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8FAB2" w14:textId="2B14B44B" w:rsidR="00256727" w:rsidRDefault="00256727" w:rsidP="00727324">
      <w:pPr>
        <w:spacing w:line="276" w:lineRule="auto"/>
        <w:jc w:val="center"/>
        <w:rPr>
          <w:rFonts w:ascii="Bookman Old Style" w:hAnsi="Bookman Old Style" w:cs="Book Antiqua"/>
          <w:bCs/>
          <w:lang w:val="id-ID"/>
        </w:rPr>
      </w:pPr>
    </w:p>
    <w:p w14:paraId="545568E0" w14:textId="6BA54C16" w:rsidR="00256727" w:rsidRDefault="00256727" w:rsidP="00727324">
      <w:pPr>
        <w:spacing w:line="276" w:lineRule="auto"/>
        <w:jc w:val="center"/>
        <w:rPr>
          <w:rFonts w:ascii="Bookman Old Style" w:hAnsi="Bookman Old Style" w:cs="Book Antiqua"/>
          <w:bCs/>
          <w:lang w:val="id-ID"/>
        </w:rPr>
      </w:pPr>
    </w:p>
    <w:p w14:paraId="3F64EBB7" w14:textId="1DB3B1E9" w:rsidR="00256727" w:rsidRDefault="00256727" w:rsidP="00727324">
      <w:pPr>
        <w:spacing w:line="276" w:lineRule="auto"/>
        <w:jc w:val="center"/>
        <w:rPr>
          <w:rFonts w:ascii="Bookman Old Style" w:hAnsi="Bookman Old Style" w:cs="Book Antiqua"/>
          <w:bCs/>
          <w:lang w:val="id-ID"/>
        </w:rPr>
      </w:pPr>
    </w:p>
    <w:p w14:paraId="11BCF6BD" w14:textId="195261E4" w:rsidR="00256727" w:rsidRDefault="00256727" w:rsidP="00727324">
      <w:pPr>
        <w:spacing w:line="276" w:lineRule="auto"/>
        <w:jc w:val="center"/>
        <w:rPr>
          <w:rFonts w:ascii="Bookman Old Style" w:hAnsi="Bookman Old Style" w:cs="Book Antiqua"/>
          <w:bCs/>
          <w:lang w:val="id-ID"/>
        </w:rPr>
      </w:pPr>
    </w:p>
    <w:p w14:paraId="08822845" w14:textId="77777777" w:rsidR="00256727" w:rsidRDefault="00256727" w:rsidP="00727324">
      <w:pPr>
        <w:spacing w:line="276" w:lineRule="auto"/>
        <w:jc w:val="center"/>
        <w:rPr>
          <w:rFonts w:ascii="Bookman Old Style" w:hAnsi="Bookman Old Style" w:cs="Book Antiqua"/>
          <w:bCs/>
          <w:lang w:val="id-ID"/>
        </w:rPr>
      </w:pPr>
    </w:p>
    <w:p w14:paraId="75332AC6" w14:textId="77777777" w:rsidR="00256727" w:rsidRDefault="00256727" w:rsidP="00727324">
      <w:pPr>
        <w:spacing w:line="276" w:lineRule="auto"/>
        <w:jc w:val="center"/>
        <w:rPr>
          <w:rFonts w:ascii="Bookman Old Style" w:hAnsi="Bookman Old Style" w:cs="Book Antiqua"/>
          <w:bCs/>
          <w:lang w:val="id-ID"/>
        </w:rPr>
      </w:pPr>
    </w:p>
    <w:p w14:paraId="7E1F1397" w14:textId="77777777" w:rsidR="00256727" w:rsidRPr="008379CA" w:rsidRDefault="00256727" w:rsidP="00256727">
      <w:pPr>
        <w:pStyle w:val="Heading1"/>
        <w:spacing w:before="0"/>
        <w:jc w:val="center"/>
        <w:rPr>
          <w:rFonts w:ascii="Bookman Old Style" w:hAnsi="Bookman Old Style" w:cs="Book Antiqua"/>
          <w:b w:val="0"/>
          <w:color w:val="auto"/>
          <w:sz w:val="24"/>
          <w:szCs w:val="24"/>
          <w:lang w:val="id-ID"/>
        </w:rPr>
      </w:pPr>
      <w:r w:rsidRPr="008379CA">
        <w:rPr>
          <w:rFonts w:ascii="Bookman Old Style" w:hAnsi="Bookman Old Style" w:cs="Book Antiqua"/>
          <w:b w:val="0"/>
          <w:color w:val="auto"/>
          <w:sz w:val="24"/>
          <w:szCs w:val="24"/>
          <w:lang w:val="id-ID"/>
        </w:rPr>
        <w:t>KEPUTUSAN GUBERNUR BANTEN</w:t>
      </w:r>
    </w:p>
    <w:p w14:paraId="093F86F0" w14:textId="14C0E980" w:rsidR="00256727" w:rsidRPr="008379CA" w:rsidRDefault="00256727" w:rsidP="00256727">
      <w:pPr>
        <w:pStyle w:val="Heading1"/>
        <w:spacing w:before="0"/>
        <w:ind w:left="2520"/>
        <w:jc w:val="both"/>
        <w:rPr>
          <w:rFonts w:ascii="Bookman Old Style" w:hAnsi="Bookman Old Style" w:cs="Book Antiqua"/>
          <w:b w:val="0"/>
          <w:color w:val="auto"/>
          <w:sz w:val="24"/>
          <w:szCs w:val="24"/>
          <w:lang w:val="es-BO"/>
        </w:rPr>
      </w:pPr>
      <w:r w:rsidRPr="008379CA">
        <w:rPr>
          <w:rFonts w:ascii="Bookman Old Style" w:hAnsi="Bookman Old Style" w:cs="Book Antiqua"/>
          <w:b w:val="0"/>
          <w:color w:val="auto"/>
          <w:sz w:val="24"/>
          <w:szCs w:val="24"/>
          <w:lang w:val="id-ID"/>
        </w:rPr>
        <w:t xml:space="preserve">NOMOR </w:t>
      </w:r>
      <w:r w:rsidR="00C25332">
        <w:rPr>
          <w:rFonts w:ascii="Bookman Old Style" w:hAnsi="Bookman Old Style" w:cs="Book Antiqua"/>
          <w:b w:val="0"/>
          <w:color w:val="auto"/>
          <w:sz w:val="24"/>
          <w:szCs w:val="24"/>
          <w:lang w:val="id-ID"/>
        </w:rPr>
        <w:t xml:space="preserve"> ........................</w:t>
      </w:r>
    </w:p>
    <w:p w14:paraId="65285B0F" w14:textId="77777777" w:rsidR="00256727" w:rsidRPr="008379CA" w:rsidRDefault="00256727" w:rsidP="00256727">
      <w:pPr>
        <w:pStyle w:val="Heading2"/>
        <w:spacing w:before="0"/>
        <w:jc w:val="center"/>
        <w:rPr>
          <w:rFonts w:ascii="Bookman Old Style" w:hAnsi="Bookman Old Style" w:cs="Book Antiqua"/>
          <w:b w:val="0"/>
          <w:color w:val="auto"/>
          <w:sz w:val="24"/>
          <w:szCs w:val="24"/>
          <w:lang w:val="id-ID"/>
        </w:rPr>
      </w:pPr>
    </w:p>
    <w:p w14:paraId="583A3F4A" w14:textId="77777777" w:rsidR="00256727" w:rsidRPr="008379CA" w:rsidRDefault="00256727" w:rsidP="00256727">
      <w:pPr>
        <w:pStyle w:val="Heading2"/>
        <w:spacing w:before="0"/>
        <w:jc w:val="center"/>
        <w:rPr>
          <w:rFonts w:ascii="Bookman Old Style" w:hAnsi="Bookman Old Style" w:cs="Book Antiqua"/>
          <w:b w:val="0"/>
          <w:i/>
          <w:color w:val="auto"/>
          <w:sz w:val="24"/>
          <w:szCs w:val="24"/>
          <w:lang w:val="id-ID"/>
        </w:rPr>
      </w:pPr>
      <w:r w:rsidRPr="008379CA">
        <w:rPr>
          <w:rFonts w:ascii="Bookman Old Style" w:hAnsi="Bookman Old Style" w:cs="Book Antiqua"/>
          <w:b w:val="0"/>
          <w:color w:val="auto"/>
          <w:sz w:val="24"/>
          <w:szCs w:val="24"/>
          <w:lang w:val="id-ID"/>
        </w:rPr>
        <w:t>TENTANG</w:t>
      </w:r>
    </w:p>
    <w:p w14:paraId="4D9AE8DA" w14:textId="77777777" w:rsidR="00256727" w:rsidRPr="008379CA" w:rsidRDefault="00256727" w:rsidP="00256727">
      <w:pPr>
        <w:jc w:val="center"/>
        <w:rPr>
          <w:rFonts w:ascii="Bookman Old Style" w:hAnsi="Bookman Old Style"/>
          <w:lang w:val="id-ID"/>
        </w:rPr>
      </w:pPr>
    </w:p>
    <w:p w14:paraId="040D3D2C" w14:textId="77777777" w:rsidR="00256727" w:rsidRPr="00C25332" w:rsidRDefault="00256727" w:rsidP="00256727">
      <w:pPr>
        <w:spacing w:line="276" w:lineRule="auto"/>
        <w:jc w:val="center"/>
        <w:rPr>
          <w:rFonts w:ascii="Bookman Old Style" w:hAnsi="Bookman Old Style" w:cs="Book Antiqua"/>
          <w:bCs/>
          <w:highlight w:val="yellow"/>
          <w:lang w:val="id-ID"/>
        </w:rPr>
      </w:pPr>
      <w:r w:rsidRPr="00C25332">
        <w:rPr>
          <w:rFonts w:ascii="Bookman Old Style" w:hAnsi="Bookman Old Style" w:cs="Book Antiqua"/>
          <w:bCs/>
          <w:highlight w:val="yellow"/>
          <w:lang w:val="id-ID"/>
        </w:rPr>
        <w:t>HASIL EVALUASI RANCANGAN PERATURAN DAERAH</w:t>
      </w:r>
    </w:p>
    <w:p w14:paraId="185A682F" w14:textId="77777777" w:rsidR="003255BC" w:rsidRPr="00C25332" w:rsidRDefault="00256727" w:rsidP="00256727">
      <w:pPr>
        <w:spacing w:line="276" w:lineRule="auto"/>
        <w:jc w:val="center"/>
        <w:rPr>
          <w:rFonts w:ascii="Bookman Old Style" w:hAnsi="Bookman Old Style" w:cs="Book Antiqua"/>
          <w:bCs/>
          <w:highlight w:val="yellow"/>
          <w:lang w:val="id-ID"/>
        </w:rPr>
      </w:pPr>
      <w:r w:rsidRPr="00C25332">
        <w:rPr>
          <w:rFonts w:ascii="Bookman Old Style" w:hAnsi="Bookman Old Style" w:cs="Book Antiqua"/>
          <w:bCs/>
          <w:highlight w:val="yellow"/>
          <w:lang w:val="id-ID"/>
        </w:rPr>
        <w:t xml:space="preserve">KOTA TANGERANG TENTANG ANGGARAN PENDAPATAN DAN BELANJA DAERAH TAHUN ANGGARAN 2025 DAN RANCANGAN PERATURAN </w:t>
      </w:r>
    </w:p>
    <w:p w14:paraId="204C034C" w14:textId="2CC18D67" w:rsidR="00256727" w:rsidRDefault="00256727" w:rsidP="00256727">
      <w:pPr>
        <w:spacing w:line="276" w:lineRule="auto"/>
        <w:jc w:val="center"/>
        <w:rPr>
          <w:rFonts w:ascii="Bookman Old Style" w:hAnsi="Bookman Old Style" w:cs="Book Antiqua"/>
          <w:bCs/>
          <w:lang w:val="id-ID"/>
        </w:rPr>
      </w:pPr>
      <w:r w:rsidRPr="00C25332">
        <w:rPr>
          <w:rFonts w:ascii="Bookman Old Style" w:hAnsi="Bookman Old Style" w:cs="Book Antiqua"/>
          <w:bCs/>
          <w:highlight w:val="yellow"/>
          <w:lang w:val="id-ID"/>
        </w:rPr>
        <w:t>WALI KOTA TANGERANG TENTANG PENJABARAN ANGGARAN PENDAPATAN DAN BELANJA DAERAH TAHUN ANGGARAN 2025</w:t>
      </w:r>
    </w:p>
    <w:p w14:paraId="4BC14C7F" w14:textId="7454D41B" w:rsidR="00C25332" w:rsidRPr="008379CA" w:rsidRDefault="00C25332" w:rsidP="00256727">
      <w:pPr>
        <w:spacing w:line="276" w:lineRule="auto"/>
        <w:jc w:val="center"/>
        <w:rPr>
          <w:rFonts w:ascii="Bookman Old Style" w:hAnsi="Bookman Old Style" w:cs="Book Antiqua"/>
          <w:bCs/>
          <w:lang w:val="id-ID"/>
        </w:rPr>
      </w:pPr>
      <w:r w:rsidRPr="00C25332">
        <w:rPr>
          <w:rFonts w:ascii="Bookman Old Style" w:hAnsi="Bookman Old Style" w:cs="Book Antiqua"/>
          <w:bCs/>
          <w:highlight w:val="green"/>
          <w:lang w:val="id-ID"/>
        </w:rPr>
        <w:t>(DISESUAIKAN DENGAN KABUPATEN/KOTA)</w:t>
      </w:r>
    </w:p>
    <w:p w14:paraId="1F273F65" w14:textId="77777777" w:rsidR="00256727" w:rsidRPr="008379CA" w:rsidRDefault="00256727" w:rsidP="00256727">
      <w:pPr>
        <w:jc w:val="center"/>
        <w:rPr>
          <w:rFonts w:ascii="Bookman Old Style" w:hAnsi="Bookman Old Style" w:cs="Book Antiqua"/>
          <w:bCs/>
          <w:lang w:val="id-ID"/>
        </w:rPr>
      </w:pPr>
    </w:p>
    <w:p w14:paraId="3FB7D5CA" w14:textId="77777777" w:rsidR="00256727" w:rsidRPr="008379CA" w:rsidRDefault="00256727" w:rsidP="00256727">
      <w:pPr>
        <w:jc w:val="center"/>
        <w:rPr>
          <w:rFonts w:ascii="Bookman Old Style" w:hAnsi="Bookman Old Style" w:cs="Book Antiqua"/>
          <w:lang w:val="id-ID"/>
        </w:rPr>
      </w:pPr>
      <w:r w:rsidRPr="008379CA">
        <w:rPr>
          <w:rFonts w:ascii="Bookman Old Style" w:hAnsi="Bookman Old Style" w:cs="Book Antiqua"/>
          <w:bCs/>
          <w:lang w:val="id-ID"/>
        </w:rPr>
        <w:t>GUBERNUR BANTEN</w:t>
      </w:r>
      <w:r w:rsidRPr="008379CA">
        <w:rPr>
          <w:rFonts w:ascii="Bookman Old Style" w:hAnsi="Bookman Old Style" w:cs="Book Antiqua"/>
          <w:lang w:val="id-ID"/>
        </w:rPr>
        <w:t>,</w:t>
      </w:r>
    </w:p>
    <w:p w14:paraId="0A9186E5" w14:textId="77777777" w:rsidR="00256727" w:rsidRPr="008379CA" w:rsidRDefault="00256727" w:rsidP="00256727">
      <w:pPr>
        <w:jc w:val="center"/>
        <w:rPr>
          <w:rFonts w:ascii="Bookman Old Style" w:hAnsi="Bookman Old Style" w:cs="Book Antiqua"/>
          <w:lang w:val="id-ID"/>
        </w:rPr>
      </w:pPr>
    </w:p>
    <w:p w14:paraId="0BF0B0DF" w14:textId="77777777" w:rsidR="00256727" w:rsidRPr="008379CA" w:rsidRDefault="00256727" w:rsidP="00256727">
      <w:pPr>
        <w:tabs>
          <w:tab w:val="left" w:pos="2160"/>
          <w:tab w:val="left" w:pos="2430"/>
          <w:tab w:val="left" w:pos="2880"/>
        </w:tabs>
        <w:spacing w:after="120" w:line="320" w:lineRule="exact"/>
        <w:ind w:left="2880" w:hanging="2880"/>
        <w:jc w:val="both"/>
        <w:rPr>
          <w:rFonts w:ascii="Bookman Old Style" w:hAnsi="Bookman Old Style"/>
          <w:lang w:val="id-ID"/>
        </w:rPr>
      </w:pPr>
      <w:r w:rsidRPr="008379CA">
        <w:rPr>
          <w:rFonts w:ascii="Bookman Old Style" w:hAnsi="Bookman Old Style" w:cs="Book Antiqua"/>
          <w:lang w:val="id-ID"/>
        </w:rPr>
        <w:t>Menimbang</w:t>
      </w:r>
      <w:r w:rsidRPr="008379CA">
        <w:rPr>
          <w:rFonts w:ascii="Bookman Old Style" w:hAnsi="Bookman Old Style" w:cs="Book Antiqua"/>
          <w:lang w:val="id-ID"/>
        </w:rPr>
        <w:tab/>
        <w:t>:</w:t>
      </w:r>
      <w:r w:rsidRPr="008379CA">
        <w:rPr>
          <w:rFonts w:ascii="Bookman Old Style" w:hAnsi="Bookman Old Style" w:cs="Book Antiqua"/>
          <w:lang w:val="id-ID"/>
        </w:rPr>
        <w:tab/>
        <w:t>a.</w:t>
      </w:r>
      <w:r w:rsidRPr="008379CA">
        <w:rPr>
          <w:rFonts w:ascii="Bookman Old Style" w:hAnsi="Bookman Old Style" w:cs="Book Antiqua"/>
          <w:lang w:val="id-ID"/>
        </w:rPr>
        <w:tab/>
        <w:t xml:space="preserve">bahwa untuk melaksanakan ketentuan Pasal 315 ayat (2) dan Pasal 319 </w:t>
      </w:r>
      <w:r w:rsidRPr="008379CA">
        <w:rPr>
          <w:rFonts w:ascii="Bookman Old Style" w:hAnsi="Bookman Old Style" w:cs="Arial"/>
          <w:lang w:val="id-ID"/>
        </w:rPr>
        <w:t xml:space="preserve">Undang-Undang Nomor 23 Tahun 2014 tentang Pemerintahan Daerah </w:t>
      </w:r>
      <w:r w:rsidRPr="008379CA">
        <w:rPr>
          <w:rFonts w:ascii="Bookman Old Style" w:hAnsi="Bookman Old Style" w:cs="Arial"/>
          <w:lang w:val="id-ID" w:bidi="ar-EG"/>
        </w:rPr>
        <w:t xml:space="preserve">sebagaimana telah diubah beberapa kali terakhir dengan </w:t>
      </w:r>
      <w:r w:rsidRPr="008379CA">
        <w:rPr>
          <w:rFonts w:ascii="Bookman Old Style" w:hAnsi="Bookman Old Style" w:cstheme="minorHAnsi"/>
          <w:lang w:val="id-ID"/>
        </w:rPr>
        <w:t>Undang-Undang Nomor 6 Tahun 2023 tentang Penetapan Peraturan Pemerintah Pengganti Undang-Undang Nomor 2 Tahun 2022 tentang Cipta Kerja Menjadi Undang-Undang</w:t>
      </w:r>
      <w:r w:rsidRPr="008379CA">
        <w:rPr>
          <w:rFonts w:ascii="Bookman Old Style" w:hAnsi="Bookman Old Style"/>
          <w:lang w:val="id-ID"/>
        </w:rPr>
        <w:t xml:space="preserve">, Gubernur sebagai Wakil Pemerintah Pusat melakukan evaluasi terhadap Rancangan </w:t>
      </w:r>
      <w:r w:rsidRPr="008379CA">
        <w:rPr>
          <w:rFonts w:ascii="Bookman Old Style" w:hAnsi="Bookman Old Style" w:cs="Arial"/>
          <w:lang w:val="id-ID"/>
        </w:rPr>
        <w:t>Peraturan</w:t>
      </w:r>
      <w:r w:rsidRPr="008379CA">
        <w:rPr>
          <w:rFonts w:ascii="Bookman Old Style" w:hAnsi="Bookman Old Style"/>
          <w:lang w:val="id-ID"/>
        </w:rPr>
        <w:t xml:space="preserve"> Daerah </w:t>
      </w:r>
      <w:r w:rsidRPr="008379CA">
        <w:rPr>
          <w:rFonts w:ascii="Bookman Old Style" w:hAnsi="Bookman Old Style" w:cs="Book Antiqua"/>
          <w:bCs/>
          <w:lang w:val="id-ID"/>
        </w:rPr>
        <w:t>tentang Anggaran Pendapatan dan Belanja Daerah dan Rancangan Peraturan Kepala Daerah tentang Penjabaran Anggaran Pendapatan dan Belanja Daerah, untuk menguji kesesuaian dengan peraturan perundang-undangan yang lebih tinggi, kepentingan umum, Rencana Kerja Pemerintah Daerah, dan Prioritas dan Plafon Anggaran Sementara, serta Rencana Pembangunan Jangka Menengah Daerah;</w:t>
      </w:r>
    </w:p>
    <w:p w14:paraId="2BBE1EE6" w14:textId="3BB4D0ED" w:rsidR="00256727" w:rsidRDefault="00256727" w:rsidP="00256727">
      <w:pPr>
        <w:tabs>
          <w:tab w:val="left" w:pos="2160"/>
          <w:tab w:val="left" w:pos="2430"/>
          <w:tab w:val="left" w:pos="2880"/>
        </w:tabs>
        <w:spacing w:line="320" w:lineRule="exact"/>
        <w:ind w:left="2880" w:hanging="2880"/>
        <w:jc w:val="both"/>
        <w:rPr>
          <w:rFonts w:ascii="Bookman Old Style" w:hAnsi="Bookman Old Style" w:cs="Book Antiqua"/>
          <w:bCs/>
          <w:lang w:val="id-ID"/>
        </w:rPr>
      </w:pPr>
      <w:r w:rsidRPr="008379CA">
        <w:rPr>
          <w:rFonts w:ascii="Bookman Old Style" w:hAnsi="Bookman Old Style"/>
          <w:lang w:val="id-ID"/>
        </w:rPr>
        <w:tab/>
      </w:r>
      <w:r w:rsidRPr="008379CA">
        <w:rPr>
          <w:rFonts w:ascii="Bookman Old Style" w:hAnsi="Bookman Old Style"/>
          <w:lang w:val="id-ID"/>
        </w:rPr>
        <w:tab/>
        <w:t>b.</w:t>
      </w:r>
      <w:r w:rsidRPr="008379CA">
        <w:rPr>
          <w:rFonts w:ascii="Bookman Old Style" w:hAnsi="Bookman Old Style"/>
          <w:lang w:val="id-ID"/>
        </w:rPr>
        <w:tab/>
      </w:r>
      <w:r w:rsidRPr="008379CA">
        <w:rPr>
          <w:rFonts w:ascii="Bookman Old Style" w:hAnsi="Bookman Old Style" w:cs="Book Antiqua"/>
          <w:lang w:val="id-ID"/>
        </w:rPr>
        <w:t xml:space="preserve">bahwa berdasarkan pertimbangan sebagaimana dimaksud dalam huruf a, perlu menetapkan Keputusan Gubernur tentang </w:t>
      </w:r>
      <w:r w:rsidRPr="008379CA">
        <w:rPr>
          <w:rFonts w:ascii="Bookman Old Style" w:hAnsi="Bookman Old Style" w:cs="Book Antiqua"/>
          <w:bCs/>
          <w:lang w:val="id-ID"/>
        </w:rPr>
        <w:t xml:space="preserve">Hasil Evaluasi Rancangan Peraturan Daerah </w:t>
      </w:r>
      <w:r w:rsidR="003255BC" w:rsidRPr="008379CA">
        <w:rPr>
          <w:rFonts w:ascii="Bookman Old Style" w:hAnsi="Bookman Old Style"/>
          <w:lang w:val="id-ID"/>
        </w:rPr>
        <w:t>Kota Tangerang</w:t>
      </w:r>
      <w:r w:rsidRPr="008379CA">
        <w:rPr>
          <w:rFonts w:ascii="Bookman Old Style" w:hAnsi="Bookman Old Style"/>
          <w:lang w:val="id-ID"/>
        </w:rPr>
        <w:t xml:space="preserve"> </w:t>
      </w:r>
      <w:r w:rsidRPr="008379CA">
        <w:rPr>
          <w:rFonts w:ascii="Bookman Old Style" w:hAnsi="Bookman Old Style" w:cs="Book Antiqua"/>
          <w:bCs/>
          <w:lang w:val="id-ID"/>
        </w:rPr>
        <w:t xml:space="preserve">tentang Anggaran Pendapatan dan Belanja Daerah Tahun Anggaran 2025 dan Rancangan Peraturan </w:t>
      </w:r>
      <w:r w:rsidR="003255BC" w:rsidRPr="008379CA">
        <w:rPr>
          <w:rFonts w:ascii="Bookman Old Style" w:hAnsi="Bookman Old Style" w:cs="Book Antiqua"/>
          <w:bCs/>
          <w:lang w:val="id-ID"/>
        </w:rPr>
        <w:t>Wali Kota</w:t>
      </w:r>
      <w:r w:rsidRPr="008379CA">
        <w:rPr>
          <w:rFonts w:ascii="Bookman Old Style" w:hAnsi="Bookman Old Style" w:cs="Book Antiqua"/>
          <w:bCs/>
          <w:lang w:val="id-ID"/>
        </w:rPr>
        <w:t xml:space="preserve"> Tangerang</w:t>
      </w:r>
      <w:r w:rsidRPr="008379CA">
        <w:rPr>
          <w:rFonts w:ascii="Bookman Old Style" w:hAnsi="Bookman Old Style"/>
          <w:lang w:val="id-ID"/>
        </w:rPr>
        <w:t xml:space="preserve"> </w:t>
      </w:r>
      <w:r w:rsidRPr="008379CA">
        <w:rPr>
          <w:rFonts w:ascii="Bookman Old Style" w:hAnsi="Bookman Old Style" w:cs="Book Antiqua"/>
          <w:bCs/>
          <w:lang w:val="id-ID"/>
        </w:rPr>
        <w:t>tentang Penjabaran Anggaran Pendapatan dan Belanja Daerah Tahun Anggaran 2025.</w:t>
      </w:r>
    </w:p>
    <w:p w14:paraId="784BA165" w14:textId="77777777" w:rsidR="00C25332" w:rsidRPr="008B475F" w:rsidRDefault="00C25332" w:rsidP="00C25332">
      <w:pPr>
        <w:tabs>
          <w:tab w:val="left" w:pos="1800"/>
          <w:tab w:val="left" w:pos="2700"/>
        </w:tabs>
        <w:spacing w:after="120" w:line="320" w:lineRule="exact"/>
        <w:jc w:val="both"/>
        <w:rPr>
          <w:rFonts w:ascii="Bookman Old Style" w:hAnsi="Bookman Old Style"/>
          <w:highlight w:val="green"/>
        </w:rPr>
      </w:pPr>
      <w:r w:rsidRPr="008B475F">
        <w:rPr>
          <w:rFonts w:ascii="Bookman Old Style" w:hAnsi="Bookman Old Style"/>
          <w:highlight w:val="green"/>
        </w:rPr>
        <w:lastRenderedPageBreak/>
        <w:t xml:space="preserve">BILA KEPUTUSAN GUBERNUR </w:t>
      </w:r>
      <w:proofErr w:type="gramStart"/>
      <w:r w:rsidRPr="008B475F">
        <w:rPr>
          <w:rFonts w:ascii="Bookman Old Style" w:hAnsi="Bookman Old Style"/>
          <w:highlight w:val="green"/>
        </w:rPr>
        <w:t>MERUPAKAN  DELEGASI</w:t>
      </w:r>
      <w:proofErr w:type="gramEnd"/>
      <w:r w:rsidRPr="008B475F">
        <w:rPr>
          <w:rFonts w:ascii="Bookman Old Style" w:hAnsi="Bookman Old Style"/>
          <w:highlight w:val="green"/>
        </w:rPr>
        <w:t xml:space="preserve"> </w:t>
      </w:r>
      <w:proofErr w:type="gramStart"/>
      <w:r w:rsidRPr="008B475F">
        <w:rPr>
          <w:rFonts w:ascii="Bookman Old Style" w:hAnsi="Bookman Old Style"/>
          <w:highlight w:val="green"/>
        </w:rPr>
        <w:t>AMANAT  LANGSUNG</w:t>
      </w:r>
      <w:proofErr w:type="gramEnd"/>
      <w:r w:rsidRPr="008B475F">
        <w:rPr>
          <w:rFonts w:ascii="Bookman Old Style" w:hAnsi="Bookman Old Style"/>
          <w:highlight w:val="green"/>
        </w:rPr>
        <w:t xml:space="preserve"> DARI</w:t>
      </w:r>
      <w:r>
        <w:rPr>
          <w:rFonts w:ascii="Bookman Old Style" w:hAnsi="Bookman Old Style"/>
          <w:highlight w:val="green"/>
        </w:rPr>
        <w:t xml:space="preserve"> SUATU PASAL</w:t>
      </w:r>
      <w:r w:rsidRPr="008B475F">
        <w:rPr>
          <w:rFonts w:ascii="Bookman Old Style" w:hAnsi="Bookman Old Style"/>
          <w:highlight w:val="green"/>
        </w:rPr>
        <w:t xml:space="preserve"> PERATURAN PERUNDANG-UNDANGAN, CUKUP 1 (SATU) MENIMBANG SAJA.</w:t>
      </w:r>
      <w:r>
        <w:rPr>
          <w:rFonts w:ascii="Bookman Old Style" w:hAnsi="Bookman Old Style"/>
          <w:highlight w:val="green"/>
        </w:rPr>
        <w:t xml:space="preserve">, </w:t>
      </w:r>
      <w:proofErr w:type="spellStart"/>
      <w:r>
        <w:rPr>
          <w:rFonts w:ascii="Bookman Old Style" w:hAnsi="Bookman Old Style"/>
          <w:highlight w:val="green"/>
        </w:rPr>
        <w:t>tanpa</w:t>
      </w:r>
      <w:proofErr w:type="spellEnd"/>
      <w:r>
        <w:rPr>
          <w:rFonts w:ascii="Bookman Old Style" w:hAnsi="Bookman Old Style"/>
          <w:highlight w:val="green"/>
        </w:rPr>
        <w:t xml:space="preserve"> </w:t>
      </w:r>
      <w:proofErr w:type="spellStart"/>
      <w:r>
        <w:rPr>
          <w:rFonts w:ascii="Bookman Old Style" w:hAnsi="Bookman Old Style"/>
          <w:highlight w:val="green"/>
        </w:rPr>
        <w:t>huruf</w:t>
      </w:r>
      <w:proofErr w:type="spellEnd"/>
      <w:r>
        <w:rPr>
          <w:rFonts w:ascii="Bookman Old Style" w:hAnsi="Bookman Old Style"/>
          <w:highlight w:val="green"/>
        </w:rPr>
        <w:t xml:space="preserve"> a, </w:t>
      </w:r>
      <w:proofErr w:type="spellStart"/>
      <w:r>
        <w:rPr>
          <w:rFonts w:ascii="Bookman Old Style" w:hAnsi="Bookman Old Style"/>
          <w:highlight w:val="green"/>
        </w:rPr>
        <w:t>huruf</w:t>
      </w:r>
      <w:proofErr w:type="spellEnd"/>
      <w:r>
        <w:rPr>
          <w:rFonts w:ascii="Bookman Old Style" w:hAnsi="Bookman Old Style"/>
          <w:highlight w:val="green"/>
        </w:rPr>
        <w:t xml:space="preserve"> </w:t>
      </w:r>
      <w:proofErr w:type="gramStart"/>
      <w:r>
        <w:rPr>
          <w:rFonts w:ascii="Bookman Old Style" w:hAnsi="Bookman Old Style"/>
          <w:highlight w:val="green"/>
        </w:rPr>
        <w:t>b..</w:t>
      </w:r>
      <w:proofErr w:type="gramEnd"/>
      <w:r>
        <w:rPr>
          <w:rFonts w:ascii="Bookman Old Style" w:hAnsi="Bookman Old Style"/>
          <w:highlight w:val="green"/>
        </w:rPr>
        <w:t xml:space="preserve"> </w:t>
      </w:r>
      <w:proofErr w:type="spellStart"/>
      <w:r>
        <w:rPr>
          <w:rFonts w:ascii="Bookman Old Style" w:hAnsi="Bookman Old Style"/>
          <w:highlight w:val="green"/>
        </w:rPr>
        <w:t>dst</w:t>
      </w:r>
      <w:proofErr w:type="spellEnd"/>
      <w:proofErr w:type="gramStart"/>
      <w:r>
        <w:rPr>
          <w:rFonts w:ascii="Bookman Old Style" w:hAnsi="Bookman Old Style"/>
          <w:highlight w:val="green"/>
        </w:rPr>
        <w:t>.</w:t>
      </w:r>
      <w:r w:rsidRPr="008B475F">
        <w:rPr>
          <w:rFonts w:ascii="Bookman Old Style" w:hAnsi="Bookman Old Style"/>
          <w:highlight w:val="green"/>
        </w:rPr>
        <w:t xml:space="preserve"> :</w:t>
      </w:r>
      <w:proofErr w:type="gramEnd"/>
    </w:p>
    <w:p w14:paraId="087B8C0B" w14:textId="77777777" w:rsidR="00C25332" w:rsidRPr="00F61F92" w:rsidRDefault="00C25332" w:rsidP="00C25332">
      <w:pPr>
        <w:tabs>
          <w:tab w:val="left" w:pos="1800"/>
          <w:tab w:val="left" w:pos="2700"/>
        </w:tabs>
        <w:spacing w:after="120" w:line="320" w:lineRule="exact"/>
        <w:jc w:val="both"/>
        <w:rPr>
          <w:rFonts w:ascii="Bookman Old Style" w:hAnsi="Bookman Old Style"/>
          <w:color w:val="FF0000"/>
        </w:rPr>
      </w:pPr>
      <w:r w:rsidRPr="00F61F92">
        <w:rPr>
          <w:rFonts w:ascii="Bookman Old Style" w:hAnsi="Bookman Old Style"/>
          <w:color w:val="FF0000"/>
          <w:highlight w:val="green"/>
        </w:rPr>
        <w:t>“</w:t>
      </w:r>
      <w:proofErr w:type="spellStart"/>
      <w:proofErr w:type="gramStart"/>
      <w:r w:rsidRPr="00F61F92">
        <w:rPr>
          <w:rFonts w:ascii="Bookman Old Style" w:hAnsi="Bookman Old Style"/>
          <w:color w:val="FF0000"/>
          <w:highlight w:val="green"/>
        </w:rPr>
        <w:t>bahwa</w:t>
      </w:r>
      <w:proofErr w:type="spellEnd"/>
      <w:proofErr w:type="gramEnd"/>
      <w:r w:rsidRPr="00F61F92">
        <w:rPr>
          <w:rFonts w:ascii="Bookman Old Style" w:hAnsi="Bookman Old Style"/>
          <w:color w:val="FF0000"/>
          <w:highlight w:val="green"/>
        </w:rPr>
        <w:t xml:space="preserve"> </w:t>
      </w:r>
      <w:proofErr w:type="spellStart"/>
      <w:r w:rsidRPr="00F61F92">
        <w:rPr>
          <w:rFonts w:ascii="Bookman Old Style" w:hAnsi="Bookman Old Style"/>
          <w:color w:val="FF0000"/>
          <w:highlight w:val="green"/>
        </w:rPr>
        <w:t>untuk</w:t>
      </w:r>
      <w:proofErr w:type="spellEnd"/>
      <w:r w:rsidRPr="00F61F92">
        <w:rPr>
          <w:rFonts w:ascii="Bookman Old Style" w:hAnsi="Bookman Old Style"/>
          <w:color w:val="FF0000"/>
          <w:highlight w:val="green"/>
        </w:rPr>
        <w:t xml:space="preserve"> </w:t>
      </w:r>
      <w:proofErr w:type="spellStart"/>
      <w:r w:rsidRPr="00F61F92">
        <w:rPr>
          <w:rFonts w:ascii="Bookman Old Style" w:hAnsi="Bookman Old Style"/>
          <w:color w:val="FF0000"/>
          <w:highlight w:val="green"/>
        </w:rPr>
        <w:t>melaksanakan</w:t>
      </w:r>
      <w:proofErr w:type="spellEnd"/>
      <w:r w:rsidRPr="00F61F92">
        <w:rPr>
          <w:rFonts w:ascii="Bookman Old Style" w:hAnsi="Bookman Old Style"/>
          <w:color w:val="FF0000"/>
          <w:highlight w:val="green"/>
        </w:rPr>
        <w:t xml:space="preserve"> </w:t>
      </w:r>
      <w:proofErr w:type="spellStart"/>
      <w:r w:rsidRPr="00F61F92">
        <w:rPr>
          <w:rFonts w:ascii="Bookman Old Style" w:hAnsi="Bookman Old Style"/>
          <w:color w:val="FF0000"/>
          <w:highlight w:val="green"/>
        </w:rPr>
        <w:t>ketentuan</w:t>
      </w:r>
      <w:proofErr w:type="spellEnd"/>
      <w:r w:rsidRPr="00F61F92">
        <w:rPr>
          <w:rFonts w:ascii="Bookman Old Style" w:hAnsi="Bookman Old Style"/>
          <w:color w:val="FF0000"/>
          <w:highlight w:val="green"/>
        </w:rPr>
        <w:t xml:space="preserve"> Pasal … </w:t>
      </w:r>
      <w:proofErr w:type="spellStart"/>
      <w:r w:rsidRPr="00F61F92">
        <w:rPr>
          <w:rFonts w:ascii="Bookman Old Style" w:hAnsi="Bookman Old Style"/>
          <w:color w:val="FF0000"/>
          <w:highlight w:val="green"/>
        </w:rPr>
        <w:t>Peraturan</w:t>
      </w:r>
      <w:proofErr w:type="spellEnd"/>
      <w:r w:rsidRPr="00F61F92">
        <w:rPr>
          <w:rFonts w:ascii="Bookman Old Style" w:hAnsi="Bookman Old Style"/>
          <w:color w:val="FF0000"/>
          <w:highlight w:val="green"/>
        </w:rPr>
        <w:t xml:space="preserve">……, </w:t>
      </w:r>
      <w:proofErr w:type="spellStart"/>
      <w:r w:rsidRPr="00F61F92">
        <w:rPr>
          <w:rFonts w:ascii="Bookman Old Style" w:hAnsi="Bookman Old Style"/>
          <w:color w:val="FF0000"/>
          <w:highlight w:val="green"/>
        </w:rPr>
        <w:t>perlu</w:t>
      </w:r>
      <w:proofErr w:type="spellEnd"/>
      <w:r w:rsidRPr="00F61F92">
        <w:rPr>
          <w:rFonts w:ascii="Bookman Old Style" w:hAnsi="Bookman Old Style"/>
          <w:color w:val="FF0000"/>
          <w:highlight w:val="green"/>
        </w:rPr>
        <w:t xml:space="preserve"> </w:t>
      </w:r>
      <w:proofErr w:type="spellStart"/>
      <w:r w:rsidRPr="00F61F92">
        <w:rPr>
          <w:rFonts w:ascii="Bookman Old Style" w:hAnsi="Bookman Old Style"/>
          <w:color w:val="FF0000"/>
          <w:highlight w:val="green"/>
        </w:rPr>
        <w:t>menetapkan</w:t>
      </w:r>
      <w:proofErr w:type="spellEnd"/>
      <w:r w:rsidRPr="00F61F92">
        <w:rPr>
          <w:rFonts w:ascii="Bookman Old Style" w:hAnsi="Bookman Old Style"/>
          <w:color w:val="FF0000"/>
          <w:highlight w:val="green"/>
        </w:rPr>
        <w:t xml:space="preserve"> Keputusan </w:t>
      </w:r>
      <w:proofErr w:type="spellStart"/>
      <w:r w:rsidRPr="00F61F92">
        <w:rPr>
          <w:rFonts w:ascii="Bookman Old Style" w:hAnsi="Bookman Old Style"/>
          <w:color w:val="FF0000"/>
          <w:highlight w:val="green"/>
        </w:rPr>
        <w:t>Gubernur</w:t>
      </w:r>
      <w:proofErr w:type="spellEnd"/>
      <w:r w:rsidRPr="00F61F92">
        <w:rPr>
          <w:rFonts w:ascii="Bookman Old Style" w:hAnsi="Bookman Old Style"/>
          <w:color w:val="FF0000"/>
          <w:highlight w:val="green"/>
        </w:rPr>
        <w:t xml:space="preserve"> </w:t>
      </w:r>
      <w:proofErr w:type="spellStart"/>
      <w:r w:rsidRPr="00F61F92">
        <w:rPr>
          <w:rFonts w:ascii="Bookman Old Style" w:hAnsi="Bookman Old Style"/>
          <w:color w:val="FF0000"/>
          <w:highlight w:val="green"/>
        </w:rPr>
        <w:t>tentang</w:t>
      </w:r>
      <w:proofErr w:type="spellEnd"/>
      <w:r w:rsidRPr="00F61F92">
        <w:rPr>
          <w:rFonts w:ascii="Bookman Old Style" w:hAnsi="Bookman Old Style"/>
          <w:color w:val="FF0000"/>
          <w:highlight w:val="green"/>
        </w:rPr>
        <w:t>………</w:t>
      </w:r>
      <w:r w:rsidRPr="00F61F92">
        <w:rPr>
          <w:rFonts w:ascii="Bookman Old Style" w:hAnsi="Bookman Old Style"/>
          <w:color w:val="FF0000"/>
        </w:rPr>
        <w:t>;</w:t>
      </w:r>
    </w:p>
    <w:p w14:paraId="437B9D3A" w14:textId="77777777" w:rsidR="00C25332" w:rsidRPr="008379CA" w:rsidRDefault="00C25332" w:rsidP="00256727">
      <w:pPr>
        <w:tabs>
          <w:tab w:val="left" w:pos="2160"/>
          <w:tab w:val="left" w:pos="2430"/>
          <w:tab w:val="left" w:pos="2880"/>
        </w:tabs>
        <w:spacing w:line="320" w:lineRule="exact"/>
        <w:ind w:left="2880" w:hanging="2880"/>
        <w:jc w:val="both"/>
        <w:rPr>
          <w:rFonts w:ascii="Bookman Old Style" w:hAnsi="Bookman Old Style" w:cs="Book Antiqua"/>
          <w:bCs/>
          <w:lang w:val="id-ID"/>
        </w:rPr>
      </w:pPr>
    </w:p>
    <w:p w14:paraId="37B426C3" w14:textId="77777777" w:rsidR="00256727" w:rsidRPr="008379CA" w:rsidRDefault="00256727" w:rsidP="00F615FB">
      <w:pPr>
        <w:tabs>
          <w:tab w:val="left" w:pos="2160"/>
          <w:tab w:val="left" w:pos="2430"/>
          <w:tab w:val="left" w:pos="2880"/>
        </w:tabs>
        <w:spacing w:line="360" w:lineRule="exact"/>
        <w:ind w:left="2880" w:hanging="2880"/>
        <w:jc w:val="both"/>
        <w:rPr>
          <w:rFonts w:ascii="Bookman Old Style" w:hAnsi="Bookman Old Style" w:cs="Arial"/>
          <w:lang w:val="id-ID"/>
        </w:rPr>
      </w:pPr>
      <w:r w:rsidRPr="008379CA">
        <w:rPr>
          <w:rFonts w:ascii="Bookman Old Style" w:hAnsi="Bookman Old Style" w:cs="Arial"/>
          <w:lang w:val="id-ID"/>
        </w:rPr>
        <w:t>Mengingat</w:t>
      </w:r>
      <w:r w:rsidRPr="008379CA">
        <w:rPr>
          <w:rFonts w:ascii="Bookman Old Style" w:hAnsi="Bookman Old Style" w:cs="Arial"/>
          <w:lang w:val="id-ID"/>
        </w:rPr>
        <w:tab/>
        <w:t>:</w:t>
      </w:r>
      <w:r w:rsidRPr="008379CA">
        <w:rPr>
          <w:rFonts w:ascii="Bookman Old Style" w:hAnsi="Bookman Old Style" w:cs="Arial"/>
          <w:lang w:val="id-ID"/>
        </w:rPr>
        <w:tab/>
        <w:t>1.</w:t>
      </w:r>
      <w:r w:rsidRPr="008379CA">
        <w:rPr>
          <w:rFonts w:ascii="Bookman Old Style" w:hAnsi="Bookman Old Style" w:cs="Arial"/>
          <w:lang w:val="id-ID"/>
        </w:rPr>
        <w:tab/>
        <w:t>Undang-Undang Nomor 23 Tahun 2000 tentang Pembentukan Propinsi Banten (Lembaran Negara Republik Indonesia Tahun 2000 Nomor 182, Tambahan Lembaran Negara Republik Indonesia Nomor 4010);</w:t>
      </w:r>
    </w:p>
    <w:p w14:paraId="153FCC14" w14:textId="77777777" w:rsidR="00256727" w:rsidRPr="008379CA" w:rsidRDefault="00256727" w:rsidP="00F615FB">
      <w:pPr>
        <w:numPr>
          <w:ilvl w:val="0"/>
          <w:numId w:val="269"/>
        </w:numPr>
        <w:tabs>
          <w:tab w:val="left" w:pos="1620"/>
          <w:tab w:val="left" w:pos="1710"/>
          <w:tab w:val="left" w:pos="1800"/>
          <w:tab w:val="left" w:pos="2157"/>
        </w:tabs>
        <w:spacing w:line="360" w:lineRule="exact"/>
        <w:ind w:left="2880" w:right="29" w:hanging="446"/>
        <w:jc w:val="both"/>
        <w:rPr>
          <w:rFonts w:ascii="Bookman Old Style" w:hAnsi="Bookman Old Style"/>
          <w:lang w:val="id-ID"/>
        </w:rPr>
      </w:pPr>
      <w:r w:rsidRPr="008379CA">
        <w:rPr>
          <w:rFonts w:ascii="Bookman Old Style" w:hAnsi="Bookman Old Style"/>
          <w:lang w:val="sv-SE"/>
        </w:rPr>
        <w:t xml:space="preserve">Undang-Undang Nomor 17 Tahun 2003 tentang Keuangan Negara (Lembaran Negara Republik Indonesia Tahun 2003 Nomor 47, Tambahan Lembaran Negara Republik Indonesia Nomor 4286) sebagaimana telah diubah beberapa kali terakhir dengan Undang-Undang Nomor 2 Tahun 2020 tentang Penetapan Peraturan Pemerintah Pengganti Undang-Undang Nomor 1 Tahun 2020 tentang Kebijakan Keuangan Negara dan Stabilitas Sistem Keuangan untuk Penanganan Pandemi </w:t>
      </w:r>
      <w:r w:rsidRPr="008379CA">
        <w:rPr>
          <w:rFonts w:ascii="Bookman Old Style" w:hAnsi="Bookman Old Style"/>
          <w:i/>
          <w:iCs/>
          <w:lang w:val="sv-SE"/>
        </w:rPr>
        <w:t>Corona Virus Disease</w:t>
      </w:r>
      <w:r w:rsidRPr="008379CA">
        <w:rPr>
          <w:rFonts w:ascii="Bookman Old Style" w:hAnsi="Bookman Old Style"/>
          <w:lang w:val="sv-SE"/>
        </w:rPr>
        <w:t xml:space="preserve"> 2019 (COVID-19) dan/atau dalam Rangka Menghadapi Ancaman yang Membahayakan Perekonomian Nasional dan/atau Stabilitas Sistem Keuangan Menjadi Undang-Undang (Lembaran Negara Republik Indonesia Tahun 2020 Nomor 134, Tambahan Lembaran Negara Republik Indonesia Nomor 6516);</w:t>
      </w:r>
    </w:p>
    <w:p w14:paraId="4B84C872" w14:textId="77777777" w:rsidR="00256727" w:rsidRPr="008379CA" w:rsidRDefault="00256727" w:rsidP="00F615FB">
      <w:pPr>
        <w:numPr>
          <w:ilvl w:val="0"/>
          <w:numId w:val="269"/>
        </w:numPr>
        <w:tabs>
          <w:tab w:val="left" w:pos="1620"/>
          <w:tab w:val="left" w:pos="1710"/>
          <w:tab w:val="left" w:pos="1800"/>
          <w:tab w:val="left" w:pos="2157"/>
        </w:tabs>
        <w:spacing w:line="360" w:lineRule="exact"/>
        <w:ind w:left="2880" w:right="29" w:hanging="446"/>
        <w:jc w:val="both"/>
        <w:rPr>
          <w:rFonts w:ascii="Bookman Old Style" w:hAnsi="Bookman Old Style"/>
          <w:lang w:val="id-ID"/>
        </w:rPr>
      </w:pPr>
      <w:r w:rsidRPr="008379CA">
        <w:rPr>
          <w:rFonts w:ascii="Bookman Old Style" w:hAnsi="Bookman Old Style"/>
          <w:lang w:val="sv-SE"/>
        </w:rPr>
        <w:t xml:space="preserve">Undang-Undang Nomor 1 Tahun 2004 tentang Perbendaharaan Negara (Lembaran Negara Republik Indonesia Tahun 2004 Nomor 5, Tambahan Lembaran Negara Republik Indonesia Nomor 4355) sebagaimana telah diubah beberapa kali terakhir dengan Undang-Undang Nomor 2 Tahun 2020 tentang Penetapan Peraturan Pemerintah Pengganti Undang-Undang Nomor 1 Tahun 2020 tentang Kebijakan Keuangan Negara dan Stabilitas Sistem Keuangan untuk Penanganan Pandemi </w:t>
      </w:r>
      <w:r w:rsidRPr="008379CA">
        <w:rPr>
          <w:rFonts w:ascii="Bookman Old Style" w:hAnsi="Bookman Old Style"/>
          <w:i/>
          <w:iCs/>
          <w:lang w:val="sv-SE"/>
        </w:rPr>
        <w:t>Corona Virus Disease</w:t>
      </w:r>
      <w:r w:rsidRPr="008379CA">
        <w:rPr>
          <w:rFonts w:ascii="Bookman Old Style" w:hAnsi="Bookman Old Style"/>
          <w:lang w:val="sv-SE"/>
        </w:rPr>
        <w:t xml:space="preserve"> 2019 (COVID-19) dan/atau dalam Rangka Menghadapi Ancaman yang Membahayakan Perekonomian </w:t>
      </w:r>
      <w:r w:rsidRPr="008379CA">
        <w:rPr>
          <w:rFonts w:ascii="Bookman Old Style" w:hAnsi="Bookman Old Style"/>
          <w:lang w:val="sv-SE"/>
        </w:rPr>
        <w:lastRenderedPageBreak/>
        <w:t>Nasional dan/atau Stabilitas Sistem Keuangan Menjadi Undang-Undang (Lembaran Negara Republik Indonesia Tahun 2020 Nomor 134, Tambahan Lembaran Negara Republik Indonesia Nomor 6516);</w:t>
      </w:r>
    </w:p>
    <w:p w14:paraId="400AAB8F" w14:textId="77777777" w:rsidR="00256727" w:rsidRPr="008379CA" w:rsidRDefault="00256727" w:rsidP="00F615FB">
      <w:pPr>
        <w:numPr>
          <w:ilvl w:val="0"/>
          <w:numId w:val="269"/>
        </w:numPr>
        <w:tabs>
          <w:tab w:val="left" w:pos="1620"/>
          <w:tab w:val="left" w:pos="1710"/>
          <w:tab w:val="left" w:pos="1800"/>
          <w:tab w:val="left" w:pos="2157"/>
        </w:tabs>
        <w:spacing w:line="360" w:lineRule="exact"/>
        <w:ind w:left="2880" w:right="29" w:hanging="446"/>
        <w:jc w:val="both"/>
        <w:rPr>
          <w:rFonts w:ascii="Bookman Old Style" w:hAnsi="Bookman Old Style"/>
          <w:lang w:val="id-ID"/>
        </w:rPr>
      </w:pPr>
      <w:r w:rsidRPr="008379CA">
        <w:rPr>
          <w:rFonts w:ascii="Bookman Old Style" w:hAnsi="Bookman Old Style" w:cs="Arial"/>
          <w:lang w:val="id-ID" w:bidi="ar-EG"/>
        </w:rPr>
        <w:t xml:space="preserve">Undang-Undang Nomor 23 Tahun 2014 tentang Pemerintahan Daerah (Lembaran Negara Republik Indonesia Tahun 2014 Nomor 244, Tambahan Lembaran Negara Republik Indonesia Nomor 5587) sebagaimana telah diubah beberapa kali terakhir dengan </w:t>
      </w:r>
      <w:r w:rsidRPr="008379CA">
        <w:rPr>
          <w:rFonts w:ascii="Bookman Old Style" w:hAnsi="Bookman Old Style" w:cstheme="minorHAnsi"/>
          <w:lang w:val="id-ID"/>
        </w:rPr>
        <w:t>Undang-Undang Nomor 6 Tahun 2023 tentang Penetapan Peraturan Pemerintah Pengganti Undang-Undang Nomor 2 Tahun 2022 tentang Cipta Kerja</w:t>
      </w:r>
      <w:r w:rsidRPr="008379CA">
        <w:rPr>
          <w:rFonts w:ascii="Bookman Old Style" w:hAnsi="Bookman Old Style" w:cs="Arial"/>
          <w:lang w:val="id-ID" w:bidi="ar-EG"/>
        </w:rPr>
        <w:t xml:space="preserve"> (Lembaran Negara Republik Indonesia Tahun 2023 Nomor 41, Tambahan Lembaran Negara Republik Indonesia Nomor 6841);</w:t>
      </w:r>
    </w:p>
    <w:p w14:paraId="7464673C" w14:textId="77777777" w:rsidR="00256727" w:rsidRPr="008379CA" w:rsidRDefault="00256727" w:rsidP="00F615FB">
      <w:pPr>
        <w:numPr>
          <w:ilvl w:val="0"/>
          <w:numId w:val="269"/>
        </w:numPr>
        <w:tabs>
          <w:tab w:val="left" w:pos="1620"/>
          <w:tab w:val="left" w:pos="1710"/>
          <w:tab w:val="left" w:pos="1800"/>
          <w:tab w:val="left" w:pos="2157"/>
        </w:tabs>
        <w:spacing w:line="360" w:lineRule="exact"/>
        <w:ind w:left="2880" w:right="29" w:hanging="446"/>
        <w:jc w:val="both"/>
        <w:rPr>
          <w:rFonts w:ascii="Bookman Old Style" w:hAnsi="Bookman Old Style"/>
          <w:lang w:val="id-ID"/>
        </w:rPr>
      </w:pPr>
      <w:r w:rsidRPr="008379CA">
        <w:rPr>
          <w:rFonts w:ascii="Bookman Old Style" w:hAnsi="Bookman Old Style" w:cs="Arial"/>
          <w:lang w:val="id-ID"/>
        </w:rPr>
        <w:t xml:space="preserve">Undang-Undang Nomor 1 Tahun 2022 tentang </w:t>
      </w:r>
      <w:r w:rsidRPr="008379CA">
        <w:rPr>
          <w:rFonts w:ascii="Bookman Old Style" w:hAnsi="Bookman Old Style"/>
          <w:lang w:val="id-ID"/>
        </w:rPr>
        <w:t>Hubungan Keuangan Antara Pemerintah Pusat</w:t>
      </w:r>
      <w:r w:rsidRPr="008379CA">
        <w:rPr>
          <w:rFonts w:ascii="Bookman Old Style" w:hAnsi="Bookman Old Style"/>
          <w:lang w:val="id-ID"/>
        </w:rPr>
        <w:br/>
        <w:t xml:space="preserve">dan Pemerintahan Daerah </w:t>
      </w:r>
      <w:r w:rsidRPr="008379CA">
        <w:rPr>
          <w:rFonts w:ascii="Bookman Old Style" w:hAnsi="Bookman Old Style" w:cs="Arial"/>
          <w:lang w:val="id-ID"/>
        </w:rPr>
        <w:t>(Lembaran Negara Republik Indonesia Tahun 2022 Nomor 4, Tambahan Lembaran Negara Republik Indonesia Nomor 6757);</w:t>
      </w:r>
    </w:p>
    <w:p w14:paraId="4AD96447" w14:textId="77777777" w:rsidR="00256727" w:rsidRPr="008379CA" w:rsidRDefault="00256727" w:rsidP="00F615FB">
      <w:pPr>
        <w:numPr>
          <w:ilvl w:val="0"/>
          <w:numId w:val="269"/>
        </w:numPr>
        <w:tabs>
          <w:tab w:val="left" w:pos="2070"/>
          <w:tab w:val="left" w:pos="2250"/>
        </w:tabs>
        <w:spacing w:line="360" w:lineRule="exact"/>
        <w:ind w:left="2880" w:hanging="450"/>
        <w:jc w:val="both"/>
        <w:rPr>
          <w:rFonts w:ascii="Bookman Old Style" w:hAnsi="Bookman Old Style" w:cs="Arial"/>
          <w:lang w:val="id-ID"/>
        </w:rPr>
      </w:pPr>
      <w:r w:rsidRPr="008379CA">
        <w:rPr>
          <w:rFonts w:ascii="Bookman Old Style" w:hAnsi="Bookman Old Style"/>
          <w:lang w:val="id-ID"/>
        </w:rPr>
        <w:t>Peraturan Pemerintah Nomor 109 Tahun 2000 tentang Kedudukan Keuangan Kepala Daerah dan Wakil Kepala Daerah (</w:t>
      </w:r>
      <w:r w:rsidRPr="008379CA">
        <w:rPr>
          <w:rFonts w:ascii="Bookman Old Style" w:hAnsi="Bookman Old Style" w:cs="Book Antiqua"/>
          <w:lang w:val="id-ID"/>
        </w:rPr>
        <w:t>Lembaran Negara Republik Indonesia Tahun 2000 Nomor 210, Tambahan Lembaran Negara Republik Indonesia Nomor 4028)</w:t>
      </w:r>
      <w:r w:rsidRPr="008379CA">
        <w:rPr>
          <w:rFonts w:ascii="Bookman Old Style" w:hAnsi="Bookman Old Style"/>
          <w:lang w:val="id-ID"/>
        </w:rPr>
        <w:t>;</w:t>
      </w:r>
    </w:p>
    <w:p w14:paraId="10E8DED3" w14:textId="77777777" w:rsidR="00256727" w:rsidRPr="008379CA" w:rsidRDefault="00256727" w:rsidP="00F615FB">
      <w:pPr>
        <w:numPr>
          <w:ilvl w:val="0"/>
          <w:numId w:val="269"/>
        </w:numPr>
        <w:tabs>
          <w:tab w:val="left" w:pos="2070"/>
          <w:tab w:val="left" w:pos="2250"/>
        </w:tabs>
        <w:spacing w:line="360" w:lineRule="exact"/>
        <w:ind w:left="2880" w:hanging="450"/>
        <w:jc w:val="both"/>
        <w:rPr>
          <w:rFonts w:ascii="Bookman Old Style" w:hAnsi="Bookman Old Style" w:cs="Arial"/>
          <w:lang w:val="id-ID"/>
        </w:rPr>
      </w:pPr>
      <w:r w:rsidRPr="008379CA">
        <w:rPr>
          <w:rFonts w:ascii="Bookman Old Style" w:hAnsi="Bookman Old Style"/>
          <w:lang w:val="id-ID"/>
        </w:rPr>
        <w:t>Peraturan Pemerintah Nomor 39 Tahun 2007 tentang Pengelolaan Uang Negara/Daerah (</w:t>
      </w:r>
      <w:r w:rsidRPr="008379CA">
        <w:rPr>
          <w:rFonts w:ascii="Bookman Old Style" w:hAnsi="Bookman Old Style" w:cs="Book Antiqua"/>
          <w:lang w:val="id-ID"/>
        </w:rPr>
        <w:t>Lembaran Negara Republik Indonesia Tahun 2007 Nomor 83, Tambahan Lembaran Negara Republik Indonesia Nomor 4738)</w:t>
      </w:r>
      <w:r w:rsidRPr="008379CA">
        <w:rPr>
          <w:rFonts w:ascii="Bookman Old Style" w:hAnsi="Bookman Old Style"/>
          <w:lang w:val="id-ID"/>
        </w:rPr>
        <w:t>;</w:t>
      </w:r>
    </w:p>
    <w:p w14:paraId="50B8EEC3" w14:textId="77777777" w:rsidR="00256727" w:rsidRPr="008379CA" w:rsidRDefault="00256727" w:rsidP="00F615FB">
      <w:pPr>
        <w:numPr>
          <w:ilvl w:val="0"/>
          <w:numId w:val="269"/>
        </w:numPr>
        <w:tabs>
          <w:tab w:val="left" w:pos="2070"/>
          <w:tab w:val="left" w:pos="2250"/>
        </w:tabs>
        <w:spacing w:line="360" w:lineRule="exact"/>
        <w:ind w:left="2880" w:hanging="450"/>
        <w:jc w:val="both"/>
        <w:rPr>
          <w:rFonts w:ascii="Bookman Old Style" w:hAnsi="Bookman Old Style" w:cs="Arial"/>
          <w:lang w:val="id-ID"/>
        </w:rPr>
      </w:pPr>
      <w:r w:rsidRPr="008379CA">
        <w:rPr>
          <w:rFonts w:ascii="Bookman Old Style" w:hAnsi="Bookman Old Style"/>
          <w:lang w:val="id-ID"/>
        </w:rPr>
        <w:t>Peraturan Pemerintah Nomor 12 Tahun 2017 tentang Pembinaan dan Pengawasan Penyelenggaraan Pemerintahan Daerah (</w:t>
      </w:r>
      <w:r w:rsidRPr="008379CA">
        <w:rPr>
          <w:rFonts w:ascii="Bookman Old Style" w:hAnsi="Bookman Old Style" w:cs="Book Antiqua"/>
          <w:lang w:val="id-ID"/>
        </w:rPr>
        <w:t>Lembaran Negara Republik Indonesia Tahun 2017 Nomor 73, Tambahan Lembaran Negara Republik Indonesia Nomor 6041)</w:t>
      </w:r>
      <w:r w:rsidRPr="008379CA">
        <w:rPr>
          <w:rFonts w:ascii="Bookman Old Style" w:hAnsi="Bookman Old Style"/>
          <w:lang w:val="id-ID"/>
        </w:rPr>
        <w:t>;</w:t>
      </w:r>
    </w:p>
    <w:p w14:paraId="61AC8BD3" w14:textId="77777777" w:rsidR="00256727" w:rsidRPr="008379CA" w:rsidRDefault="00256727" w:rsidP="00F615FB">
      <w:pPr>
        <w:numPr>
          <w:ilvl w:val="0"/>
          <w:numId w:val="269"/>
        </w:numPr>
        <w:tabs>
          <w:tab w:val="left" w:pos="2070"/>
          <w:tab w:val="left" w:pos="2250"/>
        </w:tabs>
        <w:spacing w:line="360" w:lineRule="exact"/>
        <w:ind w:left="2880" w:hanging="448"/>
        <w:jc w:val="both"/>
        <w:rPr>
          <w:rFonts w:ascii="Bookman Old Style" w:hAnsi="Bookman Old Style" w:cs="Arial"/>
          <w:lang w:val="id-ID"/>
        </w:rPr>
      </w:pPr>
      <w:r w:rsidRPr="008379CA">
        <w:rPr>
          <w:rFonts w:ascii="Bookman Old Style" w:hAnsi="Bookman Old Style"/>
          <w:lang w:val="id-ID"/>
        </w:rPr>
        <w:t xml:space="preserve">Peraturan Pemerintah Nomor 18 Tahun 2017 tentang Hak Keuangan dan Administratif </w:t>
      </w:r>
      <w:r w:rsidRPr="008379CA">
        <w:rPr>
          <w:rFonts w:ascii="Bookman Old Style" w:hAnsi="Bookman Old Style"/>
          <w:lang w:val="id-ID"/>
        </w:rPr>
        <w:lastRenderedPageBreak/>
        <w:t>Pimpinan Dan Anggota Dewan Perwakilan Rakyat Daerah (</w:t>
      </w:r>
      <w:r w:rsidRPr="008379CA">
        <w:rPr>
          <w:rFonts w:ascii="Bookman Old Style" w:hAnsi="Bookman Old Style" w:cs="Book Antiqua"/>
          <w:lang w:val="id-ID"/>
        </w:rPr>
        <w:t xml:space="preserve">Lembaran Negara Republik Indonesia Tahun 2017 Nomor 106, Tambahan Lembaran Negara Republik Indonesia Nomor 6057) sebagaimana telah diubah dengan Peraturan Pemerintah Nomor 1 Tahun 2023 tentang Perubahan atas Peraturan Pemerintah Nomor 18 Tahun 2017 tentang Hak Keuangan dan Administratif Pimpinan dan Anggota Dewan Perwakilan Rakyat Daerah </w:t>
      </w:r>
      <w:r w:rsidRPr="008379CA">
        <w:rPr>
          <w:rFonts w:ascii="Bookman Old Style" w:hAnsi="Bookman Old Style"/>
          <w:lang w:val="id-ID"/>
        </w:rPr>
        <w:t>(</w:t>
      </w:r>
      <w:r w:rsidRPr="008379CA">
        <w:rPr>
          <w:rFonts w:ascii="Bookman Old Style" w:hAnsi="Bookman Old Style" w:cs="Book Antiqua"/>
          <w:lang w:val="id-ID"/>
        </w:rPr>
        <w:t>Lembaran Negara Republik Indonesia Tahun 2023 Nomor 6, Tambahan Lembaran Negara Republik Indonesia Nomor 6847)</w:t>
      </w:r>
      <w:r w:rsidRPr="008379CA">
        <w:rPr>
          <w:rFonts w:ascii="Bookman Old Style" w:hAnsi="Bookman Old Style"/>
          <w:lang w:val="id-ID"/>
        </w:rPr>
        <w:t>;</w:t>
      </w:r>
    </w:p>
    <w:p w14:paraId="337D0774" w14:textId="77777777" w:rsidR="00256727" w:rsidRPr="008379CA" w:rsidRDefault="00256727" w:rsidP="00256727">
      <w:pPr>
        <w:numPr>
          <w:ilvl w:val="0"/>
          <w:numId w:val="269"/>
        </w:numPr>
        <w:tabs>
          <w:tab w:val="left" w:pos="2070"/>
          <w:tab w:val="left" w:pos="2250"/>
        </w:tabs>
        <w:spacing w:after="120" w:line="320" w:lineRule="exact"/>
        <w:ind w:left="2880" w:hanging="448"/>
        <w:jc w:val="both"/>
        <w:rPr>
          <w:rFonts w:ascii="Bookman Old Style" w:hAnsi="Bookman Old Style" w:cs="Arial"/>
          <w:lang w:val="id-ID"/>
        </w:rPr>
      </w:pPr>
      <w:r w:rsidRPr="008379CA">
        <w:rPr>
          <w:rFonts w:ascii="Bookman Old Style" w:hAnsi="Bookman Old Style" w:cs="Arial"/>
          <w:lang w:val="id-ID"/>
        </w:rPr>
        <w:t>Peraturan Pemerintah Nomor 12 Tahun 2019 tentang Pengelolaan Keuangan Daerah (Lembaran Negara Republik Indonesia Tahun 2019 Nomor 42, Tambahan Lembaran Negara Republik Indonesia Nomor 6322);</w:t>
      </w:r>
    </w:p>
    <w:p w14:paraId="5E93B2E6" w14:textId="77777777" w:rsidR="00256727" w:rsidRPr="008379CA" w:rsidRDefault="00256727" w:rsidP="00256727">
      <w:pPr>
        <w:numPr>
          <w:ilvl w:val="0"/>
          <w:numId w:val="269"/>
        </w:numPr>
        <w:tabs>
          <w:tab w:val="left" w:pos="2070"/>
          <w:tab w:val="left" w:pos="2250"/>
        </w:tabs>
        <w:spacing w:after="120" w:line="320" w:lineRule="exact"/>
        <w:ind w:left="2880" w:hanging="448"/>
        <w:jc w:val="both"/>
        <w:rPr>
          <w:rFonts w:ascii="Bookman Old Style" w:hAnsi="Bookman Old Style" w:cs="Arial"/>
          <w:lang w:val="id-ID"/>
        </w:rPr>
      </w:pPr>
      <w:r w:rsidRPr="008379CA">
        <w:rPr>
          <w:rFonts w:ascii="Bookman Old Style" w:hAnsi="Bookman Old Style" w:cs="Arial"/>
          <w:lang w:val="id-ID"/>
        </w:rPr>
        <w:t>Peraturan Pemerintah Nomor 35 Tahun 2023 tentang Ketentuan Umum Pajak Daerah dan Retribusi Daerah (Lembaran Negara Republik Indonesia Tahun 2023 Nomor 85, Tambahan Lembaran Negara Republik Indonesia Nomor 6881);</w:t>
      </w:r>
    </w:p>
    <w:p w14:paraId="6342FF83" w14:textId="77777777" w:rsidR="00256727" w:rsidRPr="008379CA" w:rsidRDefault="00256727" w:rsidP="00256727">
      <w:pPr>
        <w:numPr>
          <w:ilvl w:val="0"/>
          <w:numId w:val="269"/>
        </w:numPr>
        <w:tabs>
          <w:tab w:val="left" w:pos="2070"/>
          <w:tab w:val="left" w:pos="2250"/>
        </w:tabs>
        <w:spacing w:after="120" w:line="320" w:lineRule="exact"/>
        <w:ind w:left="2880" w:hanging="448"/>
        <w:jc w:val="both"/>
        <w:rPr>
          <w:rFonts w:ascii="Bookman Old Style" w:hAnsi="Bookman Old Style" w:cs="Arial"/>
          <w:lang w:val="id-ID"/>
        </w:rPr>
      </w:pPr>
      <w:r w:rsidRPr="008379CA">
        <w:rPr>
          <w:rFonts w:ascii="Bookman Old Style" w:hAnsi="Bookman Old Style" w:cs="Arial"/>
          <w:lang w:val="id-ID"/>
        </w:rPr>
        <w:t>Peraturan Pemerintah Nomor 37 Tahun 2023 tentang Pengelolaan Transfer Ke Daerah (Lembaran Negara Republik Indonesia Tahun 2023 Nomor 100, Tambahan Lembaran Negara Republik Indonesia Nomor 6883);</w:t>
      </w:r>
    </w:p>
    <w:p w14:paraId="1C513C41" w14:textId="77777777" w:rsidR="00256727" w:rsidRPr="008379CA" w:rsidRDefault="00256727" w:rsidP="00256727">
      <w:pPr>
        <w:numPr>
          <w:ilvl w:val="0"/>
          <w:numId w:val="269"/>
        </w:numPr>
        <w:tabs>
          <w:tab w:val="left" w:pos="2070"/>
          <w:tab w:val="left" w:pos="2250"/>
        </w:tabs>
        <w:spacing w:after="120" w:line="320" w:lineRule="exact"/>
        <w:ind w:left="2880" w:hanging="448"/>
        <w:jc w:val="both"/>
        <w:rPr>
          <w:rFonts w:ascii="Bookman Old Style" w:hAnsi="Bookman Old Style" w:cs="Arial"/>
          <w:lang w:val="id-ID"/>
        </w:rPr>
      </w:pPr>
      <w:r w:rsidRPr="008379CA">
        <w:rPr>
          <w:rFonts w:ascii="Bookman Old Style" w:hAnsi="Bookman Old Style" w:cs="Arial"/>
          <w:lang w:val="id-ID"/>
        </w:rPr>
        <w:t xml:space="preserve">Peraturan Pemerintah Nomor 1 Tahun 2024 tentang Harmonisasi Kebijakan Fiskal Nasional (Lembaran Negara Republik Indonesia Tahun 2024 Nomor 2, Tambahan Lembaran Negara Republik Indonesia Nomor 69061); </w:t>
      </w:r>
    </w:p>
    <w:p w14:paraId="73814029" w14:textId="77777777" w:rsidR="00256727" w:rsidRPr="008379CA" w:rsidRDefault="00256727" w:rsidP="00256727">
      <w:pPr>
        <w:numPr>
          <w:ilvl w:val="0"/>
          <w:numId w:val="269"/>
        </w:numPr>
        <w:tabs>
          <w:tab w:val="left" w:pos="2070"/>
          <w:tab w:val="left" w:pos="2250"/>
        </w:tabs>
        <w:spacing w:after="120" w:line="320" w:lineRule="exact"/>
        <w:ind w:left="2880" w:hanging="448"/>
        <w:jc w:val="both"/>
        <w:rPr>
          <w:rFonts w:ascii="Bookman Old Style" w:hAnsi="Bookman Old Style" w:cs="Arial"/>
          <w:lang w:val="sv-FI"/>
        </w:rPr>
      </w:pPr>
      <w:r w:rsidRPr="008379CA">
        <w:rPr>
          <w:rFonts w:ascii="Bookman Old Style" w:hAnsi="Bookman Old Style" w:cs="Arial"/>
          <w:lang w:val="id-ID"/>
        </w:rPr>
        <w:t xml:space="preserve">Peraturan Menteri Dalam Negeri Nomor </w:t>
      </w:r>
      <w:r w:rsidRPr="008379CA">
        <w:rPr>
          <w:rFonts w:ascii="Bookman Old Style" w:hAnsi="Bookman Old Style" w:cs="Arial"/>
          <w:lang w:val="sv-FI"/>
        </w:rPr>
        <w:t>52</w:t>
      </w:r>
      <w:r w:rsidRPr="008379CA">
        <w:rPr>
          <w:rFonts w:ascii="Bookman Old Style" w:hAnsi="Bookman Old Style" w:cs="Arial"/>
          <w:lang w:val="id-ID"/>
        </w:rPr>
        <w:t xml:space="preserve"> Tahun 20</w:t>
      </w:r>
      <w:r w:rsidRPr="008379CA">
        <w:rPr>
          <w:rFonts w:ascii="Bookman Old Style" w:hAnsi="Bookman Old Style" w:cs="Arial"/>
          <w:lang w:val="sv-FI"/>
        </w:rPr>
        <w:t>12</w:t>
      </w:r>
      <w:r w:rsidRPr="008379CA">
        <w:rPr>
          <w:rFonts w:ascii="Bookman Old Style" w:hAnsi="Bookman Old Style" w:cs="Arial"/>
          <w:lang w:val="id-ID"/>
        </w:rPr>
        <w:t xml:space="preserve"> tentang Pedoman Pengelolaan </w:t>
      </w:r>
      <w:r w:rsidRPr="008379CA">
        <w:rPr>
          <w:rFonts w:ascii="Bookman Old Style" w:hAnsi="Bookman Old Style" w:cs="Arial"/>
          <w:lang w:val="sv-FI"/>
        </w:rPr>
        <w:t>Investasi Pemerintah</w:t>
      </w:r>
      <w:r w:rsidRPr="008379CA">
        <w:rPr>
          <w:rFonts w:ascii="Bookman Old Style" w:hAnsi="Bookman Old Style" w:cs="Arial"/>
          <w:lang w:val="id-ID"/>
        </w:rPr>
        <w:t xml:space="preserve"> Daerah (</w:t>
      </w:r>
      <w:r w:rsidRPr="008379CA">
        <w:rPr>
          <w:rFonts w:ascii="Bookman Old Style" w:hAnsi="Bookman Old Style"/>
          <w:lang w:val="sv-FI"/>
        </w:rPr>
        <w:t>Berita Negara Republik Indonesia Tahun 2012 Nomor 754</w:t>
      </w:r>
      <w:r w:rsidRPr="008379CA">
        <w:rPr>
          <w:rFonts w:ascii="Bookman Old Style" w:hAnsi="Bookman Old Style"/>
          <w:lang w:val="id-ID"/>
        </w:rPr>
        <w:t>)</w:t>
      </w:r>
      <w:r w:rsidRPr="008379CA">
        <w:rPr>
          <w:rFonts w:ascii="Bookman Old Style" w:hAnsi="Bookman Old Style" w:cs="Arial"/>
          <w:lang w:val="id-ID"/>
        </w:rPr>
        <w:t>;</w:t>
      </w:r>
    </w:p>
    <w:p w14:paraId="408747BA" w14:textId="77777777" w:rsidR="00256727" w:rsidRPr="008379CA" w:rsidRDefault="00256727" w:rsidP="00256727">
      <w:pPr>
        <w:numPr>
          <w:ilvl w:val="0"/>
          <w:numId w:val="269"/>
        </w:numPr>
        <w:tabs>
          <w:tab w:val="left" w:pos="2070"/>
          <w:tab w:val="left" w:pos="2250"/>
        </w:tabs>
        <w:spacing w:after="120" w:line="320" w:lineRule="exact"/>
        <w:ind w:left="2880" w:hanging="448"/>
        <w:jc w:val="both"/>
        <w:rPr>
          <w:rFonts w:ascii="Bookman Old Style" w:hAnsi="Bookman Old Style" w:cs="Arial"/>
          <w:lang w:val="sv-FI"/>
        </w:rPr>
      </w:pPr>
      <w:r w:rsidRPr="008379CA">
        <w:rPr>
          <w:rFonts w:ascii="Bookman Old Style" w:hAnsi="Bookman Old Style" w:cs="Arial"/>
          <w:lang w:val="id-ID"/>
        </w:rPr>
        <w:t xml:space="preserve">Peraturan Menteri Dalam Negeri Nomor </w:t>
      </w:r>
      <w:r w:rsidRPr="008379CA">
        <w:rPr>
          <w:rFonts w:ascii="Bookman Old Style" w:hAnsi="Bookman Old Style" w:cs="Arial"/>
          <w:lang w:val="sv-FI"/>
        </w:rPr>
        <w:t>62</w:t>
      </w:r>
      <w:r w:rsidRPr="008379CA">
        <w:rPr>
          <w:rFonts w:ascii="Bookman Old Style" w:hAnsi="Bookman Old Style" w:cs="Arial"/>
          <w:lang w:val="id-ID"/>
        </w:rPr>
        <w:t xml:space="preserve"> Tahun 20</w:t>
      </w:r>
      <w:r w:rsidRPr="008379CA">
        <w:rPr>
          <w:rFonts w:ascii="Bookman Old Style" w:hAnsi="Bookman Old Style" w:cs="Arial"/>
          <w:lang w:val="sv-FI"/>
        </w:rPr>
        <w:t>17</w:t>
      </w:r>
      <w:r w:rsidRPr="008379CA">
        <w:rPr>
          <w:rFonts w:ascii="Bookman Old Style" w:hAnsi="Bookman Old Style" w:cs="Arial"/>
          <w:lang w:val="id-ID"/>
        </w:rPr>
        <w:t xml:space="preserve"> tentang </w:t>
      </w:r>
      <w:r w:rsidRPr="008379CA">
        <w:rPr>
          <w:rFonts w:ascii="Bookman Old Style" w:hAnsi="Bookman Old Style"/>
          <w:lang w:val="sv-FI"/>
        </w:rPr>
        <w:t xml:space="preserve">Pengelompokan Kemampuan Keuangan Daerah Serta Pelaksanaan </w:t>
      </w:r>
      <w:r w:rsidRPr="008379CA">
        <w:rPr>
          <w:rFonts w:ascii="Bookman Old Style" w:hAnsi="Bookman Old Style"/>
          <w:lang w:val="id-ID"/>
        </w:rPr>
        <w:t>d</w:t>
      </w:r>
      <w:r w:rsidRPr="008379CA">
        <w:rPr>
          <w:rFonts w:ascii="Bookman Old Style" w:hAnsi="Bookman Old Style"/>
          <w:lang w:val="sv-FI"/>
        </w:rPr>
        <w:t xml:space="preserve">an Pertanggungjawaban Dana Operasional </w:t>
      </w:r>
      <w:r w:rsidRPr="008379CA">
        <w:rPr>
          <w:rFonts w:ascii="Bookman Old Style" w:hAnsi="Bookman Old Style" w:cs="Arial"/>
          <w:lang w:val="id-ID"/>
        </w:rPr>
        <w:t>(</w:t>
      </w:r>
      <w:r w:rsidRPr="008379CA">
        <w:rPr>
          <w:rFonts w:ascii="Bookman Old Style" w:hAnsi="Bookman Old Style"/>
          <w:lang w:val="sv-FI"/>
        </w:rPr>
        <w:t>Berita Negara Republik Indonesia Tahun 2017 Nomor 1067</w:t>
      </w:r>
      <w:r w:rsidRPr="008379CA">
        <w:rPr>
          <w:rFonts w:ascii="Bookman Old Style" w:hAnsi="Bookman Old Style"/>
          <w:lang w:val="id-ID"/>
        </w:rPr>
        <w:t>)</w:t>
      </w:r>
      <w:r w:rsidRPr="008379CA">
        <w:rPr>
          <w:rFonts w:ascii="Bookman Old Style" w:hAnsi="Bookman Old Style" w:cs="Arial"/>
          <w:lang w:val="id-ID"/>
        </w:rPr>
        <w:t>;</w:t>
      </w:r>
    </w:p>
    <w:p w14:paraId="20D77487" w14:textId="77777777" w:rsidR="00256727" w:rsidRPr="008379CA" w:rsidRDefault="00256727" w:rsidP="00256727">
      <w:pPr>
        <w:numPr>
          <w:ilvl w:val="0"/>
          <w:numId w:val="269"/>
        </w:numPr>
        <w:tabs>
          <w:tab w:val="left" w:pos="2070"/>
          <w:tab w:val="left" w:pos="2250"/>
        </w:tabs>
        <w:spacing w:after="120" w:line="320" w:lineRule="exact"/>
        <w:ind w:left="2880" w:hanging="448"/>
        <w:jc w:val="both"/>
        <w:rPr>
          <w:rFonts w:ascii="Bookman Old Style" w:hAnsi="Bookman Old Style" w:cs="Arial"/>
          <w:lang w:val="sv-FI"/>
        </w:rPr>
      </w:pPr>
      <w:r w:rsidRPr="008379CA">
        <w:rPr>
          <w:rFonts w:ascii="Bookman Old Style" w:hAnsi="Bookman Old Style" w:cs="Arial"/>
          <w:lang w:val="id-ID"/>
        </w:rPr>
        <w:lastRenderedPageBreak/>
        <w:t xml:space="preserve">Peraturan Menteri Dalam Negeri Nomor </w:t>
      </w:r>
      <w:r w:rsidRPr="008379CA">
        <w:rPr>
          <w:rFonts w:ascii="Bookman Old Style" w:hAnsi="Bookman Old Style" w:cs="Arial"/>
          <w:lang w:val="sv-FI"/>
        </w:rPr>
        <w:t>70</w:t>
      </w:r>
      <w:r w:rsidRPr="008379CA">
        <w:rPr>
          <w:rFonts w:ascii="Bookman Old Style" w:hAnsi="Bookman Old Style" w:cs="Arial"/>
          <w:lang w:val="id-ID"/>
        </w:rPr>
        <w:t xml:space="preserve"> Tahun 20</w:t>
      </w:r>
      <w:r w:rsidRPr="008379CA">
        <w:rPr>
          <w:rFonts w:ascii="Bookman Old Style" w:hAnsi="Bookman Old Style" w:cs="Arial"/>
          <w:lang w:val="sv-FI"/>
        </w:rPr>
        <w:t>19</w:t>
      </w:r>
      <w:r w:rsidRPr="008379CA">
        <w:rPr>
          <w:rFonts w:ascii="Bookman Old Style" w:hAnsi="Bookman Old Style" w:cs="Arial"/>
          <w:lang w:val="id-ID"/>
        </w:rPr>
        <w:t xml:space="preserve"> tentang </w:t>
      </w:r>
      <w:r w:rsidRPr="008379CA">
        <w:rPr>
          <w:rFonts w:ascii="Bookman Old Style" w:hAnsi="Bookman Old Style"/>
          <w:lang w:val="sv-FI"/>
        </w:rPr>
        <w:t xml:space="preserve">Sistem Informasi Pemerintahan Daerah </w:t>
      </w:r>
      <w:r w:rsidRPr="008379CA">
        <w:rPr>
          <w:rFonts w:ascii="Bookman Old Style" w:hAnsi="Bookman Old Style" w:cs="Arial"/>
          <w:lang w:val="id-ID"/>
        </w:rPr>
        <w:t>(</w:t>
      </w:r>
      <w:r w:rsidRPr="008379CA">
        <w:rPr>
          <w:rFonts w:ascii="Bookman Old Style" w:hAnsi="Bookman Old Style"/>
          <w:lang w:val="sv-FI"/>
        </w:rPr>
        <w:t>Berita Negara Republik Indonesia Tahun 2019 Nomor 1114</w:t>
      </w:r>
      <w:r w:rsidRPr="008379CA">
        <w:rPr>
          <w:rFonts w:ascii="Bookman Old Style" w:hAnsi="Bookman Old Style"/>
          <w:lang w:val="id-ID"/>
        </w:rPr>
        <w:t>)</w:t>
      </w:r>
      <w:r w:rsidRPr="008379CA">
        <w:rPr>
          <w:rFonts w:ascii="Bookman Old Style" w:hAnsi="Bookman Old Style" w:cs="Arial"/>
          <w:lang w:val="id-ID"/>
        </w:rPr>
        <w:t>;</w:t>
      </w:r>
    </w:p>
    <w:p w14:paraId="049E1D3D" w14:textId="77777777" w:rsidR="00256727" w:rsidRPr="008379CA" w:rsidRDefault="00256727" w:rsidP="00F615FB">
      <w:pPr>
        <w:numPr>
          <w:ilvl w:val="0"/>
          <w:numId w:val="269"/>
        </w:numPr>
        <w:tabs>
          <w:tab w:val="left" w:pos="2070"/>
          <w:tab w:val="left" w:pos="2250"/>
        </w:tabs>
        <w:spacing w:line="360" w:lineRule="exact"/>
        <w:ind w:left="2880" w:hanging="448"/>
        <w:jc w:val="both"/>
        <w:rPr>
          <w:rFonts w:ascii="Bookman Old Style" w:hAnsi="Bookman Old Style" w:cs="Arial"/>
          <w:lang w:val="sv-FI"/>
        </w:rPr>
      </w:pPr>
      <w:r w:rsidRPr="008379CA">
        <w:rPr>
          <w:rFonts w:ascii="Bookman Old Style" w:hAnsi="Bookman Old Style" w:cs="Arial"/>
          <w:lang w:val="id-ID"/>
        </w:rPr>
        <w:t xml:space="preserve">Peraturan Menteri Dalam Negeri Nomor </w:t>
      </w:r>
      <w:r w:rsidRPr="008379CA">
        <w:rPr>
          <w:rFonts w:ascii="Bookman Old Style" w:hAnsi="Bookman Old Style" w:cs="Arial"/>
          <w:lang w:val="sv-FI"/>
        </w:rPr>
        <w:t>90</w:t>
      </w:r>
      <w:r w:rsidRPr="008379CA">
        <w:rPr>
          <w:rFonts w:ascii="Bookman Old Style" w:hAnsi="Bookman Old Style" w:cs="Arial"/>
          <w:lang w:val="id-ID"/>
        </w:rPr>
        <w:t xml:space="preserve"> Tahun 20</w:t>
      </w:r>
      <w:r w:rsidRPr="008379CA">
        <w:rPr>
          <w:rFonts w:ascii="Bookman Old Style" w:hAnsi="Bookman Old Style" w:cs="Arial"/>
          <w:lang w:val="sv-FI"/>
        </w:rPr>
        <w:t xml:space="preserve">19 </w:t>
      </w:r>
      <w:r w:rsidRPr="008379CA">
        <w:rPr>
          <w:rFonts w:ascii="Bookman Old Style" w:hAnsi="Bookman Old Style" w:cs="Arial"/>
          <w:lang w:val="id-ID"/>
        </w:rPr>
        <w:t xml:space="preserve">tentang </w:t>
      </w:r>
      <w:r w:rsidRPr="008379CA">
        <w:rPr>
          <w:rFonts w:ascii="Bookman Old Style" w:hAnsi="Bookman Old Style" w:cs="Arial"/>
          <w:lang w:val="sv-FI"/>
        </w:rPr>
        <w:t xml:space="preserve">Klasifikasi, Kodefikasi, dan Nomenklatur Perencanaan Pembangunan dan Keuangan Daerah </w:t>
      </w:r>
      <w:r w:rsidRPr="008379CA">
        <w:rPr>
          <w:rFonts w:ascii="Bookman Old Style" w:hAnsi="Bookman Old Style" w:cs="Arial"/>
          <w:lang w:val="id-ID"/>
        </w:rPr>
        <w:t>(</w:t>
      </w:r>
      <w:r w:rsidRPr="008379CA">
        <w:rPr>
          <w:rFonts w:ascii="Bookman Old Style" w:hAnsi="Bookman Old Style"/>
          <w:lang w:val="sv-FI"/>
        </w:rPr>
        <w:t>Berita Negara Republik Indonesia Tahun 2019 Nomor 1447</w:t>
      </w:r>
      <w:r w:rsidRPr="008379CA">
        <w:rPr>
          <w:rFonts w:ascii="Bookman Old Style" w:hAnsi="Bookman Old Style"/>
          <w:lang w:val="id-ID"/>
        </w:rPr>
        <w:t>)</w:t>
      </w:r>
      <w:r w:rsidRPr="008379CA">
        <w:rPr>
          <w:rFonts w:ascii="Bookman Old Style" w:hAnsi="Bookman Old Style" w:cs="Arial"/>
          <w:lang w:val="id-ID"/>
        </w:rPr>
        <w:t>;</w:t>
      </w:r>
    </w:p>
    <w:p w14:paraId="40D4577F" w14:textId="77777777" w:rsidR="00256727" w:rsidRPr="008379CA" w:rsidRDefault="00256727" w:rsidP="00F615FB">
      <w:pPr>
        <w:numPr>
          <w:ilvl w:val="0"/>
          <w:numId w:val="269"/>
        </w:numPr>
        <w:tabs>
          <w:tab w:val="left" w:pos="2070"/>
          <w:tab w:val="left" w:pos="2250"/>
        </w:tabs>
        <w:spacing w:line="360" w:lineRule="exact"/>
        <w:ind w:left="2880" w:hanging="448"/>
        <w:jc w:val="both"/>
        <w:rPr>
          <w:rFonts w:ascii="Bookman Old Style" w:hAnsi="Bookman Old Style" w:cs="Arial"/>
          <w:lang w:val="sv-FI"/>
        </w:rPr>
      </w:pPr>
      <w:r w:rsidRPr="008379CA">
        <w:rPr>
          <w:rFonts w:ascii="Bookman Old Style" w:hAnsi="Bookman Old Style" w:cs="Arial"/>
          <w:lang w:val="id-ID"/>
        </w:rPr>
        <w:t>Peraturan Menteri Dalam Negeri Nomor 77 Tahun 2020 tenta</w:t>
      </w:r>
      <w:r w:rsidRPr="008379CA">
        <w:rPr>
          <w:rFonts w:ascii="Bookman Old Style" w:hAnsi="Bookman Old Style" w:cs="Arial"/>
          <w:lang w:val="id-ID" w:bidi="ar-EG"/>
        </w:rPr>
        <w:t>n</w:t>
      </w:r>
      <w:r w:rsidRPr="008379CA">
        <w:rPr>
          <w:rFonts w:ascii="Bookman Old Style" w:hAnsi="Bookman Old Style" w:cs="Arial"/>
          <w:lang w:val="id-ID"/>
        </w:rPr>
        <w:t>g Pedoman Teknis Pengelolaan Keuangan Daerah (Berita Negara Republik Indonesia Tahun 2020 Nomor 1781);</w:t>
      </w:r>
    </w:p>
    <w:p w14:paraId="2D2D6EAA" w14:textId="77777777" w:rsidR="00256727" w:rsidRPr="008379CA" w:rsidRDefault="00256727" w:rsidP="00F615FB">
      <w:pPr>
        <w:numPr>
          <w:ilvl w:val="0"/>
          <w:numId w:val="269"/>
        </w:numPr>
        <w:tabs>
          <w:tab w:val="left" w:pos="2070"/>
          <w:tab w:val="left" w:pos="2250"/>
        </w:tabs>
        <w:spacing w:line="360" w:lineRule="exact"/>
        <w:ind w:left="2880" w:hanging="446"/>
        <w:jc w:val="both"/>
        <w:rPr>
          <w:rFonts w:ascii="Bookman Old Style" w:hAnsi="Bookman Old Style"/>
          <w:lang w:val="sv-FI"/>
        </w:rPr>
      </w:pPr>
      <w:r w:rsidRPr="008379CA">
        <w:rPr>
          <w:rFonts w:ascii="Bookman Old Style" w:hAnsi="Bookman Old Style"/>
          <w:lang w:val="sv-FI"/>
        </w:rPr>
        <w:t xml:space="preserve">Peraturan Menteri Dalam Negeri Nomor </w:t>
      </w:r>
      <w:r w:rsidRPr="008379CA">
        <w:rPr>
          <w:rFonts w:ascii="Bookman Old Style" w:hAnsi="Bookman Old Style"/>
          <w:lang w:val="id-ID"/>
        </w:rPr>
        <w:t>9</w:t>
      </w:r>
      <w:r w:rsidRPr="008379CA">
        <w:rPr>
          <w:rFonts w:ascii="Bookman Old Style" w:hAnsi="Bookman Old Style"/>
          <w:lang w:val="sv-FI"/>
        </w:rPr>
        <w:t xml:space="preserve"> Tahun 20</w:t>
      </w:r>
      <w:r w:rsidRPr="008379CA">
        <w:rPr>
          <w:rFonts w:ascii="Bookman Old Style" w:hAnsi="Bookman Old Style"/>
          <w:lang w:val="id-ID"/>
        </w:rPr>
        <w:t>21</w:t>
      </w:r>
      <w:r w:rsidRPr="008379CA">
        <w:rPr>
          <w:rFonts w:ascii="Bookman Old Style" w:hAnsi="Bookman Old Style"/>
          <w:lang w:val="sv-FI"/>
        </w:rPr>
        <w:t xml:space="preserve"> tentang Tata Cara Evaluasi Rancangan Peraturan Daerah Tentang Anggaran Pendapatan Dan Belanja Daerah, Rancangan Peraturan Daerah Tentang Perubahan Anggaran Pendapatan Dan Belanja Daerah, Rancangan Peraturan Kepala Daerah Tentang Penjabaran Anggaran Pendapatan Dan Belanja Daerah, Dan Rancangan Peraturan Kepala Daerah Tentang Penjabaran Perubahan Anggaran Pendapatan Dan Belanja Daerah </w:t>
      </w:r>
      <w:r w:rsidRPr="008379CA">
        <w:rPr>
          <w:rFonts w:ascii="Bookman Old Style" w:hAnsi="Bookman Old Style" w:cs="Arial"/>
          <w:lang w:val="id-ID"/>
        </w:rPr>
        <w:t>(</w:t>
      </w:r>
      <w:r w:rsidRPr="008379CA">
        <w:rPr>
          <w:rFonts w:ascii="Bookman Old Style" w:hAnsi="Bookman Old Style" w:cs="Arial"/>
          <w:lang w:val="sv-FI"/>
        </w:rPr>
        <w:t>B</w:t>
      </w:r>
      <w:r w:rsidRPr="008379CA">
        <w:rPr>
          <w:rFonts w:ascii="Bookman Old Style" w:hAnsi="Bookman Old Style"/>
          <w:lang w:val="sv-FI"/>
        </w:rPr>
        <w:t>erita Negara Republik Indonesia Tahun 2021 Nomor 431)</w:t>
      </w:r>
      <w:r w:rsidRPr="008379CA">
        <w:rPr>
          <w:rFonts w:ascii="Bookman Old Style" w:hAnsi="Bookman Old Style" w:cs="Arial"/>
          <w:lang w:val="id-ID"/>
        </w:rPr>
        <w:t>;</w:t>
      </w:r>
    </w:p>
    <w:p w14:paraId="42FB4D32" w14:textId="03773E5F" w:rsidR="00256727" w:rsidRPr="00C25332" w:rsidRDefault="00256727" w:rsidP="00F615FB">
      <w:pPr>
        <w:numPr>
          <w:ilvl w:val="0"/>
          <w:numId w:val="269"/>
        </w:numPr>
        <w:tabs>
          <w:tab w:val="left" w:pos="2070"/>
          <w:tab w:val="left" w:pos="2250"/>
        </w:tabs>
        <w:spacing w:line="360" w:lineRule="exact"/>
        <w:ind w:left="2880" w:hanging="446"/>
        <w:jc w:val="both"/>
        <w:rPr>
          <w:rFonts w:ascii="Bookman Old Style" w:hAnsi="Bookman Old Style"/>
          <w:lang w:val="sv-FI"/>
        </w:rPr>
      </w:pPr>
      <w:r w:rsidRPr="008379CA">
        <w:rPr>
          <w:rFonts w:ascii="Bookman Old Style" w:hAnsi="Bookman Old Style"/>
          <w:lang w:val="id-ID"/>
        </w:rPr>
        <w:t>Peraturan Menteri Dalam Negeri Nomor 15 Tahun 2024 tentang Pedoman Penyusunan Anggaran Pendapatan dan Belanja Daerah Tahun Anggaran 20</w:t>
      </w:r>
      <w:r w:rsidRPr="008379CA">
        <w:rPr>
          <w:rFonts w:ascii="Bookman Old Style" w:hAnsi="Bookman Old Style"/>
          <w:lang w:val="sv-FI"/>
        </w:rPr>
        <w:t>2</w:t>
      </w:r>
      <w:r w:rsidRPr="008379CA">
        <w:rPr>
          <w:rFonts w:ascii="Bookman Old Style" w:hAnsi="Bookman Old Style"/>
          <w:lang w:val="id-ID"/>
        </w:rPr>
        <w:t>5</w:t>
      </w:r>
      <w:r w:rsidRPr="008379CA">
        <w:rPr>
          <w:rFonts w:ascii="Bookman Old Style" w:hAnsi="Bookman Old Style"/>
          <w:lang w:val="sv-SE"/>
        </w:rPr>
        <w:t xml:space="preserve"> </w:t>
      </w:r>
      <w:r w:rsidRPr="008379CA">
        <w:rPr>
          <w:rFonts w:ascii="Bookman Old Style" w:hAnsi="Bookman Old Style" w:cs="Arial"/>
          <w:lang w:val="id-ID"/>
        </w:rPr>
        <w:t>(</w:t>
      </w:r>
      <w:r w:rsidRPr="008379CA">
        <w:rPr>
          <w:rFonts w:ascii="Bookman Old Style" w:hAnsi="Bookman Old Style" w:cs="Arial"/>
          <w:lang w:val="sv-FI"/>
        </w:rPr>
        <w:t>B</w:t>
      </w:r>
      <w:r w:rsidRPr="008379CA">
        <w:rPr>
          <w:rFonts w:ascii="Bookman Old Style" w:hAnsi="Bookman Old Style"/>
          <w:lang w:val="sv-FI"/>
        </w:rPr>
        <w:t>erita Negara Republik Indonesia Tahun 202</w:t>
      </w:r>
      <w:r w:rsidRPr="008379CA">
        <w:rPr>
          <w:rFonts w:ascii="Bookman Old Style" w:hAnsi="Bookman Old Style"/>
          <w:lang w:val="id-ID"/>
        </w:rPr>
        <w:t>4</w:t>
      </w:r>
      <w:r w:rsidRPr="008379CA">
        <w:rPr>
          <w:rFonts w:ascii="Bookman Old Style" w:hAnsi="Bookman Old Style"/>
          <w:lang w:val="sv-FI"/>
        </w:rPr>
        <w:t xml:space="preserve"> Nomor </w:t>
      </w:r>
      <w:r w:rsidRPr="008379CA">
        <w:rPr>
          <w:rFonts w:ascii="Bookman Old Style" w:hAnsi="Bookman Old Style"/>
          <w:lang w:val="id-ID"/>
        </w:rPr>
        <w:t>648)</w:t>
      </w:r>
      <w:r w:rsidR="00087F64">
        <w:rPr>
          <w:rFonts w:ascii="Bookman Old Style" w:hAnsi="Bookman Old Style"/>
          <w:lang w:val="id-ID"/>
        </w:rPr>
        <w:t>.</w:t>
      </w:r>
    </w:p>
    <w:p w14:paraId="25A61C4D" w14:textId="77777777" w:rsidR="00C25332" w:rsidRDefault="00C25332" w:rsidP="00C25332">
      <w:pPr>
        <w:tabs>
          <w:tab w:val="left" w:pos="2070"/>
          <w:tab w:val="left" w:pos="2250"/>
        </w:tabs>
        <w:spacing w:line="360" w:lineRule="exact"/>
        <w:jc w:val="both"/>
        <w:rPr>
          <w:rFonts w:ascii="Bookman Old Style" w:hAnsi="Bookman Old Style"/>
          <w:lang w:val="id-ID"/>
        </w:rPr>
      </w:pPr>
    </w:p>
    <w:p w14:paraId="67C37273" w14:textId="77777777" w:rsidR="00C25332" w:rsidRDefault="00C25332" w:rsidP="00C25332">
      <w:pPr>
        <w:spacing w:after="120" w:line="340" w:lineRule="exact"/>
        <w:jc w:val="both"/>
        <w:rPr>
          <w:rFonts w:ascii="Bookman Old Style" w:hAnsi="Bookman Old Style" w:cs="Arial"/>
          <w:color w:val="000000"/>
        </w:rPr>
      </w:pPr>
      <w:r>
        <w:rPr>
          <w:rFonts w:ascii="Bookman Old Style" w:hAnsi="Bookman Old Style" w:cs="Arial"/>
          <w:color w:val="000000"/>
          <w:highlight w:val="yellow"/>
        </w:rPr>
        <w:t xml:space="preserve">BISA DITAMBAHKAN </w:t>
      </w:r>
      <w:r w:rsidRPr="008C6CBA">
        <w:rPr>
          <w:rFonts w:ascii="Bookman Old Style" w:hAnsi="Bookman Old Style" w:cs="Arial"/>
          <w:color w:val="000000"/>
          <w:highlight w:val="yellow"/>
        </w:rPr>
        <w:t>PERATURAN YANG MENDELEGASIKAN/MENGAMANATKAN SECARA LANGSUNG ATAU TIDAK LANGSUNG</w:t>
      </w:r>
      <w:r>
        <w:rPr>
          <w:rFonts w:ascii="Bookman Old Style" w:hAnsi="Bookman Old Style" w:cs="Arial"/>
          <w:color w:val="000000"/>
        </w:rPr>
        <w:t xml:space="preserve"> </w:t>
      </w:r>
      <w:r w:rsidRPr="008C6CBA">
        <w:rPr>
          <w:rFonts w:ascii="Bookman Old Style" w:hAnsi="Bookman Old Style" w:cs="Arial"/>
          <w:color w:val="000000"/>
          <w:highlight w:val="yellow"/>
        </w:rPr>
        <w:t xml:space="preserve">TERHADAP PENETAPAN </w:t>
      </w:r>
      <w:proofErr w:type="gramStart"/>
      <w:r w:rsidRPr="008C6CBA">
        <w:rPr>
          <w:rFonts w:ascii="Bookman Old Style" w:hAnsi="Bookman Old Style" w:cs="Arial"/>
          <w:color w:val="000000"/>
          <w:highlight w:val="yellow"/>
        </w:rPr>
        <w:t xml:space="preserve">KEPUTUSAN </w:t>
      </w:r>
      <w:r>
        <w:rPr>
          <w:rFonts w:ascii="Bookman Old Style" w:hAnsi="Bookman Old Style" w:cs="Arial"/>
          <w:color w:val="000000"/>
          <w:highlight w:val="yellow"/>
        </w:rPr>
        <w:t xml:space="preserve"> </w:t>
      </w:r>
      <w:proofErr w:type="spellStart"/>
      <w:r>
        <w:rPr>
          <w:rFonts w:ascii="Bookman Old Style" w:hAnsi="Bookman Old Style" w:cs="Arial"/>
          <w:color w:val="000000"/>
          <w:highlight w:val="yellow"/>
        </w:rPr>
        <w:t>tersebut</w:t>
      </w:r>
      <w:proofErr w:type="spellEnd"/>
      <w:r>
        <w:rPr>
          <w:rFonts w:ascii="Bookman Old Style" w:hAnsi="Bookman Old Style" w:cs="Arial"/>
          <w:color w:val="000000"/>
          <w:highlight w:val="yellow"/>
        </w:rPr>
        <w:t>..</w:t>
      </w:r>
      <w:proofErr w:type="gramEnd"/>
      <w:r>
        <w:rPr>
          <w:rFonts w:ascii="Bookman Old Style" w:hAnsi="Bookman Old Style" w:cs="Arial"/>
          <w:color w:val="000000"/>
          <w:highlight w:val="yellow"/>
        </w:rPr>
        <w:t xml:space="preserve">, </w:t>
      </w:r>
      <w:r w:rsidRPr="00F61F92">
        <w:rPr>
          <w:rFonts w:ascii="Bookman Old Style" w:hAnsi="Bookman Old Style" w:cs="Arial"/>
          <w:color w:val="000000"/>
          <w:highlight w:val="green"/>
        </w:rPr>
        <w:t xml:space="preserve">(TIDAK PERLU TERLALU </w:t>
      </w:r>
      <w:proofErr w:type="gramStart"/>
      <w:r w:rsidRPr="00F61F92">
        <w:rPr>
          <w:rFonts w:ascii="Bookman Old Style" w:hAnsi="Bookman Old Style" w:cs="Arial"/>
          <w:color w:val="000000"/>
          <w:highlight w:val="green"/>
        </w:rPr>
        <w:t>BANYAK)…</w:t>
      </w:r>
      <w:proofErr w:type="gramEnd"/>
      <w:r w:rsidRPr="00F61F92">
        <w:rPr>
          <w:rFonts w:ascii="Bookman Old Style" w:hAnsi="Bookman Old Style" w:cs="Arial"/>
          <w:color w:val="000000"/>
          <w:highlight w:val="green"/>
        </w:rPr>
        <w:t>…</w:t>
      </w:r>
      <w:proofErr w:type="gramStart"/>
      <w:r w:rsidRPr="00F61F92">
        <w:rPr>
          <w:rFonts w:ascii="Bookman Old Style" w:hAnsi="Bookman Old Style" w:cs="Arial"/>
          <w:color w:val="000000"/>
          <w:highlight w:val="green"/>
        </w:rPr>
        <w:t>…..</w:t>
      </w:r>
      <w:proofErr w:type="gramEnd"/>
    </w:p>
    <w:p w14:paraId="2509104F" w14:textId="77777777" w:rsidR="00C25332" w:rsidRPr="008379CA" w:rsidRDefault="00C25332" w:rsidP="00C25332">
      <w:pPr>
        <w:tabs>
          <w:tab w:val="left" w:pos="2070"/>
          <w:tab w:val="left" w:pos="2250"/>
        </w:tabs>
        <w:spacing w:line="360" w:lineRule="exact"/>
        <w:jc w:val="both"/>
        <w:rPr>
          <w:rFonts w:ascii="Bookman Old Style" w:hAnsi="Bookman Old Style"/>
          <w:lang w:val="sv-FI"/>
        </w:rPr>
      </w:pPr>
    </w:p>
    <w:p w14:paraId="3DCD3E0C" w14:textId="77777777" w:rsidR="00256727" w:rsidRPr="008379CA" w:rsidRDefault="00256727" w:rsidP="00F615FB">
      <w:pPr>
        <w:tabs>
          <w:tab w:val="left" w:pos="1800"/>
          <w:tab w:val="left" w:pos="2160"/>
          <w:tab w:val="left" w:pos="2410"/>
          <w:tab w:val="left" w:pos="2835"/>
        </w:tabs>
        <w:spacing w:line="340" w:lineRule="exact"/>
        <w:ind w:left="2837" w:hanging="2837"/>
        <w:jc w:val="both"/>
        <w:rPr>
          <w:rFonts w:ascii="Bookman Old Style" w:hAnsi="Bookman Old Style" w:cs="Arial"/>
          <w:lang w:val="id-ID"/>
        </w:rPr>
      </w:pPr>
      <w:r w:rsidRPr="008379CA">
        <w:rPr>
          <w:rFonts w:ascii="Bookman Old Style" w:hAnsi="Bookman Old Style" w:cs="Arial"/>
          <w:lang w:val="id-ID"/>
        </w:rPr>
        <w:t>Memperhatikan</w:t>
      </w:r>
      <w:r w:rsidRPr="008379CA">
        <w:rPr>
          <w:rFonts w:ascii="Bookman Old Style" w:hAnsi="Bookman Old Style" w:cs="Arial"/>
          <w:lang w:val="id-ID"/>
        </w:rPr>
        <w:tab/>
        <w:t>:</w:t>
      </w:r>
      <w:r w:rsidRPr="008379CA">
        <w:rPr>
          <w:rFonts w:ascii="Bookman Old Style" w:hAnsi="Bookman Old Style" w:cs="Arial"/>
          <w:lang w:val="id-ID"/>
        </w:rPr>
        <w:tab/>
        <w:t>1.</w:t>
      </w:r>
      <w:r w:rsidRPr="008379CA">
        <w:rPr>
          <w:rFonts w:ascii="Bookman Old Style" w:hAnsi="Bookman Old Style" w:cs="Arial"/>
          <w:lang w:val="id-ID"/>
        </w:rPr>
        <w:tab/>
      </w:r>
      <w:r w:rsidRPr="008379CA">
        <w:rPr>
          <w:rFonts w:ascii="Bookman Old Style" w:hAnsi="Bookman Old Style" w:cs="Arial"/>
          <w:lang w:val="sv-FI"/>
        </w:rPr>
        <w:t xml:space="preserve">Keputusan Menteri Dalam Negeri Nomor 050-5889 Tahun 2021 tentang Hasil Verifikasi, Validasi dan Inventarisasi Pemutakhiran Klasifikasi, Kodefikasi dan Nomenklatur Perencanaan Pembangunan dan Keuangan Daerah, sebagaimana telah diubah beberapa kali, terakhir dengan Keputusan Menteri </w:t>
      </w:r>
      <w:r w:rsidRPr="008379CA">
        <w:rPr>
          <w:rFonts w:ascii="Bookman Old Style" w:hAnsi="Bookman Old Style" w:cs="Arial"/>
          <w:lang w:val="sv-FI"/>
        </w:rPr>
        <w:lastRenderedPageBreak/>
        <w:t>Dalam Negeri Nomor 900.1.15.5-3406 Tahun 2024 tentang Perubahan Kedua atas Keputusan Menteri Dalam Negeri Nomor 050-5889 Tahun 2021 tentang Hasil Verifikasi, Validasi dan Inventarisasi Pemutakhiran Klasifikasi, Kodefikasi dan Nomenklatur Perencanaan Pembangunan dan Keuangan Daerah;</w:t>
      </w:r>
      <w:r w:rsidRPr="008379CA">
        <w:rPr>
          <w:rFonts w:ascii="Bookman Old Style" w:hAnsi="Bookman Old Style" w:cs="Arial"/>
          <w:lang w:val="id-ID"/>
        </w:rPr>
        <w:tab/>
      </w:r>
    </w:p>
    <w:p w14:paraId="05D225C2" w14:textId="39925D59" w:rsidR="00256727" w:rsidRPr="008379CA" w:rsidRDefault="00256727" w:rsidP="00F615FB">
      <w:pPr>
        <w:tabs>
          <w:tab w:val="left" w:pos="1800"/>
          <w:tab w:val="left" w:pos="2160"/>
          <w:tab w:val="left" w:pos="2410"/>
          <w:tab w:val="left" w:pos="2835"/>
        </w:tabs>
        <w:spacing w:line="340" w:lineRule="exact"/>
        <w:ind w:left="2837" w:hanging="2837"/>
        <w:jc w:val="both"/>
        <w:rPr>
          <w:rFonts w:ascii="Bookman Old Style" w:hAnsi="Bookman Old Style" w:cs="Arial"/>
          <w:lang w:val="id-ID"/>
        </w:rPr>
      </w:pPr>
      <w:r w:rsidRPr="008379CA">
        <w:rPr>
          <w:rFonts w:ascii="Bookman Old Style" w:hAnsi="Bookman Old Style" w:cs="Arial"/>
          <w:lang w:val="id-ID"/>
        </w:rPr>
        <w:tab/>
      </w:r>
      <w:r w:rsidRPr="008379CA">
        <w:rPr>
          <w:rFonts w:ascii="Bookman Old Style" w:hAnsi="Bookman Old Style" w:cs="Arial"/>
          <w:lang w:val="id-ID"/>
        </w:rPr>
        <w:tab/>
      </w:r>
      <w:r w:rsidRPr="008379CA">
        <w:rPr>
          <w:rFonts w:ascii="Bookman Old Style" w:hAnsi="Bookman Old Style" w:cs="Arial"/>
          <w:lang w:val="id-ID"/>
        </w:rPr>
        <w:tab/>
        <w:t>2.</w:t>
      </w:r>
      <w:r w:rsidRPr="008379CA">
        <w:rPr>
          <w:rFonts w:ascii="Bookman Old Style" w:hAnsi="Bookman Old Style" w:cs="Arial"/>
          <w:lang w:val="id-ID"/>
        </w:rPr>
        <w:tab/>
        <w:t>Surat Pengantar Kepala Badan Pengelolaan Keuangan dan Aset Daerah Provinsi Banten Nomor 100.2.2.2/</w:t>
      </w:r>
      <w:r w:rsidR="00A9783D">
        <w:rPr>
          <w:rFonts w:ascii="Bookman Old Style" w:hAnsi="Bookman Old Style" w:cs="Arial"/>
          <w:lang w:val="sv-FI"/>
        </w:rPr>
        <w:t>59</w:t>
      </w:r>
      <w:r w:rsidRPr="008379CA">
        <w:rPr>
          <w:rFonts w:ascii="Bookman Old Style" w:hAnsi="Bookman Old Style" w:cs="Arial"/>
          <w:lang w:val="id-ID"/>
        </w:rPr>
        <w:t xml:space="preserve">/BPKAD/2024 tanggal </w:t>
      </w:r>
      <w:r w:rsidR="00A9783D">
        <w:rPr>
          <w:rFonts w:ascii="Bookman Old Style" w:hAnsi="Bookman Old Style" w:cs="Arial"/>
          <w:lang w:val="sv-FI"/>
        </w:rPr>
        <w:t>16</w:t>
      </w:r>
      <w:r w:rsidRPr="008379CA">
        <w:rPr>
          <w:rFonts w:ascii="Bookman Old Style" w:hAnsi="Bookman Old Style" w:cs="Arial"/>
          <w:lang w:val="id-ID"/>
        </w:rPr>
        <w:t xml:space="preserve"> Desember 2024.</w:t>
      </w:r>
    </w:p>
    <w:p w14:paraId="69FF3D52" w14:textId="77777777" w:rsidR="00256727" w:rsidRPr="008379CA" w:rsidRDefault="00256727" w:rsidP="00256727">
      <w:pPr>
        <w:pStyle w:val="BodyText2"/>
        <w:spacing w:after="0" w:line="320" w:lineRule="exact"/>
        <w:jc w:val="center"/>
        <w:rPr>
          <w:rFonts w:ascii="Bookman Old Style" w:hAnsi="Bookman Old Style" w:cs="Book Antiqua"/>
          <w:bCs/>
          <w:lang w:val="id-ID"/>
        </w:rPr>
      </w:pPr>
    </w:p>
    <w:p w14:paraId="7FE05551" w14:textId="77777777" w:rsidR="00256727" w:rsidRPr="008379CA" w:rsidRDefault="00256727" w:rsidP="00256727">
      <w:pPr>
        <w:pStyle w:val="BodyText2"/>
        <w:spacing w:after="0" w:line="320" w:lineRule="exact"/>
        <w:jc w:val="center"/>
        <w:rPr>
          <w:rFonts w:ascii="Bookman Old Style" w:hAnsi="Bookman Old Style" w:cs="Book Antiqua"/>
          <w:bCs/>
          <w:lang w:val="id-ID"/>
        </w:rPr>
      </w:pPr>
      <w:r w:rsidRPr="008379CA">
        <w:rPr>
          <w:rFonts w:ascii="Bookman Old Style" w:hAnsi="Bookman Old Style" w:cs="Book Antiqua"/>
          <w:bCs/>
          <w:lang w:val="id-ID"/>
        </w:rPr>
        <w:t>MEMUTUSKAN:</w:t>
      </w:r>
    </w:p>
    <w:p w14:paraId="5C35FF28" w14:textId="77777777" w:rsidR="00256727" w:rsidRPr="008379CA" w:rsidRDefault="00256727" w:rsidP="00256727">
      <w:pPr>
        <w:pStyle w:val="BodyText2"/>
        <w:spacing w:after="0" w:line="320" w:lineRule="exact"/>
        <w:jc w:val="center"/>
        <w:rPr>
          <w:rFonts w:ascii="Bookman Old Style" w:hAnsi="Bookman Old Style" w:cs="Book Antiqua"/>
          <w:bCs/>
          <w:lang w:val="id-ID"/>
        </w:rPr>
      </w:pPr>
    </w:p>
    <w:p w14:paraId="5BF09B6C" w14:textId="77777777" w:rsidR="00F615FB" w:rsidRDefault="00256727" w:rsidP="00256727">
      <w:pPr>
        <w:tabs>
          <w:tab w:val="left" w:pos="1800"/>
          <w:tab w:val="left" w:pos="2160"/>
          <w:tab w:val="left" w:pos="2410"/>
        </w:tabs>
        <w:spacing w:after="120" w:line="320" w:lineRule="exact"/>
        <w:ind w:left="2410" w:hanging="2410"/>
        <w:jc w:val="both"/>
        <w:rPr>
          <w:rFonts w:ascii="Bookman Old Style" w:hAnsi="Bookman Old Style" w:cs="Book Antiqua"/>
          <w:lang w:val="id-ID"/>
        </w:rPr>
      </w:pPr>
      <w:r w:rsidRPr="008379CA">
        <w:rPr>
          <w:rFonts w:ascii="Bookman Old Style" w:hAnsi="Bookman Old Style" w:cs="Book Antiqua"/>
          <w:lang w:val="id-ID"/>
        </w:rPr>
        <w:t>M</w:t>
      </w:r>
      <w:r w:rsidR="00A9783D">
        <w:rPr>
          <w:rFonts w:ascii="Bookman Old Style" w:hAnsi="Bookman Old Style" w:cs="Book Antiqua"/>
          <w:lang w:val="id-ID"/>
        </w:rPr>
        <w:t>enetapkan</w:t>
      </w:r>
      <w:r w:rsidRPr="008379CA">
        <w:rPr>
          <w:rFonts w:ascii="Bookman Old Style" w:hAnsi="Bookman Old Style" w:cs="Book Antiqua"/>
          <w:lang w:val="id-ID"/>
        </w:rPr>
        <w:tab/>
      </w:r>
      <w:r w:rsidRPr="008379CA">
        <w:rPr>
          <w:rFonts w:ascii="Bookman Old Style" w:hAnsi="Bookman Old Style" w:cs="Book Antiqua"/>
          <w:lang w:val="id-ID"/>
        </w:rPr>
        <w:tab/>
        <w:t>:</w:t>
      </w:r>
    </w:p>
    <w:p w14:paraId="1E8A8FC1" w14:textId="68DF5C9B" w:rsidR="00256727" w:rsidRPr="008379CA" w:rsidRDefault="00256727" w:rsidP="00256727">
      <w:pPr>
        <w:tabs>
          <w:tab w:val="left" w:pos="1800"/>
          <w:tab w:val="left" w:pos="2160"/>
          <w:tab w:val="left" w:pos="2410"/>
        </w:tabs>
        <w:spacing w:after="120" w:line="320" w:lineRule="exact"/>
        <w:ind w:left="2410" w:hanging="2410"/>
        <w:jc w:val="both"/>
        <w:rPr>
          <w:rFonts w:ascii="Bookman Old Style" w:hAnsi="Bookman Old Style" w:cs="Book Antiqua"/>
          <w:lang w:val="id-ID"/>
        </w:rPr>
      </w:pPr>
      <w:r w:rsidRPr="008379CA">
        <w:rPr>
          <w:rFonts w:ascii="Bookman Old Style" w:hAnsi="Bookman Old Style" w:cs="Book Antiqua"/>
          <w:lang w:val="id-ID"/>
        </w:rPr>
        <w:tab/>
      </w:r>
    </w:p>
    <w:p w14:paraId="44B99A02" w14:textId="4D96EAED" w:rsidR="00256727" w:rsidRPr="008379CA" w:rsidRDefault="00256727" w:rsidP="00F615FB">
      <w:pPr>
        <w:tabs>
          <w:tab w:val="left" w:pos="1800"/>
          <w:tab w:val="left" w:pos="2160"/>
          <w:tab w:val="left" w:pos="2410"/>
        </w:tabs>
        <w:spacing w:line="460" w:lineRule="exact"/>
        <w:ind w:left="2405" w:hanging="2405"/>
        <w:jc w:val="both"/>
        <w:rPr>
          <w:rFonts w:ascii="Bookman Old Style" w:hAnsi="Bookman Old Style" w:cs="Book Antiqua"/>
          <w:bCs/>
          <w:lang w:val="id-ID"/>
        </w:rPr>
      </w:pPr>
      <w:r w:rsidRPr="008379CA">
        <w:rPr>
          <w:rFonts w:ascii="Bookman Old Style" w:hAnsi="Bookman Old Style" w:cs="Book Antiqua"/>
          <w:lang w:val="id-ID"/>
        </w:rPr>
        <w:t>KESATU</w:t>
      </w:r>
      <w:r w:rsidRPr="008379CA">
        <w:rPr>
          <w:rFonts w:ascii="Bookman Old Style" w:hAnsi="Bookman Old Style" w:cs="Book Antiqua"/>
          <w:lang w:val="id-ID"/>
        </w:rPr>
        <w:tab/>
      </w:r>
      <w:r w:rsidRPr="008379CA">
        <w:rPr>
          <w:rFonts w:ascii="Bookman Old Style" w:hAnsi="Bookman Old Style" w:cs="Book Antiqua"/>
          <w:lang w:val="id-ID"/>
        </w:rPr>
        <w:tab/>
        <w:t>:</w:t>
      </w:r>
      <w:r w:rsidRPr="008379CA">
        <w:rPr>
          <w:rFonts w:ascii="Bookman Old Style" w:hAnsi="Bookman Old Style" w:cs="Book Antiqua"/>
          <w:lang w:val="id-ID"/>
        </w:rPr>
        <w:tab/>
      </w:r>
      <w:r w:rsidRPr="008379CA">
        <w:rPr>
          <w:rFonts w:ascii="Bookman Old Style" w:hAnsi="Bookman Old Style" w:cs="Book Antiqua"/>
          <w:bCs/>
          <w:lang w:val="id-ID"/>
        </w:rPr>
        <w:t xml:space="preserve">Hasil Evaluasi </w:t>
      </w:r>
      <w:r w:rsidRPr="00C25332">
        <w:rPr>
          <w:rFonts w:ascii="Bookman Old Style" w:hAnsi="Bookman Old Style" w:cs="Book Antiqua"/>
          <w:bCs/>
          <w:highlight w:val="yellow"/>
          <w:lang w:val="id-ID"/>
        </w:rPr>
        <w:t xml:space="preserve">Rancangan Peraturan Daerah </w:t>
      </w:r>
      <w:r w:rsidR="003255BC" w:rsidRPr="00C25332">
        <w:rPr>
          <w:rFonts w:ascii="Bookman Old Style" w:hAnsi="Bookman Old Style"/>
          <w:highlight w:val="yellow"/>
          <w:lang w:val="id-ID"/>
        </w:rPr>
        <w:t>Kota Tangerang</w:t>
      </w:r>
      <w:r w:rsidRPr="00C25332">
        <w:rPr>
          <w:rFonts w:ascii="Bookman Old Style" w:hAnsi="Bookman Old Style" w:cs="Book Antiqua"/>
          <w:bCs/>
          <w:highlight w:val="yellow"/>
          <w:lang w:val="id-ID"/>
        </w:rPr>
        <w:t xml:space="preserve"> tentang Anggaran Pendapatan dan Belanja Daerah Tahun Anggaran 2025 dan Rancangan Peraturan </w:t>
      </w:r>
      <w:r w:rsidR="003255BC" w:rsidRPr="00C25332">
        <w:rPr>
          <w:rFonts w:ascii="Bookman Old Style" w:hAnsi="Bookman Old Style" w:cs="Book Antiqua"/>
          <w:bCs/>
          <w:highlight w:val="yellow"/>
          <w:lang w:val="id-ID"/>
        </w:rPr>
        <w:t>Wali Kota</w:t>
      </w:r>
      <w:r w:rsidRPr="00C25332">
        <w:rPr>
          <w:rFonts w:ascii="Bookman Old Style" w:hAnsi="Bookman Old Style" w:cs="Book Antiqua"/>
          <w:bCs/>
          <w:highlight w:val="yellow"/>
          <w:lang w:val="id-ID"/>
        </w:rPr>
        <w:t xml:space="preserve"> </w:t>
      </w:r>
      <w:r w:rsidR="003255BC" w:rsidRPr="00C25332">
        <w:rPr>
          <w:rFonts w:ascii="Bookman Old Style" w:hAnsi="Bookman Old Style"/>
          <w:highlight w:val="yellow"/>
          <w:lang w:val="id-ID"/>
        </w:rPr>
        <w:t>Tangerang</w:t>
      </w:r>
      <w:r w:rsidR="003255BC" w:rsidRPr="00C25332">
        <w:rPr>
          <w:rFonts w:ascii="Bookman Old Style" w:hAnsi="Bookman Old Style" w:cs="Book Antiqua"/>
          <w:bCs/>
          <w:highlight w:val="yellow"/>
          <w:lang w:val="id-ID"/>
        </w:rPr>
        <w:t xml:space="preserve"> </w:t>
      </w:r>
      <w:r w:rsidRPr="00C25332">
        <w:rPr>
          <w:rFonts w:ascii="Bookman Old Style" w:hAnsi="Bookman Old Style" w:cs="Book Antiqua"/>
          <w:bCs/>
          <w:highlight w:val="yellow"/>
          <w:lang w:val="id-ID"/>
        </w:rPr>
        <w:t>tentang Penjabaran Anggaran Pendapatan dan Belanja Daerah Tahun Anggaran 2025</w:t>
      </w:r>
      <w:r w:rsidRPr="008379CA">
        <w:rPr>
          <w:rFonts w:ascii="Bookman Old Style" w:hAnsi="Bookman Old Style" w:cs="Book Antiqua"/>
          <w:bCs/>
          <w:lang w:val="id-ID"/>
        </w:rPr>
        <w:t xml:space="preserve">, </w:t>
      </w:r>
      <w:r w:rsidRPr="008379CA">
        <w:rPr>
          <w:rFonts w:ascii="Bookman Old Style" w:hAnsi="Bookman Old Style" w:cs="Book Antiqua"/>
          <w:lang w:val="id-ID"/>
        </w:rPr>
        <w:t>sebagaimana tercantum dalam Lampiran yang merupakan bagian tidak terpisahkan dari Keputusan ini</w:t>
      </w:r>
      <w:r w:rsidRPr="008379CA">
        <w:rPr>
          <w:rFonts w:ascii="Bookman Old Style" w:hAnsi="Bookman Old Style" w:cs="Book Antiqua"/>
          <w:bCs/>
          <w:lang w:val="id-ID"/>
        </w:rPr>
        <w:t>.</w:t>
      </w:r>
    </w:p>
    <w:p w14:paraId="1F560FBA" w14:textId="3101803F" w:rsidR="00256727" w:rsidRPr="008379CA" w:rsidRDefault="00256727" w:rsidP="00F615FB">
      <w:pPr>
        <w:tabs>
          <w:tab w:val="left" w:pos="1800"/>
          <w:tab w:val="left" w:pos="2160"/>
          <w:tab w:val="left" w:pos="2410"/>
        </w:tabs>
        <w:spacing w:line="460" w:lineRule="exact"/>
        <w:ind w:left="2405" w:hanging="2405"/>
        <w:jc w:val="both"/>
        <w:rPr>
          <w:rFonts w:ascii="Bookman Old Style" w:hAnsi="Bookman Old Style" w:cs="Book Antiqua"/>
          <w:lang w:val="id-ID"/>
        </w:rPr>
      </w:pPr>
      <w:r w:rsidRPr="008379CA">
        <w:rPr>
          <w:rFonts w:ascii="Bookman Old Style" w:hAnsi="Bookman Old Style" w:cs="Book Antiqua"/>
          <w:lang w:val="id-ID"/>
        </w:rPr>
        <w:t>KEDUA</w:t>
      </w:r>
      <w:r w:rsidRPr="008379CA">
        <w:rPr>
          <w:rFonts w:ascii="Bookman Old Style" w:hAnsi="Bookman Old Style" w:cs="Book Antiqua"/>
          <w:lang w:val="id-ID"/>
        </w:rPr>
        <w:tab/>
      </w:r>
      <w:r w:rsidRPr="008379CA">
        <w:rPr>
          <w:rFonts w:ascii="Bookman Old Style" w:hAnsi="Bookman Old Style" w:cs="Book Antiqua"/>
          <w:lang w:val="id-ID"/>
        </w:rPr>
        <w:tab/>
        <w:t>:</w:t>
      </w:r>
      <w:r w:rsidRPr="008379CA">
        <w:rPr>
          <w:rFonts w:ascii="Bookman Old Style" w:hAnsi="Bookman Old Style" w:cs="Book Antiqua"/>
          <w:lang w:val="id-ID"/>
        </w:rPr>
        <w:tab/>
      </w:r>
      <w:r w:rsidR="003255BC" w:rsidRPr="008379CA">
        <w:rPr>
          <w:rFonts w:ascii="Bookman Old Style" w:hAnsi="Bookman Old Style" w:cs="Book Antiqua"/>
          <w:bCs/>
          <w:lang w:val="id-ID"/>
        </w:rPr>
        <w:t>Wali Kota</w:t>
      </w:r>
      <w:r w:rsidRPr="008379CA">
        <w:rPr>
          <w:rFonts w:ascii="Bookman Old Style" w:hAnsi="Bookman Old Style"/>
          <w:lang w:val="id-ID"/>
        </w:rPr>
        <w:t xml:space="preserve"> </w:t>
      </w:r>
      <w:r w:rsidRPr="008379CA">
        <w:rPr>
          <w:rFonts w:ascii="Bookman Old Style" w:hAnsi="Bookman Old Style" w:cs="Book Antiqua"/>
          <w:lang w:val="id-ID"/>
        </w:rPr>
        <w:t xml:space="preserve">bersama Dewan Perwakilan Rakyat Daerah melakukan penyempurnaan terhadap Rancangan Peraturan Daerah </w:t>
      </w:r>
      <w:r w:rsidR="003255BC" w:rsidRPr="008379CA">
        <w:rPr>
          <w:rFonts w:ascii="Bookman Old Style" w:hAnsi="Bookman Old Style"/>
          <w:lang w:val="id-ID"/>
        </w:rPr>
        <w:t>Kota Tangerang</w:t>
      </w:r>
      <w:r w:rsidRPr="008379CA">
        <w:rPr>
          <w:rFonts w:ascii="Bookman Old Style" w:hAnsi="Bookman Old Style"/>
          <w:lang w:val="id-ID"/>
        </w:rPr>
        <w:t xml:space="preserve"> </w:t>
      </w:r>
      <w:r w:rsidRPr="008379CA">
        <w:rPr>
          <w:rFonts w:ascii="Bookman Old Style" w:hAnsi="Bookman Old Style" w:cs="Book Antiqua"/>
          <w:lang w:val="id-ID"/>
        </w:rPr>
        <w:t xml:space="preserve">tentang </w:t>
      </w:r>
      <w:r w:rsidRPr="008379CA">
        <w:rPr>
          <w:rFonts w:ascii="Bookman Old Style" w:hAnsi="Bookman Old Style" w:cs="Book Antiqua"/>
          <w:bCs/>
          <w:lang w:val="id-ID"/>
        </w:rPr>
        <w:t>Anggaran Pendapatan dan Belanja Daerah Tahun Anggaran 2025</w:t>
      </w:r>
      <w:r w:rsidRPr="008379CA">
        <w:rPr>
          <w:rFonts w:ascii="Bookman Old Style" w:hAnsi="Bookman Old Style" w:cs="Book Antiqua"/>
          <w:lang w:val="id-ID"/>
        </w:rPr>
        <w:t xml:space="preserve"> berdasarkan hasil evaluasi sebagaimana dimaksud pada diktum KESATU paling lama 7 (tujuh) hari terhitung sejak hasil evaluasi diterima.</w:t>
      </w:r>
    </w:p>
    <w:p w14:paraId="43A6139C" w14:textId="5DC2EDB0" w:rsidR="00256727" w:rsidRPr="008379CA" w:rsidRDefault="00256727" w:rsidP="00F615FB">
      <w:pPr>
        <w:tabs>
          <w:tab w:val="left" w:pos="1800"/>
          <w:tab w:val="left" w:pos="2160"/>
          <w:tab w:val="left" w:pos="2410"/>
        </w:tabs>
        <w:spacing w:line="460" w:lineRule="exact"/>
        <w:ind w:left="2405" w:hanging="2405"/>
        <w:jc w:val="both"/>
        <w:rPr>
          <w:rFonts w:ascii="Bookman Old Style" w:hAnsi="Bookman Old Style" w:cs="Book Antiqua"/>
          <w:lang w:val="id-ID"/>
        </w:rPr>
      </w:pPr>
      <w:r w:rsidRPr="008379CA">
        <w:rPr>
          <w:rFonts w:ascii="Bookman Old Style" w:hAnsi="Bookman Old Style" w:cs="Book Antiqua"/>
          <w:lang w:val="id-ID"/>
        </w:rPr>
        <w:t>KETIGA</w:t>
      </w:r>
      <w:r w:rsidRPr="008379CA">
        <w:rPr>
          <w:rFonts w:ascii="Bookman Old Style" w:hAnsi="Bookman Old Style" w:cs="Book Antiqua"/>
          <w:lang w:val="id-ID"/>
        </w:rPr>
        <w:tab/>
      </w:r>
      <w:r w:rsidRPr="008379CA">
        <w:rPr>
          <w:rFonts w:ascii="Bookman Old Style" w:hAnsi="Bookman Old Style" w:cs="Book Antiqua"/>
          <w:lang w:val="id-ID"/>
        </w:rPr>
        <w:tab/>
        <w:t>:</w:t>
      </w:r>
      <w:r w:rsidRPr="008379CA">
        <w:rPr>
          <w:rFonts w:ascii="Bookman Old Style" w:hAnsi="Bookman Old Style" w:cs="Book Antiqua"/>
          <w:lang w:val="id-ID"/>
        </w:rPr>
        <w:tab/>
      </w:r>
      <w:r w:rsidRPr="008379CA">
        <w:rPr>
          <w:rFonts w:ascii="Bookman Old Style" w:hAnsi="Bookman Old Style" w:cs="Book Antiqua"/>
          <w:lang w:val="sv-FI"/>
        </w:rPr>
        <w:t xml:space="preserve">Peraturan Daerah </w:t>
      </w:r>
      <w:r w:rsidR="003255BC" w:rsidRPr="008379CA">
        <w:rPr>
          <w:rFonts w:ascii="Bookman Old Style" w:hAnsi="Bookman Old Style"/>
          <w:lang w:val="id-ID"/>
        </w:rPr>
        <w:t>Kota Tangerang</w:t>
      </w:r>
      <w:r w:rsidRPr="008379CA">
        <w:rPr>
          <w:rFonts w:ascii="Bookman Old Style" w:hAnsi="Bookman Old Style" w:cs="Book Antiqua"/>
          <w:lang w:val="sv-FI"/>
        </w:rPr>
        <w:t xml:space="preserve"> tentang Anggaran Pendapatan dan Belanja Daerah Tahun Anggaran 2025 dan Peraturan </w:t>
      </w:r>
      <w:r w:rsidR="003255BC" w:rsidRPr="008379CA">
        <w:rPr>
          <w:rFonts w:ascii="Bookman Old Style" w:hAnsi="Bookman Old Style" w:cs="Book Antiqua"/>
          <w:bCs/>
          <w:lang w:val="id-ID"/>
        </w:rPr>
        <w:t>Wali Kota</w:t>
      </w:r>
      <w:r w:rsidRPr="008379CA">
        <w:rPr>
          <w:rFonts w:ascii="Bookman Old Style" w:hAnsi="Bookman Old Style"/>
          <w:lang w:val="id-ID"/>
        </w:rPr>
        <w:t xml:space="preserve"> Tangerang</w:t>
      </w:r>
      <w:r w:rsidRPr="008379CA">
        <w:rPr>
          <w:rFonts w:ascii="Bookman Old Style" w:hAnsi="Bookman Old Style" w:cs="Book Antiqua"/>
          <w:lang w:val="sv-FI"/>
        </w:rPr>
        <w:t xml:space="preserve"> tentang Penjabaran Anggaran Pendapatan dan Belanja Daerah Tahun Anggaran 2025, sah apabila memenuhi ketentuan peraturan perundang-undangan.</w:t>
      </w:r>
    </w:p>
    <w:p w14:paraId="554B149F" w14:textId="7F56C84C" w:rsidR="00256727" w:rsidRPr="008379CA" w:rsidRDefault="00256727" w:rsidP="00F615FB">
      <w:pPr>
        <w:tabs>
          <w:tab w:val="left" w:pos="1800"/>
          <w:tab w:val="left" w:pos="2160"/>
          <w:tab w:val="left" w:pos="2410"/>
          <w:tab w:val="left" w:pos="2520"/>
        </w:tabs>
        <w:spacing w:line="460" w:lineRule="exact"/>
        <w:ind w:left="2405" w:hanging="2405"/>
        <w:jc w:val="both"/>
        <w:rPr>
          <w:rFonts w:ascii="Bookman Old Style" w:hAnsi="Bookman Old Style" w:cs="Book Antiqua"/>
          <w:bCs/>
          <w:lang w:val="id-ID"/>
        </w:rPr>
      </w:pPr>
      <w:r w:rsidRPr="008379CA">
        <w:rPr>
          <w:rFonts w:ascii="Bookman Old Style" w:hAnsi="Bookman Old Style" w:cs="Book Antiqua"/>
          <w:bCs/>
          <w:lang w:val="id-ID"/>
        </w:rPr>
        <w:lastRenderedPageBreak/>
        <w:t>KEEMPAT</w:t>
      </w:r>
      <w:r w:rsidRPr="008379CA">
        <w:rPr>
          <w:rFonts w:ascii="Bookman Old Style" w:hAnsi="Bookman Old Style" w:cs="Book Antiqua"/>
          <w:bCs/>
          <w:lang w:val="id-ID"/>
        </w:rPr>
        <w:tab/>
      </w:r>
      <w:r w:rsidRPr="008379CA">
        <w:rPr>
          <w:rFonts w:ascii="Bookman Old Style" w:hAnsi="Bookman Old Style" w:cs="Book Antiqua"/>
          <w:bCs/>
          <w:lang w:val="id-ID"/>
        </w:rPr>
        <w:tab/>
        <w:t>:</w:t>
      </w:r>
      <w:r w:rsidRPr="008379CA">
        <w:rPr>
          <w:rFonts w:ascii="Bookman Old Style" w:hAnsi="Bookman Old Style" w:cs="Book Antiqua"/>
          <w:bCs/>
          <w:lang w:val="id-ID"/>
        </w:rPr>
        <w:tab/>
      </w:r>
      <w:r w:rsidR="003255BC" w:rsidRPr="008379CA">
        <w:rPr>
          <w:rFonts w:ascii="Bookman Old Style" w:hAnsi="Bookman Old Style" w:cs="Book Antiqua"/>
          <w:bCs/>
          <w:lang w:val="id-ID"/>
        </w:rPr>
        <w:t>Wali Kota</w:t>
      </w:r>
      <w:r w:rsidRPr="008379CA">
        <w:rPr>
          <w:rFonts w:ascii="Bookman Old Style" w:hAnsi="Bookman Old Style"/>
          <w:lang w:val="id-ID"/>
        </w:rPr>
        <w:t xml:space="preserve"> Tangerang</w:t>
      </w:r>
      <w:r w:rsidRPr="008379CA">
        <w:rPr>
          <w:rFonts w:ascii="Bookman Old Style" w:hAnsi="Bookman Old Style" w:cs="Book Antiqua"/>
          <w:lang w:val="id-ID"/>
        </w:rPr>
        <w:t xml:space="preserve"> wajib menyampaikan Peraturan Daerah </w:t>
      </w:r>
      <w:r w:rsidR="003255BC" w:rsidRPr="008379CA">
        <w:rPr>
          <w:rFonts w:ascii="Bookman Old Style" w:hAnsi="Bookman Old Style"/>
          <w:lang w:val="id-ID"/>
        </w:rPr>
        <w:t>Kota Tangerang</w:t>
      </w:r>
      <w:r w:rsidRPr="008379CA">
        <w:rPr>
          <w:rFonts w:ascii="Bookman Old Style" w:hAnsi="Bookman Old Style"/>
          <w:lang w:val="id-ID"/>
        </w:rPr>
        <w:t xml:space="preserve"> </w:t>
      </w:r>
      <w:r w:rsidRPr="008379CA">
        <w:rPr>
          <w:rFonts w:ascii="Bookman Old Style" w:hAnsi="Bookman Old Style" w:cs="Book Antiqua"/>
          <w:lang w:val="id-ID"/>
        </w:rPr>
        <w:t xml:space="preserve">tentang Anggaran Pendapatan dan Beslanja Daerah Tahun Anggaran 2025 dan </w:t>
      </w:r>
      <w:r w:rsidRPr="008379CA">
        <w:rPr>
          <w:rFonts w:ascii="Bookman Old Style" w:hAnsi="Bookman Old Style" w:cs="Book Antiqua"/>
          <w:bCs/>
          <w:lang w:val="id-ID"/>
        </w:rPr>
        <w:t xml:space="preserve">Peraturan </w:t>
      </w:r>
      <w:r w:rsidR="003255BC" w:rsidRPr="008379CA">
        <w:rPr>
          <w:rFonts w:ascii="Bookman Old Style" w:hAnsi="Bookman Old Style" w:cs="Book Antiqua"/>
          <w:bCs/>
          <w:lang w:val="id-ID"/>
        </w:rPr>
        <w:t>Wali Kota</w:t>
      </w:r>
      <w:r w:rsidRPr="008379CA">
        <w:rPr>
          <w:rFonts w:ascii="Bookman Old Style" w:hAnsi="Bookman Old Style"/>
          <w:lang w:val="id-ID"/>
        </w:rPr>
        <w:t xml:space="preserve"> Tangerang</w:t>
      </w:r>
      <w:r w:rsidRPr="008379CA">
        <w:rPr>
          <w:rFonts w:ascii="Bookman Old Style" w:hAnsi="Bookman Old Style" w:cs="Book Antiqua"/>
          <w:bCs/>
          <w:lang w:val="id-ID"/>
        </w:rPr>
        <w:t xml:space="preserve"> tentang Penjabaran Anggaran Pendapatan dan Belanja Daerah Tahun Anggaran 2025</w:t>
      </w:r>
      <w:r w:rsidRPr="008379CA">
        <w:rPr>
          <w:rFonts w:ascii="Bookman Old Style" w:hAnsi="Bookman Old Style" w:cs="Book Antiqua"/>
          <w:lang w:val="id-ID"/>
        </w:rPr>
        <w:t xml:space="preserve"> </w:t>
      </w:r>
      <w:r w:rsidRPr="008379CA">
        <w:rPr>
          <w:rFonts w:ascii="Bookman Old Style" w:hAnsi="Bookman Old Style" w:cs="Book Antiqua"/>
          <w:bCs/>
          <w:lang w:val="id-ID"/>
        </w:rPr>
        <w:t>kepada Gubernur paling lama 7 (tujuh) hari setelah ditetapkan.</w:t>
      </w:r>
    </w:p>
    <w:p w14:paraId="3C630682" w14:textId="77777777" w:rsidR="00256727" w:rsidRPr="008379CA" w:rsidRDefault="00256727" w:rsidP="00256727">
      <w:pPr>
        <w:tabs>
          <w:tab w:val="left" w:pos="1800"/>
          <w:tab w:val="left" w:pos="2160"/>
          <w:tab w:val="left" w:pos="2410"/>
          <w:tab w:val="left" w:pos="2520"/>
        </w:tabs>
        <w:spacing w:line="320" w:lineRule="exact"/>
        <w:ind w:left="2405" w:hanging="2405"/>
        <w:jc w:val="both"/>
        <w:rPr>
          <w:rFonts w:ascii="Bookman Old Style" w:hAnsi="Bookman Old Style" w:cs="Book Antiqua"/>
          <w:lang w:val="id-ID"/>
        </w:rPr>
      </w:pPr>
      <w:r w:rsidRPr="008379CA">
        <w:rPr>
          <w:rFonts w:ascii="Bookman Old Style" w:hAnsi="Bookman Old Style" w:cs="Book Antiqua"/>
          <w:lang w:val="sv-FI"/>
        </w:rPr>
        <w:t>KELIMA</w:t>
      </w:r>
      <w:r w:rsidRPr="008379CA">
        <w:rPr>
          <w:rFonts w:ascii="Bookman Old Style" w:hAnsi="Bookman Old Style" w:cs="Book Antiqua"/>
          <w:lang w:val="id-ID"/>
        </w:rPr>
        <w:tab/>
      </w:r>
      <w:r w:rsidRPr="008379CA">
        <w:rPr>
          <w:rFonts w:ascii="Bookman Old Style" w:hAnsi="Bookman Old Style" w:cs="Book Antiqua"/>
          <w:lang w:val="id-ID"/>
        </w:rPr>
        <w:tab/>
        <w:t>:</w:t>
      </w:r>
      <w:r w:rsidRPr="008379CA">
        <w:rPr>
          <w:rFonts w:ascii="Bookman Old Style" w:hAnsi="Bookman Old Style" w:cs="Book Antiqua"/>
          <w:lang w:val="id-ID"/>
        </w:rPr>
        <w:tab/>
        <w:t>Keputusan Gubernur ini mulai berlaku pada tanggal ditetapkan.</w:t>
      </w:r>
    </w:p>
    <w:p w14:paraId="3DFD6E89" w14:textId="77777777" w:rsidR="00256727" w:rsidRPr="008379CA" w:rsidRDefault="00256727" w:rsidP="00256727">
      <w:pPr>
        <w:pStyle w:val="BodyText2"/>
        <w:spacing w:after="0" w:line="320" w:lineRule="exact"/>
        <w:ind w:left="4905"/>
        <w:rPr>
          <w:rFonts w:ascii="Bookman Old Style" w:hAnsi="Bookman Old Style" w:cs="Book Antiqua"/>
          <w:lang w:val="id-ID"/>
        </w:rPr>
      </w:pPr>
    </w:p>
    <w:p w14:paraId="3E865849" w14:textId="77777777" w:rsidR="00256727" w:rsidRPr="008379CA" w:rsidRDefault="00256727" w:rsidP="00256727">
      <w:pPr>
        <w:pStyle w:val="BodyText2"/>
        <w:spacing w:after="0" w:line="320" w:lineRule="exact"/>
        <w:ind w:left="4905"/>
        <w:rPr>
          <w:rFonts w:ascii="Bookman Old Style" w:hAnsi="Bookman Old Style" w:cs="Book Antiqua"/>
          <w:lang w:val="id-ID"/>
        </w:rPr>
      </w:pPr>
      <w:r w:rsidRPr="008379CA">
        <w:rPr>
          <w:rFonts w:ascii="Bookman Old Style" w:hAnsi="Bookman Old Style" w:cs="Book Antiqua"/>
          <w:lang w:val="id-ID"/>
        </w:rPr>
        <w:t>Ditetapkan di Serang</w:t>
      </w:r>
    </w:p>
    <w:p w14:paraId="42F5AC2E" w14:textId="68E7BC1E" w:rsidR="00256727" w:rsidRPr="008379CA" w:rsidRDefault="00256727" w:rsidP="00256727">
      <w:pPr>
        <w:pStyle w:val="BodyText2"/>
        <w:spacing w:after="0" w:line="320" w:lineRule="exact"/>
        <w:ind w:left="4905"/>
        <w:rPr>
          <w:rFonts w:ascii="Bookman Old Style" w:hAnsi="Bookman Old Style" w:cs="Book Antiqua"/>
          <w:lang w:val="es-BO"/>
        </w:rPr>
      </w:pPr>
      <w:r w:rsidRPr="008379CA">
        <w:rPr>
          <w:rFonts w:ascii="Bookman Old Style" w:hAnsi="Bookman Old Style" w:cs="Book Antiqua"/>
          <w:lang w:val="id-ID"/>
        </w:rPr>
        <w:t>pada tanggal</w:t>
      </w:r>
      <w:r w:rsidRPr="008379CA">
        <w:rPr>
          <w:rFonts w:ascii="Bookman Old Style" w:hAnsi="Bookman Old Style" w:cs="Book Antiqua"/>
          <w:lang w:val="es-BO"/>
        </w:rPr>
        <w:t xml:space="preserve"> </w:t>
      </w:r>
      <w:r w:rsidR="00C25332">
        <w:rPr>
          <w:rFonts w:ascii="Bookman Old Style" w:hAnsi="Bookman Old Style" w:cs="Book Antiqua"/>
          <w:lang w:val="es-BO"/>
        </w:rPr>
        <w:t>………….</w:t>
      </w:r>
    </w:p>
    <w:p w14:paraId="65DB3B5F" w14:textId="77777777" w:rsidR="00256727" w:rsidRPr="008379CA" w:rsidRDefault="00256727" w:rsidP="00256727">
      <w:pPr>
        <w:pStyle w:val="BodyText2"/>
        <w:spacing w:after="0" w:line="320" w:lineRule="exact"/>
        <w:ind w:left="4902"/>
        <w:rPr>
          <w:rFonts w:ascii="Bookman Old Style" w:hAnsi="Bookman Old Style" w:cs="Arial"/>
          <w:bCs/>
          <w:lang w:val="id-ID"/>
        </w:rPr>
      </w:pPr>
    </w:p>
    <w:p w14:paraId="2681A379" w14:textId="77777777" w:rsidR="00256727" w:rsidRPr="008379CA" w:rsidRDefault="00256727" w:rsidP="00256727">
      <w:pPr>
        <w:tabs>
          <w:tab w:val="left" w:pos="1350"/>
        </w:tabs>
        <w:spacing w:line="320" w:lineRule="exact"/>
        <w:ind w:left="4766"/>
        <w:jc w:val="center"/>
        <w:rPr>
          <w:rFonts w:ascii="Bookman Old Style" w:hAnsi="Bookman Old Style" w:cs="Arial"/>
          <w:bCs/>
          <w:lang w:val="es-BO"/>
        </w:rPr>
      </w:pPr>
      <w:r w:rsidRPr="008379CA">
        <w:rPr>
          <w:rFonts w:ascii="Bookman Old Style" w:hAnsi="Bookman Old Style" w:cs="Arial"/>
          <w:bCs/>
          <w:lang w:val="id-ID"/>
        </w:rPr>
        <w:t>Pj. GUBERNUR BANTEN</w:t>
      </w:r>
      <w:r w:rsidRPr="008379CA">
        <w:rPr>
          <w:rFonts w:ascii="Bookman Old Style" w:hAnsi="Bookman Old Style" w:cs="Arial"/>
          <w:bCs/>
          <w:lang w:val="es-BO"/>
        </w:rPr>
        <w:t>,</w:t>
      </w:r>
    </w:p>
    <w:p w14:paraId="56692B61" w14:textId="77777777" w:rsidR="00256727" w:rsidRPr="008379CA" w:rsidRDefault="00256727" w:rsidP="00256727">
      <w:pPr>
        <w:tabs>
          <w:tab w:val="left" w:pos="1350"/>
        </w:tabs>
        <w:spacing w:line="320" w:lineRule="exact"/>
        <w:ind w:left="4766"/>
        <w:jc w:val="center"/>
        <w:rPr>
          <w:rFonts w:ascii="Bookman Old Style" w:hAnsi="Bookman Old Style" w:cs="Arial"/>
          <w:bCs/>
          <w:lang w:val="id-ID"/>
        </w:rPr>
      </w:pPr>
    </w:p>
    <w:p w14:paraId="1BB1FA96" w14:textId="77777777" w:rsidR="00256727" w:rsidRPr="008379CA" w:rsidRDefault="00256727" w:rsidP="00256727">
      <w:pPr>
        <w:tabs>
          <w:tab w:val="left" w:pos="1350"/>
        </w:tabs>
        <w:spacing w:line="320" w:lineRule="exact"/>
        <w:ind w:left="4766"/>
        <w:jc w:val="center"/>
        <w:rPr>
          <w:rFonts w:ascii="Bookman Old Style" w:hAnsi="Bookman Old Style" w:cs="Arial"/>
          <w:bCs/>
          <w:lang w:val="id-ID"/>
        </w:rPr>
      </w:pPr>
    </w:p>
    <w:p w14:paraId="15E717DF" w14:textId="77777777" w:rsidR="00256727" w:rsidRPr="008379CA" w:rsidRDefault="00256727" w:rsidP="00256727">
      <w:pPr>
        <w:tabs>
          <w:tab w:val="left" w:pos="1350"/>
        </w:tabs>
        <w:spacing w:line="320" w:lineRule="exact"/>
        <w:ind w:left="4766"/>
        <w:jc w:val="center"/>
        <w:rPr>
          <w:rFonts w:ascii="Bookman Old Style" w:hAnsi="Bookman Old Style" w:cs="Arial"/>
          <w:bCs/>
          <w:lang w:val="id-ID"/>
        </w:rPr>
      </w:pPr>
    </w:p>
    <w:p w14:paraId="5D8B9582" w14:textId="77777777" w:rsidR="00256727" w:rsidRPr="008379CA" w:rsidRDefault="00256727" w:rsidP="00256727">
      <w:pPr>
        <w:tabs>
          <w:tab w:val="left" w:pos="1350"/>
        </w:tabs>
        <w:spacing w:line="320" w:lineRule="exact"/>
        <w:ind w:left="4766"/>
        <w:jc w:val="center"/>
        <w:rPr>
          <w:rFonts w:ascii="Bookman Old Style" w:hAnsi="Bookman Old Style" w:cs="Arial"/>
          <w:bCs/>
          <w:lang w:val="id-ID"/>
        </w:rPr>
      </w:pPr>
    </w:p>
    <w:p w14:paraId="4EF391B7" w14:textId="2C50CA0B" w:rsidR="00256727" w:rsidRPr="008379CA" w:rsidRDefault="00C25332" w:rsidP="00256727">
      <w:pPr>
        <w:tabs>
          <w:tab w:val="left" w:pos="449"/>
          <w:tab w:val="left" w:pos="720"/>
          <w:tab w:val="left" w:pos="1080"/>
          <w:tab w:val="left" w:pos="5129"/>
          <w:tab w:val="left" w:pos="7154"/>
        </w:tabs>
        <w:spacing w:line="320" w:lineRule="exact"/>
        <w:ind w:left="4766"/>
        <w:jc w:val="center"/>
        <w:rPr>
          <w:rFonts w:ascii="Bookman Old Style" w:hAnsi="Bookman Old Style" w:cs="Arial"/>
          <w:bCs/>
          <w:lang w:val="id-ID"/>
        </w:rPr>
      </w:pPr>
      <w:r>
        <w:rPr>
          <w:rFonts w:ascii="Bookman Old Style" w:hAnsi="Bookman Old Style" w:cs="Arial"/>
          <w:bCs/>
          <w:lang w:val="id-ID"/>
        </w:rPr>
        <w:t>...........................</w:t>
      </w:r>
    </w:p>
    <w:p w14:paraId="7129EC20" w14:textId="77777777" w:rsidR="00256727" w:rsidRPr="008379CA" w:rsidRDefault="00256727" w:rsidP="00256727">
      <w:pPr>
        <w:tabs>
          <w:tab w:val="left" w:pos="449"/>
          <w:tab w:val="left" w:pos="720"/>
          <w:tab w:val="left" w:pos="1080"/>
          <w:tab w:val="left" w:pos="5129"/>
          <w:tab w:val="left" w:pos="7154"/>
        </w:tabs>
        <w:spacing w:line="320" w:lineRule="exact"/>
        <w:ind w:left="4770"/>
        <w:jc w:val="center"/>
        <w:rPr>
          <w:rFonts w:ascii="Bookman Old Style" w:hAnsi="Bookman Old Style" w:cs="Tahoma"/>
          <w:lang w:val="id-ID"/>
        </w:rPr>
      </w:pPr>
    </w:p>
    <w:p w14:paraId="70546EE0" w14:textId="2D6FA924" w:rsidR="00256727" w:rsidRPr="00C25332" w:rsidRDefault="00256727" w:rsidP="00256727">
      <w:pPr>
        <w:pStyle w:val="BodyText2"/>
        <w:spacing w:after="0" w:line="320" w:lineRule="exact"/>
        <w:jc w:val="both"/>
        <w:rPr>
          <w:rFonts w:ascii="Bookman Old Style" w:hAnsi="Bookman Old Style" w:cs="Book Antiqua"/>
          <w:lang w:val="en-US"/>
        </w:rPr>
      </w:pPr>
      <w:r w:rsidRPr="008379CA">
        <w:rPr>
          <w:rFonts w:ascii="Bookman Old Style" w:hAnsi="Bookman Old Style" w:cs="Book Antiqua"/>
          <w:lang w:val="sv-SE"/>
        </w:rPr>
        <w:t>Tembusan :</w:t>
      </w:r>
      <w:r w:rsidR="00C25332">
        <w:rPr>
          <w:rFonts w:ascii="Bookman Old Style" w:hAnsi="Bookman Old Style" w:cs="Book Antiqua"/>
          <w:lang w:val="sv-SE"/>
        </w:rPr>
        <w:t xml:space="preserve"> </w:t>
      </w:r>
      <w:r w:rsidR="00C25332" w:rsidRPr="00C25332">
        <w:rPr>
          <w:rFonts w:ascii="Bookman Old Style" w:hAnsi="Bookman Old Style" w:cs="Book Antiqua"/>
          <w:highlight w:val="green"/>
          <w:lang w:val="sv-SE"/>
        </w:rPr>
        <w:t>(bila perlu)</w:t>
      </w:r>
    </w:p>
    <w:p w14:paraId="722E6CE6" w14:textId="77777777" w:rsidR="00256727" w:rsidRPr="008379CA" w:rsidRDefault="00256727" w:rsidP="00256727">
      <w:pPr>
        <w:pStyle w:val="BodyText2"/>
        <w:numPr>
          <w:ilvl w:val="3"/>
          <w:numId w:val="268"/>
        </w:numPr>
        <w:spacing w:after="0" w:line="320" w:lineRule="exact"/>
        <w:ind w:left="426" w:hanging="426"/>
        <w:jc w:val="both"/>
        <w:rPr>
          <w:rFonts w:ascii="Bookman Old Style" w:hAnsi="Bookman Old Style" w:cs="Book Antiqua"/>
          <w:lang w:val="sv-SE"/>
        </w:rPr>
      </w:pPr>
      <w:r w:rsidRPr="008379CA">
        <w:rPr>
          <w:rFonts w:ascii="Bookman Old Style" w:hAnsi="Bookman Old Style" w:cs="Book Antiqua"/>
          <w:lang w:val="sv-SE"/>
        </w:rPr>
        <w:t>Menteri Dalam Negeri Republik Indonesia;</w:t>
      </w:r>
    </w:p>
    <w:p w14:paraId="7A14B88D" w14:textId="77777777" w:rsidR="00256727" w:rsidRPr="008379CA" w:rsidRDefault="00256727" w:rsidP="00256727">
      <w:pPr>
        <w:pStyle w:val="BodyText2"/>
        <w:numPr>
          <w:ilvl w:val="3"/>
          <w:numId w:val="268"/>
        </w:numPr>
        <w:spacing w:after="0" w:line="320" w:lineRule="exact"/>
        <w:ind w:left="426" w:hanging="426"/>
        <w:jc w:val="both"/>
        <w:rPr>
          <w:rFonts w:ascii="Bookman Old Style" w:hAnsi="Bookman Old Style" w:cs="Book Antiqua"/>
          <w:lang w:val="sv-SE"/>
        </w:rPr>
      </w:pPr>
      <w:r w:rsidRPr="008379CA">
        <w:rPr>
          <w:rFonts w:ascii="Bookman Old Style" w:hAnsi="Bookman Old Style" w:cs="Book Antiqua"/>
          <w:lang w:val="sv-SE"/>
        </w:rPr>
        <w:t>Kepala Badan Pemeriksa Keuangan Republik Indonesia</w:t>
      </w:r>
      <w:r w:rsidRPr="008379CA">
        <w:rPr>
          <w:rFonts w:ascii="Bookman Old Style" w:hAnsi="Bookman Old Style" w:cs="Book Antiqua"/>
          <w:lang w:val="id-ID"/>
        </w:rPr>
        <w:t xml:space="preserve"> </w:t>
      </w:r>
      <w:r w:rsidRPr="008379CA">
        <w:rPr>
          <w:rFonts w:ascii="Bookman Old Style" w:hAnsi="Bookman Old Style" w:cs="Book Antiqua"/>
          <w:lang w:val="sv-SE"/>
        </w:rPr>
        <w:t>Perwakilan Banten;</w:t>
      </w:r>
    </w:p>
    <w:p w14:paraId="07F8E2F3" w14:textId="5354A109" w:rsidR="00256727" w:rsidRPr="008379CA" w:rsidRDefault="003255BC" w:rsidP="00256727">
      <w:pPr>
        <w:pStyle w:val="BodyText2"/>
        <w:numPr>
          <w:ilvl w:val="3"/>
          <w:numId w:val="268"/>
        </w:numPr>
        <w:spacing w:after="0" w:line="320" w:lineRule="exact"/>
        <w:ind w:left="426" w:hanging="426"/>
        <w:jc w:val="both"/>
        <w:rPr>
          <w:rFonts w:ascii="Bookman Old Style" w:hAnsi="Bookman Old Style" w:cs="Book Antiqua"/>
          <w:lang w:val="sv-SE"/>
        </w:rPr>
      </w:pPr>
      <w:r w:rsidRPr="008379CA">
        <w:rPr>
          <w:rFonts w:ascii="Bookman Old Style" w:hAnsi="Bookman Old Style" w:cs="Book Antiqua"/>
          <w:bCs/>
          <w:lang w:val="id-ID"/>
        </w:rPr>
        <w:t>Wali Kota</w:t>
      </w:r>
      <w:r w:rsidR="00256727" w:rsidRPr="008379CA">
        <w:rPr>
          <w:rFonts w:ascii="Bookman Old Style" w:hAnsi="Bookman Old Style"/>
          <w:lang w:val="id-ID"/>
        </w:rPr>
        <w:t xml:space="preserve"> Tangerang</w:t>
      </w:r>
      <w:r w:rsidR="00256727" w:rsidRPr="008379CA">
        <w:rPr>
          <w:rFonts w:ascii="Bookman Old Style" w:hAnsi="Bookman Old Style" w:cs="Book Antiqua"/>
          <w:lang w:val="sv-SE"/>
        </w:rPr>
        <w:t>;</w:t>
      </w:r>
    </w:p>
    <w:p w14:paraId="72274324" w14:textId="1E5B39B5" w:rsidR="00256727" w:rsidRPr="008379CA" w:rsidRDefault="00256727" w:rsidP="00256727">
      <w:pPr>
        <w:pStyle w:val="BodyText2"/>
        <w:numPr>
          <w:ilvl w:val="3"/>
          <w:numId w:val="268"/>
        </w:numPr>
        <w:spacing w:after="0" w:line="320" w:lineRule="exact"/>
        <w:ind w:left="426" w:hanging="426"/>
        <w:jc w:val="both"/>
        <w:rPr>
          <w:rFonts w:ascii="Bookman Old Style" w:hAnsi="Bookman Old Style" w:cs="Book Antiqua"/>
          <w:lang w:val="sv-SE"/>
        </w:rPr>
      </w:pPr>
      <w:r w:rsidRPr="008379CA">
        <w:rPr>
          <w:rFonts w:ascii="Bookman Old Style" w:hAnsi="Bookman Old Style" w:cs="Book Antiqua"/>
          <w:lang w:val="sv-SE"/>
        </w:rPr>
        <w:t xml:space="preserve">Ketua </w:t>
      </w:r>
      <w:r w:rsidRPr="008379CA">
        <w:rPr>
          <w:rFonts w:ascii="Bookman Old Style" w:hAnsi="Bookman Old Style" w:cs="Book Antiqua"/>
          <w:lang w:val="sv-FI"/>
        </w:rPr>
        <w:t>Dewan Perwakilan Rakyat Daerah</w:t>
      </w:r>
      <w:r w:rsidRPr="008379CA">
        <w:rPr>
          <w:rFonts w:ascii="Bookman Old Style" w:hAnsi="Bookman Old Style" w:cs="Book Antiqua"/>
          <w:lang w:val="sv-SE"/>
        </w:rPr>
        <w:t xml:space="preserve"> </w:t>
      </w:r>
      <w:r w:rsidR="003255BC" w:rsidRPr="008379CA">
        <w:rPr>
          <w:rFonts w:ascii="Bookman Old Style" w:hAnsi="Bookman Old Style"/>
          <w:lang w:val="id-ID"/>
        </w:rPr>
        <w:t>Kota Tangerang</w:t>
      </w:r>
      <w:r w:rsidRPr="008379CA">
        <w:rPr>
          <w:rFonts w:ascii="Bookman Old Style" w:hAnsi="Bookman Old Style" w:cs="Book Antiqua"/>
          <w:lang w:val="id-ID"/>
        </w:rPr>
        <w:t>;</w:t>
      </w:r>
    </w:p>
    <w:p w14:paraId="6747A520" w14:textId="77777777" w:rsidR="00256727" w:rsidRPr="008379CA" w:rsidRDefault="00256727" w:rsidP="00256727">
      <w:pPr>
        <w:pStyle w:val="BodyText2"/>
        <w:numPr>
          <w:ilvl w:val="3"/>
          <w:numId w:val="268"/>
        </w:numPr>
        <w:spacing w:after="0" w:line="320" w:lineRule="exact"/>
        <w:ind w:left="426" w:hanging="426"/>
        <w:jc w:val="both"/>
        <w:rPr>
          <w:rFonts w:ascii="Bookman Old Style" w:hAnsi="Bookman Old Style" w:cs="Book Antiqua"/>
          <w:b/>
          <w:lang w:val="id-ID"/>
        </w:rPr>
      </w:pPr>
      <w:r w:rsidRPr="008379CA">
        <w:rPr>
          <w:rFonts w:ascii="Bookman Old Style" w:hAnsi="Bookman Old Style" w:cs="Book Antiqua"/>
          <w:lang w:val="sv-SE"/>
        </w:rPr>
        <w:t xml:space="preserve">Inspektur </w:t>
      </w:r>
      <w:r w:rsidRPr="008379CA">
        <w:rPr>
          <w:rFonts w:ascii="Bookman Old Style" w:hAnsi="Bookman Old Style" w:cs="Book Antiqua"/>
          <w:lang w:val="id-ID"/>
        </w:rPr>
        <w:t xml:space="preserve">Daerah </w:t>
      </w:r>
      <w:r w:rsidRPr="008379CA">
        <w:rPr>
          <w:rFonts w:ascii="Bookman Old Style" w:hAnsi="Bookman Old Style" w:cs="Book Antiqua"/>
          <w:lang w:val="sv-SE"/>
        </w:rPr>
        <w:t>Provinsi Banten</w:t>
      </w:r>
      <w:r w:rsidRPr="008379CA">
        <w:rPr>
          <w:rFonts w:ascii="Bookman Old Style" w:hAnsi="Bookman Old Style" w:cs="Book Antiqua"/>
          <w:lang w:val="id-ID"/>
        </w:rPr>
        <w:t>.</w:t>
      </w:r>
    </w:p>
    <w:p w14:paraId="4296AFF1" w14:textId="77777777" w:rsidR="00256727" w:rsidRPr="008379CA" w:rsidRDefault="00256727" w:rsidP="00256727">
      <w:pPr>
        <w:spacing w:line="276" w:lineRule="auto"/>
        <w:jc w:val="center"/>
        <w:rPr>
          <w:rFonts w:ascii="Bookman Old Style" w:hAnsi="Bookman Old Style" w:cs="Book Antiqua"/>
          <w:bCs/>
          <w:lang w:val="id-ID"/>
        </w:rPr>
      </w:pPr>
    </w:p>
    <w:p w14:paraId="7D19249C" w14:textId="77777777" w:rsidR="00F615FB" w:rsidRDefault="00F615FB" w:rsidP="00256727">
      <w:pPr>
        <w:pStyle w:val="NormalWeb"/>
        <w:spacing w:before="0" w:beforeAutospacing="0" w:after="0" w:afterAutospacing="0"/>
        <w:ind w:left="3600"/>
        <w:rPr>
          <w:rFonts w:ascii="Bookman Old Style" w:hAnsi="Bookman Old Style"/>
          <w:lang w:val="sv-FI"/>
        </w:rPr>
      </w:pPr>
    </w:p>
    <w:p w14:paraId="032A195D" w14:textId="77777777" w:rsidR="00F615FB" w:rsidRDefault="00F615FB" w:rsidP="00256727">
      <w:pPr>
        <w:pStyle w:val="NormalWeb"/>
        <w:spacing w:before="0" w:beforeAutospacing="0" w:after="0" w:afterAutospacing="0"/>
        <w:ind w:left="3600"/>
        <w:rPr>
          <w:rFonts w:ascii="Bookman Old Style" w:hAnsi="Bookman Old Style"/>
          <w:lang w:val="sv-FI"/>
        </w:rPr>
      </w:pPr>
    </w:p>
    <w:p w14:paraId="1EA6DD75" w14:textId="77777777" w:rsidR="00F615FB" w:rsidRDefault="00F615FB" w:rsidP="00256727">
      <w:pPr>
        <w:pStyle w:val="NormalWeb"/>
        <w:spacing w:before="0" w:beforeAutospacing="0" w:after="0" w:afterAutospacing="0"/>
        <w:ind w:left="3600"/>
        <w:rPr>
          <w:rFonts w:ascii="Bookman Old Style" w:hAnsi="Bookman Old Style"/>
          <w:lang w:val="sv-FI"/>
        </w:rPr>
      </w:pPr>
    </w:p>
    <w:p w14:paraId="19948CE6" w14:textId="77777777" w:rsidR="00F615FB" w:rsidRDefault="00F615FB" w:rsidP="00256727">
      <w:pPr>
        <w:pStyle w:val="NormalWeb"/>
        <w:spacing w:before="0" w:beforeAutospacing="0" w:after="0" w:afterAutospacing="0"/>
        <w:ind w:left="3600"/>
        <w:rPr>
          <w:rFonts w:ascii="Bookman Old Style" w:hAnsi="Bookman Old Style"/>
          <w:lang w:val="sv-FI"/>
        </w:rPr>
      </w:pPr>
    </w:p>
    <w:p w14:paraId="33217908" w14:textId="77777777" w:rsidR="00F615FB" w:rsidRDefault="00F615FB" w:rsidP="00256727">
      <w:pPr>
        <w:pStyle w:val="NormalWeb"/>
        <w:spacing w:before="0" w:beforeAutospacing="0" w:after="0" w:afterAutospacing="0"/>
        <w:ind w:left="3600"/>
        <w:rPr>
          <w:rFonts w:ascii="Bookman Old Style" w:hAnsi="Bookman Old Style"/>
          <w:lang w:val="sv-FI"/>
        </w:rPr>
      </w:pPr>
    </w:p>
    <w:p w14:paraId="25F9A176" w14:textId="77777777" w:rsidR="00F615FB" w:rsidRDefault="00F615FB" w:rsidP="00256727">
      <w:pPr>
        <w:pStyle w:val="NormalWeb"/>
        <w:spacing w:before="0" w:beforeAutospacing="0" w:after="0" w:afterAutospacing="0"/>
        <w:ind w:left="3600"/>
        <w:rPr>
          <w:rFonts w:ascii="Bookman Old Style" w:hAnsi="Bookman Old Style"/>
          <w:lang w:val="sv-FI"/>
        </w:rPr>
      </w:pPr>
    </w:p>
    <w:p w14:paraId="34217DEB" w14:textId="77777777" w:rsidR="00F615FB" w:rsidRDefault="00F615FB" w:rsidP="00256727">
      <w:pPr>
        <w:pStyle w:val="NormalWeb"/>
        <w:spacing w:before="0" w:beforeAutospacing="0" w:after="0" w:afterAutospacing="0"/>
        <w:ind w:left="3600"/>
        <w:rPr>
          <w:rFonts w:ascii="Bookman Old Style" w:hAnsi="Bookman Old Style"/>
          <w:lang w:val="sv-FI"/>
        </w:rPr>
      </w:pPr>
    </w:p>
    <w:p w14:paraId="053B629C" w14:textId="77777777" w:rsidR="00F615FB" w:rsidRDefault="00F615FB" w:rsidP="00256727">
      <w:pPr>
        <w:pStyle w:val="NormalWeb"/>
        <w:spacing w:before="0" w:beforeAutospacing="0" w:after="0" w:afterAutospacing="0"/>
        <w:ind w:left="3600"/>
        <w:rPr>
          <w:rFonts w:ascii="Bookman Old Style" w:hAnsi="Bookman Old Style"/>
          <w:lang w:val="sv-FI"/>
        </w:rPr>
      </w:pPr>
    </w:p>
    <w:p w14:paraId="61149103" w14:textId="77777777" w:rsidR="00F615FB" w:rsidRDefault="00F615FB" w:rsidP="00256727">
      <w:pPr>
        <w:pStyle w:val="NormalWeb"/>
        <w:spacing w:before="0" w:beforeAutospacing="0" w:after="0" w:afterAutospacing="0"/>
        <w:ind w:left="3600"/>
        <w:rPr>
          <w:rFonts w:ascii="Bookman Old Style" w:hAnsi="Bookman Old Style"/>
          <w:lang w:val="sv-FI"/>
        </w:rPr>
      </w:pPr>
    </w:p>
    <w:p w14:paraId="02994D71" w14:textId="77777777" w:rsidR="00F615FB" w:rsidRDefault="00F615FB" w:rsidP="00256727">
      <w:pPr>
        <w:pStyle w:val="NormalWeb"/>
        <w:spacing w:before="0" w:beforeAutospacing="0" w:after="0" w:afterAutospacing="0"/>
        <w:ind w:left="3600"/>
        <w:rPr>
          <w:rFonts w:ascii="Bookman Old Style" w:hAnsi="Bookman Old Style"/>
          <w:lang w:val="sv-FI"/>
        </w:rPr>
      </w:pPr>
    </w:p>
    <w:p w14:paraId="082144F6" w14:textId="77777777" w:rsidR="00F615FB" w:rsidRDefault="00F615FB" w:rsidP="00256727">
      <w:pPr>
        <w:pStyle w:val="NormalWeb"/>
        <w:spacing w:before="0" w:beforeAutospacing="0" w:after="0" w:afterAutospacing="0"/>
        <w:ind w:left="3600"/>
        <w:rPr>
          <w:rFonts w:ascii="Bookman Old Style" w:hAnsi="Bookman Old Style"/>
          <w:lang w:val="sv-FI"/>
        </w:rPr>
      </w:pPr>
    </w:p>
    <w:p w14:paraId="030C593A" w14:textId="77777777" w:rsidR="00F615FB" w:rsidRDefault="00F615FB" w:rsidP="00256727">
      <w:pPr>
        <w:pStyle w:val="NormalWeb"/>
        <w:spacing w:before="0" w:beforeAutospacing="0" w:after="0" w:afterAutospacing="0"/>
        <w:ind w:left="3600"/>
        <w:rPr>
          <w:rFonts w:ascii="Bookman Old Style" w:hAnsi="Bookman Old Style"/>
          <w:lang w:val="sv-FI"/>
        </w:rPr>
      </w:pPr>
    </w:p>
    <w:p w14:paraId="054622A5" w14:textId="77777777" w:rsidR="00F615FB" w:rsidRDefault="00F615FB" w:rsidP="00256727">
      <w:pPr>
        <w:pStyle w:val="NormalWeb"/>
        <w:spacing w:before="0" w:beforeAutospacing="0" w:after="0" w:afterAutospacing="0"/>
        <w:ind w:left="3600"/>
        <w:rPr>
          <w:rFonts w:ascii="Bookman Old Style" w:hAnsi="Bookman Old Style"/>
          <w:lang w:val="sv-FI"/>
        </w:rPr>
      </w:pPr>
    </w:p>
    <w:p w14:paraId="4F8F23BD" w14:textId="77777777" w:rsidR="00F615FB" w:rsidRDefault="00F615FB" w:rsidP="00256727">
      <w:pPr>
        <w:pStyle w:val="NormalWeb"/>
        <w:spacing w:before="0" w:beforeAutospacing="0" w:after="0" w:afterAutospacing="0"/>
        <w:ind w:left="3600"/>
        <w:rPr>
          <w:rFonts w:ascii="Bookman Old Style" w:hAnsi="Bookman Old Style"/>
          <w:lang w:val="sv-FI"/>
        </w:rPr>
      </w:pPr>
    </w:p>
    <w:p w14:paraId="5885A3C6" w14:textId="77777777" w:rsidR="00F615FB" w:rsidRDefault="00F615FB" w:rsidP="00256727">
      <w:pPr>
        <w:pStyle w:val="NormalWeb"/>
        <w:spacing w:before="0" w:beforeAutospacing="0" w:after="0" w:afterAutospacing="0"/>
        <w:ind w:left="3600"/>
        <w:rPr>
          <w:rFonts w:ascii="Bookman Old Style" w:hAnsi="Bookman Old Style"/>
          <w:lang w:val="sv-FI"/>
        </w:rPr>
      </w:pPr>
    </w:p>
    <w:p w14:paraId="0FE6AB85" w14:textId="77777777" w:rsidR="00F615FB" w:rsidRDefault="00F615FB" w:rsidP="00256727">
      <w:pPr>
        <w:pStyle w:val="NormalWeb"/>
        <w:spacing w:before="0" w:beforeAutospacing="0" w:after="0" w:afterAutospacing="0"/>
        <w:ind w:left="3600"/>
        <w:rPr>
          <w:rFonts w:ascii="Bookman Old Style" w:hAnsi="Bookman Old Style"/>
          <w:lang w:val="sv-FI"/>
        </w:rPr>
      </w:pPr>
    </w:p>
    <w:p w14:paraId="2A7DC679" w14:textId="77777777" w:rsidR="00F615FB" w:rsidRDefault="00F615FB" w:rsidP="00256727">
      <w:pPr>
        <w:pStyle w:val="NormalWeb"/>
        <w:spacing w:before="0" w:beforeAutospacing="0" w:after="0" w:afterAutospacing="0"/>
        <w:ind w:left="3600"/>
        <w:rPr>
          <w:rFonts w:ascii="Bookman Old Style" w:hAnsi="Bookman Old Style"/>
          <w:lang w:val="sv-FI"/>
        </w:rPr>
      </w:pPr>
    </w:p>
    <w:p w14:paraId="7DC8A95E" w14:textId="77777777" w:rsidR="00F615FB" w:rsidRDefault="00F615FB" w:rsidP="00256727">
      <w:pPr>
        <w:pStyle w:val="NormalWeb"/>
        <w:spacing w:before="0" w:beforeAutospacing="0" w:after="0" w:afterAutospacing="0"/>
        <w:ind w:left="3600"/>
        <w:rPr>
          <w:rFonts w:ascii="Bookman Old Style" w:hAnsi="Bookman Old Style"/>
          <w:lang w:val="sv-FI"/>
        </w:rPr>
      </w:pPr>
    </w:p>
    <w:p w14:paraId="77DD398F" w14:textId="77777777" w:rsidR="00F615FB" w:rsidRDefault="00F615FB" w:rsidP="00256727">
      <w:pPr>
        <w:pStyle w:val="NormalWeb"/>
        <w:spacing w:before="0" w:beforeAutospacing="0" w:after="0" w:afterAutospacing="0"/>
        <w:ind w:left="3600"/>
        <w:rPr>
          <w:rFonts w:ascii="Bookman Old Style" w:hAnsi="Bookman Old Style"/>
          <w:lang w:val="sv-FI"/>
        </w:rPr>
      </w:pPr>
    </w:p>
    <w:p w14:paraId="0961C456" w14:textId="77777777" w:rsidR="00F615FB" w:rsidRDefault="00F615FB" w:rsidP="00256727">
      <w:pPr>
        <w:pStyle w:val="NormalWeb"/>
        <w:spacing w:before="0" w:beforeAutospacing="0" w:after="0" w:afterAutospacing="0"/>
        <w:ind w:left="3600"/>
        <w:rPr>
          <w:rFonts w:ascii="Bookman Old Style" w:hAnsi="Bookman Old Style"/>
          <w:lang w:val="sv-FI"/>
        </w:rPr>
      </w:pPr>
    </w:p>
    <w:p w14:paraId="068DCDC3" w14:textId="77777777" w:rsidR="00F615FB" w:rsidRDefault="00F615FB" w:rsidP="00256727">
      <w:pPr>
        <w:pStyle w:val="NormalWeb"/>
        <w:spacing w:before="0" w:beforeAutospacing="0" w:after="0" w:afterAutospacing="0"/>
        <w:ind w:left="3600"/>
        <w:rPr>
          <w:rFonts w:ascii="Bookman Old Style" w:hAnsi="Bookman Old Style"/>
          <w:lang w:val="sv-FI"/>
        </w:rPr>
      </w:pPr>
    </w:p>
    <w:p w14:paraId="7B1065D6" w14:textId="77777777" w:rsidR="00F615FB" w:rsidRDefault="00F615FB" w:rsidP="00256727">
      <w:pPr>
        <w:pStyle w:val="NormalWeb"/>
        <w:spacing w:before="0" w:beforeAutospacing="0" w:after="0" w:afterAutospacing="0"/>
        <w:ind w:left="3600"/>
        <w:rPr>
          <w:rFonts w:ascii="Bookman Old Style" w:hAnsi="Bookman Old Style"/>
          <w:lang w:val="sv-FI"/>
        </w:rPr>
      </w:pPr>
    </w:p>
    <w:p w14:paraId="3F391EAA" w14:textId="77777777" w:rsidR="00F615FB" w:rsidRDefault="00F615FB" w:rsidP="00256727">
      <w:pPr>
        <w:pStyle w:val="NormalWeb"/>
        <w:spacing w:before="0" w:beforeAutospacing="0" w:after="0" w:afterAutospacing="0"/>
        <w:ind w:left="3600"/>
        <w:rPr>
          <w:rFonts w:ascii="Bookman Old Style" w:hAnsi="Bookman Old Style"/>
          <w:lang w:val="sv-FI"/>
        </w:rPr>
      </w:pPr>
    </w:p>
    <w:p w14:paraId="57412CB2" w14:textId="77777777" w:rsidR="00F615FB" w:rsidRDefault="00F615FB" w:rsidP="00256727">
      <w:pPr>
        <w:pStyle w:val="NormalWeb"/>
        <w:spacing w:before="0" w:beforeAutospacing="0" w:after="0" w:afterAutospacing="0"/>
        <w:ind w:left="3600"/>
        <w:rPr>
          <w:rFonts w:ascii="Bookman Old Style" w:hAnsi="Bookman Old Style"/>
          <w:lang w:val="sv-FI"/>
        </w:rPr>
      </w:pPr>
    </w:p>
    <w:p w14:paraId="4BB3AD44" w14:textId="77777777" w:rsidR="00F615FB" w:rsidRDefault="00F615FB" w:rsidP="00256727">
      <w:pPr>
        <w:pStyle w:val="NormalWeb"/>
        <w:spacing w:before="0" w:beforeAutospacing="0" w:after="0" w:afterAutospacing="0"/>
        <w:ind w:left="3600"/>
        <w:rPr>
          <w:rFonts w:ascii="Bookman Old Style" w:hAnsi="Bookman Old Style"/>
          <w:lang w:val="sv-FI"/>
        </w:rPr>
      </w:pPr>
    </w:p>
    <w:p w14:paraId="07B11E35" w14:textId="77777777" w:rsidR="00F615FB" w:rsidRDefault="00F615FB" w:rsidP="00256727">
      <w:pPr>
        <w:pStyle w:val="NormalWeb"/>
        <w:spacing w:before="0" w:beforeAutospacing="0" w:after="0" w:afterAutospacing="0"/>
        <w:ind w:left="3600"/>
        <w:rPr>
          <w:rFonts w:ascii="Bookman Old Style" w:hAnsi="Bookman Old Style"/>
          <w:lang w:val="sv-FI"/>
        </w:rPr>
      </w:pPr>
    </w:p>
    <w:p w14:paraId="3056C3B2" w14:textId="77777777" w:rsidR="00F615FB" w:rsidRDefault="00F615FB" w:rsidP="00256727">
      <w:pPr>
        <w:pStyle w:val="NormalWeb"/>
        <w:spacing w:before="0" w:beforeAutospacing="0" w:after="0" w:afterAutospacing="0"/>
        <w:ind w:left="3600"/>
        <w:rPr>
          <w:rFonts w:ascii="Bookman Old Style" w:hAnsi="Bookman Old Style"/>
          <w:lang w:val="sv-FI"/>
        </w:rPr>
      </w:pPr>
    </w:p>
    <w:p w14:paraId="51D29970" w14:textId="77777777" w:rsidR="00F615FB" w:rsidRDefault="00F615FB" w:rsidP="00256727">
      <w:pPr>
        <w:pStyle w:val="NormalWeb"/>
        <w:spacing w:before="0" w:beforeAutospacing="0" w:after="0" w:afterAutospacing="0"/>
        <w:ind w:left="3600"/>
        <w:rPr>
          <w:rFonts w:ascii="Bookman Old Style" w:hAnsi="Bookman Old Style"/>
          <w:lang w:val="sv-FI"/>
        </w:rPr>
      </w:pPr>
    </w:p>
    <w:p w14:paraId="3A0F556D" w14:textId="77777777" w:rsidR="00F615FB" w:rsidRDefault="00F615FB" w:rsidP="00256727">
      <w:pPr>
        <w:pStyle w:val="NormalWeb"/>
        <w:spacing w:before="0" w:beforeAutospacing="0" w:after="0" w:afterAutospacing="0"/>
        <w:ind w:left="3600"/>
        <w:rPr>
          <w:rFonts w:ascii="Bookman Old Style" w:hAnsi="Bookman Old Style"/>
          <w:lang w:val="sv-FI"/>
        </w:rPr>
      </w:pPr>
    </w:p>
    <w:p w14:paraId="18E493BF" w14:textId="77777777" w:rsidR="00F615FB" w:rsidRDefault="00F615FB" w:rsidP="00256727">
      <w:pPr>
        <w:pStyle w:val="NormalWeb"/>
        <w:spacing w:before="0" w:beforeAutospacing="0" w:after="0" w:afterAutospacing="0"/>
        <w:ind w:left="3600"/>
        <w:rPr>
          <w:rFonts w:ascii="Bookman Old Style" w:hAnsi="Bookman Old Style"/>
          <w:lang w:val="sv-FI"/>
        </w:rPr>
      </w:pPr>
    </w:p>
    <w:p w14:paraId="29E878EF" w14:textId="1404C7F4" w:rsidR="00256727" w:rsidRPr="008379CA" w:rsidRDefault="00256727" w:rsidP="00256727">
      <w:pPr>
        <w:pStyle w:val="NormalWeb"/>
        <w:spacing w:before="0" w:beforeAutospacing="0" w:after="0" w:afterAutospacing="0"/>
        <w:ind w:left="3600"/>
        <w:rPr>
          <w:rFonts w:ascii="Bookman Old Style" w:hAnsi="Bookman Old Style"/>
          <w:lang w:val="sv-FI"/>
        </w:rPr>
      </w:pPr>
      <w:r w:rsidRPr="008379CA">
        <w:rPr>
          <w:rFonts w:ascii="Bookman Old Style" w:hAnsi="Bookman Old Style"/>
          <w:lang w:val="sv-FI"/>
        </w:rPr>
        <w:t>Lampiran Keputusan Gubernur Banten</w:t>
      </w:r>
    </w:p>
    <w:p w14:paraId="56742E22" w14:textId="4A6064CB" w:rsidR="00256727" w:rsidRPr="008379CA" w:rsidRDefault="00256727" w:rsidP="00256727">
      <w:pPr>
        <w:pStyle w:val="NormalWeb"/>
        <w:tabs>
          <w:tab w:val="left" w:pos="5812"/>
        </w:tabs>
        <w:spacing w:before="0" w:beforeAutospacing="0" w:after="0" w:afterAutospacing="0"/>
        <w:ind w:left="4816" w:right="-1699"/>
        <w:rPr>
          <w:rFonts w:ascii="Bookman Old Style" w:hAnsi="Bookman Old Style"/>
          <w:lang w:val="sv-FI"/>
        </w:rPr>
      </w:pPr>
      <w:r w:rsidRPr="008379CA">
        <w:rPr>
          <w:rFonts w:ascii="Bookman Old Style" w:hAnsi="Bookman Old Style"/>
          <w:lang w:val="sv-FI"/>
        </w:rPr>
        <w:t>Nomor</w:t>
      </w:r>
      <w:r w:rsidRPr="008379CA">
        <w:rPr>
          <w:rStyle w:val="apple-tab-span"/>
          <w:rFonts w:ascii="Bookman Old Style" w:hAnsi="Bookman Old Style"/>
        </w:rPr>
        <w:tab/>
      </w:r>
      <w:r w:rsidRPr="008379CA">
        <w:rPr>
          <w:rFonts w:ascii="Bookman Old Style" w:hAnsi="Bookman Old Style"/>
          <w:lang w:val="sv-FI"/>
        </w:rPr>
        <w:t>: </w:t>
      </w:r>
    </w:p>
    <w:p w14:paraId="4B545A75" w14:textId="2FFFAE9C" w:rsidR="00256727" w:rsidRPr="008379CA" w:rsidRDefault="00256727" w:rsidP="00256727">
      <w:pPr>
        <w:tabs>
          <w:tab w:val="left" w:pos="5812"/>
        </w:tabs>
        <w:spacing w:line="276" w:lineRule="auto"/>
        <w:ind w:left="4816"/>
        <w:rPr>
          <w:rFonts w:ascii="Bookman Old Style" w:hAnsi="Bookman Old Style"/>
          <w:lang w:val="sv-FI"/>
        </w:rPr>
      </w:pPr>
      <w:r w:rsidRPr="008379CA">
        <w:rPr>
          <w:rFonts w:ascii="Bookman Old Style" w:hAnsi="Bookman Old Style"/>
          <w:lang w:val="sv-FI"/>
        </w:rPr>
        <w:t>Tanggal</w:t>
      </w:r>
      <w:r w:rsidRPr="008379CA">
        <w:rPr>
          <w:rFonts w:ascii="Bookman Old Style" w:hAnsi="Bookman Old Style"/>
          <w:lang w:val="sv-FI"/>
        </w:rPr>
        <w:tab/>
        <w:t>:</w:t>
      </w:r>
    </w:p>
    <w:p w14:paraId="7EDA6259" w14:textId="77777777" w:rsidR="00256727" w:rsidRPr="008379CA" w:rsidRDefault="00256727" w:rsidP="00256727">
      <w:pPr>
        <w:tabs>
          <w:tab w:val="left" w:pos="5812"/>
        </w:tabs>
        <w:spacing w:line="276" w:lineRule="auto"/>
        <w:ind w:left="4816"/>
        <w:rPr>
          <w:rFonts w:ascii="Bookman Old Style" w:hAnsi="Bookman Old Style" w:cs="Book Antiqua"/>
          <w:bCs/>
          <w:lang w:val="id-ID"/>
        </w:rPr>
      </w:pPr>
    </w:p>
    <w:p w14:paraId="5379CCFD" w14:textId="4C8CA9A1" w:rsidR="00B80FD8" w:rsidRPr="008379CA" w:rsidRDefault="00B80FD8" w:rsidP="00727324">
      <w:pPr>
        <w:spacing w:line="276" w:lineRule="auto"/>
        <w:jc w:val="center"/>
        <w:rPr>
          <w:rFonts w:ascii="Bookman Old Style" w:hAnsi="Bookman Old Style" w:cs="Book Antiqua"/>
          <w:bCs/>
          <w:lang w:val="id-ID"/>
        </w:rPr>
      </w:pPr>
      <w:r w:rsidRPr="008379CA">
        <w:rPr>
          <w:rFonts w:ascii="Bookman Old Style" w:hAnsi="Bookman Old Style" w:cs="Book Antiqua"/>
          <w:bCs/>
          <w:lang w:val="id-ID"/>
        </w:rPr>
        <w:t>HASIL</w:t>
      </w:r>
      <w:r w:rsidR="00A954D0" w:rsidRPr="008379CA">
        <w:rPr>
          <w:rFonts w:ascii="Bookman Old Style" w:hAnsi="Bookman Old Style" w:cs="Book Antiqua"/>
          <w:bCs/>
          <w:lang w:val="id-ID"/>
        </w:rPr>
        <w:t xml:space="preserve"> </w:t>
      </w:r>
      <w:r w:rsidRPr="008379CA">
        <w:rPr>
          <w:rFonts w:ascii="Bookman Old Style" w:hAnsi="Bookman Old Style" w:cs="Book Antiqua"/>
          <w:bCs/>
          <w:lang w:val="id-ID"/>
        </w:rPr>
        <w:t>EVALUASI</w:t>
      </w:r>
      <w:r w:rsidR="00A954D0" w:rsidRPr="008379CA">
        <w:rPr>
          <w:rFonts w:ascii="Bookman Old Style" w:hAnsi="Bookman Old Style" w:cs="Book Antiqua"/>
          <w:bCs/>
          <w:lang w:val="id-ID"/>
        </w:rPr>
        <w:t xml:space="preserve"> </w:t>
      </w:r>
      <w:r w:rsidRPr="008379CA">
        <w:rPr>
          <w:rFonts w:ascii="Bookman Old Style" w:hAnsi="Bookman Old Style" w:cs="Book Antiqua"/>
          <w:bCs/>
          <w:lang w:val="id-ID"/>
        </w:rPr>
        <w:t>RANCANGAN</w:t>
      </w:r>
      <w:r w:rsidR="00A954D0" w:rsidRPr="008379CA">
        <w:rPr>
          <w:rFonts w:ascii="Bookman Old Style" w:hAnsi="Bookman Old Style" w:cs="Book Antiqua"/>
          <w:bCs/>
          <w:lang w:val="id-ID"/>
        </w:rPr>
        <w:t xml:space="preserve"> </w:t>
      </w:r>
      <w:r w:rsidRPr="008379CA">
        <w:rPr>
          <w:rFonts w:ascii="Bookman Old Style" w:hAnsi="Bookman Old Style" w:cs="Book Antiqua"/>
          <w:bCs/>
          <w:lang w:val="id-ID"/>
        </w:rPr>
        <w:t>PERATURAN</w:t>
      </w:r>
      <w:r w:rsidR="00A954D0" w:rsidRPr="008379CA">
        <w:rPr>
          <w:rFonts w:ascii="Bookman Old Style" w:hAnsi="Bookman Old Style" w:cs="Book Antiqua"/>
          <w:bCs/>
          <w:lang w:val="id-ID"/>
        </w:rPr>
        <w:t xml:space="preserve"> </w:t>
      </w:r>
      <w:r w:rsidRPr="008379CA">
        <w:rPr>
          <w:rFonts w:ascii="Bookman Old Style" w:hAnsi="Bookman Old Style" w:cs="Book Antiqua"/>
          <w:bCs/>
          <w:lang w:val="id-ID"/>
        </w:rPr>
        <w:t>DAERAH</w:t>
      </w:r>
    </w:p>
    <w:p w14:paraId="010660F8" w14:textId="77777777" w:rsidR="003255BC" w:rsidRPr="008379CA" w:rsidRDefault="00B055C5" w:rsidP="00306EE9">
      <w:pPr>
        <w:spacing w:line="276" w:lineRule="auto"/>
        <w:ind w:left="-426"/>
        <w:jc w:val="center"/>
        <w:rPr>
          <w:rFonts w:ascii="Bookman Old Style" w:hAnsi="Bookman Old Style" w:cs="Book Antiqua"/>
          <w:bCs/>
          <w:lang w:val="id-ID"/>
        </w:rPr>
      </w:pPr>
      <w:r w:rsidRPr="008379CA">
        <w:rPr>
          <w:rFonts w:ascii="Bookman Old Style" w:hAnsi="Bookman Old Style" w:cs="Book Antiqua"/>
          <w:bCs/>
          <w:lang w:val="id-ID"/>
        </w:rPr>
        <w:t>KOTA</w:t>
      </w:r>
      <w:r w:rsidR="00A954D0" w:rsidRPr="008379CA">
        <w:rPr>
          <w:rFonts w:ascii="Bookman Old Style" w:hAnsi="Bookman Old Style" w:cs="Book Antiqua"/>
          <w:bCs/>
          <w:lang w:val="id-ID"/>
        </w:rPr>
        <w:t xml:space="preserve"> </w:t>
      </w:r>
      <w:r w:rsidR="00770F22" w:rsidRPr="008379CA">
        <w:rPr>
          <w:rFonts w:ascii="Bookman Old Style" w:hAnsi="Bookman Old Style" w:cs="Book Antiqua"/>
          <w:bCs/>
          <w:lang w:val="id-ID"/>
        </w:rPr>
        <w:t>TANGERANG</w:t>
      </w:r>
      <w:r w:rsidR="00A954D0" w:rsidRPr="008379CA">
        <w:rPr>
          <w:rFonts w:ascii="Bookman Old Style" w:hAnsi="Bookman Old Style" w:cs="Book Antiqua"/>
          <w:bCs/>
          <w:lang w:val="id-ID"/>
        </w:rPr>
        <w:t xml:space="preserve"> </w:t>
      </w:r>
      <w:r w:rsidR="00B80FD8" w:rsidRPr="008379CA">
        <w:rPr>
          <w:rFonts w:ascii="Bookman Old Style" w:hAnsi="Bookman Old Style" w:cs="Book Antiqua"/>
          <w:bCs/>
          <w:lang w:val="id-ID"/>
        </w:rPr>
        <w:t>TENTANG</w:t>
      </w:r>
      <w:r w:rsidR="00A954D0" w:rsidRPr="008379CA">
        <w:rPr>
          <w:rFonts w:ascii="Bookman Old Style" w:hAnsi="Bookman Old Style" w:cs="Book Antiqua"/>
          <w:bCs/>
          <w:lang w:val="id-ID"/>
        </w:rPr>
        <w:t xml:space="preserve"> </w:t>
      </w:r>
      <w:r w:rsidR="00B80FD8" w:rsidRPr="008379CA">
        <w:rPr>
          <w:rFonts w:ascii="Bookman Old Style" w:hAnsi="Bookman Old Style" w:cs="Book Antiqua"/>
          <w:bCs/>
          <w:lang w:val="id-ID"/>
        </w:rPr>
        <w:t>ANGGARAN</w:t>
      </w:r>
      <w:r w:rsidR="00A954D0" w:rsidRPr="008379CA">
        <w:rPr>
          <w:rFonts w:ascii="Bookman Old Style" w:hAnsi="Bookman Old Style" w:cs="Book Antiqua"/>
          <w:bCs/>
          <w:lang w:val="id-ID"/>
        </w:rPr>
        <w:t xml:space="preserve"> </w:t>
      </w:r>
      <w:r w:rsidR="00B80FD8" w:rsidRPr="008379CA">
        <w:rPr>
          <w:rFonts w:ascii="Bookman Old Style" w:hAnsi="Bookman Old Style" w:cs="Book Antiqua"/>
          <w:bCs/>
          <w:lang w:val="id-ID"/>
        </w:rPr>
        <w:t>PENDAPATAN</w:t>
      </w:r>
      <w:r w:rsidR="00A954D0" w:rsidRPr="008379CA">
        <w:rPr>
          <w:rFonts w:ascii="Bookman Old Style" w:hAnsi="Bookman Old Style" w:cs="Book Antiqua"/>
          <w:bCs/>
          <w:lang w:val="id-ID"/>
        </w:rPr>
        <w:t xml:space="preserve"> </w:t>
      </w:r>
      <w:r w:rsidR="00B80FD8" w:rsidRPr="008379CA">
        <w:rPr>
          <w:rFonts w:ascii="Bookman Old Style" w:hAnsi="Bookman Old Style" w:cs="Book Antiqua"/>
          <w:bCs/>
          <w:lang w:val="id-ID"/>
        </w:rPr>
        <w:t>DAN</w:t>
      </w:r>
      <w:r w:rsidR="00A954D0" w:rsidRPr="008379CA">
        <w:rPr>
          <w:rFonts w:ascii="Bookman Old Style" w:hAnsi="Bookman Old Style" w:cs="Book Antiqua"/>
          <w:bCs/>
          <w:lang w:val="id-ID"/>
        </w:rPr>
        <w:t xml:space="preserve"> </w:t>
      </w:r>
      <w:r w:rsidR="00B80FD8" w:rsidRPr="008379CA">
        <w:rPr>
          <w:rFonts w:ascii="Bookman Old Style" w:hAnsi="Bookman Old Style" w:cs="Book Antiqua"/>
          <w:bCs/>
          <w:lang w:val="id-ID"/>
        </w:rPr>
        <w:t>BELANJA</w:t>
      </w:r>
      <w:r w:rsidR="00A954D0" w:rsidRPr="008379CA">
        <w:rPr>
          <w:rFonts w:ascii="Bookman Old Style" w:hAnsi="Bookman Old Style" w:cs="Book Antiqua"/>
          <w:bCs/>
          <w:lang w:val="id-ID"/>
        </w:rPr>
        <w:t xml:space="preserve"> </w:t>
      </w:r>
      <w:r w:rsidR="00B80FD8" w:rsidRPr="008379CA">
        <w:rPr>
          <w:rFonts w:ascii="Bookman Old Style" w:hAnsi="Bookman Old Style" w:cs="Book Antiqua"/>
          <w:bCs/>
          <w:lang w:val="id-ID"/>
        </w:rPr>
        <w:t>DAERAH</w:t>
      </w:r>
      <w:r w:rsidR="00A954D0" w:rsidRPr="008379CA">
        <w:rPr>
          <w:rFonts w:ascii="Bookman Old Style" w:hAnsi="Bookman Old Style" w:cs="Book Antiqua"/>
          <w:bCs/>
          <w:lang w:val="id-ID"/>
        </w:rPr>
        <w:t xml:space="preserve"> </w:t>
      </w:r>
      <w:r w:rsidR="00B80FD8" w:rsidRPr="008379CA">
        <w:rPr>
          <w:rFonts w:ascii="Bookman Old Style" w:hAnsi="Bookman Old Style" w:cs="Book Antiqua"/>
          <w:bCs/>
          <w:lang w:val="id-ID"/>
        </w:rPr>
        <w:t>TAHUN</w:t>
      </w:r>
      <w:r w:rsidR="00A954D0" w:rsidRPr="008379CA">
        <w:rPr>
          <w:rFonts w:ascii="Bookman Old Style" w:hAnsi="Bookman Old Style" w:cs="Book Antiqua"/>
          <w:bCs/>
          <w:lang w:val="id-ID"/>
        </w:rPr>
        <w:t xml:space="preserve"> </w:t>
      </w:r>
      <w:r w:rsidR="00B80FD8" w:rsidRPr="008379CA">
        <w:rPr>
          <w:rFonts w:ascii="Bookman Old Style" w:hAnsi="Bookman Old Style" w:cs="Book Antiqua"/>
          <w:bCs/>
          <w:lang w:val="id-ID"/>
        </w:rPr>
        <w:t>ANGGARAN</w:t>
      </w:r>
      <w:r w:rsidR="00A954D0" w:rsidRPr="008379CA">
        <w:rPr>
          <w:rFonts w:ascii="Bookman Old Style" w:hAnsi="Bookman Old Style" w:cs="Book Antiqua"/>
          <w:bCs/>
          <w:lang w:val="id-ID"/>
        </w:rPr>
        <w:t xml:space="preserve"> </w:t>
      </w:r>
      <w:r w:rsidR="00B80FD8" w:rsidRPr="008379CA">
        <w:rPr>
          <w:rFonts w:ascii="Bookman Old Style" w:hAnsi="Bookman Old Style" w:cs="Book Antiqua"/>
          <w:bCs/>
          <w:lang w:val="id-ID"/>
        </w:rPr>
        <w:t>202</w:t>
      </w:r>
      <w:r w:rsidR="00697BCE" w:rsidRPr="008379CA">
        <w:rPr>
          <w:rFonts w:ascii="Bookman Old Style" w:hAnsi="Bookman Old Style" w:cs="Book Antiqua"/>
          <w:bCs/>
          <w:lang w:val="id-ID"/>
        </w:rPr>
        <w:t>5</w:t>
      </w:r>
      <w:r w:rsidR="00A954D0" w:rsidRPr="008379CA">
        <w:rPr>
          <w:rFonts w:ascii="Bookman Old Style" w:hAnsi="Bookman Old Style" w:cs="Book Antiqua"/>
          <w:bCs/>
          <w:lang w:val="id-ID"/>
        </w:rPr>
        <w:t xml:space="preserve"> </w:t>
      </w:r>
      <w:r w:rsidR="00B80FD8" w:rsidRPr="008379CA">
        <w:rPr>
          <w:rFonts w:ascii="Bookman Old Style" w:hAnsi="Bookman Old Style" w:cs="Book Antiqua"/>
          <w:bCs/>
          <w:lang w:val="id-ID"/>
        </w:rPr>
        <w:t>DAN</w:t>
      </w:r>
      <w:r w:rsidR="00A954D0" w:rsidRPr="008379CA">
        <w:rPr>
          <w:rFonts w:ascii="Bookman Old Style" w:hAnsi="Bookman Old Style" w:cs="Book Antiqua"/>
          <w:bCs/>
          <w:lang w:val="id-ID"/>
        </w:rPr>
        <w:t xml:space="preserve"> </w:t>
      </w:r>
      <w:r w:rsidR="00B80FD8" w:rsidRPr="008379CA">
        <w:rPr>
          <w:rFonts w:ascii="Bookman Old Style" w:hAnsi="Bookman Old Style" w:cs="Book Antiqua"/>
          <w:bCs/>
          <w:lang w:val="id-ID"/>
        </w:rPr>
        <w:t>RANCANGAN</w:t>
      </w:r>
      <w:r w:rsidR="00A954D0" w:rsidRPr="008379CA">
        <w:rPr>
          <w:rFonts w:ascii="Bookman Old Style" w:hAnsi="Bookman Old Style" w:cs="Book Antiqua"/>
          <w:bCs/>
          <w:lang w:val="id-ID"/>
        </w:rPr>
        <w:t xml:space="preserve"> </w:t>
      </w:r>
      <w:r w:rsidR="00B80FD8" w:rsidRPr="008379CA">
        <w:rPr>
          <w:rFonts w:ascii="Bookman Old Style" w:hAnsi="Bookman Old Style" w:cs="Book Antiqua"/>
          <w:bCs/>
          <w:lang w:val="id-ID"/>
        </w:rPr>
        <w:t>PERATURAN</w:t>
      </w:r>
      <w:r w:rsidR="00A954D0" w:rsidRPr="008379CA">
        <w:rPr>
          <w:rFonts w:ascii="Bookman Old Style" w:hAnsi="Bookman Old Style" w:cs="Book Antiqua"/>
          <w:bCs/>
          <w:lang w:val="id-ID"/>
        </w:rPr>
        <w:t xml:space="preserve"> </w:t>
      </w:r>
    </w:p>
    <w:p w14:paraId="73FF3704" w14:textId="02AEA541" w:rsidR="00CE5A62" w:rsidRPr="008379CA" w:rsidRDefault="001C092E" w:rsidP="00306EE9">
      <w:pPr>
        <w:spacing w:line="276" w:lineRule="auto"/>
        <w:ind w:left="-426"/>
        <w:jc w:val="center"/>
        <w:rPr>
          <w:rFonts w:ascii="Bookman Old Style" w:hAnsi="Bookman Old Style"/>
          <w:lang w:val="id-ID"/>
        </w:rPr>
      </w:pPr>
      <w:r w:rsidRPr="008379CA">
        <w:rPr>
          <w:rFonts w:ascii="Bookman Old Style" w:hAnsi="Bookman Old Style" w:cs="Book Antiqua"/>
          <w:bCs/>
          <w:lang w:val="id-ID"/>
        </w:rPr>
        <w:t>WALI</w:t>
      </w:r>
      <w:r w:rsidR="00A954D0" w:rsidRPr="008379CA">
        <w:rPr>
          <w:rFonts w:ascii="Bookman Old Style" w:hAnsi="Bookman Old Style" w:cs="Book Antiqua"/>
          <w:bCs/>
          <w:lang w:val="id-ID"/>
        </w:rPr>
        <w:t xml:space="preserve"> </w:t>
      </w:r>
      <w:r w:rsidRPr="008379CA">
        <w:rPr>
          <w:rFonts w:ascii="Bookman Old Style" w:hAnsi="Bookman Old Style" w:cs="Book Antiqua"/>
          <w:bCs/>
          <w:lang w:val="id-ID"/>
        </w:rPr>
        <w:t>KOTA</w:t>
      </w:r>
      <w:r w:rsidR="00A954D0" w:rsidRPr="008379CA">
        <w:rPr>
          <w:rFonts w:ascii="Bookman Old Style" w:hAnsi="Bookman Old Style" w:cs="Book Antiqua"/>
          <w:bCs/>
          <w:lang w:val="id-ID"/>
        </w:rPr>
        <w:t xml:space="preserve"> </w:t>
      </w:r>
      <w:r w:rsidR="00770F22" w:rsidRPr="008379CA">
        <w:rPr>
          <w:rFonts w:ascii="Bookman Old Style" w:hAnsi="Bookman Old Style" w:cs="Book Antiqua"/>
          <w:bCs/>
          <w:lang w:val="id-ID"/>
        </w:rPr>
        <w:t>TANGERANG</w:t>
      </w:r>
      <w:r w:rsidR="00A954D0" w:rsidRPr="008379CA">
        <w:rPr>
          <w:rFonts w:ascii="Bookman Old Style" w:hAnsi="Bookman Old Style" w:cs="Book Antiqua"/>
          <w:bCs/>
          <w:lang w:val="id-ID"/>
        </w:rPr>
        <w:t xml:space="preserve"> </w:t>
      </w:r>
      <w:r w:rsidR="00B80FD8" w:rsidRPr="008379CA">
        <w:rPr>
          <w:rFonts w:ascii="Bookman Old Style" w:hAnsi="Bookman Old Style" w:cs="Book Antiqua"/>
          <w:bCs/>
          <w:lang w:val="id-ID"/>
        </w:rPr>
        <w:t>TENTANG</w:t>
      </w:r>
      <w:r w:rsidR="00A954D0" w:rsidRPr="008379CA">
        <w:rPr>
          <w:rFonts w:ascii="Bookman Old Style" w:hAnsi="Bookman Old Style" w:cs="Book Antiqua"/>
          <w:bCs/>
          <w:lang w:val="id-ID"/>
        </w:rPr>
        <w:t xml:space="preserve"> </w:t>
      </w:r>
      <w:r w:rsidR="00B80FD8" w:rsidRPr="008379CA">
        <w:rPr>
          <w:rFonts w:ascii="Bookman Old Style" w:hAnsi="Bookman Old Style" w:cs="Book Antiqua"/>
          <w:bCs/>
          <w:lang w:val="id-ID"/>
        </w:rPr>
        <w:t>PENJABARAN</w:t>
      </w:r>
      <w:r w:rsidR="00A954D0" w:rsidRPr="008379CA">
        <w:rPr>
          <w:rFonts w:ascii="Bookman Old Style" w:hAnsi="Bookman Old Style" w:cs="Book Antiqua"/>
          <w:bCs/>
          <w:lang w:val="id-ID"/>
        </w:rPr>
        <w:t xml:space="preserve"> </w:t>
      </w:r>
      <w:r w:rsidR="00B80FD8" w:rsidRPr="008379CA">
        <w:rPr>
          <w:rFonts w:ascii="Bookman Old Style" w:hAnsi="Bookman Old Style" w:cs="Book Antiqua"/>
          <w:bCs/>
          <w:lang w:val="id-ID"/>
        </w:rPr>
        <w:t>ANGGARAN</w:t>
      </w:r>
      <w:r w:rsidR="00A954D0" w:rsidRPr="008379CA">
        <w:rPr>
          <w:rFonts w:ascii="Bookman Old Style" w:hAnsi="Bookman Old Style" w:cs="Book Antiqua"/>
          <w:bCs/>
          <w:lang w:val="id-ID"/>
        </w:rPr>
        <w:t xml:space="preserve"> </w:t>
      </w:r>
      <w:r w:rsidR="00B80FD8" w:rsidRPr="008379CA">
        <w:rPr>
          <w:rFonts w:ascii="Bookman Old Style" w:hAnsi="Bookman Old Style" w:cs="Book Antiqua"/>
          <w:bCs/>
          <w:lang w:val="id-ID"/>
        </w:rPr>
        <w:t>PENDAPATAN</w:t>
      </w:r>
      <w:r w:rsidR="00A954D0" w:rsidRPr="008379CA">
        <w:rPr>
          <w:rFonts w:ascii="Bookman Old Style" w:hAnsi="Bookman Old Style" w:cs="Book Antiqua"/>
          <w:bCs/>
          <w:lang w:val="id-ID"/>
        </w:rPr>
        <w:t xml:space="preserve"> </w:t>
      </w:r>
      <w:r w:rsidR="00B80FD8" w:rsidRPr="008379CA">
        <w:rPr>
          <w:rFonts w:ascii="Bookman Old Style" w:hAnsi="Bookman Old Style" w:cs="Book Antiqua"/>
          <w:bCs/>
          <w:lang w:val="id-ID"/>
        </w:rPr>
        <w:t>DAN</w:t>
      </w:r>
      <w:r w:rsidR="00A954D0" w:rsidRPr="008379CA">
        <w:rPr>
          <w:rFonts w:ascii="Bookman Old Style" w:hAnsi="Bookman Old Style" w:cs="Book Antiqua"/>
          <w:bCs/>
          <w:lang w:val="id-ID"/>
        </w:rPr>
        <w:t xml:space="preserve"> </w:t>
      </w:r>
      <w:r w:rsidR="00B80FD8" w:rsidRPr="008379CA">
        <w:rPr>
          <w:rFonts w:ascii="Bookman Old Style" w:hAnsi="Bookman Old Style" w:cs="Book Antiqua"/>
          <w:bCs/>
          <w:lang w:val="id-ID"/>
        </w:rPr>
        <w:t>BELANJA</w:t>
      </w:r>
      <w:r w:rsidR="00A954D0" w:rsidRPr="008379CA">
        <w:rPr>
          <w:rFonts w:ascii="Bookman Old Style" w:hAnsi="Bookman Old Style" w:cs="Book Antiqua"/>
          <w:bCs/>
          <w:lang w:val="id-ID"/>
        </w:rPr>
        <w:t xml:space="preserve"> </w:t>
      </w:r>
      <w:r w:rsidR="00B80FD8" w:rsidRPr="008379CA">
        <w:rPr>
          <w:rFonts w:ascii="Bookman Old Style" w:hAnsi="Bookman Old Style" w:cs="Book Antiqua"/>
          <w:bCs/>
          <w:lang w:val="id-ID"/>
        </w:rPr>
        <w:t>DAERAH</w:t>
      </w:r>
      <w:r w:rsidR="00A954D0" w:rsidRPr="008379CA">
        <w:rPr>
          <w:rFonts w:ascii="Bookman Old Style" w:hAnsi="Bookman Old Style" w:cs="Book Antiqua"/>
          <w:bCs/>
          <w:lang w:val="id-ID"/>
        </w:rPr>
        <w:t xml:space="preserve"> </w:t>
      </w:r>
      <w:r w:rsidR="00B80FD8" w:rsidRPr="008379CA">
        <w:rPr>
          <w:rFonts w:ascii="Bookman Old Style" w:hAnsi="Bookman Old Style" w:cs="Book Antiqua"/>
          <w:bCs/>
          <w:lang w:val="id-ID"/>
        </w:rPr>
        <w:t>TAHUN</w:t>
      </w:r>
      <w:r w:rsidR="00A954D0" w:rsidRPr="008379CA">
        <w:rPr>
          <w:rFonts w:ascii="Bookman Old Style" w:hAnsi="Bookman Old Style" w:cs="Book Antiqua"/>
          <w:bCs/>
          <w:lang w:val="id-ID"/>
        </w:rPr>
        <w:t xml:space="preserve"> </w:t>
      </w:r>
      <w:r w:rsidR="00B80FD8" w:rsidRPr="008379CA">
        <w:rPr>
          <w:rFonts w:ascii="Bookman Old Style" w:hAnsi="Bookman Old Style" w:cs="Book Antiqua"/>
          <w:bCs/>
          <w:lang w:val="id-ID"/>
        </w:rPr>
        <w:t>ANGGARAN</w:t>
      </w:r>
      <w:r w:rsidR="00A954D0" w:rsidRPr="008379CA">
        <w:rPr>
          <w:rFonts w:ascii="Bookman Old Style" w:hAnsi="Bookman Old Style" w:cs="Book Antiqua"/>
          <w:bCs/>
          <w:lang w:val="id-ID"/>
        </w:rPr>
        <w:t xml:space="preserve"> </w:t>
      </w:r>
      <w:r w:rsidR="00B80FD8" w:rsidRPr="008379CA">
        <w:rPr>
          <w:rFonts w:ascii="Bookman Old Style" w:hAnsi="Bookman Old Style" w:cs="Book Antiqua"/>
          <w:bCs/>
          <w:lang w:val="id-ID"/>
        </w:rPr>
        <w:t>202</w:t>
      </w:r>
      <w:r w:rsidR="00697BCE" w:rsidRPr="008379CA">
        <w:rPr>
          <w:rFonts w:ascii="Bookman Old Style" w:hAnsi="Bookman Old Style" w:cs="Book Antiqua"/>
          <w:bCs/>
          <w:lang w:val="id-ID"/>
        </w:rPr>
        <w:t>5</w:t>
      </w:r>
    </w:p>
    <w:p w14:paraId="7946B132" w14:textId="77777777" w:rsidR="00B80FD8" w:rsidRPr="008379CA" w:rsidRDefault="00B80FD8" w:rsidP="00727324">
      <w:pPr>
        <w:spacing w:before="60" w:line="276" w:lineRule="auto"/>
        <w:jc w:val="center"/>
        <w:rPr>
          <w:rFonts w:ascii="Bookman Old Style" w:hAnsi="Bookman Old Style"/>
          <w:lang w:val="id-ID"/>
        </w:rPr>
      </w:pPr>
    </w:p>
    <w:p w14:paraId="0237610F" w14:textId="6A806163" w:rsidR="00546326" w:rsidRPr="008379CA" w:rsidRDefault="00546326" w:rsidP="00727324">
      <w:pPr>
        <w:numPr>
          <w:ilvl w:val="0"/>
          <w:numId w:val="1"/>
        </w:numPr>
        <w:spacing w:before="60" w:line="276" w:lineRule="auto"/>
        <w:ind w:left="567" w:hanging="567"/>
        <w:jc w:val="both"/>
        <w:rPr>
          <w:rFonts w:ascii="Bookman Old Style" w:hAnsi="Bookman Old Style"/>
        </w:rPr>
      </w:pPr>
      <w:r w:rsidRPr="008379CA">
        <w:rPr>
          <w:rFonts w:ascii="Bookman Old Style" w:hAnsi="Bookman Old Style"/>
        </w:rPr>
        <w:t>TUJUAN</w:t>
      </w:r>
      <w:r w:rsidR="00A954D0" w:rsidRPr="008379CA">
        <w:rPr>
          <w:rFonts w:ascii="Bookman Old Style" w:hAnsi="Bookman Old Style"/>
        </w:rPr>
        <w:t xml:space="preserve"> </w:t>
      </w:r>
      <w:r w:rsidRPr="008379CA">
        <w:rPr>
          <w:rFonts w:ascii="Bookman Old Style" w:hAnsi="Bookman Old Style"/>
        </w:rPr>
        <w:t>EVALUASI</w:t>
      </w:r>
    </w:p>
    <w:p w14:paraId="21932FED" w14:textId="2C7C9FD4" w:rsidR="00546326" w:rsidRPr="008379CA" w:rsidRDefault="00453EDE" w:rsidP="00727324">
      <w:pPr>
        <w:spacing w:before="60" w:line="276" w:lineRule="auto"/>
        <w:ind w:left="567"/>
        <w:jc w:val="both"/>
        <w:rPr>
          <w:rFonts w:ascii="Bookman Old Style" w:hAnsi="Bookman Old Style"/>
        </w:rPr>
      </w:pPr>
      <w:r w:rsidRPr="008379CA">
        <w:rPr>
          <w:rFonts w:ascii="Bookman Old Style" w:hAnsi="Bookman Old Style"/>
        </w:rPr>
        <w:t>Berdasarkan</w:t>
      </w:r>
      <w:r w:rsidR="00A954D0" w:rsidRPr="008379CA">
        <w:rPr>
          <w:rFonts w:ascii="Bookman Old Style" w:hAnsi="Bookman Old Style"/>
        </w:rPr>
        <w:t xml:space="preserve"> </w:t>
      </w:r>
      <w:r w:rsidRPr="008379CA">
        <w:rPr>
          <w:rFonts w:ascii="Bookman Old Style" w:hAnsi="Bookman Old Style"/>
        </w:rPr>
        <w:t>ketentuan</w:t>
      </w:r>
      <w:r w:rsidR="00A954D0" w:rsidRPr="008379CA">
        <w:rPr>
          <w:rFonts w:ascii="Bookman Old Style" w:hAnsi="Bookman Old Style"/>
        </w:rPr>
        <w:t xml:space="preserve"> </w:t>
      </w:r>
      <w:r w:rsidRPr="008379CA">
        <w:rPr>
          <w:rFonts w:ascii="Bookman Old Style" w:hAnsi="Bookman Old Style"/>
        </w:rPr>
        <w:t>Pasal</w:t>
      </w:r>
      <w:r w:rsidR="00A954D0" w:rsidRPr="008379CA">
        <w:rPr>
          <w:rFonts w:ascii="Bookman Old Style" w:hAnsi="Bookman Old Style"/>
        </w:rPr>
        <w:t xml:space="preserve"> </w:t>
      </w:r>
      <w:r w:rsidRPr="008379CA">
        <w:rPr>
          <w:rFonts w:ascii="Bookman Old Style" w:hAnsi="Bookman Old Style"/>
        </w:rPr>
        <w:t>315</w:t>
      </w:r>
      <w:r w:rsidR="00A954D0" w:rsidRPr="008379CA">
        <w:rPr>
          <w:rFonts w:ascii="Bookman Old Style" w:hAnsi="Bookman Old Style"/>
        </w:rPr>
        <w:t xml:space="preserve"> </w:t>
      </w:r>
      <w:r w:rsidRPr="008379CA">
        <w:rPr>
          <w:rFonts w:ascii="Bookman Old Style" w:hAnsi="Bookman Old Style"/>
        </w:rPr>
        <w:t>ayat</w:t>
      </w:r>
      <w:r w:rsidR="00A954D0" w:rsidRPr="008379CA">
        <w:rPr>
          <w:rFonts w:ascii="Bookman Old Style" w:hAnsi="Bookman Old Style"/>
        </w:rPr>
        <w:t xml:space="preserve"> </w:t>
      </w:r>
      <w:r w:rsidRPr="008379CA">
        <w:rPr>
          <w:rFonts w:ascii="Bookman Old Style" w:hAnsi="Bookman Old Style"/>
        </w:rPr>
        <w:t>(3)</w:t>
      </w:r>
      <w:r w:rsidR="00A954D0" w:rsidRPr="008379CA">
        <w:rPr>
          <w:rFonts w:ascii="Bookman Old Style" w:hAnsi="Bookman Old Style"/>
        </w:rPr>
        <w:t xml:space="preserve"> </w:t>
      </w:r>
      <w:r w:rsidRPr="008379CA">
        <w:rPr>
          <w:rFonts w:ascii="Bookman Old Style" w:hAnsi="Bookman Old Style"/>
        </w:rPr>
        <w:t>Undang-Undang</w:t>
      </w:r>
      <w:r w:rsidR="00A954D0" w:rsidRPr="008379CA">
        <w:rPr>
          <w:rFonts w:ascii="Bookman Old Style" w:hAnsi="Bookman Old Style"/>
        </w:rPr>
        <w:t xml:space="preserve"> </w:t>
      </w:r>
      <w:r w:rsidRPr="008379CA">
        <w:rPr>
          <w:rFonts w:ascii="Bookman Old Style" w:hAnsi="Bookman Old Style"/>
        </w:rPr>
        <w:t>Nomor</w:t>
      </w:r>
      <w:r w:rsidR="00A954D0" w:rsidRPr="008379CA">
        <w:rPr>
          <w:rFonts w:ascii="Bookman Old Style" w:hAnsi="Bookman Old Style"/>
        </w:rPr>
        <w:t xml:space="preserve"> </w:t>
      </w:r>
      <w:r w:rsidRPr="008379CA">
        <w:rPr>
          <w:rFonts w:ascii="Bookman Old Style" w:hAnsi="Bookman Old Style"/>
        </w:rPr>
        <w:t>23</w:t>
      </w:r>
      <w:r w:rsidR="00A954D0" w:rsidRPr="008379CA">
        <w:rPr>
          <w:rFonts w:ascii="Bookman Old Style" w:hAnsi="Bookman Old Style"/>
        </w:rPr>
        <w:t xml:space="preserve"> </w:t>
      </w:r>
      <w:r w:rsidRPr="008379CA">
        <w:rPr>
          <w:rFonts w:ascii="Bookman Old Style" w:hAnsi="Bookman Old Style"/>
        </w:rPr>
        <w:t>Tahun</w:t>
      </w:r>
      <w:r w:rsidR="00A954D0" w:rsidRPr="008379CA">
        <w:rPr>
          <w:rFonts w:ascii="Bookman Old Style" w:hAnsi="Bookman Old Style"/>
        </w:rPr>
        <w:t xml:space="preserve"> </w:t>
      </w:r>
      <w:r w:rsidRPr="008379CA">
        <w:rPr>
          <w:rFonts w:ascii="Bookman Old Style" w:hAnsi="Bookman Old Style"/>
        </w:rPr>
        <w:t>2014</w:t>
      </w:r>
      <w:r w:rsidR="00A954D0" w:rsidRPr="008379CA">
        <w:rPr>
          <w:rFonts w:ascii="Bookman Old Style" w:hAnsi="Bookman Old Style"/>
        </w:rPr>
        <w:t xml:space="preserve"> </w:t>
      </w:r>
      <w:r w:rsidRPr="008379CA">
        <w:rPr>
          <w:rFonts w:ascii="Bookman Old Style" w:hAnsi="Bookman Old Style"/>
        </w:rPr>
        <w:t>tentang</w:t>
      </w:r>
      <w:r w:rsidR="00A954D0" w:rsidRPr="008379CA">
        <w:rPr>
          <w:rFonts w:ascii="Bookman Old Style" w:hAnsi="Bookman Old Style"/>
        </w:rPr>
        <w:t xml:space="preserve"> </w:t>
      </w:r>
      <w:r w:rsidRPr="008379CA">
        <w:rPr>
          <w:rFonts w:ascii="Bookman Old Style" w:hAnsi="Bookman Old Style"/>
        </w:rPr>
        <w:t>Pemerintahan</w:t>
      </w:r>
      <w:r w:rsidR="00A954D0" w:rsidRPr="008379CA">
        <w:rPr>
          <w:rFonts w:ascii="Bookman Old Style" w:hAnsi="Bookman Old Style"/>
        </w:rPr>
        <w:t xml:space="preserve"> </w:t>
      </w:r>
      <w:r w:rsidRPr="008379CA">
        <w:rPr>
          <w:rFonts w:ascii="Bookman Old Style" w:hAnsi="Bookman Old Style"/>
        </w:rPr>
        <w:t>Daerah,</w:t>
      </w:r>
      <w:r w:rsidR="00A954D0" w:rsidRPr="008379CA">
        <w:rPr>
          <w:rFonts w:ascii="Bookman Old Style" w:hAnsi="Bookman Old Style"/>
        </w:rPr>
        <w:t xml:space="preserve"> </w:t>
      </w:r>
      <w:r w:rsidRPr="008379CA">
        <w:rPr>
          <w:rFonts w:ascii="Bookman Old Style" w:hAnsi="Bookman Old Style"/>
        </w:rPr>
        <w:t>Pasal</w:t>
      </w:r>
      <w:r w:rsidR="00A954D0" w:rsidRPr="008379CA">
        <w:rPr>
          <w:rFonts w:ascii="Bookman Old Style" w:hAnsi="Bookman Old Style"/>
        </w:rPr>
        <w:t xml:space="preserve"> </w:t>
      </w:r>
      <w:r w:rsidRPr="008379CA">
        <w:rPr>
          <w:rFonts w:ascii="Bookman Old Style" w:hAnsi="Bookman Old Style"/>
        </w:rPr>
        <w:t>1</w:t>
      </w:r>
      <w:r w:rsidR="00560242" w:rsidRPr="008379CA">
        <w:rPr>
          <w:rFonts w:ascii="Bookman Old Style" w:hAnsi="Bookman Old Style"/>
        </w:rPr>
        <w:t>1</w:t>
      </w:r>
      <w:r w:rsidRPr="008379CA">
        <w:rPr>
          <w:rFonts w:ascii="Bookman Old Style" w:hAnsi="Bookman Old Style"/>
        </w:rPr>
        <w:t>1</w:t>
      </w:r>
      <w:r w:rsidR="00A954D0" w:rsidRPr="008379CA">
        <w:rPr>
          <w:rFonts w:ascii="Bookman Old Style" w:hAnsi="Bookman Old Style"/>
        </w:rPr>
        <w:t xml:space="preserve"> </w:t>
      </w:r>
      <w:r w:rsidRPr="008379CA">
        <w:rPr>
          <w:rFonts w:ascii="Bookman Old Style" w:hAnsi="Bookman Old Style"/>
        </w:rPr>
        <w:t>ayat</w:t>
      </w:r>
      <w:r w:rsidR="00A954D0" w:rsidRPr="008379CA">
        <w:rPr>
          <w:rFonts w:ascii="Bookman Old Style" w:hAnsi="Bookman Old Style"/>
        </w:rPr>
        <w:t xml:space="preserve"> </w:t>
      </w:r>
      <w:r w:rsidRPr="008379CA">
        <w:rPr>
          <w:rFonts w:ascii="Bookman Old Style" w:hAnsi="Bookman Old Style"/>
        </w:rPr>
        <w:t>(4)</w:t>
      </w:r>
      <w:r w:rsidR="00A954D0" w:rsidRPr="008379CA">
        <w:rPr>
          <w:rFonts w:ascii="Bookman Old Style" w:hAnsi="Bookman Old Style"/>
        </w:rPr>
        <w:t xml:space="preserve"> </w:t>
      </w:r>
      <w:r w:rsidRPr="008379CA">
        <w:rPr>
          <w:rFonts w:ascii="Bookman Old Style" w:hAnsi="Bookman Old Style"/>
        </w:rPr>
        <w:t>Peraturan</w:t>
      </w:r>
      <w:r w:rsidR="00A954D0" w:rsidRPr="008379CA">
        <w:rPr>
          <w:rFonts w:ascii="Bookman Old Style" w:hAnsi="Bookman Old Style"/>
        </w:rPr>
        <w:t xml:space="preserve"> </w:t>
      </w:r>
      <w:r w:rsidRPr="008379CA">
        <w:rPr>
          <w:rFonts w:ascii="Bookman Old Style" w:hAnsi="Bookman Old Style"/>
        </w:rPr>
        <w:t>Pemerintah</w:t>
      </w:r>
      <w:r w:rsidR="00A954D0" w:rsidRPr="008379CA">
        <w:rPr>
          <w:rFonts w:ascii="Bookman Old Style" w:hAnsi="Bookman Old Style"/>
        </w:rPr>
        <w:t xml:space="preserve"> </w:t>
      </w:r>
      <w:r w:rsidRPr="008379CA">
        <w:rPr>
          <w:rFonts w:ascii="Bookman Old Style" w:hAnsi="Bookman Old Style"/>
        </w:rPr>
        <w:t>Nomor</w:t>
      </w:r>
      <w:r w:rsidR="00A954D0" w:rsidRPr="008379CA">
        <w:rPr>
          <w:rFonts w:ascii="Bookman Old Style" w:hAnsi="Bookman Old Style"/>
        </w:rPr>
        <w:t xml:space="preserve"> </w:t>
      </w:r>
      <w:r w:rsidRPr="008379CA">
        <w:rPr>
          <w:rFonts w:ascii="Bookman Old Style" w:hAnsi="Bookman Old Style"/>
        </w:rPr>
        <w:t>12</w:t>
      </w:r>
      <w:r w:rsidR="00A954D0" w:rsidRPr="008379CA">
        <w:rPr>
          <w:rFonts w:ascii="Bookman Old Style" w:hAnsi="Bookman Old Style"/>
        </w:rPr>
        <w:t xml:space="preserve"> </w:t>
      </w:r>
      <w:r w:rsidRPr="008379CA">
        <w:rPr>
          <w:rFonts w:ascii="Bookman Old Style" w:hAnsi="Bookman Old Style"/>
        </w:rPr>
        <w:t>Tahun</w:t>
      </w:r>
      <w:r w:rsidR="00A954D0" w:rsidRPr="008379CA">
        <w:rPr>
          <w:rFonts w:ascii="Bookman Old Style" w:hAnsi="Bookman Old Style"/>
        </w:rPr>
        <w:t xml:space="preserve"> </w:t>
      </w:r>
      <w:r w:rsidRPr="008379CA">
        <w:rPr>
          <w:rFonts w:ascii="Bookman Old Style" w:hAnsi="Bookman Old Style"/>
        </w:rPr>
        <w:t>2019</w:t>
      </w:r>
      <w:r w:rsidR="00A954D0" w:rsidRPr="008379CA">
        <w:rPr>
          <w:rFonts w:ascii="Bookman Old Style" w:hAnsi="Bookman Old Style"/>
        </w:rPr>
        <w:t xml:space="preserve"> </w:t>
      </w:r>
      <w:r w:rsidRPr="008379CA">
        <w:rPr>
          <w:rFonts w:ascii="Bookman Old Style" w:hAnsi="Bookman Old Style"/>
        </w:rPr>
        <w:t>tentang</w:t>
      </w:r>
      <w:r w:rsidR="00A954D0" w:rsidRPr="008379CA">
        <w:rPr>
          <w:rFonts w:ascii="Bookman Old Style" w:hAnsi="Bookman Old Style"/>
        </w:rPr>
        <w:t xml:space="preserve"> </w:t>
      </w:r>
      <w:r w:rsidRPr="008379CA">
        <w:rPr>
          <w:rFonts w:ascii="Bookman Old Style" w:hAnsi="Bookman Old Style"/>
        </w:rPr>
        <w:t>Pengelolaan</w:t>
      </w:r>
      <w:r w:rsidR="00A954D0" w:rsidRPr="008379CA">
        <w:rPr>
          <w:rFonts w:ascii="Bookman Old Style" w:hAnsi="Bookman Old Style"/>
        </w:rPr>
        <w:t xml:space="preserve"> </w:t>
      </w:r>
      <w:r w:rsidRPr="008379CA">
        <w:rPr>
          <w:rFonts w:ascii="Bookman Old Style" w:hAnsi="Bookman Old Style"/>
        </w:rPr>
        <w:t>Keuangan</w:t>
      </w:r>
      <w:r w:rsidR="00A954D0" w:rsidRPr="008379CA">
        <w:rPr>
          <w:rFonts w:ascii="Bookman Old Style" w:hAnsi="Bookman Old Style"/>
        </w:rPr>
        <w:t xml:space="preserve"> </w:t>
      </w:r>
      <w:r w:rsidRPr="008379CA">
        <w:rPr>
          <w:rFonts w:ascii="Bookman Old Style" w:hAnsi="Bookman Old Style"/>
        </w:rPr>
        <w:t>Daerah,</w:t>
      </w:r>
      <w:r w:rsidR="00A954D0" w:rsidRPr="008379CA">
        <w:rPr>
          <w:rFonts w:ascii="Bookman Old Style" w:hAnsi="Bookman Old Style"/>
        </w:rPr>
        <w:t xml:space="preserve"> </w:t>
      </w:r>
      <w:r w:rsidRPr="008379CA">
        <w:rPr>
          <w:rFonts w:ascii="Bookman Old Style" w:hAnsi="Bookman Old Style"/>
        </w:rPr>
        <w:t>dan</w:t>
      </w:r>
      <w:r w:rsidR="00A954D0" w:rsidRPr="008379CA">
        <w:rPr>
          <w:rFonts w:ascii="Bookman Old Style" w:hAnsi="Bookman Old Style"/>
        </w:rPr>
        <w:t xml:space="preserve"> </w:t>
      </w:r>
      <w:r w:rsidRPr="008379CA">
        <w:rPr>
          <w:rFonts w:ascii="Bookman Old Style" w:hAnsi="Bookman Old Style"/>
        </w:rPr>
        <w:t>Pasal</w:t>
      </w:r>
      <w:r w:rsidR="00A954D0" w:rsidRPr="008379CA">
        <w:rPr>
          <w:rFonts w:ascii="Bookman Old Style" w:hAnsi="Bookman Old Style"/>
        </w:rPr>
        <w:t xml:space="preserve"> </w:t>
      </w:r>
      <w:r w:rsidRPr="008379CA">
        <w:rPr>
          <w:rFonts w:ascii="Bookman Old Style" w:hAnsi="Bookman Old Style"/>
        </w:rPr>
        <w:t>7</w:t>
      </w:r>
      <w:r w:rsidR="00A954D0" w:rsidRPr="008379CA">
        <w:rPr>
          <w:rFonts w:ascii="Bookman Old Style" w:hAnsi="Bookman Old Style"/>
        </w:rPr>
        <w:t xml:space="preserve"> </w:t>
      </w:r>
      <w:r w:rsidR="00AC5A5C" w:rsidRPr="008379CA">
        <w:rPr>
          <w:rFonts w:ascii="Bookman Old Style" w:hAnsi="Bookman Old Style"/>
        </w:rPr>
        <w:t>ayat</w:t>
      </w:r>
      <w:r w:rsidR="00A954D0" w:rsidRPr="008379CA">
        <w:rPr>
          <w:rFonts w:ascii="Bookman Old Style" w:hAnsi="Bookman Old Style"/>
        </w:rPr>
        <w:t xml:space="preserve"> </w:t>
      </w:r>
      <w:r w:rsidR="00AC5A5C" w:rsidRPr="008379CA">
        <w:rPr>
          <w:rFonts w:ascii="Bookman Old Style" w:hAnsi="Bookman Old Style"/>
        </w:rPr>
        <w:t>(6)</w:t>
      </w:r>
      <w:r w:rsidR="00A954D0" w:rsidRPr="008379CA">
        <w:rPr>
          <w:rFonts w:ascii="Bookman Old Style" w:hAnsi="Bookman Old Style"/>
        </w:rPr>
        <w:t xml:space="preserve"> </w:t>
      </w:r>
      <w:r w:rsidRPr="008379CA">
        <w:rPr>
          <w:rFonts w:ascii="Bookman Old Style" w:hAnsi="Bookman Old Style"/>
        </w:rPr>
        <w:t>Peraturan</w:t>
      </w:r>
      <w:r w:rsidR="00A954D0" w:rsidRPr="008379CA">
        <w:rPr>
          <w:rFonts w:ascii="Bookman Old Style" w:hAnsi="Bookman Old Style"/>
        </w:rPr>
        <w:t xml:space="preserve"> </w:t>
      </w:r>
      <w:r w:rsidRPr="008379CA">
        <w:rPr>
          <w:rFonts w:ascii="Bookman Old Style" w:hAnsi="Bookman Old Style"/>
        </w:rPr>
        <w:t>Pemerintah</w:t>
      </w:r>
      <w:r w:rsidR="00A954D0" w:rsidRPr="008379CA">
        <w:rPr>
          <w:rFonts w:ascii="Bookman Old Style" w:hAnsi="Bookman Old Style"/>
        </w:rPr>
        <w:t xml:space="preserve"> </w:t>
      </w:r>
      <w:r w:rsidRPr="008379CA">
        <w:rPr>
          <w:rFonts w:ascii="Bookman Old Style" w:hAnsi="Bookman Old Style"/>
        </w:rPr>
        <w:t>Nomor</w:t>
      </w:r>
      <w:r w:rsidR="00A954D0" w:rsidRPr="008379CA">
        <w:rPr>
          <w:rFonts w:ascii="Bookman Old Style" w:hAnsi="Bookman Old Style"/>
        </w:rPr>
        <w:t xml:space="preserve"> </w:t>
      </w:r>
      <w:r w:rsidRPr="008379CA">
        <w:rPr>
          <w:rFonts w:ascii="Bookman Old Style" w:hAnsi="Bookman Old Style"/>
        </w:rPr>
        <w:t>1</w:t>
      </w:r>
      <w:r w:rsidR="00A954D0" w:rsidRPr="008379CA">
        <w:rPr>
          <w:rFonts w:ascii="Bookman Old Style" w:hAnsi="Bookman Old Style"/>
        </w:rPr>
        <w:t xml:space="preserve"> </w:t>
      </w:r>
      <w:r w:rsidRPr="008379CA">
        <w:rPr>
          <w:rFonts w:ascii="Bookman Old Style" w:hAnsi="Bookman Old Style"/>
        </w:rPr>
        <w:t>Tahun</w:t>
      </w:r>
      <w:r w:rsidR="00A954D0" w:rsidRPr="008379CA">
        <w:rPr>
          <w:rFonts w:ascii="Bookman Old Style" w:hAnsi="Bookman Old Style"/>
        </w:rPr>
        <w:t xml:space="preserve"> </w:t>
      </w:r>
      <w:r w:rsidRPr="008379CA">
        <w:rPr>
          <w:rFonts w:ascii="Bookman Old Style" w:hAnsi="Bookman Old Style"/>
        </w:rPr>
        <w:t>2024</w:t>
      </w:r>
      <w:r w:rsidR="00A954D0" w:rsidRPr="008379CA">
        <w:rPr>
          <w:rFonts w:ascii="Bookman Old Style" w:hAnsi="Bookman Old Style"/>
        </w:rPr>
        <w:t xml:space="preserve"> </w:t>
      </w:r>
      <w:r w:rsidRPr="008379CA">
        <w:rPr>
          <w:rFonts w:ascii="Bookman Old Style" w:hAnsi="Bookman Old Style"/>
        </w:rPr>
        <w:t>tentang</w:t>
      </w:r>
      <w:r w:rsidR="00A954D0" w:rsidRPr="008379CA">
        <w:rPr>
          <w:rFonts w:ascii="Bookman Old Style" w:hAnsi="Bookman Old Style"/>
        </w:rPr>
        <w:t xml:space="preserve"> </w:t>
      </w:r>
      <w:r w:rsidRPr="008379CA">
        <w:rPr>
          <w:rFonts w:ascii="Bookman Old Style" w:hAnsi="Bookman Old Style"/>
        </w:rPr>
        <w:t>Harmonisasi</w:t>
      </w:r>
      <w:r w:rsidR="00A954D0" w:rsidRPr="008379CA">
        <w:rPr>
          <w:rFonts w:ascii="Bookman Old Style" w:hAnsi="Bookman Old Style"/>
        </w:rPr>
        <w:t xml:space="preserve"> </w:t>
      </w:r>
      <w:r w:rsidRPr="008379CA">
        <w:rPr>
          <w:rFonts w:ascii="Bookman Old Style" w:hAnsi="Bookman Old Style"/>
        </w:rPr>
        <w:t>Kebijakan</w:t>
      </w:r>
      <w:r w:rsidR="00A954D0" w:rsidRPr="008379CA">
        <w:rPr>
          <w:rFonts w:ascii="Bookman Old Style" w:hAnsi="Bookman Old Style"/>
        </w:rPr>
        <w:t xml:space="preserve"> </w:t>
      </w:r>
      <w:r w:rsidRPr="008379CA">
        <w:rPr>
          <w:rFonts w:ascii="Bookman Old Style" w:hAnsi="Bookman Old Style"/>
        </w:rPr>
        <w:t>Fiskal</w:t>
      </w:r>
      <w:r w:rsidR="00A954D0" w:rsidRPr="008379CA">
        <w:rPr>
          <w:rFonts w:ascii="Bookman Old Style" w:hAnsi="Bookman Old Style"/>
        </w:rPr>
        <w:t xml:space="preserve"> </w:t>
      </w:r>
      <w:r w:rsidRPr="008379CA">
        <w:rPr>
          <w:rFonts w:ascii="Bookman Old Style" w:hAnsi="Bookman Old Style"/>
        </w:rPr>
        <w:t>Nasional,</w:t>
      </w:r>
      <w:r w:rsidR="00A954D0" w:rsidRPr="008379CA">
        <w:rPr>
          <w:rFonts w:ascii="Bookman Old Style" w:hAnsi="Bookman Old Style"/>
        </w:rPr>
        <w:t xml:space="preserve"> </w:t>
      </w:r>
      <w:r w:rsidR="00546326" w:rsidRPr="008379CA">
        <w:rPr>
          <w:rFonts w:ascii="Bookman Old Style" w:hAnsi="Bookman Old Style"/>
        </w:rPr>
        <w:t>Evaluasi</w:t>
      </w:r>
      <w:r w:rsidR="00A954D0" w:rsidRPr="008379CA">
        <w:rPr>
          <w:rFonts w:ascii="Bookman Old Style" w:hAnsi="Bookman Old Style"/>
        </w:rPr>
        <w:t xml:space="preserve"> </w:t>
      </w:r>
      <w:r w:rsidR="00546326" w:rsidRPr="008379CA">
        <w:rPr>
          <w:rFonts w:ascii="Bookman Old Style" w:hAnsi="Bookman Old Style"/>
        </w:rPr>
        <w:t>Rancangan</w:t>
      </w:r>
      <w:r w:rsidR="00A954D0" w:rsidRPr="008379CA">
        <w:rPr>
          <w:rFonts w:ascii="Bookman Old Style" w:hAnsi="Bookman Old Style"/>
        </w:rPr>
        <w:t xml:space="preserve"> </w:t>
      </w:r>
      <w:r w:rsidR="00546326" w:rsidRPr="008379CA">
        <w:rPr>
          <w:rFonts w:ascii="Bookman Old Style" w:hAnsi="Bookman Old Style"/>
        </w:rPr>
        <w:t>Peraturan</w:t>
      </w:r>
      <w:r w:rsidR="00A954D0" w:rsidRPr="008379CA">
        <w:rPr>
          <w:rFonts w:ascii="Bookman Old Style" w:hAnsi="Bookman Old Style"/>
        </w:rPr>
        <w:t xml:space="preserve"> </w:t>
      </w:r>
      <w:r w:rsidR="00546326" w:rsidRPr="008379CA">
        <w:rPr>
          <w:rFonts w:ascii="Bookman Old Style" w:hAnsi="Bookman Old Style"/>
        </w:rPr>
        <w:t>Daerah</w:t>
      </w:r>
      <w:r w:rsidR="00A954D0" w:rsidRPr="008379CA">
        <w:rPr>
          <w:rFonts w:ascii="Bookman Old Style" w:hAnsi="Bookman Old Style"/>
        </w:rPr>
        <w:t xml:space="preserve"> </w:t>
      </w:r>
      <w:r w:rsidR="00B055C5" w:rsidRPr="008379CA">
        <w:rPr>
          <w:rFonts w:ascii="Bookman Old Style" w:hAnsi="Bookman Old Style"/>
          <w:lang w:val="fi-FI"/>
        </w:rPr>
        <w:t>Kota</w:t>
      </w:r>
      <w:r w:rsidR="00A954D0" w:rsidRPr="008379CA">
        <w:rPr>
          <w:rFonts w:ascii="Bookman Old Style" w:hAnsi="Bookman Old Style"/>
          <w:lang w:val="fi-FI"/>
        </w:rPr>
        <w:t xml:space="preserve"> </w:t>
      </w:r>
      <w:r w:rsidR="00770F22" w:rsidRPr="008379CA">
        <w:rPr>
          <w:rFonts w:ascii="Bookman Old Style" w:hAnsi="Bookman Old Style"/>
          <w:lang w:val="fi-FI"/>
        </w:rPr>
        <w:t>Tangerang</w:t>
      </w:r>
      <w:r w:rsidR="00A954D0" w:rsidRPr="008379CA">
        <w:rPr>
          <w:rFonts w:ascii="Bookman Old Style" w:hAnsi="Bookman Old Style"/>
          <w:lang w:val="fi-FI"/>
        </w:rPr>
        <w:t xml:space="preserve"> </w:t>
      </w:r>
      <w:r w:rsidR="00C64581" w:rsidRPr="008379CA">
        <w:rPr>
          <w:rFonts w:ascii="Bookman Old Style" w:hAnsi="Bookman Old Style"/>
        </w:rPr>
        <w:t>tentang</w:t>
      </w:r>
      <w:r w:rsidR="00A954D0" w:rsidRPr="008379CA">
        <w:rPr>
          <w:rFonts w:ascii="Bookman Old Style" w:hAnsi="Bookman Old Style"/>
        </w:rPr>
        <w:t xml:space="preserve"> </w:t>
      </w:r>
      <w:r w:rsidR="00C64581" w:rsidRPr="008379CA">
        <w:rPr>
          <w:rFonts w:ascii="Bookman Old Style" w:hAnsi="Bookman Old Style"/>
        </w:rPr>
        <w:t>APBD</w:t>
      </w:r>
      <w:r w:rsidR="00A954D0" w:rsidRPr="008379CA">
        <w:rPr>
          <w:rFonts w:ascii="Bookman Old Style" w:hAnsi="Bookman Old Style"/>
        </w:rPr>
        <w:t xml:space="preserve"> </w:t>
      </w:r>
      <w:r w:rsidR="00C64581" w:rsidRPr="008379CA">
        <w:rPr>
          <w:rFonts w:ascii="Bookman Old Style" w:hAnsi="Bookman Old Style"/>
        </w:rPr>
        <w:t>Tahun</w:t>
      </w:r>
      <w:r w:rsidR="00A954D0" w:rsidRPr="008379CA">
        <w:rPr>
          <w:rFonts w:ascii="Bookman Old Style" w:hAnsi="Bookman Old Style"/>
        </w:rPr>
        <w:t xml:space="preserve"> </w:t>
      </w:r>
      <w:r w:rsidR="00C64581" w:rsidRPr="008379CA">
        <w:rPr>
          <w:rFonts w:ascii="Bookman Old Style" w:hAnsi="Bookman Old Style"/>
        </w:rPr>
        <w:t>Anggaran</w:t>
      </w:r>
      <w:r w:rsidR="00A954D0" w:rsidRPr="008379CA">
        <w:rPr>
          <w:rFonts w:ascii="Bookman Old Style" w:hAnsi="Bookman Old Style"/>
        </w:rPr>
        <w:t xml:space="preserve"> </w:t>
      </w:r>
      <w:r w:rsidR="00C64581" w:rsidRPr="008379CA">
        <w:rPr>
          <w:rFonts w:ascii="Bookman Old Style" w:hAnsi="Bookman Old Style"/>
        </w:rPr>
        <w:t>202</w:t>
      </w:r>
      <w:r w:rsidR="00697BCE" w:rsidRPr="008379CA">
        <w:rPr>
          <w:rFonts w:ascii="Bookman Old Style" w:hAnsi="Bookman Old Style"/>
        </w:rPr>
        <w:t>5</w:t>
      </w:r>
      <w:r w:rsidR="00A954D0" w:rsidRPr="008379CA">
        <w:rPr>
          <w:rFonts w:ascii="Bookman Old Style" w:hAnsi="Bookman Old Style"/>
        </w:rPr>
        <w:t xml:space="preserve"> </w:t>
      </w:r>
      <w:r w:rsidR="00546326" w:rsidRPr="008379CA">
        <w:rPr>
          <w:rFonts w:ascii="Bookman Old Style" w:hAnsi="Bookman Old Style"/>
        </w:rPr>
        <w:t>dan</w:t>
      </w:r>
      <w:r w:rsidR="00A954D0" w:rsidRPr="008379CA">
        <w:rPr>
          <w:rFonts w:ascii="Bookman Old Style" w:hAnsi="Bookman Old Style"/>
        </w:rPr>
        <w:t xml:space="preserve"> </w:t>
      </w:r>
      <w:r w:rsidR="00546326" w:rsidRPr="008379CA">
        <w:rPr>
          <w:rFonts w:ascii="Bookman Old Style" w:hAnsi="Bookman Old Style"/>
        </w:rPr>
        <w:t>Rancangan</w:t>
      </w:r>
      <w:r w:rsidR="00A954D0" w:rsidRPr="008379CA">
        <w:rPr>
          <w:rFonts w:ascii="Bookman Old Style" w:hAnsi="Bookman Old Style"/>
        </w:rPr>
        <w:t xml:space="preserve"> </w:t>
      </w:r>
      <w:r w:rsidR="00546326" w:rsidRPr="008379CA">
        <w:rPr>
          <w:rFonts w:ascii="Bookman Old Style" w:hAnsi="Bookman Old Style"/>
        </w:rPr>
        <w:t>Peraturan</w:t>
      </w:r>
      <w:r w:rsidR="00A954D0" w:rsidRPr="008379CA">
        <w:rPr>
          <w:rFonts w:ascii="Bookman Old Style" w:hAnsi="Bookman Old Style"/>
        </w:rPr>
        <w:t xml:space="preserve"> </w:t>
      </w:r>
      <w:r w:rsidR="001C092E" w:rsidRPr="008379CA">
        <w:rPr>
          <w:rFonts w:ascii="Bookman Old Style" w:hAnsi="Bookman Old Style"/>
        </w:rPr>
        <w:t>Wali</w:t>
      </w:r>
      <w:r w:rsidR="00A954D0" w:rsidRPr="008379CA">
        <w:rPr>
          <w:rFonts w:ascii="Bookman Old Style" w:hAnsi="Bookman Old Style"/>
        </w:rPr>
        <w:t xml:space="preserve"> </w:t>
      </w:r>
      <w:r w:rsidR="001C092E" w:rsidRPr="008379CA">
        <w:rPr>
          <w:rFonts w:ascii="Bookman Old Style" w:hAnsi="Bookman Old Style"/>
        </w:rPr>
        <w:t>Kota</w:t>
      </w:r>
      <w:r w:rsidR="00A954D0" w:rsidRPr="008379CA">
        <w:rPr>
          <w:rFonts w:ascii="Bookman Old Style" w:hAnsi="Bookman Old Style"/>
        </w:rPr>
        <w:t xml:space="preserve"> </w:t>
      </w:r>
      <w:r w:rsidR="00770F22" w:rsidRPr="008379CA">
        <w:rPr>
          <w:rFonts w:ascii="Bookman Old Style" w:hAnsi="Bookman Old Style"/>
        </w:rPr>
        <w:t>Tangerang</w:t>
      </w:r>
      <w:r w:rsidR="00A954D0" w:rsidRPr="008379CA">
        <w:rPr>
          <w:rFonts w:ascii="Bookman Old Style" w:hAnsi="Bookman Old Style"/>
        </w:rPr>
        <w:t xml:space="preserve"> </w:t>
      </w:r>
      <w:r w:rsidR="00C64581" w:rsidRPr="008379CA">
        <w:rPr>
          <w:rFonts w:ascii="Bookman Old Style" w:hAnsi="Bookman Old Style"/>
        </w:rPr>
        <w:t>tentang</w:t>
      </w:r>
      <w:r w:rsidR="00A954D0" w:rsidRPr="008379CA">
        <w:rPr>
          <w:rFonts w:ascii="Bookman Old Style" w:hAnsi="Bookman Old Style"/>
        </w:rPr>
        <w:t xml:space="preserve"> </w:t>
      </w:r>
      <w:r w:rsidR="00C64581" w:rsidRPr="008379CA">
        <w:rPr>
          <w:rFonts w:ascii="Bookman Old Style" w:hAnsi="Bookman Old Style"/>
        </w:rPr>
        <w:t>Penjabaran</w:t>
      </w:r>
      <w:r w:rsidR="00A954D0" w:rsidRPr="008379CA">
        <w:rPr>
          <w:rFonts w:ascii="Bookman Old Style" w:hAnsi="Bookman Old Style"/>
        </w:rPr>
        <w:t xml:space="preserve"> </w:t>
      </w:r>
      <w:r w:rsidR="00C64581" w:rsidRPr="008379CA">
        <w:rPr>
          <w:rFonts w:ascii="Bookman Old Style" w:hAnsi="Bookman Old Style"/>
        </w:rPr>
        <w:t>APBD</w:t>
      </w:r>
      <w:r w:rsidR="00A954D0" w:rsidRPr="008379CA">
        <w:rPr>
          <w:rFonts w:ascii="Bookman Old Style" w:hAnsi="Bookman Old Style"/>
        </w:rPr>
        <w:t xml:space="preserve"> </w:t>
      </w:r>
      <w:r w:rsidR="00C64581" w:rsidRPr="008379CA">
        <w:rPr>
          <w:rFonts w:ascii="Bookman Old Style" w:hAnsi="Bookman Old Style"/>
        </w:rPr>
        <w:t>Tahun</w:t>
      </w:r>
      <w:r w:rsidR="00A954D0" w:rsidRPr="008379CA">
        <w:rPr>
          <w:rFonts w:ascii="Bookman Old Style" w:hAnsi="Bookman Old Style"/>
        </w:rPr>
        <w:t xml:space="preserve"> </w:t>
      </w:r>
      <w:r w:rsidR="00C64581" w:rsidRPr="008379CA">
        <w:rPr>
          <w:rFonts w:ascii="Bookman Old Style" w:hAnsi="Bookman Old Style"/>
        </w:rPr>
        <w:t>Anggaran</w:t>
      </w:r>
      <w:r w:rsidR="00A954D0" w:rsidRPr="008379CA">
        <w:rPr>
          <w:rFonts w:ascii="Bookman Old Style" w:hAnsi="Bookman Old Style"/>
        </w:rPr>
        <w:t xml:space="preserve"> </w:t>
      </w:r>
      <w:r w:rsidR="00C64581" w:rsidRPr="008379CA">
        <w:rPr>
          <w:rFonts w:ascii="Bookman Old Style" w:hAnsi="Bookman Old Style"/>
        </w:rPr>
        <w:t>202</w:t>
      </w:r>
      <w:r w:rsidR="00697BCE" w:rsidRPr="008379CA">
        <w:rPr>
          <w:rFonts w:ascii="Bookman Old Style" w:hAnsi="Bookman Old Style"/>
        </w:rPr>
        <w:t>5</w:t>
      </w:r>
      <w:r w:rsidR="00A954D0" w:rsidRPr="008379CA">
        <w:rPr>
          <w:rFonts w:ascii="Bookman Old Style" w:hAnsi="Bookman Old Style"/>
        </w:rPr>
        <w:t xml:space="preserve"> </w:t>
      </w:r>
      <w:r w:rsidR="00546326" w:rsidRPr="008379CA">
        <w:rPr>
          <w:rFonts w:ascii="Bookman Old Style" w:hAnsi="Bookman Old Style"/>
        </w:rPr>
        <w:t>untuk</w:t>
      </w:r>
      <w:r w:rsidR="00A954D0" w:rsidRPr="008379CA">
        <w:rPr>
          <w:rFonts w:ascii="Bookman Old Style" w:hAnsi="Bookman Old Style"/>
        </w:rPr>
        <w:t xml:space="preserve"> </w:t>
      </w:r>
      <w:r w:rsidR="00546326" w:rsidRPr="008379CA">
        <w:rPr>
          <w:rFonts w:ascii="Bookman Old Style" w:hAnsi="Bookman Old Style"/>
        </w:rPr>
        <w:t>menguji</w:t>
      </w:r>
      <w:r w:rsidR="00A954D0" w:rsidRPr="008379CA">
        <w:rPr>
          <w:rFonts w:ascii="Bookman Old Style" w:hAnsi="Bookman Old Style"/>
        </w:rPr>
        <w:t xml:space="preserve"> </w:t>
      </w:r>
      <w:r w:rsidR="00546326" w:rsidRPr="008379CA">
        <w:rPr>
          <w:rFonts w:ascii="Bookman Old Style" w:hAnsi="Bookman Old Style"/>
        </w:rPr>
        <w:t>kesesuaian</w:t>
      </w:r>
      <w:r w:rsidR="00A954D0" w:rsidRPr="008379CA">
        <w:rPr>
          <w:rFonts w:ascii="Bookman Old Style" w:hAnsi="Bookman Old Style"/>
        </w:rPr>
        <w:t xml:space="preserve"> </w:t>
      </w:r>
      <w:r w:rsidR="000B0B5B" w:rsidRPr="008379CA">
        <w:rPr>
          <w:rFonts w:ascii="Bookman Old Style" w:hAnsi="Bookman Old Style"/>
        </w:rPr>
        <w:t>Rancangan</w:t>
      </w:r>
      <w:r w:rsidR="00A954D0" w:rsidRPr="008379CA">
        <w:rPr>
          <w:rFonts w:ascii="Bookman Old Style" w:hAnsi="Bookman Old Style"/>
        </w:rPr>
        <w:t xml:space="preserve"> </w:t>
      </w:r>
      <w:r w:rsidR="000B0B5B" w:rsidRPr="008379CA">
        <w:rPr>
          <w:rFonts w:ascii="Bookman Old Style" w:hAnsi="Bookman Old Style"/>
        </w:rPr>
        <w:t>Peraturan</w:t>
      </w:r>
      <w:r w:rsidR="00A954D0" w:rsidRPr="008379CA">
        <w:rPr>
          <w:rFonts w:ascii="Bookman Old Style" w:hAnsi="Bookman Old Style"/>
        </w:rPr>
        <w:t xml:space="preserve"> </w:t>
      </w:r>
      <w:r w:rsidR="000B0B5B" w:rsidRPr="008379CA">
        <w:rPr>
          <w:rFonts w:ascii="Bookman Old Style" w:hAnsi="Bookman Old Style"/>
        </w:rPr>
        <w:t>Daerah</w:t>
      </w:r>
      <w:r w:rsidR="00A954D0" w:rsidRPr="008379CA">
        <w:rPr>
          <w:rFonts w:ascii="Bookman Old Style" w:hAnsi="Bookman Old Style"/>
        </w:rPr>
        <w:t xml:space="preserve"> </w:t>
      </w:r>
      <w:r w:rsidR="00B055C5" w:rsidRPr="008379CA">
        <w:rPr>
          <w:rFonts w:ascii="Bookman Old Style" w:hAnsi="Bookman Old Style"/>
          <w:lang w:val="fi-FI"/>
        </w:rPr>
        <w:t>Kota</w:t>
      </w:r>
      <w:r w:rsidR="00A954D0" w:rsidRPr="008379CA">
        <w:rPr>
          <w:rFonts w:ascii="Bookman Old Style" w:hAnsi="Bookman Old Style"/>
          <w:lang w:val="fi-FI"/>
        </w:rPr>
        <w:t xml:space="preserve"> </w:t>
      </w:r>
      <w:r w:rsidR="00770F22" w:rsidRPr="008379CA">
        <w:rPr>
          <w:rFonts w:ascii="Bookman Old Style" w:hAnsi="Bookman Old Style"/>
          <w:lang w:val="fi-FI"/>
        </w:rPr>
        <w:t>Tangerang</w:t>
      </w:r>
      <w:r w:rsidR="00A954D0" w:rsidRPr="008379CA">
        <w:rPr>
          <w:rFonts w:ascii="Bookman Old Style" w:hAnsi="Bookman Old Style"/>
          <w:lang w:val="fi-FI"/>
        </w:rPr>
        <w:t xml:space="preserve"> </w:t>
      </w:r>
      <w:r w:rsidR="00C64581" w:rsidRPr="008379CA">
        <w:rPr>
          <w:rFonts w:ascii="Bookman Old Style" w:hAnsi="Bookman Old Style"/>
        </w:rPr>
        <w:t>tentang</w:t>
      </w:r>
      <w:r w:rsidR="00A954D0" w:rsidRPr="008379CA">
        <w:rPr>
          <w:rFonts w:ascii="Bookman Old Style" w:hAnsi="Bookman Old Style"/>
        </w:rPr>
        <w:t xml:space="preserve"> </w:t>
      </w:r>
      <w:r w:rsidR="00C64581" w:rsidRPr="008379CA">
        <w:rPr>
          <w:rFonts w:ascii="Bookman Old Style" w:hAnsi="Bookman Old Style"/>
        </w:rPr>
        <w:t>APBD</w:t>
      </w:r>
      <w:r w:rsidR="00A954D0" w:rsidRPr="008379CA">
        <w:rPr>
          <w:rFonts w:ascii="Bookman Old Style" w:hAnsi="Bookman Old Style"/>
        </w:rPr>
        <w:t xml:space="preserve"> </w:t>
      </w:r>
      <w:r w:rsidR="00C64581" w:rsidRPr="008379CA">
        <w:rPr>
          <w:rFonts w:ascii="Bookman Old Style" w:hAnsi="Bookman Old Style"/>
        </w:rPr>
        <w:t>Tahun</w:t>
      </w:r>
      <w:r w:rsidR="00A954D0" w:rsidRPr="008379CA">
        <w:rPr>
          <w:rFonts w:ascii="Bookman Old Style" w:hAnsi="Bookman Old Style"/>
        </w:rPr>
        <w:t xml:space="preserve"> </w:t>
      </w:r>
      <w:r w:rsidR="00C64581" w:rsidRPr="008379CA">
        <w:rPr>
          <w:rFonts w:ascii="Bookman Old Style" w:hAnsi="Bookman Old Style"/>
        </w:rPr>
        <w:t>Anggaran</w:t>
      </w:r>
      <w:r w:rsidR="00A954D0" w:rsidRPr="008379CA">
        <w:rPr>
          <w:rFonts w:ascii="Bookman Old Style" w:hAnsi="Bookman Old Style"/>
        </w:rPr>
        <w:t xml:space="preserve"> </w:t>
      </w:r>
      <w:r w:rsidR="00C64581" w:rsidRPr="008379CA">
        <w:rPr>
          <w:rFonts w:ascii="Bookman Old Style" w:hAnsi="Bookman Old Style"/>
        </w:rPr>
        <w:t>202</w:t>
      </w:r>
      <w:r w:rsidR="00697BCE" w:rsidRPr="008379CA">
        <w:rPr>
          <w:rFonts w:ascii="Bookman Old Style" w:hAnsi="Bookman Old Style"/>
        </w:rPr>
        <w:t>5</w:t>
      </w:r>
      <w:r w:rsidR="00A954D0" w:rsidRPr="008379CA">
        <w:rPr>
          <w:rFonts w:ascii="Bookman Old Style" w:hAnsi="Bookman Old Style"/>
        </w:rPr>
        <w:t xml:space="preserve"> </w:t>
      </w:r>
      <w:r w:rsidR="00546326" w:rsidRPr="008379CA">
        <w:rPr>
          <w:rFonts w:ascii="Bookman Old Style" w:hAnsi="Bookman Old Style"/>
        </w:rPr>
        <w:t>dan</w:t>
      </w:r>
      <w:r w:rsidR="00A954D0" w:rsidRPr="008379CA">
        <w:rPr>
          <w:rFonts w:ascii="Bookman Old Style" w:hAnsi="Bookman Old Style"/>
        </w:rPr>
        <w:t xml:space="preserve"> </w:t>
      </w:r>
      <w:r w:rsidR="00546326" w:rsidRPr="008379CA">
        <w:rPr>
          <w:rFonts w:ascii="Bookman Old Style" w:hAnsi="Bookman Old Style"/>
        </w:rPr>
        <w:t>Rancangan</w:t>
      </w:r>
      <w:r w:rsidR="00A954D0" w:rsidRPr="008379CA">
        <w:rPr>
          <w:rFonts w:ascii="Bookman Old Style" w:hAnsi="Bookman Old Style"/>
        </w:rPr>
        <w:t xml:space="preserve"> </w:t>
      </w:r>
      <w:r w:rsidR="00546326" w:rsidRPr="008379CA">
        <w:rPr>
          <w:rFonts w:ascii="Bookman Old Style" w:hAnsi="Bookman Old Style"/>
        </w:rPr>
        <w:t>Peraturan</w:t>
      </w:r>
      <w:r w:rsidR="00A954D0" w:rsidRPr="008379CA">
        <w:rPr>
          <w:rFonts w:ascii="Bookman Old Style" w:hAnsi="Bookman Old Style"/>
        </w:rPr>
        <w:t xml:space="preserve"> </w:t>
      </w:r>
      <w:r w:rsidR="001C092E" w:rsidRPr="008379CA">
        <w:rPr>
          <w:rFonts w:ascii="Bookman Old Style" w:hAnsi="Bookman Old Style"/>
        </w:rPr>
        <w:t>Wali</w:t>
      </w:r>
      <w:r w:rsidR="00A954D0" w:rsidRPr="008379CA">
        <w:rPr>
          <w:rFonts w:ascii="Bookman Old Style" w:hAnsi="Bookman Old Style"/>
        </w:rPr>
        <w:t xml:space="preserve"> </w:t>
      </w:r>
      <w:r w:rsidR="001C092E" w:rsidRPr="008379CA">
        <w:rPr>
          <w:rFonts w:ascii="Bookman Old Style" w:hAnsi="Bookman Old Style"/>
        </w:rPr>
        <w:t>Kota</w:t>
      </w:r>
      <w:r w:rsidR="00A954D0" w:rsidRPr="008379CA">
        <w:rPr>
          <w:rFonts w:ascii="Bookman Old Style" w:hAnsi="Bookman Old Style"/>
        </w:rPr>
        <w:t xml:space="preserve"> </w:t>
      </w:r>
      <w:r w:rsidR="00770F22" w:rsidRPr="008379CA">
        <w:rPr>
          <w:rFonts w:ascii="Bookman Old Style" w:hAnsi="Bookman Old Style"/>
        </w:rPr>
        <w:t>Tangerang</w:t>
      </w:r>
      <w:r w:rsidR="00A954D0" w:rsidRPr="008379CA">
        <w:rPr>
          <w:rFonts w:ascii="Bookman Old Style" w:hAnsi="Bookman Old Style"/>
        </w:rPr>
        <w:t xml:space="preserve"> </w:t>
      </w:r>
      <w:r w:rsidR="00C64581" w:rsidRPr="008379CA">
        <w:rPr>
          <w:rFonts w:ascii="Bookman Old Style" w:hAnsi="Bookman Old Style"/>
        </w:rPr>
        <w:t>tentang</w:t>
      </w:r>
      <w:r w:rsidR="00A954D0" w:rsidRPr="008379CA">
        <w:rPr>
          <w:rFonts w:ascii="Bookman Old Style" w:hAnsi="Bookman Old Style"/>
        </w:rPr>
        <w:t xml:space="preserve"> </w:t>
      </w:r>
      <w:r w:rsidR="00C64581" w:rsidRPr="008379CA">
        <w:rPr>
          <w:rFonts w:ascii="Bookman Old Style" w:hAnsi="Bookman Old Style"/>
        </w:rPr>
        <w:t>Penjabaran</w:t>
      </w:r>
      <w:r w:rsidR="00A954D0" w:rsidRPr="008379CA">
        <w:rPr>
          <w:rFonts w:ascii="Bookman Old Style" w:hAnsi="Bookman Old Style"/>
        </w:rPr>
        <w:t xml:space="preserve"> </w:t>
      </w:r>
      <w:r w:rsidR="00C64581" w:rsidRPr="008379CA">
        <w:rPr>
          <w:rFonts w:ascii="Bookman Old Style" w:hAnsi="Bookman Old Style"/>
        </w:rPr>
        <w:t>APBD</w:t>
      </w:r>
      <w:r w:rsidR="00A954D0" w:rsidRPr="008379CA">
        <w:rPr>
          <w:rFonts w:ascii="Bookman Old Style" w:hAnsi="Bookman Old Style"/>
        </w:rPr>
        <w:t xml:space="preserve"> </w:t>
      </w:r>
      <w:r w:rsidR="00C64581" w:rsidRPr="008379CA">
        <w:rPr>
          <w:rFonts w:ascii="Bookman Old Style" w:hAnsi="Bookman Old Style"/>
        </w:rPr>
        <w:t>Tahun</w:t>
      </w:r>
      <w:r w:rsidR="00A954D0" w:rsidRPr="008379CA">
        <w:rPr>
          <w:rFonts w:ascii="Bookman Old Style" w:hAnsi="Bookman Old Style"/>
        </w:rPr>
        <w:t xml:space="preserve"> </w:t>
      </w:r>
      <w:r w:rsidR="00C64581" w:rsidRPr="008379CA">
        <w:rPr>
          <w:rFonts w:ascii="Bookman Old Style" w:hAnsi="Bookman Old Style"/>
        </w:rPr>
        <w:t>Anggaran</w:t>
      </w:r>
      <w:r w:rsidR="00A954D0" w:rsidRPr="008379CA">
        <w:rPr>
          <w:rFonts w:ascii="Bookman Old Style" w:hAnsi="Bookman Old Style"/>
        </w:rPr>
        <w:t xml:space="preserve"> </w:t>
      </w:r>
      <w:r w:rsidR="00C64581" w:rsidRPr="008379CA">
        <w:rPr>
          <w:rFonts w:ascii="Bookman Old Style" w:hAnsi="Bookman Old Style"/>
        </w:rPr>
        <w:t>202</w:t>
      </w:r>
      <w:r w:rsidR="00697BCE" w:rsidRPr="008379CA">
        <w:rPr>
          <w:rFonts w:ascii="Bookman Old Style" w:hAnsi="Bookman Old Style"/>
        </w:rPr>
        <w:t>5</w:t>
      </w:r>
      <w:r w:rsidR="00A954D0" w:rsidRPr="008379CA">
        <w:rPr>
          <w:rFonts w:ascii="Bookman Old Style" w:hAnsi="Bookman Old Style"/>
        </w:rPr>
        <w:t xml:space="preserve"> </w:t>
      </w:r>
      <w:r w:rsidR="00546326" w:rsidRPr="008379CA">
        <w:rPr>
          <w:rFonts w:ascii="Bookman Old Style" w:hAnsi="Bookman Old Style"/>
        </w:rPr>
        <w:t>dengan</w:t>
      </w:r>
      <w:r w:rsidR="00A954D0" w:rsidRPr="008379CA">
        <w:rPr>
          <w:rFonts w:ascii="Bookman Old Style" w:hAnsi="Bookman Old Style"/>
        </w:rPr>
        <w:t xml:space="preserve"> </w:t>
      </w:r>
      <w:r w:rsidR="00697BCE" w:rsidRPr="008379CA">
        <w:rPr>
          <w:rFonts w:ascii="Bookman Old Style" w:hAnsi="Bookman Old Style"/>
        </w:rPr>
        <w:t>ruang</w:t>
      </w:r>
      <w:r w:rsidR="00A954D0" w:rsidRPr="008379CA">
        <w:rPr>
          <w:rFonts w:ascii="Bookman Old Style" w:hAnsi="Bookman Old Style"/>
        </w:rPr>
        <w:t xml:space="preserve"> </w:t>
      </w:r>
      <w:r w:rsidR="00697BCE" w:rsidRPr="008379CA">
        <w:rPr>
          <w:rFonts w:ascii="Bookman Old Style" w:hAnsi="Bookman Old Style"/>
        </w:rPr>
        <w:t>lingkup</w:t>
      </w:r>
      <w:r w:rsidR="00546326" w:rsidRPr="008379CA">
        <w:rPr>
          <w:rFonts w:ascii="Bookman Old Style" w:hAnsi="Bookman Old Style"/>
        </w:rPr>
        <w:t>:</w:t>
      </w:r>
    </w:p>
    <w:p w14:paraId="26A268C6" w14:textId="330D28B4" w:rsidR="00546326" w:rsidRPr="008379CA" w:rsidRDefault="003255BC">
      <w:pPr>
        <w:numPr>
          <w:ilvl w:val="0"/>
          <w:numId w:val="30"/>
        </w:numPr>
        <w:spacing w:before="60" w:line="276" w:lineRule="auto"/>
        <w:ind w:left="993" w:hanging="426"/>
        <w:jc w:val="both"/>
        <w:rPr>
          <w:rFonts w:ascii="Bookman Old Style" w:hAnsi="Bookman Old Style"/>
          <w:lang w:val="sv-FI"/>
        </w:rPr>
      </w:pPr>
      <w:r w:rsidRPr="008379CA">
        <w:rPr>
          <w:rFonts w:ascii="Bookman Old Style" w:hAnsi="Bookman Old Style"/>
          <w:lang w:val="sv-FI"/>
        </w:rPr>
        <w:t>K</w:t>
      </w:r>
      <w:r w:rsidR="00546326" w:rsidRPr="008379CA">
        <w:rPr>
          <w:rFonts w:ascii="Bookman Old Style" w:hAnsi="Bookman Old Style"/>
          <w:lang w:val="sv-FI"/>
        </w:rPr>
        <w:t>etentuan</w:t>
      </w:r>
      <w:r w:rsidR="00A954D0" w:rsidRPr="008379CA">
        <w:rPr>
          <w:rFonts w:ascii="Bookman Old Style" w:hAnsi="Bookman Old Style"/>
          <w:lang w:val="sv-FI"/>
        </w:rPr>
        <w:t xml:space="preserve"> </w:t>
      </w:r>
      <w:r w:rsidR="00546326" w:rsidRPr="008379CA">
        <w:rPr>
          <w:rFonts w:ascii="Bookman Old Style" w:hAnsi="Bookman Old Style"/>
          <w:lang w:val="sv-FI"/>
        </w:rPr>
        <w:t>peraturan</w:t>
      </w:r>
      <w:r w:rsidR="00A954D0" w:rsidRPr="008379CA">
        <w:rPr>
          <w:rFonts w:ascii="Bookman Old Style" w:hAnsi="Bookman Old Style"/>
          <w:lang w:val="sv-FI"/>
        </w:rPr>
        <w:t xml:space="preserve"> </w:t>
      </w:r>
      <w:r w:rsidR="00546326" w:rsidRPr="008379CA">
        <w:rPr>
          <w:rFonts w:ascii="Bookman Old Style" w:hAnsi="Bookman Old Style"/>
          <w:lang w:val="sv-FI"/>
        </w:rPr>
        <w:t>perundang-undangan</w:t>
      </w:r>
      <w:r w:rsidR="00A954D0" w:rsidRPr="008379CA">
        <w:rPr>
          <w:rFonts w:ascii="Bookman Old Style" w:hAnsi="Bookman Old Style"/>
          <w:lang w:val="sv-FI"/>
        </w:rPr>
        <w:t xml:space="preserve"> </w:t>
      </w:r>
      <w:r w:rsidR="00546326" w:rsidRPr="008379CA">
        <w:rPr>
          <w:rFonts w:ascii="Bookman Old Style" w:hAnsi="Bookman Old Style"/>
          <w:lang w:val="sv-FI"/>
        </w:rPr>
        <w:t>yang</w:t>
      </w:r>
      <w:r w:rsidR="00A954D0" w:rsidRPr="008379CA">
        <w:rPr>
          <w:rFonts w:ascii="Bookman Old Style" w:hAnsi="Bookman Old Style"/>
          <w:lang w:val="sv-FI"/>
        </w:rPr>
        <w:t xml:space="preserve"> </w:t>
      </w:r>
      <w:r w:rsidR="00546326" w:rsidRPr="008379CA">
        <w:rPr>
          <w:rFonts w:ascii="Bookman Old Style" w:hAnsi="Bookman Old Style"/>
          <w:lang w:val="sv-FI"/>
        </w:rPr>
        <w:t>lebih</w:t>
      </w:r>
      <w:r w:rsidR="00A954D0" w:rsidRPr="008379CA">
        <w:rPr>
          <w:rFonts w:ascii="Bookman Old Style" w:hAnsi="Bookman Old Style"/>
          <w:lang w:val="sv-FI"/>
        </w:rPr>
        <w:t xml:space="preserve"> </w:t>
      </w:r>
      <w:r w:rsidR="00546326" w:rsidRPr="008379CA">
        <w:rPr>
          <w:rFonts w:ascii="Bookman Old Style" w:hAnsi="Bookman Old Style"/>
          <w:lang w:val="sv-FI"/>
        </w:rPr>
        <w:t>tinggi;</w:t>
      </w:r>
      <w:r w:rsidR="00A954D0" w:rsidRPr="008379CA">
        <w:rPr>
          <w:rFonts w:ascii="Bookman Old Style" w:hAnsi="Bookman Old Style"/>
          <w:lang w:val="sv-FI"/>
        </w:rPr>
        <w:t xml:space="preserve"> </w:t>
      </w:r>
    </w:p>
    <w:p w14:paraId="3F9A3DF6" w14:textId="06768FB4" w:rsidR="00546326" w:rsidRPr="008379CA" w:rsidRDefault="003255BC">
      <w:pPr>
        <w:numPr>
          <w:ilvl w:val="0"/>
          <w:numId w:val="30"/>
        </w:numPr>
        <w:spacing w:before="60" w:line="276" w:lineRule="auto"/>
        <w:ind w:left="993" w:hanging="426"/>
        <w:jc w:val="both"/>
        <w:rPr>
          <w:rFonts w:ascii="Bookman Old Style" w:hAnsi="Bookman Old Style"/>
        </w:rPr>
      </w:pPr>
      <w:r w:rsidRPr="008379CA">
        <w:rPr>
          <w:rFonts w:ascii="Bookman Old Style" w:hAnsi="Bookman Old Style"/>
          <w:lang w:val="sv-FI"/>
        </w:rPr>
        <w:t>K</w:t>
      </w:r>
      <w:r w:rsidR="00546326" w:rsidRPr="008379CA">
        <w:rPr>
          <w:rFonts w:ascii="Bookman Old Style" w:hAnsi="Bookman Old Style"/>
        </w:rPr>
        <w:t>epentingan</w:t>
      </w:r>
      <w:r w:rsidR="00A954D0" w:rsidRPr="008379CA">
        <w:rPr>
          <w:rFonts w:ascii="Bookman Old Style" w:hAnsi="Bookman Old Style"/>
        </w:rPr>
        <w:t xml:space="preserve"> </w:t>
      </w:r>
      <w:r w:rsidR="00546326" w:rsidRPr="008379CA">
        <w:rPr>
          <w:rFonts w:ascii="Bookman Old Style" w:hAnsi="Bookman Old Style"/>
        </w:rPr>
        <w:t>umum;</w:t>
      </w:r>
      <w:r w:rsidR="00A954D0" w:rsidRPr="008379CA">
        <w:rPr>
          <w:rFonts w:ascii="Bookman Old Style" w:hAnsi="Bookman Old Style"/>
        </w:rPr>
        <w:t xml:space="preserve"> </w:t>
      </w:r>
    </w:p>
    <w:p w14:paraId="1B47CB87" w14:textId="672FB829" w:rsidR="00546326" w:rsidRPr="008379CA" w:rsidRDefault="00546326">
      <w:pPr>
        <w:numPr>
          <w:ilvl w:val="0"/>
          <w:numId w:val="30"/>
        </w:numPr>
        <w:spacing w:before="60" w:line="276" w:lineRule="auto"/>
        <w:ind w:left="993" w:hanging="426"/>
        <w:jc w:val="both"/>
        <w:rPr>
          <w:rFonts w:ascii="Bookman Old Style" w:hAnsi="Bookman Old Style"/>
        </w:rPr>
      </w:pPr>
      <w:r w:rsidRPr="008379CA">
        <w:rPr>
          <w:rFonts w:ascii="Bookman Old Style" w:hAnsi="Bookman Old Style"/>
        </w:rPr>
        <w:t>Rencana</w:t>
      </w:r>
      <w:r w:rsidR="00A954D0" w:rsidRPr="008379CA">
        <w:rPr>
          <w:rFonts w:ascii="Bookman Old Style" w:hAnsi="Bookman Old Style"/>
        </w:rPr>
        <w:t xml:space="preserve"> </w:t>
      </w:r>
      <w:r w:rsidRPr="008379CA">
        <w:rPr>
          <w:rFonts w:ascii="Bookman Old Style" w:hAnsi="Bookman Old Style"/>
        </w:rPr>
        <w:t>Kerja</w:t>
      </w:r>
      <w:r w:rsidR="00A954D0" w:rsidRPr="008379CA">
        <w:rPr>
          <w:rFonts w:ascii="Bookman Old Style" w:hAnsi="Bookman Old Style"/>
        </w:rPr>
        <w:t xml:space="preserve"> </w:t>
      </w:r>
      <w:r w:rsidRPr="008379CA">
        <w:rPr>
          <w:rFonts w:ascii="Bookman Old Style" w:hAnsi="Bookman Old Style"/>
        </w:rPr>
        <w:t>Pemerintah</w:t>
      </w:r>
      <w:r w:rsidR="00A954D0" w:rsidRPr="008379CA">
        <w:rPr>
          <w:rFonts w:ascii="Bookman Old Style" w:hAnsi="Bookman Old Style"/>
        </w:rPr>
        <w:t xml:space="preserve"> </w:t>
      </w:r>
      <w:r w:rsidRPr="008379CA">
        <w:rPr>
          <w:rFonts w:ascii="Bookman Old Style" w:hAnsi="Bookman Old Style"/>
        </w:rPr>
        <w:t>Daerah</w:t>
      </w:r>
      <w:r w:rsidR="00A954D0" w:rsidRPr="008379CA">
        <w:rPr>
          <w:rFonts w:ascii="Bookman Old Style" w:hAnsi="Bookman Old Style"/>
        </w:rPr>
        <w:t xml:space="preserve"> </w:t>
      </w:r>
      <w:r w:rsidRPr="008379CA">
        <w:rPr>
          <w:rFonts w:ascii="Bookman Old Style" w:hAnsi="Bookman Old Style"/>
        </w:rPr>
        <w:t>(RKPD),</w:t>
      </w:r>
      <w:r w:rsidR="00A954D0" w:rsidRPr="008379CA">
        <w:rPr>
          <w:rFonts w:ascii="Bookman Old Style" w:hAnsi="Bookman Old Style"/>
        </w:rPr>
        <w:t xml:space="preserve"> </w:t>
      </w:r>
      <w:r w:rsidR="00E1396E" w:rsidRPr="008379CA">
        <w:rPr>
          <w:rFonts w:ascii="Bookman Old Style" w:hAnsi="Bookman Old Style"/>
        </w:rPr>
        <w:t>Kebijakan</w:t>
      </w:r>
      <w:r w:rsidR="00A954D0" w:rsidRPr="008379CA">
        <w:rPr>
          <w:rFonts w:ascii="Bookman Old Style" w:hAnsi="Bookman Old Style"/>
        </w:rPr>
        <w:t xml:space="preserve"> </w:t>
      </w:r>
      <w:r w:rsidR="00E1396E" w:rsidRPr="008379CA">
        <w:rPr>
          <w:rFonts w:ascii="Bookman Old Style" w:hAnsi="Bookman Old Style"/>
        </w:rPr>
        <w:t>Umum</w:t>
      </w:r>
      <w:r w:rsidR="00A954D0" w:rsidRPr="008379CA">
        <w:rPr>
          <w:rFonts w:ascii="Bookman Old Style" w:hAnsi="Bookman Old Style"/>
        </w:rPr>
        <w:t xml:space="preserve"> </w:t>
      </w:r>
      <w:r w:rsidR="000F3FC0" w:rsidRPr="008379CA">
        <w:rPr>
          <w:rFonts w:ascii="Bookman Old Style" w:hAnsi="Bookman Old Style"/>
        </w:rPr>
        <w:t>APBD</w:t>
      </w:r>
      <w:r w:rsidR="00A954D0" w:rsidRPr="008379CA">
        <w:rPr>
          <w:rFonts w:ascii="Bookman Old Style" w:hAnsi="Bookman Old Style"/>
        </w:rPr>
        <w:t xml:space="preserve"> </w:t>
      </w:r>
      <w:r w:rsidR="00E1396E" w:rsidRPr="008379CA">
        <w:rPr>
          <w:rFonts w:ascii="Bookman Old Style" w:hAnsi="Bookman Old Style"/>
        </w:rPr>
        <w:t>(KUA),</w:t>
      </w:r>
      <w:r w:rsidR="00A954D0" w:rsidRPr="008379CA">
        <w:rPr>
          <w:rFonts w:ascii="Bookman Old Style" w:hAnsi="Bookman Old Style"/>
        </w:rPr>
        <w:t xml:space="preserve"> </w:t>
      </w:r>
      <w:r w:rsidRPr="008379CA">
        <w:rPr>
          <w:rFonts w:ascii="Bookman Old Style" w:hAnsi="Bookman Old Style"/>
        </w:rPr>
        <w:t>dan</w:t>
      </w:r>
      <w:r w:rsidR="00A954D0" w:rsidRPr="008379CA">
        <w:rPr>
          <w:rFonts w:ascii="Bookman Old Style" w:hAnsi="Bookman Old Style"/>
        </w:rPr>
        <w:t xml:space="preserve"> </w:t>
      </w:r>
      <w:r w:rsidRPr="008379CA">
        <w:rPr>
          <w:rFonts w:ascii="Bookman Old Style" w:hAnsi="Bookman Old Style"/>
        </w:rPr>
        <w:t>Prioritas</w:t>
      </w:r>
      <w:r w:rsidR="00A954D0" w:rsidRPr="008379CA">
        <w:rPr>
          <w:rFonts w:ascii="Bookman Old Style" w:hAnsi="Bookman Old Style"/>
        </w:rPr>
        <w:t xml:space="preserve"> </w:t>
      </w:r>
      <w:r w:rsidRPr="008379CA">
        <w:rPr>
          <w:rFonts w:ascii="Bookman Old Style" w:hAnsi="Bookman Old Style"/>
        </w:rPr>
        <w:t>Plafon</w:t>
      </w:r>
      <w:r w:rsidR="00A954D0" w:rsidRPr="008379CA">
        <w:rPr>
          <w:rFonts w:ascii="Bookman Old Style" w:hAnsi="Bookman Old Style"/>
        </w:rPr>
        <w:t xml:space="preserve"> </w:t>
      </w:r>
      <w:r w:rsidRPr="008379CA">
        <w:rPr>
          <w:rFonts w:ascii="Bookman Old Style" w:hAnsi="Bookman Old Style"/>
        </w:rPr>
        <w:t>Anggaran</w:t>
      </w:r>
      <w:r w:rsidR="00A954D0" w:rsidRPr="008379CA">
        <w:rPr>
          <w:rFonts w:ascii="Bookman Old Style" w:hAnsi="Bookman Old Style"/>
        </w:rPr>
        <w:t xml:space="preserve"> </w:t>
      </w:r>
      <w:r w:rsidRPr="008379CA">
        <w:rPr>
          <w:rFonts w:ascii="Bookman Old Style" w:hAnsi="Bookman Old Style"/>
        </w:rPr>
        <w:t>Sementara</w:t>
      </w:r>
      <w:r w:rsidR="00A954D0" w:rsidRPr="008379CA">
        <w:rPr>
          <w:rFonts w:ascii="Bookman Old Style" w:hAnsi="Bookman Old Style"/>
        </w:rPr>
        <w:t xml:space="preserve"> </w:t>
      </w:r>
      <w:r w:rsidRPr="008379CA">
        <w:rPr>
          <w:rFonts w:ascii="Bookman Old Style" w:hAnsi="Bookman Old Style"/>
        </w:rPr>
        <w:t>(PPAS)</w:t>
      </w:r>
      <w:r w:rsidR="00A53916" w:rsidRPr="008379CA">
        <w:rPr>
          <w:rFonts w:ascii="Bookman Old Style" w:hAnsi="Bookman Old Style"/>
        </w:rPr>
        <w:t>,</w:t>
      </w:r>
      <w:r w:rsidR="00A954D0" w:rsidRPr="008379CA">
        <w:rPr>
          <w:rFonts w:ascii="Bookman Old Style" w:hAnsi="Bookman Old Style"/>
        </w:rPr>
        <w:t xml:space="preserve"> </w:t>
      </w:r>
      <w:r w:rsidR="00A53916" w:rsidRPr="008379CA">
        <w:rPr>
          <w:rFonts w:ascii="Bookman Old Style" w:hAnsi="Bookman Old Style"/>
        </w:rPr>
        <w:t>Kerangka</w:t>
      </w:r>
      <w:r w:rsidR="00A954D0" w:rsidRPr="008379CA">
        <w:rPr>
          <w:rFonts w:ascii="Bookman Old Style" w:hAnsi="Bookman Old Style"/>
        </w:rPr>
        <w:t xml:space="preserve"> </w:t>
      </w:r>
      <w:r w:rsidR="00A53916" w:rsidRPr="008379CA">
        <w:rPr>
          <w:rFonts w:ascii="Bookman Old Style" w:hAnsi="Bookman Old Style"/>
        </w:rPr>
        <w:t>Ekonomi</w:t>
      </w:r>
      <w:r w:rsidR="00A954D0" w:rsidRPr="008379CA">
        <w:rPr>
          <w:rFonts w:ascii="Bookman Old Style" w:hAnsi="Bookman Old Style"/>
        </w:rPr>
        <w:t xml:space="preserve"> </w:t>
      </w:r>
      <w:r w:rsidR="00A53916" w:rsidRPr="008379CA">
        <w:rPr>
          <w:rFonts w:ascii="Bookman Old Style" w:hAnsi="Bookman Old Style"/>
        </w:rPr>
        <w:t>Makro</w:t>
      </w:r>
      <w:r w:rsidR="00A954D0" w:rsidRPr="008379CA">
        <w:rPr>
          <w:rFonts w:ascii="Bookman Old Style" w:hAnsi="Bookman Old Style"/>
        </w:rPr>
        <w:t xml:space="preserve"> </w:t>
      </w:r>
      <w:r w:rsidR="00A53916" w:rsidRPr="008379CA">
        <w:rPr>
          <w:rFonts w:ascii="Bookman Old Style" w:hAnsi="Bookman Old Style"/>
        </w:rPr>
        <w:t>dan</w:t>
      </w:r>
      <w:r w:rsidR="00A954D0" w:rsidRPr="008379CA">
        <w:rPr>
          <w:rFonts w:ascii="Bookman Old Style" w:hAnsi="Bookman Old Style"/>
        </w:rPr>
        <w:t xml:space="preserve"> </w:t>
      </w:r>
      <w:r w:rsidR="00A53916" w:rsidRPr="008379CA">
        <w:rPr>
          <w:rFonts w:ascii="Bookman Old Style" w:hAnsi="Bookman Old Style"/>
        </w:rPr>
        <w:t>Pokok-Pokok</w:t>
      </w:r>
      <w:r w:rsidR="00A954D0" w:rsidRPr="008379CA">
        <w:rPr>
          <w:rFonts w:ascii="Bookman Old Style" w:hAnsi="Bookman Old Style"/>
        </w:rPr>
        <w:t xml:space="preserve"> </w:t>
      </w:r>
      <w:r w:rsidR="00A53916" w:rsidRPr="008379CA">
        <w:rPr>
          <w:rFonts w:ascii="Bookman Old Style" w:hAnsi="Bookman Old Style"/>
        </w:rPr>
        <w:t>Kebijakan</w:t>
      </w:r>
      <w:r w:rsidR="00A954D0" w:rsidRPr="008379CA">
        <w:rPr>
          <w:rFonts w:ascii="Bookman Old Style" w:hAnsi="Bookman Old Style"/>
        </w:rPr>
        <w:t xml:space="preserve"> </w:t>
      </w:r>
      <w:r w:rsidR="00A53916" w:rsidRPr="008379CA">
        <w:rPr>
          <w:rFonts w:ascii="Bookman Old Style" w:hAnsi="Bookman Old Style"/>
        </w:rPr>
        <w:t>Fiskal</w:t>
      </w:r>
      <w:r w:rsidR="00A954D0" w:rsidRPr="008379CA">
        <w:rPr>
          <w:rFonts w:ascii="Bookman Old Style" w:hAnsi="Bookman Old Style"/>
        </w:rPr>
        <w:t xml:space="preserve"> </w:t>
      </w:r>
      <w:r w:rsidR="00A53916" w:rsidRPr="008379CA">
        <w:rPr>
          <w:rFonts w:ascii="Bookman Old Style" w:hAnsi="Bookman Old Style"/>
        </w:rPr>
        <w:t>(KEM</w:t>
      </w:r>
      <w:r w:rsidR="00A954D0" w:rsidRPr="008379CA">
        <w:rPr>
          <w:rFonts w:ascii="Bookman Old Style" w:hAnsi="Bookman Old Style"/>
        </w:rPr>
        <w:t xml:space="preserve"> </w:t>
      </w:r>
      <w:r w:rsidR="00A53916" w:rsidRPr="008379CA">
        <w:rPr>
          <w:rFonts w:ascii="Bookman Old Style" w:hAnsi="Bookman Old Style"/>
        </w:rPr>
        <w:t>PPKF)</w:t>
      </w:r>
      <w:r w:rsidRPr="008379CA">
        <w:rPr>
          <w:rFonts w:ascii="Bookman Old Style" w:hAnsi="Bookman Old Style"/>
        </w:rPr>
        <w:t>;</w:t>
      </w:r>
      <w:r w:rsidR="00A954D0" w:rsidRPr="008379CA">
        <w:rPr>
          <w:rFonts w:ascii="Bookman Old Style" w:hAnsi="Bookman Old Style"/>
        </w:rPr>
        <w:t xml:space="preserve"> </w:t>
      </w:r>
      <w:r w:rsidRPr="008379CA">
        <w:rPr>
          <w:rFonts w:ascii="Bookman Old Style" w:hAnsi="Bookman Old Style"/>
        </w:rPr>
        <w:t>dan</w:t>
      </w:r>
    </w:p>
    <w:p w14:paraId="6656E06B" w14:textId="5D1D66CA" w:rsidR="00546326" w:rsidRPr="008379CA" w:rsidRDefault="00546326">
      <w:pPr>
        <w:numPr>
          <w:ilvl w:val="0"/>
          <w:numId w:val="30"/>
        </w:numPr>
        <w:spacing w:before="60" w:line="276" w:lineRule="auto"/>
        <w:ind w:left="993" w:hanging="426"/>
        <w:jc w:val="both"/>
        <w:rPr>
          <w:rFonts w:ascii="Bookman Old Style" w:hAnsi="Bookman Old Style"/>
        </w:rPr>
      </w:pPr>
      <w:r w:rsidRPr="008379CA">
        <w:rPr>
          <w:rFonts w:ascii="Bookman Old Style" w:hAnsi="Bookman Old Style"/>
        </w:rPr>
        <w:t>Rencana</w:t>
      </w:r>
      <w:r w:rsidR="00A954D0" w:rsidRPr="008379CA">
        <w:rPr>
          <w:rFonts w:ascii="Bookman Old Style" w:hAnsi="Bookman Old Style"/>
        </w:rPr>
        <w:t xml:space="preserve"> </w:t>
      </w:r>
      <w:r w:rsidRPr="008379CA">
        <w:rPr>
          <w:rFonts w:ascii="Bookman Old Style" w:hAnsi="Bookman Old Style"/>
        </w:rPr>
        <w:t>Pembangunan</w:t>
      </w:r>
      <w:r w:rsidR="00A954D0" w:rsidRPr="008379CA">
        <w:rPr>
          <w:rFonts w:ascii="Bookman Old Style" w:hAnsi="Bookman Old Style"/>
        </w:rPr>
        <w:t xml:space="preserve"> </w:t>
      </w:r>
      <w:r w:rsidRPr="008379CA">
        <w:rPr>
          <w:rFonts w:ascii="Bookman Old Style" w:hAnsi="Bookman Old Style"/>
        </w:rPr>
        <w:t>Jangka</w:t>
      </w:r>
      <w:r w:rsidR="00A954D0" w:rsidRPr="008379CA">
        <w:rPr>
          <w:rFonts w:ascii="Bookman Old Style" w:hAnsi="Bookman Old Style"/>
        </w:rPr>
        <w:t xml:space="preserve"> </w:t>
      </w:r>
      <w:r w:rsidRPr="008379CA">
        <w:rPr>
          <w:rFonts w:ascii="Bookman Old Style" w:hAnsi="Bookman Old Style"/>
        </w:rPr>
        <w:t>Menengah</w:t>
      </w:r>
      <w:r w:rsidR="00A954D0" w:rsidRPr="008379CA">
        <w:rPr>
          <w:rFonts w:ascii="Bookman Old Style" w:hAnsi="Bookman Old Style"/>
        </w:rPr>
        <w:t xml:space="preserve"> </w:t>
      </w:r>
      <w:r w:rsidRPr="008379CA">
        <w:rPr>
          <w:rFonts w:ascii="Bookman Old Style" w:hAnsi="Bookman Old Style"/>
        </w:rPr>
        <w:t>Daerah</w:t>
      </w:r>
      <w:r w:rsidR="00A954D0" w:rsidRPr="008379CA">
        <w:rPr>
          <w:rFonts w:ascii="Bookman Old Style" w:hAnsi="Bookman Old Style"/>
        </w:rPr>
        <w:t xml:space="preserve"> </w:t>
      </w:r>
      <w:r w:rsidR="003C6442" w:rsidRPr="008379CA">
        <w:rPr>
          <w:rFonts w:ascii="Bookman Old Style" w:hAnsi="Bookman Old Style"/>
        </w:rPr>
        <w:t>(RPJMD)</w:t>
      </w:r>
      <w:r w:rsidR="002474C0" w:rsidRPr="008379CA">
        <w:rPr>
          <w:rFonts w:ascii="Bookman Old Style" w:hAnsi="Bookman Old Style"/>
        </w:rPr>
        <w:t>/Rencana</w:t>
      </w:r>
      <w:r w:rsidR="00A954D0" w:rsidRPr="008379CA">
        <w:rPr>
          <w:rFonts w:ascii="Bookman Old Style" w:hAnsi="Bookman Old Style"/>
        </w:rPr>
        <w:t xml:space="preserve"> </w:t>
      </w:r>
      <w:r w:rsidR="002474C0" w:rsidRPr="008379CA">
        <w:rPr>
          <w:rFonts w:ascii="Bookman Old Style" w:hAnsi="Bookman Old Style"/>
        </w:rPr>
        <w:t>Pembangunan</w:t>
      </w:r>
      <w:r w:rsidR="00A954D0" w:rsidRPr="008379CA">
        <w:rPr>
          <w:rFonts w:ascii="Bookman Old Style" w:hAnsi="Bookman Old Style"/>
        </w:rPr>
        <w:t xml:space="preserve"> </w:t>
      </w:r>
      <w:r w:rsidR="002474C0" w:rsidRPr="008379CA">
        <w:rPr>
          <w:rFonts w:ascii="Bookman Old Style" w:hAnsi="Bookman Old Style"/>
        </w:rPr>
        <w:t>Daerah</w:t>
      </w:r>
      <w:r w:rsidR="00A954D0" w:rsidRPr="008379CA">
        <w:rPr>
          <w:rFonts w:ascii="Bookman Old Style" w:hAnsi="Bookman Old Style"/>
        </w:rPr>
        <w:t xml:space="preserve"> </w:t>
      </w:r>
      <w:r w:rsidR="002474C0" w:rsidRPr="008379CA">
        <w:rPr>
          <w:rFonts w:ascii="Bookman Old Style" w:hAnsi="Bookman Old Style"/>
        </w:rPr>
        <w:t>(RPD)</w:t>
      </w:r>
      <w:r w:rsidRPr="008379CA">
        <w:rPr>
          <w:rFonts w:ascii="Bookman Old Style" w:hAnsi="Bookman Old Style"/>
        </w:rPr>
        <w:t>.</w:t>
      </w:r>
    </w:p>
    <w:p w14:paraId="284773E4" w14:textId="419BF5F5" w:rsidR="00A53916" w:rsidRPr="008379CA" w:rsidRDefault="00A53916" w:rsidP="00727324">
      <w:pPr>
        <w:spacing w:before="60" w:line="276" w:lineRule="auto"/>
        <w:ind w:left="567"/>
        <w:jc w:val="both"/>
        <w:rPr>
          <w:rFonts w:ascii="Bookman Old Style" w:hAnsi="Bookman Old Style"/>
        </w:rPr>
      </w:pPr>
    </w:p>
    <w:p w14:paraId="0502B923" w14:textId="7F6613F1" w:rsidR="00F7266F" w:rsidRPr="008379CA" w:rsidRDefault="001165FB" w:rsidP="00727324">
      <w:pPr>
        <w:pStyle w:val="ListParagraph"/>
        <w:numPr>
          <w:ilvl w:val="0"/>
          <w:numId w:val="1"/>
        </w:numPr>
        <w:spacing w:before="60" w:after="0" w:line="276" w:lineRule="auto"/>
        <w:ind w:left="567" w:hanging="567"/>
        <w:contextualSpacing w:val="0"/>
        <w:jc w:val="both"/>
        <w:rPr>
          <w:rFonts w:ascii="Bookman Old Style" w:hAnsi="Bookman Old Style"/>
          <w:sz w:val="24"/>
          <w:szCs w:val="24"/>
        </w:rPr>
      </w:pPr>
      <w:r w:rsidRPr="008379CA">
        <w:rPr>
          <w:rFonts w:ascii="Bookman Old Style" w:hAnsi="Bookman Old Style"/>
          <w:sz w:val="24"/>
          <w:szCs w:val="24"/>
        </w:rPr>
        <w:t>GAMBARAN</w:t>
      </w:r>
      <w:r w:rsidR="00A954D0" w:rsidRPr="008379CA">
        <w:rPr>
          <w:rFonts w:ascii="Bookman Old Style" w:hAnsi="Bookman Old Style"/>
          <w:sz w:val="24"/>
          <w:szCs w:val="24"/>
        </w:rPr>
        <w:t xml:space="preserve"> </w:t>
      </w:r>
      <w:r w:rsidR="00F7266F" w:rsidRPr="008379CA">
        <w:rPr>
          <w:rFonts w:ascii="Bookman Old Style" w:hAnsi="Bookman Old Style"/>
          <w:sz w:val="24"/>
          <w:szCs w:val="24"/>
        </w:rPr>
        <w:t>UMUM</w:t>
      </w:r>
      <w:r w:rsidR="00A954D0" w:rsidRPr="008379CA">
        <w:rPr>
          <w:rFonts w:ascii="Bookman Old Style" w:hAnsi="Bookman Old Style"/>
          <w:sz w:val="24"/>
          <w:szCs w:val="24"/>
        </w:rPr>
        <w:t xml:space="preserve"> </w:t>
      </w:r>
      <w:r w:rsidRPr="008379CA">
        <w:rPr>
          <w:rFonts w:ascii="Bookman Old Style" w:hAnsi="Bookman Old Style"/>
          <w:sz w:val="24"/>
          <w:szCs w:val="24"/>
        </w:rPr>
        <w:t>EVALUASI</w:t>
      </w:r>
    </w:p>
    <w:p w14:paraId="533B7E1E" w14:textId="0D73A018" w:rsidR="00BE0177" w:rsidRPr="008379CA" w:rsidRDefault="00BE0177" w:rsidP="00727324">
      <w:pPr>
        <w:spacing w:before="60" w:line="276" w:lineRule="auto"/>
        <w:ind w:left="567"/>
        <w:jc w:val="both"/>
        <w:rPr>
          <w:rFonts w:ascii="Bookman Old Style" w:hAnsi="Bookman Old Style"/>
        </w:rPr>
      </w:pPr>
      <w:r w:rsidRPr="008379CA">
        <w:rPr>
          <w:rFonts w:ascii="Bookman Old Style" w:hAnsi="Bookman Old Style"/>
        </w:rPr>
        <w:t>Berdasarkan</w:t>
      </w:r>
      <w:r w:rsidR="00A954D0" w:rsidRPr="008379CA">
        <w:rPr>
          <w:rFonts w:ascii="Bookman Old Style" w:hAnsi="Bookman Old Style"/>
        </w:rPr>
        <w:t xml:space="preserve"> </w:t>
      </w:r>
      <w:r w:rsidRPr="008379CA">
        <w:rPr>
          <w:rFonts w:ascii="Bookman Old Style" w:hAnsi="Bookman Old Style"/>
        </w:rPr>
        <w:t>Pasal</w:t>
      </w:r>
      <w:r w:rsidR="00A954D0" w:rsidRPr="008379CA">
        <w:rPr>
          <w:rFonts w:ascii="Bookman Old Style" w:hAnsi="Bookman Old Style"/>
        </w:rPr>
        <w:t xml:space="preserve"> </w:t>
      </w:r>
      <w:r w:rsidRPr="008379CA">
        <w:rPr>
          <w:rFonts w:ascii="Bookman Old Style" w:hAnsi="Bookman Old Style"/>
        </w:rPr>
        <w:t>245</w:t>
      </w:r>
      <w:r w:rsidR="00A954D0" w:rsidRPr="008379CA">
        <w:rPr>
          <w:rFonts w:ascii="Bookman Old Style" w:hAnsi="Bookman Old Style"/>
        </w:rPr>
        <w:t xml:space="preserve"> </w:t>
      </w:r>
      <w:r w:rsidRPr="008379CA">
        <w:rPr>
          <w:rFonts w:ascii="Bookman Old Style" w:hAnsi="Bookman Old Style"/>
        </w:rPr>
        <w:t>ayat</w:t>
      </w:r>
      <w:r w:rsidR="00A954D0" w:rsidRPr="008379CA">
        <w:rPr>
          <w:rFonts w:ascii="Bookman Old Style" w:hAnsi="Bookman Old Style"/>
        </w:rPr>
        <w:t xml:space="preserve"> </w:t>
      </w:r>
      <w:r w:rsidRPr="008379CA">
        <w:rPr>
          <w:rFonts w:ascii="Bookman Old Style" w:hAnsi="Bookman Old Style"/>
        </w:rPr>
        <w:t>(</w:t>
      </w:r>
      <w:r w:rsidR="00E55356" w:rsidRPr="008379CA">
        <w:rPr>
          <w:rFonts w:ascii="Bookman Old Style" w:hAnsi="Bookman Old Style"/>
        </w:rPr>
        <w:t>3</w:t>
      </w:r>
      <w:r w:rsidRPr="008379CA">
        <w:rPr>
          <w:rFonts w:ascii="Bookman Old Style" w:hAnsi="Bookman Old Style"/>
        </w:rPr>
        <w:t>)</w:t>
      </w:r>
      <w:r w:rsidR="00A954D0" w:rsidRPr="008379CA">
        <w:rPr>
          <w:rFonts w:ascii="Bookman Old Style" w:hAnsi="Bookman Old Style"/>
        </w:rPr>
        <w:t xml:space="preserve"> </w:t>
      </w:r>
      <w:r w:rsidRPr="008379CA">
        <w:rPr>
          <w:rFonts w:ascii="Bookman Old Style" w:hAnsi="Bookman Old Style"/>
        </w:rPr>
        <w:t>dan</w:t>
      </w:r>
      <w:r w:rsidR="00A954D0" w:rsidRPr="008379CA">
        <w:rPr>
          <w:rFonts w:ascii="Bookman Old Style" w:hAnsi="Bookman Old Style"/>
        </w:rPr>
        <w:t xml:space="preserve"> </w:t>
      </w:r>
      <w:r w:rsidRPr="008379CA">
        <w:rPr>
          <w:rFonts w:ascii="Bookman Old Style" w:hAnsi="Bookman Old Style"/>
        </w:rPr>
        <w:t>Pasal</w:t>
      </w:r>
      <w:r w:rsidR="00A954D0" w:rsidRPr="008379CA">
        <w:rPr>
          <w:rFonts w:ascii="Bookman Old Style" w:hAnsi="Bookman Old Style"/>
        </w:rPr>
        <w:t xml:space="preserve"> </w:t>
      </w:r>
      <w:r w:rsidRPr="008379CA">
        <w:rPr>
          <w:rFonts w:ascii="Bookman Old Style" w:hAnsi="Bookman Old Style"/>
        </w:rPr>
        <w:t>31</w:t>
      </w:r>
      <w:r w:rsidR="00E55356" w:rsidRPr="008379CA">
        <w:rPr>
          <w:rFonts w:ascii="Bookman Old Style" w:hAnsi="Bookman Old Style"/>
        </w:rPr>
        <w:t>5</w:t>
      </w:r>
      <w:r w:rsidR="00A954D0" w:rsidRPr="008379CA">
        <w:rPr>
          <w:rFonts w:ascii="Bookman Old Style" w:hAnsi="Bookman Old Style"/>
        </w:rPr>
        <w:t xml:space="preserve"> </w:t>
      </w:r>
      <w:r w:rsidRPr="008379CA">
        <w:rPr>
          <w:rFonts w:ascii="Bookman Old Style" w:hAnsi="Bookman Old Style"/>
        </w:rPr>
        <w:t>ayat</w:t>
      </w:r>
      <w:r w:rsidR="00A954D0" w:rsidRPr="008379CA">
        <w:rPr>
          <w:rFonts w:ascii="Bookman Old Style" w:hAnsi="Bookman Old Style"/>
        </w:rPr>
        <w:t xml:space="preserve"> </w:t>
      </w:r>
      <w:r w:rsidRPr="008379CA">
        <w:rPr>
          <w:rFonts w:ascii="Bookman Old Style" w:hAnsi="Bookman Old Style"/>
        </w:rPr>
        <w:t>(1)</w:t>
      </w:r>
      <w:r w:rsidR="00A954D0" w:rsidRPr="008379CA">
        <w:rPr>
          <w:rFonts w:ascii="Bookman Old Style" w:hAnsi="Bookman Old Style"/>
        </w:rPr>
        <w:t xml:space="preserve"> </w:t>
      </w:r>
      <w:r w:rsidRPr="008379CA">
        <w:rPr>
          <w:rFonts w:ascii="Bookman Old Style" w:hAnsi="Bookman Old Style"/>
        </w:rPr>
        <w:t>Undang-Undang</w:t>
      </w:r>
      <w:r w:rsidR="00A954D0" w:rsidRPr="008379CA">
        <w:rPr>
          <w:rFonts w:ascii="Bookman Old Style" w:hAnsi="Bookman Old Style"/>
        </w:rPr>
        <w:t xml:space="preserve"> </w:t>
      </w:r>
      <w:r w:rsidRPr="008379CA">
        <w:rPr>
          <w:rFonts w:ascii="Bookman Old Style" w:hAnsi="Bookman Old Style"/>
        </w:rPr>
        <w:t>Nomor</w:t>
      </w:r>
      <w:r w:rsidR="00A954D0" w:rsidRPr="008379CA">
        <w:rPr>
          <w:rFonts w:ascii="Bookman Old Style" w:hAnsi="Bookman Old Style"/>
        </w:rPr>
        <w:t xml:space="preserve"> </w:t>
      </w:r>
      <w:r w:rsidRPr="008379CA">
        <w:rPr>
          <w:rFonts w:ascii="Bookman Old Style" w:hAnsi="Bookman Old Style"/>
        </w:rPr>
        <w:t>23</w:t>
      </w:r>
      <w:r w:rsidR="00A954D0" w:rsidRPr="008379CA">
        <w:rPr>
          <w:rFonts w:ascii="Bookman Old Style" w:hAnsi="Bookman Old Style"/>
        </w:rPr>
        <w:t xml:space="preserve"> </w:t>
      </w:r>
      <w:r w:rsidRPr="008379CA">
        <w:rPr>
          <w:rFonts w:ascii="Bookman Old Style" w:hAnsi="Bookman Old Style"/>
        </w:rPr>
        <w:t>Tahun</w:t>
      </w:r>
      <w:r w:rsidR="00A954D0" w:rsidRPr="008379CA">
        <w:rPr>
          <w:rFonts w:ascii="Bookman Old Style" w:hAnsi="Bookman Old Style"/>
        </w:rPr>
        <w:t xml:space="preserve"> </w:t>
      </w:r>
      <w:r w:rsidRPr="008379CA">
        <w:rPr>
          <w:rFonts w:ascii="Bookman Old Style" w:hAnsi="Bookman Old Style"/>
        </w:rPr>
        <w:t>2014</w:t>
      </w:r>
      <w:r w:rsidR="00A954D0" w:rsidRPr="008379CA">
        <w:rPr>
          <w:rFonts w:ascii="Bookman Old Style" w:hAnsi="Bookman Old Style"/>
        </w:rPr>
        <w:t xml:space="preserve"> </w:t>
      </w:r>
      <w:r w:rsidRPr="008379CA">
        <w:rPr>
          <w:rFonts w:ascii="Bookman Old Style" w:hAnsi="Bookman Old Style"/>
        </w:rPr>
        <w:t>tentang</w:t>
      </w:r>
      <w:r w:rsidR="00A954D0" w:rsidRPr="008379CA">
        <w:rPr>
          <w:rFonts w:ascii="Bookman Old Style" w:hAnsi="Bookman Old Style"/>
        </w:rPr>
        <w:t xml:space="preserve"> </w:t>
      </w:r>
      <w:r w:rsidRPr="008379CA">
        <w:rPr>
          <w:rFonts w:ascii="Bookman Old Style" w:hAnsi="Bookman Old Style"/>
        </w:rPr>
        <w:t>Pemerintahan</w:t>
      </w:r>
      <w:r w:rsidR="00A954D0" w:rsidRPr="008379CA">
        <w:rPr>
          <w:rFonts w:ascii="Bookman Old Style" w:hAnsi="Bookman Old Style"/>
        </w:rPr>
        <w:t xml:space="preserve"> </w:t>
      </w:r>
      <w:r w:rsidRPr="008379CA">
        <w:rPr>
          <w:rFonts w:ascii="Bookman Old Style" w:hAnsi="Bookman Old Style"/>
        </w:rPr>
        <w:t>Daerah</w:t>
      </w:r>
      <w:r w:rsidR="00A954D0" w:rsidRPr="008379CA">
        <w:rPr>
          <w:rFonts w:ascii="Bookman Old Style" w:hAnsi="Bookman Old Style"/>
        </w:rPr>
        <w:t xml:space="preserve"> </w:t>
      </w:r>
      <w:r w:rsidRPr="008379CA">
        <w:rPr>
          <w:rFonts w:ascii="Bookman Old Style" w:hAnsi="Bookman Old Style"/>
        </w:rPr>
        <w:t>sebagaimana</w:t>
      </w:r>
      <w:r w:rsidR="00A954D0" w:rsidRPr="008379CA">
        <w:rPr>
          <w:rFonts w:ascii="Bookman Old Style" w:hAnsi="Bookman Old Style"/>
        </w:rPr>
        <w:t xml:space="preserve"> </w:t>
      </w:r>
      <w:r w:rsidRPr="008379CA">
        <w:rPr>
          <w:rFonts w:ascii="Bookman Old Style" w:hAnsi="Bookman Old Style"/>
        </w:rPr>
        <w:t>telah</w:t>
      </w:r>
      <w:r w:rsidR="00A954D0" w:rsidRPr="008379CA">
        <w:rPr>
          <w:rFonts w:ascii="Bookman Old Style" w:hAnsi="Bookman Old Style"/>
        </w:rPr>
        <w:t xml:space="preserve"> </w:t>
      </w:r>
      <w:r w:rsidRPr="008379CA">
        <w:rPr>
          <w:rFonts w:ascii="Bookman Old Style" w:hAnsi="Bookman Old Style"/>
        </w:rPr>
        <w:t>diubah</w:t>
      </w:r>
      <w:r w:rsidR="00A954D0" w:rsidRPr="008379CA">
        <w:rPr>
          <w:rFonts w:ascii="Bookman Old Style" w:hAnsi="Bookman Old Style"/>
        </w:rPr>
        <w:t xml:space="preserve"> </w:t>
      </w:r>
      <w:r w:rsidRPr="008379CA">
        <w:rPr>
          <w:rFonts w:ascii="Bookman Old Style" w:hAnsi="Bookman Old Style"/>
        </w:rPr>
        <w:t>beberapa</w:t>
      </w:r>
      <w:r w:rsidR="00A954D0" w:rsidRPr="008379CA">
        <w:rPr>
          <w:rFonts w:ascii="Bookman Old Style" w:hAnsi="Bookman Old Style"/>
        </w:rPr>
        <w:t xml:space="preserve"> </w:t>
      </w:r>
      <w:r w:rsidRPr="008379CA">
        <w:rPr>
          <w:rFonts w:ascii="Bookman Old Style" w:hAnsi="Bookman Old Style"/>
        </w:rPr>
        <w:t>kali</w:t>
      </w:r>
      <w:r w:rsidR="00A954D0" w:rsidRPr="008379CA">
        <w:rPr>
          <w:rFonts w:ascii="Bookman Old Style" w:hAnsi="Bookman Old Style"/>
        </w:rPr>
        <w:t xml:space="preserve"> </w:t>
      </w:r>
      <w:r w:rsidRPr="008379CA">
        <w:rPr>
          <w:rFonts w:ascii="Bookman Old Style" w:hAnsi="Bookman Old Style"/>
        </w:rPr>
        <w:t>terakhir</w:t>
      </w:r>
      <w:r w:rsidR="00A954D0" w:rsidRPr="008379CA">
        <w:rPr>
          <w:rFonts w:ascii="Bookman Old Style" w:hAnsi="Bookman Old Style"/>
        </w:rPr>
        <w:t xml:space="preserve"> </w:t>
      </w:r>
      <w:r w:rsidRPr="008379CA">
        <w:rPr>
          <w:rFonts w:ascii="Bookman Old Style" w:hAnsi="Bookman Old Style"/>
        </w:rPr>
        <w:t>dengan</w:t>
      </w:r>
      <w:r w:rsidR="00A954D0" w:rsidRPr="008379CA">
        <w:rPr>
          <w:rFonts w:ascii="Bookman Old Style" w:hAnsi="Bookman Old Style"/>
        </w:rPr>
        <w:t xml:space="preserve"> </w:t>
      </w:r>
      <w:r w:rsidRPr="008379CA">
        <w:rPr>
          <w:rFonts w:ascii="Bookman Old Style" w:hAnsi="Bookman Old Style"/>
        </w:rPr>
        <w:t>Undang-</w:t>
      </w:r>
      <w:r w:rsidRPr="008379CA">
        <w:rPr>
          <w:rFonts w:ascii="Bookman Old Style" w:hAnsi="Bookman Old Style"/>
        </w:rPr>
        <w:lastRenderedPageBreak/>
        <w:t>Undang</w:t>
      </w:r>
      <w:r w:rsidR="00A954D0" w:rsidRPr="008379CA">
        <w:rPr>
          <w:rFonts w:ascii="Bookman Old Style" w:hAnsi="Bookman Old Style"/>
        </w:rPr>
        <w:t xml:space="preserve"> </w:t>
      </w:r>
      <w:r w:rsidRPr="008379CA">
        <w:rPr>
          <w:rFonts w:ascii="Bookman Old Style" w:hAnsi="Bookman Old Style"/>
        </w:rPr>
        <w:t>Nomor</w:t>
      </w:r>
      <w:r w:rsidR="00A954D0" w:rsidRPr="008379CA">
        <w:rPr>
          <w:rFonts w:ascii="Bookman Old Style" w:hAnsi="Bookman Old Style"/>
        </w:rPr>
        <w:t xml:space="preserve"> </w:t>
      </w:r>
      <w:r w:rsidRPr="008379CA">
        <w:rPr>
          <w:rFonts w:ascii="Bookman Old Style" w:hAnsi="Bookman Old Style"/>
        </w:rPr>
        <w:t>6</w:t>
      </w:r>
      <w:r w:rsidR="00A954D0" w:rsidRPr="008379CA">
        <w:rPr>
          <w:rFonts w:ascii="Bookman Old Style" w:hAnsi="Bookman Old Style"/>
        </w:rPr>
        <w:t xml:space="preserve"> </w:t>
      </w:r>
      <w:r w:rsidRPr="008379CA">
        <w:rPr>
          <w:rFonts w:ascii="Bookman Old Style" w:hAnsi="Bookman Old Style"/>
        </w:rPr>
        <w:t>Tahun</w:t>
      </w:r>
      <w:r w:rsidR="00A954D0" w:rsidRPr="008379CA">
        <w:rPr>
          <w:rFonts w:ascii="Bookman Old Style" w:hAnsi="Bookman Old Style"/>
        </w:rPr>
        <w:t xml:space="preserve"> </w:t>
      </w:r>
      <w:r w:rsidRPr="008379CA">
        <w:rPr>
          <w:rFonts w:ascii="Bookman Old Style" w:hAnsi="Bookman Old Style"/>
        </w:rPr>
        <w:t>2023</w:t>
      </w:r>
      <w:r w:rsidR="00A954D0" w:rsidRPr="008379CA">
        <w:rPr>
          <w:rFonts w:ascii="Bookman Old Style" w:hAnsi="Bookman Old Style"/>
        </w:rPr>
        <w:t xml:space="preserve"> </w:t>
      </w:r>
      <w:r w:rsidRPr="008379CA">
        <w:rPr>
          <w:rFonts w:ascii="Bookman Old Style" w:hAnsi="Bookman Old Style"/>
        </w:rPr>
        <w:t>tentang</w:t>
      </w:r>
      <w:r w:rsidR="00A954D0" w:rsidRPr="008379CA">
        <w:rPr>
          <w:rFonts w:ascii="Bookman Old Style" w:hAnsi="Bookman Old Style"/>
        </w:rPr>
        <w:t xml:space="preserve"> </w:t>
      </w:r>
      <w:r w:rsidRPr="008379CA">
        <w:rPr>
          <w:rFonts w:ascii="Bookman Old Style" w:hAnsi="Bookman Old Style"/>
        </w:rPr>
        <w:t>Penetapan</w:t>
      </w:r>
      <w:r w:rsidR="00A954D0" w:rsidRPr="008379CA">
        <w:rPr>
          <w:rFonts w:ascii="Bookman Old Style" w:hAnsi="Bookman Old Style"/>
        </w:rPr>
        <w:t xml:space="preserve"> </w:t>
      </w:r>
      <w:r w:rsidRPr="008379CA">
        <w:rPr>
          <w:rFonts w:ascii="Bookman Old Style" w:hAnsi="Bookman Old Style"/>
        </w:rPr>
        <w:t>Peraturan</w:t>
      </w:r>
      <w:r w:rsidR="00A954D0" w:rsidRPr="008379CA">
        <w:rPr>
          <w:rFonts w:ascii="Bookman Old Style" w:hAnsi="Bookman Old Style"/>
        </w:rPr>
        <w:t xml:space="preserve"> </w:t>
      </w:r>
      <w:r w:rsidRPr="008379CA">
        <w:rPr>
          <w:rFonts w:ascii="Bookman Old Style" w:hAnsi="Bookman Old Style"/>
        </w:rPr>
        <w:t>Pemerintah</w:t>
      </w:r>
      <w:r w:rsidR="00A954D0" w:rsidRPr="008379CA">
        <w:rPr>
          <w:rFonts w:ascii="Bookman Old Style" w:hAnsi="Bookman Old Style"/>
        </w:rPr>
        <w:t xml:space="preserve"> </w:t>
      </w:r>
      <w:r w:rsidRPr="008379CA">
        <w:rPr>
          <w:rFonts w:ascii="Bookman Old Style" w:hAnsi="Bookman Old Style"/>
        </w:rPr>
        <w:t>Pengganti</w:t>
      </w:r>
      <w:r w:rsidR="00A954D0" w:rsidRPr="008379CA">
        <w:rPr>
          <w:rFonts w:ascii="Bookman Old Style" w:hAnsi="Bookman Old Style"/>
        </w:rPr>
        <w:t xml:space="preserve"> </w:t>
      </w:r>
      <w:r w:rsidRPr="008379CA">
        <w:rPr>
          <w:rFonts w:ascii="Bookman Old Style" w:hAnsi="Bookman Old Style"/>
        </w:rPr>
        <w:t>Undang-Undang</w:t>
      </w:r>
      <w:r w:rsidR="00A954D0" w:rsidRPr="008379CA">
        <w:rPr>
          <w:rFonts w:ascii="Bookman Old Style" w:hAnsi="Bookman Old Style"/>
        </w:rPr>
        <w:t xml:space="preserve"> </w:t>
      </w:r>
      <w:r w:rsidRPr="008379CA">
        <w:rPr>
          <w:rFonts w:ascii="Bookman Old Style" w:hAnsi="Bookman Old Style"/>
        </w:rPr>
        <w:t>Nomor</w:t>
      </w:r>
      <w:r w:rsidR="00A954D0" w:rsidRPr="008379CA">
        <w:rPr>
          <w:rFonts w:ascii="Bookman Old Style" w:hAnsi="Bookman Old Style"/>
        </w:rPr>
        <w:t xml:space="preserve"> </w:t>
      </w:r>
      <w:r w:rsidRPr="008379CA">
        <w:rPr>
          <w:rFonts w:ascii="Bookman Old Style" w:hAnsi="Bookman Old Style"/>
        </w:rPr>
        <w:t>2</w:t>
      </w:r>
      <w:r w:rsidR="00A954D0" w:rsidRPr="008379CA">
        <w:rPr>
          <w:rFonts w:ascii="Bookman Old Style" w:hAnsi="Bookman Old Style"/>
        </w:rPr>
        <w:t xml:space="preserve"> </w:t>
      </w:r>
      <w:r w:rsidRPr="008379CA">
        <w:rPr>
          <w:rFonts w:ascii="Bookman Old Style" w:hAnsi="Bookman Old Style"/>
        </w:rPr>
        <w:t>Tahun</w:t>
      </w:r>
      <w:r w:rsidR="00A954D0" w:rsidRPr="008379CA">
        <w:rPr>
          <w:rFonts w:ascii="Bookman Old Style" w:hAnsi="Bookman Old Style"/>
        </w:rPr>
        <w:t xml:space="preserve"> </w:t>
      </w:r>
      <w:r w:rsidRPr="008379CA">
        <w:rPr>
          <w:rFonts w:ascii="Bookman Old Style" w:hAnsi="Bookman Old Style"/>
        </w:rPr>
        <w:t>2022</w:t>
      </w:r>
      <w:r w:rsidR="00A954D0" w:rsidRPr="008379CA">
        <w:rPr>
          <w:rFonts w:ascii="Bookman Old Style" w:hAnsi="Bookman Old Style"/>
        </w:rPr>
        <w:t xml:space="preserve"> </w:t>
      </w:r>
      <w:r w:rsidRPr="008379CA">
        <w:rPr>
          <w:rFonts w:ascii="Bookman Old Style" w:hAnsi="Bookman Old Style"/>
        </w:rPr>
        <w:t>tentang</w:t>
      </w:r>
      <w:r w:rsidR="00A954D0" w:rsidRPr="008379CA">
        <w:rPr>
          <w:rFonts w:ascii="Bookman Old Style" w:hAnsi="Bookman Old Style"/>
        </w:rPr>
        <w:t xml:space="preserve"> </w:t>
      </w:r>
      <w:r w:rsidRPr="008379CA">
        <w:rPr>
          <w:rFonts w:ascii="Bookman Old Style" w:hAnsi="Bookman Old Style"/>
        </w:rPr>
        <w:t>Cipta</w:t>
      </w:r>
      <w:r w:rsidR="00A954D0" w:rsidRPr="008379CA">
        <w:rPr>
          <w:rFonts w:ascii="Bookman Old Style" w:hAnsi="Bookman Old Style"/>
        </w:rPr>
        <w:t xml:space="preserve"> </w:t>
      </w:r>
      <w:r w:rsidRPr="008379CA">
        <w:rPr>
          <w:rFonts w:ascii="Bookman Old Style" w:hAnsi="Bookman Old Style"/>
        </w:rPr>
        <w:t>Kerja</w:t>
      </w:r>
      <w:r w:rsidR="00A954D0" w:rsidRPr="008379CA">
        <w:rPr>
          <w:rFonts w:ascii="Bookman Old Style" w:hAnsi="Bookman Old Style"/>
        </w:rPr>
        <w:t xml:space="preserve"> </w:t>
      </w:r>
      <w:r w:rsidRPr="008379CA">
        <w:rPr>
          <w:rFonts w:ascii="Bookman Old Style" w:hAnsi="Bookman Old Style"/>
        </w:rPr>
        <w:t>menjadi</w:t>
      </w:r>
      <w:r w:rsidR="00A954D0" w:rsidRPr="008379CA">
        <w:rPr>
          <w:rFonts w:ascii="Bookman Old Style" w:hAnsi="Bookman Old Style"/>
        </w:rPr>
        <w:t xml:space="preserve"> </w:t>
      </w:r>
      <w:r w:rsidRPr="008379CA">
        <w:rPr>
          <w:rFonts w:ascii="Bookman Old Style" w:hAnsi="Bookman Old Style"/>
        </w:rPr>
        <w:t>Undang-Undang,</w:t>
      </w:r>
      <w:r w:rsidR="00A954D0" w:rsidRPr="008379CA">
        <w:rPr>
          <w:rFonts w:ascii="Bookman Old Style" w:hAnsi="Bookman Old Style"/>
        </w:rPr>
        <w:t xml:space="preserve"> </w:t>
      </w:r>
      <w:r w:rsidRPr="008379CA">
        <w:rPr>
          <w:rFonts w:ascii="Bookman Old Style" w:hAnsi="Bookman Old Style"/>
        </w:rPr>
        <w:t>Pasal</w:t>
      </w:r>
      <w:r w:rsidR="00A954D0" w:rsidRPr="008379CA">
        <w:rPr>
          <w:rFonts w:ascii="Bookman Old Style" w:hAnsi="Bookman Old Style"/>
        </w:rPr>
        <w:t xml:space="preserve"> </w:t>
      </w:r>
      <w:r w:rsidRPr="008379CA">
        <w:rPr>
          <w:rFonts w:ascii="Bookman Old Style" w:hAnsi="Bookman Old Style"/>
        </w:rPr>
        <w:t>11</w:t>
      </w:r>
      <w:r w:rsidR="005E5707" w:rsidRPr="008379CA">
        <w:rPr>
          <w:rFonts w:ascii="Bookman Old Style" w:hAnsi="Bookman Old Style"/>
        </w:rPr>
        <w:t>2</w:t>
      </w:r>
      <w:r w:rsidR="00A954D0" w:rsidRPr="008379CA">
        <w:rPr>
          <w:rFonts w:ascii="Bookman Old Style" w:hAnsi="Bookman Old Style"/>
        </w:rPr>
        <w:t xml:space="preserve"> </w:t>
      </w:r>
      <w:r w:rsidRPr="008379CA">
        <w:rPr>
          <w:rFonts w:ascii="Bookman Old Style" w:hAnsi="Bookman Old Style"/>
        </w:rPr>
        <w:t>Peraturan</w:t>
      </w:r>
      <w:r w:rsidR="00A954D0" w:rsidRPr="008379CA">
        <w:rPr>
          <w:rFonts w:ascii="Bookman Old Style" w:hAnsi="Bookman Old Style"/>
        </w:rPr>
        <w:t xml:space="preserve"> </w:t>
      </w:r>
      <w:r w:rsidRPr="008379CA">
        <w:rPr>
          <w:rFonts w:ascii="Bookman Old Style" w:hAnsi="Bookman Old Style"/>
        </w:rPr>
        <w:t>Pemerintah</w:t>
      </w:r>
      <w:r w:rsidR="00A954D0" w:rsidRPr="008379CA">
        <w:rPr>
          <w:rFonts w:ascii="Bookman Old Style" w:hAnsi="Bookman Old Style"/>
        </w:rPr>
        <w:t xml:space="preserve"> </w:t>
      </w:r>
      <w:r w:rsidRPr="008379CA">
        <w:rPr>
          <w:rFonts w:ascii="Bookman Old Style" w:hAnsi="Bookman Old Style"/>
        </w:rPr>
        <w:t>Nomor</w:t>
      </w:r>
      <w:r w:rsidR="00A954D0" w:rsidRPr="008379CA">
        <w:rPr>
          <w:rFonts w:ascii="Bookman Old Style" w:hAnsi="Bookman Old Style"/>
        </w:rPr>
        <w:t xml:space="preserve"> </w:t>
      </w:r>
      <w:r w:rsidRPr="008379CA">
        <w:rPr>
          <w:rFonts w:ascii="Bookman Old Style" w:hAnsi="Bookman Old Style"/>
        </w:rPr>
        <w:t>12</w:t>
      </w:r>
      <w:r w:rsidR="00A954D0" w:rsidRPr="008379CA">
        <w:rPr>
          <w:rFonts w:ascii="Bookman Old Style" w:hAnsi="Bookman Old Style"/>
        </w:rPr>
        <w:t xml:space="preserve"> </w:t>
      </w:r>
      <w:r w:rsidRPr="008379CA">
        <w:rPr>
          <w:rFonts w:ascii="Bookman Old Style" w:hAnsi="Bookman Old Style"/>
        </w:rPr>
        <w:t>Tahun</w:t>
      </w:r>
      <w:r w:rsidR="00A954D0" w:rsidRPr="008379CA">
        <w:rPr>
          <w:rFonts w:ascii="Bookman Old Style" w:hAnsi="Bookman Old Style"/>
        </w:rPr>
        <w:t xml:space="preserve"> </w:t>
      </w:r>
      <w:r w:rsidRPr="008379CA">
        <w:rPr>
          <w:rFonts w:ascii="Bookman Old Style" w:hAnsi="Bookman Old Style"/>
        </w:rPr>
        <w:t>2019</w:t>
      </w:r>
      <w:r w:rsidR="00A954D0" w:rsidRPr="008379CA">
        <w:rPr>
          <w:rFonts w:ascii="Bookman Old Style" w:hAnsi="Bookman Old Style"/>
        </w:rPr>
        <w:t xml:space="preserve"> </w:t>
      </w:r>
      <w:r w:rsidRPr="008379CA">
        <w:rPr>
          <w:rFonts w:ascii="Bookman Old Style" w:hAnsi="Bookman Old Style"/>
        </w:rPr>
        <w:t>tentang</w:t>
      </w:r>
      <w:r w:rsidR="00A954D0" w:rsidRPr="008379CA">
        <w:rPr>
          <w:rFonts w:ascii="Bookman Old Style" w:hAnsi="Bookman Old Style"/>
        </w:rPr>
        <w:t xml:space="preserve"> </w:t>
      </w:r>
      <w:r w:rsidRPr="008379CA">
        <w:rPr>
          <w:rFonts w:ascii="Bookman Old Style" w:hAnsi="Bookman Old Style"/>
        </w:rPr>
        <w:t>Pengelolaan</w:t>
      </w:r>
      <w:r w:rsidR="00A954D0" w:rsidRPr="008379CA">
        <w:rPr>
          <w:rFonts w:ascii="Bookman Old Style" w:hAnsi="Bookman Old Style"/>
        </w:rPr>
        <w:t xml:space="preserve"> </w:t>
      </w:r>
      <w:r w:rsidRPr="008379CA">
        <w:rPr>
          <w:rFonts w:ascii="Bookman Old Style" w:hAnsi="Bookman Old Style"/>
        </w:rPr>
        <w:t>Keuangan</w:t>
      </w:r>
      <w:r w:rsidR="00A954D0" w:rsidRPr="008379CA">
        <w:rPr>
          <w:rFonts w:ascii="Bookman Old Style" w:hAnsi="Bookman Old Style"/>
        </w:rPr>
        <w:t xml:space="preserve"> </w:t>
      </w:r>
      <w:r w:rsidRPr="008379CA">
        <w:rPr>
          <w:rFonts w:ascii="Bookman Old Style" w:hAnsi="Bookman Old Style"/>
        </w:rPr>
        <w:t>Daerah</w:t>
      </w:r>
      <w:r w:rsidR="00A954D0" w:rsidRPr="008379CA">
        <w:rPr>
          <w:rFonts w:ascii="Bookman Old Style" w:hAnsi="Bookman Old Style"/>
        </w:rPr>
        <w:t xml:space="preserve"> </w:t>
      </w:r>
      <w:r w:rsidRPr="008379CA">
        <w:rPr>
          <w:rFonts w:ascii="Bookman Old Style" w:hAnsi="Bookman Old Style"/>
        </w:rPr>
        <w:t>dan</w:t>
      </w:r>
      <w:r w:rsidR="00A954D0" w:rsidRPr="008379CA">
        <w:rPr>
          <w:rFonts w:ascii="Bookman Old Style" w:hAnsi="Bookman Old Style"/>
        </w:rPr>
        <w:t xml:space="preserve"> </w:t>
      </w:r>
      <w:r w:rsidRPr="008379CA">
        <w:rPr>
          <w:rFonts w:ascii="Bookman Old Style" w:hAnsi="Bookman Old Style"/>
        </w:rPr>
        <w:t>terhadap</w:t>
      </w:r>
      <w:r w:rsidR="00A954D0" w:rsidRPr="008379CA">
        <w:rPr>
          <w:rFonts w:ascii="Bookman Old Style" w:hAnsi="Bookman Old Style"/>
        </w:rPr>
        <w:t xml:space="preserve"> </w:t>
      </w:r>
      <w:r w:rsidRPr="008379CA">
        <w:rPr>
          <w:rFonts w:ascii="Bookman Old Style" w:hAnsi="Bookman Old Style"/>
        </w:rPr>
        <w:t>Rancangan</w:t>
      </w:r>
      <w:r w:rsidR="00A954D0" w:rsidRPr="008379CA">
        <w:rPr>
          <w:rFonts w:ascii="Bookman Old Style" w:hAnsi="Bookman Old Style"/>
        </w:rPr>
        <w:t xml:space="preserve"> </w:t>
      </w:r>
      <w:r w:rsidRPr="008379CA">
        <w:rPr>
          <w:rFonts w:ascii="Bookman Old Style" w:hAnsi="Bookman Old Style"/>
        </w:rPr>
        <w:t>Peraturan</w:t>
      </w:r>
      <w:r w:rsidR="00A954D0" w:rsidRPr="008379CA">
        <w:rPr>
          <w:rFonts w:ascii="Bookman Old Style" w:hAnsi="Bookman Old Style"/>
        </w:rPr>
        <w:t xml:space="preserve"> </w:t>
      </w:r>
      <w:r w:rsidRPr="008379CA">
        <w:rPr>
          <w:rFonts w:ascii="Bookman Old Style" w:hAnsi="Bookman Old Style"/>
        </w:rPr>
        <w:t>Daerah</w:t>
      </w:r>
      <w:r w:rsidR="00A954D0" w:rsidRPr="008379CA">
        <w:rPr>
          <w:rFonts w:ascii="Bookman Old Style" w:hAnsi="Bookman Old Style"/>
        </w:rPr>
        <w:t xml:space="preserve"> </w:t>
      </w:r>
      <w:r w:rsidR="00B055C5" w:rsidRPr="008379CA">
        <w:rPr>
          <w:rFonts w:ascii="Bookman Old Style" w:hAnsi="Bookman Old Style"/>
          <w:lang w:val="fi-FI"/>
        </w:rPr>
        <w:t>Kota</w:t>
      </w:r>
      <w:r w:rsidR="00A954D0" w:rsidRPr="008379CA">
        <w:rPr>
          <w:rFonts w:ascii="Bookman Old Style" w:hAnsi="Bookman Old Style"/>
          <w:lang w:val="fi-FI"/>
        </w:rPr>
        <w:t xml:space="preserve"> </w:t>
      </w:r>
      <w:r w:rsidR="00770F22" w:rsidRPr="008379CA">
        <w:rPr>
          <w:rFonts w:ascii="Bookman Old Style" w:hAnsi="Bookman Old Style"/>
          <w:lang w:val="fi-FI"/>
        </w:rPr>
        <w:t>Tangerang</w:t>
      </w:r>
      <w:r w:rsidR="00A954D0" w:rsidRPr="008379CA">
        <w:rPr>
          <w:rFonts w:ascii="Bookman Old Style" w:hAnsi="Bookman Old Style"/>
          <w:lang w:val="fi-FI"/>
        </w:rPr>
        <w:t xml:space="preserve"> </w:t>
      </w:r>
      <w:r w:rsidRPr="008379CA">
        <w:rPr>
          <w:rFonts w:ascii="Bookman Old Style" w:hAnsi="Bookman Old Style"/>
        </w:rPr>
        <w:t>tentang</w:t>
      </w:r>
      <w:r w:rsidR="00A954D0" w:rsidRPr="008379CA">
        <w:rPr>
          <w:rFonts w:ascii="Bookman Old Style" w:hAnsi="Bookman Old Style"/>
        </w:rPr>
        <w:t xml:space="preserve"> </w:t>
      </w:r>
      <w:r w:rsidRPr="008379CA">
        <w:rPr>
          <w:rFonts w:ascii="Bookman Old Style" w:hAnsi="Bookman Old Style"/>
        </w:rPr>
        <w:t>APBD</w:t>
      </w:r>
      <w:r w:rsidR="00A954D0" w:rsidRPr="008379CA">
        <w:rPr>
          <w:rFonts w:ascii="Bookman Old Style" w:hAnsi="Bookman Old Style"/>
        </w:rPr>
        <w:t xml:space="preserve"> </w:t>
      </w:r>
      <w:r w:rsidRPr="008379CA">
        <w:rPr>
          <w:rFonts w:ascii="Bookman Old Style" w:hAnsi="Bookman Old Style"/>
        </w:rPr>
        <w:t>Tahun</w:t>
      </w:r>
      <w:r w:rsidR="00A954D0" w:rsidRPr="008379CA">
        <w:rPr>
          <w:rFonts w:ascii="Bookman Old Style" w:hAnsi="Bookman Old Style"/>
        </w:rPr>
        <w:t xml:space="preserve"> </w:t>
      </w:r>
      <w:r w:rsidRPr="008379CA">
        <w:rPr>
          <w:rFonts w:ascii="Bookman Old Style" w:hAnsi="Bookman Old Style"/>
        </w:rPr>
        <w:t>Anggaran</w:t>
      </w:r>
      <w:r w:rsidR="00A954D0" w:rsidRPr="008379CA">
        <w:rPr>
          <w:rFonts w:ascii="Bookman Old Style" w:hAnsi="Bookman Old Style"/>
        </w:rPr>
        <w:t xml:space="preserve"> </w:t>
      </w:r>
      <w:r w:rsidRPr="008379CA">
        <w:rPr>
          <w:rFonts w:ascii="Bookman Old Style" w:hAnsi="Bookman Old Style"/>
        </w:rPr>
        <w:t>2025</w:t>
      </w:r>
      <w:r w:rsidR="00A954D0" w:rsidRPr="008379CA">
        <w:rPr>
          <w:rFonts w:ascii="Bookman Old Style" w:hAnsi="Bookman Old Style"/>
        </w:rPr>
        <w:t xml:space="preserve"> </w:t>
      </w:r>
      <w:r w:rsidRPr="008379CA">
        <w:rPr>
          <w:rFonts w:ascii="Bookman Old Style" w:hAnsi="Bookman Old Style"/>
        </w:rPr>
        <w:t>sebagai</w:t>
      </w:r>
      <w:r w:rsidR="00A954D0" w:rsidRPr="008379CA">
        <w:rPr>
          <w:rFonts w:ascii="Bookman Old Style" w:hAnsi="Bookman Old Style"/>
        </w:rPr>
        <w:t xml:space="preserve"> </w:t>
      </w:r>
      <w:r w:rsidRPr="008379CA">
        <w:rPr>
          <w:rFonts w:ascii="Bookman Old Style" w:hAnsi="Bookman Old Style"/>
        </w:rPr>
        <w:t>satu</w:t>
      </w:r>
      <w:r w:rsidR="00A954D0" w:rsidRPr="008379CA">
        <w:rPr>
          <w:rFonts w:ascii="Bookman Old Style" w:hAnsi="Bookman Old Style"/>
        </w:rPr>
        <w:t xml:space="preserve"> </w:t>
      </w:r>
      <w:r w:rsidRPr="008379CA">
        <w:rPr>
          <w:rFonts w:ascii="Bookman Old Style" w:hAnsi="Bookman Old Style"/>
        </w:rPr>
        <w:t>kesatuan</w:t>
      </w:r>
      <w:r w:rsidR="00A954D0" w:rsidRPr="008379CA">
        <w:rPr>
          <w:rFonts w:ascii="Bookman Old Style" w:hAnsi="Bookman Old Style"/>
        </w:rPr>
        <w:t xml:space="preserve"> </w:t>
      </w:r>
      <w:r w:rsidRPr="008379CA">
        <w:rPr>
          <w:rFonts w:ascii="Bookman Old Style" w:hAnsi="Bookman Old Style"/>
        </w:rPr>
        <w:t>yang</w:t>
      </w:r>
      <w:r w:rsidR="00A954D0" w:rsidRPr="008379CA">
        <w:rPr>
          <w:rFonts w:ascii="Bookman Old Style" w:hAnsi="Bookman Old Style"/>
        </w:rPr>
        <w:t xml:space="preserve"> </w:t>
      </w:r>
      <w:r w:rsidRPr="008379CA">
        <w:rPr>
          <w:rFonts w:ascii="Bookman Old Style" w:hAnsi="Bookman Old Style"/>
        </w:rPr>
        <w:t>terdiri</w:t>
      </w:r>
      <w:r w:rsidR="00A954D0" w:rsidRPr="008379CA">
        <w:rPr>
          <w:rFonts w:ascii="Bookman Old Style" w:hAnsi="Bookman Old Style"/>
        </w:rPr>
        <w:t xml:space="preserve"> </w:t>
      </w:r>
      <w:r w:rsidRPr="008379CA">
        <w:rPr>
          <w:rFonts w:ascii="Bookman Old Style" w:hAnsi="Bookman Old Style"/>
        </w:rPr>
        <w:t>atas</w:t>
      </w:r>
      <w:r w:rsidR="00A954D0" w:rsidRPr="008379CA">
        <w:rPr>
          <w:rFonts w:ascii="Bookman Old Style" w:hAnsi="Bookman Old Style"/>
        </w:rPr>
        <w:t xml:space="preserve"> </w:t>
      </w:r>
      <w:r w:rsidRPr="008379CA">
        <w:rPr>
          <w:rFonts w:ascii="Bookman Old Style" w:hAnsi="Bookman Old Style"/>
        </w:rPr>
        <w:t>pendapatan,</w:t>
      </w:r>
      <w:r w:rsidR="00A954D0" w:rsidRPr="008379CA">
        <w:rPr>
          <w:rFonts w:ascii="Bookman Old Style" w:hAnsi="Bookman Old Style"/>
        </w:rPr>
        <w:t xml:space="preserve"> </w:t>
      </w:r>
      <w:r w:rsidRPr="008379CA">
        <w:rPr>
          <w:rFonts w:ascii="Bookman Old Style" w:hAnsi="Bookman Old Style"/>
        </w:rPr>
        <w:t>belanja</w:t>
      </w:r>
      <w:r w:rsidR="00A954D0" w:rsidRPr="008379CA">
        <w:rPr>
          <w:rFonts w:ascii="Bookman Old Style" w:hAnsi="Bookman Old Style"/>
        </w:rPr>
        <w:t xml:space="preserve"> </w:t>
      </w:r>
      <w:r w:rsidRPr="008379CA">
        <w:rPr>
          <w:rFonts w:ascii="Bookman Old Style" w:hAnsi="Bookman Old Style"/>
        </w:rPr>
        <w:t>dan</w:t>
      </w:r>
      <w:r w:rsidR="00A954D0" w:rsidRPr="008379CA">
        <w:rPr>
          <w:rFonts w:ascii="Bookman Old Style" w:hAnsi="Bookman Old Style"/>
        </w:rPr>
        <w:t xml:space="preserve"> </w:t>
      </w:r>
      <w:r w:rsidRPr="008379CA">
        <w:rPr>
          <w:rFonts w:ascii="Bookman Old Style" w:hAnsi="Bookman Old Style"/>
        </w:rPr>
        <w:t>pembiayaan</w:t>
      </w:r>
      <w:r w:rsidR="00A954D0" w:rsidRPr="008379CA">
        <w:rPr>
          <w:rFonts w:ascii="Bookman Old Style" w:hAnsi="Bookman Old Style"/>
        </w:rPr>
        <w:t xml:space="preserve"> </w:t>
      </w:r>
      <w:r w:rsidRPr="008379CA">
        <w:rPr>
          <w:rFonts w:ascii="Bookman Old Style" w:hAnsi="Bookman Old Style"/>
        </w:rPr>
        <w:t>harus</w:t>
      </w:r>
      <w:r w:rsidR="00A954D0" w:rsidRPr="008379CA">
        <w:rPr>
          <w:rFonts w:ascii="Bookman Old Style" w:hAnsi="Bookman Old Style"/>
        </w:rPr>
        <w:t xml:space="preserve"> </w:t>
      </w:r>
      <w:r w:rsidRPr="008379CA">
        <w:rPr>
          <w:rFonts w:ascii="Bookman Old Style" w:hAnsi="Bookman Old Style"/>
        </w:rPr>
        <w:t>mendapat</w:t>
      </w:r>
      <w:r w:rsidR="00A954D0" w:rsidRPr="008379CA">
        <w:rPr>
          <w:rFonts w:ascii="Bookman Old Style" w:hAnsi="Bookman Old Style"/>
        </w:rPr>
        <w:t xml:space="preserve"> </w:t>
      </w:r>
      <w:r w:rsidRPr="008379CA">
        <w:rPr>
          <w:rFonts w:ascii="Bookman Old Style" w:hAnsi="Bookman Old Style"/>
        </w:rPr>
        <w:t>evaluasi</w:t>
      </w:r>
      <w:r w:rsidR="00A954D0" w:rsidRPr="008379CA">
        <w:rPr>
          <w:rFonts w:ascii="Bookman Old Style" w:hAnsi="Bookman Old Style"/>
        </w:rPr>
        <w:t xml:space="preserve"> </w:t>
      </w:r>
      <w:r w:rsidR="00EC6F08" w:rsidRPr="008379CA">
        <w:rPr>
          <w:rFonts w:ascii="Bookman Old Style" w:hAnsi="Bookman Old Style"/>
        </w:rPr>
        <w:t>Gubernur</w:t>
      </w:r>
      <w:r w:rsidR="00A954D0" w:rsidRPr="008379CA">
        <w:rPr>
          <w:rFonts w:ascii="Bookman Old Style" w:hAnsi="Bookman Old Style"/>
        </w:rPr>
        <w:t xml:space="preserve"> </w:t>
      </w:r>
      <w:r w:rsidRPr="008379CA">
        <w:rPr>
          <w:rFonts w:ascii="Bookman Old Style" w:hAnsi="Bookman Old Style"/>
        </w:rPr>
        <w:t>sebelum</w:t>
      </w:r>
      <w:r w:rsidR="00A954D0" w:rsidRPr="008379CA">
        <w:rPr>
          <w:rFonts w:ascii="Bookman Old Style" w:hAnsi="Bookman Old Style"/>
        </w:rPr>
        <w:t xml:space="preserve"> </w:t>
      </w:r>
      <w:r w:rsidRPr="008379CA">
        <w:rPr>
          <w:rFonts w:ascii="Bookman Old Style" w:hAnsi="Bookman Old Style"/>
        </w:rPr>
        <w:t>ditetapkan</w:t>
      </w:r>
      <w:r w:rsidR="00A954D0" w:rsidRPr="008379CA">
        <w:rPr>
          <w:rFonts w:ascii="Bookman Old Style" w:hAnsi="Bookman Old Style"/>
        </w:rPr>
        <w:t xml:space="preserve"> </w:t>
      </w:r>
      <w:r w:rsidR="001C092E" w:rsidRPr="008379CA">
        <w:rPr>
          <w:rFonts w:ascii="Bookman Old Style" w:hAnsi="Bookman Old Style"/>
        </w:rPr>
        <w:t>Wali</w:t>
      </w:r>
      <w:r w:rsidR="00A954D0" w:rsidRPr="008379CA">
        <w:rPr>
          <w:rFonts w:ascii="Bookman Old Style" w:hAnsi="Bookman Old Style"/>
        </w:rPr>
        <w:t xml:space="preserve"> </w:t>
      </w:r>
      <w:r w:rsidR="001C092E" w:rsidRPr="008379CA">
        <w:rPr>
          <w:rFonts w:ascii="Bookman Old Style" w:hAnsi="Bookman Old Style"/>
        </w:rPr>
        <w:t>Kota</w:t>
      </w:r>
      <w:r w:rsidRPr="008379CA">
        <w:rPr>
          <w:rFonts w:ascii="Bookman Old Style" w:hAnsi="Bookman Old Style"/>
        </w:rPr>
        <w:t>,</w:t>
      </w:r>
      <w:r w:rsidR="00A954D0" w:rsidRPr="008379CA">
        <w:rPr>
          <w:rFonts w:ascii="Bookman Old Style" w:hAnsi="Bookman Old Style"/>
        </w:rPr>
        <w:t xml:space="preserve"> </w:t>
      </w:r>
      <w:r w:rsidRPr="008379CA">
        <w:rPr>
          <w:rFonts w:ascii="Bookman Old Style" w:hAnsi="Bookman Old Style"/>
        </w:rPr>
        <w:t>meliputi:</w:t>
      </w:r>
    </w:p>
    <w:p w14:paraId="27D178EF" w14:textId="77777777" w:rsidR="003255BC" w:rsidRPr="008379CA" w:rsidRDefault="003255BC" w:rsidP="00727324">
      <w:pPr>
        <w:spacing w:before="60" w:line="276" w:lineRule="auto"/>
        <w:ind w:left="567"/>
        <w:jc w:val="both"/>
        <w:rPr>
          <w:rFonts w:ascii="Bookman Old Style" w:hAnsi="Bookman Old Style"/>
        </w:rPr>
      </w:pPr>
    </w:p>
    <w:p w14:paraId="158551F6" w14:textId="3F91AC15" w:rsidR="001165FB" w:rsidRPr="008379CA" w:rsidRDefault="001165FB" w:rsidP="003255BC">
      <w:pPr>
        <w:pStyle w:val="ListParagraph"/>
        <w:numPr>
          <w:ilvl w:val="0"/>
          <w:numId w:val="101"/>
        </w:numPr>
        <w:spacing w:before="120" w:after="0" w:line="276" w:lineRule="auto"/>
        <w:ind w:left="993" w:hanging="426"/>
        <w:contextualSpacing w:val="0"/>
        <w:jc w:val="both"/>
        <w:rPr>
          <w:rFonts w:ascii="Bookman Old Style" w:hAnsi="Bookman Old Style"/>
          <w:sz w:val="24"/>
          <w:szCs w:val="24"/>
        </w:rPr>
      </w:pPr>
      <w:r w:rsidRPr="008379CA">
        <w:rPr>
          <w:rFonts w:ascii="Bookman Old Style" w:hAnsi="Bookman Old Style"/>
          <w:sz w:val="24"/>
          <w:szCs w:val="24"/>
          <w:lang w:val="sv-FI"/>
        </w:rPr>
        <w:t>Fokus</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Kebijakan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Pembangunan</w:t>
      </w:r>
      <w:r w:rsidR="00A954D0" w:rsidRPr="008379CA">
        <w:rPr>
          <w:rFonts w:ascii="Bookman Old Style" w:hAnsi="Bookman Old Style"/>
          <w:sz w:val="24"/>
          <w:szCs w:val="24"/>
          <w:lang w:val="sv-FI"/>
        </w:rPr>
        <w:t xml:space="preserve"> </w:t>
      </w:r>
      <w:r w:rsidR="00391062" w:rsidRPr="008379CA">
        <w:rPr>
          <w:rFonts w:ascii="Bookman Old Style" w:hAnsi="Bookman Old Style"/>
          <w:sz w:val="24"/>
          <w:szCs w:val="24"/>
          <w:lang w:val="sv-FI"/>
        </w:rPr>
        <w:t>Kota</w:t>
      </w:r>
      <w:r w:rsidR="00A954D0" w:rsidRPr="008379CA">
        <w:rPr>
          <w:rFonts w:ascii="Bookman Old Style" w:hAnsi="Bookman Old Style"/>
          <w:sz w:val="24"/>
          <w:szCs w:val="24"/>
          <w:lang w:val="sv-FI"/>
        </w:rPr>
        <w:t xml:space="preserve"> </w:t>
      </w:r>
      <w:r w:rsidR="00770F22" w:rsidRPr="008379CA">
        <w:rPr>
          <w:rFonts w:ascii="Bookman Old Style" w:hAnsi="Bookman Old Style"/>
          <w:sz w:val="24"/>
          <w:szCs w:val="24"/>
          <w:lang w:val="sv-FI"/>
        </w:rPr>
        <w:t>Tangerang</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Tahun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2025</w:t>
      </w:r>
      <w:r w:rsidR="00A954D0" w:rsidRPr="008379CA">
        <w:rPr>
          <w:rFonts w:ascii="Bookman Old Style" w:hAnsi="Bookman Old Style"/>
          <w:sz w:val="24"/>
          <w:szCs w:val="24"/>
          <w:lang w:val="sv-FI"/>
        </w:rPr>
        <w:t xml:space="preserve"> </w:t>
      </w:r>
    </w:p>
    <w:p w14:paraId="4EF3E810" w14:textId="4ADF275F" w:rsidR="00E553F7" w:rsidRPr="008379CA" w:rsidRDefault="00E553F7" w:rsidP="003255BC">
      <w:pPr>
        <w:pStyle w:val="ListParagraph"/>
        <w:spacing w:before="60" w:after="0" w:line="276" w:lineRule="auto"/>
        <w:ind w:left="993"/>
        <w:contextualSpacing w:val="0"/>
        <w:jc w:val="both"/>
        <w:rPr>
          <w:rFonts w:ascii="Bookman Old Style" w:hAnsi="Bookman Old Style"/>
          <w:sz w:val="24"/>
          <w:szCs w:val="24"/>
          <w:lang w:val="sv-FI"/>
        </w:rPr>
      </w:pPr>
      <w:r w:rsidRPr="008379CA">
        <w:rPr>
          <w:rFonts w:ascii="Bookman Old Style" w:hAnsi="Bookman Old Style"/>
          <w:sz w:val="24"/>
          <w:szCs w:val="24"/>
          <w:lang w:val="sv-FI"/>
        </w:rPr>
        <w:t>Kebijakan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pembangunan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daerah</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Kota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Tangerang</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tahun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2025</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diprioritaskan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pada:</w:t>
      </w:r>
    </w:p>
    <w:p w14:paraId="7E1A84BA" w14:textId="7134A645" w:rsidR="00E553F7" w:rsidRPr="008379CA" w:rsidRDefault="00E553F7" w:rsidP="003255BC">
      <w:pPr>
        <w:pStyle w:val="ListParagraph"/>
        <w:numPr>
          <w:ilvl w:val="0"/>
          <w:numId w:val="230"/>
        </w:numPr>
        <w:spacing w:before="60" w:after="0" w:line="276" w:lineRule="auto"/>
        <w:ind w:hanging="291"/>
        <w:jc w:val="both"/>
        <w:rPr>
          <w:rFonts w:ascii="Bookman Old Style" w:hAnsi="Bookman Old Style"/>
          <w:sz w:val="24"/>
          <w:szCs w:val="24"/>
          <w:lang w:val="sv-FI"/>
        </w:rPr>
      </w:pPr>
      <w:r w:rsidRPr="008379CA">
        <w:rPr>
          <w:rFonts w:ascii="Bookman Old Style" w:hAnsi="Bookman Old Style"/>
          <w:sz w:val="24"/>
          <w:szCs w:val="24"/>
          <w:lang w:val="sv-FI"/>
        </w:rPr>
        <w:t>Peningkatan</w:t>
      </w:r>
      <w:r w:rsidR="00A954D0" w:rsidRPr="008379CA">
        <w:rPr>
          <w:rFonts w:ascii="Bookman Old Style" w:hAnsi="Bookman Old Style"/>
          <w:sz w:val="24"/>
          <w:szCs w:val="24"/>
          <w:lang w:val="sv-FI"/>
        </w:rPr>
        <w:t xml:space="preserve"> </w:t>
      </w:r>
      <w:r w:rsidR="001A183A" w:rsidRPr="008379CA">
        <w:rPr>
          <w:rFonts w:ascii="Bookman Old Style" w:hAnsi="Bookman Old Style"/>
          <w:sz w:val="24"/>
          <w:szCs w:val="24"/>
          <w:lang w:val="sv-FI"/>
        </w:rPr>
        <w:t>Daya</w:t>
      </w:r>
      <w:r w:rsidR="00A954D0" w:rsidRPr="008379CA">
        <w:rPr>
          <w:rFonts w:ascii="Bookman Old Style" w:hAnsi="Bookman Old Style"/>
          <w:sz w:val="24"/>
          <w:szCs w:val="24"/>
          <w:lang w:val="sv-FI"/>
        </w:rPr>
        <w:t xml:space="preserve"> </w:t>
      </w:r>
      <w:r w:rsidR="001A183A" w:rsidRPr="008379CA">
        <w:rPr>
          <w:rFonts w:ascii="Bookman Old Style" w:hAnsi="Bookman Old Style"/>
          <w:sz w:val="24"/>
          <w:szCs w:val="24"/>
          <w:lang w:val="sv-FI"/>
        </w:rPr>
        <w:t>Saing</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SDM</w:t>
      </w:r>
      <w:r w:rsidR="00A954D0" w:rsidRPr="008379CA">
        <w:rPr>
          <w:rFonts w:ascii="Bookman Old Style" w:hAnsi="Bookman Old Style"/>
          <w:sz w:val="24"/>
          <w:szCs w:val="24"/>
          <w:lang w:val="sv-FI"/>
        </w:rPr>
        <w:t xml:space="preserve"> </w:t>
      </w:r>
      <w:r w:rsidR="001A183A" w:rsidRPr="008379CA">
        <w:rPr>
          <w:rFonts w:ascii="Bookman Old Style" w:hAnsi="Bookman Old Style"/>
          <w:sz w:val="24"/>
          <w:szCs w:val="24"/>
          <w:lang w:val="sv-FI"/>
        </w:rPr>
        <w:t>B</w:t>
      </w:r>
      <w:r w:rsidRPr="008379CA">
        <w:rPr>
          <w:rFonts w:ascii="Bookman Old Style" w:hAnsi="Bookman Old Style"/>
          <w:sz w:val="24"/>
          <w:szCs w:val="24"/>
          <w:lang w:val="sv-FI"/>
        </w:rPr>
        <w:t>erbasis</w:t>
      </w:r>
      <w:r w:rsidR="00A954D0" w:rsidRPr="008379CA">
        <w:rPr>
          <w:rFonts w:ascii="Bookman Old Style" w:hAnsi="Bookman Old Style"/>
          <w:sz w:val="24"/>
          <w:szCs w:val="24"/>
          <w:lang w:val="sv-FI"/>
        </w:rPr>
        <w:t xml:space="preserve"> </w:t>
      </w:r>
      <w:r w:rsidR="001A183A" w:rsidRPr="008379CA">
        <w:rPr>
          <w:rFonts w:ascii="Bookman Old Style" w:hAnsi="Bookman Old Style"/>
          <w:sz w:val="24"/>
          <w:szCs w:val="24"/>
          <w:lang w:val="sv-FI"/>
        </w:rPr>
        <w:t>IPTEK</w:t>
      </w:r>
      <w:r w:rsidR="00EA718B" w:rsidRPr="008379CA">
        <w:rPr>
          <w:rFonts w:ascii="Bookman Old Style" w:hAnsi="Bookman Old Style"/>
          <w:sz w:val="24"/>
          <w:szCs w:val="24"/>
          <w:lang w:val="sv-FI"/>
        </w:rPr>
        <w:t>;</w:t>
      </w:r>
    </w:p>
    <w:p w14:paraId="5A62C862" w14:textId="39DBE7EA" w:rsidR="00E553F7" w:rsidRPr="008379CA" w:rsidRDefault="00E553F7" w:rsidP="003255BC">
      <w:pPr>
        <w:pStyle w:val="ListParagraph"/>
        <w:numPr>
          <w:ilvl w:val="0"/>
          <w:numId w:val="230"/>
        </w:numPr>
        <w:spacing w:before="60" w:after="0" w:line="276" w:lineRule="auto"/>
        <w:ind w:hanging="291"/>
        <w:jc w:val="both"/>
        <w:rPr>
          <w:rFonts w:ascii="Bookman Old Style" w:hAnsi="Bookman Old Style"/>
          <w:sz w:val="24"/>
          <w:szCs w:val="24"/>
          <w:lang w:val="sv-FI"/>
        </w:rPr>
      </w:pPr>
      <w:r w:rsidRPr="008379CA">
        <w:rPr>
          <w:rFonts w:ascii="Bookman Old Style" w:hAnsi="Bookman Old Style"/>
          <w:sz w:val="24"/>
          <w:szCs w:val="24"/>
          <w:lang w:val="sv-FI"/>
        </w:rPr>
        <w:t>Peningkatan</w:t>
      </w:r>
      <w:r w:rsidR="00A954D0" w:rsidRPr="008379CA">
        <w:rPr>
          <w:rFonts w:ascii="Bookman Old Style" w:hAnsi="Bookman Old Style"/>
          <w:sz w:val="24"/>
          <w:szCs w:val="24"/>
          <w:lang w:val="sv-FI"/>
        </w:rPr>
        <w:t xml:space="preserve"> </w:t>
      </w:r>
      <w:r w:rsidR="001A183A" w:rsidRPr="008379CA">
        <w:rPr>
          <w:rFonts w:ascii="Bookman Old Style" w:hAnsi="Bookman Old Style"/>
          <w:sz w:val="24"/>
          <w:szCs w:val="24"/>
          <w:lang w:val="sv-FI"/>
        </w:rPr>
        <w:t>Daya</w:t>
      </w:r>
      <w:r w:rsidR="00A954D0" w:rsidRPr="008379CA">
        <w:rPr>
          <w:rFonts w:ascii="Bookman Old Style" w:hAnsi="Bookman Old Style"/>
          <w:sz w:val="24"/>
          <w:szCs w:val="24"/>
          <w:lang w:val="sv-FI"/>
        </w:rPr>
        <w:t xml:space="preserve"> </w:t>
      </w:r>
      <w:r w:rsidR="001A183A" w:rsidRPr="008379CA">
        <w:rPr>
          <w:rFonts w:ascii="Bookman Old Style" w:hAnsi="Bookman Old Style"/>
          <w:sz w:val="24"/>
          <w:szCs w:val="24"/>
          <w:lang w:val="sv-FI"/>
        </w:rPr>
        <w:t>Saing</w:t>
      </w:r>
      <w:r w:rsidR="00A954D0" w:rsidRPr="008379CA">
        <w:rPr>
          <w:rFonts w:ascii="Bookman Old Style" w:hAnsi="Bookman Old Style"/>
          <w:sz w:val="24"/>
          <w:szCs w:val="24"/>
          <w:lang w:val="sv-FI"/>
        </w:rPr>
        <w:t xml:space="preserve"> </w:t>
      </w:r>
      <w:r w:rsidR="001A183A" w:rsidRPr="008379CA">
        <w:rPr>
          <w:rFonts w:ascii="Bookman Old Style" w:hAnsi="Bookman Old Style"/>
          <w:sz w:val="24"/>
          <w:szCs w:val="24"/>
          <w:lang w:val="sv-FI"/>
        </w:rPr>
        <w:t>Ekonomi</w:t>
      </w:r>
      <w:r w:rsidR="00A954D0" w:rsidRPr="008379CA">
        <w:rPr>
          <w:rFonts w:ascii="Bookman Old Style" w:hAnsi="Bookman Old Style"/>
          <w:sz w:val="24"/>
          <w:szCs w:val="24"/>
          <w:lang w:val="sv-FI"/>
        </w:rPr>
        <w:t xml:space="preserve"> </w:t>
      </w:r>
      <w:r w:rsidR="001A183A" w:rsidRPr="008379CA">
        <w:rPr>
          <w:rFonts w:ascii="Bookman Old Style" w:hAnsi="Bookman Old Style"/>
          <w:sz w:val="24"/>
          <w:szCs w:val="24"/>
          <w:lang w:val="sv-FI"/>
        </w:rPr>
        <w:t>Didukung</w:t>
      </w:r>
      <w:r w:rsidR="00A954D0" w:rsidRPr="008379CA">
        <w:rPr>
          <w:rFonts w:ascii="Bookman Old Style" w:hAnsi="Bookman Old Style"/>
          <w:sz w:val="24"/>
          <w:szCs w:val="24"/>
          <w:lang w:val="sv-FI"/>
        </w:rPr>
        <w:t xml:space="preserve"> </w:t>
      </w:r>
      <w:r w:rsidR="001A183A" w:rsidRPr="008379CA">
        <w:rPr>
          <w:rFonts w:ascii="Bookman Old Style" w:hAnsi="Bookman Old Style"/>
          <w:sz w:val="24"/>
          <w:szCs w:val="24"/>
          <w:lang w:val="sv-FI"/>
        </w:rPr>
        <w:t>Teknologi</w:t>
      </w:r>
      <w:r w:rsidR="00A954D0" w:rsidRPr="008379CA">
        <w:rPr>
          <w:rFonts w:ascii="Bookman Old Style" w:hAnsi="Bookman Old Style"/>
          <w:sz w:val="24"/>
          <w:szCs w:val="24"/>
          <w:lang w:val="sv-FI"/>
        </w:rPr>
        <w:t xml:space="preserve"> </w:t>
      </w:r>
      <w:r w:rsidR="001A183A" w:rsidRPr="008379CA">
        <w:rPr>
          <w:rFonts w:ascii="Bookman Old Style" w:hAnsi="Bookman Old Style"/>
          <w:sz w:val="24"/>
          <w:szCs w:val="24"/>
          <w:lang w:val="sv-FI"/>
        </w:rPr>
        <w:t>Informasi;</w:t>
      </w:r>
    </w:p>
    <w:p w14:paraId="1AAE3856" w14:textId="490BAF35" w:rsidR="00E553F7" w:rsidRPr="008379CA" w:rsidRDefault="001A183A" w:rsidP="003255BC">
      <w:pPr>
        <w:pStyle w:val="ListParagraph"/>
        <w:numPr>
          <w:ilvl w:val="0"/>
          <w:numId w:val="230"/>
        </w:numPr>
        <w:spacing w:before="60" w:after="0" w:line="276" w:lineRule="auto"/>
        <w:ind w:hanging="291"/>
        <w:jc w:val="both"/>
        <w:rPr>
          <w:rFonts w:ascii="Bookman Old Style" w:hAnsi="Bookman Old Style"/>
          <w:sz w:val="24"/>
          <w:szCs w:val="24"/>
          <w:lang w:val="sv-FI"/>
        </w:rPr>
      </w:pPr>
      <w:r w:rsidRPr="008379CA">
        <w:rPr>
          <w:rFonts w:ascii="Bookman Old Style" w:hAnsi="Bookman Old Style"/>
          <w:sz w:val="24"/>
          <w:szCs w:val="24"/>
          <w:lang w:val="sv-FI"/>
        </w:rPr>
        <w:t>Peningkatan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Daya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Saing</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Infrastruktur</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Perkotaan;</w:t>
      </w:r>
    </w:p>
    <w:p w14:paraId="28B401D4" w14:textId="0C070E77" w:rsidR="00E553F7" w:rsidRPr="008379CA" w:rsidRDefault="00EA718B" w:rsidP="003255BC">
      <w:pPr>
        <w:pStyle w:val="ListParagraph"/>
        <w:numPr>
          <w:ilvl w:val="0"/>
          <w:numId w:val="230"/>
        </w:numPr>
        <w:spacing w:before="60" w:after="0" w:line="276" w:lineRule="auto"/>
        <w:ind w:hanging="291"/>
        <w:jc w:val="both"/>
        <w:rPr>
          <w:rFonts w:ascii="Bookman Old Style" w:hAnsi="Bookman Old Style"/>
          <w:sz w:val="24"/>
          <w:szCs w:val="24"/>
          <w:lang w:val="en-US"/>
        </w:rPr>
      </w:pPr>
      <w:r w:rsidRPr="008379CA">
        <w:rPr>
          <w:rFonts w:ascii="Bookman Old Style" w:hAnsi="Bookman Old Style"/>
          <w:sz w:val="24"/>
          <w:szCs w:val="24"/>
          <w:lang w:val="en-US"/>
        </w:rPr>
        <w:t>Peningkatan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Kualitas</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Lingkungan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Hidup;</w:t>
      </w:r>
    </w:p>
    <w:p w14:paraId="1CB6D98A" w14:textId="1F8936AC" w:rsidR="00E553F7" w:rsidRPr="008379CA" w:rsidRDefault="00EA718B" w:rsidP="003255BC">
      <w:pPr>
        <w:pStyle w:val="ListParagraph"/>
        <w:numPr>
          <w:ilvl w:val="0"/>
          <w:numId w:val="230"/>
        </w:numPr>
        <w:spacing w:before="60" w:after="0" w:line="276" w:lineRule="auto"/>
        <w:ind w:hanging="291"/>
        <w:jc w:val="both"/>
        <w:rPr>
          <w:rFonts w:ascii="Bookman Old Style" w:hAnsi="Bookman Old Style"/>
          <w:sz w:val="24"/>
          <w:szCs w:val="24"/>
          <w:lang w:val="sv-FI"/>
        </w:rPr>
      </w:pPr>
      <w:r w:rsidRPr="008379CA">
        <w:rPr>
          <w:rFonts w:ascii="Bookman Old Style" w:hAnsi="Bookman Old Style"/>
          <w:sz w:val="24"/>
          <w:szCs w:val="24"/>
          <w:lang w:val="sv-FI"/>
        </w:rPr>
        <w:t>Peningkatan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Layanan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Publik</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Kompetensi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Aparatur</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Didukung</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Teknologi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Informasi.</w:t>
      </w:r>
    </w:p>
    <w:p w14:paraId="2DC44D77" w14:textId="52B312E1" w:rsidR="00E553F7" w:rsidRPr="008379CA" w:rsidRDefault="00E553F7" w:rsidP="003255BC">
      <w:pPr>
        <w:pStyle w:val="ListParagraph"/>
        <w:spacing w:before="60" w:after="0" w:line="276" w:lineRule="auto"/>
        <w:ind w:left="993"/>
        <w:jc w:val="both"/>
        <w:rPr>
          <w:rFonts w:ascii="Bookman Old Style" w:hAnsi="Bookman Old Style"/>
          <w:sz w:val="24"/>
          <w:szCs w:val="24"/>
          <w:lang w:val="sv-FI"/>
        </w:rPr>
      </w:pPr>
      <w:r w:rsidRPr="008379CA">
        <w:rPr>
          <w:rFonts w:ascii="Bookman Old Style" w:hAnsi="Bookman Old Style"/>
          <w:sz w:val="24"/>
          <w:szCs w:val="24"/>
          <w:lang w:val="sv-FI"/>
        </w:rPr>
        <w:t>Fokus</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program-kegiatan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pada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tahun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2025</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diarahkan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untuk</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mendukung</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mewujudkan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prioritas</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pembangunan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yang</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telah</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ditetapkan,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sehingga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diharapkan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dapat</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berpengaruh</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pada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capaian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indikator</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makro</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pembangunan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yang</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telah</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diproyeksikan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sebagai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berikut:</w:t>
      </w:r>
    </w:p>
    <w:p w14:paraId="5EDC88E6" w14:textId="5B76D30A" w:rsidR="00E553F7" w:rsidRPr="008379CA" w:rsidRDefault="00E553F7" w:rsidP="003255BC">
      <w:pPr>
        <w:pStyle w:val="ListParagraph"/>
        <w:numPr>
          <w:ilvl w:val="0"/>
          <w:numId w:val="229"/>
        </w:numPr>
        <w:spacing w:before="60" w:after="0" w:line="276" w:lineRule="auto"/>
        <w:ind w:left="1284" w:hanging="291"/>
        <w:contextualSpacing w:val="0"/>
        <w:jc w:val="both"/>
        <w:rPr>
          <w:rFonts w:ascii="Bookman Old Style" w:hAnsi="Bookman Old Style"/>
          <w:sz w:val="24"/>
          <w:szCs w:val="24"/>
        </w:rPr>
      </w:pPr>
      <w:r w:rsidRPr="008379CA">
        <w:rPr>
          <w:rFonts w:ascii="Bookman Old Style" w:hAnsi="Bookman Old Style"/>
          <w:sz w:val="24"/>
          <w:szCs w:val="24"/>
          <w:lang w:val="en-US"/>
        </w:rPr>
        <w:t>Proyeksi</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Pertumbuhan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Ekonomi</w:t>
      </w:r>
    </w:p>
    <w:p w14:paraId="4D7CC203" w14:textId="68DC5D0A" w:rsidR="00E553F7" w:rsidRPr="008379CA" w:rsidRDefault="00E553F7" w:rsidP="00E553F7">
      <w:pPr>
        <w:pStyle w:val="ListParagraph"/>
        <w:spacing w:before="60" w:after="0" w:line="276" w:lineRule="auto"/>
        <w:ind w:left="1284"/>
        <w:contextualSpacing w:val="0"/>
        <w:jc w:val="both"/>
        <w:rPr>
          <w:rFonts w:ascii="Bookman Old Style" w:hAnsi="Bookman Old Style"/>
          <w:sz w:val="24"/>
          <w:szCs w:val="24"/>
          <w:lang w:val="sv-FI"/>
        </w:rPr>
      </w:pPr>
      <w:r w:rsidRPr="008379CA">
        <w:rPr>
          <w:rFonts w:ascii="Bookman Old Style" w:hAnsi="Bookman Old Style"/>
          <w:sz w:val="24"/>
          <w:szCs w:val="24"/>
          <w:lang w:val="sv-FI"/>
        </w:rPr>
        <w:t>Proyeksi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pertumbuhan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ekonomi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pada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tahun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2025</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sebesar</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5,4</w:t>
      </w:r>
      <w:r w:rsidR="00711332" w:rsidRPr="008379CA">
        <w:rPr>
          <w:rFonts w:ascii="Bookman Old Style" w:hAnsi="Bookman Old Style"/>
          <w:sz w:val="24"/>
          <w:szCs w:val="24"/>
          <w:lang w:val="sv-FI"/>
        </w:rPr>
        <w:t>0</w:t>
      </w:r>
      <w:r w:rsidRPr="008379CA">
        <w:rPr>
          <w:rFonts w:ascii="Bookman Old Style" w:hAnsi="Bookman Old Style"/>
          <w:sz w:val="24"/>
          <w:szCs w:val="24"/>
          <w:lang w:val="sv-FI"/>
        </w:rPr>
        <w:t>%</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diperkirakan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mengalami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penurunan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sebesar</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0,17%</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dibandingkan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dengan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capaian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pertumbuhan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ekonomi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pada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tahun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2023</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sebesar</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5,57%.</w:t>
      </w:r>
    </w:p>
    <w:p w14:paraId="462BBA7E" w14:textId="1FFBA41A" w:rsidR="00E553F7" w:rsidRPr="008379CA" w:rsidRDefault="00E553F7" w:rsidP="003255BC">
      <w:pPr>
        <w:pStyle w:val="ListParagraph"/>
        <w:numPr>
          <w:ilvl w:val="0"/>
          <w:numId w:val="229"/>
        </w:numPr>
        <w:spacing w:before="60" w:after="0" w:line="276" w:lineRule="auto"/>
        <w:ind w:left="1284" w:hanging="291"/>
        <w:contextualSpacing w:val="0"/>
        <w:jc w:val="both"/>
        <w:rPr>
          <w:rFonts w:ascii="Bookman Old Style" w:hAnsi="Bookman Old Style"/>
          <w:sz w:val="24"/>
          <w:szCs w:val="24"/>
        </w:rPr>
      </w:pPr>
      <w:r w:rsidRPr="008379CA">
        <w:rPr>
          <w:rFonts w:ascii="Bookman Old Style" w:hAnsi="Bookman Old Style"/>
          <w:sz w:val="24"/>
          <w:szCs w:val="24"/>
          <w:lang w:val="en-US"/>
        </w:rPr>
        <w:t>Proyeksi</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Tingkat</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Pengangguran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Terbuka</w:t>
      </w:r>
    </w:p>
    <w:p w14:paraId="169E3F9B" w14:textId="7F333333" w:rsidR="00E553F7" w:rsidRPr="008379CA" w:rsidRDefault="00E553F7" w:rsidP="00E553F7">
      <w:pPr>
        <w:pStyle w:val="ListParagraph"/>
        <w:spacing w:before="60" w:after="0" w:line="276" w:lineRule="auto"/>
        <w:ind w:left="1284"/>
        <w:contextualSpacing w:val="0"/>
        <w:jc w:val="both"/>
        <w:rPr>
          <w:rFonts w:ascii="Bookman Old Style" w:hAnsi="Bookman Old Style"/>
          <w:sz w:val="24"/>
          <w:szCs w:val="24"/>
        </w:rPr>
      </w:pPr>
      <w:r w:rsidRPr="008379CA">
        <w:rPr>
          <w:rFonts w:ascii="Bookman Old Style" w:hAnsi="Bookman Old Style"/>
          <w:sz w:val="24"/>
          <w:szCs w:val="24"/>
          <w:lang w:val="sv-FI"/>
        </w:rPr>
        <w:t>Proyeksi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tingkat</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pengangguran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terbuka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pada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tahun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2025</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sebesar</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6,66%</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diperkirakan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menurun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sebesar</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0,01%</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dibandingkan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dengan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capaian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tingkat</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pengangguran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terbuka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pada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tahun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2023</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sebesar</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6,67%.</w:t>
      </w:r>
    </w:p>
    <w:p w14:paraId="4FFAC9E4" w14:textId="385F3356" w:rsidR="00E553F7" w:rsidRPr="008379CA" w:rsidRDefault="00E553F7" w:rsidP="003255BC">
      <w:pPr>
        <w:pStyle w:val="ListParagraph"/>
        <w:numPr>
          <w:ilvl w:val="0"/>
          <w:numId w:val="229"/>
        </w:numPr>
        <w:spacing w:before="60" w:after="0" w:line="276" w:lineRule="auto"/>
        <w:ind w:left="1284" w:hanging="291"/>
        <w:contextualSpacing w:val="0"/>
        <w:jc w:val="both"/>
        <w:rPr>
          <w:rFonts w:ascii="Bookman Old Style" w:hAnsi="Bookman Old Style"/>
          <w:sz w:val="24"/>
          <w:szCs w:val="24"/>
        </w:rPr>
      </w:pPr>
      <w:r w:rsidRPr="008379CA">
        <w:rPr>
          <w:rFonts w:ascii="Bookman Old Style" w:hAnsi="Bookman Old Style"/>
          <w:sz w:val="24"/>
          <w:szCs w:val="24"/>
          <w:lang w:val="en-US"/>
        </w:rPr>
        <w:t>Proyeksi</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Kemiskinan</w:t>
      </w:r>
    </w:p>
    <w:p w14:paraId="63200C96" w14:textId="5AA3F10C" w:rsidR="00E553F7" w:rsidRPr="008379CA" w:rsidRDefault="00E553F7" w:rsidP="00E553F7">
      <w:pPr>
        <w:pStyle w:val="ListParagraph"/>
        <w:spacing w:before="60" w:after="0" w:line="276" w:lineRule="auto"/>
        <w:ind w:left="1284"/>
        <w:contextualSpacing w:val="0"/>
        <w:jc w:val="both"/>
        <w:rPr>
          <w:rFonts w:ascii="Bookman Old Style" w:hAnsi="Bookman Old Style"/>
          <w:sz w:val="24"/>
          <w:szCs w:val="24"/>
        </w:rPr>
      </w:pPr>
      <w:r w:rsidRPr="008379CA">
        <w:rPr>
          <w:rFonts w:ascii="Bookman Old Style" w:hAnsi="Bookman Old Style"/>
          <w:sz w:val="24"/>
          <w:szCs w:val="24"/>
          <w:lang w:val="sv-FI"/>
        </w:rPr>
        <w:t>Proyeksi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penduduk</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miskin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pada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tahun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2025</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sebesar</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5,44-5,10%</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diperkirakan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menurun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sebesar</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0,79%</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dibandingkan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dengan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capaian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penduduk</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miskin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pada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tahun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2023</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sebesar</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5,89%.</w:t>
      </w:r>
    </w:p>
    <w:p w14:paraId="5F8FD1BF" w14:textId="7FB846AC" w:rsidR="00E553F7" w:rsidRPr="008379CA" w:rsidRDefault="00E553F7" w:rsidP="003255BC">
      <w:pPr>
        <w:pStyle w:val="ListParagraph"/>
        <w:numPr>
          <w:ilvl w:val="0"/>
          <w:numId w:val="229"/>
        </w:numPr>
        <w:spacing w:before="60" w:after="0" w:line="276" w:lineRule="auto"/>
        <w:ind w:left="1284" w:hanging="291"/>
        <w:contextualSpacing w:val="0"/>
        <w:jc w:val="both"/>
        <w:rPr>
          <w:rFonts w:ascii="Bookman Old Style" w:hAnsi="Bookman Old Style"/>
          <w:sz w:val="24"/>
          <w:szCs w:val="24"/>
        </w:rPr>
      </w:pPr>
      <w:r w:rsidRPr="008379CA">
        <w:rPr>
          <w:rFonts w:ascii="Bookman Old Style" w:hAnsi="Bookman Old Style"/>
          <w:sz w:val="24"/>
          <w:szCs w:val="24"/>
          <w:lang w:val="en-US"/>
        </w:rPr>
        <w:t>Proyeksi</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Gini</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Rasio</w:t>
      </w:r>
    </w:p>
    <w:p w14:paraId="2B6E84DF" w14:textId="72C2973A" w:rsidR="00E553F7" w:rsidRPr="008379CA" w:rsidRDefault="00E553F7" w:rsidP="00E553F7">
      <w:pPr>
        <w:pStyle w:val="ListParagraph"/>
        <w:spacing w:before="60" w:after="0" w:line="276" w:lineRule="auto"/>
        <w:ind w:left="1284"/>
        <w:contextualSpacing w:val="0"/>
        <w:jc w:val="both"/>
        <w:rPr>
          <w:rFonts w:ascii="Bookman Old Style" w:hAnsi="Bookman Old Style"/>
          <w:sz w:val="24"/>
          <w:szCs w:val="24"/>
        </w:rPr>
      </w:pPr>
      <w:r w:rsidRPr="008379CA">
        <w:rPr>
          <w:rFonts w:ascii="Bookman Old Style" w:hAnsi="Bookman Old Style"/>
          <w:sz w:val="24"/>
          <w:szCs w:val="24"/>
          <w:lang w:val="en-US"/>
        </w:rPr>
        <w:t>Proyeksi</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gini</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rasio</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pada</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tahun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2025</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sebesar</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0,366</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poin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diperkirakan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turun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sebesar</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0,0</w:t>
      </w:r>
      <w:r w:rsidR="00923B8C" w:rsidRPr="008379CA">
        <w:rPr>
          <w:rFonts w:ascii="Bookman Old Style" w:hAnsi="Bookman Old Style"/>
          <w:sz w:val="24"/>
          <w:szCs w:val="24"/>
          <w:lang w:val="en-US"/>
        </w:rPr>
        <w:t>13</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poin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dibandingkan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dengan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capaian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gini</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rasio</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pada</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tahun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2023</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sebesar</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0,379</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poin.</w:t>
      </w:r>
    </w:p>
    <w:p w14:paraId="32A81299" w14:textId="23BA02E4" w:rsidR="00C21343" w:rsidRPr="008379CA" w:rsidRDefault="00E553F7" w:rsidP="003255BC">
      <w:pPr>
        <w:pStyle w:val="ListParagraph"/>
        <w:spacing w:before="60" w:after="0" w:line="276" w:lineRule="auto"/>
        <w:ind w:left="993"/>
        <w:contextualSpacing w:val="0"/>
        <w:jc w:val="both"/>
        <w:rPr>
          <w:rFonts w:ascii="Bookman Old Style" w:hAnsi="Bookman Old Style"/>
          <w:sz w:val="24"/>
          <w:szCs w:val="24"/>
        </w:rPr>
      </w:pPr>
      <w:r w:rsidRPr="008379CA">
        <w:rPr>
          <w:rFonts w:ascii="Bookman Old Style" w:hAnsi="Bookman Old Style"/>
          <w:sz w:val="24"/>
          <w:szCs w:val="24"/>
        </w:rPr>
        <w:t>Sehubungan</w:t>
      </w:r>
      <w:r w:rsidR="00A954D0" w:rsidRPr="008379CA">
        <w:rPr>
          <w:rFonts w:ascii="Bookman Old Style" w:hAnsi="Bookman Old Style"/>
          <w:sz w:val="24"/>
          <w:szCs w:val="24"/>
        </w:rPr>
        <w:t xml:space="preserve"> </w:t>
      </w:r>
      <w:r w:rsidRPr="008379CA">
        <w:rPr>
          <w:rFonts w:ascii="Bookman Old Style" w:hAnsi="Bookman Old Style"/>
          <w:sz w:val="24"/>
          <w:szCs w:val="24"/>
        </w:rPr>
        <w:t>dengan</w:t>
      </w:r>
      <w:r w:rsidR="00A954D0" w:rsidRPr="008379CA">
        <w:rPr>
          <w:rFonts w:ascii="Bookman Old Style" w:hAnsi="Bookman Old Style"/>
          <w:sz w:val="24"/>
          <w:szCs w:val="24"/>
        </w:rPr>
        <w:t xml:space="preserve"> </w:t>
      </w:r>
      <w:r w:rsidRPr="008379CA">
        <w:rPr>
          <w:rFonts w:ascii="Bookman Old Style" w:hAnsi="Bookman Old Style"/>
          <w:sz w:val="24"/>
          <w:szCs w:val="24"/>
        </w:rPr>
        <w:t>hal</w:t>
      </w:r>
      <w:r w:rsidR="00A954D0" w:rsidRPr="008379CA">
        <w:rPr>
          <w:rFonts w:ascii="Bookman Old Style" w:hAnsi="Bookman Old Style"/>
          <w:sz w:val="24"/>
          <w:szCs w:val="24"/>
        </w:rPr>
        <w:t xml:space="preserve"> </w:t>
      </w:r>
      <w:r w:rsidRPr="008379CA">
        <w:rPr>
          <w:rFonts w:ascii="Bookman Old Style" w:hAnsi="Bookman Old Style"/>
          <w:sz w:val="24"/>
          <w:szCs w:val="24"/>
        </w:rPr>
        <w:t>tersebut,</w:t>
      </w:r>
      <w:r w:rsidR="00A954D0" w:rsidRPr="008379CA">
        <w:rPr>
          <w:rFonts w:ascii="Bookman Old Style" w:hAnsi="Bookman Old Style"/>
          <w:sz w:val="24"/>
          <w:szCs w:val="24"/>
        </w:rPr>
        <w:t xml:space="preserve"> </w:t>
      </w:r>
      <w:r w:rsidRPr="008379CA">
        <w:rPr>
          <w:rFonts w:ascii="Bookman Old Style" w:hAnsi="Bookman Old Style"/>
          <w:sz w:val="24"/>
          <w:szCs w:val="24"/>
        </w:rPr>
        <w:t>Pemerintah</w:t>
      </w:r>
      <w:r w:rsidR="00A954D0" w:rsidRPr="008379CA">
        <w:rPr>
          <w:rFonts w:ascii="Bookman Old Style" w:hAnsi="Bookman Old Style"/>
          <w:sz w:val="24"/>
          <w:szCs w:val="24"/>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sz w:val="24"/>
          <w:szCs w:val="24"/>
        </w:rPr>
        <w:t>memfokuskan</w:t>
      </w:r>
      <w:r w:rsidR="00A954D0" w:rsidRPr="008379CA">
        <w:rPr>
          <w:rFonts w:ascii="Bookman Old Style" w:hAnsi="Bookman Old Style"/>
          <w:sz w:val="24"/>
          <w:szCs w:val="24"/>
        </w:rPr>
        <w:t xml:space="preserve"> </w:t>
      </w:r>
      <w:r w:rsidRPr="008379CA">
        <w:rPr>
          <w:rFonts w:ascii="Bookman Old Style" w:hAnsi="Bookman Old Style"/>
          <w:sz w:val="24"/>
          <w:szCs w:val="24"/>
        </w:rPr>
        <w:t>pada</w:t>
      </w:r>
      <w:r w:rsidR="00A954D0" w:rsidRPr="008379CA">
        <w:rPr>
          <w:rFonts w:ascii="Bookman Old Style" w:hAnsi="Bookman Old Style"/>
          <w:sz w:val="24"/>
          <w:szCs w:val="24"/>
        </w:rPr>
        <w:t xml:space="preserve"> </w:t>
      </w:r>
      <w:r w:rsidRPr="008379CA">
        <w:rPr>
          <w:rFonts w:ascii="Bookman Old Style" w:hAnsi="Bookman Old Style"/>
          <w:sz w:val="24"/>
          <w:szCs w:val="24"/>
        </w:rPr>
        <w:t>prioritas</w:t>
      </w:r>
      <w:r w:rsidR="00A954D0" w:rsidRPr="008379CA">
        <w:rPr>
          <w:rFonts w:ascii="Bookman Old Style" w:hAnsi="Bookman Old Style"/>
          <w:sz w:val="24"/>
          <w:szCs w:val="24"/>
        </w:rPr>
        <w:t xml:space="preserve"> </w:t>
      </w:r>
      <w:r w:rsidRPr="008379CA">
        <w:rPr>
          <w:rFonts w:ascii="Bookman Old Style" w:hAnsi="Bookman Old Style"/>
          <w:sz w:val="24"/>
          <w:szCs w:val="24"/>
        </w:rPr>
        <w:t>pembangunan</w:t>
      </w:r>
      <w:r w:rsidR="00A954D0" w:rsidRPr="008379CA">
        <w:rPr>
          <w:rFonts w:ascii="Bookman Old Style" w:hAnsi="Bookman Old Style"/>
          <w:sz w:val="24"/>
          <w:szCs w:val="24"/>
        </w:rPr>
        <w:t xml:space="preserve"> </w:t>
      </w:r>
      <w:r w:rsidRPr="008379CA">
        <w:rPr>
          <w:rFonts w:ascii="Bookman Old Style" w:hAnsi="Bookman Old Style"/>
          <w:sz w:val="24"/>
          <w:szCs w:val="24"/>
        </w:rPr>
        <w:t>yang</w:t>
      </w:r>
      <w:r w:rsidR="00A954D0" w:rsidRPr="008379CA">
        <w:rPr>
          <w:rFonts w:ascii="Bookman Old Style" w:hAnsi="Bookman Old Style"/>
          <w:sz w:val="24"/>
          <w:szCs w:val="24"/>
        </w:rPr>
        <w:t xml:space="preserve"> </w:t>
      </w:r>
      <w:r w:rsidRPr="008379CA">
        <w:rPr>
          <w:rFonts w:ascii="Bookman Old Style" w:hAnsi="Bookman Old Style"/>
          <w:sz w:val="24"/>
          <w:szCs w:val="24"/>
        </w:rPr>
        <w:t>telah</w:t>
      </w:r>
      <w:r w:rsidR="00A954D0" w:rsidRPr="008379CA">
        <w:rPr>
          <w:rFonts w:ascii="Bookman Old Style" w:hAnsi="Bookman Old Style"/>
          <w:sz w:val="24"/>
          <w:szCs w:val="24"/>
        </w:rPr>
        <w:t xml:space="preserve"> </w:t>
      </w:r>
      <w:r w:rsidRPr="008379CA">
        <w:rPr>
          <w:rFonts w:ascii="Bookman Old Style" w:hAnsi="Bookman Old Style"/>
          <w:sz w:val="24"/>
          <w:szCs w:val="24"/>
        </w:rPr>
        <w:t>ditetapkan</w:t>
      </w:r>
      <w:r w:rsidR="00A954D0" w:rsidRPr="008379CA">
        <w:rPr>
          <w:rFonts w:ascii="Bookman Old Style" w:hAnsi="Bookman Old Style"/>
          <w:sz w:val="24"/>
          <w:szCs w:val="24"/>
        </w:rPr>
        <w:t xml:space="preserve"> </w:t>
      </w:r>
      <w:r w:rsidRPr="008379CA">
        <w:rPr>
          <w:rFonts w:ascii="Bookman Old Style" w:hAnsi="Bookman Old Style"/>
          <w:sz w:val="24"/>
          <w:szCs w:val="24"/>
        </w:rPr>
        <w:lastRenderedPageBreak/>
        <w:t>dalam</w:t>
      </w:r>
      <w:r w:rsidR="00A954D0" w:rsidRPr="008379CA">
        <w:rPr>
          <w:rFonts w:ascii="Bookman Old Style" w:hAnsi="Bookman Old Style"/>
          <w:sz w:val="24"/>
          <w:szCs w:val="24"/>
        </w:rPr>
        <w:t xml:space="preserve"> </w:t>
      </w:r>
      <w:r w:rsidRPr="008379CA">
        <w:rPr>
          <w:rFonts w:ascii="Bookman Old Style" w:hAnsi="Bookman Old Style"/>
          <w:sz w:val="24"/>
          <w:szCs w:val="24"/>
        </w:rPr>
        <w:t>RKPD</w:t>
      </w:r>
      <w:r w:rsidR="00A954D0" w:rsidRPr="008379CA">
        <w:rPr>
          <w:rFonts w:ascii="Bookman Old Style" w:hAnsi="Bookman Old Style"/>
          <w:sz w:val="24"/>
          <w:szCs w:val="24"/>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rPr>
        <w:t>2025</w:t>
      </w:r>
      <w:r w:rsidR="00A954D0" w:rsidRPr="008379CA">
        <w:rPr>
          <w:rFonts w:ascii="Bookman Old Style" w:hAnsi="Bookman Old Style"/>
          <w:sz w:val="24"/>
          <w:szCs w:val="24"/>
        </w:rPr>
        <w:t xml:space="preserve"> </w:t>
      </w:r>
      <w:r w:rsidRPr="008379CA">
        <w:rPr>
          <w:rFonts w:ascii="Bookman Old Style" w:hAnsi="Bookman Old Style"/>
          <w:sz w:val="24"/>
          <w:szCs w:val="24"/>
        </w:rPr>
        <w:t>serta</w:t>
      </w:r>
      <w:r w:rsidR="00A954D0" w:rsidRPr="008379CA">
        <w:rPr>
          <w:rFonts w:ascii="Bookman Old Style" w:hAnsi="Bookman Old Style"/>
          <w:sz w:val="24"/>
          <w:szCs w:val="24"/>
        </w:rPr>
        <w:t xml:space="preserve"> </w:t>
      </w:r>
      <w:r w:rsidRPr="008379CA">
        <w:rPr>
          <w:rFonts w:ascii="Bookman Old Style" w:hAnsi="Bookman Old Style"/>
          <w:sz w:val="24"/>
          <w:szCs w:val="24"/>
          <w:lang w:val="en-US"/>
        </w:rPr>
        <w:t>dalam</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pelaksanaan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penganggaran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rPr>
        <w:t>tidak</w:t>
      </w:r>
      <w:r w:rsidR="00A954D0" w:rsidRPr="008379CA">
        <w:rPr>
          <w:rFonts w:ascii="Bookman Old Style" w:hAnsi="Bookman Old Style"/>
          <w:sz w:val="24"/>
          <w:szCs w:val="24"/>
        </w:rPr>
        <w:t xml:space="preserve"> </w:t>
      </w:r>
      <w:r w:rsidRPr="008379CA">
        <w:rPr>
          <w:rFonts w:ascii="Bookman Old Style" w:hAnsi="Bookman Old Style"/>
          <w:sz w:val="24"/>
          <w:szCs w:val="24"/>
        </w:rPr>
        <w:t>dilakukan</w:t>
      </w:r>
      <w:r w:rsidR="00A954D0" w:rsidRPr="008379CA">
        <w:rPr>
          <w:rFonts w:ascii="Bookman Old Style" w:hAnsi="Bookman Old Style"/>
          <w:sz w:val="24"/>
          <w:szCs w:val="24"/>
        </w:rPr>
        <w:t xml:space="preserve"> </w:t>
      </w:r>
      <w:r w:rsidRPr="008379CA">
        <w:rPr>
          <w:rFonts w:ascii="Bookman Old Style" w:hAnsi="Bookman Old Style"/>
          <w:sz w:val="24"/>
          <w:szCs w:val="24"/>
        </w:rPr>
        <w:t>berdasarkan</w:t>
      </w:r>
      <w:r w:rsidR="00A954D0" w:rsidRPr="008379CA">
        <w:rPr>
          <w:rFonts w:ascii="Bookman Old Style" w:hAnsi="Bookman Old Style"/>
          <w:sz w:val="24"/>
          <w:szCs w:val="24"/>
        </w:rPr>
        <w:t xml:space="preserve"> </w:t>
      </w:r>
      <w:r w:rsidRPr="008379CA">
        <w:rPr>
          <w:rFonts w:ascii="Bookman Old Style" w:hAnsi="Bookman Old Style"/>
          <w:sz w:val="24"/>
          <w:szCs w:val="24"/>
        </w:rPr>
        <w:t>pertimbangan</w:t>
      </w:r>
      <w:r w:rsidR="00A954D0" w:rsidRPr="008379CA">
        <w:rPr>
          <w:rFonts w:ascii="Bookman Old Style" w:hAnsi="Bookman Old Style"/>
          <w:sz w:val="24"/>
          <w:szCs w:val="24"/>
        </w:rPr>
        <w:t xml:space="preserve"> </w:t>
      </w:r>
      <w:r w:rsidRPr="008379CA">
        <w:rPr>
          <w:rFonts w:ascii="Bookman Old Style" w:hAnsi="Bookman Old Style"/>
          <w:sz w:val="24"/>
          <w:szCs w:val="24"/>
        </w:rPr>
        <w:t>pemerataan</w:t>
      </w:r>
      <w:r w:rsidR="00A954D0" w:rsidRPr="008379CA">
        <w:rPr>
          <w:rFonts w:ascii="Bookman Old Style" w:hAnsi="Bookman Old Style"/>
          <w:sz w:val="24"/>
          <w:szCs w:val="24"/>
        </w:rPr>
        <w:t xml:space="preserve"> </w:t>
      </w:r>
      <w:r w:rsidRPr="008379CA">
        <w:rPr>
          <w:rFonts w:ascii="Bookman Old Style" w:hAnsi="Bookman Old Style"/>
          <w:sz w:val="24"/>
          <w:szCs w:val="24"/>
        </w:rPr>
        <w:t>antar</w:t>
      </w:r>
      <w:r w:rsidR="00A954D0" w:rsidRPr="008379CA">
        <w:rPr>
          <w:rFonts w:ascii="Bookman Old Style" w:hAnsi="Bookman Old Style"/>
          <w:sz w:val="24"/>
          <w:szCs w:val="24"/>
        </w:rPr>
        <w:t xml:space="preserve"> </w:t>
      </w:r>
      <w:r w:rsidRPr="008379CA">
        <w:rPr>
          <w:rFonts w:ascii="Bookman Old Style" w:hAnsi="Bookman Old Style"/>
          <w:sz w:val="24"/>
          <w:szCs w:val="24"/>
        </w:rPr>
        <w:t>perangkat</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atau</w:t>
      </w:r>
      <w:r w:rsidR="00A954D0" w:rsidRPr="008379CA">
        <w:rPr>
          <w:rFonts w:ascii="Bookman Old Style" w:hAnsi="Bookman Old Style"/>
          <w:sz w:val="24"/>
          <w:szCs w:val="24"/>
        </w:rPr>
        <w:t xml:space="preserve"> </w:t>
      </w:r>
      <w:r w:rsidRPr="008379CA">
        <w:rPr>
          <w:rFonts w:ascii="Bookman Old Style" w:hAnsi="Bookman Old Style"/>
          <w:sz w:val="24"/>
          <w:szCs w:val="24"/>
        </w:rPr>
        <w:t>berdasarkan</w:t>
      </w:r>
      <w:r w:rsidR="00A954D0" w:rsidRPr="008379CA">
        <w:rPr>
          <w:rFonts w:ascii="Bookman Old Style" w:hAnsi="Bookman Old Style"/>
          <w:sz w:val="24"/>
          <w:szCs w:val="24"/>
        </w:rPr>
        <w:t xml:space="preserve"> </w:t>
      </w:r>
      <w:r w:rsidRPr="008379CA">
        <w:rPr>
          <w:rFonts w:ascii="Bookman Old Style" w:hAnsi="Bookman Old Style"/>
          <w:sz w:val="24"/>
          <w:szCs w:val="24"/>
        </w:rPr>
        <w:t>alokasi</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pada</w:t>
      </w:r>
      <w:r w:rsidR="00A954D0" w:rsidRPr="008379CA">
        <w:rPr>
          <w:rFonts w:ascii="Bookman Old Style" w:hAnsi="Bookman Old Style"/>
          <w:sz w:val="24"/>
          <w:szCs w:val="24"/>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sebelumnya</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Pr="008379CA">
        <w:rPr>
          <w:rFonts w:ascii="Bookman Old Style" w:hAnsi="Bookman Old Style"/>
          <w:sz w:val="24"/>
          <w:szCs w:val="24"/>
        </w:rPr>
        <w:t>juga</w:t>
      </w:r>
      <w:r w:rsidR="00A954D0" w:rsidRPr="008379CA">
        <w:rPr>
          <w:rFonts w:ascii="Bookman Old Style" w:hAnsi="Bookman Old Style"/>
          <w:sz w:val="24"/>
          <w:szCs w:val="24"/>
        </w:rPr>
        <w:t xml:space="preserve"> </w:t>
      </w:r>
      <w:r w:rsidRPr="008379CA">
        <w:rPr>
          <w:rFonts w:ascii="Bookman Old Style" w:hAnsi="Bookman Old Style"/>
          <w:sz w:val="24"/>
          <w:szCs w:val="24"/>
        </w:rPr>
        <w:t>memfokuskan</w:t>
      </w:r>
      <w:r w:rsidR="00A954D0" w:rsidRPr="008379CA">
        <w:rPr>
          <w:rFonts w:ascii="Bookman Old Style" w:hAnsi="Bookman Old Style"/>
          <w:sz w:val="24"/>
          <w:szCs w:val="24"/>
        </w:rPr>
        <w:t xml:space="preserve"> </w:t>
      </w:r>
      <w:r w:rsidRPr="008379CA">
        <w:rPr>
          <w:rFonts w:ascii="Bookman Old Style" w:hAnsi="Bookman Old Style"/>
          <w:sz w:val="24"/>
          <w:szCs w:val="24"/>
        </w:rPr>
        <w:t>pencapaian</w:t>
      </w:r>
      <w:r w:rsidR="00A954D0" w:rsidRPr="008379CA">
        <w:rPr>
          <w:rFonts w:ascii="Bookman Old Style" w:hAnsi="Bookman Old Style"/>
          <w:sz w:val="24"/>
          <w:szCs w:val="24"/>
        </w:rPr>
        <w:t xml:space="preserve"> </w:t>
      </w:r>
      <w:r w:rsidRPr="008379CA">
        <w:rPr>
          <w:rFonts w:ascii="Bookman Old Style" w:hAnsi="Bookman Old Style"/>
          <w:sz w:val="24"/>
          <w:szCs w:val="24"/>
        </w:rPr>
        <w:t>target</w:t>
      </w:r>
      <w:r w:rsidR="00A954D0" w:rsidRPr="008379CA">
        <w:rPr>
          <w:rFonts w:ascii="Bookman Old Style" w:hAnsi="Bookman Old Style"/>
          <w:sz w:val="24"/>
          <w:szCs w:val="24"/>
        </w:rPr>
        <w:t xml:space="preserve"> </w:t>
      </w:r>
      <w:r w:rsidRPr="008379CA">
        <w:rPr>
          <w:rFonts w:ascii="Bookman Old Style" w:hAnsi="Bookman Old Style"/>
          <w:sz w:val="24"/>
          <w:szCs w:val="24"/>
        </w:rPr>
        <w:t>pelayanan</w:t>
      </w:r>
      <w:r w:rsidR="00A954D0" w:rsidRPr="008379CA">
        <w:rPr>
          <w:rFonts w:ascii="Bookman Old Style" w:hAnsi="Bookman Old Style"/>
          <w:sz w:val="24"/>
          <w:szCs w:val="24"/>
        </w:rPr>
        <w:t xml:space="preserve"> </w:t>
      </w:r>
      <w:r w:rsidRPr="008379CA">
        <w:rPr>
          <w:rFonts w:ascii="Bookman Old Style" w:hAnsi="Bookman Old Style"/>
          <w:sz w:val="24"/>
          <w:szCs w:val="24"/>
        </w:rPr>
        <w:t>publik</w:t>
      </w:r>
      <w:r w:rsidR="00A954D0" w:rsidRPr="008379CA">
        <w:rPr>
          <w:rFonts w:ascii="Bookman Old Style" w:hAnsi="Bookman Old Style"/>
          <w:sz w:val="24"/>
          <w:szCs w:val="24"/>
        </w:rPr>
        <w:t xml:space="preserve"> </w:t>
      </w:r>
      <w:r w:rsidRPr="008379CA">
        <w:rPr>
          <w:rFonts w:ascii="Bookman Old Style" w:hAnsi="Bookman Old Style"/>
          <w:sz w:val="24"/>
          <w:szCs w:val="24"/>
        </w:rPr>
        <w:t>dengan</w:t>
      </w:r>
      <w:r w:rsidR="00A954D0" w:rsidRPr="008379CA">
        <w:rPr>
          <w:rFonts w:ascii="Bookman Old Style" w:hAnsi="Bookman Old Style"/>
          <w:sz w:val="24"/>
          <w:szCs w:val="24"/>
        </w:rPr>
        <w:t xml:space="preserve"> </w:t>
      </w:r>
      <w:r w:rsidRPr="008379CA">
        <w:rPr>
          <w:rFonts w:ascii="Bookman Old Style" w:hAnsi="Bookman Old Style"/>
          <w:sz w:val="24"/>
          <w:szCs w:val="24"/>
        </w:rPr>
        <w:t>menganggarkan</w:t>
      </w:r>
      <w:r w:rsidR="00A954D0" w:rsidRPr="008379CA">
        <w:rPr>
          <w:rFonts w:ascii="Bookman Old Style" w:hAnsi="Bookman Old Style"/>
          <w:sz w:val="24"/>
          <w:szCs w:val="24"/>
        </w:rPr>
        <w:t xml:space="preserve"> </w:t>
      </w:r>
      <w:r w:rsidRPr="008379CA">
        <w:rPr>
          <w:rFonts w:ascii="Bookman Old Style" w:hAnsi="Bookman Old Style"/>
          <w:sz w:val="24"/>
          <w:szCs w:val="24"/>
        </w:rPr>
        <w:t>program,</w:t>
      </w:r>
      <w:r w:rsidR="00A954D0" w:rsidRPr="008379CA">
        <w:rPr>
          <w:rFonts w:ascii="Bookman Old Style" w:hAnsi="Bookman Old Style"/>
          <w:sz w:val="24"/>
          <w:szCs w:val="24"/>
        </w:rPr>
        <w:t xml:space="preserve"> </w:t>
      </w:r>
      <w:r w:rsidRPr="008379CA">
        <w:rPr>
          <w:rFonts w:ascii="Bookman Old Style" w:hAnsi="Bookman Old Style"/>
          <w:sz w:val="24"/>
          <w:szCs w:val="24"/>
        </w:rPr>
        <w:t>kegiatan</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008650D9" w:rsidRPr="008379CA">
        <w:rPr>
          <w:rFonts w:ascii="Bookman Old Style" w:hAnsi="Bookman Old Style"/>
          <w:sz w:val="24"/>
          <w:szCs w:val="24"/>
        </w:rPr>
        <w:t>sub</w:t>
      </w:r>
      <w:r w:rsidR="00A954D0" w:rsidRPr="008379CA">
        <w:rPr>
          <w:rFonts w:ascii="Bookman Old Style" w:hAnsi="Bookman Old Style"/>
          <w:sz w:val="24"/>
          <w:szCs w:val="24"/>
        </w:rPr>
        <w:t xml:space="preserve"> </w:t>
      </w:r>
      <w:r w:rsidR="008650D9" w:rsidRPr="008379CA">
        <w:rPr>
          <w:rFonts w:ascii="Bookman Old Style" w:hAnsi="Bookman Old Style"/>
          <w:sz w:val="24"/>
          <w:szCs w:val="24"/>
        </w:rPr>
        <w:t>kegiatan</w:t>
      </w:r>
      <w:r w:rsidR="00A954D0" w:rsidRPr="008379CA">
        <w:rPr>
          <w:rFonts w:ascii="Bookman Old Style" w:hAnsi="Bookman Old Style"/>
          <w:sz w:val="24"/>
          <w:szCs w:val="24"/>
        </w:rPr>
        <w:t xml:space="preserve"> </w:t>
      </w:r>
      <w:r w:rsidRPr="008379CA">
        <w:rPr>
          <w:rFonts w:ascii="Bookman Old Style" w:hAnsi="Bookman Old Style"/>
          <w:sz w:val="24"/>
          <w:szCs w:val="24"/>
        </w:rPr>
        <w:t>yang</w:t>
      </w:r>
      <w:r w:rsidR="00A954D0" w:rsidRPr="008379CA">
        <w:rPr>
          <w:rFonts w:ascii="Bookman Old Style" w:hAnsi="Bookman Old Style"/>
          <w:sz w:val="24"/>
          <w:szCs w:val="24"/>
        </w:rPr>
        <w:t xml:space="preserve"> </w:t>
      </w:r>
      <w:r w:rsidRPr="008379CA">
        <w:rPr>
          <w:rFonts w:ascii="Bookman Old Style" w:hAnsi="Bookman Old Style"/>
          <w:sz w:val="24"/>
          <w:szCs w:val="24"/>
        </w:rPr>
        <w:t>menjadi</w:t>
      </w:r>
      <w:r w:rsidR="00A954D0" w:rsidRPr="008379CA">
        <w:rPr>
          <w:rFonts w:ascii="Bookman Old Style" w:hAnsi="Bookman Old Style"/>
          <w:sz w:val="24"/>
          <w:szCs w:val="24"/>
        </w:rPr>
        <w:t xml:space="preserve"> </w:t>
      </w:r>
      <w:r w:rsidRPr="008379CA">
        <w:rPr>
          <w:rFonts w:ascii="Bookman Old Style" w:hAnsi="Bookman Old Style"/>
          <w:sz w:val="24"/>
          <w:szCs w:val="24"/>
        </w:rPr>
        <w:t>kewenangan</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untuk</w:t>
      </w:r>
      <w:r w:rsidR="00A954D0" w:rsidRPr="008379CA">
        <w:rPr>
          <w:rFonts w:ascii="Bookman Old Style" w:hAnsi="Bookman Old Style"/>
          <w:sz w:val="24"/>
          <w:szCs w:val="24"/>
        </w:rPr>
        <w:t xml:space="preserve"> </w:t>
      </w:r>
      <w:r w:rsidRPr="008379CA">
        <w:rPr>
          <w:rFonts w:ascii="Bookman Old Style" w:hAnsi="Bookman Old Style"/>
          <w:sz w:val="24"/>
          <w:szCs w:val="24"/>
        </w:rPr>
        <w:t>pencapaian</w:t>
      </w:r>
      <w:r w:rsidR="00A954D0" w:rsidRPr="008379CA">
        <w:rPr>
          <w:rFonts w:ascii="Bookman Old Style" w:hAnsi="Bookman Old Style"/>
          <w:sz w:val="24"/>
          <w:szCs w:val="24"/>
        </w:rPr>
        <w:t xml:space="preserve"> </w:t>
      </w:r>
      <w:r w:rsidRPr="008379CA">
        <w:rPr>
          <w:rFonts w:ascii="Bookman Old Style" w:hAnsi="Bookman Old Style"/>
          <w:sz w:val="24"/>
          <w:szCs w:val="24"/>
        </w:rPr>
        <w:t>sasaran</w:t>
      </w:r>
      <w:r w:rsidR="00A954D0" w:rsidRPr="008379CA">
        <w:rPr>
          <w:rFonts w:ascii="Bookman Old Style" w:hAnsi="Bookman Old Style"/>
          <w:sz w:val="24"/>
          <w:szCs w:val="24"/>
        </w:rPr>
        <w:t xml:space="preserve"> </w:t>
      </w:r>
      <w:r w:rsidRPr="008379CA">
        <w:rPr>
          <w:rFonts w:ascii="Bookman Old Style" w:hAnsi="Bookman Old Style"/>
          <w:sz w:val="24"/>
          <w:szCs w:val="24"/>
        </w:rPr>
        <w:t>pembangunan</w:t>
      </w:r>
      <w:r w:rsidR="00A954D0" w:rsidRPr="008379CA">
        <w:rPr>
          <w:rFonts w:ascii="Bookman Old Style" w:hAnsi="Bookman Old Style"/>
          <w:sz w:val="24"/>
          <w:szCs w:val="24"/>
        </w:rPr>
        <w:t xml:space="preserve"> </w:t>
      </w:r>
      <w:r w:rsidRPr="008379CA">
        <w:rPr>
          <w:rFonts w:ascii="Bookman Old Style" w:hAnsi="Bookman Old Style"/>
          <w:sz w:val="24"/>
          <w:szCs w:val="24"/>
        </w:rPr>
        <w:t>berdasarkan</w:t>
      </w:r>
      <w:r w:rsidR="00A954D0" w:rsidRPr="008379CA">
        <w:rPr>
          <w:rFonts w:ascii="Bookman Old Style" w:hAnsi="Bookman Old Style"/>
          <w:sz w:val="24"/>
          <w:szCs w:val="24"/>
        </w:rPr>
        <w:t xml:space="preserve"> </w:t>
      </w:r>
      <w:r w:rsidRPr="008379CA">
        <w:rPr>
          <w:rFonts w:ascii="Bookman Old Style" w:hAnsi="Bookman Old Style"/>
          <w:sz w:val="24"/>
          <w:szCs w:val="24"/>
          <w:lang w:val="id-ID"/>
        </w:rPr>
        <w:t>skala</w:t>
      </w:r>
      <w:r w:rsidR="00A954D0" w:rsidRPr="008379CA">
        <w:rPr>
          <w:rFonts w:ascii="Bookman Old Style" w:hAnsi="Bookman Old Style"/>
          <w:sz w:val="24"/>
          <w:szCs w:val="24"/>
        </w:rPr>
        <w:t xml:space="preserve"> </w:t>
      </w:r>
      <w:r w:rsidRPr="008379CA">
        <w:rPr>
          <w:rFonts w:ascii="Bookman Old Style" w:hAnsi="Bookman Old Style"/>
          <w:sz w:val="24"/>
          <w:szCs w:val="24"/>
        </w:rPr>
        <w:t>prioritas</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Pr="008379CA">
        <w:rPr>
          <w:rFonts w:ascii="Bookman Old Style" w:hAnsi="Bookman Old Style"/>
          <w:sz w:val="24"/>
          <w:szCs w:val="24"/>
        </w:rPr>
        <w:t>kebutuhan</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yang</w:t>
      </w:r>
      <w:r w:rsidR="00A954D0" w:rsidRPr="008379CA">
        <w:rPr>
          <w:rFonts w:ascii="Bookman Old Style" w:hAnsi="Bookman Old Style"/>
          <w:sz w:val="24"/>
          <w:szCs w:val="24"/>
        </w:rPr>
        <w:t xml:space="preserve"> </w:t>
      </w:r>
      <w:r w:rsidRPr="008379CA">
        <w:rPr>
          <w:rFonts w:ascii="Bookman Old Style" w:hAnsi="Bookman Old Style"/>
          <w:sz w:val="24"/>
          <w:szCs w:val="24"/>
        </w:rPr>
        <w:t>berorientasi</w:t>
      </w:r>
      <w:r w:rsidR="00A954D0" w:rsidRPr="008379CA">
        <w:rPr>
          <w:rFonts w:ascii="Bookman Old Style" w:hAnsi="Bookman Old Style"/>
          <w:sz w:val="24"/>
          <w:szCs w:val="24"/>
        </w:rPr>
        <w:t xml:space="preserve"> </w:t>
      </w:r>
      <w:r w:rsidRPr="008379CA">
        <w:rPr>
          <w:rFonts w:ascii="Bookman Old Style" w:hAnsi="Bookman Old Style"/>
          <w:sz w:val="24"/>
          <w:szCs w:val="24"/>
        </w:rPr>
        <w:t>pada</w:t>
      </w:r>
      <w:r w:rsidR="00A954D0" w:rsidRPr="008379CA">
        <w:rPr>
          <w:rFonts w:ascii="Bookman Old Style" w:hAnsi="Bookman Old Style"/>
          <w:sz w:val="24"/>
          <w:szCs w:val="24"/>
        </w:rPr>
        <w:t xml:space="preserve"> </w:t>
      </w:r>
      <w:r w:rsidRPr="008379CA">
        <w:rPr>
          <w:rFonts w:ascii="Bookman Old Style" w:hAnsi="Bookman Old Style"/>
          <w:sz w:val="24"/>
          <w:szCs w:val="24"/>
        </w:rPr>
        <w:t>pemenuhan</w:t>
      </w:r>
      <w:r w:rsidR="00A954D0" w:rsidRPr="008379CA">
        <w:rPr>
          <w:rFonts w:ascii="Bookman Old Style" w:hAnsi="Bookman Old Style"/>
          <w:sz w:val="24"/>
          <w:szCs w:val="24"/>
        </w:rPr>
        <w:t xml:space="preserve"> </w:t>
      </w:r>
      <w:r w:rsidRPr="008379CA">
        <w:rPr>
          <w:rFonts w:ascii="Bookman Old Style" w:hAnsi="Bookman Old Style"/>
          <w:sz w:val="24"/>
          <w:szCs w:val="24"/>
        </w:rPr>
        <w:t>kebutuhan</w:t>
      </w:r>
      <w:r w:rsidR="00A954D0" w:rsidRPr="008379CA">
        <w:rPr>
          <w:rFonts w:ascii="Bookman Old Style" w:hAnsi="Bookman Old Style"/>
          <w:sz w:val="24"/>
          <w:szCs w:val="24"/>
        </w:rPr>
        <w:t xml:space="preserve"> </w:t>
      </w:r>
      <w:r w:rsidRPr="008379CA">
        <w:rPr>
          <w:rFonts w:ascii="Bookman Old Style" w:hAnsi="Bookman Old Style"/>
          <w:sz w:val="24"/>
          <w:szCs w:val="24"/>
        </w:rPr>
        <w:t>urusan</w:t>
      </w:r>
      <w:r w:rsidR="00A954D0" w:rsidRPr="008379CA">
        <w:rPr>
          <w:rFonts w:ascii="Bookman Old Style" w:hAnsi="Bookman Old Style"/>
          <w:sz w:val="24"/>
          <w:szCs w:val="24"/>
        </w:rPr>
        <w:t xml:space="preserve"> </w:t>
      </w:r>
      <w:r w:rsidRPr="008379CA">
        <w:rPr>
          <w:rFonts w:ascii="Bookman Old Style" w:hAnsi="Bookman Old Style"/>
          <w:sz w:val="24"/>
          <w:szCs w:val="24"/>
        </w:rPr>
        <w:t>pemerintahan</w:t>
      </w:r>
      <w:r w:rsidR="00A954D0" w:rsidRPr="008379CA">
        <w:rPr>
          <w:rFonts w:ascii="Bookman Old Style" w:hAnsi="Bookman Old Style"/>
          <w:sz w:val="24"/>
          <w:szCs w:val="24"/>
        </w:rPr>
        <w:t xml:space="preserve"> </w:t>
      </w:r>
      <w:r w:rsidRPr="008379CA">
        <w:rPr>
          <w:rFonts w:ascii="Bookman Old Style" w:hAnsi="Bookman Old Style"/>
          <w:sz w:val="24"/>
          <w:szCs w:val="24"/>
        </w:rPr>
        <w:t>wajib</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Pr="008379CA">
        <w:rPr>
          <w:rFonts w:ascii="Bookman Old Style" w:hAnsi="Bookman Old Style"/>
          <w:sz w:val="24"/>
          <w:szCs w:val="24"/>
        </w:rPr>
        <w:t>belanja</w:t>
      </w:r>
      <w:r w:rsidR="00A954D0" w:rsidRPr="008379CA">
        <w:rPr>
          <w:rFonts w:ascii="Bookman Old Style" w:hAnsi="Bookman Old Style"/>
          <w:sz w:val="24"/>
          <w:szCs w:val="24"/>
        </w:rPr>
        <w:t xml:space="preserve"> </w:t>
      </w:r>
      <w:r w:rsidR="00711332" w:rsidRPr="008379CA">
        <w:rPr>
          <w:rFonts w:ascii="Bookman Old Style" w:hAnsi="Bookman Old Style"/>
          <w:i/>
          <w:iCs/>
          <w:sz w:val="24"/>
          <w:szCs w:val="24"/>
        </w:rPr>
        <w:t>mandatory</w:t>
      </w:r>
      <w:r w:rsidR="00A954D0" w:rsidRPr="008379CA">
        <w:rPr>
          <w:rFonts w:ascii="Bookman Old Style" w:hAnsi="Bookman Old Style"/>
          <w:i/>
          <w:iCs/>
          <w:sz w:val="24"/>
          <w:szCs w:val="24"/>
        </w:rPr>
        <w:t xml:space="preserve"> </w:t>
      </w:r>
      <w:r w:rsidR="00711332" w:rsidRPr="008379CA">
        <w:rPr>
          <w:rFonts w:ascii="Bookman Old Style" w:hAnsi="Bookman Old Style"/>
          <w:i/>
          <w:iCs/>
          <w:sz w:val="24"/>
          <w:szCs w:val="24"/>
        </w:rPr>
        <w:t>spending</w:t>
      </w:r>
      <w:r w:rsidR="00A954D0" w:rsidRPr="008379CA">
        <w:rPr>
          <w:rFonts w:ascii="Bookman Old Style" w:hAnsi="Bookman Old Style"/>
          <w:sz w:val="24"/>
          <w:szCs w:val="24"/>
        </w:rPr>
        <w:t xml:space="preserve"> </w:t>
      </w:r>
      <w:r w:rsidRPr="008379CA">
        <w:rPr>
          <w:rFonts w:ascii="Bookman Old Style" w:hAnsi="Bookman Old Style"/>
          <w:sz w:val="24"/>
          <w:szCs w:val="24"/>
        </w:rPr>
        <w:t>serta</w:t>
      </w:r>
      <w:r w:rsidR="00A954D0" w:rsidRPr="008379CA">
        <w:rPr>
          <w:rFonts w:ascii="Bookman Old Style" w:hAnsi="Bookman Old Style"/>
          <w:sz w:val="24"/>
          <w:szCs w:val="24"/>
        </w:rPr>
        <w:t xml:space="preserve"> </w:t>
      </w:r>
      <w:r w:rsidRPr="008379CA">
        <w:rPr>
          <w:rFonts w:ascii="Bookman Old Style" w:hAnsi="Bookman Old Style"/>
          <w:sz w:val="24"/>
          <w:szCs w:val="24"/>
        </w:rPr>
        <w:t>pemenuhan</w:t>
      </w:r>
      <w:r w:rsidR="00A954D0" w:rsidRPr="008379CA">
        <w:rPr>
          <w:rFonts w:ascii="Bookman Old Style" w:hAnsi="Bookman Old Style"/>
          <w:sz w:val="24"/>
          <w:szCs w:val="24"/>
        </w:rPr>
        <w:t xml:space="preserve"> </w:t>
      </w:r>
      <w:r w:rsidRPr="008379CA">
        <w:rPr>
          <w:rFonts w:ascii="Bookman Old Style" w:hAnsi="Bookman Old Style"/>
          <w:sz w:val="24"/>
          <w:szCs w:val="24"/>
        </w:rPr>
        <w:t>target</w:t>
      </w:r>
      <w:r w:rsidR="00A954D0" w:rsidRPr="008379CA">
        <w:rPr>
          <w:rFonts w:ascii="Bookman Old Style" w:hAnsi="Bookman Old Style"/>
          <w:sz w:val="24"/>
          <w:szCs w:val="24"/>
        </w:rPr>
        <w:t xml:space="preserve"> </w:t>
      </w:r>
      <w:r w:rsidRPr="008379CA">
        <w:rPr>
          <w:rFonts w:ascii="Bookman Old Style" w:hAnsi="Bookman Old Style"/>
          <w:sz w:val="24"/>
          <w:szCs w:val="24"/>
        </w:rPr>
        <w:t>Standar</w:t>
      </w:r>
      <w:r w:rsidR="00A954D0" w:rsidRPr="008379CA">
        <w:rPr>
          <w:rFonts w:ascii="Bookman Old Style" w:hAnsi="Bookman Old Style"/>
          <w:sz w:val="24"/>
          <w:szCs w:val="24"/>
        </w:rPr>
        <w:t xml:space="preserve"> </w:t>
      </w:r>
      <w:r w:rsidRPr="008379CA">
        <w:rPr>
          <w:rFonts w:ascii="Bookman Old Style" w:hAnsi="Bookman Old Style"/>
          <w:sz w:val="24"/>
          <w:szCs w:val="24"/>
        </w:rPr>
        <w:t>Pelayanan</w:t>
      </w:r>
      <w:r w:rsidR="00A954D0" w:rsidRPr="008379CA">
        <w:rPr>
          <w:rFonts w:ascii="Bookman Old Style" w:hAnsi="Bookman Old Style"/>
          <w:sz w:val="24"/>
          <w:szCs w:val="24"/>
        </w:rPr>
        <w:t xml:space="preserve"> </w:t>
      </w:r>
      <w:r w:rsidRPr="008379CA">
        <w:rPr>
          <w:rFonts w:ascii="Bookman Old Style" w:hAnsi="Bookman Old Style"/>
          <w:sz w:val="24"/>
          <w:szCs w:val="24"/>
        </w:rPr>
        <w:t>Minimal</w:t>
      </w:r>
      <w:r w:rsidR="00A954D0" w:rsidRPr="008379CA">
        <w:rPr>
          <w:rFonts w:ascii="Bookman Old Style" w:hAnsi="Bookman Old Style"/>
          <w:sz w:val="24"/>
          <w:szCs w:val="24"/>
        </w:rPr>
        <w:t xml:space="preserve"> </w:t>
      </w:r>
      <w:r w:rsidRPr="008379CA">
        <w:rPr>
          <w:rFonts w:ascii="Bookman Old Style" w:hAnsi="Bookman Old Style"/>
          <w:sz w:val="24"/>
          <w:szCs w:val="24"/>
        </w:rPr>
        <w:t>(SPM),</w:t>
      </w:r>
      <w:r w:rsidR="00A954D0" w:rsidRPr="008379CA">
        <w:rPr>
          <w:rFonts w:ascii="Bookman Old Style" w:hAnsi="Bookman Old Style"/>
          <w:sz w:val="24"/>
          <w:szCs w:val="24"/>
        </w:rPr>
        <w:t xml:space="preserve"> </w:t>
      </w:r>
      <w:r w:rsidRPr="008379CA">
        <w:rPr>
          <w:rFonts w:ascii="Bookman Old Style" w:hAnsi="Bookman Old Style"/>
          <w:sz w:val="24"/>
          <w:szCs w:val="24"/>
        </w:rPr>
        <w:t>tanpa</w:t>
      </w:r>
      <w:r w:rsidR="00A954D0" w:rsidRPr="008379CA">
        <w:rPr>
          <w:rFonts w:ascii="Bookman Old Style" w:hAnsi="Bookman Old Style"/>
          <w:sz w:val="24"/>
          <w:szCs w:val="24"/>
        </w:rPr>
        <w:t xml:space="preserve"> </w:t>
      </w:r>
      <w:r w:rsidRPr="008379CA">
        <w:rPr>
          <w:rFonts w:ascii="Bookman Old Style" w:hAnsi="Bookman Old Style"/>
          <w:sz w:val="24"/>
          <w:szCs w:val="24"/>
        </w:rPr>
        <w:t>harus</w:t>
      </w:r>
      <w:r w:rsidR="00A954D0" w:rsidRPr="008379CA">
        <w:rPr>
          <w:rFonts w:ascii="Bookman Old Style" w:hAnsi="Bookman Old Style"/>
          <w:sz w:val="24"/>
          <w:szCs w:val="24"/>
        </w:rPr>
        <w:t xml:space="preserve"> </w:t>
      </w:r>
      <w:r w:rsidRPr="008379CA">
        <w:rPr>
          <w:rFonts w:ascii="Bookman Old Style" w:hAnsi="Bookman Old Style"/>
          <w:sz w:val="24"/>
          <w:szCs w:val="24"/>
        </w:rPr>
        <w:t>menganggarkan</w:t>
      </w:r>
      <w:r w:rsidR="00A954D0" w:rsidRPr="008379CA">
        <w:rPr>
          <w:rFonts w:ascii="Bookman Old Style" w:hAnsi="Bookman Old Style"/>
          <w:sz w:val="24"/>
          <w:szCs w:val="24"/>
        </w:rPr>
        <w:t xml:space="preserve"> </w:t>
      </w:r>
      <w:r w:rsidRPr="008379CA">
        <w:rPr>
          <w:rFonts w:ascii="Bookman Old Style" w:hAnsi="Bookman Old Style"/>
          <w:sz w:val="24"/>
          <w:szCs w:val="24"/>
        </w:rPr>
        <w:t>seluruh</w:t>
      </w:r>
      <w:r w:rsidR="00A954D0" w:rsidRPr="008379CA">
        <w:rPr>
          <w:rFonts w:ascii="Bookman Old Style" w:hAnsi="Bookman Old Style"/>
          <w:sz w:val="24"/>
          <w:szCs w:val="24"/>
        </w:rPr>
        <w:t xml:space="preserve"> </w:t>
      </w:r>
      <w:r w:rsidRPr="008379CA">
        <w:rPr>
          <w:rFonts w:ascii="Bookman Old Style" w:hAnsi="Bookman Old Style"/>
          <w:sz w:val="24"/>
          <w:szCs w:val="24"/>
        </w:rPr>
        <w:t>program,</w:t>
      </w:r>
      <w:r w:rsidR="00A954D0" w:rsidRPr="008379CA">
        <w:rPr>
          <w:rFonts w:ascii="Bookman Old Style" w:hAnsi="Bookman Old Style"/>
          <w:sz w:val="24"/>
          <w:szCs w:val="24"/>
        </w:rPr>
        <w:t xml:space="preserve"> </w:t>
      </w:r>
      <w:r w:rsidRPr="008379CA">
        <w:rPr>
          <w:rFonts w:ascii="Bookman Old Style" w:hAnsi="Bookman Old Style"/>
          <w:sz w:val="24"/>
          <w:szCs w:val="24"/>
        </w:rPr>
        <w:t>kegiatan</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Pr="008379CA">
        <w:rPr>
          <w:rFonts w:ascii="Bookman Old Style" w:hAnsi="Bookman Old Style"/>
          <w:sz w:val="24"/>
          <w:szCs w:val="24"/>
        </w:rPr>
        <w:t>sub</w:t>
      </w:r>
      <w:r w:rsidR="00A954D0" w:rsidRPr="008379CA">
        <w:rPr>
          <w:rFonts w:ascii="Bookman Old Style" w:hAnsi="Bookman Old Style"/>
          <w:sz w:val="24"/>
          <w:szCs w:val="24"/>
        </w:rPr>
        <w:t xml:space="preserve"> </w:t>
      </w:r>
      <w:r w:rsidRPr="008379CA">
        <w:rPr>
          <w:rFonts w:ascii="Bookman Old Style" w:hAnsi="Bookman Old Style"/>
          <w:sz w:val="24"/>
          <w:szCs w:val="24"/>
        </w:rPr>
        <w:t>kegiatan</w:t>
      </w:r>
      <w:r w:rsidR="00A954D0" w:rsidRPr="008379CA">
        <w:rPr>
          <w:rFonts w:ascii="Bookman Old Style" w:hAnsi="Bookman Old Style"/>
          <w:sz w:val="24"/>
          <w:szCs w:val="24"/>
        </w:rPr>
        <w:t xml:space="preserve"> </w:t>
      </w:r>
      <w:r w:rsidRPr="008379CA">
        <w:rPr>
          <w:rFonts w:ascii="Bookman Old Style" w:hAnsi="Bookman Old Style"/>
          <w:sz w:val="24"/>
          <w:szCs w:val="24"/>
        </w:rPr>
        <w:t>yang</w:t>
      </w:r>
      <w:r w:rsidR="00A954D0" w:rsidRPr="008379CA">
        <w:rPr>
          <w:rFonts w:ascii="Bookman Old Style" w:hAnsi="Bookman Old Style"/>
          <w:sz w:val="24"/>
          <w:szCs w:val="24"/>
        </w:rPr>
        <w:t xml:space="preserve"> </w:t>
      </w:r>
      <w:r w:rsidRPr="008379CA">
        <w:rPr>
          <w:rFonts w:ascii="Bookman Old Style" w:hAnsi="Bookman Old Style"/>
          <w:sz w:val="24"/>
          <w:szCs w:val="24"/>
        </w:rPr>
        <w:t>menjadi</w:t>
      </w:r>
      <w:r w:rsidR="00A954D0" w:rsidRPr="008379CA">
        <w:rPr>
          <w:rFonts w:ascii="Bookman Old Style" w:hAnsi="Bookman Old Style"/>
          <w:sz w:val="24"/>
          <w:szCs w:val="24"/>
        </w:rPr>
        <w:t xml:space="preserve"> </w:t>
      </w:r>
      <w:r w:rsidRPr="008379CA">
        <w:rPr>
          <w:rFonts w:ascii="Bookman Old Style" w:hAnsi="Bookman Old Style"/>
          <w:sz w:val="24"/>
          <w:szCs w:val="24"/>
        </w:rPr>
        <w:t>kewenangan</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p>
    <w:p w14:paraId="142A40C3" w14:textId="5F188FF5" w:rsidR="00D407AC" w:rsidRPr="008379CA" w:rsidRDefault="00D407AC" w:rsidP="003255BC">
      <w:pPr>
        <w:pStyle w:val="ListParagraph"/>
        <w:numPr>
          <w:ilvl w:val="0"/>
          <w:numId w:val="101"/>
        </w:numPr>
        <w:spacing w:before="120" w:after="0" w:line="276" w:lineRule="auto"/>
        <w:ind w:left="993" w:hanging="426"/>
        <w:contextualSpacing w:val="0"/>
        <w:jc w:val="both"/>
        <w:rPr>
          <w:rFonts w:ascii="Bookman Old Style" w:hAnsi="Bookman Old Style"/>
          <w:sz w:val="24"/>
          <w:szCs w:val="24"/>
          <w:lang w:val="id-ID"/>
        </w:rPr>
      </w:pPr>
      <w:r w:rsidRPr="008379CA">
        <w:rPr>
          <w:rFonts w:ascii="Bookman Old Style" w:hAnsi="Bookman Old Style"/>
          <w:sz w:val="24"/>
          <w:szCs w:val="24"/>
          <w:lang w:val="id-ID"/>
        </w:rPr>
        <w:t>Tahapan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Jadwal</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sv-FI"/>
        </w:rPr>
        <w:t>Penyusunan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APBD</w:t>
      </w:r>
    </w:p>
    <w:p w14:paraId="7867D4FE" w14:textId="13BF12DE" w:rsidR="001953E9" w:rsidRPr="008379CA" w:rsidRDefault="008A695E" w:rsidP="00087F64">
      <w:pPr>
        <w:pStyle w:val="ListParagraph"/>
        <w:spacing w:before="60" w:after="120" w:line="276" w:lineRule="auto"/>
        <w:ind w:left="992"/>
        <w:contextualSpacing w:val="0"/>
        <w:jc w:val="both"/>
        <w:rPr>
          <w:rFonts w:ascii="Bookman Old Style" w:hAnsi="Bookman Old Style"/>
          <w:sz w:val="24"/>
          <w:szCs w:val="24"/>
          <w:lang w:val="id-ID"/>
        </w:rPr>
      </w:pPr>
      <w:r w:rsidRPr="008379CA">
        <w:rPr>
          <w:rFonts w:ascii="Bookman Old Style" w:hAnsi="Bookman Old Style"/>
          <w:sz w:val="24"/>
          <w:szCs w:val="24"/>
          <w:lang w:val="id-ID"/>
        </w:rPr>
        <w:t>Rancangan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Peraturan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Daerah</w:t>
      </w:r>
      <w:r w:rsidR="00A954D0" w:rsidRPr="008379CA">
        <w:rPr>
          <w:rFonts w:ascii="Bookman Old Style" w:hAnsi="Bookman Old Style"/>
          <w:sz w:val="24"/>
          <w:szCs w:val="24"/>
          <w:lang w:val="id-ID"/>
        </w:rPr>
        <w:t xml:space="preserve"> </w:t>
      </w:r>
      <w:r w:rsidR="00B055C5"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00770F22"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00C64581" w:rsidRPr="008379CA">
        <w:rPr>
          <w:rFonts w:ascii="Bookman Old Style" w:hAnsi="Bookman Old Style"/>
          <w:sz w:val="24"/>
          <w:szCs w:val="24"/>
          <w:lang w:val="id-ID"/>
        </w:rPr>
        <w:t>tentang</w:t>
      </w:r>
      <w:r w:rsidR="00A954D0" w:rsidRPr="008379CA">
        <w:rPr>
          <w:rFonts w:ascii="Bookman Old Style" w:hAnsi="Bookman Old Style"/>
          <w:sz w:val="24"/>
          <w:szCs w:val="24"/>
          <w:lang w:val="id-ID"/>
        </w:rPr>
        <w:t xml:space="preserve"> </w:t>
      </w:r>
      <w:r w:rsidR="00802136" w:rsidRPr="008379CA">
        <w:rPr>
          <w:rFonts w:ascii="Bookman Old Style" w:hAnsi="Bookman Old Style"/>
          <w:sz w:val="24"/>
          <w:szCs w:val="24"/>
          <w:lang w:val="id-ID"/>
        </w:rPr>
        <w:t>APBD</w:t>
      </w:r>
      <w:r w:rsidR="00A954D0" w:rsidRPr="008379CA">
        <w:rPr>
          <w:rFonts w:ascii="Bookman Old Style" w:hAnsi="Bookman Old Style"/>
          <w:sz w:val="24"/>
          <w:szCs w:val="24"/>
          <w:lang w:val="id-ID"/>
        </w:rPr>
        <w:t xml:space="preserve"> </w:t>
      </w:r>
      <w:r w:rsidR="00802136" w:rsidRPr="008379CA">
        <w:rPr>
          <w:rFonts w:ascii="Bookman Old Style" w:hAnsi="Bookman Old Style"/>
          <w:sz w:val="24"/>
          <w:szCs w:val="24"/>
          <w:lang w:val="id-ID"/>
        </w:rPr>
        <w:t>Tahun</w:t>
      </w:r>
      <w:r w:rsidR="00A954D0" w:rsidRPr="008379CA">
        <w:rPr>
          <w:rFonts w:ascii="Bookman Old Style" w:hAnsi="Bookman Old Style"/>
          <w:sz w:val="24"/>
          <w:szCs w:val="24"/>
          <w:lang w:val="id-ID"/>
        </w:rPr>
        <w:t xml:space="preserve"> </w:t>
      </w:r>
      <w:r w:rsidR="00802136" w:rsidRPr="008379CA">
        <w:rPr>
          <w:rFonts w:ascii="Bookman Old Style" w:hAnsi="Bookman Old Style"/>
          <w:sz w:val="24"/>
          <w:szCs w:val="24"/>
          <w:lang w:val="id-ID"/>
        </w:rPr>
        <w:t>Anggaran</w:t>
      </w:r>
      <w:r w:rsidR="00A954D0" w:rsidRPr="008379CA">
        <w:rPr>
          <w:rFonts w:ascii="Bookman Old Style" w:hAnsi="Bookman Old Style"/>
          <w:sz w:val="24"/>
          <w:szCs w:val="24"/>
          <w:lang w:val="id-ID"/>
        </w:rPr>
        <w:t xml:space="preserve"> </w:t>
      </w:r>
      <w:r w:rsidR="00802136" w:rsidRPr="008379CA">
        <w:rPr>
          <w:rFonts w:ascii="Bookman Old Style" w:hAnsi="Bookman Old Style"/>
          <w:sz w:val="24"/>
          <w:szCs w:val="24"/>
          <w:lang w:val="id-ID"/>
        </w:rPr>
        <w:t>202</w:t>
      </w:r>
      <w:r w:rsidR="00697BCE" w:rsidRPr="008379CA">
        <w:rPr>
          <w:rFonts w:ascii="Bookman Old Style" w:hAnsi="Bookman Old Style"/>
          <w:sz w:val="24"/>
          <w:szCs w:val="24"/>
          <w:lang w:val="id-ID"/>
        </w:rPr>
        <w:t>5</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Rancangan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Peraturan</w:t>
      </w:r>
      <w:r w:rsidR="00A954D0" w:rsidRPr="008379CA">
        <w:rPr>
          <w:rFonts w:ascii="Bookman Old Style" w:hAnsi="Bookman Old Style"/>
          <w:sz w:val="24"/>
          <w:szCs w:val="24"/>
          <w:lang w:val="id-ID"/>
        </w:rPr>
        <w:t xml:space="preserve"> </w:t>
      </w:r>
      <w:r w:rsidR="001C092E" w:rsidRPr="008379CA">
        <w:rPr>
          <w:rFonts w:ascii="Bookman Old Style" w:hAnsi="Bookman Old Style"/>
          <w:sz w:val="24"/>
          <w:szCs w:val="24"/>
          <w:lang w:val="id-ID"/>
        </w:rPr>
        <w:t>Wali</w:t>
      </w:r>
      <w:r w:rsidR="00A954D0" w:rsidRPr="008379CA">
        <w:rPr>
          <w:rFonts w:ascii="Bookman Old Style" w:hAnsi="Bookman Old Style"/>
          <w:sz w:val="24"/>
          <w:szCs w:val="24"/>
          <w:lang w:val="id-ID"/>
        </w:rPr>
        <w:t xml:space="preserve"> </w:t>
      </w:r>
      <w:r w:rsidR="001C092E" w:rsidRPr="008379CA">
        <w:rPr>
          <w:rFonts w:ascii="Bookman Old Style" w:hAnsi="Bookman Old Style"/>
          <w:sz w:val="24"/>
          <w:szCs w:val="24"/>
          <w:lang w:val="id-ID"/>
        </w:rPr>
        <w:t>Kota</w:t>
      </w:r>
      <w:r w:rsidR="00A954D0" w:rsidRPr="008379CA">
        <w:rPr>
          <w:rFonts w:ascii="Bookman Old Style" w:hAnsi="Bookman Old Style"/>
          <w:sz w:val="24"/>
          <w:szCs w:val="24"/>
          <w:lang w:val="id-ID"/>
        </w:rPr>
        <w:t xml:space="preserve"> </w:t>
      </w:r>
      <w:r w:rsidR="00770F22" w:rsidRPr="008379CA">
        <w:rPr>
          <w:rFonts w:ascii="Bookman Old Style" w:hAnsi="Bookman Old Style"/>
          <w:sz w:val="24"/>
          <w:szCs w:val="24"/>
          <w:lang w:val="fi-FI"/>
        </w:rPr>
        <w:t>Tangerang</w:t>
      </w:r>
      <w:r w:rsidR="00A954D0" w:rsidRPr="008379CA">
        <w:rPr>
          <w:rFonts w:ascii="Bookman Old Style" w:hAnsi="Bookman Old Style"/>
          <w:sz w:val="24"/>
          <w:szCs w:val="24"/>
          <w:lang w:val="id-ID"/>
        </w:rPr>
        <w:t xml:space="preserve"> </w:t>
      </w:r>
      <w:r w:rsidR="00C64581" w:rsidRPr="008379CA">
        <w:rPr>
          <w:rFonts w:ascii="Bookman Old Style" w:hAnsi="Bookman Old Style"/>
          <w:sz w:val="24"/>
          <w:szCs w:val="24"/>
          <w:lang w:val="id-ID"/>
        </w:rPr>
        <w:t>tentang</w:t>
      </w:r>
      <w:r w:rsidR="00A954D0" w:rsidRPr="008379CA">
        <w:rPr>
          <w:rFonts w:ascii="Bookman Old Style" w:hAnsi="Bookman Old Style"/>
          <w:sz w:val="24"/>
          <w:szCs w:val="24"/>
          <w:lang w:val="id-ID"/>
        </w:rPr>
        <w:t xml:space="preserve"> </w:t>
      </w:r>
      <w:r w:rsidR="00C64581" w:rsidRPr="008379CA">
        <w:rPr>
          <w:rFonts w:ascii="Bookman Old Style" w:hAnsi="Bookman Old Style"/>
          <w:sz w:val="24"/>
          <w:szCs w:val="24"/>
          <w:lang w:val="id-ID"/>
        </w:rPr>
        <w:t>Penjabaran</w:t>
      </w:r>
      <w:r w:rsidR="00A954D0" w:rsidRPr="008379CA">
        <w:rPr>
          <w:rFonts w:ascii="Bookman Old Style" w:hAnsi="Bookman Old Style"/>
          <w:sz w:val="24"/>
          <w:szCs w:val="24"/>
          <w:lang w:val="id-ID"/>
        </w:rPr>
        <w:t xml:space="preserve"> </w:t>
      </w:r>
      <w:r w:rsidR="00802136" w:rsidRPr="008379CA">
        <w:rPr>
          <w:rFonts w:ascii="Bookman Old Style" w:hAnsi="Bookman Old Style"/>
          <w:sz w:val="24"/>
          <w:szCs w:val="24"/>
          <w:lang w:val="id-ID"/>
        </w:rPr>
        <w:t>APBD</w:t>
      </w:r>
      <w:r w:rsidR="00A954D0" w:rsidRPr="008379CA">
        <w:rPr>
          <w:rFonts w:ascii="Bookman Old Style" w:hAnsi="Bookman Old Style"/>
          <w:sz w:val="24"/>
          <w:szCs w:val="24"/>
          <w:lang w:val="id-ID"/>
        </w:rPr>
        <w:t xml:space="preserve"> </w:t>
      </w:r>
      <w:r w:rsidR="00C64581" w:rsidRPr="008379CA">
        <w:rPr>
          <w:rFonts w:ascii="Bookman Old Style" w:hAnsi="Bookman Old Style"/>
          <w:sz w:val="24"/>
          <w:szCs w:val="24"/>
          <w:lang w:val="id-ID"/>
        </w:rPr>
        <w:t>Tahun</w:t>
      </w:r>
      <w:r w:rsidR="00A954D0" w:rsidRPr="008379CA">
        <w:rPr>
          <w:rFonts w:ascii="Bookman Old Style" w:hAnsi="Bookman Old Style"/>
          <w:sz w:val="24"/>
          <w:szCs w:val="24"/>
          <w:lang w:val="id-ID"/>
        </w:rPr>
        <w:t xml:space="preserve"> </w:t>
      </w:r>
      <w:r w:rsidR="00C64581" w:rsidRPr="008379CA">
        <w:rPr>
          <w:rFonts w:ascii="Bookman Old Style" w:hAnsi="Bookman Old Style"/>
          <w:sz w:val="24"/>
          <w:szCs w:val="24"/>
          <w:lang w:val="id-ID"/>
        </w:rPr>
        <w:t>Anggaran</w:t>
      </w:r>
      <w:r w:rsidR="00A954D0" w:rsidRPr="008379CA">
        <w:rPr>
          <w:rFonts w:ascii="Bookman Old Style" w:hAnsi="Bookman Old Style"/>
          <w:sz w:val="24"/>
          <w:szCs w:val="24"/>
          <w:lang w:val="id-ID"/>
        </w:rPr>
        <w:t xml:space="preserve"> </w:t>
      </w:r>
      <w:r w:rsidR="00C64581" w:rsidRPr="008379CA">
        <w:rPr>
          <w:rFonts w:ascii="Bookman Old Style" w:hAnsi="Bookman Old Style"/>
          <w:sz w:val="24"/>
          <w:szCs w:val="24"/>
          <w:lang w:val="id-ID"/>
        </w:rPr>
        <w:t>202</w:t>
      </w:r>
      <w:r w:rsidR="00697BCE" w:rsidRPr="008379CA">
        <w:rPr>
          <w:rFonts w:ascii="Bookman Old Style" w:hAnsi="Bookman Old Style"/>
          <w:sz w:val="24"/>
          <w:szCs w:val="24"/>
          <w:lang w:val="id-ID"/>
        </w:rPr>
        <w:t>5</w:t>
      </w:r>
      <w:r w:rsidRPr="008379CA">
        <w:rPr>
          <w:rFonts w:ascii="Bookman Old Style" w:hAnsi="Bookman Old Style"/>
          <w:sz w:val="24"/>
          <w:szCs w:val="24"/>
          <w:lang w:val="id-ID"/>
        </w:rPr>
        <w:t>,</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disampaikan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kepada</w:t>
      </w:r>
      <w:r w:rsidR="00A954D0" w:rsidRPr="008379CA">
        <w:rPr>
          <w:rFonts w:ascii="Bookman Old Style" w:hAnsi="Bookman Old Style"/>
          <w:sz w:val="24"/>
          <w:szCs w:val="24"/>
          <w:lang w:val="id-ID"/>
        </w:rPr>
        <w:t xml:space="preserve"> </w:t>
      </w:r>
      <w:r w:rsidR="006E5E56" w:rsidRPr="008379CA">
        <w:rPr>
          <w:rFonts w:ascii="Bookman Old Style" w:hAnsi="Bookman Old Style"/>
          <w:sz w:val="24"/>
          <w:szCs w:val="24"/>
          <w:lang w:val="id-ID"/>
        </w:rPr>
        <w:t>Gubernur</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dengan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tahapan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jadwal</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penyusunan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APBD</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sebagaimana</w:t>
      </w:r>
      <w:r w:rsidR="00A954D0" w:rsidRPr="008379CA">
        <w:rPr>
          <w:rFonts w:ascii="Bookman Old Style" w:hAnsi="Bookman Old Style"/>
          <w:sz w:val="24"/>
          <w:szCs w:val="24"/>
          <w:lang w:val="id-ID"/>
        </w:rPr>
        <w:t xml:space="preserve"> </w:t>
      </w:r>
      <w:r w:rsidR="001E01B2" w:rsidRPr="008379CA">
        <w:rPr>
          <w:rFonts w:ascii="Bookman Old Style" w:hAnsi="Bookman Old Style"/>
          <w:sz w:val="24"/>
          <w:szCs w:val="24"/>
          <w:lang w:val="id-ID"/>
        </w:rPr>
        <w:t>T</w:t>
      </w:r>
      <w:r w:rsidRPr="008379CA">
        <w:rPr>
          <w:rFonts w:ascii="Bookman Old Style" w:hAnsi="Bookman Old Style"/>
          <w:sz w:val="24"/>
          <w:szCs w:val="24"/>
          <w:lang w:val="id-ID"/>
        </w:rPr>
        <w:t>abel</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1</w:t>
      </w:r>
      <w:r w:rsidR="00761B5D" w:rsidRPr="008379CA">
        <w:rPr>
          <w:rFonts w:ascii="Bookman Old Style" w:hAnsi="Bookman Old Style"/>
          <w:sz w:val="24"/>
          <w:szCs w:val="24"/>
          <w:lang w:val="id-ID"/>
        </w:rPr>
        <w:t>,</w:t>
      </w:r>
      <w:r w:rsidR="00A954D0" w:rsidRPr="008379CA">
        <w:rPr>
          <w:rFonts w:ascii="Bookman Old Style" w:hAnsi="Bookman Old Style"/>
          <w:sz w:val="24"/>
          <w:szCs w:val="24"/>
          <w:lang w:val="id-ID"/>
        </w:rPr>
        <w:t xml:space="preserve"> </w:t>
      </w:r>
      <w:r w:rsidR="00761B5D" w:rsidRPr="008379CA">
        <w:rPr>
          <w:rFonts w:ascii="Bookman Old Style" w:hAnsi="Bookman Old Style"/>
          <w:sz w:val="24"/>
          <w:szCs w:val="24"/>
          <w:lang w:val="id-ID"/>
        </w:rPr>
        <w:t>sebagai</w:t>
      </w:r>
      <w:r w:rsidR="00A954D0" w:rsidRPr="008379CA">
        <w:rPr>
          <w:rFonts w:ascii="Bookman Old Style" w:hAnsi="Bookman Old Style"/>
          <w:sz w:val="24"/>
          <w:szCs w:val="24"/>
          <w:lang w:val="id-ID"/>
        </w:rPr>
        <w:t xml:space="preserve"> </w:t>
      </w:r>
      <w:r w:rsidR="00761B5D" w:rsidRPr="008379CA">
        <w:rPr>
          <w:rFonts w:ascii="Bookman Old Style" w:hAnsi="Bookman Old Style"/>
          <w:sz w:val="24"/>
          <w:szCs w:val="24"/>
          <w:lang w:val="id-ID"/>
        </w:rPr>
        <w:t>berikut</w:t>
      </w:r>
      <w:r w:rsidR="0033421D" w:rsidRPr="008379CA">
        <w:rPr>
          <w:rFonts w:ascii="Bookman Old Style" w:hAnsi="Bookman Old Style"/>
          <w:sz w:val="24"/>
          <w:szCs w:val="24"/>
          <w:lang w:val="id-ID"/>
        </w:rPr>
        <w:t>:</w:t>
      </w:r>
    </w:p>
    <w:p w14:paraId="1C2DC432" w14:textId="5036B104" w:rsidR="006B42E3" w:rsidRPr="008379CA" w:rsidRDefault="006B42E3" w:rsidP="00ED2116">
      <w:pPr>
        <w:spacing w:line="276" w:lineRule="auto"/>
        <w:jc w:val="center"/>
        <w:rPr>
          <w:rFonts w:ascii="Bookman Old Style" w:hAnsi="Bookman Old Style"/>
        </w:rPr>
      </w:pPr>
      <w:r w:rsidRPr="008379CA">
        <w:rPr>
          <w:rFonts w:ascii="Bookman Old Style" w:hAnsi="Bookman Old Style"/>
        </w:rPr>
        <w:t>Tabel</w:t>
      </w:r>
      <w:r w:rsidR="00A954D0" w:rsidRPr="008379CA">
        <w:rPr>
          <w:rFonts w:ascii="Bookman Old Style" w:hAnsi="Bookman Old Style"/>
        </w:rPr>
        <w:t xml:space="preserve"> </w:t>
      </w:r>
      <w:r w:rsidRPr="008379CA">
        <w:rPr>
          <w:rFonts w:ascii="Bookman Old Style" w:hAnsi="Bookman Old Style"/>
        </w:rPr>
        <w:t>1</w:t>
      </w:r>
    </w:p>
    <w:p w14:paraId="06EEB086" w14:textId="2238C7A1" w:rsidR="006B42E3" w:rsidRPr="008379CA" w:rsidRDefault="005A6DD0" w:rsidP="00ED2116">
      <w:pPr>
        <w:spacing w:line="360" w:lineRule="auto"/>
        <w:jc w:val="center"/>
        <w:rPr>
          <w:rFonts w:ascii="Bookman Old Style" w:hAnsi="Bookman Old Style"/>
          <w:lang w:val="id-ID"/>
        </w:rPr>
      </w:pPr>
      <w:r w:rsidRPr="008379CA">
        <w:rPr>
          <w:rFonts w:ascii="Bookman Old Style" w:hAnsi="Bookman Old Style"/>
          <w:lang w:val="fi-FI"/>
        </w:rPr>
        <w:t>Tahapan</w:t>
      </w:r>
      <w:r w:rsidR="00A954D0" w:rsidRPr="008379CA">
        <w:rPr>
          <w:rFonts w:ascii="Bookman Old Style" w:hAnsi="Bookman Old Style"/>
          <w:lang w:val="fi-FI"/>
        </w:rPr>
        <w:t xml:space="preserve"> </w:t>
      </w:r>
      <w:r w:rsidRPr="008379CA">
        <w:rPr>
          <w:rFonts w:ascii="Bookman Old Style" w:hAnsi="Bookman Old Style"/>
          <w:lang w:val="fi-FI"/>
        </w:rPr>
        <w:t>dan</w:t>
      </w:r>
      <w:r w:rsidR="00A954D0" w:rsidRPr="008379CA">
        <w:rPr>
          <w:rFonts w:ascii="Bookman Old Style" w:hAnsi="Bookman Old Style"/>
          <w:lang w:val="fi-FI"/>
        </w:rPr>
        <w:t xml:space="preserve"> </w:t>
      </w:r>
      <w:r w:rsidR="006B42E3" w:rsidRPr="008379CA">
        <w:rPr>
          <w:rFonts w:ascii="Bookman Old Style" w:hAnsi="Bookman Old Style"/>
          <w:lang w:val="id-ID"/>
        </w:rPr>
        <w:t>Jadwal</w:t>
      </w:r>
      <w:r w:rsidR="00A954D0" w:rsidRPr="008379CA">
        <w:rPr>
          <w:rFonts w:ascii="Bookman Old Style" w:hAnsi="Bookman Old Style"/>
          <w:lang w:val="id-ID"/>
        </w:rPr>
        <w:t xml:space="preserve"> </w:t>
      </w:r>
      <w:r w:rsidRPr="008379CA">
        <w:rPr>
          <w:rFonts w:ascii="Bookman Old Style" w:hAnsi="Bookman Old Style"/>
          <w:lang w:val="fi-FI"/>
        </w:rPr>
        <w:t>Proses</w:t>
      </w:r>
      <w:r w:rsidR="00A954D0" w:rsidRPr="008379CA">
        <w:rPr>
          <w:rFonts w:ascii="Bookman Old Style" w:hAnsi="Bookman Old Style"/>
          <w:lang w:val="fi-FI"/>
        </w:rPr>
        <w:t xml:space="preserve"> </w:t>
      </w:r>
      <w:r w:rsidR="006B42E3" w:rsidRPr="008379CA">
        <w:rPr>
          <w:rFonts w:ascii="Bookman Old Style" w:hAnsi="Bookman Old Style"/>
          <w:lang w:val="id-ID"/>
        </w:rPr>
        <w:t>Penyusunan</w:t>
      </w:r>
      <w:r w:rsidR="00A954D0" w:rsidRPr="008379CA">
        <w:rPr>
          <w:rFonts w:ascii="Bookman Old Style" w:hAnsi="Bookman Old Style"/>
          <w:lang w:val="id-ID"/>
        </w:rPr>
        <w:t xml:space="preserve"> </w:t>
      </w:r>
      <w:r w:rsidR="006B42E3" w:rsidRPr="008379CA">
        <w:rPr>
          <w:rFonts w:ascii="Bookman Old Style" w:hAnsi="Bookman Old Style"/>
          <w:lang w:val="id-ID"/>
        </w:rPr>
        <w:t>APBD</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2619"/>
        <w:gridCol w:w="1956"/>
        <w:gridCol w:w="2410"/>
      </w:tblGrid>
      <w:tr w:rsidR="008379CA" w:rsidRPr="008379CA" w14:paraId="659D3448" w14:textId="77777777" w:rsidTr="00865FF3">
        <w:trPr>
          <w:trHeight w:val="394"/>
          <w:tblHeader/>
        </w:trPr>
        <w:tc>
          <w:tcPr>
            <w:tcW w:w="3222" w:type="dxa"/>
            <w:vMerge w:val="restart"/>
            <w:shd w:val="clear" w:color="auto" w:fill="FFFFFF"/>
            <w:noWrap/>
            <w:vAlign w:val="center"/>
            <w:hideMark/>
          </w:tcPr>
          <w:p w14:paraId="5FFD2DE3" w14:textId="77777777" w:rsidR="00FE7187" w:rsidRPr="008379CA" w:rsidRDefault="00FE7187" w:rsidP="00DB3A3A">
            <w:pPr>
              <w:jc w:val="center"/>
              <w:rPr>
                <w:rFonts w:ascii="Bookman Old Style" w:hAnsi="Bookman Old Style" w:cs="Calibri"/>
                <w:b/>
                <w:sz w:val="18"/>
                <w:szCs w:val="18"/>
                <w:lang w:val="id-ID"/>
              </w:rPr>
            </w:pPr>
            <w:r w:rsidRPr="008379CA">
              <w:rPr>
                <w:rFonts w:ascii="Bookman Old Style" w:hAnsi="Bookman Old Style" w:cs="Calibri"/>
                <w:b/>
                <w:sz w:val="18"/>
                <w:szCs w:val="18"/>
                <w:lang w:val="id-ID"/>
              </w:rPr>
              <w:t>Uraian</w:t>
            </w:r>
          </w:p>
        </w:tc>
        <w:tc>
          <w:tcPr>
            <w:tcW w:w="4575" w:type="dxa"/>
            <w:gridSpan w:val="2"/>
            <w:shd w:val="clear" w:color="auto" w:fill="FFFFFF"/>
            <w:noWrap/>
            <w:vAlign w:val="center"/>
            <w:hideMark/>
          </w:tcPr>
          <w:p w14:paraId="0ED64C70" w14:textId="77777777" w:rsidR="00FE7187" w:rsidRPr="008379CA" w:rsidRDefault="00FE7187" w:rsidP="00DB3A3A">
            <w:pPr>
              <w:jc w:val="center"/>
              <w:rPr>
                <w:rFonts w:ascii="Bookman Old Style" w:hAnsi="Bookman Old Style" w:cs="Calibri"/>
                <w:b/>
                <w:sz w:val="18"/>
                <w:szCs w:val="18"/>
                <w:lang w:val="id-ID"/>
              </w:rPr>
            </w:pPr>
            <w:r w:rsidRPr="008379CA">
              <w:rPr>
                <w:rFonts w:ascii="Bookman Old Style" w:hAnsi="Bookman Old Style" w:cs="Calibri"/>
                <w:b/>
                <w:sz w:val="18"/>
                <w:szCs w:val="18"/>
                <w:lang w:val="id-ID"/>
              </w:rPr>
              <w:t>Penetapan</w:t>
            </w:r>
            <w:r w:rsidRPr="008379CA">
              <w:rPr>
                <w:rFonts w:ascii="Bookman Old Style" w:hAnsi="Bookman Old Style" w:cs="Calibri"/>
                <w:b/>
                <w:sz w:val="18"/>
                <w:szCs w:val="18"/>
              </w:rPr>
              <w:t>/</w:t>
            </w:r>
            <w:r w:rsidRPr="008379CA">
              <w:rPr>
                <w:rFonts w:ascii="Bookman Old Style" w:hAnsi="Bookman Old Style" w:cs="Calibri"/>
                <w:b/>
                <w:sz w:val="18"/>
                <w:szCs w:val="18"/>
                <w:lang w:val="id-ID"/>
              </w:rPr>
              <w:t>Persetujuan</w:t>
            </w:r>
            <w:r w:rsidRPr="008379CA">
              <w:rPr>
                <w:rFonts w:ascii="Bookman Old Style" w:hAnsi="Bookman Old Style" w:cs="Calibri"/>
                <w:b/>
                <w:sz w:val="18"/>
                <w:szCs w:val="18"/>
              </w:rPr>
              <w:t>/</w:t>
            </w:r>
            <w:r w:rsidRPr="008379CA">
              <w:rPr>
                <w:rFonts w:ascii="Bookman Old Style" w:hAnsi="Bookman Old Style" w:cs="Calibri"/>
                <w:b/>
                <w:sz w:val="18"/>
                <w:szCs w:val="18"/>
                <w:lang w:val="id-ID"/>
              </w:rPr>
              <w:t>Surat</w:t>
            </w:r>
          </w:p>
        </w:tc>
        <w:tc>
          <w:tcPr>
            <w:tcW w:w="2410" w:type="dxa"/>
            <w:shd w:val="clear" w:color="auto" w:fill="FFFFFF"/>
            <w:noWrap/>
            <w:vAlign w:val="center"/>
            <w:hideMark/>
          </w:tcPr>
          <w:p w14:paraId="4E3F188A" w14:textId="77777777" w:rsidR="00FE7187" w:rsidRPr="008379CA" w:rsidRDefault="00FE7187" w:rsidP="00FE7187">
            <w:pPr>
              <w:jc w:val="center"/>
              <w:rPr>
                <w:rFonts w:ascii="Bookman Old Style" w:hAnsi="Bookman Old Style" w:cs="Calibri"/>
                <w:b/>
                <w:sz w:val="18"/>
                <w:szCs w:val="18"/>
                <w:lang w:val="id-ID"/>
              </w:rPr>
            </w:pPr>
            <w:r w:rsidRPr="008379CA">
              <w:rPr>
                <w:rFonts w:ascii="Bookman Old Style" w:hAnsi="Bookman Old Style" w:cs="Calibri"/>
                <w:b/>
                <w:sz w:val="18"/>
                <w:szCs w:val="18"/>
              </w:rPr>
              <w:t>Keterangan</w:t>
            </w:r>
          </w:p>
        </w:tc>
      </w:tr>
      <w:tr w:rsidR="008379CA" w:rsidRPr="008379CA" w14:paraId="00D84520" w14:textId="77777777" w:rsidTr="00865FF3">
        <w:trPr>
          <w:trHeight w:val="214"/>
          <w:tblHeader/>
        </w:trPr>
        <w:tc>
          <w:tcPr>
            <w:tcW w:w="3222" w:type="dxa"/>
            <w:vMerge/>
            <w:vAlign w:val="center"/>
            <w:hideMark/>
          </w:tcPr>
          <w:p w14:paraId="5AEB994D" w14:textId="77777777" w:rsidR="00FE7187" w:rsidRPr="008379CA" w:rsidRDefault="00FE7187" w:rsidP="00DB3A3A">
            <w:pPr>
              <w:rPr>
                <w:rFonts w:ascii="Bookman Old Style" w:hAnsi="Bookman Old Style" w:cs="Calibri"/>
                <w:b/>
                <w:sz w:val="18"/>
                <w:szCs w:val="18"/>
              </w:rPr>
            </w:pPr>
          </w:p>
        </w:tc>
        <w:tc>
          <w:tcPr>
            <w:tcW w:w="2619" w:type="dxa"/>
            <w:shd w:val="clear" w:color="auto" w:fill="FFFFFF"/>
            <w:noWrap/>
            <w:vAlign w:val="center"/>
            <w:hideMark/>
          </w:tcPr>
          <w:p w14:paraId="1B651570" w14:textId="77777777" w:rsidR="00FE7187" w:rsidRPr="008379CA" w:rsidRDefault="00FE7187" w:rsidP="00DB3A3A">
            <w:pPr>
              <w:jc w:val="center"/>
              <w:rPr>
                <w:rFonts w:ascii="Bookman Old Style" w:hAnsi="Bookman Old Style" w:cs="Calibri"/>
                <w:b/>
                <w:sz w:val="18"/>
                <w:szCs w:val="18"/>
              </w:rPr>
            </w:pPr>
            <w:r w:rsidRPr="008379CA">
              <w:rPr>
                <w:rFonts w:ascii="Bookman Old Style" w:hAnsi="Bookman Old Style" w:cs="Calibri"/>
                <w:b/>
                <w:sz w:val="18"/>
                <w:szCs w:val="18"/>
              </w:rPr>
              <w:t>Nomor</w:t>
            </w:r>
          </w:p>
        </w:tc>
        <w:tc>
          <w:tcPr>
            <w:tcW w:w="1956" w:type="dxa"/>
            <w:shd w:val="clear" w:color="auto" w:fill="FFFFFF"/>
            <w:noWrap/>
            <w:vAlign w:val="center"/>
            <w:hideMark/>
          </w:tcPr>
          <w:p w14:paraId="0FF423D6" w14:textId="77777777" w:rsidR="00FE7187" w:rsidRPr="008379CA" w:rsidRDefault="00FE7187" w:rsidP="00DB3A3A">
            <w:pPr>
              <w:jc w:val="center"/>
              <w:rPr>
                <w:rFonts w:ascii="Bookman Old Style" w:hAnsi="Bookman Old Style" w:cs="Calibri"/>
                <w:b/>
                <w:sz w:val="18"/>
                <w:szCs w:val="18"/>
              </w:rPr>
            </w:pPr>
            <w:r w:rsidRPr="008379CA">
              <w:rPr>
                <w:rFonts w:ascii="Bookman Old Style" w:hAnsi="Bookman Old Style" w:cs="Calibri"/>
                <w:b/>
                <w:sz w:val="18"/>
                <w:szCs w:val="18"/>
              </w:rPr>
              <w:t>Tanggal</w:t>
            </w:r>
          </w:p>
        </w:tc>
        <w:tc>
          <w:tcPr>
            <w:tcW w:w="2410" w:type="dxa"/>
            <w:vAlign w:val="center"/>
            <w:hideMark/>
          </w:tcPr>
          <w:p w14:paraId="240F7A6C" w14:textId="77777777" w:rsidR="00FE7187" w:rsidRPr="008379CA" w:rsidRDefault="00FE7187" w:rsidP="00FE7187">
            <w:pPr>
              <w:jc w:val="center"/>
              <w:rPr>
                <w:rFonts w:ascii="Bookman Old Style" w:hAnsi="Bookman Old Style" w:cs="Calibri"/>
                <w:b/>
                <w:sz w:val="18"/>
                <w:szCs w:val="18"/>
              </w:rPr>
            </w:pPr>
          </w:p>
        </w:tc>
      </w:tr>
      <w:tr w:rsidR="008379CA" w:rsidRPr="008379CA" w14:paraId="7DBEA390" w14:textId="77777777" w:rsidTr="00865FF3">
        <w:trPr>
          <w:trHeight w:val="142"/>
          <w:tblHeader/>
        </w:trPr>
        <w:tc>
          <w:tcPr>
            <w:tcW w:w="3222" w:type="dxa"/>
            <w:shd w:val="clear" w:color="auto" w:fill="auto"/>
            <w:noWrap/>
            <w:vAlign w:val="center"/>
          </w:tcPr>
          <w:p w14:paraId="03E07F78" w14:textId="77777777" w:rsidR="00596B4D" w:rsidRPr="008379CA" w:rsidRDefault="00596B4D" w:rsidP="00DB3A3A">
            <w:pPr>
              <w:jc w:val="center"/>
              <w:rPr>
                <w:rFonts w:ascii="Bookman Old Style" w:hAnsi="Bookman Old Style" w:cs="Calibri"/>
                <w:bCs/>
                <w:i/>
                <w:iCs/>
                <w:sz w:val="18"/>
                <w:szCs w:val="18"/>
              </w:rPr>
            </w:pPr>
            <w:r w:rsidRPr="008379CA">
              <w:rPr>
                <w:rFonts w:ascii="Bookman Old Style" w:hAnsi="Bookman Old Style" w:cs="Calibri"/>
                <w:bCs/>
                <w:i/>
                <w:iCs/>
                <w:sz w:val="18"/>
                <w:szCs w:val="18"/>
              </w:rPr>
              <w:t>1</w:t>
            </w:r>
          </w:p>
        </w:tc>
        <w:tc>
          <w:tcPr>
            <w:tcW w:w="2619" w:type="dxa"/>
            <w:shd w:val="clear" w:color="auto" w:fill="auto"/>
            <w:noWrap/>
            <w:vAlign w:val="center"/>
          </w:tcPr>
          <w:p w14:paraId="5686E3D4" w14:textId="77777777" w:rsidR="00596B4D" w:rsidRPr="008379CA" w:rsidRDefault="00596B4D" w:rsidP="00DB3A3A">
            <w:pPr>
              <w:ind w:left="-89" w:right="-133"/>
              <w:jc w:val="center"/>
              <w:rPr>
                <w:rFonts w:ascii="Bookman Old Style" w:hAnsi="Bookman Old Style" w:cs="Calibri"/>
                <w:bCs/>
                <w:i/>
                <w:iCs/>
                <w:sz w:val="18"/>
                <w:szCs w:val="18"/>
              </w:rPr>
            </w:pPr>
            <w:r w:rsidRPr="008379CA">
              <w:rPr>
                <w:rFonts w:ascii="Bookman Old Style" w:hAnsi="Bookman Old Style" w:cs="Calibri"/>
                <w:bCs/>
                <w:i/>
                <w:iCs/>
                <w:sz w:val="18"/>
                <w:szCs w:val="18"/>
              </w:rPr>
              <w:t>2</w:t>
            </w:r>
          </w:p>
        </w:tc>
        <w:tc>
          <w:tcPr>
            <w:tcW w:w="1956" w:type="dxa"/>
            <w:shd w:val="clear" w:color="auto" w:fill="auto"/>
            <w:noWrap/>
            <w:vAlign w:val="center"/>
          </w:tcPr>
          <w:p w14:paraId="0FDF1B10" w14:textId="77777777" w:rsidR="00596B4D" w:rsidRPr="008379CA" w:rsidRDefault="00596B4D" w:rsidP="00DB3A3A">
            <w:pPr>
              <w:jc w:val="center"/>
              <w:rPr>
                <w:rFonts w:ascii="Bookman Old Style" w:hAnsi="Bookman Old Style" w:cs="Calibri"/>
                <w:bCs/>
                <w:i/>
                <w:iCs/>
                <w:sz w:val="18"/>
                <w:szCs w:val="18"/>
              </w:rPr>
            </w:pPr>
            <w:r w:rsidRPr="008379CA">
              <w:rPr>
                <w:rFonts w:ascii="Bookman Old Style" w:hAnsi="Bookman Old Style" w:cs="Calibri"/>
                <w:bCs/>
                <w:i/>
                <w:iCs/>
                <w:sz w:val="18"/>
                <w:szCs w:val="18"/>
              </w:rPr>
              <w:t>3</w:t>
            </w:r>
          </w:p>
        </w:tc>
        <w:tc>
          <w:tcPr>
            <w:tcW w:w="2410" w:type="dxa"/>
            <w:shd w:val="clear" w:color="auto" w:fill="auto"/>
            <w:noWrap/>
            <w:vAlign w:val="center"/>
          </w:tcPr>
          <w:p w14:paraId="7D1DDD45" w14:textId="77777777" w:rsidR="00596B4D" w:rsidRPr="008379CA" w:rsidRDefault="00596B4D" w:rsidP="00FE7187">
            <w:pPr>
              <w:jc w:val="center"/>
              <w:rPr>
                <w:rFonts w:ascii="Bookman Old Style" w:hAnsi="Bookman Old Style" w:cs="Calibri"/>
                <w:bCs/>
                <w:i/>
                <w:iCs/>
                <w:sz w:val="18"/>
                <w:szCs w:val="18"/>
              </w:rPr>
            </w:pPr>
            <w:r w:rsidRPr="008379CA">
              <w:rPr>
                <w:rFonts w:ascii="Bookman Old Style" w:hAnsi="Bookman Old Style" w:cs="Calibri"/>
                <w:bCs/>
                <w:i/>
                <w:iCs/>
                <w:sz w:val="18"/>
                <w:szCs w:val="18"/>
              </w:rPr>
              <w:t>4</w:t>
            </w:r>
          </w:p>
        </w:tc>
      </w:tr>
      <w:tr w:rsidR="008379CA" w:rsidRPr="008379CA" w14:paraId="0C19E00F" w14:textId="77777777" w:rsidTr="00865FF3">
        <w:trPr>
          <w:trHeight w:val="1222"/>
        </w:trPr>
        <w:tc>
          <w:tcPr>
            <w:tcW w:w="3222" w:type="dxa"/>
            <w:shd w:val="clear" w:color="auto" w:fill="auto"/>
            <w:noWrap/>
            <w:vAlign w:val="center"/>
          </w:tcPr>
          <w:p w14:paraId="1595C320" w14:textId="15F26F9D" w:rsidR="008C4B08" w:rsidRPr="008379CA" w:rsidRDefault="008C4B08" w:rsidP="008C4B08">
            <w:pPr>
              <w:jc w:val="both"/>
              <w:rPr>
                <w:rFonts w:ascii="Bookman Old Style" w:hAnsi="Bookman Old Style" w:cs="Calibri"/>
                <w:strike/>
                <w:sz w:val="18"/>
                <w:szCs w:val="18"/>
                <w:lang w:val="fi-FI"/>
              </w:rPr>
            </w:pPr>
            <w:r w:rsidRPr="008379CA">
              <w:rPr>
                <w:rFonts w:ascii="Bookman Old Style" w:hAnsi="Bookman Old Style" w:cs="Calibri"/>
                <w:sz w:val="18"/>
                <w:szCs w:val="18"/>
              </w:rPr>
              <w:t>Penyampaian</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Rancangan</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KUA</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dan</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Rancangan</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PPAS</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oleh</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Ketua</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TAPD</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kepada</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Kepala</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Daerah</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yang</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telah</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direviu</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oleh</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Aparat</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Pengawas</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Intern</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Pemerintah</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(APIP)</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daerah</w:t>
            </w:r>
          </w:p>
        </w:tc>
        <w:tc>
          <w:tcPr>
            <w:tcW w:w="2619" w:type="dxa"/>
            <w:shd w:val="clear" w:color="auto" w:fill="auto"/>
            <w:noWrap/>
          </w:tcPr>
          <w:p w14:paraId="2D6B6730" w14:textId="3E1C4BDB" w:rsidR="008C4B08" w:rsidRPr="008379CA" w:rsidRDefault="008C4B08" w:rsidP="00E14F35">
            <w:pPr>
              <w:rPr>
                <w:rFonts w:ascii="Bookman Old Style" w:hAnsi="Bookman Old Style" w:cs="Calibri"/>
                <w:strike/>
                <w:sz w:val="18"/>
                <w:szCs w:val="18"/>
                <w:lang w:val="fi-FI"/>
              </w:rPr>
            </w:pPr>
            <w:r w:rsidRPr="008379CA">
              <w:rPr>
                <w:rFonts w:ascii="Bookman Old Style" w:hAnsi="Bookman Old Style" w:cs="Arial"/>
                <w:sz w:val="18"/>
                <w:szCs w:val="18"/>
              </w:rPr>
              <w:t>913/7453-BPKD/2024</w:t>
            </w:r>
          </w:p>
        </w:tc>
        <w:tc>
          <w:tcPr>
            <w:tcW w:w="1956" w:type="dxa"/>
            <w:shd w:val="clear" w:color="auto" w:fill="auto"/>
            <w:noWrap/>
          </w:tcPr>
          <w:p w14:paraId="0C6257A2" w14:textId="6313DF44" w:rsidR="008C4B08" w:rsidRPr="008379CA" w:rsidRDefault="008C4B08" w:rsidP="00E14F35">
            <w:pPr>
              <w:jc w:val="both"/>
              <w:rPr>
                <w:rFonts w:ascii="Bookman Old Style" w:hAnsi="Bookman Old Style" w:cs="Calibri"/>
                <w:strike/>
                <w:sz w:val="18"/>
                <w:szCs w:val="18"/>
                <w:lang w:val="fi-FI"/>
              </w:rPr>
            </w:pPr>
            <w:r w:rsidRPr="008379CA">
              <w:rPr>
                <w:rFonts w:ascii="Bookman Old Style" w:hAnsi="Bookman Old Style" w:cs="Arial"/>
                <w:sz w:val="18"/>
                <w:szCs w:val="18"/>
              </w:rPr>
              <w:t>08</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Juli</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2024</w:t>
            </w:r>
          </w:p>
        </w:tc>
        <w:tc>
          <w:tcPr>
            <w:tcW w:w="2410" w:type="dxa"/>
            <w:shd w:val="clear" w:color="auto" w:fill="auto"/>
            <w:noWrap/>
          </w:tcPr>
          <w:p w14:paraId="33EFA857" w14:textId="44D6508C" w:rsidR="008C4B08" w:rsidRPr="008379CA" w:rsidRDefault="00382E22" w:rsidP="00E14F35">
            <w:pPr>
              <w:rPr>
                <w:rFonts w:ascii="Bookman Old Style" w:hAnsi="Bookman Old Style" w:cs="Calibri"/>
                <w:strike/>
                <w:sz w:val="18"/>
                <w:szCs w:val="18"/>
                <w:lang w:val="sv-FI"/>
              </w:rPr>
            </w:pPr>
            <w:r w:rsidRPr="008379CA">
              <w:rPr>
                <w:rFonts w:ascii="Bookman Old Style" w:hAnsi="Bookman Old Style" w:cs="Calibri"/>
                <w:b/>
                <w:bCs/>
                <w:sz w:val="18"/>
                <w:szCs w:val="18"/>
                <w:lang w:val="sv-FI"/>
              </w:rPr>
              <w:t>Tidak</w:t>
            </w:r>
            <w:r w:rsidR="00A954D0" w:rsidRPr="008379CA">
              <w:rPr>
                <w:rFonts w:ascii="Bookman Old Style" w:hAnsi="Bookman Old Style" w:cs="Calibri"/>
                <w:b/>
                <w:bCs/>
                <w:sz w:val="18"/>
                <w:szCs w:val="18"/>
                <w:lang w:val="sv-FI"/>
              </w:rPr>
              <w:t xml:space="preserve"> </w:t>
            </w:r>
            <w:r w:rsidR="00A26EEF" w:rsidRPr="008379CA">
              <w:rPr>
                <w:rFonts w:ascii="Bookman Old Style" w:hAnsi="Bookman Old Style" w:cs="Calibri"/>
                <w:b/>
                <w:bCs/>
                <w:sz w:val="18"/>
                <w:szCs w:val="18"/>
                <w:lang w:val="sv-FI"/>
              </w:rPr>
              <w:t>Sesuai</w:t>
            </w:r>
            <w:r w:rsidR="00A954D0" w:rsidRPr="008379CA">
              <w:rPr>
                <w:rFonts w:ascii="Bookman Old Style" w:hAnsi="Bookman Old Style" w:cs="Calibri"/>
                <w:b/>
                <w:bCs/>
                <w:sz w:val="18"/>
                <w:szCs w:val="18"/>
                <w:lang w:val="sv-FI"/>
              </w:rPr>
              <w:t xml:space="preserve"> </w:t>
            </w:r>
            <w:r w:rsidR="008C4B08" w:rsidRPr="008379CA">
              <w:rPr>
                <w:rFonts w:ascii="Bookman Old Style" w:hAnsi="Bookman Old Style" w:cs="Calibri"/>
                <w:sz w:val="18"/>
                <w:szCs w:val="18"/>
                <w:lang w:val="sv-FI"/>
              </w:rPr>
              <w:br/>
              <w:t>(paling</w:t>
            </w:r>
            <w:r w:rsidR="00A954D0" w:rsidRPr="008379CA">
              <w:rPr>
                <w:rFonts w:ascii="Bookman Old Style" w:hAnsi="Bookman Old Style" w:cs="Calibri"/>
                <w:sz w:val="18"/>
                <w:szCs w:val="18"/>
                <w:lang w:val="sv-FI"/>
              </w:rPr>
              <w:t xml:space="preserve"> </w:t>
            </w:r>
            <w:r w:rsidR="008C4B08" w:rsidRPr="008379CA">
              <w:rPr>
                <w:rFonts w:ascii="Bookman Old Style" w:hAnsi="Bookman Old Style" w:cs="Calibri"/>
                <w:sz w:val="18"/>
                <w:szCs w:val="18"/>
                <w:lang w:val="sv-FI"/>
              </w:rPr>
              <w:t>lambat</w:t>
            </w:r>
            <w:r w:rsidR="00A954D0" w:rsidRPr="008379CA">
              <w:rPr>
                <w:rFonts w:ascii="Bookman Old Style" w:hAnsi="Bookman Old Style" w:cs="Calibri"/>
                <w:sz w:val="18"/>
                <w:szCs w:val="18"/>
                <w:lang w:val="sv-FI"/>
              </w:rPr>
              <w:t xml:space="preserve"> </w:t>
            </w:r>
            <w:r w:rsidR="008C4B08" w:rsidRPr="008379CA">
              <w:rPr>
                <w:rFonts w:ascii="Bookman Old Style" w:hAnsi="Bookman Old Style" w:cs="Calibri"/>
                <w:sz w:val="18"/>
                <w:szCs w:val="18"/>
                <w:lang w:val="sv-FI"/>
              </w:rPr>
              <w:t>minggu</w:t>
            </w:r>
            <w:r w:rsidR="00A954D0" w:rsidRPr="008379CA">
              <w:rPr>
                <w:rFonts w:ascii="Bookman Old Style" w:hAnsi="Bookman Old Style" w:cs="Calibri"/>
                <w:sz w:val="18"/>
                <w:szCs w:val="18"/>
                <w:lang w:val="sv-FI"/>
              </w:rPr>
              <w:t xml:space="preserve"> </w:t>
            </w:r>
            <w:r w:rsidR="008C4B08" w:rsidRPr="008379CA">
              <w:rPr>
                <w:rFonts w:ascii="Bookman Old Style" w:hAnsi="Bookman Old Style" w:cs="Calibri"/>
                <w:sz w:val="18"/>
                <w:szCs w:val="18"/>
                <w:lang w:val="sv-FI"/>
              </w:rPr>
              <w:t>I</w:t>
            </w:r>
            <w:r w:rsidR="00A954D0" w:rsidRPr="008379CA">
              <w:rPr>
                <w:rFonts w:ascii="Bookman Old Style" w:hAnsi="Bookman Old Style" w:cs="Calibri"/>
                <w:sz w:val="18"/>
                <w:szCs w:val="18"/>
                <w:lang w:val="sv-FI"/>
              </w:rPr>
              <w:t xml:space="preserve"> </w:t>
            </w:r>
            <w:r w:rsidR="008C4B08" w:rsidRPr="008379CA">
              <w:rPr>
                <w:rFonts w:ascii="Bookman Old Style" w:hAnsi="Bookman Old Style" w:cs="Calibri"/>
                <w:sz w:val="18"/>
                <w:szCs w:val="18"/>
                <w:lang w:val="sv-FI"/>
              </w:rPr>
              <w:t>bulan</w:t>
            </w:r>
            <w:r w:rsidR="00A954D0" w:rsidRPr="008379CA">
              <w:rPr>
                <w:rFonts w:ascii="Bookman Old Style" w:hAnsi="Bookman Old Style" w:cs="Calibri"/>
                <w:sz w:val="18"/>
                <w:szCs w:val="18"/>
                <w:lang w:val="sv-FI"/>
              </w:rPr>
              <w:t xml:space="preserve"> </w:t>
            </w:r>
            <w:r w:rsidR="008C4B08" w:rsidRPr="008379CA">
              <w:rPr>
                <w:rFonts w:ascii="Bookman Old Style" w:hAnsi="Bookman Old Style" w:cs="Calibri"/>
                <w:sz w:val="18"/>
                <w:szCs w:val="18"/>
                <w:lang w:val="sv-FI"/>
              </w:rPr>
              <w:t>Juli)</w:t>
            </w:r>
          </w:p>
        </w:tc>
      </w:tr>
      <w:tr w:rsidR="008379CA" w:rsidRPr="008379CA" w14:paraId="1706EBC4" w14:textId="77777777" w:rsidTr="00865FF3">
        <w:trPr>
          <w:trHeight w:val="839"/>
        </w:trPr>
        <w:tc>
          <w:tcPr>
            <w:tcW w:w="3222" w:type="dxa"/>
            <w:shd w:val="clear" w:color="auto" w:fill="auto"/>
            <w:noWrap/>
            <w:vAlign w:val="center"/>
          </w:tcPr>
          <w:p w14:paraId="57B559BE" w14:textId="5410A503" w:rsidR="008C4B08" w:rsidRPr="008379CA" w:rsidRDefault="008C4B08" w:rsidP="008C4B08">
            <w:pPr>
              <w:jc w:val="both"/>
              <w:rPr>
                <w:rFonts w:ascii="Bookman Old Style" w:hAnsi="Bookman Old Style" w:cs="Calibri"/>
                <w:sz w:val="18"/>
                <w:szCs w:val="18"/>
                <w:lang w:val="sv-FI"/>
              </w:rPr>
            </w:pPr>
            <w:r w:rsidRPr="008379CA">
              <w:rPr>
                <w:rFonts w:ascii="Bookman Old Style" w:hAnsi="Bookman Old Style" w:cs="Calibri"/>
                <w:sz w:val="18"/>
                <w:szCs w:val="18"/>
                <w:lang w:val="sv-FI"/>
              </w:rPr>
              <w:t>Penyampaian</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Rancangan</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KUA</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dan</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Rancangan</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PPAS</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oleh</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Kepala</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Daerah</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kepada</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DPRD</w:t>
            </w:r>
          </w:p>
        </w:tc>
        <w:tc>
          <w:tcPr>
            <w:tcW w:w="2619" w:type="dxa"/>
            <w:shd w:val="clear" w:color="auto" w:fill="auto"/>
            <w:noWrap/>
          </w:tcPr>
          <w:p w14:paraId="6340B400" w14:textId="7A7BBDFC" w:rsidR="008C4B08" w:rsidRPr="008379CA" w:rsidRDefault="008C4B08" w:rsidP="00E14F35">
            <w:pPr>
              <w:rPr>
                <w:rFonts w:ascii="Bookman Old Style" w:hAnsi="Bookman Old Style" w:cs="Calibri"/>
                <w:sz w:val="18"/>
                <w:szCs w:val="18"/>
                <w:lang w:val="fi-FI"/>
              </w:rPr>
            </w:pPr>
            <w:r w:rsidRPr="008379CA">
              <w:rPr>
                <w:rFonts w:ascii="Bookman Old Style" w:hAnsi="Bookman Old Style" w:cs="Arial"/>
                <w:sz w:val="18"/>
                <w:szCs w:val="18"/>
              </w:rPr>
              <w:t>913/7645-BPKD/2024</w:t>
            </w:r>
          </w:p>
        </w:tc>
        <w:tc>
          <w:tcPr>
            <w:tcW w:w="1956" w:type="dxa"/>
            <w:shd w:val="clear" w:color="auto" w:fill="auto"/>
            <w:noWrap/>
          </w:tcPr>
          <w:p w14:paraId="44464602" w14:textId="3CDDA7CB" w:rsidR="008C4B08" w:rsidRPr="008379CA" w:rsidRDefault="008C4B08" w:rsidP="00E14F35">
            <w:pPr>
              <w:jc w:val="both"/>
              <w:rPr>
                <w:rFonts w:ascii="Bookman Old Style" w:hAnsi="Bookman Old Style" w:cs="Calibri"/>
                <w:sz w:val="18"/>
                <w:szCs w:val="18"/>
                <w:lang w:val="fi-FI"/>
              </w:rPr>
            </w:pPr>
            <w:r w:rsidRPr="008379CA">
              <w:rPr>
                <w:rFonts w:ascii="Bookman Old Style" w:hAnsi="Bookman Old Style" w:cs="Arial"/>
                <w:sz w:val="18"/>
                <w:szCs w:val="18"/>
              </w:rPr>
              <w:t>09</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Juli</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2024</w:t>
            </w:r>
          </w:p>
        </w:tc>
        <w:tc>
          <w:tcPr>
            <w:tcW w:w="2410" w:type="dxa"/>
            <w:shd w:val="clear" w:color="auto" w:fill="auto"/>
            <w:noWrap/>
          </w:tcPr>
          <w:p w14:paraId="56F884AE" w14:textId="1E2E685C" w:rsidR="008C4B08" w:rsidRPr="008379CA" w:rsidRDefault="008C4B08" w:rsidP="00E14F35">
            <w:pPr>
              <w:rPr>
                <w:rFonts w:ascii="Bookman Old Style" w:hAnsi="Bookman Old Style" w:cs="Calibri"/>
                <w:sz w:val="18"/>
                <w:szCs w:val="18"/>
                <w:lang w:val="sv-FI"/>
              </w:rPr>
            </w:pPr>
            <w:r w:rsidRPr="008379CA">
              <w:rPr>
                <w:rFonts w:ascii="Bookman Old Style" w:hAnsi="Bookman Old Style" w:cs="Calibri"/>
                <w:b/>
                <w:bCs/>
                <w:sz w:val="18"/>
                <w:szCs w:val="18"/>
                <w:lang w:val="sv-FI"/>
              </w:rPr>
              <w:t>Sesuai</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br/>
              <w:t>(paling</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lambat</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minggu</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II</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bulan</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Juli)</w:t>
            </w:r>
          </w:p>
        </w:tc>
      </w:tr>
      <w:tr w:rsidR="008379CA" w:rsidRPr="008379CA" w14:paraId="096151C9" w14:textId="77777777" w:rsidTr="00865FF3">
        <w:trPr>
          <w:trHeight w:val="839"/>
        </w:trPr>
        <w:tc>
          <w:tcPr>
            <w:tcW w:w="3222" w:type="dxa"/>
            <w:shd w:val="clear" w:color="auto" w:fill="auto"/>
            <w:noWrap/>
            <w:vAlign w:val="center"/>
          </w:tcPr>
          <w:p w14:paraId="48E7E8C2" w14:textId="7A74BB41" w:rsidR="00A954D0" w:rsidRPr="008379CA" w:rsidRDefault="00A954D0" w:rsidP="00A954D0">
            <w:pPr>
              <w:jc w:val="both"/>
              <w:rPr>
                <w:rFonts w:ascii="Bookman Old Style" w:hAnsi="Bookman Old Style" w:cs="Calibri"/>
                <w:sz w:val="18"/>
                <w:szCs w:val="18"/>
                <w:lang w:val="sv-FI"/>
              </w:rPr>
            </w:pPr>
            <w:r w:rsidRPr="008379CA">
              <w:rPr>
                <w:rFonts w:ascii="Bookman Old Style" w:hAnsi="Bookman Old Style" w:cs="Calibri"/>
                <w:sz w:val="18"/>
                <w:szCs w:val="18"/>
                <w:lang w:val="sv-FI"/>
              </w:rPr>
              <w:t>Penyampaian Rancangan KUA dan Rancangan PPAS oleh Kepala Daerah kepada Gubernur untuk dilakukan penilaian KUA-PPAS terhadap KEM PPKF</w:t>
            </w:r>
          </w:p>
        </w:tc>
        <w:tc>
          <w:tcPr>
            <w:tcW w:w="2619" w:type="dxa"/>
            <w:shd w:val="clear" w:color="auto" w:fill="auto"/>
            <w:noWrap/>
          </w:tcPr>
          <w:p w14:paraId="03D938D1" w14:textId="7A957146" w:rsidR="00A954D0" w:rsidRPr="008379CA" w:rsidRDefault="00A954D0" w:rsidP="00E14F35">
            <w:pPr>
              <w:rPr>
                <w:rFonts w:ascii="Bookman Old Style" w:hAnsi="Bookman Old Style" w:cs="Calibri"/>
                <w:sz w:val="18"/>
                <w:szCs w:val="18"/>
                <w:lang w:val="fi-FI"/>
              </w:rPr>
            </w:pPr>
            <w:r w:rsidRPr="008379CA">
              <w:rPr>
                <w:rFonts w:ascii="Bookman Old Style" w:hAnsi="Bookman Old Style" w:cs="Arial"/>
                <w:sz w:val="18"/>
                <w:szCs w:val="18"/>
              </w:rPr>
              <w:t>913/7803-BPKD/2024</w:t>
            </w:r>
          </w:p>
        </w:tc>
        <w:tc>
          <w:tcPr>
            <w:tcW w:w="1956" w:type="dxa"/>
            <w:shd w:val="clear" w:color="auto" w:fill="auto"/>
            <w:noWrap/>
          </w:tcPr>
          <w:p w14:paraId="3F656857" w14:textId="15AAA850" w:rsidR="00A954D0" w:rsidRPr="008379CA" w:rsidRDefault="00A954D0" w:rsidP="00E14F35">
            <w:pPr>
              <w:jc w:val="both"/>
              <w:rPr>
                <w:rFonts w:ascii="Bookman Old Style" w:hAnsi="Bookman Old Style" w:cs="Calibri"/>
                <w:sz w:val="18"/>
                <w:szCs w:val="18"/>
                <w:lang w:val="fi-FI"/>
              </w:rPr>
            </w:pPr>
            <w:r w:rsidRPr="008379CA">
              <w:rPr>
                <w:rFonts w:ascii="Bookman Old Style" w:hAnsi="Bookman Old Style" w:cs="Arial"/>
                <w:sz w:val="18"/>
                <w:szCs w:val="18"/>
              </w:rPr>
              <w:t>12 Juli 2024</w:t>
            </w:r>
          </w:p>
        </w:tc>
        <w:tc>
          <w:tcPr>
            <w:tcW w:w="2410" w:type="dxa"/>
            <w:shd w:val="clear" w:color="auto" w:fill="auto"/>
            <w:noWrap/>
          </w:tcPr>
          <w:p w14:paraId="3060B736" w14:textId="7E55FE55" w:rsidR="00A954D0" w:rsidRPr="008379CA" w:rsidRDefault="00A954D0" w:rsidP="00E14F35">
            <w:pPr>
              <w:rPr>
                <w:rFonts w:ascii="Bookman Old Style" w:hAnsi="Bookman Old Style" w:cs="Calibri"/>
                <w:sz w:val="18"/>
                <w:szCs w:val="18"/>
                <w:lang w:val="sv-FI"/>
              </w:rPr>
            </w:pPr>
            <w:r w:rsidRPr="008379CA">
              <w:rPr>
                <w:rFonts w:ascii="Bookman Old Style" w:hAnsi="Bookman Old Style" w:cs="Calibri"/>
                <w:b/>
                <w:bCs/>
                <w:sz w:val="18"/>
                <w:szCs w:val="18"/>
                <w:lang w:val="sv-FI"/>
              </w:rPr>
              <w:t>Sesuai</w:t>
            </w:r>
            <w:r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br/>
              <w:t>(paling lambat minggu II bulan Juli)</w:t>
            </w:r>
          </w:p>
        </w:tc>
      </w:tr>
      <w:tr w:rsidR="008379CA" w:rsidRPr="008379CA" w14:paraId="0AB1E89B" w14:textId="77777777" w:rsidTr="00865FF3">
        <w:trPr>
          <w:trHeight w:val="283"/>
        </w:trPr>
        <w:tc>
          <w:tcPr>
            <w:tcW w:w="3222" w:type="dxa"/>
            <w:shd w:val="clear" w:color="auto" w:fill="auto"/>
            <w:noWrap/>
            <w:vAlign w:val="center"/>
          </w:tcPr>
          <w:p w14:paraId="7F8F8EE6" w14:textId="345BCF26" w:rsidR="008C4B08" w:rsidRPr="008379CA" w:rsidRDefault="008C4B08" w:rsidP="008C4B08">
            <w:pPr>
              <w:jc w:val="both"/>
              <w:rPr>
                <w:rFonts w:ascii="Bookman Old Style" w:hAnsi="Bookman Old Style" w:cs="Calibri"/>
                <w:sz w:val="18"/>
                <w:szCs w:val="18"/>
                <w:lang w:val="sv-FI"/>
              </w:rPr>
            </w:pPr>
            <w:r w:rsidRPr="008379CA">
              <w:rPr>
                <w:rFonts w:ascii="Bookman Old Style" w:hAnsi="Bookman Old Style" w:cs="Calibri"/>
                <w:sz w:val="18"/>
                <w:szCs w:val="18"/>
                <w:lang w:val="fi-FI"/>
              </w:rPr>
              <w:t>Kesepakatan</w:t>
            </w:r>
            <w:r w:rsidR="00A954D0" w:rsidRPr="008379CA">
              <w:rPr>
                <w:rFonts w:ascii="Bookman Old Style" w:hAnsi="Bookman Old Style" w:cs="Calibri"/>
                <w:sz w:val="18"/>
                <w:szCs w:val="18"/>
                <w:lang w:val="fi-FI"/>
              </w:rPr>
              <w:t xml:space="preserve"> </w:t>
            </w:r>
            <w:r w:rsidRPr="008379CA">
              <w:rPr>
                <w:rFonts w:ascii="Bookman Old Style" w:hAnsi="Bookman Old Style" w:cs="Calibri"/>
                <w:sz w:val="18"/>
                <w:szCs w:val="18"/>
                <w:lang w:val="fi-FI"/>
              </w:rPr>
              <w:t>antara</w:t>
            </w:r>
            <w:r w:rsidR="00A954D0" w:rsidRPr="008379CA">
              <w:rPr>
                <w:rFonts w:ascii="Bookman Old Style" w:hAnsi="Bookman Old Style" w:cs="Calibri"/>
                <w:sz w:val="18"/>
                <w:szCs w:val="18"/>
                <w:lang w:val="fi-FI"/>
              </w:rPr>
              <w:t xml:space="preserve"> </w:t>
            </w:r>
            <w:r w:rsidRPr="008379CA">
              <w:rPr>
                <w:rFonts w:ascii="Bookman Old Style" w:hAnsi="Bookman Old Style" w:cs="Calibri"/>
                <w:sz w:val="18"/>
                <w:szCs w:val="18"/>
                <w:lang w:val="fi-FI"/>
              </w:rPr>
              <w:t>Kepala</w:t>
            </w:r>
            <w:r w:rsidR="00A954D0" w:rsidRPr="008379CA">
              <w:rPr>
                <w:rFonts w:ascii="Bookman Old Style" w:hAnsi="Bookman Old Style" w:cs="Calibri"/>
                <w:sz w:val="18"/>
                <w:szCs w:val="18"/>
                <w:lang w:val="fi-FI"/>
              </w:rPr>
              <w:t xml:space="preserve"> </w:t>
            </w:r>
            <w:r w:rsidRPr="008379CA">
              <w:rPr>
                <w:rFonts w:ascii="Bookman Old Style" w:hAnsi="Bookman Old Style" w:cs="Calibri"/>
                <w:sz w:val="18"/>
                <w:szCs w:val="18"/>
                <w:lang w:val="fi-FI"/>
              </w:rPr>
              <w:t>Daerah</w:t>
            </w:r>
            <w:r w:rsidR="00A954D0" w:rsidRPr="008379CA">
              <w:rPr>
                <w:rFonts w:ascii="Bookman Old Style" w:hAnsi="Bookman Old Style" w:cs="Calibri"/>
                <w:sz w:val="18"/>
                <w:szCs w:val="18"/>
                <w:lang w:val="fi-FI"/>
              </w:rPr>
              <w:t xml:space="preserve"> </w:t>
            </w:r>
            <w:r w:rsidRPr="008379CA">
              <w:rPr>
                <w:rFonts w:ascii="Bookman Old Style" w:hAnsi="Bookman Old Style" w:cs="Calibri"/>
                <w:sz w:val="18"/>
                <w:szCs w:val="18"/>
                <w:lang w:val="fi-FI"/>
              </w:rPr>
              <w:t>dan</w:t>
            </w:r>
            <w:r w:rsidR="00A954D0" w:rsidRPr="008379CA">
              <w:rPr>
                <w:rFonts w:ascii="Bookman Old Style" w:hAnsi="Bookman Old Style" w:cs="Calibri"/>
                <w:sz w:val="18"/>
                <w:szCs w:val="18"/>
                <w:lang w:val="fi-FI"/>
              </w:rPr>
              <w:t xml:space="preserve"> </w:t>
            </w:r>
            <w:r w:rsidRPr="008379CA">
              <w:rPr>
                <w:rFonts w:ascii="Bookman Old Style" w:hAnsi="Bookman Old Style" w:cs="Calibri"/>
                <w:sz w:val="18"/>
                <w:szCs w:val="18"/>
                <w:lang w:val="fi-FI"/>
              </w:rPr>
              <w:t>DPRD</w:t>
            </w:r>
            <w:r w:rsidR="00A954D0" w:rsidRPr="008379CA">
              <w:rPr>
                <w:rFonts w:ascii="Bookman Old Style" w:hAnsi="Bookman Old Style" w:cs="Calibri"/>
                <w:sz w:val="18"/>
                <w:szCs w:val="18"/>
                <w:lang w:val="fi-FI"/>
              </w:rPr>
              <w:t xml:space="preserve"> </w:t>
            </w:r>
            <w:r w:rsidRPr="008379CA">
              <w:rPr>
                <w:rFonts w:ascii="Bookman Old Style" w:hAnsi="Bookman Old Style" w:cs="Calibri"/>
                <w:sz w:val="18"/>
                <w:szCs w:val="18"/>
                <w:lang w:val="fi-FI"/>
              </w:rPr>
              <w:t>atas</w:t>
            </w:r>
            <w:r w:rsidR="00A954D0" w:rsidRPr="008379CA">
              <w:rPr>
                <w:rFonts w:ascii="Bookman Old Style" w:hAnsi="Bookman Old Style" w:cs="Calibri"/>
                <w:sz w:val="18"/>
                <w:szCs w:val="18"/>
                <w:lang w:val="fi-FI"/>
              </w:rPr>
              <w:t xml:space="preserve"> </w:t>
            </w:r>
            <w:r w:rsidRPr="008379CA">
              <w:rPr>
                <w:rFonts w:ascii="Bookman Old Style" w:hAnsi="Bookman Old Style" w:cs="Calibri"/>
                <w:sz w:val="18"/>
                <w:szCs w:val="18"/>
                <w:lang w:val="fi-FI"/>
              </w:rPr>
              <w:t>Rancangan</w:t>
            </w:r>
            <w:r w:rsidR="00A954D0" w:rsidRPr="008379CA">
              <w:rPr>
                <w:rFonts w:ascii="Bookman Old Style" w:hAnsi="Bookman Old Style" w:cs="Calibri"/>
                <w:sz w:val="18"/>
                <w:szCs w:val="18"/>
                <w:lang w:val="fi-FI"/>
              </w:rPr>
              <w:t xml:space="preserve"> </w:t>
            </w:r>
            <w:r w:rsidRPr="008379CA">
              <w:rPr>
                <w:rFonts w:ascii="Bookman Old Style" w:hAnsi="Bookman Old Style" w:cs="Calibri"/>
                <w:sz w:val="18"/>
                <w:szCs w:val="18"/>
                <w:lang w:val="fi-FI"/>
              </w:rPr>
              <w:t>KUA</w:t>
            </w:r>
          </w:p>
        </w:tc>
        <w:tc>
          <w:tcPr>
            <w:tcW w:w="2619" w:type="dxa"/>
            <w:shd w:val="clear" w:color="auto" w:fill="auto"/>
            <w:noWrap/>
          </w:tcPr>
          <w:p w14:paraId="4169FF72" w14:textId="049AE691" w:rsidR="008C4B08" w:rsidRPr="008379CA" w:rsidRDefault="008C4B08" w:rsidP="00E14F35">
            <w:pPr>
              <w:rPr>
                <w:rFonts w:ascii="Bookman Old Style" w:hAnsi="Bookman Old Style" w:cs="Calibri"/>
                <w:sz w:val="18"/>
                <w:szCs w:val="18"/>
                <w:lang w:val="fi-FI"/>
              </w:rPr>
            </w:pPr>
            <w:r w:rsidRPr="008379CA">
              <w:rPr>
                <w:rFonts w:ascii="Bookman Old Style" w:hAnsi="Bookman Old Style" w:cs="Arial"/>
                <w:sz w:val="18"/>
                <w:szCs w:val="18"/>
              </w:rPr>
              <w:t>913/10140-BPKD/2024</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913/03-DPRD/2024</w:t>
            </w:r>
          </w:p>
        </w:tc>
        <w:tc>
          <w:tcPr>
            <w:tcW w:w="1956" w:type="dxa"/>
            <w:shd w:val="clear" w:color="auto" w:fill="auto"/>
            <w:noWrap/>
          </w:tcPr>
          <w:p w14:paraId="1A7995DA" w14:textId="4AAB48EA" w:rsidR="008C4B08" w:rsidRPr="008379CA" w:rsidRDefault="008C4B08" w:rsidP="00E14F35">
            <w:pPr>
              <w:jc w:val="both"/>
              <w:rPr>
                <w:rFonts w:ascii="Bookman Old Style" w:hAnsi="Bookman Old Style" w:cs="Calibri"/>
                <w:sz w:val="18"/>
                <w:szCs w:val="18"/>
                <w:lang w:val="fi-FI"/>
              </w:rPr>
            </w:pPr>
            <w:r w:rsidRPr="008379CA">
              <w:rPr>
                <w:rFonts w:ascii="Bookman Old Style" w:hAnsi="Bookman Old Style" w:cs="Arial"/>
                <w:sz w:val="18"/>
                <w:szCs w:val="18"/>
              </w:rPr>
              <w:t>14</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Agustus</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2024</w:t>
            </w:r>
          </w:p>
        </w:tc>
        <w:tc>
          <w:tcPr>
            <w:tcW w:w="2410" w:type="dxa"/>
            <w:shd w:val="clear" w:color="auto" w:fill="auto"/>
            <w:noWrap/>
          </w:tcPr>
          <w:p w14:paraId="70F539A8" w14:textId="04D43332" w:rsidR="008C4B08" w:rsidRPr="008379CA" w:rsidRDefault="008C4B08" w:rsidP="00E14F35">
            <w:pPr>
              <w:rPr>
                <w:rFonts w:ascii="Bookman Old Style" w:hAnsi="Bookman Old Style" w:cs="Calibri"/>
                <w:sz w:val="18"/>
                <w:szCs w:val="18"/>
                <w:lang w:val="sv-FI"/>
              </w:rPr>
            </w:pPr>
            <w:r w:rsidRPr="008379CA">
              <w:rPr>
                <w:rFonts w:ascii="Bookman Old Style" w:hAnsi="Bookman Old Style" w:cs="Calibri"/>
                <w:b/>
                <w:bCs/>
                <w:sz w:val="18"/>
                <w:szCs w:val="18"/>
                <w:lang w:val="sv-FI"/>
              </w:rPr>
              <w:t>Sesuai</w:t>
            </w:r>
            <w:r w:rsidRPr="008379CA">
              <w:rPr>
                <w:rFonts w:ascii="Bookman Old Style" w:hAnsi="Bookman Old Style" w:cs="Calibri"/>
                <w:sz w:val="18"/>
                <w:szCs w:val="18"/>
                <w:lang w:val="sv-FI"/>
              </w:rPr>
              <w:br/>
              <w:t>(paling</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lambat</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minggu</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II</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bulan</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Agustus)</w:t>
            </w:r>
          </w:p>
        </w:tc>
      </w:tr>
      <w:tr w:rsidR="008379CA" w:rsidRPr="008379CA" w14:paraId="4086B8CA" w14:textId="77777777" w:rsidTr="00865FF3">
        <w:trPr>
          <w:trHeight w:val="283"/>
        </w:trPr>
        <w:tc>
          <w:tcPr>
            <w:tcW w:w="3222" w:type="dxa"/>
            <w:shd w:val="clear" w:color="auto" w:fill="auto"/>
            <w:noWrap/>
            <w:vAlign w:val="center"/>
            <w:hideMark/>
          </w:tcPr>
          <w:p w14:paraId="66353E79" w14:textId="1CDFB8B1" w:rsidR="008C4B08" w:rsidRPr="008379CA" w:rsidRDefault="008C4B08" w:rsidP="008C4B08">
            <w:pPr>
              <w:jc w:val="both"/>
              <w:rPr>
                <w:rFonts w:ascii="Bookman Old Style" w:hAnsi="Bookman Old Style" w:cs="Calibri"/>
                <w:sz w:val="18"/>
                <w:szCs w:val="18"/>
                <w:lang w:val="fi-FI"/>
              </w:rPr>
            </w:pPr>
            <w:r w:rsidRPr="008379CA">
              <w:rPr>
                <w:rFonts w:ascii="Bookman Old Style" w:hAnsi="Bookman Old Style" w:cs="Calibri"/>
                <w:sz w:val="18"/>
                <w:szCs w:val="18"/>
                <w:lang w:val="fi-FI"/>
              </w:rPr>
              <w:t>Kesepakatan</w:t>
            </w:r>
            <w:r w:rsidR="00A954D0" w:rsidRPr="008379CA">
              <w:rPr>
                <w:rFonts w:ascii="Bookman Old Style" w:hAnsi="Bookman Old Style" w:cs="Calibri"/>
                <w:sz w:val="18"/>
                <w:szCs w:val="18"/>
                <w:lang w:val="fi-FI"/>
              </w:rPr>
              <w:t xml:space="preserve"> </w:t>
            </w:r>
            <w:r w:rsidRPr="008379CA">
              <w:rPr>
                <w:rFonts w:ascii="Bookman Old Style" w:hAnsi="Bookman Old Style" w:cs="Calibri"/>
                <w:sz w:val="18"/>
                <w:szCs w:val="18"/>
                <w:lang w:val="fi-FI"/>
              </w:rPr>
              <w:t>antara</w:t>
            </w:r>
            <w:r w:rsidR="00A954D0" w:rsidRPr="008379CA">
              <w:rPr>
                <w:rFonts w:ascii="Bookman Old Style" w:hAnsi="Bookman Old Style" w:cs="Calibri"/>
                <w:sz w:val="18"/>
                <w:szCs w:val="18"/>
                <w:lang w:val="fi-FI"/>
              </w:rPr>
              <w:t xml:space="preserve"> </w:t>
            </w:r>
            <w:r w:rsidRPr="008379CA">
              <w:rPr>
                <w:rFonts w:ascii="Bookman Old Style" w:hAnsi="Bookman Old Style" w:cs="Calibri"/>
                <w:sz w:val="18"/>
                <w:szCs w:val="18"/>
                <w:lang w:val="fi-FI"/>
              </w:rPr>
              <w:t>Kepala</w:t>
            </w:r>
            <w:r w:rsidR="00A954D0" w:rsidRPr="008379CA">
              <w:rPr>
                <w:rFonts w:ascii="Bookman Old Style" w:hAnsi="Bookman Old Style" w:cs="Calibri"/>
                <w:sz w:val="18"/>
                <w:szCs w:val="18"/>
                <w:lang w:val="fi-FI"/>
              </w:rPr>
              <w:t xml:space="preserve"> </w:t>
            </w:r>
            <w:r w:rsidRPr="008379CA">
              <w:rPr>
                <w:rFonts w:ascii="Bookman Old Style" w:hAnsi="Bookman Old Style" w:cs="Calibri"/>
                <w:sz w:val="18"/>
                <w:szCs w:val="18"/>
                <w:lang w:val="fi-FI"/>
              </w:rPr>
              <w:t>Daerah</w:t>
            </w:r>
            <w:r w:rsidR="00A954D0" w:rsidRPr="008379CA">
              <w:rPr>
                <w:rFonts w:ascii="Bookman Old Style" w:hAnsi="Bookman Old Style" w:cs="Calibri"/>
                <w:sz w:val="18"/>
                <w:szCs w:val="18"/>
                <w:lang w:val="fi-FI"/>
              </w:rPr>
              <w:t xml:space="preserve"> </w:t>
            </w:r>
            <w:r w:rsidRPr="008379CA">
              <w:rPr>
                <w:rFonts w:ascii="Bookman Old Style" w:hAnsi="Bookman Old Style" w:cs="Calibri"/>
                <w:sz w:val="18"/>
                <w:szCs w:val="18"/>
                <w:lang w:val="fi-FI"/>
              </w:rPr>
              <w:t>dan</w:t>
            </w:r>
            <w:r w:rsidR="00A954D0" w:rsidRPr="008379CA">
              <w:rPr>
                <w:rFonts w:ascii="Bookman Old Style" w:hAnsi="Bookman Old Style" w:cs="Calibri"/>
                <w:sz w:val="18"/>
                <w:szCs w:val="18"/>
                <w:lang w:val="fi-FI"/>
              </w:rPr>
              <w:t xml:space="preserve"> </w:t>
            </w:r>
            <w:r w:rsidRPr="008379CA">
              <w:rPr>
                <w:rFonts w:ascii="Bookman Old Style" w:hAnsi="Bookman Old Style" w:cs="Calibri"/>
                <w:sz w:val="18"/>
                <w:szCs w:val="18"/>
                <w:lang w:val="fi-FI"/>
              </w:rPr>
              <w:t>DPRD</w:t>
            </w:r>
            <w:r w:rsidR="00A954D0" w:rsidRPr="008379CA">
              <w:rPr>
                <w:rFonts w:ascii="Bookman Old Style" w:hAnsi="Bookman Old Style" w:cs="Calibri"/>
                <w:sz w:val="18"/>
                <w:szCs w:val="18"/>
                <w:lang w:val="fi-FI"/>
              </w:rPr>
              <w:t xml:space="preserve"> </w:t>
            </w:r>
            <w:r w:rsidRPr="008379CA">
              <w:rPr>
                <w:rFonts w:ascii="Bookman Old Style" w:hAnsi="Bookman Old Style" w:cs="Calibri"/>
                <w:sz w:val="18"/>
                <w:szCs w:val="18"/>
                <w:lang w:val="fi-FI"/>
              </w:rPr>
              <w:t>atas</w:t>
            </w:r>
            <w:r w:rsidR="00A954D0" w:rsidRPr="008379CA">
              <w:rPr>
                <w:rFonts w:ascii="Bookman Old Style" w:hAnsi="Bookman Old Style" w:cs="Calibri"/>
                <w:sz w:val="18"/>
                <w:szCs w:val="18"/>
                <w:lang w:val="fi-FI"/>
              </w:rPr>
              <w:t xml:space="preserve"> </w:t>
            </w:r>
            <w:r w:rsidRPr="008379CA">
              <w:rPr>
                <w:rFonts w:ascii="Bookman Old Style" w:hAnsi="Bookman Old Style" w:cs="Calibri"/>
                <w:sz w:val="18"/>
                <w:szCs w:val="18"/>
                <w:lang w:val="fi-FI"/>
              </w:rPr>
              <w:t>Rancangan</w:t>
            </w:r>
            <w:r w:rsidR="00A954D0" w:rsidRPr="008379CA">
              <w:rPr>
                <w:rFonts w:ascii="Bookman Old Style" w:hAnsi="Bookman Old Style" w:cs="Calibri"/>
                <w:sz w:val="18"/>
                <w:szCs w:val="18"/>
                <w:lang w:val="fi-FI"/>
              </w:rPr>
              <w:t xml:space="preserve"> </w:t>
            </w:r>
            <w:r w:rsidRPr="008379CA">
              <w:rPr>
                <w:rFonts w:ascii="Bookman Old Style" w:hAnsi="Bookman Old Style" w:cs="Calibri"/>
                <w:sz w:val="18"/>
                <w:szCs w:val="18"/>
                <w:lang w:val="fi-FI"/>
              </w:rPr>
              <w:t>PPAS</w:t>
            </w:r>
          </w:p>
        </w:tc>
        <w:tc>
          <w:tcPr>
            <w:tcW w:w="2619" w:type="dxa"/>
            <w:shd w:val="clear" w:color="auto" w:fill="auto"/>
            <w:noWrap/>
          </w:tcPr>
          <w:p w14:paraId="267BA80C" w14:textId="6DAF9F4D" w:rsidR="008C4B08" w:rsidRPr="008379CA" w:rsidRDefault="008C4B08" w:rsidP="00E14F35">
            <w:pPr>
              <w:rPr>
                <w:rFonts w:ascii="Bookman Old Style" w:hAnsi="Bookman Old Style" w:cs="Calibri"/>
                <w:sz w:val="18"/>
                <w:szCs w:val="18"/>
                <w:lang w:val="sv-FI"/>
              </w:rPr>
            </w:pPr>
            <w:r w:rsidRPr="008379CA">
              <w:rPr>
                <w:rFonts w:ascii="Bookman Old Style" w:hAnsi="Bookman Old Style" w:cs="Arial"/>
                <w:sz w:val="18"/>
                <w:szCs w:val="18"/>
              </w:rPr>
              <w:t>913/10141-BPKD/2024</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913/04-DPRD/2024</w:t>
            </w:r>
          </w:p>
        </w:tc>
        <w:tc>
          <w:tcPr>
            <w:tcW w:w="1956" w:type="dxa"/>
            <w:shd w:val="clear" w:color="auto" w:fill="auto"/>
            <w:noWrap/>
          </w:tcPr>
          <w:p w14:paraId="70EAAD99" w14:textId="52605433" w:rsidR="008C4B08" w:rsidRPr="008379CA" w:rsidRDefault="008C4B08" w:rsidP="00E14F35">
            <w:pPr>
              <w:jc w:val="both"/>
              <w:rPr>
                <w:rFonts w:ascii="Bookman Old Style" w:hAnsi="Bookman Old Style" w:cs="Calibri"/>
                <w:sz w:val="18"/>
                <w:szCs w:val="18"/>
                <w:lang w:val="fi-FI"/>
              </w:rPr>
            </w:pPr>
            <w:r w:rsidRPr="008379CA">
              <w:rPr>
                <w:rFonts w:ascii="Bookman Old Style" w:hAnsi="Bookman Old Style" w:cs="Arial"/>
                <w:sz w:val="18"/>
                <w:szCs w:val="18"/>
              </w:rPr>
              <w:t>14</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Agustus</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2024</w:t>
            </w:r>
          </w:p>
        </w:tc>
        <w:tc>
          <w:tcPr>
            <w:tcW w:w="2410" w:type="dxa"/>
            <w:shd w:val="clear" w:color="auto" w:fill="auto"/>
            <w:noWrap/>
            <w:hideMark/>
          </w:tcPr>
          <w:p w14:paraId="458CAAF1" w14:textId="74B9AF87" w:rsidR="008C4B08" w:rsidRPr="008379CA" w:rsidRDefault="008C4B08" w:rsidP="00E14F35">
            <w:pPr>
              <w:rPr>
                <w:rFonts w:ascii="Bookman Old Style" w:hAnsi="Bookman Old Style" w:cs="Calibri"/>
                <w:sz w:val="18"/>
                <w:szCs w:val="18"/>
                <w:lang w:val="sv-FI"/>
              </w:rPr>
            </w:pPr>
            <w:r w:rsidRPr="008379CA">
              <w:rPr>
                <w:rFonts w:ascii="Bookman Old Style" w:hAnsi="Bookman Old Style" w:cs="Calibri"/>
                <w:b/>
                <w:bCs/>
                <w:sz w:val="18"/>
                <w:szCs w:val="18"/>
                <w:lang w:val="sv-FI"/>
              </w:rPr>
              <w:t>Sesuai</w:t>
            </w:r>
            <w:r w:rsidRPr="008379CA">
              <w:rPr>
                <w:rFonts w:ascii="Bookman Old Style" w:hAnsi="Bookman Old Style" w:cs="Calibri"/>
                <w:sz w:val="18"/>
                <w:szCs w:val="18"/>
                <w:lang w:val="sv-FI"/>
              </w:rPr>
              <w:br/>
              <w:t>(paling</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lambat</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minggu</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II</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bulan</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Agustus)</w:t>
            </w:r>
          </w:p>
        </w:tc>
      </w:tr>
      <w:tr w:rsidR="008379CA" w:rsidRPr="008379CA" w14:paraId="17EA61C7" w14:textId="77777777" w:rsidTr="00865FF3">
        <w:trPr>
          <w:trHeight w:val="283"/>
        </w:trPr>
        <w:tc>
          <w:tcPr>
            <w:tcW w:w="3222" w:type="dxa"/>
            <w:shd w:val="clear" w:color="auto" w:fill="auto"/>
            <w:noWrap/>
            <w:vAlign w:val="center"/>
            <w:hideMark/>
          </w:tcPr>
          <w:p w14:paraId="0B6C040A" w14:textId="35DD4A59" w:rsidR="008C4B08" w:rsidRPr="008379CA" w:rsidRDefault="008C4B08" w:rsidP="008C4B08">
            <w:pPr>
              <w:jc w:val="both"/>
              <w:rPr>
                <w:rFonts w:ascii="Bookman Old Style" w:hAnsi="Bookman Old Style" w:cs="Calibri"/>
                <w:sz w:val="18"/>
                <w:szCs w:val="18"/>
                <w:lang w:val="fi-FI"/>
              </w:rPr>
            </w:pPr>
            <w:r w:rsidRPr="008379CA">
              <w:rPr>
                <w:rFonts w:ascii="Bookman Old Style" w:hAnsi="Bookman Old Style" w:cs="Calibri"/>
                <w:sz w:val="18"/>
                <w:szCs w:val="18"/>
                <w:lang w:val="sv-FI"/>
              </w:rPr>
              <w:t>Penyampaian</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Rancangan</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Peraturan</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Daerah</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tentang</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APBD</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oleh</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Kepala</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Daerah</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kepada</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DPRD</w:t>
            </w:r>
          </w:p>
        </w:tc>
        <w:tc>
          <w:tcPr>
            <w:tcW w:w="2619" w:type="dxa"/>
            <w:shd w:val="clear" w:color="auto" w:fill="auto"/>
            <w:noWrap/>
          </w:tcPr>
          <w:p w14:paraId="49E3A144" w14:textId="05135E6B" w:rsidR="008C4B08" w:rsidRPr="008379CA" w:rsidRDefault="008C4B08" w:rsidP="00E14F35">
            <w:pPr>
              <w:rPr>
                <w:rFonts w:ascii="Bookman Old Style" w:hAnsi="Bookman Old Style" w:cs="Calibri"/>
                <w:sz w:val="18"/>
                <w:szCs w:val="18"/>
                <w:lang w:val="sv-FI"/>
              </w:rPr>
            </w:pPr>
            <w:r w:rsidRPr="008379CA">
              <w:rPr>
                <w:rFonts w:ascii="Bookman Old Style" w:hAnsi="Bookman Old Style" w:cs="Arial"/>
                <w:sz w:val="18"/>
                <w:szCs w:val="18"/>
              </w:rPr>
              <w:t>12709/2024</w:t>
            </w:r>
          </w:p>
        </w:tc>
        <w:tc>
          <w:tcPr>
            <w:tcW w:w="1956" w:type="dxa"/>
            <w:shd w:val="clear" w:color="auto" w:fill="auto"/>
            <w:noWrap/>
          </w:tcPr>
          <w:p w14:paraId="3CAE78EF" w14:textId="7D0CF8DF" w:rsidR="008C4B08" w:rsidRPr="008379CA" w:rsidRDefault="008C4B08" w:rsidP="00E14F35">
            <w:pPr>
              <w:jc w:val="both"/>
              <w:rPr>
                <w:rFonts w:ascii="Bookman Old Style" w:hAnsi="Bookman Old Style" w:cs="Calibri"/>
                <w:sz w:val="18"/>
                <w:szCs w:val="18"/>
                <w:lang w:val="fi-FI"/>
              </w:rPr>
            </w:pPr>
            <w:r w:rsidRPr="008379CA">
              <w:rPr>
                <w:rFonts w:ascii="Bookman Old Style" w:hAnsi="Bookman Old Style" w:cs="Arial"/>
                <w:sz w:val="18"/>
                <w:szCs w:val="18"/>
              </w:rPr>
              <w:t>13</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September</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2024</w:t>
            </w:r>
          </w:p>
        </w:tc>
        <w:tc>
          <w:tcPr>
            <w:tcW w:w="2410" w:type="dxa"/>
            <w:shd w:val="clear" w:color="auto" w:fill="auto"/>
            <w:noWrap/>
            <w:hideMark/>
          </w:tcPr>
          <w:p w14:paraId="2D00EF55" w14:textId="662DC9EC" w:rsidR="008C4B08" w:rsidRPr="008379CA" w:rsidRDefault="008C4B08" w:rsidP="00E14F35">
            <w:pPr>
              <w:rPr>
                <w:rFonts w:ascii="Bookman Old Style" w:hAnsi="Bookman Old Style" w:cs="Calibri"/>
                <w:sz w:val="18"/>
                <w:szCs w:val="18"/>
              </w:rPr>
            </w:pPr>
            <w:r w:rsidRPr="008379CA">
              <w:rPr>
                <w:rFonts w:ascii="Bookman Old Style" w:hAnsi="Bookman Old Style" w:cs="Calibri"/>
                <w:b/>
                <w:bCs/>
                <w:sz w:val="18"/>
                <w:szCs w:val="18"/>
                <w:lang w:val="sv-FI"/>
              </w:rPr>
              <w:t>Sesuai</w:t>
            </w:r>
            <w:r w:rsidRPr="008379CA">
              <w:rPr>
                <w:rFonts w:ascii="Bookman Old Style" w:hAnsi="Bookman Old Style" w:cs="Calibri"/>
                <w:sz w:val="18"/>
                <w:szCs w:val="18"/>
              </w:rPr>
              <w:br/>
              <w:t>(paling</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lambat</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minggu</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II</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bulan</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September)</w:t>
            </w:r>
          </w:p>
        </w:tc>
      </w:tr>
      <w:tr w:rsidR="008379CA" w:rsidRPr="008379CA" w14:paraId="6CE5A80E" w14:textId="77777777" w:rsidTr="00865FF3">
        <w:trPr>
          <w:trHeight w:val="283"/>
        </w:trPr>
        <w:tc>
          <w:tcPr>
            <w:tcW w:w="3222" w:type="dxa"/>
            <w:shd w:val="clear" w:color="auto" w:fill="auto"/>
            <w:noWrap/>
            <w:vAlign w:val="center"/>
          </w:tcPr>
          <w:p w14:paraId="15B5D73A" w14:textId="6B41A98A" w:rsidR="008C4B08" w:rsidRPr="008379CA" w:rsidRDefault="008C4B08" w:rsidP="008C4B08">
            <w:pPr>
              <w:jc w:val="both"/>
              <w:rPr>
                <w:rFonts w:ascii="Bookman Old Style" w:hAnsi="Bookman Old Style" w:cs="Calibri"/>
                <w:sz w:val="18"/>
                <w:szCs w:val="18"/>
                <w:lang w:val="sv-FI"/>
              </w:rPr>
            </w:pPr>
            <w:r w:rsidRPr="008379CA">
              <w:rPr>
                <w:rFonts w:ascii="Bookman Old Style" w:hAnsi="Bookman Old Style" w:cs="Calibri"/>
                <w:sz w:val="18"/>
                <w:szCs w:val="18"/>
                <w:lang w:val="sv-FI"/>
              </w:rPr>
              <w:t>Persetujuan</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bersama</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DPRD</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dan</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Kepala</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Daerah</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tentang</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Rancangan</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Peraturan</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Daerah</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APBD</w:t>
            </w:r>
          </w:p>
        </w:tc>
        <w:tc>
          <w:tcPr>
            <w:tcW w:w="2619" w:type="dxa"/>
            <w:shd w:val="clear" w:color="auto" w:fill="auto"/>
            <w:noWrap/>
          </w:tcPr>
          <w:p w14:paraId="5567D6B3" w14:textId="5C1BC12F" w:rsidR="008C4B08" w:rsidRPr="008379CA" w:rsidRDefault="008C4B08" w:rsidP="00E14F35">
            <w:pPr>
              <w:rPr>
                <w:rFonts w:ascii="Bookman Old Style" w:hAnsi="Bookman Old Style"/>
                <w:sz w:val="18"/>
                <w:szCs w:val="18"/>
              </w:rPr>
            </w:pPr>
            <w:r w:rsidRPr="008379CA">
              <w:rPr>
                <w:rFonts w:ascii="Bookman Old Style" w:hAnsi="Bookman Old Style" w:cs="Arial"/>
                <w:sz w:val="18"/>
                <w:szCs w:val="18"/>
              </w:rPr>
              <w:t>05</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Tahun</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2024</w:t>
            </w:r>
          </w:p>
        </w:tc>
        <w:tc>
          <w:tcPr>
            <w:tcW w:w="1956" w:type="dxa"/>
            <w:shd w:val="clear" w:color="auto" w:fill="auto"/>
            <w:noWrap/>
          </w:tcPr>
          <w:p w14:paraId="0BA478F5" w14:textId="6CBB0AAE" w:rsidR="008C4B08" w:rsidRPr="008379CA" w:rsidRDefault="008C4B08" w:rsidP="00E14F35">
            <w:pPr>
              <w:jc w:val="both"/>
              <w:rPr>
                <w:rFonts w:ascii="Bookman Old Style" w:hAnsi="Bookman Old Style" w:cs="Calibri"/>
                <w:sz w:val="18"/>
                <w:szCs w:val="18"/>
                <w:lang w:val="fi-FI"/>
              </w:rPr>
            </w:pPr>
            <w:r w:rsidRPr="008379CA">
              <w:rPr>
                <w:rFonts w:ascii="Bookman Old Style" w:hAnsi="Bookman Old Style" w:cs="Arial"/>
                <w:sz w:val="18"/>
                <w:szCs w:val="18"/>
              </w:rPr>
              <w:t>28</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November</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2024</w:t>
            </w:r>
          </w:p>
        </w:tc>
        <w:tc>
          <w:tcPr>
            <w:tcW w:w="2410" w:type="dxa"/>
            <w:shd w:val="clear" w:color="auto" w:fill="auto"/>
            <w:noWrap/>
          </w:tcPr>
          <w:p w14:paraId="6A2A1E9F" w14:textId="02569BF3" w:rsidR="008C4B08" w:rsidRPr="008379CA" w:rsidRDefault="008C4B08" w:rsidP="00E14F35">
            <w:pPr>
              <w:rPr>
                <w:rFonts w:ascii="Bookman Old Style" w:hAnsi="Bookman Old Style" w:cs="Calibri"/>
                <w:sz w:val="18"/>
                <w:szCs w:val="18"/>
                <w:lang w:val="sv-FI"/>
              </w:rPr>
            </w:pPr>
            <w:r w:rsidRPr="008379CA">
              <w:rPr>
                <w:rFonts w:ascii="Bookman Old Style" w:hAnsi="Bookman Old Style" w:cs="Calibri"/>
                <w:b/>
                <w:bCs/>
                <w:sz w:val="18"/>
                <w:szCs w:val="18"/>
                <w:lang w:val="sv-FI"/>
              </w:rPr>
              <w:t>Sesuai</w:t>
            </w:r>
            <w:r w:rsidRPr="008379CA">
              <w:rPr>
                <w:rFonts w:ascii="Bookman Old Style" w:hAnsi="Bookman Old Style" w:cs="Calibri"/>
                <w:sz w:val="18"/>
                <w:szCs w:val="18"/>
                <w:lang w:val="sv-FI"/>
              </w:rPr>
              <w:br/>
              <w:t>(paling</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lambat</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1</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(satu)</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bulan</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sebelum</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dimulainya</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tahun</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anggaran</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berkenaan)</w:t>
            </w:r>
            <w:r w:rsidR="00A954D0" w:rsidRPr="008379CA">
              <w:rPr>
                <w:rFonts w:ascii="Bookman Old Style" w:hAnsi="Bookman Old Style" w:cs="Calibri"/>
                <w:sz w:val="18"/>
                <w:szCs w:val="18"/>
                <w:lang w:val="sv-FI"/>
              </w:rPr>
              <w:t xml:space="preserve"> </w:t>
            </w:r>
          </w:p>
        </w:tc>
      </w:tr>
      <w:tr w:rsidR="008379CA" w:rsidRPr="008379CA" w14:paraId="0BA9371D" w14:textId="77777777" w:rsidTr="00865FF3">
        <w:trPr>
          <w:trHeight w:val="283"/>
        </w:trPr>
        <w:tc>
          <w:tcPr>
            <w:tcW w:w="3222" w:type="dxa"/>
            <w:shd w:val="clear" w:color="auto" w:fill="auto"/>
            <w:noWrap/>
            <w:vAlign w:val="center"/>
          </w:tcPr>
          <w:p w14:paraId="416D0950" w14:textId="6D8C2C08" w:rsidR="008C4B08" w:rsidRPr="008379CA" w:rsidRDefault="008C4B08" w:rsidP="008C4B08">
            <w:pPr>
              <w:jc w:val="both"/>
              <w:rPr>
                <w:rFonts w:ascii="Bookman Old Style" w:hAnsi="Bookman Old Style" w:cs="Calibri"/>
                <w:sz w:val="18"/>
                <w:szCs w:val="18"/>
                <w:lang w:val="sv-FI"/>
              </w:rPr>
            </w:pPr>
            <w:r w:rsidRPr="008379CA">
              <w:rPr>
                <w:rFonts w:ascii="Bookman Old Style" w:hAnsi="Bookman Old Style" w:cs="Calibri"/>
                <w:sz w:val="18"/>
                <w:szCs w:val="18"/>
                <w:lang w:val="sv-FI"/>
              </w:rPr>
              <w:t>Penyampaian</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Rancangan</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Peraturan</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Daerah</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tentang</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APBD</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dan</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Rancangan</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Peraturan</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Kepala</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Daerah</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tentang</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Penjabaran</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APBD</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kepada</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Gubernur</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untuk</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lastRenderedPageBreak/>
              <w:t>dievaluasi</w:t>
            </w:r>
          </w:p>
        </w:tc>
        <w:tc>
          <w:tcPr>
            <w:tcW w:w="2619" w:type="dxa"/>
            <w:shd w:val="clear" w:color="auto" w:fill="auto"/>
            <w:noWrap/>
          </w:tcPr>
          <w:p w14:paraId="0F0B0F04" w14:textId="3030182D" w:rsidR="008C4B08" w:rsidRPr="008379CA" w:rsidRDefault="008C4B08" w:rsidP="00E14F35">
            <w:pPr>
              <w:rPr>
                <w:rFonts w:ascii="Bookman Old Style" w:hAnsi="Bookman Old Style" w:cs="Calibri"/>
                <w:sz w:val="18"/>
                <w:szCs w:val="18"/>
                <w:lang w:val="fi-FI"/>
              </w:rPr>
            </w:pPr>
            <w:r w:rsidRPr="008379CA">
              <w:rPr>
                <w:rFonts w:ascii="Bookman Old Style" w:hAnsi="Bookman Old Style" w:cs="Arial"/>
                <w:sz w:val="18"/>
                <w:szCs w:val="18"/>
              </w:rPr>
              <w:lastRenderedPageBreak/>
              <w:t>900.1.1/22580/XII/2024</w:t>
            </w:r>
          </w:p>
        </w:tc>
        <w:tc>
          <w:tcPr>
            <w:tcW w:w="1956" w:type="dxa"/>
            <w:shd w:val="clear" w:color="auto" w:fill="auto"/>
            <w:noWrap/>
          </w:tcPr>
          <w:p w14:paraId="6B505C3C" w14:textId="420282D8" w:rsidR="008C4B08" w:rsidRPr="008379CA" w:rsidRDefault="008C4B08" w:rsidP="00E14F35">
            <w:pPr>
              <w:jc w:val="both"/>
              <w:rPr>
                <w:rFonts w:ascii="Bookman Old Style" w:hAnsi="Bookman Old Style" w:cs="Calibri"/>
                <w:sz w:val="18"/>
                <w:szCs w:val="18"/>
                <w:lang w:val="fi-FI"/>
              </w:rPr>
            </w:pPr>
            <w:r w:rsidRPr="008379CA">
              <w:rPr>
                <w:rFonts w:ascii="Bookman Old Style" w:hAnsi="Bookman Old Style" w:cs="Arial"/>
                <w:sz w:val="18"/>
                <w:szCs w:val="18"/>
              </w:rPr>
              <w:t>02</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Desember</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2024</w:t>
            </w:r>
          </w:p>
        </w:tc>
        <w:tc>
          <w:tcPr>
            <w:tcW w:w="2410" w:type="dxa"/>
            <w:shd w:val="clear" w:color="auto" w:fill="auto"/>
            <w:noWrap/>
          </w:tcPr>
          <w:p w14:paraId="6C6F7A06" w14:textId="64F2B515" w:rsidR="008C4B08" w:rsidRPr="008379CA" w:rsidRDefault="008C4B08" w:rsidP="00E14F35">
            <w:pPr>
              <w:rPr>
                <w:rFonts w:ascii="Bookman Old Style" w:hAnsi="Bookman Old Style" w:cs="Calibri"/>
                <w:sz w:val="18"/>
                <w:szCs w:val="18"/>
                <w:lang w:val="it-IT"/>
              </w:rPr>
            </w:pPr>
            <w:r w:rsidRPr="008379CA">
              <w:rPr>
                <w:rFonts w:ascii="Bookman Old Style" w:hAnsi="Bookman Old Style" w:cs="Calibri"/>
                <w:b/>
                <w:bCs/>
                <w:sz w:val="18"/>
                <w:szCs w:val="18"/>
                <w:lang w:val="sv-FI"/>
              </w:rPr>
              <w:t>Sesuai</w:t>
            </w:r>
            <w:r w:rsidRPr="008379CA">
              <w:rPr>
                <w:rFonts w:ascii="Bookman Old Style" w:hAnsi="Bookman Old Style" w:cs="Calibri"/>
                <w:sz w:val="18"/>
                <w:szCs w:val="18"/>
                <w:lang w:val="it-IT"/>
              </w:rPr>
              <w:br/>
              <w:t>(disampaikan</w:t>
            </w:r>
            <w:r w:rsidR="00A954D0" w:rsidRPr="008379CA">
              <w:rPr>
                <w:rFonts w:ascii="Bookman Old Style" w:hAnsi="Bookman Old Style" w:cs="Calibri"/>
                <w:sz w:val="18"/>
                <w:szCs w:val="18"/>
                <w:lang w:val="it-IT"/>
              </w:rPr>
              <w:t xml:space="preserve"> </w:t>
            </w:r>
            <w:r w:rsidRPr="008379CA">
              <w:rPr>
                <w:rFonts w:ascii="Bookman Old Style" w:hAnsi="Bookman Old Style" w:cs="Calibri"/>
                <w:sz w:val="18"/>
                <w:szCs w:val="18"/>
                <w:lang w:val="it-IT"/>
              </w:rPr>
              <w:t>3</w:t>
            </w:r>
            <w:r w:rsidR="00A954D0" w:rsidRPr="008379CA">
              <w:rPr>
                <w:rFonts w:ascii="Bookman Old Style" w:hAnsi="Bookman Old Style" w:cs="Calibri"/>
                <w:sz w:val="18"/>
                <w:szCs w:val="18"/>
                <w:lang w:val="it-IT"/>
              </w:rPr>
              <w:t xml:space="preserve"> </w:t>
            </w:r>
            <w:r w:rsidRPr="008379CA">
              <w:rPr>
                <w:rFonts w:ascii="Bookman Old Style" w:hAnsi="Bookman Old Style" w:cs="Calibri"/>
                <w:sz w:val="18"/>
                <w:szCs w:val="18"/>
                <w:lang w:val="it-IT"/>
              </w:rPr>
              <w:t>(tiga)</w:t>
            </w:r>
            <w:r w:rsidR="00A954D0" w:rsidRPr="008379CA">
              <w:rPr>
                <w:rFonts w:ascii="Bookman Old Style" w:hAnsi="Bookman Old Style" w:cs="Calibri"/>
                <w:sz w:val="18"/>
                <w:szCs w:val="18"/>
                <w:lang w:val="it-IT"/>
              </w:rPr>
              <w:t xml:space="preserve"> </w:t>
            </w:r>
            <w:r w:rsidRPr="008379CA">
              <w:rPr>
                <w:rFonts w:ascii="Bookman Old Style" w:hAnsi="Bookman Old Style" w:cs="Calibri"/>
                <w:sz w:val="18"/>
                <w:szCs w:val="18"/>
                <w:lang w:val="it-IT"/>
              </w:rPr>
              <w:t>hari</w:t>
            </w:r>
            <w:r w:rsidR="00A954D0" w:rsidRPr="008379CA">
              <w:rPr>
                <w:rFonts w:ascii="Bookman Old Style" w:hAnsi="Bookman Old Style" w:cs="Calibri"/>
                <w:sz w:val="18"/>
                <w:szCs w:val="18"/>
                <w:lang w:val="it-IT"/>
              </w:rPr>
              <w:t xml:space="preserve"> </w:t>
            </w:r>
            <w:r w:rsidRPr="008379CA">
              <w:rPr>
                <w:rFonts w:ascii="Bookman Old Style" w:hAnsi="Bookman Old Style" w:cs="Calibri"/>
                <w:sz w:val="18"/>
                <w:szCs w:val="18"/>
                <w:lang w:val="it-IT"/>
              </w:rPr>
              <w:t>sejak</w:t>
            </w:r>
            <w:r w:rsidR="00A954D0" w:rsidRPr="008379CA">
              <w:rPr>
                <w:rFonts w:ascii="Bookman Old Style" w:hAnsi="Bookman Old Style" w:cs="Calibri"/>
                <w:sz w:val="18"/>
                <w:szCs w:val="18"/>
                <w:lang w:val="it-IT"/>
              </w:rPr>
              <w:t xml:space="preserve"> </w:t>
            </w:r>
            <w:r w:rsidRPr="008379CA">
              <w:rPr>
                <w:rFonts w:ascii="Bookman Old Style" w:hAnsi="Bookman Old Style" w:cs="Calibri"/>
                <w:sz w:val="18"/>
                <w:szCs w:val="18"/>
                <w:lang w:val="it-IT"/>
              </w:rPr>
              <w:t>tanggal</w:t>
            </w:r>
            <w:r w:rsidR="00A954D0" w:rsidRPr="008379CA">
              <w:rPr>
                <w:rFonts w:ascii="Bookman Old Style" w:hAnsi="Bookman Old Style" w:cs="Calibri"/>
                <w:sz w:val="18"/>
                <w:szCs w:val="18"/>
                <w:lang w:val="it-IT"/>
              </w:rPr>
              <w:t xml:space="preserve"> </w:t>
            </w:r>
            <w:r w:rsidRPr="008379CA">
              <w:rPr>
                <w:rFonts w:ascii="Bookman Old Style" w:hAnsi="Bookman Old Style" w:cs="Calibri"/>
                <w:sz w:val="18"/>
                <w:szCs w:val="18"/>
                <w:lang w:val="it-IT"/>
              </w:rPr>
              <w:t>persetujuan</w:t>
            </w:r>
            <w:r w:rsidR="00A954D0" w:rsidRPr="008379CA">
              <w:rPr>
                <w:rFonts w:ascii="Bookman Old Style" w:hAnsi="Bookman Old Style" w:cs="Calibri"/>
                <w:sz w:val="18"/>
                <w:szCs w:val="18"/>
                <w:lang w:val="it-IT"/>
              </w:rPr>
              <w:t xml:space="preserve"> </w:t>
            </w:r>
            <w:r w:rsidRPr="008379CA">
              <w:rPr>
                <w:rFonts w:ascii="Bookman Old Style" w:hAnsi="Bookman Old Style" w:cs="Calibri"/>
                <w:sz w:val="18"/>
                <w:szCs w:val="18"/>
                <w:lang w:val="it-IT"/>
              </w:rPr>
              <w:t>Rancangan</w:t>
            </w:r>
            <w:r w:rsidR="00A954D0" w:rsidRPr="008379CA">
              <w:rPr>
                <w:rFonts w:ascii="Bookman Old Style" w:hAnsi="Bookman Old Style" w:cs="Calibri"/>
                <w:sz w:val="18"/>
                <w:szCs w:val="18"/>
                <w:lang w:val="it-IT"/>
              </w:rPr>
              <w:t xml:space="preserve"> </w:t>
            </w:r>
            <w:r w:rsidRPr="008379CA">
              <w:rPr>
                <w:rFonts w:ascii="Bookman Old Style" w:hAnsi="Bookman Old Style" w:cs="Calibri"/>
                <w:sz w:val="18"/>
                <w:szCs w:val="18"/>
                <w:lang w:val="it-IT"/>
              </w:rPr>
              <w:t>Perda</w:t>
            </w:r>
            <w:r w:rsidR="00A954D0" w:rsidRPr="008379CA">
              <w:rPr>
                <w:rFonts w:ascii="Bookman Old Style" w:hAnsi="Bookman Old Style" w:cs="Calibri"/>
                <w:sz w:val="18"/>
                <w:szCs w:val="18"/>
                <w:lang w:val="it-IT"/>
              </w:rPr>
              <w:t xml:space="preserve"> </w:t>
            </w:r>
            <w:r w:rsidRPr="008379CA">
              <w:rPr>
                <w:rFonts w:ascii="Bookman Old Style" w:hAnsi="Bookman Old Style" w:cs="Calibri"/>
                <w:sz w:val="18"/>
                <w:szCs w:val="18"/>
                <w:lang w:val="it-IT"/>
              </w:rPr>
              <w:t>APBD)</w:t>
            </w:r>
          </w:p>
        </w:tc>
      </w:tr>
      <w:tr w:rsidR="008379CA" w:rsidRPr="008379CA" w14:paraId="7A61E6C3" w14:textId="77777777" w:rsidTr="00865FF3">
        <w:trPr>
          <w:trHeight w:val="283"/>
        </w:trPr>
        <w:tc>
          <w:tcPr>
            <w:tcW w:w="3222" w:type="dxa"/>
            <w:shd w:val="clear" w:color="auto" w:fill="auto"/>
            <w:noWrap/>
            <w:vAlign w:val="center"/>
          </w:tcPr>
          <w:p w14:paraId="30E8759F" w14:textId="7104C2F2" w:rsidR="008C4B08" w:rsidRPr="008379CA" w:rsidRDefault="008C4B08" w:rsidP="008C4B08">
            <w:pPr>
              <w:jc w:val="both"/>
              <w:rPr>
                <w:rFonts w:ascii="Bookman Old Style" w:hAnsi="Bookman Old Style" w:cs="Calibri"/>
                <w:sz w:val="18"/>
                <w:szCs w:val="18"/>
                <w:lang w:val="sv-FI"/>
              </w:rPr>
            </w:pPr>
            <w:r w:rsidRPr="008379CA">
              <w:rPr>
                <w:rFonts w:ascii="Bookman Old Style" w:hAnsi="Bookman Old Style" w:cs="Calibri"/>
                <w:sz w:val="18"/>
                <w:szCs w:val="18"/>
                <w:lang w:val="sv-FI"/>
              </w:rPr>
              <w:t>Dokumen</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evaluasi</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diterima</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lengkap</w:t>
            </w:r>
            <w:r w:rsidR="00A954D0" w:rsidRPr="008379CA">
              <w:rPr>
                <w:rFonts w:ascii="Bookman Old Style" w:hAnsi="Bookman Old Style" w:cs="Calibri"/>
                <w:sz w:val="18"/>
                <w:szCs w:val="18"/>
                <w:lang w:val="sv-FI"/>
              </w:rPr>
              <w:t xml:space="preserve"> </w:t>
            </w:r>
          </w:p>
        </w:tc>
        <w:tc>
          <w:tcPr>
            <w:tcW w:w="2619" w:type="dxa"/>
            <w:shd w:val="clear" w:color="auto" w:fill="auto"/>
            <w:noWrap/>
          </w:tcPr>
          <w:p w14:paraId="60F517BF" w14:textId="77777777" w:rsidR="008C4B08" w:rsidRPr="008379CA" w:rsidRDefault="008C4B08" w:rsidP="00E14F35">
            <w:pPr>
              <w:rPr>
                <w:rFonts w:ascii="Bookman Old Style" w:hAnsi="Bookman Old Style" w:cs="Calibri"/>
                <w:sz w:val="18"/>
                <w:szCs w:val="18"/>
                <w:lang w:val="fi-FI"/>
              </w:rPr>
            </w:pPr>
          </w:p>
        </w:tc>
        <w:tc>
          <w:tcPr>
            <w:tcW w:w="1956" w:type="dxa"/>
            <w:shd w:val="clear" w:color="auto" w:fill="auto"/>
            <w:noWrap/>
          </w:tcPr>
          <w:p w14:paraId="359CE310" w14:textId="7E289017" w:rsidR="008C4B08" w:rsidRPr="008379CA" w:rsidRDefault="008C4B08" w:rsidP="00E14F35">
            <w:pPr>
              <w:jc w:val="both"/>
              <w:rPr>
                <w:rFonts w:ascii="Bookman Old Style" w:hAnsi="Bookman Old Style" w:cs="Calibri"/>
                <w:sz w:val="18"/>
                <w:szCs w:val="18"/>
                <w:lang w:val="fi-FI"/>
              </w:rPr>
            </w:pPr>
            <w:r w:rsidRPr="008379CA">
              <w:rPr>
                <w:rFonts w:ascii="Bookman Old Style" w:hAnsi="Bookman Old Style" w:cs="Arial"/>
                <w:sz w:val="18"/>
                <w:szCs w:val="18"/>
              </w:rPr>
              <w:t>02</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Desember</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2024</w:t>
            </w:r>
          </w:p>
        </w:tc>
        <w:tc>
          <w:tcPr>
            <w:tcW w:w="2410" w:type="dxa"/>
            <w:shd w:val="clear" w:color="auto" w:fill="auto"/>
            <w:noWrap/>
          </w:tcPr>
          <w:p w14:paraId="5EBFAD22" w14:textId="77777777" w:rsidR="008C4B08" w:rsidRPr="008379CA" w:rsidRDefault="008C4B08" w:rsidP="00E14F35">
            <w:pPr>
              <w:rPr>
                <w:rFonts w:ascii="Bookman Old Style" w:hAnsi="Bookman Old Style" w:cs="Calibri"/>
                <w:b/>
                <w:bCs/>
                <w:sz w:val="18"/>
                <w:szCs w:val="18"/>
                <w:lang w:val="sv-FI"/>
              </w:rPr>
            </w:pPr>
          </w:p>
        </w:tc>
      </w:tr>
    </w:tbl>
    <w:p w14:paraId="4E0B4F3D" w14:textId="4DEF576D" w:rsidR="00B41D0B" w:rsidRPr="008379CA" w:rsidRDefault="009E1BFC" w:rsidP="00E14F35">
      <w:pPr>
        <w:pStyle w:val="ListParagraph"/>
        <w:spacing w:before="120" w:after="0" w:line="276" w:lineRule="auto"/>
        <w:ind w:left="993"/>
        <w:contextualSpacing w:val="0"/>
        <w:jc w:val="both"/>
        <w:rPr>
          <w:rFonts w:ascii="Bookman Old Style" w:hAnsi="Bookman Old Style"/>
          <w:sz w:val="24"/>
          <w:szCs w:val="24"/>
          <w:lang w:val="it-IT"/>
        </w:rPr>
      </w:pPr>
      <w:r w:rsidRPr="008379CA">
        <w:rPr>
          <w:rFonts w:ascii="Bookman Old Style" w:hAnsi="Bookman Old Style"/>
          <w:sz w:val="24"/>
          <w:szCs w:val="24"/>
          <w:lang w:val="id-ID"/>
        </w:rPr>
        <w:t>Berdasarkan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tabel</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sebagaimana</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di</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atas,</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Pemerintah</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t-IT"/>
        </w:rPr>
        <w:t>Daerah</w:t>
      </w:r>
      <w:r w:rsidR="00A954D0" w:rsidRPr="008379CA">
        <w:rPr>
          <w:rFonts w:ascii="Bookman Old Style" w:hAnsi="Bookman Old Style"/>
          <w:sz w:val="24"/>
          <w:szCs w:val="24"/>
          <w:lang w:val="it-IT"/>
        </w:rPr>
        <w:t xml:space="preserve"> </w:t>
      </w:r>
      <w:r w:rsidR="00B055C5"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00770F22"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00A26EEF" w:rsidRPr="008379CA">
        <w:rPr>
          <w:rFonts w:ascii="Bookman Old Style" w:hAnsi="Bookman Old Style"/>
          <w:b/>
          <w:bCs/>
          <w:sz w:val="24"/>
          <w:szCs w:val="24"/>
          <w:lang w:val="fi-FI"/>
        </w:rPr>
        <w:t>belum</w:t>
      </w:r>
      <w:r w:rsidR="00A954D0" w:rsidRPr="008379CA">
        <w:rPr>
          <w:rFonts w:ascii="Bookman Old Style" w:hAnsi="Bookman Old Style"/>
          <w:b/>
          <w:bCs/>
          <w:sz w:val="24"/>
          <w:szCs w:val="24"/>
          <w:lang w:val="fi-FI"/>
        </w:rPr>
        <w:t xml:space="preserve"> </w:t>
      </w:r>
      <w:r w:rsidR="00A26EEF" w:rsidRPr="008379CA">
        <w:rPr>
          <w:rFonts w:ascii="Bookman Old Style" w:hAnsi="Bookman Old Style"/>
          <w:b/>
          <w:bCs/>
          <w:sz w:val="24"/>
          <w:szCs w:val="24"/>
          <w:lang w:val="fi-FI"/>
        </w:rPr>
        <w:t>seluruhnya</w:t>
      </w:r>
      <w:r w:rsidR="00A954D0" w:rsidRPr="008379CA">
        <w:rPr>
          <w:rFonts w:ascii="Bookman Old Style" w:hAnsi="Bookman Old Style"/>
          <w:b/>
          <w:bCs/>
          <w:sz w:val="24"/>
          <w:szCs w:val="24"/>
          <w:lang w:val="fi-FI"/>
        </w:rPr>
        <w:t xml:space="preserve"> </w:t>
      </w:r>
      <w:r w:rsidR="006E5E56" w:rsidRPr="008379CA">
        <w:rPr>
          <w:rFonts w:ascii="Bookman Old Style" w:hAnsi="Bookman Old Style"/>
          <w:b/>
          <w:bCs/>
          <w:sz w:val="24"/>
          <w:szCs w:val="24"/>
          <w:lang w:val="fi-FI"/>
        </w:rPr>
        <w:t>memenuhi</w:t>
      </w:r>
      <w:r w:rsidR="00A954D0" w:rsidRPr="008379CA">
        <w:rPr>
          <w:rFonts w:ascii="Bookman Old Style" w:hAnsi="Bookman Old Style"/>
          <w:sz w:val="24"/>
          <w:szCs w:val="24"/>
          <w:lang w:val="fi-FI"/>
        </w:rPr>
        <w:t xml:space="preserve"> </w:t>
      </w:r>
      <w:r w:rsidR="006E5E56" w:rsidRPr="008379CA">
        <w:rPr>
          <w:rFonts w:ascii="Bookman Old Style" w:hAnsi="Bookman Old Style"/>
          <w:sz w:val="24"/>
          <w:szCs w:val="24"/>
          <w:lang w:val="fi-FI"/>
        </w:rPr>
        <w:t>tahapan</w:t>
      </w:r>
      <w:r w:rsidR="00A954D0" w:rsidRPr="008379CA">
        <w:rPr>
          <w:rFonts w:ascii="Bookman Old Style" w:hAnsi="Bookman Old Style"/>
          <w:sz w:val="24"/>
          <w:szCs w:val="24"/>
          <w:lang w:val="fi-FI"/>
        </w:rPr>
        <w:t xml:space="preserve"> </w:t>
      </w:r>
      <w:r w:rsidR="006E5E56" w:rsidRPr="008379CA">
        <w:rPr>
          <w:rFonts w:ascii="Bookman Old Style" w:hAnsi="Bookman Old Style"/>
          <w:sz w:val="24"/>
          <w:szCs w:val="24"/>
          <w:lang w:val="fi-FI"/>
        </w:rPr>
        <w:t>dan</w:t>
      </w:r>
      <w:r w:rsidR="00A954D0" w:rsidRPr="008379CA">
        <w:rPr>
          <w:rFonts w:ascii="Bookman Old Style" w:hAnsi="Bookman Old Style"/>
          <w:sz w:val="24"/>
          <w:szCs w:val="24"/>
          <w:lang w:val="fi-FI"/>
        </w:rPr>
        <w:t xml:space="preserve"> </w:t>
      </w:r>
      <w:r w:rsidR="006E5E56" w:rsidRPr="008379CA">
        <w:rPr>
          <w:rFonts w:ascii="Bookman Old Style" w:hAnsi="Bookman Old Style"/>
          <w:sz w:val="24"/>
          <w:szCs w:val="24"/>
          <w:lang w:val="fi-FI"/>
        </w:rPr>
        <w:t>jadwal</w:t>
      </w:r>
      <w:r w:rsidR="00A954D0" w:rsidRPr="008379CA">
        <w:rPr>
          <w:rFonts w:ascii="Bookman Old Style" w:hAnsi="Bookman Old Style"/>
          <w:sz w:val="24"/>
          <w:szCs w:val="24"/>
          <w:lang w:val="fi-FI"/>
        </w:rPr>
        <w:t xml:space="preserve"> </w:t>
      </w:r>
      <w:r w:rsidR="006E5E56" w:rsidRPr="008379CA">
        <w:rPr>
          <w:rFonts w:ascii="Bookman Old Style" w:hAnsi="Bookman Old Style"/>
          <w:sz w:val="24"/>
          <w:szCs w:val="24"/>
          <w:lang w:val="fi-FI"/>
        </w:rPr>
        <w:t>proses</w:t>
      </w:r>
      <w:r w:rsidR="00A954D0" w:rsidRPr="008379CA">
        <w:rPr>
          <w:rFonts w:ascii="Bookman Old Style" w:hAnsi="Bookman Old Style"/>
          <w:sz w:val="24"/>
          <w:szCs w:val="24"/>
          <w:lang w:val="fi-FI"/>
        </w:rPr>
        <w:t xml:space="preserve"> </w:t>
      </w:r>
      <w:r w:rsidR="006E5E56" w:rsidRPr="008379CA">
        <w:rPr>
          <w:rFonts w:ascii="Bookman Old Style" w:hAnsi="Bookman Old Style"/>
          <w:sz w:val="24"/>
          <w:szCs w:val="24"/>
          <w:lang w:val="fi-FI"/>
        </w:rPr>
        <w:t>penyusunan</w:t>
      </w:r>
      <w:r w:rsidR="00A954D0" w:rsidRPr="008379CA">
        <w:rPr>
          <w:rFonts w:ascii="Bookman Old Style" w:hAnsi="Bookman Old Style"/>
          <w:sz w:val="24"/>
          <w:szCs w:val="24"/>
          <w:lang w:val="fi-FI"/>
        </w:rPr>
        <w:t xml:space="preserve"> </w:t>
      </w:r>
      <w:r w:rsidR="006E5E56" w:rsidRPr="008379CA">
        <w:rPr>
          <w:rFonts w:ascii="Bookman Old Style" w:hAnsi="Bookman Old Style"/>
          <w:sz w:val="24"/>
          <w:szCs w:val="24"/>
          <w:lang w:val="fi-FI"/>
        </w:rPr>
        <w:t>APBD</w:t>
      </w:r>
      <w:r w:rsidR="00A954D0" w:rsidRPr="008379CA">
        <w:rPr>
          <w:rFonts w:ascii="Bookman Old Style" w:hAnsi="Bookman Old Style"/>
          <w:sz w:val="24"/>
          <w:szCs w:val="24"/>
          <w:lang w:val="fi-FI"/>
        </w:rPr>
        <w:t xml:space="preserve"> </w:t>
      </w:r>
      <w:r w:rsidR="006E5E56" w:rsidRPr="008379CA">
        <w:rPr>
          <w:rFonts w:ascii="Bookman Old Style" w:hAnsi="Bookman Old Style"/>
          <w:sz w:val="24"/>
          <w:szCs w:val="24"/>
          <w:lang w:val="fi-FI"/>
        </w:rPr>
        <w:t>Tahun</w:t>
      </w:r>
      <w:r w:rsidR="00A954D0" w:rsidRPr="008379CA">
        <w:rPr>
          <w:rFonts w:ascii="Bookman Old Style" w:hAnsi="Bookman Old Style"/>
          <w:sz w:val="24"/>
          <w:szCs w:val="24"/>
          <w:lang w:val="fi-FI"/>
        </w:rPr>
        <w:t xml:space="preserve"> </w:t>
      </w:r>
      <w:r w:rsidR="006E5E56" w:rsidRPr="008379CA">
        <w:rPr>
          <w:rFonts w:ascii="Bookman Old Style" w:hAnsi="Bookman Old Style"/>
          <w:sz w:val="24"/>
          <w:szCs w:val="24"/>
          <w:lang w:val="fi-FI"/>
        </w:rPr>
        <w:t>Anggaran</w:t>
      </w:r>
      <w:r w:rsidR="00A954D0" w:rsidRPr="008379CA">
        <w:rPr>
          <w:rFonts w:ascii="Bookman Old Style" w:hAnsi="Bookman Old Style"/>
          <w:sz w:val="24"/>
          <w:szCs w:val="24"/>
          <w:lang w:val="fi-FI"/>
        </w:rPr>
        <w:t xml:space="preserve"> </w:t>
      </w:r>
      <w:r w:rsidR="006E5E56" w:rsidRPr="008379CA">
        <w:rPr>
          <w:rFonts w:ascii="Bookman Old Style" w:hAnsi="Bookman Old Style"/>
          <w:sz w:val="24"/>
          <w:szCs w:val="24"/>
          <w:lang w:val="fi-FI"/>
        </w:rPr>
        <w:t>202</w:t>
      </w:r>
      <w:r w:rsidR="00697BCE" w:rsidRPr="008379CA">
        <w:rPr>
          <w:rFonts w:ascii="Bookman Old Style" w:hAnsi="Bookman Old Style"/>
          <w:sz w:val="24"/>
          <w:szCs w:val="24"/>
          <w:lang w:val="fi-FI"/>
        </w:rPr>
        <w:t>5</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it-IT"/>
        </w:rPr>
        <w:t>sebagaimana</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maksud</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Bab</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III.A.1.d.</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Lampiran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Peraturan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Menteri</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Dalam</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Negeri</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Nomor</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77</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Tahun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2020</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tentang</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Pedoman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Teknis</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Pengelolaan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Keuangan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Daerah</w:t>
      </w:r>
      <w:r w:rsidR="00A954D0" w:rsidRPr="008379CA">
        <w:rPr>
          <w:rFonts w:ascii="Bookman Old Style" w:hAnsi="Bookman Old Style"/>
          <w:sz w:val="24"/>
          <w:szCs w:val="24"/>
          <w:lang w:val="it-IT"/>
        </w:rPr>
        <w:t xml:space="preserve"> </w:t>
      </w:r>
      <w:r w:rsidR="00D407AC" w:rsidRPr="008379CA">
        <w:rPr>
          <w:rFonts w:ascii="Bookman Old Style" w:hAnsi="Bookman Old Style"/>
          <w:sz w:val="24"/>
          <w:szCs w:val="24"/>
          <w:lang w:val="fi-FI"/>
        </w:rPr>
        <w:t>dan</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Pasal</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17</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Peraturan</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Menteri</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Dalam</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Negeri</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Nomor</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9</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Tahun</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2021</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tentang</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Tata</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Cara</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Evaluasi</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Rancangan</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Peraturan</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Daerah</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tentang</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Anggaran</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Pendapatan</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dan</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Belanja</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Daerah,</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Rancangan</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Peraturan</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Daerah</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tentang</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Perubahan</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Anggaran</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Pendapatan</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dan</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Belanja</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Daerah,</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Rancangan</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Peraturan</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Kepala</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Daerah</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tentang</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Penjabaran</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Anggaran</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Pendapatan</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dan</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Belanja</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Daerah,</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dan</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Rancangan</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Peraturan</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Kepala</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Daerah</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tentang</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Penjabaran</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Perubahan</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Anggaran</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Pendapatan</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dan</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Belanja</w:t>
      </w:r>
      <w:r w:rsidR="00A954D0" w:rsidRPr="008379CA">
        <w:rPr>
          <w:rFonts w:ascii="Bookman Old Style" w:hAnsi="Bookman Old Style"/>
          <w:sz w:val="24"/>
          <w:szCs w:val="24"/>
          <w:lang w:val="fi-FI"/>
        </w:rPr>
        <w:t xml:space="preserve"> </w:t>
      </w:r>
      <w:r w:rsidR="00D407AC" w:rsidRPr="008379CA">
        <w:rPr>
          <w:rFonts w:ascii="Bookman Old Style" w:hAnsi="Bookman Old Style"/>
          <w:sz w:val="24"/>
          <w:szCs w:val="24"/>
          <w:lang w:val="fi-FI"/>
        </w:rPr>
        <w:t>Daerah.</w:t>
      </w:r>
    </w:p>
    <w:p w14:paraId="77DEA4FD" w14:textId="179C38E5" w:rsidR="00123D24" w:rsidRPr="008379CA" w:rsidRDefault="00244B3E" w:rsidP="00E14F35">
      <w:pPr>
        <w:pStyle w:val="ListParagraph"/>
        <w:spacing w:before="120" w:after="0" w:line="276" w:lineRule="auto"/>
        <w:ind w:left="993"/>
        <w:contextualSpacing w:val="0"/>
        <w:jc w:val="both"/>
        <w:rPr>
          <w:rFonts w:ascii="Bookman Old Style" w:hAnsi="Bookman Old Style"/>
          <w:sz w:val="24"/>
          <w:szCs w:val="24"/>
          <w:lang w:val="it-IT"/>
        </w:rPr>
      </w:pPr>
      <w:r w:rsidRPr="008379CA">
        <w:rPr>
          <w:rFonts w:ascii="Bookman Old Style" w:hAnsi="Bookman Old Style"/>
          <w:sz w:val="24"/>
          <w:szCs w:val="24"/>
          <w:lang w:val="fi-FI"/>
        </w:rPr>
        <w:t>Berkaitan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dengan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hal</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tersebut</w:t>
      </w:r>
      <w:r w:rsidR="00123D24" w:rsidRPr="008379CA">
        <w:rPr>
          <w:rFonts w:ascii="Bookman Old Style" w:hAnsi="Bookman Old Style"/>
          <w:sz w:val="24"/>
          <w:szCs w:val="24"/>
          <w:lang w:val="fi-FI"/>
        </w:rPr>
        <w:t>,</w:t>
      </w:r>
      <w:r w:rsidR="00A954D0" w:rsidRPr="008379CA">
        <w:rPr>
          <w:rFonts w:ascii="Bookman Old Style" w:hAnsi="Bookman Old Style"/>
          <w:sz w:val="24"/>
          <w:szCs w:val="24"/>
          <w:lang w:val="fi-FI"/>
        </w:rPr>
        <w:t xml:space="preserve"> </w:t>
      </w:r>
      <w:r w:rsidR="00123D24" w:rsidRPr="008379CA">
        <w:rPr>
          <w:rFonts w:ascii="Bookman Old Style" w:hAnsi="Bookman Old Style"/>
          <w:sz w:val="24"/>
          <w:szCs w:val="24"/>
          <w:lang w:val="id-ID"/>
        </w:rPr>
        <w:t>Pemerintah</w:t>
      </w:r>
      <w:r w:rsidR="00A954D0" w:rsidRPr="008379CA">
        <w:rPr>
          <w:rFonts w:ascii="Bookman Old Style" w:hAnsi="Bookman Old Style"/>
          <w:sz w:val="24"/>
          <w:szCs w:val="24"/>
          <w:lang w:val="id-ID"/>
        </w:rPr>
        <w:t xml:space="preserve"> </w:t>
      </w:r>
      <w:r w:rsidR="00123D24" w:rsidRPr="008379CA">
        <w:rPr>
          <w:rFonts w:ascii="Bookman Old Style" w:hAnsi="Bookman Old Style"/>
          <w:sz w:val="24"/>
          <w:szCs w:val="24"/>
          <w:lang w:val="it-IT"/>
        </w:rPr>
        <w:t>Daerah</w:t>
      </w:r>
      <w:r w:rsidR="00A954D0" w:rsidRPr="008379CA">
        <w:rPr>
          <w:rFonts w:ascii="Bookman Old Style" w:hAnsi="Bookman Old Style"/>
          <w:sz w:val="24"/>
          <w:szCs w:val="24"/>
          <w:lang w:val="it-IT"/>
        </w:rPr>
        <w:t xml:space="preserve"> </w:t>
      </w:r>
      <w:r w:rsidR="00B055C5"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00770F22"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00123D24" w:rsidRPr="008379CA">
        <w:rPr>
          <w:rFonts w:ascii="Bookman Old Style" w:hAnsi="Bookman Old Style"/>
          <w:sz w:val="24"/>
          <w:szCs w:val="24"/>
          <w:lang w:val="fi-FI"/>
        </w:rPr>
        <w:t>agar</w:t>
      </w:r>
      <w:r w:rsidR="00A954D0" w:rsidRPr="008379CA">
        <w:rPr>
          <w:rFonts w:ascii="Bookman Old Style" w:hAnsi="Bookman Old Style"/>
          <w:sz w:val="24"/>
          <w:szCs w:val="24"/>
          <w:lang w:val="fi-FI"/>
        </w:rPr>
        <w:t xml:space="preserve"> </w:t>
      </w:r>
      <w:r w:rsidR="00123D24" w:rsidRPr="008379CA">
        <w:rPr>
          <w:rFonts w:ascii="Bookman Old Style" w:hAnsi="Bookman Old Style"/>
          <w:sz w:val="24"/>
          <w:szCs w:val="24"/>
          <w:lang w:val="it-IT"/>
        </w:rPr>
        <w:t>secara</w:t>
      </w:r>
      <w:r w:rsidR="00A954D0" w:rsidRPr="008379CA">
        <w:rPr>
          <w:rFonts w:ascii="Bookman Old Style" w:hAnsi="Bookman Old Style"/>
          <w:sz w:val="24"/>
          <w:szCs w:val="24"/>
          <w:lang w:val="it-IT"/>
        </w:rPr>
        <w:t xml:space="preserve"> </w:t>
      </w:r>
      <w:r w:rsidR="00123D24" w:rsidRPr="008379CA">
        <w:rPr>
          <w:rFonts w:ascii="Bookman Old Style" w:hAnsi="Bookman Old Style"/>
          <w:sz w:val="24"/>
          <w:szCs w:val="24"/>
          <w:lang w:val="it-IT"/>
        </w:rPr>
        <w:t>konsisten</w:t>
      </w:r>
      <w:r w:rsidR="00A954D0" w:rsidRPr="008379CA">
        <w:rPr>
          <w:rFonts w:ascii="Bookman Old Style" w:hAnsi="Bookman Old Style"/>
          <w:sz w:val="24"/>
          <w:szCs w:val="24"/>
          <w:lang w:val="it-IT"/>
        </w:rPr>
        <w:t xml:space="preserve"> </w:t>
      </w:r>
      <w:r w:rsidR="00123D24" w:rsidRPr="008379CA">
        <w:rPr>
          <w:rFonts w:ascii="Bookman Old Style" w:hAnsi="Bookman Old Style"/>
          <w:sz w:val="24"/>
          <w:szCs w:val="24"/>
          <w:lang w:val="it-IT"/>
        </w:rPr>
        <w:t>mematuhi</w:t>
      </w:r>
      <w:r w:rsidR="00A954D0" w:rsidRPr="008379CA">
        <w:rPr>
          <w:rFonts w:ascii="Bookman Old Style" w:hAnsi="Bookman Old Style" w:cs="Arial"/>
          <w:sz w:val="24"/>
          <w:szCs w:val="24"/>
          <w:lang w:val="id-ID"/>
        </w:rPr>
        <w:t xml:space="preserve"> </w:t>
      </w:r>
      <w:r w:rsidR="00123D24" w:rsidRPr="008379CA">
        <w:rPr>
          <w:rFonts w:ascii="Bookman Old Style" w:hAnsi="Bookman Old Style" w:cs="Arial"/>
          <w:sz w:val="24"/>
          <w:szCs w:val="24"/>
          <w:lang w:val="id-ID"/>
        </w:rPr>
        <w:t>tahapan</w:t>
      </w:r>
      <w:r w:rsidR="00A954D0" w:rsidRPr="008379CA">
        <w:rPr>
          <w:rFonts w:ascii="Bookman Old Style" w:hAnsi="Bookman Old Style"/>
          <w:sz w:val="24"/>
          <w:szCs w:val="24"/>
          <w:lang w:val="fi-FI"/>
        </w:rPr>
        <w:t xml:space="preserve"> </w:t>
      </w:r>
      <w:r w:rsidR="00123D24" w:rsidRPr="008379CA">
        <w:rPr>
          <w:rFonts w:ascii="Bookman Old Style" w:hAnsi="Bookman Old Style"/>
          <w:sz w:val="24"/>
          <w:szCs w:val="24"/>
          <w:lang w:val="fi-FI"/>
        </w:rPr>
        <w:t>dan</w:t>
      </w:r>
      <w:r w:rsidR="00A954D0" w:rsidRPr="008379CA">
        <w:rPr>
          <w:rFonts w:ascii="Bookman Old Style" w:hAnsi="Bookman Old Style"/>
          <w:sz w:val="24"/>
          <w:szCs w:val="24"/>
          <w:lang w:val="fi-FI"/>
        </w:rPr>
        <w:t xml:space="preserve"> </w:t>
      </w:r>
      <w:r w:rsidR="00123D24" w:rsidRPr="008379CA">
        <w:rPr>
          <w:rFonts w:ascii="Bookman Old Style" w:hAnsi="Bookman Old Style"/>
          <w:sz w:val="24"/>
          <w:szCs w:val="24"/>
          <w:lang w:val="fi-FI"/>
        </w:rPr>
        <w:t>jadwal</w:t>
      </w:r>
      <w:r w:rsidR="00A954D0" w:rsidRPr="008379CA">
        <w:rPr>
          <w:rFonts w:ascii="Bookman Old Style" w:hAnsi="Bookman Old Style"/>
          <w:sz w:val="24"/>
          <w:szCs w:val="24"/>
          <w:lang w:val="fi-FI"/>
        </w:rPr>
        <w:t xml:space="preserve"> </w:t>
      </w:r>
      <w:r w:rsidR="00123D24" w:rsidRPr="008379CA">
        <w:rPr>
          <w:rFonts w:ascii="Bookman Old Style" w:hAnsi="Bookman Old Style"/>
          <w:sz w:val="24"/>
          <w:szCs w:val="24"/>
          <w:lang w:val="fi-FI"/>
        </w:rPr>
        <w:t>proses</w:t>
      </w:r>
      <w:r w:rsidR="00A954D0" w:rsidRPr="008379CA">
        <w:rPr>
          <w:rFonts w:ascii="Bookman Old Style" w:hAnsi="Bookman Old Style"/>
          <w:sz w:val="24"/>
          <w:szCs w:val="24"/>
          <w:lang w:val="fi-FI"/>
        </w:rPr>
        <w:t xml:space="preserve"> </w:t>
      </w:r>
      <w:r w:rsidR="00123D24" w:rsidRPr="008379CA">
        <w:rPr>
          <w:rFonts w:ascii="Bookman Old Style" w:hAnsi="Bookman Old Style"/>
          <w:sz w:val="24"/>
          <w:szCs w:val="24"/>
          <w:lang w:val="fi-FI"/>
        </w:rPr>
        <w:t>penyusunan</w:t>
      </w:r>
      <w:r w:rsidR="00A954D0" w:rsidRPr="008379CA">
        <w:rPr>
          <w:rFonts w:ascii="Bookman Old Style" w:hAnsi="Bookman Old Style"/>
          <w:sz w:val="24"/>
          <w:szCs w:val="24"/>
          <w:lang w:val="fi-FI"/>
        </w:rPr>
        <w:t xml:space="preserve"> </w:t>
      </w:r>
      <w:r w:rsidR="00123D24" w:rsidRPr="008379CA">
        <w:rPr>
          <w:rFonts w:ascii="Bookman Old Style" w:hAnsi="Bookman Old Style"/>
          <w:sz w:val="24"/>
          <w:szCs w:val="24"/>
          <w:lang w:val="fi-FI"/>
        </w:rPr>
        <w:t>APBD</w:t>
      </w:r>
      <w:r w:rsidR="00A954D0" w:rsidRPr="008379CA">
        <w:rPr>
          <w:rFonts w:ascii="Bookman Old Style" w:hAnsi="Bookman Old Style"/>
          <w:sz w:val="24"/>
          <w:szCs w:val="24"/>
          <w:lang w:val="fi-FI"/>
        </w:rPr>
        <w:t xml:space="preserve"> </w:t>
      </w:r>
      <w:r w:rsidR="00123D24" w:rsidRPr="008379CA">
        <w:rPr>
          <w:rFonts w:ascii="Bookman Old Style" w:hAnsi="Bookman Old Style"/>
          <w:sz w:val="24"/>
          <w:szCs w:val="24"/>
          <w:lang w:val="it-IT"/>
        </w:rPr>
        <w:t>Tahun</w:t>
      </w:r>
      <w:r w:rsidR="00A954D0" w:rsidRPr="008379CA">
        <w:rPr>
          <w:rFonts w:ascii="Bookman Old Style" w:hAnsi="Bookman Old Style"/>
          <w:sz w:val="24"/>
          <w:szCs w:val="24"/>
          <w:lang w:val="it-IT"/>
        </w:rPr>
        <w:t xml:space="preserve"> </w:t>
      </w:r>
      <w:r w:rsidR="00123D24" w:rsidRPr="008379CA">
        <w:rPr>
          <w:rFonts w:ascii="Bookman Old Style" w:hAnsi="Bookman Old Style"/>
          <w:sz w:val="24"/>
          <w:szCs w:val="24"/>
          <w:lang w:val="it-IT"/>
        </w:rPr>
        <w:t>Anggaran</w:t>
      </w:r>
      <w:r w:rsidR="00A954D0" w:rsidRPr="008379CA">
        <w:rPr>
          <w:rFonts w:ascii="Bookman Old Style" w:hAnsi="Bookman Old Style"/>
          <w:sz w:val="24"/>
          <w:szCs w:val="24"/>
          <w:lang w:val="it-IT"/>
        </w:rPr>
        <w:t xml:space="preserve"> </w:t>
      </w:r>
      <w:r w:rsidR="00123D24" w:rsidRPr="008379CA">
        <w:rPr>
          <w:rFonts w:ascii="Bookman Old Style" w:hAnsi="Bookman Old Style"/>
          <w:sz w:val="24"/>
          <w:szCs w:val="24"/>
          <w:lang w:val="it-IT"/>
        </w:rPr>
        <w:t>202</w:t>
      </w:r>
      <w:r w:rsidR="00FF29B5" w:rsidRPr="008379CA">
        <w:rPr>
          <w:rFonts w:ascii="Bookman Old Style" w:hAnsi="Bookman Old Style"/>
          <w:sz w:val="24"/>
          <w:szCs w:val="24"/>
          <w:lang w:val="it-IT"/>
        </w:rPr>
        <w:t>5</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d-ID"/>
        </w:rPr>
        <w:t>mulai</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dari</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RKPD,</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KUA,</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PPAS</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Rancangan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Peraturan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Daerah</w:t>
      </w:r>
      <w:r w:rsidR="00A954D0" w:rsidRPr="008379CA">
        <w:rPr>
          <w:rFonts w:ascii="Bookman Old Style" w:hAnsi="Bookman Old Style"/>
          <w:sz w:val="24"/>
          <w:szCs w:val="24"/>
          <w:lang w:val="id-ID"/>
        </w:rPr>
        <w:t xml:space="preserve"> </w:t>
      </w:r>
      <w:r w:rsidR="00B055C5"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00770F22"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id-ID"/>
        </w:rPr>
        <w:t>tentang</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APBD</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Tahun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Anggaran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2025</w:t>
      </w:r>
      <w:r w:rsidRPr="008379CA">
        <w:rPr>
          <w:rFonts w:ascii="Bookman Old Style" w:hAnsi="Bookman Old Style"/>
          <w:sz w:val="24"/>
          <w:szCs w:val="24"/>
          <w:lang w:val="fi-FI"/>
        </w:rPr>
        <w:t>,</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sebagaimana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maksud</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butir</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4.1.9</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Lampiran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Peraturan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Menteri</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Dalam</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Negeri</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Nomor</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15</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Tahun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2024</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tentang</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Pedoman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Penyusunan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Anggaran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Pendapatan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id-ID"/>
        </w:rPr>
        <w:t>Belanja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Daerah</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Tahun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Anggaran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2025</w:t>
      </w:r>
      <w:r w:rsidR="00123D24" w:rsidRPr="008379CA">
        <w:rPr>
          <w:rFonts w:ascii="Bookman Old Style" w:hAnsi="Bookman Old Style"/>
          <w:sz w:val="24"/>
          <w:szCs w:val="24"/>
          <w:lang w:val="fi-FI"/>
        </w:rPr>
        <w:t>.</w:t>
      </w:r>
    </w:p>
    <w:p w14:paraId="47DC1DCB" w14:textId="6687A84B" w:rsidR="005447F8" w:rsidRPr="008379CA" w:rsidRDefault="005447F8" w:rsidP="00E14F35">
      <w:pPr>
        <w:pStyle w:val="ListParagraph"/>
        <w:spacing w:before="120" w:after="0" w:line="276" w:lineRule="auto"/>
        <w:ind w:left="993"/>
        <w:contextualSpacing w:val="0"/>
        <w:jc w:val="both"/>
        <w:rPr>
          <w:rFonts w:ascii="Bookman Old Style" w:hAnsi="Bookman Old Style"/>
          <w:sz w:val="24"/>
          <w:szCs w:val="24"/>
          <w:lang w:val="it-IT"/>
        </w:rPr>
      </w:pPr>
      <w:r w:rsidRPr="008379CA">
        <w:rPr>
          <w:rFonts w:ascii="Bookman Old Style" w:hAnsi="Bookman Old Style"/>
          <w:sz w:val="24"/>
          <w:szCs w:val="24"/>
          <w:lang w:val="fi-FI"/>
        </w:rPr>
        <w:t>Selanjutnya</w:t>
      </w:r>
      <w:r w:rsidRPr="008379CA">
        <w:rPr>
          <w:rFonts w:ascii="Bookman Old Style" w:hAnsi="Bookman Old Style"/>
          <w:sz w:val="24"/>
          <w:szCs w:val="24"/>
          <w:lang w:val="it-IT"/>
        </w:rPr>
        <w:t>,</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Pemerintah</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Daerah</w:t>
      </w:r>
      <w:r w:rsidR="00A954D0" w:rsidRPr="008379CA">
        <w:rPr>
          <w:rFonts w:ascii="Bookman Old Style" w:hAnsi="Bookman Old Style"/>
          <w:sz w:val="24"/>
          <w:szCs w:val="24"/>
          <w:lang w:val="it-IT"/>
        </w:rPr>
        <w:t xml:space="preserve"> </w:t>
      </w:r>
      <w:r w:rsidR="00B055C5"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00770F22"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it-IT"/>
        </w:rPr>
        <w:t>dalam</w:t>
      </w:r>
      <w:r w:rsidR="00A954D0" w:rsidRPr="008379CA">
        <w:rPr>
          <w:rFonts w:ascii="Bookman Old Style" w:hAnsi="Bookman Old Style"/>
          <w:sz w:val="24"/>
          <w:szCs w:val="24"/>
          <w:lang w:val="it-IT"/>
        </w:rPr>
        <w:t xml:space="preserve"> </w:t>
      </w:r>
      <w:r w:rsidR="00D76625" w:rsidRPr="008379CA">
        <w:rPr>
          <w:rFonts w:ascii="Bookman Old Style" w:hAnsi="Bookman Old Style"/>
          <w:sz w:val="24"/>
          <w:szCs w:val="24"/>
          <w:lang w:val="it-IT"/>
        </w:rPr>
        <w:t>penyusunan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APBD</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Tahun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Anggaran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202</w:t>
      </w:r>
      <w:r w:rsidR="00697BCE" w:rsidRPr="008379CA">
        <w:rPr>
          <w:rFonts w:ascii="Bookman Old Style" w:hAnsi="Bookman Old Style"/>
          <w:sz w:val="24"/>
          <w:szCs w:val="24"/>
          <w:lang w:val="it-IT"/>
        </w:rPr>
        <w:t>5</w:t>
      </w:r>
      <w:r w:rsidRPr="008379CA">
        <w:rPr>
          <w:rFonts w:ascii="Bookman Old Style" w:hAnsi="Bookman Old Style"/>
          <w:sz w:val="24"/>
          <w:szCs w:val="24"/>
          <w:lang w:val="it-IT"/>
        </w:rPr>
        <w:t>,</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untuk:</w:t>
      </w:r>
    </w:p>
    <w:p w14:paraId="2F6C8F93" w14:textId="494EA660" w:rsidR="00D407AC" w:rsidRPr="008379CA" w:rsidRDefault="005A01E3" w:rsidP="00E14F35">
      <w:pPr>
        <w:pStyle w:val="ListParagraph"/>
        <w:numPr>
          <w:ilvl w:val="0"/>
          <w:numId w:val="76"/>
        </w:numPr>
        <w:spacing w:before="60" w:after="0" w:line="276" w:lineRule="auto"/>
        <w:ind w:left="1276" w:hanging="283"/>
        <w:contextualSpacing w:val="0"/>
        <w:jc w:val="both"/>
        <w:rPr>
          <w:rFonts w:ascii="Bookman Old Style" w:hAnsi="Bookman Old Style"/>
          <w:sz w:val="24"/>
          <w:szCs w:val="24"/>
          <w:lang w:val="it-IT"/>
        </w:rPr>
      </w:pPr>
      <w:r w:rsidRPr="008379CA">
        <w:rPr>
          <w:rFonts w:ascii="Bookman Old Style" w:hAnsi="Bookman Old Style"/>
          <w:sz w:val="24"/>
          <w:szCs w:val="24"/>
          <w:lang w:val="it-IT"/>
        </w:rPr>
        <w:t>melakukan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sinkronisasi</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kebijakan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Pemerintah</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Daerah</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00770F22"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it-IT"/>
        </w:rPr>
        <w:t>dengan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kebijakan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pemerintah</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pusat</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guna</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mendukung</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pencapaian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17</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(tujuh</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belas)</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Program</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Prioritas</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dan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pencapaian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8</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(delapan)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misi</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atau</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Asta</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Cita</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sesuai</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kewenangan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Pemerintah</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Daerah</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00770F22" w:rsidRPr="008379CA">
        <w:rPr>
          <w:rFonts w:ascii="Bookman Old Style" w:hAnsi="Bookman Old Style"/>
          <w:sz w:val="24"/>
          <w:szCs w:val="24"/>
          <w:lang w:val="fi-FI"/>
        </w:rPr>
        <w:t>Tangerang</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sesuai</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dengan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ketentuan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peraturan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perundang</w:t>
      </w:r>
      <w:r w:rsidR="005353EC" w:rsidRPr="008379CA">
        <w:rPr>
          <w:rFonts w:ascii="Bookman Old Style" w:hAnsi="Bookman Old Style"/>
          <w:sz w:val="24"/>
          <w:szCs w:val="24"/>
          <w:lang w:val="it-IT"/>
        </w:rPr>
        <w:t>-</w:t>
      </w:r>
      <w:r w:rsidRPr="008379CA">
        <w:rPr>
          <w:rFonts w:ascii="Bookman Old Style" w:hAnsi="Bookman Old Style"/>
          <w:sz w:val="24"/>
          <w:szCs w:val="24"/>
          <w:lang w:val="it-IT"/>
        </w:rPr>
        <w:t>undangan;</w:t>
      </w:r>
    </w:p>
    <w:p w14:paraId="47D31A80" w14:textId="694FD8DC" w:rsidR="00244B3E" w:rsidRPr="008379CA" w:rsidRDefault="00244B3E" w:rsidP="00E14F35">
      <w:pPr>
        <w:pStyle w:val="ListParagraph"/>
        <w:numPr>
          <w:ilvl w:val="0"/>
          <w:numId w:val="76"/>
        </w:numPr>
        <w:spacing w:before="60" w:after="0" w:line="276" w:lineRule="auto"/>
        <w:ind w:left="1276" w:hanging="283"/>
        <w:contextualSpacing w:val="0"/>
        <w:jc w:val="both"/>
        <w:rPr>
          <w:rFonts w:ascii="Bookman Old Style" w:hAnsi="Bookman Old Style"/>
          <w:sz w:val="24"/>
          <w:szCs w:val="24"/>
          <w:lang w:val="it-IT"/>
        </w:rPr>
      </w:pPr>
      <w:r w:rsidRPr="008379CA">
        <w:rPr>
          <w:rFonts w:ascii="Bookman Old Style" w:hAnsi="Bookman Old Style"/>
          <w:sz w:val="24"/>
          <w:szCs w:val="24"/>
          <w:lang w:val="it-IT"/>
        </w:rPr>
        <w:t>mengalokasikan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anggaran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pendapatan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sesuai</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kemampuan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keuangan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daerah</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dan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mengalokasikan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anggaran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belanja</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yang</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memadai</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sesuai</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dengan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kemampuan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pendapatan,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guna</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akselerasi</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pertumbuhan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ekonomi</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yang</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inklusif</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dan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berkelanjutan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sesuai</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dengan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ketentuan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peraturan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perundang-undangan</w:t>
      </w:r>
      <w:r w:rsidR="00213B1B" w:rsidRPr="008379CA">
        <w:rPr>
          <w:rFonts w:ascii="Bookman Old Style" w:hAnsi="Bookman Old Style"/>
          <w:sz w:val="24"/>
          <w:szCs w:val="24"/>
          <w:lang w:val="it-IT"/>
        </w:rPr>
        <w:t>;</w:t>
      </w:r>
    </w:p>
    <w:p w14:paraId="08AC7087" w14:textId="4CAF0F6E" w:rsidR="00244B3E" w:rsidRPr="008379CA" w:rsidRDefault="00244B3E" w:rsidP="00E14F35">
      <w:pPr>
        <w:pStyle w:val="ListParagraph"/>
        <w:numPr>
          <w:ilvl w:val="0"/>
          <w:numId w:val="76"/>
        </w:numPr>
        <w:spacing w:before="60" w:after="0" w:line="276" w:lineRule="auto"/>
        <w:ind w:left="1276" w:hanging="283"/>
        <w:contextualSpacing w:val="0"/>
        <w:jc w:val="both"/>
        <w:rPr>
          <w:rFonts w:ascii="Bookman Old Style" w:hAnsi="Bookman Old Style"/>
          <w:sz w:val="24"/>
          <w:szCs w:val="24"/>
          <w:lang w:val="it-IT"/>
        </w:rPr>
      </w:pPr>
      <w:r w:rsidRPr="008379CA">
        <w:rPr>
          <w:rFonts w:ascii="Bookman Old Style" w:hAnsi="Bookman Old Style"/>
          <w:sz w:val="24"/>
          <w:szCs w:val="24"/>
          <w:lang w:val="it-IT"/>
        </w:rPr>
        <w:t>mengelola</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belanja</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secara</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efektif,</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efisien,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dan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fokus</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terhadap</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capaian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target</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pelayanan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publik</w:t>
      </w:r>
      <w:r w:rsidR="00A954D0" w:rsidRPr="008379CA">
        <w:rPr>
          <w:rFonts w:ascii="Bookman Old Style" w:hAnsi="Bookman Old Style"/>
          <w:sz w:val="24"/>
          <w:szCs w:val="24"/>
        </w:rPr>
        <w:t xml:space="preserve"> </w:t>
      </w:r>
      <w:r w:rsidRPr="008379CA">
        <w:rPr>
          <w:rFonts w:ascii="Bookman Old Style" w:hAnsi="Bookman Old Style"/>
          <w:sz w:val="24"/>
          <w:szCs w:val="24"/>
          <w:lang w:val="it-IT"/>
        </w:rPr>
        <w:t>sesuai</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kewenangan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Pemerintah</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Daerah</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dan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kemampuan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pendapatan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daerah;</w:t>
      </w:r>
    </w:p>
    <w:p w14:paraId="5A659E38" w14:textId="35787858" w:rsidR="00244B3E" w:rsidRPr="008379CA" w:rsidRDefault="00244B3E" w:rsidP="00E14F35">
      <w:pPr>
        <w:pStyle w:val="ListParagraph"/>
        <w:numPr>
          <w:ilvl w:val="0"/>
          <w:numId w:val="76"/>
        </w:numPr>
        <w:spacing w:before="60" w:after="0" w:line="276" w:lineRule="auto"/>
        <w:ind w:left="1276" w:hanging="283"/>
        <w:contextualSpacing w:val="0"/>
        <w:jc w:val="both"/>
        <w:rPr>
          <w:rFonts w:ascii="Bookman Old Style" w:hAnsi="Bookman Old Style"/>
          <w:sz w:val="24"/>
          <w:szCs w:val="24"/>
          <w:lang w:val="it-IT"/>
        </w:rPr>
      </w:pPr>
      <w:r w:rsidRPr="008379CA">
        <w:rPr>
          <w:rFonts w:ascii="Bookman Old Style" w:hAnsi="Bookman Old Style"/>
          <w:sz w:val="24"/>
          <w:szCs w:val="24"/>
          <w:lang w:val="it-IT"/>
        </w:rPr>
        <w:lastRenderedPageBreak/>
        <w:t>meningkatkan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kualitas</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belanja</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dengan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memprioritaskan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alokasi</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anggaran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belanja</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pokok</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dibandingkan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dengan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alokasi</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anggaran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belanja</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penunjang</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sesuai</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target</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dan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indikator</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kinerja</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program,</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kegiatan</w:t>
      </w:r>
      <w:r w:rsidR="00A954D0" w:rsidRPr="008379CA">
        <w:rPr>
          <w:rFonts w:ascii="Bookman Old Style" w:hAnsi="Bookman Old Style"/>
          <w:sz w:val="24"/>
          <w:szCs w:val="24"/>
          <w:lang w:val="it-IT"/>
        </w:rPr>
        <w:t xml:space="preserve"> </w:t>
      </w:r>
      <w:r w:rsidRPr="008379CA">
        <w:rPr>
          <w:rFonts w:ascii="Bookman Old Style" w:hAnsi="Bookman Old Style"/>
          <w:sz w:val="24"/>
          <w:szCs w:val="24"/>
          <w:lang w:val="it-IT"/>
        </w:rPr>
        <w:t>dan</w:t>
      </w:r>
      <w:r w:rsidR="00A954D0" w:rsidRPr="008379CA">
        <w:rPr>
          <w:rFonts w:ascii="Bookman Old Style" w:hAnsi="Bookman Old Style"/>
          <w:sz w:val="24"/>
          <w:szCs w:val="24"/>
          <w:lang w:val="it-IT"/>
        </w:rPr>
        <w:t xml:space="preserve"> </w:t>
      </w:r>
      <w:r w:rsidR="00D112D3" w:rsidRPr="008379CA">
        <w:rPr>
          <w:rFonts w:ascii="Bookman Old Style" w:hAnsi="Bookman Old Style"/>
          <w:sz w:val="24"/>
          <w:szCs w:val="24"/>
          <w:lang w:val="it-IT"/>
        </w:rPr>
        <w:t>sub</w:t>
      </w:r>
      <w:r w:rsidR="00A954D0" w:rsidRPr="008379CA">
        <w:rPr>
          <w:rFonts w:ascii="Bookman Old Style" w:hAnsi="Bookman Old Style"/>
          <w:sz w:val="24"/>
          <w:szCs w:val="24"/>
          <w:lang w:val="it-IT"/>
        </w:rPr>
        <w:t xml:space="preserve"> </w:t>
      </w:r>
      <w:r w:rsidR="00D112D3" w:rsidRPr="008379CA">
        <w:rPr>
          <w:rFonts w:ascii="Bookman Old Style" w:hAnsi="Bookman Old Style"/>
          <w:sz w:val="24"/>
          <w:szCs w:val="24"/>
          <w:lang w:val="it-IT"/>
        </w:rPr>
        <w:t>kegiatan</w:t>
      </w:r>
      <w:r w:rsidRPr="008379CA">
        <w:rPr>
          <w:rFonts w:ascii="Bookman Old Style" w:hAnsi="Bookman Old Style"/>
          <w:sz w:val="24"/>
          <w:szCs w:val="24"/>
          <w:lang w:val="it-IT"/>
        </w:rPr>
        <w:t>.</w:t>
      </w:r>
    </w:p>
    <w:p w14:paraId="3C06B6FF" w14:textId="129E5187" w:rsidR="005447F8" w:rsidRPr="008379CA" w:rsidRDefault="00E14F35" w:rsidP="00727324">
      <w:pPr>
        <w:spacing w:before="60" w:line="276" w:lineRule="auto"/>
        <w:ind w:left="993"/>
        <w:jc w:val="both"/>
        <w:rPr>
          <w:rFonts w:ascii="Bookman Old Style" w:hAnsi="Bookman Old Style"/>
          <w:lang w:val="it-IT"/>
        </w:rPr>
      </w:pPr>
      <w:r w:rsidRPr="008379CA">
        <w:rPr>
          <w:rFonts w:ascii="Bookman Old Style" w:hAnsi="Bookman Old Style"/>
          <w:lang w:val="it-IT"/>
        </w:rPr>
        <w:t>S</w:t>
      </w:r>
      <w:r w:rsidR="00244B3E" w:rsidRPr="008379CA">
        <w:rPr>
          <w:rFonts w:ascii="Bookman Old Style" w:hAnsi="Bookman Old Style"/>
          <w:lang w:val="it-IT"/>
        </w:rPr>
        <w:t>ebagaimana</w:t>
      </w:r>
      <w:r w:rsidR="00A954D0" w:rsidRPr="008379CA">
        <w:rPr>
          <w:rFonts w:ascii="Bookman Old Style" w:hAnsi="Bookman Old Style"/>
          <w:lang w:val="it-IT"/>
        </w:rPr>
        <w:t xml:space="preserve"> </w:t>
      </w:r>
      <w:r w:rsidR="00244B3E" w:rsidRPr="008379CA">
        <w:rPr>
          <w:rFonts w:ascii="Bookman Old Style" w:hAnsi="Bookman Old Style"/>
          <w:lang w:val="it-IT"/>
        </w:rPr>
        <w:t>maksud</w:t>
      </w:r>
      <w:r w:rsidR="00A954D0" w:rsidRPr="008379CA">
        <w:rPr>
          <w:rFonts w:ascii="Bookman Old Style" w:hAnsi="Bookman Old Style"/>
          <w:lang w:val="it-IT"/>
        </w:rPr>
        <w:t xml:space="preserve"> </w:t>
      </w:r>
      <w:r w:rsidR="00244B3E" w:rsidRPr="008379CA">
        <w:rPr>
          <w:rFonts w:ascii="Bookman Old Style" w:hAnsi="Bookman Old Style"/>
          <w:lang w:val="it-IT"/>
        </w:rPr>
        <w:t>Pasal</w:t>
      </w:r>
      <w:r w:rsidR="00A954D0" w:rsidRPr="008379CA">
        <w:rPr>
          <w:rFonts w:ascii="Bookman Old Style" w:hAnsi="Bookman Old Style"/>
          <w:lang w:val="it-IT"/>
        </w:rPr>
        <w:t xml:space="preserve"> </w:t>
      </w:r>
      <w:r w:rsidR="00244B3E" w:rsidRPr="008379CA">
        <w:rPr>
          <w:rFonts w:ascii="Bookman Old Style" w:hAnsi="Bookman Old Style"/>
          <w:lang w:val="it-IT"/>
        </w:rPr>
        <w:t>4</w:t>
      </w:r>
      <w:r w:rsidR="00A954D0" w:rsidRPr="008379CA">
        <w:rPr>
          <w:rFonts w:ascii="Bookman Old Style" w:hAnsi="Bookman Old Style"/>
          <w:lang w:val="it-IT"/>
        </w:rPr>
        <w:t xml:space="preserve"> </w:t>
      </w:r>
      <w:r w:rsidR="00244B3E" w:rsidRPr="008379CA">
        <w:rPr>
          <w:rFonts w:ascii="Bookman Old Style" w:hAnsi="Bookman Old Style"/>
          <w:lang w:val="it-IT"/>
        </w:rPr>
        <w:t>Peraturan</w:t>
      </w:r>
      <w:r w:rsidR="00A954D0" w:rsidRPr="008379CA">
        <w:rPr>
          <w:rFonts w:ascii="Bookman Old Style" w:hAnsi="Bookman Old Style"/>
          <w:lang w:val="it-IT"/>
        </w:rPr>
        <w:t xml:space="preserve"> </w:t>
      </w:r>
      <w:r w:rsidR="00244B3E" w:rsidRPr="008379CA">
        <w:rPr>
          <w:rFonts w:ascii="Bookman Old Style" w:hAnsi="Bookman Old Style"/>
          <w:lang w:val="it-IT"/>
        </w:rPr>
        <w:t>Menteri</w:t>
      </w:r>
      <w:r w:rsidR="00A954D0" w:rsidRPr="008379CA">
        <w:rPr>
          <w:rFonts w:ascii="Bookman Old Style" w:hAnsi="Bookman Old Style"/>
          <w:lang w:val="it-IT"/>
        </w:rPr>
        <w:t xml:space="preserve"> </w:t>
      </w:r>
      <w:r w:rsidR="00244B3E" w:rsidRPr="008379CA">
        <w:rPr>
          <w:rFonts w:ascii="Bookman Old Style" w:hAnsi="Bookman Old Style"/>
          <w:lang w:val="it-IT"/>
        </w:rPr>
        <w:t>Dalam</w:t>
      </w:r>
      <w:r w:rsidR="00A954D0" w:rsidRPr="008379CA">
        <w:rPr>
          <w:rFonts w:ascii="Bookman Old Style" w:hAnsi="Bookman Old Style"/>
          <w:lang w:val="it-IT"/>
        </w:rPr>
        <w:t xml:space="preserve"> </w:t>
      </w:r>
      <w:r w:rsidR="00244B3E" w:rsidRPr="008379CA">
        <w:rPr>
          <w:rFonts w:ascii="Bookman Old Style" w:hAnsi="Bookman Old Style"/>
          <w:lang w:val="it-IT"/>
        </w:rPr>
        <w:t>Negeri</w:t>
      </w:r>
      <w:r w:rsidR="00A954D0" w:rsidRPr="008379CA">
        <w:rPr>
          <w:rFonts w:ascii="Bookman Old Style" w:hAnsi="Bookman Old Style"/>
          <w:lang w:val="it-IT"/>
        </w:rPr>
        <w:t xml:space="preserve"> </w:t>
      </w:r>
      <w:r w:rsidR="00244B3E" w:rsidRPr="008379CA">
        <w:rPr>
          <w:rFonts w:ascii="Bookman Old Style" w:hAnsi="Bookman Old Style"/>
          <w:lang w:val="it-IT"/>
        </w:rPr>
        <w:t>Nomor</w:t>
      </w:r>
      <w:r w:rsidR="00A954D0" w:rsidRPr="008379CA">
        <w:rPr>
          <w:rFonts w:ascii="Bookman Old Style" w:hAnsi="Bookman Old Style"/>
          <w:lang w:val="it-IT"/>
        </w:rPr>
        <w:t xml:space="preserve"> </w:t>
      </w:r>
      <w:r w:rsidR="00244B3E" w:rsidRPr="008379CA">
        <w:rPr>
          <w:rFonts w:ascii="Bookman Old Style" w:hAnsi="Bookman Old Style"/>
          <w:lang w:val="it-IT"/>
        </w:rPr>
        <w:t>15</w:t>
      </w:r>
      <w:r w:rsidR="00A954D0" w:rsidRPr="008379CA">
        <w:rPr>
          <w:rFonts w:ascii="Bookman Old Style" w:hAnsi="Bookman Old Style"/>
          <w:lang w:val="it-IT"/>
        </w:rPr>
        <w:t xml:space="preserve"> </w:t>
      </w:r>
      <w:r w:rsidR="00244B3E" w:rsidRPr="008379CA">
        <w:rPr>
          <w:rFonts w:ascii="Bookman Old Style" w:hAnsi="Bookman Old Style"/>
          <w:lang w:val="it-IT"/>
        </w:rPr>
        <w:t>Tahun</w:t>
      </w:r>
      <w:r w:rsidR="00A954D0" w:rsidRPr="008379CA">
        <w:rPr>
          <w:rFonts w:ascii="Bookman Old Style" w:hAnsi="Bookman Old Style"/>
          <w:lang w:val="it-IT"/>
        </w:rPr>
        <w:t xml:space="preserve"> </w:t>
      </w:r>
      <w:r w:rsidR="00244B3E" w:rsidRPr="008379CA">
        <w:rPr>
          <w:rFonts w:ascii="Bookman Old Style" w:hAnsi="Bookman Old Style"/>
          <w:lang w:val="it-IT"/>
        </w:rPr>
        <w:t>2024</w:t>
      </w:r>
      <w:r w:rsidR="00D76625" w:rsidRPr="008379CA">
        <w:rPr>
          <w:rFonts w:ascii="Bookman Old Style" w:hAnsi="Bookman Old Style"/>
          <w:lang w:val="it-IT"/>
        </w:rPr>
        <w:t>.</w:t>
      </w:r>
    </w:p>
    <w:p w14:paraId="51D8F523" w14:textId="66A90C02" w:rsidR="00B9305E" w:rsidRPr="008379CA" w:rsidRDefault="00DB3A3A" w:rsidP="00E14F35">
      <w:pPr>
        <w:pStyle w:val="ListParagraph"/>
        <w:numPr>
          <w:ilvl w:val="0"/>
          <w:numId w:val="101"/>
        </w:numPr>
        <w:spacing w:before="120" w:after="0" w:line="276" w:lineRule="auto"/>
        <w:ind w:left="993" w:hanging="426"/>
        <w:contextualSpacing w:val="0"/>
        <w:jc w:val="both"/>
        <w:rPr>
          <w:rFonts w:ascii="Bookman Old Style" w:hAnsi="Bookman Old Style"/>
          <w:sz w:val="24"/>
          <w:szCs w:val="24"/>
          <w:lang w:val="sv-FI"/>
        </w:rPr>
      </w:pPr>
      <w:r w:rsidRPr="008379CA">
        <w:rPr>
          <w:rFonts w:ascii="Bookman Old Style" w:hAnsi="Bookman Old Style"/>
          <w:sz w:val="24"/>
          <w:szCs w:val="24"/>
          <w:lang w:val="sv-FI"/>
        </w:rPr>
        <w:t>Gambaran</w:t>
      </w:r>
      <w:r w:rsidR="00A954D0" w:rsidRPr="008379CA">
        <w:rPr>
          <w:rFonts w:ascii="Bookman Old Style" w:hAnsi="Bookman Old Style"/>
          <w:sz w:val="24"/>
          <w:szCs w:val="24"/>
          <w:lang w:val="sv-FI"/>
        </w:rPr>
        <w:t xml:space="preserve"> </w:t>
      </w:r>
      <w:r w:rsidR="00B9305E" w:rsidRPr="008379CA">
        <w:rPr>
          <w:rFonts w:ascii="Bookman Old Style" w:hAnsi="Bookman Old Style"/>
          <w:sz w:val="24"/>
          <w:szCs w:val="24"/>
          <w:lang w:val="sv-FI"/>
        </w:rPr>
        <w:t>umum</w:t>
      </w:r>
      <w:r w:rsidR="00A954D0" w:rsidRPr="008379CA">
        <w:rPr>
          <w:rFonts w:ascii="Bookman Old Style" w:hAnsi="Bookman Old Style"/>
          <w:sz w:val="24"/>
          <w:szCs w:val="24"/>
          <w:lang w:val="sv-FI"/>
        </w:rPr>
        <w:t xml:space="preserve"> </w:t>
      </w:r>
      <w:r w:rsidR="00B9305E" w:rsidRPr="008379CA">
        <w:rPr>
          <w:rFonts w:ascii="Bookman Old Style" w:hAnsi="Bookman Old Style"/>
          <w:sz w:val="24"/>
          <w:szCs w:val="24"/>
          <w:lang w:val="sv-FI"/>
        </w:rPr>
        <w:t>terkait</w:t>
      </w:r>
      <w:r w:rsidR="00A954D0" w:rsidRPr="008379CA">
        <w:rPr>
          <w:rFonts w:ascii="Bookman Old Style" w:hAnsi="Bookman Old Style"/>
          <w:sz w:val="24"/>
          <w:szCs w:val="24"/>
          <w:lang w:val="sv-FI"/>
        </w:rPr>
        <w:t xml:space="preserve"> </w:t>
      </w:r>
      <w:r w:rsidR="00B9305E" w:rsidRPr="008379CA">
        <w:rPr>
          <w:rFonts w:ascii="Bookman Old Style" w:hAnsi="Bookman Old Style"/>
          <w:sz w:val="24"/>
          <w:szCs w:val="24"/>
          <w:lang w:val="sv-FI"/>
        </w:rPr>
        <w:t>dengan</w:t>
      </w:r>
      <w:r w:rsidR="00A954D0" w:rsidRPr="008379CA">
        <w:rPr>
          <w:rFonts w:ascii="Bookman Old Style" w:hAnsi="Bookman Old Style"/>
          <w:sz w:val="24"/>
          <w:szCs w:val="24"/>
          <w:lang w:val="sv-FI"/>
        </w:rPr>
        <w:t xml:space="preserve"> </w:t>
      </w:r>
      <w:r w:rsidR="00B9305E" w:rsidRPr="008379CA">
        <w:rPr>
          <w:rFonts w:ascii="Bookman Old Style" w:hAnsi="Bookman Old Style"/>
          <w:sz w:val="24"/>
          <w:szCs w:val="24"/>
          <w:lang w:val="sv-FI"/>
        </w:rPr>
        <w:t>Pendapatan,</w:t>
      </w:r>
      <w:r w:rsidR="00A954D0" w:rsidRPr="008379CA">
        <w:rPr>
          <w:rFonts w:ascii="Bookman Old Style" w:hAnsi="Bookman Old Style"/>
          <w:sz w:val="24"/>
          <w:szCs w:val="24"/>
          <w:lang w:val="sv-FI"/>
        </w:rPr>
        <w:t xml:space="preserve"> </w:t>
      </w:r>
      <w:r w:rsidR="00B9305E" w:rsidRPr="008379CA">
        <w:rPr>
          <w:rFonts w:ascii="Bookman Old Style" w:hAnsi="Bookman Old Style"/>
          <w:sz w:val="24"/>
          <w:szCs w:val="24"/>
          <w:lang w:val="sv-FI"/>
        </w:rPr>
        <w:t>Belanja</w:t>
      </w:r>
      <w:r w:rsidR="00A954D0" w:rsidRPr="008379CA">
        <w:rPr>
          <w:rFonts w:ascii="Bookman Old Style" w:hAnsi="Bookman Old Style"/>
          <w:sz w:val="24"/>
          <w:szCs w:val="24"/>
          <w:lang w:val="sv-FI"/>
        </w:rPr>
        <w:t xml:space="preserve"> </w:t>
      </w:r>
      <w:r w:rsidR="00B9305E" w:rsidRPr="008379CA">
        <w:rPr>
          <w:rFonts w:ascii="Bookman Old Style" w:hAnsi="Bookman Old Style"/>
          <w:sz w:val="24"/>
          <w:szCs w:val="24"/>
          <w:lang w:val="sv-FI"/>
        </w:rPr>
        <w:t>dan</w:t>
      </w:r>
      <w:r w:rsidR="00A954D0" w:rsidRPr="008379CA">
        <w:rPr>
          <w:rFonts w:ascii="Bookman Old Style" w:hAnsi="Bookman Old Style"/>
          <w:sz w:val="24"/>
          <w:szCs w:val="24"/>
          <w:lang w:val="sv-FI"/>
        </w:rPr>
        <w:t xml:space="preserve"> </w:t>
      </w:r>
      <w:r w:rsidR="00B9305E" w:rsidRPr="008379CA">
        <w:rPr>
          <w:rFonts w:ascii="Bookman Old Style" w:hAnsi="Bookman Old Style"/>
          <w:sz w:val="24"/>
          <w:szCs w:val="24"/>
          <w:lang w:val="sv-FI"/>
        </w:rPr>
        <w:t>Pembiayaan</w:t>
      </w:r>
      <w:r w:rsidR="00A954D0" w:rsidRPr="008379CA">
        <w:rPr>
          <w:rFonts w:ascii="Bookman Old Style" w:hAnsi="Bookman Old Style"/>
          <w:sz w:val="24"/>
          <w:szCs w:val="24"/>
          <w:lang w:val="sv-FI"/>
        </w:rPr>
        <w:t xml:space="preserve"> </w:t>
      </w:r>
      <w:r w:rsidR="00B9305E" w:rsidRPr="008379CA">
        <w:rPr>
          <w:rFonts w:ascii="Bookman Old Style" w:hAnsi="Bookman Old Style"/>
          <w:sz w:val="24"/>
          <w:szCs w:val="24"/>
          <w:lang w:val="sv-FI"/>
        </w:rPr>
        <w:t>dalam</w:t>
      </w:r>
      <w:r w:rsidR="00A954D0" w:rsidRPr="008379CA">
        <w:rPr>
          <w:rFonts w:ascii="Bookman Old Style" w:hAnsi="Bookman Old Style"/>
          <w:sz w:val="24"/>
          <w:szCs w:val="24"/>
          <w:lang w:val="sv-FI"/>
        </w:rPr>
        <w:t xml:space="preserve"> </w:t>
      </w:r>
      <w:r w:rsidR="00B9305E" w:rsidRPr="008379CA">
        <w:rPr>
          <w:rFonts w:ascii="Bookman Old Style" w:hAnsi="Bookman Old Style"/>
          <w:sz w:val="24"/>
          <w:szCs w:val="24"/>
          <w:lang w:val="sv-FI"/>
        </w:rPr>
        <w:t>APBD</w:t>
      </w:r>
    </w:p>
    <w:p w14:paraId="64FEEACB" w14:textId="436AF513" w:rsidR="007A3F90" w:rsidRPr="008379CA" w:rsidRDefault="00323384" w:rsidP="00E14F35">
      <w:pPr>
        <w:pStyle w:val="ListParagraph"/>
        <w:numPr>
          <w:ilvl w:val="0"/>
          <w:numId w:val="117"/>
        </w:numPr>
        <w:spacing w:before="120" w:after="0" w:line="276" w:lineRule="auto"/>
        <w:ind w:left="1281" w:hanging="288"/>
        <w:contextualSpacing w:val="0"/>
        <w:jc w:val="both"/>
        <w:rPr>
          <w:rFonts w:ascii="Bookman Old Style" w:hAnsi="Bookman Old Style"/>
          <w:sz w:val="24"/>
          <w:szCs w:val="24"/>
          <w:lang w:val="sv-FI"/>
        </w:rPr>
      </w:pPr>
      <w:r w:rsidRPr="008379CA">
        <w:rPr>
          <w:rFonts w:ascii="Bookman Old Style" w:hAnsi="Bookman Old Style"/>
          <w:sz w:val="24"/>
          <w:szCs w:val="24"/>
          <w:lang w:val="it-IT"/>
        </w:rPr>
        <w:t>Pendapatan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Daerah</w:t>
      </w:r>
    </w:p>
    <w:p w14:paraId="49E0D851" w14:textId="7B2364AB" w:rsidR="005D2FCB" w:rsidRPr="008379CA" w:rsidRDefault="006F7B6E" w:rsidP="00727324">
      <w:pPr>
        <w:pStyle w:val="ListParagraph"/>
        <w:snapToGrid w:val="0"/>
        <w:spacing w:before="60" w:after="0" w:line="276" w:lineRule="auto"/>
        <w:ind w:left="1287"/>
        <w:contextualSpacing w:val="0"/>
        <w:jc w:val="both"/>
        <w:rPr>
          <w:rFonts w:ascii="Bookman Old Style" w:hAnsi="Bookman Old Style"/>
          <w:sz w:val="24"/>
          <w:szCs w:val="24"/>
          <w:lang w:val="fi-FI"/>
        </w:rPr>
      </w:pPr>
      <w:r w:rsidRPr="008379CA">
        <w:rPr>
          <w:rFonts w:ascii="Bookman Old Style" w:hAnsi="Bookman Old Style"/>
          <w:sz w:val="24"/>
          <w:szCs w:val="24"/>
          <w:lang w:val="fi-FI"/>
        </w:rPr>
        <w:t>Pendapatan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daerah</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adalah</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seluruh</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penerimaan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daerah</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berupa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uang</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yang</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masuk</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kedalam</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rekening</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kas</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umum</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daerah</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menambah</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ekuitas</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dana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lancar</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serta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merupakan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hak</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pemerintah</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daerah</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dalam</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1</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(satu)</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tahun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anggaran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yang</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tidak</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perlu</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dibayar</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kembali</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oleh</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daerah</w:t>
      </w:r>
      <w:r w:rsidR="00676EA5" w:rsidRPr="008379CA">
        <w:rPr>
          <w:rFonts w:ascii="Bookman Old Style" w:hAnsi="Bookman Old Style"/>
          <w:sz w:val="24"/>
          <w:szCs w:val="24"/>
          <w:lang w:val="fi-FI"/>
        </w:rPr>
        <w:t>,</w:t>
      </w:r>
      <w:r w:rsidR="00A954D0" w:rsidRPr="008379CA">
        <w:rPr>
          <w:rFonts w:ascii="Bookman Old Style" w:hAnsi="Bookman Old Style"/>
          <w:sz w:val="24"/>
          <w:szCs w:val="24"/>
          <w:lang w:val="fi-FI"/>
        </w:rPr>
        <w:t xml:space="preserve"> </w:t>
      </w:r>
      <w:r w:rsidR="00676EA5" w:rsidRPr="008379CA">
        <w:rPr>
          <w:rFonts w:ascii="Bookman Old Style" w:hAnsi="Bookman Old Style"/>
          <w:sz w:val="24"/>
          <w:szCs w:val="24"/>
          <w:lang w:val="fi-FI"/>
        </w:rPr>
        <w:t>s</w:t>
      </w:r>
      <w:r w:rsidRPr="008379CA">
        <w:rPr>
          <w:rFonts w:ascii="Bookman Old Style" w:hAnsi="Bookman Old Style"/>
          <w:sz w:val="24"/>
          <w:szCs w:val="24"/>
          <w:lang w:val="fi-FI"/>
        </w:rPr>
        <w:t>ehingga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pendapatan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daerah</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yang</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dianggarkan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dalam</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APBD</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merupakan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perkiraan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yang</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terukur</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secara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rasional</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yang</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dapat</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dicapai</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untuk</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setiap</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sumber</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pendapatan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memiliki</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kepastian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serta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sesuai</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dengan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ketentuan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peraturan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perundang-undangan.</w:t>
      </w:r>
    </w:p>
    <w:p w14:paraId="4E402F4E" w14:textId="61C5F39E" w:rsidR="006F7B6E" w:rsidRPr="008379CA" w:rsidRDefault="006F7B6E" w:rsidP="00727324">
      <w:pPr>
        <w:pStyle w:val="ListParagraph"/>
        <w:snapToGrid w:val="0"/>
        <w:spacing w:before="60" w:after="0" w:line="276" w:lineRule="auto"/>
        <w:ind w:left="1287"/>
        <w:contextualSpacing w:val="0"/>
        <w:jc w:val="both"/>
        <w:rPr>
          <w:rFonts w:ascii="Bookman Old Style" w:hAnsi="Bookman Old Style"/>
          <w:sz w:val="24"/>
          <w:szCs w:val="24"/>
          <w:lang w:val="fi-FI"/>
        </w:rPr>
      </w:pPr>
      <w:r w:rsidRPr="008379CA">
        <w:rPr>
          <w:rFonts w:ascii="Bookman Old Style" w:hAnsi="Bookman Old Style"/>
          <w:sz w:val="24"/>
          <w:szCs w:val="24"/>
          <w:lang w:val="fi-FI"/>
        </w:rPr>
        <w:t>Tren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alokasi</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realisasi</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pendapatan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daerah</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Pemerintah</w:t>
      </w:r>
      <w:r w:rsidR="00A954D0" w:rsidRPr="008379CA">
        <w:rPr>
          <w:rFonts w:ascii="Bookman Old Style" w:hAnsi="Bookman Old Style"/>
          <w:sz w:val="24"/>
          <w:szCs w:val="24"/>
          <w:lang w:val="fi-FI"/>
        </w:rPr>
        <w:t xml:space="preserve"> </w:t>
      </w:r>
      <w:r w:rsidR="00B055C5"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00770F22"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selama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3</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(tiga)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tahun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dari</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Tahun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Anggaran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2022</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sampai</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dengan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Tahun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Anggaran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2024</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sebagaimana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Tabel</w:t>
      </w:r>
      <w:r w:rsidR="00A954D0" w:rsidRPr="008379CA">
        <w:rPr>
          <w:rFonts w:ascii="Bookman Old Style" w:hAnsi="Bookman Old Style"/>
          <w:sz w:val="24"/>
          <w:szCs w:val="24"/>
          <w:lang w:val="fi-FI"/>
        </w:rPr>
        <w:t xml:space="preserve"> </w:t>
      </w:r>
      <w:r w:rsidR="004B267D" w:rsidRPr="008379CA">
        <w:rPr>
          <w:rFonts w:ascii="Bookman Old Style" w:hAnsi="Bookman Old Style"/>
          <w:sz w:val="24"/>
          <w:szCs w:val="24"/>
          <w:lang w:val="fi-FI"/>
        </w:rPr>
        <w:t>2</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sebagai</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berikut:</w:t>
      </w:r>
    </w:p>
    <w:p w14:paraId="7075B7C3" w14:textId="77777777" w:rsidR="006F7B6E" w:rsidRPr="008379CA" w:rsidRDefault="006F7B6E" w:rsidP="00727324">
      <w:pPr>
        <w:pStyle w:val="ListParagraph"/>
        <w:snapToGrid w:val="0"/>
        <w:spacing w:before="60" w:after="0" w:line="276" w:lineRule="auto"/>
        <w:ind w:left="993"/>
        <w:contextualSpacing w:val="0"/>
        <w:jc w:val="both"/>
        <w:rPr>
          <w:rFonts w:ascii="Bookman Old Style" w:hAnsi="Bookman Old Style"/>
          <w:sz w:val="24"/>
          <w:szCs w:val="24"/>
          <w:highlight w:val="yellow"/>
          <w:lang w:val="id-ID"/>
        </w:rPr>
      </w:pPr>
    </w:p>
    <w:p w14:paraId="5EB7B541" w14:textId="77777777" w:rsidR="00D850E8" w:rsidRPr="008379CA" w:rsidRDefault="00D850E8" w:rsidP="00727324">
      <w:pPr>
        <w:pStyle w:val="ListParagraph"/>
        <w:snapToGrid w:val="0"/>
        <w:spacing w:before="60" w:after="0" w:line="276" w:lineRule="auto"/>
        <w:ind w:left="993"/>
        <w:contextualSpacing w:val="0"/>
        <w:jc w:val="both"/>
        <w:rPr>
          <w:rFonts w:ascii="Bookman Old Style" w:hAnsi="Bookman Old Style"/>
          <w:sz w:val="24"/>
          <w:szCs w:val="24"/>
          <w:highlight w:val="yellow"/>
          <w:lang w:val="id-ID"/>
        </w:rPr>
        <w:sectPr w:rsidR="00D850E8" w:rsidRPr="008379CA" w:rsidSect="000C0A56">
          <w:headerReference w:type="even" r:id="rId8"/>
          <w:headerReference w:type="default" r:id="rId9"/>
          <w:footerReference w:type="default" r:id="rId10"/>
          <w:headerReference w:type="first" r:id="rId11"/>
          <w:footerReference w:type="first" r:id="rId12"/>
          <w:pgSz w:w="12242" w:h="18722" w:code="142"/>
          <w:pgMar w:top="1701" w:right="1701" w:bottom="1701" w:left="1701" w:header="680" w:footer="720" w:gutter="0"/>
          <w:pgNumType w:fmt="numberInDash" w:chapStyle="1"/>
          <w:cols w:space="720"/>
          <w:titlePg/>
          <w:docGrid w:linePitch="360"/>
        </w:sectPr>
      </w:pPr>
    </w:p>
    <w:p w14:paraId="23A2382B" w14:textId="142F1407" w:rsidR="006F7B6E" w:rsidRPr="008379CA" w:rsidRDefault="006F7B6E" w:rsidP="00727324">
      <w:pPr>
        <w:pStyle w:val="ListParagraph"/>
        <w:snapToGrid w:val="0"/>
        <w:spacing w:before="60" w:after="0" w:line="276" w:lineRule="auto"/>
        <w:ind w:left="993"/>
        <w:contextualSpacing w:val="0"/>
        <w:jc w:val="center"/>
        <w:rPr>
          <w:rFonts w:ascii="Bookman Old Style" w:hAnsi="Bookman Old Style"/>
          <w:sz w:val="24"/>
          <w:szCs w:val="24"/>
          <w:lang w:val="fi-FI"/>
        </w:rPr>
      </w:pPr>
      <w:r w:rsidRPr="008379CA">
        <w:rPr>
          <w:rFonts w:ascii="Bookman Old Style" w:hAnsi="Bookman Old Style"/>
          <w:sz w:val="24"/>
          <w:szCs w:val="24"/>
          <w:lang w:val="fi-FI"/>
        </w:rPr>
        <w:lastRenderedPageBreak/>
        <w:t>Tabel</w:t>
      </w:r>
      <w:r w:rsidR="00A954D0" w:rsidRPr="008379CA">
        <w:rPr>
          <w:rFonts w:ascii="Bookman Old Style" w:hAnsi="Bookman Old Style"/>
          <w:sz w:val="24"/>
          <w:szCs w:val="24"/>
          <w:lang w:val="fi-FI"/>
        </w:rPr>
        <w:t xml:space="preserve"> </w:t>
      </w:r>
      <w:r w:rsidR="002F34FB" w:rsidRPr="008379CA">
        <w:rPr>
          <w:rFonts w:ascii="Bookman Old Style" w:hAnsi="Bookman Old Style"/>
          <w:sz w:val="24"/>
          <w:szCs w:val="24"/>
          <w:lang w:val="fi-FI"/>
        </w:rPr>
        <w:t>2</w:t>
      </w:r>
    </w:p>
    <w:p w14:paraId="2151869D" w14:textId="4951281C" w:rsidR="006F7B6E" w:rsidRPr="008379CA" w:rsidRDefault="006F7B6E" w:rsidP="00DB3A3A">
      <w:pPr>
        <w:pStyle w:val="ListParagraph"/>
        <w:snapToGrid w:val="0"/>
        <w:spacing w:after="120" w:line="276" w:lineRule="auto"/>
        <w:ind w:left="992"/>
        <w:contextualSpacing w:val="0"/>
        <w:jc w:val="center"/>
        <w:rPr>
          <w:rFonts w:ascii="Bookman Old Style" w:hAnsi="Bookman Old Style"/>
          <w:sz w:val="24"/>
          <w:szCs w:val="24"/>
          <w:lang w:val="fi-FI"/>
        </w:rPr>
      </w:pPr>
      <w:r w:rsidRPr="008379CA">
        <w:rPr>
          <w:rFonts w:ascii="Bookman Old Style" w:hAnsi="Bookman Old Style"/>
          <w:sz w:val="24"/>
          <w:szCs w:val="24"/>
          <w:lang w:val="fi-FI"/>
        </w:rPr>
        <w:t>Tren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Alokasi</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Realisasi</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Pendapatan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Daerah</w:t>
      </w:r>
    </w:p>
    <w:tbl>
      <w:tblPr>
        <w:tblW w:w="17832"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31"/>
        <w:gridCol w:w="1560"/>
        <w:gridCol w:w="710"/>
        <w:gridCol w:w="1558"/>
        <w:gridCol w:w="1559"/>
        <w:gridCol w:w="709"/>
        <w:gridCol w:w="1559"/>
        <w:gridCol w:w="1560"/>
        <w:gridCol w:w="708"/>
        <w:gridCol w:w="1560"/>
        <w:gridCol w:w="849"/>
        <w:gridCol w:w="850"/>
        <w:gridCol w:w="992"/>
        <w:gridCol w:w="709"/>
      </w:tblGrid>
      <w:tr w:rsidR="008379CA" w:rsidRPr="008379CA" w14:paraId="2970F91D" w14:textId="77777777" w:rsidTr="00DA7786">
        <w:trPr>
          <w:trHeight w:val="1708"/>
        </w:trPr>
        <w:tc>
          <w:tcPr>
            <w:tcW w:w="1418" w:type="dxa"/>
            <w:vMerge w:val="restart"/>
            <w:shd w:val="clear" w:color="auto" w:fill="auto"/>
            <w:vAlign w:val="center"/>
            <w:hideMark/>
          </w:tcPr>
          <w:p w14:paraId="200EF974" w14:textId="77777777" w:rsidR="000C0A56" w:rsidRPr="008379CA" w:rsidRDefault="000C0A56" w:rsidP="00DB3A3A">
            <w:pPr>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Uraian</w:t>
            </w:r>
          </w:p>
        </w:tc>
        <w:tc>
          <w:tcPr>
            <w:tcW w:w="3091" w:type="dxa"/>
            <w:gridSpan w:val="2"/>
            <w:shd w:val="clear" w:color="auto" w:fill="auto"/>
            <w:vAlign w:val="center"/>
            <w:hideMark/>
          </w:tcPr>
          <w:p w14:paraId="7984A1B1" w14:textId="7DB2DDB3" w:rsidR="000C0A56" w:rsidRPr="008379CA" w:rsidRDefault="000C0A56" w:rsidP="00DB3A3A">
            <w:pPr>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APBD</w:t>
            </w:r>
            <w:r w:rsidR="00A954D0" w:rsidRPr="008379CA">
              <w:rPr>
                <w:rFonts w:ascii="Bookman Old Style" w:hAnsi="Bookman Old Style" w:cs="Calibri"/>
                <w:bCs/>
                <w:sz w:val="12"/>
                <w:szCs w:val="12"/>
                <w:lang w:val="en-US"/>
              </w:rPr>
              <w:t xml:space="preserve"> </w:t>
            </w:r>
            <w:r w:rsidRPr="008379CA">
              <w:rPr>
                <w:rFonts w:ascii="Bookman Old Style" w:hAnsi="Bookman Old Style" w:cs="Calibri"/>
                <w:bCs/>
                <w:sz w:val="12"/>
                <w:szCs w:val="12"/>
                <w:lang w:val="en-US"/>
              </w:rPr>
              <w:t>Tahun</w:t>
            </w:r>
            <w:r w:rsidR="00A954D0" w:rsidRPr="008379CA">
              <w:rPr>
                <w:rFonts w:ascii="Bookman Old Style" w:hAnsi="Bookman Old Style" w:cs="Calibri"/>
                <w:bCs/>
                <w:sz w:val="12"/>
                <w:szCs w:val="12"/>
                <w:lang w:val="en-US"/>
              </w:rPr>
              <w:t xml:space="preserve"> </w:t>
            </w:r>
            <w:r w:rsidRPr="008379CA">
              <w:rPr>
                <w:rFonts w:ascii="Bookman Old Style" w:hAnsi="Bookman Old Style" w:cs="Calibri"/>
                <w:bCs/>
                <w:sz w:val="12"/>
                <w:szCs w:val="12"/>
                <w:lang w:val="en-US"/>
              </w:rPr>
              <w:t>Anggaran</w:t>
            </w:r>
            <w:r w:rsidR="00A954D0" w:rsidRPr="008379CA">
              <w:rPr>
                <w:rFonts w:ascii="Bookman Old Style" w:hAnsi="Bookman Old Style" w:cs="Calibri"/>
                <w:bCs/>
                <w:sz w:val="12"/>
                <w:szCs w:val="12"/>
                <w:lang w:val="en-US"/>
              </w:rPr>
              <w:t xml:space="preserve"> </w:t>
            </w:r>
            <w:r w:rsidRPr="008379CA">
              <w:rPr>
                <w:rFonts w:ascii="Bookman Old Style" w:hAnsi="Bookman Old Style" w:cs="Calibri"/>
                <w:bCs/>
                <w:sz w:val="12"/>
                <w:szCs w:val="12"/>
                <w:lang w:val="en-US"/>
              </w:rPr>
              <w:t>2022</w:t>
            </w:r>
            <w:r w:rsidRPr="008379CA">
              <w:rPr>
                <w:rFonts w:ascii="Bookman Old Style" w:hAnsi="Bookman Old Style" w:cs="Calibri"/>
                <w:bCs/>
                <w:sz w:val="12"/>
                <w:szCs w:val="12"/>
                <w:lang w:val="en-US"/>
              </w:rPr>
              <w:br/>
              <w:t>(Rp)</w:t>
            </w:r>
          </w:p>
        </w:tc>
        <w:tc>
          <w:tcPr>
            <w:tcW w:w="710" w:type="dxa"/>
            <w:vMerge w:val="restart"/>
            <w:shd w:val="clear" w:color="auto" w:fill="auto"/>
            <w:vAlign w:val="center"/>
            <w:hideMark/>
          </w:tcPr>
          <w:p w14:paraId="703BF93C" w14:textId="77777777" w:rsidR="000C0A56" w:rsidRPr="008379CA" w:rsidRDefault="000C0A56" w:rsidP="00DB3A3A">
            <w:pPr>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w:t>
            </w:r>
          </w:p>
          <w:p w14:paraId="47D56F67" w14:textId="01C8A895" w:rsidR="000C0A56" w:rsidRPr="008379CA" w:rsidRDefault="00A954D0" w:rsidP="00DB3A3A">
            <w:pPr>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 xml:space="preserve"> </w:t>
            </w:r>
          </w:p>
        </w:tc>
        <w:tc>
          <w:tcPr>
            <w:tcW w:w="3117" w:type="dxa"/>
            <w:gridSpan w:val="2"/>
            <w:shd w:val="clear" w:color="auto" w:fill="auto"/>
            <w:vAlign w:val="center"/>
            <w:hideMark/>
          </w:tcPr>
          <w:p w14:paraId="621F9EF4" w14:textId="6DA5E233" w:rsidR="000C0A56" w:rsidRPr="008379CA" w:rsidRDefault="000C0A56" w:rsidP="00DB3A3A">
            <w:pPr>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APBD</w:t>
            </w:r>
            <w:r w:rsidR="00A954D0" w:rsidRPr="008379CA">
              <w:rPr>
                <w:rFonts w:ascii="Bookman Old Style" w:hAnsi="Bookman Old Style" w:cs="Calibri"/>
                <w:bCs/>
                <w:sz w:val="12"/>
                <w:szCs w:val="12"/>
                <w:lang w:val="en-US"/>
              </w:rPr>
              <w:t xml:space="preserve"> </w:t>
            </w:r>
            <w:r w:rsidRPr="008379CA">
              <w:rPr>
                <w:rFonts w:ascii="Bookman Old Style" w:hAnsi="Bookman Old Style" w:cs="Calibri"/>
                <w:bCs/>
                <w:sz w:val="12"/>
                <w:szCs w:val="12"/>
                <w:lang w:val="en-US"/>
              </w:rPr>
              <w:t>Tahun</w:t>
            </w:r>
            <w:r w:rsidR="00A954D0" w:rsidRPr="008379CA">
              <w:rPr>
                <w:rFonts w:ascii="Bookman Old Style" w:hAnsi="Bookman Old Style" w:cs="Calibri"/>
                <w:bCs/>
                <w:sz w:val="12"/>
                <w:szCs w:val="12"/>
                <w:lang w:val="en-US"/>
              </w:rPr>
              <w:t xml:space="preserve"> </w:t>
            </w:r>
            <w:r w:rsidRPr="008379CA">
              <w:rPr>
                <w:rFonts w:ascii="Bookman Old Style" w:hAnsi="Bookman Old Style" w:cs="Calibri"/>
                <w:bCs/>
                <w:sz w:val="12"/>
                <w:szCs w:val="12"/>
                <w:lang w:val="en-US"/>
              </w:rPr>
              <w:t>Anggaran</w:t>
            </w:r>
            <w:r w:rsidR="00A954D0" w:rsidRPr="008379CA">
              <w:rPr>
                <w:rFonts w:ascii="Bookman Old Style" w:hAnsi="Bookman Old Style" w:cs="Calibri"/>
                <w:bCs/>
                <w:sz w:val="12"/>
                <w:szCs w:val="12"/>
                <w:lang w:val="en-US"/>
              </w:rPr>
              <w:t xml:space="preserve"> </w:t>
            </w:r>
            <w:r w:rsidRPr="008379CA">
              <w:rPr>
                <w:rFonts w:ascii="Bookman Old Style" w:hAnsi="Bookman Old Style" w:cs="Calibri"/>
                <w:bCs/>
                <w:sz w:val="12"/>
                <w:szCs w:val="12"/>
                <w:lang w:val="en-US"/>
              </w:rPr>
              <w:t>2023</w:t>
            </w:r>
            <w:r w:rsidRPr="008379CA">
              <w:rPr>
                <w:rFonts w:ascii="Bookman Old Style" w:hAnsi="Bookman Old Style" w:cs="Calibri"/>
                <w:bCs/>
                <w:sz w:val="12"/>
                <w:szCs w:val="12"/>
                <w:lang w:val="en-US"/>
              </w:rPr>
              <w:br/>
              <w:t>(Rp)</w:t>
            </w:r>
          </w:p>
        </w:tc>
        <w:tc>
          <w:tcPr>
            <w:tcW w:w="709" w:type="dxa"/>
            <w:shd w:val="clear" w:color="auto" w:fill="auto"/>
            <w:vAlign w:val="center"/>
            <w:hideMark/>
          </w:tcPr>
          <w:p w14:paraId="7221DCFD" w14:textId="77777777" w:rsidR="000C0A56" w:rsidRPr="008379CA" w:rsidRDefault="000C0A56" w:rsidP="00DB3A3A">
            <w:pPr>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w:t>
            </w:r>
          </w:p>
          <w:p w14:paraId="1827DAC3" w14:textId="2BD74330" w:rsidR="000C0A56" w:rsidRPr="008379CA" w:rsidRDefault="00A954D0" w:rsidP="00DB3A3A">
            <w:pPr>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 xml:space="preserve"> </w:t>
            </w:r>
          </w:p>
        </w:tc>
        <w:tc>
          <w:tcPr>
            <w:tcW w:w="3119" w:type="dxa"/>
            <w:gridSpan w:val="2"/>
            <w:shd w:val="clear" w:color="auto" w:fill="auto"/>
            <w:vAlign w:val="center"/>
            <w:hideMark/>
          </w:tcPr>
          <w:p w14:paraId="4C002043" w14:textId="369F7438" w:rsidR="000C0A56" w:rsidRPr="008379CA" w:rsidRDefault="000C0A56" w:rsidP="00DB3A3A">
            <w:pPr>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APBD</w:t>
            </w:r>
            <w:r w:rsidR="00A954D0" w:rsidRPr="008379CA">
              <w:rPr>
                <w:rFonts w:ascii="Bookman Old Style" w:hAnsi="Bookman Old Style" w:cs="Calibri"/>
                <w:bCs/>
                <w:sz w:val="12"/>
                <w:szCs w:val="12"/>
                <w:lang w:val="en-US"/>
              </w:rPr>
              <w:t xml:space="preserve"> </w:t>
            </w:r>
            <w:r w:rsidRPr="008379CA">
              <w:rPr>
                <w:rFonts w:ascii="Bookman Old Style" w:hAnsi="Bookman Old Style" w:cs="Calibri"/>
                <w:bCs/>
                <w:sz w:val="12"/>
                <w:szCs w:val="12"/>
                <w:lang w:val="en-US"/>
              </w:rPr>
              <w:t>Tahun</w:t>
            </w:r>
            <w:r w:rsidR="00A954D0" w:rsidRPr="008379CA">
              <w:rPr>
                <w:rFonts w:ascii="Bookman Old Style" w:hAnsi="Bookman Old Style" w:cs="Calibri"/>
                <w:bCs/>
                <w:sz w:val="12"/>
                <w:szCs w:val="12"/>
                <w:lang w:val="en-US"/>
              </w:rPr>
              <w:t xml:space="preserve"> </w:t>
            </w:r>
            <w:r w:rsidRPr="008379CA">
              <w:rPr>
                <w:rFonts w:ascii="Bookman Old Style" w:hAnsi="Bookman Old Style" w:cs="Calibri"/>
                <w:bCs/>
                <w:sz w:val="12"/>
                <w:szCs w:val="12"/>
                <w:lang w:val="en-US"/>
              </w:rPr>
              <w:t>Anggaran</w:t>
            </w:r>
            <w:r w:rsidR="00A954D0" w:rsidRPr="008379CA">
              <w:rPr>
                <w:rFonts w:ascii="Bookman Old Style" w:hAnsi="Bookman Old Style" w:cs="Calibri"/>
                <w:bCs/>
                <w:sz w:val="12"/>
                <w:szCs w:val="12"/>
                <w:lang w:val="en-US"/>
              </w:rPr>
              <w:t xml:space="preserve"> </w:t>
            </w:r>
            <w:r w:rsidRPr="008379CA">
              <w:rPr>
                <w:rFonts w:ascii="Bookman Old Style" w:hAnsi="Bookman Old Style" w:cs="Calibri"/>
                <w:bCs/>
                <w:sz w:val="12"/>
                <w:szCs w:val="12"/>
                <w:lang w:val="en-US"/>
              </w:rPr>
              <w:t>2024</w:t>
            </w:r>
            <w:r w:rsidRPr="008379CA">
              <w:rPr>
                <w:rFonts w:ascii="Bookman Old Style" w:hAnsi="Bookman Old Style" w:cs="Calibri"/>
                <w:bCs/>
                <w:sz w:val="12"/>
                <w:szCs w:val="12"/>
                <w:lang w:val="en-US"/>
              </w:rPr>
              <w:br/>
              <w:t>(Rp)</w:t>
            </w:r>
          </w:p>
        </w:tc>
        <w:tc>
          <w:tcPr>
            <w:tcW w:w="708" w:type="dxa"/>
            <w:shd w:val="clear" w:color="auto" w:fill="auto"/>
            <w:vAlign w:val="center"/>
            <w:hideMark/>
          </w:tcPr>
          <w:p w14:paraId="3BE297BC" w14:textId="77777777" w:rsidR="000C0A56" w:rsidRPr="008379CA" w:rsidRDefault="000C0A56" w:rsidP="00DB3A3A">
            <w:pPr>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w:t>
            </w:r>
          </w:p>
          <w:p w14:paraId="7EE3E8A0" w14:textId="417F0F1E" w:rsidR="000C0A56" w:rsidRPr="008379CA" w:rsidRDefault="00A954D0" w:rsidP="00DB3A3A">
            <w:pPr>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 xml:space="preserve"> </w:t>
            </w:r>
          </w:p>
        </w:tc>
        <w:tc>
          <w:tcPr>
            <w:tcW w:w="1560" w:type="dxa"/>
            <w:vAlign w:val="center"/>
          </w:tcPr>
          <w:p w14:paraId="744976C6" w14:textId="68F98F2B" w:rsidR="000C0A56" w:rsidRPr="008379CA" w:rsidRDefault="000C0A56" w:rsidP="00DB3A3A">
            <w:pPr>
              <w:jc w:val="center"/>
              <w:rPr>
                <w:rFonts w:ascii="Bookman Old Style" w:hAnsi="Bookman Old Style" w:cs="Calibri"/>
                <w:sz w:val="12"/>
                <w:szCs w:val="12"/>
                <w:lang w:val="en-US"/>
              </w:rPr>
            </w:pPr>
            <w:r w:rsidRPr="008379CA">
              <w:rPr>
                <w:rFonts w:ascii="Bookman Old Style" w:hAnsi="Bookman Old Style" w:cs="Calibri"/>
                <w:bCs/>
                <w:sz w:val="12"/>
                <w:szCs w:val="12"/>
                <w:lang w:val="en-US"/>
              </w:rPr>
              <w:t>Target</w:t>
            </w:r>
            <w:r w:rsidR="00A954D0" w:rsidRPr="008379CA">
              <w:rPr>
                <w:rFonts w:ascii="Bookman Old Style" w:hAnsi="Bookman Old Style" w:cs="Calibri"/>
                <w:bCs/>
                <w:sz w:val="12"/>
                <w:szCs w:val="12"/>
                <w:lang w:val="en-US"/>
              </w:rPr>
              <w:t xml:space="preserve"> </w:t>
            </w:r>
            <w:r w:rsidR="005A01E3" w:rsidRPr="008379CA">
              <w:rPr>
                <w:rFonts w:ascii="Bookman Old Style" w:hAnsi="Bookman Old Style" w:cs="Calibri"/>
                <w:bCs/>
                <w:sz w:val="12"/>
                <w:szCs w:val="12"/>
                <w:lang w:val="en-US"/>
              </w:rPr>
              <w:t>Rancangan</w:t>
            </w:r>
            <w:r w:rsidR="00A954D0" w:rsidRPr="008379CA">
              <w:rPr>
                <w:rFonts w:ascii="Bookman Old Style" w:hAnsi="Bookman Old Style" w:cs="Calibri"/>
                <w:bCs/>
                <w:sz w:val="12"/>
                <w:szCs w:val="12"/>
                <w:lang w:val="en-US"/>
              </w:rPr>
              <w:t xml:space="preserve"> </w:t>
            </w:r>
            <w:r w:rsidRPr="008379CA">
              <w:rPr>
                <w:rFonts w:ascii="Bookman Old Style" w:hAnsi="Bookman Old Style" w:cs="Calibri"/>
                <w:bCs/>
                <w:sz w:val="12"/>
                <w:szCs w:val="12"/>
                <w:lang w:val="en-US"/>
              </w:rPr>
              <w:t>APBD</w:t>
            </w:r>
            <w:r w:rsidR="00A954D0" w:rsidRPr="008379CA">
              <w:rPr>
                <w:rFonts w:ascii="Bookman Old Style" w:hAnsi="Bookman Old Style" w:cs="Calibri"/>
                <w:bCs/>
                <w:sz w:val="12"/>
                <w:szCs w:val="12"/>
                <w:lang w:val="en-US"/>
              </w:rPr>
              <w:t xml:space="preserve"> </w:t>
            </w:r>
            <w:r w:rsidRPr="008379CA">
              <w:rPr>
                <w:rFonts w:ascii="Bookman Old Style" w:hAnsi="Bookman Old Style" w:cs="Calibri"/>
                <w:bCs/>
                <w:sz w:val="12"/>
                <w:szCs w:val="12"/>
                <w:lang w:val="en-US"/>
              </w:rPr>
              <w:t>Tahun</w:t>
            </w:r>
            <w:r w:rsidR="00A954D0" w:rsidRPr="008379CA">
              <w:rPr>
                <w:rFonts w:ascii="Bookman Old Style" w:hAnsi="Bookman Old Style" w:cs="Calibri"/>
                <w:bCs/>
                <w:sz w:val="12"/>
                <w:szCs w:val="12"/>
                <w:lang w:val="en-US"/>
              </w:rPr>
              <w:t xml:space="preserve"> </w:t>
            </w:r>
            <w:r w:rsidRPr="008379CA">
              <w:rPr>
                <w:rFonts w:ascii="Bookman Old Style" w:hAnsi="Bookman Old Style" w:cs="Calibri"/>
                <w:bCs/>
                <w:sz w:val="12"/>
                <w:szCs w:val="12"/>
                <w:lang w:val="en-US"/>
              </w:rPr>
              <w:t>Anggaran</w:t>
            </w:r>
            <w:r w:rsidR="00A954D0" w:rsidRPr="008379CA">
              <w:rPr>
                <w:rFonts w:ascii="Bookman Old Style" w:hAnsi="Bookman Old Style" w:cs="Calibri"/>
                <w:bCs/>
                <w:sz w:val="12"/>
                <w:szCs w:val="12"/>
                <w:lang w:val="en-US"/>
              </w:rPr>
              <w:t xml:space="preserve"> </w:t>
            </w:r>
            <w:r w:rsidRPr="008379CA">
              <w:rPr>
                <w:rFonts w:ascii="Bookman Old Style" w:hAnsi="Bookman Old Style" w:cs="Calibri"/>
                <w:bCs/>
                <w:sz w:val="12"/>
                <w:szCs w:val="12"/>
                <w:lang w:val="en-US"/>
              </w:rPr>
              <w:t>2025</w:t>
            </w:r>
            <w:r w:rsidRPr="008379CA">
              <w:rPr>
                <w:rFonts w:ascii="Bookman Old Style" w:hAnsi="Bookman Old Style" w:cs="Calibri"/>
                <w:bCs/>
                <w:sz w:val="12"/>
                <w:szCs w:val="12"/>
                <w:lang w:val="en-US"/>
              </w:rPr>
              <w:br/>
              <w:t>(Rp)</w:t>
            </w:r>
          </w:p>
        </w:tc>
        <w:tc>
          <w:tcPr>
            <w:tcW w:w="849" w:type="dxa"/>
            <w:shd w:val="clear" w:color="auto" w:fill="auto"/>
            <w:vAlign w:val="center"/>
            <w:hideMark/>
          </w:tcPr>
          <w:p w14:paraId="08604075" w14:textId="5F262373" w:rsidR="000C0A56" w:rsidRPr="008379CA" w:rsidRDefault="000C0A56" w:rsidP="00DB3A3A">
            <w:pPr>
              <w:jc w:val="center"/>
              <w:rPr>
                <w:rFonts w:ascii="Bookman Old Style" w:hAnsi="Bookman Old Style" w:cs="Calibri"/>
                <w:sz w:val="12"/>
                <w:szCs w:val="12"/>
                <w:lang w:val="sv-FI"/>
              </w:rPr>
            </w:pPr>
            <w:r w:rsidRPr="008379CA">
              <w:rPr>
                <w:rFonts w:ascii="Bookman Old Style" w:hAnsi="Bookman Old Style" w:cs="Calibri"/>
                <w:sz w:val="12"/>
                <w:szCs w:val="12"/>
                <w:lang w:val="sv-FI"/>
              </w:rPr>
              <w:t>Rasio</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dari</w:t>
            </w:r>
            <w:r w:rsidR="00A954D0" w:rsidRPr="008379CA">
              <w:rPr>
                <w:rFonts w:ascii="Bookman Old Style" w:hAnsi="Bookman Old Style" w:cs="Calibri"/>
                <w:sz w:val="12"/>
                <w:szCs w:val="12"/>
                <w:lang w:val="id-ID"/>
              </w:rPr>
              <w:t xml:space="preserve"> </w:t>
            </w:r>
            <w:r w:rsidRPr="008379CA">
              <w:rPr>
                <w:rFonts w:ascii="Bookman Old Style" w:hAnsi="Bookman Old Style" w:cs="Calibri"/>
                <w:sz w:val="12"/>
                <w:szCs w:val="12"/>
                <w:lang w:val="sv-FI"/>
              </w:rPr>
              <w:t>Target</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APBD</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Tahun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Anggaran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2023</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dan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Target</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APBD</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Tahun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Anggaran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2022</w:t>
            </w:r>
          </w:p>
          <w:p w14:paraId="6F958591" w14:textId="77777777" w:rsidR="000C0A56" w:rsidRPr="008379CA" w:rsidRDefault="000C0A56" w:rsidP="00DB3A3A">
            <w:pPr>
              <w:jc w:val="center"/>
              <w:rPr>
                <w:rFonts w:ascii="Bookman Old Style" w:hAnsi="Bookman Old Style" w:cs="Calibri"/>
                <w:bCs/>
                <w:sz w:val="12"/>
                <w:szCs w:val="12"/>
                <w:lang w:val="en-US"/>
              </w:rPr>
            </w:pPr>
            <w:r w:rsidRPr="008379CA">
              <w:rPr>
                <w:rFonts w:ascii="Bookman Old Style" w:hAnsi="Bookman Old Style" w:cs="Calibri"/>
                <w:sz w:val="12"/>
                <w:szCs w:val="12"/>
              </w:rPr>
              <w:t>(%)</w:t>
            </w:r>
          </w:p>
          <w:p w14:paraId="56320D4D" w14:textId="6959D424" w:rsidR="000C0A56" w:rsidRPr="008379CA" w:rsidRDefault="00A954D0" w:rsidP="00DB3A3A">
            <w:pPr>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 xml:space="preserve"> </w:t>
            </w:r>
          </w:p>
        </w:tc>
        <w:tc>
          <w:tcPr>
            <w:tcW w:w="850" w:type="dxa"/>
            <w:shd w:val="clear" w:color="auto" w:fill="auto"/>
            <w:vAlign w:val="center"/>
            <w:hideMark/>
          </w:tcPr>
          <w:p w14:paraId="5935261A" w14:textId="0164D952" w:rsidR="000C0A56" w:rsidRPr="008379CA" w:rsidRDefault="000C0A56" w:rsidP="00DB3A3A">
            <w:pPr>
              <w:jc w:val="center"/>
              <w:rPr>
                <w:rFonts w:ascii="Bookman Old Style" w:hAnsi="Bookman Old Style" w:cs="Calibri"/>
                <w:sz w:val="12"/>
                <w:szCs w:val="12"/>
                <w:lang w:val="sv-FI"/>
              </w:rPr>
            </w:pPr>
            <w:r w:rsidRPr="008379CA">
              <w:rPr>
                <w:rFonts w:ascii="Bookman Old Style" w:hAnsi="Bookman Old Style" w:cs="Calibri"/>
                <w:sz w:val="12"/>
                <w:szCs w:val="12"/>
                <w:lang w:val="sv-FI"/>
              </w:rPr>
              <w:t>Rasio</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dari</w:t>
            </w:r>
            <w:r w:rsidR="00A954D0" w:rsidRPr="008379CA">
              <w:rPr>
                <w:rFonts w:ascii="Bookman Old Style" w:hAnsi="Bookman Old Style" w:cs="Calibri"/>
                <w:sz w:val="12"/>
                <w:szCs w:val="12"/>
                <w:lang w:val="id-ID"/>
              </w:rPr>
              <w:t xml:space="preserve"> </w:t>
            </w:r>
            <w:r w:rsidRPr="008379CA">
              <w:rPr>
                <w:rFonts w:ascii="Bookman Old Style" w:hAnsi="Bookman Old Style" w:cs="Calibri"/>
                <w:sz w:val="12"/>
                <w:szCs w:val="12"/>
                <w:lang w:val="sv-FI"/>
              </w:rPr>
              <w:t>Target</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APBD</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Tahun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Anggaran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2024</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dan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Target</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APBD</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Tahun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Anggaran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2023</w:t>
            </w:r>
          </w:p>
          <w:p w14:paraId="67039932" w14:textId="77777777" w:rsidR="000C0A56" w:rsidRPr="008379CA" w:rsidRDefault="000C0A56" w:rsidP="00DB3A3A">
            <w:pPr>
              <w:jc w:val="center"/>
              <w:rPr>
                <w:rFonts w:ascii="Bookman Old Style" w:hAnsi="Bookman Old Style" w:cs="Calibri"/>
                <w:bCs/>
                <w:sz w:val="12"/>
                <w:szCs w:val="12"/>
                <w:lang w:val="en-US"/>
              </w:rPr>
            </w:pPr>
            <w:r w:rsidRPr="008379CA">
              <w:rPr>
                <w:rFonts w:ascii="Bookman Old Style" w:hAnsi="Bookman Old Style" w:cs="Calibri"/>
                <w:sz w:val="12"/>
                <w:szCs w:val="12"/>
              </w:rPr>
              <w:t>(%)</w:t>
            </w:r>
          </w:p>
          <w:p w14:paraId="101906A2" w14:textId="19C38768" w:rsidR="000C0A56" w:rsidRPr="008379CA" w:rsidRDefault="00A954D0" w:rsidP="00DB3A3A">
            <w:pPr>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 xml:space="preserve"> </w:t>
            </w:r>
          </w:p>
        </w:tc>
        <w:tc>
          <w:tcPr>
            <w:tcW w:w="992" w:type="dxa"/>
            <w:shd w:val="clear" w:color="auto" w:fill="auto"/>
            <w:vAlign w:val="center"/>
            <w:hideMark/>
          </w:tcPr>
          <w:p w14:paraId="2B2024CF" w14:textId="1A4F17B4" w:rsidR="000C0A56" w:rsidRPr="008379CA" w:rsidRDefault="000C0A56" w:rsidP="00DB3A3A">
            <w:pPr>
              <w:jc w:val="center"/>
              <w:rPr>
                <w:rFonts w:ascii="Bookman Old Style" w:hAnsi="Bookman Old Style" w:cs="Calibri"/>
                <w:sz w:val="12"/>
                <w:szCs w:val="12"/>
                <w:lang w:val="sv-FI"/>
              </w:rPr>
            </w:pPr>
            <w:r w:rsidRPr="008379CA">
              <w:rPr>
                <w:rFonts w:ascii="Bookman Old Style" w:hAnsi="Bookman Old Style" w:cs="Calibri"/>
                <w:sz w:val="12"/>
                <w:szCs w:val="12"/>
                <w:lang w:val="sv-FI"/>
              </w:rPr>
              <w:t>Rasio</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dari</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Target</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Rancangan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APBD</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Tahun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Anggaran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2025</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dan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Target</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APBD</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Tahun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Anggaran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2024</w:t>
            </w:r>
          </w:p>
          <w:p w14:paraId="0B30D645" w14:textId="77777777" w:rsidR="000C0A56" w:rsidRPr="008379CA" w:rsidRDefault="000C0A56" w:rsidP="00DB3A3A">
            <w:pPr>
              <w:jc w:val="center"/>
              <w:rPr>
                <w:rFonts w:ascii="Bookman Old Style" w:hAnsi="Bookman Old Style" w:cs="Calibri"/>
                <w:bCs/>
                <w:sz w:val="12"/>
                <w:szCs w:val="12"/>
                <w:lang w:val="en-US"/>
              </w:rPr>
            </w:pPr>
            <w:r w:rsidRPr="008379CA">
              <w:rPr>
                <w:rFonts w:ascii="Bookman Old Style" w:hAnsi="Bookman Old Style" w:cs="Calibri"/>
                <w:sz w:val="12"/>
                <w:szCs w:val="12"/>
              </w:rPr>
              <w:t>(%)</w:t>
            </w:r>
          </w:p>
          <w:p w14:paraId="6B98C9F7" w14:textId="110B6322" w:rsidR="000C0A56" w:rsidRPr="008379CA" w:rsidRDefault="00A954D0" w:rsidP="00DB3A3A">
            <w:pPr>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 xml:space="preserve"> </w:t>
            </w:r>
          </w:p>
        </w:tc>
        <w:tc>
          <w:tcPr>
            <w:tcW w:w="709" w:type="dxa"/>
            <w:shd w:val="clear" w:color="auto" w:fill="auto"/>
            <w:vAlign w:val="center"/>
            <w:hideMark/>
          </w:tcPr>
          <w:p w14:paraId="5F88EBB6" w14:textId="77777777" w:rsidR="000C0A56" w:rsidRPr="008379CA" w:rsidRDefault="000C0A56" w:rsidP="00DB3A3A">
            <w:pPr>
              <w:jc w:val="center"/>
              <w:rPr>
                <w:rFonts w:ascii="Bookman Old Style" w:hAnsi="Bookman Old Style" w:cs="Calibri"/>
                <w:sz w:val="12"/>
                <w:szCs w:val="12"/>
                <w:lang w:val="en-US"/>
              </w:rPr>
            </w:pPr>
            <w:r w:rsidRPr="008379CA">
              <w:rPr>
                <w:rFonts w:ascii="Bookman Old Style" w:hAnsi="Bookman Old Style" w:cs="Calibri"/>
                <w:sz w:val="12"/>
                <w:szCs w:val="12"/>
                <w:lang w:val="en-US"/>
              </w:rPr>
              <w:t>Rata-Rata</w:t>
            </w:r>
          </w:p>
          <w:p w14:paraId="22C77D03" w14:textId="52C55C94" w:rsidR="000C0A56" w:rsidRPr="008379CA" w:rsidRDefault="00A954D0" w:rsidP="00DB3A3A">
            <w:pPr>
              <w:jc w:val="center"/>
              <w:rPr>
                <w:rFonts w:ascii="Bookman Old Style" w:hAnsi="Bookman Old Style" w:cs="Calibri"/>
                <w:sz w:val="12"/>
                <w:szCs w:val="12"/>
              </w:rPr>
            </w:pPr>
            <w:r w:rsidRPr="008379CA">
              <w:rPr>
                <w:rFonts w:ascii="Bookman Old Style" w:hAnsi="Bookman Old Style" w:cs="Calibri"/>
                <w:sz w:val="12"/>
                <w:szCs w:val="12"/>
                <w:lang w:val="en-US"/>
              </w:rPr>
              <w:t xml:space="preserve"> </w:t>
            </w:r>
            <w:r w:rsidR="000C0A56" w:rsidRPr="008379CA">
              <w:rPr>
                <w:rFonts w:ascii="Bookman Old Style" w:hAnsi="Bookman Old Style" w:cs="Calibri"/>
                <w:sz w:val="12"/>
                <w:szCs w:val="12"/>
                <w:lang w:val="en-US"/>
              </w:rPr>
              <w:t>Rasio</w:t>
            </w:r>
            <w:r w:rsidRPr="008379CA">
              <w:rPr>
                <w:rFonts w:ascii="Bookman Old Style" w:hAnsi="Bookman Old Style" w:cs="Calibri"/>
                <w:sz w:val="12"/>
                <w:szCs w:val="12"/>
                <w:lang w:val="id-ID"/>
              </w:rPr>
              <w:t xml:space="preserve"> </w:t>
            </w:r>
          </w:p>
          <w:p w14:paraId="5A139209" w14:textId="77777777" w:rsidR="000C0A56" w:rsidRPr="008379CA" w:rsidRDefault="000C0A56" w:rsidP="00DB3A3A">
            <w:pPr>
              <w:jc w:val="center"/>
              <w:rPr>
                <w:rFonts w:ascii="Bookman Old Style" w:hAnsi="Bookman Old Style" w:cs="Calibri"/>
                <w:bCs/>
                <w:sz w:val="12"/>
                <w:szCs w:val="12"/>
                <w:lang w:val="en-US"/>
              </w:rPr>
            </w:pPr>
            <w:r w:rsidRPr="008379CA">
              <w:rPr>
                <w:rFonts w:ascii="Bookman Old Style" w:hAnsi="Bookman Old Style" w:cs="Calibri"/>
                <w:sz w:val="12"/>
                <w:szCs w:val="12"/>
              </w:rPr>
              <w:t>(%)</w:t>
            </w:r>
          </w:p>
          <w:p w14:paraId="3BD65B15" w14:textId="016C801A" w:rsidR="000C0A56" w:rsidRPr="008379CA" w:rsidRDefault="00A954D0" w:rsidP="00DB3A3A">
            <w:pPr>
              <w:rPr>
                <w:rFonts w:ascii="Bookman Old Style" w:hAnsi="Bookman Old Style" w:cs="Calibri"/>
                <w:bCs/>
                <w:sz w:val="12"/>
                <w:szCs w:val="12"/>
                <w:lang w:val="en-US"/>
              </w:rPr>
            </w:pPr>
            <w:r w:rsidRPr="008379CA">
              <w:rPr>
                <w:rFonts w:ascii="Bookman Old Style" w:hAnsi="Bookman Old Style" w:cs="Calibri"/>
                <w:sz w:val="12"/>
                <w:szCs w:val="12"/>
                <w:lang w:val="en-US"/>
              </w:rPr>
              <w:t xml:space="preserve"> </w:t>
            </w:r>
          </w:p>
        </w:tc>
      </w:tr>
      <w:tr w:rsidR="008379CA" w:rsidRPr="008379CA" w14:paraId="3E0EF5C5" w14:textId="77777777" w:rsidTr="00DA7786">
        <w:trPr>
          <w:trHeight w:val="340"/>
        </w:trPr>
        <w:tc>
          <w:tcPr>
            <w:tcW w:w="1418" w:type="dxa"/>
            <w:vMerge/>
            <w:vAlign w:val="center"/>
            <w:hideMark/>
          </w:tcPr>
          <w:p w14:paraId="6E11A81F" w14:textId="77777777" w:rsidR="000C0A56" w:rsidRPr="008379CA" w:rsidRDefault="000C0A56" w:rsidP="00DB3A3A">
            <w:pPr>
              <w:rPr>
                <w:rFonts w:ascii="Bookman Old Style" w:hAnsi="Bookman Old Style" w:cs="Calibri"/>
                <w:bCs/>
                <w:sz w:val="12"/>
                <w:szCs w:val="12"/>
                <w:lang w:val="en-US"/>
              </w:rPr>
            </w:pPr>
          </w:p>
        </w:tc>
        <w:tc>
          <w:tcPr>
            <w:tcW w:w="1531" w:type="dxa"/>
            <w:shd w:val="clear" w:color="auto" w:fill="auto"/>
            <w:vAlign w:val="center"/>
            <w:hideMark/>
          </w:tcPr>
          <w:p w14:paraId="366B9E41" w14:textId="77777777" w:rsidR="000C0A56" w:rsidRPr="008379CA" w:rsidRDefault="000C0A56" w:rsidP="00EA31BD">
            <w:pPr>
              <w:ind w:left="-101"/>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Target</w:t>
            </w:r>
          </w:p>
        </w:tc>
        <w:tc>
          <w:tcPr>
            <w:tcW w:w="1560" w:type="dxa"/>
            <w:shd w:val="clear" w:color="auto" w:fill="auto"/>
            <w:vAlign w:val="center"/>
            <w:hideMark/>
          </w:tcPr>
          <w:p w14:paraId="59A2FA27" w14:textId="77777777" w:rsidR="000C0A56" w:rsidRPr="008379CA" w:rsidRDefault="000C0A56" w:rsidP="00EA31BD">
            <w:pPr>
              <w:ind w:left="-102"/>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Realisasi</w:t>
            </w:r>
          </w:p>
        </w:tc>
        <w:tc>
          <w:tcPr>
            <w:tcW w:w="710" w:type="dxa"/>
            <w:vMerge/>
            <w:shd w:val="clear" w:color="auto" w:fill="auto"/>
            <w:vAlign w:val="center"/>
            <w:hideMark/>
          </w:tcPr>
          <w:p w14:paraId="5C63A280" w14:textId="77777777" w:rsidR="000C0A56" w:rsidRPr="008379CA" w:rsidRDefault="000C0A56" w:rsidP="00DB3A3A">
            <w:pPr>
              <w:jc w:val="center"/>
              <w:rPr>
                <w:rFonts w:ascii="Bookman Old Style" w:hAnsi="Bookman Old Style" w:cs="Calibri"/>
                <w:bCs/>
                <w:sz w:val="12"/>
                <w:szCs w:val="12"/>
                <w:lang w:val="en-US"/>
              </w:rPr>
            </w:pPr>
          </w:p>
        </w:tc>
        <w:tc>
          <w:tcPr>
            <w:tcW w:w="1558" w:type="dxa"/>
            <w:shd w:val="clear" w:color="auto" w:fill="auto"/>
            <w:vAlign w:val="center"/>
            <w:hideMark/>
          </w:tcPr>
          <w:p w14:paraId="755DFDC3" w14:textId="77777777" w:rsidR="000C0A56" w:rsidRPr="008379CA" w:rsidRDefault="000C0A56" w:rsidP="00EA31BD">
            <w:pPr>
              <w:ind w:left="-114"/>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Target</w:t>
            </w:r>
          </w:p>
        </w:tc>
        <w:tc>
          <w:tcPr>
            <w:tcW w:w="1559" w:type="dxa"/>
            <w:shd w:val="clear" w:color="auto" w:fill="auto"/>
            <w:vAlign w:val="center"/>
            <w:hideMark/>
          </w:tcPr>
          <w:p w14:paraId="31DD05F2" w14:textId="77777777" w:rsidR="000C0A56" w:rsidRPr="008379CA" w:rsidRDefault="000C0A56" w:rsidP="00EA31BD">
            <w:pPr>
              <w:ind w:left="-100"/>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Realisasi</w:t>
            </w:r>
          </w:p>
        </w:tc>
        <w:tc>
          <w:tcPr>
            <w:tcW w:w="709" w:type="dxa"/>
            <w:shd w:val="clear" w:color="auto" w:fill="auto"/>
            <w:vAlign w:val="center"/>
            <w:hideMark/>
          </w:tcPr>
          <w:p w14:paraId="0739E22B" w14:textId="77777777" w:rsidR="000C0A56" w:rsidRPr="008379CA" w:rsidRDefault="000C0A56" w:rsidP="00DB3A3A">
            <w:pPr>
              <w:jc w:val="center"/>
              <w:rPr>
                <w:rFonts w:ascii="Bookman Old Style" w:hAnsi="Bookman Old Style" w:cs="Calibri"/>
                <w:bCs/>
                <w:sz w:val="12"/>
                <w:szCs w:val="12"/>
                <w:lang w:val="en-US"/>
              </w:rPr>
            </w:pPr>
          </w:p>
        </w:tc>
        <w:tc>
          <w:tcPr>
            <w:tcW w:w="1559" w:type="dxa"/>
            <w:shd w:val="clear" w:color="auto" w:fill="auto"/>
            <w:vAlign w:val="center"/>
            <w:hideMark/>
          </w:tcPr>
          <w:p w14:paraId="52A64983" w14:textId="77777777" w:rsidR="000C0A56" w:rsidRPr="008379CA" w:rsidRDefault="000C0A56" w:rsidP="00EA31BD">
            <w:pPr>
              <w:ind w:left="-112"/>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Target</w:t>
            </w:r>
          </w:p>
        </w:tc>
        <w:tc>
          <w:tcPr>
            <w:tcW w:w="1560" w:type="dxa"/>
            <w:shd w:val="clear" w:color="auto" w:fill="auto"/>
            <w:vAlign w:val="center"/>
            <w:hideMark/>
          </w:tcPr>
          <w:p w14:paraId="505F01C7" w14:textId="2138533C" w:rsidR="000C0A56" w:rsidRPr="008379CA" w:rsidRDefault="000C0A56" w:rsidP="00EA31BD">
            <w:pPr>
              <w:ind w:left="-112"/>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Realisasi</w:t>
            </w:r>
            <w:r w:rsidR="00A954D0" w:rsidRPr="008379CA">
              <w:rPr>
                <w:rFonts w:ascii="Bookman Old Style" w:hAnsi="Bookman Old Style" w:cs="Calibri"/>
                <w:bCs/>
                <w:sz w:val="12"/>
                <w:szCs w:val="12"/>
                <w:lang w:val="en-US"/>
              </w:rPr>
              <w:t xml:space="preserve"> </w:t>
            </w:r>
            <w:r w:rsidRPr="008379CA">
              <w:rPr>
                <w:rFonts w:ascii="Bookman Old Style" w:hAnsi="Bookman Old Style" w:cs="Calibri"/>
                <w:bCs/>
                <w:sz w:val="12"/>
                <w:szCs w:val="12"/>
                <w:lang w:val="en-US"/>
              </w:rPr>
              <w:t>*)</w:t>
            </w:r>
          </w:p>
        </w:tc>
        <w:tc>
          <w:tcPr>
            <w:tcW w:w="708" w:type="dxa"/>
            <w:shd w:val="clear" w:color="auto" w:fill="auto"/>
            <w:vAlign w:val="center"/>
            <w:hideMark/>
          </w:tcPr>
          <w:p w14:paraId="67D40B4E" w14:textId="77777777" w:rsidR="000C0A56" w:rsidRPr="008379CA" w:rsidRDefault="000C0A56" w:rsidP="00DB3A3A">
            <w:pPr>
              <w:jc w:val="center"/>
              <w:rPr>
                <w:rFonts w:ascii="Bookman Old Style" w:hAnsi="Bookman Old Style" w:cs="Calibri"/>
                <w:bCs/>
                <w:sz w:val="12"/>
                <w:szCs w:val="12"/>
                <w:lang w:val="en-US"/>
              </w:rPr>
            </w:pPr>
          </w:p>
        </w:tc>
        <w:tc>
          <w:tcPr>
            <w:tcW w:w="1560" w:type="dxa"/>
            <w:vAlign w:val="center"/>
          </w:tcPr>
          <w:p w14:paraId="62F46B60" w14:textId="77777777" w:rsidR="000C0A56" w:rsidRPr="008379CA" w:rsidRDefault="000C0A56" w:rsidP="00DB3A3A">
            <w:pPr>
              <w:jc w:val="center"/>
              <w:rPr>
                <w:rFonts w:ascii="Bookman Old Style" w:hAnsi="Bookman Old Style" w:cs="Calibri"/>
                <w:bCs/>
                <w:sz w:val="12"/>
                <w:szCs w:val="12"/>
                <w:lang w:val="en-US"/>
              </w:rPr>
            </w:pPr>
          </w:p>
        </w:tc>
        <w:tc>
          <w:tcPr>
            <w:tcW w:w="849" w:type="dxa"/>
            <w:shd w:val="clear" w:color="auto" w:fill="auto"/>
            <w:vAlign w:val="center"/>
            <w:hideMark/>
          </w:tcPr>
          <w:p w14:paraId="4CC28B46" w14:textId="415E8A82" w:rsidR="000C0A56" w:rsidRPr="008379CA" w:rsidRDefault="000C0A56" w:rsidP="00DB3A3A">
            <w:pPr>
              <w:jc w:val="center"/>
              <w:rPr>
                <w:rFonts w:ascii="Bookman Old Style" w:hAnsi="Bookman Old Style" w:cs="Calibri"/>
                <w:bCs/>
                <w:sz w:val="12"/>
                <w:szCs w:val="12"/>
                <w:lang w:val="en-US"/>
              </w:rPr>
            </w:pPr>
          </w:p>
        </w:tc>
        <w:tc>
          <w:tcPr>
            <w:tcW w:w="850" w:type="dxa"/>
            <w:shd w:val="clear" w:color="auto" w:fill="auto"/>
            <w:vAlign w:val="center"/>
            <w:hideMark/>
          </w:tcPr>
          <w:p w14:paraId="5E65D166" w14:textId="77777777" w:rsidR="000C0A56" w:rsidRPr="008379CA" w:rsidRDefault="000C0A56" w:rsidP="00DB3A3A">
            <w:pPr>
              <w:jc w:val="center"/>
              <w:rPr>
                <w:rFonts w:ascii="Bookman Old Style" w:hAnsi="Bookman Old Style" w:cs="Calibri"/>
                <w:bCs/>
                <w:sz w:val="12"/>
                <w:szCs w:val="12"/>
                <w:lang w:val="en-US"/>
              </w:rPr>
            </w:pPr>
          </w:p>
        </w:tc>
        <w:tc>
          <w:tcPr>
            <w:tcW w:w="992" w:type="dxa"/>
            <w:shd w:val="clear" w:color="auto" w:fill="auto"/>
            <w:vAlign w:val="center"/>
            <w:hideMark/>
          </w:tcPr>
          <w:p w14:paraId="031F0F26" w14:textId="77777777" w:rsidR="000C0A56" w:rsidRPr="008379CA" w:rsidRDefault="000C0A56" w:rsidP="00DB3A3A">
            <w:pPr>
              <w:jc w:val="center"/>
              <w:rPr>
                <w:rFonts w:ascii="Bookman Old Style" w:hAnsi="Bookman Old Style" w:cs="Calibri"/>
                <w:bCs/>
                <w:sz w:val="12"/>
                <w:szCs w:val="12"/>
                <w:lang w:val="en-US"/>
              </w:rPr>
            </w:pPr>
          </w:p>
        </w:tc>
        <w:tc>
          <w:tcPr>
            <w:tcW w:w="709" w:type="dxa"/>
            <w:shd w:val="clear" w:color="auto" w:fill="auto"/>
            <w:noWrap/>
            <w:vAlign w:val="center"/>
            <w:hideMark/>
          </w:tcPr>
          <w:p w14:paraId="5994D728" w14:textId="77777777" w:rsidR="000C0A56" w:rsidRPr="008379CA" w:rsidRDefault="000C0A56" w:rsidP="00DB3A3A">
            <w:pPr>
              <w:rPr>
                <w:rFonts w:ascii="Bookman Old Style" w:hAnsi="Bookman Old Style" w:cs="Calibri"/>
                <w:sz w:val="12"/>
                <w:szCs w:val="12"/>
                <w:lang w:val="en-US"/>
              </w:rPr>
            </w:pPr>
          </w:p>
        </w:tc>
      </w:tr>
      <w:tr w:rsidR="008379CA" w:rsidRPr="008379CA" w14:paraId="68AE3B71" w14:textId="77777777" w:rsidTr="00DA7786">
        <w:trPr>
          <w:trHeight w:val="340"/>
        </w:trPr>
        <w:tc>
          <w:tcPr>
            <w:tcW w:w="1418" w:type="dxa"/>
            <w:shd w:val="clear" w:color="auto" w:fill="auto"/>
            <w:vAlign w:val="center"/>
          </w:tcPr>
          <w:p w14:paraId="5EF7680C" w14:textId="2DFAAC22" w:rsidR="00C517FC" w:rsidRPr="008379CA" w:rsidRDefault="0047356A" w:rsidP="0047356A">
            <w:pPr>
              <w:jc w:val="center"/>
              <w:rPr>
                <w:rFonts w:ascii="Bookman Old Style" w:hAnsi="Bookman Old Style" w:cs="Calibri"/>
                <w:b/>
                <w:bCs/>
                <w:sz w:val="12"/>
                <w:szCs w:val="12"/>
                <w:lang w:val="en-US"/>
              </w:rPr>
            </w:pPr>
            <w:r w:rsidRPr="008379CA">
              <w:rPr>
                <w:rFonts w:ascii="Bookman Old Style" w:hAnsi="Bookman Old Style" w:cs="Calibri"/>
                <w:b/>
                <w:bCs/>
                <w:sz w:val="12"/>
                <w:szCs w:val="12"/>
                <w:lang w:val="en-US"/>
              </w:rPr>
              <w:t>1</w:t>
            </w:r>
          </w:p>
        </w:tc>
        <w:tc>
          <w:tcPr>
            <w:tcW w:w="1531" w:type="dxa"/>
            <w:shd w:val="clear" w:color="auto" w:fill="auto"/>
            <w:vAlign w:val="center"/>
          </w:tcPr>
          <w:p w14:paraId="545F7A43" w14:textId="39A8B6A1" w:rsidR="00C517FC" w:rsidRPr="008379CA" w:rsidRDefault="0047356A" w:rsidP="00EA31BD">
            <w:pPr>
              <w:ind w:left="-101"/>
              <w:jc w:val="center"/>
              <w:rPr>
                <w:rFonts w:ascii="Bookman Old Style" w:hAnsi="Bookman Old Style" w:cs="Calibri"/>
                <w:b/>
                <w:bCs/>
                <w:sz w:val="12"/>
                <w:szCs w:val="12"/>
                <w:lang w:val="en-US"/>
              </w:rPr>
            </w:pPr>
            <w:r w:rsidRPr="008379CA">
              <w:rPr>
                <w:rFonts w:ascii="Bookman Old Style" w:hAnsi="Bookman Old Style" w:cs="Calibri"/>
                <w:b/>
                <w:bCs/>
                <w:sz w:val="12"/>
                <w:szCs w:val="12"/>
                <w:lang w:val="en-US"/>
              </w:rPr>
              <w:t>2</w:t>
            </w:r>
          </w:p>
        </w:tc>
        <w:tc>
          <w:tcPr>
            <w:tcW w:w="1560" w:type="dxa"/>
            <w:shd w:val="clear" w:color="auto" w:fill="auto"/>
            <w:vAlign w:val="center"/>
          </w:tcPr>
          <w:p w14:paraId="6DE23760" w14:textId="18731B54" w:rsidR="00C517FC" w:rsidRPr="008379CA" w:rsidRDefault="0047356A" w:rsidP="00EA31BD">
            <w:pPr>
              <w:ind w:left="-102"/>
              <w:jc w:val="center"/>
              <w:rPr>
                <w:rFonts w:ascii="Bookman Old Style" w:hAnsi="Bookman Old Style" w:cs="Calibri"/>
                <w:b/>
                <w:bCs/>
                <w:sz w:val="12"/>
                <w:szCs w:val="12"/>
                <w:lang w:val="en-US"/>
              </w:rPr>
            </w:pPr>
            <w:r w:rsidRPr="008379CA">
              <w:rPr>
                <w:rFonts w:ascii="Bookman Old Style" w:hAnsi="Bookman Old Style" w:cs="Calibri"/>
                <w:b/>
                <w:bCs/>
                <w:sz w:val="12"/>
                <w:szCs w:val="12"/>
                <w:lang w:val="en-US"/>
              </w:rPr>
              <w:t>3</w:t>
            </w:r>
          </w:p>
        </w:tc>
        <w:tc>
          <w:tcPr>
            <w:tcW w:w="710" w:type="dxa"/>
            <w:shd w:val="clear" w:color="auto" w:fill="auto"/>
            <w:vAlign w:val="center"/>
          </w:tcPr>
          <w:p w14:paraId="1A735251" w14:textId="480D02E7" w:rsidR="00C517FC" w:rsidRPr="008379CA" w:rsidRDefault="0047356A" w:rsidP="0047356A">
            <w:pPr>
              <w:jc w:val="center"/>
              <w:rPr>
                <w:rFonts w:ascii="Bookman Old Style" w:hAnsi="Bookman Old Style" w:cs="Calibri"/>
                <w:b/>
                <w:bCs/>
                <w:sz w:val="12"/>
                <w:szCs w:val="12"/>
                <w:lang w:val="en-US"/>
              </w:rPr>
            </w:pPr>
            <w:r w:rsidRPr="008379CA">
              <w:rPr>
                <w:rFonts w:ascii="Bookman Old Style" w:hAnsi="Bookman Old Style" w:cs="Calibri"/>
                <w:b/>
                <w:bCs/>
                <w:sz w:val="12"/>
                <w:szCs w:val="12"/>
                <w:lang w:val="en-US"/>
              </w:rPr>
              <w:t>4=3/2</w:t>
            </w:r>
          </w:p>
        </w:tc>
        <w:tc>
          <w:tcPr>
            <w:tcW w:w="1558" w:type="dxa"/>
            <w:shd w:val="clear" w:color="auto" w:fill="auto"/>
            <w:vAlign w:val="center"/>
          </w:tcPr>
          <w:p w14:paraId="5529AB64" w14:textId="06D53675" w:rsidR="00C517FC" w:rsidRPr="008379CA" w:rsidRDefault="0047356A" w:rsidP="00EA31BD">
            <w:pPr>
              <w:ind w:left="-114"/>
              <w:jc w:val="center"/>
              <w:rPr>
                <w:rFonts w:ascii="Bookman Old Style" w:hAnsi="Bookman Old Style" w:cs="Calibri"/>
                <w:b/>
                <w:bCs/>
                <w:sz w:val="12"/>
                <w:szCs w:val="12"/>
                <w:lang w:val="en-US"/>
              </w:rPr>
            </w:pPr>
            <w:r w:rsidRPr="008379CA">
              <w:rPr>
                <w:rFonts w:ascii="Bookman Old Style" w:hAnsi="Bookman Old Style" w:cs="Calibri"/>
                <w:b/>
                <w:bCs/>
                <w:sz w:val="12"/>
                <w:szCs w:val="12"/>
                <w:lang w:val="en-US"/>
              </w:rPr>
              <w:t>5</w:t>
            </w:r>
          </w:p>
        </w:tc>
        <w:tc>
          <w:tcPr>
            <w:tcW w:w="1559" w:type="dxa"/>
            <w:shd w:val="clear" w:color="auto" w:fill="auto"/>
            <w:vAlign w:val="center"/>
          </w:tcPr>
          <w:p w14:paraId="3AA0FD7C" w14:textId="3C96DD5A" w:rsidR="00C517FC" w:rsidRPr="008379CA" w:rsidRDefault="0047356A" w:rsidP="00EA31BD">
            <w:pPr>
              <w:ind w:left="-100"/>
              <w:jc w:val="center"/>
              <w:rPr>
                <w:rFonts w:ascii="Bookman Old Style" w:hAnsi="Bookman Old Style" w:cs="Calibri"/>
                <w:b/>
                <w:bCs/>
                <w:sz w:val="12"/>
                <w:szCs w:val="12"/>
                <w:lang w:val="en-US"/>
              </w:rPr>
            </w:pPr>
            <w:r w:rsidRPr="008379CA">
              <w:rPr>
                <w:rFonts w:ascii="Bookman Old Style" w:hAnsi="Bookman Old Style" w:cs="Calibri"/>
                <w:b/>
                <w:bCs/>
                <w:sz w:val="12"/>
                <w:szCs w:val="12"/>
                <w:lang w:val="en-US"/>
              </w:rPr>
              <w:t>6</w:t>
            </w:r>
          </w:p>
        </w:tc>
        <w:tc>
          <w:tcPr>
            <w:tcW w:w="709" w:type="dxa"/>
            <w:shd w:val="clear" w:color="auto" w:fill="auto"/>
            <w:vAlign w:val="center"/>
          </w:tcPr>
          <w:p w14:paraId="4D2955F0" w14:textId="4CDB47AC" w:rsidR="00C517FC" w:rsidRPr="008379CA" w:rsidRDefault="0047356A" w:rsidP="0047356A">
            <w:pPr>
              <w:jc w:val="center"/>
              <w:rPr>
                <w:rFonts w:ascii="Bookman Old Style" w:hAnsi="Bookman Old Style" w:cs="Calibri"/>
                <w:b/>
                <w:bCs/>
                <w:sz w:val="12"/>
                <w:szCs w:val="12"/>
                <w:lang w:val="en-US"/>
              </w:rPr>
            </w:pPr>
            <w:r w:rsidRPr="008379CA">
              <w:rPr>
                <w:rFonts w:ascii="Bookman Old Style" w:hAnsi="Bookman Old Style" w:cs="Calibri"/>
                <w:b/>
                <w:bCs/>
                <w:sz w:val="12"/>
                <w:szCs w:val="12"/>
                <w:lang w:val="en-US"/>
              </w:rPr>
              <w:t>7=6/5</w:t>
            </w:r>
          </w:p>
        </w:tc>
        <w:tc>
          <w:tcPr>
            <w:tcW w:w="1559" w:type="dxa"/>
            <w:shd w:val="clear" w:color="auto" w:fill="auto"/>
            <w:vAlign w:val="center"/>
          </w:tcPr>
          <w:p w14:paraId="45D2B480" w14:textId="32D99F07" w:rsidR="00C517FC" w:rsidRPr="008379CA" w:rsidRDefault="0047356A" w:rsidP="00EA31BD">
            <w:pPr>
              <w:ind w:left="-112"/>
              <w:jc w:val="center"/>
              <w:rPr>
                <w:rFonts w:ascii="Bookman Old Style" w:hAnsi="Bookman Old Style" w:cs="Calibri"/>
                <w:b/>
                <w:bCs/>
                <w:sz w:val="12"/>
                <w:szCs w:val="12"/>
                <w:lang w:val="en-US"/>
              </w:rPr>
            </w:pPr>
            <w:r w:rsidRPr="008379CA">
              <w:rPr>
                <w:rFonts w:ascii="Bookman Old Style" w:hAnsi="Bookman Old Style" w:cs="Calibri"/>
                <w:b/>
                <w:bCs/>
                <w:sz w:val="12"/>
                <w:szCs w:val="12"/>
                <w:lang w:val="en-US"/>
              </w:rPr>
              <w:t>8</w:t>
            </w:r>
          </w:p>
        </w:tc>
        <w:tc>
          <w:tcPr>
            <w:tcW w:w="1560" w:type="dxa"/>
            <w:shd w:val="clear" w:color="auto" w:fill="auto"/>
            <w:vAlign w:val="center"/>
          </w:tcPr>
          <w:p w14:paraId="3F6363F3" w14:textId="61B6AEA1" w:rsidR="00C517FC" w:rsidRPr="008379CA" w:rsidRDefault="0047356A" w:rsidP="00EA31BD">
            <w:pPr>
              <w:ind w:left="-112"/>
              <w:jc w:val="center"/>
              <w:rPr>
                <w:rFonts w:ascii="Bookman Old Style" w:hAnsi="Bookman Old Style" w:cs="Calibri"/>
                <w:b/>
                <w:bCs/>
                <w:sz w:val="12"/>
                <w:szCs w:val="12"/>
                <w:lang w:val="en-US"/>
              </w:rPr>
            </w:pPr>
            <w:r w:rsidRPr="008379CA">
              <w:rPr>
                <w:rFonts w:ascii="Bookman Old Style" w:hAnsi="Bookman Old Style" w:cs="Calibri"/>
                <w:b/>
                <w:bCs/>
                <w:sz w:val="12"/>
                <w:szCs w:val="12"/>
                <w:lang w:val="en-US"/>
              </w:rPr>
              <w:t>9</w:t>
            </w:r>
          </w:p>
        </w:tc>
        <w:tc>
          <w:tcPr>
            <w:tcW w:w="708" w:type="dxa"/>
            <w:shd w:val="clear" w:color="auto" w:fill="auto"/>
            <w:vAlign w:val="center"/>
          </w:tcPr>
          <w:p w14:paraId="62FE25C3" w14:textId="2E4FA8F1" w:rsidR="00C517FC" w:rsidRPr="008379CA" w:rsidRDefault="0047356A" w:rsidP="0047356A">
            <w:pPr>
              <w:jc w:val="center"/>
              <w:rPr>
                <w:rFonts w:ascii="Bookman Old Style" w:hAnsi="Bookman Old Style" w:cs="Calibri"/>
                <w:b/>
                <w:bCs/>
                <w:sz w:val="12"/>
                <w:szCs w:val="12"/>
                <w:lang w:val="en-US"/>
              </w:rPr>
            </w:pPr>
            <w:r w:rsidRPr="008379CA">
              <w:rPr>
                <w:rFonts w:ascii="Bookman Old Style" w:hAnsi="Bookman Old Style" w:cs="Calibri"/>
                <w:b/>
                <w:bCs/>
                <w:sz w:val="12"/>
                <w:szCs w:val="12"/>
                <w:lang w:val="en-US"/>
              </w:rPr>
              <w:t>10=9/8</w:t>
            </w:r>
          </w:p>
        </w:tc>
        <w:tc>
          <w:tcPr>
            <w:tcW w:w="1560" w:type="dxa"/>
            <w:shd w:val="clear" w:color="auto" w:fill="auto"/>
            <w:vAlign w:val="center"/>
          </w:tcPr>
          <w:p w14:paraId="7B740F46" w14:textId="365A17C9" w:rsidR="00C517FC" w:rsidRPr="008379CA" w:rsidRDefault="0047356A" w:rsidP="00EA31BD">
            <w:pPr>
              <w:ind w:left="-110"/>
              <w:jc w:val="center"/>
              <w:rPr>
                <w:rFonts w:ascii="Bookman Old Style" w:hAnsi="Bookman Old Style" w:cs="Calibri"/>
                <w:b/>
                <w:bCs/>
                <w:sz w:val="12"/>
                <w:szCs w:val="12"/>
                <w:lang w:val="en-US"/>
              </w:rPr>
            </w:pPr>
            <w:r w:rsidRPr="008379CA">
              <w:rPr>
                <w:rFonts w:ascii="Bookman Old Style" w:hAnsi="Bookman Old Style" w:cs="Calibri"/>
                <w:b/>
                <w:bCs/>
                <w:sz w:val="12"/>
                <w:szCs w:val="12"/>
                <w:lang w:val="en-US"/>
              </w:rPr>
              <w:t>11</w:t>
            </w:r>
          </w:p>
        </w:tc>
        <w:tc>
          <w:tcPr>
            <w:tcW w:w="849" w:type="dxa"/>
            <w:shd w:val="clear" w:color="auto" w:fill="auto"/>
            <w:vAlign w:val="center"/>
          </w:tcPr>
          <w:p w14:paraId="4AFB846E" w14:textId="7BE8214D" w:rsidR="00C517FC" w:rsidRPr="008379CA" w:rsidRDefault="0047356A" w:rsidP="0047356A">
            <w:pPr>
              <w:jc w:val="center"/>
              <w:rPr>
                <w:rFonts w:ascii="Bookman Old Style" w:hAnsi="Bookman Old Style" w:cs="Calibri"/>
                <w:b/>
                <w:bCs/>
                <w:sz w:val="12"/>
                <w:szCs w:val="12"/>
                <w:lang w:val="en-US"/>
              </w:rPr>
            </w:pPr>
            <w:r w:rsidRPr="008379CA">
              <w:rPr>
                <w:rFonts w:ascii="Bookman Old Style" w:hAnsi="Bookman Old Style" w:cs="Calibri"/>
                <w:b/>
                <w:bCs/>
                <w:sz w:val="12"/>
                <w:szCs w:val="12"/>
                <w:lang w:val="en-US"/>
              </w:rPr>
              <w:t>12=5/2</w:t>
            </w:r>
          </w:p>
        </w:tc>
        <w:tc>
          <w:tcPr>
            <w:tcW w:w="850" w:type="dxa"/>
            <w:shd w:val="clear" w:color="auto" w:fill="auto"/>
            <w:vAlign w:val="center"/>
          </w:tcPr>
          <w:p w14:paraId="2E143A97" w14:textId="011B370D" w:rsidR="00C517FC" w:rsidRPr="008379CA" w:rsidRDefault="0047356A" w:rsidP="0047356A">
            <w:pPr>
              <w:jc w:val="center"/>
              <w:rPr>
                <w:rFonts w:ascii="Bookman Old Style" w:hAnsi="Bookman Old Style" w:cs="Calibri"/>
                <w:b/>
                <w:bCs/>
                <w:sz w:val="12"/>
                <w:szCs w:val="12"/>
                <w:lang w:val="en-US"/>
              </w:rPr>
            </w:pPr>
            <w:r w:rsidRPr="008379CA">
              <w:rPr>
                <w:rFonts w:ascii="Bookman Old Style" w:hAnsi="Bookman Old Style" w:cs="Calibri"/>
                <w:b/>
                <w:bCs/>
                <w:sz w:val="12"/>
                <w:szCs w:val="12"/>
                <w:lang w:val="en-US"/>
              </w:rPr>
              <w:t>13=8/5</w:t>
            </w:r>
          </w:p>
        </w:tc>
        <w:tc>
          <w:tcPr>
            <w:tcW w:w="992" w:type="dxa"/>
            <w:shd w:val="clear" w:color="auto" w:fill="auto"/>
            <w:vAlign w:val="center"/>
          </w:tcPr>
          <w:p w14:paraId="59188965" w14:textId="3D160D51" w:rsidR="00C517FC" w:rsidRPr="008379CA" w:rsidRDefault="0047356A" w:rsidP="0047356A">
            <w:pPr>
              <w:jc w:val="center"/>
              <w:rPr>
                <w:rFonts w:ascii="Bookman Old Style" w:hAnsi="Bookman Old Style" w:cs="Calibri"/>
                <w:b/>
                <w:bCs/>
                <w:sz w:val="12"/>
                <w:szCs w:val="12"/>
                <w:lang w:val="en-US"/>
              </w:rPr>
            </w:pPr>
            <w:r w:rsidRPr="008379CA">
              <w:rPr>
                <w:rFonts w:ascii="Bookman Old Style" w:hAnsi="Bookman Old Style" w:cs="Calibri"/>
                <w:b/>
                <w:bCs/>
                <w:sz w:val="12"/>
                <w:szCs w:val="12"/>
                <w:lang w:val="en-US"/>
              </w:rPr>
              <w:t>14=11/8</w:t>
            </w:r>
          </w:p>
        </w:tc>
        <w:tc>
          <w:tcPr>
            <w:tcW w:w="709" w:type="dxa"/>
            <w:shd w:val="clear" w:color="auto" w:fill="auto"/>
            <w:noWrap/>
            <w:vAlign w:val="center"/>
          </w:tcPr>
          <w:p w14:paraId="1D5BE007" w14:textId="19FFE3AB" w:rsidR="00C517FC" w:rsidRPr="008379CA" w:rsidRDefault="0047356A" w:rsidP="0047356A">
            <w:pPr>
              <w:jc w:val="center"/>
              <w:rPr>
                <w:rFonts w:ascii="Bookman Old Style" w:hAnsi="Bookman Old Style" w:cs="Calibri"/>
                <w:b/>
                <w:bCs/>
                <w:sz w:val="12"/>
                <w:szCs w:val="12"/>
                <w:lang w:val="en-US"/>
              </w:rPr>
            </w:pPr>
            <w:r w:rsidRPr="008379CA">
              <w:rPr>
                <w:rFonts w:ascii="Bookman Old Style" w:hAnsi="Bookman Old Style" w:cs="Calibri"/>
                <w:b/>
                <w:bCs/>
                <w:sz w:val="12"/>
                <w:szCs w:val="12"/>
                <w:lang w:val="en-US"/>
              </w:rPr>
              <w:t>15=(12+13+14)/3</w:t>
            </w:r>
          </w:p>
        </w:tc>
      </w:tr>
      <w:tr w:rsidR="008379CA" w:rsidRPr="008379CA" w14:paraId="50A20107" w14:textId="77777777" w:rsidTr="00DA7786">
        <w:trPr>
          <w:trHeight w:val="340"/>
        </w:trPr>
        <w:tc>
          <w:tcPr>
            <w:tcW w:w="1418" w:type="dxa"/>
            <w:shd w:val="clear" w:color="auto" w:fill="auto"/>
            <w:vAlign w:val="center"/>
          </w:tcPr>
          <w:p w14:paraId="22C13042" w14:textId="44C9C40E" w:rsidR="00E72048" w:rsidRPr="008379CA" w:rsidRDefault="00E72048" w:rsidP="00E72048">
            <w:pPr>
              <w:jc w:val="both"/>
              <w:rPr>
                <w:rFonts w:ascii="Bookman Old Style" w:hAnsi="Bookman Old Style" w:cs="Calibri"/>
                <w:b/>
                <w:bCs/>
                <w:sz w:val="12"/>
                <w:szCs w:val="12"/>
                <w:lang w:val="id-ID"/>
              </w:rPr>
            </w:pPr>
            <w:r w:rsidRPr="008379CA">
              <w:rPr>
                <w:rFonts w:ascii="Bookman Old Style" w:hAnsi="Bookman Old Style" w:cs="Calibri"/>
                <w:b/>
                <w:bCs/>
                <w:sz w:val="12"/>
                <w:szCs w:val="12"/>
                <w:lang w:val="id-ID"/>
              </w:rPr>
              <w:t>PENDAPATAN</w:t>
            </w:r>
            <w:r w:rsidR="00A954D0" w:rsidRPr="008379CA">
              <w:rPr>
                <w:rFonts w:ascii="Bookman Old Style" w:hAnsi="Bookman Old Style" w:cs="Calibri"/>
                <w:b/>
                <w:bCs/>
                <w:sz w:val="12"/>
                <w:szCs w:val="12"/>
                <w:lang w:val="id-ID"/>
              </w:rPr>
              <w:t xml:space="preserve"> </w:t>
            </w:r>
            <w:r w:rsidRPr="008379CA">
              <w:rPr>
                <w:rFonts w:ascii="Bookman Old Style" w:hAnsi="Bookman Old Style" w:cs="Calibri"/>
                <w:b/>
                <w:bCs/>
                <w:sz w:val="12"/>
                <w:szCs w:val="12"/>
                <w:lang w:val="id-ID"/>
              </w:rPr>
              <w:t>DAERAH</w:t>
            </w:r>
          </w:p>
        </w:tc>
        <w:tc>
          <w:tcPr>
            <w:tcW w:w="1531" w:type="dxa"/>
            <w:shd w:val="clear" w:color="auto" w:fill="auto"/>
            <w:vAlign w:val="center"/>
          </w:tcPr>
          <w:p w14:paraId="68651E74" w14:textId="33D8CA2C" w:rsidR="00E72048" w:rsidRPr="008379CA" w:rsidRDefault="00E72048" w:rsidP="00EA31BD">
            <w:pPr>
              <w:ind w:left="-101"/>
              <w:jc w:val="right"/>
              <w:rPr>
                <w:rFonts w:ascii="Bookman Old Style" w:hAnsi="Bookman Old Style"/>
                <w:b/>
                <w:bCs/>
                <w:sz w:val="12"/>
                <w:szCs w:val="12"/>
              </w:rPr>
            </w:pPr>
            <w:r w:rsidRPr="008379CA">
              <w:rPr>
                <w:rFonts w:ascii="Bookman Old Style" w:hAnsi="Bookman Old Style" w:cs="Calibri"/>
                <w:b/>
                <w:bCs/>
                <w:sz w:val="12"/>
                <w:szCs w:val="12"/>
              </w:rPr>
              <w:t>4.247.762.351.884</w:t>
            </w:r>
            <w:r w:rsidR="00EA31BD" w:rsidRPr="008379CA">
              <w:rPr>
                <w:rFonts w:ascii="Bookman Old Style" w:hAnsi="Bookman Old Style" w:cs="Calibri"/>
                <w:b/>
                <w:bCs/>
                <w:sz w:val="12"/>
                <w:szCs w:val="12"/>
              </w:rPr>
              <w:t>,00</w:t>
            </w:r>
          </w:p>
        </w:tc>
        <w:tc>
          <w:tcPr>
            <w:tcW w:w="1560" w:type="dxa"/>
            <w:shd w:val="clear" w:color="auto" w:fill="auto"/>
            <w:vAlign w:val="center"/>
          </w:tcPr>
          <w:p w14:paraId="0A4E371D" w14:textId="211D374E" w:rsidR="00E72048" w:rsidRPr="008379CA" w:rsidRDefault="00E72048" w:rsidP="00EA31BD">
            <w:pPr>
              <w:ind w:left="-102"/>
              <w:jc w:val="right"/>
              <w:rPr>
                <w:rFonts w:ascii="Bookman Old Style" w:hAnsi="Bookman Old Style"/>
                <w:b/>
                <w:bCs/>
                <w:sz w:val="12"/>
                <w:szCs w:val="12"/>
              </w:rPr>
            </w:pPr>
            <w:r w:rsidRPr="008379CA">
              <w:rPr>
                <w:rFonts w:ascii="Bookman Old Style" w:hAnsi="Bookman Old Style" w:cs="Calibri"/>
                <w:b/>
                <w:bCs/>
                <w:sz w:val="12"/>
                <w:szCs w:val="12"/>
              </w:rPr>
              <w:t>4.274.452.905.169</w:t>
            </w:r>
            <w:r w:rsidR="00EA31BD" w:rsidRPr="008379CA">
              <w:rPr>
                <w:rFonts w:ascii="Bookman Old Style" w:hAnsi="Bookman Old Style" w:cs="Calibri"/>
                <w:b/>
                <w:bCs/>
                <w:sz w:val="12"/>
                <w:szCs w:val="12"/>
              </w:rPr>
              <w:t>,00</w:t>
            </w:r>
          </w:p>
        </w:tc>
        <w:tc>
          <w:tcPr>
            <w:tcW w:w="710" w:type="dxa"/>
            <w:shd w:val="clear" w:color="auto" w:fill="auto"/>
            <w:vAlign w:val="center"/>
          </w:tcPr>
          <w:p w14:paraId="75A50762" w14:textId="428B53FF" w:rsidR="00E72048" w:rsidRPr="008379CA" w:rsidRDefault="00E72048" w:rsidP="00E72048">
            <w:pPr>
              <w:jc w:val="center"/>
              <w:rPr>
                <w:rFonts w:ascii="Bookman Old Style" w:hAnsi="Bookman Old Style"/>
                <w:b/>
                <w:bCs/>
                <w:sz w:val="12"/>
                <w:szCs w:val="12"/>
              </w:rPr>
            </w:pPr>
            <w:r w:rsidRPr="008379CA">
              <w:rPr>
                <w:rFonts w:ascii="Bookman Old Style" w:hAnsi="Bookman Old Style" w:cs="Calibri"/>
                <w:b/>
                <w:bCs/>
                <w:sz w:val="12"/>
                <w:szCs w:val="12"/>
              </w:rPr>
              <w:t>100,63</w:t>
            </w:r>
          </w:p>
        </w:tc>
        <w:tc>
          <w:tcPr>
            <w:tcW w:w="1558" w:type="dxa"/>
            <w:shd w:val="clear" w:color="auto" w:fill="auto"/>
            <w:vAlign w:val="center"/>
          </w:tcPr>
          <w:p w14:paraId="57192F1D" w14:textId="5EB5331C" w:rsidR="00E72048" w:rsidRPr="008379CA" w:rsidRDefault="00E72048" w:rsidP="00EA31BD">
            <w:pPr>
              <w:ind w:left="-114"/>
              <w:jc w:val="right"/>
              <w:rPr>
                <w:rFonts w:ascii="Bookman Old Style" w:hAnsi="Bookman Old Style" w:cs="Calibri"/>
                <w:b/>
                <w:bCs/>
                <w:sz w:val="12"/>
                <w:szCs w:val="12"/>
              </w:rPr>
            </w:pPr>
            <w:r w:rsidRPr="008379CA">
              <w:rPr>
                <w:rFonts w:ascii="Bookman Old Style" w:hAnsi="Bookman Old Style" w:cs="Calibri"/>
                <w:b/>
                <w:bCs/>
                <w:sz w:val="12"/>
                <w:szCs w:val="12"/>
              </w:rPr>
              <w:t>4.558.269.432.595</w:t>
            </w:r>
            <w:r w:rsidR="00EA31BD" w:rsidRPr="008379CA">
              <w:rPr>
                <w:rFonts w:ascii="Bookman Old Style" w:hAnsi="Bookman Old Style" w:cs="Calibri"/>
                <w:b/>
                <w:bCs/>
                <w:sz w:val="12"/>
                <w:szCs w:val="12"/>
              </w:rPr>
              <w:t>,00</w:t>
            </w:r>
          </w:p>
        </w:tc>
        <w:tc>
          <w:tcPr>
            <w:tcW w:w="1559" w:type="dxa"/>
            <w:shd w:val="clear" w:color="auto" w:fill="auto"/>
            <w:vAlign w:val="center"/>
          </w:tcPr>
          <w:p w14:paraId="7C3156C1" w14:textId="4AA1B67B" w:rsidR="00E72048" w:rsidRPr="008379CA" w:rsidRDefault="00E72048" w:rsidP="00EA31BD">
            <w:pPr>
              <w:ind w:left="-100"/>
              <w:jc w:val="right"/>
              <w:rPr>
                <w:rFonts w:ascii="Bookman Old Style" w:hAnsi="Bookman Old Style" w:cs="Calibri"/>
                <w:b/>
                <w:bCs/>
                <w:sz w:val="12"/>
                <w:szCs w:val="12"/>
              </w:rPr>
            </w:pPr>
            <w:r w:rsidRPr="008379CA">
              <w:rPr>
                <w:rFonts w:ascii="Bookman Old Style" w:hAnsi="Bookman Old Style" w:cs="Calibri"/>
                <w:b/>
                <w:bCs/>
                <w:sz w:val="12"/>
                <w:szCs w:val="12"/>
              </w:rPr>
              <w:t>4.691.252.495.432</w:t>
            </w:r>
            <w:r w:rsidR="00EA31BD" w:rsidRPr="008379CA">
              <w:rPr>
                <w:rFonts w:ascii="Bookman Old Style" w:hAnsi="Bookman Old Style" w:cs="Calibri"/>
                <w:b/>
                <w:bCs/>
                <w:sz w:val="12"/>
                <w:szCs w:val="12"/>
              </w:rPr>
              <w:t>,00</w:t>
            </w:r>
          </w:p>
        </w:tc>
        <w:tc>
          <w:tcPr>
            <w:tcW w:w="709" w:type="dxa"/>
            <w:shd w:val="clear" w:color="auto" w:fill="auto"/>
            <w:vAlign w:val="center"/>
          </w:tcPr>
          <w:p w14:paraId="0BDA278C" w14:textId="5AF40BEA" w:rsidR="00E72048" w:rsidRPr="008379CA" w:rsidRDefault="00E72048" w:rsidP="00E72048">
            <w:pPr>
              <w:jc w:val="center"/>
              <w:rPr>
                <w:rFonts w:ascii="Bookman Old Style" w:hAnsi="Bookman Old Style" w:cs="Calibri"/>
                <w:b/>
                <w:bCs/>
                <w:sz w:val="12"/>
                <w:szCs w:val="12"/>
              </w:rPr>
            </w:pPr>
            <w:r w:rsidRPr="008379CA">
              <w:rPr>
                <w:rFonts w:ascii="Bookman Old Style" w:hAnsi="Bookman Old Style" w:cs="Calibri"/>
                <w:b/>
                <w:bCs/>
                <w:sz w:val="12"/>
                <w:szCs w:val="12"/>
              </w:rPr>
              <w:t>102,92</w:t>
            </w:r>
            <w:r w:rsidR="00A954D0" w:rsidRPr="008379CA">
              <w:rPr>
                <w:rFonts w:ascii="Bookman Old Style" w:hAnsi="Bookman Old Style" w:cs="Calibri"/>
                <w:b/>
                <w:bCs/>
                <w:sz w:val="12"/>
                <w:szCs w:val="12"/>
              </w:rPr>
              <w:t xml:space="preserve"> </w:t>
            </w:r>
          </w:p>
        </w:tc>
        <w:tc>
          <w:tcPr>
            <w:tcW w:w="1559" w:type="dxa"/>
            <w:shd w:val="clear" w:color="auto" w:fill="auto"/>
            <w:vAlign w:val="center"/>
          </w:tcPr>
          <w:p w14:paraId="4B2BDC08" w14:textId="548D075C" w:rsidR="00E72048" w:rsidRPr="008379CA" w:rsidRDefault="00E72048" w:rsidP="00EA31BD">
            <w:pPr>
              <w:ind w:left="-112"/>
              <w:jc w:val="right"/>
              <w:rPr>
                <w:rFonts w:ascii="Bookman Old Style" w:hAnsi="Bookman Old Style" w:cs="Arial"/>
                <w:b/>
                <w:bCs/>
                <w:sz w:val="12"/>
                <w:szCs w:val="12"/>
              </w:rPr>
            </w:pPr>
            <w:r w:rsidRPr="008379CA">
              <w:rPr>
                <w:rFonts w:ascii="Bookman Old Style" w:hAnsi="Bookman Old Style" w:cs="Calibri"/>
                <w:b/>
                <w:bCs/>
                <w:sz w:val="12"/>
                <w:szCs w:val="12"/>
              </w:rPr>
              <w:t>4.867.331.379.086</w:t>
            </w:r>
            <w:r w:rsidR="00EA31BD" w:rsidRPr="008379CA">
              <w:rPr>
                <w:rFonts w:ascii="Bookman Old Style" w:hAnsi="Bookman Old Style" w:cs="Calibri"/>
                <w:b/>
                <w:bCs/>
                <w:sz w:val="12"/>
                <w:szCs w:val="12"/>
              </w:rPr>
              <w:t>,00</w:t>
            </w:r>
          </w:p>
        </w:tc>
        <w:tc>
          <w:tcPr>
            <w:tcW w:w="1560" w:type="dxa"/>
            <w:shd w:val="clear" w:color="auto" w:fill="auto"/>
            <w:vAlign w:val="center"/>
          </w:tcPr>
          <w:p w14:paraId="6CA50542" w14:textId="04C35E57" w:rsidR="00E72048" w:rsidRPr="008379CA" w:rsidRDefault="00E72048" w:rsidP="00EA31BD">
            <w:pPr>
              <w:ind w:left="-112"/>
              <w:jc w:val="right"/>
              <w:rPr>
                <w:rFonts w:ascii="Bookman Old Style" w:hAnsi="Bookman Old Style" w:cs="Arial"/>
                <w:b/>
                <w:bCs/>
                <w:sz w:val="12"/>
                <w:szCs w:val="12"/>
              </w:rPr>
            </w:pPr>
            <w:r w:rsidRPr="008379CA">
              <w:rPr>
                <w:rFonts w:ascii="Bookman Old Style" w:hAnsi="Bookman Old Style" w:cs="Calibri"/>
                <w:b/>
                <w:bCs/>
                <w:sz w:val="12"/>
                <w:szCs w:val="12"/>
              </w:rPr>
              <w:t>4.400.662.243.514</w:t>
            </w:r>
            <w:r w:rsidR="00EA31BD" w:rsidRPr="008379CA">
              <w:rPr>
                <w:rFonts w:ascii="Bookman Old Style" w:hAnsi="Bookman Old Style" w:cs="Calibri"/>
                <w:b/>
                <w:bCs/>
                <w:sz w:val="12"/>
                <w:szCs w:val="12"/>
              </w:rPr>
              <w:t>,00</w:t>
            </w:r>
          </w:p>
        </w:tc>
        <w:tc>
          <w:tcPr>
            <w:tcW w:w="708" w:type="dxa"/>
            <w:shd w:val="clear" w:color="auto" w:fill="auto"/>
            <w:vAlign w:val="center"/>
          </w:tcPr>
          <w:p w14:paraId="11C79377" w14:textId="67656974" w:rsidR="00E72048" w:rsidRPr="008379CA" w:rsidRDefault="00E72048" w:rsidP="00E72048">
            <w:pPr>
              <w:jc w:val="center"/>
              <w:rPr>
                <w:rFonts w:ascii="Bookman Old Style" w:hAnsi="Bookman Old Style" w:cs="Calibri"/>
                <w:b/>
                <w:bCs/>
                <w:sz w:val="12"/>
                <w:szCs w:val="12"/>
              </w:rPr>
            </w:pPr>
            <w:r w:rsidRPr="008379CA">
              <w:rPr>
                <w:rFonts w:ascii="Bookman Old Style" w:hAnsi="Bookman Old Style" w:cs="Calibri"/>
                <w:b/>
                <w:bCs/>
                <w:sz w:val="12"/>
                <w:szCs w:val="12"/>
              </w:rPr>
              <w:t>90,41</w:t>
            </w:r>
            <w:r w:rsidR="00A954D0" w:rsidRPr="008379CA">
              <w:rPr>
                <w:rFonts w:ascii="Bookman Old Style" w:hAnsi="Bookman Old Style" w:cs="Calibri"/>
                <w:b/>
                <w:bCs/>
                <w:sz w:val="12"/>
                <w:szCs w:val="12"/>
              </w:rPr>
              <w:t xml:space="preserve"> </w:t>
            </w:r>
          </w:p>
        </w:tc>
        <w:tc>
          <w:tcPr>
            <w:tcW w:w="1560" w:type="dxa"/>
            <w:shd w:val="clear" w:color="auto" w:fill="auto"/>
            <w:vAlign w:val="center"/>
          </w:tcPr>
          <w:p w14:paraId="3070F1A8" w14:textId="5606F3DD" w:rsidR="00E72048" w:rsidRPr="008379CA" w:rsidRDefault="00E72048" w:rsidP="00EA31BD">
            <w:pPr>
              <w:ind w:left="-110"/>
              <w:jc w:val="right"/>
              <w:rPr>
                <w:rFonts w:ascii="Bookman Old Style" w:hAnsi="Bookman Old Style" w:cs="Calibri"/>
                <w:b/>
                <w:bCs/>
                <w:sz w:val="12"/>
                <w:szCs w:val="12"/>
              </w:rPr>
            </w:pPr>
            <w:r w:rsidRPr="008379CA">
              <w:rPr>
                <w:rFonts w:ascii="Bookman Old Style" w:hAnsi="Bookman Old Style" w:cs="Calibri"/>
                <w:b/>
                <w:bCs/>
                <w:sz w:val="12"/>
                <w:szCs w:val="12"/>
              </w:rPr>
              <w:t>5.305.810.729.910</w:t>
            </w:r>
            <w:r w:rsidR="00EA31BD" w:rsidRPr="008379CA">
              <w:rPr>
                <w:rFonts w:ascii="Bookman Old Style" w:hAnsi="Bookman Old Style" w:cs="Calibri"/>
                <w:b/>
                <w:bCs/>
                <w:sz w:val="12"/>
                <w:szCs w:val="12"/>
              </w:rPr>
              <w:t>,00</w:t>
            </w:r>
          </w:p>
        </w:tc>
        <w:tc>
          <w:tcPr>
            <w:tcW w:w="849" w:type="dxa"/>
            <w:shd w:val="clear" w:color="auto" w:fill="auto"/>
            <w:vAlign w:val="center"/>
          </w:tcPr>
          <w:p w14:paraId="77F3810F" w14:textId="488DC013" w:rsidR="00E72048" w:rsidRPr="008379CA" w:rsidRDefault="00E72048" w:rsidP="00E72048">
            <w:pPr>
              <w:jc w:val="center"/>
              <w:rPr>
                <w:rFonts w:ascii="Bookman Old Style" w:hAnsi="Bookman Old Style" w:cs="Calibri"/>
                <w:b/>
                <w:bCs/>
                <w:sz w:val="12"/>
                <w:szCs w:val="12"/>
              </w:rPr>
            </w:pPr>
            <w:r w:rsidRPr="008379CA">
              <w:rPr>
                <w:rFonts w:ascii="Bookman Old Style" w:hAnsi="Bookman Old Style" w:cs="Calibri"/>
                <w:b/>
                <w:bCs/>
                <w:sz w:val="12"/>
                <w:szCs w:val="12"/>
              </w:rPr>
              <w:t>7,31</w:t>
            </w:r>
          </w:p>
        </w:tc>
        <w:tc>
          <w:tcPr>
            <w:tcW w:w="850" w:type="dxa"/>
            <w:shd w:val="clear" w:color="auto" w:fill="auto"/>
            <w:vAlign w:val="center"/>
          </w:tcPr>
          <w:p w14:paraId="53AB2425" w14:textId="222996A3" w:rsidR="00E72048" w:rsidRPr="008379CA" w:rsidRDefault="00E72048" w:rsidP="00E72048">
            <w:pPr>
              <w:jc w:val="center"/>
              <w:rPr>
                <w:rFonts w:ascii="Bookman Old Style" w:hAnsi="Bookman Old Style" w:cs="Calibri"/>
                <w:b/>
                <w:bCs/>
                <w:sz w:val="12"/>
                <w:szCs w:val="12"/>
              </w:rPr>
            </w:pPr>
            <w:r w:rsidRPr="008379CA">
              <w:rPr>
                <w:rFonts w:ascii="Bookman Old Style" w:hAnsi="Bookman Old Style" w:cs="Calibri"/>
                <w:b/>
                <w:bCs/>
                <w:sz w:val="12"/>
                <w:szCs w:val="12"/>
              </w:rPr>
              <w:t>6,78</w:t>
            </w:r>
          </w:p>
        </w:tc>
        <w:tc>
          <w:tcPr>
            <w:tcW w:w="992" w:type="dxa"/>
            <w:shd w:val="clear" w:color="auto" w:fill="auto"/>
            <w:vAlign w:val="center"/>
          </w:tcPr>
          <w:p w14:paraId="6796777B" w14:textId="6E3B41C5" w:rsidR="00E72048" w:rsidRPr="008379CA" w:rsidRDefault="00E72048" w:rsidP="00E72048">
            <w:pPr>
              <w:jc w:val="center"/>
              <w:rPr>
                <w:rFonts w:ascii="Bookman Old Style" w:hAnsi="Bookman Old Style" w:cs="Calibri"/>
                <w:b/>
                <w:bCs/>
                <w:sz w:val="12"/>
                <w:szCs w:val="12"/>
              </w:rPr>
            </w:pPr>
            <w:r w:rsidRPr="008379CA">
              <w:rPr>
                <w:rFonts w:ascii="Bookman Old Style" w:hAnsi="Bookman Old Style" w:cs="Calibri"/>
                <w:b/>
                <w:bCs/>
                <w:sz w:val="12"/>
                <w:szCs w:val="12"/>
              </w:rPr>
              <w:t>9,01</w:t>
            </w:r>
          </w:p>
        </w:tc>
        <w:tc>
          <w:tcPr>
            <w:tcW w:w="709" w:type="dxa"/>
            <w:shd w:val="clear" w:color="auto" w:fill="auto"/>
            <w:noWrap/>
            <w:vAlign w:val="center"/>
          </w:tcPr>
          <w:p w14:paraId="127293EF" w14:textId="105E4990" w:rsidR="00E72048" w:rsidRPr="008379CA" w:rsidRDefault="00E72048" w:rsidP="00E72048">
            <w:pPr>
              <w:jc w:val="center"/>
              <w:rPr>
                <w:rFonts w:ascii="Bookman Old Style" w:hAnsi="Bookman Old Style" w:cs="Calibri"/>
                <w:b/>
                <w:bCs/>
                <w:sz w:val="12"/>
                <w:szCs w:val="12"/>
              </w:rPr>
            </w:pPr>
            <w:r w:rsidRPr="008379CA">
              <w:rPr>
                <w:rFonts w:ascii="Bookman Old Style" w:hAnsi="Bookman Old Style" w:cs="Calibri"/>
                <w:b/>
                <w:bCs/>
                <w:sz w:val="12"/>
                <w:szCs w:val="12"/>
              </w:rPr>
              <w:t>7,70</w:t>
            </w:r>
          </w:p>
        </w:tc>
      </w:tr>
      <w:tr w:rsidR="008379CA" w:rsidRPr="008379CA" w14:paraId="0DF3AF60" w14:textId="77777777" w:rsidTr="00DA7786">
        <w:trPr>
          <w:trHeight w:val="340"/>
        </w:trPr>
        <w:tc>
          <w:tcPr>
            <w:tcW w:w="1418" w:type="dxa"/>
            <w:shd w:val="clear" w:color="auto" w:fill="auto"/>
            <w:vAlign w:val="center"/>
          </w:tcPr>
          <w:p w14:paraId="7F2B4227" w14:textId="4609F3B1" w:rsidR="00E72048" w:rsidRPr="008379CA" w:rsidRDefault="00E72048" w:rsidP="00E72048">
            <w:pPr>
              <w:jc w:val="both"/>
              <w:rPr>
                <w:rFonts w:ascii="Bookman Old Style" w:hAnsi="Bookman Old Style" w:cs="Calibri"/>
                <w:b/>
                <w:bCs/>
                <w:sz w:val="12"/>
                <w:szCs w:val="12"/>
                <w:lang w:val="en-US"/>
              </w:rPr>
            </w:pPr>
            <w:r w:rsidRPr="008379CA">
              <w:rPr>
                <w:rFonts w:ascii="Bookman Old Style" w:hAnsi="Bookman Old Style" w:cs="Calibri"/>
                <w:b/>
                <w:bCs/>
                <w:sz w:val="12"/>
                <w:szCs w:val="12"/>
                <w:lang w:val="id-ID"/>
              </w:rPr>
              <w:t>Pendapatan</w:t>
            </w:r>
            <w:r w:rsidR="00A954D0" w:rsidRPr="008379CA">
              <w:rPr>
                <w:rFonts w:ascii="Bookman Old Style" w:hAnsi="Bookman Old Style" w:cs="Calibri"/>
                <w:b/>
                <w:bCs/>
                <w:sz w:val="12"/>
                <w:szCs w:val="12"/>
                <w:lang w:val="id-ID"/>
              </w:rPr>
              <w:t xml:space="preserve"> </w:t>
            </w:r>
            <w:r w:rsidRPr="008379CA">
              <w:rPr>
                <w:rFonts w:ascii="Bookman Old Style" w:hAnsi="Bookman Old Style" w:cs="Calibri"/>
                <w:b/>
                <w:bCs/>
                <w:sz w:val="12"/>
                <w:szCs w:val="12"/>
                <w:lang w:val="id-ID"/>
              </w:rPr>
              <w:t>Asli</w:t>
            </w:r>
            <w:r w:rsidR="00A954D0" w:rsidRPr="008379CA">
              <w:rPr>
                <w:rFonts w:ascii="Bookman Old Style" w:hAnsi="Bookman Old Style" w:cs="Calibri"/>
                <w:b/>
                <w:bCs/>
                <w:sz w:val="12"/>
                <w:szCs w:val="12"/>
                <w:lang w:val="id-ID"/>
              </w:rPr>
              <w:t xml:space="preserve"> </w:t>
            </w:r>
            <w:r w:rsidRPr="008379CA">
              <w:rPr>
                <w:rFonts w:ascii="Bookman Old Style" w:hAnsi="Bookman Old Style" w:cs="Calibri"/>
                <w:b/>
                <w:bCs/>
                <w:sz w:val="12"/>
                <w:szCs w:val="12"/>
                <w:lang w:val="id-ID"/>
              </w:rPr>
              <w:t>Daerah</w:t>
            </w:r>
          </w:p>
        </w:tc>
        <w:tc>
          <w:tcPr>
            <w:tcW w:w="1531" w:type="dxa"/>
            <w:shd w:val="clear" w:color="auto" w:fill="auto"/>
            <w:vAlign w:val="center"/>
          </w:tcPr>
          <w:p w14:paraId="3995C5C8" w14:textId="1D3C2B89" w:rsidR="00E72048" w:rsidRPr="008379CA" w:rsidRDefault="00E72048" w:rsidP="00EA31BD">
            <w:pPr>
              <w:ind w:left="-101"/>
              <w:jc w:val="right"/>
              <w:rPr>
                <w:rFonts w:ascii="Bookman Old Style" w:hAnsi="Bookman Old Style" w:cs="Calibri"/>
                <w:b/>
                <w:bCs/>
                <w:sz w:val="12"/>
                <w:szCs w:val="12"/>
                <w:lang w:val="en-US"/>
              </w:rPr>
            </w:pPr>
            <w:r w:rsidRPr="008379CA">
              <w:rPr>
                <w:rFonts w:ascii="Bookman Old Style" w:hAnsi="Bookman Old Style" w:cs="Calibri"/>
                <w:b/>
                <w:bCs/>
                <w:sz w:val="12"/>
                <w:szCs w:val="12"/>
              </w:rPr>
              <w:t>1.907.095.449.818</w:t>
            </w:r>
            <w:r w:rsidR="00EA31BD" w:rsidRPr="008379CA">
              <w:rPr>
                <w:rFonts w:ascii="Bookman Old Style" w:hAnsi="Bookman Old Style" w:cs="Calibri"/>
                <w:b/>
                <w:bCs/>
                <w:sz w:val="12"/>
                <w:szCs w:val="12"/>
              </w:rPr>
              <w:t>,00</w:t>
            </w:r>
          </w:p>
        </w:tc>
        <w:tc>
          <w:tcPr>
            <w:tcW w:w="1560" w:type="dxa"/>
            <w:shd w:val="clear" w:color="auto" w:fill="auto"/>
            <w:vAlign w:val="center"/>
          </w:tcPr>
          <w:p w14:paraId="41D16DFC" w14:textId="378B36E3" w:rsidR="00E72048" w:rsidRPr="008379CA" w:rsidRDefault="00E72048" w:rsidP="00EA31BD">
            <w:pPr>
              <w:ind w:left="-102"/>
              <w:jc w:val="right"/>
              <w:rPr>
                <w:rFonts w:ascii="Bookman Old Style" w:hAnsi="Bookman Old Style" w:cs="Calibri"/>
                <w:b/>
                <w:bCs/>
                <w:sz w:val="12"/>
                <w:szCs w:val="12"/>
                <w:lang w:val="en-US"/>
              </w:rPr>
            </w:pPr>
            <w:r w:rsidRPr="008379CA">
              <w:rPr>
                <w:rFonts w:ascii="Bookman Old Style" w:hAnsi="Bookman Old Style" w:cs="Calibri"/>
                <w:b/>
                <w:bCs/>
                <w:sz w:val="12"/>
                <w:szCs w:val="12"/>
              </w:rPr>
              <w:t>2.012.220.935.351</w:t>
            </w:r>
            <w:r w:rsidR="00EA31BD" w:rsidRPr="008379CA">
              <w:rPr>
                <w:rFonts w:ascii="Bookman Old Style" w:hAnsi="Bookman Old Style" w:cs="Calibri"/>
                <w:b/>
                <w:bCs/>
                <w:sz w:val="12"/>
                <w:szCs w:val="12"/>
              </w:rPr>
              <w:t>,00</w:t>
            </w:r>
          </w:p>
        </w:tc>
        <w:tc>
          <w:tcPr>
            <w:tcW w:w="710" w:type="dxa"/>
            <w:shd w:val="clear" w:color="auto" w:fill="auto"/>
            <w:vAlign w:val="center"/>
          </w:tcPr>
          <w:p w14:paraId="1A753EB5" w14:textId="762228DD" w:rsidR="00E72048" w:rsidRPr="008379CA" w:rsidRDefault="00E72048" w:rsidP="00E72048">
            <w:pPr>
              <w:jc w:val="center"/>
              <w:rPr>
                <w:rFonts w:ascii="Bookman Old Style" w:hAnsi="Bookman Old Style" w:cs="Calibri"/>
                <w:b/>
                <w:bCs/>
                <w:sz w:val="12"/>
                <w:szCs w:val="12"/>
                <w:lang w:val="en-US"/>
              </w:rPr>
            </w:pPr>
            <w:r w:rsidRPr="008379CA">
              <w:rPr>
                <w:rFonts w:ascii="Bookman Old Style" w:hAnsi="Bookman Old Style" w:cs="Calibri"/>
                <w:b/>
                <w:bCs/>
                <w:sz w:val="12"/>
                <w:szCs w:val="12"/>
              </w:rPr>
              <w:t>105,51</w:t>
            </w:r>
          </w:p>
        </w:tc>
        <w:tc>
          <w:tcPr>
            <w:tcW w:w="1558" w:type="dxa"/>
            <w:shd w:val="clear" w:color="auto" w:fill="auto"/>
            <w:vAlign w:val="center"/>
          </w:tcPr>
          <w:p w14:paraId="1EF35749" w14:textId="68769389" w:rsidR="00E72048" w:rsidRPr="008379CA" w:rsidRDefault="00E72048" w:rsidP="00EA31BD">
            <w:pPr>
              <w:ind w:left="-114"/>
              <w:jc w:val="right"/>
              <w:rPr>
                <w:rFonts w:ascii="Bookman Old Style" w:hAnsi="Bookman Old Style" w:cs="Calibri"/>
                <w:b/>
                <w:bCs/>
                <w:sz w:val="12"/>
                <w:szCs w:val="12"/>
                <w:lang w:val="en-US"/>
              </w:rPr>
            </w:pPr>
            <w:r w:rsidRPr="008379CA">
              <w:rPr>
                <w:rFonts w:ascii="Bookman Old Style" w:hAnsi="Bookman Old Style" w:cs="Calibri"/>
                <w:b/>
                <w:bCs/>
                <w:sz w:val="12"/>
                <w:szCs w:val="12"/>
              </w:rPr>
              <w:t>2.202.605.531.310</w:t>
            </w:r>
            <w:r w:rsidR="00EA31BD" w:rsidRPr="008379CA">
              <w:rPr>
                <w:rFonts w:ascii="Bookman Old Style" w:hAnsi="Bookman Old Style" w:cs="Calibri"/>
                <w:b/>
                <w:bCs/>
                <w:sz w:val="12"/>
                <w:szCs w:val="12"/>
              </w:rPr>
              <w:t>,00</w:t>
            </w:r>
          </w:p>
        </w:tc>
        <w:tc>
          <w:tcPr>
            <w:tcW w:w="1559" w:type="dxa"/>
            <w:shd w:val="clear" w:color="auto" w:fill="auto"/>
            <w:vAlign w:val="center"/>
          </w:tcPr>
          <w:p w14:paraId="78684177" w14:textId="38E257EA" w:rsidR="00E72048" w:rsidRPr="008379CA" w:rsidRDefault="00E72048" w:rsidP="00EA31BD">
            <w:pPr>
              <w:ind w:left="-100"/>
              <w:jc w:val="right"/>
              <w:rPr>
                <w:rFonts w:ascii="Bookman Old Style" w:hAnsi="Bookman Old Style" w:cs="Calibri"/>
                <w:b/>
                <w:bCs/>
                <w:sz w:val="12"/>
                <w:szCs w:val="12"/>
                <w:lang w:val="en-US"/>
              </w:rPr>
            </w:pPr>
            <w:r w:rsidRPr="008379CA">
              <w:rPr>
                <w:rFonts w:ascii="Bookman Old Style" w:hAnsi="Bookman Old Style" w:cs="Calibri"/>
                <w:b/>
                <w:bCs/>
                <w:sz w:val="12"/>
                <w:szCs w:val="12"/>
              </w:rPr>
              <w:t>2.271.392.858.607</w:t>
            </w:r>
            <w:r w:rsidR="00EA31BD" w:rsidRPr="008379CA">
              <w:rPr>
                <w:rFonts w:ascii="Bookman Old Style" w:hAnsi="Bookman Old Style" w:cs="Calibri"/>
                <w:b/>
                <w:bCs/>
                <w:sz w:val="12"/>
                <w:szCs w:val="12"/>
              </w:rPr>
              <w:t>,00</w:t>
            </w:r>
          </w:p>
        </w:tc>
        <w:tc>
          <w:tcPr>
            <w:tcW w:w="709" w:type="dxa"/>
            <w:shd w:val="clear" w:color="auto" w:fill="auto"/>
            <w:vAlign w:val="center"/>
          </w:tcPr>
          <w:p w14:paraId="52A46A0A" w14:textId="744CBC72" w:rsidR="00E72048" w:rsidRPr="008379CA" w:rsidRDefault="00E72048" w:rsidP="00E72048">
            <w:pPr>
              <w:jc w:val="center"/>
              <w:rPr>
                <w:rFonts w:ascii="Bookman Old Style" w:hAnsi="Bookman Old Style" w:cs="Calibri"/>
                <w:b/>
                <w:bCs/>
                <w:sz w:val="12"/>
                <w:szCs w:val="12"/>
                <w:lang w:val="en-US"/>
              </w:rPr>
            </w:pPr>
            <w:r w:rsidRPr="008379CA">
              <w:rPr>
                <w:rFonts w:ascii="Bookman Old Style" w:hAnsi="Bookman Old Style" w:cs="Calibri"/>
                <w:b/>
                <w:bCs/>
                <w:sz w:val="12"/>
                <w:szCs w:val="12"/>
              </w:rPr>
              <w:t>103,12</w:t>
            </w:r>
            <w:r w:rsidR="00A954D0" w:rsidRPr="008379CA">
              <w:rPr>
                <w:rFonts w:ascii="Bookman Old Style" w:hAnsi="Bookman Old Style" w:cs="Calibri"/>
                <w:b/>
                <w:bCs/>
                <w:sz w:val="12"/>
                <w:szCs w:val="12"/>
              </w:rPr>
              <w:t xml:space="preserve"> </w:t>
            </w:r>
          </w:p>
        </w:tc>
        <w:tc>
          <w:tcPr>
            <w:tcW w:w="1559" w:type="dxa"/>
            <w:shd w:val="clear" w:color="auto" w:fill="auto"/>
            <w:vAlign w:val="center"/>
          </w:tcPr>
          <w:p w14:paraId="0884EC8F" w14:textId="41603FF2" w:rsidR="00E72048" w:rsidRPr="008379CA" w:rsidRDefault="00E72048" w:rsidP="00EA31BD">
            <w:pPr>
              <w:ind w:left="-112"/>
              <w:jc w:val="right"/>
              <w:rPr>
                <w:rFonts w:ascii="Bookman Old Style" w:hAnsi="Bookman Old Style" w:cs="Calibri"/>
                <w:b/>
                <w:bCs/>
                <w:sz w:val="12"/>
                <w:szCs w:val="12"/>
                <w:lang w:val="en-US"/>
              </w:rPr>
            </w:pPr>
            <w:r w:rsidRPr="008379CA">
              <w:rPr>
                <w:rFonts w:ascii="Bookman Old Style" w:hAnsi="Bookman Old Style" w:cs="Calibri"/>
                <w:b/>
                <w:bCs/>
                <w:sz w:val="12"/>
                <w:szCs w:val="12"/>
              </w:rPr>
              <w:t>2.322.139.951.331</w:t>
            </w:r>
            <w:r w:rsidR="00EA31BD" w:rsidRPr="008379CA">
              <w:rPr>
                <w:rFonts w:ascii="Bookman Old Style" w:hAnsi="Bookman Old Style" w:cs="Calibri"/>
                <w:b/>
                <w:bCs/>
                <w:sz w:val="12"/>
                <w:szCs w:val="12"/>
              </w:rPr>
              <w:t>,00</w:t>
            </w:r>
          </w:p>
        </w:tc>
        <w:tc>
          <w:tcPr>
            <w:tcW w:w="1560" w:type="dxa"/>
            <w:shd w:val="clear" w:color="auto" w:fill="auto"/>
            <w:vAlign w:val="center"/>
          </w:tcPr>
          <w:p w14:paraId="6E73E524" w14:textId="7711E677" w:rsidR="00E72048" w:rsidRPr="008379CA" w:rsidRDefault="00E72048" w:rsidP="00EA31BD">
            <w:pPr>
              <w:ind w:left="-112"/>
              <w:jc w:val="right"/>
              <w:rPr>
                <w:rFonts w:ascii="Bookman Old Style" w:hAnsi="Bookman Old Style" w:cs="Calibri"/>
                <w:b/>
                <w:bCs/>
                <w:sz w:val="12"/>
                <w:szCs w:val="12"/>
                <w:lang w:val="en-US"/>
              </w:rPr>
            </w:pPr>
            <w:r w:rsidRPr="008379CA">
              <w:rPr>
                <w:rFonts w:ascii="Bookman Old Style" w:hAnsi="Bookman Old Style" w:cs="Calibri"/>
                <w:b/>
                <w:bCs/>
                <w:sz w:val="12"/>
                <w:szCs w:val="12"/>
              </w:rPr>
              <w:t>2.088.803.048.366</w:t>
            </w:r>
            <w:r w:rsidR="00EA31BD" w:rsidRPr="008379CA">
              <w:rPr>
                <w:rFonts w:ascii="Bookman Old Style" w:hAnsi="Bookman Old Style" w:cs="Calibri"/>
                <w:b/>
                <w:bCs/>
                <w:sz w:val="12"/>
                <w:szCs w:val="12"/>
              </w:rPr>
              <w:t>,00</w:t>
            </w:r>
          </w:p>
        </w:tc>
        <w:tc>
          <w:tcPr>
            <w:tcW w:w="708" w:type="dxa"/>
            <w:shd w:val="clear" w:color="auto" w:fill="auto"/>
            <w:vAlign w:val="center"/>
          </w:tcPr>
          <w:p w14:paraId="6F2A82F2" w14:textId="24D777C5" w:rsidR="00E72048" w:rsidRPr="008379CA" w:rsidRDefault="00E72048" w:rsidP="00E72048">
            <w:pPr>
              <w:jc w:val="center"/>
              <w:rPr>
                <w:rFonts w:ascii="Bookman Old Style" w:hAnsi="Bookman Old Style" w:cs="Calibri"/>
                <w:b/>
                <w:bCs/>
                <w:sz w:val="12"/>
                <w:szCs w:val="12"/>
                <w:lang w:val="en-US"/>
              </w:rPr>
            </w:pPr>
            <w:r w:rsidRPr="008379CA">
              <w:rPr>
                <w:rFonts w:ascii="Bookman Old Style" w:hAnsi="Bookman Old Style" w:cs="Calibri"/>
                <w:b/>
                <w:bCs/>
                <w:sz w:val="12"/>
                <w:szCs w:val="12"/>
              </w:rPr>
              <w:t>89,95</w:t>
            </w:r>
            <w:r w:rsidR="00A954D0" w:rsidRPr="008379CA">
              <w:rPr>
                <w:rFonts w:ascii="Bookman Old Style" w:hAnsi="Bookman Old Style" w:cs="Calibri"/>
                <w:b/>
                <w:bCs/>
                <w:sz w:val="12"/>
                <w:szCs w:val="12"/>
              </w:rPr>
              <w:t xml:space="preserve"> </w:t>
            </w:r>
          </w:p>
        </w:tc>
        <w:tc>
          <w:tcPr>
            <w:tcW w:w="1560" w:type="dxa"/>
            <w:shd w:val="clear" w:color="auto" w:fill="auto"/>
            <w:vAlign w:val="center"/>
          </w:tcPr>
          <w:p w14:paraId="3E6E1D04" w14:textId="63C65154" w:rsidR="00E72048" w:rsidRPr="008379CA" w:rsidRDefault="00E72048" w:rsidP="00EA31BD">
            <w:pPr>
              <w:ind w:left="-110"/>
              <w:jc w:val="right"/>
              <w:rPr>
                <w:rFonts w:ascii="Bookman Old Style" w:hAnsi="Bookman Old Style" w:cs="Calibri"/>
                <w:b/>
                <w:bCs/>
                <w:sz w:val="12"/>
                <w:szCs w:val="12"/>
                <w:lang w:val="en-US"/>
              </w:rPr>
            </w:pPr>
            <w:r w:rsidRPr="008379CA">
              <w:rPr>
                <w:rFonts w:ascii="Bookman Old Style" w:hAnsi="Bookman Old Style" w:cs="Calibri"/>
                <w:b/>
                <w:bCs/>
                <w:sz w:val="12"/>
                <w:szCs w:val="12"/>
              </w:rPr>
              <w:t>3.042.853.105.436</w:t>
            </w:r>
            <w:r w:rsidR="00EA31BD" w:rsidRPr="008379CA">
              <w:rPr>
                <w:rFonts w:ascii="Bookman Old Style" w:hAnsi="Bookman Old Style" w:cs="Calibri"/>
                <w:b/>
                <w:bCs/>
                <w:sz w:val="12"/>
                <w:szCs w:val="12"/>
              </w:rPr>
              <w:t>,00</w:t>
            </w:r>
          </w:p>
        </w:tc>
        <w:tc>
          <w:tcPr>
            <w:tcW w:w="849" w:type="dxa"/>
            <w:shd w:val="clear" w:color="auto" w:fill="auto"/>
            <w:vAlign w:val="center"/>
          </w:tcPr>
          <w:p w14:paraId="4CEE7B45" w14:textId="17BE12F2" w:rsidR="00E72048" w:rsidRPr="008379CA" w:rsidRDefault="00E72048" w:rsidP="00E72048">
            <w:pPr>
              <w:jc w:val="center"/>
              <w:rPr>
                <w:rFonts w:ascii="Bookman Old Style" w:hAnsi="Bookman Old Style" w:cs="Calibri"/>
                <w:b/>
                <w:bCs/>
                <w:sz w:val="12"/>
                <w:szCs w:val="12"/>
                <w:lang w:val="en-US"/>
              </w:rPr>
            </w:pPr>
            <w:r w:rsidRPr="008379CA">
              <w:rPr>
                <w:rFonts w:ascii="Bookman Old Style" w:hAnsi="Bookman Old Style" w:cs="Calibri"/>
                <w:b/>
                <w:bCs/>
                <w:sz w:val="12"/>
                <w:szCs w:val="12"/>
              </w:rPr>
              <w:t>15,50</w:t>
            </w:r>
          </w:p>
        </w:tc>
        <w:tc>
          <w:tcPr>
            <w:tcW w:w="850" w:type="dxa"/>
            <w:shd w:val="clear" w:color="auto" w:fill="auto"/>
            <w:vAlign w:val="center"/>
          </w:tcPr>
          <w:p w14:paraId="73FBDB8F" w14:textId="2896AE29" w:rsidR="00E72048" w:rsidRPr="008379CA" w:rsidRDefault="00E72048" w:rsidP="00E72048">
            <w:pPr>
              <w:jc w:val="center"/>
              <w:rPr>
                <w:rFonts w:ascii="Bookman Old Style" w:hAnsi="Bookman Old Style" w:cs="Calibri"/>
                <w:b/>
                <w:bCs/>
                <w:sz w:val="12"/>
                <w:szCs w:val="12"/>
                <w:lang w:val="en-US"/>
              </w:rPr>
            </w:pPr>
            <w:r w:rsidRPr="008379CA">
              <w:rPr>
                <w:rFonts w:ascii="Bookman Old Style" w:hAnsi="Bookman Old Style" w:cs="Calibri"/>
                <w:b/>
                <w:bCs/>
                <w:sz w:val="12"/>
                <w:szCs w:val="12"/>
              </w:rPr>
              <w:t>5,43</w:t>
            </w:r>
          </w:p>
        </w:tc>
        <w:tc>
          <w:tcPr>
            <w:tcW w:w="992" w:type="dxa"/>
            <w:shd w:val="clear" w:color="auto" w:fill="auto"/>
            <w:vAlign w:val="center"/>
          </w:tcPr>
          <w:p w14:paraId="2022E075" w14:textId="31BB9FA4" w:rsidR="00E72048" w:rsidRPr="008379CA" w:rsidRDefault="00E72048" w:rsidP="00E72048">
            <w:pPr>
              <w:jc w:val="center"/>
              <w:rPr>
                <w:rFonts w:ascii="Bookman Old Style" w:hAnsi="Bookman Old Style" w:cs="Calibri"/>
                <w:b/>
                <w:bCs/>
                <w:sz w:val="12"/>
                <w:szCs w:val="12"/>
                <w:lang w:val="en-US"/>
              </w:rPr>
            </w:pPr>
            <w:r w:rsidRPr="008379CA">
              <w:rPr>
                <w:rFonts w:ascii="Bookman Old Style" w:hAnsi="Bookman Old Style" w:cs="Calibri"/>
                <w:b/>
                <w:bCs/>
                <w:sz w:val="12"/>
                <w:szCs w:val="12"/>
              </w:rPr>
              <w:t>31,04</w:t>
            </w:r>
          </w:p>
        </w:tc>
        <w:tc>
          <w:tcPr>
            <w:tcW w:w="709" w:type="dxa"/>
            <w:shd w:val="clear" w:color="auto" w:fill="auto"/>
            <w:noWrap/>
            <w:vAlign w:val="center"/>
          </w:tcPr>
          <w:p w14:paraId="7509A45E" w14:textId="37E6C6EC" w:rsidR="00E72048" w:rsidRPr="008379CA" w:rsidRDefault="00E72048" w:rsidP="00E72048">
            <w:pPr>
              <w:jc w:val="center"/>
              <w:rPr>
                <w:rFonts w:ascii="Bookman Old Style" w:hAnsi="Bookman Old Style" w:cs="Calibri"/>
                <w:b/>
                <w:bCs/>
                <w:sz w:val="12"/>
                <w:szCs w:val="12"/>
                <w:lang w:val="en-US"/>
              </w:rPr>
            </w:pPr>
            <w:r w:rsidRPr="008379CA">
              <w:rPr>
                <w:rFonts w:ascii="Bookman Old Style" w:hAnsi="Bookman Old Style" w:cs="Calibri"/>
                <w:b/>
                <w:bCs/>
                <w:sz w:val="12"/>
                <w:szCs w:val="12"/>
              </w:rPr>
              <w:t>17,32</w:t>
            </w:r>
          </w:p>
        </w:tc>
      </w:tr>
      <w:tr w:rsidR="008379CA" w:rsidRPr="008379CA" w14:paraId="2616F9DC" w14:textId="77777777" w:rsidTr="00DA7786">
        <w:trPr>
          <w:trHeight w:val="340"/>
        </w:trPr>
        <w:tc>
          <w:tcPr>
            <w:tcW w:w="1418" w:type="dxa"/>
            <w:shd w:val="clear" w:color="auto" w:fill="auto"/>
            <w:vAlign w:val="center"/>
          </w:tcPr>
          <w:p w14:paraId="589BA7DA" w14:textId="0838AC48" w:rsidR="00E72048" w:rsidRPr="008379CA" w:rsidRDefault="00E72048" w:rsidP="00E72048">
            <w:pPr>
              <w:jc w:val="both"/>
              <w:rPr>
                <w:rFonts w:ascii="Bookman Old Style" w:hAnsi="Bookman Old Style" w:cs="Calibri"/>
                <w:bCs/>
                <w:sz w:val="12"/>
                <w:szCs w:val="12"/>
                <w:lang w:val="en-US"/>
              </w:rPr>
            </w:pPr>
            <w:r w:rsidRPr="008379CA">
              <w:rPr>
                <w:rFonts w:ascii="Bookman Old Style" w:hAnsi="Bookman Old Style" w:cs="Calibri"/>
                <w:sz w:val="12"/>
                <w:szCs w:val="12"/>
                <w:lang w:val="id-ID"/>
              </w:rPr>
              <w:t>Pajak</w:t>
            </w:r>
            <w:r w:rsidR="00A954D0" w:rsidRPr="008379CA">
              <w:rPr>
                <w:rFonts w:ascii="Bookman Old Style" w:hAnsi="Bookman Old Style" w:cs="Calibri"/>
                <w:sz w:val="12"/>
                <w:szCs w:val="12"/>
                <w:lang w:val="id-ID"/>
              </w:rPr>
              <w:t xml:space="preserve"> </w:t>
            </w:r>
            <w:r w:rsidRPr="008379CA">
              <w:rPr>
                <w:rFonts w:ascii="Bookman Old Style" w:hAnsi="Bookman Old Style" w:cs="Calibri"/>
                <w:sz w:val="12"/>
                <w:szCs w:val="12"/>
                <w:lang w:val="id-ID"/>
              </w:rPr>
              <w:t>Daerah</w:t>
            </w:r>
          </w:p>
        </w:tc>
        <w:tc>
          <w:tcPr>
            <w:tcW w:w="1531" w:type="dxa"/>
            <w:shd w:val="clear" w:color="auto" w:fill="auto"/>
            <w:vAlign w:val="center"/>
          </w:tcPr>
          <w:p w14:paraId="668335F4" w14:textId="0EE20AA8" w:rsidR="00E72048" w:rsidRPr="008379CA" w:rsidRDefault="00E72048" w:rsidP="00EA31BD">
            <w:pPr>
              <w:ind w:left="-101"/>
              <w:jc w:val="right"/>
              <w:rPr>
                <w:rFonts w:ascii="Bookman Old Style" w:hAnsi="Bookman Old Style" w:cs="Calibri"/>
                <w:bCs/>
                <w:sz w:val="12"/>
                <w:szCs w:val="12"/>
                <w:lang w:val="en-US"/>
              </w:rPr>
            </w:pPr>
            <w:r w:rsidRPr="008379CA">
              <w:rPr>
                <w:rFonts w:ascii="Bookman Old Style" w:hAnsi="Bookman Old Style" w:cs="Calibri"/>
                <w:sz w:val="12"/>
                <w:szCs w:val="12"/>
              </w:rPr>
              <w:t>1.656.000.000.000</w:t>
            </w:r>
            <w:r w:rsidR="00EA31BD" w:rsidRPr="008379CA">
              <w:rPr>
                <w:rFonts w:ascii="Bookman Old Style" w:hAnsi="Bookman Old Style" w:cs="Calibri"/>
                <w:sz w:val="12"/>
                <w:szCs w:val="12"/>
              </w:rPr>
              <w:t>,00</w:t>
            </w:r>
          </w:p>
        </w:tc>
        <w:tc>
          <w:tcPr>
            <w:tcW w:w="1560" w:type="dxa"/>
            <w:shd w:val="clear" w:color="auto" w:fill="auto"/>
            <w:vAlign w:val="center"/>
          </w:tcPr>
          <w:p w14:paraId="52B9B0B9" w14:textId="72C579AE" w:rsidR="00E72048" w:rsidRPr="008379CA" w:rsidRDefault="00E72048" w:rsidP="00EA31BD">
            <w:pPr>
              <w:ind w:left="-102"/>
              <w:jc w:val="right"/>
              <w:rPr>
                <w:rFonts w:ascii="Bookman Old Style" w:hAnsi="Bookman Old Style" w:cs="Calibri"/>
                <w:sz w:val="12"/>
                <w:szCs w:val="12"/>
                <w:lang w:val="en-US"/>
              </w:rPr>
            </w:pPr>
            <w:r w:rsidRPr="008379CA">
              <w:rPr>
                <w:rFonts w:ascii="Bookman Old Style" w:hAnsi="Bookman Old Style" w:cs="Calibri"/>
                <w:sz w:val="12"/>
                <w:szCs w:val="12"/>
              </w:rPr>
              <w:t>1.737.126.960.874</w:t>
            </w:r>
            <w:r w:rsidR="00EA31BD" w:rsidRPr="008379CA">
              <w:rPr>
                <w:rFonts w:ascii="Bookman Old Style" w:hAnsi="Bookman Old Style" w:cs="Calibri"/>
                <w:sz w:val="12"/>
                <w:szCs w:val="12"/>
              </w:rPr>
              <w:t>,00</w:t>
            </w:r>
          </w:p>
        </w:tc>
        <w:tc>
          <w:tcPr>
            <w:tcW w:w="710" w:type="dxa"/>
            <w:shd w:val="clear" w:color="auto" w:fill="auto"/>
            <w:vAlign w:val="center"/>
          </w:tcPr>
          <w:p w14:paraId="38BD964E" w14:textId="178699AD" w:rsidR="00E72048" w:rsidRPr="008379CA" w:rsidRDefault="00E72048" w:rsidP="00E72048">
            <w:pPr>
              <w:jc w:val="center"/>
              <w:rPr>
                <w:rFonts w:ascii="Bookman Old Style" w:hAnsi="Bookman Old Style" w:cs="Calibri"/>
                <w:bCs/>
                <w:sz w:val="12"/>
                <w:szCs w:val="12"/>
                <w:lang w:val="en-US"/>
              </w:rPr>
            </w:pPr>
            <w:r w:rsidRPr="008379CA">
              <w:rPr>
                <w:rFonts w:ascii="Bookman Old Style" w:hAnsi="Bookman Old Style" w:cs="Calibri"/>
                <w:sz w:val="12"/>
                <w:szCs w:val="12"/>
              </w:rPr>
              <w:t>104,90</w:t>
            </w:r>
          </w:p>
        </w:tc>
        <w:tc>
          <w:tcPr>
            <w:tcW w:w="1558" w:type="dxa"/>
            <w:shd w:val="clear" w:color="auto" w:fill="auto"/>
            <w:vAlign w:val="center"/>
          </w:tcPr>
          <w:p w14:paraId="5C3BF3CB" w14:textId="2806CADC" w:rsidR="00E72048" w:rsidRPr="008379CA" w:rsidRDefault="00E72048" w:rsidP="00EA31BD">
            <w:pPr>
              <w:ind w:left="-114"/>
              <w:jc w:val="right"/>
              <w:rPr>
                <w:rFonts w:ascii="Bookman Old Style" w:hAnsi="Bookman Old Style" w:cs="Calibri"/>
                <w:bCs/>
                <w:sz w:val="12"/>
                <w:szCs w:val="12"/>
                <w:lang w:val="en-US"/>
              </w:rPr>
            </w:pPr>
            <w:r w:rsidRPr="008379CA">
              <w:rPr>
                <w:rFonts w:ascii="Bookman Old Style" w:hAnsi="Bookman Old Style" w:cs="Calibri"/>
                <w:sz w:val="12"/>
                <w:szCs w:val="12"/>
              </w:rPr>
              <w:t>1.925.000.000.000</w:t>
            </w:r>
            <w:r w:rsidR="00EA31BD" w:rsidRPr="008379CA">
              <w:rPr>
                <w:rFonts w:ascii="Bookman Old Style" w:hAnsi="Bookman Old Style" w:cs="Calibri"/>
                <w:sz w:val="12"/>
                <w:szCs w:val="12"/>
              </w:rPr>
              <w:t>,00</w:t>
            </w:r>
          </w:p>
        </w:tc>
        <w:tc>
          <w:tcPr>
            <w:tcW w:w="1559" w:type="dxa"/>
            <w:shd w:val="clear" w:color="auto" w:fill="auto"/>
            <w:vAlign w:val="center"/>
          </w:tcPr>
          <w:p w14:paraId="03049B33" w14:textId="5E536D92" w:rsidR="00E72048" w:rsidRPr="008379CA" w:rsidRDefault="00E72048" w:rsidP="00EA31BD">
            <w:pPr>
              <w:ind w:left="-100"/>
              <w:jc w:val="right"/>
              <w:rPr>
                <w:rFonts w:ascii="Bookman Old Style" w:hAnsi="Bookman Old Style" w:cs="Calibri"/>
                <w:sz w:val="12"/>
                <w:szCs w:val="12"/>
                <w:lang w:val="en-US"/>
              </w:rPr>
            </w:pPr>
            <w:r w:rsidRPr="008379CA">
              <w:rPr>
                <w:rFonts w:ascii="Bookman Old Style" w:hAnsi="Bookman Old Style" w:cs="Calibri"/>
                <w:sz w:val="12"/>
                <w:szCs w:val="12"/>
              </w:rPr>
              <w:t>1.947.444.196.342</w:t>
            </w:r>
            <w:r w:rsidR="00EA31BD" w:rsidRPr="008379CA">
              <w:rPr>
                <w:rFonts w:ascii="Bookman Old Style" w:hAnsi="Bookman Old Style" w:cs="Calibri"/>
                <w:sz w:val="12"/>
                <w:szCs w:val="12"/>
              </w:rPr>
              <w:t>,00</w:t>
            </w:r>
          </w:p>
        </w:tc>
        <w:tc>
          <w:tcPr>
            <w:tcW w:w="709" w:type="dxa"/>
            <w:shd w:val="clear" w:color="auto" w:fill="auto"/>
            <w:vAlign w:val="center"/>
          </w:tcPr>
          <w:p w14:paraId="62C2AEF2" w14:textId="0FE73FD1" w:rsidR="00E72048" w:rsidRPr="008379CA" w:rsidRDefault="00E72048" w:rsidP="00E72048">
            <w:pPr>
              <w:jc w:val="center"/>
              <w:rPr>
                <w:rFonts w:ascii="Bookman Old Style" w:hAnsi="Bookman Old Style" w:cs="Calibri"/>
                <w:bCs/>
                <w:sz w:val="12"/>
                <w:szCs w:val="12"/>
                <w:lang w:val="en-US"/>
              </w:rPr>
            </w:pPr>
            <w:r w:rsidRPr="008379CA">
              <w:rPr>
                <w:rFonts w:ascii="Bookman Old Style" w:hAnsi="Bookman Old Style" w:cs="Calibri"/>
                <w:sz w:val="12"/>
                <w:szCs w:val="12"/>
              </w:rPr>
              <w:t>101,17</w:t>
            </w:r>
            <w:r w:rsidR="00A954D0" w:rsidRPr="008379CA">
              <w:rPr>
                <w:rFonts w:ascii="Bookman Old Style" w:hAnsi="Bookman Old Style" w:cs="Calibri"/>
                <w:sz w:val="12"/>
                <w:szCs w:val="12"/>
              </w:rPr>
              <w:t xml:space="preserve"> </w:t>
            </w:r>
          </w:p>
        </w:tc>
        <w:tc>
          <w:tcPr>
            <w:tcW w:w="1559" w:type="dxa"/>
            <w:shd w:val="clear" w:color="auto" w:fill="auto"/>
            <w:vAlign w:val="center"/>
          </w:tcPr>
          <w:p w14:paraId="61BE5554" w14:textId="2481F37E" w:rsidR="00E72048" w:rsidRPr="008379CA" w:rsidRDefault="00E72048" w:rsidP="00EA31BD">
            <w:pPr>
              <w:ind w:left="-112"/>
              <w:jc w:val="right"/>
              <w:rPr>
                <w:rFonts w:ascii="Bookman Old Style" w:hAnsi="Bookman Old Style" w:cs="Calibri"/>
                <w:bCs/>
                <w:sz w:val="12"/>
                <w:szCs w:val="12"/>
                <w:lang w:val="en-US"/>
              </w:rPr>
            </w:pPr>
            <w:r w:rsidRPr="008379CA">
              <w:rPr>
                <w:rFonts w:ascii="Bookman Old Style" w:hAnsi="Bookman Old Style" w:cs="Calibri"/>
                <w:sz w:val="12"/>
                <w:szCs w:val="12"/>
              </w:rPr>
              <w:t>2.003.300.000.000</w:t>
            </w:r>
            <w:r w:rsidR="00EA31BD" w:rsidRPr="008379CA">
              <w:rPr>
                <w:rFonts w:ascii="Bookman Old Style" w:hAnsi="Bookman Old Style" w:cs="Calibri"/>
                <w:sz w:val="12"/>
                <w:szCs w:val="12"/>
              </w:rPr>
              <w:t>,00</w:t>
            </w:r>
          </w:p>
        </w:tc>
        <w:tc>
          <w:tcPr>
            <w:tcW w:w="1560" w:type="dxa"/>
            <w:shd w:val="clear" w:color="auto" w:fill="auto"/>
            <w:vAlign w:val="center"/>
          </w:tcPr>
          <w:p w14:paraId="5DDC5912" w14:textId="5AF4A95B" w:rsidR="00E72048" w:rsidRPr="008379CA" w:rsidRDefault="00E72048" w:rsidP="00EA31BD">
            <w:pPr>
              <w:ind w:left="-112"/>
              <w:jc w:val="right"/>
              <w:rPr>
                <w:rFonts w:ascii="Bookman Old Style" w:hAnsi="Bookman Old Style" w:cs="Calibri"/>
                <w:bCs/>
                <w:sz w:val="12"/>
                <w:szCs w:val="12"/>
                <w:lang w:val="en-US"/>
              </w:rPr>
            </w:pPr>
            <w:r w:rsidRPr="008379CA">
              <w:rPr>
                <w:rFonts w:ascii="Bookman Old Style" w:hAnsi="Bookman Old Style" w:cs="Calibri"/>
                <w:sz w:val="12"/>
                <w:szCs w:val="12"/>
              </w:rPr>
              <w:t>1.812.620.583.929</w:t>
            </w:r>
            <w:r w:rsidR="00EA31BD" w:rsidRPr="008379CA">
              <w:rPr>
                <w:rFonts w:ascii="Bookman Old Style" w:hAnsi="Bookman Old Style" w:cs="Calibri"/>
                <w:sz w:val="12"/>
                <w:szCs w:val="12"/>
              </w:rPr>
              <w:t>,00</w:t>
            </w:r>
          </w:p>
        </w:tc>
        <w:tc>
          <w:tcPr>
            <w:tcW w:w="708" w:type="dxa"/>
            <w:shd w:val="clear" w:color="auto" w:fill="auto"/>
            <w:vAlign w:val="center"/>
          </w:tcPr>
          <w:p w14:paraId="6951F468" w14:textId="3D60ECC2" w:rsidR="00E72048" w:rsidRPr="008379CA" w:rsidRDefault="00E72048" w:rsidP="00E72048">
            <w:pPr>
              <w:jc w:val="center"/>
              <w:rPr>
                <w:rFonts w:ascii="Bookman Old Style" w:hAnsi="Bookman Old Style" w:cs="Calibri"/>
                <w:sz w:val="12"/>
                <w:szCs w:val="12"/>
                <w:lang w:val="en-US"/>
              </w:rPr>
            </w:pPr>
            <w:r w:rsidRPr="008379CA">
              <w:rPr>
                <w:rFonts w:ascii="Bookman Old Style" w:hAnsi="Bookman Old Style" w:cs="Calibri"/>
                <w:sz w:val="12"/>
                <w:szCs w:val="12"/>
              </w:rPr>
              <w:t>90,48</w:t>
            </w:r>
            <w:r w:rsidR="00A954D0" w:rsidRPr="008379CA">
              <w:rPr>
                <w:rFonts w:ascii="Bookman Old Style" w:hAnsi="Bookman Old Style" w:cs="Calibri"/>
                <w:sz w:val="12"/>
                <w:szCs w:val="12"/>
              </w:rPr>
              <w:t xml:space="preserve"> </w:t>
            </w:r>
          </w:p>
        </w:tc>
        <w:tc>
          <w:tcPr>
            <w:tcW w:w="1560" w:type="dxa"/>
            <w:shd w:val="clear" w:color="auto" w:fill="auto"/>
            <w:vAlign w:val="center"/>
          </w:tcPr>
          <w:p w14:paraId="5DA060CF" w14:textId="4A2B00DF" w:rsidR="00E72048" w:rsidRPr="008379CA" w:rsidRDefault="00E72048" w:rsidP="00EA31BD">
            <w:pPr>
              <w:ind w:left="-110"/>
              <w:jc w:val="right"/>
              <w:rPr>
                <w:rFonts w:ascii="Bookman Old Style" w:hAnsi="Bookman Old Style" w:cs="Calibri"/>
                <w:sz w:val="12"/>
                <w:szCs w:val="12"/>
                <w:lang w:val="en-US"/>
              </w:rPr>
            </w:pPr>
            <w:r w:rsidRPr="008379CA">
              <w:rPr>
                <w:rFonts w:ascii="Bookman Old Style" w:hAnsi="Bookman Old Style" w:cs="Calibri"/>
                <w:sz w:val="12"/>
                <w:szCs w:val="12"/>
              </w:rPr>
              <w:t>2.699.738.217.010</w:t>
            </w:r>
            <w:r w:rsidR="00EA31BD" w:rsidRPr="008379CA">
              <w:rPr>
                <w:rFonts w:ascii="Bookman Old Style" w:hAnsi="Bookman Old Style" w:cs="Calibri"/>
                <w:sz w:val="12"/>
                <w:szCs w:val="12"/>
              </w:rPr>
              <w:t>,00</w:t>
            </w:r>
          </w:p>
        </w:tc>
        <w:tc>
          <w:tcPr>
            <w:tcW w:w="849" w:type="dxa"/>
            <w:shd w:val="clear" w:color="auto" w:fill="auto"/>
            <w:vAlign w:val="center"/>
          </w:tcPr>
          <w:p w14:paraId="081A3711" w14:textId="7EAE5BDF" w:rsidR="00E72048" w:rsidRPr="008379CA" w:rsidRDefault="00E72048" w:rsidP="00E72048">
            <w:pPr>
              <w:jc w:val="center"/>
              <w:rPr>
                <w:rFonts w:ascii="Bookman Old Style" w:hAnsi="Bookman Old Style" w:cs="Calibri"/>
                <w:sz w:val="12"/>
                <w:szCs w:val="12"/>
                <w:lang w:val="en-US"/>
              </w:rPr>
            </w:pPr>
            <w:r w:rsidRPr="008379CA">
              <w:rPr>
                <w:rFonts w:ascii="Bookman Old Style" w:hAnsi="Bookman Old Style" w:cs="Calibri"/>
                <w:sz w:val="12"/>
                <w:szCs w:val="12"/>
              </w:rPr>
              <w:t>16,24</w:t>
            </w:r>
          </w:p>
        </w:tc>
        <w:tc>
          <w:tcPr>
            <w:tcW w:w="850" w:type="dxa"/>
            <w:shd w:val="clear" w:color="auto" w:fill="auto"/>
            <w:vAlign w:val="center"/>
          </w:tcPr>
          <w:p w14:paraId="70BF2F43" w14:textId="729810EE" w:rsidR="00E72048" w:rsidRPr="008379CA" w:rsidRDefault="00E72048" w:rsidP="00E72048">
            <w:pPr>
              <w:jc w:val="center"/>
              <w:rPr>
                <w:rFonts w:ascii="Bookman Old Style" w:hAnsi="Bookman Old Style" w:cs="Calibri"/>
                <w:sz w:val="12"/>
                <w:szCs w:val="12"/>
                <w:lang w:val="en-US"/>
              </w:rPr>
            </w:pPr>
            <w:r w:rsidRPr="008379CA">
              <w:rPr>
                <w:rFonts w:ascii="Bookman Old Style" w:hAnsi="Bookman Old Style" w:cs="Calibri"/>
                <w:sz w:val="12"/>
                <w:szCs w:val="12"/>
              </w:rPr>
              <w:t>4,07</w:t>
            </w:r>
          </w:p>
        </w:tc>
        <w:tc>
          <w:tcPr>
            <w:tcW w:w="992" w:type="dxa"/>
            <w:shd w:val="clear" w:color="auto" w:fill="auto"/>
            <w:vAlign w:val="center"/>
          </w:tcPr>
          <w:p w14:paraId="7184FDFF" w14:textId="61CED9CF" w:rsidR="00E72048" w:rsidRPr="008379CA" w:rsidRDefault="00E72048" w:rsidP="00E72048">
            <w:pPr>
              <w:jc w:val="center"/>
              <w:rPr>
                <w:rFonts w:ascii="Bookman Old Style" w:hAnsi="Bookman Old Style" w:cs="Calibri"/>
                <w:sz w:val="12"/>
                <w:szCs w:val="12"/>
                <w:lang w:val="en-US"/>
              </w:rPr>
            </w:pPr>
            <w:r w:rsidRPr="008379CA">
              <w:rPr>
                <w:rFonts w:ascii="Bookman Old Style" w:hAnsi="Bookman Old Style" w:cs="Calibri"/>
                <w:sz w:val="12"/>
                <w:szCs w:val="12"/>
              </w:rPr>
              <w:t>34,76</w:t>
            </w:r>
          </w:p>
        </w:tc>
        <w:tc>
          <w:tcPr>
            <w:tcW w:w="709" w:type="dxa"/>
            <w:shd w:val="clear" w:color="auto" w:fill="auto"/>
            <w:noWrap/>
            <w:vAlign w:val="center"/>
          </w:tcPr>
          <w:p w14:paraId="161105C4" w14:textId="67A6FEEE" w:rsidR="00E72048" w:rsidRPr="008379CA" w:rsidRDefault="00E72048" w:rsidP="00E72048">
            <w:pPr>
              <w:jc w:val="center"/>
              <w:rPr>
                <w:rFonts w:ascii="Bookman Old Style" w:hAnsi="Bookman Old Style" w:cs="Calibri"/>
                <w:sz w:val="12"/>
                <w:szCs w:val="12"/>
                <w:lang w:val="en-US"/>
              </w:rPr>
            </w:pPr>
            <w:r w:rsidRPr="008379CA">
              <w:rPr>
                <w:rFonts w:ascii="Bookman Old Style" w:hAnsi="Bookman Old Style" w:cs="Calibri"/>
                <w:sz w:val="12"/>
                <w:szCs w:val="12"/>
              </w:rPr>
              <w:t>18,36</w:t>
            </w:r>
          </w:p>
        </w:tc>
      </w:tr>
      <w:tr w:rsidR="008379CA" w:rsidRPr="008379CA" w14:paraId="2A100F11" w14:textId="77777777" w:rsidTr="00DA7786">
        <w:trPr>
          <w:trHeight w:val="340"/>
        </w:trPr>
        <w:tc>
          <w:tcPr>
            <w:tcW w:w="1418" w:type="dxa"/>
            <w:shd w:val="clear" w:color="auto" w:fill="auto"/>
            <w:vAlign w:val="center"/>
          </w:tcPr>
          <w:p w14:paraId="5A7C359A" w14:textId="0751CA59" w:rsidR="00E72048" w:rsidRPr="008379CA" w:rsidRDefault="00E72048" w:rsidP="00E72048">
            <w:pPr>
              <w:jc w:val="both"/>
              <w:rPr>
                <w:rFonts w:ascii="Bookman Old Style" w:hAnsi="Bookman Old Style" w:cs="Calibri"/>
                <w:bCs/>
                <w:sz w:val="12"/>
                <w:szCs w:val="12"/>
                <w:lang w:val="en-US"/>
              </w:rPr>
            </w:pPr>
            <w:r w:rsidRPr="008379CA">
              <w:rPr>
                <w:rFonts w:ascii="Bookman Old Style" w:hAnsi="Bookman Old Style" w:cs="Calibri"/>
                <w:sz w:val="12"/>
                <w:szCs w:val="12"/>
                <w:lang w:val="id-ID"/>
              </w:rPr>
              <w:t>Retribusi</w:t>
            </w:r>
            <w:r w:rsidR="00A954D0" w:rsidRPr="008379CA">
              <w:rPr>
                <w:rFonts w:ascii="Bookman Old Style" w:hAnsi="Bookman Old Style" w:cs="Calibri"/>
                <w:sz w:val="12"/>
                <w:szCs w:val="12"/>
                <w:lang w:val="id-ID"/>
              </w:rPr>
              <w:t xml:space="preserve"> </w:t>
            </w:r>
            <w:r w:rsidRPr="008379CA">
              <w:rPr>
                <w:rFonts w:ascii="Bookman Old Style" w:hAnsi="Bookman Old Style" w:cs="Calibri"/>
                <w:sz w:val="12"/>
                <w:szCs w:val="12"/>
                <w:lang w:val="id-ID"/>
              </w:rPr>
              <w:t>Daerah</w:t>
            </w:r>
          </w:p>
        </w:tc>
        <w:tc>
          <w:tcPr>
            <w:tcW w:w="1531" w:type="dxa"/>
            <w:shd w:val="clear" w:color="auto" w:fill="auto"/>
            <w:vAlign w:val="center"/>
          </w:tcPr>
          <w:p w14:paraId="6A213620" w14:textId="7DD5DE60" w:rsidR="00E72048" w:rsidRPr="008379CA" w:rsidRDefault="00E72048" w:rsidP="00EA31BD">
            <w:pPr>
              <w:ind w:left="-101"/>
              <w:jc w:val="right"/>
              <w:rPr>
                <w:rFonts w:ascii="Bookman Old Style" w:hAnsi="Bookman Old Style" w:cs="Calibri"/>
                <w:bCs/>
                <w:sz w:val="12"/>
                <w:szCs w:val="12"/>
                <w:lang w:val="en-US"/>
              </w:rPr>
            </w:pPr>
            <w:r w:rsidRPr="008379CA">
              <w:rPr>
                <w:rFonts w:ascii="Bookman Old Style" w:hAnsi="Bookman Old Style" w:cs="Calibri"/>
                <w:sz w:val="12"/>
                <w:szCs w:val="12"/>
              </w:rPr>
              <w:t>65.578.750.000</w:t>
            </w:r>
            <w:r w:rsidR="00EA31BD" w:rsidRPr="008379CA">
              <w:rPr>
                <w:rFonts w:ascii="Bookman Old Style" w:hAnsi="Bookman Old Style" w:cs="Calibri"/>
                <w:sz w:val="12"/>
                <w:szCs w:val="12"/>
              </w:rPr>
              <w:t>,00</w:t>
            </w:r>
          </w:p>
        </w:tc>
        <w:tc>
          <w:tcPr>
            <w:tcW w:w="1560" w:type="dxa"/>
            <w:shd w:val="clear" w:color="auto" w:fill="auto"/>
            <w:vAlign w:val="center"/>
          </w:tcPr>
          <w:p w14:paraId="17265A05" w14:textId="1CD9F289" w:rsidR="00E72048" w:rsidRPr="008379CA" w:rsidRDefault="00E72048" w:rsidP="00EA31BD">
            <w:pPr>
              <w:ind w:left="-102"/>
              <w:jc w:val="right"/>
              <w:rPr>
                <w:rFonts w:ascii="Bookman Old Style" w:hAnsi="Bookman Old Style" w:cs="Calibri"/>
                <w:sz w:val="12"/>
                <w:szCs w:val="12"/>
                <w:lang w:val="en-US"/>
              </w:rPr>
            </w:pPr>
            <w:r w:rsidRPr="008379CA">
              <w:rPr>
                <w:rFonts w:ascii="Bookman Old Style" w:hAnsi="Bookman Old Style" w:cs="Calibri"/>
                <w:sz w:val="12"/>
                <w:szCs w:val="12"/>
              </w:rPr>
              <w:t>54.606.712.013</w:t>
            </w:r>
            <w:r w:rsidR="00EA31BD" w:rsidRPr="008379CA">
              <w:rPr>
                <w:rFonts w:ascii="Bookman Old Style" w:hAnsi="Bookman Old Style" w:cs="Calibri"/>
                <w:sz w:val="12"/>
                <w:szCs w:val="12"/>
              </w:rPr>
              <w:t>,00</w:t>
            </w:r>
          </w:p>
        </w:tc>
        <w:tc>
          <w:tcPr>
            <w:tcW w:w="710" w:type="dxa"/>
            <w:shd w:val="clear" w:color="auto" w:fill="auto"/>
            <w:vAlign w:val="center"/>
          </w:tcPr>
          <w:p w14:paraId="355836FA" w14:textId="21C25133" w:rsidR="00E72048" w:rsidRPr="008379CA" w:rsidRDefault="00E72048" w:rsidP="00E72048">
            <w:pPr>
              <w:jc w:val="center"/>
              <w:rPr>
                <w:rFonts w:ascii="Bookman Old Style" w:hAnsi="Bookman Old Style" w:cs="Calibri"/>
                <w:bCs/>
                <w:sz w:val="12"/>
                <w:szCs w:val="12"/>
                <w:lang w:val="en-US"/>
              </w:rPr>
            </w:pPr>
            <w:r w:rsidRPr="008379CA">
              <w:rPr>
                <w:rFonts w:ascii="Bookman Old Style" w:hAnsi="Bookman Old Style" w:cs="Calibri"/>
                <w:sz w:val="12"/>
                <w:szCs w:val="12"/>
              </w:rPr>
              <w:t>83,27</w:t>
            </w:r>
          </w:p>
        </w:tc>
        <w:tc>
          <w:tcPr>
            <w:tcW w:w="1558" w:type="dxa"/>
            <w:shd w:val="clear" w:color="auto" w:fill="auto"/>
            <w:vAlign w:val="center"/>
          </w:tcPr>
          <w:p w14:paraId="1441E166" w14:textId="768E6CBA" w:rsidR="00E72048" w:rsidRPr="008379CA" w:rsidRDefault="00E72048" w:rsidP="00EA31BD">
            <w:pPr>
              <w:ind w:left="-114"/>
              <w:jc w:val="right"/>
              <w:rPr>
                <w:rFonts w:ascii="Bookman Old Style" w:hAnsi="Bookman Old Style" w:cs="Calibri"/>
                <w:bCs/>
                <w:sz w:val="12"/>
                <w:szCs w:val="12"/>
                <w:lang w:val="en-US"/>
              </w:rPr>
            </w:pPr>
            <w:r w:rsidRPr="008379CA">
              <w:rPr>
                <w:rFonts w:ascii="Bookman Old Style" w:hAnsi="Bookman Old Style" w:cs="Calibri"/>
                <w:sz w:val="12"/>
                <w:szCs w:val="12"/>
              </w:rPr>
              <w:t>66.291.215.000</w:t>
            </w:r>
            <w:r w:rsidR="00EA31BD" w:rsidRPr="008379CA">
              <w:rPr>
                <w:rFonts w:ascii="Bookman Old Style" w:hAnsi="Bookman Old Style" w:cs="Calibri"/>
                <w:sz w:val="12"/>
                <w:szCs w:val="12"/>
              </w:rPr>
              <w:t>,00</w:t>
            </w:r>
          </w:p>
        </w:tc>
        <w:tc>
          <w:tcPr>
            <w:tcW w:w="1559" w:type="dxa"/>
            <w:shd w:val="clear" w:color="auto" w:fill="auto"/>
            <w:vAlign w:val="center"/>
          </w:tcPr>
          <w:p w14:paraId="3E70D1F5" w14:textId="419F5168" w:rsidR="00E72048" w:rsidRPr="008379CA" w:rsidRDefault="00E72048" w:rsidP="00EA31BD">
            <w:pPr>
              <w:ind w:left="-100"/>
              <w:jc w:val="right"/>
              <w:rPr>
                <w:rFonts w:ascii="Bookman Old Style" w:hAnsi="Bookman Old Style" w:cs="Calibri"/>
                <w:bCs/>
                <w:sz w:val="12"/>
                <w:szCs w:val="12"/>
                <w:lang w:val="en-US"/>
              </w:rPr>
            </w:pPr>
            <w:r w:rsidRPr="008379CA">
              <w:rPr>
                <w:rFonts w:ascii="Bookman Old Style" w:hAnsi="Bookman Old Style" w:cs="Calibri"/>
                <w:sz w:val="12"/>
                <w:szCs w:val="12"/>
              </w:rPr>
              <w:t>75.402.815.127</w:t>
            </w:r>
            <w:r w:rsidR="00EA31BD" w:rsidRPr="008379CA">
              <w:rPr>
                <w:rFonts w:ascii="Bookman Old Style" w:hAnsi="Bookman Old Style" w:cs="Calibri"/>
                <w:sz w:val="12"/>
                <w:szCs w:val="12"/>
              </w:rPr>
              <w:t>,00</w:t>
            </w:r>
          </w:p>
        </w:tc>
        <w:tc>
          <w:tcPr>
            <w:tcW w:w="709" w:type="dxa"/>
            <w:shd w:val="clear" w:color="auto" w:fill="auto"/>
            <w:vAlign w:val="center"/>
          </w:tcPr>
          <w:p w14:paraId="09337DEC" w14:textId="2AAF3A96" w:rsidR="00E72048" w:rsidRPr="008379CA" w:rsidRDefault="00E72048" w:rsidP="00E72048">
            <w:pPr>
              <w:jc w:val="center"/>
              <w:rPr>
                <w:rFonts w:ascii="Bookman Old Style" w:hAnsi="Bookman Old Style" w:cs="Calibri"/>
                <w:bCs/>
                <w:sz w:val="12"/>
                <w:szCs w:val="12"/>
                <w:lang w:val="en-US"/>
              </w:rPr>
            </w:pPr>
            <w:r w:rsidRPr="008379CA">
              <w:rPr>
                <w:rFonts w:ascii="Bookman Old Style" w:hAnsi="Bookman Old Style" w:cs="Calibri"/>
                <w:sz w:val="12"/>
                <w:szCs w:val="12"/>
              </w:rPr>
              <w:t>113,74</w:t>
            </w:r>
            <w:r w:rsidR="00A954D0" w:rsidRPr="008379CA">
              <w:rPr>
                <w:rFonts w:ascii="Bookman Old Style" w:hAnsi="Bookman Old Style" w:cs="Calibri"/>
                <w:sz w:val="12"/>
                <w:szCs w:val="12"/>
              </w:rPr>
              <w:t xml:space="preserve"> </w:t>
            </w:r>
          </w:p>
        </w:tc>
        <w:tc>
          <w:tcPr>
            <w:tcW w:w="1559" w:type="dxa"/>
            <w:shd w:val="clear" w:color="auto" w:fill="auto"/>
            <w:vAlign w:val="center"/>
          </w:tcPr>
          <w:p w14:paraId="17727904" w14:textId="2866F4AD" w:rsidR="00E72048" w:rsidRPr="008379CA" w:rsidRDefault="00E72048" w:rsidP="00EA31BD">
            <w:pPr>
              <w:ind w:left="-112"/>
              <w:jc w:val="right"/>
              <w:rPr>
                <w:rFonts w:ascii="Bookman Old Style" w:hAnsi="Bookman Old Style" w:cs="Calibri"/>
                <w:bCs/>
                <w:sz w:val="12"/>
                <w:szCs w:val="12"/>
                <w:lang w:val="en-US"/>
              </w:rPr>
            </w:pPr>
            <w:r w:rsidRPr="008379CA">
              <w:rPr>
                <w:rFonts w:ascii="Bookman Old Style" w:hAnsi="Bookman Old Style" w:cs="Calibri"/>
                <w:sz w:val="12"/>
                <w:szCs w:val="12"/>
              </w:rPr>
              <w:t>249.232.330.930</w:t>
            </w:r>
            <w:r w:rsidR="00EA31BD" w:rsidRPr="008379CA">
              <w:rPr>
                <w:rFonts w:ascii="Bookman Old Style" w:hAnsi="Bookman Old Style" w:cs="Calibri"/>
                <w:sz w:val="12"/>
                <w:szCs w:val="12"/>
              </w:rPr>
              <w:t>,00</w:t>
            </w:r>
          </w:p>
        </w:tc>
        <w:tc>
          <w:tcPr>
            <w:tcW w:w="1560" w:type="dxa"/>
            <w:shd w:val="clear" w:color="auto" w:fill="auto"/>
            <w:vAlign w:val="center"/>
          </w:tcPr>
          <w:p w14:paraId="1D993D5C" w14:textId="4FDC8C06" w:rsidR="00E72048" w:rsidRPr="008379CA" w:rsidRDefault="00E72048" w:rsidP="00EA31BD">
            <w:pPr>
              <w:ind w:left="-112"/>
              <w:jc w:val="right"/>
              <w:rPr>
                <w:rFonts w:ascii="Bookman Old Style" w:hAnsi="Bookman Old Style" w:cs="Calibri"/>
                <w:bCs/>
                <w:sz w:val="12"/>
                <w:szCs w:val="12"/>
                <w:lang w:val="en-US"/>
              </w:rPr>
            </w:pPr>
            <w:r w:rsidRPr="008379CA">
              <w:rPr>
                <w:rFonts w:ascii="Bookman Old Style" w:hAnsi="Bookman Old Style" w:cs="Calibri"/>
                <w:sz w:val="12"/>
                <w:szCs w:val="12"/>
              </w:rPr>
              <w:t>139.413.939.539</w:t>
            </w:r>
            <w:r w:rsidR="00EA31BD" w:rsidRPr="008379CA">
              <w:rPr>
                <w:rFonts w:ascii="Bookman Old Style" w:hAnsi="Bookman Old Style" w:cs="Calibri"/>
                <w:sz w:val="12"/>
                <w:szCs w:val="12"/>
              </w:rPr>
              <w:t>,00</w:t>
            </w:r>
          </w:p>
        </w:tc>
        <w:tc>
          <w:tcPr>
            <w:tcW w:w="708" w:type="dxa"/>
            <w:shd w:val="clear" w:color="auto" w:fill="auto"/>
            <w:vAlign w:val="center"/>
          </w:tcPr>
          <w:p w14:paraId="1AD3C106" w14:textId="58E8296D" w:rsidR="00E72048" w:rsidRPr="008379CA" w:rsidRDefault="00E72048" w:rsidP="00E72048">
            <w:pPr>
              <w:jc w:val="center"/>
              <w:rPr>
                <w:rFonts w:ascii="Bookman Old Style" w:hAnsi="Bookman Old Style" w:cs="Calibri"/>
                <w:sz w:val="12"/>
                <w:szCs w:val="12"/>
                <w:lang w:val="en-US"/>
              </w:rPr>
            </w:pPr>
            <w:r w:rsidRPr="008379CA">
              <w:rPr>
                <w:rFonts w:ascii="Bookman Old Style" w:hAnsi="Bookman Old Style" w:cs="Calibri"/>
                <w:sz w:val="12"/>
                <w:szCs w:val="12"/>
              </w:rPr>
              <w:t>55,94</w:t>
            </w:r>
            <w:r w:rsidR="00A954D0" w:rsidRPr="008379CA">
              <w:rPr>
                <w:rFonts w:ascii="Bookman Old Style" w:hAnsi="Bookman Old Style" w:cs="Calibri"/>
                <w:sz w:val="12"/>
                <w:szCs w:val="12"/>
              </w:rPr>
              <w:t xml:space="preserve"> </w:t>
            </w:r>
          </w:p>
        </w:tc>
        <w:tc>
          <w:tcPr>
            <w:tcW w:w="1560" w:type="dxa"/>
            <w:shd w:val="clear" w:color="auto" w:fill="auto"/>
            <w:vAlign w:val="center"/>
          </w:tcPr>
          <w:p w14:paraId="098CF5A8" w14:textId="6ECD406D" w:rsidR="00E72048" w:rsidRPr="008379CA" w:rsidRDefault="00E72048" w:rsidP="00EA31BD">
            <w:pPr>
              <w:ind w:left="-110"/>
              <w:jc w:val="right"/>
              <w:rPr>
                <w:rFonts w:ascii="Bookman Old Style" w:hAnsi="Bookman Old Style" w:cs="Calibri"/>
                <w:sz w:val="12"/>
                <w:szCs w:val="12"/>
                <w:lang w:val="en-US"/>
              </w:rPr>
            </w:pPr>
            <w:r w:rsidRPr="008379CA">
              <w:rPr>
                <w:rFonts w:ascii="Bookman Old Style" w:hAnsi="Bookman Old Style" w:cs="Calibri"/>
                <w:sz w:val="12"/>
                <w:szCs w:val="12"/>
              </w:rPr>
              <w:t>289.952.271.509</w:t>
            </w:r>
            <w:r w:rsidR="00EA31BD" w:rsidRPr="008379CA">
              <w:rPr>
                <w:rFonts w:ascii="Bookman Old Style" w:hAnsi="Bookman Old Style" w:cs="Calibri"/>
                <w:sz w:val="12"/>
                <w:szCs w:val="12"/>
              </w:rPr>
              <w:t>,00</w:t>
            </w:r>
          </w:p>
        </w:tc>
        <w:tc>
          <w:tcPr>
            <w:tcW w:w="849" w:type="dxa"/>
            <w:shd w:val="clear" w:color="auto" w:fill="auto"/>
            <w:vAlign w:val="center"/>
          </w:tcPr>
          <w:p w14:paraId="48A0CB69" w14:textId="73DAF77A" w:rsidR="00E72048" w:rsidRPr="008379CA" w:rsidRDefault="00E72048" w:rsidP="00E72048">
            <w:pPr>
              <w:jc w:val="center"/>
              <w:rPr>
                <w:rFonts w:ascii="Bookman Old Style" w:hAnsi="Bookman Old Style" w:cs="Calibri"/>
                <w:sz w:val="12"/>
                <w:szCs w:val="12"/>
                <w:lang w:val="en-US"/>
              </w:rPr>
            </w:pPr>
            <w:r w:rsidRPr="008379CA">
              <w:rPr>
                <w:rFonts w:ascii="Bookman Old Style" w:hAnsi="Bookman Old Style" w:cs="Calibri"/>
                <w:sz w:val="12"/>
                <w:szCs w:val="12"/>
              </w:rPr>
              <w:t>1,09</w:t>
            </w:r>
          </w:p>
        </w:tc>
        <w:tc>
          <w:tcPr>
            <w:tcW w:w="850" w:type="dxa"/>
            <w:shd w:val="clear" w:color="auto" w:fill="auto"/>
            <w:vAlign w:val="center"/>
          </w:tcPr>
          <w:p w14:paraId="5BA858E1" w14:textId="037D7188" w:rsidR="00E72048" w:rsidRPr="008379CA" w:rsidRDefault="00E72048" w:rsidP="00E72048">
            <w:pPr>
              <w:jc w:val="center"/>
              <w:rPr>
                <w:rFonts w:ascii="Bookman Old Style" w:hAnsi="Bookman Old Style" w:cs="Calibri"/>
                <w:sz w:val="12"/>
                <w:szCs w:val="12"/>
                <w:lang w:val="en-US"/>
              </w:rPr>
            </w:pPr>
            <w:r w:rsidRPr="008379CA">
              <w:rPr>
                <w:rFonts w:ascii="Bookman Old Style" w:hAnsi="Bookman Old Style" w:cs="Calibri"/>
                <w:sz w:val="12"/>
                <w:szCs w:val="12"/>
              </w:rPr>
              <w:t>275,97</w:t>
            </w:r>
          </w:p>
        </w:tc>
        <w:tc>
          <w:tcPr>
            <w:tcW w:w="992" w:type="dxa"/>
            <w:shd w:val="clear" w:color="auto" w:fill="auto"/>
            <w:vAlign w:val="center"/>
          </w:tcPr>
          <w:p w14:paraId="6466927E" w14:textId="09BC39C4" w:rsidR="00E72048" w:rsidRPr="008379CA" w:rsidRDefault="00E72048" w:rsidP="00E72048">
            <w:pPr>
              <w:jc w:val="center"/>
              <w:rPr>
                <w:rFonts w:ascii="Bookman Old Style" w:hAnsi="Bookman Old Style" w:cs="Calibri"/>
                <w:sz w:val="12"/>
                <w:szCs w:val="12"/>
                <w:lang w:val="en-US"/>
              </w:rPr>
            </w:pPr>
            <w:r w:rsidRPr="008379CA">
              <w:rPr>
                <w:rFonts w:ascii="Bookman Old Style" w:hAnsi="Bookman Old Style" w:cs="Calibri"/>
                <w:sz w:val="12"/>
                <w:szCs w:val="12"/>
              </w:rPr>
              <w:t>16,34</w:t>
            </w:r>
          </w:p>
        </w:tc>
        <w:tc>
          <w:tcPr>
            <w:tcW w:w="709" w:type="dxa"/>
            <w:shd w:val="clear" w:color="auto" w:fill="auto"/>
            <w:noWrap/>
            <w:vAlign w:val="center"/>
          </w:tcPr>
          <w:p w14:paraId="4E0ED50C" w14:textId="5B1E62B1" w:rsidR="00E72048" w:rsidRPr="008379CA" w:rsidRDefault="00E72048" w:rsidP="00E72048">
            <w:pPr>
              <w:jc w:val="center"/>
              <w:rPr>
                <w:rFonts w:ascii="Bookman Old Style" w:hAnsi="Bookman Old Style" w:cs="Calibri"/>
                <w:sz w:val="12"/>
                <w:szCs w:val="12"/>
                <w:lang w:val="en-US"/>
              </w:rPr>
            </w:pPr>
            <w:r w:rsidRPr="008379CA">
              <w:rPr>
                <w:rFonts w:ascii="Bookman Old Style" w:hAnsi="Bookman Old Style" w:cs="Calibri"/>
                <w:sz w:val="12"/>
                <w:szCs w:val="12"/>
              </w:rPr>
              <w:t>97,80</w:t>
            </w:r>
          </w:p>
        </w:tc>
      </w:tr>
      <w:tr w:rsidR="008379CA" w:rsidRPr="008379CA" w14:paraId="74487B90" w14:textId="77777777" w:rsidTr="00DA7786">
        <w:trPr>
          <w:trHeight w:val="340"/>
        </w:trPr>
        <w:tc>
          <w:tcPr>
            <w:tcW w:w="1418" w:type="dxa"/>
            <w:shd w:val="clear" w:color="auto" w:fill="auto"/>
            <w:vAlign w:val="center"/>
          </w:tcPr>
          <w:p w14:paraId="3B0CB7F0" w14:textId="7164B95E" w:rsidR="00E72048" w:rsidRPr="008379CA" w:rsidRDefault="00E72048" w:rsidP="00E72048">
            <w:pPr>
              <w:jc w:val="both"/>
              <w:rPr>
                <w:rFonts w:ascii="Bookman Old Style" w:hAnsi="Bookman Old Style" w:cs="Calibri"/>
                <w:bCs/>
                <w:sz w:val="12"/>
                <w:szCs w:val="12"/>
                <w:lang w:val="en-US"/>
              </w:rPr>
            </w:pPr>
            <w:r w:rsidRPr="008379CA">
              <w:rPr>
                <w:rFonts w:ascii="Bookman Old Style" w:hAnsi="Bookman Old Style" w:cs="Calibri"/>
                <w:sz w:val="12"/>
                <w:szCs w:val="12"/>
                <w:lang w:val="id-ID"/>
              </w:rPr>
              <w:t>Hasil</w:t>
            </w:r>
            <w:r w:rsidR="00A954D0" w:rsidRPr="008379CA">
              <w:rPr>
                <w:rFonts w:ascii="Bookman Old Style" w:hAnsi="Bookman Old Style" w:cs="Calibri"/>
                <w:sz w:val="12"/>
                <w:szCs w:val="12"/>
                <w:lang w:val="id-ID"/>
              </w:rPr>
              <w:t xml:space="preserve"> </w:t>
            </w:r>
            <w:r w:rsidRPr="008379CA">
              <w:rPr>
                <w:rFonts w:ascii="Bookman Old Style" w:hAnsi="Bookman Old Style" w:cs="Calibri"/>
                <w:sz w:val="12"/>
                <w:szCs w:val="12"/>
                <w:lang w:val="id-ID"/>
              </w:rPr>
              <w:t>Pengelolaan</w:t>
            </w:r>
            <w:r w:rsidR="00A954D0" w:rsidRPr="008379CA">
              <w:rPr>
                <w:rFonts w:ascii="Bookman Old Style" w:hAnsi="Bookman Old Style" w:cs="Calibri"/>
                <w:sz w:val="12"/>
                <w:szCs w:val="12"/>
                <w:lang w:val="id-ID"/>
              </w:rPr>
              <w:t xml:space="preserve"> </w:t>
            </w:r>
            <w:r w:rsidRPr="008379CA">
              <w:rPr>
                <w:rFonts w:ascii="Bookman Old Style" w:hAnsi="Bookman Old Style" w:cs="Calibri"/>
                <w:sz w:val="12"/>
                <w:szCs w:val="12"/>
                <w:lang w:val="id-ID"/>
              </w:rPr>
              <w:t>Kekayaan</w:t>
            </w:r>
            <w:r w:rsidR="00A954D0" w:rsidRPr="008379CA">
              <w:rPr>
                <w:rFonts w:ascii="Bookman Old Style" w:hAnsi="Bookman Old Style" w:cs="Calibri"/>
                <w:sz w:val="12"/>
                <w:szCs w:val="12"/>
                <w:lang w:val="id-ID"/>
              </w:rPr>
              <w:t xml:space="preserve"> </w:t>
            </w:r>
            <w:r w:rsidRPr="008379CA">
              <w:rPr>
                <w:rFonts w:ascii="Bookman Old Style" w:hAnsi="Bookman Old Style" w:cs="Calibri"/>
                <w:sz w:val="12"/>
                <w:szCs w:val="12"/>
                <w:lang w:val="id-ID"/>
              </w:rPr>
              <w:t>Daerah</w:t>
            </w:r>
            <w:r w:rsidR="00A954D0" w:rsidRPr="008379CA">
              <w:rPr>
                <w:rFonts w:ascii="Bookman Old Style" w:hAnsi="Bookman Old Style" w:cs="Calibri"/>
                <w:sz w:val="12"/>
                <w:szCs w:val="12"/>
                <w:lang w:val="id-ID"/>
              </w:rPr>
              <w:t xml:space="preserve"> </w:t>
            </w:r>
            <w:r w:rsidRPr="008379CA">
              <w:rPr>
                <w:rFonts w:ascii="Bookman Old Style" w:hAnsi="Bookman Old Style" w:cs="Calibri"/>
                <w:sz w:val="12"/>
                <w:szCs w:val="12"/>
                <w:lang w:val="id-ID"/>
              </w:rPr>
              <w:t>yang</w:t>
            </w:r>
            <w:r w:rsidR="00A954D0" w:rsidRPr="008379CA">
              <w:rPr>
                <w:rFonts w:ascii="Bookman Old Style" w:hAnsi="Bookman Old Style" w:cs="Calibri"/>
                <w:sz w:val="12"/>
                <w:szCs w:val="12"/>
                <w:lang w:val="id-ID"/>
              </w:rPr>
              <w:t xml:space="preserve"> </w:t>
            </w:r>
            <w:r w:rsidRPr="008379CA">
              <w:rPr>
                <w:rFonts w:ascii="Bookman Old Style" w:hAnsi="Bookman Old Style" w:cs="Calibri"/>
                <w:sz w:val="12"/>
                <w:szCs w:val="12"/>
                <w:lang w:val="id-ID"/>
              </w:rPr>
              <w:t>di</w:t>
            </w:r>
            <w:r w:rsidR="00A954D0" w:rsidRPr="008379CA">
              <w:rPr>
                <w:rFonts w:ascii="Bookman Old Style" w:hAnsi="Bookman Old Style" w:cs="Calibri"/>
                <w:sz w:val="12"/>
                <w:szCs w:val="12"/>
                <w:lang w:val="id-ID"/>
              </w:rPr>
              <w:t xml:space="preserve"> </w:t>
            </w:r>
            <w:r w:rsidRPr="008379CA">
              <w:rPr>
                <w:rFonts w:ascii="Bookman Old Style" w:hAnsi="Bookman Old Style" w:cs="Calibri"/>
                <w:sz w:val="12"/>
                <w:szCs w:val="12"/>
                <w:lang w:val="id-ID"/>
              </w:rPr>
              <w:t>pisahkan</w:t>
            </w:r>
          </w:p>
        </w:tc>
        <w:tc>
          <w:tcPr>
            <w:tcW w:w="1531" w:type="dxa"/>
            <w:shd w:val="clear" w:color="auto" w:fill="auto"/>
            <w:vAlign w:val="center"/>
          </w:tcPr>
          <w:p w14:paraId="71F949B3" w14:textId="7DB179B7" w:rsidR="00E72048" w:rsidRPr="008379CA" w:rsidRDefault="00E72048" w:rsidP="00EA31BD">
            <w:pPr>
              <w:ind w:left="-101"/>
              <w:jc w:val="right"/>
              <w:rPr>
                <w:rFonts w:ascii="Bookman Old Style" w:hAnsi="Bookman Old Style" w:cs="Calibri"/>
                <w:bCs/>
                <w:sz w:val="12"/>
                <w:szCs w:val="12"/>
                <w:lang w:val="en-US"/>
              </w:rPr>
            </w:pPr>
            <w:r w:rsidRPr="008379CA">
              <w:rPr>
                <w:rFonts w:ascii="Bookman Old Style" w:hAnsi="Bookman Old Style" w:cs="Calibri"/>
                <w:sz w:val="12"/>
                <w:szCs w:val="12"/>
              </w:rPr>
              <w:t>15.948.681.881</w:t>
            </w:r>
            <w:r w:rsidR="00EA31BD" w:rsidRPr="008379CA">
              <w:rPr>
                <w:rFonts w:ascii="Bookman Old Style" w:hAnsi="Bookman Old Style" w:cs="Calibri"/>
                <w:sz w:val="12"/>
                <w:szCs w:val="12"/>
              </w:rPr>
              <w:t>,00</w:t>
            </w:r>
          </w:p>
        </w:tc>
        <w:tc>
          <w:tcPr>
            <w:tcW w:w="1560" w:type="dxa"/>
            <w:shd w:val="clear" w:color="auto" w:fill="auto"/>
            <w:vAlign w:val="center"/>
          </w:tcPr>
          <w:p w14:paraId="038D5E3A" w14:textId="4F9B2481" w:rsidR="00E72048" w:rsidRPr="008379CA" w:rsidRDefault="00E72048" w:rsidP="00EA31BD">
            <w:pPr>
              <w:ind w:left="-102"/>
              <w:jc w:val="right"/>
              <w:rPr>
                <w:rFonts w:ascii="Bookman Old Style" w:hAnsi="Bookman Old Style" w:cs="Calibri"/>
                <w:sz w:val="12"/>
                <w:szCs w:val="12"/>
                <w:lang w:val="en-US"/>
              </w:rPr>
            </w:pPr>
            <w:r w:rsidRPr="008379CA">
              <w:rPr>
                <w:rFonts w:ascii="Bookman Old Style" w:hAnsi="Bookman Old Style" w:cs="Calibri"/>
                <w:sz w:val="12"/>
                <w:szCs w:val="12"/>
              </w:rPr>
              <w:t>14.068.451.042</w:t>
            </w:r>
            <w:r w:rsidR="00EA31BD" w:rsidRPr="008379CA">
              <w:rPr>
                <w:rFonts w:ascii="Bookman Old Style" w:hAnsi="Bookman Old Style" w:cs="Calibri"/>
                <w:sz w:val="12"/>
                <w:szCs w:val="12"/>
              </w:rPr>
              <w:t>,00</w:t>
            </w:r>
          </w:p>
        </w:tc>
        <w:tc>
          <w:tcPr>
            <w:tcW w:w="710" w:type="dxa"/>
            <w:shd w:val="clear" w:color="auto" w:fill="auto"/>
            <w:vAlign w:val="center"/>
          </w:tcPr>
          <w:p w14:paraId="616496D5" w14:textId="36B1D2B7" w:rsidR="00E72048" w:rsidRPr="008379CA" w:rsidRDefault="00E72048" w:rsidP="00E72048">
            <w:pPr>
              <w:jc w:val="center"/>
              <w:rPr>
                <w:rFonts w:ascii="Bookman Old Style" w:hAnsi="Bookman Old Style" w:cs="Calibri"/>
                <w:bCs/>
                <w:sz w:val="12"/>
                <w:szCs w:val="12"/>
                <w:lang w:val="en-US"/>
              </w:rPr>
            </w:pPr>
            <w:r w:rsidRPr="008379CA">
              <w:rPr>
                <w:rFonts w:ascii="Bookman Old Style" w:hAnsi="Bookman Old Style" w:cs="Calibri"/>
                <w:sz w:val="12"/>
                <w:szCs w:val="12"/>
              </w:rPr>
              <w:t>88,21</w:t>
            </w:r>
          </w:p>
        </w:tc>
        <w:tc>
          <w:tcPr>
            <w:tcW w:w="1558" w:type="dxa"/>
            <w:shd w:val="clear" w:color="auto" w:fill="auto"/>
            <w:vAlign w:val="center"/>
          </w:tcPr>
          <w:p w14:paraId="6AFB5952" w14:textId="50EE1720" w:rsidR="00E72048" w:rsidRPr="008379CA" w:rsidRDefault="00E72048" w:rsidP="00EA31BD">
            <w:pPr>
              <w:ind w:left="-114"/>
              <w:jc w:val="right"/>
              <w:rPr>
                <w:rFonts w:ascii="Bookman Old Style" w:hAnsi="Bookman Old Style" w:cs="Calibri"/>
                <w:bCs/>
                <w:sz w:val="12"/>
                <w:szCs w:val="12"/>
                <w:lang w:val="en-US"/>
              </w:rPr>
            </w:pPr>
            <w:r w:rsidRPr="008379CA">
              <w:rPr>
                <w:rFonts w:ascii="Bookman Old Style" w:hAnsi="Bookman Old Style" w:cs="Calibri"/>
                <w:sz w:val="12"/>
                <w:szCs w:val="12"/>
              </w:rPr>
              <w:t>14.495.325.872</w:t>
            </w:r>
            <w:r w:rsidR="00EA31BD" w:rsidRPr="008379CA">
              <w:rPr>
                <w:rFonts w:ascii="Bookman Old Style" w:hAnsi="Bookman Old Style" w:cs="Calibri"/>
                <w:sz w:val="12"/>
                <w:szCs w:val="12"/>
              </w:rPr>
              <w:t>,00</w:t>
            </w:r>
          </w:p>
        </w:tc>
        <w:tc>
          <w:tcPr>
            <w:tcW w:w="1559" w:type="dxa"/>
            <w:shd w:val="clear" w:color="auto" w:fill="auto"/>
            <w:vAlign w:val="center"/>
          </w:tcPr>
          <w:p w14:paraId="479E86DD" w14:textId="1802D4AE" w:rsidR="00E72048" w:rsidRPr="008379CA" w:rsidRDefault="00E72048" w:rsidP="00EA31BD">
            <w:pPr>
              <w:ind w:left="-100"/>
              <w:jc w:val="right"/>
              <w:rPr>
                <w:rFonts w:ascii="Bookman Old Style" w:hAnsi="Bookman Old Style" w:cs="Calibri"/>
                <w:bCs/>
                <w:sz w:val="12"/>
                <w:szCs w:val="12"/>
                <w:lang w:val="en-US"/>
              </w:rPr>
            </w:pPr>
            <w:r w:rsidRPr="008379CA">
              <w:rPr>
                <w:rFonts w:ascii="Bookman Old Style" w:hAnsi="Bookman Old Style" w:cs="Calibri"/>
                <w:sz w:val="12"/>
                <w:szCs w:val="12"/>
              </w:rPr>
              <w:t>14.495.325.873</w:t>
            </w:r>
            <w:r w:rsidR="00EA31BD" w:rsidRPr="008379CA">
              <w:rPr>
                <w:rFonts w:ascii="Bookman Old Style" w:hAnsi="Bookman Old Style" w:cs="Calibri"/>
                <w:sz w:val="12"/>
                <w:szCs w:val="12"/>
              </w:rPr>
              <w:t>,00</w:t>
            </w:r>
          </w:p>
        </w:tc>
        <w:tc>
          <w:tcPr>
            <w:tcW w:w="709" w:type="dxa"/>
            <w:shd w:val="clear" w:color="auto" w:fill="auto"/>
            <w:vAlign w:val="center"/>
          </w:tcPr>
          <w:p w14:paraId="27A8B1AA" w14:textId="62644A19" w:rsidR="00E72048" w:rsidRPr="008379CA" w:rsidRDefault="00E72048" w:rsidP="00E72048">
            <w:pPr>
              <w:jc w:val="center"/>
              <w:rPr>
                <w:rFonts w:ascii="Bookman Old Style" w:hAnsi="Bookman Old Style" w:cs="Calibri"/>
                <w:bCs/>
                <w:sz w:val="12"/>
                <w:szCs w:val="12"/>
                <w:lang w:val="en-US"/>
              </w:rPr>
            </w:pPr>
            <w:r w:rsidRPr="008379CA">
              <w:rPr>
                <w:rFonts w:ascii="Bookman Old Style" w:hAnsi="Bookman Old Style" w:cs="Calibri"/>
                <w:sz w:val="12"/>
                <w:szCs w:val="12"/>
              </w:rPr>
              <w:t>100,00</w:t>
            </w:r>
            <w:r w:rsidR="00A954D0" w:rsidRPr="008379CA">
              <w:rPr>
                <w:rFonts w:ascii="Bookman Old Style" w:hAnsi="Bookman Old Style" w:cs="Calibri"/>
                <w:sz w:val="12"/>
                <w:szCs w:val="12"/>
              </w:rPr>
              <w:t xml:space="preserve"> </w:t>
            </w:r>
          </w:p>
        </w:tc>
        <w:tc>
          <w:tcPr>
            <w:tcW w:w="1559" w:type="dxa"/>
            <w:shd w:val="clear" w:color="auto" w:fill="auto"/>
            <w:vAlign w:val="center"/>
          </w:tcPr>
          <w:p w14:paraId="0DB49762" w14:textId="10C56AC4" w:rsidR="00E72048" w:rsidRPr="008379CA" w:rsidRDefault="00E72048" w:rsidP="00EA31BD">
            <w:pPr>
              <w:ind w:left="-112"/>
              <w:jc w:val="right"/>
              <w:rPr>
                <w:rFonts w:ascii="Bookman Old Style" w:hAnsi="Bookman Old Style" w:cs="Calibri"/>
                <w:bCs/>
                <w:sz w:val="12"/>
                <w:szCs w:val="12"/>
                <w:lang w:val="en-US"/>
              </w:rPr>
            </w:pPr>
            <w:r w:rsidRPr="008379CA">
              <w:rPr>
                <w:rFonts w:ascii="Bookman Old Style" w:hAnsi="Bookman Old Style" w:cs="Calibri"/>
                <w:sz w:val="12"/>
                <w:szCs w:val="12"/>
              </w:rPr>
              <w:t>15.723.830.122</w:t>
            </w:r>
            <w:r w:rsidR="00EA31BD" w:rsidRPr="008379CA">
              <w:rPr>
                <w:rFonts w:ascii="Bookman Old Style" w:hAnsi="Bookman Old Style" w:cs="Calibri"/>
                <w:sz w:val="12"/>
                <w:szCs w:val="12"/>
              </w:rPr>
              <w:t>,00</w:t>
            </w:r>
          </w:p>
        </w:tc>
        <w:tc>
          <w:tcPr>
            <w:tcW w:w="1560" w:type="dxa"/>
            <w:shd w:val="clear" w:color="auto" w:fill="auto"/>
            <w:vAlign w:val="center"/>
          </w:tcPr>
          <w:p w14:paraId="64204F29" w14:textId="78C244F6" w:rsidR="00E72048" w:rsidRPr="008379CA" w:rsidRDefault="00E72048" w:rsidP="00EA31BD">
            <w:pPr>
              <w:ind w:left="-112"/>
              <w:jc w:val="right"/>
              <w:rPr>
                <w:rFonts w:ascii="Bookman Old Style" w:hAnsi="Bookman Old Style" w:cs="Calibri"/>
                <w:bCs/>
                <w:sz w:val="12"/>
                <w:szCs w:val="12"/>
                <w:lang w:val="en-US"/>
              </w:rPr>
            </w:pPr>
            <w:r w:rsidRPr="008379CA">
              <w:rPr>
                <w:rFonts w:ascii="Bookman Old Style" w:hAnsi="Bookman Old Style" w:cs="Calibri"/>
                <w:sz w:val="12"/>
                <w:szCs w:val="12"/>
              </w:rPr>
              <w:t>16.064.675.538</w:t>
            </w:r>
            <w:r w:rsidR="00EA31BD" w:rsidRPr="008379CA">
              <w:rPr>
                <w:rFonts w:ascii="Bookman Old Style" w:hAnsi="Bookman Old Style" w:cs="Calibri"/>
                <w:sz w:val="12"/>
                <w:szCs w:val="12"/>
              </w:rPr>
              <w:t>,00</w:t>
            </w:r>
          </w:p>
        </w:tc>
        <w:tc>
          <w:tcPr>
            <w:tcW w:w="708" w:type="dxa"/>
            <w:shd w:val="clear" w:color="auto" w:fill="auto"/>
            <w:vAlign w:val="center"/>
          </w:tcPr>
          <w:p w14:paraId="4689B973" w14:textId="68AE9B53" w:rsidR="00E72048" w:rsidRPr="008379CA" w:rsidRDefault="00E72048" w:rsidP="00E72048">
            <w:pPr>
              <w:jc w:val="center"/>
              <w:rPr>
                <w:rFonts w:ascii="Bookman Old Style" w:hAnsi="Bookman Old Style" w:cs="Calibri"/>
                <w:sz w:val="12"/>
                <w:szCs w:val="12"/>
                <w:lang w:val="en-US"/>
              </w:rPr>
            </w:pPr>
            <w:r w:rsidRPr="008379CA">
              <w:rPr>
                <w:rFonts w:ascii="Bookman Old Style" w:hAnsi="Bookman Old Style" w:cs="Calibri"/>
                <w:sz w:val="12"/>
                <w:szCs w:val="12"/>
              </w:rPr>
              <w:t>102,17</w:t>
            </w:r>
            <w:r w:rsidR="00A954D0" w:rsidRPr="008379CA">
              <w:rPr>
                <w:rFonts w:ascii="Bookman Old Style" w:hAnsi="Bookman Old Style" w:cs="Calibri"/>
                <w:sz w:val="12"/>
                <w:szCs w:val="12"/>
              </w:rPr>
              <w:t xml:space="preserve"> </w:t>
            </w:r>
          </w:p>
        </w:tc>
        <w:tc>
          <w:tcPr>
            <w:tcW w:w="1560" w:type="dxa"/>
            <w:shd w:val="clear" w:color="auto" w:fill="auto"/>
            <w:vAlign w:val="center"/>
          </w:tcPr>
          <w:p w14:paraId="75BDE6B8" w14:textId="532D987F" w:rsidR="00E72048" w:rsidRPr="008379CA" w:rsidRDefault="00E72048" w:rsidP="00EA31BD">
            <w:pPr>
              <w:ind w:left="-110"/>
              <w:jc w:val="right"/>
              <w:rPr>
                <w:rFonts w:ascii="Bookman Old Style" w:hAnsi="Bookman Old Style" w:cs="Calibri"/>
                <w:sz w:val="12"/>
                <w:szCs w:val="12"/>
                <w:lang w:val="en-US"/>
              </w:rPr>
            </w:pPr>
            <w:r w:rsidRPr="008379CA">
              <w:rPr>
                <w:rFonts w:ascii="Bookman Old Style" w:hAnsi="Bookman Old Style" w:cs="Calibri"/>
                <w:sz w:val="12"/>
                <w:szCs w:val="12"/>
              </w:rPr>
              <w:t>23.467.177.212</w:t>
            </w:r>
            <w:r w:rsidR="00EA31BD" w:rsidRPr="008379CA">
              <w:rPr>
                <w:rFonts w:ascii="Bookman Old Style" w:hAnsi="Bookman Old Style" w:cs="Calibri"/>
                <w:sz w:val="12"/>
                <w:szCs w:val="12"/>
              </w:rPr>
              <w:t>,00</w:t>
            </w:r>
          </w:p>
        </w:tc>
        <w:tc>
          <w:tcPr>
            <w:tcW w:w="849" w:type="dxa"/>
            <w:shd w:val="clear" w:color="auto" w:fill="auto"/>
            <w:vAlign w:val="center"/>
          </w:tcPr>
          <w:p w14:paraId="2C9C5DA6" w14:textId="417EB016" w:rsidR="00E72048" w:rsidRPr="008379CA" w:rsidRDefault="00E72048" w:rsidP="00E72048">
            <w:pPr>
              <w:jc w:val="center"/>
              <w:rPr>
                <w:rFonts w:ascii="Bookman Old Style" w:hAnsi="Bookman Old Style" w:cs="Calibri"/>
                <w:sz w:val="12"/>
                <w:szCs w:val="12"/>
                <w:lang w:val="en-US"/>
              </w:rPr>
            </w:pPr>
            <w:r w:rsidRPr="008379CA">
              <w:rPr>
                <w:rFonts w:ascii="Bookman Old Style" w:hAnsi="Bookman Old Style" w:cs="Calibri"/>
                <w:sz w:val="12"/>
                <w:szCs w:val="12"/>
              </w:rPr>
              <w:t>(9,11)</w:t>
            </w:r>
          </w:p>
        </w:tc>
        <w:tc>
          <w:tcPr>
            <w:tcW w:w="850" w:type="dxa"/>
            <w:shd w:val="clear" w:color="auto" w:fill="auto"/>
            <w:vAlign w:val="center"/>
          </w:tcPr>
          <w:p w14:paraId="05C1803A" w14:textId="184F90CE" w:rsidR="00E72048" w:rsidRPr="008379CA" w:rsidRDefault="00E72048" w:rsidP="00E72048">
            <w:pPr>
              <w:jc w:val="center"/>
              <w:rPr>
                <w:rFonts w:ascii="Bookman Old Style" w:hAnsi="Bookman Old Style" w:cs="Calibri"/>
                <w:sz w:val="12"/>
                <w:szCs w:val="12"/>
                <w:lang w:val="en-US"/>
              </w:rPr>
            </w:pPr>
            <w:r w:rsidRPr="008379CA">
              <w:rPr>
                <w:rFonts w:ascii="Bookman Old Style" w:hAnsi="Bookman Old Style" w:cs="Calibri"/>
                <w:sz w:val="12"/>
                <w:szCs w:val="12"/>
              </w:rPr>
              <w:t>8,48</w:t>
            </w:r>
          </w:p>
        </w:tc>
        <w:tc>
          <w:tcPr>
            <w:tcW w:w="992" w:type="dxa"/>
            <w:shd w:val="clear" w:color="auto" w:fill="auto"/>
            <w:vAlign w:val="center"/>
          </w:tcPr>
          <w:p w14:paraId="6B60D928" w14:textId="389FA35C" w:rsidR="00E72048" w:rsidRPr="008379CA" w:rsidRDefault="00E72048" w:rsidP="00E72048">
            <w:pPr>
              <w:jc w:val="center"/>
              <w:rPr>
                <w:rFonts w:ascii="Bookman Old Style" w:hAnsi="Bookman Old Style" w:cs="Calibri"/>
                <w:sz w:val="12"/>
                <w:szCs w:val="12"/>
                <w:lang w:val="en-US"/>
              </w:rPr>
            </w:pPr>
            <w:r w:rsidRPr="008379CA">
              <w:rPr>
                <w:rFonts w:ascii="Bookman Old Style" w:hAnsi="Bookman Old Style" w:cs="Calibri"/>
                <w:sz w:val="12"/>
                <w:szCs w:val="12"/>
              </w:rPr>
              <w:t>49,25</w:t>
            </w:r>
          </w:p>
        </w:tc>
        <w:tc>
          <w:tcPr>
            <w:tcW w:w="709" w:type="dxa"/>
            <w:shd w:val="clear" w:color="auto" w:fill="auto"/>
            <w:noWrap/>
            <w:vAlign w:val="center"/>
          </w:tcPr>
          <w:p w14:paraId="7D77B42F" w14:textId="5550B1C3" w:rsidR="00E72048" w:rsidRPr="008379CA" w:rsidRDefault="00E72048" w:rsidP="00E72048">
            <w:pPr>
              <w:jc w:val="center"/>
              <w:rPr>
                <w:rFonts w:ascii="Bookman Old Style" w:hAnsi="Bookman Old Style" w:cs="Calibri"/>
                <w:sz w:val="12"/>
                <w:szCs w:val="12"/>
                <w:lang w:val="en-US"/>
              </w:rPr>
            </w:pPr>
            <w:r w:rsidRPr="008379CA">
              <w:rPr>
                <w:rFonts w:ascii="Bookman Old Style" w:hAnsi="Bookman Old Style" w:cs="Calibri"/>
                <w:sz w:val="12"/>
                <w:szCs w:val="12"/>
              </w:rPr>
              <w:t>16,20</w:t>
            </w:r>
          </w:p>
        </w:tc>
      </w:tr>
      <w:tr w:rsidR="008379CA" w:rsidRPr="008379CA" w14:paraId="13562D52" w14:textId="77777777" w:rsidTr="00DA7786">
        <w:trPr>
          <w:trHeight w:val="340"/>
        </w:trPr>
        <w:tc>
          <w:tcPr>
            <w:tcW w:w="1418" w:type="dxa"/>
            <w:shd w:val="clear" w:color="auto" w:fill="auto"/>
            <w:vAlign w:val="center"/>
          </w:tcPr>
          <w:p w14:paraId="1BB93355" w14:textId="35FFD9E2" w:rsidR="00E72048" w:rsidRPr="008379CA" w:rsidRDefault="00E72048" w:rsidP="00E72048">
            <w:pPr>
              <w:jc w:val="both"/>
              <w:rPr>
                <w:rFonts w:ascii="Bookman Old Style" w:hAnsi="Bookman Old Style" w:cs="Calibri"/>
                <w:bCs/>
                <w:sz w:val="12"/>
                <w:szCs w:val="12"/>
                <w:lang w:val="en-US"/>
              </w:rPr>
            </w:pPr>
            <w:r w:rsidRPr="008379CA">
              <w:rPr>
                <w:rFonts w:ascii="Bookman Old Style" w:hAnsi="Bookman Old Style" w:cs="Calibri"/>
                <w:sz w:val="12"/>
                <w:szCs w:val="12"/>
                <w:lang w:val="id-ID"/>
              </w:rPr>
              <w:t>Lain-Lain</w:t>
            </w:r>
            <w:r w:rsidR="00A954D0" w:rsidRPr="008379CA">
              <w:rPr>
                <w:rFonts w:ascii="Bookman Old Style" w:hAnsi="Bookman Old Style" w:cs="Calibri"/>
                <w:sz w:val="12"/>
                <w:szCs w:val="12"/>
                <w:lang w:val="id-ID"/>
              </w:rPr>
              <w:t xml:space="preserve"> </w:t>
            </w:r>
            <w:r w:rsidRPr="008379CA">
              <w:rPr>
                <w:rFonts w:ascii="Bookman Old Style" w:hAnsi="Bookman Old Style" w:cs="Calibri"/>
                <w:sz w:val="12"/>
                <w:szCs w:val="12"/>
                <w:lang w:val="id-ID"/>
              </w:rPr>
              <w:t>Pendapatan</w:t>
            </w:r>
            <w:r w:rsidR="00A954D0" w:rsidRPr="008379CA">
              <w:rPr>
                <w:rFonts w:ascii="Bookman Old Style" w:hAnsi="Bookman Old Style" w:cs="Calibri"/>
                <w:sz w:val="12"/>
                <w:szCs w:val="12"/>
                <w:lang w:val="id-ID"/>
              </w:rPr>
              <w:t xml:space="preserve"> </w:t>
            </w:r>
            <w:r w:rsidRPr="008379CA">
              <w:rPr>
                <w:rFonts w:ascii="Bookman Old Style" w:hAnsi="Bookman Old Style" w:cs="Calibri"/>
                <w:sz w:val="12"/>
                <w:szCs w:val="12"/>
                <w:lang w:val="id-ID"/>
              </w:rPr>
              <w:t>Asli</w:t>
            </w:r>
            <w:r w:rsidR="00A954D0" w:rsidRPr="008379CA">
              <w:rPr>
                <w:rFonts w:ascii="Bookman Old Style" w:hAnsi="Bookman Old Style" w:cs="Calibri"/>
                <w:sz w:val="12"/>
                <w:szCs w:val="12"/>
                <w:lang w:val="id-ID"/>
              </w:rPr>
              <w:t xml:space="preserve"> </w:t>
            </w:r>
            <w:r w:rsidRPr="008379CA">
              <w:rPr>
                <w:rFonts w:ascii="Bookman Old Style" w:hAnsi="Bookman Old Style" w:cs="Calibri"/>
                <w:sz w:val="12"/>
                <w:szCs w:val="12"/>
                <w:lang w:val="id-ID"/>
              </w:rPr>
              <w:t>Daerah</w:t>
            </w:r>
            <w:r w:rsidR="00A954D0" w:rsidRPr="008379CA">
              <w:rPr>
                <w:rFonts w:ascii="Bookman Old Style" w:hAnsi="Bookman Old Style" w:cs="Calibri"/>
                <w:sz w:val="12"/>
                <w:szCs w:val="12"/>
                <w:lang w:val="id-ID"/>
              </w:rPr>
              <w:t xml:space="preserve"> </w:t>
            </w:r>
            <w:r w:rsidRPr="008379CA">
              <w:rPr>
                <w:rFonts w:ascii="Bookman Old Style" w:hAnsi="Bookman Old Style" w:cs="Calibri"/>
                <w:sz w:val="12"/>
                <w:szCs w:val="12"/>
                <w:lang w:val="id-ID"/>
              </w:rPr>
              <w:t>yang</w:t>
            </w:r>
            <w:r w:rsidR="00A954D0" w:rsidRPr="008379CA">
              <w:rPr>
                <w:rFonts w:ascii="Bookman Old Style" w:hAnsi="Bookman Old Style" w:cs="Calibri"/>
                <w:sz w:val="12"/>
                <w:szCs w:val="12"/>
                <w:lang w:val="id-ID"/>
              </w:rPr>
              <w:t xml:space="preserve"> </w:t>
            </w:r>
            <w:r w:rsidRPr="008379CA">
              <w:rPr>
                <w:rFonts w:ascii="Bookman Old Style" w:hAnsi="Bookman Old Style" w:cs="Calibri"/>
                <w:sz w:val="12"/>
                <w:szCs w:val="12"/>
                <w:lang w:val="id-ID"/>
              </w:rPr>
              <w:t>Sah</w:t>
            </w:r>
          </w:p>
        </w:tc>
        <w:tc>
          <w:tcPr>
            <w:tcW w:w="1531" w:type="dxa"/>
            <w:shd w:val="clear" w:color="auto" w:fill="auto"/>
            <w:vAlign w:val="center"/>
          </w:tcPr>
          <w:p w14:paraId="2AF30CA3" w14:textId="31215DCD" w:rsidR="00E72048" w:rsidRPr="008379CA" w:rsidRDefault="00E72048" w:rsidP="00EA31BD">
            <w:pPr>
              <w:ind w:left="-101"/>
              <w:jc w:val="right"/>
              <w:rPr>
                <w:rFonts w:ascii="Bookman Old Style" w:hAnsi="Bookman Old Style" w:cs="Calibri"/>
                <w:bCs/>
                <w:sz w:val="12"/>
                <w:szCs w:val="12"/>
                <w:lang w:val="en-US"/>
              </w:rPr>
            </w:pPr>
            <w:r w:rsidRPr="008379CA">
              <w:rPr>
                <w:rFonts w:ascii="Bookman Old Style" w:hAnsi="Bookman Old Style" w:cs="Calibri"/>
                <w:sz w:val="12"/>
                <w:szCs w:val="12"/>
              </w:rPr>
              <w:t>169.568.017.937</w:t>
            </w:r>
            <w:r w:rsidR="00EA31BD" w:rsidRPr="008379CA">
              <w:rPr>
                <w:rFonts w:ascii="Bookman Old Style" w:hAnsi="Bookman Old Style" w:cs="Calibri"/>
                <w:sz w:val="12"/>
                <w:szCs w:val="12"/>
              </w:rPr>
              <w:t>,00</w:t>
            </w:r>
          </w:p>
        </w:tc>
        <w:tc>
          <w:tcPr>
            <w:tcW w:w="1560" w:type="dxa"/>
            <w:shd w:val="clear" w:color="auto" w:fill="auto"/>
            <w:vAlign w:val="center"/>
          </w:tcPr>
          <w:p w14:paraId="49388B00" w14:textId="6659B0CE" w:rsidR="00E72048" w:rsidRPr="008379CA" w:rsidRDefault="00E72048" w:rsidP="00EA31BD">
            <w:pPr>
              <w:ind w:left="-102"/>
              <w:jc w:val="right"/>
              <w:rPr>
                <w:rFonts w:ascii="Bookman Old Style" w:hAnsi="Bookman Old Style" w:cs="Calibri"/>
                <w:sz w:val="12"/>
                <w:szCs w:val="12"/>
                <w:lang w:val="en-US"/>
              </w:rPr>
            </w:pPr>
            <w:r w:rsidRPr="008379CA">
              <w:rPr>
                <w:rFonts w:ascii="Bookman Old Style" w:hAnsi="Bookman Old Style" w:cs="Calibri"/>
                <w:sz w:val="12"/>
                <w:szCs w:val="12"/>
              </w:rPr>
              <w:t>206.418.811.422</w:t>
            </w:r>
            <w:r w:rsidR="00EA31BD" w:rsidRPr="008379CA">
              <w:rPr>
                <w:rFonts w:ascii="Bookman Old Style" w:hAnsi="Bookman Old Style" w:cs="Calibri"/>
                <w:sz w:val="12"/>
                <w:szCs w:val="12"/>
              </w:rPr>
              <w:t>,00</w:t>
            </w:r>
          </w:p>
        </w:tc>
        <w:tc>
          <w:tcPr>
            <w:tcW w:w="710" w:type="dxa"/>
            <w:shd w:val="clear" w:color="auto" w:fill="auto"/>
            <w:vAlign w:val="center"/>
          </w:tcPr>
          <w:p w14:paraId="19396B46" w14:textId="5EED915E" w:rsidR="00E72048" w:rsidRPr="008379CA" w:rsidRDefault="00E72048" w:rsidP="00E72048">
            <w:pPr>
              <w:jc w:val="center"/>
              <w:rPr>
                <w:rFonts w:ascii="Bookman Old Style" w:hAnsi="Bookman Old Style" w:cs="Calibri"/>
                <w:bCs/>
                <w:sz w:val="12"/>
                <w:szCs w:val="12"/>
                <w:lang w:val="en-US"/>
              </w:rPr>
            </w:pPr>
            <w:r w:rsidRPr="008379CA">
              <w:rPr>
                <w:rFonts w:ascii="Bookman Old Style" w:hAnsi="Bookman Old Style" w:cs="Calibri"/>
                <w:sz w:val="12"/>
                <w:szCs w:val="12"/>
              </w:rPr>
              <w:t>121,73</w:t>
            </w:r>
          </w:p>
        </w:tc>
        <w:tc>
          <w:tcPr>
            <w:tcW w:w="1558" w:type="dxa"/>
            <w:shd w:val="clear" w:color="auto" w:fill="auto"/>
            <w:vAlign w:val="center"/>
          </w:tcPr>
          <w:p w14:paraId="4AD521F6" w14:textId="58FA14B2" w:rsidR="00E72048" w:rsidRPr="008379CA" w:rsidRDefault="00E72048" w:rsidP="00EA31BD">
            <w:pPr>
              <w:ind w:left="-114"/>
              <w:jc w:val="right"/>
              <w:rPr>
                <w:rFonts w:ascii="Bookman Old Style" w:hAnsi="Bookman Old Style" w:cs="Calibri"/>
                <w:bCs/>
                <w:sz w:val="12"/>
                <w:szCs w:val="12"/>
                <w:lang w:val="en-US"/>
              </w:rPr>
            </w:pPr>
            <w:r w:rsidRPr="008379CA">
              <w:rPr>
                <w:rFonts w:ascii="Bookman Old Style" w:hAnsi="Bookman Old Style" w:cs="Calibri"/>
                <w:sz w:val="12"/>
                <w:szCs w:val="12"/>
              </w:rPr>
              <w:t>196.818.990.438</w:t>
            </w:r>
            <w:r w:rsidR="00EA31BD" w:rsidRPr="008379CA">
              <w:rPr>
                <w:rFonts w:ascii="Bookman Old Style" w:hAnsi="Bookman Old Style" w:cs="Calibri"/>
                <w:sz w:val="12"/>
                <w:szCs w:val="12"/>
              </w:rPr>
              <w:t>,00</w:t>
            </w:r>
          </w:p>
        </w:tc>
        <w:tc>
          <w:tcPr>
            <w:tcW w:w="1559" w:type="dxa"/>
            <w:shd w:val="clear" w:color="auto" w:fill="auto"/>
            <w:vAlign w:val="center"/>
          </w:tcPr>
          <w:p w14:paraId="6D84C9C8" w14:textId="3FA5DF24" w:rsidR="00E72048" w:rsidRPr="008379CA" w:rsidRDefault="00E72048" w:rsidP="00EA31BD">
            <w:pPr>
              <w:ind w:left="-100"/>
              <w:jc w:val="right"/>
              <w:rPr>
                <w:rFonts w:ascii="Bookman Old Style" w:hAnsi="Bookman Old Style" w:cs="Calibri"/>
                <w:bCs/>
                <w:sz w:val="12"/>
                <w:szCs w:val="12"/>
                <w:lang w:val="en-US"/>
              </w:rPr>
            </w:pPr>
            <w:r w:rsidRPr="008379CA">
              <w:rPr>
                <w:rFonts w:ascii="Bookman Old Style" w:hAnsi="Bookman Old Style" w:cs="Calibri"/>
                <w:sz w:val="12"/>
                <w:szCs w:val="12"/>
              </w:rPr>
              <w:t>234.050.521.265</w:t>
            </w:r>
            <w:r w:rsidR="00EA31BD" w:rsidRPr="008379CA">
              <w:rPr>
                <w:rFonts w:ascii="Bookman Old Style" w:hAnsi="Bookman Old Style" w:cs="Calibri"/>
                <w:sz w:val="12"/>
                <w:szCs w:val="12"/>
              </w:rPr>
              <w:t>,00</w:t>
            </w:r>
          </w:p>
        </w:tc>
        <w:tc>
          <w:tcPr>
            <w:tcW w:w="709" w:type="dxa"/>
            <w:shd w:val="clear" w:color="auto" w:fill="auto"/>
            <w:vAlign w:val="center"/>
          </w:tcPr>
          <w:p w14:paraId="1A3E01AF" w14:textId="1B33022C" w:rsidR="00E72048" w:rsidRPr="008379CA" w:rsidRDefault="00E72048" w:rsidP="00E72048">
            <w:pPr>
              <w:jc w:val="center"/>
              <w:rPr>
                <w:rFonts w:ascii="Bookman Old Style" w:hAnsi="Bookman Old Style" w:cs="Calibri"/>
                <w:bCs/>
                <w:sz w:val="12"/>
                <w:szCs w:val="12"/>
                <w:lang w:val="en-US"/>
              </w:rPr>
            </w:pPr>
            <w:r w:rsidRPr="008379CA">
              <w:rPr>
                <w:rFonts w:ascii="Bookman Old Style" w:hAnsi="Bookman Old Style" w:cs="Calibri"/>
                <w:sz w:val="12"/>
                <w:szCs w:val="12"/>
              </w:rPr>
              <w:t>118,92</w:t>
            </w:r>
            <w:r w:rsidR="00A954D0" w:rsidRPr="008379CA">
              <w:rPr>
                <w:rFonts w:ascii="Bookman Old Style" w:hAnsi="Bookman Old Style" w:cs="Calibri"/>
                <w:sz w:val="12"/>
                <w:szCs w:val="12"/>
              </w:rPr>
              <w:t xml:space="preserve"> </w:t>
            </w:r>
          </w:p>
        </w:tc>
        <w:tc>
          <w:tcPr>
            <w:tcW w:w="1559" w:type="dxa"/>
            <w:shd w:val="clear" w:color="auto" w:fill="auto"/>
            <w:vAlign w:val="center"/>
          </w:tcPr>
          <w:p w14:paraId="57D34C26" w14:textId="009D937C" w:rsidR="00E72048" w:rsidRPr="008379CA" w:rsidRDefault="00E72048" w:rsidP="00EA31BD">
            <w:pPr>
              <w:ind w:left="-112"/>
              <w:jc w:val="right"/>
              <w:rPr>
                <w:rFonts w:ascii="Bookman Old Style" w:hAnsi="Bookman Old Style" w:cs="Calibri"/>
                <w:bCs/>
                <w:sz w:val="12"/>
                <w:szCs w:val="12"/>
                <w:lang w:val="en-US"/>
              </w:rPr>
            </w:pPr>
            <w:r w:rsidRPr="008379CA">
              <w:rPr>
                <w:rFonts w:ascii="Bookman Old Style" w:hAnsi="Bookman Old Style" w:cs="Calibri"/>
                <w:sz w:val="12"/>
                <w:szCs w:val="12"/>
              </w:rPr>
              <w:t>53.883.790.279</w:t>
            </w:r>
            <w:r w:rsidR="00EA31BD" w:rsidRPr="008379CA">
              <w:rPr>
                <w:rFonts w:ascii="Bookman Old Style" w:hAnsi="Bookman Old Style" w:cs="Calibri"/>
                <w:sz w:val="12"/>
                <w:szCs w:val="12"/>
              </w:rPr>
              <w:t>,00</w:t>
            </w:r>
          </w:p>
        </w:tc>
        <w:tc>
          <w:tcPr>
            <w:tcW w:w="1560" w:type="dxa"/>
            <w:shd w:val="clear" w:color="auto" w:fill="auto"/>
            <w:vAlign w:val="center"/>
          </w:tcPr>
          <w:p w14:paraId="601D22C6" w14:textId="7ECC255C" w:rsidR="00E72048" w:rsidRPr="008379CA" w:rsidRDefault="00E72048" w:rsidP="00EA31BD">
            <w:pPr>
              <w:ind w:left="-112"/>
              <w:jc w:val="right"/>
              <w:rPr>
                <w:rFonts w:ascii="Bookman Old Style" w:hAnsi="Bookman Old Style" w:cs="Calibri"/>
                <w:bCs/>
                <w:sz w:val="12"/>
                <w:szCs w:val="12"/>
                <w:lang w:val="en-US"/>
              </w:rPr>
            </w:pPr>
            <w:r w:rsidRPr="008379CA">
              <w:rPr>
                <w:rFonts w:ascii="Bookman Old Style" w:hAnsi="Bookman Old Style" w:cs="Calibri"/>
                <w:sz w:val="12"/>
                <w:szCs w:val="12"/>
              </w:rPr>
              <w:t>120.703.849.360</w:t>
            </w:r>
            <w:r w:rsidR="00EA31BD" w:rsidRPr="008379CA">
              <w:rPr>
                <w:rFonts w:ascii="Bookman Old Style" w:hAnsi="Bookman Old Style" w:cs="Calibri"/>
                <w:sz w:val="12"/>
                <w:szCs w:val="12"/>
              </w:rPr>
              <w:t>,00</w:t>
            </w:r>
          </w:p>
        </w:tc>
        <w:tc>
          <w:tcPr>
            <w:tcW w:w="708" w:type="dxa"/>
            <w:shd w:val="clear" w:color="auto" w:fill="auto"/>
            <w:vAlign w:val="center"/>
          </w:tcPr>
          <w:p w14:paraId="58CBDF05" w14:textId="527B3280" w:rsidR="00E72048" w:rsidRPr="008379CA" w:rsidRDefault="00E72048" w:rsidP="00E72048">
            <w:pPr>
              <w:jc w:val="center"/>
              <w:rPr>
                <w:rFonts w:ascii="Bookman Old Style" w:hAnsi="Bookman Old Style" w:cs="Calibri"/>
                <w:sz w:val="12"/>
                <w:szCs w:val="12"/>
                <w:lang w:val="en-US"/>
              </w:rPr>
            </w:pPr>
            <w:r w:rsidRPr="008379CA">
              <w:rPr>
                <w:rFonts w:ascii="Bookman Old Style" w:hAnsi="Bookman Old Style" w:cs="Calibri"/>
                <w:sz w:val="12"/>
                <w:szCs w:val="12"/>
              </w:rPr>
              <w:t>224,01</w:t>
            </w:r>
            <w:r w:rsidR="00A954D0" w:rsidRPr="008379CA">
              <w:rPr>
                <w:rFonts w:ascii="Bookman Old Style" w:hAnsi="Bookman Old Style" w:cs="Calibri"/>
                <w:sz w:val="12"/>
                <w:szCs w:val="12"/>
              </w:rPr>
              <w:t xml:space="preserve"> </w:t>
            </w:r>
          </w:p>
        </w:tc>
        <w:tc>
          <w:tcPr>
            <w:tcW w:w="1560" w:type="dxa"/>
            <w:shd w:val="clear" w:color="auto" w:fill="auto"/>
            <w:vAlign w:val="center"/>
          </w:tcPr>
          <w:p w14:paraId="3C382A1C" w14:textId="17402691" w:rsidR="00E72048" w:rsidRPr="008379CA" w:rsidRDefault="00E72048" w:rsidP="00EA31BD">
            <w:pPr>
              <w:ind w:left="-110"/>
              <w:jc w:val="right"/>
              <w:rPr>
                <w:rFonts w:ascii="Bookman Old Style" w:hAnsi="Bookman Old Style" w:cs="Calibri"/>
                <w:sz w:val="12"/>
                <w:szCs w:val="12"/>
                <w:lang w:val="en-US"/>
              </w:rPr>
            </w:pPr>
            <w:r w:rsidRPr="008379CA">
              <w:rPr>
                <w:rFonts w:ascii="Bookman Old Style" w:hAnsi="Bookman Old Style" w:cs="Calibri"/>
                <w:sz w:val="12"/>
                <w:szCs w:val="12"/>
              </w:rPr>
              <w:t>29.695.439.705</w:t>
            </w:r>
            <w:r w:rsidR="00EA31BD" w:rsidRPr="008379CA">
              <w:rPr>
                <w:rFonts w:ascii="Bookman Old Style" w:hAnsi="Bookman Old Style" w:cs="Calibri"/>
                <w:sz w:val="12"/>
                <w:szCs w:val="12"/>
              </w:rPr>
              <w:t>,00</w:t>
            </w:r>
          </w:p>
        </w:tc>
        <w:tc>
          <w:tcPr>
            <w:tcW w:w="849" w:type="dxa"/>
            <w:shd w:val="clear" w:color="auto" w:fill="auto"/>
            <w:vAlign w:val="center"/>
          </w:tcPr>
          <w:p w14:paraId="20379B89" w14:textId="4983F82E" w:rsidR="00E72048" w:rsidRPr="008379CA" w:rsidRDefault="00E72048" w:rsidP="00E72048">
            <w:pPr>
              <w:jc w:val="center"/>
              <w:rPr>
                <w:rFonts w:ascii="Bookman Old Style" w:hAnsi="Bookman Old Style" w:cs="Calibri"/>
                <w:sz w:val="12"/>
                <w:szCs w:val="12"/>
                <w:lang w:val="en-US"/>
              </w:rPr>
            </w:pPr>
            <w:r w:rsidRPr="008379CA">
              <w:rPr>
                <w:rFonts w:ascii="Bookman Old Style" w:hAnsi="Bookman Old Style" w:cs="Calibri"/>
                <w:sz w:val="12"/>
                <w:szCs w:val="12"/>
              </w:rPr>
              <w:t>16,07</w:t>
            </w:r>
          </w:p>
        </w:tc>
        <w:tc>
          <w:tcPr>
            <w:tcW w:w="850" w:type="dxa"/>
            <w:shd w:val="clear" w:color="auto" w:fill="auto"/>
            <w:vAlign w:val="center"/>
          </w:tcPr>
          <w:p w14:paraId="10568CA5" w14:textId="0C6EA576" w:rsidR="00E72048" w:rsidRPr="008379CA" w:rsidRDefault="00E72048" w:rsidP="00E72048">
            <w:pPr>
              <w:jc w:val="center"/>
              <w:rPr>
                <w:rFonts w:ascii="Bookman Old Style" w:hAnsi="Bookman Old Style" w:cs="Calibri"/>
                <w:sz w:val="12"/>
                <w:szCs w:val="12"/>
                <w:lang w:val="en-US"/>
              </w:rPr>
            </w:pPr>
            <w:r w:rsidRPr="008379CA">
              <w:rPr>
                <w:rFonts w:ascii="Bookman Old Style" w:hAnsi="Bookman Old Style" w:cs="Calibri"/>
                <w:sz w:val="12"/>
                <w:szCs w:val="12"/>
              </w:rPr>
              <w:t>(72,62)</w:t>
            </w:r>
          </w:p>
        </w:tc>
        <w:tc>
          <w:tcPr>
            <w:tcW w:w="992" w:type="dxa"/>
            <w:shd w:val="clear" w:color="auto" w:fill="auto"/>
            <w:vAlign w:val="center"/>
          </w:tcPr>
          <w:p w14:paraId="635E606B" w14:textId="05C4C41E" w:rsidR="00E72048" w:rsidRPr="008379CA" w:rsidRDefault="00E72048" w:rsidP="00E72048">
            <w:pPr>
              <w:jc w:val="center"/>
              <w:rPr>
                <w:rFonts w:ascii="Bookman Old Style" w:hAnsi="Bookman Old Style" w:cs="Calibri"/>
                <w:sz w:val="12"/>
                <w:szCs w:val="12"/>
                <w:lang w:val="en-US"/>
              </w:rPr>
            </w:pPr>
            <w:r w:rsidRPr="008379CA">
              <w:rPr>
                <w:rFonts w:ascii="Bookman Old Style" w:hAnsi="Bookman Old Style" w:cs="Calibri"/>
                <w:sz w:val="12"/>
                <w:szCs w:val="12"/>
              </w:rPr>
              <w:t>(44,89)</w:t>
            </w:r>
          </w:p>
        </w:tc>
        <w:tc>
          <w:tcPr>
            <w:tcW w:w="709" w:type="dxa"/>
            <w:shd w:val="clear" w:color="auto" w:fill="auto"/>
            <w:noWrap/>
            <w:vAlign w:val="center"/>
          </w:tcPr>
          <w:p w14:paraId="36A5D7D7" w14:textId="0748936B" w:rsidR="00E72048" w:rsidRPr="008379CA" w:rsidRDefault="00E72048" w:rsidP="00E72048">
            <w:pPr>
              <w:jc w:val="center"/>
              <w:rPr>
                <w:rFonts w:ascii="Bookman Old Style" w:hAnsi="Bookman Old Style" w:cs="Calibri"/>
                <w:sz w:val="12"/>
                <w:szCs w:val="12"/>
                <w:lang w:val="en-US"/>
              </w:rPr>
            </w:pPr>
            <w:r w:rsidRPr="008379CA">
              <w:rPr>
                <w:rFonts w:ascii="Bookman Old Style" w:hAnsi="Bookman Old Style" w:cs="Calibri"/>
                <w:sz w:val="12"/>
                <w:szCs w:val="12"/>
              </w:rPr>
              <w:t>(33,81)</w:t>
            </w:r>
          </w:p>
        </w:tc>
      </w:tr>
      <w:tr w:rsidR="008379CA" w:rsidRPr="008379CA" w14:paraId="43AA2B56" w14:textId="77777777" w:rsidTr="00DA7786">
        <w:trPr>
          <w:trHeight w:val="340"/>
        </w:trPr>
        <w:tc>
          <w:tcPr>
            <w:tcW w:w="1418" w:type="dxa"/>
            <w:shd w:val="clear" w:color="auto" w:fill="auto"/>
            <w:vAlign w:val="center"/>
          </w:tcPr>
          <w:p w14:paraId="6C1570F0" w14:textId="3CC1B792" w:rsidR="00E72048" w:rsidRPr="008379CA" w:rsidRDefault="00E72048" w:rsidP="00E72048">
            <w:pPr>
              <w:jc w:val="both"/>
              <w:rPr>
                <w:rFonts w:ascii="Bookman Old Style" w:hAnsi="Bookman Old Style" w:cs="Calibri"/>
                <w:bCs/>
                <w:sz w:val="12"/>
                <w:szCs w:val="12"/>
                <w:lang w:val="en-US"/>
              </w:rPr>
            </w:pPr>
            <w:r w:rsidRPr="008379CA">
              <w:rPr>
                <w:rFonts w:ascii="Bookman Old Style" w:hAnsi="Bookman Old Style" w:cs="Calibri"/>
                <w:b/>
                <w:bCs/>
                <w:sz w:val="12"/>
                <w:szCs w:val="12"/>
                <w:lang w:val="id-ID"/>
              </w:rPr>
              <w:t>Pendapatan</w:t>
            </w:r>
            <w:r w:rsidR="00A954D0" w:rsidRPr="008379CA">
              <w:rPr>
                <w:rFonts w:ascii="Bookman Old Style" w:hAnsi="Bookman Old Style" w:cs="Calibri"/>
                <w:b/>
                <w:bCs/>
                <w:sz w:val="12"/>
                <w:szCs w:val="12"/>
                <w:lang w:val="id-ID"/>
              </w:rPr>
              <w:t xml:space="preserve"> </w:t>
            </w:r>
            <w:r w:rsidRPr="008379CA">
              <w:rPr>
                <w:rFonts w:ascii="Bookman Old Style" w:hAnsi="Bookman Old Style" w:cs="Calibri"/>
                <w:b/>
                <w:bCs/>
                <w:sz w:val="12"/>
                <w:szCs w:val="12"/>
                <w:lang w:val="id-ID"/>
              </w:rPr>
              <w:t>Transfer</w:t>
            </w:r>
          </w:p>
        </w:tc>
        <w:tc>
          <w:tcPr>
            <w:tcW w:w="1531" w:type="dxa"/>
            <w:shd w:val="clear" w:color="auto" w:fill="auto"/>
            <w:vAlign w:val="center"/>
          </w:tcPr>
          <w:p w14:paraId="0D9A9257" w14:textId="0FDA73F0" w:rsidR="00E72048" w:rsidRPr="008379CA" w:rsidRDefault="00E72048" w:rsidP="00EA31BD">
            <w:pPr>
              <w:ind w:left="-101"/>
              <w:jc w:val="right"/>
              <w:rPr>
                <w:rFonts w:ascii="Bookman Old Style" w:hAnsi="Bookman Old Style" w:cs="Calibri"/>
                <w:b/>
                <w:sz w:val="12"/>
                <w:szCs w:val="12"/>
                <w:lang w:val="en-US"/>
              </w:rPr>
            </w:pPr>
            <w:r w:rsidRPr="008379CA">
              <w:rPr>
                <w:rFonts w:ascii="Bookman Old Style" w:hAnsi="Bookman Old Style" w:cs="Calibri"/>
                <w:b/>
                <w:bCs/>
                <w:sz w:val="12"/>
                <w:szCs w:val="12"/>
              </w:rPr>
              <w:t>2.340.666.902.066</w:t>
            </w:r>
            <w:r w:rsidR="00EA31BD" w:rsidRPr="008379CA">
              <w:rPr>
                <w:rFonts w:ascii="Bookman Old Style" w:hAnsi="Bookman Old Style" w:cs="Calibri"/>
                <w:b/>
                <w:bCs/>
                <w:sz w:val="12"/>
                <w:szCs w:val="12"/>
              </w:rPr>
              <w:t>,00</w:t>
            </w:r>
          </w:p>
        </w:tc>
        <w:tc>
          <w:tcPr>
            <w:tcW w:w="1560" w:type="dxa"/>
            <w:shd w:val="clear" w:color="auto" w:fill="auto"/>
            <w:vAlign w:val="center"/>
          </w:tcPr>
          <w:p w14:paraId="7DECBD7D" w14:textId="19E0C573" w:rsidR="00E72048" w:rsidRPr="008379CA" w:rsidRDefault="00E72048" w:rsidP="00EA31BD">
            <w:pPr>
              <w:ind w:left="-102"/>
              <w:jc w:val="right"/>
              <w:rPr>
                <w:rFonts w:ascii="Bookman Old Style" w:hAnsi="Bookman Old Style" w:cs="Calibri"/>
                <w:b/>
                <w:bCs/>
                <w:sz w:val="12"/>
                <w:szCs w:val="12"/>
                <w:lang w:val="en-US"/>
              </w:rPr>
            </w:pPr>
            <w:r w:rsidRPr="008379CA">
              <w:rPr>
                <w:rFonts w:ascii="Bookman Old Style" w:hAnsi="Bookman Old Style" w:cs="Calibri"/>
                <w:b/>
                <w:bCs/>
                <w:sz w:val="12"/>
                <w:szCs w:val="12"/>
              </w:rPr>
              <w:t>2.261.562.033.794</w:t>
            </w:r>
            <w:r w:rsidR="00EA31BD" w:rsidRPr="008379CA">
              <w:rPr>
                <w:rFonts w:ascii="Bookman Old Style" w:hAnsi="Bookman Old Style" w:cs="Calibri"/>
                <w:b/>
                <w:bCs/>
                <w:sz w:val="12"/>
                <w:szCs w:val="12"/>
              </w:rPr>
              <w:t>,00</w:t>
            </w:r>
          </w:p>
        </w:tc>
        <w:tc>
          <w:tcPr>
            <w:tcW w:w="710" w:type="dxa"/>
            <w:shd w:val="clear" w:color="auto" w:fill="auto"/>
            <w:vAlign w:val="center"/>
          </w:tcPr>
          <w:p w14:paraId="7E2E52DA" w14:textId="5AEEA9A6" w:rsidR="00E72048" w:rsidRPr="008379CA" w:rsidRDefault="00E72048" w:rsidP="00E72048">
            <w:pPr>
              <w:jc w:val="center"/>
              <w:rPr>
                <w:rFonts w:ascii="Bookman Old Style" w:hAnsi="Bookman Old Style" w:cs="Calibri"/>
                <w:b/>
                <w:sz w:val="12"/>
                <w:szCs w:val="12"/>
                <w:lang w:val="en-US"/>
              </w:rPr>
            </w:pPr>
            <w:r w:rsidRPr="008379CA">
              <w:rPr>
                <w:rFonts w:ascii="Bookman Old Style" w:hAnsi="Bookman Old Style" w:cs="Calibri"/>
                <w:b/>
                <w:bCs/>
                <w:sz w:val="12"/>
                <w:szCs w:val="12"/>
              </w:rPr>
              <w:t>96,62</w:t>
            </w:r>
          </w:p>
        </w:tc>
        <w:tc>
          <w:tcPr>
            <w:tcW w:w="1558" w:type="dxa"/>
            <w:shd w:val="clear" w:color="auto" w:fill="auto"/>
            <w:vAlign w:val="center"/>
          </w:tcPr>
          <w:p w14:paraId="522D6B82" w14:textId="0CF8C3FD" w:rsidR="00E72048" w:rsidRPr="008379CA" w:rsidRDefault="00E72048" w:rsidP="00EA31BD">
            <w:pPr>
              <w:ind w:left="-114"/>
              <w:jc w:val="right"/>
              <w:rPr>
                <w:rFonts w:ascii="Bookman Old Style" w:hAnsi="Bookman Old Style" w:cs="Calibri"/>
                <w:b/>
                <w:bCs/>
                <w:sz w:val="12"/>
                <w:szCs w:val="12"/>
                <w:lang w:val="en-US"/>
              </w:rPr>
            </w:pPr>
            <w:r w:rsidRPr="008379CA">
              <w:rPr>
                <w:rFonts w:ascii="Bookman Old Style" w:hAnsi="Bookman Old Style" w:cs="Calibri"/>
                <w:b/>
                <w:bCs/>
                <w:sz w:val="12"/>
                <w:szCs w:val="12"/>
              </w:rPr>
              <w:t>2.355.663.901.285</w:t>
            </w:r>
            <w:r w:rsidR="00EA31BD" w:rsidRPr="008379CA">
              <w:rPr>
                <w:rFonts w:ascii="Bookman Old Style" w:hAnsi="Bookman Old Style" w:cs="Calibri"/>
                <w:b/>
                <w:bCs/>
                <w:sz w:val="12"/>
                <w:szCs w:val="12"/>
              </w:rPr>
              <w:t>,00</w:t>
            </w:r>
          </w:p>
        </w:tc>
        <w:tc>
          <w:tcPr>
            <w:tcW w:w="1559" w:type="dxa"/>
            <w:shd w:val="clear" w:color="auto" w:fill="auto"/>
            <w:vAlign w:val="center"/>
          </w:tcPr>
          <w:p w14:paraId="33822CE0" w14:textId="596E504D" w:rsidR="00E72048" w:rsidRPr="008379CA" w:rsidRDefault="00E72048" w:rsidP="00EA31BD">
            <w:pPr>
              <w:ind w:left="-100"/>
              <w:jc w:val="right"/>
              <w:rPr>
                <w:rFonts w:ascii="Bookman Old Style" w:hAnsi="Bookman Old Style" w:cs="Calibri"/>
                <w:b/>
                <w:bCs/>
                <w:sz w:val="12"/>
                <w:szCs w:val="12"/>
                <w:lang w:val="en-US"/>
              </w:rPr>
            </w:pPr>
            <w:r w:rsidRPr="008379CA">
              <w:rPr>
                <w:rFonts w:ascii="Bookman Old Style" w:hAnsi="Bookman Old Style" w:cs="Calibri"/>
                <w:b/>
                <w:bCs/>
                <w:sz w:val="12"/>
                <w:szCs w:val="12"/>
              </w:rPr>
              <w:t>2.419.084.007.661</w:t>
            </w:r>
            <w:r w:rsidR="00EA31BD" w:rsidRPr="008379CA">
              <w:rPr>
                <w:rFonts w:ascii="Bookman Old Style" w:hAnsi="Bookman Old Style" w:cs="Calibri"/>
                <w:b/>
                <w:bCs/>
                <w:sz w:val="12"/>
                <w:szCs w:val="12"/>
              </w:rPr>
              <w:t>,00</w:t>
            </w:r>
          </w:p>
        </w:tc>
        <w:tc>
          <w:tcPr>
            <w:tcW w:w="709" w:type="dxa"/>
            <w:shd w:val="clear" w:color="auto" w:fill="auto"/>
            <w:vAlign w:val="center"/>
          </w:tcPr>
          <w:p w14:paraId="24004E44" w14:textId="5D5164CB" w:rsidR="00E72048" w:rsidRPr="008379CA" w:rsidRDefault="00E72048" w:rsidP="00E72048">
            <w:pPr>
              <w:jc w:val="center"/>
              <w:rPr>
                <w:rFonts w:ascii="Bookman Old Style" w:hAnsi="Bookman Old Style" w:cs="Calibri"/>
                <w:b/>
                <w:bCs/>
                <w:sz w:val="12"/>
                <w:szCs w:val="12"/>
                <w:lang w:val="en-US"/>
              </w:rPr>
            </w:pPr>
            <w:r w:rsidRPr="008379CA">
              <w:rPr>
                <w:rFonts w:ascii="Bookman Old Style" w:hAnsi="Bookman Old Style" w:cs="Calibri"/>
                <w:b/>
                <w:bCs/>
                <w:sz w:val="12"/>
                <w:szCs w:val="12"/>
              </w:rPr>
              <w:t>102,69</w:t>
            </w:r>
            <w:r w:rsidR="00A954D0" w:rsidRPr="008379CA">
              <w:rPr>
                <w:rFonts w:ascii="Bookman Old Style" w:hAnsi="Bookman Old Style" w:cs="Calibri"/>
                <w:b/>
                <w:bCs/>
                <w:sz w:val="12"/>
                <w:szCs w:val="12"/>
              </w:rPr>
              <w:t xml:space="preserve"> </w:t>
            </w:r>
          </w:p>
        </w:tc>
        <w:tc>
          <w:tcPr>
            <w:tcW w:w="1559" w:type="dxa"/>
            <w:shd w:val="clear" w:color="auto" w:fill="auto"/>
            <w:vAlign w:val="center"/>
          </w:tcPr>
          <w:p w14:paraId="3AC745B8" w14:textId="382FAAF4" w:rsidR="00E72048" w:rsidRPr="008379CA" w:rsidRDefault="00E72048" w:rsidP="00EA31BD">
            <w:pPr>
              <w:ind w:left="-112"/>
              <w:jc w:val="right"/>
              <w:rPr>
                <w:rFonts w:ascii="Bookman Old Style" w:hAnsi="Bookman Old Style" w:cs="Calibri"/>
                <w:b/>
                <w:bCs/>
                <w:sz w:val="12"/>
                <w:szCs w:val="12"/>
                <w:lang w:val="en-US"/>
              </w:rPr>
            </w:pPr>
            <w:r w:rsidRPr="008379CA">
              <w:rPr>
                <w:rFonts w:ascii="Bookman Old Style" w:hAnsi="Bookman Old Style" w:cs="Calibri"/>
                <w:b/>
                <w:bCs/>
                <w:sz w:val="12"/>
                <w:szCs w:val="12"/>
              </w:rPr>
              <w:t>2.545.191.427.755</w:t>
            </w:r>
            <w:r w:rsidR="00EA31BD" w:rsidRPr="008379CA">
              <w:rPr>
                <w:rFonts w:ascii="Bookman Old Style" w:hAnsi="Bookman Old Style" w:cs="Calibri"/>
                <w:b/>
                <w:bCs/>
                <w:sz w:val="12"/>
                <w:szCs w:val="12"/>
              </w:rPr>
              <w:t>,00</w:t>
            </w:r>
          </w:p>
        </w:tc>
        <w:tc>
          <w:tcPr>
            <w:tcW w:w="1560" w:type="dxa"/>
            <w:shd w:val="clear" w:color="auto" w:fill="auto"/>
            <w:vAlign w:val="center"/>
          </w:tcPr>
          <w:p w14:paraId="09CA7478" w14:textId="5A836BD1" w:rsidR="00E72048" w:rsidRPr="008379CA" w:rsidRDefault="00E72048" w:rsidP="00EA31BD">
            <w:pPr>
              <w:ind w:left="-112"/>
              <w:jc w:val="right"/>
              <w:rPr>
                <w:rFonts w:ascii="Bookman Old Style" w:hAnsi="Bookman Old Style" w:cs="Calibri"/>
                <w:b/>
                <w:bCs/>
                <w:sz w:val="12"/>
                <w:szCs w:val="12"/>
                <w:lang w:val="en-US"/>
              </w:rPr>
            </w:pPr>
            <w:r w:rsidRPr="008379CA">
              <w:rPr>
                <w:rFonts w:ascii="Bookman Old Style" w:hAnsi="Bookman Old Style" w:cs="Calibri"/>
                <w:b/>
                <w:bCs/>
                <w:sz w:val="12"/>
                <w:szCs w:val="12"/>
              </w:rPr>
              <w:t>2.311.784.887.867</w:t>
            </w:r>
            <w:r w:rsidR="00EA31BD" w:rsidRPr="008379CA">
              <w:rPr>
                <w:rFonts w:ascii="Bookman Old Style" w:hAnsi="Bookman Old Style" w:cs="Calibri"/>
                <w:b/>
                <w:bCs/>
                <w:sz w:val="12"/>
                <w:szCs w:val="12"/>
              </w:rPr>
              <w:t>,00</w:t>
            </w:r>
          </w:p>
        </w:tc>
        <w:tc>
          <w:tcPr>
            <w:tcW w:w="708" w:type="dxa"/>
            <w:shd w:val="clear" w:color="auto" w:fill="auto"/>
            <w:vAlign w:val="center"/>
          </w:tcPr>
          <w:p w14:paraId="36E2E427" w14:textId="5D4AE75F" w:rsidR="00E72048" w:rsidRPr="008379CA" w:rsidRDefault="00E72048" w:rsidP="00E72048">
            <w:pPr>
              <w:jc w:val="center"/>
              <w:rPr>
                <w:rFonts w:ascii="Bookman Old Style" w:hAnsi="Bookman Old Style" w:cs="Calibri"/>
                <w:b/>
                <w:bCs/>
                <w:sz w:val="12"/>
                <w:szCs w:val="12"/>
                <w:lang w:val="en-US"/>
              </w:rPr>
            </w:pPr>
            <w:r w:rsidRPr="008379CA">
              <w:rPr>
                <w:rFonts w:ascii="Bookman Old Style" w:hAnsi="Bookman Old Style" w:cs="Calibri"/>
                <w:b/>
                <w:bCs/>
                <w:sz w:val="12"/>
                <w:szCs w:val="12"/>
              </w:rPr>
              <w:t>90,83</w:t>
            </w:r>
            <w:r w:rsidR="00A954D0" w:rsidRPr="008379CA">
              <w:rPr>
                <w:rFonts w:ascii="Bookman Old Style" w:hAnsi="Bookman Old Style" w:cs="Calibri"/>
                <w:b/>
                <w:bCs/>
                <w:sz w:val="12"/>
                <w:szCs w:val="12"/>
              </w:rPr>
              <w:t xml:space="preserve"> </w:t>
            </w:r>
          </w:p>
        </w:tc>
        <w:tc>
          <w:tcPr>
            <w:tcW w:w="1560" w:type="dxa"/>
            <w:shd w:val="clear" w:color="auto" w:fill="auto"/>
            <w:vAlign w:val="center"/>
          </w:tcPr>
          <w:p w14:paraId="0B025335" w14:textId="131447C5" w:rsidR="00E72048" w:rsidRPr="008379CA" w:rsidRDefault="00E72048" w:rsidP="00EA31BD">
            <w:pPr>
              <w:ind w:left="-110"/>
              <w:jc w:val="right"/>
              <w:rPr>
                <w:rFonts w:ascii="Bookman Old Style" w:hAnsi="Bookman Old Style" w:cs="Calibri"/>
                <w:b/>
                <w:bCs/>
                <w:sz w:val="12"/>
                <w:szCs w:val="12"/>
                <w:lang w:val="en-US"/>
              </w:rPr>
            </w:pPr>
            <w:r w:rsidRPr="008379CA">
              <w:rPr>
                <w:rFonts w:ascii="Bookman Old Style" w:hAnsi="Bookman Old Style" w:cs="Calibri"/>
                <w:b/>
                <w:bCs/>
                <w:sz w:val="12"/>
                <w:szCs w:val="12"/>
              </w:rPr>
              <w:t>2.262.957.624.474</w:t>
            </w:r>
            <w:r w:rsidR="00EA31BD" w:rsidRPr="008379CA">
              <w:rPr>
                <w:rFonts w:ascii="Bookman Old Style" w:hAnsi="Bookman Old Style" w:cs="Calibri"/>
                <w:b/>
                <w:bCs/>
                <w:sz w:val="12"/>
                <w:szCs w:val="12"/>
              </w:rPr>
              <w:t>,00</w:t>
            </w:r>
          </w:p>
        </w:tc>
        <w:tc>
          <w:tcPr>
            <w:tcW w:w="849" w:type="dxa"/>
            <w:shd w:val="clear" w:color="auto" w:fill="auto"/>
            <w:vAlign w:val="center"/>
          </w:tcPr>
          <w:p w14:paraId="39578DBA" w14:textId="7B7BE608" w:rsidR="00E72048" w:rsidRPr="008379CA" w:rsidRDefault="00E72048" w:rsidP="00E72048">
            <w:pPr>
              <w:jc w:val="center"/>
              <w:rPr>
                <w:rFonts w:ascii="Bookman Old Style" w:hAnsi="Bookman Old Style" w:cs="Calibri"/>
                <w:b/>
                <w:sz w:val="12"/>
                <w:szCs w:val="12"/>
                <w:lang w:val="en-US"/>
              </w:rPr>
            </w:pPr>
            <w:r w:rsidRPr="008379CA">
              <w:rPr>
                <w:rFonts w:ascii="Bookman Old Style" w:hAnsi="Bookman Old Style" w:cs="Calibri"/>
                <w:b/>
                <w:bCs/>
                <w:sz w:val="12"/>
                <w:szCs w:val="12"/>
              </w:rPr>
              <w:t>0,64</w:t>
            </w:r>
          </w:p>
        </w:tc>
        <w:tc>
          <w:tcPr>
            <w:tcW w:w="850" w:type="dxa"/>
            <w:shd w:val="clear" w:color="auto" w:fill="auto"/>
            <w:vAlign w:val="center"/>
          </w:tcPr>
          <w:p w14:paraId="6EE4DF13" w14:textId="12627B07" w:rsidR="00E72048" w:rsidRPr="008379CA" w:rsidRDefault="00E72048" w:rsidP="00E72048">
            <w:pPr>
              <w:jc w:val="center"/>
              <w:rPr>
                <w:rFonts w:ascii="Bookman Old Style" w:hAnsi="Bookman Old Style" w:cs="Calibri"/>
                <w:b/>
                <w:sz w:val="12"/>
                <w:szCs w:val="12"/>
                <w:lang w:val="en-US"/>
              </w:rPr>
            </w:pPr>
            <w:r w:rsidRPr="008379CA">
              <w:rPr>
                <w:rFonts w:ascii="Bookman Old Style" w:hAnsi="Bookman Old Style" w:cs="Calibri"/>
                <w:b/>
                <w:bCs/>
                <w:sz w:val="12"/>
                <w:szCs w:val="12"/>
              </w:rPr>
              <w:t>8,05</w:t>
            </w:r>
          </w:p>
        </w:tc>
        <w:tc>
          <w:tcPr>
            <w:tcW w:w="992" w:type="dxa"/>
            <w:shd w:val="clear" w:color="auto" w:fill="auto"/>
            <w:vAlign w:val="center"/>
          </w:tcPr>
          <w:p w14:paraId="5D4ED92E" w14:textId="6390FA45" w:rsidR="00E72048" w:rsidRPr="008379CA" w:rsidRDefault="00E72048" w:rsidP="00E72048">
            <w:pPr>
              <w:jc w:val="center"/>
              <w:rPr>
                <w:rFonts w:ascii="Bookman Old Style" w:hAnsi="Bookman Old Style" w:cs="Calibri"/>
                <w:b/>
                <w:sz w:val="12"/>
                <w:szCs w:val="12"/>
                <w:lang w:val="en-US"/>
              </w:rPr>
            </w:pPr>
            <w:r w:rsidRPr="008379CA">
              <w:rPr>
                <w:rFonts w:ascii="Bookman Old Style" w:hAnsi="Bookman Old Style" w:cs="Calibri"/>
                <w:b/>
                <w:bCs/>
                <w:sz w:val="12"/>
                <w:szCs w:val="12"/>
              </w:rPr>
              <w:t>(11,09)</w:t>
            </w:r>
          </w:p>
        </w:tc>
        <w:tc>
          <w:tcPr>
            <w:tcW w:w="709" w:type="dxa"/>
            <w:shd w:val="clear" w:color="auto" w:fill="auto"/>
            <w:noWrap/>
            <w:vAlign w:val="center"/>
          </w:tcPr>
          <w:p w14:paraId="34EEAE86" w14:textId="22050EB8" w:rsidR="00E72048" w:rsidRPr="008379CA" w:rsidRDefault="00E72048" w:rsidP="00E72048">
            <w:pPr>
              <w:jc w:val="center"/>
              <w:rPr>
                <w:rFonts w:ascii="Bookman Old Style" w:hAnsi="Bookman Old Style" w:cs="Calibri"/>
                <w:b/>
                <w:sz w:val="12"/>
                <w:szCs w:val="12"/>
                <w:lang w:val="en-US"/>
              </w:rPr>
            </w:pPr>
            <w:r w:rsidRPr="008379CA">
              <w:rPr>
                <w:rFonts w:ascii="Bookman Old Style" w:hAnsi="Bookman Old Style" w:cs="Calibri"/>
                <w:b/>
                <w:bCs/>
                <w:sz w:val="12"/>
                <w:szCs w:val="12"/>
              </w:rPr>
              <w:t>(0,80)</w:t>
            </w:r>
          </w:p>
        </w:tc>
      </w:tr>
      <w:tr w:rsidR="008379CA" w:rsidRPr="008379CA" w14:paraId="79C48E1D" w14:textId="77777777" w:rsidTr="00DA7786">
        <w:trPr>
          <w:trHeight w:val="340"/>
        </w:trPr>
        <w:tc>
          <w:tcPr>
            <w:tcW w:w="1418" w:type="dxa"/>
            <w:shd w:val="clear" w:color="auto" w:fill="auto"/>
            <w:vAlign w:val="center"/>
          </w:tcPr>
          <w:p w14:paraId="724D6838" w14:textId="4D95A467" w:rsidR="00E72048" w:rsidRPr="008379CA" w:rsidRDefault="00E72048" w:rsidP="00E72048">
            <w:pPr>
              <w:jc w:val="both"/>
              <w:rPr>
                <w:rFonts w:ascii="Bookman Old Style" w:hAnsi="Bookman Old Style" w:cs="Calibri"/>
                <w:bCs/>
                <w:sz w:val="12"/>
                <w:szCs w:val="12"/>
                <w:lang w:val="en-US"/>
              </w:rPr>
            </w:pPr>
            <w:r w:rsidRPr="008379CA">
              <w:rPr>
                <w:rFonts w:ascii="Bookman Old Style" w:hAnsi="Bookman Old Style" w:cs="Calibri"/>
                <w:sz w:val="12"/>
                <w:szCs w:val="12"/>
                <w:lang w:val="id-ID"/>
              </w:rPr>
              <w:t>Pendapatan</w:t>
            </w:r>
            <w:r w:rsidR="00A954D0" w:rsidRPr="008379CA">
              <w:rPr>
                <w:rFonts w:ascii="Bookman Old Style" w:hAnsi="Bookman Old Style" w:cs="Calibri"/>
                <w:sz w:val="12"/>
                <w:szCs w:val="12"/>
                <w:lang w:val="id-ID"/>
              </w:rPr>
              <w:t xml:space="preserve"> </w:t>
            </w:r>
            <w:r w:rsidRPr="008379CA">
              <w:rPr>
                <w:rFonts w:ascii="Bookman Old Style" w:hAnsi="Bookman Old Style" w:cs="Calibri"/>
                <w:sz w:val="12"/>
                <w:szCs w:val="12"/>
                <w:lang w:val="id-ID"/>
              </w:rPr>
              <w:t>Transfer</w:t>
            </w:r>
            <w:r w:rsidR="00A954D0" w:rsidRPr="008379CA">
              <w:rPr>
                <w:rFonts w:ascii="Bookman Old Style" w:hAnsi="Bookman Old Style" w:cs="Calibri"/>
                <w:sz w:val="12"/>
                <w:szCs w:val="12"/>
                <w:lang w:val="id-ID"/>
              </w:rPr>
              <w:t xml:space="preserve"> </w:t>
            </w:r>
            <w:r w:rsidRPr="008379CA">
              <w:rPr>
                <w:rFonts w:ascii="Bookman Old Style" w:hAnsi="Bookman Old Style" w:cs="Calibri"/>
                <w:sz w:val="12"/>
                <w:szCs w:val="12"/>
                <w:lang w:val="id-ID"/>
              </w:rPr>
              <w:t>Pemerintah</w:t>
            </w:r>
            <w:r w:rsidR="00A954D0" w:rsidRPr="008379CA">
              <w:rPr>
                <w:rFonts w:ascii="Bookman Old Style" w:hAnsi="Bookman Old Style" w:cs="Calibri"/>
                <w:sz w:val="12"/>
                <w:szCs w:val="12"/>
                <w:lang w:val="id-ID"/>
              </w:rPr>
              <w:t xml:space="preserve"> </w:t>
            </w:r>
            <w:r w:rsidRPr="008379CA">
              <w:rPr>
                <w:rFonts w:ascii="Bookman Old Style" w:hAnsi="Bookman Old Style" w:cs="Calibri"/>
                <w:sz w:val="12"/>
                <w:szCs w:val="12"/>
                <w:lang w:val="id-ID"/>
              </w:rPr>
              <w:t>Pusat</w:t>
            </w:r>
          </w:p>
        </w:tc>
        <w:tc>
          <w:tcPr>
            <w:tcW w:w="1531" w:type="dxa"/>
            <w:shd w:val="clear" w:color="auto" w:fill="auto"/>
            <w:vAlign w:val="center"/>
          </w:tcPr>
          <w:p w14:paraId="1EA40E5A" w14:textId="6C2AB28E" w:rsidR="00E72048" w:rsidRPr="008379CA" w:rsidRDefault="00E72048" w:rsidP="00EA31BD">
            <w:pPr>
              <w:ind w:left="-101"/>
              <w:jc w:val="right"/>
              <w:rPr>
                <w:rFonts w:ascii="Bookman Old Style" w:hAnsi="Bookman Old Style" w:cs="Calibri"/>
                <w:bCs/>
                <w:sz w:val="12"/>
                <w:szCs w:val="12"/>
                <w:lang w:val="en-US"/>
              </w:rPr>
            </w:pPr>
            <w:r w:rsidRPr="008379CA">
              <w:rPr>
                <w:rFonts w:ascii="Bookman Old Style" w:hAnsi="Bookman Old Style" w:cs="Calibri"/>
                <w:sz w:val="12"/>
                <w:szCs w:val="12"/>
              </w:rPr>
              <w:t>1.595.957.463.494</w:t>
            </w:r>
            <w:r w:rsidR="00EA31BD" w:rsidRPr="008379CA">
              <w:rPr>
                <w:rFonts w:ascii="Bookman Old Style" w:hAnsi="Bookman Old Style" w:cs="Calibri"/>
                <w:sz w:val="12"/>
                <w:szCs w:val="12"/>
              </w:rPr>
              <w:t>,00</w:t>
            </w:r>
          </w:p>
        </w:tc>
        <w:tc>
          <w:tcPr>
            <w:tcW w:w="1560" w:type="dxa"/>
            <w:shd w:val="clear" w:color="auto" w:fill="auto"/>
            <w:vAlign w:val="center"/>
          </w:tcPr>
          <w:p w14:paraId="16C75CA7" w14:textId="5F0394DB" w:rsidR="00E72048" w:rsidRPr="008379CA" w:rsidRDefault="00E72048" w:rsidP="00EA31BD">
            <w:pPr>
              <w:ind w:left="-102"/>
              <w:jc w:val="right"/>
              <w:rPr>
                <w:rFonts w:ascii="Bookman Old Style" w:hAnsi="Bookman Old Style" w:cs="Calibri"/>
                <w:bCs/>
                <w:sz w:val="12"/>
                <w:szCs w:val="12"/>
                <w:lang w:val="en-US"/>
              </w:rPr>
            </w:pPr>
            <w:r w:rsidRPr="008379CA">
              <w:rPr>
                <w:rFonts w:ascii="Bookman Old Style" w:hAnsi="Bookman Old Style" w:cs="Calibri"/>
                <w:sz w:val="12"/>
                <w:szCs w:val="12"/>
              </w:rPr>
              <w:t>1.517.098.158.222</w:t>
            </w:r>
            <w:r w:rsidR="00EA31BD" w:rsidRPr="008379CA">
              <w:rPr>
                <w:rFonts w:ascii="Bookman Old Style" w:hAnsi="Bookman Old Style" w:cs="Calibri"/>
                <w:sz w:val="12"/>
                <w:szCs w:val="12"/>
              </w:rPr>
              <w:t>,00</w:t>
            </w:r>
          </w:p>
        </w:tc>
        <w:tc>
          <w:tcPr>
            <w:tcW w:w="710" w:type="dxa"/>
            <w:shd w:val="clear" w:color="auto" w:fill="auto"/>
            <w:vAlign w:val="center"/>
          </w:tcPr>
          <w:p w14:paraId="793A30DB" w14:textId="10EF31BB" w:rsidR="00E72048" w:rsidRPr="008379CA" w:rsidRDefault="00E72048" w:rsidP="00E72048">
            <w:pPr>
              <w:jc w:val="center"/>
              <w:rPr>
                <w:rFonts w:ascii="Bookman Old Style" w:hAnsi="Bookman Old Style" w:cs="Calibri"/>
                <w:bCs/>
                <w:sz w:val="12"/>
                <w:szCs w:val="12"/>
                <w:lang w:val="en-US"/>
              </w:rPr>
            </w:pPr>
            <w:r w:rsidRPr="008379CA">
              <w:rPr>
                <w:rFonts w:ascii="Bookman Old Style" w:hAnsi="Bookman Old Style" w:cs="Calibri"/>
                <w:sz w:val="12"/>
                <w:szCs w:val="12"/>
              </w:rPr>
              <w:t>95,06</w:t>
            </w:r>
          </w:p>
        </w:tc>
        <w:tc>
          <w:tcPr>
            <w:tcW w:w="1558" w:type="dxa"/>
            <w:shd w:val="clear" w:color="auto" w:fill="auto"/>
            <w:vAlign w:val="center"/>
          </w:tcPr>
          <w:p w14:paraId="4871389F" w14:textId="3E8373C9" w:rsidR="00E72048" w:rsidRPr="008379CA" w:rsidRDefault="00E72048" w:rsidP="00EA31BD">
            <w:pPr>
              <w:ind w:left="-114"/>
              <w:jc w:val="right"/>
              <w:rPr>
                <w:rFonts w:ascii="Bookman Old Style" w:hAnsi="Bookman Old Style" w:cs="Calibri"/>
                <w:bCs/>
                <w:sz w:val="12"/>
                <w:szCs w:val="12"/>
                <w:lang w:val="en-US"/>
              </w:rPr>
            </w:pPr>
            <w:r w:rsidRPr="008379CA">
              <w:rPr>
                <w:rFonts w:ascii="Bookman Old Style" w:hAnsi="Bookman Old Style" w:cs="Calibri"/>
                <w:sz w:val="12"/>
                <w:szCs w:val="12"/>
              </w:rPr>
              <w:t>1.646.039.728.801</w:t>
            </w:r>
            <w:r w:rsidR="00EA31BD" w:rsidRPr="008379CA">
              <w:rPr>
                <w:rFonts w:ascii="Bookman Old Style" w:hAnsi="Bookman Old Style" w:cs="Calibri"/>
                <w:sz w:val="12"/>
                <w:szCs w:val="12"/>
              </w:rPr>
              <w:t>,00</w:t>
            </w:r>
          </w:p>
        </w:tc>
        <w:tc>
          <w:tcPr>
            <w:tcW w:w="1559" w:type="dxa"/>
            <w:shd w:val="clear" w:color="auto" w:fill="auto"/>
            <w:vAlign w:val="center"/>
          </w:tcPr>
          <w:p w14:paraId="3A95F75D" w14:textId="780B8D36" w:rsidR="00E72048" w:rsidRPr="008379CA" w:rsidRDefault="00E72048" w:rsidP="00EA31BD">
            <w:pPr>
              <w:ind w:left="-100"/>
              <w:jc w:val="right"/>
              <w:rPr>
                <w:rFonts w:ascii="Bookman Old Style" w:hAnsi="Bookman Old Style" w:cs="Calibri"/>
                <w:bCs/>
                <w:sz w:val="12"/>
                <w:szCs w:val="12"/>
                <w:lang w:val="en-US"/>
              </w:rPr>
            </w:pPr>
            <w:r w:rsidRPr="008379CA">
              <w:rPr>
                <w:rFonts w:ascii="Bookman Old Style" w:hAnsi="Bookman Old Style" w:cs="Calibri"/>
                <w:sz w:val="12"/>
                <w:szCs w:val="12"/>
              </w:rPr>
              <w:t>1.639.054.088.271</w:t>
            </w:r>
            <w:r w:rsidR="00EA31BD" w:rsidRPr="008379CA">
              <w:rPr>
                <w:rFonts w:ascii="Bookman Old Style" w:hAnsi="Bookman Old Style" w:cs="Calibri"/>
                <w:sz w:val="12"/>
                <w:szCs w:val="12"/>
              </w:rPr>
              <w:t>,00</w:t>
            </w:r>
          </w:p>
        </w:tc>
        <w:tc>
          <w:tcPr>
            <w:tcW w:w="709" w:type="dxa"/>
            <w:shd w:val="clear" w:color="auto" w:fill="auto"/>
            <w:vAlign w:val="center"/>
          </w:tcPr>
          <w:p w14:paraId="263F8F31" w14:textId="669A0C19" w:rsidR="00E72048" w:rsidRPr="008379CA" w:rsidRDefault="00E72048" w:rsidP="00E72048">
            <w:pPr>
              <w:jc w:val="center"/>
              <w:rPr>
                <w:rFonts w:ascii="Bookman Old Style" w:hAnsi="Bookman Old Style" w:cs="Calibri"/>
                <w:bCs/>
                <w:sz w:val="12"/>
                <w:szCs w:val="12"/>
                <w:lang w:val="en-US"/>
              </w:rPr>
            </w:pPr>
            <w:r w:rsidRPr="008379CA">
              <w:rPr>
                <w:rFonts w:ascii="Bookman Old Style" w:hAnsi="Bookman Old Style" w:cs="Calibri"/>
                <w:sz w:val="12"/>
                <w:szCs w:val="12"/>
              </w:rPr>
              <w:t>99,58</w:t>
            </w:r>
            <w:r w:rsidR="00A954D0" w:rsidRPr="008379CA">
              <w:rPr>
                <w:rFonts w:ascii="Bookman Old Style" w:hAnsi="Bookman Old Style" w:cs="Calibri"/>
                <w:sz w:val="12"/>
                <w:szCs w:val="12"/>
              </w:rPr>
              <w:t xml:space="preserve"> </w:t>
            </w:r>
          </w:p>
        </w:tc>
        <w:tc>
          <w:tcPr>
            <w:tcW w:w="1559" w:type="dxa"/>
            <w:shd w:val="clear" w:color="auto" w:fill="auto"/>
            <w:vAlign w:val="center"/>
          </w:tcPr>
          <w:p w14:paraId="6F650D8F" w14:textId="01E4FA5F" w:rsidR="00E72048" w:rsidRPr="008379CA" w:rsidRDefault="00E72048" w:rsidP="00EA31BD">
            <w:pPr>
              <w:ind w:left="-112"/>
              <w:jc w:val="right"/>
              <w:rPr>
                <w:rFonts w:ascii="Bookman Old Style" w:hAnsi="Bookman Old Style" w:cs="Calibri"/>
                <w:bCs/>
                <w:sz w:val="12"/>
                <w:szCs w:val="12"/>
                <w:lang w:val="en-US"/>
              </w:rPr>
            </w:pPr>
            <w:r w:rsidRPr="008379CA">
              <w:rPr>
                <w:rFonts w:ascii="Bookman Old Style" w:hAnsi="Bookman Old Style" w:cs="Calibri"/>
                <w:sz w:val="12"/>
                <w:szCs w:val="12"/>
              </w:rPr>
              <w:t>1.806.070.252.000</w:t>
            </w:r>
            <w:r w:rsidR="00EA31BD" w:rsidRPr="008379CA">
              <w:rPr>
                <w:rFonts w:ascii="Bookman Old Style" w:hAnsi="Bookman Old Style" w:cs="Calibri"/>
                <w:sz w:val="12"/>
                <w:szCs w:val="12"/>
              </w:rPr>
              <w:t>,00</w:t>
            </w:r>
          </w:p>
        </w:tc>
        <w:tc>
          <w:tcPr>
            <w:tcW w:w="1560" w:type="dxa"/>
            <w:shd w:val="clear" w:color="auto" w:fill="auto"/>
            <w:vAlign w:val="center"/>
          </w:tcPr>
          <w:p w14:paraId="12C62116" w14:textId="2F3D3768" w:rsidR="00E72048" w:rsidRPr="008379CA" w:rsidRDefault="00E72048" w:rsidP="00EA31BD">
            <w:pPr>
              <w:ind w:left="-112"/>
              <w:jc w:val="right"/>
              <w:rPr>
                <w:rFonts w:ascii="Bookman Old Style" w:hAnsi="Bookman Old Style" w:cs="Calibri"/>
                <w:bCs/>
                <w:sz w:val="12"/>
                <w:szCs w:val="12"/>
                <w:lang w:val="en-US"/>
              </w:rPr>
            </w:pPr>
            <w:r w:rsidRPr="008379CA">
              <w:rPr>
                <w:rFonts w:ascii="Bookman Old Style" w:hAnsi="Bookman Old Style" w:cs="Calibri"/>
                <w:sz w:val="12"/>
                <w:szCs w:val="12"/>
              </w:rPr>
              <w:t>1.610.710.061.013</w:t>
            </w:r>
            <w:r w:rsidR="00EA31BD" w:rsidRPr="008379CA">
              <w:rPr>
                <w:rFonts w:ascii="Bookman Old Style" w:hAnsi="Bookman Old Style" w:cs="Calibri"/>
                <w:sz w:val="12"/>
                <w:szCs w:val="12"/>
              </w:rPr>
              <w:t>,00</w:t>
            </w:r>
          </w:p>
        </w:tc>
        <w:tc>
          <w:tcPr>
            <w:tcW w:w="708" w:type="dxa"/>
            <w:shd w:val="clear" w:color="auto" w:fill="auto"/>
            <w:vAlign w:val="center"/>
          </w:tcPr>
          <w:p w14:paraId="55EFFF77" w14:textId="25829444" w:rsidR="00E72048" w:rsidRPr="008379CA" w:rsidRDefault="00E72048" w:rsidP="00E72048">
            <w:pPr>
              <w:jc w:val="center"/>
              <w:rPr>
                <w:rFonts w:ascii="Bookman Old Style" w:hAnsi="Bookman Old Style" w:cs="Calibri"/>
                <w:sz w:val="12"/>
                <w:szCs w:val="12"/>
                <w:lang w:val="en-US"/>
              </w:rPr>
            </w:pPr>
            <w:r w:rsidRPr="008379CA">
              <w:rPr>
                <w:rFonts w:ascii="Bookman Old Style" w:hAnsi="Bookman Old Style" w:cs="Calibri"/>
                <w:sz w:val="12"/>
                <w:szCs w:val="12"/>
              </w:rPr>
              <w:t>89,18</w:t>
            </w:r>
            <w:r w:rsidR="00A954D0" w:rsidRPr="008379CA">
              <w:rPr>
                <w:rFonts w:ascii="Bookman Old Style" w:hAnsi="Bookman Old Style" w:cs="Calibri"/>
                <w:sz w:val="12"/>
                <w:szCs w:val="12"/>
              </w:rPr>
              <w:t xml:space="preserve"> </w:t>
            </w:r>
          </w:p>
        </w:tc>
        <w:tc>
          <w:tcPr>
            <w:tcW w:w="1560" w:type="dxa"/>
            <w:shd w:val="clear" w:color="auto" w:fill="auto"/>
            <w:vAlign w:val="center"/>
          </w:tcPr>
          <w:p w14:paraId="4CC6E356" w14:textId="0C1201CC" w:rsidR="00E72048" w:rsidRPr="008379CA" w:rsidRDefault="00E72048" w:rsidP="00EA31BD">
            <w:pPr>
              <w:ind w:left="-110"/>
              <w:jc w:val="right"/>
              <w:rPr>
                <w:rFonts w:ascii="Bookman Old Style" w:hAnsi="Bookman Old Style" w:cs="Calibri"/>
                <w:sz w:val="12"/>
                <w:szCs w:val="12"/>
                <w:lang w:val="en-US"/>
              </w:rPr>
            </w:pPr>
            <w:r w:rsidRPr="008379CA">
              <w:rPr>
                <w:rFonts w:ascii="Bookman Old Style" w:hAnsi="Bookman Old Style" w:cs="Calibri"/>
                <w:sz w:val="12"/>
                <w:szCs w:val="12"/>
              </w:rPr>
              <w:t>1.987.071.669.000</w:t>
            </w:r>
            <w:r w:rsidR="00EA31BD" w:rsidRPr="008379CA">
              <w:rPr>
                <w:rFonts w:ascii="Bookman Old Style" w:hAnsi="Bookman Old Style" w:cs="Calibri"/>
                <w:sz w:val="12"/>
                <w:szCs w:val="12"/>
              </w:rPr>
              <w:t>,00</w:t>
            </w:r>
          </w:p>
        </w:tc>
        <w:tc>
          <w:tcPr>
            <w:tcW w:w="849" w:type="dxa"/>
            <w:shd w:val="clear" w:color="auto" w:fill="auto"/>
            <w:vAlign w:val="center"/>
          </w:tcPr>
          <w:p w14:paraId="73285417" w14:textId="49570366" w:rsidR="00E72048" w:rsidRPr="008379CA" w:rsidRDefault="00E72048" w:rsidP="00E72048">
            <w:pPr>
              <w:jc w:val="center"/>
              <w:rPr>
                <w:rFonts w:ascii="Bookman Old Style" w:hAnsi="Bookman Old Style" w:cs="Calibri"/>
                <w:sz w:val="12"/>
                <w:szCs w:val="12"/>
                <w:lang w:val="en-US"/>
              </w:rPr>
            </w:pPr>
            <w:r w:rsidRPr="008379CA">
              <w:rPr>
                <w:rFonts w:ascii="Bookman Old Style" w:hAnsi="Bookman Old Style" w:cs="Calibri"/>
                <w:sz w:val="12"/>
                <w:szCs w:val="12"/>
              </w:rPr>
              <w:t>3,14</w:t>
            </w:r>
          </w:p>
        </w:tc>
        <w:tc>
          <w:tcPr>
            <w:tcW w:w="850" w:type="dxa"/>
            <w:shd w:val="clear" w:color="auto" w:fill="auto"/>
            <w:vAlign w:val="center"/>
          </w:tcPr>
          <w:p w14:paraId="6D2EEAB7" w14:textId="33127FCF" w:rsidR="00E72048" w:rsidRPr="008379CA" w:rsidRDefault="00E72048" w:rsidP="00E72048">
            <w:pPr>
              <w:jc w:val="center"/>
              <w:rPr>
                <w:rFonts w:ascii="Bookman Old Style" w:hAnsi="Bookman Old Style" w:cs="Calibri"/>
                <w:sz w:val="12"/>
                <w:szCs w:val="12"/>
                <w:lang w:val="en-US"/>
              </w:rPr>
            </w:pPr>
            <w:r w:rsidRPr="008379CA">
              <w:rPr>
                <w:rFonts w:ascii="Bookman Old Style" w:hAnsi="Bookman Old Style" w:cs="Calibri"/>
                <w:sz w:val="12"/>
                <w:szCs w:val="12"/>
              </w:rPr>
              <w:t>9,72</w:t>
            </w:r>
          </w:p>
        </w:tc>
        <w:tc>
          <w:tcPr>
            <w:tcW w:w="992" w:type="dxa"/>
            <w:shd w:val="clear" w:color="auto" w:fill="auto"/>
            <w:vAlign w:val="center"/>
          </w:tcPr>
          <w:p w14:paraId="3BEF7221" w14:textId="7F6C8AC9" w:rsidR="00E72048" w:rsidRPr="008379CA" w:rsidRDefault="00E72048" w:rsidP="00E72048">
            <w:pPr>
              <w:jc w:val="center"/>
              <w:rPr>
                <w:rFonts w:ascii="Bookman Old Style" w:hAnsi="Bookman Old Style" w:cs="Calibri"/>
                <w:sz w:val="12"/>
                <w:szCs w:val="12"/>
                <w:lang w:val="en-US"/>
              </w:rPr>
            </w:pPr>
            <w:r w:rsidRPr="008379CA">
              <w:rPr>
                <w:rFonts w:ascii="Bookman Old Style" w:hAnsi="Bookman Old Style" w:cs="Calibri"/>
                <w:sz w:val="12"/>
                <w:szCs w:val="12"/>
              </w:rPr>
              <w:t>10,02</w:t>
            </w:r>
          </w:p>
        </w:tc>
        <w:tc>
          <w:tcPr>
            <w:tcW w:w="709" w:type="dxa"/>
            <w:shd w:val="clear" w:color="auto" w:fill="auto"/>
            <w:noWrap/>
            <w:vAlign w:val="center"/>
          </w:tcPr>
          <w:p w14:paraId="6BFA3B5F" w14:textId="01EA56B0" w:rsidR="00E72048" w:rsidRPr="008379CA" w:rsidRDefault="00E72048" w:rsidP="00E72048">
            <w:pPr>
              <w:jc w:val="center"/>
              <w:rPr>
                <w:rFonts w:ascii="Bookman Old Style" w:hAnsi="Bookman Old Style" w:cs="Calibri"/>
                <w:sz w:val="12"/>
                <w:szCs w:val="12"/>
                <w:lang w:val="en-US"/>
              </w:rPr>
            </w:pPr>
            <w:r w:rsidRPr="008379CA">
              <w:rPr>
                <w:rFonts w:ascii="Bookman Old Style" w:hAnsi="Bookman Old Style" w:cs="Calibri"/>
                <w:sz w:val="12"/>
                <w:szCs w:val="12"/>
              </w:rPr>
              <w:t>7,63</w:t>
            </w:r>
          </w:p>
        </w:tc>
      </w:tr>
      <w:tr w:rsidR="008379CA" w:rsidRPr="008379CA" w14:paraId="37DB0409" w14:textId="77777777" w:rsidTr="00DA7786">
        <w:trPr>
          <w:trHeight w:val="340"/>
        </w:trPr>
        <w:tc>
          <w:tcPr>
            <w:tcW w:w="1418" w:type="dxa"/>
            <w:shd w:val="clear" w:color="auto" w:fill="auto"/>
            <w:vAlign w:val="center"/>
          </w:tcPr>
          <w:p w14:paraId="7ED58939" w14:textId="3AEE33F7" w:rsidR="00E72048" w:rsidRPr="008379CA" w:rsidRDefault="00E72048" w:rsidP="00E72048">
            <w:pPr>
              <w:jc w:val="both"/>
              <w:rPr>
                <w:rFonts w:ascii="Bookman Old Style" w:hAnsi="Bookman Old Style" w:cs="Calibri"/>
                <w:bCs/>
                <w:sz w:val="12"/>
                <w:szCs w:val="12"/>
                <w:lang w:val="en-US"/>
              </w:rPr>
            </w:pPr>
            <w:r w:rsidRPr="008379CA">
              <w:rPr>
                <w:rFonts w:ascii="Bookman Old Style" w:hAnsi="Bookman Old Style" w:cs="Calibri"/>
                <w:sz w:val="12"/>
                <w:szCs w:val="12"/>
                <w:lang w:val="id-ID"/>
              </w:rPr>
              <w:t>Pendapatan</w:t>
            </w:r>
            <w:r w:rsidR="00A954D0" w:rsidRPr="008379CA">
              <w:rPr>
                <w:rFonts w:ascii="Bookman Old Style" w:hAnsi="Bookman Old Style" w:cs="Calibri"/>
                <w:sz w:val="12"/>
                <w:szCs w:val="12"/>
                <w:lang w:val="id-ID"/>
              </w:rPr>
              <w:t xml:space="preserve"> </w:t>
            </w:r>
            <w:r w:rsidRPr="008379CA">
              <w:rPr>
                <w:rFonts w:ascii="Bookman Old Style" w:hAnsi="Bookman Old Style" w:cs="Calibri"/>
                <w:sz w:val="12"/>
                <w:szCs w:val="12"/>
                <w:lang w:val="id-ID"/>
              </w:rPr>
              <w:t>Transfer</w:t>
            </w:r>
            <w:r w:rsidR="00A954D0" w:rsidRPr="008379CA">
              <w:rPr>
                <w:rFonts w:ascii="Bookman Old Style" w:hAnsi="Bookman Old Style" w:cs="Calibri"/>
                <w:sz w:val="12"/>
                <w:szCs w:val="12"/>
                <w:lang w:val="id-ID"/>
              </w:rPr>
              <w:t xml:space="preserve"> </w:t>
            </w:r>
            <w:r w:rsidRPr="008379CA">
              <w:rPr>
                <w:rFonts w:ascii="Bookman Old Style" w:hAnsi="Bookman Old Style" w:cs="Calibri"/>
                <w:sz w:val="12"/>
                <w:szCs w:val="12"/>
                <w:lang w:val="id-ID"/>
              </w:rPr>
              <w:t>Antar</w:t>
            </w:r>
            <w:r w:rsidR="00A954D0" w:rsidRPr="008379CA">
              <w:rPr>
                <w:rFonts w:ascii="Bookman Old Style" w:hAnsi="Bookman Old Style" w:cs="Calibri"/>
                <w:sz w:val="12"/>
                <w:szCs w:val="12"/>
                <w:lang w:val="id-ID"/>
              </w:rPr>
              <w:t xml:space="preserve"> </w:t>
            </w:r>
            <w:r w:rsidRPr="008379CA">
              <w:rPr>
                <w:rFonts w:ascii="Bookman Old Style" w:hAnsi="Bookman Old Style" w:cs="Calibri"/>
                <w:sz w:val="12"/>
                <w:szCs w:val="12"/>
                <w:lang w:val="id-ID"/>
              </w:rPr>
              <w:t>Daerah</w:t>
            </w:r>
          </w:p>
        </w:tc>
        <w:tc>
          <w:tcPr>
            <w:tcW w:w="1531" w:type="dxa"/>
            <w:shd w:val="clear" w:color="auto" w:fill="auto"/>
            <w:vAlign w:val="center"/>
          </w:tcPr>
          <w:p w14:paraId="60FE59CC" w14:textId="4FCF7B50" w:rsidR="00E72048" w:rsidRPr="008379CA" w:rsidRDefault="00E72048" w:rsidP="00EA31BD">
            <w:pPr>
              <w:ind w:left="-101"/>
              <w:jc w:val="right"/>
              <w:rPr>
                <w:rFonts w:ascii="Bookman Old Style" w:hAnsi="Bookman Old Style" w:cs="Calibri"/>
                <w:bCs/>
                <w:sz w:val="12"/>
                <w:szCs w:val="12"/>
                <w:lang w:val="en-US"/>
              </w:rPr>
            </w:pPr>
            <w:r w:rsidRPr="008379CA">
              <w:rPr>
                <w:rFonts w:ascii="Bookman Old Style" w:hAnsi="Bookman Old Style" w:cs="Calibri"/>
                <w:sz w:val="12"/>
                <w:szCs w:val="12"/>
              </w:rPr>
              <w:t>744.709.438.572</w:t>
            </w:r>
            <w:r w:rsidR="00EA31BD" w:rsidRPr="008379CA">
              <w:rPr>
                <w:rFonts w:ascii="Bookman Old Style" w:hAnsi="Bookman Old Style" w:cs="Calibri"/>
                <w:sz w:val="12"/>
                <w:szCs w:val="12"/>
              </w:rPr>
              <w:t>,00</w:t>
            </w:r>
          </w:p>
        </w:tc>
        <w:tc>
          <w:tcPr>
            <w:tcW w:w="1560" w:type="dxa"/>
            <w:shd w:val="clear" w:color="auto" w:fill="auto"/>
            <w:vAlign w:val="center"/>
          </w:tcPr>
          <w:p w14:paraId="18C7DE53" w14:textId="27728BB9" w:rsidR="00E72048" w:rsidRPr="008379CA" w:rsidRDefault="00E72048" w:rsidP="00EA31BD">
            <w:pPr>
              <w:ind w:left="-102"/>
              <w:jc w:val="right"/>
              <w:rPr>
                <w:rFonts w:ascii="Bookman Old Style" w:hAnsi="Bookman Old Style" w:cs="Calibri"/>
                <w:bCs/>
                <w:sz w:val="12"/>
                <w:szCs w:val="12"/>
                <w:lang w:val="en-US"/>
              </w:rPr>
            </w:pPr>
            <w:r w:rsidRPr="008379CA">
              <w:rPr>
                <w:rFonts w:ascii="Bookman Old Style" w:hAnsi="Bookman Old Style" w:cs="Calibri"/>
                <w:sz w:val="12"/>
                <w:szCs w:val="12"/>
              </w:rPr>
              <w:t>744.463.875.572</w:t>
            </w:r>
            <w:r w:rsidR="00EA31BD" w:rsidRPr="008379CA">
              <w:rPr>
                <w:rFonts w:ascii="Bookman Old Style" w:hAnsi="Bookman Old Style" w:cs="Calibri"/>
                <w:sz w:val="12"/>
                <w:szCs w:val="12"/>
              </w:rPr>
              <w:t>,00</w:t>
            </w:r>
          </w:p>
        </w:tc>
        <w:tc>
          <w:tcPr>
            <w:tcW w:w="710" w:type="dxa"/>
            <w:shd w:val="clear" w:color="auto" w:fill="auto"/>
            <w:vAlign w:val="center"/>
          </w:tcPr>
          <w:p w14:paraId="46A8C941" w14:textId="4353800A" w:rsidR="00E72048" w:rsidRPr="008379CA" w:rsidRDefault="00E72048" w:rsidP="00E72048">
            <w:pPr>
              <w:jc w:val="center"/>
              <w:rPr>
                <w:rFonts w:ascii="Bookman Old Style" w:hAnsi="Bookman Old Style" w:cs="Calibri"/>
                <w:bCs/>
                <w:sz w:val="12"/>
                <w:szCs w:val="12"/>
                <w:lang w:val="en-US"/>
              </w:rPr>
            </w:pPr>
            <w:r w:rsidRPr="008379CA">
              <w:rPr>
                <w:rFonts w:ascii="Bookman Old Style" w:hAnsi="Bookman Old Style" w:cs="Calibri"/>
                <w:sz w:val="12"/>
                <w:szCs w:val="12"/>
              </w:rPr>
              <w:t>99,97</w:t>
            </w:r>
          </w:p>
        </w:tc>
        <w:tc>
          <w:tcPr>
            <w:tcW w:w="1558" w:type="dxa"/>
            <w:shd w:val="clear" w:color="auto" w:fill="auto"/>
            <w:vAlign w:val="center"/>
          </w:tcPr>
          <w:p w14:paraId="543D97CE" w14:textId="53FDCCAC" w:rsidR="00E72048" w:rsidRPr="008379CA" w:rsidRDefault="00E72048" w:rsidP="00EA31BD">
            <w:pPr>
              <w:ind w:left="-114"/>
              <w:jc w:val="right"/>
              <w:rPr>
                <w:rFonts w:ascii="Bookman Old Style" w:hAnsi="Bookman Old Style" w:cs="Calibri"/>
                <w:bCs/>
                <w:sz w:val="12"/>
                <w:szCs w:val="12"/>
                <w:lang w:val="en-US"/>
              </w:rPr>
            </w:pPr>
            <w:r w:rsidRPr="008379CA">
              <w:rPr>
                <w:rFonts w:ascii="Bookman Old Style" w:hAnsi="Bookman Old Style" w:cs="Calibri"/>
                <w:sz w:val="12"/>
                <w:szCs w:val="12"/>
              </w:rPr>
              <w:t>709.624.172.484</w:t>
            </w:r>
            <w:r w:rsidR="00EA31BD" w:rsidRPr="008379CA">
              <w:rPr>
                <w:rFonts w:ascii="Bookman Old Style" w:hAnsi="Bookman Old Style" w:cs="Calibri"/>
                <w:sz w:val="12"/>
                <w:szCs w:val="12"/>
              </w:rPr>
              <w:t>,00</w:t>
            </w:r>
          </w:p>
        </w:tc>
        <w:tc>
          <w:tcPr>
            <w:tcW w:w="1559" w:type="dxa"/>
            <w:shd w:val="clear" w:color="auto" w:fill="auto"/>
            <w:vAlign w:val="center"/>
          </w:tcPr>
          <w:p w14:paraId="59F5A7D4" w14:textId="6E353864" w:rsidR="00E72048" w:rsidRPr="008379CA" w:rsidRDefault="00E72048" w:rsidP="00EA31BD">
            <w:pPr>
              <w:ind w:left="-100"/>
              <w:jc w:val="right"/>
              <w:rPr>
                <w:rFonts w:ascii="Bookman Old Style" w:hAnsi="Bookman Old Style" w:cs="Calibri"/>
                <w:bCs/>
                <w:sz w:val="12"/>
                <w:szCs w:val="12"/>
                <w:lang w:val="en-US"/>
              </w:rPr>
            </w:pPr>
            <w:r w:rsidRPr="008379CA">
              <w:rPr>
                <w:rFonts w:ascii="Bookman Old Style" w:hAnsi="Bookman Old Style" w:cs="Calibri"/>
                <w:sz w:val="12"/>
                <w:szCs w:val="12"/>
              </w:rPr>
              <w:t>780.029.919.390</w:t>
            </w:r>
            <w:r w:rsidR="00EA31BD" w:rsidRPr="008379CA">
              <w:rPr>
                <w:rFonts w:ascii="Bookman Old Style" w:hAnsi="Bookman Old Style" w:cs="Calibri"/>
                <w:sz w:val="12"/>
                <w:szCs w:val="12"/>
              </w:rPr>
              <w:t>,00</w:t>
            </w:r>
          </w:p>
        </w:tc>
        <w:tc>
          <w:tcPr>
            <w:tcW w:w="709" w:type="dxa"/>
            <w:shd w:val="clear" w:color="auto" w:fill="auto"/>
            <w:vAlign w:val="center"/>
          </w:tcPr>
          <w:p w14:paraId="403462BB" w14:textId="0CF5322B" w:rsidR="00E72048" w:rsidRPr="008379CA" w:rsidRDefault="00E72048" w:rsidP="00E72048">
            <w:pPr>
              <w:jc w:val="center"/>
              <w:rPr>
                <w:rFonts w:ascii="Bookman Old Style" w:hAnsi="Bookman Old Style" w:cs="Calibri"/>
                <w:bCs/>
                <w:sz w:val="12"/>
                <w:szCs w:val="12"/>
                <w:lang w:val="en-US"/>
              </w:rPr>
            </w:pPr>
            <w:r w:rsidRPr="008379CA">
              <w:rPr>
                <w:rFonts w:ascii="Bookman Old Style" w:hAnsi="Bookman Old Style" w:cs="Calibri"/>
                <w:sz w:val="12"/>
                <w:szCs w:val="12"/>
              </w:rPr>
              <w:t>109,92</w:t>
            </w:r>
            <w:r w:rsidR="00A954D0" w:rsidRPr="008379CA">
              <w:rPr>
                <w:rFonts w:ascii="Bookman Old Style" w:hAnsi="Bookman Old Style" w:cs="Calibri"/>
                <w:sz w:val="12"/>
                <w:szCs w:val="12"/>
              </w:rPr>
              <w:t xml:space="preserve"> </w:t>
            </w:r>
          </w:p>
        </w:tc>
        <w:tc>
          <w:tcPr>
            <w:tcW w:w="1559" w:type="dxa"/>
            <w:shd w:val="clear" w:color="auto" w:fill="auto"/>
            <w:vAlign w:val="center"/>
          </w:tcPr>
          <w:p w14:paraId="34BC7D4C" w14:textId="4865B5D9" w:rsidR="00E72048" w:rsidRPr="008379CA" w:rsidRDefault="00E72048" w:rsidP="00EA31BD">
            <w:pPr>
              <w:ind w:left="-112"/>
              <w:jc w:val="right"/>
              <w:rPr>
                <w:rFonts w:ascii="Bookman Old Style" w:hAnsi="Bookman Old Style" w:cs="Calibri"/>
                <w:bCs/>
                <w:sz w:val="12"/>
                <w:szCs w:val="12"/>
                <w:lang w:val="en-US"/>
              </w:rPr>
            </w:pPr>
            <w:r w:rsidRPr="008379CA">
              <w:rPr>
                <w:rFonts w:ascii="Bookman Old Style" w:hAnsi="Bookman Old Style" w:cs="Calibri"/>
                <w:sz w:val="12"/>
                <w:szCs w:val="12"/>
              </w:rPr>
              <w:t>739.121.175.755</w:t>
            </w:r>
            <w:r w:rsidR="00EA31BD" w:rsidRPr="008379CA">
              <w:rPr>
                <w:rFonts w:ascii="Bookman Old Style" w:hAnsi="Bookman Old Style" w:cs="Calibri"/>
                <w:sz w:val="12"/>
                <w:szCs w:val="12"/>
              </w:rPr>
              <w:t>,00</w:t>
            </w:r>
          </w:p>
        </w:tc>
        <w:tc>
          <w:tcPr>
            <w:tcW w:w="1560" w:type="dxa"/>
            <w:shd w:val="clear" w:color="auto" w:fill="auto"/>
            <w:vAlign w:val="center"/>
          </w:tcPr>
          <w:p w14:paraId="3E1F8C86" w14:textId="6C6664FD" w:rsidR="00E72048" w:rsidRPr="008379CA" w:rsidRDefault="00E72048" w:rsidP="00EA31BD">
            <w:pPr>
              <w:ind w:left="-112"/>
              <w:jc w:val="right"/>
              <w:rPr>
                <w:rFonts w:ascii="Bookman Old Style" w:hAnsi="Bookman Old Style" w:cs="Calibri"/>
                <w:bCs/>
                <w:sz w:val="12"/>
                <w:szCs w:val="12"/>
                <w:lang w:val="en-US"/>
              </w:rPr>
            </w:pPr>
            <w:r w:rsidRPr="008379CA">
              <w:rPr>
                <w:rFonts w:ascii="Bookman Old Style" w:hAnsi="Bookman Old Style" w:cs="Calibri"/>
                <w:sz w:val="12"/>
                <w:szCs w:val="12"/>
              </w:rPr>
              <w:t>701.074.826.854</w:t>
            </w:r>
            <w:r w:rsidR="00EA31BD" w:rsidRPr="008379CA">
              <w:rPr>
                <w:rFonts w:ascii="Bookman Old Style" w:hAnsi="Bookman Old Style" w:cs="Calibri"/>
                <w:sz w:val="12"/>
                <w:szCs w:val="12"/>
              </w:rPr>
              <w:t>,00</w:t>
            </w:r>
          </w:p>
        </w:tc>
        <w:tc>
          <w:tcPr>
            <w:tcW w:w="708" w:type="dxa"/>
            <w:shd w:val="clear" w:color="auto" w:fill="auto"/>
            <w:vAlign w:val="center"/>
          </w:tcPr>
          <w:p w14:paraId="5B5EC832" w14:textId="4969FE52" w:rsidR="00E72048" w:rsidRPr="008379CA" w:rsidRDefault="00E72048" w:rsidP="00E72048">
            <w:pPr>
              <w:jc w:val="center"/>
              <w:rPr>
                <w:rFonts w:ascii="Bookman Old Style" w:hAnsi="Bookman Old Style" w:cs="Calibri"/>
                <w:sz w:val="12"/>
                <w:szCs w:val="12"/>
                <w:lang w:val="en-US"/>
              </w:rPr>
            </w:pPr>
            <w:r w:rsidRPr="008379CA">
              <w:rPr>
                <w:rFonts w:ascii="Bookman Old Style" w:hAnsi="Bookman Old Style" w:cs="Calibri"/>
                <w:sz w:val="12"/>
                <w:szCs w:val="12"/>
              </w:rPr>
              <w:t>94,85</w:t>
            </w:r>
            <w:r w:rsidR="00A954D0" w:rsidRPr="008379CA">
              <w:rPr>
                <w:rFonts w:ascii="Bookman Old Style" w:hAnsi="Bookman Old Style" w:cs="Calibri"/>
                <w:sz w:val="12"/>
                <w:szCs w:val="12"/>
              </w:rPr>
              <w:t xml:space="preserve"> </w:t>
            </w:r>
          </w:p>
        </w:tc>
        <w:tc>
          <w:tcPr>
            <w:tcW w:w="1560" w:type="dxa"/>
            <w:shd w:val="clear" w:color="auto" w:fill="auto"/>
            <w:vAlign w:val="center"/>
          </w:tcPr>
          <w:p w14:paraId="401FDC56" w14:textId="29DBAF8D" w:rsidR="00E72048" w:rsidRPr="008379CA" w:rsidRDefault="00E72048" w:rsidP="00EA31BD">
            <w:pPr>
              <w:ind w:left="-110"/>
              <w:jc w:val="right"/>
              <w:rPr>
                <w:rFonts w:ascii="Bookman Old Style" w:hAnsi="Bookman Old Style" w:cs="Calibri"/>
                <w:sz w:val="12"/>
                <w:szCs w:val="12"/>
                <w:lang w:val="en-US"/>
              </w:rPr>
            </w:pPr>
            <w:r w:rsidRPr="008379CA">
              <w:rPr>
                <w:rFonts w:ascii="Bookman Old Style" w:hAnsi="Bookman Old Style" w:cs="Calibri"/>
                <w:sz w:val="12"/>
                <w:szCs w:val="12"/>
              </w:rPr>
              <w:t>275.885.955.474</w:t>
            </w:r>
            <w:r w:rsidR="00EA31BD" w:rsidRPr="008379CA">
              <w:rPr>
                <w:rFonts w:ascii="Bookman Old Style" w:hAnsi="Bookman Old Style" w:cs="Calibri"/>
                <w:sz w:val="12"/>
                <w:szCs w:val="12"/>
              </w:rPr>
              <w:t>,00</w:t>
            </w:r>
          </w:p>
        </w:tc>
        <w:tc>
          <w:tcPr>
            <w:tcW w:w="849" w:type="dxa"/>
            <w:shd w:val="clear" w:color="auto" w:fill="auto"/>
            <w:vAlign w:val="center"/>
          </w:tcPr>
          <w:p w14:paraId="5E3305FF" w14:textId="235F7EDD" w:rsidR="00E72048" w:rsidRPr="008379CA" w:rsidRDefault="00E72048" w:rsidP="00E72048">
            <w:pPr>
              <w:jc w:val="center"/>
              <w:rPr>
                <w:rFonts w:ascii="Bookman Old Style" w:hAnsi="Bookman Old Style" w:cs="Calibri"/>
                <w:sz w:val="12"/>
                <w:szCs w:val="12"/>
                <w:lang w:val="en-US"/>
              </w:rPr>
            </w:pPr>
            <w:r w:rsidRPr="008379CA">
              <w:rPr>
                <w:rFonts w:ascii="Bookman Old Style" w:hAnsi="Bookman Old Style" w:cs="Calibri"/>
                <w:sz w:val="12"/>
                <w:szCs w:val="12"/>
              </w:rPr>
              <w:t>(4,71)</w:t>
            </w:r>
          </w:p>
        </w:tc>
        <w:tc>
          <w:tcPr>
            <w:tcW w:w="850" w:type="dxa"/>
            <w:shd w:val="clear" w:color="auto" w:fill="auto"/>
            <w:vAlign w:val="center"/>
          </w:tcPr>
          <w:p w14:paraId="6679EDB0" w14:textId="129DD0F2" w:rsidR="00E72048" w:rsidRPr="008379CA" w:rsidRDefault="00E72048" w:rsidP="00E72048">
            <w:pPr>
              <w:jc w:val="center"/>
              <w:rPr>
                <w:rFonts w:ascii="Bookman Old Style" w:hAnsi="Bookman Old Style" w:cs="Calibri"/>
                <w:sz w:val="12"/>
                <w:szCs w:val="12"/>
                <w:lang w:val="en-US"/>
              </w:rPr>
            </w:pPr>
            <w:r w:rsidRPr="008379CA">
              <w:rPr>
                <w:rFonts w:ascii="Bookman Old Style" w:hAnsi="Bookman Old Style" w:cs="Calibri"/>
                <w:sz w:val="12"/>
                <w:szCs w:val="12"/>
              </w:rPr>
              <w:t>4,16</w:t>
            </w:r>
          </w:p>
        </w:tc>
        <w:tc>
          <w:tcPr>
            <w:tcW w:w="992" w:type="dxa"/>
            <w:shd w:val="clear" w:color="auto" w:fill="auto"/>
            <w:vAlign w:val="center"/>
          </w:tcPr>
          <w:p w14:paraId="6EA061E9" w14:textId="0F79BAEA" w:rsidR="00E72048" w:rsidRPr="008379CA" w:rsidRDefault="00E72048" w:rsidP="00E72048">
            <w:pPr>
              <w:jc w:val="center"/>
              <w:rPr>
                <w:rFonts w:ascii="Bookman Old Style" w:hAnsi="Bookman Old Style" w:cs="Calibri"/>
                <w:sz w:val="12"/>
                <w:szCs w:val="12"/>
                <w:lang w:val="en-US"/>
              </w:rPr>
            </w:pPr>
            <w:r w:rsidRPr="008379CA">
              <w:rPr>
                <w:rFonts w:ascii="Bookman Old Style" w:hAnsi="Bookman Old Style" w:cs="Calibri"/>
                <w:sz w:val="12"/>
                <w:szCs w:val="12"/>
              </w:rPr>
              <w:t>(62,67)</w:t>
            </w:r>
          </w:p>
        </w:tc>
        <w:tc>
          <w:tcPr>
            <w:tcW w:w="709" w:type="dxa"/>
            <w:shd w:val="clear" w:color="auto" w:fill="auto"/>
            <w:noWrap/>
            <w:vAlign w:val="center"/>
          </w:tcPr>
          <w:p w14:paraId="19D913D8" w14:textId="5F902C88" w:rsidR="00E72048" w:rsidRPr="008379CA" w:rsidRDefault="00E72048" w:rsidP="00E72048">
            <w:pPr>
              <w:jc w:val="center"/>
              <w:rPr>
                <w:rFonts w:ascii="Bookman Old Style" w:hAnsi="Bookman Old Style" w:cs="Calibri"/>
                <w:sz w:val="12"/>
                <w:szCs w:val="12"/>
                <w:lang w:val="en-US"/>
              </w:rPr>
            </w:pPr>
            <w:r w:rsidRPr="008379CA">
              <w:rPr>
                <w:rFonts w:ascii="Bookman Old Style" w:hAnsi="Bookman Old Style" w:cs="Calibri"/>
                <w:sz w:val="12"/>
                <w:szCs w:val="12"/>
              </w:rPr>
              <w:t>(21,08)</w:t>
            </w:r>
          </w:p>
        </w:tc>
      </w:tr>
      <w:tr w:rsidR="008379CA" w:rsidRPr="008379CA" w14:paraId="1295517C" w14:textId="77777777" w:rsidTr="00DA7786">
        <w:trPr>
          <w:trHeight w:val="340"/>
        </w:trPr>
        <w:tc>
          <w:tcPr>
            <w:tcW w:w="1418" w:type="dxa"/>
            <w:shd w:val="clear" w:color="auto" w:fill="auto"/>
            <w:vAlign w:val="center"/>
          </w:tcPr>
          <w:p w14:paraId="68369A72" w14:textId="544AAC81" w:rsidR="00E72048" w:rsidRPr="008379CA" w:rsidRDefault="00E72048" w:rsidP="00E72048">
            <w:pPr>
              <w:jc w:val="both"/>
              <w:rPr>
                <w:rFonts w:ascii="Bookman Old Style" w:hAnsi="Bookman Old Style" w:cs="Calibri"/>
                <w:b/>
                <w:bCs/>
                <w:sz w:val="12"/>
                <w:szCs w:val="12"/>
                <w:lang w:val="en-US"/>
              </w:rPr>
            </w:pPr>
            <w:r w:rsidRPr="008379CA">
              <w:rPr>
                <w:rFonts w:ascii="Bookman Old Style" w:hAnsi="Bookman Old Style" w:cs="Calibri"/>
                <w:b/>
                <w:bCs/>
                <w:sz w:val="12"/>
                <w:szCs w:val="12"/>
                <w:lang w:val="fi-FI"/>
              </w:rPr>
              <w:t>Lain-Lain</w:t>
            </w:r>
            <w:r w:rsidR="00A954D0" w:rsidRPr="008379CA">
              <w:rPr>
                <w:rFonts w:ascii="Bookman Old Style" w:hAnsi="Bookman Old Style" w:cs="Calibri"/>
                <w:b/>
                <w:bCs/>
                <w:sz w:val="12"/>
                <w:szCs w:val="12"/>
                <w:lang w:val="fi-FI"/>
              </w:rPr>
              <w:t xml:space="preserve"> </w:t>
            </w:r>
            <w:r w:rsidRPr="008379CA">
              <w:rPr>
                <w:rFonts w:ascii="Bookman Old Style" w:hAnsi="Bookman Old Style" w:cs="Calibri"/>
                <w:b/>
                <w:bCs/>
                <w:sz w:val="12"/>
                <w:szCs w:val="12"/>
                <w:lang w:val="fi-FI"/>
              </w:rPr>
              <w:t>Pendapatan</w:t>
            </w:r>
            <w:r w:rsidR="00A954D0" w:rsidRPr="008379CA">
              <w:rPr>
                <w:rFonts w:ascii="Bookman Old Style" w:hAnsi="Bookman Old Style" w:cs="Calibri"/>
                <w:b/>
                <w:bCs/>
                <w:sz w:val="12"/>
                <w:szCs w:val="12"/>
                <w:lang w:val="fi-FI"/>
              </w:rPr>
              <w:t xml:space="preserve"> </w:t>
            </w:r>
            <w:r w:rsidRPr="008379CA">
              <w:rPr>
                <w:rFonts w:ascii="Bookman Old Style" w:hAnsi="Bookman Old Style" w:cs="Calibri"/>
                <w:b/>
                <w:bCs/>
                <w:sz w:val="12"/>
                <w:szCs w:val="12"/>
                <w:lang w:val="fi-FI"/>
              </w:rPr>
              <w:t>Daerah</w:t>
            </w:r>
            <w:r w:rsidR="00A954D0" w:rsidRPr="008379CA">
              <w:rPr>
                <w:rFonts w:ascii="Bookman Old Style" w:hAnsi="Bookman Old Style" w:cs="Calibri"/>
                <w:b/>
                <w:bCs/>
                <w:sz w:val="12"/>
                <w:szCs w:val="12"/>
                <w:lang w:val="fi-FI"/>
              </w:rPr>
              <w:t xml:space="preserve"> </w:t>
            </w:r>
            <w:r w:rsidRPr="008379CA">
              <w:rPr>
                <w:rFonts w:ascii="Bookman Old Style" w:hAnsi="Bookman Old Style" w:cs="Calibri"/>
                <w:b/>
                <w:bCs/>
                <w:sz w:val="12"/>
                <w:szCs w:val="12"/>
                <w:lang w:val="fi-FI"/>
              </w:rPr>
              <w:t>Yang</w:t>
            </w:r>
            <w:r w:rsidR="00A954D0" w:rsidRPr="008379CA">
              <w:rPr>
                <w:rFonts w:ascii="Bookman Old Style" w:hAnsi="Bookman Old Style" w:cs="Calibri"/>
                <w:b/>
                <w:bCs/>
                <w:sz w:val="12"/>
                <w:szCs w:val="12"/>
                <w:lang w:val="fi-FI"/>
              </w:rPr>
              <w:t xml:space="preserve"> </w:t>
            </w:r>
            <w:r w:rsidRPr="008379CA">
              <w:rPr>
                <w:rFonts w:ascii="Bookman Old Style" w:hAnsi="Bookman Old Style" w:cs="Calibri"/>
                <w:b/>
                <w:bCs/>
                <w:sz w:val="12"/>
                <w:szCs w:val="12"/>
                <w:lang w:val="fi-FI"/>
              </w:rPr>
              <w:t>Sah</w:t>
            </w:r>
          </w:p>
        </w:tc>
        <w:tc>
          <w:tcPr>
            <w:tcW w:w="1531" w:type="dxa"/>
            <w:shd w:val="clear" w:color="auto" w:fill="auto"/>
            <w:vAlign w:val="center"/>
          </w:tcPr>
          <w:p w14:paraId="11CFE4B4" w14:textId="63C05520" w:rsidR="00E72048" w:rsidRPr="008379CA" w:rsidRDefault="00E72048" w:rsidP="00EA31BD">
            <w:pPr>
              <w:ind w:left="-101"/>
              <w:jc w:val="right"/>
              <w:rPr>
                <w:rFonts w:ascii="Bookman Old Style" w:hAnsi="Bookman Old Style" w:cs="Calibri"/>
                <w:b/>
                <w:bCs/>
                <w:sz w:val="12"/>
                <w:szCs w:val="12"/>
                <w:lang w:val="en-US"/>
              </w:rPr>
            </w:pPr>
            <w:r w:rsidRPr="008379CA">
              <w:rPr>
                <w:rFonts w:ascii="Bookman Old Style" w:hAnsi="Bookman Old Style" w:cs="Calibri"/>
                <w:b/>
                <w:bCs/>
                <w:sz w:val="12"/>
                <w:szCs w:val="12"/>
              </w:rPr>
              <w:t>-</w:t>
            </w:r>
            <w:r w:rsidR="00A954D0" w:rsidRPr="008379CA">
              <w:rPr>
                <w:rFonts w:ascii="Bookman Old Style" w:hAnsi="Bookman Old Style" w:cs="Calibri"/>
                <w:b/>
                <w:bCs/>
                <w:sz w:val="12"/>
                <w:szCs w:val="12"/>
              </w:rPr>
              <w:t xml:space="preserve"> </w:t>
            </w:r>
          </w:p>
        </w:tc>
        <w:tc>
          <w:tcPr>
            <w:tcW w:w="1560" w:type="dxa"/>
            <w:shd w:val="clear" w:color="auto" w:fill="auto"/>
            <w:vAlign w:val="center"/>
          </w:tcPr>
          <w:p w14:paraId="6F858655" w14:textId="7A31854F" w:rsidR="00E72048" w:rsidRPr="008379CA" w:rsidRDefault="00E72048" w:rsidP="00EA31BD">
            <w:pPr>
              <w:ind w:left="-102"/>
              <w:jc w:val="right"/>
              <w:rPr>
                <w:rFonts w:ascii="Bookman Old Style" w:hAnsi="Bookman Old Style" w:cs="Calibri"/>
                <w:b/>
                <w:bCs/>
                <w:sz w:val="12"/>
                <w:szCs w:val="12"/>
                <w:lang w:val="en-US"/>
              </w:rPr>
            </w:pPr>
            <w:r w:rsidRPr="008379CA">
              <w:rPr>
                <w:rFonts w:ascii="Bookman Old Style" w:hAnsi="Bookman Old Style" w:cs="Calibri"/>
                <w:b/>
                <w:bCs/>
                <w:sz w:val="12"/>
                <w:szCs w:val="12"/>
              </w:rPr>
              <w:t>669.936.024</w:t>
            </w:r>
            <w:r w:rsidR="00EA31BD" w:rsidRPr="008379CA">
              <w:rPr>
                <w:rFonts w:ascii="Bookman Old Style" w:hAnsi="Bookman Old Style" w:cs="Calibri"/>
                <w:b/>
                <w:bCs/>
                <w:sz w:val="12"/>
                <w:szCs w:val="12"/>
              </w:rPr>
              <w:t>,00</w:t>
            </w:r>
            <w:r w:rsidR="00A954D0" w:rsidRPr="008379CA">
              <w:rPr>
                <w:rFonts w:ascii="Bookman Old Style" w:hAnsi="Bookman Old Style" w:cs="Calibri"/>
                <w:b/>
                <w:bCs/>
                <w:sz w:val="12"/>
                <w:szCs w:val="12"/>
              </w:rPr>
              <w:t xml:space="preserve"> </w:t>
            </w:r>
          </w:p>
        </w:tc>
        <w:tc>
          <w:tcPr>
            <w:tcW w:w="710" w:type="dxa"/>
            <w:shd w:val="clear" w:color="auto" w:fill="auto"/>
            <w:vAlign w:val="center"/>
          </w:tcPr>
          <w:p w14:paraId="707F6CE0" w14:textId="1388FD99" w:rsidR="00E72048" w:rsidRPr="008379CA" w:rsidRDefault="00E72048" w:rsidP="00E72048">
            <w:pPr>
              <w:jc w:val="center"/>
              <w:rPr>
                <w:rFonts w:ascii="Bookman Old Style" w:hAnsi="Bookman Old Style" w:cs="Calibri"/>
                <w:b/>
                <w:bCs/>
                <w:sz w:val="12"/>
                <w:szCs w:val="12"/>
                <w:lang w:val="en-US"/>
              </w:rPr>
            </w:pPr>
            <w:r w:rsidRPr="008379CA">
              <w:rPr>
                <w:rFonts w:ascii="Bookman Old Style" w:hAnsi="Bookman Old Style" w:cs="Calibri"/>
                <w:b/>
                <w:bCs/>
                <w:sz w:val="12"/>
                <w:szCs w:val="12"/>
              </w:rPr>
              <w:t>-</w:t>
            </w:r>
          </w:p>
        </w:tc>
        <w:tc>
          <w:tcPr>
            <w:tcW w:w="1558" w:type="dxa"/>
            <w:shd w:val="clear" w:color="auto" w:fill="auto"/>
            <w:vAlign w:val="center"/>
          </w:tcPr>
          <w:p w14:paraId="6380D345" w14:textId="0DC1629A" w:rsidR="00E72048" w:rsidRPr="008379CA" w:rsidRDefault="00E72048" w:rsidP="00EA31BD">
            <w:pPr>
              <w:ind w:left="-114"/>
              <w:jc w:val="right"/>
              <w:rPr>
                <w:rFonts w:ascii="Bookman Old Style" w:hAnsi="Bookman Old Style" w:cs="Calibri"/>
                <w:b/>
                <w:bCs/>
                <w:sz w:val="12"/>
                <w:szCs w:val="12"/>
                <w:lang w:val="en-US"/>
              </w:rPr>
            </w:pPr>
            <w:r w:rsidRPr="008379CA">
              <w:rPr>
                <w:rFonts w:ascii="Bookman Old Style" w:hAnsi="Bookman Old Style" w:cs="Calibri"/>
                <w:b/>
                <w:bCs/>
                <w:sz w:val="12"/>
                <w:szCs w:val="12"/>
              </w:rPr>
              <w:t>-</w:t>
            </w:r>
            <w:r w:rsidR="00A954D0" w:rsidRPr="008379CA">
              <w:rPr>
                <w:rFonts w:ascii="Bookman Old Style" w:hAnsi="Bookman Old Style" w:cs="Calibri"/>
                <w:b/>
                <w:bCs/>
                <w:sz w:val="12"/>
                <w:szCs w:val="12"/>
              </w:rPr>
              <w:t xml:space="preserve"> </w:t>
            </w:r>
          </w:p>
        </w:tc>
        <w:tc>
          <w:tcPr>
            <w:tcW w:w="1559" w:type="dxa"/>
            <w:shd w:val="clear" w:color="auto" w:fill="auto"/>
            <w:vAlign w:val="center"/>
          </w:tcPr>
          <w:p w14:paraId="6035EEAF" w14:textId="0AC14433" w:rsidR="00E72048" w:rsidRPr="008379CA" w:rsidRDefault="00E72048" w:rsidP="00EA31BD">
            <w:pPr>
              <w:ind w:left="-100"/>
              <w:jc w:val="right"/>
              <w:rPr>
                <w:rFonts w:ascii="Bookman Old Style" w:hAnsi="Bookman Old Style" w:cs="Calibri"/>
                <w:b/>
                <w:bCs/>
                <w:sz w:val="12"/>
                <w:szCs w:val="12"/>
                <w:lang w:val="en-US"/>
              </w:rPr>
            </w:pPr>
            <w:r w:rsidRPr="008379CA">
              <w:rPr>
                <w:rFonts w:ascii="Bookman Old Style" w:hAnsi="Bookman Old Style" w:cs="Calibri"/>
                <w:b/>
                <w:bCs/>
                <w:sz w:val="12"/>
                <w:szCs w:val="12"/>
              </w:rPr>
              <w:t>775.629.164</w:t>
            </w:r>
            <w:r w:rsidR="00EA31BD" w:rsidRPr="008379CA">
              <w:rPr>
                <w:rFonts w:ascii="Bookman Old Style" w:hAnsi="Bookman Old Style" w:cs="Calibri"/>
                <w:b/>
                <w:bCs/>
                <w:sz w:val="12"/>
                <w:szCs w:val="12"/>
              </w:rPr>
              <w:t>,00</w:t>
            </w:r>
            <w:r w:rsidR="00A954D0" w:rsidRPr="008379CA">
              <w:rPr>
                <w:rFonts w:ascii="Bookman Old Style" w:hAnsi="Bookman Old Style" w:cs="Calibri"/>
                <w:b/>
                <w:bCs/>
                <w:sz w:val="12"/>
                <w:szCs w:val="12"/>
              </w:rPr>
              <w:t xml:space="preserve"> </w:t>
            </w:r>
          </w:p>
        </w:tc>
        <w:tc>
          <w:tcPr>
            <w:tcW w:w="709" w:type="dxa"/>
            <w:shd w:val="clear" w:color="auto" w:fill="auto"/>
            <w:vAlign w:val="center"/>
          </w:tcPr>
          <w:p w14:paraId="101289A4" w14:textId="6B304F72" w:rsidR="00E72048" w:rsidRPr="008379CA" w:rsidRDefault="00E72048" w:rsidP="00E72048">
            <w:pPr>
              <w:jc w:val="center"/>
              <w:rPr>
                <w:rFonts w:ascii="Bookman Old Style" w:hAnsi="Bookman Old Style" w:cs="Calibri"/>
                <w:b/>
                <w:bCs/>
                <w:sz w:val="12"/>
                <w:szCs w:val="12"/>
                <w:lang w:val="en-US"/>
              </w:rPr>
            </w:pPr>
            <w:r w:rsidRPr="008379CA">
              <w:rPr>
                <w:rFonts w:ascii="Bookman Old Style" w:hAnsi="Bookman Old Style" w:cs="Calibri"/>
                <w:b/>
                <w:bCs/>
                <w:sz w:val="12"/>
                <w:szCs w:val="12"/>
              </w:rPr>
              <w:t>-</w:t>
            </w:r>
          </w:p>
        </w:tc>
        <w:tc>
          <w:tcPr>
            <w:tcW w:w="1559" w:type="dxa"/>
            <w:shd w:val="clear" w:color="auto" w:fill="auto"/>
            <w:vAlign w:val="center"/>
          </w:tcPr>
          <w:p w14:paraId="323718CB" w14:textId="23620469" w:rsidR="00E72048" w:rsidRPr="008379CA" w:rsidRDefault="00E72048" w:rsidP="00EA31BD">
            <w:pPr>
              <w:ind w:left="-112"/>
              <w:jc w:val="right"/>
              <w:rPr>
                <w:rFonts w:ascii="Bookman Old Style" w:hAnsi="Bookman Old Style" w:cs="Calibri"/>
                <w:b/>
                <w:bCs/>
                <w:sz w:val="12"/>
                <w:szCs w:val="12"/>
                <w:lang w:val="en-US"/>
              </w:rPr>
            </w:pPr>
            <w:r w:rsidRPr="008379CA">
              <w:rPr>
                <w:rFonts w:ascii="Bookman Old Style" w:hAnsi="Bookman Old Style" w:cs="Calibri"/>
                <w:b/>
                <w:bCs/>
                <w:sz w:val="12"/>
                <w:szCs w:val="12"/>
              </w:rPr>
              <w:t>-</w:t>
            </w:r>
            <w:r w:rsidR="00A954D0" w:rsidRPr="008379CA">
              <w:rPr>
                <w:rFonts w:ascii="Bookman Old Style" w:hAnsi="Bookman Old Style" w:cs="Calibri"/>
                <w:b/>
                <w:bCs/>
                <w:sz w:val="12"/>
                <w:szCs w:val="12"/>
              </w:rPr>
              <w:t xml:space="preserve"> </w:t>
            </w:r>
          </w:p>
        </w:tc>
        <w:tc>
          <w:tcPr>
            <w:tcW w:w="1560" w:type="dxa"/>
            <w:shd w:val="clear" w:color="auto" w:fill="auto"/>
            <w:vAlign w:val="center"/>
          </w:tcPr>
          <w:p w14:paraId="06BEF0C7" w14:textId="3225BA3C" w:rsidR="00E72048" w:rsidRPr="008379CA" w:rsidRDefault="00E72048" w:rsidP="00EA31BD">
            <w:pPr>
              <w:ind w:left="-112"/>
              <w:jc w:val="right"/>
              <w:rPr>
                <w:rFonts w:ascii="Bookman Old Style" w:hAnsi="Bookman Old Style" w:cs="Calibri"/>
                <w:b/>
                <w:bCs/>
                <w:sz w:val="12"/>
                <w:szCs w:val="12"/>
                <w:lang w:val="en-US"/>
              </w:rPr>
            </w:pPr>
            <w:r w:rsidRPr="008379CA">
              <w:rPr>
                <w:rFonts w:ascii="Bookman Old Style" w:hAnsi="Bookman Old Style" w:cs="Calibri"/>
                <w:b/>
                <w:bCs/>
                <w:sz w:val="12"/>
                <w:szCs w:val="12"/>
              </w:rPr>
              <w:t>74.307.281</w:t>
            </w:r>
            <w:r w:rsidR="00EA31BD" w:rsidRPr="008379CA">
              <w:rPr>
                <w:rFonts w:ascii="Bookman Old Style" w:hAnsi="Bookman Old Style" w:cs="Calibri"/>
                <w:b/>
                <w:bCs/>
                <w:sz w:val="12"/>
                <w:szCs w:val="12"/>
              </w:rPr>
              <w:t>,00</w:t>
            </w:r>
            <w:r w:rsidR="00A954D0" w:rsidRPr="008379CA">
              <w:rPr>
                <w:rFonts w:ascii="Bookman Old Style" w:hAnsi="Bookman Old Style" w:cs="Calibri"/>
                <w:b/>
                <w:bCs/>
                <w:sz w:val="12"/>
                <w:szCs w:val="12"/>
              </w:rPr>
              <w:t xml:space="preserve"> </w:t>
            </w:r>
          </w:p>
        </w:tc>
        <w:tc>
          <w:tcPr>
            <w:tcW w:w="708" w:type="dxa"/>
            <w:shd w:val="clear" w:color="auto" w:fill="auto"/>
            <w:vAlign w:val="center"/>
          </w:tcPr>
          <w:p w14:paraId="6627AB47" w14:textId="5BC4971E" w:rsidR="00E72048" w:rsidRPr="008379CA" w:rsidRDefault="00E72048" w:rsidP="00E72048">
            <w:pPr>
              <w:jc w:val="center"/>
              <w:rPr>
                <w:rFonts w:ascii="Bookman Old Style" w:hAnsi="Bookman Old Style" w:cs="Calibri"/>
                <w:b/>
                <w:bCs/>
                <w:sz w:val="12"/>
                <w:szCs w:val="12"/>
                <w:lang w:val="en-US"/>
              </w:rPr>
            </w:pPr>
            <w:r w:rsidRPr="008379CA">
              <w:rPr>
                <w:rFonts w:ascii="Bookman Old Style" w:hAnsi="Bookman Old Style" w:cs="Calibri"/>
                <w:b/>
                <w:bCs/>
                <w:sz w:val="12"/>
                <w:szCs w:val="12"/>
              </w:rPr>
              <w:t>-</w:t>
            </w:r>
          </w:p>
        </w:tc>
        <w:tc>
          <w:tcPr>
            <w:tcW w:w="1560" w:type="dxa"/>
            <w:shd w:val="clear" w:color="auto" w:fill="auto"/>
            <w:vAlign w:val="center"/>
          </w:tcPr>
          <w:p w14:paraId="47072663" w14:textId="62D6D505" w:rsidR="00E72048" w:rsidRPr="008379CA" w:rsidRDefault="00E72048" w:rsidP="00EA31BD">
            <w:pPr>
              <w:ind w:left="-110"/>
              <w:jc w:val="right"/>
              <w:rPr>
                <w:rFonts w:ascii="Bookman Old Style" w:hAnsi="Bookman Old Style" w:cs="Calibri"/>
                <w:b/>
                <w:bCs/>
                <w:sz w:val="12"/>
                <w:szCs w:val="12"/>
                <w:lang w:val="en-US"/>
              </w:rPr>
            </w:pPr>
            <w:r w:rsidRPr="008379CA">
              <w:rPr>
                <w:rFonts w:ascii="Bookman Old Style" w:hAnsi="Bookman Old Style" w:cs="Calibri"/>
                <w:b/>
                <w:bCs/>
                <w:sz w:val="12"/>
                <w:szCs w:val="12"/>
              </w:rPr>
              <w:t>-</w:t>
            </w:r>
            <w:r w:rsidR="00A954D0" w:rsidRPr="008379CA">
              <w:rPr>
                <w:rFonts w:ascii="Bookman Old Style" w:hAnsi="Bookman Old Style" w:cs="Calibri"/>
                <w:b/>
                <w:bCs/>
                <w:sz w:val="12"/>
                <w:szCs w:val="12"/>
              </w:rPr>
              <w:t xml:space="preserve"> </w:t>
            </w:r>
          </w:p>
        </w:tc>
        <w:tc>
          <w:tcPr>
            <w:tcW w:w="849" w:type="dxa"/>
            <w:shd w:val="clear" w:color="auto" w:fill="auto"/>
            <w:vAlign w:val="center"/>
          </w:tcPr>
          <w:p w14:paraId="1AE2AA59" w14:textId="2C88255C" w:rsidR="00E72048" w:rsidRPr="008379CA" w:rsidRDefault="00E72048" w:rsidP="00E72048">
            <w:pPr>
              <w:jc w:val="center"/>
              <w:rPr>
                <w:rFonts w:ascii="Bookman Old Style" w:hAnsi="Bookman Old Style" w:cs="Calibri"/>
                <w:b/>
                <w:bCs/>
                <w:sz w:val="12"/>
                <w:szCs w:val="12"/>
                <w:lang w:val="en-US"/>
              </w:rPr>
            </w:pPr>
            <w:r w:rsidRPr="008379CA">
              <w:rPr>
                <w:rFonts w:ascii="Bookman Old Style" w:hAnsi="Bookman Old Style" w:cs="Calibri"/>
                <w:b/>
                <w:bCs/>
                <w:sz w:val="12"/>
                <w:szCs w:val="12"/>
              </w:rPr>
              <w:t>-</w:t>
            </w:r>
          </w:p>
        </w:tc>
        <w:tc>
          <w:tcPr>
            <w:tcW w:w="850" w:type="dxa"/>
            <w:shd w:val="clear" w:color="auto" w:fill="auto"/>
            <w:vAlign w:val="center"/>
          </w:tcPr>
          <w:p w14:paraId="04ADCCDC" w14:textId="7D5E9EC4" w:rsidR="00E72048" w:rsidRPr="008379CA" w:rsidRDefault="00E72048" w:rsidP="00E72048">
            <w:pPr>
              <w:jc w:val="center"/>
              <w:rPr>
                <w:rFonts w:ascii="Bookman Old Style" w:hAnsi="Bookman Old Style" w:cs="Calibri"/>
                <w:b/>
                <w:bCs/>
                <w:sz w:val="12"/>
                <w:szCs w:val="12"/>
                <w:lang w:val="en-US"/>
              </w:rPr>
            </w:pPr>
            <w:r w:rsidRPr="008379CA">
              <w:rPr>
                <w:rFonts w:ascii="Bookman Old Style" w:hAnsi="Bookman Old Style" w:cs="Calibri"/>
                <w:b/>
                <w:bCs/>
                <w:sz w:val="12"/>
                <w:szCs w:val="12"/>
              </w:rPr>
              <w:t>-</w:t>
            </w:r>
          </w:p>
        </w:tc>
        <w:tc>
          <w:tcPr>
            <w:tcW w:w="992" w:type="dxa"/>
            <w:shd w:val="clear" w:color="auto" w:fill="auto"/>
            <w:vAlign w:val="center"/>
          </w:tcPr>
          <w:p w14:paraId="1A98D410" w14:textId="6702252B" w:rsidR="00E72048" w:rsidRPr="008379CA" w:rsidRDefault="00E72048" w:rsidP="00E72048">
            <w:pPr>
              <w:jc w:val="center"/>
              <w:rPr>
                <w:rFonts w:ascii="Bookman Old Style" w:hAnsi="Bookman Old Style" w:cs="Calibri"/>
                <w:b/>
                <w:bCs/>
                <w:sz w:val="12"/>
                <w:szCs w:val="12"/>
                <w:lang w:val="en-US"/>
              </w:rPr>
            </w:pPr>
            <w:r w:rsidRPr="008379CA">
              <w:rPr>
                <w:rFonts w:ascii="Bookman Old Style" w:hAnsi="Bookman Old Style" w:cs="Calibri"/>
                <w:b/>
                <w:bCs/>
                <w:sz w:val="12"/>
                <w:szCs w:val="12"/>
              </w:rPr>
              <w:t>-</w:t>
            </w:r>
          </w:p>
        </w:tc>
        <w:tc>
          <w:tcPr>
            <w:tcW w:w="709" w:type="dxa"/>
            <w:shd w:val="clear" w:color="auto" w:fill="auto"/>
            <w:noWrap/>
            <w:vAlign w:val="center"/>
          </w:tcPr>
          <w:p w14:paraId="740C2FDE" w14:textId="6F087BFC" w:rsidR="00E72048" w:rsidRPr="008379CA" w:rsidRDefault="00E72048" w:rsidP="00E72048">
            <w:pPr>
              <w:jc w:val="center"/>
              <w:rPr>
                <w:rFonts w:ascii="Bookman Old Style" w:hAnsi="Bookman Old Style" w:cs="Calibri"/>
                <w:b/>
                <w:bCs/>
                <w:sz w:val="12"/>
                <w:szCs w:val="12"/>
                <w:lang w:val="en-US"/>
              </w:rPr>
            </w:pPr>
            <w:r w:rsidRPr="008379CA">
              <w:rPr>
                <w:rFonts w:ascii="Bookman Old Style" w:hAnsi="Bookman Old Style" w:cs="Calibri"/>
                <w:b/>
                <w:bCs/>
                <w:sz w:val="12"/>
                <w:szCs w:val="12"/>
              </w:rPr>
              <w:t>-</w:t>
            </w:r>
          </w:p>
        </w:tc>
      </w:tr>
      <w:tr w:rsidR="008379CA" w:rsidRPr="008379CA" w14:paraId="030B6117" w14:textId="77777777" w:rsidTr="00DA7786">
        <w:trPr>
          <w:trHeight w:val="981"/>
        </w:trPr>
        <w:tc>
          <w:tcPr>
            <w:tcW w:w="1418" w:type="dxa"/>
            <w:shd w:val="clear" w:color="auto" w:fill="auto"/>
            <w:vAlign w:val="center"/>
          </w:tcPr>
          <w:p w14:paraId="0563C303" w14:textId="466F5F52" w:rsidR="00E72048" w:rsidRPr="008379CA" w:rsidRDefault="00E72048" w:rsidP="00E72048">
            <w:pPr>
              <w:jc w:val="both"/>
              <w:rPr>
                <w:rFonts w:ascii="Bookman Old Style" w:hAnsi="Bookman Old Style" w:cs="Calibri"/>
                <w:bCs/>
                <w:sz w:val="12"/>
                <w:szCs w:val="12"/>
                <w:lang w:val="sv-FI"/>
              </w:rPr>
            </w:pPr>
            <w:r w:rsidRPr="008379CA">
              <w:rPr>
                <w:rFonts w:ascii="Bookman Old Style" w:hAnsi="Bookman Old Style" w:cs="Calibri"/>
                <w:sz w:val="12"/>
                <w:szCs w:val="12"/>
                <w:lang w:val="sv-FI"/>
              </w:rPr>
              <w:t>Lain-lain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Pendapatan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Sesuai</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dengan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Ketentuan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Peraturan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Perundang-Undangan</w:t>
            </w:r>
          </w:p>
        </w:tc>
        <w:tc>
          <w:tcPr>
            <w:tcW w:w="1531" w:type="dxa"/>
            <w:shd w:val="clear" w:color="auto" w:fill="auto"/>
            <w:vAlign w:val="center"/>
          </w:tcPr>
          <w:p w14:paraId="5F3D1012" w14:textId="149A70D9" w:rsidR="00E72048" w:rsidRPr="008379CA" w:rsidRDefault="00E72048" w:rsidP="00EA31BD">
            <w:pPr>
              <w:ind w:left="-101"/>
              <w:jc w:val="right"/>
              <w:rPr>
                <w:rFonts w:ascii="Bookman Old Style" w:hAnsi="Bookman Old Style" w:cs="Calibri"/>
                <w:bCs/>
                <w:sz w:val="12"/>
                <w:szCs w:val="12"/>
                <w:lang w:val="en-US"/>
              </w:rPr>
            </w:pPr>
            <w:r w:rsidRPr="008379CA">
              <w:rPr>
                <w:rFonts w:ascii="Bookman Old Style" w:hAnsi="Bookman Old Style" w:cs="Calibri"/>
                <w:b/>
                <w:bCs/>
                <w:sz w:val="12"/>
                <w:szCs w:val="12"/>
              </w:rPr>
              <w:t>-</w:t>
            </w:r>
            <w:r w:rsidR="00A954D0" w:rsidRPr="008379CA">
              <w:rPr>
                <w:rFonts w:ascii="Bookman Old Style" w:hAnsi="Bookman Old Style" w:cs="Calibri"/>
                <w:b/>
                <w:bCs/>
                <w:sz w:val="12"/>
                <w:szCs w:val="12"/>
              </w:rPr>
              <w:t xml:space="preserve"> </w:t>
            </w:r>
          </w:p>
        </w:tc>
        <w:tc>
          <w:tcPr>
            <w:tcW w:w="1560" w:type="dxa"/>
            <w:shd w:val="clear" w:color="auto" w:fill="auto"/>
            <w:vAlign w:val="center"/>
          </w:tcPr>
          <w:p w14:paraId="449E7567" w14:textId="58D42C52" w:rsidR="00E72048" w:rsidRPr="008379CA" w:rsidRDefault="00E72048" w:rsidP="00EA31BD">
            <w:pPr>
              <w:ind w:left="-102"/>
              <w:jc w:val="right"/>
              <w:rPr>
                <w:rFonts w:ascii="Bookman Old Style" w:hAnsi="Bookman Old Style" w:cs="Calibri"/>
                <w:bCs/>
                <w:sz w:val="12"/>
                <w:szCs w:val="12"/>
                <w:lang w:val="en-US"/>
              </w:rPr>
            </w:pPr>
            <w:r w:rsidRPr="008379CA">
              <w:rPr>
                <w:rFonts w:ascii="Bookman Old Style" w:hAnsi="Bookman Old Style" w:cs="Calibri"/>
                <w:sz w:val="12"/>
                <w:szCs w:val="12"/>
              </w:rPr>
              <w:t>669.936.024</w:t>
            </w:r>
            <w:r w:rsidR="00EA31BD" w:rsidRPr="008379CA">
              <w:rPr>
                <w:rFonts w:ascii="Bookman Old Style" w:hAnsi="Bookman Old Style" w:cs="Calibri"/>
                <w:sz w:val="12"/>
                <w:szCs w:val="12"/>
              </w:rPr>
              <w:t>,00</w:t>
            </w:r>
            <w:r w:rsidR="00A954D0" w:rsidRPr="008379CA">
              <w:rPr>
                <w:rFonts w:ascii="Bookman Old Style" w:hAnsi="Bookman Old Style" w:cs="Calibri"/>
                <w:sz w:val="12"/>
                <w:szCs w:val="12"/>
              </w:rPr>
              <w:t xml:space="preserve"> </w:t>
            </w:r>
          </w:p>
        </w:tc>
        <w:tc>
          <w:tcPr>
            <w:tcW w:w="710" w:type="dxa"/>
            <w:shd w:val="clear" w:color="auto" w:fill="auto"/>
            <w:vAlign w:val="center"/>
          </w:tcPr>
          <w:p w14:paraId="0E0ADBB8" w14:textId="0975906E" w:rsidR="00E72048" w:rsidRPr="008379CA" w:rsidRDefault="00E72048" w:rsidP="00E72048">
            <w:pPr>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w:t>
            </w:r>
          </w:p>
        </w:tc>
        <w:tc>
          <w:tcPr>
            <w:tcW w:w="1558" w:type="dxa"/>
            <w:shd w:val="clear" w:color="auto" w:fill="auto"/>
            <w:vAlign w:val="center"/>
          </w:tcPr>
          <w:p w14:paraId="519BD984" w14:textId="3FC2BD46" w:rsidR="00E72048" w:rsidRPr="008379CA" w:rsidRDefault="00E72048" w:rsidP="00EA31BD">
            <w:pPr>
              <w:ind w:left="-114"/>
              <w:jc w:val="right"/>
              <w:rPr>
                <w:rFonts w:ascii="Bookman Old Style" w:hAnsi="Bookman Old Style" w:cs="Calibri"/>
                <w:bCs/>
                <w:sz w:val="12"/>
                <w:szCs w:val="12"/>
                <w:lang w:val="en-US"/>
              </w:rPr>
            </w:pPr>
            <w:r w:rsidRPr="008379CA">
              <w:rPr>
                <w:rFonts w:ascii="Bookman Old Style" w:hAnsi="Bookman Old Style" w:cs="Calibri"/>
                <w:b/>
                <w:bCs/>
                <w:sz w:val="12"/>
                <w:szCs w:val="12"/>
              </w:rPr>
              <w:t>-</w:t>
            </w:r>
            <w:r w:rsidR="00A954D0" w:rsidRPr="008379CA">
              <w:rPr>
                <w:rFonts w:ascii="Bookman Old Style" w:hAnsi="Bookman Old Style" w:cs="Calibri"/>
                <w:b/>
                <w:bCs/>
                <w:sz w:val="12"/>
                <w:szCs w:val="12"/>
              </w:rPr>
              <w:t xml:space="preserve"> </w:t>
            </w:r>
          </w:p>
        </w:tc>
        <w:tc>
          <w:tcPr>
            <w:tcW w:w="1559" w:type="dxa"/>
            <w:shd w:val="clear" w:color="auto" w:fill="auto"/>
            <w:vAlign w:val="center"/>
          </w:tcPr>
          <w:p w14:paraId="62F47538" w14:textId="33621359" w:rsidR="00E72048" w:rsidRPr="008379CA" w:rsidRDefault="00E72048" w:rsidP="00EA31BD">
            <w:pPr>
              <w:ind w:left="-100"/>
              <w:jc w:val="right"/>
              <w:rPr>
                <w:rFonts w:ascii="Bookman Old Style" w:hAnsi="Bookman Old Style" w:cs="Calibri"/>
                <w:bCs/>
                <w:sz w:val="12"/>
                <w:szCs w:val="12"/>
                <w:lang w:val="en-US"/>
              </w:rPr>
            </w:pPr>
            <w:r w:rsidRPr="008379CA">
              <w:rPr>
                <w:rFonts w:ascii="Bookman Old Style" w:hAnsi="Bookman Old Style" w:cs="Calibri"/>
                <w:sz w:val="12"/>
                <w:szCs w:val="12"/>
              </w:rPr>
              <w:t>775.629.164</w:t>
            </w:r>
            <w:r w:rsidR="00EA31BD" w:rsidRPr="008379CA">
              <w:rPr>
                <w:rFonts w:ascii="Bookman Old Style" w:hAnsi="Bookman Old Style" w:cs="Calibri"/>
                <w:sz w:val="12"/>
                <w:szCs w:val="12"/>
              </w:rPr>
              <w:t>,00</w:t>
            </w:r>
            <w:r w:rsidR="00A954D0" w:rsidRPr="008379CA">
              <w:rPr>
                <w:rFonts w:ascii="Bookman Old Style" w:hAnsi="Bookman Old Style" w:cs="Calibri"/>
                <w:sz w:val="12"/>
                <w:szCs w:val="12"/>
              </w:rPr>
              <w:t xml:space="preserve"> </w:t>
            </w:r>
          </w:p>
        </w:tc>
        <w:tc>
          <w:tcPr>
            <w:tcW w:w="709" w:type="dxa"/>
            <w:shd w:val="clear" w:color="auto" w:fill="auto"/>
            <w:vAlign w:val="center"/>
          </w:tcPr>
          <w:p w14:paraId="5741BE22" w14:textId="2C3E1784" w:rsidR="00E72048" w:rsidRPr="008379CA" w:rsidRDefault="00E72048" w:rsidP="00E72048">
            <w:pPr>
              <w:jc w:val="center"/>
              <w:rPr>
                <w:rFonts w:ascii="Bookman Old Style" w:hAnsi="Bookman Old Style" w:cs="Calibri"/>
                <w:bCs/>
                <w:sz w:val="12"/>
                <w:szCs w:val="12"/>
                <w:lang w:val="en-US"/>
              </w:rPr>
            </w:pPr>
            <w:r w:rsidRPr="008379CA">
              <w:rPr>
                <w:rFonts w:ascii="Bookman Old Style" w:hAnsi="Bookman Old Style" w:cs="Calibri"/>
                <w:b/>
                <w:bCs/>
                <w:sz w:val="12"/>
                <w:szCs w:val="12"/>
              </w:rPr>
              <w:t>-</w:t>
            </w:r>
          </w:p>
        </w:tc>
        <w:tc>
          <w:tcPr>
            <w:tcW w:w="1559" w:type="dxa"/>
            <w:shd w:val="clear" w:color="auto" w:fill="auto"/>
            <w:vAlign w:val="center"/>
          </w:tcPr>
          <w:p w14:paraId="1028018F" w14:textId="71DE3EE6" w:rsidR="00E72048" w:rsidRPr="008379CA" w:rsidRDefault="00E72048" w:rsidP="00EA31BD">
            <w:pPr>
              <w:ind w:left="-112"/>
              <w:jc w:val="right"/>
              <w:rPr>
                <w:rFonts w:ascii="Bookman Old Style" w:hAnsi="Bookman Old Style" w:cs="Calibri"/>
                <w:bCs/>
                <w:sz w:val="12"/>
                <w:szCs w:val="12"/>
                <w:lang w:val="en-US"/>
              </w:rPr>
            </w:pPr>
            <w:r w:rsidRPr="008379CA">
              <w:rPr>
                <w:rFonts w:ascii="Bookman Old Style" w:hAnsi="Bookman Old Style" w:cs="Calibri"/>
                <w:b/>
                <w:bCs/>
                <w:sz w:val="12"/>
                <w:szCs w:val="12"/>
              </w:rPr>
              <w:t>-</w:t>
            </w:r>
            <w:r w:rsidR="00A954D0" w:rsidRPr="008379CA">
              <w:rPr>
                <w:rFonts w:ascii="Bookman Old Style" w:hAnsi="Bookman Old Style" w:cs="Calibri"/>
                <w:b/>
                <w:bCs/>
                <w:sz w:val="12"/>
                <w:szCs w:val="12"/>
              </w:rPr>
              <w:t xml:space="preserve"> </w:t>
            </w:r>
          </w:p>
        </w:tc>
        <w:tc>
          <w:tcPr>
            <w:tcW w:w="1560" w:type="dxa"/>
            <w:shd w:val="clear" w:color="auto" w:fill="auto"/>
            <w:vAlign w:val="center"/>
          </w:tcPr>
          <w:p w14:paraId="69D0914E" w14:textId="00FE2D8A" w:rsidR="00E72048" w:rsidRPr="008379CA" w:rsidRDefault="00E72048" w:rsidP="00EA31BD">
            <w:pPr>
              <w:ind w:left="-112"/>
              <w:jc w:val="right"/>
              <w:rPr>
                <w:rFonts w:ascii="Bookman Old Style" w:hAnsi="Bookman Old Style" w:cs="Calibri"/>
                <w:bCs/>
                <w:sz w:val="12"/>
                <w:szCs w:val="12"/>
                <w:lang w:val="en-US"/>
              </w:rPr>
            </w:pPr>
            <w:r w:rsidRPr="008379CA">
              <w:rPr>
                <w:rFonts w:ascii="Bookman Old Style" w:hAnsi="Bookman Old Style" w:cs="Calibri"/>
                <w:sz w:val="12"/>
                <w:szCs w:val="12"/>
              </w:rPr>
              <w:t>74.307.281</w:t>
            </w:r>
            <w:r w:rsidR="00EA31BD" w:rsidRPr="008379CA">
              <w:rPr>
                <w:rFonts w:ascii="Bookman Old Style" w:hAnsi="Bookman Old Style" w:cs="Calibri"/>
                <w:sz w:val="12"/>
                <w:szCs w:val="12"/>
              </w:rPr>
              <w:t>,00</w:t>
            </w:r>
            <w:r w:rsidR="00A954D0" w:rsidRPr="008379CA">
              <w:rPr>
                <w:rFonts w:ascii="Bookman Old Style" w:hAnsi="Bookman Old Style" w:cs="Calibri"/>
                <w:sz w:val="12"/>
                <w:szCs w:val="12"/>
              </w:rPr>
              <w:t xml:space="preserve"> </w:t>
            </w:r>
          </w:p>
        </w:tc>
        <w:tc>
          <w:tcPr>
            <w:tcW w:w="708" w:type="dxa"/>
            <w:shd w:val="clear" w:color="auto" w:fill="auto"/>
            <w:vAlign w:val="center"/>
          </w:tcPr>
          <w:p w14:paraId="01634CAF" w14:textId="62385355" w:rsidR="00E72048" w:rsidRPr="008379CA" w:rsidRDefault="00E72048" w:rsidP="00E72048">
            <w:pPr>
              <w:jc w:val="center"/>
              <w:rPr>
                <w:rFonts w:ascii="Bookman Old Style" w:hAnsi="Bookman Old Style" w:cs="Calibri"/>
                <w:bCs/>
                <w:sz w:val="12"/>
                <w:szCs w:val="12"/>
                <w:lang w:val="en-US"/>
              </w:rPr>
            </w:pPr>
            <w:r w:rsidRPr="008379CA">
              <w:rPr>
                <w:rFonts w:ascii="Bookman Old Style" w:hAnsi="Bookman Old Style" w:cs="Calibri"/>
                <w:b/>
                <w:bCs/>
                <w:sz w:val="12"/>
                <w:szCs w:val="12"/>
              </w:rPr>
              <w:t>-</w:t>
            </w:r>
          </w:p>
        </w:tc>
        <w:tc>
          <w:tcPr>
            <w:tcW w:w="1560" w:type="dxa"/>
            <w:shd w:val="clear" w:color="auto" w:fill="auto"/>
            <w:vAlign w:val="center"/>
          </w:tcPr>
          <w:p w14:paraId="77FB8131" w14:textId="0A593DFD" w:rsidR="00E72048" w:rsidRPr="008379CA" w:rsidRDefault="00E72048" w:rsidP="00EA31BD">
            <w:pPr>
              <w:ind w:left="-110"/>
              <w:jc w:val="right"/>
              <w:rPr>
                <w:rFonts w:ascii="Bookman Old Style" w:hAnsi="Bookman Old Style" w:cs="Calibri"/>
                <w:bCs/>
                <w:sz w:val="12"/>
                <w:szCs w:val="12"/>
                <w:lang w:val="en-US"/>
              </w:rPr>
            </w:pPr>
            <w:r w:rsidRPr="008379CA">
              <w:rPr>
                <w:rFonts w:ascii="Bookman Old Style" w:hAnsi="Bookman Old Style" w:cs="Calibri"/>
                <w:b/>
                <w:bCs/>
                <w:sz w:val="12"/>
                <w:szCs w:val="12"/>
              </w:rPr>
              <w:t>-</w:t>
            </w:r>
            <w:r w:rsidR="00A954D0" w:rsidRPr="008379CA">
              <w:rPr>
                <w:rFonts w:ascii="Bookman Old Style" w:hAnsi="Bookman Old Style" w:cs="Calibri"/>
                <w:b/>
                <w:bCs/>
                <w:sz w:val="12"/>
                <w:szCs w:val="12"/>
              </w:rPr>
              <w:t xml:space="preserve"> </w:t>
            </w:r>
          </w:p>
        </w:tc>
        <w:tc>
          <w:tcPr>
            <w:tcW w:w="849" w:type="dxa"/>
            <w:shd w:val="clear" w:color="auto" w:fill="auto"/>
            <w:vAlign w:val="center"/>
          </w:tcPr>
          <w:p w14:paraId="598185E7" w14:textId="7BBC3090" w:rsidR="00E72048" w:rsidRPr="008379CA" w:rsidRDefault="00E72048" w:rsidP="00E72048">
            <w:pPr>
              <w:jc w:val="center"/>
              <w:rPr>
                <w:rFonts w:ascii="Bookman Old Style" w:hAnsi="Bookman Old Style" w:cs="Calibri"/>
                <w:bCs/>
                <w:sz w:val="12"/>
                <w:szCs w:val="12"/>
                <w:lang w:val="en-US"/>
              </w:rPr>
            </w:pPr>
            <w:r w:rsidRPr="008379CA">
              <w:rPr>
                <w:rFonts w:ascii="Bookman Old Style" w:hAnsi="Bookman Old Style" w:cs="Calibri"/>
                <w:b/>
                <w:bCs/>
                <w:sz w:val="12"/>
                <w:szCs w:val="12"/>
              </w:rPr>
              <w:t>-</w:t>
            </w:r>
          </w:p>
        </w:tc>
        <w:tc>
          <w:tcPr>
            <w:tcW w:w="850" w:type="dxa"/>
            <w:shd w:val="clear" w:color="auto" w:fill="auto"/>
            <w:vAlign w:val="center"/>
          </w:tcPr>
          <w:p w14:paraId="58FACED3" w14:textId="7190613F" w:rsidR="00E72048" w:rsidRPr="008379CA" w:rsidRDefault="00E72048" w:rsidP="00E72048">
            <w:pPr>
              <w:jc w:val="center"/>
              <w:rPr>
                <w:rFonts w:ascii="Bookman Old Style" w:hAnsi="Bookman Old Style" w:cs="Calibri"/>
                <w:bCs/>
                <w:sz w:val="12"/>
                <w:szCs w:val="12"/>
                <w:lang w:val="en-US"/>
              </w:rPr>
            </w:pPr>
            <w:r w:rsidRPr="008379CA">
              <w:rPr>
                <w:rFonts w:ascii="Bookman Old Style" w:hAnsi="Bookman Old Style" w:cs="Calibri"/>
                <w:b/>
                <w:bCs/>
                <w:sz w:val="12"/>
                <w:szCs w:val="12"/>
              </w:rPr>
              <w:t>-</w:t>
            </w:r>
          </w:p>
        </w:tc>
        <w:tc>
          <w:tcPr>
            <w:tcW w:w="992" w:type="dxa"/>
            <w:shd w:val="clear" w:color="auto" w:fill="auto"/>
            <w:vAlign w:val="center"/>
          </w:tcPr>
          <w:p w14:paraId="28DD6D24" w14:textId="6208CC98" w:rsidR="00E72048" w:rsidRPr="008379CA" w:rsidRDefault="00E72048" w:rsidP="00E72048">
            <w:pPr>
              <w:jc w:val="center"/>
              <w:rPr>
                <w:rFonts w:ascii="Bookman Old Style" w:hAnsi="Bookman Old Style" w:cs="Calibri"/>
                <w:bCs/>
                <w:sz w:val="12"/>
                <w:szCs w:val="12"/>
                <w:lang w:val="en-US"/>
              </w:rPr>
            </w:pPr>
            <w:r w:rsidRPr="008379CA">
              <w:rPr>
                <w:rFonts w:ascii="Bookman Old Style" w:hAnsi="Bookman Old Style" w:cs="Calibri"/>
                <w:b/>
                <w:bCs/>
                <w:sz w:val="12"/>
                <w:szCs w:val="12"/>
              </w:rPr>
              <w:t>-</w:t>
            </w:r>
          </w:p>
        </w:tc>
        <w:tc>
          <w:tcPr>
            <w:tcW w:w="709" w:type="dxa"/>
            <w:shd w:val="clear" w:color="auto" w:fill="auto"/>
            <w:noWrap/>
            <w:vAlign w:val="center"/>
          </w:tcPr>
          <w:p w14:paraId="51B0B48D" w14:textId="3AC7A44A" w:rsidR="00E72048" w:rsidRPr="008379CA" w:rsidRDefault="00E72048" w:rsidP="00E72048">
            <w:pPr>
              <w:jc w:val="center"/>
              <w:rPr>
                <w:rFonts w:ascii="Bookman Old Style" w:hAnsi="Bookman Old Style" w:cs="Calibri"/>
                <w:bCs/>
                <w:sz w:val="12"/>
                <w:szCs w:val="12"/>
                <w:lang w:val="en-US"/>
              </w:rPr>
            </w:pPr>
            <w:r w:rsidRPr="008379CA">
              <w:rPr>
                <w:rFonts w:ascii="Bookman Old Style" w:hAnsi="Bookman Old Style" w:cs="Calibri"/>
                <w:b/>
                <w:bCs/>
                <w:sz w:val="12"/>
                <w:szCs w:val="12"/>
              </w:rPr>
              <w:t>-</w:t>
            </w:r>
          </w:p>
        </w:tc>
      </w:tr>
    </w:tbl>
    <w:p w14:paraId="343D6948" w14:textId="4A5E15D7" w:rsidR="00675A89" w:rsidRPr="008379CA" w:rsidRDefault="00675A89" w:rsidP="00651192">
      <w:pPr>
        <w:snapToGrid w:val="0"/>
        <w:spacing w:before="120" w:line="276" w:lineRule="auto"/>
        <w:ind w:left="-284"/>
        <w:rPr>
          <w:rFonts w:ascii="Bookman Old Style" w:hAnsi="Bookman Old Style"/>
          <w:sz w:val="18"/>
          <w:szCs w:val="18"/>
          <w:lang w:val="id-ID"/>
        </w:rPr>
        <w:sectPr w:rsidR="00675A89" w:rsidRPr="008379CA" w:rsidSect="003F64EB">
          <w:pgSz w:w="18722" w:h="12242" w:orient="landscape" w:code="142"/>
          <w:pgMar w:top="1701" w:right="1701" w:bottom="1701" w:left="1701" w:header="680" w:footer="720" w:gutter="0"/>
          <w:pgNumType w:fmt="numberInDash" w:chapStyle="1"/>
          <w:cols w:space="720"/>
          <w:docGrid w:linePitch="360"/>
        </w:sectPr>
      </w:pPr>
      <w:r w:rsidRPr="008379CA">
        <w:rPr>
          <w:rFonts w:ascii="Bookman Old Style" w:hAnsi="Bookman Old Style"/>
          <w:i/>
          <w:iCs/>
          <w:sz w:val="18"/>
          <w:szCs w:val="18"/>
          <w:lang w:val="sv-FI"/>
        </w:rPr>
        <w:t>*)</w:t>
      </w:r>
      <w:r w:rsidR="00A954D0" w:rsidRPr="008379CA">
        <w:rPr>
          <w:rFonts w:ascii="Bookman Old Style" w:hAnsi="Bookman Old Style"/>
          <w:i/>
          <w:iCs/>
          <w:sz w:val="18"/>
          <w:szCs w:val="18"/>
          <w:lang w:val="sv-FI"/>
        </w:rPr>
        <w:t xml:space="preserve"> </w:t>
      </w:r>
      <w:r w:rsidRPr="008379CA">
        <w:rPr>
          <w:rFonts w:ascii="Bookman Old Style" w:hAnsi="Bookman Old Style"/>
          <w:i/>
          <w:iCs/>
          <w:sz w:val="18"/>
          <w:szCs w:val="18"/>
          <w:lang w:val="sv-FI"/>
        </w:rPr>
        <w:t>Anggaran</w:t>
      </w:r>
      <w:r w:rsidR="00A954D0" w:rsidRPr="008379CA">
        <w:rPr>
          <w:rFonts w:ascii="Bookman Old Style" w:hAnsi="Bookman Old Style"/>
          <w:i/>
          <w:iCs/>
          <w:sz w:val="18"/>
          <w:szCs w:val="18"/>
          <w:lang w:val="sv-FI"/>
        </w:rPr>
        <w:t xml:space="preserve"> </w:t>
      </w:r>
      <w:r w:rsidRPr="008379CA">
        <w:rPr>
          <w:rFonts w:ascii="Bookman Old Style" w:hAnsi="Bookman Old Style"/>
          <w:i/>
          <w:iCs/>
          <w:sz w:val="18"/>
          <w:szCs w:val="18"/>
          <w:lang w:val="sv-FI"/>
        </w:rPr>
        <w:t>dan</w:t>
      </w:r>
      <w:r w:rsidR="00A954D0" w:rsidRPr="008379CA">
        <w:rPr>
          <w:rFonts w:ascii="Bookman Old Style" w:hAnsi="Bookman Old Style"/>
          <w:i/>
          <w:iCs/>
          <w:sz w:val="18"/>
          <w:szCs w:val="18"/>
          <w:lang w:val="sv-FI"/>
        </w:rPr>
        <w:t xml:space="preserve"> </w:t>
      </w:r>
      <w:r w:rsidRPr="008379CA">
        <w:rPr>
          <w:rFonts w:ascii="Bookman Old Style" w:hAnsi="Bookman Old Style"/>
          <w:i/>
          <w:iCs/>
          <w:sz w:val="18"/>
          <w:szCs w:val="18"/>
          <w:lang w:val="sv-FI"/>
        </w:rPr>
        <w:t>Realisasi</w:t>
      </w:r>
      <w:r w:rsidR="00A954D0" w:rsidRPr="008379CA">
        <w:rPr>
          <w:rFonts w:ascii="Bookman Old Style" w:hAnsi="Bookman Old Style"/>
          <w:i/>
          <w:iCs/>
          <w:sz w:val="18"/>
          <w:szCs w:val="18"/>
          <w:lang w:val="sv-FI"/>
        </w:rPr>
        <w:t xml:space="preserve"> </w:t>
      </w:r>
      <w:r w:rsidRPr="008379CA">
        <w:rPr>
          <w:rFonts w:ascii="Bookman Old Style" w:hAnsi="Bookman Old Style"/>
          <w:i/>
          <w:iCs/>
          <w:sz w:val="18"/>
          <w:szCs w:val="18"/>
          <w:lang w:val="sv-FI"/>
        </w:rPr>
        <w:t>Tahun</w:t>
      </w:r>
      <w:r w:rsidR="00A954D0" w:rsidRPr="008379CA">
        <w:rPr>
          <w:rFonts w:ascii="Bookman Old Style" w:hAnsi="Bookman Old Style"/>
          <w:i/>
          <w:iCs/>
          <w:sz w:val="18"/>
          <w:szCs w:val="18"/>
          <w:lang w:val="sv-FI"/>
        </w:rPr>
        <w:t xml:space="preserve"> </w:t>
      </w:r>
      <w:r w:rsidRPr="008379CA">
        <w:rPr>
          <w:rFonts w:ascii="Bookman Old Style" w:hAnsi="Bookman Old Style"/>
          <w:i/>
          <w:iCs/>
          <w:sz w:val="18"/>
          <w:szCs w:val="18"/>
          <w:lang w:val="sv-FI"/>
        </w:rPr>
        <w:t>2024</w:t>
      </w:r>
      <w:r w:rsidR="00A954D0" w:rsidRPr="008379CA">
        <w:rPr>
          <w:rFonts w:ascii="Bookman Old Style" w:hAnsi="Bookman Old Style"/>
          <w:i/>
          <w:iCs/>
          <w:sz w:val="18"/>
          <w:szCs w:val="18"/>
          <w:lang w:val="sv-FI"/>
        </w:rPr>
        <w:t xml:space="preserve"> </w:t>
      </w:r>
      <w:r w:rsidRPr="008379CA">
        <w:rPr>
          <w:rFonts w:ascii="Bookman Old Style" w:hAnsi="Bookman Old Style"/>
          <w:i/>
          <w:iCs/>
          <w:sz w:val="18"/>
          <w:szCs w:val="18"/>
          <w:lang w:val="sv-FI"/>
        </w:rPr>
        <w:t>berdasarkan</w:t>
      </w:r>
      <w:r w:rsidR="00A954D0" w:rsidRPr="008379CA">
        <w:rPr>
          <w:rFonts w:ascii="Bookman Old Style" w:hAnsi="Bookman Old Style"/>
          <w:i/>
          <w:iCs/>
          <w:sz w:val="18"/>
          <w:szCs w:val="18"/>
          <w:lang w:val="sv-FI"/>
        </w:rPr>
        <w:t xml:space="preserve"> </w:t>
      </w:r>
      <w:r w:rsidRPr="008379CA">
        <w:rPr>
          <w:rFonts w:ascii="Bookman Old Style" w:hAnsi="Bookman Old Style"/>
          <w:i/>
          <w:iCs/>
          <w:sz w:val="18"/>
          <w:szCs w:val="18"/>
          <w:lang w:val="sv-FI"/>
        </w:rPr>
        <w:t>Laporan</w:t>
      </w:r>
      <w:r w:rsidR="00A954D0" w:rsidRPr="008379CA">
        <w:rPr>
          <w:rFonts w:ascii="Bookman Old Style" w:hAnsi="Bookman Old Style"/>
          <w:i/>
          <w:iCs/>
          <w:sz w:val="18"/>
          <w:szCs w:val="18"/>
          <w:lang w:val="sv-FI"/>
        </w:rPr>
        <w:t xml:space="preserve"> </w:t>
      </w:r>
      <w:r w:rsidRPr="008379CA">
        <w:rPr>
          <w:rFonts w:ascii="Bookman Old Style" w:hAnsi="Bookman Old Style"/>
          <w:i/>
          <w:iCs/>
          <w:sz w:val="18"/>
          <w:szCs w:val="18"/>
          <w:lang w:val="sv-FI"/>
        </w:rPr>
        <w:t>Realisasi</w:t>
      </w:r>
      <w:r w:rsidR="00A954D0" w:rsidRPr="008379CA">
        <w:rPr>
          <w:rFonts w:ascii="Bookman Old Style" w:hAnsi="Bookman Old Style"/>
          <w:i/>
          <w:iCs/>
          <w:sz w:val="18"/>
          <w:szCs w:val="18"/>
          <w:lang w:val="sv-FI"/>
        </w:rPr>
        <w:t xml:space="preserve"> </w:t>
      </w:r>
      <w:r w:rsidRPr="008379CA">
        <w:rPr>
          <w:rFonts w:ascii="Bookman Old Style" w:hAnsi="Bookman Old Style"/>
          <w:i/>
          <w:iCs/>
          <w:sz w:val="18"/>
          <w:szCs w:val="18"/>
          <w:lang w:val="sv-FI"/>
        </w:rPr>
        <w:t>Anggaran</w:t>
      </w:r>
      <w:r w:rsidR="00A954D0" w:rsidRPr="008379CA">
        <w:rPr>
          <w:rFonts w:ascii="Bookman Old Style" w:hAnsi="Bookman Old Style"/>
          <w:i/>
          <w:iCs/>
          <w:sz w:val="18"/>
          <w:szCs w:val="18"/>
          <w:lang w:val="sv-FI"/>
        </w:rPr>
        <w:t xml:space="preserve"> </w:t>
      </w:r>
      <w:r w:rsidRPr="008379CA">
        <w:rPr>
          <w:rFonts w:ascii="Bookman Old Style" w:hAnsi="Bookman Old Style"/>
          <w:i/>
          <w:iCs/>
          <w:sz w:val="18"/>
          <w:szCs w:val="18"/>
          <w:lang w:val="sv-FI"/>
        </w:rPr>
        <w:t>s.d.</w:t>
      </w:r>
      <w:r w:rsidR="00A954D0" w:rsidRPr="008379CA">
        <w:rPr>
          <w:rFonts w:ascii="Bookman Old Style" w:hAnsi="Bookman Old Style"/>
          <w:i/>
          <w:iCs/>
          <w:sz w:val="18"/>
          <w:szCs w:val="18"/>
          <w:lang w:val="sv-FI"/>
        </w:rPr>
        <w:t xml:space="preserve"> </w:t>
      </w:r>
      <w:r w:rsidR="00F96943" w:rsidRPr="008379CA">
        <w:rPr>
          <w:rFonts w:ascii="Bookman Old Style" w:hAnsi="Bookman Old Style"/>
          <w:i/>
          <w:iCs/>
          <w:sz w:val="18"/>
          <w:szCs w:val="18"/>
          <w:lang w:val="sv-FI"/>
        </w:rPr>
        <w:t>31</w:t>
      </w:r>
      <w:r w:rsidR="00A954D0" w:rsidRPr="008379CA">
        <w:rPr>
          <w:rFonts w:ascii="Bookman Old Style" w:hAnsi="Bookman Old Style"/>
          <w:i/>
          <w:iCs/>
          <w:sz w:val="18"/>
          <w:szCs w:val="18"/>
          <w:lang w:val="sv-FI"/>
        </w:rPr>
        <w:t xml:space="preserve"> </w:t>
      </w:r>
      <w:r w:rsidRPr="008379CA">
        <w:rPr>
          <w:rFonts w:ascii="Bookman Old Style" w:hAnsi="Bookman Old Style"/>
          <w:i/>
          <w:iCs/>
          <w:sz w:val="18"/>
          <w:szCs w:val="18"/>
          <w:lang w:val="sv-FI"/>
        </w:rPr>
        <w:t>Oktober</w:t>
      </w:r>
      <w:r w:rsidR="00A954D0" w:rsidRPr="008379CA">
        <w:rPr>
          <w:rFonts w:ascii="Bookman Old Style" w:hAnsi="Bookman Old Style"/>
          <w:i/>
          <w:iCs/>
          <w:sz w:val="18"/>
          <w:szCs w:val="18"/>
          <w:lang w:val="sv-FI"/>
        </w:rPr>
        <w:t xml:space="preserve"> </w:t>
      </w:r>
      <w:r w:rsidRPr="008379CA">
        <w:rPr>
          <w:rFonts w:ascii="Bookman Old Style" w:hAnsi="Bookman Old Style"/>
          <w:i/>
          <w:iCs/>
          <w:sz w:val="18"/>
          <w:szCs w:val="18"/>
          <w:lang w:val="sv-FI"/>
        </w:rPr>
        <w:t>2024</w:t>
      </w:r>
    </w:p>
    <w:p w14:paraId="7A96774B" w14:textId="1C9649C7" w:rsidR="00B9305E" w:rsidRPr="008379CA" w:rsidRDefault="00B9305E" w:rsidP="00727324">
      <w:pPr>
        <w:pStyle w:val="ListParagraph"/>
        <w:snapToGrid w:val="0"/>
        <w:spacing w:before="60" w:after="0" w:line="276" w:lineRule="auto"/>
        <w:ind w:left="1287"/>
        <w:contextualSpacing w:val="0"/>
        <w:jc w:val="both"/>
        <w:rPr>
          <w:rFonts w:ascii="Bookman Old Style" w:hAnsi="Bookman Old Style" w:cs="Arial"/>
          <w:sz w:val="24"/>
          <w:szCs w:val="24"/>
          <w:lang w:val="id-ID"/>
        </w:rPr>
      </w:pPr>
      <w:r w:rsidRPr="008379CA">
        <w:rPr>
          <w:rFonts w:ascii="Bookman Old Style" w:hAnsi="Bookman Old Style"/>
          <w:sz w:val="24"/>
          <w:szCs w:val="24"/>
          <w:lang w:val="fi-FI"/>
        </w:rPr>
        <w:lastRenderedPageBreak/>
        <w:t>Berdasarkan</w:t>
      </w:r>
      <w:r w:rsidR="00A954D0" w:rsidRPr="008379CA">
        <w:rPr>
          <w:rFonts w:ascii="Bookman Old Style" w:hAnsi="Bookman Old Style" w:cs="Arial"/>
          <w:sz w:val="24"/>
          <w:szCs w:val="24"/>
          <w:lang w:val="id-ID"/>
        </w:rPr>
        <w:t xml:space="preserve"> </w:t>
      </w:r>
      <w:r w:rsidRPr="008379CA">
        <w:rPr>
          <w:rFonts w:ascii="Bookman Old Style" w:hAnsi="Bookman Old Style"/>
          <w:sz w:val="24"/>
          <w:szCs w:val="24"/>
          <w:lang w:val="fi-FI"/>
        </w:rPr>
        <w:t>tabel</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diatas,</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tren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target</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pendapatan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daerah</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Pemerintah</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Daerah</w:t>
      </w:r>
      <w:r w:rsidR="00A954D0" w:rsidRPr="008379CA">
        <w:rPr>
          <w:rFonts w:ascii="Bookman Old Style" w:hAnsi="Bookman Old Style"/>
          <w:sz w:val="24"/>
          <w:szCs w:val="24"/>
          <w:lang w:val="fi-FI"/>
        </w:rPr>
        <w:t xml:space="preserve"> </w:t>
      </w:r>
      <w:r w:rsidR="00B055C5"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00770F22"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00007FB1" w:rsidRPr="008379CA">
        <w:rPr>
          <w:rFonts w:ascii="Bookman Old Style" w:hAnsi="Bookman Old Style"/>
          <w:sz w:val="24"/>
          <w:szCs w:val="24"/>
          <w:lang w:val="fi-FI"/>
        </w:rPr>
        <w:t>rata-rata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sebesar</w:t>
      </w:r>
      <w:r w:rsidR="00A954D0" w:rsidRPr="008379CA">
        <w:rPr>
          <w:rFonts w:ascii="Bookman Old Style" w:hAnsi="Bookman Old Style"/>
          <w:sz w:val="24"/>
          <w:szCs w:val="24"/>
          <w:lang w:val="fi-FI"/>
        </w:rPr>
        <w:t xml:space="preserve"> </w:t>
      </w:r>
      <w:r w:rsidR="00B1236B" w:rsidRPr="008379CA">
        <w:rPr>
          <w:rFonts w:ascii="Bookman Old Style" w:hAnsi="Bookman Old Style"/>
          <w:sz w:val="24"/>
          <w:szCs w:val="24"/>
          <w:lang w:val="fi-FI"/>
        </w:rPr>
        <w:t>7</w:t>
      </w:r>
      <w:r w:rsidR="0008577B" w:rsidRPr="008379CA">
        <w:rPr>
          <w:rFonts w:ascii="Bookman Old Style" w:hAnsi="Bookman Old Style"/>
          <w:sz w:val="24"/>
          <w:szCs w:val="24"/>
          <w:lang w:val="fi-FI"/>
        </w:rPr>
        <w:t>,</w:t>
      </w:r>
      <w:r w:rsidR="00B1236B" w:rsidRPr="008379CA">
        <w:rPr>
          <w:rFonts w:ascii="Bookman Old Style" w:hAnsi="Bookman Old Style"/>
          <w:sz w:val="24"/>
          <w:szCs w:val="24"/>
          <w:lang w:val="fi-FI"/>
        </w:rPr>
        <w:t>70</w:t>
      </w:r>
      <w:r w:rsidRPr="008379CA">
        <w:rPr>
          <w:rFonts w:ascii="Bookman Old Style" w:hAnsi="Bookman Old Style"/>
          <w:sz w:val="24"/>
          <w:szCs w:val="24"/>
          <w:lang w:val="fi-FI"/>
        </w:rPr>
        <w:t>%</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dari</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Tahun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Anggaran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2022</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sampai</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dengan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Tahun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Anggaran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2025.</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Untuk</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itu,</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Pemerintah</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Daerah</w:t>
      </w:r>
      <w:r w:rsidR="00A954D0" w:rsidRPr="008379CA">
        <w:rPr>
          <w:rFonts w:ascii="Bookman Old Style" w:hAnsi="Bookman Old Style"/>
          <w:sz w:val="24"/>
          <w:szCs w:val="24"/>
          <w:lang w:val="fi-FI"/>
        </w:rPr>
        <w:t xml:space="preserve"> </w:t>
      </w:r>
      <w:r w:rsidR="00B055C5"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00770F22"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harus</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melakukan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langkah-langkah</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antara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lain:</w:t>
      </w:r>
    </w:p>
    <w:p w14:paraId="796B5F45" w14:textId="1D5638D5" w:rsidR="00B9305E" w:rsidRPr="008379CA" w:rsidRDefault="00B9305E" w:rsidP="00274102">
      <w:pPr>
        <w:pStyle w:val="ListParagraph"/>
        <w:numPr>
          <w:ilvl w:val="1"/>
          <w:numId w:val="30"/>
        </w:numPr>
        <w:spacing w:before="60" w:after="0" w:line="276" w:lineRule="auto"/>
        <w:ind w:left="1701" w:hanging="425"/>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Peningkatan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Pengelolaan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Pajak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Daerah</w:t>
      </w:r>
    </w:p>
    <w:p w14:paraId="2732D0FB" w14:textId="141B6CD4" w:rsidR="00B9305E" w:rsidRPr="008379CA" w:rsidRDefault="00B9305E" w:rsidP="00727324">
      <w:pPr>
        <w:pStyle w:val="ListParagraph"/>
        <w:spacing w:before="60" w:after="0" w:line="276" w:lineRule="auto"/>
        <w:ind w:left="1701"/>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Pemerintah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Daerah</w:t>
      </w:r>
      <w:r w:rsidR="00A954D0" w:rsidRPr="008379CA">
        <w:rPr>
          <w:rFonts w:ascii="Bookman Old Style" w:hAnsi="Bookman Old Style" w:cs="Arial"/>
          <w:sz w:val="24"/>
          <w:szCs w:val="24"/>
          <w:lang w:val="id-ID"/>
        </w:rPr>
        <w:t xml:space="preserve"> </w:t>
      </w:r>
      <w:r w:rsidR="00B055C5"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00770F22"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cs="Arial"/>
          <w:sz w:val="24"/>
          <w:szCs w:val="24"/>
          <w:lang w:val="id-ID"/>
        </w:rPr>
        <w:t>dapat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melakukan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sosialisasi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edukasi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kepada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masyarakat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tentang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kewajiban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pajak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serta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meningkatkan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sistem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pemungutan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pajak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untuk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meminimalkan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kebocoran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peningkatan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kepatuhan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pembayaran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pajak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oleh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masyarakat.</w:t>
      </w:r>
    </w:p>
    <w:p w14:paraId="6387EAD9" w14:textId="3D4C1D95" w:rsidR="00B9305E" w:rsidRPr="008379CA" w:rsidRDefault="00B9305E" w:rsidP="00274102">
      <w:pPr>
        <w:pStyle w:val="ListParagraph"/>
        <w:numPr>
          <w:ilvl w:val="1"/>
          <w:numId w:val="30"/>
        </w:numPr>
        <w:spacing w:before="60" w:after="0" w:line="276" w:lineRule="auto"/>
        <w:ind w:left="1701" w:hanging="425"/>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Optimalisasi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Pendapatan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Asli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Daerah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(PAD)</w:t>
      </w:r>
    </w:p>
    <w:p w14:paraId="7049737A" w14:textId="26813C16" w:rsidR="00B9305E" w:rsidRPr="008379CA" w:rsidRDefault="00B9305E" w:rsidP="00727324">
      <w:pPr>
        <w:pStyle w:val="ListParagraph"/>
        <w:spacing w:before="60" w:after="0" w:line="276" w:lineRule="auto"/>
        <w:ind w:left="1701"/>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Menggali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potensi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sumber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daya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alam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sektor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ekonomi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lokal,</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seperti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pariwisata,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pertanian,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perikanan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serta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peningkatan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layanan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publik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yang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sifatnya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berbayar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sebagai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salah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satu</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upaya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dalam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peningkatan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penerimaan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bagi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Pemerintah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Daerah</w:t>
      </w:r>
      <w:r w:rsidR="00A954D0" w:rsidRPr="008379CA">
        <w:rPr>
          <w:rFonts w:ascii="Bookman Old Style" w:hAnsi="Bookman Old Style" w:cs="Arial"/>
          <w:sz w:val="24"/>
          <w:szCs w:val="24"/>
          <w:lang w:val="id-ID"/>
        </w:rPr>
        <w:t xml:space="preserve"> </w:t>
      </w:r>
      <w:r w:rsidR="00B055C5"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00770F22"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cs="Arial"/>
          <w:sz w:val="24"/>
          <w:szCs w:val="24"/>
          <w:lang w:val="id-ID"/>
        </w:rPr>
        <w:t>yang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bersumber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retribusi.</w:t>
      </w:r>
    </w:p>
    <w:p w14:paraId="4CDFF7B2" w14:textId="397281EC" w:rsidR="00B9305E" w:rsidRPr="008379CA" w:rsidRDefault="00B9305E" w:rsidP="00274102">
      <w:pPr>
        <w:pStyle w:val="ListParagraph"/>
        <w:numPr>
          <w:ilvl w:val="1"/>
          <w:numId w:val="30"/>
        </w:numPr>
        <w:spacing w:before="60" w:after="0" w:line="276" w:lineRule="auto"/>
        <w:ind w:left="1701" w:hanging="425"/>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Pengembangan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Infrastruktur</w:t>
      </w:r>
    </w:p>
    <w:p w14:paraId="472E428D" w14:textId="22672D07" w:rsidR="00B9305E" w:rsidRPr="008379CA" w:rsidRDefault="00B9305E" w:rsidP="00727324">
      <w:pPr>
        <w:pStyle w:val="ListParagraph"/>
        <w:spacing w:before="60" w:after="0" w:line="276" w:lineRule="auto"/>
        <w:ind w:left="1701"/>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Membangun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memperbaiki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infrastruktur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dalam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rangka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mendukung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pertumbuhan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ekonomi,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seperti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jalan,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transportasi,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fasilitas</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umum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serta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meningkatkan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aksesibilitas</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daerah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untuk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menarik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investor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wisatawan.</w:t>
      </w:r>
    </w:p>
    <w:p w14:paraId="54BC01B9" w14:textId="3C6CA6AC" w:rsidR="00B9305E" w:rsidRPr="008379CA" w:rsidRDefault="00B9305E" w:rsidP="00274102">
      <w:pPr>
        <w:pStyle w:val="ListParagraph"/>
        <w:numPr>
          <w:ilvl w:val="1"/>
          <w:numId w:val="30"/>
        </w:numPr>
        <w:spacing w:before="60" w:after="0" w:line="276" w:lineRule="auto"/>
        <w:ind w:left="1701" w:hanging="425"/>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Kerjasama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Kemitraan</w:t>
      </w:r>
    </w:p>
    <w:p w14:paraId="4B9B02A1" w14:textId="2CE934C9" w:rsidR="00B9305E" w:rsidRPr="008379CA" w:rsidRDefault="00B9305E" w:rsidP="00727324">
      <w:pPr>
        <w:pStyle w:val="ListParagraph"/>
        <w:spacing w:before="60" w:after="0" w:line="276" w:lineRule="auto"/>
        <w:ind w:left="1701"/>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Menjalin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kemitraan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dengan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sektor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swasta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untuk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investasi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dalam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proyek-proyek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pembangunan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juga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menggali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potensi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kerja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sama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dengan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pemerintah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pusat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atau</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pemerintah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daerah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lain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untuk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berbagi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sumber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daya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pengetahuan.</w:t>
      </w:r>
    </w:p>
    <w:p w14:paraId="14C0ADF6" w14:textId="0F72B000" w:rsidR="00B9305E" w:rsidRPr="008379CA" w:rsidRDefault="00B9305E" w:rsidP="00274102">
      <w:pPr>
        <w:pStyle w:val="ListParagraph"/>
        <w:numPr>
          <w:ilvl w:val="1"/>
          <w:numId w:val="30"/>
        </w:numPr>
        <w:spacing w:before="60" w:after="0" w:line="276" w:lineRule="auto"/>
        <w:ind w:left="1701" w:hanging="425"/>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Inovasi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Digitalisasi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sebagai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bentuk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Pemasaran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Potensi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Daerah</w:t>
      </w:r>
    </w:p>
    <w:p w14:paraId="3EDE772E" w14:textId="12FD744B" w:rsidR="00B9305E" w:rsidRPr="008379CA" w:rsidRDefault="00B9305E" w:rsidP="00727324">
      <w:pPr>
        <w:pStyle w:val="ListParagraph"/>
        <w:spacing w:before="60" w:after="0" w:line="276" w:lineRule="auto"/>
        <w:ind w:left="1701"/>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Menerapkan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teknologi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informasi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untuk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mempermudah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proses</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administrasi,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termasuk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perpajakan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perizinan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serta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membangun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atau</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menyiapkan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platform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digital</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untuk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mempromosikan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keunggulan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daerah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potensi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daerah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serta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mengikuti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pameran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kegiatan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promosi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yang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bertujuan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untuk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menarik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investor.</w:t>
      </w:r>
    </w:p>
    <w:p w14:paraId="778EFE1E" w14:textId="6D151EF6" w:rsidR="00B9305E" w:rsidRPr="008379CA" w:rsidRDefault="00B9305E" w:rsidP="00274102">
      <w:pPr>
        <w:pStyle w:val="ListParagraph"/>
        <w:numPr>
          <w:ilvl w:val="1"/>
          <w:numId w:val="30"/>
        </w:numPr>
        <w:spacing w:before="60" w:after="0" w:line="276" w:lineRule="auto"/>
        <w:ind w:left="1701" w:hanging="425"/>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Peningkatan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Kualitas</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Sumber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Daya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Manusia</w:t>
      </w:r>
    </w:p>
    <w:p w14:paraId="43B7C001" w14:textId="01151509" w:rsidR="00B9305E" w:rsidRPr="008379CA" w:rsidRDefault="00B9305E" w:rsidP="00727324">
      <w:pPr>
        <w:pStyle w:val="ListParagraph"/>
        <w:spacing w:before="60" w:after="0" w:line="276" w:lineRule="auto"/>
        <w:ind w:left="1701"/>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Menyediakan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pelatihan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pendidikan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untuk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meningkatkan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keterampilan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tenaga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kerja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lokal</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serta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mendorong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kewirausahaan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pengembangan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Usaha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Mikro,</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Kecil,</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Menengah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(UMKM).</w:t>
      </w:r>
    </w:p>
    <w:p w14:paraId="3E822CBC" w14:textId="4F0D9244" w:rsidR="00BD5991" w:rsidRPr="008379CA" w:rsidRDefault="00BD5991">
      <w:pPr>
        <w:rPr>
          <w:rFonts w:ascii="Bookman Old Style" w:hAnsi="Bookman Old Style" w:cs="Arial"/>
          <w:lang w:val="id-ID" w:eastAsia="x-none"/>
        </w:rPr>
      </w:pPr>
      <w:r w:rsidRPr="008379CA">
        <w:rPr>
          <w:rFonts w:ascii="Bookman Old Style" w:hAnsi="Bookman Old Style" w:cs="Arial"/>
          <w:lang w:val="id-ID"/>
        </w:rPr>
        <w:br w:type="page"/>
      </w:r>
    </w:p>
    <w:p w14:paraId="7B4DD0FC" w14:textId="0F6EC85A" w:rsidR="00B9305E" w:rsidRPr="008379CA" w:rsidRDefault="00B9305E" w:rsidP="00274102">
      <w:pPr>
        <w:pStyle w:val="ListParagraph"/>
        <w:numPr>
          <w:ilvl w:val="1"/>
          <w:numId w:val="30"/>
        </w:numPr>
        <w:spacing w:before="60" w:after="0" w:line="276" w:lineRule="auto"/>
        <w:ind w:left="1701" w:hanging="425"/>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lastRenderedPageBreak/>
        <w:t>Pengawasan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Akuntabilitas</w:t>
      </w:r>
    </w:p>
    <w:p w14:paraId="738599DA" w14:textId="41E6DB20" w:rsidR="006F7B6E" w:rsidRPr="008379CA" w:rsidRDefault="00B9305E" w:rsidP="00727324">
      <w:pPr>
        <w:pStyle w:val="ListParagraph"/>
        <w:spacing w:before="60" w:after="0" w:line="276" w:lineRule="auto"/>
        <w:ind w:left="1701"/>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Meningkatkan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transparansi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dalam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pengelolaan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keuangan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daerah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untuk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membangun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kepercayaan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masyarakat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menerapkan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sistem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audit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yang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efektif</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untuk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memastikan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penggunaan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yang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efektif,</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efisien,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transparan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akuntabel.</w:t>
      </w:r>
    </w:p>
    <w:p w14:paraId="7FE4BB80" w14:textId="1FC32441" w:rsidR="00B9305E" w:rsidRPr="008379CA" w:rsidRDefault="00B9305E" w:rsidP="00274102">
      <w:pPr>
        <w:pStyle w:val="ListParagraph"/>
        <w:numPr>
          <w:ilvl w:val="0"/>
          <w:numId w:val="117"/>
        </w:numPr>
        <w:spacing w:before="120" w:after="0" w:line="276" w:lineRule="auto"/>
        <w:ind w:left="1281" w:hanging="288"/>
        <w:contextualSpacing w:val="0"/>
        <w:jc w:val="both"/>
        <w:rPr>
          <w:rFonts w:ascii="Bookman Old Style" w:hAnsi="Bookman Old Style" w:cs="Arial"/>
          <w:sz w:val="24"/>
          <w:szCs w:val="24"/>
          <w:lang w:val="id-ID"/>
        </w:rPr>
      </w:pPr>
      <w:r w:rsidRPr="008379CA">
        <w:rPr>
          <w:rFonts w:ascii="Bookman Old Style" w:hAnsi="Bookman Old Style"/>
          <w:sz w:val="24"/>
          <w:szCs w:val="24"/>
          <w:lang w:val="it-IT"/>
        </w:rPr>
        <w:t>Belanja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Daerah</w:t>
      </w:r>
    </w:p>
    <w:p w14:paraId="3500A617" w14:textId="0A235459" w:rsidR="00B9305E" w:rsidRPr="008379CA" w:rsidRDefault="00B9305E" w:rsidP="00727324">
      <w:pPr>
        <w:pStyle w:val="ListParagraph"/>
        <w:spacing w:before="60" w:after="0" w:line="276" w:lineRule="auto"/>
        <w:ind w:left="1287"/>
        <w:contextualSpacing w:val="0"/>
        <w:jc w:val="both"/>
        <w:rPr>
          <w:rFonts w:ascii="Bookman Old Style" w:hAnsi="Bookman Old Style"/>
          <w:sz w:val="24"/>
          <w:szCs w:val="24"/>
        </w:rPr>
      </w:pPr>
      <w:r w:rsidRPr="008379CA">
        <w:rPr>
          <w:rFonts w:ascii="Bookman Old Style" w:hAnsi="Bookman Old Style"/>
          <w:sz w:val="24"/>
          <w:szCs w:val="24"/>
        </w:rPr>
        <w:t>Belanja</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merupakan</w:t>
      </w:r>
      <w:r w:rsidR="00A954D0" w:rsidRPr="008379CA">
        <w:rPr>
          <w:rFonts w:ascii="Bookman Old Style" w:hAnsi="Bookman Old Style"/>
          <w:sz w:val="24"/>
          <w:szCs w:val="24"/>
        </w:rPr>
        <w:t xml:space="preserve"> </w:t>
      </w:r>
      <w:r w:rsidRPr="008379CA">
        <w:rPr>
          <w:rFonts w:ascii="Bookman Old Style" w:hAnsi="Bookman Old Style"/>
          <w:sz w:val="24"/>
          <w:szCs w:val="24"/>
        </w:rPr>
        <w:t>pengeluaran</w:t>
      </w:r>
      <w:r w:rsidR="00A954D0" w:rsidRPr="008379CA">
        <w:rPr>
          <w:rFonts w:ascii="Bookman Old Style" w:hAnsi="Bookman Old Style"/>
          <w:sz w:val="24"/>
          <w:szCs w:val="24"/>
        </w:rPr>
        <w:t xml:space="preserve"> </w:t>
      </w:r>
      <w:r w:rsidRPr="008379CA">
        <w:rPr>
          <w:rFonts w:ascii="Bookman Old Style" w:hAnsi="Bookman Old Style"/>
          <w:sz w:val="24"/>
          <w:szCs w:val="24"/>
        </w:rPr>
        <w:t>yang</w:t>
      </w:r>
      <w:r w:rsidR="00A954D0" w:rsidRPr="008379CA">
        <w:rPr>
          <w:rFonts w:ascii="Bookman Old Style" w:hAnsi="Bookman Old Style"/>
          <w:sz w:val="24"/>
          <w:szCs w:val="24"/>
        </w:rPr>
        <w:t xml:space="preserve"> </w:t>
      </w:r>
      <w:r w:rsidRPr="008379CA">
        <w:rPr>
          <w:rFonts w:ascii="Bookman Old Style" w:hAnsi="Bookman Old Style"/>
          <w:sz w:val="24"/>
          <w:szCs w:val="24"/>
        </w:rPr>
        <w:t>dipergunakan</w:t>
      </w:r>
      <w:r w:rsidR="00A954D0" w:rsidRPr="008379CA">
        <w:rPr>
          <w:rFonts w:ascii="Bookman Old Style" w:hAnsi="Bookman Old Style"/>
          <w:sz w:val="24"/>
          <w:szCs w:val="24"/>
        </w:rPr>
        <w:t xml:space="preserve"> </w:t>
      </w:r>
      <w:r w:rsidRPr="008379CA">
        <w:rPr>
          <w:rFonts w:ascii="Bookman Old Style" w:hAnsi="Bookman Old Style"/>
          <w:sz w:val="24"/>
          <w:szCs w:val="24"/>
        </w:rPr>
        <w:t>sebagai</w:t>
      </w:r>
      <w:r w:rsidR="00A954D0" w:rsidRPr="008379CA">
        <w:rPr>
          <w:rFonts w:ascii="Bookman Old Style" w:hAnsi="Bookman Old Style"/>
          <w:sz w:val="24"/>
          <w:szCs w:val="24"/>
        </w:rPr>
        <w:t xml:space="preserve"> </w:t>
      </w:r>
      <w:r w:rsidRPr="008379CA">
        <w:rPr>
          <w:rFonts w:ascii="Bookman Old Style" w:hAnsi="Bookman Old Style"/>
          <w:sz w:val="24"/>
          <w:szCs w:val="24"/>
        </w:rPr>
        <w:t>wujud</w:t>
      </w:r>
      <w:r w:rsidR="00A954D0" w:rsidRPr="008379CA">
        <w:rPr>
          <w:rFonts w:ascii="Bookman Old Style" w:hAnsi="Bookman Old Style"/>
          <w:sz w:val="24"/>
          <w:szCs w:val="24"/>
        </w:rPr>
        <w:t xml:space="preserve"> </w:t>
      </w:r>
      <w:r w:rsidRPr="008379CA">
        <w:rPr>
          <w:rFonts w:ascii="Bookman Old Style" w:hAnsi="Bookman Old Style"/>
          <w:sz w:val="24"/>
          <w:szCs w:val="24"/>
        </w:rPr>
        <w:t>urusan</w:t>
      </w:r>
      <w:r w:rsidR="00A954D0" w:rsidRPr="008379CA">
        <w:rPr>
          <w:rFonts w:ascii="Bookman Old Style" w:hAnsi="Bookman Old Style"/>
          <w:sz w:val="24"/>
          <w:szCs w:val="24"/>
        </w:rPr>
        <w:t xml:space="preserve"> </w:t>
      </w:r>
      <w:r w:rsidRPr="008379CA">
        <w:rPr>
          <w:rFonts w:ascii="Bookman Old Style" w:hAnsi="Bookman Old Style"/>
          <w:sz w:val="24"/>
          <w:szCs w:val="24"/>
        </w:rPr>
        <w:t>publik</w:t>
      </w:r>
      <w:r w:rsidR="00A954D0" w:rsidRPr="008379CA">
        <w:rPr>
          <w:rFonts w:ascii="Bookman Old Style" w:hAnsi="Bookman Old Style"/>
          <w:sz w:val="24"/>
          <w:szCs w:val="24"/>
        </w:rPr>
        <w:t xml:space="preserve"> </w:t>
      </w:r>
      <w:r w:rsidRPr="008379CA">
        <w:rPr>
          <w:rFonts w:ascii="Bookman Old Style" w:hAnsi="Bookman Old Style"/>
          <w:sz w:val="24"/>
          <w:szCs w:val="24"/>
        </w:rPr>
        <w:t>baik</w:t>
      </w:r>
      <w:r w:rsidR="00A954D0" w:rsidRPr="008379CA">
        <w:rPr>
          <w:rFonts w:ascii="Bookman Old Style" w:hAnsi="Bookman Old Style"/>
          <w:sz w:val="24"/>
          <w:szCs w:val="24"/>
        </w:rPr>
        <w:t xml:space="preserve"> </w:t>
      </w:r>
      <w:r w:rsidRPr="008379CA">
        <w:rPr>
          <w:rFonts w:ascii="Bookman Old Style" w:hAnsi="Bookman Old Style"/>
          <w:sz w:val="24"/>
          <w:szCs w:val="24"/>
        </w:rPr>
        <w:t>urusan</w:t>
      </w:r>
      <w:r w:rsidR="00A954D0" w:rsidRPr="008379CA">
        <w:rPr>
          <w:rFonts w:ascii="Bookman Old Style" w:hAnsi="Bookman Old Style"/>
          <w:sz w:val="24"/>
          <w:szCs w:val="24"/>
        </w:rPr>
        <w:t xml:space="preserve"> </w:t>
      </w:r>
      <w:r w:rsidRPr="008379CA">
        <w:rPr>
          <w:rFonts w:ascii="Bookman Old Style" w:hAnsi="Bookman Old Style"/>
          <w:sz w:val="24"/>
          <w:szCs w:val="24"/>
        </w:rPr>
        <w:t>wajib</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Pr="008379CA">
        <w:rPr>
          <w:rFonts w:ascii="Bookman Old Style" w:hAnsi="Bookman Old Style"/>
          <w:sz w:val="24"/>
          <w:szCs w:val="24"/>
        </w:rPr>
        <w:t>urusan</w:t>
      </w:r>
      <w:r w:rsidR="00A954D0" w:rsidRPr="008379CA">
        <w:rPr>
          <w:rFonts w:ascii="Bookman Old Style" w:hAnsi="Bookman Old Style"/>
          <w:sz w:val="24"/>
          <w:szCs w:val="24"/>
        </w:rPr>
        <w:t xml:space="preserve"> </w:t>
      </w:r>
      <w:r w:rsidRPr="008379CA">
        <w:rPr>
          <w:rFonts w:ascii="Bookman Old Style" w:hAnsi="Bookman Old Style"/>
          <w:sz w:val="24"/>
          <w:szCs w:val="24"/>
        </w:rPr>
        <w:t>pilihan</w:t>
      </w:r>
      <w:r w:rsidR="00A954D0" w:rsidRPr="008379CA">
        <w:rPr>
          <w:rFonts w:ascii="Bookman Old Style" w:hAnsi="Bookman Old Style"/>
          <w:sz w:val="24"/>
          <w:szCs w:val="24"/>
        </w:rPr>
        <w:t xml:space="preserve"> </w:t>
      </w:r>
      <w:r w:rsidRPr="008379CA">
        <w:rPr>
          <w:rFonts w:ascii="Bookman Old Style" w:hAnsi="Bookman Old Style"/>
          <w:sz w:val="24"/>
          <w:szCs w:val="24"/>
        </w:rPr>
        <w:t>yang</w:t>
      </w:r>
      <w:r w:rsidR="00A954D0" w:rsidRPr="008379CA">
        <w:rPr>
          <w:rFonts w:ascii="Bookman Old Style" w:hAnsi="Bookman Old Style"/>
          <w:sz w:val="24"/>
          <w:szCs w:val="24"/>
        </w:rPr>
        <w:t xml:space="preserve"> </w:t>
      </w:r>
      <w:r w:rsidRPr="008379CA">
        <w:rPr>
          <w:rFonts w:ascii="Bookman Old Style" w:hAnsi="Bookman Old Style"/>
          <w:sz w:val="24"/>
          <w:szCs w:val="24"/>
        </w:rPr>
        <w:t>dikelola</w:t>
      </w:r>
      <w:r w:rsidR="00A954D0" w:rsidRPr="008379CA">
        <w:rPr>
          <w:rFonts w:ascii="Bookman Old Style" w:hAnsi="Bookman Old Style"/>
          <w:sz w:val="24"/>
          <w:szCs w:val="24"/>
        </w:rPr>
        <w:t xml:space="preserve"> </w:t>
      </w:r>
      <w:r w:rsidRPr="008379CA">
        <w:rPr>
          <w:rFonts w:ascii="Bookman Old Style" w:hAnsi="Bookman Old Style"/>
          <w:sz w:val="24"/>
          <w:szCs w:val="24"/>
        </w:rPr>
        <w:t>oleh</w:t>
      </w:r>
      <w:r w:rsidR="00A954D0" w:rsidRPr="008379CA">
        <w:rPr>
          <w:rFonts w:ascii="Bookman Old Style" w:hAnsi="Bookman Old Style"/>
          <w:sz w:val="24"/>
          <w:szCs w:val="24"/>
        </w:rPr>
        <w:t xml:space="preserve"> </w:t>
      </w:r>
      <w:r w:rsidRPr="008379CA">
        <w:rPr>
          <w:rFonts w:ascii="Bookman Old Style" w:hAnsi="Bookman Old Style"/>
          <w:sz w:val="24"/>
          <w:szCs w:val="24"/>
        </w:rPr>
        <w:t>pemerintah</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yang</w:t>
      </w:r>
      <w:r w:rsidR="00A954D0" w:rsidRPr="008379CA">
        <w:rPr>
          <w:rFonts w:ascii="Bookman Old Style" w:hAnsi="Bookman Old Style"/>
          <w:sz w:val="24"/>
          <w:szCs w:val="24"/>
        </w:rPr>
        <w:t xml:space="preserve"> </w:t>
      </w:r>
      <w:r w:rsidRPr="008379CA">
        <w:rPr>
          <w:rFonts w:ascii="Bookman Old Style" w:hAnsi="Bookman Old Style"/>
          <w:sz w:val="24"/>
          <w:szCs w:val="24"/>
        </w:rPr>
        <w:t>telah</w:t>
      </w:r>
      <w:r w:rsidR="00A954D0" w:rsidRPr="008379CA">
        <w:rPr>
          <w:rFonts w:ascii="Bookman Old Style" w:hAnsi="Bookman Old Style"/>
          <w:sz w:val="24"/>
          <w:szCs w:val="24"/>
        </w:rPr>
        <w:t xml:space="preserve"> </w:t>
      </w:r>
      <w:r w:rsidRPr="008379CA">
        <w:rPr>
          <w:rFonts w:ascii="Bookman Old Style" w:hAnsi="Bookman Old Style"/>
          <w:sz w:val="24"/>
          <w:szCs w:val="24"/>
        </w:rPr>
        <w:t>ditetapkan</w:t>
      </w:r>
      <w:r w:rsidR="00A954D0" w:rsidRPr="008379CA">
        <w:rPr>
          <w:rFonts w:ascii="Bookman Old Style" w:hAnsi="Bookman Old Style"/>
          <w:sz w:val="24"/>
          <w:szCs w:val="24"/>
        </w:rPr>
        <w:t xml:space="preserve"> </w:t>
      </w:r>
      <w:r w:rsidRPr="008379CA">
        <w:rPr>
          <w:rFonts w:ascii="Bookman Old Style" w:hAnsi="Bookman Old Style"/>
          <w:sz w:val="24"/>
          <w:szCs w:val="24"/>
        </w:rPr>
        <w:t>berdasarkan</w:t>
      </w:r>
      <w:r w:rsidR="00A954D0" w:rsidRPr="008379CA">
        <w:rPr>
          <w:rFonts w:ascii="Bookman Old Style" w:hAnsi="Bookman Old Style"/>
          <w:sz w:val="24"/>
          <w:szCs w:val="24"/>
        </w:rPr>
        <w:t xml:space="preserve"> </w:t>
      </w:r>
      <w:r w:rsidRPr="008379CA">
        <w:rPr>
          <w:rFonts w:ascii="Bookman Old Style" w:hAnsi="Bookman Old Style"/>
          <w:sz w:val="24"/>
          <w:szCs w:val="24"/>
        </w:rPr>
        <w:t>undang-undang.</w:t>
      </w:r>
      <w:r w:rsidR="00A954D0" w:rsidRPr="008379CA">
        <w:rPr>
          <w:rFonts w:ascii="Bookman Old Style" w:hAnsi="Bookman Old Style"/>
          <w:sz w:val="24"/>
          <w:szCs w:val="24"/>
        </w:rPr>
        <w:t xml:space="preserve"> </w:t>
      </w:r>
      <w:r w:rsidRPr="008379CA">
        <w:rPr>
          <w:rFonts w:ascii="Bookman Old Style" w:hAnsi="Bookman Old Style"/>
          <w:sz w:val="24"/>
          <w:szCs w:val="24"/>
        </w:rPr>
        <w:t>Selanjutnya,</w:t>
      </w:r>
      <w:r w:rsidR="00A954D0" w:rsidRPr="008379CA">
        <w:rPr>
          <w:rFonts w:ascii="Bookman Old Style" w:hAnsi="Bookman Old Style"/>
          <w:sz w:val="24"/>
          <w:szCs w:val="24"/>
        </w:rPr>
        <w:t xml:space="preserve"> </w:t>
      </w:r>
      <w:r w:rsidRPr="008379CA">
        <w:rPr>
          <w:rFonts w:ascii="Bookman Old Style" w:hAnsi="Bookman Old Style"/>
          <w:sz w:val="24"/>
          <w:szCs w:val="24"/>
        </w:rPr>
        <w:t>pengeluaran</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yang</w:t>
      </w:r>
      <w:r w:rsidR="00A954D0" w:rsidRPr="008379CA">
        <w:rPr>
          <w:rFonts w:ascii="Bookman Old Style" w:hAnsi="Bookman Old Style"/>
          <w:sz w:val="24"/>
          <w:szCs w:val="24"/>
        </w:rPr>
        <w:t xml:space="preserve"> </w:t>
      </w:r>
      <w:r w:rsidRPr="008379CA">
        <w:rPr>
          <w:rFonts w:ascii="Bookman Old Style" w:hAnsi="Bookman Old Style"/>
          <w:sz w:val="24"/>
          <w:szCs w:val="24"/>
        </w:rPr>
        <w:t>dialokasikan</w:t>
      </w:r>
      <w:r w:rsidR="00A954D0" w:rsidRPr="008379CA">
        <w:rPr>
          <w:rFonts w:ascii="Bookman Old Style" w:hAnsi="Bookman Old Style"/>
          <w:sz w:val="24"/>
          <w:szCs w:val="24"/>
        </w:rPr>
        <w:t xml:space="preserve"> </w:t>
      </w:r>
      <w:r w:rsidRPr="008379CA">
        <w:rPr>
          <w:rFonts w:ascii="Bookman Old Style" w:hAnsi="Bookman Old Style"/>
          <w:sz w:val="24"/>
          <w:szCs w:val="24"/>
        </w:rPr>
        <w:t>secara</w:t>
      </w:r>
      <w:r w:rsidR="00A954D0" w:rsidRPr="008379CA">
        <w:rPr>
          <w:rFonts w:ascii="Bookman Old Style" w:hAnsi="Bookman Old Style"/>
          <w:sz w:val="24"/>
          <w:szCs w:val="24"/>
        </w:rPr>
        <w:t xml:space="preserve"> </w:t>
      </w:r>
      <w:r w:rsidRPr="008379CA">
        <w:rPr>
          <w:rFonts w:ascii="Bookman Old Style" w:hAnsi="Bookman Old Style"/>
          <w:sz w:val="24"/>
          <w:szCs w:val="24"/>
        </w:rPr>
        <w:t>tepat</w:t>
      </w:r>
      <w:r w:rsidR="00A954D0" w:rsidRPr="008379CA">
        <w:rPr>
          <w:rFonts w:ascii="Bookman Old Style" w:hAnsi="Bookman Old Style"/>
          <w:sz w:val="24"/>
          <w:szCs w:val="24"/>
        </w:rPr>
        <w:t xml:space="preserve"> </w:t>
      </w:r>
      <w:r w:rsidRPr="008379CA">
        <w:rPr>
          <w:rFonts w:ascii="Bookman Old Style" w:hAnsi="Bookman Old Style"/>
          <w:sz w:val="24"/>
          <w:szCs w:val="24"/>
        </w:rPr>
        <w:t>yang</w:t>
      </w:r>
      <w:r w:rsidR="00A954D0" w:rsidRPr="008379CA">
        <w:rPr>
          <w:rFonts w:ascii="Bookman Old Style" w:hAnsi="Bookman Old Style"/>
          <w:sz w:val="24"/>
          <w:szCs w:val="24"/>
        </w:rPr>
        <w:t xml:space="preserve"> </w:t>
      </w:r>
      <w:r w:rsidRPr="008379CA">
        <w:rPr>
          <w:rFonts w:ascii="Bookman Old Style" w:hAnsi="Bookman Old Style"/>
          <w:sz w:val="24"/>
          <w:szCs w:val="24"/>
        </w:rPr>
        <w:t>diperlukan</w:t>
      </w:r>
      <w:r w:rsidR="00A954D0" w:rsidRPr="008379CA">
        <w:rPr>
          <w:rFonts w:ascii="Bookman Old Style" w:hAnsi="Bookman Old Style"/>
          <w:sz w:val="24"/>
          <w:szCs w:val="24"/>
        </w:rPr>
        <w:t xml:space="preserve"> </w:t>
      </w:r>
      <w:r w:rsidRPr="008379CA">
        <w:rPr>
          <w:rFonts w:ascii="Bookman Old Style" w:hAnsi="Bookman Old Style"/>
          <w:sz w:val="24"/>
          <w:szCs w:val="24"/>
        </w:rPr>
        <w:t>oleh</w:t>
      </w:r>
      <w:r w:rsidR="00A954D0" w:rsidRPr="008379CA">
        <w:rPr>
          <w:rFonts w:ascii="Bookman Old Style" w:hAnsi="Bookman Old Style"/>
          <w:sz w:val="24"/>
          <w:szCs w:val="24"/>
        </w:rPr>
        <w:t xml:space="preserve"> </w:t>
      </w:r>
      <w:r w:rsidRPr="008379CA">
        <w:rPr>
          <w:rFonts w:ascii="Bookman Old Style" w:hAnsi="Bookman Old Style"/>
          <w:sz w:val="24"/>
          <w:szCs w:val="24"/>
        </w:rPr>
        <w:t>masyarakat</w:t>
      </w:r>
      <w:r w:rsidR="00A954D0" w:rsidRPr="008379CA">
        <w:rPr>
          <w:rFonts w:ascii="Bookman Old Style" w:hAnsi="Bookman Old Style"/>
          <w:sz w:val="24"/>
          <w:szCs w:val="24"/>
        </w:rPr>
        <w:t xml:space="preserve"> </w:t>
      </w:r>
      <w:r w:rsidRPr="008379CA">
        <w:rPr>
          <w:rFonts w:ascii="Bookman Old Style" w:hAnsi="Bookman Old Style"/>
          <w:sz w:val="24"/>
          <w:szCs w:val="24"/>
        </w:rPr>
        <w:t>akan</w:t>
      </w:r>
      <w:r w:rsidR="00A954D0" w:rsidRPr="008379CA">
        <w:rPr>
          <w:rFonts w:ascii="Bookman Old Style" w:hAnsi="Bookman Old Style"/>
          <w:sz w:val="24"/>
          <w:szCs w:val="24"/>
        </w:rPr>
        <w:t xml:space="preserve"> </w:t>
      </w:r>
      <w:r w:rsidRPr="008379CA">
        <w:rPr>
          <w:rFonts w:ascii="Bookman Old Style" w:hAnsi="Bookman Old Style"/>
          <w:sz w:val="24"/>
          <w:szCs w:val="24"/>
        </w:rPr>
        <w:t>memunculkan</w:t>
      </w:r>
      <w:r w:rsidR="00A954D0" w:rsidRPr="008379CA">
        <w:rPr>
          <w:rFonts w:ascii="Bookman Old Style" w:hAnsi="Bookman Old Style"/>
          <w:sz w:val="24"/>
          <w:szCs w:val="24"/>
        </w:rPr>
        <w:t xml:space="preserve"> </w:t>
      </w:r>
      <w:r w:rsidRPr="008379CA">
        <w:rPr>
          <w:rFonts w:ascii="Bookman Old Style" w:hAnsi="Bookman Old Style"/>
          <w:sz w:val="24"/>
          <w:szCs w:val="24"/>
        </w:rPr>
        <w:t>perkembangan</w:t>
      </w:r>
      <w:r w:rsidR="00A954D0" w:rsidRPr="008379CA">
        <w:rPr>
          <w:rFonts w:ascii="Bookman Old Style" w:hAnsi="Bookman Old Style"/>
          <w:sz w:val="24"/>
          <w:szCs w:val="24"/>
        </w:rPr>
        <w:t xml:space="preserve"> </w:t>
      </w:r>
      <w:r w:rsidRPr="008379CA">
        <w:rPr>
          <w:rFonts w:ascii="Bookman Old Style" w:hAnsi="Bookman Old Style"/>
          <w:sz w:val="24"/>
          <w:szCs w:val="24"/>
        </w:rPr>
        <w:t>yang</w:t>
      </w:r>
      <w:r w:rsidR="00A954D0" w:rsidRPr="008379CA">
        <w:rPr>
          <w:rFonts w:ascii="Bookman Old Style" w:hAnsi="Bookman Old Style"/>
          <w:sz w:val="24"/>
          <w:szCs w:val="24"/>
        </w:rPr>
        <w:t xml:space="preserve"> </w:t>
      </w:r>
      <w:r w:rsidRPr="008379CA">
        <w:rPr>
          <w:rFonts w:ascii="Bookman Old Style" w:hAnsi="Bookman Old Style"/>
          <w:sz w:val="24"/>
          <w:szCs w:val="24"/>
        </w:rPr>
        <w:t>positif</w:t>
      </w:r>
      <w:r w:rsidR="00A954D0" w:rsidRPr="008379CA">
        <w:rPr>
          <w:rFonts w:ascii="Bookman Old Style" w:hAnsi="Bookman Old Style"/>
          <w:sz w:val="24"/>
          <w:szCs w:val="24"/>
        </w:rPr>
        <w:t xml:space="preserve"> </w:t>
      </w:r>
      <w:r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Pr="008379CA">
        <w:rPr>
          <w:rFonts w:ascii="Bookman Old Style" w:hAnsi="Bookman Old Style"/>
          <w:sz w:val="24"/>
          <w:szCs w:val="24"/>
        </w:rPr>
        <w:t>upaya</w:t>
      </w:r>
      <w:r w:rsidR="00A954D0" w:rsidRPr="008379CA">
        <w:rPr>
          <w:rFonts w:ascii="Bookman Old Style" w:hAnsi="Bookman Old Style"/>
          <w:sz w:val="24"/>
          <w:szCs w:val="24"/>
        </w:rPr>
        <w:t xml:space="preserve"> </w:t>
      </w:r>
      <w:r w:rsidRPr="008379CA">
        <w:rPr>
          <w:rFonts w:ascii="Bookman Old Style" w:hAnsi="Bookman Old Style"/>
          <w:sz w:val="24"/>
          <w:szCs w:val="24"/>
        </w:rPr>
        <w:t>peningkatan</w:t>
      </w:r>
      <w:r w:rsidR="00A954D0" w:rsidRPr="008379CA">
        <w:rPr>
          <w:rFonts w:ascii="Bookman Old Style" w:hAnsi="Bookman Old Style"/>
          <w:sz w:val="24"/>
          <w:szCs w:val="24"/>
        </w:rPr>
        <w:t xml:space="preserve"> </w:t>
      </w:r>
      <w:r w:rsidRPr="008379CA">
        <w:rPr>
          <w:rFonts w:ascii="Bookman Old Style" w:hAnsi="Bookman Old Style"/>
          <w:sz w:val="24"/>
          <w:szCs w:val="24"/>
        </w:rPr>
        <w:t>bagi</w:t>
      </w:r>
      <w:r w:rsidR="00A954D0" w:rsidRPr="008379CA">
        <w:rPr>
          <w:rFonts w:ascii="Bookman Old Style" w:hAnsi="Bookman Old Style"/>
          <w:sz w:val="24"/>
          <w:szCs w:val="24"/>
        </w:rPr>
        <w:t xml:space="preserve"> </w:t>
      </w:r>
      <w:r w:rsidRPr="008379CA">
        <w:rPr>
          <w:rFonts w:ascii="Bookman Old Style" w:hAnsi="Bookman Old Style"/>
          <w:sz w:val="24"/>
          <w:szCs w:val="24"/>
        </w:rPr>
        <w:t>kesejahteraan</w:t>
      </w:r>
      <w:r w:rsidR="00A954D0" w:rsidRPr="008379CA">
        <w:rPr>
          <w:rFonts w:ascii="Bookman Old Style" w:hAnsi="Bookman Old Style"/>
          <w:sz w:val="24"/>
          <w:szCs w:val="24"/>
        </w:rPr>
        <w:t xml:space="preserve"> </w:t>
      </w:r>
      <w:r w:rsidRPr="008379CA">
        <w:rPr>
          <w:rFonts w:ascii="Bookman Old Style" w:hAnsi="Bookman Old Style"/>
          <w:sz w:val="24"/>
          <w:szCs w:val="24"/>
        </w:rPr>
        <w:t>rakyat.</w:t>
      </w:r>
      <w:r w:rsidR="00A954D0" w:rsidRPr="008379CA">
        <w:rPr>
          <w:rFonts w:ascii="Bookman Old Style" w:hAnsi="Bookman Old Style"/>
          <w:sz w:val="24"/>
          <w:szCs w:val="24"/>
        </w:rPr>
        <w:t xml:space="preserve"> </w:t>
      </w:r>
    </w:p>
    <w:p w14:paraId="0C1B5FA7" w14:textId="501D2BEF" w:rsidR="00B9305E" w:rsidRPr="008379CA" w:rsidRDefault="00B9305E" w:rsidP="00727324">
      <w:pPr>
        <w:pStyle w:val="ListParagraph"/>
        <w:spacing w:before="60" w:after="0" w:line="276" w:lineRule="auto"/>
        <w:ind w:left="1287"/>
        <w:contextualSpacing w:val="0"/>
        <w:jc w:val="both"/>
        <w:rPr>
          <w:rFonts w:ascii="Bookman Old Style" w:hAnsi="Bookman Old Style"/>
          <w:sz w:val="24"/>
          <w:szCs w:val="24"/>
        </w:rPr>
      </w:pPr>
      <w:r w:rsidRPr="008379CA">
        <w:rPr>
          <w:rFonts w:ascii="Bookman Old Style" w:hAnsi="Bookman Old Style"/>
          <w:sz w:val="24"/>
          <w:szCs w:val="24"/>
        </w:rPr>
        <w:t>Selanjutnya,</w:t>
      </w:r>
      <w:r w:rsidR="00A954D0" w:rsidRPr="008379CA">
        <w:rPr>
          <w:rFonts w:ascii="Bookman Old Style" w:hAnsi="Bookman Old Style"/>
          <w:sz w:val="24"/>
          <w:szCs w:val="24"/>
        </w:rPr>
        <w:t xml:space="preserve"> </w:t>
      </w:r>
      <w:r w:rsidRPr="008379CA">
        <w:rPr>
          <w:rFonts w:ascii="Bookman Old Style" w:hAnsi="Bookman Old Style"/>
          <w:sz w:val="24"/>
          <w:szCs w:val="24"/>
        </w:rPr>
        <w:t>tren</w:t>
      </w:r>
      <w:r w:rsidR="00A954D0" w:rsidRPr="008379CA">
        <w:rPr>
          <w:rFonts w:ascii="Bookman Old Style" w:hAnsi="Bookman Old Style"/>
          <w:sz w:val="24"/>
          <w:szCs w:val="24"/>
        </w:rPr>
        <w:t xml:space="preserve"> </w:t>
      </w:r>
      <w:r w:rsidRPr="008379CA">
        <w:rPr>
          <w:rFonts w:ascii="Bookman Old Style" w:hAnsi="Bookman Old Style"/>
          <w:sz w:val="24"/>
          <w:szCs w:val="24"/>
        </w:rPr>
        <w:t>alokasi</w:t>
      </w:r>
      <w:r w:rsidR="00A954D0" w:rsidRPr="008379CA">
        <w:rPr>
          <w:rFonts w:ascii="Bookman Old Style" w:hAnsi="Bookman Old Style"/>
          <w:sz w:val="24"/>
          <w:szCs w:val="24"/>
        </w:rPr>
        <w:t xml:space="preserve"> </w:t>
      </w:r>
      <w:r w:rsidRPr="008379CA">
        <w:rPr>
          <w:rFonts w:ascii="Bookman Old Style" w:hAnsi="Bookman Old Style"/>
          <w:sz w:val="24"/>
          <w:szCs w:val="24"/>
        </w:rPr>
        <w:t>belanja</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Pemerintah</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00B055C5"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00770F22"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sz w:val="24"/>
          <w:szCs w:val="24"/>
        </w:rPr>
        <w:t>selama</w:t>
      </w:r>
      <w:r w:rsidR="00A954D0" w:rsidRPr="008379CA">
        <w:rPr>
          <w:rFonts w:ascii="Bookman Old Style" w:hAnsi="Bookman Old Style"/>
          <w:sz w:val="24"/>
          <w:szCs w:val="24"/>
        </w:rPr>
        <w:t xml:space="preserve"> </w:t>
      </w:r>
      <w:r w:rsidRPr="008379CA">
        <w:rPr>
          <w:rFonts w:ascii="Bookman Old Style" w:hAnsi="Bookman Old Style"/>
          <w:sz w:val="24"/>
          <w:szCs w:val="24"/>
        </w:rPr>
        <w:t>3</w:t>
      </w:r>
      <w:r w:rsidR="00A954D0" w:rsidRPr="008379CA">
        <w:rPr>
          <w:rFonts w:ascii="Bookman Old Style" w:hAnsi="Bookman Old Style"/>
          <w:sz w:val="24"/>
          <w:szCs w:val="24"/>
        </w:rPr>
        <w:t xml:space="preserve"> </w:t>
      </w:r>
      <w:r w:rsidRPr="008379CA">
        <w:rPr>
          <w:rFonts w:ascii="Bookman Old Style" w:hAnsi="Bookman Old Style"/>
          <w:sz w:val="24"/>
          <w:szCs w:val="24"/>
        </w:rPr>
        <w:t>(tiga)</w:t>
      </w:r>
      <w:r w:rsidR="00A954D0" w:rsidRPr="008379CA">
        <w:rPr>
          <w:rFonts w:ascii="Bookman Old Style" w:hAnsi="Bookman Old Style"/>
          <w:sz w:val="24"/>
          <w:szCs w:val="24"/>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2022</w:t>
      </w:r>
      <w:r w:rsidR="00A954D0" w:rsidRPr="008379CA">
        <w:rPr>
          <w:rFonts w:ascii="Bookman Old Style" w:hAnsi="Bookman Old Style"/>
          <w:sz w:val="24"/>
          <w:szCs w:val="24"/>
        </w:rPr>
        <w:t xml:space="preserve"> </w:t>
      </w:r>
      <w:r w:rsidRPr="008379CA">
        <w:rPr>
          <w:rFonts w:ascii="Bookman Old Style" w:hAnsi="Bookman Old Style"/>
          <w:sz w:val="24"/>
          <w:szCs w:val="24"/>
        </w:rPr>
        <w:t>sampai</w:t>
      </w:r>
      <w:r w:rsidR="00A954D0" w:rsidRPr="008379CA">
        <w:rPr>
          <w:rFonts w:ascii="Bookman Old Style" w:hAnsi="Bookman Old Style"/>
          <w:sz w:val="24"/>
          <w:szCs w:val="24"/>
        </w:rPr>
        <w:t xml:space="preserve"> </w:t>
      </w:r>
      <w:r w:rsidRPr="008379CA">
        <w:rPr>
          <w:rFonts w:ascii="Bookman Old Style" w:hAnsi="Bookman Old Style"/>
          <w:sz w:val="24"/>
          <w:szCs w:val="24"/>
        </w:rPr>
        <w:t>dengan</w:t>
      </w:r>
      <w:r w:rsidR="00A954D0" w:rsidRPr="008379CA">
        <w:rPr>
          <w:rFonts w:ascii="Bookman Old Style" w:hAnsi="Bookman Old Style"/>
          <w:sz w:val="24"/>
          <w:szCs w:val="24"/>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2024</w:t>
      </w:r>
      <w:r w:rsidR="00A954D0" w:rsidRPr="008379CA">
        <w:rPr>
          <w:rFonts w:ascii="Bookman Old Style" w:hAnsi="Bookman Old Style"/>
          <w:sz w:val="24"/>
          <w:szCs w:val="24"/>
        </w:rPr>
        <w:t xml:space="preserve"> </w:t>
      </w:r>
      <w:r w:rsidRPr="008379CA">
        <w:rPr>
          <w:rFonts w:ascii="Bookman Old Style" w:hAnsi="Bookman Old Style"/>
          <w:sz w:val="24"/>
          <w:szCs w:val="24"/>
        </w:rPr>
        <w:t>sebagaimana</w:t>
      </w:r>
      <w:r w:rsidR="00A954D0" w:rsidRPr="008379CA">
        <w:rPr>
          <w:rFonts w:ascii="Bookman Old Style" w:hAnsi="Bookman Old Style"/>
          <w:sz w:val="24"/>
          <w:szCs w:val="24"/>
        </w:rPr>
        <w:t xml:space="preserve"> </w:t>
      </w:r>
      <w:r w:rsidRPr="008379CA">
        <w:rPr>
          <w:rFonts w:ascii="Bookman Old Style" w:hAnsi="Bookman Old Style"/>
          <w:sz w:val="24"/>
          <w:szCs w:val="24"/>
        </w:rPr>
        <w:t>Tabel</w:t>
      </w:r>
      <w:r w:rsidR="00A954D0" w:rsidRPr="008379CA">
        <w:rPr>
          <w:rFonts w:ascii="Bookman Old Style" w:hAnsi="Bookman Old Style"/>
          <w:sz w:val="24"/>
          <w:szCs w:val="24"/>
        </w:rPr>
        <w:t xml:space="preserve"> </w:t>
      </w:r>
      <w:r w:rsidR="007B78C1" w:rsidRPr="008379CA">
        <w:rPr>
          <w:rFonts w:ascii="Bookman Old Style" w:hAnsi="Bookman Old Style"/>
          <w:sz w:val="24"/>
          <w:szCs w:val="24"/>
        </w:rPr>
        <w:t>3</w:t>
      </w:r>
      <w:r w:rsidR="00A954D0" w:rsidRPr="008379CA">
        <w:rPr>
          <w:rFonts w:ascii="Bookman Old Style" w:hAnsi="Bookman Old Style"/>
          <w:sz w:val="24"/>
          <w:szCs w:val="24"/>
        </w:rPr>
        <w:t xml:space="preserve"> </w:t>
      </w:r>
      <w:r w:rsidRPr="008379CA">
        <w:rPr>
          <w:rFonts w:ascii="Bookman Old Style" w:hAnsi="Bookman Old Style"/>
          <w:sz w:val="24"/>
          <w:szCs w:val="24"/>
        </w:rPr>
        <w:t>sebagai</w:t>
      </w:r>
      <w:r w:rsidR="00A954D0" w:rsidRPr="008379CA">
        <w:rPr>
          <w:rFonts w:ascii="Bookman Old Style" w:hAnsi="Bookman Old Style"/>
          <w:sz w:val="24"/>
          <w:szCs w:val="24"/>
        </w:rPr>
        <w:t xml:space="preserve"> </w:t>
      </w:r>
      <w:r w:rsidRPr="008379CA">
        <w:rPr>
          <w:rFonts w:ascii="Bookman Old Style" w:hAnsi="Bookman Old Style"/>
          <w:sz w:val="24"/>
          <w:szCs w:val="24"/>
        </w:rPr>
        <w:t>berikut:</w:t>
      </w:r>
    </w:p>
    <w:p w14:paraId="7E9B2619" w14:textId="77777777" w:rsidR="00B9305E" w:rsidRPr="008379CA" w:rsidRDefault="00B9305E" w:rsidP="00727324">
      <w:pPr>
        <w:pStyle w:val="ListParagraph"/>
        <w:spacing w:before="60" w:after="0" w:line="276" w:lineRule="auto"/>
        <w:ind w:left="1287"/>
        <w:contextualSpacing w:val="0"/>
        <w:jc w:val="both"/>
        <w:rPr>
          <w:rFonts w:ascii="Bookman Old Style" w:hAnsi="Bookman Old Style"/>
          <w:sz w:val="24"/>
          <w:szCs w:val="24"/>
          <w:highlight w:val="yellow"/>
        </w:rPr>
      </w:pPr>
    </w:p>
    <w:p w14:paraId="382409C0" w14:textId="77777777" w:rsidR="00B9305E" w:rsidRPr="008379CA" w:rsidRDefault="00B9305E" w:rsidP="00727324">
      <w:pPr>
        <w:pStyle w:val="ListParagraph"/>
        <w:spacing w:before="60" w:after="0" w:line="276" w:lineRule="auto"/>
        <w:ind w:left="1287"/>
        <w:contextualSpacing w:val="0"/>
        <w:jc w:val="both"/>
        <w:rPr>
          <w:rFonts w:ascii="Bookman Old Style" w:hAnsi="Bookman Old Style"/>
          <w:sz w:val="24"/>
          <w:szCs w:val="24"/>
          <w:highlight w:val="yellow"/>
        </w:rPr>
      </w:pPr>
    </w:p>
    <w:p w14:paraId="0DF45936" w14:textId="77777777" w:rsidR="00B9305E" w:rsidRPr="008379CA" w:rsidRDefault="00B9305E" w:rsidP="00727324">
      <w:pPr>
        <w:pStyle w:val="ListParagraph"/>
        <w:spacing w:before="60" w:after="0" w:line="276" w:lineRule="auto"/>
        <w:ind w:left="1287"/>
        <w:contextualSpacing w:val="0"/>
        <w:jc w:val="both"/>
        <w:rPr>
          <w:rFonts w:ascii="Bookman Old Style" w:hAnsi="Bookman Old Style"/>
          <w:sz w:val="24"/>
          <w:szCs w:val="24"/>
          <w:highlight w:val="yellow"/>
        </w:rPr>
      </w:pPr>
    </w:p>
    <w:p w14:paraId="48DEEF6F" w14:textId="77777777" w:rsidR="00B9305E" w:rsidRPr="008379CA" w:rsidRDefault="00B9305E" w:rsidP="00727324">
      <w:pPr>
        <w:pStyle w:val="ListParagraph"/>
        <w:spacing w:before="60" w:after="0" w:line="276" w:lineRule="auto"/>
        <w:ind w:left="1287"/>
        <w:contextualSpacing w:val="0"/>
        <w:jc w:val="both"/>
        <w:rPr>
          <w:rFonts w:ascii="Bookman Old Style" w:hAnsi="Bookman Old Style"/>
          <w:sz w:val="24"/>
          <w:szCs w:val="24"/>
          <w:highlight w:val="yellow"/>
        </w:rPr>
      </w:pPr>
    </w:p>
    <w:p w14:paraId="74B64407" w14:textId="77777777" w:rsidR="00B9305E" w:rsidRPr="008379CA" w:rsidRDefault="00B9305E" w:rsidP="00727324">
      <w:pPr>
        <w:pStyle w:val="ListParagraph"/>
        <w:spacing w:before="60" w:after="0" w:line="276" w:lineRule="auto"/>
        <w:ind w:left="1287"/>
        <w:contextualSpacing w:val="0"/>
        <w:jc w:val="both"/>
        <w:rPr>
          <w:rFonts w:ascii="Bookman Old Style" w:hAnsi="Bookman Old Style"/>
          <w:sz w:val="24"/>
          <w:szCs w:val="24"/>
          <w:highlight w:val="yellow"/>
        </w:rPr>
      </w:pPr>
    </w:p>
    <w:p w14:paraId="74F66A26" w14:textId="77777777" w:rsidR="00B9305E" w:rsidRPr="008379CA" w:rsidRDefault="00B9305E" w:rsidP="00727324">
      <w:pPr>
        <w:pStyle w:val="ListParagraph"/>
        <w:spacing w:before="60" w:after="0" w:line="276" w:lineRule="auto"/>
        <w:ind w:left="1287"/>
        <w:contextualSpacing w:val="0"/>
        <w:jc w:val="both"/>
        <w:rPr>
          <w:rFonts w:ascii="Bookman Old Style" w:hAnsi="Bookman Old Style"/>
          <w:sz w:val="24"/>
          <w:szCs w:val="24"/>
          <w:highlight w:val="yellow"/>
        </w:rPr>
      </w:pPr>
    </w:p>
    <w:p w14:paraId="0B5E8C2D" w14:textId="77777777" w:rsidR="00B9305E" w:rsidRPr="008379CA" w:rsidRDefault="00B9305E" w:rsidP="00727324">
      <w:pPr>
        <w:pStyle w:val="ListParagraph"/>
        <w:spacing w:before="60" w:after="0" w:line="276" w:lineRule="auto"/>
        <w:ind w:left="1287"/>
        <w:contextualSpacing w:val="0"/>
        <w:jc w:val="both"/>
        <w:rPr>
          <w:rFonts w:ascii="Bookman Old Style" w:hAnsi="Bookman Old Style"/>
          <w:sz w:val="24"/>
          <w:szCs w:val="24"/>
          <w:highlight w:val="yellow"/>
        </w:rPr>
      </w:pPr>
    </w:p>
    <w:p w14:paraId="00CB9E26" w14:textId="77777777" w:rsidR="00B9305E" w:rsidRPr="008379CA" w:rsidRDefault="00B9305E" w:rsidP="00727324">
      <w:pPr>
        <w:pStyle w:val="ListParagraph"/>
        <w:spacing w:before="60" w:after="0" w:line="276" w:lineRule="auto"/>
        <w:ind w:left="1287"/>
        <w:contextualSpacing w:val="0"/>
        <w:jc w:val="both"/>
        <w:rPr>
          <w:rFonts w:ascii="Bookman Old Style" w:hAnsi="Bookman Old Style"/>
          <w:sz w:val="24"/>
          <w:szCs w:val="24"/>
          <w:highlight w:val="yellow"/>
        </w:rPr>
      </w:pPr>
    </w:p>
    <w:p w14:paraId="02EA2815" w14:textId="77777777" w:rsidR="00B9305E" w:rsidRPr="008379CA" w:rsidRDefault="00B9305E" w:rsidP="00727324">
      <w:pPr>
        <w:pStyle w:val="ListParagraph"/>
        <w:spacing w:before="60" w:after="0" w:line="276" w:lineRule="auto"/>
        <w:ind w:left="1287"/>
        <w:contextualSpacing w:val="0"/>
        <w:jc w:val="both"/>
        <w:rPr>
          <w:rFonts w:ascii="Bookman Old Style" w:hAnsi="Bookman Old Style"/>
          <w:sz w:val="24"/>
          <w:szCs w:val="24"/>
          <w:highlight w:val="yellow"/>
        </w:rPr>
      </w:pPr>
    </w:p>
    <w:p w14:paraId="49C21D8F" w14:textId="77777777" w:rsidR="00B9305E" w:rsidRPr="008379CA" w:rsidRDefault="00B9305E" w:rsidP="00727324">
      <w:pPr>
        <w:pStyle w:val="ListParagraph"/>
        <w:spacing w:before="60" w:after="0" w:line="276" w:lineRule="auto"/>
        <w:ind w:left="1287"/>
        <w:contextualSpacing w:val="0"/>
        <w:jc w:val="both"/>
        <w:rPr>
          <w:rFonts w:ascii="Bookman Old Style" w:hAnsi="Bookman Old Style"/>
          <w:sz w:val="24"/>
          <w:szCs w:val="24"/>
          <w:highlight w:val="yellow"/>
        </w:rPr>
      </w:pPr>
    </w:p>
    <w:p w14:paraId="6898EB73" w14:textId="77777777" w:rsidR="00B9305E" w:rsidRPr="008379CA" w:rsidRDefault="00B9305E" w:rsidP="00727324">
      <w:pPr>
        <w:pStyle w:val="ListParagraph"/>
        <w:spacing w:before="60" w:after="0" w:line="276" w:lineRule="auto"/>
        <w:ind w:left="1287"/>
        <w:contextualSpacing w:val="0"/>
        <w:jc w:val="both"/>
        <w:rPr>
          <w:rFonts w:ascii="Bookman Old Style" w:hAnsi="Bookman Old Style"/>
          <w:sz w:val="24"/>
          <w:szCs w:val="24"/>
          <w:highlight w:val="yellow"/>
        </w:rPr>
      </w:pPr>
    </w:p>
    <w:p w14:paraId="4A6E78A7" w14:textId="77777777" w:rsidR="00B9305E" w:rsidRPr="008379CA" w:rsidRDefault="00B9305E" w:rsidP="00727324">
      <w:pPr>
        <w:pStyle w:val="ListParagraph"/>
        <w:spacing w:before="60" w:after="0" w:line="276" w:lineRule="auto"/>
        <w:ind w:left="1287"/>
        <w:contextualSpacing w:val="0"/>
        <w:jc w:val="both"/>
        <w:rPr>
          <w:rFonts w:ascii="Bookman Old Style" w:hAnsi="Bookman Old Style"/>
          <w:sz w:val="24"/>
          <w:szCs w:val="24"/>
          <w:highlight w:val="yellow"/>
        </w:rPr>
      </w:pPr>
    </w:p>
    <w:p w14:paraId="1D0CB532" w14:textId="77777777" w:rsidR="00B9305E" w:rsidRPr="008379CA" w:rsidRDefault="00B9305E" w:rsidP="00727324">
      <w:pPr>
        <w:pStyle w:val="ListParagraph"/>
        <w:spacing w:before="60" w:after="0" w:line="276" w:lineRule="auto"/>
        <w:ind w:left="1287"/>
        <w:contextualSpacing w:val="0"/>
        <w:jc w:val="both"/>
        <w:rPr>
          <w:rFonts w:ascii="Bookman Old Style" w:hAnsi="Bookman Old Style"/>
          <w:sz w:val="24"/>
          <w:szCs w:val="24"/>
          <w:highlight w:val="yellow"/>
        </w:rPr>
      </w:pPr>
    </w:p>
    <w:p w14:paraId="2F5EAC98" w14:textId="77777777" w:rsidR="00B9305E" w:rsidRPr="008379CA" w:rsidRDefault="00B9305E" w:rsidP="00727324">
      <w:pPr>
        <w:pStyle w:val="ListParagraph"/>
        <w:spacing w:before="60" w:after="0" w:line="276" w:lineRule="auto"/>
        <w:ind w:left="1287"/>
        <w:contextualSpacing w:val="0"/>
        <w:jc w:val="both"/>
        <w:rPr>
          <w:rFonts w:ascii="Bookman Old Style" w:hAnsi="Bookman Old Style"/>
          <w:sz w:val="24"/>
          <w:szCs w:val="24"/>
          <w:highlight w:val="yellow"/>
        </w:rPr>
      </w:pPr>
    </w:p>
    <w:p w14:paraId="269D0F26" w14:textId="77777777" w:rsidR="00B9305E" w:rsidRPr="008379CA" w:rsidRDefault="00B9305E" w:rsidP="00727324">
      <w:pPr>
        <w:pStyle w:val="ListParagraph"/>
        <w:spacing w:before="60" w:after="0" w:line="276" w:lineRule="auto"/>
        <w:ind w:left="1287"/>
        <w:contextualSpacing w:val="0"/>
        <w:jc w:val="both"/>
        <w:rPr>
          <w:rFonts w:ascii="Bookman Old Style" w:hAnsi="Bookman Old Style"/>
          <w:sz w:val="24"/>
          <w:szCs w:val="24"/>
        </w:rPr>
      </w:pPr>
    </w:p>
    <w:p w14:paraId="225611C3" w14:textId="77777777" w:rsidR="00B9305E" w:rsidRPr="008379CA" w:rsidRDefault="00B9305E" w:rsidP="00727324">
      <w:pPr>
        <w:pStyle w:val="ListParagraph"/>
        <w:spacing w:before="60" w:after="0" w:line="276" w:lineRule="auto"/>
        <w:ind w:left="1287"/>
        <w:contextualSpacing w:val="0"/>
        <w:jc w:val="both"/>
        <w:rPr>
          <w:rFonts w:ascii="Bookman Old Style" w:hAnsi="Bookman Old Style"/>
          <w:sz w:val="24"/>
          <w:szCs w:val="24"/>
        </w:rPr>
      </w:pPr>
    </w:p>
    <w:p w14:paraId="05E1B411" w14:textId="77777777" w:rsidR="00B9305E" w:rsidRPr="008379CA" w:rsidRDefault="00B9305E" w:rsidP="00727324">
      <w:pPr>
        <w:pStyle w:val="ListParagraph"/>
        <w:spacing w:before="60" w:after="0" w:line="276" w:lineRule="auto"/>
        <w:ind w:left="1287"/>
        <w:contextualSpacing w:val="0"/>
        <w:jc w:val="both"/>
        <w:rPr>
          <w:rFonts w:ascii="Bookman Old Style" w:hAnsi="Bookman Old Style"/>
          <w:sz w:val="24"/>
          <w:szCs w:val="24"/>
        </w:rPr>
        <w:sectPr w:rsidR="00B9305E" w:rsidRPr="008379CA" w:rsidSect="003F64EB">
          <w:pgSz w:w="12242" w:h="18722" w:code="142"/>
          <w:pgMar w:top="1701" w:right="1701" w:bottom="1701" w:left="1701" w:header="680" w:footer="720" w:gutter="0"/>
          <w:pgNumType w:fmt="numberInDash" w:chapStyle="1"/>
          <w:cols w:space="720"/>
          <w:docGrid w:linePitch="360"/>
        </w:sectPr>
      </w:pPr>
    </w:p>
    <w:p w14:paraId="543C0092" w14:textId="3F0CA256" w:rsidR="00B9305E" w:rsidRPr="008379CA" w:rsidRDefault="00A954D0" w:rsidP="00AA2701">
      <w:pPr>
        <w:pStyle w:val="ListParagraph"/>
        <w:spacing w:after="0" w:line="276" w:lineRule="auto"/>
        <w:ind w:left="-142" w:right="-981"/>
        <w:contextualSpacing w:val="0"/>
        <w:jc w:val="center"/>
        <w:rPr>
          <w:rFonts w:ascii="Bookman Old Style" w:hAnsi="Bookman Old Style"/>
          <w:sz w:val="24"/>
          <w:szCs w:val="24"/>
          <w:lang w:val="fi-FI"/>
        </w:rPr>
      </w:pPr>
      <w:r w:rsidRPr="008379CA">
        <w:rPr>
          <w:rFonts w:ascii="Bookman Old Style" w:hAnsi="Bookman Old Style"/>
          <w:sz w:val="24"/>
          <w:szCs w:val="24"/>
          <w:lang w:val="fi-FI"/>
        </w:rPr>
        <w:lastRenderedPageBreak/>
        <w:t xml:space="preserve"> </w:t>
      </w:r>
      <w:r w:rsidR="00B9305E" w:rsidRPr="008379CA">
        <w:rPr>
          <w:rFonts w:ascii="Bookman Old Style" w:hAnsi="Bookman Old Style"/>
          <w:sz w:val="24"/>
          <w:szCs w:val="24"/>
          <w:lang w:val="fi-FI"/>
        </w:rPr>
        <w:t>Tabel</w:t>
      </w:r>
      <w:r w:rsidRPr="008379CA">
        <w:rPr>
          <w:rFonts w:ascii="Bookman Old Style" w:hAnsi="Bookman Old Style"/>
          <w:sz w:val="24"/>
          <w:szCs w:val="24"/>
          <w:lang w:val="fi-FI"/>
        </w:rPr>
        <w:t xml:space="preserve"> </w:t>
      </w:r>
      <w:r w:rsidR="007B78C1" w:rsidRPr="008379CA">
        <w:rPr>
          <w:rFonts w:ascii="Bookman Old Style" w:hAnsi="Bookman Old Style"/>
          <w:sz w:val="24"/>
          <w:szCs w:val="24"/>
          <w:lang w:val="fi-FI"/>
        </w:rPr>
        <w:t>3</w:t>
      </w:r>
    </w:p>
    <w:p w14:paraId="1CEEC54C" w14:textId="46910789" w:rsidR="00B9305E" w:rsidRPr="008379CA" w:rsidRDefault="00B9305E" w:rsidP="00B90C40">
      <w:pPr>
        <w:pStyle w:val="ListParagraph"/>
        <w:spacing w:after="120" w:line="276" w:lineRule="auto"/>
        <w:ind w:left="-142" w:right="-981"/>
        <w:contextualSpacing w:val="0"/>
        <w:jc w:val="center"/>
        <w:rPr>
          <w:rFonts w:ascii="Bookman Old Style" w:hAnsi="Bookman Old Style"/>
          <w:sz w:val="24"/>
          <w:szCs w:val="24"/>
          <w:lang w:val="fi-FI"/>
        </w:rPr>
      </w:pPr>
      <w:r w:rsidRPr="008379CA">
        <w:rPr>
          <w:rFonts w:ascii="Bookman Old Style" w:hAnsi="Bookman Old Style"/>
          <w:sz w:val="24"/>
          <w:szCs w:val="24"/>
          <w:lang w:val="fi-FI"/>
        </w:rPr>
        <w:t>Tren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Alokasi</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Realisasi</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Belanja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Daerah</w:t>
      </w:r>
    </w:p>
    <w:tbl>
      <w:tblPr>
        <w:tblW w:w="17946"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701"/>
        <w:gridCol w:w="1531"/>
        <w:gridCol w:w="709"/>
        <w:gridCol w:w="1559"/>
        <w:gridCol w:w="1559"/>
        <w:gridCol w:w="709"/>
        <w:gridCol w:w="1559"/>
        <w:gridCol w:w="1560"/>
        <w:gridCol w:w="709"/>
        <w:gridCol w:w="1559"/>
        <w:gridCol w:w="850"/>
        <w:gridCol w:w="850"/>
        <w:gridCol w:w="992"/>
        <w:gridCol w:w="965"/>
      </w:tblGrid>
      <w:tr w:rsidR="008379CA" w:rsidRPr="008379CA" w14:paraId="65708E6A" w14:textId="77777777" w:rsidTr="00600933">
        <w:trPr>
          <w:trHeight w:val="1227"/>
          <w:tblHeader/>
        </w:trPr>
        <w:tc>
          <w:tcPr>
            <w:tcW w:w="1134" w:type="dxa"/>
            <w:vMerge w:val="restart"/>
            <w:shd w:val="clear" w:color="auto" w:fill="auto"/>
            <w:vAlign w:val="center"/>
            <w:hideMark/>
          </w:tcPr>
          <w:p w14:paraId="11A6E802" w14:textId="77777777" w:rsidR="005A01E3" w:rsidRPr="008379CA" w:rsidRDefault="005A01E3" w:rsidP="00426D67">
            <w:pPr>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Uraian</w:t>
            </w:r>
          </w:p>
        </w:tc>
        <w:tc>
          <w:tcPr>
            <w:tcW w:w="3232" w:type="dxa"/>
            <w:gridSpan w:val="2"/>
            <w:shd w:val="clear" w:color="auto" w:fill="auto"/>
            <w:vAlign w:val="center"/>
            <w:hideMark/>
          </w:tcPr>
          <w:p w14:paraId="4B1F47AD" w14:textId="59C7C879" w:rsidR="005A01E3" w:rsidRPr="008379CA" w:rsidRDefault="005A01E3" w:rsidP="00426D67">
            <w:pPr>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APBD</w:t>
            </w:r>
            <w:r w:rsidR="00A954D0" w:rsidRPr="008379CA">
              <w:rPr>
                <w:rFonts w:ascii="Bookman Old Style" w:hAnsi="Bookman Old Style" w:cs="Calibri"/>
                <w:bCs/>
                <w:sz w:val="12"/>
                <w:szCs w:val="12"/>
                <w:lang w:val="en-US"/>
              </w:rPr>
              <w:t xml:space="preserve"> </w:t>
            </w:r>
            <w:r w:rsidRPr="008379CA">
              <w:rPr>
                <w:rFonts w:ascii="Bookman Old Style" w:hAnsi="Bookman Old Style" w:cs="Calibri"/>
                <w:bCs/>
                <w:sz w:val="12"/>
                <w:szCs w:val="12"/>
                <w:lang w:val="en-US"/>
              </w:rPr>
              <w:t>Tahun</w:t>
            </w:r>
            <w:r w:rsidR="00A954D0" w:rsidRPr="008379CA">
              <w:rPr>
                <w:rFonts w:ascii="Bookman Old Style" w:hAnsi="Bookman Old Style" w:cs="Calibri"/>
                <w:bCs/>
                <w:sz w:val="12"/>
                <w:szCs w:val="12"/>
                <w:lang w:val="en-US"/>
              </w:rPr>
              <w:t xml:space="preserve"> </w:t>
            </w:r>
            <w:r w:rsidRPr="008379CA">
              <w:rPr>
                <w:rFonts w:ascii="Bookman Old Style" w:hAnsi="Bookman Old Style" w:cs="Calibri"/>
                <w:bCs/>
                <w:sz w:val="12"/>
                <w:szCs w:val="12"/>
                <w:lang w:val="en-US"/>
              </w:rPr>
              <w:t>Anggaran</w:t>
            </w:r>
            <w:r w:rsidR="00A954D0" w:rsidRPr="008379CA">
              <w:rPr>
                <w:rFonts w:ascii="Bookman Old Style" w:hAnsi="Bookman Old Style" w:cs="Calibri"/>
                <w:bCs/>
                <w:sz w:val="12"/>
                <w:szCs w:val="12"/>
                <w:lang w:val="en-US"/>
              </w:rPr>
              <w:t xml:space="preserve"> </w:t>
            </w:r>
            <w:r w:rsidRPr="008379CA">
              <w:rPr>
                <w:rFonts w:ascii="Bookman Old Style" w:hAnsi="Bookman Old Style" w:cs="Calibri"/>
                <w:bCs/>
                <w:sz w:val="12"/>
                <w:szCs w:val="12"/>
                <w:lang w:val="en-US"/>
              </w:rPr>
              <w:t>2022</w:t>
            </w:r>
            <w:r w:rsidRPr="008379CA">
              <w:rPr>
                <w:rFonts w:ascii="Bookman Old Style" w:hAnsi="Bookman Old Style" w:cs="Calibri"/>
                <w:bCs/>
                <w:sz w:val="12"/>
                <w:szCs w:val="12"/>
                <w:lang w:val="en-US"/>
              </w:rPr>
              <w:br/>
              <w:t>(Rp)</w:t>
            </w:r>
          </w:p>
        </w:tc>
        <w:tc>
          <w:tcPr>
            <w:tcW w:w="709" w:type="dxa"/>
            <w:shd w:val="clear" w:color="auto" w:fill="auto"/>
            <w:vAlign w:val="center"/>
            <w:hideMark/>
          </w:tcPr>
          <w:p w14:paraId="0A0DA579" w14:textId="77777777" w:rsidR="005A01E3" w:rsidRPr="008379CA" w:rsidRDefault="005A01E3" w:rsidP="005353EC">
            <w:pPr>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w:t>
            </w:r>
          </w:p>
          <w:p w14:paraId="4891BC78" w14:textId="5CE9D02A" w:rsidR="005A01E3" w:rsidRPr="008379CA" w:rsidRDefault="005A01E3" w:rsidP="005353EC">
            <w:pPr>
              <w:jc w:val="center"/>
              <w:rPr>
                <w:rFonts w:ascii="Bookman Old Style" w:hAnsi="Bookman Old Style" w:cs="Calibri"/>
                <w:bCs/>
                <w:sz w:val="12"/>
                <w:szCs w:val="12"/>
                <w:lang w:val="en-US"/>
              </w:rPr>
            </w:pPr>
          </w:p>
        </w:tc>
        <w:tc>
          <w:tcPr>
            <w:tcW w:w="3118" w:type="dxa"/>
            <w:gridSpan w:val="2"/>
            <w:shd w:val="clear" w:color="auto" w:fill="auto"/>
            <w:vAlign w:val="center"/>
            <w:hideMark/>
          </w:tcPr>
          <w:p w14:paraId="19F81333" w14:textId="05EE19DF" w:rsidR="005A01E3" w:rsidRPr="008379CA" w:rsidRDefault="005A01E3" w:rsidP="00426D67">
            <w:pPr>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APBD</w:t>
            </w:r>
            <w:r w:rsidR="00A954D0" w:rsidRPr="008379CA">
              <w:rPr>
                <w:rFonts w:ascii="Bookman Old Style" w:hAnsi="Bookman Old Style" w:cs="Calibri"/>
                <w:bCs/>
                <w:sz w:val="12"/>
                <w:szCs w:val="12"/>
                <w:lang w:val="en-US"/>
              </w:rPr>
              <w:t xml:space="preserve"> </w:t>
            </w:r>
            <w:r w:rsidRPr="008379CA">
              <w:rPr>
                <w:rFonts w:ascii="Bookman Old Style" w:hAnsi="Bookman Old Style" w:cs="Calibri"/>
                <w:bCs/>
                <w:sz w:val="12"/>
                <w:szCs w:val="12"/>
                <w:lang w:val="en-US"/>
              </w:rPr>
              <w:t>Tahun</w:t>
            </w:r>
            <w:r w:rsidR="00A954D0" w:rsidRPr="008379CA">
              <w:rPr>
                <w:rFonts w:ascii="Bookman Old Style" w:hAnsi="Bookman Old Style" w:cs="Calibri"/>
                <w:bCs/>
                <w:sz w:val="12"/>
                <w:szCs w:val="12"/>
                <w:lang w:val="en-US"/>
              </w:rPr>
              <w:t xml:space="preserve"> </w:t>
            </w:r>
            <w:r w:rsidRPr="008379CA">
              <w:rPr>
                <w:rFonts w:ascii="Bookman Old Style" w:hAnsi="Bookman Old Style" w:cs="Calibri"/>
                <w:bCs/>
                <w:sz w:val="12"/>
                <w:szCs w:val="12"/>
                <w:lang w:val="en-US"/>
              </w:rPr>
              <w:t>Anggaran</w:t>
            </w:r>
            <w:r w:rsidR="00A954D0" w:rsidRPr="008379CA">
              <w:rPr>
                <w:rFonts w:ascii="Bookman Old Style" w:hAnsi="Bookman Old Style" w:cs="Calibri"/>
                <w:bCs/>
                <w:sz w:val="12"/>
                <w:szCs w:val="12"/>
                <w:lang w:val="en-US"/>
              </w:rPr>
              <w:t xml:space="preserve"> </w:t>
            </w:r>
            <w:r w:rsidRPr="008379CA">
              <w:rPr>
                <w:rFonts w:ascii="Bookman Old Style" w:hAnsi="Bookman Old Style" w:cs="Calibri"/>
                <w:bCs/>
                <w:sz w:val="12"/>
                <w:szCs w:val="12"/>
                <w:lang w:val="en-US"/>
              </w:rPr>
              <w:t>2023</w:t>
            </w:r>
            <w:r w:rsidRPr="008379CA">
              <w:rPr>
                <w:rFonts w:ascii="Bookman Old Style" w:hAnsi="Bookman Old Style" w:cs="Calibri"/>
                <w:bCs/>
                <w:sz w:val="12"/>
                <w:szCs w:val="12"/>
                <w:lang w:val="en-US"/>
              </w:rPr>
              <w:br/>
              <w:t>(Rp)</w:t>
            </w:r>
          </w:p>
        </w:tc>
        <w:tc>
          <w:tcPr>
            <w:tcW w:w="709" w:type="dxa"/>
            <w:shd w:val="clear" w:color="auto" w:fill="auto"/>
            <w:vAlign w:val="center"/>
            <w:hideMark/>
          </w:tcPr>
          <w:p w14:paraId="5D054991" w14:textId="77777777" w:rsidR="005A01E3" w:rsidRPr="008379CA" w:rsidRDefault="005A01E3" w:rsidP="005353EC">
            <w:pPr>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w:t>
            </w:r>
          </w:p>
          <w:p w14:paraId="2EE428CD" w14:textId="6A7B55A3" w:rsidR="005A01E3" w:rsidRPr="008379CA" w:rsidRDefault="005A01E3" w:rsidP="005353EC">
            <w:pPr>
              <w:jc w:val="center"/>
              <w:rPr>
                <w:rFonts w:ascii="Bookman Old Style" w:hAnsi="Bookman Old Style" w:cs="Calibri"/>
                <w:bCs/>
                <w:sz w:val="12"/>
                <w:szCs w:val="12"/>
                <w:lang w:val="en-US"/>
              </w:rPr>
            </w:pPr>
          </w:p>
        </w:tc>
        <w:tc>
          <w:tcPr>
            <w:tcW w:w="3119" w:type="dxa"/>
            <w:gridSpan w:val="2"/>
            <w:shd w:val="clear" w:color="auto" w:fill="auto"/>
            <w:vAlign w:val="center"/>
            <w:hideMark/>
          </w:tcPr>
          <w:p w14:paraId="01FE143F" w14:textId="11E637FF" w:rsidR="005A01E3" w:rsidRPr="008379CA" w:rsidRDefault="005A01E3" w:rsidP="00426D67">
            <w:pPr>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APBD</w:t>
            </w:r>
            <w:r w:rsidR="00A954D0" w:rsidRPr="008379CA">
              <w:rPr>
                <w:rFonts w:ascii="Bookman Old Style" w:hAnsi="Bookman Old Style" w:cs="Calibri"/>
                <w:bCs/>
                <w:sz w:val="12"/>
                <w:szCs w:val="12"/>
                <w:lang w:val="en-US"/>
              </w:rPr>
              <w:t xml:space="preserve"> </w:t>
            </w:r>
            <w:r w:rsidRPr="008379CA">
              <w:rPr>
                <w:rFonts w:ascii="Bookman Old Style" w:hAnsi="Bookman Old Style" w:cs="Calibri"/>
                <w:bCs/>
                <w:sz w:val="12"/>
                <w:szCs w:val="12"/>
                <w:lang w:val="en-US"/>
              </w:rPr>
              <w:t>Tahun</w:t>
            </w:r>
            <w:r w:rsidR="00A954D0" w:rsidRPr="008379CA">
              <w:rPr>
                <w:rFonts w:ascii="Bookman Old Style" w:hAnsi="Bookman Old Style" w:cs="Calibri"/>
                <w:bCs/>
                <w:sz w:val="12"/>
                <w:szCs w:val="12"/>
                <w:lang w:val="en-US"/>
              </w:rPr>
              <w:t xml:space="preserve"> </w:t>
            </w:r>
            <w:r w:rsidRPr="008379CA">
              <w:rPr>
                <w:rFonts w:ascii="Bookman Old Style" w:hAnsi="Bookman Old Style" w:cs="Calibri"/>
                <w:bCs/>
                <w:sz w:val="12"/>
                <w:szCs w:val="12"/>
                <w:lang w:val="en-US"/>
              </w:rPr>
              <w:t>Anggaran</w:t>
            </w:r>
            <w:r w:rsidR="00A954D0" w:rsidRPr="008379CA">
              <w:rPr>
                <w:rFonts w:ascii="Bookman Old Style" w:hAnsi="Bookman Old Style" w:cs="Calibri"/>
                <w:bCs/>
                <w:sz w:val="12"/>
                <w:szCs w:val="12"/>
                <w:lang w:val="en-US"/>
              </w:rPr>
              <w:t xml:space="preserve"> </w:t>
            </w:r>
            <w:r w:rsidRPr="008379CA">
              <w:rPr>
                <w:rFonts w:ascii="Bookman Old Style" w:hAnsi="Bookman Old Style" w:cs="Calibri"/>
                <w:bCs/>
                <w:sz w:val="12"/>
                <w:szCs w:val="12"/>
                <w:lang w:val="en-US"/>
              </w:rPr>
              <w:t>2024</w:t>
            </w:r>
            <w:r w:rsidRPr="008379CA">
              <w:rPr>
                <w:rFonts w:ascii="Bookman Old Style" w:hAnsi="Bookman Old Style" w:cs="Calibri"/>
                <w:bCs/>
                <w:sz w:val="12"/>
                <w:szCs w:val="12"/>
                <w:lang w:val="en-US"/>
              </w:rPr>
              <w:br/>
              <w:t>(Rp)</w:t>
            </w:r>
          </w:p>
        </w:tc>
        <w:tc>
          <w:tcPr>
            <w:tcW w:w="709" w:type="dxa"/>
            <w:shd w:val="clear" w:color="auto" w:fill="auto"/>
            <w:vAlign w:val="center"/>
            <w:hideMark/>
          </w:tcPr>
          <w:p w14:paraId="0B5B6B37" w14:textId="77777777" w:rsidR="005A01E3" w:rsidRPr="008379CA" w:rsidRDefault="005A01E3" w:rsidP="00426D67">
            <w:pPr>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w:t>
            </w:r>
          </w:p>
          <w:p w14:paraId="4D2CC48B" w14:textId="1BE435F7" w:rsidR="005A01E3" w:rsidRPr="008379CA" w:rsidRDefault="00A954D0" w:rsidP="00426D67">
            <w:pPr>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 xml:space="preserve"> </w:t>
            </w:r>
          </w:p>
        </w:tc>
        <w:tc>
          <w:tcPr>
            <w:tcW w:w="1559" w:type="dxa"/>
            <w:vAlign w:val="center"/>
          </w:tcPr>
          <w:p w14:paraId="06688723" w14:textId="27E274C2" w:rsidR="005A01E3" w:rsidRPr="008379CA" w:rsidRDefault="005A01E3" w:rsidP="00426D67">
            <w:pPr>
              <w:jc w:val="center"/>
              <w:rPr>
                <w:rFonts w:ascii="Bookman Old Style" w:hAnsi="Bookman Old Style" w:cs="Calibri"/>
                <w:sz w:val="12"/>
                <w:szCs w:val="12"/>
                <w:lang w:val="sv-FI"/>
              </w:rPr>
            </w:pPr>
            <w:r w:rsidRPr="008379CA">
              <w:rPr>
                <w:rFonts w:ascii="Bookman Old Style" w:hAnsi="Bookman Old Style" w:cs="Calibri"/>
                <w:bCs/>
                <w:sz w:val="12"/>
                <w:szCs w:val="12"/>
                <w:lang w:val="sv-FI"/>
              </w:rPr>
              <w:t>Rancangan</w:t>
            </w:r>
            <w:r w:rsidR="00A954D0" w:rsidRPr="008379CA">
              <w:rPr>
                <w:rFonts w:ascii="Bookman Old Style" w:hAnsi="Bookman Old Style" w:cs="Calibri"/>
                <w:bCs/>
                <w:sz w:val="12"/>
                <w:szCs w:val="12"/>
                <w:lang w:val="sv-FI"/>
              </w:rPr>
              <w:t xml:space="preserve"> </w:t>
            </w:r>
            <w:r w:rsidRPr="008379CA">
              <w:rPr>
                <w:rFonts w:ascii="Bookman Old Style" w:hAnsi="Bookman Old Style" w:cs="Calibri"/>
                <w:bCs/>
                <w:sz w:val="12"/>
                <w:szCs w:val="12"/>
                <w:lang w:val="sv-FI"/>
              </w:rPr>
              <w:t>APBD</w:t>
            </w:r>
            <w:r w:rsidR="00A954D0" w:rsidRPr="008379CA">
              <w:rPr>
                <w:rFonts w:ascii="Bookman Old Style" w:hAnsi="Bookman Old Style" w:cs="Calibri"/>
                <w:bCs/>
                <w:sz w:val="12"/>
                <w:szCs w:val="12"/>
                <w:lang w:val="sv-FI"/>
              </w:rPr>
              <w:t xml:space="preserve"> </w:t>
            </w:r>
            <w:r w:rsidRPr="008379CA">
              <w:rPr>
                <w:rFonts w:ascii="Bookman Old Style" w:hAnsi="Bookman Old Style" w:cs="Calibri"/>
                <w:bCs/>
                <w:sz w:val="12"/>
                <w:szCs w:val="12"/>
                <w:lang w:val="sv-FI"/>
              </w:rPr>
              <w:t>Tahun</w:t>
            </w:r>
            <w:r w:rsidR="00A954D0" w:rsidRPr="008379CA">
              <w:rPr>
                <w:rFonts w:ascii="Bookman Old Style" w:hAnsi="Bookman Old Style" w:cs="Calibri"/>
                <w:bCs/>
                <w:sz w:val="12"/>
                <w:szCs w:val="12"/>
                <w:lang w:val="sv-FI"/>
              </w:rPr>
              <w:t xml:space="preserve"> </w:t>
            </w:r>
            <w:r w:rsidRPr="008379CA">
              <w:rPr>
                <w:rFonts w:ascii="Bookman Old Style" w:hAnsi="Bookman Old Style" w:cs="Calibri"/>
                <w:bCs/>
                <w:sz w:val="12"/>
                <w:szCs w:val="12"/>
                <w:lang w:val="sv-FI"/>
              </w:rPr>
              <w:t>Anggaran</w:t>
            </w:r>
            <w:r w:rsidR="00A954D0" w:rsidRPr="008379CA">
              <w:rPr>
                <w:rFonts w:ascii="Bookman Old Style" w:hAnsi="Bookman Old Style" w:cs="Calibri"/>
                <w:bCs/>
                <w:sz w:val="12"/>
                <w:szCs w:val="12"/>
                <w:lang w:val="sv-FI"/>
              </w:rPr>
              <w:t xml:space="preserve"> </w:t>
            </w:r>
            <w:r w:rsidRPr="008379CA">
              <w:rPr>
                <w:rFonts w:ascii="Bookman Old Style" w:hAnsi="Bookman Old Style" w:cs="Calibri"/>
                <w:bCs/>
                <w:sz w:val="12"/>
                <w:szCs w:val="12"/>
                <w:lang w:val="sv-FI"/>
              </w:rPr>
              <w:t>2025</w:t>
            </w:r>
            <w:r w:rsidRPr="008379CA">
              <w:rPr>
                <w:rFonts w:ascii="Bookman Old Style" w:hAnsi="Bookman Old Style" w:cs="Calibri"/>
                <w:bCs/>
                <w:sz w:val="12"/>
                <w:szCs w:val="12"/>
                <w:lang w:val="sv-FI"/>
              </w:rPr>
              <w:br/>
              <w:t>(Rp)</w:t>
            </w:r>
          </w:p>
        </w:tc>
        <w:tc>
          <w:tcPr>
            <w:tcW w:w="850" w:type="dxa"/>
            <w:shd w:val="clear" w:color="auto" w:fill="auto"/>
            <w:vAlign w:val="center"/>
            <w:hideMark/>
          </w:tcPr>
          <w:p w14:paraId="497CF5BB" w14:textId="06DB55DF" w:rsidR="005A01E3" w:rsidRPr="008379CA" w:rsidRDefault="005A01E3" w:rsidP="00426D67">
            <w:pPr>
              <w:jc w:val="center"/>
              <w:rPr>
                <w:rFonts w:ascii="Bookman Old Style" w:hAnsi="Bookman Old Style" w:cs="Calibri"/>
                <w:sz w:val="12"/>
                <w:szCs w:val="12"/>
                <w:lang w:val="sv-FI"/>
              </w:rPr>
            </w:pPr>
            <w:r w:rsidRPr="008379CA">
              <w:rPr>
                <w:rFonts w:ascii="Bookman Old Style" w:hAnsi="Bookman Old Style" w:cs="Calibri"/>
                <w:sz w:val="12"/>
                <w:szCs w:val="12"/>
                <w:lang w:val="sv-FI"/>
              </w:rPr>
              <w:t>Rasio</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dari</w:t>
            </w:r>
            <w:r w:rsidR="00A954D0" w:rsidRPr="008379CA">
              <w:rPr>
                <w:rFonts w:ascii="Bookman Old Style" w:hAnsi="Bookman Old Style" w:cs="Calibri"/>
                <w:sz w:val="12"/>
                <w:szCs w:val="12"/>
                <w:lang w:val="id-ID"/>
              </w:rPr>
              <w:t xml:space="preserve"> </w:t>
            </w:r>
            <w:r w:rsidRPr="008379CA">
              <w:rPr>
                <w:rFonts w:ascii="Bookman Old Style" w:hAnsi="Bookman Old Style" w:cs="Calibri"/>
                <w:sz w:val="12"/>
                <w:szCs w:val="12"/>
                <w:lang w:val="sv-FI"/>
              </w:rPr>
              <w:t>Target</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APBD</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Tahun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Anggaran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2023</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dan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Target</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APBD</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Tahun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Anggaran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2022</w:t>
            </w:r>
          </w:p>
          <w:p w14:paraId="59EBF168" w14:textId="77777777" w:rsidR="005A01E3" w:rsidRPr="008379CA" w:rsidRDefault="005A01E3" w:rsidP="00426D67">
            <w:pPr>
              <w:jc w:val="center"/>
              <w:rPr>
                <w:rFonts w:ascii="Bookman Old Style" w:hAnsi="Bookman Old Style" w:cs="Calibri"/>
                <w:bCs/>
                <w:sz w:val="12"/>
                <w:szCs w:val="12"/>
                <w:lang w:val="en-US"/>
              </w:rPr>
            </w:pPr>
            <w:r w:rsidRPr="008379CA">
              <w:rPr>
                <w:rFonts w:ascii="Bookman Old Style" w:hAnsi="Bookman Old Style" w:cs="Calibri"/>
                <w:sz w:val="12"/>
                <w:szCs w:val="12"/>
              </w:rPr>
              <w:t>(%)</w:t>
            </w:r>
          </w:p>
          <w:p w14:paraId="4B9900E4" w14:textId="0C70E56D" w:rsidR="005A01E3" w:rsidRPr="008379CA" w:rsidRDefault="00A954D0" w:rsidP="00426D67">
            <w:pPr>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 xml:space="preserve"> </w:t>
            </w:r>
          </w:p>
        </w:tc>
        <w:tc>
          <w:tcPr>
            <w:tcW w:w="850" w:type="dxa"/>
            <w:shd w:val="clear" w:color="auto" w:fill="auto"/>
            <w:vAlign w:val="center"/>
            <w:hideMark/>
          </w:tcPr>
          <w:p w14:paraId="47C40A10" w14:textId="005630BC" w:rsidR="005A01E3" w:rsidRPr="008379CA" w:rsidRDefault="005A01E3" w:rsidP="00426D67">
            <w:pPr>
              <w:jc w:val="center"/>
              <w:rPr>
                <w:rFonts w:ascii="Bookman Old Style" w:hAnsi="Bookman Old Style" w:cs="Calibri"/>
                <w:sz w:val="12"/>
                <w:szCs w:val="12"/>
                <w:lang w:val="sv-FI"/>
              </w:rPr>
            </w:pPr>
            <w:r w:rsidRPr="008379CA">
              <w:rPr>
                <w:rFonts w:ascii="Bookman Old Style" w:hAnsi="Bookman Old Style" w:cs="Calibri"/>
                <w:sz w:val="12"/>
                <w:szCs w:val="12"/>
                <w:lang w:val="sv-FI"/>
              </w:rPr>
              <w:t>Rasio</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dari</w:t>
            </w:r>
            <w:r w:rsidR="00A954D0" w:rsidRPr="008379CA">
              <w:rPr>
                <w:rFonts w:ascii="Bookman Old Style" w:hAnsi="Bookman Old Style" w:cs="Calibri"/>
                <w:sz w:val="12"/>
                <w:szCs w:val="12"/>
                <w:lang w:val="id-ID"/>
              </w:rPr>
              <w:t xml:space="preserve"> </w:t>
            </w:r>
            <w:r w:rsidRPr="008379CA">
              <w:rPr>
                <w:rFonts w:ascii="Bookman Old Style" w:hAnsi="Bookman Old Style" w:cs="Calibri"/>
                <w:sz w:val="12"/>
                <w:szCs w:val="12"/>
                <w:lang w:val="sv-FI"/>
              </w:rPr>
              <w:t>Target</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APBD</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Tahun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Anggaran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2024</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dan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Target</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APBD</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Tahun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Anggaran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2023</w:t>
            </w:r>
          </w:p>
          <w:p w14:paraId="46C2DC7B" w14:textId="77777777" w:rsidR="005A01E3" w:rsidRPr="008379CA" w:rsidRDefault="005A01E3" w:rsidP="00426D67">
            <w:pPr>
              <w:jc w:val="center"/>
              <w:rPr>
                <w:rFonts w:ascii="Bookman Old Style" w:hAnsi="Bookman Old Style" w:cs="Calibri"/>
                <w:bCs/>
                <w:sz w:val="12"/>
                <w:szCs w:val="12"/>
                <w:lang w:val="en-US"/>
              </w:rPr>
            </w:pPr>
            <w:r w:rsidRPr="008379CA">
              <w:rPr>
                <w:rFonts w:ascii="Bookman Old Style" w:hAnsi="Bookman Old Style" w:cs="Calibri"/>
                <w:sz w:val="12"/>
                <w:szCs w:val="12"/>
              </w:rPr>
              <w:t>(%)</w:t>
            </w:r>
          </w:p>
          <w:p w14:paraId="3C913E44" w14:textId="3D7E8485" w:rsidR="005A01E3" w:rsidRPr="008379CA" w:rsidRDefault="00A954D0" w:rsidP="00426D67">
            <w:pPr>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 xml:space="preserve"> </w:t>
            </w:r>
          </w:p>
        </w:tc>
        <w:tc>
          <w:tcPr>
            <w:tcW w:w="992" w:type="dxa"/>
            <w:shd w:val="clear" w:color="auto" w:fill="auto"/>
            <w:vAlign w:val="center"/>
            <w:hideMark/>
          </w:tcPr>
          <w:p w14:paraId="2B0E798A" w14:textId="649BEEBF" w:rsidR="005A01E3" w:rsidRPr="008379CA" w:rsidRDefault="005A01E3" w:rsidP="00426D67">
            <w:pPr>
              <w:jc w:val="center"/>
              <w:rPr>
                <w:rFonts w:ascii="Bookman Old Style" w:hAnsi="Bookman Old Style" w:cs="Calibri"/>
                <w:sz w:val="12"/>
                <w:szCs w:val="12"/>
                <w:lang w:val="sv-FI"/>
              </w:rPr>
            </w:pPr>
            <w:r w:rsidRPr="008379CA">
              <w:rPr>
                <w:rFonts w:ascii="Bookman Old Style" w:hAnsi="Bookman Old Style" w:cs="Calibri"/>
                <w:sz w:val="12"/>
                <w:szCs w:val="12"/>
                <w:lang w:val="sv-FI"/>
              </w:rPr>
              <w:t>Rasio</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dari</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Target</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Rancangan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APBD</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Tahun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Anggaran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2025</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dan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Target</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APBD</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Tahun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Anggaran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2024</w:t>
            </w:r>
          </w:p>
          <w:p w14:paraId="65597DDE" w14:textId="77777777" w:rsidR="005A01E3" w:rsidRPr="008379CA" w:rsidRDefault="005A01E3" w:rsidP="00426D67">
            <w:pPr>
              <w:jc w:val="center"/>
              <w:rPr>
                <w:rFonts w:ascii="Bookman Old Style" w:hAnsi="Bookman Old Style" w:cs="Calibri"/>
                <w:bCs/>
                <w:sz w:val="12"/>
                <w:szCs w:val="12"/>
                <w:lang w:val="en-US"/>
              </w:rPr>
            </w:pPr>
            <w:r w:rsidRPr="008379CA">
              <w:rPr>
                <w:rFonts w:ascii="Bookman Old Style" w:hAnsi="Bookman Old Style" w:cs="Calibri"/>
                <w:sz w:val="12"/>
                <w:szCs w:val="12"/>
              </w:rPr>
              <w:t>(%)</w:t>
            </w:r>
          </w:p>
          <w:p w14:paraId="353EAC94" w14:textId="517F6763" w:rsidR="005A01E3" w:rsidRPr="008379CA" w:rsidRDefault="00A954D0" w:rsidP="00426D67">
            <w:pPr>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 xml:space="preserve"> </w:t>
            </w:r>
          </w:p>
        </w:tc>
        <w:tc>
          <w:tcPr>
            <w:tcW w:w="965" w:type="dxa"/>
            <w:shd w:val="clear" w:color="auto" w:fill="auto"/>
            <w:vAlign w:val="center"/>
            <w:hideMark/>
          </w:tcPr>
          <w:p w14:paraId="406F7811" w14:textId="77777777" w:rsidR="005A01E3" w:rsidRPr="008379CA" w:rsidRDefault="005A01E3" w:rsidP="00426D67">
            <w:pPr>
              <w:jc w:val="center"/>
              <w:rPr>
                <w:rFonts w:ascii="Bookman Old Style" w:hAnsi="Bookman Old Style" w:cs="Calibri"/>
                <w:sz w:val="12"/>
                <w:szCs w:val="12"/>
                <w:lang w:val="en-US"/>
              </w:rPr>
            </w:pPr>
            <w:r w:rsidRPr="008379CA">
              <w:rPr>
                <w:rFonts w:ascii="Bookman Old Style" w:hAnsi="Bookman Old Style" w:cs="Calibri"/>
                <w:sz w:val="12"/>
                <w:szCs w:val="12"/>
                <w:lang w:val="en-US"/>
              </w:rPr>
              <w:t>Rata-Rata</w:t>
            </w:r>
          </w:p>
          <w:p w14:paraId="0F5DF6E6" w14:textId="26250877" w:rsidR="005A01E3" w:rsidRPr="008379CA" w:rsidRDefault="00A954D0" w:rsidP="00426D67">
            <w:pPr>
              <w:jc w:val="center"/>
              <w:rPr>
                <w:rFonts w:ascii="Bookman Old Style" w:hAnsi="Bookman Old Style" w:cs="Calibri"/>
                <w:sz w:val="12"/>
                <w:szCs w:val="12"/>
              </w:rPr>
            </w:pPr>
            <w:r w:rsidRPr="008379CA">
              <w:rPr>
                <w:rFonts w:ascii="Bookman Old Style" w:hAnsi="Bookman Old Style" w:cs="Calibri"/>
                <w:sz w:val="12"/>
                <w:szCs w:val="12"/>
                <w:lang w:val="en-US"/>
              </w:rPr>
              <w:t xml:space="preserve"> </w:t>
            </w:r>
            <w:r w:rsidR="005A01E3" w:rsidRPr="008379CA">
              <w:rPr>
                <w:rFonts w:ascii="Bookman Old Style" w:hAnsi="Bookman Old Style" w:cs="Calibri"/>
                <w:sz w:val="12"/>
                <w:szCs w:val="12"/>
                <w:lang w:val="en-US"/>
              </w:rPr>
              <w:t>Rasio</w:t>
            </w:r>
            <w:r w:rsidRPr="008379CA">
              <w:rPr>
                <w:rFonts w:ascii="Bookman Old Style" w:hAnsi="Bookman Old Style" w:cs="Calibri"/>
                <w:sz w:val="12"/>
                <w:szCs w:val="12"/>
                <w:lang w:val="id-ID"/>
              </w:rPr>
              <w:t xml:space="preserve"> </w:t>
            </w:r>
          </w:p>
          <w:p w14:paraId="22D59D6A" w14:textId="77777777" w:rsidR="005A01E3" w:rsidRPr="008379CA" w:rsidRDefault="005A01E3" w:rsidP="00426D67">
            <w:pPr>
              <w:jc w:val="center"/>
              <w:rPr>
                <w:rFonts w:ascii="Bookman Old Style" w:hAnsi="Bookman Old Style" w:cs="Calibri"/>
                <w:bCs/>
                <w:sz w:val="12"/>
                <w:szCs w:val="12"/>
                <w:lang w:val="en-US"/>
              </w:rPr>
            </w:pPr>
            <w:r w:rsidRPr="008379CA">
              <w:rPr>
                <w:rFonts w:ascii="Bookman Old Style" w:hAnsi="Bookman Old Style" w:cs="Calibri"/>
                <w:sz w:val="12"/>
                <w:szCs w:val="12"/>
              </w:rPr>
              <w:t>(%)</w:t>
            </w:r>
          </w:p>
          <w:p w14:paraId="7804A666" w14:textId="44FC6148" w:rsidR="005A01E3" w:rsidRPr="008379CA" w:rsidRDefault="00A954D0" w:rsidP="00426D67">
            <w:pPr>
              <w:rPr>
                <w:rFonts w:ascii="Bookman Old Style" w:hAnsi="Bookman Old Style" w:cs="Calibri"/>
                <w:bCs/>
                <w:sz w:val="12"/>
                <w:szCs w:val="12"/>
                <w:lang w:val="en-US"/>
              </w:rPr>
            </w:pPr>
            <w:r w:rsidRPr="008379CA">
              <w:rPr>
                <w:rFonts w:ascii="Bookman Old Style" w:hAnsi="Bookman Old Style" w:cs="Calibri"/>
                <w:sz w:val="12"/>
                <w:szCs w:val="12"/>
                <w:lang w:val="en-US"/>
              </w:rPr>
              <w:t xml:space="preserve"> </w:t>
            </w:r>
          </w:p>
        </w:tc>
      </w:tr>
      <w:tr w:rsidR="008379CA" w:rsidRPr="008379CA" w14:paraId="7AFED8A3" w14:textId="77777777" w:rsidTr="00600933">
        <w:trPr>
          <w:trHeight w:val="312"/>
          <w:tblHeader/>
        </w:trPr>
        <w:tc>
          <w:tcPr>
            <w:tcW w:w="1134" w:type="dxa"/>
            <w:vMerge/>
            <w:vAlign w:val="center"/>
            <w:hideMark/>
          </w:tcPr>
          <w:p w14:paraId="2A145FFC" w14:textId="77777777" w:rsidR="005A01E3" w:rsidRPr="008379CA" w:rsidRDefault="005A01E3" w:rsidP="009E41BD">
            <w:pPr>
              <w:rPr>
                <w:rFonts w:ascii="Bookman Old Style" w:hAnsi="Bookman Old Style" w:cs="Calibri"/>
                <w:bCs/>
                <w:sz w:val="12"/>
                <w:szCs w:val="12"/>
                <w:lang w:val="en-US"/>
              </w:rPr>
            </w:pPr>
          </w:p>
        </w:tc>
        <w:tc>
          <w:tcPr>
            <w:tcW w:w="1701" w:type="dxa"/>
            <w:shd w:val="clear" w:color="auto" w:fill="auto"/>
            <w:vAlign w:val="center"/>
            <w:hideMark/>
          </w:tcPr>
          <w:p w14:paraId="6AB31A77" w14:textId="3F44C564" w:rsidR="005A01E3" w:rsidRPr="008379CA" w:rsidRDefault="005A01E3" w:rsidP="009E41BD">
            <w:pPr>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Anggaran</w:t>
            </w:r>
          </w:p>
        </w:tc>
        <w:tc>
          <w:tcPr>
            <w:tcW w:w="1531" w:type="dxa"/>
            <w:shd w:val="clear" w:color="auto" w:fill="auto"/>
            <w:vAlign w:val="center"/>
            <w:hideMark/>
          </w:tcPr>
          <w:p w14:paraId="740B31DA" w14:textId="77777777" w:rsidR="005A01E3" w:rsidRPr="008379CA" w:rsidRDefault="005A01E3" w:rsidP="009E41BD">
            <w:pPr>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Realisasi</w:t>
            </w:r>
          </w:p>
        </w:tc>
        <w:tc>
          <w:tcPr>
            <w:tcW w:w="709" w:type="dxa"/>
            <w:shd w:val="clear" w:color="auto" w:fill="auto"/>
            <w:vAlign w:val="center"/>
            <w:hideMark/>
          </w:tcPr>
          <w:p w14:paraId="6C84643D" w14:textId="77777777" w:rsidR="005A01E3" w:rsidRPr="008379CA" w:rsidRDefault="005A01E3" w:rsidP="005353EC">
            <w:pPr>
              <w:jc w:val="center"/>
              <w:rPr>
                <w:rFonts w:ascii="Bookman Old Style" w:hAnsi="Bookman Old Style" w:cs="Calibri"/>
                <w:bCs/>
                <w:sz w:val="12"/>
                <w:szCs w:val="12"/>
                <w:lang w:val="en-US"/>
              </w:rPr>
            </w:pPr>
          </w:p>
        </w:tc>
        <w:tc>
          <w:tcPr>
            <w:tcW w:w="1559" w:type="dxa"/>
            <w:shd w:val="clear" w:color="auto" w:fill="auto"/>
            <w:vAlign w:val="center"/>
            <w:hideMark/>
          </w:tcPr>
          <w:p w14:paraId="2E0675AB" w14:textId="0C0BF364" w:rsidR="005A01E3" w:rsidRPr="008379CA" w:rsidRDefault="005A01E3" w:rsidP="009E41BD">
            <w:pPr>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Anggaran</w:t>
            </w:r>
          </w:p>
        </w:tc>
        <w:tc>
          <w:tcPr>
            <w:tcW w:w="1559" w:type="dxa"/>
            <w:shd w:val="clear" w:color="auto" w:fill="auto"/>
            <w:vAlign w:val="center"/>
            <w:hideMark/>
          </w:tcPr>
          <w:p w14:paraId="48DCDE30" w14:textId="77777777" w:rsidR="005A01E3" w:rsidRPr="008379CA" w:rsidRDefault="005A01E3" w:rsidP="009E41BD">
            <w:pPr>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Realisasi</w:t>
            </w:r>
          </w:p>
        </w:tc>
        <w:tc>
          <w:tcPr>
            <w:tcW w:w="709" w:type="dxa"/>
            <w:shd w:val="clear" w:color="auto" w:fill="auto"/>
            <w:vAlign w:val="center"/>
            <w:hideMark/>
          </w:tcPr>
          <w:p w14:paraId="5C44B2B3" w14:textId="77777777" w:rsidR="005A01E3" w:rsidRPr="008379CA" w:rsidRDefault="005A01E3" w:rsidP="005353EC">
            <w:pPr>
              <w:jc w:val="center"/>
              <w:rPr>
                <w:rFonts w:ascii="Bookman Old Style" w:hAnsi="Bookman Old Style" w:cs="Calibri"/>
                <w:bCs/>
                <w:sz w:val="12"/>
                <w:szCs w:val="12"/>
                <w:lang w:val="en-US"/>
              </w:rPr>
            </w:pPr>
          </w:p>
        </w:tc>
        <w:tc>
          <w:tcPr>
            <w:tcW w:w="1559" w:type="dxa"/>
            <w:shd w:val="clear" w:color="auto" w:fill="auto"/>
            <w:vAlign w:val="center"/>
            <w:hideMark/>
          </w:tcPr>
          <w:p w14:paraId="52886002" w14:textId="37241C9F" w:rsidR="005A01E3" w:rsidRPr="008379CA" w:rsidRDefault="005A01E3" w:rsidP="009E41BD">
            <w:pPr>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Anggaran</w:t>
            </w:r>
          </w:p>
        </w:tc>
        <w:tc>
          <w:tcPr>
            <w:tcW w:w="1560" w:type="dxa"/>
            <w:shd w:val="clear" w:color="auto" w:fill="auto"/>
            <w:vAlign w:val="center"/>
            <w:hideMark/>
          </w:tcPr>
          <w:p w14:paraId="54D8048B" w14:textId="16936683" w:rsidR="005A01E3" w:rsidRPr="008379CA" w:rsidRDefault="005A01E3" w:rsidP="009E41BD">
            <w:pPr>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Realisasi*)</w:t>
            </w:r>
          </w:p>
        </w:tc>
        <w:tc>
          <w:tcPr>
            <w:tcW w:w="709" w:type="dxa"/>
            <w:shd w:val="clear" w:color="auto" w:fill="auto"/>
            <w:vAlign w:val="center"/>
            <w:hideMark/>
          </w:tcPr>
          <w:p w14:paraId="7E331DD6" w14:textId="77777777" w:rsidR="005A01E3" w:rsidRPr="008379CA" w:rsidRDefault="005A01E3" w:rsidP="009E41BD">
            <w:pPr>
              <w:jc w:val="center"/>
              <w:rPr>
                <w:rFonts w:ascii="Bookman Old Style" w:hAnsi="Bookman Old Style" w:cs="Calibri"/>
                <w:bCs/>
                <w:sz w:val="12"/>
                <w:szCs w:val="12"/>
                <w:lang w:val="en-US"/>
              </w:rPr>
            </w:pPr>
          </w:p>
        </w:tc>
        <w:tc>
          <w:tcPr>
            <w:tcW w:w="1559" w:type="dxa"/>
            <w:vAlign w:val="center"/>
          </w:tcPr>
          <w:p w14:paraId="07F458D5" w14:textId="0B9A7D24" w:rsidR="005A01E3" w:rsidRPr="008379CA" w:rsidRDefault="005A01E3" w:rsidP="009E41BD">
            <w:pPr>
              <w:jc w:val="center"/>
              <w:rPr>
                <w:rFonts w:ascii="Bookman Old Style" w:hAnsi="Bookman Old Style" w:cs="Calibri"/>
                <w:bCs/>
                <w:sz w:val="12"/>
                <w:szCs w:val="12"/>
                <w:lang w:val="en-US"/>
              </w:rPr>
            </w:pPr>
          </w:p>
        </w:tc>
        <w:tc>
          <w:tcPr>
            <w:tcW w:w="850" w:type="dxa"/>
            <w:shd w:val="clear" w:color="auto" w:fill="auto"/>
            <w:vAlign w:val="center"/>
            <w:hideMark/>
          </w:tcPr>
          <w:p w14:paraId="0A0C96AD" w14:textId="731501D6" w:rsidR="005A01E3" w:rsidRPr="008379CA" w:rsidRDefault="005A01E3" w:rsidP="009E41BD">
            <w:pPr>
              <w:jc w:val="center"/>
              <w:rPr>
                <w:rFonts w:ascii="Bookman Old Style" w:hAnsi="Bookman Old Style" w:cs="Calibri"/>
                <w:bCs/>
                <w:sz w:val="12"/>
                <w:szCs w:val="12"/>
                <w:lang w:val="en-US"/>
              </w:rPr>
            </w:pPr>
          </w:p>
        </w:tc>
        <w:tc>
          <w:tcPr>
            <w:tcW w:w="850" w:type="dxa"/>
            <w:shd w:val="clear" w:color="auto" w:fill="auto"/>
            <w:vAlign w:val="center"/>
            <w:hideMark/>
          </w:tcPr>
          <w:p w14:paraId="1FFD2F1C" w14:textId="77777777" w:rsidR="005A01E3" w:rsidRPr="008379CA" w:rsidRDefault="005A01E3" w:rsidP="009E41BD">
            <w:pPr>
              <w:jc w:val="center"/>
              <w:rPr>
                <w:rFonts w:ascii="Bookman Old Style" w:hAnsi="Bookman Old Style" w:cs="Calibri"/>
                <w:bCs/>
                <w:sz w:val="12"/>
                <w:szCs w:val="12"/>
                <w:lang w:val="en-US"/>
              </w:rPr>
            </w:pPr>
          </w:p>
        </w:tc>
        <w:tc>
          <w:tcPr>
            <w:tcW w:w="992" w:type="dxa"/>
            <w:shd w:val="clear" w:color="auto" w:fill="auto"/>
            <w:vAlign w:val="center"/>
            <w:hideMark/>
          </w:tcPr>
          <w:p w14:paraId="4F050ADB" w14:textId="77777777" w:rsidR="005A01E3" w:rsidRPr="008379CA" w:rsidRDefault="005A01E3" w:rsidP="009E41BD">
            <w:pPr>
              <w:jc w:val="center"/>
              <w:rPr>
                <w:rFonts w:ascii="Bookman Old Style" w:hAnsi="Bookman Old Style" w:cs="Calibri"/>
                <w:bCs/>
                <w:sz w:val="12"/>
                <w:szCs w:val="12"/>
                <w:lang w:val="en-US"/>
              </w:rPr>
            </w:pPr>
          </w:p>
        </w:tc>
        <w:tc>
          <w:tcPr>
            <w:tcW w:w="965" w:type="dxa"/>
            <w:shd w:val="clear" w:color="auto" w:fill="auto"/>
            <w:noWrap/>
            <w:vAlign w:val="center"/>
            <w:hideMark/>
          </w:tcPr>
          <w:p w14:paraId="0F7E4A8E" w14:textId="77777777" w:rsidR="005A01E3" w:rsidRPr="008379CA" w:rsidRDefault="005A01E3" w:rsidP="009E41BD">
            <w:pPr>
              <w:rPr>
                <w:rFonts w:ascii="Bookman Old Style" w:hAnsi="Bookman Old Style" w:cs="Calibri"/>
                <w:sz w:val="12"/>
                <w:szCs w:val="12"/>
                <w:lang w:val="en-US"/>
              </w:rPr>
            </w:pPr>
          </w:p>
        </w:tc>
      </w:tr>
      <w:tr w:rsidR="008379CA" w:rsidRPr="008379CA" w14:paraId="684D7FBD" w14:textId="77777777" w:rsidTr="00600933">
        <w:trPr>
          <w:trHeight w:val="312"/>
        </w:trPr>
        <w:tc>
          <w:tcPr>
            <w:tcW w:w="1134" w:type="dxa"/>
            <w:shd w:val="clear" w:color="auto" w:fill="auto"/>
            <w:vAlign w:val="center"/>
          </w:tcPr>
          <w:p w14:paraId="1270B495" w14:textId="62AACD7D" w:rsidR="0047356A" w:rsidRPr="008379CA" w:rsidRDefault="0047356A" w:rsidP="0047356A">
            <w:pPr>
              <w:jc w:val="center"/>
              <w:rPr>
                <w:rFonts w:ascii="Bookman Old Style" w:hAnsi="Bookman Old Style" w:cs="Calibri"/>
                <w:b/>
                <w:bCs/>
                <w:sz w:val="12"/>
                <w:szCs w:val="12"/>
              </w:rPr>
            </w:pPr>
            <w:r w:rsidRPr="008379CA">
              <w:rPr>
                <w:rFonts w:ascii="Bookman Old Style" w:hAnsi="Bookman Old Style" w:cs="Calibri"/>
                <w:b/>
                <w:bCs/>
                <w:sz w:val="12"/>
                <w:szCs w:val="12"/>
                <w:lang w:val="en-US"/>
              </w:rPr>
              <w:t>1</w:t>
            </w:r>
          </w:p>
        </w:tc>
        <w:tc>
          <w:tcPr>
            <w:tcW w:w="1701" w:type="dxa"/>
            <w:shd w:val="clear" w:color="auto" w:fill="auto"/>
            <w:vAlign w:val="center"/>
          </w:tcPr>
          <w:p w14:paraId="08CC634B" w14:textId="4D9A1BE3" w:rsidR="0047356A" w:rsidRPr="008379CA" w:rsidRDefault="0047356A" w:rsidP="0047356A">
            <w:pPr>
              <w:jc w:val="center"/>
              <w:rPr>
                <w:rFonts w:ascii="Bookman Old Style" w:hAnsi="Bookman Old Style" w:cs="Calibri"/>
                <w:b/>
                <w:sz w:val="12"/>
                <w:szCs w:val="12"/>
                <w:lang w:val="en-US"/>
              </w:rPr>
            </w:pPr>
            <w:r w:rsidRPr="008379CA">
              <w:rPr>
                <w:rFonts w:ascii="Bookman Old Style" w:hAnsi="Bookman Old Style" w:cs="Calibri"/>
                <w:b/>
                <w:bCs/>
                <w:sz w:val="12"/>
                <w:szCs w:val="12"/>
                <w:lang w:val="en-US"/>
              </w:rPr>
              <w:t>2</w:t>
            </w:r>
          </w:p>
        </w:tc>
        <w:tc>
          <w:tcPr>
            <w:tcW w:w="1531" w:type="dxa"/>
            <w:shd w:val="clear" w:color="auto" w:fill="auto"/>
            <w:vAlign w:val="center"/>
          </w:tcPr>
          <w:p w14:paraId="2409D956" w14:textId="2C2CA763" w:rsidR="0047356A" w:rsidRPr="008379CA" w:rsidRDefault="0047356A" w:rsidP="0047356A">
            <w:pPr>
              <w:jc w:val="center"/>
              <w:rPr>
                <w:rFonts w:ascii="Bookman Old Style" w:hAnsi="Bookman Old Style" w:cs="Calibri"/>
                <w:b/>
                <w:sz w:val="12"/>
                <w:szCs w:val="12"/>
                <w:lang w:val="en-US"/>
              </w:rPr>
            </w:pPr>
            <w:r w:rsidRPr="008379CA">
              <w:rPr>
                <w:rFonts w:ascii="Bookman Old Style" w:hAnsi="Bookman Old Style" w:cs="Calibri"/>
                <w:b/>
                <w:bCs/>
                <w:sz w:val="12"/>
                <w:szCs w:val="12"/>
                <w:lang w:val="en-US"/>
              </w:rPr>
              <w:t>3</w:t>
            </w:r>
          </w:p>
        </w:tc>
        <w:tc>
          <w:tcPr>
            <w:tcW w:w="709" w:type="dxa"/>
            <w:shd w:val="clear" w:color="auto" w:fill="auto"/>
            <w:vAlign w:val="center"/>
          </w:tcPr>
          <w:p w14:paraId="28E38EB6" w14:textId="481E4539" w:rsidR="0047356A" w:rsidRPr="008379CA" w:rsidRDefault="0047356A" w:rsidP="005353EC">
            <w:pPr>
              <w:jc w:val="center"/>
              <w:rPr>
                <w:rFonts w:ascii="Bookman Old Style" w:hAnsi="Bookman Old Style" w:cs="Calibri"/>
                <w:b/>
                <w:sz w:val="12"/>
                <w:szCs w:val="12"/>
                <w:lang w:val="en-US"/>
              </w:rPr>
            </w:pPr>
            <w:r w:rsidRPr="008379CA">
              <w:rPr>
                <w:rFonts w:ascii="Bookman Old Style" w:hAnsi="Bookman Old Style" w:cs="Calibri"/>
                <w:b/>
                <w:bCs/>
                <w:sz w:val="12"/>
                <w:szCs w:val="12"/>
                <w:lang w:val="en-US"/>
              </w:rPr>
              <w:t>4=3/2</w:t>
            </w:r>
          </w:p>
        </w:tc>
        <w:tc>
          <w:tcPr>
            <w:tcW w:w="1559" w:type="dxa"/>
            <w:shd w:val="clear" w:color="auto" w:fill="auto"/>
            <w:vAlign w:val="center"/>
          </w:tcPr>
          <w:p w14:paraId="3CE6A71F" w14:textId="4C5287C1" w:rsidR="0047356A" w:rsidRPr="008379CA" w:rsidRDefault="0047356A" w:rsidP="0047356A">
            <w:pPr>
              <w:jc w:val="center"/>
              <w:rPr>
                <w:rFonts w:ascii="Bookman Old Style" w:hAnsi="Bookman Old Style" w:cs="Calibri"/>
                <w:b/>
                <w:bCs/>
                <w:sz w:val="12"/>
                <w:szCs w:val="12"/>
              </w:rPr>
            </w:pPr>
            <w:r w:rsidRPr="008379CA">
              <w:rPr>
                <w:rFonts w:ascii="Bookman Old Style" w:hAnsi="Bookman Old Style" w:cs="Calibri"/>
                <w:b/>
                <w:bCs/>
                <w:sz w:val="12"/>
                <w:szCs w:val="12"/>
                <w:lang w:val="en-US"/>
              </w:rPr>
              <w:t>5</w:t>
            </w:r>
          </w:p>
        </w:tc>
        <w:tc>
          <w:tcPr>
            <w:tcW w:w="1559" w:type="dxa"/>
            <w:shd w:val="clear" w:color="auto" w:fill="auto"/>
            <w:vAlign w:val="center"/>
          </w:tcPr>
          <w:p w14:paraId="77A62347" w14:textId="152ECE1C" w:rsidR="0047356A" w:rsidRPr="008379CA" w:rsidRDefault="0047356A" w:rsidP="0047356A">
            <w:pPr>
              <w:jc w:val="center"/>
              <w:rPr>
                <w:rFonts w:ascii="Bookman Old Style" w:hAnsi="Bookman Old Style" w:cs="Calibri"/>
                <w:b/>
                <w:bCs/>
                <w:sz w:val="12"/>
                <w:szCs w:val="12"/>
              </w:rPr>
            </w:pPr>
            <w:r w:rsidRPr="008379CA">
              <w:rPr>
                <w:rFonts w:ascii="Bookman Old Style" w:hAnsi="Bookman Old Style" w:cs="Calibri"/>
                <w:b/>
                <w:bCs/>
                <w:sz w:val="12"/>
                <w:szCs w:val="12"/>
                <w:lang w:val="en-US"/>
              </w:rPr>
              <w:t>6</w:t>
            </w:r>
          </w:p>
        </w:tc>
        <w:tc>
          <w:tcPr>
            <w:tcW w:w="709" w:type="dxa"/>
            <w:shd w:val="clear" w:color="auto" w:fill="auto"/>
            <w:vAlign w:val="center"/>
          </w:tcPr>
          <w:p w14:paraId="3BA464E3" w14:textId="3FA5B73A" w:rsidR="0047356A" w:rsidRPr="008379CA" w:rsidRDefault="0047356A" w:rsidP="005353EC">
            <w:pPr>
              <w:jc w:val="center"/>
              <w:rPr>
                <w:rFonts w:ascii="Bookman Old Style" w:hAnsi="Bookman Old Style" w:cs="Calibri"/>
                <w:b/>
                <w:bCs/>
                <w:sz w:val="12"/>
                <w:szCs w:val="12"/>
              </w:rPr>
            </w:pPr>
            <w:r w:rsidRPr="008379CA">
              <w:rPr>
                <w:rFonts w:ascii="Bookman Old Style" w:hAnsi="Bookman Old Style" w:cs="Calibri"/>
                <w:b/>
                <w:bCs/>
                <w:sz w:val="12"/>
                <w:szCs w:val="12"/>
                <w:lang w:val="en-US"/>
              </w:rPr>
              <w:t>7=6/5</w:t>
            </w:r>
          </w:p>
        </w:tc>
        <w:tc>
          <w:tcPr>
            <w:tcW w:w="1559" w:type="dxa"/>
            <w:shd w:val="clear" w:color="auto" w:fill="auto"/>
            <w:vAlign w:val="center"/>
          </w:tcPr>
          <w:p w14:paraId="2CBF2950" w14:textId="5373089B" w:rsidR="0047356A" w:rsidRPr="008379CA" w:rsidRDefault="0047356A" w:rsidP="0047356A">
            <w:pPr>
              <w:jc w:val="center"/>
              <w:rPr>
                <w:rFonts w:ascii="Bookman Old Style" w:hAnsi="Bookman Old Style" w:cs="Calibri"/>
                <w:b/>
                <w:bCs/>
                <w:sz w:val="12"/>
                <w:szCs w:val="12"/>
              </w:rPr>
            </w:pPr>
            <w:r w:rsidRPr="008379CA">
              <w:rPr>
                <w:rFonts w:ascii="Bookman Old Style" w:hAnsi="Bookman Old Style" w:cs="Calibri"/>
                <w:b/>
                <w:bCs/>
                <w:sz w:val="12"/>
                <w:szCs w:val="12"/>
                <w:lang w:val="en-US"/>
              </w:rPr>
              <w:t>8</w:t>
            </w:r>
          </w:p>
        </w:tc>
        <w:tc>
          <w:tcPr>
            <w:tcW w:w="1560" w:type="dxa"/>
            <w:shd w:val="clear" w:color="auto" w:fill="auto"/>
            <w:vAlign w:val="center"/>
          </w:tcPr>
          <w:p w14:paraId="3CA0BB87" w14:textId="7F1E08A8" w:rsidR="0047356A" w:rsidRPr="008379CA" w:rsidRDefault="0047356A" w:rsidP="0047356A">
            <w:pPr>
              <w:jc w:val="center"/>
              <w:rPr>
                <w:rFonts w:ascii="Bookman Old Style" w:hAnsi="Bookman Old Style" w:cs="Calibri"/>
                <w:b/>
                <w:bCs/>
                <w:sz w:val="12"/>
                <w:szCs w:val="12"/>
              </w:rPr>
            </w:pPr>
            <w:r w:rsidRPr="008379CA">
              <w:rPr>
                <w:rFonts w:ascii="Bookman Old Style" w:hAnsi="Bookman Old Style" w:cs="Calibri"/>
                <w:b/>
                <w:bCs/>
                <w:sz w:val="12"/>
                <w:szCs w:val="12"/>
                <w:lang w:val="en-US"/>
              </w:rPr>
              <w:t>9</w:t>
            </w:r>
          </w:p>
        </w:tc>
        <w:tc>
          <w:tcPr>
            <w:tcW w:w="709" w:type="dxa"/>
            <w:shd w:val="clear" w:color="auto" w:fill="auto"/>
            <w:vAlign w:val="center"/>
          </w:tcPr>
          <w:p w14:paraId="7D46FF3C" w14:textId="3E3F19E1" w:rsidR="0047356A" w:rsidRPr="008379CA" w:rsidRDefault="0047356A" w:rsidP="0047356A">
            <w:pPr>
              <w:jc w:val="center"/>
              <w:rPr>
                <w:rFonts w:ascii="Bookman Old Style" w:hAnsi="Bookman Old Style" w:cs="Calibri"/>
                <w:b/>
                <w:bCs/>
                <w:sz w:val="12"/>
                <w:szCs w:val="12"/>
              </w:rPr>
            </w:pPr>
            <w:r w:rsidRPr="008379CA">
              <w:rPr>
                <w:rFonts w:ascii="Bookman Old Style" w:hAnsi="Bookman Old Style" w:cs="Calibri"/>
                <w:b/>
                <w:bCs/>
                <w:sz w:val="12"/>
                <w:szCs w:val="12"/>
                <w:lang w:val="en-US"/>
              </w:rPr>
              <w:t>10=9/8</w:t>
            </w:r>
          </w:p>
        </w:tc>
        <w:tc>
          <w:tcPr>
            <w:tcW w:w="1559" w:type="dxa"/>
            <w:shd w:val="clear" w:color="auto" w:fill="auto"/>
            <w:vAlign w:val="center"/>
          </w:tcPr>
          <w:p w14:paraId="27BA8ECB" w14:textId="15D0A887" w:rsidR="0047356A" w:rsidRPr="008379CA" w:rsidRDefault="0047356A" w:rsidP="0047356A">
            <w:pPr>
              <w:jc w:val="center"/>
              <w:rPr>
                <w:rFonts w:ascii="Bookman Old Style" w:hAnsi="Bookman Old Style" w:cs="Calibri"/>
                <w:b/>
                <w:bCs/>
                <w:sz w:val="12"/>
                <w:szCs w:val="12"/>
              </w:rPr>
            </w:pPr>
            <w:r w:rsidRPr="008379CA">
              <w:rPr>
                <w:rFonts w:ascii="Bookman Old Style" w:hAnsi="Bookman Old Style" w:cs="Calibri"/>
                <w:b/>
                <w:bCs/>
                <w:sz w:val="12"/>
                <w:szCs w:val="12"/>
                <w:lang w:val="en-US"/>
              </w:rPr>
              <w:t>11</w:t>
            </w:r>
          </w:p>
        </w:tc>
        <w:tc>
          <w:tcPr>
            <w:tcW w:w="850" w:type="dxa"/>
            <w:shd w:val="clear" w:color="auto" w:fill="auto"/>
            <w:vAlign w:val="center"/>
          </w:tcPr>
          <w:p w14:paraId="3B04CE19" w14:textId="00DE0A14" w:rsidR="0047356A" w:rsidRPr="008379CA" w:rsidRDefault="0047356A" w:rsidP="0047356A">
            <w:pPr>
              <w:jc w:val="center"/>
              <w:rPr>
                <w:rFonts w:ascii="Bookman Old Style" w:hAnsi="Bookman Old Style" w:cs="Calibri"/>
                <w:b/>
                <w:bCs/>
                <w:sz w:val="12"/>
                <w:szCs w:val="12"/>
              </w:rPr>
            </w:pPr>
            <w:r w:rsidRPr="008379CA">
              <w:rPr>
                <w:rFonts w:ascii="Bookman Old Style" w:hAnsi="Bookman Old Style" w:cs="Calibri"/>
                <w:b/>
                <w:bCs/>
                <w:sz w:val="12"/>
                <w:szCs w:val="12"/>
                <w:lang w:val="en-US"/>
              </w:rPr>
              <w:t>12=5/2</w:t>
            </w:r>
          </w:p>
        </w:tc>
        <w:tc>
          <w:tcPr>
            <w:tcW w:w="850" w:type="dxa"/>
            <w:shd w:val="clear" w:color="auto" w:fill="auto"/>
            <w:vAlign w:val="center"/>
          </w:tcPr>
          <w:p w14:paraId="42637271" w14:textId="61355C3C" w:rsidR="0047356A" w:rsidRPr="008379CA" w:rsidRDefault="0047356A" w:rsidP="0047356A">
            <w:pPr>
              <w:jc w:val="center"/>
              <w:rPr>
                <w:rFonts w:ascii="Bookman Old Style" w:hAnsi="Bookman Old Style" w:cs="Calibri"/>
                <w:b/>
                <w:bCs/>
                <w:sz w:val="12"/>
                <w:szCs w:val="12"/>
              </w:rPr>
            </w:pPr>
            <w:r w:rsidRPr="008379CA">
              <w:rPr>
                <w:rFonts w:ascii="Bookman Old Style" w:hAnsi="Bookman Old Style" w:cs="Calibri"/>
                <w:b/>
                <w:bCs/>
                <w:sz w:val="12"/>
                <w:szCs w:val="12"/>
                <w:lang w:val="en-US"/>
              </w:rPr>
              <w:t>13=8/5</w:t>
            </w:r>
          </w:p>
        </w:tc>
        <w:tc>
          <w:tcPr>
            <w:tcW w:w="992" w:type="dxa"/>
            <w:shd w:val="clear" w:color="auto" w:fill="auto"/>
            <w:vAlign w:val="center"/>
          </w:tcPr>
          <w:p w14:paraId="7C2A3F53" w14:textId="572041C3" w:rsidR="0047356A" w:rsidRPr="008379CA" w:rsidRDefault="0047356A" w:rsidP="0047356A">
            <w:pPr>
              <w:jc w:val="center"/>
              <w:rPr>
                <w:rFonts w:ascii="Bookman Old Style" w:hAnsi="Bookman Old Style" w:cs="Calibri"/>
                <w:b/>
                <w:bCs/>
                <w:sz w:val="12"/>
                <w:szCs w:val="12"/>
              </w:rPr>
            </w:pPr>
            <w:r w:rsidRPr="008379CA">
              <w:rPr>
                <w:rFonts w:ascii="Bookman Old Style" w:hAnsi="Bookman Old Style" w:cs="Calibri"/>
                <w:b/>
                <w:bCs/>
                <w:sz w:val="12"/>
                <w:szCs w:val="12"/>
                <w:lang w:val="en-US"/>
              </w:rPr>
              <w:t>14=11/8</w:t>
            </w:r>
          </w:p>
        </w:tc>
        <w:tc>
          <w:tcPr>
            <w:tcW w:w="965" w:type="dxa"/>
            <w:shd w:val="clear" w:color="auto" w:fill="auto"/>
            <w:noWrap/>
            <w:vAlign w:val="center"/>
          </w:tcPr>
          <w:p w14:paraId="7BCC5107" w14:textId="0B87C496" w:rsidR="0047356A" w:rsidRPr="008379CA" w:rsidRDefault="0047356A" w:rsidP="0047356A">
            <w:pPr>
              <w:jc w:val="center"/>
              <w:rPr>
                <w:rFonts w:ascii="Bookman Old Style" w:hAnsi="Bookman Old Style" w:cs="Calibri"/>
                <w:b/>
                <w:bCs/>
                <w:sz w:val="12"/>
                <w:szCs w:val="12"/>
              </w:rPr>
            </w:pPr>
            <w:r w:rsidRPr="008379CA">
              <w:rPr>
                <w:rFonts w:ascii="Bookman Old Style" w:hAnsi="Bookman Old Style" w:cs="Calibri"/>
                <w:b/>
                <w:bCs/>
                <w:sz w:val="12"/>
                <w:szCs w:val="12"/>
                <w:lang w:val="en-US"/>
              </w:rPr>
              <w:t>15=(12+13+14)/3</w:t>
            </w:r>
          </w:p>
        </w:tc>
      </w:tr>
      <w:tr w:rsidR="008379CA" w:rsidRPr="008379CA" w14:paraId="5B6E9370" w14:textId="77777777" w:rsidTr="00600933">
        <w:trPr>
          <w:trHeight w:val="312"/>
        </w:trPr>
        <w:tc>
          <w:tcPr>
            <w:tcW w:w="1134" w:type="dxa"/>
            <w:shd w:val="clear" w:color="auto" w:fill="auto"/>
            <w:vAlign w:val="center"/>
          </w:tcPr>
          <w:p w14:paraId="7924548D" w14:textId="5016FB73" w:rsidR="00AC5C41" w:rsidRPr="008379CA" w:rsidRDefault="00AC5C41" w:rsidP="00AC5C41">
            <w:pPr>
              <w:jc w:val="both"/>
              <w:rPr>
                <w:rFonts w:ascii="Bookman Old Style" w:hAnsi="Bookman Old Style" w:cs="Calibri"/>
                <w:b/>
                <w:bCs/>
                <w:sz w:val="12"/>
                <w:szCs w:val="12"/>
              </w:rPr>
            </w:pPr>
            <w:r w:rsidRPr="008379CA">
              <w:rPr>
                <w:rFonts w:ascii="Bookman Old Style" w:hAnsi="Bookman Old Style" w:cs="Calibri"/>
                <w:b/>
                <w:bCs/>
                <w:sz w:val="12"/>
                <w:szCs w:val="12"/>
              </w:rPr>
              <w:t>BELANJA</w:t>
            </w:r>
            <w:r w:rsidR="00A954D0" w:rsidRPr="008379CA">
              <w:rPr>
                <w:rFonts w:ascii="Bookman Old Style" w:hAnsi="Bookman Old Style" w:cs="Calibri"/>
                <w:b/>
                <w:bCs/>
                <w:sz w:val="12"/>
                <w:szCs w:val="12"/>
              </w:rPr>
              <w:t xml:space="preserve"> </w:t>
            </w:r>
            <w:r w:rsidRPr="008379CA">
              <w:rPr>
                <w:rFonts w:ascii="Bookman Old Style" w:hAnsi="Bookman Old Style" w:cs="Calibri"/>
                <w:b/>
                <w:bCs/>
                <w:sz w:val="12"/>
                <w:szCs w:val="12"/>
              </w:rPr>
              <w:t>DAERAH</w:t>
            </w:r>
          </w:p>
        </w:tc>
        <w:tc>
          <w:tcPr>
            <w:tcW w:w="1701" w:type="dxa"/>
            <w:shd w:val="clear" w:color="auto" w:fill="auto"/>
            <w:vAlign w:val="center"/>
          </w:tcPr>
          <w:p w14:paraId="01CC8EF3" w14:textId="1700B53C" w:rsidR="00AC5C41" w:rsidRPr="008379CA" w:rsidRDefault="00AC5C41" w:rsidP="008922F3">
            <w:pPr>
              <w:ind w:left="-113"/>
              <w:jc w:val="right"/>
              <w:rPr>
                <w:rFonts w:ascii="Bookman Old Style" w:hAnsi="Bookman Old Style" w:cs="Calibri"/>
                <w:b/>
                <w:sz w:val="12"/>
                <w:szCs w:val="12"/>
                <w:lang w:val="en-US"/>
              </w:rPr>
            </w:pPr>
            <w:r w:rsidRPr="008379CA">
              <w:rPr>
                <w:rFonts w:ascii="Bookman Old Style" w:hAnsi="Bookman Old Style" w:cs="Calibri"/>
                <w:b/>
                <w:bCs/>
                <w:sz w:val="12"/>
                <w:szCs w:val="12"/>
              </w:rPr>
              <w:t>4.910.705.325.360</w:t>
            </w:r>
            <w:r w:rsidR="008922F3" w:rsidRPr="008379CA">
              <w:rPr>
                <w:rFonts w:ascii="Bookman Old Style" w:hAnsi="Bookman Old Style" w:cs="Calibri"/>
                <w:b/>
                <w:bCs/>
                <w:sz w:val="12"/>
                <w:szCs w:val="12"/>
              </w:rPr>
              <w:t>,00</w:t>
            </w:r>
            <w:r w:rsidR="00E535D2" w:rsidRPr="008379CA">
              <w:rPr>
                <w:rFonts w:ascii="Bookman Old Style" w:hAnsi="Bookman Old Style" w:cs="Calibri"/>
                <w:b/>
                <w:bCs/>
                <w:sz w:val="12"/>
                <w:szCs w:val="12"/>
              </w:rPr>
              <w:t>,00</w:t>
            </w:r>
            <w:r w:rsidR="00A954D0" w:rsidRPr="008379CA">
              <w:rPr>
                <w:rFonts w:ascii="Bookman Old Style" w:hAnsi="Bookman Old Style" w:cs="Calibri"/>
                <w:b/>
                <w:bCs/>
                <w:sz w:val="12"/>
                <w:szCs w:val="12"/>
              </w:rPr>
              <w:t xml:space="preserve"> </w:t>
            </w:r>
          </w:p>
        </w:tc>
        <w:tc>
          <w:tcPr>
            <w:tcW w:w="1531" w:type="dxa"/>
            <w:shd w:val="clear" w:color="auto" w:fill="auto"/>
            <w:vAlign w:val="center"/>
          </w:tcPr>
          <w:p w14:paraId="1F94BF25" w14:textId="4BAF724A" w:rsidR="00AC5C41" w:rsidRPr="008379CA" w:rsidRDefault="00AC5C41" w:rsidP="008922F3">
            <w:pPr>
              <w:ind w:left="-113"/>
              <w:jc w:val="right"/>
              <w:rPr>
                <w:rFonts w:ascii="Bookman Old Style" w:hAnsi="Bookman Old Style" w:cs="Calibri"/>
                <w:b/>
                <w:sz w:val="12"/>
                <w:szCs w:val="12"/>
                <w:lang w:val="en-US"/>
              </w:rPr>
            </w:pPr>
            <w:r w:rsidRPr="008379CA">
              <w:rPr>
                <w:rFonts w:ascii="Bookman Old Style" w:hAnsi="Bookman Old Style" w:cs="Calibri"/>
                <w:b/>
                <w:bCs/>
                <w:sz w:val="12"/>
                <w:szCs w:val="12"/>
              </w:rPr>
              <w:t>4.434.781.481.835</w:t>
            </w:r>
            <w:r w:rsidR="00E535D2" w:rsidRPr="008379CA">
              <w:rPr>
                <w:rFonts w:ascii="Bookman Old Style" w:hAnsi="Bookman Old Style" w:cs="Calibri"/>
                <w:b/>
                <w:bCs/>
                <w:sz w:val="12"/>
                <w:szCs w:val="12"/>
              </w:rPr>
              <w:t>,00</w:t>
            </w:r>
            <w:r w:rsidR="00A954D0" w:rsidRPr="008379CA">
              <w:rPr>
                <w:rFonts w:ascii="Bookman Old Style" w:hAnsi="Bookman Old Style" w:cs="Calibri"/>
                <w:b/>
                <w:bCs/>
                <w:sz w:val="12"/>
                <w:szCs w:val="12"/>
              </w:rPr>
              <w:t xml:space="preserve"> </w:t>
            </w:r>
          </w:p>
        </w:tc>
        <w:tc>
          <w:tcPr>
            <w:tcW w:w="709" w:type="dxa"/>
            <w:shd w:val="clear" w:color="auto" w:fill="auto"/>
            <w:vAlign w:val="center"/>
          </w:tcPr>
          <w:p w14:paraId="2875B122" w14:textId="10E3BE2B" w:rsidR="00AC5C41" w:rsidRPr="008379CA" w:rsidRDefault="00AC5C41" w:rsidP="005353EC">
            <w:pPr>
              <w:jc w:val="center"/>
              <w:rPr>
                <w:rFonts w:ascii="Bookman Old Style" w:hAnsi="Bookman Old Style" w:cs="Calibri"/>
                <w:b/>
                <w:sz w:val="12"/>
                <w:szCs w:val="12"/>
                <w:lang w:val="en-US"/>
              </w:rPr>
            </w:pPr>
            <w:r w:rsidRPr="008379CA">
              <w:rPr>
                <w:rFonts w:ascii="Bookman Old Style" w:hAnsi="Bookman Old Style" w:cs="Calibri"/>
                <w:b/>
                <w:bCs/>
                <w:sz w:val="12"/>
                <w:szCs w:val="12"/>
              </w:rPr>
              <w:t>90,31</w:t>
            </w:r>
          </w:p>
        </w:tc>
        <w:tc>
          <w:tcPr>
            <w:tcW w:w="1559" w:type="dxa"/>
            <w:shd w:val="clear" w:color="auto" w:fill="auto"/>
            <w:vAlign w:val="center"/>
          </w:tcPr>
          <w:p w14:paraId="461922CB" w14:textId="222B6B12" w:rsidR="00AC5C41" w:rsidRPr="008379CA" w:rsidRDefault="00AC5C41" w:rsidP="008922F3">
            <w:pPr>
              <w:ind w:left="-110"/>
              <w:jc w:val="right"/>
              <w:rPr>
                <w:rFonts w:ascii="Bookman Old Style" w:hAnsi="Bookman Old Style" w:cs="Calibri"/>
                <w:b/>
                <w:bCs/>
                <w:sz w:val="12"/>
                <w:szCs w:val="12"/>
              </w:rPr>
            </w:pPr>
            <w:r w:rsidRPr="008379CA">
              <w:rPr>
                <w:rFonts w:ascii="Bookman Old Style" w:hAnsi="Bookman Old Style" w:cs="Calibri"/>
                <w:b/>
                <w:bCs/>
                <w:sz w:val="12"/>
                <w:szCs w:val="12"/>
              </w:rPr>
              <w:t>5.060.875.781.078</w:t>
            </w:r>
            <w:r w:rsidR="00E535D2" w:rsidRPr="008379CA">
              <w:rPr>
                <w:rFonts w:ascii="Bookman Old Style" w:hAnsi="Bookman Old Style" w:cs="Calibri"/>
                <w:b/>
                <w:bCs/>
                <w:sz w:val="12"/>
                <w:szCs w:val="12"/>
              </w:rPr>
              <w:t>,00</w:t>
            </w:r>
            <w:r w:rsidR="00A954D0" w:rsidRPr="008379CA">
              <w:rPr>
                <w:rFonts w:ascii="Bookman Old Style" w:hAnsi="Bookman Old Style" w:cs="Calibri"/>
                <w:b/>
                <w:bCs/>
                <w:sz w:val="12"/>
                <w:szCs w:val="12"/>
              </w:rPr>
              <w:t xml:space="preserve"> </w:t>
            </w:r>
          </w:p>
        </w:tc>
        <w:tc>
          <w:tcPr>
            <w:tcW w:w="1559" w:type="dxa"/>
            <w:shd w:val="clear" w:color="auto" w:fill="auto"/>
            <w:vAlign w:val="center"/>
          </w:tcPr>
          <w:p w14:paraId="4D589D7D" w14:textId="4D8DD9BE" w:rsidR="00AC5C41" w:rsidRPr="008379CA" w:rsidRDefault="00AC5C41" w:rsidP="008922F3">
            <w:pPr>
              <w:ind w:left="-110"/>
              <w:jc w:val="right"/>
              <w:rPr>
                <w:rFonts w:ascii="Bookman Old Style" w:hAnsi="Bookman Old Style" w:cs="Calibri"/>
                <w:b/>
                <w:bCs/>
                <w:sz w:val="12"/>
                <w:szCs w:val="12"/>
              </w:rPr>
            </w:pPr>
            <w:r w:rsidRPr="008379CA">
              <w:rPr>
                <w:rFonts w:ascii="Bookman Old Style" w:hAnsi="Bookman Old Style" w:cs="Calibri"/>
                <w:b/>
                <w:bCs/>
                <w:sz w:val="12"/>
                <w:szCs w:val="12"/>
              </w:rPr>
              <w:t>4.705.483.322.900</w:t>
            </w:r>
            <w:r w:rsidR="00E535D2" w:rsidRPr="008379CA">
              <w:rPr>
                <w:rFonts w:ascii="Bookman Old Style" w:hAnsi="Bookman Old Style" w:cs="Calibri"/>
                <w:b/>
                <w:bCs/>
                <w:sz w:val="12"/>
                <w:szCs w:val="12"/>
              </w:rPr>
              <w:t xml:space="preserve">,00 </w:t>
            </w:r>
            <w:r w:rsidR="00A954D0" w:rsidRPr="008379CA">
              <w:rPr>
                <w:rFonts w:ascii="Bookman Old Style" w:hAnsi="Bookman Old Style" w:cs="Calibri"/>
                <w:b/>
                <w:bCs/>
                <w:sz w:val="12"/>
                <w:szCs w:val="12"/>
              </w:rPr>
              <w:t xml:space="preserve"> </w:t>
            </w:r>
          </w:p>
        </w:tc>
        <w:tc>
          <w:tcPr>
            <w:tcW w:w="709" w:type="dxa"/>
            <w:shd w:val="clear" w:color="auto" w:fill="auto"/>
            <w:vAlign w:val="center"/>
          </w:tcPr>
          <w:p w14:paraId="5B9E92C9" w14:textId="18912F1A" w:rsidR="00AC5C41" w:rsidRPr="008379CA" w:rsidRDefault="00AC5C41" w:rsidP="005353EC">
            <w:pPr>
              <w:jc w:val="center"/>
              <w:rPr>
                <w:rFonts w:ascii="Bookman Old Style" w:hAnsi="Bookman Old Style" w:cs="Calibri"/>
                <w:b/>
                <w:bCs/>
                <w:sz w:val="12"/>
                <w:szCs w:val="12"/>
              </w:rPr>
            </w:pPr>
            <w:r w:rsidRPr="008379CA">
              <w:rPr>
                <w:rFonts w:ascii="Bookman Old Style" w:hAnsi="Bookman Old Style" w:cs="Calibri"/>
                <w:b/>
                <w:bCs/>
                <w:sz w:val="12"/>
                <w:szCs w:val="12"/>
              </w:rPr>
              <w:t>92,98</w:t>
            </w:r>
          </w:p>
        </w:tc>
        <w:tc>
          <w:tcPr>
            <w:tcW w:w="1559" w:type="dxa"/>
            <w:shd w:val="clear" w:color="auto" w:fill="auto"/>
            <w:vAlign w:val="center"/>
          </w:tcPr>
          <w:p w14:paraId="6D7202B5" w14:textId="55E72277" w:rsidR="00AC5C41" w:rsidRPr="008379CA" w:rsidRDefault="00AC5C41" w:rsidP="008922F3">
            <w:pPr>
              <w:ind w:left="-106"/>
              <w:jc w:val="right"/>
              <w:rPr>
                <w:rFonts w:ascii="Bookman Old Style" w:hAnsi="Bookman Old Style" w:cs="Calibri"/>
                <w:b/>
                <w:bCs/>
                <w:sz w:val="12"/>
                <w:szCs w:val="12"/>
              </w:rPr>
            </w:pPr>
            <w:r w:rsidRPr="008379CA">
              <w:rPr>
                <w:rFonts w:ascii="Bookman Old Style" w:hAnsi="Bookman Old Style" w:cs="Calibri"/>
                <w:b/>
                <w:bCs/>
                <w:sz w:val="12"/>
                <w:szCs w:val="12"/>
              </w:rPr>
              <w:t>5.355.694.107.251</w:t>
            </w:r>
            <w:r w:rsidR="00E535D2" w:rsidRPr="008379CA">
              <w:rPr>
                <w:rFonts w:ascii="Bookman Old Style" w:hAnsi="Bookman Old Style" w:cs="Calibri"/>
                <w:b/>
                <w:bCs/>
                <w:sz w:val="12"/>
                <w:szCs w:val="12"/>
              </w:rPr>
              <w:t xml:space="preserve">,00 </w:t>
            </w:r>
            <w:r w:rsidR="00A954D0" w:rsidRPr="008379CA">
              <w:rPr>
                <w:rFonts w:ascii="Bookman Old Style" w:hAnsi="Bookman Old Style" w:cs="Calibri"/>
                <w:b/>
                <w:bCs/>
                <w:sz w:val="12"/>
                <w:szCs w:val="12"/>
              </w:rPr>
              <w:t xml:space="preserve"> </w:t>
            </w:r>
          </w:p>
        </w:tc>
        <w:tc>
          <w:tcPr>
            <w:tcW w:w="1560" w:type="dxa"/>
            <w:shd w:val="clear" w:color="auto" w:fill="auto"/>
            <w:vAlign w:val="center"/>
          </w:tcPr>
          <w:p w14:paraId="49DEC3DA" w14:textId="1F222445" w:rsidR="00AC5C41" w:rsidRPr="008379CA" w:rsidRDefault="00AC5C41" w:rsidP="008922F3">
            <w:pPr>
              <w:ind w:left="-106"/>
              <w:jc w:val="right"/>
              <w:rPr>
                <w:rFonts w:ascii="Bookman Old Style" w:hAnsi="Bookman Old Style" w:cs="Calibri"/>
                <w:b/>
                <w:bCs/>
                <w:sz w:val="12"/>
                <w:szCs w:val="12"/>
              </w:rPr>
            </w:pPr>
            <w:r w:rsidRPr="008379CA">
              <w:rPr>
                <w:rFonts w:ascii="Bookman Old Style" w:hAnsi="Bookman Old Style" w:cs="Calibri"/>
                <w:b/>
                <w:bCs/>
                <w:sz w:val="12"/>
                <w:szCs w:val="12"/>
              </w:rPr>
              <w:t>3.709.841.596.446</w:t>
            </w:r>
            <w:r w:rsidR="00E535D2" w:rsidRPr="008379CA">
              <w:rPr>
                <w:rFonts w:ascii="Bookman Old Style" w:hAnsi="Bookman Old Style" w:cs="Calibri"/>
                <w:b/>
                <w:bCs/>
                <w:sz w:val="12"/>
                <w:szCs w:val="12"/>
              </w:rPr>
              <w:t xml:space="preserve">,00 </w:t>
            </w:r>
            <w:r w:rsidR="00A954D0" w:rsidRPr="008379CA">
              <w:rPr>
                <w:rFonts w:ascii="Bookman Old Style" w:hAnsi="Bookman Old Style" w:cs="Calibri"/>
                <w:b/>
                <w:bCs/>
                <w:sz w:val="12"/>
                <w:szCs w:val="12"/>
              </w:rPr>
              <w:t xml:space="preserve"> </w:t>
            </w:r>
          </w:p>
        </w:tc>
        <w:tc>
          <w:tcPr>
            <w:tcW w:w="709" w:type="dxa"/>
            <w:shd w:val="clear" w:color="auto" w:fill="auto"/>
            <w:vAlign w:val="center"/>
          </w:tcPr>
          <w:p w14:paraId="020C63D5" w14:textId="57667F5B" w:rsidR="00AC5C41" w:rsidRPr="008379CA" w:rsidRDefault="00AC5C41" w:rsidP="00AC5C41">
            <w:pPr>
              <w:jc w:val="center"/>
              <w:rPr>
                <w:rFonts w:ascii="Bookman Old Style" w:hAnsi="Bookman Old Style" w:cs="Calibri"/>
                <w:b/>
                <w:bCs/>
                <w:sz w:val="12"/>
                <w:szCs w:val="12"/>
              </w:rPr>
            </w:pPr>
            <w:r w:rsidRPr="008379CA">
              <w:rPr>
                <w:rFonts w:ascii="Bookman Old Style" w:hAnsi="Bookman Old Style" w:cs="Calibri"/>
                <w:b/>
                <w:bCs/>
                <w:sz w:val="12"/>
                <w:szCs w:val="12"/>
              </w:rPr>
              <w:t>69,27</w:t>
            </w:r>
            <w:r w:rsidR="00A954D0" w:rsidRPr="008379CA">
              <w:rPr>
                <w:rFonts w:ascii="Bookman Old Style" w:hAnsi="Bookman Old Style" w:cs="Calibri"/>
                <w:b/>
                <w:bCs/>
                <w:sz w:val="12"/>
                <w:szCs w:val="12"/>
              </w:rPr>
              <w:t xml:space="preserve"> </w:t>
            </w:r>
          </w:p>
        </w:tc>
        <w:tc>
          <w:tcPr>
            <w:tcW w:w="1559" w:type="dxa"/>
            <w:shd w:val="clear" w:color="auto" w:fill="auto"/>
            <w:vAlign w:val="center"/>
          </w:tcPr>
          <w:p w14:paraId="305E897E" w14:textId="7BD63A43" w:rsidR="00AC5C41" w:rsidRPr="008379CA" w:rsidRDefault="00AC5C41" w:rsidP="008922F3">
            <w:pPr>
              <w:ind w:left="-102"/>
              <w:jc w:val="right"/>
              <w:rPr>
                <w:rFonts w:ascii="Bookman Old Style" w:hAnsi="Bookman Old Style" w:cs="Calibri"/>
                <w:b/>
                <w:bCs/>
                <w:sz w:val="12"/>
                <w:szCs w:val="12"/>
              </w:rPr>
            </w:pPr>
            <w:r w:rsidRPr="008379CA">
              <w:rPr>
                <w:rFonts w:ascii="Bookman Old Style" w:hAnsi="Bookman Old Style" w:cs="Calibri"/>
                <w:b/>
                <w:bCs/>
                <w:sz w:val="12"/>
                <w:szCs w:val="12"/>
              </w:rPr>
              <w:t>5.706.600.538.955</w:t>
            </w:r>
            <w:r w:rsidR="00E535D2" w:rsidRPr="008379CA">
              <w:rPr>
                <w:rFonts w:ascii="Bookman Old Style" w:hAnsi="Bookman Old Style" w:cs="Calibri"/>
                <w:b/>
                <w:bCs/>
                <w:sz w:val="12"/>
                <w:szCs w:val="12"/>
              </w:rPr>
              <w:t xml:space="preserve">,00 </w:t>
            </w:r>
            <w:r w:rsidR="00A954D0" w:rsidRPr="008379CA">
              <w:rPr>
                <w:rFonts w:ascii="Bookman Old Style" w:hAnsi="Bookman Old Style" w:cs="Calibri"/>
                <w:b/>
                <w:bCs/>
                <w:sz w:val="12"/>
                <w:szCs w:val="12"/>
              </w:rPr>
              <w:t xml:space="preserve"> </w:t>
            </w:r>
          </w:p>
        </w:tc>
        <w:tc>
          <w:tcPr>
            <w:tcW w:w="850" w:type="dxa"/>
            <w:shd w:val="clear" w:color="auto" w:fill="auto"/>
            <w:vAlign w:val="center"/>
          </w:tcPr>
          <w:p w14:paraId="35CD7993" w14:textId="4AC59113" w:rsidR="00AC5C41" w:rsidRPr="008379CA" w:rsidRDefault="00AC5C41" w:rsidP="004F6797">
            <w:pPr>
              <w:jc w:val="center"/>
              <w:rPr>
                <w:rFonts w:ascii="Bookman Old Style" w:hAnsi="Bookman Old Style" w:cs="Calibri"/>
                <w:b/>
                <w:bCs/>
                <w:sz w:val="12"/>
                <w:szCs w:val="12"/>
              </w:rPr>
            </w:pPr>
            <w:r w:rsidRPr="008379CA">
              <w:rPr>
                <w:rFonts w:ascii="Bookman Old Style" w:hAnsi="Bookman Old Style" w:cs="Calibri"/>
                <w:b/>
                <w:bCs/>
                <w:sz w:val="12"/>
                <w:szCs w:val="12"/>
              </w:rPr>
              <w:t>3,06</w:t>
            </w:r>
          </w:p>
        </w:tc>
        <w:tc>
          <w:tcPr>
            <w:tcW w:w="850" w:type="dxa"/>
            <w:shd w:val="clear" w:color="auto" w:fill="auto"/>
            <w:vAlign w:val="center"/>
          </w:tcPr>
          <w:p w14:paraId="26BDBBDE" w14:textId="064C387D" w:rsidR="00AC5C41" w:rsidRPr="008379CA" w:rsidRDefault="00AC5C41" w:rsidP="004F6797">
            <w:pPr>
              <w:jc w:val="center"/>
              <w:rPr>
                <w:rFonts w:ascii="Bookman Old Style" w:hAnsi="Bookman Old Style" w:cs="Calibri"/>
                <w:b/>
                <w:bCs/>
                <w:sz w:val="12"/>
                <w:szCs w:val="12"/>
              </w:rPr>
            </w:pPr>
            <w:r w:rsidRPr="008379CA">
              <w:rPr>
                <w:rFonts w:ascii="Bookman Old Style" w:hAnsi="Bookman Old Style" w:cs="Calibri"/>
                <w:b/>
                <w:bCs/>
                <w:sz w:val="12"/>
                <w:szCs w:val="12"/>
              </w:rPr>
              <w:t>5,83</w:t>
            </w:r>
          </w:p>
        </w:tc>
        <w:tc>
          <w:tcPr>
            <w:tcW w:w="992" w:type="dxa"/>
            <w:shd w:val="clear" w:color="auto" w:fill="auto"/>
            <w:vAlign w:val="center"/>
          </w:tcPr>
          <w:p w14:paraId="57DD07B8" w14:textId="213FEB91" w:rsidR="00AC5C41" w:rsidRPr="008379CA" w:rsidRDefault="00AC5C41" w:rsidP="004F6797">
            <w:pPr>
              <w:jc w:val="center"/>
              <w:rPr>
                <w:rFonts w:ascii="Bookman Old Style" w:hAnsi="Bookman Old Style" w:cs="Calibri"/>
                <w:b/>
                <w:bCs/>
                <w:sz w:val="12"/>
                <w:szCs w:val="12"/>
              </w:rPr>
            </w:pPr>
            <w:r w:rsidRPr="008379CA">
              <w:rPr>
                <w:rFonts w:ascii="Bookman Old Style" w:hAnsi="Bookman Old Style" w:cs="Calibri"/>
                <w:b/>
                <w:bCs/>
                <w:sz w:val="12"/>
                <w:szCs w:val="12"/>
              </w:rPr>
              <w:t>6,55</w:t>
            </w:r>
          </w:p>
        </w:tc>
        <w:tc>
          <w:tcPr>
            <w:tcW w:w="965" w:type="dxa"/>
            <w:shd w:val="clear" w:color="auto" w:fill="auto"/>
            <w:noWrap/>
            <w:vAlign w:val="center"/>
          </w:tcPr>
          <w:p w14:paraId="557DF00A" w14:textId="36E9FC8F" w:rsidR="00AC5C41" w:rsidRPr="008379CA" w:rsidRDefault="00AC5C41" w:rsidP="004F6797">
            <w:pPr>
              <w:jc w:val="center"/>
              <w:rPr>
                <w:rFonts w:ascii="Bookman Old Style" w:hAnsi="Bookman Old Style" w:cs="Calibri"/>
                <w:b/>
                <w:bCs/>
                <w:sz w:val="12"/>
                <w:szCs w:val="12"/>
              </w:rPr>
            </w:pPr>
            <w:r w:rsidRPr="008379CA">
              <w:rPr>
                <w:rFonts w:ascii="Bookman Old Style" w:hAnsi="Bookman Old Style" w:cs="Calibri"/>
                <w:b/>
                <w:bCs/>
                <w:sz w:val="12"/>
                <w:szCs w:val="12"/>
              </w:rPr>
              <w:t>5,15</w:t>
            </w:r>
          </w:p>
        </w:tc>
      </w:tr>
      <w:tr w:rsidR="008379CA" w:rsidRPr="008379CA" w14:paraId="585BBB72" w14:textId="77777777" w:rsidTr="00600933">
        <w:trPr>
          <w:trHeight w:val="312"/>
        </w:trPr>
        <w:tc>
          <w:tcPr>
            <w:tcW w:w="1134" w:type="dxa"/>
            <w:shd w:val="clear" w:color="auto" w:fill="auto"/>
            <w:vAlign w:val="center"/>
          </w:tcPr>
          <w:p w14:paraId="563256C6" w14:textId="1BB66108" w:rsidR="00AC5C41" w:rsidRPr="008379CA" w:rsidRDefault="00AC5C41" w:rsidP="00AC5C41">
            <w:pPr>
              <w:jc w:val="both"/>
              <w:rPr>
                <w:rFonts w:ascii="Bookman Old Style" w:hAnsi="Bookman Old Style" w:cs="Calibri"/>
                <w:bCs/>
                <w:sz w:val="12"/>
                <w:szCs w:val="12"/>
                <w:lang w:val="en-US"/>
              </w:rPr>
            </w:pPr>
            <w:r w:rsidRPr="008379CA">
              <w:rPr>
                <w:rFonts w:ascii="Bookman Old Style" w:hAnsi="Bookman Old Style" w:cs="Calibri"/>
                <w:b/>
                <w:bCs/>
                <w:sz w:val="12"/>
                <w:szCs w:val="12"/>
              </w:rPr>
              <w:t>Belanja</w:t>
            </w:r>
            <w:r w:rsidR="00A954D0" w:rsidRPr="008379CA">
              <w:rPr>
                <w:rFonts w:ascii="Bookman Old Style" w:hAnsi="Bookman Old Style" w:cs="Calibri"/>
                <w:b/>
                <w:bCs/>
                <w:sz w:val="12"/>
                <w:szCs w:val="12"/>
              </w:rPr>
              <w:t xml:space="preserve"> </w:t>
            </w:r>
            <w:r w:rsidRPr="008379CA">
              <w:rPr>
                <w:rFonts w:ascii="Bookman Old Style" w:hAnsi="Bookman Old Style" w:cs="Calibri"/>
                <w:b/>
                <w:bCs/>
                <w:sz w:val="12"/>
                <w:szCs w:val="12"/>
              </w:rPr>
              <w:t>Operasi</w:t>
            </w:r>
          </w:p>
        </w:tc>
        <w:tc>
          <w:tcPr>
            <w:tcW w:w="1701" w:type="dxa"/>
            <w:shd w:val="clear" w:color="auto" w:fill="auto"/>
            <w:vAlign w:val="center"/>
          </w:tcPr>
          <w:p w14:paraId="6437D18E" w14:textId="095BEB40" w:rsidR="00AC5C41" w:rsidRPr="008379CA" w:rsidRDefault="00AC5C41" w:rsidP="008922F3">
            <w:pPr>
              <w:ind w:left="-113"/>
              <w:jc w:val="right"/>
              <w:rPr>
                <w:rFonts w:ascii="Bookman Old Style" w:hAnsi="Bookman Old Style" w:cs="Calibri"/>
                <w:b/>
                <w:sz w:val="12"/>
                <w:szCs w:val="12"/>
                <w:lang w:val="en-US"/>
              </w:rPr>
            </w:pPr>
            <w:r w:rsidRPr="008379CA">
              <w:rPr>
                <w:rFonts w:ascii="Bookman Old Style" w:hAnsi="Bookman Old Style" w:cs="Calibri"/>
                <w:b/>
                <w:bCs/>
                <w:sz w:val="12"/>
                <w:szCs w:val="12"/>
              </w:rPr>
              <w:t>4.046.196.315.149</w:t>
            </w:r>
            <w:r w:rsidR="00E535D2" w:rsidRPr="008379CA">
              <w:rPr>
                <w:rFonts w:ascii="Bookman Old Style" w:hAnsi="Bookman Old Style" w:cs="Calibri"/>
                <w:b/>
                <w:bCs/>
                <w:sz w:val="12"/>
                <w:szCs w:val="12"/>
              </w:rPr>
              <w:t xml:space="preserve">,00 </w:t>
            </w:r>
            <w:r w:rsidR="00A954D0" w:rsidRPr="008379CA">
              <w:rPr>
                <w:rFonts w:ascii="Bookman Old Style" w:hAnsi="Bookman Old Style" w:cs="Calibri"/>
                <w:b/>
                <w:bCs/>
                <w:sz w:val="12"/>
                <w:szCs w:val="12"/>
              </w:rPr>
              <w:t xml:space="preserve"> </w:t>
            </w:r>
          </w:p>
        </w:tc>
        <w:tc>
          <w:tcPr>
            <w:tcW w:w="1531" w:type="dxa"/>
            <w:shd w:val="clear" w:color="auto" w:fill="auto"/>
            <w:vAlign w:val="center"/>
          </w:tcPr>
          <w:p w14:paraId="4C6F2D72" w14:textId="42C48CD7" w:rsidR="00AC5C41" w:rsidRPr="008379CA" w:rsidRDefault="00AC5C41" w:rsidP="008922F3">
            <w:pPr>
              <w:ind w:left="-113"/>
              <w:jc w:val="right"/>
              <w:rPr>
                <w:rFonts w:ascii="Bookman Old Style" w:hAnsi="Bookman Old Style" w:cs="Calibri"/>
                <w:b/>
                <w:sz w:val="12"/>
                <w:szCs w:val="12"/>
                <w:lang w:val="en-US"/>
              </w:rPr>
            </w:pPr>
            <w:r w:rsidRPr="008379CA">
              <w:rPr>
                <w:rFonts w:ascii="Bookman Old Style" w:hAnsi="Bookman Old Style" w:cs="Calibri"/>
                <w:b/>
                <w:bCs/>
                <w:sz w:val="12"/>
                <w:szCs w:val="12"/>
              </w:rPr>
              <w:t>3.769.344.262.814</w:t>
            </w:r>
            <w:r w:rsidR="00E535D2" w:rsidRPr="008379CA">
              <w:rPr>
                <w:rFonts w:ascii="Bookman Old Style" w:hAnsi="Bookman Old Style" w:cs="Calibri"/>
                <w:b/>
                <w:bCs/>
                <w:sz w:val="12"/>
                <w:szCs w:val="12"/>
              </w:rPr>
              <w:t xml:space="preserve">,00 </w:t>
            </w:r>
            <w:r w:rsidR="00A954D0" w:rsidRPr="008379CA">
              <w:rPr>
                <w:rFonts w:ascii="Bookman Old Style" w:hAnsi="Bookman Old Style" w:cs="Calibri"/>
                <w:b/>
                <w:bCs/>
                <w:sz w:val="12"/>
                <w:szCs w:val="12"/>
              </w:rPr>
              <w:t xml:space="preserve"> </w:t>
            </w:r>
          </w:p>
        </w:tc>
        <w:tc>
          <w:tcPr>
            <w:tcW w:w="709" w:type="dxa"/>
            <w:shd w:val="clear" w:color="auto" w:fill="auto"/>
            <w:vAlign w:val="center"/>
          </w:tcPr>
          <w:p w14:paraId="602F47BA" w14:textId="0C03221C" w:rsidR="00AC5C41" w:rsidRPr="008379CA" w:rsidRDefault="00AC5C41" w:rsidP="005353EC">
            <w:pPr>
              <w:jc w:val="center"/>
              <w:rPr>
                <w:rFonts w:ascii="Bookman Old Style" w:hAnsi="Bookman Old Style" w:cs="Calibri"/>
                <w:b/>
                <w:sz w:val="12"/>
                <w:szCs w:val="12"/>
                <w:lang w:val="en-US"/>
              </w:rPr>
            </w:pPr>
            <w:r w:rsidRPr="008379CA">
              <w:rPr>
                <w:rFonts w:ascii="Bookman Old Style" w:hAnsi="Bookman Old Style" w:cs="Calibri"/>
                <w:b/>
                <w:bCs/>
                <w:sz w:val="12"/>
                <w:szCs w:val="12"/>
              </w:rPr>
              <w:t>93,16</w:t>
            </w:r>
          </w:p>
        </w:tc>
        <w:tc>
          <w:tcPr>
            <w:tcW w:w="1559" w:type="dxa"/>
            <w:shd w:val="clear" w:color="auto" w:fill="auto"/>
            <w:vAlign w:val="center"/>
          </w:tcPr>
          <w:p w14:paraId="10DF9832" w14:textId="724B0325" w:rsidR="00AC5C41" w:rsidRPr="008379CA" w:rsidRDefault="00AC5C41" w:rsidP="008922F3">
            <w:pPr>
              <w:ind w:left="-110"/>
              <w:jc w:val="right"/>
              <w:rPr>
                <w:rFonts w:ascii="Bookman Old Style" w:hAnsi="Bookman Old Style" w:cs="Calibri"/>
                <w:bCs/>
                <w:sz w:val="12"/>
                <w:szCs w:val="12"/>
                <w:lang w:val="en-US"/>
              </w:rPr>
            </w:pPr>
            <w:r w:rsidRPr="008379CA">
              <w:rPr>
                <w:rFonts w:ascii="Bookman Old Style" w:hAnsi="Bookman Old Style" w:cs="Calibri"/>
                <w:b/>
                <w:bCs/>
                <w:sz w:val="12"/>
                <w:szCs w:val="12"/>
              </w:rPr>
              <w:t>4.111.223.192.748</w:t>
            </w:r>
            <w:r w:rsidR="00E535D2" w:rsidRPr="008379CA">
              <w:rPr>
                <w:rFonts w:ascii="Bookman Old Style" w:hAnsi="Bookman Old Style" w:cs="Calibri"/>
                <w:b/>
                <w:bCs/>
                <w:sz w:val="12"/>
                <w:szCs w:val="12"/>
              </w:rPr>
              <w:t xml:space="preserve">,00 </w:t>
            </w:r>
            <w:r w:rsidR="00A954D0" w:rsidRPr="008379CA">
              <w:rPr>
                <w:rFonts w:ascii="Bookman Old Style" w:hAnsi="Bookman Old Style" w:cs="Calibri"/>
                <w:b/>
                <w:bCs/>
                <w:sz w:val="12"/>
                <w:szCs w:val="12"/>
              </w:rPr>
              <w:t xml:space="preserve"> </w:t>
            </w:r>
          </w:p>
        </w:tc>
        <w:tc>
          <w:tcPr>
            <w:tcW w:w="1559" w:type="dxa"/>
            <w:shd w:val="clear" w:color="auto" w:fill="auto"/>
            <w:vAlign w:val="center"/>
          </w:tcPr>
          <w:p w14:paraId="6CDE5FAC" w14:textId="13C471B6" w:rsidR="00AC5C41" w:rsidRPr="008379CA" w:rsidRDefault="00AC5C41" w:rsidP="008922F3">
            <w:pPr>
              <w:ind w:left="-110"/>
              <w:jc w:val="right"/>
              <w:rPr>
                <w:rFonts w:ascii="Bookman Old Style" w:hAnsi="Bookman Old Style" w:cs="Calibri"/>
                <w:bCs/>
                <w:sz w:val="12"/>
                <w:szCs w:val="12"/>
                <w:lang w:val="en-US"/>
              </w:rPr>
            </w:pPr>
            <w:r w:rsidRPr="008379CA">
              <w:rPr>
                <w:rFonts w:ascii="Bookman Old Style" w:hAnsi="Bookman Old Style" w:cs="Calibri"/>
                <w:b/>
                <w:bCs/>
                <w:sz w:val="12"/>
                <w:szCs w:val="12"/>
              </w:rPr>
              <w:t>3.904.618.342.674</w:t>
            </w:r>
            <w:r w:rsidR="00E535D2" w:rsidRPr="008379CA">
              <w:rPr>
                <w:rFonts w:ascii="Bookman Old Style" w:hAnsi="Bookman Old Style" w:cs="Calibri"/>
                <w:b/>
                <w:bCs/>
                <w:sz w:val="12"/>
                <w:szCs w:val="12"/>
              </w:rPr>
              <w:t xml:space="preserve">,00 </w:t>
            </w:r>
            <w:r w:rsidR="00A954D0" w:rsidRPr="008379CA">
              <w:rPr>
                <w:rFonts w:ascii="Bookman Old Style" w:hAnsi="Bookman Old Style" w:cs="Calibri"/>
                <w:b/>
                <w:bCs/>
                <w:sz w:val="12"/>
                <w:szCs w:val="12"/>
              </w:rPr>
              <w:t xml:space="preserve"> </w:t>
            </w:r>
          </w:p>
        </w:tc>
        <w:tc>
          <w:tcPr>
            <w:tcW w:w="709" w:type="dxa"/>
            <w:shd w:val="clear" w:color="auto" w:fill="auto"/>
            <w:vAlign w:val="center"/>
          </w:tcPr>
          <w:p w14:paraId="2A093B74" w14:textId="14C8A69B" w:rsidR="00AC5C41" w:rsidRPr="008379CA" w:rsidRDefault="00AC5C41" w:rsidP="005353EC">
            <w:pPr>
              <w:jc w:val="center"/>
              <w:rPr>
                <w:rFonts w:ascii="Bookman Old Style" w:hAnsi="Bookman Old Style" w:cs="Calibri"/>
                <w:bCs/>
                <w:sz w:val="12"/>
                <w:szCs w:val="12"/>
                <w:lang w:val="en-US"/>
              </w:rPr>
            </w:pPr>
            <w:r w:rsidRPr="008379CA">
              <w:rPr>
                <w:rFonts w:ascii="Bookman Old Style" w:hAnsi="Bookman Old Style" w:cs="Calibri"/>
                <w:b/>
                <w:bCs/>
                <w:sz w:val="12"/>
                <w:szCs w:val="12"/>
              </w:rPr>
              <w:t>94,97</w:t>
            </w:r>
          </w:p>
        </w:tc>
        <w:tc>
          <w:tcPr>
            <w:tcW w:w="1559" w:type="dxa"/>
            <w:shd w:val="clear" w:color="auto" w:fill="auto"/>
            <w:vAlign w:val="center"/>
          </w:tcPr>
          <w:p w14:paraId="3F3A8F42" w14:textId="7E155756" w:rsidR="00AC5C41" w:rsidRPr="008379CA" w:rsidRDefault="00AC5C41" w:rsidP="008922F3">
            <w:pPr>
              <w:ind w:left="-106"/>
              <w:jc w:val="right"/>
              <w:rPr>
                <w:rFonts w:ascii="Bookman Old Style" w:hAnsi="Bookman Old Style" w:cs="Calibri"/>
                <w:bCs/>
                <w:sz w:val="12"/>
                <w:szCs w:val="12"/>
                <w:lang w:val="en-US"/>
              </w:rPr>
            </w:pPr>
            <w:r w:rsidRPr="008379CA">
              <w:rPr>
                <w:rFonts w:ascii="Bookman Old Style" w:hAnsi="Bookman Old Style" w:cs="Calibri"/>
                <w:b/>
                <w:bCs/>
                <w:sz w:val="12"/>
                <w:szCs w:val="12"/>
              </w:rPr>
              <w:t>4.309.554.882.806</w:t>
            </w:r>
            <w:r w:rsidR="00E535D2" w:rsidRPr="008379CA">
              <w:rPr>
                <w:rFonts w:ascii="Bookman Old Style" w:hAnsi="Bookman Old Style" w:cs="Calibri"/>
                <w:b/>
                <w:bCs/>
                <w:sz w:val="12"/>
                <w:szCs w:val="12"/>
              </w:rPr>
              <w:t xml:space="preserve">,00 </w:t>
            </w:r>
            <w:r w:rsidR="00A954D0" w:rsidRPr="008379CA">
              <w:rPr>
                <w:rFonts w:ascii="Bookman Old Style" w:hAnsi="Bookman Old Style" w:cs="Calibri"/>
                <w:b/>
                <w:bCs/>
                <w:sz w:val="12"/>
                <w:szCs w:val="12"/>
              </w:rPr>
              <w:t xml:space="preserve"> </w:t>
            </w:r>
          </w:p>
        </w:tc>
        <w:tc>
          <w:tcPr>
            <w:tcW w:w="1560" w:type="dxa"/>
            <w:shd w:val="clear" w:color="auto" w:fill="auto"/>
            <w:vAlign w:val="center"/>
          </w:tcPr>
          <w:p w14:paraId="4496A0B5" w14:textId="07F9328F" w:rsidR="00AC5C41" w:rsidRPr="008379CA" w:rsidRDefault="00AC5C41" w:rsidP="008922F3">
            <w:pPr>
              <w:ind w:left="-106"/>
              <w:jc w:val="right"/>
              <w:rPr>
                <w:rFonts w:ascii="Bookman Old Style" w:hAnsi="Bookman Old Style" w:cs="Calibri"/>
                <w:bCs/>
                <w:sz w:val="12"/>
                <w:szCs w:val="12"/>
                <w:lang w:val="en-US"/>
              </w:rPr>
            </w:pPr>
            <w:r w:rsidRPr="008379CA">
              <w:rPr>
                <w:rFonts w:ascii="Bookman Old Style" w:hAnsi="Bookman Old Style" w:cs="Calibri"/>
                <w:b/>
                <w:bCs/>
                <w:sz w:val="12"/>
                <w:szCs w:val="12"/>
              </w:rPr>
              <w:t>3.276.452.229.984</w:t>
            </w:r>
            <w:r w:rsidR="00E535D2" w:rsidRPr="008379CA">
              <w:rPr>
                <w:rFonts w:ascii="Bookman Old Style" w:hAnsi="Bookman Old Style" w:cs="Calibri"/>
                <w:b/>
                <w:bCs/>
                <w:sz w:val="12"/>
                <w:szCs w:val="12"/>
              </w:rPr>
              <w:t xml:space="preserve">,00 </w:t>
            </w:r>
            <w:r w:rsidR="00A954D0" w:rsidRPr="008379CA">
              <w:rPr>
                <w:rFonts w:ascii="Bookman Old Style" w:hAnsi="Bookman Old Style" w:cs="Calibri"/>
                <w:b/>
                <w:bCs/>
                <w:sz w:val="12"/>
                <w:szCs w:val="12"/>
              </w:rPr>
              <w:t xml:space="preserve"> </w:t>
            </w:r>
          </w:p>
        </w:tc>
        <w:tc>
          <w:tcPr>
            <w:tcW w:w="709" w:type="dxa"/>
            <w:shd w:val="clear" w:color="auto" w:fill="auto"/>
            <w:vAlign w:val="center"/>
          </w:tcPr>
          <w:p w14:paraId="61A00F67" w14:textId="394D9393" w:rsidR="00AC5C41" w:rsidRPr="008379CA" w:rsidRDefault="00AC5C41" w:rsidP="00AC5C41">
            <w:pPr>
              <w:jc w:val="center"/>
              <w:rPr>
                <w:rFonts w:ascii="Bookman Old Style" w:hAnsi="Bookman Old Style" w:cs="Calibri"/>
                <w:bCs/>
                <w:sz w:val="12"/>
                <w:szCs w:val="12"/>
                <w:lang w:val="en-US"/>
              </w:rPr>
            </w:pPr>
            <w:r w:rsidRPr="008379CA">
              <w:rPr>
                <w:rFonts w:ascii="Bookman Old Style" w:hAnsi="Bookman Old Style" w:cs="Calibri"/>
                <w:b/>
                <w:bCs/>
                <w:sz w:val="12"/>
                <w:szCs w:val="12"/>
              </w:rPr>
              <w:t>76,03</w:t>
            </w:r>
            <w:r w:rsidR="00A954D0" w:rsidRPr="008379CA">
              <w:rPr>
                <w:rFonts w:ascii="Bookman Old Style" w:hAnsi="Bookman Old Style" w:cs="Calibri"/>
                <w:b/>
                <w:bCs/>
                <w:sz w:val="12"/>
                <w:szCs w:val="12"/>
              </w:rPr>
              <w:t xml:space="preserve"> </w:t>
            </w:r>
          </w:p>
        </w:tc>
        <w:tc>
          <w:tcPr>
            <w:tcW w:w="1559" w:type="dxa"/>
            <w:shd w:val="clear" w:color="auto" w:fill="auto"/>
            <w:vAlign w:val="center"/>
          </w:tcPr>
          <w:p w14:paraId="26ED9D53" w14:textId="64861C51" w:rsidR="00AC5C41" w:rsidRPr="008379CA" w:rsidRDefault="00AC5C41" w:rsidP="008922F3">
            <w:pPr>
              <w:ind w:left="-102"/>
              <w:jc w:val="right"/>
              <w:rPr>
                <w:rFonts w:ascii="Bookman Old Style" w:hAnsi="Bookman Old Style" w:cs="Calibri"/>
                <w:b/>
                <w:bCs/>
                <w:sz w:val="12"/>
                <w:szCs w:val="12"/>
                <w:lang w:val="en-US"/>
              </w:rPr>
            </w:pPr>
            <w:r w:rsidRPr="008379CA">
              <w:rPr>
                <w:rFonts w:ascii="Bookman Old Style" w:hAnsi="Bookman Old Style" w:cs="Calibri"/>
                <w:b/>
                <w:bCs/>
                <w:sz w:val="12"/>
                <w:szCs w:val="12"/>
              </w:rPr>
              <w:t>4.640.912.509.120</w:t>
            </w:r>
            <w:r w:rsidR="00E535D2" w:rsidRPr="008379CA">
              <w:rPr>
                <w:rFonts w:ascii="Bookman Old Style" w:hAnsi="Bookman Old Style" w:cs="Calibri"/>
                <w:b/>
                <w:bCs/>
                <w:sz w:val="12"/>
                <w:szCs w:val="12"/>
              </w:rPr>
              <w:t xml:space="preserve">,00 </w:t>
            </w:r>
            <w:r w:rsidR="00A954D0" w:rsidRPr="008379CA">
              <w:rPr>
                <w:rFonts w:ascii="Bookman Old Style" w:hAnsi="Bookman Old Style" w:cs="Calibri"/>
                <w:b/>
                <w:bCs/>
                <w:sz w:val="12"/>
                <w:szCs w:val="12"/>
              </w:rPr>
              <w:t xml:space="preserve"> </w:t>
            </w:r>
          </w:p>
        </w:tc>
        <w:tc>
          <w:tcPr>
            <w:tcW w:w="850" w:type="dxa"/>
            <w:shd w:val="clear" w:color="auto" w:fill="auto"/>
            <w:vAlign w:val="center"/>
          </w:tcPr>
          <w:p w14:paraId="547BBF7A" w14:textId="3DEBBA8C" w:rsidR="00AC5C41" w:rsidRPr="008379CA" w:rsidRDefault="00AC5C41" w:rsidP="004F6797">
            <w:pPr>
              <w:jc w:val="center"/>
              <w:rPr>
                <w:rFonts w:ascii="Bookman Old Style" w:hAnsi="Bookman Old Style" w:cs="Calibri"/>
                <w:bCs/>
                <w:sz w:val="12"/>
                <w:szCs w:val="12"/>
                <w:lang w:val="en-US"/>
              </w:rPr>
            </w:pPr>
            <w:r w:rsidRPr="008379CA">
              <w:rPr>
                <w:rFonts w:ascii="Bookman Old Style" w:hAnsi="Bookman Old Style" w:cs="Calibri"/>
                <w:b/>
                <w:bCs/>
                <w:sz w:val="12"/>
                <w:szCs w:val="12"/>
              </w:rPr>
              <w:t>1,61</w:t>
            </w:r>
          </w:p>
        </w:tc>
        <w:tc>
          <w:tcPr>
            <w:tcW w:w="850" w:type="dxa"/>
            <w:shd w:val="clear" w:color="auto" w:fill="auto"/>
            <w:vAlign w:val="center"/>
          </w:tcPr>
          <w:p w14:paraId="2A6D9C17" w14:textId="64C73B6F" w:rsidR="00AC5C41" w:rsidRPr="008379CA" w:rsidRDefault="00AC5C41" w:rsidP="004F6797">
            <w:pPr>
              <w:jc w:val="center"/>
              <w:rPr>
                <w:rFonts w:ascii="Bookman Old Style" w:hAnsi="Bookman Old Style" w:cs="Calibri"/>
                <w:bCs/>
                <w:sz w:val="12"/>
                <w:szCs w:val="12"/>
                <w:lang w:val="en-US"/>
              </w:rPr>
            </w:pPr>
            <w:r w:rsidRPr="008379CA">
              <w:rPr>
                <w:rFonts w:ascii="Bookman Old Style" w:hAnsi="Bookman Old Style" w:cs="Calibri"/>
                <w:b/>
                <w:bCs/>
                <w:sz w:val="12"/>
                <w:szCs w:val="12"/>
              </w:rPr>
              <w:t>4,82</w:t>
            </w:r>
          </w:p>
        </w:tc>
        <w:tc>
          <w:tcPr>
            <w:tcW w:w="992" w:type="dxa"/>
            <w:shd w:val="clear" w:color="auto" w:fill="auto"/>
            <w:vAlign w:val="center"/>
          </w:tcPr>
          <w:p w14:paraId="4A09DFFE" w14:textId="15ED653A" w:rsidR="00AC5C41" w:rsidRPr="008379CA" w:rsidRDefault="00AC5C41" w:rsidP="004F6797">
            <w:pPr>
              <w:jc w:val="center"/>
              <w:rPr>
                <w:rFonts w:ascii="Bookman Old Style" w:hAnsi="Bookman Old Style" w:cs="Calibri"/>
                <w:bCs/>
                <w:sz w:val="12"/>
                <w:szCs w:val="12"/>
                <w:lang w:val="en-US"/>
              </w:rPr>
            </w:pPr>
            <w:r w:rsidRPr="008379CA">
              <w:rPr>
                <w:rFonts w:ascii="Bookman Old Style" w:hAnsi="Bookman Old Style" w:cs="Calibri"/>
                <w:b/>
                <w:bCs/>
                <w:sz w:val="12"/>
                <w:szCs w:val="12"/>
              </w:rPr>
              <w:t>7,69</w:t>
            </w:r>
          </w:p>
        </w:tc>
        <w:tc>
          <w:tcPr>
            <w:tcW w:w="965" w:type="dxa"/>
            <w:shd w:val="clear" w:color="auto" w:fill="auto"/>
            <w:noWrap/>
            <w:vAlign w:val="center"/>
          </w:tcPr>
          <w:p w14:paraId="77E2F19B" w14:textId="77DC2930" w:rsidR="00AC5C41" w:rsidRPr="008379CA" w:rsidRDefault="00AC5C41" w:rsidP="004F6797">
            <w:pPr>
              <w:jc w:val="center"/>
              <w:rPr>
                <w:rFonts w:ascii="Bookman Old Style" w:hAnsi="Bookman Old Style" w:cs="Calibri"/>
                <w:bCs/>
                <w:sz w:val="12"/>
                <w:szCs w:val="12"/>
                <w:lang w:val="en-US"/>
              </w:rPr>
            </w:pPr>
            <w:r w:rsidRPr="008379CA">
              <w:rPr>
                <w:rFonts w:ascii="Bookman Old Style" w:hAnsi="Bookman Old Style" w:cs="Calibri"/>
                <w:b/>
                <w:bCs/>
                <w:sz w:val="12"/>
                <w:szCs w:val="12"/>
              </w:rPr>
              <w:t>4,71</w:t>
            </w:r>
          </w:p>
        </w:tc>
      </w:tr>
      <w:tr w:rsidR="008379CA" w:rsidRPr="008379CA" w14:paraId="7099C8E3" w14:textId="77777777" w:rsidTr="00600933">
        <w:trPr>
          <w:trHeight w:val="312"/>
        </w:trPr>
        <w:tc>
          <w:tcPr>
            <w:tcW w:w="1134" w:type="dxa"/>
            <w:shd w:val="clear" w:color="auto" w:fill="auto"/>
            <w:vAlign w:val="center"/>
          </w:tcPr>
          <w:p w14:paraId="5232F33B" w14:textId="655AF1C0" w:rsidR="00AC5C41" w:rsidRPr="008379CA" w:rsidRDefault="00AC5C41" w:rsidP="00AC5C41">
            <w:pPr>
              <w:jc w:val="both"/>
              <w:rPr>
                <w:rFonts w:ascii="Bookman Old Style" w:hAnsi="Bookman Old Style" w:cs="Calibri"/>
                <w:bCs/>
                <w:sz w:val="12"/>
                <w:szCs w:val="12"/>
                <w:lang w:val="en-US"/>
              </w:rPr>
            </w:pPr>
            <w:r w:rsidRPr="008379CA">
              <w:rPr>
                <w:rFonts w:ascii="Bookman Old Style" w:hAnsi="Bookman Old Style" w:cs="Calibri"/>
                <w:sz w:val="12"/>
                <w:szCs w:val="12"/>
              </w:rPr>
              <w:t>Belanja</w:t>
            </w:r>
            <w:r w:rsidR="00A954D0" w:rsidRPr="008379CA">
              <w:rPr>
                <w:rFonts w:ascii="Bookman Old Style" w:hAnsi="Bookman Old Style" w:cs="Calibri"/>
                <w:sz w:val="12"/>
                <w:szCs w:val="12"/>
              </w:rPr>
              <w:t xml:space="preserve"> </w:t>
            </w:r>
            <w:r w:rsidRPr="008379CA">
              <w:rPr>
                <w:rFonts w:ascii="Bookman Old Style" w:hAnsi="Bookman Old Style" w:cs="Calibri"/>
                <w:sz w:val="12"/>
                <w:szCs w:val="12"/>
              </w:rPr>
              <w:t>Pegawai</w:t>
            </w:r>
          </w:p>
        </w:tc>
        <w:tc>
          <w:tcPr>
            <w:tcW w:w="1701" w:type="dxa"/>
            <w:shd w:val="clear" w:color="auto" w:fill="auto"/>
            <w:vAlign w:val="center"/>
          </w:tcPr>
          <w:p w14:paraId="07AA1114" w14:textId="5698AA07" w:rsidR="00AC5C41" w:rsidRPr="008379CA" w:rsidRDefault="00AC5C41" w:rsidP="008922F3">
            <w:pPr>
              <w:ind w:left="-113"/>
              <w:jc w:val="right"/>
              <w:rPr>
                <w:rFonts w:ascii="Bookman Old Style" w:hAnsi="Bookman Old Style" w:cs="Calibri"/>
                <w:bCs/>
                <w:sz w:val="12"/>
                <w:szCs w:val="12"/>
                <w:lang w:val="en-US"/>
              </w:rPr>
            </w:pPr>
            <w:r w:rsidRPr="008379CA">
              <w:rPr>
                <w:rFonts w:ascii="Bookman Old Style" w:hAnsi="Bookman Old Style" w:cs="Calibri"/>
                <w:sz w:val="12"/>
                <w:szCs w:val="12"/>
              </w:rPr>
              <w:t>1.600.182.781.937</w:t>
            </w:r>
            <w:r w:rsidR="00E535D2" w:rsidRPr="008379CA">
              <w:rPr>
                <w:rFonts w:ascii="Bookman Old Style" w:hAnsi="Bookman Old Style" w:cs="Calibri"/>
                <w:sz w:val="12"/>
                <w:szCs w:val="12"/>
              </w:rPr>
              <w:t>,00</w:t>
            </w:r>
            <w:r w:rsidR="00A954D0" w:rsidRPr="008379CA">
              <w:rPr>
                <w:rFonts w:ascii="Bookman Old Style" w:hAnsi="Bookman Old Style" w:cs="Calibri"/>
                <w:sz w:val="12"/>
                <w:szCs w:val="12"/>
              </w:rPr>
              <w:t xml:space="preserve"> </w:t>
            </w:r>
          </w:p>
        </w:tc>
        <w:tc>
          <w:tcPr>
            <w:tcW w:w="1531" w:type="dxa"/>
            <w:shd w:val="clear" w:color="auto" w:fill="auto"/>
            <w:vAlign w:val="center"/>
          </w:tcPr>
          <w:p w14:paraId="225DDC4C" w14:textId="2720CE33" w:rsidR="00AC5C41" w:rsidRPr="008379CA" w:rsidRDefault="00AC5C41" w:rsidP="008922F3">
            <w:pPr>
              <w:ind w:left="-113"/>
              <w:jc w:val="right"/>
              <w:rPr>
                <w:rFonts w:ascii="Bookman Old Style" w:hAnsi="Bookman Old Style" w:cs="Calibri"/>
                <w:bCs/>
                <w:sz w:val="12"/>
                <w:szCs w:val="12"/>
                <w:lang w:val="en-US"/>
              </w:rPr>
            </w:pPr>
            <w:r w:rsidRPr="008379CA">
              <w:rPr>
                <w:rFonts w:ascii="Bookman Old Style" w:hAnsi="Bookman Old Style" w:cs="Calibri"/>
                <w:sz w:val="12"/>
                <w:szCs w:val="12"/>
              </w:rPr>
              <w:t>1.521.789.519.475</w:t>
            </w:r>
            <w:r w:rsidR="00E535D2" w:rsidRPr="008379CA">
              <w:rPr>
                <w:rFonts w:ascii="Bookman Old Style" w:hAnsi="Bookman Old Style" w:cs="Calibri"/>
                <w:sz w:val="12"/>
                <w:szCs w:val="12"/>
              </w:rPr>
              <w:t xml:space="preserve">,00 </w:t>
            </w:r>
            <w:r w:rsidR="00E535D2" w:rsidRPr="008379CA">
              <w:rPr>
                <w:rFonts w:ascii="Bookman Old Style" w:hAnsi="Bookman Old Style" w:cs="Calibri"/>
                <w:b/>
                <w:bCs/>
                <w:sz w:val="12"/>
                <w:szCs w:val="12"/>
              </w:rPr>
              <w:t xml:space="preserve"> </w:t>
            </w:r>
            <w:r w:rsidR="00A954D0" w:rsidRPr="008379CA">
              <w:rPr>
                <w:rFonts w:ascii="Bookman Old Style" w:hAnsi="Bookman Old Style" w:cs="Calibri"/>
                <w:sz w:val="12"/>
                <w:szCs w:val="12"/>
              </w:rPr>
              <w:t xml:space="preserve"> </w:t>
            </w:r>
          </w:p>
        </w:tc>
        <w:tc>
          <w:tcPr>
            <w:tcW w:w="709" w:type="dxa"/>
            <w:shd w:val="clear" w:color="auto" w:fill="auto"/>
            <w:vAlign w:val="center"/>
          </w:tcPr>
          <w:p w14:paraId="05D913A6" w14:textId="0EC835A0" w:rsidR="00AC5C41" w:rsidRPr="008379CA" w:rsidRDefault="00AC5C41" w:rsidP="005353EC">
            <w:pPr>
              <w:jc w:val="center"/>
              <w:rPr>
                <w:rFonts w:ascii="Bookman Old Style" w:hAnsi="Bookman Old Style" w:cs="Calibri"/>
                <w:bCs/>
                <w:sz w:val="12"/>
                <w:szCs w:val="12"/>
                <w:lang w:val="en-US"/>
              </w:rPr>
            </w:pPr>
            <w:r w:rsidRPr="008379CA">
              <w:rPr>
                <w:rFonts w:ascii="Bookman Old Style" w:hAnsi="Bookman Old Style" w:cs="Calibri"/>
                <w:sz w:val="12"/>
                <w:szCs w:val="12"/>
              </w:rPr>
              <w:t>95,10</w:t>
            </w:r>
          </w:p>
        </w:tc>
        <w:tc>
          <w:tcPr>
            <w:tcW w:w="1559" w:type="dxa"/>
            <w:shd w:val="clear" w:color="auto" w:fill="auto"/>
            <w:vAlign w:val="center"/>
          </w:tcPr>
          <w:p w14:paraId="73D37815" w14:textId="38AC1506" w:rsidR="00AC5C41" w:rsidRPr="008379CA" w:rsidRDefault="00AC5C41" w:rsidP="008922F3">
            <w:pPr>
              <w:ind w:left="-110"/>
              <w:jc w:val="right"/>
              <w:rPr>
                <w:rFonts w:ascii="Bookman Old Style" w:hAnsi="Bookman Old Style" w:cs="Calibri"/>
                <w:bCs/>
                <w:sz w:val="12"/>
                <w:szCs w:val="12"/>
                <w:lang w:val="en-US"/>
              </w:rPr>
            </w:pPr>
            <w:r w:rsidRPr="008379CA">
              <w:rPr>
                <w:rFonts w:ascii="Bookman Old Style" w:hAnsi="Bookman Old Style" w:cs="Calibri"/>
                <w:sz w:val="12"/>
                <w:szCs w:val="12"/>
              </w:rPr>
              <w:t>1.629.920.043.105</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p>
        </w:tc>
        <w:tc>
          <w:tcPr>
            <w:tcW w:w="1559" w:type="dxa"/>
            <w:shd w:val="clear" w:color="auto" w:fill="auto"/>
            <w:vAlign w:val="center"/>
          </w:tcPr>
          <w:p w14:paraId="12B2A0FD" w14:textId="2EA8744F" w:rsidR="00AC5C41" w:rsidRPr="008379CA" w:rsidRDefault="00AC5C41" w:rsidP="008922F3">
            <w:pPr>
              <w:ind w:left="-110"/>
              <w:jc w:val="right"/>
              <w:rPr>
                <w:rFonts w:ascii="Bookman Old Style" w:hAnsi="Bookman Old Style" w:cs="Calibri"/>
                <w:bCs/>
                <w:sz w:val="12"/>
                <w:szCs w:val="12"/>
                <w:lang w:val="en-US"/>
              </w:rPr>
            </w:pPr>
            <w:r w:rsidRPr="008379CA">
              <w:rPr>
                <w:rFonts w:ascii="Bookman Old Style" w:hAnsi="Bookman Old Style" w:cs="Calibri"/>
                <w:sz w:val="12"/>
                <w:szCs w:val="12"/>
              </w:rPr>
              <w:t>1.568.820.763.541</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p>
        </w:tc>
        <w:tc>
          <w:tcPr>
            <w:tcW w:w="709" w:type="dxa"/>
            <w:shd w:val="clear" w:color="auto" w:fill="auto"/>
            <w:vAlign w:val="center"/>
          </w:tcPr>
          <w:p w14:paraId="69D6B7FD" w14:textId="70AC3796" w:rsidR="00AC5C41" w:rsidRPr="008379CA" w:rsidRDefault="00AC5C41" w:rsidP="005353EC">
            <w:pPr>
              <w:jc w:val="center"/>
              <w:rPr>
                <w:rFonts w:ascii="Bookman Old Style" w:hAnsi="Bookman Old Style" w:cs="Calibri"/>
                <w:bCs/>
                <w:sz w:val="12"/>
                <w:szCs w:val="12"/>
                <w:lang w:val="en-US"/>
              </w:rPr>
            </w:pPr>
            <w:r w:rsidRPr="008379CA">
              <w:rPr>
                <w:rFonts w:ascii="Bookman Old Style" w:hAnsi="Bookman Old Style" w:cs="Calibri"/>
                <w:sz w:val="12"/>
                <w:szCs w:val="12"/>
              </w:rPr>
              <w:t>96,25</w:t>
            </w:r>
          </w:p>
        </w:tc>
        <w:tc>
          <w:tcPr>
            <w:tcW w:w="1559" w:type="dxa"/>
            <w:shd w:val="clear" w:color="auto" w:fill="auto"/>
            <w:vAlign w:val="center"/>
          </w:tcPr>
          <w:p w14:paraId="6D5D59F2" w14:textId="0F82CDB9" w:rsidR="00AC5C41" w:rsidRPr="008379CA" w:rsidRDefault="00AC5C41" w:rsidP="008922F3">
            <w:pPr>
              <w:ind w:left="-106"/>
              <w:jc w:val="right"/>
              <w:rPr>
                <w:rFonts w:ascii="Bookman Old Style" w:hAnsi="Bookman Old Style" w:cs="Calibri"/>
                <w:bCs/>
                <w:sz w:val="12"/>
                <w:szCs w:val="12"/>
                <w:lang w:val="en-US"/>
              </w:rPr>
            </w:pPr>
            <w:r w:rsidRPr="008379CA">
              <w:rPr>
                <w:rFonts w:ascii="Bookman Old Style" w:hAnsi="Bookman Old Style" w:cs="Calibri"/>
                <w:sz w:val="12"/>
                <w:szCs w:val="12"/>
              </w:rPr>
              <w:t>1.786.063.538.643</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1560" w:type="dxa"/>
            <w:shd w:val="clear" w:color="auto" w:fill="auto"/>
            <w:vAlign w:val="center"/>
          </w:tcPr>
          <w:p w14:paraId="31508E7A" w14:textId="281AEF93" w:rsidR="00AC5C41" w:rsidRPr="008379CA" w:rsidRDefault="00AC5C41" w:rsidP="008922F3">
            <w:pPr>
              <w:ind w:left="-106"/>
              <w:jc w:val="right"/>
              <w:rPr>
                <w:rFonts w:ascii="Bookman Old Style" w:hAnsi="Bookman Old Style" w:cs="Calibri"/>
                <w:bCs/>
                <w:sz w:val="12"/>
                <w:szCs w:val="12"/>
                <w:lang w:val="en-US"/>
              </w:rPr>
            </w:pPr>
            <w:r w:rsidRPr="008379CA">
              <w:rPr>
                <w:rFonts w:ascii="Bookman Old Style" w:hAnsi="Bookman Old Style" w:cs="Calibri"/>
                <w:sz w:val="12"/>
                <w:szCs w:val="12"/>
              </w:rPr>
              <w:t>1.431.188.650.928</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709" w:type="dxa"/>
            <w:shd w:val="clear" w:color="auto" w:fill="auto"/>
            <w:vAlign w:val="center"/>
          </w:tcPr>
          <w:p w14:paraId="7A76B802" w14:textId="23D58FD1" w:rsidR="00AC5C41" w:rsidRPr="008379CA" w:rsidRDefault="00AC5C41" w:rsidP="00AC5C41">
            <w:pPr>
              <w:jc w:val="center"/>
              <w:rPr>
                <w:rFonts w:ascii="Bookman Old Style" w:hAnsi="Bookman Old Style" w:cs="Calibri"/>
                <w:bCs/>
                <w:sz w:val="12"/>
                <w:szCs w:val="12"/>
                <w:lang w:val="en-US"/>
              </w:rPr>
            </w:pPr>
            <w:r w:rsidRPr="008379CA">
              <w:rPr>
                <w:rFonts w:ascii="Bookman Old Style" w:hAnsi="Bookman Old Style" w:cs="Calibri"/>
                <w:sz w:val="12"/>
                <w:szCs w:val="12"/>
              </w:rPr>
              <w:t>80,13</w:t>
            </w:r>
            <w:r w:rsidR="00A954D0" w:rsidRPr="008379CA">
              <w:rPr>
                <w:rFonts w:ascii="Bookman Old Style" w:hAnsi="Bookman Old Style" w:cs="Calibri"/>
                <w:sz w:val="12"/>
                <w:szCs w:val="12"/>
              </w:rPr>
              <w:t xml:space="preserve"> </w:t>
            </w:r>
          </w:p>
        </w:tc>
        <w:tc>
          <w:tcPr>
            <w:tcW w:w="1559" w:type="dxa"/>
            <w:shd w:val="clear" w:color="auto" w:fill="auto"/>
            <w:vAlign w:val="center"/>
          </w:tcPr>
          <w:p w14:paraId="54A62C76" w14:textId="2C65AB2D" w:rsidR="00AC5C41" w:rsidRPr="008379CA" w:rsidRDefault="00AC5C41" w:rsidP="008922F3">
            <w:pPr>
              <w:ind w:left="-102"/>
              <w:jc w:val="right"/>
              <w:rPr>
                <w:rFonts w:ascii="Bookman Old Style" w:hAnsi="Bookman Old Style" w:cs="Calibri"/>
                <w:b/>
                <w:bCs/>
                <w:sz w:val="12"/>
                <w:szCs w:val="12"/>
                <w:lang w:val="en-US"/>
              </w:rPr>
            </w:pPr>
            <w:r w:rsidRPr="008379CA">
              <w:rPr>
                <w:rFonts w:ascii="Bookman Old Style" w:hAnsi="Bookman Old Style" w:cs="Calibri"/>
                <w:sz w:val="12"/>
                <w:szCs w:val="12"/>
              </w:rPr>
              <w:t>2.121.034.028.539</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850" w:type="dxa"/>
            <w:shd w:val="clear" w:color="auto" w:fill="auto"/>
            <w:vAlign w:val="center"/>
          </w:tcPr>
          <w:p w14:paraId="377E0ED3" w14:textId="54465BAB"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1,86</w:t>
            </w:r>
          </w:p>
        </w:tc>
        <w:tc>
          <w:tcPr>
            <w:tcW w:w="850" w:type="dxa"/>
            <w:shd w:val="clear" w:color="auto" w:fill="auto"/>
            <w:vAlign w:val="center"/>
          </w:tcPr>
          <w:p w14:paraId="7A0B9648" w14:textId="336752BB"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9,58</w:t>
            </w:r>
          </w:p>
        </w:tc>
        <w:tc>
          <w:tcPr>
            <w:tcW w:w="992" w:type="dxa"/>
            <w:shd w:val="clear" w:color="auto" w:fill="auto"/>
            <w:vAlign w:val="center"/>
          </w:tcPr>
          <w:p w14:paraId="29913BFF" w14:textId="5D031460"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18,75</w:t>
            </w:r>
          </w:p>
        </w:tc>
        <w:tc>
          <w:tcPr>
            <w:tcW w:w="965" w:type="dxa"/>
            <w:shd w:val="clear" w:color="auto" w:fill="auto"/>
            <w:noWrap/>
            <w:vAlign w:val="center"/>
          </w:tcPr>
          <w:p w14:paraId="43B77895" w14:textId="3920B2C6"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10,06</w:t>
            </w:r>
          </w:p>
        </w:tc>
      </w:tr>
      <w:tr w:rsidR="008379CA" w:rsidRPr="008379CA" w14:paraId="71026350" w14:textId="77777777" w:rsidTr="00600933">
        <w:trPr>
          <w:trHeight w:val="312"/>
        </w:trPr>
        <w:tc>
          <w:tcPr>
            <w:tcW w:w="1134" w:type="dxa"/>
            <w:shd w:val="clear" w:color="auto" w:fill="auto"/>
            <w:vAlign w:val="center"/>
          </w:tcPr>
          <w:p w14:paraId="56BCA7B9" w14:textId="7318C16A" w:rsidR="00AC5C41" w:rsidRPr="008379CA" w:rsidRDefault="00AC5C41" w:rsidP="00AC5C41">
            <w:pPr>
              <w:jc w:val="both"/>
              <w:rPr>
                <w:rFonts w:ascii="Bookman Old Style" w:hAnsi="Bookman Old Style" w:cs="Calibri"/>
                <w:bCs/>
                <w:sz w:val="12"/>
                <w:szCs w:val="12"/>
                <w:lang w:val="en-US"/>
              </w:rPr>
            </w:pPr>
            <w:r w:rsidRPr="008379CA">
              <w:rPr>
                <w:rFonts w:ascii="Bookman Old Style" w:hAnsi="Bookman Old Style" w:cs="Calibri"/>
                <w:sz w:val="12"/>
                <w:szCs w:val="12"/>
              </w:rPr>
              <w:t>Belanja</w:t>
            </w:r>
            <w:r w:rsidR="00A954D0" w:rsidRPr="008379CA">
              <w:rPr>
                <w:rFonts w:ascii="Bookman Old Style" w:hAnsi="Bookman Old Style" w:cs="Calibri"/>
                <w:sz w:val="12"/>
                <w:szCs w:val="12"/>
              </w:rPr>
              <w:t xml:space="preserve"> </w:t>
            </w:r>
            <w:r w:rsidRPr="008379CA">
              <w:rPr>
                <w:rFonts w:ascii="Bookman Old Style" w:hAnsi="Bookman Old Style" w:cs="Calibri"/>
                <w:sz w:val="12"/>
                <w:szCs w:val="12"/>
              </w:rPr>
              <w:t>Barang</w:t>
            </w:r>
            <w:r w:rsidR="00A954D0" w:rsidRPr="008379CA">
              <w:rPr>
                <w:rFonts w:ascii="Bookman Old Style" w:hAnsi="Bookman Old Style" w:cs="Calibri"/>
                <w:sz w:val="12"/>
                <w:szCs w:val="12"/>
              </w:rPr>
              <w:t xml:space="preserve"> </w:t>
            </w:r>
            <w:r w:rsidRPr="008379CA">
              <w:rPr>
                <w:rFonts w:ascii="Bookman Old Style" w:hAnsi="Bookman Old Style" w:cs="Calibri"/>
                <w:sz w:val="12"/>
                <w:szCs w:val="12"/>
              </w:rPr>
              <w:t>dan</w:t>
            </w:r>
            <w:r w:rsidR="00A954D0" w:rsidRPr="008379CA">
              <w:rPr>
                <w:rFonts w:ascii="Bookman Old Style" w:hAnsi="Bookman Old Style" w:cs="Calibri"/>
                <w:sz w:val="12"/>
                <w:szCs w:val="12"/>
              </w:rPr>
              <w:t xml:space="preserve"> </w:t>
            </w:r>
            <w:r w:rsidRPr="008379CA">
              <w:rPr>
                <w:rFonts w:ascii="Bookman Old Style" w:hAnsi="Bookman Old Style" w:cs="Calibri"/>
                <w:sz w:val="12"/>
                <w:szCs w:val="12"/>
              </w:rPr>
              <w:t>Jasa</w:t>
            </w:r>
          </w:p>
        </w:tc>
        <w:tc>
          <w:tcPr>
            <w:tcW w:w="1701" w:type="dxa"/>
            <w:shd w:val="clear" w:color="auto" w:fill="auto"/>
            <w:vAlign w:val="center"/>
          </w:tcPr>
          <w:p w14:paraId="1E7B3668" w14:textId="309336EC" w:rsidR="00AC5C41" w:rsidRPr="008379CA" w:rsidRDefault="00AC5C41" w:rsidP="008922F3">
            <w:pPr>
              <w:ind w:left="-113"/>
              <w:jc w:val="right"/>
              <w:rPr>
                <w:rFonts w:ascii="Bookman Old Style" w:hAnsi="Bookman Old Style" w:cs="Calibri"/>
                <w:bCs/>
                <w:sz w:val="12"/>
                <w:szCs w:val="12"/>
                <w:lang w:val="en-US"/>
              </w:rPr>
            </w:pPr>
            <w:r w:rsidRPr="008379CA">
              <w:rPr>
                <w:rFonts w:ascii="Bookman Old Style" w:hAnsi="Bookman Old Style" w:cs="Calibri"/>
                <w:sz w:val="12"/>
                <w:szCs w:val="12"/>
              </w:rPr>
              <w:t>2.260.202.114.312</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1531" w:type="dxa"/>
            <w:shd w:val="clear" w:color="auto" w:fill="auto"/>
            <w:vAlign w:val="center"/>
          </w:tcPr>
          <w:p w14:paraId="77E2F138" w14:textId="2C723339" w:rsidR="00AC5C41" w:rsidRPr="008379CA" w:rsidRDefault="00AC5C41" w:rsidP="008922F3">
            <w:pPr>
              <w:ind w:left="-113"/>
              <w:jc w:val="right"/>
              <w:rPr>
                <w:rFonts w:ascii="Bookman Old Style" w:hAnsi="Bookman Old Style" w:cs="Calibri"/>
                <w:bCs/>
                <w:sz w:val="12"/>
                <w:szCs w:val="12"/>
                <w:lang w:val="en-US"/>
              </w:rPr>
            </w:pPr>
            <w:r w:rsidRPr="008379CA">
              <w:rPr>
                <w:rFonts w:ascii="Bookman Old Style" w:hAnsi="Bookman Old Style" w:cs="Calibri"/>
                <w:sz w:val="12"/>
                <w:szCs w:val="12"/>
              </w:rPr>
              <w:t>2.069.973.152.894</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709" w:type="dxa"/>
            <w:shd w:val="clear" w:color="auto" w:fill="auto"/>
            <w:vAlign w:val="center"/>
          </w:tcPr>
          <w:p w14:paraId="584CEF72" w14:textId="617F78B3" w:rsidR="00AC5C41" w:rsidRPr="008379CA" w:rsidRDefault="00AC5C41" w:rsidP="005353EC">
            <w:pPr>
              <w:jc w:val="center"/>
              <w:rPr>
                <w:rFonts w:ascii="Bookman Old Style" w:hAnsi="Bookman Old Style" w:cs="Calibri"/>
                <w:bCs/>
                <w:sz w:val="12"/>
                <w:szCs w:val="12"/>
                <w:lang w:val="en-US"/>
              </w:rPr>
            </w:pPr>
            <w:r w:rsidRPr="008379CA">
              <w:rPr>
                <w:rFonts w:ascii="Bookman Old Style" w:hAnsi="Bookman Old Style" w:cs="Calibri"/>
                <w:sz w:val="12"/>
                <w:szCs w:val="12"/>
              </w:rPr>
              <w:t>91,58</w:t>
            </w:r>
          </w:p>
        </w:tc>
        <w:tc>
          <w:tcPr>
            <w:tcW w:w="1559" w:type="dxa"/>
            <w:shd w:val="clear" w:color="auto" w:fill="auto"/>
            <w:vAlign w:val="center"/>
          </w:tcPr>
          <w:p w14:paraId="1A8ADD3B" w14:textId="040C5167" w:rsidR="00AC5C41" w:rsidRPr="008379CA" w:rsidRDefault="00AC5C41" w:rsidP="008922F3">
            <w:pPr>
              <w:ind w:left="-110"/>
              <w:jc w:val="right"/>
              <w:rPr>
                <w:rFonts w:ascii="Bookman Old Style" w:hAnsi="Bookman Old Style" w:cs="Calibri"/>
                <w:bCs/>
                <w:sz w:val="12"/>
                <w:szCs w:val="12"/>
                <w:lang w:val="en-US"/>
              </w:rPr>
            </w:pPr>
            <w:r w:rsidRPr="008379CA">
              <w:rPr>
                <w:rFonts w:ascii="Bookman Old Style" w:hAnsi="Bookman Old Style" w:cs="Calibri"/>
                <w:sz w:val="12"/>
                <w:szCs w:val="12"/>
              </w:rPr>
              <w:t>2.268.069.980.243</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1559" w:type="dxa"/>
            <w:shd w:val="clear" w:color="auto" w:fill="auto"/>
            <w:vAlign w:val="center"/>
          </w:tcPr>
          <w:p w14:paraId="5C55DABA" w14:textId="68EDC0DA" w:rsidR="00AC5C41" w:rsidRPr="008379CA" w:rsidRDefault="00AC5C41" w:rsidP="008922F3">
            <w:pPr>
              <w:ind w:left="-110"/>
              <w:jc w:val="right"/>
              <w:rPr>
                <w:rFonts w:ascii="Bookman Old Style" w:hAnsi="Bookman Old Style" w:cs="Calibri"/>
                <w:bCs/>
                <w:sz w:val="12"/>
                <w:szCs w:val="12"/>
                <w:lang w:val="en-US"/>
              </w:rPr>
            </w:pPr>
            <w:r w:rsidRPr="008379CA">
              <w:rPr>
                <w:rFonts w:ascii="Bookman Old Style" w:hAnsi="Bookman Old Style" w:cs="Calibri"/>
                <w:sz w:val="12"/>
                <w:szCs w:val="12"/>
              </w:rPr>
              <w:t>2.124.268.170.782</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709" w:type="dxa"/>
            <w:shd w:val="clear" w:color="auto" w:fill="auto"/>
            <w:vAlign w:val="center"/>
          </w:tcPr>
          <w:p w14:paraId="64B4F78C" w14:textId="19DD66F0" w:rsidR="00AC5C41" w:rsidRPr="008379CA" w:rsidRDefault="00AC5C41" w:rsidP="005353EC">
            <w:pPr>
              <w:jc w:val="center"/>
              <w:rPr>
                <w:rFonts w:ascii="Bookman Old Style" w:hAnsi="Bookman Old Style" w:cs="Calibri"/>
                <w:bCs/>
                <w:sz w:val="12"/>
                <w:szCs w:val="12"/>
                <w:lang w:val="en-US"/>
              </w:rPr>
            </w:pPr>
            <w:r w:rsidRPr="008379CA">
              <w:rPr>
                <w:rFonts w:ascii="Bookman Old Style" w:hAnsi="Bookman Old Style" w:cs="Calibri"/>
                <w:sz w:val="12"/>
                <w:szCs w:val="12"/>
              </w:rPr>
              <w:t>93,66</w:t>
            </w:r>
          </w:p>
        </w:tc>
        <w:tc>
          <w:tcPr>
            <w:tcW w:w="1559" w:type="dxa"/>
            <w:shd w:val="clear" w:color="auto" w:fill="auto"/>
            <w:vAlign w:val="center"/>
          </w:tcPr>
          <w:p w14:paraId="0D8997DE" w14:textId="6CF5CDD9" w:rsidR="00AC5C41" w:rsidRPr="008379CA" w:rsidRDefault="00AC5C41" w:rsidP="008922F3">
            <w:pPr>
              <w:ind w:left="-106"/>
              <w:jc w:val="right"/>
              <w:rPr>
                <w:rFonts w:ascii="Bookman Old Style" w:hAnsi="Bookman Old Style" w:cs="Calibri"/>
                <w:bCs/>
                <w:sz w:val="12"/>
                <w:szCs w:val="12"/>
                <w:lang w:val="en-US"/>
              </w:rPr>
            </w:pPr>
            <w:r w:rsidRPr="008379CA">
              <w:rPr>
                <w:rFonts w:ascii="Bookman Old Style" w:hAnsi="Bookman Old Style" w:cs="Calibri"/>
                <w:sz w:val="12"/>
                <w:szCs w:val="12"/>
              </w:rPr>
              <w:t>2.297.180.534.049</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1560" w:type="dxa"/>
            <w:shd w:val="clear" w:color="auto" w:fill="auto"/>
            <w:vAlign w:val="center"/>
          </w:tcPr>
          <w:p w14:paraId="7293E99A" w14:textId="117C69DC" w:rsidR="00AC5C41" w:rsidRPr="008379CA" w:rsidRDefault="00AC5C41" w:rsidP="008922F3">
            <w:pPr>
              <w:ind w:left="-106"/>
              <w:jc w:val="right"/>
              <w:rPr>
                <w:rFonts w:ascii="Bookman Old Style" w:hAnsi="Bookman Old Style" w:cs="Calibri"/>
                <w:bCs/>
                <w:sz w:val="12"/>
                <w:szCs w:val="12"/>
                <w:lang w:val="en-US"/>
              </w:rPr>
            </w:pPr>
            <w:r w:rsidRPr="008379CA">
              <w:rPr>
                <w:rFonts w:ascii="Bookman Old Style" w:hAnsi="Bookman Old Style" w:cs="Calibri"/>
                <w:sz w:val="12"/>
                <w:szCs w:val="12"/>
              </w:rPr>
              <w:t>1.639.803.656.400</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709" w:type="dxa"/>
            <w:shd w:val="clear" w:color="auto" w:fill="auto"/>
            <w:vAlign w:val="center"/>
          </w:tcPr>
          <w:p w14:paraId="2F759D80" w14:textId="6EB92E01" w:rsidR="00AC5C41" w:rsidRPr="008379CA" w:rsidRDefault="00AC5C41" w:rsidP="00AC5C41">
            <w:pPr>
              <w:jc w:val="center"/>
              <w:rPr>
                <w:rFonts w:ascii="Bookman Old Style" w:hAnsi="Bookman Old Style" w:cs="Calibri"/>
                <w:bCs/>
                <w:sz w:val="12"/>
                <w:szCs w:val="12"/>
                <w:lang w:val="en-US"/>
              </w:rPr>
            </w:pPr>
            <w:r w:rsidRPr="008379CA">
              <w:rPr>
                <w:rFonts w:ascii="Bookman Old Style" w:hAnsi="Bookman Old Style" w:cs="Calibri"/>
                <w:sz w:val="12"/>
                <w:szCs w:val="12"/>
              </w:rPr>
              <w:t>71,38</w:t>
            </w:r>
            <w:r w:rsidR="00A954D0" w:rsidRPr="008379CA">
              <w:rPr>
                <w:rFonts w:ascii="Bookman Old Style" w:hAnsi="Bookman Old Style" w:cs="Calibri"/>
                <w:sz w:val="12"/>
                <w:szCs w:val="12"/>
              </w:rPr>
              <w:t xml:space="preserve"> </w:t>
            </w:r>
          </w:p>
        </w:tc>
        <w:tc>
          <w:tcPr>
            <w:tcW w:w="1559" w:type="dxa"/>
            <w:shd w:val="clear" w:color="auto" w:fill="auto"/>
            <w:vAlign w:val="center"/>
          </w:tcPr>
          <w:p w14:paraId="78CB09BF" w14:textId="5364AFD8" w:rsidR="00AC5C41" w:rsidRPr="008379CA" w:rsidRDefault="00AC5C41" w:rsidP="008922F3">
            <w:pPr>
              <w:ind w:left="-102"/>
              <w:jc w:val="right"/>
              <w:rPr>
                <w:rFonts w:ascii="Bookman Old Style" w:hAnsi="Bookman Old Style" w:cs="Calibri"/>
                <w:b/>
                <w:bCs/>
                <w:sz w:val="12"/>
                <w:szCs w:val="12"/>
                <w:lang w:val="en-US"/>
              </w:rPr>
            </w:pPr>
            <w:r w:rsidRPr="008379CA">
              <w:rPr>
                <w:rFonts w:ascii="Bookman Old Style" w:hAnsi="Bookman Old Style" w:cs="Calibri"/>
                <w:sz w:val="12"/>
                <w:szCs w:val="12"/>
              </w:rPr>
              <w:t>2.312.050.578.361</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850" w:type="dxa"/>
            <w:shd w:val="clear" w:color="auto" w:fill="auto"/>
            <w:vAlign w:val="center"/>
          </w:tcPr>
          <w:p w14:paraId="4E280859" w14:textId="69595B98"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0,35</w:t>
            </w:r>
          </w:p>
        </w:tc>
        <w:tc>
          <w:tcPr>
            <w:tcW w:w="850" w:type="dxa"/>
            <w:shd w:val="clear" w:color="auto" w:fill="auto"/>
            <w:vAlign w:val="center"/>
          </w:tcPr>
          <w:p w14:paraId="70D517CB" w14:textId="5AB02266"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1,28</w:t>
            </w:r>
          </w:p>
        </w:tc>
        <w:tc>
          <w:tcPr>
            <w:tcW w:w="992" w:type="dxa"/>
            <w:shd w:val="clear" w:color="auto" w:fill="auto"/>
            <w:vAlign w:val="center"/>
          </w:tcPr>
          <w:p w14:paraId="39FEC24E" w14:textId="3C34563C"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0,65</w:t>
            </w:r>
          </w:p>
        </w:tc>
        <w:tc>
          <w:tcPr>
            <w:tcW w:w="965" w:type="dxa"/>
            <w:shd w:val="clear" w:color="auto" w:fill="auto"/>
            <w:noWrap/>
            <w:vAlign w:val="center"/>
          </w:tcPr>
          <w:p w14:paraId="7D70F20A" w14:textId="4337B884"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0,76</w:t>
            </w:r>
          </w:p>
        </w:tc>
      </w:tr>
      <w:tr w:rsidR="008379CA" w:rsidRPr="008379CA" w14:paraId="7D269A42" w14:textId="77777777" w:rsidTr="00600933">
        <w:trPr>
          <w:trHeight w:val="312"/>
        </w:trPr>
        <w:tc>
          <w:tcPr>
            <w:tcW w:w="1134" w:type="dxa"/>
            <w:shd w:val="clear" w:color="auto" w:fill="auto"/>
            <w:vAlign w:val="center"/>
          </w:tcPr>
          <w:p w14:paraId="1B0E6F82" w14:textId="294DCAD9" w:rsidR="00AC5C41" w:rsidRPr="008379CA" w:rsidRDefault="00174E32" w:rsidP="00AC5C41">
            <w:pPr>
              <w:jc w:val="both"/>
              <w:rPr>
                <w:rFonts w:ascii="Bookman Old Style" w:hAnsi="Bookman Old Style" w:cs="Calibri"/>
                <w:sz w:val="12"/>
                <w:szCs w:val="12"/>
              </w:rPr>
            </w:pPr>
            <w:r w:rsidRPr="008379CA">
              <w:rPr>
                <w:rFonts w:ascii="Bookman Old Style" w:hAnsi="Bookman Old Style" w:cs="Calibri"/>
                <w:sz w:val="12"/>
                <w:szCs w:val="12"/>
              </w:rPr>
              <w:t>Belanja</w:t>
            </w:r>
            <w:r w:rsidR="00A954D0" w:rsidRPr="008379CA">
              <w:rPr>
                <w:rFonts w:ascii="Bookman Old Style" w:hAnsi="Bookman Old Style" w:cs="Calibri"/>
                <w:sz w:val="12"/>
                <w:szCs w:val="12"/>
              </w:rPr>
              <w:t xml:space="preserve"> </w:t>
            </w:r>
            <w:r w:rsidRPr="008379CA">
              <w:rPr>
                <w:rFonts w:ascii="Bookman Old Style" w:hAnsi="Bookman Old Style" w:cs="Calibri"/>
                <w:sz w:val="12"/>
                <w:szCs w:val="12"/>
              </w:rPr>
              <w:t>Subsidi</w:t>
            </w:r>
          </w:p>
        </w:tc>
        <w:tc>
          <w:tcPr>
            <w:tcW w:w="1701" w:type="dxa"/>
            <w:shd w:val="clear" w:color="auto" w:fill="auto"/>
            <w:vAlign w:val="center"/>
          </w:tcPr>
          <w:p w14:paraId="13D89F9A" w14:textId="1AAEBEA6" w:rsidR="00AC5C41" w:rsidRPr="008379CA" w:rsidRDefault="00AC5C41" w:rsidP="008922F3">
            <w:pPr>
              <w:ind w:left="-113"/>
              <w:jc w:val="right"/>
              <w:rPr>
                <w:rFonts w:ascii="Bookman Old Style" w:hAnsi="Bookman Old Style"/>
                <w:sz w:val="12"/>
                <w:szCs w:val="12"/>
              </w:rPr>
            </w:pPr>
            <w:r w:rsidRPr="008379CA">
              <w:rPr>
                <w:rFonts w:ascii="Bookman Old Style" w:hAnsi="Bookman Old Style" w:cs="Calibri"/>
                <w:sz w:val="12"/>
                <w:szCs w:val="12"/>
              </w:rPr>
              <w:t>37.000.000.000</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1531" w:type="dxa"/>
            <w:shd w:val="clear" w:color="auto" w:fill="auto"/>
            <w:vAlign w:val="center"/>
          </w:tcPr>
          <w:p w14:paraId="786F9475" w14:textId="57928E84" w:rsidR="00AC5C41" w:rsidRPr="008379CA" w:rsidRDefault="00AC5C41" w:rsidP="008922F3">
            <w:pPr>
              <w:ind w:left="-113"/>
              <w:jc w:val="right"/>
              <w:rPr>
                <w:rFonts w:ascii="Bookman Old Style" w:hAnsi="Bookman Old Style"/>
                <w:sz w:val="12"/>
                <w:szCs w:val="12"/>
              </w:rPr>
            </w:pPr>
            <w:r w:rsidRPr="008379CA">
              <w:rPr>
                <w:rFonts w:ascii="Bookman Old Style" w:hAnsi="Bookman Old Style" w:cs="Calibri"/>
                <w:sz w:val="12"/>
                <w:szCs w:val="12"/>
              </w:rPr>
              <w:t>36.307.225.374</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709" w:type="dxa"/>
            <w:shd w:val="clear" w:color="auto" w:fill="auto"/>
            <w:vAlign w:val="center"/>
          </w:tcPr>
          <w:p w14:paraId="6B9F5193" w14:textId="0CB5CB5C" w:rsidR="00AC5C41" w:rsidRPr="008379CA" w:rsidRDefault="00AC5C41" w:rsidP="005353EC">
            <w:pPr>
              <w:jc w:val="center"/>
              <w:rPr>
                <w:rFonts w:ascii="Bookman Old Style" w:hAnsi="Bookman Old Style"/>
                <w:sz w:val="12"/>
                <w:szCs w:val="12"/>
              </w:rPr>
            </w:pPr>
            <w:r w:rsidRPr="008379CA">
              <w:rPr>
                <w:rFonts w:ascii="Bookman Old Style" w:hAnsi="Bookman Old Style" w:cs="Calibri"/>
                <w:sz w:val="12"/>
                <w:szCs w:val="12"/>
              </w:rPr>
              <w:t>98,13</w:t>
            </w:r>
          </w:p>
        </w:tc>
        <w:tc>
          <w:tcPr>
            <w:tcW w:w="1559" w:type="dxa"/>
            <w:shd w:val="clear" w:color="auto" w:fill="auto"/>
            <w:vAlign w:val="center"/>
          </w:tcPr>
          <w:p w14:paraId="5A096505" w14:textId="679B869A" w:rsidR="00AC5C41" w:rsidRPr="008379CA" w:rsidRDefault="00AC5C41" w:rsidP="008922F3">
            <w:pPr>
              <w:ind w:left="-110"/>
              <w:jc w:val="right"/>
              <w:rPr>
                <w:rFonts w:ascii="Bookman Old Style" w:hAnsi="Bookman Old Style" w:cs="Calibri"/>
                <w:sz w:val="12"/>
                <w:szCs w:val="12"/>
              </w:rPr>
            </w:pPr>
            <w:r w:rsidRPr="008379CA">
              <w:rPr>
                <w:rFonts w:ascii="Bookman Old Style" w:hAnsi="Bookman Old Style" w:cs="Calibri"/>
                <w:sz w:val="12"/>
                <w:szCs w:val="12"/>
              </w:rPr>
              <w:t>37.000.000.000</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1559" w:type="dxa"/>
            <w:shd w:val="clear" w:color="auto" w:fill="auto"/>
            <w:vAlign w:val="center"/>
          </w:tcPr>
          <w:p w14:paraId="35754AF5" w14:textId="55318CA7" w:rsidR="00AC5C41" w:rsidRPr="008379CA" w:rsidRDefault="00AC5C41" w:rsidP="008922F3">
            <w:pPr>
              <w:ind w:left="-110"/>
              <w:jc w:val="right"/>
              <w:rPr>
                <w:rFonts w:ascii="Bookman Old Style" w:hAnsi="Bookman Old Style" w:cs="Calibri"/>
                <w:sz w:val="12"/>
                <w:szCs w:val="12"/>
              </w:rPr>
            </w:pPr>
            <w:r w:rsidRPr="008379CA">
              <w:rPr>
                <w:rFonts w:ascii="Bookman Old Style" w:hAnsi="Bookman Old Style" w:cs="Calibri"/>
                <w:sz w:val="12"/>
                <w:szCs w:val="12"/>
              </w:rPr>
              <w:t>36.352.600.597</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709" w:type="dxa"/>
            <w:shd w:val="clear" w:color="auto" w:fill="auto"/>
            <w:vAlign w:val="center"/>
          </w:tcPr>
          <w:p w14:paraId="6FC9602F" w14:textId="5DC2B8F6" w:rsidR="00AC5C41" w:rsidRPr="008379CA" w:rsidRDefault="00AC5C41" w:rsidP="005353EC">
            <w:pPr>
              <w:jc w:val="center"/>
              <w:rPr>
                <w:rFonts w:ascii="Bookman Old Style" w:hAnsi="Bookman Old Style" w:cs="Calibri"/>
                <w:sz w:val="12"/>
                <w:szCs w:val="12"/>
              </w:rPr>
            </w:pPr>
            <w:r w:rsidRPr="008379CA">
              <w:rPr>
                <w:rFonts w:ascii="Bookman Old Style" w:hAnsi="Bookman Old Style" w:cs="Calibri"/>
                <w:sz w:val="12"/>
                <w:szCs w:val="12"/>
              </w:rPr>
              <w:t>98,25</w:t>
            </w:r>
          </w:p>
        </w:tc>
        <w:tc>
          <w:tcPr>
            <w:tcW w:w="1559" w:type="dxa"/>
            <w:shd w:val="clear" w:color="auto" w:fill="auto"/>
            <w:vAlign w:val="center"/>
          </w:tcPr>
          <w:p w14:paraId="1B7BDA58" w14:textId="2CE6EF20" w:rsidR="00AC5C41" w:rsidRPr="008379CA" w:rsidRDefault="00AC5C41" w:rsidP="008922F3">
            <w:pPr>
              <w:ind w:left="-106"/>
              <w:jc w:val="right"/>
              <w:rPr>
                <w:rFonts w:ascii="Bookman Old Style" w:hAnsi="Bookman Old Style" w:cs="Calibri"/>
                <w:sz w:val="12"/>
                <w:szCs w:val="12"/>
              </w:rPr>
            </w:pPr>
            <w:r w:rsidRPr="008379CA">
              <w:rPr>
                <w:rFonts w:ascii="Bookman Old Style" w:hAnsi="Bookman Old Style" w:cs="Calibri"/>
                <w:sz w:val="12"/>
                <w:szCs w:val="12"/>
              </w:rPr>
              <w:t>37.400.000.000</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1560" w:type="dxa"/>
            <w:shd w:val="clear" w:color="auto" w:fill="auto"/>
            <w:vAlign w:val="center"/>
          </w:tcPr>
          <w:p w14:paraId="797431C4" w14:textId="54E5DDD7" w:rsidR="00AC5C41" w:rsidRPr="008379CA" w:rsidRDefault="00AC5C41" w:rsidP="008922F3">
            <w:pPr>
              <w:ind w:left="-106"/>
              <w:jc w:val="right"/>
              <w:rPr>
                <w:rFonts w:ascii="Bookman Old Style" w:hAnsi="Bookman Old Style" w:cs="Calibri"/>
                <w:sz w:val="12"/>
                <w:szCs w:val="12"/>
              </w:rPr>
            </w:pPr>
            <w:r w:rsidRPr="008379CA">
              <w:rPr>
                <w:rFonts w:ascii="Bookman Old Style" w:hAnsi="Bookman Old Style" w:cs="Calibri"/>
                <w:sz w:val="12"/>
                <w:szCs w:val="12"/>
              </w:rPr>
              <w:t>27.896.529.348</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709" w:type="dxa"/>
            <w:shd w:val="clear" w:color="auto" w:fill="auto"/>
            <w:vAlign w:val="center"/>
          </w:tcPr>
          <w:p w14:paraId="79A61733" w14:textId="043A436D" w:rsidR="00AC5C41" w:rsidRPr="008379CA" w:rsidRDefault="00AC5C41" w:rsidP="00AC5C41">
            <w:pPr>
              <w:jc w:val="center"/>
              <w:rPr>
                <w:rFonts w:ascii="Bookman Old Style" w:hAnsi="Bookman Old Style" w:cs="Calibri"/>
                <w:sz w:val="12"/>
                <w:szCs w:val="12"/>
              </w:rPr>
            </w:pPr>
            <w:r w:rsidRPr="008379CA">
              <w:rPr>
                <w:rFonts w:ascii="Bookman Old Style" w:hAnsi="Bookman Old Style" w:cs="Calibri"/>
                <w:sz w:val="12"/>
                <w:szCs w:val="12"/>
              </w:rPr>
              <w:t>74,59</w:t>
            </w:r>
            <w:r w:rsidR="00A954D0" w:rsidRPr="008379CA">
              <w:rPr>
                <w:rFonts w:ascii="Bookman Old Style" w:hAnsi="Bookman Old Style" w:cs="Calibri"/>
                <w:sz w:val="12"/>
                <w:szCs w:val="12"/>
              </w:rPr>
              <w:t xml:space="preserve"> </w:t>
            </w:r>
          </w:p>
        </w:tc>
        <w:tc>
          <w:tcPr>
            <w:tcW w:w="1559" w:type="dxa"/>
            <w:shd w:val="clear" w:color="auto" w:fill="auto"/>
            <w:vAlign w:val="center"/>
          </w:tcPr>
          <w:p w14:paraId="73D4E80D" w14:textId="58BACAC8" w:rsidR="00AC5C41" w:rsidRPr="008379CA" w:rsidRDefault="00AC5C41" w:rsidP="008922F3">
            <w:pPr>
              <w:ind w:left="-102"/>
              <w:jc w:val="right"/>
              <w:rPr>
                <w:rFonts w:ascii="Bookman Old Style" w:hAnsi="Bookman Old Style" w:cs="Calibri"/>
                <w:sz w:val="12"/>
                <w:szCs w:val="12"/>
              </w:rPr>
            </w:pPr>
            <w:r w:rsidRPr="008379CA">
              <w:rPr>
                <w:rFonts w:ascii="Bookman Old Style" w:hAnsi="Bookman Old Style" w:cs="Calibri"/>
                <w:sz w:val="12"/>
                <w:szCs w:val="12"/>
              </w:rPr>
              <w:t>42.000.000.000</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850" w:type="dxa"/>
            <w:shd w:val="clear" w:color="auto" w:fill="auto"/>
            <w:vAlign w:val="center"/>
          </w:tcPr>
          <w:p w14:paraId="49D7238C" w14:textId="1CDE31C3" w:rsidR="00AC5C41" w:rsidRPr="008379CA" w:rsidRDefault="00AC5C41" w:rsidP="004F6797">
            <w:pPr>
              <w:jc w:val="center"/>
              <w:rPr>
                <w:rFonts w:ascii="Bookman Old Style" w:hAnsi="Bookman Old Style" w:cs="Calibri"/>
                <w:sz w:val="12"/>
                <w:szCs w:val="12"/>
              </w:rPr>
            </w:pPr>
            <w:r w:rsidRPr="008379CA">
              <w:rPr>
                <w:rFonts w:ascii="Bookman Old Style" w:hAnsi="Bookman Old Style" w:cs="Calibri"/>
                <w:sz w:val="12"/>
                <w:szCs w:val="12"/>
              </w:rPr>
              <w:t>0,00</w:t>
            </w:r>
          </w:p>
        </w:tc>
        <w:tc>
          <w:tcPr>
            <w:tcW w:w="850" w:type="dxa"/>
            <w:shd w:val="clear" w:color="auto" w:fill="auto"/>
            <w:vAlign w:val="center"/>
          </w:tcPr>
          <w:p w14:paraId="5D7B9031" w14:textId="1327CF59" w:rsidR="00AC5C41" w:rsidRPr="008379CA" w:rsidRDefault="00AC5C41" w:rsidP="004F6797">
            <w:pPr>
              <w:jc w:val="center"/>
              <w:rPr>
                <w:rFonts w:ascii="Bookman Old Style" w:hAnsi="Bookman Old Style" w:cs="Calibri"/>
                <w:sz w:val="12"/>
                <w:szCs w:val="12"/>
              </w:rPr>
            </w:pPr>
            <w:r w:rsidRPr="008379CA">
              <w:rPr>
                <w:rFonts w:ascii="Bookman Old Style" w:hAnsi="Bookman Old Style" w:cs="Calibri"/>
                <w:sz w:val="12"/>
                <w:szCs w:val="12"/>
              </w:rPr>
              <w:t>1,08</w:t>
            </w:r>
          </w:p>
        </w:tc>
        <w:tc>
          <w:tcPr>
            <w:tcW w:w="992" w:type="dxa"/>
            <w:shd w:val="clear" w:color="auto" w:fill="auto"/>
            <w:vAlign w:val="center"/>
          </w:tcPr>
          <w:p w14:paraId="68579BF0" w14:textId="794A4413" w:rsidR="00AC5C41" w:rsidRPr="008379CA" w:rsidRDefault="00AC5C41" w:rsidP="004F6797">
            <w:pPr>
              <w:jc w:val="center"/>
              <w:rPr>
                <w:rFonts w:ascii="Bookman Old Style" w:hAnsi="Bookman Old Style" w:cs="Calibri"/>
                <w:sz w:val="12"/>
                <w:szCs w:val="12"/>
              </w:rPr>
            </w:pPr>
            <w:r w:rsidRPr="008379CA">
              <w:rPr>
                <w:rFonts w:ascii="Bookman Old Style" w:hAnsi="Bookman Old Style" w:cs="Calibri"/>
                <w:sz w:val="12"/>
                <w:szCs w:val="12"/>
              </w:rPr>
              <w:t>0,00</w:t>
            </w:r>
          </w:p>
        </w:tc>
        <w:tc>
          <w:tcPr>
            <w:tcW w:w="965" w:type="dxa"/>
            <w:shd w:val="clear" w:color="auto" w:fill="auto"/>
            <w:noWrap/>
            <w:vAlign w:val="center"/>
          </w:tcPr>
          <w:p w14:paraId="040634DC" w14:textId="31227654" w:rsidR="00AC5C41" w:rsidRPr="008379CA" w:rsidRDefault="00AC5C41" w:rsidP="004F6797">
            <w:pPr>
              <w:jc w:val="center"/>
              <w:rPr>
                <w:rFonts w:ascii="Bookman Old Style" w:hAnsi="Bookman Old Style" w:cs="Calibri"/>
                <w:sz w:val="12"/>
                <w:szCs w:val="12"/>
              </w:rPr>
            </w:pPr>
            <w:r w:rsidRPr="008379CA">
              <w:rPr>
                <w:rFonts w:ascii="Bookman Old Style" w:hAnsi="Bookman Old Style" w:cs="Calibri"/>
                <w:sz w:val="12"/>
                <w:szCs w:val="12"/>
              </w:rPr>
              <w:t>0,36</w:t>
            </w:r>
          </w:p>
        </w:tc>
      </w:tr>
      <w:tr w:rsidR="008379CA" w:rsidRPr="008379CA" w14:paraId="50CCE623" w14:textId="77777777" w:rsidTr="00600933">
        <w:trPr>
          <w:trHeight w:val="312"/>
        </w:trPr>
        <w:tc>
          <w:tcPr>
            <w:tcW w:w="1134" w:type="dxa"/>
            <w:shd w:val="clear" w:color="auto" w:fill="auto"/>
            <w:vAlign w:val="center"/>
          </w:tcPr>
          <w:p w14:paraId="03A8F3AB" w14:textId="0CFCF18F" w:rsidR="00AC5C41" w:rsidRPr="008379CA" w:rsidRDefault="00AC5C41" w:rsidP="00AC5C41">
            <w:pPr>
              <w:jc w:val="both"/>
              <w:rPr>
                <w:rFonts w:ascii="Bookman Old Style" w:hAnsi="Bookman Old Style" w:cs="Calibri"/>
                <w:bCs/>
                <w:sz w:val="12"/>
                <w:szCs w:val="12"/>
                <w:lang w:val="en-US"/>
              </w:rPr>
            </w:pPr>
            <w:r w:rsidRPr="008379CA">
              <w:rPr>
                <w:rFonts w:ascii="Bookman Old Style" w:hAnsi="Bookman Old Style" w:cs="Calibri"/>
                <w:sz w:val="12"/>
                <w:szCs w:val="12"/>
              </w:rPr>
              <w:t>Belanja</w:t>
            </w:r>
            <w:r w:rsidR="00A954D0" w:rsidRPr="008379CA">
              <w:rPr>
                <w:rFonts w:ascii="Bookman Old Style" w:hAnsi="Bookman Old Style" w:cs="Calibri"/>
                <w:sz w:val="12"/>
                <w:szCs w:val="12"/>
              </w:rPr>
              <w:t xml:space="preserve"> </w:t>
            </w:r>
            <w:r w:rsidRPr="008379CA">
              <w:rPr>
                <w:rFonts w:ascii="Bookman Old Style" w:hAnsi="Bookman Old Style" w:cs="Calibri"/>
                <w:sz w:val="12"/>
                <w:szCs w:val="12"/>
              </w:rPr>
              <w:t>Hibah</w:t>
            </w:r>
          </w:p>
        </w:tc>
        <w:tc>
          <w:tcPr>
            <w:tcW w:w="1701" w:type="dxa"/>
            <w:shd w:val="clear" w:color="auto" w:fill="auto"/>
            <w:vAlign w:val="center"/>
          </w:tcPr>
          <w:p w14:paraId="0398A77D" w14:textId="3CD4A1A6" w:rsidR="00AC5C41" w:rsidRPr="008379CA" w:rsidRDefault="00AC5C41" w:rsidP="008922F3">
            <w:pPr>
              <w:ind w:left="-113"/>
              <w:jc w:val="right"/>
              <w:rPr>
                <w:rFonts w:ascii="Bookman Old Style" w:hAnsi="Bookman Old Style" w:cs="Calibri"/>
                <w:bCs/>
                <w:sz w:val="12"/>
                <w:szCs w:val="12"/>
                <w:lang w:val="en-US"/>
              </w:rPr>
            </w:pPr>
            <w:r w:rsidRPr="008379CA">
              <w:rPr>
                <w:rFonts w:ascii="Bookman Old Style" w:hAnsi="Bookman Old Style" w:cs="Calibri"/>
                <w:sz w:val="12"/>
                <w:szCs w:val="12"/>
              </w:rPr>
              <w:t>130.336.688.900</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1531" w:type="dxa"/>
            <w:shd w:val="clear" w:color="auto" w:fill="auto"/>
            <w:vAlign w:val="center"/>
          </w:tcPr>
          <w:p w14:paraId="125E1B03" w14:textId="53D96F60" w:rsidR="00AC5C41" w:rsidRPr="008379CA" w:rsidRDefault="00AC5C41" w:rsidP="008922F3">
            <w:pPr>
              <w:ind w:left="-113"/>
              <w:jc w:val="right"/>
              <w:rPr>
                <w:rFonts w:ascii="Bookman Old Style" w:hAnsi="Bookman Old Style" w:cs="Calibri"/>
                <w:bCs/>
                <w:sz w:val="12"/>
                <w:szCs w:val="12"/>
                <w:lang w:val="en-US"/>
              </w:rPr>
            </w:pPr>
            <w:r w:rsidRPr="008379CA">
              <w:rPr>
                <w:rFonts w:ascii="Bookman Old Style" w:hAnsi="Bookman Old Style" w:cs="Calibri"/>
                <w:sz w:val="12"/>
                <w:szCs w:val="12"/>
              </w:rPr>
              <w:t>123.616.079.071</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709" w:type="dxa"/>
            <w:shd w:val="clear" w:color="auto" w:fill="auto"/>
            <w:vAlign w:val="center"/>
          </w:tcPr>
          <w:p w14:paraId="3F3F0932" w14:textId="07F7420F" w:rsidR="00AC5C41" w:rsidRPr="008379CA" w:rsidRDefault="00AC5C41" w:rsidP="005353EC">
            <w:pPr>
              <w:jc w:val="center"/>
              <w:rPr>
                <w:rFonts w:ascii="Bookman Old Style" w:hAnsi="Bookman Old Style" w:cs="Calibri"/>
                <w:bCs/>
                <w:sz w:val="12"/>
                <w:szCs w:val="12"/>
                <w:lang w:val="en-US"/>
              </w:rPr>
            </w:pPr>
            <w:r w:rsidRPr="008379CA">
              <w:rPr>
                <w:rFonts w:ascii="Bookman Old Style" w:hAnsi="Bookman Old Style" w:cs="Calibri"/>
                <w:sz w:val="12"/>
                <w:szCs w:val="12"/>
              </w:rPr>
              <w:t>94,84</w:t>
            </w:r>
          </w:p>
        </w:tc>
        <w:tc>
          <w:tcPr>
            <w:tcW w:w="1559" w:type="dxa"/>
            <w:shd w:val="clear" w:color="auto" w:fill="auto"/>
            <w:vAlign w:val="center"/>
          </w:tcPr>
          <w:p w14:paraId="7050AB76" w14:textId="5487A5E6" w:rsidR="00AC5C41" w:rsidRPr="008379CA" w:rsidRDefault="00AC5C41" w:rsidP="008922F3">
            <w:pPr>
              <w:ind w:left="-110"/>
              <w:jc w:val="right"/>
              <w:rPr>
                <w:rFonts w:ascii="Bookman Old Style" w:hAnsi="Bookman Old Style" w:cs="Calibri"/>
                <w:bCs/>
                <w:sz w:val="12"/>
                <w:szCs w:val="12"/>
                <w:lang w:val="en-US"/>
              </w:rPr>
            </w:pPr>
            <w:r w:rsidRPr="008379CA">
              <w:rPr>
                <w:rFonts w:ascii="Bookman Old Style" w:hAnsi="Bookman Old Style" w:cs="Calibri"/>
                <w:sz w:val="12"/>
                <w:szCs w:val="12"/>
              </w:rPr>
              <w:t>172.135.169.400</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1559" w:type="dxa"/>
            <w:shd w:val="clear" w:color="auto" w:fill="auto"/>
            <w:vAlign w:val="center"/>
          </w:tcPr>
          <w:p w14:paraId="61CEC813" w14:textId="5CA8DCF5" w:rsidR="00AC5C41" w:rsidRPr="008379CA" w:rsidRDefault="00AC5C41" w:rsidP="008922F3">
            <w:pPr>
              <w:ind w:left="-110"/>
              <w:jc w:val="right"/>
              <w:rPr>
                <w:rFonts w:ascii="Bookman Old Style" w:hAnsi="Bookman Old Style" w:cs="Calibri"/>
                <w:bCs/>
                <w:sz w:val="12"/>
                <w:szCs w:val="12"/>
                <w:lang w:val="en-US"/>
              </w:rPr>
            </w:pPr>
            <w:r w:rsidRPr="008379CA">
              <w:rPr>
                <w:rFonts w:ascii="Bookman Old Style" w:hAnsi="Bookman Old Style" w:cs="Calibri"/>
                <w:sz w:val="12"/>
                <w:szCs w:val="12"/>
              </w:rPr>
              <w:t>171.119.307.754</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709" w:type="dxa"/>
            <w:shd w:val="clear" w:color="auto" w:fill="auto"/>
            <w:vAlign w:val="center"/>
          </w:tcPr>
          <w:p w14:paraId="54DE64A2" w14:textId="123EA2EA" w:rsidR="00AC5C41" w:rsidRPr="008379CA" w:rsidRDefault="00AC5C41" w:rsidP="005353EC">
            <w:pPr>
              <w:jc w:val="center"/>
              <w:rPr>
                <w:rFonts w:ascii="Bookman Old Style" w:hAnsi="Bookman Old Style" w:cs="Calibri"/>
                <w:bCs/>
                <w:sz w:val="12"/>
                <w:szCs w:val="12"/>
                <w:lang w:val="en-US"/>
              </w:rPr>
            </w:pPr>
            <w:r w:rsidRPr="008379CA">
              <w:rPr>
                <w:rFonts w:ascii="Bookman Old Style" w:hAnsi="Bookman Old Style" w:cs="Calibri"/>
                <w:sz w:val="12"/>
                <w:szCs w:val="12"/>
              </w:rPr>
              <w:t>99,41</w:t>
            </w:r>
          </w:p>
        </w:tc>
        <w:tc>
          <w:tcPr>
            <w:tcW w:w="1559" w:type="dxa"/>
            <w:shd w:val="clear" w:color="auto" w:fill="auto"/>
            <w:vAlign w:val="center"/>
          </w:tcPr>
          <w:p w14:paraId="72C76B9F" w14:textId="32706AAE" w:rsidR="00AC5C41" w:rsidRPr="008379CA" w:rsidRDefault="00AC5C41" w:rsidP="008922F3">
            <w:pPr>
              <w:ind w:left="-106"/>
              <w:jc w:val="right"/>
              <w:rPr>
                <w:rFonts w:ascii="Bookman Old Style" w:hAnsi="Bookman Old Style" w:cs="Calibri"/>
                <w:bCs/>
                <w:sz w:val="12"/>
                <w:szCs w:val="12"/>
                <w:lang w:val="en-US"/>
              </w:rPr>
            </w:pPr>
            <w:r w:rsidRPr="008379CA">
              <w:rPr>
                <w:rFonts w:ascii="Bookman Old Style" w:hAnsi="Bookman Old Style" w:cs="Calibri"/>
                <w:sz w:val="12"/>
                <w:szCs w:val="12"/>
              </w:rPr>
              <w:t>182.283.410.114</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1560" w:type="dxa"/>
            <w:shd w:val="clear" w:color="auto" w:fill="auto"/>
            <w:vAlign w:val="center"/>
          </w:tcPr>
          <w:p w14:paraId="6778AB9E" w14:textId="079AB386" w:rsidR="00AC5C41" w:rsidRPr="008379CA" w:rsidRDefault="00AC5C41" w:rsidP="008922F3">
            <w:pPr>
              <w:ind w:left="-106"/>
              <w:jc w:val="right"/>
              <w:rPr>
                <w:rFonts w:ascii="Bookman Old Style" w:hAnsi="Bookman Old Style" w:cs="Calibri"/>
                <w:sz w:val="12"/>
                <w:szCs w:val="12"/>
              </w:rPr>
            </w:pPr>
            <w:r w:rsidRPr="008379CA">
              <w:rPr>
                <w:rFonts w:ascii="Bookman Old Style" w:hAnsi="Bookman Old Style" w:cs="Calibri"/>
                <w:sz w:val="12"/>
                <w:szCs w:val="12"/>
              </w:rPr>
              <w:t>175.595.393.308</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709" w:type="dxa"/>
            <w:shd w:val="clear" w:color="auto" w:fill="auto"/>
            <w:vAlign w:val="center"/>
          </w:tcPr>
          <w:p w14:paraId="1B5CCC27" w14:textId="0A2DCEFD" w:rsidR="00AC5C41" w:rsidRPr="008379CA" w:rsidRDefault="00AC5C41" w:rsidP="00AC5C41">
            <w:pPr>
              <w:jc w:val="center"/>
              <w:rPr>
                <w:rFonts w:ascii="Bookman Old Style" w:hAnsi="Bookman Old Style" w:cs="Calibri"/>
                <w:bCs/>
                <w:sz w:val="12"/>
                <w:szCs w:val="12"/>
                <w:lang w:val="en-US"/>
              </w:rPr>
            </w:pPr>
            <w:r w:rsidRPr="008379CA">
              <w:rPr>
                <w:rFonts w:ascii="Bookman Old Style" w:hAnsi="Bookman Old Style" w:cs="Calibri"/>
                <w:sz w:val="12"/>
                <w:szCs w:val="12"/>
              </w:rPr>
              <w:t>96,33</w:t>
            </w:r>
            <w:r w:rsidR="00A954D0" w:rsidRPr="008379CA">
              <w:rPr>
                <w:rFonts w:ascii="Bookman Old Style" w:hAnsi="Bookman Old Style" w:cs="Calibri"/>
                <w:sz w:val="12"/>
                <w:szCs w:val="12"/>
              </w:rPr>
              <w:t xml:space="preserve"> </w:t>
            </w:r>
          </w:p>
        </w:tc>
        <w:tc>
          <w:tcPr>
            <w:tcW w:w="1559" w:type="dxa"/>
            <w:shd w:val="clear" w:color="auto" w:fill="auto"/>
            <w:vAlign w:val="center"/>
          </w:tcPr>
          <w:p w14:paraId="1AEB469B" w14:textId="11024848" w:rsidR="00AC5C41" w:rsidRPr="008379CA" w:rsidRDefault="00AC5C41" w:rsidP="008922F3">
            <w:pPr>
              <w:ind w:left="-102"/>
              <w:jc w:val="right"/>
              <w:rPr>
                <w:rFonts w:ascii="Bookman Old Style" w:hAnsi="Bookman Old Style" w:cs="Calibri"/>
                <w:b/>
                <w:bCs/>
                <w:sz w:val="12"/>
                <w:szCs w:val="12"/>
                <w:lang w:val="en-US"/>
              </w:rPr>
            </w:pPr>
            <w:r w:rsidRPr="008379CA">
              <w:rPr>
                <w:rFonts w:ascii="Bookman Old Style" w:hAnsi="Bookman Old Style" w:cs="Calibri"/>
                <w:sz w:val="12"/>
                <w:szCs w:val="12"/>
              </w:rPr>
              <w:t>161.369.902.220</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850" w:type="dxa"/>
            <w:shd w:val="clear" w:color="auto" w:fill="auto"/>
            <w:vAlign w:val="center"/>
          </w:tcPr>
          <w:p w14:paraId="5210C264" w14:textId="436F796B"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32,07</w:t>
            </w:r>
          </w:p>
        </w:tc>
        <w:tc>
          <w:tcPr>
            <w:tcW w:w="850" w:type="dxa"/>
            <w:shd w:val="clear" w:color="auto" w:fill="auto"/>
            <w:vAlign w:val="center"/>
          </w:tcPr>
          <w:p w14:paraId="67FE6871" w14:textId="4474AE22"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5,90</w:t>
            </w:r>
          </w:p>
        </w:tc>
        <w:tc>
          <w:tcPr>
            <w:tcW w:w="992" w:type="dxa"/>
            <w:shd w:val="clear" w:color="auto" w:fill="auto"/>
            <w:vAlign w:val="center"/>
          </w:tcPr>
          <w:p w14:paraId="25F9A965" w14:textId="5149E974"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(11,47)</w:t>
            </w:r>
          </w:p>
        </w:tc>
        <w:tc>
          <w:tcPr>
            <w:tcW w:w="965" w:type="dxa"/>
            <w:shd w:val="clear" w:color="auto" w:fill="auto"/>
            <w:noWrap/>
            <w:vAlign w:val="center"/>
          </w:tcPr>
          <w:p w14:paraId="75E44235" w14:textId="2EDFB921"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8,83</w:t>
            </w:r>
          </w:p>
        </w:tc>
      </w:tr>
      <w:tr w:rsidR="008379CA" w:rsidRPr="008379CA" w14:paraId="177C0F17" w14:textId="77777777" w:rsidTr="00600933">
        <w:trPr>
          <w:trHeight w:val="312"/>
        </w:trPr>
        <w:tc>
          <w:tcPr>
            <w:tcW w:w="1134" w:type="dxa"/>
            <w:shd w:val="clear" w:color="auto" w:fill="auto"/>
            <w:vAlign w:val="center"/>
          </w:tcPr>
          <w:p w14:paraId="13019165" w14:textId="22BA5982" w:rsidR="00AC5C41" w:rsidRPr="008379CA" w:rsidRDefault="00AC5C41" w:rsidP="00AC5C41">
            <w:pPr>
              <w:jc w:val="both"/>
              <w:rPr>
                <w:rFonts w:ascii="Bookman Old Style" w:hAnsi="Bookman Old Style" w:cs="Calibri"/>
                <w:bCs/>
                <w:sz w:val="12"/>
                <w:szCs w:val="12"/>
                <w:lang w:val="en-US"/>
              </w:rPr>
            </w:pPr>
            <w:r w:rsidRPr="008379CA">
              <w:rPr>
                <w:rFonts w:ascii="Bookman Old Style" w:hAnsi="Bookman Old Style" w:cs="Calibri"/>
                <w:sz w:val="12"/>
                <w:szCs w:val="12"/>
              </w:rPr>
              <w:t>Belanja</w:t>
            </w:r>
            <w:r w:rsidR="00A954D0" w:rsidRPr="008379CA">
              <w:rPr>
                <w:rFonts w:ascii="Bookman Old Style" w:hAnsi="Bookman Old Style" w:cs="Calibri"/>
                <w:sz w:val="12"/>
                <w:szCs w:val="12"/>
              </w:rPr>
              <w:t xml:space="preserve"> </w:t>
            </w:r>
            <w:r w:rsidRPr="008379CA">
              <w:rPr>
                <w:rFonts w:ascii="Bookman Old Style" w:hAnsi="Bookman Old Style" w:cs="Calibri"/>
                <w:sz w:val="12"/>
                <w:szCs w:val="12"/>
              </w:rPr>
              <w:t>Bantuan</w:t>
            </w:r>
            <w:r w:rsidR="00A954D0" w:rsidRPr="008379CA">
              <w:rPr>
                <w:rFonts w:ascii="Bookman Old Style" w:hAnsi="Bookman Old Style" w:cs="Calibri"/>
                <w:sz w:val="12"/>
                <w:szCs w:val="12"/>
              </w:rPr>
              <w:t xml:space="preserve"> </w:t>
            </w:r>
            <w:r w:rsidRPr="008379CA">
              <w:rPr>
                <w:rFonts w:ascii="Bookman Old Style" w:hAnsi="Bookman Old Style" w:cs="Calibri"/>
                <w:sz w:val="12"/>
                <w:szCs w:val="12"/>
              </w:rPr>
              <w:t>Sosial</w:t>
            </w:r>
          </w:p>
        </w:tc>
        <w:tc>
          <w:tcPr>
            <w:tcW w:w="1701" w:type="dxa"/>
            <w:shd w:val="clear" w:color="auto" w:fill="auto"/>
            <w:vAlign w:val="center"/>
          </w:tcPr>
          <w:p w14:paraId="3E33790D" w14:textId="444A31C0" w:rsidR="00AC5C41" w:rsidRPr="008379CA" w:rsidRDefault="00AC5C41" w:rsidP="008922F3">
            <w:pPr>
              <w:ind w:left="-113"/>
              <w:jc w:val="right"/>
              <w:rPr>
                <w:rFonts w:ascii="Bookman Old Style" w:hAnsi="Bookman Old Style" w:cs="Calibri"/>
                <w:bCs/>
                <w:sz w:val="12"/>
                <w:szCs w:val="12"/>
                <w:lang w:val="en-US"/>
              </w:rPr>
            </w:pPr>
            <w:r w:rsidRPr="008379CA">
              <w:rPr>
                <w:rFonts w:ascii="Bookman Old Style" w:hAnsi="Bookman Old Style" w:cs="Calibri"/>
                <w:sz w:val="12"/>
                <w:szCs w:val="12"/>
              </w:rPr>
              <w:t>18.474.730.000</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1531" w:type="dxa"/>
            <w:shd w:val="clear" w:color="auto" w:fill="auto"/>
            <w:vAlign w:val="center"/>
          </w:tcPr>
          <w:p w14:paraId="57B7CBC0" w14:textId="745DF6FE" w:rsidR="00AC5C41" w:rsidRPr="008379CA" w:rsidRDefault="00AC5C41" w:rsidP="008922F3">
            <w:pPr>
              <w:ind w:left="-113"/>
              <w:jc w:val="right"/>
              <w:rPr>
                <w:rFonts w:ascii="Bookman Old Style" w:hAnsi="Bookman Old Style" w:cs="Calibri"/>
                <w:bCs/>
                <w:sz w:val="12"/>
                <w:szCs w:val="12"/>
                <w:lang w:val="en-US"/>
              </w:rPr>
            </w:pPr>
            <w:r w:rsidRPr="008379CA">
              <w:rPr>
                <w:rFonts w:ascii="Bookman Old Style" w:hAnsi="Bookman Old Style" w:cs="Calibri"/>
                <w:sz w:val="12"/>
                <w:szCs w:val="12"/>
              </w:rPr>
              <w:t>17.658.286.000</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709" w:type="dxa"/>
            <w:shd w:val="clear" w:color="auto" w:fill="auto"/>
            <w:vAlign w:val="center"/>
          </w:tcPr>
          <w:p w14:paraId="41107165" w14:textId="334747AF" w:rsidR="00AC5C41" w:rsidRPr="008379CA" w:rsidRDefault="00AC5C41" w:rsidP="005353EC">
            <w:pPr>
              <w:jc w:val="center"/>
              <w:rPr>
                <w:rFonts w:ascii="Bookman Old Style" w:hAnsi="Bookman Old Style" w:cs="Calibri"/>
                <w:bCs/>
                <w:sz w:val="12"/>
                <w:szCs w:val="12"/>
                <w:lang w:val="en-US"/>
              </w:rPr>
            </w:pPr>
            <w:r w:rsidRPr="008379CA">
              <w:rPr>
                <w:rFonts w:ascii="Bookman Old Style" w:hAnsi="Bookman Old Style" w:cs="Calibri"/>
                <w:sz w:val="12"/>
                <w:szCs w:val="12"/>
              </w:rPr>
              <w:t>95,58</w:t>
            </w:r>
          </w:p>
        </w:tc>
        <w:tc>
          <w:tcPr>
            <w:tcW w:w="1559" w:type="dxa"/>
            <w:shd w:val="clear" w:color="auto" w:fill="auto"/>
            <w:vAlign w:val="center"/>
          </w:tcPr>
          <w:p w14:paraId="2EDB1811" w14:textId="72F44E3B" w:rsidR="00AC5C41" w:rsidRPr="008379CA" w:rsidRDefault="00AC5C41" w:rsidP="008922F3">
            <w:pPr>
              <w:ind w:left="-110"/>
              <w:jc w:val="right"/>
              <w:rPr>
                <w:rFonts w:ascii="Bookman Old Style" w:hAnsi="Bookman Old Style" w:cs="Calibri"/>
                <w:bCs/>
                <w:sz w:val="12"/>
                <w:szCs w:val="12"/>
                <w:lang w:val="en-US"/>
              </w:rPr>
            </w:pPr>
            <w:r w:rsidRPr="008379CA">
              <w:rPr>
                <w:rFonts w:ascii="Bookman Old Style" w:hAnsi="Bookman Old Style" w:cs="Calibri"/>
                <w:sz w:val="12"/>
                <w:szCs w:val="12"/>
              </w:rPr>
              <w:t>4.098.000.000</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1559" w:type="dxa"/>
            <w:shd w:val="clear" w:color="auto" w:fill="auto"/>
            <w:vAlign w:val="center"/>
          </w:tcPr>
          <w:p w14:paraId="26371EFE" w14:textId="64CB0C6F" w:rsidR="00AC5C41" w:rsidRPr="008379CA" w:rsidRDefault="00AC5C41" w:rsidP="008922F3">
            <w:pPr>
              <w:ind w:left="-110"/>
              <w:jc w:val="right"/>
              <w:rPr>
                <w:rFonts w:ascii="Bookman Old Style" w:hAnsi="Bookman Old Style" w:cs="Calibri"/>
                <w:bCs/>
                <w:sz w:val="12"/>
                <w:szCs w:val="12"/>
                <w:lang w:val="en-US"/>
              </w:rPr>
            </w:pPr>
            <w:r w:rsidRPr="008379CA">
              <w:rPr>
                <w:rFonts w:ascii="Bookman Old Style" w:hAnsi="Bookman Old Style" w:cs="Calibri"/>
                <w:sz w:val="12"/>
                <w:szCs w:val="12"/>
              </w:rPr>
              <w:t>4.057.500.000</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709" w:type="dxa"/>
            <w:shd w:val="clear" w:color="auto" w:fill="auto"/>
            <w:vAlign w:val="center"/>
          </w:tcPr>
          <w:p w14:paraId="2BACAF72" w14:textId="07FCB3EB" w:rsidR="00AC5C41" w:rsidRPr="008379CA" w:rsidRDefault="00AC5C41" w:rsidP="005353EC">
            <w:pPr>
              <w:jc w:val="center"/>
              <w:rPr>
                <w:rFonts w:ascii="Bookman Old Style" w:hAnsi="Bookman Old Style" w:cs="Calibri"/>
                <w:bCs/>
                <w:sz w:val="12"/>
                <w:szCs w:val="12"/>
                <w:lang w:val="en-US"/>
              </w:rPr>
            </w:pPr>
            <w:r w:rsidRPr="008379CA">
              <w:rPr>
                <w:rFonts w:ascii="Bookman Old Style" w:hAnsi="Bookman Old Style" w:cs="Calibri"/>
                <w:sz w:val="12"/>
                <w:szCs w:val="12"/>
              </w:rPr>
              <w:t>99,01</w:t>
            </w:r>
          </w:p>
        </w:tc>
        <w:tc>
          <w:tcPr>
            <w:tcW w:w="1559" w:type="dxa"/>
            <w:shd w:val="clear" w:color="auto" w:fill="auto"/>
            <w:vAlign w:val="center"/>
          </w:tcPr>
          <w:p w14:paraId="1AD37298" w14:textId="1DB956B3" w:rsidR="00AC5C41" w:rsidRPr="008379CA" w:rsidRDefault="00AC5C41" w:rsidP="008922F3">
            <w:pPr>
              <w:ind w:left="-106"/>
              <w:jc w:val="right"/>
              <w:rPr>
                <w:rFonts w:ascii="Bookman Old Style" w:hAnsi="Bookman Old Style" w:cs="Calibri"/>
                <w:bCs/>
                <w:sz w:val="12"/>
                <w:szCs w:val="12"/>
                <w:lang w:val="en-US"/>
              </w:rPr>
            </w:pPr>
            <w:r w:rsidRPr="008379CA">
              <w:rPr>
                <w:rFonts w:ascii="Bookman Old Style" w:hAnsi="Bookman Old Style" w:cs="Calibri"/>
                <w:sz w:val="12"/>
                <w:szCs w:val="12"/>
              </w:rPr>
              <w:t>6.627.400.000</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1560" w:type="dxa"/>
            <w:shd w:val="clear" w:color="auto" w:fill="auto"/>
            <w:vAlign w:val="center"/>
          </w:tcPr>
          <w:p w14:paraId="3CE00451" w14:textId="7992963E" w:rsidR="00AC5C41" w:rsidRPr="008379CA" w:rsidRDefault="00AC5C41" w:rsidP="008922F3">
            <w:pPr>
              <w:ind w:left="-106"/>
              <w:jc w:val="right"/>
              <w:rPr>
                <w:rFonts w:ascii="Bookman Old Style" w:hAnsi="Bookman Old Style" w:cs="Calibri"/>
                <w:bCs/>
                <w:sz w:val="12"/>
                <w:szCs w:val="12"/>
                <w:lang w:val="en-US"/>
              </w:rPr>
            </w:pPr>
            <w:r w:rsidRPr="008379CA">
              <w:rPr>
                <w:rFonts w:ascii="Bookman Old Style" w:hAnsi="Bookman Old Style" w:cs="Calibri"/>
                <w:sz w:val="12"/>
                <w:szCs w:val="12"/>
              </w:rPr>
              <w:t>1.968.000.000</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709" w:type="dxa"/>
            <w:shd w:val="clear" w:color="auto" w:fill="auto"/>
            <w:vAlign w:val="center"/>
          </w:tcPr>
          <w:p w14:paraId="79125BC2" w14:textId="36823776" w:rsidR="00AC5C41" w:rsidRPr="008379CA" w:rsidRDefault="00AC5C41" w:rsidP="00AC5C41">
            <w:pPr>
              <w:jc w:val="center"/>
              <w:rPr>
                <w:rFonts w:ascii="Bookman Old Style" w:hAnsi="Bookman Old Style" w:cs="Calibri"/>
                <w:bCs/>
                <w:sz w:val="12"/>
                <w:szCs w:val="12"/>
                <w:lang w:val="en-US"/>
              </w:rPr>
            </w:pPr>
            <w:r w:rsidRPr="008379CA">
              <w:rPr>
                <w:rFonts w:ascii="Bookman Old Style" w:hAnsi="Bookman Old Style" w:cs="Calibri"/>
                <w:sz w:val="12"/>
                <w:szCs w:val="12"/>
              </w:rPr>
              <w:t>29,69</w:t>
            </w:r>
            <w:r w:rsidR="00A954D0" w:rsidRPr="008379CA">
              <w:rPr>
                <w:rFonts w:ascii="Bookman Old Style" w:hAnsi="Bookman Old Style" w:cs="Calibri"/>
                <w:sz w:val="12"/>
                <w:szCs w:val="12"/>
              </w:rPr>
              <w:t xml:space="preserve"> </w:t>
            </w:r>
          </w:p>
        </w:tc>
        <w:tc>
          <w:tcPr>
            <w:tcW w:w="1559" w:type="dxa"/>
            <w:shd w:val="clear" w:color="auto" w:fill="auto"/>
            <w:vAlign w:val="center"/>
          </w:tcPr>
          <w:p w14:paraId="5CC81470" w14:textId="1F9B9BAB" w:rsidR="00AC5C41" w:rsidRPr="008379CA" w:rsidRDefault="00AC5C41" w:rsidP="008922F3">
            <w:pPr>
              <w:ind w:left="-102"/>
              <w:jc w:val="right"/>
              <w:rPr>
                <w:rFonts w:ascii="Bookman Old Style" w:hAnsi="Bookman Old Style" w:cs="Calibri"/>
                <w:b/>
                <w:bCs/>
                <w:sz w:val="12"/>
                <w:szCs w:val="12"/>
                <w:lang w:val="en-US"/>
              </w:rPr>
            </w:pPr>
            <w:r w:rsidRPr="008379CA">
              <w:rPr>
                <w:rFonts w:ascii="Bookman Old Style" w:hAnsi="Bookman Old Style" w:cs="Calibri"/>
                <w:sz w:val="12"/>
                <w:szCs w:val="12"/>
              </w:rPr>
              <w:t>4.458.000.000</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850" w:type="dxa"/>
            <w:shd w:val="clear" w:color="auto" w:fill="auto"/>
            <w:vAlign w:val="center"/>
          </w:tcPr>
          <w:p w14:paraId="5057147E" w14:textId="2C6A9285"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(77,82)</w:t>
            </w:r>
          </w:p>
        </w:tc>
        <w:tc>
          <w:tcPr>
            <w:tcW w:w="850" w:type="dxa"/>
            <w:shd w:val="clear" w:color="auto" w:fill="auto"/>
            <w:vAlign w:val="center"/>
          </w:tcPr>
          <w:p w14:paraId="37B9F8B8" w14:textId="4AE38B17"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61,72</w:t>
            </w:r>
          </w:p>
        </w:tc>
        <w:tc>
          <w:tcPr>
            <w:tcW w:w="992" w:type="dxa"/>
            <w:shd w:val="clear" w:color="auto" w:fill="auto"/>
            <w:vAlign w:val="center"/>
          </w:tcPr>
          <w:p w14:paraId="7487879A" w14:textId="583929BC"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(32,73)</w:t>
            </w:r>
          </w:p>
        </w:tc>
        <w:tc>
          <w:tcPr>
            <w:tcW w:w="965" w:type="dxa"/>
            <w:shd w:val="clear" w:color="auto" w:fill="auto"/>
            <w:noWrap/>
            <w:vAlign w:val="center"/>
          </w:tcPr>
          <w:p w14:paraId="0E6A1A35" w14:textId="20EC1967"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(16,28)</w:t>
            </w:r>
          </w:p>
        </w:tc>
      </w:tr>
      <w:tr w:rsidR="008379CA" w:rsidRPr="008379CA" w14:paraId="496A7F3E" w14:textId="77777777" w:rsidTr="00600933">
        <w:trPr>
          <w:trHeight w:val="312"/>
        </w:trPr>
        <w:tc>
          <w:tcPr>
            <w:tcW w:w="1134" w:type="dxa"/>
            <w:shd w:val="clear" w:color="auto" w:fill="auto"/>
            <w:vAlign w:val="center"/>
          </w:tcPr>
          <w:p w14:paraId="0D5BA2CD" w14:textId="20903F1E" w:rsidR="00AC5C41" w:rsidRPr="008379CA" w:rsidRDefault="00AC5C41" w:rsidP="00AC5C41">
            <w:pPr>
              <w:jc w:val="both"/>
              <w:rPr>
                <w:rFonts w:ascii="Bookman Old Style" w:hAnsi="Bookman Old Style" w:cs="Calibri"/>
                <w:bCs/>
                <w:sz w:val="12"/>
                <w:szCs w:val="12"/>
                <w:lang w:val="en-US"/>
              </w:rPr>
            </w:pPr>
            <w:r w:rsidRPr="008379CA">
              <w:rPr>
                <w:rFonts w:ascii="Bookman Old Style" w:hAnsi="Bookman Old Style" w:cs="Calibri"/>
                <w:b/>
                <w:bCs/>
                <w:sz w:val="12"/>
                <w:szCs w:val="12"/>
              </w:rPr>
              <w:t>Belanja</w:t>
            </w:r>
            <w:r w:rsidR="00A954D0" w:rsidRPr="008379CA">
              <w:rPr>
                <w:rFonts w:ascii="Bookman Old Style" w:hAnsi="Bookman Old Style" w:cs="Calibri"/>
                <w:b/>
                <w:bCs/>
                <w:sz w:val="12"/>
                <w:szCs w:val="12"/>
              </w:rPr>
              <w:t xml:space="preserve"> </w:t>
            </w:r>
            <w:r w:rsidRPr="008379CA">
              <w:rPr>
                <w:rFonts w:ascii="Bookman Old Style" w:hAnsi="Bookman Old Style" w:cs="Calibri"/>
                <w:b/>
                <w:bCs/>
                <w:sz w:val="12"/>
                <w:szCs w:val="12"/>
              </w:rPr>
              <w:t>Modal</w:t>
            </w:r>
          </w:p>
        </w:tc>
        <w:tc>
          <w:tcPr>
            <w:tcW w:w="1701" w:type="dxa"/>
            <w:shd w:val="clear" w:color="auto" w:fill="auto"/>
            <w:vAlign w:val="center"/>
          </w:tcPr>
          <w:p w14:paraId="0F8143DB" w14:textId="6D63616C" w:rsidR="00AC5C41" w:rsidRPr="008379CA" w:rsidRDefault="00AC5C41" w:rsidP="008922F3">
            <w:pPr>
              <w:ind w:left="-113"/>
              <w:jc w:val="right"/>
              <w:rPr>
                <w:rFonts w:ascii="Bookman Old Style" w:hAnsi="Bookman Old Style" w:cs="Calibri"/>
                <w:b/>
                <w:bCs/>
                <w:sz w:val="12"/>
                <w:szCs w:val="12"/>
                <w:lang w:val="en-US"/>
              </w:rPr>
            </w:pPr>
            <w:r w:rsidRPr="008379CA">
              <w:rPr>
                <w:rFonts w:ascii="Bookman Old Style" w:hAnsi="Bookman Old Style" w:cs="Calibri"/>
                <w:b/>
                <w:bCs/>
                <w:sz w:val="12"/>
                <w:szCs w:val="12"/>
              </w:rPr>
              <w:t>825.636.746.480</w:t>
            </w:r>
            <w:r w:rsidR="00E535D2" w:rsidRPr="008379CA">
              <w:rPr>
                <w:rFonts w:ascii="Bookman Old Style" w:hAnsi="Bookman Old Style" w:cs="Calibri"/>
                <w:b/>
                <w:bCs/>
                <w:sz w:val="12"/>
                <w:szCs w:val="12"/>
              </w:rPr>
              <w:t xml:space="preserve">,00  </w:t>
            </w:r>
            <w:r w:rsidR="00A954D0" w:rsidRPr="008379CA">
              <w:rPr>
                <w:rFonts w:ascii="Bookman Old Style" w:hAnsi="Bookman Old Style" w:cs="Calibri"/>
                <w:b/>
                <w:bCs/>
                <w:sz w:val="12"/>
                <w:szCs w:val="12"/>
              </w:rPr>
              <w:t xml:space="preserve"> </w:t>
            </w:r>
          </w:p>
        </w:tc>
        <w:tc>
          <w:tcPr>
            <w:tcW w:w="1531" w:type="dxa"/>
            <w:shd w:val="clear" w:color="auto" w:fill="auto"/>
            <w:vAlign w:val="center"/>
          </w:tcPr>
          <w:p w14:paraId="6D14D091" w14:textId="71736E5E" w:rsidR="00AC5C41" w:rsidRPr="008379CA" w:rsidRDefault="00AC5C41" w:rsidP="008922F3">
            <w:pPr>
              <w:ind w:left="-113"/>
              <w:jc w:val="right"/>
              <w:rPr>
                <w:rFonts w:ascii="Bookman Old Style" w:hAnsi="Bookman Old Style" w:cs="Calibri"/>
                <w:b/>
                <w:bCs/>
                <w:sz w:val="12"/>
                <w:szCs w:val="12"/>
                <w:lang w:val="en-US"/>
              </w:rPr>
            </w:pPr>
            <w:r w:rsidRPr="008379CA">
              <w:rPr>
                <w:rFonts w:ascii="Bookman Old Style" w:hAnsi="Bookman Old Style" w:cs="Calibri"/>
                <w:b/>
                <w:bCs/>
                <w:sz w:val="12"/>
                <w:szCs w:val="12"/>
              </w:rPr>
              <w:t>651.926.316.914</w:t>
            </w:r>
            <w:r w:rsidR="00E535D2" w:rsidRPr="008379CA">
              <w:rPr>
                <w:rFonts w:ascii="Bookman Old Style" w:hAnsi="Bookman Old Style" w:cs="Calibri"/>
                <w:b/>
                <w:bCs/>
                <w:sz w:val="12"/>
                <w:szCs w:val="12"/>
              </w:rPr>
              <w:t xml:space="preserve">,00  </w:t>
            </w:r>
            <w:r w:rsidR="00A954D0" w:rsidRPr="008379CA">
              <w:rPr>
                <w:rFonts w:ascii="Bookman Old Style" w:hAnsi="Bookman Old Style" w:cs="Calibri"/>
                <w:b/>
                <w:bCs/>
                <w:sz w:val="12"/>
                <w:szCs w:val="12"/>
              </w:rPr>
              <w:t xml:space="preserve"> </w:t>
            </w:r>
          </w:p>
        </w:tc>
        <w:tc>
          <w:tcPr>
            <w:tcW w:w="709" w:type="dxa"/>
            <w:shd w:val="clear" w:color="auto" w:fill="auto"/>
            <w:vAlign w:val="center"/>
          </w:tcPr>
          <w:p w14:paraId="52924ABA" w14:textId="5095CF6D" w:rsidR="00AC5C41" w:rsidRPr="008379CA" w:rsidRDefault="00AC5C41" w:rsidP="005353EC">
            <w:pPr>
              <w:jc w:val="center"/>
              <w:rPr>
                <w:rFonts w:ascii="Bookman Old Style" w:hAnsi="Bookman Old Style" w:cs="Calibri"/>
                <w:b/>
                <w:bCs/>
                <w:sz w:val="12"/>
                <w:szCs w:val="12"/>
                <w:lang w:val="en-US"/>
              </w:rPr>
            </w:pPr>
            <w:r w:rsidRPr="008379CA">
              <w:rPr>
                <w:rFonts w:ascii="Bookman Old Style" w:hAnsi="Bookman Old Style" w:cs="Calibri"/>
                <w:b/>
                <w:bCs/>
                <w:sz w:val="12"/>
                <w:szCs w:val="12"/>
              </w:rPr>
              <w:t>78,96</w:t>
            </w:r>
          </w:p>
        </w:tc>
        <w:tc>
          <w:tcPr>
            <w:tcW w:w="1559" w:type="dxa"/>
            <w:shd w:val="clear" w:color="auto" w:fill="auto"/>
            <w:vAlign w:val="center"/>
          </w:tcPr>
          <w:p w14:paraId="5149ABBE" w14:textId="216A19EF" w:rsidR="00AC5C41" w:rsidRPr="008379CA" w:rsidRDefault="00AC5C41" w:rsidP="008922F3">
            <w:pPr>
              <w:ind w:left="-110"/>
              <w:jc w:val="right"/>
              <w:rPr>
                <w:rFonts w:ascii="Bookman Old Style" w:hAnsi="Bookman Old Style" w:cs="Calibri"/>
                <w:b/>
                <w:bCs/>
                <w:sz w:val="12"/>
                <w:szCs w:val="12"/>
                <w:lang w:val="en-US"/>
              </w:rPr>
            </w:pPr>
            <w:r w:rsidRPr="008379CA">
              <w:rPr>
                <w:rFonts w:ascii="Bookman Old Style" w:hAnsi="Bookman Old Style" w:cs="Calibri"/>
                <w:b/>
                <w:bCs/>
                <w:sz w:val="12"/>
                <w:szCs w:val="12"/>
              </w:rPr>
              <w:t>912.667.075.407</w:t>
            </w:r>
            <w:r w:rsidR="00E535D2" w:rsidRPr="008379CA">
              <w:rPr>
                <w:rFonts w:ascii="Bookman Old Style" w:hAnsi="Bookman Old Style" w:cs="Calibri"/>
                <w:b/>
                <w:bCs/>
                <w:sz w:val="12"/>
                <w:szCs w:val="12"/>
              </w:rPr>
              <w:t xml:space="preserve">,00  </w:t>
            </w:r>
            <w:r w:rsidR="00A954D0" w:rsidRPr="008379CA">
              <w:rPr>
                <w:rFonts w:ascii="Bookman Old Style" w:hAnsi="Bookman Old Style" w:cs="Calibri"/>
                <w:b/>
                <w:bCs/>
                <w:sz w:val="12"/>
                <w:szCs w:val="12"/>
              </w:rPr>
              <w:t xml:space="preserve"> </w:t>
            </w:r>
          </w:p>
        </w:tc>
        <w:tc>
          <w:tcPr>
            <w:tcW w:w="1559" w:type="dxa"/>
            <w:shd w:val="clear" w:color="auto" w:fill="auto"/>
            <w:vAlign w:val="center"/>
          </w:tcPr>
          <w:p w14:paraId="124E80A0" w14:textId="47A374F7" w:rsidR="00AC5C41" w:rsidRPr="008379CA" w:rsidRDefault="00AC5C41" w:rsidP="008922F3">
            <w:pPr>
              <w:ind w:left="-110"/>
              <w:jc w:val="right"/>
              <w:rPr>
                <w:rFonts w:ascii="Bookman Old Style" w:hAnsi="Bookman Old Style" w:cs="Calibri"/>
                <w:b/>
                <w:bCs/>
                <w:sz w:val="12"/>
                <w:szCs w:val="12"/>
                <w:lang w:val="en-US"/>
              </w:rPr>
            </w:pPr>
            <w:r w:rsidRPr="008379CA">
              <w:rPr>
                <w:rFonts w:ascii="Bookman Old Style" w:hAnsi="Bookman Old Style" w:cs="Calibri"/>
                <w:b/>
                <w:bCs/>
                <w:sz w:val="12"/>
                <w:szCs w:val="12"/>
              </w:rPr>
              <w:t>800.254.297.026</w:t>
            </w:r>
            <w:r w:rsidR="00E535D2" w:rsidRPr="008379CA">
              <w:rPr>
                <w:rFonts w:ascii="Bookman Old Style" w:hAnsi="Bookman Old Style" w:cs="Calibri"/>
                <w:b/>
                <w:bCs/>
                <w:sz w:val="12"/>
                <w:szCs w:val="12"/>
              </w:rPr>
              <w:t xml:space="preserve">,00  </w:t>
            </w:r>
            <w:r w:rsidR="00A954D0" w:rsidRPr="008379CA">
              <w:rPr>
                <w:rFonts w:ascii="Bookman Old Style" w:hAnsi="Bookman Old Style" w:cs="Calibri"/>
                <w:b/>
                <w:bCs/>
                <w:sz w:val="12"/>
                <w:szCs w:val="12"/>
              </w:rPr>
              <w:t xml:space="preserve"> </w:t>
            </w:r>
          </w:p>
        </w:tc>
        <w:tc>
          <w:tcPr>
            <w:tcW w:w="709" w:type="dxa"/>
            <w:shd w:val="clear" w:color="auto" w:fill="auto"/>
            <w:vAlign w:val="center"/>
          </w:tcPr>
          <w:p w14:paraId="68A9437A" w14:textId="048EE7BC" w:rsidR="00AC5C41" w:rsidRPr="008379CA" w:rsidRDefault="00AC5C41" w:rsidP="005353EC">
            <w:pPr>
              <w:jc w:val="center"/>
              <w:rPr>
                <w:rFonts w:ascii="Bookman Old Style" w:hAnsi="Bookman Old Style" w:cs="Calibri"/>
                <w:b/>
                <w:bCs/>
                <w:sz w:val="12"/>
                <w:szCs w:val="12"/>
                <w:lang w:val="en-US"/>
              </w:rPr>
            </w:pPr>
            <w:r w:rsidRPr="008379CA">
              <w:rPr>
                <w:rFonts w:ascii="Bookman Old Style" w:hAnsi="Bookman Old Style" w:cs="Calibri"/>
                <w:b/>
                <w:bCs/>
                <w:sz w:val="12"/>
                <w:szCs w:val="12"/>
              </w:rPr>
              <w:t>87,68</w:t>
            </w:r>
          </w:p>
        </w:tc>
        <w:tc>
          <w:tcPr>
            <w:tcW w:w="1559" w:type="dxa"/>
            <w:shd w:val="clear" w:color="auto" w:fill="auto"/>
            <w:vAlign w:val="center"/>
          </w:tcPr>
          <w:p w14:paraId="408E98DB" w14:textId="6A3FE16C" w:rsidR="00AC5C41" w:rsidRPr="008379CA" w:rsidRDefault="00AC5C41" w:rsidP="008922F3">
            <w:pPr>
              <w:ind w:left="-106"/>
              <w:jc w:val="right"/>
              <w:rPr>
                <w:rFonts w:ascii="Bookman Old Style" w:hAnsi="Bookman Old Style" w:cs="Calibri"/>
                <w:b/>
                <w:bCs/>
                <w:sz w:val="12"/>
                <w:szCs w:val="12"/>
                <w:lang w:val="en-US"/>
              </w:rPr>
            </w:pPr>
            <w:r w:rsidRPr="008379CA">
              <w:rPr>
                <w:rFonts w:ascii="Bookman Old Style" w:hAnsi="Bookman Old Style" w:cs="Calibri"/>
                <w:b/>
                <w:bCs/>
                <w:sz w:val="12"/>
                <w:szCs w:val="12"/>
              </w:rPr>
              <w:t>1.033.771.832.084</w:t>
            </w:r>
            <w:r w:rsidR="00E535D2" w:rsidRPr="008379CA">
              <w:rPr>
                <w:rFonts w:ascii="Bookman Old Style" w:hAnsi="Bookman Old Style" w:cs="Calibri"/>
                <w:b/>
                <w:bCs/>
                <w:sz w:val="12"/>
                <w:szCs w:val="12"/>
              </w:rPr>
              <w:t xml:space="preserve">,00  </w:t>
            </w:r>
            <w:r w:rsidR="00A954D0" w:rsidRPr="008379CA">
              <w:rPr>
                <w:rFonts w:ascii="Bookman Old Style" w:hAnsi="Bookman Old Style" w:cs="Calibri"/>
                <w:b/>
                <w:bCs/>
                <w:sz w:val="12"/>
                <w:szCs w:val="12"/>
              </w:rPr>
              <w:t xml:space="preserve"> </w:t>
            </w:r>
          </w:p>
        </w:tc>
        <w:tc>
          <w:tcPr>
            <w:tcW w:w="1560" w:type="dxa"/>
            <w:shd w:val="clear" w:color="auto" w:fill="auto"/>
            <w:vAlign w:val="center"/>
          </w:tcPr>
          <w:p w14:paraId="398AD4DD" w14:textId="5289551A" w:rsidR="00AC5C41" w:rsidRPr="008379CA" w:rsidRDefault="00AC5C41" w:rsidP="008922F3">
            <w:pPr>
              <w:ind w:left="-106"/>
              <w:jc w:val="right"/>
              <w:rPr>
                <w:rFonts w:ascii="Bookman Old Style" w:hAnsi="Bookman Old Style" w:cs="Calibri"/>
                <w:b/>
                <w:bCs/>
                <w:sz w:val="12"/>
                <w:szCs w:val="12"/>
                <w:lang w:val="en-US"/>
              </w:rPr>
            </w:pPr>
            <w:r w:rsidRPr="008379CA">
              <w:rPr>
                <w:rFonts w:ascii="Bookman Old Style" w:hAnsi="Bookman Old Style" w:cs="Calibri"/>
                <w:b/>
                <w:bCs/>
                <w:sz w:val="12"/>
                <w:szCs w:val="12"/>
              </w:rPr>
              <w:t>431.991.801.874</w:t>
            </w:r>
            <w:r w:rsidR="00E535D2" w:rsidRPr="008379CA">
              <w:rPr>
                <w:rFonts w:ascii="Bookman Old Style" w:hAnsi="Bookman Old Style" w:cs="Calibri"/>
                <w:b/>
                <w:bCs/>
                <w:sz w:val="12"/>
                <w:szCs w:val="12"/>
              </w:rPr>
              <w:t xml:space="preserve">,00  </w:t>
            </w:r>
            <w:r w:rsidR="00A954D0" w:rsidRPr="008379CA">
              <w:rPr>
                <w:rFonts w:ascii="Bookman Old Style" w:hAnsi="Bookman Old Style" w:cs="Calibri"/>
                <w:b/>
                <w:bCs/>
                <w:sz w:val="12"/>
                <w:szCs w:val="12"/>
              </w:rPr>
              <w:t xml:space="preserve"> </w:t>
            </w:r>
          </w:p>
        </w:tc>
        <w:tc>
          <w:tcPr>
            <w:tcW w:w="709" w:type="dxa"/>
            <w:shd w:val="clear" w:color="auto" w:fill="auto"/>
            <w:vAlign w:val="center"/>
          </w:tcPr>
          <w:p w14:paraId="1E14EAD1" w14:textId="57C1E4E1" w:rsidR="00AC5C41" w:rsidRPr="008379CA" w:rsidRDefault="00AC5C41" w:rsidP="00AC5C41">
            <w:pPr>
              <w:jc w:val="center"/>
              <w:rPr>
                <w:rFonts w:ascii="Bookman Old Style" w:hAnsi="Bookman Old Style" w:cs="Calibri"/>
                <w:b/>
                <w:bCs/>
                <w:sz w:val="12"/>
                <w:szCs w:val="12"/>
                <w:lang w:val="en-US"/>
              </w:rPr>
            </w:pPr>
            <w:r w:rsidRPr="008379CA">
              <w:rPr>
                <w:rFonts w:ascii="Bookman Old Style" w:hAnsi="Bookman Old Style" w:cs="Calibri"/>
                <w:b/>
                <w:bCs/>
                <w:sz w:val="12"/>
                <w:szCs w:val="12"/>
              </w:rPr>
              <w:t>41,79</w:t>
            </w:r>
            <w:r w:rsidR="00A954D0" w:rsidRPr="008379CA">
              <w:rPr>
                <w:rFonts w:ascii="Bookman Old Style" w:hAnsi="Bookman Old Style" w:cs="Calibri"/>
                <w:b/>
                <w:bCs/>
                <w:sz w:val="12"/>
                <w:szCs w:val="12"/>
              </w:rPr>
              <w:t xml:space="preserve"> </w:t>
            </w:r>
          </w:p>
        </w:tc>
        <w:tc>
          <w:tcPr>
            <w:tcW w:w="1559" w:type="dxa"/>
            <w:shd w:val="clear" w:color="auto" w:fill="auto"/>
            <w:vAlign w:val="center"/>
          </w:tcPr>
          <w:p w14:paraId="5A7E502A" w14:textId="2FAFBABA" w:rsidR="00AC5C41" w:rsidRPr="008379CA" w:rsidRDefault="00AC5C41" w:rsidP="008922F3">
            <w:pPr>
              <w:ind w:left="-102"/>
              <w:jc w:val="right"/>
              <w:rPr>
                <w:rFonts w:ascii="Bookman Old Style" w:hAnsi="Bookman Old Style" w:cs="Calibri"/>
                <w:b/>
                <w:bCs/>
                <w:sz w:val="12"/>
                <w:szCs w:val="12"/>
                <w:lang w:val="en-US"/>
              </w:rPr>
            </w:pPr>
            <w:r w:rsidRPr="008379CA">
              <w:rPr>
                <w:rFonts w:ascii="Bookman Old Style" w:hAnsi="Bookman Old Style" w:cs="Calibri"/>
                <w:b/>
                <w:bCs/>
                <w:sz w:val="12"/>
                <w:szCs w:val="12"/>
              </w:rPr>
              <w:t>1.037.873.336.541</w:t>
            </w:r>
            <w:r w:rsidR="00E535D2" w:rsidRPr="008379CA">
              <w:rPr>
                <w:rFonts w:ascii="Bookman Old Style" w:hAnsi="Bookman Old Style" w:cs="Calibri"/>
                <w:b/>
                <w:bCs/>
                <w:sz w:val="12"/>
                <w:szCs w:val="12"/>
              </w:rPr>
              <w:t xml:space="preserve">,00  </w:t>
            </w:r>
            <w:r w:rsidR="00A954D0" w:rsidRPr="008379CA">
              <w:rPr>
                <w:rFonts w:ascii="Bookman Old Style" w:hAnsi="Bookman Old Style" w:cs="Calibri"/>
                <w:b/>
                <w:bCs/>
                <w:sz w:val="12"/>
                <w:szCs w:val="12"/>
              </w:rPr>
              <w:t xml:space="preserve"> </w:t>
            </w:r>
          </w:p>
        </w:tc>
        <w:tc>
          <w:tcPr>
            <w:tcW w:w="850" w:type="dxa"/>
            <w:shd w:val="clear" w:color="auto" w:fill="auto"/>
            <w:vAlign w:val="center"/>
          </w:tcPr>
          <w:p w14:paraId="2381272C" w14:textId="6FF81528" w:rsidR="00AC5C41" w:rsidRPr="008379CA" w:rsidRDefault="00AC5C41" w:rsidP="004F6797">
            <w:pPr>
              <w:jc w:val="center"/>
              <w:rPr>
                <w:rFonts w:ascii="Bookman Old Style" w:hAnsi="Bookman Old Style" w:cs="Calibri"/>
                <w:bCs/>
                <w:sz w:val="12"/>
                <w:szCs w:val="12"/>
                <w:lang w:val="en-US"/>
              </w:rPr>
            </w:pPr>
            <w:r w:rsidRPr="008379CA">
              <w:rPr>
                <w:rFonts w:ascii="Bookman Old Style" w:hAnsi="Bookman Old Style" w:cs="Calibri"/>
                <w:b/>
                <w:bCs/>
                <w:sz w:val="12"/>
                <w:szCs w:val="12"/>
              </w:rPr>
              <w:t>10,54</w:t>
            </w:r>
          </w:p>
        </w:tc>
        <w:tc>
          <w:tcPr>
            <w:tcW w:w="850" w:type="dxa"/>
            <w:shd w:val="clear" w:color="auto" w:fill="auto"/>
            <w:vAlign w:val="center"/>
          </w:tcPr>
          <w:p w14:paraId="2CC89542" w14:textId="7E99C637" w:rsidR="00AC5C41" w:rsidRPr="008379CA" w:rsidRDefault="00AC5C41" w:rsidP="004F6797">
            <w:pPr>
              <w:jc w:val="center"/>
              <w:rPr>
                <w:rFonts w:ascii="Bookman Old Style" w:hAnsi="Bookman Old Style" w:cs="Calibri"/>
                <w:bCs/>
                <w:sz w:val="12"/>
                <w:szCs w:val="12"/>
                <w:lang w:val="en-US"/>
              </w:rPr>
            </w:pPr>
            <w:r w:rsidRPr="008379CA">
              <w:rPr>
                <w:rFonts w:ascii="Bookman Old Style" w:hAnsi="Bookman Old Style" w:cs="Calibri"/>
                <w:b/>
                <w:bCs/>
                <w:sz w:val="12"/>
                <w:szCs w:val="12"/>
              </w:rPr>
              <w:t>13,27</w:t>
            </w:r>
          </w:p>
        </w:tc>
        <w:tc>
          <w:tcPr>
            <w:tcW w:w="992" w:type="dxa"/>
            <w:shd w:val="clear" w:color="auto" w:fill="auto"/>
            <w:vAlign w:val="center"/>
          </w:tcPr>
          <w:p w14:paraId="2612C963" w14:textId="3DD91C34" w:rsidR="00AC5C41" w:rsidRPr="008379CA" w:rsidRDefault="00AC5C41" w:rsidP="004F6797">
            <w:pPr>
              <w:jc w:val="center"/>
              <w:rPr>
                <w:rFonts w:ascii="Bookman Old Style" w:hAnsi="Bookman Old Style" w:cs="Calibri"/>
                <w:bCs/>
                <w:sz w:val="12"/>
                <w:szCs w:val="12"/>
                <w:lang w:val="en-US"/>
              </w:rPr>
            </w:pPr>
            <w:r w:rsidRPr="008379CA">
              <w:rPr>
                <w:rFonts w:ascii="Bookman Old Style" w:hAnsi="Bookman Old Style" w:cs="Calibri"/>
                <w:b/>
                <w:bCs/>
                <w:sz w:val="12"/>
                <w:szCs w:val="12"/>
              </w:rPr>
              <w:t>0,40</w:t>
            </w:r>
          </w:p>
        </w:tc>
        <w:tc>
          <w:tcPr>
            <w:tcW w:w="965" w:type="dxa"/>
            <w:shd w:val="clear" w:color="auto" w:fill="auto"/>
            <w:noWrap/>
            <w:vAlign w:val="center"/>
          </w:tcPr>
          <w:p w14:paraId="39C4AE96" w14:textId="3D4BFCD1" w:rsidR="00AC5C41" w:rsidRPr="008379CA" w:rsidRDefault="00AC5C41" w:rsidP="004F6797">
            <w:pPr>
              <w:jc w:val="center"/>
              <w:rPr>
                <w:rFonts w:ascii="Bookman Old Style" w:hAnsi="Bookman Old Style" w:cs="Calibri"/>
                <w:bCs/>
                <w:sz w:val="12"/>
                <w:szCs w:val="12"/>
                <w:lang w:val="en-US"/>
              </w:rPr>
            </w:pPr>
            <w:r w:rsidRPr="008379CA">
              <w:rPr>
                <w:rFonts w:ascii="Bookman Old Style" w:hAnsi="Bookman Old Style" w:cs="Calibri"/>
                <w:b/>
                <w:bCs/>
                <w:sz w:val="12"/>
                <w:szCs w:val="12"/>
              </w:rPr>
              <w:t>8,07</w:t>
            </w:r>
          </w:p>
        </w:tc>
      </w:tr>
      <w:tr w:rsidR="008379CA" w:rsidRPr="008379CA" w14:paraId="78FDED35" w14:textId="77777777" w:rsidTr="00600933">
        <w:trPr>
          <w:trHeight w:val="312"/>
        </w:trPr>
        <w:tc>
          <w:tcPr>
            <w:tcW w:w="1134" w:type="dxa"/>
            <w:shd w:val="clear" w:color="auto" w:fill="auto"/>
            <w:vAlign w:val="center"/>
          </w:tcPr>
          <w:p w14:paraId="15A043B2" w14:textId="5EDFD154" w:rsidR="00AC5C41" w:rsidRPr="008379CA" w:rsidRDefault="00AC5C41" w:rsidP="00AC5C41">
            <w:pPr>
              <w:jc w:val="both"/>
              <w:rPr>
                <w:rFonts w:ascii="Bookman Old Style" w:hAnsi="Bookman Old Style" w:cs="Calibri"/>
                <w:bCs/>
                <w:sz w:val="12"/>
                <w:szCs w:val="12"/>
                <w:lang w:val="en-US"/>
              </w:rPr>
            </w:pPr>
            <w:r w:rsidRPr="008379CA">
              <w:rPr>
                <w:rFonts w:ascii="Bookman Old Style" w:hAnsi="Bookman Old Style" w:cs="Calibri"/>
                <w:sz w:val="12"/>
                <w:szCs w:val="12"/>
              </w:rPr>
              <w:t>Belanja</w:t>
            </w:r>
            <w:r w:rsidR="00A954D0" w:rsidRPr="008379CA">
              <w:rPr>
                <w:rFonts w:ascii="Bookman Old Style" w:hAnsi="Bookman Old Style" w:cs="Calibri"/>
                <w:sz w:val="12"/>
                <w:szCs w:val="12"/>
              </w:rPr>
              <w:t xml:space="preserve"> </w:t>
            </w:r>
            <w:r w:rsidRPr="008379CA">
              <w:rPr>
                <w:rFonts w:ascii="Bookman Old Style" w:hAnsi="Bookman Old Style" w:cs="Calibri"/>
                <w:sz w:val="12"/>
                <w:szCs w:val="12"/>
              </w:rPr>
              <w:t>Modal</w:t>
            </w:r>
            <w:r w:rsidR="00A954D0" w:rsidRPr="008379CA">
              <w:rPr>
                <w:rFonts w:ascii="Bookman Old Style" w:hAnsi="Bookman Old Style" w:cs="Calibri"/>
                <w:sz w:val="12"/>
                <w:szCs w:val="12"/>
              </w:rPr>
              <w:t xml:space="preserve"> </w:t>
            </w:r>
            <w:r w:rsidRPr="008379CA">
              <w:rPr>
                <w:rFonts w:ascii="Bookman Old Style" w:hAnsi="Bookman Old Style" w:cs="Calibri"/>
                <w:sz w:val="12"/>
                <w:szCs w:val="12"/>
              </w:rPr>
              <w:t>Tanah</w:t>
            </w:r>
          </w:p>
        </w:tc>
        <w:tc>
          <w:tcPr>
            <w:tcW w:w="1701" w:type="dxa"/>
            <w:shd w:val="clear" w:color="auto" w:fill="auto"/>
            <w:vAlign w:val="center"/>
          </w:tcPr>
          <w:p w14:paraId="4051B2CB" w14:textId="189D61CD" w:rsidR="00AC5C41" w:rsidRPr="008379CA" w:rsidRDefault="00AC5C41" w:rsidP="008922F3">
            <w:pPr>
              <w:ind w:left="-113"/>
              <w:jc w:val="right"/>
              <w:rPr>
                <w:rFonts w:ascii="Bookman Old Style" w:hAnsi="Bookman Old Style" w:cs="Calibri"/>
                <w:bCs/>
                <w:sz w:val="12"/>
                <w:szCs w:val="12"/>
                <w:lang w:val="en-US"/>
              </w:rPr>
            </w:pPr>
            <w:r w:rsidRPr="008379CA">
              <w:rPr>
                <w:rFonts w:ascii="Bookman Old Style" w:hAnsi="Bookman Old Style" w:cs="Calibri"/>
                <w:sz w:val="12"/>
                <w:szCs w:val="12"/>
              </w:rPr>
              <w:t>175.432.184.877</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1531" w:type="dxa"/>
            <w:shd w:val="clear" w:color="auto" w:fill="auto"/>
            <w:vAlign w:val="center"/>
          </w:tcPr>
          <w:p w14:paraId="1944F941" w14:textId="3517E9DC" w:rsidR="00AC5C41" w:rsidRPr="008379CA" w:rsidRDefault="00AC5C41" w:rsidP="008922F3">
            <w:pPr>
              <w:ind w:left="-113"/>
              <w:jc w:val="right"/>
              <w:rPr>
                <w:rFonts w:ascii="Bookman Old Style" w:hAnsi="Bookman Old Style" w:cs="Calibri"/>
                <w:bCs/>
                <w:sz w:val="12"/>
                <w:szCs w:val="12"/>
                <w:lang w:val="en-US"/>
              </w:rPr>
            </w:pPr>
            <w:r w:rsidRPr="008379CA">
              <w:rPr>
                <w:rFonts w:ascii="Bookman Old Style" w:hAnsi="Bookman Old Style" w:cs="Calibri"/>
                <w:sz w:val="12"/>
                <w:szCs w:val="12"/>
              </w:rPr>
              <w:t>114.025.332.347</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709" w:type="dxa"/>
            <w:shd w:val="clear" w:color="auto" w:fill="auto"/>
            <w:vAlign w:val="center"/>
          </w:tcPr>
          <w:p w14:paraId="061AEE7C" w14:textId="1CC7B5F8" w:rsidR="00AC5C41" w:rsidRPr="008379CA" w:rsidRDefault="00AC5C41" w:rsidP="005353EC">
            <w:pPr>
              <w:jc w:val="center"/>
              <w:rPr>
                <w:rFonts w:ascii="Bookman Old Style" w:hAnsi="Bookman Old Style" w:cs="Calibri"/>
                <w:bCs/>
                <w:sz w:val="12"/>
                <w:szCs w:val="12"/>
                <w:lang w:val="en-US"/>
              </w:rPr>
            </w:pPr>
            <w:r w:rsidRPr="008379CA">
              <w:rPr>
                <w:rFonts w:ascii="Bookman Old Style" w:hAnsi="Bookman Old Style" w:cs="Calibri"/>
                <w:sz w:val="12"/>
                <w:szCs w:val="12"/>
              </w:rPr>
              <w:t>65,00</w:t>
            </w:r>
          </w:p>
        </w:tc>
        <w:tc>
          <w:tcPr>
            <w:tcW w:w="1559" w:type="dxa"/>
            <w:shd w:val="clear" w:color="auto" w:fill="auto"/>
            <w:vAlign w:val="center"/>
          </w:tcPr>
          <w:p w14:paraId="523BC38B" w14:textId="7E7199E5" w:rsidR="00AC5C41" w:rsidRPr="008379CA" w:rsidRDefault="00AC5C41" w:rsidP="008922F3">
            <w:pPr>
              <w:ind w:left="-110"/>
              <w:jc w:val="right"/>
              <w:rPr>
                <w:rFonts w:ascii="Bookman Old Style" w:hAnsi="Bookman Old Style" w:cs="Calibri"/>
                <w:bCs/>
                <w:sz w:val="12"/>
                <w:szCs w:val="12"/>
                <w:lang w:val="en-US"/>
              </w:rPr>
            </w:pPr>
            <w:r w:rsidRPr="008379CA">
              <w:rPr>
                <w:rFonts w:ascii="Bookman Old Style" w:hAnsi="Bookman Old Style" w:cs="Calibri"/>
                <w:sz w:val="12"/>
                <w:szCs w:val="12"/>
              </w:rPr>
              <w:t>62.644.910.736</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1559" w:type="dxa"/>
            <w:shd w:val="clear" w:color="auto" w:fill="auto"/>
            <w:vAlign w:val="center"/>
          </w:tcPr>
          <w:p w14:paraId="59C983AF" w14:textId="4ACA22BC" w:rsidR="00AC5C41" w:rsidRPr="008379CA" w:rsidRDefault="00AC5C41" w:rsidP="008922F3">
            <w:pPr>
              <w:ind w:left="-110"/>
              <w:jc w:val="right"/>
              <w:rPr>
                <w:rFonts w:ascii="Bookman Old Style" w:hAnsi="Bookman Old Style" w:cs="Calibri"/>
                <w:bCs/>
                <w:sz w:val="12"/>
                <w:szCs w:val="12"/>
                <w:lang w:val="en-US"/>
              </w:rPr>
            </w:pPr>
            <w:r w:rsidRPr="008379CA">
              <w:rPr>
                <w:rFonts w:ascii="Bookman Old Style" w:hAnsi="Bookman Old Style" w:cs="Calibri"/>
                <w:sz w:val="12"/>
                <w:szCs w:val="12"/>
              </w:rPr>
              <w:t>11.206.062.731</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709" w:type="dxa"/>
            <w:shd w:val="clear" w:color="auto" w:fill="auto"/>
            <w:vAlign w:val="center"/>
          </w:tcPr>
          <w:p w14:paraId="22CDC8C3" w14:textId="795CD4F6" w:rsidR="00AC5C41" w:rsidRPr="008379CA" w:rsidRDefault="00AC5C41" w:rsidP="005353EC">
            <w:pPr>
              <w:jc w:val="center"/>
              <w:rPr>
                <w:rFonts w:ascii="Bookman Old Style" w:hAnsi="Bookman Old Style" w:cs="Calibri"/>
                <w:bCs/>
                <w:sz w:val="12"/>
                <w:szCs w:val="12"/>
                <w:lang w:val="en-US"/>
              </w:rPr>
            </w:pPr>
            <w:r w:rsidRPr="008379CA">
              <w:rPr>
                <w:rFonts w:ascii="Bookman Old Style" w:hAnsi="Bookman Old Style" w:cs="Calibri"/>
                <w:sz w:val="12"/>
                <w:szCs w:val="12"/>
              </w:rPr>
              <w:t>17,89</w:t>
            </w:r>
          </w:p>
        </w:tc>
        <w:tc>
          <w:tcPr>
            <w:tcW w:w="1559" w:type="dxa"/>
            <w:shd w:val="clear" w:color="auto" w:fill="auto"/>
            <w:vAlign w:val="center"/>
          </w:tcPr>
          <w:p w14:paraId="4B9BA1CD" w14:textId="2FB7E89E" w:rsidR="00AC5C41" w:rsidRPr="008379CA" w:rsidRDefault="00AC5C41" w:rsidP="008922F3">
            <w:pPr>
              <w:ind w:left="-106"/>
              <w:jc w:val="right"/>
              <w:rPr>
                <w:rFonts w:ascii="Bookman Old Style" w:hAnsi="Bookman Old Style" w:cs="Calibri"/>
                <w:bCs/>
                <w:sz w:val="12"/>
                <w:szCs w:val="12"/>
                <w:lang w:val="en-US"/>
              </w:rPr>
            </w:pPr>
            <w:r w:rsidRPr="008379CA">
              <w:rPr>
                <w:rFonts w:ascii="Bookman Old Style" w:hAnsi="Bookman Old Style" w:cs="Calibri"/>
                <w:sz w:val="12"/>
                <w:szCs w:val="12"/>
              </w:rPr>
              <w:t>83.161.779.778</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1560" w:type="dxa"/>
            <w:shd w:val="clear" w:color="auto" w:fill="auto"/>
            <w:vAlign w:val="center"/>
          </w:tcPr>
          <w:p w14:paraId="2C9B21D2" w14:textId="305546C9" w:rsidR="00AC5C41" w:rsidRPr="008379CA" w:rsidRDefault="00AC5C41" w:rsidP="008922F3">
            <w:pPr>
              <w:ind w:left="-106"/>
              <w:jc w:val="right"/>
              <w:rPr>
                <w:rFonts w:ascii="Bookman Old Style" w:hAnsi="Bookman Old Style" w:cs="Calibri"/>
                <w:bCs/>
                <w:sz w:val="12"/>
                <w:szCs w:val="12"/>
                <w:lang w:val="en-US"/>
              </w:rPr>
            </w:pPr>
            <w:r w:rsidRPr="008379CA">
              <w:rPr>
                <w:rFonts w:ascii="Bookman Old Style" w:hAnsi="Bookman Old Style" w:cs="Calibri"/>
                <w:sz w:val="12"/>
                <w:szCs w:val="12"/>
              </w:rPr>
              <w:t>24.249.027.452</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709" w:type="dxa"/>
            <w:shd w:val="clear" w:color="auto" w:fill="auto"/>
            <w:vAlign w:val="center"/>
          </w:tcPr>
          <w:p w14:paraId="566D41CA" w14:textId="2432421E" w:rsidR="00AC5C41" w:rsidRPr="008379CA" w:rsidRDefault="00AC5C41" w:rsidP="00AC5C41">
            <w:pPr>
              <w:jc w:val="center"/>
              <w:rPr>
                <w:rFonts w:ascii="Bookman Old Style" w:hAnsi="Bookman Old Style" w:cs="Calibri"/>
                <w:bCs/>
                <w:sz w:val="12"/>
                <w:szCs w:val="12"/>
                <w:lang w:val="en-US"/>
              </w:rPr>
            </w:pPr>
            <w:r w:rsidRPr="008379CA">
              <w:rPr>
                <w:rFonts w:ascii="Bookman Old Style" w:hAnsi="Bookman Old Style" w:cs="Calibri"/>
                <w:sz w:val="12"/>
                <w:szCs w:val="12"/>
              </w:rPr>
              <w:t>29,16</w:t>
            </w:r>
            <w:r w:rsidR="00A954D0" w:rsidRPr="008379CA">
              <w:rPr>
                <w:rFonts w:ascii="Bookman Old Style" w:hAnsi="Bookman Old Style" w:cs="Calibri"/>
                <w:sz w:val="12"/>
                <w:szCs w:val="12"/>
              </w:rPr>
              <w:t xml:space="preserve"> </w:t>
            </w:r>
          </w:p>
        </w:tc>
        <w:tc>
          <w:tcPr>
            <w:tcW w:w="1559" w:type="dxa"/>
            <w:shd w:val="clear" w:color="auto" w:fill="auto"/>
            <w:vAlign w:val="center"/>
          </w:tcPr>
          <w:p w14:paraId="4A775DF3" w14:textId="039B2F9D" w:rsidR="00AC5C41" w:rsidRPr="008379CA" w:rsidRDefault="00AC5C41" w:rsidP="008922F3">
            <w:pPr>
              <w:ind w:left="-102"/>
              <w:jc w:val="right"/>
              <w:rPr>
                <w:rFonts w:ascii="Bookman Old Style" w:hAnsi="Bookman Old Style" w:cs="Calibri"/>
                <w:b/>
                <w:bCs/>
                <w:sz w:val="12"/>
                <w:szCs w:val="12"/>
                <w:lang w:val="en-US"/>
              </w:rPr>
            </w:pPr>
            <w:r w:rsidRPr="008379CA">
              <w:rPr>
                <w:rFonts w:ascii="Bookman Old Style" w:hAnsi="Bookman Old Style" w:cs="Calibri"/>
                <w:sz w:val="12"/>
                <w:szCs w:val="12"/>
              </w:rPr>
              <w:t>160.733.799.050</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850" w:type="dxa"/>
            <w:shd w:val="clear" w:color="auto" w:fill="auto"/>
            <w:vAlign w:val="center"/>
          </w:tcPr>
          <w:p w14:paraId="3881CDAE" w14:textId="1110C5F9"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(64,29)</w:t>
            </w:r>
          </w:p>
        </w:tc>
        <w:tc>
          <w:tcPr>
            <w:tcW w:w="850" w:type="dxa"/>
            <w:shd w:val="clear" w:color="auto" w:fill="auto"/>
            <w:vAlign w:val="center"/>
          </w:tcPr>
          <w:p w14:paraId="66BC6A3E" w14:textId="2DA863A3"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32,75</w:t>
            </w:r>
          </w:p>
        </w:tc>
        <w:tc>
          <w:tcPr>
            <w:tcW w:w="992" w:type="dxa"/>
            <w:shd w:val="clear" w:color="auto" w:fill="auto"/>
            <w:vAlign w:val="center"/>
          </w:tcPr>
          <w:p w14:paraId="6544CB26" w14:textId="033A8142"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0,00</w:t>
            </w:r>
          </w:p>
        </w:tc>
        <w:tc>
          <w:tcPr>
            <w:tcW w:w="965" w:type="dxa"/>
            <w:shd w:val="clear" w:color="auto" w:fill="auto"/>
            <w:noWrap/>
            <w:vAlign w:val="center"/>
          </w:tcPr>
          <w:p w14:paraId="1B326FF6" w14:textId="4778E5D7"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(10,51)</w:t>
            </w:r>
          </w:p>
        </w:tc>
      </w:tr>
      <w:tr w:rsidR="008379CA" w:rsidRPr="008379CA" w14:paraId="6566AE89" w14:textId="77777777" w:rsidTr="00600933">
        <w:trPr>
          <w:trHeight w:val="312"/>
        </w:trPr>
        <w:tc>
          <w:tcPr>
            <w:tcW w:w="1134" w:type="dxa"/>
            <w:shd w:val="clear" w:color="auto" w:fill="auto"/>
            <w:vAlign w:val="center"/>
          </w:tcPr>
          <w:p w14:paraId="4081F6FA" w14:textId="181DDAC7" w:rsidR="00AC5C41" w:rsidRPr="008379CA" w:rsidRDefault="00AC5C41" w:rsidP="00AC5C41">
            <w:pPr>
              <w:jc w:val="both"/>
              <w:rPr>
                <w:rFonts w:ascii="Bookman Old Style" w:hAnsi="Bookman Old Style" w:cs="Calibri"/>
                <w:bCs/>
                <w:sz w:val="12"/>
                <w:szCs w:val="12"/>
                <w:lang w:val="sv-FI"/>
              </w:rPr>
            </w:pPr>
            <w:r w:rsidRPr="008379CA">
              <w:rPr>
                <w:rFonts w:ascii="Bookman Old Style" w:hAnsi="Bookman Old Style" w:cs="Calibri"/>
                <w:sz w:val="12"/>
                <w:szCs w:val="12"/>
                <w:lang w:val="sv-FI"/>
              </w:rPr>
              <w:t>Belanja</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Modal</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Peralatan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dan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Mesin</w:t>
            </w:r>
          </w:p>
        </w:tc>
        <w:tc>
          <w:tcPr>
            <w:tcW w:w="1701" w:type="dxa"/>
            <w:shd w:val="clear" w:color="auto" w:fill="auto"/>
            <w:vAlign w:val="center"/>
          </w:tcPr>
          <w:p w14:paraId="54EC9DE0" w14:textId="68BDA8CC" w:rsidR="00AC5C41" w:rsidRPr="008379CA" w:rsidRDefault="00AC5C41" w:rsidP="008922F3">
            <w:pPr>
              <w:ind w:left="-113"/>
              <w:jc w:val="right"/>
              <w:rPr>
                <w:rFonts w:ascii="Bookman Old Style" w:hAnsi="Bookman Old Style" w:cs="Calibri"/>
                <w:bCs/>
                <w:sz w:val="12"/>
                <w:szCs w:val="12"/>
                <w:lang w:val="en-US"/>
              </w:rPr>
            </w:pPr>
            <w:r w:rsidRPr="008379CA">
              <w:rPr>
                <w:rFonts w:ascii="Bookman Old Style" w:hAnsi="Bookman Old Style" w:cs="Calibri"/>
                <w:sz w:val="12"/>
                <w:szCs w:val="12"/>
              </w:rPr>
              <w:t>90.294.601.418</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1531" w:type="dxa"/>
            <w:shd w:val="clear" w:color="auto" w:fill="auto"/>
            <w:vAlign w:val="center"/>
          </w:tcPr>
          <w:p w14:paraId="1471780A" w14:textId="4351D2FC" w:rsidR="00AC5C41" w:rsidRPr="008379CA" w:rsidRDefault="00AC5C41" w:rsidP="008922F3">
            <w:pPr>
              <w:ind w:left="-113"/>
              <w:jc w:val="right"/>
              <w:rPr>
                <w:rFonts w:ascii="Bookman Old Style" w:hAnsi="Bookman Old Style" w:cs="Calibri"/>
                <w:bCs/>
                <w:sz w:val="12"/>
                <w:szCs w:val="12"/>
                <w:lang w:val="en-US"/>
              </w:rPr>
            </w:pPr>
            <w:r w:rsidRPr="008379CA">
              <w:rPr>
                <w:rFonts w:ascii="Bookman Old Style" w:hAnsi="Bookman Old Style" w:cs="Calibri"/>
                <w:sz w:val="12"/>
                <w:szCs w:val="12"/>
              </w:rPr>
              <w:t>81.508.905.764</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709" w:type="dxa"/>
            <w:shd w:val="clear" w:color="auto" w:fill="auto"/>
            <w:vAlign w:val="center"/>
          </w:tcPr>
          <w:p w14:paraId="6016CD0E" w14:textId="7BC3476F" w:rsidR="00AC5C41" w:rsidRPr="008379CA" w:rsidRDefault="00AC5C41" w:rsidP="005353EC">
            <w:pPr>
              <w:jc w:val="center"/>
              <w:rPr>
                <w:rFonts w:ascii="Bookman Old Style" w:hAnsi="Bookman Old Style" w:cs="Calibri"/>
                <w:bCs/>
                <w:sz w:val="12"/>
                <w:szCs w:val="12"/>
                <w:lang w:val="en-US"/>
              </w:rPr>
            </w:pPr>
            <w:r w:rsidRPr="008379CA">
              <w:rPr>
                <w:rFonts w:ascii="Bookman Old Style" w:hAnsi="Bookman Old Style" w:cs="Calibri"/>
                <w:sz w:val="12"/>
                <w:szCs w:val="12"/>
              </w:rPr>
              <w:t>90,27</w:t>
            </w:r>
          </w:p>
        </w:tc>
        <w:tc>
          <w:tcPr>
            <w:tcW w:w="1559" w:type="dxa"/>
            <w:shd w:val="clear" w:color="auto" w:fill="auto"/>
            <w:vAlign w:val="center"/>
          </w:tcPr>
          <w:p w14:paraId="65C57F7B" w14:textId="6729EF9C" w:rsidR="00AC5C41" w:rsidRPr="008379CA" w:rsidRDefault="00AC5C41" w:rsidP="008922F3">
            <w:pPr>
              <w:ind w:left="-110"/>
              <w:jc w:val="right"/>
              <w:rPr>
                <w:rFonts w:ascii="Bookman Old Style" w:hAnsi="Bookman Old Style" w:cs="Calibri"/>
                <w:bCs/>
                <w:sz w:val="12"/>
                <w:szCs w:val="12"/>
                <w:lang w:val="en-US"/>
              </w:rPr>
            </w:pPr>
            <w:r w:rsidRPr="008379CA">
              <w:rPr>
                <w:rFonts w:ascii="Bookman Old Style" w:hAnsi="Bookman Old Style" w:cs="Calibri"/>
                <w:sz w:val="12"/>
                <w:szCs w:val="12"/>
              </w:rPr>
              <w:t>176.550.710.550</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1559" w:type="dxa"/>
            <w:shd w:val="clear" w:color="auto" w:fill="auto"/>
            <w:vAlign w:val="center"/>
          </w:tcPr>
          <w:p w14:paraId="64B87303" w14:textId="6D96BC7E" w:rsidR="00AC5C41" w:rsidRPr="008379CA" w:rsidRDefault="00AC5C41" w:rsidP="008922F3">
            <w:pPr>
              <w:ind w:left="-110"/>
              <w:jc w:val="right"/>
              <w:rPr>
                <w:rFonts w:ascii="Bookman Old Style" w:hAnsi="Bookman Old Style" w:cs="Calibri"/>
                <w:bCs/>
                <w:sz w:val="12"/>
                <w:szCs w:val="12"/>
                <w:lang w:val="en-US"/>
              </w:rPr>
            </w:pPr>
            <w:r w:rsidRPr="008379CA">
              <w:rPr>
                <w:rFonts w:ascii="Bookman Old Style" w:hAnsi="Bookman Old Style" w:cs="Calibri"/>
                <w:sz w:val="12"/>
                <w:szCs w:val="12"/>
              </w:rPr>
              <w:t>166.010.986.051</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709" w:type="dxa"/>
            <w:shd w:val="clear" w:color="auto" w:fill="auto"/>
            <w:vAlign w:val="center"/>
          </w:tcPr>
          <w:p w14:paraId="1321386C" w14:textId="7962CE03" w:rsidR="00AC5C41" w:rsidRPr="008379CA" w:rsidRDefault="00AC5C41" w:rsidP="005353EC">
            <w:pPr>
              <w:jc w:val="center"/>
              <w:rPr>
                <w:rFonts w:ascii="Bookman Old Style" w:hAnsi="Bookman Old Style" w:cs="Calibri"/>
                <w:bCs/>
                <w:sz w:val="12"/>
                <w:szCs w:val="12"/>
                <w:lang w:val="en-US"/>
              </w:rPr>
            </w:pPr>
            <w:r w:rsidRPr="008379CA">
              <w:rPr>
                <w:rFonts w:ascii="Bookman Old Style" w:hAnsi="Bookman Old Style" w:cs="Calibri"/>
                <w:sz w:val="12"/>
                <w:szCs w:val="12"/>
              </w:rPr>
              <w:t>94,03</w:t>
            </w:r>
          </w:p>
        </w:tc>
        <w:tc>
          <w:tcPr>
            <w:tcW w:w="1559" w:type="dxa"/>
            <w:shd w:val="clear" w:color="auto" w:fill="auto"/>
            <w:vAlign w:val="center"/>
          </w:tcPr>
          <w:p w14:paraId="7C7E4426" w14:textId="3D63BCF5" w:rsidR="00AC5C41" w:rsidRPr="008379CA" w:rsidRDefault="00AC5C41" w:rsidP="008922F3">
            <w:pPr>
              <w:ind w:left="-106"/>
              <w:jc w:val="right"/>
              <w:rPr>
                <w:rFonts w:ascii="Bookman Old Style" w:hAnsi="Bookman Old Style" w:cs="Calibri"/>
                <w:bCs/>
                <w:sz w:val="12"/>
                <w:szCs w:val="12"/>
                <w:lang w:val="en-US"/>
              </w:rPr>
            </w:pPr>
            <w:r w:rsidRPr="008379CA">
              <w:rPr>
                <w:rFonts w:ascii="Bookman Old Style" w:hAnsi="Bookman Old Style" w:cs="Calibri"/>
                <w:sz w:val="12"/>
                <w:szCs w:val="12"/>
              </w:rPr>
              <w:t>278.025.547.442</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1560" w:type="dxa"/>
            <w:shd w:val="clear" w:color="auto" w:fill="auto"/>
            <w:vAlign w:val="center"/>
          </w:tcPr>
          <w:p w14:paraId="1309597F" w14:textId="0616B61E" w:rsidR="00AC5C41" w:rsidRPr="008379CA" w:rsidRDefault="00AC5C41" w:rsidP="008922F3">
            <w:pPr>
              <w:ind w:left="-106"/>
              <w:jc w:val="right"/>
              <w:rPr>
                <w:rFonts w:ascii="Bookman Old Style" w:hAnsi="Bookman Old Style" w:cs="Calibri"/>
                <w:bCs/>
                <w:sz w:val="12"/>
                <w:szCs w:val="12"/>
                <w:lang w:val="en-US"/>
              </w:rPr>
            </w:pPr>
            <w:r w:rsidRPr="008379CA">
              <w:rPr>
                <w:rFonts w:ascii="Bookman Old Style" w:hAnsi="Bookman Old Style" w:cs="Calibri"/>
                <w:sz w:val="12"/>
                <w:szCs w:val="12"/>
              </w:rPr>
              <w:t>76.890.191.933</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709" w:type="dxa"/>
            <w:shd w:val="clear" w:color="auto" w:fill="auto"/>
            <w:vAlign w:val="center"/>
          </w:tcPr>
          <w:p w14:paraId="68BB21FE" w14:textId="4C9D5E81" w:rsidR="00AC5C41" w:rsidRPr="008379CA" w:rsidRDefault="00AC5C41" w:rsidP="00AC5C41">
            <w:pPr>
              <w:jc w:val="center"/>
              <w:rPr>
                <w:rFonts w:ascii="Bookman Old Style" w:hAnsi="Bookman Old Style" w:cs="Calibri"/>
                <w:bCs/>
                <w:sz w:val="12"/>
                <w:szCs w:val="12"/>
                <w:lang w:val="en-US"/>
              </w:rPr>
            </w:pPr>
            <w:r w:rsidRPr="008379CA">
              <w:rPr>
                <w:rFonts w:ascii="Bookman Old Style" w:hAnsi="Bookman Old Style" w:cs="Calibri"/>
                <w:sz w:val="12"/>
                <w:szCs w:val="12"/>
              </w:rPr>
              <w:t>27,66</w:t>
            </w:r>
            <w:r w:rsidR="00A954D0" w:rsidRPr="008379CA">
              <w:rPr>
                <w:rFonts w:ascii="Bookman Old Style" w:hAnsi="Bookman Old Style" w:cs="Calibri"/>
                <w:sz w:val="12"/>
                <w:szCs w:val="12"/>
              </w:rPr>
              <w:t xml:space="preserve"> </w:t>
            </w:r>
          </w:p>
        </w:tc>
        <w:tc>
          <w:tcPr>
            <w:tcW w:w="1559" w:type="dxa"/>
            <w:shd w:val="clear" w:color="auto" w:fill="auto"/>
            <w:vAlign w:val="center"/>
          </w:tcPr>
          <w:p w14:paraId="478F7CA3" w14:textId="737E5CCB" w:rsidR="00AC5C41" w:rsidRPr="008379CA" w:rsidRDefault="00AC5C41" w:rsidP="008922F3">
            <w:pPr>
              <w:ind w:left="-102"/>
              <w:jc w:val="right"/>
              <w:rPr>
                <w:rFonts w:ascii="Bookman Old Style" w:hAnsi="Bookman Old Style" w:cs="Calibri"/>
                <w:b/>
                <w:bCs/>
                <w:sz w:val="12"/>
                <w:szCs w:val="12"/>
                <w:lang w:val="en-US"/>
              </w:rPr>
            </w:pPr>
            <w:r w:rsidRPr="008379CA">
              <w:rPr>
                <w:rFonts w:ascii="Bookman Old Style" w:hAnsi="Bookman Old Style" w:cs="Calibri"/>
                <w:sz w:val="12"/>
                <w:szCs w:val="12"/>
              </w:rPr>
              <w:t>277.077.171.733</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850" w:type="dxa"/>
            <w:shd w:val="clear" w:color="auto" w:fill="auto"/>
            <w:vAlign w:val="center"/>
          </w:tcPr>
          <w:p w14:paraId="6E140AB3" w14:textId="4BFF27C8"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95,53</w:t>
            </w:r>
          </w:p>
        </w:tc>
        <w:tc>
          <w:tcPr>
            <w:tcW w:w="850" w:type="dxa"/>
            <w:shd w:val="clear" w:color="auto" w:fill="auto"/>
            <w:vAlign w:val="center"/>
          </w:tcPr>
          <w:p w14:paraId="11EB77C8" w14:textId="78E0E3F8"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57,48</w:t>
            </w:r>
          </w:p>
        </w:tc>
        <w:tc>
          <w:tcPr>
            <w:tcW w:w="992" w:type="dxa"/>
            <w:shd w:val="clear" w:color="auto" w:fill="auto"/>
            <w:vAlign w:val="center"/>
          </w:tcPr>
          <w:p w14:paraId="115EE5C9" w14:textId="3B749542"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(0,34)</w:t>
            </w:r>
          </w:p>
        </w:tc>
        <w:tc>
          <w:tcPr>
            <w:tcW w:w="965" w:type="dxa"/>
            <w:shd w:val="clear" w:color="auto" w:fill="auto"/>
            <w:noWrap/>
            <w:vAlign w:val="center"/>
          </w:tcPr>
          <w:p w14:paraId="00A2175B" w14:textId="3AEA8D6C"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50,89</w:t>
            </w:r>
          </w:p>
        </w:tc>
      </w:tr>
      <w:tr w:rsidR="008379CA" w:rsidRPr="008379CA" w14:paraId="53FCC7DB" w14:textId="77777777" w:rsidTr="00600933">
        <w:trPr>
          <w:trHeight w:val="312"/>
        </w:trPr>
        <w:tc>
          <w:tcPr>
            <w:tcW w:w="1134" w:type="dxa"/>
            <w:shd w:val="clear" w:color="auto" w:fill="auto"/>
            <w:vAlign w:val="center"/>
          </w:tcPr>
          <w:p w14:paraId="2F42AB9E" w14:textId="6CE475C9" w:rsidR="00AC5C41" w:rsidRPr="008379CA" w:rsidRDefault="00AC5C41" w:rsidP="00AC5C41">
            <w:pPr>
              <w:jc w:val="both"/>
              <w:rPr>
                <w:rFonts w:ascii="Bookman Old Style" w:hAnsi="Bookman Old Style" w:cs="Calibri"/>
                <w:bCs/>
                <w:sz w:val="12"/>
                <w:szCs w:val="12"/>
                <w:lang w:val="en-US"/>
              </w:rPr>
            </w:pPr>
            <w:r w:rsidRPr="008379CA">
              <w:rPr>
                <w:rFonts w:ascii="Bookman Old Style" w:hAnsi="Bookman Old Style" w:cs="Calibri"/>
                <w:sz w:val="12"/>
                <w:szCs w:val="12"/>
                <w:lang w:val="de-DE"/>
              </w:rPr>
              <w:t>Belanja</w:t>
            </w:r>
            <w:r w:rsidR="00A954D0" w:rsidRPr="008379CA">
              <w:rPr>
                <w:rFonts w:ascii="Bookman Old Style" w:hAnsi="Bookman Old Style" w:cs="Calibri"/>
                <w:sz w:val="12"/>
                <w:szCs w:val="12"/>
                <w:lang w:val="de-DE"/>
              </w:rPr>
              <w:t xml:space="preserve"> </w:t>
            </w:r>
            <w:r w:rsidRPr="008379CA">
              <w:rPr>
                <w:rFonts w:ascii="Bookman Old Style" w:hAnsi="Bookman Old Style" w:cs="Calibri"/>
                <w:sz w:val="12"/>
                <w:szCs w:val="12"/>
                <w:lang w:val="de-DE"/>
              </w:rPr>
              <w:t>Modal</w:t>
            </w:r>
            <w:r w:rsidR="00A954D0" w:rsidRPr="008379CA">
              <w:rPr>
                <w:rFonts w:ascii="Bookman Old Style" w:hAnsi="Bookman Old Style" w:cs="Calibri"/>
                <w:sz w:val="12"/>
                <w:szCs w:val="12"/>
                <w:lang w:val="de-DE"/>
              </w:rPr>
              <w:t xml:space="preserve"> </w:t>
            </w:r>
            <w:r w:rsidRPr="008379CA">
              <w:rPr>
                <w:rFonts w:ascii="Bookman Old Style" w:hAnsi="Bookman Old Style" w:cs="Calibri"/>
                <w:sz w:val="12"/>
                <w:szCs w:val="12"/>
                <w:lang w:val="de-DE"/>
              </w:rPr>
              <w:t>Gedung</w:t>
            </w:r>
            <w:r w:rsidR="00A954D0" w:rsidRPr="008379CA">
              <w:rPr>
                <w:rFonts w:ascii="Bookman Old Style" w:hAnsi="Bookman Old Style" w:cs="Calibri"/>
                <w:sz w:val="12"/>
                <w:szCs w:val="12"/>
                <w:lang w:val="de-DE"/>
              </w:rPr>
              <w:t xml:space="preserve"> </w:t>
            </w:r>
            <w:r w:rsidRPr="008379CA">
              <w:rPr>
                <w:rFonts w:ascii="Bookman Old Style" w:hAnsi="Bookman Old Style" w:cs="Calibri"/>
                <w:sz w:val="12"/>
                <w:szCs w:val="12"/>
                <w:lang w:val="de-DE"/>
              </w:rPr>
              <w:t>dan</w:t>
            </w:r>
            <w:r w:rsidR="00A954D0" w:rsidRPr="008379CA">
              <w:rPr>
                <w:rFonts w:ascii="Bookman Old Style" w:hAnsi="Bookman Old Style" w:cs="Calibri"/>
                <w:sz w:val="12"/>
                <w:szCs w:val="12"/>
                <w:lang w:val="de-DE"/>
              </w:rPr>
              <w:t xml:space="preserve"> </w:t>
            </w:r>
            <w:r w:rsidRPr="008379CA">
              <w:rPr>
                <w:rFonts w:ascii="Bookman Old Style" w:hAnsi="Bookman Old Style" w:cs="Calibri"/>
                <w:sz w:val="12"/>
                <w:szCs w:val="12"/>
                <w:lang w:val="de-DE"/>
              </w:rPr>
              <w:t>Bangunan</w:t>
            </w:r>
          </w:p>
        </w:tc>
        <w:tc>
          <w:tcPr>
            <w:tcW w:w="1701" w:type="dxa"/>
            <w:shd w:val="clear" w:color="auto" w:fill="auto"/>
            <w:vAlign w:val="center"/>
          </w:tcPr>
          <w:p w14:paraId="2BBE9648" w14:textId="4F018435" w:rsidR="00AC5C41" w:rsidRPr="008379CA" w:rsidRDefault="00AC5C41" w:rsidP="008922F3">
            <w:pPr>
              <w:ind w:left="-113"/>
              <w:jc w:val="right"/>
              <w:rPr>
                <w:rFonts w:ascii="Bookman Old Style" w:hAnsi="Bookman Old Style" w:cs="Calibri"/>
                <w:bCs/>
                <w:sz w:val="12"/>
                <w:szCs w:val="12"/>
                <w:lang w:val="en-US"/>
              </w:rPr>
            </w:pPr>
            <w:r w:rsidRPr="008379CA">
              <w:rPr>
                <w:rFonts w:ascii="Bookman Old Style" w:hAnsi="Bookman Old Style" w:cs="Calibri"/>
                <w:sz w:val="12"/>
                <w:szCs w:val="12"/>
              </w:rPr>
              <w:t>179.217.497.975</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1531" w:type="dxa"/>
            <w:shd w:val="clear" w:color="auto" w:fill="auto"/>
            <w:vAlign w:val="center"/>
          </w:tcPr>
          <w:p w14:paraId="4997FF61" w14:textId="0EE005F9" w:rsidR="00AC5C41" w:rsidRPr="008379CA" w:rsidRDefault="00AC5C41" w:rsidP="008922F3">
            <w:pPr>
              <w:ind w:left="-113"/>
              <w:jc w:val="right"/>
              <w:rPr>
                <w:rFonts w:ascii="Bookman Old Style" w:hAnsi="Bookman Old Style" w:cs="Calibri"/>
                <w:bCs/>
                <w:sz w:val="12"/>
                <w:szCs w:val="12"/>
                <w:lang w:val="en-US"/>
              </w:rPr>
            </w:pPr>
            <w:r w:rsidRPr="008379CA">
              <w:rPr>
                <w:rFonts w:ascii="Bookman Old Style" w:hAnsi="Bookman Old Style" w:cs="Calibri"/>
                <w:sz w:val="12"/>
                <w:szCs w:val="12"/>
              </w:rPr>
              <w:t>165.613.376.127</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709" w:type="dxa"/>
            <w:shd w:val="clear" w:color="auto" w:fill="auto"/>
            <w:vAlign w:val="center"/>
          </w:tcPr>
          <w:p w14:paraId="672D010E" w14:textId="2C07C1DB" w:rsidR="00AC5C41" w:rsidRPr="008379CA" w:rsidRDefault="00AC5C41" w:rsidP="005353EC">
            <w:pPr>
              <w:jc w:val="center"/>
              <w:rPr>
                <w:rFonts w:ascii="Bookman Old Style" w:hAnsi="Bookman Old Style" w:cs="Calibri"/>
                <w:bCs/>
                <w:sz w:val="12"/>
                <w:szCs w:val="12"/>
                <w:lang w:val="en-US"/>
              </w:rPr>
            </w:pPr>
            <w:r w:rsidRPr="008379CA">
              <w:rPr>
                <w:rFonts w:ascii="Bookman Old Style" w:hAnsi="Bookman Old Style" w:cs="Calibri"/>
                <w:sz w:val="12"/>
                <w:szCs w:val="12"/>
              </w:rPr>
              <w:t>92,41</w:t>
            </w:r>
          </w:p>
        </w:tc>
        <w:tc>
          <w:tcPr>
            <w:tcW w:w="1559" w:type="dxa"/>
            <w:shd w:val="clear" w:color="auto" w:fill="auto"/>
            <w:vAlign w:val="center"/>
          </w:tcPr>
          <w:p w14:paraId="448E679A" w14:textId="4EDA129B" w:rsidR="00AC5C41" w:rsidRPr="008379CA" w:rsidRDefault="00AC5C41" w:rsidP="008922F3">
            <w:pPr>
              <w:ind w:left="-110"/>
              <w:jc w:val="right"/>
              <w:rPr>
                <w:rFonts w:ascii="Bookman Old Style" w:hAnsi="Bookman Old Style" w:cs="Calibri"/>
                <w:bCs/>
                <w:sz w:val="12"/>
                <w:szCs w:val="12"/>
                <w:lang w:val="en-US"/>
              </w:rPr>
            </w:pPr>
            <w:r w:rsidRPr="008379CA">
              <w:rPr>
                <w:rFonts w:ascii="Bookman Old Style" w:hAnsi="Bookman Old Style" w:cs="Calibri"/>
                <w:sz w:val="12"/>
                <w:szCs w:val="12"/>
              </w:rPr>
              <w:t>257.972.796.180</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1559" w:type="dxa"/>
            <w:shd w:val="clear" w:color="auto" w:fill="auto"/>
            <w:vAlign w:val="center"/>
          </w:tcPr>
          <w:p w14:paraId="26295FE8" w14:textId="12915C83" w:rsidR="00AC5C41" w:rsidRPr="008379CA" w:rsidRDefault="00AC5C41" w:rsidP="008922F3">
            <w:pPr>
              <w:ind w:left="-110"/>
              <w:jc w:val="right"/>
              <w:rPr>
                <w:rFonts w:ascii="Bookman Old Style" w:hAnsi="Bookman Old Style" w:cs="Calibri"/>
                <w:bCs/>
                <w:sz w:val="12"/>
                <w:szCs w:val="12"/>
                <w:lang w:val="en-US"/>
              </w:rPr>
            </w:pPr>
            <w:r w:rsidRPr="008379CA">
              <w:rPr>
                <w:rFonts w:ascii="Bookman Old Style" w:hAnsi="Bookman Old Style" w:cs="Calibri"/>
                <w:sz w:val="12"/>
                <w:szCs w:val="12"/>
              </w:rPr>
              <w:t>235.599.718.327</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709" w:type="dxa"/>
            <w:shd w:val="clear" w:color="auto" w:fill="auto"/>
            <w:vAlign w:val="center"/>
          </w:tcPr>
          <w:p w14:paraId="1C50FC68" w14:textId="5E86319D" w:rsidR="00AC5C41" w:rsidRPr="008379CA" w:rsidRDefault="00AC5C41" w:rsidP="005353EC">
            <w:pPr>
              <w:jc w:val="center"/>
              <w:rPr>
                <w:rFonts w:ascii="Bookman Old Style" w:hAnsi="Bookman Old Style" w:cs="Calibri"/>
                <w:bCs/>
                <w:sz w:val="12"/>
                <w:szCs w:val="12"/>
                <w:lang w:val="en-US"/>
              </w:rPr>
            </w:pPr>
            <w:r w:rsidRPr="008379CA">
              <w:rPr>
                <w:rFonts w:ascii="Bookman Old Style" w:hAnsi="Bookman Old Style" w:cs="Calibri"/>
                <w:sz w:val="12"/>
                <w:szCs w:val="12"/>
              </w:rPr>
              <w:t>91,33</w:t>
            </w:r>
          </w:p>
        </w:tc>
        <w:tc>
          <w:tcPr>
            <w:tcW w:w="1559" w:type="dxa"/>
            <w:shd w:val="clear" w:color="auto" w:fill="auto"/>
            <w:vAlign w:val="center"/>
          </w:tcPr>
          <w:p w14:paraId="69EFF34D" w14:textId="3654C863" w:rsidR="00AC5C41" w:rsidRPr="008379CA" w:rsidRDefault="00AC5C41" w:rsidP="008922F3">
            <w:pPr>
              <w:ind w:left="-106"/>
              <w:jc w:val="right"/>
              <w:rPr>
                <w:rFonts w:ascii="Bookman Old Style" w:hAnsi="Bookman Old Style" w:cs="Calibri"/>
                <w:bCs/>
                <w:sz w:val="12"/>
                <w:szCs w:val="12"/>
                <w:lang w:val="en-US"/>
              </w:rPr>
            </w:pPr>
            <w:r w:rsidRPr="008379CA">
              <w:rPr>
                <w:rFonts w:ascii="Bookman Old Style" w:hAnsi="Bookman Old Style" w:cs="Calibri"/>
                <w:sz w:val="12"/>
                <w:szCs w:val="12"/>
              </w:rPr>
              <w:t>164.469.736.190</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1560" w:type="dxa"/>
            <w:shd w:val="clear" w:color="auto" w:fill="auto"/>
            <w:vAlign w:val="center"/>
          </w:tcPr>
          <w:p w14:paraId="3555C2CA" w14:textId="7FD76A52" w:rsidR="00AC5C41" w:rsidRPr="008379CA" w:rsidRDefault="00AC5C41" w:rsidP="008922F3">
            <w:pPr>
              <w:ind w:left="-106"/>
              <w:jc w:val="right"/>
              <w:rPr>
                <w:rFonts w:ascii="Bookman Old Style" w:hAnsi="Bookman Old Style" w:cs="Calibri"/>
                <w:bCs/>
                <w:sz w:val="12"/>
                <w:szCs w:val="12"/>
                <w:lang w:val="en-US"/>
              </w:rPr>
            </w:pPr>
            <w:r w:rsidRPr="008379CA">
              <w:rPr>
                <w:rFonts w:ascii="Bookman Old Style" w:hAnsi="Bookman Old Style" w:cs="Calibri"/>
                <w:sz w:val="12"/>
                <w:szCs w:val="12"/>
              </w:rPr>
              <w:t>50.307.390.053</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709" w:type="dxa"/>
            <w:shd w:val="clear" w:color="auto" w:fill="auto"/>
            <w:vAlign w:val="center"/>
          </w:tcPr>
          <w:p w14:paraId="361E95DA" w14:textId="7459DF3B" w:rsidR="00AC5C41" w:rsidRPr="008379CA" w:rsidRDefault="00AC5C41" w:rsidP="00AC5C41">
            <w:pPr>
              <w:jc w:val="center"/>
              <w:rPr>
                <w:rFonts w:ascii="Bookman Old Style" w:hAnsi="Bookman Old Style" w:cs="Calibri"/>
                <w:bCs/>
                <w:sz w:val="12"/>
                <w:szCs w:val="12"/>
                <w:lang w:val="en-US"/>
              </w:rPr>
            </w:pPr>
            <w:r w:rsidRPr="008379CA">
              <w:rPr>
                <w:rFonts w:ascii="Bookman Old Style" w:hAnsi="Bookman Old Style" w:cs="Calibri"/>
                <w:sz w:val="12"/>
                <w:szCs w:val="12"/>
              </w:rPr>
              <w:t>30,59</w:t>
            </w:r>
            <w:r w:rsidR="00A954D0" w:rsidRPr="008379CA">
              <w:rPr>
                <w:rFonts w:ascii="Bookman Old Style" w:hAnsi="Bookman Old Style" w:cs="Calibri"/>
                <w:sz w:val="12"/>
                <w:szCs w:val="12"/>
              </w:rPr>
              <w:t xml:space="preserve"> </w:t>
            </w:r>
          </w:p>
        </w:tc>
        <w:tc>
          <w:tcPr>
            <w:tcW w:w="1559" w:type="dxa"/>
            <w:shd w:val="clear" w:color="auto" w:fill="auto"/>
            <w:vAlign w:val="center"/>
          </w:tcPr>
          <w:p w14:paraId="23C24177" w14:textId="51BAD1E1" w:rsidR="00AC5C41" w:rsidRPr="008379CA" w:rsidRDefault="00AC5C41" w:rsidP="008922F3">
            <w:pPr>
              <w:ind w:left="-102"/>
              <w:jc w:val="right"/>
              <w:rPr>
                <w:rFonts w:ascii="Bookman Old Style" w:hAnsi="Bookman Old Style" w:cs="Calibri"/>
                <w:b/>
                <w:bCs/>
                <w:sz w:val="12"/>
                <w:szCs w:val="12"/>
                <w:lang w:val="en-US"/>
              </w:rPr>
            </w:pPr>
            <w:r w:rsidRPr="008379CA">
              <w:rPr>
                <w:rFonts w:ascii="Bookman Old Style" w:hAnsi="Bookman Old Style" w:cs="Calibri"/>
                <w:sz w:val="12"/>
                <w:szCs w:val="12"/>
              </w:rPr>
              <w:t>160.264.227.275</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850" w:type="dxa"/>
            <w:shd w:val="clear" w:color="auto" w:fill="auto"/>
            <w:vAlign w:val="center"/>
          </w:tcPr>
          <w:p w14:paraId="4E679733" w14:textId="23C81689"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43,94</w:t>
            </w:r>
          </w:p>
        </w:tc>
        <w:tc>
          <w:tcPr>
            <w:tcW w:w="850" w:type="dxa"/>
            <w:shd w:val="clear" w:color="auto" w:fill="auto"/>
            <w:vAlign w:val="center"/>
          </w:tcPr>
          <w:p w14:paraId="7720528B" w14:textId="2460BC97"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(36,25)</w:t>
            </w:r>
          </w:p>
        </w:tc>
        <w:tc>
          <w:tcPr>
            <w:tcW w:w="992" w:type="dxa"/>
            <w:shd w:val="clear" w:color="auto" w:fill="auto"/>
            <w:vAlign w:val="center"/>
          </w:tcPr>
          <w:p w14:paraId="2E0BA897" w14:textId="742C6E4A"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(2,56)</w:t>
            </w:r>
          </w:p>
        </w:tc>
        <w:tc>
          <w:tcPr>
            <w:tcW w:w="965" w:type="dxa"/>
            <w:shd w:val="clear" w:color="auto" w:fill="auto"/>
            <w:noWrap/>
            <w:vAlign w:val="center"/>
          </w:tcPr>
          <w:p w14:paraId="104F79B5" w14:textId="1B0565BE"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1,71</w:t>
            </w:r>
          </w:p>
        </w:tc>
      </w:tr>
      <w:tr w:rsidR="008379CA" w:rsidRPr="008379CA" w14:paraId="1F728765" w14:textId="77777777" w:rsidTr="00600933">
        <w:trPr>
          <w:trHeight w:val="312"/>
        </w:trPr>
        <w:tc>
          <w:tcPr>
            <w:tcW w:w="1134" w:type="dxa"/>
            <w:shd w:val="clear" w:color="auto" w:fill="auto"/>
            <w:vAlign w:val="center"/>
          </w:tcPr>
          <w:p w14:paraId="1832034F" w14:textId="6A0F8A2E" w:rsidR="00AC5C41" w:rsidRPr="008379CA" w:rsidRDefault="00AC5C41" w:rsidP="00AC5C41">
            <w:pPr>
              <w:jc w:val="both"/>
              <w:rPr>
                <w:rFonts w:ascii="Bookman Old Style" w:hAnsi="Bookman Old Style" w:cs="Calibri"/>
                <w:bCs/>
                <w:sz w:val="12"/>
                <w:szCs w:val="12"/>
                <w:lang w:val="sv-FI"/>
              </w:rPr>
            </w:pPr>
            <w:r w:rsidRPr="008379CA">
              <w:rPr>
                <w:rFonts w:ascii="Bookman Old Style" w:hAnsi="Bookman Old Style" w:cs="Calibri"/>
                <w:sz w:val="12"/>
                <w:szCs w:val="12"/>
                <w:lang w:val="sv-FI"/>
              </w:rPr>
              <w:t>Belanja</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Modal</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Jalan,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Jaringan,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dan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Irigasi</w:t>
            </w:r>
          </w:p>
        </w:tc>
        <w:tc>
          <w:tcPr>
            <w:tcW w:w="1701" w:type="dxa"/>
            <w:shd w:val="clear" w:color="auto" w:fill="auto"/>
            <w:vAlign w:val="center"/>
          </w:tcPr>
          <w:p w14:paraId="51B5BE8C" w14:textId="0839C6E4" w:rsidR="00AC5C41" w:rsidRPr="008379CA" w:rsidRDefault="00AC5C41" w:rsidP="008922F3">
            <w:pPr>
              <w:ind w:left="-113"/>
              <w:jc w:val="right"/>
              <w:rPr>
                <w:rFonts w:ascii="Bookman Old Style" w:hAnsi="Bookman Old Style" w:cs="Calibri"/>
                <w:bCs/>
                <w:sz w:val="12"/>
                <w:szCs w:val="12"/>
                <w:lang w:val="en-US"/>
              </w:rPr>
            </w:pPr>
            <w:r w:rsidRPr="008379CA">
              <w:rPr>
                <w:rFonts w:ascii="Bookman Old Style" w:hAnsi="Bookman Old Style" w:cs="Calibri"/>
                <w:sz w:val="12"/>
                <w:szCs w:val="12"/>
              </w:rPr>
              <w:t>338.996.796.817</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1531" w:type="dxa"/>
            <w:shd w:val="clear" w:color="auto" w:fill="auto"/>
            <w:vAlign w:val="center"/>
          </w:tcPr>
          <w:p w14:paraId="445BDA53" w14:textId="08CBD611" w:rsidR="00AC5C41" w:rsidRPr="008379CA" w:rsidRDefault="00AC5C41" w:rsidP="008922F3">
            <w:pPr>
              <w:ind w:left="-113"/>
              <w:jc w:val="right"/>
              <w:rPr>
                <w:rFonts w:ascii="Bookman Old Style" w:hAnsi="Bookman Old Style" w:cs="Calibri"/>
                <w:bCs/>
                <w:sz w:val="12"/>
                <w:szCs w:val="12"/>
                <w:lang w:val="en-US"/>
              </w:rPr>
            </w:pPr>
            <w:r w:rsidRPr="008379CA">
              <w:rPr>
                <w:rFonts w:ascii="Bookman Old Style" w:hAnsi="Bookman Old Style" w:cs="Calibri"/>
                <w:sz w:val="12"/>
                <w:szCs w:val="12"/>
              </w:rPr>
              <w:t>256.815.577.612</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709" w:type="dxa"/>
            <w:shd w:val="clear" w:color="auto" w:fill="auto"/>
            <w:vAlign w:val="center"/>
          </w:tcPr>
          <w:p w14:paraId="12D37759" w14:textId="0CC8614F" w:rsidR="00AC5C41" w:rsidRPr="008379CA" w:rsidRDefault="00AC5C41" w:rsidP="005353EC">
            <w:pPr>
              <w:jc w:val="center"/>
              <w:rPr>
                <w:rFonts w:ascii="Bookman Old Style" w:hAnsi="Bookman Old Style" w:cs="Calibri"/>
                <w:bCs/>
                <w:sz w:val="12"/>
                <w:szCs w:val="12"/>
                <w:lang w:val="en-US"/>
              </w:rPr>
            </w:pPr>
            <w:r w:rsidRPr="008379CA">
              <w:rPr>
                <w:rFonts w:ascii="Bookman Old Style" w:hAnsi="Bookman Old Style" w:cs="Calibri"/>
                <w:sz w:val="12"/>
                <w:szCs w:val="12"/>
              </w:rPr>
              <w:t>75,76</w:t>
            </w:r>
          </w:p>
        </w:tc>
        <w:tc>
          <w:tcPr>
            <w:tcW w:w="1559" w:type="dxa"/>
            <w:shd w:val="clear" w:color="auto" w:fill="auto"/>
            <w:vAlign w:val="center"/>
          </w:tcPr>
          <w:p w14:paraId="559658F6" w14:textId="1F08A378" w:rsidR="00AC5C41" w:rsidRPr="008379CA" w:rsidRDefault="00AC5C41" w:rsidP="008922F3">
            <w:pPr>
              <w:ind w:left="-110"/>
              <w:jc w:val="right"/>
              <w:rPr>
                <w:rFonts w:ascii="Bookman Old Style" w:hAnsi="Bookman Old Style" w:cs="Calibri"/>
                <w:bCs/>
                <w:sz w:val="12"/>
                <w:szCs w:val="12"/>
                <w:lang w:val="en-US"/>
              </w:rPr>
            </w:pPr>
            <w:r w:rsidRPr="008379CA">
              <w:rPr>
                <w:rFonts w:ascii="Bookman Old Style" w:hAnsi="Bookman Old Style" w:cs="Calibri"/>
                <w:sz w:val="12"/>
                <w:szCs w:val="12"/>
              </w:rPr>
              <w:t>377.984.249.310</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1559" w:type="dxa"/>
            <w:shd w:val="clear" w:color="auto" w:fill="auto"/>
            <w:vAlign w:val="center"/>
          </w:tcPr>
          <w:p w14:paraId="03DFC816" w14:textId="27C6D976" w:rsidR="00AC5C41" w:rsidRPr="008379CA" w:rsidRDefault="00AC5C41" w:rsidP="008922F3">
            <w:pPr>
              <w:ind w:left="-110"/>
              <w:jc w:val="right"/>
              <w:rPr>
                <w:rFonts w:ascii="Bookman Old Style" w:hAnsi="Bookman Old Style" w:cs="Calibri"/>
                <w:bCs/>
                <w:sz w:val="12"/>
                <w:szCs w:val="12"/>
                <w:lang w:val="en-US"/>
              </w:rPr>
            </w:pPr>
            <w:r w:rsidRPr="008379CA">
              <w:rPr>
                <w:rFonts w:ascii="Bookman Old Style" w:hAnsi="Bookman Old Style" w:cs="Calibri"/>
                <w:sz w:val="12"/>
                <w:szCs w:val="12"/>
              </w:rPr>
              <w:t>354.196.828.076</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709" w:type="dxa"/>
            <w:shd w:val="clear" w:color="auto" w:fill="auto"/>
            <w:vAlign w:val="center"/>
          </w:tcPr>
          <w:p w14:paraId="3B0BAAFD" w14:textId="5D2A3CDC" w:rsidR="00AC5C41" w:rsidRPr="008379CA" w:rsidRDefault="00AC5C41" w:rsidP="005353EC">
            <w:pPr>
              <w:jc w:val="center"/>
              <w:rPr>
                <w:rFonts w:ascii="Bookman Old Style" w:hAnsi="Bookman Old Style" w:cs="Calibri"/>
                <w:bCs/>
                <w:sz w:val="12"/>
                <w:szCs w:val="12"/>
                <w:lang w:val="en-US"/>
              </w:rPr>
            </w:pPr>
            <w:r w:rsidRPr="008379CA">
              <w:rPr>
                <w:rFonts w:ascii="Bookman Old Style" w:hAnsi="Bookman Old Style" w:cs="Calibri"/>
                <w:sz w:val="12"/>
                <w:szCs w:val="12"/>
              </w:rPr>
              <w:t>93,71</w:t>
            </w:r>
          </w:p>
        </w:tc>
        <w:tc>
          <w:tcPr>
            <w:tcW w:w="1559" w:type="dxa"/>
            <w:shd w:val="clear" w:color="auto" w:fill="auto"/>
            <w:vAlign w:val="center"/>
          </w:tcPr>
          <w:p w14:paraId="49AB9230" w14:textId="6D985F72" w:rsidR="00AC5C41" w:rsidRPr="008379CA" w:rsidRDefault="00AC5C41" w:rsidP="008922F3">
            <w:pPr>
              <w:ind w:left="-106"/>
              <w:jc w:val="right"/>
              <w:rPr>
                <w:rFonts w:ascii="Bookman Old Style" w:hAnsi="Bookman Old Style" w:cs="Calibri"/>
                <w:bCs/>
                <w:sz w:val="12"/>
                <w:szCs w:val="12"/>
                <w:lang w:val="en-US"/>
              </w:rPr>
            </w:pPr>
            <w:r w:rsidRPr="008379CA">
              <w:rPr>
                <w:rFonts w:ascii="Bookman Old Style" w:hAnsi="Bookman Old Style" w:cs="Calibri"/>
                <w:sz w:val="12"/>
                <w:szCs w:val="12"/>
              </w:rPr>
              <w:t>461.000.480.724</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1560" w:type="dxa"/>
            <w:shd w:val="clear" w:color="auto" w:fill="auto"/>
            <w:vAlign w:val="center"/>
          </w:tcPr>
          <w:p w14:paraId="561412F4" w14:textId="629817D6" w:rsidR="00AC5C41" w:rsidRPr="008379CA" w:rsidRDefault="00AC5C41" w:rsidP="008922F3">
            <w:pPr>
              <w:ind w:left="-106"/>
              <w:jc w:val="right"/>
              <w:rPr>
                <w:rFonts w:ascii="Bookman Old Style" w:hAnsi="Bookman Old Style" w:cs="Calibri"/>
                <w:bCs/>
                <w:sz w:val="12"/>
                <w:szCs w:val="12"/>
                <w:lang w:val="en-US"/>
              </w:rPr>
            </w:pPr>
            <w:r w:rsidRPr="008379CA">
              <w:rPr>
                <w:rFonts w:ascii="Bookman Old Style" w:hAnsi="Bookman Old Style" w:cs="Calibri"/>
                <w:sz w:val="12"/>
                <w:szCs w:val="12"/>
              </w:rPr>
              <w:t>256.266.935.619</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709" w:type="dxa"/>
            <w:shd w:val="clear" w:color="auto" w:fill="auto"/>
            <w:vAlign w:val="center"/>
          </w:tcPr>
          <w:p w14:paraId="5B27FA79" w14:textId="6DBFDAEE" w:rsidR="00AC5C41" w:rsidRPr="008379CA" w:rsidRDefault="00AC5C41" w:rsidP="00AC5C41">
            <w:pPr>
              <w:jc w:val="center"/>
              <w:rPr>
                <w:rFonts w:ascii="Bookman Old Style" w:hAnsi="Bookman Old Style" w:cs="Calibri"/>
                <w:bCs/>
                <w:sz w:val="12"/>
                <w:szCs w:val="12"/>
                <w:lang w:val="en-US"/>
              </w:rPr>
            </w:pPr>
            <w:r w:rsidRPr="008379CA">
              <w:rPr>
                <w:rFonts w:ascii="Bookman Old Style" w:hAnsi="Bookman Old Style" w:cs="Calibri"/>
                <w:sz w:val="12"/>
                <w:szCs w:val="12"/>
              </w:rPr>
              <w:t>55,59</w:t>
            </w:r>
            <w:r w:rsidR="00A954D0" w:rsidRPr="008379CA">
              <w:rPr>
                <w:rFonts w:ascii="Bookman Old Style" w:hAnsi="Bookman Old Style" w:cs="Calibri"/>
                <w:sz w:val="12"/>
                <w:szCs w:val="12"/>
              </w:rPr>
              <w:t xml:space="preserve"> </w:t>
            </w:r>
          </w:p>
        </w:tc>
        <w:tc>
          <w:tcPr>
            <w:tcW w:w="1559" w:type="dxa"/>
            <w:shd w:val="clear" w:color="auto" w:fill="auto"/>
            <w:vAlign w:val="center"/>
          </w:tcPr>
          <w:p w14:paraId="7C8C446B" w14:textId="07128194" w:rsidR="00AC5C41" w:rsidRPr="008379CA" w:rsidRDefault="00AC5C41" w:rsidP="008922F3">
            <w:pPr>
              <w:ind w:left="-102"/>
              <w:jc w:val="right"/>
              <w:rPr>
                <w:rFonts w:ascii="Bookman Old Style" w:hAnsi="Bookman Old Style" w:cs="Calibri"/>
                <w:b/>
                <w:bCs/>
                <w:sz w:val="12"/>
                <w:szCs w:val="12"/>
                <w:lang w:val="en-US"/>
              </w:rPr>
            </w:pPr>
            <w:r w:rsidRPr="008379CA">
              <w:rPr>
                <w:rFonts w:ascii="Bookman Old Style" w:hAnsi="Bookman Old Style" w:cs="Calibri"/>
                <w:sz w:val="12"/>
                <w:szCs w:val="12"/>
              </w:rPr>
              <w:t>395.241.584.163</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850" w:type="dxa"/>
            <w:shd w:val="clear" w:color="auto" w:fill="auto"/>
            <w:vAlign w:val="center"/>
          </w:tcPr>
          <w:p w14:paraId="27C0DA03" w14:textId="1A3D9CD3"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11,50</w:t>
            </w:r>
          </w:p>
        </w:tc>
        <w:tc>
          <w:tcPr>
            <w:tcW w:w="850" w:type="dxa"/>
            <w:shd w:val="clear" w:color="auto" w:fill="auto"/>
            <w:vAlign w:val="center"/>
          </w:tcPr>
          <w:p w14:paraId="2C7867B4" w14:textId="0D89141F"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21,96</w:t>
            </w:r>
          </w:p>
        </w:tc>
        <w:tc>
          <w:tcPr>
            <w:tcW w:w="992" w:type="dxa"/>
            <w:shd w:val="clear" w:color="auto" w:fill="auto"/>
            <w:vAlign w:val="center"/>
          </w:tcPr>
          <w:p w14:paraId="222F2A3A" w14:textId="46E1AE31"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(14,26)</w:t>
            </w:r>
          </w:p>
        </w:tc>
        <w:tc>
          <w:tcPr>
            <w:tcW w:w="965" w:type="dxa"/>
            <w:shd w:val="clear" w:color="auto" w:fill="auto"/>
            <w:noWrap/>
            <w:vAlign w:val="center"/>
          </w:tcPr>
          <w:p w14:paraId="0673B1A4" w14:textId="0546A8D3"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6,40</w:t>
            </w:r>
          </w:p>
        </w:tc>
      </w:tr>
      <w:tr w:rsidR="008379CA" w:rsidRPr="008379CA" w14:paraId="49A8FD3A" w14:textId="77777777" w:rsidTr="00600933">
        <w:trPr>
          <w:trHeight w:val="312"/>
        </w:trPr>
        <w:tc>
          <w:tcPr>
            <w:tcW w:w="1134" w:type="dxa"/>
            <w:shd w:val="clear" w:color="auto" w:fill="auto"/>
            <w:vAlign w:val="center"/>
          </w:tcPr>
          <w:p w14:paraId="07C0E49E" w14:textId="3CF19619" w:rsidR="00AC5C41" w:rsidRPr="008379CA" w:rsidRDefault="00AC5C41" w:rsidP="00AC5C41">
            <w:pPr>
              <w:jc w:val="both"/>
              <w:rPr>
                <w:rFonts w:ascii="Bookman Old Style" w:hAnsi="Bookman Old Style" w:cs="Calibri"/>
                <w:bCs/>
                <w:sz w:val="12"/>
                <w:szCs w:val="12"/>
                <w:lang w:val="en-US"/>
              </w:rPr>
            </w:pPr>
            <w:r w:rsidRPr="008379CA">
              <w:rPr>
                <w:rFonts w:ascii="Bookman Old Style" w:hAnsi="Bookman Old Style" w:cs="Calibri"/>
                <w:sz w:val="12"/>
                <w:szCs w:val="12"/>
              </w:rPr>
              <w:t>Belanja</w:t>
            </w:r>
            <w:r w:rsidR="00A954D0" w:rsidRPr="008379CA">
              <w:rPr>
                <w:rFonts w:ascii="Bookman Old Style" w:hAnsi="Bookman Old Style" w:cs="Calibri"/>
                <w:sz w:val="12"/>
                <w:szCs w:val="12"/>
              </w:rPr>
              <w:t xml:space="preserve"> </w:t>
            </w:r>
            <w:r w:rsidRPr="008379CA">
              <w:rPr>
                <w:rFonts w:ascii="Bookman Old Style" w:hAnsi="Bookman Old Style" w:cs="Calibri"/>
                <w:sz w:val="12"/>
                <w:szCs w:val="12"/>
              </w:rPr>
              <w:t>Modal</w:t>
            </w:r>
            <w:r w:rsidR="00A954D0" w:rsidRPr="008379CA">
              <w:rPr>
                <w:rFonts w:ascii="Bookman Old Style" w:hAnsi="Bookman Old Style" w:cs="Calibri"/>
                <w:sz w:val="12"/>
                <w:szCs w:val="12"/>
              </w:rPr>
              <w:t xml:space="preserve"> </w:t>
            </w:r>
            <w:r w:rsidRPr="008379CA">
              <w:rPr>
                <w:rFonts w:ascii="Bookman Old Style" w:hAnsi="Bookman Old Style" w:cs="Calibri"/>
                <w:sz w:val="12"/>
                <w:szCs w:val="12"/>
              </w:rPr>
              <w:t>Aset</w:t>
            </w:r>
            <w:r w:rsidR="00A954D0" w:rsidRPr="008379CA">
              <w:rPr>
                <w:rFonts w:ascii="Bookman Old Style" w:hAnsi="Bookman Old Style" w:cs="Calibri"/>
                <w:sz w:val="12"/>
                <w:szCs w:val="12"/>
              </w:rPr>
              <w:t xml:space="preserve"> </w:t>
            </w:r>
            <w:r w:rsidRPr="008379CA">
              <w:rPr>
                <w:rFonts w:ascii="Bookman Old Style" w:hAnsi="Bookman Old Style" w:cs="Calibri"/>
                <w:sz w:val="12"/>
                <w:szCs w:val="12"/>
              </w:rPr>
              <w:t>Tetap</w:t>
            </w:r>
            <w:r w:rsidR="00A954D0" w:rsidRPr="008379CA">
              <w:rPr>
                <w:rFonts w:ascii="Bookman Old Style" w:hAnsi="Bookman Old Style" w:cs="Calibri"/>
                <w:sz w:val="12"/>
                <w:szCs w:val="12"/>
              </w:rPr>
              <w:t xml:space="preserve"> </w:t>
            </w:r>
            <w:r w:rsidRPr="008379CA">
              <w:rPr>
                <w:rFonts w:ascii="Bookman Old Style" w:hAnsi="Bookman Old Style" w:cs="Calibri"/>
                <w:sz w:val="12"/>
                <w:szCs w:val="12"/>
              </w:rPr>
              <w:t>Lainnya</w:t>
            </w:r>
          </w:p>
        </w:tc>
        <w:tc>
          <w:tcPr>
            <w:tcW w:w="1701" w:type="dxa"/>
            <w:shd w:val="clear" w:color="auto" w:fill="auto"/>
            <w:vAlign w:val="center"/>
          </w:tcPr>
          <w:p w14:paraId="0E0F3A59" w14:textId="2B8FBFF1" w:rsidR="00AC5C41" w:rsidRPr="008379CA" w:rsidRDefault="00AC5C41" w:rsidP="008922F3">
            <w:pPr>
              <w:ind w:left="-113"/>
              <w:jc w:val="right"/>
              <w:rPr>
                <w:rFonts w:ascii="Bookman Old Style" w:hAnsi="Bookman Old Style" w:cs="Calibri"/>
                <w:bCs/>
                <w:sz w:val="12"/>
                <w:szCs w:val="12"/>
                <w:lang w:val="en-US"/>
              </w:rPr>
            </w:pPr>
            <w:r w:rsidRPr="008379CA">
              <w:rPr>
                <w:rFonts w:ascii="Bookman Old Style" w:hAnsi="Bookman Old Style" w:cs="Calibri"/>
                <w:sz w:val="12"/>
                <w:szCs w:val="12"/>
              </w:rPr>
              <w:t>21.114.964.453</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1531" w:type="dxa"/>
            <w:shd w:val="clear" w:color="auto" w:fill="auto"/>
            <w:vAlign w:val="center"/>
          </w:tcPr>
          <w:p w14:paraId="793E1D9A" w14:textId="48A8A4EC" w:rsidR="00AC5C41" w:rsidRPr="008379CA" w:rsidRDefault="00AC5C41" w:rsidP="008922F3">
            <w:pPr>
              <w:ind w:left="-113"/>
              <w:jc w:val="right"/>
              <w:rPr>
                <w:rFonts w:ascii="Bookman Old Style" w:hAnsi="Bookman Old Style" w:cs="Calibri"/>
                <w:bCs/>
                <w:sz w:val="12"/>
                <w:szCs w:val="12"/>
                <w:lang w:val="en-US"/>
              </w:rPr>
            </w:pPr>
            <w:r w:rsidRPr="008379CA">
              <w:rPr>
                <w:rFonts w:ascii="Bookman Old Style" w:hAnsi="Bookman Old Style" w:cs="Calibri"/>
                <w:sz w:val="12"/>
                <w:szCs w:val="12"/>
              </w:rPr>
              <w:t>20.795.894.888</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709" w:type="dxa"/>
            <w:shd w:val="clear" w:color="auto" w:fill="auto"/>
            <w:vAlign w:val="center"/>
          </w:tcPr>
          <w:p w14:paraId="5F02A2C4" w14:textId="6E4E47D2" w:rsidR="00AC5C41" w:rsidRPr="008379CA" w:rsidRDefault="00AC5C41" w:rsidP="005353EC">
            <w:pPr>
              <w:jc w:val="center"/>
              <w:rPr>
                <w:rFonts w:ascii="Bookman Old Style" w:hAnsi="Bookman Old Style" w:cs="Calibri"/>
                <w:bCs/>
                <w:sz w:val="12"/>
                <w:szCs w:val="12"/>
                <w:lang w:val="en-US"/>
              </w:rPr>
            </w:pPr>
            <w:r w:rsidRPr="008379CA">
              <w:rPr>
                <w:rFonts w:ascii="Bookman Old Style" w:hAnsi="Bookman Old Style" w:cs="Calibri"/>
                <w:sz w:val="12"/>
                <w:szCs w:val="12"/>
              </w:rPr>
              <w:t>98,49</w:t>
            </w:r>
          </w:p>
        </w:tc>
        <w:tc>
          <w:tcPr>
            <w:tcW w:w="1559" w:type="dxa"/>
            <w:shd w:val="clear" w:color="auto" w:fill="auto"/>
            <w:vAlign w:val="center"/>
          </w:tcPr>
          <w:p w14:paraId="032B22EE" w14:textId="2974004C" w:rsidR="00AC5C41" w:rsidRPr="008379CA" w:rsidRDefault="00AC5C41" w:rsidP="008922F3">
            <w:pPr>
              <w:ind w:left="-110"/>
              <w:jc w:val="right"/>
              <w:rPr>
                <w:rFonts w:ascii="Bookman Old Style" w:hAnsi="Bookman Old Style" w:cs="Calibri"/>
                <w:bCs/>
                <w:sz w:val="12"/>
                <w:szCs w:val="12"/>
                <w:lang w:val="en-US"/>
              </w:rPr>
            </w:pPr>
            <w:r w:rsidRPr="008379CA">
              <w:rPr>
                <w:rFonts w:ascii="Bookman Old Style" w:hAnsi="Bookman Old Style" w:cs="Calibri"/>
                <w:sz w:val="12"/>
                <w:szCs w:val="12"/>
              </w:rPr>
              <w:t>22.526.565.701</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1559" w:type="dxa"/>
            <w:shd w:val="clear" w:color="auto" w:fill="auto"/>
            <w:vAlign w:val="center"/>
          </w:tcPr>
          <w:p w14:paraId="28E7C341" w14:textId="77558B1D" w:rsidR="00AC5C41" w:rsidRPr="008379CA" w:rsidRDefault="00AC5C41" w:rsidP="008922F3">
            <w:pPr>
              <w:ind w:left="-110"/>
              <w:jc w:val="right"/>
              <w:rPr>
                <w:rFonts w:ascii="Bookman Old Style" w:hAnsi="Bookman Old Style" w:cs="Calibri"/>
                <w:bCs/>
                <w:sz w:val="12"/>
                <w:szCs w:val="12"/>
                <w:lang w:val="en-US"/>
              </w:rPr>
            </w:pPr>
            <w:r w:rsidRPr="008379CA">
              <w:rPr>
                <w:rFonts w:ascii="Bookman Old Style" w:hAnsi="Bookman Old Style" w:cs="Calibri"/>
                <w:sz w:val="12"/>
                <w:szCs w:val="12"/>
              </w:rPr>
              <w:t>22.225.309.936</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709" w:type="dxa"/>
            <w:shd w:val="clear" w:color="auto" w:fill="auto"/>
            <w:vAlign w:val="center"/>
          </w:tcPr>
          <w:p w14:paraId="5E3A5055" w14:textId="386DA22F" w:rsidR="00AC5C41" w:rsidRPr="008379CA" w:rsidRDefault="00AC5C41" w:rsidP="005353EC">
            <w:pPr>
              <w:jc w:val="center"/>
              <w:rPr>
                <w:rFonts w:ascii="Bookman Old Style" w:hAnsi="Bookman Old Style" w:cs="Calibri"/>
                <w:bCs/>
                <w:sz w:val="12"/>
                <w:szCs w:val="12"/>
                <w:lang w:val="en-US"/>
              </w:rPr>
            </w:pPr>
            <w:r w:rsidRPr="008379CA">
              <w:rPr>
                <w:rFonts w:ascii="Bookman Old Style" w:hAnsi="Bookman Old Style" w:cs="Calibri"/>
                <w:sz w:val="12"/>
                <w:szCs w:val="12"/>
              </w:rPr>
              <w:t>98,66</w:t>
            </w:r>
          </w:p>
        </w:tc>
        <w:tc>
          <w:tcPr>
            <w:tcW w:w="1559" w:type="dxa"/>
            <w:shd w:val="clear" w:color="auto" w:fill="auto"/>
            <w:vAlign w:val="center"/>
          </w:tcPr>
          <w:p w14:paraId="7E28B4CD" w14:textId="09927E52" w:rsidR="00AC5C41" w:rsidRPr="008379CA" w:rsidRDefault="00AC5C41" w:rsidP="008922F3">
            <w:pPr>
              <w:ind w:left="-106"/>
              <w:jc w:val="right"/>
              <w:rPr>
                <w:rFonts w:ascii="Bookman Old Style" w:hAnsi="Bookman Old Style" w:cs="Calibri"/>
                <w:bCs/>
                <w:sz w:val="12"/>
                <w:szCs w:val="12"/>
                <w:lang w:val="en-US"/>
              </w:rPr>
            </w:pPr>
            <w:r w:rsidRPr="008379CA">
              <w:rPr>
                <w:rFonts w:ascii="Bookman Old Style" w:hAnsi="Bookman Old Style" w:cs="Calibri"/>
                <w:sz w:val="12"/>
                <w:szCs w:val="12"/>
              </w:rPr>
              <w:t>27.097.706.053</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1560" w:type="dxa"/>
            <w:shd w:val="clear" w:color="auto" w:fill="auto"/>
            <w:vAlign w:val="center"/>
          </w:tcPr>
          <w:p w14:paraId="7AAD1A33" w14:textId="54E7FB14" w:rsidR="00AC5C41" w:rsidRPr="008379CA" w:rsidRDefault="00AC5C41" w:rsidP="008922F3">
            <w:pPr>
              <w:ind w:left="-106"/>
              <w:jc w:val="right"/>
              <w:rPr>
                <w:rFonts w:ascii="Bookman Old Style" w:hAnsi="Bookman Old Style" w:cs="Calibri"/>
                <w:bCs/>
                <w:sz w:val="12"/>
                <w:szCs w:val="12"/>
                <w:lang w:val="en-US"/>
              </w:rPr>
            </w:pPr>
            <w:r w:rsidRPr="008379CA">
              <w:rPr>
                <w:rFonts w:ascii="Bookman Old Style" w:hAnsi="Bookman Old Style" w:cs="Calibri"/>
                <w:sz w:val="12"/>
                <w:szCs w:val="12"/>
              </w:rPr>
              <w:t>20.849.903.437</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709" w:type="dxa"/>
            <w:shd w:val="clear" w:color="auto" w:fill="auto"/>
            <w:vAlign w:val="center"/>
          </w:tcPr>
          <w:p w14:paraId="5DD30EF0" w14:textId="56693EF6" w:rsidR="00AC5C41" w:rsidRPr="008379CA" w:rsidRDefault="00AC5C41" w:rsidP="00AC5C41">
            <w:pPr>
              <w:jc w:val="center"/>
              <w:rPr>
                <w:rFonts w:ascii="Bookman Old Style" w:hAnsi="Bookman Old Style" w:cs="Calibri"/>
                <w:bCs/>
                <w:sz w:val="12"/>
                <w:szCs w:val="12"/>
                <w:lang w:val="en-US"/>
              </w:rPr>
            </w:pPr>
            <w:r w:rsidRPr="008379CA">
              <w:rPr>
                <w:rFonts w:ascii="Bookman Old Style" w:hAnsi="Bookman Old Style" w:cs="Calibri"/>
                <w:sz w:val="12"/>
                <w:szCs w:val="12"/>
              </w:rPr>
              <w:t>76,94</w:t>
            </w:r>
            <w:r w:rsidR="00A954D0" w:rsidRPr="008379CA">
              <w:rPr>
                <w:rFonts w:ascii="Bookman Old Style" w:hAnsi="Bookman Old Style" w:cs="Calibri"/>
                <w:sz w:val="12"/>
                <w:szCs w:val="12"/>
              </w:rPr>
              <w:t xml:space="preserve"> </w:t>
            </w:r>
          </w:p>
        </w:tc>
        <w:tc>
          <w:tcPr>
            <w:tcW w:w="1559" w:type="dxa"/>
            <w:shd w:val="clear" w:color="auto" w:fill="auto"/>
            <w:vAlign w:val="center"/>
          </w:tcPr>
          <w:p w14:paraId="58AECEFE" w14:textId="6C01C043" w:rsidR="00AC5C41" w:rsidRPr="008379CA" w:rsidRDefault="00AC5C41" w:rsidP="008922F3">
            <w:pPr>
              <w:ind w:left="-102"/>
              <w:jc w:val="right"/>
              <w:rPr>
                <w:rFonts w:ascii="Bookman Old Style" w:hAnsi="Bookman Old Style" w:cs="Calibri"/>
                <w:b/>
                <w:bCs/>
                <w:sz w:val="12"/>
                <w:szCs w:val="12"/>
                <w:lang w:val="en-US"/>
              </w:rPr>
            </w:pPr>
            <w:r w:rsidRPr="008379CA">
              <w:rPr>
                <w:rFonts w:ascii="Bookman Old Style" w:hAnsi="Bookman Old Style" w:cs="Calibri"/>
                <w:sz w:val="12"/>
                <w:szCs w:val="12"/>
              </w:rPr>
              <w:t>41.312.087.058</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850" w:type="dxa"/>
            <w:shd w:val="clear" w:color="auto" w:fill="auto"/>
            <w:vAlign w:val="center"/>
          </w:tcPr>
          <w:p w14:paraId="04F0E322" w14:textId="21BCD0E4"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6,69</w:t>
            </w:r>
          </w:p>
        </w:tc>
        <w:tc>
          <w:tcPr>
            <w:tcW w:w="850" w:type="dxa"/>
            <w:shd w:val="clear" w:color="auto" w:fill="auto"/>
            <w:vAlign w:val="center"/>
          </w:tcPr>
          <w:p w14:paraId="28464FF1" w14:textId="059458F9"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20,29</w:t>
            </w:r>
          </w:p>
        </w:tc>
        <w:tc>
          <w:tcPr>
            <w:tcW w:w="992" w:type="dxa"/>
            <w:shd w:val="clear" w:color="auto" w:fill="auto"/>
            <w:vAlign w:val="center"/>
          </w:tcPr>
          <w:p w14:paraId="2C759A0F" w14:textId="786F83C9"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52,46</w:t>
            </w:r>
          </w:p>
        </w:tc>
        <w:tc>
          <w:tcPr>
            <w:tcW w:w="965" w:type="dxa"/>
            <w:shd w:val="clear" w:color="auto" w:fill="auto"/>
            <w:noWrap/>
            <w:vAlign w:val="center"/>
          </w:tcPr>
          <w:p w14:paraId="36A3EC32" w14:textId="7E5414D5"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26,48</w:t>
            </w:r>
          </w:p>
        </w:tc>
      </w:tr>
      <w:tr w:rsidR="008379CA" w:rsidRPr="008379CA" w14:paraId="6FFF0140" w14:textId="77777777" w:rsidTr="00600933">
        <w:trPr>
          <w:trHeight w:val="312"/>
        </w:trPr>
        <w:tc>
          <w:tcPr>
            <w:tcW w:w="1134" w:type="dxa"/>
            <w:shd w:val="clear" w:color="auto" w:fill="auto"/>
            <w:vAlign w:val="center"/>
          </w:tcPr>
          <w:p w14:paraId="3FB0AA64" w14:textId="245205A1" w:rsidR="00AC5C41" w:rsidRPr="008379CA" w:rsidRDefault="00AC5C41" w:rsidP="00AC5C41">
            <w:pPr>
              <w:jc w:val="both"/>
              <w:rPr>
                <w:rFonts w:ascii="Bookman Old Style" w:hAnsi="Bookman Old Style" w:cs="Calibri"/>
                <w:sz w:val="12"/>
                <w:szCs w:val="12"/>
              </w:rPr>
            </w:pPr>
            <w:r w:rsidRPr="008379CA">
              <w:rPr>
                <w:rFonts w:ascii="Bookman Old Style" w:hAnsi="Bookman Old Style" w:cs="Calibri"/>
                <w:sz w:val="12"/>
                <w:szCs w:val="12"/>
              </w:rPr>
              <w:t>Belanja</w:t>
            </w:r>
            <w:r w:rsidR="00A954D0" w:rsidRPr="008379CA">
              <w:rPr>
                <w:rFonts w:ascii="Bookman Old Style" w:hAnsi="Bookman Old Style" w:cs="Calibri"/>
                <w:sz w:val="12"/>
                <w:szCs w:val="12"/>
              </w:rPr>
              <w:t xml:space="preserve"> </w:t>
            </w:r>
            <w:r w:rsidRPr="008379CA">
              <w:rPr>
                <w:rFonts w:ascii="Bookman Old Style" w:hAnsi="Bookman Old Style" w:cs="Calibri"/>
                <w:sz w:val="12"/>
                <w:szCs w:val="12"/>
              </w:rPr>
              <w:t>Modal</w:t>
            </w:r>
            <w:r w:rsidR="00A954D0" w:rsidRPr="008379CA">
              <w:rPr>
                <w:rFonts w:ascii="Bookman Old Style" w:hAnsi="Bookman Old Style" w:cs="Calibri"/>
                <w:sz w:val="12"/>
                <w:szCs w:val="12"/>
              </w:rPr>
              <w:t xml:space="preserve"> </w:t>
            </w:r>
            <w:r w:rsidRPr="008379CA">
              <w:rPr>
                <w:rFonts w:ascii="Bookman Old Style" w:hAnsi="Bookman Old Style" w:cs="Calibri"/>
                <w:sz w:val="12"/>
                <w:szCs w:val="12"/>
              </w:rPr>
              <w:t>Aset</w:t>
            </w:r>
            <w:r w:rsidR="00A954D0" w:rsidRPr="008379CA">
              <w:rPr>
                <w:rFonts w:ascii="Bookman Old Style" w:hAnsi="Bookman Old Style" w:cs="Calibri"/>
                <w:sz w:val="12"/>
                <w:szCs w:val="12"/>
              </w:rPr>
              <w:t xml:space="preserve"> </w:t>
            </w:r>
            <w:r w:rsidRPr="008379CA">
              <w:rPr>
                <w:rFonts w:ascii="Bookman Old Style" w:hAnsi="Bookman Old Style" w:cs="Calibri"/>
                <w:sz w:val="12"/>
                <w:szCs w:val="12"/>
              </w:rPr>
              <w:t>Lainnya</w:t>
            </w:r>
          </w:p>
        </w:tc>
        <w:tc>
          <w:tcPr>
            <w:tcW w:w="1701" w:type="dxa"/>
            <w:shd w:val="clear" w:color="auto" w:fill="auto"/>
            <w:vAlign w:val="center"/>
          </w:tcPr>
          <w:p w14:paraId="7785959E" w14:textId="44C35359" w:rsidR="00AC5C41" w:rsidRPr="008379CA" w:rsidRDefault="00AC5C41" w:rsidP="008922F3">
            <w:pPr>
              <w:ind w:left="-113"/>
              <w:jc w:val="right"/>
              <w:rPr>
                <w:rFonts w:ascii="Bookman Old Style" w:hAnsi="Bookman Old Style" w:cs="Calibri"/>
                <w:bCs/>
                <w:sz w:val="12"/>
                <w:szCs w:val="12"/>
                <w:lang w:val="en-US"/>
              </w:rPr>
            </w:pPr>
            <w:r w:rsidRPr="008379CA">
              <w:rPr>
                <w:rFonts w:ascii="Bookman Old Style" w:hAnsi="Bookman Old Style" w:cs="Calibri"/>
                <w:sz w:val="12"/>
                <w:szCs w:val="12"/>
              </w:rPr>
              <w:t>20.580.700.940</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1531" w:type="dxa"/>
            <w:shd w:val="clear" w:color="auto" w:fill="auto"/>
            <w:vAlign w:val="center"/>
          </w:tcPr>
          <w:p w14:paraId="5AC9BFB0" w14:textId="24AAD48B" w:rsidR="00AC5C41" w:rsidRPr="008379CA" w:rsidRDefault="00AC5C41" w:rsidP="008922F3">
            <w:pPr>
              <w:ind w:left="-113"/>
              <w:jc w:val="right"/>
              <w:rPr>
                <w:rFonts w:ascii="Bookman Old Style" w:hAnsi="Bookman Old Style" w:cs="Calibri"/>
                <w:bCs/>
                <w:sz w:val="12"/>
                <w:szCs w:val="12"/>
                <w:lang w:val="en-US"/>
              </w:rPr>
            </w:pPr>
            <w:r w:rsidRPr="008379CA">
              <w:rPr>
                <w:rFonts w:ascii="Bookman Old Style" w:hAnsi="Bookman Old Style" w:cs="Calibri"/>
                <w:sz w:val="12"/>
                <w:szCs w:val="12"/>
              </w:rPr>
              <w:t>13.167.230.176</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709" w:type="dxa"/>
            <w:shd w:val="clear" w:color="auto" w:fill="auto"/>
            <w:vAlign w:val="center"/>
          </w:tcPr>
          <w:p w14:paraId="08CBB55B" w14:textId="70D02359" w:rsidR="00AC5C41" w:rsidRPr="008379CA" w:rsidRDefault="00AC5C41" w:rsidP="005353EC">
            <w:pPr>
              <w:jc w:val="center"/>
              <w:rPr>
                <w:rFonts w:ascii="Bookman Old Style" w:hAnsi="Bookman Old Style" w:cs="Calibri"/>
                <w:bCs/>
                <w:sz w:val="12"/>
                <w:szCs w:val="12"/>
                <w:lang w:val="en-US"/>
              </w:rPr>
            </w:pPr>
            <w:r w:rsidRPr="008379CA">
              <w:rPr>
                <w:rFonts w:ascii="Bookman Old Style" w:hAnsi="Bookman Old Style" w:cs="Calibri"/>
                <w:sz w:val="12"/>
                <w:szCs w:val="12"/>
              </w:rPr>
              <w:t>63,98</w:t>
            </w:r>
          </w:p>
        </w:tc>
        <w:tc>
          <w:tcPr>
            <w:tcW w:w="1559" w:type="dxa"/>
            <w:shd w:val="clear" w:color="auto" w:fill="auto"/>
            <w:vAlign w:val="center"/>
          </w:tcPr>
          <w:p w14:paraId="09F9258D" w14:textId="623C24F2" w:rsidR="00AC5C41" w:rsidRPr="008379CA" w:rsidRDefault="00AC5C41" w:rsidP="008922F3">
            <w:pPr>
              <w:ind w:left="-110"/>
              <w:jc w:val="right"/>
              <w:rPr>
                <w:rFonts w:ascii="Bookman Old Style" w:hAnsi="Bookman Old Style" w:cs="Calibri"/>
                <w:sz w:val="12"/>
                <w:szCs w:val="12"/>
              </w:rPr>
            </w:pPr>
            <w:r w:rsidRPr="008379CA">
              <w:rPr>
                <w:rFonts w:ascii="Bookman Old Style" w:hAnsi="Bookman Old Style" w:cs="Calibri"/>
                <w:sz w:val="12"/>
                <w:szCs w:val="12"/>
              </w:rPr>
              <w:t>14.987.842.930</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1559" w:type="dxa"/>
            <w:shd w:val="clear" w:color="auto" w:fill="auto"/>
            <w:vAlign w:val="center"/>
          </w:tcPr>
          <w:p w14:paraId="36223C42" w14:textId="08A32F2D" w:rsidR="00AC5C41" w:rsidRPr="008379CA" w:rsidRDefault="00AC5C41" w:rsidP="008922F3">
            <w:pPr>
              <w:ind w:left="-110"/>
              <w:jc w:val="right"/>
              <w:rPr>
                <w:rFonts w:ascii="Bookman Old Style" w:hAnsi="Bookman Old Style" w:cs="Calibri"/>
                <w:sz w:val="12"/>
                <w:szCs w:val="12"/>
              </w:rPr>
            </w:pPr>
            <w:r w:rsidRPr="008379CA">
              <w:rPr>
                <w:rFonts w:ascii="Bookman Old Style" w:hAnsi="Bookman Old Style" w:cs="Calibri"/>
                <w:sz w:val="12"/>
                <w:szCs w:val="12"/>
              </w:rPr>
              <w:t>11.015.391.905</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709" w:type="dxa"/>
            <w:shd w:val="clear" w:color="auto" w:fill="auto"/>
            <w:vAlign w:val="center"/>
          </w:tcPr>
          <w:p w14:paraId="5A6E85FE" w14:textId="60F3ABE1" w:rsidR="00AC5C41" w:rsidRPr="008379CA" w:rsidRDefault="00AC5C41" w:rsidP="005353EC">
            <w:pPr>
              <w:jc w:val="center"/>
              <w:rPr>
                <w:rFonts w:ascii="Bookman Old Style" w:hAnsi="Bookman Old Style" w:cs="Calibri"/>
                <w:sz w:val="12"/>
                <w:szCs w:val="12"/>
              </w:rPr>
            </w:pPr>
            <w:r w:rsidRPr="008379CA">
              <w:rPr>
                <w:rFonts w:ascii="Bookman Old Style" w:hAnsi="Bookman Old Style" w:cs="Calibri"/>
                <w:sz w:val="12"/>
                <w:szCs w:val="12"/>
              </w:rPr>
              <w:t>73,50</w:t>
            </w:r>
          </w:p>
        </w:tc>
        <w:tc>
          <w:tcPr>
            <w:tcW w:w="1559" w:type="dxa"/>
            <w:shd w:val="clear" w:color="auto" w:fill="auto"/>
            <w:vAlign w:val="center"/>
          </w:tcPr>
          <w:p w14:paraId="5D174F31" w14:textId="5404C476" w:rsidR="00AC5C41" w:rsidRPr="008379CA" w:rsidRDefault="00AC5C41" w:rsidP="008922F3">
            <w:pPr>
              <w:ind w:left="-106"/>
              <w:jc w:val="right"/>
              <w:rPr>
                <w:rFonts w:ascii="Bookman Old Style" w:hAnsi="Bookman Old Style" w:cs="Calibri"/>
                <w:sz w:val="12"/>
                <w:szCs w:val="12"/>
              </w:rPr>
            </w:pPr>
            <w:r w:rsidRPr="008379CA">
              <w:rPr>
                <w:rFonts w:ascii="Bookman Old Style" w:hAnsi="Bookman Old Style" w:cs="Calibri"/>
                <w:sz w:val="12"/>
                <w:szCs w:val="12"/>
              </w:rPr>
              <w:t>20.016.581.897</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1560" w:type="dxa"/>
            <w:shd w:val="clear" w:color="auto" w:fill="auto"/>
            <w:vAlign w:val="center"/>
          </w:tcPr>
          <w:p w14:paraId="6245F68C" w14:textId="5948B22B" w:rsidR="00AC5C41" w:rsidRPr="008379CA" w:rsidRDefault="00AC5C41" w:rsidP="008922F3">
            <w:pPr>
              <w:ind w:left="-106"/>
              <w:jc w:val="right"/>
              <w:rPr>
                <w:rFonts w:ascii="Bookman Old Style" w:hAnsi="Bookman Old Style" w:cs="Calibri"/>
                <w:sz w:val="12"/>
                <w:szCs w:val="12"/>
              </w:rPr>
            </w:pPr>
            <w:r w:rsidRPr="008379CA">
              <w:rPr>
                <w:rFonts w:ascii="Bookman Old Style" w:hAnsi="Bookman Old Style" w:cs="Calibri"/>
                <w:sz w:val="12"/>
                <w:szCs w:val="12"/>
              </w:rPr>
              <w:t>3.428.353.380</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709" w:type="dxa"/>
            <w:shd w:val="clear" w:color="auto" w:fill="auto"/>
            <w:vAlign w:val="center"/>
          </w:tcPr>
          <w:p w14:paraId="31103A58" w14:textId="007994C9" w:rsidR="00AC5C41" w:rsidRPr="008379CA" w:rsidRDefault="00AC5C41" w:rsidP="00AC5C41">
            <w:pPr>
              <w:jc w:val="center"/>
              <w:rPr>
                <w:rFonts w:ascii="Bookman Old Style" w:hAnsi="Bookman Old Style" w:cs="Calibri"/>
                <w:sz w:val="12"/>
                <w:szCs w:val="12"/>
                <w:lang w:val="en-US"/>
              </w:rPr>
            </w:pPr>
            <w:r w:rsidRPr="008379CA">
              <w:rPr>
                <w:rFonts w:ascii="Bookman Old Style" w:hAnsi="Bookman Old Style" w:cs="Calibri"/>
                <w:sz w:val="12"/>
                <w:szCs w:val="12"/>
              </w:rPr>
              <w:t>17,13</w:t>
            </w:r>
            <w:r w:rsidR="00A954D0" w:rsidRPr="008379CA">
              <w:rPr>
                <w:rFonts w:ascii="Bookman Old Style" w:hAnsi="Bookman Old Style" w:cs="Calibri"/>
                <w:sz w:val="12"/>
                <w:szCs w:val="12"/>
              </w:rPr>
              <w:t xml:space="preserve"> </w:t>
            </w:r>
          </w:p>
        </w:tc>
        <w:tc>
          <w:tcPr>
            <w:tcW w:w="1559" w:type="dxa"/>
            <w:shd w:val="clear" w:color="auto" w:fill="auto"/>
            <w:vAlign w:val="center"/>
          </w:tcPr>
          <w:p w14:paraId="6E5F7629" w14:textId="1A39BEB5" w:rsidR="00AC5C41" w:rsidRPr="008379CA" w:rsidRDefault="00AC5C41" w:rsidP="008922F3">
            <w:pPr>
              <w:ind w:left="-102"/>
              <w:jc w:val="right"/>
              <w:rPr>
                <w:rFonts w:ascii="Bookman Old Style" w:hAnsi="Bookman Old Style" w:cs="Calibri"/>
                <w:b/>
                <w:bCs/>
                <w:sz w:val="12"/>
                <w:szCs w:val="12"/>
                <w:lang w:val="en-US"/>
              </w:rPr>
            </w:pPr>
            <w:r w:rsidRPr="008379CA">
              <w:rPr>
                <w:rFonts w:ascii="Bookman Old Style" w:hAnsi="Bookman Old Style" w:cs="Calibri"/>
                <w:sz w:val="12"/>
                <w:szCs w:val="12"/>
              </w:rPr>
              <w:t>3.244.467.262</w:t>
            </w:r>
            <w:r w:rsidR="00E535D2" w:rsidRPr="008379CA">
              <w:rPr>
                <w:rFonts w:ascii="Bookman Old Style" w:hAnsi="Bookman Old Style" w:cs="Calibri"/>
                <w:sz w:val="12"/>
                <w:szCs w:val="12"/>
              </w:rPr>
              <w:t>,00</w:t>
            </w:r>
            <w:r w:rsidR="00E535D2" w:rsidRPr="008379CA">
              <w:rPr>
                <w:rFonts w:ascii="Bookman Old Style" w:hAnsi="Bookman Old Style" w:cs="Calibri"/>
                <w:b/>
                <w:bCs/>
                <w:sz w:val="12"/>
                <w:szCs w:val="12"/>
              </w:rPr>
              <w:t xml:space="preserve"> </w:t>
            </w:r>
            <w:r w:rsidR="00E535D2"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850" w:type="dxa"/>
            <w:shd w:val="clear" w:color="auto" w:fill="auto"/>
            <w:vAlign w:val="center"/>
          </w:tcPr>
          <w:p w14:paraId="569B0182" w14:textId="479DC6F4" w:rsidR="00AC5C41" w:rsidRPr="008379CA" w:rsidRDefault="00AC5C41" w:rsidP="004F6797">
            <w:pPr>
              <w:jc w:val="center"/>
              <w:rPr>
                <w:rFonts w:ascii="Bookman Old Style" w:hAnsi="Bookman Old Style" w:cs="Calibri"/>
                <w:sz w:val="12"/>
                <w:szCs w:val="12"/>
              </w:rPr>
            </w:pPr>
            <w:r w:rsidRPr="008379CA">
              <w:rPr>
                <w:rFonts w:ascii="Bookman Old Style" w:hAnsi="Bookman Old Style" w:cs="Calibri"/>
                <w:sz w:val="12"/>
                <w:szCs w:val="12"/>
              </w:rPr>
              <w:t>(27,18)</w:t>
            </w:r>
          </w:p>
        </w:tc>
        <w:tc>
          <w:tcPr>
            <w:tcW w:w="850" w:type="dxa"/>
            <w:shd w:val="clear" w:color="auto" w:fill="auto"/>
            <w:vAlign w:val="center"/>
          </w:tcPr>
          <w:p w14:paraId="1395B344" w14:textId="40A9A632"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33,55</w:t>
            </w:r>
          </w:p>
        </w:tc>
        <w:tc>
          <w:tcPr>
            <w:tcW w:w="992" w:type="dxa"/>
            <w:shd w:val="clear" w:color="auto" w:fill="auto"/>
            <w:vAlign w:val="center"/>
          </w:tcPr>
          <w:p w14:paraId="710B05C7" w14:textId="5248884E"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(83,79)</w:t>
            </w:r>
          </w:p>
        </w:tc>
        <w:tc>
          <w:tcPr>
            <w:tcW w:w="965" w:type="dxa"/>
            <w:shd w:val="clear" w:color="auto" w:fill="auto"/>
            <w:noWrap/>
            <w:vAlign w:val="center"/>
          </w:tcPr>
          <w:p w14:paraId="4EE98779" w14:textId="39723BE3" w:rsidR="00AC5C41" w:rsidRPr="008379CA" w:rsidRDefault="00AC5C41" w:rsidP="004F6797">
            <w:pPr>
              <w:jc w:val="center"/>
              <w:rPr>
                <w:rFonts w:ascii="Bookman Old Style" w:hAnsi="Bookman Old Style" w:cs="Calibri"/>
                <w:sz w:val="12"/>
                <w:szCs w:val="12"/>
              </w:rPr>
            </w:pPr>
            <w:r w:rsidRPr="008379CA">
              <w:rPr>
                <w:rFonts w:ascii="Bookman Old Style" w:hAnsi="Bookman Old Style" w:cs="Calibri"/>
                <w:sz w:val="12"/>
                <w:szCs w:val="12"/>
              </w:rPr>
              <w:t>(25,80)</w:t>
            </w:r>
          </w:p>
        </w:tc>
      </w:tr>
      <w:tr w:rsidR="008379CA" w:rsidRPr="008379CA" w14:paraId="1C1BDE82" w14:textId="77777777" w:rsidTr="00600933">
        <w:trPr>
          <w:trHeight w:val="312"/>
        </w:trPr>
        <w:tc>
          <w:tcPr>
            <w:tcW w:w="1134" w:type="dxa"/>
            <w:shd w:val="clear" w:color="auto" w:fill="auto"/>
            <w:vAlign w:val="center"/>
          </w:tcPr>
          <w:p w14:paraId="73076359" w14:textId="75CF55A4" w:rsidR="00AC5C41" w:rsidRPr="008379CA" w:rsidRDefault="00AC5C41" w:rsidP="00AC5C41">
            <w:pPr>
              <w:jc w:val="both"/>
              <w:rPr>
                <w:rFonts w:ascii="Bookman Old Style" w:hAnsi="Bookman Old Style" w:cs="Calibri"/>
                <w:bCs/>
                <w:sz w:val="12"/>
                <w:szCs w:val="12"/>
                <w:lang w:val="en-US"/>
              </w:rPr>
            </w:pPr>
            <w:r w:rsidRPr="008379CA">
              <w:rPr>
                <w:rFonts w:ascii="Bookman Old Style" w:hAnsi="Bookman Old Style" w:cs="Calibri"/>
                <w:b/>
                <w:bCs/>
                <w:sz w:val="12"/>
                <w:szCs w:val="12"/>
              </w:rPr>
              <w:t>Belanja</w:t>
            </w:r>
            <w:r w:rsidR="00A954D0" w:rsidRPr="008379CA">
              <w:rPr>
                <w:rFonts w:ascii="Bookman Old Style" w:hAnsi="Bookman Old Style" w:cs="Calibri"/>
                <w:b/>
                <w:bCs/>
                <w:sz w:val="12"/>
                <w:szCs w:val="12"/>
              </w:rPr>
              <w:t xml:space="preserve"> </w:t>
            </w:r>
            <w:r w:rsidRPr="008379CA">
              <w:rPr>
                <w:rFonts w:ascii="Bookman Old Style" w:hAnsi="Bookman Old Style" w:cs="Calibri"/>
                <w:b/>
                <w:bCs/>
                <w:sz w:val="12"/>
                <w:szCs w:val="12"/>
              </w:rPr>
              <w:t>Tidak</w:t>
            </w:r>
            <w:r w:rsidR="00A954D0" w:rsidRPr="008379CA">
              <w:rPr>
                <w:rFonts w:ascii="Bookman Old Style" w:hAnsi="Bookman Old Style" w:cs="Calibri"/>
                <w:b/>
                <w:bCs/>
                <w:sz w:val="12"/>
                <w:szCs w:val="12"/>
              </w:rPr>
              <w:t xml:space="preserve"> </w:t>
            </w:r>
            <w:r w:rsidRPr="008379CA">
              <w:rPr>
                <w:rFonts w:ascii="Bookman Old Style" w:hAnsi="Bookman Old Style" w:cs="Calibri"/>
                <w:b/>
                <w:bCs/>
                <w:sz w:val="12"/>
                <w:szCs w:val="12"/>
              </w:rPr>
              <w:t>Terduga</w:t>
            </w:r>
          </w:p>
        </w:tc>
        <w:tc>
          <w:tcPr>
            <w:tcW w:w="1701" w:type="dxa"/>
            <w:shd w:val="clear" w:color="auto" w:fill="auto"/>
            <w:vAlign w:val="center"/>
          </w:tcPr>
          <w:p w14:paraId="7D7B3FE5" w14:textId="14614C29" w:rsidR="00AC5C41" w:rsidRPr="008379CA" w:rsidRDefault="00AC5C41" w:rsidP="008922F3">
            <w:pPr>
              <w:ind w:left="-113"/>
              <w:jc w:val="right"/>
              <w:rPr>
                <w:rFonts w:ascii="Bookman Old Style" w:hAnsi="Bookman Old Style" w:cs="Calibri"/>
                <w:b/>
                <w:bCs/>
                <w:sz w:val="12"/>
                <w:szCs w:val="12"/>
                <w:lang w:val="en-US"/>
              </w:rPr>
            </w:pPr>
            <w:r w:rsidRPr="008379CA">
              <w:rPr>
                <w:rFonts w:ascii="Bookman Old Style" w:hAnsi="Bookman Old Style" w:cs="Calibri"/>
                <w:b/>
                <w:bCs/>
                <w:sz w:val="12"/>
                <w:szCs w:val="12"/>
              </w:rPr>
              <w:t>38.872.263.731</w:t>
            </w:r>
            <w:r w:rsidR="00E535D2" w:rsidRPr="008379CA">
              <w:rPr>
                <w:rFonts w:ascii="Bookman Old Style" w:hAnsi="Bookman Old Style" w:cs="Calibri"/>
                <w:b/>
                <w:bCs/>
                <w:sz w:val="12"/>
                <w:szCs w:val="12"/>
              </w:rPr>
              <w:t xml:space="preserve">,00  </w:t>
            </w:r>
            <w:r w:rsidR="00A954D0" w:rsidRPr="008379CA">
              <w:rPr>
                <w:rFonts w:ascii="Bookman Old Style" w:hAnsi="Bookman Old Style" w:cs="Calibri"/>
                <w:b/>
                <w:bCs/>
                <w:sz w:val="12"/>
                <w:szCs w:val="12"/>
              </w:rPr>
              <w:t xml:space="preserve"> </w:t>
            </w:r>
          </w:p>
        </w:tc>
        <w:tc>
          <w:tcPr>
            <w:tcW w:w="1531" w:type="dxa"/>
            <w:shd w:val="clear" w:color="auto" w:fill="auto"/>
            <w:vAlign w:val="center"/>
          </w:tcPr>
          <w:p w14:paraId="7C4F2A0D" w14:textId="2C5A70EC" w:rsidR="00AC5C41" w:rsidRPr="008379CA" w:rsidRDefault="00AC5C41" w:rsidP="008922F3">
            <w:pPr>
              <w:ind w:left="-113"/>
              <w:jc w:val="right"/>
              <w:rPr>
                <w:rFonts w:ascii="Bookman Old Style" w:hAnsi="Bookman Old Style" w:cs="Calibri"/>
                <w:b/>
                <w:bCs/>
                <w:sz w:val="12"/>
                <w:szCs w:val="12"/>
                <w:lang w:val="en-US"/>
              </w:rPr>
            </w:pPr>
            <w:r w:rsidRPr="008379CA">
              <w:rPr>
                <w:rFonts w:ascii="Bookman Old Style" w:hAnsi="Bookman Old Style" w:cs="Calibri"/>
                <w:b/>
                <w:bCs/>
                <w:sz w:val="12"/>
                <w:szCs w:val="12"/>
              </w:rPr>
              <w:t>13.510.902.107</w:t>
            </w:r>
            <w:r w:rsidR="00E535D2" w:rsidRPr="008379CA">
              <w:rPr>
                <w:rFonts w:ascii="Bookman Old Style" w:hAnsi="Bookman Old Style" w:cs="Calibri"/>
                <w:b/>
                <w:bCs/>
                <w:sz w:val="12"/>
                <w:szCs w:val="12"/>
              </w:rPr>
              <w:t xml:space="preserve">,00  </w:t>
            </w:r>
            <w:r w:rsidR="00A954D0" w:rsidRPr="008379CA">
              <w:rPr>
                <w:rFonts w:ascii="Bookman Old Style" w:hAnsi="Bookman Old Style" w:cs="Calibri"/>
                <w:b/>
                <w:bCs/>
                <w:sz w:val="12"/>
                <w:szCs w:val="12"/>
              </w:rPr>
              <w:t xml:space="preserve"> </w:t>
            </w:r>
          </w:p>
        </w:tc>
        <w:tc>
          <w:tcPr>
            <w:tcW w:w="709" w:type="dxa"/>
            <w:shd w:val="clear" w:color="auto" w:fill="auto"/>
            <w:vAlign w:val="center"/>
          </w:tcPr>
          <w:p w14:paraId="040D2A4A" w14:textId="7BE905AA" w:rsidR="00AC5C41" w:rsidRPr="008379CA" w:rsidRDefault="00AC5C41" w:rsidP="005353EC">
            <w:pPr>
              <w:jc w:val="center"/>
              <w:rPr>
                <w:rFonts w:ascii="Bookman Old Style" w:hAnsi="Bookman Old Style" w:cs="Calibri"/>
                <w:b/>
                <w:bCs/>
                <w:sz w:val="12"/>
                <w:szCs w:val="12"/>
                <w:lang w:val="en-US"/>
              </w:rPr>
            </w:pPr>
            <w:r w:rsidRPr="008379CA">
              <w:rPr>
                <w:rFonts w:ascii="Bookman Old Style" w:hAnsi="Bookman Old Style" w:cs="Calibri"/>
                <w:b/>
                <w:bCs/>
                <w:sz w:val="12"/>
                <w:szCs w:val="12"/>
              </w:rPr>
              <w:t>34,76</w:t>
            </w:r>
          </w:p>
        </w:tc>
        <w:tc>
          <w:tcPr>
            <w:tcW w:w="1559" w:type="dxa"/>
            <w:shd w:val="clear" w:color="auto" w:fill="auto"/>
            <w:vAlign w:val="center"/>
          </w:tcPr>
          <w:p w14:paraId="081C0C36" w14:textId="386240BD" w:rsidR="00AC5C41" w:rsidRPr="008379CA" w:rsidRDefault="00AC5C41" w:rsidP="008922F3">
            <w:pPr>
              <w:ind w:left="-110"/>
              <w:jc w:val="right"/>
              <w:rPr>
                <w:rFonts w:ascii="Bookman Old Style" w:hAnsi="Bookman Old Style" w:cs="Calibri"/>
                <w:b/>
                <w:bCs/>
                <w:sz w:val="12"/>
                <w:szCs w:val="12"/>
                <w:lang w:val="en-US"/>
              </w:rPr>
            </w:pPr>
            <w:r w:rsidRPr="008379CA">
              <w:rPr>
                <w:rFonts w:ascii="Bookman Old Style" w:hAnsi="Bookman Old Style" w:cs="Calibri"/>
                <w:b/>
                <w:bCs/>
                <w:sz w:val="12"/>
                <w:szCs w:val="12"/>
              </w:rPr>
              <w:t>36.985.512.923</w:t>
            </w:r>
            <w:r w:rsidR="00E535D2" w:rsidRPr="008379CA">
              <w:rPr>
                <w:rFonts w:ascii="Bookman Old Style" w:hAnsi="Bookman Old Style" w:cs="Calibri"/>
                <w:b/>
                <w:bCs/>
                <w:sz w:val="12"/>
                <w:szCs w:val="12"/>
              </w:rPr>
              <w:t xml:space="preserve">,00  </w:t>
            </w:r>
            <w:r w:rsidR="00A954D0" w:rsidRPr="008379CA">
              <w:rPr>
                <w:rFonts w:ascii="Bookman Old Style" w:hAnsi="Bookman Old Style" w:cs="Calibri"/>
                <w:b/>
                <w:bCs/>
                <w:sz w:val="12"/>
                <w:szCs w:val="12"/>
              </w:rPr>
              <w:t xml:space="preserve"> </w:t>
            </w:r>
          </w:p>
        </w:tc>
        <w:tc>
          <w:tcPr>
            <w:tcW w:w="1559" w:type="dxa"/>
            <w:shd w:val="clear" w:color="auto" w:fill="auto"/>
            <w:vAlign w:val="center"/>
          </w:tcPr>
          <w:p w14:paraId="370D375A" w14:textId="39DDAF84" w:rsidR="00AC5C41" w:rsidRPr="008379CA" w:rsidRDefault="00AC5C41" w:rsidP="008922F3">
            <w:pPr>
              <w:ind w:left="-110"/>
              <w:jc w:val="right"/>
              <w:rPr>
                <w:rFonts w:ascii="Bookman Old Style" w:hAnsi="Bookman Old Style" w:cs="Calibri"/>
                <w:b/>
                <w:bCs/>
                <w:sz w:val="12"/>
                <w:szCs w:val="12"/>
                <w:lang w:val="en-US"/>
              </w:rPr>
            </w:pPr>
            <w:r w:rsidRPr="008379CA">
              <w:rPr>
                <w:rFonts w:ascii="Bookman Old Style" w:hAnsi="Bookman Old Style" w:cs="Calibri"/>
                <w:b/>
                <w:bCs/>
                <w:sz w:val="12"/>
                <w:szCs w:val="12"/>
              </w:rPr>
              <w:t>610.683.200</w:t>
            </w:r>
            <w:r w:rsidR="00E535D2" w:rsidRPr="008379CA">
              <w:rPr>
                <w:rFonts w:ascii="Bookman Old Style" w:hAnsi="Bookman Old Style" w:cs="Calibri"/>
                <w:b/>
                <w:bCs/>
                <w:sz w:val="12"/>
                <w:szCs w:val="12"/>
              </w:rPr>
              <w:t xml:space="preserve">,00  </w:t>
            </w:r>
            <w:r w:rsidR="00A954D0" w:rsidRPr="008379CA">
              <w:rPr>
                <w:rFonts w:ascii="Bookman Old Style" w:hAnsi="Bookman Old Style" w:cs="Calibri"/>
                <w:b/>
                <w:bCs/>
                <w:sz w:val="12"/>
                <w:szCs w:val="12"/>
              </w:rPr>
              <w:t xml:space="preserve"> </w:t>
            </w:r>
          </w:p>
        </w:tc>
        <w:tc>
          <w:tcPr>
            <w:tcW w:w="709" w:type="dxa"/>
            <w:shd w:val="clear" w:color="auto" w:fill="auto"/>
            <w:vAlign w:val="center"/>
          </w:tcPr>
          <w:p w14:paraId="11115954" w14:textId="7F15C986" w:rsidR="00AC5C41" w:rsidRPr="008379CA" w:rsidRDefault="00AC5C41" w:rsidP="005353EC">
            <w:pPr>
              <w:jc w:val="center"/>
              <w:rPr>
                <w:rFonts w:ascii="Bookman Old Style" w:hAnsi="Bookman Old Style" w:cs="Calibri"/>
                <w:b/>
                <w:bCs/>
                <w:sz w:val="12"/>
                <w:szCs w:val="12"/>
                <w:lang w:val="en-US"/>
              </w:rPr>
            </w:pPr>
            <w:r w:rsidRPr="008379CA">
              <w:rPr>
                <w:rFonts w:ascii="Bookman Old Style" w:hAnsi="Bookman Old Style" w:cs="Calibri"/>
                <w:b/>
                <w:bCs/>
                <w:sz w:val="12"/>
                <w:szCs w:val="12"/>
              </w:rPr>
              <w:t>1,65</w:t>
            </w:r>
          </w:p>
        </w:tc>
        <w:tc>
          <w:tcPr>
            <w:tcW w:w="1559" w:type="dxa"/>
            <w:shd w:val="clear" w:color="auto" w:fill="auto"/>
            <w:vAlign w:val="center"/>
          </w:tcPr>
          <w:p w14:paraId="619CB8FD" w14:textId="55F1D74E" w:rsidR="00AC5C41" w:rsidRPr="008379CA" w:rsidRDefault="00AC5C41" w:rsidP="008922F3">
            <w:pPr>
              <w:ind w:left="-106"/>
              <w:jc w:val="right"/>
              <w:rPr>
                <w:rFonts w:ascii="Bookman Old Style" w:hAnsi="Bookman Old Style" w:cs="Calibri"/>
                <w:b/>
                <w:bCs/>
                <w:sz w:val="12"/>
                <w:szCs w:val="12"/>
                <w:lang w:val="en-US"/>
              </w:rPr>
            </w:pPr>
            <w:r w:rsidRPr="008379CA">
              <w:rPr>
                <w:rFonts w:ascii="Bookman Old Style" w:hAnsi="Bookman Old Style" w:cs="Calibri"/>
                <w:b/>
                <w:bCs/>
                <w:sz w:val="12"/>
                <w:szCs w:val="12"/>
              </w:rPr>
              <w:t>12.367.392.361</w:t>
            </w:r>
            <w:r w:rsidR="00E535D2" w:rsidRPr="008379CA">
              <w:rPr>
                <w:rFonts w:ascii="Bookman Old Style" w:hAnsi="Bookman Old Style" w:cs="Calibri"/>
                <w:b/>
                <w:bCs/>
                <w:sz w:val="12"/>
                <w:szCs w:val="12"/>
              </w:rPr>
              <w:t xml:space="preserve">,00  </w:t>
            </w:r>
            <w:r w:rsidR="00A954D0" w:rsidRPr="008379CA">
              <w:rPr>
                <w:rFonts w:ascii="Bookman Old Style" w:hAnsi="Bookman Old Style" w:cs="Calibri"/>
                <w:b/>
                <w:bCs/>
                <w:sz w:val="12"/>
                <w:szCs w:val="12"/>
              </w:rPr>
              <w:t xml:space="preserve"> </w:t>
            </w:r>
          </w:p>
        </w:tc>
        <w:tc>
          <w:tcPr>
            <w:tcW w:w="1560" w:type="dxa"/>
            <w:shd w:val="clear" w:color="auto" w:fill="auto"/>
            <w:vAlign w:val="center"/>
          </w:tcPr>
          <w:p w14:paraId="5471BB11" w14:textId="5CFFB828" w:rsidR="00AC5C41" w:rsidRPr="008379CA" w:rsidRDefault="00AC5C41" w:rsidP="008922F3">
            <w:pPr>
              <w:ind w:left="-106"/>
              <w:jc w:val="right"/>
              <w:rPr>
                <w:rFonts w:ascii="Bookman Old Style" w:hAnsi="Bookman Old Style" w:cs="Calibri"/>
                <w:b/>
                <w:bCs/>
                <w:sz w:val="12"/>
                <w:szCs w:val="12"/>
                <w:lang w:val="en-US"/>
              </w:rPr>
            </w:pPr>
            <w:r w:rsidRPr="008379CA">
              <w:rPr>
                <w:rFonts w:ascii="Bookman Old Style" w:hAnsi="Bookman Old Style" w:cs="Calibri"/>
                <w:b/>
                <w:bCs/>
                <w:sz w:val="12"/>
                <w:szCs w:val="12"/>
              </w:rPr>
              <w:t>1.397.564.588</w:t>
            </w:r>
            <w:r w:rsidR="00E535D2" w:rsidRPr="008379CA">
              <w:rPr>
                <w:rFonts w:ascii="Bookman Old Style" w:hAnsi="Bookman Old Style" w:cs="Calibri"/>
                <w:b/>
                <w:bCs/>
                <w:sz w:val="12"/>
                <w:szCs w:val="12"/>
              </w:rPr>
              <w:t xml:space="preserve">,00  </w:t>
            </w:r>
            <w:r w:rsidR="00A954D0" w:rsidRPr="008379CA">
              <w:rPr>
                <w:rFonts w:ascii="Bookman Old Style" w:hAnsi="Bookman Old Style" w:cs="Calibri"/>
                <w:b/>
                <w:bCs/>
                <w:sz w:val="12"/>
                <w:szCs w:val="12"/>
              </w:rPr>
              <w:t xml:space="preserve"> </w:t>
            </w:r>
          </w:p>
        </w:tc>
        <w:tc>
          <w:tcPr>
            <w:tcW w:w="709" w:type="dxa"/>
            <w:shd w:val="clear" w:color="auto" w:fill="auto"/>
            <w:vAlign w:val="center"/>
          </w:tcPr>
          <w:p w14:paraId="2A22705E" w14:textId="7419FE2C" w:rsidR="00AC5C41" w:rsidRPr="008379CA" w:rsidRDefault="00AC5C41" w:rsidP="00AC5C41">
            <w:pPr>
              <w:jc w:val="center"/>
              <w:rPr>
                <w:rFonts w:ascii="Bookman Old Style" w:hAnsi="Bookman Old Style" w:cs="Calibri"/>
                <w:b/>
                <w:bCs/>
                <w:sz w:val="12"/>
                <w:szCs w:val="12"/>
                <w:lang w:val="en-US"/>
              </w:rPr>
            </w:pPr>
            <w:r w:rsidRPr="008379CA">
              <w:rPr>
                <w:rFonts w:ascii="Bookman Old Style" w:hAnsi="Bookman Old Style" w:cs="Calibri"/>
                <w:b/>
                <w:bCs/>
                <w:sz w:val="12"/>
                <w:szCs w:val="12"/>
              </w:rPr>
              <w:t>11,30</w:t>
            </w:r>
            <w:r w:rsidR="00A954D0" w:rsidRPr="008379CA">
              <w:rPr>
                <w:rFonts w:ascii="Bookman Old Style" w:hAnsi="Bookman Old Style" w:cs="Calibri"/>
                <w:b/>
                <w:bCs/>
                <w:sz w:val="12"/>
                <w:szCs w:val="12"/>
              </w:rPr>
              <w:t xml:space="preserve"> </w:t>
            </w:r>
          </w:p>
        </w:tc>
        <w:tc>
          <w:tcPr>
            <w:tcW w:w="1559" w:type="dxa"/>
            <w:shd w:val="clear" w:color="auto" w:fill="auto"/>
            <w:vAlign w:val="center"/>
          </w:tcPr>
          <w:p w14:paraId="71C63398" w14:textId="3455DCAD" w:rsidR="00AC5C41" w:rsidRPr="008379CA" w:rsidRDefault="00AC5C41" w:rsidP="008922F3">
            <w:pPr>
              <w:ind w:left="-102"/>
              <w:jc w:val="right"/>
              <w:rPr>
                <w:rFonts w:ascii="Bookman Old Style" w:hAnsi="Bookman Old Style" w:cs="Calibri"/>
                <w:b/>
                <w:bCs/>
                <w:sz w:val="12"/>
                <w:szCs w:val="12"/>
                <w:lang w:val="en-US"/>
              </w:rPr>
            </w:pPr>
            <w:r w:rsidRPr="008379CA">
              <w:rPr>
                <w:rFonts w:ascii="Bookman Old Style" w:hAnsi="Bookman Old Style" w:cs="Calibri"/>
                <w:b/>
                <w:bCs/>
                <w:sz w:val="12"/>
                <w:szCs w:val="12"/>
              </w:rPr>
              <w:t>27.814.693.294</w:t>
            </w:r>
            <w:r w:rsidR="00E535D2" w:rsidRPr="008379CA">
              <w:rPr>
                <w:rFonts w:ascii="Bookman Old Style" w:hAnsi="Bookman Old Style" w:cs="Calibri"/>
                <w:b/>
                <w:bCs/>
                <w:sz w:val="12"/>
                <w:szCs w:val="12"/>
              </w:rPr>
              <w:t xml:space="preserve">,00  </w:t>
            </w:r>
            <w:r w:rsidR="00A954D0" w:rsidRPr="008379CA">
              <w:rPr>
                <w:rFonts w:ascii="Bookman Old Style" w:hAnsi="Bookman Old Style" w:cs="Calibri"/>
                <w:b/>
                <w:bCs/>
                <w:sz w:val="12"/>
                <w:szCs w:val="12"/>
              </w:rPr>
              <w:t xml:space="preserve"> </w:t>
            </w:r>
          </w:p>
        </w:tc>
        <w:tc>
          <w:tcPr>
            <w:tcW w:w="850" w:type="dxa"/>
            <w:shd w:val="clear" w:color="auto" w:fill="auto"/>
            <w:vAlign w:val="center"/>
          </w:tcPr>
          <w:p w14:paraId="063D7CED" w14:textId="08E9BB18" w:rsidR="00AC5C41" w:rsidRPr="008379CA" w:rsidRDefault="00AC5C41" w:rsidP="004F6797">
            <w:pPr>
              <w:jc w:val="center"/>
              <w:rPr>
                <w:rFonts w:ascii="Bookman Old Style" w:hAnsi="Bookman Old Style" w:cs="Calibri"/>
                <w:bCs/>
                <w:sz w:val="12"/>
                <w:szCs w:val="12"/>
                <w:lang w:val="en-US"/>
              </w:rPr>
            </w:pPr>
            <w:r w:rsidRPr="008379CA">
              <w:rPr>
                <w:rFonts w:ascii="Bookman Old Style" w:hAnsi="Bookman Old Style" w:cs="Calibri"/>
                <w:b/>
                <w:bCs/>
                <w:sz w:val="12"/>
                <w:szCs w:val="12"/>
              </w:rPr>
              <w:t>(4,85)</w:t>
            </w:r>
          </w:p>
        </w:tc>
        <w:tc>
          <w:tcPr>
            <w:tcW w:w="850" w:type="dxa"/>
            <w:shd w:val="clear" w:color="auto" w:fill="auto"/>
            <w:vAlign w:val="center"/>
          </w:tcPr>
          <w:p w14:paraId="7FEE3B1A" w14:textId="70B5097F" w:rsidR="00AC5C41" w:rsidRPr="008379CA" w:rsidRDefault="00AC5C41" w:rsidP="004F6797">
            <w:pPr>
              <w:jc w:val="center"/>
              <w:rPr>
                <w:rFonts w:ascii="Bookman Old Style" w:hAnsi="Bookman Old Style" w:cs="Calibri"/>
                <w:bCs/>
                <w:sz w:val="12"/>
                <w:szCs w:val="12"/>
                <w:lang w:val="en-US"/>
              </w:rPr>
            </w:pPr>
            <w:r w:rsidRPr="008379CA">
              <w:rPr>
                <w:rFonts w:ascii="Bookman Old Style" w:hAnsi="Bookman Old Style" w:cs="Calibri"/>
                <w:b/>
                <w:bCs/>
                <w:sz w:val="12"/>
                <w:szCs w:val="12"/>
              </w:rPr>
              <w:t>(66,56)</w:t>
            </w:r>
          </w:p>
        </w:tc>
        <w:tc>
          <w:tcPr>
            <w:tcW w:w="992" w:type="dxa"/>
            <w:shd w:val="clear" w:color="auto" w:fill="auto"/>
            <w:vAlign w:val="center"/>
          </w:tcPr>
          <w:p w14:paraId="715E5EAF" w14:textId="0F7A2530" w:rsidR="00AC5C41" w:rsidRPr="008379CA" w:rsidRDefault="00AC5C41" w:rsidP="004F6797">
            <w:pPr>
              <w:jc w:val="center"/>
              <w:rPr>
                <w:rFonts w:ascii="Bookman Old Style" w:hAnsi="Bookman Old Style" w:cs="Calibri"/>
                <w:bCs/>
                <w:sz w:val="12"/>
                <w:szCs w:val="12"/>
                <w:lang w:val="en-US"/>
              </w:rPr>
            </w:pPr>
            <w:r w:rsidRPr="008379CA">
              <w:rPr>
                <w:rFonts w:ascii="Bookman Old Style" w:hAnsi="Bookman Old Style" w:cs="Calibri"/>
                <w:b/>
                <w:bCs/>
                <w:sz w:val="12"/>
                <w:szCs w:val="12"/>
              </w:rPr>
              <w:t>124,90</w:t>
            </w:r>
          </w:p>
        </w:tc>
        <w:tc>
          <w:tcPr>
            <w:tcW w:w="965" w:type="dxa"/>
            <w:shd w:val="clear" w:color="auto" w:fill="auto"/>
            <w:noWrap/>
            <w:vAlign w:val="center"/>
          </w:tcPr>
          <w:p w14:paraId="4C6364B9" w14:textId="539F4D82" w:rsidR="00AC5C41" w:rsidRPr="008379CA" w:rsidRDefault="00AC5C41" w:rsidP="004F6797">
            <w:pPr>
              <w:jc w:val="center"/>
              <w:rPr>
                <w:rFonts w:ascii="Bookman Old Style" w:hAnsi="Bookman Old Style" w:cs="Calibri"/>
                <w:b/>
                <w:bCs/>
                <w:sz w:val="12"/>
                <w:szCs w:val="12"/>
                <w:lang w:val="en-US"/>
              </w:rPr>
            </w:pPr>
            <w:r w:rsidRPr="008379CA">
              <w:rPr>
                <w:rFonts w:ascii="Bookman Old Style" w:hAnsi="Bookman Old Style" w:cs="Calibri"/>
                <w:b/>
                <w:bCs/>
                <w:sz w:val="12"/>
                <w:szCs w:val="12"/>
              </w:rPr>
              <w:t>17,83</w:t>
            </w:r>
          </w:p>
        </w:tc>
      </w:tr>
      <w:tr w:rsidR="008379CA" w:rsidRPr="008379CA" w14:paraId="5046979A" w14:textId="77777777" w:rsidTr="00600933">
        <w:trPr>
          <w:trHeight w:val="312"/>
        </w:trPr>
        <w:tc>
          <w:tcPr>
            <w:tcW w:w="1134" w:type="dxa"/>
            <w:shd w:val="clear" w:color="auto" w:fill="auto"/>
            <w:vAlign w:val="center"/>
          </w:tcPr>
          <w:p w14:paraId="7433D7C6" w14:textId="2A2C39B3" w:rsidR="00AC5C41" w:rsidRPr="008379CA" w:rsidRDefault="00AC5C41" w:rsidP="00AC5C41">
            <w:pPr>
              <w:jc w:val="both"/>
              <w:rPr>
                <w:rFonts w:ascii="Bookman Old Style" w:hAnsi="Bookman Old Style" w:cs="Calibri"/>
                <w:bCs/>
                <w:sz w:val="12"/>
                <w:szCs w:val="12"/>
                <w:lang w:val="en-US"/>
              </w:rPr>
            </w:pPr>
            <w:r w:rsidRPr="008379CA">
              <w:rPr>
                <w:rFonts w:ascii="Bookman Old Style" w:hAnsi="Bookman Old Style" w:cs="Calibri"/>
                <w:sz w:val="12"/>
                <w:szCs w:val="12"/>
              </w:rPr>
              <w:lastRenderedPageBreak/>
              <w:t>Belanja</w:t>
            </w:r>
            <w:r w:rsidR="00A954D0" w:rsidRPr="008379CA">
              <w:rPr>
                <w:rFonts w:ascii="Bookman Old Style" w:hAnsi="Bookman Old Style" w:cs="Calibri"/>
                <w:sz w:val="12"/>
                <w:szCs w:val="12"/>
              </w:rPr>
              <w:t xml:space="preserve"> </w:t>
            </w:r>
            <w:r w:rsidRPr="008379CA">
              <w:rPr>
                <w:rFonts w:ascii="Bookman Old Style" w:hAnsi="Bookman Old Style" w:cs="Calibri"/>
                <w:sz w:val="12"/>
                <w:szCs w:val="12"/>
              </w:rPr>
              <w:t>Tidak</w:t>
            </w:r>
            <w:r w:rsidR="00A954D0" w:rsidRPr="008379CA">
              <w:rPr>
                <w:rFonts w:ascii="Bookman Old Style" w:hAnsi="Bookman Old Style" w:cs="Calibri"/>
                <w:sz w:val="12"/>
                <w:szCs w:val="12"/>
              </w:rPr>
              <w:t xml:space="preserve"> </w:t>
            </w:r>
            <w:r w:rsidRPr="008379CA">
              <w:rPr>
                <w:rFonts w:ascii="Bookman Old Style" w:hAnsi="Bookman Old Style" w:cs="Calibri"/>
                <w:sz w:val="12"/>
                <w:szCs w:val="12"/>
              </w:rPr>
              <w:t>Terduga</w:t>
            </w:r>
          </w:p>
        </w:tc>
        <w:tc>
          <w:tcPr>
            <w:tcW w:w="1701" w:type="dxa"/>
            <w:shd w:val="clear" w:color="auto" w:fill="auto"/>
            <w:vAlign w:val="center"/>
          </w:tcPr>
          <w:p w14:paraId="03E9A9C4" w14:textId="3E3680C7" w:rsidR="00AC5C41" w:rsidRPr="008379CA" w:rsidRDefault="00AC5C41" w:rsidP="008922F3">
            <w:pPr>
              <w:ind w:left="-113"/>
              <w:jc w:val="right"/>
              <w:rPr>
                <w:rFonts w:ascii="Bookman Old Style" w:hAnsi="Bookman Old Style" w:cs="Calibri"/>
                <w:bCs/>
                <w:sz w:val="12"/>
                <w:szCs w:val="12"/>
                <w:lang w:val="en-US"/>
              </w:rPr>
            </w:pPr>
            <w:r w:rsidRPr="008379CA">
              <w:rPr>
                <w:rFonts w:ascii="Bookman Old Style" w:hAnsi="Bookman Old Style" w:cs="Calibri"/>
                <w:sz w:val="12"/>
                <w:szCs w:val="12"/>
              </w:rPr>
              <w:t>38.872.263.731</w:t>
            </w:r>
            <w:r w:rsidR="009A1AF7" w:rsidRPr="008379CA">
              <w:rPr>
                <w:rFonts w:ascii="Bookman Old Style" w:hAnsi="Bookman Old Style" w:cs="Calibri"/>
                <w:sz w:val="12"/>
                <w:szCs w:val="12"/>
              </w:rPr>
              <w:t>,00</w:t>
            </w:r>
            <w:r w:rsidR="009A1AF7" w:rsidRPr="008379CA">
              <w:rPr>
                <w:rFonts w:ascii="Bookman Old Style" w:hAnsi="Bookman Old Style" w:cs="Calibri"/>
                <w:b/>
                <w:bCs/>
                <w:sz w:val="12"/>
                <w:szCs w:val="12"/>
              </w:rPr>
              <w:t xml:space="preserve"> </w:t>
            </w:r>
            <w:r w:rsidR="009A1AF7"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1531" w:type="dxa"/>
            <w:shd w:val="clear" w:color="auto" w:fill="auto"/>
            <w:vAlign w:val="center"/>
          </w:tcPr>
          <w:p w14:paraId="362267CC" w14:textId="4BF72B4F" w:rsidR="00AC5C41" w:rsidRPr="008379CA" w:rsidRDefault="00AC5C41" w:rsidP="008922F3">
            <w:pPr>
              <w:ind w:left="-113"/>
              <w:jc w:val="right"/>
              <w:rPr>
                <w:rFonts w:ascii="Bookman Old Style" w:hAnsi="Bookman Old Style" w:cs="Calibri"/>
                <w:bCs/>
                <w:sz w:val="12"/>
                <w:szCs w:val="12"/>
                <w:lang w:val="en-US"/>
              </w:rPr>
            </w:pPr>
            <w:r w:rsidRPr="008379CA">
              <w:rPr>
                <w:rFonts w:ascii="Bookman Old Style" w:hAnsi="Bookman Old Style" w:cs="Calibri"/>
                <w:sz w:val="12"/>
                <w:szCs w:val="12"/>
              </w:rPr>
              <w:t>13.510.902.107</w:t>
            </w:r>
            <w:r w:rsidR="009A1AF7" w:rsidRPr="008379CA">
              <w:rPr>
                <w:rFonts w:ascii="Bookman Old Style" w:hAnsi="Bookman Old Style" w:cs="Calibri"/>
                <w:sz w:val="12"/>
                <w:szCs w:val="12"/>
              </w:rPr>
              <w:t>,00</w:t>
            </w:r>
            <w:r w:rsidR="009A1AF7" w:rsidRPr="008379CA">
              <w:rPr>
                <w:rFonts w:ascii="Bookman Old Style" w:hAnsi="Bookman Old Style" w:cs="Calibri"/>
                <w:b/>
                <w:bCs/>
                <w:sz w:val="12"/>
                <w:szCs w:val="12"/>
              </w:rPr>
              <w:t xml:space="preserve"> </w:t>
            </w:r>
            <w:r w:rsidR="009A1AF7"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709" w:type="dxa"/>
            <w:shd w:val="clear" w:color="auto" w:fill="auto"/>
            <w:vAlign w:val="center"/>
          </w:tcPr>
          <w:p w14:paraId="60F4BB4C" w14:textId="3A29A3BD" w:rsidR="00AC5C41" w:rsidRPr="008379CA" w:rsidRDefault="00AC5C41" w:rsidP="005353EC">
            <w:pPr>
              <w:jc w:val="center"/>
              <w:rPr>
                <w:rFonts w:ascii="Bookman Old Style" w:hAnsi="Bookman Old Style" w:cs="Calibri"/>
                <w:bCs/>
                <w:sz w:val="12"/>
                <w:szCs w:val="12"/>
                <w:lang w:val="en-US"/>
              </w:rPr>
            </w:pPr>
            <w:r w:rsidRPr="008379CA">
              <w:rPr>
                <w:rFonts w:ascii="Bookman Old Style" w:hAnsi="Bookman Old Style" w:cs="Calibri"/>
                <w:sz w:val="12"/>
                <w:szCs w:val="12"/>
              </w:rPr>
              <w:t>34,76</w:t>
            </w:r>
          </w:p>
        </w:tc>
        <w:tc>
          <w:tcPr>
            <w:tcW w:w="1559" w:type="dxa"/>
            <w:shd w:val="clear" w:color="auto" w:fill="auto"/>
            <w:vAlign w:val="center"/>
          </w:tcPr>
          <w:p w14:paraId="27C249AC" w14:textId="64454772" w:rsidR="00AC5C41" w:rsidRPr="008379CA" w:rsidRDefault="00AC5C41" w:rsidP="008922F3">
            <w:pPr>
              <w:ind w:left="-110"/>
              <w:jc w:val="right"/>
              <w:rPr>
                <w:rFonts w:ascii="Bookman Old Style" w:hAnsi="Bookman Old Style" w:cs="Calibri"/>
                <w:sz w:val="12"/>
                <w:szCs w:val="12"/>
                <w:lang w:val="en-US"/>
              </w:rPr>
            </w:pPr>
            <w:r w:rsidRPr="008379CA">
              <w:rPr>
                <w:rFonts w:ascii="Bookman Old Style" w:hAnsi="Bookman Old Style" w:cs="Calibri"/>
                <w:sz w:val="12"/>
                <w:szCs w:val="12"/>
              </w:rPr>
              <w:t>36.985.512.923</w:t>
            </w:r>
            <w:r w:rsidR="009A1AF7" w:rsidRPr="008379CA">
              <w:rPr>
                <w:rFonts w:ascii="Bookman Old Style" w:hAnsi="Bookman Old Style" w:cs="Calibri"/>
                <w:sz w:val="12"/>
                <w:szCs w:val="12"/>
              </w:rPr>
              <w:t>,00</w:t>
            </w:r>
            <w:r w:rsidR="009A1AF7" w:rsidRPr="008379CA">
              <w:rPr>
                <w:rFonts w:ascii="Bookman Old Style" w:hAnsi="Bookman Old Style" w:cs="Calibri"/>
                <w:b/>
                <w:bCs/>
                <w:sz w:val="12"/>
                <w:szCs w:val="12"/>
              </w:rPr>
              <w:t xml:space="preserve"> </w:t>
            </w:r>
            <w:r w:rsidR="009A1AF7"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1559" w:type="dxa"/>
            <w:shd w:val="clear" w:color="auto" w:fill="auto"/>
            <w:vAlign w:val="center"/>
          </w:tcPr>
          <w:p w14:paraId="63911703" w14:textId="50D2C0C5" w:rsidR="00AC5C41" w:rsidRPr="008379CA" w:rsidRDefault="00AC5C41" w:rsidP="008922F3">
            <w:pPr>
              <w:ind w:left="-110"/>
              <w:jc w:val="right"/>
              <w:rPr>
                <w:rFonts w:ascii="Bookman Old Style" w:hAnsi="Bookman Old Style" w:cs="Calibri"/>
                <w:sz w:val="12"/>
                <w:szCs w:val="12"/>
                <w:lang w:val="en-US"/>
              </w:rPr>
            </w:pPr>
            <w:r w:rsidRPr="008379CA">
              <w:rPr>
                <w:rFonts w:ascii="Bookman Old Style" w:hAnsi="Bookman Old Style" w:cs="Calibri"/>
                <w:sz w:val="12"/>
                <w:szCs w:val="12"/>
              </w:rPr>
              <w:t>610.683.200</w:t>
            </w:r>
            <w:r w:rsidR="009A1AF7" w:rsidRPr="008379CA">
              <w:rPr>
                <w:rFonts w:ascii="Bookman Old Style" w:hAnsi="Bookman Old Style" w:cs="Calibri"/>
                <w:sz w:val="12"/>
                <w:szCs w:val="12"/>
              </w:rPr>
              <w:t>,00</w:t>
            </w:r>
            <w:r w:rsidR="009A1AF7" w:rsidRPr="008379CA">
              <w:rPr>
                <w:rFonts w:ascii="Bookman Old Style" w:hAnsi="Bookman Old Style" w:cs="Calibri"/>
                <w:b/>
                <w:bCs/>
                <w:sz w:val="12"/>
                <w:szCs w:val="12"/>
              </w:rPr>
              <w:t xml:space="preserve"> </w:t>
            </w:r>
            <w:r w:rsidR="009A1AF7"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709" w:type="dxa"/>
            <w:shd w:val="clear" w:color="auto" w:fill="auto"/>
            <w:vAlign w:val="center"/>
          </w:tcPr>
          <w:p w14:paraId="502CAB86" w14:textId="01E12460" w:rsidR="00AC5C41" w:rsidRPr="008379CA" w:rsidRDefault="00AC5C41" w:rsidP="005353EC">
            <w:pPr>
              <w:jc w:val="center"/>
              <w:rPr>
                <w:rFonts w:ascii="Bookman Old Style" w:hAnsi="Bookman Old Style" w:cs="Calibri"/>
                <w:sz w:val="12"/>
                <w:szCs w:val="12"/>
                <w:lang w:val="en-US"/>
              </w:rPr>
            </w:pPr>
            <w:r w:rsidRPr="008379CA">
              <w:rPr>
                <w:rFonts w:ascii="Bookman Old Style" w:hAnsi="Bookman Old Style" w:cs="Calibri"/>
                <w:sz w:val="12"/>
                <w:szCs w:val="12"/>
              </w:rPr>
              <w:t>1,65</w:t>
            </w:r>
          </w:p>
        </w:tc>
        <w:tc>
          <w:tcPr>
            <w:tcW w:w="1559" w:type="dxa"/>
            <w:shd w:val="clear" w:color="auto" w:fill="auto"/>
            <w:vAlign w:val="center"/>
          </w:tcPr>
          <w:p w14:paraId="5CBD20EC" w14:textId="403A3609" w:rsidR="00AC5C41" w:rsidRPr="008379CA" w:rsidRDefault="00AC5C41" w:rsidP="008922F3">
            <w:pPr>
              <w:ind w:left="-106"/>
              <w:jc w:val="right"/>
              <w:rPr>
                <w:rFonts w:ascii="Bookman Old Style" w:hAnsi="Bookman Old Style" w:cs="Calibri"/>
                <w:bCs/>
                <w:sz w:val="12"/>
                <w:szCs w:val="12"/>
                <w:lang w:val="en-US"/>
              </w:rPr>
            </w:pPr>
            <w:r w:rsidRPr="008379CA">
              <w:rPr>
                <w:rFonts w:ascii="Bookman Old Style" w:hAnsi="Bookman Old Style" w:cs="Calibri"/>
                <w:sz w:val="12"/>
                <w:szCs w:val="12"/>
              </w:rPr>
              <w:t>12.367.392.361</w:t>
            </w:r>
            <w:r w:rsidR="009A1AF7" w:rsidRPr="008379CA">
              <w:rPr>
                <w:rFonts w:ascii="Bookman Old Style" w:hAnsi="Bookman Old Style" w:cs="Calibri"/>
                <w:sz w:val="12"/>
                <w:szCs w:val="12"/>
              </w:rPr>
              <w:t>,00</w:t>
            </w:r>
            <w:r w:rsidR="009A1AF7" w:rsidRPr="008379CA">
              <w:rPr>
                <w:rFonts w:ascii="Bookman Old Style" w:hAnsi="Bookman Old Style" w:cs="Calibri"/>
                <w:b/>
                <w:bCs/>
                <w:sz w:val="12"/>
                <w:szCs w:val="12"/>
              </w:rPr>
              <w:t xml:space="preserve"> </w:t>
            </w:r>
            <w:r w:rsidR="009A1AF7"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1560" w:type="dxa"/>
            <w:shd w:val="clear" w:color="auto" w:fill="auto"/>
            <w:vAlign w:val="center"/>
          </w:tcPr>
          <w:p w14:paraId="5EA4F77E" w14:textId="1437C366" w:rsidR="00AC5C41" w:rsidRPr="008379CA" w:rsidRDefault="00AC5C41" w:rsidP="008922F3">
            <w:pPr>
              <w:ind w:left="-106"/>
              <w:jc w:val="right"/>
              <w:rPr>
                <w:rFonts w:ascii="Bookman Old Style" w:hAnsi="Bookman Old Style" w:cs="Calibri"/>
                <w:bCs/>
                <w:sz w:val="12"/>
                <w:szCs w:val="12"/>
                <w:lang w:val="en-US"/>
              </w:rPr>
            </w:pPr>
            <w:r w:rsidRPr="008379CA">
              <w:rPr>
                <w:rFonts w:ascii="Bookman Old Style" w:hAnsi="Bookman Old Style" w:cs="Calibri"/>
                <w:sz w:val="12"/>
                <w:szCs w:val="12"/>
              </w:rPr>
              <w:t>1.397.564.588</w:t>
            </w:r>
            <w:r w:rsidR="009A1AF7" w:rsidRPr="008379CA">
              <w:rPr>
                <w:rFonts w:ascii="Bookman Old Style" w:hAnsi="Bookman Old Style" w:cs="Calibri"/>
                <w:sz w:val="12"/>
                <w:szCs w:val="12"/>
              </w:rPr>
              <w:t>,00</w:t>
            </w:r>
            <w:r w:rsidR="009A1AF7" w:rsidRPr="008379CA">
              <w:rPr>
                <w:rFonts w:ascii="Bookman Old Style" w:hAnsi="Bookman Old Style" w:cs="Calibri"/>
                <w:b/>
                <w:bCs/>
                <w:sz w:val="12"/>
                <w:szCs w:val="12"/>
              </w:rPr>
              <w:t xml:space="preserve"> </w:t>
            </w:r>
            <w:r w:rsidR="009A1AF7"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709" w:type="dxa"/>
            <w:shd w:val="clear" w:color="auto" w:fill="auto"/>
            <w:vAlign w:val="center"/>
          </w:tcPr>
          <w:p w14:paraId="79B77CFA" w14:textId="52746A3B" w:rsidR="00AC5C41" w:rsidRPr="008379CA" w:rsidRDefault="00AC5C41" w:rsidP="00AC5C41">
            <w:pPr>
              <w:jc w:val="center"/>
              <w:rPr>
                <w:rFonts w:ascii="Bookman Old Style" w:hAnsi="Bookman Old Style" w:cs="Calibri"/>
                <w:bCs/>
                <w:sz w:val="12"/>
                <w:szCs w:val="12"/>
                <w:lang w:val="en-US"/>
              </w:rPr>
            </w:pPr>
            <w:r w:rsidRPr="008379CA">
              <w:rPr>
                <w:rFonts w:ascii="Bookman Old Style" w:hAnsi="Bookman Old Style" w:cs="Calibri"/>
                <w:sz w:val="12"/>
                <w:szCs w:val="12"/>
              </w:rPr>
              <w:t>11,30</w:t>
            </w:r>
            <w:r w:rsidR="00A954D0" w:rsidRPr="008379CA">
              <w:rPr>
                <w:rFonts w:ascii="Bookman Old Style" w:hAnsi="Bookman Old Style" w:cs="Calibri"/>
                <w:sz w:val="12"/>
                <w:szCs w:val="12"/>
              </w:rPr>
              <w:t xml:space="preserve"> </w:t>
            </w:r>
          </w:p>
        </w:tc>
        <w:tc>
          <w:tcPr>
            <w:tcW w:w="1559" w:type="dxa"/>
            <w:shd w:val="clear" w:color="auto" w:fill="auto"/>
            <w:vAlign w:val="center"/>
          </w:tcPr>
          <w:p w14:paraId="787E9E7F" w14:textId="3A4FE883" w:rsidR="00AC5C41" w:rsidRPr="008379CA" w:rsidRDefault="00AC5C41" w:rsidP="008922F3">
            <w:pPr>
              <w:ind w:left="-102"/>
              <w:jc w:val="right"/>
              <w:rPr>
                <w:rFonts w:ascii="Bookman Old Style" w:hAnsi="Bookman Old Style" w:cs="Calibri"/>
                <w:b/>
                <w:bCs/>
                <w:sz w:val="12"/>
                <w:szCs w:val="12"/>
                <w:lang w:val="en-US"/>
              </w:rPr>
            </w:pPr>
            <w:r w:rsidRPr="008379CA">
              <w:rPr>
                <w:rFonts w:ascii="Bookman Old Style" w:hAnsi="Bookman Old Style" w:cs="Calibri"/>
                <w:sz w:val="12"/>
                <w:szCs w:val="12"/>
              </w:rPr>
              <w:t>27.814.693.294</w:t>
            </w:r>
            <w:r w:rsidR="009A1AF7" w:rsidRPr="008379CA">
              <w:rPr>
                <w:rFonts w:ascii="Bookman Old Style" w:hAnsi="Bookman Old Style" w:cs="Calibri"/>
                <w:sz w:val="12"/>
                <w:szCs w:val="12"/>
              </w:rPr>
              <w:t>,00</w:t>
            </w:r>
            <w:r w:rsidR="009A1AF7" w:rsidRPr="008379CA">
              <w:rPr>
                <w:rFonts w:ascii="Bookman Old Style" w:hAnsi="Bookman Old Style" w:cs="Calibri"/>
                <w:b/>
                <w:bCs/>
                <w:sz w:val="12"/>
                <w:szCs w:val="12"/>
              </w:rPr>
              <w:t xml:space="preserve"> </w:t>
            </w:r>
            <w:r w:rsidR="009A1AF7" w:rsidRPr="008379CA">
              <w:rPr>
                <w:rFonts w:ascii="Bookman Old Style" w:hAnsi="Bookman Old Style" w:cs="Calibri"/>
                <w:sz w:val="12"/>
                <w:szCs w:val="12"/>
              </w:rPr>
              <w:t xml:space="preserve"> </w:t>
            </w:r>
            <w:r w:rsidR="00A954D0" w:rsidRPr="008379CA">
              <w:rPr>
                <w:rFonts w:ascii="Bookman Old Style" w:hAnsi="Bookman Old Style" w:cs="Calibri"/>
                <w:sz w:val="12"/>
                <w:szCs w:val="12"/>
              </w:rPr>
              <w:t xml:space="preserve"> </w:t>
            </w:r>
          </w:p>
        </w:tc>
        <w:tc>
          <w:tcPr>
            <w:tcW w:w="850" w:type="dxa"/>
            <w:shd w:val="clear" w:color="auto" w:fill="auto"/>
            <w:vAlign w:val="center"/>
          </w:tcPr>
          <w:p w14:paraId="0F428BB8" w14:textId="303B6ADA"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(4,85)</w:t>
            </w:r>
          </w:p>
        </w:tc>
        <w:tc>
          <w:tcPr>
            <w:tcW w:w="850" w:type="dxa"/>
            <w:shd w:val="clear" w:color="auto" w:fill="auto"/>
            <w:vAlign w:val="center"/>
          </w:tcPr>
          <w:p w14:paraId="06F6BFEE" w14:textId="0A8C007E"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(66,56)</w:t>
            </w:r>
          </w:p>
        </w:tc>
        <w:tc>
          <w:tcPr>
            <w:tcW w:w="992" w:type="dxa"/>
            <w:shd w:val="clear" w:color="auto" w:fill="auto"/>
            <w:vAlign w:val="center"/>
          </w:tcPr>
          <w:p w14:paraId="432DB5C6" w14:textId="4B8233F0"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124,90</w:t>
            </w:r>
          </w:p>
        </w:tc>
        <w:tc>
          <w:tcPr>
            <w:tcW w:w="965" w:type="dxa"/>
            <w:shd w:val="clear" w:color="auto" w:fill="auto"/>
            <w:noWrap/>
            <w:vAlign w:val="center"/>
          </w:tcPr>
          <w:p w14:paraId="4BA33C21" w14:textId="2F1E6852" w:rsidR="00AC5C41" w:rsidRPr="008379CA" w:rsidRDefault="00AC5C41" w:rsidP="004F6797">
            <w:pPr>
              <w:jc w:val="center"/>
              <w:rPr>
                <w:rFonts w:ascii="Bookman Old Style" w:hAnsi="Bookman Old Style" w:cs="Calibri"/>
                <w:sz w:val="12"/>
                <w:szCs w:val="12"/>
                <w:lang w:val="en-US"/>
              </w:rPr>
            </w:pPr>
            <w:r w:rsidRPr="008379CA">
              <w:rPr>
                <w:rFonts w:ascii="Bookman Old Style" w:hAnsi="Bookman Old Style" w:cs="Calibri"/>
                <w:sz w:val="12"/>
                <w:szCs w:val="12"/>
              </w:rPr>
              <w:t>17,83</w:t>
            </w:r>
          </w:p>
        </w:tc>
      </w:tr>
      <w:tr w:rsidR="008379CA" w:rsidRPr="008379CA" w14:paraId="7BD92A41" w14:textId="77777777" w:rsidTr="00600933">
        <w:trPr>
          <w:trHeight w:val="312"/>
        </w:trPr>
        <w:tc>
          <w:tcPr>
            <w:tcW w:w="1134" w:type="dxa"/>
            <w:shd w:val="clear" w:color="auto" w:fill="auto"/>
            <w:vAlign w:val="center"/>
          </w:tcPr>
          <w:p w14:paraId="3F32D213" w14:textId="409725AF" w:rsidR="0047356A" w:rsidRPr="008379CA" w:rsidRDefault="0047356A" w:rsidP="0047356A">
            <w:pPr>
              <w:jc w:val="both"/>
              <w:rPr>
                <w:rFonts w:ascii="Bookman Old Style" w:hAnsi="Bookman Old Style" w:cs="Calibri"/>
                <w:bCs/>
                <w:sz w:val="12"/>
                <w:szCs w:val="12"/>
                <w:lang w:val="en-US"/>
              </w:rPr>
            </w:pPr>
            <w:r w:rsidRPr="008379CA">
              <w:rPr>
                <w:rFonts w:ascii="Bookman Old Style" w:hAnsi="Bookman Old Style" w:cs="Calibri"/>
                <w:b/>
                <w:bCs/>
                <w:sz w:val="12"/>
                <w:szCs w:val="12"/>
              </w:rPr>
              <w:t>Belanja</w:t>
            </w:r>
            <w:r w:rsidR="00A954D0" w:rsidRPr="008379CA">
              <w:rPr>
                <w:rFonts w:ascii="Bookman Old Style" w:hAnsi="Bookman Old Style" w:cs="Calibri"/>
                <w:b/>
                <w:bCs/>
                <w:sz w:val="12"/>
                <w:szCs w:val="12"/>
              </w:rPr>
              <w:t xml:space="preserve"> </w:t>
            </w:r>
            <w:r w:rsidRPr="008379CA">
              <w:rPr>
                <w:rFonts w:ascii="Bookman Old Style" w:hAnsi="Bookman Old Style" w:cs="Calibri"/>
                <w:b/>
                <w:bCs/>
                <w:sz w:val="12"/>
                <w:szCs w:val="12"/>
              </w:rPr>
              <w:t>Transfer</w:t>
            </w:r>
          </w:p>
        </w:tc>
        <w:tc>
          <w:tcPr>
            <w:tcW w:w="1701" w:type="dxa"/>
            <w:shd w:val="clear" w:color="auto" w:fill="auto"/>
            <w:vAlign w:val="center"/>
          </w:tcPr>
          <w:p w14:paraId="1BB208A8" w14:textId="74237A1C" w:rsidR="0047356A" w:rsidRPr="008379CA" w:rsidRDefault="004F6797" w:rsidP="008922F3">
            <w:pPr>
              <w:ind w:left="-113"/>
              <w:jc w:val="right"/>
              <w:rPr>
                <w:rFonts w:ascii="Bookman Old Style" w:hAnsi="Bookman Old Style" w:cs="Calibri"/>
                <w:b/>
                <w:sz w:val="12"/>
                <w:szCs w:val="12"/>
                <w:lang w:val="en-US"/>
              </w:rPr>
            </w:pPr>
            <w:r w:rsidRPr="008379CA">
              <w:rPr>
                <w:rFonts w:ascii="Bookman Old Style" w:hAnsi="Bookman Old Style" w:cs="Calibri"/>
                <w:b/>
                <w:sz w:val="12"/>
                <w:szCs w:val="12"/>
                <w:lang w:val="en-US"/>
              </w:rPr>
              <w:t>-</w:t>
            </w:r>
          </w:p>
        </w:tc>
        <w:tc>
          <w:tcPr>
            <w:tcW w:w="1531" w:type="dxa"/>
            <w:shd w:val="clear" w:color="auto" w:fill="auto"/>
            <w:vAlign w:val="center"/>
          </w:tcPr>
          <w:p w14:paraId="1802E223" w14:textId="6C19DCC3" w:rsidR="0047356A" w:rsidRPr="008379CA" w:rsidRDefault="004F6797" w:rsidP="008922F3">
            <w:pPr>
              <w:ind w:left="-113"/>
              <w:jc w:val="right"/>
              <w:rPr>
                <w:rFonts w:ascii="Bookman Old Style" w:hAnsi="Bookman Old Style" w:cs="Calibri"/>
                <w:b/>
                <w:sz w:val="12"/>
                <w:szCs w:val="12"/>
                <w:lang w:val="en-US"/>
              </w:rPr>
            </w:pPr>
            <w:r w:rsidRPr="008379CA">
              <w:rPr>
                <w:rFonts w:ascii="Bookman Old Style" w:hAnsi="Bookman Old Style" w:cs="Calibri"/>
                <w:b/>
                <w:sz w:val="12"/>
                <w:szCs w:val="12"/>
                <w:lang w:val="en-US"/>
              </w:rPr>
              <w:t>-</w:t>
            </w:r>
          </w:p>
        </w:tc>
        <w:tc>
          <w:tcPr>
            <w:tcW w:w="709" w:type="dxa"/>
            <w:shd w:val="clear" w:color="auto" w:fill="auto"/>
            <w:vAlign w:val="center"/>
          </w:tcPr>
          <w:p w14:paraId="41AA08AB" w14:textId="59C2E6AC" w:rsidR="0047356A" w:rsidRPr="008379CA" w:rsidRDefault="004F6797" w:rsidP="005353EC">
            <w:pPr>
              <w:jc w:val="center"/>
              <w:rPr>
                <w:rFonts w:ascii="Bookman Old Style" w:hAnsi="Bookman Old Style" w:cs="Calibri"/>
                <w:b/>
                <w:sz w:val="12"/>
                <w:szCs w:val="12"/>
                <w:lang w:val="en-US"/>
              </w:rPr>
            </w:pPr>
            <w:r w:rsidRPr="008379CA">
              <w:rPr>
                <w:rFonts w:ascii="Bookman Old Style" w:hAnsi="Bookman Old Style" w:cs="Calibri"/>
                <w:b/>
                <w:sz w:val="12"/>
                <w:szCs w:val="12"/>
                <w:lang w:val="en-US"/>
              </w:rPr>
              <w:t>-</w:t>
            </w:r>
          </w:p>
        </w:tc>
        <w:tc>
          <w:tcPr>
            <w:tcW w:w="1559" w:type="dxa"/>
            <w:shd w:val="clear" w:color="auto" w:fill="auto"/>
            <w:vAlign w:val="center"/>
          </w:tcPr>
          <w:p w14:paraId="331B6B8D" w14:textId="2E4DF9F4" w:rsidR="0047356A" w:rsidRPr="008379CA" w:rsidRDefault="004F6797" w:rsidP="008922F3">
            <w:pPr>
              <w:ind w:left="-110"/>
              <w:jc w:val="right"/>
              <w:rPr>
                <w:rFonts w:ascii="Bookman Old Style" w:hAnsi="Bookman Old Style" w:cs="Calibri"/>
                <w:bCs/>
                <w:sz w:val="12"/>
                <w:szCs w:val="12"/>
                <w:lang w:val="en-US"/>
              </w:rPr>
            </w:pPr>
            <w:r w:rsidRPr="008379CA">
              <w:rPr>
                <w:rFonts w:ascii="Bookman Old Style" w:hAnsi="Bookman Old Style" w:cs="Calibri"/>
                <w:b/>
                <w:sz w:val="12"/>
                <w:szCs w:val="12"/>
                <w:lang w:val="en-US"/>
              </w:rPr>
              <w:t>-</w:t>
            </w:r>
          </w:p>
        </w:tc>
        <w:tc>
          <w:tcPr>
            <w:tcW w:w="1559" w:type="dxa"/>
            <w:shd w:val="clear" w:color="auto" w:fill="auto"/>
            <w:vAlign w:val="center"/>
          </w:tcPr>
          <w:p w14:paraId="3DF9DB7C" w14:textId="001C5A11" w:rsidR="0047356A" w:rsidRPr="008379CA" w:rsidRDefault="004F6797" w:rsidP="008922F3">
            <w:pPr>
              <w:ind w:left="-110"/>
              <w:jc w:val="right"/>
              <w:rPr>
                <w:rFonts w:ascii="Bookman Old Style" w:hAnsi="Bookman Old Style" w:cs="Calibri"/>
                <w:bCs/>
                <w:sz w:val="12"/>
                <w:szCs w:val="12"/>
                <w:lang w:val="en-US"/>
              </w:rPr>
            </w:pPr>
            <w:r w:rsidRPr="008379CA">
              <w:rPr>
                <w:rFonts w:ascii="Bookman Old Style" w:hAnsi="Bookman Old Style" w:cs="Calibri"/>
                <w:b/>
                <w:sz w:val="12"/>
                <w:szCs w:val="12"/>
                <w:lang w:val="en-US"/>
              </w:rPr>
              <w:t>-</w:t>
            </w:r>
          </w:p>
        </w:tc>
        <w:tc>
          <w:tcPr>
            <w:tcW w:w="709" w:type="dxa"/>
            <w:shd w:val="clear" w:color="auto" w:fill="auto"/>
            <w:vAlign w:val="center"/>
          </w:tcPr>
          <w:p w14:paraId="35660707" w14:textId="5A7436BB" w:rsidR="0047356A" w:rsidRPr="008379CA" w:rsidRDefault="004F6797" w:rsidP="005353EC">
            <w:pPr>
              <w:jc w:val="center"/>
              <w:rPr>
                <w:rFonts w:ascii="Bookman Old Style" w:hAnsi="Bookman Old Style" w:cs="Calibri"/>
                <w:bCs/>
                <w:sz w:val="12"/>
                <w:szCs w:val="12"/>
                <w:lang w:val="en-US"/>
              </w:rPr>
            </w:pPr>
            <w:r w:rsidRPr="008379CA">
              <w:rPr>
                <w:rFonts w:ascii="Bookman Old Style" w:hAnsi="Bookman Old Style" w:cs="Calibri"/>
                <w:b/>
                <w:bCs/>
                <w:sz w:val="12"/>
                <w:szCs w:val="12"/>
              </w:rPr>
              <w:t>-</w:t>
            </w:r>
          </w:p>
        </w:tc>
        <w:tc>
          <w:tcPr>
            <w:tcW w:w="1559" w:type="dxa"/>
            <w:shd w:val="clear" w:color="auto" w:fill="auto"/>
            <w:vAlign w:val="center"/>
          </w:tcPr>
          <w:p w14:paraId="26286F5C" w14:textId="27115165" w:rsidR="0047356A" w:rsidRPr="008379CA" w:rsidRDefault="004F6797" w:rsidP="008922F3">
            <w:pPr>
              <w:ind w:left="-106"/>
              <w:jc w:val="right"/>
              <w:rPr>
                <w:rFonts w:ascii="Bookman Old Style" w:hAnsi="Bookman Old Style" w:cs="Calibri"/>
                <w:b/>
                <w:bCs/>
                <w:sz w:val="12"/>
                <w:szCs w:val="12"/>
                <w:lang w:val="en-US"/>
              </w:rPr>
            </w:pPr>
            <w:r w:rsidRPr="008379CA">
              <w:rPr>
                <w:rFonts w:ascii="Bookman Old Style" w:hAnsi="Bookman Old Style" w:cs="Calibri"/>
                <w:b/>
                <w:sz w:val="12"/>
                <w:szCs w:val="12"/>
                <w:lang w:val="en-US"/>
              </w:rPr>
              <w:t>-</w:t>
            </w:r>
          </w:p>
        </w:tc>
        <w:tc>
          <w:tcPr>
            <w:tcW w:w="1560" w:type="dxa"/>
            <w:shd w:val="clear" w:color="auto" w:fill="auto"/>
            <w:vAlign w:val="center"/>
          </w:tcPr>
          <w:p w14:paraId="7844F1C3" w14:textId="7C7BC1B8" w:rsidR="0047356A" w:rsidRPr="008379CA" w:rsidRDefault="004F6797" w:rsidP="008922F3">
            <w:pPr>
              <w:ind w:left="-106"/>
              <w:jc w:val="right"/>
              <w:rPr>
                <w:rFonts w:ascii="Bookman Old Style" w:hAnsi="Bookman Old Style" w:cs="Calibri"/>
                <w:b/>
                <w:bCs/>
                <w:sz w:val="12"/>
                <w:szCs w:val="12"/>
                <w:lang w:val="en-US"/>
              </w:rPr>
            </w:pPr>
            <w:r w:rsidRPr="008379CA">
              <w:rPr>
                <w:rFonts w:ascii="Bookman Old Style" w:hAnsi="Bookman Old Style" w:cs="Calibri"/>
                <w:b/>
                <w:sz w:val="12"/>
                <w:szCs w:val="12"/>
                <w:lang w:val="en-US"/>
              </w:rPr>
              <w:t>-</w:t>
            </w:r>
          </w:p>
        </w:tc>
        <w:tc>
          <w:tcPr>
            <w:tcW w:w="709" w:type="dxa"/>
            <w:shd w:val="clear" w:color="auto" w:fill="auto"/>
            <w:vAlign w:val="center"/>
          </w:tcPr>
          <w:p w14:paraId="07FBC1C6" w14:textId="15D8AA0B" w:rsidR="0047356A" w:rsidRPr="008379CA" w:rsidRDefault="004F6797" w:rsidP="0047356A">
            <w:pPr>
              <w:jc w:val="center"/>
              <w:rPr>
                <w:rFonts w:ascii="Bookman Old Style" w:hAnsi="Bookman Old Style" w:cs="Calibri"/>
                <w:b/>
                <w:bCs/>
                <w:sz w:val="12"/>
                <w:szCs w:val="12"/>
                <w:lang w:val="en-US"/>
              </w:rPr>
            </w:pPr>
            <w:r w:rsidRPr="008379CA">
              <w:rPr>
                <w:rFonts w:ascii="Bookman Old Style" w:hAnsi="Bookman Old Style" w:cs="Calibri"/>
                <w:b/>
                <w:bCs/>
                <w:sz w:val="12"/>
                <w:szCs w:val="12"/>
              </w:rPr>
              <w:t>-</w:t>
            </w:r>
          </w:p>
        </w:tc>
        <w:tc>
          <w:tcPr>
            <w:tcW w:w="1559" w:type="dxa"/>
            <w:vAlign w:val="center"/>
          </w:tcPr>
          <w:p w14:paraId="2FA669CC" w14:textId="054FC9EE" w:rsidR="0047356A" w:rsidRPr="008379CA" w:rsidRDefault="004F6797" w:rsidP="008922F3">
            <w:pPr>
              <w:ind w:left="-102"/>
              <w:jc w:val="right"/>
              <w:rPr>
                <w:rFonts w:ascii="Bookman Old Style" w:hAnsi="Bookman Old Style" w:cs="Calibri"/>
                <w:b/>
                <w:bCs/>
                <w:sz w:val="12"/>
                <w:szCs w:val="12"/>
                <w:lang w:val="en-US"/>
              </w:rPr>
            </w:pPr>
            <w:r w:rsidRPr="008379CA">
              <w:rPr>
                <w:rFonts w:ascii="Bookman Old Style" w:hAnsi="Bookman Old Style" w:cs="Calibri"/>
                <w:b/>
                <w:sz w:val="12"/>
                <w:szCs w:val="12"/>
                <w:lang w:val="en-US"/>
              </w:rPr>
              <w:t>-</w:t>
            </w:r>
          </w:p>
        </w:tc>
        <w:tc>
          <w:tcPr>
            <w:tcW w:w="850" w:type="dxa"/>
            <w:shd w:val="clear" w:color="auto" w:fill="auto"/>
            <w:vAlign w:val="center"/>
          </w:tcPr>
          <w:p w14:paraId="60458D30" w14:textId="1D6C2590" w:rsidR="0047356A" w:rsidRPr="008379CA" w:rsidRDefault="004F6797" w:rsidP="004F6797">
            <w:pPr>
              <w:jc w:val="center"/>
              <w:rPr>
                <w:rFonts w:ascii="Bookman Old Style" w:hAnsi="Bookman Old Style" w:cs="Calibri"/>
                <w:bCs/>
                <w:sz w:val="12"/>
                <w:szCs w:val="12"/>
                <w:lang w:val="en-US"/>
              </w:rPr>
            </w:pPr>
            <w:r w:rsidRPr="008379CA">
              <w:rPr>
                <w:rFonts w:ascii="Bookman Old Style" w:hAnsi="Bookman Old Style" w:cs="Calibri"/>
                <w:b/>
                <w:bCs/>
                <w:sz w:val="12"/>
                <w:szCs w:val="12"/>
              </w:rPr>
              <w:t>-</w:t>
            </w:r>
          </w:p>
        </w:tc>
        <w:tc>
          <w:tcPr>
            <w:tcW w:w="850" w:type="dxa"/>
            <w:shd w:val="clear" w:color="auto" w:fill="auto"/>
            <w:vAlign w:val="center"/>
          </w:tcPr>
          <w:p w14:paraId="6746567B" w14:textId="1D42A271" w:rsidR="0047356A" w:rsidRPr="008379CA" w:rsidRDefault="004F6797" w:rsidP="004F6797">
            <w:pPr>
              <w:jc w:val="center"/>
              <w:rPr>
                <w:rFonts w:ascii="Bookman Old Style" w:hAnsi="Bookman Old Style" w:cs="Calibri"/>
                <w:bCs/>
                <w:sz w:val="12"/>
                <w:szCs w:val="12"/>
                <w:lang w:val="en-US"/>
              </w:rPr>
            </w:pPr>
            <w:r w:rsidRPr="008379CA">
              <w:rPr>
                <w:rFonts w:ascii="Bookman Old Style" w:hAnsi="Bookman Old Style" w:cs="Calibri"/>
                <w:b/>
                <w:bCs/>
                <w:sz w:val="12"/>
                <w:szCs w:val="12"/>
              </w:rPr>
              <w:t>-</w:t>
            </w:r>
          </w:p>
        </w:tc>
        <w:tc>
          <w:tcPr>
            <w:tcW w:w="992" w:type="dxa"/>
            <w:shd w:val="clear" w:color="auto" w:fill="auto"/>
            <w:vAlign w:val="center"/>
          </w:tcPr>
          <w:p w14:paraId="1070AA0B" w14:textId="6371BD7F" w:rsidR="0047356A" w:rsidRPr="008379CA" w:rsidRDefault="004F6797" w:rsidP="004F6797">
            <w:pPr>
              <w:jc w:val="center"/>
              <w:rPr>
                <w:rFonts w:ascii="Bookman Old Style" w:hAnsi="Bookman Old Style" w:cs="Calibri"/>
                <w:bCs/>
                <w:sz w:val="12"/>
                <w:szCs w:val="12"/>
                <w:lang w:val="en-US"/>
              </w:rPr>
            </w:pPr>
            <w:r w:rsidRPr="008379CA">
              <w:rPr>
                <w:rFonts w:ascii="Bookman Old Style" w:hAnsi="Bookman Old Style" w:cs="Calibri"/>
                <w:b/>
                <w:bCs/>
                <w:sz w:val="12"/>
                <w:szCs w:val="12"/>
              </w:rPr>
              <w:t>-</w:t>
            </w:r>
          </w:p>
        </w:tc>
        <w:tc>
          <w:tcPr>
            <w:tcW w:w="965" w:type="dxa"/>
            <w:shd w:val="clear" w:color="auto" w:fill="auto"/>
            <w:noWrap/>
            <w:vAlign w:val="center"/>
          </w:tcPr>
          <w:p w14:paraId="4D38170D" w14:textId="468C8ABC" w:rsidR="0047356A" w:rsidRPr="008379CA" w:rsidRDefault="004F6797" w:rsidP="004F6797">
            <w:pPr>
              <w:jc w:val="center"/>
              <w:rPr>
                <w:rFonts w:ascii="Bookman Old Style" w:hAnsi="Bookman Old Style" w:cs="Calibri"/>
                <w:bCs/>
                <w:sz w:val="12"/>
                <w:szCs w:val="12"/>
                <w:lang w:val="en-US"/>
              </w:rPr>
            </w:pPr>
            <w:r w:rsidRPr="008379CA">
              <w:rPr>
                <w:rFonts w:ascii="Bookman Old Style" w:hAnsi="Bookman Old Style" w:cs="Calibri"/>
                <w:b/>
                <w:bCs/>
                <w:sz w:val="12"/>
                <w:szCs w:val="12"/>
              </w:rPr>
              <w:t>-</w:t>
            </w:r>
          </w:p>
        </w:tc>
      </w:tr>
    </w:tbl>
    <w:p w14:paraId="5043FE88" w14:textId="7B1DF32A" w:rsidR="00B9305E" w:rsidRPr="008379CA" w:rsidRDefault="007641CF" w:rsidP="002B5604">
      <w:pPr>
        <w:snapToGrid w:val="0"/>
        <w:spacing w:before="60" w:line="276" w:lineRule="auto"/>
        <w:ind w:left="-709"/>
        <w:rPr>
          <w:rFonts w:ascii="Bookman Old Style" w:hAnsi="Bookman Old Style" w:cs="Arial"/>
          <w:sz w:val="18"/>
          <w:szCs w:val="18"/>
          <w:lang w:val="id-ID"/>
        </w:rPr>
      </w:pPr>
      <w:r w:rsidRPr="008379CA">
        <w:rPr>
          <w:rFonts w:ascii="Bookman Old Style" w:hAnsi="Bookman Old Style"/>
          <w:i/>
          <w:iCs/>
          <w:sz w:val="18"/>
          <w:szCs w:val="18"/>
          <w:lang w:val="sv-FI"/>
        </w:rPr>
        <w:t>*)</w:t>
      </w:r>
      <w:r w:rsidR="00A954D0" w:rsidRPr="008379CA">
        <w:rPr>
          <w:rFonts w:ascii="Bookman Old Style" w:hAnsi="Bookman Old Style"/>
          <w:i/>
          <w:iCs/>
          <w:sz w:val="18"/>
          <w:szCs w:val="18"/>
          <w:lang w:val="sv-FI"/>
        </w:rPr>
        <w:t xml:space="preserve"> </w:t>
      </w:r>
      <w:r w:rsidRPr="008379CA">
        <w:rPr>
          <w:rFonts w:ascii="Bookman Old Style" w:hAnsi="Bookman Old Style"/>
          <w:i/>
          <w:iCs/>
          <w:sz w:val="18"/>
          <w:szCs w:val="18"/>
          <w:lang w:val="sv-FI"/>
        </w:rPr>
        <w:t>Anggaran</w:t>
      </w:r>
      <w:r w:rsidR="00A954D0" w:rsidRPr="008379CA">
        <w:rPr>
          <w:rFonts w:ascii="Bookman Old Style" w:hAnsi="Bookman Old Style"/>
          <w:i/>
          <w:iCs/>
          <w:sz w:val="18"/>
          <w:szCs w:val="18"/>
          <w:lang w:val="sv-FI"/>
        </w:rPr>
        <w:t xml:space="preserve"> </w:t>
      </w:r>
      <w:r w:rsidRPr="008379CA">
        <w:rPr>
          <w:rFonts w:ascii="Bookman Old Style" w:hAnsi="Bookman Old Style"/>
          <w:i/>
          <w:iCs/>
          <w:sz w:val="18"/>
          <w:szCs w:val="18"/>
          <w:lang w:val="sv-FI"/>
        </w:rPr>
        <w:t>dan</w:t>
      </w:r>
      <w:r w:rsidR="00A954D0" w:rsidRPr="008379CA">
        <w:rPr>
          <w:rFonts w:ascii="Bookman Old Style" w:hAnsi="Bookman Old Style"/>
          <w:i/>
          <w:iCs/>
          <w:sz w:val="18"/>
          <w:szCs w:val="18"/>
          <w:lang w:val="sv-FI"/>
        </w:rPr>
        <w:t xml:space="preserve"> </w:t>
      </w:r>
      <w:r w:rsidRPr="008379CA">
        <w:rPr>
          <w:rFonts w:ascii="Bookman Old Style" w:hAnsi="Bookman Old Style"/>
          <w:i/>
          <w:iCs/>
          <w:sz w:val="18"/>
          <w:szCs w:val="18"/>
          <w:lang w:val="sv-FI"/>
        </w:rPr>
        <w:t>Realisasi</w:t>
      </w:r>
      <w:r w:rsidR="00A954D0" w:rsidRPr="008379CA">
        <w:rPr>
          <w:rFonts w:ascii="Bookman Old Style" w:hAnsi="Bookman Old Style"/>
          <w:i/>
          <w:iCs/>
          <w:sz w:val="18"/>
          <w:szCs w:val="18"/>
          <w:lang w:val="sv-FI"/>
        </w:rPr>
        <w:t xml:space="preserve"> </w:t>
      </w:r>
      <w:r w:rsidRPr="008379CA">
        <w:rPr>
          <w:rFonts w:ascii="Bookman Old Style" w:hAnsi="Bookman Old Style"/>
          <w:i/>
          <w:iCs/>
          <w:sz w:val="18"/>
          <w:szCs w:val="18"/>
          <w:lang w:val="sv-FI"/>
        </w:rPr>
        <w:t>Tahun</w:t>
      </w:r>
      <w:r w:rsidR="00A954D0" w:rsidRPr="008379CA">
        <w:rPr>
          <w:rFonts w:ascii="Bookman Old Style" w:hAnsi="Bookman Old Style"/>
          <w:i/>
          <w:iCs/>
          <w:sz w:val="18"/>
          <w:szCs w:val="18"/>
          <w:lang w:val="sv-FI"/>
        </w:rPr>
        <w:t xml:space="preserve"> </w:t>
      </w:r>
      <w:r w:rsidRPr="008379CA">
        <w:rPr>
          <w:rFonts w:ascii="Bookman Old Style" w:hAnsi="Bookman Old Style"/>
          <w:i/>
          <w:iCs/>
          <w:sz w:val="18"/>
          <w:szCs w:val="18"/>
          <w:lang w:val="sv-FI"/>
        </w:rPr>
        <w:t>2024</w:t>
      </w:r>
      <w:r w:rsidR="00A954D0" w:rsidRPr="008379CA">
        <w:rPr>
          <w:rFonts w:ascii="Bookman Old Style" w:hAnsi="Bookman Old Style"/>
          <w:i/>
          <w:iCs/>
          <w:sz w:val="18"/>
          <w:szCs w:val="18"/>
          <w:lang w:val="sv-FI"/>
        </w:rPr>
        <w:t xml:space="preserve"> </w:t>
      </w:r>
      <w:r w:rsidRPr="008379CA">
        <w:rPr>
          <w:rFonts w:ascii="Bookman Old Style" w:hAnsi="Bookman Old Style"/>
          <w:i/>
          <w:iCs/>
          <w:sz w:val="18"/>
          <w:szCs w:val="18"/>
          <w:lang w:val="sv-FI"/>
        </w:rPr>
        <w:t>berdasarkan</w:t>
      </w:r>
      <w:r w:rsidR="00A954D0" w:rsidRPr="008379CA">
        <w:rPr>
          <w:rFonts w:ascii="Bookman Old Style" w:hAnsi="Bookman Old Style"/>
          <w:i/>
          <w:iCs/>
          <w:sz w:val="18"/>
          <w:szCs w:val="18"/>
          <w:lang w:val="sv-FI"/>
        </w:rPr>
        <w:t xml:space="preserve"> </w:t>
      </w:r>
      <w:r w:rsidRPr="008379CA">
        <w:rPr>
          <w:rFonts w:ascii="Bookman Old Style" w:hAnsi="Bookman Old Style"/>
          <w:i/>
          <w:iCs/>
          <w:sz w:val="18"/>
          <w:szCs w:val="18"/>
          <w:lang w:val="sv-FI"/>
        </w:rPr>
        <w:t>Laporan</w:t>
      </w:r>
      <w:r w:rsidR="00A954D0" w:rsidRPr="008379CA">
        <w:rPr>
          <w:rFonts w:ascii="Bookman Old Style" w:hAnsi="Bookman Old Style"/>
          <w:i/>
          <w:iCs/>
          <w:sz w:val="18"/>
          <w:szCs w:val="18"/>
          <w:lang w:val="sv-FI"/>
        </w:rPr>
        <w:t xml:space="preserve"> </w:t>
      </w:r>
      <w:r w:rsidRPr="008379CA">
        <w:rPr>
          <w:rFonts w:ascii="Bookman Old Style" w:hAnsi="Bookman Old Style"/>
          <w:i/>
          <w:iCs/>
          <w:sz w:val="18"/>
          <w:szCs w:val="18"/>
          <w:lang w:val="sv-FI"/>
        </w:rPr>
        <w:t>Realisasi</w:t>
      </w:r>
      <w:r w:rsidR="00A954D0" w:rsidRPr="008379CA">
        <w:rPr>
          <w:rFonts w:ascii="Bookman Old Style" w:hAnsi="Bookman Old Style"/>
          <w:i/>
          <w:iCs/>
          <w:sz w:val="18"/>
          <w:szCs w:val="18"/>
          <w:lang w:val="sv-FI"/>
        </w:rPr>
        <w:t xml:space="preserve"> </w:t>
      </w:r>
      <w:r w:rsidRPr="008379CA">
        <w:rPr>
          <w:rFonts w:ascii="Bookman Old Style" w:hAnsi="Bookman Old Style"/>
          <w:i/>
          <w:iCs/>
          <w:sz w:val="18"/>
          <w:szCs w:val="18"/>
          <w:lang w:val="sv-FI"/>
        </w:rPr>
        <w:t>Anggaran</w:t>
      </w:r>
      <w:r w:rsidR="00A954D0" w:rsidRPr="008379CA">
        <w:rPr>
          <w:rFonts w:ascii="Bookman Old Style" w:hAnsi="Bookman Old Style"/>
          <w:i/>
          <w:iCs/>
          <w:sz w:val="18"/>
          <w:szCs w:val="18"/>
          <w:lang w:val="sv-FI"/>
        </w:rPr>
        <w:t xml:space="preserve"> </w:t>
      </w:r>
      <w:r w:rsidRPr="008379CA">
        <w:rPr>
          <w:rFonts w:ascii="Bookman Old Style" w:hAnsi="Bookman Old Style"/>
          <w:i/>
          <w:iCs/>
          <w:sz w:val="18"/>
          <w:szCs w:val="18"/>
          <w:lang w:val="sv-FI"/>
        </w:rPr>
        <w:t>s.d.</w:t>
      </w:r>
      <w:r w:rsidR="00A954D0" w:rsidRPr="008379CA">
        <w:rPr>
          <w:rFonts w:ascii="Bookman Old Style" w:hAnsi="Bookman Old Style"/>
          <w:i/>
          <w:iCs/>
          <w:sz w:val="18"/>
          <w:szCs w:val="18"/>
          <w:lang w:val="sv-FI"/>
        </w:rPr>
        <w:t xml:space="preserve"> </w:t>
      </w:r>
      <w:r w:rsidRPr="008379CA">
        <w:rPr>
          <w:rFonts w:ascii="Bookman Old Style" w:hAnsi="Bookman Old Style"/>
          <w:i/>
          <w:iCs/>
          <w:sz w:val="18"/>
          <w:szCs w:val="18"/>
          <w:lang w:val="sv-FI"/>
        </w:rPr>
        <w:t>31</w:t>
      </w:r>
      <w:r w:rsidR="00A954D0" w:rsidRPr="008379CA">
        <w:rPr>
          <w:rFonts w:ascii="Bookman Old Style" w:hAnsi="Bookman Old Style"/>
          <w:i/>
          <w:iCs/>
          <w:sz w:val="18"/>
          <w:szCs w:val="18"/>
          <w:lang w:val="sv-FI"/>
        </w:rPr>
        <w:t xml:space="preserve"> </w:t>
      </w:r>
      <w:r w:rsidRPr="008379CA">
        <w:rPr>
          <w:rFonts w:ascii="Bookman Old Style" w:hAnsi="Bookman Old Style"/>
          <w:i/>
          <w:iCs/>
          <w:sz w:val="18"/>
          <w:szCs w:val="18"/>
          <w:lang w:val="sv-FI"/>
        </w:rPr>
        <w:t>Oktober</w:t>
      </w:r>
      <w:r w:rsidR="00A954D0" w:rsidRPr="008379CA">
        <w:rPr>
          <w:rFonts w:ascii="Bookman Old Style" w:hAnsi="Bookman Old Style"/>
          <w:i/>
          <w:iCs/>
          <w:sz w:val="18"/>
          <w:szCs w:val="18"/>
          <w:lang w:val="sv-FI"/>
        </w:rPr>
        <w:t xml:space="preserve"> </w:t>
      </w:r>
      <w:r w:rsidRPr="008379CA">
        <w:rPr>
          <w:rFonts w:ascii="Bookman Old Style" w:hAnsi="Bookman Old Style"/>
          <w:i/>
          <w:iCs/>
          <w:sz w:val="18"/>
          <w:szCs w:val="18"/>
          <w:lang w:val="sv-FI"/>
        </w:rPr>
        <w:t>2024</w:t>
      </w:r>
    </w:p>
    <w:p w14:paraId="43977A01" w14:textId="77777777" w:rsidR="00B9305E" w:rsidRPr="008379CA" w:rsidRDefault="00B9305E" w:rsidP="00274102">
      <w:pPr>
        <w:pStyle w:val="ListParagraph"/>
        <w:spacing w:before="60" w:after="0" w:line="276" w:lineRule="auto"/>
        <w:ind w:left="-284"/>
        <w:contextualSpacing w:val="0"/>
        <w:rPr>
          <w:rFonts w:ascii="Bookman Old Style" w:hAnsi="Bookman Old Style" w:cs="Arial"/>
          <w:sz w:val="18"/>
          <w:szCs w:val="18"/>
          <w:lang w:val="id-ID"/>
        </w:rPr>
        <w:sectPr w:rsidR="00B9305E" w:rsidRPr="008379CA" w:rsidSect="003F64EB">
          <w:pgSz w:w="18722" w:h="12242" w:orient="landscape" w:code="142"/>
          <w:pgMar w:top="1701" w:right="1701" w:bottom="1701" w:left="1701" w:header="680" w:footer="720" w:gutter="0"/>
          <w:pgNumType w:fmt="numberInDash" w:chapStyle="1"/>
          <w:cols w:space="720"/>
          <w:docGrid w:linePitch="360"/>
        </w:sectPr>
      </w:pPr>
    </w:p>
    <w:p w14:paraId="713227A1" w14:textId="73EBE28D" w:rsidR="00567E29" w:rsidRPr="008379CA" w:rsidRDefault="00567E29" w:rsidP="00727324">
      <w:pPr>
        <w:pStyle w:val="ListParagraph"/>
        <w:spacing w:before="60" w:after="0" w:line="276" w:lineRule="auto"/>
        <w:ind w:left="1287"/>
        <w:contextualSpacing w:val="0"/>
        <w:jc w:val="both"/>
        <w:rPr>
          <w:rFonts w:ascii="Bookman Old Style" w:hAnsi="Bookman Old Style" w:cs="Arial"/>
          <w:sz w:val="24"/>
          <w:szCs w:val="24"/>
          <w:lang w:val="id-ID"/>
        </w:rPr>
      </w:pPr>
      <w:r w:rsidRPr="008379CA">
        <w:rPr>
          <w:rFonts w:ascii="Bookman Old Style" w:hAnsi="Bookman Old Style"/>
          <w:sz w:val="24"/>
          <w:szCs w:val="24"/>
        </w:rPr>
        <w:lastRenderedPageBreak/>
        <w:t>Berdasarkan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tabel</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atas</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untuk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tren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alokasi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realisasi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belanja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daerah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Pemerintah</w:t>
      </w:r>
      <w:r w:rsidR="00A954D0" w:rsidRPr="008379CA">
        <w:rPr>
          <w:rFonts w:ascii="Bookman Old Style" w:hAnsi="Bookman Old Style" w:cs="Arial"/>
          <w:sz w:val="24"/>
          <w:szCs w:val="24"/>
          <w:lang w:val="id-ID"/>
        </w:rPr>
        <w:t xml:space="preserve"> </w:t>
      </w:r>
      <w:r w:rsidR="00391062" w:rsidRPr="008379CA">
        <w:rPr>
          <w:rFonts w:ascii="Bookman Old Style" w:hAnsi="Bookman Old Style" w:cs="Arial"/>
          <w:sz w:val="24"/>
          <w:szCs w:val="24"/>
          <w:lang w:val="id-ID"/>
        </w:rPr>
        <w:t>Daerah</w:t>
      </w:r>
      <w:r w:rsidR="00A954D0" w:rsidRPr="008379CA">
        <w:rPr>
          <w:rFonts w:ascii="Bookman Old Style" w:hAnsi="Bookman Old Style" w:cs="Arial"/>
          <w:sz w:val="24"/>
          <w:szCs w:val="24"/>
          <w:lang w:val="id-ID"/>
        </w:rPr>
        <w:t xml:space="preserve"> </w:t>
      </w:r>
      <w:r w:rsidR="00B055C5"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00770F22"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00C61CAF" w:rsidRPr="008379CA">
        <w:rPr>
          <w:rFonts w:ascii="Bookman Old Style" w:hAnsi="Bookman Old Style"/>
          <w:sz w:val="24"/>
          <w:szCs w:val="24"/>
          <w:lang w:val="fi-FI"/>
        </w:rPr>
        <w:t>rata-rata</w:t>
      </w:r>
      <w:r w:rsidR="00A954D0" w:rsidRPr="008379CA">
        <w:rPr>
          <w:rFonts w:ascii="Bookman Old Style" w:hAnsi="Bookman Old Style"/>
          <w:sz w:val="24"/>
          <w:szCs w:val="24"/>
          <w:lang w:val="fi-FI"/>
        </w:rPr>
        <w:t xml:space="preserve"> </w:t>
      </w:r>
      <w:r w:rsidRPr="008379CA">
        <w:rPr>
          <w:rFonts w:ascii="Bookman Old Style" w:hAnsi="Bookman Old Style" w:cs="Arial"/>
          <w:sz w:val="24"/>
          <w:szCs w:val="24"/>
          <w:lang w:val="id-ID"/>
        </w:rPr>
        <w:t>sebesar</w:t>
      </w:r>
      <w:r w:rsidR="00A954D0" w:rsidRPr="008379CA">
        <w:rPr>
          <w:rFonts w:ascii="Bookman Old Style" w:hAnsi="Bookman Old Style" w:cs="Arial"/>
          <w:sz w:val="24"/>
          <w:szCs w:val="24"/>
          <w:lang w:val="id-ID"/>
        </w:rPr>
        <w:t xml:space="preserve"> </w:t>
      </w:r>
      <w:r w:rsidR="00B90C40" w:rsidRPr="008379CA">
        <w:rPr>
          <w:rFonts w:ascii="Bookman Old Style" w:hAnsi="Bookman Old Style" w:cs="Arial"/>
          <w:sz w:val="24"/>
          <w:szCs w:val="24"/>
          <w:lang w:val="sv-FI"/>
        </w:rPr>
        <w:t>5</w:t>
      </w:r>
      <w:r w:rsidRPr="008379CA">
        <w:rPr>
          <w:rFonts w:ascii="Bookman Old Style" w:hAnsi="Bookman Old Style" w:cs="Arial"/>
          <w:sz w:val="24"/>
          <w:szCs w:val="24"/>
          <w:lang w:val="sv-FI"/>
        </w:rPr>
        <w:t>,</w:t>
      </w:r>
      <w:r w:rsidR="00B90C40" w:rsidRPr="008379CA">
        <w:rPr>
          <w:rFonts w:ascii="Bookman Old Style" w:hAnsi="Bookman Old Style" w:cs="Arial"/>
          <w:sz w:val="24"/>
          <w:szCs w:val="24"/>
          <w:lang w:val="sv-FI"/>
        </w:rPr>
        <w:t>15</w:t>
      </w:r>
      <w:r w:rsidRPr="008379CA">
        <w:rPr>
          <w:rFonts w:ascii="Bookman Old Style" w:hAnsi="Bookman Old Style" w:cs="Arial"/>
          <w:sz w:val="24"/>
          <w:szCs w:val="24"/>
          <w:lang w:val="id-ID"/>
        </w:rPr>
        <w:t>%</w:t>
      </w:r>
      <w:r w:rsidR="00A954D0" w:rsidRPr="008379CA">
        <w:rPr>
          <w:rFonts w:ascii="Bookman Old Style" w:hAnsi="Bookman Old Style" w:cs="Arial"/>
          <w:sz w:val="24"/>
          <w:szCs w:val="24"/>
          <w:lang w:val="id-ID"/>
        </w:rPr>
        <w:t xml:space="preserve"> </w:t>
      </w:r>
      <w:r w:rsidRPr="008379CA">
        <w:rPr>
          <w:rFonts w:ascii="Bookman Old Style" w:hAnsi="Bookman Old Style"/>
          <w:sz w:val="24"/>
          <w:szCs w:val="24"/>
          <w:lang w:val="fi-FI"/>
        </w:rPr>
        <w:t>dari</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Tahun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Anggaran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2022</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sampai</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dengan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Tahun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Anggaran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2025</w:t>
      </w:r>
      <w:r w:rsidRPr="008379CA">
        <w:rPr>
          <w:rFonts w:ascii="Bookman Old Style" w:hAnsi="Bookman Old Style" w:cs="Arial"/>
          <w:sz w:val="24"/>
          <w:szCs w:val="24"/>
          <w:lang w:val="id-ID"/>
        </w:rPr>
        <w: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Untuk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itu,</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Pemerintah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Daerah</w:t>
      </w:r>
      <w:r w:rsidR="00A954D0" w:rsidRPr="008379CA">
        <w:rPr>
          <w:rFonts w:ascii="Bookman Old Style" w:hAnsi="Bookman Old Style" w:cs="Arial"/>
          <w:sz w:val="24"/>
          <w:szCs w:val="24"/>
          <w:lang w:val="id-ID"/>
        </w:rPr>
        <w:t xml:space="preserve"> </w:t>
      </w:r>
      <w:r w:rsidR="00B055C5"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00770F22"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cs="Arial"/>
          <w:sz w:val="24"/>
          <w:szCs w:val="24"/>
          <w:lang w:val="id-ID"/>
        </w:rPr>
        <w:t>harus</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memperhatikan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antara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lain:</w:t>
      </w:r>
    </w:p>
    <w:p w14:paraId="2C2733DD" w14:textId="5DB15D55" w:rsidR="00567E29" w:rsidRPr="008379CA" w:rsidRDefault="00567E29" w:rsidP="00C2436C">
      <w:pPr>
        <w:pStyle w:val="ListParagraph"/>
        <w:numPr>
          <w:ilvl w:val="0"/>
          <w:numId w:val="118"/>
        </w:numPr>
        <w:spacing w:before="60" w:after="0" w:line="276" w:lineRule="auto"/>
        <w:ind w:left="1701" w:hanging="425"/>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Perencanaan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Anggaran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yang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Tepat</w:t>
      </w:r>
    </w:p>
    <w:p w14:paraId="76FD802C" w14:textId="6D7D9571" w:rsidR="00567E29" w:rsidRPr="008379CA" w:rsidRDefault="00567E29" w:rsidP="00727324">
      <w:pPr>
        <w:pStyle w:val="ListParagraph"/>
        <w:spacing w:before="60" w:after="0" w:line="276" w:lineRule="auto"/>
        <w:ind w:left="1701"/>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Memastikan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bahwa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belanja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daerah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disusun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berdasarkan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prioritas</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kebutuhan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seperti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infrastruktur,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kesehatan,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pendidikan,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program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pemberdayaan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masyarakat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melalui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analisis</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kebutuhan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yang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lebih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baik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yang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dapat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memastikan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kebutuhan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anggarannya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sehingga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tepat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sasaran.</w:t>
      </w:r>
    </w:p>
    <w:p w14:paraId="762AFE7C" w14:textId="6E924366" w:rsidR="00567E29" w:rsidRPr="008379CA" w:rsidRDefault="00567E29" w:rsidP="00C2436C">
      <w:pPr>
        <w:pStyle w:val="ListParagraph"/>
        <w:numPr>
          <w:ilvl w:val="0"/>
          <w:numId w:val="118"/>
        </w:numPr>
        <w:spacing w:before="60" w:after="0" w:line="276" w:lineRule="auto"/>
        <w:ind w:left="1701" w:hanging="425"/>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Anggaran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Berbasis</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Kinerja</w:t>
      </w:r>
      <w:r w:rsidR="00A954D0" w:rsidRPr="008379CA">
        <w:rPr>
          <w:rFonts w:ascii="Bookman Old Style" w:hAnsi="Bookman Old Style" w:cs="Arial"/>
          <w:sz w:val="24"/>
          <w:szCs w:val="24"/>
          <w:lang w:val="id-ID"/>
        </w:rPr>
        <w:t xml:space="preserve"> </w:t>
      </w:r>
    </w:p>
    <w:p w14:paraId="6A71C777" w14:textId="261EE6F5" w:rsidR="00567E29" w:rsidRPr="008379CA" w:rsidRDefault="00567E29" w:rsidP="00727324">
      <w:pPr>
        <w:pStyle w:val="ListParagraph"/>
        <w:spacing w:before="60" w:after="0" w:line="276" w:lineRule="auto"/>
        <w:ind w:left="1701"/>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Penerapan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anggaran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berbasis</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kinerja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memungkinkan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pemerintah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daerah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untuk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mengevaluasi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hasil</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dampak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setiap</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kegiatan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atau</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program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yang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dibiayai,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sehingga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dapat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meningkatkan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efektivitas</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belanja.</w:t>
      </w:r>
    </w:p>
    <w:p w14:paraId="29FE1A24" w14:textId="7ECD1E6A" w:rsidR="00567E29" w:rsidRPr="008379CA" w:rsidRDefault="00567E29" w:rsidP="00C2436C">
      <w:pPr>
        <w:pStyle w:val="ListParagraph"/>
        <w:numPr>
          <w:ilvl w:val="0"/>
          <w:numId w:val="118"/>
        </w:numPr>
        <w:spacing w:before="60" w:after="0" w:line="276" w:lineRule="auto"/>
        <w:ind w:left="1701" w:hanging="425"/>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Penguatan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Sistem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Pengendalian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Internal</w:t>
      </w:r>
    </w:p>
    <w:p w14:paraId="143D9EDD" w14:textId="7425C096" w:rsidR="00567E29" w:rsidRPr="008379CA" w:rsidRDefault="00567E29" w:rsidP="00727324">
      <w:pPr>
        <w:pStyle w:val="ListParagraph"/>
        <w:spacing w:before="60" w:after="0" w:line="276" w:lineRule="auto"/>
        <w:ind w:left="1701"/>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Pemerintah</w:t>
      </w:r>
      <w:r w:rsidR="00A954D0" w:rsidRPr="008379CA">
        <w:rPr>
          <w:rFonts w:ascii="Bookman Old Style" w:hAnsi="Bookman Old Style" w:cs="Arial"/>
          <w:sz w:val="24"/>
          <w:szCs w:val="24"/>
          <w:lang w:val="id-ID"/>
        </w:rPr>
        <w:t xml:space="preserve"> </w:t>
      </w:r>
      <w:r w:rsidR="00046408" w:rsidRPr="008379CA">
        <w:rPr>
          <w:rFonts w:ascii="Bookman Old Style" w:hAnsi="Bookman Old Style" w:cs="Arial"/>
          <w:sz w:val="24"/>
          <w:szCs w:val="24"/>
          <w:lang w:val="id-ID"/>
        </w:rPr>
        <w:t>Kota</w:t>
      </w:r>
      <w:r w:rsidR="00A954D0" w:rsidRPr="008379CA">
        <w:rPr>
          <w:rFonts w:ascii="Bookman Old Style" w:hAnsi="Bookman Old Style" w:cs="Arial"/>
          <w:sz w:val="24"/>
          <w:szCs w:val="24"/>
          <w:lang w:val="id-ID"/>
        </w:rPr>
        <w:t xml:space="preserve"> </w:t>
      </w:r>
      <w:r w:rsidR="00770F22" w:rsidRPr="008379CA">
        <w:rPr>
          <w:rFonts w:ascii="Bookman Old Style" w:hAnsi="Bookman Old Style" w:cs="Arial"/>
          <w:sz w:val="24"/>
          <w:szCs w:val="24"/>
          <w:lang w:val="id-ID"/>
        </w:rPr>
        <w:t>Tangerang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perlu</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memperkuat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pengawasan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untuk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mencegah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penyalahgunaan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anggaran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atau</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pemborosan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antara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lain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melalui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pemanfaatan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teknologi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informasi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untuk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memonitor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jalannya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program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secara</w:t>
      </w:r>
      <w:r w:rsidR="00A954D0" w:rsidRPr="008379CA">
        <w:rPr>
          <w:rFonts w:ascii="Bookman Old Style" w:hAnsi="Bookman Old Style" w:cs="Arial"/>
          <w:sz w:val="24"/>
          <w:szCs w:val="24"/>
          <w:lang w:val="id-ID"/>
        </w:rPr>
        <w:t xml:space="preserve"> </w:t>
      </w:r>
      <w:r w:rsidRPr="008379CA">
        <w:rPr>
          <w:rFonts w:ascii="Bookman Old Style" w:hAnsi="Bookman Old Style" w:cs="Arial"/>
          <w:i/>
          <w:iCs/>
          <w:sz w:val="24"/>
          <w:szCs w:val="24"/>
          <w:lang w:val="id-ID"/>
        </w:rPr>
        <w:t>real-time</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serta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mengoptimalkan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Inspektorat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Daerah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dengan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melibatkan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lembaga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audit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eksternal</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seperti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BPK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(Badan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Pemeriksa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Keuangan)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untuk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melakukan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audit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secara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rutin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guna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memastikan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bahwa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belanja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daerah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dilakukan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secara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transparan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akuntabel.</w:t>
      </w:r>
    </w:p>
    <w:p w14:paraId="1B043837" w14:textId="14C5733C" w:rsidR="00567E29" w:rsidRPr="008379CA" w:rsidRDefault="00567E29" w:rsidP="00C2436C">
      <w:pPr>
        <w:pStyle w:val="ListParagraph"/>
        <w:numPr>
          <w:ilvl w:val="0"/>
          <w:numId w:val="118"/>
        </w:numPr>
        <w:spacing w:before="60" w:after="0" w:line="276" w:lineRule="auto"/>
        <w:ind w:left="1701" w:hanging="425"/>
        <w:contextualSpacing w:val="0"/>
        <w:jc w:val="both"/>
        <w:rPr>
          <w:rFonts w:ascii="Bookman Old Style" w:hAnsi="Bookman Old Style" w:cs="Arial"/>
          <w:sz w:val="24"/>
          <w:szCs w:val="24"/>
          <w:lang w:val="id-ID"/>
        </w:rPr>
      </w:pPr>
      <w:r w:rsidRPr="008379CA">
        <w:rPr>
          <w:rFonts w:ascii="Bookman Old Style" w:hAnsi="Bookman Old Style" w:cs="Arial"/>
          <w:i/>
          <w:iCs/>
          <w:sz w:val="24"/>
          <w:szCs w:val="24"/>
          <w:lang w:val="id-ID"/>
        </w:rPr>
        <w:t>E-Government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i/>
          <w:iCs/>
          <w:sz w:val="24"/>
          <w:szCs w:val="24"/>
          <w:lang w:val="id-ID"/>
        </w:rPr>
        <w:t>E-Procurement</w:t>
      </w:r>
      <w:r w:rsidR="00A954D0" w:rsidRPr="008379CA">
        <w:rPr>
          <w:rFonts w:ascii="Bookman Old Style" w:hAnsi="Bookman Old Style" w:cs="Arial"/>
          <w:sz w:val="24"/>
          <w:szCs w:val="24"/>
          <w:lang w:val="id-ID"/>
        </w:rPr>
        <w:t xml:space="preserve"> </w:t>
      </w:r>
    </w:p>
    <w:p w14:paraId="0BED44BD" w14:textId="7769916E" w:rsidR="00567E29" w:rsidRPr="008379CA" w:rsidRDefault="00567E29" w:rsidP="00727324">
      <w:pPr>
        <w:pStyle w:val="ListParagraph"/>
        <w:spacing w:before="60" w:after="0" w:line="276" w:lineRule="auto"/>
        <w:ind w:left="1701"/>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Penguatan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implementasi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platform</w:t>
      </w:r>
      <w:r w:rsidR="00A954D0" w:rsidRPr="008379CA">
        <w:rPr>
          <w:rFonts w:ascii="Bookman Old Style" w:hAnsi="Bookman Old Style" w:cs="Arial"/>
          <w:sz w:val="24"/>
          <w:szCs w:val="24"/>
          <w:lang w:val="id-ID"/>
        </w:rPr>
        <w:t xml:space="preserve"> </w:t>
      </w:r>
      <w:r w:rsidRPr="008379CA">
        <w:rPr>
          <w:rFonts w:ascii="Bookman Old Style" w:hAnsi="Bookman Old Style" w:cs="Arial"/>
          <w:i/>
          <w:iCs/>
          <w:sz w:val="24"/>
          <w:szCs w:val="24"/>
          <w:lang w:val="id-ID"/>
        </w:rPr>
        <w:t>e-government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i/>
          <w:iCs/>
          <w:sz w:val="24"/>
          <w:szCs w:val="24"/>
          <w:lang w:val="id-ID"/>
        </w:rPr>
        <w:t>e-procurement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untuk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pengadaan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barang/jasa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dapat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mengurangi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potensi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korupsi,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meningkatkan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transparansi,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memastikan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bahwa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proses</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pengadaan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melalui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platform</w:t>
      </w:r>
      <w:r w:rsidR="00A954D0" w:rsidRPr="008379CA">
        <w:rPr>
          <w:rFonts w:ascii="Bookman Old Style" w:hAnsi="Bookman Old Style" w:cs="Arial"/>
          <w:sz w:val="24"/>
          <w:szCs w:val="24"/>
          <w:lang w:val="id-ID"/>
        </w:rPr>
        <w:t xml:space="preserve"> </w:t>
      </w:r>
      <w:r w:rsidRPr="008379CA">
        <w:rPr>
          <w:rFonts w:ascii="Bookman Old Style" w:hAnsi="Bookman Old Style" w:cs="Arial"/>
          <w:i/>
          <w:iCs/>
          <w:sz w:val="24"/>
          <w:szCs w:val="24"/>
          <w:lang w:val="id-ID"/>
        </w:rPr>
        <w:t>e-government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i/>
          <w:iCs/>
          <w:sz w:val="24"/>
          <w:szCs w:val="24"/>
          <w:lang w:val="id-ID"/>
        </w:rPr>
        <w:t>e-procurement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lebih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efektif</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efisien.</w:t>
      </w:r>
    </w:p>
    <w:p w14:paraId="2872C753" w14:textId="7F022518" w:rsidR="00567E29" w:rsidRPr="008379CA" w:rsidRDefault="00567E29" w:rsidP="00C2436C">
      <w:pPr>
        <w:pStyle w:val="ListParagraph"/>
        <w:numPr>
          <w:ilvl w:val="0"/>
          <w:numId w:val="118"/>
        </w:numPr>
        <w:spacing w:before="60" w:after="0" w:line="276" w:lineRule="auto"/>
        <w:ind w:left="1701" w:hanging="425"/>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Monitoring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Evaluasi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Program</w:t>
      </w:r>
      <w:r w:rsidR="00A954D0" w:rsidRPr="008379CA">
        <w:rPr>
          <w:rFonts w:ascii="Bookman Old Style" w:hAnsi="Bookman Old Style" w:cs="Arial"/>
          <w:sz w:val="24"/>
          <w:szCs w:val="24"/>
          <w:lang w:val="id-ID"/>
        </w:rPr>
        <w:t xml:space="preserve"> </w:t>
      </w:r>
    </w:p>
    <w:p w14:paraId="4482D38B" w14:textId="6DF6F0E1" w:rsidR="008D4051" w:rsidRPr="008379CA" w:rsidRDefault="00567E29" w:rsidP="00727324">
      <w:pPr>
        <w:pStyle w:val="ListParagraph"/>
        <w:spacing w:before="60" w:after="0" w:line="276" w:lineRule="auto"/>
        <w:ind w:left="1701"/>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Melakukan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monitoring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evaluasi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guna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mengetahui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apakah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program,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kegiatan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sub</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kegiatan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yang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dianggarkan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dalam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APBD</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sesuai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dengan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output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yang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direncanakan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memberikan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manfaat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bagi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masyarakat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yang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selanjutnya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digunakan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untuk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perbaikan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anggaran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serta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program,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kegiatan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sub</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kegiatan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pada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tahun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anggaran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berikutnya.</w:t>
      </w:r>
    </w:p>
    <w:p w14:paraId="0B9D0D11" w14:textId="77777777" w:rsidR="008D4051" w:rsidRPr="008379CA" w:rsidRDefault="008D4051">
      <w:pPr>
        <w:rPr>
          <w:rFonts w:ascii="Bookman Old Style" w:hAnsi="Bookman Old Style" w:cs="Arial"/>
          <w:lang w:val="id-ID" w:eastAsia="x-none"/>
        </w:rPr>
      </w:pPr>
      <w:r w:rsidRPr="008379CA">
        <w:rPr>
          <w:rFonts w:ascii="Bookman Old Style" w:hAnsi="Bookman Old Style" w:cs="Arial"/>
          <w:lang w:val="id-ID"/>
        </w:rPr>
        <w:br w:type="page"/>
      </w:r>
    </w:p>
    <w:p w14:paraId="43B13587" w14:textId="1C2D0AED" w:rsidR="00567E29" w:rsidRPr="008379CA" w:rsidRDefault="00567E29" w:rsidP="00C2436C">
      <w:pPr>
        <w:pStyle w:val="ListParagraph"/>
        <w:numPr>
          <w:ilvl w:val="0"/>
          <w:numId w:val="117"/>
        </w:numPr>
        <w:spacing w:before="120" w:after="0" w:line="276" w:lineRule="auto"/>
        <w:ind w:left="1281" w:hanging="288"/>
        <w:contextualSpacing w:val="0"/>
        <w:jc w:val="both"/>
        <w:rPr>
          <w:rFonts w:ascii="Bookman Old Style" w:hAnsi="Bookman Old Style"/>
          <w:sz w:val="24"/>
          <w:szCs w:val="24"/>
          <w:lang w:val="id-ID"/>
        </w:rPr>
      </w:pPr>
      <w:r w:rsidRPr="008379CA">
        <w:rPr>
          <w:rFonts w:ascii="Bookman Old Style" w:hAnsi="Bookman Old Style"/>
          <w:sz w:val="24"/>
          <w:szCs w:val="24"/>
          <w:lang w:val="it-IT"/>
        </w:rPr>
        <w:lastRenderedPageBreak/>
        <w:t>Pembiayaan</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p>
    <w:p w14:paraId="798F1321" w14:textId="34DED321" w:rsidR="00567E29" w:rsidRPr="008379CA" w:rsidRDefault="00567E29" w:rsidP="00727324">
      <w:pPr>
        <w:pStyle w:val="ListParagraph"/>
        <w:spacing w:before="60" w:after="0" w:line="276" w:lineRule="auto"/>
        <w:ind w:left="1287"/>
        <w:contextualSpacing w:val="0"/>
        <w:jc w:val="both"/>
        <w:rPr>
          <w:rFonts w:ascii="Bookman Old Style" w:hAnsi="Bookman Old Style"/>
          <w:sz w:val="24"/>
          <w:szCs w:val="24"/>
        </w:rPr>
      </w:pPr>
      <w:r w:rsidRPr="008379CA">
        <w:rPr>
          <w:rFonts w:ascii="Bookman Old Style" w:hAnsi="Bookman Old Style"/>
          <w:sz w:val="24"/>
          <w:szCs w:val="24"/>
        </w:rPr>
        <w:t>Mengukur</w:t>
      </w:r>
      <w:r w:rsidR="00A954D0" w:rsidRPr="008379CA">
        <w:rPr>
          <w:rFonts w:ascii="Bookman Old Style" w:hAnsi="Bookman Old Style"/>
          <w:sz w:val="24"/>
          <w:szCs w:val="24"/>
        </w:rPr>
        <w:t xml:space="preserve"> </w:t>
      </w:r>
      <w:r w:rsidRPr="008379CA">
        <w:rPr>
          <w:rFonts w:ascii="Bookman Old Style" w:hAnsi="Bookman Old Style"/>
          <w:sz w:val="24"/>
          <w:szCs w:val="24"/>
        </w:rPr>
        <w:t>pembiayaan</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yang</w:t>
      </w:r>
      <w:r w:rsidR="00A954D0" w:rsidRPr="008379CA">
        <w:rPr>
          <w:rFonts w:ascii="Bookman Old Style" w:hAnsi="Bookman Old Style"/>
          <w:sz w:val="24"/>
          <w:szCs w:val="24"/>
        </w:rPr>
        <w:t xml:space="preserve"> </w:t>
      </w:r>
      <w:r w:rsidRPr="008379CA">
        <w:rPr>
          <w:rFonts w:ascii="Bookman Old Style" w:hAnsi="Bookman Old Style"/>
          <w:sz w:val="24"/>
          <w:szCs w:val="24"/>
        </w:rPr>
        <w:t>efektif</w:t>
      </w:r>
      <w:r w:rsidR="00A954D0" w:rsidRPr="008379CA">
        <w:rPr>
          <w:rFonts w:ascii="Bookman Old Style" w:hAnsi="Bookman Old Style"/>
          <w:sz w:val="24"/>
          <w:szCs w:val="24"/>
        </w:rPr>
        <w:t xml:space="preserve"> </w:t>
      </w:r>
      <w:r w:rsidRPr="008379CA">
        <w:rPr>
          <w:rFonts w:ascii="Bookman Old Style" w:hAnsi="Bookman Old Style"/>
          <w:sz w:val="24"/>
          <w:szCs w:val="24"/>
        </w:rPr>
        <w:t>adalah</w:t>
      </w:r>
      <w:r w:rsidR="00A954D0" w:rsidRPr="008379CA">
        <w:rPr>
          <w:rFonts w:ascii="Bookman Old Style" w:hAnsi="Bookman Old Style"/>
          <w:sz w:val="24"/>
          <w:szCs w:val="24"/>
        </w:rPr>
        <w:t xml:space="preserve"> </w:t>
      </w:r>
      <w:r w:rsidRPr="008379CA">
        <w:rPr>
          <w:rFonts w:ascii="Bookman Old Style" w:hAnsi="Bookman Old Style"/>
          <w:sz w:val="24"/>
          <w:szCs w:val="24"/>
        </w:rPr>
        <w:t>suatu</w:t>
      </w:r>
      <w:r w:rsidR="00A954D0" w:rsidRPr="008379CA">
        <w:rPr>
          <w:rFonts w:ascii="Bookman Old Style" w:hAnsi="Bookman Old Style"/>
          <w:sz w:val="24"/>
          <w:szCs w:val="24"/>
        </w:rPr>
        <w:t xml:space="preserve"> </w:t>
      </w:r>
      <w:r w:rsidRPr="008379CA">
        <w:rPr>
          <w:rFonts w:ascii="Bookman Old Style" w:hAnsi="Bookman Old Style"/>
          <w:sz w:val="24"/>
          <w:szCs w:val="24"/>
        </w:rPr>
        <w:t>langkah</w:t>
      </w:r>
      <w:r w:rsidR="00A954D0" w:rsidRPr="008379CA">
        <w:rPr>
          <w:rFonts w:ascii="Bookman Old Style" w:hAnsi="Bookman Old Style"/>
          <w:sz w:val="24"/>
          <w:szCs w:val="24"/>
        </w:rPr>
        <w:t xml:space="preserve"> </w:t>
      </w:r>
      <w:r w:rsidRPr="008379CA">
        <w:rPr>
          <w:rFonts w:ascii="Bookman Old Style" w:hAnsi="Bookman Old Style"/>
          <w:sz w:val="24"/>
          <w:szCs w:val="24"/>
        </w:rPr>
        <w:t>penting</w:t>
      </w:r>
      <w:r w:rsidR="00A954D0" w:rsidRPr="008379CA">
        <w:rPr>
          <w:rFonts w:ascii="Bookman Old Style" w:hAnsi="Bookman Old Style"/>
          <w:sz w:val="24"/>
          <w:szCs w:val="24"/>
        </w:rPr>
        <w:t xml:space="preserve"> </w:t>
      </w:r>
      <w:r w:rsidRPr="008379CA">
        <w:rPr>
          <w:rFonts w:ascii="Bookman Old Style" w:hAnsi="Bookman Old Style"/>
          <w:sz w:val="24"/>
          <w:szCs w:val="24"/>
        </w:rPr>
        <w:t>untuk</w:t>
      </w:r>
      <w:r w:rsidR="00A954D0" w:rsidRPr="008379CA">
        <w:rPr>
          <w:rFonts w:ascii="Bookman Old Style" w:hAnsi="Bookman Old Style"/>
          <w:sz w:val="24"/>
          <w:szCs w:val="24"/>
        </w:rPr>
        <w:t xml:space="preserve"> </w:t>
      </w:r>
      <w:r w:rsidRPr="008379CA">
        <w:rPr>
          <w:rFonts w:ascii="Bookman Old Style" w:hAnsi="Bookman Old Style"/>
          <w:sz w:val="24"/>
          <w:szCs w:val="24"/>
        </w:rPr>
        <w:t>menilai</w:t>
      </w:r>
      <w:r w:rsidR="00A954D0" w:rsidRPr="008379CA">
        <w:rPr>
          <w:rFonts w:ascii="Bookman Old Style" w:hAnsi="Bookman Old Style"/>
          <w:sz w:val="24"/>
          <w:szCs w:val="24"/>
        </w:rPr>
        <w:t xml:space="preserve"> </w:t>
      </w:r>
      <w:r w:rsidRPr="008379CA">
        <w:rPr>
          <w:rFonts w:ascii="Bookman Old Style" w:hAnsi="Bookman Old Style"/>
          <w:sz w:val="24"/>
          <w:szCs w:val="24"/>
        </w:rPr>
        <w:t>seberapa</w:t>
      </w:r>
      <w:r w:rsidR="00A954D0" w:rsidRPr="008379CA">
        <w:rPr>
          <w:rFonts w:ascii="Bookman Old Style" w:hAnsi="Bookman Old Style"/>
          <w:sz w:val="24"/>
          <w:szCs w:val="24"/>
        </w:rPr>
        <w:t xml:space="preserve"> </w:t>
      </w:r>
      <w:r w:rsidRPr="008379CA">
        <w:rPr>
          <w:rFonts w:ascii="Bookman Old Style" w:hAnsi="Bookman Old Style"/>
          <w:sz w:val="24"/>
          <w:szCs w:val="24"/>
        </w:rPr>
        <w:t>efektif</w:t>
      </w:r>
      <w:r w:rsidR="00A954D0" w:rsidRPr="008379CA">
        <w:rPr>
          <w:rFonts w:ascii="Bookman Old Style" w:hAnsi="Bookman Old Style"/>
          <w:sz w:val="24"/>
          <w:szCs w:val="24"/>
        </w:rPr>
        <w:t xml:space="preserve"> </w:t>
      </w:r>
      <w:r w:rsidRPr="008379CA">
        <w:rPr>
          <w:rFonts w:ascii="Bookman Old Style" w:hAnsi="Bookman Old Style"/>
          <w:sz w:val="24"/>
          <w:szCs w:val="24"/>
        </w:rPr>
        <w:t>jumlah</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Pr="008379CA">
        <w:rPr>
          <w:rFonts w:ascii="Bookman Old Style" w:hAnsi="Bookman Old Style"/>
          <w:sz w:val="24"/>
          <w:szCs w:val="24"/>
        </w:rPr>
        <w:t>penggunaan</w:t>
      </w:r>
      <w:r w:rsidR="00A954D0" w:rsidRPr="008379CA">
        <w:rPr>
          <w:rFonts w:ascii="Bookman Old Style" w:hAnsi="Bookman Old Style"/>
          <w:sz w:val="24"/>
          <w:szCs w:val="24"/>
        </w:rPr>
        <w:t xml:space="preserve"> </w:t>
      </w:r>
      <w:r w:rsidRPr="008379CA">
        <w:rPr>
          <w:rFonts w:ascii="Bookman Old Style" w:hAnsi="Bookman Old Style"/>
          <w:sz w:val="24"/>
          <w:szCs w:val="24"/>
        </w:rPr>
        <w:t>alokasi</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yang</w:t>
      </w:r>
      <w:r w:rsidR="00A954D0" w:rsidRPr="008379CA">
        <w:rPr>
          <w:rFonts w:ascii="Bookman Old Style" w:hAnsi="Bookman Old Style"/>
          <w:sz w:val="24"/>
          <w:szCs w:val="24"/>
        </w:rPr>
        <w:t xml:space="preserve"> </w:t>
      </w:r>
      <w:r w:rsidRPr="008379CA">
        <w:rPr>
          <w:rFonts w:ascii="Bookman Old Style" w:hAnsi="Bookman Old Style"/>
          <w:sz w:val="24"/>
          <w:szCs w:val="24"/>
        </w:rPr>
        <w:t>tersedia</w:t>
      </w:r>
      <w:r w:rsidR="00A954D0" w:rsidRPr="008379CA">
        <w:rPr>
          <w:rFonts w:ascii="Bookman Old Style" w:hAnsi="Bookman Old Style"/>
          <w:sz w:val="24"/>
          <w:szCs w:val="24"/>
        </w:rPr>
        <w:t xml:space="preserve"> </w:t>
      </w:r>
      <w:r w:rsidRPr="008379CA">
        <w:rPr>
          <w:rFonts w:ascii="Bookman Old Style" w:hAnsi="Bookman Old Style"/>
          <w:sz w:val="24"/>
          <w:szCs w:val="24"/>
        </w:rPr>
        <w:t>untuk</w:t>
      </w:r>
      <w:r w:rsidR="00A954D0" w:rsidRPr="008379CA">
        <w:rPr>
          <w:rFonts w:ascii="Bookman Old Style" w:hAnsi="Bookman Old Style"/>
          <w:sz w:val="24"/>
          <w:szCs w:val="24"/>
        </w:rPr>
        <w:t xml:space="preserve"> </w:t>
      </w:r>
      <w:r w:rsidRPr="008379CA">
        <w:rPr>
          <w:rFonts w:ascii="Bookman Old Style" w:hAnsi="Bookman Old Style"/>
          <w:sz w:val="24"/>
          <w:szCs w:val="24"/>
        </w:rPr>
        <w:t>mendukung</w:t>
      </w:r>
      <w:r w:rsidR="00A954D0" w:rsidRPr="008379CA">
        <w:rPr>
          <w:rFonts w:ascii="Bookman Old Style" w:hAnsi="Bookman Old Style"/>
          <w:sz w:val="24"/>
          <w:szCs w:val="24"/>
        </w:rPr>
        <w:t xml:space="preserve"> </w:t>
      </w:r>
      <w:r w:rsidRPr="008379CA">
        <w:rPr>
          <w:rFonts w:ascii="Bookman Old Style" w:hAnsi="Bookman Old Style"/>
          <w:sz w:val="24"/>
          <w:szCs w:val="24"/>
        </w:rPr>
        <w:t>pembangunan</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Pr="008379CA">
        <w:rPr>
          <w:rFonts w:ascii="Bookman Old Style" w:hAnsi="Bookman Old Style"/>
          <w:sz w:val="24"/>
          <w:szCs w:val="24"/>
        </w:rPr>
        <w:t>kesejahteraan</w:t>
      </w:r>
      <w:r w:rsidR="00A954D0" w:rsidRPr="008379CA">
        <w:rPr>
          <w:rFonts w:ascii="Bookman Old Style" w:hAnsi="Bookman Old Style"/>
          <w:sz w:val="24"/>
          <w:szCs w:val="24"/>
        </w:rPr>
        <w:t xml:space="preserve"> </w:t>
      </w:r>
      <w:r w:rsidRPr="008379CA">
        <w:rPr>
          <w:rFonts w:ascii="Bookman Old Style" w:hAnsi="Bookman Old Style"/>
          <w:sz w:val="24"/>
          <w:szCs w:val="24"/>
        </w:rPr>
        <w:t>masyarakat</w:t>
      </w:r>
      <w:r w:rsidR="00A954D0" w:rsidRPr="008379CA">
        <w:rPr>
          <w:rFonts w:ascii="Bookman Old Style" w:hAnsi="Bookman Old Style"/>
          <w:sz w:val="24"/>
          <w:szCs w:val="24"/>
        </w:rPr>
        <w:t xml:space="preserve"> </w:t>
      </w:r>
      <w:r w:rsidRPr="008379CA">
        <w:rPr>
          <w:rFonts w:ascii="Bookman Old Style" w:hAnsi="Bookman Old Style"/>
          <w:sz w:val="24"/>
          <w:szCs w:val="24"/>
        </w:rPr>
        <w:t>di</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Pembiayaan</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yang</w:t>
      </w:r>
      <w:r w:rsidR="00A954D0" w:rsidRPr="008379CA">
        <w:rPr>
          <w:rFonts w:ascii="Bookman Old Style" w:hAnsi="Bookman Old Style"/>
          <w:sz w:val="24"/>
          <w:szCs w:val="24"/>
        </w:rPr>
        <w:t xml:space="preserve"> </w:t>
      </w:r>
      <w:r w:rsidRPr="008379CA">
        <w:rPr>
          <w:rFonts w:ascii="Bookman Old Style" w:hAnsi="Bookman Old Style"/>
          <w:sz w:val="24"/>
          <w:szCs w:val="24"/>
        </w:rPr>
        <w:t>efektif</w:t>
      </w:r>
      <w:r w:rsidR="00A954D0" w:rsidRPr="008379CA">
        <w:rPr>
          <w:rFonts w:ascii="Bookman Old Style" w:hAnsi="Bookman Old Style"/>
          <w:sz w:val="24"/>
          <w:szCs w:val="24"/>
        </w:rPr>
        <w:t xml:space="preserve"> </w:t>
      </w:r>
      <w:r w:rsidRPr="008379CA">
        <w:rPr>
          <w:rFonts w:ascii="Bookman Old Style" w:hAnsi="Bookman Old Style"/>
          <w:sz w:val="24"/>
          <w:szCs w:val="24"/>
        </w:rPr>
        <w:t>juga</w:t>
      </w:r>
      <w:r w:rsidR="00A954D0" w:rsidRPr="008379CA">
        <w:rPr>
          <w:rFonts w:ascii="Bookman Old Style" w:hAnsi="Bookman Old Style"/>
          <w:sz w:val="24"/>
          <w:szCs w:val="24"/>
        </w:rPr>
        <w:t xml:space="preserve"> </w:t>
      </w:r>
      <w:r w:rsidRPr="008379CA">
        <w:rPr>
          <w:rFonts w:ascii="Bookman Old Style" w:hAnsi="Bookman Old Style"/>
          <w:sz w:val="24"/>
          <w:szCs w:val="24"/>
        </w:rPr>
        <w:t>dapat</w:t>
      </w:r>
      <w:r w:rsidR="00A954D0" w:rsidRPr="008379CA">
        <w:rPr>
          <w:rFonts w:ascii="Bookman Old Style" w:hAnsi="Bookman Old Style"/>
          <w:sz w:val="24"/>
          <w:szCs w:val="24"/>
        </w:rPr>
        <w:t xml:space="preserve"> </w:t>
      </w:r>
      <w:r w:rsidRPr="008379CA">
        <w:rPr>
          <w:rFonts w:ascii="Bookman Old Style" w:hAnsi="Bookman Old Style"/>
          <w:sz w:val="24"/>
          <w:szCs w:val="24"/>
        </w:rPr>
        <w:t>dilihat</w:t>
      </w:r>
      <w:r w:rsidR="00A954D0" w:rsidRPr="008379CA">
        <w:rPr>
          <w:rFonts w:ascii="Bookman Old Style" w:hAnsi="Bookman Old Style"/>
          <w:sz w:val="24"/>
          <w:szCs w:val="24"/>
        </w:rPr>
        <w:t xml:space="preserve"> </w:t>
      </w:r>
      <w:r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Pr="008379CA">
        <w:rPr>
          <w:rFonts w:ascii="Bookman Old Style" w:hAnsi="Bookman Old Style"/>
          <w:sz w:val="24"/>
          <w:szCs w:val="24"/>
        </w:rPr>
        <w:t>berbagai</w:t>
      </w:r>
      <w:r w:rsidR="00A954D0" w:rsidRPr="008379CA">
        <w:rPr>
          <w:rFonts w:ascii="Bookman Old Style" w:hAnsi="Bookman Old Style"/>
          <w:sz w:val="24"/>
          <w:szCs w:val="24"/>
        </w:rPr>
        <w:t xml:space="preserve"> </w:t>
      </w:r>
      <w:r w:rsidRPr="008379CA">
        <w:rPr>
          <w:rFonts w:ascii="Bookman Old Style" w:hAnsi="Bookman Old Style"/>
          <w:sz w:val="24"/>
          <w:szCs w:val="24"/>
        </w:rPr>
        <w:t>dimensi,</w:t>
      </w:r>
      <w:r w:rsidR="00A954D0" w:rsidRPr="008379CA">
        <w:rPr>
          <w:rFonts w:ascii="Bookman Old Style" w:hAnsi="Bookman Old Style"/>
          <w:sz w:val="24"/>
          <w:szCs w:val="24"/>
        </w:rPr>
        <w:t xml:space="preserve"> </w:t>
      </w:r>
      <w:r w:rsidRPr="008379CA">
        <w:rPr>
          <w:rFonts w:ascii="Bookman Old Style" w:hAnsi="Bookman Old Style"/>
          <w:sz w:val="24"/>
          <w:szCs w:val="24"/>
        </w:rPr>
        <w:t>antara</w:t>
      </w:r>
      <w:r w:rsidR="00A954D0" w:rsidRPr="008379CA">
        <w:rPr>
          <w:rFonts w:ascii="Bookman Old Style" w:hAnsi="Bookman Old Style"/>
          <w:sz w:val="24"/>
          <w:szCs w:val="24"/>
        </w:rPr>
        <w:t xml:space="preserve"> </w:t>
      </w:r>
      <w:r w:rsidRPr="008379CA">
        <w:rPr>
          <w:rFonts w:ascii="Bookman Old Style" w:hAnsi="Bookman Old Style"/>
          <w:sz w:val="24"/>
          <w:szCs w:val="24"/>
        </w:rPr>
        <w:t>lain</w:t>
      </w:r>
      <w:r w:rsidR="00A954D0" w:rsidRPr="008379CA">
        <w:rPr>
          <w:rFonts w:ascii="Bookman Old Style" w:hAnsi="Bookman Old Style"/>
          <w:sz w:val="24"/>
          <w:szCs w:val="24"/>
        </w:rPr>
        <w:t xml:space="preserve"> </w:t>
      </w:r>
      <w:r w:rsidRPr="008379CA">
        <w:rPr>
          <w:rFonts w:ascii="Bookman Old Style" w:hAnsi="Bookman Old Style"/>
          <w:sz w:val="24"/>
          <w:szCs w:val="24"/>
        </w:rPr>
        <w:t>efisiensi,</w:t>
      </w:r>
      <w:r w:rsidR="00A954D0" w:rsidRPr="008379CA">
        <w:rPr>
          <w:rFonts w:ascii="Bookman Old Style" w:hAnsi="Bookman Old Style"/>
          <w:sz w:val="24"/>
          <w:szCs w:val="24"/>
        </w:rPr>
        <w:t xml:space="preserve"> </w:t>
      </w:r>
      <w:r w:rsidRPr="008379CA">
        <w:rPr>
          <w:rFonts w:ascii="Bookman Old Style" w:hAnsi="Bookman Old Style"/>
          <w:sz w:val="24"/>
          <w:szCs w:val="24"/>
        </w:rPr>
        <w:t>pemerataan,</w:t>
      </w:r>
      <w:r w:rsidR="00A954D0" w:rsidRPr="008379CA">
        <w:rPr>
          <w:rFonts w:ascii="Bookman Old Style" w:hAnsi="Bookman Old Style"/>
          <w:sz w:val="24"/>
          <w:szCs w:val="24"/>
        </w:rPr>
        <w:t xml:space="preserve"> </w:t>
      </w:r>
      <w:r w:rsidRPr="008379CA">
        <w:rPr>
          <w:rFonts w:ascii="Bookman Old Style" w:hAnsi="Bookman Old Style"/>
          <w:sz w:val="24"/>
          <w:szCs w:val="24"/>
        </w:rPr>
        <w:t>transparansi,</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Pr="008379CA">
        <w:rPr>
          <w:rFonts w:ascii="Bookman Old Style" w:hAnsi="Bookman Old Style"/>
          <w:sz w:val="24"/>
          <w:szCs w:val="24"/>
        </w:rPr>
        <w:t>akuntabilitas</w:t>
      </w:r>
      <w:r w:rsidR="00A954D0" w:rsidRPr="008379CA">
        <w:rPr>
          <w:rFonts w:ascii="Bookman Old Style" w:hAnsi="Bookman Old Style"/>
          <w:sz w:val="24"/>
          <w:szCs w:val="24"/>
        </w:rPr>
        <w:t xml:space="preserve"> </w:t>
      </w:r>
      <w:r w:rsidRPr="008379CA">
        <w:rPr>
          <w:rFonts w:ascii="Bookman Old Style" w:hAnsi="Bookman Old Style"/>
          <w:sz w:val="24"/>
          <w:szCs w:val="24"/>
        </w:rPr>
        <w:t>penggunaan</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p>
    <w:p w14:paraId="553439E7" w14:textId="64717D94" w:rsidR="00567E29" w:rsidRPr="008379CA" w:rsidRDefault="00567E29" w:rsidP="00727324">
      <w:pPr>
        <w:pStyle w:val="ListParagraph"/>
        <w:spacing w:before="60" w:after="0" w:line="276" w:lineRule="auto"/>
        <w:ind w:left="1287"/>
        <w:contextualSpacing w:val="0"/>
        <w:jc w:val="both"/>
        <w:rPr>
          <w:rFonts w:ascii="Bookman Old Style" w:hAnsi="Bookman Old Style"/>
          <w:sz w:val="24"/>
          <w:szCs w:val="24"/>
          <w:lang w:val="id-ID"/>
        </w:rPr>
      </w:pPr>
      <w:r w:rsidRPr="008379CA">
        <w:rPr>
          <w:rFonts w:ascii="Bookman Old Style" w:hAnsi="Bookman Old Style"/>
          <w:sz w:val="24"/>
          <w:szCs w:val="24"/>
        </w:rPr>
        <w:t>Selanjutnya,</w:t>
      </w:r>
      <w:r w:rsidR="00A954D0" w:rsidRPr="008379CA">
        <w:rPr>
          <w:rFonts w:ascii="Bookman Old Style" w:hAnsi="Bookman Old Style"/>
          <w:sz w:val="24"/>
          <w:szCs w:val="24"/>
        </w:rPr>
        <w:t xml:space="preserve"> </w:t>
      </w:r>
      <w:r w:rsidRPr="008379CA">
        <w:rPr>
          <w:rFonts w:ascii="Bookman Old Style" w:hAnsi="Bookman Old Style"/>
          <w:sz w:val="24"/>
          <w:szCs w:val="24"/>
        </w:rPr>
        <w:t>tren</w:t>
      </w:r>
      <w:r w:rsidR="00A954D0" w:rsidRPr="008379CA">
        <w:rPr>
          <w:rFonts w:ascii="Bookman Old Style" w:hAnsi="Bookman Old Style"/>
          <w:sz w:val="24"/>
          <w:szCs w:val="24"/>
        </w:rPr>
        <w:t xml:space="preserve"> </w:t>
      </w:r>
      <w:r w:rsidRPr="008379CA">
        <w:rPr>
          <w:rFonts w:ascii="Bookman Old Style" w:hAnsi="Bookman Old Style"/>
          <w:sz w:val="24"/>
          <w:szCs w:val="24"/>
        </w:rPr>
        <w:t>alokasi</w:t>
      </w:r>
      <w:r w:rsidR="00A954D0" w:rsidRPr="008379CA">
        <w:rPr>
          <w:rFonts w:ascii="Bookman Old Style" w:hAnsi="Bookman Old Style"/>
          <w:sz w:val="24"/>
          <w:szCs w:val="24"/>
        </w:rPr>
        <w:t xml:space="preserve"> </w:t>
      </w:r>
      <w:r w:rsidRPr="008379CA">
        <w:rPr>
          <w:rFonts w:ascii="Bookman Old Style" w:hAnsi="Bookman Old Style"/>
          <w:sz w:val="24"/>
          <w:szCs w:val="24"/>
        </w:rPr>
        <w:t>pembiayaan</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Pemerintah</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00B055C5"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00770F22"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sz w:val="24"/>
          <w:szCs w:val="24"/>
        </w:rPr>
        <w:t>selama</w:t>
      </w:r>
      <w:r w:rsidR="00A954D0" w:rsidRPr="008379CA">
        <w:rPr>
          <w:rFonts w:ascii="Bookman Old Style" w:hAnsi="Bookman Old Style"/>
          <w:sz w:val="24"/>
          <w:szCs w:val="24"/>
        </w:rPr>
        <w:t xml:space="preserve"> </w:t>
      </w:r>
      <w:r w:rsidRPr="008379CA">
        <w:rPr>
          <w:rFonts w:ascii="Bookman Old Style" w:hAnsi="Bookman Old Style"/>
          <w:sz w:val="24"/>
          <w:szCs w:val="24"/>
        </w:rPr>
        <w:t>3</w:t>
      </w:r>
      <w:r w:rsidR="00A954D0" w:rsidRPr="008379CA">
        <w:rPr>
          <w:rFonts w:ascii="Bookman Old Style" w:hAnsi="Bookman Old Style"/>
          <w:sz w:val="24"/>
          <w:szCs w:val="24"/>
        </w:rPr>
        <w:t xml:space="preserve"> </w:t>
      </w:r>
      <w:r w:rsidRPr="008379CA">
        <w:rPr>
          <w:rFonts w:ascii="Bookman Old Style" w:hAnsi="Bookman Old Style"/>
          <w:sz w:val="24"/>
          <w:szCs w:val="24"/>
        </w:rPr>
        <w:t>(tiga)</w:t>
      </w:r>
      <w:r w:rsidR="00A954D0" w:rsidRPr="008379CA">
        <w:rPr>
          <w:rFonts w:ascii="Bookman Old Style" w:hAnsi="Bookman Old Style"/>
          <w:sz w:val="24"/>
          <w:szCs w:val="24"/>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2022</w:t>
      </w:r>
      <w:r w:rsidR="00A954D0" w:rsidRPr="008379CA">
        <w:rPr>
          <w:rFonts w:ascii="Bookman Old Style" w:hAnsi="Bookman Old Style"/>
          <w:sz w:val="24"/>
          <w:szCs w:val="24"/>
        </w:rPr>
        <w:t xml:space="preserve"> </w:t>
      </w:r>
      <w:r w:rsidRPr="008379CA">
        <w:rPr>
          <w:rFonts w:ascii="Bookman Old Style" w:hAnsi="Bookman Old Style"/>
          <w:sz w:val="24"/>
          <w:szCs w:val="24"/>
        </w:rPr>
        <w:t>sampai</w:t>
      </w:r>
      <w:r w:rsidR="00A954D0" w:rsidRPr="008379CA">
        <w:rPr>
          <w:rFonts w:ascii="Bookman Old Style" w:hAnsi="Bookman Old Style"/>
          <w:sz w:val="24"/>
          <w:szCs w:val="24"/>
        </w:rPr>
        <w:t xml:space="preserve"> </w:t>
      </w:r>
      <w:r w:rsidRPr="008379CA">
        <w:rPr>
          <w:rFonts w:ascii="Bookman Old Style" w:hAnsi="Bookman Old Style"/>
          <w:sz w:val="24"/>
          <w:szCs w:val="24"/>
        </w:rPr>
        <w:t>dengan</w:t>
      </w:r>
      <w:r w:rsidR="00A954D0" w:rsidRPr="008379CA">
        <w:rPr>
          <w:rFonts w:ascii="Bookman Old Style" w:hAnsi="Bookman Old Style"/>
          <w:sz w:val="24"/>
          <w:szCs w:val="24"/>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2024</w:t>
      </w:r>
      <w:r w:rsidR="00A954D0" w:rsidRPr="008379CA">
        <w:rPr>
          <w:rFonts w:ascii="Bookman Old Style" w:hAnsi="Bookman Old Style"/>
          <w:sz w:val="24"/>
          <w:szCs w:val="24"/>
        </w:rPr>
        <w:t xml:space="preserve"> </w:t>
      </w:r>
      <w:r w:rsidRPr="008379CA">
        <w:rPr>
          <w:rFonts w:ascii="Bookman Old Style" w:hAnsi="Bookman Old Style"/>
          <w:sz w:val="24"/>
          <w:szCs w:val="24"/>
        </w:rPr>
        <w:t>sebagaimana</w:t>
      </w:r>
      <w:r w:rsidR="00A954D0" w:rsidRPr="008379CA">
        <w:rPr>
          <w:rFonts w:ascii="Bookman Old Style" w:hAnsi="Bookman Old Style"/>
          <w:sz w:val="24"/>
          <w:szCs w:val="24"/>
        </w:rPr>
        <w:t xml:space="preserve"> </w:t>
      </w:r>
      <w:r w:rsidRPr="008379CA">
        <w:rPr>
          <w:rFonts w:ascii="Bookman Old Style" w:hAnsi="Bookman Old Style"/>
          <w:sz w:val="24"/>
          <w:szCs w:val="24"/>
        </w:rPr>
        <w:t>Tabel</w:t>
      </w:r>
      <w:r w:rsidR="00A954D0" w:rsidRPr="008379CA">
        <w:rPr>
          <w:rFonts w:ascii="Bookman Old Style" w:hAnsi="Bookman Old Style"/>
          <w:sz w:val="24"/>
          <w:szCs w:val="24"/>
        </w:rPr>
        <w:t xml:space="preserve"> </w:t>
      </w:r>
      <w:r w:rsidR="00F828E6" w:rsidRPr="008379CA">
        <w:rPr>
          <w:rFonts w:ascii="Bookman Old Style" w:hAnsi="Bookman Old Style"/>
          <w:sz w:val="24"/>
          <w:szCs w:val="24"/>
        </w:rPr>
        <w:t>4</w:t>
      </w:r>
      <w:r w:rsidR="00A954D0" w:rsidRPr="008379CA">
        <w:rPr>
          <w:rFonts w:ascii="Bookman Old Style" w:hAnsi="Bookman Old Style"/>
          <w:sz w:val="24"/>
          <w:szCs w:val="24"/>
        </w:rPr>
        <w:t xml:space="preserve"> </w:t>
      </w:r>
      <w:r w:rsidRPr="008379CA">
        <w:rPr>
          <w:rFonts w:ascii="Bookman Old Style" w:hAnsi="Bookman Old Style"/>
          <w:sz w:val="24"/>
          <w:szCs w:val="24"/>
        </w:rPr>
        <w:t>sebagai</w:t>
      </w:r>
      <w:r w:rsidR="00A954D0" w:rsidRPr="008379CA">
        <w:rPr>
          <w:rFonts w:ascii="Bookman Old Style" w:hAnsi="Bookman Old Style"/>
          <w:sz w:val="24"/>
          <w:szCs w:val="24"/>
        </w:rPr>
        <w:t xml:space="preserve"> </w:t>
      </w:r>
      <w:r w:rsidRPr="008379CA">
        <w:rPr>
          <w:rFonts w:ascii="Bookman Old Style" w:hAnsi="Bookman Old Style"/>
          <w:sz w:val="24"/>
          <w:szCs w:val="24"/>
        </w:rPr>
        <w:t>berikut:</w:t>
      </w:r>
    </w:p>
    <w:p w14:paraId="06030523" w14:textId="77777777" w:rsidR="00567E29" w:rsidRPr="008379CA" w:rsidRDefault="00567E29" w:rsidP="00727324">
      <w:pPr>
        <w:pStyle w:val="ListParagraph"/>
        <w:snapToGrid w:val="0"/>
        <w:spacing w:before="60" w:after="0" w:line="276" w:lineRule="auto"/>
        <w:ind w:left="993"/>
        <w:contextualSpacing w:val="0"/>
        <w:jc w:val="both"/>
        <w:rPr>
          <w:rFonts w:ascii="Bookman Old Style" w:hAnsi="Bookman Old Style"/>
          <w:sz w:val="24"/>
          <w:szCs w:val="24"/>
          <w:highlight w:val="yellow"/>
          <w:lang w:val="id-ID"/>
        </w:rPr>
      </w:pPr>
    </w:p>
    <w:p w14:paraId="479AEBB9" w14:textId="77777777" w:rsidR="00567E29" w:rsidRPr="008379CA" w:rsidRDefault="00567E29" w:rsidP="00727324">
      <w:pPr>
        <w:pStyle w:val="ListParagraph"/>
        <w:snapToGrid w:val="0"/>
        <w:spacing w:before="60" w:after="0" w:line="276" w:lineRule="auto"/>
        <w:ind w:left="993"/>
        <w:contextualSpacing w:val="0"/>
        <w:jc w:val="both"/>
        <w:rPr>
          <w:rFonts w:ascii="Bookman Old Style" w:hAnsi="Bookman Old Style"/>
          <w:sz w:val="24"/>
          <w:szCs w:val="24"/>
          <w:highlight w:val="yellow"/>
          <w:lang w:val="id-ID"/>
        </w:rPr>
      </w:pPr>
    </w:p>
    <w:p w14:paraId="6DAB11EA" w14:textId="77777777" w:rsidR="00567E29" w:rsidRPr="008379CA" w:rsidRDefault="00567E29" w:rsidP="00727324">
      <w:pPr>
        <w:pStyle w:val="ListParagraph"/>
        <w:snapToGrid w:val="0"/>
        <w:spacing w:before="60" w:after="0" w:line="276" w:lineRule="auto"/>
        <w:ind w:left="993"/>
        <w:contextualSpacing w:val="0"/>
        <w:jc w:val="both"/>
        <w:rPr>
          <w:rFonts w:ascii="Bookman Old Style" w:hAnsi="Bookman Old Style"/>
          <w:sz w:val="24"/>
          <w:szCs w:val="24"/>
          <w:highlight w:val="yellow"/>
          <w:lang w:val="id-ID"/>
        </w:rPr>
      </w:pPr>
    </w:p>
    <w:p w14:paraId="31BDE882" w14:textId="77777777" w:rsidR="00567E29" w:rsidRPr="008379CA" w:rsidRDefault="00567E29" w:rsidP="00727324">
      <w:pPr>
        <w:pStyle w:val="ListParagraph"/>
        <w:snapToGrid w:val="0"/>
        <w:spacing w:before="60" w:after="0" w:line="276" w:lineRule="auto"/>
        <w:ind w:left="993"/>
        <w:contextualSpacing w:val="0"/>
        <w:jc w:val="both"/>
        <w:rPr>
          <w:rFonts w:ascii="Bookman Old Style" w:hAnsi="Bookman Old Style"/>
          <w:sz w:val="24"/>
          <w:szCs w:val="24"/>
          <w:highlight w:val="yellow"/>
          <w:lang w:val="id-ID"/>
        </w:rPr>
      </w:pPr>
    </w:p>
    <w:p w14:paraId="1C708B1E" w14:textId="77777777" w:rsidR="00567E29" w:rsidRPr="008379CA" w:rsidRDefault="00567E29" w:rsidP="00727324">
      <w:pPr>
        <w:pStyle w:val="ListParagraph"/>
        <w:snapToGrid w:val="0"/>
        <w:spacing w:before="60" w:after="0" w:line="276" w:lineRule="auto"/>
        <w:ind w:left="993"/>
        <w:contextualSpacing w:val="0"/>
        <w:jc w:val="both"/>
        <w:rPr>
          <w:rFonts w:ascii="Bookman Old Style" w:hAnsi="Bookman Old Style"/>
          <w:sz w:val="24"/>
          <w:szCs w:val="24"/>
          <w:highlight w:val="yellow"/>
          <w:lang w:val="id-ID"/>
        </w:rPr>
      </w:pPr>
    </w:p>
    <w:p w14:paraId="20D33E3E" w14:textId="77777777" w:rsidR="00567E29" w:rsidRPr="008379CA" w:rsidRDefault="00567E29" w:rsidP="00727324">
      <w:pPr>
        <w:pStyle w:val="ListParagraph"/>
        <w:snapToGrid w:val="0"/>
        <w:spacing w:before="60" w:after="0" w:line="276" w:lineRule="auto"/>
        <w:ind w:left="993"/>
        <w:contextualSpacing w:val="0"/>
        <w:jc w:val="both"/>
        <w:rPr>
          <w:rFonts w:ascii="Bookman Old Style" w:hAnsi="Bookman Old Style"/>
          <w:sz w:val="24"/>
          <w:szCs w:val="24"/>
          <w:highlight w:val="yellow"/>
          <w:lang w:val="id-ID"/>
        </w:rPr>
      </w:pPr>
    </w:p>
    <w:p w14:paraId="362E39D5" w14:textId="77777777" w:rsidR="00567E29" w:rsidRPr="008379CA" w:rsidRDefault="00567E29" w:rsidP="00727324">
      <w:pPr>
        <w:pStyle w:val="ListParagraph"/>
        <w:snapToGrid w:val="0"/>
        <w:spacing w:before="60" w:after="0" w:line="276" w:lineRule="auto"/>
        <w:ind w:left="993"/>
        <w:contextualSpacing w:val="0"/>
        <w:jc w:val="both"/>
        <w:rPr>
          <w:rFonts w:ascii="Bookman Old Style" w:hAnsi="Bookman Old Style"/>
          <w:sz w:val="24"/>
          <w:szCs w:val="24"/>
          <w:highlight w:val="yellow"/>
          <w:lang w:val="id-ID"/>
        </w:rPr>
      </w:pPr>
    </w:p>
    <w:p w14:paraId="4E810456" w14:textId="77777777" w:rsidR="00567E29" w:rsidRPr="008379CA" w:rsidRDefault="00567E29" w:rsidP="00727324">
      <w:pPr>
        <w:pStyle w:val="ListParagraph"/>
        <w:snapToGrid w:val="0"/>
        <w:spacing w:before="60" w:after="0" w:line="276" w:lineRule="auto"/>
        <w:ind w:left="993"/>
        <w:contextualSpacing w:val="0"/>
        <w:jc w:val="both"/>
        <w:rPr>
          <w:rFonts w:ascii="Bookman Old Style" w:hAnsi="Bookman Old Style"/>
          <w:sz w:val="24"/>
          <w:szCs w:val="24"/>
          <w:highlight w:val="yellow"/>
          <w:lang w:val="id-ID"/>
        </w:rPr>
      </w:pPr>
    </w:p>
    <w:p w14:paraId="27ABC24A" w14:textId="77777777" w:rsidR="00567E29" w:rsidRPr="008379CA" w:rsidRDefault="00567E29" w:rsidP="00727324">
      <w:pPr>
        <w:pStyle w:val="ListParagraph"/>
        <w:snapToGrid w:val="0"/>
        <w:spacing w:before="60" w:after="0" w:line="276" w:lineRule="auto"/>
        <w:ind w:left="993"/>
        <w:contextualSpacing w:val="0"/>
        <w:jc w:val="both"/>
        <w:rPr>
          <w:rFonts w:ascii="Bookman Old Style" w:hAnsi="Bookman Old Style"/>
          <w:sz w:val="24"/>
          <w:szCs w:val="24"/>
          <w:highlight w:val="yellow"/>
          <w:lang w:val="id-ID"/>
        </w:rPr>
      </w:pPr>
    </w:p>
    <w:p w14:paraId="310BFE57" w14:textId="77777777" w:rsidR="00567E29" w:rsidRPr="008379CA" w:rsidRDefault="00567E29" w:rsidP="00727324">
      <w:pPr>
        <w:pStyle w:val="ListParagraph"/>
        <w:snapToGrid w:val="0"/>
        <w:spacing w:before="60" w:after="0" w:line="276" w:lineRule="auto"/>
        <w:ind w:left="993"/>
        <w:contextualSpacing w:val="0"/>
        <w:jc w:val="both"/>
        <w:rPr>
          <w:rFonts w:ascii="Bookman Old Style" w:hAnsi="Bookman Old Style"/>
          <w:sz w:val="24"/>
          <w:szCs w:val="24"/>
          <w:highlight w:val="yellow"/>
          <w:lang w:val="id-ID"/>
        </w:rPr>
      </w:pPr>
    </w:p>
    <w:p w14:paraId="2739A4D8" w14:textId="77777777" w:rsidR="00567E29" w:rsidRPr="008379CA" w:rsidRDefault="00567E29" w:rsidP="00727324">
      <w:pPr>
        <w:pStyle w:val="ListParagraph"/>
        <w:snapToGrid w:val="0"/>
        <w:spacing w:before="60" w:after="0" w:line="276" w:lineRule="auto"/>
        <w:ind w:left="993"/>
        <w:contextualSpacing w:val="0"/>
        <w:jc w:val="both"/>
        <w:rPr>
          <w:rFonts w:ascii="Bookman Old Style" w:hAnsi="Bookman Old Style"/>
          <w:sz w:val="24"/>
          <w:szCs w:val="24"/>
          <w:highlight w:val="yellow"/>
          <w:lang w:val="id-ID"/>
        </w:rPr>
      </w:pPr>
    </w:p>
    <w:p w14:paraId="65F55256" w14:textId="77777777" w:rsidR="00567E29" w:rsidRPr="008379CA" w:rsidRDefault="00567E29" w:rsidP="00727324">
      <w:pPr>
        <w:pStyle w:val="ListParagraph"/>
        <w:snapToGrid w:val="0"/>
        <w:spacing w:before="60" w:after="0" w:line="276" w:lineRule="auto"/>
        <w:ind w:left="993"/>
        <w:contextualSpacing w:val="0"/>
        <w:jc w:val="both"/>
        <w:rPr>
          <w:rFonts w:ascii="Bookman Old Style" w:hAnsi="Bookman Old Style"/>
          <w:sz w:val="24"/>
          <w:szCs w:val="24"/>
          <w:highlight w:val="yellow"/>
          <w:lang w:val="id-ID"/>
        </w:rPr>
      </w:pPr>
    </w:p>
    <w:p w14:paraId="22031B3F" w14:textId="77777777" w:rsidR="00567E29" w:rsidRPr="008379CA" w:rsidRDefault="00567E29" w:rsidP="00727324">
      <w:pPr>
        <w:pStyle w:val="ListParagraph"/>
        <w:snapToGrid w:val="0"/>
        <w:spacing w:before="60" w:after="0" w:line="276" w:lineRule="auto"/>
        <w:ind w:left="993"/>
        <w:contextualSpacing w:val="0"/>
        <w:jc w:val="both"/>
        <w:rPr>
          <w:rFonts w:ascii="Bookman Old Style" w:hAnsi="Bookman Old Style"/>
          <w:sz w:val="24"/>
          <w:szCs w:val="24"/>
          <w:lang w:val="id-ID"/>
        </w:rPr>
      </w:pPr>
    </w:p>
    <w:p w14:paraId="6301E43E" w14:textId="77777777" w:rsidR="00567E29" w:rsidRPr="008379CA" w:rsidRDefault="00567E29" w:rsidP="00727324">
      <w:pPr>
        <w:pStyle w:val="ListParagraph"/>
        <w:snapToGrid w:val="0"/>
        <w:spacing w:before="60" w:after="0" w:line="276" w:lineRule="auto"/>
        <w:ind w:left="993"/>
        <w:contextualSpacing w:val="0"/>
        <w:jc w:val="both"/>
        <w:rPr>
          <w:rFonts w:ascii="Bookman Old Style" w:hAnsi="Bookman Old Style"/>
          <w:sz w:val="24"/>
          <w:szCs w:val="24"/>
          <w:lang w:val="id-ID"/>
        </w:rPr>
      </w:pPr>
    </w:p>
    <w:p w14:paraId="7E8F1CEE" w14:textId="77777777" w:rsidR="00567E29" w:rsidRPr="008379CA" w:rsidRDefault="00567E29" w:rsidP="00727324">
      <w:pPr>
        <w:pStyle w:val="ListParagraph"/>
        <w:snapToGrid w:val="0"/>
        <w:spacing w:before="60" w:after="0" w:line="276" w:lineRule="auto"/>
        <w:ind w:left="993"/>
        <w:contextualSpacing w:val="0"/>
        <w:jc w:val="both"/>
        <w:rPr>
          <w:rFonts w:ascii="Bookman Old Style" w:hAnsi="Bookman Old Style"/>
          <w:sz w:val="24"/>
          <w:szCs w:val="24"/>
          <w:lang w:val="id-ID"/>
        </w:rPr>
      </w:pPr>
    </w:p>
    <w:p w14:paraId="1D755C63" w14:textId="77777777" w:rsidR="00567E29" w:rsidRPr="008379CA" w:rsidRDefault="00567E29" w:rsidP="00727324">
      <w:pPr>
        <w:pStyle w:val="ListParagraph"/>
        <w:snapToGrid w:val="0"/>
        <w:spacing w:before="60" w:after="0" w:line="276" w:lineRule="auto"/>
        <w:ind w:left="993"/>
        <w:contextualSpacing w:val="0"/>
        <w:jc w:val="both"/>
        <w:rPr>
          <w:rFonts w:ascii="Bookman Old Style" w:hAnsi="Bookman Old Style"/>
          <w:sz w:val="24"/>
          <w:szCs w:val="24"/>
          <w:lang w:val="id-ID"/>
        </w:rPr>
      </w:pPr>
    </w:p>
    <w:p w14:paraId="796DE934" w14:textId="77777777" w:rsidR="00567E29" w:rsidRPr="008379CA" w:rsidRDefault="00567E29" w:rsidP="00727324">
      <w:pPr>
        <w:pStyle w:val="ListParagraph"/>
        <w:snapToGrid w:val="0"/>
        <w:spacing w:before="60" w:after="0" w:line="276" w:lineRule="auto"/>
        <w:ind w:left="993"/>
        <w:contextualSpacing w:val="0"/>
        <w:jc w:val="both"/>
        <w:rPr>
          <w:rFonts w:ascii="Bookman Old Style" w:hAnsi="Bookman Old Style"/>
          <w:sz w:val="24"/>
          <w:szCs w:val="24"/>
          <w:lang w:val="id-ID"/>
        </w:rPr>
      </w:pPr>
    </w:p>
    <w:p w14:paraId="5B533791" w14:textId="77777777" w:rsidR="00567E29" w:rsidRPr="008379CA" w:rsidRDefault="00567E29" w:rsidP="00727324">
      <w:pPr>
        <w:pStyle w:val="ListParagraph"/>
        <w:snapToGrid w:val="0"/>
        <w:spacing w:before="60" w:after="0" w:line="276" w:lineRule="auto"/>
        <w:ind w:left="993"/>
        <w:contextualSpacing w:val="0"/>
        <w:jc w:val="both"/>
        <w:rPr>
          <w:rFonts w:ascii="Bookman Old Style" w:hAnsi="Bookman Old Style"/>
          <w:sz w:val="24"/>
          <w:szCs w:val="24"/>
          <w:lang w:val="id-ID"/>
        </w:rPr>
      </w:pPr>
    </w:p>
    <w:p w14:paraId="44EA3484" w14:textId="77777777" w:rsidR="00567E29" w:rsidRPr="008379CA" w:rsidRDefault="00567E29" w:rsidP="00727324">
      <w:pPr>
        <w:pStyle w:val="ListParagraph"/>
        <w:snapToGrid w:val="0"/>
        <w:spacing w:before="60" w:after="0" w:line="276" w:lineRule="auto"/>
        <w:ind w:left="993"/>
        <w:contextualSpacing w:val="0"/>
        <w:jc w:val="both"/>
        <w:rPr>
          <w:rFonts w:ascii="Bookman Old Style" w:hAnsi="Bookman Old Style"/>
          <w:sz w:val="24"/>
          <w:szCs w:val="24"/>
          <w:lang w:val="id-ID"/>
        </w:rPr>
      </w:pPr>
    </w:p>
    <w:p w14:paraId="1B8F0CD0" w14:textId="77777777" w:rsidR="00567E29" w:rsidRPr="008379CA" w:rsidRDefault="00567E29" w:rsidP="00727324">
      <w:pPr>
        <w:pStyle w:val="ListParagraph"/>
        <w:snapToGrid w:val="0"/>
        <w:spacing w:before="60" w:after="0" w:line="276" w:lineRule="auto"/>
        <w:ind w:left="993"/>
        <w:contextualSpacing w:val="0"/>
        <w:jc w:val="both"/>
        <w:rPr>
          <w:rFonts w:ascii="Bookman Old Style" w:hAnsi="Bookman Old Style"/>
          <w:sz w:val="24"/>
          <w:szCs w:val="24"/>
          <w:lang w:val="id-ID"/>
        </w:rPr>
      </w:pPr>
    </w:p>
    <w:p w14:paraId="319AD0EB" w14:textId="77777777" w:rsidR="00567E29" w:rsidRPr="008379CA" w:rsidRDefault="00567E29" w:rsidP="00727324">
      <w:pPr>
        <w:pStyle w:val="ListParagraph"/>
        <w:snapToGrid w:val="0"/>
        <w:spacing w:before="60" w:after="0" w:line="276" w:lineRule="auto"/>
        <w:ind w:left="993"/>
        <w:contextualSpacing w:val="0"/>
        <w:jc w:val="both"/>
        <w:rPr>
          <w:rFonts w:ascii="Bookman Old Style" w:hAnsi="Bookman Old Style"/>
          <w:sz w:val="24"/>
          <w:szCs w:val="24"/>
          <w:lang w:val="id-ID"/>
        </w:rPr>
      </w:pPr>
    </w:p>
    <w:p w14:paraId="079C7AEE" w14:textId="77777777" w:rsidR="00567E29" w:rsidRPr="008379CA" w:rsidRDefault="00567E29" w:rsidP="00727324">
      <w:pPr>
        <w:pStyle w:val="ListParagraph"/>
        <w:snapToGrid w:val="0"/>
        <w:spacing w:before="60" w:after="0" w:line="276" w:lineRule="auto"/>
        <w:ind w:left="993"/>
        <w:contextualSpacing w:val="0"/>
        <w:jc w:val="both"/>
        <w:rPr>
          <w:rFonts w:ascii="Bookman Old Style" w:hAnsi="Bookman Old Style"/>
          <w:sz w:val="24"/>
          <w:szCs w:val="24"/>
          <w:lang w:val="id-ID"/>
        </w:rPr>
      </w:pPr>
    </w:p>
    <w:p w14:paraId="2DD20F21" w14:textId="77777777" w:rsidR="00567E29" w:rsidRPr="008379CA" w:rsidRDefault="00567E29" w:rsidP="00727324">
      <w:pPr>
        <w:pStyle w:val="ListParagraph"/>
        <w:snapToGrid w:val="0"/>
        <w:spacing w:before="60" w:after="0" w:line="276" w:lineRule="auto"/>
        <w:ind w:left="993"/>
        <w:contextualSpacing w:val="0"/>
        <w:jc w:val="both"/>
        <w:rPr>
          <w:rFonts w:ascii="Bookman Old Style" w:hAnsi="Bookman Old Style"/>
          <w:sz w:val="24"/>
          <w:szCs w:val="24"/>
          <w:lang w:val="id-ID"/>
        </w:rPr>
      </w:pPr>
    </w:p>
    <w:p w14:paraId="54BD7D13" w14:textId="77777777" w:rsidR="00567E29" w:rsidRPr="008379CA" w:rsidRDefault="00567E29" w:rsidP="00727324">
      <w:pPr>
        <w:pStyle w:val="ListParagraph"/>
        <w:snapToGrid w:val="0"/>
        <w:spacing w:before="60" w:after="0" w:line="276" w:lineRule="auto"/>
        <w:ind w:left="993"/>
        <w:contextualSpacing w:val="0"/>
        <w:jc w:val="both"/>
        <w:rPr>
          <w:rFonts w:ascii="Bookman Old Style" w:hAnsi="Bookman Old Style"/>
          <w:sz w:val="24"/>
          <w:szCs w:val="24"/>
          <w:lang w:val="id-ID"/>
        </w:rPr>
      </w:pPr>
    </w:p>
    <w:p w14:paraId="4591E1BA" w14:textId="77777777" w:rsidR="00567E29" w:rsidRPr="008379CA" w:rsidRDefault="00567E29" w:rsidP="00727324">
      <w:pPr>
        <w:pStyle w:val="ListParagraph"/>
        <w:snapToGrid w:val="0"/>
        <w:spacing w:before="60" w:after="0" w:line="276" w:lineRule="auto"/>
        <w:ind w:left="993"/>
        <w:contextualSpacing w:val="0"/>
        <w:jc w:val="both"/>
        <w:rPr>
          <w:rFonts w:ascii="Bookman Old Style" w:hAnsi="Bookman Old Style"/>
          <w:sz w:val="24"/>
          <w:szCs w:val="24"/>
          <w:lang w:val="id-ID"/>
        </w:rPr>
        <w:sectPr w:rsidR="00567E29" w:rsidRPr="008379CA" w:rsidSect="003F64EB">
          <w:pgSz w:w="12242" w:h="18722" w:code="142"/>
          <w:pgMar w:top="1701" w:right="1701" w:bottom="1701" w:left="1701" w:header="680" w:footer="720" w:gutter="0"/>
          <w:pgNumType w:fmt="numberInDash" w:chapStyle="1"/>
          <w:cols w:space="720"/>
          <w:docGrid w:linePitch="360"/>
        </w:sectPr>
      </w:pPr>
    </w:p>
    <w:p w14:paraId="5BFC6979" w14:textId="14587FEE" w:rsidR="00567E29" w:rsidRPr="008379CA" w:rsidRDefault="00567E29" w:rsidP="00160580">
      <w:pPr>
        <w:pStyle w:val="ListParagraph"/>
        <w:spacing w:before="60" w:after="0" w:line="276" w:lineRule="auto"/>
        <w:ind w:left="0" w:right="-979"/>
        <w:contextualSpacing w:val="0"/>
        <w:jc w:val="center"/>
        <w:rPr>
          <w:rFonts w:ascii="Bookman Old Style" w:hAnsi="Bookman Old Style"/>
          <w:sz w:val="24"/>
          <w:szCs w:val="24"/>
          <w:lang w:val="fi-FI"/>
        </w:rPr>
      </w:pPr>
      <w:r w:rsidRPr="008379CA">
        <w:rPr>
          <w:rFonts w:ascii="Bookman Old Style" w:hAnsi="Bookman Old Style"/>
          <w:sz w:val="24"/>
          <w:szCs w:val="24"/>
          <w:lang w:val="fi-FI"/>
        </w:rPr>
        <w:lastRenderedPageBreak/>
        <w:t>Tabel</w:t>
      </w:r>
      <w:r w:rsidR="00A954D0" w:rsidRPr="008379CA">
        <w:rPr>
          <w:rFonts w:ascii="Bookman Old Style" w:hAnsi="Bookman Old Style"/>
          <w:sz w:val="24"/>
          <w:szCs w:val="24"/>
          <w:lang w:val="fi-FI"/>
        </w:rPr>
        <w:t xml:space="preserve"> </w:t>
      </w:r>
      <w:r w:rsidR="00F828E6" w:rsidRPr="008379CA">
        <w:rPr>
          <w:rFonts w:ascii="Bookman Old Style" w:hAnsi="Bookman Old Style"/>
          <w:sz w:val="24"/>
          <w:szCs w:val="24"/>
          <w:lang w:val="fi-FI"/>
        </w:rPr>
        <w:t>4</w:t>
      </w:r>
    </w:p>
    <w:p w14:paraId="7D673CAA" w14:textId="27D7C360" w:rsidR="00567E29" w:rsidRPr="008379CA" w:rsidRDefault="00567E29" w:rsidP="00160580">
      <w:pPr>
        <w:pStyle w:val="ListParagraph"/>
        <w:spacing w:after="120" w:line="240" w:lineRule="auto"/>
        <w:ind w:left="0" w:right="-981"/>
        <w:contextualSpacing w:val="0"/>
        <w:jc w:val="center"/>
        <w:rPr>
          <w:rFonts w:ascii="Bookman Old Style" w:hAnsi="Bookman Old Style"/>
          <w:sz w:val="24"/>
          <w:szCs w:val="24"/>
          <w:lang w:val="fi-FI"/>
        </w:rPr>
      </w:pPr>
      <w:r w:rsidRPr="008379CA">
        <w:rPr>
          <w:rFonts w:ascii="Bookman Old Style" w:hAnsi="Bookman Old Style"/>
          <w:sz w:val="24"/>
          <w:szCs w:val="24"/>
          <w:lang w:val="fi-FI"/>
        </w:rPr>
        <w:t>Tren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Alokasi</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Realisasi</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Pembiayaan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Daerah</w:t>
      </w:r>
    </w:p>
    <w:tbl>
      <w:tblPr>
        <w:tblW w:w="1792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418"/>
        <w:gridCol w:w="1417"/>
        <w:gridCol w:w="728"/>
        <w:gridCol w:w="1398"/>
        <w:gridCol w:w="1418"/>
        <w:gridCol w:w="692"/>
        <w:gridCol w:w="1434"/>
        <w:gridCol w:w="1418"/>
        <w:gridCol w:w="709"/>
        <w:gridCol w:w="1417"/>
        <w:gridCol w:w="1061"/>
        <w:gridCol w:w="992"/>
        <w:gridCol w:w="993"/>
        <w:gridCol w:w="849"/>
      </w:tblGrid>
      <w:tr w:rsidR="008379CA" w:rsidRPr="008379CA" w14:paraId="45BAD1B8" w14:textId="77777777" w:rsidTr="009C0CB9">
        <w:trPr>
          <w:trHeight w:val="1350"/>
        </w:trPr>
        <w:tc>
          <w:tcPr>
            <w:tcW w:w="1985" w:type="dxa"/>
            <w:vMerge w:val="restart"/>
            <w:shd w:val="clear" w:color="auto" w:fill="auto"/>
            <w:vAlign w:val="center"/>
            <w:hideMark/>
          </w:tcPr>
          <w:p w14:paraId="22BC69E2" w14:textId="77777777" w:rsidR="00160580" w:rsidRPr="008379CA" w:rsidRDefault="00160580" w:rsidP="0058236F">
            <w:pPr>
              <w:spacing w:before="60" w:line="276" w:lineRule="auto"/>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Uraian</w:t>
            </w:r>
          </w:p>
        </w:tc>
        <w:tc>
          <w:tcPr>
            <w:tcW w:w="2835" w:type="dxa"/>
            <w:gridSpan w:val="2"/>
            <w:shd w:val="clear" w:color="auto" w:fill="auto"/>
            <w:vAlign w:val="center"/>
            <w:hideMark/>
          </w:tcPr>
          <w:p w14:paraId="3136C8C9" w14:textId="2C19E646" w:rsidR="00160580" w:rsidRPr="008379CA" w:rsidRDefault="00160580" w:rsidP="0058236F">
            <w:pPr>
              <w:spacing w:before="60" w:line="276" w:lineRule="auto"/>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APBD</w:t>
            </w:r>
            <w:r w:rsidR="00A954D0" w:rsidRPr="008379CA">
              <w:rPr>
                <w:rFonts w:ascii="Bookman Old Style" w:hAnsi="Bookman Old Style" w:cs="Calibri"/>
                <w:bCs/>
                <w:sz w:val="12"/>
                <w:szCs w:val="12"/>
                <w:lang w:val="en-US"/>
              </w:rPr>
              <w:t xml:space="preserve"> </w:t>
            </w:r>
            <w:r w:rsidRPr="008379CA">
              <w:rPr>
                <w:rFonts w:ascii="Bookman Old Style" w:hAnsi="Bookman Old Style" w:cs="Calibri"/>
                <w:bCs/>
                <w:sz w:val="12"/>
                <w:szCs w:val="12"/>
                <w:lang w:val="en-US"/>
              </w:rPr>
              <w:t>Tahun</w:t>
            </w:r>
            <w:r w:rsidR="00A954D0" w:rsidRPr="008379CA">
              <w:rPr>
                <w:rFonts w:ascii="Bookman Old Style" w:hAnsi="Bookman Old Style" w:cs="Calibri"/>
                <w:bCs/>
                <w:sz w:val="12"/>
                <w:szCs w:val="12"/>
                <w:lang w:val="en-US"/>
              </w:rPr>
              <w:t xml:space="preserve"> </w:t>
            </w:r>
            <w:r w:rsidRPr="008379CA">
              <w:rPr>
                <w:rFonts w:ascii="Bookman Old Style" w:hAnsi="Bookman Old Style" w:cs="Calibri"/>
                <w:bCs/>
                <w:sz w:val="12"/>
                <w:szCs w:val="12"/>
                <w:lang w:val="en-US"/>
              </w:rPr>
              <w:t>Anggaran</w:t>
            </w:r>
            <w:r w:rsidR="00A954D0" w:rsidRPr="008379CA">
              <w:rPr>
                <w:rFonts w:ascii="Bookman Old Style" w:hAnsi="Bookman Old Style" w:cs="Calibri"/>
                <w:bCs/>
                <w:sz w:val="12"/>
                <w:szCs w:val="12"/>
                <w:lang w:val="en-US"/>
              </w:rPr>
              <w:t xml:space="preserve"> </w:t>
            </w:r>
            <w:r w:rsidRPr="008379CA">
              <w:rPr>
                <w:rFonts w:ascii="Bookman Old Style" w:hAnsi="Bookman Old Style" w:cs="Calibri"/>
                <w:bCs/>
                <w:sz w:val="12"/>
                <w:szCs w:val="12"/>
                <w:lang w:val="en-US"/>
              </w:rPr>
              <w:t>2022</w:t>
            </w:r>
            <w:r w:rsidRPr="008379CA">
              <w:rPr>
                <w:rFonts w:ascii="Bookman Old Style" w:hAnsi="Bookman Old Style" w:cs="Calibri"/>
                <w:bCs/>
                <w:sz w:val="12"/>
                <w:szCs w:val="12"/>
                <w:lang w:val="en-US"/>
              </w:rPr>
              <w:br/>
              <w:t>(Rp)</w:t>
            </w:r>
          </w:p>
        </w:tc>
        <w:tc>
          <w:tcPr>
            <w:tcW w:w="728" w:type="dxa"/>
            <w:shd w:val="clear" w:color="auto" w:fill="auto"/>
            <w:vAlign w:val="center"/>
            <w:hideMark/>
          </w:tcPr>
          <w:p w14:paraId="1DC19E04" w14:textId="77777777" w:rsidR="00160580" w:rsidRPr="008379CA" w:rsidRDefault="00160580" w:rsidP="0058236F">
            <w:pPr>
              <w:spacing w:before="60" w:line="276" w:lineRule="auto"/>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w:t>
            </w:r>
          </w:p>
          <w:p w14:paraId="27D7AE83" w14:textId="4196E5A3" w:rsidR="00160580" w:rsidRPr="008379CA" w:rsidRDefault="00A954D0" w:rsidP="0058236F">
            <w:pPr>
              <w:spacing w:before="60" w:line="276" w:lineRule="auto"/>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 xml:space="preserve"> </w:t>
            </w:r>
          </w:p>
        </w:tc>
        <w:tc>
          <w:tcPr>
            <w:tcW w:w="2816" w:type="dxa"/>
            <w:gridSpan w:val="2"/>
            <w:shd w:val="clear" w:color="auto" w:fill="auto"/>
            <w:vAlign w:val="center"/>
            <w:hideMark/>
          </w:tcPr>
          <w:p w14:paraId="184E8DC4" w14:textId="19CCA7F5" w:rsidR="00160580" w:rsidRPr="008379CA" w:rsidRDefault="00160580" w:rsidP="0058236F">
            <w:pPr>
              <w:spacing w:before="60" w:line="276" w:lineRule="auto"/>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APBD</w:t>
            </w:r>
            <w:r w:rsidR="00A954D0" w:rsidRPr="008379CA">
              <w:rPr>
                <w:rFonts w:ascii="Bookman Old Style" w:hAnsi="Bookman Old Style" w:cs="Calibri"/>
                <w:bCs/>
                <w:sz w:val="12"/>
                <w:szCs w:val="12"/>
                <w:lang w:val="en-US"/>
              </w:rPr>
              <w:t xml:space="preserve"> </w:t>
            </w:r>
            <w:r w:rsidRPr="008379CA">
              <w:rPr>
                <w:rFonts w:ascii="Bookman Old Style" w:hAnsi="Bookman Old Style" w:cs="Calibri"/>
                <w:bCs/>
                <w:sz w:val="12"/>
                <w:szCs w:val="12"/>
                <w:lang w:val="en-US"/>
              </w:rPr>
              <w:t>Tahun</w:t>
            </w:r>
            <w:r w:rsidR="00A954D0" w:rsidRPr="008379CA">
              <w:rPr>
                <w:rFonts w:ascii="Bookman Old Style" w:hAnsi="Bookman Old Style" w:cs="Calibri"/>
                <w:bCs/>
                <w:sz w:val="12"/>
                <w:szCs w:val="12"/>
                <w:lang w:val="en-US"/>
              </w:rPr>
              <w:t xml:space="preserve"> </w:t>
            </w:r>
            <w:r w:rsidRPr="008379CA">
              <w:rPr>
                <w:rFonts w:ascii="Bookman Old Style" w:hAnsi="Bookman Old Style" w:cs="Calibri"/>
                <w:bCs/>
                <w:sz w:val="12"/>
                <w:szCs w:val="12"/>
                <w:lang w:val="en-US"/>
              </w:rPr>
              <w:t>Anggaran</w:t>
            </w:r>
            <w:r w:rsidR="00A954D0" w:rsidRPr="008379CA">
              <w:rPr>
                <w:rFonts w:ascii="Bookman Old Style" w:hAnsi="Bookman Old Style" w:cs="Calibri"/>
                <w:bCs/>
                <w:sz w:val="12"/>
                <w:szCs w:val="12"/>
                <w:lang w:val="en-US"/>
              </w:rPr>
              <w:t xml:space="preserve"> </w:t>
            </w:r>
            <w:r w:rsidRPr="008379CA">
              <w:rPr>
                <w:rFonts w:ascii="Bookman Old Style" w:hAnsi="Bookman Old Style" w:cs="Calibri"/>
                <w:bCs/>
                <w:sz w:val="12"/>
                <w:szCs w:val="12"/>
                <w:lang w:val="en-US"/>
              </w:rPr>
              <w:t>2023</w:t>
            </w:r>
            <w:r w:rsidRPr="008379CA">
              <w:rPr>
                <w:rFonts w:ascii="Bookman Old Style" w:hAnsi="Bookman Old Style" w:cs="Calibri"/>
                <w:bCs/>
                <w:sz w:val="12"/>
                <w:szCs w:val="12"/>
                <w:lang w:val="en-US"/>
              </w:rPr>
              <w:br/>
              <w:t>(Rp)</w:t>
            </w:r>
          </w:p>
        </w:tc>
        <w:tc>
          <w:tcPr>
            <w:tcW w:w="692" w:type="dxa"/>
            <w:shd w:val="clear" w:color="auto" w:fill="auto"/>
            <w:vAlign w:val="center"/>
            <w:hideMark/>
          </w:tcPr>
          <w:p w14:paraId="18A15832" w14:textId="77777777" w:rsidR="00160580" w:rsidRPr="008379CA" w:rsidRDefault="00160580" w:rsidP="0058236F">
            <w:pPr>
              <w:spacing w:before="60" w:line="276" w:lineRule="auto"/>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w:t>
            </w:r>
          </w:p>
          <w:p w14:paraId="00C12E4A" w14:textId="441F1D7A" w:rsidR="00160580" w:rsidRPr="008379CA" w:rsidRDefault="00A954D0" w:rsidP="0058236F">
            <w:pPr>
              <w:spacing w:before="60" w:line="276" w:lineRule="auto"/>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 xml:space="preserve"> </w:t>
            </w:r>
          </w:p>
        </w:tc>
        <w:tc>
          <w:tcPr>
            <w:tcW w:w="2852" w:type="dxa"/>
            <w:gridSpan w:val="2"/>
            <w:shd w:val="clear" w:color="auto" w:fill="auto"/>
            <w:vAlign w:val="center"/>
            <w:hideMark/>
          </w:tcPr>
          <w:p w14:paraId="0E19823C" w14:textId="0D65C9AC" w:rsidR="00160580" w:rsidRPr="008379CA" w:rsidRDefault="00160580" w:rsidP="0058236F">
            <w:pPr>
              <w:spacing w:before="60" w:line="276" w:lineRule="auto"/>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APBD</w:t>
            </w:r>
            <w:r w:rsidR="00A954D0" w:rsidRPr="008379CA">
              <w:rPr>
                <w:rFonts w:ascii="Bookman Old Style" w:hAnsi="Bookman Old Style" w:cs="Calibri"/>
                <w:bCs/>
                <w:sz w:val="12"/>
                <w:szCs w:val="12"/>
                <w:lang w:val="en-US"/>
              </w:rPr>
              <w:t xml:space="preserve"> </w:t>
            </w:r>
            <w:r w:rsidRPr="008379CA">
              <w:rPr>
                <w:rFonts w:ascii="Bookman Old Style" w:hAnsi="Bookman Old Style" w:cs="Calibri"/>
                <w:bCs/>
                <w:sz w:val="12"/>
                <w:szCs w:val="12"/>
                <w:lang w:val="en-US"/>
              </w:rPr>
              <w:t>Tahun</w:t>
            </w:r>
            <w:r w:rsidR="00A954D0" w:rsidRPr="008379CA">
              <w:rPr>
                <w:rFonts w:ascii="Bookman Old Style" w:hAnsi="Bookman Old Style" w:cs="Calibri"/>
                <w:bCs/>
                <w:sz w:val="12"/>
                <w:szCs w:val="12"/>
                <w:lang w:val="en-US"/>
              </w:rPr>
              <w:t xml:space="preserve"> </w:t>
            </w:r>
            <w:r w:rsidRPr="008379CA">
              <w:rPr>
                <w:rFonts w:ascii="Bookman Old Style" w:hAnsi="Bookman Old Style" w:cs="Calibri"/>
                <w:bCs/>
                <w:sz w:val="12"/>
                <w:szCs w:val="12"/>
                <w:lang w:val="en-US"/>
              </w:rPr>
              <w:t>Anggaran</w:t>
            </w:r>
            <w:r w:rsidR="00A954D0" w:rsidRPr="008379CA">
              <w:rPr>
                <w:rFonts w:ascii="Bookman Old Style" w:hAnsi="Bookman Old Style" w:cs="Calibri"/>
                <w:bCs/>
                <w:sz w:val="12"/>
                <w:szCs w:val="12"/>
                <w:lang w:val="en-US"/>
              </w:rPr>
              <w:t xml:space="preserve"> </w:t>
            </w:r>
            <w:r w:rsidRPr="008379CA">
              <w:rPr>
                <w:rFonts w:ascii="Bookman Old Style" w:hAnsi="Bookman Old Style" w:cs="Calibri"/>
                <w:bCs/>
                <w:sz w:val="12"/>
                <w:szCs w:val="12"/>
                <w:lang w:val="en-US"/>
              </w:rPr>
              <w:t>2024</w:t>
            </w:r>
            <w:r w:rsidRPr="008379CA">
              <w:rPr>
                <w:rFonts w:ascii="Bookman Old Style" w:hAnsi="Bookman Old Style" w:cs="Calibri"/>
                <w:bCs/>
                <w:sz w:val="12"/>
                <w:szCs w:val="12"/>
                <w:lang w:val="en-US"/>
              </w:rPr>
              <w:br/>
              <w:t>(Rp)</w:t>
            </w:r>
          </w:p>
        </w:tc>
        <w:tc>
          <w:tcPr>
            <w:tcW w:w="709" w:type="dxa"/>
            <w:shd w:val="clear" w:color="auto" w:fill="auto"/>
            <w:vAlign w:val="center"/>
            <w:hideMark/>
          </w:tcPr>
          <w:p w14:paraId="03A5F7DE" w14:textId="77777777" w:rsidR="00160580" w:rsidRPr="008379CA" w:rsidRDefault="00160580" w:rsidP="0058236F">
            <w:pPr>
              <w:spacing w:before="60" w:line="276" w:lineRule="auto"/>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w:t>
            </w:r>
          </w:p>
          <w:p w14:paraId="1122A3E1" w14:textId="514BBFB3" w:rsidR="00160580" w:rsidRPr="008379CA" w:rsidRDefault="00A954D0" w:rsidP="0058236F">
            <w:pPr>
              <w:spacing w:before="60" w:line="276" w:lineRule="auto"/>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 xml:space="preserve"> </w:t>
            </w:r>
          </w:p>
        </w:tc>
        <w:tc>
          <w:tcPr>
            <w:tcW w:w="1417" w:type="dxa"/>
            <w:vAlign w:val="center"/>
          </w:tcPr>
          <w:p w14:paraId="7B2FD669" w14:textId="55992D3C" w:rsidR="00160580" w:rsidRPr="008379CA" w:rsidRDefault="005A01E3" w:rsidP="0058236F">
            <w:pPr>
              <w:spacing w:before="60" w:line="276" w:lineRule="auto"/>
              <w:jc w:val="center"/>
              <w:rPr>
                <w:rFonts w:ascii="Bookman Old Style" w:hAnsi="Bookman Old Style" w:cs="Calibri"/>
                <w:sz w:val="12"/>
                <w:szCs w:val="12"/>
                <w:lang w:val="sv-FI"/>
              </w:rPr>
            </w:pPr>
            <w:r w:rsidRPr="008379CA">
              <w:rPr>
                <w:rFonts w:ascii="Bookman Old Style" w:hAnsi="Bookman Old Style" w:cs="Calibri"/>
                <w:bCs/>
                <w:sz w:val="12"/>
                <w:szCs w:val="12"/>
                <w:lang w:val="sv-FI"/>
              </w:rPr>
              <w:t>Rancangan</w:t>
            </w:r>
            <w:r w:rsidR="00A954D0" w:rsidRPr="008379CA">
              <w:rPr>
                <w:rFonts w:ascii="Bookman Old Style" w:hAnsi="Bookman Old Style" w:cs="Calibri"/>
                <w:bCs/>
                <w:sz w:val="12"/>
                <w:szCs w:val="12"/>
                <w:lang w:val="sv-FI"/>
              </w:rPr>
              <w:t xml:space="preserve"> </w:t>
            </w:r>
            <w:r w:rsidR="00160580" w:rsidRPr="008379CA">
              <w:rPr>
                <w:rFonts w:ascii="Bookman Old Style" w:hAnsi="Bookman Old Style" w:cs="Calibri"/>
                <w:bCs/>
                <w:sz w:val="12"/>
                <w:szCs w:val="12"/>
                <w:lang w:val="sv-FI"/>
              </w:rPr>
              <w:t>APBD</w:t>
            </w:r>
            <w:r w:rsidR="00A954D0" w:rsidRPr="008379CA">
              <w:rPr>
                <w:rFonts w:ascii="Bookman Old Style" w:hAnsi="Bookman Old Style" w:cs="Calibri"/>
                <w:bCs/>
                <w:sz w:val="12"/>
                <w:szCs w:val="12"/>
                <w:lang w:val="sv-FI"/>
              </w:rPr>
              <w:t xml:space="preserve"> </w:t>
            </w:r>
            <w:r w:rsidR="00160580" w:rsidRPr="008379CA">
              <w:rPr>
                <w:rFonts w:ascii="Bookman Old Style" w:hAnsi="Bookman Old Style" w:cs="Calibri"/>
                <w:bCs/>
                <w:sz w:val="12"/>
                <w:szCs w:val="12"/>
                <w:lang w:val="sv-FI"/>
              </w:rPr>
              <w:t>Tahun</w:t>
            </w:r>
            <w:r w:rsidR="00A954D0" w:rsidRPr="008379CA">
              <w:rPr>
                <w:rFonts w:ascii="Bookman Old Style" w:hAnsi="Bookman Old Style" w:cs="Calibri"/>
                <w:bCs/>
                <w:sz w:val="12"/>
                <w:szCs w:val="12"/>
                <w:lang w:val="sv-FI"/>
              </w:rPr>
              <w:t xml:space="preserve"> </w:t>
            </w:r>
            <w:r w:rsidR="00160580" w:rsidRPr="008379CA">
              <w:rPr>
                <w:rFonts w:ascii="Bookman Old Style" w:hAnsi="Bookman Old Style" w:cs="Calibri"/>
                <w:bCs/>
                <w:sz w:val="12"/>
                <w:szCs w:val="12"/>
                <w:lang w:val="sv-FI"/>
              </w:rPr>
              <w:t>Anggaran</w:t>
            </w:r>
            <w:r w:rsidR="00A954D0" w:rsidRPr="008379CA">
              <w:rPr>
                <w:rFonts w:ascii="Bookman Old Style" w:hAnsi="Bookman Old Style" w:cs="Calibri"/>
                <w:bCs/>
                <w:sz w:val="12"/>
                <w:szCs w:val="12"/>
                <w:lang w:val="sv-FI"/>
              </w:rPr>
              <w:t xml:space="preserve"> </w:t>
            </w:r>
            <w:r w:rsidR="00160580" w:rsidRPr="008379CA">
              <w:rPr>
                <w:rFonts w:ascii="Bookman Old Style" w:hAnsi="Bookman Old Style" w:cs="Calibri"/>
                <w:bCs/>
                <w:sz w:val="12"/>
                <w:szCs w:val="12"/>
                <w:lang w:val="sv-FI"/>
              </w:rPr>
              <w:t>2025</w:t>
            </w:r>
            <w:r w:rsidR="00160580" w:rsidRPr="008379CA">
              <w:rPr>
                <w:rFonts w:ascii="Bookman Old Style" w:hAnsi="Bookman Old Style" w:cs="Calibri"/>
                <w:bCs/>
                <w:sz w:val="12"/>
                <w:szCs w:val="12"/>
                <w:lang w:val="sv-FI"/>
              </w:rPr>
              <w:br/>
              <w:t>(Rp)</w:t>
            </w:r>
          </w:p>
        </w:tc>
        <w:tc>
          <w:tcPr>
            <w:tcW w:w="1061" w:type="dxa"/>
            <w:shd w:val="clear" w:color="auto" w:fill="auto"/>
            <w:vAlign w:val="center"/>
            <w:hideMark/>
          </w:tcPr>
          <w:p w14:paraId="78F5AE9D" w14:textId="5CD7AE47" w:rsidR="00160580" w:rsidRPr="008379CA" w:rsidRDefault="00160580" w:rsidP="0058236F">
            <w:pPr>
              <w:spacing w:before="60" w:line="276" w:lineRule="auto"/>
              <w:jc w:val="center"/>
              <w:rPr>
                <w:rFonts w:ascii="Bookman Old Style" w:hAnsi="Bookman Old Style" w:cs="Calibri"/>
                <w:sz w:val="12"/>
                <w:szCs w:val="12"/>
                <w:lang w:val="sv-FI"/>
              </w:rPr>
            </w:pPr>
            <w:r w:rsidRPr="008379CA">
              <w:rPr>
                <w:rFonts w:ascii="Bookman Old Style" w:hAnsi="Bookman Old Style" w:cs="Calibri"/>
                <w:sz w:val="12"/>
                <w:szCs w:val="12"/>
                <w:lang w:val="sv-FI"/>
              </w:rPr>
              <w:t>Rasio</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dari</w:t>
            </w:r>
            <w:r w:rsidR="00A954D0" w:rsidRPr="008379CA">
              <w:rPr>
                <w:rFonts w:ascii="Bookman Old Style" w:hAnsi="Bookman Old Style" w:cs="Calibri"/>
                <w:sz w:val="12"/>
                <w:szCs w:val="12"/>
                <w:lang w:val="id-ID"/>
              </w:rPr>
              <w:t xml:space="preserve"> </w:t>
            </w:r>
            <w:r w:rsidRPr="008379CA">
              <w:rPr>
                <w:rFonts w:ascii="Bookman Old Style" w:hAnsi="Bookman Old Style" w:cs="Calibri"/>
                <w:sz w:val="12"/>
                <w:szCs w:val="12"/>
                <w:lang w:val="sv-FI"/>
              </w:rPr>
              <w:t>Target</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APBD</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Tahun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Anggaran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2023</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dan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Target</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APBD</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Tahun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Anggaran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2022</w:t>
            </w:r>
          </w:p>
          <w:p w14:paraId="0438A441" w14:textId="77777777" w:rsidR="00160580" w:rsidRPr="008379CA" w:rsidRDefault="00160580" w:rsidP="0058236F">
            <w:pPr>
              <w:spacing w:before="60" w:line="276" w:lineRule="auto"/>
              <w:jc w:val="center"/>
              <w:rPr>
                <w:rFonts w:ascii="Bookman Old Style" w:hAnsi="Bookman Old Style" w:cs="Calibri"/>
                <w:bCs/>
                <w:sz w:val="12"/>
                <w:szCs w:val="12"/>
                <w:lang w:val="en-US"/>
              </w:rPr>
            </w:pPr>
            <w:r w:rsidRPr="008379CA">
              <w:rPr>
                <w:rFonts w:ascii="Bookman Old Style" w:hAnsi="Bookman Old Style" w:cs="Calibri"/>
                <w:sz w:val="12"/>
                <w:szCs w:val="12"/>
              </w:rPr>
              <w:t>(%)</w:t>
            </w:r>
          </w:p>
          <w:p w14:paraId="0C01FA01" w14:textId="65DA738D" w:rsidR="00160580" w:rsidRPr="008379CA" w:rsidRDefault="00A954D0" w:rsidP="0058236F">
            <w:pPr>
              <w:spacing w:before="60" w:line="276" w:lineRule="auto"/>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 xml:space="preserve"> </w:t>
            </w:r>
          </w:p>
        </w:tc>
        <w:tc>
          <w:tcPr>
            <w:tcW w:w="992" w:type="dxa"/>
            <w:shd w:val="clear" w:color="auto" w:fill="auto"/>
            <w:vAlign w:val="center"/>
            <w:hideMark/>
          </w:tcPr>
          <w:p w14:paraId="42E0A82B" w14:textId="7C1E945C" w:rsidR="00160580" w:rsidRPr="008379CA" w:rsidRDefault="00160580" w:rsidP="0058236F">
            <w:pPr>
              <w:spacing w:before="60" w:line="276" w:lineRule="auto"/>
              <w:jc w:val="center"/>
              <w:rPr>
                <w:rFonts w:ascii="Bookman Old Style" w:hAnsi="Bookman Old Style" w:cs="Calibri"/>
                <w:sz w:val="12"/>
                <w:szCs w:val="12"/>
                <w:lang w:val="sv-FI"/>
              </w:rPr>
            </w:pPr>
            <w:r w:rsidRPr="008379CA">
              <w:rPr>
                <w:rFonts w:ascii="Bookman Old Style" w:hAnsi="Bookman Old Style" w:cs="Calibri"/>
                <w:sz w:val="12"/>
                <w:szCs w:val="12"/>
                <w:lang w:val="sv-FI"/>
              </w:rPr>
              <w:t>Rasio</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dari</w:t>
            </w:r>
            <w:r w:rsidR="00A954D0" w:rsidRPr="008379CA">
              <w:rPr>
                <w:rFonts w:ascii="Bookman Old Style" w:hAnsi="Bookman Old Style" w:cs="Calibri"/>
                <w:sz w:val="12"/>
                <w:szCs w:val="12"/>
                <w:lang w:val="id-ID"/>
              </w:rPr>
              <w:t xml:space="preserve"> </w:t>
            </w:r>
            <w:r w:rsidRPr="008379CA">
              <w:rPr>
                <w:rFonts w:ascii="Bookman Old Style" w:hAnsi="Bookman Old Style" w:cs="Calibri"/>
                <w:sz w:val="12"/>
                <w:szCs w:val="12"/>
                <w:lang w:val="sv-FI"/>
              </w:rPr>
              <w:t>Target</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APBD</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Tahun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Anggaran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2024</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dan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Target</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APBD</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Tahun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Anggaran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2023</w:t>
            </w:r>
          </w:p>
          <w:p w14:paraId="3FA04F1D" w14:textId="77777777" w:rsidR="00160580" w:rsidRPr="008379CA" w:rsidRDefault="00160580" w:rsidP="0058236F">
            <w:pPr>
              <w:spacing w:before="60" w:line="276" w:lineRule="auto"/>
              <w:jc w:val="center"/>
              <w:rPr>
                <w:rFonts w:ascii="Bookman Old Style" w:hAnsi="Bookman Old Style" w:cs="Calibri"/>
                <w:bCs/>
                <w:sz w:val="12"/>
                <w:szCs w:val="12"/>
                <w:lang w:val="en-US"/>
              </w:rPr>
            </w:pPr>
            <w:r w:rsidRPr="008379CA">
              <w:rPr>
                <w:rFonts w:ascii="Bookman Old Style" w:hAnsi="Bookman Old Style" w:cs="Calibri"/>
                <w:sz w:val="12"/>
                <w:szCs w:val="12"/>
              </w:rPr>
              <w:t>(%)</w:t>
            </w:r>
          </w:p>
          <w:p w14:paraId="0407EF0B" w14:textId="60F3652F" w:rsidR="00160580" w:rsidRPr="008379CA" w:rsidRDefault="00A954D0" w:rsidP="0058236F">
            <w:pPr>
              <w:spacing w:before="60" w:line="276" w:lineRule="auto"/>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 xml:space="preserve"> </w:t>
            </w:r>
          </w:p>
        </w:tc>
        <w:tc>
          <w:tcPr>
            <w:tcW w:w="993" w:type="dxa"/>
            <w:shd w:val="clear" w:color="auto" w:fill="auto"/>
            <w:vAlign w:val="center"/>
            <w:hideMark/>
          </w:tcPr>
          <w:p w14:paraId="3F6A34DD" w14:textId="278767C7" w:rsidR="00160580" w:rsidRPr="008379CA" w:rsidRDefault="00160580" w:rsidP="0058236F">
            <w:pPr>
              <w:spacing w:before="60" w:line="276" w:lineRule="auto"/>
              <w:jc w:val="center"/>
              <w:rPr>
                <w:rFonts w:ascii="Bookman Old Style" w:hAnsi="Bookman Old Style" w:cs="Calibri"/>
                <w:sz w:val="12"/>
                <w:szCs w:val="12"/>
                <w:lang w:val="sv-FI"/>
              </w:rPr>
            </w:pPr>
            <w:r w:rsidRPr="008379CA">
              <w:rPr>
                <w:rFonts w:ascii="Bookman Old Style" w:hAnsi="Bookman Old Style" w:cs="Calibri"/>
                <w:sz w:val="12"/>
                <w:szCs w:val="12"/>
                <w:lang w:val="sv-FI"/>
              </w:rPr>
              <w:t>Rasio</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dari</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Target</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Rancangan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APBD</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Tahun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Anggaran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2025</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dan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Target</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APBD</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Tahun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Anggaran</w:t>
            </w:r>
            <w:r w:rsidR="00A954D0" w:rsidRPr="008379CA">
              <w:rPr>
                <w:rFonts w:ascii="Bookman Old Style" w:hAnsi="Bookman Old Style" w:cs="Calibri"/>
                <w:sz w:val="12"/>
                <w:szCs w:val="12"/>
                <w:lang w:val="sv-FI"/>
              </w:rPr>
              <w:t xml:space="preserve"> </w:t>
            </w:r>
            <w:r w:rsidRPr="008379CA">
              <w:rPr>
                <w:rFonts w:ascii="Bookman Old Style" w:hAnsi="Bookman Old Style" w:cs="Calibri"/>
                <w:sz w:val="12"/>
                <w:szCs w:val="12"/>
                <w:lang w:val="sv-FI"/>
              </w:rPr>
              <w:t>2024</w:t>
            </w:r>
          </w:p>
          <w:p w14:paraId="687AE124" w14:textId="77777777" w:rsidR="00160580" w:rsidRPr="008379CA" w:rsidRDefault="00160580" w:rsidP="0058236F">
            <w:pPr>
              <w:spacing w:before="60" w:line="276" w:lineRule="auto"/>
              <w:jc w:val="center"/>
              <w:rPr>
                <w:rFonts w:ascii="Bookman Old Style" w:hAnsi="Bookman Old Style" w:cs="Calibri"/>
                <w:bCs/>
                <w:sz w:val="12"/>
                <w:szCs w:val="12"/>
                <w:lang w:val="en-US"/>
              </w:rPr>
            </w:pPr>
            <w:r w:rsidRPr="008379CA">
              <w:rPr>
                <w:rFonts w:ascii="Bookman Old Style" w:hAnsi="Bookman Old Style" w:cs="Calibri"/>
                <w:sz w:val="12"/>
                <w:szCs w:val="12"/>
              </w:rPr>
              <w:t>(%)</w:t>
            </w:r>
          </w:p>
          <w:p w14:paraId="4D1C20A2" w14:textId="28024A33" w:rsidR="00160580" w:rsidRPr="008379CA" w:rsidRDefault="00A954D0" w:rsidP="0058236F">
            <w:pPr>
              <w:spacing w:before="60" w:line="276" w:lineRule="auto"/>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 xml:space="preserve"> </w:t>
            </w:r>
          </w:p>
        </w:tc>
        <w:tc>
          <w:tcPr>
            <w:tcW w:w="849" w:type="dxa"/>
            <w:shd w:val="clear" w:color="auto" w:fill="auto"/>
            <w:vAlign w:val="center"/>
            <w:hideMark/>
          </w:tcPr>
          <w:p w14:paraId="4B1CB8AC" w14:textId="77777777" w:rsidR="00160580" w:rsidRPr="008379CA" w:rsidRDefault="00160580" w:rsidP="0058236F">
            <w:pPr>
              <w:spacing w:before="60" w:line="276" w:lineRule="auto"/>
              <w:jc w:val="center"/>
              <w:rPr>
                <w:rFonts w:ascii="Bookman Old Style" w:hAnsi="Bookman Old Style" w:cs="Calibri"/>
                <w:sz w:val="12"/>
                <w:szCs w:val="12"/>
                <w:lang w:val="en-US"/>
              </w:rPr>
            </w:pPr>
            <w:r w:rsidRPr="008379CA">
              <w:rPr>
                <w:rFonts w:ascii="Bookman Old Style" w:hAnsi="Bookman Old Style" w:cs="Calibri"/>
                <w:sz w:val="12"/>
                <w:szCs w:val="12"/>
                <w:lang w:val="en-US"/>
              </w:rPr>
              <w:t>Rata-Rata</w:t>
            </w:r>
          </w:p>
          <w:p w14:paraId="27E585D0" w14:textId="0E50E33A" w:rsidR="00160580" w:rsidRPr="008379CA" w:rsidRDefault="00A954D0" w:rsidP="0058236F">
            <w:pPr>
              <w:spacing w:before="60" w:line="276" w:lineRule="auto"/>
              <w:jc w:val="center"/>
              <w:rPr>
                <w:rFonts w:ascii="Bookman Old Style" w:hAnsi="Bookman Old Style" w:cs="Calibri"/>
                <w:sz w:val="12"/>
                <w:szCs w:val="12"/>
              </w:rPr>
            </w:pPr>
            <w:r w:rsidRPr="008379CA">
              <w:rPr>
                <w:rFonts w:ascii="Bookman Old Style" w:hAnsi="Bookman Old Style" w:cs="Calibri"/>
                <w:sz w:val="12"/>
                <w:szCs w:val="12"/>
                <w:lang w:val="en-US"/>
              </w:rPr>
              <w:t xml:space="preserve"> </w:t>
            </w:r>
            <w:r w:rsidR="00160580" w:rsidRPr="008379CA">
              <w:rPr>
                <w:rFonts w:ascii="Bookman Old Style" w:hAnsi="Bookman Old Style" w:cs="Calibri"/>
                <w:sz w:val="12"/>
                <w:szCs w:val="12"/>
                <w:lang w:val="en-US"/>
              </w:rPr>
              <w:t>Rasio</w:t>
            </w:r>
            <w:r w:rsidRPr="008379CA">
              <w:rPr>
                <w:rFonts w:ascii="Bookman Old Style" w:hAnsi="Bookman Old Style" w:cs="Calibri"/>
                <w:sz w:val="12"/>
                <w:szCs w:val="12"/>
                <w:lang w:val="id-ID"/>
              </w:rPr>
              <w:t xml:space="preserve"> </w:t>
            </w:r>
          </w:p>
          <w:p w14:paraId="2B4B428C" w14:textId="77777777" w:rsidR="00160580" w:rsidRPr="008379CA" w:rsidRDefault="00160580" w:rsidP="0058236F">
            <w:pPr>
              <w:spacing w:before="60" w:line="276" w:lineRule="auto"/>
              <w:jc w:val="center"/>
              <w:rPr>
                <w:rFonts w:ascii="Bookman Old Style" w:hAnsi="Bookman Old Style" w:cs="Calibri"/>
                <w:bCs/>
                <w:sz w:val="12"/>
                <w:szCs w:val="12"/>
                <w:lang w:val="en-US"/>
              </w:rPr>
            </w:pPr>
            <w:r w:rsidRPr="008379CA">
              <w:rPr>
                <w:rFonts w:ascii="Bookman Old Style" w:hAnsi="Bookman Old Style" w:cs="Calibri"/>
                <w:sz w:val="12"/>
                <w:szCs w:val="12"/>
              </w:rPr>
              <w:t>(%)</w:t>
            </w:r>
          </w:p>
          <w:p w14:paraId="0144C15E" w14:textId="722B8C45" w:rsidR="00160580" w:rsidRPr="008379CA" w:rsidRDefault="00A954D0" w:rsidP="0058236F">
            <w:pPr>
              <w:spacing w:before="60" w:line="276" w:lineRule="auto"/>
              <w:rPr>
                <w:rFonts w:ascii="Bookman Old Style" w:hAnsi="Bookman Old Style" w:cs="Calibri"/>
                <w:bCs/>
                <w:sz w:val="12"/>
                <w:szCs w:val="12"/>
                <w:lang w:val="en-US"/>
              </w:rPr>
            </w:pPr>
            <w:r w:rsidRPr="008379CA">
              <w:rPr>
                <w:rFonts w:ascii="Bookman Old Style" w:hAnsi="Bookman Old Style" w:cs="Calibri"/>
                <w:sz w:val="12"/>
                <w:szCs w:val="12"/>
                <w:lang w:val="en-US"/>
              </w:rPr>
              <w:t xml:space="preserve"> </w:t>
            </w:r>
          </w:p>
        </w:tc>
      </w:tr>
      <w:tr w:rsidR="008379CA" w:rsidRPr="008379CA" w14:paraId="4B732A0A" w14:textId="77777777" w:rsidTr="009C0CB9">
        <w:trPr>
          <w:trHeight w:val="42"/>
        </w:trPr>
        <w:tc>
          <w:tcPr>
            <w:tcW w:w="1985" w:type="dxa"/>
            <w:vMerge/>
            <w:vAlign w:val="center"/>
            <w:hideMark/>
          </w:tcPr>
          <w:p w14:paraId="2B0C5DE2" w14:textId="77777777" w:rsidR="00160580" w:rsidRPr="008379CA" w:rsidRDefault="00160580" w:rsidP="0058236F">
            <w:pPr>
              <w:spacing w:before="60" w:line="276" w:lineRule="auto"/>
              <w:rPr>
                <w:rFonts w:ascii="Bookman Old Style" w:hAnsi="Bookman Old Style" w:cs="Calibri"/>
                <w:bCs/>
                <w:sz w:val="12"/>
                <w:szCs w:val="12"/>
                <w:lang w:val="en-US"/>
              </w:rPr>
            </w:pPr>
          </w:p>
        </w:tc>
        <w:tc>
          <w:tcPr>
            <w:tcW w:w="1418" w:type="dxa"/>
            <w:shd w:val="clear" w:color="auto" w:fill="auto"/>
            <w:vAlign w:val="center"/>
            <w:hideMark/>
          </w:tcPr>
          <w:p w14:paraId="147A6479" w14:textId="6EF9902C" w:rsidR="00160580" w:rsidRPr="008379CA" w:rsidRDefault="00160580" w:rsidP="00DA0EDF">
            <w:pPr>
              <w:spacing w:before="60" w:line="276" w:lineRule="auto"/>
              <w:ind w:left="-119"/>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Anggaran</w:t>
            </w:r>
          </w:p>
        </w:tc>
        <w:tc>
          <w:tcPr>
            <w:tcW w:w="1417" w:type="dxa"/>
            <w:shd w:val="clear" w:color="auto" w:fill="auto"/>
            <w:vAlign w:val="center"/>
            <w:hideMark/>
          </w:tcPr>
          <w:p w14:paraId="366D205E" w14:textId="77777777" w:rsidR="00160580" w:rsidRPr="008379CA" w:rsidRDefault="00160580" w:rsidP="00DA0EDF">
            <w:pPr>
              <w:spacing w:before="60" w:line="276" w:lineRule="auto"/>
              <w:ind w:left="-119"/>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Realisasi</w:t>
            </w:r>
          </w:p>
        </w:tc>
        <w:tc>
          <w:tcPr>
            <w:tcW w:w="728" w:type="dxa"/>
            <w:shd w:val="clear" w:color="auto" w:fill="auto"/>
            <w:vAlign w:val="center"/>
            <w:hideMark/>
          </w:tcPr>
          <w:p w14:paraId="137F88A6" w14:textId="77777777" w:rsidR="00160580" w:rsidRPr="008379CA" w:rsidRDefault="00160580" w:rsidP="0058236F">
            <w:pPr>
              <w:spacing w:before="60" w:line="276" w:lineRule="auto"/>
              <w:jc w:val="center"/>
              <w:rPr>
                <w:rFonts w:ascii="Bookman Old Style" w:hAnsi="Bookman Old Style" w:cs="Calibri"/>
                <w:bCs/>
                <w:sz w:val="12"/>
                <w:szCs w:val="12"/>
                <w:lang w:val="en-US"/>
              </w:rPr>
            </w:pPr>
          </w:p>
        </w:tc>
        <w:tc>
          <w:tcPr>
            <w:tcW w:w="1398" w:type="dxa"/>
            <w:shd w:val="clear" w:color="auto" w:fill="auto"/>
            <w:vAlign w:val="center"/>
            <w:hideMark/>
          </w:tcPr>
          <w:p w14:paraId="1EA9FB42" w14:textId="252FF4F8" w:rsidR="00160580" w:rsidRPr="008379CA" w:rsidRDefault="00160580" w:rsidP="009C0CB9">
            <w:pPr>
              <w:spacing w:before="60" w:line="276" w:lineRule="auto"/>
              <w:ind w:left="-133"/>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Anggaran</w:t>
            </w:r>
          </w:p>
        </w:tc>
        <w:tc>
          <w:tcPr>
            <w:tcW w:w="1418" w:type="dxa"/>
            <w:shd w:val="clear" w:color="auto" w:fill="auto"/>
            <w:vAlign w:val="center"/>
            <w:hideMark/>
          </w:tcPr>
          <w:p w14:paraId="7A18DA3B" w14:textId="77777777" w:rsidR="00160580" w:rsidRPr="008379CA" w:rsidRDefault="00160580" w:rsidP="009C0CB9">
            <w:pPr>
              <w:spacing w:before="60" w:line="276" w:lineRule="auto"/>
              <w:ind w:left="-114"/>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Realisasi</w:t>
            </w:r>
          </w:p>
        </w:tc>
        <w:tc>
          <w:tcPr>
            <w:tcW w:w="692" w:type="dxa"/>
            <w:shd w:val="clear" w:color="auto" w:fill="auto"/>
            <w:vAlign w:val="center"/>
            <w:hideMark/>
          </w:tcPr>
          <w:p w14:paraId="2678FFAC" w14:textId="77777777" w:rsidR="00160580" w:rsidRPr="008379CA" w:rsidRDefault="00160580" w:rsidP="0058236F">
            <w:pPr>
              <w:spacing w:before="60" w:line="276" w:lineRule="auto"/>
              <w:jc w:val="center"/>
              <w:rPr>
                <w:rFonts w:ascii="Bookman Old Style" w:hAnsi="Bookman Old Style" w:cs="Calibri"/>
                <w:bCs/>
                <w:sz w:val="12"/>
                <w:szCs w:val="12"/>
                <w:lang w:val="en-US"/>
              </w:rPr>
            </w:pPr>
          </w:p>
        </w:tc>
        <w:tc>
          <w:tcPr>
            <w:tcW w:w="1434" w:type="dxa"/>
            <w:shd w:val="clear" w:color="auto" w:fill="auto"/>
            <w:vAlign w:val="center"/>
            <w:hideMark/>
          </w:tcPr>
          <w:p w14:paraId="0AF5353E" w14:textId="0AA75AE5" w:rsidR="00160580" w:rsidRPr="008379CA" w:rsidRDefault="00160580" w:rsidP="00DA0EDF">
            <w:pPr>
              <w:spacing w:before="60" w:line="276" w:lineRule="auto"/>
              <w:ind w:left="-113"/>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Anggaran</w:t>
            </w:r>
          </w:p>
        </w:tc>
        <w:tc>
          <w:tcPr>
            <w:tcW w:w="1418" w:type="dxa"/>
            <w:shd w:val="clear" w:color="auto" w:fill="auto"/>
            <w:vAlign w:val="center"/>
            <w:hideMark/>
          </w:tcPr>
          <w:p w14:paraId="7C083122" w14:textId="45819EF2" w:rsidR="00160580" w:rsidRPr="008379CA" w:rsidRDefault="00160580" w:rsidP="00DA0EDF">
            <w:pPr>
              <w:spacing w:before="60" w:line="276" w:lineRule="auto"/>
              <w:ind w:left="-113"/>
              <w:jc w:val="center"/>
              <w:rPr>
                <w:rFonts w:ascii="Bookman Old Style" w:hAnsi="Bookman Old Style" w:cs="Calibri"/>
                <w:bCs/>
                <w:sz w:val="12"/>
                <w:szCs w:val="12"/>
                <w:lang w:val="en-US"/>
              </w:rPr>
            </w:pPr>
            <w:r w:rsidRPr="008379CA">
              <w:rPr>
                <w:rFonts w:ascii="Bookman Old Style" w:hAnsi="Bookman Old Style" w:cs="Calibri"/>
                <w:bCs/>
                <w:sz w:val="12"/>
                <w:szCs w:val="12"/>
                <w:lang w:val="en-US"/>
              </w:rPr>
              <w:t>Realisasi*)</w:t>
            </w:r>
          </w:p>
        </w:tc>
        <w:tc>
          <w:tcPr>
            <w:tcW w:w="709" w:type="dxa"/>
            <w:shd w:val="clear" w:color="auto" w:fill="auto"/>
            <w:vAlign w:val="center"/>
            <w:hideMark/>
          </w:tcPr>
          <w:p w14:paraId="6151EC98" w14:textId="77777777" w:rsidR="00160580" w:rsidRPr="008379CA" w:rsidRDefault="00160580" w:rsidP="0058236F">
            <w:pPr>
              <w:spacing w:before="60" w:line="276" w:lineRule="auto"/>
              <w:jc w:val="center"/>
              <w:rPr>
                <w:rFonts w:ascii="Bookman Old Style" w:hAnsi="Bookman Old Style" w:cs="Calibri"/>
                <w:bCs/>
                <w:sz w:val="12"/>
                <w:szCs w:val="12"/>
                <w:lang w:val="en-US"/>
              </w:rPr>
            </w:pPr>
          </w:p>
        </w:tc>
        <w:tc>
          <w:tcPr>
            <w:tcW w:w="1417" w:type="dxa"/>
            <w:vAlign w:val="center"/>
          </w:tcPr>
          <w:p w14:paraId="68FFFC88" w14:textId="77777777" w:rsidR="00160580" w:rsidRPr="008379CA" w:rsidRDefault="00160580" w:rsidP="009C0CB9">
            <w:pPr>
              <w:spacing w:before="60" w:line="276" w:lineRule="auto"/>
              <w:ind w:left="-154" w:right="-57"/>
              <w:jc w:val="center"/>
              <w:rPr>
                <w:rFonts w:ascii="Bookman Old Style" w:hAnsi="Bookman Old Style" w:cs="Calibri"/>
                <w:bCs/>
                <w:sz w:val="12"/>
                <w:szCs w:val="12"/>
                <w:lang w:val="en-US"/>
              </w:rPr>
            </w:pPr>
          </w:p>
        </w:tc>
        <w:tc>
          <w:tcPr>
            <w:tcW w:w="1061" w:type="dxa"/>
            <w:shd w:val="clear" w:color="auto" w:fill="auto"/>
            <w:vAlign w:val="center"/>
            <w:hideMark/>
          </w:tcPr>
          <w:p w14:paraId="1EEE7E2E" w14:textId="75416657" w:rsidR="00160580" w:rsidRPr="008379CA" w:rsidRDefault="00160580" w:rsidP="0058236F">
            <w:pPr>
              <w:spacing w:before="60" w:line="276" w:lineRule="auto"/>
              <w:jc w:val="center"/>
              <w:rPr>
                <w:rFonts w:ascii="Bookman Old Style" w:hAnsi="Bookman Old Style" w:cs="Calibri"/>
                <w:bCs/>
                <w:sz w:val="12"/>
                <w:szCs w:val="12"/>
                <w:lang w:val="en-US"/>
              </w:rPr>
            </w:pPr>
          </w:p>
        </w:tc>
        <w:tc>
          <w:tcPr>
            <w:tcW w:w="992" w:type="dxa"/>
            <w:shd w:val="clear" w:color="auto" w:fill="auto"/>
            <w:vAlign w:val="center"/>
            <w:hideMark/>
          </w:tcPr>
          <w:p w14:paraId="3E6B60F6" w14:textId="77777777" w:rsidR="00160580" w:rsidRPr="008379CA" w:rsidRDefault="00160580" w:rsidP="0058236F">
            <w:pPr>
              <w:spacing w:before="60" w:line="276" w:lineRule="auto"/>
              <w:jc w:val="center"/>
              <w:rPr>
                <w:rFonts w:ascii="Bookman Old Style" w:hAnsi="Bookman Old Style" w:cs="Calibri"/>
                <w:bCs/>
                <w:sz w:val="12"/>
                <w:szCs w:val="12"/>
                <w:lang w:val="en-US"/>
              </w:rPr>
            </w:pPr>
          </w:p>
        </w:tc>
        <w:tc>
          <w:tcPr>
            <w:tcW w:w="993" w:type="dxa"/>
            <w:shd w:val="clear" w:color="auto" w:fill="auto"/>
            <w:vAlign w:val="center"/>
            <w:hideMark/>
          </w:tcPr>
          <w:p w14:paraId="38738453" w14:textId="77777777" w:rsidR="00160580" w:rsidRPr="008379CA" w:rsidRDefault="00160580" w:rsidP="0058236F">
            <w:pPr>
              <w:spacing w:before="60" w:line="276" w:lineRule="auto"/>
              <w:jc w:val="center"/>
              <w:rPr>
                <w:rFonts w:ascii="Bookman Old Style" w:hAnsi="Bookman Old Style" w:cs="Calibri"/>
                <w:bCs/>
                <w:sz w:val="12"/>
                <w:szCs w:val="12"/>
                <w:lang w:val="en-US"/>
              </w:rPr>
            </w:pPr>
          </w:p>
        </w:tc>
        <w:tc>
          <w:tcPr>
            <w:tcW w:w="849" w:type="dxa"/>
            <w:shd w:val="clear" w:color="auto" w:fill="auto"/>
            <w:noWrap/>
            <w:vAlign w:val="center"/>
            <w:hideMark/>
          </w:tcPr>
          <w:p w14:paraId="42A83E84" w14:textId="77777777" w:rsidR="00160580" w:rsidRPr="008379CA" w:rsidRDefault="00160580" w:rsidP="0058236F">
            <w:pPr>
              <w:spacing w:before="60" w:line="276" w:lineRule="auto"/>
              <w:rPr>
                <w:rFonts w:ascii="Bookman Old Style" w:hAnsi="Bookman Old Style" w:cs="Calibri"/>
                <w:sz w:val="12"/>
                <w:szCs w:val="12"/>
                <w:lang w:val="en-US"/>
              </w:rPr>
            </w:pPr>
          </w:p>
        </w:tc>
      </w:tr>
      <w:tr w:rsidR="008379CA" w:rsidRPr="008379CA" w14:paraId="1D0C2841" w14:textId="77777777" w:rsidTr="009C0CB9">
        <w:trPr>
          <w:trHeight w:val="551"/>
        </w:trPr>
        <w:tc>
          <w:tcPr>
            <w:tcW w:w="1985" w:type="dxa"/>
            <w:shd w:val="clear" w:color="auto" w:fill="auto"/>
            <w:vAlign w:val="center"/>
          </w:tcPr>
          <w:p w14:paraId="28FAD4AA" w14:textId="719834E9" w:rsidR="00F56388" w:rsidRPr="008379CA" w:rsidRDefault="00F56388" w:rsidP="008E0964">
            <w:pPr>
              <w:spacing w:before="60" w:line="276" w:lineRule="auto"/>
              <w:jc w:val="center"/>
              <w:rPr>
                <w:rFonts w:ascii="Bookman Old Style" w:hAnsi="Bookman Old Style"/>
                <w:b/>
                <w:bCs/>
                <w:sz w:val="12"/>
                <w:szCs w:val="12"/>
                <w:lang w:eastAsia="id-ID"/>
              </w:rPr>
            </w:pPr>
            <w:r w:rsidRPr="008379CA">
              <w:rPr>
                <w:rFonts w:ascii="Bookman Old Style" w:hAnsi="Bookman Old Style" w:cs="Calibri"/>
                <w:b/>
                <w:bCs/>
                <w:sz w:val="12"/>
                <w:szCs w:val="12"/>
                <w:lang w:val="en-US"/>
              </w:rPr>
              <w:t>1</w:t>
            </w:r>
          </w:p>
        </w:tc>
        <w:tc>
          <w:tcPr>
            <w:tcW w:w="1418" w:type="dxa"/>
            <w:shd w:val="clear" w:color="auto" w:fill="auto"/>
            <w:vAlign w:val="center"/>
          </w:tcPr>
          <w:p w14:paraId="39BD40AB" w14:textId="7732BC90" w:rsidR="00F56388" w:rsidRPr="008379CA" w:rsidRDefault="00F56388" w:rsidP="00DA0EDF">
            <w:pPr>
              <w:spacing w:before="60" w:line="276" w:lineRule="auto"/>
              <w:ind w:left="-119"/>
              <w:jc w:val="center"/>
              <w:rPr>
                <w:rFonts w:ascii="Bookman Old Style" w:hAnsi="Bookman Old Style"/>
                <w:b/>
                <w:bCs/>
                <w:sz w:val="12"/>
                <w:szCs w:val="12"/>
              </w:rPr>
            </w:pPr>
            <w:r w:rsidRPr="008379CA">
              <w:rPr>
                <w:rFonts w:ascii="Bookman Old Style" w:hAnsi="Bookman Old Style" w:cs="Calibri"/>
                <w:b/>
                <w:bCs/>
                <w:sz w:val="12"/>
                <w:szCs w:val="12"/>
                <w:lang w:val="en-US"/>
              </w:rPr>
              <w:t>2</w:t>
            </w:r>
          </w:p>
        </w:tc>
        <w:tc>
          <w:tcPr>
            <w:tcW w:w="1417" w:type="dxa"/>
            <w:shd w:val="clear" w:color="auto" w:fill="auto"/>
            <w:vAlign w:val="center"/>
          </w:tcPr>
          <w:p w14:paraId="2C66C1D4" w14:textId="7078CC22" w:rsidR="00F56388" w:rsidRPr="008379CA" w:rsidRDefault="00F56388" w:rsidP="00DA0EDF">
            <w:pPr>
              <w:spacing w:before="60" w:line="276" w:lineRule="auto"/>
              <w:ind w:left="-119"/>
              <w:jc w:val="center"/>
              <w:rPr>
                <w:rFonts w:ascii="Bookman Old Style" w:hAnsi="Bookman Old Style"/>
                <w:b/>
                <w:bCs/>
                <w:sz w:val="12"/>
                <w:szCs w:val="12"/>
              </w:rPr>
            </w:pPr>
            <w:r w:rsidRPr="008379CA">
              <w:rPr>
                <w:rFonts w:ascii="Bookman Old Style" w:hAnsi="Bookman Old Style" w:cs="Calibri"/>
                <w:b/>
                <w:bCs/>
                <w:sz w:val="12"/>
                <w:szCs w:val="12"/>
                <w:lang w:val="en-US"/>
              </w:rPr>
              <w:t>3</w:t>
            </w:r>
          </w:p>
        </w:tc>
        <w:tc>
          <w:tcPr>
            <w:tcW w:w="728" w:type="dxa"/>
            <w:shd w:val="clear" w:color="auto" w:fill="auto"/>
            <w:vAlign w:val="center"/>
          </w:tcPr>
          <w:p w14:paraId="7D26B675" w14:textId="653C1CE0" w:rsidR="00F56388" w:rsidRPr="008379CA" w:rsidRDefault="00F56388" w:rsidP="008E0964">
            <w:pPr>
              <w:spacing w:before="60" w:line="276" w:lineRule="auto"/>
              <w:jc w:val="center"/>
              <w:rPr>
                <w:rFonts w:ascii="Bookman Old Style" w:hAnsi="Bookman Old Style"/>
                <w:b/>
                <w:bCs/>
                <w:sz w:val="12"/>
                <w:szCs w:val="12"/>
              </w:rPr>
            </w:pPr>
            <w:r w:rsidRPr="008379CA">
              <w:rPr>
                <w:rFonts w:ascii="Bookman Old Style" w:hAnsi="Bookman Old Style" w:cs="Calibri"/>
                <w:b/>
                <w:bCs/>
                <w:sz w:val="12"/>
                <w:szCs w:val="12"/>
                <w:lang w:val="en-US"/>
              </w:rPr>
              <w:t>4=3/2</w:t>
            </w:r>
          </w:p>
        </w:tc>
        <w:tc>
          <w:tcPr>
            <w:tcW w:w="1398" w:type="dxa"/>
            <w:shd w:val="clear" w:color="auto" w:fill="auto"/>
            <w:vAlign w:val="center"/>
          </w:tcPr>
          <w:p w14:paraId="51329B8B" w14:textId="4E2CA633" w:rsidR="00F56388" w:rsidRPr="008379CA" w:rsidRDefault="00F56388" w:rsidP="009C0CB9">
            <w:pPr>
              <w:spacing w:before="60" w:line="276" w:lineRule="auto"/>
              <w:ind w:left="-133"/>
              <w:jc w:val="center"/>
              <w:rPr>
                <w:rFonts w:ascii="Bookman Old Style" w:hAnsi="Bookman Old Style" w:cs="Calibri"/>
                <w:b/>
                <w:bCs/>
                <w:sz w:val="12"/>
                <w:szCs w:val="12"/>
              </w:rPr>
            </w:pPr>
            <w:r w:rsidRPr="008379CA">
              <w:rPr>
                <w:rFonts w:ascii="Bookman Old Style" w:hAnsi="Bookman Old Style" w:cs="Calibri"/>
                <w:b/>
                <w:bCs/>
                <w:sz w:val="12"/>
                <w:szCs w:val="12"/>
                <w:lang w:val="en-US"/>
              </w:rPr>
              <w:t>5</w:t>
            </w:r>
          </w:p>
        </w:tc>
        <w:tc>
          <w:tcPr>
            <w:tcW w:w="1418" w:type="dxa"/>
            <w:shd w:val="clear" w:color="auto" w:fill="auto"/>
            <w:vAlign w:val="center"/>
          </w:tcPr>
          <w:p w14:paraId="1D85F2D9" w14:textId="21F0D0CA" w:rsidR="00F56388" w:rsidRPr="008379CA" w:rsidRDefault="00F56388" w:rsidP="009C0CB9">
            <w:pPr>
              <w:spacing w:before="60" w:line="276" w:lineRule="auto"/>
              <w:ind w:left="-114"/>
              <w:jc w:val="center"/>
              <w:rPr>
                <w:rFonts w:ascii="Bookman Old Style" w:hAnsi="Bookman Old Style" w:cs="Calibri"/>
                <w:b/>
                <w:bCs/>
                <w:sz w:val="12"/>
                <w:szCs w:val="12"/>
              </w:rPr>
            </w:pPr>
            <w:r w:rsidRPr="008379CA">
              <w:rPr>
                <w:rFonts w:ascii="Bookman Old Style" w:hAnsi="Bookman Old Style" w:cs="Calibri"/>
                <w:b/>
                <w:bCs/>
                <w:sz w:val="12"/>
                <w:szCs w:val="12"/>
                <w:lang w:val="en-US"/>
              </w:rPr>
              <w:t>6</w:t>
            </w:r>
          </w:p>
        </w:tc>
        <w:tc>
          <w:tcPr>
            <w:tcW w:w="692" w:type="dxa"/>
            <w:shd w:val="clear" w:color="auto" w:fill="auto"/>
            <w:vAlign w:val="center"/>
          </w:tcPr>
          <w:p w14:paraId="36C23005" w14:textId="2E869C31" w:rsidR="00F56388" w:rsidRPr="008379CA" w:rsidRDefault="00F56388" w:rsidP="008E0964">
            <w:pPr>
              <w:spacing w:before="60" w:line="276" w:lineRule="auto"/>
              <w:jc w:val="center"/>
              <w:rPr>
                <w:rFonts w:ascii="Bookman Old Style" w:hAnsi="Bookman Old Style" w:cs="Calibri"/>
                <w:b/>
                <w:bCs/>
                <w:sz w:val="12"/>
                <w:szCs w:val="12"/>
              </w:rPr>
            </w:pPr>
            <w:r w:rsidRPr="008379CA">
              <w:rPr>
                <w:rFonts w:ascii="Bookman Old Style" w:hAnsi="Bookman Old Style" w:cs="Calibri"/>
                <w:b/>
                <w:bCs/>
                <w:sz w:val="12"/>
                <w:szCs w:val="12"/>
                <w:lang w:val="en-US"/>
              </w:rPr>
              <w:t>7=6/5</w:t>
            </w:r>
          </w:p>
        </w:tc>
        <w:tc>
          <w:tcPr>
            <w:tcW w:w="1434" w:type="dxa"/>
            <w:shd w:val="clear" w:color="auto" w:fill="auto"/>
            <w:vAlign w:val="center"/>
          </w:tcPr>
          <w:p w14:paraId="52B90AB4" w14:textId="7D22D039" w:rsidR="00F56388" w:rsidRPr="008379CA" w:rsidRDefault="00F56388" w:rsidP="00DA0EDF">
            <w:pPr>
              <w:spacing w:before="60" w:line="276" w:lineRule="auto"/>
              <w:ind w:left="-113"/>
              <w:jc w:val="center"/>
              <w:rPr>
                <w:rFonts w:ascii="Bookman Old Style" w:hAnsi="Bookman Old Style" w:cs="Calibri"/>
                <w:b/>
                <w:bCs/>
                <w:sz w:val="12"/>
                <w:szCs w:val="12"/>
              </w:rPr>
            </w:pPr>
            <w:r w:rsidRPr="008379CA">
              <w:rPr>
                <w:rFonts w:ascii="Bookman Old Style" w:hAnsi="Bookman Old Style" w:cs="Calibri"/>
                <w:b/>
                <w:bCs/>
                <w:sz w:val="12"/>
                <w:szCs w:val="12"/>
                <w:lang w:val="en-US"/>
              </w:rPr>
              <w:t>8</w:t>
            </w:r>
          </w:p>
        </w:tc>
        <w:tc>
          <w:tcPr>
            <w:tcW w:w="1418" w:type="dxa"/>
            <w:shd w:val="clear" w:color="auto" w:fill="auto"/>
            <w:vAlign w:val="center"/>
          </w:tcPr>
          <w:p w14:paraId="1FDC81E5" w14:textId="3B9B2566" w:rsidR="00F56388" w:rsidRPr="008379CA" w:rsidRDefault="00F56388" w:rsidP="00DA0EDF">
            <w:pPr>
              <w:spacing w:before="60" w:line="276" w:lineRule="auto"/>
              <w:ind w:left="-113"/>
              <w:jc w:val="center"/>
              <w:rPr>
                <w:rFonts w:ascii="Bookman Old Style" w:hAnsi="Bookman Old Style" w:cs="Calibri"/>
                <w:b/>
                <w:bCs/>
                <w:sz w:val="12"/>
                <w:szCs w:val="12"/>
              </w:rPr>
            </w:pPr>
            <w:r w:rsidRPr="008379CA">
              <w:rPr>
                <w:rFonts w:ascii="Bookman Old Style" w:hAnsi="Bookman Old Style" w:cs="Calibri"/>
                <w:b/>
                <w:bCs/>
                <w:sz w:val="12"/>
                <w:szCs w:val="12"/>
                <w:lang w:val="en-US"/>
              </w:rPr>
              <w:t>9</w:t>
            </w:r>
          </w:p>
        </w:tc>
        <w:tc>
          <w:tcPr>
            <w:tcW w:w="709" w:type="dxa"/>
            <w:shd w:val="clear" w:color="auto" w:fill="auto"/>
            <w:vAlign w:val="center"/>
          </w:tcPr>
          <w:p w14:paraId="696FF43F" w14:textId="49F69C49" w:rsidR="00F56388" w:rsidRPr="008379CA" w:rsidRDefault="00F56388" w:rsidP="008E0964">
            <w:pPr>
              <w:spacing w:before="60" w:line="276" w:lineRule="auto"/>
              <w:jc w:val="center"/>
              <w:rPr>
                <w:rFonts w:ascii="Bookman Old Style" w:hAnsi="Bookman Old Style" w:cs="Calibri"/>
                <w:b/>
                <w:bCs/>
                <w:sz w:val="12"/>
                <w:szCs w:val="12"/>
              </w:rPr>
            </w:pPr>
            <w:r w:rsidRPr="008379CA">
              <w:rPr>
                <w:rFonts w:ascii="Bookman Old Style" w:hAnsi="Bookman Old Style" w:cs="Calibri"/>
                <w:b/>
                <w:bCs/>
                <w:sz w:val="12"/>
                <w:szCs w:val="12"/>
                <w:lang w:val="en-US"/>
              </w:rPr>
              <w:t>10=9/8</w:t>
            </w:r>
          </w:p>
        </w:tc>
        <w:tc>
          <w:tcPr>
            <w:tcW w:w="1417" w:type="dxa"/>
            <w:shd w:val="clear" w:color="auto" w:fill="auto"/>
            <w:vAlign w:val="center"/>
          </w:tcPr>
          <w:p w14:paraId="06FA0EB9" w14:textId="14D67B62" w:rsidR="00F56388" w:rsidRPr="008379CA" w:rsidRDefault="00F56388" w:rsidP="009C0CB9">
            <w:pPr>
              <w:ind w:left="-154" w:right="-57"/>
              <w:jc w:val="center"/>
              <w:rPr>
                <w:rFonts w:ascii="Bookman Old Style" w:hAnsi="Bookman Old Style" w:cs="Calibri"/>
                <w:b/>
                <w:bCs/>
                <w:sz w:val="12"/>
                <w:szCs w:val="12"/>
              </w:rPr>
            </w:pPr>
            <w:r w:rsidRPr="008379CA">
              <w:rPr>
                <w:rFonts w:ascii="Bookman Old Style" w:hAnsi="Bookman Old Style" w:cs="Calibri"/>
                <w:b/>
                <w:bCs/>
                <w:sz w:val="12"/>
                <w:szCs w:val="12"/>
                <w:lang w:val="en-US"/>
              </w:rPr>
              <w:t>11</w:t>
            </w:r>
          </w:p>
        </w:tc>
        <w:tc>
          <w:tcPr>
            <w:tcW w:w="1061" w:type="dxa"/>
            <w:shd w:val="clear" w:color="auto" w:fill="auto"/>
            <w:vAlign w:val="center"/>
          </w:tcPr>
          <w:p w14:paraId="42139005" w14:textId="0348106F" w:rsidR="00F56388" w:rsidRPr="008379CA" w:rsidRDefault="00F56388" w:rsidP="008E0964">
            <w:pPr>
              <w:spacing w:before="60" w:line="276" w:lineRule="auto"/>
              <w:jc w:val="center"/>
              <w:rPr>
                <w:rFonts w:ascii="Bookman Old Style" w:hAnsi="Bookman Old Style" w:cs="Calibri"/>
                <w:b/>
                <w:bCs/>
                <w:sz w:val="12"/>
                <w:szCs w:val="12"/>
              </w:rPr>
            </w:pPr>
            <w:r w:rsidRPr="008379CA">
              <w:rPr>
                <w:rFonts w:ascii="Bookman Old Style" w:hAnsi="Bookman Old Style" w:cs="Calibri"/>
                <w:b/>
                <w:bCs/>
                <w:sz w:val="12"/>
                <w:szCs w:val="12"/>
                <w:lang w:val="en-US"/>
              </w:rPr>
              <w:t>12=5/2</w:t>
            </w:r>
          </w:p>
        </w:tc>
        <w:tc>
          <w:tcPr>
            <w:tcW w:w="992" w:type="dxa"/>
            <w:shd w:val="clear" w:color="auto" w:fill="auto"/>
            <w:vAlign w:val="center"/>
          </w:tcPr>
          <w:p w14:paraId="0388EE3B" w14:textId="7EAB1DC7" w:rsidR="00F56388" w:rsidRPr="008379CA" w:rsidRDefault="00F56388" w:rsidP="008E0964">
            <w:pPr>
              <w:spacing w:before="60" w:line="276" w:lineRule="auto"/>
              <w:jc w:val="center"/>
              <w:rPr>
                <w:rFonts w:ascii="Bookman Old Style" w:hAnsi="Bookman Old Style" w:cs="Calibri"/>
                <w:b/>
                <w:bCs/>
                <w:sz w:val="12"/>
                <w:szCs w:val="12"/>
              </w:rPr>
            </w:pPr>
            <w:r w:rsidRPr="008379CA">
              <w:rPr>
                <w:rFonts w:ascii="Bookman Old Style" w:hAnsi="Bookman Old Style" w:cs="Calibri"/>
                <w:b/>
                <w:bCs/>
                <w:sz w:val="12"/>
                <w:szCs w:val="12"/>
                <w:lang w:val="en-US"/>
              </w:rPr>
              <w:t>13=8/5</w:t>
            </w:r>
          </w:p>
        </w:tc>
        <w:tc>
          <w:tcPr>
            <w:tcW w:w="993" w:type="dxa"/>
            <w:shd w:val="clear" w:color="auto" w:fill="auto"/>
            <w:vAlign w:val="center"/>
          </w:tcPr>
          <w:p w14:paraId="3727FBD1" w14:textId="05A268FD" w:rsidR="00F56388" w:rsidRPr="008379CA" w:rsidRDefault="00F56388" w:rsidP="008E0964">
            <w:pPr>
              <w:spacing w:before="60" w:line="276" w:lineRule="auto"/>
              <w:jc w:val="center"/>
              <w:rPr>
                <w:rFonts w:ascii="Bookman Old Style" w:hAnsi="Bookman Old Style" w:cs="Calibri"/>
                <w:b/>
                <w:bCs/>
                <w:sz w:val="12"/>
                <w:szCs w:val="12"/>
              </w:rPr>
            </w:pPr>
            <w:r w:rsidRPr="008379CA">
              <w:rPr>
                <w:rFonts w:ascii="Bookman Old Style" w:hAnsi="Bookman Old Style" w:cs="Calibri"/>
                <w:b/>
                <w:bCs/>
                <w:sz w:val="12"/>
                <w:szCs w:val="12"/>
                <w:lang w:val="en-US"/>
              </w:rPr>
              <w:t>14=11/8</w:t>
            </w:r>
          </w:p>
        </w:tc>
        <w:tc>
          <w:tcPr>
            <w:tcW w:w="849" w:type="dxa"/>
            <w:shd w:val="clear" w:color="auto" w:fill="auto"/>
            <w:noWrap/>
            <w:vAlign w:val="center"/>
          </w:tcPr>
          <w:p w14:paraId="13F4451D" w14:textId="42A26888" w:rsidR="00F56388" w:rsidRPr="008379CA" w:rsidRDefault="00F56388" w:rsidP="008E0964">
            <w:pPr>
              <w:spacing w:before="60" w:line="276" w:lineRule="auto"/>
              <w:jc w:val="center"/>
              <w:rPr>
                <w:rFonts w:ascii="Bookman Old Style" w:hAnsi="Bookman Old Style" w:cs="Calibri"/>
                <w:b/>
                <w:bCs/>
                <w:sz w:val="12"/>
                <w:szCs w:val="12"/>
              </w:rPr>
            </w:pPr>
            <w:r w:rsidRPr="008379CA">
              <w:rPr>
                <w:rFonts w:ascii="Bookman Old Style" w:hAnsi="Bookman Old Style" w:cs="Calibri"/>
                <w:b/>
                <w:bCs/>
                <w:sz w:val="12"/>
                <w:szCs w:val="12"/>
                <w:lang w:val="en-US"/>
              </w:rPr>
              <w:t>15=(12+13+14)/3</w:t>
            </w:r>
          </w:p>
        </w:tc>
      </w:tr>
      <w:tr w:rsidR="008379CA" w:rsidRPr="008379CA" w14:paraId="47BBF903" w14:textId="77777777" w:rsidTr="009C0CB9">
        <w:trPr>
          <w:trHeight w:val="551"/>
        </w:trPr>
        <w:tc>
          <w:tcPr>
            <w:tcW w:w="1985" w:type="dxa"/>
            <w:shd w:val="clear" w:color="auto" w:fill="auto"/>
            <w:vAlign w:val="center"/>
          </w:tcPr>
          <w:p w14:paraId="04F244ED" w14:textId="2414DD57" w:rsidR="00F16864" w:rsidRPr="008379CA" w:rsidRDefault="00F16864" w:rsidP="00F16864">
            <w:pPr>
              <w:spacing w:before="60" w:line="276" w:lineRule="auto"/>
              <w:jc w:val="both"/>
              <w:rPr>
                <w:rFonts w:ascii="Bookman Old Style" w:hAnsi="Bookman Old Style" w:cs="Calibri"/>
                <w:b/>
                <w:bCs/>
                <w:sz w:val="12"/>
                <w:szCs w:val="12"/>
                <w:lang w:val="en-US"/>
              </w:rPr>
            </w:pPr>
            <w:r w:rsidRPr="008379CA">
              <w:rPr>
                <w:rFonts w:ascii="Bookman Old Style" w:hAnsi="Bookman Old Style"/>
                <w:b/>
                <w:bCs/>
                <w:sz w:val="12"/>
                <w:szCs w:val="12"/>
                <w:lang w:eastAsia="id-ID"/>
              </w:rPr>
              <w:t>PEMBIAYAAN</w:t>
            </w:r>
            <w:r w:rsidR="00A954D0" w:rsidRPr="008379CA">
              <w:rPr>
                <w:rFonts w:ascii="Bookman Old Style" w:hAnsi="Bookman Old Style"/>
                <w:b/>
                <w:bCs/>
                <w:sz w:val="12"/>
                <w:szCs w:val="12"/>
                <w:lang w:eastAsia="id-ID"/>
              </w:rPr>
              <w:t xml:space="preserve"> </w:t>
            </w:r>
            <w:r w:rsidRPr="008379CA">
              <w:rPr>
                <w:rFonts w:ascii="Bookman Old Style" w:hAnsi="Bookman Old Style"/>
                <w:b/>
                <w:bCs/>
                <w:sz w:val="12"/>
                <w:szCs w:val="12"/>
                <w:lang w:eastAsia="id-ID"/>
              </w:rPr>
              <w:t>DAERAH</w:t>
            </w:r>
          </w:p>
        </w:tc>
        <w:tc>
          <w:tcPr>
            <w:tcW w:w="1418" w:type="dxa"/>
            <w:shd w:val="clear" w:color="auto" w:fill="auto"/>
            <w:vAlign w:val="center"/>
          </w:tcPr>
          <w:p w14:paraId="5D4AE042" w14:textId="566E209D" w:rsidR="00F16864" w:rsidRPr="008379CA" w:rsidRDefault="00F16864" w:rsidP="00DA0EDF">
            <w:pPr>
              <w:spacing w:before="60" w:line="276" w:lineRule="auto"/>
              <w:ind w:left="-119"/>
              <w:jc w:val="right"/>
              <w:rPr>
                <w:rFonts w:ascii="Bookman Old Style" w:hAnsi="Bookman Old Style" w:cs="Calibri"/>
                <w:b/>
                <w:bCs/>
                <w:sz w:val="12"/>
                <w:szCs w:val="12"/>
                <w:lang w:val="en-US"/>
              </w:rPr>
            </w:pPr>
            <w:r w:rsidRPr="008379CA">
              <w:rPr>
                <w:rFonts w:ascii="Bookman Old Style" w:hAnsi="Bookman Old Style" w:cs="Calibri"/>
                <w:b/>
                <w:bCs/>
                <w:sz w:val="12"/>
                <w:szCs w:val="12"/>
              </w:rPr>
              <w:t>662.942.973.476</w:t>
            </w:r>
            <w:r w:rsidR="00DA0EDF" w:rsidRPr="008379CA">
              <w:rPr>
                <w:rFonts w:ascii="Bookman Old Style" w:hAnsi="Bookman Old Style" w:cs="Calibri"/>
                <w:sz w:val="12"/>
                <w:szCs w:val="12"/>
              </w:rPr>
              <w:t>,00</w:t>
            </w:r>
            <w:r w:rsidR="00DA0EDF" w:rsidRPr="008379CA">
              <w:rPr>
                <w:rFonts w:ascii="Bookman Old Style" w:hAnsi="Bookman Old Style" w:cs="Calibri"/>
                <w:b/>
                <w:bCs/>
                <w:sz w:val="12"/>
                <w:szCs w:val="12"/>
              </w:rPr>
              <w:t xml:space="preserve"> </w:t>
            </w:r>
            <w:r w:rsidR="00DA0EDF" w:rsidRPr="008379CA">
              <w:rPr>
                <w:rFonts w:ascii="Bookman Old Style" w:hAnsi="Bookman Old Style" w:cs="Calibri"/>
                <w:sz w:val="12"/>
                <w:szCs w:val="12"/>
              </w:rPr>
              <w:t xml:space="preserve"> </w:t>
            </w:r>
          </w:p>
        </w:tc>
        <w:tc>
          <w:tcPr>
            <w:tcW w:w="1417" w:type="dxa"/>
            <w:shd w:val="clear" w:color="auto" w:fill="auto"/>
            <w:vAlign w:val="center"/>
          </w:tcPr>
          <w:p w14:paraId="1C8A2B9B" w14:textId="6C203C1D" w:rsidR="00F16864" w:rsidRPr="008379CA" w:rsidRDefault="00F16864" w:rsidP="00DA0EDF">
            <w:pPr>
              <w:spacing w:before="60" w:line="276" w:lineRule="auto"/>
              <w:ind w:left="-119"/>
              <w:jc w:val="right"/>
              <w:rPr>
                <w:rFonts w:ascii="Bookman Old Style" w:hAnsi="Bookman Old Style" w:cs="Calibri"/>
                <w:b/>
                <w:bCs/>
                <w:sz w:val="12"/>
                <w:szCs w:val="12"/>
                <w:lang w:val="en-US"/>
              </w:rPr>
            </w:pPr>
            <w:r w:rsidRPr="008379CA">
              <w:rPr>
                <w:rFonts w:ascii="Bookman Old Style" w:hAnsi="Bookman Old Style" w:cs="Calibri"/>
                <w:b/>
                <w:bCs/>
                <w:sz w:val="12"/>
                <w:szCs w:val="12"/>
              </w:rPr>
              <w:t>662.934.925.149</w:t>
            </w:r>
            <w:r w:rsidR="00DA0EDF" w:rsidRPr="008379CA">
              <w:rPr>
                <w:rFonts w:ascii="Bookman Old Style" w:hAnsi="Bookman Old Style" w:cs="Calibri"/>
                <w:sz w:val="12"/>
                <w:szCs w:val="12"/>
              </w:rPr>
              <w:t>,00</w:t>
            </w:r>
            <w:r w:rsidR="00DA0EDF" w:rsidRPr="008379CA">
              <w:rPr>
                <w:rFonts w:ascii="Bookman Old Style" w:hAnsi="Bookman Old Style" w:cs="Calibri"/>
                <w:b/>
                <w:bCs/>
                <w:sz w:val="12"/>
                <w:szCs w:val="12"/>
              </w:rPr>
              <w:t xml:space="preserve"> </w:t>
            </w:r>
            <w:r w:rsidR="00DA0EDF" w:rsidRPr="008379CA">
              <w:rPr>
                <w:rFonts w:ascii="Bookman Old Style" w:hAnsi="Bookman Old Style" w:cs="Calibri"/>
                <w:sz w:val="12"/>
                <w:szCs w:val="12"/>
              </w:rPr>
              <w:t xml:space="preserve"> </w:t>
            </w:r>
          </w:p>
        </w:tc>
        <w:tc>
          <w:tcPr>
            <w:tcW w:w="728" w:type="dxa"/>
            <w:shd w:val="clear" w:color="auto" w:fill="auto"/>
            <w:vAlign w:val="center"/>
          </w:tcPr>
          <w:p w14:paraId="7BB794CC" w14:textId="63E84676" w:rsidR="00F16864" w:rsidRPr="008379CA" w:rsidRDefault="00F16864" w:rsidP="00F16864">
            <w:pPr>
              <w:spacing w:before="60" w:line="276" w:lineRule="auto"/>
              <w:jc w:val="right"/>
              <w:rPr>
                <w:rFonts w:ascii="Bookman Old Style" w:hAnsi="Bookman Old Style" w:cs="Calibri"/>
                <w:b/>
                <w:bCs/>
                <w:sz w:val="12"/>
                <w:szCs w:val="12"/>
                <w:lang w:val="en-US"/>
              </w:rPr>
            </w:pPr>
            <w:r w:rsidRPr="008379CA">
              <w:rPr>
                <w:rFonts w:ascii="Bookman Old Style" w:hAnsi="Bookman Old Style" w:cs="Calibri"/>
                <w:b/>
                <w:bCs/>
                <w:sz w:val="12"/>
                <w:szCs w:val="12"/>
              </w:rPr>
              <w:t>100,00</w:t>
            </w:r>
            <w:r w:rsidR="00A954D0" w:rsidRPr="008379CA">
              <w:rPr>
                <w:rFonts w:ascii="Bookman Old Style" w:hAnsi="Bookman Old Style" w:cs="Calibri"/>
                <w:b/>
                <w:bCs/>
                <w:sz w:val="12"/>
                <w:szCs w:val="12"/>
              </w:rPr>
              <w:t xml:space="preserve"> </w:t>
            </w:r>
          </w:p>
        </w:tc>
        <w:tc>
          <w:tcPr>
            <w:tcW w:w="1398" w:type="dxa"/>
            <w:shd w:val="clear" w:color="auto" w:fill="auto"/>
            <w:vAlign w:val="center"/>
          </w:tcPr>
          <w:p w14:paraId="4CD45EDA" w14:textId="391242CF" w:rsidR="00F16864" w:rsidRPr="008379CA" w:rsidRDefault="00F16864" w:rsidP="009C0CB9">
            <w:pPr>
              <w:spacing w:before="60" w:line="276" w:lineRule="auto"/>
              <w:ind w:left="-133"/>
              <w:jc w:val="right"/>
              <w:rPr>
                <w:rFonts w:ascii="Bookman Old Style" w:hAnsi="Bookman Old Style" w:cs="Calibri"/>
                <w:b/>
                <w:bCs/>
                <w:sz w:val="12"/>
                <w:szCs w:val="12"/>
                <w:lang w:val="en-US"/>
              </w:rPr>
            </w:pPr>
            <w:r w:rsidRPr="008379CA">
              <w:rPr>
                <w:rFonts w:ascii="Bookman Old Style" w:hAnsi="Bookman Old Style" w:cs="Calibri"/>
                <w:b/>
                <w:bCs/>
                <w:sz w:val="12"/>
                <w:szCs w:val="12"/>
              </w:rPr>
              <w:t>502.606.348.483</w:t>
            </w:r>
            <w:r w:rsidR="00DA0EDF" w:rsidRPr="008379CA">
              <w:rPr>
                <w:rFonts w:ascii="Bookman Old Style" w:hAnsi="Bookman Old Style" w:cs="Calibri"/>
                <w:sz w:val="12"/>
                <w:szCs w:val="12"/>
              </w:rPr>
              <w:t>,00</w:t>
            </w:r>
            <w:r w:rsidR="00DA0EDF" w:rsidRPr="008379CA">
              <w:rPr>
                <w:rFonts w:ascii="Bookman Old Style" w:hAnsi="Bookman Old Style" w:cs="Calibri"/>
                <w:b/>
                <w:bCs/>
                <w:sz w:val="12"/>
                <w:szCs w:val="12"/>
              </w:rPr>
              <w:t xml:space="preserve"> </w:t>
            </w:r>
            <w:r w:rsidR="00DA0EDF" w:rsidRPr="008379CA">
              <w:rPr>
                <w:rFonts w:ascii="Bookman Old Style" w:hAnsi="Bookman Old Style" w:cs="Calibri"/>
                <w:sz w:val="12"/>
                <w:szCs w:val="12"/>
              </w:rPr>
              <w:t xml:space="preserve"> </w:t>
            </w:r>
          </w:p>
        </w:tc>
        <w:tc>
          <w:tcPr>
            <w:tcW w:w="1418" w:type="dxa"/>
            <w:shd w:val="clear" w:color="auto" w:fill="auto"/>
            <w:vAlign w:val="center"/>
          </w:tcPr>
          <w:p w14:paraId="0A47BE12" w14:textId="6BD13000" w:rsidR="00F16864" w:rsidRPr="008379CA" w:rsidRDefault="00F16864" w:rsidP="009C0CB9">
            <w:pPr>
              <w:spacing w:before="60" w:line="276" w:lineRule="auto"/>
              <w:ind w:left="-114"/>
              <w:jc w:val="right"/>
              <w:rPr>
                <w:rFonts w:ascii="Bookman Old Style" w:hAnsi="Bookman Old Style" w:cs="Calibri"/>
                <w:b/>
                <w:bCs/>
                <w:sz w:val="12"/>
                <w:szCs w:val="12"/>
                <w:lang w:val="en-US"/>
              </w:rPr>
            </w:pPr>
            <w:r w:rsidRPr="008379CA">
              <w:rPr>
                <w:rFonts w:ascii="Bookman Old Style" w:hAnsi="Bookman Old Style" w:cs="Calibri"/>
                <w:b/>
                <w:bCs/>
                <w:sz w:val="12"/>
                <w:szCs w:val="12"/>
              </w:rPr>
              <w:t>502.593.555.633</w:t>
            </w:r>
            <w:r w:rsidR="00DA0EDF" w:rsidRPr="008379CA">
              <w:rPr>
                <w:rFonts w:ascii="Bookman Old Style" w:hAnsi="Bookman Old Style" w:cs="Calibri"/>
                <w:sz w:val="12"/>
                <w:szCs w:val="12"/>
              </w:rPr>
              <w:t>,00</w:t>
            </w:r>
            <w:r w:rsidR="00DA0EDF" w:rsidRPr="008379CA">
              <w:rPr>
                <w:rFonts w:ascii="Bookman Old Style" w:hAnsi="Bookman Old Style" w:cs="Calibri"/>
                <w:b/>
                <w:bCs/>
                <w:sz w:val="12"/>
                <w:szCs w:val="12"/>
              </w:rPr>
              <w:t xml:space="preserve"> </w:t>
            </w:r>
            <w:r w:rsidR="00DA0EDF" w:rsidRPr="008379CA">
              <w:rPr>
                <w:rFonts w:ascii="Bookman Old Style" w:hAnsi="Bookman Old Style" w:cs="Calibri"/>
                <w:sz w:val="12"/>
                <w:szCs w:val="12"/>
              </w:rPr>
              <w:t xml:space="preserve"> </w:t>
            </w:r>
          </w:p>
        </w:tc>
        <w:tc>
          <w:tcPr>
            <w:tcW w:w="692" w:type="dxa"/>
            <w:shd w:val="clear" w:color="auto" w:fill="auto"/>
            <w:vAlign w:val="center"/>
          </w:tcPr>
          <w:p w14:paraId="7D536917" w14:textId="29F9F030" w:rsidR="00F16864" w:rsidRPr="008379CA" w:rsidRDefault="00F16864" w:rsidP="00F16864">
            <w:pPr>
              <w:spacing w:before="60" w:line="276" w:lineRule="auto"/>
              <w:jc w:val="right"/>
              <w:rPr>
                <w:rFonts w:ascii="Bookman Old Style" w:hAnsi="Bookman Old Style" w:cs="Calibri"/>
                <w:b/>
                <w:bCs/>
                <w:sz w:val="12"/>
                <w:szCs w:val="12"/>
                <w:lang w:val="en-US"/>
              </w:rPr>
            </w:pPr>
            <w:r w:rsidRPr="008379CA">
              <w:rPr>
                <w:rFonts w:ascii="Bookman Old Style" w:hAnsi="Bookman Old Style" w:cs="Calibri"/>
                <w:b/>
                <w:bCs/>
                <w:sz w:val="12"/>
                <w:szCs w:val="12"/>
              </w:rPr>
              <w:t>100,00</w:t>
            </w:r>
            <w:r w:rsidR="00A954D0" w:rsidRPr="008379CA">
              <w:rPr>
                <w:rFonts w:ascii="Bookman Old Style" w:hAnsi="Bookman Old Style" w:cs="Calibri"/>
                <w:b/>
                <w:bCs/>
                <w:sz w:val="12"/>
                <w:szCs w:val="12"/>
              </w:rPr>
              <w:t xml:space="preserve"> </w:t>
            </w:r>
          </w:p>
        </w:tc>
        <w:tc>
          <w:tcPr>
            <w:tcW w:w="1434" w:type="dxa"/>
            <w:shd w:val="clear" w:color="auto" w:fill="auto"/>
            <w:vAlign w:val="center"/>
          </w:tcPr>
          <w:p w14:paraId="03F38C2C" w14:textId="3ACD5879" w:rsidR="00F16864" w:rsidRPr="008379CA" w:rsidRDefault="00F16864" w:rsidP="00DA0EDF">
            <w:pPr>
              <w:spacing w:before="60" w:line="276" w:lineRule="auto"/>
              <w:ind w:left="-113"/>
              <w:jc w:val="right"/>
              <w:rPr>
                <w:rFonts w:ascii="Bookman Old Style" w:hAnsi="Bookman Old Style" w:cs="Calibri"/>
                <w:b/>
                <w:bCs/>
                <w:sz w:val="12"/>
                <w:szCs w:val="12"/>
                <w:lang w:val="en-US"/>
              </w:rPr>
            </w:pPr>
            <w:r w:rsidRPr="008379CA">
              <w:rPr>
                <w:rFonts w:ascii="Bookman Old Style" w:hAnsi="Bookman Old Style" w:cs="Calibri"/>
                <w:b/>
                <w:bCs/>
                <w:sz w:val="12"/>
                <w:szCs w:val="12"/>
              </w:rPr>
              <w:t>488.362.728.165</w:t>
            </w:r>
            <w:r w:rsidR="00DA0EDF" w:rsidRPr="008379CA">
              <w:rPr>
                <w:rFonts w:ascii="Bookman Old Style" w:hAnsi="Bookman Old Style" w:cs="Calibri"/>
                <w:sz w:val="12"/>
                <w:szCs w:val="12"/>
              </w:rPr>
              <w:t>,00</w:t>
            </w:r>
            <w:r w:rsidR="00DA0EDF" w:rsidRPr="008379CA">
              <w:rPr>
                <w:rFonts w:ascii="Bookman Old Style" w:hAnsi="Bookman Old Style" w:cs="Calibri"/>
                <w:b/>
                <w:bCs/>
                <w:sz w:val="12"/>
                <w:szCs w:val="12"/>
              </w:rPr>
              <w:t xml:space="preserve"> </w:t>
            </w:r>
            <w:r w:rsidR="00DA0EDF" w:rsidRPr="008379CA">
              <w:rPr>
                <w:rFonts w:ascii="Bookman Old Style" w:hAnsi="Bookman Old Style" w:cs="Calibri"/>
                <w:sz w:val="12"/>
                <w:szCs w:val="12"/>
              </w:rPr>
              <w:t xml:space="preserve"> </w:t>
            </w:r>
          </w:p>
        </w:tc>
        <w:tc>
          <w:tcPr>
            <w:tcW w:w="1418" w:type="dxa"/>
            <w:shd w:val="clear" w:color="auto" w:fill="auto"/>
            <w:vAlign w:val="center"/>
          </w:tcPr>
          <w:p w14:paraId="31552E5B" w14:textId="72C7E94E" w:rsidR="00F16864" w:rsidRPr="008379CA" w:rsidRDefault="00F16864" w:rsidP="00DA0EDF">
            <w:pPr>
              <w:spacing w:before="60" w:line="276" w:lineRule="auto"/>
              <w:ind w:left="-113"/>
              <w:jc w:val="right"/>
              <w:rPr>
                <w:rFonts w:ascii="Bookman Old Style" w:hAnsi="Bookman Old Style" w:cs="Calibri"/>
                <w:b/>
                <w:bCs/>
                <w:sz w:val="12"/>
                <w:szCs w:val="12"/>
                <w:lang w:val="en-US"/>
              </w:rPr>
            </w:pPr>
            <w:r w:rsidRPr="008379CA">
              <w:rPr>
                <w:rFonts w:ascii="Bookman Old Style" w:hAnsi="Bookman Old Style" w:cs="Calibri"/>
                <w:b/>
                <w:bCs/>
                <w:sz w:val="12"/>
                <w:szCs w:val="12"/>
              </w:rPr>
              <w:t>488.362.</w:t>
            </w:r>
            <w:r w:rsidR="00BD26A9" w:rsidRPr="008379CA">
              <w:rPr>
                <w:rFonts w:ascii="Bookman Old Style" w:hAnsi="Bookman Old Style" w:cs="Calibri"/>
                <w:b/>
                <w:bCs/>
                <w:sz w:val="12"/>
                <w:szCs w:val="12"/>
              </w:rPr>
              <w:t>66</w:t>
            </w:r>
            <w:r w:rsidRPr="008379CA">
              <w:rPr>
                <w:rFonts w:ascii="Bookman Old Style" w:hAnsi="Bookman Old Style" w:cs="Calibri"/>
                <w:b/>
                <w:bCs/>
                <w:sz w:val="12"/>
                <w:szCs w:val="12"/>
              </w:rPr>
              <w:t>8.</w:t>
            </w:r>
            <w:r w:rsidR="00BD26A9" w:rsidRPr="008379CA">
              <w:rPr>
                <w:rFonts w:ascii="Bookman Old Style" w:hAnsi="Bookman Old Style" w:cs="Calibri"/>
                <w:b/>
                <w:bCs/>
                <w:sz w:val="12"/>
                <w:szCs w:val="12"/>
              </w:rPr>
              <w:t>7</w:t>
            </w:r>
            <w:r w:rsidRPr="008379CA">
              <w:rPr>
                <w:rFonts w:ascii="Bookman Old Style" w:hAnsi="Bookman Old Style" w:cs="Calibri"/>
                <w:b/>
                <w:bCs/>
                <w:sz w:val="12"/>
                <w:szCs w:val="12"/>
              </w:rPr>
              <w:t>65</w:t>
            </w:r>
            <w:r w:rsidR="00DA0EDF" w:rsidRPr="008379CA">
              <w:rPr>
                <w:rFonts w:ascii="Bookman Old Style" w:hAnsi="Bookman Old Style" w:cs="Calibri"/>
                <w:sz w:val="12"/>
                <w:szCs w:val="12"/>
              </w:rPr>
              <w:t>,00</w:t>
            </w:r>
            <w:r w:rsidR="00DA0EDF" w:rsidRPr="008379CA">
              <w:rPr>
                <w:rFonts w:ascii="Bookman Old Style" w:hAnsi="Bookman Old Style" w:cs="Calibri"/>
                <w:b/>
                <w:bCs/>
                <w:sz w:val="12"/>
                <w:szCs w:val="12"/>
              </w:rPr>
              <w:t xml:space="preserve"> </w:t>
            </w:r>
            <w:r w:rsidR="00DA0EDF" w:rsidRPr="008379CA">
              <w:rPr>
                <w:rFonts w:ascii="Bookman Old Style" w:hAnsi="Bookman Old Style" w:cs="Calibri"/>
                <w:sz w:val="12"/>
                <w:szCs w:val="12"/>
              </w:rPr>
              <w:t xml:space="preserve"> </w:t>
            </w:r>
          </w:p>
        </w:tc>
        <w:tc>
          <w:tcPr>
            <w:tcW w:w="709" w:type="dxa"/>
            <w:shd w:val="clear" w:color="auto" w:fill="auto"/>
            <w:vAlign w:val="center"/>
          </w:tcPr>
          <w:p w14:paraId="2BE01FA5" w14:textId="7352A849" w:rsidR="00F16864" w:rsidRPr="008379CA" w:rsidRDefault="00F16864" w:rsidP="00F16864">
            <w:pPr>
              <w:spacing w:before="60" w:line="276" w:lineRule="auto"/>
              <w:jc w:val="right"/>
              <w:rPr>
                <w:rFonts w:ascii="Bookman Old Style" w:hAnsi="Bookman Old Style" w:cs="Calibri"/>
                <w:b/>
                <w:bCs/>
                <w:sz w:val="12"/>
                <w:szCs w:val="12"/>
                <w:lang w:val="en-US"/>
              </w:rPr>
            </w:pPr>
            <w:r w:rsidRPr="008379CA">
              <w:rPr>
                <w:rFonts w:ascii="Bookman Old Style" w:hAnsi="Bookman Old Style" w:cs="Calibri"/>
                <w:b/>
                <w:bCs/>
                <w:sz w:val="12"/>
                <w:szCs w:val="12"/>
              </w:rPr>
              <w:t>100,00</w:t>
            </w:r>
            <w:r w:rsidR="00A954D0" w:rsidRPr="008379CA">
              <w:rPr>
                <w:rFonts w:ascii="Bookman Old Style" w:hAnsi="Bookman Old Style" w:cs="Calibri"/>
                <w:b/>
                <w:bCs/>
                <w:sz w:val="12"/>
                <w:szCs w:val="12"/>
              </w:rPr>
              <w:t xml:space="preserve"> </w:t>
            </w:r>
          </w:p>
        </w:tc>
        <w:tc>
          <w:tcPr>
            <w:tcW w:w="1417" w:type="dxa"/>
            <w:shd w:val="clear" w:color="auto" w:fill="auto"/>
            <w:vAlign w:val="center"/>
          </w:tcPr>
          <w:p w14:paraId="502AB476" w14:textId="7A4E3CE2" w:rsidR="00F16864" w:rsidRPr="008379CA" w:rsidRDefault="00F16864" w:rsidP="009C0CB9">
            <w:pPr>
              <w:ind w:left="-154" w:right="-57"/>
              <w:jc w:val="right"/>
              <w:rPr>
                <w:rFonts w:ascii="Bookman Old Style" w:hAnsi="Bookman Old Style" w:cs="Calibri"/>
                <w:b/>
                <w:bCs/>
                <w:sz w:val="12"/>
                <w:szCs w:val="12"/>
                <w:lang w:val="en-US"/>
              </w:rPr>
            </w:pPr>
            <w:r w:rsidRPr="008379CA">
              <w:rPr>
                <w:rFonts w:ascii="Bookman Old Style" w:hAnsi="Bookman Old Style" w:cs="Calibri"/>
                <w:b/>
                <w:bCs/>
                <w:sz w:val="12"/>
                <w:szCs w:val="12"/>
              </w:rPr>
              <w:t>400.789.809.045</w:t>
            </w:r>
            <w:r w:rsidR="00DA0EDF" w:rsidRPr="008379CA">
              <w:rPr>
                <w:rFonts w:ascii="Bookman Old Style" w:hAnsi="Bookman Old Style" w:cs="Calibri"/>
                <w:sz w:val="12"/>
                <w:szCs w:val="12"/>
              </w:rPr>
              <w:t>,00</w:t>
            </w:r>
            <w:r w:rsidR="00DA0EDF" w:rsidRPr="008379CA">
              <w:rPr>
                <w:rFonts w:ascii="Bookman Old Style" w:hAnsi="Bookman Old Style" w:cs="Calibri"/>
                <w:b/>
                <w:bCs/>
                <w:sz w:val="12"/>
                <w:szCs w:val="12"/>
              </w:rPr>
              <w:t xml:space="preserve"> </w:t>
            </w:r>
            <w:r w:rsidR="00DA0EDF" w:rsidRPr="008379CA">
              <w:rPr>
                <w:rFonts w:ascii="Bookman Old Style" w:hAnsi="Bookman Old Style" w:cs="Calibri"/>
                <w:sz w:val="12"/>
                <w:szCs w:val="12"/>
              </w:rPr>
              <w:t xml:space="preserve"> </w:t>
            </w:r>
          </w:p>
        </w:tc>
        <w:tc>
          <w:tcPr>
            <w:tcW w:w="1061" w:type="dxa"/>
            <w:shd w:val="clear" w:color="auto" w:fill="auto"/>
            <w:vAlign w:val="center"/>
          </w:tcPr>
          <w:p w14:paraId="115A0390" w14:textId="3E92B35C" w:rsidR="00F16864" w:rsidRPr="008379CA" w:rsidRDefault="00F16864" w:rsidP="00F16864">
            <w:pPr>
              <w:spacing w:before="60" w:line="276" w:lineRule="auto"/>
              <w:jc w:val="center"/>
              <w:rPr>
                <w:rFonts w:ascii="Bookman Old Style" w:hAnsi="Bookman Old Style" w:cs="Calibri"/>
                <w:b/>
                <w:bCs/>
                <w:sz w:val="12"/>
                <w:szCs w:val="12"/>
                <w:lang w:val="en-US"/>
              </w:rPr>
            </w:pPr>
            <w:r w:rsidRPr="008379CA">
              <w:rPr>
                <w:rFonts w:ascii="Bookman Old Style" w:hAnsi="Bookman Old Style" w:cs="Calibri"/>
                <w:b/>
                <w:bCs/>
                <w:sz w:val="12"/>
                <w:szCs w:val="12"/>
              </w:rPr>
              <w:t>(24,19)</w:t>
            </w:r>
          </w:p>
        </w:tc>
        <w:tc>
          <w:tcPr>
            <w:tcW w:w="992" w:type="dxa"/>
            <w:shd w:val="clear" w:color="auto" w:fill="auto"/>
            <w:vAlign w:val="center"/>
          </w:tcPr>
          <w:p w14:paraId="454765FB" w14:textId="63CA43D4" w:rsidR="00F16864" w:rsidRPr="008379CA" w:rsidRDefault="00F16864" w:rsidP="00F16864">
            <w:pPr>
              <w:spacing w:before="60" w:line="276" w:lineRule="auto"/>
              <w:jc w:val="center"/>
              <w:rPr>
                <w:rFonts w:ascii="Bookman Old Style" w:hAnsi="Bookman Old Style" w:cs="Calibri"/>
                <w:b/>
                <w:bCs/>
                <w:sz w:val="12"/>
                <w:szCs w:val="12"/>
                <w:lang w:val="en-US"/>
              </w:rPr>
            </w:pPr>
            <w:r w:rsidRPr="008379CA">
              <w:rPr>
                <w:rFonts w:ascii="Bookman Old Style" w:hAnsi="Bookman Old Style" w:cs="Calibri"/>
                <w:b/>
                <w:bCs/>
                <w:sz w:val="12"/>
                <w:szCs w:val="12"/>
              </w:rPr>
              <w:t>(2,83)</w:t>
            </w:r>
          </w:p>
        </w:tc>
        <w:tc>
          <w:tcPr>
            <w:tcW w:w="993" w:type="dxa"/>
            <w:shd w:val="clear" w:color="auto" w:fill="auto"/>
            <w:vAlign w:val="center"/>
          </w:tcPr>
          <w:p w14:paraId="5F2030A3" w14:textId="48D6CDC9" w:rsidR="00F16864" w:rsidRPr="008379CA" w:rsidRDefault="00F16864" w:rsidP="00F16864">
            <w:pPr>
              <w:spacing w:before="60" w:line="276" w:lineRule="auto"/>
              <w:jc w:val="center"/>
              <w:rPr>
                <w:rFonts w:ascii="Bookman Old Style" w:hAnsi="Bookman Old Style" w:cs="Calibri"/>
                <w:b/>
                <w:bCs/>
                <w:sz w:val="12"/>
                <w:szCs w:val="12"/>
                <w:lang w:val="en-US"/>
              </w:rPr>
            </w:pPr>
            <w:r w:rsidRPr="008379CA">
              <w:rPr>
                <w:rFonts w:ascii="Bookman Old Style" w:hAnsi="Bookman Old Style" w:cs="Calibri"/>
                <w:b/>
                <w:bCs/>
                <w:sz w:val="12"/>
                <w:szCs w:val="12"/>
              </w:rPr>
              <w:t>(17,93)</w:t>
            </w:r>
          </w:p>
        </w:tc>
        <w:tc>
          <w:tcPr>
            <w:tcW w:w="849" w:type="dxa"/>
            <w:shd w:val="clear" w:color="auto" w:fill="auto"/>
            <w:noWrap/>
            <w:vAlign w:val="center"/>
          </w:tcPr>
          <w:p w14:paraId="70F6D0FA" w14:textId="123E063F" w:rsidR="00F16864" w:rsidRPr="008379CA" w:rsidRDefault="00F16864" w:rsidP="00F16864">
            <w:pPr>
              <w:spacing w:before="60" w:line="276" w:lineRule="auto"/>
              <w:jc w:val="center"/>
              <w:rPr>
                <w:rFonts w:ascii="Bookman Old Style" w:hAnsi="Bookman Old Style" w:cs="Calibri"/>
                <w:b/>
                <w:bCs/>
                <w:sz w:val="12"/>
                <w:szCs w:val="12"/>
                <w:lang w:val="en-US"/>
              </w:rPr>
            </w:pPr>
            <w:r w:rsidRPr="008379CA">
              <w:rPr>
                <w:rFonts w:ascii="Bookman Old Style" w:hAnsi="Bookman Old Style" w:cs="Calibri"/>
                <w:b/>
                <w:bCs/>
                <w:sz w:val="12"/>
                <w:szCs w:val="12"/>
              </w:rPr>
              <w:t>(14,98)</w:t>
            </w:r>
          </w:p>
        </w:tc>
      </w:tr>
      <w:tr w:rsidR="008379CA" w:rsidRPr="008379CA" w14:paraId="15A072AD" w14:textId="77777777" w:rsidTr="009C0CB9">
        <w:trPr>
          <w:trHeight w:val="421"/>
        </w:trPr>
        <w:tc>
          <w:tcPr>
            <w:tcW w:w="1985" w:type="dxa"/>
            <w:shd w:val="clear" w:color="auto" w:fill="auto"/>
            <w:vAlign w:val="center"/>
          </w:tcPr>
          <w:p w14:paraId="74664CB9" w14:textId="68F2F3C4" w:rsidR="007E2D35" w:rsidRPr="008379CA" w:rsidRDefault="007E2D35" w:rsidP="007E2D35">
            <w:pPr>
              <w:spacing w:before="60" w:line="276" w:lineRule="auto"/>
              <w:jc w:val="both"/>
              <w:rPr>
                <w:rFonts w:ascii="Bookman Old Style" w:hAnsi="Bookman Old Style" w:cs="Calibri"/>
                <w:bCs/>
                <w:sz w:val="12"/>
                <w:szCs w:val="12"/>
                <w:lang w:val="en-US"/>
              </w:rPr>
            </w:pPr>
            <w:r w:rsidRPr="008379CA">
              <w:rPr>
                <w:rFonts w:ascii="Bookman Old Style" w:hAnsi="Bookman Old Style"/>
                <w:b/>
                <w:bCs/>
                <w:sz w:val="12"/>
                <w:szCs w:val="12"/>
                <w:lang w:eastAsia="id-ID"/>
              </w:rPr>
              <w:t>PENERIMAAN</w:t>
            </w:r>
            <w:r w:rsidR="00A954D0" w:rsidRPr="008379CA">
              <w:rPr>
                <w:rFonts w:ascii="Bookman Old Style" w:hAnsi="Bookman Old Style"/>
                <w:b/>
                <w:bCs/>
                <w:sz w:val="12"/>
                <w:szCs w:val="12"/>
                <w:lang w:eastAsia="id-ID"/>
              </w:rPr>
              <w:t xml:space="preserve"> </w:t>
            </w:r>
            <w:r w:rsidRPr="008379CA">
              <w:rPr>
                <w:rFonts w:ascii="Bookman Old Style" w:hAnsi="Bookman Old Style"/>
                <w:b/>
                <w:bCs/>
                <w:sz w:val="12"/>
                <w:szCs w:val="12"/>
                <w:lang w:eastAsia="id-ID"/>
              </w:rPr>
              <w:t>PEMBIAYAAN</w:t>
            </w:r>
          </w:p>
        </w:tc>
        <w:tc>
          <w:tcPr>
            <w:tcW w:w="1418" w:type="dxa"/>
            <w:shd w:val="clear" w:color="auto" w:fill="auto"/>
            <w:vAlign w:val="center"/>
          </w:tcPr>
          <w:p w14:paraId="139A471A" w14:textId="4764901D" w:rsidR="007E2D35" w:rsidRPr="008379CA" w:rsidRDefault="007E2D35" w:rsidP="00DA0EDF">
            <w:pPr>
              <w:spacing w:before="60" w:line="276" w:lineRule="auto"/>
              <w:ind w:left="-119"/>
              <w:jc w:val="right"/>
              <w:rPr>
                <w:rFonts w:ascii="Bookman Old Style" w:hAnsi="Bookman Old Style" w:cs="Calibri"/>
                <w:b/>
                <w:bCs/>
                <w:sz w:val="12"/>
                <w:szCs w:val="12"/>
                <w:lang w:val="en-US"/>
              </w:rPr>
            </w:pPr>
            <w:r w:rsidRPr="008379CA">
              <w:rPr>
                <w:rFonts w:ascii="Bookman Old Style" w:hAnsi="Bookman Old Style" w:cs="Calibri"/>
                <w:b/>
                <w:bCs/>
                <w:sz w:val="12"/>
                <w:szCs w:val="12"/>
              </w:rPr>
              <w:t>674.706.018.499</w:t>
            </w:r>
            <w:r w:rsidR="00DA0EDF" w:rsidRPr="008379CA">
              <w:rPr>
                <w:rFonts w:ascii="Bookman Old Style" w:hAnsi="Bookman Old Style" w:cs="Calibri"/>
                <w:sz w:val="12"/>
                <w:szCs w:val="12"/>
              </w:rPr>
              <w:t>,00</w:t>
            </w:r>
            <w:r w:rsidR="00DA0EDF" w:rsidRPr="008379CA">
              <w:rPr>
                <w:rFonts w:ascii="Bookman Old Style" w:hAnsi="Bookman Old Style" w:cs="Calibri"/>
                <w:b/>
                <w:bCs/>
                <w:sz w:val="12"/>
                <w:szCs w:val="12"/>
              </w:rPr>
              <w:t xml:space="preserve"> </w:t>
            </w:r>
            <w:r w:rsidR="00DA0EDF" w:rsidRPr="008379CA">
              <w:rPr>
                <w:rFonts w:ascii="Bookman Old Style" w:hAnsi="Bookman Old Style" w:cs="Calibri"/>
                <w:sz w:val="12"/>
                <w:szCs w:val="12"/>
              </w:rPr>
              <w:t xml:space="preserve"> </w:t>
            </w:r>
          </w:p>
        </w:tc>
        <w:tc>
          <w:tcPr>
            <w:tcW w:w="1417" w:type="dxa"/>
            <w:shd w:val="clear" w:color="auto" w:fill="auto"/>
            <w:vAlign w:val="center"/>
          </w:tcPr>
          <w:p w14:paraId="20A66785" w14:textId="3D63E553" w:rsidR="007E2D35" w:rsidRPr="008379CA" w:rsidRDefault="007E2D35" w:rsidP="00DA0EDF">
            <w:pPr>
              <w:spacing w:before="60" w:line="276" w:lineRule="auto"/>
              <w:ind w:left="-119"/>
              <w:jc w:val="right"/>
              <w:rPr>
                <w:rFonts w:ascii="Bookman Old Style" w:hAnsi="Bookman Old Style" w:cs="Calibri"/>
                <w:b/>
                <w:bCs/>
                <w:sz w:val="12"/>
                <w:szCs w:val="12"/>
                <w:lang w:val="en-US"/>
              </w:rPr>
            </w:pPr>
            <w:r w:rsidRPr="008379CA">
              <w:rPr>
                <w:rFonts w:ascii="Bookman Old Style" w:hAnsi="Bookman Old Style" w:cs="Calibri"/>
                <w:b/>
                <w:bCs/>
                <w:sz w:val="12"/>
                <w:szCs w:val="12"/>
              </w:rPr>
              <w:t>674.697.964.699</w:t>
            </w:r>
            <w:r w:rsidR="00DA0EDF" w:rsidRPr="008379CA">
              <w:rPr>
                <w:rFonts w:ascii="Bookman Old Style" w:hAnsi="Bookman Old Style" w:cs="Calibri"/>
                <w:sz w:val="12"/>
                <w:szCs w:val="12"/>
              </w:rPr>
              <w:t>,00</w:t>
            </w:r>
            <w:r w:rsidR="00DA0EDF" w:rsidRPr="008379CA">
              <w:rPr>
                <w:rFonts w:ascii="Bookman Old Style" w:hAnsi="Bookman Old Style" w:cs="Calibri"/>
                <w:b/>
                <w:bCs/>
                <w:sz w:val="12"/>
                <w:szCs w:val="12"/>
              </w:rPr>
              <w:t xml:space="preserve"> </w:t>
            </w:r>
            <w:r w:rsidR="00DA0EDF" w:rsidRPr="008379CA">
              <w:rPr>
                <w:rFonts w:ascii="Bookman Old Style" w:hAnsi="Bookman Old Style" w:cs="Calibri"/>
                <w:sz w:val="12"/>
                <w:szCs w:val="12"/>
              </w:rPr>
              <w:t xml:space="preserve"> </w:t>
            </w:r>
          </w:p>
        </w:tc>
        <w:tc>
          <w:tcPr>
            <w:tcW w:w="728" w:type="dxa"/>
            <w:shd w:val="clear" w:color="auto" w:fill="auto"/>
            <w:vAlign w:val="center"/>
          </w:tcPr>
          <w:p w14:paraId="2ADE2033" w14:textId="4FC94EBE" w:rsidR="007E2D35" w:rsidRPr="008379CA" w:rsidRDefault="007E2D35" w:rsidP="007E2D35">
            <w:pPr>
              <w:spacing w:before="60" w:line="276" w:lineRule="auto"/>
              <w:jc w:val="right"/>
              <w:rPr>
                <w:rFonts w:ascii="Bookman Old Style" w:hAnsi="Bookman Old Style" w:cs="Calibri"/>
                <w:b/>
                <w:bCs/>
                <w:sz w:val="12"/>
                <w:szCs w:val="12"/>
                <w:lang w:val="en-US"/>
              </w:rPr>
            </w:pPr>
            <w:r w:rsidRPr="008379CA">
              <w:rPr>
                <w:rFonts w:ascii="Bookman Old Style" w:hAnsi="Bookman Old Style" w:cs="Calibri"/>
                <w:b/>
                <w:bCs/>
                <w:sz w:val="12"/>
                <w:szCs w:val="12"/>
              </w:rPr>
              <w:t>100,00</w:t>
            </w:r>
            <w:r w:rsidR="00A954D0" w:rsidRPr="008379CA">
              <w:rPr>
                <w:rFonts w:ascii="Bookman Old Style" w:hAnsi="Bookman Old Style" w:cs="Calibri"/>
                <w:b/>
                <w:bCs/>
                <w:sz w:val="12"/>
                <w:szCs w:val="12"/>
              </w:rPr>
              <w:t xml:space="preserve"> </w:t>
            </w:r>
          </w:p>
        </w:tc>
        <w:tc>
          <w:tcPr>
            <w:tcW w:w="1398" w:type="dxa"/>
            <w:shd w:val="clear" w:color="auto" w:fill="auto"/>
            <w:vAlign w:val="center"/>
          </w:tcPr>
          <w:p w14:paraId="268617ED" w14:textId="6EB23EFA" w:rsidR="007E2D35" w:rsidRPr="008379CA" w:rsidRDefault="007E2D35" w:rsidP="009C0CB9">
            <w:pPr>
              <w:spacing w:before="60" w:line="276" w:lineRule="auto"/>
              <w:ind w:left="-133"/>
              <w:jc w:val="right"/>
              <w:rPr>
                <w:rFonts w:ascii="Bookman Old Style" w:hAnsi="Bookman Old Style" w:cs="Calibri"/>
                <w:b/>
                <w:bCs/>
                <w:sz w:val="12"/>
                <w:szCs w:val="12"/>
                <w:lang w:val="en-US"/>
              </w:rPr>
            </w:pPr>
            <w:r w:rsidRPr="008379CA">
              <w:rPr>
                <w:rFonts w:ascii="Bookman Old Style" w:hAnsi="Bookman Old Style" w:cs="Calibri"/>
                <w:b/>
                <w:bCs/>
                <w:sz w:val="12"/>
                <w:szCs w:val="12"/>
              </w:rPr>
              <w:t>502.606.348.483</w:t>
            </w:r>
            <w:r w:rsidR="00DA0EDF" w:rsidRPr="008379CA">
              <w:rPr>
                <w:rFonts w:ascii="Bookman Old Style" w:hAnsi="Bookman Old Style" w:cs="Calibri"/>
                <w:sz w:val="12"/>
                <w:szCs w:val="12"/>
              </w:rPr>
              <w:t>,00</w:t>
            </w:r>
            <w:r w:rsidR="00DA0EDF" w:rsidRPr="008379CA">
              <w:rPr>
                <w:rFonts w:ascii="Bookman Old Style" w:hAnsi="Bookman Old Style" w:cs="Calibri"/>
                <w:b/>
                <w:bCs/>
                <w:sz w:val="12"/>
                <w:szCs w:val="12"/>
              </w:rPr>
              <w:t xml:space="preserve"> </w:t>
            </w:r>
            <w:r w:rsidR="00DA0EDF" w:rsidRPr="008379CA">
              <w:rPr>
                <w:rFonts w:ascii="Bookman Old Style" w:hAnsi="Bookman Old Style" w:cs="Calibri"/>
                <w:sz w:val="12"/>
                <w:szCs w:val="12"/>
              </w:rPr>
              <w:t xml:space="preserve"> </w:t>
            </w:r>
          </w:p>
        </w:tc>
        <w:tc>
          <w:tcPr>
            <w:tcW w:w="1418" w:type="dxa"/>
            <w:shd w:val="clear" w:color="auto" w:fill="auto"/>
            <w:vAlign w:val="center"/>
          </w:tcPr>
          <w:p w14:paraId="015098F2" w14:textId="3BC5EFA6" w:rsidR="007E2D35" w:rsidRPr="008379CA" w:rsidRDefault="007E2D35" w:rsidP="009C0CB9">
            <w:pPr>
              <w:spacing w:before="60" w:line="276" w:lineRule="auto"/>
              <w:ind w:left="-114"/>
              <w:jc w:val="right"/>
              <w:rPr>
                <w:rFonts w:ascii="Bookman Old Style" w:hAnsi="Bookman Old Style" w:cs="Calibri"/>
                <w:b/>
                <w:bCs/>
                <w:sz w:val="12"/>
                <w:szCs w:val="12"/>
                <w:lang w:val="en-US"/>
              </w:rPr>
            </w:pPr>
            <w:r w:rsidRPr="008379CA">
              <w:rPr>
                <w:rFonts w:ascii="Bookman Old Style" w:hAnsi="Bookman Old Style" w:cs="Calibri"/>
                <w:b/>
                <w:bCs/>
                <w:sz w:val="12"/>
                <w:szCs w:val="12"/>
              </w:rPr>
              <w:t>502.593.555.633</w:t>
            </w:r>
            <w:r w:rsidR="00DA0EDF" w:rsidRPr="008379CA">
              <w:rPr>
                <w:rFonts w:ascii="Bookman Old Style" w:hAnsi="Bookman Old Style" w:cs="Calibri"/>
                <w:sz w:val="12"/>
                <w:szCs w:val="12"/>
              </w:rPr>
              <w:t>,00</w:t>
            </w:r>
            <w:r w:rsidR="00DA0EDF" w:rsidRPr="008379CA">
              <w:rPr>
                <w:rFonts w:ascii="Bookman Old Style" w:hAnsi="Bookman Old Style" w:cs="Calibri"/>
                <w:b/>
                <w:bCs/>
                <w:sz w:val="12"/>
                <w:szCs w:val="12"/>
              </w:rPr>
              <w:t xml:space="preserve"> </w:t>
            </w:r>
            <w:r w:rsidR="00DA0EDF" w:rsidRPr="008379CA">
              <w:rPr>
                <w:rFonts w:ascii="Bookman Old Style" w:hAnsi="Bookman Old Style" w:cs="Calibri"/>
                <w:sz w:val="12"/>
                <w:szCs w:val="12"/>
              </w:rPr>
              <w:t xml:space="preserve"> </w:t>
            </w:r>
          </w:p>
        </w:tc>
        <w:tc>
          <w:tcPr>
            <w:tcW w:w="692" w:type="dxa"/>
            <w:shd w:val="clear" w:color="auto" w:fill="auto"/>
            <w:vAlign w:val="center"/>
          </w:tcPr>
          <w:p w14:paraId="0C083816" w14:textId="1450F1CF" w:rsidR="007E2D35" w:rsidRPr="008379CA" w:rsidRDefault="007E2D35" w:rsidP="007E2D35">
            <w:pPr>
              <w:spacing w:before="60" w:line="276" w:lineRule="auto"/>
              <w:jc w:val="right"/>
              <w:rPr>
                <w:rFonts w:ascii="Bookman Old Style" w:hAnsi="Bookman Old Style" w:cs="Calibri"/>
                <w:b/>
                <w:bCs/>
                <w:sz w:val="12"/>
                <w:szCs w:val="12"/>
                <w:lang w:val="en-US"/>
              </w:rPr>
            </w:pPr>
            <w:r w:rsidRPr="008379CA">
              <w:rPr>
                <w:rFonts w:ascii="Bookman Old Style" w:hAnsi="Bookman Old Style" w:cs="Calibri"/>
                <w:b/>
                <w:bCs/>
                <w:sz w:val="12"/>
                <w:szCs w:val="12"/>
              </w:rPr>
              <w:t>100,00</w:t>
            </w:r>
            <w:r w:rsidR="00A954D0" w:rsidRPr="008379CA">
              <w:rPr>
                <w:rFonts w:ascii="Bookman Old Style" w:hAnsi="Bookman Old Style" w:cs="Calibri"/>
                <w:b/>
                <w:bCs/>
                <w:sz w:val="12"/>
                <w:szCs w:val="12"/>
              </w:rPr>
              <w:t xml:space="preserve"> </w:t>
            </w:r>
          </w:p>
        </w:tc>
        <w:tc>
          <w:tcPr>
            <w:tcW w:w="1434" w:type="dxa"/>
            <w:shd w:val="clear" w:color="auto" w:fill="auto"/>
            <w:vAlign w:val="center"/>
          </w:tcPr>
          <w:p w14:paraId="325C5200" w14:textId="51A6403A" w:rsidR="007E2D35" w:rsidRPr="008379CA" w:rsidRDefault="007E2D35" w:rsidP="00DA0EDF">
            <w:pPr>
              <w:spacing w:before="60" w:line="276" w:lineRule="auto"/>
              <w:ind w:left="-113"/>
              <w:jc w:val="right"/>
              <w:rPr>
                <w:rFonts w:ascii="Bookman Old Style" w:hAnsi="Bookman Old Style" w:cs="Calibri"/>
                <w:b/>
                <w:bCs/>
                <w:sz w:val="12"/>
                <w:szCs w:val="12"/>
                <w:lang w:val="en-US"/>
              </w:rPr>
            </w:pPr>
            <w:r w:rsidRPr="008379CA">
              <w:rPr>
                <w:rFonts w:ascii="Bookman Old Style" w:hAnsi="Bookman Old Style" w:cs="Calibri"/>
                <w:b/>
                <w:bCs/>
                <w:sz w:val="12"/>
                <w:szCs w:val="12"/>
              </w:rPr>
              <w:t>488.362.728.165</w:t>
            </w:r>
            <w:r w:rsidR="00DA0EDF" w:rsidRPr="008379CA">
              <w:rPr>
                <w:rFonts w:ascii="Bookman Old Style" w:hAnsi="Bookman Old Style" w:cs="Calibri"/>
                <w:sz w:val="12"/>
                <w:szCs w:val="12"/>
              </w:rPr>
              <w:t>,00</w:t>
            </w:r>
            <w:r w:rsidR="00DA0EDF" w:rsidRPr="008379CA">
              <w:rPr>
                <w:rFonts w:ascii="Bookman Old Style" w:hAnsi="Bookman Old Style" w:cs="Calibri"/>
                <w:b/>
                <w:bCs/>
                <w:sz w:val="12"/>
                <w:szCs w:val="12"/>
              </w:rPr>
              <w:t xml:space="preserve"> </w:t>
            </w:r>
            <w:r w:rsidR="00DA0EDF" w:rsidRPr="008379CA">
              <w:rPr>
                <w:rFonts w:ascii="Bookman Old Style" w:hAnsi="Bookman Old Style" w:cs="Calibri"/>
                <w:sz w:val="12"/>
                <w:szCs w:val="12"/>
              </w:rPr>
              <w:t xml:space="preserve"> </w:t>
            </w:r>
          </w:p>
        </w:tc>
        <w:tc>
          <w:tcPr>
            <w:tcW w:w="1418" w:type="dxa"/>
            <w:shd w:val="clear" w:color="auto" w:fill="auto"/>
            <w:vAlign w:val="center"/>
          </w:tcPr>
          <w:p w14:paraId="1AC29D36" w14:textId="04C3583E" w:rsidR="007E2D35" w:rsidRPr="008379CA" w:rsidRDefault="007E2D35" w:rsidP="00DA0EDF">
            <w:pPr>
              <w:spacing w:before="60" w:line="276" w:lineRule="auto"/>
              <w:ind w:left="-113"/>
              <w:jc w:val="right"/>
              <w:rPr>
                <w:rFonts w:ascii="Bookman Old Style" w:hAnsi="Bookman Old Style" w:cs="Calibri"/>
                <w:b/>
                <w:bCs/>
                <w:sz w:val="12"/>
                <w:szCs w:val="12"/>
                <w:lang w:val="en-US"/>
              </w:rPr>
            </w:pPr>
            <w:r w:rsidRPr="008379CA">
              <w:rPr>
                <w:rFonts w:ascii="Bookman Old Style" w:hAnsi="Bookman Old Style" w:cs="Calibri"/>
                <w:b/>
                <w:bCs/>
                <w:sz w:val="12"/>
                <w:szCs w:val="12"/>
              </w:rPr>
              <w:t>488.362.668.765</w:t>
            </w:r>
            <w:r w:rsidR="00DA0EDF" w:rsidRPr="008379CA">
              <w:rPr>
                <w:rFonts w:ascii="Bookman Old Style" w:hAnsi="Bookman Old Style" w:cs="Calibri"/>
                <w:sz w:val="12"/>
                <w:szCs w:val="12"/>
              </w:rPr>
              <w:t>,00</w:t>
            </w:r>
            <w:r w:rsidR="00DA0EDF" w:rsidRPr="008379CA">
              <w:rPr>
                <w:rFonts w:ascii="Bookman Old Style" w:hAnsi="Bookman Old Style" w:cs="Calibri"/>
                <w:b/>
                <w:bCs/>
                <w:sz w:val="12"/>
                <w:szCs w:val="12"/>
              </w:rPr>
              <w:t xml:space="preserve"> </w:t>
            </w:r>
            <w:r w:rsidR="00DA0EDF" w:rsidRPr="008379CA">
              <w:rPr>
                <w:rFonts w:ascii="Bookman Old Style" w:hAnsi="Bookman Old Style" w:cs="Calibri"/>
                <w:sz w:val="12"/>
                <w:szCs w:val="12"/>
              </w:rPr>
              <w:t xml:space="preserve"> </w:t>
            </w:r>
          </w:p>
        </w:tc>
        <w:tc>
          <w:tcPr>
            <w:tcW w:w="709" w:type="dxa"/>
            <w:shd w:val="clear" w:color="auto" w:fill="auto"/>
            <w:vAlign w:val="center"/>
          </w:tcPr>
          <w:p w14:paraId="3715DC39" w14:textId="7D8D7B9A" w:rsidR="007E2D35" w:rsidRPr="008379CA" w:rsidRDefault="007E2D35" w:rsidP="007E2D35">
            <w:pPr>
              <w:spacing w:before="60" w:line="276" w:lineRule="auto"/>
              <w:jc w:val="right"/>
              <w:rPr>
                <w:rFonts w:ascii="Bookman Old Style" w:hAnsi="Bookman Old Style" w:cs="Calibri"/>
                <w:b/>
                <w:bCs/>
                <w:sz w:val="12"/>
                <w:szCs w:val="12"/>
                <w:lang w:val="en-US"/>
              </w:rPr>
            </w:pPr>
            <w:r w:rsidRPr="008379CA">
              <w:rPr>
                <w:rFonts w:ascii="Bookman Old Style" w:hAnsi="Bookman Old Style" w:cs="Calibri"/>
                <w:b/>
                <w:bCs/>
                <w:sz w:val="12"/>
                <w:szCs w:val="12"/>
              </w:rPr>
              <w:t>100,00</w:t>
            </w:r>
            <w:r w:rsidR="00A954D0" w:rsidRPr="008379CA">
              <w:rPr>
                <w:rFonts w:ascii="Bookman Old Style" w:hAnsi="Bookman Old Style" w:cs="Calibri"/>
                <w:b/>
                <w:bCs/>
                <w:sz w:val="12"/>
                <w:szCs w:val="12"/>
              </w:rPr>
              <w:t xml:space="preserve"> </w:t>
            </w:r>
          </w:p>
        </w:tc>
        <w:tc>
          <w:tcPr>
            <w:tcW w:w="1417" w:type="dxa"/>
            <w:shd w:val="clear" w:color="auto" w:fill="auto"/>
            <w:vAlign w:val="center"/>
          </w:tcPr>
          <w:p w14:paraId="42F61D95" w14:textId="2682AB81" w:rsidR="007E2D35" w:rsidRPr="008379CA" w:rsidRDefault="007E2D35" w:rsidP="009C0CB9">
            <w:pPr>
              <w:spacing w:before="60" w:line="276" w:lineRule="auto"/>
              <w:ind w:left="-154" w:right="-57"/>
              <w:jc w:val="right"/>
              <w:rPr>
                <w:rFonts w:ascii="Bookman Old Style" w:hAnsi="Bookman Old Style" w:cs="Calibri"/>
                <w:b/>
                <w:bCs/>
                <w:sz w:val="12"/>
                <w:szCs w:val="12"/>
                <w:lang w:val="en-US"/>
              </w:rPr>
            </w:pPr>
            <w:r w:rsidRPr="008379CA">
              <w:rPr>
                <w:rFonts w:ascii="Bookman Old Style" w:hAnsi="Bookman Old Style" w:cs="Calibri"/>
                <w:b/>
                <w:bCs/>
                <w:sz w:val="12"/>
                <w:szCs w:val="12"/>
              </w:rPr>
              <w:t>400.789.809.045</w:t>
            </w:r>
            <w:r w:rsidR="00DA0EDF" w:rsidRPr="008379CA">
              <w:rPr>
                <w:rFonts w:ascii="Bookman Old Style" w:hAnsi="Bookman Old Style" w:cs="Calibri"/>
                <w:sz w:val="12"/>
                <w:szCs w:val="12"/>
              </w:rPr>
              <w:t>,00</w:t>
            </w:r>
            <w:r w:rsidR="00DA0EDF" w:rsidRPr="008379CA">
              <w:rPr>
                <w:rFonts w:ascii="Bookman Old Style" w:hAnsi="Bookman Old Style" w:cs="Calibri"/>
                <w:b/>
                <w:bCs/>
                <w:sz w:val="12"/>
                <w:szCs w:val="12"/>
              </w:rPr>
              <w:t xml:space="preserve"> </w:t>
            </w:r>
            <w:r w:rsidR="00DA0EDF" w:rsidRPr="008379CA">
              <w:rPr>
                <w:rFonts w:ascii="Bookman Old Style" w:hAnsi="Bookman Old Style" w:cs="Calibri"/>
                <w:sz w:val="12"/>
                <w:szCs w:val="12"/>
              </w:rPr>
              <w:t xml:space="preserve"> </w:t>
            </w:r>
          </w:p>
        </w:tc>
        <w:tc>
          <w:tcPr>
            <w:tcW w:w="1061" w:type="dxa"/>
            <w:shd w:val="clear" w:color="auto" w:fill="auto"/>
            <w:vAlign w:val="center"/>
          </w:tcPr>
          <w:p w14:paraId="5CAE505B" w14:textId="2645DCE8" w:rsidR="007E2D35" w:rsidRPr="008379CA" w:rsidRDefault="007E2D35" w:rsidP="007E2D35">
            <w:pPr>
              <w:spacing w:before="60" w:line="276" w:lineRule="auto"/>
              <w:jc w:val="center"/>
              <w:rPr>
                <w:rFonts w:ascii="Bookman Old Style" w:hAnsi="Bookman Old Style" w:cs="Calibri"/>
                <w:b/>
                <w:bCs/>
                <w:sz w:val="12"/>
                <w:szCs w:val="12"/>
                <w:lang w:val="en-US"/>
              </w:rPr>
            </w:pPr>
            <w:r w:rsidRPr="008379CA">
              <w:rPr>
                <w:rFonts w:ascii="Bookman Old Style" w:hAnsi="Bookman Old Style" w:cs="Calibri"/>
                <w:b/>
                <w:bCs/>
                <w:sz w:val="12"/>
                <w:szCs w:val="12"/>
              </w:rPr>
              <w:t>(25,51)</w:t>
            </w:r>
          </w:p>
        </w:tc>
        <w:tc>
          <w:tcPr>
            <w:tcW w:w="992" w:type="dxa"/>
            <w:shd w:val="clear" w:color="auto" w:fill="auto"/>
            <w:vAlign w:val="center"/>
          </w:tcPr>
          <w:p w14:paraId="264DACE5" w14:textId="4DBC1F9A" w:rsidR="007E2D35" w:rsidRPr="008379CA" w:rsidRDefault="007E2D35" w:rsidP="007E2D35">
            <w:pPr>
              <w:spacing w:before="60" w:line="276" w:lineRule="auto"/>
              <w:jc w:val="center"/>
              <w:rPr>
                <w:rFonts w:ascii="Bookman Old Style" w:hAnsi="Bookman Old Style" w:cs="Calibri"/>
                <w:b/>
                <w:bCs/>
                <w:sz w:val="12"/>
                <w:szCs w:val="12"/>
                <w:lang w:val="en-US"/>
              </w:rPr>
            </w:pPr>
            <w:r w:rsidRPr="008379CA">
              <w:rPr>
                <w:rFonts w:ascii="Bookman Old Style" w:hAnsi="Bookman Old Style" w:cs="Calibri"/>
                <w:b/>
                <w:bCs/>
                <w:sz w:val="12"/>
                <w:szCs w:val="12"/>
              </w:rPr>
              <w:t>(2,83)</w:t>
            </w:r>
          </w:p>
        </w:tc>
        <w:tc>
          <w:tcPr>
            <w:tcW w:w="993" w:type="dxa"/>
            <w:shd w:val="clear" w:color="auto" w:fill="auto"/>
            <w:vAlign w:val="center"/>
          </w:tcPr>
          <w:p w14:paraId="0CEE8E02" w14:textId="599B7994" w:rsidR="007E2D35" w:rsidRPr="008379CA" w:rsidRDefault="007E2D35" w:rsidP="007E2D35">
            <w:pPr>
              <w:spacing w:before="60" w:line="276" w:lineRule="auto"/>
              <w:jc w:val="center"/>
              <w:rPr>
                <w:rFonts w:ascii="Bookman Old Style" w:hAnsi="Bookman Old Style" w:cs="Calibri"/>
                <w:b/>
                <w:bCs/>
                <w:sz w:val="12"/>
                <w:szCs w:val="12"/>
                <w:lang w:val="en-US"/>
              </w:rPr>
            </w:pPr>
            <w:r w:rsidRPr="008379CA">
              <w:rPr>
                <w:rFonts w:ascii="Bookman Old Style" w:hAnsi="Bookman Old Style" w:cs="Calibri"/>
                <w:b/>
                <w:bCs/>
                <w:sz w:val="12"/>
                <w:szCs w:val="12"/>
              </w:rPr>
              <w:t>(17,93)</w:t>
            </w:r>
          </w:p>
        </w:tc>
        <w:tc>
          <w:tcPr>
            <w:tcW w:w="849" w:type="dxa"/>
            <w:shd w:val="clear" w:color="auto" w:fill="auto"/>
            <w:noWrap/>
            <w:vAlign w:val="center"/>
          </w:tcPr>
          <w:p w14:paraId="36CA9AC6" w14:textId="14C472AE" w:rsidR="007E2D35" w:rsidRPr="008379CA" w:rsidRDefault="007E2D35" w:rsidP="007E2D35">
            <w:pPr>
              <w:spacing w:before="60" w:line="276" w:lineRule="auto"/>
              <w:jc w:val="center"/>
              <w:rPr>
                <w:rFonts w:ascii="Bookman Old Style" w:hAnsi="Bookman Old Style" w:cs="Calibri"/>
                <w:b/>
                <w:bCs/>
                <w:sz w:val="12"/>
                <w:szCs w:val="12"/>
                <w:lang w:val="en-US"/>
              </w:rPr>
            </w:pPr>
            <w:r w:rsidRPr="008379CA">
              <w:rPr>
                <w:rFonts w:ascii="Bookman Old Style" w:hAnsi="Bookman Old Style" w:cs="Calibri"/>
                <w:b/>
                <w:bCs/>
                <w:sz w:val="12"/>
                <w:szCs w:val="12"/>
              </w:rPr>
              <w:t>(15,42)</w:t>
            </w:r>
          </w:p>
        </w:tc>
      </w:tr>
      <w:tr w:rsidR="008379CA" w:rsidRPr="008379CA" w14:paraId="2E54516C" w14:textId="77777777" w:rsidTr="009C0CB9">
        <w:trPr>
          <w:trHeight w:val="413"/>
        </w:trPr>
        <w:tc>
          <w:tcPr>
            <w:tcW w:w="1985" w:type="dxa"/>
            <w:shd w:val="clear" w:color="auto" w:fill="auto"/>
            <w:vAlign w:val="center"/>
          </w:tcPr>
          <w:p w14:paraId="475C1B08" w14:textId="33CF9632" w:rsidR="007E2D35" w:rsidRPr="008379CA" w:rsidRDefault="007E2D35" w:rsidP="007E2D35">
            <w:pPr>
              <w:spacing w:before="60" w:line="276" w:lineRule="auto"/>
              <w:jc w:val="both"/>
              <w:rPr>
                <w:rFonts w:ascii="Bookman Old Style" w:hAnsi="Bookman Old Style" w:cs="Calibri"/>
                <w:bCs/>
                <w:sz w:val="12"/>
                <w:szCs w:val="12"/>
                <w:lang w:val="sv-FI"/>
              </w:rPr>
            </w:pPr>
            <w:r w:rsidRPr="008379CA">
              <w:rPr>
                <w:rFonts w:ascii="Bookman Old Style" w:hAnsi="Bookman Old Style"/>
                <w:sz w:val="12"/>
                <w:szCs w:val="12"/>
                <w:lang w:val="sv-FI" w:eastAsia="id-ID"/>
              </w:rPr>
              <w:t>Sisa</w:t>
            </w:r>
            <w:r w:rsidR="00A954D0" w:rsidRPr="008379CA">
              <w:rPr>
                <w:rFonts w:ascii="Bookman Old Style" w:hAnsi="Bookman Old Style"/>
                <w:sz w:val="12"/>
                <w:szCs w:val="12"/>
                <w:lang w:val="sv-FI" w:eastAsia="id-ID"/>
              </w:rPr>
              <w:t xml:space="preserve"> </w:t>
            </w:r>
            <w:r w:rsidRPr="008379CA">
              <w:rPr>
                <w:rFonts w:ascii="Bookman Old Style" w:hAnsi="Bookman Old Style"/>
                <w:sz w:val="12"/>
                <w:szCs w:val="12"/>
                <w:lang w:val="sv-FI" w:eastAsia="id-ID"/>
              </w:rPr>
              <w:t>Lebih</w:t>
            </w:r>
            <w:r w:rsidR="00A954D0" w:rsidRPr="008379CA">
              <w:rPr>
                <w:rFonts w:ascii="Bookman Old Style" w:hAnsi="Bookman Old Style"/>
                <w:sz w:val="12"/>
                <w:szCs w:val="12"/>
                <w:lang w:val="sv-FI" w:eastAsia="id-ID"/>
              </w:rPr>
              <w:t xml:space="preserve"> </w:t>
            </w:r>
            <w:r w:rsidRPr="008379CA">
              <w:rPr>
                <w:rFonts w:ascii="Bookman Old Style" w:hAnsi="Bookman Old Style"/>
                <w:sz w:val="12"/>
                <w:szCs w:val="12"/>
                <w:lang w:val="sv-FI" w:eastAsia="id-ID"/>
              </w:rPr>
              <w:t>Perhitungan</w:t>
            </w:r>
            <w:r w:rsidR="00A954D0" w:rsidRPr="008379CA">
              <w:rPr>
                <w:rFonts w:ascii="Bookman Old Style" w:hAnsi="Bookman Old Style"/>
                <w:sz w:val="12"/>
                <w:szCs w:val="12"/>
                <w:lang w:val="sv-FI" w:eastAsia="id-ID"/>
              </w:rPr>
              <w:t xml:space="preserve"> </w:t>
            </w:r>
            <w:r w:rsidRPr="008379CA">
              <w:rPr>
                <w:rFonts w:ascii="Bookman Old Style" w:hAnsi="Bookman Old Style"/>
                <w:sz w:val="12"/>
                <w:szCs w:val="12"/>
                <w:lang w:val="sv-FI" w:eastAsia="id-ID"/>
              </w:rPr>
              <w:t>Anggaran</w:t>
            </w:r>
            <w:r w:rsidR="00A954D0" w:rsidRPr="008379CA">
              <w:rPr>
                <w:rFonts w:ascii="Bookman Old Style" w:hAnsi="Bookman Old Style"/>
                <w:sz w:val="12"/>
                <w:szCs w:val="12"/>
                <w:lang w:val="sv-FI" w:eastAsia="id-ID"/>
              </w:rPr>
              <w:t xml:space="preserve"> </w:t>
            </w:r>
            <w:r w:rsidRPr="008379CA">
              <w:rPr>
                <w:rFonts w:ascii="Bookman Old Style" w:hAnsi="Bookman Old Style"/>
                <w:sz w:val="12"/>
                <w:szCs w:val="12"/>
                <w:lang w:val="sv-FI" w:eastAsia="id-ID"/>
              </w:rPr>
              <w:t>Tahun</w:t>
            </w:r>
            <w:r w:rsidR="00A954D0" w:rsidRPr="008379CA">
              <w:rPr>
                <w:rFonts w:ascii="Bookman Old Style" w:hAnsi="Bookman Old Style"/>
                <w:sz w:val="12"/>
                <w:szCs w:val="12"/>
                <w:lang w:val="sv-FI" w:eastAsia="id-ID"/>
              </w:rPr>
              <w:t xml:space="preserve"> </w:t>
            </w:r>
            <w:r w:rsidRPr="008379CA">
              <w:rPr>
                <w:rFonts w:ascii="Bookman Old Style" w:hAnsi="Bookman Old Style"/>
                <w:sz w:val="12"/>
                <w:szCs w:val="12"/>
                <w:lang w:val="sv-FI" w:eastAsia="id-ID"/>
              </w:rPr>
              <w:t>Sebelumnya</w:t>
            </w:r>
          </w:p>
        </w:tc>
        <w:tc>
          <w:tcPr>
            <w:tcW w:w="1418" w:type="dxa"/>
            <w:shd w:val="clear" w:color="auto" w:fill="auto"/>
            <w:vAlign w:val="center"/>
          </w:tcPr>
          <w:p w14:paraId="3385E6FC" w14:textId="77F9727C" w:rsidR="007E2D35" w:rsidRPr="008379CA" w:rsidRDefault="007E2D35" w:rsidP="00DA0EDF">
            <w:pPr>
              <w:spacing w:before="60" w:line="276" w:lineRule="auto"/>
              <w:ind w:left="-119"/>
              <w:jc w:val="right"/>
              <w:rPr>
                <w:rFonts w:ascii="Bookman Old Style" w:hAnsi="Bookman Old Style" w:cs="Calibri"/>
                <w:bCs/>
                <w:sz w:val="12"/>
                <w:szCs w:val="12"/>
                <w:lang w:val="en-US"/>
              </w:rPr>
            </w:pPr>
            <w:r w:rsidRPr="008379CA">
              <w:rPr>
                <w:rFonts w:ascii="Bookman Old Style" w:hAnsi="Bookman Old Style" w:cs="Calibri"/>
                <w:sz w:val="12"/>
                <w:szCs w:val="12"/>
              </w:rPr>
              <w:t>674.706.018.499</w:t>
            </w:r>
            <w:r w:rsidR="00DA0EDF" w:rsidRPr="008379CA">
              <w:rPr>
                <w:rFonts w:ascii="Bookman Old Style" w:hAnsi="Bookman Old Style" w:cs="Calibri"/>
                <w:sz w:val="12"/>
                <w:szCs w:val="12"/>
              </w:rPr>
              <w:t>,00</w:t>
            </w:r>
            <w:r w:rsidR="00DA0EDF" w:rsidRPr="008379CA">
              <w:rPr>
                <w:rFonts w:ascii="Bookman Old Style" w:hAnsi="Bookman Old Style" w:cs="Calibri"/>
                <w:b/>
                <w:bCs/>
                <w:sz w:val="12"/>
                <w:szCs w:val="12"/>
              </w:rPr>
              <w:t xml:space="preserve"> </w:t>
            </w:r>
            <w:r w:rsidR="00DA0EDF" w:rsidRPr="008379CA">
              <w:rPr>
                <w:rFonts w:ascii="Bookman Old Style" w:hAnsi="Bookman Old Style" w:cs="Calibri"/>
                <w:sz w:val="12"/>
                <w:szCs w:val="12"/>
              </w:rPr>
              <w:t xml:space="preserve"> </w:t>
            </w:r>
          </w:p>
        </w:tc>
        <w:tc>
          <w:tcPr>
            <w:tcW w:w="1417" w:type="dxa"/>
            <w:shd w:val="clear" w:color="auto" w:fill="auto"/>
            <w:vAlign w:val="center"/>
          </w:tcPr>
          <w:p w14:paraId="32FB2CA9" w14:textId="3C61742C" w:rsidR="007E2D35" w:rsidRPr="008379CA" w:rsidRDefault="007E2D35" w:rsidP="00DA0EDF">
            <w:pPr>
              <w:spacing w:before="60" w:line="276" w:lineRule="auto"/>
              <w:ind w:left="-119"/>
              <w:jc w:val="right"/>
              <w:rPr>
                <w:rFonts w:ascii="Bookman Old Style" w:hAnsi="Bookman Old Style" w:cs="Calibri"/>
                <w:bCs/>
                <w:sz w:val="12"/>
                <w:szCs w:val="12"/>
                <w:lang w:val="en-US"/>
              </w:rPr>
            </w:pPr>
            <w:r w:rsidRPr="008379CA">
              <w:rPr>
                <w:rFonts w:ascii="Bookman Old Style" w:hAnsi="Bookman Old Style" w:cs="Calibri"/>
                <w:sz w:val="12"/>
                <w:szCs w:val="12"/>
              </w:rPr>
              <w:t>674.697.964.699</w:t>
            </w:r>
            <w:r w:rsidR="00DA0EDF" w:rsidRPr="008379CA">
              <w:rPr>
                <w:rFonts w:ascii="Bookman Old Style" w:hAnsi="Bookman Old Style" w:cs="Calibri"/>
                <w:sz w:val="12"/>
                <w:szCs w:val="12"/>
              </w:rPr>
              <w:t>,00</w:t>
            </w:r>
            <w:r w:rsidR="00DA0EDF" w:rsidRPr="008379CA">
              <w:rPr>
                <w:rFonts w:ascii="Bookman Old Style" w:hAnsi="Bookman Old Style" w:cs="Calibri"/>
                <w:b/>
                <w:bCs/>
                <w:sz w:val="12"/>
                <w:szCs w:val="12"/>
              </w:rPr>
              <w:t xml:space="preserve"> </w:t>
            </w:r>
            <w:r w:rsidR="00DA0EDF" w:rsidRPr="008379CA">
              <w:rPr>
                <w:rFonts w:ascii="Bookman Old Style" w:hAnsi="Bookman Old Style" w:cs="Calibri"/>
                <w:sz w:val="12"/>
                <w:szCs w:val="12"/>
              </w:rPr>
              <w:t xml:space="preserve"> </w:t>
            </w:r>
          </w:p>
        </w:tc>
        <w:tc>
          <w:tcPr>
            <w:tcW w:w="728" w:type="dxa"/>
            <w:shd w:val="clear" w:color="auto" w:fill="auto"/>
            <w:vAlign w:val="center"/>
          </w:tcPr>
          <w:p w14:paraId="68ED2470" w14:textId="4F8F3DCB" w:rsidR="007E2D35" w:rsidRPr="008379CA" w:rsidRDefault="007E2D35" w:rsidP="007E2D35">
            <w:pPr>
              <w:spacing w:before="60" w:line="276" w:lineRule="auto"/>
              <w:jc w:val="right"/>
              <w:rPr>
                <w:rFonts w:ascii="Bookman Old Style" w:hAnsi="Bookman Old Style" w:cs="Calibri"/>
                <w:bCs/>
                <w:sz w:val="12"/>
                <w:szCs w:val="12"/>
                <w:lang w:val="en-US"/>
              </w:rPr>
            </w:pPr>
            <w:r w:rsidRPr="008379CA">
              <w:rPr>
                <w:rFonts w:ascii="Bookman Old Style" w:hAnsi="Bookman Old Style" w:cs="Calibri"/>
                <w:sz w:val="12"/>
                <w:szCs w:val="12"/>
              </w:rPr>
              <w:t>100,00</w:t>
            </w:r>
            <w:r w:rsidR="00A954D0" w:rsidRPr="008379CA">
              <w:rPr>
                <w:rFonts w:ascii="Bookman Old Style" w:hAnsi="Bookman Old Style" w:cs="Calibri"/>
                <w:sz w:val="12"/>
                <w:szCs w:val="12"/>
              </w:rPr>
              <w:t xml:space="preserve"> </w:t>
            </w:r>
          </w:p>
        </w:tc>
        <w:tc>
          <w:tcPr>
            <w:tcW w:w="1398" w:type="dxa"/>
            <w:shd w:val="clear" w:color="auto" w:fill="auto"/>
            <w:vAlign w:val="center"/>
          </w:tcPr>
          <w:p w14:paraId="6C9BBCBE" w14:textId="4726FA7A" w:rsidR="007E2D35" w:rsidRPr="008379CA" w:rsidRDefault="007E2D35" w:rsidP="009C0CB9">
            <w:pPr>
              <w:spacing w:before="60" w:line="276" w:lineRule="auto"/>
              <w:ind w:left="-133"/>
              <w:jc w:val="right"/>
              <w:rPr>
                <w:rFonts w:ascii="Bookman Old Style" w:hAnsi="Bookman Old Style" w:cs="Calibri"/>
                <w:bCs/>
                <w:sz w:val="12"/>
                <w:szCs w:val="12"/>
                <w:lang w:val="en-US"/>
              </w:rPr>
            </w:pPr>
            <w:r w:rsidRPr="008379CA">
              <w:rPr>
                <w:rFonts w:ascii="Bookman Old Style" w:hAnsi="Bookman Old Style" w:cs="Calibri"/>
                <w:sz w:val="12"/>
                <w:szCs w:val="12"/>
              </w:rPr>
              <w:t>502.606.348.483</w:t>
            </w:r>
            <w:r w:rsidR="00DA0EDF" w:rsidRPr="008379CA">
              <w:rPr>
                <w:rFonts w:ascii="Bookman Old Style" w:hAnsi="Bookman Old Style" w:cs="Calibri"/>
                <w:sz w:val="12"/>
                <w:szCs w:val="12"/>
              </w:rPr>
              <w:t>,00</w:t>
            </w:r>
            <w:r w:rsidR="00DA0EDF" w:rsidRPr="008379CA">
              <w:rPr>
                <w:rFonts w:ascii="Bookman Old Style" w:hAnsi="Bookman Old Style" w:cs="Calibri"/>
                <w:b/>
                <w:bCs/>
                <w:sz w:val="12"/>
                <w:szCs w:val="12"/>
              </w:rPr>
              <w:t xml:space="preserve"> </w:t>
            </w:r>
            <w:r w:rsidR="00DA0EDF" w:rsidRPr="008379CA">
              <w:rPr>
                <w:rFonts w:ascii="Bookman Old Style" w:hAnsi="Bookman Old Style" w:cs="Calibri"/>
                <w:sz w:val="12"/>
                <w:szCs w:val="12"/>
              </w:rPr>
              <w:t xml:space="preserve"> </w:t>
            </w:r>
          </w:p>
        </w:tc>
        <w:tc>
          <w:tcPr>
            <w:tcW w:w="1418" w:type="dxa"/>
            <w:shd w:val="clear" w:color="auto" w:fill="auto"/>
            <w:vAlign w:val="center"/>
          </w:tcPr>
          <w:p w14:paraId="2DA4BFFB" w14:textId="33877578" w:rsidR="007E2D35" w:rsidRPr="008379CA" w:rsidRDefault="007E2D35" w:rsidP="009C0CB9">
            <w:pPr>
              <w:spacing w:before="60" w:line="276" w:lineRule="auto"/>
              <w:ind w:left="-114"/>
              <w:jc w:val="right"/>
              <w:rPr>
                <w:rFonts w:ascii="Bookman Old Style" w:hAnsi="Bookman Old Style" w:cs="Calibri"/>
                <w:bCs/>
                <w:sz w:val="12"/>
                <w:szCs w:val="12"/>
                <w:lang w:val="en-US"/>
              </w:rPr>
            </w:pPr>
            <w:r w:rsidRPr="008379CA">
              <w:rPr>
                <w:rFonts w:ascii="Bookman Old Style" w:hAnsi="Bookman Old Style" w:cs="Calibri"/>
                <w:sz w:val="12"/>
                <w:szCs w:val="12"/>
              </w:rPr>
              <w:t>502.593.555.633</w:t>
            </w:r>
            <w:r w:rsidR="00DA0EDF" w:rsidRPr="008379CA">
              <w:rPr>
                <w:rFonts w:ascii="Bookman Old Style" w:hAnsi="Bookman Old Style" w:cs="Calibri"/>
                <w:sz w:val="12"/>
                <w:szCs w:val="12"/>
              </w:rPr>
              <w:t>,00</w:t>
            </w:r>
            <w:r w:rsidR="00DA0EDF" w:rsidRPr="008379CA">
              <w:rPr>
                <w:rFonts w:ascii="Bookman Old Style" w:hAnsi="Bookman Old Style" w:cs="Calibri"/>
                <w:b/>
                <w:bCs/>
                <w:sz w:val="12"/>
                <w:szCs w:val="12"/>
              </w:rPr>
              <w:t xml:space="preserve"> </w:t>
            </w:r>
            <w:r w:rsidR="00DA0EDF" w:rsidRPr="008379CA">
              <w:rPr>
                <w:rFonts w:ascii="Bookman Old Style" w:hAnsi="Bookman Old Style" w:cs="Calibri"/>
                <w:sz w:val="12"/>
                <w:szCs w:val="12"/>
              </w:rPr>
              <w:t xml:space="preserve"> </w:t>
            </w:r>
          </w:p>
        </w:tc>
        <w:tc>
          <w:tcPr>
            <w:tcW w:w="692" w:type="dxa"/>
            <w:shd w:val="clear" w:color="auto" w:fill="auto"/>
            <w:vAlign w:val="center"/>
          </w:tcPr>
          <w:p w14:paraId="2465DCDF" w14:textId="23176575" w:rsidR="007E2D35" w:rsidRPr="008379CA" w:rsidRDefault="007E2D35" w:rsidP="007E2D35">
            <w:pPr>
              <w:spacing w:before="60" w:line="276" w:lineRule="auto"/>
              <w:jc w:val="right"/>
              <w:rPr>
                <w:rFonts w:ascii="Bookman Old Style" w:hAnsi="Bookman Old Style" w:cs="Calibri"/>
                <w:bCs/>
                <w:sz w:val="12"/>
                <w:szCs w:val="12"/>
                <w:lang w:val="en-US"/>
              </w:rPr>
            </w:pPr>
            <w:r w:rsidRPr="008379CA">
              <w:rPr>
                <w:rFonts w:ascii="Bookman Old Style" w:hAnsi="Bookman Old Style" w:cs="Calibri"/>
                <w:sz w:val="12"/>
                <w:szCs w:val="12"/>
              </w:rPr>
              <w:t>100,00</w:t>
            </w:r>
            <w:r w:rsidR="00A954D0" w:rsidRPr="008379CA">
              <w:rPr>
                <w:rFonts w:ascii="Bookman Old Style" w:hAnsi="Bookman Old Style" w:cs="Calibri"/>
                <w:sz w:val="12"/>
                <w:szCs w:val="12"/>
              </w:rPr>
              <w:t xml:space="preserve"> </w:t>
            </w:r>
          </w:p>
        </w:tc>
        <w:tc>
          <w:tcPr>
            <w:tcW w:w="1434" w:type="dxa"/>
            <w:shd w:val="clear" w:color="auto" w:fill="auto"/>
            <w:vAlign w:val="center"/>
          </w:tcPr>
          <w:p w14:paraId="72D724EF" w14:textId="71FAC0DE" w:rsidR="007E2D35" w:rsidRPr="008379CA" w:rsidRDefault="007E2D35" w:rsidP="00DA0EDF">
            <w:pPr>
              <w:spacing w:before="60" w:line="276" w:lineRule="auto"/>
              <w:ind w:left="-113"/>
              <w:jc w:val="right"/>
              <w:rPr>
                <w:rFonts w:ascii="Bookman Old Style" w:hAnsi="Bookman Old Style" w:cs="Calibri"/>
                <w:bCs/>
                <w:sz w:val="12"/>
                <w:szCs w:val="12"/>
                <w:lang w:val="en-US"/>
              </w:rPr>
            </w:pPr>
            <w:r w:rsidRPr="008379CA">
              <w:rPr>
                <w:rFonts w:ascii="Bookman Old Style" w:hAnsi="Bookman Old Style" w:cs="Calibri"/>
                <w:sz w:val="12"/>
                <w:szCs w:val="12"/>
              </w:rPr>
              <w:t>488.362.728.165</w:t>
            </w:r>
            <w:r w:rsidR="00DA0EDF" w:rsidRPr="008379CA">
              <w:rPr>
                <w:rFonts w:ascii="Bookman Old Style" w:hAnsi="Bookman Old Style" w:cs="Calibri"/>
                <w:sz w:val="12"/>
                <w:szCs w:val="12"/>
              </w:rPr>
              <w:t>,00</w:t>
            </w:r>
            <w:r w:rsidR="00DA0EDF" w:rsidRPr="008379CA">
              <w:rPr>
                <w:rFonts w:ascii="Bookman Old Style" w:hAnsi="Bookman Old Style" w:cs="Calibri"/>
                <w:b/>
                <w:bCs/>
                <w:sz w:val="12"/>
                <w:szCs w:val="12"/>
              </w:rPr>
              <w:t xml:space="preserve"> </w:t>
            </w:r>
            <w:r w:rsidR="00DA0EDF" w:rsidRPr="008379CA">
              <w:rPr>
                <w:rFonts w:ascii="Bookman Old Style" w:hAnsi="Bookman Old Style" w:cs="Calibri"/>
                <w:sz w:val="12"/>
                <w:szCs w:val="12"/>
              </w:rPr>
              <w:t xml:space="preserve"> </w:t>
            </w:r>
          </w:p>
        </w:tc>
        <w:tc>
          <w:tcPr>
            <w:tcW w:w="1418" w:type="dxa"/>
            <w:shd w:val="clear" w:color="auto" w:fill="auto"/>
            <w:vAlign w:val="center"/>
          </w:tcPr>
          <w:p w14:paraId="42B0E16E" w14:textId="551CEC68" w:rsidR="007E2D35" w:rsidRPr="008379CA" w:rsidRDefault="007E2D35" w:rsidP="00DA0EDF">
            <w:pPr>
              <w:spacing w:before="60" w:line="276" w:lineRule="auto"/>
              <w:ind w:left="-113"/>
              <w:jc w:val="right"/>
              <w:rPr>
                <w:rFonts w:ascii="Bookman Old Style" w:hAnsi="Bookman Old Style" w:cs="Calibri"/>
                <w:sz w:val="12"/>
                <w:szCs w:val="12"/>
                <w:lang w:val="en-US"/>
              </w:rPr>
            </w:pPr>
            <w:r w:rsidRPr="008379CA">
              <w:rPr>
                <w:rFonts w:ascii="Bookman Old Style" w:hAnsi="Bookman Old Style" w:cs="Calibri"/>
                <w:sz w:val="12"/>
                <w:szCs w:val="12"/>
              </w:rPr>
              <w:t>488.362.668.765</w:t>
            </w:r>
            <w:r w:rsidR="00DA0EDF" w:rsidRPr="008379CA">
              <w:rPr>
                <w:rFonts w:ascii="Bookman Old Style" w:hAnsi="Bookman Old Style" w:cs="Calibri"/>
                <w:sz w:val="12"/>
                <w:szCs w:val="12"/>
              </w:rPr>
              <w:t>,00</w:t>
            </w:r>
            <w:r w:rsidR="00DA0EDF" w:rsidRPr="008379CA">
              <w:rPr>
                <w:rFonts w:ascii="Bookman Old Style" w:hAnsi="Bookman Old Style" w:cs="Calibri"/>
                <w:b/>
                <w:bCs/>
                <w:sz w:val="12"/>
                <w:szCs w:val="12"/>
              </w:rPr>
              <w:t xml:space="preserve"> </w:t>
            </w:r>
            <w:r w:rsidR="00DA0EDF" w:rsidRPr="008379CA">
              <w:rPr>
                <w:rFonts w:ascii="Bookman Old Style" w:hAnsi="Bookman Old Style" w:cs="Calibri"/>
                <w:sz w:val="12"/>
                <w:szCs w:val="12"/>
              </w:rPr>
              <w:t xml:space="preserve"> </w:t>
            </w:r>
          </w:p>
        </w:tc>
        <w:tc>
          <w:tcPr>
            <w:tcW w:w="709" w:type="dxa"/>
            <w:shd w:val="clear" w:color="auto" w:fill="auto"/>
            <w:vAlign w:val="center"/>
          </w:tcPr>
          <w:p w14:paraId="16C51580" w14:textId="20AE218C" w:rsidR="007E2D35" w:rsidRPr="008379CA" w:rsidRDefault="007E2D35" w:rsidP="007E2D35">
            <w:pPr>
              <w:spacing w:before="60" w:line="276" w:lineRule="auto"/>
              <w:jc w:val="right"/>
              <w:rPr>
                <w:rFonts w:ascii="Bookman Old Style" w:hAnsi="Bookman Old Style" w:cs="Calibri"/>
                <w:bCs/>
                <w:sz w:val="12"/>
                <w:szCs w:val="12"/>
                <w:lang w:val="en-US"/>
              </w:rPr>
            </w:pPr>
            <w:r w:rsidRPr="008379CA">
              <w:rPr>
                <w:rFonts w:ascii="Bookman Old Style" w:hAnsi="Bookman Old Style" w:cs="Calibri"/>
                <w:sz w:val="12"/>
                <w:szCs w:val="12"/>
              </w:rPr>
              <w:t>100,00</w:t>
            </w:r>
            <w:r w:rsidR="00A954D0" w:rsidRPr="008379CA">
              <w:rPr>
                <w:rFonts w:ascii="Bookman Old Style" w:hAnsi="Bookman Old Style" w:cs="Calibri"/>
                <w:sz w:val="12"/>
                <w:szCs w:val="12"/>
              </w:rPr>
              <w:t xml:space="preserve"> </w:t>
            </w:r>
          </w:p>
        </w:tc>
        <w:tc>
          <w:tcPr>
            <w:tcW w:w="1417" w:type="dxa"/>
            <w:shd w:val="clear" w:color="auto" w:fill="auto"/>
            <w:vAlign w:val="center"/>
          </w:tcPr>
          <w:p w14:paraId="199D9626" w14:textId="7DFA4203" w:rsidR="007E2D35" w:rsidRPr="008379CA" w:rsidRDefault="007E2D35" w:rsidP="009C0CB9">
            <w:pPr>
              <w:spacing w:before="60" w:line="276" w:lineRule="auto"/>
              <w:ind w:left="-154" w:right="-57"/>
              <w:jc w:val="right"/>
              <w:rPr>
                <w:rFonts w:ascii="Bookman Old Style" w:hAnsi="Bookman Old Style" w:cs="Calibri"/>
                <w:b/>
                <w:bCs/>
                <w:sz w:val="12"/>
                <w:szCs w:val="12"/>
                <w:lang w:val="en-US"/>
              </w:rPr>
            </w:pPr>
            <w:r w:rsidRPr="008379CA">
              <w:rPr>
                <w:rFonts w:ascii="Bookman Old Style" w:hAnsi="Bookman Old Style" w:cs="Calibri"/>
                <w:sz w:val="12"/>
                <w:szCs w:val="12"/>
              </w:rPr>
              <w:t>400.789.809.045</w:t>
            </w:r>
            <w:r w:rsidR="00DA0EDF" w:rsidRPr="008379CA">
              <w:rPr>
                <w:rFonts w:ascii="Bookman Old Style" w:hAnsi="Bookman Old Style" w:cs="Calibri"/>
                <w:sz w:val="12"/>
                <w:szCs w:val="12"/>
              </w:rPr>
              <w:t>,00</w:t>
            </w:r>
            <w:r w:rsidR="00DA0EDF" w:rsidRPr="008379CA">
              <w:rPr>
                <w:rFonts w:ascii="Bookman Old Style" w:hAnsi="Bookman Old Style" w:cs="Calibri"/>
                <w:b/>
                <w:bCs/>
                <w:sz w:val="12"/>
                <w:szCs w:val="12"/>
              </w:rPr>
              <w:t xml:space="preserve"> </w:t>
            </w:r>
            <w:r w:rsidR="00DA0EDF" w:rsidRPr="008379CA">
              <w:rPr>
                <w:rFonts w:ascii="Bookman Old Style" w:hAnsi="Bookman Old Style" w:cs="Calibri"/>
                <w:sz w:val="12"/>
                <w:szCs w:val="12"/>
              </w:rPr>
              <w:t xml:space="preserve"> </w:t>
            </w:r>
          </w:p>
        </w:tc>
        <w:tc>
          <w:tcPr>
            <w:tcW w:w="1061" w:type="dxa"/>
            <w:shd w:val="clear" w:color="auto" w:fill="auto"/>
            <w:vAlign w:val="center"/>
          </w:tcPr>
          <w:p w14:paraId="21D68F7E" w14:textId="17B30183" w:rsidR="007E2D35" w:rsidRPr="008379CA" w:rsidRDefault="007E2D35" w:rsidP="007E2D35">
            <w:pPr>
              <w:spacing w:before="60" w:line="276" w:lineRule="auto"/>
              <w:jc w:val="center"/>
              <w:rPr>
                <w:rFonts w:ascii="Bookman Old Style" w:hAnsi="Bookman Old Style" w:cs="Calibri"/>
                <w:sz w:val="12"/>
                <w:szCs w:val="12"/>
                <w:lang w:val="en-US"/>
              </w:rPr>
            </w:pPr>
            <w:r w:rsidRPr="008379CA">
              <w:rPr>
                <w:rFonts w:ascii="Bookman Old Style" w:hAnsi="Bookman Old Style" w:cs="Calibri"/>
                <w:sz w:val="12"/>
                <w:szCs w:val="12"/>
              </w:rPr>
              <w:t>(25,51)</w:t>
            </w:r>
          </w:p>
        </w:tc>
        <w:tc>
          <w:tcPr>
            <w:tcW w:w="992" w:type="dxa"/>
            <w:shd w:val="clear" w:color="auto" w:fill="auto"/>
            <w:vAlign w:val="center"/>
          </w:tcPr>
          <w:p w14:paraId="3F4B8CE5" w14:textId="45EB79E1" w:rsidR="007E2D35" w:rsidRPr="008379CA" w:rsidRDefault="007E2D35" w:rsidP="007E2D35">
            <w:pPr>
              <w:spacing w:before="60" w:line="276" w:lineRule="auto"/>
              <w:jc w:val="center"/>
              <w:rPr>
                <w:rFonts w:ascii="Bookman Old Style" w:hAnsi="Bookman Old Style" w:cs="Calibri"/>
                <w:sz w:val="12"/>
                <w:szCs w:val="12"/>
                <w:lang w:val="en-US"/>
              </w:rPr>
            </w:pPr>
            <w:r w:rsidRPr="008379CA">
              <w:rPr>
                <w:rFonts w:ascii="Bookman Old Style" w:hAnsi="Bookman Old Style" w:cs="Calibri"/>
                <w:sz w:val="12"/>
                <w:szCs w:val="12"/>
              </w:rPr>
              <w:t>(2,83)</w:t>
            </w:r>
          </w:p>
        </w:tc>
        <w:tc>
          <w:tcPr>
            <w:tcW w:w="993" w:type="dxa"/>
            <w:shd w:val="clear" w:color="auto" w:fill="auto"/>
            <w:vAlign w:val="center"/>
          </w:tcPr>
          <w:p w14:paraId="506908E7" w14:textId="6C03D3D4" w:rsidR="007E2D35" w:rsidRPr="008379CA" w:rsidRDefault="007E2D35" w:rsidP="007E2D35">
            <w:pPr>
              <w:spacing w:before="60" w:line="276" w:lineRule="auto"/>
              <w:jc w:val="center"/>
              <w:rPr>
                <w:rFonts w:ascii="Bookman Old Style" w:hAnsi="Bookman Old Style" w:cs="Calibri"/>
                <w:sz w:val="12"/>
                <w:szCs w:val="12"/>
                <w:lang w:val="en-US"/>
              </w:rPr>
            </w:pPr>
            <w:r w:rsidRPr="008379CA">
              <w:rPr>
                <w:rFonts w:ascii="Bookman Old Style" w:hAnsi="Bookman Old Style" w:cs="Calibri"/>
                <w:sz w:val="12"/>
                <w:szCs w:val="12"/>
              </w:rPr>
              <w:t>(17,93)</w:t>
            </w:r>
          </w:p>
        </w:tc>
        <w:tc>
          <w:tcPr>
            <w:tcW w:w="849" w:type="dxa"/>
            <w:shd w:val="clear" w:color="auto" w:fill="auto"/>
            <w:noWrap/>
            <w:vAlign w:val="center"/>
          </w:tcPr>
          <w:p w14:paraId="68876C58" w14:textId="2CC084B7" w:rsidR="007E2D35" w:rsidRPr="008379CA" w:rsidRDefault="007E2D35" w:rsidP="007E2D35">
            <w:pPr>
              <w:spacing w:before="60" w:line="276" w:lineRule="auto"/>
              <w:jc w:val="center"/>
              <w:rPr>
                <w:rFonts w:ascii="Bookman Old Style" w:hAnsi="Bookman Old Style" w:cs="Calibri"/>
                <w:sz w:val="12"/>
                <w:szCs w:val="12"/>
                <w:lang w:val="en-US"/>
              </w:rPr>
            </w:pPr>
            <w:r w:rsidRPr="008379CA">
              <w:rPr>
                <w:rFonts w:ascii="Bookman Old Style" w:hAnsi="Bookman Old Style" w:cs="Calibri"/>
                <w:sz w:val="12"/>
                <w:szCs w:val="12"/>
              </w:rPr>
              <w:t>(15,42)</w:t>
            </w:r>
          </w:p>
        </w:tc>
      </w:tr>
      <w:tr w:rsidR="008379CA" w:rsidRPr="008379CA" w14:paraId="7749657F" w14:textId="77777777" w:rsidTr="009C0CB9">
        <w:trPr>
          <w:trHeight w:val="413"/>
        </w:trPr>
        <w:tc>
          <w:tcPr>
            <w:tcW w:w="1985" w:type="dxa"/>
            <w:shd w:val="clear" w:color="auto" w:fill="auto"/>
            <w:vAlign w:val="center"/>
          </w:tcPr>
          <w:p w14:paraId="460ED09C" w14:textId="4DB4831A" w:rsidR="00F16864" w:rsidRPr="008379CA" w:rsidRDefault="00F16864" w:rsidP="00F16864">
            <w:pPr>
              <w:spacing w:before="60" w:line="276" w:lineRule="auto"/>
              <w:jc w:val="both"/>
              <w:rPr>
                <w:rFonts w:ascii="Bookman Old Style" w:hAnsi="Bookman Old Style" w:cs="Calibri"/>
                <w:bCs/>
                <w:sz w:val="12"/>
                <w:szCs w:val="12"/>
                <w:lang w:val="en-US"/>
              </w:rPr>
            </w:pPr>
            <w:r w:rsidRPr="008379CA">
              <w:rPr>
                <w:rFonts w:ascii="Bookman Old Style" w:hAnsi="Bookman Old Style"/>
                <w:b/>
                <w:bCs/>
                <w:sz w:val="12"/>
                <w:szCs w:val="12"/>
                <w:lang w:eastAsia="id-ID"/>
              </w:rPr>
              <w:t>PENGELUARAN</w:t>
            </w:r>
            <w:r w:rsidR="00A954D0" w:rsidRPr="008379CA">
              <w:rPr>
                <w:rFonts w:ascii="Bookman Old Style" w:hAnsi="Bookman Old Style"/>
                <w:b/>
                <w:bCs/>
                <w:sz w:val="12"/>
                <w:szCs w:val="12"/>
                <w:lang w:eastAsia="id-ID"/>
              </w:rPr>
              <w:t xml:space="preserve"> </w:t>
            </w:r>
            <w:r w:rsidRPr="008379CA">
              <w:rPr>
                <w:rFonts w:ascii="Bookman Old Style" w:hAnsi="Bookman Old Style"/>
                <w:b/>
                <w:bCs/>
                <w:sz w:val="12"/>
                <w:szCs w:val="12"/>
                <w:lang w:eastAsia="id-ID"/>
              </w:rPr>
              <w:t>PEMBIAYAAN</w:t>
            </w:r>
          </w:p>
        </w:tc>
        <w:tc>
          <w:tcPr>
            <w:tcW w:w="1418" w:type="dxa"/>
            <w:shd w:val="clear" w:color="auto" w:fill="auto"/>
            <w:vAlign w:val="center"/>
          </w:tcPr>
          <w:p w14:paraId="4165C664" w14:textId="37AA09F7" w:rsidR="00F16864" w:rsidRPr="008379CA" w:rsidRDefault="00F16864" w:rsidP="00DA0EDF">
            <w:pPr>
              <w:spacing w:before="60" w:line="276" w:lineRule="auto"/>
              <w:ind w:left="-119"/>
              <w:jc w:val="right"/>
              <w:rPr>
                <w:rFonts w:ascii="Bookman Old Style" w:hAnsi="Bookman Old Style" w:cs="Calibri"/>
                <w:b/>
                <w:sz w:val="12"/>
                <w:szCs w:val="12"/>
                <w:lang w:val="en-US"/>
              </w:rPr>
            </w:pPr>
            <w:r w:rsidRPr="008379CA">
              <w:rPr>
                <w:rFonts w:ascii="Bookman Old Style" w:hAnsi="Bookman Old Style" w:cs="Calibri"/>
                <w:b/>
                <w:bCs/>
                <w:sz w:val="12"/>
                <w:szCs w:val="12"/>
              </w:rPr>
              <w:t>11.763.045.023</w:t>
            </w:r>
            <w:r w:rsidR="00DA0EDF" w:rsidRPr="008379CA">
              <w:rPr>
                <w:rFonts w:ascii="Bookman Old Style" w:hAnsi="Bookman Old Style" w:cs="Calibri"/>
                <w:sz w:val="12"/>
                <w:szCs w:val="12"/>
              </w:rPr>
              <w:t>,00</w:t>
            </w:r>
            <w:r w:rsidR="00DA0EDF" w:rsidRPr="008379CA">
              <w:rPr>
                <w:rFonts w:ascii="Bookman Old Style" w:hAnsi="Bookman Old Style" w:cs="Calibri"/>
                <w:b/>
                <w:bCs/>
                <w:sz w:val="12"/>
                <w:szCs w:val="12"/>
              </w:rPr>
              <w:t xml:space="preserve"> </w:t>
            </w:r>
            <w:r w:rsidR="00DA0EDF" w:rsidRPr="008379CA">
              <w:rPr>
                <w:rFonts w:ascii="Bookman Old Style" w:hAnsi="Bookman Old Style" w:cs="Calibri"/>
                <w:sz w:val="12"/>
                <w:szCs w:val="12"/>
              </w:rPr>
              <w:t xml:space="preserve"> </w:t>
            </w:r>
          </w:p>
        </w:tc>
        <w:tc>
          <w:tcPr>
            <w:tcW w:w="1417" w:type="dxa"/>
            <w:shd w:val="clear" w:color="auto" w:fill="auto"/>
            <w:vAlign w:val="center"/>
          </w:tcPr>
          <w:p w14:paraId="7878BC5F" w14:textId="01B29FB8" w:rsidR="00F16864" w:rsidRPr="008379CA" w:rsidRDefault="00F16864" w:rsidP="00DA0EDF">
            <w:pPr>
              <w:spacing w:before="60" w:line="276" w:lineRule="auto"/>
              <w:ind w:left="-119"/>
              <w:jc w:val="right"/>
              <w:rPr>
                <w:rFonts w:ascii="Bookman Old Style" w:hAnsi="Bookman Old Style" w:cs="Calibri"/>
                <w:b/>
                <w:sz w:val="12"/>
                <w:szCs w:val="12"/>
                <w:lang w:val="en-US"/>
              </w:rPr>
            </w:pPr>
            <w:r w:rsidRPr="008379CA">
              <w:rPr>
                <w:rFonts w:ascii="Bookman Old Style" w:hAnsi="Bookman Old Style" w:cs="Calibri"/>
                <w:b/>
                <w:bCs/>
                <w:sz w:val="12"/>
                <w:szCs w:val="12"/>
              </w:rPr>
              <w:t>11.763.039.550</w:t>
            </w:r>
            <w:r w:rsidR="00DA0EDF" w:rsidRPr="008379CA">
              <w:rPr>
                <w:rFonts w:ascii="Bookman Old Style" w:hAnsi="Bookman Old Style" w:cs="Calibri"/>
                <w:sz w:val="12"/>
                <w:szCs w:val="12"/>
              </w:rPr>
              <w:t>,00</w:t>
            </w:r>
            <w:r w:rsidR="00DA0EDF" w:rsidRPr="008379CA">
              <w:rPr>
                <w:rFonts w:ascii="Bookman Old Style" w:hAnsi="Bookman Old Style" w:cs="Calibri"/>
                <w:b/>
                <w:bCs/>
                <w:sz w:val="12"/>
                <w:szCs w:val="12"/>
              </w:rPr>
              <w:t xml:space="preserve"> </w:t>
            </w:r>
            <w:r w:rsidR="00DA0EDF" w:rsidRPr="008379CA">
              <w:rPr>
                <w:rFonts w:ascii="Bookman Old Style" w:hAnsi="Bookman Old Style" w:cs="Calibri"/>
                <w:sz w:val="12"/>
                <w:szCs w:val="12"/>
              </w:rPr>
              <w:t xml:space="preserve"> </w:t>
            </w:r>
          </w:p>
        </w:tc>
        <w:tc>
          <w:tcPr>
            <w:tcW w:w="728" w:type="dxa"/>
            <w:shd w:val="clear" w:color="auto" w:fill="auto"/>
            <w:vAlign w:val="center"/>
          </w:tcPr>
          <w:p w14:paraId="4ADF84BE" w14:textId="711B7EA3" w:rsidR="00F16864" w:rsidRPr="008379CA" w:rsidRDefault="00F16864" w:rsidP="00F16864">
            <w:pPr>
              <w:spacing w:before="60" w:line="276" w:lineRule="auto"/>
              <w:jc w:val="right"/>
              <w:rPr>
                <w:rFonts w:ascii="Bookman Old Style" w:hAnsi="Bookman Old Style" w:cs="Calibri"/>
                <w:b/>
                <w:sz w:val="12"/>
                <w:szCs w:val="12"/>
                <w:lang w:val="en-US"/>
              </w:rPr>
            </w:pPr>
            <w:r w:rsidRPr="008379CA">
              <w:rPr>
                <w:rFonts w:ascii="Bookman Old Style" w:hAnsi="Bookman Old Style" w:cs="Calibri"/>
                <w:b/>
                <w:bCs/>
                <w:sz w:val="12"/>
                <w:szCs w:val="12"/>
              </w:rPr>
              <w:t>100,00</w:t>
            </w:r>
            <w:r w:rsidR="00A954D0" w:rsidRPr="008379CA">
              <w:rPr>
                <w:rFonts w:ascii="Bookman Old Style" w:hAnsi="Bookman Old Style" w:cs="Calibri"/>
                <w:b/>
                <w:bCs/>
                <w:sz w:val="12"/>
                <w:szCs w:val="12"/>
              </w:rPr>
              <w:t xml:space="preserve"> </w:t>
            </w:r>
          </w:p>
        </w:tc>
        <w:tc>
          <w:tcPr>
            <w:tcW w:w="1398" w:type="dxa"/>
            <w:shd w:val="clear" w:color="auto" w:fill="auto"/>
            <w:vAlign w:val="center"/>
          </w:tcPr>
          <w:p w14:paraId="7BF44D27" w14:textId="6513E045" w:rsidR="00F16864" w:rsidRPr="008379CA" w:rsidRDefault="00F16864" w:rsidP="009C0CB9">
            <w:pPr>
              <w:spacing w:before="60" w:line="276" w:lineRule="auto"/>
              <w:ind w:left="-133"/>
              <w:jc w:val="right"/>
              <w:rPr>
                <w:rFonts w:ascii="Bookman Old Style" w:hAnsi="Bookman Old Style" w:cs="Calibri"/>
                <w:b/>
                <w:sz w:val="12"/>
                <w:szCs w:val="12"/>
                <w:lang w:val="en-US"/>
              </w:rPr>
            </w:pPr>
          </w:p>
        </w:tc>
        <w:tc>
          <w:tcPr>
            <w:tcW w:w="1418" w:type="dxa"/>
            <w:shd w:val="clear" w:color="auto" w:fill="auto"/>
            <w:vAlign w:val="center"/>
          </w:tcPr>
          <w:p w14:paraId="6640D317" w14:textId="0F770BFF" w:rsidR="00F16864" w:rsidRPr="008379CA" w:rsidRDefault="00F16864" w:rsidP="009C0CB9">
            <w:pPr>
              <w:spacing w:before="60" w:line="276" w:lineRule="auto"/>
              <w:ind w:left="-114"/>
              <w:jc w:val="right"/>
              <w:rPr>
                <w:rFonts w:ascii="Bookman Old Style" w:hAnsi="Bookman Old Style" w:cs="Calibri"/>
                <w:b/>
                <w:sz w:val="12"/>
                <w:szCs w:val="12"/>
                <w:lang w:val="en-US"/>
              </w:rPr>
            </w:pPr>
          </w:p>
        </w:tc>
        <w:tc>
          <w:tcPr>
            <w:tcW w:w="692" w:type="dxa"/>
            <w:shd w:val="clear" w:color="auto" w:fill="auto"/>
            <w:vAlign w:val="center"/>
          </w:tcPr>
          <w:p w14:paraId="5FEF185B" w14:textId="709140FD" w:rsidR="00F16864" w:rsidRPr="008379CA" w:rsidRDefault="00F16864" w:rsidP="00F16864">
            <w:pPr>
              <w:spacing w:before="60" w:line="276" w:lineRule="auto"/>
              <w:jc w:val="right"/>
              <w:rPr>
                <w:rFonts w:ascii="Bookman Old Style" w:hAnsi="Bookman Old Style" w:cs="Calibri"/>
                <w:b/>
                <w:sz w:val="12"/>
                <w:szCs w:val="12"/>
                <w:lang w:val="en-US"/>
              </w:rPr>
            </w:pPr>
          </w:p>
        </w:tc>
        <w:tc>
          <w:tcPr>
            <w:tcW w:w="1434" w:type="dxa"/>
            <w:shd w:val="clear" w:color="auto" w:fill="auto"/>
            <w:vAlign w:val="center"/>
          </w:tcPr>
          <w:p w14:paraId="728656B0" w14:textId="3409A1CF" w:rsidR="00F16864" w:rsidRPr="008379CA" w:rsidRDefault="00F16864" w:rsidP="00DA0EDF">
            <w:pPr>
              <w:spacing w:before="60" w:line="276" w:lineRule="auto"/>
              <w:ind w:left="-113"/>
              <w:jc w:val="right"/>
              <w:rPr>
                <w:rFonts w:ascii="Bookman Old Style" w:hAnsi="Bookman Old Style" w:cs="Calibri"/>
                <w:b/>
                <w:sz w:val="12"/>
                <w:szCs w:val="12"/>
                <w:lang w:val="en-US"/>
              </w:rPr>
            </w:pPr>
          </w:p>
        </w:tc>
        <w:tc>
          <w:tcPr>
            <w:tcW w:w="1418" w:type="dxa"/>
            <w:shd w:val="clear" w:color="auto" w:fill="auto"/>
            <w:vAlign w:val="center"/>
          </w:tcPr>
          <w:p w14:paraId="26B892E7" w14:textId="2E3B4D1A" w:rsidR="00F16864" w:rsidRPr="008379CA" w:rsidRDefault="00F16864" w:rsidP="00DA0EDF">
            <w:pPr>
              <w:spacing w:before="60" w:line="276" w:lineRule="auto"/>
              <w:ind w:left="-113"/>
              <w:jc w:val="right"/>
              <w:rPr>
                <w:rFonts w:ascii="Bookman Old Style" w:hAnsi="Bookman Old Style" w:cs="Calibri"/>
                <w:b/>
                <w:sz w:val="12"/>
                <w:szCs w:val="12"/>
                <w:lang w:val="en-US"/>
              </w:rPr>
            </w:pPr>
          </w:p>
        </w:tc>
        <w:tc>
          <w:tcPr>
            <w:tcW w:w="709" w:type="dxa"/>
            <w:shd w:val="clear" w:color="auto" w:fill="auto"/>
            <w:vAlign w:val="center"/>
          </w:tcPr>
          <w:p w14:paraId="11E8703A" w14:textId="3F8D63D2" w:rsidR="00F16864" w:rsidRPr="008379CA" w:rsidRDefault="00F16864" w:rsidP="00F16864">
            <w:pPr>
              <w:spacing w:before="60" w:line="276" w:lineRule="auto"/>
              <w:jc w:val="right"/>
              <w:rPr>
                <w:rFonts w:ascii="Bookman Old Style" w:hAnsi="Bookman Old Style" w:cs="Calibri"/>
                <w:b/>
                <w:sz w:val="12"/>
                <w:szCs w:val="12"/>
                <w:lang w:val="en-US"/>
              </w:rPr>
            </w:pPr>
          </w:p>
        </w:tc>
        <w:tc>
          <w:tcPr>
            <w:tcW w:w="1417" w:type="dxa"/>
            <w:shd w:val="clear" w:color="auto" w:fill="auto"/>
            <w:vAlign w:val="center"/>
          </w:tcPr>
          <w:p w14:paraId="0DA06A63" w14:textId="4D473371" w:rsidR="00F16864" w:rsidRPr="008379CA" w:rsidRDefault="00F16864" w:rsidP="009C0CB9">
            <w:pPr>
              <w:spacing w:before="60" w:line="276" w:lineRule="auto"/>
              <w:ind w:left="-154" w:right="-57"/>
              <w:jc w:val="right"/>
              <w:rPr>
                <w:rFonts w:ascii="Bookman Old Style" w:hAnsi="Bookman Old Style" w:cs="Calibri"/>
                <w:b/>
                <w:sz w:val="12"/>
                <w:szCs w:val="12"/>
                <w:lang w:val="en-US"/>
              </w:rPr>
            </w:pPr>
          </w:p>
        </w:tc>
        <w:tc>
          <w:tcPr>
            <w:tcW w:w="1061" w:type="dxa"/>
            <w:shd w:val="clear" w:color="auto" w:fill="auto"/>
            <w:vAlign w:val="center"/>
          </w:tcPr>
          <w:p w14:paraId="1D261F6A" w14:textId="21FBA073" w:rsidR="00F16864" w:rsidRPr="008379CA" w:rsidRDefault="00F16864" w:rsidP="00F16864">
            <w:pPr>
              <w:spacing w:before="60" w:line="276" w:lineRule="auto"/>
              <w:jc w:val="right"/>
              <w:rPr>
                <w:rFonts w:ascii="Bookman Old Style" w:hAnsi="Bookman Old Style" w:cs="Calibri"/>
                <w:b/>
                <w:sz w:val="12"/>
                <w:szCs w:val="12"/>
                <w:lang w:val="en-US"/>
              </w:rPr>
            </w:pPr>
          </w:p>
        </w:tc>
        <w:tc>
          <w:tcPr>
            <w:tcW w:w="992" w:type="dxa"/>
            <w:shd w:val="clear" w:color="auto" w:fill="auto"/>
            <w:vAlign w:val="center"/>
          </w:tcPr>
          <w:p w14:paraId="5A8FDDC7" w14:textId="643009FA" w:rsidR="00F16864" w:rsidRPr="008379CA" w:rsidRDefault="00F16864" w:rsidP="00F16864">
            <w:pPr>
              <w:spacing w:before="60" w:line="276" w:lineRule="auto"/>
              <w:jc w:val="right"/>
              <w:rPr>
                <w:rFonts w:ascii="Bookman Old Style" w:hAnsi="Bookman Old Style" w:cs="Calibri"/>
                <w:b/>
                <w:sz w:val="12"/>
                <w:szCs w:val="12"/>
                <w:lang w:val="en-US"/>
              </w:rPr>
            </w:pPr>
          </w:p>
        </w:tc>
        <w:tc>
          <w:tcPr>
            <w:tcW w:w="993" w:type="dxa"/>
            <w:shd w:val="clear" w:color="auto" w:fill="auto"/>
            <w:vAlign w:val="center"/>
          </w:tcPr>
          <w:p w14:paraId="5C3C04F1" w14:textId="477164AD" w:rsidR="00F16864" w:rsidRPr="008379CA" w:rsidRDefault="00F16864" w:rsidP="00F16864">
            <w:pPr>
              <w:spacing w:before="60" w:line="276" w:lineRule="auto"/>
              <w:jc w:val="right"/>
              <w:rPr>
                <w:rFonts w:ascii="Bookman Old Style" w:hAnsi="Bookman Old Style" w:cs="Calibri"/>
                <w:b/>
                <w:sz w:val="12"/>
                <w:szCs w:val="12"/>
                <w:lang w:val="en-US"/>
              </w:rPr>
            </w:pPr>
          </w:p>
        </w:tc>
        <w:tc>
          <w:tcPr>
            <w:tcW w:w="849" w:type="dxa"/>
            <w:shd w:val="clear" w:color="auto" w:fill="auto"/>
            <w:noWrap/>
            <w:vAlign w:val="center"/>
          </w:tcPr>
          <w:p w14:paraId="05966FBD" w14:textId="077C5263" w:rsidR="00F16864" w:rsidRPr="008379CA" w:rsidRDefault="00F16864" w:rsidP="00F16864">
            <w:pPr>
              <w:spacing w:before="60" w:line="276" w:lineRule="auto"/>
              <w:jc w:val="right"/>
              <w:rPr>
                <w:rFonts w:ascii="Bookman Old Style" w:hAnsi="Bookman Old Style" w:cs="Calibri"/>
                <w:b/>
                <w:sz w:val="12"/>
                <w:szCs w:val="12"/>
                <w:lang w:val="en-US"/>
              </w:rPr>
            </w:pPr>
          </w:p>
        </w:tc>
      </w:tr>
      <w:tr w:rsidR="008379CA" w:rsidRPr="008379CA" w14:paraId="2B9BCC80" w14:textId="77777777" w:rsidTr="009C0CB9">
        <w:trPr>
          <w:trHeight w:val="413"/>
        </w:trPr>
        <w:tc>
          <w:tcPr>
            <w:tcW w:w="1985" w:type="dxa"/>
            <w:shd w:val="clear" w:color="auto" w:fill="auto"/>
            <w:vAlign w:val="center"/>
          </w:tcPr>
          <w:p w14:paraId="55C7B00C" w14:textId="6816FF5A" w:rsidR="00F16864" w:rsidRPr="008379CA" w:rsidRDefault="00F16864" w:rsidP="00F16864">
            <w:pPr>
              <w:spacing w:before="60" w:line="276" w:lineRule="auto"/>
              <w:jc w:val="both"/>
              <w:rPr>
                <w:rFonts w:ascii="Bookman Old Style" w:hAnsi="Bookman Old Style" w:cs="Calibri"/>
                <w:bCs/>
                <w:sz w:val="12"/>
                <w:szCs w:val="12"/>
                <w:lang w:val="en-US"/>
              </w:rPr>
            </w:pPr>
            <w:r w:rsidRPr="008379CA">
              <w:rPr>
                <w:rFonts w:ascii="Bookman Old Style" w:hAnsi="Bookman Old Style"/>
                <w:sz w:val="12"/>
                <w:szCs w:val="12"/>
                <w:lang w:eastAsia="id-ID"/>
              </w:rPr>
              <w:t>Penyertaan</w:t>
            </w:r>
            <w:r w:rsidR="00A954D0" w:rsidRPr="008379CA">
              <w:rPr>
                <w:rFonts w:ascii="Bookman Old Style" w:hAnsi="Bookman Old Style"/>
                <w:sz w:val="12"/>
                <w:szCs w:val="12"/>
                <w:lang w:eastAsia="id-ID"/>
              </w:rPr>
              <w:t xml:space="preserve"> </w:t>
            </w:r>
            <w:r w:rsidRPr="008379CA">
              <w:rPr>
                <w:rFonts w:ascii="Bookman Old Style" w:hAnsi="Bookman Old Style"/>
                <w:sz w:val="12"/>
                <w:szCs w:val="12"/>
                <w:lang w:eastAsia="id-ID"/>
              </w:rPr>
              <w:t>Modal</w:t>
            </w:r>
            <w:r w:rsidR="00A954D0" w:rsidRPr="008379CA">
              <w:rPr>
                <w:rFonts w:ascii="Bookman Old Style" w:hAnsi="Bookman Old Style"/>
                <w:sz w:val="12"/>
                <w:szCs w:val="12"/>
                <w:lang w:eastAsia="id-ID"/>
              </w:rPr>
              <w:t xml:space="preserve"> </w:t>
            </w:r>
            <w:r w:rsidRPr="008379CA">
              <w:rPr>
                <w:rFonts w:ascii="Bookman Old Style" w:hAnsi="Bookman Old Style"/>
                <w:sz w:val="12"/>
                <w:szCs w:val="12"/>
                <w:lang w:eastAsia="id-ID"/>
              </w:rPr>
              <w:t>Daerah</w:t>
            </w:r>
          </w:p>
        </w:tc>
        <w:tc>
          <w:tcPr>
            <w:tcW w:w="1418" w:type="dxa"/>
            <w:shd w:val="clear" w:color="auto" w:fill="auto"/>
            <w:vAlign w:val="center"/>
          </w:tcPr>
          <w:p w14:paraId="68B9A063" w14:textId="114D1995" w:rsidR="00F16864" w:rsidRPr="008379CA" w:rsidRDefault="00F16864" w:rsidP="00DA0EDF">
            <w:pPr>
              <w:spacing w:before="60" w:line="276" w:lineRule="auto"/>
              <w:ind w:left="-119"/>
              <w:jc w:val="right"/>
              <w:rPr>
                <w:rFonts w:ascii="Bookman Old Style" w:hAnsi="Bookman Old Style" w:cs="Calibri"/>
                <w:bCs/>
                <w:sz w:val="12"/>
                <w:szCs w:val="12"/>
                <w:lang w:val="en-US"/>
              </w:rPr>
            </w:pPr>
            <w:r w:rsidRPr="008379CA">
              <w:rPr>
                <w:rFonts w:ascii="Bookman Old Style" w:hAnsi="Bookman Old Style" w:cs="Calibri"/>
                <w:sz w:val="12"/>
                <w:szCs w:val="12"/>
              </w:rPr>
              <w:t>11.763.045.023</w:t>
            </w:r>
            <w:r w:rsidR="00DA0EDF" w:rsidRPr="008379CA">
              <w:rPr>
                <w:rFonts w:ascii="Bookman Old Style" w:hAnsi="Bookman Old Style" w:cs="Calibri"/>
                <w:sz w:val="12"/>
                <w:szCs w:val="12"/>
              </w:rPr>
              <w:t>,00</w:t>
            </w:r>
            <w:r w:rsidR="00DA0EDF" w:rsidRPr="008379CA">
              <w:rPr>
                <w:rFonts w:ascii="Bookman Old Style" w:hAnsi="Bookman Old Style" w:cs="Calibri"/>
                <w:b/>
                <w:bCs/>
                <w:sz w:val="12"/>
                <w:szCs w:val="12"/>
              </w:rPr>
              <w:t xml:space="preserve"> </w:t>
            </w:r>
            <w:r w:rsidR="00DA0EDF" w:rsidRPr="008379CA">
              <w:rPr>
                <w:rFonts w:ascii="Bookman Old Style" w:hAnsi="Bookman Old Style" w:cs="Calibri"/>
                <w:sz w:val="12"/>
                <w:szCs w:val="12"/>
              </w:rPr>
              <w:t xml:space="preserve"> </w:t>
            </w:r>
          </w:p>
        </w:tc>
        <w:tc>
          <w:tcPr>
            <w:tcW w:w="1417" w:type="dxa"/>
            <w:shd w:val="clear" w:color="auto" w:fill="auto"/>
            <w:vAlign w:val="center"/>
          </w:tcPr>
          <w:p w14:paraId="344AE29D" w14:textId="3CA60041" w:rsidR="00F16864" w:rsidRPr="008379CA" w:rsidRDefault="00F16864" w:rsidP="00DA0EDF">
            <w:pPr>
              <w:spacing w:before="60" w:line="276" w:lineRule="auto"/>
              <w:ind w:left="-119"/>
              <w:jc w:val="right"/>
              <w:rPr>
                <w:rFonts w:ascii="Bookman Old Style" w:hAnsi="Bookman Old Style" w:cs="Calibri"/>
                <w:bCs/>
                <w:sz w:val="12"/>
                <w:szCs w:val="12"/>
                <w:lang w:val="en-US"/>
              </w:rPr>
            </w:pPr>
            <w:r w:rsidRPr="008379CA">
              <w:rPr>
                <w:rFonts w:ascii="Bookman Old Style" w:hAnsi="Bookman Old Style" w:cs="Calibri"/>
                <w:sz w:val="12"/>
                <w:szCs w:val="12"/>
              </w:rPr>
              <w:t>11.763.039.550</w:t>
            </w:r>
            <w:r w:rsidR="00DA0EDF" w:rsidRPr="008379CA">
              <w:rPr>
                <w:rFonts w:ascii="Bookman Old Style" w:hAnsi="Bookman Old Style" w:cs="Calibri"/>
                <w:sz w:val="12"/>
                <w:szCs w:val="12"/>
              </w:rPr>
              <w:t>,00</w:t>
            </w:r>
            <w:r w:rsidR="00DA0EDF" w:rsidRPr="008379CA">
              <w:rPr>
                <w:rFonts w:ascii="Bookman Old Style" w:hAnsi="Bookman Old Style" w:cs="Calibri"/>
                <w:b/>
                <w:bCs/>
                <w:sz w:val="12"/>
                <w:szCs w:val="12"/>
              </w:rPr>
              <w:t xml:space="preserve"> </w:t>
            </w:r>
            <w:r w:rsidR="00DA0EDF" w:rsidRPr="008379CA">
              <w:rPr>
                <w:rFonts w:ascii="Bookman Old Style" w:hAnsi="Bookman Old Style" w:cs="Calibri"/>
                <w:sz w:val="12"/>
                <w:szCs w:val="12"/>
              </w:rPr>
              <w:t xml:space="preserve"> </w:t>
            </w:r>
          </w:p>
        </w:tc>
        <w:tc>
          <w:tcPr>
            <w:tcW w:w="728" w:type="dxa"/>
            <w:shd w:val="clear" w:color="auto" w:fill="auto"/>
            <w:vAlign w:val="center"/>
          </w:tcPr>
          <w:p w14:paraId="37E4630C" w14:textId="5642BAD7" w:rsidR="00F16864" w:rsidRPr="008379CA" w:rsidRDefault="00F16864" w:rsidP="00F16864">
            <w:pPr>
              <w:spacing w:before="60" w:line="276" w:lineRule="auto"/>
              <w:jc w:val="right"/>
              <w:rPr>
                <w:rFonts w:ascii="Bookman Old Style" w:hAnsi="Bookman Old Style" w:cs="Calibri"/>
                <w:bCs/>
                <w:sz w:val="12"/>
                <w:szCs w:val="12"/>
                <w:lang w:val="en-US"/>
              </w:rPr>
            </w:pPr>
            <w:r w:rsidRPr="008379CA">
              <w:rPr>
                <w:rFonts w:ascii="Bookman Old Style" w:hAnsi="Bookman Old Style" w:cs="Calibri"/>
                <w:sz w:val="12"/>
                <w:szCs w:val="12"/>
              </w:rPr>
              <w:t>100,00</w:t>
            </w:r>
            <w:r w:rsidR="00A954D0" w:rsidRPr="008379CA">
              <w:rPr>
                <w:rFonts w:ascii="Bookman Old Style" w:hAnsi="Bookman Old Style" w:cs="Calibri"/>
                <w:sz w:val="12"/>
                <w:szCs w:val="12"/>
              </w:rPr>
              <w:t xml:space="preserve"> </w:t>
            </w:r>
          </w:p>
        </w:tc>
        <w:tc>
          <w:tcPr>
            <w:tcW w:w="1398" w:type="dxa"/>
            <w:shd w:val="clear" w:color="auto" w:fill="auto"/>
            <w:vAlign w:val="center"/>
          </w:tcPr>
          <w:p w14:paraId="4FB89E2C" w14:textId="33C0B779" w:rsidR="00F16864" w:rsidRPr="008379CA" w:rsidRDefault="00F16864" w:rsidP="009C0CB9">
            <w:pPr>
              <w:spacing w:before="60" w:line="276" w:lineRule="auto"/>
              <w:ind w:left="-133"/>
              <w:jc w:val="right"/>
              <w:rPr>
                <w:rFonts w:ascii="Bookman Old Style" w:hAnsi="Bookman Old Style" w:cs="Calibri"/>
                <w:bCs/>
                <w:sz w:val="12"/>
                <w:szCs w:val="12"/>
                <w:lang w:val="en-US"/>
              </w:rPr>
            </w:pPr>
          </w:p>
        </w:tc>
        <w:tc>
          <w:tcPr>
            <w:tcW w:w="1418" w:type="dxa"/>
            <w:shd w:val="clear" w:color="auto" w:fill="auto"/>
            <w:vAlign w:val="center"/>
          </w:tcPr>
          <w:p w14:paraId="7898DD84" w14:textId="4DEDB835" w:rsidR="00F16864" w:rsidRPr="008379CA" w:rsidRDefault="00F16864" w:rsidP="009C0CB9">
            <w:pPr>
              <w:spacing w:before="60" w:line="276" w:lineRule="auto"/>
              <w:ind w:left="-114"/>
              <w:jc w:val="right"/>
              <w:rPr>
                <w:rFonts w:ascii="Bookman Old Style" w:hAnsi="Bookman Old Style" w:cs="Calibri"/>
                <w:bCs/>
                <w:sz w:val="12"/>
                <w:szCs w:val="12"/>
                <w:lang w:val="en-US"/>
              </w:rPr>
            </w:pPr>
          </w:p>
        </w:tc>
        <w:tc>
          <w:tcPr>
            <w:tcW w:w="692" w:type="dxa"/>
            <w:shd w:val="clear" w:color="auto" w:fill="auto"/>
            <w:vAlign w:val="center"/>
          </w:tcPr>
          <w:p w14:paraId="1B77017F" w14:textId="113589A2" w:rsidR="00F16864" w:rsidRPr="008379CA" w:rsidRDefault="00F16864" w:rsidP="00F16864">
            <w:pPr>
              <w:spacing w:before="60" w:line="276" w:lineRule="auto"/>
              <w:jc w:val="right"/>
              <w:rPr>
                <w:rFonts w:ascii="Bookman Old Style" w:hAnsi="Bookman Old Style" w:cs="Calibri"/>
                <w:bCs/>
                <w:sz w:val="12"/>
                <w:szCs w:val="12"/>
                <w:lang w:val="en-US"/>
              </w:rPr>
            </w:pPr>
          </w:p>
        </w:tc>
        <w:tc>
          <w:tcPr>
            <w:tcW w:w="1434" w:type="dxa"/>
            <w:shd w:val="clear" w:color="auto" w:fill="auto"/>
            <w:vAlign w:val="center"/>
          </w:tcPr>
          <w:p w14:paraId="3F813862" w14:textId="1F86CB64" w:rsidR="00F16864" w:rsidRPr="008379CA" w:rsidRDefault="00F16864" w:rsidP="00DA0EDF">
            <w:pPr>
              <w:spacing w:before="60" w:line="276" w:lineRule="auto"/>
              <w:ind w:left="-113"/>
              <w:jc w:val="right"/>
              <w:rPr>
                <w:rFonts w:ascii="Bookman Old Style" w:hAnsi="Bookman Old Style" w:cs="Calibri"/>
                <w:bCs/>
                <w:sz w:val="12"/>
                <w:szCs w:val="12"/>
                <w:lang w:val="en-US"/>
              </w:rPr>
            </w:pPr>
          </w:p>
        </w:tc>
        <w:tc>
          <w:tcPr>
            <w:tcW w:w="1418" w:type="dxa"/>
            <w:shd w:val="clear" w:color="auto" w:fill="auto"/>
            <w:vAlign w:val="center"/>
          </w:tcPr>
          <w:p w14:paraId="5B5CD9DF" w14:textId="63C88AEE" w:rsidR="00F16864" w:rsidRPr="008379CA" w:rsidRDefault="00F16864" w:rsidP="00DA0EDF">
            <w:pPr>
              <w:spacing w:before="60" w:line="276" w:lineRule="auto"/>
              <w:ind w:left="-113"/>
              <w:jc w:val="right"/>
              <w:rPr>
                <w:rFonts w:ascii="Bookman Old Style" w:hAnsi="Bookman Old Style" w:cs="Calibri"/>
                <w:bCs/>
                <w:sz w:val="12"/>
                <w:szCs w:val="12"/>
                <w:lang w:val="en-US"/>
              </w:rPr>
            </w:pPr>
          </w:p>
        </w:tc>
        <w:tc>
          <w:tcPr>
            <w:tcW w:w="709" w:type="dxa"/>
            <w:shd w:val="clear" w:color="auto" w:fill="auto"/>
            <w:vAlign w:val="center"/>
          </w:tcPr>
          <w:p w14:paraId="141F2ACA" w14:textId="34ACC9DA" w:rsidR="00F16864" w:rsidRPr="008379CA" w:rsidRDefault="00F16864" w:rsidP="00F16864">
            <w:pPr>
              <w:spacing w:before="60" w:line="276" w:lineRule="auto"/>
              <w:jc w:val="right"/>
              <w:rPr>
                <w:rFonts w:ascii="Bookman Old Style" w:hAnsi="Bookman Old Style" w:cs="Calibri"/>
                <w:bCs/>
                <w:sz w:val="12"/>
                <w:szCs w:val="12"/>
                <w:lang w:val="en-US"/>
              </w:rPr>
            </w:pPr>
          </w:p>
        </w:tc>
        <w:tc>
          <w:tcPr>
            <w:tcW w:w="1417" w:type="dxa"/>
            <w:shd w:val="clear" w:color="auto" w:fill="auto"/>
            <w:vAlign w:val="center"/>
          </w:tcPr>
          <w:p w14:paraId="43C62769" w14:textId="7F8F39E4" w:rsidR="00F16864" w:rsidRPr="008379CA" w:rsidRDefault="00F16864" w:rsidP="009C0CB9">
            <w:pPr>
              <w:spacing w:before="60" w:line="276" w:lineRule="auto"/>
              <w:ind w:left="-154" w:right="-57"/>
              <w:jc w:val="right"/>
              <w:rPr>
                <w:rFonts w:ascii="Bookman Old Style" w:hAnsi="Bookman Old Style" w:cs="Calibri"/>
                <w:bCs/>
                <w:sz w:val="12"/>
                <w:szCs w:val="12"/>
                <w:lang w:val="en-US"/>
              </w:rPr>
            </w:pPr>
          </w:p>
        </w:tc>
        <w:tc>
          <w:tcPr>
            <w:tcW w:w="1061" w:type="dxa"/>
            <w:shd w:val="clear" w:color="auto" w:fill="auto"/>
            <w:vAlign w:val="center"/>
          </w:tcPr>
          <w:p w14:paraId="0AB934A5" w14:textId="045D04D6" w:rsidR="00F16864" w:rsidRPr="008379CA" w:rsidRDefault="00F16864" w:rsidP="00F16864">
            <w:pPr>
              <w:spacing w:before="60" w:line="276" w:lineRule="auto"/>
              <w:jc w:val="right"/>
              <w:rPr>
                <w:rFonts w:ascii="Bookman Old Style" w:hAnsi="Bookman Old Style" w:cs="Calibri"/>
                <w:bCs/>
                <w:sz w:val="12"/>
                <w:szCs w:val="12"/>
                <w:lang w:val="en-US"/>
              </w:rPr>
            </w:pPr>
          </w:p>
        </w:tc>
        <w:tc>
          <w:tcPr>
            <w:tcW w:w="992" w:type="dxa"/>
            <w:shd w:val="clear" w:color="auto" w:fill="auto"/>
            <w:vAlign w:val="center"/>
          </w:tcPr>
          <w:p w14:paraId="7E254653" w14:textId="5769793D" w:rsidR="00F16864" w:rsidRPr="008379CA" w:rsidRDefault="00F16864" w:rsidP="00F16864">
            <w:pPr>
              <w:spacing w:before="60" w:line="276" w:lineRule="auto"/>
              <w:jc w:val="right"/>
              <w:rPr>
                <w:rFonts w:ascii="Bookman Old Style" w:hAnsi="Bookman Old Style" w:cs="Calibri"/>
                <w:bCs/>
                <w:sz w:val="12"/>
                <w:szCs w:val="12"/>
                <w:lang w:val="en-US"/>
              </w:rPr>
            </w:pPr>
          </w:p>
        </w:tc>
        <w:tc>
          <w:tcPr>
            <w:tcW w:w="993" w:type="dxa"/>
            <w:shd w:val="clear" w:color="auto" w:fill="auto"/>
            <w:vAlign w:val="center"/>
          </w:tcPr>
          <w:p w14:paraId="7707DAAE" w14:textId="0EBF2E8C" w:rsidR="00F16864" w:rsidRPr="008379CA" w:rsidRDefault="00F16864" w:rsidP="00F16864">
            <w:pPr>
              <w:spacing w:before="60" w:line="276" w:lineRule="auto"/>
              <w:jc w:val="right"/>
              <w:rPr>
                <w:rFonts w:ascii="Bookman Old Style" w:hAnsi="Bookman Old Style" w:cs="Calibri"/>
                <w:bCs/>
                <w:sz w:val="12"/>
                <w:szCs w:val="12"/>
                <w:lang w:val="en-US"/>
              </w:rPr>
            </w:pPr>
          </w:p>
        </w:tc>
        <w:tc>
          <w:tcPr>
            <w:tcW w:w="849" w:type="dxa"/>
            <w:shd w:val="clear" w:color="auto" w:fill="auto"/>
            <w:noWrap/>
            <w:vAlign w:val="center"/>
          </w:tcPr>
          <w:p w14:paraId="035D4139" w14:textId="468F9E78" w:rsidR="00F16864" w:rsidRPr="008379CA" w:rsidRDefault="00F16864" w:rsidP="00F16864">
            <w:pPr>
              <w:spacing w:before="60" w:line="276" w:lineRule="auto"/>
              <w:jc w:val="right"/>
              <w:rPr>
                <w:rFonts w:ascii="Bookman Old Style" w:hAnsi="Bookman Old Style" w:cs="Calibri"/>
                <w:bCs/>
                <w:sz w:val="12"/>
                <w:szCs w:val="12"/>
                <w:lang w:val="en-US"/>
              </w:rPr>
            </w:pPr>
          </w:p>
        </w:tc>
      </w:tr>
    </w:tbl>
    <w:p w14:paraId="573F03DF" w14:textId="0FD8647A" w:rsidR="00160580" w:rsidRPr="008379CA" w:rsidRDefault="00160580" w:rsidP="008425A6">
      <w:pPr>
        <w:snapToGrid w:val="0"/>
        <w:spacing w:before="60" w:line="276" w:lineRule="auto"/>
        <w:ind w:left="-567"/>
        <w:rPr>
          <w:rFonts w:ascii="Bookman Old Style" w:hAnsi="Bookman Old Style" w:cs="Arial"/>
          <w:sz w:val="18"/>
          <w:szCs w:val="18"/>
          <w:lang w:val="id-ID"/>
        </w:rPr>
      </w:pPr>
      <w:r w:rsidRPr="008379CA">
        <w:rPr>
          <w:rFonts w:ascii="Bookman Old Style" w:hAnsi="Bookman Old Style"/>
          <w:i/>
          <w:iCs/>
          <w:sz w:val="18"/>
          <w:szCs w:val="18"/>
          <w:lang w:val="sv-FI"/>
        </w:rPr>
        <w:t>*)</w:t>
      </w:r>
      <w:r w:rsidR="00A954D0" w:rsidRPr="008379CA">
        <w:rPr>
          <w:rFonts w:ascii="Bookman Old Style" w:hAnsi="Bookman Old Style"/>
          <w:i/>
          <w:iCs/>
          <w:sz w:val="18"/>
          <w:szCs w:val="18"/>
          <w:lang w:val="sv-FI"/>
        </w:rPr>
        <w:t xml:space="preserve"> </w:t>
      </w:r>
      <w:r w:rsidRPr="008379CA">
        <w:rPr>
          <w:rFonts w:ascii="Bookman Old Style" w:hAnsi="Bookman Old Style"/>
          <w:i/>
          <w:iCs/>
          <w:sz w:val="18"/>
          <w:szCs w:val="18"/>
          <w:lang w:val="sv-FI"/>
        </w:rPr>
        <w:t>Anggaran</w:t>
      </w:r>
      <w:r w:rsidR="00A954D0" w:rsidRPr="008379CA">
        <w:rPr>
          <w:rFonts w:ascii="Bookman Old Style" w:hAnsi="Bookman Old Style"/>
          <w:i/>
          <w:iCs/>
          <w:sz w:val="18"/>
          <w:szCs w:val="18"/>
          <w:lang w:val="sv-FI"/>
        </w:rPr>
        <w:t xml:space="preserve"> </w:t>
      </w:r>
      <w:r w:rsidRPr="008379CA">
        <w:rPr>
          <w:rFonts w:ascii="Bookman Old Style" w:hAnsi="Bookman Old Style"/>
          <w:i/>
          <w:iCs/>
          <w:sz w:val="18"/>
          <w:szCs w:val="18"/>
          <w:lang w:val="sv-FI"/>
        </w:rPr>
        <w:t>dan</w:t>
      </w:r>
      <w:r w:rsidR="00A954D0" w:rsidRPr="008379CA">
        <w:rPr>
          <w:rFonts w:ascii="Bookman Old Style" w:hAnsi="Bookman Old Style"/>
          <w:i/>
          <w:iCs/>
          <w:sz w:val="18"/>
          <w:szCs w:val="18"/>
          <w:lang w:val="sv-FI"/>
        </w:rPr>
        <w:t xml:space="preserve"> </w:t>
      </w:r>
      <w:r w:rsidRPr="008379CA">
        <w:rPr>
          <w:rFonts w:ascii="Bookman Old Style" w:hAnsi="Bookman Old Style"/>
          <w:i/>
          <w:iCs/>
          <w:sz w:val="18"/>
          <w:szCs w:val="18"/>
          <w:lang w:val="sv-FI"/>
        </w:rPr>
        <w:t>Realisasi</w:t>
      </w:r>
      <w:r w:rsidR="00A954D0" w:rsidRPr="008379CA">
        <w:rPr>
          <w:rFonts w:ascii="Bookman Old Style" w:hAnsi="Bookman Old Style"/>
          <w:i/>
          <w:iCs/>
          <w:sz w:val="18"/>
          <w:szCs w:val="18"/>
          <w:lang w:val="sv-FI"/>
        </w:rPr>
        <w:t xml:space="preserve"> </w:t>
      </w:r>
      <w:r w:rsidRPr="008379CA">
        <w:rPr>
          <w:rFonts w:ascii="Bookman Old Style" w:hAnsi="Bookman Old Style"/>
          <w:i/>
          <w:iCs/>
          <w:sz w:val="18"/>
          <w:szCs w:val="18"/>
          <w:lang w:val="sv-FI"/>
        </w:rPr>
        <w:t>Tahun</w:t>
      </w:r>
      <w:r w:rsidR="00A954D0" w:rsidRPr="008379CA">
        <w:rPr>
          <w:rFonts w:ascii="Bookman Old Style" w:hAnsi="Bookman Old Style"/>
          <w:i/>
          <w:iCs/>
          <w:sz w:val="18"/>
          <w:szCs w:val="18"/>
          <w:lang w:val="sv-FI"/>
        </w:rPr>
        <w:t xml:space="preserve"> </w:t>
      </w:r>
      <w:r w:rsidRPr="008379CA">
        <w:rPr>
          <w:rFonts w:ascii="Bookman Old Style" w:hAnsi="Bookman Old Style"/>
          <w:i/>
          <w:iCs/>
          <w:sz w:val="18"/>
          <w:szCs w:val="18"/>
          <w:lang w:val="sv-FI"/>
        </w:rPr>
        <w:t>2024</w:t>
      </w:r>
      <w:r w:rsidR="00A954D0" w:rsidRPr="008379CA">
        <w:rPr>
          <w:rFonts w:ascii="Bookman Old Style" w:hAnsi="Bookman Old Style"/>
          <w:i/>
          <w:iCs/>
          <w:sz w:val="18"/>
          <w:szCs w:val="18"/>
          <w:lang w:val="sv-FI"/>
        </w:rPr>
        <w:t xml:space="preserve"> </w:t>
      </w:r>
      <w:r w:rsidRPr="008379CA">
        <w:rPr>
          <w:rFonts w:ascii="Bookman Old Style" w:hAnsi="Bookman Old Style"/>
          <w:i/>
          <w:iCs/>
          <w:sz w:val="18"/>
          <w:szCs w:val="18"/>
          <w:lang w:val="sv-FI"/>
        </w:rPr>
        <w:t>berdasarkan</w:t>
      </w:r>
      <w:r w:rsidR="00A954D0" w:rsidRPr="008379CA">
        <w:rPr>
          <w:rFonts w:ascii="Bookman Old Style" w:hAnsi="Bookman Old Style"/>
          <w:i/>
          <w:iCs/>
          <w:sz w:val="18"/>
          <w:szCs w:val="18"/>
          <w:lang w:val="sv-FI"/>
        </w:rPr>
        <w:t xml:space="preserve"> </w:t>
      </w:r>
      <w:r w:rsidRPr="008379CA">
        <w:rPr>
          <w:rFonts w:ascii="Bookman Old Style" w:hAnsi="Bookman Old Style"/>
          <w:i/>
          <w:iCs/>
          <w:sz w:val="18"/>
          <w:szCs w:val="18"/>
          <w:lang w:val="sv-FI"/>
        </w:rPr>
        <w:t>Laporan</w:t>
      </w:r>
      <w:r w:rsidR="00A954D0" w:rsidRPr="008379CA">
        <w:rPr>
          <w:rFonts w:ascii="Bookman Old Style" w:hAnsi="Bookman Old Style"/>
          <w:i/>
          <w:iCs/>
          <w:sz w:val="18"/>
          <w:szCs w:val="18"/>
          <w:lang w:val="sv-FI"/>
        </w:rPr>
        <w:t xml:space="preserve"> </w:t>
      </w:r>
      <w:r w:rsidRPr="008379CA">
        <w:rPr>
          <w:rFonts w:ascii="Bookman Old Style" w:hAnsi="Bookman Old Style"/>
          <w:i/>
          <w:iCs/>
          <w:sz w:val="18"/>
          <w:szCs w:val="18"/>
          <w:lang w:val="sv-FI"/>
        </w:rPr>
        <w:t>Realisasi</w:t>
      </w:r>
      <w:r w:rsidR="00A954D0" w:rsidRPr="008379CA">
        <w:rPr>
          <w:rFonts w:ascii="Bookman Old Style" w:hAnsi="Bookman Old Style"/>
          <w:i/>
          <w:iCs/>
          <w:sz w:val="18"/>
          <w:szCs w:val="18"/>
          <w:lang w:val="sv-FI"/>
        </w:rPr>
        <w:t xml:space="preserve"> </w:t>
      </w:r>
      <w:r w:rsidRPr="008379CA">
        <w:rPr>
          <w:rFonts w:ascii="Bookman Old Style" w:hAnsi="Bookman Old Style"/>
          <w:i/>
          <w:iCs/>
          <w:sz w:val="18"/>
          <w:szCs w:val="18"/>
          <w:lang w:val="sv-FI"/>
        </w:rPr>
        <w:t>Anggaran</w:t>
      </w:r>
      <w:r w:rsidR="00A954D0" w:rsidRPr="008379CA">
        <w:rPr>
          <w:rFonts w:ascii="Bookman Old Style" w:hAnsi="Bookman Old Style"/>
          <w:i/>
          <w:iCs/>
          <w:sz w:val="18"/>
          <w:szCs w:val="18"/>
          <w:lang w:val="sv-FI"/>
        </w:rPr>
        <w:t xml:space="preserve"> </w:t>
      </w:r>
      <w:r w:rsidRPr="008379CA">
        <w:rPr>
          <w:rFonts w:ascii="Bookman Old Style" w:hAnsi="Bookman Old Style"/>
          <w:i/>
          <w:iCs/>
          <w:sz w:val="18"/>
          <w:szCs w:val="18"/>
          <w:lang w:val="sv-FI"/>
        </w:rPr>
        <w:t>s.d.</w:t>
      </w:r>
      <w:r w:rsidR="00A954D0" w:rsidRPr="008379CA">
        <w:rPr>
          <w:rFonts w:ascii="Bookman Old Style" w:hAnsi="Bookman Old Style"/>
          <w:i/>
          <w:iCs/>
          <w:sz w:val="18"/>
          <w:szCs w:val="18"/>
          <w:lang w:val="sv-FI"/>
        </w:rPr>
        <w:t xml:space="preserve"> </w:t>
      </w:r>
      <w:r w:rsidRPr="008379CA">
        <w:rPr>
          <w:rFonts w:ascii="Bookman Old Style" w:hAnsi="Bookman Old Style"/>
          <w:i/>
          <w:iCs/>
          <w:sz w:val="18"/>
          <w:szCs w:val="18"/>
          <w:lang w:val="sv-FI"/>
        </w:rPr>
        <w:t>31</w:t>
      </w:r>
      <w:r w:rsidR="00A954D0" w:rsidRPr="008379CA">
        <w:rPr>
          <w:rFonts w:ascii="Bookman Old Style" w:hAnsi="Bookman Old Style"/>
          <w:i/>
          <w:iCs/>
          <w:sz w:val="18"/>
          <w:szCs w:val="18"/>
          <w:lang w:val="sv-FI"/>
        </w:rPr>
        <w:t xml:space="preserve"> </w:t>
      </w:r>
      <w:r w:rsidRPr="008379CA">
        <w:rPr>
          <w:rFonts w:ascii="Bookman Old Style" w:hAnsi="Bookman Old Style"/>
          <w:i/>
          <w:iCs/>
          <w:sz w:val="18"/>
          <w:szCs w:val="18"/>
          <w:lang w:val="sv-FI"/>
        </w:rPr>
        <w:t>Oktober</w:t>
      </w:r>
      <w:r w:rsidR="00A954D0" w:rsidRPr="008379CA">
        <w:rPr>
          <w:rFonts w:ascii="Bookman Old Style" w:hAnsi="Bookman Old Style"/>
          <w:i/>
          <w:iCs/>
          <w:sz w:val="18"/>
          <w:szCs w:val="18"/>
          <w:lang w:val="sv-FI"/>
        </w:rPr>
        <w:t xml:space="preserve"> </w:t>
      </w:r>
      <w:r w:rsidRPr="008379CA">
        <w:rPr>
          <w:rFonts w:ascii="Bookman Old Style" w:hAnsi="Bookman Old Style"/>
          <w:i/>
          <w:iCs/>
          <w:sz w:val="18"/>
          <w:szCs w:val="18"/>
          <w:lang w:val="sv-FI"/>
        </w:rPr>
        <w:t>2024</w:t>
      </w:r>
    </w:p>
    <w:p w14:paraId="77250500" w14:textId="77777777" w:rsidR="00567E29" w:rsidRPr="008379CA" w:rsidRDefault="00567E29" w:rsidP="00727324">
      <w:pPr>
        <w:pStyle w:val="ListParagraph"/>
        <w:snapToGrid w:val="0"/>
        <w:spacing w:before="60" w:after="0" w:line="276" w:lineRule="auto"/>
        <w:ind w:left="993"/>
        <w:contextualSpacing w:val="0"/>
        <w:jc w:val="both"/>
        <w:rPr>
          <w:rFonts w:ascii="Bookman Old Style" w:hAnsi="Bookman Old Style"/>
          <w:sz w:val="24"/>
          <w:szCs w:val="24"/>
          <w:lang w:val="id-ID"/>
        </w:rPr>
      </w:pPr>
    </w:p>
    <w:p w14:paraId="776A56D3" w14:textId="77777777" w:rsidR="00567E29" w:rsidRPr="008379CA" w:rsidRDefault="00567E29" w:rsidP="00727324">
      <w:pPr>
        <w:pStyle w:val="ListParagraph"/>
        <w:snapToGrid w:val="0"/>
        <w:spacing w:before="60" w:after="0" w:line="276" w:lineRule="auto"/>
        <w:ind w:left="993"/>
        <w:contextualSpacing w:val="0"/>
        <w:jc w:val="both"/>
        <w:rPr>
          <w:rFonts w:ascii="Bookman Old Style" w:hAnsi="Bookman Old Style"/>
          <w:sz w:val="24"/>
          <w:szCs w:val="24"/>
          <w:lang w:val="id-ID"/>
        </w:rPr>
      </w:pPr>
    </w:p>
    <w:p w14:paraId="5AC24CB7" w14:textId="77777777" w:rsidR="00567E29" w:rsidRPr="008379CA" w:rsidRDefault="00567E29" w:rsidP="00727324">
      <w:pPr>
        <w:pStyle w:val="ListParagraph"/>
        <w:snapToGrid w:val="0"/>
        <w:spacing w:before="60" w:after="0" w:line="276" w:lineRule="auto"/>
        <w:ind w:left="993"/>
        <w:contextualSpacing w:val="0"/>
        <w:jc w:val="both"/>
        <w:rPr>
          <w:rFonts w:ascii="Bookman Old Style" w:hAnsi="Bookman Old Style"/>
          <w:sz w:val="24"/>
          <w:szCs w:val="24"/>
          <w:lang w:val="id-ID"/>
        </w:rPr>
      </w:pPr>
    </w:p>
    <w:p w14:paraId="5B0A7DFF" w14:textId="77777777" w:rsidR="00567E29" w:rsidRPr="008379CA" w:rsidRDefault="00567E29" w:rsidP="00727324">
      <w:pPr>
        <w:pStyle w:val="ListParagraph"/>
        <w:snapToGrid w:val="0"/>
        <w:spacing w:before="60" w:after="0" w:line="276" w:lineRule="auto"/>
        <w:ind w:left="993"/>
        <w:contextualSpacing w:val="0"/>
        <w:jc w:val="both"/>
        <w:rPr>
          <w:rFonts w:ascii="Bookman Old Style" w:hAnsi="Bookman Old Style"/>
          <w:sz w:val="24"/>
          <w:szCs w:val="24"/>
          <w:lang w:val="id-ID"/>
        </w:rPr>
      </w:pPr>
    </w:p>
    <w:p w14:paraId="7A7FD992" w14:textId="77777777" w:rsidR="003C1F03" w:rsidRPr="008379CA" w:rsidRDefault="003C1F03" w:rsidP="00727324">
      <w:pPr>
        <w:pStyle w:val="ListParagraph"/>
        <w:snapToGrid w:val="0"/>
        <w:spacing w:before="60" w:after="0" w:line="276" w:lineRule="auto"/>
        <w:ind w:left="993"/>
        <w:contextualSpacing w:val="0"/>
        <w:jc w:val="both"/>
        <w:rPr>
          <w:rFonts w:ascii="Bookman Old Style" w:hAnsi="Bookman Old Style"/>
          <w:sz w:val="24"/>
          <w:szCs w:val="24"/>
          <w:lang w:val="id-ID"/>
        </w:rPr>
        <w:sectPr w:rsidR="003C1F03" w:rsidRPr="008379CA" w:rsidSect="003F64EB">
          <w:pgSz w:w="18722" w:h="12242" w:orient="landscape" w:code="142"/>
          <w:pgMar w:top="1701" w:right="1701" w:bottom="1701" w:left="1701" w:header="680" w:footer="720" w:gutter="0"/>
          <w:pgNumType w:fmt="numberInDash" w:chapStyle="1"/>
          <w:cols w:space="720"/>
          <w:docGrid w:linePitch="360"/>
        </w:sectPr>
      </w:pPr>
    </w:p>
    <w:p w14:paraId="0473AF5F" w14:textId="3A76554D" w:rsidR="00567E29" w:rsidRPr="008379CA" w:rsidRDefault="00567E29" w:rsidP="00727324">
      <w:pPr>
        <w:pStyle w:val="ListParagraph"/>
        <w:spacing w:before="60" w:after="0" w:line="276" w:lineRule="auto"/>
        <w:ind w:left="1287"/>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lastRenderedPageBreak/>
        <w:t>Berdasarkan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tabel</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diatas</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untuk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tren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alokasi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realisasi</w:t>
      </w:r>
      <w:r w:rsidR="00A954D0" w:rsidRPr="008379CA">
        <w:rPr>
          <w:rFonts w:ascii="Bookman Old Style" w:hAnsi="Bookman Old Style" w:cs="Arial"/>
          <w:sz w:val="24"/>
          <w:szCs w:val="24"/>
          <w:lang w:val="id-ID"/>
        </w:rPr>
        <w:t xml:space="preserve"> </w:t>
      </w:r>
      <w:r w:rsidRPr="008379CA">
        <w:rPr>
          <w:rFonts w:ascii="Bookman Old Style" w:hAnsi="Bookman Old Style"/>
          <w:sz w:val="24"/>
          <w:szCs w:val="24"/>
        </w:rPr>
        <w:t>pembiayaan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daerah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Pemerintah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Daerah</w:t>
      </w:r>
      <w:r w:rsidR="00A954D0" w:rsidRPr="008379CA">
        <w:rPr>
          <w:rFonts w:ascii="Bookman Old Style" w:hAnsi="Bookman Old Style" w:cs="Arial"/>
          <w:sz w:val="24"/>
          <w:szCs w:val="24"/>
          <w:lang w:val="id-ID"/>
        </w:rPr>
        <w:t xml:space="preserve"> </w:t>
      </w:r>
      <w:r w:rsidR="00B055C5"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00770F22"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00C235B5" w:rsidRPr="008379CA">
        <w:rPr>
          <w:rFonts w:ascii="Bookman Old Style" w:hAnsi="Bookman Old Style"/>
          <w:sz w:val="24"/>
          <w:szCs w:val="24"/>
          <w:lang w:val="fi-FI"/>
        </w:rPr>
        <w:t>rata-rata</w:t>
      </w:r>
      <w:r w:rsidR="00A954D0" w:rsidRPr="008379CA">
        <w:rPr>
          <w:rFonts w:ascii="Bookman Old Style" w:hAnsi="Bookman Old Style"/>
          <w:sz w:val="24"/>
          <w:szCs w:val="24"/>
          <w:lang w:val="fi-FI"/>
        </w:rPr>
        <w:t xml:space="preserve"> </w:t>
      </w:r>
      <w:r w:rsidRPr="008379CA">
        <w:rPr>
          <w:rFonts w:ascii="Bookman Old Style" w:hAnsi="Bookman Old Style" w:cs="Arial"/>
          <w:sz w:val="24"/>
          <w:szCs w:val="24"/>
          <w:lang w:val="id-ID"/>
        </w:rPr>
        <w:t>sebesar</w:t>
      </w:r>
      <w:r w:rsidR="00A954D0" w:rsidRPr="008379CA">
        <w:rPr>
          <w:rFonts w:ascii="Bookman Old Style" w:hAnsi="Bookman Old Style" w:cs="Arial"/>
          <w:sz w:val="24"/>
          <w:szCs w:val="24"/>
          <w:lang w:val="id-ID"/>
        </w:rPr>
        <w:t xml:space="preserve"> </w:t>
      </w:r>
      <w:r w:rsidR="00515EEF" w:rsidRPr="008379CA">
        <w:rPr>
          <w:rFonts w:ascii="Bookman Old Style" w:hAnsi="Bookman Old Style" w:cs="Arial"/>
          <w:sz w:val="24"/>
          <w:szCs w:val="24"/>
          <w:lang w:val="id-ID"/>
        </w:rPr>
        <w:t>minus</w:t>
      </w:r>
      <w:r w:rsidR="00A954D0" w:rsidRPr="008379CA">
        <w:rPr>
          <w:rFonts w:ascii="Bookman Old Style" w:hAnsi="Bookman Old Style" w:cs="Arial"/>
          <w:sz w:val="24"/>
          <w:szCs w:val="24"/>
          <w:lang w:val="id-ID"/>
        </w:rPr>
        <w:t xml:space="preserve"> </w:t>
      </w:r>
      <w:r w:rsidR="006B5900" w:rsidRPr="008379CA">
        <w:rPr>
          <w:rFonts w:ascii="Bookman Old Style" w:hAnsi="Bookman Old Style" w:cs="Arial"/>
          <w:sz w:val="24"/>
          <w:szCs w:val="24"/>
          <w:lang w:val="sv-FI"/>
        </w:rPr>
        <w:t>1</w:t>
      </w:r>
      <w:r w:rsidR="00515EEF" w:rsidRPr="008379CA">
        <w:rPr>
          <w:rFonts w:ascii="Bookman Old Style" w:hAnsi="Bookman Old Style" w:cs="Arial"/>
          <w:sz w:val="24"/>
          <w:szCs w:val="24"/>
          <w:lang w:val="sv-FI"/>
        </w:rPr>
        <w:t>4</w:t>
      </w:r>
      <w:r w:rsidR="006B5900" w:rsidRPr="008379CA">
        <w:rPr>
          <w:rFonts w:ascii="Bookman Old Style" w:hAnsi="Bookman Old Style" w:cs="Arial"/>
          <w:sz w:val="24"/>
          <w:szCs w:val="24"/>
          <w:lang w:val="sv-FI"/>
        </w:rPr>
        <w:t>,</w:t>
      </w:r>
      <w:r w:rsidR="00515EEF" w:rsidRPr="008379CA">
        <w:rPr>
          <w:rFonts w:ascii="Bookman Old Style" w:hAnsi="Bookman Old Style" w:cs="Arial"/>
          <w:sz w:val="24"/>
          <w:szCs w:val="24"/>
          <w:lang w:val="sv-FI"/>
        </w:rPr>
        <w:t>9</w:t>
      </w:r>
      <w:r w:rsidR="006B5900" w:rsidRPr="008379CA">
        <w:rPr>
          <w:rFonts w:ascii="Bookman Old Style" w:hAnsi="Bookman Old Style" w:cs="Arial"/>
          <w:sz w:val="24"/>
          <w:szCs w:val="24"/>
          <w:lang w:val="sv-FI"/>
        </w:rPr>
        <w:t>8</w:t>
      </w:r>
      <w:r w:rsidRPr="008379CA">
        <w:rPr>
          <w:rFonts w:ascii="Bookman Old Style" w:hAnsi="Bookman Old Style" w:cs="Arial"/>
          <w:sz w:val="24"/>
          <w:szCs w:val="24"/>
          <w:lang w:val="id-ID"/>
        </w:rPr>
        <w:t>%</w:t>
      </w:r>
      <w:r w:rsidR="00A954D0" w:rsidRPr="008379CA">
        <w:rPr>
          <w:rFonts w:ascii="Bookman Old Style" w:hAnsi="Bookman Old Style" w:cs="Arial"/>
          <w:sz w:val="24"/>
          <w:szCs w:val="24"/>
          <w:lang w:val="id-ID"/>
        </w:rPr>
        <w:t xml:space="preserve"> </w:t>
      </w:r>
      <w:r w:rsidRPr="008379CA">
        <w:rPr>
          <w:rFonts w:ascii="Bookman Old Style" w:hAnsi="Bookman Old Style"/>
          <w:sz w:val="24"/>
          <w:szCs w:val="24"/>
          <w:lang w:val="fi-FI"/>
        </w:rPr>
        <w:t>dari</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Tahun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Anggaran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2022</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sampai</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dengan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Tahun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Anggaran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2025</w:t>
      </w:r>
      <w:r w:rsidRPr="008379CA">
        <w:rPr>
          <w:rFonts w:ascii="Bookman Old Style" w:hAnsi="Bookman Old Style" w:cs="Arial"/>
          <w:sz w:val="24"/>
          <w:szCs w:val="24"/>
          <w:lang w:val="id-ID"/>
        </w:rPr>
        <w: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Untuk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itu,</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Pemerintah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Daerah</w:t>
      </w:r>
      <w:r w:rsidR="00A954D0" w:rsidRPr="008379CA">
        <w:rPr>
          <w:rFonts w:ascii="Bookman Old Style" w:hAnsi="Bookman Old Style" w:cs="Arial"/>
          <w:sz w:val="24"/>
          <w:szCs w:val="24"/>
          <w:lang w:val="id-ID"/>
        </w:rPr>
        <w:t xml:space="preserve"> </w:t>
      </w:r>
      <w:r w:rsidR="00B055C5"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00770F22"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cs="Arial"/>
          <w:sz w:val="24"/>
          <w:szCs w:val="24"/>
          <w:lang w:val="id-ID"/>
        </w:rPr>
        <w:t>harus</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memperhatikan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antara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lain:</w:t>
      </w:r>
    </w:p>
    <w:p w14:paraId="651B77AC" w14:textId="70F03CEE" w:rsidR="00567E29" w:rsidRPr="008379CA" w:rsidRDefault="00567E29" w:rsidP="00863747">
      <w:pPr>
        <w:pStyle w:val="ListParagraph"/>
        <w:numPr>
          <w:ilvl w:val="0"/>
          <w:numId w:val="119"/>
        </w:numPr>
        <w:spacing w:before="60" w:after="0" w:line="276" w:lineRule="auto"/>
        <w:ind w:hanging="371"/>
        <w:contextualSpacing w:val="0"/>
        <w:jc w:val="both"/>
        <w:rPr>
          <w:rFonts w:ascii="Bookman Old Style" w:hAnsi="Bookman Old Style" w:cs="Arial"/>
          <w:sz w:val="24"/>
          <w:szCs w:val="24"/>
        </w:rPr>
      </w:pPr>
      <w:r w:rsidRPr="008379CA">
        <w:rPr>
          <w:rFonts w:ascii="Bookman Old Style" w:hAnsi="Bookman Old Style" w:cs="Arial"/>
          <w:sz w:val="24"/>
          <w:szCs w:val="24"/>
          <w:lang w:val="id-ID"/>
        </w:rPr>
        <w:t>Efisiensi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Penggunaan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Anggaran</w:t>
      </w:r>
    </w:p>
    <w:p w14:paraId="69CAE91C" w14:textId="3DE0157B" w:rsidR="00567E29" w:rsidRPr="008379CA" w:rsidRDefault="00567E29" w:rsidP="00727324">
      <w:pPr>
        <w:pStyle w:val="ListParagraph"/>
        <w:spacing w:before="60" w:after="0" w:line="276" w:lineRule="auto"/>
        <w:ind w:left="1647"/>
        <w:contextualSpacing w:val="0"/>
        <w:jc w:val="both"/>
        <w:rPr>
          <w:rFonts w:ascii="Bookman Old Style" w:hAnsi="Bookman Old Style" w:cs="Arial"/>
          <w:sz w:val="24"/>
          <w:szCs w:val="24"/>
        </w:rPr>
      </w:pPr>
      <w:r w:rsidRPr="008379CA">
        <w:rPr>
          <w:rFonts w:ascii="Bookman Old Style" w:hAnsi="Bookman Old Style" w:cs="Arial"/>
          <w:sz w:val="24"/>
          <w:szCs w:val="24"/>
        </w:rPr>
        <w:t>Menganalisis</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perbandingan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antara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belanja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daerah</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dengan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hasil</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yang</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lang w:val="id-ID"/>
        </w:rPr>
        <w:t>dicapai</w:t>
      </w:r>
      <w:r w:rsidRPr="008379CA">
        <w:rPr>
          <w:rFonts w:ascii="Bookman Old Style" w:hAnsi="Bookman Old Style" w:cs="Arial"/>
          <w:sz w:val="24"/>
          <w:szCs w:val="24"/>
        </w:rPr>
        <w: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seperti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pembangunan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infrastruktur</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atau</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peningkatan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kualitas</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pelayanan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publik.</w:t>
      </w:r>
      <w:r w:rsidR="00A954D0" w:rsidRPr="008379CA">
        <w:rPr>
          <w:rFonts w:ascii="Bookman Old Style" w:hAnsi="Bookman Old Style" w:cs="Arial"/>
          <w:sz w:val="24"/>
          <w:szCs w:val="24"/>
        </w:rPr>
        <w:t xml:space="preserve"> </w:t>
      </w:r>
    </w:p>
    <w:p w14:paraId="285DB908" w14:textId="5BB73578" w:rsidR="00567E29" w:rsidRPr="008379CA" w:rsidRDefault="00567E29" w:rsidP="00863747">
      <w:pPr>
        <w:pStyle w:val="ListParagraph"/>
        <w:numPr>
          <w:ilvl w:val="0"/>
          <w:numId w:val="119"/>
        </w:numPr>
        <w:spacing w:before="60" w:after="0" w:line="276" w:lineRule="auto"/>
        <w:ind w:hanging="371"/>
        <w:contextualSpacing w:val="0"/>
        <w:jc w:val="both"/>
        <w:rPr>
          <w:rFonts w:ascii="Bookman Old Style" w:hAnsi="Bookman Old Style" w:cs="Arial"/>
          <w:sz w:val="24"/>
          <w:szCs w:val="24"/>
        </w:rPr>
      </w:pPr>
      <w:r w:rsidRPr="008379CA">
        <w:rPr>
          <w:rFonts w:ascii="Bookman Old Style" w:hAnsi="Bookman Old Style" w:cs="Arial"/>
          <w:sz w:val="24"/>
          <w:szCs w:val="24"/>
          <w:lang w:val="id-ID"/>
        </w:rPr>
        <w:t>Biaya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per</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Layanan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Publik</w:t>
      </w:r>
      <w:r w:rsidR="00A954D0" w:rsidRPr="008379CA">
        <w:rPr>
          <w:rFonts w:ascii="Bookman Old Style" w:hAnsi="Bookman Old Style" w:cs="Arial"/>
          <w:sz w:val="24"/>
          <w:szCs w:val="24"/>
        </w:rPr>
        <w:t xml:space="preserve"> </w:t>
      </w:r>
    </w:p>
    <w:p w14:paraId="2E9023ED" w14:textId="53B1DE05" w:rsidR="00567E29" w:rsidRPr="008379CA" w:rsidRDefault="00567E29" w:rsidP="00727324">
      <w:pPr>
        <w:pStyle w:val="ListParagraph"/>
        <w:spacing w:before="60" w:after="0" w:line="276" w:lineRule="auto"/>
        <w:ind w:left="1647"/>
        <w:contextualSpacing w:val="0"/>
        <w:jc w:val="both"/>
        <w:rPr>
          <w:rFonts w:ascii="Bookman Old Style" w:hAnsi="Bookman Old Style" w:cs="Arial"/>
          <w:sz w:val="24"/>
          <w:szCs w:val="24"/>
        </w:rPr>
      </w:pPr>
      <w:r w:rsidRPr="008379CA">
        <w:rPr>
          <w:rFonts w:ascii="Bookman Old Style" w:hAnsi="Bookman Old Style" w:cs="Arial"/>
          <w:sz w:val="24"/>
          <w:szCs w:val="24"/>
        </w:rPr>
        <w:t>Mengukur</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berapa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biaya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yang</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dikeluarkan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untuk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menyediakan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layanan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publik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dasar</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seperti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kesehatan,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pendidikan,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infrastruktur.</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Semakin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rendah</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biaya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per</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layanan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dengan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hasil</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yang</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optimal,</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semakin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efisien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pembiayaan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tersebut.</w:t>
      </w:r>
    </w:p>
    <w:p w14:paraId="6ABF0187" w14:textId="04B9438A" w:rsidR="00567E29" w:rsidRPr="008379CA" w:rsidRDefault="00567E29" w:rsidP="00863747">
      <w:pPr>
        <w:pStyle w:val="ListParagraph"/>
        <w:numPr>
          <w:ilvl w:val="0"/>
          <w:numId w:val="119"/>
        </w:numPr>
        <w:spacing w:before="60" w:after="0" w:line="276" w:lineRule="auto"/>
        <w:ind w:hanging="371"/>
        <w:contextualSpacing w:val="0"/>
        <w:jc w:val="both"/>
        <w:rPr>
          <w:rFonts w:ascii="Bookman Old Style" w:hAnsi="Bookman Old Style" w:cs="Arial"/>
          <w:sz w:val="24"/>
          <w:szCs w:val="24"/>
        </w:rPr>
      </w:pPr>
      <w:r w:rsidRPr="008379CA">
        <w:rPr>
          <w:rFonts w:ascii="Bookman Old Style" w:hAnsi="Bookman Old Style" w:cs="Arial"/>
          <w:sz w:val="24"/>
          <w:szCs w:val="24"/>
          <w:lang w:val="id-ID"/>
        </w:rPr>
        <w:t>Evaluasi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Kinerja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Program</w:t>
      </w:r>
      <w:r w:rsidR="00A954D0" w:rsidRPr="008379CA">
        <w:rPr>
          <w:rFonts w:ascii="Bookman Old Style" w:hAnsi="Bookman Old Style" w:cs="Arial"/>
          <w:sz w:val="24"/>
          <w:szCs w:val="24"/>
        </w:rPr>
        <w:t xml:space="preserve"> </w:t>
      </w:r>
    </w:p>
    <w:p w14:paraId="073B84AE" w14:textId="60C4A8B0" w:rsidR="00567E29" w:rsidRPr="008379CA" w:rsidRDefault="00567E29" w:rsidP="00727324">
      <w:pPr>
        <w:pStyle w:val="ListParagraph"/>
        <w:spacing w:before="60" w:after="0" w:line="276" w:lineRule="auto"/>
        <w:ind w:left="1647"/>
        <w:contextualSpacing w:val="0"/>
        <w:jc w:val="both"/>
        <w:rPr>
          <w:rFonts w:ascii="Bookman Old Style" w:hAnsi="Bookman Old Style" w:cs="Arial"/>
          <w:sz w:val="24"/>
          <w:szCs w:val="24"/>
        </w:rPr>
      </w:pPr>
      <w:r w:rsidRPr="008379CA">
        <w:rPr>
          <w:rFonts w:ascii="Bookman Old Style" w:hAnsi="Bookman Old Style" w:cs="Arial"/>
          <w:sz w:val="24"/>
          <w:szCs w:val="24"/>
        </w:rPr>
        <w:t>Mengukur</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dampak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dari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program</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yang</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didanai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dengan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anggaran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daerah.</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Setiap</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program</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harus</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dievaluasi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dari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sisi</w:t>
      </w:r>
      <w:r w:rsidR="00A954D0" w:rsidRPr="008379CA">
        <w:rPr>
          <w:rFonts w:ascii="Bookman Old Style" w:hAnsi="Bookman Old Style" w:cs="Arial"/>
          <w:sz w:val="24"/>
          <w:szCs w:val="24"/>
        </w:rPr>
        <w:t xml:space="preserve"> </w:t>
      </w:r>
      <w:r w:rsidRPr="008379CA">
        <w:rPr>
          <w:rFonts w:ascii="Bookman Old Style" w:hAnsi="Bookman Old Style" w:cs="Arial"/>
          <w:i/>
          <w:iCs/>
          <w:sz w:val="24"/>
          <w:szCs w:val="24"/>
        </w:rPr>
        <w:t>output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Pr="008379CA">
        <w:rPr>
          <w:rFonts w:ascii="Bookman Old Style" w:hAnsi="Bookman Old Style" w:cs="Arial"/>
          <w:i/>
          <w:iCs/>
          <w:sz w:val="24"/>
          <w:szCs w:val="24"/>
        </w:rPr>
        <w:t>outcome</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untuk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memastikan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bahwa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anggaran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yang</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dikeluarkan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sesuai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dengan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manfaat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yang</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dihasilkan.</w:t>
      </w:r>
    </w:p>
    <w:p w14:paraId="1D233C18" w14:textId="77777777" w:rsidR="00160580" w:rsidRPr="008379CA" w:rsidRDefault="00160580" w:rsidP="00727324">
      <w:pPr>
        <w:pStyle w:val="ListParagraph"/>
        <w:spacing w:before="60" w:after="0" w:line="276" w:lineRule="auto"/>
        <w:ind w:left="1647"/>
        <w:contextualSpacing w:val="0"/>
        <w:jc w:val="both"/>
        <w:rPr>
          <w:rFonts w:ascii="Bookman Old Style" w:hAnsi="Bookman Old Style"/>
          <w:sz w:val="24"/>
          <w:szCs w:val="24"/>
          <w:lang w:val="id-ID"/>
        </w:rPr>
      </w:pPr>
    </w:p>
    <w:p w14:paraId="5DE7DE40" w14:textId="5DE88B70" w:rsidR="00C825AB" w:rsidRPr="008379CA" w:rsidRDefault="00C825AB" w:rsidP="00704FD6">
      <w:pPr>
        <w:numPr>
          <w:ilvl w:val="0"/>
          <w:numId w:val="1"/>
        </w:numPr>
        <w:spacing w:before="60" w:line="276" w:lineRule="auto"/>
        <w:ind w:left="567" w:hanging="567"/>
        <w:jc w:val="both"/>
        <w:rPr>
          <w:rFonts w:ascii="Bookman Old Style" w:hAnsi="Bookman Old Style" w:cs="Arial"/>
          <w:lang w:val="id-ID"/>
        </w:rPr>
      </w:pPr>
      <w:r w:rsidRPr="008379CA">
        <w:rPr>
          <w:rFonts w:ascii="Bookman Old Style" w:hAnsi="Bookman Old Style"/>
        </w:rPr>
        <w:t>SINKRONISASI</w:t>
      </w:r>
      <w:r w:rsidR="00A954D0" w:rsidRPr="008379CA">
        <w:rPr>
          <w:rFonts w:ascii="Bookman Old Style" w:hAnsi="Bookman Old Style" w:cs="Arial"/>
          <w:lang w:val="id-ID"/>
        </w:rPr>
        <w:t xml:space="preserve"> </w:t>
      </w:r>
      <w:r w:rsidRPr="008379CA">
        <w:rPr>
          <w:rFonts w:ascii="Bookman Old Style" w:hAnsi="Bookman Old Style" w:cs="Arial"/>
          <w:lang w:val="id-ID"/>
        </w:rPr>
        <w:t>KEBIJAKAN</w:t>
      </w:r>
      <w:r w:rsidR="00A954D0" w:rsidRPr="008379CA">
        <w:rPr>
          <w:rFonts w:ascii="Bookman Old Style" w:hAnsi="Bookman Old Style" w:cs="Arial"/>
          <w:lang w:val="id-ID"/>
        </w:rPr>
        <w:t xml:space="preserve"> </w:t>
      </w:r>
      <w:r w:rsidRPr="008379CA">
        <w:rPr>
          <w:rFonts w:ascii="Bookman Old Style" w:hAnsi="Bookman Old Style" w:cs="Arial"/>
          <w:lang w:val="id-ID"/>
        </w:rPr>
        <w:t>PUSAT</w:t>
      </w:r>
      <w:r w:rsidR="00A954D0" w:rsidRPr="008379CA">
        <w:rPr>
          <w:rFonts w:ascii="Bookman Old Style" w:hAnsi="Bookman Old Style" w:cs="Arial"/>
          <w:lang w:val="id-ID"/>
        </w:rPr>
        <w:t xml:space="preserve"> </w:t>
      </w:r>
      <w:r w:rsidRPr="008379CA">
        <w:rPr>
          <w:rFonts w:ascii="Bookman Old Style" w:hAnsi="Bookman Old Style" w:cs="Arial"/>
          <w:lang w:val="id-ID"/>
        </w:rPr>
        <w:t>DAN</w:t>
      </w:r>
      <w:r w:rsidR="00A954D0" w:rsidRPr="008379CA">
        <w:rPr>
          <w:rFonts w:ascii="Bookman Old Style" w:hAnsi="Bookman Old Style" w:cs="Arial"/>
          <w:lang w:val="id-ID"/>
        </w:rPr>
        <w:t xml:space="preserve"> </w:t>
      </w:r>
      <w:r w:rsidRPr="008379CA">
        <w:rPr>
          <w:rFonts w:ascii="Bookman Old Style" w:hAnsi="Bookman Old Style" w:cs="Arial"/>
          <w:lang w:val="id-ID"/>
        </w:rPr>
        <w:t>DAERAH</w:t>
      </w:r>
    </w:p>
    <w:p w14:paraId="67D9FF64" w14:textId="18AF662B" w:rsidR="00244B3E" w:rsidRPr="008379CA" w:rsidRDefault="005747A7" w:rsidP="00863747">
      <w:pPr>
        <w:pStyle w:val="ListParagraph"/>
        <w:numPr>
          <w:ilvl w:val="0"/>
          <w:numId w:val="96"/>
        </w:numPr>
        <w:spacing w:before="120" w:after="0" w:line="276" w:lineRule="auto"/>
        <w:ind w:left="993" w:hanging="426"/>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de-DE"/>
        </w:rPr>
        <w:t>Penyediaan</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lang w:val="id-ID"/>
        </w:rPr>
        <w:t>dalam</w:t>
      </w:r>
      <w:r w:rsidR="00A954D0" w:rsidRPr="008379CA">
        <w:rPr>
          <w:rFonts w:ascii="Bookman Old Style" w:hAnsi="Bookman Old Style"/>
          <w:sz w:val="24"/>
          <w:szCs w:val="24"/>
        </w:rPr>
        <w:t xml:space="preserve"> </w:t>
      </w:r>
      <w:r w:rsidRPr="008379CA">
        <w:rPr>
          <w:rFonts w:ascii="Bookman Old Style" w:hAnsi="Bookman Old Style"/>
          <w:sz w:val="24"/>
          <w:szCs w:val="24"/>
        </w:rPr>
        <w:t>Rancangan</w:t>
      </w:r>
      <w:r w:rsidR="00A954D0" w:rsidRPr="008379CA">
        <w:rPr>
          <w:rFonts w:ascii="Bookman Old Style" w:hAnsi="Bookman Old Style"/>
          <w:sz w:val="24"/>
          <w:szCs w:val="24"/>
        </w:rPr>
        <w:t xml:space="preserve"> </w:t>
      </w:r>
      <w:r w:rsidRPr="008379CA">
        <w:rPr>
          <w:rFonts w:ascii="Bookman Old Style" w:hAnsi="Bookman Old Style"/>
          <w:sz w:val="24"/>
          <w:szCs w:val="24"/>
        </w:rPr>
        <w:t>Peraturan</w:t>
      </w:r>
      <w:r w:rsidR="00A954D0" w:rsidRPr="008379CA">
        <w:rPr>
          <w:rFonts w:ascii="Bookman Old Style" w:hAnsi="Bookman Old Style"/>
          <w:sz w:val="24"/>
          <w:szCs w:val="24"/>
        </w:rPr>
        <w:t xml:space="preserve"> </w:t>
      </w:r>
      <w:r w:rsidRPr="008379CA">
        <w:rPr>
          <w:rFonts w:ascii="Bookman Old Style" w:hAnsi="Bookman Old Style" w:cs="Arial"/>
          <w:sz w:val="24"/>
          <w:szCs w:val="24"/>
        </w:rPr>
        <w:t>Daerah</w:t>
      </w:r>
      <w:r w:rsidR="00A954D0" w:rsidRPr="008379CA">
        <w:rPr>
          <w:rFonts w:ascii="Bookman Old Style" w:hAnsi="Bookman Old Style" w:cs="Arial"/>
          <w:sz w:val="24"/>
          <w:szCs w:val="24"/>
          <w:lang w:val="id-ID"/>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00770F22"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sz w:val="24"/>
          <w:szCs w:val="24"/>
        </w:rPr>
        <w:t>tentang</w:t>
      </w:r>
      <w:r w:rsidR="00A954D0" w:rsidRPr="008379CA">
        <w:rPr>
          <w:rFonts w:ascii="Bookman Old Style" w:hAnsi="Bookman Old Style"/>
          <w:sz w:val="24"/>
          <w:szCs w:val="24"/>
        </w:rPr>
        <w:t xml:space="preserve"> </w:t>
      </w:r>
      <w:r w:rsidRPr="008379CA">
        <w:rPr>
          <w:rFonts w:ascii="Bookman Old Style" w:hAnsi="Bookman Old Style"/>
          <w:sz w:val="24"/>
          <w:szCs w:val="24"/>
        </w:rPr>
        <w:t>APBD</w:t>
      </w:r>
      <w:r w:rsidR="00A954D0" w:rsidRPr="008379CA">
        <w:rPr>
          <w:rFonts w:ascii="Bookman Old Style" w:hAnsi="Bookman Old Style"/>
          <w:sz w:val="24"/>
          <w:szCs w:val="24"/>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2025</w:t>
      </w:r>
      <w:r w:rsidR="00A954D0" w:rsidRPr="008379CA">
        <w:rPr>
          <w:rFonts w:ascii="Bookman Old Style" w:hAnsi="Bookman Old Style"/>
          <w:sz w:val="24"/>
          <w:szCs w:val="24"/>
        </w:rPr>
        <w:t xml:space="preserve"> </w:t>
      </w:r>
      <w:r w:rsidRPr="008379CA">
        <w:rPr>
          <w:rFonts w:ascii="Bookman Old Style" w:hAnsi="Bookman Old Style"/>
          <w:sz w:val="24"/>
          <w:szCs w:val="24"/>
          <w:lang w:val="id-ID"/>
        </w:rPr>
        <w:t>dan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Rancangan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Peraturan</w:t>
      </w:r>
      <w:r w:rsidR="00A954D0" w:rsidRPr="008379CA">
        <w:rPr>
          <w:rFonts w:ascii="Bookman Old Style" w:hAnsi="Bookman Old Style"/>
          <w:sz w:val="24"/>
          <w:szCs w:val="24"/>
          <w:lang w:val="id-ID"/>
        </w:rPr>
        <w:t xml:space="preserve"> </w:t>
      </w:r>
      <w:r w:rsidR="001C092E" w:rsidRPr="008379CA">
        <w:rPr>
          <w:rFonts w:ascii="Bookman Old Style" w:hAnsi="Bookman Old Style"/>
          <w:sz w:val="24"/>
          <w:szCs w:val="24"/>
        </w:rPr>
        <w:t>Wali</w:t>
      </w:r>
      <w:r w:rsidR="00A954D0" w:rsidRPr="008379CA">
        <w:rPr>
          <w:rFonts w:ascii="Bookman Old Style" w:hAnsi="Bookman Old Style"/>
          <w:sz w:val="24"/>
          <w:szCs w:val="24"/>
        </w:rPr>
        <w:t xml:space="preserve"> </w:t>
      </w:r>
      <w:r w:rsidR="001C092E" w:rsidRPr="008379CA">
        <w:rPr>
          <w:rFonts w:ascii="Bookman Old Style" w:hAnsi="Bookman Old Style"/>
          <w:sz w:val="24"/>
          <w:szCs w:val="24"/>
        </w:rPr>
        <w:t>Kota</w:t>
      </w:r>
      <w:r w:rsidR="00A954D0" w:rsidRPr="008379CA">
        <w:rPr>
          <w:rFonts w:ascii="Bookman Old Style" w:hAnsi="Bookman Old Style"/>
          <w:sz w:val="24"/>
          <w:szCs w:val="24"/>
          <w:lang w:val="id-ID"/>
        </w:rPr>
        <w:t xml:space="preserve"> </w:t>
      </w:r>
      <w:r w:rsidR="00770F22" w:rsidRPr="008379CA">
        <w:rPr>
          <w:rFonts w:ascii="Bookman Old Style" w:hAnsi="Bookman Old Style"/>
          <w:sz w:val="24"/>
          <w:szCs w:val="24"/>
          <w:lang w:val="id-ID"/>
        </w:rPr>
        <w:t>Tangerang</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tentang</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Penjabaran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APBD</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Tahun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Anggaran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2025</w:t>
      </w:r>
      <w:r w:rsidR="00A954D0" w:rsidRPr="008379CA">
        <w:rPr>
          <w:rFonts w:ascii="Bookman Old Style" w:hAnsi="Bookman Old Style"/>
          <w:sz w:val="24"/>
          <w:szCs w:val="24"/>
          <w:lang w:val="id-ID"/>
        </w:rPr>
        <w:t xml:space="preserve"> </w:t>
      </w:r>
      <w:r w:rsidRPr="008379CA">
        <w:rPr>
          <w:rFonts w:ascii="Bookman Old Style" w:hAnsi="Bookman Old Style"/>
          <w:sz w:val="24"/>
          <w:szCs w:val="24"/>
        </w:rPr>
        <w:t>Terhadap</w:t>
      </w:r>
      <w:r w:rsidR="00A954D0" w:rsidRPr="008379CA">
        <w:rPr>
          <w:rFonts w:ascii="Bookman Old Style" w:hAnsi="Bookman Old Style"/>
          <w:sz w:val="24"/>
          <w:szCs w:val="24"/>
        </w:rPr>
        <w:t xml:space="preserve"> </w:t>
      </w:r>
      <w:r w:rsidRPr="008379CA">
        <w:rPr>
          <w:rFonts w:ascii="Bookman Old Style" w:hAnsi="Bookman Old Style"/>
          <w:sz w:val="24"/>
          <w:szCs w:val="24"/>
        </w:rPr>
        <w:t>Kebijakan</w:t>
      </w:r>
      <w:r w:rsidR="00A954D0" w:rsidRPr="008379CA">
        <w:rPr>
          <w:rFonts w:ascii="Bookman Old Style" w:hAnsi="Bookman Old Style"/>
          <w:sz w:val="24"/>
          <w:szCs w:val="24"/>
        </w:rPr>
        <w:t xml:space="preserve"> </w:t>
      </w:r>
      <w:r w:rsidRPr="008379CA">
        <w:rPr>
          <w:rFonts w:ascii="Bookman Old Style" w:hAnsi="Bookman Old Style"/>
          <w:sz w:val="24"/>
          <w:szCs w:val="24"/>
        </w:rPr>
        <w:t>Prioritas</w:t>
      </w:r>
      <w:r w:rsidR="00A954D0" w:rsidRPr="008379CA">
        <w:rPr>
          <w:rFonts w:ascii="Bookman Old Style" w:hAnsi="Bookman Old Style"/>
          <w:sz w:val="24"/>
          <w:szCs w:val="24"/>
        </w:rPr>
        <w:t xml:space="preserve"> </w:t>
      </w:r>
      <w:r w:rsidRPr="008379CA">
        <w:rPr>
          <w:rFonts w:ascii="Bookman Old Style" w:hAnsi="Bookman Old Style"/>
          <w:sz w:val="24"/>
          <w:szCs w:val="24"/>
        </w:rPr>
        <w:t>Pembangunan</w:t>
      </w:r>
      <w:r w:rsidR="00A954D0" w:rsidRPr="008379CA">
        <w:rPr>
          <w:rFonts w:ascii="Bookman Old Style" w:hAnsi="Bookman Old Style"/>
          <w:sz w:val="24"/>
          <w:szCs w:val="24"/>
        </w:rPr>
        <w:t xml:space="preserve"> </w:t>
      </w:r>
      <w:r w:rsidRPr="008379CA">
        <w:rPr>
          <w:rFonts w:ascii="Bookman Old Style" w:hAnsi="Bookman Old Style"/>
          <w:sz w:val="24"/>
          <w:szCs w:val="24"/>
        </w:rPr>
        <w:t>Nasional</w:t>
      </w:r>
      <w:r w:rsidR="00A954D0" w:rsidRPr="008379CA">
        <w:rPr>
          <w:rFonts w:ascii="Bookman Old Style" w:hAnsi="Bookman Old Style"/>
          <w:sz w:val="24"/>
          <w:szCs w:val="24"/>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rPr>
        <w:t>202</w:t>
      </w:r>
      <w:r w:rsidRPr="008379CA">
        <w:rPr>
          <w:rFonts w:ascii="Bookman Old Style" w:hAnsi="Bookman Old Style"/>
          <w:sz w:val="24"/>
          <w:szCs w:val="24"/>
          <w:lang w:val="id-ID"/>
        </w:rPr>
        <w:t>5</w:t>
      </w:r>
    </w:p>
    <w:p w14:paraId="61046C8A" w14:textId="4C2CC51C" w:rsidR="000A4C87" w:rsidRPr="008379CA" w:rsidRDefault="000A4C87" w:rsidP="00863747">
      <w:pPr>
        <w:pStyle w:val="ListParagraph"/>
        <w:spacing w:before="60" w:after="0" w:line="276" w:lineRule="auto"/>
        <w:ind w:left="993"/>
        <w:contextualSpacing w:val="0"/>
        <w:jc w:val="both"/>
        <w:rPr>
          <w:rFonts w:ascii="Bookman Old Style" w:eastAsia="Bookman Old Style" w:hAnsi="Bookman Old Style" w:cs="Bookman Old Style"/>
          <w:bCs/>
          <w:sz w:val="24"/>
          <w:szCs w:val="24"/>
          <w:lang w:val="sv-FI"/>
        </w:rPr>
      </w:pPr>
      <w:r w:rsidRPr="008379CA">
        <w:rPr>
          <w:rFonts w:ascii="Bookman Old Style" w:eastAsia="Bookman Old Style" w:hAnsi="Bookman Old Style" w:cs="Bookman Old Style"/>
          <w:bCs/>
          <w:sz w:val="24"/>
          <w:szCs w:val="24"/>
          <w:lang w:val="sv-FI"/>
        </w:rPr>
        <w:t>Pemerintah</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Daerah</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telah</w:t>
      </w:r>
      <w:r w:rsidR="00A954D0" w:rsidRPr="008379CA">
        <w:rPr>
          <w:rFonts w:ascii="Bookman Old Style" w:hAnsi="Bookman Old Style"/>
          <w:sz w:val="24"/>
          <w:szCs w:val="24"/>
          <w:lang w:val="fi-FI"/>
        </w:rPr>
        <w:t xml:space="preserve"> </w:t>
      </w:r>
      <w:r w:rsidRPr="008379CA">
        <w:rPr>
          <w:rFonts w:ascii="Bookman Old Style" w:eastAsia="Bookman Old Style" w:hAnsi="Bookman Old Style" w:cs="Bookman Old Style"/>
          <w:bCs/>
          <w:sz w:val="24"/>
          <w:szCs w:val="24"/>
          <w:lang w:val="sv-FI"/>
        </w:rPr>
        <w:t>mengalokasikan</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anggaran</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dalam</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Rancangan</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Peraturan</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Daerah</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tentang</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APBD</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Tahun</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Anggaran</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2025</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berdasarkan</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kebijakan</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Prioritas</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Pembangunan</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Nasional</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Tahun</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2025</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meliputi:</w:t>
      </w:r>
    </w:p>
    <w:p w14:paraId="01C4D596" w14:textId="6EF07DAC" w:rsidR="000A4C87" w:rsidRPr="008379CA" w:rsidRDefault="000A4C87" w:rsidP="00863747">
      <w:pPr>
        <w:pStyle w:val="ListParagraph"/>
        <w:numPr>
          <w:ilvl w:val="0"/>
          <w:numId w:val="102"/>
        </w:numPr>
        <w:tabs>
          <w:tab w:val="left" w:pos="900"/>
        </w:tabs>
        <w:spacing w:before="60" w:after="0" w:line="276" w:lineRule="auto"/>
        <w:ind w:left="1276" w:right="77" w:hanging="283"/>
        <w:contextualSpacing w:val="0"/>
        <w:jc w:val="both"/>
        <w:rPr>
          <w:rFonts w:ascii="Bookman Old Style" w:eastAsia="Bookman Old Style" w:hAnsi="Bookman Old Style" w:cs="Bookman Old Style"/>
          <w:sz w:val="24"/>
          <w:szCs w:val="24"/>
          <w:lang w:val="sv-FI"/>
        </w:rPr>
      </w:pPr>
      <w:r w:rsidRPr="008379CA">
        <w:rPr>
          <w:rFonts w:ascii="Bookman Old Style" w:eastAsia="Bookman Old Style" w:hAnsi="Bookman Old Style" w:cs="Bookman Old Style"/>
          <w:sz w:val="24"/>
          <w:szCs w:val="24"/>
          <w:lang w:val="sv-FI"/>
        </w:rPr>
        <w:t>Memperkokoh</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Ideologi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Pancasila,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Demokrasi</w:t>
      </w:r>
      <w:r w:rsidR="00A954D0" w:rsidRPr="008379CA">
        <w:rPr>
          <w:rFonts w:ascii="Bookman Old Style" w:eastAsia="Bookman Old Style" w:hAnsi="Bookman Old Style" w:cs="Bookman Old Style"/>
          <w:sz w:val="24"/>
          <w:szCs w:val="24"/>
          <w:lang w:val="sv-FI"/>
        </w:rPr>
        <w:t xml:space="preserve"> </w:t>
      </w:r>
      <w:r w:rsidR="006C2641" w:rsidRPr="008379CA">
        <w:rPr>
          <w:rFonts w:ascii="Bookman Old Style" w:eastAsia="Bookman Old Style" w:hAnsi="Bookman Old Style" w:cs="Bookman Old Style"/>
          <w:sz w:val="24"/>
          <w:szCs w:val="24"/>
          <w:lang w:val="sv-FI"/>
        </w:rPr>
        <w:t>d</w:t>
      </w:r>
      <w:r w:rsidRPr="008379CA">
        <w:rPr>
          <w:rFonts w:ascii="Bookman Old Style" w:eastAsia="Bookman Old Style" w:hAnsi="Bookman Old Style" w:cs="Bookman Old Style"/>
          <w:sz w:val="24"/>
          <w:szCs w:val="24"/>
          <w:lang w:val="sv-FI"/>
        </w:rPr>
        <w:t>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Hak</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Asasi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Manusia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(HAM)</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(PN1),</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dianggarkan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Rp20.548.372.352,00</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atau</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0,36%</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dari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total</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belanja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daerah</w:t>
      </w:r>
      <w:r w:rsidR="00A954D0" w:rsidRPr="008379CA">
        <w:rPr>
          <w:rFonts w:ascii="Bookman Old Style" w:eastAsia="Bookman Old Style" w:hAnsi="Bookman Old Style" w:cs="Bookman Old Style"/>
          <w:sz w:val="24"/>
          <w:szCs w:val="24"/>
          <w:lang w:val="sv-FI"/>
        </w:rPr>
        <w:t xml:space="preserve"> </w:t>
      </w:r>
      <w:r w:rsidRPr="008379CA">
        <w:rPr>
          <w:rFonts w:ascii="Bookman Old Style" w:hAnsi="Bookman Old Style"/>
          <w:bCs/>
          <w:sz w:val="24"/>
          <w:szCs w:val="24"/>
          <w:lang w:val="sv-FI"/>
        </w:rPr>
        <w:t>dalam</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Rancangan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Peraturan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Daerah</w:t>
      </w:r>
      <w:r w:rsidR="00A954D0" w:rsidRPr="008379CA">
        <w:rPr>
          <w:rFonts w:ascii="Bookman Old Style" w:hAnsi="Bookman Old Style"/>
          <w:bCs/>
          <w:sz w:val="24"/>
          <w:szCs w:val="24"/>
          <w:lang w:val="sv-FI"/>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tentang</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APBD</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Tahun</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Anggaran</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2025</w:t>
      </w:r>
      <w:r w:rsidRPr="008379CA">
        <w:rPr>
          <w:rFonts w:ascii="Bookman Old Style" w:hAnsi="Bookman Old Style"/>
          <w:bCs/>
          <w:sz w:val="24"/>
          <w:szCs w:val="24"/>
          <w:lang w:val="sv-FI"/>
        </w:rPr>
        <w:t>,</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yang</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diarahkan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antara</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lain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untuk</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Program</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Penguatan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Ideologi</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Pancasila</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Karakter</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Kebangsaan,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Program</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Pemberdayaan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Pengawasan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Organisasi</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Kemasyarakatan</w:t>
      </w:r>
      <w:r w:rsidRPr="008379CA">
        <w:rPr>
          <w:rFonts w:ascii="Bookman Old Style" w:eastAsia="Bookman Old Style" w:hAnsi="Bookman Old Style" w:cs="Bookman Old Style"/>
          <w:sz w:val="24"/>
          <w:szCs w:val="24"/>
          <w:lang w:val="sv-FI"/>
        </w:rPr>
        <w:t>;</w:t>
      </w:r>
    </w:p>
    <w:p w14:paraId="77427ABC" w14:textId="1A628F6C" w:rsidR="000A4C87" w:rsidRPr="008379CA" w:rsidRDefault="000A4C87" w:rsidP="00863747">
      <w:pPr>
        <w:pStyle w:val="ListParagraph"/>
        <w:numPr>
          <w:ilvl w:val="0"/>
          <w:numId w:val="102"/>
        </w:numPr>
        <w:tabs>
          <w:tab w:val="left" w:pos="900"/>
        </w:tabs>
        <w:spacing w:before="60" w:after="0" w:line="276" w:lineRule="auto"/>
        <w:ind w:left="1276" w:right="77" w:hanging="283"/>
        <w:contextualSpacing w:val="0"/>
        <w:jc w:val="both"/>
        <w:rPr>
          <w:rFonts w:ascii="Bookman Old Style" w:eastAsia="Bookman Old Style" w:hAnsi="Bookman Old Style" w:cs="Bookman Old Style"/>
          <w:sz w:val="24"/>
          <w:szCs w:val="24"/>
          <w:lang w:val="sv-FI"/>
        </w:rPr>
      </w:pPr>
      <w:r w:rsidRPr="008379CA">
        <w:rPr>
          <w:rFonts w:ascii="Bookman Old Style" w:eastAsia="Bookman Old Style" w:hAnsi="Bookman Old Style" w:cs="Bookman Old Style"/>
          <w:sz w:val="24"/>
          <w:szCs w:val="24"/>
          <w:lang w:val="sv-FI"/>
        </w:rPr>
        <w:t>Memantapkan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Sistem</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Pertahanan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Keamanan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Negara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Mendorong</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Kemandirian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Bangsa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melalui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Swasembada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Pangan,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Energi,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Air,</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Ekonomi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Syariah,</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Ekonomi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Digital,</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Ekonomi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Hijau,</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Ekonomi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Biru</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(PN2),</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dianggarkan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Rp2.741.277.800,00</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atau</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0,05%</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dari</w:t>
      </w:r>
      <w:r w:rsidR="00A954D0" w:rsidRPr="008379CA">
        <w:rPr>
          <w:rFonts w:ascii="Bookman Old Style" w:eastAsia="Bookman Old Style" w:hAnsi="Bookman Old Style" w:cs="Bookman Old Style"/>
          <w:sz w:val="24"/>
          <w:szCs w:val="24"/>
          <w:lang w:val="sv-FI"/>
        </w:rPr>
        <w:t xml:space="preserve"> </w:t>
      </w:r>
      <w:r w:rsidR="006C2641" w:rsidRPr="008379CA">
        <w:rPr>
          <w:rFonts w:ascii="Bookman Old Style" w:eastAsia="Bookman Old Style" w:hAnsi="Bookman Old Style" w:cs="Bookman Old Style"/>
          <w:sz w:val="24"/>
          <w:szCs w:val="24"/>
          <w:lang w:val="sv-FI"/>
        </w:rPr>
        <w:t>total</w:t>
      </w:r>
      <w:r w:rsidR="00A954D0" w:rsidRPr="008379CA">
        <w:rPr>
          <w:rFonts w:ascii="Bookman Old Style" w:eastAsia="Bookman Old Style" w:hAnsi="Bookman Old Style" w:cs="Bookman Old Style"/>
          <w:sz w:val="24"/>
          <w:szCs w:val="24"/>
          <w:lang w:val="sv-FI"/>
        </w:rPr>
        <w:t xml:space="preserve"> </w:t>
      </w:r>
      <w:r w:rsidR="006C2641" w:rsidRPr="008379CA">
        <w:rPr>
          <w:rFonts w:ascii="Bookman Old Style" w:eastAsia="Bookman Old Style" w:hAnsi="Bookman Old Style" w:cs="Bookman Old Style"/>
          <w:sz w:val="24"/>
          <w:szCs w:val="24"/>
          <w:lang w:val="sv-FI"/>
        </w:rPr>
        <w:t>belanja</w:t>
      </w:r>
      <w:r w:rsidR="00A954D0" w:rsidRPr="008379CA">
        <w:rPr>
          <w:rFonts w:ascii="Bookman Old Style" w:eastAsia="Bookman Old Style" w:hAnsi="Bookman Old Style" w:cs="Bookman Old Style"/>
          <w:sz w:val="24"/>
          <w:szCs w:val="24"/>
          <w:lang w:val="sv-FI"/>
        </w:rPr>
        <w:t xml:space="preserve"> </w:t>
      </w:r>
      <w:r w:rsidR="006C2641" w:rsidRPr="008379CA">
        <w:rPr>
          <w:rFonts w:ascii="Bookman Old Style" w:eastAsia="Bookman Old Style" w:hAnsi="Bookman Old Style" w:cs="Bookman Old Style"/>
          <w:sz w:val="24"/>
          <w:szCs w:val="24"/>
          <w:lang w:val="sv-FI"/>
        </w:rPr>
        <w:t>daerah</w:t>
      </w:r>
      <w:r w:rsidR="00A954D0" w:rsidRPr="008379CA">
        <w:rPr>
          <w:rFonts w:ascii="Bookman Old Style" w:eastAsia="Bookman Old Style" w:hAnsi="Bookman Old Style" w:cs="Bookman Old Style"/>
          <w:sz w:val="24"/>
          <w:szCs w:val="24"/>
          <w:lang w:val="sv-FI"/>
        </w:rPr>
        <w:t xml:space="preserve"> </w:t>
      </w:r>
      <w:r w:rsidR="006C2641" w:rsidRPr="008379CA">
        <w:rPr>
          <w:rFonts w:ascii="Bookman Old Style" w:eastAsia="Bookman Old Style" w:hAnsi="Bookman Old Style" w:cs="Bookman Old Style"/>
          <w:sz w:val="24"/>
          <w:szCs w:val="24"/>
          <w:lang w:val="sv-FI"/>
        </w:rPr>
        <w:t>dalam</w:t>
      </w:r>
      <w:r w:rsidR="00A954D0" w:rsidRPr="008379CA">
        <w:rPr>
          <w:rFonts w:ascii="Bookman Old Style" w:eastAsia="Bookman Old Style" w:hAnsi="Bookman Old Style" w:cs="Bookman Old Style"/>
          <w:sz w:val="24"/>
          <w:szCs w:val="24"/>
          <w:lang w:val="sv-FI"/>
        </w:rPr>
        <w:t xml:space="preserve"> </w:t>
      </w:r>
      <w:r w:rsidR="006C2641" w:rsidRPr="008379CA">
        <w:rPr>
          <w:rFonts w:ascii="Bookman Old Style" w:eastAsia="Bookman Old Style" w:hAnsi="Bookman Old Style" w:cs="Bookman Old Style"/>
          <w:sz w:val="24"/>
          <w:szCs w:val="24"/>
          <w:lang w:val="sv-FI"/>
        </w:rPr>
        <w:t>Rancangan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Peraturan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Daerah</w:t>
      </w:r>
      <w:r w:rsidR="00A954D0" w:rsidRPr="008379CA">
        <w:rPr>
          <w:rFonts w:ascii="Bookman Old Style" w:eastAsia="Bookman Old Style" w:hAnsi="Bookman Old Style" w:cs="Bookman Old Style"/>
          <w:sz w:val="24"/>
          <w:szCs w:val="24"/>
          <w:lang w:val="sv-FI"/>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tentang</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APBD</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Tahun</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lastRenderedPageBreak/>
        <w:t>Anggaran</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2025</w:t>
      </w:r>
      <w:r w:rsidRPr="008379CA">
        <w:rPr>
          <w:rFonts w:ascii="Bookman Old Style" w:eastAsia="Bookman Old Style" w:hAnsi="Bookman Old Style" w:cs="Bookman Old Style"/>
          <w:sz w:val="24"/>
          <w:szCs w:val="24"/>
          <w:lang w:val="sv-FI"/>
        </w:rPr>
        <w:t>,</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yang</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diarahkan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hAnsi="Bookman Old Style"/>
          <w:bCs/>
          <w:sz w:val="24"/>
          <w:szCs w:val="24"/>
          <w:lang w:val="sv-FI"/>
        </w:rPr>
        <w:t>antara</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lain</w:t>
      </w:r>
      <w:r w:rsidR="00A954D0" w:rsidRPr="008379CA">
        <w:rPr>
          <w:rFonts w:ascii="Bookman Old Style" w:hAnsi="Bookman Old Style"/>
          <w:bCs/>
          <w:sz w:val="24"/>
          <w:szCs w:val="24"/>
          <w:lang w:val="sv-FI"/>
        </w:rPr>
        <w:t xml:space="preserve"> </w:t>
      </w:r>
      <w:r w:rsidRPr="008379CA">
        <w:rPr>
          <w:rFonts w:ascii="Bookman Old Style" w:eastAsia="Bookman Old Style" w:hAnsi="Bookman Old Style" w:cs="Bookman Old Style"/>
          <w:sz w:val="24"/>
          <w:szCs w:val="24"/>
          <w:lang w:val="sv-FI"/>
        </w:rPr>
        <w:t>untuk</w:t>
      </w:r>
      <w:r w:rsidR="00A954D0" w:rsidRPr="008379CA">
        <w:rPr>
          <w:rFonts w:ascii="Bookman Old Style" w:hAnsi="Bookman Old Style"/>
        </w:rPr>
        <w:t xml:space="preserve"> </w:t>
      </w:r>
      <w:r w:rsidRPr="008379CA">
        <w:rPr>
          <w:rFonts w:ascii="Bookman Old Style" w:eastAsia="Bookman Old Style" w:hAnsi="Bookman Old Style" w:cs="Bookman Old Style"/>
          <w:sz w:val="24"/>
          <w:szCs w:val="24"/>
          <w:lang w:val="sv-FI"/>
        </w:rPr>
        <w:t>Program</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Pengelolaan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Sumber</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Daya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Ekonomi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untuk</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Kedaulatan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Kemandirian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Pangan,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dan</w:t>
      </w:r>
      <w:r w:rsidR="00A954D0" w:rsidRPr="008379CA">
        <w:rPr>
          <w:rFonts w:ascii="Bookman Old Style" w:hAnsi="Bookman Old Style"/>
        </w:rPr>
        <w:t xml:space="preserve"> </w:t>
      </w:r>
      <w:r w:rsidRPr="008379CA">
        <w:rPr>
          <w:rFonts w:ascii="Bookman Old Style" w:eastAsia="Bookman Old Style" w:hAnsi="Bookman Old Style" w:cs="Bookman Old Style"/>
          <w:sz w:val="24"/>
          <w:szCs w:val="24"/>
          <w:lang w:val="sv-FI"/>
        </w:rPr>
        <w:t>Program</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Penanganan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Kerawanan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Pangan;</w:t>
      </w:r>
    </w:p>
    <w:p w14:paraId="4C6B74AF" w14:textId="5553D33F" w:rsidR="000A4C87" w:rsidRPr="008379CA" w:rsidRDefault="000A4C87" w:rsidP="00863747">
      <w:pPr>
        <w:pStyle w:val="ListParagraph"/>
        <w:numPr>
          <w:ilvl w:val="0"/>
          <w:numId w:val="102"/>
        </w:numPr>
        <w:tabs>
          <w:tab w:val="left" w:pos="900"/>
        </w:tabs>
        <w:spacing w:before="60" w:after="0" w:line="276" w:lineRule="auto"/>
        <w:ind w:left="1276" w:right="77" w:hanging="283"/>
        <w:contextualSpacing w:val="0"/>
        <w:jc w:val="both"/>
        <w:rPr>
          <w:rFonts w:ascii="Bookman Old Style" w:eastAsia="Bookman Old Style" w:hAnsi="Bookman Old Style" w:cs="Bookman Old Style"/>
          <w:sz w:val="24"/>
          <w:szCs w:val="24"/>
          <w:lang w:val="sv-FI"/>
        </w:rPr>
      </w:pPr>
      <w:r w:rsidRPr="008379CA">
        <w:rPr>
          <w:rFonts w:ascii="Bookman Old Style" w:eastAsia="Bookman Old Style" w:hAnsi="Bookman Old Style" w:cs="Bookman Old Style"/>
          <w:sz w:val="24"/>
          <w:szCs w:val="24"/>
          <w:lang w:val="sv-FI"/>
        </w:rPr>
        <w:t>Melanjutkan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Pengembangan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Infrastruktur</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Meningkatkan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Lapangan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Kerja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yang</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Berkualitas,</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Mendorong</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Kewirausahaan,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Mengembangkan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Industri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Kreatif</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serta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Mengembangkan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Agromaritim</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Industri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Sentra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Produksi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Melalui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Peran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Aktif</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Koperasi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(PN3),</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dianggarkan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Rp552.279.162.520,00</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atau</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9,68%</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dari</w:t>
      </w:r>
      <w:r w:rsidR="00A954D0" w:rsidRPr="008379CA">
        <w:rPr>
          <w:rFonts w:ascii="Bookman Old Style" w:eastAsia="Bookman Old Style" w:hAnsi="Bookman Old Style" w:cs="Bookman Old Style"/>
          <w:sz w:val="24"/>
          <w:szCs w:val="24"/>
          <w:lang w:val="sv-FI"/>
        </w:rPr>
        <w:t xml:space="preserve"> </w:t>
      </w:r>
      <w:r w:rsidR="006C2641" w:rsidRPr="008379CA">
        <w:rPr>
          <w:rFonts w:ascii="Bookman Old Style" w:eastAsia="Bookman Old Style" w:hAnsi="Bookman Old Style" w:cs="Bookman Old Style"/>
          <w:sz w:val="24"/>
          <w:szCs w:val="24"/>
          <w:lang w:val="sv-FI"/>
        </w:rPr>
        <w:t>total</w:t>
      </w:r>
      <w:r w:rsidR="00A954D0" w:rsidRPr="008379CA">
        <w:rPr>
          <w:rFonts w:ascii="Bookman Old Style" w:eastAsia="Bookman Old Style" w:hAnsi="Bookman Old Style" w:cs="Bookman Old Style"/>
          <w:sz w:val="24"/>
          <w:szCs w:val="24"/>
          <w:lang w:val="sv-FI"/>
        </w:rPr>
        <w:t xml:space="preserve"> </w:t>
      </w:r>
      <w:r w:rsidR="006C2641" w:rsidRPr="008379CA">
        <w:rPr>
          <w:rFonts w:ascii="Bookman Old Style" w:eastAsia="Bookman Old Style" w:hAnsi="Bookman Old Style" w:cs="Bookman Old Style"/>
          <w:sz w:val="24"/>
          <w:szCs w:val="24"/>
          <w:lang w:val="sv-FI"/>
        </w:rPr>
        <w:t>belanja</w:t>
      </w:r>
      <w:r w:rsidR="00A954D0" w:rsidRPr="008379CA">
        <w:rPr>
          <w:rFonts w:ascii="Bookman Old Style" w:eastAsia="Bookman Old Style" w:hAnsi="Bookman Old Style" w:cs="Bookman Old Style"/>
          <w:sz w:val="24"/>
          <w:szCs w:val="24"/>
          <w:lang w:val="sv-FI"/>
        </w:rPr>
        <w:t xml:space="preserve"> </w:t>
      </w:r>
      <w:r w:rsidR="006C2641" w:rsidRPr="008379CA">
        <w:rPr>
          <w:rFonts w:ascii="Bookman Old Style" w:eastAsia="Bookman Old Style" w:hAnsi="Bookman Old Style" w:cs="Bookman Old Style"/>
          <w:sz w:val="24"/>
          <w:szCs w:val="24"/>
          <w:lang w:val="sv-FI"/>
        </w:rPr>
        <w:t>daerah</w:t>
      </w:r>
      <w:r w:rsidR="00A954D0" w:rsidRPr="008379CA">
        <w:rPr>
          <w:rFonts w:ascii="Bookman Old Style" w:eastAsia="Bookman Old Style" w:hAnsi="Bookman Old Style" w:cs="Bookman Old Style"/>
          <w:sz w:val="24"/>
          <w:szCs w:val="24"/>
          <w:lang w:val="sv-FI"/>
        </w:rPr>
        <w:t xml:space="preserve"> </w:t>
      </w:r>
      <w:r w:rsidR="006C2641" w:rsidRPr="008379CA">
        <w:rPr>
          <w:rFonts w:ascii="Bookman Old Style" w:eastAsia="Bookman Old Style" w:hAnsi="Bookman Old Style" w:cs="Bookman Old Style"/>
          <w:sz w:val="24"/>
          <w:szCs w:val="24"/>
          <w:lang w:val="sv-FI"/>
        </w:rPr>
        <w:t>dalam</w:t>
      </w:r>
      <w:r w:rsidR="00A954D0" w:rsidRPr="008379CA">
        <w:rPr>
          <w:rFonts w:ascii="Bookman Old Style" w:eastAsia="Bookman Old Style" w:hAnsi="Bookman Old Style" w:cs="Bookman Old Style"/>
          <w:sz w:val="24"/>
          <w:szCs w:val="24"/>
          <w:lang w:val="sv-FI"/>
        </w:rPr>
        <w:t xml:space="preserve"> </w:t>
      </w:r>
      <w:r w:rsidR="006C2641" w:rsidRPr="008379CA">
        <w:rPr>
          <w:rFonts w:ascii="Bookman Old Style" w:eastAsia="Bookman Old Style" w:hAnsi="Bookman Old Style" w:cs="Bookman Old Style"/>
          <w:sz w:val="24"/>
          <w:szCs w:val="24"/>
          <w:lang w:val="sv-FI"/>
        </w:rPr>
        <w:t>Rancangan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Peraturan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Daerah</w:t>
      </w:r>
      <w:r w:rsidR="00A954D0" w:rsidRPr="008379CA">
        <w:rPr>
          <w:rFonts w:ascii="Bookman Old Style" w:eastAsia="Bookman Old Style" w:hAnsi="Bookman Old Style" w:cs="Bookman Old Style"/>
          <w:sz w:val="24"/>
          <w:szCs w:val="24"/>
          <w:lang w:val="sv-FI"/>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tentang</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APBD</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Tahun</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Anggaran</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2025</w:t>
      </w:r>
      <w:r w:rsidRPr="008379CA">
        <w:rPr>
          <w:rFonts w:ascii="Bookman Old Style" w:eastAsia="Bookman Old Style" w:hAnsi="Bookman Old Style" w:cs="Bookman Old Style"/>
          <w:sz w:val="24"/>
          <w:szCs w:val="24"/>
          <w:lang w:val="sv-FI"/>
        </w:rPr>
        <w:t>,</w:t>
      </w:r>
      <w:r w:rsidR="00A954D0" w:rsidRPr="008379CA">
        <w:rPr>
          <w:rFonts w:ascii="Bookman Old Style" w:eastAsia="Bookman Old Style" w:hAnsi="Bookman Old Style" w:cs="Bookman Old Style"/>
          <w:sz w:val="24"/>
          <w:szCs w:val="24"/>
          <w:lang w:val="sv-FI"/>
        </w:rPr>
        <w:t xml:space="preserve"> </w:t>
      </w:r>
      <w:r w:rsidRPr="008379CA">
        <w:rPr>
          <w:rFonts w:ascii="Bookman Old Style" w:hAnsi="Bookman Old Style"/>
          <w:bCs/>
          <w:sz w:val="24"/>
          <w:szCs w:val="24"/>
          <w:lang w:val="sv-FI"/>
        </w:rPr>
        <w:t>yang</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diarahkan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antara</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lain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untuk</w:t>
      </w:r>
      <w:r w:rsidR="00A954D0" w:rsidRPr="008379CA">
        <w:rPr>
          <w:rFonts w:ascii="Bookman Old Style" w:hAnsi="Bookman Old Style"/>
        </w:rPr>
        <w:t xml:space="preserve"> </w:t>
      </w:r>
      <w:r w:rsidRPr="008379CA">
        <w:rPr>
          <w:rFonts w:ascii="Bookman Old Style" w:hAnsi="Bookman Old Style"/>
          <w:bCs/>
          <w:sz w:val="24"/>
          <w:szCs w:val="24"/>
          <w:lang w:val="sv-FI"/>
        </w:rPr>
        <w:t>Program</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Pengelolaan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Pengembangan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Sistem</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Drainase,</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dan</w:t>
      </w:r>
      <w:r w:rsidR="00A954D0" w:rsidRPr="008379CA">
        <w:rPr>
          <w:rFonts w:ascii="Bookman Old Style" w:hAnsi="Bookman Old Style"/>
        </w:rPr>
        <w:t xml:space="preserve"> </w:t>
      </w:r>
      <w:r w:rsidRPr="008379CA">
        <w:rPr>
          <w:rFonts w:ascii="Bookman Old Style" w:hAnsi="Bookman Old Style"/>
          <w:bCs/>
          <w:sz w:val="24"/>
          <w:szCs w:val="24"/>
          <w:lang w:val="sv-FI"/>
        </w:rPr>
        <w:t>Program</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Pengelolaan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Sumber</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Daya</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Air</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(SDA)</w:t>
      </w:r>
      <w:r w:rsidRPr="008379CA">
        <w:rPr>
          <w:rFonts w:ascii="Bookman Old Style" w:eastAsia="Bookman Old Style" w:hAnsi="Bookman Old Style" w:cs="Bookman Old Style"/>
          <w:sz w:val="24"/>
          <w:szCs w:val="24"/>
          <w:lang w:val="sv-FI"/>
        </w:rPr>
        <w:t>;</w:t>
      </w:r>
    </w:p>
    <w:p w14:paraId="51684E31" w14:textId="35A18AE4" w:rsidR="000A4C87" w:rsidRPr="008379CA" w:rsidRDefault="000A4C87" w:rsidP="00863747">
      <w:pPr>
        <w:pStyle w:val="ListParagraph"/>
        <w:numPr>
          <w:ilvl w:val="0"/>
          <w:numId w:val="102"/>
        </w:numPr>
        <w:tabs>
          <w:tab w:val="left" w:pos="900"/>
        </w:tabs>
        <w:spacing w:before="60" w:after="0" w:line="276" w:lineRule="auto"/>
        <w:ind w:left="1276" w:right="77" w:hanging="283"/>
        <w:contextualSpacing w:val="0"/>
        <w:jc w:val="both"/>
        <w:rPr>
          <w:rFonts w:ascii="Bookman Old Style" w:eastAsia="Bookman Old Style" w:hAnsi="Bookman Old Style" w:cs="Bookman Old Style"/>
          <w:sz w:val="24"/>
          <w:szCs w:val="24"/>
          <w:lang w:val="sv-FI"/>
        </w:rPr>
      </w:pPr>
      <w:r w:rsidRPr="008379CA">
        <w:rPr>
          <w:rFonts w:ascii="Bookman Old Style" w:eastAsia="Bookman Old Style" w:hAnsi="Bookman Old Style" w:cs="Bookman Old Style"/>
          <w:sz w:val="24"/>
          <w:szCs w:val="24"/>
          <w:lang w:val="sv-FI"/>
        </w:rPr>
        <w:t>Memperkuat</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Pembangunan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Sumber</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Daya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Manusia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(SDM),</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Sains</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Teknologi,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Pendidikan,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Kesehatan,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Prestasi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Olahraga,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Kesetaraan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Gender,</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serta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Penguatan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Peran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Perempuan,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Pemuda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(Generasi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Milenial</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Generasi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Z)</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Penyandang</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Disabilitas</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(PN4),</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dianggarkan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Rp1.198.866.660.634,00</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atau</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21,01%</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dari</w:t>
      </w:r>
      <w:r w:rsidR="00A954D0" w:rsidRPr="008379CA">
        <w:rPr>
          <w:rFonts w:ascii="Bookman Old Style" w:eastAsia="Bookman Old Style" w:hAnsi="Bookman Old Style" w:cs="Bookman Old Style"/>
          <w:sz w:val="24"/>
          <w:szCs w:val="24"/>
          <w:lang w:val="sv-FI"/>
        </w:rPr>
        <w:t xml:space="preserve"> </w:t>
      </w:r>
      <w:r w:rsidR="006C2641" w:rsidRPr="008379CA">
        <w:rPr>
          <w:rFonts w:ascii="Bookman Old Style" w:eastAsia="Bookman Old Style" w:hAnsi="Bookman Old Style" w:cs="Bookman Old Style"/>
          <w:sz w:val="24"/>
          <w:szCs w:val="24"/>
          <w:lang w:val="sv-FI"/>
        </w:rPr>
        <w:t>total</w:t>
      </w:r>
      <w:r w:rsidR="00A954D0" w:rsidRPr="008379CA">
        <w:rPr>
          <w:rFonts w:ascii="Bookman Old Style" w:eastAsia="Bookman Old Style" w:hAnsi="Bookman Old Style" w:cs="Bookman Old Style"/>
          <w:sz w:val="24"/>
          <w:szCs w:val="24"/>
          <w:lang w:val="sv-FI"/>
        </w:rPr>
        <w:t xml:space="preserve"> </w:t>
      </w:r>
      <w:r w:rsidR="006C2641" w:rsidRPr="008379CA">
        <w:rPr>
          <w:rFonts w:ascii="Bookman Old Style" w:eastAsia="Bookman Old Style" w:hAnsi="Bookman Old Style" w:cs="Bookman Old Style"/>
          <w:sz w:val="24"/>
          <w:szCs w:val="24"/>
          <w:lang w:val="sv-FI"/>
        </w:rPr>
        <w:t>belanja</w:t>
      </w:r>
      <w:r w:rsidR="00A954D0" w:rsidRPr="008379CA">
        <w:rPr>
          <w:rFonts w:ascii="Bookman Old Style" w:eastAsia="Bookman Old Style" w:hAnsi="Bookman Old Style" w:cs="Bookman Old Style"/>
          <w:sz w:val="24"/>
          <w:szCs w:val="24"/>
          <w:lang w:val="sv-FI"/>
        </w:rPr>
        <w:t xml:space="preserve"> </w:t>
      </w:r>
      <w:r w:rsidR="006C2641" w:rsidRPr="008379CA">
        <w:rPr>
          <w:rFonts w:ascii="Bookman Old Style" w:eastAsia="Bookman Old Style" w:hAnsi="Bookman Old Style" w:cs="Bookman Old Style"/>
          <w:sz w:val="24"/>
          <w:szCs w:val="24"/>
          <w:lang w:val="sv-FI"/>
        </w:rPr>
        <w:t>daerah</w:t>
      </w:r>
      <w:r w:rsidR="00A954D0" w:rsidRPr="008379CA">
        <w:rPr>
          <w:rFonts w:ascii="Bookman Old Style" w:eastAsia="Bookman Old Style" w:hAnsi="Bookman Old Style" w:cs="Bookman Old Style"/>
          <w:sz w:val="24"/>
          <w:szCs w:val="24"/>
          <w:lang w:val="sv-FI"/>
        </w:rPr>
        <w:t xml:space="preserve"> </w:t>
      </w:r>
      <w:r w:rsidR="006C2641" w:rsidRPr="008379CA">
        <w:rPr>
          <w:rFonts w:ascii="Bookman Old Style" w:eastAsia="Bookman Old Style" w:hAnsi="Bookman Old Style" w:cs="Bookman Old Style"/>
          <w:sz w:val="24"/>
          <w:szCs w:val="24"/>
          <w:lang w:val="sv-FI"/>
        </w:rPr>
        <w:t>dalam</w:t>
      </w:r>
      <w:r w:rsidR="00A954D0" w:rsidRPr="008379CA">
        <w:rPr>
          <w:rFonts w:ascii="Bookman Old Style" w:eastAsia="Bookman Old Style" w:hAnsi="Bookman Old Style" w:cs="Bookman Old Style"/>
          <w:sz w:val="24"/>
          <w:szCs w:val="24"/>
          <w:lang w:val="sv-FI"/>
        </w:rPr>
        <w:t xml:space="preserve"> </w:t>
      </w:r>
      <w:r w:rsidR="006C2641" w:rsidRPr="008379CA">
        <w:rPr>
          <w:rFonts w:ascii="Bookman Old Style" w:eastAsia="Bookman Old Style" w:hAnsi="Bookman Old Style" w:cs="Bookman Old Style"/>
          <w:sz w:val="24"/>
          <w:szCs w:val="24"/>
          <w:lang w:val="sv-FI"/>
        </w:rPr>
        <w:t>Rancangan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Peraturan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Daerah</w:t>
      </w:r>
      <w:r w:rsidR="00A954D0" w:rsidRPr="008379CA">
        <w:rPr>
          <w:rFonts w:ascii="Bookman Old Style" w:eastAsia="Bookman Old Style" w:hAnsi="Bookman Old Style" w:cs="Bookman Old Style"/>
          <w:sz w:val="24"/>
          <w:szCs w:val="24"/>
          <w:lang w:val="sv-FI"/>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tentang</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APBD</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Tahun</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Anggaran</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2025</w:t>
      </w:r>
      <w:r w:rsidRPr="008379CA">
        <w:rPr>
          <w:rFonts w:ascii="Bookman Old Style" w:eastAsia="Bookman Old Style" w:hAnsi="Bookman Old Style" w:cs="Bookman Old Style"/>
          <w:sz w:val="24"/>
          <w:szCs w:val="24"/>
          <w:lang w:val="sv-FI"/>
        </w:rPr>
        <w:t>,</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yang</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diarahkan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antara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lain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untuk</w:t>
      </w:r>
      <w:r w:rsidR="00A954D0" w:rsidRPr="008379CA">
        <w:rPr>
          <w:rFonts w:ascii="Bookman Old Style" w:hAnsi="Bookman Old Style"/>
        </w:rPr>
        <w:t xml:space="preserve"> </w:t>
      </w:r>
      <w:r w:rsidRPr="008379CA">
        <w:rPr>
          <w:rFonts w:ascii="Bookman Old Style" w:eastAsia="Bookman Old Style" w:hAnsi="Bookman Old Style" w:cs="Bookman Old Style"/>
          <w:sz w:val="24"/>
          <w:szCs w:val="24"/>
          <w:lang w:val="sv-FI"/>
        </w:rPr>
        <w:t>Program</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Pengelolaan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Pendidikan,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Program</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Pemenuhan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Upaya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Kesehatan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Perorangan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Upaya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Kesehatan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Masyarakat;</w:t>
      </w:r>
    </w:p>
    <w:p w14:paraId="298C87DE" w14:textId="19F077E3" w:rsidR="000A4C87" w:rsidRPr="008379CA" w:rsidRDefault="000A4C87" w:rsidP="00EE3A90">
      <w:pPr>
        <w:pStyle w:val="ListParagraph"/>
        <w:numPr>
          <w:ilvl w:val="0"/>
          <w:numId w:val="102"/>
        </w:numPr>
        <w:tabs>
          <w:tab w:val="left" w:pos="900"/>
        </w:tabs>
        <w:spacing w:before="60" w:after="0" w:line="276" w:lineRule="auto"/>
        <w:ind w:left="1276" w:right="77" w:hanging="283"/>
        <w:contextualSpacing w:val="0"/>
        <w:jc w:val="both"/>
        <w:rPr>
          <w:rFonts w:ascii="Bookman Old Style" w:eastAsia="Bookman Old Style" w:hAnsi="Bookman Old Style" w:cs="Bookman Old Style"/>
          <w:sz w:val="24"/>
          <w:szCs w:val="24"/>
          <w:lang w:val="sv-FI"/>
        </w:rPr>
      </w:pPr>
      <w:r w:rsidRPr="008379CA">
        <w:rPr>
          <w:rFonts w:ascii="Bookman Old Style" w:eastAsia="Bookman Old Style" w:hAnsi="Bookman Old Style" w:cs="Bookman Old Style"/>
          <w:sz w:val="24"/>
          <w:szCs w:val="24"/>
          <w:lang w:val="sv-FI"/>
        </w:rPr>
        <w:t>Melanjutkan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Hilirisasi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Mengembangkan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Industri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Berbasis</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Sumber</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Daya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Alam</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untuk</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Meningkatkan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Nilai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Tambah</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Dalam</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Negeri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(PN5),</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b/>
          <w:bCs/>
          <w:sz w:val="24"/>
          <w:szCs w:val="24"/>
          <w:lang w:val="sv-FI"/>
        </w:rPr>
        <w:t>tidak</w:t>
      </w:r>
      <w:r w:rsidR="00A954D0" w:rsidRPr="008379CA">
        <w:rPr>
          <w:rFonts w:ascii="Bookman Old Style" w:eastAsia="Bookman Old Style" w:hAnsi="Bookman Old Style" w:cs="Bookman Old Style"/>
          <w:b/>
          <w:bCs/>
          <w:sz w:val="24"/>
          <w:szCs w:val="24"/>
          <w:lang w:val="sv-FI"/>
        </w:rPr>
        <w:t xml:space="preserve"> </w:t>
      </w:r>
      <w:r w:rsidRPr="008379CA">
        <w:rPr>
          <w:rFonts w:ascii="Bookman Old Style" w:eastAsia="Bookman Old Style" w:hAnsi="Bookman Old Style" w:cs="Bookman Old Style"/>
          <w:b/>
          <w:bCs/>
          <w:sz w:val="24"/>
          <w:szCs w:val="24"/>
          <w:lang w:val="sv-FI"/>
        </w:rPr>
        <w:t>dianggarkan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dalam</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Rancangan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Peraturan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Daerah</w:t>
      </w:r>
      <w:r w:rsidR="00A954D0" w:rsidRPr="008379CA">
        <w:rPr>
          <w:rFonts w:ascii="Bookman Old Style" w:eastAsia="Bookman Old Style" w:hAnsi="Bookman Old Style" w:cs="Bookman Old Style"/>
          <w:sz w:val="24"/>
          <w:szCs w:val="24"/>
          <w:lang w:val="sv-FI"/>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tentang</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APBD</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Tahun</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Anggaran</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2025</w:t>
      </w:r>
      <w:r w:rsidRPr="008379CA">
        <w:rPr>
          <w:rFonts w:ascii="Bookman Old Style" w:eastAsia="Bookman Old Style" w:hAnsi="Bookman Old Style" w:cs="Bookman Old Style"/>
          <w:sz w:val="24"/>
          <w:szCs w:val="24"/>
          <w:lang w:val="sv-FI"/>
        </w:rPr>
        <w:t>;</w:t>
      </w:r>
    </w:p>
    <w:p w14:paraId="0F450FDE" w14:textId="649F3305" w:rsidR="000A4C87" w:rsidRPr="008379CA" w:rsidRDefault="000A4C87" w:rsidP="00EE3A90">
      <w:pPr>
        <w:pStyle w:val="ListParagraph"/>
        <w:numPr>
          <w:ilvl w:val="0"/>
          <w:numId w:val="102"/>
        </w:numPr>
        <w:tabs>
          <w:tab w:val="left" w:pos="900"/>
        </w:tabs>
        <w:spacing w:before="60" w:after="0" w:line="276" w:lineRule="auto"/>
        <w:ind w:left="1276" w:right="77" w:hanging="283"/>
        <w:contextualSpacing w:val="0"/>
        <w:jc w:val="both"/>
        <w:rPr>
          <w:rFonts w:ascii="Bookman Old Style" w:eastAsia="Bookman Old Style" w:hAnsi="Bookman Old Style" w:cs="Bookman Old Style"/>
          <w:sz w:val="24"/>
          <w:szCs w:val="24"/>
          <w:lang w:val="sv-FI"/>
        </w:rPr>
      </w:pPr>
      <w:r w:rsidRPr="008379CA">
        <w:rPr>
          <w:rFonts w:ascii="Bookman Old Style" w:eastAsia="Bookman Old Style" w:hAnsi="Bookman Old Style" w:cs="Bookman Old Style"/>
          <w:sz w:val="24"/>
          <w:szCs w:val="24"/>
          <w:lang w:val="sv-FI"/>
        </w:rPr>
        <w:t>Membangun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dari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Desa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dari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bawah</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untuk</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Pertumbuhan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Ekonomi,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Pemerataan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Ekonomi,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Pemberantasan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Kemiskinan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(PN6),</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dianggarkan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Rp61.403.332.531,00</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atau</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1,08%</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dari</w:t>
      </w:r>
      <w:r w:rsidR="00A954D0" w:rsidRPr="008379CA">
        <w:rPr>
          <w:rFonts w:ascii="Bookman Old Style" w:eastAsia="Bookman Old Style" w:hAnsi="Bookman Old Style" w:cs="Bookman Old Style"/>
          <w:sz w:val="24"/>
          <w:szCs w:val="24"/>
          <w:lang w:val="sv-FI"/>
        </w:rPr>
        <w:t xml:space="preserve"> </w:t>
      </w:r>
      <w:r w:rsidR="006C2641" w:rsidRPr="008379CA">
        <w:rPr>
          <w:rFonts w:ascii="Bookman Old Style" w:eastAsia="Bookman Old Style" w:hAnsi="Bookman Old Style" w:cs="Bookman Old Style"/>
          <w:sz w:val="24"/>
          <w:szCs w:val="24"/>
          <w:lang w:val="sv-FI"/>
        </w:rPr>
        <w:t>total</w:t>
      </w:r>
      <w:r w:rsidR="00A954D0" w:rsidRPr="008379CA">
        <w:rPr>
          <w:rFonts w:ascii="Bookman Old Style" w:eastAsia="Bookman Old Style" w:hAnsi="Bookman Old Style" w:cs="Bookman Old Style"/>
          <w:sz w:val="24"/>
          <w:szCs w:val="24"/>
          <w:lang w:val="sv-FI"/>
        </w:rPr>
        <w:t xml:space="preserve"> </w:t>
      </w:r>
      <w:r w:rsidR="006C2641" w:rsidRPr="008379CA">
        <w:rPr>
          <w:rFonts w:ascii="Bookman Old Style" w:eastAsia="Bookman Old Style" w:hAnsi="Bookman Old Style" w:cs="Bookman Old Style"/>
          <w:sz w:val="24"/>
          <w:szCs w:val="24"/>
          <w:lang w:val="sv-FI"/>
        </w:rPr>
        <w:t>belanja</w:t>
      </w:r>
      <w:r w:rsidR="00A954D0" w:rsidRPr="008379CA">
        <w:rPr>
          <w:rFonts w:ascii="Bookman Old Style" w:eastAsia="Bookman Old Style" w:hAnsi="Bookman Old Style" w:cs="Bookman Old Style"/>
          <w:sz w:val="24"/>
          <w:szCs w:val="24"/>
          <w:lang w:val="sv-FI"/>
        </w:rPr>
        <w:t xml:space="preserve"> </w:t>
      </w:r>
      <w:r w:rsidR="006C2641" w:rsidRPr="008379CA">
        <w:rPr>
          <w:rFonts w:ascii="Bookman Old Style" w:eastAsia="Bookman Old Style" w:hAnsi="Bookman Old Style" w:cs="Bookman Old Style"/>
          <w:sz w:val="24"/>
          <w:szCs w:val="24"/>
          <w:lang w:val="sv-FI"/>
        </w:rPr>
        <w:t>daerah</w:t>
      </w:r>
      <w:r w:rsidR="00A954D0" w:rsidRPr="008379CA">
        <w:rPr>
          <w:rFonts w:ascii="Bookman Old Style" w:eastAsia="Bookman Old Style" w:hAnsi="Bookman Old Style" w:cs="Bookman Old Style"/>
          <w:sz w:val="24"/>
          <w:szCs w:val="24"/>
          <w:lang w:val="sv-FI"/>
        </w:rPr>
        <w:t xml:space="preserve"> </w:t>
      </w:r>
      <w:r w:rsidR="006C2641" w:rsidRPr="008379CA">
        <w:rPr>
          <w:rFonts w:ascii="Bookman Old Style" w:eastAsia="Bookman Old Style" w:hAnsi="Bookman Old Style" w:cs="Bookman Old Style"/>
          <w:sz w:val="24"/>
          <w:szCs w:val="24"/>
          <w:lang w:val="sv-FI"/>
        </w:rPr>
        <w:t>dalam</w:t>
      </w:r>
      <w:r w:rsidR="00A954D0" w:rsidRPr="008379CA">
        <w:rPr>
          <w:rFonts w:ascii="Bookman Old Style" w:eastAsia="Bookman Old Style" w:hAnsi="Bookman Old Style" w:cs="Bookman Old Style"/>
          <w:sz w:val="24"/>
          <w:szCs w:val="24"/>
          <w:lang w:val="sv-FI"/>
        </w:rPr>
        <w:t xml:space="preserve"> </w:t>
      </w:r>
      <w:r w:rsidR="006C2641" w:rsidRPr="008379CA">
        <w:rPr>
          <w:rFonts w:ascii="Bookman Old Style" w:eastAsia="Bookman Old Style" w:hAnsi="Bookman Old Style" w:cs="Bookman Old Style"/>
          <w:sz w:val="24"/>
          <w:szCs w:val="24"/>
          <w:lang w:val="sv-FI"/>
        </w:rPr>
        <w:t>Rancangan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Peraturan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Daerah</w:t>
      </w:r>
      <w:r w:rsidR="00A954D0" w:rsidRPr="008379CA">
        <w:rPr>
          <w:rFonts w:ascii="Bookman Old Style" w:eastAsia="Bookman Old Style" w:hAnsi="Bookman Old Style" w:cs="Bookman Old Style"/>
          <w:sz w:val="24"/>
          <w:szCs w:val="24"/>
          <w:lang w:val="sv-FI"/>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tentang</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APBD</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Tahun</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Anggaran</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2025</w:t>
      </w:r>
      <w:r w:rsidRPr="008379CA">
        <w:rPr>
          <w:rFonts w:ascii="Bookman Old Style" w:eastAsia="Bookman Old Style" w:hAnsi="Bookman Old Style" w:cs="Bookman Old Style"/>
          <w:sz w:val="24"/>
          <w:szCs w:val="24"/>
          <w:lang w:val="sv-FI"/>
        </w:rPr>
        <w:t>,</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yang</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diarahkan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hAnsi="Bookman Old Style"/>
          <w:bCs/>
          <w:sz w:val="24"/>
          <w:szCs w:val="24"/>
          <w:lang w:val="sv-FI"/>
        </w:rPr>
        <w:t>antara</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lain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untuk</w:t>
      </w:r>
      <w:r w:rsidR="00A954D0" w:rsidRPr="008379CA">
        <w:rPr>
          <w:rFonts w:ascii="Bookman Old Style" w:hAnsi="Bookman Old Style"/>
        </w:rPr>
        <w:t xml:space="preserve"> </w:t>
      </w:r>
      <w:r w:rsidRPr="008379CA">
        <w:rPr>
          <w:rFonts w:ascii="Bookman Old Style" w:eastAsia="Bookman Old Style" w:hAnsi="Bookman Old Style" w:cs="Bookman Old Style"/>
          <w:sz w:val="24"/>
          <w:szCs w:val="24"/>
          <w:lang w:val="sv-FI"/>
        </w:rPr>
        <w:t>Program</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Pengawasan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Pemeriksaan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Koperasi,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Program</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Pengembangan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U</w:t>
      </w:r>
      <w:r w:rsidR="003C448D" w:rsidRPr="008379CA">
        <w:rPr>
          <w:rFonts w:ascii="Bookman Old Style" w:eastAsia="Bookman Old Style" w:hAnsi="Bookman Old Style" w:cs="Bookman Old Style"/>
          <w:sz w:val="24"/>
          <w:szCs w:val="24"/>
          <w:lang w:val="sv-FI"/>
        </w:rPr>
        <w:t>MKM</w:t>
      </w:r>
      <w:r w:rsidRPr="008379CA">
        <w:rPr>
          <w:rFonts w:ascii="Bookman Old Style" w:eastAsia="Bookman Old Style" w:hAnsi="Bookman Old Style" w:cs="Bookman Old Style"/>
          <w:sz w:val="24"/>
          <w:szCs w:val="24"/>
          <w:lang w:val="sv-FI"/>
        </w:rPr>
        <w:t>;</w:t>
      </w:r>
    </w:p>
    <w:p w14:paraId="677E5E4F" w14:textId="26801088" w:rsidR="000A4C87" w:rsidRDefault="000A4C87" w:rsidP="00EE3A90">
      <w:pPr>
        <w:pStyle w:val="ListParagraph"/>
        <w:numPr>
          <w:ilvl w:val="0"/>
          <w:numId w:val="102"/>
        </w:numPr>
        <w:tabs>
          <w:tab w:val="left" w:pos="900"/>
        </w:tabs>
        <w:spacing w:before="60" w:after="0" w:line="276" w:lineRule="auto"/>
        <w:ind w:left="1276" w:right="77" w:hanging="283"/>
        <w:contextualSpacing w:val="0"/>
        <w:jc w:val="both"/>
        <w:rPr>
          <w:rFonts w:ascii="Bookman Old Style" w:eastAsia="Bookman Old Style" w:hAnsi="Bookman Old Style" w:cs="Bookman Old Style"/>
          <w:sz w:val="24"/>
          <w:szCs w:val="24"/>
          <w:lang w:val="sv-FI"/>
        </w:rPr>
      </w:pPr>
      <w:r w:rsidRPr="008379CA">
        <w:rPr>
          <w:rFonts w:ascii="Bookman Old Style" w:eastAsia="Bookman Old Style" w:hAnsi="Bookman Old Style" w:cs="Bookman Old Style"/>
          <w:sz w:val="24"/>
          <w:szCs w:val="24"/>
          <w:lang w:val="sv-FI"/>
        </w:rPr>
        <w:t>Memperkuat</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Reformasi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Politik,</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Hukum,</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Birokrasi,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serta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Memperkuat</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Pencegahan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Pemberantasan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Korupsi,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Narkoba,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Judi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Penyeludupan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(PN7),</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dianggarkan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Rp337.854.084.064,00</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atau</w:t>
      </w:r>
      <w:r w:rsidR="00A954D0" w:rsidRPr="008379CA">
        <w:rPr>
          <w:rFonts w:ascii="Bookman Old Style" w:eastAsia="Bookman Old Style" w:hAnsi="Bookman Old Style" w:cs="Bookman Old Style"/>
          <w:sz w:val="24"/>
          <w:szCs w:val="24"/>
          <w:lang w:val="sv-FI"/>
        </w:rPr>
        <w:t xml:space="preserve"> </w:t>
      </w:r>
      <w:bookmarkStart w:id="0" w:name="_Hlk183632545"/>
      <w:r w:rsidRPr="008379CA">
        <w:rPr>
          <w:rFonts w:ascii="Bookman Old Style" w:eastAsia="Bookman Old Style" w:hAnsi="Bookman Old Style" w:cs="Bookman Old Style"/>
          <w:sz w:val="24"/>
          <w:szCs w:val="24"/>
          <w:lang w:val="sv-FI"/>
        </w:rPr>
        <w:t>5,</w:t>
      </w:r>
      <w:bookmarkEnd w:id="0"/>
      <w:r w:rsidRPr="008379CA">
        <w:rPr>
          <w:rFonts w:ascii="Bookman Old Style" w:eastAsia="Bookman Old Style" w:hAnsi="Bookman Old Style" w:cs="Bookman Old Style"/>
          <w:sz w:val="24"/>
          <w:szCs w:val="24"/>
          <w:lang w:val="sv-FI"/>
        </w:rPr>
        <w:t>92%</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dari</w:t>
      </w:r>
      <w:r w:rsidR="00A954D0" w:rsidRPr="008379CA">
        <w:rPr>
          <w:rFonts w:ascii="Bookman Old Style" w:eastAsia="Bookman Old Style" w:hAnsi="Bookman Old Style" w:cs="Bookman Old Style"/>
          <w:sz w:val="24"/>
          <w:szCs w:val="24"/>
          <w:lang w:val="sv-FI"/>
        </w:rPr>
        <w:t xml:space="preserve"> </w:t>
      </w:r>
      <w:r w:rsidR="006C2641" w:rsidRPr="008379CA">
        <w:rPr>
          <w:rFonts w:ascii="Bookman Old Style" w:eastAsia="Bookman Old Style" w:hAnsi="Bookman Old Style" w:cs="Bookman Old Style"/>
          <w:sz w:val="24"/>
          <w:szCs w:val="24"/>
          <w:lang w:val="sv-FI"/>
        </w:rPr>
        <w:t>total</w:t>
      </w:r>
      <w:r w:rsidR="00A954D0" w:rsidRPr="008379CA">
        <w:rPr>
          <w:rFonts w:ascii="Bookman Old Style" w:eastAsia="Bookman Old Style" w:hAnsi="Bookman Old Style" w:cs="Bookman Old Style"/>
          <w:sz w:val="24"/>
          <w:szCs w:val="24"/>
          <w:lang w:val="sv-FI"/>
        </w:rPr>
        <w:t xml:space="preserve"> </w:t>
      </w:r>
      <w:r w:rsidR="006C2641" w:rsidRPr="008379CA">
        <w:rPr>
          <w:rFonts w:ascii="Bookman Old Style" w:eastAsia="Bookman Old Style" w:hAnsi="Bookman Old Style" w:cs="Bookman Old Style"/>
          <w:sz w:val="24"/>
          <w:szCs w:val="24"/>
          <w:lang w:val="sv-FI"/>
        </w:rPr>
        <w:t>belanja</w:t>
      </w:r>
      <w:r w:rsidR="00A954D0" w:rsidRPr="008379CA">
        <w:rPr>
          <w:rFonts w:ascii="Bookman Old Style" w:eastAsia="Bookman Old Style" w:hAnsi="Bookman Old Style" w:cs="Bookman Old Style"/>
          <w:sz w:val="24"/>
          <w:szCs w:val="24"/>
          <w:lang w:val="sv-FI"/>
        </w:rPr>
        <w:t xml:space="preserve"> </w:t>
      </w:r>
      <w:r w:rsidR="006C2641" w:rsidRPr="008379CA">
        <w:rPr>
          <w:rFonts w:ascii="Bookman Old Style" w:eastAsia="Bookman Old Style" w:hAnsi="Bookman Old Style" w:cs="Bookman Old Style"/>
          <w:sz w:val="24"/>
          <w:szCs w:val="24"/>
          <w:lang w:val="sv-FI"/>
        </w:rPr>
        <w:t>daerah</w:t>
      </w:r>
      <w:r w:rsidR="00A954D0" w:rsidRPr="008379CA">
        <w:rPr>
          <w:rFonts w:ascii="Bookman Old Style" w:eastAsia="Bookman Old Style" w:hAnsi="Bookman Old Style" w:cs="Bookman Old Style"/>
          <w:sz w:val="24"/>
          <w:szCs w:val="24"/>
          <w:lang w:val="sv-FI"/>
        </w:rPr>
        <w:t xml:space="preserve"> </w:t>
      </w:r>
      <w:r w:rsidR="006C2641" w:rsidRPr="008379CA">
        <w:rPr>
          <w:rFonts w:ascii="Bookman Old Style" w:eastAsia="Bookman Old Style" w:hAnsi="Bookman Old Style" w:cs="Bookman Old Style"/>
          <w:sz w:val="24"/>
          <w:szCs w:val="24"/>
          <w:lang w:val="sv-FI"/>
        </w:rPr>
        <w:t>dalam</w:t>
      </w:r>
      <w:r w:rsidR="00A954D0" w:rsidRPr="008379CA">
        <w:rPr>
          <w:rFonts w:ascii="Bookman Old Style" w:eastAsia="Bookman Old Style" w:hAnsi="Bookman Old Style" w:cs="Bookman Old Style"/>
          <w:sz w:val="24"/>
          <w:szCs w:val="24"/>
          <w:lang w:val="sv-FI"/>
        </w:rPr>
        <w:t xml:space="preserve"> </w:t>
      </w:r>
      <w:r w:rsidR="006C2641" w:rsidRPr="008379CA">
        <w:rPr>
          <w:rFonts w:ascii="Bookman Old Style" w:eastAsia="Bookman Old Style" w:hAnsi="Bookman Old Style" w:cs="Bookman Old Style"/>
          <w:sz w:val="24"/>
          <w:szCs w:val="24"/>
          <w:lang w:val="sv-FI"/>
        </w:rPr>
        <w:t>Rancangan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Peraturan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Daerah</w:t>
      </w:r>
      <w:r w:rsidR="00A954D0" w:rsidRPr="008379CA">
        <w:rPr>
          <w:rFonts w:ascii="Bookman Old Style" w:eastAsia="Bookman Old Style" w:hAnsi="Bookman Old Style" w:cs="Bookman Old Style"/>
          <w:sz w:val="24"/>
          <w:szCs w:val="24"/>
          <w:lang w:val="sv-FI"/>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tentang</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APBD</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Tahun</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Anggaran</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2025</w:t>
      </w:r>
      <w:r w:rsidRPr="008379CA">
        <w:rPr>
          <w:rFonts w:ascii="Bookman Old Style" w:eastAsia="Bookman Old Style" w:hAnsi="Bookman Old Style" w:cs="Bookman Old Style"/>
          <w:sz w:val="24"/>
          <w:szCs w:val="24"/>
          <w:lang w:val="sv-FI"/>
        </w:rPr>
        <w:t>,</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yang</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diarahkan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hAnsi="Bookman Old Style"/>
          <w:bCs/>
          <w:sz w:val="24"/>
          <w:szCs w:val="24"/>
          <w:lang w:val="sv-FI"/>
        </w:rPr>
        <w:t>antara</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lain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untuk</w:t>
      </w:r>
      <w:r w:rsidR="00A954D0" w:rsidRPr="008379CA">
        <w:rPr>
          <w:rFonts w:ascii="Bookman Old Style" w:hAnsi="Bookman Old Style"/>
        </w:rPr>
        <w:t xml:space="preserve"> </w:t>
      </w:r>
      <w:r w:rsidRPr="008379CA">
        <w:rPr>
          <w:rFonts w:ascii="Bookman Old Style" w:eastAsia="Bookman Old Style" w:hAnsi="Bookman Old Style" w:cs="Bookman Old Style"/>
          <w:sz w:val="24"/>
          <w:szCs w:val="24"/>
          <w:lang w:val="sv-FI"/>
        </w:rPr>
        <w:t>Program</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Penyelenggaraan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Statistik</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Sektoral,</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Program</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Pengelolaan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Arsip;</w:t>
      </w:r>
    </w:p>
    <w:p w14:paraId="31B5DAC1" w14:textId="77777777" w:rsidR="00A6796D" w:rsidRPr="008379CA" w:rsidRDefault="00A6796D" w:rsidP="00A6796D">
      <w:pPr>
        <w:pStyle w:val="ListParagraph"/>
        <w:tabs>
          <w:tab w:val="left" w:pos="900"/>
        </w:tabs>
        <w:spacing w:before="60" w:after="0" w:line="276" w:lineRule="auto"/>
        <w:ind w:left="1276" w:right="77"/>
        <w:contextualSpacing w:val="0"/>
        <w:jc w:val="both"/>
        <w:rPr>
          <w:rFonts w:ascii="Bookman Old Style" w:eastAsia="Bookman Old Style" w:hAnsi="Bookman Old Style" w:cs="Bookman Old Style"/>
          <w:sz w:val="24"/>
          <w:szCs w:val="24"/>
          <w:lang w:val="sv-FI"/>
        </w:rPr>
      </w:pPr>
    </w:p>
    <w:p w14:paraId="75F4F269" w14:textId="777746FE" w:rsidR="000A4C87" w:rsidRPr="008379CA" w:rsidRDefault="000A4C87" w:rsidP="00EE3A90">
      <w:pPr>
        <w:pStyle w:val="ListParagraph"/>
        <w:numPr>
          <w:ilvl w:val="0"/>
          <w:numId w:val="102"/>
        </w:numPr>
        <w:tabs>
          <w:tab w:val="left" w:pos="900"/>
        </w:tabs>
        <w:spacing w:before="60" w:after="0" w:line="276" w:lineRule="auto"/>
        <w:ind w:left="1276" w:right="77" w:hanging="283"/>
        <w:contextualSpacing w:val="0"/>
        <w:jc w:val="both"/>
        <w:rPr>
          <w:rFonts w:ascii="Bookman Old Style" w:eastAsia="Bookman Old Style" w:hAnsi="Bookman Old Style" w:cs="Bookman Old Style"/>
          <w:sz w:val="24"/>
          <w:szCs w:val="24"/>
          <w:lang w:val="sv-FI"/>
        </w:rPr>
      </w:pPr>
      <w:r w:rsidRPr="008379CA">
        <w:rPr>
          <w:rFonts w:ascii="Bookman Old Style" w:eastAsia="Bookman Old Style" w:hAnsi="Bookman Old Style" w:cs="Bookman Old Style"/>
          <w:sz w:val="24"/>
          <w:szCs w:val="24"/>
          <w:lang w:val="sv-FI"/>
        </w:rPr>
        <w:lastRenderedPageBreak/>
        <w:t>Memperkuat</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Penyelarasan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Kehidupan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yang</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Harmonis</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dengan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Lingkungan,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Alam</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Budaya,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serta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Peningkatan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Toleransi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Antarumat</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Beragama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untuk</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Mencapai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Masyarakat</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yang</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Adil</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Makmur</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(PN8),</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dianggarkan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Rp319.302.046.400,00</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atau</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5,60%</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dari</w:t>
      </w:r>
      <w:r w:rsidR="00A954D0" w:rsidRPr="008379CA">
        <w:rPr>
          <w:rFonts w:ascii="Bookman Old Style" w:eastAsia="Bookman Old Style" w:hAnsi="Bookman Old Style" w:cs="Bookman Old Style"/>
          <w:sz w:val="24"/>
          <w:szCs w:val="24"/>
          <w:lang w:val="sv-FI"/>
        </w:rPr>
        <w:t xml:space="preserve"> </w:t>
      </w:r>
      <w:r w:rsidR="006C2641" w:rsidRPr="008379CA">
        <w:rPr>
          <w:rFonts w:ascii="Bookman Old Style" w:eastAsia="Bookman Old Style" w:hAnsi="Bookman Old Style" w:cs="Bookman Old Style"/>
          <w:sz w:val="24"/>
          <w:szCs w:val="24"/>
          <w:lang w:val="sv-FI"/>
        </w:rPr>
        <w:t>total</w:t>
      </w:r>
      <w:r w:rsidR="00A954D0" w:rsidRPr="008379CA">
        <w:rPr>
          <w:rFonts w:ascii="Bookman Old Style" w:eastAsia="Bookman Old Style" w:hAnsi="Bookman Old Style" w:cs="Bookman Old Style"/>
          <w:sz w:val="24"/>
          <w:szCs w:val="24"/>
          <w:lang w:val="sv-FI"/>
        </w:rPr>
        <w:t xml:space="preserve"> </w:t>
      </w:r>
      <w:r w:rsidR="006C2641" w:rsidRPr="008379CA">
        <w:rPr>
          <w:rFonts w:ascii="Bookman Old Style" w:eastAsia="Bookman Old Style" w:hAnsi="Bookman Old Style" w:cs="Bookman Old Style"/>
          <w:sz w:val="24"/>
          <w:szCs w:val="24"/>
          <w:lang w:val="sv-FI"/>
        </w:rPr>
        <w:t>belanja</w:t>
      </w:r>
      <w:r w:rsidR="00A954D0" w:rsidRPr="008379CA">
        <w:rPr>
          <w:rFonts w:ascii="Bookman Old Style" w:eastAsia="Bookman Old Style" w:hAnsi="Bookman Old Style" w:cs="Bookman Old Style"/>
          <w:sz w:val="24"/>
          <w:szCs w:val="24"/>
          <w:lang w:val="sv-FI"/>
        </w:rPr>
        <w:t xml:space="preserve"> </w:t>
      </w:r>
      <w:r w:rsidR="006C2641" w:rsidRPr="008379CA">
        <w:rPr>
          <w:rFonts w:ascii="Bookman Old Style" w:eastAsia="Bookman Old Style" w:hAnsi="Bookman Old Style" w:cs="Bookman Old Style"/>
          <w:sz w:val="24"/>
          <w:szCs w:val="24"/>
          <w:lang w:val="sv-FI"/>
        </w:rPr>
        <w:t>daerah</w:t>
      </w:r>
      <w:r w:rsidR="00A954D0" w:rsidRPr="008379CA">
        <w:rPr>
          <w:rFonts w:ascii="Bookman Old Style" w:eastAsia="Bookman Old Style" w:hAnsi="Bookman Old Style" w:cs="Bookman Old Style"/>
          <w:sz w:val="24"/>
          <w:szCs w:val="24"/>
          <w:lang w:val="sv-FI"/>
        </w:rPr>
        <w:t xml:space="preserve"> </w:t>
      </w:r>
      <w:r w:rsidR="006C2641" w:rsidRPr="008379CA">
        <w:rPr>
          <w:rFonts w:ascii="Bookman Old Style" w:eastAsia="Bookman Old Style" w:hAnsi="Bookman Old Style" w:cs="Bookman Old Style"/>
          <w:sz w:val="24"/>
          <w:szCs w:val="24"/>
          <w:lang w:val="sv-FI"/>
        </w:rPr>
        <w:t>dalam</w:t>
      </w:r>
      <w:r w:rsidR="00A954D0" w:rsidRPr="008379CA">
        <w:rPr>
          <w:rFonts w:ascii="Bookman Old Style" w:eastAsia="Bookman Old Style" w:hAnsi="Bookman Old Style" w:cs="Bookman Old Style"/>
          <w:sz w:val="24"/>
          <w:szCs w:val="24"/>
          <w:lang w:val="sv-FI"/>
        </w:rPr>
        <w:t xml:space="preserve"> </w:t>
      </w:r>
      <w:r w:rsidR="006C2641" w:rsidRPr="008379CA">
        <w:rPr>
          <w:rFonts w:ascii="Bookman Old Style" w:eastAsia="Bookman Old Style" w:hAnsi="Bookman Old Style" w:cs="Bookman Old Style"/>
          <w:sz w:val="24"/>
          <w:szCs w:val="24"/>
          <w:lang w:val="sv-FI"/>
        </w:rPr>
        <w:t>Rancangan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Peraturan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Daerah</w:t>
      </w:r>
      <w:r w:rsidR="00A954D0" w:rsidRPr="008379CA">
        <w:rPr>
          <w:rFonts w:ascii="Bookman Old Style" w:eastAsia="Bookman Old Style" w:hAnsi="Bookman Old Style" w:cs="Bookman Old Style"/>
          <w:sz w:val="24"/>
          <w:szCs w:val="24"/>
          <w:lang w:val="sv-FI"/>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tentang</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APBD</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Tahun</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Anggaran</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2025</w:t>
      </w:r>
      <w:r w:rsidRPr="008379CA">
        <w:rPr>
          <w:rFonts w:ascii="Bookman Old Style" w:eastAsia="Bookman Old Style" w:hAnsi="Bookman Old Style" w:cs="Bookman Old Style"/>
          <w:sz w:val="24"/>
          <w:szCs w:val="24"/>
          <w:lang w:val="sv-FI"/>
        </w:rPr>
        <w:t>,</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yang</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diarahkan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untuk</w:t>
      </w:r>
      <w:r w:rsidR="00A954D0" w:rsidRPr="008379CA">
        <w:rPr>
          <w:rFonts w:ascii="Bookman Old Style" w:hAnsi="Bookman Old Style"/>
        </w:rPr>
        <w:t xml:space="preserve"> </w:t>
      </w:r>
      <w:r w:rsidRPr="008379CA">
        <w:rPr>
          <w:rFonts w:ascii="Bookman Old Style" w:eastAsia="Bookman Old Style" w:hAnsi="Bookman Old Style" w:cs="Bookman Old Style"/>
          <w:sz w:val="24"/>
          <w:szCs w:val="24"/>
          <w:lang w:val="sv-FI"/>
        </w:rPr>
        <w:t>Program</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Perencanaan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Lingkungan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Hidup,</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dan</w:t>
      </w:r>
      <w:r w:rsidR="00A954D0" w:rsidRPr="008379CA">
        <w:rPr>
          <w:rFonts w:ascii="Bookman Old Style" w:hAnsi="Bookman Old Style"/>
          <w:lang w:val="sv-FI"/>
        </w:rPr>
        <w:t xml:space="preserve"> </w:t>
      </w:r>
      <w:r w:rsidRPr="008379CA">
        <w:rPr>
          <w:rFonts w:ascii="Bookman Old Style" w:eastAsia="Bookman Old Style" w:hAnsi="Bookman Old Style" w:cs="Bookman Old Style"/>
          <w:sz w:val="24"/>
          <w:szCs w:val="24"/>
          <w:lang w:val="sv-FI"/>
        </w:rPr>
        <w:t>Program</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Pengelolaan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Persampahan</w:t>
      </w:r>
      <w:r w:rsidR="00E43C23" w:rsidRPr="008379CA">
        <w:rPr>
          <w:rFonts w:ascii="Bookman Old Style" w:eastAsia="Bookman Old Style" w:hAnsi="Bookman Old Style" w:cs="Bookman Old Style"/>
          <w:sz w:val="24"/>
          <w:szCs w:val="24"/>
          <w:lang w:val="sv-FI"/>
        </w:rPr>
        <w:t>.</w:t>
      </w:r>
    </w:p>
    <w:p w14:paraId="36BCC0B4" w14:textId="1DD8F5C5" w:rsidR="000A4C87" w:rsidRPr="008379CA" w:rsidRDefault="000A4C87" w:rsidP="00EE5FA9">
      <w:pPr>
        <w:pStyle w:val="ListParagraph"/>
        <w:spacing w:before="60" w:after="120" w:line="276" w:lineRule="auto"/>
        <w:ind w:left="992"/>
        <w:contextualSpacing w:val="0"/>
        <w:jc w:val="both"/>
        <w:rPr>
          <w:rFonts w:ascii="Bookman Old Style" w:eastAsia="Bookman Old Style" w:hAnsi="Bookman Old Style" w:cs="Bookman Old Style"/>
          <w:sz w:val="24"/>
          <w:szCs w:val="24"/>
          <w:lang w:val="sv-FI"/>
        </w:rPr>
      </w:pPr>
      <w:r w:rsidRPr="008379CA">
        <w:rPr>
          <w:rFonts w:ascii="Bookman Old Style" w:eastAsia="Bookman Old Style" w:hAnsi="Bookman Old Style" w:cs="Bookman Old Style"/>
          <w:sz w:val="24"/>
          <w:szCs w:val="24"/>
          <w:lang w:val="sv-FI"/>
        </w:rPr>
        <w:t>Alokasi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Belanja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Daerah</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Pemerintah</w:t>
      </w:r>
      <w:r w:rsidR="00A954D0" w:rsidRPr="008379CA">
        <w:rPr>
          <w:rFonts w:ascii="Bookman Old Style" w:eastAsia="Bookman Old Style" w:hAnsi="Bookman Old Style" w:cs="Bookman Old Style"/>
          <w:sz w:val="24"/>
          <w:szCs w:val="24"/>
          <w:lang w:val="sv-FI"/>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eastAsia="Bookman Old Style" w:hAnsi="Bookman Old Style" w:cs="Bookman Old Style"/>
          <w:bCs/>
          <w:sz w:val="24"/>
          <w:szCs w:val="24"/>
          <w:lang w:val="sv-FI"/>
        </w:rPr>
        <w:t>Tahun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Anggaran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2025</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berdasarkan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Prioritas</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Pembangunan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Nasional,</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sebagaimana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tercantum</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pada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Tabel</w:t>
      </w:r>
      <w:r w:rsidR="00A954D0" w:rsidRPr="008379CA">
        <w:rPr>
          <w:rFonts w:ascii="Bookman Old Style" w:eastAsia="Bookman Old Style" w:hAnsi="Bookman Old Style" w:cs="Bookman Old Style"/>
          <w:sz w:val="24"/>
          <w:szCs w:val="24"/>
          <w:lang w:val="sv-FI"/>
        </w:rPr>
        <w:t xml:space="preserve"> </w:t>
      </w:r>
      <w:r w:rsidR="008E7E3B" w:rsidRPr="008379CA">
        <w:rPr>
          <w:rFonts w:ascii="Bookman Old Style" w:eastAsia="Bookman Old Style" w:hAnsi="Bookman Old Style" w:cs="Bookman Old Style"/>
          <w:sz w:val="24"/>
          <w:szCs w:val="24"/>
          <w:lang w:val="sv-FI"/>
        </w:rPr>
        <w:t>5</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berikut:</w:t>
      </w:r>
    </w:p>
    <w:p w14:paraId="740EC468" w14:textId="2825465D" w:rsidR="000A4C87" w:rsidRPr="008379CA" w:rsidRDefault="000A4C87" w:rsidP="000A4C87">
      <w:pPr>
        <w:spacing w:line="276" w:lineRule="auto"/>
        <w:ind w:left="1276"/>
        <w:jc w:val="center"/>
        <w:rPr>
          <w:rFonts w:ascii="Bookman Old Style" w:hAnsi="Bookman Old Style"/>
          <w:lang w:val="sv-FI"/>
        </w:rPr>
      </w:pPr>
      <w:r w:rsidRPr="008379CA">
        <w:rPr>
          <w:rFonts w:ascii="Bookman Old Style" w:hAnsi="Bookman Old Style"/>
          <w:lang w:val="sv-FI"/>
        </w:rPr>
        <w:t>Tabel</w:t>
      </w:r>
      <w:r w:rsidR="00A954D0" w:rsidRPr="008379CA">
        <w:rPr>
          <w:rFonts w:ascii="Bookman Old Style" w:hAnsi="Bookman Old Style"/>
          <w:lang w:val="sv-FI"/>
        </w:rPr>
        <w:t xml:space="preserve"> </w:t>
      </w:r>
      <w:r w:rsidR="00F971F8" w:rsidRPr="008379CA">
        <w:rPr>
          <w:rFonts w:ascii="Bookman Old Style" w:hAnsi="Bookman Old Style"/>
          <w:lang w:val="sv-FI"/>
        </w:rPr>
        <w:t>5</w:t>
      </w:r>
    </w:p>
    <w:p w14:paraId="7591C45D" w14:textId="78A8CE81" w:rsidR="000A4C87" w:rsidRPr="008379CA" w:rsidRDefault="000A4C87" w:rsidP="000A4C87">
      <w:pPr>
        <w:spacing w:line="276" w:lineRule="auto"/>
        <w:ind w:left="1276" w:right="77"/>
        <w:jc w:val="center"/>
        <w:rPr>
          <w:rFonts w:ascii="Bookman Old Style" w:eastAsia="Bookman Old Style" w:hAnsi="Bookman Old Style" w:cs="Bookman Old Style"/>
          <w:lang w:val="sv-FI"/>
        </w:rPr>
      </w:pPr>
      <w:r w:rsidRPr="008379CA">
        <w:rPr>
          <w:rFonts w:ascii="Bookman Old Style" w:eastAsia="Bookman Old Style" w:hAnsi="Bookman Old Style" w:cs="Bookman Old Style"/>
          <w:lang w:val="sv-FI"/>
        </w:rPr>
        <w:t>Alokasi</w:t>
      </w:r>
      <w:r w:rsidR="00A954D0" w:rsidRPr="008379CA">
        <w:rPr>
          <w:rFonts w:ascii="Bookman Old Style" w:eastAsia="Bookman Old Style" w:hAnsi="Bookman Old Style" w:cs="Bookman Old Style"/>
          <w:lang w:val="sv-FI"/>
        </w:rPr>
        <w:t xml:space="preserve"> </w:t>
      </w:r>
      <w:r w:rsidRPr="008379CA">
        <w:rPr>
          <w:rFonts w:ascii="Bookman Old Style" w:eastAsia="Bookman Old Style" w:hAnsi="Bookman Old Style" w:cs="Bookman Old Style"/>
          <w:lang w:val="sv-FI"/>
        </w:rPr>
        <w:t>Anggaran</w:t>
      </w:r>
      <w:r w:rsidR="00A954D0" w:rsidRPr="008379CA">
        <w:rPr>
          <w:rFonts w:ascii="Bookman Old Style" w:eastAsia="Bookman Old Style" w:hAnsi="Bookman Old Style" w:cs="Bookman Old Style"/>
          <w:lang w:val="sv-FI"/>
        </w:rPr>
        <w:t xml:space="preserve"> </w:t>
      </w:r>
      <w:r w:rsidRPr="008379CA">
        <w:rPr>
          <w:rFonts w:ascii="Bookman Old Style" w:eastAsia="Bookman Old Style" w:hAnsi="Bookman Old Style" w:cs="Bookman Old Style"/>
          <w:lang w:val="sv-FI"/>
        </w:rPr>
        <w:t>Pemerintah</w:t>
      </w:r>
      <w:r w:rsidR="00A954D0" w:rsidRPr="008379CA">
        <w:rPr>
          <w:rFonts w:ascii="Bookman Old Style" w:eastAsia="Bookman Old Style" w:hAnsi="Bookman Old Style" w:cs="Bookman Old Style"/>
          <w:lang w:val="sv-FI"/>
        </w:rPr>
        <w:t xml:space="preserve"> </w:t>
      </w:r>
      <w:r w:rsidRPr="008379CA">
        <w:rPr>
          <w:rFonts w:ascii="Bookman Old Style" w:hAnsi="Bookman Old Style"/>
          <w:lang w:val="fi-FI"/>
        </w:rPr>
        <w:t>Kota</w:t>
      </w:r>
      <w:r w:rsidR="00A954D0" w:rsidRPr="008379CA">
        <w:rPr>
          <w:rFonts w:ascii="Bookman Old Style" w:hAnsi="Bookman Old Style"/>
          <w:lang w:val="fi-FI"/>
        </w:rPr>
        <w:t xml:space="preserve"> </w:t>
      </w:r>
      <w:r w:rsidRPr="008379CA">
        <w:rPr>
          <w:rFonts w:ascii="Bookman Old Style" w:hAnsi="Bookman Old Style"/>
          <w:lang w:val="fi-FI"/>
        </w:rPr>
        <w:t>Tangerang</w:t>
      </w:r>
      <w:r w:rsidR="00A954D0" w:rsidRPr="008379CA">
        <w:rPr>
          <w:rFonts w:ascii="Bookman Old Style" w:eastAsia="Bookman Old Style" w:hAnsi="Bookman Old Style" w:cs="Bookman Old Style"/>
          <w:lang w:val="sv-FI"/>
        </w:rPr>
        <w:t xml:space="preserve"> </w:t>
      </w:r>
      <w:r w:rsidRPr="008379CA">
        <w:rPr>
          <w:rFonts w:ascii="Bookman Old Style" w:eastAsia="Bookman Old Style" w:hAnsi="Bookman Old Style" w:cs="Bookman Old Style"/>
          <w:lang w:val="sv-FI"/>
        </w:rPr>
        <w:t>Berdasarkan</w:t>
      </w:r>
      <w:r w:rsidR="00A954D0" w:rsidRPr="008379CA">
        <w:rPr>
          <w:rFonts w:ascii="Bookman Old Style" w:eastAsia="Bookman Old Style" w:hAnsi="Bookman Old Style" w:cs="Bookman Old Style"/>
          <w:lang w:val="sv-FI"/>
        </w:rPr>
        <w:t xml:space="preserve"> </w:t>
      </w:r>
      <w:r w:rsidRPr="008379CA">
        <w:rPr>
          <w:rFonts w:ascii="Bookman Old Style" w:eastAsia="Bookman Old Style" w:hAnsi="Bookman Old Style" w:cs="Bookman Old Style"/>
          <w:lang w:val="sv-FI"/>
        </w:rPr>
        <w:t>Prioritas</w:t>
      </w:r>
      <w:r w:rsidR="00A954D0" w:rsidRPr="008379CA">
        <w:rPr>
          <w:rFonts w:ascii="Bookman Old Style" w:eastAsia="Bookman Old Style" w:hAnsi="Bookman Old Style" w:cs="Bookman Old Style"/>
          <w:lang w:val="sv-FI"/>
        </w:rPr>
        <w:t xml:space="preserve"> </w:t>
      </w:r>
      <w:r w:rsidRPr="008379CA">
        <w:rPr>
          <w:rFonts w:ascii="Bookman Old Style" w:eastAsia="Bookman Old Style" w:hAnsi="Bookman Old Style" w:cs="Bookman Old Style"/>
          <w:lang w:val="sv-FI"/>
        </w:rPr>
        <w:t>Pembangunan</w:t>
      </w:r>
      <w:r w:rsidR="00A954D0" w:rsidRPr="008379CA">
        <w:rPr>
          <w:rFonts w:ascii="Bookman Old Style" w:eastAsia="Bookman Old Style" w:hAnsi="Bookman Old Style" w:cs="Bookman Old Style"/>
          <w:lang w:val="sv-FI"/>
        </w:rPr>
        <w:t xml:space="preserve"> </w:t>
      </w:r>
      <w:r w:rsidRPr="008379CA">
        <w:rPr>
          <w:rFonts w:ascii="Bookman Old Style" w:eastAsia="Bookman Old Style" w:hAnsi="Bookman Old Style" w:cs="Bookman Old Style"/>
          <w:lang w:val="sv-FI"/>
        </w:rPr>
        <w:t>Nasional</w:t>
      </w:r>
      <w:r w:rsidR="00A954D0" w:rsidRPr="008379CA">
        <w:rPr>
          <w:rFonts w:ascii="Bookman Old Style" w:eastAsia="Bookman Old Style" w:hAnsi="Bookman Old Style" w:cs="Bookman Old Style"/>
          <w:lang w:val="sv-FI"/>
        </w:rPr>
        <w:t xml:space="preserve"> </w:t>
      </w:r>
    </w:p>
    <w:p w14:paraId="74271AFE" w14:textId="51EF12C8" w:rsidR="000A4C87" w:rsidRPr="008379CA" w:rsidRDefault="000A4C87" w:rsidP="000A4C87">
      <w:pPr>
        <w:spacing w:after="120" w:line="276" w:lineRule="auto"/>
        <w:ind w:left="1276" w:right="79"/>
        <w:jc w:val="center"/>
        <w:rPr>
          <w:rFonts w:ascii="Bookman Old Style" w:eastAsia="Bookman Old Style" w:hAnsi="Bookman Old Style" w:cs="Bookman Old Style"/>
          <w:lang w:val="sv-FI"/>
        </w:rPr>
      </w:pPr>
      <w:r w:rsidRPr="008379CA">
        <w:rPr>
          <w:rFonts w:ascii="Bookman Old Style" w:eastAsia="Bookman Old Style" w:hAnsi="Bookman Old Style" w:cs="Bookman Old Style"/>
          <w:lang w:val="sv-FI"/>
        </w:rPr>
        <w:t>Tahun</w:t>
      </w:r>
      <w:r w:rsidR="00A954D0" w:rsidRPr="008379CA">
        <w:rPr>
          <w:rFonts w:ascii="Bookman Old Style" w:eastAsia="Bookman Old Style" w:hAnsi="Bookman Old Style" w:cs="Bookman Old Style"/>
          <w:lang w:val="sv-FI"/>
        </w:rPr>
        <w:t xml:space="preserve"> </w:t>
      </w:r>
      <w:r w:rsidRPr="008379CA">
        <w:rPr>
          <w:rFonts w:ascii="Bookman Old Style" w:eastAsia="Bookman Old Style" w:hAnsi="Bookman Old Style" w:cs="Bookman Old Style"/>
          <w:lang w:val="sv-FI"/>
        </w:rPr>
        <w:t>2025</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3783"/>
        <w:gridCol w:w="2469"/>
        <w:gridCol w:w="1891"/>
      </w:tblGrid>
      <w:tr w:rsidR="008379CA" w:rsidRPr="008379CA" w14:paraId="3CA123B2" w14:textId="77777777" w:rsidTr="004147FD">
        <w:trPr>
          <w:trHeight w:val="284"/>
          <w:tblHeader/>
        </w:trPr>
        <w:tc>
          <w:tcPr>
            <w:tcW w:w="389" w:type="pct"/>
            <w:shd w:val="clear" w:color="000000" w:fill="FFFFFF"/>
            <w:vAlign w:val="center"/>
            <w:hideMark/>
          </w:tcPr>
          <w:p w14:paraId="1B43822E" w14:textId="77777777" w:rsidR="000A4C87" w:rsidRPr="004147FD" w:rsidRDefault="000A4C87" w:rsidP="000A4C87">
            <w:pPr>
              <w:pStyle w:val="1Style1"/>
              <w:spacing w:line="240" w:lineRule="auto"/>
              <w:jc w:val="center"/>
              <w:rPr>
                <w:b/>
                <w:sz w:val="18"/>
                <w:szCs w:val="18"/>
              </w:rPr>
            </w:pPr>
            <w:r w:rsidRPr="004147FD">
              <w:rPr>
                <w:b/>
                <w:sz w:val="18"/>
                <w:szCs w:val="18"/>
              </w:rPr>
              <w:t>No</w:t>
            </w:r>
          </w:p>
        </w:tc>
        <w:tc>
          <w:tcPr>
            <w:tcW w:w="2142" w:type="pct"/>
            <w:shd w:val="clear" w:color="000000" w:fill="FFFFFF"/>
            <w:vAlign w:val="center"/>
            <w:hideMark/>
          </w:tcPr>
          <w:p w14:paraId="07E5D497" w14:textId="1715CE9B" w:rsidR="000A4C87" w:rsidRPr="004147FD" w:rsidRDefault="000A4C87" w:rsidP="000A4C87">
            <w:pPr>
              <w:pStyle w:val="1Style1"/>
              <w:spacing w:line="240" w:lineRule="auto"/>
              <w:jc w:val="center"/>
              <w:rPr>
                <w:b/>
                <w:sz w:val="18"/>
                <w:szCs w:val="18"/>
              </w:rPr>
            </w:pPr>
            <w:r w:rsidRPr="004147FD">
              <w:rPr>
                <w:b/>
                <w:sz w:val="18"/>
                <w:szCs w:val="18"/>
              </w:rPr>
              <w:t>Prioritas</w:t>
            </w:r>
            <w:r w:rsidR="00A954D0" w:rsidRPr="004147FD">
              <w:rPr>
                <w:b/>
                <w:sz w:val="18"/>
                <w:szCs w:val="18"/>
              </w:rPr>
              <w:t xml:space="preserve"> </w:t>
            </w:r>
            <w:r w:rsidRPr="004147FD">
              <w:rPr>
                <w:b/>
                <w:sz w:val="18"/>
                <w:szCs w:val="18"/>
              </w:rPr>
              <w:t>Nasional</w:t>
            </w:r>
          </w:p>
        </w:tc>
        <w:tc>
          <w:tcPr>
            <w:tcW w:w="1398" w:type="pct"/>
            <w:shd w:val="clear" w:color="000000" w:fill="FFFFFF"/>
            <w:vAlign w:val="center"/>
            <w:hideMark/>
          </w:tcPr>
          <w:p w14:paraId="171948F9" w14:textId="3949F44B" w:rsidR="000A4C87" w:rsidRPr="004147FD" w:rsidRDefault="000A4C87" w:rsidP="000A4C87">
            <w:pPr>
              <w:pStyle w:val="1Style1"/>
              <w:spacing w:line="240" w:lineRule="auto"/>
              <w:jc w:val="center"/>
              <w:rPr>
                <w:b/>
                <w:sz w:val="18"/>
                <w:szCs w:val="18"/>
              </w:rPr>
            </w:pPr>
            <w:r w:rsidRPr="004147FD">
              <w:rPr>
                <w:b/>
                <w:sz w:val="18"/>
                <w:szCs w:val="18"/>
              </w:rPr>
              <w:t>Rancangan</w:t>
            </w:r>
            <w:r w:rsidR="00A954D0" w:rsidRPr="004147FD">
              <w:rPr>
                <w:b/>
                <w:sz w:val="18"/>
                <w:szCs w:val="18"/>
              </w:rPr>
              <w:t xml:space="preserve"> </w:t>
            </w:r>
            <w:r w:rsidRPr="004147FD">
              <w:rPr>
                <w:b/>
                <w:sz w:val="18"/>
                <w:szCs w:val="18"/>
              </w:rPr>
              <w:t>APBD</w:t>
            </w:r>
          </w:p>
          <w:p w14:paraId="40114110" w14:textId="25B714F1" w:rsidR="000A4C87" w:rsidRPr="004147FD" w:rsidRDefault="000A4C87" w:rsidP="000A4C87">
            <w:pPr>
              <w:pStyle w:val="1Style1"/>
              <w:spacing w:line="240" w:lineRule="auto"/>
              <w:jc w:val="center"/>
              <w:rPr>
                <w:b/>
                <w:sz w:val="18"/>
                <w:szCs w:val="18"/>
              </w:rPr>
            </w:pPr>
            <w:r w:rsidRPr="004147FD">
              <w:rPr>
                <w:b/>
                <w:sz w:val="18"/>
                <w:szCs w:val="18"/>
              </w:rPr>
              <w:t>TA.</w:t>
            </w:r>
            <w:r w:rsidR="00A954D0" w:rsidRPr="004147FD">
              <w:rPr>
                <w:b/>
                <w:sz w:val="18"/>
                <w:szCs w:val="18"/>
              </w:rPr>
              <w:t xml:space="preserve"> </w:t>
            </w:r>
            <w:r w:rsidRPr="004147FD">
              <w:rPr>
                <w:b/>
                <w:sz w:val="18"/>
                <w:szCs w:val="18"/>
              </w:rPr>
              <w:t>2025</w:t>
            </w:r>
            <w:r w:rsidRPr="004147FD">
              <w:rPr>
                <w:b/>
                <w:sz w:val="18"/>
                <w:szCs w:val="18"/>
              </w:rPr>
              <w:br/>
              <w:t>(Rp)</w:t>
            </w:r>
          </w:p>
        </w:tc>
        <w:tc>
          <w:tcPr>
            <w:tcW w:w="1072" w:type="pct"/>
            <w:shd w:val="clear" w:color="000000" w:fill="FFFFFF"/>
            <w:vAlign w:val="center"/>
            <w:hideMark/>
          </w:tcPr>
          <w:p w14:paraId="70F9DD06" w14:textId="0FF3C7A4" w:rsidR="000A4C87" w:rsidRPr="004147FD" w:rsidRDefault="000A4C87" w:rsidP="000A4C87">
            <w:pPr>
              <w:pStyle w:val="1Style1"/>
              <w:spacing w:line="240" w:lineRule="auto"/>
              <w:jc w:val="center"/>
              <w:rPr>
                <w:b/>
                <w:sz w:val="18"/>
                <w:szCs w:val="18"/>
              </w:rPr>
            </w:pPr>
            <w:r w:rsidRPr="004147FD">
              <w:rPr>
                <w:b/>
                <w:sz w:val="18"/>
                <w:szCs w:val="18"/>
              </w:rPr>
              <w:t>Rasio</w:t>
            </w:r>
            <w:r w:rsidR="00A954D0" w:rsidRPr="004147FD">
              <w:rPr>
                <w:b/>
                <w:sz w:val="18"/>
                <w:szCs w:val="18"/>
              </w:rPr>
              <w:t xml:space="preserve"> </w:t>
            </w:r>
            <w:r w:rsidRPr="004147FD">
              <w:rPr>
                <w:b/>
                <w:sz w:val="18"/>
                <w:szCs w:val="18"/>
              </w:rPr>
              <w:t>Terhadap</w:t>
            </w:r>
            <w:r w:rsidR="00A954D0" w:rsidRPr="004147FD">
              <w:rPr>
                <w:b/>
                <w:sz w:val="18"/>
                <w:szCs w:val="18"/>
              </w:rPr>
              <w:t xml:space="preserve"> </w:t>
            </w:r>
            <w:r w:rsidRPr="004147FD">
              <w:rPr>
                <w:b/>
                <w:sz w:val="18"/>
                <w:szCs w:val="18"/>
              </w:rPr>
              <w:t>Belanja</w:t>
            </w:r>
            <w:r w:rsidR="00A954D0" w:rsidRPr="004147FD">
              <w:rPr>
                <w:b/>
                <w:sz w:val="18"/>
                <w:szCs w:val="18"/>
              </w:rPr>
              <w:t xml:space="preserve"> </w:t>
            </w:r>
            <w:r w:rsidRPr="004147FD">
              <w:rPr>
                <w:b/>
                <w:sz w:val="18"/>
                <w:szCs w:val="18"/>
              </w:rPr>
              <w:t>Daerah</w:t>
            </w:r>
            <w:r w:rsidR="00A954D0" w:rsidRPr="004147FD">
              <w:rPr>
                <w:b/>
                <w:sz w:val="18"/>
                <w:szCs w:val="18"/>
              </w:rPr>
              <w:t xml:space="preserve"> </w:t>
            </w:r>
            <w:r w:rsidRPr="004147FD">
              <w:rPr>
                <w:b/>
                <w:sz w:val="18"/>
                <w:szCs w:val="18"/>
              </w:rPr>
              <w:t>(%)</w:t>
            </w:r>
          </w:p>
        </w:tc>
      </w:tr>
      <w:tr w:rsidR="008379CA" w:rsidRPr="008379CA" w14:paraId="5C4CE831" w14:textId="77777777" w:rsidTr="004147FD">
        <w:trPr>
          <w:trHeight w:val="451"/>
        </w:trPr>
        <w:tc>
          <w:tcPr>
            <w:tcW w:w="389" w:type="pct"/>
            <w:shd w:val="clear" w:color="auto" w:fill="auto"/>
            <w:noWrap/>
            <w:vAlign w:val="center"/>
            <w:hideMark/>
          </w:tcPr>
          <w:p w14:paraId="0CE32887" w14:textId="77777777" w:rsidR="000A4C87" w:rsidRPr="004147FD" w:rsidRDefault="000A4C87" w:rsidP="000A4C87">
            <w:pPr>
              <w:pStyle w:val="1Style1"/>
              <w:spacing w:line="240" w:lineRule="auto"/>
              <w:jc w:val="center"/>
              <w:rPr>
                <w:sz w:val="18"/>
                <w:szCs w:val="18"/>
              </w:rPr>
            </w:pPr>
            <w:r w:rsidRPr="004147FD">
              <w:rPr>
                <w:sz w:val="18"/>
                <w:szCs w:val="18"/>
              </w:rPr>
              <w:t>1</w:t>
            </w:r>
          </w:p>
        </w:tc>
        <w:tc>
          <w:tcPr>
            <w:tcW w:w="2142" w:type="pct"/>
            <w:shd w:val="clear" w:color="auto" w:fill="auto"/>
            <w:vAlign w:val="center"/>
            <w:hideMark/>
          </w:tcPr>
          <w:p w14:paraId="019673C0" w14:textId="164ABDEF" w:rsidR="000A4C87" w:rsidRPr="004147FD" w:rsidRDefault="000A4C87" w:rsidP="000A4C87">
            <w:pPr>
              <w:pStyle w:val="1Style1"/>
              <w:spacing w:line="240" w:lineRule="auto"/>
              <w:rPr>
                <w:sz w:val="18"/>
                <w:szCs w:val="18"/>
                <w:lang w:val="sv-FI"/>
              </w:rPr>
            </w:pPr>
            <w:r w:rsidRPr="004147FD">
              <w:rPr>
                <w:sz w:val="18"/>
                <w:szCs w:val="18"/>
                <w:lang w:val="sv-FI"/>
              </w:rPr>
              <w:t>Memperkokoh</w:t>
            </w:r>
            <w:r w:rsidR="00A954D0" w:rsidRPr="004147FD">
              <w:rPr>
                <w:sz w:val="18"/>
                <w:szCs w:val="18"/>
                <w:lang w:val="sv-FI"/>
              </w:rPr>
              <w:t xml:space="preserve"> </w:t>
            </w:r>
            <w:r w:rsidRPr="004147FD">
              <w:rPr>
                <w:sz w:val="18"/>
                <w:szCs w:val="18"/>
                <w:lang w:val="sv-FI"/>
              </w:rPr>
              <w:t>Ideologi</w:t>
            </w:r>
            <w:r w:rsidR="00A954D0" w:rsidRPr="004147FD">
              <w:rPr>
                <w:sz w:val="18"/>
                <w:szCs w:val="18"/>
                <w:lang w:val="sv-FI"/>
              </w:rPr>
              <w:t xml:space="preserve"> </w:t>
            </w:r>
            <w:r w:rsidRPr="004147FD">
              <w:rPr>
                <w:sz w:val="18"/>
                <w:szCs w:val="18"/>
                <w:lang w:val="sv-FI"/>
              </w:rPr>
              <w:t>Pancasila,</w:t>
            </w:r>
            <w:r w:rsidR="00A954D0" w:rsidRPr="004147FD">
              <w:rPr>
                <w:sz w:val="18"/>
                <w:szCs w:val="18"/>
                <w:lang w:val="sv-FI"/>
              </w:rPr>
              <w:t xml:space="preserve"> </w:t>
            </w:r>
            <w:r w:rsidRPr="004147FD">
              <w:rPr>
                <w:sz w:val="18"/>
                <w:szCs w:val="18"/>
                <w:lang w:val="sv-FI"/>
              </w:rPr>
              <w:t>Demokrasi,</w:t>
            </w:r>
            <w:r w:rsidR="00A954D0" w:rsidRPr="004147FD">
              <w:rPr>
                <w:sz w:val="18"/>
                <w:szCs w:val="18"/>
                <w:lang w:val="sv-FI"/>
              </w:rPr>
              <w:t xml:space="preserve"> </w:t>
            </w:r>
            <w:r w:rsidRPr="004147FD">
              <w:rPr>
                <w:sz w:val="18"/>
                <w:szCs w:val="18"/>
                <w:lang w:val="sv-FI"/>
              </w:rPr>
              <w:t>dan</w:t>
            </w:r>
            <w:r w:rsidR="00A954D0" w:rsidRPr="004147FD">
              <w:rPr>
                <w:sz w:val="18"/>
                <w:szCs w:val="18"/>
                <w:lang w:val="sv-FI"/>
              </w:rPr>
              <w:t xml:space="preserve"> </w:t>
            </w:r>
            <w:r w:rsidRPr="004147FD">
              <w:rPr>
                <w:sz w:val="18"/>
                <w:szCs w:val="18"/>
                <w:lang w:val="sv-FI"/>
              </w:rPr>
              <w:t>Hak</w:t>
            </w:r>
            <w:r w:rsidR="00A954D0" w:rsidRPr="004147FD">
              <w:rPr>
                <w:sz w:val="18"/>
                <w:szCs w:val="18"/>
                <w:lang w:val="sv-FI"/>
              </w:rPr>
              <w:t xml:space="preserve"> </w:t>
            </w:r>
            <w:r w:rsidRPr="004147FD">
              <w:rPr>
                <w:sz w:val="18"/>
                <w:szCs w:val="18"/>
                <w:lang w:val="sv-FI"/>
              </w:rPr>
              <w:t>Asasi</w:t>
            </w:r>
            <w:r w:rsidR="00A954D0" w:rsidRPr="004147FD">
              <w:rPr>
                <w:sz w:val="18"/>
                <w:szCs w:val="18"/>
                <w:lang w:val="sv-FI"/>
              </w:rPr>
              <w:t xml:space="preserve"> </w:t>
            </w:r>
            <w:r w:rsidRPr="004147FD">
              <w:rPr>
                <w:sz w:val="18"/>
                <w:szCs w:val="18"/>
                <w:lang w:val="sv-FI"/>
              </w:rPr>
              <w:t>Manusia</w:t>
            </w:r>
            <w:r w:rsidR="00A954D0" w:rsidRPr="004147FD">
              <w:rPr>
                <w:sz w:val="18"/>
                <w:szCs w:val="18"/>
                <w:lang w:val="sv-FI"/>
              </w:rPr>
              <w:t xml:space="preserve"> </w:t>
            </w:r>
            <w:r w:rsidRPr="004147FD">
              <w:rPr>
                <w:sz w:val="18"/>
                <w:szCs w:val="18"/>
                <w:lang w:val="sv-FI"/>
              </w:rPr>
              <w:t>(HAM)</w:t>
            </w:r>
          </w:p>
        </w:tc>
        <w:tc>
          <w:tcPr>
            <w:tcW w:w="1398" w:type="pct"/>
            <w:shd w:val="clear" w:color="auto" w:fill="auto"/>
            <w:noWrap/>
            <w:vAlign w:val="center"/>
          </w:tcPr>
          <w:p w14:paraId="03E342C7" w14:textId="77777777" w:rsidR="000A4C87" w:rsidRPr="004147FD" w:rsidRDefault="000A4C87" w:rsidP="000A4C87">
            <w:pPr>
              <w:pStyle w:val="1Style1"/>
              <w:spacing w:line="240" w:lineRule="auto"/>
              <w:jc w:val="right"/>
              <w:rPr>
                <w:sz w:val="18"/>
                <w:szCs w:val="18"/>
              </w:rPr>
            </w:pPr>
            <w:r w:rsidRPr="004147FD">
              <w:rPr>
                <w:sz w:val="18"/>
                <w:szCs w:val="18"/>
              </w:rPr>
              <w:t>20.548.372.352,00</w:t>
            </w:r>
          </w:p>
        </w:tc>
        <w:tc>
          <w:tcPr>
            <w:tcW w:w="1072" w:type="pct"/>
            <w:shd w:val="clear" w:color="auto" w:fill="auto"/>
            <w:noWrap/>
            <w:vAlign w:val="center"/>
          </w:tcPr>
          <w:p w14:paraId="40857E59" w14:textId="77777777" w:rsidR="000A4C87" w:rsidRPr="004147FD" w:rsidRDefault="000A4C87" w:rsidP="000A4C87">
            <w:pPr>
              <w:pStyle w:val="1Style1"/>
              <w:spacing w:line="240" w:lineRule="auto"/>
              <w:jc w:val="center"/>
              <w:rPr>
                <w:sz w:val="18"/>
                <w:szCs w:val="18"/>
              </w:rPr>
            </w:pPr>
            <w:r w:rsidRPr="004147FD">
              <w:rPr>
                <w:sz w:val="18"/>
                <w:szCs w:val="18"/>
              </w:rPr>
              <w:t>0,36</w:t>
            </w:r>
          </w:p>
        </w:tc>
      </w:tr>
      <w:tr w:rsidR="008379CA" w:rsidRPr="008379CA" w14:paraId="32584CCF" w14:textId="77777777" w:rsidTr="004147FD">
        <w:trPr>
          <w:trHeight w:val="284"/>
        </w:trPr>
        <w:tc>
          <w:tcPr>
            <w:tcW w:w="389" w:type="pct"/>
            <w:shd w:val="clear" w:color="auto" w:fill="auto"/>
            <w:noWrap/>
            <w:vAlign w:val="center"/>
            <w:hideMark/>
          </w:tcPr>
          <w:p w14:paraId="0D7481CF" w14:textId="77777777" w:rsidR="000A4C87" w:rsidRPr="004147FD" w:rsidRDefault="000A4C87" w:rsidP="000A4C87">
            <w:pPr>
              <w:pStyle w:val="1Style1"/>
              <w:spacing w:line="240" w:lineRule="auto"/>
              <w:jc w:val="center"/>
              <w:rPr>
                <w:sz w:val="18"/>
                <w:szCs w:val="18"/>
              </w:rPr>
            </w:pPr>
            <w:r w:rsidRPr="004147FD">
              <w:rPr>
                <w:sz w:val="18"/>
                <w:szCs w:val="18"/>
              </w:rPr>
              <w:t>2</w:t>
            </w:r>
          </w:p>
        </w:tc>
        <w:tc>
          <w:tcPr>
            <w:tcW w:w="2142" w:type="pct"/>
            <w:shd w:val="clear" w:color="auto" w:fill="auto"/>
            <w:vAlign w:val="center"/>
            <w:hideMark/>
          </w:tcPr>
          <w:p w14:paraId="49A4AC27" w14:textId="52E77E11" w:rsidR="000A4C87" w:rsidRPr="004147FD" w:rsidRDefault="000A4C87" w:rsidP="000A4C87">
            <w:pPr>
              <w:pStyle w:val="1Style1"/>
              <w:spacing w:line="240" w:lineRule="auto"/>
              <w:rPr>
                <w:sz w:val="18"/>
                <w:szCs w:val="18"/>
                <w:lang w:val="sv-SE"/>
              </w:rPr>
            </w:pPr>
            <w:r w:rsidRPr="004147FD">
              <w:rPr>
                <w:sz w:val="18"/>
                <w:szCs w:val="18"/>
                <w:lang w:val="sv-SE"/>
              </w:rPr>
              <w:t>Memantapkan</w:t>
            </w:r>
            <w:r w:rsidR="00A954D0" w:rsidRPr="004147FD">
              <w:rPr>
                <w:sz w:val="18"/>
                <w:szCs w:val="18"/>
                <w:lang w:val="sv-SE"/>
              </w:rPr>
              <w:t xml:space="preserve"> </w:t>
            </w:r>
            <w:r w:rsidRPr="004147FD">
              <w:rPr>
                <w:sz w:val="18"/>
                <w:szCs w:val="18"/>
                <w:lang w:val="sv-SE"/>
              </w:rPr>
              <w:t>Sistem</w:t>
            </w:r>
            <w:r w:rsidR="00A954D0" w:rsidRPr="004147FD">
              <w:rPr>
                <w:sz w:val="18"/>
                <w:szCs w:val="18"/>
                <w:lang w:val="sv-SE"/>
              </w:rPr>
              <w:t xml:space="preserve"> </w:t>
            </w:r>
            <w:r w:rsidRPr="004147FD">
              <w:rPr>
                <w:sz w:val="18"/>
                <w:szCs w:val="18"/>
                <w:lang w:val="sv-SE"/>
              </w:rPr>
              <w:t>Pertahanan</w:t>
            </w:r>
            <w:r w:rsidR="00A954D0" w:rsidRPr="004147FD">
              <w:rPr>
                <w:sz w:val="18"/>
                <w:szCs w:val="18"/>
                <w:lang w:val="sv-SE"/>
              </w:rPr>
              <w:t xml:space="preserve"> </w:t>
            </w:r>
            <w:r w:rsidRPr="004147FD">
              <w:rPr>
                <w:sz w:val="18"/>
                <w:szCs w:val="18"/>
                <w:lang w:val="sv-SE"/>
              </w:rPr>
              <w:t>Keamanan</w:t>
            </w:r>
            <w:r w:rsidR="00A954D0" w:rsidRPr="004147FD">
              <w:rPr>
                <w:sz w:val="18"/>
                <w:szCs w:val="18"/>
                <w:lang w:val="sv-SE"/>
              </w:rPr>
              <w:t xml:space="preserve"> </w:t>
            </w:r>
            <w:r w:rsidRPr="004147FD">
              <w:rPr>
                <w:sz w:val="18"/>
                <w:szCs w:val="18"/>
                <w:lang w:val="sv-SE"/>
              </w:rPr>
              <w:t>Negara</w:t>
            </w:r>
            <w:r w:rsidR="00A954D0" w:rsidRPr="004147FD">
              <w:rPr>
                <w:sz w:val="18"/>
                <w:szCs w:val="18"/>
                <w:lang w:val="sv-SE"/>
              </w:rPr>
              <w:t xml:space="preserve"> </w:t>
            </w:r>
            <w:r w:rsidRPr="004147FD">
              <w:rPr>
                <w:sz w:val="18"/>
                <w:szCs w:val="18"/>
                <w:lang w:val="sv-SE"/>
              </w:rPr>
              <w:t>dan</w:t>
            </w:r>
            <w:r w:rsidR="00A954D0" w:rsidRPr="004147FD">
              <w:rPr>
                <w:sz w:val="18"/>
                <w:szCs w:val="18"/>
                <w:lang w:val="sv-SE"/>
              </w:rPr>
              <w:t xml:space="preserve"> </w:t>
            </w:r>
            <w:r w:rsidRPr="004147FD">
              <w:rPr>
                <w:sz w:val="18"/>
                <w:szCs w:val="18"/>
                <w:lang w:val="sv-SE"/>
              </w:rPr>
              <w:t>Mendorong</w:t>
            </w:r>
            <w:r w:rsidR="00A954D0" w:rsidRPr="004147FD">
              <w:rPr>
                <w:sz w:val="18"/>
                <w:szCs w:val="18"/>
                <w:lang w:val="sv-SE"/>
              </w:rPr>
              <w:t xml:space="preserve"> </w:t>
            </w:r>
            <w:r w:rsidRPr="004147FD">
              <w:rPr>
                <w:sz w:val="18"/>
                <w:szCs w:val="18"/>
                <w:lang w:val="sv-SE"/>
              </w:rPr>
              <w:t>Kemandirian</w:t>
            </w:r>
            <w:r w:rsidR="00A954D0" w:rsidRPr="004147FD">
              <w:rPr>
                <w:sz w:val="18"/>
                <w:szCs w:val="18"/>
                <w:lang w:val="sv-SE"/>
              </w:rPr>
              <w:t xml:space="preserve"> </w:t>
            </w:r>
            <w:r w:rsidRPr="004147FD">
              <w:rPr>
                <w:sz w:val="18"/>
                <w:szCs w:val="18"/>
                <w:lang w:val="sv-SE"/>
              </w:rPr>
              <w:t>Bangsa</w:t>
            </w:r>
            <w:r w:rsidR="00A954D0" w:rsidRPr="004147FD">
              <w:rPr>
                <w:sz w:val="18"/>
                <w:szCs w:val="18"/>
                <w:lang w:val="sv-SE"/>
              </w:rPr>
              <w:t xml:space="preserve"> </w:t>
            </w:r>
            <w:r w:rsidRPr="004147FD">
              <w:rPr>
                <w:sz w:val="18"/>
                <w:szCs w:val="18"/>
                <w:lang w:val="sv-SE"/>
              </w:rPr>
              <w:t>melalui</w:t>
            </w:r>
            <w:r w:rsidR="00A954D0" w:rsidRPr="004147FD">
              <w:rPr>
                <w:sz w:val="18"/>
                <w:szCs w:val="18"/>
                <w:lang w:val="sv-SE"/>
              </w:rPr>
              <w:t xml:space="preserve"> </w:t>
            </w:r>
            <w:r w:rsidRPr="004147FD">
              <w:rPr>
                <w:sz w:val="18"/>
                <w:szCs w:val="18"/>
                <w:lang w:val="sv-SE"/>
              </w:rPr>
              <w:t>Swasembada</w:t>
            </w:r>
            <w:r w:rsidR="00A954D0" w:rsidRPr="004147FD">
              <w:rPr>
                <w:sz w:val="18"/>
                <w:szCs w:val="18"/>
                <w:lang w:val="sv-SE"/>
              </w:rPr>
              <w:t xml:space="preserve"> </w:t>
            </w:r>
            <w:r w:rsidRPr="004147FD">
              <w:rPr>
                <w:sz w:val="18"/>
                <w:szCs w:val="18"/>
                <w:lang w:val="sv-SE"/>
              </w:rPr>
              <w:t>Pangan,</w:t>
            </w:r>
            <w:r w:rsidR="00A954D0" w:rsidRPr="004147FD">
              <w:rPr>
                <w:sz w:val="18"/>
                <w:szCs w:val="18"/>
                <w:lang w:val="sv-SE"/>
              </w:rPr>
              <w:t xml:space="preserve"> </w:t>
            </w:r>
            <w:r w:rsidRPr="004147FD">
              <w:rPr>
                <w:sz w:val="18"/>
                <w:szCs w:val="18"/>
                <w:lang w:val="sv-SE"/>
              </w:rPr>
              <w:t>Energi,</w:t>
            </w:r>
            <w:r w:rsidR="00A954D0" w:rsidRPr="004147FD">
              <w:rPr>
                <w:sz w:val="18"/>
                <w:szCs w:val="18"/>
                <w:lang w:val="sv-SE"/>
              </w:rPr>
              <w:t xml:space="preserve"> </w:t>
            </w:r>
            <w:r w:rsidRPr="004147FD">
              <w:rPr>
                <w:sz w:val="18"/>
                <w:szCs w:val="18"/>
                <w:lang w:val="sv-SE"/>
              </w:rPr>
              <w:t>Air,</w:t>
            </w:r>
            <w:r w:rsidR="00A954D0" w:rsidRPr="004147FD">
              <w:rPr>
                <w:sz w:val="18"/>
                <w:szCs w:val="18"/>
                <w:lang w:val="sv-SE"/>
              </w:rPr>
              <w:t xml:space="preserve"> </w:t>
            </w:r>
            <w:r w:rsidRPr="004147FD">
              <w:rPr>
                <w:sz w:val="18"/>
                <w:szCs w:val="18"/>
                <w:lang w:val="sv-SE"/>
              </w:rPr>
              <w:t>Ekonomi</w:t>
            </w:r>
            <w:r w:rsidR="00A954D0" w:rsidRPr="004147FD">
              <w:rPr>
                <w:sz w:val="18"/>
                <w:szCs w:val="18"/>
                <w:lang w:val="sv-SE"/>
              </w:rPr>
              <w:t xml:space="preserve"> </w:t>
            </w:r>
            <w:r w:rsidRPr="004147FD">
              <w:rPr>
                <w:sz w:val="18"/>
                <w:szCs w:val="18"/>
                <w:lang w:val="sv-SE"/>
              </w:rPr>
              <w:t>Syariah,</w:t>
            </w:r>
            <w:r w:rsidR="00A954D0" w:rsidRPr="004147FD">
              <w:rPr>
                <w:sz w:val="18"/>
                <w:szCs w:val="18"/>
                <w:lang w:val="sv-SE"/>
              </w:rPr>
              <w:t xml:space="preserve"> </w:t>
            </w:r>
            <w:r w:rsidRPr="004147FD">
              <w:rPr>
                <w:sz w:val="18"/>
                <w:szCs w:val="18"/>
                <w:lang w:val="sv-SE"/>
              </w:rPr>
              <w:t>Ekonomi</w:t>
            </w:r>
            <w:r w:rsidR="00A954D0" w:rsidRPr="004147FD">
              <w:rPr>
                <w:sz w:val="18"/>
                <w:szCs w:val="18"/>
                <w:lang w:val="sv-SE"/>
              </w:rPr>
              <w:t xml:space="preserve"> </w:t>
            </w:r>
            <w:r w:rsidRPr="004147FD">
              <w:rPr>
                <w:sz w:val="18"/>
                <w:szCs w:val="18"/>
                <w:lang w:val="sv-SE"/>
              </w:rPr>
              <w:t>Digital,</w:t>
            </w:r>
            <w:r w:rsidR="00A954D0" w:rsidRPr="004147FD">
              <w:rPr>
                <w:sz w:val="18"/>
                <w:szCs w:val="18"/>
                <w:lang w:val="sv-SE"/>
              </w:rPr>
              <w:t xml:space="preserve"> </w:t>
            </w:r>
            <w:r w:rsidRPr="004147FD">
              <w:rPr>
                <w:sz w:val="18"/>
                <w:szCs w:val="18"/>
                <w:lang w:val="sv-SE"/>
              </w:rPr>
              <w:t>Ekonomi</w:t>
            </w:r>
            <w:r w:rsidR="00A954D0" w:rsidRPr="004147FD">
              <w:rPr>
                <w:sz w:val="18"/>
                <w:szCs w:val="18"/>
                <w:lang w:val="sv-SE"/>
              </w:rPr>
              <w:t xml:space="preserve"> </w:t>
            </w:r>
            <w:r w:rsidRPr="004147FD">
              <w:rPr>
                <w:sz w:val="18"/>
                <w:szCs w:val="18"/>
                <w:lang w:val="sv-SE"/>
              </w:rPr>
              <w:t>Hijau,</w:t>
            </w:r>
            <w:r w:rsidR="00A954D0" w:rsidRPr="004147FD">
              <w:rPr>
                <w:sz w:val="18"/>
                <w:szCs w:val="18"/>
                <w:lang w:val="sv-SE"/>
              </w:rPr>
              <w:t xml:space="preserve"> </w:t>
            </w:r>
            <w:r w:rsidRPr="004147FD">
              <w:rPr>
                <w:sz w:val="18"/>
                <w:szCs w:val="18"/>
                <w:lang w:val="sv-SE"/>
              </w:rPr>
              <w:t>dan</w:t>
            </w:r>
            <w:r w:rsidR="00A954D0" w:rsidRPr="004147FD">
              <w:rPr>
                <w:sz w:val="18"/>
                <w:szCs w:val="18"/>
                <w:lang w:val="sv-SE"/>
              </w:rPr>
              <w:t xml:space="preserve"> </w:t>
            </w:r>
            <w:r w:rsidRPr="004147FD">
              <w:rPr>
                <w:sz w:val="18"/>
                <w:szCs w:val="18"/>
                <w:lang w:val="sv-SE"/>
              </w:rPr>
              <w:t>Ekonomi</w:t>
            </w:r>
            <w:r w:rsidR="00A954D0" w:rsidRPr="004147FD">
              <w:rPr>
                <w:sz w:val="18"/>
                <w:szCs w:val="18"/>
                <w:lang w:val="sv-SE"/>
              </w:rPr>
              <w:t xml:space="preserve"> </w:t>
            </w:r>
            <w:r w:rsidRPr="004147FD">
              <w:rPr>
                <w:sz w:val="18"/>
                <w:szCs w:val="18"/>
                <w:lang w:val="sv-SE"/>
              </w:rPr>
              <w:t>Biru</w:t>
            </w:r>
          </w:p>
        </w:tc>
        <w:tc>
          <w:tcPr>
            <w:tcW w:w="1398" w:type="pct"/>
            <w:shd w:val="clear" w:color="auto" w:fill="auto"/>
            <w:noWrap/>
            <w:vAlign w:val="center"/>
          </w:tcPr>
          <w:p w14:paraId="4D6D38B9" w14:textId="77777777" w:rsidR="000A4C87" w:rsidRPr="004147FD" w:rsidRDefault="000A4C87" w:rsidP="000A4C87">
            <w:pPr>
              <w:pStyle w:val="1Style1"/>
              <w:spacing w:line="240" w:lineRule="auto"/>
              <w:jc w:val="right"/>
              <w:rPr>
                <w:sz w:val="18"/>
                <w:szCs w:val="18"/>
              </w:rPr>
            </w:pPr>
            <w:r w:rsidRPr="004147FD">
              <w:rPr>
                <w:sz w:val="18"/>
                <w:szCs w:val="18"/>
              </w:rPr>
              <w:t>2.741.277.800,00</w:t>
            </w:r>
          </w:p>
        </w:tc>
        <w:tc>
          <w:tcPr>
            <w:tcW w:w="1072" w:type="pct"/>
            <w:shd w:val="clear" w:color="auto" w:fill="auto"/>
            <w:noWrap/>
            <w:vAlign w:val="center"/>
          </w:tcPr>
          <w:p w14:paraId="7225E1E7" w14:textId="77777777" w:rsidR="000A4C87" w:rsidRPr="004147FD" w:rsidRDefault="000A4C87" w:rsidP="000A4C87">
            <w:pPr>
              <w:pStyle w:val="1Style1"/>
              <w:spacing w:line="240" w:lineRule="auto"/>
              <w:jc w:val="center"/>
              <w:rPr>
                <w:sz w:val="18"/>
                <w:szCs w:val="18"/>
              </w:rPr>
            </w:pPr>
            <w:r w:rsidRPr="004147FD">
              <w:rPr>
                <w:sz w:val="18"/>
                <w:szCs w:val="18"/>
              </w:rPr>
              <w:t>0,05</w:t>
            </w:r>
          </w:p>
        </w:tc>
      </w:tr>
      <w:tr w:rsidR="008379CA" w:rsidRPr="008379CA" w14:paraId="2790F5DD" w14:textId="77777777" w:rsidTr="004147FD">
        <w:trPr>
          <w:trHeight w:val="284"/>
        </w:trPr>
        <w:tc>
          <w:tcPr>
            <w:tcW w:w="389" w:type="pct"/>
            <w:shd w:val="clear" w:color="auto" w:fill="auto"/>
            <w:noWrap/>
            <w:vAlign w:val="center"/>
            <w:hideMark/>
          </w:tcPr>
          <w:p w14:paraId="00877EA4" w14:textId="77777777" w:rsidR="000A4C87" w:rsidRPr="004147FD" w:rsidRDefault="000A4C87" w:rsidP="000A4C87">
            <w:pPr>
              <w:pStyle w:val="1Style1"/>
              <w:spacing w:line="240" w:lineRule="auto"/>
              <w:jc w:val="center"/>
              <w:rPr>
                <w:sz w:val="18"/>
                <w:szCs w:val="18"/>
              </w:rPr>
            </w:pPr>
            <w:r w:rsidRPr="004147FD">
              <w:rPr>
                <w:sz w:val="18"/>
                <w:szCs w:val="18"/>
              </w:rPr>
              <w:t>3</w:t>
            </w:r>
          </w:p>
        </w:tc>
        <w:tc>
          <w:tcPr>
            <w:tcW w:w="2142" w:type="pct"/>
            <w:shd w:val="clear" w:color="auto" w:fill="auto"/>
            <w:vAlign w:val="center"/>
            <w:hideMark/>
          </w:tcPr>
          <w:p w14:paraId="6911FA18" w14:textId="1E83844D" w:rsidR="000A4C87" w:rsidRPr="004147FD" w:rsidRDefault="000A4C87" w:rsidP="000A4C87">
            <w:pPr>
              <w:pStyle w:val="1Style1"/>
              <w:spacing w:line="240" w:lineRule="auto"/>
              <w:rPr>
                <w:sz w:val="18"/>
                <w:szCs w:val="18"/>
                <w:lang w:val="sv-FI"/>
              </w:rPr>
            </w:pPr>
            <w:r w:rsidRPr="004147FD">
              <w:rPr>
                <w:sz w:val="18"/>
                <w:szCs w:val="18"/>
                <w:lang w:val="sv-FI"/>
              </w:rPr>
              <w:t>Melanjutkan</w:t>
            </w:r>
            <w:r w:rsidR="00A954D0" w:rsidRPr="004147FD">
              <w:rPr>
                <w:sz w:val="18"/>
                <w:szCs w:val="18"/>
                <w:lang w:val="sv-FI"/>
              </w:rPr>
              <w:t xml:space="preserve"> </w:t>
            </w:r>
            <w:r w:rsidRPr="004147FD">
              <w:rPr>
                <w:sz w:val="18"/>
                <w:szCs w:val="18"/>
                <w:lang w:val="sv-FI"/>
              </w:rPr>
              <w:t>Pengembangan</w:t>
            </w:r>
            <w:r w:rsidR="00A954D0" w:rsidRPr="004147FD">
              <w:rPr>
                <w:sz w:val="18"/>
                <w:szCs w:val="18"/>
                <w:lang w:val="sv-FI"/>
              </w:rPr>
              <w:t xml:space="preserve"> </w:t>
            </w:r>
            <w:r w:rsidRPr="004147FD">
              <w:rPr>
                <w:sz w:val="18"/>
                <w:szCs w:val="18"/>
                <w:lang w:val="sv-FI"/>
              </w:rPr>
              <w:t>Infrastruktur</w:t>
            </w:r>
            <w:r w:rsidR="00A954D0" w:rsidRPr="004147FD">
              <w:rPr>
                <w:sz w:val="18"/>
                <w:szCs w:val="18"/>
                <w:lang w:val="sv-FI"/>
              </w:rPr>
              <w:t xml:space="preserve"> </w:t>
            </w:r>
            <w:r w:rsidRPr="004147FD">
              <w:rPr>
                <w:sz w:val="18"/>
                <w:szCs w:val="18"/>
                <w:lang w:val="sv-FI"/>
              </w:rPr>
              <w:t>dan</w:t>
            </w:r>
            <w:r w:rsidR="00A954D0" w:rsidRPr="004147FD">
              <w:rPr>
                <w:sz w:val="18"/>
                <w:szCs w:val="18"/>
                <w:lang w:val="sv-FI"/>
              </w:rPr>
              <w:t xml:space="preserve"> </w:t>
            </w:r>
            <w:r w:rsidRPr="004147FD">
              <w:rPr>
                <w:sz w:val="18"/>
                <w:szCs w:val="18"/>
                <w:lang w:val="sv-FI"/>
              </w:rPr>
              <w:t>Meningkatkan</w:t>
            </w:r>
            <w:r w:rsidR="00A954D0" w:rsidRPr="004147FD">
              <w:rPr>
                <w:sz w:val="18"/>
                <w:szCs w:val="18"/>
                <w:lang w:val="sv-FI"/>
              </w:rPr>
              <w:t xml:space="preserve"> </w:t>
            </w:r>
            <w:r w:rsidRPr="004147FD">
              <w:rPr>
                <w:sz w:val="18"/>
                <w:szCs w:val="18"/>
                <w:lang w:val="sv-FI"/>
              </w:rPr>
              <w:t>Lapangan</w:t>
            </w:r>
            <w:r w:rsidR="00A954D0" w:rsidRPr="004147FD">
              <w:rPr>
                <w:sz w:val="18"/>
                <w:szCs w:val="18"/>
                <w:lang w:val="sv-FI"/>
              </w:rPr>
              <w:t xml:space="preserve"> </w:t>
            </w:r>
            <w:r w:rsidRPr="004147FD">
              <w:rPr>
                <w:sz w:val="18"/>
                <w:szCs w:val="18"/>
                <w:lang w:val="sv-FI"/>
              </w:rPr>
              <w:t>Kerja</w:t>
            </w:r>
            <w:r w:rsidR="00A954D0" w:rsidRPr="004147FD">
              <w:rPr>
                <w:sz w:val="18"/>
                <w:szCs w:val="18"/>
                <w:lang w:val="sv-FI"/>
              </w:rPr>
              <w:t xml:space="preserve"> </w:t>
            </w:r>
            <w:r w:rsidRPr="004147FD">
              <w:rPr>
                <w:sz w:val="18"/>
                <w:szCs w:val="18"/>
                <w:lang w:val="sv-FI"/>
              </w:rPr>
              <w:t>yang</w:t>
            </w:r>
            <w:r w:rsidR="00A954D0" w:rsidRPr="004147FD">
              <w:rPr>
                <w:sz w:val="18"/>
                <w:szCs w:val="18"/>
                <w:lang w:val="sv-FI"/>
              </w:rPr>
              <w:t xml:space="preserve"> </w:t>
            </w:r>
            <w:r w:rsidRPr="004147FD">
              <w:rPr>
                <w:sz w:val="18"/>
                <w:szCs w:val="18"/>
                <w:lang w:val="sv-FI"/>
              </w:rPr>
              <w:t>Berkualitas,</w:t>
            </w:r>
            <w:r w:rsidR="00A954D0" w:rsidRPr="004147FD">
              <w:rPr>
                <w:sz w:val="18"/>
                <w:szCs w:val="18"/>
                <w:lang w:val="sv-FI"/>
              </w:rPr>
              <w:t xml:space="preserve"> </w:t>
            </w:r>
            <w:r w:rsidRPr="004147FD">
              <w:rPr>
                <w:sz w:val="18"/>
                <w:szCs w:val="18"/>
                <w:lang w:val="sv-FI"/>
              </w:rPr>
              <w:t>Mendorong</w:t>
            </w:r>
            <w:r w:rsidR="00A954D0" w:rsidRPr="004147FD">
              <w:rPr>
                <w:sz w:val="18"/>
                <w:szCs w:val="18"/>
                <w:lang w:val="sv-FI"/>
              </w:rPr>
              <w:t xml:space="preserve"> </w:t>
            </w:r>
            <w:r w:rsidRPr="004147FD">
              <w:rPr>
                <w:sz w:val="18"/>
                <w:szCs w:val="18"/>
                <w:lang w:val="sv-FI"/>
              </w:rPr>
              <w:t>Kewirausahaan,</w:t>
            </w:r>
            <w:r w:rsidR="00A954D0" w:rsidRPr="004147FD">
              <w:rPr>
                <w:sz w:val="18"/>
                <w:szCs w:val="18"/>
                <w:lang w:val="sv-FI"/>
              </w:rPr>
              <w:t xml:space="preserve"> </w:t>
            </w:r>
            <w:r w:rsidRPr="004147FD">
              <w:rPr>
                <w:sz w:val="18"/>
                <w:szCs w:val="18"/>
                <w:lang w:val="sv-FI"/>
              </w:rPr>
              <w:t>Mengembangkan</w:t>
            </w:r>
            <w:r w:rsidR="00A954D0" w:rsidRPr="004147FD">
              <w:rPr>
                <w:sz w:val="18"/>
                <w:szCs w:val="18"/>
                <w:lang w:val="sv-FI"/>
              </w:rPr>
              <w:t xml:space="preserve"> </w:t>
            </w:r>
            <w:r w:rsidRPr="004147FD">
              <w:rPr>
                <w:sz w:val="18"/>
                <w:szCs w:val="18"/>
                <w:lang w:val="sv-FI"/>
              </w:rPr>
              <w:t>Industri</w:t>
            </w:r>
            <w:r w:rsidR="00A954D0" w:rsidRPr="004147FD">
              <w:rPr>
                <w:sz w:val="18"/>
                <w:szCs w:val="18"/>
                <w:lang w:val="sv-FI"/>
              </w:rPr>
              <w:t xml:space="preserve"> </w:t>
            </w:r>
            <w:r w:rsidRPr="004147FD">
              <w:rPr>
                <w:sz w:val="18"/>
                <w:szCs w:val="18"/>
                <w:lang w:val="sv-FI"/>
              </w:rPr>
              <w:t>Kreatif</w:t>
            </w:r>
            <w:r w:rsidR="00A954D0" w:rsidRPr="004147FD">
              <w:rPr>
                <w:sz w:val="18"/>
                <w:szCs w:val="18"/>
                <w:lang w:val="sv-FI"/>
              </w:rPr>
              <w:t xml:space="preserve"> </w:t>
            </w:r>
            <w:r w:rsidRPr="004147FD">
              <w:rPr>
                <w:sz w:val="18"/>
                <w:szCs w:val="18"/>
                <w:lang w:val="sv-FI"/>
              </w:rPr>
              <w:t>serta</w:t>
            </w:r>
            <w:r w:rsidR="00A954D0" w:rsidRPr="004147FD">
              <w:rPr>
                <w:sz w:val="18"/>
                <w:szCs w:val="18"/>
                <w:lang w:val="sv-FI"/>
              </w:rPr>
              <w:t xml:space="preserve"> </w:t>
            </w:r>
            <w:r w:rsidRPr="004147FD">
              <w:rPr>
                <w:sz w:val="18"/>
                <w:szCs w:val="18"/>
                <w:lang w:val="sv-FI"/>
              </w:rPr>
              <w:t>Mengembangkan</w:t>
            </w:r>
            <w:r w:rsidR="00A954D0" w:rsidRPr="004147FD">
              <w:rPr>
                <w:sz w:val="18"/>
                <w:szCs w:val="18"/>
                <w:lang w:val="sv-FI"/>
              </w:rPr>
              <w:t xml:space="preserve"> </w:t>
            </w:r>
            <w:r w:rsidRPr="004147FD">
              <w:rPr>
                <w:sz w:val="18"/>
                <w:szCs w:val="18"/>
                <w:lang w:val="sv-FI"/>
              </w:rPr>
              <w:t>Agromaritim</w:t>
            </w:r>
            <w:r w:rsidR="00A954D0" w:rsidRPr="004147FD">
              <w:rPr>
                <w:sz w:val="18"/>
                <w:szCs w:val="18"/>
                <w:lang w:val="sv-FI"/>
              </w:rPr>
              <w:t xml:space="preserve"> </w:t>
            </w:r>
            <w:r w:rsidRPr="004147FD">
              <w:rPr>
                <w:sz w:val="18"/>
                <w:szCs w:val="18"/>
                <w:lang w:val="sv-FI"/>
              </w:rPr>
              <w:t>Industri</w:t>
            </w:r>
            <w:r w:rsidR="00A954D0" w:rsidRPr="004147FD">
              <w:rPr>
                <w:sz w:val="18"/>
                <w:szCs w:val="18"/>
                <w:lang w:val="sv-FI"/>
              </w:rPr>
              <w:t xml:space="preserve"> </w:t>
            </w:r>
            <w:r w:rsidRPr="004147FD">
              <w:rPr>
                <w:sz w:val="18"/>
                <w:szCs w:val="18"/>
                <w:lang w:val="sv-FI"/>
              </w:rPr>
              <w:t>di</w:t>
            </w:r>
            <w:r w:rsidR="00A954D0" w:rsidRPr="004147FD">
              <w:rPr>
                <w:sz w:val="18"/>
                <w:szCs w:val="18"/>
                <w:lang w:val="sv-FI"/>
              </w:rPr>
              <w:t xml:space="preserve"> </w:t>
            </w:r>
            <w:r w:rsidRPr="004147FD">
              <w:rPr>
                <w:sz w:val="18"/>
                <w:szCs w:val="18"/>
                <w:lang w:val="sv-FI"/>
              </w:rPr>
              <w:t>Sentra</w:t>
            </w:r>
            <w:r w:rsidR="00A954D0" w:rsidRPr="004147FD">
              <w:rPr>
                <w:sz w:val="18"/>
                <w:szCs w:val="18"/>
                <w:lang w:val="sv-FI"/>
              </w:rPr>
              <w:t xml:space="preserve"> </w:t>
            </w:r>
            <w:r w:rsidRPr="004147FD">
              <w:rPr>
                <w:sz w:val="18"/>
                <w:szCs w:val="18"/>
                <w:lang w:val="sv-FI"/>
              </w:rPr>
              <w:t>Produksi</w:t>
            </w:r>
            <w:r w:rsidR="00A954D0" w:rsidRPr="004147FD">
              <w:rPr>
                <w:sz w:val="18"/>
                <w:szCs w:val="18"/>
                <w:lang w:val="sv-FI"/>
              </w:rPr>
              <w:t xml:space="preserve"> </w:t>
            </w:r>
            <w:r w:rsidRPr="004147FD">
              <w:rPr>
                <w:sz w:val="18"/>
                <w:szCs w:val="18"/>
                <w:lang w:val="sv-FI"/>
              </w:rPr>
              <w:t>Melalui</w:t>
            </w:r>
            <w:r w:rsidR="00A954D0" w:rsidRPr="004147FD">
              <w:rPr>
                <w:sz w:val="18"/>
                <w:szCs w:val="18"/>
                <w:lang w:val="sv-FI"/>
              </w:rPr>
              <w:t xml:space="preserve"> </w:t>
            </w:r>
            <w:r w:rsidRPr="004147FD">
              <w:rPr>
                <w:sz w:val="18"/>
                <w:szCs w:val="18"/>
                <w:lang w:val="sv-FI"/>
              </w:rPr>
              <w:t>Peran</w:t>
            </w:r>
            <w:r w:rsidR="00A954D0" w:rsidRPr="004147FD">
              <w:rPr>
                <w:sz w:val="18"/>
                <w:szCs w:val="18"/>
                <w:lang w:val="sv-FI"/>
              </w:rPr>
              <w:t xml:space="preserve"> </w:t>
            </w:r>
            <w:r w:rsidRPr="004147FD">
              <w:rPr>
                <w:sz w:val="18"/>
                <w:szCs w:val="18"/>
                <w:lang w:val="sv-FI"/>
              </w:rPr>
              <w:t>Aktif</w:t>
            </w:r>
            <w:r w:rsidR="00A954D0" w:rsidRPr="004147FD">
              <w:rPr>
                <w:sz w:val="18"/>
                <w:szCs w:val="18"/>
                <w:lang w:val="sv-FI"/>
              </w:rPr>
              <w:t xml:space="preserve"> </w:t>
            </w:r>
            <w:r w:rsidRPr="004147FD">
              <w:rPr>
                <w:sz w:val="18"/>
                <w:szCs w:val="18"/>
                <w:lang w:val="sv-FI"/>
              </w:rPr>
              <w:t>Koperasi</w:t>
            </w:r>
          </w:p>
        </w:tc>
        <w:tc>
          <w:tcPr>
            <w:tcW w:w="1398" w:type="pct"/>
            <w:shd w:val="clear" w:color="auto" w:fill="auto"/>
            <w:noWrap/>
            <w:vAlign w:val="center"/>
          </w:tcPr>
          <w:p w14:paraId="71B4647A" w14:textId="77777777" w:rsidR="000A4C87" w:rsidRPr="004147FD" w:rsidRDefault="000A4C87" w:rsidP="000A4C87">
            <w:pPr>
              <w:pStyle w:val="1Style1"/>
              <w:spacing w:line="240" w:lineRule="auto"/>
              <w:jc w:val="right"/>
              <w:rPr>
                <w:sz w:val="18"/>
                <w:szCs w:val="18"/>
              </w:rPr>
            </w:pPr>
            <w:r w:rsidRPr="004147FD">
              <w:rPr>
                <w:sz w:val="18"/>
                <w:szCs w:val="18"/>
              </w:rPr>
              <w:t>552.279.162.520,00</w:t>
            </w:r>
          </w:p>
        </w:tc>
        <w:tc>
          <w:tcPr>
            <w:tcW w:w="1072" w:type="pct"/>
            <w:shd w:val="clear" w:color="auto" w:fill="auto"/>
            <w:noWrap/>
            <w:vAlign w:val="center"/>
          </w:tcPr>
          <w:p w14:paraId="307F87FE" w14:textId="77777777" w:rsidR="000A4C87" w:rsidRPr="004147FD" w:rsidRDefault="000A4C87" w:rsidP="000A4C87">
            <w:pPr>
              <w:pStyle w:val="1Style1"/>
              <w:spacing w:line="240" w:lineRule="auto"/>
              <w:jc w:val="center"/>
              <w:rPr>
                <w:sz w:val="18"/>
                <w:szCs w:val="18"/>
              </w:rPr>
            </w:pPr>
            <w:r w:rsidRPr="004147FD">
              <w:rPr>
                <w:sz w:val="18"/>
                <w:szCs w:val="18"/>
              </w:rPr>
              <w:t>9,68</w:t>
            </w:r>
          </w:p>
        </w:tc>
      </w:tr>
      <w:tr w:rsidR="008379CA" w:rsidRPr="008379CA" w14:paraId="2B8B33CF" w14:textId="77777777" w:rsidTr="004147FD">
        <w:trPr>
          <w:trHeight w:val="284"/>
        </w:trPr>
        <w:tc>
          <w:tcPr>
            <w:tcW w:w="389" w:type="pct"/>
            <w:shd w:val="clear" w:color="auto" w:fill="auto"/>
            <w:noWrap/>
            <w:vAlign w:val="center"/>
            <w:hideMark/>
          </w:tcPr>
          <w:p w14:paraId="7F34E9E9" w14:textId="77777777" w:rsidR="000A4C87" w:rsidRPr="004147FD" w:rsidRDefault="000A4C87" w:rsidP="000A4C87">
            <w:pPr>
              <w:pStyle w:val="1Style1"/>
              <w:spacing w:line="240" w:lineRule="auto"/>
              <w:jc w:val="center"/>
              <w:rPr>
                <w:sz w:val="18"/>
                <w:szCs w:val="18"/>
              </w:rPr>
            </w:pPr>
            <w:r w:rsidRPr="004147FD">
              <w:rPr>
                <w:sz w:val="18"/>
                <w:szCs w:val="18"/>
              </w:rPr>
              <w:t>4</w:t>
            </w:r>
          </w:p>
        </w:tc>
        <w:tc>
          <w:tcPr>
            <w:tcW w:w="2142" w:type="pct"/>
            <w:shd w:val="clear" w:color="auto" w:fill="auto"/>
            <w:vAlign w:val="center"/>
            <w:hideMark/>
          </w:tcPr>
          <w:p w14:paraId="2BFE8C8D" w14:textId="12B5D22F" w:rsidR="000A4C87" w:rsidRPr="004147FD" w:rsidRDefault="000A4C87" w:rsidP="000A4C87">
            <w:pPr>
              <w:pStyle w:val="1Style1"/>
              <w:spacing w:line="240" w:lineRule="auto"/>
              <w:rPr>
                <w:sz w:val="18"/>
                <w:szCs w:val="18"/>
                <w:lang w:val="sv-FI"/>
              </w:rPr>
            </w:pPr>
            <w:r w:rsidRPr="004147FD">
              <w:rPr>
                <w:sz w:val="18"/>
                <w:szCs w:val="18"/>
                <w:lang w:val="sv-FI"/>
              </w:rPr>
              <w:t>Memperkuat</w:t>
            </w:r>
            <w:r w:rsidR="00A954D0" w:rsidRPr="004147FD">
              <w:rPr>
                <w:sz w:val="18"/>
                <w:szCs w:val="18"/>
                <w:lang w:val="sv-FI"/>
              </w:rPr>
              <w:t xml:space="preserve"> </w:t>
            </w:r>
            <w:r w:rsidRPr="004147FD">
              <w:rPr>
                <w:sz w:val="18"/>
                <w:szCs w:val="18"/>
                <w:lang w:val="sv-FI"/>
              </w:rPr>
              <w:t>Pembangunan</w:t>
            </w:r>
            <w:r w:rsidR="00A954D0" w:rsidRPr="004147FD">
              <w:rPr>
                <w:sz w:val="18"/>
                <w:szCs w:val="18"/>
                <w:lang w:val="sv-FI"/>
              </w:rPr>
              <w:t xml:space="preserve"> </w:t>
            </w:r>
            <w:r w:rsidRPr="004147FD">
              <w:rPr>
                <w:sz w:val="18"/>
                <w:szCs w:val="18"/>
                <w:lang w:val="sv-FI"/>
              </w:rPr>
              <w:t>Sumber</w:t>
            </w:r>
            <w:r w:rsidR="00A954D0" w:rsidRPr="004147FD">
              <w:rPr>
                <w:sz w:val="18"/>
                <w:szCs w:val="18"/>
                <w:lang w:val="sv-FI"/>
              </w:rPr>
              <w:t xml:space="preserve"> </w:t>
            </w:r>
            <w:r w:rsidRPr="004147FD">
              <w:rPr>
                <w:sz w:val="18"/>
                <w:szCs w:val="18"/>
                <w:lang w:val="sv-FI"/>
              </w:rPr>
              <w:t>Daya</w:t>
            </w:r>
            <w:r w:rsidR="00A954D0" w:rsidRPr="004147FD">
              <w:rPr>
                <w:sz w:val="18"/>
                <w:szCs w:val="18"/>
                <w:lang w:val="sv-FI"/>
              </w:rPr>
              <w:t xml:space="preserve"> </w:t>
            </w:r>
            <w:r w:rsidRPr="004147FD">
              <w:rPr>
                <w:sz w:val="18"/>
                <w:szCs w:val="18"/>
                <w:lang w:val="sv-FI"/>
              </w:rPr>
              <w:t>Manusia</w:t>
            </w:r>
            <w:r w:rsidR="00A954D0" w:rsidRPr="004147FD">
              <w:rPr>
                <w:sz w:val="18"/>
                <w:szCs w:val="18"/>
                <w:lang w:val="sv-FI"/>
              </w:rPr>
              <w:t xml:space="preserve"> </w:t>
            </w:r>
            <w:r w:rsidRPr="004147FD">
              <w:rPr>
                <w:sz w:val="18"/>
                <w:szCs w:val="18"/>
                <w:lang w:val="sv-FI"/>
              </w:rPr>
              <w:t>(SDM),</w:t>
            </w:r>
            <w:r w:rsidR="00A954D0" w:rsidRPr="004147FD">
              <w:rPr>
                <w:sz w:val="18"/>
                <w:szCs w:val="18"/>
                <w:lang w:val="sv-FI"/>
              </w:rPr>
              <w:t xml:space="preserve"> </w:t>
            </w:r>
            <w:r w:rsidRPr="004147FD">
              <w:rPr>
                <w:sz w:val="18"/>
                <w:szCs w:val="18"/>
                <w:lang w:val="sv-FI"/>
              </w:rPr>
              <w:t>Sains</w:t>
            </w:r>
            <w:r w:rsidR="00A954D0" w:rsidRPr="004147FD">
              <w:rPr>
                <w:sz w:val="18"/>
                <w:szCs w:val="18"/>
                <w:lang w:val="sv-FI"/>
              </w:rPr>
              <w:t xml:space="preserve"> </w:t>
            </w:r>
            <w:r w:rsidRPr="004147FD">
              <w:rPr>
                <w:sz w:val="18"/>
                <w:szCs w:val="18"/>
                <w:lang w:val="sv-FI"/>
              </w:rPr>
              <w:t>Teknologi,</w:t>
            </w:r>
            <w:r w:rsidR="00A954D0" w:rsidRPr="004147FD">
              <w:rPr>
                <w:sz w:val="18"/>
                <w:szCs w:val="18"/>
                <w:lang w:val="sv-FI"/>
              </w:rPr>
              <w:t xml:space="preserve"> </w:t>
            </w:r>
            <w:r w:rsidRPr="004147FD">
              <w:rPr>
                <w:sz w:val="18"/>
                <w:szCs w:val="18"/>
                <w:lang w:val="sv-FI"/>
              </w:rPr>
              <w:t>Pendidikan,</w:t>
            </w:r>
            <w:r w:rsidR="00A954D0" w:rsidRPr="004147FD">
              <w:rPr>
                <w:sz w:val="18"/>
                <w:szCs w:val="18"/>
                <w:lang w:val="sv-FI"/>
              </w:rPr>
              <w:t xml:space="preserve"> </w:t>
            </w:r>
            <w:r w:rsidRPr="004147FD">
              <w:rPr>
                <w:sz w:val="18"/>
                <w:szCs w:val="18"/>
                <w:lang w:val="sv-FI"/>
              </w:rPr>
              <w:t>Kesehatan,</w:t>
            </w:r>
            <w:r w:rsidR="00A954D0" w:rsidRPr="004147FD">
              <w:rPr>
                <w:sz w:val="18"/>
                <w:szCs w:val="18"/>
                <w:lang w:val="sv-FI"/>
              </w:rPr>
              <w:t xml:space="preserve"> </w:t>
            </w:r>
            <w:r w:rsidRPr="004147FD">
              <w:rPr>
                <w:sz w:val="18"/>
                <w:szCs w:val="18"/>
                <w:lang w:val="sv-FI"/>
              </w:rPr>
              <w:t>Prestasi</w:t>
            </w:r>
            <w:r w:rsidR="00A954D0" w:rsidRPr="004147FD">
              <w:rPr>
                <w:sz w:val="18"/>
                <w:szCs w:val="18"/>
                <w:lang w:val="sv-FI"/>
              </w:rPr>
              <w:t xml:space="preserve"> </w:t>
            </w:r>
            <w:r w:rsidRPr="004147FD">
              <w:rPr>
                <w:sz w:val="18"/>
                <w:szCs w:val="18"/>
                <w:lang w:val="sv-FI"/>
              </w:rPr>
              <w:t>Olahraga,</w:t>
            </w:r>
            <w:r w:rsidR="00A954D0" w:rsidRPr="004147FD">
              <w:rPr>
                <w:sz w:val="18"/>
                <w:szCs w:val="18"/>
                <w:lang w:val="sv-FI"/>
              </w:rPr>
              <w:t xml:space="preserve"> </w:t>
            </w:r>
            <w:r w:rsidRPr="004147FD">
              <w:rPr>
                <w:sz w:val="18"/>
                <w:szCs w:val="18"/>
                <w:lang w:val="sv-FI"/>
              </w:rPr>
              <w:t>Kesetaraan</w:t>
            </w:r>
            <w:r w:rsidR="00A954D0" w:rsidRPr="004147FD">
              <w:rPr>
                <w:sz w:val="18"/>
                <w:szCs w:val="18"/>
                <w:lang w:val="sv-FI"/>
              </w:rPr>
              <w:t xml:space="preserve"> </w:t>
            </w:r>
            <w:r w:rsidRPr="004147FD">
              <w:rPr>
                <w:sz w:val="18"/>
                <w:szCs w:val="18"/>
                <w:lang w:val="sv-FI"/>
              </w:rPr>
              <w:t>Gender,</w:t>
            </w:r>
            <w:r w:rsidR="00A954D0" w:rsidRPr="004147FD">
              <w:rPr>
                <w:sz w:val="18"/>
                <w:szCs w:val="18"/>
                <w:lang w:val="sv-FI"/>
              </w:rPr>
              <w:t xml:space="preserve"> </w:t>
            </w:r>
            <w:r w:rsidRPr="004147FD">
              <w:rPr>
                <w:sz w:val="18"/>
                <w:szCs w:val="18"/>
                <w:lang w:val="sv-FI"/>
              </w:rPr>
              <w:t>serta</w:t>
            </w:r>
            <w:r w:rsidR="00A954D0" w:rsidRPr="004147FD">
              <w:rPr>
                <w:sz w:val="18"/>
                <w:szCs w:val="18"/>
                <w:lang w:val="sv-FI"/>
              </w:rPr>
              <w:t xml:space="preserve"> </w:t>
            </w:r>
            <w:r w:rsidRPr="004147FD">
              <w:rPr>
                <w:sz w:val="18"/>
                <w:szCs w:val="18"/>
                <w:lang w:val="sv-FI"/>
              </w:rPr>
              <w:t>Penguatan</w:t>
            </w:r>
            <w:r w:rsidR="00A954D0" w:rsidRPr="004147FD">
              <w:rPr>
                <w:sz w:val="18"/>
                <w:szCs w:val="18"/>
                <w:lang w:val="sv-FI"/>
              </w:rPr>
              <w:t xml:space="preserve"> </w:t>
            </w:r>
            <w:r w:rsidRPr="004147FD">
              <w:rPr>
                <w:sz w:val="18"/>
                <w:szCs w:val="18"/>
                <w:lang w:val="sv-FI"/>
              </w:rPr>
              <w:t>Peran</w:t>
            </w:r>
            <w:r w:rsidR="00A954D0" w:rsidRPr="004147FD">
              <w:rPr>
                <w:sz w:val="18"/>
                <w:szCs w:val="18"/>
                <w:lang w:val="sv-FI"/>
              </w:rPr>
              <w:t xml:space="preserve"> </w:t>
            </w:r>
            <w:r w:rsidRPr="004147FD">
              <w:rPr>
                <w:sz w:val="18"/>
                <w:szCs w:val="18"/>
                <w:lang w:val="sv-FI"/>
              </w:rPr>
              <w:t>Perempuan,</w:t>
            </w:r>
            <w:r w:rsidR="00A954D0" w:rsidRPr="004147FD">
              <w:rPr>
                <w:sz w:val="18"/>
                <w:szCs w:val="18"/>
                <w:lang w:val="sv-FI"/>
              </w:rPr>
              <w:t xml:space="preserve"> </w:t>
            </w:r>
            <w:r w:rsidRPr="004147FD">
              <w:rPr>
                <w:sz w:val="18"/>
                <w:szCs w:val="18"/>
                <w:lang w:val="sv-FI"/>
              </w:rPr>
              <w:t>Pemuda</w:t>
            </w:r>
            <w:r w:rsidR="00A954D0" w:rsidRPr="004147FD">
              <w:rPr>
                <w:sz w:val="18"/>
                <w:szCs w:val="18"/>
                <w:lang w:val="sv-FI"/>
              </w:rPr>
              <w:t xml:space="preserve"> </w:t>
            </w:r>
            <w:r w:rsidRPr="004147FD">
              <w:rPr>
                <w:sz w:val="18"/>
                <w:szCs w:val="18"/>
                <w:lang w:val="sv-FI"/>
              </w:rPr>
              <w:t>(Generasi</w:t>
            </w:r>
            <w:r w:rsidR="00A954D0" w:rsidRPr="004147FD">
              <w:rPr>
                <w:sz w:val="18"/>
                <w:szCs w:val="18"/>
                <w:lang w:val="sv-FI"/>
              </w:rPr>
              <w:t xml:space="preserve"> </w:t>
            </w:r>
            <w:r w:rsidRPr="004147FD">
              <w:rPr>
                <w:sz w:val="18"/>
                <w:szCs w:val="18"/>
                <w:lang w:val="sv-FI"/>
              </w:rPr>
              <w:t>Milenial</w:t>
            </w:r>
            <w:r w:rsidR="00A954D0" w:rsidRPr="004147FD">
              <w:rPr>
                <w:sz w:val="18"/>
                <w:szCs w:val="18"/>
                <w:lang w:val="sv-FI"/>
              </w:rPr>
              <w:t xml:space="preserve"> </w:t>
            </w:r>
            <w:r w:rsidRPr="004147FD">
              <w:rPr>
                <w:sz w:val="18"/>
                <w:szCs w:val="18"/>
                <w:lang w:val="sv-FI"/>
              </w:rPr>
              <w:t>dan</w:t>
            </w:r>
            <w:r w:rsidR="00A954D0" w:rsidRPr="004147FD">
              <w:rPr>
                <w:sz w:val="18"/>
                <w:szCs w:val="18"/>
                <w:lang w:val="sv-FI"/>
              </w:rPr>
              <w:t xml:space="preserve"> </w:t>
            </w:r>
            <w:r w:rsidRPr="004147FD">
              <w:rPr>
                <w:sz w:val="18"/>
                <w:szCs w:val="18"/>
                <w:lang w:val="sv-FI"/>
              </w:rPr>
              <w:t>Generasi</w:t>
            </w:r>
            <w:r w:rsidR="00A954D0" w:rsidRPr="004147FD">
              <w:rPr>
                <w:sz w:val="18"/>
                <w:szCs w:val="18"/>
                <w:lang w:val="sv-FI"/>
              </w:rPr>
              <w:t xml:space="preserve"> </w:t>
            </w:r>
            <w:r w:rsidRPr="004147FD">
              <w:rPr>
                <w:sz w:val="18"/>
                <w:szCs w:val="18"/>
                <w:lang w:val="sv-FI"/>
              </w:rPr>
              <w:t>Z)</w:t>
            </w:r>
            <w:r w:rsidR="00A954D0" w:rsidRPr="004147FD">
              <w:rPr>
                <w:sz w:val="18"/>
                <w:szCs w:val="18"/>
                <w:lang w:val="sv-FI"/>
              </w:rPr>
              <w:t xml:space="preserve"> </w:t>
            </w:r>
            <w:r w:rsidRPr="004147FD">
              <w:rPr>
                <w:sz w:val="18"/>
                <w:szCs w:val="18"/>
                <w:lang w:val="sv-FI"/>
              </w:rPr>
              <w:t>dan</w:t>
            </w:r>
            <w:r w:rsidR="00A954D0" w:rsidRPr="004147FD">
              <w:rPr>
                <w:sz w:val="18"/>
                <w:szCs w:val="18"/>
                <w:lang w:val="sv-FI"/>
              </w:rPr>
              <w:t xml:space="preserve"> </w:t>
            </w:r>
            <w:r w:rsidRPr="004147FD">
              <w:rPr>
                <w:sz w:val="18"/>
                <w:szCs w:val="18"/>
                <w:lang w:val="sv-FI"/>
              </w:rPr>
              <w:t>Penyandang</w:t>
            </w:r>
            <w:r w:rsidR="00A954D0" w:rsidRPr="004147FD">
              <w:rPr>
                <w:sz w:val="18"/>
                <w:szCs w:val="18"/>
                <w:lang w:val="sv-FI"/>
              </w:rPr>
              <w:t xml:space="preserve"> </w:t>
            </w:r>
            <w:r w:rsidRPr="004147FD">
              <w:rPr>
                <w:sz w:val="18"/>
                <w:szCs w:val="18"/>
                <w:lang w:val="sv-FI"/>
              </w:rPr>
              <w:t>Disabilitas</w:t>
            </w:r>
          </w:p>
        </w:tc>
        <w:tc>
          <w:tcPr>
            <w:tcW w:w="1398" w:type="pct"/>
            <w:shd w:val="clear" w:color="auto" w:fill="auto"/>
            <w:noWrap/>
            <w:vAlign w:val="center"/>
          </w:tcPr>
          <w:p w14:paraId="5F62CF44" w14:textId="77777777" w:rsidR="000A4C87" w:rsidRPr="004147FD" w:rsidRDefault="000A4C87" w:rsidP="000A4C87">
            <w:pPr>
              <w:pStyle w:val="1Style1"/>
              <w:spacing w:line="240" w:lineRule="auto"/>
              <w:jc w:val="right"/>
              <w:rPr>
                <w:sz w:val="18"/>
                <w:szCs w:val="18"/>
              </w:rPr>
            </w:pPr>
            <w:r w:rsidRPr="004147FD">
              <w:rPr>
                <w:sz w:val="18"/>
                <w:szCs w:val="18"/>
              </w:rPr>
              <w:t>1.198.866.660.634,00</w:t>
            </w:r>
          </w:p>
        </w:tc>
        <w:tc>
          <w:tcPr>
            <w:tcW w:w="1072" w:type="pct"/>
            <w:shd w:val="clear" w:color="auto" w:fill="auto"/>
            <w:noWrap/>
            <w:vAlign w:val="center"/>
          </w:tcPr>
          <w:p w14:paraId="6CB65FEF" w14:textId="77777777" w:rsidR="000A4C87" w:rsidRPr="004147FD" w:rsidRDefault="000A4C87" w:rsidP="000A4C87">
            <w:pPr>
              <w:pStyle w:val="1Style1"/>
              <w:spacing w:line="240" w:lineRule="auto"/>
              <w:jc w:val="center"/>
              <w:rPr>
                <w:sz w:val="18"/>
                <w:szCs w:val="18"/>
              </w:rPr>
            </w:pPr>
            <w:r w:rsidRPr="004147FD">
              <w:rPr>
                <w:sz w:val="18"/>
                <w:szCs w:val="18"/>
              </w:rPr>
              <w:t>21,01</w:t>
            </w:r>
          </w:p>
        </w:tc>
      </w:tr>
      <w:tr w:rsidR="008379CA" w:rsidRPr="008379CA" w14:paraId="4DAF38F4" w14:textId="77777777" w:rsidTr="004147FD">
        <w:trPr>
          <w:trHeight w:val="469"/>
        </w:trPr>
        <w:tc>
          <w:tcPr>
            <w:tcW w:w="389" w:type="pct"/>
            <w:shd w:val="clear" w:color="auto" w:fill="auto"/>
            <w:noWrap/>
            <w:vAlign w:val="center"/>
          </w:tcPr>
          <w:p w14:paraId="164F59E7" w14:textId="77777777" w:rsidR="000A4C87" w:rsidRPr="004147FD" w:rsidRDefault="000A4C87" w:rsidP="000A4C87">
            <w:pPr>
              <w:pStyle w:val="1Style1"/>
              <w:spacing w:line="240" w:lineRule="auto"/>
              <w:jc w:val="center"/>
              <w:rPr>
                <w:sz w:val="18"/>
                <w:szCs w:val="18"/>
              </w:rPr>
            </w:pPr>
            <w:r w:rsidRPr="004147FD">
              <w:rPr>
                <w:sz w:val="18"/>
                <w:szCs w:val="18"/>
              </w:rPr>
              <w:t>5</w:t>
            </w:r>
          </w:p>
        </w:tc>
        <w:tc>
          <w:tcPr>
            <w:tcW w:w="2142" w:type="pct"/>
            <w:shd w:val="clear" w:color="auto" w:fill="auto"/>
            <w:vAlign w:val="center"/>
          </w:tcPr>
          <w:p w14:paraId="7D38B441" w14:textId="51D590E2" w:rsidR="000A4C87" w:rsidRPr="004147FD" w:rsidRDefault="000A4C87" w:rsidP="000A4C87">
            <w:pPr>
              <w:pStyle w:val="1Style1"/>
              <w:spacing w:line="240" w:lineRule="auto"/>
              <w:rPr>
                <w:sz w:val="18"/>
                <w:szCs w:val="18"/>
                <w:lang w:val="sv-FI"/>
              </w:rPr>
            </w:pPr>
            <w:r w:rsidRPr="004147FD">
              <w:rPr>
                <w:rFonts w:eastAsia="Bookman Old Style" w:cs="Bookman Old Style"/>
                <w:sz w:val="18"/>
                <w:szCs w:val="18"/>
                <w:lang w:val="sv-FI"/>
              </w:rPr>
              <w:t>Melanjutkan</w:t>
            </w:r>
            <w:r w:rsidR="00A954D0" w:rsidRPr="004147FD">
              <w:rPr>
                <w:rFonts w:eastAsia="Bookman Old Style" w:cs="Bookman Old Style"/>
                <w:sz w:val="18"/>
                <w:szCs w:val="18"/>
                <w:lang w:val="sv-FI"/>
              </w:rPr>
              <w:t xml:space="preserve"> </w:t>
            </w:r>
            <w:r w:rsidRPr="004147FD">
              <w:rPr>
                <w:rFonts w:eastAsia="Bookman Old Style" w:cs="Bookman Old Style"/>
                <w:sz w:val="18"/>
                <w:szCs w:val="18"/>
                <w:lang w:val="sv-FI"/>
              </w:rPr>
              <w:t>Hilirisasi</w:t>
            </w:r>
            <w:r w:rsidR="00A954D0" w:rsidRPr="004147FD">
              <w:rPr>
                <w:rFonts w:eastAsia="Bookman Old Style" w:cs="Bookman Old Style"/>
                <w:sz w:val="18"/>
                <w:szCs w:val="18"/>
                <w:lang w:val="sv-FI"/>
              </w:rPr>
              <w:t xml:space="preserve"> </w:t>
            </w:r>
            <w:r w:rsidRPr="004147FD">
              <w:rPr>
                <w:rFonts w:eastAsia="Bookman Old Style" w:cs="Bookman Old Style"/>
                <w:sz w:val="18"/>
                <w:szCs w:val="18"/>
                <w:lang w:val="sv-FI"/>
              </w:rPr>
              <w:t>dan</w:t>
            </w:r>
            <w:r w:rsidR="00A954D0" w:rsidRPr="004147FD">
              <w:rPr>
                <w:rFonts w:eastAsia="Bookman Old Style" w:cs="Bookman Old Style"/>
                <w:sz w:val="18"/>
                <w:szCs w:val="18"/>
                <w:lang w:val="sv-FI"/>
              </w:rPr>
              <w:t xml:space="preserve"> </w:t>
            </w:r>
            <w:r w:rsidRPr="004147FD">
              <w:rPr>
                <w:rFonts w:eastAsia="Bookman Old Style" w:cs="Bookman Old Style"/>
                <w:sz w:val="18"/>
                <w:szCs w:val="18"/>
                <w:lang w:val="sv-FI"/>
              </w:rPr>
              <w:t>Mengembangkan</w:t>
            </w:r>
            <w:r w:rsidR="00A954D0" w:rsidRPr="004147FD">
              <w:rPr>
                <w:rFonts w:eastAsia="Bookman Old Style" w:cs="Bookman Old Style"/>
                <w:sz w:val="18"/>
                <w:szCs w:val="18"/>
                <w:lang w:val="sv-FI"/>
              </w:rPr>
              <w:t xml:space="preserve"> </w:t>
            </w:r>
            <w:r w:rsidRPr="004147FD">
              <w:rPr>
                <w:rFonts w:eastAsia="Bookman Old Style" w:cs="Bookman Old Style"/>
                <w:sz w:val="18"/>
                <w:szCs w:val="18"/>
                <w:lang w:val="sv-FI"/>
              </w:rPr>
              <w:t>Industri</w:t>
            </w:r>
            <w:r w:rsidR="00A954D0" w:rsidRPr="004147FD">
              <w:rPr>
                <w:rFonts w:eastAsia="Bookman Old Style" w:cs="Bookman Old Style"/>
                <w:sz w:val="18"/>
                <w:szCs w:val="18"/>
                <w:lang w:val="sv-FI"/>
              </w:rPr>
              <w:t xml:space="preserve"> </w:t>
            </w:r>
            <w:r w:rsidRPr="004147FD">
              <w:rPr>
                <w:rFonts w:eastAsia="Bookman Old Style" w:cs="Bookman Old Style"/>
                <w:sz w:val="18"/>
                <w:szCs w:val="18"/>
                <w:lang w:val="sv-FI"/>
              </w:rPr>
              <w:t>Berbasis</w:t>
            </w:r>
            <w:r w:rsidR="00A954D0" w:rsidRPr="004147FD">
              <w:rPr>
                <w:rFonts w:eastAsia="Bookman Old Style" w:cs="Bookman Old Style"/>
                <w:sz w:val="18"/>
                <w:szCs w:val="18"/>
                <w:lang w:val="sv-FI"/>
              </w:rPr>
              <w:t xml:space="preserve"> </w:t>
            </w:r>
            <w:r w:rsidRPr="004147FD">
              <w:rPr>
                <w:rFonts w:eastAsia="Bookman Old Style" w:cs="Bookman Old Style"/>
                <w:sz w:val="18"/>
                <w:szCs w:val="18"/>
                <w:lang w:val="sv-FI"/>
              </w:rPr>
              <w:t>Sumber</w:t>
            </w:r>
            <w:r w:rsidR="00A954D0" w:rsidRPr="004147FD">
              <w:rPr>
                <w:rFonts w:eastAsia="Bookman Old Style" w:cs="Bookman Old Style"/>
                <w:sz w:val="18"/>
                <w:szCs w:val="18"/>
                <w:lang w:val="sv-FI"/>
              </w:rPr>
              <w:t xml:space="preserve"> </w:t>
            </w:r>
            <w:r w:rsidRPr="004147FD">
              <w:rPr>
                <w:rFonts w:eastAsia="Bookman Old Style" w:cs="Bookman Old Style"/>
                <w:sz w:val="18"/>
                <w:szCs w:val="18"/>
                <w:lang w:val="sv-FI"/>
              </w:rPr>
              <w:t>Daya</w:t>
            </w:r>
            <w:r w:rsidR="00A954D0" w:rsidRPr="004147FD">
              <w:rPr>
                <w:rFonts w:eastAsia="Bookman Old Style" w:cs="Bookman Old Style"/>
                <w:sz w:val="18"/>
                <w:szCs w:val="18"/>
                <w:lang w:val="sv-FI"/>
              </w:rPr>
              <w:t xml:space="preserve"> </w:t>
            </w:r>
            <w:r w:rsidRPr="004147FD">
              <w:rPr>
                <w:rFonts w:eastAsia="Bookman Old Style" w:cs="Bookman Old Style"/>
                <w:sz w:val="18"/>
                <w:szCs w:val="18"/>
                <w:lang w:val="sv-FI"/>
              </w:rPr>
              <w:t>Alam</w:t>
            </w:r>
            <w:r w:rsidR="00A954D0" w:rsidRPr="004147FD">
              <w:rPr>
                <w:rFonts w:eastAsia="Bookman Old Style" w:cs="Bookman Old Style"/>
                <w:sz w:val="18"/>
                <w:szCs w:val="18"/>
                <w:lang w:val="sv-FI"/>
              </w:rPr>
              <w:t xml:space="preserve"> </w:t>
            </w:r>
            <w:r w:rsidRPr="004147FD">
              <w:rPr>
                <w:rFonts w:eastAsia="Bookman Old Style" w:cs="Bookman Old Style"/>
                <w:sz w:val="18"/>
                <w:szCs w:val="18"/>
                <w:lang w:val="sv-FI"/>
              </w:rPr>
              <w:t>untuk</w:t>
            </w:r>
            <w:r w:rsidR="00A954D0" w:rsidRPr="004147FD">
              <w:rPr>
                <w:rFonts w:eastAsia="Bookman Old Style" w:cs="Bookman Old Style"/>
                <w:sz w:val="18"/>
                <w:szCs w:val="18"/>
                <w:lang w:val="sv-FI"/>
              </w:rPr>
              <w:t xml:space="preserve"> </w:t>
            </w:r>
            <w:r w:rsidRPr="004147FD">
              <w:rPr>
                <w:rFonts w:eastAsia="Bookman Old Style" w:cs="Bookman Old Style"/>
                <w:sz w:val="18"/>
                <w:szCs w:val="18"/>
                <w:lang w:val="sv-FI"/>
              </w:rPr>
              <w:t>Meningkatkan</w:t>
            </w:r>
            <w:r w:rsidR="00A954D0" w:rsidRPr="004147FD">
              <w:rPr>
                <w:rFonts w:eastAsia="Bookman Old Style" w:cs="Bookman Old Style"/>
                <w:sz w:val="18"/>
                <w:szCs w:val="18"/>
                <w:lang w:val="sv-FI"/>
              </w:rPr>
              <w:t xml:space="preserve"> </w:t>
            </w:r>
            <w:r w:rsidRPr="004147FD">
              <w:rPr>
                <w:rFonts w:eastAsia="Bookman Old Style" w:cs="Bookman Old Style"/>
                <w:sz w:val="18"/>
                <w:szCs w:val="18"/>
                <w:lang w:val="sv-FI"/>
              </w:rPr>
              <w:t>Nilai</w:t>
            </w:r>
            <w:r w:rsidR="00A954D0" w:rsidRPr="004147FD">
              <w:rPr>
                <w:rFonts w:eastAsia="Bookman Old Style" w:cs="Bookman Old Style"/>
                <w:sz w:val="18"/>
                <w:szCs w:val="18"/>
                <w:lang w:val="sv-FI"/>
              </w:rPr>
              <w:t xml:space="preserve"> </w:t>
            </w:r>
            <w:r w:rsidRPr="004147FD">
              <w:rPr>
                <w:rFonts w:eastAsia="Bookman Old Style" w:cs="Bookman Old Style"/>
                <w:sz w:val="18"/>
                <w:szCs w:val="18"/>
                <w:lang w:val="sv-FI"/>
              </w:rPr>
              <w:t>Tambah</w:t>
            </w:r>
            <w:r w:rsidR="00A954D0" w:rsidRPr="004147FD">
              <w:rPr>
                <w:rFonts w:eastAsia="Bookman Old Style" w:cs="Bookman Old Style"/>
                <w:sz w:val="18"/>
                <w:szCs w:val="18"/>
                <w:lang w:val="sv-FI"/>
              </w:rPr>
              <w:t xml:space="preserve"> </w:t>
            </w:r>
            <w:r w:rsidRPr="004147FD">
              <w:rPr>
                <w:rFonts w:eastAsia="Bookman Old Style" w:cs="Bookman Old Style"/>
                <w:sz w:val="18"/>
                <w:szCs w:val="18"/>
                <w:lang w:val="sv-FI"/>
              </w:rPr>
              <w:t>di</w:t>
            </w:r>
            <w:r w:rsidR="00A954D0" w:rsidRPr="004147FD">
              <w:rPr>
                <w:rFonts w:eastAsia="Bookman Old Style" w:cs="Bookman Old Style"/>
                <w:sz w:val="18"/>
                <w:szCs w:val="18"/>
                <w:lang w:val="sv-FI"/>
              </w:rPr>
              <w:t xml:space="preserve"> </w:t>
            </w:r>
            <w:r w:rsidRPr="004147FD">
              <w:rPr>
                <w:rFonts w:eastAsia="Bookman Old Style" w:cs="Bookman Old Style"/>
                <w:sz w:val="18"/>
                <w:szCs w:val="18"/>
                <w:lang w:val="sv-FI"/>
              </w:rPr>
              <w:t>Dalam</w:t>
            </w:r>
            <w:r w:rsidR="00A954D0" w:rsidRPr="004147FD">
              <w:rPr>
                <w:rFonts w:eastAsia="Bookman Old Style" w:cs="Bookman Old Style"/>
                <w:sz w:val="18"/>
                <w:szCs w:val="18"/>
                <w:lang w:val="sv-FI"/>
              </w:rPr>
              <w:t xml:space="preserve"> </w:t>
            </w:r>
            <w:r w:rsidRPr="004147FD">
              <w:rPr>
                <w:rFonts w:eastAsia="Bookman Old Style" w:cs="Bookman Old Style"/>
                <w:sz w:val="18"/>
                <w:szCs w:val="18"/>
                <w:lang w:val="sv-FI"/>
              </w:rPr>
              <w:t>Negeri</w:t>
            </w:r>
          </w:p>
        </w:tc>
        <w:tc>
          <w:tcPr>
            <w:tcW w:w="1398" w:type="pct"/>
            <w:shd w:val="clear" w:color="auto" w:fill="auto"/>
            <w:noWrap/>
            <w:vAlign w:val="center"/>
          </w:tcPr>
          <w:p w14:paraId="03680A71" w14:textId="77777777" w:rsidR="000A4C87" w:rsidRPr="004147FD" w:rsidRDefault="000A4C87" w:rsidP="000A4C87">
            <w:pPr>
              <w:pStyle w:val="1Style1"/>
              <w:spacing w:line="240" w:lineRule="auto"/>
              <w:jc w:val="right"/>
              <w:rPr>
                <w:rFonts w:cs="Segoe UI"/>
                <w:sz w:val="18"/>
                <w:szCs w:val="18"/>
                <w:lang w:val="sv-FI"/>
              </w:rPr>
            </w:pPr>
            <w:r w:rsidRPr="004147FD">
              <w:rPr>
                <w:sz w:val="18"/>
                <w:szCs w:val="18"/>
              </w:rPr>
              <w:t>00,00</w:t>
            </w:r>
          </w:p>
        </w:tc>
        <w:tc>
          <w:tcPr>
            <w:tcW w:w="1072" w:type="pct"/>
            <w:shd w:val="clear" w:color="auto" w:fill="auto"/>
            <w:noWrap/>
            <w:vAlign w:val="center"/>
          </w:tcPr>
          <w:p w14:paraId="49654906" w14:textId="77777777" w:rsidR="000A4C87" w:rsidRPr="004147FD" w:rsidRDefault="000A4C87" w:rsidP="000A4C87">
            <w:pPr>
              <w:pStyle w:val="1Style1"/>
              <w:spacing w:line="240" w:lineRule="auto"/>
              <w:jc w:val="center"/>
              <w:rPr>
                <w:sz w:val="18"/>
                <w:szCs w:val="18"/>
                <w:lang w:val="sv-FI"/>
              </w:rPr>
            </w:pPr>
            <w:r w:rsidRPr="004147FD">
              <w:rPr>
                <w:sz w:val="18"/>
                <w:szCs w:val="18"/>
              </w:rPr>
              <w:t>00,00</w:t>
            </w:r>
          </w:p>
        </w:tc>
      </w:tr>
      <w:tr w:rsidR="008379CA" w:rsidRPr="008379CA" w14:paraId="25675292" w14:textId="77777777" w:rsidTr="004147FD">
        <w:trPr>
          <w:trHeight w:val="284"/>
        </w:trPr>
        <w:tc>
          <w:tcPr>
            <w:tcW w:w="389" w:type="pct"/>
            <w:shd w:val="clear" w:color="auto" w:fill="auto"/>
            <w:noWrap/>
            <w:vAlign w:val="center"/>
            <w:hideMark/>
          </w:tcPr>
          <w:p w14:paraId="5628D74F" w14:textId="77777777" w:rsidR="000A4C87" w:rsidRPr="004147FD" w:rsidRDefault="000A4C87" w:rsidP="000A4C87">
            <w:pPr>
              <w:pStyle w:val="1Style1"/>
              <w:spacing w:line="240" w:lineRule="auto"/>
              <w:jc w:val="center"/>
              <w:rPr>
                <w:sz w:val="18"/>
                <w:szCs w:val="18"/>
              </w:rPr>
            </w:pPr>
            <w:r w:rsidRPr="004147FD">
              <w:rPr>
                <w:sz w:val="18"/>
                <w:szCs w:val="18"/>
              </w:rPr>
              <w:t>6</w:t>
            </w:r>
          </w:p>
        </w:tc>
        <w:tc>
          <w:tcPr>
            <w:tcW w:w="2142" w:type="pct"/>
            <w:shd w:val="clear" w:color="auto" w:fill="auto"/>
            <w:vAlign w:val="center"/>
            <w:hideMark/>
          </w:tcPr>
          <w:p w14:paraId="77D8D666" w14:textId="6E21BADE" w:rsidR="000A4C87" w:rsidRPr="004147FD" w:rsidRDefault="000A4C87" w:rsidP="000A4C87">
            <w:pPr>
              <w:pStyle w:val="1Style1"/>
              <w:spacing w:line="240" w:lineRule="auto"/>
              <w:rPr>
                <w:sz w:val="18"/>
                <w:szCs w:val="18"/>
                <w:lang w:val="sv-FI"/>
              </w:rPr>
            </w:pPr>
            <w:r w:rsidRPr="004147FD">
              <w:rPr>
                <w:sz w:val="18"/>
                <w:szCs w:val="18"/>
                <w:lang w:val="sv-FI"/>
              </w:rPr>
              <w:t>Membangun</w:t>
            </w:r>
            <w:r w:rsidR="00A954D0" w:rsidRPr="004147FD">
              <w:rPr>
                <w:sz w:val="18"/>
                <w:szCs w:val="18"/>
                <w:lang w:val="sv-FI"/>
              </w:rPr>
              <w:t xml:space="preserve"> </w:t>
            </w:r>
            <w:r w:rsidRPr="004147FD">
              <w:rPr>
                <w:sz w:val="18"/>
                <w:szCs w:val="18"/>
                <w:lang w:val="sv-FI"/>
              </w:rPr>
              <w:t>dari</w:t>
            </w:r>
            <w:r w:rsidR="00A954D0" w:rsidRPr="004147FD">
              <w:rPr>
                <w:sz w:val="18"/>
                <w:szCs w:val="18"/>
                <w:lang w:val="sv-FI"/>
              </w:rPr>
              <w:t xml:space="preserve"> </w:t>
            </w:r>
            <w:r w:rsidRPr="004147FD">
              <w:rPr>
                <w:sz w:val="18"/>
                <w:szCs w:val="18"/>
                <w:lang w:val="sv-FI"/>
              </w:rPr>
              <w:t>Desa</w:t>
            </w:r>
            <w:r w:rsidR="00A954D0" w:rsidRPr="004147FD">
              <w:rPr>
                <w:sz w:val="18"/>
                <w:szCs w:val="18"/>
                <w:lang w:val="sv-FI"/>
              </w:rPr>
              <w:t xml:space="preserve"> </w:t>
            </w:r>
            <w:r w:rsidRPr="004147FD">
              <w:rPr>
                <w:sz w:val="18"/>
                <w:szCs w:val="18"/>
                <w:lang w:val="sv-FI"/>
              </w:rPr>
              <w:t>dan</w:t>
            </w:r>
            <w:r w:rsidR="00A954D0" w:rsidRPr="004147FD">
              <w:rPr>
                <w:sz w:val="18"/>
                <w:szCs w:val="18"/>
                <w:lang w:val="sv-FI"/>
              </w:rPr>
              <w:t xml:space="preserve"> </w:t>
            </w:r>
            <w:r w:rsidRPr="004147FD">
              <w:rPr>
                <w:sz w:val="18"/>
                <w:szCs w:val="18"/>
                <w:lang w:val="sv-FI"/>
              </w:rPr>
              <w:t>dari</w:t>
            </w:r>
            <w:r w:rsidR="00A954D0" w:rsidRPr="004147FD">
              <w:rPr>
                <w:sz w:val="18"/>
                <w:szCs w:val="18"/>
                <w:lang w:val="sv-FI"/>
              </w:rPr>
              <w:t xml:space="preserve"> </w:t>
            </w:r>
            <w:r w:rsidRPr="004147FD">
              <w:rPr>
                <w:sz w:val="18"/>
                <w:szCs w:val="18"/>
                <w:lang w:val="sv-FI"/>
              </w:rPr>
              <w:t>bawah</w:t>
            </w:r>
            <w:r w:rsidR="00A954D0" w:rsidRPr="004147FD">
              <w:rPr>
                <w:sz w:val="18"/>
                <w:szCs w:val="18"/>
                <w:lang w:val="sv-FI"/>
              </w:rPr>
              <w:t xml:space="preserve"> </w:t>
            </w:r>
            <w:r w:rsidRPr="004147FD">
              <w:rPr>
                <w:sz w:val="18"/>
                <w:szCs w:val="18"/>
                <w:lang w:val="sv-FI"/>
              </w:rPr>
              <w:t>untuk</w:t>
            </w:r>
            <w:r w:rsidR="00A954D0" w:rsidRPr="004147FD">
              <w:rPr>
                <w:sz w:val="18"/>
                <w:szCs w:val="18"/>
                <w:lang w:val="sv-FI"/>
              </w:rPr>
              <w:t xml:space="preserve"> </w:t>
            </w:r>
            <w:r w:rsidRPr="004147FD">
              <w:rPr>
                <w:sz w:val="18"/>
                <w:szCs w:val="18"/>
                <w:lang w:val="sv-FI"/>
              </w:rPr>
              <w:t>Pertumbuhan</w:t>
            </w:r>
            <w:r w:rsidR="00A954D0" w:rsidRPr="004147FD">
              <w:rPr>
                <w:sz w:val="18"/>
                <w:szCs w:val="18"/>
                <w:lang w:val="sv-FI"/>
              </w:rPr>
              <w:t xml:space="preserve"> </w:t>
            </w:r>
            <w:r w:rsidRPr="004147FD">
              <w:rPr>
                <w:sz w:val="18"/>
                <w:szCs w:val="18"/>
                <w:lang w:val="sv-FI"/>
              </w:rPr>
              <w:t>Ekonomi,</w:t>
            </w:r>
            <w:r w:rsidR="00A954D0" w:rsidRPr="004147FD">
              <w:rPr>
                <w:sz w:val="18"/>
                <w:szCs w:val="18"/>
                <w:lang w:val="sv-FI"/>
              </w:rPr>
              <w:t xml:space="preserve"> </w:t>
            </w:r>
            <w:r w:rsidRPr="004147FD">
              <w:rPr>
                <w:sz w:val="18"/>
                <w:szCs w:val="18"/>
                <w:lang w:val="sv-FI"/>
              </w:rPr>
              <w:t>Pemerataan</w:t>
            </w:r>
            <w:r w:rsidR="00A954D0" w:rsidRPr="004147FD">
              <w:rPr>
                <w:sz w:val="18"/>
                <w:szCs w:val="18"/>
                <w:lang w:val="sv-FI"/>
              </w:rPr>
              <w:t xml:space="preserve"> </w:t>
            </w:r>
            <w:r w:rsidRPr="004147FD">
              <w:rPr>
                <w:sz w:val="18"/>
                <w:szCs w:val="18"/>
                <w:lang w:val="sv-FI"/>
              </w:rPr>
              <w:t>Ekonomi,</w:t>
            </w:r>
            <w:r w:rsidR="00A954D0" w:rsidRPr="004147FD">
              <w:rPr>
                <w:sz w:val="18"/>
                <w:szCs w:val="18"/>
                <w:lang w:val="sv-FI"/>
              </w:rPr>
              <w:t xml:space="preserve"> </w:t>
            </w:r>
            <w:r w:rsidRPr="004147FD">
              <w:rPr>
                <w:sz w:val="18"/>
                <w:szCs w:val="18"/>
                <w:lang w:val="sv-FI"/>
              </w:rPr>
              <w:t>dan</w:t>
            </w:r>
            <w:r w:rsidR="00A954D0" w:rsidRPr="004147FD">
              <w:rPr>
                <w:sz w:val="18"/>
                <w:szCs w:val="18"/>
                <w:lang w:val="sv-FI"/>
              </w:rPr>
              <w:t xml:space="preserve"> </w:t>
            </w:r>
            <w:r w:rsidRPr="004147FD">
              <w:rPr>
                <w:sz w:val="18"/>
                <w:szCs w:val="18"/>
                <w:lang w:val="sv-FI"/>
              </w:rPr>
              <w:t>Pemberantasan</w:t>
            </w:r>
            <w:r w:rsidR="00A954D0" w:rsidRPr="004147FD">
              <w:rPr>
                <w:sz w:val="18"/>
                <w:szCs w:val="18"/>
                <w:lang w:val="sv-FI"/>
              </w:rPr>
              <w:t xml:space="preserve"> </w:t>
            </w:r>
            <w:r w:rsidRPr="004147FD">
              <w:rPr>
                <w:sz w:val="18"/>
                <w:szCs w:val="18"/>
                <w:lang w:val="sv-FI"/>
              </w:rPr>
              <w:t>Kemiskinan</w:t>
            </w:r>
          </w:p>
        </w:tc>
        <w:tc>
          <w:tcPr>
            <w:tcW w:w="1398" w:type="pct"/>
            <w:shd w:val="clear" w:color="auto" w:fill="auto"/>
            <w:noWrap/>
            <w:vAlign w:val="center"/>
          </w:tcPr>
          <w:p w14:paraId="54A60C0D" w14:textId="77777777" w:rsidR="000A4C87" w:rsidRPr="004147FD" w:rsidRDefault="000A4C87" w:rsidP="000A4C87">
            <w:pPr>
              <w:pStyle w:val="1Style1"/>
              <w:spacing w:line="240" w:lineRule="auto"/>
              <w:jc w:val="right"/>
              <w:rPr>
                <w:sz w:val="18"/>
                <w:szCs w:val="18"/>
              </w:rPr>
            </w:pPr>
            <w:r w:rsidRPr="004147FD">
              <w:rPr>
                <w:sz w:val="18"/>
                <w:szCs w:val="18"/>
              </w:rPr>
              <w:t>61.403.332.531,00</w:t>
            </w:r>
          </w:p>
        </w:tc>
        <w:tc>
          <w:tcPr>
            <w:tcW w:w="1072" w:type="pct"/>
            <w:shd w:val="clear" w:color="auto" w:fill="auto"/>
            <w:noWrap/>
            <w:vAlign w:val="center"/>
          </w:tcPr>
          <w:p w14:paraId="01293873" w14:textId="77777777" w:rsidR="000A4C87" w:rsidRPr="004147FD" w:rsidRDefault="000A4C87" w:rsidP="000A4C87">
            <w:pPr>
              <w:pStyle w:val="1Style1"/>
              <w:spacing w:line="240" w:lineRule="auto"/>
              <w:jc w:val="center"/>
              <w:rPr>
                <w:sz w:val="18"/>
                <w:szCs w:val="18"/>
              </w:rPr>
            </w:pPr>
            <w:r w:rsidRPr="004147FD">
              <w:rPr>
                <w:sz w:val="18"/>
                <w:szCs w:val="18"/>
              </w:rPr>
              <w:t>1,08</w:t>
            </w:r>
          </w:p>
        </w:tc>
      </w:tr>
      <w:tr w:rsidR="008379CA" w:rsidRPr="008379CA" w14:paraId="3412860F" w14:textId="77777777" w:rsidTr="004147FD">
        <w:trPr>
          <w:trHeight w:val="547"/>
        </w:trPr>
        <w:tc>
          <w:tcPr>
            <w:tcW w:w="389" w:type="pct"/>
            <w:shd w:val="clear" w:color="auto" w:fill="auto"/>
            <w:noWrap/>
            <w:vAlign w:val="center"/>
            <w:hideMark/>
          </w:tcPr>
          <w:p w14:paraId="07D766C3" w14:textId="77777777" w:rsidR="000A4C87" w:rsidRPr="004147FD" w:rsidRDefault="000A4C87" w:rsidP="000A4C87">
            <w:pPr>
              <w:pStyle w:val="1Style1"/>
              <w:spacing w:line="240" w:lineRule="auto"/>
              <w:jc w:val="center"/>
              <w:rPr>
                <w:sz w:val="18"/>
                <w:szCs w:val="18"/>
              </w:rPr>
            </w:pPr>
            <w:r w:rsidRPr="004147FD">
              <w:rPr>
                <w:sz w:val="18"/>
                <w:szCs w:val="18"/>
              </w:rPr>
              <w:t>7</w:t>
            </w:r>
          </w:p>
        </w:tc>
        <w:tc>
          <w:tcPr>
            <w:tcW w:w="2142" w:type="pct"/>
            <w:shd w:val="clear" w:color="auto" w:fill="auto"/>
            <w:vAlign w:val="center"/>
            <w:hideMark/>
          </w:tcPr>
          <w:p w14:paraId="6D8DFCE6" w14:textId="0BF0DAD6" w:rsidR="000A4C87" w:rsidRPr="004147FD" w:rsidRDefault="000A4C87" w:rsidP="000A4C87">
            <w:pPr>
              <w:pStyle w:val="1Style1"/>
              <w:spacing w:line="240" w:lineRule="auto"/>
              <w:rPr>
                <w:sz w:val="18"/>
                <w:szCs w:val="18"/>
                <w:lang w:val="sv-FI"/>
              </w:rPr>
            </w:pPr>
            <w:r w:rsidRPr="004147FD">
              <w:rPr>
                <w:sz w:val="18"/>
                <w:szCs w:val="18"/>
                <w:lang w:val="sv-FI"/>
              </w:rPr>
              <w:t>Memperkuat</w:t>
            </w:r>
            <w:r w:rsidR="00A954D0" w:rsidRPr="004147FD">
              <w:rPr>
                <w:sz w:val="18"/>
                <w:szCs w:val="18"/>
                <w:lang w:val="sv-FI"/>
              </w:rPr>
              <w:t xml:space="preserve"> </w:t>
            </w:r>
            <w:r w:rsidRPr="004147FD">
              <w:rPr>
                <w:sz w:val="18"/>
                <w:szCs w:val="18"/>
                <w:lang w:val="sv-FI"/>
              </w:rPr>
              <w:t>Reformasi</w:t>
            </w:r>
            <w:r w:rsidR="00A954D0" w:rsidRPr="004147FD">
              <w:rPr>
                <w:sz w:val="18"/>
                <w:szCs w:val="18"/>
                <w:lang w:val="sv-FI"/>
              </w:rPr>
              <w:t xml:space="preserve"> </w:t>
            </w:r>
            <w:r w:rsidRPr="004147FD">
              <w:rPr>
                <w:sz w:val="18"/>
                <w:szCs w:val="18"/>
                <w:lang w:val="sv-FI"/>
              </w:rPr>
              <w:t>Politik,</w:t>
            </w:r>
            <w:r w:rsidR="00A954D0" w:rsidRPr="004147FD">
              <w:rPr>
                <w:sz w:val="18"/>
                <w:szCs w:val="18"/>
                <w:lang w:val="sv-FI"/>
              </w:rPr>
              <w:t xml:space="preserve"> </w:t>
            </w:r>
            <w:r w:rsidRPr="004147FD">
              <w:rPr>
                <w:sz w:val="18"/>
                <w:szCs w:val="18"/>
                <w:lang w:val="sv-FI"/>
              </w:rPr>
              <w:t>Hukum,</w:t>
            </w:r>
            <w:r w:rsidR="00A954D0" w:rsidRPr="004147FD">
              <w:rPr>
                <w:sz w:val="18"/>
                <w:szCs w:val="18"/>
                <w:lang w:val="sv-FI"/>
              </w:rPr>
              <w:t xml:space="preserve"> </w:t>
            </w:r>
            <w:r w:rsidRPr="004147FD">
              <w:rPr>
                <w:sz w:val="18"/>
                <w:szCs w:val="18"/>
                <w:lang w:val="sv-FI"/>
              </w:rPr>
              <w:t>dan</w:t>
            </w:r>
            <w:r w:rsidR="00A954D0" w:rsidRPr="004147FD">
              <w:rPr>
                <w:sz w:val="18"/>
                <w:szCs w:val="18"/>
                <w:lang w:val="sv-FI"/>
              </w:rPr>
              <w:t xml:space="preserve"> </w:t>
            </w:r>
            <w:r w:rsidRPr="004147FD">
              <w:rPr>
                <w:sz w:val="18"/>
                <w:szCs w:val="18"/>
                <w:lang w:val="sv-FI"/>
              </w:rPr>
              <w:t>Birokrasi,</w:t>
            </w:r>
            <w:r w:rsidR="00A954D0" w:rsidRPr="004147FD">
              <w:rPr>
                <w:sz w:val="18"/>
                <w:szCs w:val="18"/>
                <w:lang w:val="sv-FI"/>
              </w:rPr>
              <w:t xml:space="preserve"> </w:t>
            </w:r>
            <w:r w:rsidRPr="004147FD">
              <w:rPr>
                <w:sz w:val="18"/>
                <w:szCs w:val="18"/>
                <w:lang w:val="sv-FI"/>
              </w:rPr>
              <w:t>serta</w:t>
            </w:r>
            <w:r w:rsidR="00A954D0" w:rsidRPr="004147FD">
              <w:rPr>
                <w:sz w:val="18"/>
                <w:szCs w:val="18"/>
                <w:lang w:val="sv-FI"/>
              </w:rPr>
              <w:t xml:space="preserve"> </w:t>
            </w:r>
            <w:r w:rsidRPr="004147FD">
              <w:rPr>
                <w:sz w:val="18"/>
                <w:szCs w:val="18"/>
                <w:lang w:val="sv-FI"/>
              </w:rPr>
              <w:t>Memperkuat</w:t>
            </w:r>
            <w:r w:rsidR="00A954D0" w:rsidRPr="004147FD">
              <w:rPr>
                <w:sz w:val="18"/>
                <w:szCs w:val="18"/>
                <w:lang w:val="sv-FI"/>
              </w:rPr>
              <w:t xml:space="preserve"> </w:t>
            </w:r>
            <w:r w:rsidRPr="004147FD">
              <w:rPr>
                <w:sz w:val="18"/>
                <w:szCs w:val="18"/>
                <w:lang w:val="sv-FI"/>
              </w:rPr>
              <w:t>Pencegahan</w:t>
            </w:r>
            <w:r w:rsidR="00A954D0" w:rsidRPr="004147FD">
              <w:rPr>
                <w:sz w:val="18"/>
                <w:szCs w:val="18"/>
                <w:lang w:val="sv-FI"/>
              </w:rPr>
              <w:t xml:space="preserve"> </w:t>
            </w:r>
            <w:r w:rsidRPr="004147FD">
              <w:rPr>
                <w:sz w:val="18"/>
                <w:szCs w:val="18"/>
                <w:lang w:val="sv-FI"/>
              </w:rPr>
              <w:t>dan</w:t>
            </w:r>
            <w:r w:rsidR="00A954D0" w:rsidRPr="004147FD">
              <w:rPr>
                <w:sz w:val="18"/>
                <w:szCs w:val="18"/>
                <w:lang w:val="sv-FI"/>
              </w:rPr>
              <w:t xml:space="preserve"> </w:t>
            </w:r>
            <w:r w:rsidRPr="004147FD">
              <w:rPr>
                <w:sz w:val="18"/>
                <w:szCs w:val="18"/>
                <w:lang w:val="sv-FI"/>
              </w:rPr>
              <w:t>Pemberantasan</w:t>
            </w:r>
            <w:r w:rsidR="00A954D0" w:rsidRPr="004147FD">
              <w:rPr>
                <w:sz w:val="18"/>
                <w:szCs w:val="18"/>
                <w:lang w:val="sv-FI"/>
              </w:rPr>
              <w:t xml:space="preserve"> </w:t>
            </w:r>
            <w:r w:rsidRPr="004147FD">
              <w:rPr>
                <w:sz w:val="18"/>
                <w:szCs w:val="18"/>
                <w:lang w:val="sv-FI"/>
              </w:rPr>
              <w:t>Korupsi,</w:t>
            </w:r>
            <w:r w:rsidR="00A954D0" w:rsidRPr="004147FD">
              <w:rPr>
                <w:sz w:val="18"/>
                <w:szCs w:val="18"/>
                <w:lang w:val="sv-FI"/>
              </w:rPr>
              <w:t xml:space="preserve"> </w:t>
            </w:r>
            <w:r w:rsidRPr="004147FD">
              <w:rPr>
                <w:sz w:val="18"/>
                <w:szCs w:val="18"/>
                <w:lang w:val="sv-FI"/>
              </w:rPr>
              <w:t>Narkoba,</w:t>
            </w:r>
            <w:r w:rsidR="00A954D0" w:rsidRPr="004147FD">
              <w:rPr>
                <w:sz w:val="18"/>
                <w:szCs w:val="18"/>
                <w:lang w:val="sv-FI"/>
              </w:rPr>
              <w:t xml:space="preserve"> </w:t>
            </w:r>
            <w:r w:rsidRPr="004147FD">
              <w:rPr>
                <w:sz w:val="18"/>
                <w:szCs w:val="18"/>
                <w:lang w:val="sv-FI"/>
              </w:rPr>
              <w:t>Judi</w:t>
            </w:r>
            <w:r w:rsidR="00A954D0" w:rsidRPr="004147FD">
              <w:rPr>
                <w:sz w:val="18"/>
                <w:szCs w:val="18"/>
                <w:lang w:val="sv-FI"/>
              </w:rPr>
              <w:t xml:space="preserve"> </w:t>
            </w:r>
            <w:r w:rsidRPr="004147FD">
              <w:rPr>
                <w:sz w:val="18"/>
                <w:szCs w:val="18"/>
                <w:lang w:val="sv-FI"/>
              </w:rPr>
              <w:t>dan</w:t>
            </w:r>
            <w:r w:rsidR="00A954D0" w:rsidRPr="004147FD">
              <w:rPr>
                <w:sz w:val="18"/>
                <w:szCs w:val="18"/>
                <w:lang w:val="sv-FI"/>
              </w:rPr>
              <w:t xml:space="preserve"> </w:t>
            </w:r>
            <w:r w:rsidRPr="004147FD">
              <w:rPr>
                <w:sz w:val="18"/>
                <w:szCs w:val="18"/>
                <w:lang w:val="sv-FI"/>
              </w:rPr>
              <w:t>Penyeludupan</w:t>
            </w:r>
          </w:p>
        </w:tc>
        <w:tc>
          <w:tcPr>
            <w:tcW w:w="1398" w:type="pct"/>
            <w:shd w:val="clear" w:color="auto" w:fill="auto"/>
            <w:noWrap/>
            <w:vAlign w:val="center"/>
          </w:tcPr>
          <w:p w14:paraId="7B2BF2A2" w14:textId="77777777" w:rsidR="000A4C87" w:rsidRPr="004147FD" w:rsidRDefault="000A4C87" w:rsidP="000A4C87">
            <w:pPr>
              <w:pStyle w:val="1Style1"/>
              <w:spacing w:line="240" w:lineRule="auto"/>
              <w:jc w:val="right"/>
              <w:rPr>
                <w:sz w:val="18"/>
                <w:szCs w:val="18"/>
              </w:rPr>
            </w:pPr>
            <w:r w:rsidRPr="004147FD">
              <w:rPr>
                <w:sz w:val="18"/>
                <w:szCs w:val="18"/>
              </w:rPr>
              <w:t>337.854.084.064,00</w:t>
            </w:r>
          </w:p>
        </w:tc>
        <w:tc>
          <w:tcPr>
            <w:tcW w:w="1072" w:type="pct"/>
            <w:shd w:val="clear" w:color="auto" w:fill="auto"/>
            <w:noWrap/>
            <w:vAlign w:val="center"/>
          </w:tcPr>
          <w:p w14:paraId="600828CF" w14:textId="77777777" w:rsidR="000A4C87" w:rsidRPr="004147FD" w:rsidRDefault="000A4C87" w:rsidP="000A4C87">
            <w:pPr>
              <w:pStyle w:val="1Style1"/>
              <w:spacing w:line="240" w:lineRule="auto"/>
              <w:jc w:val="center"/>
              <w:rPr>
                <w:sz w:val="18"/>
                <w:szCs w:val="18"/>
              </w:rPr>
            </w:pPr>
            <w:r w:rsidRPr="004147FD">
              <w:rPr>
                <w:sz w:val="18"/>
                <w:szCs w:val="18"/>
              </w:rPr>
              <w:t>5,92</w:t>
            </w:r>
          </w:p>
        </w:tc>
      </w:tr>
      <w:tr w:rsidR="008379CA" w:rsidRPr="008379CA" w14:paraId="3E3CE49B" w14:textId="77777777" w:rsidTr="004147FD">
        <w:trPr>
          <w:trHeight w:val="284"/>
        </w:trPr>
        <w:tc>
          <w:tcPr>
            <w:tcW w:w="389" w:type="pct"/>
            <w:shd w:val="clear" w:color="auto" w:fill="auto"/>
            <w:noWrap/>
            <w:vAlign w:val="center"/>
            <w:hideMark/>
          </w:tcPr>
          <w:p w14:paraId="45ADC6C4" w14:textId="77777777" w:rsidR="000A4C87" w:rsidRPr="004147FD" w:rsidRDefault="000A4C87" w:rsidP="000A4C87">
            <w:pPr>
              <w:pStyle w:val="1Style1"/>
              <w:spacing w:line="240" w:lineRule="auto"/>
              <w:jc w:val="center"/>
              <w:rPr>
                <w:sz w:val="18"/>
                <w:szCs w:val="18"/>
              </w:rPr>
            </w:pPr>
            <w:r w:rsidRPr="004147FD">
              <w:rPr>
                <w:sz w:val="18"/>
                <w:szCs w:val="18"/>
              </w:rPr>
              <w:t>8</w:t>
            </w:r>
          </w:p>
        </w:tc>
        <w:tc>
          <w:tcPr>
            <w:tcW w:w="2142" w:type="pct"/>
            <w:shd w:val="clear" w:color="auto" w:fill="auto"/>
            <w:vAlign w:val="center"/>
            <w:hideMark/>
          </w:tcPr>
          <w:p w14:paraId="36AF1476" w14:textId="65307625" w:rsidR="000A4C87" w:rsidRPr="004147FD" w:rsidRDefault="000A4C87" w:rsidP="000A4C87">
            <w:pPr>
              <w:pStyle w:val="1Style1"/>
              <w:spacing w:line="240" w:lineRule="auto"/>
              <w:rPr>
                <w:sz w:val="18"/>
                <w:szCs w:val="18"/>
                <w:lang w:val="sv-FI"/>
              </w:rPr>
            </w:pPr>
            <w:r w:rsidRPr="004147FD">
              <w:rPr>
                <w:sz w:val="18"/>
                <w:szCs w:val="18"/>
                <w:lang w:val="sv-FI"/>
              </w:rPr>
              <w:t>Memperkuat</w:t>
            </w:r>
            <w:r w:rsidR="00A954D0" w:rsidRPr="004147FD">
              <w:rPr>
                <w:sz w:val="18"/>
                <w:szCs w:val="18"/>
                <w:lang w:val="sv-FI"/>
              </w:rPr>
              <w:t xml:space="preserve"> </w:t>
            </w:r>
            <w:r w:rsidRPr="004147FD">
              <w:rPr>
                <w:sz w:val="18"/>
                <w:szCs w:val="18"/>
                <w:lang w:val="sv-FI"/>
              </w:rPr>
              <w:t>Penyelarasan</w:t>
            </w:r>
            <w:r w:rsidR="00A954D0" w:rsidRPr="004147FD">
              <w:rPr>
                <w:sz w:val="18"/>
                <w:szCs w:val="18"/>
                <w:lang w:val="sv-FI"/>
              </w:rPr>
              <w:t xml:space="preserve"> </w:t>
            </w:r>
            <w:r w:rsidRPr="004147FD">
              <w:rPr>
                <w:sz w:val="18"/>
                <w:szCs w:val="18"/>
                <w:lang w:val="sv-FI"/>
              </w:rPr>
              <w:t>Kehidupan</w:t>
            </w:r>
            <w:r w:rsidR="00A954D0" w:rsidRPr="004147FD">
              <w:rPr>
                <w:sz w:val="18"/>
                <w:szCs w:val="18"/>
                <w:lang w:val="sv-FI"/>
              </w:rPr>
              <w:t xml:space="preserve"> </w:t>
            </w:r>
            <w:r w:rsidRPr="004147FD">
              <w:rPr>
                <w:sz w:val="18"/>
                <w:szCs w:val="18"/>
                <w:lang w:val="sv-FI"/>
              </w:rPr>
              <w:t>yang</w:t>
            </w:r>
            <w:r w:rsidR="00A954D0" w:rsidRPr="004147FD">
              <w:rPr>
                <w:sz w:val="18"/>
                <w:szCs w:val="18"/>
                <w:lang w:val="sv-FI"/>
              </w:rPr>
              <w:t xml:space="preserve"> </w:t>
            </w:r>
            <w:r w:rsidRPr="004147FD">
              <w:rPr>
                <w:sz w:val="18"/>
                <w:szCs w:val="18"/>
                <w:lang w:val="sv-FI"/>
              </w:rPr>
              <w:t>Harmonis</w:t>
            </w:r>
            <w:r w:rsidR="00A954D0" w:rsidRPr="004147FD">
              <w:rPr>
                <w:sz w:val="18"/>
                <w:szCs w:val="18"/>
                <w:lang w:val="sv-FI"/>
              </w:rPr>
              <w:t xml:space="preserve"> </w:t>
            </w:r>
            <w:r w:rsidRPr="004147FD">
              <w:rPr>
                <w:sz w:val="18"/>
                <w:szCs w:val="18"/>
                <w:lang w:val="sv-FI"/>
              </w:rPr>
              <w:t>dengan</w:t>
            </w:r>
            <w:r w:rsidR="00A954D0" w:rsidRPr="004147FD">
              <w:rPr>
                <w:sz w:val="18"/>
                <w:szCs w:val="18"/>
                <w:lang w:val="sv-FI"/>
              </w:rPr>
              <w:t xml:space="preserve"> </w:t>
            </w:r>
            <w:r w:rsidRPr="004147FD">
              <w:rPr>
                <w:sz w:val="18"/>
                <w:szCs w:val="18"/>
                <w:lang w:val="sv-FI"/>
              </w:rPr>
              <w:t>Lingkungan,</w:t>
            </w:r>
            <w:r w:rsidR="00A954D0" w:rsidRPr="004147FD">
              <w:rPr>
                <w:sz w:val="18"/>
                <w:szCs w:val="18"/>
                <w:lang w:val="sv-FI"/>
              </w:rPr>
              <w:t xml:space="preserve"> </w:t>
            </w:r>
            <w:r w:rsidRPr="004147FD">
              <w:rPr>
                <w:sz w:val="18"/>
                <w:szCs w:val="18"/>
                <w:lang w:val="sv-FI"/>
              </w:rPr>
              <w:t>Alam</w:t>
            </w:r>
            <w:r w:rsidR="00A954D0" w:rsidRPr="004147FD">
              <w:rPr>
                <w:sz w:val="18"/>
                <w:szCs w:val="18"/>
                <w:lang w:val="sv-FI"/>
              </w:rPr>
              <w:t xml:space="preserve"> </w:t>
            </w:r>
            <w:r w:rsidRPr="004147FD">
              <w:rPr>
                <w:sz w:val="18"/>
                <w:szCs w:val="18"/>
                <w:lang w:val="sv-FI"/>
              </w:rPr>
              <w:t>dan</w:t>
            </w:r>
            <w:r w:rsidR="00A954D0" w:rsidRPr="004147FD">
              <w:rPr>
                <w:sz w:val="18"/>
                <w:szCs w:val="18"/>
                <w:lang w:val="sv-FI"/>
              </w:rPr>
              <w:t xml:space="preserve"> </w:t>
            </w:r>
            <w:r w:rsidRPr="004147FD">
              <w:rPr>
                <w:sz w:val="18"/>
                <w:szCs w:val="18"/>
                <w:lang w:val="sv-FI"/>
              </w:rPr>
              <w:t>Budaya,</w:t>
            </w:r>
            <w:r w:rsidR="00A954D0" w:rsidRPr="004147FD">
              <w:rPr>
                <w:sz w:val="18"/>
                <w:szCs w:val="18"/>
                <w:lang w:val="sv-FI"/>
              </w:rPr>
              <w:t xml:space="preserve"> </w:t>
            </w:r>
            <w:r w:rsidRPr="004147FD">
              <w:rPr>
                <w:sz w:val="18"/>
                <w:szCs w:val="18"/>
                <w:lang w:val="sv-FI"/>
              </w:rPr>
              <w:t>serta</w:t>
            </w:r>
            <w:r w:rsidR="00A954D0" w:rsidRPr="004147FD">
              <w:rPr>
                <w:sz w:val="18"/>
                <w:szCs w:val="18"/>
                <w:lang w:val="sv-FI"/>
              </w:rPr>
              <w:t xml:space="preserve"> </w:t>
            </w:r>
            <w:r w:rsidRPr="004147FD">
              <w:rPr>
                <w:sz w:val="18"/>
                <w:szCs w:val="18"/>
                <w:lang w:val="sv-FI"/>
              </w:rPr>
              <w:t>Peningkatan</w:t>
            </w:r>
            <w:r w:rsidR="00A954D0" w:rsidRPr="004147FD">
              <w:rPr>
                <w:sz w:val="18"/>
                <w:szCs w:val="18"/>
                <w:lang w:val="sv-FI"/>
              </w:rPr>
              <w:t xml:space="preserve"> </w:t>
            </w:r>
            <w:r w:rsidRPr="004147FD">
              <w:rPr>
                <w:sz w:val="18"/>
                <w:szCs w:val="18"/>
                <w:lang w:val="sv-FI"/>
              </w:rPr>
              <w:t>Toleransi</w:t>
            </w:r>
            <w:r w:rsidR="00A954D0" w:rsidRPr="004147FD">
              <w:rPr>
                <w:sz w:val="18"/>
                <w:szCs w:val="18"/>
                <w:lang w:val="sv-FI"/>
              </w:rPr>
              <w:t xml:space="preserve"> </w:t>
            </w:r>
            <w:r w:rsidRPr="004147FD">
              <w:rPr>
                <w:sz w:val="18"/>
                <w:szCs w:val="18"/>
                <w:lang w:val="sv-FI"/>
              </w:rPr>
              <w:t>Antarumat</w:t>
            </w:r>
            <w:r w:rsidR="00A954D0" w:rsidRPr="004147FD">
              <w:rPr>
                <w:sz w:val="18"/>
                <w:szCs w:val="18"/>
                <w:lang w:val="sv-FI"/>
              </w:rPr>
              <w:t xml:space="preserve"> </w:t>
            </w:r>
            <w:r w:rsidRPr="004147FD">
              <w:rPr>
                <w:sz w:val="18"/>
                <w:szCs w:val="18"/>
                <w:lang w:val="sv-FI"/>
              </w:rPr>
              <w:t>Beragama</w:t>
            </w:r>
            <w:r w:rsidR="00A954D0" w:rsidRPr="004147FD">
              <w:rPr>
                <w:sz w:val="18"/>
                <w:szCs w:val="18"/>
                <w:lang w:val="sv-FI"/>
              </w:rPr>
              <w:t xml:space="preserve"> </w:t>
            </w:r>
            <w:r w:rsidRPr="004147FD">
              <w:rPr>
                <w:sz w:val="18"/>
                <w:szCs w:val="18"/>
                <w:lang w:val="sv-FI"/>
              </w:rPr>
              <w:t>untuk</w:t>
            </w:r>
            <w:r w:rsidR="00A954D0" w:rsidRPr="004147FD">
              <w:rPr>
                <w:sz w:val="18"/>
                <w:szCs w:val="18"/>
                <w:lang w:val="sv-FI"/>
              </w:rPr>
              <w:t xml:space="preserve"> </w:t>
            </w:r>
            <w:r w:rsidRPr="004147FD">
              <w:rPr>
                <w:sz w:val="18"/>
                <w:szCs w:val="18"/>
                <w:lang w:val="sv-FI"/>
              </w:rPr>
              <w:t>Mencapai</w:t>
            </w:r>
            <w:r w:rsidR="00A954D0" w:rsidRPr="004147FD">
              <w:rPr>
                <w:sz w:val="18"/>
                <w:szCs w:val="18"/>
                <w:lang w:val="sv-FI"/>
              </w:rPr>
              <w:t xml:space="preserve"> </w:t>
            </w:r>
            <w:r w:rsidRPr="004147FD">
              <w:rPr>
                <w:sz w:val="18"/>
                <w:szCs w:val="18"/>
                <w:lang w:val="sv-FI"/>
              </w:rPr>
              <w:t>Masyarakat</w:t>
            </w:r>
            <w:r w:rsidR="00A954D0" w:rsidRPr="004147FD">
              <w:rPr>
                <w:sz w:val="18"/>
                <w:szCs w:val="18"/>
                <w:lang w:val="sv-FI"/>
              </w:rPr>
              <w:t xml:space="preserve"> </w:t>
            </w:r>
            <w:r w:rsidRPr="004147FD">
              <w:rPr>
                <w:sz w:val="18"/>
                <w:szCs w:val="18"/>
                <w:lang w:val="sv-FI"/>
              </w:rPr>
              <w:t>yang</w:t>
            </w:r>
            <w:r w:rsidR="00A954D0" w:rsidRPr="004147FD">
              <w:rPr>
                <w:sz w:val="18"/>
                <w:szCs w:val="18"/>
                <w:lang w:val="sv-FI"/>
              </w:rPr>
              <w:t xml:space="preserve"> </w:t>
            </w:r>
            <w:r w:rsidRPr="004147FD">
              <w:rPr>
                <w:sz w:val="18"/>
                <w:szCs w:val="18"/>
                <w:lang w:val="sv-FI"/>
              </w:rPr>
              <w:t>Adil</w:t>
            </w:r>
            <w:r w:rsidR="00A954D0" w:rsidRPr="004147FD">
              <w:rPr>
                <w:sz w:val="18"/>
                <w:szCs w:val="18"/>
                <w:lang w:val="sv-FI"/>
              </w:rPr>
              <w:t xml:space="preserve"> </w:t>
            </w:r>
            <w:r w:rsidRPr="004147FD">
              <w:rPr>
                <w:sz w:val="18"/>
                <w:szCs w:val="18"/>
                <w:lang w:val="sv-FI"/>
              </w:rPr>
              <w:t>dan</w:t>
            </w:r>
            <w:r w:rsidR="00A954D0" w:rsidRPr="004147FD">
              <w:rPr>
                <w:sz w:val="18"/>
                <w:szCs w:val="18"/>
                <w:lang w:val="sv-FI"/>
              </w:rPr>
              <w:t xml:space="preserve"> </w:t>
            </w:r>
            <w:r w:rsidRPr="004147FD">
              <w:rPr>
                <w:sz w:val="18"/>
                <w:szCs w:val="18"/>
                <w:lang w:val="sv-FI"/>
              </w:rPr>
              <w:t>Makmur</w:t>
            </w:r>
          </w:p>
        </w:tc>
        <w:tc>
          <w:tcPr>
            <w:tcW w:w="1398" w:type="pct"/>
            <w:shd w:val="clear" w:color="auto" w:fill="auto"/>
            <w:noWrap/>
            <w:vAlign w:val="center"/>
          </w:tcPr>
          <w:p w14:paraId="75B0C2BD" w14:textId="77777777" w:rsidR="000A4C87" w:rsidRPr="004147FD" w:rsidRDefault="000A4C87" w:rsidP="000A4C87">
            <w:pPr>
              <w:pStyle w:val="1Style1"/>
              <w:spacing w:line="240" w:lineRule="auto"/>
              <w:jc w:val="right"/>
              <w:rPr>
                <w:sz w:val="18"/>
                <w:szCs w:val="18"/>
              </w:rPr>
            </w:pPr>
            <w:r w:rsidRPr="004147FD">
              <w:rPr>
                <w:sz w:val="18"/>
                <w:szCs w:val="18"/>
              </w:rPr>
              <w:t>319.302.046.400,00</w:t>
            </w:r>
          </w:p>
        </w:tc>
        <w:tc>
          <w:tcPr>
            <w:tcW w:w="1072" w:type="pct"/>
            <w:shd w:val="clear" w:color="auto" w:fill="auto"/>
            <w:noWrap/>
            <w:vAlign w:val="center"/>
          </w:tcPr>
          <w:p w14:paraId="192BBEA1" w14:textId="77777777" w:rsidR="000A4C87" w:rsidRPr="004147FD" w:rsidRDefault="000A4C87" w:rsidP="000A4C87">
            <w:pPr>
              <w:jc w:val="center"/>
              <w:rPr>
                <w:rFonts w:ascii="Bookman Old Style" w:hAnsi="Bookman Old Style"/>
                <w:sz w:val="18"/>
                <w:szCs w:val="18"/>
                <w:lang w:val="en-US"/>
              </w:rPr>
            </w:pPr>
            <w:r w:rsidRPr="004147FD">
              <w:rPr>
                <w:rFonts w:ascii="Bookman Old Style" w:hAnsi="Bookman Old Style"/>
                <w:sz w:val="18"/>
                <w:szCs w:val="18"/>
                <w:lang w:val="en-US"/>
              </w:rPr>
              <w:t>5,60</w:t>
            </w:r>
          </w:p>
        </w:tc>
      </w:tr>
      <w:tr w:rsidR="008379CA" w:rsidRPr="008379CA" w14:paraId="315E3F63" w14:textId="77777777" w:rsidTr="004147FD">
        <w:trPr>
          <w:trHeight w:val="277"/>
        </w:trPr>
        <w:tc>
          <w:tcPr>
            <w:tcW w:w="2530" w:type="pct"/>
            <w:gridSpan w:val="2"/>
            <w:shd w:val="clear" w:color="auto" w:fill="auto"/>
            <w:vAlign w:val="center"/>
            <w:hideMark/>
          </w:tcPr>
          <w:p w14:paraId="411AD80A" w14:textId="77777777" w:rsidR="000A4C87" w:rsidRPr="004147FD" w:rsidRDefault="000A4C87" w:rsidP="000A4C87">
            <w:pPr>
              <w:pStyle w:val="1Style1"/>
              <w:spacing w:line="240" w:lineRule="auto"/>
              <w:jc w:val="center"/>
              <w:rPr>
                <w:b/>
                <w:sz w:val="18"/>
                <w:szCs w:val="18"/>
              </w:rPr>
            </w:pPr>
            <w:r w:rsidRPr="004147FD">
              <w:rPr>
                <w:b/>
                <w:sz w:val="18"/>
                <w:szCs w:val="18"/>
              </w:rPr>
              <w:t>JUMLAH</w:t>
            </w:r>
          </w:p>
        </w:tc>
        <w:tc>
          <w:tcPr>
            <w:tcW w:w="1398" w:type="pct"/>
            <w:shd w:val="clear" w:color="auto" w:fill="auto"/>
            <w:noWrap/>
            <w:vAlign w:val="center"/>
          </w:tcPr>
          <w:p w14:paraId="268FF238" w14:textId="704F5E41" w:rsidR="000A4C87" w:rsidRPr="004147FD" w:rsidRDefault="000A4C87" w:rsidP="000A4C87">
            <w:pPr>
              <w:pStyle w:val="1Style1"/>
              <w:spacing w:line="240" w:lineRule="auto"/>
              <w:jc w:val="right"/>
              <w:rPr>
                <w:b/>
                <w:sz w:val="18"/>
                <w:szCs w:val="18"/>
                <w:lang w:val="en-ID"/>
              </w:rPr>
            </w:pPr>
            <w:r w:rsidRPr="004147FD">
              <w:rPr>
                <w:b/>
                <w:sz w:val="18"/>
                <w:szCs w:val="18"/>
                <w:lang w:val="en-ID"/>
              </w:rPr>
              <w:t>2.492.994.936.301,00</w:t>
            </w:r>
          </w:p>
        </w:tc>
        <w:tc>
          <w:tcPr>
            <w:tcW w:w="1072" w:type="pct"/>
            <w:shd w:val="clear" w:color="auto" w:fill="auto"/>
            <w:noWrap/>
            <w:vAlign w:val="center"/>
          </w:tcPr>
          <w:p w14:paraId="7B4C18BF" w14:textId="77777777" w:rsidR="000A4C87" w:rsidRPr="004147FD" w:rsidRDefault="000A4C87" w:rsidP="000A4C87">
            <w:pPr>
              <w:pStyle w:val="1Style1"/>
              <w:spacing w:line="240" w:lineRule="auto"/>
              <w:jc w:val="center"/>
              <w:rPr>
                <w:b/>
                <w:sz w:val="18"/>
                <w:szCs w:val="18"/>
              </w:rPr>
            </w:pPr>
            <w:r w:rsidRPr="004147FD">
              <w:rPr>
                <w:b/>
                <w:sz w:val="18"/>
                <w:szCs w:val="18"/>
              </w:rPr>
              <w:t>43,69</w:t>
            </w:r>
          </w:p>
        </w:tc>
      </w:tr>
    </w:tbl>
    <w:p w14:paraId="07B2974E" w14:textId="01071EC1" w:rsidR="000A4C87" w:rsidRPr="008379CA" w:rsidRDefault="000A4C87" w:rsidP="00EE5FA9">
      <w:pPr>
        <w:pStyle w:val="ListParagraph"/>
        <w:spacing w:before="120" w:after="0" w:line="276" w:lineRule="auto"/>
        <w:ind w:left="993"/>
        <w:contextualSpacing w:val="0"/>
        <w:jc w:val="both"/>
        <w:rPr>
          <w:rFonts w:ascii="Bookman Old Style" w:hAnsi="Bookman Old Style" w:cs="Arial"/>
          <w:sz w:val="24"/>
          <w:szCs w:val="24"/>
          <w:lang w:val="en-US"/>
        </w:rPr>
      </w:pPr>
      <w:r w:rsidRPr="008379CA">
        <w:rPr>
          <w:rFonts w:ascii="Bookman Old Style" w:hAnsi="Bookman Old Style" w:cs="Arial"/>
          <w:sz w:val="24"/>
          <w:szCs w:val="24"/>
          <w:lang w:val="en-ID"/>
        </w:rPr>
        <w:lastRenderedPageBreak/>
        <w:t>Berdasarkan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tabel</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di</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atas,</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Pemerintah</w:t>
      </w:r>
      <w:r w:rsidR="00A954D0" w:rsidRPr="008379CA">
        <w:rPr>
          <w:rFonts w:ascii="Bookman Old Style" w:hAnsi="Bookman Old Style" w:cs="Arial"/>
          <w:sz w:val="24"/>
          <w:szCs w:val="24"/>
          <w:lang w:val="en-ID"/>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b/>
          <w:bCs/>
          <w:sz w:val="24"/>
          <w:szCs w:val="24"/>
          <w:lang w:val="fi-FI"/>
        </w:rPr>
        <w:t>belum</w:t>
      </w:r>
      <w:r w:rsidR="00A954D0" w:rsidRPr="008379CA">
        <w:rPr>
          <w:rFonts w:ascii="Bookman Old Style" w:hAnsi="Bookman Old Style"/>
          <w:b/>
          <w:bCs/>
          <w:sz w:val="24"/>
          <w:szCs w:val="24"/>
          <w:lang w:val="fi-FI"/>
        </w:rPr>
        <w:t xml:space="preserve"> </w:t>
      </w:r>
      <w:r w:rsidRPr="008379CA">
        <w:rPr>
          <w:rFonts w:ascii="Bookman Old Style" w:hAnsi="Bookman Old Style"/>
          <w:b/>
          <w:bCs/>
          <w:sz w:val="24"/>
          <w:szCs w:val="24"/>
          <w:lang w:val="fi-FI"/>
        </w:rPr>
        <w:t>seluruhnya</w:t>
      </w:r>
      <w:r w:rsidR="00A954D0" w:rsidRPr="008379CA">
        <w:rPr>
          <w:rFonts w:ascii="Bookman Old Style" w:hAnsi="Bookman Old Style"/>
          <w:sz w:val="24"/>
          <w:szCs w:val="24"/>
          <w:lang w:val="fi-FI"/>
        </w:rPr>
        <w:t xml:space="preserve"> </w:t>
      </w:r>
      <w:r w:rsidRPr="008379CA">
        <w:rPr>
          <w:rFonts w:ascii="Bookman Old Style" w:hAnsi="Bookman Old Style" w:cs="Arial"/>
          <w:sz w:val="24"/>
          <w:szCs w:val="24"/>
          <w:lang w:val="en-ID"/>
        </w:rPr>
        <w:t>mengalokasikan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anggaran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dalam</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Rancangan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Peraturan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Daerah</w:t>
      </w:r>
      <w:r w:rsidR="00A954D0" w:rsidRPr="008379CA">
        <w:rPr>
          <w:rFonts w:ascii="Bookman Old Style" w:hAnsi="Bookman Old Style" w:cs="Arial"/>
          <w:sz w:val="24"/>
          <w:szCs w:val="24"/>
          <w:lang w:val="en-ID"/>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tentang</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APBD</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Tahun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Anggaran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2025</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terhadap</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kebijakan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Prioritas</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Pembangunan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Nasional</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tahun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2025,</w:t>
      </w:r>
      <w:r w:rsidR="00A954D0" w:rsidRPr="008379CA">
        <w:rPr>
          <w:rFonts w:ascii="Bookman Old Style" w:hAnsi="Bookman Old Style" w:cs="Arial"/>
          <w:sz w:val="24"/>
          <w:szCs w:val="24"/>
          <w:lang w:val="en-ID"/>
        </w:rPr>
        <w:t xml:space="preserve"> </w:t>
      </w:r>
      <w:r w:rsidR="008E4A82" w:rsidRPr="008379CA">
        <w:rPr>
          <w:rFonts w:ascii="Bookman Old Style" w:hAnsi="Bookman Old Style" w:cs="Arial"/>
          <w:sz w:val="24"/>
          <w:szCs w:val="24"/>
          <w:lang w:val="en-ID"/>
        </w:rPr>
        <w:t xml:space="preserve">selain itu, </w:t>
      </w:r>
      <w:r w:rsidRPr="008379CA">
        <w:rPr>
          <w:rFonts w:ascii="Bookman Old Style" w:hAnsi="Bookman Old Style" w:cs="Arial"/>
          <w:sz w:val="24"/>
          <w:szCs w:val="24"/>
          <w:lang w:val="en-ID"/>
        </w:rPr>
        <w:t>alokasi</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anggaran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Prioritas</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Pembangunan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Nasional</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tahun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2025</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yang</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tercantum</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id-ID"/>
        </w:rPr>
        <w:t>dalam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SIPD</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RI</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belum</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sesuai</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dengan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format</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data</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dukung</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evaluasi</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Kota</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Tangerang</w:t>
      </w:r>
      <w:r w:rsidRPr="008379CA">
        <w:rPr>
          <w:rFonts w:ascii="Bookman Old Style" w:hAnsi="Bookman Old Style" w:cs="Arial"/>
          <w:sz w:val="24"/>
          <w:szCs w:val="24"/>
          <w:lang w:val="id-ID"/>
        </w:rPr>
        <w:t>.</w:t>
      </w:r>
      <w:r w:rsidR="00A954D0" w:rsidRPr="008379CA">
        <w:rPr>
          <w:rFonts w:ascii="Bookman Old Style" w:hAnsi="Bookman Old Style" w:cs="Arial"/>
          <w:sz w:val="24"/>
          <w:szCs w:val="24"/>
          <w:lang w:val="en-US"/>
        </w:rPr>
        <w:t xml:space="preserve"> </w:t>
      </w:r>
    </w:p>
    <w:p w14:paraId="1D9EB80F" w14:textId="1470AE76" w:rsidR="000A4C87" w:rsidRPr="008379CA" w:rsidRDefault="000A4C87" w:rsidP="00EE5FA9">
      <w:pPr>
        <w:pStyle w:val="ListParagraph"/>
        <w:spacing w:before="60" w:after="0" w:line="276" w:lineRule="auto"/>
        <w:ind w:left="993"/>
        <w:contextualSpacing w:val="0"/>
        <w:jc w:val="both"/>
        <w:rPr>
          <w:rFonts w:ascii="Bookman Old Style" w:hAnsi="Bookman Old Style" w:cs="Arial"/>
          <w:sz w:val="24"/>
          <w:szCs w:val="24"/>
          <w:lang w:val="en-US"/>
        </w:rPr>
      </w:pPr>
      <w:r w:rsidRPr="008379CA">
        <w:rPr>
          <w:rFonts w:ascii="Bookman Old Style" w:hAnsi="Bookman Old Style" w:cs="Arial"/>
          <w:sz w:val="24"/>
          <w:szCs w:val="24"/>
          <w:lang w:val="en-US"/>
        </w:rPr>
        <w:t>Untuk</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itu,</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Pemerintah</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rPr>
        <w:t>Daerah</w:t>
      </w:r>
      <w:r w:rsidR="00A954D0" w:rsidRPr="008379CA">
        <w:rPr>
          <w:rFonts w:ascii="Bookman Old Style" w:hAnsi="Bookman Old Style" w:cs="Arial"/>
          <w:sz w:val="24"/>
          <w:szCs w:val="24"/>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harus</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menyelaraskan</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tabel</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Prioritas</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Daerah</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Tahun</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2025</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tersebut</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dengan</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tabel</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Prioritas</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Pembangunan</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Nasional</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tahun</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2025</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berdasarkan</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Prioritas</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Pembangunan</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Nasional</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tahun</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2025</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dalam</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SIPD</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RI</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dan</w:t>
      </w:r>
      <w:r w:rsidR="00A954D0" w:rsidRPr="008379CA">
        <w:rPr>
          <w:rFonts w:ascii="Bookman Old Style" w:hAnsi="Bookman Old Style" w:cs="Arial"/>
          <w:sz w:val="24"/>
          <w:szCs w:val="24"/>
          <w:lang w:val="en-US"/>
        </w:rPr>
        <w:t xml:space="preserve"> </w:t>
      </w:r>
      <w:r w:rsidRPr="008379CA">
        <w:rPr>
          <w:rFonts w:ascii="Bookman Old Style" w:hAnsi="Bookman Old Style"/>
          <w:sz w:val="24"/>
          <w:szCs w:val="24"/>
          <w:lang w:val="en-US"/>
        </w:rPr>
        <w:t>mengupayakan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konsistensi</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pada</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tahapan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selanjutnya</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dengan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dokumen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yang</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tercantum</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dalam</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SIPD</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RI.</w:t>
      </w:r>
    </w:p>
    <w:p w14:paraId="4FA30D70" w14:textId="1A119514" w:rsidR="00A62DA3" w:rsidRPr="008379CA" w:rsidRDefault="000A4C87" w:rsidP="00EE5FA9">
      <w:pPr>
        <w:pStyle w:val="ListParagraph"/>
        <w:spacing w:before="60" w:after="0" w:line="276" w:lineRule="auto"/>
        <w:ind w:left="993"/>
        <w:contextualSpacing w:val="0"/>
        <w:jc w:val="both"/>
        <w:rPr>
          <w:rFonts w:ascii="Bookman Old Style" w:hAnsi="Bookman Old Style"/>
          <w:sz w:val="24"/>
          <w:szCs w:val="24"/>
          <w:lang w:val="id-ID"/>
        </w:rPr>
      </w:pPr>
      <w:r w:rsidRPr="008379CA">
        <w:rPr>
          <w:rFonts w:ascii="Bookman Old Style" w:hAnsi="Bookman Old Style" w:cs="Arial"/>
          <w:sz w:val="24"/>
          <w:szCs w:val="24"/>
          <w:lang w:val="en-US"/>
        </w:rPr>
        <w:t>Selanjutnya,</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Pemerintah</w:t>
      </w:r>
      <w:r w:rsidR="00A954D0" w:rsidRPr="008379CA">
        <w:rPr>
          <w:rFonts w:ascii="Bookman Old Style" w:hAnsi="Bookman Old Style" w:cs="Arial"/>
          <w:sz w:val="24"/>
          <w:szCs w:val="24"/>
          <w:lang w:val="en-US"/>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cs="Arial"/>
          <w:sz w:val="24"/>
          <w:szCs w:val="24"/>
          <w:lang w:val="en-US"/>
        </w:rPr>
        <w:t>agar</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meningkatkan</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alokasi</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anggaran</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ID"/>
        </w:rPr>
        <w:t>dalam</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rangka</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pemenuhan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capaian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target</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prioritas</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antara</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pusat</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daerah</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dengan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mempertimbangkan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potensi</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kebutuhan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masing-masing</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daerah</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secara</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spesifik</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US"/>
        </w:rPr>
        <w:t>guna</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mendukung</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pencapaian</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Visi</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dan</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Misi</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Presiden</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dan</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Wakil</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Presiden.</w:t>
      </w:r>
    </w:p>
    <w:p w14:paraId="0E82E371" w14:textId="3E63E68F" w:rsidR="00A62DA3" w:rsidRPr="008379CA" w:rsidRDefault="00924639" w:rsidP="00EE5FA9">
      <w:pPr>
        <w:pStyle w:val="ListParagraph"/>
        <w:numPr>
          <w:ilvl w:val="0"/>
          <w:numId w:val="96"/>
        </w:numPr>
        <w:spacing w:before="60" w:after="0" w:line="276" w:lineRule="auto"/>
        <w:ind w:left="993" w:hanging="426"/>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de-DE"/>
        </w:rPr>
        <w:t>Penyediaan</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lang w:val="id-ID"/>
        </w:rPr>
        <w:t>dalam</w:t>
      </w:r>
      <w:r w:rsidR="00A954D0" w:rsidRPr="008379CA">
        <w:rPr>
          <w:rFonts w:ascii="Bookman Old Style" w:hAnsi="Bookman Old Style"/>
          <w:sz w:val="24"/>
          <w:szCs w:val="24"/>
        </w:rPr>
        <w:t xml:space="preserve"> </w:t>
      </w:r>
      <w:r w:rsidRPr="008379CA">
        <w:rPr>
          <w:rFonts w:ascii="Bookman Old Style" w:hAnsi="Bookman Old Style"/>
          <w:sz w:val="24"/>
          <w:szCs w:val="24"/>
        </w:rPr>
        <w:t>Rancangan</w:t>
      </w:r>
      <w:r w:rsidR="00A954D0" w:rsidRPr="008379CA">
        <w:rPr>
          <w:rFonts w:ascii="Bookman Old Style" w:hAnsi="Bookman Old Style"/>
          <w:sz w:val="24"/>
          <w:szCs w:val="24"/>
        </w:rPr>
        <w:t xml:space="preserve"> </w:t>
      </w:r>
      <w:r w:rsidRPr="008379CA">
        <w:rPr>
          <w:rFonts w:ascii="Bookman Old Style" w:hAnsi="Bookman Old Style"/>
          <w:sz w:val="24"/>
          <w:szCs w:val="24"/>
        </w:rPr>
        <w:t>Peraturan</w:t>
      </w:r>
      <w:r w:rsidR="00A954D0" w:rsidRPr="008379CA">
        <w:rPr>
          <w:rFonts w:ascii="Bookman Old Style" w:hAnsi="Bookman Old Style"/>
          <w:sz w:val="24"/>
          <w:szCs w:val="24"/>
        </w:rPr>
        <w:t xml:space="preserve"> </w:t>
      </w:r>
      <w:r w:rsidRPr="008379CA">
        <w:rPr>
          <w:rFonts w:ascii="Bookman Old Style" w:hAnsi="Bookman Old Style" w:cs="Arial"/>
          <w:sz w:val="24"/>
          <w:szCs w:val="24"/>
        </w:rPr>
        <w:t>Daerah</w:t>
      </w:r>
      <w:r w:rsidR="00A954D0" w:rsidRPr="008379CA">
        <w:rPr>
          <w:rFonts w:ascii="Bookman Old Style" w:hAnsi="Bookman Old Style" w:cs="Arial"/>
          <w:sz w:val="24"/>
          <w:szCs w:val="24"/>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00770F22" w:rsidRPr="008379CA">
        <w:rPr>
          <w:rFonts w:ascii="Bookman Old Style" w:hAnsi="Bookman Old Style"/>
          <w:sz w:val="24"/>
          <w:szCs w:val="24"/>
          <w:lang w:val="fi-FI"/>
        </w:rPr>
        <w:t>Tangerang</w:t>
      </w:r>
      <w:r w:rsidR="00A954D0" w:rsidRPr="008379CA">
        <w:rPr>
          <w:rFonts w:ascii="Bookman Old Style" w:hAnsi="Bookman Old Style"/>
          <w:sz w:val="24"/>
          <w:szCs w:val="24"/>
        </w:rPr>
        <w:t xml:space="preserve"> </w:t>
      </w:r>
      <w:r w:rsidRPr="008379CA">
        <w:rPr>
          <w:rFonts w:ascii="Bookman Old Style" w:hAnsi="Bookman Old Style"/>
          <w:sz w:val="24"/>
          <w:szCs w:val="24"/>
        </w:rPr>
        <w:t>tentang</w:t>
      </w:r>
      <w:r w:rsidR="00A954D0" w:rsidRPr="008379CA">
        <w:rPr>
          <w:rFonts w:ascii="Bookman Old Style" w:hAnsi="Bookman Old Style"/>
          <w:sz w:val="24"/>
          <w:szCs w:val="24"/>
        </w:rPr>
        <w:t xml:space="preserve"> </w:t>
      </w:r>
      <w:r w:rsidRPr="008379CA">
        <w:rPr>
          <w:rFonts w:ascii="Bookman Old Style" w:hAnsi="Bookman Old Style"/>
          <w:sz w:val="24"/>
          <w:szCs w:val="24"/>
        </w:rPr>
        <w:t>APBD</w:t>
      </w:r>
      <w:r w:rsidR="00A954D0" w:rsidRPr="008379CA">
        <w:rPr>
          <w:rFonts w:ascii="Bookman Old Style" w:hAnsi="Bookman Old Style"/>
          <w:sz w:val="24"/>
          <w:szCs w:val="24"/>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2025</w:t>
      </w:r>
      <w:r w:rsidR="00A954D0" w:rsidRPr="008379CA">
        <w:rPr>
          <w:rFonts w:ascii="Bookman Old Style" w:hAnsi="Bookman Old Style"/>
          <w:sz w:val="24"/>
          <w:szCs w:val="24"/>
        </w:rPr>
        <w:t xml:space="preserve"> </w:t>
      </w:r>
      <w:r w:rsidRPr="008379CA">
        <w:rPr>
          <w:rFonts w:ascii="Bookman Old Style" w:hAnsi="Bookman Old Style"/>
          <w:sz w:val="24"/>
          <w:szCs w:val="24"/>
          <w:lang w:val="id-ID"/>
        </w:rPr>
        <w:t>dan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Rancangan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Peraturan</w:t>
      </w:r>
      <w:r w:rsidR="00A954D0" w:rsidRPr="008379CA">
        <w:rPr>
          <w:rFonts w:ascii="Bookman Old Style" w:hAnsi="Bookman Old Style"/>
          <w:sz w:val="24"/>
          <w:szCs w:val="24"/>
          <w:lang w:val="id-ID"/>
        </w:rPr>
        <w:t xml:space="preserve"> </w:t>
      </w:r>
      <w:r w:rsidR="001C092E" w:rsidRPr="008379CA">
        <w:rPr>
          <w:rFonts w:ascii="Bookman Old Style" w:hAnsi="Bookman Old Style"/>
          <w:sz w:val="24"/>
          <w:szCs w:val="24"/>
        </w:rPr>
        <w:t>Wali</w:t>
      </w:r>
      <w:r w:rsidR="00A954D0" w:rsidRPr="008379CA">
        <w:rPr>
          <w:rFonts w:ascii="Bookman Old Style" w:hAnsi="Bookman Old Style"/>
          <w:sz w:val="24"/>
          <w:szCs w:val="24"/>
        </w:rPr>
        <w:t xml:space="preserve"> </w:t>
      </w:r>
      <w:r w:rsidR="001C092E" w:rsidRPr="008379CA">
        <w:rPr>
          <w:rFonts w:ascii="Bookman Old Style" w:hAnsi="Bookman Old Style"/>
          <w:sz w:val="24"/>
          <w:szCs w:val="24"/>
        </w:rPr>
        <w:t>Kota</w:t>
      </w:r>
      <w:r w:rsidR="00A954D0" w:rsidRPr="008379CA">
        <w:rPr>
          <w:rFonts w:ascii="Bookman Old Style" w:hAnsi="Bookman Old Style"/>
          <w:sz w:val="24"/>
          <w:szCs w:val="24"/>
          <w:lang w:val="id-ID"/>
        </w:rPr>
        <w:t xml:space="preserve"> </w:t>
      </w:r>
      <w:r w:rsidR="00770F22" w:rsidRPr="008379CA">
        <w:rPr>
          <w:rFonts w:ascii="Bookman Old Style" w:hAnsi="Bookman Old Style"/>
          <w:sz w:val="24"/>
          <w:szCs w:val="24"/>
          <w:lang w:val="id-ID"/>
        </w:rPr>
        <w:t>Tangerang</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tentang</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Penjabaran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APBD</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Tahun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Anggaran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2025</w:t>
      </w:r>
      <w:r w:rsidR="00A954D0" w:rsidRPr="008379CA">
        <w:rPr>
          <w:rFonts w:ascii="Bookman Old Style" w:hAnsi="Bookman Old Style"/>
          <w:sz w:val="24"/>
          <w:szCs w:val="24"/>
          <w:lang w:val="id-ID"/>
        </w:rPr>
        <w:t xml:space="preserve"> </w:t>
      </w:r>
      <w:r w:rsidRPr="008379CA">
        <w:rPr>
          <w:rFonts w:ascii="Bookman Old Style" w:hAnsi="Bookman Old Style"/>
          <w:sz w:val="24"/>
          <w:szCs w:val="24"/>
        </w:rPr>
        <w:t>Terhadap</w:t>
      </w:r>
      <w:r w:rsidR="00A954D0" w:rsidRPr="008379CA">
        <w:rPr>
          <w:rFonts w:ascii="Bookman Old Style" w:hAnsi="Bookman Old Style"/>
          <w:sz w:val="24"/>
          <w:szCs w:val="24"/>
        </w:rPr>
        <w:t xml:space="preserve"> </w:t>
      </w:r>
      <w:r w:rsidRPr="008379CA">
        <w:rPr>
          <w:rFonts w:ascii="Bookman Old Style" w:hAnsi="Bookman Old Style"/>
          <w:sz w:val="24"/>
          <w:szCs w:val="24"/>
        </w:rPr>
        <w:t>Kebijakan</w:t>
      </w:r>
      <w:r w:rsidR="00A954D0" w:rsidRPr="008379CA">
        <w:rPr>
          <w:rFonts w:ascii="Bookman Old Style" w:hAnsi="Bookman Old Style"/>
          <w:sz w:val="24"/>
          <w:szCs w:val="24"/>
        </w:rPr>
        <w:t xml:space="preserve"> </w:t>
      </w:r>
      <w:r w:rsidRPr="008379CA">
        <w:rPr>
          <w:rFonts w:ascii="Bookman Old Style" w:hAnsi="Bookman Old Style"/>
          <w:sz w:val="24"/>
          <w:szCs w:val="24"/>
        </w:rPr>
        <w:t>Prioritas</w:t>
      </w:r>
      <w:r w:rsidR="00A954D0" w:rsidRPr="008379CA">
        <w:rPr>
          <w:rFonts w:ascii="Bookman Old Style" w:hAnsi="Bookman Old Style"/>
          <w:sz w:val="24"/>
          <w:szCs w:val="24"/>
        </w:rPr>
        <w:t xml:space="preserve"> </w:t>
      </w:r>
      <w:r w:rsidRPr="008379CA">
        <w:rPr>
          <w:rFonts w:ascii="Bookman Old Style" w:hAnsi="Bookman Old Style"/>
          <w:sz w:val="24"/>
          <w:szCs w:val="24"/>
        </w:rPr>
        <w:t>Pembangunan</w:t>
      </w:r>
      <w:r w:rsidR="00A954D0" w:rsidRPr="008379CA">
        <w:rPr>
          <w:rFonts w:ascii="Bookman Old Style" w:hAnsi="Bookman Old Style"/>
          <w:sz w:val="24"/>
          <w:szCs w:val="24"/>
        </w:rPr>
        <w:t xml:space="preserve"> </w:t>
      </w:r>
      <w:r w:rsidRPr="008379CA">
        <w:rPr>
          <w:rFonts w:ascii="Bookman Old Style" w:hAnsi="Bookman Old Style"/>
          <w:sz w:val="24"/>
          <w:szCs w:val="24"/>
        </w:rPr>
        <w:t>Provinsi</w:t>
      </w:r>
      <w:r w:rsidR="00A954D0" w:rsidRPr="008379CA">
        <w:rPr>
          <w:rFonts w:ascii="Bookman Old Style" w:hAnsi="Bookman Old Style"/>
          <w:sz w:val="24"/>
          <w:szCs w:val="24"/>
        </w:rPr>
        <w:t xml:space="preserve"> </w:t>
      </w:r>
      <w:r w:rsidRPr="008379CA">
        <w:rPr>
          <w:rFonts w:ascii="Bookman Old Style" w:hAnsi="Bookman Old Style"/>
          <w:sz w:val="24"/>
          <w:szCs w:val="24"/>
        </w:rPr>
        <w:t>Banten</w:t>
      </w:r>
      <w:r w:rsidR="00A954D0" w:rsidRPr="008379CA">
        <w:rPr>
          <w:rFonts w:ascii="Bookman Old Style" w:hAnsi="Bookman Old Style"/>
          <w:sz w:val="24"/>
          <w:szCs w:val="24"/>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rPr>
        <w:t>202</w:t>
      </w:r>
      <w:r w:rsidRPr="008379CA">
        <w:rPr>
          <w:rFonts w:ascii="Bookman Old Style" w:hAnsi="Bookman Old Style"/>
          <w:sz w:val="24"/>
          <w:szCs w:val="24"/>
          <w:lang w:val="id-ID"/>
        </w:rPr>
        <w:t>5</w:t>
      </w:r>
    </w:p>
    <w:p w14:paraId="6C922733" w14:textId="4392804F" w:rsidR="008A6328" w:rsidRPr="008379CA" w:rsidRDefault="008A6328" w:rsidP="00EE5FA9">
      <w:pPr>
        <w:pStyle w:val="ListParagraph"/>
        <w:spacing w:before="60" w:after="0" w:line="276" w:lineRule="auto"/>
        <w:ind w:left="993"/>
        <w:contextualSpacing w:val="0"/>
        <w:jc w:val="both"/>
        <w:rPr>
          <w:rFonts w:ascii="Bookman Old Style" w:eastAsia="Bookman Old Style" w:hAnsi="Bookman Old Style" w:cs="Bookman Old Style"/>
          <w:bCs/>
          <w:sz w:val="24"/>
          <w:szCs w:val="24"/>
          <w:lang w:val="sv-FI"/>
        </w:rPr>
      </w:pPr>
      <w:r w:rsidRPr="008379CA">
        <w:rPr>
          <w:rFonts w:ascii="Bookman Old Style" w:eastAsia="Bookman Old Style" w:hAnsi="Bookman Old Style" w:cs="Bookman Old Style"/>
          <w:bCs/>
          <w:sz w:val="24"/>
          <w:szCs w:val="24"/>
          <w:lang w:val="sv-FI"/>
        </w:rPr>
        <w:t>Pemerintah</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Daerah</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telah</w:t>
      </w:r>
      <w:r w:rsidR="00A954D0" w:rsidRPr="008379CA">
        <w:rPr>
          <w:rFonts w:ascii="Bookman Old Style" w:hAnsi="Bookman Old Style"/>
          <w:sz w:val="24"/>
          <w:szCs w:val="24"/>
          <w:lang w:val="fi-FI"/>
        </w:rPr>
        <w:t xml:space="preserve"> </w:t>
      </w:r>
      <w:r w:rsidRPr="008379CA">
        <w:rPr>
          <w:rFonts w:ascii="Bookman Old Style" w:eastAsia="Bookman Old Style" w:hAnsi="Bookman Old Style" w:cs="Bookman Old Style"/>
          <w:bCs/>
          <w:sz w:val="24"/>
          <w:szCs w:val="24"/>
          <w:lang w:val="sv-FI"/>
        </w:rPr>
        <w:t>mengalokasikan</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anggaran</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dalam</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Rancangan</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Peraturan</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Daerah</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tentang</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APBD</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Tahun</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Anggaran</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2025</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berdasarkan</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kebijakan</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Prioritas</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Pembangunan</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Provinsi</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Banten</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Tahun</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2025</w:t>
      </w:r>
      <w:r w:rsidR="00A954D0" w:rsidRPr="008379CA">
        <w:rPr>
          <w:rFonts w:ascii="Bookman Old Style" w:eastAsia="Bookman Old Style" w:hAnsi="Bookman Old Style" w:cs="Bookman Old Style"/>
          <w:bCs/>
          <w:sz w:val="24"/>
          <w:szCs w:val="24"/>
          <w:lang w:val="sv-FI"/>
        </w:rPr>
        <w:t xml:space="preserve"> </w:t>
      </w:r>
      <w:r w:rsidRPr="008379CA">
        <w:rPr>
          <w:rFonts w:ascii="Bookman Old Style" w:eastAsia="Bookman Old Style" w:hAnsi="Bookman Old Style" w:cs="Bookman Old Style"/>
          <w:bCs/>
          <w:sz w:val="24"/>
          <w:szCs w:val="24"/>
          <w:lang w:val="sv-FI"/>
        </w:rPr>
        <w:t>meliputi:</w:t>
      </w:r>
    </w:p>
    <w:p w14:paraId="3DF6BDAC" w14:textId="093381E0" w:rsidR="008A6328" w:rsidRPr="008379CA" w:rsidRDefault="008A6328" w:rsidP="00EE5FA9">
      <w:pPr>
        <w:pStyle w:val="ListParagraph"/>
        <w:numPr>
          <w:ilvl w:val="0"/>
          <w:numId w:val="103"/>
        </w:numPr>
        <w:spacing w:before="60" w:after="0" w:line="276" w:lineRule="auto"/>
        <w:ind w:left="1276" w:hanging="283"/>
        <w:contextualSpacing w:val="0"/>
        <w:jc w:val="both"/>
        <w:rPr>
          <w:rFonts w:ascii="Bookman Old Style" w:hAnsi="Bookman Old Style"/>
          <w:bCs/>
          <w:sz w:val="24"/>
          <w:szCs w:val="24"/>
          <w:lang w:val="sv-FI"/>
        </w:rPr>
      </w:pPr>
      <w:r w:rsidRPr="008379CA">
        <w:rPr>
          <w:rFonts w:ascii="Bookman Old Style" w:hAnsi="Bookman Old Style"/>
          <w:bCs/>
          <w:sz w:val="24"/>
          <w:szCs w:val="24"/>
          <w:lang w:val="sv-FI"/>
        </w:rPr>
        <w:t>Meningkatkan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kesejahteraan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masyarakat</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melalui</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peningkatan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kualitas</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sumber</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daya</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manusia,</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dianggarkan</w:t>
      </w:r>
      <w:r w:rsidR="00A954D0" w:rsidRPr="008379CA">
        <w:rPr>
          <w:rFonts w:ascii="Bookman Old Style" w:hAnsi="Bookman Old Style"/>
          <w:bCs/>
          <w:sz w:val="24"/>
          <w:szCs w:val="24"/>
          <w:lang w:val="sv-FI"/>
        </w:rPr>
        <w:t xml:space="preserve"> </w:t>
      </w:r>
      <w:r w:rsidRPr="008379CA">
        <w:rPr>
          <w:rFonts w:ascii="Bookman Old Style" w:eastAsia="Bookman Old Style" w:hAnsi="Bookman Old Style" w:cs="Bookman Old Style"/>
          <w:sz w:val="24"/>
          <w:szCs w:val="24"/>
          <w:lang w:val="id-ID"/>
        </w:rPr>
        <w:t>Rp</w:t>
      </w:r>
      <w:r w:rsidRPr="008379CA">
        <w:rPr>
          <w:rFonts w:ascii="Bookman Old Style" w:eastAsia="Bookman Old Style" w:hAnsi="Bookman Old Style" w:cs="Bookman Old Style"/>
          <w:sz w:val="24"/>
          <w:szCs w:val="24"/>
          <w:lang w:val="sv-FI"/>
        </w:rPr>
        <w:t>353.237.996.415,00</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atau</w:t>
      </w:r>
      <w:r w:rsidR="00A954D0" w:rsidRPr="008379CA">
        <w:rPr>
          <w:rFonts w:ascii="Bookman Old Style" w:eastAsia="Bookman Old Style" w:hAnsi="Bookman Old Style" w:cs="Bookman Old Style"/>
          <w:sz w:val="24"/>
          <w:szCs w:val="24"/>
          <w:lang w:val="sv-FI"/>
        </w:rPr>
        <w:t xml:space="preserve"> </w:t>
      </w:r>
      <w:bookmarkStart w:id="1" w:name="_Hlk183618501"/>
      <w:r w:rsidRPr="008379CA">
        <w:rPr>
          <w:rFonts w:ascii="Bookman Old Style" w:eastAsia="Bookman Old Style" w:hAnsi="Bookman Old Style" w:cs="Bookman Old Style"/>
          <w:sz w:val="24"/>
          <w:szCs w:val="24"/>
          <w:lang w:val="sv-FI"/>
        </w:rPr>
        <w:t>6,</w:t>
      </w:r>
      <w:bookmarkEnd w:id="1"/>
      <w:r w:rsidRPr="008379CA">
        <w:rPr>
          <w:rFonts w:ascii="Bookman Old Style" w:eastAsia="Bookman Old Style" w:hAnsi="Bookman Old Style" w:cs="Bookman Old Style"/>
          <w:sz w:val="24"/>
          <w:szCs w:val="24"/>
          <w:lang w:val="sv-FI"/>
        </w:rPr>
        <w:t>19%</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dari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total</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belanja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daerah</w:t>
      </w:r>
      <w:r w:rsidR="00A954D0" w:rsidRPr="008379CA">
        <w:rPr>
          <w:rFonts w:ascii="Bookman Old Style" w:eastAsia="Bookman Old Style" w:hAnsi="Bookman Old Style" w:cs="Bookman Old Style"/>
          <w:sz w:val="24"/>
          <w:szCs w:val="24"/>
          <w:lang w:val="sv-FI"/>
        </w:rPr>
        <w:t xml:space="preserve"> </w:t>
      </w:r>
      <w:r w:rsidRPr="008379CA">
        <w:rPr>
          <w:rFonts w:ascii="Bookman Old Style" w:hAnsi="Bookman Old Style"/>
          <w:bCs/>
          <w:sz w:val="24"/>
          <w:szCs w:val="24"/>
          <w:lang w:val="sv-FI"/>
        </w:rPr>
        <w:t>dalam</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Rancangan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Peraturan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Daerah</w:t>
      </w:r>
      <w:r w:rsidR="00A954D0" w:rsidRPr="008379CA">
        <w:rPr>
          <w:rFonts w:ascii="Bookman Old Style" w:hAnsi="Bookman Old Style"/>
          <w:bCs/>
          <w:sz w:val="24"/>
          <w:szCs w:val="24"/>
          <w:lang w:val="sv-FI"/>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bCs/>
          <w:sz w:val="24"/>
          <w:szCs w:val="24"/>
          <w:lang w:val="sv-FI"/>
        </w:rPr>
        <w:t>tentang</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Anggaran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Pendapatan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Belanja</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Daerah</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Tahun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Anggaran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2025;</w:t>
      </w:r>
    </w:p>
    <w:p w14:paraId="3DD749EC" w14:textId="18FF806B" w:rsidR="008A6328" w:rsidRPr="008379CA" w:rsidRDefault="008A6328" w:rsidP="00EE5FA9">
      <w:pPr>
        <w:pStyle w:val="ListParagraph"/>
        <w:numPr>
          <w:ilvl w:val="0"/>
          <w:numId w:val="103"/>
        </w:numPr>
        <w:spacing w:before="60" w:after="0" w:line="276" w:lineRule="auto"/>
        <w:ind w:left="1276" w:hanging="283"/>
        <w:contextualSpacing w:val="0"/>
        <w:jc w:val="both"/>
        <w:rPr>
          <w:rFonts w:ascii="Bookman Old Style" w:hAnsi="Bookman Old Style"/>
          <w:bCs/>
          <w:sz w:val="24"/>
          <w:szCs w:val="24"/>
          <w:lang w:val="sv-FI"/>
        </w:rPr>
      </w:pPr>
      <w:r w:rsidRPr="008379CA">
        <w:rPr>
          <w:rFonts w:ascii="Bookman Old Style" w:hAnsi="Bookman Old Style"/>
          <w:bCs/>
          <w:sz w:val="24"/>
          <w:szCs w:val="24"/>
          <w:lang w:val="sv-FI"/>
        </w:rPr>
        <w:t>Meningkatkan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pemerataan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pembangunan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kualitas</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pertumbuhan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ekonomi,</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dianggarkan</w:t>
      </w:r>
      <w:r w:rsidR="00A954D0" w:rsidRPr="008379CA">
        <w:rPr>
          <w:rFonts w:ascii="Bookman Old Style" w:hAnsi="Bookman Old Style"/>
          <w:bCs/>
          <w:sz w:val="24"/>
          <w:szCs w:val="24"/>
          <w:lang w:val="sv-FI"/>
        </w:rPr>
        <w:t xml:space="preserve"> </w:t>
      </w:r>
      <w:r w:rsidRPr="008379CA">
        <w:rPr>
          <w:rFonts w:ascii="Bookman Old Style" w:eastAsia="Bookman Old Style" w:hAnsi="Bookman Old Style" w:cs="Bookman Old Style"/>
          <w:sz w:val="24"/>
          <w:szCs w:val="24"/>
          <w:lang w:val="id-ID"/>
        </w:rPr>
        <w:t>Rp</w:t>
      </w:r>
      <w:r w:rsidRPr="008379CA">
        <w:rPr>
          <w:rFonts w:ascii="Bookman Old Style" w:eastAsia="Bookman Old Style" w:hAnsi="Bookman Old Style" w:cs="Bookman Old Style"/>
          <w:sz w:val="24"/>
          <w:szCs w:val="24"/>
          <w:lang w:val="sv-FI"/>
        </w:rPr>
        <w:t>807.254.539.015,00</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atau</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14,15%</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dari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total</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belanja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daerah</w:t>
      </w:r>
      <w:r w:rsidR="00A954D0" w:rsidRPr="008379CA">
        <w:rPr>
          <w:rFonts w:ascii="Bookman Old Style" w:eastAsia="Bookman Old Style" w:hAnsi="Bookman Old Style" w:cs="Bookman Old Style"/>
          <w:sz w:val="24"/>
          <w:szCs w:val="24"/>
          <w:lang w:val="sv-FI"/>
        </w:rPr>
        <w:t xml:space="preserve"> </w:t>
      </w:r>
      <w:r w:rsidRPr="008379CA">
        <w:rPr>
          <w:rFonts w:ascii="Bookman Old Style" w:hAnsi="Bookman Old Style"/>
          <w:bCs/>
          <w:sz w:val="24"/>
          <w:szCs w:val="24"/>
          <w:lang w:val="sv-FI"/>
        </w:rPr>
        <w:t>dalam</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Rancangan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Peraturan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Daerah</w:t>
      </w:r>
      <w:r w:rsidR="00A954D0" w:rsidRPr="008379CA">
        <w:rPr>
          <w:rFonts w:ascii="Bookman Old Style" w:hAnsi="Bookman Old Style"/>
          <w:bCs/>
          <w:sz w:val="24"/>
          <w:szCs w:val="24"/>
          <w:lang w:val="sv-FI"/>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bCs/>
          <w:sz w:val="24"/>
          <w:szCs w:val="24"/>
          <w:lang w:val="sv-FI"/>
        </w:rPr>
        <w:t>tentang</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Anggaran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Pendapatan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Belanja</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Daerah</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Tahun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Anggaran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2025</w:t>
      </w:r>
      <w:r w:rsidRPr="008379CA">
        <w:rPr>
          <w:rFonts w:ascii="Bookman Old Style" w:eastAsia="Bookman Old Style" w:hAnsi="Bookman Old Style" w:cs="Bookman Old Style"/>
          <w:sz w:val="24"/>
          <w:szCs w:val="24"/>
          <w:lang w:val="sv-FI"/>
        </w:rPr>
        <w:t>;</w:t>
      </w:r>
    </w:p>
    <w:p w14:paraId="073BC5CB" w14:textId="7FF88478" w:rsidR="008A6328" w:rsidRPr="008379CA" w:rsidRDefault="008A6328" w:rsidP="00EE5FA9">
      <w:pPr>
        <w:pStyle w:val="ListParagraph"/>
        <w:numPr>
          <w:ilvl w:val="0"/>
          <w:numId w:val="103"/>
        </w:numPr>
        <w:spacing w:before="60" w:after="0" w:line="276" w:lineRule="auto"/>
        <w:ind w:left="1276" w:hanging="283"/>
        <w:contextualSpacing w:val="0"/>
        <w:jc w:val="both"/>
        <w:rPr>
          <w:rFonts w:ascii="Bookman Old Style" w:hAnsi="Bookman Old Style"/>
          <w:bCs/>
          <w:sz w:val="24"/>
          <w:szCs w:val="24"/>
          <w:lang w:val="sv-FI"/>
        </w:rPr>
      </w:pPr>
      <w:r w:rsidRPr="008379CA">
        <w:rPr>
          <w:rFonts w:ascii="Bookman Old Style" w:hAnsi="Bookman Old Style"/>
          <w:bCs/>
          <w:sz w:val="24"/>
          <w:szCs w:val="24"/>
          <w:lang w:val="sv-FI"/>
        </w:rPr>
        <w:t>Meningkatkan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pengelolaan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lingkungan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hidup</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untuk</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mendukung</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pembangunan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yang</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berkelanjutan,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dianggarkan</w:t>
      </w:r>
      <w:r w:rsidR="00A954D0" w:rsidRPr="008379CA">
        <w:rPr>
          <w:rFonts w:ascii="Bookman Old Style" w:hAnsi="Bookman Old Style"/>
          <w:bCs/>
          <w:sz w:val="24"/>
          <w:szCs w:val="24"/>
          <w:lang w:val="sv-FI"/>
        </w:rPr>
        <w:t xml:space="preserve"> </w:t>
      </w:r>
      <w:r w:rsidRPr="008379CA">
        <w:rPr>
          <w:rFonts w:ascii="Bookman Old Style" w:eastAsia="Bookman Old Style" w:hAnsi="Bookman Old Style" w:cs="Bookman Old Style"/>
          <w:sz w:val="24"/>
          <w:szCs w:val="24"/>
          <w:lang w:val="id-ID"/>
        </w:rPr>
        <w:t>Rp</w:t>
      </w:r>
      <w:r w:rsidRPr="008379CA">
        <w:rPr>
          <w:rFonts w:ascii="Bookman Old Style" w:eastAsia="Bookman Old Style" w:hAnsi="Bookman Old Style" w:cs="Bookman Old Style"/>
          <w:sz w:val="24"/>
          <w:szCs w:val="24"/>
          <w:lang w:val="sv-FI"/>
        </w:rPr>
        <w:t>368.872.098.280,00</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atau</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6,46%</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dari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total</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belanja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daerah</w:t>
      </w:r>
      <w:r w:rsidR="00A954D0" w:rsidRPr="008379CA">
        <w:rPr>
          <w:rFonts w:ascii="Bookman Old Style" w:eastAsia="Bookman Old Style" w:hAnsi="Bookman Old Style" w:cs="Bookman Old Style"/>
          <w:sz w:val="24"/>
          <w:szCs w:val="24"/>
          <w:lang w:val="sv-FI"/>
        </w:rPr>
        <w:t xml:space="preserve"> </w:t>
      </w:r>
      <w:r w:rsidRPr="008379CA">
        <w:rPr>
          <w:rFonts w:ascii="Bookman Old Style" w:hAnsi="Bookman Old Style"/>
          <w:bCs/>
          <w:sz w:val="24"/>
          <w:szCs w:val="24"/>
          <w:lang w:val="sv-FI"/>
        </w:rPr>
        <w:t>dalam</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Rancangan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Peraturan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Daerah</w:t>
      </w:r>
      <w:r w:rsidR="00A954D0" w:rsidRPr="008379CA">
        <w:rPr>
          <w:rFonts w:ascii="Bookman Old Style" w:hAnsi="Bookman Old Style"/>
          <w:bCs/>
          <w:sz w:val="24"/>
          <w:szCs w:val="24"/>
          <w:lang w:val="sv-FI"/>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bCs/>
          <w:sz w:val="24"/>
          <w:szCs w:val="24"/>
          <w:lang w:val="sv-FI"/>
        </w:rPr>
        <w:t>tentang</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Anggaran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Pendapatan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Belanja</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Daerah</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Tahun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Anggaran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2025</w:t>
      </w:r>
      <w:r w:rsidRPr="008379CA">
        <w:rPr>
          <w:rFonts w:ascii="Bookman Old Style" w:eastAsia="Bookman Old Style" w:hAnsi="Bookman Old Style" w:cs="Bookman Old Style"/>
          <w:sz w:val="24"/>
          <w:szCs w:val="24"/>
          <w:lang w:val="sv-FI"/>
        </w:rPr>
        <w:t>;</w:t>
      </w:r>
    </w:p>
    <w:p w14:paraId="1B1FB52B" w14:textId="43793046" w:rsidR="008A6328" w:rsidRPr="008379CA" w:rsidRDefault="008A6328" w:rsidP="00EE5FA9">
      <w:pPr>
        <w:pStyle w:val="ListParagraph"/>
        <w:numPr>
          <w:ilvl w:val="0"/>
          <w:numId w:val="103"/>
        </w:numPr>
        <w:spacing w:before="60" w:after="0" w:line="276" w:lineRule="auto"/>
        <w:ind w:left="1276" w:hanging="283"/>
        <w:contextualSpacing w:val="0"/>
        <w:jc w:val="both"/>
        <w:rPr>
          <w:rFonts w:ascii="Bookman Old Style" w:hAnsi="Bookman Old Style"/>
          <w:bCs/>
          <w:sz w:val="24"/>
          <w:szCs w:val="24"/>
          <w:lang w:val="sv-FI"/>
        </w:rPr>
      </w:pPr>
      <w:r w:rsidRPr="008379CA">
        <w:rPr>
          <w:rFonts w:ascii="Bookman Old Style" w:hAnsi="Bookman Old Style"/>
          <w:bCs/>
          <w:sz w:val="24"/>
          <w:szCs w:val="24"/>
          <w:lang w:val="sv-FI"/>
        </w:rPr>
        <w:lastRenderedPageBreak/>
        <w:t>Meningkatkan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tata</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kelola</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pemerintahan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yang</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baik,</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bersih</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berwibawa</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dianggarkan</w:t>
      </w:r>
      <w:r w:rsidR="00A954D0" w:rsidRPr="008379CA">
        <w:rPr>
          <w:rFonts w:ascii="Bookman Old Style" w:hAnsi="Bookman Old Style"/>
          <w:bCs/>
          <w:sz w:val="24"/>
          <w:szCs w:val="24"/>
          <w:lang w:val="sv-FI"/>
        </w:rPr>
        <w:t xml:space="preserve"> </w:t>
      </w:r>
      <w:r w:rsidRPr="008379CA">
        <w:rPr>
          <w:rFonts w:ascii="Bookman Old Style" w:eastAsia="Bookman Old Style" w:hAnsi="Bookman Old Style" w:cs="Bookman Old Style"/>
          <w:sz w:val="24"/>
          <w:szCs w:val="24"/>
          <w:lang w:val="id-ID"/>
        </w:rPr>
        <w:t>Rp</w:t>
      </w:r>
      <w:r w:rsidRPr="008379CA">
        <w:rPr>
          <w:rFonts w:ascii="Bookman Old Style" w:eastAsia="Bookman Old Style" w:hAnsi="Bookman Old Style" w:cs="Bookman Old Style"/>
          <w:sz w:val="24"/>
          <w:szCs w:val="24"/>
          <w:lang w:val="sv-FI"/>
        </w:rPr>
        <w:t>599.645.906.278,00</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atau</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10,51%</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dari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total</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belanja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daerah</w:t>
      </w:r>
      <w:r w:rsidR="00A954D0" w:rsidRPr="008379CA">
        <w:rPr>
          <w:rFonts w:ascii="Bookman Old Style" w:eastAsia="Bookman Old Style" w:hAnsi="Bookman Old Style" w:cs="Bookman Old Style"/>
          <w:sz w:val="24"/>
          <w:szCs w:val="24"/>
          <w:lang w:val="sv-FI"/>
        </w:rPr>
        <w:t xml:space="preserve"> </w:t>
      </w:r>
      <w:r w:rsidRPr="008379CA">
        <w:rPr>
          <w:rFonts w:ascii="Bookman Old Style" w:hAnsi="Bookman Old Style"/>
          <w:bCs/>
          <w:sz w:val="24"/>
          <w:szCs w:val="24"/>
          <w:lang w:val="sv-FI"/>
        </w:rPr>
        <w:t>dalam</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Rancangan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Peraturan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Daerah</w:t>
      </w:r>
      <w:r w:rsidR="00A954D0" w:rsidRPr="008379CA">
        <w:rPr>
          <w:rFonts w:ascii="Bookman Old Style" w:hAnsi="Bookman Old Style"/>
          <w:bCs/>
          <w:sz w:val="24"/>
          <w:szCs w:val="24"/>
          <w:lang w:val="sv-FI"/>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bCs/>
          <w:sz w:val="24"/>
          <w:szCs w:val="24"/>
          <w:lang w:val="sv-FI"/>
        </w:rPr>
        <w:t>tentang</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Anggaran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Pendapatan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Belanja</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Daerah</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Tahun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Anggaran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2025</w:t>
      </w:r>
      <w:r w:rsidRPr="008379CA">
        <w:rPr>
          <w:rFonts w:ascii="Bookman Old Style" w:eastAsia="Bookman Old Style" w:hAnsi="Bookman Old Style" w:cs="Bookman Old Style"/>
          <w:sz w:val="24"/>
          <w:szCs w:val="24"/>
          <w:lang w:val="sv-FI"/>
        </w:rPr>
        <w:t>.</w:t>
      </w:r>
    </w:p>
    <w:p w14:paraId="0C7E4B6A" w14:textId="036A3116" w:rsidR="008A6328" w:rsidRPr="008379CA" w:rsidRDefault="008A6328" w:rsidP="00EE5FA9">
      <w:pPr>
        <w:pStyle w:val="ListParagraph"/>
        <w:spacing w:before="60" w:after="120" w:line="276" w:lineRule="auto"/>
        <w:ind w:left="992"/>
        <w:contextualSpacing w:val="0"/>
        <w:jc w:val="both"/>
        <w:rPr>
          <w:rFonts w:ascii="Bookman Old Style" w:hAnsi="Bookman Old Style"/>
          <w:bCs/>
          <w:sz w:val="24"/>
          <w:szCs w:val="24"/>
          <w:lang w:val="sv-FI"/>
        </w:rPr>
      </w:pPr>
      <w:r w:rsidRPr="008379CA">
        <w:rPr>
          <w:rFonts w:ascii="Bookman Old Style" w:eastAsia="Bookman Old Style" w:hAnsi="Bookman Old Style" w:cs="Bookman Old Style"/>
          <w:sz w:val="24"/>
          <w:szCs w:val="24"/>
          <w:lang w:val="sv-FI"/>
        </w:rPr>
        <w:t>Alokasi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Belanja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Daerah</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Pemerintah</w:t>
      </w:r>
      <w:r w:rsidR="00A954D0" w:rsidRPr="008379CA">
        <w:rPr>
          <w:rFonts w:ascii="Bookman Old Style" w:eastAsia="Bookman Old Style" w:hAnsi="Bookman Old Style" w:cs="Bookman Old Style"/>
          <w:sz w:val="24"/>
          <w:szCs w:val="24"/>
          <w:lang w:val="sv-FI"/>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eastAsia="Bookman Old Style" w:hAnsi="Bookman Old Style" w:cs="Bookman Old Style"/>
          <w:bCs/>
          <w:sz w:val="24"/>
          <w:szCs w:val="24"/>
          <w:lang w:val="sv-FI"/>
        </w:rPr>
        <w:t>Tahun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Anggaran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2025</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berdasarkan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Prioritas</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Pembangunan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Provinsi,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sebagaimana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tercantum</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pada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Tabel</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6</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berikut:</w:t>
      </w:r>
    </w:p>
    <w:p w14:paraId="46101802" w14:textId="596364EE" w:rsidR="008A6328" w:rsidRPr="008379CA" w:rsidRDefault="00A954D0" w:rsidP="008A6328">
      <w:pPr>
        <w:pStyle w:val="ListParagraph"/>
        <w:spacing w:after="0" w:line="276" w:lineRule="auto"/>
        <w:ind w:left="426"/>
        <w:contextualSpacing w:val="0"/>
        <w:jc w:val="center"/>
        <w:rPr>
          <w:rFonts w:ascii="Bookman Old Style" w:hAnsi="Bookman Old Style"/>
          <w:bCs/>
          <w:sz w:val="24"/>
          <w:szCs w:val="24"/>
          <w:lang w:val="sv-FI"/>
        </w:rPr>
      </w:pPr>
      <w:r w:rsidRPr="008379CA">
        <w:rPr>
          <w:rFonts w:ascii="Bookman Old Style" w:hAnsi="Bookman Old Style"/>
          <w:bCs/>
          <w:sz w:val="24"/>
          <w:szCs w:val="24"/>
          <w:lang w:val="sv-FI"/>
        </w:rPr>
        <w:t xml:space="preserve"> </w:t>
      </w:r>
      <w:r w:rsidR="008A6328" w:rsidRPr="008379CA">
        <w:rPr>
          <w:rFonts w:ascii="Bookman Old Style" w:hAnsi="Bookman Old Style"/>
          <w:bCs/>
          <w:sz w:val="24"/>
          <w:szCs w:val="24"/>
          <w:lang w:val="sv-FI"/>
        </w:rPr>
        <w:t>Tabel</w:t>
      </w:r>
      <w:r w:rsidRPr="008379CA">
        <w:rPr>
          <w:rFonts w:ascii="Bookman Old Style" w:hAnsi="Bookman Old Style"/>
          <w:bCs/>
          <w:sz w:val="24"/>
          <w:szCs w:val="24"/>
          <w:lang w:val="sv-FI"/>
        </w:rPr>
        <w:t xml:space="preserve"> </w:t>
      </w:r>
      <w:r w:rsidR="008A6328" w:rsidRPr="008379CA">
        <w:rPr>
          <w:rFonts w:ascii="Bookman Old Style" w:hAnsi="Bookman Old Style"/>
          <w:bCs/>
          <w:sz w:val="24"/>
          <w:szCs w:val="24"/>
          <w:lang w:val="sv-FI"/>
        </w:rPr>
        <w:t>6</w:t>
      </w:r>
    </w:p>
    <w:p w14:paraId="7275CE01" w14:textId="40CE3AB3" w:rsidR="008A6328" w:rsidRPr="008379CA" w:rsidRDefault="008A6328" w:rsidP="008A6328">
      <w:pPr>
        <w:pStyle w:val="ListParagraph"/>
        <w:spacing w:after="0" w:line="276" w:lineRule="auto"/>
        <w:ind w:left="426"/>
        <w:contextualSpacing w:val="0"/>
        <w:jc w:val="center"/>
        <w:rPr>
          <w:rFonts w:ascii="Bookman Old Style" w:hAnsi="Bookman Old Style"/>
          <w:bCs/>
          <w:sz w:val="24"/>
          <w:szCs w:val="24"/>
          <w:lang w:val="sv-FI"/>
        </w:rPr>
      </w:pPr>
      <w:r w:rsidRPr="008379CA">
        <w:rPr>
          <w:rFonts w:ascii="Bookman Old Style" w:hAnsi="Bookman Old Style"/>
          <w:bCs/>
          <w:sz w:val="24"/>
          <w:szCs w:val="24"/>
          <w:lang w:val="sv-FI"/>
        </w:rPr>
        <w:t>Dukungan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Alokasi</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Anggaran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Dalam</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Rancangan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Peraturan</w:t>
      </w:r>
    </w:p>
    <w:p w14:paraId="2C6CEEEE" w14:textId="1784B1ED" w:rsidR="008A6328" w:rsidRPr="008379CA" w:rsidRDefault="008A6328" w:rsidP="008A6328">
      <w:pPr>
        <w:pStyle w:val="ListParagraph"/>
        <w:spacing w:after="0" w:line="276" w:lineRule="auto"/>
        <w:ind w:left="426"/>
        <w:contextualSpacing w:val="0"/>
        <w:jc w:val="center"/>
        <w:rPr>
          <w:rFonts w:ascii="Bookman Old Style" w:hAnsi="Bookman Old Style"/>
          <w:bCs/>
          <w:sz w:val="24"/>
          <w:szCs w:val="24"/>
          <w:lang w:val="sv-FI"/>
        </w:rPr>
      </w:pPr>
      <w:r w:rsidRPr="008379CA">
        <w:rPr>
          <w:rFonts w:ascii="Bookman Old Style" w:hAnsi="Bookman Old Style"/>
          <w:bCs/>
          <w:sz w:val="24"/>
          <w:szCs w:val="24"/>
          <w:lang w:val="sv-FI"/>
        </w:rPr>
        <w:t>Daerah</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tentang</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APBD</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Tahun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Anggaran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2025</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Terhadap</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Kebijakan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Prioritas</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Pembangunan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Provinsi</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Banten</w:t>
      </w:r>
    </w:p>
    <w:p w14:paraId="6A16EFF5" w14:textId="24F9BB8B" w:rsidR="008A6328" w:rsidRPr="008379CA" w:rsidRDefault="008A6328" w:rsidP="008A6328">
      <w:pPr>
        <w:pStyle w:val="ListParagraph"/>
        <w:spacing w:after="120" w:line="276" w:lineRule="auto"/>
        <w:ind w:left="426"/>
        <w:contextualSpacing w:val="0"/>
        <w:jc w:val="center"/>
        <w:rPr>
          <w:rFonts w:ascii="Bookman Old Style" w:hAnsi="Bookman Old Style"/>
          <w:bCs/>
          <w:sz w:val="24"/>
          <w:szCs w:val="24"/>
          <w:lang w:val="sv-FI"/>
        </w:rPr>
      </w:pPr>
      <w:r w:rsidRPr="008379CA">
        <w:rPr>
          <w:rFonts w:ascii="Bookman Old Style" w:eastAsia="Bookman Old Style" w:hAnsi="Bookman Old Style" w:cs="Bookman Old Style"/>
          <w:sz w:val="24"/>
          <w:szCs w:val="24"/>
          <w:lang w:val="sv-FI"/>
        </w:rPr>
        <w:t>Tahun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2025</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3605"/>
        <w:gridCol w:w="3118"/>
        <w:gridCol w:w="1560"/>
      </w:tblGrid>
      <w:tr w:rsidR="008379CA" w:rsidRPr="008379CA" w14:paraId="40445452" w14:textId="77777777" w:rsidTr="0023341C">
        <w:trPr>
          <w:trHeight w:val="284"/>
          <w:tblHeader/>
          <w:jc w:val="center"/>
        </w:trPr>
        <w:tc>
          <w:tcPr>
            <w:tcW w:w="643" w:type="dxa"/>
            <w:vAlign w:val="center"/>
          </w:tcPr>
          <w:p w14:paraId="0D007F7F" w14:textId="77777777" w:rsidR="008A6328" w:rsidRPr="008379CA" w:rsidRDefault="008A6328" w:rsidP="0023341C">
            <w:pPr>
              <w:jc w:val="center"/>
              <w:rPr>
                <w:rFonts w:ascii="Bookman Old Style" w:hAnsi="Bookman Old Style" w:cs="Segoe UI"/>
                <w:b/>
                <w:sz w:val="20"/>
                <w:szCs w:val="20"/>
                <w:lang w:eastAsia="en-ID"/>
              </w:rPr>
            </w:pPr>
            <w:r w:rsidRPr="008379CA">
              <w:rPr>
                <w:rFonts w:ascii="Bookman Old Style" w:hAnsi="Bookman Old Style" w:cs="Segoe UI"/>
                <w:b/>
                <w:sz w:val="20"/>
                <w:szCs w:val="20"/>
                <w:lang w:eastAsia="en-ID"/>
              </w:rPr>
              <w:t>No</w:t>
            </w:r>
          </w:p>
        </w:tc>
        <w:tc>
          <w:tcPr>
            <w:tcW w:w="3605" w:type="dxa"/>
            <w:shd w:val="clear" w:color="auto" w:fill="auto"/>
            <w:vAlign w:val="center"/>
            <w:hideMark/>
          </w:tcPr>
          <w:p w14:paraId="6727D76B" w14:textId="6C7CBE42" w:rsidR="008A6328" w:rsidRPr="008379CA" w:rsidRDefault="008A6328" w:rsidP="0023341C">
            <w:pPr>
              <w:jc w:val="center"/>
              <w:rPr>
                <w:rFonts w:ascii="Bookman Old Style" w:hAnsi="Bookman Old Style" w:cs="Segoe UI"/>
                <w:b/>
                <w:sz w:val="20"/>
                <w:szCs w:val="20"/>
                <w:lang w:eastAsia="en-ID"/>
              </w:rPr>
            </w:pPr>
            <w:r w:rsidRPr="008379CA">
              <w:rPr>
                <w:rFonts w:ascii="Bookman Old Style" w:hAnsi="Bookman Old Style" w:cs="Segoe UI"/>
                <w:b/>
                <w:sz w:val="20"/>
                <w:szCs w:val="20"/>
                <w:lang w:eastAsia="en-ID"/>
              </w:rPr>
              <w:t>Prioritas</w:t>
            </w:r>
            <w:r w:rsidR="00A954D0" w:rsidRPr="008379CA">
              <w:rPr>
                <w:rFonts w:ascii="Bookman Old Style" w:hAnsi="Bookman Old Style" w:cs="Segoe UI"/>
                <w:b/>
                <w:sz w:val="20"/>
                <w:szCs w:val="20"/>
                <w:lang w:eastAsia="en-ID"/>
              </w:rPr>
              <w:t xml:space="preserve"> </w:t>
            </w:r>
            <w:r w:rsidRPr="008379CA">
              <w:rPr>
                <w:rFonts w:ascii="Bookman Old Style" w:hAnsi="Bookman Old Style" w:cs="Segoe UI"/>
                <w:b/>
                <w:sz w:val="20"/>
                <w:szCs w:val="20"/>
                <w:lang w:eastAsia="en-ID"/>
              </w:rPr>
              <w:t>Pembangunan</w:t>
            </w:r>
            <w:r w:rsidR="00A954D0" w:rsidRPr="008379CA">
              <w:rPr>
                <w:rFonts w:ascii="Bookman Old Style" w:hAnsi="Bookman Old Style" w:cs="Segoe UI"/>
                <w:b/>
                <w:sz w:val="20"/>
                <w:szCs w:val="20"/>
                <w:lang w:eastAsia="en-ID"/>
              </w:rPr>
              <w:t xml:space="preserve"> </w:t>
            </w:r>
            <w:r w:rsidRPr="008379CA">
              <w:rPr>
                <w:rFonts w:ascii="Bookman Old Style" w:hAnsi="Bookman Old Style" w:cs="Segoe UI"/>
                <w:b/>
                <w:sz w:val="20"/>
                <w:szCs w:val="20"/>
                <w:lang w:eastAsia="en-ID"/>
              </w:rPr>
              <w:t>Provinsi</w:t>
            </w:r>
          </w:p>
        </w:tc>
        <w:tc>
          <w:tcPr>
            <w:tcW w:w="3118" w:type="dxa"/>
            <w:vAlign w:val="center"/>
          </w:tcPr>
          <w:p w14:paraId="7E800B1E" w14:textId="5FCA2003" w:rsidR="008A6328" w:rsidRPr="008379CA" w:rsidRDefault="008A6328" w:rsidP="0023341C">
            <w:pPr>
              <w:pStyle w:val="1Style1"/>
              <w:spacing w:line="240" w:lineRule="auto"/>
              <w:jc w:val="center"/>
              <w:rPr>
                <w:b/>
                <w:sz w:val="20"/>
                <w:szCs w:val="20"/>
              </w:rPr>
            </w:pPr>
            <w:r w:rsidRPr="008379CA">
              <w:rPr>
                <w:b/>
                <w:sz w:val="20"/>
                <w:szCs w:val="20"/>
              </w:rPr>
              <w:t>Rancangan</w:t>
            </w:r>
            <w:r w:rsidR="00A954D0" w:rsidRPr="008379CA">
              <w:rPr>
                <w:b/>
                <w:sz w:val="20"/>
                <w:szCs w:val="20"/>
              </w:rPr>
              <w:t xml:space="preserve"> </w:t>
            </w:r>
            <w:r w:rsidRPr="008379CA">
              <w:rPr>
                <w:b/>
                <w:sz w:val="20"/>
                <w:szCs w:val="20"/>
              </w:rPr>
              <w:t>APBD</w:t>
            </w:r>
          </w:p>
          <w:p w14:paraId="113789A5" w14:textId="39804289" w:rsidR="008A6328" w:rsidRPr="008379CA" w:rsidRDefault="008A6328" w:rsidP="0023341C">
            <w:pPr>
              <w:jc w:val="center"/>
              <w:rPr>
                <w:rFonts w:ascii="Bookman Old Style" w:hAnsi="Bookman Old Style" w:cs="Segoe UI"/>
                <w:b/>
                <w:sz w:val="20"/>
                <w:szCs w:val="20"/>
                <w:lang w:eastAsia="en-ID"/>
              </w:rPr>
            </w:pPr>
            <w:r w:rsidRPr="008379CA">
              <w:rPr>
                <w:rFonts w:ascii="Bookman Old Style" w:hAnsi="Bookman Old Style"/>
                <w:b/>
                <w:sz w:val="20"/>
                <w:szCs w:val="20"/>
              </w:rPr>
              <w:t>TA.</w:t>
            </w:r>
            <w:r w:rsidR="00A954D0" w:rsidRPr="008379CA">
              <w:rPr>
                <w:rFonts w:ascii="Bookman Old Style" w:hAnsi="Bookman Old Style"/>
                <w:b/>
                <w:sz w:val="20"/>
                <w:szCs w:val="20"/>
              </w:rPr>
              <w:t xml:space="preserve"> </w:t>
            </w:r>
            <w:r w:rsidRPr="008379CA">
              <w:rPr>
                <w:rFonts w:ascii="Bookman Old Style" w:hAnsi="Bookman Old Style"/>
                <w:b/>
                <w:sz w:val="20"/>
                <w:szCs w:val="20"/>
              </w:rPr>
              <w:t>2025</w:t>
            </w:r>
            <w:r w:rsidRPr="008379CA">
              <w:rPr>
                <w:rFonts w:ascii="Bookman Old Style" w:hAnsi="Bookman Old Style"/>
                <w:b/>
                <w:sz w:val="20"/>
                <w:szCs w:val="20"/>
              </w:rPr>
              <w:br/>
              <w:t>(Rp)</w:t>
            </w:r>
          </w:p>
        </w:tc>
        <w:tc>
          <w:tcPr>
            <w:tcW w:w="1560" w:type="dxa"/>
            <w:shd w:val="clear" w:color="auto" w:fill="auto"/>
            <w:vAlign w:val="center"/>
            <w:hideMark/>
          </w:tcPr>
          <w:p w14:paraId="1AA82947" w14:textId="5FEF6704" w:rsidR="008A6328" w:rsidRPr="008379CA" w:rsidRDefault="008A6328" w:rsidP="0023341C">
            <w:pPr>
              <w:jc w:val="center"/>
              <w:rPr>
                <w:rFonts w:ascii="Bookman Old Style" w:hAnsi="Bookman Old Style" w:cs="Segoe UI"/>
                <w:b/>
                <w:sz w:val="20"/>
                <w:szCs w:val="20"/>
                <w:lang w:eastAsia="en-ID"/>
              </w:rPr>
            </w:pPr>
            <w:r w:rsidRPr="008379CA">
              <w:rPr>
                <w:rFonts w:ascii="Bookman Old Style" w:hAnsi="Bookman Old Style"/>
                <w:b/>
                <w:sz w:val="20"/>
                <w:szCs w:val="20"/>
              </w:rPr>
              <w:t>Rasio</w:t>
            </w:r>
            <w:r w:rsidR="00A954D0" w:rsidRPr="008379CA">
              <w:rPr>
                <w:rFonts w:ascii="Bookman Old Style" w:hAnsi="Bookman Old Style"/>
                <w:b/>
                <w:sz w:val="20"/>
                <w:szCs w:val="20"/>
              </w:rPr>
              <w:t xml:space="preserve"> </w:t>
            </w:r>
            <w:r w:rsidRPr="008379CA">
              <w:rPr>
                <w:rFonts w:ascii="Bookman Old Style" w:hAnsi="Bookman Old Style"/>
                <w:b/>
                <w:sz w:val="20"/>
                <w:szCs w:val="20"/>
              </w:rPr>
              <w:t>Terhadap</w:t>
            </w:r>
            <w:r w:rsidR="00A954D0" w:rsidRPr="008379CA">
              <w:rPr>
                <w:rFonts w:ascii="Bookman Old Style" w:hAnsi="Bookman Old Style"/>
                <w:b/>
                <w:sz w:val="20"/>
                <w:szCs w:val="20"/>
              </w:rPr>
              <w:t xml:space="preserve"> </w:t>
            </w:r>
            <w:r w:rsidRPr="008379CA">
              <w:rPr>
                <w:rFonts w:ascii="Bookman Old Style" w:hAnsi="Bookman Old Style"/>
                <w:b/>
                <w:sz w:val="20"/>
                <w:szCs w:val="20"/>
              </w:rPr>
              <w:t>Belanja</w:t>
            </w:r>
            <w:r w:rsidR="00A954D0" w:rsidRPr="008379CA">
              <w:rPr>
                <w:rFonts w:ascii="Bookman Old Style" w:hAnsi="Bookman Old Style"/>
                <w:b/>
                <w:sz w:val="20"/>
                <w:szCs w:val="20"/>
              </w:rPr>
              <w:t xml:space="preserve"> </w:t>
            </w:r>
            <w:r w:rsidRPr="008379CA">
              <w:rPr>
                <w:rFonts w:ascii="Bookman Old Style" w:hAnsi="Bookman Old Style"/>
                <w:b/>
                <w:sz w:val="20"/>
                <w:szCs w:val="20"/>
              </w:rPr>
              <w:t>Daerah</w:t>
            </w:r>
            <w:r w:rsidR="00A954D0" w:rsidRPr="008379CA">
              <w:rPr>
                <w:rFonts w:ascii="Bookman Old Style" w:hAnsi="Bookman Old Style"/>
                <w:b/>
                <w:sz w:val="20"/>
                <w:szCs w:val="20"/>
              </w:rPr>
              <w:t xml:space="preserve"> </w:t>
            </w:r>
            <w:r w:rsidRPr="008379CA">
              <w:rPr>
                <w:rFonts w:ascii="Bookman Old Style" w:hAnsi="Bookman Old Style"/>
                <w:b/>
                <w:sz w:val="20"/>
                <w:szCs w:val="20"/>
              </w:rPr>
              <w:t>(%)</w:t>
            </w:r>
          </w:p>
        </w:tc>
      </w:tr>
      <w:tr w:rsidR="008379CA" w:rsidRPr="008379CA" w14:paraId="3CEA51DA" w14:textId="77777777" w:rsidTr="0023341C">
        <w:trPr>
          <w:trHeight w:val="284"/>
          <w:jc w:val="center"/>
        </w:trPr>
        <w:tc>
          <w:tcPr>
            <w:tcW w:w="643" w:type="dxa"/>
            <w:vAlign w:val="center"/>
          </w:tcPr>
          <w:p w14:paraId="1863AB3A" w14:textId="77777777" w:rsidR="008A6328" w:rsidRPr="008379CA" w:rsidRDefault="008A6328" w:rsidP="0023341C">
            <w:pPr>
              <w:tabs>
                <w:tab w:val="center" w:pos="213"/>
              </w:tabs>
              <w:jc w:val="center"/>
              <w:rPr>
                <w:rFonts w:ascii="Bookman Old Style" w:hAnsi="Bookman Old Style" w:cs="Segoe UI"/>
                <w:sz w:val="20"/>
                <w:szCs w:val="20"/>
                <w:lang w:val="sv-SE" w:eastAsia="en-ID"/>
              </w:rPr>
            </w:pPr>
            <w:r w:rsidRPr="008379CA">
              <w:rPr>
                <w:rFonts w:ascii="Bookman Old Style" w:hAnsi="Bookman Old Style" w:cs="Segoe UI"/>
                <w:sz w:val="20"/>
                <w:szCs w:val="20"/>
                <w:lang w:val="sv-SE" w:eastAsia="en-ID"/>
              </w:rPr>
              <w:t>1</w:t>
            </w:r>
          </w:p>
        </w:tc>
        <w:tc>
          <w:tcPr>
            <w:tcW w:w="3605" w:type="dxa"/>
            <w:shd w:val="clear" w:color="auto" w:fill="auto"/>
            <w:noWrap/>
            <w:vAlign w:val="center"/>
            <w:hideMark/>
          </w:tcPr>
          <w:p w14:paraId="42AC96F4" w14:textId="227EDC69" w:rsidR="008A6328" w:rsidRPr="008379CA" w:rsidRDefault="008A6328" w:rsidP="008A6328">
            <w:pPr>
              <w:jc w:val="both"/>
              <w:rPr>
                <w:rFonts w:ascii="Bookman Old Style" w:hAnsi="Bookman Old Style" w:cs="Segoe UI"/>
                <w:sz w:val="20"/>
                <w:szCs w:val="20"/>
                <w:highlight w:val="yellow"/>
                <w:lang w:val="sv-SE" w:eastAsia="en-ID"/>
              </w:rPr>
            </w:pPr>
            <w:bookmarkStart w:id="2" w:name="_Hlk176717345"/>
            <w:r w:rsidRPr="008379CA">
              <w:rPr>
                <w:rFonts w:ascii="Bookman Old Style" w:hAnsi="Bookman Old Style"/>
                <w:bCs/>
                <w:sz w:val="20"/>
                <w:szCs w:val="20"/>
                <w:lang w:val="sv-FI"/>
              </w:rPr>
              <w:t>Meningkatkan</w:t>
            </w:r>
            <w:r w:rsidR="00A954D0" w:rsidRPr="008379CA">
              <w:rPr>
                <w:rFonts w:ascii="Bookman Old Style" w:hAnsi="Bookman Old Style"/>
                <w:bCs/>
                <w:sz w:val="20"/>
                <w:szCs w:val="20"/>
                <w:lang w:val="sv-FI"/>
              </w:rPr>
              <w:t xml:space="preserve"> </w:t>
            </w:r>
            <w:r w:rsidRPr="008379CA">
              <w:rPr>
                <w:rFonts w:ascii="Bookman Old Style" w:hAnsi="Bookman Old Style"/>
                <w:bCs/>
                <w:sz w:val="20"/>
                <w:szCs w:val="20"/>
                <w:lang w:val="sv-FI"/>
              </w:rPr>
              <w:t>kesejahteraan</w:t>
            </w:r>
            <w:r w:rsidR="00A954D0" w:rsidRPr="008379CA">
              <w:rPr>
                <w:rFonts w:ascii="Bookman Old Style" w:hAnsi="Bookman Old Style"/>
                <w:bCs/>
                <w:sz w:val="20"/>
                <w:szCs w:val="20"/>
                <w:lang w:val="sv-FI"/>
              </w:rPr>
              <w:t xml:space="preserve"> </w:t>
            </w:r>
            <w:r w:rsidRPr="008379CA">
              <w:rPr>
                <w:rFonts w:ascii="Bookman Old Style" w:hAnsi="Bookman Old Style"/>
                <w:bCs/>
                <w:sz w:val="20"/>
                <w:szCs w:val="20"/>
                <w:lang w:val="sv-FI"/>
              </w:rPr>
              <w:t>masyarakat</w:t>
            </w:r>
            <w:r w:rsidR="00A954D0" w:rsidRPr="008379CA">
              <w:rPr>
                <w:rFonts w:ascii="Bookman Old Style" w:hAnsi="Bookman Old Style"/>
                <w:bCs/>
                <w:sz w:val="20"/>
                <w:szCs w:val="20"/>
                <w:lang w:val="sv-FI"/>
              </w:rPr>
              <w:t xml:space="preserve"> </w:t>
            </w:r>
            <w:r w:rsidRPr="008379CA">
              <w:rPr>
                <w:rFonts w:ascii="Bookman Old Style" w:hAnsi="Bookman Old Style"/>
                <w:bCs/>
                <w:sz w:val="20"/>
                <w:szCs w:val="20"/>
                <w:lang w:val="sv-FI"/>
              </w:rPr>
              <w:t>melalui</w:t>
            </w:r>
            <w:r w:rsidR="00A954D0" w:rsidRPr="008379CA">
              <w:rPr>
                <w:rFonts w:ascii="Bookman Old Style" w:hAnsi="Bookman Old Style"/>
                <w:bCs/>
                <w:sz w:val="20"/>
                <w:szCs w:val="20"/>
                <w:lang w:val="sv-FI"/>
              </w:rPr>
              <w:t xml:space="preserve"> </w:t>
            </w:r>
            <w:r w:rsidRPr="008379CA">
              <w:rPr>
                <w:rFonts w:ascii="Bookman Old Style" w:hAnsi="Bookman Old Style"/>
                <w:bCs/>
                <w:sz w:val="20"/>
                <w:szCs w:val="20"/>
                <w:lang w:val="sv-FI"/>
              </w:rPr>
              <w:t>peningkatan</w:t>
            </w:r>
            <w:r w:rsidR="00A954D0" w:rsidRPr="008379CA">
              <w:rPr>
                <w:rFonts w:ascii="Bookman Old Style" w:hAnsi="Bookman Old Style"/>
                <w:bCs/>
                <w:sz w:val="20"/>
                <w:szCs w:val="20"/>
                <w:lang w:val="sv-FI"/>
              </w:rPr>
              <w:t xml:space="preserve"> </w:t>
            </w:r>
            <w:r w:rsidRPr="008379CA">
              <w:rPr>
                <w:rFonts w:ascii="Bookman Old Style" w:hAnsi="Bookman Old Style"/>
                <w:bCs/>
                <w:sz w:val="20"/>
                <w:szCs w:val="20"/>
                <w:lang w:val="sv-FI"/>
              </w:rPr>
              <w:t>kualitas</w:t>
            </w:r>
            <w:r w:rsidR="00A954D0" w:rsidRPr="008379CA">
              <w:rPr>
                <w:rFonts w:ascii="Bookman Old Style" w:hAnsi="Bookman Old Style"/>
                <w:bCs/>
                <w:sz w:val="20"/>
                <w:szCs w:val="20"/>
                <w:lang w:val="sv-FI"/>
              </w:rPr>
              <w:t xml:space="preserve"> </w:t>
            </w:r>
            <w:r w:rsidRPr="008379CA">
              <w:rPr>
                <w:rFonts w:ascii="Bookman Old Style" w:hAnsi="Bookman Old Style"/>
                <w:bCs/>
                <w:sz w:val="20"/>
                <w:szCs w:val="20"/>
                <w:lang w:val="sv-FI"/>
              </w:rPr>
              <w:t>sumberdaya</w:t>
            </w:r>
            <w:r w:rsidR="00A954D0" w:rsidRPr="008379CA">
              <w:rPr>
                <w:rFonts w:ascii="Bookman Old Style" w:hAnsi="Bookman Old Style"/>
                <w:bCs/>
                <w:sz w:val="20"/>
                <w:szCs w:val="20"/>
                <w:lang w:val="sv-FI"/>
              </w:rPr>
              <w:t xml:space="preserve"> </w:t>
            </w:r>
            <w:r w:rsidRPr="008379CA">
              <w:rPr>
                <w:rFonts w:ascii="Bookman Old Style" w:hAnsi="Bookman Old Style"/>
                <w:bCs/>
                <w:sz w:val="20"/>
                <w:szCs w:val="20"/>
                <w:lang w:val="sv-FI"/>
              </w:rPr>
              <w:t>manusia</w:t>
            </w:r>
            <w:bookmarkEnd w:id="2"/>
          </w:p>
        </w:tc>
        <w:tc>
          <w:tcPr>
            <w:tcW w:w="3118" w:type="dxa"/>
            <w:vAlign w:val="center"/>
          </w:tcPr>
          <w:p w14:paraId="7227E208" w14:textId="77777777" w:rsidR="008A6328" w:rsidRPr="008379CA" w:rsidRDefault="008A6328" w:rsidP="0023341C">
            <w:pPr>
              <w:tabs>
                <w:tab w:val="left" w:pos="390"/>
                <w:tab w:val="right" w:pos="2395"/>
              </w:tabs>
              <w:jc w:val="right"/>
              <w:rPr>
                <w:rFonts w:ascii="Bookman Old Style" w:hAnsi="Bookman Old Style" w:cs="Segoe UI"/>
                <w:sz w:val="20"/>
                <w:szCs w:val="20"/>
                <w:lang w:eastAsia="en-ID"/>
              </w:rPr>
            </w:pPr>
            <w:r w:rsidRPr="008379CA">
              <w:rPr>
                <w:rFonts w:ascii="Bookman Old Style" w:hAnsi="Bookman Old Style" w:cs="Segoe UI"/>
                <w:sz w:val="20"/>
                <w:szCs w:val="20"/>
                <w:lang w:eastAsia="en-ID"/>
              </w:rPr>
              <w:t>353.237.996.415,00</w:t>
            </w:r>
          </w:p>
        </w:tc>
        <w:tc>
          <w:tcPr>
            <w:tcW w:w="1560" w:type="dxa"/>
            <w:shd w:val="clear" w:color="auto" w:fill="auto"/>
            <w:noWrap/>
            <w:vAlign w:val="center"/>
          </w:tcPr>
          <w:p w14:paraId="7F175379" w14:textId="77777777" w:rsidR="008A6328" w:rsidRPr="008379CA" w:rsidRDefault="008A6328" w:rsidP="0023341C">
            <w:pPr>
              <w:jc w:val="center"/>
              <w:rPr>
                <w:rFonts w:ascii="Bookman Old Style" w:hAnsi="Bookman Old Style" w:cs="Segoe UI"/>
                <w:sz w:val="20"/>
                <w:szCs w:val="20"/>
                <w:lang w:eastAsia="en-ID"/>
              </w:rPr>
            </w:pPr>
            <w:r w:rsidRPr="008379CA">
              <w:rPr>
                <w:rFonts w:ascii="Bookman Old Style" w:hAnsi="Bookman Old Style" w:cs="Segoe UI"/>
                <w:sz w:val="20"/>
                <w:szCs w:val="20"/>
                <w:lang w:eastAsia="en-ID"/>
              </w:rPr>
              <w:t>6,19</w:t>
            </w:r>
          </w:p>
        </w:tc>
      </w:tr>
      <w:tr w:rsidR="008379CA" w:rsidRPr="008379CA" w14:paraId="47D3D459" w14:textId="77777777" w:rsidTr="0023341C">
        <w:trPr>
          <w:trHeight w:val="284"/>
          <w:jc w:val="center"/>
        </w:trPr>
        <w:tc>
          <w:tcPr>
            <w:tcW w:w="643" w:type="dxa"/>
            <w:vAlign w:val="center"/>
          </w:tcPr>
          <w:p w14:paraId="0452ECA5" w14:textId="77777777" w:rsidR="008A6328" w:rsidRPr="008379CA" w:rsidRDefault="008A6328" w:rsidP="0023341C">
            <w:pPr>
              <w:jc w:val="center"/>
              <w:rPr>
                <w:rFonts w:ascii="Bookman Old Style" w:hAnsi="Bookman Old Style" w:cs="Segoe UI"/>
                <w:sz w:val="20"/>
                <w:szCs w:val="20"/>
                <w:lang w:val="sv-SE" w:eastAsia="en-ID"/>
              </w:rPr>
            </w:pPr>
            <w:bookmarkStart w:id="3" w:name="_Hlk176717358"/>
            <w:r w:rsidRPr="008379CA">
              <w:rPr>
                <w:rFonts w:ascii="Bookman Old Style" w:hAnsi="Bookman Old Style" w:cs="Segoe UI"/>
                <w:sz w:val="20"/>
                <w:szCs w:val="20"/>
                <w:lang w:val="sv-SE" w:eastAsia="en-ID"/>
              </w:rPr>
              <w:t>2</w:t>
            </w:r>
          </w:p>
        </w:tc>
        <w:tc>
          <w:tcPr>
            <w:tcW w:w="3605" w:type="dxa"/>
            <w:shd w:val="clear" w:color="auto" w:fill="auto"/>
            <w:noWrap/>
            <w:vAlign w:val="center"/>
            <w:hideMark/>
          </w:tcPr>
          <w:p w14:paraId="7C4D1E40" w14:textId="7C5DA326" w:rsidR="008A6328" w:rsidRPr="008379CA" w:rsidRDefault="008A6328" w:rsidP="008A6328">
            <w:pPr>
              <w:jc w:val="both"/>
              <w:rPr>
                <w:rFonts w:ascii="Bookman Old Style" w:hAnsi="Bookman Old Style" w:cs="Segoe UI"/>
                <w:sz w:val="20"/>
                <w:szCs w:val="20"/>
                <w:lang w:val="sv-SE" w:eastAsia="en-ID"/>
              </w:rPr>
            </w:pPr>
            <w:r w:rsidRPr="008379CA">
              <w:rPr>
                <w:rFonts w:ascii="Bookman Old Style" w:hAnsi="Bookman Old Style"/>
                <w:bCs/>
                <w:sz w:val="20"/>
                <w:szCs w:val="20"/>
                <w:lang w:val="sv-FI"/>
              </w:rPr>
              <w:t>Meningkatkan</w:t>
            </w:r>
            <w:r w:rsidR="00A954D0" w:rsidRPr="008379CA">
              <w:rPr>
                <w:rFonts w:ascii="Bookman Old Style" w:hAnsi="Bookman Old Style"/>
                <w:bCs/>
                <w:sz w:val="20"/>
                <w:szCs w:val="20"/>
                <w:lang w:val="sv-FI"/>
              </w:rPr>
              <w:t xml:space="preserve"> </w:t>
            </w:r>
            <w:r w:rsidRPr="008379CA">
              <w:rPr>
                <w:rFonts w:ascii="Bookman Old Style" w:hAnsi="Bookman Old Style"/>
                <w:bCs/>
                <w:sz w:val="20"/>
                <w:szCs w:val="20"/>
                <w:lang w:val="sv-FI"/>
              </w:rPr>
              <w:t>pemerataan</w:t>
            </w:r>
            <w:r w:rsidR="00A954D0" w:rsidRPr="008379CA">
              <w:rPr>
                <w:rFonts w:ascii="Bookman Old Style" w:hAnsi="Bookman Old Style"/>
                <w:bCs/>
                <w:sz w:val="20"/>
                <w:szCs w:val="20"/>
                <w:lang w:val="sv-FI"/>
              </w:rPr>
              <w:t xml:space="preserve"> </w:t>
            </w:r>
            <w:r w:rsidRPr="008379CA">
              <w:rPr>
                <w:rFonts w:ascii="Bookman Old Style" w:hAnsi="Bookman Old Style"/>
                <w:bCs/>
                <w:sz w:val="20"/>
                <w:szCs w:val="20"/>
                <w:lang w:val="sv-FI"/>
              </w:rPr>
              <w:t>pembangunan</w:t>
            </w:r>
            <w:r w:rsidR="00A954D0" w:rsidRPr="008379CA">
              <w:rPr>
                <w:rFonts w:ascii="Bookman Old Style" w:hAnsi="Bookman Old Style"/>
                <w:bCs/>
                <w:sz w:val="20"/>
                <w:szCs w:val="20"/>
                <w:lang w:val="sv-FI"/>
              </w:rPr>
              <w:t xml:space="preserve"> </w:t>
            </w:r>
            <w:r w:rsidRPr="008379CA">
              <w:rPr>
                <w:rFonts w:ascii="Bookman Old Style" w:hAnsi="Bookman Old Style"/>
                <w:bCs/>
                <w:sz w:val="20"/>
                <w:szCs w:val="20"/>
                <w:lang w:val="sv-FI"/>
              </w:rPr>
              <w:t>dan</w:t>
            </w:r>
            <w:r w:rsidR="00A954D0" w:rsidRPr="008379CA">
              <w:rPr>
                <w:rFonts w:ascii="Bookman Old Style" w:hAnsi="Bookman Old Style"/>
                <w:bCs/>
                <w:sz w:val="20"/>
                <w:szCs w:val="20"/>
                <w:lang w:val="sv-FI"/>
              </w:rPr>
              <w:t xml:space="preserve"> </w:t>
            </w:r>
            <w:r w:rsidRPr="008379CA">
              <w:rPr>
                <w:rFonts w:ascii="Bookman Old Style" w:hAnsi="Bookman Old Style"/>
                <w:bCs/>
                <w:sz w:val="20"/>
                <w:szCs w:val="20"/>
                <w:lang w:val="sv-FI"/>
              </w:rPr>
              <w:t>kualitas</w:t>
            </w:r>
            <w:r w:rsidR="00A954D0" w:rsidRPr="008379CA">
              <w:rPr>
                <w:rFonts w:ascii="Bookman Old Style" w:hAnsi="Bookman Old Style"/>
                <w:bCs/>
                <w:sz w:val="20"/>
                <w:szCs w:val="20"/>
                <w:lang w:val="sv-FI"/>
              </w:rPr>
              <w:t xml:space="preserve"> </w:t>
            </w:r>
            <w:r w:rsidRPr="008379CA">
              <w:rPr>
                <w:rFonts w:ascii="Bookman Old Style" w:hAnsi="Bookman Old Style"/>
                <w:bCs/>
                <w:sz w:val="20"/>
                <w:szCs w:val="20"/>
                <w:lang w:val="sv-FI"/>
              </w:rPr>
              <w:t>pertumbuhan</w:t>
            </w:r>
            <w:r w:rsidR="00A954D0" w:rsidRPr="008379CA">
              <w:rPr>
                <w:rFonts w:ascii="Bookman Old Style" w:hAnsi="Bookman Old Style"/>
                <w:bCs/>
                <w:sz w:val="20"/>
                <w:szCs w:val="20"/>
                <w:lang w:val="sv-FI"/>
              </w:rPr>
              <w:t xml:space="preserve"> </w:t>
            </w:r>
            <w:r w:rsidRPr="008379CA">
              <w:rPr>
                <w:rFonts w:ascii="Bookman Old Style" w:hAnsi="Bookman Old Style"/>
                <w:bCs/>
                <w:sz w:val="20"/>
                <w:szCs w:val="20"/>
                <w:lang w:val="sv-FI"/>
              </w:rPr>
              <w:t>ekonomi</w:t>
            </w:r>
          </w:p>
        </w:tc>
        <w:tc>
          <w:tcPr>
            <w:tcW w:w="3118" w:type="dxa"/>
            <w:vAlign w:val="center"/>
          </w:tcPr>
          <w:p w14:paraId="358E72D0" w14:textId="77777777" w:rsidR="008A6328" w:rsidRPr="008379CA" w:rsidRDefault="008A6328" w:rsidP="0023341C">
            <w:pPr>
              <w:jc w:val="right"/>
              <w:rPr>
                <w:rFonts w:ascii="Bookman Old Style" w:hAnsi="Bookman Old Style" w:cs="Segoe UI"/>
                <w:sz w:val="20"/>
                <w:szCs w:val="20"/>
                <w:lang w:eastAsia="en-ID"/>
              </w:rPr>
            </w:pPr>
            <w:r w:rsidRPr="008379CA">
              <w:rPr>
                <w:rFonts w:ascii="Bookman Old Style" w:hAnsi="Bookman Old Style" w:cs="Segoe UI"/>
                <w:sz w:val="20"/>
                <w:szCs w:val="20"/>
                <w:lang w:eastAsia="en-ID"/>
              </w:rPr>
              <w:t>807.254.539.015,00</w:t>
            </w:r>
          </w:p>
        </w:tc>
        <w:tc>
          <w:tcPr>
            <w:tcW w:w="1560" w:type="dxa"/>
            <w:shd w:val="clear" w:color="auto" w:fill="auto"/>
            <w:noWrap/>
            <w:vAlign w:val="center"/>
          </w:tcPr>
          <w:p w14:paraId="34D76F41" w14:textId="77777777" w:rsidR="008A6328" w:rsidRPr="008379CA" w:rsidRDefault="008A6328" w:rsidP="0023341C">
            <w:pPr>
              <w:jc w:val="center"/>
              <w:rPr>
                <w:rFonts w:ascii="Bookman Old Style" w:hAnsi="Bookman Old Style" w:cs="Segoe UI"/>
                <w:sz w:val="20"/>
                <w:szCs w:val="20"/>
                <w:lang w:eastAsia="en-ID"/>
              </w:rPr>
            </w:pPr>
            <w:r w:rsidRPr="008379CA">
              <w:rPr>
                <w:rFonts w:ascii="Bookman Old Style" w:hAnsi="Bookman Old Style" w:cs="Segoe UI"/>
                <w:sz w:val="20"/>
                <w:szCs w:val="20"/>
                <w:lang w:eastAsia="en-ID"/>
              </w:rPr>
              <w:t>14,15</w:t>
            </w:r>
          </w:p>
        </w:tc>
      </w:tr>
      <w:tr w:rsidR="008379CA" w:rsidRPr="008379CA" w14:paraId="5DBA18FE" w14:textId="77777777" w:rsidTr="0023341C">
        <w:trPr>
          <w:trHeight w:val="284"/>
          <w:jc w:val="center"/>
        </w:trPr>
        <w:tc>
          <w:tcPr>
            <w:tcW w:w="643" w:type="dxa"/>
            <w:vAlign w:val="center"/>
          </w:tcPr>
          <w:p w14:paraId="24863BF7" w14:textId="77777777" w:rsidR="008A6328" w:rsidRPr="008379CA" w:rsidRDefault="008A6328" w:rsidP="0023341C">
            <w:pPr>
              <w:jc w:val="center"/>
              <w:rPr>
                <w:rFonts w:ascii="Bookman Old Style" w:hAnsi="Bookman Old Style" w:cs="Segoe UI"/>
                <w:sz w:val="20"/>
                <w:szCs w:val="20"/>
                <w:lang w:val="sv-SE" w:eastAsia="en-ID"/>
              </w:rPr>
            </w:pPr>
            <w:bookmarkStart w:id="4" w:name="_Hlk176717386"/>
            <w:bookmarkEnd w:id="3"/>
            <w:r w:rsidRPr="008379CA">
              <w:rPr>
                <w:rFonts w:ascii="Bookman Old Style" w:hAnsi="Bookman Old Style" w:cs="Segoe UI"/>
                <w:sz w:val="20"/>
                <w:szCs w:val="20"/>
                <w:lang w:val="sv-SE" w:eastAsia="en-ID"/>
              </w:rPr>
              <w:t>3</w:t>
            </w:r>
          </w:p>
        </w:tc>
        <w:tc>
          <w:tcPr>
            <w:tcW w:w="3605" w:type="dxa"/>
            <w:shd w:val="clear" w:color="auto" w:fill="auto"/>
            <w:noWrap/>
            <w:vAlign w:val="center"/>
            <w:hideMark/>
          </w:tcPr>
          <w:p w14:paraId="4CB74035" w14:textId="38627116" w:rsidR="008A6328" w:rsidRPr="008379CA" w:rsidRDefault="008A6328" w:rsidP="008A6328">
            <w:pPr>
              <w:jc w:val="both"/>
              <w:rPr>
                <w:rFonts w:ascii="Bookman Old Style" w:hAnsi="Bookman Old Style" w:cs="Segoe UI"/>
                <w:sz w:val="20"/>
                <w:szCs w:val="20"/>
                <w:lang w:val="sv-SE" w:eastAsia="en-ID"/>
              </w:rPr>
            </w:pPr>
            <w:r w:rsidRPr="008379CA">
              <w:rPr>
                <w:rFonts w:ascii="Bookman Old Style" w:hAnsi="Bookman Old Style"/>
                <w:bCs/>
                <w:sz w:val="20"/>
                <w:szCs w:val="20"/>
                <w:lang w:val="sv-FI"/>
              </w:rPr>
              <w:t>Meningkatkan</w:t>
            </w:r>
            <w:r w:rsidR="00A954D0" w:rsidRPr="008379CA">
              <w:rPr>
                <w:rFonts w:ascii="Bookman Old Style" w:hAnsi="Bookman Old Style"/>
                <w:bCs/>
                <w:sz w:val="20"/>
                <w:szCs w:val="20"/>
                <w:lang w:val="sv-FI"/>
              </w:rPr>
              <w:t xml:space="preserve"> </w:t>
            </w:r>
            <w:r w:rsidRPr="008379CA">
              <w:rPr>
                <w:rFonts w:ascii="Bookman Old Style" w:hAnsi="Bookman Old Style"/>
                <w:bCs/>
                <w:sz w:val="20"/>
                <w:szCs w:val="20"/>
                <w:lang w:val="sv-FI"/>
              </w:rPr>
              <w:t>pengelolaan</w:t>
            </w:r>
            <w:r w:rsidR="00A954D0" w:rsidRPr="008379CA">
              <w:rPr>
                <w:rFonts w:ascii="Bookman Old Style" w:hAnsi="Bookman Old Style"/>
                <w:bCs/>
                <w:sz w:val="20"/>
                <w:szCs w:val="20"/>
                <w:lang w:val="sv-FI"/>
              </w:rPr>
              <w:t xml:space="preserve"> </w:t>
            </w:r>
            <w:r w:rsidRPr="008379CA">
              <w:rPr>
                <w:rFonts w:ascii="Bookman Old Style" w:hAnsi="Bookman Old Style"/>
                <w:bCs/>
                <w:sz w:val="20"/>
                <w:szCs w:val="20"/>
                <w:lang w:val="sv-FI"/>
              </w:rPr>
              <w:t>lingkungan</w:t>
            </w:r>
            <w:r w:rsidR="00A954D0" w:rsidRPr="008379CA">
              <w:rPr>
                <w:rFonts w:ascii="Bookman Old Style" w:hAnsi="Bookman Old Style"/>
                <w:bCs/>
                <w:sz w:val="20"/>
                <w:szCs w:val="20"/>
                <w:lang w:val="sv-FI"/>
              </w:rPr>
              <w:t xml:space="preserve"> </w:t>
            </w:r>
            <w:r w:rsidRPr="008379CA">
              <w:rPr>
                <w:rFonts w:ascii="Bookman Old Style" w:hAnsi="Bookman Old Style"/>
                <w:bCs/>
                <w:sz w:val="20"/>
                <w:szCs w:val="20"/>
                <w:lang w:val="sv-FI"/>
              </w:rPr>
              <w:t>hidup</w:t>
            </w:r>
            <w:r w:rsidR="00A954D0" w:rsidRPr="008379CA">
              <w:rPr>
                <w:rFonts w:ascii="Bookman Old Style" w:hAnsi="Bookman Old Style"/>
                <w:bCs/>
                <w:sz w:val="20"/>
                <w:szCs w:val="20"/>
                <w:lang w:val="sv-FI"/>
              </w:rPr>
              <w:t xml:space="preserve"> </w:t>
            </w:r>
            <w:r w:rsidRPr="008379CA">
              <w:rPr>
                <w:rFonts w:ascii="Bookman Old Style" w:hAnsi="Bookman Old Style"/>
                <w:bCs/>
                <w:sz w:val="20"/>
                <w:szCs w:val="20"/>
                <w:lang w:val="sv-FI"/>
              </w:rPr>
              <w:t>untuk</w:t>
            </w:r>
            <w:r w:rsidR="00A954D0" w:rsidRPr="008379CA">
              <w:rPr>
                <w:rFonts w:ascii="Bookman Old Style" w:hAnsi="Bookman Old Style"/>
                <w:bCs/>
                <w:sz w:val="20"/>
                <w:szCs w:val="20"/>
                <w:lang w:val="sv-FI"/>
              </w:rPr>
              <w:t xml:space="preserve"> </w:t>
            </w:r>
            <w:r w:rsidRPr="008379CA">
              <w:rPr>
                <w:rFonts w:ascii="Bookman Old Style" w:hAnsi="Bookman Old Style"/>
                <w:bCs/>
                <w:sz w:val="20"/>
                <w:szCs w:val="20"/>
                <w:lang w:val="sv-FI"/>
              </w:rPr>
              <w:t>mendukung</w:t>
            </w:r>
            <w:r w:rsidR="00A954D0" w:rsidRPr="008379CA">
              <w:rPr>
                <w:rFonts w:ascii="Bookman Old Style" w:hAnsi="Bookman Old Style"/>
                <w:bCs/>
                <w:sz w:val="20"/>
                <w:szCs w:val="20"/>
                <w:lang w:val="sv-FI"/>
              </w:rPr>
              <w:t xml:space="preserve"> </w:t>
            </w:r>
            <w:r w:rsidRPr="008379CA">
              <w:rPr>
                <w:rFonts w:ascii="Bookman Old Style" w:hAnsi="Bookman Old Style"/>
                <w:bCs/>
                <w:sz w:val="20"/>
                <w:szCs w:val="20"/>
                <w:lang w:val="sv-FI"/>
              </w:rPr>
              <w:t>pembangunan</w:t>
            </w:r>
            <w:r w:rsidR="00A954D0" w:rsidRPr="008379CA">
              <w:rPr>
                <w:rFonts w:ascii="Bookman Old Style" w:hAnsi="Bookman Old Style"/>
                <w:bCs/>
                <w:sz w:val="20"/>
                <w:szCs w:val="20"/>
                <w:lang w:val="sv-FI"/>
              </w:rPr>
              <w:t xml:space="preserve"> </w:t>
            </w:r>
            <w:r w:rsidRPr="008379CA">
              <w:rPr>
                <w:rFonts w:ascii="Bookman Old Style" w:hAnsi="Bookman Old Style"/>
                <w:bCs/>
                <w:sz w:val="20"/>
                <w:szCs w:val="20"/>
                <w:lang w:val="sv-FI"/>
              </w:rPr>
              <w:t>yang</w:t>
            </w:r>
            <w:r w:rsidR="00A954D0" w:rsidRPr="008379CA">
              <w:rPr>
                <w:rFonts w:ascii="Bookman Old Style" w:hAnsi="Bookman Old Style"/>
                <w:bCs/>
                <w:sz w:val="20"/>
                <w:szCs w:val="20"/>
                <w:lang w:val="sv-FI"/>
              </w:rPr>
              <w:t xml:space="preserve"> </w:t>
            </w:r>
            <w:r w:rsidRPr="008379CA">
              <w:rPr>
                <w:rFonts w:ascii="Bookman Old Style" w:hAnsi="Bookman Old Style"/>
                <w:bCs/>
                <w:sz w:val="20"/>
                <w:szCs w:val="20"/>
                <w:lang w:val="sv-FI"/>
              </w:rPr>
              <w:t>berkelanjutan</w:t>
            </w:r>
            <w:r w:rsidR="00A954D0" w:rsidRPr="008379CA">
              <w:rPr>
                <w:rFonts w:ascii="Bookman Old Style" w:hAnsi="Bookman Old Style"/>
                <w:bCs/>
                <w:sz w:val="20"/>
                <w:szCs w:val="20"/>
                <w:lang w:val="sv-FI"/>
              </w:rPr>
              <w:t xml:space="preserve"> </w:t>
            </w:r>
          </w:p>
        </w:tc>
        <w:tc>
          <w:tcPr>
            <w:tcW w:w="3118" w:type="dxa"/>
            <w:vAlign w:val="center"/>
          </w:tcPr>
          <w:p w14:paraId="2D27040D" w14:textId="77777777" w:rsidR="008A6328" w:rsidRPr="008379CA" w:rsidRDefault="008A6328" w:rsidP="0023341C">
            <w:pPr>
              <w:jc w:val="right"/>
              <w:rPr>
                <w:rFonts w:ascii="Bookman Old Style" w:hAnsi="Bookman Old Style" w:cs="Segoe UI"/>
                <w:sz w:val="20"/>
                <w:szCs w:val="20"/>
                <w:lang w:eastAsia="en-ID"/>
              </w:rPr>
            </w:pPr>
            <w:r w:rsidRPr="008379CA">
              <w:rPr>
                <w:rFonts w:ascii="Bookman Old Style" w:hAnsi="Bookman Old Style" w:cs="Segoe UI"/>
                <w:sz w:val="20"/>
                <w:szCs w:val="20"/>
                <w:lang w:eastAsia="en-ID"/>
              </w:rPr>
              <w:t>368.872.098.280,00</w:t>
            </w:r>
          </w:p>
        </w:tc>
        <w:tc>
          <w:tcPr>
            <w:tcW w:w="1560" w:type="dxa"/>
            <w:shd w:val="clear" w:color="auto" w:fill="auto"/>
            <w:noWrap/>
            <w:vAlign w:val="center"/>
          </w:tcPr>
          <w:p w14:paraId="4CD3358C" w14:textId="77777777" w:rsidR="008A6328" w:rsidRPr="008379CA" w:rsidRDefault="008A6328" w:rsidP="0023341C">
            <w:pPr>
              <w:jc w:val="center"/>
              <w:rPr>
                <w:rFonts w:ascii="Bookman Old Style" w:hAnsi="Bookman Old Style" w:cs="Segoe UI"/>
                <w:sz w:val="20"/>
                <w:szCs w:val="20"/>
                <w:lang w:eastAsia="en-ID"/>
              </w:rPr>
            </w:pPr>
            <w:r w:rsidRPr="008379CA">
              <w:rPr>
                <w:rFonts w:ascii="Bookman Old Style" w:hAnsi="Bookman Old Style" w:cs="Segoe UI"/>
                <w:sz w:val="20"/>
                <w:szCs w:val="20"/>
                <w:lang w:eastAsia="en-ID"/>
              </w:rPr>
              <w:t>6,46</w:t>
            </w:r>
          </w:p>
        </w:tc>
      </w:tr>
      <w:tr w:rsidR="008379CA" w:rsidRPr="008379CA" w14:paraId="6ECEFF9A" w14:textId="77777777" w:rsidTr="0023341C">
        <w:trPr>
          <w:trHeight w:val="851"/>
          <w:jc w:val="center"/>
        </w:trPr>
        <w:tc>
          <w:tcPr>
            <w:tcW w:w="643" w:type="dxa"/>
            <w:vAlign w:val="center"/>
          </w:tcPr>
          <w:p w14:paraId="475DC002" w14:textId="77777777" w:rsidR="008A6328" w:rsidRPr="008379CA" w:rsidRDefault="008A6328" w:rsidP="0023341C">
            <w:pPr>
              <w:jc w:val="center"/>
              <w:rPr>
                <w:rFonts w:ascii="Bookman Old Style" w:hAnsi="Bookman Old Style" w:cs="Segoe UI"/>
                <w:sz w:val="20"/>
                <w:szCs w:val="20"/>
                <w:lang w:val="sv-SE" w:eastAsia="en-ID"/>
              </w:rPr>
            </w:pPr>
            <w:bookmarkStart w:id="5" w:name="_Hlk183618969"/>
            <w:bookmarkStart w:id="6" w:name="_Hlk176717409"/>
            <w:bookmarkEnd w:id="4"/>
            <w:r w:rsidRPr="008379CA">
              <w:rPr>
                <w:rFonts w:ascii="Bookman Old Style" w:hAnsi="Bookman Old Style" w:cs="Segoe UI"/>
                <w:sz w:val="20"/>
                <w:szCs w:val="20"/>
                <w:lang w:val="sv-SE" w:eastAsia="en-ID"/>
              </w:rPr>
              <w:t>4</w:t>
            </w:r>
          </w:p>
        </w:tc>
        <w:tc>
          <w:tcPr>
            <w:tcW w:w="3605" w:type="dxa"/>
            <w:shd w:val="clear" w:color="auto" w:fill="auto"/>
            <w:noWrap/>
            <w:vAlign w:val="center"/>
            <w:hideMark/>
          </w:tcPr>
          <w:p w14:paraId="729BF09A" w14:textId="6001809B" w:rsidR="008A6328" w:rsidRPr="008379CA" w:rsidRDefault="008A6328" w:rsidP="008A6328">
            <w:pPr>
              <w:jc w:val="both"/>
              <w:rPr>
                <w:rFonts w:ascii="Bookman Old Style" w:hAnsi="Bookman Old Style" w:cs="Segoe UI"/>
                <w:sz w:val="20"/>
                <w:szCs w:val="20"/>
                <w:lang w:val="sv-SE" w:eastAsia="en-ID"/>
              </w:rPr>
            </w:pPr>
            <w:r w:rsidRPr="008379CA">
              <w:rPr>
                <w:rFonts w:ascii="Bookman Old Style" w:hAnsi="Bookman Old Style"/>
                <w:bCs/>
                <w:sz w:val="20"/>
                <w:szCs w:val="20"/>
                <w:lang w:val="sv-FI"/>
              </w:rPr>
              <w:t>Meningkatkan</w:t>
            </w:r>
            <w:r w:rsidR="00A954D0" w:rsidRPr="008379CA">
              <w:rPr>
                <w:rFonts w:ascii="Bookman Old Style" w:hAnsi="Bookman Old Style"/>
                <w:bCs/>
                <w:sz w:val="20"/>
                <w:szCs w:val="20"/>
                <w:lang w:val="sv-FI"/>
              </w:rPr>
              <w:t xml:space="preserve"> </w:t>
            </w:r>
            <w:r w:rsidRPr="008379CA">
              <w:rPr>
                <w:rFonts w:ascii="Bookman Old Style" w:hAnsi="Bookman Old Style"/>
                <w:bCs/>
                <w:sz w:val="20"/>
                <w:szCs w:val="20"/>
                <w:lang w:val="sv-FI"/>
              </w:rPr>
              <w:t>tata</w:t>
            </w:r>
            <w:r w:rsidR="00A954D0" w:rsidRPr="008379CA">
              <w:rPr>
                <w:rFonts w:ascii="Bookman Old Style" w:hAnsi="Bookman Old Style"/>
                <w:bCs/>
                <w:sz w:val="20"/>
                <w:szCs w:val="20"/>
                <w:lang w:val="sv-FI"/>
              </w:rPr>
              <w:t xml:space="preserve"> </w:t>
            </w:r>
            <w:r w:rsidRPr="008379CA">
              <w:rPr>
                <w:rFonts w:ascii="Bookman Old Style" w:hAnsi="Bookman Old Style"/>
                <w:bCs/>
                <w:sz w:val="20"/>
                <w:szCs w:val="20"/>
                <w:lang w:val="sv-FI"/>
              </w:rPr>
              <w:t>kelola</w:t>
            </w:r>
            <w:r w:rsidR="00A954D0" w:rsidRPr="008379CA">
              <w:rPr>
                <w:rFonts w:ascii="Bookman Old Style" w:hAnsi="Bookman Old Style"/>
                <w:bCs/>
                <w:sz w:val="20"/>
                <w:szCs w:val="20"/>
                <w:lang w:val="sv-FI"/>
              </w:rPr>
              <w:t xml:space="preserve"> </w:t>
            </w:r>
            <w:r w:rsidRPr="008379CA">
              <w:rPr>
                <w:rFonts w:ascii="Bookman Old Style" w:hAnsi="Bookman Old Style"/>
                <w:bCs/>
                <w:sz w:val="20"/>
                <w:szCs w:val="20"/>
                <w:lang w:val="sv-FI"/>
              </w:rPr>
              <w:t>pemerintahan</w:t>
            </w:r>
            <w:r w:rsidR="00A954D0" w:rsidRPr="008379CA">
              <w:rPr>
                <w:rFonts w:ascii="Bookman Old Style" w:hAnsi="Bookman Old Style"/>
                <w:bCs/>
                <w:sz w:val="20"/>
                <w:szCs w:val="20"/>
                <w:lang w:val="sv-FI"/>
              </w:rPr>
              <w:t xml:space="preserve"> </w:t>
            </w:r>
            <w:r w:rsidRPr="008379CA">
              <w:rPr>
                <w:rFonts w:ascii="Bookman Old Style" w:hAnsi="Bookman Old Style"/>
                <w:bCs/>
                <w:sz w:val="20"/>
                <w:szCs w:val="20"/>
                <w:lang w:val="sv-FI"/>
              </w:rPr>
              <w:t>yang</w:t>
            </w:r>
            <w:r w:rsidR="00A954D0" w:rsidRPr="008379CA">
              <w:rPr>
                <w:rFonts w:ascii="Bookman Old Style" w:hAnsi="Bookman Old Style"/>
                <w:bCs/>
                <w:sz w:val="20"/>
                <w:szCs w:val="20"/>
                <w:lang w:val="sv-FI"/>
              </w:rPr>
              <w:t xml:space="preserve"> </w:t>
            </w:r>
            <w:r w:rsidRPr="008379CA">
              <w:rPr>
                <w:rFonts w:ascii="Bookman Old Style" w:hAnsi="Bookman Old Style"/>
                <w:bCs/>
                <w:sz w:val="20"/>
                <w:szCs w:val="20"/>
                <w:lang w:val="sv-FI"/>
              </w:rPr>
              <w:t>baik,</w:t>
            </w:r>
            <w:r w:rsidR="00A954D0" w:rsidRPr="008379CA">
              <w:rPr>
                <w:rFonts w:ascii="Bookman Old Style" w:hAnsi="Bookman Old Style"/>
                <w:bCs/>
                <w:sz w:val="20"/>
                <w:szCs w:val="20"/>
                <w:lang w:val="sv-FI"/>
              </w:rPr>
              <w:t xml:space="preserve"> </w:t>
            </w:r>
            <w:r w:rsidRPr="008379CA">
              <w:rPr>
                <w:rFonts w:ascii="Bookman Old Style" w:hAnsi="Bookman Old Style"/>
                <w:bCs/>
                <w:sz w:val="20"/>
                <w:szCs w:val="20"/>
                <w:lang w:val="sv-FI"/>
              </w:rPr>
              <w:t>bersih</w:t>
            </w:r>
            <w:r w:rsidR="00A954D0" w:rsidRPr="008379CA">
              <w:rPr>
                <w:rFonts w:ascii="Bookman Old Style" w:hAnsi="Bookman Old Style"/>
                <w:bCs/>
                <w:sz w:val="20"/>
                <w:szCs w:val="20"/>
                <w:lang w:val="sv-FI"/>
              </w:rPr>
              <w:t xml:space="preserve"> </w:t>
            </w:r>
            <w:r w:rsidRPr="008379CA">
              <w:rPr>
                <w:rFonts w:ascii="Bookman Old Style" w:hAnsi="Bookman Old Style"/>
                <w:bCs/>
                <w:sz w:val="20"/>
                <w:szCs w:val="20"/>
                <w:lang w:val="sv-FI"/>
              </w:rPr>
              <w:t>dan</w:t>
            </w:r>
            <w:r w:rsidR="00A954D0" w:rsidRPr="008379CA">
              <w:rPr>
                <w:rFonts w:ascii="Bookman Old Style" w:hAnsi="Bookman Old Style"/>
                <w:bCs/>
                <w:sz w:val="20"/>
                <w:szCs w:val="20"/>
                <w:lang w:val="sv-FI"/>
              </w:rPr>
              <w:t xml:space="preserve"> </w:t>
            </w:r>
            <w:r w:rsidRPr="008379CA">
              <w:rPr>
                <w:rFonts w:ascii="Bookman Old Style" w:hAnsi="Bookman Old Style"/>
                <w:bCs/>
                <w:sz w:val="20"/>
                <w:szCs w:val="20"/>
                <w:lang w:val="sv-FI"/>
              </w:rPr>
              <w:t>berwibawa</w:t>
            </w:r>
          </w:p>
        </w:tc>
        <w:tc>
          <w:tcPr>
            <w:tcW w:w="3118" w:type="dxa"/>
            <w:vAlign w:val="center"/>
          </w:tcPr>
          <w:p w14:paraId="636A4904" w14:textId="77777777" w:rsidR="008A6328" w:rsidRPr="008379CA" w:rsidRDefault="008A6328" w:rsidP="0023341C">
            <w:pPr>
              <w:jc w:val="right"/>
              <w:rPr>
                <w:rFonts w:ascii="Bookman Old Style" w:hAnsi="Bookman Old Style" w:cs="Segoe UI"/>
                <w:sz w:val="20"/>
                <w:szCs w:val="20"/>
                <w:lang w:eastAsia="en-ID"/>
              </w:rPr>
            </w:pPr>
            <w:r w:rsidRPr="008379CA">
              <w:rPr>
                <w:rFonts w:ascii="Bookman Old Style" w:hAnsi="Bookman Old Style" w:cs="Segoe UI"/>
                <w:sz w:val="20"/>
                <w:szCs w:val="20"/>
                <w:lang w:eastAsia="en-ID"/>
              </w:rPr>
              <w:t>599.645.906.278,00</w:t>
            </w:r>
          </w:p>
        </w:tc>
        <w:tc>
          <w:tcPr>
            <w:tcW w:w="1560" w:type="dxa"/>
            <w:shd w:val="clear" w:color="auto" w:fill="auto"/>
            <w:noWrap/>
            <w:vAlign w:val="center"/>
          </w:tcPr>
          <w:p w14:paraId="7F800F11" w14:textId="77777777" w:rsidR="008A6328" w:rsidRPr="008379CA" w:rsidRDefault="008A6328" w:rsidP="0023341C">
            <w:pPr>
              <w:jc w:val="center"/>
              <w:rPr>
                <w:rFonts w:ascii="Bookman Old Style" w:hAnsi="Bookman Old Style" w:cs="Segoe UI"/>
                <w:sz w:val="20"/>
                <w:szCs w:val="20"/>
                <w:lang w:eastAsia="en-ID"/>
              </w:rPr>
            </w:pPr>
            <w:r w:rsidRPr="008379CA">
              <w:rPr>
                <w:rFonts w:ascii="Bookman Old Style" w:hAnsi="Bookman Old Style" w:cs="Segoe UI"/>
                <w:sz w:val="20"/>
                <w:szCs w:val="20"/>
                <w:lang w:eastAsia="en-ID"/>
              </w:rPr>
              <w:t>10,51</w:t>
            </w:r>
          </w:p>
        </w:tc>
      </w:tr>
      <w:bookmarkEnd w:id="5"/>
      <w:bookmarkEnd w:id="6"/>
      <w:tr w:rsidR="008379CA" w:rsidRPr="008379CA" w14:paraId="15386578" w14:textId="77777777" w:rsidTr="0023341C">
        <w:trPr>
          <w:trHeight w:val="284"/>
          <w:jc w:val="center"/>
        </w:trPr>
        <w:tc>
          <w:tcPr>
            <w:tcW w:w="643" w:type="dxa"/>
            <w:vAlign w:val="center"/>
          </w:tcPr>
          <w:p w14:paraId="16309DAD" w14:textId="77777777" w:rsidR="008A6328" w:rsidRPr="008379CA" w:rsidRDefault="008A6328" w:rsidP="0023341C">
            <w:pPr>
              <w:jc w:val="center"/>
              <w:rPr>
                <w:rFonts w:ascii="Bookman Old Style" w:hAnsi="Bookman Old Style" w:cs="Calibri"/>
                <w:b/>
                <w:bCs/>
                <w:sz w:val="20"/>
                <w:szCs w:val="20"/>
                <w:lang w:eastAsia="en-ID"/>
              </w:rPr>
            </w:pPr>
          </w:p>
        </w:tc>
        <w:tc>
          <w:tcPr>
            <w:tcW w:w="3605" w:type="dxa"/>
            <w:shd w:val="clear" w:color="auto" w:fill="auto"/>
            <w:noWrap/>
            <w:vAlign w:val="center"/>
            <w:hideMark/>
          </w:tcPr>
          <w:p w14:paraId="621DAA85" w14:textId="2FC49ACF" w:rsidR="008A6328" w:rsidRPr="008379CA" w:rsidRDefault="008A6328" w:rsidP="0023341C">
            <w:pPr>
              <w:jc w:val="right"/>
              <w:rPr>
                <w:rFonts w:ascii="Bookman Old Style" w:hAnsi="Bookman Old Style" w:cs="Calibri"/>
                <w:b/>
                <w:bCs/>
                <w:sz w:val="20"/>
                <w:szCs w:val="20"/>
                <w:lang w:eastAsia="en-ID"/>
              </w:rPr>
            </w:pPr>
            <w:r w:rsidRPr="008379CA">
              <w:rPr>
                <w:rFonts w:ascii="Bookman Old Style" w:hAnsi="Bookman Old Style" w:cs="Calibri"/>
                <w:b/>
                <w:bCs/>
                <w:sz w:val="20"/>
                <w:szCs w:val="20"/>
                <w:lang w:eastAsia="en-ID"/>
              </w:rPr>
              <w:t>Total</w:t>
            </w:r>
            <w:r w:rsidR="00A954D0" w:rsidRPr="008379CA">
              <w:rPr>
                <w:rFonts w:ascii="Bookman Old Style" w:hAnsi="Bookman Old Style" w:cs="Calibri"/>
                <w:b/>
                <w:bCs/>
                <w:sz w:val="20"/>
                <w:szCs w:val="20"/>
                <w:lang w:eastAsia="en-ID"/>
              </w:rPr>
              <w:t xml:space="preserve"> </w:t>
            </w:r>
            <w:r w:rsidRPr="008379CA">
              <w:rPr>
                <w:rFonts w:ascii="Bookman Old Style" w:hAnsi="Bookman Old Style" w:cs="Calibri"/>
                <w:b/>
                <w:bCs/>
                <w:sz w:val="20"/>
                <w:szCs w:val="20"/>
                <w:lang w:eastAsia="en-ID"/>
              </w:rPr>
              <w:t>Alokasi</w:t>
            </w:r>
            <w:r w:rsidR="00A954D0" w:rsidRPr="008379CA">
              <w:rPr>
                <w:rFonts w:ascii="Bookman Old Style" w:hAnsi="Bookman Old Style" w:cs="Calibri"/>
                <w:b/>
                <w:bCs/>
                <w:sz w:val="20"/>
                <w:szCs w:val="20"/>
                <w:lang w:eastAsia="en-ID"/>
              </w:rPr>
              <w:t xml:space="preserve"> </w:t>
            </w:r>
            <w:r w:rsidRPr="008379CA">
              <w:rPr>
                <w:rFonts w:ascii="Bookman Old Style" w:hAnsi="Bookman Old Style" w:cs="Calibri"/>
                <w:b/>
                <w:bCs/>
                <w:sz w:val="20"/>
                <w:szCs w:val="20"/>
                <w:lang w:eastAsia="en-ID"/>
              </w:rPr>
              <w:t>Anggaran</w:t>
            </w:r>
            <w:r w:rsidR="00A954D0" w:rsidRPr="008379CA">
              <w:rPr>
                <w:rFonts w:ascii="Bookman Old Style" w:hAnsi="Bookman Old Style" w:cs="Calibri"/>
                <w:b/>
                <w:bCs/>
                <w:sz w:val="20"/>
                <w:szCs w:val="20"/>
                <w:lang w:eastAsia="en-ID"/>
              </w:rPr>
              <w:t xml:space="preserve"> </w:t>
            </w:r>
          </w:p>
        </w:tc>
        <w:tc>
          <w:tcPr>
            <w:tcW w:w="3118" w:type="dxa"/>
            <w:vAlign w:val="center"/>
          </w:tcPr>
          <w:p w14:paraId="2723A4C2" w14:textId="77777777" w:rsidR="008A6328" w:rsidRPr="008379CA" w:rsidRDefault="008A6328" w:rsidP="0023341C">
            <w:pPr>
              <w:jc w:val="right"/>
              <w:rPr>
                <w:rFonts w:ascii="Bookman Old Style" w:hAnsi="Bookman Old Style" w:cs="Calibri"/>
                <w:b/>
                <w:bCs/>
                <w:sz w:val="20"/>
                <w:szCs w:val="20"/>
                <w:lang w:eastAsia="en-ID"/>
              </w:rPr>
            </w:pPr>
            <w:r w:rsidRPr="008379CA">
              <w:rPr>
                <w:rFonts w:ascii="Bookman Old Style" w:hAnsi="Bookman Old Style" w:cs="Calibri"/>
                <w:b/>
                <w:bCs/>
                <w:sz w:val="20"/>
                <w:szCs w:val="20"/>
                <w:lang w:eastAsia="en-ID"/>
              </w:rPr>
              <w:t>2.129.010.539.988,00</w:t>
            </w:r>
          </w:p>
        </w:tc>
        <w:tc>
          <w:tcPr>
            <w:tcW w:w="1560" w:type="dxa"/>
            <w:shd w:val="clear" w:color="auto" w:fill="auto"/>
            <w:noWrap/>
            <w:vAlign w:val="center"/>
          </w:tcPr>
          <w:p w14:paraId="1D74644B" w14:textId="77777777" w:rsidR="008A6328" w:rsidRPr="008379CA" w:rsidRDefault="008A6328" w:rsidP="0023341C">
            <w:pPr>
              <w:jc w:val="center"/>
              <w:rPr>
                <w:rFonts w:ascii="Bookman Old Style" w:hAnsi="Bookman Old Style" w:cs="Calibri"/>
                <w:b/>
                <w:bCs/>
                <w:sz w:val="20"/>
                <w:szCs w:val="20"/>
                <w:lang w:eastAsia="en-ID"/>
              </w:rPr>
            </w:pPr>
            <w:r w:rsidRPr="008379CA">
              <w:rPr>
                <w:rFonts w:ascii="Bookman Old Style" w:hAnsi="Bookman Old Style" w:cs="Calibri"/>
                <w:b/>
                <w:bCs/>
                <w:sz w:val="20"/>
                <w:szCs w:val="20"/>
                <w:lang w:eastAsia="en-ID"/>
              </w:rPr>
              <w:t>37,31</w:t>
            </w:r>
          </w:p>
        </w:tc>
      </w:tr>
    </w:tbl>
    <w:p w14:paraId="322E91E8" w14:textId="78B17983" w:rsidR="00121E91" w:rsidRPr="008379CA" w:rsidRDefault="008A6328" w:rsidP="00071C83">
      <w:pPr>
        <w:pStyle w:val="ListParagraph"/>
        <w:spacing w:before="60" w:after="0" w:line="276" w:lineRule="auto"/>
        <w:ind w:left="993"/>
        <w:contextualSpacing w:val="0"/>
        <w:jc w:val="both"/>
        <w:rPr>
          <w:rFonts w:ascii="Bookman Old Style" w:hAnsi="Bookman Old Style"/>
          <w:sz w:val="24"/>
          <w:szCs w:val="24"/>
          <w:highlight w:val="yellow"/>
          <w:lang w:val="id-ID"/>
        </w:rPr>
      </w:pPr>
      <w:r w:rsidRPr="008379CA">
        <w:rPr>
          <w:rFonts w:ascii="Bookman Old Style" w:hAnsi="Bookman Old Style"/>
          <w:bCs/>
          <w:sz w:val="24"/>
          <w:szCs w:val="24"/>
          <w:lang w:val="id-ID"/>
        </w:rPr>
        <w:t>Pemerintah</w:t>
      </w:r>
      <w:r w:rsidR="00A954D0" w:rsidRPr="008379CA">
        <w:rPr>
          <w:rFonts w:ascii="Bookman Old Style" w:hAnsi="Bookman Old Style"/>
          <w:bCs/>
          <w:sz w:val="24"/>
          <w:szCs w:val="24"/>
          <w:lang w:val="id-ID"/>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bCs/>
          <w:sz w:val="24"/>
          <w:szCs w:val="24"/>
          <w:lang w:val="id-ID"/>
        </w:rPr>
        <w:t>telah</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mengalokasikan</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dukungan</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Anggaran</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Dalam</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Rancangan</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Peraturan</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Daerah</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tentang</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APBD</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Tahun</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Anggaran</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2025</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terhadap</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Kebijakan</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Prioritas</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Pembangunan</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Provinsi</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Banten</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yang</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diharapkan</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dapat</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berdampak</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pada</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capaian</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Proyeksi</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Indikator</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Makro</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Pembangunan</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Banten</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Tahun</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2025.</w:t>
      </w:r>
      <w:r w:rsidR="00A954D0" w:rsidRPr="008379CA">
        <w:rPr>
          <w:rFonts w:ascii="Bookman Old Style" w:hAnsi="Bookman Old Style"/>
          <w:bCs/>
          <w:sz w:val="24"/>
          <w:szCs w:val="24"/>
          <w:lang w:val="id-ID"/>
        </w:rPr>
        <w:t xml:space="preserve"> </w:t>
      </w:r>
      <w:r w:rsidR="00592871" w:rsidRPr="008379CA">
        <w:rPr>
          <w:rFonts w:ascii="Bookman Old Style" w:hAnsi="Bookman Old Style"/>
          <w:bCs/>
          <w:sz w:val="24"/>
          <w:szCs w:val="24"/>
          <w:lang w:val="id-ID"/>
        </w:rPr>
        <w:t>Selanjutnya</w:t>
      </w:r>
      <w:r w:rsidR="00A954D0" w:rsidRPr="008379CA">
        <w:rPr>
          <w:rFonts w:ascii="Bookman Old Style" w:hAnsi="Bookman Old Style"/>
          <w:bCs/>
          <w:sz w:val="24"/>
          <w:szCs w:val="24"/>
          <w:lang w:val="id-ID"/>
        </w:rPr>
        <w:t xml:space="preserve"> </w:t>
      </w:r>
      <w:r w:rsidR="00592871" w:rsidRPr="008379CA">
        <w:rPr>
          <w:rFonts w:ascii="Bookman Old Style" w:hAnsi="Bookman Old Style"/>
          <w:bCs/>
          <w:sz w:val="24"/>
          <w:szCs w:val="24"/>
          <w:lang w:val="id-ID"/>
        </w:rPr>
        <w:t>Pemerintah</w:t>
      </w:r>
      <w:r w:rsidR="00A954D0" w:rsidRPr="008379CA">
        <w:rPr>
          <w:rFonts w:ascii="Bookman Old Style" w:hAnsi="Bookman Old Style"/>
          <w:bCs/>
          <w:sz w:val="24"/>
          <w:szCs w:val="24"/>
          <w:lang w:val="id-ID"/>
        </w:rPr>
        <w:t xml:space="preserve"> </w:t>
      </w:r>
      <w:r w:rsidR="00592871" w:rsidRPr="008379CA">
        <w:rPr>
          <w:rFonts w:ascii="Bookman Old Style" w:hAnsi="Bookman Old Style"/>
          <w:bCs/>
          <w:sz w:val="24"/>
          <w:szCs w:val="24"/>
          <w:lang w:val="id-ID"/>
        </w:rPr>
        <w:t>Daerah</w:t>
      </w:r>
      <w:r w:rsidR="00A954D0" w:rsidRPr="008379CA">
        <w:rPr>
          <w:rFonts w:ascii="Bookman Old Style" w:hAnsi="Bookman Old Style"/>
          <w:bCs/>
          <w:sz w:val="24"/>
          <w:szCs w:val="24"/>
          <w:lang w:val="id-ID"/>
        </w:rPr>
        <w:t xml:space="preserve"> </w:t>
      </w:r>
      <w:r w:rsidR="00592871" w:rsidRPr="008379CA">
        <w:rPr>
          <w:rFonts w:ascii="Bookman Old Style" w:hAnsi="Bookman Old Style"/>
          <w:bCs/>
          <w:sz w:val="24"/>
          <w:szCs w:val="24"/>
          <w:lang w:val="id-ID"/>
        </w:rPr>
        <w:t>Kota</w:t>
      </w:r>
      <w:r w:rsidR="00A954D0" w:rsidRPr="008379CA">
        <w:rPr>
          <w:rFonts w:ascii="Bookman Old Style" w:hAnsi="Bookman Old Style"/>
          <w:bCs/>
          <w:sz w:val="24"/>
          <w:szCs w:val="24"/>
          <w:lang w:val="id-ID"/>
        </w:rPr>
        <w:t xml:space="preserve"> </w:t>
      </w:r>
      <w:r w:rsidR="00592871" w:rsidRPr="008379CA">
        <w:rPr>
          <w:rFonts w:ascii="Bookman Old Style" w:hAnsi="Bookman Old Style"/>
          <w:bCs/>
          <w:sz w:val="24"/>
          <w:szCs w:val="24"/>
          <w:lang w:val="id-ID"/>
        </w:rPr>
        <w:t>Tangerang</w:t>
      </w:r>
      <w:r w:rsidR="00A954D0" w:rsidRPr="008379CA">
        <w:rPr>
          <w:rFonts w:ascii="Bookman Old Style" w:hAnsi="Bookman Old Style"/>
          <w:bCs/>
          <w:sz w:val="24"/>
          <w:szCs w:val="24"/>
          <w:lang w:val="id-ID"/>
        </w:rPr>
        <w:t xml:space="preserve"> </w:t>
      </w:r>
      <w:r w:rsidR="00592871" w:rsidRPr="008379CA">
        <w:rPr>
          <w:rFonts w:ascii="Bookman Old Style" w:hAnsi="Bookman Old Style"/>
          <w:bCs/>
          <w:sz w:val="24"/>
          <w:szCs w:val="24"/>
          <w:lang w:val="id-ID"/>
        </w:rPr>
        <w:t>agar</w:t>
      </w:r>
      <w:r w:rsidR="00A954D0" w:rsidRPr="008379CA">
        <w:rPr>
          <w:rFonts w:ascii="Bookman Old Style" w:hAnsi="Bookman Old Style"/>
          <w:bCs/>
          <w:sz w:val="24"/>
          <w:szCs w:val="24"/>
          <w:lang w:val="id-ID"/>
        </w:rPr>
        <w:t xml:space="preserve"> </w:t>
      </w:r>
      <w:r w:rsidR="00592871" w:rsidRPr="008379CA">
        <w:rPr>
          <w:rFonts w:ascii="Bookman Old Style" w:hAnsi="Bookman Old Style"/>
          <w:bCs/>
          <w:sz w:val="24"/>
          <w:szCs w:val="24"/>
          <w:lang w:val="id-ID"/>
        </w:rPr>
        <w:t>mengupayakan</w:t>
      </w:r>
      <w:r w:rsidR="00A954D0" w:rsidRPr="008379CA">
        <w:rPr>
          <w:rFonts w:ascii="Bookman Old Style" w:hAnsi="Bookman Old Style"/>
          <w:bCs/>
          <w:sz w:val="24"/>
          <w:szCs w:val="24"/>
          <w:lang w:val="id-ID"/>
        </w:rPr>
        <w:t xml:space="preserve"> </w:t>
      </w:r>
      <w:r w:rsidR="00592871" w:rsidRPr="008379CA">
        <w:rPr>
          <w:rFonts w:ascii="Bookman Old Style" w:hAnsi="Bookman Old Style"/>
          <w:bCs/>
          <w:sz w:val="24"/>
          <w:szCs w:val="24"/>
          <w:lang w:val="id-ID"/>
        </w:rPr>
        <w:t>peningkatan</w:t>
      </w:r>
      <w:r w:rsidR="00A954D0" w:rsidRPr="008379CA">
        <w:rPr>
          <w:rFonts w:ascii="Bookman Old Style" w:hAnsi="Bookman Old Style"/>
          <w:bCs/>
          <w:sz w:val="24"/>
          <w:szCs w:val="24"/>
          <w:lang w:val="id-ID"/>
        </w:rPr>
        <w:t xml:space="preserve"> </w:t>
      </w:r>
      <w:r w:rsidR="00592871" w:rsidRPr="008379CA">
        <w:rPr>
          <w:rFonts w:ascii="Bookman Old Style" w:hAnsi="Bookman Old Style"/>
          <w:bCs/>
          <w:sz w:val="24"/>
          <w:szCs w:val="24"/>
          <w:lang w:val="id-ID"/>
        </w:rPr>
        <w:t>alokasi</w:t>
      </w:r>
      <w:r w:rsidR="00A954D0" w:rsidRPr="008379CA">
        <w:rPr>
          <w:rFonts w:ascii="Bookman Old Style" w:hAnsi="Bookman Old Style"/>
          <w:bCs/>
          <w:sz w:val="24"/>
          <w:szCs w:val="24"/>
          <w:lang w:val="id-ID"/>
        </w:rPr>
        <w:t xml:space="preserve"> </w:t>
      </w:r>
      <w:r w:rsidR="00592871" w:rsidRPr="008379CA">
        <w:rPr>
          <w:rFonts w:ascii="Bookman Old Style" w:hAnsi="Bookman Old Style"/>
          <w:bCs/>
          <w:sz w:val="24"/>
          <w:szCs w:val="24"/>
          <w:lang w:val="id-ID"/>
        </w:rPr>
        <w:t>anggaran</w:t>
      </w:r>
      <w:r w:rsidR="00A954D0" w:rsidRPr="008379CA">
        <w:rPr>
          <w:rFonts w:ascii="Bookman Old Style" w:hAnsi="Bookman Old Style"/>
          <w:bCs/>
          <w:sz w:val="24"/>
          <w:szCs w:val="24"/>
          <w:lang w:val="id-ID"/>
        </w:rPr>
        <w:t xml:space="preserve"> </w:t>
      </w:r>
      <w:r w:rsidR="00592871" w:rsidRPr="008379CA">
        <w:rPr>
          <w:rFonts w:ascii="Bookman Old Style" w:hAnsi="Bookman Old Style"/>
          <w:bCs/>
          <w:sz w:val="24"/>
          <w:szCs w:val="24"/>
          <w:lang w:val="id-ID"/>
        </w:rPr>
        <w:t>untuk</w:t>
      </w:r>
      <w:r w:rsidR="00A954D0" w:rsidRPr="008379CA">
        <w:rPr>
          <w:rFonts w:ascii="Bookman Old Style" w:hAnsi="Bookman Old Style"/>
          <w:bCs/>
          <w:sz w:val="24"/>
          <w:szCs w:val="24"/>
          <w:lang w:val="id-ID"/>
        </w:rPr>
        <w:t xml:space="preserve"> </w:t>
      </w:r>
      <w:r w:rsidR="00592871" w:rsidRPr="008379CA">
        <w:rPr>
          <w:rFonts w:ascii="Bookman Old Style" w:hAnsi="Bookman Old Style"/>
          <w:bCs/>
          <w:sz w:val="24"/>
          <w:szCs w:val="24"/>
          <w:lang w:val="id-ID"/>
        </w:rPr>
        <w:t>mendukung</w:t>
      </w:r>
      <w:r w:rsidR="00A954D0" w:rsidRPr="008379CA">
        <w:rPr>
          <w:rFonts w:ascii="Bookman Old Style" w:hAnsi="Bookman Old Style"/>
          <w:bCs/>
          <w:sz w:val="24"/>
          <w:szCs w:val="24"/>
          <w:lang w:val="id-ID"/>
        </w:rPr>
        <w:t xml:space="preserve"> </w:t>
      </w:r>
      <w:r w:rsidR="00592871" w:rsidRPr="008379CA">
        <w:rPr>
          <w:rFonts w:ascii="Bookman Old Style" w:hAnsi="Bookman Old Style"/>
          <w:bCs/>
          <w:sz w:val="24"/>
          <w:szCs w:val="24"/>
          <w:lang w:val="id-ID"/>
        </w:rPr>
        <w:t>capaian</w:t>
      </w:r>
      <w:r w:rsidR="00A954D0" w:rsidRPr="008379CA">
        <w:rPr>
          <w:rFonts w:ascii="Bookman Old Style" w:hAnsi="Bookman Old Style"/>
          <w:bCs/>
          <w:sz w:val="24"/>
          <w:szCs w:val="24"/>
          <w:lang w:val="id-ID"/>
        </w:rPr>
        <w:t xml:space="preserve"> </w:t>
      </w:r>
      <w:r w:rsidR="00592871" w:rsidRPr="008379CA">
        <w:rPr>
          <w:rFonts w:ascii="Bookman Old Style" w:hAnsi="Bookman Old Style"/>
          <w:bCs/>
          <w:sz w:val="24"/>
          <w:szCs w:val="24"/>
          <w:lang w:val="id-ID"/>
        </w:rPr>
        <w:t>kebijakan</w:t>
      </w:r>
      <w:r w:rsidR="00A954D0" w:rsidRPr="008379CA">
        <w:rPr>
          <w:rFonts w:ascii="Bookman Old Style" w:hAnsi="Bookman Old Style"/>
          <w:bCs/>
          <w:sz w:val="24"/>
          <w:szCs w:val="24"/>
          <w:lang w:val="id-ID"/>
        </w:rPr>
        <w:t xml:space="preserve"> </w:t>
      </w:r>
      <w:r w:rsidR="00592871" w:rsidRPr="008379CA">
        <w:rPr>
          <w:rFonts w:ascii="Bookman Old Style" w:hAnsi="Bookman Old Style"/>
          <w:bCs/>
          <w:sz w:val="24"/>
          <w:szCs w:val="24"/>
          <w:lang w:val="id-ID"/>
        </w:rPr>
        <w:t>prioritas</w:t>
      </w:r>
      <w:r w:rsidR="00A954D0" w:rsidRPr="008379CA">
        <w:rPr>
          <w:rFonts w:ascii="Bookman Old Style" w:hAnsi="Bookman Old Style"/>
          <w:bCs/>
          <w:sz w:val="24"/>
          <w:szCs w:val="24"/>
          <w:lang w:val="id-ID"/>
        </w:rPr>
        <w:t xml:space="preserve"> </w:t>
      </w:r>
      <w:r w:rsidR="00592871" w:rsidRPr="008379CA">
        <w:rPr>
          <w:rFonts w:ascii="Bookman Old Style" w:hAnsi="Bookman Old Style"/>
          <w:bCs/>
          <w:sz w:val="24"/>
          <w:szCs w:val="24"/>
          <w:lang w:val="id-ID"/>
        </w:rPr>
        <w:t>pembangunan</w:t>
      </w:r>
      <w:r w:rsidR="00A954D0" w:rsidRPr="008379CA">
        <w:rPr>
          <w:rFonts w:ascii="Bookman Old Style" w:hAnsi="Bookman Old Style"/>
          <w:bCs/>
          <w:sz w:val="24"/>
          <w:szCs w:val="24"/>
          <w:lang w:val="id-ID"/>
        </w:rPr>
        <w:t xml:space="preserve"> </w:t>
      </w:r>
      <w:r w:rsidR="00592871" w:rsidRPr="008379CA">
        <w:rPr>
          <w:rFonts w:ascii="Bookman Old Style" w:hAnsi="Bookman Old Style"/>
          <w:bCs/>
          <w:sz w:val="24"/>
          <w:szCs w:val="24"/>
          <w:lang w:val="id-ID"/>
        </w:rPr>
        <w:t>Provinsi</w:t>
      </w:r>
      <w:r w:rsidR="00A954D0" w:rsidRPr="008379CA">
        <w:rPr>
          <w:rFonts w:ascii="Bookman Old Style" w:hAnsi="Bookman Old Style"/>
          <w:bCs/>
          <w:sz w:val="24"/>
          <w:szCs w:val="24"/>
          <w:lang w:val="id-ID"/>
        </w:rPr>
        <w:t xml:space="preserve"> </w:t>
      </w:r>
      <w:r w:rsidR="00592871" w:rsidRPr="008379CA">
        <w:rPr>
          <w:rFonts w:ascii="Bookman Old Style" w:hAnsi="Bookman Old Style"/>
          <w:bCs/>
          <w:sz w:val="24"/>
          <w:szCs w:val="24"/>
          <w:lang w:val="id-ID"/>
        </w:rPr>
        <w:t>Banten.</w:t>
      </w:r>
    </w:p>
    <w:p w14:paraId="5186163B" w14:textId="6EB16DD7" w:rsidR="005B617E" w:rsidRPr="008379CA" w:rsidRDefault="000A5695" w:rsidP="00071C83">
      <w:pPr>
        <w:pStyle w:val="ListParagraph"/>
        <w:numPr>
          <w:ilvl w:val="0"/>
          <w:numId w:val="96"/>
        </w:numPr>
        <w:spacing w:before="120" w:after="0" w:line="276" w:lineRule="auto"/>
        <w:ind w:left="993" w:hanging="426"/>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de-DE"/>
        </w:rPr>
        <w:t>Penyediaan</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lang w:val="id-ID"/>
        </w:rPr>
        <w:t>dalam</w:t>
      </w:r>
      <w:r w:rsidR="00A954D0" w:rsidRPr="008379CA">
        <w:rPr>
          <w:rFonts w:ascii="Bookman Old Style" w:hAnsi="Bookman Old Style"/>
          <w:sz w:val="24"/>
          <w:szCs w:val="24"/>
        </w:rPr>
        <w:t xml:space="preserve"> </w:t>
      </w:r>
      <w:r w:rsidRPr="008379CA">
        <w:rPr>
          <w:rFonts w:ascii="Bookman Old Style" w:hAnsi="Bookman Old Style"/>
          <w:sz w:val="24"/>
          <w:szCs w:val="24"/>
        </w:rPr>
        <w:t>Rancangan</w:t>
      </w:r>
      <w:r w:rsidR="00A954D0" w:rsidRPr="008379CA">
        <w:rPr>
          <w:rFonts w:ascii="Bookman Old Style" w:hAnsi="Bookman Old Style"/>
          <w:sz w:val="24"/>
          <w:szCs w:val="24"/>
        </w:rPr>
        <w:t xml:space="preserve"> </w:t>
      </w:r>
      <w:r w:rsidRPr="008379CA">
        <w:rPr>
          <w:rFonts w:ascii="Bookman Old Style" w:hAnsi="Bookman Old Style"/>
          <w:sz w:val="24"/>
          <w:szCs w:val="24"/>
        </w:rPr>
        <w:t>Peraturan</w:t>
      </w:r>
      <w:r w:rsidR="00A954D0" w:rsidRPr="008379CA">
        <w:rPr>
          <w:rFonts w:ascii="Bookman Old Style" w:hAnsi="Bookman Old Style"/>
          <w:sz w:val="24"/>
          <w:szCs w:val="24"/>
        </w:rPr>
        <w:t xml:space="preserve"> </w:t>
      </w:r>
      <w:r w:rsidRPr="008379CA">
        <w:rPr>
          <w:rFonts w:ascii="Bookman Old Style" w:hAnsi="Bookman Old Style" w:cs="Arial"/>
          <w:sz w:val="24"/>
          <w:szCs w:val="24"/>
        </w:rPr>
        <w:t>Daerah</w:t>
      </w:r>
      <w:r w:rsidR="00A954D0" w:rsidRPr="008379CA">
        <w:rPr>
          <w:rFonts w:ascii="Bookman Old Style" w:hAnsi="Bookman Old Style" w:cs="Arial"/>
          <w:sz w:val="24"/>
          <w:szCs w:val="24"/>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00770F22" w:rsidRPr="008379CA">
        <w:rPr>
          <w:rFonts w:ascii="Bookman Old Style" w:hAnsi="Bookman Old Style" w:cs="Arial"/>
          <w:sz w:val="24"/>
          <w:szCs w:val="24"/>
          <w:lang w:val="de-DE"/>
        </w:rPr>
        <w:t>Tangerang</w:t>
      </w:r>
      <w:r w:rsidR="00A954D0" w:rsidRPr="008379CA">
        <w:rPr>
          <w:rFonts w:ascii="Bookman Old Style" w:hAnsi="Bookman Old Style"/>
          <w:sz w:val="24"/>
          <w:szCs w:val="24"/>
        </w:rPr>
        <w:t xml:space="preserve"> </w:t>
      </w:r>
      <w:r w:rsidRPr="008379CA">
        <w:rPr>
          <w:rFonts w:ascii="Bookman Old Style" w:hAnsi="Bookman Old Style"/>
          <w:sz w:val="24"/>
          <w:szCs w:val="24"/>
        </w:rPr>
        <w:t>tentang</w:t>
      </w:r>
      <w:r w:rsidR="00A954D0" w:rsidRPr="008379CA">
        <w:rPr>
          <w:rFonts w:ascii="Bookman Old Style" w:hAnsi="Bookman Old Style"/>
          <w:sz w:val="24"/>
          <w:szCs w:val="24"/>
        </w:rPr>
        <w:t xml:space="preserve"> </w:t>
      </w:r>
      <w:r w:rsidRPr="008379CA">
        <w:rPr>
          <w:rFonts w:ascii="Bookman Old Style" w:hAnsi="Bookman Old Style"/>
          <w:sz w:val="24"/>
          <w:szCs w:val="24"/>
        </w:rPr>
        <w:t>APBD</w:t>
      </w:r>
      <w:r w:rsidR="00A954D0" w:rsidRPr="008379CA">
        <w:rPr>
          <w:rFonts w:ascii="Bookman Old Style" w:hAnsi="Bookman Old Style"/>
          <w:sz w:val="24"/>
          <w:szCs w:val="24"/>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2025</w:t>
      </w:r>
      <w:r w:rsidR="00A954D0" w:rsidRPr="008379CA">
        <w:rPr>
          <w:rFonts w:ascii="Bookman Old Style" w:hAnsi="Bookman Old Style"/>
          <w:sz w:val="24"/>
          <w:szCs w:val="24"/>
        </w:rPr>
        <w:t xml:space="preserve"> </w:t>
      </w:r>
      <w:r w:rsidRPr="008379CA">
        <w:rPr>
          <w:rFonts w:ascii="Bookman Old Style" w:hAnsi="Bookman Old Style"/>
          <w:sz w:val="24"/>
          <w:szCs w:val="24"/>
          <w:lang w:val="id-ID"/>
        </w:rPr>
        <w:t>dan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Rancangan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Peraturan</w:t>
      </w:r>
      <w:r w:rsidR="00A954D0" w:rsidRPr="008379CA">
        <w:rPr>
          <w:rFonts w:ascii="Bookman Old Style" w:hAnsi="Bookman Old Style"/>
          <w:sz w:val="24"/>
          <w:szCs w:val="24"/>
          <w:lang w:val="id-ID"/>
        </w:rPr>
        <w:t xml:space="preserve"> </w:t>
      </w:r>
      <w:r w:rsidR="001C092E" w:rsidRPr="008379CA">
        <w:rPr>
          <w:rFonts w:ascii="Bookman Old Style" w:hAnsi="Bookman Old Style"/>
          <w:sz w:val="24"/>
          <w:szCs w:val="24"/>
        </w:rPr>
        <w:t>Wali</w:t>
      </w:r>
      <w:r w:rsidR="00A954D0" w:rsidRPr="008379CA">
        <w:rPr>
          <w:rFonts w:ascii="Bookman Old Style" w:hAnsi="Bookman Old Style"/>
          <w:sz w:val="24"/>
          <w:szCs w:val="24"/>
        </w:rPr>
        <w:t xml:space="preserve"> </w:t>
      </w:r>
      <w:r w:rsidR="001C092E" w:rsidRPr="008379CA">
        <w:rPr>
          <w:rFonts w:ascii="Bookman Old Style" w:hAnsi="Bookman Old Style"/>
          <w:sz w:val="24"/>
          <w:szCs w:val="24"/>
        </w:rPr>
        <w:t>Kota</w:t>
      </w:r>
      <w:r w:rsidR="00A954D0" w:rsidRPr="008379CA">
        <w:rPr>
          <w:rFonts w:ascii="Bookman Old Style" w:hAnsi="Bookman Old Style"/>
          <w:sz w:val="24"/>
          <w:szCs w:val="24"/>
        </w:rPr>
        <w:t xml:space="preserve"> </w:t>
      </w:r>
      <w:r w:rsidR="00770F22" w:rsidRPr="008379CA">
        <w:rPr>
          <w:rFonts w:ascii="Bookman Old Style" w:hAnsi="Bookman Old Style"/>
          <w:sz w:val="24"/>
          <w:szCs w:val="24"/>
          <w:lang w:val="fi-FI"/>
        </w:rPr>
        <w:t>Tangerang</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tentang</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Penjabaran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APBD</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Tahun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Anggaran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2025</w:t>
      </w:r>
      <w:r w:rsidR="00A954D0" w:rsidRPr="008379CA">
        <w:rPr>
          <w:rFonts w:ascii="Bookman Old Style" w:hAnsi="Bookman Old Style"/>
          <w:sz w:val="24"/>
          <w:szCs w:val="24"/>
          <w:lang w:val="id-ID"/>
        </w:rPr>
        <w:t xml:space="preserve"> </w:t>
      </w:r>
      <w:r w:rsidRPr="008379CA">
        <w:rPr>
          <w:rFonts w:ascii="Bookman Old Style" w:hAnsi="Bookman Old Style"/>
          <w:sz w:val="24"/>
          <w:szCs w:val="24"/>
        </w:rPr>
        <w:t>Terhadap</w:t>
      </w:r>
      <w:r w:rsidR="00A954D0" w:rsidRPr="008379CA">
        <w:rPr>
          <w:rFonts w:ascii="Bookman Old Style" w:hAnsi="Bookman Old Style"/>
          <w:sz w:val="24"/>
          <w:szCs w:val="24"/>
        </w:rPr>
        <w:t xml:space="preserve"> </w:t>
      </w:r>
      <w:r w:rsidRPr="008379CA">
        <w:rPr>
          <w:rFonts w:ascii="Bookman Old Style" w:hAnsi="Bookman Old Style"/>
          <w:sz w:val="24"/>
          <w:szCs w:val="24"/>
        </w:rPr>
        <w:t>Kebijakan</w:t>
      </w:r>
      <w:r w:rsidR="00A954D0" w:rsidRPr="008379CA">
        <w:rPr>
          <w:rFonts w:ascii="Bookman Old Style" w:hAnsi="Bookman Old Style"/>
          <w:sz w:val="24"/>
          <w:szCs w:val="24"/>
        </w:rPr>
        <w:t xml:space="preserve"> </w:t>
      </w:r>
      <w:r w:rsidRPr="008379CA">
        <w:rPr>
          <w:rFonts w:ascii="Bookman Old Style" w:hAnsi="Bookman Old Style"/>
          <w:sz w:val="24"/>
          <w:szCs w:val="24"/>
        </w:rPr>
        <w:t>Prioritas</w:t>
      </w:r>
      <w:r w:rsidR="00A954D0" w:rsidRPr="008379CA">
        <w:rPr>
          <w:rFonts w:ascii="Bookman Old Style" w:hAnsi="Bookman Old Style"/>
          <w:sz w:val="24"/>
          <w:szCs w:val="24"/>
        </w:rPr>
        <w:t xml:space="preserve"> </w:t>
      </w:r>
      <w:r w:rsidRPr="008379CA">
        <w:rPr>
          <w:rFonts w:ascii="Bookman Old Style" w:hAnsi="Bookman Old Style"/>
          <w:sz w:val="24"/>
          <w:szCs w:val="24"/>
        </w:rPr>
        <w:t>Pembangunan</w:t>
      </w:r>
      <w:r w:rsidR="00A954D0" w:rsidRPr="008379CA">
        <w:rPr>
          <w:rFonts w:ascii="Bookman Old Style" w:hAnsi="Bookman Old Style"/>
          <w:sz w:val="24"/>
          <w:szCs w:val="24"/>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00770F22" w:rsidRPr="008379CA">
        <w:rPr>
          <w:rFonts w:ascii="Bookman Old Style" w:hAnsi="Bookman Old Style"/>
          <w:sz w:val="24"/>
          <w:szCs w:val="24"/>
          <w:lang w:val="fi-FI"/>
        </w:rPr>
        <w:t>Tangerang</w:t>
      </w:r>
      <w:r w:rsidR="00A954D0" w:rsidRPr="008379CA">
        <w:rPr>
          <w:rFonts w:ascii="Bookman Old Style" w:hAnsi="Bookman Old Style"/>
          <w:sz w:val="24"/>
          <w:szCs w:val="24"/>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rPr>
        <w:t>202</w:t>
      </w:r>
      <w:r w:rsidRPr="008379CA">
        <w:rPr>
          <w:rFonts w:ascii="Bookman Old Style" w:hAnsi="Bookman Old Style"/>
          <w:sz w:val="24"/>
          <w:szCs w:val="24"/>
          <w:lang w:val="id-ID"/>
        </w:rPr>
        <w:t>5</w:t>
      </w:r>
    </w:p>
    <w:p w14:paraId="1533EB7F" w14:textId="6A7630F4" w:rsidR="003F7E2F" w:rsidRPr="008379CA" w:rsidRDefault="003F7E2F" w:rsidP="00B908AD">
      <w:pPr>
        <w:pStyle w:val="ListParagraph"/>
        <w:spacing w:before="60" w:after="0" w:line="276" w:lineRule="auto"/>
        <w:ind w:left="993"/>
        <w:contextualSpacing w:val="0"/>
        <w:jc w:val="both"/>
        <w:rPr>
          <w:rFonts w:ascii="Bookman Old Style" w:eastAsia="Bookman Old Style" w:hAnsi="Bookman Old Style" w:cs="Bookman Old Style"/>
          <w:bCs/>
          <w:sz w:val="24"/>
          <w:szCs w:val="24"/>
          <w:lang w:val="id-ID"/>
        </w:rPr>
      </w:pPr>
      <w:r w:rsidRPr="008379CA">
        <w:rPr>
          <w:rFonts w:ascii="Bookman Old Style" w:hAnsi="Bookman Old Style" w:cs="Arial"/>
          <w:spacing w:val="-8"/>
          <w:w w:val="105"/>
          <w:sz w:val="24"/>
          <w:szCs w:val="24"/>
          <w:lang w:val="id-ID"/>
        </w:rPr>
        <w:t>Dalam</w:t>
      </w:r>
      <w:r w:rsidR="00A954D0" w:rsidRPr="008379CA">
        <w:rPr>
          <w:rFonts w:ascii="Bookman Old Style" w:hAnsi="Bookman Old Style" w:cs="Arial"/>
          <w:spacing w:val="-8"/>
          <w:w w:val="105"/>
          <w:sz w:val="24"/>
          <w:szCs w:val="24"/>
          <w:lang w:val="id-ID"/>
        </w:rPr>
        <w:t xml:space="preserve"> </w:t>
      </w:r>
      <w:r w:rsidRPr="008379CA">
        <w:rPr>
          <w:rFonts w:ascii="Bookman Old Style" w:hAnsi="Bookman Old Style" w:cs="Arial"/>
          <w:sz w:val="24"/>
          <w:szCs w:val="24"/>
          <w:lang w:val="id-ID"/>
        </w:rPr>
        <w:t>Rancangan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Peraturan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rPr>
        <w:t>Daerah</w:t>
      </w:r>
      <w:r w:rsidR="00A954D0" w:rsidRPr="008379CA">
        <w:rPr>
          <w:rFonts w:ascii="Bookman Old Style" w:hAnsi="Bookman Old Style" w:cs="Arial"/>
          <w:sz w:val="24"/>
          <w:szCs w:val="24"/>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tentang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APBD</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Tahun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Anggaran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2025,</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Pemerintah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rPr>
        <w:t>Daerah</w:t>
      </w:r>
      <w:r w:rsidR="00A954D0" w:rsidRPr="008379CA">
        <w:rPr>
          <w:rFonts w:ascii="Bookman Old Style" w:hAnsi="Bookman Old Style" w:cs="Arial"/>
          <w:sz w:val="24"/>
          <w:szCs w:val="24"/>
          <w:lang w:val="id-ID"/>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id-ID"/>
        </w:rPr>
        <w:t>telah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mengalokasikan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anggaran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belanja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daerah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rPr>
        <w:t>berdasarkan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Prioritas</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Daerah</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Tahun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202</w:t>
      </w:r>
      <w:r w:rsidRPr="008379CA">
        <w:rPr>
          <w:rFonts w:ascii="Bookman Old Style" w:hAnsi="Bookman Old Style" w:cs="Arial"/>
          <w:sz w:val="24"/>
          <w:szCs w:val="24"/>
          <w:lang w:val="id-ID"/>
        </w:rPr>
        <w:t>5</w:t>
      </w:r>
      <w:r w:rsidR="00A954D0" w:rsidRPr="008379CA">
        <w:rPr>
          <w:rFonts w:ascii="Bookman Old Style" w:hAnsi="Bookman Old Style" w:cs="Arial"/>
          <w:sz w:val="24"/>
          <w:szCs w:val="24"/>
          <w:lang w:val="id-ID"/>
        </w:rPr>
        <w:t xml:space="preserve"> </w:t>
      </w:r>
      <w:r w:rsidRPr="008379CA">
        <w:rPr>
          <w:rFonts w:ascii="Bookman Old Style" w:hAnsi="Bookman Old Style"/>
          <w:sz w:val="24"/>
          <w:szCs w:val="24"/>
          <w:lang w:val="id-ID"/>
        </w:rPr>
        <w:t>sebagai</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berikut:</w:t>
      </w:r>
    </w:p>
    <w:p w14:paraId="03DE1DEA" w14:textId="18335D01" w:rsidR="003F7E2F" w:rsidRPr="008379CA" w:rsidRDefault="003F7E2F" w:rsidP="00B908AD">
      <w:pPr>
        <w:pStyle w:val="ListParagraph"/>
        <w:numPr>
          <w:ilvl w:val="0"/>
          <w:numId w:val="104"/>
        </w:numPr>
        <w:spacing w:before="60" w:after="0" w:line="276" w:lineRule="auto"/>
        <w:ind w:left="1276" w:hanging="283"/>
        <w:contextualSpacing w:val="0"/>
        <w:jc w:val="both"/>
        <w:rPr>
          <w:rFonts w:ascii="Bookman Old Style" w:hAnsi="Bookman Old Style"/>
          <w:bCs/>
          <w:sz w:val="24"/>
          <w:szCs w:val="24"/>
          <w:lang w:val="sv-FI"/>
        </w:rPr>
      </w:pPr>
      <w:r w:rsidRPr="008379CA">
        <w:rPr>
          <w:rFonts w:ascii="Bookman Old Style" w:hAnsi="Bookman Old Style"/>
          <w:bCs/>
          <w:sz w:val="24"/>
          <w:szCs w:val="24"/>
          <w:lang w:val="sv-FI"/>
        </w:rPr>
        <w:lastRenderedPageBreak/>
        <w:t>Peningkatan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daya</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saing</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ekonomi</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didukung</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teknologi</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informasi,</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dianggarkan</w:t>
      </w:r>
      <w:r w:rsidR="00A954D0" w:rsidRPr="008379CA">
        <w:rPr>
          <w:rFonts w:ascii="Bookman Old Style" w:hAnsi="Bookman Old Style"/>
          <w:bCs/>
          <w:sz w:val="24"/>
          <w:szCs w:val="24"/>
          <w:lang w:val="sv-FI"/>
        </w:rPr>
        <w:t xml:space="preserve"> </w:t>
      </w:r>
      <w:r w:rsidRPr="008379CA">
        <w:rPr>
          <w:rFonts w:ascii="Bookman Old Style" w:eastAsia="Bookman Old Style" w:hAnsi="Bookman Old Style" w:cs="Bookman Old Style"/>
          <w:sz w:val="24"/>
          <w:szCs w:val="24"/>
          <w:lang w:val="id-ID"/>
        </w:rPr>
        <w:t>Rp455.085.781.902,00</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atau</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id-ID"/>
        </w:rPr>
        <w:t>7,97%</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dari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total</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belanja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daerah</w:t>
      </w:r>
      <w:r w:rsidR="00A954D0" w:rsidRPr="008379CA">
        <w:rPr>
          <w:rFonts w:ascii="Bookman Old Style" w:eastAsia="Bookman Old Style" w:hAnsi="Bookman Old Style" w:cs="Bookman Old Style"/>
          <w:sz w:val="24"/>
          <w:szCs w:val="24"/>
          <w:lang w:val="sv-FI"/>
        </w:rPr>
        <w:t xml:space="preserve"> </w:t>
      </w:r>
      <w:r w:rsidRPr="008379CA">
        <w:rPr>
          <w:rFonts w:ascii="Bookman Old Style" w:hAnsi="Bookman Old Style"/>
          <w:bCs/>
          <w:sz w:val="24"/>
          <w:szCs w:val="24"/>
          <w:lang w:val="sv-FI"/>
        </w:rPr>
        <w:t>dalam</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Rancangan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Peraturan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Daerah</w:t>
      </w:r>
      <w:r w:rsidR="00A954D0" w:rsidRPr="008379CA">
        <w:rPr>
          <w:rFonts w:ascii="Bookman Old Style" w:hAnsi="Bookman Old Style"/>
          <w:bCs/>
          <w:sz w:val="24"/>
          <w:szCs w:val="24"/>
          <w:lang w:val="sv-FI"/>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cs="Arial"/>
          <w:sz w:val="24"/>
          <w:szCs w:val="24"/>
          <w:lang w:val="de-DE"/>
        </w:rPr>
        <w:t xml:space="preserve"> </w:t>
      </w:r>
      <w:r w:rsidRPr="008379CA">
        <w:rPr>
          <w:rFonts w:ascii="Bookman Old Style" w:hAnsi="Bookman Old Style"/>
          <w:bCs/>
          <w:sz w:val="24"/>
          <w:szCs w:val="24"/>
          <w:lang w:val="sv-FI"/>
        </w:rPr>
        <w:t>tentang</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Anggaran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Pendapatan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Belanja</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Daerah</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Tahun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Anggaran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2025;</w:t>
      </w:r>
    </w:p>
    <w:p w14:paraId="7B2E4503" w14:textId="4D4E349A" w:rsidR="003F7E2F" w:rsidRPr="008379CA" w:rsidRDefault="003F7E2F" w:rsidP="00B908AD">
      <w:pPr>
        <w:pStyle w:val="ListParagraph"/>
        <w:numPr>
          <w:ilvl w:val="0"/>
          <w:numId w:val="104"/>
        </w:numPr>
        <w:spacing w:before="60" w:after="0" w:line="276" w:lineRule="auto"/>
        <w:ind w:left="1276" w:hanging="283"/>
        <w:contextualSpacing w:val="0"/>
        <w:jc w:val="both"/>
        <w:rPr>
          <w:rFonts w:ascii="Bookman Old Style" w:hAnsi="Bookman Old Style"/>
          <w:bCs/>
          <w:sz w:val="24"/>
          <w:szCs w:val="24"/>
          <w:lang w:val="sv-FI"/>
        </w:rPr>
      </w:pPr>
      <w:r w:rsidRPr="008379CA">
        <w:rPr>
          <w:rFonts w:ascii="Bookman Old Style" w:hAnsi="Bookman Old Style"/>
          <w:bCs/>
          <w:sz w:val="24"/>
          <w:szCs w:val="24"/>
          <w:lang w:val="sv-FI"/>
        </w:rPr>
        <w:t>Peningkatan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daya</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saing</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infrastruktur</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perkotaan,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dianggarkan</w:t>
      </w:r>
      <w:r w:rsidR="00A954D0" w:rsidRPr="008379CA">
        <w:rPr>
          <w:rFonts w:ascii="Bookman Old Style" w:hAnsi="Bookman Old Style"/>
          <w:bCs/>
          <w:sz w:val="24"/>
          <w:szCs w:val="24"/>
          <w:lang w:val="sv-FI"/>
        </w:rPr>
        <w:t xml:space="preserve"> </w:t>
      </w:r>
      <w:r w:rsidRPr="008379CA">
        <w:rPr>
          <w:rFonts w:ascii="Bookman Old Style" w:eastAsia="Bookman Old Style" w:hAnsi="Bookman Old Style" w:cs="Bookman Old Style"/>
          <w:sz w:val="24"/>
          <w:szCs w:val="24"/>
          <w:lang w:val="id-ID"/>
        </w:rPr>
        <w:t>Rp900.726.909.098,00</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atau</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id-ID"/>
        </w:rPr>
        <w:t>15,78%</w:t>
      </w:r>
      <w:r w:rsidRPr="008379CA">
        <w:rPr>
          <w:rFonts w:ascii="Bookman Old Style" w:eastAsia="Bookman Old Style" w:hAnsi="Bookman Old Style" w:cs="Bookman Old Style"/>
          <w:sz w:val="24"/>
          <w:szCs w:val="24"/>
          <w:lang w:val="sv-FI"/>
        </w:rPr>
        <w:t>,</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dari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total</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belanja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daerah</w:t>
      </w:r>
      <w:r w:rsidR="00A954D0" w:rsidRPr="008379CA">
        <w:rPr>
          <w:rFonts w:ascii="Bookman Old Style" w:eastAsia="Bookman Old Style" w:hAnsi="Bookman Old Style" w:cs="Bookman Old Style"/>
          <w:sz w:val="24"/>
          <w:szCs w:val="24"/>
          <w:lang w:val="sv-FI"/>
        </w:rPr>
        <w:t xml:space="preserve"> </w:t>
      </w:r>
      <w:r w:rsidRPr="008379CA">
        <w:rPr>
          <w:rFonts w:ascii="Bookman Old Style" w:hAnsi="Bookman Old Style"/>
          <w:bCs/>
          <w:sz w:val="24"/>
          <w:szCs w:val="24"/>
          <w:lang w:val="sv-FI"/>
        </w:rPr>
        <w:t>dalam</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Rancangan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Peraturan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Daerah</w:t>
      </w:r>
      <w:r w:rsidR="00A954D0" w:rsidRPr="008379CA">
        <w:rPr>
          <w:rFonts w:ascii="Bookman Old Style" w:hAnsi="Bookman Old Style"/>
          <w:bCs/>
          <w:sz w:val="24"/>
          <w:szCs w:val="24"/>
          <w:lang w:val="sv-FI"/>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cs="Arial"/>
          <w:sz w:val="24"/>
          <w:szCs w:val="24"/>
          <w:lang w:val="de-DE"/>
        </w:rPr>
        <w:t xml:space="preserve"> </w:t>
      </w:r>
      <w:r w:rsidRPr="008379CA">
        <w:rPr>
          <w:rFonts w:ascii="Bookman Old Style" w:hAnsi="Bookman Old Style"/>
          <w:bCs/>
          <w:sz w:val="24"/>
          <w:szCs w:val="24"/>
          <w:lang w:val="sv-FI"/>
        </w:rPr>
        <w:t>tentang</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Anggaran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Pendapatan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Belanja</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Daerah</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Tahun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Anggaran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2025</w:t>
      </w:r>
      <w:r w:rsidRPr="008379CA">
        <w:rPr>
          <w:rFonts w:ascii="Bookman Old Style" w:eastAsia="Bookman Old Style" w:hAnsi="Bookman Old Style" w:cs="Bookman Old Style"/>
          <w:sz w:val="24"/>
          <w:szCs w:val="24"/>
          <w:lang w:val="sv-FI"/>
        </w:rPr>
        <w:t>;</w:t>
      </w:r>
    </w:p>
    <w:p w14:paraId="391A8E55" w14:textId="479B78DE" w:rsidR="003F7E2F" w:rsidRPr="008379CA" w:rsidRDefault="003F7E2F" w:rsidP="00B908AD">
      <w:pPr>
        <w:pStyle w:val="ListParagraph"/>
        <w:numPr>
          <w:ilvl w:val="0"/>
          <w:numId w:val="104"/>
        </w:numPr>
        <w:spacing w:before="60" w:after="0" w:line="276" w:lineRule="auto"/>
        <w:ind w:left="1276" w:hanging="283"/>
        <w:contextualSpacing w:val="0"/>
        <w:jc w:val="both"/>
        <w:rPr>
          <w:rFonts w:ascii="Bookman Old Style" w:hAnsi="Bookman Old Style"/>
          <w:bCs/>
          <w:sz w:val="24"/>
          <w:szCs w:val="24"/>
          <w:lang w:val="sv-FI"/>
        </w:rPr>
      </w:pPr>
      <w:r w:rsidRPr="008379CA">
        <w:rPr>
          <w:rFonts w:ascii="Bookman Old Style" w:hAnsi="Bookman Old Style"/>
          <w:bCs/>
          <w:sz w:val="24"/>
          <w:szCs w:val="24"/>
          <w:lang w:val="sv-FI"/>
        </w:rPr>
        <w:t>Peningkatan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daya</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saing</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Sumber</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Daya</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Manusia</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berbasis</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Ilmu</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Pengetahuan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Teknologi,</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dianggarkan</w:t>
      </w:r>
      <w:r w:rsidR="00A954D0" w:rsidRPr="008379CA">
        <w:rPr>
          <w:rFonts w:ascii="Bookman Old Style" w:hAnsi="Bookman Old Style"/>
          <w:bCs/>
          <w:sz w:val="24"/>
          <w:szCs w:val="24"/>
          <w:lang w:val="sv-FI"/>
        </w:rPr>
        <w:t xml:space="preserve"> </w:t>
      </w:r>
      <w:r w:rsidRPr="008379CA">
        <w:rPr>
          <w:rFonts w:ascii="Bookman Old Style" w:eastAsia="Bookman Old Style" w:hAnsi="Bookman Old Style" w:cs="Bookman Old Style"/>
          <w:sz w:val="24"/>
          <w:szCs w:val="24"/>
          <w:lang w:val="id-ID"/>
        </w:rPr>
        <w:t>Rp2.436.219.357.010,00</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atau</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id-ID"/>
        </w:rPr>
        <w:t>42,69%</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dari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total</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belanja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daerah</w:t>
      </w:r>
      <w:r w:rsidR="00A954D0" w:rsidRPr="008379CA">
        <w:rPr>
          <w:rFonts w:ascii="Bookman Old Style" w:eastAsia="Bookman Old Style" w:hAnsi="Bookman Old Style" w:cs="Bookman Old Style"/>
          <w:sz w:val="24"/>
          <w:szCs w:val="24"/>
          <w:lang w:val="sv-FI"/>
        </w:rPr>
        <w:t xml:space="preserve"> </w:t>
      </w:r>
      <w:r w:rsidRPr="008379CA">
        <w:rPr>
          <w:rFonts w:ascii="Bookman Old Style" w:hAnsi="Bookman Old Style"/>
          <w:bCs/>
          <w:sz w:val="24"/>
          <w:szCs w:val="24"/>
          <w:lang w:val="sv-FI"/>
        </w:rPr>
        <w:t>dalam</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Rancangan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Peraturan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Daerah</w:t>
      </w:r>
      <w:r w:rsidR="00A954D0" w:rsidRPr="008379CA">
        <w:rPr>
          <w:rFonts w:ascii="Bookman Old Style" w:hAnsi="Bookman Old Style"/>
          <w:bCs/>
          <w:sz w:val="24"/>
          <w:szCs w:val="24"/>
          <w:lang w:val="sv-FI"/>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cs="Arial"/>
          <w:sz w:val="24"/>
          <w:szCs w:val="24"/>
          <w:lang w:val="de-DE"/>
        </w:rPr>
        <w:t xml:space="preserve"> </w:t>
      </w:r>
      <w:r w:rsidRPr="008379CA">
        <w:rPr>
          <w:rFonts w:ascii="Bookman Old Style" w:hAnsi="Bookman Old Style"/>
          <w:bCs/>
          <w:sz w:val="24"/>
          <w:szCs w:val="24"/>
          <w:lang w:val="sv-FI"/>
        </w:rPr>
        <w:t>tentang</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Anggaran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Pendapatan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Belanja</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Daerah</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Tahun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Anggaran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2025</w:t>
      </w:r>
      <w:r w:rsidRPr="008379CA">
        <w:rPr>
          <w:rFonts w:ascii="Bookman Old Style" w:eastAsia="Bookman Old Style" w:hAnsi="Bookman Old Style" w:cs="Bookman Old Style"/>
          <w:sz w:val="24"/>
          <w:szCs w:val="24"/>
          <w:lang w:val="sv-FI"/>
        </w:rPr>
        <w:t>;</w:t>
      </w:r>
    </w:p>
    <w:p w14:paraId="4AD331AA" w14:textId="3D3C7500" w:rsidR="003F7E2F" w:rsidRPr="008379CA" w:rsidRDefault="003F7E2F" w:rsidP="00B908AD">
      <w:pPr>
        <w:pStyle w:val="ListParagraph"/>
        <w:numPr>
          <w:ilvl w:val="0"/>
          <w:numId w:val="104"/>
        </w:numPr>
        <w:spacing w:before="60" w:after="0" w:line="276" w:lineRule="auto"/>
        <w:ind w:left="1276" w:hanging="283"/>
        <w:contextualSpacing w:val="0"/>
        <w:jc w:val="both"/>
        <w:rPr>
          <w:rFonts w:ascii="Bookman Old Style" w:hAnsi="Bookman Old Style"/>
          <w:bCs/>
          <w:sz w:val="24"/>
          <w:szCs w:val="24"/>
          <w:lang w:val="sv-FI"/>
        </w:rPr>
      </w:pPr>
      <w:r w:rsidRPr="008379CA">
        <w:rPr>
          <w:rFonts w:ascii="Bookman Old Style" w:hAnsi="Bookman Old Style"/>
          <w:bCs/>
          <w:sz w:val="24"/>
          <w:szCs w:val="24"/>
          <w:lang w:val="sv-FI"/>
        </w:rPr>
        <w:t>Peningkatan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kualitas</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lingkungan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hidup,</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dianggarkan</w:t>
      </w:r>
      <w:r w:rsidR="00A954D0" w:rsidRPr="008379CA">
        <w:rPr>
          <w:rFonts w:ascii="Bookman Old Style" w:hAnsi="Bookman Old Style"/>
          <w:bCs/>
          <w:sz w:val="24"/>
          <w:szCs w:val="24"/>
          <w:lang w:val="sv-FI"/>
        </w:rPr>
        <w:t xml:space="preserve"> </w:t>
      </w:r>
      <w:r w:rsidRPr="008379CA">
        <w:rPr>
          <w:rFonts w:ascii="Bookman Old Style" w:eastAsia="Bookman Old Style" w:hAnsi="Bookman Old Style" w:cs="Bookman Old Style"/>
          <w:sz w:val="24"/>
          <w:szCs w:val="24"/>
          <w:lang w:val="id-ID"/>
        </w:rPr>
        <w:t>Rp</w:t>
      </w:r>
      <w:r w:rsidRPr="008379CA">
        <w:rPr>
          <w:rFonts w:ascii="Bookman Old Style" w:eastAsia="Bookman Old Style" w:hAnsi="Bookman Old Style" w:cs="Bookman Old Style"/>
          <w:sz w:val="24"/>
          <w:szCs w:val="24"/>
          <w:lang w:val="sv-FI"/>
        </w:rPr>
        <w:t>493.691.998.110,00</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atau</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8,65%</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dari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total</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belanja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daerah</w:t>
      </w:r>
      <w:r w:rsidR="00A954D0" w:rsidRPr="008379CA">
        <w:rPr>
          <w:rFonts w:ascii="Bookman Old Style" w:eastAsia="Bookman Old Style" w:hAnsi="Bookman Old Style" w:cs="Bookman Old Style"/>
          <w:sz w:val="24"/>
          <w:szCs w:val="24"/>
          <w:lang w:val="sv-FI"/>
        </w:rPr>
        <w:t xml:space="preserve"> </w:t>
      </w:r>
      <w:r w:rsidRPr="008379CA">
        <w:rPr>
          <w:rFonts w:ascii="Bookman Old Style" w:hAnsi="Bookman Old Style"/>
          <w:bCs/>
          <w:sz w:val="24"/>
          <w:szCs w:val="24"/>
          <w:lang w:val="sv-FI"/>
        </w:rPr>
        <w:t>dalam</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Rancangan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Peraturan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Daerah</w:t>
      </w:r>
      <w:r w:rsidR="00A954D0" w:rsidRPr="008379CA">
        <w:rPr>
          <w:rFonts w:ascii="Bookman Old Style" w:hAnsi="Bookman Old Style"/>
          <w:bCs/>
          <w:sz w:val="24"/>
          <w:szCs w:val="24"/>
          <w:lang w:val="sv-FI"/>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cs="Arial"/>
          <w:sz w:val="24"/>
          <w:szCs w:val="24"/>
          <w:lang w:val="de-DE"/>
        </w:rPr>
        <w:t xml:space="preserve"> </w:t>
      </w:r>
      <w:r w:rsidRPr="008379CA">
        <w:rPr>
          <w:rFonts w:ascii="Bookman Old Style" w:hAnsi="Bookman Old Style"/>
          <w:bCs/>
          <w:sz w:val="24"/>
          <w:szCs w:val="24"/>
          <w:lang w:val="sv-FI"/>
        </w:rPr>
        <w:t>tentang</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Anggaran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Pendapatan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Belanja</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Daerah</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Tahun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Anggaran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2025</w:t>
      </w:r>
      <w:r w:rsidRPr="008379CA">
        <w:rPr>
          <w:rFonts w:ascii="Bookman Old Style" w:eastAsia="Bookman Old Style" w:hAnsi="Bookman Old Style" w:cs="Bookman Old Style"/>
          <w:sz w:val="24"/>
          <w:szCs w:val="24"/>
          <w:lang w:val="sv-FI"/>
        </w:rPr>
        <w:t>;</w:t>
      </w:r>
    </w:p>
    <w:p w14:paraId="76BC18BB" w14:textId="045F3339" w:rsidR="000A5695" w:rsidRPr="008379CA" w:rsidRDefault="003F7E2F" w:rsidP="00B908AD">
      <w:pPr>
        <w:pStyle w:val="ListParagraph"/>
        <w:numPr>
          <w:ilvl w:val="0"/>
          <w:numId w:val="104"/>
        </w:numPr>
        <w:spacing w:before="60" w:after="0" w:line="276" w:lineRule="auto"/>
        <w:ind w:left="1276" w:hanging="283"/>
        <w:contextualSpacing w:val="0"/>
        <w:jc w:val="both"/>
        <w:rPr>
          <w:rFonts w:ascii="Bookman Old Style" w:hAnsi="Bookman Old Style"/>
          <w:bCs/>
          <w:sz w:val="24"/>
          <w:szCs w:val="24"/>
          <w:lang w:val="sv-FI"/>
        </w:rPr>
      </w:pPr>
      <w:r w:rsidRPr="008379CA">
        <w:rPr>
          <w:rFonts w:ascii="Bookman Old Style" w:hAnsi="Bookman Old Style"/>
          <w:bCs/>
          <w:sz w:val="24"/>
          <w:szCs w:val="24"/>
          <w:lang w:val="sv-FI"/>
        </w:rPr>
        <w:t>Peningkatan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layanan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publik</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kompetensi</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aparatur</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didukung</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tekonogi</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informasi,</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dianggarkan</w:t>
      </w:r>
      <w:r w:rsidR="00A954D0" w:rsidRPr="008379CA">
        <w:rPr>
          <w:rFonts w:ascii="Bookman Old Style" w:hAnsi="Bookman Old Style"/>
          <w:bCs/>
          <w:sz w:val="24"/>
          <w:szCs w:val="24"/>
          <w:lang w:val="sv-FI"/>
        </w:rPr>
        <w:t xml:space="preserve"> </w:t>
      </w:r>
      <w:r w:rsidRPr="008379CA">
        <w:rPr>
          <w:rFonts w:ascii="Bookman Old Style" w:eastAsia="Bookman Old Style" w:hAnsi="Bookman Old Style" w:cs="Bookman Old Style"/>
          <w:sz w:val="24"/>
          <w:szCs w:val="24"/>
          <w:lang w:val="id-ID"/>
        </w:rPr>
        <w:t>Rp</w:t>
      </w:r>
      <w:r w:rsidRPr="008379CA">
        <w:rPr>
          <w:rFonts w:ascii="Bookman Old Style" w:eastAsia="Bookman Old Style" w:hAnsi="Bookman Old Style" w:cs="Bookman Old Style"/>
          <w:sz w:val="24"/>
          <w:szCs w:val="24"/>
          <w:lang w:val="sv-FI"/>
        </w:rPr>
        <w:t>1.420.876.492.835,00</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atau</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24,90%</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dari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total</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belanja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daerah</w:t>
      </w:r>
      <w:r w:rsidR="00A954D0" w:rsidRPr="008379CA">
        <w:rPr>
          <w:rFonts w:ascii="Bookman Old Style" w:eastAsia="Bookman Old Style" w:hAnsi="Bookman Old Style" w:cs="Bookman Old Style"/>
          <w:sz w:val="24"/>
          <w:szCs w:val="24"/>
          <w:lang w:val="sv-FI"/>
        </w:rPr>
        <w:t xml:space="preserve"> </w:t>
      </w:r>
      <w:r w:rsidRPr="008379CA">
        <w:rPr>
          <w:rFonts w:ascii="Bookman Old Style" w:hAnsi="Bookman Old Style"/>
          <w:bCs/>
          <w:sz w:val="24"/>
          <w:szCs w:val="24"/>
          <w:lang w:val="sv-FI"/>
        </w:rPr>
        <w:t>dalam</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Rancangan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Peraturan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Daerah</w:t>
      </w:r>
      <w:r w:rsidR="00A954D0" w:rsidRPr="008379CA">
        <w:rPr>
          <w:rFonts w:ascii="Bookman Old Style" w:hAnsi="Bookman Old Style"/>
          <w:bCs/>
          <w:sz w:val="24"/>
          <w:szCs w:val="24"/>
          <w:lang w:val="sv-FI"/>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cs="Arial"/>
          <w:sz w:val="24"/>
          <w:szCs w:val="24"/>
          <w:lang w:val="de-DE"/>
        </w:rPr>
        <w:t xml:space="preserve"> </w:t>
      </w:r>
      <w:r w:rsidRPr="008379CA">
        <w:rPr>
          <w:rFonts w:ascii="Bookman Old Style" w:hAnsi="Bookman Old Style"/>
          <w:bCs/>
          <w:sz w:val="24"/>
          <w:szCs w:val="24"/>
          <w:lang w:val="sv-FI"/>
        </w:rPr>
        <w:t>tentang</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Anggaran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Pendapatan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Belanja</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Daerah</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Tahun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Anggaran</w:t>
      </w:r>
      <w:r w:rsidR="00A954D0" w:rsidRPr="008379CA">
        <w:rPr>
          <w:rFonts w:ascii="Bookman Old Style" w:hAnsi="Bookman Old Style"/>
          <w:bCs/>
          <w:sz w:val="24"/>
          <w:szCs w:val="24"/>
          <w:lang w:val="sv-FI"/>
        </w:rPr>
        <w:t xml:space="preserve"> </w:t>
      </w:r>
      <w:r w:rsidRPr="008379CA">
        <w:rPr>
          <w:rFonts w:ascii="Bookman Old Style" w:hAnsi="Bookman Old Style"/>
          <w:bCs/>
          <w:sz w:val="24"/>
          <w:szCs w:val="24"/>
          <w:lang w:val="sv-FI"/>
        </w:rPr>
        <w:t>2025</w:t>
      </w:r>
      <w:r w:rsidRPr="008379CA">
        <w:rPr>
          <w:rFonts w:ascii="Bookman Old Style" w:eastAsia="Bookman Old Style" w:hAnsi="Bookman Old Style" w:cs="Bookman Old Style"/>
          <w:sz w:val="24"/>
          <w:szCs w:val="24"/>
          <w:lang w:val="sv-FI"/>
        </w:rPr>
        <w:t>.</w:t>
      </w:r>
    </w:p>
    <w:p w14:paraId="0D360E0F" w14:textId="4A4C7B32" w:rsidR="000A5695" w:rsidRPr="008379CA" w:rsidRDefault="000A5695" w:rsidP="00B908AD">
      <w:pPr>
        <w:pStyle w:val="ListParagraph"/>
        <w:spacing w:before="60" w:after="120" w:line="276" w:lineRule="auto"/>
        <w:ind w:left="992"/>
        <w:contextualSpacing w:val="0"/>
        <w:jc w:val="both"/>
        <w:rPr>
          <w:rFonts w:ascii="Bookman Old Style" w:eastAsia="Bookman Old Style" w:hAnsi="Bookman Old Style" w:cs="Bookman Old Style"/>
          <w:sz w:val="24"/>
          <w:szCs w:val="24"/>
          <w:lang w:val="sv-FI"/>
        </w:rPr>
      </w:pPr>
      <w:r w:rsidRPr="008379CA">
        <w:rPr>
          <w:rFonts w:ascii="Bookman Old Style" w:eastAsia="Bookman Old Style" w:hAnsi="Bookman Old Style" w:cs="Bookman Old Style"/>
          <w:sz w:val="24"/>
          <w:szCs w:val="24"/>
          <w:lang w:val="sv-FI"/>
        </w:rPr>
        <w:t>Alokasi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Belanja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Daerah</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Pemerintah</w:t>
      </w:r>
      <w:r w:rsidR="00A954D0" w:rsidRPr="008379CA">
        <w:rPr>
          <w:rFonts w:ascii="Bookman Old Style" w:eastAsia="Bookman Old Style" w:hAnsi="Bookman Old Style" w:cs="Bookman Old Style"/>
          <w:sz w:val="24"/>
          <w:szCs w:val="24"/>
          <w:lang w:val="sv-FI"/>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00770F22" w:rsidRPr="008379CA">
        <w:rPr>
          <w:rFonts w:ascii="Bookman Old Style" w:hAnsi="Bookman Old Style"/>
          <w:sz w:val="24"/>
          <w:szCs w:val="24"/>
          <w:lang w:val="fi-FI"/>
        </w:rPr>
        <w:t>Tangerang</w:t>
      </w:r>
      <w:r w:rsidR="00A954D0" w:rsidRPr="008379CA">
        <w:rPr>
          <w:rFonts w:ascii="Bookman Old Style" w:hAnsi="Bookman Old Style" w:cs="Arial"/>
          <w:sz w:val="24"/>
          <w:szCs w:val="24"/>
          <w:lang w:val="de-DE"/>
        </w:rPr>
        <w:t xml:space="preserve"> </w:t>
      </w:r>
      <w:r w:rsidRPr="008379CA">
        <w:rPr>
          <w:rFonts w:ascii="Bookman Old Style" w:eastAsia="Bookman Old Style" w:hAnsi="Bookman Old Style" w:cs="Bookman Old Style"/>
          <w:bCs/>
          <w:sz w:val="24"/>
          <w:szCs w:val="24"/>
          <w:lang w:val="sv-FI"/>
        </w:rPr>
        <w:t>Tahun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Anggaran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2025</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berdasarkan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Prioritas</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Pembangunan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Daerah,</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sebagaimana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tercantum</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pada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Tabel</w:t>
      </w:r>
      <w:r w:rsidR="00A954D0" w:rsidRPr="008379CA">
        <w:rPr>
          <w:rFonts w:ascii="Bookman Old Style" w:eastAsia="Bookman Old Style" w:hAnsi="Bookman Old Style" w:cs="Bookman Old Style"/>
          <w:sz w:val="24"/>
          <w:szCs w:val="24"/>
          <w:lang w:val="sv-FI"/>
        </w:rPr>
        <w:t xml:space="preserve"> </w:t>
      </w:r>
      <w:r w:rsidR="003F64EB" w:rsidRPr="008379CA">
        <w:rPr>
          <w:rFonts w:ascii="Bookman Old Style" w:eastAsia="Bookman Old Style" w:hAnsi="Bookman Old Style" w:cs="Bookman Old Style"/>
          <w:sz w:val="24"/>
          <w:szCs w:val="24"/>
          <w:lang w:val="sv-FI"/>
        </w:rPr>
        <w:t>7</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berikut:</w:t>
      </w:r>
    </w:p>
    <w:p w14:paraId="6DC5FB5C" w14:textId="08680286" w:rsidR="000A5695" w:rsidRPr="008379CA" w:rsidRDefault="000A5695" w:rsidP="00B908AD">
      <w:pPr>
        <w:pStyle w:val="ListParagraph"/>
        <w:spacing w:after="0" w:line="276" w:lineRule="auto"/>
        <w:ind w:left="993"/>
        <w:contextualSpacing w:val="0"/>
        <w:jc w:val="center"/>
        <w:rPr>
          <w:rFonts w:ascii="Bookman Old Style" w:hAnsi="Bookman Old Style"/>
          <w:bCs/>
          <w:sz w:val="24"/>
          <w:szCs w:val="24"/>
          <w:lang w:val="sv-FI"/>
        </w:rPr>
      </w:pPr>
      <w:r w:rsidRPr="008379CA">
        <w:rPr>
          <w:rFonts w:ascii="Bookman Old Style" w:hAnsi="Bookman Old Style"/>
          <w:bCs/>
          <w:sz w:val="24"/>
          <w:szCs w:val="24"/>
          <w:lang w:val="sv-FI"/>
        </w:rPr>
        <w:t>Tabel</w:t>
      </w:r>
      <w:r w:rsidR="00A954D0" w:rsidRPr="008379CA">
        <w:rPr>
          <w:rFonts w:ascii="Bookman Old Style" w:hAnsi="Bookman Old Style"/>
          <w:bCs/>
          <w:sz w:val="24"/>
          <w:szCs w:val="24"/>
          <w:lang w:val="sv-FI"/>
        </w:rPr>
        <w:t xml:space="preserve"> </w:t>
      </w:r>
      <w:r w:rsidR="003F64EB" w:rsidRPr="008379CA">
        <w:rPr>
          <w:rFonts w:ascii="Bookman Old Style" w:hAnsi="Bookman Old Style"/>
          <w:bCs/>
          <w:sz w:val="24"/>
          <w:szCs w:val="24"/>
          <w:lang w:val="sv-FI"/>
        </w:rPr>
        <w:t>7</w:t>
      </w:r>
    </w:p>
    <w:p w14:paraId="5F48F52D" w14:textId="1BAF4FD9" w:rsidR="000A5695" w:rsidRPr="008379CA" w:rsidRDefault="000A5695" w:rsidP="00B908AD">
      <w:pPr>
        <w:pStyle w:val="ListParagraph"/>
        <w:spacing w:line="276" w:lineRule="auto"/>
        <w:ind w:left="993"/>
        <w:contextualSpacing w:val="0"/>
        <w:jc w:val="center"/>
        <w:rPr>
          <w:rFonts w:ascii="Bookman Old Style" w:hAnsi="Bookman Old Style"/>
          <w:bCs/>
          <w:sz w:val="24"/>
          <w:szCs w:val="24"/>
          <w:lang w:val="sv-FI"/>
        </w:rPr>
      </w:pPr>
      <w:r w:rsidRPr="008379CA">
        <w:rPr>
          <w:rFonts w:ascii="Bookman Old Style" w:eastAsia="Bookman Old Style" w:hAnsi="Bookman Old Style" w:cs="Bookman Old Style"/>
          <w:sz w:val="24"/>
          <w:szCs w:val="24"/>
          <w:lang w:val="sv-FI"/>
        </w:rPr>
        <w:t>Alokasi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Belanja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Daerah</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Pemerintah</w:t>
      </w:r>
      <w:r w:rsidR="00A954D0" w:rsidRPr="008379CA">
        <w:rPr>
          <w:rFonts w:ascii="Bookman Old Style" w:eastAsia="Bookman Old Style" w:hAnsi="Bookman Old Style" w:cs="Bookman Old Style"/>
          <w:sz w:val="24"/>
          <w:szCs w:val="24"/>
          <w:lang w:val="sv-FI"/>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00770F22" w:rsidRPr="008379CA">
        <w:rPr>
          <w:rFonts w:ascii="Bookman Old Style" w:hAnsi="Bookman Old Style"/>
          <w:sz w:val="24"/>
          <w:szCs w:val="24"/>
          <w:lang w:val="fi-FI"/>
        </w:rPr>
        <w:t>Tangerang</w:t>
      </w:r>
      <w:r w:rsidR="00A954D0" w:rsidRPr="008379CA">
        <w:rPr>
          <w:rFonts w:ascii="Bookman Old Style" w:hAnsi="Bookman Old Style" w:cs="Arial"/>
          <w:sz w:val="24"/>
          <w:szCs w:val="24"/>
          <w:lang w:val="de-DE"/>
        </w:rPr>
        <w:t xml:space="preserve"> </w:t>
      </w:r>
      <w:r w:rsidRPr="008379CA">
        <w:rPr>
          <w:rFonts w:ascii="Bookman Old Style" w:eastAsia="Bookman Old Style" w:hAnsi="Bookman Old Style" w:cs="Bookman Old Style"/>
          <w:bCs/>
          <w:sz w:val="24"/>
          <w:szCs w:val="24"/>
          <w:lang w:val="sv-FI"/>
        </w:rPr>
        <w:t>Tahun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Anggaran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2025</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berdasarkan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Prioritas</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Pembangunan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Daerah</w:t>
      </w:r>
      <w:r w:rsidR="00A954D0" w:rsidRPr="008379CA">
        <w:rPr>
          <w:rFonts w:ascii="Bookman Old Style" w:hAnsi="Bookman Old Style"/>
          <w:bCs/>
          <w:sz w:val="24"/>
          <w:szCs w:val="24"/>
          <w:lang w:val="sv-FI"/>
        </w:rPr>
        <w:t xml:space="preserve"> </w:t>
      </w:r>
    </w:p>
    <w:tbl>
      <w:tblPr>
        <w:tblW w:w="819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4048"/>
        <w:gridCol w:w="2537"/>
        <w:gridCol w:w="1120"/>
      </w:tblGrid>
      <w:tr w:rsidR="008379CA" w:rsidRPr="008379CA" w14:paraId="19C6CB7E" w14:textId="77777777" w:rsidTr="004147FD">
        <w:trPr>
          <w:trHeight w:val="284"/>
          <w:tblHeader/>
        </w:trPr>
        <w:tc>
          <w:tcPr>
            <w:tcW w:w="488" w:type="dxa"/>
            <w:vAlign w:val="center"/>
          </w:tcPr>
          <w:p w14:paraId="0CF2A9D3" w14:textId="77777777" w:rsidR="000A5695" w:rsidRPr="004147FD" w:rsidRDefault="000A5695" w:rsidP="008E4A82">
            <w:pPr>
              <w:jc w:val="center"/>
              <w:rPr>
                <w:rFonts w:ascii="Bookman Old Style" w:hAnsi="Bookman Old Style" w:cs="Segoe UI"/>
                <w:b/>
                <w:sz w:val="18"/>
                <w:szCs w:val="18"/>
                <w:lang w:eastAsia="en-ID"/>
              </w:rPr>
            </w:pPr>
            <w:r w:rsidRPr="004147FD">
              <w:rPr>
                <w:rFonts w:ascii="Bookman Old Style" w:hAnsi="Bookman Old Style" w:cs="Segoe UI"/>
                <w:b/>
                <w:sz w:val="18"/>
                <w:szCs w:val="18"/>
                <w:lang w:eastAsia="en-ID"/>
              </w:rPr>
              <w:t>No</w:t>
            </w:r>
          </w:p>
        </w:tc>
        <w:tc>
          <w:tcPr>
            <w:tcW w:w="4048" w:type="dxa"/>
            <w:shd w:val="clear" w:color="auto" w:fill="auto"/>
            <w:vAlign w:val="center"/>
            <w:hideMark/>
          </w:tcPr>
          <w:p w14:paraId="5469BB66" w14:textId="01542623" w:rsidR="000A5695" w:rsidRPr="004147FD" w:rsidRDefault="000A5695" w:rsidP="008E4A82">
            <w:pPr>
              <w:jc w:val="center"/>
              <w:rPr>
                <w:rFonts w:ascii="Bookman Old Style" w:hAnsi="Bookman Old Style" w:cs="Segoe UI"/>
                <w:b/>
                <w:sz w:val="18"/>
                <w:szCs w:val="18"/>
                <w:lang w:eastAsia="en-ID"/>
              </w:rPr>
            </w:pPr>
            <w:r w:rsidRPr="004147FD">
              <w:rPr>
                <w:rFonts w:ascii="Bookman Old Style" w:hAnsi="Bookman Old Style" w:cs="Segoe UI"/>
                <w:b/>
                <w:sz w:val="18"/>
                <w:szCs w:val="18"/>
                <w:lang w:eastAsia="en-ID"/>
              </w:rPr>
              <w:t>Prioritas</w:t>
            </w:r>
            <w:r w:rsidR="00A954D0" w:rsidRPr="004147FD">
              <w:rPr>
                <w:rFonts w:ascii="Bookman Old Style" w:hAnsi="Bookman Old Style" w:cs="Segoe UI"/>
                <w:b/>
                <w:sz w:val="18"/>
                <w:szCs w:val="18"/>
                <w:lang w:eastAsia="en-ID"/>
              </w:rPr>
              <w:t xml:space="preserve"> </w:t>
            </w:r>
            <w:r w:rsidRPr="004147FD">
              <w:rPr>
                <w:rFonts w:ascii="Bookman Old Style" w:hAnsi="Bookman Old Style" w:cs="Segoe UI"/>
                <w:b/>
                <w:sz w:val="18"/>
                <w:szCs w:val="18"/>
                <w:lang w:eastAsia="en-ID"/>
              </w:rPr>
              <w:t>Pembangunan</w:t>
            </w:r>
            <w:r w:rsidR="00A954D0" w:rsidRPr="004147FD">
              <w:rPr>
                <w:rFonts w:ascii="Bookman Old Style" w:hAnsi="Bookman Old Style" w:cs="Segoe UI"/>
                <w:b/>
                <w:sz w:val="18"/>
                <w:szCs w:val="18"/>
                <w:lang w:eastAsia="en-ID"/>
              </w:rPr>
              <w:t xml:space="preserve"> </w:t>
            </w:r>
            <w:r w:rsidRPr="004147FD">
              <w:rPr>
                <w:rFonts w:ascii="Bookman Old Style" w:hAnsi="Bookman Old Style" w:cs="Segoe UI"/>
                <w:b/>
                <w:sz w:val="18"/>
                <w:szCs w:val="18"/>
                <w:lang w:eastAsia="en-ID"/>
              </w:rPr>
              <w:t>Daerah</w:t>
            </w:r>
          </w:p>
        </w:tc>
        <w:tc>
          <w:tcPr>
            <w:tcW w:w="2537" w:type="dxa"/>
            <w:vAlign w:val="center"/>
          </w:tcPr>
          <w:p w14:paraId="77471749" w14:textId="21D85021" w:rsidR="000A5695" w:rsidRPr="004147FD" w:rsidRDefault="000A5695" w:rsidP="008E4A82">
            <w:pPr>
              <w:pStyle w:val="1Style1"/>
              <w:spacing w:line="240" w:lineRule="auto"/>
              <w:jc w:val="center"/>
              <w:rPr>
                <w:b/>
                <w:sz w:val="18"/>
                <w:szCs w:val="18"/>
              </w:rPr>
            </w:pPr>
            <w:r w:rsidRPr="004147FD">
              <w:rPr>
                <w:b/>
                <w:sz w:val="18"/>
                <w:szCs w:val="18"/>
              </w:rPr>
              <w:t>Rancangan</w:t>
            </w:r>
            <w:r w:rsidR="00A954D0" w:rsidRPr="004147FD">
              <w:rPr>
                <w:b/>
                <w:sz w:val="18"/>
                <w:szCs w:val="18"/>
              </w:rPr>
              <w:t xml:space="preserve"> </w:t>
            </w:r>
            <w:r w:rsidRPr="004147FD">
              <w:rPr>
                <w:b/>
                <w:sz w:val="18"/>
                <w:szCs w:val="18"/>
              </w:rPr>
              <w:t>APBD</w:t>
            </w:r>
          </w:p>
          <w:p w14:paraId="7D55468C" w14:textId="0643E874" w:rsidR="000A5695" w:rsidRPr="004147FD" w:rsidRDefault="000A5695" w:rsidP="008E4A82">
            <w:pPr>
              <w:jc w:val="center"/>
              <w:rPr>
                <w:rFonts w:ascii="Bookman Old Style" w:hAnsi="Bookman Old Style" w:cs="Segoe UI"/>
                <w:b/>
                <w:sz w:val="18"/>
                <w:szCs w:val="18"/>
                <w:lang w:eastAsia="en-ID"/>
              </w:rPr>
            </w:pPr>
            <w:r w:rsidRPr="004147FD">
              <w:rPr>
                <w:rFonts w:ascii="Bookman Old Style" w:hAnsi="Bookman Old Style"/>
                <w:b/>
                <w:sz w:val="18"/>
                <w:szCs w:val="18"/>
              </w:rPr>
              <w:t>TA.</w:t>
            </w:r>
            <w:r w:rsidR="00A954D0" w:rsidRPr="004147FD">
              <w:rPr>
                <w:rFonts w:ascii="Bookman Old Style" w:hAnsi="Bookman Old Style"/>
                <w:b/>
                <w:sz w:val="18"/>
                <w:szCs w:val="18"/>
              </w:rPr>
              <w:t xml:space="preserve"> </w:t>
            </w:r>
            <w:r w:rsidRPr="004147FD">
              <w:rPr>
                <w:rFonts w:ascii="Bookman Old Style" w:hAnsi="Bookman Old Style"/>
                <w:b/>
                <w:sz w:val="18"/>
                <w:szCs w:val="18"/>
              </w:rPr>
              <w:t>2025</w:t>
            </w:r>
            <w:r w:rsidRPr="004147FD">
              <w:rPr>
                <w:rFonts w:ascii="Bookman Old Style" w:hAnsi="Bookman Old Style"/>
                <w:b/>
                <w:sz w:val="18"/>
                <w:szCs w:val="18"/>
              </w:rPr>
              <w:br/>
              <w:t>(Rp)</w:t>
            </w:r>
          </w:p>
        </w:tc>
        <w:tc>
          <w:tcPr>
            <w:tcW w:w="1120" w:type="dxa"/>
            <w:shd w:val="clear" w:color="auto" w:fill="auto"/>
            <w:vAlign w:val="center"/>
            <w:hideMark/>
          </w:tcPr>
          <w:p w14:paraId="4B8072F4" w14:textId="030D6D44" w:rsidR="000A5695" w:rsidRPr="004147FD" w:rsidRDefault="000A5695" w:rsidP="008E4A82">
            <w:pPr>
              <w:jc w:val="center"/>
              <w:rPr>
                <w:rFonts w:ascii="Bookman Old Style" w:hAnsi="Bookman Old Style" w:cs="Segoe UI"/>
                <w:b/>
                <w:sz w:val="18"/>
                <w:szCs w:val="18"/>
                <w:lang w:eastAsia="en-ID"/>
              </w:rPr>
            </w:pPr>
            <w:r w:rsidRPr="004147FD">
              <w:rPr>
                <w:rFonts w:ascii="Bookman Old Style" w:hAnsi="Bookman Old Style"/>
                <w:b/>
                <w:sz w:val="18"/>
                <w:szCs w:val="18"/>
              </w:rPr>
              <w:t>Rasio</w:t>
            </w:r>
            <w:r w:rsidR="00A954D0" w:rsidRPr="004147FD">
              <w:rPr>
                <w:rFonts w:ascii="Bookman Old Style" w:hAnsi="Bookman Old Style"/>
                <w:b/>
                <w:sz w:val="18"/>
                <w:szCs w:val="18"/>
              </w:rPr>
              <w:t xml:space="preserve"> </w:t>
            </w:r>
            <w:r w:rsidRPr="004147FD">
              <w:rPr>
                <w:rFonts w:ascii="Bookman Old Style" w:hAnsi="Bookman Old Style"/>
                <w:b/>
                <w:sz w:val="18"/>
                <w:szCs w:val="18"/>
              </w:rPr>
              <w:t>Terhadap</w:t>
            </w:r>
            <w:r w:rsidR="00A954D0" w:rsidRPr="004147FD">
              <w:rPr>
                <w:rFonts w:ascii="Bookman Old Style" w:hAnsi="Bookman Old Style"/>
                <w:b/>
                <w:sz w:val="18"/>
                <w:szCs w:val="18"/>
              </w:rPr>
              <w:t xml:space="preserve"> </w:t>
            </w:r>
            <w:r w:rsidRPr="004147FD">
              <w:rPr>
                <w:rFonts w:ascii="Bookman Old Style" w:hAnsi="Bookman Old Style"/>
                <w:b/>
                <w:sz w:val="18"/>
                <w:szCs w:val="18"/>
              </w:rPr>
              <w:t>Belanja</w:t>
            </w:r>
            <w:r w:rsidR="00A954D0" w:rsidRPr="004147FD">
              <w:rPr>
                <w:rFonts w:ascii="Bookman Old Style" w:hAnsi="Bookman Old Style"/>
                <w:b/>
                <w:sz w:val="18"/>
                <w:szCs w:val="18"/>
              </w:rPr>
              <w:t xml:space="preserve"> </w:t>
            </w:r>
            <w:r w:rsidRPr="004147FD">
              <w:rPr>
                <w:rFonts w:ascii="Bookman Old Style" w:hAnsi="Bookman Old Style"/>
                <w:b/>
                <w:sz w:val="18"/>
                <w:szCs w:val="18"/>
              </w:rPr>
              <w:t>Daerah</w:t>
            </w:r>
            <w:r w:rsidR="00A954D0" w:rsidRPr="004147FD">
              <w:rPr>
                <w:rFonts w:ascii="Bookman Old Style" w:hAnsi="Bookman Old Style"/>
                <w:b/>
                <w:sz w:val="18"/>
                <w:szCs w:val="18"/>
              </w:rPr>
              <w:t xml:space="preserve"> </w:t>
            </w:r>
            <w:r w:rsidRPr="004147FD">
              <w:rPr>
                <w:rFonts w:ascii="Bookman Old Style" w:hAnsi="Bookman Old Style"/>
                <w:b/>
                <w:sz w:val="18"/>
                <w:szCs w:val="18"/>
              </w:rPr>
              <w:t>(%)</w:t>
            </w:r>
          </w:p>
        </w:tc>
      </w:tr>
      <w:tr w:rsidR="008379CA" w:rsidRPr="008379CA" w14:paraId="636A0BFE" w14:textId="77777777" w:rsidTr="004147FD">
        <w:trPr>
          <w:trHeight w:val="284"/>
        </w:trPr>
        <w:tc>
          <w:tcPr>
            <w:tcW w:w="488" w:type="dxa"/>
            <w:vAlign w:val="center"/>
          </w:tcPr>
          <w:p w14:paraId="7A7953DF" w14:textId="77777777" w:rsidR="003F7E2F" w:rsidRPr="004147FD" w:rsidRDefault="003F7E2F" w:rsidP="003F7E2F">
            <w:pPr>
              <w:tabs>
                <w:tab w:val="center" w:pos="213"/>
              </w:tabs>
              <w:jc w:val="center"/>
              <w:rPr>
                <w:rFonts w:ascii="Bookman Old Style" w:hAnsi="Bookman Old Style" w:cs="Segoe UI"/>
                <w:sz w:val="18"/>
                <w:szCs w:val="18"/>
                <w:lang w:val="sv-SE" w:eastAsia="en-ID"/>
              </w:rPr>
            </w:pPr>
            <w:r w:rsidRPr="004147FD">
              <w:rPr>
                <w:rFonts w:ascii="Bookman Old Style" w:hAnsi="Bookman Old Style" w:cs="Segoe UI"/>
                <w:sz w:val="18"/>
                <w:szCs w:val="18"/>
                <w:lang w:val="sv-SE" w:eastAsia="en-ID"/>
              </w:rPr>
              <w:t>1</w:t>
            </w:r>
          </w:p>
        </w:tc>
        <w:tc>
          <w:tcPr>
            <w:tcW w:w="4048" w:type="dxa"/>
            <w:shd w:val="clear" w:color="auto" w:fill="auto"/>
            <w:noWrap/>
            <w:vAlign w:val="center"/>
            <w:hideMark/>
          </w:tcPr>
          <w:p w14:paraId="1B938D92" w14:textId="6E81417B" w:rsidR="003F7E2F" w:rsidRPr="004147FD" w:rsidRDefault="00C743B3" w:rsidP="00AB46E1">
            <w:pPr>
              <w:jc w:val="both"/>
              <w:rPr>
                <w:rFonts w:ascii="Bookman Old Style" w:hAnsi="Bookman Old Style" w:cs="Segoe UI"/>
                <w:sz w:val="18"/>
                <w:szCs w:val="18"/>
                <w:lang w:val="sv-SE" w:eastAsia="en-ID"/>
              </w:rPr>
            </w:pPr>
            <w:r w:rsidRPr="004147FD">
              <w:rPr>
                <w:rFonts w:ascii="Bookman Old Style" w:hAnsi="Bookman Old Style"/>
                <w:bCs/>
                <w:sz w:val="18"/>
                <w:szCs w:val="18"/>
                <w:lang w:val="sv-FI"/>
              </w:rPr>
              <w:t>Peningkatan</w:t>
            </w:r>
            <w:r w:rsidR="00A954D0" w:rsidRPr="004147FD">
              <w:rPr>
                <w:rFonts w:ascii="Bookman Old Style" w:hAnsi="Bookman Old Style"/>
                <w:bCs/>
                <w:sz w:val="18"/>
                <w:szCs w:val="18"/>
                <w:lang w:val="sv-FI"/>
              </w:rPr>
              <w:t xml:space="preserve"> </w:t>
            </w:r>
            <w:r w:rsidRPr="004147FD">
              <w:rPr>
                <w:rFonts w:ascii="Bookman Old Style" w:hAnsi="Bookman Old Style"/>
                <w:bCs/>
                <w:sz w:val="18"/>
                <w:szCs w:val="18"/>
                <w:lang w:val="sv-FI"/>
              </w:rPr>
              <w:t>Daya</w:t>
            </w:r>
            <w:r w:rsidR="00A954D0" w:rsidRPr="004147FD">
              <w:rPr>
                <w:rFonts w:ascii="Bookman Old Style" w:hAnsi="Bookman Old Style"/>
                <w:bCs/>
                <w:sz w:val="18"/>
                <w:szCs w:val="18"/>
                <w:lang w:val="sv-FI"/>
              </w:rPr>
              <w:t xml:space="preserve"> </w:t>
            </w:r>
            <w:r w:rsidRPr="004147FD">
              <w:rPr>
                <w:rFonts w:ascii="Bookman Old Style" w:hAnsi="Bookman Old Style"/>
                <w:bCs/>
                <w:sz w:val="18"/>
                <w:szCs w:val="18"/>
                <w:lang w:val="sv-FI"/>
              </w:rPr>
              <w:t>Saing</w:t>
            </w:r>
            <w:r w:rsidR="00A954D0" w:rsidRPr="004147FD">
              <w:rPr>
                <w:rFonts w:ascii="Bookman Old Style" w:hAnsi="Bookman Old Style"/>
                <w:bCs/>
                <w:sz w:val="18"/>
                <w:szCs w:val="18"/>
                <w:lang w:val="sv-FI"/>
              </w:rPr>
              <w:t xml:space="preserve"> </w:t>
            </w:r>
            <w:r w:rsidRPr="004147FD">
              <w:rPr>
                <w:rFonts w:ascii="Bookman Old Style" w:hAnsi="Bookman Old Style"/>
                <w:bCs/>
                <w:sz w:val="18"/>
                <w:szCs w:val="18"/>
                <w:lang w:val="sv-FI"/>
              </w:rPr>
              <w:t>Ekonomi</w:t>
            </w:r>
            <w:r w:rsidR="00A954D0" w:rsidRPr="004147FD">
              <w:rPr>
                <w:rFonts w:ascii="Bookman Old Style" w:hAnsi="Bookman Old Style"/>
                <w:bCs/>
                <w:sz w:val="18"/>
                <w:szCs w:val="18"/>
                <w:lang w:val="sv-FI"/>
              </w:rPr>
              <w:t xml:space="preserve"> </w:t>
            </w:r>
            <w:r w:rsidRPr="004147FD">
              <w:rPr>
                <w:rFonts w:ascii="Bookman Old Style" w:hAnsi="Bookman Old Style"/>
                <w:bCs/>
                <w:sz w:val="18"/>
                <w:szCs w:val="18"/>
                <w:lang w:val="sv-FI"/>
              </w:rPr>
              <w:t>Didukung</w:t>
            </w:r>
            <w:r w:rsidR="00A954D0" w:rsidRPr="004147FD">
              <w:rPr>
                <w:rFonts w:ascii="Bookman Old Style" w:hAnsi="Bookman Old Style"/>
                <w:bCs/>
                <w:sz w:val="18"/>
                <w:szCs w:val="18"/>
                <w:lang w:val="sv-FI"/>
              </w:rPr>
              <w:t xml:space="preserve"> </w:t>
            </w:r>
            <w:r w:rsidRPr="004147FD">
              <w:rPr>
                <w:rFonts w:ascii="Bookman Old Style" w:hAnsi="Bookman Old Style"/>
                <w:bCs/>
                <w:sz w:val="18"/>
                <w:szCs w:val="18"/>
                <w:lang w:val="sv-FI"/>
              </w:rPr>
              <w:t>Teknologi</w:t>
            </w:r>
            <w:r w:rsidR="00A954D0" w:rsidRPr="004147FD">
              <w:rPr>
                <w:rFonts w:ascii="Bookman Old Style" w:hAnsi="Bookman Old Style"/>
                <w:bCs/>
                <w:sz w:val="18"/>
                <w:szCs w:val="18"/>
                <w:lang w:val="sv-FI"/>
              </w:rPr>
              <w:t xml:space="preserve"> </w:t>
            </w:r>
            <w:r w:rsidRPr="004147FD">
              <w:rPr>
                <w:rFonts w:ascii="Bookman Old Style" w:hAnsi="Bookman Old Style"/>
                <w:bCs/>
                <w:sz w:val="18"/>
                <w:szCs w:val="18"/>
                <w:lang w:val="sv-FI"/>
              </w:rPr>
              <w:t>Informasi</w:t>
            </w:r>
          </w:p>
        </w:tc>
        <w:tc>
          <w:tcPr>
            <w:tcW w:w="2537" w:type="dxa"/>
            <w:vAlign w:val="center"/>
          </w:tcPr>
          <w:p w14:paraId="06AAE1C0" w14:textId="4CFFB0E3" w:rsidR="003F7E2F" w:rsidRPr="004147FD" w:rsidRDefault="003F7E2F" w:rsidP="003F7E2F">
            <w:pPr>
              <w:tabs>
                <w:tab w:val="left" w:pos="390"/>
                <w:tab w:val="right" w:pos="2395"/>
              </w:tabs>
              <w:jc w:val="right"/>
              <w:rPr>
                <w:rFonts w:ascii="Bookman Old Style" w:hAnsi="Bookman Old Style" w:cs="Segoe UI"/>
                <w:sz w:val="18"/>
                <w:szCs w:val="18"/>
                <w:lang w:eastAsia="en-ID"/>
              </w:rPr>
            </w:pPr>
            <w:r w:rsidRPr="004147FD">
              <w:rPr>
                <w:rFonts w:ascii="Bookman Old Style" w:hAnsi="Bookman Old Style"/>
                <w:bCs/>
                <w:sz w:val="18"/>
                <w:szCs w:val="18"/>
                <w:lang w:val="sv-FI"/>
              </w:rPr>
              <w:t>455.085.781.902,00</w:t>
            </w:r>
            <w:r w:rsidR="00A954D0" w:rsidRPr="004147FD">
              <w:rPr>
                <w:rFonts w:ascii="Bookman Old Style" w:hAnsi="Bookman Old Style"/>
                <w:bCs/>
                <w:sz w:val="18"/>
                <w:szCs w:val="18"/>
                <w:lang w:val="sv-FI"/>
              </w:rPr>
              <w:t xml:space="preserve"> </w:t>
            </w:r>
          </w:p>
        </w:tc>
        <w:tc>
          <w:tcPr>
            <w:tcW w:w="1120" w:type="dxa"/>
            <w:shd w:val="clear" w:color="auto" w:fill="auto"/>
            <w:noWrap/>
            <w:vAlign w:val="center"/>
          </w:tcPr>
          <w:p w14:paraId="64A32FB4" w14:textId="48909AED" w:rsidR="003F7E2F" w:rsidRPr="004147FD" w:rsidRDefault="003F7E2F" w:rsidP="003F7E2F">
            <w:pPr>
              <w:jc w:val="center"/>
              <w:rPr>
                <w:rFonts w:ascii="Bookman Old Style" w:hAnsi="Bookman Old Style" w:cs="Segoe UI"/>
                <w:sz w:val="18"/>
                <w:szCs w:val="18"/>
                <w:lang w:eastAsia="en-ID"/>
              </w:rPr>
            </w:pPr>
            <w:r w:rsidRPr="004147FD">
              <w:rPr>
                <w:rFonts w:ascii="Bookman Old Style" w:hAnsi="Bookman Old Style"/>
                <w:bCs/>
                <w:sz w:val="18"/>
                <w:szCs w:val="18"/>
                <w:lang w:val="sv-FI"/>
              </w:rPr>
              <w:t>7,97</w:t>
            </w:r>
          </w:p>
        </w:tc>
      </w:tr>
      <w:tr w:rsidR="008379CA" w:rsidRPr="008379CA" w14:paraId="1A2D905D" w14:textId="77777777" w:rsidTr="004147FD">
        <w:trPr>
          <w:trHeight w:val="284"/>
        </w:trPr>
        <w:tc>
          <w:tcPr>
            <w:tcW w:w="488" w:type="dxa"/>
            <w:vAlign w:val="center"/>
          </w:tcPr>
          <w:p w14:paraId="765AF5EC" w14:textId="77777777" w:rsidR="003F7E2F" w:rsidRPr="004147FD" w:rsidRDefault="003F7E2F" w:rsidP="003F7E2F">
            <w:pPr>
              <w:jc w:val="center"/>
              <w:rPr>
                <w:rFonts w:ascii="Bookman Old Style" w:hAnsi="Bookman Old Style" w:cs="Segoe UI"/>
                <w:sz w:val="18"/>
                <w:szCs w:val="18"/>
                <w:lang w:val="sv-SE" w:eastAsia="en-ID"/>
              </w:rPr>
            </w:pPr>
            <w:r w:rsidRPr="004147FD">
              <w:rPr>
                <w:rFonts w:ascii="Bookman Old Style" w:hAnsi="Bookman Old Style" w:cs="Segoe UI"/>
                <w:sz w:val="18"/>
                <w:szCs w:val="18"/>
                <w:lang w:val="sv-SE" w:eastAsia="en-ID"/>
              </w:rPr>
              <w:t>2</w:t>
            </w:r>
          </w:p>
        </w:tc>
        <w:tc>
          <w:tcPr>
            <w:tcW w:w="4048" w:type="dxa"/>
            <w:shd w:val="clear" w:color="auto" w:fill="auto"/>
            <w:noWrap/>
            <w:vAlign w:val="center"/>
            <w:hideMark/>
          </w:tcPr>
          <w:p w14:paraId="1A995918" w14:textId="1B5666DF" w:rsidR="003F7E2F" w:rsidRPr="004147FD" w:rsidRDefault="00C743B3" w:rsidP="00AB46E1">
            <w:pPr>
              <w:jc w:val="both"/>
              <w:rPr>
                <w:rFonts w:ascii="Bookman Old Style" w:hAnsi="Bookman Old Style" w:cs="Segoe UI"/>
                <w:sz w:val="18"/>
                <w:szCs w:val="18"/>
                <w:lang w:val="sv-SE" w:eastAsia="en-ID"/>
              </w:rPr>
            </w:pPr>
            <w:r w:rsidRPr="004147FD">
              <w:rPr>
                <w:rFonts w:ascii="Bookman Old Style" w:hAnsi="Bookman Old Style"/>
                <w:bCs/>
                <w:sz w:val="18"/>
                <w:szCs w:val="18"/>
                <w:lang w:val="sv-FI"/>
              </w:rPr>
              <w:t>Peningkatan</w:t>
            </w:r>
            <w:r w:rsidR="00A954D0" w:rsidRPr="004147FD">
              <w:rPr>
                <w:rFonts w:ascii="Bookman Old Style" w:hAnsi="Bookman Old Style"/>
                <w:bCs/>
                <w:sz w:val="18"/>
                <w:szCs w:val="18"/>
                <w:lang w:val="sv-FI"/>
              </w:rPr>
              <w:t xml:space="preserve"> </w:t>
            </w:r>
            <w:r w:rsidRPr="004147FD">
              <w:rPr>
                <w:rFonts w:ascii="Bookman Old Style" w:hAnsi="Bookman Old Style"/>
                <w:bCs/>
                <w:sz w:val="18"/>
                <w:szCs w:val="18"/>
                <w:lang w:val="sv-FI"/>
              </w:rPr>
              <w:t>Daya</w:t>
            </w:r>
            <w:r w:rsidR="00A954D0" w:rsidRPr="004147FD">
              <w:rPr>
                <w:rFonts w:ascii="Bookman Old Style" w:hAnsi="Bookman Old Style"/>
                <w:bCs/>
                <w:sz w:val="18"/>
                <w:szCs w:val="18"/>
                <w:lang w:val="sv-FI"/>
              </w:rPr>
              <w:t xml:space="preserve"> </w:t>
            </w:r>
            <w:r w:rsidRPr="004147FD">
              <w:rPr>
                <w:rFonts w:ascii="Bookman Old Style" w:hAnsi="Bookman Old Style"/>
                <w:bCs/>
                <w:sz w:val="18"/>
                <w:szCs w:val="18"/>
                <w:lang w:val="sv-FI"/>
              </w:rPr>
              <w:t>Saing</w:t>
            </w:r>
            <w:r w:rsidR="00A954D0" w:rsidRPr="004147FD">
              <w:rPr>
                <w:rFonts w:ascii="Bookman Old Style" w:hAnsi="Bookman Old Style"/>
                <w:bCs/>
                <w:sz w:val="18"/>
                <w:szCs w:val="18"/>
                <w:lang w:val="sv-FI"/>
              </w:rPr>
              <w:t xml:space="preserve"> </w:t>
            </w:r>
            <w:r w:rsidRPr="004147FD">
              <w:rPr>
                <w:rFonts w:ascii="Bookman Old Style" w:hAnsi="Bookman Old Style"/>
                <w:bCs/>
                <w:sz w:val="18"/>
                <w:szCs w:val="18"/>
                <w:lang w:val="sv-FI"/>
              </w:rPr>
              <w:t>Infrastruktur</w:t>
            </w:r>
            <w:r w:rsidR="00A954D0" w:rsidRPr="004147FD">
              <w:rPr>
                <w:rFonts w:ascii="Bookman Old Style" w:hAnsi="Bookman Old Style"/>
                <w:bCs/>
                <w:sz w:val="18"/>
                <w:szCs w:val="18"/>
                <w:lang w:val="sv-FI"/>
              </w:rPr>
              <w:t xml:space="preserve"> </w:t>
            </w:r>
            <w:r w:rsidRPr="004147FD">
              <w:rPr>
                <w:rFonts w:ascii="Bookman Old Style" w:hAnsi="Bookman Old Style"/>
                <w:bCs/>
                <w:sz w:val="18"/>
                <w:szCs w:val="18"/>
                <w:lang w:val="sv-FI"/>
              </w:rPr>
              <w:t>Perkotaan</w:t>
            </w:r>
          </w:p>
        </w:tc>
        <w:tc>
          <w:tcPr>
            <w:tcW w:w="2537" w:type="dxa"/>
            <w:vAlign w:val="center"/>
          </w:tcPr>
          <w:p w14:paraId="07FBB907" w14:textId="2E449FE7" w:rsidR="003F7E2F" w:rsidRPr="004147FD" w:rsidRDefault="003F7E2F" w:rsidP="003F7E2F">
            <w:pPr>
              <w:jc w:val="right"/>
              <w:rPr>
                <w:rFonts w:ascii="Bookman Old Style" w:hAnsi="Bookman Old Style" w:cs="Segoe UI"/>
                <w:sz w:val="18"/>
                <w:szCs w:val="18"/>
                <w:lang w:eastAsia="en-ID"/>
              </w:rPr>
            </w:pPr>
            <w:r w:rsidRPr="004147FD">
              <w:rPr>
                <w:rFonts w:ascii="Bookman Old Style" w:hAnsi="Bookman Old Style"/>
                <w:bCs/>
                <w:sz w:val="18"/>
                <w:szCs w:val="18"/>
                <w:lang w:val="sv-FI"/>
              </w:rPr>
              <w:t>900.726.909.098,00</w:t>
            </w:r>
            <w:r w:rsidR="00A954D0" w:rsidRPr="004147FD">
              <w:rPr>
                <w:rFonts w:ascii="Bookman Old Style" w:hAnsi="Bookman Old Style"/>
                <w:bCs/>
                <w:sz w:val="18"/>
                <w:szCs w:val="18"/>
                <w:lang w:val="sv-FI"/>
              </w:rPr>
              <w:t xml:space="preserve"> </w:t>
            </w:r>
          </w:p>
        </w:tc>
        <w:tc>
          <w:tcPr>
            <w:tcW w:w="1120" w:type="dxa"/>
            <w:shd w:val="clear" w:color="auto" w:fill="auto"/>
            <w:noWrap/>
            <w:vAlign w:val="center"/>
          </w:tcPr>
          <w:p w14:paraId="5EF5E3B5" w14:textId="41B0E016" w:rsidR="003F7E2F" w:rsidRPr="004147FD" w:rsidRDefault="003F7E2F" w:rsidP="003F7E2F">
            <w:pPr>
              <w:jc w:val="center"/>
              <w:rPr>
                <w:rFonts w:ascii="Bookman Old Style" w:hAnsi="Bookman Old Style" w:cs="Segoe UI"/>
                <w:sz w:val="18"/>
                <w:szCs w:val="18"/>
                <w:lang w:eastAsia="en-ID"/>
              </w:rPr>
            </w:pPr>
            <w:r w:rsidRPr="004147FD">
              <w:rPr>
                <w:rFonts w:ascii="Bookman Old Style" w:hAnsi="Bookman Old Style"/>
                <w:bCs/>
                <w:sz w:val="18"/>
                <w:szCs w:val="18"/>
                <w:lang w:val="sv-FI"/>
              </w:rPr>
              <w:t>15,78</w:t>
            </w:r>
          </w:p>
        </w:tc>
      </w:tr>
      <w:tr w:rsidR="008379CA" w:rsidRPr="008379CA" w14:paraId="00CBA20F" w14:textId="77777777" w:rsidTr="004147FD">
        <w:trPr>
          <w:trHeight w:val="284"/>
        </w:trPr>
        <w:tc>
          <w:tcPr>
            <w:tcW w:w="488" w:type="dxa"/>
            <w:vAlign w:val="center"/>
          </w:tcPr>
          <w:p w14:paraId="6108120E" w14:textId="77777777" w:rsidR="003F7E2F" w:rsidRPr="004147FD" w:rsidRDefault="003F7E2F" w:rsidP="003F7E2F">
            <w:pPr>
              <w:jc w:val="center"/>
              <w:rPr>
                <w:rFonts w:ascii="Bookman Old Style" w:hAnsi="Bookman Old Style" w:cs="Segoe UI"/>
                <w:sz w:val="18"/>
                <w:szCs w:val="18"/>
                <w:lang w:val="sv-SE" w:eastAsia="en-ID"/>
              </w:rPr>
            </w:pPr>
            <w:r w:rsidRPr="004147FD">
              <w:rPr>
                <w:rFonts w:ascii="Bookman Old Style" w:hAnsi="Bookman Old Style" w:cs="Segoe UI"/>
                <w:sz w:val="18"/>
                <w:szCs w:val="18"/>
                <w:lang w:val="sv-SE" w:eastAsia="en-ID"/>
              </w:rPr>
              <w:t>3</w:t>
            </w:r>
          </w:p>
        </w:tc>
        <w:tc>
          <w:tcPr>
            <w:tcW w:w="4048" w:type="dxa"/>
            <w:shd w:val="clear" w:color="auto" w:fill="auto"/>
            <w:noWrap/>
            <w:vAlign w:val="center"/>
            <w:hideMark/>
          </w:tcPr>
          <w:p w14:paraId="0DA98DDD" w14:textId="3938578A" w:rsidR="003F7E2F" w:rsidRPr="004147FD" w:rsidRDefault="00C743B3" w:rsidP="00AB46E1">
            <w:pPr>
              <w:jc w:val="both"/>
              <w:rPr>
                <w:rFonts w:ascii="Bookman Old Style" w:hAnsi="Bookman Old Style" w:cs="Segoe UI"/>
                <w:sz w:val="18"/>
                <w:szCs w:val="18"/>
                <w:lang w:val="sv-SE" w:eastAsia="en-ID"/>
              </w:rPr>
            </w:pPr>
            <w:r w:rsidRPr="004147FD">
              <w:rPr>
                <w:rFonts w:ascii="Bookman Old Style" w:hAnsi="Bookman Old Style"/>
                <w:bCs/>
                <w:sz w:val="18"/>
                <w:szCs w:val="18"/>
                <w:lang w:val="sv-FI"/>
              </w:rPr>
              <w:t>Peningkatan</w:t>
            </w:r>
            <w:r w:rsidR="00A954D0" w:rsidRPr="004147FD">
              <w:rPr>
                <w:rFonts w:ascii="Bookman Old Style" w:hAnsi="Bookman Old Style"/>
                <w:bCs/>
                <w:sz w:val="18"/>
                <w:szCs w:val="18"/>
                <w:lang w:val="sv-FI"/>
              </w:rPr>
              <w:t xml:space="preserve"> </w:t>
            </w:r>
            <w:r w:rsidRPr="004147FD">
              <w:rPr>
                <w:rFonts w:ascii="Bookman Old Style" w:hAnsi="Bookman Old Style"/>
                <w:bCs/>
                <w:sz w:val="18"/>
                <w:szCs w:val="18"/>
                <w:lang w:val="sv-FI"/>
              </w:rPr>
              <w:t>Daya</w:t>
            </w:r>
            <w:r w:rsidR="00A954D0" w:rsidRPr="004147FD">
              <w:rPr>
                <w:rFonts w:ascii="Bookman Old Style" w:hAnsi="Bookman Old Style"/>
                <w:bCs/>
                <w:sz w:val="18"/>
                <w:szCs w:val="18"/>
                <w:lang w:val="sv-FI"/>
              </w:rPr>
              <w:t xml:space="preserve"> </w:t>
            </w:r>
            <w:r w:rsidRPr="004147FD">
              <w:rPr>
                <w:rFonts w:ascii="Bookman Old Style" w:hAnsi="Bookman Old Style"/>
                <w:bCs/>
                <w:sz w:val="18"/>
                <w:szCs w:val="18"/>
                <w:lang w:val="sv-FI"/>
              </w:rPr>
              <w:t>Saing</w:t>
            </w:r>
            <w:r w:rsidR="00A954D0" w:rsidRPr="004147FD">
              <w:rPr>
                <w:rFonts w:ascii="Bookman Old Style" w:hAnsi="Bookman Old Style"/>
                <w:bCs/>
                <w:sz w:val="18"/>
                <w:szCs w:val="18"/>
                <w:lang w:val="sv-FI"/>
              </w:rPr>
              <w:t xml:space="preserve"> </w:t>
            </w:r>
            <w:r w:rsidRPr="004147FD">
              <w:rPr>
                <w:rFonts w:ascii="Bookman Old Style" w:hAnsi="Bookman Old Style"/>
                <w:bCs/>
                <w:sz w:val="18"/>
                <w:szCs w:val="18"/>
                <w:lang w:val="sv-FI"/>
              </w:rPr>
              <w:t>Sumber</w:t>
            </w:r>
            <w:r w:rsidR="00A954D0" w:rsidRPr="004147FD">
              <w:rPr>
                <w:rFonts w:ascii="Bookman Old Style" w:hAnsi="Bookman Old Style"/>
                <w:bCs/>
                <w:sz w:val="18"/>
                <w:szCs w:val="18"/>
                <w:lang w:val="sv-FI"/>
              </w:rPr>
              <w:t xml:space="preserve"> </w:t>
            </w:r>
            <w:r w:rsidRPr="004147FD">
              <w:rPr>
                <w:rFonts w:ascii="Bookman Old Style" w:hAnsi="Bookman Old Style"/>
                <w:bCs/>
                <w:sz w:val="18"/>
                <w:szCs w:val="18"/>
                <w:lang w:val="sv-FI"/>
              </w:rPr>
              <w:t>Daya</w:t>
            </w:r>
            <w:r w:rsidR="00A954D0" w:rsidRPr="004147FD">
              <w:rPr>
                <w:rFonts w:ascii="Bookman Old Style" w:hAnsi="Bookman Old Style"/>
                <w:bCs/>
                <w:sz w:val="18"/>
                <w:szCs w:val="18"/>
                <w:lang w:val="sv-FI"/>
              </w:rPr>
              <w:t xml:space="preserve"> </w:t>
            </w:r>
            <w:r w:rsidRPr="004147FD">
              <w:rPr>
                <w:rFonts w:ascii="Bookman Old Style" w:hAnsi="Bookman Old Style"/>
                <w:bCs/>
                <w:sz w:val="18"/>
                <w:szCs w:val="18"/>
                <w:lang w:val="sv-FI"/>
              </w:rPr>
              <w:t>Manusia</w:t>
            </w:r>
            <w:r w:rsidR="00A954D0" w:rsidRPr="004147FD">
              <w:rPr>
                <w:rFonts w:ascii="Bookman Old Style" w:hAnsi="Bookman Old Style"/>
                <w:bCs/>
                <w:sz w:val="18"/>
                <w:szCs w:val="18"/>
                <w:lang w:val="sv-FI"/>
              </w:rPr>
              <w:t xml:space="preserve"> </w:t>
            </w:r>
            <w:r w:rsidRPr="004147FD">
              <w:rPr>
                <w:rFonts w:ascii="Bookman Old Style" w:hAnsi="Bookman Old Style"/>
                <w:bCs/>
                <w:sz w:val="18"/>
                <w:szCs w:val="18"/>
                <w:lang w:val="sv-FI"/>
              </w:rPr>
              <w:t>Berbasis</w:t>
            </w:r>
            <w:r w:rsidR="00A954D0" w:rsidRPr="004147FD">
              <w:rPr>
                <w:rFonts w:ascii="Bookman Old Style" w:hAnsi="Bookman Old Style"/>
                <w:bCs/>
                <w:sz w:val="18"/>
                <w:szCs w:val="18"/>
                <w:lang w:val="sv-FI"/>
              </w:rPr>
              <w:t xml:space="preserve"> </w:t>
            </w:r>
            <w:r w:rsidRPr="004147FD">
              <w:rPr>
                <w:rFonts w:ascii="Bookman Old Style" w:hAnsi="Bookman Old Style"/>
                <w:bCs/>
                <w:sz w:val="18"/>
                <w:szCs w:val="18"/>
                <w:lang w:val="sv-FI"/>
              </w:rPr>
              <w:t>Ilmu</w:t>
            </w:r>
            <w:r w:rsidR="00A954D0" w:rsidRPr="004147FD">
              <w:rPr>
                <w:rFonts w:ascii="Bookman Old Style" w:hAnsi="Bookman Old Style"/>
                <w:bCs/>
                <w:sz w:val="18"/>
                <w:szCs w:val="18"/>
                <w:lang w:val="sv-FI"/>
              </w:rPr>
              <w:t xml:space="preserve"> </w:t>
            </w:r>
            <w:r w:rsidRPr="004147FD">
              <w:rPr>
                <w:rFonts w:ascii="Bookman Old Style" w:hAnsi="Bookman Old Style"/>
                <w:bCs/>
                <w:sz w:val="18"/>
                <w:szCs w:val="18"/>
                <w:lang w:val="sv-FI"/>
              </w:rPr>
              <w:t>Pengetahuan</w:t>
            </w:r>
            <w:r w:rsidR="00A954D0" w:rsidRPr="004147FD">
              <w:rPr>
                <w:rFonts w:ascii="Bookman Old Style" w:hAnsi="Bookman Old Style"/>
                <w:bCs/>
                <w:sz w:val="18"/>
                <w:szCs w:val="18"/>
                <w:lang w:val="sv-FI"/>
              </w:rPr>
              <w:t xml:space="preserve"> </w:t>
            </w:r>
            <w:r w:rsidR="00A4557D" w:rsidRPr="004147FD">
              <w:rPr>
                <w:rFonts w:ascii="Bookman Old Style" w:hAnsi="Bookman Old Style"/>
                <w:bCs/>
                <w:sz w:val="18"/>
                <w:szCs w:val="18"/>
                <w:lang w:val="sv-FI"/>
              </w:rPr>
              <w:t>d</w:t>
            </w:r>
            <w:r w:rsidRPr="004147FD">
              <w:rPr>
                <w:rFonts w:ascii="Bookman Old Style" w:hAnsi="Bookman Old Style"/>
                <w:bCs/>
                <w:sz w:val="18"/>
                <w:szCs w:val="18"/>
                <w:lang w:val="sv-FI"/>
              </w:rPr>
              <w:t>an</w:t>
            </w:r>
            <w:r w:rsidR="00A954D0" w:rsidRPr="004147FD">
              <w:rPr>
                <w:rFonts w:ascii="Bookman Old Style" w:hAnsi="Bookman Old Style"/>
                <w:bCs/>
                <w:sz w:val="18"/>
                <w:szCs w:val="18"/>
                <w:lang w:val="sv-FI"/>
              </w:rPr>
              <w:t xml:space="preserve"> </w:t>
            </w:r>
            <w:r w:rsidRPr="004147FD">
              <w:rPr>
                <w:rFonts w:ascii="Bookman Old Style" w:hAnsi="Bookman Old Style"/>
                <w:bCs/>
                <w:sz w:val="18"/>
                <w:szCs w:val="18"/>
                <w:lang w:val="sv-FI"/>
              </w:rPr>
              <w:t>Teknologi</w:t>
            </w:r>
          </w:p>
        </w:tc>
        <w:tc>
          <w:tcPr>
            <w:tcW w:w="2537" w:type="dxa"/>
            <w:vAlign w:val="center"/>
          </w:tcPr>
          <w:p w14:paraId="3CB4048B" w14:textId="5D7A2C4B" w:rsidR="003F7E2F" w:rsidRPr="004147FD" w:rsidRDefault="003F7E2F" w:rsidP="003F7E2F">
            <w:pPr>
              <w:jc w:val="right"/>
              <w:rPr>
                <w:rFonts w:ascii="Bookman Old Style" w:hAnsi="Bookman Old Style" w:cs="Segoe UI"/>
                <w:sz w:val="18"/>
                <w:szCs w:val="18"/>
                <w:lang w:eastAsia="en-ID"/>
              </w:rPr>
            </w:pPr>
            <w:r w:rsidRPr="004147FD">
              <w:rPr>
                <w:rFonts w:ascii="Bookman Old Style" w:hAnsi="Bookman Old Style"/>
                <w:bCs/>
                <w:sz w:val="18"/>
                <w:szCs w:val="18"/>
                <w:lang w:val="sv-FI"/>
              </w:rPr>
              <w:t>2.436.219.357.010,00</w:t>
            </w:r>
            <w:r w:rsidR="00A954D0" w:rsidRPr="004147FD">
              <w:rPr>
                <w:rFonts w:ascii="Bookman Old Style" w:hAnsi="Bookman Old Style"/>
                <w:bCs/>
                <w:sz w:val="18"/>
                <w:szCs w:val="18"/>
                <w:lang w:val="sv-FI"/>
              </w:rPr>
              <w:t xml:space="preserve"> </w:t>
            </w:r>
          </w:p>
        </w:tc>
        <w:tc>
          <w:tcPr>
            <w:tcW w:w="1120" w:type="dxa"/>
            <w:shd w:val="clear" w:color="auto" w:fill="auto"/>
            <w:noWrap/>
            <w:vAlign w:val="center"/>
          </w:tcPr>
          <w:p w14:paraId="611F173E" w14:textId="2CB40136" w:rsidR="003F7E2F" w:rsidRPr="004147FD" w:rsidRDefault="003F7E2F" w:rsidP="003F7E2F">
            <w:pPr>
              <w:jc w:val="center"/>
              <w:rPr>
                <w:rFonts w:ascii="Bookman Old Style" w:hAnsi="Bookman Old Style" w:cs="Segoe UI"/>
                <w:sz w:val="18"/>
                <w:szCs w:val="18"/>
                <w:lang w:eastAsia="en-ID"/>
              </w:rPr>
            </w:pPr>
            <w:r w:rsidRPr="004147FD">
              <w:rPr>
                <w:rFonts w:ascii="Bookman Old Style" w:hAnsi="Bookman Old Style"/>
                <w:bCs/>
                <w:sz w:val="18"/>
                <w:szCs w:val="18"/>
                <w:lang w:val="sv-FI"/>
              </w:rPr>
              <w:t>42,69</w:t>
            </w:r>
          </w:p>
        </w:tc>
      </w:tr>
      <w:tr w:rsidR="008379CA" w:rsidRPr="008379CA" w14:paraId="49AEF9CF" w14:textId="77777777" w:rsidTr="004147FD">
        <w:trPr>
          <w:trHeight w:val="284"/>
        </w:trPr>
        <w:tc>
          <w:tcPr>
            <w:tcW w:w="488" w:type="dxa"/>
            <w:vAlign w:val="center"/>
          </w:tcPr>
          <w:p w14:paraId="1F14C895" w14:textId="77777777" w:rsidR="003F7E2F" w:rsidRPr="004147FD" w:rsidRDefault="003F7E2F" w:rsidP="003F7E2F">
            <w:pPr>
              <w:jc w:val="center"/>
              <w:rPr>
                <w:rFonts w:ascii="Bookman Old Style" w:hAnsi="Bookman Old Style" w:cs="Segoe UI"/>
                <w:sz w:val="18"/>
                <w:szCs w:val="18"/>
                <w:lang w:val="sv-SE" w:eastAsia="en-ID"/>
              </w:rPr>
            </w:pPr>
            <w:r w:rsidRPr="004147FD">
              <w:rPr>
                <w:rFonts w:ascii="Bookman Old Style" w:hAnsi="Bookman Old Style" w:cs="Segoe UI"/>
                <w:sz w:val="18"/>
                <w:szCs w:val="18"/>
                <w:lang w:val="sv-SE" w:eastAsia="en-ID"/>
              </w:rPr>
              <w:t>4</w:t>
            </w:r>
          </w:p>
        </w:tc>
        <w:tc>
          <w:tcPr>
            <w:tcW w:w="4048" w:type="dxa"/>
            <w:shd w:val="clear" w:color="auto" w:fill="auto"/>
            <w:noWrap/>
            <w:vAlign w:val="center"/>
            <w:hideMark/>
          </w:tcPr>
          <w:p w14:paraId="7B5FB945" w14:textId="44E24760" w:rsidR="003F7E2F" w:rsidRPr="004147FD" w:rsidRDefault="00C743B3" w:rsidP="00AB46E1">
            <w:pPr>
              <w:jc w:val="both"/>
              <w:rPr>
                <w:rFonts w:ascii="Bookman Old Style" w:hAnsi="Bookman Old Style" w:cs="Segoe UI"/>
                <w:sz w:val="18"/>
                <w:szCs w:val="18"/>
                <w:lang w:val="sv-SE" w:eastAsia="en-ID"/>
              </w:rPr>
            </w:pPr>
            <w:r w:rsidRPr="004147FD">
              <w:rPr>
                <w:rFonts w:ascii="Bookman Old Style" w:hAnsi="Bookman Old Style"/>
                <w:bCs/>
                <w:sz w:val="18"/>
                <w:szCs w:val="18"/>
                <w:lang w:val="sv-FI"/>
              </w:rPr>
              <w:t>Peningkatan</w:t>
            </w:r>
            <w:r w:rsidR="00A954D0" w:rsidRPr="004147FD">
              <w:rPr>
                <w:rFonts w:ascii="Bookman Old Style" w:hAnsi="Bookman Old Style"/>
                <w:bCs/>
                <w:sz w:val="18"/>
                <w:szCs w:val="18"/>
                <w:lang w:val="sv-FI"/>
              </w:rPr>
              <w:t xml:space="preserve"> </w:t>
            </w:r>
            <w:r w:rsidRPr="004147FD">
              <w:rPr>
                <w:rFonts w:ascii="Bookman Old Style" w:hAnsi="Bookman Old Style"/>
                <w:bCs/>
                <w:sz w:val="18"/>
                <w:szCs w:val="18"/>
                <w:lang w:val="sv-FI"/>
              </w:rPr>
              <w:t>Kualitas</w:t>
            </w:r>
            <w:r w:rsidR="00A954D0" w:rsidRPr="004147FD">
              <w:rPr>
                <w:rFonts w:ascii="Bookman Old Style" w:hAnsi="Bookman Old Style"/>
                <w:bCs/>
                <w:sz w:val="18"/>
                <w:szCs w:val="18"/>
                <w:lang w:val="sv-FI"/>
              </w:rPr>
              <w:t xml:space="preserve"> </w:t>
            </w:r>
            <w:r w:rsidRPr="004147FD">
              <w:rPr>
                <w:rFonts w:ascii="Bookman Old Style" w:hAnsi="Bookman Old Style"/>
                <w:bCs/>
                <w:sz w:val="18"/>
                <w:szCs w:val="18"/>
                <w:lang w:val="sv-FI"/>
              </w:rPr>
              <w:t>Lingkungan</w:t>
            </w:r>
            <w:r w:rsidR="00A954D0" w:rsidRPr="004147FD">
              <w:rPr>
                <w:rFonts w:ascii="Bookman Old Style" w:hAnsi="Bookman Old Style"/>
                <w:bCs/>
                <w:sz w:val="18"/>
                <w:szCs w:val="18"/>
                <w:lang w:val="sv-FI"/>
              </w:rPr>
              <w:t xml:space="preserve"> </w:t>
            </w:r>
            <w:r w:rsidRPr="004147FD">
              <w:rPr>
                <w:rFonts w:ascii="Bookman Old Style" w:hAnsi="Bookman Old Style"/>
                <w:bCs/>
                <w:sz w:val="18"/>
                <w:szCs w:val="18"/>
                <w:lang w:val="sv-FI"/>
              </w:rPr>
              <w:t>Hidup</w:t>
            </w:r>
          </w:p>
        </w:tc>
        <w:tc>
          <w:tcPr>
            <w:tcW w:w="2537" w:type="dxa"/>
            <w:vAlign w:val="center"/>
          </w:tcPr>
          <w:p w14:paraId="225379CD" w14:textId="1BD8EB5A" w:rsidR="003F7E2F" w:rsidRPr="004147FD" w:rsidRDefault="003F7E2F" w:rsidP="003F7E2F">
            <w:pPr>
              <w:jc w:val="right"/>
              <w:rPr>
                <w:rFonts w:ascii="Bookman Old Style" w:hAnsi="Bookman Old Style" w:cs="Segoe UI"/>
                <w:sz w:val="18"/>
                <w:szCs w:val="18"/>
                <w:lang w:eastAsia="en-ID"/>
              </w:rPr>
            </w:pPr>
            <w:r w:rsidRPr="004147FD">
              <w:rPr>
                <w:rFonts w:ascii="Bookman Old Style" w:hAnsi="Bookman Old Style"/>
                <w:bCs/>
                <w:sz w:val="18"/>
                <w:szCs w:val="18"/>
                <w:lang w:val="sv-FI"/>
              </w:rPr>
              <w:t>493.691.998.110,00</w:t>
            </w:r>
            <w:r w:rsidR="00A954D0" w:rsidRPr="004147FD">
              <w:rPr>
                <w:rFonts w:ascii="Bookman Old Style" w:hAnsi="Bookman Old Style"/>
                <w:bCs/>
                <w:sz w:val="18"/>
                <w:szCs w:val="18"/>
                <w:lang w:val="sv-FI"/>
              </w:rPr>
              <w:t xml:space="preserve"> </w:t>
            </w:r>
          </w:p>
        </w:tc>
        <w:tc>
          <w:tcPr>
            <w:tcW w:w="1120" w:type="dxa"/>
            <w:shd w:val="clear" w:color="auto" w:fill="auto"/>
            <w:noWrap/>
            <w:vAlign w:val="center"/>
          </w:tcPr>
          <w:p w14:paraId="777474BA" w14:textId="3A5F8441" w:rsidR="003F7E2F" w:rsidRPr="004147FD" w:rsidRDefault="003F7E2F" w:rsidP="003F7E2F">
            <w:pPr>
              <w:jc w:val="center"/>
              <w:rPr>
                <w:rFonts w:ascii="Bookman Old Style" w:hAnsi="Bookman Old Style" w:cs="Segoe UI"/>
                <w:sz w:val="18"/>
                <w:szCs w:val="18"/>
                <w:lang w:eastAsia="en-ID"/>
              </w:rPr>
            </w:pPr>
            <w:r w:rsidRPr="004147FD">
              <w:rPr>
                <w:rFonts w:ascii="Bookman Old Style" w:hAnsi="Bookman Old Style"/>
                <w:bCs/>
                <w:sz w:val="18"/>
                <w:szCs w:val="18"/>
                <w:lang w:val="sv-FI"/>
              </w:rPr>
              <w:t>8,65</w:t>
            </w:r>
          </w:p>
        </w:tc>
      </w:tr>
      <w:tr w:rsidR="008379CA" w:rsidRPr="008379CA" w14:paraId="5DDD2844" w14:textId="77777777" w:rsidTr="004147FD">
        <w:trPr>
          <w:trHeight w:val="284"/>
        </w:trPr>
        <w:tc>
          <w:tcPr>
            <w:tcW w:w="488" w:type="dxa"/>
            <w:vAlign w:val="center"/>
          </w:tcPr>
          <w:p w14:paraId="5B8F3B09" w14:textId="580AF476" w:rsidR="003F7E2F" w:rsidRPr="004147FD" w:rsidRDefault="003F7E2F" w:rsidP="003F7E2F">
            <w:pPr>
              <w:jc w:val="center"/>
              <w:rPr>
                <w:rFonts w:ascii="Bookman Old Style" w:hAnsi="Bookman Old Style" w:cs="Segoe UI"/>
                <w:sz w:val="18"/>
                <w:szCs w:val="18"/>
                <w:lang w:val="sv-SE" w:eastAsia="en-ID"/>
              </w:rPr>
            </w:pPr>
            <w:r w:rsidRPr="004147FD">
              <w:rPr>
                <w:rFonts w:ascii="Bookman Old Style" w:hAnsi="Bookman Old Style" w:cs="Segoe UI"/>
                <w:sz w:val="18"/>
                <w:szCs w:val="18"/>
                <w:lang w:val="sv-SE" w:eastAsia="en-ID"/>
              </w:rPr>
              <w:t>5</w:t>
            </w:r>
          </w:p>
        </w:tc>
        <w:tc>
          <w:tcPr>
            <w:tcW w:w="4048" w:type="dxa"/>
            <w:shd w:val="clear" w:color="auto" w:fill="auto"/>
            <w:noWrap/>
            <w:vAlign w:val="center"/>
          </w:tcPr>
          <w:p w14:paraId="20D8C075" w14:textId="0852410D" w:rsidR="003F7E2F" w:rsidRPr="004147FD" w:rsidRDefault="00C743B3" w:rsidP="00AB46E1">
            <w:pPr>
              <w:jc w:val="both"/>
              <w:rPr>
                <w:rFonts w:ascii="Bookman Old Style" w:hAnsi="Bookman Old Style"/>
                <w:bCs/>
                <w:sz w:val="18"/>
                <w:szCs w:val="18"/>
                <w:lang w:val="sv-FI"/>
              </w:rPr>
            </w:pPr>
            <w:r w:rsidRPr="004147FD">
              <w:rPr>
                <w:rFonts w:ascii="Bookman Old Style" w:hAnsi="Bookman Old Style"/>
                <w:bCs/>
                <w:sz w:val="18"/>
                <w:szCs w:val="18"/>
                <w:lang w:val="sv-FI"/>
              </w:rPr>
              <w:t>Peningkatan</w:t>
            </w:r>
            <w:r w:rsidR="00A954D0" w:rsidRPr="004147FD">
              <w:rPr>
                <w:rFonts w:ascii="Bookman Old Style" w:hAnsi="Bookman Old Style"/>
                <w:bCs/>
                <w:sz w:val="18"/>
                <w:szCs w:val="18"/>
                <w:lang w:val="sv-FI"/>
              </w:rPr>
              <w:t xml:space="preserve"> </w:t>
            </w:r>
            <w:r w:rsidRPr="004147FD">
              <w:rPr>
                <w:rFonts w:ascii="Bookman Old Style" w:hAnsi="Bookman Old Style"/>
                <w:bCs/>
                <w:sz w:val="18"/>
                <w:szCs w:val="18"/>
                <w:lang w:val="sv-FI"/>
              </w:rPr>
              <w:t>Layanan</w:t>
            </w:r>
            <w:r w:rsidR="00A954D0" w:rsidRPr="004147FD">
              <w:rPr>
                <w:rFonts w:ascii="Bookman Old Style" w:hAnsi="Bookman Old Style"/>
                <w:bCs/>
                <w:sz w:val="18"/>
                <w:szCs w:val="18"/>
                <w:lang w:val="sv-FI"/>
              </w:rPr>
              <w:t xml:space="preserve"> </w:t>
            </w:r>
            <w:r w:rsidRPr="004147FD">
              <w:rPr>
                <w:rFonts w:ascii="Bookman Old Style" w:hAnsi="Bookman Old Style"/>
                <w:bCs/>
                <w:sz w:val="18"/>
                <w:szCs w:val="18"/>
                <w:lang w:val="sv-FI"/>
              </w:rPr>
              <w:t>Publik</w:t>
            </w:r>
            <w:r w:rsidR="00A954D0" w:rsidRPr="004147FD">
              <w:rPr>
                <w:rFonts w:ascii="Bookman Old Style" w:hAnsi="Bookman Old Style"/>
                <w:bCs/>
                <w:sz w:val="18"/>
                <w:szCs w:val="18"/>
                <w:lang w:val="sv-FI"/>
              </w:rPr>
              <w:t xml:space="preserve"> </w:t>
            </w:r>
            <w:r w:rsidRPr="004147FD">
              <w:rPr>
                <w:rFonts w:ascii="Bookman Old Style" w:hAnsi="Bookman Old Style"/>
                <w:bCs/>
                <w:sz w:val="18"/>
                <w:szCs w:val="18"/>
                <w:lang w:val="sv-FI"/>
              </w:rPr>
              <w:t>dan</w:t>
            </w:r>
            <w:r w:rsidR="00A954D0" w:rsidRPr="004147FD">
              <w:rPr>
                <w:rFonts w:ascii="Bookman Old Style" w:hAnsi="Bookman Old Style"/>
                <w:bCs/>
                <w:sz w:val="18"/>
                <w:szCs w:val="18"/>
                <w:lang w:val="sv-FI"/>
              </w:rPr>
              <w:t xml:space="preserve"> </w:t>
            </w:r>
            <w:r w:rsidRPr="004147FD">
              <w:rPr>
                <w:rFonts w:ascii="Bookman Old Style" w:hAnsi="Bookman Old Style"/>
                <w:bCs/>
                <w:sz w:val="18"/>
                <w:szCs w:val="18"/>
                <w:lang w:val="sv-FI"/>
              </w:rPr>
              <w:t>Kompetensi</w:t>
            </w:r>
            <w:r w:rsidR="00A954D0" w:rsidRPr="004147FD">
              <w:rPr>
                <w:rFonts w:ascii="Bookman Old Style" w:hAnsi="Bookman Old Style"/>
                <w:bCs/>
                <w:sz w:val="18"/>
                <w:szCs w:val="18"/>
                <w:lang w:val="sv-FI"/>
              </w:rPr>
              <w:t xml:space="preserve"> </w:t>
            </w:r>
            <w:r w:rsidRPr="004147FD">
              <w:rPr>
                <w:rFonts w:ascii="Bookman Old Style" w:hAnsi="Bookman Old Style"/>
                <w:bCs/>
                <w:sz w:val="18"/>
                <w:szCs w:val="18"/>
                <w:lang w:val="sv-FI"/>
              </w:rPr>
              <w:t>Aparatur</w:t>
            </w:r>
            <w:r w:rsidR="00A954D0" w:rsidRPr="004147FD">
              <w:rPr>
                <w:rFonts w:ascii="Bookman Old Style" w:hAnsi="Bookman Old Style"/>
                <w:bCs/>
                <w:sz w:val="18"/>
                <w:szCs w:val="18"/>
                <w:lang w:val="sv-FI"/>
              </w:rPr>
              <w:t xml:space="preserve"> </w:t>
            </w:r>
            <w:r w:rsidRPr="004147FD">
              <w:rPr>
                <w:rFonts w:ascii="Bookman Old Style" w:hAnsi="Bookman Old Style"/>
                <w:bCs/>
                <w:sz w:val="18"/>
                <w:szCs w:val="18"/>
                <w:lang w:val="sv-FI"/>
              </w:rPr>
              <w:t>Didukung</w:t>
            </w:r>
            <w:r w:rsidR="00A954D0" w:rsidRPr="004147FD">
              <w:rPr>
                <w:rFonts w:ascii="Bookman Old Style" w:hAnsi="Bookman Old Style"/>
                <w:bCs/>
                <w:sz w:val="18"/>
                <w:szCs w:val="18"/>
                <w:lang w:val="sv-FI"/>
              </w:rPr>
              <w:t xml:space="preserve"> </w:t>
            </w:r>
            <w:r w:rsidRPr="004147FD">
              <w:rPr>
                <w:rFonts w:ascii="Bookman Old Style" w:hAnsi="Bookman Old Style"/>
                <w:bCs/>
                <w:sz w:val="18"/>
                <w:szCs w:val="18"/>
                <w:lang w:val="sv-FI"/>
              </w:rPr>
              <w:t>Tekonogi</w:t>
            </w:r>
            <w:r w:rsidR="00A954D0" w:rsidRPr="004147FD">
              <w:rPr>
                <w:rFonts w:ascii="Bookman Old Style" w:hAnsi="Bookman Old Style"/>
                <w:bCs/>
                <w:sz w:val="18"/>
                <w:szCs w:val="18"/>
                <w:lang w:val="sv-FI"/>
              </w:rPr>
              <w:t xml:space="preserve"> </w:t>
            </w:r>
            <w:r w:rsidRPr="004147FD">
              <w:rPr>
                <w:rFonts w:ascii="Bookman Old Style" w:hAnsi="Bookman Old Style"/>
                <w:bCs/>
                <w:sz w:val="18"/>
                <w:szCs w:val="18"/>
                <w:lang w:val="sv-FI"/>
              </w:rPr>
              <w:t>Informasi</w:t>
            </w:r>
          </w:p>
        </w:tc>
        <w:tc>
          <w:tcPr>
            <w:tcW w:w="2537" w:type="dxa"/>
            <w:vAlign w:val="center"/>
          </w:tcPr>
          <w:p w14:paraId="365C0978" w14:textId="5B3888BF" w:rsidR="003F7E2F" w:rsidRPr="004147FD" w:rsidRDefault="003F7E2F" w:rsidP="003F7E2F">
            <w:pPr>
              <w:jc w:val="right"/>
              <w:rPr>
                <w:rFonts w:ascii="Bookman Old Style" w:hAnsi="Bookman Old Style"/>
                <w:bCs/>
                <w:sz w:val="18"/>
                <w:szCs w:val="18"/>
                <w:lang w:val="sv-FI"/>
              </w:rPr>
            </w:pPr>
            <w:r w:rsidRPr="004147FD">
              <w:rPr>
                <w:rFonts w:ascii="Bookman Old Style" w:hAnsi="Bookman Old Style"/>
                <w:bCs/>
                <w:sz w:val="18"/>
                <w:szCs w:val="18"/>
                <w:lang w:val="sv-FI"/>
              </w:rPr>
              <w:t>1.420.876.492.835,00</w:t>
            </w:r>
            <w:r w:rsidR="00A954D0" w:rsidRPr="004147FD">
              <w:rPr>
                <w:rFonts w:ascii="Bookman Old Style" w:hAnsi="Bookman Old Style"/>
                <w:bCs/>
                <w:sz w:val="18"/>
                <w:szCs w:val="18"/>
                <w:lang w:val="sv-FI"/>
              </w:rPr>
              <w:t xml:space="preserve"> </w:t>
            </w:r>
          </w:p>
        </w:tc>
        <w:tc>
          <w:tcPr>
            <w:tcW w:w="1120" w:type="dxa"/>
            <w:shd w:val="clear" w:color="auto" w:fill="auto"/>
            <w:noWrap/>
            <w:vAlign w:val="center"/>
          </w:tcPr>
          <w:p w14:paraId="03E40695" w14:textId="7426A867" w:rsidR="003F7E2F" w:rsidRPr="004147FD" w:rsidRDefault="00A954D0" w:rsidP="003F7E2F">
            <w:pPr>
              <w:jc w:val="center"/>
              <w:rPr>
                <w:rFonts w:ascii="Bookman Old Style" w:hAnsi="Bookman Old Style"/>
                <w:bCs/>
                <w:sz w:val="18"/>
                <w:szCs w:val="18"/>
                <w:lang w:val="sv-FI"/>
              </w:rPr>
            </w:pPr>
            <w:r w:rsidRPr="004147FD">
              <w:rPr>
                <w:rFonts w:ascii="Bookman Old Style" w:hAnsi="Bookman Old Style"/>
                <w:bCs/>
                <w:sz w:val="18"/>
                <w:szCs w:val="18"/>
                <w:lang w:val="sv-FI"/>
              </w:rPr>
              <w:t xml:space="preserve"> </w:t>
            </w:r>
            <w:r w:rsidR="003F7E2F" w:rsidRPr="004147FD">
              <w:rPr>
                <w:rFonts w:ascii="Bookman Old Style" w:hAnsi="Bookman Old Style"/>
                <w:bCs/>
                <w:sz w:val="18"/>
                <w:szCs w:val="18"/>
                <w:lang w:val="sv-FI"/>
              </w:rPr>
              <w:t>24,90</w:t>
            </w:r>
          </w:p>
        </w:tc>
      </w:tr>
      <w:tr w:rsidR="008379CA" w:rsidRPr="008379CA" w14:paraId="61DCC77D" w14:textId="77777777" w:rsidTr="004147FD">
        <w:trPr>
          <w:trHeight w:val="284"/>
        </w:trPr>
        <w:tc>
          <w:tcPr>
            <w:tcW w:w="488" w:type="dxa"/>
            <w:vAlign w:val="center"/>
          </w:tcPr>
          <w:p w14:paraId="58B245F3" w14:textId="77777777" w:rsidR="000A5695" w:rsidRPr="004147FD" w:rsidRDefault="000A5695" w:rsidP="0023341C">
            <w:pPr>
              <w:jc w:val="center"/>
              <w:rPr>
                <w:rFonts w:ascii="Bookman Old Style" w:hAnsi="Bookman Old Style" w:cs="Calibri"/>
                <w:b/>
                <w:bCs/>
                <w:sz w:val="18"/>
                <w:szCs w:val="18"/>
                <w:lang w:eastAsia="en-ID"/>
              </w:rPr>
            </w:pPr>
          </w:p>
        </w:tc>
        <w:tc>
          <w:tcPr>
            <w:tcW w:w="4048" w:type="dxa"/>
            <w:shd w:val="clear" w:color="auto" w:fill="auto"/>
            <w:noWrap/>
            <w:vAlign w:val="center"/>
            <w:hideMark/>
          </w:tcPr>
          <w:p w14:paraId="4A326D9E" w14:textId="0934FA0F" w:rsidR="000A5695" w:rsidRPr="004147FD" w:rsidRDefault="000A5695" w:rsidP="0023341C">
            <w:pPr>
              <w:jc w:val="right"/>
              <w:rPr>
                <w:rFonts w:ascii="Bookman Old Style" w:hAnsi="Bookman Old Style" w:cs="Calibri"/>
                <w:b/>
                <w:bCs/>
                <w:sz w:val="18"/>
                <w:szCs w:val="18"/>
                <w:lang w:eastAsia="en-ID"/>
              </w:rPr>
            </w:pPr>
            <w:r w:rsidRPr="004147FD">
              <w:rPr>
                <w:rFonts w:ascii="Bookman Old Style" w:hAnsi="Bookman Old Style" w:cs="Calibri"/>
                <w:b/>
                <w:bCs/>
                <w:sz w:val="18"/>
                <w:szCs w:val="18"/>
                <w:lang w:eastAsia="en-ID"/>
              </w:rPr>
              <w:t>Total</w:t>
            </w:r>
            <w:r w:rsidR="00A954D0" w:rsidRPr="004147FD">
              <w:rPr>
                <w:rFonts w:ascii="Bookman Old Style" w:hAnsi="Bookman Old Style" w:cs="Calibri"/>
                <w:b/>
                <w:bCs/>
                <w:sz w:val="18"/>
                <w:szCs w:val="18"/>
                <w:lang w:eastAsia="en-ID"/>
              </w:rPr>
              <w:t xml:space="preserve"> </w:t>
            </w:r>
            <w:r w:rsidRPr="004147FD">
              <w:rPr>
                <w:rFonts w:ascii="Bookman Old Style" w:hAnsi="Bookman Old Style" w:cs="Calibri"/>
                <w:b/>
                <w:bCs/>
                <w:sz w:val="18"/>
                <w:szCs w:val="18"/>
                <w:lang w:eastAsia="en-ID"/>
              </w:rPr>
              <w:t>Alokasi</w:t>
            </w:r>
            <w:r w:rsidR="00A954D0" w:rsidRPr="004147FD">
              <w:rPr>
                <w:rFonts w:ascii="Bookman Old Style" w:hAnsi="Bookman Old Style" w:cs="Calibri"/>
                <w:b/>
                <w:bCs/>
                <w:sz w:val="18"/>
                <w:szCs w:val="18"/>
                <w:lang w:eastAsia="en-ID"/>
              </w:rPr>
              <w:t xml:space="preserve"> </w:t>
            </w:r>
            <w:r w:rsidRPr="004147FD">
              <w:rPr>
                <w:rFonts w:ascii="Bookman Old Style" w:hAnsi="Bookman Old Style" w:cs="Calibri"/>
                <w:b/>
                <w:bCs/>
                <w:sz w:val="18"/>
                <w:szCs w:val="18"/>
                <w:lang w:eastAsia="en-ID"/>
              </w:rPr>
              <w:t>Anggaran</w:t>
            </w:r>
            <w:r w:rsidR="00A954D0" w:rsidRPr="004147FD">
              <w:rPr>
                <w:rFonts w:ascii="Bookman Old Style" w:hAnsi="Bookman Old Style" w:cs="Calibri"/>
                <w:b/>
                <w:bCs/>
                <w:sz w:val="18"/>
                <w:szCs w:val="18"/>
                <w:lang w:eastAsia="en-ID"/>
              </w:rPr>
              <w:t xml:space="preserve"> </w:t>
            </w:r>
          </w:p>
        </w:tc>
        <w:tc>
          <w:tcPr>
            <w:tcW w:w="2537" w:type="dxa"/>
            <w:vAlign w:val="center"/>
          </w:tcPr>
          <w:p w14:paraId="0BA42749" w14:textId="0B824BD1" w:rsidR="000A5695" w:rsidRPr="004147FD" w:rsidRDefault="00812B77" w:rsidP="0023341C">
            <w:pPr>
              <w:jc w:val="right"/>
              <w:rPr>
                <w:rFonts w:ascii="Bookman Old Style" w:hAnsi="Bookman Old Style" w:cs="Calibri"/>
                <w:b/>
                <w:bCs/>
                <w:sz w:val="18"/>
                <w:szCs w:val="18"/>
                <w:lang w:eastAsia="en-ID"/>
              </w:rPr>
            </w:pPr>
            <w:r w:rsidRPr="004147FD">
              <w:rPr>
                <w:rFonts w:ascii="Bookman Old Style" w:hAnsi="Bookman Old Style" w:cs="Calibri"/>
                <w:b/>
                <w:bCs/>
                <w:sz w:val="18"/>
                <w:szCs w:val="18"/>
                <w:lang w:eastAsia="en-ID"/>
              </w:rPr>
              <w:t>5.706.600.538.955,00</w:t>
            </w:r>
          </w:p>
        </w:tc>
        <w:tc>
          <w:tcPr>
            <w:tcW w:w="1120" w:type="dxa"/>
            <w:shd w:val="clear" w:color="auto" w:fill="auto"/>
            <w:noWrap/>
            <w:vAlign w:val="center"/>
          </w:tcPr>
          <w:p w14:paraId="3383C9AD" w14:textId="463014A1" w:rsidR="000A5695" w:rsidRPr="004147FD" w:rsidRDefault="000A5695" w:rsidP="0023341C">
            <w:pPr>
              <w:jc w:val="center"/>
              <w:rPr>
                <w:rFonts w:ascii="Bookman Old Style" w:hAnsi="Bookman Old Style" w:cs="Calibri"/>
                <w:b/>
                <w:bCs/>
                <w:sz w:val="18"/>
                <w:szCs w:val="18"/>
                <w:lang w:eastAsia="en-ID"/>
              </w:rPr>
            </w:pPr>
            <w:r w:rsidRPr="004147FD">
              <w:rPr>
                <w:rFonts w:ascii="Bookman Old Style" w:hAnsi="Bookman Old Style" w:cs="Calibri"/>
                <w:b/>
                <w:bCs/>
                <w:sz w:val="18"/>
                <w:szCs w:val="18"/>
                <w:lang w:eastAsia="en-ID"/>
              </w:rPr>
              <w:t>100</w:t>
            </w:r>
            <w:r w:rsidR="00667F2B" w:rsidRPr="004147FD">
              <w:rPr>
                <w:rFonts w:ascii="Bookman Old Style" w:hAnsi="Bookman Old Style" w:cs="Calibri"/>
                <w:b/>
                <w:bCs/>
                <w:sz w:val="18"/>
                <w:szCs w:val="18"/>
                <w:lang w:eastAsia="en-ID"/>
              </w:rPr>
              <w:t>,00</w:t>
            </w:r>
          </w:p>
        </w:tc>
      </w:tr>
    </w:tbl>
    <w:p w14:paraId="33971860" w14:textId="552351E2" w:rsidR="005B617E" w:rsidRPr="008379CA" w:rsidRDefault="005D22AA" w:rsidP="00B908AD">
      <w:pPr>
        <w:pStyle w:val="ListParagraph"/>
        <w:spacing w:before="60" w:after="0" w:line="276" w:lineRule="auto"/>
        <w:ind w:left="993"/>
        <w:contextualSpacing w:val="0"/>
        <w:jc w:val="both"/>
        <w:rPr>
          <w:rFonts w:ascii="Bookman Old Style" w:hAnsi="Bookman Old Style" w:cs="Arial"/>
          <w:sz w:val="24"/>
          <w:szCs w:val="24"/>
          <w:lang w:val="en-US"/>
        </w:rPr>
      </w:pPr>
      <w:r w:rsidRPr="008379CA">
        <w:rPr>
          <w:rFonts w:ascii="Bookman Old Style" w:hAnsi="Bookman Old Style"/>
          <w:bCs/>
          <w:sz w:val="24"/>
          <w:szCs w:val="24"/>
          <w:lang w:val="id-ID"/>
        </w:rPr>
        <w:lastRenderedPageBreak/>
        <w:t>Pemerintah</w:t>
      </w:r>
      <w:r w:rsidR="00A954D0" w:rsidRPr="008379CA">
        <w:rPr>
          <w:rFonts w:ascii="Bookman Old Style" w:hAnsi="Bookman Old Style"/>
          <w:bCs/>
          <w:sz w:val="24"/>
          <w:szCs w:val="24"/>
          <w:lang w:val="id-ID"/>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bCs/>
          <w:sz w:val="24"/>
          <w:szCs w:val="24"/>
          <w:lang w:val="id-ID"/>
        </w:rPr>
        <w:t>telah</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mengalokasikan</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dukungan</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Anggaran</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Dalam</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Rancangan</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Peraturan</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Daerah</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tentang</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APBD</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Tahun</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Anggaran</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2025</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terhadap</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Kebijakan</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Prioritas</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en-US"/>
        </w:rPr>
        <w:t>Daerah</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yang</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diharapkan</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dapat</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berdampak</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pada</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capaian</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Proyeksi</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Indikator</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Makro</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Pembangunan</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en-US"/>
        </w:rPr>
        <w:t>Kota</w:t>
      </w:r>
      <w:r w:rsidR="00A954D0" w:rsidRPr="008379CA">
        <w:rPr>
          <w:rFonts w:ascii="Bookman Old Style" w:hAnsi="Bookman Old Style"/>
          <w:bCs/>
          <w:sz w:val="24"/>
          <w:szCs w:val="24"/>
          <w:lang w:val="en-US"/>
        </w:rPr>
        <w:t xml:space="preserve"> </w:t>
      </w:r>
      <w:r w:rsidRPr="008379CA">
        <w:rPr>
          <w:rFonts w:ascii="Bookman Old Style" w:hAnsi="Bookman Old Style"/>
          <w:bCs/>
          <w:sz w:val="24"/>
          <w:szCs w:val="24"/>
          <w:lang w:val="en-US"/>
        </w:rPr>
        <w:t>Tangerang</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Tahun</w:t>
      </w:r>
      <w:r w:rsidR="00A954D0" w:rsidRPr="008379CA">
        <w:rPr>
          <w:rFonts w:ascii="Bookman Old Style" w:hAnsi="Bookman Old Style"/>
          <w:bCs/>
          <w:sz w:val="24"/>
          <w:szCs w:val="24"/>
          <w:lang w:val="id-ID"/>
        </w:rPr>
        <w:t xml:space="preserve"> </w:t>
      </w:r>
      <w:r w:rsidRPr="008379CA">
        <w:rPr>
          <w:rFonts w:ascii="Bookman Old Style" w:hAnsi="Bookman Old Style"/>
          <w:bCs/>
          <w:sz w:val="24"/>
          <w:szCs w:val="24"/>
          <w:lang w:val="id-ID"/>
        </w:rPr>
        <w:t>2025.</w:t>
      </w:r>
    </w:p>
    <w:p w14:paraId="64872756" w14:textId="0CB28468" w:rsidR="00C825AB" w:rsidRPr="008379CA" w:rsidRDefault="00377529" w:rsidP="00B908AD">
      <w:pPr>
        <w:pStyle w:val="ListParagraph"/>
        <w:numPr>
          <w:ilvl w:val="0"/>
          <w:numId w:val="96"/>
        </w:numPr>
        <w:spacing w:before="120" w:after="0" w:line="276" w:lineRule="auto"/>
        <w:ind w:left="993" w:hanging="426"/>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de-DE"/>
        </w:rPr>
        <w:t>Penyediaan</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lang w:val="id-ID"/>
        </w:rPr>
        <w:t>dalam</w:t>
      </w:r>
      <w:r w:rsidR="00A954D0" w:rsidRPr="008379CA">
        <w:rPr>
          <w:rFonts w:ascii="Bookman Old Style" w:hAnsi="Bookman Old Style"/>
          <w:sz w:val="24"/>
          <w:szCs w:val="24"/>
          <w:lang w:val="id-ID"/>
        </w:rPr>
        <w:t xml:space="preserve"> </w:t>
      </w:r>
      <w:r w:rsidRPr="008379CA">
        <w:rPr>
          <w:rFonts w:ascii="Bookman Old Style" w:hAnsi="Bookman Old Style" w:cs="Arial"/>
          <w:sz w:val="24"/>
          <w:szCs w:val="24"/>
          <w:lang w:val="id-ID"/>
        </w:rPr>
        <w:t>Rancangan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rPr>
        <w:t>Peraturan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Daerah</w:t>
      </w:r>
      <w:r w:rsidR="00A954D0" w:rsidRPr="008379CA">
        <w:rPr>
          <w:rFonts w:ascii="Bookman Old Style" w:hAnsi="Bookman Old Style" w:cs="Arial"/>
          <w:sz w:val="24"/>
          <w:szCs w:val="24"/>
        </w:rPr>
        <w:t xml:space="preserve"> </w:t>
      </w:r>
      <w:r w:rsidR="00B055C5"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00770F22" w:rsidRPr="008379CA">
        <w:rPr>
          <w:rFonts w:ascii="Bookman Old Style" w:hAnsi="Bookman Old Style" w:cs="Arial"/>
          <w:sz w:val="24"/>
          <w:szCs w:val="24"/>
          <w:lang w:val="de-DE"/>
        </w:rPr>
        <w:t>Tangerang</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tentang</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APBD</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Tahun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Anggaran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2025</w:t>
      </w:r>
      <w:r w:rsidR="00A954D0" w:rsidRPr="008379CA">
        <w:rPr>
          <w:rFonts w:ascii="Bookman Old Style" w:hAnsi="Bookman Old Style"/>
          <w:sz w:val="24"/>
          <w:szCs w:val="24"/>
        </w:rPr>
        <w:t xml:space="preserve"> </w:t>
      </w:r>
      <w:r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Rancangan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Peraturan</w:t>
      </w:r>
      <w:r w:rsidR="00A954D0" w:rsidRPr="008379CA">
        <w:rPr>
          <w:rFonts w:ascii="Bookman Old Style" w:hAnsi="Bookman Old Style" w:cs="Arial"/>
          <w:sz w:val="24"/>
          <w:szCs w:val="24"/>
        </w:rPr>
        <w:t xml:space="preserve"> </w:t>
      </w:r>
      <w:r w:rsidR="001C092E" w:rsidRPr="008379CA">
        <w:rPr>
          <w:rFonts w:ascii="Bookman Old Style" w:hAnsi="Bookman Old Style"/>
          <w:sz w:val="24"/>
          <w:szCs w:val="24"/>
        </w:rPr>
        <w:t>Wali</w:t>
      </w:r>
      <w:r w:rsidR="00A954D0" w:rsidRPr="008379CA">
        <w:rPr>
          <w:rFonts w:ascii="Bookman Old Style" w:hAnsi="Bookman Old Style"/>
          <w:sz w:val="24"/>
          <w:szCs w:val="24"/>
        </w:rPr>
        <w:t xml:space="preserve"> </w:t>
      </w:r>
      <w:r w:rsidR="001C092E" w:rsidRPr="008379CA">
        <w:rPr>
          <w:rFonts w:ascii="Bookman Old Style" w:hAnsi="Bookman Old Style"/>
          <w:sz w:val="24"/>
          <w:szCs w:val="24"/>
        </w:rPr>
        <w:t>Kota</w:t>
      </w:r>
      <w:r w:rsidR="00A954D0" w:rsidRPr="008379CA">
        <w:rPr>
          <w:rFonts w:ascii="Bookman Old Style" w:hAnsi="Bookman Old Style"/>
          <w:sz w:val="24"/>
          <w:szCs w:val="24"/>
        </w:rPr>
        <w:t xml:space="preserve"> </w:t>
      </w:r>
      <w:r w:rsidR="00770F22" w:rsidRPr="008379CA">
        <w:rPr>
          <w:rFonts w:ascii="Bookman Old Style" w:hAnsi="Bookman Old Style"/>
          <w:sz w:val="24"/>
          <w:szCs w:val="24"/>
        </w:rPr>
        <w:t>Tangerang</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tentang</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Penjabaran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APBD</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Tahun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Anggaran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2025</w:t>
      </w:r>
      <w:r w:rsidR="00A954D0" w:rsidRPr="008379CA">
        <w:rPr>
          <w:rFonts w:ascii="Bookman Old Style" w:hAnsi="Bookman Old Style" w:cs="Arial"/>
          <w:sz w:val="24"/>
          <w:szCs w:val="24"/>
          <w:lang w:val="id-ID"/>
        </w:rPr>
        <w:t xml:space="preserve"> </w:t>
      </w:r>
      <w:r w:rsidRPr="008379CA">
        <w:rPr>
          <w:rFonts w:ascii="Bookman Old Style" w:hAnsi="Bookman Old Style"/>
          <w:sz w:val="24"/>
          <w:szCs w:val="24"/>
          <w:lang w:val="en-US"/>
        </w:rPr>
        <w:t>dalam</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menunjang</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prioritas</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nasional</w:t>
      </w:r>
      <w:r w:rsidR="00A954D0" w:rsidRPr="008379CA">
        <w:rPr>
          <w:rFonts w:ascii="Bookman Old Style" w:hAnsi="Bookman Old Style"/>
          <w:sz w:val="24"/>
          <w:szCs w:val="24"/>
          <w:lang w:val="en-US"/>
        </w:rPr>
        <w:t xml:space="preserve"> </w:t>
      </w:r>
      <w:r w:rsidR="00C32179" w:rsidRPr="008379CA">
        <w:rPr>
          <w:rFonts w:ascii="Bookman Old Style" w:hAnsi="Bookman Old Style"/>
          <w:sz w:val="24"/>
          <w:szCs w:val="24"/>
          <w:lang w:val="en-US"/>
        </w:rPr>
        <w:t>dan</w:t>
      </w:r>
      <w:r w:rsidR="00A954D0" w:rsidRPr="008379CA">
        <w:rPr>
          <w:rFonts w:ascii="Bookman Old Style" w:hAnsi="Bookman Old Style"/>
          <w:sz w:val="24"/>
          <w:szCs w:val="24"/>
          <w:lang w:val="en-US"/>
        </w:rPr>
        <w:t xml:space="preserve"> </w:t>
      </w:r>
      <w:r w:rsidR="00C32179" w:rsidRPr="008379CA">
        <w:rPr>
          <w:rFonts w:ascii="Bookman Old Style" w:hAnsi="Bookman Old Style"/>
          <w:sz w:val="24"/>
          <w:szCs w:val="24"/>
          <w:lang w:val="en-US"/>
        </w:rPr>
        <w:t>prioritas</w:t>
      </w:r>
      <w:r w:rsidR="00A954D0" w:rsidRPr="008379CA">
        <w:rPr>
          <w:rFonts w:ascii="Bookman Old Style" w:hAnsi="Bookman Old Style"/>
          <w:sz w:val="24"/>
          <w:szCs w:val="24"/>
          <w:lang w:val="en-US"/>
        </w:rPr>
        <w:t xml:space="preserve"> </w:t>
      </w:r>
      <w:r w:rsidR="00C32179" w:rsidRPr="008379CA">
        <w:rPr>
          <w:rFonts w:ascii="Bookman Old Style" w:hAnsi="Bookman Old Style"/>
          <w:sz w:val="24"/>
          <w:szCs w:val="24"/>
          <w:lang w:val="en-US"/>
        </w:rPr>
        <w:t>Provinsi</w:t>
      </w:r>
      <w:r w:rsidR="00A954D0" w:rsidRPr="008379CA">
        <w:rPr>
          <w:rFonts w:ascii="Bookman Old Style" w:hAnsi="Bookman Old Style"/>
          <w:sz w:val="24"/>
          <w:szCs w:val="24"/>
          <w:lang w:val="en-US"/>
        </w:rPr>
        <w:t xml:space="preserve"> </w:t>
      </w:r>
      <w:r w:rsidR="00C32179" w:rsidRPr="008379CA">
        <w:rPr>
          <w:rFonts w:ascii="Bookman Old Style" w:hAnsi="Bookman Old Style"/>
          <w:sz w:val="24"/>
          <w:szCs w:val="24"/>
          <w:lang w:val="en-US"/>
        </w:rPr>
        <w:t>Banten</w:t>
      </w:r>
      <w:r w:rsidRPr="008379CA">
        <w:rPr>
          <w:rFonts w:ascii="Bookman Old Style" w:hAnsi="Bookman Old Style"/>
          <w:sz w:val="24"/>
          <w:szCs w:val="24"/>
          <w:lang w:val="en-US"/>
        </w:rPr>
        <w:t>,</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id-ID"/>
        </w:rPr>
        <w:t>sebagai</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berikut:</w:t>
      </w:r>
    </w:p>
    <w:p w14:paraId="2FB8511D" w14:textId="7EA0E664" w:rsidR="00C825AB" w:rsidRPr="008379CA" w:rsidRDefault="00C825AB" w:rsidP="00B908AD">
      <w:pPr>
        <w:pStyle w:val="ListParagraph"/>
        <w:numPr>
          <w:ilvl w:val="0"/>
          <w:numId w:val="97"/>
        </w:numPr>
        <w:spacing w:before="120" w:after="0" w:line="276" w:lineRule="auto"/>
        <w:ind w:left="1281" w:hanging="288"/>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sv-FI"/>
        </w:rPr>
        <w:t>Alokasi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Anggaran</w:t>
      </w:r>
      <w:r w:rsidR="00A954D0" w:rsidRPr="008379CA">
        <w:rPr>
          <w:rFonts w:ascii="Bookman Old Style" w:hAnsi="Bookman Old Style" w:cs="Arial"/>
          <w:sz w:val="24"/>
          <w:szCs w:val="24"/>
          <w:lang w:val="sv-FI"/>
        </w:rPr>
        <w:t xml:space="preserve"> </w:t>
      </w:r>
      <w:r w:rsidR="00377529" w:rsidRPr="008379CA">
        <w:rPr>
          <w:rFonts w:ascii="Bookman Old Style" w:hAnsi="Bookman Old Style" w:cs="Arial"/>
          <w:sz w:val="24"/>
          <w:szCs w:val="24"/>
          <w:lang w:val="sv-FI"/>
        </w:rPr>
        <w:t>untuk</w:t>
      </w:r>
      <w:r w:rsidR="00A954D0" w:rsidRPr="008379CA">
        <w:rPr>
          <w:rFonts w:ascii="Bookman Old Style" w:hAnsi="Bookman Old Style" w:cs="Arial"/>
          <w:sz w:val="24"/>
          <w:szCs w:val="24"/>
          <w:lang w:val="sv-FI"/>
        </w:rPr>
        <w:t xml:space="preserve"> </w:t>
      </w:r>
      <w:r w:rsidR="00377529" w:rsidRPr="008379CA">
        <w:rPr>
          <w:rFonts w:ascii="Bookman Old Style" w:hAnsi="Bookman Old Style" w:cs="Arial"/>
          <w:sz w:val="24"/>
          <w:szCs w:val="24"/>
          <w:lang w:val="sv-FI"/>
        </w:rPr>
        <w:t>Percepatan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Penurunan</w:t>
      </w:r>
      <w:r w:rsidR="00A954D0" w:rsidRPr="008379CA">
        <w:rPr>
          <w:rFonts w:ascii="Bookman Old Style" w:hAnsi="Bookman Old Style" w:cs="Arial"/>
          <w:sz w:val="24"/>
          <w:szCs w:val="24"/>
          <w:lang w:val="sv-FI"/>
        </w:rPr>
        <w:t xml:space="preserve"> </w:t>
      </w:r>
      <w:r w:rsidR="00377529" w:rsidRPr="008379CA">
        <w:rPr>
          <w:rFonts w:ascii="Bookman Old Style" w:hAnsi="Bookman Old Style" w:cs="Arial"/>
          <w:sz w:val="24"/>
          <w:szCs w:val="24"/>
          <w:lang w:val="sv-FI"/>
        </w:rPr>
        <w:t>Prevalensi</w:t>
      </w:r>
      <w:r w:rsidR="00A954D0" w:rsidRPr="008379CA">
        <w:rPr>
          <w:rFonts w:ascii="Bookman Old Style" w:hAnsi="Bookman Old Style" w:cs="Arial"/>
          <w:sz w:val="24"/>
          <w:szCs w:val="24"/>
          <w:lang w:val="sv-FI"/>
        </w:rPr>
        <w:t xml:space="preserve"> </w:t>
      </w:r>
      <w:r w:rsidRPr="008379CA">
        <w:rPr>
          <w:rFonts w:ascii="Bookman Old Style" w:hAnsi="Bookman Old Style" w:cs="Arial"/>
          <w:i/>
          <w:iCs/>
          <w:sz w:val="24"/>
          <w:szCs w:val="24"/>
          <w:lang w:val="sv-FI"/>
        </w:rPr>
        <w:t>Stunting</w:t>
      </w:r>
    </w:p>
    <w:p w14:paraId="496EEBA2" w14:textId="3A43A072" w:rsidR="007006A6" w:rsidRPr="008379CA" w:rsidRDefault="007006A6" w:rsidP="007006A6">
      <w:pPr>
        <w:pBdr>
          <w:top w:val="nil"/>
          <w:left w:val="nil"/>
          <w:bottom w:val="nil"/>
          <w:right w:val="nil"/>
          <w:between w:val="nil"/>
        </w:pBdr>
        <w:tabs>
          <w:tab w:val="left" w:pos="900"/>
        </w:tabs>
        <w:spacing w:before="60" w:line="276" w:lineRule="auto"/>
        <w:ind w:left="1276" w:right="77"/>
        <w:jc w:val="both"/>
        <w:rPr>
          <w:rFonts w:ascii="Bookman Old Style" w:eastAsia="Bookman Old Style" w:hAnsi="Bookman Old Style" w:cs="Bookman Old Style"/>
          <w:lang w:val="id-ID"/>
        </w:rPr>
      </w:pPr>
      <w:r w:rsidRPr="008379CA">
        <w:rPr>
          <w:rFonts w:ascii="Bookman Old Style" w:eastAsia="Bookman Old Style" w:hAnsi="Bookman Old Style" w:cs="Bookman Old Style"/>
          <w:lang w:val="id-ID"/>
        </w:rPr>
        <w:t>Pemerintah</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Daerah</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Kota</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Tangerang</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mengalokasikan</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anggaran</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dalam</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upaya</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Percepatan</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Penurunan</w:t>
      </w:r>
      <w:r w:rsidR="00A954D0" w:rsidRPr="008379CA">
        <w:rPr>
          <w:rFonts w:ascii="Bookman Old Style" w:eastAsia="Bookman Old Style" w:hAnsi="Bookman Old Style" w:cs="Bookman Old Style"/>
          <w:lang w:val="id-ID"/>
        </w:rPr>
        <w:t xml:space="preserve"> </w:t>
      </w:r>
      <w:r w:rsidRPr="008379CA">
        <w:rPr>
          <w:rFonts w:ascii="Bookman Old Style" w:hAnsi="Bookman Old Style" w:cs="Arial"/>
          <w:lang w:val="id-ID"/>
        </w:rPr>
        <w:t>Prevalensi</w:t>
      </w:r>
      <w:r w:rsidR="00A954D0" w:rsidRPr="008379CA">
        <w:rPr>
          <w:rFonts w:ascii="Bookman Old Style" w:hAnsi="Bookman Old Style" w:cs="Arial"/>
          <w:lang w:val="id-ID"/>
        </w:rPr>
        <w:t xml:space="preserve"> </w:t>
      </w:r>
      <w:r w:rsidRPr="008379CA">
        <w:rPr>
          <w:rFonts w:ascii="Bookman Old Style" w:eastAsia="Bookman Old Style" w:hAnsi="Bookman Old Style" w:cs="Bookman Old Style"/>
          <w:i/>
          <w:iCs/>
          <w:lang w:val="id-ID"/>
        </w:rPr>
        <w:t>Stunting</w:t>
      </w:r>
      <w:r w:rsidRPr="008379CA">
        <w:rPr>
          <w:rFonts w:ascii="Bookman Old Style" w:eastAsia="Bookman Old Style" w:hAnsi="Bookman Old Style" w:cs="Bookman Old Style"/>
          <w:lang w:val="id-ID"/>
        </w:rPr>
        <w:t>,</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berdasarkan</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Perhitungan</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Bobot</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Sub</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Kegiatan</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Rp279.951.481.436,16</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atau</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4,91%</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dari</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total</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belanja</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daerah</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dalam</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Rancangan</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Peraturan</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Daerah</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Kota</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Tangerang</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tentang</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APBD</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Tahun</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Anggaran</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2025.</w:t>
      </w:r>
    </w:p>
    <w:p w14:paraId="3F527AF8" w14:textId="315013C6" w:rsidR="007006A6" w:rsidRPr="008379CA" w:rsidRDefault="007006A6" w:rsidP="007006A6">
      <w:pPr>
        <w:pBdr>
          <w:top w:val="nil"/>
          <w:left w:val="nil"/>
          <w:bottom w:val="nil"/>
          <w:right w:val="nil"/>
          <w:between w:val="nil"/>
        </w:pBdr>
        <w:tabs>
          <w:tab w:val="left" w:pos="900"/>
        </w:tabs>
        <w:spacing w:before="60" w:line="276" w:lineRule="auto"/>
        <w:ind w:left="1276" w:right="77"/>
        <w:jc w:val="both"/>
        <w:rPr>
          <w:rFonts w:ascii="Bookman Old Style" w:eastAsia="Bookman Old Style" w:hAnsi="Bookman Old Style" w:cs="Bookman Old Style"/>
          <w:lang w:val="id-ID"/>
        </w:rPr>
      </w:pPr>
      <w:r w:rsidRPr="008379CA">
        <w:rPr>
          <w:rFonts w:ascii="Bookman Old Style" w:eastAsia="Bookman Old Style" w:hAnsi="Bookman Old Style" w:cs="Bookman Old Style"/>
          <w:lang w:val="id-ID"/>
        </w:rPr>
        <w:t>Selanjutnya,</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penyediaan</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anggaran</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antara</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lain</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tercantum</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pada</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sub</w:t>
      </w:r>
      <w:r w:rsidR="00A954D0" w:rsidRPr="008379CA">
        <w:rPr>
          <w:rFonts w:ascii="Bookman Old Style" w:eastAsia="Bookman Old Style" w:hAnsi="Bookman Old Style" w:cs="Bookman Old Style"/>
          <w:lang w:val="id-ID"/>
        </w:rPr>
        <w:t xml:space="preserve"> </w:t>
      </w:r>
      <w:r w:rsidRPr="008379CA">
        <w:rPr>
          <w:rFonts w:ascii="Bookman Old Style" w:eastAsia="Bookman Old Style" w:hAnsi="Bookman Old Style" w:cs="Bookman Old Style"/>
          <w:lang w:val="id-ID"/>
        </w:rPr>
        <w:t>kegiatan:</w:t>
      </w:r>
    </w:p>
    <w:p w14:paraId="5A44631E" w14:textId="168A173A" w:rsidR="007006A6" w:rsidRPr="008379CA" w:rsidRDefault="007006A6">
      <w:pPr>
        <w:pStyle w:val="ListParagraph"/>
        <w:numPr>
          <w:ilvl w:val="0"/>
          <w:numId w:val="178"/>
        </w:numPr>
        <w:shd w:val="clear" w:color="auto" w:fill="FFFFFF" w:themeFill="background1"/>
        <w:spacing w:before="60" w:after="0" w:line="276" w:lineRule="auto"/>
        <w:ind w:left="1701" w:hanging="425"/>
        <w:contextualSpacing w:val="0"/>
        <w:jc w:val="both"/>
        <w:rPr>
          <w:rFonts w:ascii="Bookman Old Style" w:hAnsi="Bookman Old Style" w:cs="Arial"/>
          <w:sz w:val="24"/>
          <w:szCs w:val="24"/>
          <w:lang w:val="sv-FI"/>
        </w:rPr>
      </w:pPr>
      <w:r w:rsidRPr="008379CA">
        <w:rPr>
          <w:rFonts w:ascii="Bookman Old Style" w:eastAsia="Bookman Old Style" w:hAnsi="Bookman Old Style" w:cs="Bookman Old Style"/>
          <w:sz w:val="24"/>
          <w:szCs w:val="24"/>
          <w:lang w:val="sv-FI" w:eastAsia="en-US"/>
        </w:rPr>
        <w:t>Operasional</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Pelayanan</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Puskesmas</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pada</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Dinas</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Kesehatan</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Rp300,00</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dengan</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alokasi</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p</w:t>
      </w:r>
      <w:r w:rsidRPr="008379CA">
        <w:rPr>
          <w:rFonts w:ascii="Bookman Old Style" w:eastAsia="Bookman Old Style" w:hAnsi="Bookman Old Style" w:cs="Bookman Old Style"/>
          <w:sz w:val="24"/>
          <w:szCs w:val="24"/>
          <w:lang w:val="id-ID"/>
        </w:rPr>
        <w:t>erhitungan</w:t>
      </w:r>
      <w:r w:rsidR="00A954D0" w:rsidRPr="008379CA">
        <w:rPr>
          <w:rFonts w:ascii="Bookman Old Style" w:eastAsia="Bookman Old Style" w:hAnsi="Bookman Old Style" w:cs="Bookman Old Style"/>
          <w:sz w:val="24"/>
          <w:szCs w:val="24"/>
          <w:lang w:val="id-ID"/>
        </w:rPr>
        <w:t xml:space="preserve"> </w:t>
      </w:r>
      <w:r w:rsidRPr="008379CA">
        <w:rPr>
          <w:rFonts w:ascii="Bookman Old Style" w:eastAsia="Bookman Old Style" w:hAnsi="Bookman Old Style" w:cs="Bookman Old Style"/>
          <w:sz w:val="24"/>
          <w:szCs w:val="24"/>
          <w:lang w:val="id-ID"/>
        </w:rPr>
        <w:t>bobot</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penanganan</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stunting</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sebesar</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Rp225,00</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dengan</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target</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1</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dokumen,</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yang</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diuraikan</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ke</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dalam</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sub</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rincian</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objek</w:t>
      </w:r>
      <w:r w:rsidR="00A954D0" w:rsidRPr="008379CA">
        <w:rPr>
          <w:rFonts w:ascii="Bookman Old Style" w:eastAsia="Bookman Old Style" w:hAnsi="Bookman Old Style" w:cs="Bookman Old Style"/>
          <w:sz w:val="24"/>
          <w:szCs w:val="24"/>
          <w:lang w:val="sv-FI" w:eastAsia="en-US"/>
        </w:rPr>
        <w:t xml:space="preserve"> </w:t>
      </w:r>
      <w:r w:rsidR="00747F01" w:rsidRPr="008379CA">
        <w:rPr>
          <w:rFonts w:ascii="Bookman Old Style" w:hAnsi="Bookman Old Style" w:cs="Arial"/>
          <w:sz w:val="24"/>
          <w:szCs w:val="24"/>
          <w:lang w:val="sv-FI"/>
        </w:rPr>
        <w:t>Belanja</w:t>
      </w:r>
      <w:r w:rsidR="00A954D0" w:rsidRPr="008379CA">
        <w:rPr>
          <w:rFonts w:ascii="Bookman Old Style" w:hAnsi="Bookman Old Style" w:cs="Arial"/>
          <w:sz w:val="24"/>
          <w:szCs w:val="24"/>
          <w:lang w:val="sv-FI"/>
        </w:rPr>
        <w:t xml:space="preserve"> </w:t>
      </w:r>
      <w:r w:rsidR="00747F01" w:rsidRPr="008379CA">
        <w:rPr>
          <w:rFonts w:ascii="Bookman Old Style" w:hAnsi="Bookman Old Style" w:cs="Arial"/>
          <w:sz w:val="24"/>
          <w:szCs w:val="24"/>
          <w:lang w:val="sv-FI"/>
        </w:rPr>
        <w:t>Alat/Bahan</w:t>
      </w:r>
      <w:r w:rsidR="00A954D0" w:rsidRPr="008379CA">
        <w:rPr>
          <w:rFonts w:ascii="Bookman Old Style" w:hAnsi="Bookman Old Style" w:cs="Arial"/>
          <w:sz w:val="24"/>
          <w:szCs w:val="24"/>
          <w:lang w:val="sv-FI"/>
        </w:rPr>
        <w:t xml:space="preserve"> </w:t>
      </w:r>
      <w:r w:rsidR="00747F01" w:rsidRPr="008379CA">
        <w:rPr>
          <w:rFonts w:ascii="Bookman Old Style" w:hAnsi="Bookman Old Style" w:cs="Arial"/>
          <w:sz w:val="24"/>
          <w:szCs w:val="24"/>
          <w:lang w:val="sv-FI"/>
        </w:rPr>
        <w:t>untuk</w:t>
      </w:r>
      <w:r w:rsidR="00A954D0" w:rsidRPr="008379CA">
        <w:rPr>
          <w:rFonts w:ascii="Bookman Old Style" w:hAnsi="Bookman Old Style" w:cs="Arial"/>
          <w:sz w:val="24"/>
          <w:szCs w:val="24"/>
          <w:lang w:val="sv-FI"/>
        </w:rPr>
        <w:t xml:space="preserve"> </w:t>
      </w:r>
      <w:r w:rsidR="00747F01" w:rsidRPr="008379CA">
        <w:rPr>
          <w:rFonts w:ascii="Bookman Old Style" w:hAnsi="Bookman Old Style" w:cs="Arial"/>
          <w:sz w:val="24"/>
          <w:szCs w:val="24"/>
          <w:lang w:val="sv-FI"/>
        </w:rPr>
        <w:t>Kegiatan</w:t>
      </w:r>
      <w:r w:rsidR="00A954D0" w:rsidRPr="008379CA">
        <w:rPr>
          <w:rFonts w:ascii="Bookman Old Style" w:hAnsi="Bookman Old Style" w:cs="Arial"/>
          <w:sz w:val="24"/>
          <w:szCs w:val="24"/>
          <w:lang w:val="sv-FI"/>
        </w:rPr>
        <w:t xml:space="preserve"> </w:t>
      </w:r>
      <w:r w:rsidR="00747F01" w:rsidRPr="008379CA">
        <w:rPr>
          <w:rFonts w:ascii="Bookman Old Style" w:hAnsi="Bookman Old Style" w:cs="Arial"/>
          <w:sz w:val="24"/>
          <w:szCs w:val="24"/>
          <w:lang w:val="sv-FI"/>
        </w:rPr>
        <w:t>Kantor-Bahan</w:t>
      </w:r>
      <w:r w:rsidR="00A954D0" w:rsidRPr="008379CA">
        <w:rPr>
          <w:rFonts w:ascii="Bookman Old Style" w:hAnsi="Bookman Old Style" w:cs="Arial"/>
          <w:sz w:val="24"/>
          <w:szCs w:val="24"/>
          <w:lang w:val="sv-FI"/>
        </w:rPr>
        <w:t xml:space="preserve"> </w:t>
      </w:r>
      <w:r w:rsidR="00747F01" w:rsidRPr="008379CA">
        <w:rPr>
          <w:rFonts w:ascii="Bookman Old Style" w:hAnsi="Bookman Old Style" w:cs="Arial"/>
          <w:sz w:val="24"/>
          <w:szCs w:val="24"/>
          <w:lang w:val="sv-FI"/>
        </w:rPr>
        <w:t>Cetak</w:t>
      </w:r>
      <w:r w:rsidR="00A954D0" w:rsidRPr="008379CA">
        <w:rPr>
          <w:rFonts w:ascii="Bookman Old Style" w:hAnsi="Bookman Old Style" w:cs="Arial"/>
          <w:sz w:val="24"/>
          <w:szCs w:val="24"/>
          <w:lang w:val="sv-FI"/>
        </w:rPr>
        <w:t xml:space="preserve"> </w:t>
      </w:r>
      <w:r w:rsidR="00747F01" w:rsidRPr="008379CA">
        <w:rPr>
          <w:rFonts w:ascii="Bookman Old Style" w:hAnsi="Bookman Old Style" w:cs="Arial"/>
          <w:sz w:val="24"/>
          <w:szCs w:val="24"/>
          <w:lang w:val="sv-FI"/>
        </w:rPr>
        <w:t>Rp300,00.</w:t>
      </w:r>
    </w:p>
    <w:p w14:paraId="41A74548" w14:textId="3DE2674F" w:rsidR="007006A6" w:rsidRPr="008379CA" w:rsidRDefault="007006A6">
      <w:pPr>
        <w:pStyle w:val="ListParagraph"/>
        <w:numPr>
          <w:ilvl w:val="0"/>
          <w:numId w:val="178"/>
        </w:numPr>
        <w:shd w:val="clear" w:color="auto" w:fill="FFFFFF" w:themeFill="background1"/>
        <w:spacing w:before="60" w:after="0" w:line="276" w:lineRule="auto"/>
        <w:ind w:left="1701" w:hanging="425"/>
        <w:contextualSpacing w:val="0"/>
        <w:jc w:val="both"/>
        <w:rPr>
          <w:rFonts w:ascii="Bookman Old Style" w:hAnsi="Bookman Old Style" w:cs="Arial"/>
          <w:sz w:val="24"/>
          <w:szCs w:val="24"/>
          <w:lang w:val="sv-FI"/>
        </w:rPr>
      </w:pPr>
      <w:r w:rsidRPr="008379CA">
        <w:rPr>
          <w:rFonts w:ascii="Bookman Old Style" w:hAnsi="Bookman Old Style" w:cs="Arial"/>
          <w:sz w:val="24"/>
          <w:szCs w:val="24"/>
          <w:lang w:val="sv-FI"/>
        </w:rPr>
        <w:t>Peningkatan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Upaya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Promosi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Kesehatan,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Advokasi,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Kemitraan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Pemberdayaan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Masyarakat</w:t>
      </w:r>
      <w:r w:rsidR="00A954D0" w:rsidRPr="008379CA">
        <w:rPr>
          <w:rFonts w:ascii="Bookman Old Style" w:hAnsi="Bookman Old Style" w:cs="Arial"/>
          <w:sz w:val="24"/>
          <w:szCs w:val="24"/>
          <w:lang w:val="sv-FI"/>
        </w:rPr>
        <w:t xml:space="preserve"> </w:t>
      </w:r>
      <w:r w:rsidRPr="008379CA">
        <w:rPr>
          <w:rFonts w:ascii="Bookman Old Style" w:eastAsia="Bookman Old Style" w:hAnsi="Bookman Old Style" w:cs="Bookman Old Style"/>
          <w:sz w:val="24"/>
          <w:szCs w:val="24"/>
          <w:lang w:val="sv-FI" w:eastAsia="en-US"/>
        </w:rPr>
        <w:t>pada</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Dinas</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Kesehatan</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Rp1.249.922.000,00</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dengan</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alokasi</w:t>
      </w:r>
      <w:r w:rsidR="00A954D0" w:rsidRPr="008379CA">
        <w:rPr>
          <w:rFonts w:ascii="Bookman Old Style" w:eastAsia="Bookman Old Style" w:hAnsi="Bookman Old Style" w:cs="Bookman Old Style"/>
          <w:sz w:val="24"/>
          <w:szCs w:val="24"/>
          <w:lang w:val="sv-FI" w:eastAsia="en-US"/>
        </w:rPr>
        <w:t xml:space="preserve"> </w:t>
      </w:r>
      <w:bookmarkStart w:id="7" w:name="_Hlk183294539"/>
      <w:r w:rsidRPr="008379CA">
        <w:rPr>
          <w:rFonts w:ascii="Bookman Old Style" w:eastAsia="Bookman Old Style" w:hAnsi="Bookman Old Style" w:cs="Bookman Old Style"/>
          <w:sz w:val="24"/>
          <w:szCs w:val="24"/>
          <w:lang w:val="sv-FI" w:eastAsia="en-US"/>
        </w:rPr>
        <w:t>p</w:t>
      </w:r>
      <w:r w:rsidRPr="008379CA">
        <w:rPr>
          <w:rFonts w:ascii="Bookman Old Style" w:eastAsia="Bookman Old Style" w:hAnsi="Bookman Old Style" w:cs="Bookman Old Style"/>
          <w:sz w:val="24"/>
          <w:szCs w:val="24"/>
          <w:lang w:val="id-ID"/>
        </w:rPr>
        <w:t>erhitungan</w:t>
      </w:r>
      <w:r w:rsidR="00A954D0" w:rsidRPr="008379CA">
        <w:rPr>
          <w:rFonts w:ascii="Bookman Old Style" w:eastAsia="Bookman Old Style" w:hAnsi="Bookman Old Style" w:cs="Bookman Old Style"/>
          <w:sz w:val="24"/>
          <w:szCs w:val="24"/>
          <w:lang w:val="id-ID"/>
        </w:rPr>
        <w:t xml:space="preserve"> </w:t>
      </w:r>
      <w:r w:rsidRPr="008379CA">
        <w:rPr>
          <w:rFonts w:ascii="Bookman Old Style" w:eastAsia="Bookman Old Style" w:hAnsi="Bookman Old Style" w:cs="Bookman Old Style"/>
          <w:sz w:val="24"/>
          <w:szCs w:val="24"/>
          <w:lang w:val="id-ID"/>
        </w:rPr>
        <w:t>bobot</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penanganan</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stunting</w:t>
      </w:r>
      <w:r w:rsidR="00A954D0" w:rsidRPr="008379CA">
        <w:rPr>
          <w:rFonts w:ascii="Bookman Old Style" w:eastAsia="Bookman Old Style" w:hAnsi="Bookman Old Style" w:cs="Bookman Old Style"/>
          <w:sz w:val="24"/>
          <w:szCs w:val="24"/>
          <w:lang w:val="sv-FI" w:eastAsia="en-US"/>
        </w:rPr>
        <w:t xml:space="preserve"> </w:t>
      </w:r>
      <w:bookmarkEnd w:id="7"/>
      <w:r w:rsidRPr="008379CA">
        <w:rPr>
          <w:rFonts w:ascii="Bookman Old Style" w:eastAsia="Bookman Old Style" w:hAnsi="Bookman Old Style" w:cs="Bookman Old Style"/>
          <w:sz w:val="24"/>
          <w:szCs w:val="24"/>
          <w:lang w:val="sv-FI" w:eastAsia="en-US"/>
        </w:rPr>
        <w:t>sebesar</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Rp312.480.500,00</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atau</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0</w:t>
      </w:r>
      <w:r w:rsidR="00C46555" w:rsidRPr="008379CA">
        <w:rPr>
          <w:rFonts w:ascii="Bookman Old Style" w:eastAsia="Bookman Old Style" w:hAnsi="Bookman Old Style" w:cs="Bookman Old Style"/>
          <w:sz w:val="24"/>
          <w:szCs w:val="24"/>
          <w:lang w:val="sv-FI" w:eastAsia="en-US"/>
        </w:rPr>
        <w:t>,</w:t>
      </w:r>
      <w:r w:rsidRPr="008379CA">
        <w:rPr>
          <w:rFonts w:ascii="Bookman Old Style" w:eastAsia="Bookman Old Style" w:hAnsi="Bookman Old Style" w:cs="Bookman Old Style"/>
          <w:sz w:val="24"/>
          <w:szCs w:val="24"/>
          <w:lang w:val="sv-FI" w:eastAsia="en-US"/>
        </w:rPr>
        <w:t>16%</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dari</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total</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Alokasi</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Penanganan</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Stunting</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dengan</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target</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1</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Dokumen,</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yang</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diuraikan</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ke</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dalam</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sub</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rincian</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objek</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belanja:</w:t>
      </w:r>
    </w:p>
    <w:p w14:paraId="4919C4F4" w14:textId="1D97AF10" w:rsidR="007006A6" w:rsidRPr="008379CA" w:rsidRDefault="007006A6">
      <w:pPr>
        <w:pStyle w:val="ListParagraph"/>
        <w:numPr>
          <w:ilvl w:val="0"/>
          <w:numId w:val="183"/>
        </w:numPr>
        <w:shd w:val="clear" w:color="auto" w:fill="FFFFFF" w:themeFill="background1"/>
        <w:spacing w:before="60" w:after="0" w:line="276" w:lineRule="auto"/>
        <w:ind w:left="2268" w:hanging="566"/>
        <w:contextualSpacing w:val="0"/>
        <w:jc w:val="both"/>
        <w:rPr>
          <w:rFonts w:ascii="Bookman Old Style" w:hAnsi="Bookman Old Style" w:cs="Arial"/>
          <w:sz w:val="24"/>
          <w:szCs w:val="24"/>
          <w:lang w:val="sv-FI"/>
        </w:rPr>
      </w:pPr>
      <w:r w:rsidRPr="008379CA">
        <w:rPr>
          <w:rFonts w:ascii="Bookman Old Style" w:hAnsi="Bookman Old Style" w:cs="Arial"/>
          <w:sz w:val="24"/>
          <w:szCs w:val="24"/>
          <w:lang w:val="sv-FI"/>
        </w:rPr>
        <w:t>Belanja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Alat/Bahan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untuk</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Kegiatan</w:t>
      </w:r>
      <w:r w:rsidR="00A954D0" w:rsidRPr="008379CA">
        <w:rPr>
          <w:rFonts w:ascii="Bookman Old Style" w:hAnsi="Bookman Old Style" w:cs="Arial"/>
          <w:sz w:val="24"/>
          <w:szCs w:val="24"/>
          <w:lang w:val="sv-FI"/>
        </w:rPr>
        <w:t xml:space="preserve"> </w:t>
      </w:r>
      <w:r w:rsidR="00877A06" w:rsidRPr="008379CA">
        <w:rPr>
          <w:rFonts w:ascii="Bookman Old Style" w:hAnsi="Bookman Old Style" w:cs="Arial"/>
          <w:sz w:val="24"/>
          <w:szCs w:val="24"/>
          <w:lang w:val="sv-FI"/>
        </w:rPr>
        <w:t>Kantor-Bahan</w:t>
      </w:r>
      <w:r w:rsidR="00A954D0" w:rsidRPr="008379CA">
        <w:rPr>
          <w:rFonts w:ascii="Bookman Old Style" w:hAnsi="Bookman Old Style" w:cs="Arial"/>
          <w:sz w:val="24"/>
          <w:szCs w:val="24"/>
          <w:lang w:val="sv-FI"/>
        </w:rPr>
        <w:t xml:space="preserve"> </w:t>
      </w:r>
      <w:r w:rsidR="00877A06" w:rsidRPr="008379CA">
        <w:rPr>
          <w:rFonts w:ascii="Bookman Old Style" w:hAnsi="Bookman Old Style" w:cs="Arial"/>
          <w:sz w:val="24"/>
          <w:szCs w:val="24"/>
          <w:lang w:val="sv-FI"/>
        </w:rPr>
        <w:t>Cetak</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Rp104.122.000,00;</w:t>
      </w:r>
    </w:p>
    <w:p w14:paraId="7CA5B0C2" w14:textId="75622055" w:rsidR="007006A6" w:rsidRPr="008379CA" w:rsidRDefault="007006A6">
      <w:pPr>
        <w:pStyle w:val="ListParagraph"/>
        <w:numPr>
          <w:ilvl w:val="0"/>
          <w:numId w:val="183"/>
        </w:numPr>
        <w:shd w:val="clear" w:color="auto" w:fill="FFFFFF" w:themeFill="background1"/>
        <w:spacing w:before="60" w:after="0" w:line="276" w:lineRule="auto"/>
        <w:ind w:left="2268" w:hanging="566"/>
        <w:contextualSpacing w:val="0"/>
        <w:jc w:val="both"/>
        <w:rPr>
          <w:rFonts w:ascii="Bookman Old Style" w:hAnsi="Bookman Old Style" w:cs="Arial"/>
          <w:sz w:val="24"/>
          <w:szCs w:val="24"/>
          <w:lang w:val="en-US"/>
        </w:rPr>
      </w:pPr>
      <w:r w:rsidRPr="008379CA">
        <w:rPr>
          <w:rFonts w:ascii="Bookman Old Style" w:hAnsi="Bookman Old Style" w:cs="Arial"/>
          <w:sz w:val="24"/>
          <w:szCs w:val="24"/>
          <w:lang w:val="en-US"/>
        </w:rPr>
        <w:t>Honorarium</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Narasumber</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atau</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Pembahas,</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Moderator,</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Pembawa</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Acara,</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dan</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Panitia</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Rp39.800.000,00;</w:t>
      </w:r>
    </w:p>
    <w:p w14:paraId="7B7B06CC" w14:textId="30D291BE" w:rsidR="007006A6" w:rsidRPr="008379CA" w:rsidRDefault="007006A6">
      <w:pPr>
        <w:pStyle w:val="ListParagraph"/>
        <w:numPr>
          <w:ilvl w:val="0"/>
          <w:numId w:val="183"/>
        </w:numPr>
        <w:shd w:val="clear" w:color="auto" w:fill="FFFFFF" w:themeFill="background1"/>
        <w:spacing w:before="60" w:after="0" w:line="276" w:lineRule="auto"/>
        <w:ind w:left="2268" w:hanging="566"/>
        <w:contextualSpacing w:val="0"/>
        <w:jc w:val="both"/>
        <w:rPr>
          <w:rFonts w:ascii="Bookman Old Style" w:hAnsi="Bookman Old Style" w:cs="Arial"/>
          <w:sz w:val="24"/>
          <w:szCs w:val="24"/>
          <w:lang w:val="sv-FI"/>
        </w:rPr>
      </w:pPr>
      <w:r w:rsidRPr="008379CA">
        <w:rPr>
          <w:rFonts w:ascii="Bookman Old Style" w:hAnsi="Bookman Old Style" w:cs="Arial"/>
          <w:sz w:val="24"/>
          <w:szCs w:val="24"/>
          <w:lang w:val="sv-FI"/>
        </w:rPr>
        <w:t>Belanja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Perjalanan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Dinas</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Dalam</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Kota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Rp6.000.000,00;</w:t>
      </w:r>
    </w:p>
    <w:p w14:paraId="39C0B7EC" w14:textId="27AE8650" w:rsidR="007006A6" w:rsidRPr="008379CA" w:rsidRDefault="007006A6">
      <w:pPr>
        <w:pStyle w:val="ListParagraph"/>
        <w:numPr>
          <w:ilvl w:val="0"/>
          <w:numId w:val="183"/>
        </w:numPr>
        <w:shd w:val="clear" w:color="auto" w:fill="FFFFFF" w:themeFill="background1"/>
        <w:spacing w:before="60" w:after="0" w:line="276" w:lineRule="auto"/>
        <w:ind w:left="2268" w:hanging="566"/>
        <w:contextualSpacing w:val="0"/>
        <w:jc w:val="both"/>
        <w:rPr>
          <w:rFonts w:ascii="Bookman Old Style" w:hAnsi="Bookman Old Style" w:cs="Arial"/>
          <w:sz w:val="24"/>
          <w:szCs w:val="24"/>
          <w:lang w:val="sv-FI"/>
        </w:rPr>
      </w:pPr>
      <w:r w:rsidRPr="008379CA">
        <w:rPr>
          <w:rFonts w:ascii="Bookman Old Style" w:hAnsi="Bookman Old Style" w:cs="Arial"/>
          <w:sz w:val="24"/>
          <w:szCs w:val="24"/>
          <w:lang w:val="sv-FI"/>
        </w:rPr>
        <w:t>Belanja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Hibah</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Uang</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kepada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Badan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Lembaga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Nirlaba,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Sukarela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Sosial</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yang</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Telah</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Memiliki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Surat</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Keterangan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Terdaftar</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Rp1.100.000.000,00.</w:t>
      </w:r>
    </w:p>
    <w:p w14:paraId="315C9D4C" w14:textId="3F0B955E" w:rsidR="007006A6" w:rsidRPr="008379CA" w:rsidRDefault="007006A6">
      <w:pPr>
        <w:pStyle w:val="ListParagraph"/>
        <w:numPr>
          <w:ilvl w:val="0"/>
          <w:numId w:val="178"/>
        </w:numPr>
        <w:shd w:val="clear" w:color="auto" w:fill="FFFFFF" w:themeFill="background1"/>
        <w:spacing w:before="60" w:after="0" w:line="276" w:lineRule="auto"/>
        <w:ind w:left="1701" w:hanging="425"/>
        <w:contextualSpacing w:val="0"/>
        <w:jc w:val="both"/>
        <w:rPr>
          <w:rFonts w:ascii="Bookman Old Style" w:hAnsi="Bookman Old Style" w:cs="Arial"/>
          <w:sz w:val="24"/>
          <w:szCs w:val="24"/>
          <w:lang w:val="sv-FI"/>
        </w:rPr>
      </w:pPr>
      <w:bookmarkStart w:id="8" w:name="_Hlk183276390"/>
      <w:r w:rsidRPr="008379CA">
        <w:rPr>
          <w:rFonts w:ascii="Bookman Old Style" w:hAnsi="Bookman Old Style" w:cs="Arial"/>
          <w:sz w:val="24"/>
          <w:szCs w:val="24"/>
          <w:lang w:val="sv-FI"/>
        </w:rPr>
        <w:t>Penyelenggaraan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Proses</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Belajar</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Bagi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Peserta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Didik</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pada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Dinas</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Pendidikan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Rp490.789.900,00</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dengan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alokasi</w:t>
      </w:r>
      <w:r w:rsidR="00A954D0" w:rsidRPr="008379CA">
        <w:rPr>
          <w:rFonts w:ascii="Bookman Old Style" w:hAnsi="Bookman Old Style" w:cs="Arial"/>
          <w:sz w:val="24"/>
          <w:szCs w:val="24"/>
          <w:lang w:val="sv-FI"/>
        </w:rPr>
        <w:t xml:space="preserve"> </w:t>
      </w:r>
      <w:r w:rsidRPr="008379CA">
        <w:rPr>
          <w:rFonts w:ascii="Bookman Old Style" w:eastAsia="Bookman Old Style" w:hAnsi="Bookman Old Style" w:cs="Bookman Old Style"/>
          <w:sz w:val="24"/>
          <w:szCs w:val="24"/>
          <w:lang w:val="sv-FI" w:eastAsia="en-US"/>
        </w:rPr>
        <w:t>p</w:t>
      </w:r>
      <w:r w:rsidRPr="008379CA">
        <w:rPr>
          <w:rFonts w:ascii="Bookman Old Style" w:eastAsia="Bookman Old Style" w:hAnsi="Bookman Old Style" w:cs="Bookman Old Style"/>
          <w:sz w:val="24"/>
          <w:szCs w:val="24"/>
          <w:lang w:val="id-ID"/>
        </w:rPr>
        <w:t>erhitungan</w:t>
      </w:r>
      <w:r w:rsidR="00A954D0" w:rsidRPr="008379CA">
        <w:rPr>
          <w:rFonts w:ascii="Bookman Old Style" w:eastAsia="Bookman Old Style" w:hAnsi="Bookman Old Style" w:cs="Bookman Old Style"/>
          <w:sz w:val="24"/>
          <w:szCs w:val="24"/>
          <w:lang w:val="id-ID"/>
        </w:rPr>
        <w:t xml:space="preserve"> </w:t>
      </w:r>
      <w:r w:rsidRPr="008379CA">
        <w:rPr>
          <w:rFonts w:ascii="Bookman Old Style" w:eastAsia="Bookman Old Style" w:hAnsi="Bookman Old Style" w:cs="Bookman Old Style"/>
          <w:sz w:val="24"/>
          <w:szCs w:val="24"/>
          <w:lang w:val="id-ID"/>
        </w:rPr>
        <w:t>bobot</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penanganan</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stunting</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hAnsi="Bookman Old Style" w:cs="Arial"/>
          <w:sz w:val="24"/>
          <w:szCs w:val="24"/>
          <w:lang w:val="sv-FI"/>
        </w:rPr>
        <w:t>sebesar</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Rp245.394.950,00</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atau</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0</w:t>
      </w:r>
      <w:r w:rsidR="00E5675D" w:rsidRPr="008379CA">
        <w:rPr>
          <w:rFonts w:ascii="Bookman Old Style" w:hAnsi="Bookman Old Style" w:cs="Arial"/>
          <w:sz w:val="24"/>
          <w:szCs w:val="24"/>
          <w:lang w:val="sv-FI"/>
        </w:rPr>
        <w:t>,</w:t>
      </w:r>
      <w:r w:rsidRPr="008379CA">
        <w:rPr>
          <w:rFonts w:ascii="Bookman Old Style" w:hAnsi="Bookman Old Style" w:cs="Arial"/>
          <w:sz w:val="24"/>
          <w:szCs w:val="24"/>
          <w:lang w:val="sv-FI"/>
        </w:rPr>
        <w:t>06%</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dari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total</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Alokasi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Penanganan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Stunting</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dengan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target</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445</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Satuan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lastRenderedPageBreak/>
        <w:t>Pendidikan,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yang</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diuraikan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ke</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dalam</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sub</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rincian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objek</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belanja:</w:t>
      </w:r>
    </w:p>
    <w:bookmarkEnd w:id="8"/>
    <w:p w14:paraId="490B27CD" w14:textId="5FACCD62" w:rsidR="007006A6" w:rsidRPr="008379CA" w:rsidRDefault="007006A6">
      <w:pPr>
        <w:pStyle w:val="ListParagraph"/>
        <w:numPr>
          <w:ilvl w:val="0"/>
          <w:numId w:val="184"/>
        </w:numPr>
        <w:shd w:val="clear" w:color="auto" w:fill="FFFFFF" w:themeFill="background1"/>
        <w:spacing w:before="60" w:after="0" w:line="276" w:lineRule="auto"/>
        <w:ind w:left="2268" w:hanging="567"/>
        <w:contextualSpacing w:val="0"/>
        <w:jc w:val="both"/>
        <w:rPr>
          <w:rFonts w:ascii="Bookman Old Style" w:hAnsi="Bookman Old Style" w:cs="Arial"/>
          <w:sz w:val="24"/>
          <w:szCs w:val="24"/>
          <w:lang w:val="sv-FI"/>
        </w:rPr>
      </w:pPr>
      <w:r w:rsidRPr="008379CA">
        <w:rPr>
          <w:rFonts w:ascii="Bookman Old Style" w:hAnsi="Bookman Old Style" w:cs="Arial"/>
          <w:sz w:val="24"/>
          <w:szCs w:val="24"/>
          <w:lang w:val="sv-FI"/>
        </w:rPr>
        <w:t>Belanja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Alat/Bahan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untuk</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Kegiatan</w:t>
      </w:r>
      <w:r w:rsidR="00A954D0" w:rsidRPr="008379CA">
        <w:rPr>
          <w:rFonts w:ascii="Bookman Old Style" w:hAnsi="Bookman Old Style" w:cs="Arial"/>
          <w:sz w:val="24"/>
          <w:szCs w:val="24"/>
          <w:lang w:val="sv-FI"/>
        </w:rPr>
        <w:t xml:space="preserve"> </w:t>
      </w:r>
      <w:r w:rsidR="00877A06" w:rsidRPr="008379CA">
        <w:rPr>
          <w:rFonts w:ascii="Bookman Old Style" w:hAnsi="Bookman Old Style" w:cs="Arial"/>
          <w:sz w:val="24"/>
          <w:szCs w:val="24"/>
          <w:lang w:val="sv-FI"/>
        </w:rPr>
        <w:t>Kantor-Bahan</w:t>
      </w:r>
      <w:r w:rsidR="00A954D0" w:rsidRPr="008379CA">
        <w:rPr>
          <w:rFonts w:ascii="Bookman Old Style" w:hAnsi="Bookman Old Style" w:cs="Arial"/>
          <w:sz w:val="24"/>
          <w:szCs w:val="24"/>
          <w:lang w:val="sv-FI"/>
        </w:rPr>
        <w:t xml:space="preserve"> </w:t>
      </w:r>
      <w:r w:rsidR="00877A06" w:rsidRPr="008379CA">
        <w:rPr>
          <w:rFonts w:ascii="Bookman Old Style" w:hAnsi="Bookman Old Style" w:cs="Arial"/>
          <w:sz w:val="24"/>
          <w:szCs w:val="24"/>
          <w:lang w:val="sv-FI"/>
        </w:rPr>
        <w:t>Cetak</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Rp285.787.500,00;</w:t>
      </w:r>
    </w:p>
    <w:p w14:paraId="4C02D058" w14:textId="66B68523" w:rsidR="007006A6" w:rsidRPr="008379CA" w:rsidRDefault="007006A6">
      <w:pPr>
        <w:pStyle w:val="ListParagraph"/>
        <w:numPr>
          <w:ilvl w:val="0"/>
          <w:numId w:val="184"/>
        </w:numPr>
        <w:shd w:val="clear" w:color="auto" w:fill="FFFFFF" w:themeFill="background1"/>
        <w:spacing w:before="60" w:after="0" w:line="276" w:lineRule="auto"/>
        <w:ind w:left="2268" w:hanging="567"/>
        <w:contextualSpacing w:val="0"/>
        <w:jc w:val="both"/>
        <w:rPr>
          <w:rFonts w:ascii="Bookman Old Style" w:hAnsi="Bookman Old Style" w:cs="Arial"/>
          <w:sz w:val="24"/>
          <w:szCs w:val="24"/>
          <w:lang w:val="sv-FI"/>
        </w:rPr>
      </w:pPr>
      <w:r w:rsidRPr="008379CA">
        <w:rPr>
          <w:rFonts w:ascii="Bookman Old Style" w:hAnsi="Bookman Old Style" w:cs="Arial"/>
          <w:sz w:val="24"/>
          <w:szCs w:val="24"/>
          <w:lang w:val="sv-FI"/>
        </w:rPr>
        <w:t>Belanja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Alat/Bahan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untuk</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Kegiatan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Kantor</w:t>
      </w:r>
      <w:r w:rsidR="00592871" w:rsidRPr="008379CA">
        <w:rPr>
          <w:rFonts w:ascii="Bookman Old Style" w:hAnsi="Bookman Old Style" w:cs="Arial"/>
          <w:sz w:val="24"/>
          <w:szCs w:val="24"/>
          <w:lang w:val="sv-FI"/>
        </w:rPr>
        <w:t>-</w:t>
      </w:r>
      <w:r w:rsidRPr="008379CA">
        <w:rPr>
          <w:rFonts w:ascii="Bookman Old Style" w:hAnsi="Bookman Old Style" w:cs="Arial"/>
          <w:sz w:val="24"/>
          <w:szCs w:val="24"/>
          <w:lang w:val="sv-FI"/>
        </w:rPr>
        <w:t>Suvenir/Cendera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Mata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Rp7.202.400,00;</w:t>
      </w:r>
    </w:p>
    <w:p w14:paraId="22FF96E3" w14:textId="36F44F00" w:rsidR="007006A6" w:rsidRPr="008379CA" w:rsidRDefault="007006A6">
      <w:pPr>
        <w:pStyle w:val="ListParagraph"/>
        <w:numPr>
          <w:ilvl w:val="0"/>
          <w:numId w:val="184"/>
        </w:numPr>
        <w:shd w:val="clear" w:color="auto" w:fill="FFFFFF" w:themeFill="background1"/>
        <w:spacing w:before="60" w:after="0" w:line="276" w:lineRule="auto"/>
        <w:ind w:left="2268" w:hanging="567"/>
        <w:contextualSpacing w:val="0"/>
        <w:jc w:val="both"/>
        <w:rPr>
          <w:rFonts w:ascii="Bookman Old Style" w:hAnsi="Bookman Old Style" w:cs="Arial"/>
          <w:sz w:val="24"/>
          <w:szCs w:val="24"/>
          <w:lang w:val="en-US"/>
        </w:rPr>
      </w:pPr>
      <w:r w:rsidRPr="008379CA">
        <w:rPr>
          <w:rFonts w:ascii="Bookman Old Style" w:hAnsi="Bookman Old Style" w:cs="Arial"/>
          <w:sz w:val="24"/>
          <w:szCs w:val="24"/>
          <w:lang w:val="en-US"/>
        </w:rPr>
        <w:t>Honorarium</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Narasumber</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atau</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Pembahas,</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Moderator,</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Pembawa</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Acara,</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dan</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Panitia</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Rp153.800.000,00;</w:t>
      </w:r>
      <w:r w:rsidR="00A954D0" w:rsidRPr="008379CA">
        <w:rPr>
          <w:rFonts w:ascii="Bookman Old Style" w:hAnsi="Bookman Old Style" w:cs="Arial"/>
          <w:sz w:val="24"/>
          <w:szCs w:val="24"/>
          <w:lang w:val="en-US"/>
        </w:rPr>
        <w:t xml:space="preserve"> </w:t>
      </w:r>
    </w:p>
    <w:p w14:paraId="424C50EA" w14:textId="03A17059" w:rsidR="007006A6" w:rsidRPr="008379CA" w:rsidRDefault="007006A6">
      <w:pPr>
        <w:pStyle w:val="ListParagraph"/>
        <w:numPr>
          <w:ilvl w:val="0"/>
          <w:numId w:val="184"/>
        </w:numPr>
        <w:shd w:val="clear" w:color="auto" w:fill="FFFFFF" w:themeFill="background1"/>
        <w:spacing w:before="60" w:after="0" w:line="276" w:lineRule="auto"/>
        <w:ind w:left="2268" w:hanging="567"/>
        <w:contextualSpacing w:val="0"/>
        <w:jc w:val="both"/>
        <w:rPr>
          <w:rFonts w:ascii="Bookman Old Style" w:hAnsi="Bookman Old Style" w:cs="Arial"/>
          <w:sz w:val="24"/>
          <w:szCs w:val="24"/>
          <w:lang w:val="sv-FI"/>
        </w:rPr>
      </w:pPr>
      <w:r w:rsidRPr="008379CA">
        <w:rPr>
          <w:rFonts w:ascii="Bookman Old Style" w:hAnsi="Bookman Old Style" w:cs="Arial"/>
          <w:sz w:val="24"/>
          <w:szCs w:val="24"/>
          <w:lang w:val="sv-FI"/>
        </w:rPr>
        <w:t>Belanja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Jasa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Juri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Perlombaan/Pertandingan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Rp32.000.000,00;</w:t>
      </w:r>
    </w:p>
    <w:p w14:paraId="04C901AB" w14:textId="16AD83C0" w:rsidR="007006A6" w:rsidRPr="008379CA" w:rsidRDefault="007006A6">
      <w:pPr>
        <w:pStyle w:val="ListParagraph"/>
        <w:numPr>
          <w:ilvl w:val="0"/>
          <w:numId w:val="184"/>
        </w:numPr>
        <w:shd w:val="clear" w:color="auto" w:fill="FFFFFF" w:themeFill="background1"/>
        <w:spacing w:before="60" w:after="0" w:line="276" w:lineRule="auto"/>
        <w:ind w:left="2268" w:hanging="567"/>
        <w:contextualSpacing w:val="0"/>
        <w:jc w:val="both"/>
        <w:rPr>
          <w:rFonts w:ascii="Bookman Old Style" w:hAnsi="Bookman Old Style" w:cs="Arial"/>
          <w:sz w:val="24"/>
          <w:szCs w:val="24"/>
          <w:lang w:val="sv-FI"/>
        </w:rPr>
      </w:pPr>
      <w:r w:rsidRPr="008379CA">
        <w:rPr>
          <w:rFonts w:ascii="Bookman Old Style" w:hAnsi="Bookman Old Style" w:cs="Arial"/>
          <w:sz w:val="24"/>
          <w:szCs w:val="24"/>
          <w:lang w:val="sv-FI"/>
        </w:rPr>
        <w:t>Belanja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Hadiah</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yang</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Bersifat</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Perlombaan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Rp12.000.000,00.</w:t>
      </w:r>
    </w:p>
    <w:p w14:paraId="2E51BCBD" w14:textId="46D669DE" w:rsidR="007006A6" w:rsidRPr="008379CA" w:rsidRDefault="007006A6">
      <w:pPr>
        <w:pStyle w:val="ListParagraph"/>
        <w:numPr>
          <w:ilvl w:val="0"/>
          <w:numId w:val="178"/>
        </w:numPr>
        <w:shd w:val="clear" w:color="auto" w:fill="FFFFFF" w:themeFill="background1"/>
        <w:spacing w:before="60" w:after="0" w:line="276" w:lineRule="auto"/>
        <w:ind w:left="1701" w:hanging="425"/>
        <w:contextualSpacing w:val="0"/>
        <w:jc w:val="both"/>
        <w:rPr>
          <w:rFonts w:ascii="Bookman Old Style" w:hAnsi="Bookman Old Style" w:cs="Arial"/>
          <w:sz w:val="24"/>
          <w:szCs w:val="24"/>
          <w:lang w:val="sv-FI"/>
        </w:rPr>
      </w:pPr>
      <w:r w:rsidRPr="008379CA">
        <w:rPr>
          <w:rFonts w:ascii="Bookman Old Style" w:hAnsi="Bookman Old Style" w:cs="Arial"/>
          <w:sz w:val="24"/>
          <w:szCs w:val="24"/>
          <w:lang w:val="sv-FI"/>
        </w:rPr>
        <w:t>Penyediaan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Sub</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Sistem</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Pengolahan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Air</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Limbah</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Domestik</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(SPALD)</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Setempat</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pada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Dinas</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Perumahan,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Permukiman</w:t>
      </w:r>
      <w:r w:rsidR="00A954D0" w:rsidRPr="008379CA">
        <w:rPr>
          <w:rFonts w:ascii="Bookman Old Style" w:hAnsi="Bookman Old Style" w:cs="Arial"/>
          <w:sz w:val="24"/>
          <w:szCs w:val="24"/>
          <w:lang w:val="sv-FI"/>
        </w:rPr>
        <w:t xml:space="preserve"> </w:t>
      </w:r>
      <w:r w:rsidR="00223B65" w:rsidRPr="008379CA">
        <w:rPr>
          <w:rFonts w:ascii="Bookman Old Style" w:hAnsi="Bookman Old Style" w:cs="Arial"/>
          <w:sz w:val="24"/>
          <w:szCs w:val="24"/>
          <w:lang w:val="sv-FI"/>
        </w:rPr>
        <w:t>d</w:t>
      </w:r>
      <w:r w:rsidRPr="008379CA">
        <w:rPr>
          <w:rFonts w:ascii="Bookman Old Style" w:hAnsi="Bookman Old Style" w:cs="Arial"/>
          <w:sz w:val="24"/>
          <w:szCs w:val="24"/>
          <w:lang w:val="sv-FI"/>
        </w:rPr>
        <w:t>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Pertanahan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Rp1.567.570.600,00</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dengan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alokasi</w:t>
      </w:r>
      <w:r w:rsidR="00A954D0" w:rsidRPr="008379CA">
        <w:rPr>
          <w:rFonts w:ascii="Bookman Old Style" w:hAnsi="Bookman Old Style" w:cs="Arial"/>
          <w:sz w:val="24"/>
          <w:szCs w:val="24"/>
          <w:lang w:val="sv-FI"/>
        </w:rPr>
        <w:t xml:space="preserve"> </w:t>
      </w:r>
      <w:r w:rsidRPr="008379CA">
        <w:rPr>
          <w:rFonts w:ascii="Bookman Old Style" w:eastAsia="Bookman Old Style" w:hAnsi="Bookman Old Style" w:cs="Bookman Old Style"/>
          <w:sz w:val="24"/>
          <w:szCs w:val="24"/>
          <w:lang w:val="sv-FI" w:eastAsia="en-US"/>
        </w:rPr>
        <w:t>p</w:t>
      </w:r>
      <w:r w:rsidRPr="008379CA">
        <w:rPr>
          <w:rFonts w:ascii="Bookman Old Style" w:eastAsia="Bookman Old Style" w:hAnsi="Bookman Old Style" w:cs="Bookman Old Style"/>
          <w:sz w:val="24"/>
          <w:szCs w:val="24"/>
          <w:lang w:val="id-ID"/>
        </w:rPr>
        <w:t>erhitungan</w:t>
      </w:r>
      <w:r w:rsidR="00A954D0" w:rsidRPr="008379CA">
        <w:rPr>
          <w:rFonts w:ascii="Bookman Old Style" w:eastAsia="Bookman Old Style" w:hAnsi="Bookman Old Style" w:cs="Bookman Old Style"/>
          <w:sz w:val="24"/>
          <w:szCs w:val="24"/>
          <w:lang w:val="id-ID"/>
        </w:rPr>
        <w:t xml:space="preserve"> </w:t>
      </w:r>
      <w:r w:rsidRPr="008379CA">
        <w:rPr>
          <w:rFonts w:ascii="Bookman Old Style" w:eastAsia="Bookman Old Style" w:hAnsi="Bookman Old Style" w:cs="Bookman Old Style"/>
          <w:sz w:val="24"/>
          <w:szCs w:val="24"/>
          <w:lang w:val="id-ID"/>
        </w:rPr>
        <w:t>bobot</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penanganan</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stunting</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hAnsi="Bookman Old Style" w:cs="Arial"/>
          <w:sz w:val="24"/>
          <w:szCs w:val="24"/>
          <w:lang w:val="sv-FI"/>
        </w:rPr>
        <w:t>sebesar</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Rp391.892.650,00</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atau</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0</w:t>
      </w:r>
      <w:r w:rsidR="0033301C" w:rsidRPr="008379CA">
        <w:rPr>
          <w:rFonts w:ascii="Bookman Old Style" w:hAnsi="Bookman Old Style" w:cs="Arial"/>
          <w:sz w:val="24"/>
          <w:szCs w:val="24"/>
          <w:lang w:val="sv-FI"/>
        </w:rPr>
        <w:t>,</w:t>
      </w:r>
      <w:r w:rsidRPr="008379CA">
        <w:rPr>
          <w:rFonts w:ascii="Bookman Old Style" w:hAnsi="Bookman Old Style" w:cs="Arial"/>
          <w:sz w:val="24"/>
          <w:szCs w:val="24"/>
          <w:lang w:val="sv-FI"/>
        </w:rPr>
        <w:t>21%</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dari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total</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Alokasi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Penanganan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Stunting</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dengan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target</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150</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Rumah</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Tangga,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yang</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diuraikan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ke</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dalam</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sub</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rincian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objek</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belanja:</w:t>
      </w:r>
    </w:p>
    <w:p w14:paraId="10C25A4E" w14:textId="4EE868B8" w:rsidR="007006A6" w:rsidRPr="008379CA" w:rsidRDefault="007006A6">
      <w:pPr>
        <w:pStyle w:val="ListParagraph"/>
        <w:numPr>
          <w:ilvl w:val="0"/>
          <w:numId w:val="185"/>
        </w:numPr>
        <w:shd w:val="clear" w:color="auto" w:fill="FFFFFF" w:themeFill="background1"/>
        <w:spacing w:before="60" w:after="0" w:line="276" w:lineRule="auto"/>
        <w:ind w:hanging="502"/>
        <w:contextualSpacing w:val="0"/>
        <w:jc w:val="both"/>
        <w:rPr>
          <w:rFonts w:ascii="Bookman Old Style" w:hAnsi="Bookman Old Style" w:cs="Arial"/>
          <w:sz w:val="24"/>
          <w:szCs w:val="24"/>
          <w:lang w:val="sv-FI"/>
        </w:rPr>
      </w:pPr>
      <w:r w:rsidRPr="008379CA">
        <w:rPr>
          <w:rFonts w:ascii="Bookman Old Style" w:hAnsi="Bookman Old Style" w:cs="Arial"/>
          <w:sz w:val="24"/>
          <w:szCs w:val="24"/>
          <w:lang w:val="sv-FI"/>
        </w:rPr>
        <w:t>Belanja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Alat/Bahan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untuk</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Kegiatan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Kantor-Bahan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Cetak</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Rp756.800,00;</w:t>
      </w:r>
    </w:p>
    <w:p w14:paraId="0B0F2C4B" w14:textId="55E55988" w:rsidR="007006A6" w:rsidRPr="008379CA" w:rsidRDefault="007006A6">
      <w:pPr>
        <w:pStyle w:val="ListParagraph"/>
        <w:numPr>
          <w:ilvl w:val="0"/>
          <w:numId w:val="185"/>
        </w:numPr>
        <w:shd w:val="clear" w:color="auto" w:fill="FFFFFF" w:themeFill="background1"/>
        <w:spacing w:before="60" w:after="0" w:line="276" w:lineRule="auto"/>
        <w:ind w:hanging="502"/>
        <w:contextualSpacing w:val="0"/>
        <w:jc w:val="both"/>
        <w:rPr>
          <w:rFonts w:ascii="Bookman Old Style" w:hAnsi="Bookman Old Style" w:cs="Arial"/>
          <w:sz w:val="24"/>
          <w:szCs w:val="24"/>
          <w:lang w:val="sv-FI"/>
        </w:rPr>
      </w:pPr>
      <w:r w:rsidRPr="008379CA">
        <w:rPr>
          <w:rFonts w:ascii="Bookman Old Style" w:hAnsi="Bookman Old Style" w:cs="Arial"/>
          <w:sz w:val="24"/>
          <w:szCs w:val="24"/>
          <w:lang w:val="sv-FI"/>
        </w:rPr>
        <w:t>Belanja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Barang</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untuk</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Dijual/Diserahkan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kepada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Masyarakat</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Rp1.526.096.000,00;</w:t>
      </w:r>
    </w:p>
    <w:p w14:paraId="6022F76F" w14:textId="7E4C4ABB" w:rsidR="007006A6" w:rsidRPr="008379CA" w:rsidRDefault="007006A6">
      <w:pPr>
        <w:pStyle w:val="ListParagraph"/>
        <w:numPr>
          <w:ilvl w:val="0"/>
          <w:numId w:val="185"/>
        </w:numPr>
        <w:shd w:val="clear" w:color="auto" w:fill="FFFFFF" w:themeFill="background1"/>
        <w:spacing w:before="60" w:after="0" w:line="276" w:lineRule="auto"/>
        <w:ind w:hanging="502"/>
        <w:contextualSpacing w:val="0"/>
        <w:jc w:val="both"/>
        <w:rPr>
          <w:rFonts w:ascii="Bookman Old Style" w:hAnsi="Bookman Old Style" w:cs="Arial"/>
          <w:sz w:val="24"/>
          <w:szCs w:val="24"/>
          <w:lang w:val="sv-FI"/>
        </w:rPr>
      </w:pPr>
      <w:r w:rsidRPr="008379CA">
        <w:rPr>
          <w:rFonts w:ascii="Bookman Old Style" w:hAnsi="Bookman Old Style" w:cs="Arial"/>
          <w:sz w:val="24"/>
          <w:szCs w:val="24"/>
          <w:lang w:val="sv-FI"/>
        </w:rPr>
        <w:t>Belanja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Jasa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Konsultansi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Pengawasan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Rekayasa-Jasa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Pengawas</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Pekerjaan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Konstruksi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Teknik</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Sipil</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Air</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Rp40.717.800,00.</w:t>
      </w:r>
    </w:p>
    <w:p w14:paraId="387B5463" w14:textId="6AB5AF2C" w:rsidR="007006A6" w:rsidRPr="008379CA" w:rsidRDefault="007006A6">
      <w:pPr>
        <w:pStyle w:val="ListParagraph"/>
        <w:numPr>
          <w:ilvl w:val="0"/>
          <w:numId w:val="178"/>
        </w:numPr>
        <w:shd w:val="clear" w:color="auto" w:fill="FFFFFF" w:themeFill="background1"/>
        <w:spacing w:before="60" w:after="0" w:line="276" w:lineRule="auto"/>
        <w:ind w:left="1701" w:hanging="425"/>
        <w:contextualSpacing w:val="0"/>
        <w:jc w:val="both"/>
        <w:rPr>
          <w:rFonts w:ascii="Bookman Old Style" w:hAnsi="Bookman Old Style" w:cs="Arial"/>
          <w:sz w:val="24"/>
          <w:szCs w:val="24"/>
          <w:lang w:val="sv-FI"/>
        </w:rPr>
      </w:pPr>
      <w:r w:rsidRPr="008379CA">
        <w:rPr>
          <w:rFonts w:ascii="Bookman Old Style" w:hAnsi="Bookman Old Style" w:cs="Arial"/>
          <w:sz w:val="24"/>
          <w:szCs w:val="24"/>
          <w:lang w:val="sv-FI"/>
        </w:rPr>
        <w:t>Pengadaan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Obat,</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Bahan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Habis</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Pakai,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Bahan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Medis</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Habis</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Pakai,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Vaksin,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Makanan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Minuman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Fasilitas</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Kesehatan</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pada</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Dinas</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Kesehatan</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Rp29.169.310.040,00</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hAnsi="Bookman Old Style" w:cs="Arial"/>
          <w:sz w:val="24"/>
          <w:szCs w:val="24"/>
          <w:lang w:val="sv-FI"/>
        </w:rPr>
        <w:t>dengan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alokasi</w:t>
      </w:r>
      <w:r w:rsidR="00A954D0" w:rsidRPr="008379CA">
        <w:rPr>
          <w:rFonts w:ascii="Bookman Old Style" w:hAnsi="Bookman Old Style" w:cs="Arial"/>
          <w:sz w:val="24"/>
          <w:szCs w:val="24"/>
          <w:lang w:val="sv-FI"/>
        </w:rPr>
        <w:t xml:space="preserve"> </w:t>
      </w:r>
      <w:r w:rsidRPr="008379CA">
        <w:rPr>
          <w:rFonts w:ascii="Bookman Old Style" w:eastAsia="Bookman Old Style" w:hAnsi="Bookman Old Style" w:cs="Bookman Old Style"/>
          <w:sz w:val="24"/>
          <w:szCs w:val="24"/>
          <w:lang w:val="sv-FI" w:eastAsia="en-US"/>
        </w:rPr>
        <w:t>p</w:t>
      </w:r>
      <w:r w:rsidRPr="008379CA">
        <w:rPr>
          <w:rFonts w:ascii="Bookman Old Style" w:eastAsia="Bookman Old Style" w:hAnsi="Bookman Old Style" w:cs="Bookman Old Style"/>
          <w:sz w:val="24"/>
          <w:szCs w:val="24"/>
          <w:lang w:val="id-ID"/>
        </w:rPr>
        <w:t>erhitungan</w:t>
      </w:r>
      <w:r w:rsidR="00A954D0" w:rsidRPr="008379CA">
        <w:rPr>
          <w:rFonts w:ascii="Bookman Old Style" w:eastAsia="Bookman Old Style" w:hAnsi="Bookman Old Style" w:cs="Bookman Old Style"/>
          <w:sz w:val="24"/>
          <w:szCs w:val="24"/>
          <w:lang w:val="id-ID"/>
        </w:rPr>
        <w:t xml:space="preserve"> </w:t>
      </w:r>
      <w:r w:rsidRPr="008379CA">
        <w:rPr>
          <w:rFonts w:ascii="Bookman Old Style" w:eastAsia="Bookman Old Style" w:hAnsi="Bookman Old Style" w:cs="Bookman Old Style"/>
          <w:sz w:val="24"/>
          <w:szCs w:val="24"/>
          <w:lang w:val="id-ID"/>
        </w:rPr>
        <w:t>bobot</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penanganan</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stunting</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sebesar</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Rp11.025.999.195,12</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atau</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3</w:t>
      </w:r>
      <w:r w:rsidR="001E25EE" w:rsidRPr="008379CA">
        <w:rPr>
          <w:rFonts w:ascii="Bookman Old Style" w:eastAsia="Bookman Old Style" w:hAnsi="Bookman Old Style" w:cs="Bookman Old Style"/>
          <w:sz w:val="24"/>
          <w:szCs w:val="24"/>
          <w:lang w:val="sv-FI" w:eastAsia="en-US"/>
        </w:rPr>
        <w:t>,</w:t>
      </w:r>
      <w:r w:rsidRPr="008379CA">
        <w:rPr>
          <w:rFonts w:ascii="Bookman Old Style" w:eastAsia="Bookman Old Style" w:hAnsi="Bookman Old Style" w:cs="Bookman Old Style"/>
          <w:sz w:val="24"/>
          <w:szCs w:val="24"/>
          <w:lang w:val="sv-FI" w:eastAsia="en-US"/>
        </w:rPr>
        <w:t>84%</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dari</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total</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Alokasi</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Penanganan</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Stunting</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dengan</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target</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3</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Paket,</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yang</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diuraikan</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ke</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dalam</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sub</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rincian</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objek</w:t>
      </w:r>
      <w:r w:rsidR="00A954D0" w:rsidRPr="008379CA">
        <w:rPr>
          <w:rFonts w:ascii="Bookman Old Style" w:eastAsia="Bookman Old Style" w:hAnsi="Bookman Old Style" w:cs="Bookman Old Style"/>
          <w:sz w:val="24"/>
          <w:szCs w:val="24"/>
          <w:lang w:val="sv-FI" w:eastAsia="en-US"/>
        </w:rPr>
        <w:t xml:space="preserve"> </w:t>
      </w:r>
      <w:r w:rsidRPr="008379CA">
        <w:rPr>
          <w:rFonts w:ascii="Bookman Old Style" w:eastAsia="Bookman Old Style" w:hAnsi="Bookman Old Style" w:cs="Bookman Old Style"/>
          <w:sz w:val="24"/>
          <w:szCs w:val="24"/>
          <w:lang w:val="sv-FI" w:eastAsia="en-US"/>
        </w:rPr>
        <w:t>belanja:</w:t>
      </w:r>
    </w:p>
    <w:p w14:paraId="6E61257D" w14:textId="71AA031A" w:rsidR="007006A6" w:rsidRPr="008379CA" w:rsidRDefault="007006A6">
      <w:pPr>
        <w:pStyle w:val="ListParagraph"/>
        <w:numPr>
          <w:ilvl w:val="0"/>
          <w:numId w:val="186"/>
        </w:numPr>
        <w:shd w:val="clear" w:color="auto" w:fill="FFFFFF" w:themeFill="background1"/>
        <w:spacing w:before="60" w:after="0" w:line="276" w:lineRule="auto"/>
        <w:ind w:hanging="502"/>
        <w:contextualSpacing w:val="0"/>
        <w:jc w:val="both"/>
        <w:rPr>
          <w:rFonts w:ascii="Bookman Old Style" w:hAnsi="Bookman Old Style" w:cs="Arial"/>
          <w:sz w:val="24"/>
          <w:szCs w:val="24"/>
          <w:lang w:val="sv-FI"/>
        </w:rPr>
      </w:pPr>
      <w:r w:rsidRPr="008379CA">
        <w:rPr>
          <w:rFonts w:ascii="Bookman Old Style" w:hAnsi="Bookman Old Style" w:cs="Arial"/>
          <w:sz w:val="24"/>
          <w:szCs w:val="24"/>
          <w:lang w:val="sv-FI"/>
        </w:rPr>
        <w:t>Belanja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Bahan-Bahan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Kimia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Rp23.169.310.040,00;</w:t>
      </w:r>
    </w:p>
    <w:p w14:paraId="1FE83036" w14:textId="17801C38" w:rsidR="007006A6" w:rsidRPr="008379CA" w:rsidRDefault="007006A6">
      <w:pPr>
        <w:pStyle w:val="ListParagraph"/>
        <w:numPr>
          <w:ilvl w:val="0"/>
          <w:numId w:val="186"/>
        </w:numPr>
        <w:shd w:val="clear" w:color="auto" w:fill="FFFFFF" w:themeFill="background1"/>
        <w:spacing w:before="60" w:after="0" w:line="276" w:lineRule="auto"/>
        <w:ind w:hanging="502"/>
        <w:contextualSpacing w:val="0"/>
        <w:jc w:val="both"/>
        <w:rPr>
          <w:rFonts w:ascii="Bookman Old Style" w:hAnsi="Bookman Old Style" w:cs="Arial"/>
          <w:sz w:val="24"/>
          <w:szCs w:val="24"/>
          <w:lang w:val="sv-FI"/>
        </w:rPr>
      </w:pPr>
      <w:r w:rsidRPr="008379CA">
        <w:rPr>
          <w:rFonts w:ascii="Bookman Old Style" w:hAnsi="Bookman Old Style" w:cs="Arial"/>
          <w:sz w:val="24"/>
          <w:szCs w:val="24"/>
          <w:lang w:val="sv-FI"/>
        </w:rPr>
        <w:t>Belanja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Obat-Obatan-Obat</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Rp6.000.000.000,00.</w:t>
      </w:r>
    </w:p>
    <w:p w14:paraId="298E4E93" w14:textId="589313AC" w:rsidR="007006A6" w:rsidRPr="008379CA" w:rsidRDefault="007006A6" w:rsidP="008E4A82">
      <w:pPr>
        <w:spacing w:before="60" w:line="276" w:lineRule="auto"/>
        <w:ind w:left="1276"/>
        <w:jc w:val="both"/>
        <w:rPr>
          <w:rFonts w:ascii="Bookman Old Style" w:hAnsi="Bookman Old Style" w:cs="Arial"/>
          <w:lang w:val="id-ID"/>
        </w:rPr>
      </w:pPr>
      <w:r w:rsidRPr="008379CA">
        <w:rPr>
          <w:rFonts w:ascii="Bookman Old Style" w:hAnsi="Bookman Old Style" w:cs="Arial"/>
          <w:lang w:val="id-ID"/>
        </w:rPr>
        <w:t>Untuk</w:t>
      </w:r>
      <w:r w:rsidR="00A954D0" w:rsidRPr="008379CA">
        <w:rPr>
          <w:rFonts w:ascii="Bookman Old Style" w:hAnsi="Bookman Old Style" w:cs="Arial"/>
          <w:lang w:val="id-ID"/>
        </w:rPr>
        <w:t xml:space="preserve"> </w:t>
      </w:r>
      <w:r w:rsidRPr="008379CA">
        <w:rPr>
          <w:rFonts w:ascii="Bookman Old Style" w:hAnsi="Bookman Old Style" w:cs="Arial"/>
          <w:lang w:val="id-ID"/>
        </w:rPr>
        <w:t>itu,</w:t>
      </w:r>
      <w:r w:rsidR="00A954D0" w:rsidRPr="008379CA">
        <w:rPr>
          <w:rFonts w:ascii="Bookman Old Style" w:hAnsi="Bookman Old Style" w:cs="Arial"/>
          <w:lang w:val="id-ID"/>
        </w:rPr>
        <w:t xml:space="preserve"> </w:t>
      </w:r>
      <w:r w:rsidRPr="008379CA">
        <w:rPr>
          <w:rFonts w:ascii="Bookman Old Style" w:hAnsi="Bookman Old Style" w:cs="Arial"/>
          <w:lang w:val="id-ID"/>
        </w:rPr>
        <w:t>Pemerintah</w:t>
      </w:r>
      <w:r w:rsidR="00A954D0" w:rsidRPr="008379CA">
        <w:rPr>
          <w:rFonts w:ascii="Bookman Old Style" w:hAnsi="Bookman Old Style" w:cs="Arial"/>
          <w:lang w:val="id-ID"/>
        </w:rPr>
        <w:t xml:space="preserve"> </w:t>
      </w:r>
      <w:r w:rsidRPr="008379CA">
        <w:rPr>
          <w:rFonts w:ascii="Bookman Old Style" w:hAnsi="Bookman Old Style" w:cs="Arial"/>
          <w:lang w:val="id-ID"/>
        </w:rPr>
        <w:t>Daerah</w:t>
      </w:r>
      <w:r w:rsidR="00A954D0" w:rsidRPr="008379CA">
        <w:rPr>
          <w:rFonts w:ascii="Bookman Old Style" w:hAnsi="Bookman Old Style" w:cs="Arial"/>
          <w:lang w:val="id-ID"/>
        </w:rPr>
        <w:t xml:space="preserve"> </w:t>
      </w:r>
      <w:r w:rsidRPr="008379CA">
        <w:rPr>
          <w:rFonts w:ascii="Bookman Old Style" w:hAnsi="Bookman Old Style"/>
          <w:lang w:val="fi-FI"/>
        </w:rPr>
        <w:t>Kota</w:t>
      </w:r>
      <w:r w:rsidR="00A954D0" w:rsidRPr="008379CA">
        <w:rPr>
          <w:rFonts w:ascii="Bookman Old Style" w:hAnsi="Bookman Old Style"/>
          <w:lang w:val="fi-FI"/>
        </w:rPr>
        <w:t xml:space="preserve"> </w:t>
      </w:r>
      <w:r w:rsidRPr="008379CA">
        <w:rPr>
          <w:rFonts w:ascii="Bookman Old Style" w:hAnsi="Bookman Old Style"/>
          <w:lang w:val="fi-FI"/>
        </w:rPr>
        <w:t>Tangerang</w:t>
      </w:r>
      <w:r w:rsidR="00A954D0" w:rsidRPr="008379CA">
        <w:rPr>
          <w:rFonts w:ascii="Bookman Old Style" w:hAnsi="Bookman Old Style" w:cs="Arial"/>
          <w:lang w:val="id-ID"/>
        </w:rPr>
        <w:t xml:space="preserve"> </w:t>
      </w:r>
      <w:r w:rsidRPr="008379CA">
        <w:rPr>
          <w:rFonts w:ascii="Bookman Old Style" w:hAnsi="Bookman Old Style" w:cs="Arial"/>
          <w:lang w:val="id-ID"/>
        </w:rPr>
        <w:t>harus</w:t>
      </w:r>
      <w:r w:rsidR="00A954D0" w:rsidRPr="008379CA">
        <w:rPr>
          <w:rFonts w:ascii="Bookman Old Style" w:hAnsi="Bookman Old Style" w:cs="Arial"/>
          <w:lang w:val="id-ID"/>
        </w:rPr>
        <w:t xml:space="preserve"> </w:t>
      </w:r>
      <w:r w:rsidRPr="008379CA">
        <w:rPr>
          <w:rFonts w:ascii="Bookman Old Style" w:hAnsi="Bookman Old Style" w:cs="Arial"/>
          <w:lang w:val="id-ID"/>
        </w:rPr>
        <w:t>memprioritaskan</w:t>
      </w:r>
      <w:r w:rsidR="00A954D0" w:rsidRPr="008379CA">
        <w:rPr>
          <w:rFonts w:ascii="Bookman Old Style" w:hAnsi="Bookman Old Style" w:cs="Arial"/>
          <w:lang w:val="id-ID"/>
        </w:rPr>
        <w:t xml:space="preserve"> </w:t>
      </w:r>
      <w:r w:rsidRPr="008379CA">
        <w:rPr>
          <w:rFonts w:ascii="Bookman Old Style" w:hAnsi="Bookman Old Style" w:cs="Arial"/>
          <w:lang w:val="id-ID"/>
        </w:rPr>
        <w:t>alokasi</w:t>
      </w:r>
      <w:r w:rsidR="00A954D0" w:rsidRPr="008379CA">
        <w:rPr>
          <w:rFonts w:ascii="Bookman Old Style" w:hAnsi="Bookman Old Style" w:cs="Arial"/>
          <w:lang w:val="id-ID"/>
        </w:rPr>
        <w:t xml:space="preserve"> </w:t>
      </w:r>
      <w:r w:rsidRPr="008379CA">
        <w:rPr>
          <w:rFonts w:ascii="Bookman Old Style" w:hAnsi="Bookman Old Style" w:cs="Arial"/>
          <w:lang w:val="id-ID"/>
        </w:rPr>
        <w:t>anggaran</w:t>
      </w:r>
      <w:r w:rsidR="00A954D0" w:rsidRPr="008379CA">
        <w:rPr>
          <w:rFonts w:ascii="Bookman Old Style" w:hAnsi="Bookman Old Style" w:cs="Arial"/>
          <w:lang w:val="id-ID"/>
        </w:rPr>
        <w:t xml:space="preserve"> </w:t>
      </w:r>
      <w:r w:rsidRPr="008379CA">
        <w:rPr>
          <w:rFonts w:ascii="Bookman Old Style" w:hAnsi="Bookman Old Style" w:cs="Arial"/>
          <w:lang w:val="id-ID"/>
        </w:rPr>
        <w:t>belanja</w:t>
      </w:r>
      <w:r w:rsidR="00A954D0" w:rsidRPr="008379CA">
        <w:rPr>
          <w:rFonts w:ascii="Bookman Old Style" w:hAnsi="Bookman Old Style" w:cs="Arial"/>
          <w:lang w:val="id-ID"/>
        </w:rPr>
        <w:t xml:space="preserve"> </w:t>
      </w:r>
      <w:r w:rsidRPr="008379CA">
        <w:rPr>
          <w:rFonts w:ascii="Bookman Old Style" w:hAnsi="Bookman Old Style" w:cs="Arial"/>
          <w:lang w:val="id-ID"/>
        </w:rPr>
        <w:t>pokok</w:t>
      </w:r>
      <w:r w:rsidR="00A954D0" w:rsidRPr="008379CA">
        <w:rPr>
          <w:rFonts w:ascii="Bookman Old Style" w:hAnsi="Bookman Old Style" w:cs="Arial"/>
          <w:lang w:val="id-ID"/>
        </w:rPr>
        <w:t xml:space="preserve"> </w:t>
      </w:r>
      <w:r w:rsidRPr="008379CA">
        <w:rPr>
          <w:rFonts w:ascii="Bookman Old Style" w:hAnsi="Bookman Old Style" w:cs="Arial"/>
          <w:lang w:val="id-ID"/>
        </w:rPr>
        <w:t>dibandingkan</w:t>
      </w:r>
      <w:r w:rsidR="00A954D0" w:rsidRPr="008379CA">
        <w:rPr>
          <w:rFonts w:ascii="Bookman Old Style" w:hAnsi="Bookman Old Style" w:cs="Arial"/>
          <w:lang w:val="id-ID"/>
        </w:rPr>
        <w:t xml:space="preserve"> </w:t>
      </w:r>
      <w:r w:rsidRPr="008379CA">
        <w:rPr>
          <w:rFonts w:ascii="Bookman Old Style" w:hAnsi="Bookman Old Style" w:cs="Arial"/>
          <w:lang w:val="id-ID"/>
        </w:rPr>
        <w:t>dengan</w:t>
      </w:r>
      <w:r w:rsidR="00A954D0" w:rsidRPr="008379CA">
        <w:rPr>
          <w:rFonts w:ascii="Bookman Old Style" w:hAnsi="Bookman Old Style" w:cs="Arial"/>
          <w:lang w:val="id-ID"/>
        </w:rPr>
        <w:t xml:space="preserve"> </w:t>
      </w:r>
      <w:r w:rsidRPr="008379CA">
        <w:rPr>
          <w:rFonts w:ascii="Bookman Old Style" w:hAnsi="Bookman Old Style" w:cs="Arial"/>
          <w:lang w:val="id-ID"/>
        </w:rPr>
        <w:t>alokasi</w:t>
      </w:r>
      <w:r w:rsidR="00A954D0" w:rsidRPr="008379CA">
        <w:rPr>
          <w:rFonts w:ascii="Bookman Old Style" w:hAnsi="Bookman Old Style" w:cs="Arial"/>
          <w:lang w:val="id-ID"/>
        </w:rPr>
        <w:t xml:space="preserve"> </w:t>
      </w:r>
      <w:r w:rsidRPr="008379CA">
        <w:rPr>
          <w:rFonts w:ascii="Bookman Old Style" w:hAnsi="Bookman Old Style" w:cs="Arial"/>
          <w:lang w:val="id-ID"/>
        </w:rPr>
        <w:t>anggaran</w:t>
      </w:r>
      <w:r w:rsidR="00A954D0" w:rsidRPr="008379CA">
        <w:rPr>
          <w:rFonts w:ascii="Bookman Old Style" w:hAnsi="Bookman Old Style" w:cs="Arial"/>
          <w:lang w:val="id-ID"/>
        </w:rPr>
        <w:t xml:space="preserve"> </w:t>
      </w:r>
      <w:r w:rsidRPr="008379CA">
        <w:rPr>
          <w:rFonts w:ascii="Bookman Old Style" w:hAnsi="Bookman Old Style" w:cs="Arial"/>
          <w:lang w:val="id-ID"/>
        </w:rPr>
        <w:t>belanja</w:t>
      </w:r>
      <w:r w:rsidR="00A954D0" w:rsidRPr="008379CA">
        <w:rPr>
          <w:rFonts w:ascii="Bookman Old Style" w:hAnsi="Bookman Old Style" w:cs="Arial"/>
          <w:lang w:val="id-ID"/>
        </w:rPr>
        <w:t xml:space="preserve"> </w:t>
      </w:r>
      <w:r w:rsidRPr="008379CA">
        <w:rPr>
          <w:rFonts w:ascii="Bookman Old Style" w:hAnsi="Bookman Old Style" w:cs="Arial"/>
          <w:lang w:val="id-ID"/>
        </w:rPr>
        <w:t>penunjang</w:t>
      </w:r>
      <w:r w:rsidR="00A954D0" w:rsidRPr="008379CA">
        <w:rPr>
          <w:rFonts w:ascii="Bookman Old Style" w:hAnsi="Bookman Old Style" w:cs="Arial"/>
          <w:lang w:val="id-ID"/>
        </w:rPr>
        <w:t xml:space="preserve"> </w:t>
      </w:r>
      <w:r w:rsidRPr="008379CA">
        <w:rPr>
          <w:rFonts w:ascii="Bookman Old Style" w:hAnsi="Bookman Old Style" w:cs="Arial"/>
          <w:lang w:val="id-ID"/>
        </w:rPr>
        <w:t>guna</w:t>
      </w:r>
      <w:r w:rsidR="00A954D0" w:rsidRPr="008379CA">
        <w:rPr>
          <w:rFonts w:ascii="Bookman Old Style" w:hAnsi="Bookman Old Style" w:cs="Arial"/>
          <w:lang w:val="id-ID"/>
        </w:rPr>
        <w:t xml:space="preserve"> </w:t>
      </w:r>
      <w:r w:rsidRPr="008379CA">
        <w:rPr>
          <w:rFonts w:ascii="Bookman Old Style" w:hAnsi="Bookman Old Style" w:cs="Arial"/>
          <w:lang w:val="id-ID"/>
        </w:rPr>
        <w:t>mendukung</w:t>
      </w:r>
      <w:r w:rsidR="00A954D0" w:rsidRPr="008379CA">
        <w:rPr>
          <w:rFonts w:ascii="Bookman Old Style" w:hAnsi="Bookman Old Style" w:cs="Arial"/>
          <w:lang w:val="id-ID"/>
        </w:rPr>
        <w:t xml:space="preserve"> </w:t>
      </w:r>
      <w:r w:rsidRPr="008379CA">
        <w:rPr>
          <w:rFonts w:ascii="Bookman Old Style" w:hAnsi="Bookman Old Style" w:cs="Arial"/>
          <w:lang w:val="id-ID"/>
        </w:rPr>
        <w:t>capaian</w:t>
      </w:r>
      <w:r w:rsidR="00A954D0" w:rsidRPr="008379CA">
        <w:rPr>
          <w:rFonts w:ascii="Bookman Old Style" w:hAnsi="Bookman Old Style" w:cs="Arial"/>
          <w:lang w:val="id-ID"/>
        </w:rPr>
        <w:t xml:space="preserve"> </w:t>
      </w:r>
      <w:r w:rsidRPr="008379CA">
        <w:rPr>
          <w:rFonts w:ascii="Bookman Old Style" w:hAnsi="Bookman Old Style" w:cs="Arial"/>
          <w:lang w:val="id-ID"/>
        </w:rPr>
        <w:t>target</w:t>
      </w:r>
      <w:r w:rsidR="00A954D0" w:rsidRPr="008379CA">
        <w:rPr>
          <w:rFonts w:ascii="Bookman Old Style" w:hAnsi="Bookman Old Style" w:cs="Arial"/>
          <w:lang w:val="id-ID"/>
        </w:rPr>
        <w:t xml:space="preserve"> </w:t>
      </w:r>
      <w:r w:rsidRPr="008379CA">
        <w:rPr>
          <w:rFonts w:ascii="Bookman Old Style" w:hAnsi="Bookman Old Style" w:cs="Arial"/>
          <w:lang w:val="id-ID"/>
        </w:rPr>
        <w:t>kinerja</w:t>
      </w:r>
      <w:r w:rsidR="00A954D0" w:rsidRPr="008379CA">
        <w:rPr>
          <w:rFonts w:ascii="Bookman Old Style" w:hAnsi="Bookman Old Style" w:cs="Arial"/>
          <w:lang w:val="id-ID"/>
        </w:rPr>
        <w:t xml:space="preserve"> </w:t>
      </w:r>
      <w:r w:rsidRPr="008379CA">
        <w:rPr>
          <w:rFonts w:ascii="Bookman Old Style" w:hAnsi="Bookman Old Style" w:cs="Arial"/>
          <w:lang w:val="id-ID"/>
        </w:rPr>
        <w:t>program,</w:t>
      </w:r>
      <w:r w:rsidR="00A954D0" w:rsidRPr="008379CA">
        <w:rPr>
          <w:rFonts w:ascii="Bookman Old Style" w:hAnsi="Bookman Old Style" w:cs="Arial"/>
          <w:lang w:val="id-ID"/>
        </w:rPr>
        <w:t xml:space="preserve"> </w:t>
      </w:r>
      <w:r w:rsidRPr="008379CA">
        <w:rPr>
          <w:rFonts w:ascii="Bookman Old Style" w:hAnsi="Bookman Old Style" w:cs="Arial"/>
          <w:lang w:val="id-ID"/>
        </w:rPr>
        <w:t>kegiatan</w:t>
      </w:r>
      <w:r w:rsidR="00A954D0" w:rsidRPr="008379CA">
        <w:rPr>
          <w:rFonts w:ascii="Bookman Old Style" w:hAnsi="Bookman Old Style" w:cs="Arial"/>
          <w:lang w:val="id-ID"/>
        </w:rPr>
        <w:t xml:space="preserve"> </w:t>
      </w:r>
      <w:r w:rsidRPr="008379CA">
        <w:rPr>
          <w:rFonts w:ascii="Bookman Old Style" w:hAnsi="Bookman Old Style" w:cs="Arial"/>
          <w:lang w:val="id-ID"/>
        </w:rPr>
        <w:t>dan</w:t>
      </w:r>
      <w:r w:rsidR="00A954D0" w:rsidRPr="008379CA">
        <w:rPr>
          <w:rFonts w:ascii="Bookman Old Style" w:hAnsi="Bookman Old Style" w:cs="Arial"/>
          <w:lang w:val="id-ID"/>
        </w:rPr>
        <w:t xml:space="preserve"> </w:t>
      </w:r>
      <w:r w:rsidRPr="008379CA">
        <w:rPr>
          <w:rFonts w:ascii="Bookman Old Style" w:hAnsi="Bookman Old Style" w:cs="Arial"/>
          <w:lang w:val="id-ID"/>
        </w:rPr>
        <w:t>sub</w:t>
      </w:r>
      <w:r w:rsidR="00A954D0" w:rsidRPr="008379CA">
        <w:rPr>
          <w:rFonts w:ascii="Bookman Old Style" w:hAnsi="Bookman Old Style" w:cs="Arial"/>
          <w:lang w:val="id-ID"/>
        </w:rPr>
        <w:t xml:space="preserve"> </w:t>
      </w:r>
      <w:r w:rsidRPr="008379CA">
        <w:rPr>
          <w:rFonts w:ascii="Bookman Old Style" w:hAnsi="Bookman Old Style" w:cs="Arial"/>
          <w:lang w:val="id-ID"/>
        </w:rPr>
        <w:t>kegiatan</w:t>
      </w:r>
      <w:r w:rsidR="00A954D0" w:rsidRPr="008379CA">
        <w:rPr>
          <w:rFonts w:ascii="Bookman Old Style" w:hAnsi="Bookman Old Style" w:cs="Arial"/>
          <w:lang w:val="id-ID"/>
        </w:rPr>
        <w:t xml:space="preserve"> </w:t>
      </w:r>
      <w:r w:rsidRPr="008379CA">
        <w:rPr>
          <w:rFonts w:ascii="Bookman Old Style" w:hAnsi="Bookman Old Style" w:cs="Arial"/>
          <w:lang w:val="id-ID"/>
        </w:rPr>
        <w:t>sesuai</w:t>
      </w:r>
      <w:r w:rsidR="00A954D0" w:rsidRPr="008379CA">
        <w:rPr>
          <w:rFonts w:ascii="Bookman Old Style" w:hAnsi="Bookman Old Style" w:cs="Arial"/>
          <w:lang w:val="id-ID"/>
        </w:rPr>
        <w:t xml:space="preserve"> </w:t>
      </w:r>
      <w:r w:rsidRPr="008379CA">
        <w:rPr>
          <w:rFonts w:ascii="Bookman Old Style" w:hAnsi="Bookman Old Style" w:cs="Arial"/>
          <w:lang w:val="id-ID"/>
        </w:rPr>
        <w:t>dengan</w:t>
      </w:r>
      <w:r w:rsidR="00A954D0" w:rsidRPr="008379CA">
        <w:rPr>
          <w:rFonts w:ascii="Bookman Old Style" w:hAnsi="Bookman Old Style" w:cs="Arial"/>
          <w:lang w:val="id-ID"/>
        </w:rPr>
        <w:t xml:space="preserve"> </w:t>
      </w:r>
      <w:r w:rsidRPr="008379CA">
        <w:rPr>
          <w:rFonts w:ascii="Bookman Old Style" w:hAnsi="Bookman Old Style" w:cs="Arial"/>
          <w:lang w:val="id-ID"/>
        </w:rPr>
        <w:t>target</w:t>
      </w:r>
      <w:r w:rsidR="00A954D0" w:rsidRPr="008379CA">
        <w:rPr>
          <w:rFonts w:ascii="Bookman Old Style" w:hAnsi="Bookman Old Style" w:cs="Arial"/>
          <w:lang w:val="id-ID"/>
        </w:rPr>
        <w:t xml:space="preserve"> </w:t>
      </w:r>
      <w:r w:rsidRPr="008379CA">
        <w:rPr>
          <w:rFonts w:ascii="Bookman Old Style" w:hAnsi="Bookman Old Style" w:cs="Arial"/>
          <w:lang w:val="id-ID"/>
        </w:rPr>
        <w:t>capaian</w:t>
      </w:r>
      <w:r w:rsidR="00A954D0" w:rsidRPr="008379CA">
        <w:rPr>
          <w:rFonts w:ascii="Bookman Old Style" w:hAnsi="Bookman Old Style" w:cs="Arial"/>
          <w:lang w:val="id-ID"/>
        </w:rPr>
        <w:t xml:space="preserve"> </w:t>
      </w:r>
      <w:r w:rsidRPr="008379CA">
        <w:rPr>
          <w:rFonts w:ascii="Bookman Old Style" w:hAnsi="Bookman Old Style" w:cs="Arial"/>
          <w:lang w:val="id-ID"/>
        </w:rPr>
        <w:t>kinerja</w:t>
      </w:r>
      <w:r w:rsidR="00A954D0" w:rsidRPr="008379CA">
        <w:rPr>
          <w:rFonts w:ascii="Bookman Old Style" w:hAnsi="Bookman Old Style" w:cs="Arial"/>
          <w:lang w:val="id-ID"/>
        </w:rPr>
        <w:t xml:space="preserve"> </w:t>
      </w:r>
      <w:r w:rsidRPr="008379CA">
        <w:rPr>
          <w:rFonts w:ascii="Bookman Old Style" w:hAnsi="Bookman Old Style" w:cs="Arial"/>
          <w:lang w:val="id-ID"/>
        </w:rPr>
        <w:t>yang</w:t>
      </w:r>
      <w:r w:rsidR="00A954D0" w:rsidRPr="008379CA">
        <w:rPr>
          <w:rFonts w:ascii="Bookman Old Style" w:hAnsi="Bookman Old Style" w:cs="Arial"/>
          <w:lang w:val="id-ID"/>
        </w:rPr>
        <w:t xml:space="preserve"> </w:t>
      </w:r>
      <w:r w:rsidRPr="008379CA">
        <w:rPr>
          <w:rFonts w:ascii="Bookman Old Style" w:hAnsi="Bookman Old Style" w:cs="Arial"/>
          <w:lang w:val="id-ID"/>
        </w:rPr>
        <w:t>diharapkan</w:t>
      </w:r>
      <w:r w:rsidR="00A954D0" w:rsidRPr="008379CA">
        <w:rPr>
          <w:rFonts w:ascii="Bookman Old Style" w:hAnsi="Bookman Old Style" w:cs="Arial"/>
          <w:lang w:val="id-ID"/>
        </w:rPr>
        <w:t xml:space="preserve"> </w:t>
      </w:r>
      <w:r w:rsidRPr="008379CA">
        <w:rPr>
          <w:rFonts w:ascii="Bookman Old Style" w:hAnsi="Bookman Old Style" w:cs="Arial"/>
          <w:lang w:val="id-ID"/>
        </w:rPr>
        <w:t>dari</w:t>
      </w:r>
      <w:r w:rsidR="00A954D0" w:rsidRPr="008379CA">
        <w:rPr>
          <w:rFonts w:ascii="Bookman Old Style" w:hAnsi="Bookman Old Style" w:cs="Arial"/>
          <w:lang w:val="id-ID"/>
        </w:rPr>
        <w:t xml:space="preserve"> </w:t>
      </w:r>
      <w:r w:rsidRPr="008379CA">
        <w:rPr>
          <w:rFonts w:ascii="Bookman Old Style" w:hAnsi="Bookman Old Style" w:cs="Arial"/>
          <w:lang w:val="id-ID"/>
        </w:rPr>
        <w:t>sub</w:t>
      </w:r>
      <w:r w:rsidR="00A954D0" w:rsidRPr="008379CA">
        <w:rPr>
          <w:rFonts w:ascii="Bookman Old Style" w:hAnsi="Bookman Old Style" w:cs="Arial"/>
          <w:lang w:val="id-ID"/>
        </w:rPr>
        <w:t xml:space="preserve"> </w:t>
      </w:r>
      <w:r w:rsidRPr="008379CA">
        <w:rPr>
          <w:rFonts w:ascii="Bookman Old Style" w:hAnsi="Bookman Old Style" w:cs="Arial"/>
          <w:lang w:val="id-ID"/>
        </w:rPr>
        <w:t>kegiatan</w:t>
      </w:r>
      <w:r w:rsidR="00A954D0" w:rsidRPr="008379CA">
        <w:rPr>
          <w:rFonts w:ascii="Bookman Old Style" w:hAnsi="Bookman Old Style" w:cs="Arial"/>
          <w:lang w:val="id-ID"/>
        </w:rPr>
        <w:t xml:space="preserve"> </w:t>
      </w:r>
      <w:r w:rsidRPr="008379CA">
        <w:rPr>
          <w:rFonts w:ascii="Bookman Old Style" w:hAnsi="Bookman Old Style" w:cs="Arial"/>
          <w:lang w:val="id-ID"/>
        </w:rPr>
        <w:t>dimaksud</w:t>
      </w:r>
      <w:r w:rsidR="00A954D0" w:rsidRPr="008379CA">
        <w:rPr>
          <w:rFonts w:ascii="Bookman Old Style" w:hAnsi="Bookman Old Style" w:cs="Arial"/>
          <w:lang w:val="id-ID"/>
        </w:rPr>
        <w:t xml:space="preserve"> </w:t>
      </w:r>
      <w:r w:rsidRPr="008379CA">
        <w:rPr>
          <w:rFonts w:ascii="Bookman Old Style" w:hAnsi="Bookman Old Style" w:cs="Arial"/>
          <w:lang w:val="id-ID"/>
        </w:rPr>
        <w:t>apabila</w:t>
      </w:r>
      <w:r w:rsidR="00A954D0" w:rsidRPr="008379CA">
        <w:rPr>
          <w:rFonts w:ascii="Bookman Old Style" w:hAnsi="Bookman Old Style" w:cs="Arial"/>
          <w:lang w:val="id-ID"/>
        </w:rPr>
        <w:t xml:space="preserve"> </w:t>
      </w:r>
      <w:r w:rsidRPr="008379CA">
        <w:rPr>
          <w:rFonts w:ascii="Bookman Old Style" w:hAnsi="Bookman Old Style" w:cs="Arial"/>
          <w:lang w:val="id-ID"/>
        </w:rPr>
        <w:t>ditinjau</w:t>
      </w:r>
      <w:r w:rsidR="00A954D0" w:rsidRPr="008379CA">
        <w:rPr>
          <w:rFonts w:ascii="Bookman Old Style" w:hAnsi="Bookman Old Style" w:cs="Arial"/>
          <w:lang w:val="id-ID"/>
        </w:rPr>
        <w:t xml:space="preserve"> </w:t>
      </w:r>
      <w:r w:rsidRPr="008379CA">
        <w:rPr>
          <w:rFonts w:ascii="Bookman Old Style" w:hAnsi="Bookman Old Style" w:cs="Arial"/>
          <w:lang w:val="id-ID"/>
        </w:rPr>
        <w:t>dari</w:t>
      </w:r>
      <w:r w:rsidR="00A954D0" w:rsidRPr="008379CA">
        <w:rPr>
          <w:rFonts w:ascii="Bookman Old Style" w:hAnsi="Bookman Old Style" w:cs="Arial"/>
          <w:lang w:val="id-ID"/>
        </w:rPr>
        <w:t xml:space="preserve"> </w:t>
      </w:r>
      <w:r w:rsidRPr="008379CA">
        <w:rPr>
          <w:rFonts w:ascii="Bookman Old Style" w:hAnsi="Bookman Old Style" w:cs="Arial"/>
          <w:lang w:val="id-ID"/>
        </w:rPr>
        <w:t>aspek</w:t>
      </w:r>
      <w:r w:rsidR="00A954D0" w:rsidRPr="008379CA">
        <w:rPr>
          <w:rFonts w:ascii="Bookman Old Style" w:hAnsi="Bookman Old Style" w:cs="Arial"/>
          <w:lang w:val="id-ID"/>
        </w:rPr>
        <w:t xml:space="preserve"> </w:t>
      </w:r>
      <w:r w:rsidRPr="008379CA">
        <w:rPr>
          <w:rFonts w:ascii="Bookman Old Style" w:hAnsi="Bookman Old Style" w:cs="Arial"/>
          <w:lang w:val="id-ID"/>
        </w:rPr>
        <w:t>indikator,</w:t>
      </w:r>
      <w:r w:rsidR="00A954D0" w:rsidRPr="008379CA">
        <w:rPr>
          <w:rFonts w:ascii="Bookman Old Style" w:hAnsi="Bookman Old Style" w:cs="Arial"/>
          <w:lang w:val="id-ID"/>
        </w:rPr>
        <w:t xml:space="preserve"> </w:t>
      </w:r>
      <w:r w:rsidRPr="008379CA">
        <w:rPr>
          <w:rFonts w:ascii="Bookman Old Style" w:hAnsi="Bookman Old Style" w:cs="Arial"/>
          <w:lang w:val="id-ID"/>
        </w:rPr>
        <w:t>tolok</w:t>
      </w:r>
      <w:r w:rsidR="00A954D0" w:rsidRPr="008379CA">
        <w:rPr>
          <w:rFonts w:ascii="Bookman Old Style" w:hAnsi="Bookman Old Style" w:cs="Arial"/>
          <w:lang w:val="id-ID"/>
        </w:rPr>
        <w:t xml:space="preserve"> </w:t>
      </w:r>
      <w:r w:rsidRPr="008379CA">
        <w:rPr>
          <w:rFonts w:ascii="Bookman Old Style" w:hAnsi="Bookman Old Style" w:cs="Arial"/>
          <w:lang w:val="id-ID"/>
        </w:rPr>
        <w:t>ukur,</w:t>
      </w:r>
      <w:r w:rsidR="00A954D0" w:rsidRPr="008379CA">
        <w:rPr>
          <w:rFonts w:ascii="Bookman Old Style" w:hAnsi="Bookman Old Style" w:cs="Arial"/>
          <w:lang w:val="id-ID"/>
        </w:rPr>
        <w:t xml:space="preserve"> </w:t>
      </w:r>
      <w:r w:rsidRPr="008379CA">
        <w:rPr>
          <w:rFonts w:ascii="Bookman Old Style" w:hAnsi="Bookman Old Style" w:cs="Arial"/>
          <w:lang w:val="id-ID"/>
        </w:rPr>
        <w:t>dan</w:t>
      </w:r>
      <w:r w:rsidR="00A954D0" w:rsidRPr="008379CA">
        <w:rPr>
          <w:rFonts w:ascii="Bookman Old Style" w:hAnsi="Bookman Old Style" w:cs="Arial"/>
          <w:lang w:val="id-ID"/>
        </w:rPr>
        <w:t xml:space="preserve"> </w:t>
      </w:r>
      <w:r w:rsidRPr="008379CA">
        <w:rPr>
          <w:rFonts w:ascii="Bookman Old Style" w:hAnsi="Bookman Old Style" w:cs="Arial"/>
          <w:lang w:val="id-ID"/>
        </w:rPr>
        <w:t>target</w:t>
      </w:r>
      <w:r w:rsidR="00A954D0" w:rsidRPr="008379CA">
        <w:rPr>
          <w:rFonts w:ascii="Bookman Old Style" w:hAnsi="Bookman Old Style" w:cs="Arial"/>
          <w:lang w:val="id-ID"/>
        </w:rPr>
        <w:t xml:space="preserve"> </w:t>
      </w:r>
      <w:r w:rsidRPr="008379CA">
        <w:rPr>
          <w:rFonts w:ascii="Bookman Old Style" w:hAnsi="Bookman Old Style" w:cs="Arial"/>
          <w:lang w:val="id-ID"/>
        </w:rPr>
        <w:t>kinerja</w:t>
      </w:r>
      <w:r w:rsidR="00A954D0" w:rsidRPr="008379CA">
        <w:rPr>
          <w:rFonts w:ascii="Bookman Old Style" w:hAnsi="Bookman Old Style" w:cs="Arial"/>
          <w:lang w:val="id-ID"/>
        </w:rPr>
        <w:t xml:space="preserve"> </w:t>
      </w:r>
      <w:r w:rsidRPr="008379CA">
        <w:rPr>
          <w:rFonts w:ascii="Bookman Old Style" w:hAnsi="Bookman Old Style" w:cs="Arial"/>
          <w:lang w:val="id-ID"/>
        </w:rPr>
        <w:t>kegiatan</w:t>
      </w:r>
      <w:r w:rsidR="00A954D0" w:rsidRPr="008379CA">
        <w:rPr>
          <w:rFonts w:ascii="Bookman Old Style" w:hAnsi="Bookman Old Style" w:cs="Arial"/>
          <w:lang w:val="id-ID"/>
        </w:rPr>
        <w:t xml:space="preserve"> </w:t>
      </w:r>
      <w:r w:rsidRPr="008379CA">
        <w:rPr>
          <w:rFonts w:ascii="Bookman Old Style" w:hAnsi="Bookman Old Style" w:cs="Arial"/>
          <w:lang w:val="id-ID"/>
        </w:rPr>
        <w:t>serta,</w:t>
      </w:r>
      <w:r w:rsidR="00A954D0" w:rsidRPr="008379CA">
        <w:rPr>
          <w:rFonts w:ascii="Bookman Old Style" w:hAnsi="Bookman Old Style" w:cs="Arial"/>
          <w:lang w:val="id-ID"/>
        </w:rPr>
        <w:t xml:space="preserve"> </w:t>
      </w:r>
      <w:r w:rsidRPr="008379CA">
        <w:rPr>
          <w:rFonts w:ascii="Bookman Old Style" w:hAnsi="Bookman Old Style" w:cs="Arial"/>
          <w:lang w:val="id-ID"/>
        </w:rPr>
        <w:t>sebagaimana</w:t>
      </w:r>
      <w:r w:rsidR="00A954D0" w:rsidRPr="008379CA">
        <w:rPr>
          <w:rFonts w:ascii="Bookman Old Style" w:hAnsi="Bookman Old Style" w:cs="Arial"/>
          <w:lang w:val="id-ID"/>
        </w:rPr>
        <w:t xml:space="preserve"> </w:t>
      </w:r>
      <w:r w:rsidRPr="008379CA">
        <w:rPr>
          <w:rFonts w:ascii="Bookman Old Style" w:hAnsi="Bookman Old Style" w:cs="Arial"/>
          <w:lang w:val="id-ID"/>
        </w:rPr>
        <w:t>maksud</w:t>
      </w:r>
      <w:r w:rsidR="00A954D0" w:rsidRPr="008379CA">
        <w:rPr>
          <w:rFonts w:ascii="Bookman Old Style" w:hAnsi="Bookman Old Style" w:cs="Arial"/>
          <w:lang w:val="id-ID"/>
        </w:rPr>
        <w:t xml:space="preserve"> </w:t>
      </w:r>
      <w:r w:rsidRPr="008379CA">
        <w:rPr>
          <w:rFonts w:ascii="Bookman Old Style" w:hAnsi="Bookman Old Style" w:cs="Arial"/>
          <w:lang w:val="id-ID"/>
        </w:rPr>
        <w:t>Pasal</w:t>
      </w:r>
      <w:r w:rsidR="00A954D0" w:rsidRPr="008379CA">
        <w:rPr>
          <w:rFonts w:ascii="Bookman Old Style" w:hAnsi="Bookman Old Style" w:cs="Arial"/>
          <w:lang w:val="id-ID"/>
        </w:rPr>
        <w:t xml:space="preserve"> </w:t>
      </w:r>
      <w:r w:rsidRPr="008379CA">
        <w:rPr>
          <w:rFonts w:ascii="Bookman Old Style" w:hAnsi="Bookman Old Style" w:cs="Arial"/>
          <w:lang w:val="id-ID"/>
        </w:rPr>
        <w:t>54</w:t>
      </w:r>
      <w:r w:rsidR="00A954D0" w:rsidRPr="008379CA">
        <w:rPr>
          <w:rFonts w:ascii="Bookman Old Style" w:hAnsi="Bookman Old Style" w:cs="Arial"/>
          <w:lang w:val="id-ID"/>
        </w:rPr>
        <w:t xml:space="preserve"> </w:t>
      </w:r>
      <w:r w:rsidRPr="008379CA">
        <w:rPr>
          <w:rFonts w:ascii="Bookman Old Style" w:hAnsi="Bookman Old Style" w:cs="Arial"/>
          <w:lang w:val="id-ID"/>
        </w:rPr>
        <w:t>ayat</w:t>
      </w:r>
      <w:r w:rsidR="00A954D0" w:rsidRPr="008379CA">
        <w:rPr>
          <w:rFonts w:ascii="Bookman Old Style" w:hAnsi="Bookman Old Style" w:cs="Arial"/>
          <w:lang w:val="id-ID"/>
        </w:rPr>
        <w:t xml:space="preserve"> </w:t>
      </w:r>
      <w:r w:rsidRPr="008379CA">
        <w:rPr>
          <w:rFonts w:ascii="Bookman Old Style" w:hAnsi="Bookman Old Style" w:cs="Arial"/>
          <w:lang w:val="id-ID"/>
        </w:rPr>
        <w:t>(3)</w:t>
      </w:r>
      <w:r w:rsidR="00A954D0" w:rsidRPr="008379CA">
        <w:rPr>
          <w:rFonts w:ascii="Bookman Old Style" w:hAnsi="Bookman Old Style" w:cs="Arial"/>
          <w:lang w:val="id-ID"/>
        </w:rPr>
        <w:t xml:space="preserve"> </w:t>
      </w:r>
      <w:r w:rsidRPr="008379CA">
        <w:rPr>
          <w:rFonts w:ascii="Bookman Old Style" w:hAnsi="Bookman Old Style" w:cs="Arial"/>
          <w:lang w:val="id-ID"/>
        </w:rPr>
        <w:t>dan</w:t>
      </w:r>
      <w:r w:rsidR="00A954D0" w:rsidRPr="008379CA">
        <w:rPr>
          <w:rFonts w:ascii="Bookman Old Style" w:hAnsi="Bookman Old Style" w:cs="Arial"/>
          <w:lang w:val="id-ID"/>
        </w:rPr>
        <w:t xml:space="preserve"> </w:t>
      </w:r>
      <w:r w:rsidRPr="008379CA">
        <w:rPr>
          <w:rFonts w:ascii="Bookman Old Style" w:hAnsi="Bookman Old Style" w:cs="Arial"/>
          <w:lang w:val="id-ID"/>
        </w:rPr>
        <w:t>Pasal</w:t>
      </w:r>
      <w:r w:rsidR="00A954D0" w:rsidRPr="008379CA">
        <w:rPr>
          <w:rFonts w:ascii="Bookman Old Style" w:hAnsi="Bookman Old Style" w:cs="Arial"/>
          <w:lang w:val="id-ID"/>
        </w:rPr>
        <w:t xml:space="preserve"> </w:t>
      </w:r>
      <w:r w:rsidRPr="008379CA">
        <w:rPr>
          <w:rFonts w:ascii="Bookman Old Style" w:hAnsi="Bookman Old Style" w:cs="Arial"/>
          <w:lang w:val="id-ID"/>
        </w:rPr>
        <w:t>97</w:t>
      </w:r>
      <w:r w:rsidR="00A954D0" w:rsidRPr="008379CA">
        <w:rPr>
          <w:rFonts w:ascii="Bookman Old Style" w:hAnsi="Bookman Old Style" w:cs="Arial"/>
          <w:lang w:val="id-ID"/>
        </w:rPr>
        <w:t xml:space="preserve"> </w:t>
      </w:r>
      <w:r w:rsidRPr="008379CA">
        <w:rPr>
          <w:rFonts w:ascii="Bookman Old Style" w:hAnsi="Bookman Old Style" w:cs="Arial"/>
          <w:lang w:val="id-ID"/>
        </w:rPr>
        <w:t>Peraturan</w:t>
      </w:r>
      <w:r w:rsidR="00A954D0" w:rsidRPr="008379CA">
        <w:rPr>
          <w:rFonts w:ascii="Bookman Old Style" w:hAnsi="Bookman Old Style" w:cs="Arial"/>
          <w:lang w:val="id-ID"/>
        </w:rPr>
        <w:t xml:space="preserve"> </w:t>
      </w:r>
      <w:r w:rsidRPr="008379CA">
        <w:rPr>
          <w:rFonts w:ascii="Bookman Old Style" w:hAnsi="Bookman Old Style" w:cs="Arial"/>
          <w:lang w:val="id-ID"/>
        </w:rPr>
        <w:t>Pemerintah</w:t>
      </w:r>
      <w:r w:rsidR="00A954D0" w:rsidRPr="008379CA">
        <w:rPr>
          <w:rFonts w:ascii="Bookman Old Style" w:hAnsi="Bookman Old Style" w:cs="Arial"/>
          <w:lang w:val="id-ID"/>
        </w:rPr>
        <w:t xml:space="preserve"> </w:t>
      </w:r>
      <w:r w:rsidRPr="008379CA">
        <w:rPr>
          <w:rFonts w:ascii="Bookman Old Style" w:hAnsi="Bookman Old Style" w:cs="Arial"/>
          <w:lang w:val="id-ID"/>
        </w:rPr>
        <w:t>Nomor</w:t>
      </w:r>
      <w:r w:rsidR="00A954D0" w:rsidRPr="008379CA">
        <w:rPr>
          <w:rFonts w:ascii="Bookman Old Style" w:hAnsi="Bookman Old Style" w:cs="Arial"/>
          <w:lang w:val="id-ID"/>
        </w:rPr>
        <w:t xml:space="preserve"> </w:t>
      </w:r>
      <w:r w:rsidRPr="008379CA">
        <w:rPr>
          <w:rFonts w:ascii="Bookman Old Style" w:hAnsi="Bookman Old Style" w:cs="Arial"/>
          <w:lang w:val="id-ID"/>
        </w:rPr>
        <w:t>12</w:t>
      </w:r>
      <w:r w:rsidR="00A954D0" w:rsidRPr="008379CA">
        <w:rPr>
          <w:rFonts w:ascii="Bookman Old Style" w:hAnsi="Bookman Old Style" w:cs="Arial"/>
          <w:lang w:val="id-ID"/>
        </w:rPr>
        <w:t xml:space="preserve"> </w:t>
      </w:r>
      <w:r w:rsidRPr="008379CA">
        <w:rPr>
          <w:rFonts w:ascii="Bookman Old Style" w:hAnsi="Bookman Old Style" w:cs="Arial"/>
          <w:lang w:val="id-ID"/>
        </w:rPr>
        <w:t>Tahun</w:t>
      </w:r>
      <w:r w:rsidR="00A954D0" w:rsidRPr="008379CA">
        <w:rPr>
          <w:rFonts w:ascii="Bookman Old Style" w:hAnsi="Bookman Old Style" w:cs="Arial"/>
          <w:lang w:val="id-ID"/>
        </w:rPr>
        <w:t xml:space="preserve"> </w:t>
      </w:r>
      <w:r w:rsidRPr="008379CA">
        <w:rPr>
          <w:rFonts w:ascii="Bookman Old Style" w:hAnsi="Bookman Old Style" w:cs="Arial"/>
          <w:lang w:val="id-ID"/>
        </w:rPr>
        <w:t>2019</w:t>
      </w:r>
      <w:r w:rsidR="00A954D0" w:rsidRPr="008379CA">
        <w:rPr>
          <w:rFonts w:ascii="Bookman Old Style" w:hAnsi="Bookman Old Style" w:cs="Arial"/>
          <w:lang w:val="id-ID"/>
        </w:rPr>
        <w:t xml:space="preserve"> </w:t>
      </w:r>
      <w:r w:rsidRPr="008379CA">
        <w:rPr>
          <w:rFonts w:ascii="Bookman Old Style" w:hAnsi="Bookman Old Style" w:cs="Arial"/>
          <w:lang w:val="id-ID"/>
        </w:rPr>
        <w:t>dan</w:t>
      </w:r>
      <w:r w:rsidR="00A954D0" w:rsidRPr="008379CA">
        <w:rPr>
          <w:rFonts w:ascii="Bookman Old Style" w:hAnsi="Bookman Old Style" w:cs="Arial"/>
          <w:lang w:val="id-ID"/>
        </w:rPr>
        <w:t xml:space="preserve"> </w:t>
      </w:r>
      <w:r w:rsidRPr="008379CA">
        <w:rPr>
          <w:rFonts w:ascii="Bookman Old Style" w:hAnsi="Bookman Old Style" w:cs="Arial"/>
          <w:lang w:val="id-ID"/>
        </w:rPr>
        <w:t>butir</w:t>
      </w:r>
      <w:r w:rsidR="00A954D0" w:rsidRPr="008379CA">
        <w:rPr>
          <w:rFonts w:ascii="Bookman Old Style" w:hAnsi="Bookman Old Style" w:cs="Arial"/>
          <w:lang w:val="id-ID"/>
        </w:rPr>
        <w:t xml:space="preserve"> </w:t>
      </w:r>
      <w:r w:rsidRPr="008379CA">
        <w:rPr>
          <w:rFonts w:ascii="Bookman Old Style" w:hAnsi="Bookman Old Style" w:cs="Arial"/>
          <w:lang w:val="id-ID"/>
        </w:rPr>
        <w:t>4.1.3.c</w:t>
      </w:r>
      <w:r w:rsidR="00A954D0" w:rsidRPr="008379CA">
        <w:rPr>
          <w:rFonts w:ascii="Bookman Old Style" w:hAnsi="Bookman Old Style" w:cs="Arial"/>
          <w:lang w:val="id-ID"/>
        </w:rPr>
        <w:t xml:space="preserve"> </w:t>
      </w:r>
      <w:r w:rsidRPr="008379CA">
        <w:rPr>
          <w:rFonts w:ascii="Bookman Old Style" w:hAnsi="Bookman Old Style" w:cs="Arial"/>
          <w:lang w:val="id-ID"/>
        </w:rPr>
        <w:t>Lampiran</w:t>
      </w:r>
      <w:r w:rsidR="00A954D0" w:rsidRPr="008379CA">
        <w:rPr>
          <w:rFonts w:ascii="Bookman Old Style" w:hAnsi="Bookman Old Style" w:cs="Arial"/>
          <w:lang w:val="id-ID"/>
        </w:rPr>
        <w:t xml:space="preserve"> </w:t>
      </w:r>
      <w:r w:rsidRPr="008379CA">
        <w:rPr>
          <w:rFonts w:ascii="Bookman Old Style" w:hAnsi="Bookman Old Style" w:cs="Arial"/>
          <w:lang w:val="id-ID"/>
        </w:rPr>
        <w:t>Peraturan</w:t>
      </w:r>
      <w:r w:rsidR="00A954D0" w:rsidRPr="008379CA">
        <w:rPr>
          <w:rFonts w:ascii="Bookman Old Style" w:hAnsi="Bookman Old Style" w:cs="Arial"/>
          <w:lang w:val="id-ID"/>
        </w:rPr>
        <w:t xml:space="preserve"> </w:t>
      </w:r>
      <w:r w:rsidRPr="008379CA">
        <w:rPr>
          <w:rFonts w:ascii="Bookman Old Style" w:hAnsi="Bookman Old Style" w:cs="Arial"/>
          <w:lang w:val="id-ID"/>
        </w:rPr>
        <w:t>Menteri</w:t>
      </w:r>
      <w:r w:rsidR="00A954D0" w:rsidRPr="008379CA">
        <w:rPr>
          <w:rFonts w:ascii="Bookman Old Style" w:hAnsi="Bookman Old Style" w:cs="Arial"/>
          <w:lang w:val="id-ID"/>
        </w:rPr>
        <w:t xml:space="preserve"> </w:t>
      </w:r>
      <w:r w:rsidRPr="008379CA">
        <w:rPr>
          <w:rFonts w:ascii="Bookman Old Style" w:hAnsi="Bookman Old Style" w:cs="Arial"/>
          <w:lang w:val="id-ID"/>
        </w:rPr>
        <w:t>Dalam</w:t>
      </w:r>
      <w:r w:rsidR="00A954D0" w:rsidRPr="008379CA">
        <w:rPr>
          <w:rFonts w:ascii="Bookman Old Style" w:hAnsi="Bookman Old Style" w:cs="Arial"/>
          <w:lang w:val="id-ID"/>
        </w:rPr>
        <w:t xml:space="preserve"> </w:t>
      </w:r>
      <w:r w:rsidRPr="008379CA">
        <w:rPr>
          <w:rFonts w:ascii="Bookman Old Style" w:hAnsi="Bookman Old Style" w:cs="Arial"/>
          <w:lang w:val="id-ID"/>
        </w:rPr>
        <w:t>Negeri</w:t>
      </w:r>
      <w:r w:rsidR="00A954D0" w:rsidRPr="008379CA">
        <w:rPr>
          <w:rFonts w:ascii="Bookman Old Style" w:hAnsi="Bookman Old Style" w:cs="Arial"/>
          <w:lang w:val="id-ID"/>
        </w:rPr>
        <w:t xml:space="preserve"> </w:t>
      </w:r>
      <w:r w:rsidRPr="008379CA">
        <w:rPr>
          <w:rFonts w:ascii="Bookman Old Style" w:hAnsi="Bookman Old Style" w:cs="Arial"/>
          <w:lang w:val="id-ID"/>
        </w:rPr>
        <w:t>Nomor</w:t>
      </w:r>
      <w:r w:rsidR="00A954D0" w:rsidRPr="008379CA">
        <w:rPr>
          <w:rFonts w:ascii="Bookman Old Style" w:hAnsi="Bookman Old Style" w:cs="Arial"/>
          <w:lang w:val="id-ID"/>
        </w:rPr>
        <w:t xml:space="preserve"> </w:t>
      </w:r>
      <w:r w:rsidRPr="008379CA">
        <w:rPr>
          <w:rFonts w:ascii="Bookman Old Style" w:hAnsi="Bookman Old Style" w:cs="Arial"/>
          <w:lang w:val="id-ID"/>
        </w:rPr>
        <w:t>15</w:t>
      </w:r>
      <w:r w:rsidR="00A954D0" w:rsidRPr="008379CA">
        <w:rPr>
          <w:rFonts w:ascii="Bookman Old Style" w:hAnsi="Bookman Old Style" w:cs="Arial"/>
          <w:lang w:val="id-ID"/>
        </w:rPr>
        <w:t xml:space="preserve"> </w:t>
      </w:r>
      <w:r w:rsidRPr="008379CA">
        <w:rPr>
          <w:rFonts w:ascii="Bookman Old Style" w:hAnsi="Bookman Old Style" w:cs="Arial"/>
          <w:lang w:val="id-ID"/>
        </w:rPr>
        <w:t>Tahun</w:t>
      </w:r>
      <w:r w:rsidR="00A954D0" w:rsidRPr="008379CA">
        <w:rPr>
          <w:rFonts w:ascii="Bookman Old Style" w:hAnsi="Bookman Old Style" w:cs="Arial"/>
          <w:lang w:val="id-ID"/>
        </w:rPr>
        <w:t xml:space="preserve"> </w:t>
      </w:r>
      <w:r w:rsidRPr="008379CA">
        <w:rPr>
          <w:rFonts w:ascii="Bookman Old Style" w:hAnsi="Bookman Old Style" w:cs="Arial"/>
          <w:lang w:val="id-ID"/>
        </w:rPr>
        <w:t>2024.</w:t>
      </w:r>
    </w:p>
    <w:p w14:paraId="536937C4" w14:textId="20EF997A" w:rsidR="007006A6" w:rsidRPr="008379CA" w:rsidRDefault="007006A6" w:rsidP="008E4A82">
      <w:pPr>
        <w:spacing w:before="60" w:line="276" w:lineRule="auto"/>
        <w:ind w:left="1276"/>
        <w:jc w:val="both"/>
        <w:rPr>
          <w:rFonts w:ascii="Bookman Old Style" w:hAnsi="Bookman Old Style" w:cs="Arial"/>
          <w:lang w:val="sv-FI"/>
        </w:rPr>
      </w:pPr>
      <w:r w:rsidRPr="008379CA">
        <w:rPr>
          <w:rFonts w:ascii="Bookman Old Style" w:hAnsi="Bookman Old Style" w:cs="Arial"/>
          <w:lang w:val="id-ID"/>
        </w:rPr>
        <w:lastRenderedPageBreak/>
        <w:t>Berdasarkan</w:t>
      </w:r>
      <w:r w:rsidR="00A954D0" w:rsidRPr="008379CA">
        <w:rPr>
          <w:rFonts w:ascii="Bookman Old Style" w:hAnsi="Bookman Old Style" w:cs="Arial"/>
          <w:lang w:val="sv-FI"/>
        </w:rPr>
        <w:t xml:space="preserve"> </w:t>
      </w:r>
      <w:r w:rsidRPr="008379CA">
        <w:rPr>
          <w:rFonts w:ascii="Bookman Old Style" w:hAnsi="Bookman Old Style" w:cs="Arial"/>
          <w:lang w:val="id-ID"/>
        </w:rPr>
        <w:t>Pasal</w:t>
      </w:r>
      <w:r w:rsidR="00A954D0" w:rsidRPr="008379CA">
        <w:rPr>
          <w:rFonts w:ascii="Bookman Old Style" w:hAnsi="Bookman Old Style" w:cs="Arial"/>
          <w:lang w:val="id-ID"/>
        </w:rPr>
        <w:t xml:space="preserve"> </w:t>
      </w:r>
      <w:r w:rsidRPr="008379CA">
        <w:rPr>
          <w:rFonts w:ascii="Bookman Old Style" w:hAnsi="Bookman Old Style" w:cs="Arial"/>
          <w:lang w:val="id-ID"/>
        </w:rPr>
        <w:t>2</w:t>
      </w:r>
      <w:r w:rsidR="00A954D0" w:rsidRPr="008379CA">
        <w:rPr>
          <w:rFonts w:ascii="Bookman Old Style" w:hAnsi="Bookman Old Style" w:cs="Arial"/>
          <w:lang w:val="sv-FI"/>
        </w:rPr>
        <w:t xml:space="preserve"> </w:t>
      </w:r>
      <w:r w:rsidRPr="008379CA">
        <w:rPr>
          <w:rFonts w:ascii="Bookman Old Style" w:hAnsi="Bookman Old Style" w:cs="Arial"/>
          <w:lang w:val="id-ID"/>
        </w:rPr>
        <w:t>Peraturan</w:t>
      </w:r>
      <w:r w:rsidR="00A954D0" w:rsidRPr="008379CA">
        <w:rPr>
          <w:rFonts w:ascii="Bookman Old Style" w:hAnsi="Bookman Old Style" w:cs="Arial"/>
          <w:lang w:val="id-ID"/>
        </w:rPr>
        <w:t xml:space="preserve"> </w:t>
      </w:r>
      <w:r w:rsidRPr="008379CA">
        <w:rPr>
          <w:rFonts w:ascii="Bookman Old Style" w:hAnsi="Bookman Old Style" w:cs="Arial"/>
          <w:lang w:val="id-ID"/>
        </w:rPr>
        <w:t>Presiden</w:t>
      </w:r>
      <w:r w:rsidR="00A954D0" w:rsidRPr="008379CA">
        <w:rPr>
          <w:rFonts w:ascii="Bookman Old Style" w:hAnsi="Bookman Old Style" w:cs="Arial"/>
          <w:lang w:val="id-ID"/>
        </w:rPr>
        <w:t xml:space="preserve"> </w:t>
      </w:r>
      <w:r w:rsidRPr="008379CA">
        <w:rPr>
          <w:rFonts w:ascii="Bookman Old Style" w:hAnsi="Bookman Old Style" w:cs="Arial"/>
          <w:lang w:val="id-ID"/>
        </w:rPr>
        <w:t>Republik</w:t>
      </w:r>
      <w:r w:rsidR="00A954D0" w:rsidRPr="008379CA">
        <w:rPr>
          <w:rFonts w:ascii="Bookman Old Style" w:hAnsi="Bookman Old Style" w:cs="Arial"/>
          <w:lang w:val="id-ID"/>
        </w:rPr>
        <w:t xml:space="preserve"> </w:t>
      </w:r>
      <w:r w:rsidRPr="008379CA">
        <w:rPr>
          <w:rFonts w:ascii="Bookman Old Style" w:hAnsi="Bookman Old Style" w:cs="Arial"/>
          <w:lang w:val="id-ID"/>
        </w:rPr>
        <w:t>Indonesia</w:t>
      </w:r>
      <w:r w:rsidR="00A954D0" w:rsidRPr="008379CA">
        <w:rPr>
          <w:rFonts w:ascii="Bookman Old Style" w:hAnsi="Bookman Old Style" w:cs="Arial"/>
          <w:lang w:val="id-ID"/>
        </w:rPr>
        <w:t xml:space="preserve"> </w:t>
      </w:r>
      <w:r w:rsidRPr="008379CA">
        <w:rPr>
          <w:rFonts w:ascii="Bookman Old Style" w:hAnsi="Bookman Old Style" w:cs="Arial"/>
          <w:lang w:val="id-ID"/>
        </w:rPr>
        <w:t>Nomor</w:t>
      </w:r>
      <w:r w:rsidR="00A954D0" w:rsidRPr="008379CA">
        <w:rPr>
          <w:rFonts w:ascii="Bookman Old Style" w:hAnsi="Bookman Old Style" w:cs="Arial"/>
          <w:lang w:val="id-ID"/>
        </w:rPr>
        <w:t xml:space="preserve"> </w:t>
      </w:r>
      <w:r w:rsidRPr="008379CA">
        <w:rPr>
          <w:rFonts w:ascii="Bookman Old Style" w:hAnsi="Bookman Old Style" w:cs="Arial"/>
          <w:lang w:val="id-ID"/>
        </w:rPr>
        <w:t>72</w:t>
      </w:r>
      <w:r w:rsidR="00A954D0" w:rsidRPr="008379CA">
        <w:rPr>
          <w:rFonts w:ascii="Bookman Old Style" w:hAnsi="Bookman Old Style" w:cs="Arial"/>
          <w:lang w:val="id-ID"/>
        </w:rPr>
        <w:t xml:space="preserve"> </w:t>
      </w:r>
      <w:r w:rsidRPr="008379CA">
        <w:rPr>
          <w:rFonts w:ascii="Bookman Old Style" w:hAnsi="Bookman Old Style" w:cs="Arial"/>
          <w:lang w:val="id-ID"/>
        </w:rPr>
        <w:t>Tahun</w:t>
      </w:r>
      <w:r w:rsidR="00A954D0" w:rsidRPr="008379CA">
        <w:rPr>
          <w:rFonts w:ascii="Bookman Old Style" w:hAnsi="Bookman Old Style" w:cs="Arial"/>
          <w:lang w:val="id-ID"/>
        </w:rPr>
        <w:t xml:space="preserve"> </w:t>
      </w:r>
      <w:r w:rsidRPr="008379CA">
        <w:rPr>
          <w:rFonts w:ascii="Bookman Old Style" w:hAnsi="Bookman Old Style" w:cs="Arial"/>
          <w:lang w:val="id-ID"/>
        </w:rPr>
        <w:t>20</w:t>
      </w:r>
      <w:r w:rsidRPr="008379CA">
        <w:rPr>
          <w:rFonts w:ascii="Bookman Old Style" w:hAnsi="Bookman Old Style" w:cs="Arial"/>
          <w:lang w:val="sv-FI"/>
        </w:rPr>
        <w:t>21</w:t>
      </w:r>
      <w:r w:rsidR="00A954D0" w:rsidRPr="008379CA">
        <w:rPr>
          <w:rFonts w:ascii="Bookman Old Style" w:hAnsi="Bookman Old Style" w:cs="Arial"/>
          <w:lang w:val="sv-FI"/>
        </w:rPr>
        <w:t xml:space="preserve"> </w:t>
      </w:r>
      <w:r w:rsidRPr="008379CA">
        <w:rPr>
          <w:rFonts w:ascii="Bookman Old Style" w:hAnsi="Bookman Old Style" w:cs="Arial"/>
          <w:lang w:val="sv-FI"/>
        </w:rPr>
        <w:t>t</w:t>
      </w:r>
      <w:r w:rsidRPr="008379CA">
        <w:rPr>
          <w:rFonts w:ascii="Bookman Old Style" w:hAnsi="Bookman Old Style" w:cs="Arial"/>
          <w:lang w:val="id-ID"/>
        </w:rPr>
        <w:t>entang</w:t>
      </w:r>
      <w:r w:rsidR="00A954D0" w:rsidRPr="008379CA">
        <w:rPr>
          <w:rFonts w:ascii="Bookman Old Style" w:hAnsi="Bookman Old Style" w:cs="Arial"/>
          <w:lang w:val="sv-FI"/>
        </w:rPr>
        <w:t xml:space="preserve"> </w:t>
      </w:r>
      <w:r w:rsidRPr="008379CA">
        <w:rPr>
          <w:rFonts w:ascii="Bookman Old Style" w:hAnsi="Bookman Old Style" w:cs="Arial"/>
          <w:lang w:val="id-ID"/>
        </w:rPr>
        <w:t>Percepatan</w:t>
      </w:r>
      <w:r w:rsidR="00A954D0" w:rsidRPr="008379CA">
        <w:rPr>
          <w:rFonts w:ascii="Bookman Old Style" w:hAnsi="Bookman Old Style" w:cs="Arial"/>
          <w:lang w:val="id-ID"/>
        </w:rPr>
        <w:t xml:space="preserve"> </w:t>
      </w:r>
      <w:r w:rsidRPr="008379CA">
        <w:rPr>
          <w:rFonts w:ascii="Bookman Old Style" w:hAnsi="Bookman Old Style" w:cs="Arial"/>
          <w:lang w:val="id-ID"/>
        </w:rPr>
        <w:t>Penurunan</w:t>
      </w:r>
      <w:r w:rsidR="00A954D0" w:rsidRPr="008379CA">
        <w:rPr>
          <w:rFonts w:ascii="Bookman Old Style" w:hAnsi="Bookman Old Style" w:cs="Arial"/>
          <w:lang w:val="id-ID"/>
        </w:rPr>
        <w:t xml:space="preserve"> </w:t>
      </w:r>
      <w:r w:rsidRPr="008379CA">
        <w:rPr>
          <w:rFonts w:ascii="Bookman Old Style" w:hAnsi="Bookman Old Style" w:cs="Arial"/>
          <w:i/>
          <w:iCs/>
          <w:lang w:val="id-ID"/>
        </w:rPr>
        <w:t>Stunting</w:t>
      </w:r>
      <w:r w:rsidRPr="008379CA">
        <w:rPr>
          <w:rFonts w:ascii="Bookman Old Style" w:hAnsi="Bookman Old Style" w:cs="Arial"/>
          <w:lang w:val="sv-FI"/>
        </w:rPr>
        <w:t>,</w:t>
      </w:r>
      <w:r w:rsidR="00A954D0" w:rsidRPr="008379CA">
        <w:rPr>
          <w:rFonts w:ascii="Bookman Old Style" w:hAnsi="Bookman Old Style" w:cs="Arial"/>
          <w:lang w:val="sv-FI"/>
        </w:rPr>
        <w:t xml:space="preserve"> </w:t>
      </w:r>
      <w:r w:rsidRPr="008379CA">
        <w:rPr>
          <w:rFonts w:ascii="Bookman Old Style" w:hAnsi="Bookman Old Style" w:cs="Arial"/>
          <w:lang w:val="sv-FI"/>
        </w:rPr>
        <w:t>bahwa</w:t>
      </w:r>
      <w:r w:rsidR="00A954D0" w:rsidRPr="008379CA">
        <w:rPr>
          <w:rFonts w:ascii="Bookman Old Style" w:hAnsi="Bookman Old Style" w:cs="Arial"/>
          <w:lang w:val="sv-FI"/>
        </w:rPr>
        <w:t xml:space="preserve"> </w:t>
      </w:r>
      <w:r w:rsidRPr="008379CA">
        <w:rPr>
          <w:rFonts w:ascii="Bookman Old Style" w:hAnsi="Bookman Old Style" w:cs="Arial"/>
          <w:lang w:val="id-ID"/>
        </w:rPr>
        <w:t>dalam</w:t>
      </w:r>
      <w:r w:rsidR="00A954D0" w:rsidRPr="008379CA">
        <w:rPr>
          <w:rFonts w:ascii="Bookman Old Style" w:hAnsi="Bookman Old Style" w:cs="Arial"/>
          <w:lang w:val="id-ID"/>
        </w:rPr>
        <w:t xml:space="preserve"> </w:t>
      </w:r>
      <w:r w:rsidRPr="008379CA">
        <w:rPr>
          <w:rFonts w:ascii="Bookman Old Style" w:hAnsi="Bookman Old Style" w:cs="Arial"/>
          <w:lang w:val="id-ID"/>
        </w:rPr>
        <w:t>rangka</w:t>
      </w:r>
      <w:r w:rsidR="00A954D0" w:rsidRPr="008379CA">
        <w:rPr>
          <w:rFonts w:ascii="Bookman Old Style" w:hAnsi="Bookman Old Style" w:cs="Arial"/>
          <w:lang w:val="id-ID"/>
        </w:rPr>
        <w:t xml:space="preserve"> </w:t>
      </w:r>
      <w:r w:rsidRPr="008379CA">
        <w:rPr>
          <w:rFonts w:ascii="Bookman Old Style" w:hAnsi="Bookman Old Style" w:cs="Arial"/>
          <w:lang w:val="id-ID"/>
        </w:rPr>
        <w:t>Percepatan</w:t>
      </w:r>
      <w:r w:rsidR="00A954D0" w:rsidRPr="008379CA">
        <w:rPr>
          <w:rFonts w:ascii="Bookman Old Style" w:hAnsi="Bookman Old Style" w:cs="Arial"/>
          <w:lang w:val="id-ID"/>
        </w:rPr>
        <w:t xml:space="preserve"> </w:t>
      </w:r>
      <w:r w:rsidRPr="008379CA">
        <w:rPr>
          <w:rFonts w:ascii="Bookman Old Style" w:hAnsi="Bookman Old Style" w:cs="Arial"/>
          <w:lang w:val="id-ID"/>
        </w:rPr>
        <w:t>Penurunan</w:t>
      </w:r>
      <w:r w:rsidR="00A954D0" w:rsidRPr="008379CA">
        <w:rPr>
          <w:rFonts w:ascii="Bookman Old Style" w:hAnsi="Bookman Old Style" w:cs="Arial"/>
          <w:lang w:val="id-ID"/>
        </w:rPr>
        <w:t xml:space="preserve"> </w:t>
      </w:r>
      <w:r w:rsidRPr="008379CA">
        <w:rPr>
          <w:rFonts w:ascii="Bookman Old Style" w:hAnsi="Bookman Old Style" w:cs="Arial"/>
          <w:i/>
          <w:iCs/>
          <w:lang w:val="id-ID"/>
        </w:rPr>
        <w:t>Stunting</w:t>
      </w:r>
      <w:r w:rsidRPr="008379CA">
        <w:rPr>
          <w:rFonts w:ascii="Bookman Old Style" w:hAnsi="Bookman Old Style" w:cs="Arial"/>
          <w:lang w:val="id-ID"/>
        </w:rPr>
        <w:t>,</w:t>
      </w:r>
      <w:r w:rsidR="00A954D0" w:rsidRPr="008379CA">
        <w:rPr>
          <w:rFonts w:ascii="Bookman Old Style" w:hAnsi="Bookman Old Style" w:cs="Arial"/>
          <w:lang w:val="id-ID"/>
        </w:rPr>
        <w:t xml:space="preserve"> </w:t>
      </w:r>
      <w:r w:rsidRPr="008379CA">
        <w:rPr>
          <w:rFonts w:ascii="Bookman Old Style" w:hAnsi="Bookman Old Style" w:cs="Arial"/>
          <w:lang w:val="id-ID"/>
        </w:rPr>
        <w:t>ditetapkan</w:t>
      </w:r>
      <w:r w:rsidR="00A954D0" w:rsidRPr="008379CA">
        <w:rPr>
          <w:rFonts w:ascii="Bookman Old Style" w:hAnsi="Bookman Old Style" w:cs="Arial"/>
          <w:lang w:val="id-ID"/>
        </w:rPr>
        <w:t xml:space="preserve"> </w:t>
      </w:r>
      <w:r w:rsidRPr="008379CA">
        <w:rPr>
          <w:rFonts w:ascii="Bookman Old Style" w:hAnsi="Bookman Old Style" w:cs="Arial"/>
          <w:lang w:val="id-ID"/>
        </w:rPr>
        <w:t>Strategi</w:t>
      </w:r>
      <w:r w:rsidR="00A954D0" w:rsidRPr="008379CA">
        <w:rPr>
          <w:rFonts w:ascii="Bookman Old Style" w:hAnsi="Bookman Old Style" w:cs="Arial"/>
          <w:lang w:val="id-ID"/>
        </w:rPr>
        <w:t xml:space="preserve"> </w:t>
      </w:r>
      <w:r w:rsidRPr="008379CA">
        <w:rPr>
          <w:rFonts w:ascii="Bookman Old Style" w:hAnsi="Bookman Old Style" w:cs="Arial"/>
          <w:lang w:val="id-ID"/>
        </w:rPr>
        <w:t>Nasional</w:t>
      </w:r>
      <w:r w:rsidR="00A954D0" w:rsidRPr="008379CA">
        <w:rPr>
          <w:rFonts w:ascii="Bookman Old Style" w:hAnsi="Bookman Old Style" w:cs="Arial"/>
          <w:lang w:val="id-ID"/>
        </w:rPr>
        <w:t xml:space="preserve"> </w:t>
      </w:r>
      <w:r w:rsidRPr="008379CA">
        <w:rPr>
          <w:rFonts w:ascii="Bookman Old Style" w:hAnsi="Bookman Old Style" w:cs="Arial"/>
          <w:lang w:val="id-ID"/>
        </w:rPr>
        <w:t>Percepatan</w:t>
      </w:r>
      <w:r w:rsidR="00A954D0" w:rsidRPr="008379CA">
        <w:rPr>
          <w:rFonts w:ascii="Bookman Old Style" w:hAnsi="Bookman Old Style" w:cs="Arial"/>
          <w:lang w:val="id-ID"/>
        </w:rPr>
        <w:t xml:space="preserve"> </w:t>
      </w:r>
      <w:r w:rsidRPr="008379CA">
        <w:rPr>
          <w:rFonts w:ascii="Bookman Old Style" w:hAnsi="Bookman Old Style" w:cs="Arial"/>
          <w:lang w:val="id-ID"/>
        </w:rPr>
        <w:t>Penurunan</w:t>
      </w:r>
      <w:r w:rsidR="00A954D0" w:rsidRPr="008379CA">
        <w:rPr>
          <w:rFonts w:ascii="Bookman Old Style" w:hAnsi="Bookman Old Style" w:cs="Arial"/>
          <w:lang w:val="id-ID"/>
        </w:rPr>
        <w:t xml:space="preserve"> </w:t>
      </w:r>
      <w:r w:rsidRPr="008379CA">
        <w:rPr>
          <w:rFonts w:ascii="Bookman Old Style" w:hAnsi="Bookman Old Style" w:cs="Arial"/>
          <w:i/>
          <w:iCs/>
          <w:lang w:val="id-ID"/>
        </w:rPr>
        <w:t>Stunting</w:t>
      </w:r>
      <w:r w:rsidRPr="008379CA">
        <w:rPr>
          <w:rFonts w:ascii="Bookman Old Style" w:hAnsi="Bookman Old Style" w:cs="Arial"/>
          <w:lang w:val="id-ID"/>
        </w:rPr>
        <w:t>,</w:t>
      </w:r>
      <w:r w:rsidR="00A954D0" w:rsidRPr="008379CA">
        <w:rPr>
          <w:rFonts w:ascii="Bookman Old Style" w:hAnsi="Bookman Old Style" w:cs="Arial"/>
          <w:lang w:val="id-ID"/>
        </w:rPr>
        <w:t xml:space="preserve"> </w:t>
      </w:r>
      <w:r w:rsidRPr="008379CA">
        <w:rPr>
          <w:rFonts w:ascii="Bookman Old Style" w:hAnsi="Bookman Old Style" w:cs="Arial"/>
          <w:lang w:val="id-ID"/>
        </w:rPr>
        <w:t>bertujuan</w:t>
      </w:r>
      <w:r w:rsidR="00A954D0" w:rsidRPr="008379CA">
        <w:rPr>
          <w:rFonts w:ascii="Bookman Old Style" w:hAnsi="Bookman Old Style" w:cs="Arial"/>
          <w:lang w:val="id-ID"/>
        </w:rPr>
        <w:t xml:space="preserve"> </w:t>
      </w:r>
      <w:r w:rsidRPr="008379CA">
        <w:rPr>
          <w:rFonts w:ascii="Bookman Old Style" w:hAnsi="Bookman Old Style" w:cs="Arial"/>
          <w:lang w:val="id-ID"/>
        </w:rPr>
        <w:t>untuk:</w:t>
      </w:r>
    </w:p>
    <w:p w14:paraId="068D364B" w14:textId="166EA77F" w:rsidR="007006A6" w:rsidRPr="008379CA" w:rsidRDefault="007006A6" w:rsidP="008E4A82">
      <w:pPr>
        <w:pStyle w:val="ListParagraph"/>
        <w:numPr>
          <w:ilvl w:val="0"/>
          <w:numId w:val="81"/>
        </w:numPr>
        <w:spacing w:before="60" w:after="0" w:line="276" w:lineRule="auto"/>
        <w:ind w:left="1701" w:hanging="426"/>
        <w:contextualSpacing w:val="0"/>
        <w:jc w:val="both"/>
        <w:rPr>
          <w:rFonts w:ascii="Bookman Old Style" w:hAnsi="Bookman Old Style" w:cs="Arial"/>
          <w:sz w:val="24"/>
          <w:szCs w:val="24"/>
          <w:lang w:val="sv-FI"/>
        </w:rPr>
      </w:pPr>
      <w:r w:rsidRPr="008379CA">
        <w:rPr>
          <w:rFonts w:ascii="Bookman Old Style" w:hAnsi="Bookman Old Style" w:cs="Arial"/>
          <w:sz w:val="24"/>
          <w:szCs w:val="24"/>
          <w:lang w:val="sv-FI"/>
        </w:rPr>
        <w:t>menurunkan</w:t>
      </w:r>
      <w:r w:rsidR="00A954D0" w:rsidRPr="008379CA">
        <w:rPr>
          <w:rFonts w:ascii="Bookman Old Style" w:hAnsi="Bookman Old Style" w:cs="Arial"/>
          <w:sz w:val="24"/>
          <w:szCs w:val="24"/>
          <w:lang w:val="sv-FI"/>
        </w:rPr>
        <w:t xml:space="preserve"> </w:t>
      </w:r>
      <w:r w:rsidRPr="008379CA">
        <w:rPr>
          <w:rFonts w:ascii="Bookman Old Style" w:hAnsi="Bookman Old Style" w:cs="Arial"/>
          <w:i/>
          <w:iCs/>
          <w:sz w:val="24"/>
          <w:szCs w:val="24"/>
          <w:lang w:val="sv-FI"/>
        </w:rPr>
        <w:t>prevalensi</w:t>
      </w:r>
      <w:r w:rsidR="00A954D0" w:rsidRPr="008379CA">
        <w:rPr>
          <w:rFonts w:ascii="Bookman Old Style" w:hAnsi="Bookman Old Style" w:cs="Arial"/>
          <w:sz w:val="24"/>
          <w:szCs w:val="24"/>
          <w:lang w:val="sv-FI"/>
        </w:rPr>
        <w:t xml:space="preserve"> </w:t>
      </w:r>
      <w:r w:rsidRPr="008379CA">
        <w:rPr>
          <w:rFonts w:ascii="Bookman Old Style" w:hAnsi="Bookman Old Style" w:cs="Arial"/>
          <w:i/>
          <w:iCs/>
          <w:sz w:val="24"/>
          <w:szCs w:val="24"/>
          <w:lang w:val="sv-FI"/>
        </w:rPr>
        <w:t>stunting</w:t>
      </w:r>
      <w:r w:rsidRPr="008379CA">
        <w:rPr>
          <w:rFonts w:ascii="Bookman Old Style" w:hAnsi="Bookman Old Style" w:cs="Arial"/>
          <w:sz w:val="24"/>
          <w:szCs w:val="24"/>
          <w:lang w:val="sv-FI"/>
        </w:rPr>
        <w:t>;</w:t>
      </w:r>
    </w:p>
    <w:p w14:paraId="726897C9" w14:textId="44164835" w:rsidR="007006A6" w:rsidRPr="008379CA" w:rsidRDefault="007006A6" w:rsidP="008E4A82">
      <w:pPr>
        <w:pStyle w:val="ListParagraph"/>
        <w:numPr>
          <w:ilvl w:val="0"/>
          <w:numId w:val="81"/>
        </w:numPr>
        <w:spacing w:before="60" w:after="0" w:line="276" w:lineRule="auto"/>
        <w:ind w:left="1701" w:hanging="426"/>
        <w:contextualSpacing w:val="0"/>
        <w:jc w:val="both"/>
        <w:rPr>
          <w:rFonts w:ascii="Bookman Old Style" w:hAnsi="Bookman Old Style" w:cs="Arial"/>
          <w:sz w:val="24"/>
          <w:szCs w:val="24"/>
          <w:lang w:val="sv-FI"/>
        </w:rPr>
      </w:pPr>
      <w:r w:rsidRPr="008379CA">
        <w:rPr>
          <w:rFonts w:ascii="Bookman Old Style" w:hAnsi="Bookman Old Style" w:cs="Arial"/>
          <w:sz w:val="24"/>
          <w:szCs w:val="24"/>
          <w:lang w:val="sv-FI"/>
        </w:rPr>
        <w:t>meningkatkan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kualitas</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penyiapan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kehidupan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berkeluarga;</w:t>
      </w:r>
    </w:p>
    <w:p w14:paraId="3193F13B" w14:textId="25A398FB" w:rsidR="007006A6" w:rsidRPr="008379CA" w:rsidRDefault="007006A6" w:rsidP="008E4A82">
      <w:pPr>
        <w:pStyle w:val="ListParagraph"/>
        <w:numPr>
          <w:ilvl w:val="0"/>
          <w:numId w:val="81"/>
        </w:numPr>
        <w:spacing w:before="60" w:after="0" w:line="276" w:lineRule="auto"/>
        <w:ind w:left="1701" w:hanging="426"/>
        <w:contextualSpacing w:val="0"/>
        <w:jc w:val="both"/>
        <w:rPr>
          <w:rFonts w:ascii="Bookman Old Style" w:hAnsi="Bookman Old Style" w:cs="Arial"/>
          <w:sz w:val="24"/>
          <w:szCs w:val="24"/>
          <w:lang w:val="sv-FI"/>
        </w:rPr>
      </w:pPr>
      <w:r w:rsidRPr="008379CA">
        <w:rPr>
          <w:rFonts w:ascii="Bookman Old Style" w:hAnsi="Bookman Old Style" w:cs="Arial"/>
          <w:sz w:val="24"/>
          <w:szCs w:val="24"/>
          <w:lang w:val="sv-FI"/>
        </w:rPr>
        <w:t>menjamin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pemenuhan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asupan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gizi;</w:t>
      </w:r>
    </w:p>
    <w:p w14:paraId="139A3DFA" w14:textId="47CC0819" w:rsidR="007006A6" w:rsidRPr="008379CA" w:rsidRDefault="007006A6" w:rsidP="008E4A82">
      <w:pPr>
        <w:pStyle w:val="ListParagraph"/>
        <w:numPr>
          <w:ilvl w:val="0"/>
          <w:numId w:val="81"/>
        </w:numPr>
        <w:spacing w:before="60" w:after="0" w:line="276" w:lineRule="auto"/>
        <w:ind w:left="1701" w:hanging="426"/>
        <w:contextualSpacing w:val="0"/>
        <w:jc w:val="both"/>
        <w:rPr>
          <w:rFonts w:ascii="Bookman Old Style" w:hAnsi="Bookman Old Style" w:cs="Arial"/>
          <w:sz w:val="24"/>
          <w:szCs w:val="24"/>
          <w:lang w:val="sv-FI"/>
        </w:rPr>
      </w:pPr>
      <w:r w:rsidRPr="008379CA">
        <w:rPr>
          <w:rFonts w:ascii="Bookman Old Style" w:hAnsi="Bookman Old Style" w:cs="Arial"/>
          <w:sz w:val="24"/>
          <w:szCs w:val="24"/>
          <w:lang w:val="sv-FI"/>
        </w:rPr>
        <w:t>memperbaiki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pola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asuh;</w:t>
      </w:r>
    </w:p>
    <w:p w14:paraId="1F48559F" w14:textId="5C77D46B" w:rsidR="007006A6" w:rsidRPr="008379CA" w:rsidRDefault="007006A6" w:rsidP="008E4A82">
      <w:pPr>
        <w:pStyle w:val="ListParagraph"/>
        <w:numPr>
          <w:ilvl w:val="0"/>
          <w:numId w:val="81"/>
        </w:numPr>
        <w:spacing w:before="60" w:after="0" w:line="276" w:lineRule="auto"/>
        <w:ind w:left="1701" w:hanging="426"/>
        <w:contextualSpacing w:val="0"/>
        <w:jc w:val="both"/>
        <w:rPr>
          <w:rFonts w:ascii="Bookman Old Style" w:hAnsi="Bookman Old Style" w:cs="Arial"/>
          <w:sz w:val="24"/>
          <w:szCs w:val="24"/>
          <w:lang w:val="sv-FI"/>
        </w:rPr>
      </w:pPr>
      <w:r w:rsidRPr="008379CA">
        <w:rPr>
          <w:rFonts w:ascii="Bookman Old Style" w:hAnsi="Bookman Old Style" w:cs="Arial"/>
          <w:sz w:val="24"/>
          <w:szCs w:val="24"/>
          <w:lang w:val="sv-FI"/>
        </w:rPr>
        <w:t>meningkatkan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akses</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mutu</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pelayanan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kesehatan;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dan</w:t>
      </w:r>
    </w:p>
    <w:p w14:paraId="35097846" w14:textId="761F67FA" w:rsidR="007006A6" w:rsidRPr="008379CA" w:rsidRDefault="007006A6" w:rsidP="008E4A82">
      <w:pPr>
        <w:pStyle w:val="ListParagraph"/>
        <w:numPr>
          <w:ilvl w:val="0"/>
          <w:numId w:val="81"/>
        </w:numPr>
        <w:spacing w:before="60" w:after="0" w:line="276" w:lineRule="auto"/>
        <w:ind w:left="1701" w:hanging="426"/>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sv-FI"/>
        </w:rPr>
        <w:t>meningkatkan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akses</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air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minum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sanitasi</w:t>
      </w:r>
      <w:r w:rsidRPr="008379CA">
        <w:rPr>
          <w:rFonts w:ascii="Bookman Old Style" w:hAnsi="Bookman Old Style" w:cs="Arial"/>
          <w:sz w:val="24"/>
          <w:szCs w:val="24"/>
          <w:lang w:val="sv-FI"/>
        </w:rPr>
        <w:t>.</w:t>
      </w:r>
    </w:p>
    <w:p w14:paraId="118BF260" w14:textId="1466E906" w:rsidR="007006A6" w:rsidRPr="008379CA" w:rsidRDefault="007006A6" w:rsidP="008E4A82">
      <w:pPr>
        <w:spacing w:before="60" w:line="276" w:lineRule="auto"/>
        <w:ind w:left="1276"/>
        <w:jc w:val="both"/>
        <w:rPr>
          <w:rFonts w:ascii="Bookman Old Style" w:hAnsi="Bookman Old Style" w:cs="Arial"/>
          <w:lang w:val="sv-FI"/>
        </w:rPr>
      </w:pPr>
      <w:r w:rsidRPr="008379CA">
        <w:rPr>
          <w:rFonts w:ascii="Bookman Old Style" w:hAnsi="Bookman Old Style" w:cs="Arial"/>
          <w:lang w:val="sv-FI"/>
        </w:rPr>
        <w:t>Berdasarkan</w:t>
      </w:r>
      <w:r w:rsidR="00A954D0" w:rsidRPr="008379CA">
        <w:rPr>
          <w:rFonts w:ascii="Bookman Old Style" w:hAnsi="Bookman Old Style" w:cs="Arial"/>
          <w:lang w:val="sv-FI"/>
        </w:rPr>
        <w:t xml:space="preserve"> </w:t>
      </w:r>
      <w:r w:rsidRPr="008379CA">
        <w:rPr>
          <w:rFonts w:ascii="Bookman Old Style" w:hAnsi="Bookman Old Style" w:cs="Arial"/>
          <w:lang w:val="sv-FI"/>
        </w:rPr>
        <w:t>Data</w:t>
      </w:r>
      <w:r w:rsidR="00A954D0" w:rsidRPr="008379CA">
        <w:rPr>
          <w:rFonts w:ascii="Bookman Old Style" w:hAnsi="Bookman Old Style" w:cs="Arial"/>
          <w:lang w:val="sv-FI"/>
        </w:rPr>
        <w:t xml:space="preserve"> </w:t>
      </w:r>
      <w:r w:rsidRPr="008379CA">
        <w:rPr>
          <w:rFonts w:ascii="Bookman Old Style" w:hAnsi="Bookman Old Style" w:cs="Arial"/>
          <w:lang w:val="sv-FI"/>
        </w:rPr>
        <w:t>Aplikasi</w:t>
      </w:r>
      <w:r w:rsidR="00A954D0" w:rsidRPr="008379CA">
        <w:rPr>
          <w:rFonts w:ascii="Bookman Old Style" w:hAnsi="Bookman Old Style" w:cs="Arial"/>
          <w:lang w:val="sv-FI"/>
        </w:rPr>
        <w:t xml:space="preserve"> </w:t>
      </w:r>
      <w:r w:rsidRPr="008379CA">
        <w:rPr>
          <w:rFonts w:ascii="Bookman Old Style" w:hAnsi="Bookman Old Style" w:cs="Arial"/>
          <w:lang w:val="sv-FI"/>
        </w:rPr>
        <w:t>e-Pencatatan</w:t>
      </w:r>
      <w:r w:rsidR="00A954D0" w:rsidRPr="008379CA">
        <w:rPr>
          <w:rFonts w:ascii="Bookman Old Style" w:hAnsi="Bookman Old Style" w:cs="Arial"/>
          <w:lang w:val="sv-FI"/>
        </w:rPr>
        <w:t xml:space="preserve"> </w:t>
      </w:r>
      <w:r w:rsidRPr="008379CA">
        <w:rPr>
          <w:rFonts w:ascii="Bookman Old Style" w:hAnsi="Bookman Old Style" w:cs="Arial"/>
          <w:lang w:val="sv-FI"/>
        </w:rPr>
        <w:t>dan</w:t>
      </w:r>
      <w:r w:rsidR="00A954D0" w:rsidRPr="008379CA">
        <w:rPr>
          <w:rFonts w:ascii="Bookman Old Style" w:hAnsi="Bookman Old Style" w:cs="Arial"/>
          <w:lang w:val="sv-FI"/>
        </w:rPr>
        <w:t xml:space="preserve"> </w:t>
      </w:r>
      <w:r w:rsidRPr="008379CA">
        <w:rPr>
          <w:rFonts w:ascii="Bookman Old Style" w:hAnsi="Bookman Old Style" w:cs="Arial"/>
          <w:lang w:val="sv-FI"/>
        </w:rPr>
        <w:t>Pelaporan</w:t>
      </w:r>
      <w:r w:rsidR="00A954D0" w:rsidRPr="008379CA">
        <w:rPr>
          <w:rFonts w:ascii="Bookman Old Style" w:hAnsi="Bookman Old Style" w:cs="Arial"/>
          <w:lang w:val="sv-FI"/>
        </w:rPr>
        <w:t xml:space="preserve"> </w:t>
      </w:r>
      <w:r w:rsidRPr="008379CA">
        <w:rPr>
          <w:rFonts w:ascii="Bookman Old Style" w:hAnsi="Bookman Old Style" w:cs="Arial"/>
          <w:lang w:val="sv-FI"/>
        </w:rPr>
        <w:t>Gizi</w:t>
      </w:r>
      <w:r w:rsidR="00A954D0" w:rsidRPr="008379CA">
        <w:rPr>
          <w:rFonts w:ascii="Bookman Old Style" w:hAnsi="Bookman Old Style" w:cs="Arial"/>
          <w:lang w:val="sv-FI"/>
        </w:rPr>
        <w:t xml:space="preserve"> </w:t>
      </w:r>
      <w:r w:rsidRPr="008379CA">
        <w:rPr>
          <w:rFonts w:ascii="Bookman Old Style" w:hAnsi="Bookman Old Style" w:cs="Arial"/>
          <w:lang w:val="sv-FI"/>
        </w:rPr>
        <w:t>Berbasis</w:t>
      </w:r>
      <w:r w:rsidR="00A954D0" w:rsidRPr="008379CA">
        <w:rPr>
          <w:rFonts w:ascii="Bookman Old Style" w:hAnsi="Bookman Old Style" w:cs="Arial"/>
          <w:lang w:val="sv-FI"/>
        </w:rPr>
        <w:t xml:space="preserve"> </w:t>
      </w:r>
      <w:r w:rsidRPr="008379CA">
        <w:rPr>
          <w:rFonts w:ascii="Bookman Old Style" w:hAnsi="Bookman Old Style" w:cs="Arial"/>
          <w:lang w:val="sv-FI"/>
        </w:rPr>
        <w:t>Masyarakat</w:t>
      </w:r>
      <w:r w:rsidR="00A954D0" w:rsidRPr="008379CA">
        <w:rPr>
          <w:rFonts w:ascii="Bookman Old Style" w:hAnsi="Bookman Old Style" w:cs="Arial"/>
          <w:lang w:val="sv-FI"/>
        </w:rPr>
        <w:t xml:space="preserve"> </w:t>
      </w:r>
      <w:r w:rsidRPr="008379CA">
        <w:rPr>
          <w:rFonts w:ascii="Bookman Old Style" w:hAnsi="Bookman Old Style" w:cs="Arial"/>
          <w:lang w:val="sv-FI"/>
        </w:rPr>
        <w:t>(e-PPGBM)</w:t>
      </w:r>
      <w:r w:rsidR="00A954D0" w:rsidRPr="008379CA">
        <w:rPr>
          <w:rFonts w:ascii="Bookman Old Style" w:hAnsi="Bookman Old Style" w:cs="Arial"/>
          <w:lang w:val="sv-FI"/>
        </w:rPr>
        <w:t xml:space="preserve"> </w:t>
      </w:r>
      <w:r w:rsidRPr="008379CA">
        <w:rPr>
          <w:rFonts w:ascii="Bookman Old Style" w:hAnsi="Bookman Old Style" w:cs="Arial"/>
          <w:lang w:val="sv-FI"/>
        </w:rPr>
        <w:t>Per</w:t>
      </w:r>
      <w:r w:rsidR="00A954D0" w:rsidRPr="008379CA">
        <w:rPr>
          <w:rFonts w:ascii="Bookman Old Style" w:hAnsi="Bookman Old Style" w:cs="Arial"/>
          <w:lang w:val="sv-FI"/>
        </w:rPr>
        <w:t xml:space="preserve"> </w:t>
      </w:r>
      <w:r w:rsidRPr="008379CA">
        <w:rPr>
          <w:rFonts w:ascii="Bookman Old Style" w:hAnsi="Bookman Old Style" w:cs="Arial"/>
          <w:lang w:val="sv-FI"/>
        </w:rPr>
        <w:t>31</w:t>
      </w:r>
      <w:r w:rsidR="00A954D0" w:rsidRPr="008379CA">
        <w:rPr>
          <w:rFonts w:ascii="Bookman Old Style" w:hAnsi="Bookman Old Style" w:cs="Arial"/>
          <w:lang w:val="sv-FI"/>
        </w:rPr>
        <w:t xml:space="preserve"> </w:t>
      </w:r>
      <w:r w:rsidRPr="008379CA">
        <w:rPr>
          <w:rFonts w:ascii="Bookman Old Style" w:hAnsi="Bookman Old Style" w:cs="Arial"/>
          <w:lang w:val="sv-FI"/>
        </w:rPr>
        <w:t>Oktober</w:t>
      </w:r>
      <w:r w:rsidR="00A954D0" w:rsidRPr="008379CA">
        <w:rPr>
          <w:rFonts w:ascii="Bookman Old Style" w:hAnsi="Bookman Old Style" w:cs="Arial"/>
          <w:lang w:val="sv-FI"/>
        </w:rPr>
        <w:t xml:space="preserve"> </w:t>
      </w:r>
      <w:r w:rsidRPr="008379CA">
        <w:rPr>
          <w:rFonts w:ascii="Bookman Old Style" w:hAnsi="Bookman Old Style" w:cs="Arial"/>
          <w:lang w:val="sv-FI"/>
        </w:rPr>
        <w:t>2024,</w:t>
      </w:r>
      <w:r w:rsidR="00A954D0" w:rsidRPr="008379CA">
        <w:rPr>
          <w:rFonts w:ascii="Bookman Old Style" w:hAnsi="Bookman Old Style" w:cs="Arial"/>
          <w:lang w:val="sv-FI"/>
        </w:rPr>
        <w:t xml:space="preserve"> </w:t>
      </w:r>
      <w:r w:rsidRPr="008379CA">
        <w:rPr>
          <w:rFonts w:ascii="Bookman Old Style" w:hAnsi="Bookman Old Style" w:cs="Arial"/>
          <w:lang w:val="sv-FI"/>
        </w:rPr>
        <w:t>sebaran</w:t>
      </w:r>
      <w:r w:rsidR="00A954D0" w:rsidRPr="008379CA">
        <w:rPr>
          <w:rFonts w:ascii="Bookman Old Style" w:hAnsi="Bookman Old Style" w:cs="Arial"/>
          <w:lang w:val="sv-FI"/>
        </w:rPr>
        <w:t xml:space="preserve"> </w:t>
      </w:r>
      <w:r w:rsidRPr="008379CA">
        <w:rPr>
          <w:rFonts w:ascii="Bookman Old Style" w:hAnsi="Bookman Old Style" w:cs="Arial"/>
          <w:lang w:val="sv-FI"/>
        </w:rPr>
        <w:t>Balita</w:t>
      </w:r>
      <w:r w:rsidR="00A954D0" w:rsidRPr="008379CA">
        <w:rPr>
          <w:rFonts w:ascii="Bookman Old Style" w:hAnsi="Bookman Old Style" w:cs="Arial"/>
          <w:lang w:val="sv-FI"/>
        </w:rPr>
        <w:t xml:space="preserve"> </w:t>
      </w:r>
      <w:r w:rsidRPr="008379CA">
        <w:rPr>
          <w:rFonts w:ascii="Bookman Old Style" w:hAnsi="Bookman Old Style" w:cs="Arial"/>
          <w:i/>
          <w:iCs/>
          <w:lang w:val="sv-FI"/>
        </w:rPr>
        <w:t>stunting</w:t>
      </w:r>
      <w:r w:rsidR="00A954D0" w:rsidRPr="008379CA">
        <w:rPr>
          <w:rFonts w:ascii="Bookman Old Style" w:hAnsi="Bookman Old Style" w:cs="Arial"/>
          <w:lang w:val="sv-FI"/>
        </w:rPr>
        <w:t xml:space="preserve"> </w:t>
      </w:r>
      <w:r w:rsidRPr="008379CA">
        <w:rPr>
          <w:rFonts w:ascii="Bookman Old Style" w:hAnsi="Bookman Old Style" w:cs="Arial"/>
          <w:lang w:val="sv-FI"/>
        </w:rPr>
        <w:t>Kota</w:t>
      </w:r>
      <w:r w:rsidR="00A954D0" w:rsidRPr="008379CA">
        <w:rPr>
          <w:rFonts w:ascii="Bookman Old Style" w:hAnsi="Bookman Old Style" w:cs="Arial"/>
          <w:lang w:val="sv-FI"/>
        </w:rPr>
        <w:t xml:space="preserve"> </w:t>
      </w:r>
      <w:r w:rsidRPr="008379CA">
        <w:rPr>
          <w:rFonts w:ascii="Bookman Old Style" w:hAnsi="Bookman Old Style" w:cs="Arial"/>
          <w:lang w:val="sv-FI"/>
        </w:rPr>
        <w:t>Tangerang</w:t>
      </w:r>
      <w:r w:rsidR="00A954D0" w:rsidRPr="008379CA">
        <w:rPr>
          <w:rFonts w:ascii="Bookman Old Style" w:hAnsi="Bookman Old Style" w:cs="Arial"/>
          <w:lang w:val="sv-FI"/>
        </w:rPr>
        <w:t xml:space="preserve"> </w:t>
      </w:r>
      <w:r w:rsidRPr="008379CA">
        <w:rPr>
          <w:rFonts w:ascii="Bookman Old Style" w:hAnsi="Bookman Old Style" w:cs="Arial"/>
          <w:lang w:val="sv-FI"/>
        </w:rPr>
        <w:t>sebanyak</w:t>
      </w:r>
      <w:r w:rsidR="00A954D0" w:rsidRPr="008379CA">
        <w:rPr>
          <w:rFonts w:ascii="Bookman Old Style" w:hAnsi="Bookman Old Style" w:cs="Arial"/>
          <w:lang w:val="sv-FI"/>
        </w:rPr>
        <w:t xml:space="preserve"> </w:t>
      </w:r>
      <w:r w:rsidRPr="008379CA">
        <w:rPr>
          <w:rFonts w:ascii="Bookman Old Style" w:hAnsi="Bookman Old Style" w:cs="Arial"/>
          <w:lang w:val="sv-FI"/>
        </w:rPr>
        <w:t>3</w:t>
      </w:r>
      <w:r w:rsidR="00673BFA" w:rsidRPr="008379CA">
        <w:rPr>
          <w:rFonts w:ascii="Bookman Old Style" w:hAnsi="Bookman Old Style" w:cs="Arial"/>
          <w:lang w:val="sv-FI"/>
        </w:rPr>
        <w:t>.</w:t>
      </w:r>
      <w:r w:rsidRPr="008379CA">
        <w:rPr>
          <w:rFonts w:ascii="Bookman Old Style" w:hAnsi="Bookman Old Style" w:cs="Arial"/>
          <w:lang w:val="sv-FI"/>
        </w:rPr>
        <w:t>796</w:t>
      </w:r>
      <w:r w:rsidR="00A954D0" w:rsidRPr="008379CA">
        <w:rPr>
          <w:rFonts w:ascii="Bookman Old Style" w:hAnsi="Bookman Old Style" w:cs="Arial"/>
          <w:lang w:val="sv-FI"/>
        </w:rPr>
        <w:t xml:space="preserve"> </w:t>
      </w:r>
      <w:r w:rsidRPr="008379CA">
        <w:rPr>
          <w:rFonts w:ascii="Bookman Old Style" w:hAnsi="Bookman Old Style" w:cs="Arial"/>
          <w:lang w:val="sv-FI"/>
        </w:rPr>
        <w:t>Balita,</w:t>
      </w:r>
      <w:r w:rsidR="00A954D0" w:rsidRPr="008379CA">
        <w:rPr>
          <w:rFonts w:ascii="Bookman Old Style" w:hAnsi="Bookman Old Style" w:cs="Arial"/>
          <w:lang w:val="sv-FI"/>
        </w:rPr>
        <w:t xml:space="preserve"> </w:t>
      </w:r>
      <w:r w:rsidRPr="008379CA">
        <w:rPr>
          <w:rFonts w:ascii="Bookman Old Style" w:hAnsi="Bookman Old Style" w:cs="Arial"/>
          <w:lang w:val="sv-FI"/>
        </w:rPr>
        <w:t>dengan</w:t>
      </w:r>
      <w:r w:rsidR="00A954D0" w:rsidRPr="008379CA">
        <w:rPr>
          <w:rFonts w:ascii="Bookman Old Style" w:hAnsi="Bookman Old Style" w:cs="Arial"/>
          <w:lang w:val="sv-FI"/>
        </w:rPr>
        <w:t xml:space="preserve"> </w:t>
      </w:r>
      <w:r w:rsidRPr="008379CA">
        <w:rPr>
          <w:rFonts w:ascii="Bookman Old Style" w:hAnsi="Bookman Old Style" w:cs="Arial"/>
          <w:lang w:val="sv-FI"/>
        </w:rPr>
        <w:t>rincian</w:t>
      </w:r>
      <w:r w:rsidR="00A954D0" w:rsidRPr="008379CA">
        <w:rPr>
          <w:rFonts w:ascii="Bookman Old Style" w:hAnsi="Bookman Old Style" w:cs="Arial"/>
          <w:lang w:val="sv-FI"/>
        </w:rPr>
        <w:t xml:space="preserve"> </w:t>
      </w:r>
      <w:r w:rsidRPr="008379CA">
        <w:rPr>
          <w:rFonts w:ascii="Bookman Old Style" w:hAnsi="Bookman Old Style" w:cs="Arial"/>
          <w:lang w:val="sv-FI"/>
        </w:rPr>
        <w:t>sebagai</w:t>
      </w:r>
      <w:r w:rsidR="00A954D0" w:rsidRPr="008379CA">
        <w:rPr>
          <w:rFonts w:ascii="Bookman Old Style" w:hAnsi="Bookman Old Style" w:cs="Arial"/>
          <w:lang w:val="sv-FI"/>
        </w:rPr>
        <w:t xml:space="preserve"> </w:t>
      </w:r>
      <w:r w:rsidRPr="008379CA">
        <w:rPr>
          <w:rFonts w:ascii="Bookman Old Style" w:hAnsi="Bookman Old Style" w:cs="Arial"/>
          <w:lang w:val="sv-FI"/>
        </w:rPr>
        <w:t>berikut:</w:t>
      </w:r>
      <w:r w:rsidR="00A954D0" w:rsidRPr="008379CA">
        <w:rPr>
          <w:rFonts w:ascii="Bookman Old Style" w:hAnsi="Bookman Old Style" w:cs="Arial"/>
          <w:lang w:val="sv-FI"/>
        </w:rPr>
        <w:t xml:space="preserve"> </w:t>
      </w:r>
    </w:p>
    <w:p w14:paraId="40DDF82F" w14:textId="4834C062" w:rsidR="007006A6" w:rsidRPr="008379CA" w:rsidRDefault="007006A6" w:rsidP="00BA67F8">
      <w:pPr>
        <w:pStyle w:val="ListParagraph"/>
        <w:numPr>
          <w:ilvl w:val="0"/>
          <w:numId w:val="187"/>
        </w:numPr>
        <w:spacing w:before="60" w:after="0" w:line="276" w:lineRule="auto"/>
        <w:ind w:left="1701" w:hanging="425"/>
        <w:contextualSpacing w:val="0"/>
        <w:jc w:val="both"/>
        <w:rPr>
          <w:rFonts w:ascii="Bookman Old Style" w:hAnsi="Bookman Old Style" w:cs="Arial"/>
          <w:sz w:val="24"/>
          <w:szCs w:val="24"/>
          <w:lang w:val="sv-FI"/>
        </w:rPr>
      </w:pPr>
      <w:r w:rsidRPr="008379CA">
        <w:rPr>
          <w:rFonts w:ascii="Bookman Old Style" w:hAnsi="Bookman Old Style" w:cs="Arial"/>
          <w:sz w:val="24"/>
          <w:szCs w:val="24"/>
          <w:lang w:val="sv-FI"/>
        </w:rPr>
        <w:t>Gizi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Buruk</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sebanyak</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49</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orang</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dengan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klasifikasi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berdasarkan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usia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sebagai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berikut:</w:t>
      </w:r>
    </w:p>
    <w:p w14:paraId="1E86FC77" w14:textId="60A20837" w:rsidR="007006A6" w:rsidRPr="008379CA" w:rsidRDefault="007006A6" w:rsidP="00BA67F8">
      <w:pPr>
        <w:pStyle w:val="ListParagraph"/>
        <w:numPr>
          <w:ilvl w:val="0"/>
          <w:numId w:val="188"/>
        </w:numPr>
        <w:spacing w:before="60" w:after="0" w:line="276" w:lineRule="auto"/>
        <w:ind w:left="2268" w:hanging="567"/>
        <w:contextualSpacing w:val="0"/>
        <w:jc w:val="both"/>
        <w:rPr>
          <w:rFonts w:ascii="Bookman Old Style" w:hAnsi="Bookman Old Style" w:cs="Arial"/>
          <w:sz w:val="24"/>
          <w:szCs w:val="24"/>
          <w:lang w:val="en-US"/>
        </w:rPr>
      </w:pPr>
      <w:r w:rsidRPr="008379CA">
        <w:rPr>
          <w:rFonts w:ascii="Bookman Old Style" w:hAnsi="Bookman Old Style" w:cs="Arial"/>
          <w:sz w:val="24"/>
          <w:szCs w:val="24"/>
          <w:lang w:val="en-US"/>
        </w:rPr>
        <w:t>0-6</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bulan</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sebanyak</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2</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orang;</w:t>
      </w:r>
    </w:p>
    <w:p w14:paraId="3B902F75" w14:textId="3B879F05" w:rsidR="007006A6" w:rsidRPr="008379CA" w:rsidRDefault="007006A6" w:rsidP="00BA67F8">
      <w:pPr>
        <w:pStyle w:val="ListParagraph"/>
        <w:numPr>
          <w:ilvl w:val="0"/>
          <w:numId w:val="188"/>
        </w:numPr>
        <w:spacing w:before="120" w:after="120" w:line="240" w:lineRule="auto"/>
        <w:ind w:left="2268" w:hanging="567"/>
        <w:contextualSpacing w:val="0"/>
        <w:jc w:val="both"/>
        <w:rPr>
          <w:rFonts w:ascii="Bookman Old Style" w:hAnsi="Bookman Old Style" w:cs="Arial"/>
          <w:sz w:val="24"/>
          <w:szCs w:val="24"/>
          <w:lang w:val="en-US"/>
        </w:rPr>
      </w:pPr>
      <w:r w:rsidRPr="008379CA">
        <w:rPr>
          <w:rFonts w:ascii="Bookman Old Style" w:hAnsi="Bookman Old Style" w:cs="Arial"/>
          <w:sz w:val="24"/>
          <w:szCs w:val="24"/>
          <w:lang w:val="en-US"/>
        </w:rPr>
        <w:t>6-9</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bulan</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sebanyak</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1</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orang;</w:t>
      </w:r>
    </w:p>
    <w:p w14:paraId="25796742" w14:textId="17FA4A41" w:rsidR="007006A6" w:rsidRPr="008379CA" w:rsidRDefault="007006A6" w:rsidP="00BA67F8">
      <w:pPr>
        <w:pStyle w:val="ListParagraph"/>
        <w:numPr>
          <w:ilvl w:val="0"/>
          <w:numId w:val="188"/>
        </w:numPr>
        <w:spacing w:before="120" w:after="120" w:line="240" w:lineRule="auto"/>
        <w:ind w:left="2268" w:hanging="567"/>
        <w:contextualSpacing w:val="0"/>
        <w:jc w:val="both"/>
        <w:rPr>
          <w:rFonts w:ascii="Bookman Old Style" w:hAnsi="Bookman Old Style" w:cs="Arial"/>
          <w:sz w:val="24"/>
          <w:szCs w:val="24"/>
          <w:lang w:val="en-US"/>
        </w:rPr>
      </w:pPr>
      <w:r w:rsidRPr="008379CA">
        <w:rPr>
          <w:rFonts w:ascii="Bookman Old Style" w:hAnsi="Bookman Old Style" w:cs="Arial"/>
          <w:sz w:val="24"/>
          <w:szCs w:val="24"/>
          <w:lang w:val="en-US"/>
        </w:rPr>
        <w:t>9-12</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bulan</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sebanyak</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19</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orang;</w:t>
      </w:r>
    </w:p>
    <w:p w14:paraId="3D7B1AF4" w14:textId="09BCE62B" w:rsidR="007006A6" w:rsidRPr="008379CA" w:rsidRDefault="007006A6" w:rsidP="00BA67F8">
      <w:pPr>
        <w:pStyle w:val="ListParagraph"/>
        <w:numPr>
          <w:ilvl w:val="0"/>
          <w:numId w:val="188"/>
        </w:numPr>
        <w:spacing w:before="120" w:after="120" w:line="240" w:lineRule="auto"/>
        <w:ind w:left="2268" w:hanging="567"/>
        <w:contextualSpacing w:val="0"/>
        <w:jc w:val="both"/>
        <w:rPr>
          <w:rFonts w:ascii="Bookman Old Style" w:hAnsi="Bookman Old Style" w:cs="Arial"/>
          <w:sz w:val="24"/>
          <w:szCs w:val="24"/>
          <w:lang w:val="en-US"/>
        </w:rPr>
      </w:pPr>
      <w:r w:rsidRPr="008379CA">
        <w:rPr>
          <w:rFonts w:ascii="Bookman Old Style" w:hAnsi="Bookman Old Style" w:cs="Arial"/>
          <w:sz w:val="24"/>
          <w:szCs w:val="24"/>
          <w:lang w:val="en-US"/>
        </w:rPr>
        <w:t>2-60</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bulan</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sebanyak</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26</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orang;</w:t>
      </w:r>
      <w:r w:rsidR="00A954D0" w:rsidRPr="008379CA">
        <w:rPr>
          <w:rFonts w:ascii="Bookman Old Style" w:hAnsi="Bookman Old Style" w:cs="Arial"/>
          <w:sz w:val="24"/>
          <w:szCs w:val="24"/>
          <w:lang w:val="en-US"/>
        </w:rPr>
        <w:t xml:space="preserve"> </w:t>
      </w:r>
    </w:p>
    <w:p w14:paraId="36C5E386" w14:textId="6D38A00F" w:rsidR="007006A6" w:rsidRPr="008379CA" w:rsidRDefault="007006A6" w:rsidP="00BA67F8">
      <w:pPr>
        <w:pStyle w:val="ListParagraph"/>
        <w:numPr>
          <w:ilvl w:val="0"/>
          <w:numId w:val="188"/>
        </w:numPr>
        <w:spacing w:before="120" w:after="120" w:line="240" w:lineRule="auto"/>
        <w:ind w:left="2268" w:hanging="567"/>
        <w:contextualSpacing w:val="0"/>
        <w:jc w:val="both"/>
        <w:rPr>
          <w:rFonts w:ascii="Bookman Old Style" w:hAnsi="Bookman Old Style" w:cs="Arial"/>
          <w:sz w:val="24"/>
          <w:szCs w:val="24"/>
          <w:lang w:val="sv-FI"/>
        </w:rPr>
      </w:pPr>
      <w:r w:rsidRPr="008379CA">
        <w:rPr>
          <w:rFonts w:ascii="Bookman Old Style" w:hAnsi="Bookman Old Style" w:cs="Arial"/>
          <w:sz w:val="24"/>
          <w:szCs w:val="24"/>
          <w:lang w:val="sv-FI"/>
        </w:rPr>
        <w:t>Di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atas</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5</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tahun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sebanyak</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1</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orang.</w:t>
      </w:r>
    </w:p>
    <w:p w14:paraId="60B66032" w14:textId="3677889D" w:rsidR="007006A6" w:rsidRPr="008379CA" w:rsidRDefault="007006A6" w:rsidP="00BA67F8">
      <w:pPr>
        <w:pStyle w:val="ListParagraph"/>
        <w:numPr>
          <w:ilvl w:val="0"/>
          <w:numId w:val="187"/>
        </w:numPr>
        <w:spacing w:before="60" w:after="0" w:line="276" w:lineRule="auto"/>
        <w:ind w:left="1701" w:hanging="425"/>
        <w:contextualSpacing w:val="0"/>
        <w:jc w:val="both"/>
        <w:rPr>
          <w:rFonts w:ascii="Bookman Old Style" w:hAnsi="Bookman Old Style" w:cs="Arial"/>
          <w:sz w:val="24"/>
          <w:szCs w:val="24"/>
          <w:lang w:val="sv-FI"/>
        </w:rPr>
      </w:pPr>
      <w:r w:rsidRPr="008379CA">
        <w:rPr>
          <w:rFonts w:ascii="Bookman Old Style" w:hAnsi="Bookman Old Style" w:cs="Arial"/>
          <w:sz w:val="24"/>
          <w:szCs w:val="24"/>
          <w:lang w:val="sv-FI"/>
        </w:rPr>
        <w:t>Gizi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Kurang</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sebanyak</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634</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orang</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dengan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klasifikasi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berdasarkan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usia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sebagai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berikut:</w:t>
      </w:r>
    </w:p>
    <w:p w14:paraId="4F955A2B" w14:textId="4E83C728" w:rsidR="007006A6" w:rsidRPr="008379CA" w:rsidRDefault="007006A6" w:rsidP="00BA67F8">
      <w:pPr>
        <w:pStyle w:val="ListParagraph"/>
        <w:numPr>
          <w:ilvl w:val="0"/>
          <w:numId w:val="189"/>
        </w:numPr>
        <w:spacing w:before="120" w:after="120" w:line="240" w:lineRule="auto"/>
        <w:ind w:left="2268" w:hanging="567"/>
        <w:contextualSpacing w:val="0"/>
        <w:jc w:val="both"/>
        <w:rPr>
          <w:rFonts w:ascii="Bookman Old Style" w:hAnsi="Bookman Old Style" w:cs="Arial"/>
          <w:sz w:val="24"/>
          <w:szCs w:val="24"/>
          <w:lang w:val="en-US"/>
        </w:rPr>
      </w:pPr>
      <w:r w:rsidRPr="008379CA">
        <w:rPr>
          <w:rFonts w:ascii="Bookman Old Style" w:hAnsi="Bookman Old Style" w:cs="Arial"/>
          <w:sz w:val="24"/>
          <w:szCs w:val="24"/>
          <w:lang w:val="en-US"/>
        </w:rPr>
        <w:t>0-6</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bulan</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sebanyak</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7</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orang;</w:t>
      </w:r>
    </w:p>
    <w:p w14:paraId="2FB11510" w14:textId="33689255" w:rsidR="007006A6" w:rsidRPr="008379CA" w:rsidRDefault="007006A6" w:rsidP="00BA67F8">
      <w:pPr>
        <w:pStyle w:val="ListParagraph"/>
        <w:numPr>
          <w:ilvl w:val="0"/>
          <w:numId w:val="189"/>
        </w:numPr>
        <w:spacing w:before="120" w:after="120" w:line="240" w:lineRule="auto"/>
        <w:ind w:left="2268" w:hanging="567"/>
        <w:contextualSpacing w:val="0"/>
        <w:jc w:val="both"/>
        <w:rPr>
          <w:rFonts w:ascii="Bookman Old Style" w:hAnsi="Bookman Old Style" w:cs="Arial"/>
          <w:sz w:val="24"/>
          <w:szCs w:val="24"/>
          <w:lang w:val="en-US"/>
        </w:rPr>
      </w:pPr>
      <w:r w:rsidRPr="008379CA">
        <w:rPr>
          <w:rFonts w:ascii="Bookman Old Style" w:hAnsi="Bookman Old Style" w:cs="Arial"/>
          <w:sz w:val="24"/>
          <w:szCs w:val="24"/>
          <w:lang w:val="en-US"/>
        </w:rPr>
        <w:t>6-9</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bulan</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sebanyak</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10</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orang;</w:t>
      </w:r>
    </w:p>
    <w:p w14:paraId="3781E0CD" w14:textId="27F85AA8" w:rsidR="007006A6" w:rsidRPr="008379CA" w:rsidRDefault="007006A6" w:rsidP="00BA67F8">
      <w:pPr>
        <w:pStyle w:val="ListParagraph"/>
        <w:numPr>
          <w:ilvl w:val="0"/>
          <w:numId w:val="189"/>
        </w:numPr>
        <w:spacing w:before="120" w:after="120" w:line="240" w:lineRule="auto"/>
        <w:ind w:left="2268" w:hanging="567"/>
        <w:contextualSpacing w:val="0"/>
        <w:jc w:val="both"/>
        <w:rPr>
          <w:rFonts w:ascii="Bookman Old Style" w:hAnsi="Bookman Old Style" w:cs="Arial"/>
          <w:sz w:val="24"/>
          <w:szCs w:val="24"/>
          <w:lang w:val="en-US"/>
        </w:rPr>
      </w:pPr>
      <w:r w:rsidRPr="008379CA">
        <w:rPr>
          <w:rFonts w:ascii="Bookman Old Style" w:hAnsi="Bookman Old Style" w:cs="Arial"/>
          <w:sz w:val="24"/>
          <w:szCs w:val="24"/>
          <w:lang w:val="en-US"/>
        </w:rPr>
        <w:t>9-12</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bulan</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sebanyak</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216</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orang;</w:t>
      </w:r>
    </w:p>
    <w:p w14:paraId="0C99F816" w14:textId="69D229A5" w:rsidR="007006A6" w:rsidRPr="008379CA" w:rsidRDefault="007006A6" w:rsidP="00BA67F8">
      <w:pPr>
        <w:pStyle w:val="ListParagraph"/>
        <w:numPr>
          <w:ilvl w:val="0"/>
          <w:numId w:val="189"/>
        </w:numPr>
        <w:spacing w:before="120" w:after="120" w:line="240" w:lineRule="auto"/>
        <w:ind w:left="2268" w:hanging="567"/>
        <w:contextualSpacing w:val="0"/>
        <w:jc w:val="both"/>
        <w:rPr>
          <w:rFonts w:ascii="Bookman Old Style" w:hAnsi="Bookman Old Style" w:cs="Arial"/>
          <w:sz w:val="24"/>
          <w:szCs w:val="24"/>
          <w:lang w:val="en-US"/>
        </w:rPr>
      </w:pPr>
      <w:r w:rsidRPr="008379CA">
        <w:rPr>
          <w:rFonts w:ascii="Bookman Old Style" w:hAnsi="Bookman Old Style" w:cs="Arial"/>
          <w:sz w:val="24"/>
          <w:szCs w:val="24"/>
          <w:lang w:val="en-US"/>
        </w:rPr>
        <w:t>12-60</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bulan</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sebanyak</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396</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orang;</w:t>
      </w:r>
      <w:r w:rsidR="00A954D0" w:rsidRPr="008379CA">
        <w:rPr>
          <w:rFonts w:ascii="Bookman Old Style" w:hAnsi="Bookman Old Style" w:cs="Arial"/>
          <w:sz w:val="24"/>
          <w:szCs w:val="24"/>
          <w:lang w:val="en-US"/>
        </w:rPr>
        <w:t xml:space="preserve"> </w:t>
      </w:r>
    </w:p>
    <w:p w14:paraId="09CF0EC8" w14:textId="7728EE77" w:rsidR="007006A6" w:rsidRPr="008379CA" w:rsidRDefault="007006A6" w:rsidP="00BA67F8">
      <w:pPr>
        <w:pStyle w:val="ListParagraph"/>
        <w:numPr>
          <w:ilvl w:val="0"/>
          <w:numId w:val="189"/>
        </w:numPr>
        <w:spacing w:before="120" w:after="120" w:line="240" w:lineRule="auto"/>
        <w:ind w:left="2268" w:hanging="567"/>
        <w:contextualSpacing w:val="0"/>
        <w:jc w:val="both"/>
        <w:rPr>
          <w:rFonts w:ascii="Bookman Old Style" w:hAnsi="Bookman Old Style" w:cs="Arial"/>
          <w:sz w:val="24"/>
          <w:szCs w:val="24"/>
          <w:lang w:val="sv-FI"/>
        </w:rPr>
      </w:pPr>
      <w:r w:rsidRPr="008379CA">
        <w:rPr>
          <w:rFonts w:ascii="Bookman Old Style" w:hAnsi="Bookman Old Style" w:cs="Arial"/>
          <w:sz w:val="24"/>
          <w:szCs w:val="24"/>
          <w:lang w:val="sv-FI"/>
        </w:rPr>
        <w:t>Di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atas</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5</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tahun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sebanyak</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5</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orang.</w:t>
      </w:r>
    </w:p>
    <w:p w14:paraId="6776B744" w14:textId="29BCF93C" w:rsidR="007006A6" w:rsidRPr="008379CA" w:rsidRDefault="007006A6" w:rsidP="00BA67F8">
      <w:pPr>
        <w:pStyle w:val="ListParagraph"/>
        <w:numPr>
          <w:ilvl w:val="0"/>
          <w:numId w:val="187"/>
        </w:numPr>
        <w:spacing w:before="60" w:after="0" w:line="276" w:lineRule="auto"/>
        <w:ind w:left="1701" w:hanging="425"/>
        <w:contextualSpacing w:val="0"/>
        <w:jc w:val="both"/>
        <w:rPr>
          <w:rFonts w:ascii="Bookman Old Style" w:hAnsi="Bookman Old Style" w:cs="Arial"/>
          <w:sz w:val="24"/>
          <w:szCs w:val="24"/>
          <w:lang w:val="sv-FI"/>
        </w:rPr>
      </w:pPr>
      <w:r w:rsidRPr="008379CA">
        <w:rPr>
          <w:rFonts w:ascii="Bookman Old Style" w:hAnsi="Bookman Old Style" w:cs="Arial"/>
          <w:sz w:val="24"/>
          <w:szCs w:val="24"/>
          <w:lang w:val="sv-FI"/>
        </w:rPr>
        <w:t>Gizi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Baik</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sebanyak</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2</w:t>
      </w:r>
      <w:r w:rsidR="00673BFA" w:rsidRPr="008379CA">
        <w:rPr>
          <w:rFonts w:ascii="Bookman Old Style" w:hAnsi="Bookman Old Style" w:cs="Arial"/>
          <w:sz w:val="24"/>
          <w:szCs w:val="24"/>
          <w:lang w:val="sv-FI"/>
        </w:rPr>
        <w:t>.</w:t>
      </w:r>
      <w:r w:rsidRPr="008379CA">
        <w:rPr>
          <w:rFonts w:ascii="Bookman Old Style" w:hAnsi="Bookman Old Style" w:cs="Arial"/>
          <w:sz w:val="24"/>
          <w:szCs w:val="24"/>
          <w:lang w:val="sv-FI"/>
        </w:rPr>
        <w:t>811</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orang,</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dengan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stunting</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usia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atas</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5</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Tahun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30</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orang;</w:t>
      </w:r>
    </w:p>
    <w:p w14:paraId="506196C6" w14:textId="4C4B07EB" w:rsidR="007006A6" w:rsidRPr="008379CA" w:rsidRDefault="007006A6" w:rsidP="00BA67F8">
      <w:pPr>
        <w:pStyle w:val="ListParagraph"/>
        <w:numPr>
          <w:ilvl w:val="0"/>
          <w:numId w:val="187"/>
        </w:numPr>
        <w:spacing w:before="60" w:after="0" w:line="276" w:lineRule="auto"/>
        <w:ind w:left="1701" w:hanging="425"/>
        <w:contextualSpacing w:val="0"/>
        <w:jc w:val="both"/>
        <w:rPr>
          <w:rFonts w:ascii="Bookman Old Style" w:hAnsi="Bookman Old Style" w:cs="Arial"/>
          <w:sz w:val="24"/>
          <w:szCs w:val="24"/>
          <w:lang w:val="sv-FI"/>
        </w:rPr>
      </w:pPr>
      <w:r w:rsidRPr="008379CA">
        <w:rPr>
          <w:rFonts w:ascii="Bookman Old Style" w:hAnsi="Bookman Old Style" w:cs="Arial"/>
          <w:sz w:val="24"/>
          <w:szCs w:val="24"/>
          <w:lang w:val="sv-FI"/>
        </w:rPr>
        <w:t>Risiko</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Gizi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Lebih</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sebanyak</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134</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orang</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dengan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stunting</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usia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atas</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5</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Tahun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sebanyak</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0</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orang;</w:t>
      </w:r>
    </w:p>
    <w:p w14:paraId="4AE2196C" w14:textId="7DB3F925" w:rsidR="007006A6" w:rsidRPr="008379CA" w:rsidRDefault="007006A6" w:rsidP="00BA67F8">
      <w:pPr>
        <w:pStyle w:val="ListParagraph"/>
        <w:numPr>
          <w:ilvl w:val="0"/>
          <w:numId w:val="187"/>
        </w:numPr>
        <w:spacing w:before="60" w:after="0" w:line="276" w:lineRule="auto"/>
        <w:ind w:left="1701" w:hanging="425"/>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sv-FI"/>
        </w:rPr>
        <w:t>Gizi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Lebih</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sebanyak</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40</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orang</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dengan</w:t>
      </w:r>
      <w:r w:rsidR="00A954D0" w:rsidRPr="008379CA">
        <w:rPr>
          <w:rFonts w:ascii="Bookman Old Style" w:hAnsi="Bookman Old Style" w:cs="Arial"/>
          <w:sz w:val="24"/>
          <w:szCs w:val="24"/>
          <w:lang w:val="sv-FI"/>
        </w:rPr>
        <w:t xml:space="preserve"> </w:t>
      </w:r>
      <w:r w:rsidRPr="008379CA">
        <w:rPr>
          <w:rFonts w:ascii="Bookman Old Style" w:hAnsi="Bookman Old Style" w:cs="Arial"/>
          <w:i/>
          <w:iCs/>
          <w:sz w:val="24"/>
          <w:szCs w:val="24"/>
          <w:lang w:val="sv-FI"/>
        </w:rPr>
        <w:t>stunting</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usia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atas</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5</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Tahun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sebanyak</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1</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orang</w:t>
      </w:r>
      <w:r w:rsidRPr="008379CA">
        <w:rPr>
          <w:rFonts w:ascii="Bookman Old Style" w:hAnsi="Bookman Old Style" w:cs="Arial"/>
          <w:sz w:val="24"/>
          <w:szCs w:val="24"/>
          <w:lang w:val="id-ID"/>
        </w:rPr>
        <w:t>.</w:t>
      </w:r>
    </w:p>
    <w:p w14:paraId="0A8A5FBC" w14:textId="0716F63C" w:rsidR="00C825AB" w:rsidRPr="008379CA" w:rsidRDefault="007006A6" w:rsidP="007006A6">
      <w:pPr>
        <w:pStyle w:val="ListParagraph"/>
        <w:spacing w:before="60" w:after="0" w:line="276" w:lineRule="auto"/>
        <w:ind w:left="1287"/>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Sehubungan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dengan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hal</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tersebut,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Pemerintah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Daerah</w:t>
      </w:r>
      <w:r w:rsidR="00A954D0" w:rsidRPr="008379CA">
        <w:rPr>
          <w:rFonts w:ascii="Bookman Old Style" w:hAnsi="Bookman Old Style" w:cs="Arial"/>
          <w:sz w:val="24"/>
          <w:szCs w:val="24"/>
          <w:lang w:val="id-ID"/>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agar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menyediakan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alokasi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anggaran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yang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memadai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terutama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pada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strategi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menjamin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pemenuhan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asupan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gizi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meningkatkan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akses</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mutu</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pelayanan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kesehatan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serta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berpedoman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kepada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Peraturan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Presiden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Nomor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72</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tahun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2021</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tentang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Percepatan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penurunan</w:t>
      </w:r>
      <w:r w:rsidR="00A954D0" w:rsidRPr="008379CA">
        <w:rPr>
          <w:rFonts w:ascii="Bookman Old Style" w:hAnsi="Bookman Old Style" w:cs="Arial"/>
          <w:sz w:val="24"/>
          <w:szCs w:val="24"/>
          <w:lang w:val="id-ID"/>
        </w:rPr>
        <w:t xml:space="preserve"> </w:t>
      </w:r>
      <w:r w:rsidRPr="008379CA">
        <w:rPr>
          <w:rFonts w:ascii="Bookman Old Style" w:hAnsi="Bookman Old Style" w:cs="Arial"/>
          <w:i/>
          <w:iCs/>
          <w:sz w:val="24"/>
          <w:szCs w:val="24"/>
          <w:lang w:val="id-ID"/>
        </w:rPr>
        <w:t>Stunting,</w:t>
      </w:r>
      <w:r w:rsidR="00A954D0" w:rsidRPr="008379CA">
        <w:rPr>
          <w:rFonts w:ascii="Bookman Old Style" w:hAnsi="Bookman Old Style" w:cs="Arial"/>
          <w:i/>
          <w:iCs/>
          <w:sz w:val="24"/>
          <w:szCs w:val="24"/>
          <w:lang w:val="id-ID"/>
        </w:rPr>
        <w:t xml:space="preserve"> </w:t>
      </w:r>
      <w:r w:rsidRPr="008379CA">
        <w:rPr>
          <w:rFonts w:ascii="Bookman Old Style" w:hAnsi="Bookman Old Style" w:cs="Calibri"/>
          <w:sz w:val="24"/>
          <w:szCs w:val="24"/>
          <w:lang w:val="id-ID"/>
        </w:rPr>
        <w:t>butir</w:t>
      </w:r>
      <w:r w:rsidR="00A954D0" w:rsidRPr="008379CA">
        <w:rPr>
          <w:rFonts w:ascii="Bookman Old Style" w:hAnsi="Bookman Old Style" w:cs="Calibri"/>
          <w:sz w:val="24"/>
          <w:szCs w:val="24"/>
          <w:lang w:val="id-ID"/>
        </w:rPr>
        <w:t xml:space="preserve"> </w:t>
      </w:r>
      <w:r w:rsidRPr="008379CA">
        <w:rPr>
          <w:rFonts w:ascii="Bookman Old Style" w:hAnsi="Bookman Old Style"/>
          <w:sz w:val="24"/>
          <w:szCs w:val="24"/>
          <w:lang w:val="sv-FI"/>
        </w:rPr>
        <w:t>5.2</w:t>
      </w:r>
      <w:r w:rsidRPr="008379CA">
        <w:rPr>
          <w:rFonts w:ascii="Bookman Old Style" w:hAnsi="Bookman Old Style"/>
          <w:sz w:val="24"/>
          <w:szCs w:val="24"/>
          <w:lang w:val="id-ID"/>
        </w:rPr>
        <w:t>.</w:t>
      </w:r>
      <w:r w:rsidRPr="008379CA">
        <w:rPr>
          <w:rFonts w:ascii="Bookman Old Style" w:hAnsi="Bookman Old Style"/>
          <w:sz w:val="24"/>
          <w:szCs w:val="24"/>
          <w:lang w:val="sv-FI"/>
        </w:rPr>
        <w:t>14.a</w:t>
      </w:r>
      <w:r w:rsidR="00A954D0" w:rsidRPr="008379CA">
        <w:rPr>
          <w:rFonts w:ascii="Bookman Old Style" w:hAnsi="Bookman Old Style" w:cs="Calibri"/>
          <w:sz w:val="24"/>
          <w:szCs w:val="24"/>
          <w:lang w:val="id-ID"/>
        </w:rPr>
        <w:t xml:space="preserve"> </w:t>
      </w:r>
      <w:r w:rsidRPr="008379CA">
        <w:rPr>
          <w:rFonts w:ascii="Bookman Old Style" w:hAnsi="Bookman Old Style" w:cs="Arial"/>
          <w:sz w:val="24"/>
          <w:szCs w:val="24"/>
          <w:lang w:val="de-DE"/>
        </w:rPr>
        <w:t>Lampiran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id-ID"/>
        </w:rPr>
        <w:t>Peraturan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Menteri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Dalam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Negeri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Nomor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15</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Tahun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lastRenderedPageBreak/>
        <w:t>2024</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serta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Surat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Edaran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Menteri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Dalam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Negeri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Nomor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050/4890/SJ</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tanggal</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24</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Agustus</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2022</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tentang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Percepatan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Penurunan</w:t>
      </w:r>
      <w:r w:rsidR="00A954D0" w:rsidRPr="008379CA">
        <w:rPr>
          <w:rFonts w:ascii="Bookman Old Style" w:hAnsi="Bookman Old Style" w:cs="Arial"/>
          <w:sz w:val="24"/>
          <w:szCs w:val="24"/>
          <w:lang w:val="id-ID"/>
        </w:rPr>
        <w:t xml:space="preserve"> </w:t>
      </w:r>
      <w:r w:rsidRPr="008379CA">
        <w:rPr>
          <w:rFonts w:ascii="Bookman Old Style" w:hAnsi="Bookman Old Style" w:cs="Arial"/>
          <w:i/>
          <w:iCs/>
          <w:sz w:val="24"/>
          <w:szCs w:val="24"/>
          <w:lang w:val="id-ID"/>
        </w:rPr>
        <w:t>Stunting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daerah.</w:t>
      </w:r>
    </w:p>
    <w:p w14:paraId="59CB38C4" w14:textId="34769F81" w:rsidR="00C825AB" w:rsidRPr="008379CA" w:rsidRDefault="00412B8E" w:rsidP="00BA67F8">
      <w:pPr>
        <w:pStyle w:val="ListParagraph"/>
        <w:numPr>
          <w:ilvl w:val="0"/>
          <w:numId w:val="97"/>
        </w:numPr>
        <w:spacing w:before="120" w:after="0" w:line="276" w:lineRule="auto"/>
        <w:ind w:left="1281" w:hanging="288"/>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Alokasi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Anggaran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sv-FI"/>
        </w:rPr>
        <w:t>Percepatan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Penghapusan</w:t>
      </w:r>
      <w:r w:rsidR="00A954D0" w:rsidRPr="008379CA">
        <w:rPr>
          <w:rFonts w:ascii="Bookman Old Style" w:hAnsi="Bookman Old Style" w:cs="Arial"/>
          <w:sz w:val="24"/>
          <w:szCs w:val="24"/>
          <w:lang w:val="sv-FI"/>
        </w:rPr>
        <w:t xml:space="preserve"> </w:t>
      </w:r>
      <w:r w:rsidR="00D063D4" w:rsidRPr="008379CA">
        <w:rPr>
          <w:rFonts w:ascii="Bookman Old Style" w:hAnsi="Bookman Old Style" w:cs="Arial"/>
          <w:sz w:val="24"/>
          <w:szCs w:val="24"/>
          <w:lang w:val="id-ID"/>
        </w:rPr>
        <w:t>Kemiskinan</w:t>
      </w:r>
      <w:r w:rsidR="00A954D0" w:rsidRPr="008379CA">
        <w:rPr>
          <w:rFonts w:ascii="Bookman Old Style" w:hAnsi="Bookman Old Style" w:cs="Arial"/>
          <w:sz w:val="24"/>
          <w:szCs w:val="24"/>
          <w:lang w:val="id-ID"/>
        </w:rPr>
        <w:t xml:space="preserve"> </w:t>
      </w:r>
      <w:r w:rsidR="00D063D4" w:rsidRPr="008379CA">
        <w:rPr>
          <w:rFonts w:ascii="Bookman Old Style" w:hAnsi="Bookman Old Style" w:cs="Arial"/>
          <w:sz w:val="24"/>
          <w:szCs w:val="24"/>
          <w:lang w:val="id-ID"/>
        </w:rPr>
        <w:t>Ekstrem</w:t>
      </w:r>
      <w:r w:rsidR="00A954D0" w:rsidRPr="008379CA">
        <w:rPr>
          <w:rFonts w:ascii="Bookman Old Style" w:hAnsi="Bookman Old Style" w:cs="Arial"/>
          <w:sz w:val="24"/>
          <w:szCs w:val="24"/>
          <w:lang w:val="id-ID"/>
        </w:rPr>
        <w:t xml:space="preserve"> </w:t>
      </w:r>
    </w:p>
    <w:p w14:paraId="36E04250" w14:textId="3EF03818" w:rsidR="00A07951" w:rsidRPr="008379CA" w:rsidRDefault="00A07951" w:rsidP="00A07951">
      <w:pPr>
        <w:pStyle w:val="ListParagraph"/>
        <w:spacing w:before="60" w:after="0" w:line="276" w:lineRule="auto"/>
        <w:ind w:left="127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Dalam</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rangka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Percepatan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Penghapusan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Kemiskinan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Ekstrem,</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Pemerintah</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Daerah</w:t>
      </w:r>
      <w:r w:rsidR="00A954D0" w:rsidRPr="008379CA">
        <w:rPr>
          <w:rFonts w:ascii="Bookman Old Style" w:hAnsi="Bookman Old Style" w:cs="Arial"/>
          <w:noProof/>
          <w:sz w:val="24"/>
          <w:szCs w:val="24"/>
          <w:lang w:val="id-ID"/>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cs="Arial"/>
          <w:noProof/>
          <w:sz w:val="24"/>
          <w:szCs w:val="24"/>
          <w:lang w:val="id-ID"/>
        </w:rPr>
        <w:t>mengalokasikan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anggaran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Rp271.391.525.929,70</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atau</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4,76%</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dari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total</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daerah</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dalam</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Rancangan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Peraturan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Daerah</w:t>
      </w:r>
      <w:r w:rsidR="00A954D0" w:rsidRPr="008379CA">
        <w:rPr>
          <w:rFonts w:ascii="Bookman Old Style" w:hAnsi="Bookman Old Style" w:cs="Arial"/>
          <w:noProof/>
          <w:sz w:val="24"/>
          <w:szCs w:val="24"/>
          <w:lang w:val="id-ID"/>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tentang</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APBD</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Tahun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Anggaran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2025,</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dengan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klasifikasi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sebagai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berikut:</w:t>
      </w:r>
    </w:p>
    <w:p w14:paraId="545CCC54" w14:textId="247476CC" w:rsidR="00A07951" w:rsidRPr="008379CA" w:rsidRDefault="00A07951">
      <w:pPr>
        <w:pStyle w:val="ListParagraph"/>
        <w:numPr>
          <w:ilvl w:val="0"/>
          <w:numId w:val="180"/>
        </w:numPr>
        <w:spacing w:before="60" w:line="276" w:lineRule="auto"/>
        <w:ind w:left="1701" w:hanging="425"/>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Total</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Alokasi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Langsung</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Rp169.567.466.141,50;</w:t>
      </w:r>
      <w:r w:rsidR="00A954D0" w:rsidRPr="008379CA">
        <w:rPr>
          <w:rFonts w:ascii="Bookman Old Style" w:hAnsi="Bookman Old Style" w:cs="Arial"/>
          <w:noProof/>
          <w:sz w:val="24"/>
          <w:szCs w:val="24"/>
          <w:lang w:val="id-ID"/>
        </w:rPr>
        <w:t xml:space="preserve"> </w:t>
      </w:r>
    </w:p>
    <w:p w14:paraId="0717A77C" w14:textId="1961BB56" w:rsidR="00A07951" w:rsidRPr="008379CA" w:rsidRDefault="00A07951">
      <w:pPr>
        <w:pStyle w:val="ListParagraph"/>
        <w:numPr>
          <w:ilvl w:val="0"/>
          <w:numId w:val="180"/>
        </w:numPr>
        <w:spacing w:before="60" w:line="276" w:lineRule="auto"/>
        <w:ind w:left="1701" w:hanging="425"/>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Total</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Alokasi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Tidak</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Langsung</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Rp99.549.349.588,20;</w:t>
      </w:r>
    </w:p>
    <w:p w14:paraId="3180E1EA" w14:textId="258885FC" w:rsidR="00A07951" w:rsidRPr="008379CA" w:rsidRDefault="00A07951">
      <w:pPr>
        <w:pStyle w:val="ListParagraph"/>
        <w:numPr>
          <w:ilvl w:val="0"/>
          <w:numId w:val="180"/>
        </w:numPr>
        <w:spacing w:before="60" w:line="276" w:lineRule="auto"/>
        <w:ind w:left="1701" w:hanging="425"/>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Total</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Alokasi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Penunjang</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Rp2.274.710.200,00</w:t>
      </w:r>
      <w:r w:rsidR="0038248F" w:rsidRPr="008379CA">
        <w:rPr>
          <w:rFonts w:ascii="Bookman Old Style" w:hAnsi="Bookman Old Style" w:cs="Arial"/>
          <w:noProof/>
          <w:sz w:val="24"/>
          <w:szCs w:val="24"/>
          <w:lang w:val="en-US"/>
        </w:rPr>
        <w:t>.</w:t>
      </w:r>
      <w:r w:rsidR="00A954D0" w:rsidRPr="008379CA">
        <w:rPr>
          <w:rFonts w:ascii="Bookman Old Style" w:hAnsi="Bookman Old Style" w:cs="Arial"/>
          <w:noProof/>
          <w:sz w:val="24"/>
          <w:szCs w:val="24"/>
          <w:lang w:val="id-ID"/>
        </w:rPr>
        <w:t xml:space="preserve"> </w:t>
      </w:r>
    </w:p>
    <w:p w14:paraId="3867ABBE" w14:textId="282C70AF" w:rsidR="00A07951" w:rsidRPr="008379CA" w:rsidRDefault="00A07951" w:rsidP="00A07951">
      <w:pPr>
        <w:pStyle w:val="ListParagraph"/>
        <w:spacing w:before="60" w:after="0" w:line="276" w:lineRule="auto"/>
        <w:ind w:left="127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Alokasi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anggaran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Percepatan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Penghapusan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Kemiskinan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Ekstrem</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diuraikan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dengan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strategi/sasaran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penanganan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sebagai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berikut:</w:t>
      </w:r>
    </w:p>
    <w:p w14:paraId="7C347AC7" w14:textId="6C204C93" w:rsidR="00A07951" w:rsidRPr="008379CA" w:rsidRDefault="00A07951">
      <w:pPr>
        <w:pStyle w:val="ListParagraph"/>
        <w:numPr>
          <w:ilvl w:val="0"/>
          <w:numId w:val="82"/>
        </w:numPr>
        <w:spacing w:before="60" w:after="0" w:line="276" w:lineRule="auto"/>
        <w:ind w:left="1701"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Strategi/sasaran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Meminimalkan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Wilayah</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Kantong</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Kemiskinan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Rp25.093.235.028,20</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atau</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9,25%</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dari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total</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alokasi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anggaran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Percepatan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Penghapusan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Kemiskinan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Ekstrem,</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yang</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tercantum</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pada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sub</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kegiatan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antara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lain:</w:t>
      </w:r>
    </w:p>
    <w:p w14:paraId="04570D92" w14:textId="635549F6" w:rsidR="00A07951" w:rsidRPr="008379CA" w:rsidRDefault="00A07951" w:rsidP="0038248F">
      <w:pPr>
        <w:pStyle w:val="ListParagraph"/>
        <w:numPr>
          <w:ilvl w:val="0"/>
          <w:numId w:val="87"/>
        </w:numPr>
        <w:spacing w:before="60" w:after="0" w:line="276" w:lineRule="auto"/>
        <w:ind w:left="2268" w:hanging="567"/>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Operasi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Pemeliharaan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Sistem</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Pengelolaan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Air</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Limbah</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Domestik</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(SPALD)</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pada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Dinas</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Perumahan,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Permukiman</w:t>
      </w:r>
      <w:r w:rsidR="00A954D0" w:rsidRPr="008379CA">
        <w:rPr>
          <w:rFonts w:ascii="Bookman Old Style" w:hAnsi="Bookman Old Style" w:cs="Arial"/>
          <w:noProof/>
          <w:sz w:val="24"/>
          <w:szCs w:val="24"/>
          <w:lang w:val="id-ID"/>
        </w:rPr>
        <w:t xml:space="preserve"> </w:t>
      </w:r>
      <w:r w:rsidR="009355E3" w:rsidRPr="008379CA">
        <w:rPr>
          <w:rFonts w:ascii="Bookman Old Style" w:hAnsi="Bookman Old Style" w:cs="Arial"/>
          <w:noProof/>
          <w:sz w:val="24"/>
          <w:szCs w:val="24"/>
          <w:lang w:val="id-ID"/>
        </w:rPr>
        <w:t>d</w:t>
      </w:r>
      <w:r w:rsidRPr="008379CA">
        <w:rPr>
          <w:rFonts w:ascii="Bookman Old Style" w:hAnsi="Bookman Old Style" w:cs="Arial"/>
          <w:noProof/>
          <w:sz w:val="24"/>
          <w:szCs w:val="24"/>
          <w:lang w:val="id-ID"/>
        </w:rPr>
        <w:t>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Pertanahan</w:t>
      </w:r>
      <w:r w:rsidR="00A954D0" w:rsidRPr="008379CA">
        <w:rPr>
          <w:rFonts w:ascii="Bookman Old Style" w:hAnsi="Bookman Old Style" w:cs="Arial"/>
          <w:noProof/>
          <w:sz w:val="24"/>
          <w:szCs w:val="24"/>
          <w:lang w:val="id-ID"/>
        </w:rPr>
        <w:t xml:space="preserve"> </w:t>
      </w:r>
      <w:bookmarkStart w:id="9" w:name="_Hlk183283016"/>
      <w:r w:rsidRPr="008379CA">
        <w:rPr>
          <w:rFonts w:ascii="Bookman Old Style" w:hAnsi="Bookman Old Style" w:cs="Arial"/>
          <w:noProof/>
          <w:sz w:val="24"/>
          <w:szCs w:val="24"/>
          <w:lang w:val="id-ID"/>
        </w:rPr>
        <w:t>Rp20.976.916.690,00,</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dengan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Perhitungan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Alokasi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Penghapusan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Kemiskinan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Ekstrem</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Rp497.086.433,40</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dengan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target</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29</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Unit,</w:t>
      </w:r>
      <w:r w:rsidR="00A954D0" w:rsidRPr="008379CA">
        <w:rPr>
          <w:rFonts w:ascii="Bookman Old Style" w:eastAsia="Bookman Old Style" w:hAnsi="Bookman Old Style" w:cs="Bookman Old Style"/>
          <w:sz w:val="24"/>
          <w:szCs w:val="24"/>
          <w:lang w:val="id-ID" w:eastAsia="en-US"/>
        </w:rPr>
        <w:t xml:space="preserve"> </w:t>
      </w:r>
      <w:r w:rsidRPr="008379CA">
        <w:rPr>
          <w:rFonts w:ascii="Bookman Old Style" w:eastAsia="Bookman Old Style" w:hAnsi="Bookman Old Style" w:cs="Bookman Old Style"/>
          <w:sz w:val="24"/>
          <w:szCs w:val="24"/>
          <w:lang w:val="id-ID" w:eastAsia="en-US"/>
        </w:rPr>
        <w:t>yang</w:t>
      </w:r>
      <w:r w:rsidR="00A954D0" w:rsidRPr="008379CA">
        <w:rPr>
          <w:rFonts w:ascii="Bookman Old Style" w:eastAsia="Bookman Old Style" w:hAnsi="Bookman Old Style" w:cs="Bookman Old Style"/>
          <w:sz w:val="24"/>
          <w:szCs w:val="24"/>
          <w:lang w:val="id-ID" w:eastAsia="en-US"/>
        </w:rPr>
        <w:t xml:space="preserve"> </w:t>
      </w:r>
      <w:r w:rsidRPr="008379CA">
        <w:rPr>
          <w:rFonts w:ascii="Bookman Old Style" w:eastAsia="Bookman Old Style" w:hAnsi="Bookman Old Style" w:cs="Bookman Old Style"/>
          <w:sz w:val="24"/>
          <w:szCs w:val="24"/>
          <w:lang w:val="id-ID" w:eastAsia="en-US"/>
        </w:rPr>
        <w:t>diuraikan</w:t>
      </w:r>
      <w:r w:rsidR="00A954D0" w:rsidRPr="008379CA">
        <w:rPr>
          <w:rFonts w:ascii="Bookman Old Style" w:eastAsia="Bookman Old Style" w:hAnsi="Bookman Old Style" w:cs="Bookman Old Style"/>
          <w:sz w:val="24"/>
          <w:szCs w:val="24"/>
          <w:lang w:val="id-ID" w:eastAsia="en-US"/>
        </w:rPr>
        <w:t xml:space="preserve"> </w:t>
      </w:r>
      <w:r w:rsidRPr="008379CA">
        <w:rPr>
          <w:rFonts w:ascii="Bookman Old Style" w:eastAsia="Bookman Old Style" w:hAnsi="Bookman Old Style" w:cs="Bookman Old Style"/>
          <w:sz w:val="24"/>
          <w:szCs w:val="24"/>
          <w:lang w:val="id-ID" w:eastAsia="en-US"/>
        </w:rPr>
        <w:t>ke</w:t>
      </w:r>
      <w:r w:rsidR="00A954D0" w:rsidRPr="008379CA">
        <w:rPr>
          <w:rFonts w:ascii="Bookman Old Style" w:eastAsia="Bookman Old Style" w:hAnsi="Bookman Old Style" w:cs="Bookman Old Style"/>
          <w:sz w:val="24"/>
          <w:szCs w:val="24"/>
          <w:lang w:val="id-ID" w:eastAsia="en-US"/>
        </w:rPr>
        <w:t xml:space="preserve"> </w:t>
      </w:r>
      <w:r w:rsidRPr="008379CA">
        <w:rPr>
          <w:rFonts w:ascii="Bookman Old Style" w:eastAsia="Bookman Old Style" w:hAnsi="Bookman Old Style" w:cs="Bookman Old Style"/>
          <w:sz w:val="24"/>
          <w:szCs w:val="24"/>
          <w:lang w:val="id-ID" w:eastAsia="en-US"/>
        </w:rPr>
        <w:t>dalam</w:t>
      </w:r>
      <w:r w:rsidR="00A954D0" w:rsidRPr="008379CA">
        <w:rPr>
          <w:rFonts w:ascii="Bookman Old Style" w:eastAsia="Bookman Old Style" w:hAnsi="Bookman Old Style" w:cs="Bookman Old Style"/>
          <w:sz w:val="24"/>
          <w:szCs w:val="24"/>
          <w:lang w:val="id-ID" w:eastAsia="en-US"/>
        </w:rPr>
        <w:t xml:space="preserve"> </w:t>
      </w:r>
      <w:r w:rsidRPr="008379CA">
        <w:rPr>
          <w:rFonts w:ascii="Bookman Old Style" w:eastAsia="Bookman Old Style" w:hAnsi="Bookman Old Style" w:cs="Bookman Old Style"/>
          <w:sz w:val="24"/>
          <w:szCs w:val="24"/>
          <w:lang w:val="id-ID" w:eastAsia="en-US"/>
        </w:rPr>
        <w:t>sub</w:t>
      </w:r>
      <w:r w:rsidR="00A954D0" w:rsidRPr="008379CA">
        <w:rPr>
          <w:rFonts w:ascii="Bookman Old Style" w:eastAsia="Bookman Old Style" w:hAnsi="Bookman Old Style" w:cs="Bookman Old Style"/>
          <w:sz w:val="24"/>
          <w:szCs w:val="24"/>
          <w:lang w:val="id-ID" w:eastAsia="en-US"/>
        </w:rPr>
        <w:t xml:space="preserve"> </w:t>
      </w:r>
      <w:r w:rsidRPr="008379CA">
        <w:rPr>
          <w:rFonts w:ascii="Bookman Old Style" w:eastAsia="Bookman Old Style" w:hAnsi="Bookman Old Style" w:cs="Bookman Old Style"/>
          <w:sz w:val="24"/>
          <w:szCs w:val="24"/>
          <w:lang w:val="id-ID" w:eastAsia="en-US"/>
        </w:rPr>
        <w:t>rincian</w:t>
      </w:r>
      <w:r w:rsidR="00A954D0" w:rsidRPr="008379CA">
        <w:rPr>
          <w:rFonts w:ascii="Bookman Old Style" w:eastAsia="Bookman Old Style" w:hAnsi="Bookman Old Style" w:cs="Bookman Old Style"/>
          <w:sz w:val="24"/>
          <w:szCs w:val="24"/>
          <w:lang w:val="id-ID" w:eastAsia="en-US"/>
        </w:rPr>
        <w:t xml:space="preserve"> </w:t>
      </w:r>
      <w:r w:rsidRPr="008379CA">
        <w:rPr>
          <w:rFonts w:ascii="Bookman Old Style" w:eastAsia="Bookman Old Style" w:hAnsi="Bookman Old Style" w:cs="Bookman Old Style"/>
          <w:sz w:val="24"/>
          <w:szCs w:val="24"/>
          <w:lang w:val="id-ID" w:eastAsia="en-US"/>
        </w:rPr>
        <w:t>objek</w:t>
      </w:r>
      <w:r w:rsidR="00A954D0" w:rsidRPr="008379CA">
        <w:rPr>
          <w:rFonts w:ascii="Bookman Old Style" w:eastAsia="Bookman Old Style" w:hAnsi="Bookman Old Style" w:cs="Bookman Old Style"/>
          <w:sz w:val="24"/>
          <w:szCs w:val="24"/>
          <w:lang w:val="id-ID" w:eastAsia="en-US"/>
        </w:rPr>
        <w:t xml:space="preserve"> </w:t>
      </w:r>
      <w:r w:rsidRPr="008379CA">
        <w:rPr>
          <w:rFonts w:ascii="Bookman Old Style" w:eastAsia="Bookman Old Style" w:hAnsi="Bookman Old Style" w:cs="Bookman Old Style"/>
          <w:sz w:val="24"/>
          <w:szCs w:val="24"/>
          <w:lang w:val="id-ID" w:eastAsia="en-US"/>
        </w:rPr>
        <w:t>belanja:</w:t>
      </w:r>
    </w:p>
    <w:bookmarkEnd w:id="9"/>
    <w:p w14:paraId="1AB05576" w14:textId="2F5F23F4" w:rsidR="00A07951" w:rsidRPr="008379CA" w:rsidRDefault="00A07951" w:rsidP="0038248F">
      <w:pPr>
        <w:pStyle w:val="ListParagraph"/>
        <w:numPr>
          <w:ilvl w:val="0"/>
          <w:numId w:val="190"/>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Bahan-Bahan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Bangunan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Konstruksi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Rp588.240.700,00;</w:t>
      </w:r>
    </w:p>
    <w:p w14:paraId="79CB44EA" w14:textId="038236CA" w:rsidR="00A07951" w:rsidRPr="008379CA" w:rsidRDefault="00A07951" w:rsidP="0038248F">
      <w:pPr>
        <w:pStyle w:val="ListParagraph"/>
        <w:numPr>
          <w:ilvl w:val="0"/>
          <w:numId w:val="190"/>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Bahan-Bahan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Kimia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Rp320.000.000,00;</w:t>
      </w:r>
    </w:p>
    <w:p w14:paraId="061FB5EE" w14:textId="51BCBA7E" w:rsidR="00A07951" w:rsidRPr="008379CA" w:rsidRDefault="00A07951" w:rsidP="0038248F">
      <w:pPr>
        <w:pStyle w:val="ListParagraph"/>
        <w:numPr>
          <w:ilvl w:val="0"/>
          <w:numId w:val="190"/>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Bahan-Bahan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Bakar</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Pelumas</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Rp508.129.998,00;</w:t>
      </w:r>
    </w:p>
    <w:p w14:paraId="099314C0" w14:textId="1C1F2879" w:rsidR="00A07951" w:rsidRPr="008379CA" w:rsidRDefault="00A07951" w:rsidP="0038248F">
      <w:pPr>
        <w:pStyle w:val="ListParagraph"/>
        <w:numPr>
          <w:ilvl w:val="0"/>
          <w:numId w:val="190"/>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Bahan-Bahan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Baku</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Rp19.562.000,00;</w:t>
      </w:r>
    </w:p>
    <w:p w14:paraId="6A8FC072" w14:textId="038363DD" w:rsidR="00A07951" w:rsidRPr="008379CA" w:rsidRDefault="00A07951" w:rsidP="0038248F">
      <w:pPr>
        <w:pStyle w:val="ListParagraph"/>
        <w:numPr>
          <w:ilvl w:val="0"/>
          <w:numId w:val="190"/>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Bahan-Bahan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Lainnya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Rp163.952.400,00;</w:t>
      </w:r>
    </w:p>
    <w:p w14:paraId="27D6C62F" w14:textId="0295D225" w:rsidR="00A07951" w:rsidRPr="008379CA" w:rsidRDefault="00A07951" w:rsidP="0038248F">
      <w:pPr>
        <w:pStyle w:val="ListParagraph"/>
        <w:numPr>
          <w:ilvl w:val="0"/>
          <w:numId w:val="190"/>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Suku</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Cadang-Suku</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Cadang</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Alat</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Bengkel</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Rp3.029.000,00;</w:t>
      </w:r>
    </w:p>
    <w:p w14:paraId="757DBAB5" w14:textId="6AFAE337" w:rsidR="00A07951" w:rsidRPr="008379CA" w:rsidRDefault="00A07951" w:rsidP="0038248F">
      <w:pPr>
        <w:pStyle w:val="ListParagraph"/>
        <w:numPr>
          <w:ilvl w:val="0"/>
          <w:numId w:val="190"/>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Alat/Bahan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untuk</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Kegiatan</w:t>
      </w:r>
      <w:r w:rsidR="00A954D0" w:rsidRPr="008379CA">
        <w:rPr>
          <w:rFonts w:ascii="Bookman Old Style" w:hAnsi="Bookman Old Style" w:cs="Arial"/>
          <w:noProof/>
          <w:sz w:val="24"/>
          <w:szCs w:val="24"/>
          <w:lang w:val="id-ID"/>
        </w:rPr>
        <w:t xml:space="preserve"> </w:t>
      </w:r>
      <w:r w:rsidR="00877A06" w:rsidRPr="008379CA">
        <w:rPr>
          <w:rFonts w:ascii="Bookman Old Style" w:hAnsi="Bookman Old Style" w:cs="Arial"/>
          <w:noProof/>
          <w:sz w:val="24"/>
          <w:szCs w:val="24"/>
          <w:lang w:val="id-ID"/>
        </w:rPr>
        <w:t>Kantor-Bahan</w:t>
      </w:r>
      <w:r w:rsidR="00A954D0" w:rsidRPr="008379CA">
        <w:rPr>
          <w:rFonts w:ascii="Bookman Old Style" w:hAnsi="Bookman Old Style" w:cs="Arial"/>
          <w:noProof/>
          <w:sz w:val="24"/>
          <w:szCs w:val="24"/>
          <w:lang w:val="id-ID"/>
        </w:rPr>
        <w:t xml:space="preserve"> </w:t>
      </w:r>
      <w:r w:rsidR="00877A06" w:rsidRPr="008379CA">
        <w:rPr>
          <w:rFonts w:ascii="Bookman Old Style" w:hAnsi="Bookman Old Style" w:cs="Arial"/>
          <w:noProof/>
          <w:sz w:val="24"/>
          <w:szCs w:val="24"/>
          <w:lang w:val="id-ID"/>
        </w:rPr>
        <w:t>Cetak</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Rp100,00;</w:t>
      </w:r>
    </w:p>
    <w:p w14:paraId="7370B673" w14:textId="2778594C" w:rsidR="00A07951" w:rsidRPr="008379CA" w:rsidRDefault="00A07951" w:rsidP="0038248F">
      <w:pPr>
        <w:pStyle w:val="ListParagraph"/>
        <w:numPr>
          <w:ilvl w:val="0"/>
          <w:numId w:val="190"/>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Alat/Bahan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untuk</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Kegiatan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Kantor-Alat</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Listrik</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Rp15.621.700,00;</w:t>
      </w:r>
    </w:p>
    <w:p w14:paraId="46144DFE" w14:textId="5709FDE6" w:rsidR="00A07951" w:rsidRPr="008379CA" w:rsidRDefault="00A07951" w:rsidP="0038248F">
      <w:pPr>
        <w:pStyle w:val="ListParagraph"/>
        <w:numPr>
          <w:ilvl w:val="0"/>
          <w:numId w:val="190"/>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Jasa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Tenaga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Penanganan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Prasarana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Sarana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Umum</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Rp104.630.400,00;</w:t>
      </w:r>
    </w:p>
    <w:p w14:paraId="1400D8A0" w14:textId="26706B87" w:rsidR="00A07951" w:rsidRPr="008379CA" w:rsidRDefault="00A07951" w:rsidP="0038248F">
      <w:pPr>
        <w:pStyle w:val="ListParagraph"/>
        <w:numPr>
          <w:ilvl w:val="0"/>
          <w:numId w:val="190"/>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Jasa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Tenaga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Administrasi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Rp285.183.600,00;</w:t>
      </w:r>
    </w:p>
    <w:p w14:paraId="7F83334F" w14:textId="32090C53" w:rsidR="00A07951" w:rsidRPr="008379CA" w:rsidRDefault="00A07951" w:rsidP="0038248F">
      <w:pPr>
        <w:pStyle w:val="ListParagraph"/>
        <w:numPr>
          <w:ilvl w:val="0"/>
          <w:numId w:val="190"/>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lastRenderedPageBreak/>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Jasa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Tenaga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Supir</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Rp146.764.800,00;</w:t>
      </w:r>
    </w:p>
    <w:p w14:paraId="67545EF3" w14:textId="3BEDE257" w:rsidR="00A07951" w:rsidRPr="008379CA" w:rsidRDefault="00A07951" w:rsidP="0038248F">
      <w:pPr>
        <w:pStyle w:val="ListParagraph"/>
        <w:numPr>
          <w:ilvl w:val="0"/>
          <w:numId w:val="190"/>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Jasa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Tenaga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Teknisi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Mekanik</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Listrik</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Rp1.800.183.600,00;</w:t>
      </w:r>
    </w:p>
    <w:p w14:paraId="2ACB76DB" w14:textId="5F09D451" w:rsidR="00A07951" w:rsidRPr="008379CA" w:rsidRDefault="00A07951" w:rsidP="0038248F">
      <w:pPr>
        <w:pStyle w:val="ListParagraph"/>
        <w:numPr>
          <w:ilvl w:val="0"/>
          <w:numId w:val="190"/>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Iuran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Jaminan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Kesehatan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bagi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Non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ASN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Rp95.653.224,00;</w:t>
      </w:r>
    </w:p>
    <w:p w14:paraId="5A9B7C95" w14:textId="2B69CED8" w:rsidR="00A07951" w:rsidRPr="008379CA" w:rsidRDefault="00A07951" w:rsidP="0038248F">
      <w:pPr>
        <w:pStyle w:val="ListParagraph"/>
        <w:numPr>
          <w:ilvl w:val="0"/>
          <w:numId w:val="190"/>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Iuran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Jaminan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Kecelakaan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Kerja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bagi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Non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ASN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Rp5.660.520,00;</w:t>
      </w:r>
    </w:p>
    <w:p w14:paraId="1A0755D8" w14:textId="1C8B6912" w:rsidR="00A07951" w:rsidRPr="008379CA" w:rsidRDefault="00A07951" w:rsidP="0038248F">
      <w:pPr>
        <w:pStyle w:val="ListParagraph"/>
        <w:numPr>
          <w:ilvl w:val="0"/>
          <w:numId w:val="190"/>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Iuran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Jaminan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Kematian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bagi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Non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ASN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Rp7.066.368,00;</w:t>
      </w:r>
    </w:p>
    <w:p w14:paraId="267500A9" w14:textId="2DB17538" w:rsidR="00A07951" w:rsidRPr="008379CA" w:rsidRDefault="00A07951" w:rsidP="0038248F">
      <w:pPr>
        <w:pStyle w:val="ListParagraph"/>
        <w:numPr>
          <w:ilvl w:val="0"/>
          <w:numId w:val="190"/>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Jasa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Konsultansi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Spesialis-Jasa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Pengujian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Analisa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Komposisi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Tingkat</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Kemurnian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Rp217.471.200,00;</w:t>
      </w:r>
    </w:p>
    <w:p w14:paraId="71A707EB" w14:textId="27BC1CDF" w:rsidR="00A07951" w:rsidRPr="008379CA" w:rsidRDefault="00A07951" w:rsidP="0038248F">
      <w:pPr>
        <w:pStyle w:val="ListParagraph"/>
        <w:numPr>
          <w:ilvl w:val="0"/>
          <w:numId w:val="190"/>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Pemeliharaan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Alat</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Besar-Alat</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Bantu-Alat</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Pengolahan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Air</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Kotor</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Rp99.750.000,00;</w:t>
      </w:r>
    </w:p>
    <w:p w14:paraId="2FE7A8E0" w14:textId="0E9B8DAB" w:rsidR="00A07951" w:rsidRPr="008379CA" w:rsidRDefault="00A07951" w:rsidP="0038248F">
      <w:pPr>
        <w:pStyle w:val="ListParagraph"/>
        <w:numPr>
          <w:ilvl w:val="0"/>
          <w:numId w:val="190"/>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Pemeliharaan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Alat</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Angkutan-Alat</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Angkutan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Darat</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Bermotor-Kendaraan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Bermotor</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Angkutan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Barang</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Rp259.770.000,00;</w:t>
      </w:r>
    </w:p>
    <w:p w14:paraId="65465F6E" w14:textId="529D56FC" w:rsidR="00A07951" w:rsidRPr="008379CA" w:rsidRDefault="00A07951" w:rsidP="0038248F">
      <w:pPr>
        <w:pStyle w:val="ListParagraph"/>
        <w:numPr>
          <w:ilvl w:val="0"/>
          <w:numId w:val="190"/>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Pemeliharaan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Bangunan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Gedung-Bangunan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Gedung</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Tempat</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Kerja-Bangunan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Gedung</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Kantor</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Rp1.262.404.400,00;</w:t>
      </w:r>
    </w:p>
    <w:p w14:paraId="57C7F8CB" w14:textId="10856FB1" w:rsidR="00A07951" w:rsidRPr="008379CA" w:rsidRDefault="00A07951" w:rsidP="0038248F">
      <w:pPr>
        <w:pStyle w:val="ListParagraph"/>
        <w:numPr>
          <w:ilvl w:val="0"/>
          <w:numId w:val="190"/>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Modal</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Pompa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Rp3.542.000,00;</w:t>
      </w:r>
    </w:p>
    <w:p w14:paraId="2DA06AEC" w14:textId="33541963" w:rsidR="00A07951" w:rsidRPr="008379CA" w:rsidRDefault="00A07951" w:rsidP="0038248F">
      <w:pPr>
        <w:pStyle w:val="ListParagraph"/>
        <w:numPr>
          <w:ilvl w:val="0"/>
          <w:numId w:val="190"/>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Modal</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Perkakas</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Bengkel</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Service</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Rp52.056.000,00;</w:t>
      </w:r>
    </w:p>
    <w:p w14:paraId="7E32BE24" w14:textId="1722DBF3" w:rsidR="00A07951" w:rsidRPr="008379CA" w:rsidRDefault="00A07951" w:rsidP="0038248F">
      <w:pPr>
        <w:pStyle w:val="ListParagraph"/>
        <w:numPr>
          <w:ilvl w:val="0"/>
          <w:numId w:val="190"/>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Modal</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Alat</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Bengkel</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Tak</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Bermesin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Lainnya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Rp14.595.000,00;</w:t>
      </w:r>
    </w:p>
    <w:p w14:paraId="7BB5662F" w14:textId="37066FA0" w:rsidR="00A07951" w:rsidRPr="008379CA" w:rsidRDefault="00A07951" w:rsidP="0038248F">
      <w:pPr>
        <w:pStyle w:val="ListParagraph"/>
        <w:numPr>
          <w:ilvl w:val="0"/>
          <w:numId w:val="190"/>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Modal</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Sumur</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Pemboran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Rp3.649.680,00;</w:t>
      </w:r>
    </w:p>
    <w:p w14:paraId="791E03B2" w14:textId="771BA345" w:rsidR="00A07951" w:rsidRPr="008379CA" w:rsidRDefault="00A07951" w:rsidP="0038248F">
      <w:pPr>
        <w:pStyle w:val="ListParagraph"/>
        <w:numPr>
          <w:ilvl w:val="0"/>
          <w:numId w:val="190"/>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Modal</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Aset</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Tetap</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Dalam</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Renovasi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Rp15.000.000.000,00</w:t>
      </w:r>
      <w:r w:rsidR="0038248F" w:rsidRPr="008379CA">
        <w:rPr>
          <w:rFonts w:ascii="Bookman Old Style" w:hAnsi="Bookman Old Style" w:cs="Arial"/>
          <w:noProof/>
          <w:sz w:val="24"/>
          <w:szCs w:val="24"/>
          <w:lang w:val="sv-FI"/>
        </w:rPr>
        <w:t>.</w:t>
      </w:r>
    </w:p>
    <w:p w14:paraId="0F80AFCA" w14:textId="1920C52E" w:rsidR="00A07951" w:rsidRPr="008379CA" w:rsidRDefault="00A07951" w:rsidP="0038248F">
      <w:pPr>
        <w:pStyle w:val="ListParagraph"/>
        <w:numPr>
          <w:ilvl w:val="0"/>
          <w:numId w:val="87"/>
        </w:numPr>
        <w:spacing w:before="60" w:after="0" w:line="276" w:lineRule="auto"/>
        <w:ind w:left="2268" w:hanging="567"/>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Penyediaan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Infrastruktur</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Pendukung</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Kemandirian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Pangan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Lainnya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pada</w:t>
      </w:r>
      <w:r w:rsidR="00A954D0" w:rsidRPr="008379CA">
        <w:rPr>
          <w:rFonts w:ascii="Bookman Old Style" w:hAnsi="Bookman Old Style" w:cs="Arial"/>
          <w:noProof/>
          <w:sz w:val="24"/>
          <w:szCs w:val="24"/>
          <w:lang w:val="id-ID"/>
        </w:rPr>
        <w:t xml:space="preserve"> </w:t>
      </w:r>
      <w:bookmarkStart w:id="10" w:name="_Hlk183126853"/>
      <w:r w:rsidRPr="008379CA">
        <w:rPr>
          <w:rFonts w:ascii="Bookman Old Style" w:hAnsi="Bookman Old Style" w:cs="Arial"/>
          <w:noProof/>
          <w:sz w:val="24"/>
          <w:szCs w:val="24"/>
          <w:lang w:val="id-ID"/>
        </w:rPr>
        <w:t>Dinas</w:t>
      </w:r>
      <w:r w:rsidR="00A954D0" w:rsidRPr="008379CA">
        <w:rPr>
          <w:rFonts w:ascii="Bookman Old Style" w:hAnsi="Bookman Old Style" w:cs="Arial"/>
          <w:noProof/>
          <w:sz w:val="24"/>
          <w:szCs w:val="24"/>
          <w:lang w:val="id-ID"/>
        </w:rPr>
        <w:t xml:space="preserve"> </w:t>
      </w:r>
      <w:bookmarkEnd w:id="10"/>
      <w:r w:rsidRPr="008379CA">
        <w:rPr>
          <w:rFonts w:ascii="Bookman Old Style" w:hAnsi="Bookman Old Style" w:cs="Arial"/>
          <w:noProof/>
          <w:sz w:val="24"/>
          <w:szCs w:val="24"/>
          <w:lang w:val="id-ID"/>
        </w:rPr>
        <w:t>Ketahanan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Pangan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Rp52.072.300,00</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dengan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Perhitungan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Alokasi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Penghapusan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Kemiskinan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Ekstrem</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Rp10.214.340,00</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dengan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target</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500</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Rumah</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Tangga,</w:t>
      </w:r>
      <w:r w:rsidR="00A954D0" w:rsidRPr="008379CA">
        <w:rPr>
          <w:rFonts w:ascii="Bookman Old Style" w:hAnsi="Bookman Old Style" w:cs="Arial"/>
          <w:noProof/>
          <w:sz w:val="24"/>
          <w:szCs w:val="24"/>
          <w:lang w:val="id-ID"/>
        </w:rPr>
        <w:t xml:space="preserve"> </w:t>
      </w:r>
      <w:r w:rsidRPr="008379CA">
        <w:rPr>
          <w:rFonts w:ascii="Bookman Old Style" w:eastAsia="Bookman Old Style" w:hAnsi="Bookman Old Style" w:cs="Bookman Old Style"/>
          <w:sz w:val="24"/>
          <w:szCs w:val="24"/>
          <w:lang w:val="id-ID" w:eastAsia="en-US"/>
        </w:rPr>
        <w:t>yang</w:t>
      </w:r>
      <w:r w:rsidR="00A954D0" w:rsidRPr="008379CA">
        <w:rPr>
          <w:rFonts w:ascii="Bookman Old Style" w:eastAsia="Bookman Old Style" w:hAnsi="Bookman Old Style" w:cs="Bookman Old Style"/>
          <w:sz w:val="24"/>
          <w:szCs w:val="24"/>
          <w:lang w:val="id-ID" w:eastAsia="en-US"/>
        </w:rPr>
        <w:t xml:space="preserve"> </w:t>
      </w:r>
      <w:r w:rsidRPr="008379CA">
        <w:rPr>
          <w:rFonts w:ascii="Bookman Old Style" w:eastAsia="Bookman Old Style" w:hAnsi="Bookman Old Style" w:cs="Bookman Old Style"/>
          <w:sz w:val="24"/>
          <w:szCs w:val="24"/>
          <w:lang w:val="id-ID" w:eastAsia="en-US"/>
        </w:rPr>
        <w:t>diuraikan</w:t>
      </w:r>
      <w:r w:rsidR="00A954D0" w:rsidRPr="008379CA">
        <w:rPr>
          <w:rFonts w:ascii="Bookman Old Style" w:eastAsia="Bookman Old Style" w:hAnsi="Bookman Old Style" w:cs="Bookman Old Style"/>
          <w:sz w:val="24"/>
          <w:szCs w:val="24"/>
          <w:lang w:val="id-ID" w:eastAsia="en-US"/>
        </w:rPr>
        <w:t xml:space="preserve"> </w:t>
      </w:r>
      <w:r w:rsidRPr="008379CA">
        <w:rPr>
          <w:rFonts w:ascii="Bookman Old Style" w:eastAsia="Bookman Old Style" w:hAnsi="Bookman Old Style" w:cs="Bookman Old Style"/>
          <w:sz w:val="24"/>
          <w:szCs w:val="24"/>
          <w:lang w:val="id-ID" w:eastAsia="en-US"/>
        </w:rPr>
        <w:t>ke</w:t>
      </w:r>
      <w:r w:rsidR="00A954D0" w:rsidRPr="008379CA">
        <w:rPr>
          <w:rFonts w:ascii="Bookman Old Style" w:eastAsia="Bookman Old Style" w:hAnsi="Bookman Old Style" w:cs="Bookman Old Style"/>
          <w:sz w:val="24"/>
          <w:szCs w:val="24"/>
          <w:lang w:val="id-ID" w:eastAsia="en-US"/>
        </w:rPr>
        <w:t xml:space="preserve"> </w:t>
      </w:r>
      <w:r w:rsidRPr="008379CA">
        <w:rPr>
          <w:rFonts w:ascii="Bookman Old Style" w:eastAsia="Bookman Old Style" w:hAnsi="Bookman Old Style" w:cs="Bookman Old Style"/>
          <w:sz w:val="24"/>
          <w:szCs w:val="24"/>
          <w:lang w:val="id-ID" w:eastAsia="en-US"/>
        </w:rPr>
        <w:t>dalam</w:t>
      </w:r>
      <w:r w:rsidR="00A954D0" w:rsidRPr="008379CA">
        <w:rPr>
          <w:rFonts w:ascii="Bookman Old Style" w:eastAsia="Bookman Old Style" w:hAnsi="Bookman Old Style" w:cs="Bookman Old Style"/>
          <w:sz w:val="24"/>
          <w:szCs w:val="24"/>
          <w:lang w:val="id-ID" w:eastAsia="en-US"/>
        </w:rPr>
        <w:t xml:space="preserve"> </w:t>
      </w:r>
      <w:r w:rsidRPr="008379CA">
        <w:rPr>
          <w:rFonts w:ascii="Bookman Old Style" w:eastAsia="Bookman Old Style" w:hAnsi="Bookman Old Style" w:cs="Bookman Old Style"/>
          <w:sz w:val="24"/>
          <w:szCs w:val="24"/>
          <w:lang w:val="id-ID" w:eastAsia="en-US"/>
        </w:rPr>
        <w:t>sub</w:t>
      </w:r>
      <w:r w:rsidR="00A954D0" w:rsidRPr="008379CA">
        <w:rPr>
          <w:rFonts w:ascii="Bookman Old Style" w:eastAsia="Bookman Old Style" w:hAnsi="Bookman Old Style" w:cs="Bookman Old Style"/>
          <w:sz w:val="24"/>
          <w:szCs w:val="24"/>
          <w:lang w:val="id-ID" w:eastAsia="en-US"/>
        </w:rPr>
        <w:t xml:space="preserve"> </w:t>
      </w:r>
      <w:r w:rsidRPr="008379CA">
        <w:rPr>
          <w:rFonts w:ascii="Bookman Old Style" w:eastAsia="Bookman Old Style" w:hAnsi="Bookman Old Style" w:cs="Bookman Old Style"/>
          <w:sz w:val="24"/>
          <w:szCs w:val="24"/>
          <w:lang w:val="id-ID" w:eastAsia="en-US"/>
        </w:rPr>
        <w:t>rincian</w:t>
      </w:r>
      <w:r w:rsidR="00A954D0" w:rsidRPr="008379CA">
        <w:rPr>
          <w:rFonts w:ascii="Bookman Old Style" w:eastAsia="Bookman Old Style" w:hAnsi="Bookman Old Style" w:cs="Bookman Old Style"/>
          <w:sz w:val="24"/>
          <w:szCs w:val="24"/>
          <w:lang w:val="id-ID" w:eastAsia="en-US"/>
        </w:rPr>
        <w:t xml:space="preserve"> </w:t>
      </w:r>
      <w:r w:rsidRPr="008379CA">
        <w:rPr>
          <w:rFonts w:ascii="Bookman Old Style" w:eastAsia="Bookman Old Style" w:hAnsi="Bookman Old Style" w:cs="Bookman Old Style"/>
          <w:sz w:val="24"/>
          <w:szCs w:val="24"/>
          <w:lang w:val="id-ID" w:eastAsia="en-US"/>
        </w:rPr>
        <w:t>objek</w:t>
      </w:r>
      <w:r w:rsidR="00A954D0" w:rsidRPr="008379CA">
        <w:rPr>
          <w:rFonts w:ascii="Bookman Old Style" w:eastAsia="Bookman Old Style" w:hAnsi="Bookman Old Style" w:cs="Bookman Old Style"/>
          <w:sz w:val="24"/>
          <w:szCs w:val="24"/>
          <w:lang w:val="id-ID" w:eastAsia="en-US"/>
        </w:rPr>
        <w:t xml:space="preserve"> </w:t>
      </w:r>
      <w:r w:rsidRPr="008379CA">
        <w:rPr>
          <w:rFonts w:ascii="Bookman Old Style" w:eastAsia="Bookman Old Style" w:hAnsi="Bookman Old Style" w:cs="Bookman Old Style"/>
          <w:sz w:val="24"/>
          <w:szCs w:val="24"/>
          <w:lang w:val="id-ID" w:eastAsia="en-US"/>
        </w:rPr>
        <w:t>belanja:</w:t>
      </w:r>
    </w:p>
    <w:p w14:paraId="56E4900E" w14:textId="4B9D6A25" w:rsidR="00A07951" w:rsidRPr="008379CA" w:rsidRDefault="00A07951" w:rsidP="0038248F">
      <w:pPr>
        <w:pStyle w:val="ListParagraph"/>
        <w:numPr>
          <w:ilvl w:val="0"/>
          <w:numId w:val="231"/>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Bahan-Bahan/Bibit</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Tanaman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Rp34.047.800,00;</w:t>
      </w:r>
    </w:p>
    <w:p w14:paraId="1977415B" w14:textId="6A67FF7D" w:rsidR="00A07951" w:rsidRPr="008379CA" w:rsidRDefault="00A07951" w:rsidP="0038248F">
      <w:pPr>
        <w:pStyle w:val="ListParagraph"/>
        <w:numPr>
          <w:ilvl w:val="0"/>
          <w:numId w:val="231"/>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Bahan-Bahan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Lainnya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Rp16.946.000,00;</w:t>
      </w:r>
    </w:p>
    <w:p w14:paraId="0F12F27D" w14:textId="4817C72F" w:rsidR="00A07951" w:rsidRPr="008379CA" w:rsidRDefault="00A07951" w:rsidP="0038248F">
      <w:pPr>
        <w:pStyle w:val="ListParagraph"/>
        <w:numPr>
          <w:ilvl w:val="0"/>
          <w:numId w:val="231"/>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Alat/Bahan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untuk</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Kegiatan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Kantor-Bahan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Cetak</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Rp1.078.500,00</w:t>
      </w:r>
      <w:r w:rsidR="0038248F" w:rsidRPr="008379CA">
        <w:rPr>
          <w:rFonts w:ascii="Bookman Old Style" w:hAnsi="Bookman Old Style" w:cs="Arial"/>
          <w:noProof/>
          <w:sz w:val="24"/>
          <w:szCs w:val="24"/>
          <w:lang w:val="sv-FI"/>
        </w:rPr>
        <w:t>.</w:t>
      </w:r>
    </w:p>
    <w:p w14:paraId="64ED6240" w14:textId="67B7297B" w:rsidR="00A07951" w:rsidRPr="008379CA" w:rsidRDefault="00A07951">
      <w:pPr>
        <w:pStyle w:val="ListParagraph"/>
        <w:numPr>
          <w:ilvl w:val="0"/>
          <w:numId w:val="82"/>
        </w:numPr>
        <w:spacing w:before="60" w:after="0" w:line="276" w:lineRule="auto"/>
        <w:ind w:left="1701"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Strategi/sasaran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mengurangi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beban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pengeluaran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masyarakat</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miskin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Rp245.451.331.701,50</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atau</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90,44%</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dari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total</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alokasi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anggaran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Percepatan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Penghapusan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Kemiskinan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Ekstrem,</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yang</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tercantum</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pada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sub</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kegiatan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antara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lain:</w:t>
      </w:r>
    </w:p>
    <w:p w14:paraId="01DF1DFA" w14:textId="3F586E27" w:rsidR="00A07951" w:rsidRPr="008379CA" w:rsidRDefault="00A07951" w:rsidP="0038248F">
      <w:pPr>
        <w:pStyle w:val="ListParagraph"/>
        <w:numPr>
          <w:ilvl w:val="0"/>
          <w:numId w:val="179"/>
        </w:numPr>
        <w:ind w:left="2268" w:hanging="567"/>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lastRenderedPageBreak/>
        <w:t>Fasilitasi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Bantuan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Sosial</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Kesejahteraan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Keluarga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pada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Dinas</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Sosial</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Rp2.495.100.000,00</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dengan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Perhitungan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Alokasi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Penghapusan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Kemiskinan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Ekstrem</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Rp1.247.550.000,00</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dengan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target</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3</w:t>
      </w:r>
      <w:r w:rsidR="0085061E" w:rsidRPr="008379CA">
        <w:rPr>
          <w:rFonts w:ascii="Bookman Old Style" w:hAnsi="Bookman Old Style" w:cs="Arial"/>
          <w:noProof/>
          <w:sz w:val="24"/>
          <w:szCs w:val="24"/>
          <w:lang w:val="id-ID"/>
        </w:rPr>
        <w:t>.</w:t>
      </w:r>
      <w:r w:rsidRPr="008379CA">
        <w:rPr>
          <w:rFonts w:ascii="Bookman Old Style" w:hAnsi="Bookman Old Style" w:cs="Arial"/>
          <w:noProof/>
          <w:sz w:val="24"/>
          <w:szCs w:val="24"/>
          <w:lang w:val="id-ID"/>
        </w:rPr>
        <w:t>747</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Keluarga,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yang</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diuraikan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dalam</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sub</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rincian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objek</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belanja:</w:t>
      </w:r>
    </w:p>
    <w:p w14:paraId="678DA26F" w14:textId="1B71741A" w:rsidR="00A07951" w:rsidRPr="008379CA" w:rsidRDefault="00A07951" w:rsidP="0038248F">
      <w:pPr>
        <w:pStyle w:val="ListParagraph"/>
        <w:numPr>
          <w:ilvl w:val="0"/>
          <w:numId w:val="191"/>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Perjalanan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Dinas</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Dalam</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Kota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Rp35.100.000,00;</w:t>
      </w:r>
    </w:p>
    <w:p w14:paraId="3F9D7962" w14:textId="31A25867" w:rsidR="00A07951" w:rsidRPr="008379CA" w:rsidRDefault="00A07951" w:rsidP="0038248F">
      <w:pPr>
        <w:pStyle w:val="ListParagraph"/>
        <w:numPr>
          <w:ilvl w:val="0"/>
          <w:numId w:val="191"/>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Bantuan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Sosial</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Uang</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yang</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Direncanakan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kepada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Individu</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Rp2.460.000.000,00.</w:t>
      </w:r>
    </w:p>
    <w:p w14:paraId="17467527" w14:textId="62DBC0E3" w:rsidR="00A07951" w:rsidRPr="008379CA" w:rsidRDefault="00A07951" w:rsidP="0038248F">
      <w:pPr>
        <w:pStyle w:val="ListParagraph"/>
        <w:numPr>
          <w:ilvl w:val="0"/>
          <w:numId w:val="179"/>
        </w:numPr>
        <w:ind w:left="2268" w:hanging="567"/>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Fasilitasi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Bantuan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Pengembangan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Ekonomi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Masyarakat</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pada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Dinas</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Sosial</w:t>
      </w:r>
      <w:r w:rsidR="00A954D0" w:rsidRPr="008379CA">
        <w:rPr>
          <w:rFonts w:ascii="Bookman Old Style" w:hAnsi="Bookman Old Style" w:cs="Arial"/>
          <w:noProof/>
          <w:sz w:val="24"/>
          <w:szCs w:val="24"/>
          <w:lang w:val="id-ID"/>
        </w:rPr>
        <w:t xml:space="preserve"> </w:t>
      </w:r>
      <w:bookmarkStart w:id="11" w:name="_Hlk183284420"/>
      <w:r w:rsidRPr="008379CA">
        <w:rPr>
          <w:rFonts w:ascii="Bookman Old Style" w:hAnsi="Bookman Old Style" w:cs="Arial"/>
          <w:noProof/>
          <w:sz w:val="24"/>
          <w:szCs w:val="24"/>
          <w:lang w:val="id-ID"/>
        </w:rPr>
        <w:t>Rp10.115.213.100,00</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dengan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Perhitungan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Alokasi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Penghapusan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Kemiskinan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Ekstrem</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Rp5.033.750.000,00</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dengan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target</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550</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orang,</w:t>
      </w:r>
      <w:r w:rsidR="00A954D0" w:rsidRPr="008379CA">
        <w:rPr>
          <w:rFonts w:ascii="Bookman Old Style" w:hAnsi="Bookman Old Style" w:cs="Arial"/>
          <w:noProof/>
          <w:sz w:val="24"/>
          <w:szCs w:val="24"/>
          <w:lang w:val="id-ID"/>
        </w:rPr>
        <w:t xml:space="preserve"> </w:t>
      </w:r>
      <w:bookmarkEnd w:id="11"/>
      <w:r w:rsidRPr="008379CA">
        <w:rPr>
          <w:rFonts w:ascii="Bookman Old Style" w:hAnsi="Bookman Old Style" w:cs="Arial"/>
          <w:noProof/>
          <w:sz w:val="24"/>
          <w:szCs w:val="24"/>
          <w:lang w:val="id-ID"/>
        </w:rPr>
        <w:t>yang</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diuraikan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dalam</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sub</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rincian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objek</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belanja:</w:t>
      </w:r>
    </w:p>
    <w:p w14:paraId="050916C3" w14:textId="038EBE6E" w:rsidR="00A07951" w:rsidRPr="008379CA" w:rsidRDefault="00A07951" w:rsidP="0038248F">
      <w:pPr>
        <w:pStyle w:val="ListParagraph"/>
        <w:numPr>
          <w:ilvl w:val="0"/>
          <w:numId w:val="232"/>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Alat/Bahan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untuk</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Kegiatan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Kantor-Bahan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Cetak</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Rp31.363.100,00;</w:t>
      </w:r>
    </w:p>
    <w:p w14:paraId="48BAF627" w14:textId="7D6F6A4F" w:rsidR="00A07951" w:rsidRPr="008379CA" w:rsidRDefault="00A07951" w:rsidP="0038248F">
      <w:pPr>
        <w:pStyle w:val="ListParagraph"/>
        <w:numPr>
          <w:ilvl w:val="0"/>
          <w:numId w:val="232"/>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Barang</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untuk</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Dijual/Diserahkan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kepada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Masyarakat</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Rp10.000.000.000,00;</w:t>
      </w:r>
    </w:p>
    <w:p w14:paraId="478222AA" w14:textId="499837C3" w:rsidR="00A07951" w:rsidRPr="008379CA" w:rsidRDefault="00A07951" w:rsidP="0038248F">
      <w:pPr>
        <w:pStyle w:val="ListParagraph"/>
        <w:numPr>
          <w:ilvl w:val="0"/>
          <w:numId w:val="232"/>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Honorarium</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Narasumber</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atau</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Pembahas,</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Moderator,</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Pembawa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Acara,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Panitia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Rp16.350.000,00;</w:t>
      </w:r>
    </w:p>
    <w:p w14:paraId="6678AE32" w14:textId="1C80828B" w:rsidR="00A07951" w:rsidRPr="008379CA" w:rsidRDefault="00A07951" w:rsidP="0038248F">
      <w:pPr>
        <w:pStyle w:val="ListParagraph"/>
        <w:numPr>
          <w:ilvl w:val="0"/>
          <w:numId w:val="232"/>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Perjalanan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Dinas</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Dalam</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Kota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Rp67.500.000,00.</w:t>
      </w:r>
    </w:p>
    <w:p w14:paraId="3EBF9738" w14:textId="5B1E0D4C" w:rsidR="00A07951" w:rsidRPr="008379CA" w:rsidRDefault="00A07951">
      <w:pPr>
        <w:pStyle w:val="ListParagraph"/>
        <w:numPr>
          <w:ilvl w:val="0"/>
          <w:numId w:val="82"/>
        </w:numPr>
        <w:spacing w:before="60" w:after="0" w:line="276" w:lineRule="auto"/>
        <w:ind w:left="1701"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Strategi/Sasaran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Meningkatkan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Kemampuan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Pendapatan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Masyarakat</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Miskin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Rp846.959.200,00</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atau</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0,31%</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dari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total</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alokasi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anggaran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Percepatan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Penghapusan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Kemiskinan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Ekstrem,</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yang</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tercantum</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pada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sub</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kegiatan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antara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lain:</w:t>
      </w:r>
    </w:p>
    <w:p w14:paraId="57191E21" w14:textId="30E81B19" w:rsidR="00A07951" w:rsidRPr="008379CA" w:rsidRDefault="00A07951" w:rsidP="0038248F">
      <w:pPr>
        <w:pStyle w:val="ListParagraph"/>
        <w:numPr>
          <w:ilvl w:val="0"/>
          <w:numId w:val="88"/>
        </w:numPr>
        <w:spacing w:before="60" w:after="0" w:line="276" w:lineRule="auto"/>
        <w:ind w:left="2268" w:hanging="567"/>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Proses</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Pelaksanaan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Pendidikan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Pelatihan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Keterampilan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bagi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Pencari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Kerja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berdasarkan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Klaster</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Kompetensi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pada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Dinas</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Pendidikan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Rp3.047.580.100,00</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dengan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Perhitungan</w:t>
      </w:r>
      <w:r w:rsidR="00A954D0" w:rsidRPr="008379CA">
        <w:rPr>
          <w:rFonts w:ascii="Bookman Old Style" w:hAnsi="Bookman Old Style" w:cs="Arial"/>
          <w:noProof/>
          <w:sz w:val="24"/>
          <w:szCs w:val="24"/>
          <w:lang w:val="id-ID"/>
        </w:rPr>
        <w:t xml:space="preserve"> </w:t>
      </w:r>
      <w:r w:rsidRPr="008379CA">
        <w:rPr>
          <w:rFonts w:ascii="Bookman Old Style" w:hAnsi="Bookman Old Style"/>
          <w:sz w:val="24"/>
          <w:szCs w:val="24"/>
        </w:rPr>
        <w:t>Penghapusan</w:t>
      </w:r>
      <w:r w:rsidR="00A954D0" w:rsidRPr="008379CA">
        <w:rPr>
          <w:rFonts w:ascii="Bookman Old Style" w:hAnsi="Bookman Old Style"/>
          <w:sz w:val="24"/>
          <w:szCs w:val="24"/>
        </w:rPr>
        <w:t xml:space="preserve"> </w:t>
      </w:r>
      <w:r w:rsidRPr="008379CA">
        <w:rPr>
          <w:rFonts w:ascii="Bookman Old Style" w:hAnsi="Bookman Old Style"/>
          <w:sz w:val="24"/>
          <w:szCs w:val="24"/>
        </w:rPr>
        <w:t>Kemiskinan</w:t>
      </w:r>
      <w:r w:rsidR="00A954D0" w:rsidRPr="008379CA">
        <w:rPr>
          <w:rFonts w:ascii="Bookman Old Style" w:hAnsi="Bookman Old Style"/>
          <w:sz w:val="24"/>
          <w:szCs w:val="24"/>
        </w:rPr>
        <w:t xml:space="preserve"> </w:t>
      </w:r>
      <w:r w:rsidRPr="008379CA">
        <w:rPr>
          <w:rFonts w:ascii="Bookman Old Style" w:hAnsi="Bookman Old Style"/>
          <w:sz w:val="24"/>
          <w:szCs w:val="24"/>
        </w:rPr>
        <w:t>Ekstrem</w:t>
      </w:r>
      <w:r w:rsidR="00A954D0" w:rsidRPr="008379CA">
        <w:rPr>
          <w:rFonts w:ascii="Bookman Old Style" w:hAnsi="Bookman Old Style"/>
          <w:sz w:val="24"/>
          <w:szCs w:val="24"/>
        </w:rPr>
        <w:t xml:space="preserve"> </w:t>
      </w:r>
      <w:r w:rsidRPr="008379CA">
        <w:rPr>
          <w:rFonts w:ascii="Bookman Old Style" w:hAnsi="Bookman Old Style"/>
          <w:sz w:val="24"/>
          <w:szCs w:val="24"/>
        </w:rPr>
        <w:t>Rp313.305.000,00</w:t>
      </w:r>
      <w:r w:rsidR="00A954D0" w:rsidRPr="008379CA">
        <w:rPr>
          <w:rFonts w:ascii="Bookman Old Style" w:hAnsi="Bookman Old Style"/>
          <w:sz w:val="24"/>
          <w:szCs w:val="24"/>
        </w:rPr>
        <w:t xml:space="preserve"> </w:t>
      </w:r>
      <w:r w:rsidRPr="008379CA">
        <w:rPr>
          <w:rFonts w:ascii="Bookman Old Style" w:hAnsi="Bookman Old Style"/>
          <w:sz w:val="24"/>
          <w:szCs w:val="24"/>
        </w:rPr>
        <w:t>dengan</w:t>
      </w:r>
      <w:r w:rsidR="00A954D0" w:rsidRPr="008379CA">
        <w:rPr>
          <w:rFonts w:ascii="Bookman Old Style" w:hAnsi="Bookman Old Style"/>
          <w:sz w:val="24"/>
          <w:szCs w:val="24"/>
        </w:rPr>
        <w:t xml:space="preserve"> </w:t>
      </w:r>
      <w:r w:rsidRPr="008379CA">
        <w:rPr>
          <w:rFonts w:ascii="Bookman Old Style" w:hAnsi="Bookman Old Style"/>
          <w:sz w:val="24"/>
          <w:szCs w:val="24"/>
        </w:rPr>
        <w:t>target</w:t>
      </w:r>
      <w:r w:rsidR="00A954D0" w:rsidRPr="008379CA">
        <w:rPr>
          <w:rFonts w:ascii="Bookman Old Style" w:hAnsi="Bookman Old Style"/>
          <w:sz w:val="24"/>
          <w:szCs w:val="24"/>
        </w:rPr>
        <w:t xml:space="preserve"> </w:t>
      </w:r>
      <w:r w:rsidRPr="008379CA">
        <w:rPr>
          <w:rFonts w:ascii="Bookman Old Style" w:hAnsi="Bookman Old Style"/>
          <w:sz w:val="24"/>
          <w:szCs w:val="24"/>
        </w:rPr>
        <w:t>380</w:t>
      </w:r>
      <w:r w:rsidR="00A954D0" w:rsidRPr="008379CA">
        <w:rPr>
          <w:rFonts w:ascii="Bookman Old Style" w:hAnsi="Bookman Old Style"/>
          <w:sz w:val="24"/>
          <w:szCs w:val="24"/>
        </w:rPr>
        <w:t xml:space="preserve"> </w:t>
      </w:r>
      <w:r w:rsidRPr="008379CA">
        <w:rPr>
          <w:rFonts w:ascii="Bookman Old Style" w:hAnsi="Bookman Old Style"/>
          <w:sz w:val="24"/>
          <w:szCs w:val="24"/>
        </w:rPr>
        <w:t>Orang,</w:t>
      </w:r>
      <w:r w:rsidR="00A954D0" w:rsidRPr="008379CA">
        <w:rPr>
          <w:rFonts w:ascii="Bookman Old Style" w:hAnsi="Bookman Old Style"/>
          <w:sz w:val="24"/>
          <w:szCs w:val="24"/>
        </w:rPr>
        <w:t xml:space="preserve"> </w:t>
      </w:r>
      <w:r w:rsidRPr="008379CA">
        <w:rPr>
          <w:rFonts w:ascii="Bookman Old Style" w:hAnsi="Bookman Old Style"/>
          <w:sz w:val="24"/>
          <w:szCs w:val="24"/>
        </w:rPr>
        <w:t>yang</w:t>
      </w:r>
      <w:r w:rsidR="00A954D0" w:rsidRPr="008379CA">
        <w:rPr>
          <w:rFonts w:ascii="Bookman Old Style" w:hAnsi="Bookman Old Style"/>
          <w:sz w:val="24"/>
          <w:szCs w:val="24"/>
        </w:rPr>
        <w:t xml:space="preserve"> </w:t>
      </w:r>
      <w:r w:rsidRPr="008379CA">
        <w:rPr>
          <w:rFonts w:ascii="Bookman Old Style" w:hAnsi="Bookman Old Style"/>
          <w:sz w:val="24"/>
          <w:szCs w:val="24"/>
        </w:rPr>
        <w:t>diuraikan</w:t>
      </w:r>
      <w:r w:rsidR="00A954D0" w:rsidRPr="008379CA">
        <w:rPr>
          <w:rFonts w:ascii="Bookman Old Style" w:hAnsi="Bookman Old Style"/>
          <w:sz w:val="24"/>
          <w:szCs w:val="24"/>
        </w:rPr>
        <w:t xml:space="preserve"> </w:t>
      </w:r>
      <w:r w:rsidRPr="008379CA">
        <w:rPr>
          <w:rFonts w:ascii="Bookman Old Style" w:hAnsi="Bookman Old Style"/>
          <w:sz w:val="24"/>
          <w:szCs w:val="24"/>
        </w:rPr>
        <w:t>ke</w:t>
      </w:r>
      <w:r w:rsidR="00A954D0" w:rsidRPr="008379CA">
        <w:rPr>
          <w:rFonts w:ascii="Bookman Old Style" w:hAnsi="Bookman Old Style"/>
          <w:sz w:val="24"/>
          <w:szCs w:val="24"/>
        </w:rPr>
        <w:t xml:space="preserve"> </w:t>
      </w:r>
      <w:r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Pr="008379CA">
        <w:rPr>
          <w:rFonts w:ascii="Bookman Old Style" w:hAnsi="Bookman Old Style"/>
          <w:sz w:val="24"/>
          <w:szCs w:val="24"/>
        </w:rPr>
        <w:t>sub</w:t>
      </w:r>
      <w:r w:rsidR="00A954D0" w:rsidRPr="008379CA">
        <w:rPr>
          <w:rFonts w:ascii="Bookman Old Style" w:hAnsi="Bookman Old Style"/>
          <w:sz w:val="24"/>
          <w:szCs w:val="24"/>
        </w:rPr>
        <w:t xml:space="preserve"> </w:t>
      </w:r>
      <w:r w:rsidRPr="008379CA">
        <w:rPr>
          <w:rFonts w:ascii="Bookman Old Style" w:hAnsi="Bookman Old Style"/>
          <w:sz w:val="24"/>
          <w:szCs w:val="24"/>
        </w:rPr>
        <w:t>rincian</w:t>
      </w:r>
      <w:r w:rsidR="00A954D0" w:rsidRPr="008379CA">
        <w:rPr>
          <w:rFonts w:ascii="Bookman Old Style" w:hAnsi="Bookman Old Style"/>
          <w:sz w:val="24"/>
          <w:szCs w:val="24"/>
        </w:rPr>
        <w:t xml:space="preserve"> </w:t>
      </w:r>
      <w:r w:rsidRPr="008379CA">
        <w:rPr>
          <w:rFonts w:ascii="Bookman Old Style" w:hAnsi="Bookman Old Style"/>
          <w:sz w:val="24"/>
          <w:szCs w:val="24"/>
        </w:rPr>
        <w:t>objek</w:t>
      </w:r>
      <w:r w:rsidR="00A954D0" w:rsidRPr="008379CA">
        <w:rPr>
          <w:rFonts w:ascii="Bookman Old Style" w:hAnsi="Bookman Old Style"/>
          <w:sz w:val="24"/>
          <w:szCs w:val="24"/>
        </w:rPr>
        <w:t xml:space="preserve"> </w:t>
      </w:r>
      <w:r w:rsidRPr="008379CA">
        <w:rPr>
          <w:rFonts w:ascii="Bookman Old Style" w:hAnsi="Bookman Old Style"/>
          <w:sz w:val="24"/>
          <w:szCs w:val="24"/>
        </w:rPr>
        <w:t>belanja:</w:t>
      </w:r>
    </w:p>
    <w:p w14:paraId="79A5A935" w14:textId="17B0DC11" w:rsidR="00A07951" w:rsidRPr="008379CA" w:rsidRDefault="00A07951" w:rsidP="0038248F">
      <w:pPr>
        <w:pStyle w:val="ListParagraph"/>
        <w:numPr>
          <w:ilvl w:val="0"/>
          <w:numId w:val="192"/>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Bahan-Isi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Tabung</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Gas</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Rp1.188.600,00;</w:t>
      </w:r>
    </w:p>
    <w:p w14:paraId="6359528F" w14:textId="1F142088" w:rsidR="00A07951" w:rsidRPr="008379CA" w:rsidRDefault="00A07951" w:rsidP="0038248F">
      <w:pPr>
        <w:pStyle w:val="ListParagraph"/>
        <w:numPr>
          <w:ilvl w:val="0"/>
          <w:numId w:val="192"/>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Bahan-Bahan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Lainnya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Rp255.375.500,00;</w:t>
      </w:r>
    </w:p>
    <w:p w14:paraId="74C11EF9" w14:textId="4546A11D" w:rsidR="00A07951" w:rsidRPr="008379CA" w:rsidRDefault="00A07951" w:rsidP="0038248F">
      <w:pPr>
        <w:pStyle w:val="ListParagraph"/>
        <w:numPr>
          <w:ilvl w:val="0"/>
          <w:numId w:val="192"/>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Alat/Bahan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untuk</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Kegiatan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Kantor-Alat</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Tulis</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Kantor</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Rp94.620.400,00;</w:t>
      </w:r>
    </w:p>
    <w:p w14:paraId="2FCE2D4B" w14:textId="225B1971" w:rsidR="00A07951" w:rsidRPr="008379CA" w:rsidRDefault="00A07951" w:rsidP="0038248F">
      <w:pPr>
        <w:pStyle w:val="ListParagraph"/>
        <w:numPr>
          <w:ilvl w:val="0"/>
          <w:numId w:val="192"/>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Alat/Bahan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untuk</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Kegiatan</w:t>
      </w:r>
      <w:r w:rsidR="00A954D0" w:rsidRPr="008379CA">
        <w:rPr>
          <w:rFonts w:ascii="Bookman Old Style" w:hAnsi="Bookman Old Style" w:cs="Arial"/>
          <w:noProof/>
          <w:sz w:val="24"/>
          <w:szCs w:val="24"/>
          <w:lang w:val="id-ID"/>
        </w:rPr>
        <w:t xml:space="preserve"> </w:t>
      </w:r>
      <w:r w:rsidR="00877A06" w:rsidRPr="008379CA">
        <w:rPr>
          <w:rFonts w:ascii="Bookman Old Style" w:hAnsi="Bookman Old Style" w:cs="Arial"/>
          <w:noProof/>
          <w:sz w:val="24"/>
          <w:szCs w:val="24"/>
          <w:lang w:val="id-ID"/>
        </w:rPr>
        <w:t>Kantor-Bahan</w:t>
      </w:r>
      <w:r w:rsidR="00A954D0" w:rsidRPr="008379CA">
        <w:rPr>
          <w:rFonts w:ascii="Bookman Old Style" w:hAnsi="Bookman Old Style" w:cs="Arial"/>
          <w:noProof/>
          <w:sz w:val="24"/>
          <w:szCs w:val="24"/>
          <w:lang w:val="id-ID"/>
        </w:rPr>
        <w:t xml:space="preserve"> </w:t>
      </w:r>
      <w:r w:rsidR="00877A06" w:rsidRPr="008379CA">
        <w:rPr>
          <w:rFonts w:ascii="Bookman Old Style" w:hAnsi="Bookman Old Style" w:cs="Arial"/>
          <w:noProof/>
          <w:sz w:val="24"/>
          <w:szCs w:val="24"/>
          <w:lang w:val="id-ID"/>
        </w:rPr>
        <w:t>Cetak</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Rp27.538.300,00;</w:t>
      </w:r>
    </w:p>
    <w:p w14:paraId="13AC7363" w14:textId="40BF1E07" w:rsidR="00A07951" w:rsidRPr="008379CA" w:rsidRDefault="00A07951" w:rsidP="0038248F">
      <w:pPr>
        <w:pStyle w:val="ListParagraph"/>
        <w:numPr>
          <w:ilvl w:val="0"/>
          <w:numId w:val="192"/>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Alat/Bahan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untuk</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Kegiatan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Kantor-Alat</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Listrik</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Rp4.322.300,00;</w:t>
      </w:r>
    </w:p>
    <w:p w14:paraId="59D347F9" w14:textId="1B6706DF" w:rsidR="00A07951" w:rsidRPr="008379CA" w:rsidRDefault="00A07951" w:rsidP="0038248F">
      <w:pPr>
        <w:pStyle w:val="ListParagraph"/>
        <w:numPr>
          <w:ilvl w:val="0"/>
          <w:numId w:val="192"/>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Natura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Pakan-Natura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Rp2.610.000,00;</w:t>
      </w:r>
    </w:p>
    <w:p w14:paraId="197CFF57" w14:textId="2134DB69" w:rsidR="00A07951" w:rsidRPr="008379CA" w:rsidRDefault="00A07951" w:rsidP="0038248F">
      <w:pPr>
        <w:pStyle w:val="ListParagraph"/>
        <w:numPr>
          <w:ilvl w:val="0"/>
          <w:numId w:val="192"/>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lastRenderedPageBreak/>
        <w:t>Honorarium</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Narasumber</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atau</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Pembahas,</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Moderator,</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Pembawa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Acara,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Panitia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Rp2.037.925.000,00;</w:t>
      </w:r>
    </w:p>
    <w:p w14:paraId="6B5C64F3" w14:textId="4F7FF657" w:rsidR="00A07951" w:rsidRPr="008379CA" w:rsidRDefault="00A07951" w:rsidP="0038248F">
      <w:pPr>
        <w:pStyle w:val="ListParagraph"/>
        <w:numPr>
          <w:ilvl w:val="0"/>
          <w:numId w:val="192"/>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Perjalanan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Dinas</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Dalam</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Kota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Rp624.000.000,00.</w:t>
      </w:r>
    </w:p>
    <w:p w14:paraId="5299AEE5" w14:textId="0CF8D509" w:rsidR="00A07951" w:rsidRPr="008379CA" w:rsidRDefault="00A07951" w:rsidP="0038248F">
      <w:pPr>
        <w:pStyle w:val="ListParagraph"/>
        <w:numPr>
          <w:ilvl w:val="0"/>
          <w:numId w:val="88"/>
        </w:numPr>
        <w:spacing w:before="60" w:after="0" w:line="276" w:lineRule="auto"/>
        <w:ind w:left="2268" w:hanging="567"/>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Pemberdayaan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pada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Dinas</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Perindustrian,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Perdagangan,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Koperasi,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Usaha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Kecil</w:t>
      </w:r>
      <w:r w:rsidR="00A954D0" w:rsidRPr="008379CA">
        <w:rPr>
          <w:rFonts w:ascii="Bookman Old Style" w:hAnsi="Bookman Old Style" w:cs="Arial"/>
          <w:noProof/>
          <w:sz w:val="24"/>
          <w:szCs w:val="24"/>
          <w:lang w:val="id-ID"/>
        </w:rPr>
        <w:t xml:space="preserve"> </w:t>
      </w:r>
      <w:r w:rsidR="005D2ECD" w:rsidRPr="008379CA">
        <w:rPr>
          <w:rFonts w:ascii="Bookman Old Style" w:hAnsi="Bookman Old Style" w:cs="Arial"/>
          <w:noProof/>
          <w:sz w:val="24"/>
          <w:szCs w:val="24"/>
          <w:lang w:val="id-ID"/>
        </w:rPr>
        <w:t>d</w:t>
      </w:r>
      <w:r w:rsidRPr="008379CA">
        <w:rPr>
          <w:rFonts w:ascii="Bookman Old Style" w:hAnsi="Bookman Old Style" w:cs="Arial"/>
          <w:noProof/>
          <w:sz w:val="24"/>
          <w:szCs w:val="24"/>
          <w:lang w:val="id-ID"/>
        </w:rPr>
        <w:t>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Menengah</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Rp3.373.973.600,00</w:t>
      </w:r>
      <w:r w:rsidR="00A954D0" w:rsidRPr="008379CA">
        <w:rPr>
          <w:rFonts w:ascii="Bookman Old Style" w:hAnsi="Bookman Old Style" w:cs="Arial"/>
          <w:noProof/>
          <w:sz w:val="24"/>
          <w:szCs w:val="24"/>
          <w:lang w:val="id-ID"/>
        </w:rPr>
        <w:t xml:space="preserve"> </w:t>
      </w:r>
      <w:r w:rsidRPr="008379CA">
        <w:rPr>
          <w:rFonts w:ascii="Bookman Old Style" w:hAnsi="Bookman Old Style"/>
          <w:sz w:val="24"/>
          <w:szCs w:val="24"/>
        </w:rPr>
        <w:t>dengan</w:t>
      </w:r>
      <w:r w:rsidR="00A954D0" w:rsidRPr="008379CA">
        <w:rPr>
          <w:rFonts w:ascii="Bookman Old Style" w:hAnsi="Bookman Old Style"/>
          <w:sz w:val="24"/>
          <w:szCs w:val="24"/>
        </w:rPr>
        <w:t xml:space="preserve"> </w:t>
      </w:r>
      <w:r w:rsidRPr="008379CA">
        <w:rPr>
          <w:rFonts w:ascii="Bookman Old Style" w:hAnsi="Bookman Old Style"/>
          <w:sz w:val="24"/>
          <w:szCs w:val="24"/>
        </w:rPr>
        <w:t>Perhitungan</w:t>
      </w:r>
      <w:r w:rsidR="00A954D0" w:rsidRPr="008379CA">
        <w:rPr>
          <w:rFonts w:ascii="Bookman Old Style" w:hAnsi="Bookman Old Style"/>
          <w:sz w:val="24"/>
          <w:szCs w:val="24"/>
        </w:rPr>
        <w:t xml:space="preserve"> </w:t>
      </w:r>
      <w:r w:rsidRPr="008379CA">
        <w:rPr>
          <w:rFonts w:ascii="Bookman Old Style" w:hAnsi="Bookman Old Style"/>
          <w:sz w:val="24"/>
          <w:szCs w:val="24"/>
        </w:rPr>
        <w:t>Alokasi</w:t>
      </w:r>
      <w:r w:rsidR="00A954D0" w:rsidRPr="008379CA">
        <w:rPr>
          <w:rFonts w:ascii="Bookman Old Style" w:hAnsi="Bookman Old Style"/>
          <w:sz w:val="24"/>
          <w:szCs w:val="24"/>
        </w:rPr>
        <w:t xml:space="preserve"> </w:t>
      </w:r>
      <w:r w:rsidRPr="008379CA">
        <w:rPr>
          <w:rFonts w:ascii="Bookman Old Style" w:hAnsi="Bookman Old Style"/>
          <w:sz w:val="24"/>
          <w:szCs w:val="24"/>
        </w:rPr>
        <w:t>Penghapusan</w:t>
      </w:r>
      <w:r w:rsidR="00A954D0" w:rsidRPr="008379CA">
        <w:rPr>
          <w:rFonts w:ascii="Bookman Old Style" w:hAnsi="Bookman Old Style"/>
          <w:sz w:val="24"/>
          <w:szCs w:val="24"/>
        </w:rPr>
        <w:t xml:space="preserve"> </w:t>
      </w:r>
      <w:r w:rsidRPr="008379CA">
        <w:rPr>
          <w:rFonts w:ascii="Bookman Old Style" w:hAnsi="Bookman Old Style"/>
          <w:sz w:val="24"/>
          <w:szCs w:val="24"/>
        </w:rPr>
        <w:t>Kemiskinan</w:t>
      </w:r>
      <w:r w:rsidR="00A954D0" w:rsidRPr="008379CA">
        <w:rPr>
          <w:rFonts w:ascii="Bookman Old Style" w:hAnsi="Bookman Old Style"/>
          <w:sz w:val="24"/>
          <w:szCs w:val="24"/>
        </w:rPr>
        <w:t xml:space="preserve"> </w:t>
      </w:r>
      <w:r w:rsidRPr="008379CA">
        <w:rPr>
          <w:rFonts w:ascii="Bookman Old Style" w:hAnsi="Bookman Old Style"/>
          <w:sz w:val="24"/>
          <w:szCs w:val="24"/>
        </w:rPr>
        <w:t>Ekstrem</w:t>
      </w:r>
      <w:r w:rsidR="00A954D0" w:rsidRPr="008379CA">
        <w:rPr>
          <w:rFonts w:ascii="Bookman Old Style" w:hAnsi="Bookman Old Style"/>
          <w:sz w:val="24"/>
          <w:szCs w:val="24"/>
        </w:rPr>
        <w:t xml:space="preserve"> </w:t>
      </w:r>
      <w:r w:rsidRPr="008379CA">
        <w:rPr>
          <w:rFonts w:ascii="Bookman Old Style" w:hAnsi="Bookman Old Style"/>
          <w:sz w:val="24"/>
          <w:szCs w:val="24"/>
        </w:rPr>
        <w:t>Rp264.421.800,00</w:t>
      </w:r>
      <w:r w:rsidR="00A954D0" w:rsidRPr="008379CA">
        <w:rPr>
          <w:rFonts w:ascii="Bookman Old Style" w:hAnsi="Bookman Old Style"/>
          <w:sz w:val="24"/>
          <w:szCs w:val="24"/>
        </w:rPr>
        <w:t xml:space="preserve"> </w:t>
      </w:r>
      <w:r w:rsidRPr="008379CA">
        <w:rPr>
          <w:rFonts w:ascii="Bookman Old Style" w:hAnsi="Bookman Old Style"/>
          <w:sz w:val="24"/>
          <w:szCs w:val="24"/>
        </w:rPr>
        <w:t>dengan</w:t>
      </w:r>
      <w:r w:rsidR="00A954D0" w:rsidRPr="008379CA">
        <w:rPr>
          <w:rFonts w:ascii="Bookman Old Style" w:hAnsi="Bookman Old Style"/>
          <w:sz w:val="24"/>
          <w:szCs w:val="24"/>
        </w:rPr>
        <w:t xml:space="preserve"> </w:t>
      </w:r>
      <w:r w:rsidRPr="008379CA">
        <w:rPr>
          <w:rFonts w:ascii="Bookman Old Style" w:hAnsi="Bookman Old Style"/>
          <w:sz w:val="24"/>
          <w:szCs w:val="24"/>
        </w:rPr>
        <w:t>target</w:t>
      </w:r>
      <w:r w:rsidR="00A954D0" w:rsidRPr="008379CA">
        <w:rPr>
          <w:rFonts w:ascii="Bookman Old Style" w:hAnsi="Bookman Old Style"/>
          <w:sz w:val="24"/>
          <w:szCs w:val="24"/>
        </w:rPr>
        <w:t xml:space="preserve"> </w:t>
      </w:r>
      <w:r w:rsidRPr="008379CA">
        <w:rPr>
          <w:rFonts w:ascii="Bookman Old Style" w:hAnsi="Bookman Old Style"/>
          <w:sz w:val="24"/>
          <w:szCs w:val="24"/>
        </w:rPr>
        <w:t>300</w:t>
      </w:r>
      <w:r w:rsidR="00A954D0" w:rsidRPr="008379CA">
        <w:rPr>
          <w:rFonts w:ascii="Bookman Old Style" w:hAnsi="Bookman Old Style"/>
          <w:sz w:val="24"/>
          <w:szCs w:val="24"/>
        </w:rPr>
        <w:t xml:space="preserve"> </w:t>
      </w:r>
      <w:r w:rsidRPr="008379CA">
        <w:rPr>
          <w:rFonts w:ascii="Bookman Old Style" w:hAnsi="Bookman Old Style"/>
          <w:sz w:val="24"/>
          <w:szCs w:val="24"/>
        </w:rPr>
        <w:t>Unit</w:t>
      </w:r>
      <w:r w:rsidR="00A954D0" w:rsidRPr="008379CA">
        <w:rPr>
          <w:rFonts w:ascii="Bookman Old Style" w:hAnsi="Bookman Old Style"/>
          <w:sz w:val="24"/>
          <w:szCs w:val="24"/>
        </w:rPr>
        <w:t xml:space="preserve"> </w:t>
      </w:r>
      <w:r w:rsidRPr="008379CA">
        <w:rPr>
          <w:rFonts w:ascii="Bookman Old Style" w:hAnsi="Bookman Old Style"/>
          <w:sz w:val="24"/>
          <w:szCs w:val="24"/>
        </w:rPr>
        <w:t>Usaha,</w:t>
      </w:r>
      <w:r w:rsidR="00A954D0" w:rsidRPr="008379CA">
        <w:rPr>
          <w:rFonts w:ascii="Bookman Old Style" w:hAnsi="Bookman Old Style"/>
          <w:sz w:val="24"/>
          <w:szCs w:val="24"/>
        </w:rPr>
        <w:t xml:space="preserve"> </w:t>
      </w:r>
      <w:r w:rsidRPr="008379CA">
        <w:rPr>
          <w:rFonts w:ascii="Bookman Old Style" w:hAnsi="Bookman Old Style"/>
          <w:sz w:val="24"/>
          <w:szCs w:val="24"/>
        </w:rPr>
        <w:t>yang</w:t>
      </w:r>
      <w:r w:rsidR="00A954D0" w:rsidRPr="008379CA">
        <w:rPr>
          <w:rFonts w:ascii="Bookman Old Style" w:hAnsi="Bookman Old Style"/>
          <w:sz w:val="24"/>
          <w:szCs w:val="24"/>
        </w:rPr>
        <w:t xml:space="preserve"> </w:t>
      </w:r>
      <w:r w:rsidRPr="008379CA">
        <w:rPr>
          <w:rFonts w:ascii="Bookman Old Style" w:hAnsi="Bookman Old Style"/>
          <w:sz w:val="24"/>
          <w:szCs w:val="24"/>
        </w:rPr>
        <w:t>diuraikan</w:t>
      </w:r>
      <w:r w:rsidR="00A954D0" w:rsidRPr="008379CA">
        <w:rPr>
          <w:rFonts w:ascii="Bookman Old Style" w:hAnsi="Bookman Old Style"/>
          <w:sz w:val="24"/>
          <w:szCs w:val="24"/>
        </w:rPr>
        <w:t xml:space="preserve"> </w:t>
      </w:r>
      <w:r w:rsidRPr="008379CA">
        <w:rPr>
          <w:rFonts w:ascii="Bookman Old Style" w:hAnsi="Bookman Old Style"/>
          <w:sz w:val="24"/>
          <w:szCs w:val="24"/>
        </w:rPr>
        <w:t>ke</w:t>
      </w:r>
      <w:r w:rsidR="00A954D0" w:rsidRPr="008379CA">
        <w:rPr>
          <w:rFonts w:ascii="Bookman Old Style" w:hAnsi="Bookman Old Style"/>
          <w:sz w:val="24"/>
          <w:szCs w:val="24"/>
        </w:rPr>
        <w:t xml:space="preserve"> </w:t>
      </w:r>
      <w:r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Pr="008379CA">
        <w:rPr>
          <w:rFonts w:ascii="Bookman Old Style" w:hAnsi="Bookman Old Style"/>
          <w:sz w:val="24"/>
          <w:szCs w:val="24"/>
        </w:rPr>
        <w:t>sub</w:t>
      </w:r>
      <w:r w:rsidR="00A954D0" w:rsidRPr="008379CA">
        <w:rPr>
          <w:rFonts w:ascii="Bookman Old Style" w:hAnsi="Bookman Old Style"/>
          <w:sz w:val="24"/>
          <w:szCs w:val="24"/>
        </w:rPr>
        <w:t xml:space="preserve"> </w:t>
      </w:r>
      <w:r w:rsidRPr="008379CA">
        <w:rPr>
          <w:rFonts w:ascii="Bookman Old Style" w:hAnsi="Bookman Old Style"/>
          <w:sz w:val="24"/>
          <w:szCs w:val="24"/>
        </w:rPr>
        <w:t>rincian</w:t>
      </w:r>
      <w:r w:rsidR="00A954D0" w:rsidRPr="008379CA">
        <w:rPr>
          <w:rFonts w:ascii="Bookman Old Style" w:hAnsi="Bookman Old Style"/>
          <w:sz w:val="24"/>
          <w:szCs w:val="24"/>
        </w:rPr>
        <w:t xml:space="preserve"> </w:t>
      </w:r>
      <w:r w:rsidRPr="008379CA">
        <w:rPr>
          <w:rFonts w:ascii="Bookman Old Style" w:hAnsi="Bookman Old Style"/>
          <w:sz w:val="24"/>
          <w:szCs w:val="24"/>
        </w:rPr>
        <w:t>objek</w:t>
      </w:r>
      <w:r w:rsidR="00A954D0" w:rsidRPr="008379CA">
        <w:rPr>
          <w:rFonts w:ascii="Bookman Old Style" w:hAnsi="Bookman Old Style"/>
          <w:sz w:val="24"/>
          <w:szCs w:val="24"/>
        </w:rPr>
        <w:t xml:space="preserve"> </w:t>
      </w:r>
      <w:r w:rsidRPr="008379CA">
        <w:rPr>
          <w:rFonts w:ascii="Bookman Old Style" w:hAnsi="Bookman Old Style"/>
          <w:sz w:val="24"/>
          <w:szCs w:val="24"/>
        </w:rPr>
        <w:t>belanja:</w:t>
      </w:r>
    </w:p>
    <w:p w14:paraId="6CD76154" w14:textId="2513501C" w:rsidR="00A07951" w:rsidRPr="008379CA" w:rsidRDefault="00A07951" w:rsidP="0038248F">
      <w:pPr>
        <w:pStyle w:val="ListParagraph"/>
        <w:numPr>
          <w:ilvl w:val="0"/>
          <w:numId w:val="193"/>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Alat/Bahan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untuk</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Kegiatan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Kantor-Alat</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Tulis</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Kantor</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Rp3.808.500,00;</w:t>
      </w:r>
    </w:p>
    <w:p w14:paraId="1DBDC110" w14:textId="205ECC1F" w:rsidR="00A07951" w:rsidRPr="008379CA" w:rsidRDefault="00A07951" w:rsidP="0038248F">
      <w:pPr>
        <w:pStyle w:val="ListParagraph"/>
        <w:numPr>
          <w:ilvl w:val="0"/>
          <w:numId w:val="193"/>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Alat/Bahan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untuk</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Kegiatan</w:t>
      </w:r>
      <w:r w:rsidR="00A954D0" w:rsidRPr="008379CA">
        <w:rPr>
          <w:rFonts w:ascii="Bookman Old Style" w:hAnsi="Bookman Old Style" w:cs="Arial"/>
          <w:noProof/>
          <w:sz w:val="24"/>
          <w:szCs w:val="24"/>
          <w:lang w:val="id-ID"/>
        </w:rPr>
        <w:t xml:space="preserve"> </w:t>
      </w:r>
      <w:r w:rsidR="00877A06" w:rsidRPr="008379CA">
        <w:rPr>
          <w:rFonts w:ascii="Bookman Old Style" w:hAnsi="Bookman Old Style" w:cs="Arial"/>
          <w:noProof/>
          <w:sz w:val="24"/>
          <w:szCs w:val="24"/>
          <w:lang w:val="id-ID"/>
        </w:rPr>
        <w:t>Kantor-Bahan</w:t>
      </w:r>
      <w:r w:rsidR="00A954D0" w:rsidRPr="008379CA">
        <w:rPr>
          <w:rFonts w:ascii="Bookman Old Style" w:hAnsi="Bookman Old Style" w:cs="Arial"/>
          <w:noProof/>
          <w:sz w:val="24"/>
          <w:szCs w:val="24"/>
          <w:lang w:val="id-ID"/>
        </w:rPr>
        <w:t xml:space="preserve"> </w:t>
      </w:r>
      <w:r w:rsidR="00877A06" w:rsidRPr="008379CA">
        <w:rPr>
          <w:rFonts w:ascii="Bookman Old Style" w:hAnsi="Bookman Old Style" w:cs="Arial"/>
          <w:noProof/>
          <w:sz w:val="24"/>
          <w:szCs w:val="24"/>
          <w:lang w:val="id-ID"/>
        </w:rPr>
        <w:t>Cetak</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Rp97.709.500,00;</w:t>
      </w:r>
    </w:p>
    <w:p w14:paraId="13A44BDF" w14:textId="6EAF63EB" w:rsidR="00A07951" w:rsidRPr="008379CA" w:rsidRDefault="00A07951" w:rsidP="0038248F">
      <w:pPr>
        <w:pStyle w:val="ListParagraph"/>
        <w:numPr>
          <w:ilvl w:val="0"/>
          <w:numId w:val="193"/>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Pakaian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Batik</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Tradisional</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Rp50.304.000,00;</w:t>
      </w:r>
    </w:p>
    <w:p w14:paraId="20FF6150" w14:textId="775893F1" w:rsidR="00A07951" w:rsidRPr="008379CA" w:rsidRDefault="00A07951" w:rsidP="0038248F">
      <w:pPr>
        <w:pStyle w:val="ListParagraph"/>
        <w:numPr>
          <w:ilvl w:val="0"/>
          <w:numId w:val="193"/>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Pakaian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Olahraga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Rp28.552.000,00;</w:t>
      </w:r>
    </w:p>
    <w:p w14:paraId="0044EF7E" w14:textId="56971EBC" w:rsidR="00A07951" w:rsidRPr="008379CA" w:rsidRDefault="00A07951" w:rsidP="0038248F">
      <w:pPr>
        <w:pStyle w:val="ListParagraph"/>
        <w:numPr>
          <w:ilvl w:val="0"/>
          <w:numId w:val="193"/>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Honorarium</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Narasumber</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atau</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Pembahas,</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Moderator,</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Pembawa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Acara,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Panitia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Rp66.600.000,00;</w:t>
      </w:r>
    </w:p>
    <w:p w14:paraId="6FA45571" w14:textId="726B9C95" w:rsidR="00A07951" w:rsidRPr="008379CA" w:rsidRDefault="00A07951" w:rsidP="0038248F">
      <w:pPr>
        <w:pStyle w:val="ListParagraph"/>
        <w:numPr>
          <w:ilvl w:val="0"/>
          <w:numId w:val="193"/>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Jasa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Tenaga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Ketenteraman,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Ketertiban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Umum,</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Perlindungan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Masyarakat</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Rp40.000.000,00;</w:t>
      </w:r>
    </w:p>
    <w:p w14:paraId="0E6EB163" w14:textId="7286E66B" w:rsidR="00A07951" w:rsidRPr="008379CA" w:rsidRDefault="00A07951" w:rsidP="0038248F">
      <w:pPr>
        <w:pStyle w:val="ListParagraph"/>
        <w:numPr>
          <w:ilvl w:val="0"/>
          <w:numId w:val="193"/>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Jasa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Tenaga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Kesenian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Kebudayaan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Rp9.000.000,00;</w:t>
      </w:r>
    </w:p>
    <w:p w14:paraId="4797E307" w14:textId="42AF120A" w:rsidR="00A07951" w:rsidRPr="008379CA" w:rsidRDefault="00A07951" w:rsidP="0038248F">
      <w:pPr>
        <w:pStyle w:val="ListParagraph"/>
        <w:numPr>
          <w:ilvl w:val="0"/>
          <w:numId w:val="193"/>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Jasa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Penyelenggaraan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Acara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Rp202.000.000,00;</w:t>
      </w:r>
    </w:p>
    <w:p w14:paraId="28ED68FF" w14:textId="3C9ABF7F" w:rsidR="00A07951" w:rsidRPr="008379CA" w:rsidRDefault="00A07951" w:rsidP="0038248F">
      <w:pPr>
        <w:pStyle w:val="ListParagraph"/>
        <w:numPr>
          <w:ilvl w:val="0"/>
          <w:numId w:val="193"/>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Jasa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Iklan/Reklame,</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Film,</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Pemotretan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Rp25.000.000,00;</w:t>
      </w:r>
    </w:p>
    <w:p w14:paraId="36E1D63B" w14:textId="65993AB5" w:rsidR="00A07951" w:rsidRPr="008379CA" w:rsidRDefault="00A07951" w:rsidP="0038248F">
      <w:pPr>
        <w:pStyle w:val="ListParagraph"/>
        <w:numPr>
          <w:ilvl w:val="0"/>
          <w:numId w:val="193"/>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Sewa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Kendaraan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Bermotor</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Angkutan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Barang</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Rp46.656.000,00;</w:t>
      </w:r>
    </w:p>
    <w:p w14:paraId="10E455E0" w14:textId="241B27FB" w:rsidR="00A07951" w:rsidRPr="008379CA" w:rsidRDefault="00A07951" w:rsidP="0038248F">
      <w:pPr>
        <w:pStyle w:val="ListParagraph"/>
        <w:numPr>
          <w:ilvl w:val="0"/>
          <w:numId w:val="193"/>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Sewa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Alat</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Kantor</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Lainnya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Rp1.204.913.600,00;</w:t>
      </w:r>
    </w:p>
    <w:p w14:paraId="22BF2DF2" w14:textId="54A8E0A3" w:rsidR="00A07951" w:rsidRPr="008379CA" w:rsidRDefault="00A07951" w:rsidP="0038248F">
      <w:pPr>
        <w:pStyle w:val="ListParagraph"/>
        <w:numPr>
          <w:ilvl w:val="0"/>
          <w:numId w:val="193"/>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Sewa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Alat</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Pendingin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Rp196.000.000,00;</w:t>
      </w:r>
    </w:p>
    <w:p w14:paraId="1B525FE7" w14:textId="331F849F" w:rsidR="00A07951" w:rsidRPr="008379CA" w:rsidRDefault="00A07951" w:rsidP="0038248F">
      <w:pPr>
        <w:pStyle w:val="ListParagraph"/>
        <w:numPr>
          <w:ilvl w:val="0"/>
          <w:numId w:val="193"/>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Sewa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Peralatan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Umum</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Rp41.240.000,00;</w:t>
      </w:r>
    </w:p>
    <w:p w14:paraId="4235E33B" w14:textId="53C29117" w:rsidR="00A07951" w:rsidRPr="008379CA" w:rsidRDefault="00A07951" w:rsidP="0038248F">
      <w:pPr>
        <w:pStyle w:val="ListParagraph"/>
        <w:numPr>
          <w:ilvl w:val="0"/>
          <w:numId w:val="193"/>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Sewa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Elektronik/</w:t>
      </w:r>
      <w:r w:rsidRPr="008379CA">
        <w:rPr>
          <w:rFonts w:ascii="Bookman Old Style" w:hAnsi="Bookman Old Style" w:cs="Arial"/>
          <w:i/>
          <w:iCs/>
          <w:noProof/>
          <w:sz w:val="24"/>
          <w:szCs w:val="24"/>
          <w:lang w:val="id-ID"/>
        </w:rPr>
        <w:t>Electric</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Rp306.400.000,00;</w:t>
      </w:r>
    </w:p>
    <w:p w14:paraId="285B1EC2" w14:textId="78F0F656" w:rsidR="00A07951" w:rsidRPr="008379CA" w:rsidRDefault="00A07951" w:rsidP="0038248F">
      <w:pPr>
        <w:pStyle w:val="ListParagraph"/>
        <w:numPr>
          <w:ilvl w:val="0"/>
          <w:numId w:val="193"/>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Sewa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Bangunan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Terbuka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Rp744.750.000,00;</w:t>
      </w:r>
    </w:p>
    <w:p w14:paraId="4AB7C787" w14:textId="13652250" w:rsidR="00A07951" w:rsidRPr="008379CA" w:rsidRDefault="00A07951" w:rsidP="0038248F">
      <w:pPr>
        <w:pStyle w:val="ListParagraph"/>
        <w:numPr>
          <w:ilvl w:val="0"/>
          <w:numId w:val="193"/>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Sewa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Musik</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Lainnya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Rp207.600.000,00;</w:t>
      </w:r>
    </w:p>
    <w:p w14:paraId="076E51B9" w14:textId="420FE332" w:rsidR="00A07951" w:rsidRPr="008379CA" w:rsidRDefault="00A07951" w:rsidP="0038248F">
      <w:pPr>
        <w:pStyle w:val="ListParagraph"/>
        <w:numPr>
          <w:ilvl w:val="0"/>
          <w:numId w:val="193"/>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Sewa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Alat</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Musik</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Rp13.440.000,00;</w:t>
      </w:r>
    </w:p>
    <w:p w14:paraId="2E41EB38" w14:textId="3AD3A112" w:rsidR="00A07951" w:rsidRPr="008379CA" w:rsidRDefault="00A07951" w:rsidP="0038248F">
      <w:pPr>
        <w:pStyle w:val="ListParagraph"/>
        <w:numPr>
          <w:ilvl w:val="0"/>
          <w:numId w:val="193"/>
        </w:numPr>
        <w:spacing w:before="60" w:after="0" w:line="276" w:lineRule="auto"/>
        <w:ind w:left="2694" w:hanging="42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Perjalanan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Dinas</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Biasa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Rp90.000.000,00.</w:t>
      </w:r>
    </w:p>
    <w:p w14:paraId="31E981FC" w14:textId="5E585686" w:rsidR="00A07951" w:rsidRPr="008379CA" w:rsidRDefault="00A07951" w:rsidP="0038248F">
      <w:pPr>
        <w:pStyle w:val="ListParagraph"/>
        <w:spacing w:before="60" w:after="0" w:line="276" w:lineRule="auto"/>
        <w:ind w:left="127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lastRenderedPageBreak/>
        <w:t>Untuk</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itu,</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Pemerintah</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Daerah</w:t>
      </w:r>
      <w:r w:rsidR="00A954D0" w:rsidRPr="008379CA">
        <w:rPr>
          <w:rFonts w:ascii="Bookman Old Style" w:hAnsi="Bookman Old Style" w:cs="Arial"/>
          <w:noProof/>
          <w:sz w:val="24"/>
          <w:szCs w:val="24"/>
          <w:lang w:val="id-ID"/>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cs="Arial"/>
          <w:noProof/>
          <w:sz w:val="24"/>
          <w:szCs w:val="24"/>
          <w:lang w:val="id-ID"/>
        </w:rPr>
        <w:t>harus</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memprioritaskan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alokasi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anggaran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pokok</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dibandingkan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dengan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alokasi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anggaran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penunjang</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guna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mendukung</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capaian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target</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kinerja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program,</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kegiatan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sub</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kegiatan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sesuai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dengan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target</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capaian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kinerja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yang</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diharapkan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dari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sub</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kegiatan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dimaksud</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apabila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ditinjau</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dari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aspek</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indikator,</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tolok</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ukur,</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target</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kinerja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kegiatan,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sebagaimana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maksud</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Pasal</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54</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ayat</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(3)</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Pasal</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97</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Peraturan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Pemerintah</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Nomor</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12</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Tahun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2019</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butir</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4.1.3.c</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Lampiran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Peraturan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Menteri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Dalam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Negeri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Nomor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15</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Tahun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2024.</w:t>
      </w:r>
    </w:p>
    <w:p w14:paraId="662C74B0" w14:textId="566D57F0" w:rsidR="00A07951" w:rsidRPr="008379CA" w:rsidRDefault="00A07951" w:rsidP="0038248F">
      <w:pPr>
        <w:pStyle w:val="ListParagraph"/>
        <w:spacing w:before="60" w:after="120" w:line="276" w:lineRule="auto"/>
        <w:ind w:left="1276"/>
        <w:contextualSpacing w:val="0"/>
        <w:jc w:val="both"/>
        <w:rPr>
          <w:rFonts w:ascii="Bookman Old Style" w:hAnsi="Bookman Old Style" w:cs="Arial"/>
          <w:noProof/>
          <w:sz w:val="24"/>
          <w:szCs w:val="24"/>
          <w:lang w:val="id-ID"/>
        </w:rPr>
      </w:pPr>
      <w:r w:rsidRPr="008379CA">
        <w:rPr>
          <w:rFonts w:ascii="Bookman Old Style" w:hAnsi="Bookman Old Style" w:cs="Arial"/>
          <w:noProof/>
          <w:sz w:val="24"/>
          <w:szCs w:val="24"/>
          <w:lang w:val="id-ID"/>
        </w:rPr>
        <w:t>Alokasi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anggaran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berdasarkan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fokus</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penanganan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dalam</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rangka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percepatan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penghapusan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kemiskinan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ekstrem</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dalam</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Rancangan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Peraturan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Daerah</w:t>
      </w:r>
      <w:r w:rsidR="00A954D0" w:rsidRPr="008379CA">
        <w:rPr>
          <w:rFonts w:ascii="Bookman Old Style" w:hAnsi="Bookman Old Style" w:cs="Arial"/>
          <w:noProof/>
          <w:sz w:val="24"/>
          <w:szCs w:val="24"/>
          <w:lang w:val="id-ID"/>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cs="Arial"/>
          <w:noProof/>
          <w:sz w:val="24"/>
          <w:szCs w:val="24"/>
          <w:lang w:val="id-ID"/>
        </w:rPr>
        <w:t>tentang</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APBD</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Tahun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Anggaran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2025</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adalah</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sebagai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berikut:</w:t>
      </w:r>
    </w:p>
    <w:p w14:paraId="6A11BCBC" w14:textId="77777777" w:rsidR="00F2382B" w:rsidRDefault="00F2382B" w:rsidP="00A07951">
      <w:pPr>
        <w:pStyle w:val="ListParagraph"/>
        <w:spacing w:after="0" w:line="276" w:lineRule="auto"/>
        <w:ind w:left="1267"/>
        <w:contextualSpacing w:val="0"/>
        <w:jc w:val="center"/>
        <w:rPr>
          <w:rFonts w:ascii="Bookman Old Style" w:hAnsi="Bookman Old Style" w:cs="Arial"/>
          <w:noProof/>
          <w:sz w:val="24"/>
          <w:szCs w:val="24"/>
          <w:lang w:val="id-ID"/>
        </w:rPr>
      </w:pPr>
    </w:p>
    <w:p w14:paraId="52858377" w14:textId="63FC889C" w:rsidR="00A07951" w:rsidRPr="008379CA" w:rsidRDefault="00A07951" w:rsidP="00A07951">
      <w:pPr>
        <w:pStyle w:val="ListParagraph"/>
        <w:spacing w:after="0" w:line="276" w:lineRule="auto"/>
        <w:ind w:left="1267"/>
        <w:contextualSpacing w:val="0"/>
        <w:jc w:val="center"/>
        <w:rPr>
          <w:rFonts w:ascii="Bookman Old Style" w:hAnsi="Bookman Old Style" w:cs="Arial"/>
          <w:noProof/>
          <w:sz w:val="24"/>
          <w:szCs w:val="24"/>
          <w:lang w:val="sv-FI"/>
        </w:rPr>
      </w:pPr>
      <w:r w:rsidRPr="008379CA">
        <w:rPr>
          <w:rFonts w:ascii="Bookman Old Style" w:hAnsi="Bookman Old Style" w:cs="Arial"/>
          <w:noProof/>
          <w:sz w:val="24"/>
          <w:szCs w:val="24"/>
          <w:lang w:val="id-ID"/>
        </w:rPr>
        <w:t>Tabel</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8</w:t>
      </w:r>
    </w:p>
    <w:p w14:paraId="67114BE9" w14:textId="63D53189" w:rsidR="00A07951" w:rsidRPr="008379CA" w:rsidRDefault="00A07951" w:rsidP="00A07951">
      <w:pPr>
        <w:pStyle w:val="ListParagraph"/>
        <w:spacing w:after="0" w:line="276" w:lineRule="auto"/>
        <w:ind w:left="1264"/>
        <w:contextualSpacing w:val="0"/>
        <w:jc w:val="center"/>
        <w:rPr>
          <w:rFonts w:ascii="Bookman Old Style" w:hAnsi="Bookman Old Style" w:cs="Arial"/>
          <w:noProof/>
          <w:sz w:val="24"/>
          <w:szCs w:val="24"/>
          <w:lang w:val="id-ID"/>
        </w:rPr>
      </w:pPr>
      <w:r w:rsidRPr="008379CA">
        <w:rPr>
          <w:rFonts w:ascii="Bookman Old Style" w:hAnsi="Bookman Old Style" w:cs="Arial"/>
          <w:noProof/>
          <w:sz w:val="24"/>
          <w:szCs w:val="24"/>
          <w:lang w:val="sv-FI"/>
        </w:rPr>
        <w:t>Alokasi</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Anggaran</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Percepatan</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id-ID"/>
        </w:rPr>
        <w:t>Penghapusan</w:t>
      </w:r>
      <w:r w:rsidR="00A954D0" w:rsidRPr="008379CA">
        <w:rPr>
          <w:rFonts w:ascii="Bookman Old Style" w:hAnsi="Bookman Old Style" w:cs="Arial"/>
          <w:noProof/>
          <w:sz w:val="24"/>
          <w:szCs w:val="24"/>
          <w:lang w:val="id-ID"/>
        </w:rPr>
        <w:t xml:space="preserve"> </w:t>
      </w:r>
    </w:p>
    <w:p w14:paraId="1D9A2820" w14:textId="4362CF83" w:rsidR="00A07951" w:rsidRPr="008379CA" w:rsidRDefault="00A07951" w:rsidP="00A07951">
      <w:pPr>
        <w:pStyle w:val="ListParagraph"/>
        <w:spacing w:after="120" w:line="276" w:lineRule="auto"/>
        <w:ind w:left="1264"/>
        <w:contextualSpacing w:val="0"/>
        <w:jc w:val="center"/>
        <w:rPr>
          <w:rFonts w:ascii="Bookman Old Style" w:hAnsi="Bookman Old Style" w:cs="Arial"/>
          <w:noProof/>
          <w:sz w:val="24"/>
          <w:szCs w:val="24"/>
          <w:lang w:val="id-ID"/>
        </w:rPr>
      </w:pPr>
      <w:r w:rsidRPr="008379CA">
        <w:rPr>
          <w:rFonts w:ascii="Bookman Old Style" w:hAnsi="Bookman Old Style" w:cs="Arial"/>
          <w:noProof/>
          <w:sz w:val="24"/>
          <w:szCs w:val="24"/>
          <w:lang w:val="id-ID"/>
        </w:rPr>
        <w:t>Kemiskinan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Ekstrem</w:t>
      </w:r>
    </w:p>
    <w:tbl>
      <w:tblPr>
        <w:tblW w:w="7655" w:type="dxa"/>
        <w:tblInd w:w="1271" w:type="dxa"/>
        <w:tblLook w:val="04A0" w:firstRow="1" w:lastRow="0" w:firstColumn="1" w:lastColumn="0" w:noHBand="0" w:noVBand="1"/>
      </w:tblPr>
      <w:tblGrid>
        <w:gridCol w:w="580"/>
        <w:gridCol w:w="3197"/>
        <w:gridCol w:w="2537"/>
        <w:gridCol w:w="1341"/>
      </w:tblGrid>
      <w:tr w:rsidR="008379CA" w:rsidRPr="008379CA" w14:paraId="49075FEA" w14:textId="77777777" w:rsidTr="002359C3">
        <w:trPr>
          <w:trHeight w:val="811"/>
          <w:tblHead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21E7B" w14:textId="77777777" w:rsidR="00A07951" w:rsidRPr="008379CA" w:rsidRDefault="00A07951" w:rsidP="0023341C">
            <w:pPr>
              <w:jc w:val="center"/>
              <w:rPr>
                <w:rFonts w:ascii="Bookman Old Style" w:hAnsi="Bookman Old Style" w:cs="Calibri"/>
                <w:b/>
                <w:sz w:val="20"/>
                <w:szCs w:val="20"/>
              </w:rPr>
            </w:pPr>
            <w:r w:rsidRPr="008379CA">
              <w:rPr>
                <w:rFonts w:ascii="Bookman Old Style" w:hAnsi="Bookman Old Style" w:cs="Arial"/>
                <w:b/>
                <w:noProof/>
                <w:sz w:val="20"/>
                <w:szCs w:val="20"/>
                <w:lang w:val="sv-FI"/>
              </w:rPr>
              <w:br w:type="page"/>
            </w:r>
            <w:r w:rsidRPr="008379CA">
              <w:rPr>
                <w:rFonts w:ascii="Bookman Old Style" w:hAnsi="Bookman Old Style" w:cs="Calibri"/>
                <w:b/>
                <w:sz w:val="20"/>
                <w:szCs w:val="20"/>
              </w:rPr>
              <w:t>No.</w:t>
            </w:r>
          </w:p>
        </w:tc>
        <w:tc>
          <w:tcPr>
            <w:tcW w:w="41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819C4" w14:textId="77777777" w:rsidR="00A07951" w:rsidRPr="008379CA" w:rsidRDefault="00A07951" w:rsidP="0023341C">
            <w:pPr>
              <w:jc w:val="center"/>
              <w:rPr>
                <w:rFonts w:ascii="Bookman Old Style" w:hAnsi="Bookman Old Style" w:cs="Calibri"/>
                <w:b/>
                <w:sz w:val="20"/>
                <w:szCs w:val="20"/>
              </w:rPr>
            </w:pPr>
            <w:r w:rsidRPr="008379CA">
              <w:rPr>
                <w:rFonts w:ascii="Bookman Old Style" w:hAnsi="Bookman Old Style" w:cs="Arial"/>
                <w:b/>
                <w:noProof/>
                <w:sz w:val="20"/>
                <w:szCs w:val="20"/>
                <w:lang w:val="en-GB"/>
              </w:rPr>
              <w:t>Strategi/Sasaran</w:t>
            </w:r>
          </w:p>
        </w:tc>
        <w:tc>
          <w:tcPr>
            <w:tcW w:w="2537" w:type="dxa"/>
            <w:tcBorders>
              <w:top w:val="single" w:sz="4" w:space="0" w:color="auto"/>
              <w:left w:val="nil"/>
              <w:bottom w:val="single" w:sz="4" w:space="0" w:color="auto"/>
              <w:right w:val="single" w:sz="4" w:space="0" w:color="auto"/>
            </w:tcBorders>
            <w:shd w:val="clear" w:color="auto" w:fill="auto"/>
            <w:vAlign w:val="center"/>
            <w:hideMark/>
          </w:tcPr>
          <w:p w14:paraId="38E1602D" w14:textId="16AA2B95" w:rsidR="00A07951" w:rsidRPr="008379CA" w:rsidRDefault="00A07951" w:rsidP="0023341C">
            <w:pPr>
              <w:jc w:val="center"/>
              <w:rPr>
                <w:rFonts w:ascii="Bookman Old Style" w:hAnsi="Bookman Old Style" w:cs="Calibri"/>
                <w:b/>
                <w:sz w:val="20"/>
                <w:szCs w:val="20"/>
              </w:rPr>
            </w:pPr>
            <w:r w:rsidRPr="008379CA">
              <w:rPr>
                <w:rFonts w:ascii="Bookman Old Style" w:hAnsi="Bookman Old Style" w:cs="Calibri"/>
                <w:b/>
                <w:sz w:val="20"/>
                <w:szCs w:val="20"/>
              </w:rPr>
              <w:t>Rancangan</w:t>
            </w:r>
            <w:r w:rsidR="00A954D0" w:rsidRPr="008379CA">
              <w:rPr>
                <w:rFonts w:ascii="Bookman Old Style" w:hAnsi="Bookman Old Style" w:cs="Calibri"/>
                <w:b/>
                <w:sz w:val="20"/>
                <w:szCs w:val="20"/>
              </w:rPr>
              <w:t xml:space="preserve"> </w:t>
            </w:r>
          </w:p>
          <w:p w14:paraId="39336E72" w14:textId="29F9D571" w:rsidR="00A07951" w:rsidRPr="008379CA" w:rsidRDefault="00A07951" w:rsidP="0023341C">
            <w:pPr>
              <w:jc w:val="center"/>
              <w:rPr>
                <w:rFonts w:ascii="Bookman Old Style" w:hAnsi="Bookman Old Style" w:cs="Calibri"/>
                <w:b/>
                <w:sz w:val="20"/>
                <w:szCs w:val="20"/>
              </w:rPr>
            </w:pPr>
            <w:r w:rsidRPr="008379CA">
              <w:rPr>
                <w:rFonts w:ascii="Bookman Old Style" w:hAnsi="Bookman Old Style" w:cs="Calibri"/>
                <w:b/>
                <w:sz w:val="20"/>
                <w:szCs w:val="20"/>
              </w:rPr>
              <w:t>APBD</w:t>
            </w:r>
            <w:r w:rsidR="00A954D0" w:rsidRPr="008379CA">
              <w:rPr>
                <w:rFonts w:ascii="Bookman Old Style" w:hAnsi="Bookman Old Style" w:cs="Calibri"/>
                <w:b/>
                <w:sz w:val="20"/>
                <w:szCs w:val="20"/>
              </w:rPr>
              <w:t xml:space="preserve"> </w:t>
            </w:r>
            <w:r w:rsidRPr="008379CA">
              <w:rPr>
                <w:rFonts w:ascii="Bookman Old Style" w:hAnsi="Bookman Old Style" w:cs="Calibri"/>
                <w:b/>
                <w:sz w:val="20"/>
                <w:szCs w:val="20"/>
              </w:rPr>
              <w:t>TA</w:t>
            </w:r>
            <w:r w:rsidRPr="008379CA">
              <w:rPr>
                <w:rFonts w:ascii="Bookman Old Style" w:hAnsi="Bookman Old Style" w:cs="Calibri"/>
                <w:b/>
                <w:sz w:val="20"/>
                <w:szCs w:val="20"/>
                <w:lang w:val="id-ID"/>
              </w:rPr>
              <w:t>.</w:t>
            </w:r>
            <w:r w:rsidR="00A954D0" w:rsidRPr="008379CA">
              <w:rPr>
                <w:rFonts w:ascii="Bookman Old Style" w:hAnsi="Bookman Old Style" w:cs="Calibri"/>
                <w:b/>
                <w:sz w:val="20"/>
                <w:szCs w:val="20"/>
              </w:rPr>
              <w:t xml:space="preserve"> </w:t>
            </w:r>
            <w:r w:rsidRPr="008379CA">
              <w:rPr>
                <w:rFonts w:ascii="Bookman Old Style" w:hAnsi="Bookman Old Style" w:cs="Calibri"/>
                <w:b/>
                <w:sz w:val="20"/>
                <w:szCs w:val="20"/>
              </w:rPr>
              <w:t>2025</w:t>
            </w:r>
          </w:p>
          <w:p w14:paraId="0520EBED" w14:textId="77777777" w:rsidR="00A07951" w:rsidRPr="008379CA" w:rsidRDefault="00A07951" w:rsidP="0023341C">
            <w:pPr>
              <w:jc w:val="center"/>
              <w:rPr>
                <w:rFonts w:ascii="Bookman Old Style" w:hAnsi="Bookman Old Style" w:cs="Calibri"/>
                <w:b/>
                <w:sz w:val="20"/>
                <w:szCs w:val="20"/>
              </w:rPr>
            </w:pPr>
            <w:r w:rsidRPr="008379CA">
              <w:rPr>
                <w:rFonts w:ascii="Bookman Old Style" w:hAnsi="Bookman Old Style" w:cs="Calibri"/>
                <w:b/>
                <w:sz w:val="20"/>
                <w:szCs w:val="20"/>
              </w:rPr>
              <w:t>(Rp)</w:t>
            </w:r>
          </w:p>
        </w:tc>
        <w:tc>
          <w:tcPr>
            <w:tcW w:w="349" w:type="dxa"/>
            <w:tcBorders>
              <w:top w:val="single" w:sz="4" w:space="0" w:color="auto"/>
              <w:left w:val="nil"/>
              <w:bottom w:val="single" w:sz="4" w:space="0" w:color="auto"/>
              <w:right w:val="single" w:sz="4" w:space="0" w:color="auto"/>
            </w:tcBorders>
            <w:shd w:val="clear" w:color="auto" w:fill="auto"/>
            <w:vAlign w:val="center"/>
            <w:hideMark/>
          </w:tcPr>
          <w:p w14:paraId="5B0794C6" w14:textId="77777777" w:rsidR="00A07951" w:rsidRPr="008379CA" w:rsidRDefault="00A07951" w:rsidP="0023341C">
            <w:pPr>
              <w:jc w:val="center"/>
              <w:rPr>
                <w:rFonts w:ascii="Bookman Old Style" w:hAnsi="Bookman Old Style" w:cs="Calibri"/>
                <w:b/>
                <w:sz w:val="20"/>
                <w:szCs w:val="20"/>
              </w:rPr>
            </w:pPr>
            <w:r w:rsidRPr="008379CA">
              <w:rPr>
                <w:rFonts w:ascii="Bookman Old Style" w:hAnsi="Bookman Old Style" w:cs="Calibri"/>
                <w:b/>
                <w:sz w:val="20"/>
                <w:szCs w:val="20"/>
              </w:rPr>
              <w:t>Persentase</w:t>
            </w:r>
          </w:p>
          <w:p w14:paraId="4CE35A2D" w14:textId="77777777" w:rsidR="00A07951" w:rsidRPr="008379CA" w:rsidRDefault="00A07951" w:rsidP="0023341C">
            <w:pPr>
              <w:jc w:val="center"/>
              <w:rPr>
                <w:rFonts w:ascii="Bookman Old Style" w:hAnsi="Bookman Old Style" w:cs="Calibri"/>
                <w:b/>
                <w:sz w:val="20"/>
                <w:szCs w:val="20"/>
              </w:rPr>
            </w:pPr>
            <w:r w:rsidRPr="008379CA">
              <w:rPr>
                <w:rFonts w:ascii="Bookman Old Style" w:hAnsi="Bookman Old Style" w:cs="Calibri"/>
                <w:b/>
                <w:sz w:val="20"/>
                <w:szCs w:val="20"/>
              </w:rPr>
              <w:t>(%)</w:t>
            </w:r>
          </w:p>
        </w:tc>
      </w:tr>
      <w:tr w:rsidR="008379CA" w:rsidRPr="008379CA" w14:paraId="740EAE4F" w14:textId="77777777" w:rsidTr="002359C3">
        <w:trPr>
          <w:trHeight w:val="349"/>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AF77F9B" w14:textId="77777777" w:rsidR="00A07951" w:rsidRPr="008379CA" w:rsidRDefault="00A07951" w:rsidP="0023341C">
            <w:pPr>
              <w:jc w:val="center"/>
              <w:rPr>
                <w:rFonts w:ascii="Bookman Old Style" w:hAnsi="Bookman Old Style" w:cs="Calibri"/>
                <w:sz w:val="20"/>
                <w:szCs w:val="20"/>
              </w:rPr>
            </w:pPr>
            <w:r w:rsidRPr="008379CA">
              <w:rPr>
                <w:rFonts w:ascii="Bookman Old Style" w:hAnsi="Bookman Old Style" w:cs="Calibri"/>
                <w:sz w:val="20"/>
                <w:szCs w:val="20"/>
              </w:rPr>
              <w:t>1.</w:t>
            </w:r>
          </w:p>
        </w:tc>
        <w:tc>
          <w:tcPr>
            <w:tcW w:w="4189" w:type="dxa"/>
            <w:tcBorders>
              <w:top w:val="single" w:sz="4" w:space="0" w:color="auto"/>
              <w:left w:val="nil"/>
              <w:bottom w:val="single" w:sz="4" w:space="0" w:color="auto"/>
              <w:right w:val="single" w:sz="4" w:space="0" w:color="auto"/>
            </w:tcBorders>
            <w:shd w:val="clear" w:color="auto" w:fill="auto"/>
            <w:vAlign w:val="center"/>
          </w:tcPr>
          <w:p w14:paraId="43E730DB" w14:textId="364A88BE" w:rsidR="00A07951" w:rsidRPr="008379CA" w:rsidRDefault="00A07951" w:rsidP="0023341C">
            <w:pPr>
              <w:rPr>
                <w:rFonts w:ascii="Bookman Old Style" w:hAnsi="Bookman Old Style" w:cs="Calibri"/>
                <w:sz w:val="20"/>
                <w:szCs w:val="20"/>
                <w:lang w:val="fi-FI"/>
              </w:rPr>
            </w:pPr>
            <w:r w:rsidRPr="008379CA">
              <w:rPr>
                <w:rFonts w:ascii="Bookman Old Style" w:hAnsi="Bookman Old Style" w:cs="Calibri"/>
                <w:sz w:val="20"/>
                <w:szCs w:val="20"/>
                <w:lang w:val="sv-FI"/>
              </w:rPr>
              <w:t>Meminimalkan</w:t>
            </w:r>
            <w:r w:rsidR="00A954D0" w:rsidRPr="008379CA">
              <w:rPr>
                <w:rFonts w:ascii="Bookman Old Style" w:hAnsi="Bookman Old Style" w:cs="Calibri"/>
                <w:sz w:val="20"/>
                <w:szCs w:val="20"/>
                <w:lang w:val="sv-FI"/>
              </w:rPr>
              <w:t xml:space="preserve"> </w:t>
            </w:r>
            <w:r w:rsidRPr="008379CA">
              <w:rPr>
                <w:rFonts w:ascii="Bookman Old Style" w:hAnsi="Bookman Old Style" w:cs="Calibri"/>
                <w:sz w:val="20"/>
                <w:szCs w:val="20"/>
                <w:lang w:val="sv-FI"/>
              </w:rPr>
              <w:t>Wilayah</w:t>
            </w:r>
            <w:r w:rsidR="00A954D0" w:rsidRPr="008379CA">
              <w:rPr>
                <w:rFonts w:ascii="Bookman Old Style" w:hAnsi="Bookman Old Style" w:cs="Calibri"/>
                <w:sz w:val="20"/>
                <w:szCs w:val="20"/>
                <w:lang w:val="sv-FI"/>
              </w:rPr>
              <w:t xml:space="preserve"> </w:t>
            </w:r>
            <w:r w:rsidRPr="008379CA">
              <w:rPr>
                <w:rFonts w:ascii="Bookman Old Style" w:hAnsi="Bookman Old Style" w:cs="Calibri"/>
                <w:sz w:val="20"/>
                <w:szCs w:val="20"/>
                <w:lang w:val="sv-FI"/>
              </w:rPr>
              <w:t>Kantong</w:t>
            </w:r>
            <w:r w:rsidR="00A954D0" w:rsidRPr="008379CA">
              <w:rPr>
                <w:rFonts w:ascii="Bookman Old Style" w:hAnsi="Bookman Old Style" w:cs="Calibri"/>
                <w:sz w:val="20"/>
                <w:szCs w:val="20"/>
                <w:lang w:val="sv-FI"/>
              </w:rPr>
              <w:t xml:space="preserve"> </w:t>
            </w:r>
            <w:r w:rsidRPr="008379CA">
              <w:rPr>
                <w:rFonts w:ascii="Bookman Old Style" w:hAnsi="Bookman Old Style" w:cs="Calibri"/>
                <w:sz w:val="20"/>
                <w:szCs w:val="20"/>
                <w:lang w:val="sv-FI"/>
              </w:rPr>
              <w:t>Kemiskinan</w:t>
            </w:r>
          </w:p>
        </w:tc>
        <w:tc>
          <w:tcPr>
            <w:tcW w:w="2537" w:type="dxa"/>
            <w:tcBorders>
              <w:top w:val="single" w:sz="4" w:space="0" w:color="auto"/>
              <w:left w:val="nil"/>
              <w:bottom w:val="single" w:sz="4" w:space="0" w:color="auto"/>
              <w:right w:val="single" w:sz="4" w:space="0" w:color="auto"/>
            </w:tcBorders>
            <w:shd w:val="clear" w:color="auto" w:fill="auto"/>
            <w:noWrap/>
            <w:vAlign w:val="center"/>
          </w:tcPr>
          <w:p w14:paraId="174A0958" w14:textId="77777777" w:rsidR="00A07951" w:rsidRPr="008379CA" w:rsidRDefault="00A07951" w:rsidP="0023341C">
            <w:pPr>
              <w:jc w:val="right"/>
              <w:rPr>
                <w:rFonts w:ascii="Bookman Old Style" w:hAnsi="Bookman Old Style" w:cs="Arial"/>
                <w:noProof/>
                <w:sz w:val="20"/>
                <w:szCs w:val="20"/>
                <w:lang w:val="id-ID"/>
              </w:rPr>
            </w:pPr>
            <w:r w:rsidRPr="008379CA">
              <w:rPr>
                <w:rFonts w:ascii="Bookman Old Style" w:hAnsi="Bookman Old Style" w:cs="Arial"/>
                <w:noProof/>
                <w:sz w:val="20"/>
                <w:szCs w:val="20"/>
                <w:lang w:val="id-ID"/>
              </w:rPr>
              <w:t>25.093.235.028,20</w:t>
            </w:r>
          </w:p>
        </w:tc>
        <w:tc>
          <w:tcPr>
            <w:tcW w:w="349" w:type="dxa"/>
            <w:tcBorders>
              <w:top w:val="single" w:sz="4" w:space="0" w:color="auto"/>
              <w:left w:val="nil"/>
              <w:bottom w:val="single" w:sz="4" w:space="0" w:color="auto"/>
              <w:right w:val="single" w:sz="4" w:space="0" w:color="auto"/>
            </w:tcBorders>
            <w:shd w:val="clear" w:color="auto" w:fill="auto"/>
            <w:noWrap/>
            <w:vAlign w:val="center"/>
          </w:tcPr>
          <w:p w14:paraId="0E5528E6" w14:textId="77777777" w:rsidR="00A07951" w:rsidRPr="008379CA" w:rsidRDefault="00A07951" w:rsidP="0023341C">
            <w:pPr>
              <w:jc w:val="center"/>
              <w:rPr>
                <w:rFonts w:ascii="Bookman Old Style" w:hAnsi="Bookman Old Style" w:cs="Arial"/>
                <w:noProof/>
                <w:sz w:val="20"/>
                <w:szCs w:val="20"/>
                <w:lang w:val="id-ID"/>
              </w:rPr>
            </w:pPr>
            <w:r w:rsidRPr="008379CA">
              <w:rPr>
                <w:rFonts w:ascii="Bookman Old Style" w:hAnsi="Bookman Old Style" w:cs="Arial"/>
                <w:noProof/>
                <w:sz w:val="20"/>
                <w:szCs w:val="20"/>
                <w:lang w:val="id-ID"/>
              </w:rPr>
              <w:t>9,25</w:t>
            </w:r>
          </w:p>
        </w:tc>
      </w:tr>
      <w:tr w:rsidR="008379CA" w:rsidRPr="008379CA" w14:paraId="7249D665" w14:textId="77777777" w:rsidTr="002359C3">
        <w:trPr>
          <w:trHeight w:val="303"/>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41F3B9" w14:textId="77777777" w:rsidR="00A07951" w:rsidRPr="008379CA" w:rsidRDefault="00A07951" w:rsidP="0023341C">
            <w:pPr>
              <w:jc w:val="center"/>
              <w:rPr>
                <w:rFonts w:ascii="Bookman Old Style" w:hAnsi="Bookman Old Style" w:cs="Calibri"/>
                <w:sz w:val="20"/>
                <w:szCs w:val="20"/>
              </w:rPr>
            </w:pPr>
            <w:r w:rsidRPr="008379CA">
              <w:rPr>
                <w:rFonts w:ascii="Bookman Old Style" w:hAnsi="Bookman Old Style" w:cs="Calibri"/>
                <w:sz w:val="20"/>
                <w:szCs w:val="20"/>
              </w:rPr>
              <w:t>2.</w:t>
            </w:r>
          </w:p>
        </w:tc>
        <w:tc>
          <w:tcPr>
            <w:tcW w:w="4189" w:type="dxa"/>
            <w:tcBorders>
              <w:top w:val="single" w:sz="4" w:space="0" w:color="auto"/>
              <w:left w:val="nil"/>
              <w:bottom w:val="single" w:sz="4" w:space="0" w:color="auto"/>
              <w:right w:val="single" w:sz="4" w:space="0" w:color="auto"/>
            </w:tcBorders>
            <w:shd w:val="clear" w:color="auto" w:fill="auto"/>
            <w:vAlign w:val="center"/>
          </w:tcPr>
          <w:p w14:paraId="672FF71E" w14:textId="72500776" w:rsidR="00A07951" w:rsidRPr="008379CA" w:rsidRDefault="00A07951" w:rsidP="0023341C">
            <w:pPr>
              <w:rPr>
                <w:rFonts w:ascii="Bookman Old Style" w:hAnsi="Bookman Old Style" w:cs="Calibri"/>
                <w:sz w:val="20"/>
                <w:szCs w:val="20"/>
                <w:lang w:val="sv-FI"/>
              </w:rPr>
            </w:pPr>
            <w:r w:rsidRPr="008379CA">
              <w:rPr>
                <w:rFonts w:ascii="Bookman Old Style" w:hAnsi="Bookman Old Style" w:cs="Calibri"/>
                <w:sz w:val="20"/>
                <w:szCs w:val="20"/>
                <w:lang w:val="sv-FI"/>
              </w:rPr>
              <w:t>Mengurangi</w:t>
            </w:r>
            <w:r w:rsidR="00A954D0" w:rsidRPr="008379CA">
              <w:rPr>
                <w:rFonts w:ascii="Bookman Old Style" w:hAnsi="Bookman Old Style" w:cs="Calibri"/>
                <w:sz w:val="20"/>
                <w:szCs w:val="20"/>
                <w:lang w:val="sv-FI"/>
              </w:rPr>
              <w:t xml:space="preserve"> </w:t>
            </w:r>
            <w:r w:rsidRPr="008379CA">
              <w:rPr>
                <w:rFonts w:ascii="Bookman Old Style" w:hAnsi="Bookman Old Style" w:cs="Calibri"/>
                <w:sz w:val="20"/>
                <w:szCs w:val="20"/>
                <w:lang w:val="sv-FI"/>
              </w:rPr>
              <w:t>Beban</w:t>
            </w:r>
            <w:r w:rsidR="00A954D0" w:rsidRPr="008379CA">
              <w:rPr>
                <w:rFonts w:ascii="Bookman Old Style" w:hAnsi="Bookman Old Style" w:cs="Calibri"/>
                <w:sz w:val="20"/>
                <w:szCs w:val="20"/>
                <w:lang w:val="sv-FI"/>
              </w:rPr>
              <w:t xml:space="preserve"> </w:t>
            </w:r>
            <w:r w:rsidRPr="008379CA">
              <w:rPr>
                <w:rFonts w:ascii="Bookman Old Style" w:hAnsi="Bookman Old Style" w:cs="Calibri"/>
                <w:sz w:val="20"/>
                <w:szCs w:val="20"/>
                <w:lang w:val="sv-FI"/>
              </w:rPr>
              <w:t>Pengeluaran</w:t>
            </w:r>
          </w:p>
        </w:tc>
        <w:tc>
          <w:tcPr>
            <w:tcW w:w="2537" w:type="dxa"/>
            <w:tcBorders>
              <w:top w:val="nil"/>
              <w:left w:val="nil"/>
              <w:bottom w:val="single" w:sz="4" w:space="0" w:color="auto"/>
              <w:right w:val="single" w:sz="4" w:space="0" w:color="auto"/>
            </w:tcBorders>
            <w:shd w:val="clear" w:color="auto" w:fill="auto"/>
            <w:noWrap/>
            <w:vAlign w:val="center"/>
          </w:tcPr>
          <w:p w14:paraId="36281DEE" w14:textId="77777777" w:rsidR="00A07951" w:rsidRPr="008379CA" w:rsidRDefault="00A07951" w:rsidP="0023341C">
            <w:pPr>
              <w:jc w:val="right"/>
              <w:rPr>
                <w:rFonts w:ascii="Bookman Old Style" w:hAnsi="Bookman Old Style" w:cs="Calibri"/>
                <w:sz w:val="20"/>
                <w:szCs w:val="20"/>
                <w:lang w:val="sv-FI"/>
              </w:rPr>
            </w:pPr>
            <w:r w:rsidRPr="008379CA">
              <w:rPr>
                <w:rFonts w:ascii="Bookman Old Style" w:hAnsi="Bookman Old Style" w:cs="Calibri"/>
                <w:sz w:val="20"/>
                <w:szCs w:val="20"/>
                <w:lang w:val="sv-FI"/>
              </w:rPr>
              <w:t>245.451.331.701,50</w:t>
            </w:r>
          </w:p>
        </w:tc>
        <w:tc>
          <w:tcPr>
            <w:tcW w:w="349" w:type="dxa"/>
            <w:tcBorders>
              <w:top w:val="nil"/>
              <w:left w:val="nil"/>
              <w:bottom w:val="single" w:sz="4" w:space="0" w:color="auto"/>
              <w:right w:val="single" w:sz="4" w:space="0" w:color="auto"/>
            </w:tcBorders>
            <w:shd w:val="clear" w:color="auto" w:fill="auto"/>
            <w:noWrap/>
            <w:vAlign w:val="center"/>
          </w:tcPr>
          <w:p w14:paraId="3C10F9BF" w14:textId="77777777" w:rsidR="00A07951" w:rsidRPr="008379CA" w:rsidRDefault="00A07951" w:rsidP="0023341C">
            <w:pPr>
              <w:jc w:val="center"/>
              <w:rPr>
                <w:rFonts w:ascii="Bookman Old Style" w:hAnsi="Bookman Old Style" w:cs="Calibri"/>
                <w:sz w:val="20"/>
                <w:szCs w:val="20"/>
                <w:lang w:val="sv-FI"/>
              </w:rPr>
            </w:pPr>
            <w:r w:rsidRPr="008379CA">
              <w:rPr>
                <w:rFonts w:ascii="Bookman Old Style" w:hAnsi="Bookman Old Style" w:cs="Calibri"/>
                <w:sz w:val="20"/>
                <w:szCs w:val="20"/>
                <w:lang w:val="sv-FI"/>
              </w:rPr>
              <w:t>90,44</w:t>
            </w:r>
          </w:p>
        </w:tc>
      </w:tr>
      <w:tr w:rsidR="008379CA" w:rsidRPr="008379CA" w14:paraId="2D24FC74" w14:textId="77777777" w:rsidTr="002359C3">
        <w:trPr>
          <w:trHeight w:val="421"/>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B2E1DF" w14:textId="77777777" w:rsidR="00A07951" w:rsidRPr="008379CA" w:rsidRDefault="00A07951" w:rsidP="0023341C">
            <w:pPr>
              <w:jc w:val="center"/>
              <w:rPr>
                <w:rFonts w:ascii="Bookman Old Style" w:hAnsi="Bookman Old Style" w:cs="Calibri"/>
                <w:sz w:val="20"/>
                <w:szCs w:val="20"/>
              </w:rPr>
            </w:pPr>
            <w:r w:rsidRPr="008379CA">
              <w:rPr>
                <w:rFonts w:ascii="Bookman Old Style" w:hAnsi="Bookman Old Style" w:cs="Calibri"/>
                <w:sz w:val="20"/>
                <w:szCs w:val="20"/>
              </w:rPr>
              <w:t>3.</w:t>
            </w:r>
          </w:p>
        </w:tc>
        <w:tc>
          <w:tcPr>
            <w:tcW w:w="4189" w:type="dxa"/>
            <w:tcBorders>
              <w:top w:val="single" w:sz="4" w:space="0" w:color="auto"/>
              <w:left w:val="nil"/>
              <w:bottom w:val="single" w:sz="4" w:space="0" w:color="auto"/>
              <w:right w:val="single" w:sz="4" w:space="0" w:color="auto"/>
            </w:tcBorders>
            <w:shd w:val="clear" w:color="auto" w:fill="auto"/>
            <w:vAlign w:val="center"/>
          </w:tcPr>
          <w:p w14:paraId="0A8FE130" w14:textId="121E5711" w:rsidR="00A07951" w:rsidRPr="008379CA" w:rsidRDefault="00A07951" w:rsidP="0023341C">
            <w:pPr>
              <w:rPr>
                <w:rFonts w:ascii="Bookman Old Style" w:hAnsi="Bookman Old Style" w:cs="Calibri"/>
                <w:sz w:val="20"/>
                <w:szCs w:val="20"/>
                <w:lang w:val="sv-FI"/>
              </w:rPr>
            </w:pPr>
            <w:r w:rsidRPr="008379CA">
              <w:rPr>
                <w:rFonts w:ascii="Bookman Old Style" w:hAnsi="Bookman Old Style" w:cs="Calibri"/>
                <w:sz w:val="20"/>
                <w:szCs w:val="20"/>
                <w:lang w:val="sv-FI"/>
              </w:rPr>
              <w:t>Meningkatkan</w:t>
            </w:r>
            <w:r w:rsidR="00A954D0" w:rsidRPr="008379CA">
              <w:rPr>
                <w:rFonts w:ascii="Bookman Old Style" w:hAnsi="Bookman Old Style" w:cs="Calibri"/>
                <w:sz w:val="20"/>
                <w:szCs w:val="20"/>
                <w:lang w:val="sv-FI"/>
              </w:rPr>
              <w:t xml:space="preserve"> </w:t>
            </w:r>
            <w:r w:rsidRPr="008379CA">
              <w:rPr>
                <w:rFonts w:ascii="Bookman Old Style" w:hAnsi="Bookman Old Style" w:cs="Calibri"/>
                <w:sz w:val="20"/>
                <w:szCs w:val="20"/>
                <w:lang w:val="sv-FI"/>
              </w:rPr>
              <w:t>Pendapatan</w:t>
            </w:r>
          </w:p>
        </w:tc>
        <w:tc>
          <w:tcPr>
            <w:tcW w:w="2537" w:type="dxa"/>
            <w:tcBorders>
              <w:top w:val="nil"/>
              <w:left w:val="nil"/>
              <w:bottom w:val="single" w:sz="4" w:space="0" w:color="auto"/>
              <w:right w:val="single" w:sz="4" w:space="0" w:color="auto"/>
            </w:tcBorders>
            <w:shd w:val="clear" w:color="auto" w:fill="auto"/>
            <w:noWrap/>
            <w:vAlign w:val="center"/>
          </w:tcPr>
          <w:p w14:paraId="4CBE9241" w14:textId="77777777" w:rsidR="00A07951" w:rsidRPr="008379CA" w:rsidRDefault="00A07951" w:rsidP="0023341C">
            <w:pPr>
              <w:jc w:val="right"/>
              <w:rPr>
                <w:rFonts w:ascii="Bookman Old Style" w:hAnsi="Bookman Old Style" w:cs="Calibri"/>
                <w:sz w:val="20"/>
                <w:szCs w:val="20"/>
                <w:lang w:val="sv-FI"/>
              </w:rPr>
            </w:pPr>
            <w:r w:rsidRPr="008379CA">
              <w:rPr>
                <w:rFonts w:ascii="Bookman Old Style" w:hAnsi="Bookman Old Style" w:cs="Calibri"/>
                <w:sz w:val="20"/>
                <w:szCs w:val="20"/>
                <w:lang w:val="sv-FI"/>
              </w:rPr>
              <w:t>846.959.200,00</w:t>
            </w:r>
          </w:p>
        </w:tc>
        <w:tc>
          <w:tcPr>
            <w:tcW w:w="349" w:type="dxa"/>
            <w:tcBorders>
              <w:top w:val="nil"/>
              <w:left w:val="nil"/>
              <w:bottom w:val="single" w:sz="4" w:space="0" w:color="auto"/>
              <w:right w:val="single" w:sz="4" w:space="0" w:color="auto"/>
            </w:tcBorders>
            <w:shd w:val="clear" w:color="auto" w:fill="auto"/>
            <w:noWrap/>
            <w:vAlign w:val="center"/>
          </w:tcPr>
          <w:p w14:paraId="45FD9AB5" w14:textId="77777777" w:rsidR="00A07951" w:rsidRPr="008379CA" w:rsidRDefault="00A07951" w:rsidP="0023341C">
            <w:pPr>
              <w:jc w:val="center"/>
              <w:rPr>
                <w:rFonts w:ascii="Bookman Old Style" w:hAnsi="Bookman Old Style" w:cs="Calibri"/>
                <w:sz w:val="20"/>
                <w:szCs w:val="20"/>
                <w:lang w:val="sv-FI"/>
              </w:rPr>
            </w:pPr>
            <w:r w:rsidRPr="008379CA">
              <w:rPr>
                <w:rFonts w:ascii="Bookman Old Style" w:hAnsi="Bookman Old Style" w:cs="Calibri"/>
                <w:sz w:val="20"/>
                <w:szCs w:val="20"/>
                <w:lang w:val="sv-FI"/>
              </w:rPr>
              <w:t>0,31</w:t>
            </w:r>
          </w:p>
        </w:tc>
      </w:tr>
      <w:tr w:rsidR="008379CA" w:rsidRPr="008379CA" w14:paraId="7D4B5273" w14:textId="77777777" w:rsidTr="002359C3">
        <w:trPr>
          <w:trHeight w:val="31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5BACA" w14:textId="3B060DA1" w:rsidR="00A07951" w:rsidRPr="008379CA" w:rsidRDefault="00A954D0" w:rsidP="0023341C">
            <w:pPr>
              <w:rPr>
                <w:rFonts w:ascii="Bookman Old Style" w:hAnsi="Bookman Old Style" w:cs="Calibri"/>
                <w:sz w:val="20"/>
                <w:szCs w:val="20"/>
              </w:rPr>
            </w:pPr>
            <w:r w:rsidRPr="008379CA">
              <w:rPr>
                <w:rFonts w:ascii="Bookman Old Style" w:hAnsi="Bookman Old Style" w:cs="Calibri"/>
                <w:sz w:val="20"/>
                <w:szCs w:val="20"/>
              </w:rPr>
              <w:t xml:space="preserve"> </w:t>
            </w:r>
          </w:p>
        </w:tc>
        <w:tc>
          <w:tcPr>
            <w:tcW w:w="4189" w:type="dxa"/>
            <w:tcBorders>
              <w:top w:val="single" w:sz="4" w:space="0" w:color="auto"/>
              <w:left w:val="nil"/>
              <w:bottom w:val="single" w:sz="4" w:space="0" w:color="auto"/>
              <w:right w:val="single" w:sz="4" w:space="0" w:color="auto"/>
            </w:tcBorders>
            <w:shd w:val="clear" w:color="auto" w:fill="auto"/>
            <w:vAlign w:val="center"/>
            <w:hideMark/>
          </w:tcPr>
          <w:p w14:paraId="340BD09E" w14:textId="77777777" w:rsidR="00A07951" w:rsidRPr="008379CA" w:rsidRDefault="00A07951" w:rsidP="0023341C">
            <w:pPr>
              <w:jc w:val="center"/>
              <w:rPr>
                <w:rFonts w:ascii="Bookman Old Style" w:hAnsi="Bookman Old Style" w:cs="Calibri"/>
                <w:b/>
                <w:bCs/>
                <w:sz w:val="20"/>
                <w:szCs w:val="20"/>
              </w:rPr>
            </w:pPr>
            <w:r w:rsidRPr="008379CA">
              <w:rPr>
                <w:rFonts w:ascii="Bookman Old Style" w:hAnsi="Bookman Old Style" w:cs="Calibri"/>
                <w:b/>
                <w:bCs/>
                <w:sz w:val="20"/>
                <w:szCs w:val="20"/>
              </w:rPr>
              <w:t>Jumlah</w:t>
            </w:r>
          </w:p>
        </w:tc>
        <w:tc>
          <w:tcPr>
            <w:tcW w:w="2537" w:type="dxa"/>
            <w:tcBorders>
              <w:top w:val="single" w:sz="4" w:space="0" w:color="auto"/>
              <w:left w:val="nil"/>
              <w:bottom w:val="single" w:sz="4" w:space="0" w:color="auto"/>
              <w:right w:val="single" w:sz="4" w:space="0" w:color="auto"/>
            </w:tcBorders>
            <w:shd w:val="clear" w:color="auto" w:fill="auto"/>
            <w:noWrap/>
            <w:vAlign w:val="center"/>
          </w:tcPr>
          <w:p w14:paraId="444F1357" w14:textId="77777777" w:rsidR="00A07951" w:rsidRPr="008379CA" w:rsidRDefault="00A07951" w:rsidP="0023341C">
            <w:pPr>
              <w:jc w:val="right"/>
              <w:rPr>
                <w:rFonts w:ascii="Bookman Old Style" w:hAnsi="Bookman Old Style" w:cs="Calibri"/>
                <w:b/>
                <w:bCs/>
                <w:sz w:val="20"/>
                <w:szCs w:val="20"/>
              </w:rPr>
            </w:pPr>
            <w:r w:rsidRPr="008379CA">
              <w:rPr>
                <w:rFonts w:ascii="Bookman Old Style" w:hAnsi="Bookman Old Style" w:cs="Calibri"/>
                <w:b/>
                <w:bCs/>
                <w:sz w:val="20"/>
                <w:szCs w:val="20"/>
              </w:rPr>
              <w:t>271.391.525.929,70</w:t>
            </w:r>
          </w:p>
        </w:tc>
        <w:tc>
          <w:tcPr>
            <w:tcW w:w="349" w:type="dxa"/>
            <w:tcBorders>
              <w:top w:val="nil"/>
              <w:left w:val="nil"/>
              <w:bottom w:val="single" w:sz="4" w:space="0" w:color="auto"/>
              <w:right w:val="single" w:sz="4" w:space="0" w:color="auto"/>
            </w:tcBorders>
            <w:shd w:val="clear" w:color="auto" w:fill="auto"/>
            <w:noWrap/>
            <w:vAlign w:val="center"/>
          </w:tcPr>
          <w:p w14:paraId="28A5D78F" w14:textId="77777777" w:rsidR="00A07951" w:rsidRPr="008379CA" w:rsidRDefault="00A07951" w:rsidP="0023341C">
            <w:pPr>
              <w:jc w:val="center"/>
              <w:rPr>
                <w:rFonts w:ascii="Bookman Old Style" w:hAnsi="Bookman Old Style" w:cs="Calibri"/>
                <w:b/>
                <w:bCs/>
                <w:sz w:val="20"/>
                <w:szCs w:val="20"/>
              </w:rPr>
            </w:pPr>
            <w:r w:rsidRPr="008379CA">
              <w:rPr>
                <w:rFonts w:ascii="Bookman Old Style" w:hAnsi="Bookman Old Style" w:cs="Calibri"/>
                <w:b/>
                <w:bCs/>
                <w:sz w:val="20"/>
                <w:szCs w:val="20"/>
              </w:rPr>
              <w:t>100,00</w:t>
            </w:r>
          </w:p>
        </w:tc>
      </w:tr>
    </w:tbl>
    <w:p w14:paraId="4180C5F7" w14:textId="48F9AC04" w:rsidR="00152A44" w:rsidRPr="008379CA" w:rsidRDefault="00A07951" w:rsidP="0038248F">
      <w:pPr>
        <w:pStyle w:val="ListParagraph"/>
        <w:spacing w:before="120" w:after="0" w:line="276" w:lineRule="auto"/>
        <w:ind w:left="1276"/>
        <w:contextualSpacing w:val="0"/>
        <w:jc w:val="both"/>
        <w:rPr>
          <w:rFonts w:ascii="Bookman Old Style" w:hAnsi="Bookman Old Style" w:cs="Arial"/>
          <w:noProof/>
          <w:sz w:val="24"/>
          <w:szCs w:val="24"/>
          <w:lang w:val="sv-FI"/>
        </w:rPr>
      </w:pPr>
      <w:r w:rsidRPr="008379CA">
        <w:rPr>
          <w:rFonts w:ascii="Bookman Old Style" w:hAnsi="Bookman Old Style" w:cs="Arial"/>
          <w:noProof/>
          <w:sz w:val="24"/>
          <w:szCs w:val="24"/>
          <w:lang w:val="sv-FI"/>
        </w:rPr>
        <w:t>Sehubungan</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dengan</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hal</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tersebut,</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Pemerintah</w:t>
      </w:r>
      <w:r w:rsidR="00A954D0" w:rsidRPr="008379CA">
        <w:rPr>
          <w:rFonts w:ascii="Bookman Old Style" w:hAnsi="Bookman Old Style" w:cs="Arial"/>
          <w:noProof/>
          <w:sz w:val="24"/>
          <w:szCs w:val="24"/>
          <w:lang w:val="sv-FI"/>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cs="Arial"/>
          <w:noProof/>
          <w:sz w:val="24"/>
          <w:szCs w:val="24"/>
          <w:lang w:val="sv-FI"/>
        </w:rPr>
        <w:t>agar</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menyediakan</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alokasi</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anggaran</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yang</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memadai</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dalam</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rangka</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percepatan</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penghapusan</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kemiskinan</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ekstrem</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terutama</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pada</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upaya</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meningkatkan</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pendapatan</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masayarakat</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yang</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dialokasikan</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kepada</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beberapa</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Perangkat</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Daerah</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terkait</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berpedoman</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pada</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Instruksi</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Presiden</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Republik</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Indonesia</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Nomor</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4</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Tahun</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2022</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tentang</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Percepatan</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Penghapusan</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Kemiskinan</w:t>
      </w:r>
      <w:r w:rsidR="00A954D0" w:rsidRPr="008379CA">
        <w:rPr>
          <w:rFonts w:ascii="Bookman Old Style" w:hAnsi="Bookman Old Style" w:cs="Arial"/>
          <w:noProof/>
          <w:sz w:val="24"/>
          <w:szCs w:val="24"/>
          <w:lang w:val="sv-FI"/>
        </w:rPr>
        <w:t xml:space="preserve"> </w:t>
      </w:r>
      <w:r w:rsidRPr="008379CA">
        <w:rPr>
          <w:rFonts w:ascii="Bookman Old Style" w:hAnsi="Bookman Old Style" w:cs="Arial"/>
          <w:noProof/>
          <w:sz w:val="24"/>
          <w:szCs w:val="24"/>
          <w:lang w:val="sv-FI"/>
        </w:rPr>
        <w:t>Ekstrem.</w:t>
      </w:r>
    </w:p>
    <w:p w14:paraId="5984C960" w14:textId="4EB48E20" w:rsidR="003957DC" w:rsidRPr="008379CA" w:rsidRDefault="00152A44" w:rsidP="0038248F">
      <w:pPr>
        <w:pStyle w:val="ListParagraph"/>
        <w:numPr>
          <w:ilvl w:val="0"/>
          <w:numId w:val="97"/>
        </w:numPr>
        <w:spacing w:before="120" w:after="0" w:line="276" w:lineRule="auto"/>
        <w:ind w:left="1281" w:hanging="288"/>
        <w:contextualSpacing w:val="0"/>
        <w:jc w:val="both"/>
        <w:rPr>
          <w:rFonts w:ascii="Bookman Old Style" w:hAnsi="Bookman Old Style" w:cs="Arial"/>
          <w:sz w:val="24"/>
          <w:szCs w:val="24"/>
        </w:rPr>
      </w:pPr>
      <w:r w:rsidRPr="008379CA">
        <w:rPr>
          <w:rFonts w:ascii="Bookman Old Style" w:hAnsi="Bookman Old Style" w:cs="Arial"/>
          <w:sz w:val="24"/>
          <w:szCs w:val="24"/>
          <w:lang w:val="id-ID"/>
        </w:rPr>
        <w:t>Alokasi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Anggaran</w:t>
      </w:r>
      <w:r w:rsidR="00A954D0" w:rsidRPr="008379CA">
        <w:rPr>
          <w:rFonts w:ascii="Bookman Old Style" w:hAnsi="Bookman Old Style" w:cs="Arial"/>
          <w:sz w:val="24"/>
          <w:szCs w:val="24"/>
          <w:lang w:val="id-ID"/>
        </w:rPr>
        <w:t xml:space="preserve"> </w:t>
      </w:r>
      <w:r w:rsidR="003957DC" w:rsidRPr="008379CA">
        <w:rPr>
          <w:rFonts w:ascii="Bookman Old Style" w:hAnsi="Bookman Old Style" w:cs="Arial"/>
          <w:sz w:val="24"/>
          <w:szCs w:val="24"/>
        </w:rPr>
        <w:t>Pengendalian</w:t>
      </w:r>
      <w:r w:rsidR="00A954D0" w:rsidRPr="008379CA">
        <w:rPr>
          <w:rFonts w:ascii="Bookman Old Style" w:hAnsi="Bookman Old Style" w:cs="Arial"/>
          <w:sz w:val="24"/>
          <w:szCs w:val="24"/>
        </w:rPr>
        <w:t xml:space="preserve"> </w:t>
      </w:r>
      <w:r w:rsidR="003957DC" w:rsidRPr="008379CA">
        <w:rPr>
          <w:rFonts w:ascii="Bookman Old Style" w:hAnsi="Bookman Old Style" w:cs="Arial"/>
          <w:sz w:val="24"/>
          <w:szCs w:val="24"/>
          <w:lang w:val="sv-FI"/>
        </w:rPr>
        <w:t>Inflasi</w:t>
      </w:r>
    </w:p>
    <w:p w14:paraId="2A2E126B" w14:textId="0EAF3F83" w:rsidR="00C330CC" w:rsidRPr="008379CA" w:rsidRDefault="00C330CC" w:rsidP="00287B0F">
      <w:pPr>
        <w:spacing w:before="60" w:line="276" w:lineRule="auto"/>
        <w:ind w:left="1287"/>
        <w:jc w:val="both"/>
        <w:rPr>
          <w:rFonts w:ascii="Bookman Old Style" w:hAnsi="Bookman Old Style" w:cs="Arial"/>
          <w:lang w:val="en-US"/>
        </w:rPr>
      </w:pPr>
      <w:r w:rsidRPr="008379CA">
        <w:rPr>
          <w:rFonts w:ascii="Bookman Old Style" w:hAnsi="Bookman Old Style" w:cs="Arial"/>
          <w:lang w:val="id-ID"/>
        </w:rPr>
        <w:t>Dalam</w:t>
      </w:r>
      <w:r w:rsidR="00A954D0" w:rsidRPr="008379CA">
        <w:rPr>
          <w:rFonts w:ascii="Bookman Old Style" w:hAnsi="Bookman Old Style" w:cs="Arial"/>
          <w:lang w:val="id-ID"/>
        </w:rPr>
        <w:t xml:space="preserve"> </w:t>
      </w:r>
      <w:r w:rsidRPr="008379CA">
        <w:rPr>
          <w:rFonts w:ascii="Bookman Old Style" w:hAnsi="Bookman Old Style" w:cs="Arial"/>
          <w:lang w:val="id-ID"/>
        </w:rPr>
        <w:t>rangka</w:t>
      </w:r>
      <w:r w:rsidR="00A954D0" w:rsidRPr="008379CA">
        <w:rPr>
          <w:rFonts w:ascii="Bookman Old Style" w:hAnsi="Bookman Old Style" w:cs="Arial"/>
          <w:lang w:val="id-ID"/>
        </w:rPr>
        <w:t xml:space="preserve"> </w:t>
      </w:r>
      <w:r w:rsidRPr="008379CA">
        <w:rPr>
          <w:rFonts w:ascii="Bookman Old Style" w:hAnsi="Bookman Old Style" w:cs="Arial"/>
          <w:lang w:val="id-ID"/>
        </w:rPr>
        <w:t>Pengendalian</w:t>
      </w:r>
      <w:r w:rsidR="00A954D0" w:rsidRPr="008379CA">
        <w:rPr>
          <w:rFonts w:ascii="Bookman Old Style" w:hAnsi="Bookman Old Style" w:cs="Arial"/>
          <w:lang w:val="id-ID"/>
        </w:rPr>
        <w:t xml:space="preserve"> </w:t>
      </w:r>
      <w:r w:rsidRPr="008379CA">
        <w:rPr>
          <w:rFonts w:ascii="Bookman Old Style" w:hAnsi="Bookman Old Style" w:cs="Arial"/>
          <w:lang w:val="id-ID"/>
        </w:rPr>
        <w:t>Inflasi,</w:t>
      </w:r>
      <w:r w:rsidR="00A954D0" w:rsidRPr="008379CA">
        <w:rPr>
          <w:rFonts w:ascii="Bookman Old Style" w:hAnsi="Bookman Old Style" w:cs="Arial"/>
          <w:lang w:val="id-ID"/>
        </w:rPr>
        <w:t xml:space="preserve"> </w:t>
      </w:r>
      <w:r w:rsidRPr="008379CA">
        <w:rPr>
          <w:rFonts w:ascii="Bookman Old Style" w:hAnsi="Bookman Old Style" w:cs="Arial"/>
          <w:lang w:val="id-ID"/>
        </w:rPr>
        <w:t>serta</w:t>
      </w:r>
      <w:r w:rsidR="00A954D0" w:rsidRPr="008379CA">
        <w:rPr>
          <w:rFonts w:ascii="Bookman Old Style" w:hAnsi="Bookman Old Style" w:cs="Arial"/>
          <w:lang w:val="id-ID"/>
        </w:rPr>
        <w:t xml:space="preserve"> </w:t>
      </w:r>
      <w:r w:rsidRPr="008379CA">
        <w:rPr>
          <w:rFonts w:ascii="Bookman Old Style" w:hAnsi="Bookman Old Style" w:cs="Arial"/>
          <w:lang w:val="id-ID"/>
        </w:rPr>
        <w:t>mendukung</w:t>
      </w:r>
      <w:r w:rsidR="00A954D0" w:rsidRPr="008379CA">
        <w:rPr>
          <w:rFonts w:ascii="Bookman Old Style" w:hAnsi="Bookman Old Style" w:cs="Arial"/>
          <w:lang w:val="id-ID"/>
        </w:rPr>
        <w:t xml:space="preserve"> </w:t>
      </w:r>
      <w:r w:rsidRPr="008379CA">
        <w:rPr>
          <w:rFonts w:ascii="Bookman Old Style" w:hAnsi="Bookman Old Style" w:cs="Arial"/>
          <w:lang w:val="id-ID"/>
        </w:rPr>
        <w:t>kebijakan</w:t>
      </w:r>
      <w:r w:rsidR="00A954D0" w:rsidRPr="008379CA">
        <w:rPr>
          <w:rFonts w:ascii="Bookman Old Style" w:hAnsi="Bookman Old Style" w:cs="Arial"/>
          <w:lang w:val="id-ID"/>
        </w:rPr>
        <w:t xml:space="preserve"> </w:t>
      </w:r>
      <w:r w:rsidRPr="008379CA">
        <w:rPr>
          <w:rFonts w:ascii="Bookman Old Style" w:hAnsi="Bookman Old Style" w:cs="Arial"/>
          <w:lang w:val="id-ID"/>
        </w:rPr>
        <w:t>pemerintah</w:t>
      </w:r>
      <w:r w:rsidR="00A954D0" w:rsidRPr="008379CA">
        <w:rPr>
          <w:rFonts w:ascii="Bookman Old Style" w:hAnsi="Bookman Old Style" w:cs="Arial"/>
          <w:lang w:val="id-ID"/>
        </w:rPr>
        <w:t xml:space="preserve"> </w:t>
      </w:r>
      <w:r w:rsidRPr="008379CA">
        <w:rPr>
          <w:rFonts w:ascii="Bookman Old Style" w:hAnsi="Bookman Old Style" w:cs="Arial"/>
          <w:lang w:val="id-ID"/>
        </w:rPr>
        <w:t>guna</w:t>
      </w:r>
      <w:r w:rsidR="00A954D0" w:rsidRPr="008379CA">
        <w:rPr>
          <w:rFonts w:ascii="Bookman Old Style" w:hAnsi="Bookman Old Style" w:cs="Arial"/>
          <w:lang w:val="id-ID"/>
        </w:rPr>
        <w:t xml:space="preserve"> </w:t>
      </w:r>
      <w:r w:rsidRPr="008379CA">
        <w:rPr>
          <w:rFonts w:ascii="Bookman Old Style" w:hAnsi="Bookman Old Style" w:cs="Arial"/>
          <w:lang w:val="id-ID"/>
        </w:rPr>
        <w:t>menjaga</w:t>
      </w:r>
      <w:r w:rsidR="00A954D0" w:rsidRPr="008379CA">
        <w:rPr>
          <w:rFonts w:ascii="Bookman Old Style" w:hAnsi="Bookman Old Style" w:cs="Arial"/>
          <w:lang w:val="id-ID"/>
        </w:rPr>
        <w:t xml:space="preserve"> </w:t>
      </w:r>
      <w:r w:rsidRPr="008379CA">
        <w:rPr>
          <w:rFonts w:ascii="Bookman Old Style" w:hAnsi="Bookman Old Style" w:cs="Arial"/>
          <w:lang w:val="id-ID"/>
        </w:rPr>
        <w:t>ketersediaan</w:t>
      </w:r>
      <w:r w:rsidR="00A954D0" w:rsidRPr="008379CA">
        <w:rPr>
          <w:rFonts w:ascii="Bookman Old Style" w:hAnsi="Bookman Old Style" w:cs="Arial"/>
          <w:lang w:val="id-ID"/>
        </w:rPr>
        <w:t xml:space="preserve"> </w:t>
      </w:r>
      <w:r w:rsidRPr="008379CA">
        <w:rPr>
          <w:rFonts w:ascii="Bookman Old Style" w:hAnsi="Bookman Old Style" w:cs="Arial"/>
          <w:lang w:val="id-ID"/>
        </w:rPr>
        <w:t>pasokan,</w:t>
      </w:r>
      <w:r w:rsidR="00A954D0" w:rsidRPr="008379CA">
        <w:rPr>
          <w:rFonts w:ascii="Bookman Old Style" w:hAnsi="Bookman Old Style" w:cs="Arial"/>
          <w:lang w:val="id-ID"/>
        </w:rPr>
        <w:t xml:space="preserve"> </w:t>
      </w:r>
      <w:r w:rsidRPr="008379CA">
        <w:rPr>
          <w:rFonts w:ascii="Bookman Old Style" w:hAnsi="Bookman Old Style" w:cs="Arial"/>
          <w:lang w:val="id-ID"/>
        </w:rPr>
        <w:t>keterjangkauan</w:t>
      </w:r>
      <w:r w:rsidR="00A954D0" w:rsidRPr="008379CA">
        <w:rPr>
          <w:rFonts w:ascii="Bookman Old Style" w:hAnsi="Bookman Old Style" w:cs="Arial"/>
          <w:lang w:val="id-ID"/>
        </w:rPr>
        <w:t xml:space="preserve"> </w:t>
      </w:r>
      <w:r w:rsidRPr="008379CA">
        <w:rPr>
          <w:rFonts w:ascii="Bookman Old Style" w:hAnsi="Bookman Old Style" w:cs="Arial"/>
          <w:lang w:val="id-ID"/>
        </w:rPr>
        <w:t>harga</w:t>
      </w:r>
      <w:r w:rsidR="00A954D0" w:rsidRPr="008379CA">
        <w:rPr>
          <w:rFonts w:ascii="Bookman Old Style" w:hAnsi="Bookman Old Style" w:cs="Arial"/>
          <w:lang w:val="id-ID"/>
        </w:rPr>
        <w:t xml:space="preserve"> </w:t>
      </w:r>
      <w:r w:rsidRPr="008379CA">
        <w:rPr>
          <w:rFonts w:ascii="Bookman Old Style" w:hAnsi="Bookman Old Style" w:cs="Arial"/>
          <w:lang w:val="id-ID"/>
        </w:rPr>
        <w:t>pangan,</w:t>
      </w:r>
      <w:r w:rsidR="00A954D0" w:rsidRPr="008379CA">
        <w:rPr>
          <w:rFonts w:ascii="Bookman Old Style" w:hAnsi="Bookman Old Style" w:cs="Arial"/>
          <w:lang w:val="id-ID"/>
        </w:rPr>
        <w:t xml:space="preserve"> </w:t>
      </w:r>
      <w:r w:rsidRPr="008379CA">
        <w:rPr>
          <w:rFonts w:ascii="Bookman Old Style" w:hAnsi="Bookman Old Style" w:cs="Arial"/>
          <w:lang w:val="id-ID"/>
        </w:rPr>
        <w:t>daya</w:t>
      </w:r>
      <w:r w:rsidR="00A954D0" w:rsidRPr="008379CA">
        <w:rPr>
          <w:rFonts w:ascii="Bookman Old Style" w:hAnsi="Bookman Old Style" w:cs="Arial"/>
          <w:lang w:val="id-ID"/>
        </w:rPr>
        <w:t xml:space="preserve"> </w:t>
      </w:r>
      <w:r w:rsidRPr="008379CA">
        <w:rPr>
          <w:rFonts w:ascii="Bookman Old Style" w:hAnsi="Bookman Old Style" w:cs="Arial"/>
          <w:lang w:val="id-ID"/>
        </w:rPr>
        <w:t>beli</w:t>
      </w:r>
      <w:r w:rsidR="00A954D0" w:rsidRPr="008379CA">
        <w:rPr>
          <w:rFonts w:ascii="Bookman Old Style" w:hAnsi="Bookman Old Style" w:cs="Arial"/>
          <w:lang w:val="id-ID"/>
        </w:rPr>
        <w:t xml:space="preserve"> </w:t>
      </w:r>
      <w:r w:rsidRPr="008379CA">
        <w:rPr>
          <w:rFonts w:ascii="Bookman Old Style" w:hAnsi="Bookman Old Style" w:cs="Arial"/>
          <w:lang w:val="id-ID"/>
        </w:rPr>
        <w:t>masyarakat,</w:t>
      </w:r>
      <w:r w:rsidR="00A954D0" w:rsidRPr="008379CA">
        <w:rPr>
          <w:rFonts w:ascii="Bookman Old Style" w:hAnsi="Bookman Old Style" w:cs="Arial"/>
          <w:lang w:val="id-ID"/>
        </w:rPr>
        <w:t xml:space="preserve"> </w:t>
      </w:r>
      <w:r w:rsidRPr="008379CA">
        <w:rPr>
          <w:rFonts w:ascii="Bookman Old Style" w:hAnsi="Bookman Old Style" w:cs="Arial"/>
          <w:lang w:val="id-ID"/>
        </w:rPr>
        <w:t>dan</w:t>
      </w:r>
      <w:r w:rsidR="00A954D0" w:rsidRPr="008379CA">
        <w:rPr>
          <w:rFonts w:ascii="Bookman Old Style" w:hAnsi="Bookman Old Style" w:cs="Arial"/>
          <w:lang w:val="id-ID"/>
        </w:rPr>
        <w:t xml:space="preserve"> </w:t>
      </w:r>
      <w:r w:rsidRPr="008379CA">
        <w:rPr>
          <w:rFonts w:ascii="Bookman Old Style" w:hAnsi="Bookman Old Style" w:cs="Arial"/>
          <w:lang w:val="id-ID"/>
        </w:rPr>
        <w:t>mendukung</w:t>
      </w:r>
      <w:r w:rsidR="00A954D0" w:rsidRPr="008379CA">
        <w:rPr>
          <w:rFonts w:ascii="Bookman Old Style" w:hAnsi="Bookman Old Style" w:cs="Arial"/>
          <w:lang w:val="id-ID"/>
        </w:rPr>
        <w:t xml:space="preserve"> </w:t>
      </w:r>
      <w:r w:rsidRPr="008379CA">
        <w:rPr>
          <w:rFonts w:ascii="Bookman Old Style" w:hAnsi="Bookman Old Style" w:cs="Arial"/>
          <w:lang w:val="id-ID"/>
        </w:rPr>
        <w:t>kelancaran</w:t>
      </w:r>
      <w:r w:rsidR="00A954D0" w:rsidRPr="008379CA">
        <w:rPr>
          <w:rFonts w:ascii="Bookman Old Style" w:hAnsi="Bookman Old Style" w:cs="Arial"/>
          <w:lang w:val="id-ID"/>
        </w:rPr>
        <w:t xml:space="preserve"> </w:t>
      </w:r>
      <w:r w:rsidRPr="008379CA">
        <w:rPr>
          <w:rFonts w:ascii="Bookman Old Style" w:hAnsi="Bookman Old Style" w:cs="Arial"/>
          <w:lang w:val="id-ID"/>
        </w:rPr>
        <w:t>distribusi</w:t>
      </w:r>
      <w:r w:rsidR="00A954D0" w:rsidRPr="008379CA">
        <w:rPr>
          <w:rFonts w:ascii="Bookman Old Style" w:hAnsi="Bookman Old Style" w:cs="Arial"/>
          <w:lang w:val="id-ID"/>
        </w:rPr>
        <w:t xml:space="preserve"> </w:t>
      </w:r>
      <w:r w:rsidRPr="008379CA">
        <w:rPr>
          <w:rFonts w:ascii="Bookman Old Style" w:hAnsi="Bookman Old Style" w:cs="Arial"/>
          <w:lang w:val="id-ID"/>
        </w:rPr>
        <w:t>serta</w:t>
      </w:r>
      <w:r w:rsidR="00A954D0" w:rsidRPr="008379CA">
        <w:rPr>
          <w:rFonts w:ascii="Bookman Old Style" w:hAnsi="Bookman Old Style" w:cs="Arial"/>
          <w:lang w:val="id-ID"/>
        </w:rPr>
        <w:t xml:space="preserve"> </w:t>
      </w:r>
      <w:r w:rsidRPr="008379CA">
        <w:rPr>
          <w:rFonts w:ascii="Bookman Old Style" w:hAnsi="Bookman Old Style" w:cs="Arial"/>
          <w:lang w:val="id-ID"/>
        </w:rPr>
        <w:t>stabilitas</w:t>
      </w:r>
      <w:r w:rsidR="00A954D0" w:rsidRPr="008379CA">
        <w:rPr>
          <w:rFonts w:ascii="Bookman Old Style" w:hAnsi="Bookman Old Style" w:cs="Arial"/>
          <w:lang w:val="id-ID"/>
        </w:rPr>
        <w:t xml:space="preserve"> </w:t>
      </w:r>
      <w:r w:rsidRPr="008379CA">
        <w:rPr>
          <w:rFonts w:ascii="Bookman Old Style" w:hAnsi="Bookman Old Style" w:cs="Arial"/>
          <w:lang w:val="id-ID"/>
        </w:rPr>
        <w:t>perekonomian</w:t>
      </w:r>
      <w:r w:rsidR="00A954D0" w:rsidRPr="008379CA">
        <w:rPr>
          <w:rFonts w:ascii="Bookman Old Style" w:hAnsi="Bookman Old Style" w:cs="Arial"/>
          <w:lang w:val="id-ID"/>
        </w:rPr>
        <w:t xml:space="preserve"> </w:t>
      </w:r>
      <w:r w:rsidRPr="008379CA">
        <w:rPr>
          <w:rFonts w:ascii="Bookman Old Style" w:hAnsi="Bookman Old Style" w:cs="Arial"/>
          <w:lang w:val="id-ID"/>
        </w:rPr>
        <w:t>di</w:t>
      </w:r>
      <w:r w:rsidR="00A954D0" w:rsidRPr="008379CA">
        <w:rPr>
          <w:rFonts w:ascii="Bookman Old Style" w:hAnsi="Bookman Old Style" w:cs="Arial"/>
          <w:lang w:val="id-ID"/>
        </w:rPr>
        <w:t xml:space="preserve"> </w:t>
      </w:r>
      <w:r w:rsidRPr="008379CA">
        <w:rPr>
          <w:rFonts w:ascii="Bookman Old Style" w:hAnsi="Bookman Old Style" w:cs="Arial"/>
          <w:lang w:val="id-ID"/>
        </w:rPr>
        <w:t>daerah,</w:t>
      </w:r>
      <w:r w:rsidR="00A954D0" w:rsidRPr="008379CA">
        <w:rPr>
          <w:rFonts w:ascii="Bookman Old Style" w:hAnsi="Bookman Old Style" w:cs="Arial"/>
          <w:lang w:val="id-ID"/>
        </w:rPr>
        <w:t xml:space="preserve"> </w:t>
      </w:r>
      <w:r w:rsidRPr="008379CA">
        <w:rPr>
          <w:rFonts w:ascii="Bookman Old Style" w:hAnsi="Bookman Old Style" w:cs="Arial"/>
          <w:lang w:val="id-ID"/>
        </w:rPr>
        <w:t>Pemerintah</w:t>
      </w:r>
      <w:r w:rsidR="00A954D0" w:rsidRPr="008379CA">
        <w:rPr>
          <w:rFonts w:ascii="Bookman Old Style" w:hAnsi="Bookman Old Style" w:cs="Arial"/>
          <w:lang w:val="id-ID"/>
        </w:rPr>
        <w:t xml:space="preserve"> </w:t>
      </w:r>
      <w:r w:rsidRPr="008379CA">
        <w:rPr>
          <w:rFonts w:ascii="Bookman Old Style" w:hAnsi="Bookman Old Style" w:cs="Arial"/>
          <w:lang w:val="id-ID"/>
        </w:rPr>
        <w:t>Daerah</w:t>
      </w:r>
      <w:r w:rsidR="00A954D0" w:rsidRPr="008379CA">
        <w:rPr>
          <w:rFonts w:ascii="Bookman Old Style" w:hAnsi="Bookman Old Style" w:cs="Arial"/>
          <w:lang w:val="id-ID"/>
        </w:rPr>
        <w:t xml:space="preserve"> </w:t>
      </w:r>
      <w:r w:rsidRPr="008379CA">
        <w:rPr>
          <w:rFonts w:ascii="Bookman Old Style" w:hAnsi="Bookman Old Style" w:cs="Arial"/>
          <w:lang w:val="en-US"/>
        </w:rPr>
        <w:t>Kota</w:t>
      </w:r>
      <w:r w:rsidR="00A954D0" w:rsidRPr="008379CA">
        <w:rPr>
          <w:rFonts w:ascii="Bookman Old Style" w:hAnsi="Bookman Old Style" w:cs="Arial"/>
          <w:lang w:val="en-US"/>
        </w:rPr>
        <w:t xml:space="preserve"> </w:t>
      </w:r>
      <w:r w:rsidRPr="008379CA">
        <w:rPr>
          <w:rFonts w:ascii="Bookman Old Style" w:hAnsi="Bookman Old Style" w:cs="Arial"/>
          <w:lang w:val="en-US"/>
        </w:rPr>
        <w:t>Tangerang</w:t>
      </w:r>
      <w:r w:rsidR="00A954D0" w:rsidRPr="008379CA">
        <w:rPr>
          <w:rFonts w:ascii="Bookman Old Style" w:hAnsi="Bookman Old Style" w:cs="Arial"/>
          <w:lang w:val="en-US"/>
        </w:rPr>
        <w:t xml:space="preserve"> </w:t>
      </w:r>
      <w:r w:rsidRPr="008379CA">
        <w:rPr>
          <w:rFonts w:ascii="Bookman Old Style" w:hAnsi="Bookman Old Style" w:cs="Arial"/>
          <w:lang w:val="id-ID"/>
        </w:rPr>
        <w:t>alokasi</w:t>
      </w:r>
      <w:r w:rsidR="00A954D0" w:rsidRPr="008379CA">
        <w:rPr>
          <w:rFonts w:ascii="Bookman Old Style" w:hAnsi="Bookman Old Style" w:cs="Arial"/>
          <w:lang w:val="id-ID"/>
        </w:rPr>
        <w:t xml:space="preserve"> </w:t>
      </w:r>
      <w:r w:rsidRPr="008379CA">
        <w:rPr>
          <w:rFonts w:ascii="Bookman Old Style" w:hAnsi="Bookman Old Style" w:cs="Arial"/>
          <w:lang w:val="id-ID"/>
        </w:rPr>
        <w:t>anggaran</w:t>
      </w:r>
      <w:r w:rsidR="00A954D0" w:rsidRPr="008379CA">
        <w:rPr>
          <w:rFonts w:ascii="Bookman Old Style" w:hAnsi="Bookman Old Style" w:cs="Arial"/>
          <w:lang w:val="id-ID"/>
        </w:rPr>
        <w:t xml:space="preserve"> </w:t>
      </w:r>
      <w:r w:rsidRPr="008379CA">
        <w:rPr>
          <w:rFonts w:ascii="Bookman Old Style" w:hAnsi="Bookman Old Style" w:cs="Arial"/>
          <w:lang w:val="id-ID"/>
        </w:rPr>
        <w:t>sebesar</w:t>
      </w:r>
      <w:r w:rsidR="00A954D0" w:rsidRPr="008379CA">
        <w:rPr>
          <w:rFonts w:ascii="Bookman Old Style" w:hAnsi="Bookman Old Style" w:cs="Arial"/>
          <w:lang w:val="id-ID"/>
        </w:rPr>
        <w:t xml:space="preserve"> </w:t>
      </w:r>
      <w:r w:rsidRPr="008379CA">
        <w:rPr>
          <w:rFonts w:ascii="Bookman Old Style" w:hAnsi="Bookman Old Style" w:cs="Arial"/>
          <w:lang w:val="id-ID"/>
        </w:rPr>
        <w:t>R</w:t>
      </w:r>
      <w:r w:rsidRPr="008379CA">
        <w:rPr>
          <w:rFonts w:ascii="Bookman Old Style" w:hAnsi="Bookman Old Style" w:cs="Arial"/>
          <w:lang w:val="en-US"/>
        </w:rPr>
        <w:t>p</w:t>
      </w:r>
      <w:r w:rsidRPr="008379CA">
        <w:rPr>
          <w:rFonts w:ascii="Bookman Old Style" w:hAnsi="Bookman Old Style" w:cs="Arial"/>
          <w:lang w:val="id-ID"/>
        </w:rPr>
        <w:t>303</w:t>
      </w:r>
      <w:r w:rsidRPr="008379CA">
        <w:rPr>
          <w:rFonts w:ascii="Bookman Old Style" w:hAnsi="Bookman Old Style" w:cs="Arial"/>
          <w:lang w:val="en-US"/>
        </w:rPr>
        <w:t>.</w:t>
      </w:r>
      <w:r w:rsidRPr="008379CA">
        <w:rPr>
          <w:rFonts w:ascii="Bookman Old Style" w:hAnsi="Bookman Old Style" w:cs="Arial"/>
          <w:lang w:val="id-ID"/>
        </w:rPr>
        <w:t>067</w:t>
      </w:r>
      <w:r w:rsidRPr="008379CA">
        <w:rPr>
          <w:rFonts w:ascii="Bookman Old Style" w:hAnsi="Bookman Old Style" w:cs="Arial"/>
          <w:lang w:val="en-US"/>
        </w:rPr>
        <w:t>.</w:t>
      </w:r>
      <w:r w:rsidRPr="008379CA">
        <w:rPr>
          <w:rFonts w:ascii="Bookman Old Style" w:hAnsi="Bookman Old Style" w:cs="Arial"/>
          <w:lang w:val="id-ID"/>
        </w:rPr>
        <w:t>679</w:t>
      </w:r>
      <w:r w:rsidRPr="008379CA">
        <w:rPr>
          <w:rFonts w:ascii="Bookman Old Style" w:hAnsi="Bookman Old Style" w:cs="Arial"/>
          <w:lang w:val="en-US"/>
        </w:rPr>
        <w:t>.</w:t>
      </w:r>
      <w:r w:rsidRPr="008379CA">
        <w:rPr>
          <w:rFonts w:ascii="Bookman Old Style" w:hAnsi="Bookman Old Style" w:cs="Arial"/>
          <w:lang w:val="id-ID"/>
        </w:rPr>
        <w:t>579,00</w:t>
      </w:r>
      <w:r w:rsidR="00A954D0" w:rsidRPr="008379CA">
        <w:rPr>
          <w:rFonts w:ascii="Bookman Old Style" w:hAnsi="Bookman Old Style" w:cs="Arial"/>
          <w:lang w:val="id-ID"/>
        </w:rPr>
        <w:t xml:space="preserve"> </w:t>
      </w:r>
      <w:r w:rsidRPr="008379CA">
        <w:rPr>
          <w:rFonts w:ascii="Bookman Old Style" w:hAnsi="Bookman Old Style" w:cs="Arial"/>
          <w:lang w:val="id-ID"/>
        </w:rPr>
        <w:t>atau</w:t>
      </w:r>
      <w:r w:rsidR="00A954D0" w:rsidRPr="008379CA">
        <w:rPr>
          <w:rFonts w:ascii="Bookman Old Style" w:hAnsi="Bookman Old Style" w:cs="Arial"/>
          <w:lang w:val="id-ID"/>
        </w:rPr>
        <w:t xml:space="preserve"> </w:t>
      </w:r>
      <w:r w:rsidRPr="008379CA">
        <w:rPr>
          <w:rFonts w:ascii="Bookman Old Style" w:hAnsi="Bookman Old Style" w:cs="Arial"/>
          <w:lang w:val="en-US"/>
        </w:rPr>
        <w:t>5,31</w:t>
      </w:r>
      <w:r w:rsidRPr="008379CA">
        <w:rPr>
          <w:rFonts w:ascii="Bookman Old Style" w:hAnsi="Bookman Old Style" w:cs="Arial"/>
          <w:lang w:val="id-ID"/>
        </w:rPr>
        <w:t>%</w:t>
      </w:r>
      <w:r w:rsidR="00A954D0" w:rsidRPr="008379CA">
        <w:rPr>
          <w:rFonts w:ascii="Bookman Old Style" w:hAnsi="Bookman Old Style" w:cs="Arial"/>
          <w:lang w:val="id-ID"/>
        </w:rPr>
        <w:t xml:space="preserve"> </w:t>
      </w:r>
      <w:r w:rsidRPr="008379CA">
        <w:rPr>
          <w:rFonts w:ascii="Bookman Old Style" w:hAnsi="Bookman Old Style" w:cs="Arial"/>
          <w:lang w:val="id-ID"/>
        </w:rPr>
        <w:t>dari</w:t>
      </w:r>
      <w:r w:rsidR="00A954D0" w:rsidRPr="008379CA">
        <w:rPr>
          <w:rFonts w:ascii="Bookman Old Style" w:hAnsi="Bookman Old Style" w:cs="Arial"/>
          <w:lang w:val="id-ID"/>
        </w:rPr>
        <w:t xml:space="preserve"> </w:t>
      </w:r>
      <w:r w:rsidRPr="008379CA">
        <w:rPr>
          <w:rFonts w:ascii="Bookman Old Style" w:hAnsi="Bookman Old Style" w:cs="Arial"/>
          <w:lang w:val="id-ID"/>
        </w:rPr>
        <w:t>total</w:t>
      </w:r>
      <w:r w:rsidR="00A954D0" w:rsidRPr="008379CA">
        <w:rPr>
          <w:rFonts w:ascii="Bookman Old Style" w:hAnsi="Bookman Old Style" w:cs="Arial"/>
          <w:lang w:val="id-ID"/>
        </w:rPr>
        <w:t xml:space="preserve"> </w:t>
      </w:r>
      <w:r w:rsidRPr="008379CA">
        <w:rPr>
          <w:rFonts w:ascii="Bookman Old Style" w:hAnsi="Bookman Old Style" w:cs="Arial"/>
          <w:lang w:val="id-ID"/>
        </w:rPr>
        <w:t>belanja</w:t>
      </w:r>
      <w:r w:rsidR="00A954D0" w:rsidRPr="008379CA">
        <w:rPr>
          <w:rFonts w:ascii="Bookman Old Style" w:hAnsi="Bookman Old Style" w:cs="Arial"/>
          <w:lang w:val="id-ID"/>
        </w:rPr>
        <w:t xml:space="preserve"> </w:t>
      </w:r>
      <w:r w:rsidRPr="008379CA">
        <w:rPr>
          <w:rFonts w:ascii="Bookman Old Style" w:hAnsi="Bookman Old Style" w:cs="Arial"/>
          <w:lang w:val="id-ID"/>
        </w:rPr>
        <w:t>daerah</w:t>
      </w:r>
      <w:r w:rsidR="00A954D0" w:rsidRPr="008379CA">
        <w:rPr>
          <w:rFonts w:ascii="Bookman Old Style" w:hAnsi="Bookman Old Style" w:cs="Arial"/>
          <w:lang w:val="id-ID"/>
        </w:rPr>
        <w:t xml:space="preserve"> </w:t>
      </w:r>
      <w:r w:rsidRPr="008379CA">
        <w:rPr>
          <w:rFonts w:ascii="Bookman Old Style" w:hAnsi="Bookman Old Style" w:cs="Arial"/>
          <w:lang w:val="id-ID"/>
        </w:rPr>
        <w:t>dalam</w:t>
      </w:r>
      <w:r w:rsidR="00A954D0" w:rsidRPr="008379CA">
        <w:rPr>
          <w:rFonts w:ascii="Bookman Old Style" w:hAnsi="Bookman Old Style" w:cs="Arial"/>
          <w:lang w:val="id-ID"/>
        </w:rPr>
        <w:t xml:space="preserve"> </w:t>
      </w:r>
      <w:r w:rsidRPr="008379CA">
        <w:rPr>
          <w:rFonts w:ascii="Bookman Old Style" w:hAnsi="Bookman Old Style" w:cs="Arial"/>
          <w:lang w:val="id-ID"/>
        </w:rPr>
        <w:t>Rancangan</w:t>
      </w:r>
      <w:r w:rsidR="00A954D0" w:rsidRPr="008379CA">
        <w:rPr>
          <w:rFonts w:ascii="Bookman Old Style" w:hAnsi="Bookman Old Style" w:cs="Arial"/>
          <w:lang w:val="id-ID"/>
        </w:rPr>
        <w:t xml:space="preserve"> </w:t>
      </w:r>
      <w:r w:rsidRPr="008379CA">
        <w:rPr>
          <w:rFonts w:ascii="Bookman Old Style" w:hAnsi="Bookman Old Style" w:cs="Arial"/>
          <w:lang w:val="id-ID"/>
        </w:rPr>
        <w:t>Peraturan</w:t>
      </w:r>
      <w:r w:rsidR="00A954D0" w:rsidRPr="008379CA">
        <w:rPr>
          <w:rFonts w:ascii="Bookman Old Style" w:hAnsi="Bookman Old Style" w:cs="Arial"/>
          <w:lang w:val="id-ID"/>
        </w:rPr>
        <w:t xml:space="preserve"> </w:t>
      </w:r>
      <w:r w:rsidRPr="008379CA">
        <w:rPr>
          <w:rFonts w:ascii="Bookman Old Style" w:hAnsi="Bookman Old Style" w:cs="Arial"/>
          <w:lang w:val="id-ID"/>
        </w:rPr>
        <w:t>Daerah</w:t>
      </w:r>
      <w:r w:rsidR="00A954D0" w:rsidRPr="008379CA">
        <w:rPr>
          <w:rFonts w:ascii="Bookman Old Style" w:hAnsi="Bookman Old Style" w:cs="Arial"/>
          <w:lang w:val="en-US"/>
        </w:rPr>
        <w:t xml:space="preserve"> </w:t>
      </w:r>
      <w:r w:rsidRPr="008379CA">
        <w:rPr>
          <w:rFonts w:ascii="Bookman Old Style" w:hAnsi="Bookman Old Style" w:cs="Arial"/>
          <w:lang w:val="en-US"/>
        </w:rPr>
        <w:t>Kota</w:t>
      </w:r>
      <w:r w:rsidR="00A954D0" w:rsidRPr="008379CA">
        <w:rPr>
          <w:rFonts w:ascii="Bookman Old Style" w:hAnsi="Bookman Old Style" w:cs="Arial"/>
          <w:lang w:val="en-US"/>
        </w:rPr>
        <w:t xml:space="preserve"> </w:t>
      </w:r>
      <w:r w:rsidRPr="008379CA">
        <w:rPr>
          <w:rFonts w:ascii="Bookman Old Style" w:hAnsi="Bookman Old Style" w:cs="Arial"/>
          <w:lang w:val="en-US"/>
        </w:rPr>
        <w:t>Tangerang</w:t>
      </w:r>
      <w:r w:rsidR="00A954D0" w:rsidRPr="008379CA">
        <w:rPr>
          <w:rFonts w:ascii="Bookman Old Style" w:hAnsi="Bookman Old Style" w:cs="Arial"/>
          <w:lang w:val="id-ID"/>
        </w:rPr>
        <w:t xml:space="preserve"> </w:t>
      </w:r>
      <w:r w:rsidRPr="008379CA">
        <w:rPr>
          <w:rFonts w:ascii="Bookman Old Style" w:hAnsi="Bookman Old Style" w:cs="Arial"/>
          <w:lang w:val="id-ID"/>
        </w:rPr>
        <w:t>tentang</w:t>
      </w:r>
      <w:r w:rsidR="00A954D0" w:rsidRPr="008379CA">
        <w:rPr>
          <w:rFonts w:ascii="Bookman Old Style" w:hAnsi="Bookman Old Style" w:cs="Arial"/>
          <w:lang w:val="id-ID"/>
        </w:rPr>
        <w:t xml:space="preserve"> </w:t>
      </w:r>
      <w:r w:rsidRPr="008379CA">
        <w:rPr>
          <w:rFonts w:ascii="Bookman Old Style" w:hAnsi="Bookman Old Style" w:cs="Arial"/>
          <w:lang w:val="id-ID"/>
        </w:rPr>
        <w:t>APBD</w:t>
      </w:r>
      <w:r w:rsidR="00A954D0" w:rsidRPr="008379CA">
        <w:rPr>
          <w:rFonts w:ascii="Bookman Old Style" w:hAnsi="Bookman Old Style" w:cs="Arial"/>
          <w:lang w:val="id-ID"/>
        </w:rPr>
        <w:t xml:space="preserve"> </w:t>
      </w:r>
      <w:r w:rsidRPr="008379CA">
        <w:rPr>
          <w:rFonts w:ascii="Bookman Old Style" w:hAnsi="Bookman Old Style" w:cs="Arial"/>
          <w:lang w:val="id-ID"/>
        </w:rPr>
        <w:t>Tahun</w:t>
      </w:r>
      <w:r w:rsidR="00A954D0" w:rsidRPr="008379CA">
        <w:rPr>
          <w:rFonts w:ascii="Bookman Old Style" w:hAnsi="Bookman Old Style" w:cs="Arial"/>
          <w:lang w:val="id-ID"/>
        </w:rPr>
        <w:t xml:space="preserve"> </w:t>
      </w:r>
      <w:r w:rsidRPr="008379CA">
        <w:rPr>
          <w:rFonts w:ascii="Bookman Old Style" w:hAnsi="Bookman Old Style" w:cs="Arial"/>
          <w:lang w:val="id-ID"/>
        </w:rPr>
        <w:t>Anggaran</w:t>
      </w:r>
      <w:r w:rsidR="00A954D0" w:rsidRPr="008379CA">
        <w:rPr>
          <w:rFonts w:ascii="Bookman Old Style" w:hAnsi="Bookman Old Style" w:cs="Arial"/>
          <w:lang w:val="id-ID"/>
        </w:rPr>
        <w:t xml:space="preserve"> </w:t>
      </w:r>
      <w:r w:rsidRPr="008379CA">
        <w:rPr>
          <w:rFonts w:ascii="Bookman Old Style" w:hAnsi="Bookman Old Style" w:cs="Arial"/>
          <w:lang w:val="id-ID"/>
        </w:rPr>
        <w:t>2025</w:t>
      </w:r>
      <w:r w:rsidR="00A954D0" w:rsidRPr="008379CA">
        <w:rPr>
          <w:rFonts w:ascii="Bookman Old Style" w:hAnsi="Bookman Old Style" w:cs="Arial"/>
          <w:lang w:val="sv-FI"/>
        </w:rPr>
        <w:t xml:space="preserve"> </w:t>
      </w:r>
      <w:r w:rsidRPr="008379CA">
        <w:rPr>
          <w:rFonts w:ascii="Bookman Old Style" w:hAnsi="Bookman Old Style" w:cs="Arial"/>
          <w:lang w:val="sv-FI"/>
        </w:rPr>
        <w:t>yang</w:t>
      </w:r>
      <w:r w:rsidR="00A954D0" w:rsidRPr="008379CA">
        <w:rPr>
          <w:rFonts w:ascii="Bookman Old Style" w:hAnsi="Bookman Old Style" w:cs="Arial"/>
          <w:lang w:val="sv-FI"/>
        </w:rPr>
        <w:t xml:space="preserve"> </w:t>
      </w:r>
      <w:r w:rsidRPr="008379CA">
        <w:rPr>
          <w:rFonts w:ascii="Bookman Old Style" w:hAnsi="Bookman Old Style" w:cs="Arial"/>
          <w:lang w:val="sv-FI"/>
        </w:rPr>
        <w:t>antara</w:t>
      </w:r>
      <w:r w:rsidR="00A954D0" w:rsidRPr="008379CA">
        <w:rPr>
          <w:rFonts w:ascii="Bookman Old Style" w:hAnsi="Bookman Old Style" w:cs="Arial"/>
          <w:lang w:val="sv-FI"/>
        </w:rPr>
        <w:t xml:space="preserve"> </w:t>
      </w:r>
      <w:r w:rsidRPr="008379CA">
        <w:rPr>
          <w:rFonts w:ascii="Bookman Old Style" w:hAnsi="Bookman Old Style" w:cs="Arial"/>
          <w:lang w:val="sv-FI"/>
        </w:rPr>
        <w:t>lain</w:t>
      </w:r>
      <w:r w:rsidR="00A954D0" w:rsidRPr="008379CA">
        <w:rPr>
          <w:rFonts w:ascii="Bookman Old Style" w:hAnsi="Bookman Old Style" w:cs="Arial"/>
          <w:lang w:val="sv-FI"/>
        </w:rPr>
        <w:t xml:space="preserve"> </w:t>
      </w:r>
      <w:r w:rsidRPr="008379CA">
        <w:rPr>
          <w:rFonts w:ascii="Bookman Old Style" w:hAnsi="Bookman Old Style" w:cs="Arial"/>
          <w:lang w:val="id-ID"/>
        </w:rPr>
        <w:t>tercantum</w:t>
      </w:r>
      <w:r w:rsidR="00A954D0" w:rsidRPr="008379CA">
        <w:rPr>
          <w:rFonts w:ascii="Bookman Old Style" w:hAnsi="Bookman Old Style" w:cs="Arial"/>
          <w:lang w:val="id-ID"/>
        </w:rPr>
        <w:t xml:space="preserve"> </w:t>
      </w:r>
      <w:r w:rsidRPr="008379CA">
        <w:rPr>
          <w:rFonts w:ascii="Bookman Old Style" w:hAnsi="Bookman Old Style" w:cs="Arial"/>
          <w:lang w:val="id-ID"/>
        </w:rPr>
        <w:t>pada</w:t>
      </w:r>
      <w:r w:rsidR="00A954D0" w:rsidRPr="008379CA">
        <w:rPr>
          <w:rFonts w:ascii="Bookman Old Style" w:hAnsi="Bookman Old Style" w:cs="Arial"/>
          <w:lang w:val="en-US"/>
        </w:rPr>
        <w:t xml:space="preserve"> </w:t>
      </w:r>
      <w:r w:rsidRPr="008379CA">
        <w:rPr>
          <w:rFonts w:ascii="Bookman Old Style" w:hAnsi="Bookman Old Style" w:cs="Arial"/>
          <w:lang w:val="en-US"/>
        </w:rPr>
        <w:t>sub</w:t>
      </w:r>
      <w:r w:rsidR="00A954D0" w:rsidRPr="008379CA">
        <w:rPr>
          <w:rFonts w:ascii="Bookman Old Style" w:hAnsi="Bookman Old Style" w:cs="Arial"/>
          <w:lang w:val="en-US"/>
        </w:rPr>
        <w:t xml:space="preserve"> </w:t>
      </w:r>
      <w:r w:rsidRPr="008379CA">
        <w:rPr>
          <w:rFonts w:ascii="Bookman Old Style" w:hAnsi="Bookman Old Style" w:cs="Arial"/>
          <w:lang w:val="en-US"/>
        </w:rPr>
        <w:t>kegiatan</w:t>
      </w:r>
      <w:r w:rsidRPr="008379CA">
        <w:rPr>
          <w:rFonts w:ascii="Bookman Old Style" w:hAnsi="Bookman Old Style" w:cs="Arial"/>
          <w:lang w:val="id-ID"/>
        </w:rPr>
        <w:t>:</w:t>
      </w:r>
    </w:p>
    <w:p w14:paraId="448564F5" w14:textId="027F0CCB" w:rsidR="00C330CC" w:rsidRPr="008379CA" w:rsidRDefault="00C330CC" w:rsidP="00447E9A">
      <w:pPr>
        <w:numPr>
          <w:ilvl w:val="1"/>
          <w:numId w:val="233"/>
        </w:numPr>
        <w:spacing w:before="60" w:line="276" w:lineRule="auto"/>
        <w:ind w:left="1701" w:hanging="425"/>
        <w:jc w:val="both"/>
        <w:rPr>
          <w:rFonts w:ascii="Bookman Old Style" w:hAnsi="Bookman Old Style" w:cs="Arial"/>
          <w:lang w:val="id-ID"/>
        </w:rPr>
      </w:pPr>
      <w:r w:rsidRPr="008379CA">
        <w:rPr>
          <w:rFonts w:ascii="Bookman Old Style" w:hAnsi="Bookman Old Style" w:cs="Arial"/>
          <w:lang w:val="id-ID"/>
        </w:rPr>
        <w:lastRenderedPageBreak/>
        <w:t>Operasi</w:t>
      </w:r>
      <w:r w:rsidR="00A954D0" w:rsidRPr="008379CA">
        <w:rPr>
          <w:rFonts w:ascii="Bookman Old Style" w:hAnsi="Bookman Old Style" w:cs="Arial"/>
          <w:lang w:val="id-ID"/>
        </w:rPr>
        <w:t xml:space="preserve"> </w:t>
      </w:r>
      <w:r w:rsidRPr="008379CA">
        <w:rPr>
          <w:rFonts w:ascii="Bookman Old Style" w:hAnsi="Bookman Old Style" w:cs="Arial"/>
          <w:lang w:val="id-ID"/>
        </w:rPr>
        <w:t>dan</w:t>
      </w:r>
      <w:r w:rsidR="00A954D0" w:rsidRPr="008379CA">
        <w:rPr>
          <w:rFonts w:ascii="Bookman Old Style" w:hAnsi="Bookman Old Style" w:cs="Arial"/>
          <w:lang w:val="id-ID"/>
        </w:rPr>
        <w:t xml:space="preserve"> </w:t>
      </w:r>
      <w:r w:rsidRPr="008379CA">
        <w:rPr>
          <w:rFonts w:ascii="Bookman Old Style" w:hAnsi="Bookman Old Style" w:cs="Arial"/>
          <w:lang w:val="id-ID"/>
        </w:rPr>
        <w:t>Pemeliharaan</w:t>
      </w:r>
      <w:r w:rsidR="00A954D0" w:rsidRPr="008379CA">
        <w:rPr>
          <w:rFonts w:ascii="Bookman Old Style" w:hAnsi="Bookman Old Style" w:cs="Arial"/>
          <w:lang w:val="id-ID"/>
        </w:rPr>
        <w:t xml:space="preserve"> </w:t>
      </w:r>
      <w:r w:rsidRPr="008379CA">
        <w:rPr>
          <w:rFonts w:ascii="Bookman Old Style" w:hAnsi="Bookman Old Style" w:cs="Arial"/>
          <w:lang w:val="id-ID"/>
        </w:rPr>
        <w:t>Tanggul</w:t>
      </w:r>
      <w:r w:rsidR="00A954D0" w:rsidRPr="008379CA">
        <w:rPr>
          <w:rFonts w:ascii="Bookman Old Style" w:hAnsi="Bookman Old Style" w:cs="Arial"/>
          <w:lang w:val="id-ID"/>
        </w:rPr>
        <w:t xml:space="preserve"> </w:t>
      </w:r>
      <w:r w:rsidRPr="008379CA">
        <w:rPr>
          <w:rFonts w:ascii="Bookman Old Style" w:hAnsi="Bookman Old Style" w:cs="Arial"/>
          <w:lang w:val="id-ID"/>
        </w:rPr>
        <w:t>dan</w:t>
      </w:r>
      <w:r w:rsidR="00A954D0" w:rsidRPr="008379CA">
        <w:rPr>
          <w:rFonts w:ascii="Bookman Old Style" w:hAnsi="Bookman Old Style" w:cs="Arial"/>
          <w:lang w:val="id-ID"/>
        </w:rPr>
        <w:t xml:space="preserve"> </w:t>
      </w:r>
      <w:r w:rsidRPr="008379CA">
        <w:rPr>
          <w:rFonts w:ascii="Bookman Old Style" w:hAnsi="Bookman Old Style" w:cs="Arial"/>
          <w:lang w:val="id-ID"/>
        </w:rPr>
        <w:t>Tebing</w:t>
      </w:r>
      <w:r w:rsidR="00A954D0" w:rsidRPr="008379CA">
        <w:rPr>
          <w:rFonts w:ascii="Bookman Old Style" w:hAnsi="Bookman Old Style" w:cs="Arial"/>
          <w:lang w:val="id-ID"/>
        </w:rPr>
        <w:t xml:space="preserve"> </w:t>
      </w:r>
      <w:r w:rsidRPr="008379CA">
        <w:rPr>
          <w:rFonts w:ascii="Bookman Old Style" w:hAnsi="Bookman Old Style" w:cs="Arial"/>
          <w:lang w:val="id-ID"/>
        </w:rPr>
        <w:t>Sungai</w:t>
      </w:r>
      <w:r w:rsidR="00A954D0" w:rsidRPr="008379CA">
        <w:rPr>
          <w:rFonts w:ascii="Bookman Old Style" w:hAnsi="Bookman Old Style" w:cs="Arial"/>
          <w:lang w:val="id-ID"/>
        </w:rPr>
        <w:t xml:space="preserve"> </w:t>
      </w:r>
      <w:r w:rsidRPr="008379CA">
        <w:rPr>
          <w:rFonts w:ascii="Bookman Old Style" w:hAnsi="Bookman Old Style" w:cs="Arial"/>
          <w:lang w:val="id-ID"/>
        </w:rPr>
        <w:t>pada</w:t>
      </w:r>
      <w:r w:rsidR="00A954D0" w:rsidRPr="008379CA">
        <w:rPr>
          <w:rFonts w:ascii="Bookman Old Style" w:hAnsi="Bookman Old Style" w:cs="Arial"/>
          <w:lang w:val="id-ID"/>
        </w:rPr>
        <w:t xml:space="preserve"> </w:t>
      </w:r>
      <w:r w:rsidRPr="008379CA">
        <w:rPr>
          <w:rFonts w:ascii="Bookman Old Style" w:hAnsi="Bookman Old Style" w:cs="Arial"/>
          <w:lang w:val="id-ID"/>
        </w:rPr>
        <w:t>Dinas</w:t>
      </w:r>
      <w:r w:rsidR="00A954D0" w:rsidRPr="008379CA">
        <w:rPr>
          <w:rFonts w:ascii="Bookman Old Style" w:hAnsi="Bookman Old Style" w:cs="Arial"/>
          <w:lang w:val="id-ID"/>
        </w:rPr>
        <w:t xml:space="preserve"> </w:t>
      </w:r>
      <w:r w:rsidRPr="008379CA">
        <w:rPr>
          <w:rFonts w:ascii="Bookman Old Style" w:hAnsi="Bookman Old Style" w:cs="Arial"/>
          <w:lang w:val="id-ID"/>
        </w:rPr>
        <w:t>Pekerjaan</w:t>
      </w:r>
      <w:r w:rsidR="00A954D0" w:rsidRPr="008379CA">
        <w:rPr>
          <w:rFonts w:ascii="Bookman Old Style" w:hAnsi="Bookman Old Style" w:cs="Arial"/>
          <w:lang w:val="id-ID"/>
        </w:rPr>
        <w:t xml:space="preserve"> </w:t>
      </w:r>
      <w:r w:rsidRPr="008379CA">
        <w:rPr>
          <w:rFonts w:ascii="Bookman Old Style" w:hAnsi="Bookman Old Style" w:cs="Arial"/>
          <w:lang w:val="id-ID"/>
        </w:rPr>
        <w:t>Umum</w:t>
      </w:r>
      <w:r w:rsidR="00A954D0" w:rsidRPr="008379CA">
        <w:rPr>
          <w:rFonts w:ascii="Bookman Old Style" w:hAnsi="Bookman Old Style" w:cs="Arial"/>
          <w:lang w:val="id-ID"/>
        </w:rPr>
        <w:t xml:space="preserve"> </w:t>
      </w:r>
      <w:r w:rsidRPr="008379CA">
        <w:rPr>
          <w:rFonts w:ascii="Bookman Old Style" w:hAnsi="Bookman Old Style" w:cs="Arial"/>
          <w:lang w:val="id-ID"/>
        </w:rPr>
        <w:t>dan</w:t>
      </w:r>
      <w:r w:rsidR="00A954D0" w:rsidRPr="008379CA">
        <w:rPr>
          <w:rFonts w:ascii="Bookman Old Style" w:hAnsi="Bookman Old Style" w:cs="Arial"/>
          <w:lang w:val="id-ID"/>
        </w:rPr>
        <w:t xml:space="preserve"> </w:t>
      </w:r>
      <w:r w:rsidRPr="008379CA">
        <w:rPr>
          <w:rFonts w:ascii="Bookman Old Style" w:hAnsi="Bookman Old Style" w:cs="Arial"/>
          <w:lang w:val="id-ID"/>
        </w:rPr>
        <w:t>Penataan</w:t>
      </w:r>
      <w:r w:rsidR="00A954D0" w:rsidRPr="008379CA">
        <w:rPr>
          <w:rFonts w:ascii="Bookman Old Style" w:hAnsi="Bookman Old Style" w:cs="Arial"/>
          <w:lang w:val="id-ID"/>
        </w:rPr>
        <w:t xml:space="preserve"> </w:t>
      </w:r>
      <w:r w:rsidRPr="008379CA">
        <w:rPr>
          <w:rFonts w:ascii="Bookman Old Style" w:hAnsi="Bookman Old Style" w:cs="Arial"/>
          <w:lang w:val="id-ID"/>
        </w:rPr>
        <w:t>Ruang</w:t>
      </w:r>
      <w:r w:rsidR="00A954D0" w:rsidRPr="008379CA">
        <w:rPr>
          <w:rFonts w:ascii="Bookman Old Style" w:hAnsi="Bookman Old Style" w:cs="Arial"/>
          <w:lang w:val="sv-FI"/>
        </w:rPr>
        <w:t xml:space="preserve"> </w:t>
      </w:r>
      <w:r w:rsidRPr="008379CA">
        <w:rPr>
          <w:rFonts w:ascii="Bookman Old Style" w:hAnsi="Bookman Old Style" w:cs="Arial"/>
          <w:lang w:val="id-ID"/>
        </w:rPr>
        <w:t>Rp5</w:t>
      </w:r>
      <w:r w:rsidRPr="008379CA">
        <w:rPr>
          <w:rFonts w:ascii="Bookman Old Style" w:hAnsi="Bookman Old Style" w:cs="Arial"/>
          <w:lang w:val="sv-FI"/>
        </w:rPr>
        <w:t>.</w:t>
      </w:r>
      <w:r w:rsidRPr="008379CA">
        <w:rPr>
          <w:rFonts w:ascii="Bookman Old Style" w:hAnsi="Bookman Old Style" w:cs="Arial"/>
          <w:lang w:val="id-ID"/>
        </w:rPr>
        <w:t>694</w:t>
      </w:r>
      <w:r w:rsidRPr="008379CA">
        <w:rPr>
          <w:rFonts w:ascii="Bookman Old Style" w:hAnsi="Bookman Old Style" w:cs="Arial"/>
          <w:lang w:val="sv-FI"/>
        </w:rPr>
        <w:t>.</w:t>
      </w:r>
      <w:r w:rsidRPr="008379CA">
        <w:rPr>
          <w:rFonts w:ascii="Bookman Old Style" w:hAnsi="Bookman Old Style" w:cs="Arial"/>
          <w:lang w:val="id-ID"/>
        </w:rPr>
        <w:t>179</w:t>
      </w:r>
      <w:r w:rsidRPr="008379CA">
        <w:rPr>
          <w:rFonts w:ascii="Bookman Old Style" w:hAnsi="Bookman Old Style" w:cs="Arial"/>
          <w:lang w:val="sv-FI"/>
        </w:rPr>
        <w:t>.</w:t>
      </w:r>
      <w:r w:rsidRPr="008379CA">
        <w:rPr>
          <w:rFonts w:ascii="Bookman Old Style" w:hAnsi="Bookman Old Style" w:cs="Arial"/>
          <w:lang w:val="id-ID"/>
        </w:rPr>
        <w:t>456,00</w:t>
      </w:r>
      <w:r w:rsidR="00A954D0" w:rsidRPr="008379CA">
        <w:rPr>
          <w:rFonts w:ascii="Bookman Old Style" w:hAnsi="Bookman Old Style" w:cs="Arial"/>
          <w:lang w:val="sv-FI"/>
        </w:rPr>
        <w:t xml:space="preserve"> </w:t>
      </w:r>
      <w:r w:rsidRPr="008379CA">
        <w:rPr>
          <w:rFonts w:ascii="Bookman Old Style" w:hAnsi="Bookman Old Style" w:cs="Arial"/>
          <w:lang w:val="id-ID"/>
        </w:rPr>
        <w:t>atau</w:t>
      </w:r>
      <w:r w:rsidR="00A954D0" w:rsidRPr="008379CA">
        <w:rPr>
          <w:rFonts w:ascii="Bookman Old Style" w:hAnsi="Bookman Old Style" w:cs="Arial"/>
          <w:lang w:val="sv-FI"/>
        </w:rPr>
        <w:t xml:space="preserve"> </w:t>
      </w:r>
      <w:r w:rsidRPr="008379CA">
        <w:rPr>
          <w:rFonts w:ascii="Bookman Old Style" w:hAnsi="Bookman Old Style" w:cs="Arial"/>
          <w:lang w:val="sv-FI"/>
        </w:rPr>
        <w:t>1,88</w:t>
      </w:r>
      <w:r w:rsidRPr="008379CA">
        <w:rPr>
          <w:rFonts w:ascii="Bookman Old Style" w:hAnsi="Bookman Old Style" w:cs="Arial"/>
          <w:lang w:val="id-ID"/>
        </w:rPr>
        <w:t>%</w:t>
      </w:r>
      <w:r w:rsidR="00A954D0" w:rsidRPr="008379CA">
        <w:rPr>
          <w:rFonts w:ascii="Bookman Old Style" w:hAnsi="Bookman Old Style" w:cs="Arial"/>
          <w:lang w:val="id-ID"/>
        </w:rPr>
        <w:t xml:space="preserve"> </w:t>
      </w:r>
      <w:r w:rsidRPr="008379CA">
        <w:rPr>
          <w:rFonts w:ascii="Bookman Old Style" w:hAnsi="Bookman Old Style" w:cs="Arial"/>
          <w:lang w:val="id-ID"/>
        </w:rPr>
        <w:t>dari</w:t>
      </w:r>
      <w:r w:rsidR="00A954D0" w:rsidRPr="008379CA">
        <w:rPr>
          <w:rFonts w:ascii="Bookman Old Style" w:hAnsi="Bookman Old Style" w:cs="Arial"/>
          <w:lang w:val="id-ID"/>
        </w:rPr>
        <w:t xml:space="preserve"> </w:t>
      </w:r>
      <w:r w:rsidRPr="008379CA">
        <w:rPr>
          <w:rFonts w:ascii="Bookman Old Style" w:hAnsi="Bookman Old Style" w:cs="Arial"/>
          <w:lang w:val="id-ID"/>
        </w:rPr>
        <w:t>total</w:t>
      </w:r>
      <w:r w:rsidR="00A954D0" w:rsidRPr="008379CA">
        <w:rPr>
          <w:rFonts w:ascii="Bookman Old Style" w:hAnsi="Bookman Old Style" w:cs="Arial"/>
          <w:lang w:val="id-ID"/>
        </w:rPr>
        <w:t xml:space="preserve"> </w:t>
      </w:r>
      <w:r w:rsidRPr="008379CA">
        <w:rPr>
          <w:rFonts w:ascii="Bookman Old Style" w:hAnsi="Bookman Old Style" w:cs="Arial"/>
          <w:lang w:val="id-ID"/>
        </w:rPr>
        <w:t>alokasi</w:t>
      </w:r>
      <w:r w:rsidR="00A954D0" w:rsidRPr="008379CA">
        <w:rPr>
          <w:rFonts w:ascii="Bookman Old Style" w:hAnsi="Bookman Old Style" w:cs="Arial"/>
          <w:lang w:val="id-ID"/>
        </w:rPr>
        <w:t xml:space="preserve"> </w:t>
      </w:r>
      <w:r w:rsidRPr="008379CA">
        <w:rPr>
          <w:rFonts w:ascii="Bookman Old Style" w:hAnsi="Bookman Old Style" w:cs="Arial"/>
          <w:lang w:val="id-ID"/>
        </w:rPr>
        <w:t>anggaran</w:t>
      </w:r>
      <w:r w:rsidR="00A954D0" w:rsidRPr="008379CA">
        <w:rPr>
          <w:rFonts w:ascii="Bookman Old Style" w:hAnsi="Bookman Old Style" w:cs="Arial"/>
          <w:lang w:val="id-ID"/>
        </w:rPr>
        <w:t xml:space="preserve"> </w:t>
      </w:r>
      <w:r w:rsidRPr="008379CA">
        <w:rPr>
          <w:rFonts w:ascii="Bookman Old Style" w:hAnsi="Bookman Old Style" w:cs="Arial"/>
          <w:lang w:val="id-ID"/>
        </w:rPr>
        <w:t>dalam</w:t>
      </w:r>
      <w:r w:rsidR="00A954D0" w:rsidRPr="008379CA">
        <w:rPr>
          <w:rFonts w:ascii="Bookman Old Style" w:hAnsi="Bookman Old Style" w:cs="Arial"/>
          <w:lang w:val="id-ID"/>
        </w:rPr>
        <w:t xml:space="preserve"> </w:t>
      </w:r>
      <w:r w:rsidRPr="008379CA">
        <w:rPr>
          <w:rFonts w:ascii="Bookman Old Style" w:hAnsi="Bookman Old Style" w:cs="Arial"/>
          <w:lang w:val="id-ID"/>
        </w:rPr>
        <w:t>rangka</w:t>
      </w:r>
      <w:r w:rsidR="00A954D0" w:rsidRPr="008379CA">
        <w:rPr>
          <w:rFonts w:ascii="Bookman Old Style" w:hAnsi="Bookman Old Style" w:cs="Arial"/>
          <w:lang w:val="id-ID"/>
        </w:rPr>
        <w:t xml:space="preserve"> </w:t>
      </w:r>
      <w:r w:rsidRPr="008379CA">
        <w:rPr>
          <w:rFonts w:ascii="Bookman Old Style" w:hAnsi="Bookman Old Style" w:cs="Arial"/>
          <w:lang w:val="id-ID"/>
        </w:rPr>
        <w:t>pengendalian</w:t>
      </w:r>
      <w:r w:rsidR="00A954D0" w:rsidRPr="008379CA">
        <w:rPr>
          <w:rFonts w:ascii="Bookman Old Style" w:hAnsi="Bookman Old Style" w:cs="Arial"/>
          <w:lang w:val="id-ID"/>
        </w:rPr>
        <w:t xml:space="preserve"> </w:t>
      </w:r>
      <w:r w:rsidRPr="008379CA">
        <w:rPr>
          <w:rFonts w:ascii="Bookman Old Style" w:hAnsi="Bookman Old Style" w:cs="Arial"/>
          <w:lang w:val="id-ID"/>
        </w:rPr>
        <w:t>inflasi;</w:t>
      </w:r>
    </w:p>
    <w:p w14:paraId="4C7ED12C" w14:textId="12E44C68" w:rsidR="00C330CC" w:rsidRPr="008379CA" w:rsidRDefault="00C330CC" w:rsidP="00447E9A">
      <w:pPr>
        <w:numPr>
          <w:ilvl w:val="1"/>
          <w:numId w:val="233"/>
        </w:numPr>
        <w:spacing w:before="60" w:line="276" w:lineRule="auto"/>
        <w:ind w:left="1701" w:hanging="425"/>
        <w:jc w:val="both"/>
        <w:rPr>
          <w:rFonts w:ascii="Bookman Old Style" w:hAnsi="Bookman Old Style" w:cs="Arial"/>
          <w:lang w:val="id-ID"/>
        </w:rPr>
      </w:pPr>
      <w:r w:rsidRPr="008379CA">
        <w:rPr>
          <w:rFonts w:ascii="Bookman Old Style" w:hAnsi="Bookman Old Style" w:cs="Arial"/>
          <w:lang w:val="id-ID"/>
        </w:rPr>
        <w:t>Pembangunan</w:t>
      </w:r>
      <w:r w:rsidR="00A954D0" w:rsidRPr="008379CA">
        <w:rPr>
          <w:rFonts w:ascii="Bookman Old Style" w:hAnsi="Bookman Old Style" w:cs="Arial"/>
          <w:lang w:val="id-ID"/>
        </w:rPr>
        <w:t xml:space="preserve"> </w:t>
      </w:r>
      <w:r w:rsidRPr="008379CA">
        <w:rPr>
          <w:rFonts w:ascii="Bookman Old Style" w:hAnsi="Bookman Old Style" w:cs="Arial"/>
          <w:lang w:val="id-ID"/>
        </w:rPr>
        <w:t>Embung</w:t>
      </w:r>
      <w:r w:rsidR="00A954D0" w:rsidRPr="008379CA">
        <w:rPr>
          <w:rFonts w:ascii="Bookman Old Style" w:hAnsi="Bookman Old Style" w:cs="Arial"/>
          <w:lang w:val="id-ID"/>
        </w:rPr>
        <w:t xml:space="preserve"> </w:t>
      </w:r>
      <w:r w:rsidRPr="008379CA">
        <w:rPr>
          <w:rFonts w:ascii="Bookman Old Style" w:hAnsi="Bookman Old Style" w:cs="Arial"/>
          <w:lang w:val="id-ID"/>
        </w:rPr>
        <w:t>dan</w:t>
      </w:r>
      <w:r w:rsidR="00A954D0" w:rsidRPr="008379CA">
        <w:rPr>
          <w:rFonts w:ascii="Bookman Old Style" w:hAnsi="Bookman Old Style" w:cs="Arial"/>
          <w:lang w:val="id-ID"/>
        </w:rPr>
        <w:t xml:space="preserve"> </w:t>
      </w:r>
      <w:r w:rsidRPr="008379CA">
        <w:rPr>
          <w:rFonts w:ascii="Bookman Old Style" w:hAnsi="Bookman Old Style" w:cs="Arial"/>
          <w:lang w:val="id-ID"/>
        </w:rPr>
        <w:t>Penampung</w:t>
      </w:r>
      <w:r w:rsidR="00A954D0" w:rsidRPr="008379CA">
        <w:rPr>
          <w:rFonts w:ascii="Bookman Old Style" w:hAnsi="Bookman Old Style" w:cs="Arial"/>
          <w:lang w:val="id-ID"/>
        </w:rPr>
        <w:t xml:space="preserve"> </w:t>
      </w:r>
      <w:r w:rsidRPr="008379CA">
        <w:rPr>
          <w:rFonts w:ascii="Bookman Old Style" w:hAnsi="Bookman Old Style" w:cs="Arial"/>
          <w:lang w:val="id-ID"/>
        </w:rPr>
        <w:t>Air</w:t>
      </w:r>
      <w:r w:rsidR="00A954D0" w:rsidRPr="008379CA">
        <w:rPr>
          <w:rFonts w:ascii="Bookman Old Style" w:hAnsi="Bookman Old Style" w:cs="Arial"/>
          <w:lang w:val="id-ID"/>
        </w:rPr>
        <w:t xml:space="preserve"> </w:t>
      </w:r>
      <w:r w:rsidRPr="008379CA">
        <w:rPr>
          <w:rFonts w:ascii="Bookman Old Style" w:hAnsi="Bookman Old Style" w:cs="Arial"/>
          <w:lang w:val="id-ID"/>
        </w:rPr>
        <w:t>Lainnya</w:t>
      </w:r>
      <w:r w:rsidR="00A954D0" w:rsidRPr="008379CA">
        <w:rPr>
          <w:rFonts w:ascii="Bookman Old Style" w:hAnsi="Bookman Old Style" w:cs="Arial"/>
          <w:lang w:val="id-ID"/>
        </w:rPr>
        <w:t xml:space="preserve"> </w:t>
      </w:r>
      <w:r w:rsidRPr="008379CA">
        <w:rPr>
          <w:rFonts w:ascii="Bookman Old Style" w:hAnsi="Bookman Old Style" w:cs="Arial"/>
          <w:lang w:val="id-ID"/>
        </w:rPr>
        <w:t>pada</w:t>
      </w:r>
      <w:r w:rsidR="00A954D0" w:rsidRPr="008379CA">
        <w:rPr>
          <w:rFonts w:ascii="Bookman Old Style" w:hAnsi="Bookman Old Style" w:cs="Arial"/>
          <w:lang w:val="sv-FI"/>
        </w:rPr>
        <w:t xml:space="preserve"> </w:t>
      </w:r>
      <w:r w:rsidRPr="008379CA">
        <w:rPr>
          <w:rFonts w:ascii="Bookman Old Style" w:hAnsi="Bookman Old Style" w:cs="Arial"/>
          <w:lang w:val="sv-FI"/>
        </w:rPr>
        <w:t>Dinas</w:t>
      </w:r>
      <w:r w:rsidR="00A954D0" w:rsidRPr="008379CA">
        <w:rPr>
          <w:rFonts w:ascii="Bookman Old Style" w:hAnsi="Bookman Old Style" w:cs="Arial"/>
          <w:lang w:val="sv-FI"/>
        </w:rPr>
        <w:t xml:space="preserve"> </w:t>
      </w:r>
      <w:r w:rsidRPr="008379CA">
        <w:rPr>
          <w:rFonts w:ascii="Bookman Old Style" w:hAnsi="Bookman Old Style" w:cs="Arial"/>
          <w:lang w:val="sv-FI"/>
        </w:rPr>
        <w:t>Pekerjaan</w:t>
      </w:r>
      <w:r w:rsidR="00A954D0" w:rsidRPr="008379CA">
        <w:rPr>
          <w:rFonts w:ascii="Bookman Old Style" w:hAnsi="Bookman Old Style" w:cs="Arial"/>
          <w:lang w:val="sv-FI"/>
        </w:rPr>
        <w:t xml:space="preserve"> </w:t>
      </w:r>
      <w:r w:rsidRPr="008379CA">
        <w:rPr>
          <w:rFonts w:ascii="Bookman Old Style" w:hAnsi="Bookman Old Style" w:cs="Arial"/>
          <w:lang w:val="sv-FI"/>
        </w:rPr>
        <w:t>Umum</w:t>
      </w:r>
      <w:r w:rsidR="00A954D0" w:rsidRPr="008379CA">
        <w:rPr>
          <w:rFonts w:ascii="Bookman Old Style" w:hAnsi="Bookman Old Style" w:cs="Arial"/>
          <w:lang w:val="sv-FI"/>
        </w:rPr>
        <w:t xml:space="preserve"> </w:t>
      </w:r>
      <w:r w:rsidRPr="008379CA">
        <w:rPr>
          <w:rFonts w:ascii="Bookman Old Style" w:hAnsi="Bookman Old Style" w:cs="Arial"/>
          <w:lang w:val="sv-FI"/>
        </w:rPr>
        <w:t>dan</w:t>
      </w:r>
      <w:r w:rsidR="00A954D0" w:rsidRPr="008379CA">
        <w:rPr>
          <w:rFonts w:ascii="Bookman Old Style" w:hAnsi="Bookman Old Style" w:cs="Arial"/>
          <w:lang w:val="sv-FI"/>
        </w:rPr>
        <w:t xml:space="preserve"> </w:t>
      </w:r>
      <w:r w:rsidRPr="008379CA">
        <w:rPr>
          <w:rFonts w:ascii="Bookman Old Style" w:hAnsi="Bookman Old Style" w:cs="Arial"/>
          <w:lang w:val="sv-FI"/>
        </w:rPr>
        <w:t>Penataan</w:t>
      </w:r>
      <w:r w:rsidR="00A954D0" w:rsidRPr="008379CA">
        <w:rPr>
          <w:rFonts w:ascii="Bookman Old Style" w:hAnsi="Bookman Old Style" w:cs="Arial"/>
          <w:lang w:val="sv-FI"/>
        </w:rPr>
        <w:t xml:space="preserve"> </w:t>
      </w:r>
      <w:r w:rsidRPr="008379CA">
        <w:rPr>
          <w:rFonts w:ascii="Bookman Old Style" w:hAnsi="Bookman Old Style" w:cs="Arial"/>
          <w:lang w:val="sv-FI"/>
        </w:rPr>
        <w:t>Ruang</w:t>
      </w:r>
      <w:r w:rsidR="00A954D0" w:rsidRPr="008379CA">
        <w:rPr>
          <w:rFonts w:ascii="Bookman Old Style" w:hAnsi="Bookman Old Style" w:cs="Arial"/>
          <w:lang w:val="sv-FI"/>
        </w:rPr>
        <w:t xml:space="preserve"> </w:t>
      </w:r>
      <w:r w:rsidRPr="008379CA">
        <w:rPr>
          <w:rFonts w:ascii="Bookman Old Style" w:hAnsi="Bookman Old Style" w:cs="Arial"/>
          <w:lang w:val="sv-FI"/>
        </w:rPr>
        <w:t>Rp</w:t>
      </w:r>
      <w:r w:rsidRPr="008379CA">
        <w:rPr>
          <w:rFonts w:ascii="Bookman Old Style" w:hAnsi="Bookman Old Style" w:cs="Arial"/>
          <w:lang w:val="id-ID"/>
        </w:rPr>
        <w:t>31</w:t>
      </w:r>
      <w:r w:rsidRPr="008379CA">
        <w:rPr>
          <w:rFonts w:ascii="Bookman Old Style" w:hAnsi="Bookman Old Style" w:cs="Arial"/>
          <w:lang w:val="sv-FI"/>
        </w:rPr>
        <w:t>.</w:t>
      </w:r>
      <w:r w:rsidRPr="008379CA">
        <w:rPr>
          <w:rFonts w:ascii="Bookman Old Style" w:hAnsi="Bookman Old Style" w:cs="Arial"/>
          <w:lang w:val="id-ID"/>
        </w:rPr>
        <w:t>079</w:t>
      </w:r>
      <w:r w:rsidRPr="008379CA">
        <w:rPr>
          <w:rFonts w:ascii="Bookman Old Style" w:hAnsi="Bookman Old Style" w:cs="Arial"/>
          <w:lang w:val="sv-FI"/>
        </w:rPr>
        <w:t>.</w:t>
      </w:r>
      <w:r w:rsidRPr="008379CA">
        <w:rPr>
          <w:rFonts w:ascii="Bookman Old Style" w:hAnsi="Bookman Old Style" w:cs="Arial"/>
          <w:lang w:val="id-ID"/>
        </w:rPr>
        <w:t>074</w:t>
      </w:r>
      <w:r w:rsidRPr="008379CA">
        <w:rPr>
          <w:rFonts w:ascii="Bookman Old Style" w:hAnsi="Bookman Old Style" w:cs="Arial"/>
          <w:lang w:val="sv-FI"/>
        </w:rPr>
        <w:t>.</w:t>
      </w:r>
      <w:r w:rsidRPr="008379CA">
        <w:rPr>
          <w:rFonts w:ascii="Bookman Old Style" w:hAnsi="Bookman Old Style" w:cs="Arial"/>
          <w:lang w:val="id-ID"/>
        </w:rPr>
        <w:t>656,00</w:t>
      </w:r>
      <w:r w:rsidR="00A954D0" w:rsidRPr="008379CA">
        <w:rPr>
          <w:rFonts w:ascii="Bookman Old Style" w:hAnsi="Bookman Old Style" w:cs="Arial"/>
          <w:lang w:val="sv-FI"/>
        </w:rPr>
        <w:t xml:space="preserve"> </w:t>
      </w:r>
      <w:r w:rsidRPr="008379CA">
        <w:rPr>
          <w:rFonts w:ascii="Bookman Old Style" w:hAnsi="Bookman Old Style" w:cs="Arial"/>
          <w:lang w:val="id-ID"/>
        </w:rPr>
        <w:t>atau</w:t>
      </w:r>
      <w:r w:rsidR="00A954D0" w:rsidRPr="008379CA">
        <w:rPr>
          <w:rFonts w:ascii="Bookman Old Style" w:hAnsi="Bookman Old Style" w:cs="Arial"/>
          <w:lang w:val="id-ID"/>
        </w:rPr>
        <w:t xml:space="preserve"> </w:t>
      </w:r>
      <w:r w:rsidRPr="008379CA">
        <w:rPr>
          <w:rFonts w:ascii="Bookman Old Style" w:hAnsi="Bookman Old Style" w:cs="Arial"/>
          <w:lang w:val="sv-FI"/>
        </w:rPr>
        <w:t>10,25</w:t>
      </w:r>
      <w:r w:rsidRPr="008379CA">
        <w:rPr>
          <w:rFonts w:ascii="Bookman Old Style" w:hAnsi="Bookman Old Style" w:cs="Arial"/>
          <w:lang w:val="id-ID"/>
        </w:rPr>
        <w:t>%</w:t>
      </w:r>
      <w:r w:rsidR="00A954D0" w:rsidRPr="008379CA">
        <w:rPr>
          <w:rFonts w:ascii="Bookman Old Style" w:hAnsi="Bookman Old Style" w:cs="Arial"/>
          <w:lang w:val="id-ID"/>
        </w:rPr>
        <w:t xml:space="preserve"> </w:t>
      </w:r>
      <w:r w:rsidRPr="008379CA">
        <w:rPr>
          <w:rFonts w:ascii="Bookman Old Style" w:hAnsi="Bookman Old Style" w:cs="Arial"/>
          <w:lang w:val="id-ID"/>
        </w:rPr>
        <w:t>dari</w:t>
      </w:r>
      <w:r w:rsidR="00A954D0" w:rsidRPr="008379CA">
        <w:rPr>
          <w:rFonts w:ascii="Bookman Old Style" w:hAnsi="Bookman Old Style" w:cs="Arial"/>
          <w:lang w:val="id-ID"/>
        </w:rPr>
        <w:t xml:space="preserve"> </w:t>
      </w:r>
      <w:r w:rsidRPr="008379CA">
        <w:rPr>
          <w:rFonts w:ascii="Bookman Old Style" w:hAnsi="Bookman Old Style" w:cs="Arial"/>
          <w:lang w:val="id-ID"/>
        </w:rPr>
        <w:t>total</w:t>
      </w:r>
      <w:r w:rsidR="00A954D0" w:rsidRPr="008379CA">
        <w:rPr>
          <w:rFonts w:ascii="Bookman Old Style" w:hAnsi="Bookman Old Style" w:cs="Arial"/>
          <w:lang w:val="id-ID"/>
        </w:rPr>
        <w:t xml:space="preserve"> </w:t>
      </w:r>
      <w:r w:rsidRPr="008379CA">
        <w:rPr>
          <w:rFonts w:ascii="Bookman Old Style" w:hAnsi="Bookman Old Style" w:cs="Arial"/>
          <w:lang w:val="id-ID"/>
        </w:rPr>
        <w:t>alokasi</w:t>
      </w:r>
      <w:r w:rsidR="00A954D0" w:rsidRPr="008379CA">
        <w:rPr>
          <w:rFonts w:ascii="Bookman Old Style" w:hAnsi="Bookman Old Style" w:cs="Arial"/>
          <w:lang w:val="id-ID"/>
        </w:rPr>
        <w:t xml:space="preserve"> </w:t>
      </w:r>
      <w:r w:rsidRPr="008379CA">
        <w:rPr>
          <w:rFonts w:ascii="Bookman Old Style" w:hAnsi="Bookman Old Style" w:cs="Arial"/>
          <w:lang w:val="id-ID"/>
        </w:rPr>
        <w:t>anggaran</w:t>
      </w:r>
      <w:r w:rsidR="00A954D0" w:rsidRPr="008379CA">
        <w:rPr>
          <w:rFonts w:ascii="Bookman Old Style" w:hAnsi="Bookman Old Style" w:cs="Arial"/>
          <w:lang w:val="id-ID"/>
        </w:rPr>
        <w:t xml:space="preserve"> </w:t>
      </w:r>
      <w:r w:rsidRPr="008379CA">
        <w:rPr>
          <w:rFonts w:ascii="Bookman Old Style" w:hAnsi="Bookman Old Style" w:cs="Arial"/>
          <w:lang w:val="id-ID"/>
        </w:rPr>
        <w:t>dalam</w:t>
      </w:r>
      <w:r w:rsidR="00A954D0" w:rsidRPr="008379CA">
        <w:rPr>
          <w:rFonts w:ascii="Bookman Old Style" w:hAnsi="Bookman Old Style" w:cs="Arial"/>
          <w:lang w:val="id-ID"/>
        </w:rPr>
        <w:t xml:space="preserve"> </w:t>
      </w:r>
      <w:r w:rsidRPr="008379CA">
        <w:rPr>
          <w:rFonts w:ascii="Bookman Old Style" w:hAnsi="Bookman Old Style" w:cs="Arial"/>
          <w:lang w:val="id-ID"/>
        </w:rPr>
        <w:t>rangka</w:t>
      </w:r>
      <w:r w:rsidR="00A954D0" w:rsidRPr="008379CA">
        <w:rPr>
          <w:rFonts w:ascii="Bookman Old Style" w:hAnsi="Bookman Old Style" w:cs="Arial"/>
          <w:lang w:val="id-ID"/>
        </w:rPr>
        <w:t xml:space="preserve"> </w:t>
      </w:r>
      <w:r w:rsidRPr="008379CA">
        <w:rPr>
          <w:rFonts w:ascii="Bookman Old Style" w:hAnsi="Bookman Old Style" w:cs="Arial"/>
          <w:lang w:val="id-ID"/>
        </w:rPr>
        <w:t>pengendalian</w:t>
      </w:r>
      <w:r w:rsidR="00A954D0" w:rsidRPr="008379CA">
        <w:rPr>
          <w:rFonts w:ascii="Bookman Old Style" w:hAnsi="Bookman Old Style" w:cs="Arial"/>
          <w:lang w:val="id-ID"/>
        </w:rPr>
        <w:t xml:space="preserve"> </w:t>
      </w:r>
      <w:r w:rsidRPr="008379CA">
        <w:rPr>
          <w:rFonts w:ascii="Bookman Old Style" w:hAnsi="Bookman Old Style" w:cs="Arial"/>
          <w:lang w:val="id-ID"/>
        </w:rPr>
        <w:t>inflasi;</w:t>
      </w:r>
    </w:p>
    <w:p w14:paraId="382B7620" w14:textId="4B91ECFF" w:rsidR="00C330CC" w:rsidRPr="008379CA" w:rsidRDefault="00C330CC" w:rsidP="00447E9A">
      <w:pPr>
        <w:numPr>
          <w:ilvl w:val="1"/>
          <w:numId w:val="233"/>
        </w:numPr>
        <w:spacing w:before="60" w:line="276" w:lineRule="auto"/>
        <w:ind w:left="1701" w:hanging="425"/>
        <w:jc w:val="both"/>
        <w:rPr>
          <w:rFonts w:ascii="Bookman Old Style" w:hAnsi="Bookman Old Style" w:cs="Arial"/>
          <w:lang w:val="id-ID"/>
        </w:rPr>
      </w:pPr>
      <w:r w:rsidRPr="008379CA">
        <w:rPr>
          <w:rFonts w:ascii="Bookman Old Style" w:hAnsi="Bookman Old Style" w:cs="Arial"/>
          <w:lang w:val="id-ID"/>
        </w:rPr>
        <w:t>Penggantian</w:t>
      </w:r>
      <w:r w:rsidR="00A954D0" w:rsidRPr="008379CA">
        <w:rPr>
          <w:rFonts w:ascii="Bookman Old Style" w:hAnsi="Bookman Old Style" w:cs="Arial"/>
          <w:lang w:val="id-ID"/>
        </w:rPr>
        <w:t xml:space="preserve"> </w:t>
      </w:r>
      <w:r w:rsidRPr="008379CA">
        <w:rPr>
          <w:rFonts w:ascii="Bookman Old Style" w:hAnsi="Bookman Old Style" w:cs="Arial"/>
          <w:lang w:val="id-ID"/>
        </w:rPr>
        <w:t>Jembatan</w:t>
      </w:r>
      <w:r w:rsidR="00A954D0" w:rsidRPr="008379CA">
        <w:rPr>
          <w:rFonts w:ascii="Bookman Old Style" w:hAnsi="Bookman Old Style" w:cs="Arial"/>
          <w:lang w:val="id-ID"/>
        </w:rPr>
        <w:t xml:space="preserve"> </w:t>
      </w:r>
      <w:r w:rsidRPr="008379CA">
        <w:rPr>
          <w:rFonts w:ascii="Bookman Old Style" w:hAnsi="Bookman Old Style" w:cs="Arial"/>
          <w:lang w:val="sv-FI"/>
        </w:rPr>
        <w:t>pada</w:t>
      </w:r>
      <w:r w:rsidR="00A954D0" w:rsidRPr="008379CA">
        <w:rPr>
          <w:rFonts w:ascii="Bookman Old Style" w:hAnsi="Bookman Old Style" w:cs="Arial"/>
          <w:lang w:val="sv-FI"/>
        </w:rPr>
        <w:t xml:space="preserve"> </w:t>
      </w:r>
      <w:r w:rsidRPr="008379CA">
        <w:rPr>
          <w:rFonts w:ascii="Bookman Old Style" w:hAnsi="Bookman Old Style" w:cs="Arial"/>
          <w:lang w:val="sv-FI"/>
        </w:rPr>
        <w:t>Dinas</w:t>
      </w:r>
      <w:r w:rsidR="00A954D0" w:rsidRPr="008379CA">
        <w:rPr>
          <w:rFonts w:ascii="Bookman Old Style" w:hAnsi="Bookman Old Style" w:cs="Arial"/>
          <w:lang w:val="sv-FI"/>
        </w:rPr>
        <w:t xml:space="preserve"> </w:t>
      </w:r>
      <w:r w:rsidRPr="008379CA">
        <w:rPr>
          <w:rFonts w:ascii="Bookman Old Style" w:hAnsi="Bookman Old Style" w:cs="Arial"/>
          <w:lang w:val="sv-FI"/>
        </w:rPr>
        <w:t>Pekerjaan</w:t>
      </w:r>
      <w:r w:rsidR="00A954D0" w:rsidRPr="008379CA">
        <w:rPr>
          <w:rFonts w:ascii="Bookman Old Style" w:hAnsi="Bookman Old Style" w:cs="Arial"/>
          <w:lang w:val="sv-FI"/>
        </w:rPr>
        <w:t xml:space="preserve"> </w:t>
      </w:r>
      <w:r w:rsidRPr="008379CA">
        <w:rPr>
          <w:rFonts w:ascii="Bookman Old Style" w:hAnsi="Bookman Old Style" w:cs="Arial"/>
          <w:lang w:val="sv-FI"/>
        </w:rPr>
        <w:t>Umum</w:t>
      </w:r>
      <w:r w:rsidR="00A954D0" w:rsidRPr="008379CA">
        <w:rPr>
          <w:rFonts w:ascii="Bookman Old Style" w:hAnsi="Bookman Old Style" w:cs="Arial"/>
          <w:lang w:val="sv-FI"/>
        </w:rPr>
        <w:t xml:space="preserve"> </w:t>
      </w:r>
      <w:r w:rsidRPr="008379CA">
        <w:rPr>
          <w:rFonts w:ascii="Bookman Old Style" w:hAnsi="Bookman Old Style" w:cs="Arial"/>
          <w:lang w:val="sv-FI"/>
        </w:rPr>
        <w:t>dan</w:t>
      </w:r>
      <w:r w:rsidR="00A954D0" w:rsidRPr="008379CA">
        <w:rPr>
          <w:rFonts w:ascii="Bookman Old Style" w:hAnsi="Bookman Old Style" w:cs="Arial"/>
          <w:lang w:val="sv-FI"/>
        </w:rPr>
        <w:t xml:space="preserve"> </w:t>
      </w:r>
      <w:r w:rsidRPr="008379CA">
        <w:rPr>
          <w:rFonts w:ascii="Bookman Old Style" w:hAnsi="Bookman Old Style" w:cs="Arial"/>
          <w:lang w:val="sv-FI"/>
        </w:rPr>
        <w:t>Penataan</w:t>
      </w:r>
      <w:r w:rsidR="00A954D0" w:rsidRPr="008379CA">
        <w:rPr>
          <w:rFonts w:ascii="Bookman Old Style" w:hAnsi="Bookman Old Style" w:cs="Arial"/>
          <w:lang w:val="sv-FI"/>
        </w:rPr>
        <w:t xml:space="preserve"> </w:t>
      </w:r>
      <w:r w:rsidRPr="008379CA">
        <w:rPr>
          <w:rFonts w:ascii="Bookman Old Style" w:hAnsi="Bookman Old Style" w:cs="Arial"/>
          <w:lang w:val="sv-FI"/>
        </w:rPr>
        <w:t>Ruang</w:t>
      </w:r>
      <w:r w:rsidR="00A954D0" w:rsidRPr="008379CA">
        <w:rPr>
          <w:rFonts w:ascii="Bookman Old Style" w:hAnsi="Bookman Old Style" w:cs="Arial"/>
          <w:lang w:val="sv-FI"/>
        </w:rPr>
        <w:t xml:space="preserve"> </w:t>
      </w:r>
      <w:r w:rsidRPr="008379CA">
        <w:rPr>
          <w:rFonts w:ascii="Bookman Old Style" w:hAnsi="Bookman Old Style" w:cs="Arial"/>
          <w:lang w:val="id-ID"/>
        </w:rPr>
        <w:t>Rp14</w:t>
      </w:r>
      <w:r w:rsidRPr="008379CA">
        <w:rPr>
          <w:rFonts w:ascii="Bookman Old Style" w:hAnsi="Bookman Old Style" w:cs="Arial"/>
          <w:lang w:val="sv-FI"/>
        </w:rPr>
        <w:t>.</w:t>
      </w:r>
      <w:r w:rsidRPr="008379CA">
        <w:rPr>
          <w:rFonts w:ascii="Bookman Old Style" w:hAnsi="Bookman Old Style" w:cs="Arial"/>
          <w:lang w:val="id-ID"/>
        </w:rPr>
        <w:t>401</w:t>
      </w:r>
      <w:r w:rsidRPr="008379CA">
        <w:rPr>
          <w:rFonts w:ascii="Bookman Old Style" w:hAnsi="Bookman Old Style" w:cs="Arial"/>
          <w:lang w:val="sv-FI"/>
        </w:rPr>
        <w:t>.</w:t>
      </w:r>
      <w:r w:rsidRPr="008379CA">
        <w:rPr>
          <w:rFonts w:ascii="Bookman Old Style" w:hAnsi="Bookman Old Style" w:cs="Arial"/>
          <w:lang w:val="id-ID"/>
        </w:rPr>
        <w:t>500</w:t>
      </w:r>
      <w:r w:rsidRPr="008379CA">
        <w:rPr>
          <w:rFonts w:ascii="Bookman Old Style" w:hAnsi="Bookman Old Style" w:cs="Arial"/>
          <w:lang w:val="sv-FI"/>
        </w:rPr>
        <w:t>.</w:t>
      </w:r>
      <w:r w:rsidRPr="008379CA">
        <w:rPr>
          <w:rFonts w:ascii="Bookman Old Style" w:hAnsi="Bookman Old Style" w:cs="Arial"/>
          <w:lang w:val="id-ID"/>
        </w:rPr>
        <w:t>769,00</w:t>
      </w:r>
      <w:r w:rsidR="00A954D0" w:rsidRPr="008379CA">
        <w:rPr>
          <w:rFonts w:ascii="Bookman Old Style" w:hAnsi="Bookman Old Style" w:cs="Arial"/>
          <w:lang w:val="sv-FI"/>
        </w:rPr>
        <w:t xml:space="preserve"> </w:t>
      </w:r>
      <w:r w:rsidRPr="008379CA">
        <w:rPr>
          <w:rFonts w:ascii="Bookman Old Style" w:hAnsi="Bookman Old Style" w:cs="Arial"/>
          <w:lang w:val="id-ID"/>
        </w:rPr>
        <w:t>atau</w:t>
      </w:r>
      <w:r w:rsidR="00A954D0" w:rsidRPr="008379CA">
        <w:rPr>
          <w:rFonts w:ascii="Bookman Old Style" w:hAnsi="Bookman Old Style" w:cs="Arial"/>
          <w:lang w:val="id-ID"/>
        </w:rPr>
        <w:t xml:space="preserve"> </w:t>
      </w:r>
      <w:r w:rsidRPr="008379CA">
        <w:rPr>
          <w:rFonts w:ascii="Bookman Old Style" w:hAnsi="Bookman Old Style" w:cs="Arial"/>
          <w:lang w:val="sv-FI"/>
        </w:rPr>
        <w:t>4,75</w:t>
      </w:r>
      <w:r w:rsidRPr="008379CA">
        <w:rPr>
          <w:rFonts w:ascii="Bookman Old Style" w:hAnsi="Bookman Old Style" w:cs="Arial"/>
          <w:lang w:val="id-ID"/>
        </w:rPr>
        <w:t>%</w:t>
      </w:r>
      <w:r w:rsidR="00A954D0" w:rsidRPr="008379CA">
        <w:rPr>
          <w:rFonts w:ascii="Bookman Old Style" w:hAnsi="Bookman Old Style" w:cs="Arial"/>
          <w:lang w:val="id-ID"/>
        </w:rPr>
        <w:t xml:space="preserve"> </w:t>
      </w:r>
      <w:r w:rsidRPr="008379CA">
        <w:rPr>
          <w:rFonts w:ascii="Bookman Old Style" w:hAnsi="Bookman Old Style" w:cs="Arial"/>
          <w:lang w:val="id-ID"/>
        </w:rPr>
        <w:t>dari</w:t>
      </w:r>
      <w:r w:rsidR="00A954D0" w:rsidRPr="008379CA">
        <w:rPr>
          <w:rFonts w:ascii="Bookman Old Style" w:hAnsi="Bookman Old Style" w:cs="Arial"/>
          <w:lang w:val="id-ID"/>
        </w:rPr>
        <w:t xml:space="preserve"> </w:t>
      </w:r>
      <w:r w:rsidRPr="008379CA">
        <w:rPr>
          <w:rFonts w:ascii="Bookman Old Style" w:hAnsi="Bookman Old Style" w:cs="Arial"/>
          <w:lang w:val="id-ID"/>
        </w:rPr>
        <w:t>total</w:t>
      </w:r>
      <w:r w:rsidR="00A954D0" w:rsidRPr="008379CA">
        <w:rPr>
          <w:rFonts w:ascii="Bookman Old Style" w:hAnsi="Bookman Old Style" w:cs="Arial"/>
          <w:lang w:val="id-ID"/>
        </w:rPr>
        <w:t xml:space="preserve"> </w:t>
      </w:r>
      <w:r w:rsidRPr="008379CA">
        <w:rPr>
          <w:rFonts w:ascii="Bookman Old Style" w:hAnsi="Bookman Old Style" w:cs="Arial"/>
          <w:lang w:val="id-ID"/>
        </w:rPr>
        <w:t>alokasi</w:t>
      </w:r>
      <w:r w:rsidR="00A954D0" w:rsidRPr="008379CA">
        <w:rPr>
          <w:rFonts w:ascii="Bookman Old Style" w:hAnsi="Bookman Old Style" w:cs="Arial"/>
          <w:lang w:val="id-ID"/>
        </w:rPr>
        <w:t xml:space="preserve"> </w:t>
      </w:r>
      <w:r w:rsidRPr="008379CA">
        <w:rPr>
          <w:rFonts w:ascii="Bookman Old Style" w:hAnsi="Bookman Old Style" w:cs="Arial"/>
          <w:lang w:val="id-ID"/>
        </w:rPr>
        <w:t>anggaran</w:t>
      </w:r>
      <w:r w:rsidR="00A954D0" w:rsidRPr="008379CA">
        <w:rPr>
          <w:rFonts w:ascii="Bookman Old Style" w:hAnsi="Bookman Old Style" w:cs="Arial"/>
          <w:lang w:val="id-ID"/>
        </w:rPr>
        <w:t xml:space="preserve"> </w:t>
      </w:r>
      <w:r w:rsidRPr="008379CA">
        <w:rPr>
          <w:rFonts w:ascii="Bookman Old Style" w:hAnsi="Bookman Old Style" w:cs="Arial"/>
          <w:lang w:val="id-ID"/>
        </w:rPr>
        <w:t>dalam</w:t>
      </w:r>
      <w:r w:rsidR="00A954D0" w:rsidRPr="008379CA">
        <w:rPr>
          <w:rFonts w:ascii="Bookman Old Style" w:hAnsi="Bookman Old Style" w:cs="Arial"/>
          <w:lang w:val="id-ID"/>
        </w:rPr>
        <w:t xml:space="preserve"> </w:t>
      </w:r>
      <w:r w:rsidRPr="008379CA">
        <w:rPr>
          <w:rFonts w:ascii="Bookman Old Style" w:hAnsi="Bookman Old Style" w:cs="Arial"/>
          <w:lang w:val="id-ID"/>
        </w:rPr>
        <w:t>rangka</w:t>
      </w:r>
      <w:r w:rsidR="00A954D0" w:rsidRPr="008379CA">
        <w:rPr>
          <w:rFonts w:ascii="Bookman Old Style" w:hAnsi="Bookman Old Style" w:cs="Arial"/>
          <w:lang w:val="id-ID"/>
        </w:rPr>
        <w:t xml:space="preserve"> </w:t>
      </w:r>
      <w:r w:rsidRPr="008379CA">
        <w:rPr>
          <w:rFonts w:ascii="Bookman Old Style" w:hAnsi="Bookman Old Style" w:cs="Arial"/>
          <w:lang w:val="id-ID"/>
        </w:rPr>
        <w:t>pengendalian</w:t>
      </w:r>
      <w:r w:rsidR="00A954D0" w:rsidRPr="008379CA">
        <w:rPr>
          <w:rFonts w:ascii="Bookman Old Style" w:hAnsi="Bookman Old Style" w:cs="Arial"/>
          <w:lang w:val="id-ID"/>
        </w:rPr>
        <w:t xml:space="preserve"> </w:t>
      </w:r>
      <w:r w:rsidRPr="008379CA">
        <w:rPr>
          <w:rFonts w:ascii="Bookman Old Style" w:hAnsi="Bookman Old Style" w:cs="Arial"/>
          <w:lang w:val="id-ID"/>
        </w:rPr>
        <w:t>inflasi;</w:t>
      </w:r>
    </w:p>
    <w:p w14:paraId="765F8E1A" w14:textId="7387035B" w:rsidR="00C330CC" w:rsidRPr="008379CA" w:rsidRDefault="00C330CC" w:rsidP="00447E9A">
      <w:pPr>
        <w:numPr>
          <w:ilvl w:val="1"/>
          <w:numId w:val="233"/>
        </w:numPr>
        <w:spacing w:before="60" w:line="276" w:lineRule="auto"/>
        <w:ind w:left="1701" w:hanging="425"/>
        <w:jc w:val="both"/>
        <w:rPr>
          <w:rFonts w:ascii="Bookman Old Style" w:hAnsi="Bookman Old Style" w:cs="Arial"/>
          <w:lang w:val="id-ID"/>
        </w:rPr>
      </w:pPr>
      <w:r w:rsidRPr="008379CA">
        <w:rPr>
          <w:rFonts w:ascii="Bookman Old Style" w:hAnsi="Bookman Old Style" w:cs="Arial"/>
          <w:lang w:val="id-ID"/>
        </w:rPr>
        <w:t>Pembangunan</w:t>
      </w:r>
      <w:r w:rsidR="00A954D0" w:rsidRPr="008379CA">
        <w:rPr>
          <w:rFonts w:ascii="Bookman Old Style" w:hAnsi="Bookman Old Style" w:cs="Arial"/>
          <w:lang w:val="id-ID"/>
        </w:rPr>
        <w:t xml:space="preserve"> </w:t>
      </w:r>
      <w:r w:rsidRPr="008379CA">
        <w:rPr>
          <w:rFonts w:ascii="Bookman Old Style" w:hAnsi="Bookman Old Style" w:cs="Arial"/>
          <w:lang w:val="id-ID"/>
        </w:rPr>
        <w:t>Jalan</w:t>
      </w:r>
      <w:r w:rsidR="00A954D0" w:rsidRPr="008379CA">
        <w:rPr>
          <w:rFonts w:ascii="Bookman Old Style" w:hAnsi="Bookman Old Style" w:cs="Arial"/>
          <w:lang w:val="sv-FI"/>
        </w:rPr>
        <w:t xml:space="preserve"> </w:t>
      </w:r>
      <w:r w:rsidRPr="008379CA">
        <w:rPr>
          <w:rFonts w:ascii="Bookman Old Style" w:hAnsi="Bookman Old Style" w:cs="Arial"/>
          <w:lang w:val="id-ID"/>
        </w:rPr>
        <w:t>pada</w:t>
      </w:r>
      <w:r w:rsidR="00A954D0" w:rsidRPr="008379CA">
        <w:rPr>
          <w:rFonts w:ascii="Bookman Old Style" w:hAnsi="Bookman Old Style" w:cs="Arial"/>
          <w:lang w:val="id-ID"/>
        </w:rPr>
        <w:t xml:space="preserve"> </w:t>
      </w:r>
      <w:r w:rsidRPr="008379CA">
        <w:rPr>
          <w:rFonts w:ascii="Bookman Old Style" w:hAnsi="Bookman Old Style" w:cs="Arial"/>
          <w:lang w:val="id-ID"/>
        </w:rPr>
        <w:t>Dinas</w:t>
      </w:r>
      <w:r w:rsidR="00A954D0" w:rsidRPr="008379CA">
        <w:rPr>
          <w:rFonts w:ascii="Bookman Old Style" w:hAnsi="Bookman Old Style" w:cs="Arial"/>
          <w:lang w:val="id-ID"/>
        </w:rPr>
        <w:t xml:space="preserve"> </w:t>
      </w:r>
      <w:r w:rsidRPr="008379CA">
        <w:rPr>
          <w:rFonts w:ascii="Bookman Old Style" w:hAnsi="Bookman Old Style" w:cs="Arial"/>
          <w:lang w:val="id-ID"/>
        </w:rPr>
        <w:t>Pekerjaan</w:t>
      </w:r>
      <w:r w:rsidR="00A954D0" w:rsidRPr="008379CA">
        <w:rPr>
          <w:rFonts w:ascii="Bookman Old Style" w:hAnsi="Bookman Old Style" w:cs="Arial"/>
          <w:lang w:val="id-ID"/>
        </w:rPr>
        <w:t xml:space="preserve"> </w:t>
      </w:r>
      <w:r w:rsidRPr="008379CA">
        <w:rPr>
          <w:rFonts w:ascii="Bookman Old Style" w:hAnsi="Bookman Old Style" w:cs="Arial"/>
          <w:lang w:val="id-ID"/>
        </w:rPr>
        <w:t>Umum</w:t>
      </w:r>
      <w:r w:rsidR="00A954D0" w:rsidRPr="008379CA">
        <w:rPr>
          <w:rFonts w:ascii="Bookman Old Style" w:hAnsi="Bookman Old Style" w:cs="Arial"/>
          <w:lang w:val="id-ID"/>
        </w:rPr>
        <w:t xml:space="preserve"> </w:t>
      </w:r>
      <w:r w:rsidRPr="008379CA">
        <w:rPr>
          <w:rFonts w:ascii="Bookman Old Style" w:hAnsi="Bookman Old Style" w:cs="Arial"/>
          <w:lang w:val="id-ID"/>
        </w:rPr>
        <w:t>dan</w:t>
      </w:r>
      <w:r w:rsidR="00A954D0" w:rsidRPr="008379CA">
        <w:rPr>
          <w:rFonts w:ascii="Bookman Old Style" w:hAnsi="Bookman Old Style" w:cs="Arial"/>
          <w:lang w:val="id-ID"/>
        </w:rPr>
        <w:t xml:space="preserve"> </w:t>
      </w:r>
      <w:r w:rsidRPr="008379CA">
        <w:rPr>
          <w:rFonts w:ascii="Bookman Old Style" w:hAnsi="Bookman Old Style" w:cs="Arial"/>
          <w:lang w:val="id-ID"/>
        </w:rPr>
        <w:t>Penataan</w:t>
      </w:r>
      <w:r w:rsidR="00A954D0" w:rsidRPr="008379CA">
        <w:rPr>
          <w:rFonts w:ascii="Bookman Old Style" w:hAnsi="Bookman Old Style" w:cs="Arial"/>
          <w:lang w:val="id-ID"/>
        </w:rPr>
        <w:t xml:space="preserve"> </w:t>
      </w:r>
      <w:r w:rsidRPr="008379CA">
        <w:rPr>
          <w:rFonts w:ascii="Bookman Old Style" w:hAnsi="Bookman Old Style" w:cs="Arial"/>
          <w:lang w:val="id-ID"/>
        </w:rPr>
        <w:t>Ruang</w:t>
      </w:r>
      <w:r w:rsidR="00A954D0" w:rsidRPr="008379CA">
        <w:rPr>
          <w:rFonts w:ascii="Bookman Old Style" w:hAnsi="Bookman Old Style" w:cs="Arial"/>
          <w:lang w:val="sv-FI"/>
        </w:rPr>
        <w:t xml:space="preserve"> </w:t>
      </w:r>
      <w:r w:rsidRPr="008379CA">
        <w:rPr>
          <w:rFonts w:ascii="Bookman Old Style" w:hAnsi="Bookman Old Style" w:cs="Arial"/>
          <w:lang w:val="id-ID"/>
        </w:rPr>
        <w:t>Rp27</w:t>
      </w:r>
      <w:r w:rsidRPr="008379CA">
        <w:rPr>
          <w:rFonts w:ascii="Bookman Old Style" w:hAnsi="Bookman Old Style" w:cs="Arial"/>
          <w:lang w:val="sv-FI"/>
        </w:rPr>
        <w:t>.</w:t>
      </w:r>
      <w:r w:rsidRPr="008379CA">
        <w:rPr>
          <w:rFonts w:ascii="Bookman Old Style" w:hAnsi="Bookman Old Style" w:cs="Arial"/>
          <w:lang w:val="id-ID"/>
        </w:rPr>
        <w:t>345</w:t>
      </w:r>
      <w:r w:rsidRPr="008379CA">
        <w:rPr>
          <w:rFonts w:ascii="Bookman Old Style" w:hAnsi="Bookman Old Style" w:cs="Arial"/>
          <w:lang w:val="sv-FI"/>
        </w:rPr>
        <w:t>.</w:t>
      </w:r>
      <w:r w:rsidRPr="008379CA">
        <w:rPr>
          <w:rFonts w:ascii="Bookman Old Style" w:hAnsi="Bookman Old Style" w:cs="Arial"/>
          <w:lang w:val="id-ID"/>
        </w:rPr>
        <w:t>834</w:t>
      </w:r>
      <w:r w:rsidRPr="008379CA">
        <w:rPr>
          <w:rFonts w:ascii="Bookman Old Style" w:hAnsi="Bookman Old Style" w:cs="Arial"/>
          <w:lang w:val="sv-FI"/>
        </w:rPr>
        <w:t>.</w:t>
      </w:r>
      <w:r w:rsidRPr="008379CA">
        <w:rPr>
          <w:rFonts w:ascii="Bookman Old Style" w:hAnsi="Bookman Old Style" w:cs="Arial"/>
          <w:lang w:val="id-ID"/>
        </w:rPr>
        <w:t>000,0</w:t>
      </w:r>
      <w:r w:rsidRPr="008379CA">
        <w:rPr>
          <w:rFonts w:ascii="Bookman Old Style" w:hAnsi="Bookman Old Style" w:cs="Arial"/>
          <w:lang w:val="sv-FI"/>
        </w:rPr>
        <w:t>0</w:t>
      </w:r>
      <w:r w:rsidR="00A954D0" w:rsidRPr="008379CA">
        <w:rPr>
          <w:rFonts w:ascii="Bookman Old Style" w:hAnsi="Bookman Old Style" w:cs="Arial"/>
          <w:lang w:val="sv-FI"/>
        </w:rPr>
        <w:t xml:space="preserve"> </w:t>
      </w:r>
      <w:r w:rsidRPr="008379CA">
        <w:rPr>
          <w:rFonts w:ascii="Bookman Old Style" w:hAnsi="Bookman Old Style" w:cs="Arial"/>
          <w:lang w:val="id-ID"/>
        </w:rPr>
        <w:t>atau</w:t>
      </w:r>
      <w:r w:rsidR="00A954D0" w:rsidRPr="008379CA">
        <w:rPr>
          <w:rFonts w:ascii="Bookman Old Style" w:hAnsi="Bookman Old Style" w:cs="Arial"/>
          <w:lang w:val="sv-FI"/>
        </w:rPr>
        <w:t xml:space="preserve"> </w:t>
      </w:r>
      <w:r w:rsidRPr="008379CA">
        <w:rPr>
          <w:rFonts w:ascii="Bookman Old Style" w:hAnsi="Bookman Old Style" w:cs="Arial"/>
          <w:lang w:val="sv-FI"/>
        </w:rPr>
        <w:t>9,02</w:t>
      </w:r>
      <w:r w:rsidRPr="008379CA">
        <w:rPr>
          <w:rFonts w:ascii="Bookman Old Style" w:hAnsi="Bookman Old Style" w:cs="Arial"/>
          <w:lang w:val="id-ID"/>
        </w:rPr>
        <w:t>%</w:t>
      </w:r>
      <w:r w:rsidR="00A954D0" w:rsidRPr="008379CA">
        <w:rPr>
          <w:rFonts w:ascii="Bookman Old Style" w:hAnsi="Bookman Old Style" w:cs="Arial"/>
          <w:lang w:val="id-ID"/>
        </w:rPr>
        <w:t xml:space="preserve"> </w:t>
      </w:r>
      <w:r w:rsidRPr="008379CA">
        <w:rPr>
          <w:rFonts w:ascii="Bookman Old Style" w:hAnsi="Bookman Old Style" w:cs="Arial"/>
          <w:lang w:val="id-ID"/>
        </w:rPr>
        <w:t>dari</w:t>
      </w:r>
      <w:r w:rsidR="00A954D0" w:rsidRPr="008379CA">
        <w:rPr>
          <w:rFonts w:ascii="Bookman Old Style" w:hAnsi="Bookman Old Style" w:cs="Arial"/>
          <w:lang w:val="id-ID"/>
        </w:rPr>
        <w:t xml:space="preserve"> </w:t>
      </w:r>
      <w:r w:rsidRPr="008379CA">
        <w:rPr>
          <w:rFonts w:ascii="Bookman Old Style" w:hAnsi="Bookman Old Style" w:cs="Arial"/>
          <w:lang w:val="id-ID"/>
        </w:rPr>
        <w:t>total</w:t>
      </w:r>
      <w:r w:rsidR="00A954D0" w:rsidRPr="008379CA">
        <w:rPr>
          <w:rFonts w:ascii="Bookman Old Style" w:hAnsi="Bookman Old Style" w:cs="Arial"/>
          <w:lang w:val="id-ID"/>
        </w:rPr>
        <w:t xml:space="preserve"> </w:t>
      </w:r>
      <w:r w:rsidRPr="008379CA">
        <w:rPr>
          <w:rFonts w:ascii="Bookman Old Style" w:hAnsi="Bookman Old Style" w:cs="Arial"/>
          <w:lang w:val="id-ID"/>
        </w:rPr>
        <w:t>alokasi</w:t>
      </w:r>
      <w:r w:rsidR="00A954D0" w:rsidRPr="008379CA">
        <w:rPr>
          <w:rFonts w:ascii="Bookman Old Style" w:hAnsi="Bookman Old Style" w:cs="Arial"/>
          <w:lang w:val="id-ID"/>
        </w:rPr>
        <w:t xml:space="preserve"> </w:t>
      </w:r>
      <w:r w:rsidRPr="008379CA">
        <w:rPr>
          <w:rFonts w:ascii="Bookman Old Style" w:hAnsi="Bookman Old Style" w:cs="Arial"/>
          <w:lang w:val="id-ID"/>
        </w:rPr>
        <w:t>anggaran</w:t>
      </w:r>
      <w:r w:rsidR="00A954D0" w:rsidRPr="008379CA">
        <w:rPr>
          <w:rFonts w:ascii="Bookman Old Style" w:hAnsi="Bookman Old Style" w:cs="Arial"/>
          <w:lang w:val="id-ID"/>
        </w:rPr>
        <w:t xml:space="preserve"> </w:t>
      </w:r>
      <w:r w:rsidRPr="008379CA">
        <w:rPr>
          <w:rFonts w:ascii="Bookman Old Style" w:hAnsi="Bookman Old Style" w:cs="Arial"/>
          <w:lang w:val="id-ID"/>
        </w:rPr>
        <w:t>dalam</w:t>
      </w:r>
      <w:r w:rsidR="00A954D0" w:rsidRPr="008379CA">
        <w:rPr>
          <w:rFonts w:ascii="Bookman Old Style" w:hAnsi="Bookman Old Style" w:cs="Arial"/>
          <w:lang w:val="id-ID"/>
        </w:rPr>
        <w:t xml:space="preserve"> </w:t>
      </w:r>
      <w:r w:rsidRPr="008379CA">
        <w:rPr>
          <w:rFonts w:ascii="Bookman Old Style" w:hAnsi="Bookman Old Style" w:cs="Arial"/>
          <w:lang w:val="id-ID"/>
        </w:rPr>
        <w:t>rangka</w:t>
      </w:r>
      <w:r w:rsidR="00A954D0" w:rsidRPr="008379CA">
        <w:rPr>
          <w:rFonts w:ascii="Bookman Old Style" w:hAnsi="Bookman Old Style" w:cs="Arial"/>
          <w:lang w:val="id-ID"/>
        </w:rPr>
        <w:t xml:space="preserve"> </w:t>
      </w:r>
      <w:r w:rsidRPr="008379CA">
        <w:rPr>
          <w:rFonts w:ascii="Bookman Old Style" w:hAnsi="Bookman Old Style" w:cs="Arial"/>
          <w:lang w:val="id-ID"/>
        </w:rPr>
        <w:t>pengendalian</w:t>
      </w:r>
      <w:r w:rsidR="00A954D0" w:rsidRPr="008379CA">
        <w:rPr>
          <w:rFonts w:ascii="Bookman Old Style" w:hAnsi="Bookman Old Style" w:cs="Arial"/>
          <w:lang w:val="id-ID"/>
        </w:rPr>
        <w:t xml:space="preserve"> </w:t>
      </w:r>
      <w:r w:rsidRPr="008379CA">
        <w:rPr>
          <w:rFonts w:ascii="Bookman Old Style" w:hAnsi="Bookman Old Style" w:cs="Arial"/>
          <w:lang w:val="id-ID"/>
        </w:rPr>
        <w:t>inflasi;</w:t>
      </w:r>
    </w:p>
    <w:p w14:paraId="4ADB6B8A" w14:textId="3959077A" w:rsidR="00C330CC" w:rsidRPr="008379CA" w:rsidRDefault="00C330CC" w:rsidP="00447E9A">
      <w:pPr>
        <w:numPr>
          <w:ilvl w:val="1"/>
          <w:numId w:val="233"/>
        </w:numPr>
        <w:spacing w:before="60" w:line="276" w:lineRule="auto"/>
        <w:ind w:left="1701" w:hanging="425"/>
        <w:jc w:val="both"/>
        <w:rPr>
          <w:rFonts w:ascii="Bookman Old Style" w:hAnsi="Bookman Old Style" w:cs="Arial"/>
          <w:lang w:val="id-ID"/>
        </w:rPr>
      </w:pPr>
      <w:r w:rsidRPr="008379CA">
        <w:rPr>
          <w:rFonts w:ascii="Bookman Old Style" w:hAnsi="Bookman Old Style" w:cs="Arial"/>
          <w:lang w:val="id-ID"/>
        </w:rPr>
        <w:t>Rekonstruksi</w:t>
      </w:r>
      <w:r w:rsidR="00A954D0" w:rsidRPr="008379CA">
        <w:rPr>
          <w:rFonts w:ascii="Bookman Old Style" w:hAnsi="Bookman Old Style" w:cs="Arial"/>
          <w:lang w:val="id-ID"/>
        </w:rPr>
        <w:t xml:space="preserve"> </w:t>
      </w:r>
      <w:r w:rsidRPr="008379CA">
        <w:rPr>
          <w:rFonts w:ascii="Bookman Old Style" w:hAnsi="Bookman Old Style" w:cs="Arial"/>
          <w:lang w:val="id-ID"/>
        </w:rPr>
        <w:t>Jalan</w:t>
      </w:r>
      <w:r w:rsidR="00A954D0" w:rsidRPr="008379CA">
        <w:rPr>
          <w:rFonts w:ascii="Bookman Old Style" w:hAnsi="Bookman Old Style" w:cs="Arial"/>
          <w:lang w:val="sv-FI"/>
        </w:rPr>
        <w:t xml:space="preserve"> </w:t>
      </w:r>
      <w:r w:rsidRPr="008379CA">
        <w:rPr>
          <w:rFonts w:ascii="Bookman Old Style" w:hAnsi="Bookman Old Style" w:cs="Arial"/>
          <w:lang w:val="sv-FI"/>
        </w:rPr>
        <w:t>pada</w:t>
      </w:r>
      <w:r w:rsidR="00A954D0" w:rsidRPr="008379CA">
        <w:rPr>
          <w:rFonts w:ascii="Bookman Old Style" w:hAnsi="Bookman Old Style" w:cs="Arial"/>
          <w:lang w:val="sv-FI"/>
        </w:rPr>
        <w:t xml:space="preserve"> </w:t>
      </w:r>
      <w:r w:rsidRPr="008379CA">
        <w:rPr>
          <w:rFonts w:ascii="Bookman Old Style" w:hAnsi="Bookman Old Style" w:cs="Arial"/>
          <w:lang w:val="sv-FI"/>
        </w:rPr>
        <w:t>Dinas</w:t>
      </w:r>
      <w:r w:rsidR="00A954D0" w:rsidRPr="008379CA">
        <w:rPr>
          <w:rFonts w:ascii="Bookman Old Style" w:hAnsi="Bookman Old Style" w:cs="Arial"/>
          <w:lang w:val="sv-FI"/>
        </w:rPr>
        <w:t xml:space="preserve"> </w:t>
      </w:r>
      <w:r w:rsidRPr="008379CA">
        <w:rPr>
          <w:rFonts w:ascii="Bookman Old Style" w:hAnsi="Bookman Old Style" w:cs="Arial"/>
          <w:lang w:val="sv-FI"/>
        </w:rPr>
        <w:t>Pekerjaan</w:t>
      </w:r>
      <w:r w:rsidR="00A954D0" w:rsidRPr="008379CA">
        <w:rPr>
          <w:rFonts w:ascii="Bookman Old Style" w:hAnsi="Bookman Old Style" w:cs="Arial"/>
          <w:lang w:val="sv-FI"/>
        </w:rPr>
        <w:t xml:space="preserve"> </w:t>
      </w:r>
      <w:r w:rsidRPr="008379CA">
        <w:rPr>
          <w:rFonts w:ascii="Bookman Old Style" w:hAnsi="Bookman Old Style" w:cs="Arial"/>
          <w:lang w:val="sv-FI"/>
        </w:rPr>
        <w:t>Umum</w:t>
      </w:r>
      <w:r w:rsidR="00A954D0" w:rsidRPr="008379CA">
        <w:rPr>
          <w:rFonts w:ascii="Bookman Old Style" w:hAnsi="Bookman Old Style" w:cs="Arial"/>
          <w:lang w:val="sv-FI"/>
        </w:rPr>
        <w:t xml:space="preserve"> </w:t>
      </w:r>
      <w:r w:rsidRPr="008379CA">
        <w:rPr>
          <w:rFonts w:ascii="Bookman Old Style" w:hAnsi="Bookman Old Style" w:cs="Arial"/>
          <w:lang w:val="sv-FI"/>
        </w:rPr>
        <w:t>dan</w:t>
      </w:r>
      <w:r w:rsidR="00A954D0" w:rsidRPr="008379CA">
        <w:rPr>
          <w:rFonts w:ascii="Bookman Old Style" w:hAnsi="Bookman Old Style" w:cs="Arial"/>
          <w:lang w:val="sv-FI"/>
        </w:rPr>
        <w:t xml:space="preserve"> </w:t>
      </w:r>
      <w:r w:rsidRPr="008379CA">
        <w:rPr>
          <w:rFonts w:ascii="Bookman Old Style" w:hAnsi="Bookman Old Style" w:cs="Arial"/>
          <w:lang w:val="sv-FI"/>
        </w:rPr>
        <w:t>Penataan</w:t>
      </w:r>
      <w:r w:rsidR="00A954D0" w:rsidRPr="008379CA">
        <w:rPr>
          <w:rFonts w:ascii="Bookman Old Style" w:hAnsi="Bookman Old Style" w:cs="Arial"/>
          <w:lang w:val="sv-FI"/>
        </w:rPr>
        <w:t xml:space="preserve"> </w:t>
      </w:r>
      <w:r w:rsidRPr="008379CA">
        <w:rPr>
          <w:rFonts w:ascii="Bookman Old Style" w:hAnsi="Bookman Old Style" w:cs="Arial"/>
          <w:lang w:val="sv-FI"/>
        </w:rPr>
        <w:t>Ruang</w:t>
      </w:r>
      <w:r w:rsidR="00A954D0" w:rsidRPr="008379CA">
        <w:rPr>
          <w:rFonts w:ascii="Bookman Old Style" w:hAnsi="Bookman Old Style" w:cs="Arial"/>
          <w:lang w:val="sv-FI"/>
        </w:rPr>
        <w:t xml:space="preserve"> </w:t>
      </w:r>
      <w:r w:rsidRPr="008379CA">
        <w:rPr>
          <w:rFonts w:ascii="Bookman Old Style" w:hAnsi="Bookman Old Style" w:cs="Arial"/>
          <w:lang w:val="id-ID"/>
        </w:rPr>
        <w:t>Rp58</w:t>
      </w:r>
      <w:r w:rsidRPr="008379CA">
        <w:rPr>
          <w:rFonts w:ascii="Bookman Old Style" w:hAnsi="Bookman Old Style" w:cs="Arial"/>
          <w:lang w:val="sv-FI"/>
        </w:rPr>
        <w:t>.</w:t>
      </w:r>
      <w:r w:rsidRPr="008379CA">
        <w:rPr>
          <w:rFonts w:ascii="Bookman Old Style" w:hAnsi="Bookman Old Style" w:cs="Arial"/>
          <w:lang w:val="id-ID"/>
        </w:rPr>
        <w:t>612</w:t>
      </w:r>
      <w:r w:rsidRPr="008379CA">
        <w:rPr>
          <w:rFonts w:ascii="Bookman Old Style" w:hAnsi="Bookman Old Style" w:cs="Arial"/>
          <w:lang w:val="sv-FI"/>
        </w:rPr>
        <w:t>.</w:t>
      </w:r>
      <w:r w:rsidRPr="008379CA">
        <w:rPr>
          <w:rFonts w:ascii="Bookman Old Style" w:hAnsi="Bookman Old Style" w:cs="Arial"/>
          <w:lang w:val="id-ID"/>
        </w:rPr>
        <w:t>583</w:t>
      </w:r>
      <w:r w:rsidRPr="008379CA">
        <w:rPr>
          <w:rFonts w:ascii="Bookman Old Style" w:hAnsi="Bookman Old Style" w:cs="Arial"/>
          <w:lang w:val="sv-FI"/>
        </w:rPr>
        <w:t>.</w:t>
      </w:r>
      <w:r w:rsidRPr="008379CA">
        <w:rPr>
          <w:rFonts w:ascii="Bookman Old Style" w:hAnsi="Bookman Old Style" w:cs="Arial"/>
          <w:lang w:val="id-ID"/>
        </w:rPr>
        <w:t>200</w:t>
      </w:r>
      <w:r w:rsidRPr="008379CA">
        <w:rPr>
          <w:rFonts w:ascii="Bookman Old Style" w:hAnsi="Bookman Old Style" w:cs="Arial"/>
          <w:lang w:val="sv-FI"/>
        </w:rPr>
        <w:t>,</w:t>
      </w:r>
      <w:r w:rsidRPr="008379CA">
        <w:rPr>
          <w:rFonts w:ascii="Bookman Old Style" w:hAnsi="Bookman Old Style" w:cs="Arial"/>
          <w:lang w:val="id-ID"/>
        </w:rPr>
        <w:t>00</w:t>
      </w:r>
      <w:r w:rsidR="00A954D0" w:rsidRPr="008379CA">
        <w:rPr>
          <w:rFonts w:ascii="Bookman Old Style" w:hAnsi="Bookman Old Style" w:cs="Arial"/>
          <w:lang w:val="id-ID"/>
        </w:rPr>
        <w:t xml:space="preserve"> </w:t>
      </w:r>
      <w:r w:rsidRPr="008379CA">
        <w:rPr>
          <w:rFonts w:ascii="Bookman Old Style" w:hAnsi="Bookman Old Style" w:cs="Arial"/>
          <w:lang w:val="id-ID"/>
        </w:rPr>
        <w:t>atau</w:t>
      </w:r>
      <w:r w:rsidR="00A954D0" w:rsidRPr="008379CA">
        <w:rPr>
          <w:rFonts w:ascii="Bookman Old Style" w:hAnsi="Bookman Old Style" w:cs="Arial"/>
          <w:lang w:val="id-ID"/>
        </w:rPr>
        <w:t xml:space="preserve"> </w:t>
      </w:r>
      <w:r w:rsidRPr="008379CA">
        <w:rPr>
          <w:rFonts w:ascii="Bookman Old Style" w:hAnsi="Bookman Old Style" w:cs="Arial"/>
          <w:lang w:val="sv-FI"/>
        </w:rPr>
        <w:t>19,34</w:t>
      </w:r>
      <w:r w:rsidRPr="008379CA">
        <w:rPr>
          <w:rFonts w:ascii="Bookman Old Style" w:hAnsi="Bookman Old Style" w:cs="Arial"/>
          <w:lang w:val="id-ID"/>
        </w:rPr>
        <w:t>%</w:t>
      </w:r>
      <w:r w:rsidR="00A954D0" w:rsidRPr="008379CA">
        <w:rPr>
          <w:rFonts w:ascii="Bookman Old Style" w:hAnsi="Bookman Old Style" w:cs="Arial"/>
          <w:lang w:val="id-ID"/>
        </w:rPr>
        <w:t xml:space="preserve"> </w:t>
      </w:r>
      <w:r w:rsidRPr="008379CA">
        <w:rPr>
          <w:rFonts w:ascii="Bookman Old Style" w:hAnsi="Bookman Old Style" w:cs="Arial"/>
          <w:lang w:val="id-ID"/>
        </w:rPr>
        <w:t>dari</w:t>
      </w:r>
      <w:r w:rsidR="00A954D0" w:rsidRPr="008379CA">
        <w:rPr>
          <w:rFonts w:ascii="Bookman Old Style" w:hAnsi="Bookman Old Style" w:cs="Arial"/>
          <w:lang w:val="id-ID"/>
        </w:rPr>
        <w:t xml:space="preserve"> </w:t>
      </w:r>
      <w:r w:rsidRPr="008379CA">
        <w:rPr>
          <w:rFonts w:ascii="Bookman Old Style" w:hAnsi="Bookman Old Style" w:cs="Arial"/>
          <w:lang w:val="id-ID"/>
        </w:rPr>
        <w:t>total</w:t>
      </w:r>
      <w:r w:rsidR="00A954D0" w:rsidRPr="008379CA">
        <w:rPr>
          <w:rFonts w:ascii="Bookman Old Style" w:hAnsi="Bookman Old Style" w:cs="Arial"/>
          <w:lang w:val="id-ID"/>
        </w:rPr>
        <w:t xml:space="preserve"> </w:t>
      </w:r>
      <w:r w:rsidRPr="008379CA">
        <w:rPr>
          <w:rFonts w:ascii="Bookman Old Style" w:hAnsi="Bookman Old Style" w:cs="Arial"/>
          <w:lang w:val="id-ID"/>
        </w:rPr>
        <w:t>alokasi</w:t>
      </w:r>
      <w:r w:rsidR="00A954D0" w:rsidRPr="008379CA">
        <w:rPr>
          <w:rFonts w:ascii="Bookman Old Style" w:hAnsi="Bookman Old Style" w:cs="Arial"/>
          <w:lang w:val="id-ID"/>
        </w:rPr>
        <w:t xml:space="preserve"> </w:t>
      </w:r>
      <w:r w:rsidRPr="008379CA">
        <w:rPr>
          <w:rFonts w:ascii="Bookman Old Style" w:hAnsi="Bookman Old Style" w:cs="Arial"/>
          <w:lang w:val="id-ID"/>
        </w:rPr>
        <w:t>anggaran</w:t>
      </w:r>
      <w:r w:rsidR="00A954D0" w:rsidRPr="008379CA">
        <w:rPr>
          <w:rFonts w:ascii="Bookman Old Style" w:hAnsi="Bookman Old Style" w:cs="Arial"/>
          <w:lang w:val="id-ID"/>
        </w:rPr>
        <w:t xml:space="preserve"> </w:t>
      </w:r>
      <w:r w:rsidRPr="008379CA">
        <w:rPr>
          <w:rFonts w:ascii="Bookman Old Style" w:hAnsi="Bookman Old Style" w:cs="Arial"/>
          <w:lang w:val="id-ID"/>
        </w:rPr>
        <w:t>dalam</w:t>
      </w:r>
      <w:r w:rsidR="00A954D0" w:rsidRPr="008379CA">
        <w:rPr>
          <w:rFonts w:ascii="Bookman Old Style" w:hAnsi="Bookman Old Style" w:cs="Arial"/>
          <w:lang w:val="id-ID"/>
        </w:rPr>
        <w:t xml:space="preserve"> </w:t>
      </w:r>
      <w:r w:rsidRPr="008379CA">
        <w:rPr>
          <w:rFonts w:ascii="Bookman Old Style" w:hAnsi="Bookman Old Style" w:cs="Arial"/>
          <w:lang w:val="id-ID"/>
        </w:rPr>
        <w:t>rangka</w:t>
      </w:r>
      <w:r w:rsidR="00A954D0" w:rsidRPr="008379CA">
        <w:rPr>
          <w:rFonts w:ascii="Bookman Old Style" w:hAnsi="Bookman Old Style" w:cs="Arial"/>
          <w:lang w:val="id-ID"/>
        </w:rPr>
        <w:t xml:space="preserve"> </w:t>
      </w:r>
      <w:r w:rsidRPr="008379CA">
        <w:rPr>
          <w:rFonts w:ascii="Bookman Old Style" w:hAnsi="Bookman Old Style" w:cs="Arial"/>
          <w:lang w:val="id-ID"/>
        </w:rPr>
        <w:t>pengendalian</w:t>
      </w:r>
      <w:r w:rsidR="00A954D0" w:rsidRPr="008379CA">
        <w:rPr>
          <w:rFonts w:ascii="Bookman Old Style" w:hAnsi="Bookman Old Style" w:cs="Arial"/>
          <w:lang w:val="id-ID"/>
        </w:rPr>
        <w:t xml:space="preserve"> </w:t>
      </w:r>
      <w:r w:rsidRPr="008379CA">
        <w:rPr>
          <w:rFonts w:ascii="Bookman Old Style" w:hAnsi="Bookman Old Style" w:cs="Arial"/>
          <w:lang w:val="id-ID"/>
        </w:rPr>
        <w:t>inflasi;</w:t>
      </w:r>
    </w:p>
    <w:p w14:paraId="5EB95CC8" w14:textId="6E22D86B" w:rsidR="00C330CC" w:rsidRPr="008379CA" w:rsidRDefault="00C330CC" w:rsidP="00447E9A">
      <w:pPr>
        <w:numPr>
          <w:ilvl w:val="1"/>
          <w:numId w:val="233"/>
        </w:numPr>
        <w:spacing w:before="60" w:line="276" w:lineRule="auto"/>
        <w:ind w:left="1701" w:hanging="425"/>
        <w:jc w:val="both"/>
        <w:rPr>
          <w:rFonts w:ascii="Bookman Old Style" w:hAnsi="Bookman Old Style" w:cs="Arial"/>
          <w:lang w:val="id-ID"/>
        </w:rPr>
      </w:pPr>
      <w:r w:rsidRPr="008379CA">
        <w:rPr>
          <w:rFonts w:ascii="Bookman Old Style" w:hAnsi="Bookman Old Style" w:cs="Arial"/>
          <w:lang w:val="id-ID"/>
        </w:rPr>
        <w:t>Pembangunan</w:t>
      </w:r>
      <w:r w:rsidR="00A954D0" w:rsidRPr="008379CA">
        <w:rPr>
          <w:rFonts w:ascii="Bookman Old Style" w:hAnsi="Bookman Old Style" w:cs="Arial"/>
          <w:lang w:val="id-ID"/>
        </w:rPr>
        <w:t xml:space="preserve"> </w:t>
      </w:r>
      <w:r w:rsidRPr="008379CA">
        <w:rPr>
          <w:rFonts w:ascii="Bookman Old Style" w:hAnsi="Bookman Old Style" w:cs="Arial"/>
          <w:lang w:val="id-ID"/>
        </w:rPr>
        <w:t>Jembatan</w:t>
      </w:r>
      <w:r w:rsidR="00A954D0" w:rsidRPr="008379CA">
        <w:rPr>
          <w:rFonts w:ascii="Bookman Old Style" w:hAnsi="Bookman Old Style" w:cs="Arial"/>
          <w:lang w:val="id-ID"/>
        </w:rPr>
        <w:t xml:space="preserve"> </w:t>
      </w:r>
      <w:r w:rsidRPr="008379CA">
        <w:rPr>
          <w:rFonts w:ascii="Bookman Old Style" w:hAnsi="Bookman Old Style" w:cs="Arial"/>
          <w:lang w:val="id-ID"/>
        </w:rPr>
        <w:t>pada</w:t>
      </w:r>
      <w:r w:rsidR="00A954D0" w:rsidRPr="008379CA">
        <w:rPr>
          <w:rFonts w:ascii="Bookman Old Style" w:hAnsi="Bookman Old Style" w:cs="Arial"/>
          <w:lang w:val="id-ID"/>
        </w:rPr>
        <w:t xml:space="preserve"> </w:t>
      </w:r>
      <w:r w:rsidRPr="008379CA">
        <w:rPr>
          <w:rFonts w:ascii="Bookman Old Style" w:hAnsi="Bookman Old Style" w:cs="Arial"/>
          <w:lang w:val="id-ID"/>
        </w:rPr>
        <w:t>Dinas</w:t>
      </w:r>
      <w:r w:rsidR="00A954D0" w:rsidRPr="008379CA">
        <w:rPr>
          <w:rFonts w:ascii="Bookman Old Style" w:hAnsi="Bookman Old Style" w:cs="Arial"/>
          <w:lang w:val="id-ID"/>
        </w:rPr>
        <w:t xml:space="preserve"> </w:t>
      </w:r>
      <w:r w:rsidRPr="008379CA">
        <w:rPr>
          <w:rFonts w:ascii="Bookman Old Style" w:hAnsi="Bookman Old Style" w:cs="Arial"/>
          <w:lang w:val="id-ID"/>
        </w:rPr>
        <w:t>Pekerjaan</w:t>
      </w:r>
      <w:r w:rsidR="00A954D0" w:rsidRPr="008379CA">
        <w:rPr>
          <w:rFonts w:ascii="Bookman Old Style" w:hAnsi="Bookman Old Style" w:cs="Arial"/>
          <w:lang w:val="id-ID"/>
        </w:rPr>
        <w:t xml:space="preserve"> </w:t>
      </w:r>
      <w:r w:rsidRPr="008379CA">
        <w:rPr>
          <w:rFonts w:ascii="Bookman Old Style" w:hAnsi="Bookman Old Style" w:cs="Arial"/>
          <w:lang w:val="id-ID"/>
        </w:rPr>
        <w:t>Umum</w:t>
      </w:r>
      <w:r w:rsidR="00A954D0" w:rsidRPr="008379CA">
        <w:rPr>
          <w:rFonts w:ascii="Bookman Old Style" w:hAnsi="Bookman Old Style" w:cs="Arial"/>
          <w:lang w:val="id-ID"/>
        </w:rPr>
        <w:t xml:space="preserve"> </w:t>
      </w:r>
      <w:r w:rsidRPr="008379CA">
        <w:rPr>
          <w:rFonts w:ascii="Bookman Old Style" w:hAnsi="Bookman Old Style" w:cs="Arial"/>
          <w:lang w:val="id-ID"/>
        </w:rPr>
        <w:t>dan</w:t>
      </w:r>
      <w:r w:rsidR="00A954D0" w:rsidRPr="008379CA">
        <w:rPr>
          <w:rFonts w:ascii="Bookman Old Style" w:hAnsi="Bookman Old Style" w:cs="Arial"/>
          <w:lang w:val="id-ID"/>
        </w:rPr>
        <w:t xml:space="preserve"> </w:t>
      </w:r>
      <w:r w:rsidRPr="008379CA">
        <w:rPr>
          <w:rFonts w:ascii="Bookman Old Style" w:hAnsi="Bookman Old Style" w:cs="Arial"/>
          <w:lang w:val="id-ID"/>
        </w:rPr>
        <w:t>Penataan</w:t>
      </w:r>
      <w:r w:rsidR="00A954D0" w:rsidRPr="008379CA">
        <w:rPr>
          <w:rFonts w:ascii="Bookman Old Style" w:hAnsi="Bookman Old Style" w:cs="Arial"/>
          <w:lang w:val="id-ID"/>
        </w:rPr>
        <w:t xml:space="preserve"> </w:t>
      </w:r>
      <w:r w:rsidRPr="008379CA">
        <w:rPr>
          <w:rFonts w:ascii="Bookman Old Style" w:hAnsi="Bookman Old Style" w:cs="Arial"/>
          <w:lang w:val="id-ID"/>
        </w:rPr>
        <w:t>Ruang</w:t>
      </w:r>
      <w:r w:rsidR="00A954D0" w:rsidRPr="008379CA">
        <w:rPr>
          <w:rFonts w:ascii="Bookman Old Style" w:hAnsi="Bookman Old Style" w:cs="Arial"/>
          <w:lang w:val="id-ID"/>
        </w:rPr>
        <w:t xml:space="preserve"> </w:t>
      </w:r>
      <w:r w:rsidRPr="008379CA">
        <w:rPr>
          <w:rFonts w:ascii="Bookman Old Style" w:hAnsi="Bookman Old Style" w:cs="Arial"/>
          <w:lang w:val="id-ID"/>
        </w:rPr>
        <w:t>R</w:t>
      </w:r>
      <w:r w:rsidRPr="008379CA">
        <w:rPr>
          <w:rFonts w:ascii="Bookman Old Style" w:hAnsi="Bookman Old Style" w:cs="Arial"/>
          <w:lang w:val="sv-FI"/>
        </w:rPr>
        <w:t>p</w:t>
      </w:r>
      <w:r w:rsidRPr="008379CA">
        <w:rPr>
          <w:rFonts w:ascii="Bookman Old Style" w:hAnsi="Bookman Old Style" w:cs="Arial"/>
          <w:lang w:val="id-ID"/>
        </w:rPr>
        <w:t>19</w:t>
      </w:r>
      <w:r w:rsidRPr="008379CA">
        <w:rPr>
          <w:rFonts w:ascii="Bookman Old Style" w:hAnsi="Bookman Old Style" w:cs="Arial"/>
          <w:lang w:val="sv-FI"/>
        </w:rPr>
        <w:t>.</w:t>
      </w:r>
      <w:r w:rsidRPr="008379CA">
        <w:rPr>
          <w:rFonts w:ascii="Bookman Old Style" w:hAnsi="Bookman Old Style" w:cs="Arial"/>
          <w:lang w:val="id-ID"/>
        </w:rPr>
        <w:t>487</w:t>
      </w:r>
      <w:r w:rsidRPr="008379CA">
        <w:rPr>
          <w:rFonts w:ascii="Bookman Old Style" w:hAnsi="Bookman Old Style" w:cs="Arial"/>
          <w:lang w:val="sv-FI"/>
        </w:rPr>
        <w:t>.</w:t>
      </w:r>
      <w:r w:rsidRPr="008379CA">
        <w:rPr>
          <w:rFonts w:ascii="Bookman Old Style" w:hAnsi="Bookman Old Style" w:cs="Arial"/>
          <w:lang w:val="id-ID"/>
        </w:rPr>
        <w:t>486</w:t>
      </w:r>
      <w:r w:rsidRPr="008379CA">
        <w:rPr>
          <w:rFonts w:ascii="Bookman Old Style" w:hAnsi="Bookman Old Style" w:cs="Arial"/>
          <w:lang w:val="sv-FI"/>
        </w:rPr>
        <w:t>.</w:t>
      </w:r>
      <w:r w:rsidRPr="008379CA">
        <w:rPr>
          <w:rFonts w:ascii="Bookman Old Style" w:hAnsi="Bookman Old Style" w:cs="Arial"/>
          <w:lang w:val="id-ID"/>
        </w:rPr>
        <w:t>000,00</w:t>
      </w:r>
      <w:r w:rsidR="00A954D0" w:rsidRPr="008379CA">
        <w:rPr>
          <w:rFonts w:ascii="Bookman Old Style" w:hAnsi="Bookman Old Style" w:cs="Arial"/>
          <w:lang w:val="id-ID"/>
        </w:rPr>
        <w:t xml:space="preserve"> </w:t>
      </w:r>
      <w:r w:rsidRPr="008379CA">
        <w:rPr>
          <w:rFonts w:ascii="Bookman Old Style" w:hAnsi="Bookman Old Style" w:cs="Arial"/>
          <w:lang w:val="id-ID"/>
        </w:rPr>
        <w:t>atau</w:t>
      </w:r>
      <w:r w:rsidR="00A954D0" w:rsidRPr="008379CA">
        <w:rPr>
          <w:rFonts w:ascii="Bookman Old Style" w:hAnsi="Bookman Old Style" w:cs="Arial"/>
          <w:lang w:val="sv-FI"/>
        </w:rPr>
        <w:t xml:space="preserve"> </w:t>
      </w:r>
      <w:r w:rsidRPr="008379CA">
        <w:rPr>
          <w:rFonts w:ascii="Bookman Old Style" w:hAnsi="Bookman Old Style" w:cs="Arial"/>
          <w:lang w:val="sv-FI"/>
        </w:rPr>
        <w:t>6,43</w:t>
      </w:r>
      <w:r w:rsidRPr="008379CA">
        <w:rPr>
          <w:rFonts w:ascii="Bookman Old Style" w:hAnsi="Bookman Old Style" w:cs="Arial"/>
          <w:lang w:val="id-ID"/>
        </w:rPr>
        <w:t>%</w:t>
      </w:r>
      <w:r w:rsidR="00A954D0" w:rsidRPr="008379CA">
        <w:rPr>
          <w:rFonts w:ascii="Bookman Old Style" w:hAnsi="Bookman Old Style" w:cs="Arial"/>
          <w:lang w:val="id-ID"/>
        </w:rPr>
        <w:t xml:space="preserve"> </w:t>
      </w:r>
      <w:r w:rsidRPr="008379CA">
        <w:rPr>
          <w:rFonts w:ascii="Bookman Old Style" w:hAnsi="Bookman Old Style" w:cs="Arial"/>
          <w:lang w:val="id-ID"/>
        </w:rPr>
        <w:t>dari</w:t>
      </w:r>
      <w:r w:rsidR="00A954D0" w:rsidRPr="008379CA">
        <w:rPr>
          <w:rFonts w:ascii="Bookman Old Style" w:hAnsi="Bookman Old Style" w:cs="Arial"/>
          <w:lang w:val="id-ID"/>
        </w:rPr>
        <w:t xml:space="preserve"> </w:t>
      </w:r>
      <w:r w:rsidRPr="008379CA">
        <w:rPr>
          <w:rFonts w:ascii="Bookman Old Style" w:hAnsi="Bookman Old Style" w:cs="Arial"/>
          <w:lang w:val="id-ID"/>
        </w:rPr>
        <w:t>total</w:t>
      </w:r>
      <w:r w:rsidR="00A954D0" w:rsidRPr="008379CA">
        <w:rPr>
          <w:rFonts w:ascii="Bookman Old Style" w:hAnsi="Bookman Old Style" w:cs="Arial"/>
          <w:lang w:val="id-ID"/>
        </w:rPr>
        <w:t xml:space="preserve"> </w:t>
      </w:r>
      <w:r w:rsidRPr="008379CA">
        <w:rPr>
          <w:rFonts w:ascii="Bookman Old Style" w:hAnsi="Bookman Old Style" w:cs="Arial"/>
          <w:lang w:val="id-ID"/>
        </w:rPr>
        <w:t>alokasi</w:t>
      </w:r>
      <w:r w:rsidR="00A954D0" w:rsidRPr="008379CA">
        <w:rPr>
          <w:rFonts w:ascii="Bookman Old Style" w:hAnsi="Bookman Old Style" w:cs="Arial"/>
          <w:lang w:val="id-ID"/>
        </w:rPr>
        <w:t xml:space="preserve"> </w:t>
      </w:r>
      <w:r w:rsidRPr="008379CA">
        <w:rPr>
          <w:rFonts w:ascii="Bookman Old Style" w:hAnsi="Bookman Old Style" w:cs="Arial"/>
          <w:lang w:val="id-ID"/>
        </w:rPr>
        <w:t>anggaran</w:t>
      </w:r>
      <w:r w:rsidR="00A954D0" w:rsidRPr="008379CA">
        <w:rPr>
          <w:rFonts w:ascii="Bookman Old Style" w:hAnsi="Bookman Old Style" w:cs="Arial"/>
          <w:lang w:val="id-ID"/>
        </w:rPr>
        <w:t xml:space="preserve"> </w:t>
      </w:r>
      <w:r w:rsidRPr="008379CA">
        <w:rPr>
          <w:rFonts w:ascii="Bookman Old Style" w:hAnsi="Bookman Old Style" w:cs="Arial"/>
          <w:lang w:val="id-ID"/>
        </w:rPr>
        <w:t>dalam</w:t>
      </w:r>
      <w:r w:rsidR="00A954D0" w:rsidRPr="008379CA">
        <w:rPr>
          <w:rFonts w:ascii="Bookman Old Style" w:hAnsi="Bookman Old Style" w:cs="Arial"/>
          <w:lang w:val="id-ID"/>
        </w:rPr>
        <w:t xml:space="preserve"> </w:t>
      </w:r>
      <w:r w:rsidRPr="008379CA">
        <w:rPr>
          <w:rFonts w:ascii="Bookman Old Style" w:hAnsi="Bookman Old Style" w:cs="Arial"/>
          <w:lang w:val="id-ID"/>
        </w:rPr>
        <w:t>rangka</w:t>
      </w:r>
      <w:r w:rsidR="00A954D0" w:rsidRPr="008379CA">
        <w:rPr>
          <w:rFonts w:ascii="Bookman Old Style" w:hAnsi="Bookman Old Style" w:cs="Arial"/>
          <w:lang w:val="id-ID"/>
        </w:rPr>
        <w:t xml:space="preserve"> </w:t>
      </w:r>
      <w:r w:rsidRPr="008379CA">
        <w:rPr>
          <w:rFonts w:ascii="Bookman Old Style" w:hAnsi="Bookman Old Style" w:cs="Arial"/>
          <w:lang w:val="id-ID"/>
        </w:rPr>
        <w:t>pengendalian</w:t>
      </w:r>
      <w:r w:rsidR="00A954D0" w:rsidRPr="008379CA">
        <w:rPr>
          <w:rFonts w:ascii="Bookman Old Style" w:hAnsi="Bookman Old Style" w:cs="Arial"/>
          <w:lang w:val="id-ID"/>
        </w:rPr>
        <w:t xml:space="preserve"> </w:t>
      </w:r>
      <w:r w:rsidRPr="008379CA">
        <w:rPr>
          <w:rFonts w:ascii="Bookman Old Style" w:hAnsi="Bookman Old Style" w:cs="Arial"/>
          <w:lang w:val="id-ID"/>
        </w:rPr>
        <w:t>inflasi;</w:t>
      </w:r>
    </w:p>
    <w:p w14:paraId="082941B9" w14:textId="4287AC71" w:rsidR="00C330CC" w:rsidRPr="008379CA" w:rsidRDefault="00C330CC" w:rsidP="00447E9A">
      <w:pPr>
        <w:numPr>
          <w:ilvl w:val="1"/>
          <w:numId w:val="233"/>
        </w:numPr>
        <w:spacing w:before="60" w:line="276" w:lineRule="auto"/>
        <w:ind w:left="1701" w:hanging="425"/>
        <w:jc w:val="both"/>
        <w:rPr>
          <w:rFonts w:ascii="Bookman Old Style" w:hAnsi="Bookman Old Style" w:cs="Arial"/>
          <w:lang w:val="id-ID"/>
        </w:rPr>
      </w:pPr>
      <w:r w:rsidRPr="008379CA">
        <w:rPr>
          <w:rFonts w:ascii="Bookman Old Style" w:hAnsi="Bookman Old Style" w:cs="Arial"/>
          <w:lang w:val="id-ID"/>
        </w:rPr>
        <w:t>Rehabilitasi</w:t>
      </w:r>
      <w:r w:rsidR="00A954D0" w:rsidRPr="008379CA">
        <w:rPr>
          <w:rFonts w:ascii="Bookman Old Style" w:hAnsi="Bookman Old Style" w:cs="Arial"/>
          <w:lang w:val="id-ID"/>
        </w:rPr>
        <w:t xml:space="preserve"> </w:t>
      </w:r>
      <w:r w:rsidRPr="008379CA">
        <w:rPr>
          <w:rFonts w:ascii="Bookman Old Style" w:hAnsi="Bookman Old Style" w:cs="Arial"/>
          <w:lang w:val="id-ID"/>
        </w:rPr>
        <w:t>Jalan</w:t>
      </w:r>
      <w:r w:rsidR="00A954D0" w:rsidRPr="008379CA">
        <w:rPr>
          <w:rFonts w:ascii="Bookman Old Style" w:hAnsi="Bookman Old Style" w:cs="Arial"/>
          <w:lang w:val="id-ID"/>
        </w:rPr>
        <w:t xml:space="preserve"> </w:t>
      </w:r>
      <w:r w:rsidRPr="008379CA">
        <w:rPr>
          <w:rFonts w:ascii="Bookman Old Style" w:hAnsi="Bookman Old Style" w:cs="Arial"/>
          <w:lang w:val="sv-FI"/>
        </w:rPr>
        <w:t>pada</w:t>
      </w:r>
      <w:r w:rsidR="00A954D0" w:rsidRPr="008379CA">
        <w:rPr>
          <w:rFonts w:ascii="Bookman Old Style" w:hAnsi="Bookman Old Style" w:cs="Arial"/>
          <w:lang w:val="sv-FI"/>
        </w:rPr>
        <w:t xml:space="preserve"> </w:t>
      </w:r>
      <w:r w:rsidRPr="008379CA">
        <w:rPr>
          <w:rFonts w:ascii="Bookman Old Style" w:hAnsi="Bookman Old Style" w:cs="Arial"/>
          <w:lang w:val="sv-FI"/>
        </w:rPr>
        <w:t>Dinas</w:t>
      </w:r>
      <w:r w:rsidR="00A954D0" w:rsidRPr="008379CA">
        <w:rPr>
          <w:rFonts w:ascii="Bookman Old Style" w:hAnsi="Bookman Old Style" w:cs="Arial"/>
          <w:lang w:val="sv-FI"/>
        </w:rPr>
        <w:t xml:space="preserve"> </w:t>
      </w:r>
      <w:r w:rsidRPr="008379CA">
        <w:rPr>
          <w:rFonts w:ascii="Bookman Old Style" w:hAnsi="Bookman Old Style" w:cs="Arial"/>
          <w:lang w:val="sv-FI"/>
        </w:rPr>
        <w:t>Pekerjaan</w:t>
      </w:r>
      <w:r w:rsidR="00A954D0" w:rsidRPr="008379CA">
        <w:rPr>
          <w:rFonts w:ascii="Bookman Old Style" w:hAnsi="Bookman Old Style" w:cs="Arial"/>
          <w:lang w:val="sv-FI"/>
        </w:rPr>
        <w:t xml:space="preserve"> </w:t>
      </w:r>
      <w:r w:rsidRPr="008379CA">
        <w:rPr>
          <w:rFonts w:ascii="Bookman Old Style" w:hAnsi="Bookman Old Style" w:cs="Arial"/>
          <w:lang w:val="sv-FI"/>
        </w:rPr>
        <w:t>Umum</w:t>
      </w:r>
      <w:r w:rsidR="00A954D0" w:rsidRPr="008379CA">
        <w:rPr>
          <w:rFonts w:ascii="Bookman Old Style" w:hAnsi="Bookman Old Style" w:cs="Arial"/>
          <w:lang w:val="sv-FI"/>
        </w:rPr>
        <w:t xml:space="preserve"> </w:t>
      </w:r>
      <w:r w:rsidRPr="008379CA">
        <w:rPr>
          <w:rFonts w:ascii="Bookman Old Style" w:hAnsi="Bookman Old Style" w:cs="Arial"/>
          <w:lang w:val="sv-FI"/>
        </w:rPr>
        <w:t>dan</w:t>
      </w:r>
      <w:r w:rsidR="00A954D0" w:rsidRPr="008379CA">
        <w:rPr>
          <w:rFonts w:ascii="Bookman Old Style" w:hAnsi="Bookman Old Style" w:cs="Arial"/>
          <w:lang w:val="sv-FI"/>
        </w:rPr>
        <w:t xml:space="preserve"> </w:t>
      </w:r>
      <w:r w:rsidRPr="008379CA">
        <w:rPr>
          <w:rFonts w:ascii="Bookman Old Style" w:hAnsi="Bookman Old Style" w:cs="Arial"/>
          <w:lang w:val="sv-FI"/>
        </w:rPr>
        <w:t>Penataan</w:t>
      </w:r>
      <w:r w:rsidR="00A954D0" w:rsidRPr="008379CA">
        <w:rPr>
          <w:rFonts w:ascii="Bookman Old Style" w:hAnsi="Bookman Old Style" w:cs="Arial"/>
          <w:lang w:val="sv-FI"/>
        </w:rPr>
        <w:t xml:space="preserve"> </w:t>
      </w:r>
      <w:r w:rsidRPr="008379CA">
        <w:rPr>
          <w:rFonts w:ascii="Bookman Old Style" w:hAnsi="Bookman Old Style" w:cs="Arial"/>
          <w:lang w:val="sv-FI"/>
        </w:rPr>
        <w:t>Ruang</w:t>
      </w:r>
      <w:r w:rsidR="00A954D0" w:rsidRPr="008379CA">
        <w:rPr>
          <w:rFonts w:ascii="Bookman Old Style" w:hAnsi="Bookman Old Style" w:cs="Arial"/>
          <w:lang w:val="sv-FI"/>
        </w:rPr>
        <w:t xml:space="preserve"> </w:t>
      </w:r>
      <w:r w:rsidRPr="008379CA">
        <w:rPr>
          <w:rFonts w:ascii="Bookman Old Style" w:hAnsi="Bookman Old Style" w:cs="Arial"/>
          <w:lang w:val="id-ID"/>
        </w:rPr>
        <w:t>Rp35,000</w:t>
      </w:r>
      <w:r w:rsidRPr="008379CA">
        <w:rPr>
          <w:rFonts w:ascii="Bookman Old Style" w:hAnsi="Bookman Old Style" w:cs="Arial"/>
          <w:lang w:val="sv-FI"/>
        </w:rPr>
        <w:t>.</w:t>
      </w:r>
      <w:r w:rsidRPr="008379CA">
        <w:rPr>
          <w:rFonts w:ascii="Bookman Old Style" w:hAnsi="Bookman Old Style" w:cs="Arial"/>
          <w:lang w:val="id-ID"/>
        </w:rPr>
        <w:t>000</w:t>
      </w:r>
      <w:r w:rsidRPr="008379CA">
        <w:rPr>
          <w:rFonts w:ascii="Bookman Old Style" w:hAnsi="Bookman Old Style" w:cs="Arial"/>
          <w:lang w:val="sv-FI"/>
        </w:rPr>
        <w:t>.</w:t>
      </w:r>
      <w:r w:rsidRPr="008379CA">
        <w:rPr>
          <w:rFonts w:ascii="Bookman Old Style" w:hAnsi="Bookman Old Style" w:cs="Arial"/>
          <w:lang w:val="id-ID"/>
        </w:rPr>
        <w:t>000,00</w:t>
      </w:r>
      <w:r w:rsidR="00A954D0" w:rsidRPr="008379CA">
        <w:rPr>
          <w:rFonts w:ascii="Bookman Old Style" w:hAnsi="Bookman Old Style" w:cs="Arial"/>
          <w:lang w:val="sv-FI"/>
        </w:rPr>
        <w:t xml:space="preserve"> </w:t>
      </w:r>
      <w:r w:rsidRPr="008379CA">
        <w:rPr>
          <w:rFonts w:ascii="Bookman Old Style" w:hAnsi="Bookman Old Style" w:cs="Arial"/>
          <w:lang w:val="id-ID"/>
        </w:rPr>
        <w:t>atau</w:t>
      </w:r>
      <w:r w:rsidR="00A954D0" w:rsidRPr="008379CA">
        <w:rPr>
          <w:rFonts w:ascii="Bookman Old Style" w:hAnsi="Bookman Old Style" w:cs="Arial"/>
          <w:lang w:val="id-ID"/>
        </w:rPr>
        <w:t xml:space="preserve"> </w:t>
      </w:r>
      <w:r w:rsidRPr="008379CA">
        <w:rPr>
          <w:rFonts w:ascii="Bookman Old Style" w:hAnsi="Bookman Old Style" w:cs="Arial"/>
          <w:lang w:val="sv-FI"/>
        </w:rPr>
        <w:t>11,55</w:t>
      </w:r>
      <w:r w:rsidRPr="008379CA">
        <w:rPr>
          <w:rFonts w:ascii="Bookman Old Style" w:hAnsi="Bookman Old Style" w:cs="Arial"/>
          <w:lang w:val="id-ID"/>
        </w:rPr>
        <w:t>%</w:t>
      </w:r>
      <w:r w:rsidR="00A954D0" w:rsidRPr="008379CA">
        <w:rPr>
          <w:rFonts w:ascii="Bookman Old Style" w:hAnsi="Bookman Old Style" w:cs="Arial"/>
          <w:lang w:val="id-ID"/>
        </w:rPr>
        <w:t xml:space="preserve"> </w:t>
      </w:r>
      <w:r w:rsidRPr="008379CA">
        <w:rPr>
          <w:rFonts w:ascii="Bookman Old Style" w:hAnsi="Bookman Old Style" w:cs="Arial"/>
          <w:lang w:val="id-ID"/>
        </w:rPr>
        <w:t>dari</w:t>
      </w:r>
      <w:r w:rsidR="00A954D0" w:rsidRPr="008379CA">
        <w:rPr>
          <w:rFonts w:ascii="Bookman Old Style" w:hAnsi="Bookman Old Style" w:cs="Arial"/>
          <w:lang w:val="id-ID"/>
        </w:rPr>
        <w:t xml:space="preserve"> </w:t>
      </w:r>
      <w:r w:rsidRPr="008379CA">
        <w:rPr>
          <w:rFonts w:ascii="Bookman Old Style" w:hAnsi="Bookman Old Style" w:cs="Arial"/>
          <w:lang w:val="id-ID"/>
        </w:rPr>
        <w:t>total</w:t>
      </w:r>
      <w:r w:rsidR="00A954D0" w:rsidRPr="008379CA">
        <w:rPr>
          <w:rFonts w:ascii="Bookman Old Style" w:hAnsi="Bookman Old Style" w:cs="Arial"/>
          <w:lang w:val="id-ID"/>
        </w:rPr>
        <w:t xml:space="preserve"> </w:t>
      </w:r>
      <w:r w:rsidRPr="008379CA">
        <w:rPr>
          <w:rFonts w:ascii="Bookman Old Style" w:hAnsi="Bookman Old Style" w:cs="Arial"/>
          <w:lang w:val="id-ID"/>
        </w:rPr>
        <w:t>alokasi</w:t>
      </w:r>
      <w:r w:rsidR="00A954D0" w:rsidRPr="008379CA">
        <w:rPr>
          <w:rFonts w:ascii="Bookman Old Style" w:hAnsi="Bookman Old Style" w:cs="Arial"/>
          <w:lang w:val="id-ID"/>
        </w:rPr>
        <w:t xml:space="preserve"> </w:t>
      </w:r>
      <w:r w:rsidRPr="008379CA">
        <w:rPr>
          <w:rFonts w:ascii="Bookman Old Style" w:hAnsi="Bookman Old Style" w:cs="Arial"/>
          <w:lang w:val="id-ID"/>
        </w:rPr>
        <w:t>anggaran</w:t>
      </w:r>
      <w:r w:rsidR="00A954D0" w:rsidRPr="008379CA">
        <w:rPr>
          <w:rFonts w:ascii="Bookman Old Style" w:hAnsi="Bookman Old Style" w:cs="Arial"/>
          <w:lang w:val="id-ID"/>
        </w:rPr>
        <w:t xml:space="preserve"> </w:t>
      </w:r>
      <w:r w:rsidRPr="008379CA">
        <w:rPr>
          <w:rFonts w:ascii="Bookman Old Style" w:hAnsi="Bookman Old Style" w:cs="Arial"/>
          <w:lang w:val="id-ID"/>
        </w:rPr>
        <w:t>dalam</w:t>
      </w:r>
      <w:r w:rsidR="00A954D0" w:rsidRPr="008379CA">
        <w:rPr>
          <w:rFonts w:ascii="Bookman Old Style" w:hAnsi="Bookman Old Style" w:cs="Arial"/>
          <w:lang w:val="id-ID"/>
        </w:rPr>
        <w:t xml:space="preserve"> </w:t>
      </w:r>
      <w:r w:rsidRPr="008379CA">
        <w:rPr>
          <w:rFonts w:ascii="Bookman Old Style" w:hAnsi="Bookman Old Style" w:cs="Arial"/>
          <w:lang w:val="id-ID"/>
        </w:rPr>
        <w:t>rangka</w:t>
      </w:r>
      <w:r w:rsidR="00A954D0" w:rsidRPr="008379CA">
        <w:rPr>
          <w:rFonts w:ascii="Bookman Old Style" w:hAnsi="Bookman Old Style" w:cs="Arial"/>
          <w:lang w:val="id-ID"/>
        </w:rPr>
        <w:t xml:space="preserve"> </w:t>
      </w:r>
      <w:r w:rsidRPr="008379CA">
        <w:rPr>
          <w:rFonts w:ascii="Bookman Old Style" w:hAnsi="Bookman Old Style" w:cs="Arial"/>
          <w:lang w:val="id-ID"/>
        </w:rPr>
        <w:t>pengendalian</w:t>
      </w:r>
      <w:r w:rsidR="00A954D0" w:rsidRPr="008379CA">
        <w:rPr>
          <w:rFonts w:ascii="Bookman Old Style" w:hAnsi="Bookman Old Style" w:cs="Arial"/>
          <w:lang w:val="id-ID"/>
        </w:rPr>
        <w:t xml:space="preserve"> </w:t>
      </w:r>
      <w:r w:rsidRPr="008379CA">
        <w:rPr>
          <w:rFonts w:ascii="Bookman Old Style" w:hAnsi="Bookman Old Style" w:cs="Arial"/>
          <w:lang w:val="id-ID"/>
        </w:rPr>
        <w:t>inflasi;</w:t>
      </w:r>
    </w:p>
    <w:p w14:paraId="31CAFA40" w14:textId="59310812" w:rsidR="00C330CC" w:rsidRPr="008379CA" w:rsidRDefault="00C330CC" w:rsidP="00447E9A">
      <w:pPr>
        <w:numPr>
          <w:ilvl w:val="1"/>
          <w:numId w:val="233"/>
        </w:numPr>
        <w:spacing w:before="60" w:line="276" w:lineRule="auto"/>
        <w:ind w:left="1701" w:hanging="425"/>
        <w:jc w:val="both"/>
        <w:rPr>
          <w:rFonts w:ascii="Bookman Old Style" w:hAnsi="Bookman Old Style" w:cs="Arial"/>
          <w:lang w:val="id-ID"/>
        </w:rPr>
      </w:pPr>
      <w:r w:rsidRPr="008379CA">
        <w:rPr>
          <w:rFonts w:ascii="Bookman Old Style" w:hAnsi="Bookman Old Style" w:cs="Arial"/>
          <w:lang w:val="id-ID"/>
        </w:rPr>
        <w:t>Pemeliharaan</w:t>
      </w:r>
      <w:r w:rsidR="00A954D0" w:rsidRPr="008379CA">
        <w:rPr>
          <w:rFonts w:ascii="Bookman Old Style" w:hAnsi="Bookman Old Style" w:cs="Arial"/>
          <w:lang w:val="id-ID"/>
        </w:rPr>
        <w:t xml:space="preserve"> </w:t>
      </w:r>
      <w:r w:rsidRPr="008379CA">
        <w:rPr>
          <w:rFonts w:ascii="Bookman Old Style" w:hAnsi="Bookman Old Style" w:cs="Arial"/>
          <w:lang w:val="id-ID"/>
        </w:rPr>
        <w:t>Rutin</w:t>
      </w:r>
      <w:r w:rsidR="00A954D0" w:rsidRPr="008379CA">
        <w:rPr>
          <w:rFonts w:ascii="Bookman Old Style" w:hAnsi="Bookman Old Style" w:cs="Arial"/>
          <w:lang w:val="id-ID"/>
        </w:rPr>
        <w:t xml:space="preserve"> </w:t>
      </w:r>
      <w:r w:rsidRPr="008379CA">
        <w:rPr>
          <w:rFonts w:ascii="Bookman Old Style" w:hAnsi="Bookman Old Style" w:cs="Arial"/>
          <w:lang w:val="id-ID"/>
        </w:rPr>
        <w:t>Jalan</w:t>
      </w:r>
      <w:r w:rsidR="00A954D0" w:rsidRPr="008379CA">
        <w:rPr>
          <w:rFonts w:ascii="Bookman Old Style" w:hAnsi="Bookman Old Style" w:cs="Arial"/>
          <w:lang w:val="id-ID"/>
        </w:rPr>
        <w:t xml:space="preserve"> </w:t>
      </w:r>
      <w:r w:rsidRPr="008379CA">
        <w:rPr>
          <w:rFonts w:ascii="Bookman Old Style" w:hAnsi="Bookman Old Style" w:cs="Arial"/>
          <w:lang w:val="sv-FI"/>
        </w:rPr>
        <w:t>p</w:t>
      </w:r>
      <w:r w:rsidRPr="008379CA">
        <w:rPr>
          <w:rFonts w:ascii="Bookman Old Style" w:hAnsi="Bookman Old Style" w:cs="Arial"/>
          <w:lang w:val="id-ID"/>
        </w:rPr>
        <w:t>ada</w:t>
      </w:r>
      <w:r w:rsidR="00A954D0" w:rsidRPr="008379CA">
        <w:rPr>
          <w:rFonts w:ascii="Bookman Old Style" w:hAnsi="Bookman Old Style" w:cs="Arial"/>
          <w:lang w:val="id-ID"/>
        </w:rPr>
        <w:t xml:space="preserve"> </w:t>
      </w:r>
      <w:r w:rsidRPr="008379CA">
        <w:rPr>
          <w:rFonts w:ascii="Bookman Old Style" w:hAnsi="Bookman Old Style" w:cs="Arial"/>
          <w:lang w:val="id-ID"/>
        </w:rPr>
        <w:t>Dinas</w:t>
      </w:r>
      <w:r w:rsidR="00A954D0" w:rsidRPr="008379CA">
        <w:rPr>
          <w:rFonts w:ascii="Bookman Old Style" w:hAnsi="Bookman Old Style" w:cs="Arial"/>
          <w:lang w:val="id-ID"/>
        </w:rPr>
        <w:t xml:space="preserve"> </w:t>
      </w:r>
      <w:r w:rsidRPr="008379CA">
        <w:rPr>
          <w:rFonts w:ascii="Bookman Old Style" w:hAnsi="Bookman Old Style" w:cs="Arial"/>
          <w:lang w:val="sv-FI"/>
        </w:rPr>
        <w:t>Pekerjaan</w:t>
      </w:r>
      <w:r w:rsidR="00A954D0" w:rsidRPr="008379CA">
        <w:rPr>
          <w:rFonts w:ascii="Bookman Old Style" w:hAnsi="Bookman Old Style" w:cs="Arial"/>
          <w:lang w:val="sv-FI"/>
        </w:rPr>
        <w:t xml:space="preserve"> </w:t>
      </w:r>
      <w:r w:rsidRPr="008379CA">
        <w:rPr>
          <w:rFonts w:ascii="Bookman Old Style" w:hAnsi="Bookman Old Style" w:cs="Arial"/>
          <w:lang w:val="sv-FI"/>
        </w:rPr>
        <w:t>Umum</w:t>
      </w:r>
      <w:r w:rsidR="00A954D0" w:rsidRPr="008379CA">
        <w:rPr>
          <w:rFonts w:ascii="Bookman Old Style" w:hAnsi="Bookman Old Style" w:cs="Arial"/>
          <w:lang w:val="sv-FI"/>
        </w:rPr>
        <w:t xml:space="preserve"> </w:t>
      </w:r>
      <w:r w:rsidRPr="008379CA">
        <w:rPr>
          <w:rFonts w:ascii="Bookman Old Style" w:hAnsi="Bookman Old Style" w:cs="Arial"/>
          <w:lang w:val="sv-FI"/>
        </w:rPr>
        <w:t>dan</w:t>
      </w:r>
      <w:r w:rsidR="00A954D0" w:rsidRPr="008379CA">
        <w:rPr>
          <w:rFonts w:ascii="Bookman Old Style" w:hAnsi="Bookman Old Style" w:cs="Arial"/>
          <w:lang w:val="sv-FI"/>
        </w:rPr>
        <w:t xml:space="preserve"> </w:t>
      </w:r>
      <w:r w:rsidRPr="008379CA">
        <w:rPr>
          <w:rFonts w:ascii="Bookman Old Style" w:hAnsi="Bookman Old Style" w:cs="Arial"/>
          <w:lang w:val="sv-FI"/>
        </w:rPr>
        <w:t>Penataan</w:t>
      </w:r>
      <w:r w:rsidR="00A954D0" w:rsidRPr="008379CA">
        <w:rPr>
          <w:rFonts w:ascii="Bookman Old Style" w:hAnsi="Bookman Old Style" w:cs="Arial"/>
          <w:lang w:val="sv-FI"/>
        </w:rPr>
        <w:t xml:space="preserve"> </w:t>
      </w:r>
      <w:r w:rsidRPr="008379CA">
        <w:rPr>
          <w:rFonts w:ascii="Bookman Old Style" w:hAnsi="Bookman Old Style" w:cs="Arial"/>
          <w:lang w:val="sv-FI"/>
        </w:rPr>
        <w:t>Ruang</w:t>
      </w:r>
      <w:r w:rsidR="00A954D0" w:rsidRPr="008379CA">
        <w:rPr>
          <w:rFonts w:ascii="Bookman Old Style" w:hAnsi="Bookman Old Style" w:cs="Arial"/>
          <w:lang w:val="sv-FI"/>
        </w:rPr>
        <w:t xml:space="preserve"> </w:t>
      </w:r>
      <w:r w:rsidRPr="008379CA">
        <w:rPr>
          <w:rFonts w:ascii="Bookman Old Style" w:hAnsi="Bookman Old Style" w:cs="Arial"/>
          <w:lang w:val="id-ID"/>
        </w:rPr>
        <w:t>R</w:t>
      </w:r>
      <w:r w:rsidRPr="008379CA">
        <w:rPr>
          <w:rFonts w:ascii="Bookman Old Style" w:hAnsi="Bookman Old Style" w:cs="Arial"/>
          <w:lang w:val="sv-FI"/>
        </w:rPr>
        <w:t>p</w:t>
      </w:r>
      <w:r w:rsidRPr="008379CA">
        <w:rPr>
          <w:rFonts w:ascii="Bookman Old Style" w:hAnsi="Bookman Old Style" w:cs="Arial"/>
          <w:lang w:val="id-ID"/>
        </w:rPr>
        <w:t>49</w:t>
      </w:r>
      <w:r w:rsidRPr="008379CA">
        <w:rPr>
          <w:rFonts w:ascii="Bookman Old Style" w:hAnsi="Bookman Old Style" w:cs="Arial"/>
          <w:lang w:val="sv-FI"/>
        </w:rPr>
        <w:t>.</w:t>
      </w:r>
      <w:r w:rsidRPr="008379CA">
        <w:rPr>
          <w:rFonts w:ascii="Bookman Old Style" w:hAnsi="Bookman Old Style" w:cs="Arial"/>
          <w:lang w:val="id-ID"/>
        </w:rPr>
        <w:t>919</w:t>
      </w:r>
      <w:r w:rsidRPr="008379CA">
        <w:rPr>
          <w:rFonts w:ascii="Bookman Old Style" w:hAnsi="Bookman Old Style" w:cs="Arial"/>
          <w:lang w:val="sv-FI"/>
        </w:rPr>
        <w:t>.</w:t>
      </w:r>
      <w:r w:rsidRPr="008379CA">
        <w:rPr>
          <w:rFonts w:ascii="Bookman Old Style" w:hAnsi="Bookman Old Style" w:cs="Arial"/>
          <w:lang w:val="id-ID"/>
        </w:rPr>
        <w:t>429</w:t>
      </w:r>
      <w:r w:rsidRPr="008379CA">
        <w:rPr>
          <w:rFonts w:ascii="Bookman Old Style" w:hAnsi="Bookman Old Style" w:cs="Arial"/>
          <w:lang w:val="sv-FI"/>
        </w:rPr>
        <w:t>.</w:t>
      </w:r>
      <w:r w:rsidRPr="008379CA">
        <w:rPr>
          <w:rFonts w:ascii="Bookman Old Style" w:hAnsi="Bookman Old Style" w:cs="Arial"/>
          <w:lang w:val="id-ID"/>
        </w:rPr>
        <w:t>448,00</w:t>
      </w:r>
      <w:r w:rsidR="00A954D0" w:rsidRPr="008379CA">
        <w:rPr>
          <w:rFonts w:ascii="Bookman Old Style" w:hAnsi="Bookman Old Style" w:cs="Arial"/>
          <w:lang w:val="id-ID"/>
        </w:rPr>
        <w:t xml:space="preserve"> </w:t>
      </w:r>
      <w:r w:rsidRPr="008379CA">
        <w:rPr>
          <w:rFonts w:ascii="Bookman Old Style" w:hAnsi="Bookman Old Style" w:cs="Arial"/>
          <w:lang w:val="id-ID"/>
        </w:rPr>
        <w:t>atau</w:t>
      </w:r>
      <w:r w:rsidR="00A954D0" w:rsidRPr="008379CA">
        <w:rPr>
          <w:rFonts w:ascii="Bookman Old Style" w:hAnsi="Bookman Old Style" w:cs="Arial"/>
          <w:lang w:val="id-ID"/>
        </w:rPr>
        <w:t xml:space="preserve"> </w:t>
      </w:r>
      <w:r w:rsidRPr="008379CA">
        <w:rPr>
          <w:rFonts w:ascii="Bookman Old Style" w:hAnsi="Bookman Old Style" w:cs="Arial"/>
          <w:lang w:val="sv-FI"/>
        </w:rPr>
        <w:t>16,47</w:t>
      </w:r>
      <w:r w:rsidRPr="008379CA">
        <w:rPr>
          <w:rFonts w:ascii="Bookman Old Style" w:hAnsi="Bookman Old Style" w:cs="Arial"/>
          <w:lang w:val="id-ID"/>
        </w:rPr>
        <w:t>%</w:t>
      </w:r>
      <w:r w:rsidR="00A954D0" w:rsidRPr="008379CA">
        <w:rPr>
          <w:rFonts w:ascii="Bookman Old Style" w:hAnsi="Bookman Old Style" w:cs="Arial"/>
          <w:lang w:val="id-ID"/>
        </w:rPr>
        <w:t xml:space="preserve"> </w:t>
      </w:r>
      <w:r w:rsidRPr="008379CA">
        <w:rPr>
          <w:rFonts w:ascii="Bookman Old Style" w:hAnsi="Bookman Old Style" w:cs="Arial"/>
          <w:lang w:val="id-ID"/>
        </w:rPr>
        <w:t>dari</w:t>
      </w:r>
      <w:r w:rsidR="00A954D0" w:rsidRPr="008379CA">
        <w:rPr>
          <w:rFonts w:ascii="Bookman Old Style" w:hAnsi="Bookman Old Style" w:cs="Arial"/>
          <w:lang w:val="id-ID"/>
        </w:rPr>
        <w:t xml:space="preserve"> </w:t>
      </w:r>
      <w:r w:rsidRPr="008379CA">
        <w:rPr>
          <w:rFonts w:ascii="Bookman Old Style" w:hAnsi="Bookman Old Style" w:cs="Arial"/>
          <w:lang w:val="id-ID"/>
        </w:rPr>
        <w:t>total</w:t>
      </w:r>
      <w:r w:rsidR="00A954D0" w:rsidRPr="008379CA">
        <w:rPr>
          <w:rFonts w:ascii="Bookman Old Style" w:hAnsi="Bookman Old Style" w:cs="Arial"/>
          <w:lang w:val="id-ID"/>
        </w:rPr>
        <w:t xml:space="preserve"> </w:t>
      </w:r>
      <w:r w:rsidRPr="008379CA">
        <w:rPr>
          <w:rFonts w:ascii="Bookman Old Style" w:hAnsi="Bookman Old Style" w:cs="Arial"/>
          <w:lang w:val="id-ID"/>
        </w:rPr>
        <w:t>alokasi</w:t>
      </w:r>
      <w:r w:rsidR="00A954D0" w:rsidRPr="008379CA">
        <w:rPr>
          <w:rFonts w:ascii="Bookman Old Style" w:hAnsi="Bookman Old Style" w:cs="Arial"/>
          <w:lang w:val="id-ID"/>
        </w:rPr>
        <w:t xml:space="preserve"> </w:t>
      </w:r>
      <w:r w:rsidRPr="008379CA">
        <w:rPr>
          <w:rFonts w:ascii="Bookman Old Style" w:hAnsi="Bookman Old Style" w:cs="Arial"/>
          <w:lang w:val="id-ID"/>
        </w:rPr>
        <w:t>anggaran</w:t>
      </w:r>
      <w:r w:rsidR="00A954D0" w:rsidRPr="008379CA">
        <w:rPr>
          <w:rFonts w:ascii="Bookman Old Style" w:hAnsi="Bookman Old Style" w:cs="Arial"/>
          <w:lang w:val="id-ID"/>
        </w:rPr>
        <w:t xml:space="preserve"> </w:t>
      </w:r>
      <w:r w:rsidRPr="008379CA">
        <w:rPr>
          <w:rFonts w:ascii="Bookman Old Style" w:hAnsi="Bookman Old Style" w:cs="Arial"/>
          <w:lang w:val="id-ID"/>
        </w:rPr>
        <w:t>dalam</w:t>
      </w:r>
      <w:r w:rsidR="00A954D0" w:rsidRPr="008379CA">
        <w:rPr>
          <w:rFonts w:ascii="Bookman Old Style" w:hAnsi="Bookman Old Style" w:cs="Arial"/>
          <w:lang w:val="id-ID"/>
        </w:rPr>
        <w:t xml:space="preserve"> </w:t>
      </w:r>
      <w:r w:rsidRPr="008379CA">
        <w:rPr>
          <w:rFonts w:ascii="Bookman Old Style" w:hAnsi="Bookman Old Style" w:cs="Arial"/>
          <w:lang w:val="id-ID"/>
        </w:rPr>
        <w:t>rangka</w:t>
      </w:r>
      <w:r w:rsidR="00A954D0" w:rsidRPr="008379CA">
        <w:rPr>
          <w:rFonts w:ascii="Bookman Old Style" w:hAnsi="Bookman Old Style" w:cs="Arial"/>
          <w:lang w:val="id-ID"/>
        </w:rPr>
        <w:t xml:space="preserve"> </w:t>
      </w:r>
      <w:r w:rsidRPr="008379CA">
        <w:rPr>
          <w:rFonts w:ascii="Bookman Old Style" w:hAnsi="Bookman Old Style" w:cs="Arial"/>
          <w:lang w:val="id-ID"/>
        </w:rPr>
        <w:t>pengendalian</w:t>
      </w:r>
      <w:r w:rsidR="00A954D0" w:rsidRPr="008379CA">
        <w:rPr>
          <w:rFonts w:ascii="Bookman Old Style" w:hAnsi="Bookman Old Style" w:cs="Arial"/>
          <w:lang w:val="id-ID"/>
        </w:rPr>
        <w:t xml:space="preserve"> </w:t>
      </w:r>
      <w:r w:rsidRPr="008379CA">
        <w:rPr>
          <w:rFonts w:ascii="Bookman Old Style" w:hAnsi="Bookman Old Style" w:cs="Arial"/>
          <w:lang w:val="id-ID"/>
        </w:rPr>
        <w:t>inflasi;</w:t>
      </w:r>
    </w:p>
    <w:p w14:paraId="52EF2AE3" w14:textId="0D8B14CF" w:rsidR="00C330CC" w:rsidRPr="008379CA" w:rsidRDefault="00C330CC" w:rsidP="00447E9A">
      <w:pPr>
        <w:numPr>
          <w:ilvl w:val="1"/>
          <w:numId w:val="233"/>
        </w:numPr>
        <w:spacing w:before="60" w:line="276" w:lineRule="auto"/>
        <w:ind w:left="1701" w:hanging="425"/>
        <w:jc w:val="both"/>
        <w:rPr>
          <w:rFonts w:ascii="Bookman Old Style" w:hAnsi="Bookman Old Style" w:cs="Arial"/>
          <w:lang w:val="id-ID"/>
        </w:rPr>
      </w:pPr>
      <w:r w:rsidRPr="008379CA">
        <w:rPr>
          <w:rFonts w:ascii="Bookman Old Style" w:hAnsi="Bookman Old Style" w:cs="Arial"/>
          <w:lang w:val="id-ID"/>
        </w:rPr>
        <w:t>Fasilitasi</w:t>
      </w:r>
      <w:r w:rsidR="00A954D0" w:rsidRPr="008379CA">
        <w:rPr>
          <w:rFonts w:ascii="Bookman Old Style" w:hAnsi="Bookman Old Style" w:cs="Arial"/>
          <w:lang w:val="id-ID"/>
        </w:rPr>
        <w:t xml:space="preserve"> </w:t>
      </w:r>
      <w:r w:rsidRPr="008379CA">
        <w:rPr>
          <w:rFonts w:ascii="Bookman Old Style" w:hAnsi="Bookman Old Style" w:cs="Arial"/>
          <w:lang w:val="id-ID"/>
        </w:rPr>
        <w:t>Bantuan</w:t>
      </w:r>
      <w:r w:rsidR="00A954D0" w:rsidRPr="008379CA">
        <w:rPr>
          <w:rFonts w:ascii="Bookman Old Style" w:hAnsi="Bookman Old Style" w:cs="Arial"/>
          <w:lang w:val="id-ID"/>
        </w:rPr>
        <w:t xml:space="preserve"> </w:t>
      </w:r>
      <w:r w:rsidRPr="008379CA">
        <w:rPr>
          <w:rFonts w:ascii="Bookman Old Style" w:hAnsi="Bookman Old Style" w:cs="Arial"/>
          <w:lang w:val="id-ID"/>
        </w:rPr>
        <w:t>Sosial</w:t>
      </w:r>
      <w:r w:rsidR="00A954D0" w:rsidRPr="008379CA">
        <w:rPr>
          <w:rFonts w:ascii="Bookman Old Style" w:hAnsi="Bookman Old Style" w:cs="Arial"/>
          <w:lang w:val="id-ID"/>
        </w:rPr>
        <w:t xml:space="preserve"> </w:t>
      </w:r>
      <w:r w:rsidRPr="008379CA">
        <w:rPr>
          <w:rFonts w:ascii="Bookman Old Style" w:hAnsi="Bookman Old Style" w:cs="Arial"/>
          <w:lang w:val="id-ID"/>
        </w:rPr>
        <w:t>Kesejahteraan</w:t>
      </w:r>
      <w:r w:rsidR="00A954D0" w:rsidRPr="008379CA">
        <w:rPr>
          <w:rFonts w:ascii="Bookman Old Style" w:hAnsi="Bookman Old Style" w:cs="Arial"/>
          <w:lang w:val="id-ID"/>
        </w:rPr>
        <w:t xml:space="preserve"> </w:t>
      </w:r>
      <w:r w:rsidRPr="008379CA">
        <w:rPr>
          <w:rFonts w:ascii="Bookman Old Style" w:hAnsi="Bookman Old Style" w:cs="Arial"/>
          <w:lang w:val="id-ID"/>
        </w:rPr>
        <w:t>Keluarga</w:t>
      </w:r>
      <w:r w:rsidR="00A954D0" w:rsidRPr="008379CA">
        <w:rPr>
          <w:rFonts w:ascii="Bookman Old Style" w:hAnsi="Bookman Old Style" w:cs="Arial"/>
          <w:lang w:val="id-ID"/>
        </w:rPr>
        <w:t xml:space="preserve"> </w:t>
      </w:r>
      <w:r w:rsidRPr="008379CA">
        <w:rPr>
          <w:rFonts w:ascii="Bookman Old Style" w:hAnsi="Bookman Old Style" w:cs="Arial"/>
          <w:lang w:val="id-ID"/>
        </w:rPr>
        <w:t>pada</w:t>
      </w:r>
      <w:r w:rsidR="00A954D0" w:rsidRPr="008379CA">
        <w:rPr>
          <w:rFonts w:ascii="Bookman Old Style" w:hAnsi="Bookman Old Style" w:cs="Arial"/>
          <w:lang w:val="id-ID"/>
        </w:rPr>
        <w:t xml:space="preserve"> </w:t>
      </w:r>
      <w:r w:rsidRPr="008379CA">
        <w:rPr>
          <w:rFonts w:ascii="Bookman Old Style" w:hAnsi="Bookman Old Style" w:cs="Arial"/>
          <w:lang w:val="id-ID"/>
        </w:rPr>
        <w:t>Dinas</w:t>
      </w:r>
      <w:r w:rsidR="00A954D0" w:rsidRPr="008379CA">
        <w:rPr>
          <w:rFonts w:ascii="Bookman Old Style" w:hAnsi="Bookman Old Style" w:cs="Arial"/>
          <w:lang w:val="id-ID"/>
        </w:rPr>
        <w:t xml:space="preserve"> </w:t>
      </w:r>
      <w:r w:rsidRPr="008379CA">
        <w:rPr>
          <w:rFonts w:ascii="Bookman Old Style" w:hAnsi="Bookman Old Style" w:cs="Arial"/>
          <w:lang w:val="sv-FI"/>
        </w:rPr>
        <w:t>Sosial</w:t>
      </w:r>
      <w:r w:rsidR="00A954D0" w:rsidRPr="008379CA">
        <w:rPr>
          <w:rFonts w:ascii="Bookman Old Style" w:hAnsi="Bookman Old Style" w:cs="Arial"/>
          <w:lang w:val="id-ID"/>
        </w:rPr>
        <w:t xml:space="preserve"> </w:t>
      </w:r>
      <w:r w:rsidRPr="008379CA">
        <w:rPr>
          <w:rFonts w:ascii="Bookman Old Style" w:hAnsi="Bookman Old Style" w:cs="Arial"/>
          <w:lang w:val="id-ID"/>
        </w:rPr>
        <w:t>Rp2</w:t>
      </w:r>
      <w:r w:rsidRPr="008379CA">
        <w:rPr>
          <w:rFonts w:ascii="Bookman Old Style" w:hAnsi="Bookman Old Style" w:cs="Arial"/>
          <w:lang w:val="sv-FI"/>
        </w:rPr>
        <w:t>.</w:t>
      </w:r>
      <w:r w:rsidRPr="008379CA">
        <w:rPr>
          <w:rFonts w:ascii="Bookman Old Style" w:hAnsi="Bookman Old Style" w:cs="Arial"/>
          <w:lang w:val="id-ID"/>
        </w:rPr>
        <w:t>495</w:t>
      </w:r>
      <w:r w:rsidRPr="008379CA">
        <w:rPr>
          <w:rFonts w:ascii="Bookman Old Style" w:hAnsi="Bookman Old Style" w:cs="Arial"/>
          <w:lang w:val="sv-FI"/>
        </w:rPr>
        <w:t>.</w:t>
      </w:r>
      <w:r w:rsidRPr="008379CA">
        <w:rPr>
          <w:rFonts w:ascii="Bookman Old Style" w:hAnsi="Bookman Old Style" w:cs="Arial"/>
          <w:lang w:val="id-ID"/>
        </w:rPr>
        <w:t>100</w:t>
      </w:r>
      <w:r w:rsidRPr="008379CA">
        <w:rPr>
          <w:rFonts w:ascii="Bookman Old Style" w:hAnsi="Bookman Old Style" w:cs="Arial"/>
          <w:lang w:val="sv-FI"/>
        </w:rPr>
        <w:t>.</w:t>
      </w:r>
      <w:r w:rsidRPr="008379CA">
        <w:rPr>
          <w:rFonts w:ascii="Bookman Old Style" w:hAnsi="Bookman Old Style" w:cs="Arial"/>
          <w:lang w:val="id-ID"/>
        </w:rPr>
        <w:t>000,00</w:t>
      </w:r>
      <w:r w:rsidR="00A954D0" w:rsidRPr="008379CA">
        <w:rPr>
          <w:rFonts w:ascii="Bookman Old Style" w:hAnsi="Bookman Old Style" w:cs="Arial"/>
          <w:lang w:val="sv-FI"/>
        </w:rPr>
        <w:t xml:space="preserve"> </w:t>
      </w:r>
      <w:r w:rsidRPr="008379CA">
        <w:rPr>
          <w:rFonts w:ascii="Bookman Old Style" w:hAnsi="Bookman Old Style" w:cs="Arial"/>
          <w:lang w:val="id-ID"/>
        </w:rPr>
        <w:t>atau</w:t>
      </w:r>
      <w:r w:rsidR="00A954D0" w:rsidRPr="008379CA">
        <w:rPr>
          <w:rFonts w:ascii="Bookman Old Style" w:hAnsi="Bookman Old Style" w:cs="Arial"/>
          <w:lang w:val="id-ID"/>
        </w:rPr>
        <w:t xml:space="preserve"> </w:t>
      </w:r>
      <w:r w:rsidRPr="008379CA">
        <w:rPr>
          <w:rFonts w:ascii="Bookman Old Style" w:hAnsi="Bookman Old Style" w:cs="Arial"/>
          <w:lang w:val="sv-FI"/>
        </w:rPr>
        <w:t>0,82</w:t>
      </w:r>
      <w:r w:rsidRPr="008379CA">
        <w:rPr>
          <w:rFonts w:ascii="Bookman Old Style" w:hAnsi="Bookman Old Style" w:cs="Arial"/>
          <w:lang w:val="id-ID"/>
        </w:rPr>
        <w:t>%</w:t>
      </w:r>
      <w:r w:rsidR="00A954D0" w:rsidRPr="008379CA">
        <w:rPr>
          <w:rFonts w:ascii="Bookman Old Style" w:hAnsi="Bookman Old Style" w:cs="Arial"/>
          <w:lang w:val="id-ID"/>
        </w:rPr>
        <w:t xml:space="preserve"> </w:t>
      </w:r>
      <w:r w:rsidRPr="008379CA">
        <w:rPr>
          <w:rFonts w:ascii="Bookman Old Style" w:hAnsi="Bookman Old Style" w:cs="Arial"/>
          <w:lang w:val="id-ID"/>
        </w:rPr>
        <w:t>dari</w:t>
      </w:r>
      <w:r w:rsidR="00A954D0" w:rsidRPr="008379CA">
        <w:rPr>
          <w:rFonts w:ascii="Bookman Old Style" w:hAnsi="Bookman Old Style" w:cs="Arial"/>
          <w:lang w:val="id-ID"/>
        </w:rPr>
        <w:t xml:space="preserve"> </w:t>
      </w:r>
      <w:r w:rsidRPr="008379CA">
        <w:rPr>
          <w:rFonts w:ascii="Bookman Old Style" w:hAnsi="Bookman Old Style" w:cs="Arial"/>
          <w:lang w:val="id-ID"/>
        </w:rPr>
        <w:t>total</w:t>
      </w:r>
      <w:r w:rsidR="00A954D0" w:rsidRPr="008379CA">
        <w:rPr>
          <w:rFonts w:ascii="Bookman Old Style" w:hAnsi="Bookman Old Style" w:cs="Arial"/>
          <w:lang w:val="id-ID"/>
        </w:rPr>
        <w:t xml:space="preserve"> </w:t>
      </w:r>
      <w:r w:rsidRPr="008379CA">
        <w:rPr>
          <w:rFonts w:ascii="Bookman Old Style" w:hAnsi="Bookman Old Style" w:cs="Arial"/>
          <w:lang w:val="id-ID"/>
        </w:rPr>
        <w:t>alokasi</w:t>
      </w:r>
      <w:r w:rsidR="00A954D0" w:rsidRPr="008379CA">
        <w:rPr>
          <w:rFonts w:ascii="Bookman Old Style" w:hAnsi="Bookman Old Style" w:cs="Arial"/>
          <w:lang w:val="id-ID"/>
        </w:rPr>
        <w:t xml:space="preserve"> </w:t>
      </w:r>
      <w:r w:rsidRPr="008379CA">
        <w:rPr>
          <w:rFonts w:ascii="Bookman Old Style" w:hAnsi="Bookman Old Style" w:cs="Arial"/>
          <w:lang w:val="id-ID"/>
        </w:rPr>
        <w:t>anggaran</w:t>
      </w:r>
      <w:r w:rsidR="00A954D0" w:rsidRPr="008379CA">
        <w:rPr>
          <w:rFonts w:ascii="Bookman Old Style" w:hAnsi="Bookman Old Style" w:cs="Arial"/>
          <w:lang w:val="id-ID"/>
        </w:rPr>
        <w:t xml:space="preserve"> </w:t>
      </w:r>
      <w:r w:rsidRPr="008379CA">
        <w:rPr>
          <w:rFonts w:ascii="Bookman Old Style" w:hAnsi="Bookman Old Style" w:cs="Arial"/>
          <w:lang w:val="id-ID"/>
        </w:rPr>
        <w:t>dalam</w:t>
      </w:r>
      <w:r w:rsidR="00A954D0" w:rsidRPr="008379CA">
        <w:rPr>
          <w:rFonts w:ascii="Bookman Old Style" w:hAnsi="Bookman Old Style" w:cs="Arial"/>
          <w:lang w:val="id-ID"/>
        </w:rPr>
        <w:t xml:space="preserve"> </w:t>
      </w:r>
      <w:r w:rsidRPr="008379CA">
        <w:rPr>
          <w:rFonts w:ascii="Bookman Old Style" w:hAnsi="Bookman Old Style" w:cs="Arial"/>
          <w:lang w:val="id-ID"/>
        </w:rPr>
        <w:t>rangka</w:t>
      </w:r>
      <w:r w:rsidR="00A954D0" w:rsidRPr="008379CA">
        <w:rPr>
          <w:rFonts w:ascii="Bookman Old Style" w:hAnsi="Bookman Old Style" w:cs="Arial"/>
          <w:lang w:val="id-ID"/>
        </w:rPr>
        <w:t xml:space="preserve"> </w:t>
      </w:r>
      <w:r w:rsidRPr="008379CA">
        <w:rPr>
          <w:rFonts w:ascii="Bookman Old Style" w:hAnsi="Bookman Old Style" w:cs="Arial"/>
          <w:lang w:val="id-ID"/>
        </w:rPr>
        <w:t>pengendalian</w:t>
      </w:r>
      <w:r w:rsidR="00A954D0" w:rsidRPr="008379CA">
        <w:rPr>
          <w:rFonts w:ascii="Bookman Old Style" w:hAnsi="Bookman Old Style" w:cs="Arial"/>
          <w:lang w:val="id-ID"/>
        </w:rPr>
        <w:t xml:space="preserve"> </w:t>
      </w:r>
      <w:r w:rsidRPr="008379CA">
        <w:rPr>
          <w:rFonts w:ascii="Bookman Old Style" w:hAnsi="Bookman Old Style" w:cs="Arial"/>
          <w:lang w:val="id-ID"/>
        </w:rPr>
        <w:t>inflasi;</w:t>
      </w:r>
    </w:p>
    <w:p w14:paraId="3C4D24CD" w14:textId="6971094B" w:rsidR="00C330CC" w:rsidRPr="008379CA" w:rsidRDefault="00C330CC" w:rsidP="00447E9A">
      <w:pPr>
        <w:numPr>
          <w:ilvl w:val="1"/>
          <w:numId w:val="233"/>
        </w:numPr>
        <w:spacing w:before="60" w:line="276" w:lineRule="auto"/>
        <w:ind w:left="1701" w:hanging="425"/>
        <w:jc w:val="both"/>
        <w:rPr>
          <w:rFonts w:ascii="Bookman Old Style" w:hAnsi="Bookman Old Style" w:cs="Arial"/>
          <w:lang w:val="id-ID"/>
        </w:rPr>
      </w:pPr>
      <w:r w:rsidRPr="008379CA">
        <w:rPr>
          <w:rFonts w:ascii="Bookman Old Style" w:hAnsi="Bookman Old Style" w:cs="Arial"/>
          <w:lang w:val="id-ID"/>
        </w:rPr>
        <w:t>Fasilitasi</w:t>
      </w:r>
      <w:r w:rsidR="00A954D0" w:rsidRPr="008379CA">
        <w:rPr>
          <w:rFonts w:ascii="Bookman Old Style" w:hAnsi="Bookman Old Style" w:cs="Arial"/>
          <w:lang w:val="id-ID"/>
        </w:rPr>
        <w:t xml:space="preserve"> </w:t>
      </w:r>
      <w:r w:rsidRPr="008379CA">
        <w:rPr>
          <w:rFonts w:ascii="Bookman Old Style" w:hAnsi="Bookman Old Style" w:cs="Arial"/>
          <w:lang w:val="id-ID"/>
        </w:rPr>
        <w:t>Bantuan</w:t>
      </w:r>
      <w:r w:rsidR="00A954D0" w:rsidRPr="008379CA">
        <w:rPr>
          <w:rFonts w:ascii="Bookman Old Style" w:hAnsi="Bookman Old Style" w:cs="Arial"/>
          <w:lang w:val="id-ID"/>
        </w:rPr>
        <w:t xml:space="preserve"> </w:t>
      </w:r>
      <w:r w:rsidRPr="008379CA">
        <w:rPr>
          <w:rFonts w:ascii="Bookman Old Style" w:hAnsi="Bookman Old Style" w:cs="Arial"/>
          <w:lang w:val="id-ID"/>
        </w:rPr>
        <w:t>Pengembangan</w:t>
      </w:r>
      <w:r w:rsidR="00A954D0" w:rsidRPr="008379CA">
        <w:rPr>
          <w:rFonts w:ascii="Bookman Old Style" w:hAnsi="Bookman Old Style" w:cs="Arial"/>
          <w:lang w:val="id-ID"/>
        </w:rPr>
        <w:t xml:space="preserve"> </w:t>
      </w:r>
      <w:r w:rsidRPr="008379CA">
        <w:rPr>
          <w:rFonts w:ascii="Bookman Old Style" w:hAnsi="Bookman Old Style" w:cs="Arial"/>
          <w:lang w:val="id-ID"/>
        </w:rPr>
        <w:t>Ekonomi</w:t>
      </w:r>
      <w:r w:rsidR="00A954D0" w:rsidRPr="008379CA">
        <w:rPr>
          <w:rFonts w:ascii="Bookman Old Style" w:hAnsi="Bookman Old Style" w:cs="Arial"/>
          <w:lang w:val="id-ID"/>
        </w:rPr>
        <w:t xml:space="preserve"> </w:t>
      </w:r>
      <w:r w:rsidRPr="008379CA">
        <w:rPr>
          <w:rFonts w:ascii="Bookman Old Style" w:hAnsi="Bookman Old Style" w:cs="Arial"/>
          <w:lang w:val="id-ID"/>
        </w:rPr>
        <w:t>Masyarakat</w:t>
      </w:r>
      <w:r w:rsidR="00A954D0" w:rsidRPr="008379CA">
        <w:rPr>
          <w:rFonts w:ascii="Bookman Old Style" w:hAnsi="Bookman Old Style" w:cs="Arial"/>
          <w:lang w:val="id-ID"/>
        </w:rPr>
        <w:t xml:space="preserve"> </w:t>
      </w:r>
      <w:r w:rsidRPr="008379CA">
        <w:rPr>
          <w:rFonts w:ascii="Bookman Old Style" w:hAnsi="Bookman Old Style" w:cs="Arial"/>
          <w:lang w:val="id-ID"/>
        </w:rPr>
        <w:t>pada</w:t>
      </w:r>
      <w:r w:rsidR="00A954D0" w:rsidRPr="008379CA">
        <w:rPr>
          <w:rFonts w:ascii="Bookman Old Style" w:hAnsi="Bookman Old Style" w:cs="Arial"/>
          <w:lang w:val="id-ID"/>
        </w:rPr>
        <w:t xml:space="preserve"> </w:t>
      </w:r>
      <w:r w:rsidRPr="008379CA">
        <w:rPr>
          <w:rFonts w:ascii="Bookman Old Style" w:hAnsi="Bookman Old Style" w:cs="Arial"/>
          <w:lang w:val="id-ID"/>
        </w:rPr>
        <w:t>Dinas</w:t>
      </w:r>
      <w:r w:rsidR="00A954D0" w:rsidRPr="008379CA">
        <w:rPr>
          <w:rFonts w:ascii="Bookman Old Style" w:hAnsi="Bookman Old Style" w:cs="Arial"/>
          <w:lang w:val="id-ID"/>
        </w:rPr>
        <w:t xml:space="preserve"> </w:t>
      </w:r>
      <w:r w:rsidRPr="008379CA">
        <w:rPr>
          <w:rFonts w:ascii="Bookman Old Style" w:hAnsi="Bookman Old Style" w:cs="Arial"/>
          <w:lang w:val="sv-FI"/>
        </w:rPr>
        <w:t>Sosial</w:t>
      </w:r>
      <w:r w:rsidR="00A954D0" w:rsidRPr="008379CA">
        <w:rPr>
          <w:rFonts w:ascii="Bookman Old Style" w:hAnsi="Bookman Old Style" w:cs="Arial"/>
          <w:lang w:val="sv-FI"/>
        </w:rPr>
        <w:t xml:space="preserve"> </w:t>
      </w:r>
      <w:r w:rsidRPr="008379CA">
        <w:rPr>
          <w:rFonts w:ascii="Bookman Old Style" w:hAnsi="Bookman Old Style" w:cs="Arial"/>
          <w:lang w:val="id-ID"/>
        </w:rPr>
        <w:t>Rp10</w:t>
      </w:r>
      <w:r w:rsidRPr="008379CA">
        <w:rPr>
          <w:rFonts w:ascii="Bookman Old Style" w:hAnsi="Bookman Old Style" w:cs="Arial"/>
          <w:lang w:val="sv-FI"/>
        </w:rPr>
        <w:t>.</w:t>
      </w:r>
      <w:r w:rsidRPr="008379CA">
        <w:rPr>
          <w:rFonts w:ascii="Bookman Old Style" w:hAnsi="Bookman Old Style" w:cs="Arial"/>
          <w:lang w:val="id-ID"/>
        </w:rPr>
        <w:t>115</w:t>
      </w:r>
      <w:r w:rsidRPr="008379CA">
        <w:rPr>
          <w:rFonts w:ascii="Bookman Old Style" w:hAnsi="Bookman Old Style" w:cs="Arial"/>
          <w:lang w:val="sv-FI"/>
        </w:rPr>
        <w:t>.</w:t>
      </w:r>
      <w:r w:rsidRPr="008379CA">
        <w:rPr>
          <w:rFonts w:ascii="Bookman Old Style" w:hAnsi="Bookman Old Style" w:cs="Arial"/>
          <w:lang w:val="id-ID"/>
        </w:rPr>
        <w:t>213</w:t>
      </w:r>
      <w:r w:rsidRPr="008379CA">
        <w:rPr>
          <w:rFonts w:ascii="Bookman Old Style" w:hAnsi="Bookman Old Style" w:cs="Arial"/>
          <w:lang w:val="sv-FI"/>
        </w:rPr>
        <w:t>.</w:t>
      </w:r>
      <w:r w:rsidRPr="008379CA">
        <w:rPr>
          <w:rFonts w:ascii="Bookman Old Style" w:hAnsi="Bookman Old Style" w:cs="Arial"/>
          <w:lang w:val="id-ID"/>
        </w:rPr>
        <w:t>100,00</w:t>
      </w:r>
      <w:r w:rsidR="00A954D0" w:rsidRPr="008379CA">
        <w:rPr>
          <w:rFonts w:ascii="Bookman Old Style" w:hAnsi="Bookman Old Style" w:cs="Arial"/>
          <w:lang w:val="sv-FI"/>
        </w:rPr>
        <w:t xml:space="preserve"> </w:t>
      </w:r>
      <w:r w:rsidRPr="008379CA">
        <w:rPr>
          <w:rFonts w:ascii="Bookman Old Style" w:hAnsi="Bookman Old Style" w:cs="Arial"/>
          <w:lang w:val="id-ID"/>
        </w:rPr>
        <w:t>atau</w:t>
      </w:r>
      <w:r w:rsidR="00A954D0" w:rsidRPr="008379CA">
        <w:rPr>
          <w:rFonts w:ascii="Bookman Old Style" w:hAnsi="Bookman Old Style" w:cs="Arial"/>
          <w:lang w:val="id-ID"/>
        </w:rPr>
        <w:t xml:space="preserve"> </w:t>
      </w:r>
      <w:r w:rsidRPr="008379CA">
        <w:rPr>
          <w:rFonts w:ascii="Bookman Old Style" w:hAnsi="Bookman Old Style" w:cs="Arial"/>
          <w:lang w:val="sv-FI"/>
        </w:rPr>
        <w:t>3,34</w:t>
      </w:r>
      <w:r w:rsidRPr="008379CA">
        <w:rPr>
          <w:rFonts w:ascii="Bookman Old Style" w:hAnsi="Bookman Old Style" w:cs="Arial"/>
          <w:lang w:val="id-ID"/>
        </w:rPr>
        <w:t>%</w:t>
      </w:r>
      <w:r w:rsidR="00A954D0" w:rsidRPr="008379CA">
        <w:rPr>
          <w:rFonts w:ascii="Bookman Old Style" w:hAnsi="Bookman Old Style" w:cs="Arial"/>
          <w:lang w:val="id-ID"/>
        </w:rPr>
        <w:t xml:space="preserve"> </w:t>
      </w:r>
      <w:r w:rsidRPr="008379CA">
        <w:rPr>
          <w:rFonts w:ascii="Bookman Old Style" w:hAnsi="Bookman Old Style" w:cs="Arial"/>
          <w:lang w:val="id-ID"/>
        </w:rPr>
        <w:t>dari</w:t>
      </w:r>
      <w:r w:rsidR="00A954D0" w:rsidRPr="008379CA">
        <w:rPr>
          <w:rFonts w:ascii="Bookman Old Style" w:hAnsi="Bookman Old Style" w:cs="Arial"/>
          <w:lang w:val="id-ID"/>
        </w:rPr>
        <w:t xml:space="preserve"> </w:t>
      </w:r>
      <w:r w:rsidRPr="008379CA">
        <w:rPr>
          <w:rFonts w:ascii="Bookman Old Style" w:hAnsi="Bookman Old Style" w:cs="Arial"/>
          <w:lang w:val="id-ID"/>
        </w:rPr>
        <w:t>total</w:t>
      </w:r>
      <w:r w:rsidR="00A954D0" w:rsidRPr="008379CA">
        <w:rPr>
          <w:rFonts w:ascii="Bookman Old Style" w:hAnsi="Bookman Old Style" w:cs="Arial"/>
          <w:lang w:val="id-ID"/>
        </w:rPr>
        <w:t xml:space="preserve"> </w:t>
      </w:r>
      <w:r w:rsidRPr="008379CA">
        <w:rPr>
          <w:rFonts w:ascii="Bookman Old Style" w:hAnsi="Bookman Old Style" w:cs="Arial"/>
          <w:lang w:val="id-ID"/>
        </w:rPr>
        <w:t>alokasi</w:t>
      </w:r>
      <w:r w:rsidR="00A954D0" w:rsidRPr="008379CA">
        <w:rPr>
          <w:rFonts w:ascii="Bookman Old Style" w:hAnsi="Bookman Old Style" w:cs="Arial"/>
          <w:lang w:val="id-ID"/>
        </w:rPr>
        <w:t xml:space="preserve"> </w:t>
      </w:r>
      <w:r w:rsidRPr="008379CA">
        <w:rPr>
          <w:rFonts w:ascii="Bookman Old Style" w:hAnsi="Bookman Old Style" w:cs="Arial"/>
          <w:lang w:val="id-ID"/>
        </w:rPr>
        <w:t>anggaran</w:t>
      </w:r>
      <w:r w:rsidR="00A954D0" w:rsidRPr="008379CA">
        <w:rPr>
          <w:rFonts w:ascii="Bookman Old Style" w:hAnsi="Bookman Old Style" w:cs="Arial"/>
          <w:lang w:val="id-ID"/>
        </w:rPr>
        <w:t xml:space="preserve"> </w:t>
      </w:r>
      <w:r w:rsidRPr="008379CA">
        <w:rPr>
          <w:rFonts w:ascii="Bookman Old Style" w:hAnsi="Bookman Old Style" w:cs="Arial"/>
          <w:lang w:val="id-ID"/>
        </w:rPr>
        <w:t>dalam</w:t>
      </w:r>
      <w:r w:rsidR="00A954D0" w:rsidRPr="008379CA">
        <w:rPr>
          <w:rFonts w:ascii="Bookman Old Style" w:hAnsi="Bookman Old Style" w:cs="Arial"/>
          <w:lang w:val="id-ID"/>
        </w:rPr>
        <w:t xml:space="preserve"> </w:t>
      </w:r>
      <w:r w:rsidRPr="008379CA">
        <w:rPr>
          <w:rFonts w:ascii="Bookman Old Style" w:hAnsi="Bookman Old Style" w:cs="Arial"/>
          <w:lang w:val="id-ID"/>
        </w:rPr>
        <w:t>rangka</w:t>
      </w:r>
      <w:r w:rsidR="00A954D0" w:rsidRPr="008379CA">
        <w:rPr>
          <w:rFonts w:ascii="Bookman Old Style" w:hAnsi="Bookman Old Style" w:cs="Arial"/>
          <w:lang w:val="id-ID"/>
        </w:rPr>
        <w:t xml:space="preserve"> </w:t>
      </w:r>
      <w:r w:rsidRPr="008379CA">
        <w:rPr>
          <w:rFonts w:ascii="Bookman Old Style" w:hAnsi="Bookman Old Style" w:cs="Arial"/>
          <w:lang w:val="id-ID"/>
        </w:rPr>
        <w:t>pengendalian</w:t>
      </w:r>
      <w:r w:rsidR="00A954D0" w:rsidRPr="008379CA">
        <w:rPr>
          <w:rFonts w:ascii="Bookman Old Style" w:hAnsi="Bookman Old Style" w:cs="Arial"/>
          <w:lang w:val="id-ID"/>
        </w:rPr>
        <w:t xml:space="preserve"> </w:t>
      </w:r>
      <w:r w:rsidRPr="008379CA">
        <w:rPr>
          <w:rFonts w:ascii="Bookman Old Style" w:hAnsi="Bookman Old Style" w:cs="Arial"/>
          <w:lang w:val="id-ID"/>
        </w:rPr>
        <w:t>inflasi;</w:t>
      </w:r>
    </w:p>
    <w:p w14:paraId="76899A3F" w14:textId="0594F95C" w:rsidR="00C330CC" w:rsidRPr="008379CA" w:rsidRDefault="00C330CC" w:rsidP="00447E9A">
      <w:pPr>
        <w:numPr>
          <w:ilvl w:val="1"/>
          <w:numId w:val="233"/>
        </w:numPr>
        <w:spacing w:before="60" w:line="276" w:lineRule="auto"/>
        <w:ind w:left="1701" w:hanging="425"/>
        <w:jc w:val="both"/>
        <w:rPr>
          <w:rFonts w:ascii="Bookman Old Style" w:hAnsi="Bookman Old Style" w:cs="Arial"/>
          <w:lang w:val="id-ID"/>
        </w:rPr>
      </w:pPr>
      <w:r w:rsidRPr="008379CA">
        <w:rPr>
          <w:rFonts w:ascii="Bookman Old Style" w:hAnsi="Bookman Old Style" w:cs="Arial"/>
          <w:lang w:val="id-ID"/>
        </w:rPr>
        <w:t>Penyediaan</w:t>
      </w:r>
      <w:r w:rsidR="00A954D0" w:rsidRPr="008379CA">
        <w:rPr>
          <w:rFonts w:ascii="Bookman Old Style" w:hAnsi="Bookman Old Style" w:cs="Arial"/>
          <w:lang w:val="id-ID"/>
        </w:rPr>
        <w:t xml:space="preserve"> </w:t>
      </w:r>
      <w:r w:rsidRPr="008379CA">
        <w:rPr>
          <w:rFonts w:ascii="Bookman Old Style" w:hAnsi="Bookman Old Style" w:cs="Arial"/>
          <w:lang w:val="id-ID"/>
        </w:rPr>
        <w:t>Infrastruktur</w:t>
      </w:r>
      <w:r w:rsidR="00A954D0" w:rsidRPr="008379CA">
        <w:rPr>
          <w:rFonts w:ascii="Bookman Old Style" w:hAnsi="Bookman Old Style" w:cs="Arial"/>
          <w:lang w:val="id-ID"/>
        </w:rPr>
        <w:t xml:space="preserve"> </w:t>
      </w:r>
      <w:r w:rsidRPr="008379CA">
        <w:rPr>
          <w:rFonts w:ascii="Bookman Old Style" w:hAnsi="Bookman Old Style" w:cs="Arial"/>
          <w:lang w:val="id-ID"/>
        </w:rPr>
        <w:t>Pendukung</w:t>
      </w:r>
      <w:r w:rsidR="00A954D0" w:rsidRPr="008379CA">
        <w:rPr>
          <w:rFonts w:ascii="Bookman Old Style" w:hAnsi="Bookman Old Style" w:cs="Arial"/>
          <w:lang w:val="id-ID"/>
        </w:rPr>
        <w:t xml:space="preserve"> </w:t>
      </w:r>
      <w:r w:rsidRPr="008379CA">
        <w:rPr>
          <w:rFonts w:ascii="Bookman Old Style" w:hAnsi="Bookman Old Style" w:cs="Arial"/>
          <w:lang w:val="id-ID"/>
        </w:rPr>
        <w:t>Kemandirian</w:t>
      </w:r>
      <w:r w:rsidR="00A954D0" w:rsidRPr="008379CA">
        <w:rPr>
          <w:rFonts w:ascii="Bookman Old Style" w:hAnsi="Bookman Old Style" w:cs="Arial"/>
          <w:lang w:val="id-ID"/>
        </w:rPr>
        <w:t xml:space="preserve"> </w:t>
      </w:r>
      <w:r w:rsidRPr="008379CA">
        <w:rPr>
          <w:rFonts w:ascii="Bookman Old Style" w:hAnsi="Bookman Old Style" w:cs="Arial"/>
          <w:lang w:val="id-ID"/>
        </w:rPr>
        <w:t>Pangan</w:t>
      </w:r>
      <w:r w:rsidR="00A954D0" w:rsidRPr="008379CA">
        <w:rPr>
          <w:rFonts w:ascii="Bookman Old Style" w:hAnsi="Bookman Old Style" w:cs="Arial"/>
          <w:lang w:val="id-ID"/>
        </w:rPr>
        <w:t xml:space="preserve"> </w:t>
      </w:r>
      <w:r w:rsidRPr="008379CA">
        <w:rPr>
          <w:rFonts w:ascii="Bookman Old Style" w:hAnsi="Bookman Old Style" w:cs="Arial"/>
          <w:lang w:val="id-ID"/>
        </w:rPr>
        <w:t>Lainnya</w:t>
      </w:r>
      <w:r w:rsidR="00A954D0" w:rsidRPr="008379CA">
        <w:rPr>
          <w:rFonts w:ascii="Bookman Old Style" w:hAnsi="Bookman Old Style" w:cs="Arial"/>
          <w:lang w:val="sv-FI"/>
        </w:rPr>
        <w:t xml:space="preserve"> </w:t>
      </w:r>
      <w:r w:rsidRPr="008379CA">
        <w:rPr>
          <w:rFonts w:ascii="Bookman Old Style" w:hAnsi="Bookman Old Style" w:cs="Arial"/>
          <w:lang w:val="sv-FI"/>
        </w:rPr>
        <w:t>pada</w:t>
      </w:r>
      <w:r w:rsidR="00A954D0" w:rsidRPr="008379CA">
        <w:rPr>
          <w:rFonts w:ascii="Bookman Old Style" w:hAnsi="Bookman Old Style" w:cs="Arial"/>
          <w:lang w:val="sv-FI"/>
        </w:rPr>
        <w:t xml:space="preserve"> </w:t>
      </w:r>
      <w:r w:rsidRPr="008379CA">
        <w:rPr>
          <w:rFonts w:ascii="Bookman Old Style" w:hAnsi="Bookman Old Style" w:cs="Arial"/>
          <w:lang w:val="sv-FI"/>
        </w:rPr>
        <w:t>Dinas</w:t>
      </w:r>
      <w:r w:rsidR="00A954D0" w:rsidRPr="008379CA">
        <w:rPr>
          <w:rFonts w:ascii="Bookman Old Style" w:hAnsi="Bookman Old Style" w:cs="Arial"/>
          <w:lang w:val="sv-FI"/>
        </w:rPr>
        <w:t xml:space="preserve"> </w:t>
      </w:r>
      <w:r w:rsidRPr="008379CA">
        <w:rPr>
          <w:rFonts w:ascii="Bookman Old Style" w:hAnsi="Bookman Old Style" w:cs="Arial"/>
          <w:lang w:val="sv-FI"/>
        </w:rPr>
        <w:t>Ketahanan</w:t>
      </w:r>
      <w:r w:rsidR="00A954D0" w:rsidRPr="008379CA">
        <w:rPr>
          <w:rFonts w:ascii="Bookman Old Style" w:hAnsi="Bookman Old Style" w:cs="Arial"/>
          <w:lang w:val="sv-FI"/>
        </w:rPr>
        <w:t xml:space="preserve"> </w:t>
      </w:r>
      <w:r w:rsidRPr="008379CA">
        <w:rPr>
          <w:rFonts w:ascii="Bookman Old Style" w:hAnsi="Bookman Old Style" w:cs="Arial"/>
          <w:lang w:val="sv-FI"/>
        </w:rPr>
        <w:t>Pangan</w:t>
      </w:r>
      <w:r w:rsidR="00A954D0" w:rsidRPr="008379CA">
        <w:rPr>
          <w:rFonts w:ascii="Bookman Old Style" w:hAnsi="Bookman Old Style" w:cs="Arial"/>
          <w:lang w:val="sv-FI"/>
        </w:rPr>
        <w:t xml:space="preserve"> </w:t>
      </w:r>
      <w:r w:rsidRPr="008379CA">
        <w:rPr>
          <w:rFonts w:ascii="Bookman Old Style" w:hAnsi="Bookman Old Style" w:cs="Arial"/>
          <w:lang w:val="id-ID"/>
        </w:rPr>
        <w:t>R</w:t>
      </w:r>
      <w:r w:rsidRPr="008379CA">
        <w:rPr>
          <w:rFonts w:ascii="Bookman Old Style" w:hAnsi="Bookman Old Style" w:cs="Arial"/>
          <w:lang w:val="sv-FI"/>
        </w:rPr>
        <w:t>p</w:t>
      </w:r>
      <w:r w:rsidRPr="008379CA">
        <w:rPr>
          <w:rFonts w:ascii="Bookman Old Style" w:hAnsi="Bookman Old Style" w:cs="Arial"/>
          <w:lang w:val="id-ID"/>
        </w:rPr>
        <w:t>426</w:t>
      </w:r>
      <w:r w:rsidRPr="008379CA">
        <w:rPr>
          <w:rFonts w:ascii="Bookman Old Style" w:hAnsi="Bookman Old Style" w:cs="Arial"/>
          <w:lang w:val="sv-FI"/>
        </w:rPr>
        <w:t>.</w:t>
      </w:r>
      <w:r w:rsidRPr="008379CA">
        <w:rPr>
          <w:rFonts w:ascii="Bookman Old Style" w:hAnsi="Bookman Old Style" w:cs="Arial"/>
          <w:lang w:val="id-ID"/>
        </w:rPr>
        <w:t>500</w:t>
      </w:r>
      <w:r w:rsidRPr="008379CA">
        <w:rPr>
          <w:rFonts w:ascii="Bookman Old Style" w:hAnsi="Bookman Old Style" w:cs="Arial"/>
          <w:lang w:val="sv-FI"/>
        </w:rPr>
        <w:t>.</w:t>
      </w:r>
      <w:r w:rsidRPr="008379CA">
        <w:rPr>
          <w:rFonts w:ascii="Bookman Old Style" w:hAnsi="Bookman Old Style" w:cs="Arial"/>
          <w:lang w:val="id-ID"/>
        </w:rPr>
        <w:t>000</w:t>
      </w:r>
      <w:r w:rsidRPr="008379CA">
        <w:rPr>
          <w:rFonts w:ascii="Bookman Old Style" w:hAnsi="Bookman Old Style" w:cs="Arial"/>
          <w:lang w:val="sv-FI"/>
        </w:rPr>
        <w:t>,</w:t>
      </w:r>
      <w:r w:rsidRPr="008379CA">
        <w:rPr>
          <w:rFonts w:ascii="Bookman Old Style" w:hAnsi="Bookman Old Style" w:cs="Arial"/>
          <w:lang w:val="id-ID"/>
        </w:rPr>
        <w:t>00</w:t>
      </w:r>
      <w:r w:rsidR="00A954D0" w:rsidRPr="008379CA">
        <w:rPr>
          <w:rFonts w:ascii="Bookman Old Style" w:hAnsi="Bookman Old Style" w:cs="Arial"/>
          <w:lang w:val="id-ID"/>
        </w:rPr>
        <w:t xml:space="preserve"> </w:t>
      </w:r>
      <w:r w:rsidRPr="008379CA">
        <w:rPr>
          <w:rFonts w:ascii="Bookman Old Style" w:hAnsi="Bookman Old Style" w:cs="Arial"/>
          <w:lang w:val="id-ID"/>
        </w:rPr>
        <w:t>atau</w:t>
      </w:r>
      <w:r w:rsidR="00A954D0" w:rsidRPr="008379CA">
        <w:rPr>
          <w:rFonts w:ascii="Bookman Old Style" w:hAnsi="Bookman Old Style" w:cs="Arial"/>
          <w:lang w:val="sv-FI"/>
        </w:rPr>
        <w:t xml:space="preserve"> </w:t>
      </w:r>
      <w:r w:rsidRPr="008379CA">
        <w:rPr>
          <w:rFonts w:ascii="Bookman Old Style" w:hAnsi="Bookman Old Style" w:cs="Arial"/>
          <w:lang w:val="sv-FI"/>
        </w:rPr>
        <w:t>0,02</w:t>
      </w:r>
      <w:r w:rsidRPr="008379CA">
        <w:rPr>
          <w:rFonts w:ascii="Bookman Old Style" w:hAnsi="Bookman Old Style" w:cs="Arial"/>
          <w:lang w:val="id-ID"/>
        </w:rPr>
        <w:t>%</w:t>
      </w:r>
      <w:r w:rsidR="00A954D0" w:rsidRPr="008379CA">
        <w:rPr>
          <w:rFonts w:ascii="Bookman Old Style" w:hAnsi="Bookman Old Style" w:cs="Arial"/>
          <w:lang w:val="id-ID"/>
        </w:rPr>
        <w:t xml:space="preserve"> </w:t>
      </w:r>
      <w:r w:rsidRPr="008379CA">
        <w:rPr>
          <w:rFonts w:ascii="Bookman Old Style" w:hAnsi="Bookman Old Style" w:cs="Arial"/>
          <w:lang w:val="id-ID"/>
        </w:rPr>
        <w:t>dari</w:t>
      </w:r>
      <w:r w:rsidR="00A954D0" w:rsidRPr="008379CA">
        <w:rPr>
          <w:rFonts w:ascii="Bookman Old Style" w:hAnsi="Bookman Old Style" w:cs="Arial"/>
          <w:lang w:val="id-ID"/>
        </w:rPr>
        <w:t xml:space="preserve"> </w:t>
      </w:r>
      <w:r w:rsidRPr="008379CA">
        <w:rPr>
          <w:rFonts w:ascii="Bookman Old Style" w:hAnsi="Bookman Old Style" w:cs="Arial"/>
          <w:lang w:val="id-ID"/>
        </w:rPr>
        <w:t>total</w:t>
      </w:r>
      <w:r w:rsidR="00A954D0" w:rsidRPr="008379CA">
        <w:rPr>
          <w:rFonts w:ascii="Bookman Old Style" w:hAnsi="Bookman Old Style" w:cs="Arial"/>
          <w:lang w:val="id-ID"/>
        </w:rPr>
        <w:t xml:space="preserve"> </w:t>
      </w:r>
      <w:r w:rsidRPr="008379CA">
        <w:rPr>
          <w:rFonts w:ascii="Bookman Old Style" w:hAnsi="Bookman Old Style" w:cs="Arial"/>
          <w:lang w:val="id-ID"/>
        </w:rPr>
        <w:t>alokasi</w:t>
      </w:r>
      <w:r w:rsidR="00A954D0" w:rsidRPr="008379CA">
        <w:rPr>
          <w:rFonts w:ascii="Bookman Old Style" w:hAnsi="Bookman Old Style" w:cs="Arial"/>
          <w:lang w:val="id-ID"/>
        </w:rPr>
        <w:t xml:space="preserve"> </w:t>
      </w:r>
      <w:r w:rsidRPr="008379CA">
        <w:rPr>
          <w:rFonts w:ascii="Bookman Old Style" w:hAnsi="Bookman Old Style" w:cs="Arial"/>
          <w:lang w:val="id-ID"/>
        </w:rPr>
        <w:t>anggaran</w:t>
      </w:r>
      <w:r w:rsidR="00A954D0" w:rsidRPr="008379CA">
        <w:rPr>
          <w:rFonts w:ascii="Bookman Old Style" w:hAnsi="Bookman Old Style" w:cs="Arial"/>
          <w:lang w:val="id-ID"/>
        </w:rPr>
        <w:t xml:space="preserve"> </w:t>
      </w:r>
      <w:r w:rsidRPr="008379CA">
        <w:rPr>
          <w:rFonts w:ascii="Bookman Old Style" w:hAnsi="Bookman Old Style" w:cs="Arial"/>
          <w:lang w:val="id-ID"/>
        </w:rPr>
        <w:t>dalam</w:t>
      </w:r>
      <w:r w:rsidR="00A954D0" w:rsidRPr="008379CA">
        <w:rPr>
          <w:rFonts w:ascii="Bookman Old Style" w:hAnsi="Bookman Old Style" w:cs="Arial"/>
          <w:lang w:val="id-ID"/>
        </w:rPr>
        <w:t xml:space="preserve"> </w:t>
      </w:r>
      <w:r w:rsidRPr="008379CA">
        <w:rPr>
          <w:rFonts w:ascii="Bookman Old Style" w:hAnsi="Bookman Old Style" w:cs="Arial"/>
          <w:lang w:val="id-ID"/>
        </w:rPr>
        <w:t>rangka</w:t>
      </w:r>
      <w:r w:rsidR="00A954D0" w:rsidRPr="008379CA">
        <w:rPr>
          <w:rFonts w:ascii="Bookman Old Style" w:hAnsi="Bookman Old Style" w:cs="Arial"/>
          <w:lang w:val="id-ID"/>
        </w:rPr>
        <w:t xml:space="preserve"> </w:t>
      </w:r>
      <w:r w:rsidRPr="008379CA">
        <w:rPr>
          <w:rFonts w:ascii="Bookman Old Style" w:hAnsi="Bookman Old Style" w:cs="Arial"/>
          <w:lang w:val="id-ID"/>
        </w:rPr>
        <w:t>pengendalian</w:t>
      </w:r>
      <w:r w:rsidR="00A954D0" w:rsidRPr="008379CA">
        <w:rPr>
          <w:rFonts w:ascii="Bookman Old Style" w:hAnsi="Bookman Old Style" w:cs="Arial"/>
          <w:lang w:val="id-ID"/>
        </w:rPr>
        <w:t xml:space="preserve"> </w:t>
      </w:r>
      <w:r w:rsidRPr="008379CA">
        <w:rPr>
          <w:rFonts w:ascii="Bookman Old Style" w:hAnsi="Bookman Old Style" w:cs="Arial"/>
          <w:lang w:val="id-ID"/>
        </w:rPr>
        <w:t>inflasi</w:t>
      </w:r>
      <w:r w:rsidRPr="008379CA">
        <w:rPr>
          <w:rFonts w:ascii="Bookman Old Style" w:hAnsi="Bookman Old Style" w:cs="Arial"/>
          <w:lang w:val="sv-FI"/>
        </w:rPr>
        <w:t>;</w:t>
      </w:r>
    </w:p>
    <w:p w14:paraId="17EF518F" w14:textId="0996AA20" w:rsidR="00C330CC" w:rsidRPr="008379CA" w:rsidRDefault="00C330CC" w:rsidP="00447E9A">
      <w:pPr>
        <w:numPr>
          <w:ilvl w:val="1"/>
          <w:numId w:val="233"/>
        </w:numPr>
        <w:spacing w:before="60" w:line="276" w:lineRule="auto"/>
        <w:ind w:left="1701" w:hanging="425"/>
        <w:jc w:val="both"/>
        <w:rPr>
          <w:rFonts w:ascii="Bookman Old Style" w:hAnsi="Bookman Old Style" w:cs="Arial"/>
          <w:lang w:val="id-ID"/>
        </w:rPr>
      </w:pPr>
      <w:r w:rsidRPr="008379CA">
        <w:rPr>
          <w:rFonts w:ascii="Bookman Old Style" w:hAnsi="Bookman Old Style" w:cs="Arial"/>
          <w:lang w:val="id-ID"/>
        </w:rPr>
        <w:t>Pengadaan</w:t>
      </w:r>
      <w:r w:rsidR="00A954D0" w:rsidRPr="008379CA">
        <w:rPr>
          <w:rFonts w:ascii="Bookman Old Style" w:hAnsi="Bookman Old Style" w:cs="Arial"/>
          <w:lang w:val="id-ID"/>
        </w:rPr>
        <w:t xml:space="preserve"> </w:t>
      </w:r>
      <w:r w:rsidRPr="008379CA">
        <w:rPr>
          <w:rFonts w:ascii="Bookman Old Style" w:hAnsi="Bookman Old Style" w:cs="Arial"/>
          <w:lang w:val="id-ID"/>
        </w:rPr>
        <w:t>Cadangan</w:t>
      </w:r>
      <w:r w:rsidR="00A954D0" w:rsidRPr="008379CA">
        <w:rPr>
          <w:rFonts w:ascii="Bookman Old Style" w:hAnsi="Bookman Old Style" w:cs="Arial"/>
          <w:lang w:val="id-ID"/>
        </w:rPr>
        <w:t xml:space="preserve"> </w:t>
      </w:r>
      <w:r w:rsidRPr="008379CA">
        <w:rPr>
          <w:rFonts w:ascii="Bookman Old Style" w:hAnsi="Bookman Old Style" w:cs="Arial"/>
          <w:lang w:val="id-ID"/>
        </w:rPr>
        <w:t>Pangan</w:t>
      </w:r>
      <w:r w:rsidR="00A954D0" w:rsidRPr="008379CA">
        <w:rPr>
          <w:rFonts w:ascii="Bookman Old Style" w:hAnsi="Bookman Old Style" w:cs="Arial"/>
          <w:lang w:val="id-ID"/>
        </w:rPr>
        <w:t xml:space="preserve"> </w:t>
      </w:r>
      <w:r w:rsidRPr="008379CA">
        <w:rPr>
          <w:rFonts w:ascii="Bookman Old Style" w:hAnsi="Bookman Old Style" w:cs="Arial"/>
          <w:lang w:val="id-ID"/>
        </w:rPr>
        <w:t>Pemerintah</w:t>
      </w:r>
      <w:r w:rsidR="00A954D0" w:rsidRPr="008379CA">
        <w:rPr>
          <w:rFonts w:ascii="Bookman Old Style" w:hAnsi="Bookman Old Style" w:cs="Arial"/>
          <w:lang w:val="id-ID"/>
        </w:rPr>
        <w:t xml:space="preserve"> </w:t>
      </w:r>
      <w:r w:rsidR="00172E1C" w:rsidRPr="008379CA">
        <w:rPr>
          <w:rFonts w:ascii="Bookman Old Style" w:hAnsi="Bookman Old Style" w:cs="Arial"/>
          <w:lang w:val="id-ID"/>
        </w:rPr>
        <w:t>Kabupaten/Kota</w:t>
      </w:r>
      <w:r w:rsidR="00A954D0" w:rsidRPr="008379CA">
        <w:rPr>
          <w:rFonts w:ascii="Bookman Old Style" w:hAnsi="Bookman Old Style" w:cs="Arial"/>
          <w:lang w:val="sv-FI"/>
        </w:rPr>
        <w:t xml:space="preserve"> </w:t>
      </w:r>
      <w:r w:rsidRPr="008379CA">
        <w:rPr>
          <w:rFonts w:ascii="Bookman Old Style" w:hAnsi="Bookman Old Style" w:cs="Arial"/>
          <w:lang w:val="id-ID"/>
        </w:rPr>
        <w:t>pada</w:t>
      </w:r>
      <w:r w:rsidR="00A954D0" w:rsidRPr="008379CA">
        <w:rPr>
          <w:rFonts w:ascii="Bookman Old Style" w:hAnsi="Bookman Old Style" w:cs="Arial"/>
          <w:lang w:val="id-ID"/>
        </w:rPr>
        <w:t xml:space="preserve"> </w:t>
      </w:r>
      <w:r w:rsidRPr="008379CA">
        <w:rPr>
          <w:rFonts w:ascii="Bookman Old Style" w:hAnsi="Bookman Old Style" w:cs="Arial"/>
          <w:lang w:val="id-ID"/>
        </w:rPr>
        <w:t>Dinas</w:t>
      </w:r>
      <w:r w:rsidR="00A954D0" w:rsidRPr="008379CA">
        <w:rPr>
          <w:rFonts w:ascii="Bookman Old Style" w:hAnsi="Bookman Old Style" w:cs="Arial"/>
          <w:lang w:val="id-ID"/>
        </w:rPr>
        <w:t xml:space="preserve"> </w:t>
      </w:r>
      <w:r w:rsidRPr="008379CA">
        <w:rPr>
          <w:rFonts w:ascii="Bookman Old Style" w:hAnsi="Bookman Old Style" w:cs="Arial"/>
          <w:lang w:val="sv-FI"/>
        </w:rPr>
        <w:t>Ketahanan</w:t>
      </w:r>
      <w:r w:rsidR="00A954D0" w:rsidRPr="008379CA">
        <w:rPr>
          <w:rFonts w:ascii="Bookman Old Style" w:hAnsi="Bookman Old Style" w:cs="Arial"/>
          <w:lang w:val="sv-FI"/>
        </w:rPr>
        <w:t xml:space="preserve"> </w:t>
      </w:r>
      <w:r w:rsidRPr="008379CA">
        <w:rPr>
          <w:rFonts w:ascii="Bookman Old Style" w:hAnsi="Bookman Old Style" w:cs="Arial"/>
          <w:lang w:val="sv-FI"/>
        </w:rPr>
        <w:t>Pangan</w:t>
      </w:r>
      <w:r w:rsidR="00A954D0" w:rsidRPr="008379CA">
        <w:rPr>
          <w:rFonts w:ascii="Bookman Old Style" w:hAnsi="Bookman Old Style" w:cs="Arial"/>
          <w:lang w:val="id-ID"/>
        </w:rPr>
        <w:t xml:space="preserve"> </w:t>
      </w:r>
      <w:r w:rsidRPr="008379CA">
        <w:rPr>
          <w:rFonts w:ascii="Bookman Old Style" w:hAnsi="Bookman Old Style" w:cs="Arial"/>
          <w:lang w:val="sv-FI"/>
        </w:rPr>
        <w:t>Rp1.156.612.100,00</w:t>
      </w:r>
      <w:r w:rsidR="00A954D0" w:rsidRPr="008379CA">
        <w:rPr>
          <w:rFonts w:ascii="Bookman Old Style" w:hAnsi="Bookman Old Style" w:cs="Arial"/>
          <w:lang w:val="sv-FI"/>
        </w:rPr>
        <w:t xml:space="preserve"> </w:t>
      </w:r>
      <w:r w:rsidRPr="008379CA">
        <w:rPr>
          <w:rFonts w:ascii="Bookman Old Style" w:hAnsi="Bookman Old Style" w:cs="Arial"/>
          <w:lang w:val="sv-FI"/>
        </w:rPr>
        <w:t>atau</w:t>
      </w:r>
      <w:r w:rsidR="00A954D0" w:rsidRPr="008379CA">
        <w:rPr>
          <w:rFonts w:ascii="Bookman Old Style" w:hAnsi="Bookman Old Style" w:cs="Arial"/>
          <w:lang w:val="sv-FI"/>
        </w:rPr>
        <w:t xml:space="preserve"> </w:t>
      </w:r>
      <w:r w:rsidRPr="008379CA">
        <w:rPr>
          <w:rFonts w:ascii="Bookman Old Style" w:hAnsi="Bookman Old Style" w:cs="Arial"/>
          <w:lang w:val="sv-FI"/>
        </w:rPr>
        <w:t>0,38%</w:t>
      </w:r>
      <w:r w:rsidR="00A954D0" w:rsidRPr="008379CA">
        <w:rPr>
          <w:rFonts w:ascii="Bookman Old Style" w:hAnsi="Bookman Old Style" w:cs="Arial"/>
          <w:lang w:val="sv-FI"/>
        </w:rPr>
        <w:t xml:space="preserve"> </w:t>
      </w:r>
      <w:r w:rsidRPr="008379CA">
        <w:rPr>
          <w:rFonts w:ascii="Bookman Old Style" w:hAnsi="Bookman Old Style" w:cs="Arial"/>
          <w:lang w:val="sv-FI"/>
        </w:rPr>
        <w:t>dari</w:t>
      </w:r>
      <w:r w:rsidR="00A954D0" w:rsidRPr="008379CA">
        <w:rPr>
          <w:rFonts w:ascii="Bookman Old Style" w:hAnsi="Bookman Old Style" w:cs="Arial"/>
          <w:lang w:val="sv-FI"/>
        </w:rPr>
        <w:t xml:space="preserve"> </w:t>
      </w:r>
      <w:r w:rsidRPr="008379CA">
        <w:rPr>
          <w:rFonts w:ascii="Bookman Old Style" w:hAnsi="Bookman Old Style" w:cs="Arial"/>
          <w:lang w:val="sv-FI"/>
        </w:rPr>
        <w:t>total</w:t>
      </w:r>
      <w:r w:rsidR="00A954D0" w:rsidRPr="008379CA">
        <w:rPr>
          <w:rFonts w:ascii="Bookman Old Style" w:hAnsi="Bookman Old Style" w:cs="Arial"/>
          <w:lang w:val="sv-FI"/>
        </w:rPr>
        <w:t xml:space="preserve"> </w:t>
      </w:r>
      <w:r w:rsidRPr="008379CA">
        <w:rPr>
          <w:rFonts w:ascii="Bookman Old Style" w:hAnsi="Bookman Old Style" w:cs="Arial"/>
          <w:lang w:val="sv-FI"/>
        </w:rPr>
        <w:t>alokasi</w:t>
      </w:r>
      <w:r w:rsidR="00A954D0" w:rsidRPr="008379CA">
        <w:rPr>
          <w:rFonts w:ascii="Bookman Old Style" w:hAnsi="Bookman Old Style" w:cs="Arial"/>
          <w:lang w:val="sv-FI"/>
        </w:rPr>
        <w:t xml:space="preserve"> </w:t>
      </w:r>
      <w:r w:rsidRPr="008379CA">
        <w:rPr>
          <w:rFonts w:ascii="Bookman Old Style" w:hAnsi="Bookman Old Style" w:cs="Arial"/>
          <w:lang w:val="sv-FI"/>
        </w:rPr>
        <w:t>anggaran</w:t>
      </w:r>
      <w:r w:rsidR="00A954D0" w:rsidRPr="008379CA">
        <w:rPr>
          <w:rFonts w:ascii="Bookman Old Style" w:hAnsi="Bookman Old Style" w:cs="Arial"/>
          <w:lang w:val="sv-FI"/>
        </w:rPr>
        <w:t xml:space="preserve"> </w:t>
      </w:r>
      <w:r w:rsidRPr="008379CA">
        <w:rPr>
          <w:rFonts w:ascii="Bookman Old Style" w:hAnsi="Bookman Old Style" w:cs="Arial"/>
          <w:lang w:val="sv-FI"/>
        </w:rPr>
        <w:t>dalam</w:t>
      </w:r>
      <w:r w:rsidR="00A954D0" w:rsidRPr="008379CA">
        <w:rPr>
          <w:rFonts w:ascii="Bookman Old Style" w:hAnsi="Bookman Old Style" w:cs="Arial"/>
          <w:lang w:val="sv-FI"/>
        </w:rPr>
        <w:t xml:space="preserve"> </w:t>
      </w:r>
      <w:r w:rsidRPr="008379CA">
        <w:rPr>
          <w:rFonts w:ascii="Bookman Old Style" w:hAnsi="Bookman Old Style" w:cs="Arial"/>
          <w:lang w:val="sv-FI"/>
        </w:rPr>
        <w:t>rangka</w:t>
      </w:r>
      <w:r w:rsidR="00A954D0" w:rsidRPr="008379CA">
        <w:rPr>
          <w:rFonts w:ascii="Bookman Old Style" w:hAnsi="Bookman Old Style" w:cs="Arial"/>
          <w:lang w:val="sv-FI"/>
        </w:rPr>
        <w:t xml:space="preserve"> </w:t>
      </w:r>
      <w:r w:rsidRPr="008379CA">
        <w:rPr>
          <w:rFonts w:ascii="Bookman Old Style" w:hAnsi="Bookman Old Style" w:cs="Arial"/>
          <w:lang w:val="sv-FI"/>
        </w:rPr>
        <w:t>pengendalian</w:t>
      </w:r>
      <w:r w:rsidR="00A954D0" w:rsidRPr="008379CA">
        <w:rPr>
          <w:rFonts w:ascii="Bookman Old Style" w:hAnsi="Bookman Old Style" w:cs="Arial"/>
          <w:lang w:val="sv-FI"/>
        </w:rPr>
        <w:t xml:space="preserve"> </w:t>
      </w:r>
      <w:r w:rsidRPr="008379CA">
        <w:rPr>
          <w:rFonts w:ascii="Bookman Old Style" w:hAnsi="Bookman Old Style" w:cs="Arial"/>
          <w:lang w:val="sv-FI"/>
        </w:rPr>
        <w:t>inflasi;</w:t>
      </w:r>
      <w:r w:rsidR="00A954D0" w:rsidRPr="008379CA">
        <w:rPr>
          <w:rFonts w:ascii="Bookman Old Style" w:hAnsi="Bookman Old Style" w:cs="Arial"/>
          <w:lang w:val="id-ID"/>
        </w:rPr>
        <w:t xml:space="preserve"> </w:t>
      </w:r>
    </w:p>
    <w:p w14:paraId="5318995D" w14:textId="1B72719C" w:rsidR="00C330CC" w:rsidRPr="008379CA" w:rsidRDefault="00C330CC" w:rsidP="00447E9A">
      <w:pPr>
        <w:numPr>
          <w:ilvl w:val="1"/>
          <w:numId w:val="233"/>
        </w:numPr>
        <w:spacing w:before="60" w:line="276" w:lineRule="auto"/>
        <w:ind w:left="1701" w:hanging="425"/>
        <w:jc w:val="both"/>
        <w:rPr>
          <w:rFonts w:ascii="Bookman Old Style" w:hAnsi="Bookman Old Style" w:cs="Arial"/>
          <w:lang w:val="id-ID"/>
        </w:rPr>
      </w:pPr>
      <w:r w:rsidRPr="008379CA">
        <w:rPr>
          <w:rFonts w:ascii="Bookman Old Style" w:hAnsi="Bookman Old Style" w:cs="Arial"/>
          <w:lang w:val="id-ID"/>
        </w:rPr>
        <w:t>Pemberdayaan</w:t>
      </w:r>
      <w:r w:rsidR="00A954D0" w:rsidRPr="008379CA">
        <w:rPr>
          <w:rFonts w:ascii="Bookman Old Style" w:hAnsi="Bookman Old Style" w:cs="Arial"/>
          <w:lang w:val="id-ID"/>
        </w:rPr>
        <w:t xml:space="preserve"> </w:t>
      </w:r>
      <w:r w:rsidRPr="008379CA">
        <w:rPr>
          <w:rFonts w:ascii="Bookman Old Style" w:hAnsi="Bookman Old Style" w:cs="Arial"/>
          <w:lang w:val="id-ID"/>
        </w:rPr>
        <w:t>Masyarakat</w:t>
      </w:r>
      <w:r w:rsidR="00A954D0" w:rsidRPr="008379CA">
        <w:rPr>
          <w:rFonts w:ascii="Bookman Old Style" w:hAnsi="Bookman Old Style" w:cs="Arial"/>
          <w:lang w:val="id-ID"/>
        </w:rPr>
        <w:t xml:space="preserve"> </w:t>
      </w:r>
      <w:r w:rsidRPr="008379CA">
        <w:rPr>
          <w:rFonts w:ascii="Bookman Old Style" w:hAnsi="Bookman Old Style" w:cs="Arial"/>
          <w:lang w:val="id-ID"/>
        </w:rPr>
        <w:t>dalam</w:t>
      </w:r>
      <w:r w:rsidR="00A954D0" w:rsidRPr="008379CA">
        <w:rPr>
          <w:rFonts w:ascii="Bookman Old Style" w:hAnsi="Bookman Old Style" w:cs="Arial"/>
          <w:lang w:val="id-ID"/>
        </w:rPr>
        <w:t xml:space="preserve"> </w:t>
      </w:r>
      <w:r w:rsidRPr="008379CA">
        <w:rPr>
          <w:rFonts w:ascii="Bookman Old Style" w:hAnsi="Bookman Old Style" w:cs="Arial"/>
          <w:lang w:val="id-ID"/>
        </w:rPr>
        <w:t>Penganekaragaman</w:t>
      </w:r>
      <w:r w:rsidR="00A954D0" w:rsidRPr="008379CA">
        <w:rPr>
          <w:rFonts w:ascii="Bookman Old Style" w:hAnsi="Bookman Old Style" w:cs="Arial"/>
          <w:lang w:val="id-ID"/>
        </w:rPr>
        <w:t xml:space="preserve"> </w:t>
      </w:r>
      <w:r w:rsidRPr="008379CA">
        <w:rPr>
          <w:rFonts w:ascii="Bookman Old Style" w:hAnsi="Bookman Old Style" w:cs="Arial"/>
          <w:lang w:val="id-ID"/>
        </w:rPr>
        <w:t>Konsumsi</w:t>
      </w:r>
      <w:r w:rsidR="00A954D0" w:rsidRPr="008379CA">
        <w:rPr>
          <w:rFonts w:ascii="Bookman Old Style" w:hAnsi="Bookman Old Style" w:cs="Arial"/>
          <w:lang w:val="id-ID"/>
        </w:rPr>
        <w:t xml:space="preserve"> </w:t>
      </w:r>
      <w:r w:rsidRPr="008379CA">
        <w:rPr>
          <w:rFonts w:ascii="Bookman Old Style" w:hAnsi="Bookman Old Style" w:cs="Arial"/>
          <w:lang w:val="id-ID"/>
        </w:rPr>
        <w:t>Pangan</w:t>
      </w:r>
      <w:r w:rsidR="00A954D0" w:rsidRPr="008379CA">
        <w:rPr>
          <w:rFonts w:ascii="Bookman Old Style" w:hAnsi="Bookman Old Style" w:cs="Arial"/>
          <w:lang w:val="id-ID"/>
        </w:rPr>
        <w:t xml:space="preserve"> </w:t>
      </w:r>
      <w:r w:rsidRPr="008379CA">
        <w:rPr>
          <w:rFonts w:ascii="Bookman Old Style" w:hAnsi="Bookman Old Style" w:cs="Arial"/>
          <w:lang w:val="id-ID"/>
        </w:rPr>
        <w:t>Berbasis</w:t>
      </w:r>
      <w:r w:rsidR="00A954D0" w:rsidRPr="008379CA">
        <w:rPr>
          <w:rFonts w:ascii="Bookman Old Style" w:hAnsi="Bookman Old Style" w:cs="Arial"/>
          <w:lang w:val="id-ID"/>
        </w:rPr>
        <w:t xml:space="preserve"> </w:t>
      </w:r>
      <w:r w:rsidRPr="008379CA">
        <w:rPr>
          <w:rFonts w:ascii="Bookman Old Style" w:hAnsi="Bookman Old Style" w:cs="Arial"/>
          <w:lang w:val="id-ID"/>
        </w:rPr>
        <w:t>Sumber</w:t>
      </w:r>
      <w:r w:rsidR="00A954D0" w:rsidRPr="008379CA">
        <w:rPr>
          <w:rFonts w:ascii="Bookman Old Style" w:hAnsi="Bookman Old Style" w:cs="Arial"/>
          <w:lang w:val="id-ID"/>
        </w:rPr>
        <w:t xml:space="preserve"> </w:t>
      </w:r>
      <w:r w:rsidRPr="008379CA">
        <w:rPr>
          <w:rFonts w:ascii="Bookman Old Style" w:hAnsi="Bookman Old Style" w:cs="Arial"/>
          <w:lang w:val="id-ID"/>
        </w:rPr>
        <w:t>Daya</w:t>
      </w:r>
      <w:r w:rsidR="00A954D0" w:rsidRPr="008379CA">
        <w:rPr>
          <w:rFonts w:ascii="Bookman Old Style" w:hAnsi="Bookman Old Style" w:cs="Arial"/>
          <w:lang w:val="id-ID"/>
        </w:rPr>
        <w:t xml:space="preserve"> </w:t>
      </w:r>
      <w:r w:rsidRPr="008379CA">
        <w:rPr>
          <w:rFonts w:ascii="Bookman Old Style" w:hAnsi="Bookman Old Style" w:cs="Arial"/>
          <w:lang w:val="id-ID"/>
        </w:rPr>
        <w:t>Lokal</w:t>
      </w:r>
      <w:r w:rsidR="00A954D0" w:rsidRPr="008379CA">
        <w:rPr>
          <w:rFonts w:ascii="Bookman Old Style" w:hAnsi="Bookman Old Style" w:cs="Arial"/>
          <w:lang w:val="sv-FI"/>
        </w:rPr>
        <w:t xml:space="preserve"> </w:t>
      </w:r>
      <w:r w:rsidRPr="008379CA">
        <w:rPr>
          <w:rFonts w:ascii="Bookman Old Style" w:hAnsi="Bookman Old Style" w:cs="Arial"/>
          <w:lang w:val="id-ID"/>
        </w:rPr>
        <w:t>pada</w:t>
      </w:r>
      <w:r w:rsidR="00A954D0" w:rsidRPr="008379CA">
        <w:rPr>
          <w:rFonts w:ascii="Bookman Old Style" w:hAnsi="Bookman Old Style" w:cs="Arial"/>
          <w:lang w:val="id-ID"/>
        </w:rPr>
        <w:t xml:space="preserve"> </w:t>
      </w:r>
      <w:r w:rsidRPr="008379CA">
        <w:rPr>
          <w:rFonts w:ascii="Bookman Old Style" w:hAnsi="Bookman Old Style" w:cs="Arial"/>
          <w:lang w:val="id-ID"/>
        </w:rPr>
        <w:t>Dinas</w:t>
      </w:r>
      <w:r w:rsidR="00A954D0" w:rsidRPr="008379CA">
        <w:rPr>
          <w:rFonts w:ascii="Bookman Old Style" w:hAnsi="Bookman Old Style" w:cs="Arial"/>
          <w:lang w:val="id-ID"/>
        </w:rPr>
        <w:t xml:space="preserve"> </w:t>
      </w:r>
      <w:r w:rsidRPr="008379CA">
        <w:rPr>
          <w:rFonts w:ascii="Bookman Old Style" w:hAnsi="Bookman Old Style" w:cs="Arial"/>
          <w:lang w:val="sv-FI"/>
        </w:rPr>
        <w:t>Ketahanan</w:t>
      </w:r>
      <w:r w:rsidR="00A954D0" w:rsidRPr="008379CA">
        <w:rPr>
          <w:rFonts w:ascii="Bookman Old Style" w:hAnsi="Bookman Old Style" w:cs="Arial"/>
          <w:lang w:val="sv-FI"/>
        </w:rPr>
        <w:t xml:space="preserve"> </w:t>
      </w:r>
      <w:r w:rsidRPr="008379CA">
        <w:rPr>
          <w:rFonts w:ascii="Bookman Old Style" w:hAnsi="Bookman Old Style" w:cs="Arial"/>
          <w:lang w:val="sv-FI"/>
        </w:rPr>
        <w:t>Pangan</w:t>
      </w:r>
      <w:r w:rsidR="00A954D0" w:rsidRPr="008379CA">
        <w:rPr>
          <w:rFonts w:ascii="Bookman Old Style" w:hAnsi="Bookman Old Style" w:cs="Arial"/>
          <w:lang w:val="sv-FI"/>
        </w:rPr>
        <w:t xml:space="preserve"> </w:t>
      </w:r>
      <w:r w:rsidRPr="008379CA">
        <w:rPr>
          <w:rFonts w:ascii="Bookman Old Style" w:hAnsi="Bookman Old Style" w:cs="Arial"/>
          <w:lang w:val="id-ID"/>
        </w:rPr>
        <w:t>Rp164</w:t>
      </w:r>
      <w:r w:rsidRPr="008379CA">
        <w:rPr>
          <w:rFonts w:ascii="Bookman Old Style" w:hAnsi="Bookman Old Style" w:cs="Arial"/>
          <w:lang w:val="sv-FI"/>
        </w:rPr>
        <w:t>.</w:t>
      </w:r>
      <w:r w:rsidRPr="008379CA">
        <w:rPr>
          <w:rFonts w:ascii="Bookman Old Style" w:hAnsi="Bookman Old Style" w:cs="Arial"/>
          <w:lang w:val="id-ID"/>
        </w:rPr>
        <w:t>200</w:t>
      </w:r>
      <w:r w:rsidRPr="008379CA">
        <w:rPr>
          <w:rFonts w:ascii="Bookman Old Style" w:hAnsi="Bookman Old Style" w:cs="Arial"/>
          <w:lang w:val="sv-FI"/>
        </w:rPr>
        <w:t>.</w:t>
      </w:r>
      <w:r w:rsidRPr="008379CA">
        <w:rPr>
          <w:rFonts w:ascii="Bookman Old Style" w:hAnsi="Bookman Old Style" w:cs="Arial"/>
          <w:lang w:val="id-ID"/>
        </w:rPr>
        <w:t>000,00</w:t>
      </w:r>
      <w:r w:rsidR="00A954D0" w:rsidRPr="008379CA">
        <w:rPr>
          <w:rFonts w:ascii="Bookman Old Style" w:hAnsi="Bookman Old Style" w:cs="Arial"/>
          <w:lang w:val="sv-FI"/>
        </w:rPr>
        <w:t xml:space="preserve"> </w:t>
      </w:r>
      <w:r w:rsidRPr="008379CA">
        <w:rPr>
          <w:rFonts w:ascii="Bookman Old Style" w:hAnsi="Bookman Old Style" w:cs="Arial"/>
          <w:lang w:val="id-ID"/>
        </w:rPr>
        <w:t>atau</w:t>
      </w:r>
      <w:r w:rsidR="00A954D0" w:rsidRPr="008379CA">
        <w:rPr>
          <w:rFonts w:ascii="Bookman Old Style" w:hAnsi="Bookman Old Style" w:cs="Arial"/>
          <w:lang w:val="id-ID"/>
        </w:rPr>
        <w:t xml:space="preserve"> </w:t>
      </w:r>
      <w:r w:rsidRPr="008379CA">
        <w:rPr>
          <w:rFonts w:ascii="Bookman Old Style" w:hAnsi="Bookman Old Style" w:cs="Arial"/>
          <w:lang w:val="id-ID"/>
        </w:rPr>
        <w:t>0,</w:t>
      </w:r>
      <w:r w:rsidRPr="008379CA">
        <w:rPr>
          <w:rFonts w:ascii="Bookman Old Style" w:hAnsi="Bookman Old Style" w:cs="Arial"/>
          <w:lang w:val="sv-FI"/>
        </w:rPr>
        <w:t>05</w:t>
      </w:r>
      <w:r w:rsidRPr="008379CA">
        <w:rPr>
          <w:rFonts w:ascii="Bookman Old Style" w:hAnsi="Bookman Old Style" w:cs="Arial"/>
          <w:lang w:val="id-ID"/>
        </w:rPr>
        <w:t>%</w:t>
      </w:r>
      <w:r w:rsidR="00A954D0" w:rsidRPr="008379CA">
        <w:rPr>
          <w:rFonts w:ascii="Bookman Old Style" w:hAnsi="Bookman Old Style" w:cs="Arial"/>
          <w:lang w:val="id-ID"/>
        </w:rPr>
        <w:t xml:space="preserve"> </w:t>
      </w:r>
      <w:r w:rsidRPr="008379CA">
        <w:rPr>
          <w:rFonts w:ascii="Bookman Old Style" w:hAnsi="Bookman Old Style" w:cs="Arial"/>
          <w:lang w:val="id-ID"/>
        </w:rPr>
        <w:t>dari</w:t>
      </w:r>
      <w:r w:rsidR="00A954D0" w:rsidRPr="008379CA">
        <w:rPr>
          <w:rFonts w:ascii="Bookman Old Style" w:hAnsi="Bookman Old Style" w:cs="Arial"/>
          <w:lang w:val="id-ID"/>
        </w:rPr>
        <w:t xml:space="preserve"> </w:t>
      </w:r>
      <w:r w:rsidRPr="008379CA">
        <w:rPr>
          <w:rFonts w:ascii="Bookman Old Style" w:hAnsi="Bookman Old Style" w:cs="Arial"/>
          <w:lang w:val="id-ID"/>
        </w:rPr>
        <w:t>total</w:t>
      </w:r>
      <w:r w:rsidR="00A954D0" w:rsidRPr="008379CA">
        <w:rPr>
          <w:rFonts w:ascii="Bookman Old Style" w:hAnsi="Bookman Old Style" w:cs="Arial"/>
          <w:lang w:val="id-ID"/>
        </w:rPr>
        <w:t xml:space="preserve"> </w:t>
      </w:r>
      <w:r w:rsidRPr="008379CA">
        <w:rPr>
          <w:rFonts w:ascii="Bookman Old Style" w:hAnsi="Bookman Old Style" w:cs="Arial"/>
          <w:lang w:val="id-ID"/>
        </w:rPr>
        <w:t>alokasi</w:t>
      </w:r>
      <w:r w:rsidR="00A954D0" w:rsidRPr="008379CA">
        <w:rPr>
          <w:rFonts w:ascii="Bookman Old Style" w:hAnsi="Bookman Old Style" w:cs="Arial"/>
          <w:lang w:val="id-ID"/>
        </w:rPr>
        <w:t xml:space="preserve"> </w:t>
      </w:r>
      <w:r w:rsidRPr="008379CA">
        <w:rPr>
          <w:rFonts w:ascii="Bookman Old Style" w:hAnsi="Bookman Old Style" w:cs="Arial"/>
          <w:lang w:val="id-ID"/>
        </w:rPr>
        <w:t>anggaran</w:t>
      </w:r>
      <w:r w:rsidR="00A954D0" w:rsidRPr="008379CA">
        <w:rPr>
          <w:rFonts w:ascii="Bookman Old Style" w:hAnsi="Bookman Old Style" w:cs="Arial"/>
          <w:lang w:val="id-ID"/>
        </w:rPr>
        <w:t xml:space="preserve"> </w:t>
      </w:r>
      <w:r w:rsidRPr="008379CA">
        <w:rPr>
          <w:rFonts w:ascii="Bookman Old Style" w:hAnsi="Bookman Old Style" w:cs="Arial"/>
          <w:lang w:val="id-ID"/>
        </w:rPr>
        <w:t>dalam</w:t>
      </w:r>
      <w:r w:rsidR="00A954D0" w:rsidRPr="008379CA">
        <w:rPr>
          <w:rFonts w:ascii="Bookman Old Style" w:hAnsi="Bookman Old Style" w:cs="Arial"/>
          <w:lang w:val="id-ID"/>
        </w:rPr>
        <w:t xml:space="preserve"> </w:t>
      </w:r>
      <w:r w:rsidRPr="008379CA">
        <w:rPr>
          <w:rFonts w:ascii="Bookman Old Style" w:hAnsi="Bookman Old Style" w:cs="Arial"/>
          <w:lang w:val="id-ID"/>
        </w:rPr>
        <w:t>rangka</w:t>
      </w:r>
      <w:r w:rsidR="00A954D0" w:rsidRPr="008379CA">
        <w:rPr>
          <w:rFonts w:ascii="Bookman Old Style" w:hAnsi="Bookman Old Style" w:cs="Arial"/>
          <w:lang w:val="id-ID"/>
        </w:rPr>
        <w:t xml:space="preserve"> </w:t>
      </w:r>
      <w:r w:rsidRPr="008379CA">
        <w:rPr>
          <w:rFonts w:ascii="Bookman Old Style" w:hAnsi="Bookman Old Style" w:cs="Arial"/>
          <w:lang w:val="id-ID"/>
        </w:rPr>
        <w:t>pengendalian</w:t>
      </w:r>
      <w:r w:rsidR="00A954D0" w:rsidRPr="008379CA">
        <w:rPr>
          <w:rFonts w:ascii="Bookman Old Style" w:hAnsi="Bookman Old Style" w:cs="Arial"/>
          <w:lang w:val="id-ID"/>
        </w:rPr>
        <w:t xml:space="preserve"> </w:t>
      </w:r>
      <w:r w:rsidRPr="008379CA">
        <w:rPr>
          <w:rFonts w:ascii="Bookman Old Style" w:hAnsi="Bookman Old Style" w:cs="Arial"/>
          <w:lang w:val="id-ID"/>
        </w:rPr>
        <w:t>inflasi</w:t>
      </w:r>
      <w:r w:rsidRPr="008379CA">
        <w:rPr>
          <w:rFonts w:ascii="Bookman Old Style" w:hAnsi="Bookman Old Style" w:cs="Arial"/>
          <w:lang w:val="sv-FI"/>
        </w:rPr>
        <w:t>;</w:t>
      </w:r>
    </w:p>
    <w:p w14:paraId="71C06A63" w14:textId="08B08783" w:rsidR="00C330CC" w:rsidRPr="008379CA" w:rsidRDefault="00C330CC" w:rsidP="00447E9A">
      <w:pPr>
        <w:numPr>
          <w:ilvl w:val="1"/>
          <w:numId w:val="233"/>
        </w:numPr>
        <w:spacing w:before="60" w:line="276" w:lineRule="auto"/>
        <w:ind w:left="1701" w:hanging="425"/>
        <w:jc w:val="both"/>
        <w:rPr>
          <w:rFonts w:ascii="Bookman Old Style" w:hAnsi="Bookman Old Style" w:cs="Arial"/>
          <w:lang w:val="id-ID"/>
        </w:rPr>
      </w:pPr>
      <w:r w:rsidRPr="008379CA">
        <w:rPr>
          <w:rFonts w:ascii="Bookman Old Style" w:hAnsi="Bookman Old Style" w:cs="Arial"/>
          <w:lang w:val="id-ID"/>
        </w:rPr>
        <w:lastRenderedPageBreak/>
        <w:t>Pembinaan</w:t>
      </w:r>
      <w:r w:rsidR="00A954D0" w:rsidRPr="008379CA">
        <w:rPr>
          <w:rFonts w:ascii="Bookman Old Style" w:hAnsi="Bookman Old Style" w:cs="Arial"/>
          <w:lang w:val="id-ID"/>
        </w:rPr>
        <w:t xml:space="preserve"> </w:t>
      </w:r>
      <w:r w:rsidRPr="008379CA">
        <w:rPr>
          <w:rFonts w:ascii="Bookman Old Style" w:hAnsi="Bookman Old Style" w:cs="Arial"/>
          <w:lang w:val="id-ID"/>
        </w:rPr>
        <w:t>dan</w:t>
      </w:r>
      <w:r w:rsidR="00A954D0" w:rsidRPr="008379CA">
        <w:rPr>
          <w:rFonts w:ascii="Bookman Old Style" w:hAnsi="Bookman Old Style" w:cs="Arial"/>
          <w:lang w:val="id-ID"/>
        </w:rPr>
        <w:t xml:space="preserve"> </w:t>
      </w:r>
      <w:r w:rsidRPr="008379CA">
        <w:rPr>
          <w:rFonts w:ascii="Bookman Old Style" w:hAnsi="Bookman Old Style" w:cs="Arial"/>
          <w:lang w:val="id-ID"/>
        </w:rPr>
        <w:t>Pemantauan</w:t>
      </w:r>
      <w:r w:rsidR="00A954D0" w:rsidRPr="008379CA">
        <w:rPr>
          <w:rFonts w:ascii="Bookman Old Style" w:hAnsi="Bookman Old Style" w:cs="Arial"/>
          <w:lang w:val="id-ID"/>
        </w:rPr>
        <w:t xml:space="preserve"> </w:t>
      </w:r>
      <w:r w:rsidRPr="008379CA">
        <w:rPr>
          <w:rFonts w:ascii="Bookman Old Style" w:hAnsi="Bookman Old Style" w:cs="Arial"/>
          <w:lang w:val="id-ID"/>
        </w:rPr>
        <w:t>Pembudidayaan</w:t>
      </w:r>
      <w:r w:rsidR="00A954D0" w:rsidRPr="008379CA">
        <w:rPr>
          <w:rFonts w:ascii="Bookman Old Style" w:hAnsi="Bookman Old Style" w:cs="Arial"/>
          <w:lang w:val="id-ID"/>
        </w:rPr>
        <w:t xml:space="preserve"> </w:t>
      </w:r>
      <w:r w:rsidRPr="008379CA">
        <w:rPr>
          <w:rFonts w:ascii="Bookman Old Style" w:hAnsi="Bookman Old Style" w:cs="Arial"/>
          <w:lang w:val="id-ID"/>
        </w:rPr>
        <w:t>Ikan</w:t>
      </w:r>
      <w:r w:rsidR="00A954D0" w:rsidRPr="008379CA">
        <w:rPr>
          <w:rFonts w:ascii="Bookman Old Style" w:hAnsi="Bookman Old Style" w:cs="Arial"/>
          <w:lang w:val="id-ID"/>
        </w:rPr>
        <w:t xml:space="preserve"> </w:t>
      </w:r>
      <w:r w:rsidRPr="008379CA">
        <w:rPr>
          <w:rFonts w:ascii="Bookman Old Style" w:hAnsi="Bookman Old Style" w:cs="Arial"/>
          <w:lang w:val="id-ID"/>
        </w:rPr>
        <w:t>di</w:t>
      </w:r>
      <w:r w:rsidR="00A954D0" w:rsidRPr="008379CA">
        <w:rPr>
          <w:rFonts w:ascii="Bookman Old Style" w:hAnsi="Bookman Old Style" w:cs="Arial"/>
          <w:lang w:val="id-ID"/>
        </w:rPr>
        <w:t xml:space="preserve"> </w:t>
      </w:r>
      <w:r w:rsidRPr="008379CA">
        <w:rPr>
          <w:rFonts w:ascii="Bookman Old Style" w:hAnsi="Bookman Old Style" w:cs="Arial"/>
          <w:lang w:val="id-ID"/>
        </w:rPr>
        <w:t>Darat</w:t>
      </w:r>
      <w:r w:rsidR="00A954D0" w:rsidRPr="008379CA">
        <w:rPr>
          <w:rFonts w:ascii="Bookman Old Style" w:hAnsi="Bookman Old Style" w:cs="Arial"/>
          <w:lang w:val="id-ID"/>
        </w:rPr>
        <w:t xml:space="preserve"> </w:t>
      </w:r>
      <w:r w:rsidRPr="008379CA">
        <w:rPr>
          <w:rFonts w:ascii="Bookman Old Style" w:hAnsi="Bookman Old Style" w:cs="Arial"/>
          <w:lang w:val="id-ID"/>
        </w:rPr>
        <w:t>pada</w:t>
      </w:r>
      <w:r w:rsidR="00A954D0" w:rsidRPr="008379CA">
        <w:rPr>
          <w:rFonts w:ascii="Bookman Old Style" w:hAnsi="Bookman Old Style" w:cs="Arial"/>
          <w:lang w:val="sv-FI"/>
        </w:rPr>
        <w:t xml:space="preserve"> </w:t>
      </w:r>
      <w:r w:rsidRPr="008379CA">
        <w:rPr>
          <w:rFonts w:ascii="Bookman Old Style" w:hAnsi="Bookman Old Style" w:cs="Arial"/>
          <w:lang w:val="sv-FI"/>
        </w:rPr>
        <w:t>Dinas</w:t>
      </w:r>
      <w:r w:rsidR="00A954D0" w:rsidRPr="008379CA">
        <w:rPr>
          <w:rFonts w:ascii="Bookman Old Style" w:hAnsi="Bookman Old Style" w:cs="Arial"/>
          <w:lang w:val="sv-FI"/>
        </w:rPr>
        <w:t xml:space="preserve"> </w:t>
      </w:r>
      <w:r w:rsidRPr="008379CA">
        <w:rPr>
          <w:rFonts w:ascii="Bookman Old Style" w:hAnsi="Bookman Old Style" w:cs="Arial"/>
          <w:lang w:val="sv-FI"/>
        </w:rPr>
        <w:t>Ketahanan</w:t>
      </w:r>
      <w:r w:rsidR="00A954D0" w:rsidRPr="008379CA">
        <w:rPr>
          <w:rFonts w:ascii="Bookman Old Style" w:hAnsi="Bookman Old Style" w:cs="Arial"/>
          <w:lang w:val="sv-FI"/>
        </w:rPr>
        <w:t xml:space="preserve"> </w:t>
      </w:r>
      <w:r w:rsidRPr="008379CA">
        <w:rPr>
          <w:rFonts w:ascii="Bookman Old Style" w:hAnsi="Bookman Old Style" w:cs="Arial"/>
          <w:lang w:val="sv-FI"/>
        </w:rPr>
        <w:t>Pangan</w:t>
      </w:r>
      <w:r w:rsidR="00A954D0" w:rsidRPr="008379CA">
        <w:rPr>
          <w:rFonts w:ascii="Bookman Old Style" w:hAnsi="Bookman Old Style" w:cs="Arial"/>
          <w:lang w:val="sv-FI"/>
        </w:rPr>
        <w:t xml:space="preserve"> </w:t>
      </w:r>
      <w:r w:rsidRPr="008379CA">
        <w:rPr>
          <w:rFonts w:ascii="Bookman Old Style" w:hAnsi="Bookman Old Style" w:cs="Arial"/>
          <w:lang w:val="id-ID"/>
        </w:rPr>
        <w:t>Rp325</w:t>
      </w:r>
      <w:r w:rsidRPr="008379CA">
        <w:rPr>
          <w:rFonts w:ascii="Bookman Old Style" w:hAnsi="Bookman Old Style" w:cs="Arial"/>
          <w:lang w:val="sv-FI"/>
        </w:rPr>
        <w:t>.</w:t>
      </w:r>
      <w:r w:rsidRPr="008379CA">
        <w:rPr>
          <w:rFonts w:ascii="Bookman Old Style" w:hAnsi="Bookman Old Style" w:cs="Arial"/>
          <w:lang w:val="id-ID"/>
        </w:rPr>
        <w:t>306</w:t>
      </w:r>
      <w:r w:rsidRPr="008379CA">
        <w:rPr>
          <w:rFonts w:ascii="Bookman Old Style" w:hAnsi="Bookman Old Style" w:cs="Arial"/>
          <w:lang w:val="sv-FI"/>
        </w:rPr>
        <w:t>.</w:t>
      </w:r>
      <w:r w:rsidRPr="008379CA">
        <w:rPr>
          <w:rFonts w:ascii="Bookman Old Style" w:hAnsi="Bookman Old Style" w:cs="Arial"/>
          <w:lang w:val="id-ID"/>
        </w:rPr>
        <w:t>100</w:t>
      </w:r>
      <w:r w:rsidRPr="008379CA">
        <w:rPr>
          <w:rFonts w:ascii="Bookman Old Style" w:hAnsi="Bookman Old Style" w:cs="Arial"/>
          <w:lang w:val="sv-FI"/>
        </w:rPr>
        <w:t>,</w:t>
      </w:r>
      <w:r w:rsidRPr="008379CA">
        <w:rPr>
          <w:rFonts w:ascii="Bookman Old Style" w:hAnsi="Bookman Old Style" w:cs="Arial"/>
          <w:lang w:val="id-ID"/>
        </w:rPr>
        <w:t>00</w:t>
      </w:r>
      <w:r w:rsidR="00A954D0" w:rsidRPr="008379CA">
        <w:rPr>
          <w:rFonts w:ascii="Bookman Old Style" w:hAnsi="Bookman Old Style" w:cs="Arial"/>
          <w:lang w:val="sv-FI"/>
        </w:rPr>
        <w:t xml:space="preserve"> </w:t>
      </w:r>
      <w:r w:rsidRPr="008379CA">
        <w:rPr>
          <w:rFonts w:ascii="Bookman Old Style" w:hAnsi="Bookman Old Style" w:cs="Arial"/>
          <w:lang w:val="id-ID"/>
        </w:rPr>
        <w:t>atau</w:t>
      </w:r>
      <w:r w:rsidR="00A954D0" w:rsidRPr="008379CA">
        <w:rPr>
          <w:rFonts w:ascii="Bookman Old Style" w:hAnsi="Bookman Old Style" w:cs="Arial"/>
          <w:lang w:val="id-ID"/>
        </w:rPr>
        <w:t xml:space="preserve"> </w:t>
      </w:r>
      <w:r w:rsidRPr="008379CA">
        <w:rPr>
          <w:rFonts w:ascii="Bookman Old Style" w:hAnsi="Bookman Old Style" w:cs="Arial"/>
          <w:lang w:val="sv-FI"/>
        </w:rPr>
        <w:t>0</w:t>
      </w:r>
      <w:r w:rsidRPr="008379CA">
        <w:rPr>
          <w:rFonts w:ascii="Bookman Old Style" w:hAnsi="Bookman Old Style" w:cs="Arial"/>
          <w:lang w:val="id-ID"/>
        </w:rPr>
        <w:t>,</w:t>
      </w:r>
      <w:r w:rsidRPr="008379CA">
        <w:rPr>
          <w:rFonts w:ascii="Bookman Old Style" w:hAnsi="Bookman Old Style" w:cs="Arial"/>
          <w:lang w:val="sv-FI"/>
        </w:rPr>
        <w:t>11</w:t>
      </w:r>
      <w:r w:rsidRPr="008379CA">
        <w:rPr>
          <w:rFonts w:ascii="Bookman Old Style" w:hAnsi="Bookman Old Style" w:cs="Arial"/>
          <w:lang w:val="id-ID"/>
        </w:rPr>
        <w:t>%</w:t>
      </w:r>
      <w:r w:rsidR="00A954D0" w:rsidRPr="008379CA">
        <w:rPr>
          <w:rFonts w:ascii="Bookman Old Style" w:hAnsi="Bookman Old Style" w:cs="Arial"/>
          <w:lang w:val="id-ID"/>
        </w:rPr>
        <w:t xml:space="preserve"> </w:t>
      </w:r>
      <w:r w:rsidRPr="008379CA">
        <w:rPr>
          <w:rFonts w:ascii="Bookman Old Style" w:hAnsi="Bookman Old Style" w:cs="Arial"/>
          <w:lang w:val="id-ID"/>
        </w:rPr>
        <w:t>dari</w:t>
      </w:r>
      <w:r w:rsidR="00A954D0" w:rsidRPr="008379CA">
        <w:rPr>
          <w:rFonts w:ascii="Bookman Old Style" w:hAnsi="Bookman Old Style" w:cs="Arial"/>
          <w:lang w:val="id-ID"/>
        </w:rPr>
        <w:t xml:space="preserve"> </w:t>
      </w:r>
      <w:r w:rsidRPr="008379CA">
        <w:rPr>
          <w:rFonts w:ascii="Bookman Old Style" w:hAnsi="Bookman Old Style" w:cs="Arial"/>
          <w:lang w:val="id-ID"/>
        </w:rPr>
        <w:t>total</w:t>
      </w:r>
      <w:r w:rsidR="00A954D0" w:rsidRPr="008379CA">
        <w:rPr>
          <w:rFonts w:ascii="Bookman Old Style" w:hAnsi="Bookman Old Style" w:cs="Arial"/>
          <w:lang w:val="id-ID"/>
        </w:rPr>
        <w:t xml:space="preserve"> </w:t>
      </w:r>
      <w:r w:rsidRPr="008379CA">
        <w:rPr>
          <w:rFonts w:ascii="Bookman Old Style" w:hAnsi="Bookman Old Style" w:cs="Arial"/>
          <w:lang w:val="id-ID"/>
        </w:rPr>
        <w:t>alokasi</w:t>
      </w:r>
      <w:r w:rsidR="00A954D0" w:rsidRPr="008379CA">
        <w:rPr>
          <w:rFonts w:ascii="Bookman Old Style" w:hAnsi="Bookman Old Style" w:cs="Arial"/>
          <w:lang w:val="id-ID"/>
        </w:rPr>
        <w:t xml:space="preserve"> </w:t>
      </w:r>
      <w:r w:rsidRPr="008379CA">
        <w:rPr>
          <w:rFonts w:ascii="Bookman Old Style" w:hAnsi="Bookman Old Style" w:cs="Arial"/>
          <w:lang w:val="id-ID"/>
        </w:rPr>
        <w:t>anggaran</w:t>
      </w:r>
      <w:r w:rsidR="00A954D0" w:rsidRPr="008379CA">
        <w:rPr>
          <w:rFonts w:ascii="Bookman Old Style" w:hAnsi="Bookman Old Style" w:cs="Arial"/>
          <w:lang w:val="id-ID"/>
        </w:rPr>
        <w:t xml:space="preserve"> </w:t>
      </w:r>
      <w:r w:rsidRPr="008379CA">
        <w:rPr>
          <w:rFonts w:ascii="Bookman Old Style" w:hAnsi="Bookman Old Style" w:cs="Arial"/>
          <w:lang w:val="id-ID"/>
        </w:rPr>
        <w:t>dalam</w:t>
      </w:r>
      <w:r w:rsidR="00A954D0" w:rsidRPr="008379CA">
        <w:rPr>
          <w:rFonts w:ascii="Bookman Old Style" w:hAnsi="Bookman Old Style" w:cs="Arial"/>
          <w:lang w:val="id-ID"/>
        </w:rPr>
        <w:t xml:space="preserve"> </w:t>
      </w:r>
      <w:r w:rsidRPr="008379CA">
        <w:rPr>
          <w:rFonts w:ascii="Bookman Old Style" w:hAnsi="Bookman Old Style" w:cs="Arial"/>
          <w:lang w:val="id-ID"/>
        </w:rPr>
        <w:t>rangka</w:t>
      </w:r>
      <w:r w:rsidR="00A954D0" w:rsidRPr="008379CA">
        <w:rPr>
          <w:rFonts w:ascii="Bookman Old Style" w:hAnsi="Bookman Old Style" w:cs="Arial"/>
          <w:lang w:val="id-ID"/>
        </w:rPr>
        <w:t xml:space="preserve"> </w:t>
      </w:r>
      <w:r w:rsidRPr="008379CA">
        <w:rPr>
          <w:rFonts w:ascii="Bookman Old Style" w:hAnsi="Bookman Old Style" w:cs="Arial"/>
          <w:lang w:val="id-ID"/>
        </w:rPr>
        <w:t>pengendalian</w:t>
      </w:r>
      <w:r w:rsidR="00A954D0" w:rsidRPr="008379CA">
        <w:rPr>
          <w:rFonts w:ascii="Bookman Old Style" w:hAnsi="Bookman Old Style" w:cs="Arial"/>
          <w:lang w:val="id-ID"/>
        </w:rPr>
        <w:t xml:space="preserve"> </w:t>
      </w:r>
      <w:r w:rsidRPr="008379CA">
        <w:rPr>
          <w:rFonts w:ascii="Bookman Old Style" w:hAnsi="Bookman Old Style" w:cs="Arial"/>
          <w:lang w:val="id-ID"/>
        </w:rPr>
        <w:t>inflasi</w:t>
      </w:r>
      <w:r w:rsidRPr="008379CA">
        <w:rPr>
          <w:rFonts w:ascii="Bookman Old Style" w:hAnsi="Bookman Old Style" w:cs="Arial"/>
          <w:lang w:val="sv-FI"/>
        </w:rPr>
        <w:t>;</w:t>
      </w:r>
    </w:p>
    <w:p w14:paraId="7DBE3D7D" w14:textId="3DB83AB0" w:rsidR="00C330CC" w:rsidRPr="008379CA" w:rsidRDefault="00C330CC" w:rsidP="00447E9A">
      <w:pPr>
        <w:numPr>
          <w:ilvl w:val="1"/>
          <w:numId w:val="233"/>
        </w:numPr>
        <w:spacing w:before="60" w:line="276" w:lineRule="auto"/>
        <w:ind w:left="1701" w:hanging="425"/>
        <w:jc w:val="both"/>
        <w:rPr>
          <w:rFonts w:ascii="Bookman Old Style" w:hAnsi="Bookman Old Style" w:cs="Arial"/>
          <w:lang w:val="sv-FI"/>
        </w:rPr>
      </w:pPr>
      <w:r w:rsidRPr="008379CA">
        <w:rPr>
          <w:rFonts w:ascii="Bookman Old Style" w:hAnsi="Bookman Old Style" w:cs="Arial"/>
          <w:lang w:val="sv-FI"/>
        </w:rPr>
        <w:t>Pendampingan</w:t>
      </w:r>
      <w:r w:rsidR="00A954D0" w:rsidRPr="008379CA">
        <w:rPr>
          <w:rFonts w:ascii="Bookman Old Style" w:hAnsi="Bookman Old Style" w:cs="Arial"/>
          <w:lang w:val="sv-FI"/>
        </w:rPr>
        <w:t xml:space="preserve"> </w:t>
      </w:r>
      <w:r w:rsidRPr="008379CA">
        <w:rPr>
          <w:rFonts w:ascii="Bookman Old Style" w:hAnsi="Bookman Old Style" w:cs="Arial"/>
          <w:lang w:val="sv-FI"/>
        </w:rPr>
        <w:t>Penggunaan</w:t>
      </w:r>
      <w:r w:rsidR="00A954D0" w:rsidRPr="008379CA">
        <w:rPr>
          <w:rFonts w:ascii="Bookman Old Style" w:hAnsi="Bookman Old Style" w:cs="Arial"/>
          <w:lang w:val="sv-FI"/>
        </w:rPr>
        <w:t xml:space="preserve"> </w:t>
      </w:r>
      <w:r w:rsidRPr="008379CA">
        <w:rPr>
          <w:rFonts w:ascii="Bookman Old Style" w:hAnsi="Bookman Old Style" w:cs="Arial"/>
          <w:lang w:val="sv-FI"/>
        </w:rPr>
        <w:t>Sarana</w:t>
      </w:r>
      <w:r w:rsidR="00A954D0" w:rsidRPr="008379CA">
        <w:rPr>
          <w:rFonts w:ascii="Bookman Old Style" w:hAnsi="Bookman Old Style" w:cs="Arial"/>
          <w:lang w:val="sv-FI"/>
        </w:rPr>
        <w:t xml:space="preserve"> </w:t>
      </w:r>
      <w:r w:rsidRPr="008379CA">
        <w:rPr>
          <w:rFonts w:ascii="Bookman Old Style" w:hAnsi="Bookman Old Style" w:cs="Arial"/>
          <w:lang w:val="sv-FI"/>
        </w:rPr>
        <w:t>Pendukung</w:t>
      </w:r>
      <w:r w:rsidR="00A954D0" w:rsidRPr="008379CA">
        <w:rPr>
          <w:rFonts w:ascii="Bookman Old Style" w:hAnsi="Bookman Old Style" w:cs="Arial"/>
          <w:lang w:val="sv-FI"/>
        </w:rPr>
        <w:t xml:space="preserve"> </w:t>
      </w:r>
      <w:r w:rsidRPr="008379CA">
        <w:rPr>
          <w:rFonts w:ascii="Bookman Old Style" w:hAnsi="Bookman Old Style" w:cs="Arial"/>
          <w:lang w:val="sv-FI"/>
        </w:rPr>
        <w:t>Pertanian</w:t>
      </w:r>
      <w:r w:rsidR="00A954D0" w:rsidRPr="008379CA">
        <w:rPr>
          <w:rFonts w:ascii="Bookman Old Style" w:hAnsi="Bookman Old Style" w:cs="Arial"/>
          <w:lang w:val="sv-FI"/>
        </w:rPr>
        <w:t xml:space="preserve"> </w:t>
      </w:r>
      <w:r w:rsidRPr="008379CA">
        <w:rPr>
          <w:rFonts w:ascii="Bookman Old Style" w:hAnsi="Bookman Old Style" w:cs="Arial"/>
          <w:lang w:val="sv-FI"/>
        </w:rPr>
        <w:t>pada</w:t>
      </w:r>
      <w:r w:rsidR="00A954D0" w:rsidRPr="008379CA">
        <w:rPr>
          <w:rFonts w:ascii="Bookman Old Style" w:hAnsi="Bookman Old Style" w:cs="Arial"/>
          <w:lang w:val="sv-FI"/>
        </w:rPr>
        <w:t xml:space="preserve"> </w:t>
      </w:r>
      <w:r w:rsidRPr="008379CA">
        <w:rPr>
          <w:rFonts w:ascii="Bookman Old Style" w:hAnsi="Bookman Old Style" w:cs="Arial"/>
          <w:lang w:val="sv-FI"/>
        </w:rPr>
        <w:t>Dinas</w:t>
      </w:r>
      <w:r w:rsidR="00A954D0" w:rsidRPr="008379CA">
        <w:rPr>
          <w:rFonts w:ascii="Bookman Old Style" w:hAnsi="Bookman Old Style" w:cs="Arial"/>
          <w:lang w:val="sv-FI"/>
        </w:rPr>
        <w:t xml:space="preserve"> </w:t>
      </w:r>
      <w:r w:rsidRPr="008379CA">
        <w:rPr>
          <w:rFonts w:ascii="Bookman Old Style" w:hAnsi="Bookman Old Style" w:cs="Arial"/>
          <w:lang w:val="sv-FI"/>
        </w:rPr>
        <w:t>Ketahanan</w:t>
      </w:r>
      <w:r w:rsidR="00A954D0" w:rsidRPr="008379CA">
        <w:rPr>
          <w:rFonts w:ascii="Bookman Old Style" w:hAnsi="Bookman Old Style" w:cs="Arial"/>
          <w:lang w:val="sv-FI"/>
        </w:rPr>
        <w:t xml:space="preserve"> </w:t>
      </w:r>
      <w:r w:rsidRPr="008379CA">
        <w:rPr>
          <w:rFonts w:ascii="Bookman Old Style" w:hAnsi="Bookman Old Style" w:cs="Arial"/>
          <w:lang w:val="sv-FI"/>
        </w:rPr>
        <w:t>Pangan</w:t>
      </w:r>
      <w:r w:rsidR="00A954D0" w:rsidRPr="008379CA">
        <w:rPr>
          <w:rFonts w:ascii="Bookman Old Style" w:hAnsi="Bookman Old Style" w:cs="Arial"/>
          <w:lang w:val="sv-FI"/>
        </w:rPr>
        <w:t xml:space="preserve"> </w:t>
      </w:r>
      <w:r w:rsidRPr="008379CA">
        <w:rPr>
          <w:rFonts w:ascii="Bookman Old Style" w:hAnsi="Bookman Old Style" w:cs="Arial"/>
          <w:lang w:val="sv-FI"/>
        </w:rPr>
        <w:t>Rp545.368.350,00</w:t>
      </w:r>
      <w:r w:rsidR="00A954D0" w:rsidRPr="008379CA">
        <w:rPr>
          <w:rFonts w:ascii="Bookman Old Style" w:hAnsi="Bookman Old Style" w:cs="Arial"/>
          <w:lang w:val="sv-FI"/>
        </w:rPr>
        <w:t xml:space="preserve"> </w:t>
      </w:r>
      <w:r w:rsidRPr="008379CA">
        <w:rPr>
          <w:rFonts w:ascii="Bookman Old Style" w:hAnsi="Bookman Old Style" w:cs="Arial"/>
          <w:lang w:val="sv-FI"/>
        </w:rPr>
        <w:t>atau</w:t>
      </w:r>
      <w:r w:rsidR="00A954D0" w:rsidRPr="008379CA">
        <w:rPr>
          <w:rFonts w:ascii="Bookman Old Style" w:hAnsi="Bookman Old Style" w:cs="Arial"/>
          <w:lang w:val="sv-FI"/>
        </w:rPr>
        <w:t xml:space="preserve"> </w:t>
      </w:r>
      <w:r w:rsidRPr="008379CA">
        <w:rPr>
          <w:rFonts w:ascii="Bookman Old Style" w:hAnsi="Bookman Old Style" w:cs="Arial"/>
          <w:lang w:val="sv-FI"/>
        </w:rPr>
        <w:t>0,18%</w:t>
      </w:r>
      <w:r w:rsidR="00A954D0" w:rsidRPr="008379CA">
        <w:rPr>
          <w:rFonts w:ascii="Bookman Old Style" w:hAnsi="Bookman Old Style" w:cs="Arial"/>
          <w:lang w:val="sv-FI"/>
        </w:rPr>
        <w:t xml:space="preserve"> </w:t>
      </w:r>
      <w:r w:rsidRPr="008379CA">
        <w:rPr>
          <w:rFonts w:ascii="Bookman Old Style" w:hAnsi="Bookman Old Style" w:cs="Arial"/>
          <w:lang w:val="sv-FI"/>
        </w:rPr>
        <w:t>dari</w:t>
      </w:r>
      <w:r w:rsidR="00A954D0" w:rsidRPr="008379CA">
        <w:rPr>
          <w:rFonts w:ascii="Bookman Old Style" w:hAnsi="Bookman Old Style" w:cs="Arial"/>
          <w:lang w:val="sv-FI"/>
        </w:rPr>
        <w:t xml:space="preserve"> </w:t>
      </w:r>
      <w:r w:rsidRPr="008379CA">
        <w:rPr>
          <w:rFonts w:ascii="Bookman Old Style" w:hAnsi="Bookman Old Style" w:cs="Arial"/>
          <w:lang w:val="sv-FI"/>
        </w:rPr>
        <w:t>total</w:t>
      </w:r>
      <w:r w:rsidR="00A954D0" w:rsidRPr="008379CA">
        <w:rPr>
          <w:rFonts w:ascii="Bookman Old Style" w:hAnsi="Bookman Old Style" w:cs="Arial"/>
          <w:lang w:val="sv-FI"/>
        </w:rPr>
        <w:t xml:space="preserve"> </w:t>
      </w:r>
      <w:r w:rsidRPr="008379CA">
        <w:rPr>
          <w:rFonts w:ascii="Bookman Old Style" w:hAnsi="Bookman Old Style" w:cs="Arial"/>
          <w:lang w:val="sv-FI"/>
        </w:rPr>
        <w:t>alokasi</w:t>
      </w:r>
      <w:r w:rsidR="00A954D0" w:rsidRPr="008379CA">
        <w:rPr>
          <w:rFonts w:ascii="Bookman Old Style" w:hAnsi="Bookman Old Style" w:cs="Arial"/>
          <w:lang w:val="sv-FI"/>
        </w:rPr>
        <w:t xml:space="preserve"> </w:t>
      </w:r>
      <w:r w:rsidRPr="008379CA">
        <w:rPr>
          <w:rFonts w:ascii="Bookman Old Style" w:hAnsi="Bookman Old Style" w:cs="Arial"/>
          <w:lang w:val="sv-FI"/>
        </w:rPr>
        <w:t>anggaran</w:t>
      </w:r>
      <w:r w:rsidR="00A954D0" w:rsidRPr="008379CA">
        <w:rPr>
          <w:rFonts w:ascii="Bookman Old Style" w:hAnsi="Bookman Old Style" w:cs="Arial"/>
          <w:lang w:val="sv-FI"/>
        </w:rPr>
        <w:t xml:space="preserve"> </w:t>
      </w:r>
      <w:r w:rsidRPr="008379CA">
        <w:rPr>
          <w:rFonts w:ascii="Bookman Old Style" w:hAnsi="Bookman Old Style" w:cs="Arial"/>
          <w:lang w:val="sv-FI"/>
        </w:rPr>
        <w:t>dalam</w:t>
      </w:r>
      <w:r w:rsidR="00A954D0" w:rsidRPr="008379CA">
        <w:rPr>
          <w:rFonts w:ascii="Bookman Old Style" w:hAnsi="Bookman Old Style" w:cs="Arial"/>
          <w:lang w:val="sv-FI"/>
        </w:rPr>
        <w:t xml:space="preserve"> </w:t>
      </w:r>
      <w:r w:rsidRPr="008379CA">
        <w:rPr>
          <w:rFonts w:ascii="Bookman Old Style" w:hAnsi="Bookman Old Style" w:cs="Arial"/>
          <w:lang w:val="sv-FI"/>
        </w:rPr>
        <w:t>rangka</w:t>
      </w:r>
      <w:r w:rsidR="00A954D0" w:rsidRPr="008379CA">
        <w:rPr>
          <w:rFonts w:ascii="Bookman Old Style" w:hAnsi="Bookman Old Style" w:cs="Arial"/>
          <w:lang w:val="sv-FI"/>
        </w:rPr>
        <w:t xml:space="preserve"> </w:t>
      </w:r>
      <w:r w:rsidRPr="008379CA">
        <w:rPr>
          <w:rFonts w:ascii="Bookman Old Style" w:hAnsi="Bookman Old Style" w:cs="Arial"/>
          <w:lang w:val="sv-FI"/>
        </w:rPr>
        <w:t>pengendalian</w:t>
      </w:r>
      <w:r w:rsidR="00A954D0" w:rsidRPr="008379CA">
        <w:rPr>
          <w:rFonts w:ascii="Bookman Old Style" w:hAnsi="Bookman Old Style" w:cs="Arial"/>
          <w:lang w:val="sv-FI"/>
        </w:rPr>
        <w:t xml:space="preserve"> </w:t>
      </w:r>
      <w:r w:rsidRPr="008379CA">
        <w:rPr>
          <w:rFonts w:ascii="Bookman Old Style" w:hAnsi="Bookman Old Style" w:cs="Arial"/>
          <w:lang w:val="sv-FI"/>
        </w:rPr>
        <w:t>inflasi;</w:t>
      </w:r>
      <w:r w:rsidR="00A954D0" w:rsidRPr="008379CA">
        <w:rPr>
          <w:rFonts w:ascii="Bookman Old Style" w:hAnsi="Bookman Old Style" w:cs="Arial"/>
          <w:lang w:val="sv-FI"/>
        </w:rPr>
        <w:t xml:space="preserve"> </w:t>
      </w:r>
    </w:p>
    <w:p w14:paraId="0649E969" w14:textId="3E57A967" w:rsidR="00C330CC" w:rsidRPr="008379CA" w:rsidRDefault="00C330CC" w:rsidP="00447E9A">
      <w:pPr>
        <w:numPr>
          <w:ilvl w:val="1"/>
          <w:numId w:val="233"/>
        </w:numPr>
        <w:spacing w:before="60" w:line="276" w:lineRule="auto"/>
        <w:ind w:left="1701" w:hanging="425"/>
        <w:jc w:val="both"/>
        <w:rPr>
          <w:rFonts w:ascii="Bookman Old Style" w:hAnsi="Bookman Old Style" w:cs="Arial"/>
          <w:lang w:val="sv-FI"/>
        </w:rPr>
      </w:pPr>
      <w:r w:rsidRPr="008379CA">
        <w:rPr>
          <w:rFonts w:ascii="Bookman Old Style" w:hAnsi="Bookman Old Style" w:cs="Arial"/>
          <w:lang w:val="sv-FI"/>
        </w:rPr>
        <w:t>Pengawasan</w:t>
      </w:r>
      <w:r w:rsidR="00A954D0" w:rsidRPr="008379CA">
        <w:rPr>
          <w:rFonts w:ascii="Bookman Old Style" w:hAnsi="Bookman Old Style" w:cs="Arial"/>
          <w:lang w:val="sv-FI"/>
        </w:rPr>
        <w:t xml:space="preserve"> </w:t>
      </w:r>
      <w:r w:rsidRPr="008379CA">
        <w:rPr>
          <w:rFonts w:ascii="Bookman Old Style" w:hAnsi="Bookman Old Style" w:cs="Arial"/>
          <w:lang w:val="sv-FI"/>
        </w:rPr>
        <w:t>Mutu</w:t>
      </w:r>
      <w:r w:rsidR="00A954D0" w:rsidRPr="008379CA">
        <w:rPr>
          <w:rFonts w:ascii="Bookman Old Style" w:hAnsi="Bookman Old Style" w:cs="Arial"/>
          <w:lang w:val="sv-FI"/>
        </w:rPr>
        <w:t xml:space="preserve"> </w:t>
      </w:r>
      <w:r w:rsidRPr="008379CA">
        <w:rPr>
          <w:rFonts w:ascii="Bookman Old Style" w:hAnsi="Bookman Old Style" w:cs="Arial"/>
          <w:lang w:val="sv-FI"/>
        </w:rPr>
        <w:t>Benih/Bibit</w:t>
      </w:r>
      <w:r w:rsidR="00A954D0" w:rsidRPr="008379CA">
        <w:rPr>
          <w:rFonts w:ascii="Bookman Old Style" w:hAnsi="Bookman Old Style" w:cs="Arial"/>
          <w:lang w:val="sv-FI"/>
        </w:rPr>
        <w:t xml:space="preserve"> </w:t>
      </w:r>
      <w:r w:rsidRPr="008379CA">
        <w:rPr>
          <w:rFonts w:ascii="Bookman Old Style" w:hAnsi="Bookman Old Style" w:cs="Arial"/>
          <w:lang w:val="sv-FI"/>
        </w:rPr>
        <w:t>Ternak,</w:t>
      </w:r>
      <w:r w:rsidR="00A954D0" w:rsidRPr="008379CA">
        <w:rPr>
          <w:rFonts w:ascii="Bookman Old Style" w:hAnsi="Bookman Old Style" w:cs="Arial"/>
          <w:lang w:val="sv-FI"/>
        </w:rPr>
        <w:t xml:space="preserve"> </w:t>
      </w:r>
      <w:r w:rsidRPr="008379CA">
        <w:rPr>
          <w:rFonts w:ascii="Bookman Old Style" w:hAnsi="Bookman Old Style" w:cs="Arial"/>
          <w:lang w:val="sv-FI"/>
        </w:rPr>
        <w:t>Bahan</w:t>
      </w:r>
      <w:r w:rsidR="00A954D0" w:rsidRPr="008379CA">
        <w:rPr>
          <w:rFonts w:ascii="Bookman Old Style" w:hAnsi="Bookman Old Style" w:cs="Arial"/>
          <w:lang w:val="sv-FI"/>
        </w:rPr>
        <w:t xml:space="preserve"> </w:t>
      </w:r>
      <w:r w:rsidRPr="008379CA">
        <w:rPr>
          <w:rFonts w:ascii="Bookman Old Style" w:hAnsi="Bookman Old Style" w:cs="Arial"/>
          <w:lang w:val="sv-FI"/>
        </w:rPr>
        <w:t>Pakan/Pakan/Tanaman</w:t>
      </w:r>
      <w:r w:rsidR="00A954D0" w:rsidRPr="008379CA">
        <w:rPr>
          <w:rFonts w:ascii="Bookman Old Style" w:hAnsi="Bookman Old Style" w:cs="Arial"/>
          <w:lang w:val="sv-FI"/>
        </w:rPr>
        <w:t xml:space="preserve"> </w:t>
      </w:r>
      <w:r w:rsidRPr="008379CA">
        <w:rPr>
          <w:rFonts w:ascii="Bookman Old Style" w:hAnsi="Bookman Old Style" w:cs="Arial"/>
          <w:lang w:val="sv-FI"/>
        </w:rPr>
        <w:t>Skala</w:t>
      </w:r>
      <w:r w:rsidR="00A954D0" w:rsidRPr="008379CA">
        <w:rPr>
          <w:rFonts w:ascii="Bookman Old Style" w:hAnsi="Bookman Old Style" w:cs="Arial"/>
          <w:lang w:val="sv-FI"/>
        </w:rPr>
        <w:t xml:space="preserve"> </w:t>
      </w:r>
      <w:r w:rsidRPr="008379CA">
        <w:rPr>
          <w:rFonts w:ascii="Bookman Old Style" w:hAnsi="Bookman Old Style" w:cs="Arial"/>
          <w:lang w:val="sv-FI"/>
        </w:rPr>
        <w:t>Kecil</w:t>
      </w:r>
      <w:r w:rsidR="00A954D0" w:rsidRPr="008379CA">
        <w:rPr>
          <w:rFonts w:ascii="Bookman Old Style" w:hAnsi="Bookman Old Style" w:cs="Arial"/>
          <w:lang w:val="sv-FI"/>
        </w:rPr>
        <w:t xml:space="preserve"> </w:t>
      </w:r>
      <w:r w:rsidRPr="008379CA">
        <w:rPr>
          <w:rFonts w:ascii="Bookman Old Style" w:hAnsi="Bookman Old Style" w:cs="Arial"/>
          <w:lang w:val="sv-FI"/>
        </w:rPr>
        <w:t>pada</w:t>
      </w:r>
      <w:r w:rsidR="00A954D0" w:rsidRPr="008379CA">
        <w:rPr>
          <w:rFonts w:ascii="Bookman Old Style" w:hAnsi="Bookman Old Style" w:cs="Arial"/>
          <w:lang w:val="sv-FI"/>
        </w:rPr>
        <w:t xml:space="preserve"> </w:t>
      </w:r>
      <w:r w:rsidRPr="008379CA">
        <w:rPr>
          <w:rFonts w:ascii="Bookman Old Style" w:hAnsi="Bookman Old Style" w:cs="Arial"/>
          <w:lang w:val="sv-FI"/>
        </w:rPr>
        <w:t>Dinas</w:t>
      </w:r>
      <w:r w:rsidR="00A954D0" w:rsidRPr="008379CA">
        <w:rPr>
          <w:rFonts w:ascii="Bookman Old Style" w:hAnsi="Bookman Old Style" w:cs="Arial"/>
          <w:lang w:val="sv-FI"/>
        </w:rPr>
        <w:t xml:space="preserve"> </w:t>
      </w:r>
      <w:r w:rsidRPr="008379CA">
        <w:rPr>
          <w:rFonts w:ascii="Bookman Old Style" w:hAnsi="Bookman Old Style" w:cs="Arial"/>
          <w:lang w:val="sv-FI"/>
        </w:rPr>
        <w:t>Ketahanan</w:t>
      </w:r>
      <w:r w:rsidR="00A954D0" w:rsidRPr="008379CA">
        <w:rPr>
          <w:rFonts w:ascii="Bookman Old Style" w:hAnsi="Bookman Old Style" w:cs="Arial"/>
          <w:lang w:val="sv-FI"/>
        </w:rPr>
        <w:t xml:space="preserve"> </w:t>
      </w:r>
      <w:r w:rsidRPr="008379CA">
        <w:rPr>
          <w:rFonts w:ascii="Bookman Old Style" w:hAnsi="Bookman Old Style" w:cs="Arial"/>
          <w:lang w:val="sv-FI"/>
        </w:rPr>
        <w:t>Pangan</w:t>
      </w:r>
      <w:r w:rsidR="00A954D0" w:rsidRPr="008379CA">
        <w:rPr>
          <w:rFonts w:ascii="Bookman Old Style" w:hAnsi="Bookman Old Style" w:cs="Arial"/>
          <w:lang w:val="sv-FI"/>
        </w:rPr>
        <w:t xml:space="preserve"> </w:t>
      </w:r>
      <w:r w:rsidRPr="008379CA">
        <w:rPr>
          <w:rFonts w:ascii="Bookman Old Style" w:hAnsi="Bookman Old Style" w:cs="Arial"/>
          <w:lang w:val="sv-FI"/>
        </w:rPr>
        <w:t>Rp589.467.900,00</w:t>
      </w:r>
      <w:r w:rsidR="00A954D0" w:rsidRPr="008379CA">
        <w:rPr>
          <w:rFonts w:ascii="Bookman Old Style" w:hAnsi="Bookman Old Style" w:cs="Arial"/>
          <w:lang w:val="sv-FI"/>
        </w:rPr>
        <w:t xml:space="preserve"> </w:t>
      </w:r>
      <w:r w:rsidRPr="008379CA">
        <w:rPr>
          <w:rFonts w:ascii="Bookman Old Style" w:hAnsi="Bookman Old Style" w:cs="Arial"/>
          <w:lang w:val="sv-FI"/>
        </w:rPr>
        <w:t>atau</w:t>
      </w:r>
      <w:r w:rsidR="00A954D0" w:rsidRPr="008379CA">
        <w:rPr>
          <w:rFonts w:ascii="Bookman Old Style" w:hAnsi="Bookman Old Style" w:cs="Arial"/>
          <w:lang w:val="sv-FI"/>
        </w:rPr>
        <w:t xml:space="preserve"> </w:t>
      </w:r>
      <w:r w:rsidRPr="008379CA">
        <w:rPr>
          <w:rFonts w:ascii="Bookman Old Style" w:hAnsi="Bookman Old Style" w:cs="Arial"/>
          <w:lang w:val="sv-FI"/>
        </w:rPr>
        <w:t>0,19%</w:t>
      </w:r>
      <w:r w:rsidR="00A954D0" w:rsidRPr="008379CA">
        <w:rPr>
          <w:rFonts w:ascii="Bookman Old Style" w:hAnsi="Bookman Old Style" w:cs="Arial"/>
          <w:lang w:val="sv-FI"/>
        </w:rPr>
        <w:t xml:space="preserve"> </w:t>
      </w:r>
      <w:r w:rsidRPr="008379CA">
        <w:rPr>
          <w:rFonts w:ascii="Bookman Old Style" w:hAnsi="Bookman Old Style" w:cs="Arial"/>
          <w:lang w:val="sv-FI"/>
        </w:rPr>
        <w:t>dari</w:t>
      </w:r>
      <w:r w:rsidR="00A954D0" w:rsidRPr="008379CA">
        <w:rPr>
          <w:rFonts w:ascii="Bookman Old Style" w:hAnsi="Bookman Old Style" w:cs="Arial"/>
          <w:lang w:val="sv-FI"/>
        </w:rPr>
        <w:t xml:space="preserve"> </w:t>
      </w:r>
      <w:r w:rsidRPr="008379CA">
        <w:rPr>
          <w:rFonts w:ascii="Bookman Old Style" w:hAnsi="Bookman Old Style" w:cs="Arial"/>
          <w:lang w:val="sv-FI"/>
        </w:rPr>
        <w:t>total</w:t>
      </w:r>
      <w:r w:rsidR="00A954D0" w:rsidRPr="008379CA">
        <w:rPr>
          <w:rFonts w:ascii="Bookman Old Style" w:hAnsi="Bookman Old Style" w:cs="Arial"/>
          <w:lang w:val="sv-FI"/>
        </w:rPr>
        <w:t xml:space="preserve"> </w:t>
      </w:r>
      <w:r w:rsidRPr="008379CA">
        <w:rPr>
          <w:rFonts w:ascii="Bookman Old Style" w:hAnsi="Bookman Old Style" w:cs="Arial"/>
          <w:lang w:val="sv-FI"/>
        </w:rPr>
        <w:t>alokasi</w:t>
      </w:r>
      <w:r w:rsidR="00A954D0" w:rsidRPr="008379CA">
        <w:rPr>
          <w:rFonts w:ascii="Bookman Old Style" w:hAnsi="Bookman Old Style" w:cs="Arial"/>
          <w:lang w:val="sv-FI"/>
        </w:rPr>
        <w:t xml:space="preserve"> </w:t>
      </w:r>
      <w:r w:rsidRPr="008379CA">
        <w:rPr>
          <w:rFonts w:ascii="Bookman Old Style" w:hAnsi="Bookman Old Style" w:cs="Arial"/>
          <w:lang w:val="sv-FI"/>
        </w:rPr>
        <w:t>anggaran</w:t>
      </w:r>
      <w:r w:rsidR="00A954D0" w:rsidRPr="008379CA">
        <w:rPr>
          <w:rFonts w:ascii="Bookman Old Style" w:hAnsi="Bookman Old Style" w:cs="Arial"/>
          <w:lang w:val="sv-FI"/>
        </w:rPr>
        <w:t xml:space="preserve"> </w:t>
      </w:r>
      <w:r w:rsidRPr="008379CA">
        <w:rPr>
          <w:rFonts w:ascii="Bookman Old Style" w:hAnsi="Bookman Old Style" w:cs="Arial"/>
          <w:lang w:val="sv-FI"/>
        </w:rPr>
        <w:t>dalam</w:t>
      </w:r>
      <w:r w:rsidR="00A954D0" w:rsidRPr="008379CA">
        <w:rPr>
          <w:rFonts w:ascii="Bookman Old Style" w:hAnsi="Bookman Old Style" w:cs="Arial"/>
          <w:lang w:val="sv-FI"/>
        </w:rPr>
        <w:t xml:space="preserve"> </w:t>
      </w:r>
      <w:r w:rsidRPr="008379CA">
        <w:rPr>
          <w:rFonts w:ascii="Bookman Old Style" w:hAnsi="Bookman Old Style" w:cs="Arial"/>
          <w:lang w:val="sv-FI"/>
        </w:rPr>
        <w:t>rangka</w:t>
      </w:r>
      <w:r w:rsidR="00A954D0" w:rsidRPr="008379CA">
        <w:rPr>
          <w:rFonts w:ascii="Bookman Old Style" w:hAnsi="Bookman Old Style" w:cs="Arial"/>
          <w:lang w:val="sv-FI"/>
        </w:rPr>
        <w:t xml:space="preserve"> </w:t>
      </w:r>
      <w:r w:rsidRPr="008379CA">
        <w:rPr>
          <w:rFonts w:ascii="Bookman Old Style" w:hAnsi="Bookman Old Style" w:cs="Arial"/>
          <w:lang w:val="sv-FI"/>
        </w:rPr>
        <w:t>pengendalian</w:t>
      </w:r>
      <w:r w:rsidR="00A954D0" w:rsidRPr="008379CA">
        <w:rPr>
          <w:rFonts w:ascii="Bookman Old Style" w:hAnsi="Bookman Old Style" w:cs="Arial"/>
          <w:lang w:val="sv-FI"/>
        </w:rPr>
        <w:t xml:space="preserve"> </w:t>
      </w:r>
      <w:r w:rsidRPr="008379CA">
        <w:rPr>
          <w:rFonts w:ascii="Bookman Old Style" w:hAnsi="Bookman Old Style" w:cs="Arial"/>
          <w:lang w:val="sv-FI"/>
        </w:rPr>
        <w:t>inflasi;</w:t>
      </w:r>
    </w:p>
    <w:p w14:paraId="5C8C2481" w14:textId="1641A650" w:rsidR="00C330CC" w:rsidRPr="008379CA" w:rsidRDefault="00C330CC" w:rsidP="00447E9A">
      <w:pPr>
        <w:numPr>
          <w:ilvl w:val="1"/>
          <w:numId w:val="233"/>
        </w:numPr>
        <w:spacing w:before="60" w:line="276" w:lineRule="auto"/>
        <w:ind w:left="1701" w:hanging="425"/>
        <w:jc w:val="both"/>
        <w:rPr>
          <w:rFonts w:ascii="Bookman Old Style" w:hAnsi="Bookman Old Style" w:cs="Arial"/>
          <w:lang w:val="sv-FI"/>
        </w:rPr>
      </w:pPr>
      <w:r w:rsidRPr="008379CA">
        <w:rPr>
          <w:rFonts w:ascii="Bookman Old Style" w:hAnsi="Bookman Old Style" w:cs="Arial"/>
          <w:lang w:val="sv-FI"/>
        </w:rPr>
        <w:t>Koordinasi,</w:t>
      </w:r>
      <w:r w:rsidR="00A954D0" w:rsidRPr="008379CA">
        <w:rPr>
          <w:rFonts w:ascii="Bookman Old Style" w:hAnsi="Bookman Old Style" w:cs="Arial"/>
          <w:lang w:val="sv-FI"/>
        </w:rPr>
        <w:t xml:space="preserve"> </w:t>
      </w:r>
      <w:r w:rsidRPr="008379CA">
        <w:rPr>
          <w:rFonts w:ascii="Bookman Old Style" w:hAnsi="Bookman Old Style" w:cs="Arial"/>
          <w:lang w:val="sv-FI"/>
        </w:rPr>
        <w:t>Sinkronisasi</w:t>
      </w:r>
      <w:r w:rsidR="00A954D0" w:rsidRPr="008379CA">
        <w:rPr>
          <w:rFonts w:ascii="Bookman Old Style" w:hAnsi="Bookman Old Style" w:cs="Arial"/>
          <w:lang w:val="sv-FI"/>
        </w:rPr>
        <w:t xml:space="preserve"> </w:t>
      </w:r>
      <w:r w:rsidRPr="008379CA">
        <w:rPr>
          <w:rFonts w:ascii="Bookman Old Style" w:hAnsi="Bookman Old Style" w:cs="Arial"/>
          <w:lang w:val="sv-FI"/>
        </w:rPr>
        <w:t>dan</w:t>
      </w:r>
      <w:r w:rsidR="00A954D0" w:rsidRPr="008379CA">
        <w:rPr>
          <w:rFonts w:ascii="Bookman Old Style" w:hAnsi="Bookman Old Style" w:cs="Arial"/>
          <w:lang w:val="sv-FI"/>
        </w:rPr>
        <w:t xml:space="preserve"> </w:t>
      </w:r>
      <w:r w:rsidRPr="008379CA">
        <w:rPr>
          <w:rFonts w:ascii="Bookman Old Style" w:hAnsi="Bookman Old Style" w:cs="Arial"/>
          <w:lang w:val="sv-FI"/>
        </w:rPr>
        <w:t>Pelaksanaan</w:t>
      </w:r>
      <w:r w:rsidR="00A954D0" w:rsidRPr="008379CA">
        <w:rPr>
          <w:rFonts w:ascii="Bookman Old Style" w:hAnsi="Bookman Old Style" w:cs="Arial"/>
          <w:lang w:val="sv-FI"/>
        </w:rPr>
        <w:t xml:space="preserve"> </w:t>
      </w:r>
      <w:r w:rsidRPr="008379CA">
        <w:rPr>
          <w:rFonts w:ascii="Bookman Old Style" w:hAnsi="Bookman Old Style" w:cs="Arial"/>
          <w:lang w:val="sv-FI"/>
        </w:rPr>
        <w:t>Distribusi</w:t>
      </w:r>
      <w:r w:rsidR="00A954D0" w:rsidRPr="008379CA">
        <w:rPr>
          <w:rFonts w:ascii="Bookman Old Style" w:hAnsi="Bookman Old Style" w:cs="Arial"/>
          <w:lang w:val="sv-FI"/>
        </w:rPr>
        <w:t xml:space="preserve"> </w:t>
      </w:r>
      <w:r w:rsidRPr="008379CA">
        <w:rPr>
          <w:rFonts w:ascii="Bookman Old Style" w:hAnsi="Bookman Old Style" w:cs="Arial"/>
          <w:lang w:val="sv-FI"/>
        </w:rPr>
        <w:t>Pangan</w:t>
      </w:r>
      <w:r w:rsidR="00A954D0" w:rsidRPr="008379CA">
        <w:rPr>
          <w:rFonts w:ascii="Bookman Old Style" w:hAnsi="Bookman Old Style" w:cs="Arial"/>
          <w:lang w:val="sv-FI"/>
        </w:rPr>
        <w:t xml:space="preserve"> </w:t>
      </w:r>
      <w:r w:rsidRPr="008379CA">
        <w:rPr>
          <w:rFonts w:ascii="Bookman Old Style" w:hAnsi="Bookman Old Style" w:cs="Arial"/>
          <w:lang w:val="sv-FI"/>
        </w:rPr>
        <w:t>Pokok</w:t>
      </w:r>
      <w:r w:rsidR="00A954D0" w:rsidRPr="008379CA">
        <w:rPr>
          <w:rFonts w:ascii="Bookman Old Style" w:hAnsi="Bookman Old Style" w:cs="Arial"/>
          <w:lang w:val="sv-FI"/>
        </w:rPr>
        <w:t xml:space="preserve"> </w:t>
      </w:r>
      <w:r w:rsidRPr="008379CA">
        <w:rPr>
          <w:rFonts w:ascii="Bookman Old Style" w:hAnsi="Bookman Old Style" w:cs="Arial"/>
          <w:lang w:val="sv-FI"/>
        </w:rPr>
        <w:t>dan</w:t>
      </w:r>
      <w:r w:rsidR="00A954D0" w:rsidRPr="008379CA">
        <w:rPr>
          <w:rFonts w:ascii="Bookman Old Style" w:hAnsi="Bookman Old Style" w:cs="Arial"/>
          <w:lang w:val="sv-FI"/>
        </w:rPr>
        <w:t xml:space="preserve"> </w:t>
      </w:r>
      <w:r w:rsidRPr="008379CA">
        <w:rPr>
          <w:rFonts w:ascii="Bookman Old Style" w:hAnsi="Bookman Old Style" w:cs="Arial"/>
          <w:lang w:val="sv-FI"/>
        </w:rPr>
        <w:t>Pangan</w:t>
      </w:r>
      <w:r w:rsidR="00A954D0" w:rsidRPr="008379CA">
        <w:rPr>
          <w:rFonts w:ascii="Bookman Old Style" w:hAnsi="Bookman Old Style" w:cs="Arial"/>
          <w:lang w:val="sv-FI"/>
        </w:rPr>
        <w:t xml:space="preserve"> </w:t>
      </w:r>
      <w:r w:rsidRPr="008379CA">
        <w:rPr>
          <w:rFonts w:ascii="Bookman Old Style" w:hAnsi="Bookman Old Style" w:cs="Arial"/>
          <w:lang w:val="sv-FI"/>
        </w:rPr>
        <w:t>Lainnya</w:t>
      </w:r>
      <w:r w:rsidR="00A954D0" w:rsidRPr="008379CA">
        <w:rPr>
          <w:rFonts w:ascii="Bookman Old Style" w:hAnsi="Bookman Old Style" w:cs="Arial"/>
          <w:lang w:val="sv-FI"/>
        </w:rPr>
        <w:t xml:space="preserve"> </w:t>
      </w:r>
      <w:r w:rsidR="001962A0" w:rsidRPr="008379CA">
        <w:rPr>
          <w:rFonts w:ascii="Bookman Old Style" w:hAnsi="Bookman Old Style" w:cs="Arial"/>
          <w:lang w:val="sv-FI"/>
        </w:rPr>
        <w:t>p</w:t>
      </w:r>
      <w:r w:rsidRPr="008379CA">
        <w:rPr>
          <w:rFonts w:ascii="Bookman Old Style" w:hAnsi="Bookman Old Style" w:cs="Arial"/>
          <w:lang w:val="sv-FI"/>
        </w:rPr>
        <w:t>ada</w:t>
      </w:r>
      <w:r w:rsidR="00A954D0" w:rsidRPr="008379CA">
        <w:rPr>
          <w:rFonts w:ascii="Bookman Old Style" w:hAnsi="Bookman Old Style" w:cs="Arial"/>
          <w:lang w:val="sv-FI"/>
        </w:rPr>
        <w:t xml:space="preserve"> </w:t>
      </w:r>
      <w:r w:rsidRPr="008379CA">
        <w:rPr>
          <w:rFonts w:ascii="Bookman Old Style" w:hAnsi="Bookman Old Style" w:cs="Arial"/>
          <w:lang w:val="sv-FI"/>
        </w:rPr>
        <w:t>Dinas</w:t>
      </w:r>
      <w:r w:rsidR="00A954D0" w:rsidRPr="008379CA">
        <w:rPr>
          <w:rFonts w:ascii="Bookman Old Style" w:hAnsi="Bookman Old Style" w:cs="Arial"/>
          <w:lang w:val="sv-FI"/>
        </w:rPr>
        <w:t xml:space="preserve"> </w:t>
      </w:r>
      <w:r w:rsidRPr="008379CA">
        <w:rPr>
          <w:rFonts w:ascii="Bookman Old Style" w:hAnsi="Bookman Old Style" w:cs="Arial"/>
          <w:lang w:val="sv-FI"/>
        </w:rPr>
        <w:t>Ketahanan</w:t>
      </w:r>
      <w:r w:rsidR="00A954D0" w:rsidRPr="008379CA">
        <w:rPr>
          <w:rFonts w:ascii="Bookman Old Style" w:hAnsi="Bookman Old Style" w:cs="Arial"/>
          <w:lang w:val="sv-FI"/>
        </w:rPr>
        <w:t xml:space="preserve"> </w:t>
      </w:r>
      <w:r w:rsidRPr="008379CA">
        <w:rPr>
          <w:rFonts w:ascii="Bookman Old Style" w:hAnsi="Bookman Old Style" w:cs="Arial"/>
          <w:lang w:val="sv-FI"/>
        </w:rPr>
        <w:t>Pangan</w:t>
      </w:r>
      <w:r w:rsidR="00A954D0" w:rsidRPr="008379CA">
        <w:rPr>
          <w:rFonts w:ascii="Bookman Old Style" w:hAnsi="Bookman Old Style" w:cs="Arial"/>
          <w:lang w:val="sv-FI"/>
        </w:rPr>
        <w:t xml:space="preserve"> </w:t>
      </w:r>
      <w:r w:rsidRPr="008379CA">
        <w:rPr>
          <w:rFonts w:ascii="Bookman Old Style" w:hAnsi="Bookman Old Style" w:cs="Arial"/>
          <w:lang w:val="sv-FI"/>
        </w:rPr>
        <w:t>Rp349.981.400,00</w:t>
      </w:r>
      <w:r w:rsidR="00A954D0" w:rsidRPr="008379CA">
        <w:rPr>
          <w:rFonts w:ascii="Bookman Old Style" w:hAnsi="Bookman Old Style" w:cs="Arial"/>
          <w:lang w:val="sv-FI"/>
        </w:rPr>
        <w:t xml:space="preserve"> </w:t>
      </w:r>
      <w:r w:rsidRPr="008379CA">
        <w:rPr>
          <w:rFonts w:ascii="Bookman Old Style" w:hAnsi="Bookman Old Style" w:cs="Arial"/>
          <w:lang w:val="sv-FI"/>
        </w:rPr>
        <w:t>atau</w:t>
      </w:r>
      <w:r w:rsidR="00A954D0" w:rsidRPr="008379CA">
        <w:rPr>
          <w:rFonts w:ascii="Bookman Old Style" w:hAnsi="Bookman Old Style" w:cs="Arial"/>
          <w:lang w:val="sv-FI"/>
        </w:rPr>
        <w:t xml:space="preserve"> </w:t>
      </w:r>
      <w:r w:rsidRPr="008379CA">
        <w:rPr>
          <w:rFonts w:ascii="Bookman Old Style" w:hAnsi="Bookman Old Style" w:cs="Arial"/>
          <w:lang w:val="sv-FI"/>
        </w:rPr>
        <w:t>0,12%</w:t>
      </w:r>
      <w:r w:rsidR="00A954D0" w:rsidRPr="008379CA">
        <w:rPr>
          <w:rFonts w:ascii="Bookman Old Style" w:hAnsi="Bookman Old Style" w:cs="Arial"/>
          <w:lang w:val="sv-FI"/>
        </w:rPr>
        <w:t xml:space="preserve"> </w:t>
      </w:r>
      <w:r w:rsidRPr="008379CA">
        <w:rPr>
          <w:rFonts w:ascii="Bookman Old Style" w:hAnsi="Bookman Old Style" w:cs="Arial"/>
          <w:lang w:val="sv-FI"/>
        </w:rPr>
        <w:t>dari</w:t>
      </w:r>
      <w:r w:rsidR="00A954D0" w:rsidRPr="008379CA">
        <w:rPr>
          <w:rFonts w:ascii="Bookman Old Style" w:hAnsi="Bookman Old Style" w:cs="Arial"/>
          <w:lang w:val="sv-FI"/>
        </w:rPr>
        <w:t xml:space="preserve"> </w:t>
      </w:r>
      <w:r w:rsidRPr="008379CA">
        <w:rPr>
          <w:rFonts w:ascii="Bookman Old Style" w:hAnsi="Bookman Old Style" w:cs="Arial"/>
          <w:lang w:val="sv-FI"/>
        </w:rPr>
        <w:t>total</w:t>
      </w:r>
      <w:r w:rsidR="00A954D0" w:rsidRPr="008379CA">
        <w:rPr>
          <w:rFonts w:ascii="Bookman Old Style" w:hAnsi="Bookman Old Style" w:cs="Arial"/>
          <w:lang w:val="sv-FI"/>
        </w:rPr>
        <w:t xml:space="preserve"> </w:t>
      </w:r>
      <w:r w:rsidRPr="008379CA">
        <w:rPr>
          <w:rFonts w:ascii="Bookman Old Style" w:hAnsi="Bookman Old Style" w:cs="Arial"/>
          <w:lang w:val="sv-FI"/>
        </w:rPr>
        <w:t>alokasi</w:t>
      </w:r>
      <w:r w:rsidR="00A954D0" w:rsidRPr="008379CA">
        <w:rPr>
          <w:rFonts w:ascii="Bookman Old Style" w:hAnsi="Bookman Old Style" w:cs="Arial"/>
          <w:lang w:val="sv-FI"/>
        </w:rPr>
        <w:t xml:space="preserve"> </w:t>
      </w:r>
      <w:r w:rsidRPr="008379CA">
        <w:rPr>
          <w:rFonts w:ascii="Bookman Old Style" w:hAnsi="Bookman Old Style" w:cs="Arial"/>
          <w:lang w:val="sv-FI"/>
        </w:rPr>
        <w:t>anggaran</w:t>
      </w:r>
      <w:r w:rsidR="00A954D0" w:rsidRPr="008379CA">
        <w:rPr>
          <w:rFonts w:ascii="Bookman Old Style" w:hAnsi="Bookman Old Style" w:cs="Arial"/>
          <w:lang w:val="sv-FI"/>
        </w:rPr>
        <w:t xml:space="preserve"> </w:t>
      </w:r>
      <w:r w:rsidRPr="008379CA">
        <w:rPr>
          <w:rFonts w:ascii="Bookman Old Style" w:hAnsi="Bookman Old Style" w:cs="Arial"/>
          <w:lang w:val="sv-FI"/>
        </w:rPr>
        <w:t>dalam</w:t>
      </w:r>
      <w:r w:rsidR="00A954D0" w:rsidRPr="008379CA">
        <w:rPr>
          <w:rFonts w:ascii="Bookman Old Style" w:hAnsi="Bookman Old Style" w:cs="Arial"/>
          <w:lang w:val="sv-FI"/>
        </w:rPr>
        <w:t xml:space="preserve"> </w:t>
      </w:r>
      <w:r w:rsidRPr="008379CA">
        <w:rPr>
          <w:rFonts w:ascii="Bookman Old Style" w:hAnsi="Bookman Old Style" w:cs="Arial"/>
          <w:lang w:val="sv-FI"/>
        </w:rPr>
        <w:t>rangka</w:t>
      </w:r>
      <w:r w:rsidR="00A954D0" w:rsidRPr="008379CA">
        <w:rPr>
          <w:rFonts w:ascii="Bookman Old Style" w:hAnsi="Bookman Old Style" w:cs="Arial"/>
          <w:lang w:val="sv-FI"/>
        </w:rPr>
        <w:t xml:space="preserve"> </w:t>
      </w:r>
      <w:r w:rsidRPr="008379CA">
        <w:rPr>
          <w:rFonts w:ascii="Bookman Old Style" w:hAnsi="Bookman Old Style" w:cs="Arial"/>
          <w:lang w:val="sv-FI"/>
        </w:rPr>
        <w:t>pengendalian</w:t>
      </w:r>
      <w:r w:rsidR="00A954D0" w:rsidRPr="008379CA">
        <w:rPr>
          <w:rFonts w:ascii="Bookman Old Style" w:hAnsi="Bookman Old Style" w:cs="Arial"/>
          <w:lang w:val="sv-FI"/>
        </w:rPr>
        <w:t xml:space="preserve"> </w:t>
      </w:r>
      <w:r w:rsidRPr="008379CA">
        <w:rPr>
          <w:rFonts w:ascii="Bookman Old Style" w:hAnsi="Bookman Old Style" w:cs="Arial"/>
          <w:lang w:val="sv-FI"/>
        </w:rPr>
        <w:t>inflasi;</w:t>
      </w:r>
    </w:p>
    <w:p w14:paraId="07614E05" w14:textId="7D30A52D" w:rsidR="00C330CC" w:rsidRPr="008379CA" w:rsidRDefault="00C330CC" w:rsidP="00447E9A">
      <w:pPr>
        <w:numPr>
          <w:ilvl w:val="1"/>
          <w:numId w:val="233"/>
        </w:numPr>
        <w:spacing w:before="60" w:line="276" w:lineRule="auto"/>
        <w:ind w:left="1701" w:hanging="425"/>
        <w:jc w:val="both"/>
        <w:rPr>
          <w:rFonts w:ascii="Bookman Old Style" w:hAnsi="Bookman Old Style" w:cs="Arial"/>
          <w:lang w:val="sv-FI"/>
        </w:rPr>
      </w:pPr>
      <w:r w:rsidRPr="008379CA">
        <w:rPr>
          <w:rFonts w:ascii="Bookman Old Style" w:hAnsi="Bookman Old Style" w:cs="Arial"/>
          <w:lang w:val="sv-FI"/>
        </w:rPr>
        <w:t>Penyusunan</w:t>
      </w:r>
      <w:r w:rsidR="00A954D0" w:rsidRPr="008379CA">
        <w:rPr>
          <w:rFonts w:ascii="Bookman Old Style" w:hAnsi="Bookman Old Style" w:cs="Arial"/>
          <w:lang w:val="sv-FI"/>
        </w:rPr>
        <w:t xml:space="preserve"> </w:t>
      </w:r>
      <w:r w:rsidRPr="008379CA">
        <w:rPr>
          <w:rFonts w:ascii="Bookman Old Style" w:hAnsi="Bookman Old Style" w:cs="Arial"/>
          <w:lang w:val="sv-FI"/>
        </w:rPr>
        <w:t>Rencana</w:t>
      </w:r>
      <w:r w:rsidR="00A954D0" w:rsidRPr="008379CA">
        <w:rPr>
          <w:rFonts w:ascii="Bookman Old Style" w:hAnsi="Bookman Old Style" w:cs="Arial"/>
          <w:lang w:val="sv-FI"/>
        </w:rPr>
        <w:t xml:space="preserve"> </w:t>
      </w:r>
      <w:r w:rsidRPr="008379CA">
        <w:rPr>
          <w:rFonts w:ascii="Bookman Old Style" w:hAnsi="Bookman Old Style" w:cs="Arial"/>
          <w:lang w:val="sv-FI"/>
        </w:rPr>
        <w:t>Kebutuhan</w:t>
      </w:r>
      <w:r w:rsidR="00A954D0" w:rsidRPr="008379CA">
        <w:rPr>
          <w:rFonts w:ascii="Bookman Old Style" w:hAnsi="Bookman Old Style" w:cs="Arial"/>
          <w:lang w:val="sv-FI"/>
        </w:rPr>
        <w:t xml:space="preserve"> </w:t>
      </w:r>
      <w:r w:rsidRPr="008379CA">
        <w:rPr>
          <w:rFonts w:ascii="Bookman Old Style" w:hAnsi="Bookman Old Style" w:cs="Arial"/>
          <w:lang w:val="sv-FI"/>
        </w:rPr>
        <w:t>Pangan</w:t>
      </w:r>
      <w:r w:rsidR="00A954D0" w:rsidRPr="008379CA">
        <w:rPr>
          <w:rFonts w:ascii="Bookman Old Style" w:hAnsi="Bookman Old Style" w:cs="Arial"/>
          <w:lang w:val="sv-FI"/>
        </w:rPr>
        <w:t xml:space="preserve"> </w:t>
      </w:r>
      <w:r w:rsidRPr="008379CA">
        <w:rPr>
          <w:rFonts w:ascii="Bookman Old Style" w:hAnsi="Bookman Old Style" w:cs="Arial"/>
          <w:lang w:val="sv-FI"/>
        </w:rPr>
        <w:t>Lokal</w:t>
      </w:r>
      <w:r w:rsidR="00A954D0" w:rsidRPr="008379CA">
        <w:rPr>
          <w:rFonts w:ascii="Bookman Old Style" w:hAnsi="Bookman Old Style" w:cs="Arial"/>
          <w:lang w:val="sv-FI"/>
        </w:rPr>
        <w:t xml:space="preserve"> </w:t>
      </w:r>
      <w:r w:rsidRPr="008379CA">
        <w:rPr>
          <w:rFonts w:ascii="Bookman Old Style" w:hAnsi="Bookman Old Style" w:cs="Arial"/>
          <w:lang w:val="sv-FI"/>
        </w:rPr>
        <w:t>Pada</w:t>
      </w:r>
      <w:r w:rsidR="00A954D0" w:rsidRPr="008379CA">
        <w:rPr>
          <w:rFonts w:ascii="Bookman Old Style" w:hAnsi="Bookman Old Style" w:cs="Arial"/>
          <w:lang w:val="sv-FI"/>
        </w:rPr>
        <w:t xml:space="preserve"> </w:t>
      </w:r>
      <w:r w:rsidRPr="008379CA">
        <w:rPr>
          <w:rFonts w:ascii="Bookman Old Style" w:hAnsi="Bookman Old Style" w:cs="Arial"/>
          <w:lang w:val="sv-FI"/>
        </w:rPr>
        <w:t>Dinas</w:t>
      </w:r>
      <w:r w:rsidR="00A954D0" w:rsidRPr="008379CA">
        <w:rPr>
          <w:rFonts w:ascii="Bookman Old Style" w:hAnsi="Bookman Old Style" w:cs="Arial"/>
          <w:lang w:val="sv-FI"/>
        </w:rPr>
        <w:t xml:space="preserve"> </w:t>
      </w:r>
      <w:r w:rsidRPr="008379CA">
        <w:rPr>
          <w:rFonts w:ascii="Bookman Old Style" w:hAnsi="Bookman Old Style" w:cs="Arial"/>
          <w:lang w:val="sv-FI"/>
        </w:rPr>
        <w:t>Ketahanan</w:t>
      </w:r>
      <w:r w:rsidR="00A954D0" w:rsidRPr="008379CA">
        <w:rPr>
          <w:rFonts w:ascii="Bookman Old Style" w:hAnsi="Bookman Old Style" w:cs="Arial"/>
          <w:lang w:val="sv-FI"/>
        </w:rPr>
        <w:t xml:space="preserve"> </w:t>
      </w:r>
      <w:r w:rsidRPr="008379CA">
        <w:rPr>
          <w:rFonts w:ascii="Bookman Old Style" w:hAnsi="Bookman Old Style" w:cs="Arial"/>
          <w:lang w:val="sv-FI"/>
        </w:rPr>
        <w:t>Pangan</w:t>
      </w:r>
      <w:r w:rsidR="00A954D0" w:rsidRPr="008379CA">
        <w:rPr>
          <w:rFonts w:ascii="Bookman Old Style" w:hAnsi="Bookman Old Style" w:cs="Arial"/>
          <w:lang w:val="sv-FI"/>
        </w:rPr>
        <w:t xml:space="preserve"> </w:t>
      </w:r>
      <w:r w:rsidRPr="008379CA">
        <w:rPr>
          <w:rFonts w:ascii="Bookman Old Style" w:hAnsi="Bookman Old Style" w:cs="Arial"/>
          <w:lang w:val="sv-FI"/>
        </w:rPr>
        <w:t>Rp250.000.000,00</w:t>
      </w:r>
      <w:r w:rsidR="00A954D0" w:rsidRPr="008379CA">
        <w:rPr>
          <w:rFonts w:ascii="Bookman Old Style" w:hAnsi="Bookman Old Style" w:cs="Arial"/>
          <w:lang w:val="sv-FI"/>
        </w:rPr>
        <w:t xml:space="preserve"> </w:t>
      </w:r>
      <w:r w:rsidRPr="008379CA">
        <w:rPr>
          <w:rFonts w:ascii="Bookman Old Style" w:hAnsi="Bookman Old Style" w:cs="Arial"/>
          <w:lang w:val="sv-FI"/>
        </w:rPr>
        <w:t>atau</w:t>
      </w:r>
      <w:r w:rsidR="00A954D0" w:rsidRPr="008379CA">
        <w:rPr>
          <w:rFonts w:ascii="Bookman Old Style" w:hAnsi="Bookman Old Style" w:cs="Arial"/>
          <w:lang w:val="sv-FI"/>
        </w:rPr>
        <w:t xml:space="preserve"> </w:t>
      </w:r>
      <w:r w:rsidRPr="008379CA">
        <w:rPr>
          <w:rFonts w:ascii="Bookman Old Style" w:hAnsi="Bookman Old Style" w:cs="Arial"/>
          <w:lang w:val="sv-FI"/>
        </w:rPr>
        <w:t>0,08%</w:t>
      </w:r>
      <w:r w:rsidR="00A954D0" w:rsidRPr="008379CA">
        <w:rPr>
          <w:rFonts w:ascii="Bookman Old Style" w:hAnsi="Bookman Old Style" w:cs="Arial"/>
          <w:lang w:val="sv-FI"/>
        </w:rPr>
        <w:t xml:space="preserve"> </w:t>
      </w:r>
      <w:r w:rsidRPr="008379CA">
        <w:rPr>
          <w:rFonts w:ascii="Bookman Old Style" w:hAnsi="Bookman Old Style" w:cs="Arial"/>
          <w:lang w:val="sv-FI"/>
        </w:rPr>
        <w:t>dari</w:t>
      </w:r>
      <w:r w:rsidR="00A954D0" w:rsidRPr="008379CA">
        <w:rPr>
          <w:rFonts w:ascii="Bookman Old Style" w:hAnsi="Bookman Old Style" w:cs="Arial"/>
          <w:lang w:val="sv-FI"/>
        </w:rPr>
        <w:t xml:space="preserve"> </w:t>
      </w:r>
      <w:r w:rsidRPr="008379CA">
        <w:rPr>
          <w:rFonts w:ascii="Bookman Old Style" w:hAnsi="Bookman Old Style" w:cs="Arial"/>
          <w:lang w:val="sv-FI"/>
        </w:rPr>
        <w:t>total</w:t>
      </w:r>
      <w:r w:rsidR="00A954D0" w:rsidRPr="008379CA">
        <w:rPr>
          <w:rFonts w:ascii="Bookman Old Style" w:hAnsi="Bookman Old Style" w:cs="Arial"/>
          <w:lang w:val="sv-FI"/>
        </w:rPr>
        <w:t xml:space="preserve"> </w:t>
      </w:r>
      <w:r w:rsidRPr="008379CA">
        <w:rPr>
          <w:rFonts w:ascii="Bookman Old Style" w:hAnsi="Bookman Old Style" w:cs="Arial"/>
          <w:lang w:val="sv-FI"/>
        </w:rPr>
        <w:t>alokasi</w:t>
      </w:r>
      <w:r w:rsidR="00A954D0" w:rsidRPr="008379CA">
        <w:rPr>
          <w:rFonts w:ascii="Bookman Old Style" w:hAnsi="Bookman Old Style" w:cs="Arial"/>
          <w:lang w:val="sv-FI"/>
        </w:rPr>
        <w:t xml:space="preserve"> </w:t>
      </w:r>
      <w:r w:rsidRPr="008379CA">
        <w:rPr>
          <w:rFonts w:ascii="Bookman Old Style" w:hAnsi="Bookman Old Style" w:cs="Arial"/>
          <w:lang w:val="sv-FI"/>
        </w:rPr>
        <w:t>anggaran</w:t>
      </w:r>
      <w:r w:rsidR="00A954D0" w:rsidRPr="008379CA">
        <w:rPr>
          <w:rFonts w:ascii="Bookman Old Style" w:hAnsi="Bookman Old Style" w:cs="Arial"/>
          <w:lang w:val="sv-FI"/>
        </w:rPr>
        <w:t xml:space="preserve"> </w:t>
      </w:r>
      <w:r w:rsidRPr="008379CA">
        <w:rPr>
          <w:rFonts w:ascii="Bookman Old Style" w:hAnsi="Bookman Old Style" w:cs="Arial"/>
          <w:lang w:val="sv-FI"/>
        </w:rPr>
        <w:t>dalam</w:t>
      </w:r>
      <w:r w:rsidR="00A954D0" w:rsidRPr="008379CA">
        <w:rPr>
          <w:rFonts w:ascii="Bookman Old Style" w:hAnsi="Bookman Old Style" w:cs="Arial"/>
          <w:lang w:val="sv-FI"/>
        </w:rPr>
        <w:t xml:space="preserve"> </w:t>
      </w:r>
      <w:r w:rsidRPr="008379CA">
        <w:rPr>
          <w:rFonts w:ascii="Bookman Old Style" w:hAnsi="Bookman Old Style" w:cs="Arial"/>
          <w:lang w:val="sv-FI"/>
        </w:rPr>
        <w:t>rangka</w:t>
      </w:r>
      <w:r w:rsidR="00A954D0" w:rsidRPr="008379CA">
        <w:rPr>
          <w:rFonts w:ascii="Bookman Old Style" w:hAnsi="Bookman Old Style" w:cs="Arial"/>
          <w:lang w:val="sv-FI"/>
        </w:rPr>
        <w:t xml:space="preserve"> </w:t>
      </w:r>
      <w:r w:rsidRPr="008379CA">
        <w:rPr>
          <w:rFonts w:ascii="Bookman Old Style" w:hAnsi="Bookman Old Style" w:cs="Arial"/>
          <w:lang w:val="sv-FI"/>
        </w:rPr>
        <w:t>pengendalian</w:t>
      </w:r>
      <w:r w:rsidR="00A954D0" w:rsidRPr="008379CA">
        <w:rPr>
          <w:rFonts w:ascii="Bookman Old Style" w:hAnsi="Bookman Old Style" w:cs="Arial"/>
          <w:lang w:val="sv-FI"/>
        </w:rPr>
        <w:t xml:space="preserve"> </w:t>
      </w:r>
      <w:r w:rsidRPr="008379CA">
        <w:rPr>
          <w:rFonts w:ascii="Bookman Old Style" w:hAnsi="Bookman Old Style" w:cs="Arial"/>
          <w:lang w:val="sv-FI"/>
        </w:rPr>
        <w:t>inflasi;</w:t>
      </w:r>
    </w:p>
    <w:p w14:paraId="3AFAD189" w14:textId="1DDF95CC" w:rsidR="00C330CC" w:rsidRPr="008379CA" w:rsidRDefault="00C330CC" w:rsidP="00447E9A">
      <w:pPr>
        <w:numPr>
          <w:ilvl w:val="1"/>
          <w:numId w:val="233"/>
        </w:numPr>
        <w:spacing w:before="60" w:line="276" w:lineRule="auto"/>
        <w:ind w:left="1701" w:hanging="425"/>
        <w:jc w:val="both"/>
        <w:rPr>
          <w:rFonts w:ascii="Bookman Old Style" w:hAnsi="Bookman Old Style" w:cs="Arial"/>
          <w:lang w:val="sv-FI"/>
        </w:rPr>
      </w:pPr>
      <w:r w:rsidRPr="008379CA">
        <w:rPr>
          <w:rFonts w:ascii="Bookman Old Style" w:hAnsi="Bookman Old Style" w:cs="Arial"/>
          <w:lang w:val="sv-FI"/>
        </w:rPr>
        <w:t>Pembangunan</w:t>
      </w:r>
      <w:r w:rsidR="00A954D0" w:rsidRPr="008379CA">
        <w:rPr>
          <w:rFonts w:ascii="Bookman Old Style" w:hAnsi="Bookman Old Style" w:cs="Arial"/>
          <w:lang w:val="sv-FI"/>
        </w:rPr>
        <w:t xml:space="preserve"> </w:t>
      </w:r>
      <w:r w:rsidRPr="008379CA">
        <w:rPr>
          <w:rFonts w:ascii="Bookman Old Style" w:hAnsi="Bookman Old Style" w:cs="Arial"/>
          <w:lang w:val="sv-FI"/>
        </w:rPr>
        <w:t>Prasarana</w:t>
      </w:r>
      <w:r w:rsidR="00A954D0" w:rsidRPr="008379CA">
        <w:rPr>
          <w:rFonts w:ascii="Bookman Old Style" w:hAnsi="Bookman Old Style" w:cs="Arial"/>
          <w:lang w:val="sv-FI"/>
        </w:rPr>
        <w:t xml:space="preserve"> </w:t>
      </w:r>
      <w:r w:rsidRPr="008379CA">
        <w:rPr>
          <w:rFonts w:ascii="Bookman Old Style" w:hAnsi="Bookman Old Style" w:cs="Arial"/>
          <w:lang w:val="sv-FI"/>
        </w:rPr>
        <w:t>Jalan</w:t>
      </w:r>
      <w:r w:rsidR="00A954D0" w:rsidRPr="008379CA">
        <w:rPr>
          <w:rFonts w:ascii="Bookman Old Style" w:hAnsi="Bookman Old Style" w:cs="Arial"/>
          <w:lang w:val="sv-FI"/>
        </w:rPr>
        <w:t xml:space="preserve"> </w:t>
      </w:r>
      <w:r w:rsidRPr="008379CA">
        <w:rPr>
          <w:rFonts w:ascii="Bookman Old Style" w:hAnsi="Bookman Old Style" w:cs="Arial"/>
          <w:lang w:val="sv-FI"/>
        </w:rPr>
        <w:t>di</w:t>
      </w:r>
      <w:r w:rsidR="00A954D0" w:rsidRPr="008379CA">
        <w:rPr>
          <w:rFonts w:ascii="Bookman Old Style" w:hAnsi="Bookman Old Style" w:cs="Arial"/>
          <w:lang w:val="sv-FI"/>
        </w:rPr>
        <w:t xml:space="preserve"> </w:t>
      </w:r>
      <w:r w:rsidRPr="008379CA">
        <w:rPr>
          <w:rFonts w:ascii="Bookman Old Style" w:hAnsi="Bookman Old Style" w:cs="Arial"/>
          <w:lang w:val="sv-FI"/>
        </w:rPr>
        <w:t>Jalan</w:t>
      </w:r>
      <w:r w:rsidR="00A954D0" w:rsidRPr="008379CA">
        <w:rPr>
          <w:rFonts w:ascii="Bookman Old Style" w:hAnsi="Bookman Old Style" w:cs="Arial"/>
          <w:lang w:val="sv-FI"/>
        </w:rPr>
        <w:t xml:space="preserve"> </w:t>
      </w:r>
      <w:r w:rsidR="00172E1C" w:rsidRPr="008379CA">
        <w:rPr>
          <w:rFonts w:ascii="Bookman Old Style" w:hAnsi="Bookman Old Style" w:cs="Arial"/>
          <w:lang w:val="sv-FI"/>
        </w:rPr>
        <w:t>Kabupaten/Kota</w:t>
      </w:r>
      <w:r w:rsidR="00A954D0" w:rsidRPr="008379CA">
        <w:rPr>
          <w:rFonts w:ascii="Bookman Old Style" w:hAnsi="Bookman Old Style" w:cs="Arial"/>
          <w:lang w:val="sv-FI"/>
        </w:rPr>
        <w:t xml:space="preserve"> </w:t>
      </w:r>
      <w:r w:rsidRPr="008379CA">
        <w:rPr>
          <w:rFonts w:ascii="Bookman Old Style" w:hAnsi="Bookman Old Style" w:cs="Arial"/>
          <w:lang w:val="sv-FI"/>
        </w:rPr>
        <w:t>pada</w:t>
      </w:r>
      <w:r w:rsidR="00A954D0" w:rsidRPr="008379CA">
        <w:rPr>
          <w:rFonts w:ascii="Bookman Old Style" w:hAnsi="Bookman Old Style" w:cs="Arial"/>
          <w:lang w:val="sv-FI"/>
        </w:rPr>
        <w:t xml:space="preserve"> </w:t>
      </w:r>
      <w:r w:rsidRPr="008379CA">
        <w:rPr>
          <w:rFonts w:ascii="Bookman Old Style" w:hAnsi="Bookman Old Style" w:cs="Arial"/>
          <w:lang w:val="sv-FI"/>
        </w:rPr>
        <w:t>Dinas</w:t>
      </w:r>
      <w:r w:rsidR="00A954D0" w:rsidRPr="008379CA">
        <w:rPr>
          <w:rFonts w:ascii="Bookman Old Style" w:hAnsi="Bookman Old Style" w:cs="Arial"/>
          <w:lang w:val="sv-FI"/>
        </w:rPr>
        <w:t xml:space="preserve"> </w:t>
      </w:r>
      <w:r w:rsidRPr="008379CA">
        <w:rPr>
          <w:rFonts w:ascii="Bookman Old Style" w:hAnsi="Bookman Old Style" w:cs="Arial"/>
          <w:lang w:val="sv-FI"/>
        </w:rPr>
        <w:t>Perhubungan</w:t>
      </w:r>
      <w:r w:rsidR="00A954D0" w:rsidRPr="008379CA">
        <w:rPr>
          <w:rFonts w:ascii="Bookman Old Style" w:hAnsi="Bookman Old Style" w:cs="Arial"/>
          <w:lang w:val="sv-FI"/>
        </w:rPr>
        <w:t xml:space="preserve"> </w:t>
      </w:r>
      <w:r w:rsidRPr="008379CA">
        <w:rPr>
          <w:rFonts w:ascii="Bookman Old Style" w:hAnsi="Bookman Old Style" w:cs="Arial"/>
          <w:lang w:val="sv-FI"/>
        </w:rPr>
        <w:t>Rp25.779.000,00</w:t>
      </w:r>
      <w:r w:rsidR="00A954D0" w:rsidRPr="008379CA">
        <w:rPr>
          <w:rFonts w:ascii="Bookman Old Style" w:hAnsi="Bookman Old Style" w:cs="Arial"/>
          <w:lang w:val="sv-FI"/>
        </w:rPr>
        <w:t xml:space="preserve"> </w:t>
      </w:r>
      <w:r w:rsidRPr="008379CA">
        <w:rPr>
          <w:rFonts w:ascii="Bookman Old Style" w:hAnsi="Bookman Old Style" w:cs="Arial"/>
          <w:lang w:val="sv-FI"/>
        </w:rPr>
        <w:t>atau</w:t>
      </w:r>
      <w:r w:rsidR="00A954D0" w:rsidRPr="008379CA">
        <w:rPr>
          <w:rFonts w:ascii="Bookman Old Style" w:hAnsi="Bookman Old Style" w:cs="Arial"/>
          <w:lang w:val="sv-FI"/>
        </w:rPr>
        <w:t xml:space="preserve"> </w:t>
      </w:r>
      <w:r w:rsidRPr="008379CA">
        <w:rPr>
          <w:rFonts w:ascii="Bookman Old Style" w:hAnsi="Bookman Old Style" w:cs="Arial"/>
          <w:lang w:val="sv-FI"/>
        </w:rPr>
        <w:t>0,01%</w:t>
      </w:r>
      <w:r w:rsidR="00A954D0" w:rsidRPr="008379CA">
        <w:rPr>
          <w:rFonts w:ascii="Bookman Old Style" w:hAnsi="Bookman Old Style"/>
          <w:lang w:val="sv-FI"/>
        </w:rPr>
        <w:t xml:space="preserve"> </w:t>
      </w:r>
      <w:r w:rsidRPr="008379CA">
        <w:rPr>
          <w:rFonts w:ascii="Bookman Old Style" w:hAnsi="Bookman Old Style" w:cs="Arial"/>
          <w:lang w:val="sv-FI"/>
        </w:rPr>
        <w:t>dari</w:t>
      </w:r>
      <w:r w:rsidR="00A954D0" w:rsidRPr="008379CA">
        <w:rPr>
          <w:rFonts w:ascii="Bookman Old Style" w:hAnsi="Bookman Old Style" w:cs="Arial"/>
          <w:lang w:val="sv-FI"/>
        </w:rPr>
        <w:t xml:space="preserve"> </w:t>
      </w:r>
      <w:r w:rsidRPr="008379CA">
        <w:rPr>
          <w:rFonts w:ascii="Bookman Old Style" w:hAnsi="Bookman Old Style" w:cs="Arial"/>
          <w:lang w:val="sv-FI"/>
        </w:rPr>
        <w:t>total</w:t>
      </w:r>
      <w:r w:rsidR="00A954D0" w:rsidRPr="008379CA">
        <w:rPr>
          <w:rFonts w:ascii="Bookman Old Style" w:hAnsi="Bookman Old Style" w:cs="Arial"/>
          <w:lang w:val="sv-FI"/>
        </w:rPr>
        <w:t xml:space="preserve"> </w:t>
      </w:r>
      <w:r w:rsidRPr="008379CA">
        <w:rPr>
          <w:rFonts w:ascii="Bookman Old Style" w:hAnsi="Bookman Old Style" w:cs="Arial"/>
          <w:lang w:val="sv-FI"/>
        </w:rPr>
        <w:t>alokasi</w:t>
      </w:r>
      <w:r w:rsidR="00A954D0" w:rsidRPr="008379CA">
        <w:rPr>
          <w:rFonts w:ascii="Bookman Old Style" w:hAnsi="Bookman Old Style" w:cs="Arial"/>
          <w:lang w:val="sv-FI"/>
        </w:rPr>
        <w:t xml:space="preserve"> </w:t>
      </w:r>
      <w:r w:rsidRPr="008379CA">
        <w:rPr>
          <w:rFonts w:ascii="Bookman Old Style" w:hAnsi="Bookman Old Style" w:cs="Arial"/>
          <w:lang w:val="sv-FI"/>
        </w:rPr>
        <w:t>anggaran</w:t>
      </w:r>
      <w:r w:rsidR="00A954D0" w:rsidRPr="008379CA">
        <w:rPr>
          <w:rFonts w:ascii="Bookman Old Style" w:hAnsi="Bookman Old Style" w:cs="Arial"/>
          <w:lang w:val="sv-FI"/>
        </w:rPr>
        <w:t xml:space="preserve"> </w:t>
      </w:r>
      <w:r w:rsidRPr="008379CA">
        <w:rPr>
          <w:rFonts w:ascii="Bookman Old Style" w:hAnsi="Bookman Old Style" w:cs="Arial"/>
          <w:lang w:val="sv-FI"/>
        </w:rPr>
        <w:t>dalam</w:t>
      </w:r>
      <w:r w:rsidR="00A954D0" w:rsidRPr="008379CA">
        <w:rPr>
          <w:rFonts w:ascii="Bookman Old Style" w:hAnsi="Bookman Old Style" w:cs="Arial"/>
          <w:lang w:val="sv-FI"/>
        </w:rPr>
        <w:t xml:space="preserve"> </w:t>
      </w:r>
      <w:r w:rsidRPr="008379CA">
        <w:rPr>
          <w:rFonts w:ascii="Bookman Old Style" w:hAnsi="Bookman Old Style" w:cs="Arial"/>
          <w:lang w:val="sv-FI"/>
        </w:rPr>
        <w:t>rangka</w:t>
      </w:r>
      <w:r w:rsidR="00A954D0" w:rsidRPr="008379CA">
        <w:rPr>
          <w:rFonts w:ascii="Bookman Old Style" w:hAnsi="Bookman Old Style" w:cs="Arial"/>
          <w:lang w:val="sv-FI"/>
        </w:rPr>
        <w:t xml:space="preserve"> </w:t>
      </w:r>
      <w:r w:rsidRPr="008379CA">
        <w:rPr>
          <w:rFonts w:ascii="Bookman Old Style" w:hAnsi="Bookman Old Style" w:cs="Arial"/>
          <w:lang w:val="sv-FI"/>
        </w:rPr>
        <w:t>pengendalian</w:t>
      </w:r>
      <w:r w:rsidR="00A954D0" w:rsidRPr="008379CA">
        <w:rPr>
          <w:rFonts w:ascii="Bookman Old Style" w:hAnsi="Bookman Old Style" w:cs="Arial"/>
          <w:lang w:val="sv-FI"/>
        </w:rPr>
        <w:t xml:space="preserve"> </w:t>
      </w:r>
      <w:r w:rsidRPr="008379CA">
        <w:rPr>
          <w:rFonts w:ascii="Bookman Old Style" w:hAnsi="Bookman Old Style" w:cs="Arial"/>
          <w:lang w:val="sv-FI"/>
        </w:rPr>
        <w:t>inflasi;</w:t>
      </w:r>
    </w:p>
    <w:p w14:paraId="434545B1" w14:textId="47E91F35" w:rsidR="00C330CC" w:rsidRPr="008379CA" w:rsidRDefault="00C330CC" w:rsidP="00447E9A">
      <w:pPr>
        <w:numPr>
          <w:ilvl w:val="1"/>
          <w:numId w:val="233"/>
        </w:numPr>
        <w:spacing w:before="60" w:line="276" w:lineRule="auto"/>
        <w:ind w:left="1701" w:hanging="425"/>
        <w:jc w:val="both"/>
        <w:rPr>
          <w:rFonts w:ascii="Bookman Old Style" w:hAnsi="Bookman Old Style" w:cs="Arial"/>
          <w:lang w:val="sv-FI"/>
        </w:rPr>
      </w:pPr>
      <w:r w:rsidRPr="008379CA">
        <w:rPr>
          <w:rFonts w:ascii="Bookman Old Style" w:hAnsi="Bookman Old Style" w:cs="Arial"/>
          <w:lang w:val="sv-FI"/>
        </w:rPr>
        <w:t>Rehabilitasi</w:t>
      </w:r>
      <w:r w:rsidR="00A954D0" w:rsidRPr="008379CA">
        <w:rPr>
          <w:rFonts w:ascii="Bookman Old Style" w:hAnsi="Bookman Old Style" w:cs="Arial"/>
          <w:lang w:val="sv-FI"/>
        </w:rPr>
        <w:t xml:space="preserve"> </w:t>
      </w:r>
      <w:r w:rsidRPr="008379CA">
        <w:rPr>
          <w:rFonts w:ascii="Bookman Old Style" w:hAnsi="Bookman Old Style" w:cs="Arial"/>
          <w:lang w:val="sv-FI"/>
        </w:rPr>
        <w:t>dan</w:t>
      </w:r>
      <w:r w:rsidR="00A954D0" w:rsidRPr="008379CA">
        <w:rPr>
          <w:rFonts w:ascii="Bookman Old Style" w:hAnsi="Bookman Old Style" w:cs="Arial"/>
          <w:lang w:val="sv-FI"/>
        </w:rPr>
        <w:t xml:space="preserve"> </w:t>
      </w:r>
      <w:r w:rsidRPr="008379CA">
        <w:rPr>
          <w:rFonts w:ascii="Bookman Old Style" w:hAnsi="Bookman Old Style" w:cs="Arial"/>
          <w:lang w:val="sv-FI"/>
        </w:rPr>
        <w:t>Pemeliharaan</w:t>
      </w:r>
      <w:r w:rsidR="00A954D0" w:rsidRPr="008379CA">
        <w:rPr>
          <w:rFonts w:ascii="Bookman Old Style" w:hAnsi="Bookman Old Style" w:cs="Arial"/>
          <w:lang w:val="sv-FI"/>
        </w:rPr>
        <w:t xml:space="preserve"> </w:t>
      </w:r>
      <w:r w:rsidRPr="008379CA">
        <w:rPr>
          <w:rFonts w:ascii="Bookman Old Style" w:hAnsi="Bookman Old Style" w:cs="Arial"/>
          <w:lang w:val="sv-FI"/>
        </w:rPr>
        <w:t>Prasarana</w:t>
      </w:r>
      <w:r w:rsidR="00A954D0" w:rsidRPr="008379CA">
        <w:rPr>
          <w:rFonts w:ascii="Bookman Old Style" w:hAnsi="Bookman Old Style" w:cs="Arial"/>
          <w:lang w:val="sv-FI"/>
        </w:rPr>
        <w:t xml:space="preserve"> </w:t>
      </w:r>
      <w:r w:rsidRPr="008379CA">
        <w:rPr>
          <w:rFonts w:ascii="Bookman Old Style" w:hAnsi="Bookman Old Style" w:cs="Arial"/>
          <w:lang w:val="sv-FI"/>
        </w:rPr>
        <w:t>Jalan</w:t>
      </w:r>
      <w:r w:rsidR="00A954D0" w:rsidRPr="008379CA">
        <w:rPr>
          <w:rFonts w:ascii="Bookman Old Style" w:hAnsi="Bookman Old Style" w:cs="Arial"/>
          <w:lang w:val="sv-FI"/>
        </w:rPr>
        <w:t xml:space="preserve"> </w:t>
      </w:r>
      <w:r w:rsidRPr="008379CA">
        <w:rPr>
          <w:rFonts w:ascii="Bookman Old Style" w:hAnsi="Bookman Old Style" w:cs="Arial"/>
          <w:lang w:val="sv-FI"/>
        </w:rPr>
        <w:t>pada</w:t>
      </w:r>
      <w:r w:rsidR="00A954D0" w:rsidRPr="008379CA">
        <w:rPr>
          <w:rFonts w:ascii="Bookman Old Style" w:hAnsi="Bookman Old Style" w:cs="Arial"/>
          <w:lang w:val="sv-FI"/>
        </w:rPr>
        <w:t xml:space="preserve"> </w:t>
      </w:r>
      <w:r w:rsidRPr="008379CA">
        <w:rPr>
          <w:rFonts w:ascii="Bookman Old Style" w:hAnsi="Bookman Old Style" w:cs="Arial"/>
          <w:lang w:val="sv-FI"/>
        </w:rPr>
        <w:t>Dinas</w:t>
      </w:r>
      <w:r w:rsidR="00A954D0" w:rsidRPr="008379CA">
        <w:rPr>
          <w:rFonts w:ascii="Bookman Old Style" w:hAnsi="Bookman Old Style" w:cs="Arial"/>
          <w:lang w:val="sv-FI"/>
        </w:rPr>
        <w:t xml:space="preserve"> </w:t>
      </w:r>
      <w:r w:rsidRPr="008379CA">
        <w:rPr>
          <w:rFonts w:ascii="Bookman Old Style" w:hAnsi="Bookman Old Style" w:cs="Arial"/>
          <w:lang w:val="sv-FI"/>
        </w:rPr>
        <w:t>Perhubungan</w:t>
      </w:r>
      <w:r w:rsidR="00A954D0" w:rsidRPr="008379CA">
        <w:rPr>
          <w:rFonts w:ascii="Bookman Old Style" w:hAnsi="Bookman Old Style" w:cs="Arial"/>
          <w:lang w:val="sv-FI"/>
        </w:rPr>
        <w:t xml:space="preserve"> </w:t>
      </w:r>
      <w:r w:rsidRPr="008379CA">
        <w:rPr>
          <w:rFonts w:ascii="Bookman Old Style" w:hAnsi="Bookman Old Style" w:cs="Arial"/>
          <w:lang w:val="sv-FI"/>
        </w:rPr>
        <w:t>Rp211.173.300,00</w:t>
      </w:r>
      <w:r w:rsidR="00A954D0" w:rsidRPr="008379CA">
        <w:rPr>
          <w:rFonts w:ascii="Bookman Old Style" w:hAnsi="Bookman Old Style" w:cs="Arial"/>
          <w:lang w:val="sv-FI"/>
        </w:rPr>
        <w:t xml:space="preserve"> </w:t>
      </w:r>
      <w:r w:rsidRPr="008379CA">
        <w:rPr>
          <w:rFonts w:ascii="Bookman Old Style" w:hAnsi="Bookman Old Style" w:cs="Arial"/>
          <w:lang w:val="sv-FI"/>
        </w:rPr>
        <w:t>atau</w:t>
      </w:r>
      <w:r w:rsidR="00A954D0" w:rsidRPr="008379CA">
        <w:rPr>
          <w:rFonts w:ascii="Bookman Old Style" w:hAnsi="Bookman Old Style" w:cs="Arial"/>
          <w:lang w:val="sv-FI"/>
        </w:rPr>
        <w:t xml:space="preserve"> </w:t>
      </w:r>
      <w:r w:rsidRPr="008379CA">
        <w:rPr>
          <w:rFonts w:ascii="Bookman Old Style" w:hAnsi="Bookman Old Style" w:cs="Arial"/>
          <w:lang w:val="sv-FI"/>
        </w:rPr>
        <w:t>0,07%</w:t>
      </w:r>
      <w:r w:rsidR="00A954D0" w:rsidRPr="008379CA">
        <w:rPr>
          <w:rFonts w:ascii="Bookman Old Style" w:hAnsi="Bookman Old Style" w:cs="Arial"/>
          <w:lang w:val="sv-FI"/>
        </w:rPr>
        <w:t xml:space="preserve"> </w:t>
      </w:r>
      <w:r w:rsidRPr="008379CA">
        <w:rPr>
          <w:rFonts w:ascii="Bookman Old Style" w:hAnsi="Bookman Old Style" w:cs="Arial"/>
          <w:lang w:val="sv-FI"/>
        </w:rPr>
        <w:t>dari</w:t>
      </w:r>
      <w:r w:rsidR="00A954D0" w:rsidRPr="008379CA">
        <w:rPr>
          <w:rFonts w:ascii="Bookman Old Style" w:hAnsi="Bookman Old Style" w:cs="Arial"/>
          <w:lang w:val="sv-FI"/>
        </w:rPr>
        <w:t xml:space="preserve"> </w:t>
      </w:r>
      <w:r w:rsidRPr="008379CA">
        <w:rPr>
          <w:rFonts w:ascii="Bookman Old Style" w:hAnsi="Bookman Old Style" w:cs="Arial"/>
          <w:lang w:val="sv-FI"/>
        </w:rPr>
        <w:t>total</w:t>
      </w:r>
      <w:r w:rsidR="00A954D0" w:rsidRPr="008379CA">
        <w:rPr>
          <w:rFonts w:ascii="Bookman Old Style" w:hAnsi="Bookman Old Style" w:cs="Arial"/>
          <w:lang w:val="sv-FI"/>
        </w:rPr>
        <w:t xml:space="preserve"> </w:t>
      </w:r>
      <w:r w:rsidRPr="008379CA">
        <w:rPr>
          <w:rFonts w:ascii="Bookman Old Style" w:hAnsi="Bookman Old Style" w:cs="Arial"/>
          <w:lang w:val="sv-FI"/>
        </w:rPr>
        <w:t>alokasi</w:t>
      </w:r>
      <w:r w:rsidR="00A954D0" w:rsidRPr="008379CA">
        <w:rPr>
          <w:rFonts w:ascii="Bookman Old Style" w:hAnsi="Bookman Old Style" w:cs="Arial"/>
          <w:lang w:val="sv-FI"/>
        </w:rPr>
        <w:t xml:space="preserve"> </w:t>
      </w:r>
      <w:r w:rsidRPr="008379CA">
        <w:rPr>
          <w:rFonts w:ascii="Bookman Old Style" w:hAnsi="Bookman Old Style" w:cs="Arial"/>
          <w:lang w:val="sv-FI"/>
        </w:rPr>
        <w:t>anggaran</w:t>
      </w:r>
      <w:r w:rsidR="00A954D0" w:rsidRPr="008379CA">
        <w:rPr>
          <w:rFonts w:ascii="Bookman Old Style" w:hAnsi="Bookman Old Style" w:cs="Arial"/>
          <w:lang w:val="sv-FI"/>
        </w:rPr>
        <w:t xml:space="preserve"> </w:t>
      </w:r>
      <w:r w:rsidRPr="008379CA">
        <w:rPr>
          <w:rFonts w:ascii="Bookman Old Style" w:hAnsi="Bookman Old Style" w:cs="Arial"/>
          <w:lang w:val="sv-FI"/>
        </w:rPr>
        <w:t>dalam</w:t>
      </w:r>
      <w:r w:rsidR="00A954D0" w:rsidRPr="008379CA">
        <w:rPr>
          <w:rFonts w:ascii="Bookman Old Style" w:hAnsi="Bookman Old Style" w:cs="Arial"/>
          <w:lang w:val="sv-FI"/>
        </w:rPr>
        <w:t xml:space="preserve"> </w:t>
      </w:r>
      <w:r w:rsidRPr="008379CA">
        <w:rPr>
          <w:rFonts w:ascii="Bookman Old Style" w:hAnsi="Bookman Old Style" w:cs="Arial"/>
          <w:lang w:val="sv-FI"/>
        </w:rPr>
        <w:t>rangka</w:t>
      </w:r>
      <w:r w:rsidR="00A954D0" w:rsidRPr="008379CA">
        <w:rPr>
          <w:rFonts w:ascii="Bookman Old Style" w:hAnsi="Bookman Old Style" w:cs="Arial"/>
          <w:lang w:val="sv-FI"/>
        </w:rPr>
        <w:t xml:space="preserve"> </w:t>
      </w:r>
      <w:r w:rsidRPr="008379CA">
        <w:rPr>
          <w:rFonts w:ascii="Bookman Old Style" w:hAnsi="Bookman Old Style" w:cs="Arial"/>
          <w:lang w:val="sv-FI"/>
        </w:rPr>
        <w:t>pengendalian</w:t>
      </w:r>
      <w:r w:rsidR="00A954D0" w:rsidRPr="008379CA">
        <w:rPr>
          <w:rFonts w:ascii="Bookman Old Style" w:hAnsi="Bookman Old Style" w:cs="Arial"/>
          <w:lang w:val="sv-FI"/>
        </w:rPr>
        <w:t xml:space="preserve"> </w:t>
      </w:r>
      <w:r w:rsidRPr="008379CA">
        <w:rPr>
          <w:rFonts w:ascii="Bookman Old Style" w:hAnsi="Bookman Old Style" w:cs="Arial"/>
          <w:lang w:val="sv-FI"/>
        </w:rPr>
        <w:t>inflasi;</w:t>
      </w:r>
    </w:p>
    <w:p w14:paraId="538F77BC" w14:textId="11AB880D" w:rsidR="00C330CC" w:rsidRPr="008379CA" w:rsidRDefault="00C330CC" w:rsidP="00447E9A">
      <w:pPr>
        <w:numPr>
          <w:ilvl w:val="1"/>
          <w:numId w:val="233"/>
        </w:numPr>
        <w:spacing w:before="60" w:line="276" w:lineRule="auto"/>
        <w:ind w:left="1701" w:hanging="425"/>
        <w:jc w:val="both"/>
        <w:rPr>
          <w:rFonts w:ascii="Bookman Old Style" w:hAnsi="Bookman Old Style" w:cs="Arial"/>
          <w:lang w:val="sv-FI"/>
        </w:rPr>
      </w:pPr>
      <w:r w:rsidRPr="008379CA">
        <w:rPr>
          <w:rFonts w:ascii="Bookman Old Style" w:hAnsi="Bookman Old Style" w:cs="Arial"/>
          <w:lang w:val="sv-FI"/>
        </w:rPr>
        <w:t>Penyediaan</w:t>
      </w:r>
      <w:r w:rsidR="00A954D0" w:rsidRPr="008379CA">
        <w:rPr>
          <w:rFonts w:ascii="Bookman Old Style" w:hAnsi="Bookman Old Style" w:cs="Arial"/>
          <w:lang w:val="sv-FI"/>
        </w:rPr>
        <w:t xml:space="preserve"> </w:t>
      </w:r>
      <w:r w:rsidRPr="008379CA">
        <w:rPr>
          <w:rFonts w:ascii="Bookman Old Style" w:hAnsi="Bookman Old Style" w:cs="Arial"/>
          <w:lang w:val="sv-FI"/>
        </w:rPr>
        <w:t>Angkutan</w:t>
      </w:r>
      <w:r w:rsidR="00A954D0" w:rsidRPr="008379CA">
        <w:rPr>
          <w:rFonts w:ascii="Bookman Old Style" w:hAnsi="Bookman Old Style" w:cs="Arial"/>
          <w:lang w:val="sv-FI"/>
        </w:rPr>
        <w:t xml:space="preserve"> </w:t>
      </w:r>
      <w:r w:rsidRPr="008379CA">
        <w:rPr>
          <w:rFonts w:ascii="Bookman Old Style" w:hAnsi="Bookman Old Style" w:cs="Arial"/>
          <w:lang w:val="sv-FI"/>
        </w:rPr>
        <w:t>Umum</w:t>
      </w:r>
      <w:r w:rsidR="00A954D0" w:rsidRPr="008379CA">
        <w:rPr>
          <w:rFonts w:ascii="Bookman Old Style" w:hAnsi="Bookman Old Style" w:cs="Arial"/>
          <w:lang w:val="sv-FI"/>
        </w:rPr>
        <w:t xml:space="preserve"> </w:t>
      </w:r>
      <w:r w:rsidRPr="008379CA">
        <w:rPr>
          <w:rFonts w:ascii="Bookman Old Style" w:hAnsi="Bookman Old Style" w:cs="Arial"/>
          <w:lang w:val="sv-FI"/>
        </w:rPr>
        <w:t>untuk</w:t>
      </w:r>
      <w:r w:rsidR="00A954D0" w:rsidRPr="008379CA">
        <w:rPr>
          <w:rFonts w:ascii="Bookman Old Style" w:hAnsi="Bookman Old Style" w:cs="Arial"/>
          <w:lang w:val="sv-FI"/>
        </w:rPr>
        <w:t xml:space="preserve"> </w:t>
      </w:r>
      <w:r w:rsidRPr="008379CA">
        <w:rPr>
          <w:rFonts w:ascii="Bookman Old Style" w:hAnsi="Bookman Old Style" w:cs="Arial"/>
          <w:lang w:val="sv-FI"/>
        </w:rPr>
        <w:t>Jasa</w:t>
      </w:r>
      <w:r w:rsidR="00A954D0" w:rsidRPr="008379CA">
        <w:rPr>
          <w:rFonts w:ascii="Bookman Old Style" w:hAnsi="Bookman Old Style" w:cs="Arial"/>
          <w:lang w:val="sv-FI"/>
        </w:rPr>
        <w:t xml:space="preserve"> </w:t>
      </w:r>
      <w:r w:rsidRPr="008379CA">
        <w:rPr>
          <w:rFonts w:ascii="Bookman Old Style" w:hAnsi="Bookman Old Style" w:cs="Arial"/>
          <w:lang w:val="sv-FI"/>
        </w:rPr>
        <w:t>Angkutan</w:t>
      </w:r>
      <w:r w:rsidR="00A954D0" w:rsidRPr="008379CA">
        <w:rPr>
          <w:rFonts w:ascii="Bookman Old Style" w:hAnsi="Bookman Old Style" w:cs="Arial"/>
          <w:lang w:val="sv-FI"/>
        </w:rPr>
        <w:t xml:space="preserve"> </w:t>
      </w:r>
      <w:r w:rsidRPr="008379CA">
        <w:rPr>
          <w:rFonts w:ascii="Bookman Old Style" w:hAnsi="Bookman Old Style" w:cs="Arial"/>
          <w:lang w:val="sv-FI"/>
        </w:rPr>
        <w:t>Orang</w:t>
      </w:r>
      <w:r w:rsidR="00A954D0" w:rsidRPr="008379CA">
        <w:rPr>
          <w:rFonts w:ascii="Bookman Old Style" w:hAnsi="Bookman Old Style" w:cs="Arial"/>
          <w:lang w:val="sv-FI"/>
        </w:rPr>
        <w:t xml:space="preserve"> </w:t>
      </w:r>
      <w:r w:rsidRPr="008379CA">
        <w:rPr>
          <w:rFonts w:ascii="Bookman Old Style" w:hAnsi="Bookman Old Style" w:cs="Arial"/>
          <w:lang w:val="sv-FI"/>
        </w:rPr>
        <w:t>dan/atau</w:t>
      </w:r>
      <w:r w:rsidR="00A954D0" w:rsidRPr="008379CA">
        <w:rPr>
          <w:rFonts w:ascii="Bookman Old Style" w:hAnsi="Bookman Old Style" w:cs="Arial"/>
          <w:lang w:val="sv-FI"/>
        </w:rPr>
        <w:t xml:space="preserve"> </w:t>
      </w:r>
      <w:r w:rsidRPr="008379CA">
        <w:rPr>
          <w:rFonts w:ascii="Bookman Old Style" w:hAnsi="Bookman Old Style" w:cs="Arial"/>
          <w:lang w:val="sv-FI"/>
        </w:rPr>
        <w:t>Barang</w:t>
      </w:r>
      <w:r w:rsidR="00A954D0" w:rsidRPr="008379CA">
        <w:rPr>
          <w:rFonts w:ascii="Bookman Old Style" w:hAnsi="Bookman Old Style" w:cs="Arial"/>
          <w:lang w:val="sv-FI"/>
        </w:rPr>
        <w:t xml:space="preserve"> </w:t>
      </w:r>
      <w:r w:rsidRPr="008379CA">
        <w:rPr>
          <w:rFonts w:ascii="Bookman Old Style" w:hAnsi="Bookman Old Style" w:cs="Arial"/>
          <w:lang w:val="sv-FI"/>
        </w:rPr>
        <w:t>Antar</w:t>
      </w:r>
      <w:r w:rsidR="00A954D0" w:rsidRPr="008379CA">
        <w:rPr>
          <w:rFonts w:ascii="Bookman Old Style" w:hAnsi="Bookman Old Style" w:cs="Arial"/>
          <w:lang w:val="sv-FI"/>
        </w:rPr>
        <w:t xml:space="preserve"> </w:t>
      </w:r>
      <w:r w:rsidRPr="008379CA">
        <w:rPr>
          <w:rFonts w:ascii="Bookman Old Style" w:hAnsi="Bookman Old Style" w:cs="Arial"/>
          <w:lang w:val="sv-FI"/>
        </w:rPr>
        <w:t>Kota</w:t>
      </w:r>
      <w:r w:rsidR="00A954D0" w:rsidRPr="008379CA">
        <w:rPr>
          <w:rFonts w:ascii="Bookman Old Style" w:hAnsi="Bookman Old Style" w:cs="Arial"/>
          <w:lang w:val="sv-FI"/>
        </w:rPr>
        <w:t xml:space="preserve"> </w:t>
      </w:r>
      <w:r w:rsidRPr="008379CA">
        <w:rPr>
          <w:rFonts w:ascii="Bookman Old Style" w:hAnsi="Bookman Old Style" w:cs="Arial"/>
          <w:lang w:val="sv-FI"/>
        </w:rPr>
        <w:t>dalam</w:t>
      </w:r>
      <w:r w:rsidR="00A954D0" w:rsidRPr="008379CA">
        <w:rPr>
          <w:rFonts w:ascii="Bookman Old Style" w:hAnsi="Bookman Old Style" w:cs="Arial"/>
          <w:lang w:val="sv-FI"/>
        </w:rPr>
        <w:t xml:space="preserve"> </w:t>
      </w:r>
      <w:r w:rsidRPr="008379CA">
        <w:rPr>
          <w:rFonts w:ascii="Bookman Old Style" w:hAnsi="Bookman Old Style" w:cs="Arial"/>
          <w:lang w:val="sv-FI"/>
        </w:rPr>
        <w:t>1</w:t>
      </w:r>
      <w:r w:rsidR="00A954D0" w:rsidRPr="008379CA">
        <w:rPr>
          <w:rFonts w:ascii="Bookman Old Style" w:hAnsi="Bookman Old Style" w:cs="Arial"/>
          <w:lang w:val="sv-FI"/>
        </w:rPr>
        <w:t xml:space="preserve"> </w:t>
      </w:r>
      <w:r w:rsidRPr="008379CA">
        <w:rPr>
          <w:rFonts w:ascii="Bookman Old Style" w:hAnsi="Bookman Old Style" w:cs="Arial"/>
          <w:lang w:val="sv-FI"/>
        </w:rPr>
        <w:t>(Satu)</w:t>
      </w:r>
      <w:r w:rsidR="00A954D0" w:rsidRPr="008379CA">
        <w:rPr>
          <w:rFonts w:ascii="Bookman Old Style" w:hAnsi="Bookman Old Style" w:cs="Arial"/>
          <w:lang w:val="sv-FI"/>
        </w:rPr>
        <w:t xml:space="preserve"> </w:t>
      </w:r>
      <w:r w:rsidRPr="008379CA">
        <w:rPr>
          <w:rFonts w:ascii="Bookman Old Style" w:hAnsi="Bookman Old Style" w:cs="Arial"/>
          <w:lang w:val="sv-FI"/>
        </w:rPr>
        <w:t>Daerah</w:t>
      </w:r>
      <w:r w:rsidR="00A954D0" w:rsidRPr="008379CA">
        <w:rPr>
          <w:rFonts w:ascii="Bookman Old Style" w:hAnsi="Bookman Old Style" w:cs="Arial"/>
          <w:lang w:val="sv-FI"/>
        </w:rPr>
        <w:t xml:space="preserve"> </w:t>
      </w:r>
      <w:r w:rsidR="00172E1C" w:rsidRPr="008379CA">
        <w:rPr>
          <w:rFonts w:ascii="Bookman Old Style" w:hAnsi="Bookman Old Style" w:cs="Arial"/>
          <w:lang w:val="sv-FI"/>
        </w:rPr>
        <w:t>Kabupaten/Kota</w:t>
      </w:r>
      <w:r w:rsidR="00A954D0" w:rsidRPr="008379CA">
        <w:rPr>
          <w:rFonts w:ascii="Bookman Old Style" w:hAnsi="Bookman Old Style" w:cs="Arial"/>
          <w:lang w:val="sv-FI"/>
        </w:rPr>
        <w:t xml:space="preserve"> </w:t>
      </w:r>
      <w:r w:rsidRPr="008379CA">
        <w:rPr>
          <w:rFonts w:ascii="Bookman Old Style" w:hAnsi="Bookman Old Style" w:cs="Arial"/>
          <w:lang w:val="sv-FI"/>
        </w:rPr>
        <w:t>pada</w:t>
      </w:r>
      <w:r w:rsidR="00A954D0" w:rsidRPr="008379CA">
        <w:rPr>
          <w:rFonts w:ascii="Bookman Old Style" w:hAnsi="Bookman Old Style" w:cs="Arial"/>
          <w:lang w:val="sv-FI"/>
        </w:rPr>
        <w:t xml:space="preserve"> </w:t>
      </w:r>
      <w:r w:rsidRPr="008379CA">
        <w:rPr>
          <w:rFonts w:ascii="Bookman Old Style" w:hAnsi="Bookman Old Style" w:cs="Arial"/>
          <w:lang w:val="sv-FI"/>
        </w:rPr>
        <w:t>Dinas</w:t>
      </w:r>
      <w:r w:rsidR="00A954D0" w:rsidRPr="008379CA">
        <w:rPr>
          <w:rFonts w:ascii="Bookman Old Style" w:hAnsi="Bookman Old Style" w:cs="Arial"/>
          <w:lang w:val="sv-FI"/>
        </w:rPr>
        <w:t xml:space="preserve"> </w:t>
      </w:r>
      <w:r w:rsidRPr="008379CA">
        <w:rPr>
          <w:rFonts w:ascii="Bookman Old Style" w:hAnsi="Bookman Old Style" w:cs="Arial"/>
          <w:lang w:val="sv-FI"/>
        </w:rPr>
        <w:t>Perhubungan</w:t>
      </w:r>
      <w:r w:rsidR="00A954D0" w:rsidRPr="008379CA">
        <w:rPr>
          <w:rFonts w:ascii="Bookman Old Style" w:hAnsi="Bookman Old Style" w:cs="Arial"/>
          <w:lang w:val="sv-FI"/>
        </w:rPr>
        <w:t xml:space="preserve"> </w:t>
      </w:r>
      <w:r w:rsidRPr="008379CA">
        <w:rPr>
          <w:rFonts w:ascii="Bookman Old Style" w:hAnsi="Bookman Old Style" w:cs="Arial"/>
          <w:lang w:val="sv-FI"/>
        </w:rPr>
        <w:t>Rp44.000.000.000,00</w:t>
      </w:r>
      <w:r w:rsidR="00A954D0" w:rsidRPr="008379CA">
        <w:rPr>
          <w:rFonts w:ascii="Bookman Old Style" w:hAnsi="Bookman Old Style" w:cs="Arial"/>
          <w:lang w:val="sv-FI"/>
        </w:rPr>
        <w:t xml:space="preserve"> </w:t>
      </w:r>
      <w:r w:rsidRPr="008379CA">
        <w:rPr>
          <w:rFonts w:ascii="Bookman Old Style" w:hAnsi="Bookman Old Style" w:cs="Arial"/>
          <w:lang w:val="sv-FI"/>
        </w:rPr>
        <w:t>atau</w:t>
      </w:r>
      <w:r w:rsidR="00A954D0" w:rsidRPr="008379CA">
        <w:rPr>
          <w:rFonts w:ascii="Bookman Old Style" w:hAnsi="Bookman Old Style" w:cs="Arial"/>
          <w:lang w:val="sv-FI"/>
        </w:rPr>
        <w:t xml:space="preserve"> </w:t>
      </w:r>
      <w:r w:rsidRPr="008379CA">
        <w:rPr>
          <w:rFonts w:ascii="Bookman Old Style" w:hAnsi="Bookman Old Style" w:cs="Arial"/>
          <w:lang w:val="sv-FI"/>
        </w:rPr>
        <w:t>14,52%</w:t>
      </w:r>
      <w:r w:rsidR="00A954D0" w:rsidRPr="008379CA">
        <w:rPr>
          <w:rFonts w:ascii="Bookman Old Style" w:hAnsi="Bookman Old Style" w:cs="Arial"/>
          <w:lang w:val="sv-FI"/>
        </w:rPr>
        <w:t xml:space="preserve"> </w:t>
      </w:r>
      <w:r w:rsidRPr="008379CA">
        <w:rPr>
          <w:rFonts w:ascii="Bookman Old Style" w:hAnsi="Bookman Old Style" w:cs="Arial"/>
          <w:lang w:val="sv-FI"/>
        </w:rPr>
        <w:t>dari</w:t>
      </w:r>
      <w:r w:rsidR="00A954D0" w:rsidRPr="008379CA">
        <w:rPr>
          <w:rFonts w:ascii="Bookman Old Style" w:hAnsi="Bookman Old Style" w:cs="Arial"/>
          <w:lang w:val="sv-FI"/>
        </w:rPr>
        <w:t xml:space="preserve"> </w:t>
      </w:r>
      <w:r w:rsidRPr="008379CA">
        <w:rPr>
          <w:rFonts w:ascii="Bookman Old Style" w:hAnsi="Bookman Old Style" w:cs="Arial"/>
          <w:lang w:val="sv-FI"/>
        </w:rPr>
        <w:t>total</w:t>
      </w:r>
      <w:r w:rsidR="00A954D0" w:rsidRPr="008379CA">
        <w:rPr>
          <w:rFonts w:ascii="Bookman Old Style" w:hAnsi="Bookman Old Style" w:cs="Arial"/>
          <w:lang w:val="sv-FI"/>
        </w:rPr>
        <w:t xml:space="preserve"> </w:t>
      </w:r>
      <w:r w:rsidRPr="008379CA">
        <w:rPr>
          <w:rFonts w:ascii="Bookman Old Style" w:hAnsi="Bookman Old Style" w:cs="Arial"/>
          <w:lang w:val="sv-FI"/>
        </w:rPr>
        <w:t>alokasi</w:t>
      </w:r>
      <w:r w:rsidR="00A954D0" w:rsidRPr="008379CA">
        <w:rPr>
          <w:rFonts w:ascii="Bookman Old Style" w:hAnsi="Bookman Old Style" w:cs="Arial"/>
          <w:lang w:val="sv-FI"/>
        </w:rPr>
        <w:t xml:space="preserve"> </w:t>
      </w:r>
      <w:r w:rsidRPr="008379CA">
        <w:rPr>
          <w:rFonts w:ascii="Bookman Old Style" w:hAnsi="Bookman Old Style" w:cs="Arial"/>
          <w:lang w:val="sv-FI"/>
        </w:rPr>
        <w:t>anggaran</w:t>
      </w:r>
      <w:r w:rsidR="00A954D0" w:rsidRPr="008379CA">
        <w:rPr>
          <w:rFonts w:ascii="Bookman Old Style" w:hAnsi="Bookman Old Style" w:cs="Arial"/>
          <w:lang w:val="sv-FI"/>
        </w:rPr>
        <w:t xml:space="preserve"> </w:t>
      </w:r>
      <w:r w:rsidRPr="008379CA">
        <w:rPr>
          <w:rFonts w:ascii="Bookman Old Style" w:hAnsi="Bookman Old Style" w:cs="Arial"/>
          <w:lang w:val="sv-FI"/>
        </w:rPr>
        <w:t>dalam</w:t>
      </w:r>
      <w:r w:rsidR="00A954D0" w:rsidRPr="008379CA">
        <w:rPr>
          <w:rFonts w:ascii="Bookman Old Style" w:hAnsi="Bookman Old Style" w:cs="Arial"/>
          <w:lang w:val="sv-FI"/>
        </w:rPr>
        <w:t xml:space="preserve"> </w:t>
      </w:r>
      <w:r w:rsidRPr="008379CA">
        <w:rPr>
          <w:rFonts w:ascii="Bookman Old Style" w:hAnsi="Bookman Old Style" w:cs="Arial"/>
          <w:lang w:val="sv-FI"/>
        </w:rPr>
        <w:t>rangka</w:t>
      </w:r>
      <w:r w:rsidR="00A954D0" w:rsidRPr="008379CA">
        <w:rPr>
          <w:rFonts w:ascii="Bookman Old Style" w:hAnsi="Bookman Old Style" w:cs="Arial"/>
          <w:lang w:val="sv-FI"/>
        </w:rPr>
        <w:t xml:space="preserve"> </w:t>
      </w:r>
      <w:r w:rsidRPr="008379CA">
        <w:rPr>
          <w:rFonts w:ascii="Bookman Old Style" w:hAnsi="Bookman Old Style" w:cs="Arial"/>
          <w:lang w:val="sv-FI"/>
        </w:rPr>
        <w:t>pengendalian</w:t>
      </w:r>
      <w:r w:rsidR="00A954D0" w:rsidRPr="008379CA">
        <w:rPr>
          <w:rFonts w:ascii="Bookman Old Style" w:hAnsi="Bookman Old Style" w:cs="Arial"/>
          <w:lang w:val="sv-FI"/>
        </w:rPr>
        <w:t xml:space="preserve"> </w:t>
      </w:r>
      <w:r w:rsidRPr="008379CA">
        <w:rPr>
          <w:rFonts w:ascii="Bookman Old Style" w:hAnsi="Bookman Old Style" w:cs="Arial"/>
          <w:lang w:val="sv-FI"/>
        </w:rPr>
        <w:t>inflasi;</w:t>
      </w:r>
    </w:p>
    <w:p w14:paraId="41F1385F" w14:textId="078CF414" w:rsidR="00C330CC" w:rsidRPr="008379CA" w:rsidRDefault="00C330CC" w:rsidP="00447E9A">
      <w:pPr>
        <w:numPr>
          <w:ilvl w:val="1"/>
          <w:numId w:val="233"/>
        </w:numPr>
        <w:spacing w:before="60" w:line="276" w:lineRule="auto"/>
        <w:ind w:left="1701" w:hanging="425"/>
        <w:jc w:val="both"/>
        <w:rPr>
          <w:rFonts w:ascii="Bookman Old Style" w:hAnsi="Bookman Old Style" w:cs="Arial"/>
          <w:lang w:val="sv-FI"/>
        </w:rPr>
      </w:pPr>
      <w:r w:rsidRPr="008379CA">
        <w:rPr>
          <w:rFonts w:ascii="Bookman Old Style" w:hAnsi="Bookman Old Style" w:cs="Arial"/>
          <w:lang w:val="sv-FI"/>
        </w:rPr>
        <w:t>Pemberdayaan</w:t>
      </w:r>
      <w:r w:rsidR="00A954D0" w:rsidRPr="008379CA">
        <w:rPr>
          <w:rFonts w:ascii="Bookman Old Style" w:hAnsi="Bookman Old Style" w:cs="Arial"/>
          <w:lang w:val="sv-FI"/>
        </w:rPr>
        <w:t xml:space="preserve"> </w:t>
      </w:r>
      <w:r w:rsidRPr="008379CA">
        <w:rPr>
          <w:rFonts w:ascii="Bookman Old Style" w:hAnsi="Bookman Old Style" w:cs="Arial"/>
          <w:lang w:val="sv-FI"/>
        </w:rPr>
        <w:t>Kelembagaan</w:t>
      </w:r>
      <w:r w:rsidR="00A954D0" w:rsidRPr="008379CA">
        <w:rPr>
          <w:rFonts w:ascii="Bookman Old Style" w:hAnsi="Bookman Old Style" w:cs="Arial"/>
          <w:lang w:val="sv-FI"/>
        </w:rPr>
        <w:t xml:space="preserve"> </w:t>
      </w:r>
      <w:r w:rsidRPr="008379CA">
        <w:rPr>
          <w:rFonts w:ascii="Bookman Old Style" w:hAnsi="Bookman Old Style" w:cs="Arial"/>
          <w:lang w:val="sv-FI"/>
        </w:rPr>
        <w:t>Potensi</w:t>
      </w:r>
      <w:r w:rsidR="00A954D0" w:rsidRPr="008379CA">
        <w:rPr>
          <w:rFonts w:ascii="Bookman Old Style" w:hAnsi="Bookman Old Style" w:cs="Arial"/>
          <w:lang w:val="sv-FI"/>
        </w:rPr>
        <w:t xml:space="preserve"> </w:t>
      </w:r>
      <w:r w:rsidRPr="008379CA">
        <w:rPr>
          <w:rFonts w:ascii="Bookman Old Style" w:hAnsi="Bookman Old Style" w:cs="Arial"/>
          <w:lang w:val="sv-FI"/>
        </w:rPr>
        <w:t>dan</w:t>
      </w:r>
      <w:r w:rsidR="00A954D0" w:rsidRPr="008379CA">
        <w:rPr>
          <w:rFonts w:ascii="Bookman Old Style" w:hAnsi="Bookman Old Style" w:cs="Arial"/>
          <w:lang w:val="sv-FI"/>
        </w:rPr>
        <w:t xml:space="preserve"> </w:t>
      </w:r>
      <w:r w:rsidRPr="008379CA">
        <w:rPr>
          <w:rFonts w:ascii="Bookman Old Style" w:hAnsi="Bookman Old Style" w:cs="Arial"/>
          <w:lang w:val="sv-FI"/>
        </w:rPr>
        <w:t>Pengembangan</w:t>
      </w:r>
      <w:r w:rsidR="00A954D0" w:rsidRPr="008379CA">
        <w:rPr>
          <w:rFonts w:ascii="Bookman Old Style" w:hAnsi="Bookman Old Style" w:cs="Arial"/>
          <w:lang w:val="sv-FI"/>
        </w:rPr>
        <w:t xml:space="preserve"> </w:t>
      </w:r>
      <w:r w:rsidRPr="008379CA">
        <w:rPr>
          <w:rFonts w:ascii="Bookman Old Style" w:hAnsi="Bookman Old Style" w:cs="Arial"/>
          <w:lang w:val="sv-FI"/>
        </w:rPr>
        <w:t>Usaha</w:t>
      </w:r>
      <w:r w:rsidR="00A954D0" w:rsidRPr="008379CA">
        <w:rPr>
          <w:rFonts w:ascii="Bookman Old Style" w:hAnsi="Bookman Old Style" w:cs="Arial"/>
          <w:lang w:val="sv-FI"/>
        </w:rPr>
        <w:t xml:space="preserve"> </w:t>
      </w:r>
      <w:r w:rsidRPr="008379CA">
        <w:rPr>
          <w:rFonts w:ascii="Bookman Old Style" w:hAnsi="Bookman Old Style" w:cs="Arial"/>
          <w:lang w:val="sv-FI"/>
        </w:rPr>
        <w:t>Mikro</w:t>
      </w:r>
      <w:r w:rsidR="00A954D0" w:rsidRPr="008379CA">
        <w:rPr>
          <w:rFonts w:ascii="Bookman Old Style" w:hAnsi="Bookman Old Style" w:cs="Arial"/>
          <w:lang w:val="sv-FI"/>
        </w:rPr>
        <w:t xml:space="preserve"> </w:t>
      </w:r>
      <w:r w:rsidRPr="008379CA">
        <w:rPr>
          <w:rFonts w:ascii="Bookman Old Style" w:hAnsi="Bookman Old Style" w:cs="Arial"/>
          <w:lang w:val="sv-FI"/>
        </w:rPr>
        <w:t>pada</w:t>
      </w:r>
      <w:r w:rsidR="00A954D0" w:rsidRPr="008379CA">
        <w:rPr>
          <w:rFonts w:ascii="Bookman Old Style" w:hAnsi="Bookman Old Style" w:cs="Arial"/>
          <w:lang w:val="sv-FI"/>
        </w:rPr>
        <w:t xml:space="preserve"> </w:t>
      </w:r>
      <w:r w:rsidRPr="008379CA">
        <w:rPr>
          <w:rFonts w:ascii="Bookman Old Style" w:hAnsi="Bookman Old Style" w:cs="Arial"/>
          <w:lang w:val="sv-FI"/>
        </w:rPr>
        <w:t>Dinas</w:t>
      </w:r>
      <w:r w:rsidR="00A954D0" w:rsidRPr="008379CA">
        <w:rPr>
          <w:rFonts w:ascii="Bookman Old Style" w:hAnsi="Bookman Old Style" w:cs="Arial"/>
          <w:lang w:val="sv-FI"/>
        </w:rPr>
        <w:t xml:space="preserve"> </w:t>
      </w:r>
      <w:r w:rsidRPr="008379CA">
        <w:rPr>
          <w:rFonts w:ascii="Bookman Old Style" w:hAnsi="Bookman Old Style" w:cs="Arial"/>
          <w:lang w:val="sv-FI"/>
        </w:rPr>
        <w:t>Perindustrian,</w:t>
      </w:r>
      <w:r w:rsidR="00A954D0" w:rsidRPr="008379CA">
        <w:rPr>
          <w:rFonts w:ascii="Bookman Old Style" w:hAnsi="Bookman Old Style" w:cs="Arial"/>
          <w:lang w:val="sv-FI"/>
        </w:rPr>
        <w:t xml:space="preserve"> </w:t>
      </w:r>
      <w:r w:rsidRPr="008379CA">
        <w:rPr>
          <w:rFonts w:ascii="Bookman Old Style" w:hAnsi="Bookman Old Style" w:cs="Arial"/>
          <w:lang w:val="sv-FI"/>
        </w:rPr>
        <w:t>Perdagangan,</w:t>
      </w:r>
      <w:r w:rsidR="00A954D0" w:rsidRPr="008379CA">
        <w:rPr>
          <w:rFonts w:ascii="Bookman Old Style" w:hAnsi="Bookman Old Style" w:cs="Arial"/>
          <w:lang w:val="sv-FI"/>
        </w:rPr>
        <w:t xml:space="preserve"> </w:t>
      </w:r>
      <w:r w:rsidRPr="008379CA">
        <w:rPr>
          <w:rFonts w:ascii="Bookman Old Style" w:hAnsi="Bookman Old Style" w:cs="Arial"/>
          <w:lang w:val="sv-FI"/>
        </w:rPr>
        <w:t>Koperasi,</w:t>
      </w:r>
      <w:r w:rsidR="00A954D0" w:rsidRPr="008379CA">
        <w:rPr>
          <w:rFonts w:ascii="Bookman Old Style" w:hAnsi="Bookman Old Style" w:cs="Arial"/>
          <w:lang w:val="sv-FI"/>
        </w:rPr>
        <w:t xml:space="preserve"> </w:t>
      </w:r>
      <w:r w:rsidRPr="008379CA">
        <w:rPr>
          <w:rFonts w:ascii="Bookman Old Style" w:hAnsi="Bookman Old Style" w:cs="Arial"/>
          <w:lang w:val="sv-FI"/>
        </w:rPr>
        <w:t>Usaha</w:t>
      </w:r>
      <w:r w:rsidR="00A954D0" w:rsidRPr="008379CA">
        <w:rPr>
          <w:rFonts w:ascii="Bookman Old Style" w:hAnsi="Bookman Old Style" w:cs="Arial"/>
          <w:lang w:val="sv-FI"/>
        </w:rPr>
        <w:t xml:space="preserve"> </w:t>
      </w:r>
      <w:r w:rsidRPr="008379CA">
        <w:rPr>
          <w:rFonts w:ascii="Bookman Old Style" w:hAnsi="Bookman Old Style" w:cs="Arial"/>
          <w:lang w:val="sv-FI"/>
        </w:rPr>
        <w:t>Kecil</w:t>
      </w:r>
      <w:r w:rsidR="00A954D0" w:rsidRPr="008379CA">
        <w:rPr>
          <w:rFonts w:ascii="Bookman Old Style" w:hAnsi="Bookman Old Style" w:cs="Arial"/>
          <w:lang w:val="sv-FI"/>
        </w:rPr>
        <w:t xml:space="preserve"> </w:t>
      </w:r>
      <w:r w:rsidRPr="008379CA">
        <w:rPr>
          <w:rFonts w:ascii="Bookman Old Style" w:hAnsi="Bookman Old Style" w:cs="Arial"/>
          <w:lang w:val="sv-FI"/>
        </w:rPr>
        <w:t>Dan</w:t>
      </w:r>
      <w:r w:rsidR="00A954D0" w:rsidRPr="008379CA">
        <w:rPr>
          <w:rFonts w:ascii="Bookman Old Style" w:hAnsi="Bookman Old Style" w:cs="Arial"/>
          <w:lang w:val="sv-FI"/>
        </w:rPr>
        <w:t xml:space="preserve"> </w:t>
      </w:r>
      <w:r w:rsidRPr="008379CA">
        <w:rPr>
          <w:rFonts w:ascii="Bookman Old Style" w:hAnsi="Bookman Old Style" w:cs="Arial"/>
          <w:lang w:val="sv-FI"/>
        </w:rPr>
        <w:t>Menengah</w:t>
      </w:r>
      <w:r w:rsidR="00A954D0" w:rsidRPr="008379CA">
        <w:rPr>
          <w:rFonts w:ascii="Bookman Old Style" w:hAnsi="Bookman Old Style" w:cs="Arial"/>
          <w:lang w:val="sv-FI"/>
        </w:rPr>
        <w:t xml:space="preserve"> </w:t>
      </w:r>
      <w:r w:rsidRPr="008379CA">
        <w:rPr>
          <w:rFonts w:ascii="Bookman Old Style" w:hAnsi="Bookman Old Style" w:cs="Arial"/>
          <w:lang w:val="sv-FI"/>
        </w:rPr>
        <w:t>Rp909.306.900,00</w:t>
      </w:r>
      <w:r w:rsidR="00A954D0" w:rsidRPr="008379CA">
        <w:rPr>
          <w:rFonts w:ascii="Bookman Old Style" w:hAnsi="Bookman Old Style" w:cs="Arial"/>
          <w:lang w:val="sv-FI"/>
        </w:rPr>
        <w:t xml:space="preserve"> </w:t>
      </w:r>
      <w:r w:rsidRPr="008379CA">
        <w:rPr>
          <w:rFonts w:ascii="Bookman Old Style" w:hAnsi="Bookman Old Style" w:cs="Arial"/>
          <w:lang w:val="sv-FI"/>
        </w:rPr>
        <w:t>atau</w:t>
      </w:r>
      <w:r w:rsidR="00A954D0" w:rsidRPr="008379CA">
        <w:rPr>
          <w:rFonts w:ascii="Bookman Old Style" w:hAnsi="Bookman Old Style" w:cs="Arial"/>
          <w:lang w:val="sv-FI"/>
        </w:rPr>
        <w:t xml:space="preserve"> </w:t>
      </w:r>
      <w:r w:rsidRPr="008379CA">
        <w:rPr>
          <w:rFonts w:ascii="Bookman Old Style" w:hAnsi="Bookman Old Style" w:cs="Arial"/>
          <w:lang w:val="sv-FI"/>
        </w:rPr>
        <w:t>0,30%</w:t>
      </w:r>
      <w:r w:rsidR="00A954D0" w:rsidRPr="008379CA">
        <w:rPr>
          <w:rFonts w:ascii="Bookman Old Style" w:hAnsi="Bookman Old Style" w:cs="Arial"/>
          <w:lang w:val="sv-FI"/>
        </w:rPr>
        <w:t xml:space="preserve"> </w:t>
      </w:r>
      <w:r w:rsidRPr="008379CA">
        <w:rPr>
          <w:rFonts w:ascii="Bookman Old Style" w:hAnsi="Bookman Old Style" w:cs="Arial"/>
          <w:lang w:val="sv-FI"/>
        </w:rPr>
        <w:t>dari</w:t>
      </w:r>
      <w:r w:rsidR="00A954D0" w:rsidRPr="008379CA">
        <w:rPr>
          <w:rFonts w:ascii="Bookman Old Style" w:hAnsi="Bookman Old Style" w:cs="Arial"/>
          <w:lang w:val="sv-FI"/>
        </w:rPr>
        <w:t xml:space="preserve"> </w:t>
      </w:r>
      <w:r w:rsidRPr="008379CA">
        <w:rPr>
          <w:rFonts w:ascii="Bookman Old Style" w:hAnsi="Bookman Old Style" w:cs="Arial"/>
          <w:lang w:val="sv-FI"/>
        </w:rPr>
        <w:t>total</w:t>
      </w:r>
      <w:r w:rsidR="00A954D0" w:rsidRPr="008379CA">
        <w:rPr>
          <w:rFonts w:ascii="Bookman Old Style" w:hAnsi="Bookman Old Style" w:cs="Arial"/>
          <w:lang w:val="sv-FI"/>
        </w:rPr>
        <w:t xml:space="preserve"> </w:t>
      </w:r>
      <w:r w:rsidRPr="008379CA">
        <w:rPr>
          <w:rFonts w:ascii="Bookman Old Style" w:hAnsi="Bookman Old Style" w:cs="Arial"/>
          <w:lang w:val="sv-FI"/>
        </w:rPr>
        <w:t>alokasi</w:t>
      </w:r>
      <w:r w:rsidR="00A954D0" w:rsidRPr="008379CA">
        <w:rPr>
          <w:rFonts w:ascii="Bookman Old Style" w:hAnsi="Bookman Old Style" w:cs="Arial"/>
          <w:lang w:val="sv-FI"/>
        </w:rPr>
        <w:t xml:space="preserve"> </w:t>
      </w:r>
      <w:r w:rsidRPr="008379CA">
        <w:rPr>
          <w:rFonts w:ascii="Bookman Old Style" w:hAnsi="Bookman Old Style" w:cs="Arial"/>
          <w:lang w:val="sv-FI"/>
        </w:rPr>
        <w:t>anggaran</w:t>
      </w:r>
      <w:r w:rsidR="00A954D0" w:rsidRPr="008379CA">
        <w:rPr>
          <w:rFonts w:ascii="Bookman Old Style" w:hAnsi="Bookman Old Style" w:cs="Arial"/>
          <w:lang w:val="sv-FI"/>
        </w:rPr>
        <w:t xml:space="preserve"> </w:t>
      </w:r>
      <w:r w:rsidRPr="008379CA">
        <w:rPr>
          <w:rFonts w:ascii="Bookman Old Style" w:hAnsi="Bookman Old Style" w:cs="Arial"/>
          <w:lang w:val="sv-FI"/>
        </w:rPr>
        <w:t>dalam</w:t>
      </w:r>
      <w:r w:rsidR="00A954D0" w:rsidRPr="008379CA">
        <w:rPr>
          <w:rFonts w:ascii="Bookman Old Style" w:hAnsi="Bookman Old Style" w:cs="Arial"/>
          <w:lang w:val="sv-FI"/>
        </w:rPr>
        <w:t xml:space="preserve"> </w:t>
      </w:r>
      <w:r w:rsidRPr="008379CA">
        <w:rPr>
          <w:rFonts w:ascii="Bookman Old Style" w:hAnsi="Bookman Old Style" w:cs="Arial"/>
          <w:lang w:val="sv-FI"/>
        </w:rPr>
        <w:t>rangka</w:t>
      </w:r>
      <w:r w:rsidR="00A954D0" w:rsidRPr="008379CA">
        <w:rPr>
          <w:rFonts w:ascii="Bookman Old Style" w:hAnsi="Bookman Old Style" w:cs="Arial"/>
          <w:lang w:val="sv-FI"/>
        </w:rPr>
        <w:t xml:space="preserve"> </w:t>
      </w:r>
      <w:r w:rsidRPr="008379CA">
        <w:rPr>
          <w:rFonts w:ascii="Bookman Old Style" w:hAnsi="Bookman Old Style" w:cs="Arial"/>
          <w:lang w:val="sv-FI"/>
        </w:rPr>
        <w:t>pengendalian</w:t>
      </w:r>
      <w:r w:rsidR="00A954D0" w:rsidRPr="008379CA">
        <w:rPr>
          <w:rFonts w:ascii="Bookman Old Style" w:hAnsi="Bookman Old Style" w:cs="Arial"/>
          <w:lang w:val="sv-FI"/>
        </w:rPr>
        <w:t xml:space="preserve"> </w:t>
      </w:r>
      <w:r w:rsidRPr="008379CA">
        <w:rPr>
          <w:rFonts w:ascii="Bookman Old Style" w:hAnsi="Bookman Old Style" w:cs="Arial"/>
          <w:lang w:val="sv-FI"/>
        </w:rPr>
        <w:t>inflasi;</w:t>
      </w:r>
    </w:p>
    <w:p w14:paraId="5E0C5C84" w14:textId="373660C9" w:rsidR="00C330CC" w:rsidRPr="008379CA" w:rsidRDefault="00C330CC" w:rsidP="00447E9A">
      <w:pPr>
        <w:numPr>
          <w:ilvl w:val="1"/>
          <w:numId w:val="233"/>
        </w:numPr>
        <w:spacing w:before="60" w:line="276" w:lineRule="auto"/>
        <w:ind w:left="1701" w:hanging="425"/>
        <w:jc w:val="both"/>
        <w:rPr>
          <w:rFonts w:ascii="Bookman Old Style" w:hAnsi="Bookman Old Style" w:cs="Arial"/>
          <w:lang w:val="sv-FI"/>
        </w:rPr>
      </w:pPr>
      <w:r w:rsidRPr="008379CA">
        <w:rPr>
          <w:rFonts w:ascii="Bookman Old Style" w:hAnsi="Bookman Old Style" w:cs="Arial"/>
          <w:lang w:val="sv-FI"/>
        </w:rPr>
        <w:t>Pembinaan</w:t>
      </w:r>
      <w:r w:rsidR="00A954D0" w:rsidRPr="008379CA">
        <w:rPr>
          <w:rFonts w:ascii="Bookman Old Style" w:hAnsi="Bookman Old Style" w:cs="Arial"/>
          <w:lang w:val="sv-FI"/>
        </w:rPr>
        <w:t xml:space="preserve"> </w:t>
      </w:r>
      <w:r w:rsidRPr="008379CA">
        <w:rPr>
          <w:rFonts w:ascii="Bookman Old Style" w:hAnsi="Bookman Old Style" w:cs="Arial"/>
          <w:lang w:val="sv-FI"/>
        </w:rPr>
        <w:t>dan</w:t>
      </w:r>
      <w:r w:rsidR="00A954D0" w:rsidRPr="008379CA">
        <w:rPr>
          <w:rFonts w:ascii="Bookman Old Style" w:hAnsi="Bookman Old Style" w:cs="Arial"/>
          <w:lang w:val="sv-FI"/>
        </w:rPr>
        <w:t xml:space="preserve"> </w:t>
      </w:r>
      <w:r w:rsidRPr="008379CA">
        <w:rPr>
          <w:rFonts w:ascii="Bookman Old Style" w:hAnsi="Bookman Old Style" w:cs="Arial"/>
          <w:lang w:val="sv-FI"/>
        </w:rPr>
        <w:t>Pengendalian</w:t>
      </w:r>
      <w:r w:rsidR="00A954D0" w:rsidRPr="008379CA">
        <w:rPr>
          <w:rFonts w:ascii="Bookman Old Style" w:hAnsi="Bookman Old Style" w:cs="Arial"/>
          <w:lang w:val="sv-FI"/>
        </w:rPr>
        <w:t xml:space="preserve"> </w:t>
      </w:r>
      <w:r w:rsidRPr="008379CA">
        <w:rPr>
          <w:rFonts w:ascii="Bookman Old Style" w:hAnsi="Bookman Old Style" w:cs="Arial"/>
          <w:lang w:val="sv-FI"/>
        </w:rPr>
        <w:t>Pengelola</w:t>
      </w:r>
      <w:r w:rsidR="00A954D0" w:rsidRPr="008379CA">
        <w:rPr>
          <w:rFonts w:ascii="Bookman Old Style" w:hAnsi="Bookman Old Style" w:cs="Arial"/>
          <w:lang w:val="sv-FI"/>
        </w:rPr>
        <w:t xml:space="preserve"> </w:t>
      </w:r>
      <w:r w:rsidRPr="008379CA">
        <w:rPr>
          <w:rFonts w:ascii="Bookman Old Style" w:hAnsi="Bookman Old Style" w:cs="Arial"/>
          <w:lang w:val="sv-FI"/>
        </w:rPr>
        <w:t>Sarana</w:t>
      </w:r>
      <w:r w:rsidR="00A954D0" w:rsidRPr="008379CA">
        <w:rPr>
          <w:rFonts w:ascii="Bookman Old Style" w:hAnsi="Bookman Old Style" w:cs="Arial"/>
          <w:lang w:val="sv-FI"/>
        </w:rPr>
        <w:t xml:space="preserve"> </w:t>
      </w:r>
      <w:r w:rsidRPr="008379CA">
        <w:rPr>
          <w:rFonts w:ascii="Bookman Old Style" w:hAnsi="Bookman Old Style" w:cs="Arial"/>
          <w:lang w:val="sv-FI"/>
        </w:rPr>
        <w:t>Distribusi</w:t>
      </w:r>
      <w:r w:rsidR="00A954D0" w:rsidRPr="008379CA">
        <w:rPr>
          <w:rFonts w:ascii="Bookman Old Style" w:hAnsi="Bookman Old Style" w:cs="Arial"/>
          <w:lang w:val="sv-FI"/>
        </w:rPr>
        <w:t xml:space="preserve"> </w:t>
      </w:r>
      <w:r w:rsidRPr="008379CA">
        <w:rPr>
          <w:rFonts w:ascii="Bookman Old Style" w:hAnsi="Bookman Old Style" w:cs="Arial"/>
          <w:lang w:val="sv-FI"/>
        </w:rPr>
        <w:t>Perdagangan</w:t>
      </w:r>
      <w:r w:rsidR="00A954D0" w:rsidRPr="008379CA">
        <w:rPr>
          <w:rFonts w:ascii="Bookman Old Style" w:hAnsi="Bookman Old Style" w:cs="Arial"/>
          <w:lang w:val="sv-FI"/>
        </w:rPr>
        <w:t xml:space="preserve"> </w:t>
      </w:r>
      <w:r w:rsidRPr="008379CA">
        <w:rPr>
          <w:rFonts w:ascii="Bookman Old Style" w:hAnsi="Bookman Old Style" w:cs="Arial"/>
          <w:lang w:val="sv-FI"/>
        </w:rPr>
        <w:t>pada</w:t>
      </w:r>
      <w:r w:rsidR="00A954D0" w:rsidRPr="008379CA">
        <w:rPr>
          <w:rFonts w:ascii="Bookman Old Style" w:hAnsi="Bookman Old Style" w:cs="Arial"/>
          <w:lang w:val="sv-FI"/>
        </w:rPr>
        <w:t xml:space="preserve"> </w:t>
      </w:r>
      <w:r w:rsidRPr="008379CA">
        <w:rPr>
          <w:rFonts w:ascii="Bookman Old Style" w:hAnsi="Bookman Old Style" w:cs="Arial"/>
          <w:lang w:val="sv-FI"/>
        </w:rPr>
        <w:t>Dinas</w:t>
      </w:r>
      <w:r w:rsidR="00A954D0" w:rsidRPr="008379CA">
        <w:rPr>
          <w:rFonts w:ascii="Bookman Old Style" w:hAnsi="Bookman Old Style" w:cs="Arial"/>
          <w:lang w:val="sv-FI"/>
        </w:rPr>
        <w:t xml:space="preserve"> </w:t>
      </w:r>
      <w:r w:rsidRPr="008379CA">
        <w:rPr>
          <w:rFonts w:ascii="Bookman Old Style" w:hAnsi="Bookman Old Style" w:cs="Arial"/>
          <w:lang w:val="sv-FI"/>
        </w:rPr>
        <w:t>Perindustrian,</w:t>
      </w:r>
      <w:r w:rsidR="00A954D0" w:rsidRPr="008379CA">
        <w:rPr>
          <w:rFonts w:ascii="Bookman Old Style" w:hAnsi="Bookman Old Style" w:cs="Arial"/>
          <w:lang w:val="sv-FI"/>
        </w:rPr>
        <w:t xml:space="preserve"> </w:t>
      </w:r>
      <w:r w:rsidRPr="008379CA">
        <w:rPr>
          <w:rFonts w:ascii="Bookman Old Style" w:hAnsi="Bookman Old Style" w:cs="Arial"/>
          <w:lang w:val="sv-FI"/>
        </w:rPr>
        <w:t>Perdagangan,</w:t>
      </w:r>
      <w:r w:rsidR="00A954D0" w:rsidRPr="008379CA">
        <w:rPr>
          <w:rFonts w:ascii="Bookman Old Style" w:hAnsi="Bookman Old Style" w:cs="Arial"/>
          <w:lang w:val="sv-FI"/>
        </w:rPr>
        <w:t xml:space="preserve"> </w:t>
      </w:r>
      <w:r w:rsidRPr="008379CA">
        <w:rPr>
          <w:rFonts w:ascii="Bookman Old Style" w:hAnsi="Bookman Old Style" w:cs="Arial"/>
          <w:lang w:val="sv-FI"/>
        </w:rPr>
        <w:t>Koperasi,</w:t>
      </w:r>
      <w:r w:rsidR="00A954D0" w:rsidRPr="008379CA">
        <w:rPr>
          <w:rFonts w:ascii="Bookman Old Style" w:hAnsi="Bookman Old Style" w:cs="Arial"/>
          <w:lang w:val="sv-FI"/>
        </w:rPr>
        <w:t xml:space="preserve"> </w:t>
      </w:r>
      <w:r w:rsidRPr="008379CA">
        <w:rPr>
          <w:rFonts w:ascii="Bookman Old Style" w:hAnsi="Bookman Old Style" w:cs="Arial"/>
          <w:lang w:val="sv-FI"/>
        </w:rPr>
        <w:t>Usaha</w:t>
      </w:r>
      <w:r w:rsidR="00A954D0" w:rsidRPr="008379CA">
        <w:rPr>
          <w:rFonts w:ascii="Bookman Old Style" w:hAnsi="Bookman Old Style" w:cs="Arial"/>
          <w:lang w:val="sv-FI"/>
        </w:rPr>
        <w:t xml:space="preserve"> </w:t>
      </w:r>
      <w:r w:rsidRPr="008379CA">
        <w:rPr>
          <w:rFonts w:ascii="Bookman Old Style" w:hAnsi="Bookman Old Style" w:cs="Arial"/>
          <w:lang w:val="sv-FI"/>
        </w:rPr>
        <w:t>Kecil</w:t>
      </w:r>
      <w:r w:rsidR="00A954D0" w:rsidRPr="008379CA">
        <w:rPr>
          <w:rFonts w:ascii="Bookman Old Style" w:hAnsi="Bookman Old Style" w:cs="Arial"/>
          <w:lang w:val="sv-FI"/>
        </w:rPr>
        <w:t xml:space="preserve"> </w:t>
      </w:r>
      <w:r w:rsidRPr="008379CA">
        <w:rPr>
          <w:rFonts w:ascii="Bookman Old Style" w:hAnsi="Bookman Old Style" w:cs="Arial"/>
          <w:lang w:val="sv-FI"/>
        </w:rPr>
        <w:t>Dan</w:t>
      </w:r>
      <w:r w:rsidR="00A954D0" w:rsidRPr="008379CA">
        <w:rPr>
          <w:rFonts w:ascii="Bookman Old Style" w:hAnsi="Bookman Old Style" w:cs="Arial"/>
          <w:lang w:val="sv-FI"/>
        </w:rPr>
        <w:t xml:space="preserve"> </w:t>
      </w:r>
      <w:r w:rsidRPr="008379CA">
        <w:rPr>
          <w:rFonts w:ascii="Bookman Old Style" w:hAnsi="Bookman Old Style" w:cs="Arial"/>
          <w:lang w:val="sv-FI"/>
        </w:rPr>
        <w:t>Menengah</w:t>
      </w:r>
      <w:r w:rsidR="00A954D0" w:rsidRPr="008379CA">
        <w:rPr>
          <w:rFonts w:ascii="Bookman Old Style" w:hAnsi="Bookman Old Style" w:cs="Arial"/>
          <w:lang w:val="sv-FI"/>
        </w:rPr>
        <w:t xml:space="preserve"> </w:t>
      </w:r>
      <w:r w:rsidRPr="008379CA">
        <w:rPr>
          <w:rFonts w:ascii="Bookman Old Style" w:hAnsi="Bookman Old Style" w:cs="Arial"/>
          <w:lang w:val="sv-FI"/>
        </w:rPr>
        <w:t>Rp139.828.000,00</w:t>
      </w:r>
      <w:r w:rsidR="00A954D0" w:rsidRPr="008379CA">
        <w:rPr>
          <w:rFonts w:ascii="Bookman Old Style" w:hAnsi="Bookman Old Style" w:cs="Arial"/>
          <w:lang w:val="sv-FI"/>
        </w:rPr>
        <w:t xml:space="preserve"> </w:t>
      </w:r>
      <w:r w:rsidRPr="008379CA">
        <w:rPr>
          <w:rFonts w:ascii="Bookman Old Style" w:hAnsi="Bookman Old Style" w:cs="Arial"/>
          <w:lang w:val="sv-FI"/>
        </w:rPr>
        <w:t>atau</w:t>
      </w:r>
      <w:r w:rsidR="00A954D0" w:rsidRPr="008379CA">
        <w:rPr>
          <w:rFonts w:ascii="Bookman Old Style" w:hAnsi="Bookman Old Style" w:cs="Arial"/>
          <w:lang w:val="sv-FI"/>
        </w:rPr>
        <w:t xml:space="preserve"> </w:t>
      </w:r>
      <w:r w:rsidRPr="008379CA">
        <w:rPr>
          <w:rFonts w:ascii="Bookman Old Style" w:hAnsi="Bookman Old Style" w:cs="Arial"/>
          <w:lang w:val="sv-FI"/>
        </w:rPr>
        <w:t>0,05%</w:t>
      </w:r>
      <w:r w:rsidR="00A954D0" w:rsidRPr="008379CA">
        <w:rPr>
          <w:rFonts w:ascii="Bookman Old Style" w:hAnsi="Bookman Old Style" w:cs="Arial"/>
          <w:lang w:val="sv-FI"/>
        </w:rPr>
        <w:t xml:space="preserve"> </w:t>
      </w:r>
      <w:r w:rsidRPr="008379CA">
        <w:rPr>
          <w:rFonts w:ascii="Bookman Old Style" w:hAnsi="Bookman Old Style" w:cs="Arial"/>
          <w:lang w:val="sv-FI"/>
        </w:rPr>
        <w:t>dari</w:t>
      </w:r>
      <w:r w:rsidR="00A954D0" w:rsidRPr="008379CA">
        <w:rPr>
          <w:rFonts w:ascii="Bookman Old Style" w:hAnsi="Bookman Old Style" w:cs="Arial"/>
          <w:lang w:val="sv-FI"/>
        </w:rPr>
        <w:t xml:space="preserve"> </w:t>
      </w:r>
      <w:r w:rsidRPr="008379CA">
        <w:rPr>
          <w:rFonts w:ascii="Bookman Old Style" w:hAnsi="Bookman Old Style" w:cs="Arial"/>
          <w:lang w:val="sv-FI"/>
        </w:rPr>
        <w:t>total</w:t>
      </w:r>
      <w:r w:rsidR="00A954D0" w:rsidRPr="008379CA">
        <w:rPr>
          <w:rFonts w:ascii="Bookman Old Style" w:hAnsi="Bookman Old Style" w:cs="Arial"/>
          <w:lang w:val="sv-FI"/>
        </w:rPr>
        <w:t xml:space="preserve"> </w:t>
      </w:r>
      <w:r w:rsidRPr="008379CA">
        <w:rPr>
          <w:rFonts w:ascii="Bookman Old Style" w:hAnsi="Bookman Old Style" w:cs="Arial"/>
          <w:lang w:val="sv-FI"/>
        </w:rPr>
        <w:t>alokasi</w:t>
      </w:r>
      <w:r w:rsidR="00A954D0" w:rsidRPr="008379CA">
        <w:rPr>
          <w:rFonts w:ascii="Bookman Old Style" w:hAnsi="Bookman Old Style" w:cs="Arial"/>
          <w:lang w:val="sv-FI"/>
        </w:rPr>
        <w:t xml:space="preserve"> </w:t>
      </w:r>
      <w:r w:rsidRPr="008379CA">
        <w:rPr>
          <w:rFonts w:ascii="Bookman Old Style" w:hAnsi="Bookman Old Style" w:cs="Arial"/>
          <w:lang w:val="sv-FI"/>
        </w:rPr>
        <w:t>anggaran</w:t>
      </w:r>
      <w:r w:rsidR="00A954D0" w:rsidRPr="008379CA">
        <w:rPr>
          <w:rFonts w:ascii="Bookman Old Style" w:hAnsi="Bookman Old Style" w:cs="Arial"/>
          <w:lang w:val="sv-FI"/>
        </w:rPr>
        <w:t xml:space="preserve"> </w:t>
      </w:r>
      <w:r w:rsidRPr="008379CA">
        <w:rPr>
          <w:rFonts w:ascii="Bookman Old Style" w:hAnsi="Bookman Old Style" w:cs="Arial"/>
          <w:lang w:val="sv-FI"/>
        </w:rPr>
        <w:t>dalam</w:t>
      </w:r>
      <w:r w:rsidR="00A954D0" w:rsidRPr="008379CA">
        <w:rPr>
          <w:rFonts w:ascii="Bookman Old Style" w:hAnsi="Bookman Old Style" w:cs="Arial"/>
          <w:lang w:val="sv-FI"/>
        </w:rPr>
        <w:t xml:space="preserve"> </w:t>
      </w:r>
      <w:r w:rsidRPr="008379CA">
        <w:rPr>
          <w:rFonts w:ascii="Bookman Old Style" w:hAnsi="Bookman Old Style" w:cs="Arial"/>
          <w:lang w:val="sv-FI"/>
        </w:rPr>
        <w:t>rangka</w:t>
      </w:r>
      <w:r w:rsidR="00A954D0" w:rsidRPr="008379CA">
        <w:rPr>
          <w:rFonts w:ascii="Bookman Old Style" w:hAnsi="Bookman Old Style" w:cs="Arial"/>
          <w:lang w:val="sv-FI"/>
        </w:rPr>
        <w:t xml:space="preserve"> </w:t>
      </w:r>
      <w:r w:rsidRPr="008379CA">
        <w:rPr>
          <w:rFonts w:ascii="Bookman Old Style" w:hAnsi="Bookman Old Style" w:cs="Arial"/>
          <w:lang w:val="sv-FI"/>
        </w:rPr>
        <w:t>pengendalian</w:t>
      </w:r>
      <w:r w:rsidR="00A954D0" w:rsidRPr="008379CA">
        <w:rPr>
          <w:rFonts w:ascii="Bookman Old Style" w:hAnsi="Bookman Old Style" w:cs="Arial"/>
          <w:lang w:val="sv-FI"/>
        </w:rPr>
        <w:t xml:space="preserve"> </w:t>
      </w:r>
      <w:r w:rsidRPr="008379CA">
        <w:rPr>
          <w:rFonts w:ascii="Bookman Old Style" w:hAnsi="Bookman Old Style" w:cs="Arial"/>
          <w:lang w:val="sv-FI"/>
        </w:rPr>
        <w:t>inflasi;</w:t>
      </w:r>
    </w:p>
    <w:p w14:paraId="1B462326" w14:textId="2A15C678" w:rsidR="00C330CC" w:rsidRPr="008379CA" w:rsidRDefault="00C330CC" w:rsidP="00447E9A">
      <w:pPr>
        <w:numPr>
          <w:ilvl w:val="1"/>
          <w:numId w:val="233"/>
        </w:numPr>
        <w:spacing w:before="60" w:line="276" w:lineRule="auto"/>
        <w:ind w:left="1701" w:hanging="425"/>
        <w:jc w:val="both"/>
        <w:rPr>
          <w:rFonts w:ascii="Bookman Old Style" w:hAnsi="Bookman Old Style" w:cs="Arial"/>
          <w:lang w:val="sv-FI"/>
        </w:rPr>
      </w:pPr>
      <w:r w:rsidRPr="008379CA">
        <w:rPr>
          <w:rFonts w:ascii="Bookman Old Style" w:hAnsi="Bookman Old Style" w:cs="Arial"/>
          <w:lang w:val="sv-FI"/>
        </w:rPr>
        <w:t>Pemantauan</w:t>
      </w:r>
      <w:r w:rsidR="00A954D0" w:rsidRPr="008379CA">
        <w:rPr>
          <w:rFonts w:ascii="Bookman Old Style" w:hAnsi="Bookman Old Style" w:cs="Arial"/>
          <w:lang w:val="sv-FI"/>
        </w:rPr>
        <w:t xml:space="preserve"> </w:t>
      </w:r>
      <w:r w:rsidRPr="008379CA">
        <w:rPr>
          <w:rFonts w:ascii="Bookman Old Style" w:hAnsi="Bookman Old Style" w:cs="Arial"/>
          <w:lang w:val="sv-FI"/>
        </w:rPr>
        <w:t>Harga</w:t>
      </w:r>
      <w:r w:rsidR="00A954D0" w:rsidRPr="008379CA">
        <w:rPr>
          <w:rFonts w:ascii="Bookman Old Style" w:hAnsi="Bookman Old Style" w:cs="Arial"/>
          <w:lang w:val="sv-FI"/>
        </w:rPr>
        <w:t xml:space="preserve"> </w:t>
      </w:r>
      <w:r w:rsidRPr="008379CA">
        <w:rPr>
          <w:rFonts w:ascii="Bookman Old Style" w:hAnsi="Bookman Old Style" w:cs="Arial"/>
          <w:lang w:val="sv-FI"/>
        </w:rPr>
        <w:t>dan</w:t>
      </w:r>
      <w:r w:rsidR="00A954D0" w:rsidRPr="008379CA">
        <w:rPr>
          <w:rFonts w:ascii="Bookman Old Style" w:hAnsi="Bookman Old Style" w:cs="Arial"/>
          <w:lang w:val="sv-FI"/>
        </w:rPr>
        <w:t xml:space="preserve"> </w:t>
      </w:r>
      <w:r w:rsidRPr="008379CA">
        <w:rPr>
          <w:rFonts w:ascii="Bookman Old Style" w:hAnsi="Bookman Old Style" w:cs="Arial"/>
          <w:lang w:val="sv-FI"/>
        </w:rPr>
        <w:t>Stok</w:t>
      </w:r>
      <w:r w:rsidR="00A954D0" w:rsidRPr="008379CA">
        <w:rPr>
          <w:rFonts w:ascii="Bookman Old Style" w:hAnsi="Bookman Old Style" w:cs="Arial"/>
          <w:lang w:val="sv-FI"/>
        </w:rPr>
        <w:t xml:space="preserve"> </w:t>
      </w:r>
      <w:r w:rsidRPr="008379CA">
        <w:rPr>
          <w:rFonts w:ascii="Bookman Old Style" w:hAnsi="Bookman Old Style" w:cs="Arial"/>
          <w:lang w:val="sv-FI"/>
        </w:rPr>
        <w:t>Barang</w:t>
      </w:r>
      <w:r w:rsidR="00A954D0" w:rsidRPr="008379CA">
        <w:rPr>
          <w:rFonts w:ascii="Bookman Old Style" w:hAnsi="Bookman Old Style" w:cs="Arial"/>
          <w:lang w:val="sv-FI"/>
        </w:rPr>
        <w:t xml:space="preserve"> </w:t>
      </w:r>
      <w:r w:rsidRPr="008379CA">
        <w:rPr>
          <w:rFonts w:ascii="Bookman Old Style" w:hAnsi="Bookman Old Style" w:cs="Arial"/>
          <w:lang w:val="sv-FI"/>
        </w:rPr>
        <w:t>Kebutuhan</w:t>
      </w:r>
      <w:r w:rsidR="00A954D0" w:rsidRPr="008379CA">
        <w:rPr>
          <w:rFonts w:ascii="Bookman Old Style" w:hAnsi="Bookman Old Style" w:cs="Arial"/>
          <w:lang w:val="sv-FI"/>
        </w:rPr>
        <w:t xml:space="preserve"> </w:t>
      </w:r>
      <w:r w:rsidRPr="008379CA">
        <w:rPr>
          <w:rFonts w:ascii="Bookman Old Style" w:hAnsi="Bookman Old Style" w:cs="Arial"/>
          <w:lang w:val="sv-FI"/>
        </w:rPr>
        <w:t>Pokok</w:t>
      </w:r>
      <w:r w:rsidR="00A954D0" w:rsidRPr="008379CA">
        <w:rPr>
          <w:rFonts w:ascii="Bookman Old Style" w:hAnsi="Bookman Old Style" w:cs="Arial"/>
          <w:lang w:val="sv-FI"/>
        </w:rPr>
        <w:t xml:space="preserve"> </w:t>
      </w:r>
      <w:r w:rsidRPr="008379CA">
        <w:rPr>
          <w:rFonts w:ascii="Bookman Old Style" w:hAnsi="Bookman Old Style" w:cs="Arial"/>
          <w:lang w:val="sv-FI"/>
        </w:rPr>
        <w:t>dan</w:t>
      </w:r>
      <w:r w:rsidR="00A954D0" w:rsidRPr="008379CA">
        <w:rPr>
          <w:rFonts w:ascii="Bookman Old Style" w:hAnsi="Bookman Old Style" w:cs="Arial"/>
          <w:lang w:val="sv-FI"/>
        </w:rPr>
        <w:t xml:space="preserve"> </w:t>
      </w:r>
      <w:r w:rsidRPr="008379CA">
        <w:rPr>
          <w:rFonts w:ascii="Bookman Old Style" w:hAnsi="Bookman Old Style" w:cs="Arial"/>
          <w:lang w:val="sv-FI"/>
        </w:rPr>
        <w:t>Barang</w:t>
      </w:r>
      <w:r w:rsidR="00A954D0" w:rsidRPr="008379CA">
        <w:rPr>
          <w:rFonts w:ascii="Bookman Old Style" w:hAnsi="Bookman Old Style" w:cs="Arial"/>
          <w:lang w:val="sv-FI"/>
        </w:rPr>
        <w:t xml:space="preserve"> </w:t>
      </w:r>
      <w:r w:rsidRPr="008379CA">
        <w:rPr>
          <w:rFonts w:ascii="Bookman Old Style" w:hAnsi="Bookman Old Style" w:cs="Arial"/>
          <w:lang w:val="sv-FI"/>
        </w:rPr>
        <w:t>Penting</w:t>
      </w:r>
      <w:r w:rsidR="00A954D0" w:rsidRPr="008379CA">
        <w:rPr>
          <w:rFonts w:ascii="Bookman Old Style" w:hAnsi="Bookman Old Style" w:cs="Arial"/>
          <w:lang w:val="sv-FI"/>
        </w:rPr>
        <w:t xml:space="preserve"> </w:t>
      </w:r>
      <w:r w:rsidRPr="008379CA">
        <w:rPr>
          <w:rFonts w:ascii="Bookman Old Style" w:hAnsi="Bookman Old Style" w:cs="Arial"/>
          <w:lang w:val="sv-FI"/>
        </w:rPr>
        <w:t>pada</w:t>
      </w:r>
      <w:r w:rsidR="00A954D0" w:rsidRPr="008379CA">
        <w:rPr>
          <w:rFonts w:ascii="Bookman Old Style" w:hAnsi="Bookman Old Style" w:cs="Arial"/>
          <w:lang w:val="sv-FI"/>
        </w:rPr>
        <w:t xml:space="preserve"> </w:t>
      </w:r>
      <w:r w:rsidRPr="008379CA">
        <w:rPr>
          <w:rFonts w:ascii="Bookman Old Style" w:hAnsi="Bookman Old Style" w:cs="Arial"/>
          <w:lang w:val="sv-FI"/>
        </w:rPr>
        <w:t>Pasar</w:t>
      </w:r>
      <w:r w:rsidR="00A954D0" w:rsidRPr="008379CA">
        <w:rPr>
          <w:rFonts w:ascii="Bookman Old Style" w:hAnsi="Bookman Old Style" w:cs="Arial"/>
          <w:lang w:val="sv-FI"/>
        </w:rPr>
        <w:t xml:space="preserve"> </w:t>
      </w:r>
      <w:r w:rsidRPr="008379CA">
        <w:rPr>
          <w:rFonts w:ascii="Bookman Old Style" w:hAnsi="Bookman Old Style" w:cs="Arial"/>
          <w:lang w:val="sv-FI"/>
        </w:rPr>
        <w:t>Rakyat</w:t>
      </w:r>
      <w:r w:rsidR="00A954D0" w:rsidRPr="008379CA">
        <w:rPr>
          <w:rFonts w:ascii="Bookman Old Style" w:hAnsi="Bookman Old Style" w:cs="Arial"/>
          <w:lang w:val="sv-FI"/>
        </w:rPr>
        <w:t xml:space="preserve"> </w:t>
      </w:r>
      <w:r w:rsidRPr="008379CA">
        <w:rPr>
          <w:rFonts w:ascii="Bookman Old Style" w:hAnsi="Bookman Old Style" w:cs="Arial"/>
          <w:lang w:val="sv-FI"/>
        </w:rPr>
        <w:t>yang</w:t>
      </w:r>
      <w:r w:rsidR="00A954D0" w:rsidRPr="008379CA">
        <w:rPr>
          <w:rFonts w:ascii="Bookman Old Style" w:hAnsi="Bookman Old Style" w:cs="Arial"/>
          <w:lang w:val="sv-FI"/>
        </w:rPr>
        <w:t xml:space="preserve"> </w:t>
      </w:r>
      <w:r w:rsidRPr="008379CA">
        <w:rPr>
          <w:rFonts w:ascii="Bookman Old Style" w:hAnsi="Bookman Old Style" w:cs="Arial"/>
          <w:lang w:val="sv-FI"/>
        </w:rPr>
        <w:t>Terintegrasi</w:t>
      </w:r>
      <w:r w:rsidR="00A954D0" w:rsidRPr="008379CA">
        <w:rPr>
          <w:rFonts w:ascii="Bookman Old Style" w:hAnsi="Bookman Old Style" w:cs="Arial"/>
          <w:lang w:val="sv-FI"/>
        </w:rPr>
        <w:t xml:space="preserve"> </w:t>
      </w:r>
      <w:r w:rsidRPr="008379CA">
        <w:rPr>
          <w:rFonts w:ascii="Bookman Old Style" w:hAnsi="Bookman Old Style" w:cs="Arial"/>
          <w:lang w:val="sv-FI"/>
        </w:rPr>
        <w:t>dalam</w:t>
      </w:r>
      <w:r w:rsidR="00A954D0" w:rsidRPr="008379CA">
        <w:rPr>
          <w:rFonts w:ascii="Bookman Old Style" w:hAnsi="Bookman Old Style" w:cs="Arial"/>
          <w:lang w:val="sv-FI"/>
        </w:rPr>
        <w:t xml:space="preserve"> </w:t>
      </w:r>
      <w:r w:rsidRPr="008379CA">
        <w:rPr>
          <w:rFonts w:ascii="Bookman Old Style" w:hAnsi="Bookman Old Style" w:cs="Arial"/>
          <w:lang w:val="sv-FI"/>
        </w:rPr>
        <w:t>Sistem</w:t>
      </w:r>
      <w:r w:rsidR="00A954D0" w:rsidRPr="008379CA">
        <w:rPr>
          <w:rFonts w:ascii="Bookman Old Style" w:hAnsi="Bookman Old Style" w:cs="Arial"/>
          <w:lang w:val="sv-FI"/>
        </w:rPr>
        <w:t xml:space="preserve"> </w:t>
      </w:r>
      <w:r w:rsidRPr="008379CA">
        <w:rPr>
          <w:rFonts w:ascii="Bookman Old Style" w:hAnsi="Bookman Old Style" w:cs="Arial"/>
          <w:lang w:val="sv-FI"/>
        </w:rPr>
        <w:t>Informasi</w:t>
      </w:r>
      <w:r w:rsidR="00A954D0" w:rsidRPr="008379CA">
        <w:rPr>
          <w:rFonts w:ascii="Bookman Old Style" w:hAnsi="Bookman Old Style" w:cs="Arial"/>
          <w:lang w:val="sv-FI"/>
        </w:rPr>
        <w:t xml:space="preserve"> </w:t>
      </w:r>
      <w:r w:rsidRPr="008379CA">
        <w:rPr>
          <w:rFonts w:ascii="Bookman Old Style" w:hAnsi="Bookman Old Style" w:cs="Arial"/>
          <w:lang w:val="sv-FI"/>
        </w:rPr>
        <w:t>Perdagangan</w:t>
      </w:r>
      <w:r w:rsidR="00A954D0" w:rsidRPr="008379CA">
        <w:rPr>
          <w:rFonts w:ascii="Bookman Old Style" w:hAnsi="Bookman Old Style" w:cs="Arial"/>
          <w:lang w:val="sv-FI"/>
        </w:rPr>
        <w:t xml:space="preserve"> </w:t>
      </w:r>
      <w:r w:rsidRPr="008379CA">
        <w:rPr>
          <w:rFonts w:ascii="Bookman Old Style" w:hAnsi="Bookman Old Style" w:cs="Arial"/>
          <w:lang w:val="sv-FI"/>
        </w:rPr>
        <w:t>pada</w:t>
      </w:r>
      <w:r w:rsidR="00A954D0" w:rsidRPr="008379CA">
        <w:rPr>
          <w:rFonts w:ascii="Bookman Old Style" w:hAnsi="Bookman Old Style" w:cs="Arial"/>
          <w:lang w:val="sv-FI"/>
        </w:rPr>
        <w:t xml:space="preserve"> </w:t>
      </w:r>
      <w:r w:rsidRPr="008379CA">
        <w:rPr>
          <w:rFonts w:ascii="Bookman Old Style" w:hAnsi="Bookman Old Style" w:cs="Arial"/>
          <w:lang w:val="sv-FI"/>
        </w:rPr>
        <w:t>Dinas</w:t>
      </w:r>
      <w:r w:rsidR="00A954D0" w:rsidRPr="008379CA">
        <w:rPr>
          <w:rFonts w:ascii="Bookman Old Style" w:hAnsi="Bookman Old Style" w:cs="Arial"/>
          <w:lang w:val="sv-FI"/>
        </w:rPr>
        <w:t xml:space="preserve"> </w:t>
      </w:r>
      <w:r w:rsidRPr="008379CA">
        <w:rPr>
          <w:rFonts w:ascii="Bookman Old Style" w:hAnsi="Bookman Old Style" w:cs="Arial"/>
          <w:lang w:val="sv-FI"/>
        </w:rPr>
        <w:t>Perindustrian,</w:t>
      </w:r>
      <w:r w:rsidR="00A954D0" w:rsidRPr="008379CA">
        <w:rPr>
          <w:rFonts w:ascii="Bookman Old Style" w:hAnsi="Bookman Old Style" w:cs="Arial"/>
          <w:lang w:val="sv-FI"/>
        </w:rPr>
        <w:t xml:space="preserve"> </w:t>
      </w:r>
      <w:r w:rsidRPr="008379CA">
        <w:rPr>
          <w:rFonts w:ascii="Bookman Old Style" w:hAnsi="Bookman Old Style" w:cs="Arial"/>
          <w:lang w:val="sv-FI"/>
        </w:rPr>
        <w:t>Perdagangan,</w:t>
      </w:r>
      <w:r w:rsidR="00A954D0" w:rsidRPr="008379CA">
        <w:rPr>
          <w:rFonts w:ascii="Bookman Old Style" w:hAnsi="Bookman Old Style" w:cs="Arial"/>
          <w:lang w:val="sv-FI"/>
        </w:rPr>
        <w:t xml:space="preserve"> </w:t>
      </w:r>
      <w:r w:rsidRPr="008379CA">
        <w:rPr>
          <w:rFonts w:ascii="Bookman Old Style" w:hAnsi="Bookman Old Style" w:cs="Arial"/>
          <w:lang w:val="sv-FI"/>
        </w:rPr>
        <w:t>Koperasi,</w:t>
      </w:r>
      <w:r w:rsidR="00A954D0" w:rsidRPr="008379CA">
        <w:rPr>
          <w:rFonts w:ascii="Bookman Old Style" w:hAnsi="Bookman Old Style" w:cs="Arial"/>
          <w:lang w:val="sv-FI"/>
        </w:rPr>
        <w:t xml:space="preserve"> </w:t>
      </w:r>
      <w:r w:rsidRPr="008379CA">
        <w:rPr>
          <w:rFonts w:ascii="Bookman Old Style" w:hAnsi="Bookman Old Style" w:cs="Arial"/>
          <w:lang w:val="sv-FI"/>
        </w:rPr>
        <w:t>Usaha</w:t>
      </w:r>
      <w:r w:rsidR="00A954D0" w:rsidRPr="008379CA">
        <w:rPr>
          <w:rFonts w:ascii="Bookman Old Style" w:hAnsi="Bookman Old Style" w:cs="Arial"/>
          <w:lang w:val="sv-FI"/>
        </w:rPr>
        <w:t xml:space="preserve"> </w:t>
      </w:r>
      <w:r w:rsidRPr="008379CA">
        <w:rPr>
          <w:rFonts w:ascii="Bookman Old Style" w:hAnsi="Bookman Old Style" w:cs="Arial"/>
          <w:lang w:val="sv-FI"/>
        </w:rPr>
        <w:t>Kecil</w:t>
      </w:r>
      <w:r w:rsidR="00A954D0" w:rsidRPr="008379CA">
        <w:rPr>
          <w:rFonts w:ascii="Bookman Old Style" w:hAnsi="Bookman Old Style" w:cs="Arial"/>
          <w:lang w:val="sv-FI"/>
        </w:rPr>
        <w:t xml:space="preserve"> </w:t>
      </w:r>
      <w:r w:rsidRPr="008379CA">
        <w:rPr>
          <w:rFonts w:ascii="Bookman Old Style" w:hAnsi="Bookman Old Style" w:cs="Arial"/>
          <w:lang w:val="sv-FI"/>
        </w:rPr>
        <w:t>Dan</w:t>
      </w:r>
      <w:r w:rsidR="00A954D0" w:rsidRPr="008379CA">
        <w:rPr>
          <w:rFonts w:ascii="Bookman Old Style" w:hAnsi="Bookman Old Style" w:cs="Arial"/>
          <w:lang w:val="sv-FI"/>
        </w:rPr>
        <w:t xml:space="preserve"> </w:t>
      </w:r>
      <w:r w:rsidRPr="008379CA">
        <w:rPr>
          <w:rFonts w:ascii="Bookman Old Style" w:hAnsi="Bookman Old Style" w:cs="Arial"/>
          <w:lang w:val="sv-FI"/>
        </w:rPr>
        <w:t>Menengah</w:t>
      </w:r>
      <w:r w:rsidR="00A954D0" w:rsidRPr="008379CA">
        <w:rPr>
          <w:rFonts w:ascii="Bookman Old Style" w:hAnsi="Bookman Old Style" w:cs="Arial"/>
          <w:lang w:val="sv-FI"/>
        </w:rPr>
        <w:t xml:space="preserve"> </w:t>
      </w:r>
      <w:r w:rsidRPr="008379CA">
        <w:rPr>
          <w:rFonts w:ascii="Bookman Old Style" w:hAnsi="Bookman Old Style" w:cs="Arial"/>
          <w:lang w:val="sv-FI"/>
        </w:rPr>
        <w:lastRenderedPageBreak/>
        <w:t>Rp175.867.200,00</w:t>
      </w:r>
      <w:r w:rsidR="00A954D0" w:rsidRPr="008379CA">
        <w:rPr>
          <w:rFonts w:ascii="Bookman Old Style" w:hAnsi="Bookman Old Style" w:cs="Arial"/>
          <w:lang w:val="sv-FI"/>
        </w:rPr>
        <w:t xml:space="preserve"> </w:t>
      </w:r>
      <w:r w:rsidRPr="008379CA">
        <w:rPr>
          <w:rFonts w:ascii="Bookman Old Style" w:hAnsi="Bookman Old Style" w:cs="Arial"/>
          <w:lang w:val="sv-FI"/>
        </w:rPr>
        <w:t>atau</w:t>
      </w:r>
      <w:r w:rsidR="00A954D0" w:rsidRPr="008379CA">
        <w:rPr>
          <w:rFonts w:ascii="Bookman Old Style" w:hAnsi="Bookman Old Style" w:cs="Arial"/>
          <w:lang w:val="sv-FI"/>
        </w:rPr>
        <w:t xml:space="preserve"> </w:t>
      </w:r>
      <w:r w:rsidRPr="008379CA">
        <w:rPr>
          <w:rFonts w:ascii="Bookman Old Style" w:hAnsi="Bookman Old Style" w:cs="Arial"/>
          <w:lang w:val="sv-FI"/>
        </w:rPr>
        <w:t>0,06%</w:t>
      </w:r>
      <w:r w:rsidR="00A954D0" w:rsidRPr="008379CA">
        <w:rPr>
          <w:rFonts w:ascii="Bookman Old Style" w:hAnsi="Bookman Old Style" w:cs="Arial"/>
          <w:lang w:val="sv-FI"/>
        </w:rPr>
        <w:t xml:space="preserve"> </w:t>
      </w:r>
      <w:r w:rsidRPr="008379CA">
        <w:rPr>
          <w:rFonts w:ascii="Bookman Old Style" w:hAnsi="Bookman Old Style" w:cs="Arial"/>
          <w:lang w:val="sv-FI"/>
        </w:rPr>
        <w:t>dari</w:t>
      </w:r>
      <w:r w:rsidR="00A954D0" w:rsidRPr="008379CA">
        <w:rPr>
          <w:rFonts w:ascii="Bookman Old Style" w:hAnsi="Bookman Old Style" w:cs="Arial"/>
          <w:lang w:val="sv-FI"/>
        </w:rPr>
        <w:t xml:space="preserve"> </w:t>
      </w:r>
      <w:r w:rsidRPr="008379CA">
        <w:rPr>
          <w:rFonts w:ascii="Bookman Old Style" w:hAnsi="Bookman Old Style" w:cs="Arial"/>
          <w:lang w:val="sv-FI"/>
        </w:rPr>
        <w:t>total</w:t>
      </w:r>
      <w:r w:rsidR="00A954D0" w:rsidRPr="008379CA">
        <w:rPr>
          <w:rFonts w:ascii="Bookman Old Style" w:hAnsi="Bookman Old Style" w:cs="Arial"/>
          <w:lang w:val="sv-FI"/>
        </w:rPr>
        <w:t xml:space="preserve"> </w:t>
      </w:r>
      <w:r w:rsidRPr="008379CA">
        <w:rPr>
          <w:rFonts w:ascii="Bookman Old Style" w:hAnsi="Bookman Old Style" w:cs="Arial"/>
          <w:lang w:val="sv-FI"/>
        </w:rPr>
        <w:t>alokasi</w:t>
      </w:r>
      <w:r w:rsidR="00A954D0" w:rsidRPr="008379CA">
        <w:rPr>
          <w:rFonts w:ascii="Bookman Old Style" w:hAnsi="Bookman Old Style" w:cs="Arial"/>
          <w:lang w:val="sv-FI"/>
        </w:rPr>
        <w:t xml:space="preserve"> </w:t>
      </w:r>
      <w:r w:rsidRPr="008379CA">
        <w:rPr>
          <w:rFonts w:ascii="Bookman Old Style" w:hAnsi="Bookman Old Style" w:cs="Arial"/>
          <w:lang w:val="sv-FI"/>
        </w:rPr>
        <w:t>anggaran</w:t>
      </w:r>
      <w:r w:rsidR="00A954D0" w:rsidRPr="008379CA">
        <w:rPr>
          <w:rFonts w:ascii="Bookman Old Style" w:hAnsi="Bookman Old Style" w:cs="Arial"/>
          <w:lang w:val="sv-FI"/>
        </w:rPr>
        <w:t xml:space="preserve"> </w:t>
      </w:r>
      <w:r w:rsidRPr="008379CA">
        <w:rPr>
          <w:rFonts w:ascii="Bookman Old Style" w:hAnsi="Bookman Old Style" w:cs="Arial"/>
          <w:lang w:val="sv-FI"/>
        </w:rPr>
        <w:t>dalam</w:t>
      </w:r>
      <w:r w:rsidR="00A954D0" w:rsidRPr="008379CA">
        <w:rPr>
          <w:rFonts w:ascii="Bookman Old Style" w:hAnsi="Bookman Old Style" w:cs="Arial"/>
          <w:lang w:val="sv-FI"/>
        </w:rPr>
        <w:t xml:space="preserve"> </w:t>
      </w:r>
      <w:r w:rsidRPr="008379CA">
        <w:rPr>
          <w:rFonts w:ascii="Bookman Old Style" w:hAnsi="Bookman Old Style" w:cs="Arial"/>
          <w:lang w:val="sv-FI"/>
        </w:rPr>
        <w:t>rangka</w:t>
      </w:r>
      <w:r w:rsidR="00A954D0" w:rsidRPr="008379CA">
        <w:rPr>
          <w:rFonts w:ascii="Bookman Old Style" w:hAnsi="Bookman Old Style" w:cs="Arial"/>
          <w:lang w:val="sv-FI"/>
        </w:rPr>
        <w:t xml:space="preserve"> </w:t>
      </w:r>
      <w:r w:rsidRPr="008379CA">
        <w:rPr>
          <w:rFonts w:ascii="Bookman Old Style" w:hAnsi="Bookman Old Style" w:cs="Arial"/>
          <w:lang w:val="sv-FI"/>
        </w:rPr>
        <w:t>pengendalian</w:t>
      </w:r>
      <w:r w:rsidR="00A954D0" w:rsidRPr="008379CA">
        <w:rPr>
          <w:rFonts w:ascii="Bookman Old Style" w:hAnsi="Bookman Old Style" w:cs="Arial"/>
          <w:lang w:val="sv-FI"/>
        </w:rPr>
        <w:t xml:space="preserve"> </w:t>
      </w:r>
      <w:r w:rsidRPr="008379CA">
        <w:rPr>
          <w:rFonts w:ascii="Bookman Old Style" w:hAnsi="Bookman Old Style" w:cs="Arial"/>
          <w:lang w:val="sv-FI"/>
        </w:rPr>
        <w:t>inflasi;</w:t>
      </w:r>
    </w:p>
    <w:p w14:paraId="6CBF318F" w14:textId="22F78168" w:rsidR="00C330CC" w:rsidRPr="008379CA" w:rsidRDefault="00C330CC" w:rsidP="00447E9A">
      <w:pPr>
        <w:numPr>
          <w:ilvl w:val="1"/>
          <w:numId w:val="233"/>
        </w:numPr>
        <w:spacing w:before="60" w:line="276" w:lineRule="auto"/>
        <w:ind w:left="1701" w:hanging="425"/>
        <w:jc w:val="both"/>
        <w:rPr>
          <w:rFonts w:ascii="Bookman Old Style" w:hAnsi="Bookman Old Style" w:cs="Arial"/>
          <w:lang w:val="sv-FI"/>
        </w:rPr>
      </w:pPr>
      <w:r w:rsidRPr="008379CA">
        <w:rPr>
          <w:rFonts w:ascii="Bookman Old Style" w:hAnsi="Bookman Old Style" w:cs="Arial"/>
          <w:lang w:val="sv-FI"/>
        </w:rPr>
        <w:t>Asistensi</w:t>
      </w:r>
      <w:r w:rsidR="00A954D0" w:rsidRPr="008379CA">
        <w:rPr>
          <w:rFonts w:ascii="Bookman Old Style" w:hAnsi="Bookman Old Style" w:cs="Arial"/>
          <w:lang w:val="sv-FI"/>
        </w:rPr>
        <w:t xml:space="preserve"> </w:t>
      </w:r>
      <w:r w:rsidRPr="008379CA">
        <w:rPr>
          <w:rFonts w:ascii="Bookman Old Style" w:hAnsi="Bookman Old Style" w:cs="Arial"/>
          <w:lang w:val="sv-FI"/>
        </w:rPr>
        <w:t>Penyusunan</w:t>
      </w:r>
      <w:r w:rsidR="00A954D0" w:rsidRPr="008379CA">
        <w:rPr>
          <w:rFonts w:ascii="Bookman Old Style" w:hAnsi="Bookman Old Style" w:cs="Arial"/>
          <w:lang w:val="sv-FI"/>
        </w:rPr>
        <w:t xml:space="preserve"> </w:t>
      </w:r>
      <w:r w:rsidRPr="008379CA">
        <w:rPr>
          <w:rFonts w:ascii="Bookman Old Style" w:hAnsi="Bookman Old Style" w:cs="Arial"/>
          <w:lang w:val="sv-FI"/>
        </w:rPr>
        <w:t>Dokumen</w:t>
      </w:r>
      <w:r w:rsidR="00A954D0" w:rsidRPr="008379CA">
        <w:rPr>
          <w:rFonts w:ascii="Bookman Old Style" w:hAnsi="Bookman Old Style" w:cs="Arial"/>
          <w:lang w:val="sv-FI"/>
        </w:rPr>
        <w:t xml:space="preserve"> </w:t>
      </w:r>
      <w:r w:rsidRPr="008379CA">
        <w:rPr>
          <w:rFonts w:ascii="Bookman Old Style" w:hAnsi="Bookman Old Style" w:cs="Arial"/>
          <w:lang w:val="sv-FI"/>
        </w:rPr>
        <w:t>Perencanaan</w:t>
      </w:r>
      <w:r w:rsidR="00A954D0" w:rsidRPr="008379CA">
        <w:rPr>
          <w:rFonts w:ascii="Bookman Old Style" w:hAnsi="Bookman Old Style" w:cs="Arial"/>
          <w:lang w:val="sv-FI"/>
        </w:rPr>
        <w:t xml:space="preserve"> </w:t>
      </w:r>
      <w:r w:rsidRPr="008379CA">
        <w:rPr>
          <w:rFonts w:ascii="Bookman Old Style" w:hAnsi="Bookman Old Style" w:cs="Arial"/>
          <w:lang w:val="sv-FI"/>
        </w:rPr>
        <w:t>Pembangunan</w:t>
      </w:r>
      <w:r w:rsidR="00A954D0" w:rsidRPr="008379CA">
        <w:rPr>
          <w:rFonts w:ascii="Bookman Old Style" w:hAnsi="Bookman Old Style" w:cs="Arial"/>
          <w:lang w:val="sv-FI"/>
        </w:rPr>
        <w:t xml:space="preserve"> </w:t>
      </w:r>
      <w:r w:rsidRPr="008379CA">
        <w:rPr>
          <w:rFonts w:ascii="Bookman Old Style" w:hAnsi="Bookman Old Style" w:cs="Arial"/>
          <w:lang w:val="sv-FI"/>
        </w:rPr>
        <w:t>Perangkat</w:t>
      </w:r>
      <w:r w:rsidR="00A954D0" w:rsidRPr="008379CA">
        <w:rPr>
          <w:rFonts w:ascii="Bookman Old Style" w:hAnsi="Bookman Old Style" w:cs="Arial"/>
          <w:lang w:val="sv-FI"/>
        </w:rPr>
        <w:t xml:space="preserve"> </w:t>
      </w:r>
      <w:r w:rsidRPr="008379CA">
        <w:rPr>
          <w:rFonts w:ascii="Bookman Old Style" w:hAnsi="Bookman Old Style" w:cs="Arial"/>
          <w:lang w:val="sv-FI"/>
        </w:rPr>
        <w:t>Daerah</w:t>
      </w:r>
      <w:r w:rsidR="00A954D0" w:rsidRPr="008379CA">
        <w:rPr>
          <w:rFonts w:ascii="Bookman Old Style" w:hAnsi="Bookman Old Style" w:cs="Arial"/>
          <w:lang w:val="sv-FI"/>
        </w:rPr>
        <w:t xml:space="preserve"> </w:t>
      </w:r>
      <w:r w:rsidRPr="008379CA">
        <w:rPr>
          <w:rFonts w:ascii="Bookman Old Style" w:hAnsi="Bookman Old Style" w:cs="Arial"/>
          <w:lang w:val="sv-FI"/>
        </w:rPr>
        <w:t>Bidang</w:t>
      </w:r>
      <w:r w:rsidR="00A954D0" w:rsidRPr="008379CA">
        <w:rPr>
          <w:rFonts w:ascii="Bookman Old Style" w:hAnsi="Bookman Old Style" w:cs="Arial"/>
          <w:lang w:val="sv-FI"/>
        </w:rPr>
        <w:t xml:space="preserve"> </w:t>
      </w:r>
      <w:r w:rsidRPr="008379CA">
        <w:rPr>
          <w:rFonts w:ascii="Bookman Old Style" w:hAnsi="Bookman Old Style" w:cs="Arial"/>
          <w:lang w:val="sv-FI"/>
        </w:rPr>
        <w:t>Perekonomian</w:t>
      </w:r>
      <w:r w:rsidR="00A954D0" w:rsidRPr="008379CA">
        <w:rPr>
          <w:rFonts w:ascii="Bookman Old Style" w:hAnsi="Bookman Old Style" w:cs="Arial"/>
          <w:lang w:val="sv-FI"/>
        </w:rPr>
        <w:t xml:space="preserve"> </w:t>
      </w:r>
      <w:r w:rsidRPr="008379CA">
        <w:rPr>
          <w:rFonts w:ascii="Bookman Old Style" w:hAnsi="Bookman Old Style" w:cs="Arial"/>
          <w:lang w:val="sv-FI"/>
        </w:rPr>
        <w:t>pada</w:t>
      </w:r>
      <w:r w:rsidR="00A954D0" w:rsidRPr="008379CA">
        <w:rPr>
          <w:rFonts w:ascii="Bookman Old Style" w:hAnsi="Bookman Old Style" w:cs="Arial"/>
          <w:lang w:val="sv-FI"/>
        </w:rPr>
        <w:t xml:space="preserve"> </w:t>
      </w:r>
      <w:r w:rsidRPr="008379CA">
        <w:rPr>
          <w:rFonts w:ascii="Bookman Old Style" w:hAnsi="Bookman Old Style" w:cs="Arial"/>
          <w:lang w:val="sv-FI"/>
        </w:rPr>
        <w:t>Badan</w:t>
      </w:r>
      <w:r w:rsidR="00A954D0" w:rsidRPr="008379CA">
        <w:rPr>
          <w:rFonts w:ascii="Bookman Old Style" w:hAnsi="Bookman Old Style" w:cs="Arial"/>
          <w:lang w:val="sv-FI"/>
        </w:rPr>
        <w:t xml:space="preserve"> </w:t>
      </w:r>
      <w:r w:rsidRPr="008379CA">
        <w:rPr>
          <w:rFonts w:ascii="Bookman Old Style" w:hAnsi="Bookman Old Style" w:cs="Arial"/>
          <w:lang w:val="sv-FI"/>
        </w:rPr>
        <w:t>Perencanaan</w:t>
      </w:r>
      <w:r w:rsidR="00A954D0" w:rsidRPr="008379CA">
        <w:rPr>
          <w:rFonts w:ascii="Bookman Old Style" w:hAnsi="Bookman Old Style" w:cs="Arial"/>
          <w:lang w:val="sv-FI"/>
        </w:rPr>
        <w:t xml:space="preserve"> </w:t>
      </w:r>
      <w:r w:rsidRPr="008379CA">
        <w:rPr>
          <w:rFonts w:ascii="Bookman Old Style" w:hAnsi="Bookman Old Style" w:cs="Arial"/>
          <w:lang w:val="sv-FI"/>
        </w:rPr>
        <w:t>Pembangunan</w:t>
      </w:r>
      <w:r w:rsidR="00A954D0" w:rsidRPr="008379CA">
        <w:rPr>
          <w:rFonts w:ascii="Bookman Old Style" w:hAnsi="Bookman Old Style" w:cs="Arial"/>
          <w:lang w:val="sv-FI"/>
        </w:rPr>
        <w:t xml:space="preserve"> </w:t>
      </w:r>
      <w:r w:rsidRPr="008379CA">
        <w:rPr>
          <w:rFonts w:ascii="Bookman Old Style" w:hAnsi="Bookman Old Style" w:cs="Arial"/>
          <w:lang w:val="sv-FI"/>
        </w:rPr>
        <w:t>Daerah</w:t>
      </w:r>
      <w:r w:rsidR="00A954D0" w:rsidRPr="008379CA">
        <w:rPr>
          <w:rFonts w:ascii="Bookman Old Style" w:hAnsi="Bookman Old Style" w:cs="Arial"/>
          <w:lang w:val="sv-FI"/>
        </w:rPr>
        <w:t xml:space="preserve"> </w:t>
      </w:r>
      <w:r w:rsidRPr="008379CA">
        <w:rPr>
          <w:rFonts w:ascii="Bookman Old Style" w:hAnsi="Bookman Old Style" w:cs="Arial"/>
          <w:lang w:val="sv-FI"/>
        </w:rPr>
        <w:t>Rp22.316.400,00</w:t>
      </w:r>
      <w:r w:rsidR="00A954D0" w:rsidRPr="008379CA">
        <w:rPr>
          <w:rFonts w:ascii="Bookman Old Style" w:hAnsi="Bookman Old Style" w:cs="Arial"/>
          <w:lang w:val="sv-FI"/>
        </w:rPr>
        <w:t xml:space="preserve"> </w:t>
      </w:r>
      <w:r w:rsidRPr="008379CA">
        <w:rPr>
          <w:rFonts w:ascii="Bookman Old Style" w:hAnsi="Bookman Old Style" w:cs="Arial"/>
          <w:lang w:val="sv-FI"/>
        </w:rPr>
        <w:t>atau</w:t>
      </w:r>
      <w:r w:rsidR="00A954D0" w:rsidRPr="008379CA">
        <w:rPr>
          <w:rFonts w:ascii="Bookman Old Style" w:hAnsi="Bookman Old Style" w:cs="Arial"/>
          <w:lang w:val="sv-FI"/>
        </w:rPr>
        <w:t xml:space="preserve"> </w:t>
      </w:r>
      <w:r w:rsidRPr="008379CA">
        <w:rPr>
          <w:rFonts w:ascii="Bookman Old Style" w:hAnsi="Bookman Old Style" w:cs="Arial"/>
          <w:lang w:val="sv-FI"/>
        </w:rPr>
        <w:t>0,01%</w:t>
      </w:r>
      <w:r w:rsidR="00A954D0" w:rsidRPr="008379CA">
        <w:rPr>
          <w:rFonts w:ascii="Bookman Old Style" w:hAnsi="Bookman Old Style" w:cs="Arial"/>
          <w:lang w:val="sv-FI"/>
        </w:rPr>
        <w:t xml:space="preserve"> </w:t>
      </w:r>
      <w:r w:rsidRPr="008379CA">
        <w:rPr>
          <w:rFonts w:ascii="Bookman Old Style" w:hAnsi="Bookman Old Style" w:cs="Arial"/>
          <w:lang w:val="sv-FI"/>
        </w:rPr>
        <w:t>dari</w:t>
      </w:r>
      <w:r w:rsidR="00A954D0" w:rsidRPr="008379CA">
        <w:rPr>
          <w:rFonts w:ascii="Bookman Old Style" w:hAnsi="Bookman Old Style" w:cs="Arial"/>
          <w:lang w:val="sv-FI"/>
        </w:rPr>
        <w:t xml:space="preserve"> </w:t>
      </w:r>
      <w:r w:rsidRPr="008379CA">
        <w:rPr>
          <w:rFonts w:ascii="Bookman Old Style" w:hAnsi="Bookman Old Style" w:cs="Arial"/>
          <w:lang w:val="sv-FI"/>
        </w:rPr>
        <w:t>total</w:t>
      </w:r>
      <w:r w:rsidR="00A954D0" w:rsidRPr="008379CA">
        <w:rPr>
          <w:rFonts w:ascii="Bookman Old Style" w:hAnsi="Bookman Old Style" w:cs="Arial"/>
          <w:lang w:val="sv-FI"/>
        </w:rPr>
        <w:t xml:space="preserve"> </w:t>
      </w:r>
      <w:r w:rsidRPr="008379CA">
        <w:rPr>
          <w:rFonts w:ascii="Bookman Old Style" w:hAnsi="Bookman Old Style" w:cs="Arial"/>
          <w:lang w:val="sv-FI"/>
        </w:rPr>
        <w:t>alokasi</w:t>
      </w:r>
      <w:r w:rsidR="00A954D0" w:rsidRPr="008379CA">
        <w:rPr>
          <w:rFonts w:ascii="Bookman Old Style" w:hAnsi="Bookman Old Style" w:cs="Arial"/>
          <w:lang w:val="sv-FI"/>
        </w:rPr>
        <w:t xml:space="preserve"> </w:t>
      </w:r>
      <w:r w:rsidRPr="008379CA">
        <w:rPr>
          <w:rFonts w:ascii="Bookman Old Style" w:hAnsi="Bookman Old Style" w:cs="Arial"/>
          <w:lang w:val="sv-FI"/>
        </w:rPr>
        <w:t>anggaran</w:t>
      </w:r>
      <w:r w:rsidR="00A954D0" w:rsidRPr="008379CA">
        <w:rPr>
          <w:rFonts w:ascii="Bookman Old Style" w:hAnsi="Bookman Old Style" w:cs="Arial"/>
          <w:lang w:val="sv-FI"/>
        </w:rPr>
        <w:t xml:space="preserve"> </w:t>
      </w:r>
      <w:r w:rsidRPr="008379CA">
        <w:rPr>
          <w:rFonts w:ascii="Bookman Old Style" w:hAnsi="Bookman Old Style" w:cs="Arial"/>
          <w:lang w:val="sv-FI"/>
        </w:rPr>
        <w:t>dalam</w:t>
      </w:r>
      <w:r w:rsidR="00A954D0" w:rsidRPr="008379CA">
        <w:rPr>
          <w:rFonts w:ascii="Bookman Old Style" w:hAnsi="Bookman Old Style" w:cs="Arial"/>
          <w:lang w:val="sv-FI"/>
        </w:rPr>
        <w:t xml:space="preserve"> </w:t>
      </w:r>
      <w:r w:rsidRPr="008379CA">
        <w:rPr>
          <w:rFonts w:ascii="Bookman Old Style" w:hAnsi="Bookman Old Style" w:cs="Arial"/>
          <w:lang w:val="sv-FI"/>
        </w:rPr>
        <w:t>rangka</w:t>
      </w:r>
      <w:r w:rsidR="00A954D0" w:rsidRPr="008379CA">
        <w:rPr>
          <w:rFonts w:ascii="Bookman Old Style" w:hAnsi="Bookman Old Style" w:cs="Arial"/>
          <w:lang w:val="sv-FI"/>
        </w:rPr>
        <w:t xml:space="preserve"> </w:t>
      </w:r>
      <w:r w:rsidRPr="008379CA">
        <w:rPr>
          <w:rFonts w:ascii="Bookman Old Style" w:hAnsi="Bookman Old Style" w:cs="Arial"/>
          <w:lang w:val="sv-FI"/>
        </w:rPr>
        <w:t>pengendalian</w:t>
      </w:r>
      <w:r w:rsidR="00A954D0" w:rsidRPr="008379CA">
        <w:rPr>
          <w:rFonts w:ascii="Bookman Old Style" w:hAnsi="Bookman Old Style" w:cs="Arial"/>
          <w:lang w:val="sv-FI"/>
        </w:rPr>
        <w:t xml:space="preserve"> </w:t>
      </w:r>
      <w:r w:rsidRPr="008379CA">
        <w:rPr>
          <w:rFonts w:ascii="Bookman Old Style" w:hAnsi="Bookman Old Style" w:cs="Arial"/>
          <w:lang w:val="sv-FI"/>
        </w:rPr>
        <w:t>inflasi.</w:t>
      </w:r>
    </w:p>
    <w:p w14:paraId="4014F82D" w14:textId="40EDFCBA" w:rsidR="00D063D4" w:rsidRPr="008379CA" w:rsidRDefault="00C330CC" w:rsidP="00287B0F">
      <w:pPr>
        <w:pStyle w:val="ListParagraph"/>
        <w:spacing w:before="60" w:after="0" w:line="276" w:lineRule="auto"/>
        <w:ind w:left="1287"/>
        <w:contextualSpacing w:val="0"/>
        <w:jc w:val="both"/>
        <w:rPr>
          <w:rFonts w:ascii="Bookman Old Style" w:hAnsi="Bookman Old Style" w:cs="Arial"/>
          <w:i/>
          <w:noProof/>
          <w:sz w:val="24"/>
          <w:szCs w:val="24"/>
          <w:lang w:val="id-ID"/>
        </w:rPr>
      </w:pPr>
      <w:r w:rsidRPr="008379CA">
        <w:rPr>
          <w:rFonts w:ascii="Bookman Old Style" w:hAnsi="Bookman Old Style" w:cs="Arial"/>
          <w:sz w:val="24"/>
          <w:szCs w:val="24"/>
          <w:lang w:val="id-ID" w:eastAsia="en-US"/>
        </w:rPr>
        <w:t>Pemerintah</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Daerah</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Kota</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Tangerang</w:t>
      </w:r>
      <w:r w:rsidR="00A954D0" w:rsidRPr="008379CA">
        <w:rPr>
          <w:rFonts w:ascii="Bookman Old Style" w:hAnsi="Bookman Old Style" w:cs="Arial"/>
          <w:sz w:val="24"/>
          <w:szCs w:val="24"/>
          <w:lang w:val="sv-FI" w:eastAsia="en-US"/>
        </w:rPr>
        <w:t xml:space="preserve"> </w:t>
      </w:r>
      <w:r w:rsidRPr="008379CA">
        <w:rPr>
          <w:rFonts w:ascii="Bookman Old Style" w:hAnsi="Bookman Old Style" w:cs="Arial"/>
          <w:sz w:val="24"/>
          <w:szCs w:val="24"/>
          <w:lang w:val="id-ID" w:eastAsia="en-US"/>
        </w:rPr>
        <w:t>dalam</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penyediaan</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anggaran</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dalam</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rangka</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pengendalian</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inflasi</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agar</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dialokasikan</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secara</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memadai</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dan</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dalam</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pelaksanaannya</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harus</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mendukung</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pengendalian</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inflasi</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di</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daerah</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dalam</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rangka</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menjaga</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kestabilan</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ekonomi</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agar</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tidak</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menimbulkan</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dampak</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negatif</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ketidakstabilan</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dalam</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perekonomian.</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Berdasarkan</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hal</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tersebut,</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uraian</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belanja</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pada</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sub</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kegiatan</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dalam</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rangka</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pengendalian</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inflasi,</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agar</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memprioritaskan</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alokasi</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anggaran</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belanja</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pokok</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dibandingkan</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dengan</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alokasi</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anggaran</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belanja</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penunjang</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guna</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mendukung</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capaian</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target</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kinerja</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program,</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kegiatan</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dan</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sub</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kegiatan</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sesuai</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dengan</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target</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capaian</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kinerja</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yang</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diharapkan</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dari</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sub</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kegiatan</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dimaksud</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apabila</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ditinjau</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dari</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aspek</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indikator,</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tolok</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ukur,</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dan</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target</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kinerja</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kegiatan,</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sebagaimana</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maksud</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Pasal</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54</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ayat</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(3)</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dan</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Pasal</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97</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Peraturan</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Pemerintah</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Nomor</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12</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Tahun</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2019</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dan</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butir</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4.1.3.c</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Lampiran</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Peraturan</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Menteri</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Dalam</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Negeri</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Nomor</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15</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Tahun</w:t>
      </w:r>
      <w:r w:rsidR="00A954D0" w:rsidRPr="008379CA">
        <w:rPr>
          <w:rFonts w:ascii="Bookman Old Style" w:hAnsi="Bookman Old Style" w:cs="Arial"/>
          <w:sz w:val="24"/>
          <w:szCs w:val="24"/>
          <w:lang w:val="id-ID" w:eastAsia="en-US"/>
        </w:rPr>
        <w:t xml:space="preserve"> </w:t>
      </w:r>
      <w:r w:rsidRPr="008379CA">
        <w:rPr>
          <w:rFonts w:ascii="Bookman Old Style" w:hAnsi="Bookman Old Style" w:cs="Arial"/>
          <w:sz w:val="24"/>
          <w:szCs w:val="24"/>
          <w:lang w:val="id-ID" w:eastAsia="en-US"/>
        </w:rPr>
        <w:t>2024.</w:t>
      </w:r>
    </w:p>
    <w:p w14:paraId="0E82E784" w14:textId="6EE46A31" w:rsidR="00C825AB" w:rsidRPr="008379CA" w:rsidRDefault="005E119F" w:rsidP="00447E9A">
      <w:pPr>
        <w:pStyle w:val="ListParagraph"/>
        <w:numPr>
          <w:ilvl w:val="0"/>
          <w:numId w:val="97"/>
        </w:numPr>
        <w:spacing w:before="60" w:after="0" w:line="276" w:lineRule="auto"/>
        <w:ind w:left="1281" w:hanging="288"/>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Alokasi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Anggaran</w:t>
      </w:r>
      <w:r w:rsidR="00A954D0" w:rsidRPr="008379CA">
        <w:rPr>
          <w:rFonts w:ascii="Bookman Old Style" w:hAnsi="Bookman Old Style" w:cs="Arial"/>
          <w:sz w:val="24"/>
          <w:szCs w:val="24"/>
          <w:lang w:val="id-ID"/>
        </w:rPr>
        <w:t xml:space="preserve"> </w:t>
      </w:r>
      <w:r w:rsidR="003957DC" w:rsidRPr="008379CA">
        <w:rPr>
          <w:rFonts w:ascii="Bookman Old Style" w:hAnsi="Bookman Old Style" w:cs="Arial"/>
          <w:sz w:val="24"/>
          <w:szCs w:val="24"/>
        </w:rPr>
        <w:t>Makan</w:t>
      </w:r>
      <w:r w:rsidR="00A954D0" w:rsidRPr="008379CA">
        <w:rPr>
          <w:rFonts w:ascii="Bookman Old Style" w:hAnsi="Bookman Old Style" w:cs="Arial"/>
          <w:sz w:val="24"/>
          <w:szCs w:val="24"/>
        </w:rPr>
        <w:t xml:space="preserve"> </w:t>
      </w:r>
      <w:r w:rsidR="003957DC" w:rsidRPr="008379CA">
        <w:rPr>
          <w:rFonts w:ascii="Bookman Old Style" w:hAnsi="Bookman Old Style" w:cs="Arial"/>
          <w:sz w:val="24"/>
          <w:szCs w:val="24"/>
        </w:rPr>
        <w:t>Bergizi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lang w:val="sv-FI"/>
        </w:rPr>
        <w:t>Sehat</w:t>
      </w:r>
    </w:p>
    <w:p w14:paraId="5444920D" w14:textId="556534F2" w:rsidR="00994781" w:rsidRPr="008379CA" w:rsidRDefault="00994781" w:rsidP="00287B0F">
      <w:pPr>
        <w:pStyle w:val="ListParagraph"/>
        <w:spacing w:before="60" w:after="0" w:line="276" w:lineRule="auto"/>
        <w:ind w:left="1287"/>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Dalam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rangka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pelaksanaan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Makan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Bergizi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Sehat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sebagai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program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prioritas</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nasional,</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Pemerintah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Daerah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Kota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Tangerang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telah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mengalokasikan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Rp30.822.526.900,00</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atau</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0,54%</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total</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belanja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daerah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dalam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Rancangan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Peraturan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Daerah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Kota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Tangerang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tentang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APBD</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Tahun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Anggaran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2025</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yang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tercantum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pada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Dinas</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Pendidikan,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diuraikan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dalam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sub</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kegiatan:</w:t>
      </w:r>
    </w:p>
    <w:p w14:paraId="65A3D702" w14:textId="6B2F66EA" w:rsidR="00994781" w:rsidRPr="008379CA" w:rsidRDefault="00994781" w:rsidP="00447E9A">
      <w:pPr>
        <w:pStyle w:val="ListParagraph"/>
        <w:numPr>
          <w:ilvl w:val="4"/>
          <w:numId w:val="86"/>
        </w:numPr>
        <w:spacing w:before="60" w:line="276" w:lineRule="auto"/>
        <w:ind w:left="1701" w:hanging="414"/>
        <w:jc w:val="both"/>
        <w:rPr>
          <w:rFonts w:ascii="Bookman Old Style" w:hAnsi="Bookman Old Style" w:cs="Arial"/>
          <w:sz w:val="24"/>
          <w:szCs w:val="24"/>
          <w:lang w:val="sv-FI"/>
        </w:rPr>
      </w:pPr>
      <w:r w:rsidRPr="008379CA">
        <w:rPr>
          <w:rFonts w:ascii="Bookman Old Style" w:hAnsi="Bookman Old Style" w:cs="Arial"/>
          <w:sz w:val="24"/>
          <w:szCs w:val="24"/>
          <w:lang w:val="sv-FI"/>
        </w:rPr>
        <w:t>Penyediaan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Biaya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Personil</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Peserta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Didik</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Sekolah</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Dasar</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Rp23.753.730.000,00;</w:t>
      </w:r>
    </w:p>
    <w:p w14:paraId="597C6335" w14:textId="0FA24E90" w:rsidR="00994781" w:rsidRPr="008379CA" w:rsidRDefault="00994781" w:rsidP="00447E9A">
      <w:pPr>
        <w:pStyle w:val="ListParagraph"/>
        <w:numPr>
          <w:ilvl w:val="4"/>
          <w:numId w:val="86"/>
        </w:numPr>
        <w:spacing w:before="60" w:line="276" w:lineRule="auto"/>
        <w:ind w:left="1701" w:hanging="414"/>
        <w:jc w:val="both"/>
        <w:rPr>
          <w:rFonts w:ascii="Bookman Old Style" w:hAnsi="Bookman Old Style" w:cs="Arial"/>
          <w:sz w:val="24"/>
          <w:szCs w:val="24"/>
          <w:lang w:val="sv-FI"/>
        </w:rPr>
      </w:pPr>
      <w:r w:rsidRPr="008379CA">
        <w:rPr>
          <w:rFonts w:ascii="Bookman Old Style" w:hAnsi="Bookman Old Style" w:cs="Arial"/>
          <w:sz w:val="24"/>
          <w:szCs w:val="24"/>
          <w:lang w:val="sv-FI"/>
        </w:rPr>
        <w:t>Penyediaan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Biaya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Personil</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Peserta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Didik</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Sekolah</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Menengah</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Pertama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Rp7.055.620.000,00;</w:t>
      </w:r>
    </w:p>
    <w:p w14:paraId="13F6CF49" w14:textId="47D91158" w:rsidR="00994781" w:rsidRPr="008379CA" w:rsidRDefault="00994781" w:rsidP="00A45A56">
      <w:pPr>
        <w:pStyle w:val="ListParagraph"/>
        <w:numPr>
          <w:ilvl w:val="4"/>
          <w:numId w:val="86"/>
        </w:numPr>
        <w:spacing w:before="60" w:after="120" w:line="276" w:lineRule="auto"/>
        <w:ind w:left="1701" w:hanging="414"/>
        <w:contextualSpacing w:val="0"/>
        <w:jc w:val="both"/>
        <w:rPr>
          <w:rFonts w:ascii="Bookman Old Style" w:hAnsi="Bookman Old Style" w:cs="Arial"/>
          <w:sz w:val="24"/>
          <w:szCs w:val="24"/>
          <w:lang w:val="sv-FI"/>
        </w:rPr>
      </w:pPr>
      <w:r w:rsidRPr="008379CA">
        <w:rPr>
          <w:rFonts w:ascii="Bookman Old Style" w:hAnsi="Bookman Old Style" w:cs="Arial"/>
          <w:sz w:val="24"/>
          <w:szCs w:val="24"/>
          <w:lang w:val="sv-FI"/>
        </w:rPr>
        <w:t>Pengadaan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Alat</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Rumah</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Tangga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PAUD</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Rp13.176.900,00.</w:t>
      </w:r>
    </w:p>
    <w:p w14:paraId="4D8C73C9" w14:textId="6FD4D403" w:rsidR="005E119F" w:rsidRPr="008379CA" w:rsidRDefault="00994781" w:rsidP="004666ED">
      <w:pPr>
        <w:pStyle w:val="ListParagraph"/>
        <w:spacing w:before="120" w:after="120" w:line="276" w:lineRule="auto"/>
        <w:ind w:left="1287"/>
        <w:contextualSpacing w:val="0"/>
        <w:jc w:val="both"/>
        <w:rPr>
          <w:rFonts w:ascii="Bookman Old Style" w:hAnsi="Bookman Old Style"/>
          <w:sz w:val="24"/>
          <w:szCs w:val="24"/>
          <w:lang w:val="de-DE"/>
        </w:rPr>
      </w:pPr>
      <w:r w:rsidRPr="008379CA">
        <w:rPr>
          <w:rFonts w:ascii="Bookman Old Style" w:hAnsi="Bookman Old Style"/>
          <w:sz w:val="24"/>
          <w:szCs w:val="24"/>
          <w:lang w:val="de-DE"/>
        </w:rPr>
        <w:t>Sehubungan</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dengan</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hal</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tersebut</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Pemerintah</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Daerah</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Kota</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Tangerang</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agar</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mengalokasikan</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anggaran</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yang</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memadai</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guna</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mendukung</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pelaksanaan</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Makan</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Bergizi</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Sehat</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pada</w:t>
      </w:r>
      <w:r w:rsidR="00A954D0" w:rsidRPr="008379CA">
        <w:rPr>
          <w:rFonts w:ascii="Bookman Old Style" w:hAnsi="Bookman Old Style"/>
          <w:sz w:val="24"/>
          <w:szCs w:val="24"/>
          <w:lang w:val="de-DE"/>
        </w:rPr>
        <w:t xml:space="preserve"> </w:t>
      </w:r>
      <w:r w:rsidRPr="008379CA">
        <w:rPr>
          <w:rFonts w:ascii="Bookman Old Style" w:hAnsi="Bookman Old Style"/>
          <w:b/>
          <w:bCs/>
          <w:sz w:val="24"/>
          <w:szCs w:val="24"/>
          <w:lang w:val="de-DE"/>
        </w:rPr>
        <w:t>satuan</w:t>
      </w:r>
      <w:r w:rsidR="00A954D0" w:rsidRPr="008379CA">
        <w:rPr>
          <w:rFonts w:ascii="Bookman Old Style" w:hAnsi="Bookman Old Style"/>
          <w:b/>
          <w:bCs/>
          <w:sz w:val="24"/>
          <w:szCs w:val="24"/>
          <w:lang w:val="de-DE"/>
        </w:rPr>
        <w:t xml:space="preserve"> </w:t>
      </w:r>
      <w:r w:rsidRPr="008379CA">
        <w:rPr>
          <w:rFonts w:ascii="Bookman Old Style" w:hAnsi="Bookman Old Style"/>
          <w:b/>
          <w:bCs/>
          <w:sz w:val="24"/>
          <w:szCs w:val="24"/>
          <w:lang w:val="de-DE"/>
        </w:rPr>
        <w:t>pendidikan</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yang</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menjadi</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kewenangan</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sesuai</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dengan</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kemampuan</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keuangan</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daerah.</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Dalam</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hal</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alokasi</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anggaran</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Makan</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Bergizi</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Sehat</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bersumber</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dari</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Transfer</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Keuangan</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Daerah</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(TKD)</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yang</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mewajibkan</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kontribusi</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dari</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pemerintah</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daerah</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sesuai</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dengan</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ketentuan</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peraturan</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perundang-undangan,</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Pemerintah</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Daerah</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Kota</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Tangerang</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wajib</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mengalokasikan</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anggaran</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kontribusi</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yang</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bersumber</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dari</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lastRenderedPageBreak/>
        <w:t>APBD</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Tahun</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Anggaran</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2025</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sebagai</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bagian</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sinergi</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pendanaan</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sebagaimana</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maksud</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butir</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5.3.2.d</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Lampiran</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Peraturan</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Menteri</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Dalam</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Negeri</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Nomor</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15</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Tahun</w:t>
      </w:r>
      <w:r w:rsidR="00A954D0" w:rsidRPr="008379CA">
        <w:rPr>
          <w:rFonts w:ascii="Bookman Old Style" w:hAnsi="Bookman Old Style"/>
          <w:sz w:val="24"/>
          <w:szCs w:val="24"/>
          <w:lang w:val="de-DE"/>
        </w:rPr>
        <w:t xml:space="preserve"> </w:t>
      </w:r>
      <w:r w:rsidRPr="008379CA">
        <w:rPr>
          <w:rFonts w:ascii="Bookman Old Style" w:hAnsi="Bookman Old Style"/>
          <w:sz w:val="24"/>
          <w:szCs w:val="24"/>
          <w:lang w:val="de-DE"/>
        </w:rPr>
        <w:t>2024.</w:t>
      </w:r>
    </w:p>
    <w:p w14:paraId="6D4B7187" w14:textId="324FB0C4" w:rsidR="002359C3" w:rsidRPr="008379CA" w:rsidRDefault="002359C3" w:rsidP="004666ED">
      <w:pPr>
        <w:pStyle w:val="ListParagraph"/>
        <w:spacing w:before="60" w:after="120" w:line="276" w:lineRule="auto"/>
        <w:ind w:left="1287"/>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 xml:space="preserve">Dalam rangka memastikan ketersediaan pendanaan, Pemerintah </w:t>
      </w:r>
      <w:r w:rsidRPr="008379CA">
        <w:rPr>
          <w:rFonts w:ascii="Bookman Old Style" w:hAnsi="Bookman Old Style"/>
          <w:sz w:val="24"/>
          <w:szCs w:val="24"/>
          <w:lang w:val="de-DE"/>
        </w:rPr>
        <w:t xml:space="preserve">Kota Tangerang </w:t>
      </w:r>
      <w:r w:rsidRPr="008379CA">
        <w:rPr>
          <w:rFonts w:ascii="Bookman Old Style" w:hAnsi="Bookman Old Style" w:cs="Arial"/>
          <w:sz w:val="24"/>
          <w:szCs w:val="24"/>
          <w:lang w:val="id-ID"/>
        </w:rPr>
        <w:t>dapat melakukan penandaan (</w:t>
      </w:r>
      <w:r w:rsidRPr="008379CA">
        <w:rPr>
          <w:rFonts w:ascii="Bookman Old Style" w:hAnsi="Bookman Old Style" w:cs="Arial"/>
          <w:i/>
          <w:iCs/>
          <w:sz w:val="24"/>
          <w:szCs w:val="24"/>
          <w:lang w:val="id-ID"/>
        </w:rPr>
        <w:t>earmark</w:t>
      </w:r>
      <w:r w:rsidRPr="008379CA">
        <w:rPr>
          <w:rFonts w:ascii="Bookman Old Style" w:hAnsi="Bookman Old Style" w:cs="Arial"/>
          <w:sz w:val="24"/>
          <w:szCs w:val="24"/>
          <w:lang w:val="id-ID"/>
        </w:rPr>
        <w:t xml:space="preserve">) program, kegiatan dan sub kegiatan dalam rancangan peraturan daerah </w:t>
      </w:r>
      <w:r w:rsidRPr="008379CA">
        <w:rPr>
          <w:rFonts w:ascii="Bookman Old Style" w:hAnsi="Bookman Old Style"/>
          <w:sz w:val="24"/>
          <w:szCs w:val="24"/>
          <w:lang w:val="de-DE"/>
        </w:rPr>
        <w:t xml:space="preserve">Kota Tangerang </w:t>
      </w:r>
      <w:r w:rsidRPr="008379CA">
        <w:rPr>
          <w:rFonts w:ascii="Bookman Old Style" w:hAnsi="Bookman Old Style" w:cs="Arial"/>
          <w:sz w:val="24"/>
          <w:szCs w:val="24"/>
          <w:lang w:val="id-ID"/>
        </w:rPr>
        <w:t>tentang APBD Tahun Anggaran 2025 guna mendukung pelaksanaan Makan Bergizi Sehat yang menjadi kewenangan sesuai dengan kemampuan keuangan daerah.</w:t>
      </w:r>
    </w:p>
    <w:p w14:paraId="639BDBC8" w14:textId="67319715" w:rsidR="002359C3" w:rsidRPr="008379CA" w:rsidRDefault="002359C3" w:rsidP="002359C3">
      <w:pPr>
        <w:pStyle w:val="ListParagraph"/>
        <w:spacing w:before="60" w:after="0" w:line="276" w:lineRule="auto"/>
        <w:ind w:left="1287"/>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 xml:space="preserve">Dalam hal pelaksanaan Makan Bergizi Sehat sebagai program prioritas nasional belum dianggarkan dalam APBD TA 2025, Pemerintah Daerah </w:t>
      </w:r>
      <w:r w:rsidRPr="008379CA">
        <w:rPr>
          <w:rFonts w:ascii="Bookman Old Style" w:hAnsi="Bookman Old Style"/>
          <w:sz w:val="24"/>
          <w:szCs w:val="24"/>
          <w:lang w:val="de-DE"/>
        </w:rPr>
        <w:t xml:space="preserve">Kota Tangerang </w:t>
      </w:r>
      <w:r w:rsidRPr="008379CA">
        <w:rPr>
          <w:rFonts w:ascii="Bookman Old Style" w:hAnsi="Bookman Old Style" w:cs="Arial"/>
          <w:sz w:val="24"/>
          <w:szCs w:val="24"/>
          <w:lang w:val="id-ID"/>
        </w:rPr>
        <w:t xml:space="preserve">Cilegon dapat melakukan penyesuaian mendahului perubahan APBD TA 2025, dengan cara merubah Peraturan Wali </w:t>
      </w:r>
      <w:r w:rsidRPr="008379CA">
        <w:rPr>
          <w:rFonts w:ascii="Bookman Old Style" w:hAnsi="Bookman Old Style"/>
          <w:sz w:val="24"/>
          <w:szCs w:val="24"/>
          <w:lang w:val="de-DE"/>
        </w:rPr>
        <w:t xml:space="preserve">Kota Tangerang </w:t>
      </w:r>
      <w:r w:rsidRPr="008379CA">
        <w:rPr>
          <w:rFonts w:ascii="Bookman Old Style" w:hAnsi="Bookman Old Style" w:cs="Arial"/>
          <w:sz w:val="24"/>
          <w:szCs w:val="24"/>
          <w:lang w:val="id-ID"/>
        </w:rPr>
        <w:t>tentang Penjabaran APBD TA 2025, dan memberitahukan kepada pimpinan DPRD, yang selanjutnya ditampung pada Perubahan APBD TA 2025 bagi daerah yang melaksanakan perubahan APBD TA 2025 dan dilaporkan dalam LRA bagi daerah yang tidak melakukan perubahan APBD TA 2025 sebagaimana maksud butir 5.3.2.d.3) Lampiran Peraturan Menteri Dalam Negeri Nomor 15 Tahun 2024.</w:t>
      </w:r>
    </w:p>
    <w:p w14:paraId="770FF3EA" w14:textId="6A751B2A" w:rsidR="003957DC" w:rsidRPr="008379CA" w:rsidRDefault="003957DC" w:rsidP="004666ED">
      <w:pPr>
        <w:pStyle w:val="ListParagraph"/>
        <w:numPr>
          <w:ilvl w:val="0"/>
          <w:numId w:val="97"/>
        </w:numPr>
        <w:spacing w:before="120" w:after="120" w:line="276" w:lineRule="auto"/>
        <w:ind w:left="1281" w:hanging="289"/>
        <w:contextualSpacing w:val="0"/>
        <w:jc w:val="both"/>
        <w:rPr>
          <w:rFonts w:ascii="Bookman Old Style" w:hAnsi="Bookman Old Style" w:cs="Arial"/>
          <w:sz w:val="24"/>
          <w:szCs w:val="24"/>
          <w:lang w:val="id-ID"/>
        </w:rPr>
      </w:pPr>
      <w:r w:rsidRPr="008379CA">
        <w:rPr>
          <w:rFonts w:ascii="Bookman Old Style" w:eastAsia="Calibri" w:hAnsi="Bookman Old Style" w:cs="Arial"/>
          <w:sz w:val="24"/>
          <w:szCs w:val="24"/>
          <w:lang w:val="id-ID"/>
        </w:rPr>
        <w:t>Alokasi</w:t>
      </w:r>
      <w:r w:rsidR="00A954D0" w:rsidRPr="008379CA">
        <w:rPr>
          <w:rFonts w:ascii="Bookman Old Style" w:eastAsia="Calibri" w:hAnsi="Bookman Old Style" w:cs="Arial"/>
          <w:sz w:val="24"/>
          <w:szCs w:val="24"/>
          <w:lang w:val="id-ID"/>
        </w:rPr>
        <w:t xml:space="preserve"> </w:t>
      </w:r>
      <w:r w:rsidRPr="008379CA">
        <w:rPr>
          <w:rFonts w:ascii="Bookman Old Style" w:eastAsia="Calibri" w:hAnsi="Bookman Old Style" w:cs="Arial"/>
          <w:sz w:val="24"/>
          <w:szCs w:val="24"/>
          <w:lang w:val="id-ID"/>
        </w:rPr>
        <w:t>Anggaran</w:t>
      </w:r>
      <w:r w:rsidR="00A954D0" w:rsidRPr="008379CA">
        <w:rPr>
          <w:rFonts w:ascii="Bookman Old Style" w:eastAsia="Calibri" w:hAnsi="Bookman Old Style" w:cs="Arial"/>
          <w:sz w:val="24"/>
          <w:szCs w:val="24"/>
          <w:lang w:val="id-ID"/>
        </w:rPr>
        <w:t xml:space="preserve"> </w:t>
      </w:r>
      <w:r w:rsidRPr="008379CA">
        <w:rPr>
          <w:rFonts w:ascii="Bookman Old Style" w:eastAsia="Calibri" w:hAnsi="Bookman Old Style" w:cs="Arial"/>
          <w:sz w:val="24"/>
          <w:szCs w:val="24"/>
          <w:lang w:val="id-ID"/>
        </w:rPr>
        <w:t>untuk</w:t>
      </w:r>
      <w:r w:rsidR="00A954D0" w:rsidRPr="008379CA">
        <w:rPr>
          <w:rFonts w:ascii="Bookman Old Style" w:eastAsia="Calibri" w:hAnsi="Bookman Old Style" w:cs="Arial"/>
          <w:sz w:val="24"/>
          <w:szCs w:val="24"/>
          <w:lang w:val="id-ID"/>
        </w:rPr>
        <w:t xml:space="preserve"> </w:t>
      </w:r>
      <w:r w:rsidRPr="008379CA">
        <w:rPr>
          <w:rFonts w:ascii="Bookman Old Style" w:hAnsi="Bookman Old Style" w:cs="Arial"/>
          <w:sz w:val="24"/>
          <w:szCs w:val="24"/>
          <w:lang w:val="sv-FI"/>
        </w:rPr>
        <w:t>Percepatan</w:t>
      </w:r>
      <w:r w:rsidR="00A954D0" w:rsidRPr="008379CA">
        <w:rPr>
          <w:rFonts w:ascii="Bookman Old Style" w:eastAsia="Calibri" w:hAnsi="Bookman Old Style" w:cs="Arial"/>
          <w:sz w:val="24"/>
          <w:szCs w:val="24"/>
          <w:lang w:val="id-ID"/>
        </w:rPr>
        <w:t xml:space="preserve"> </w:t>
      </w:r>
      <w:r w:rsidRPr="008379CA">
        <w:rPr>
          <w:rFonts w:ascii="Bookman Old Style" w:eastAsia="Calibri" w:hAnsi="Bookman Old Style" w:cs="Arial"/>
          <w:sz w:val="24"/>
          <w:szCs w:val="24"/>
          <w:lang w:val="id-ID"/>
        </w:rPr>
        <w:t>Peningkatan</w:t>
      </w:r>
      <w:r w:rsidR="00A954D0" w:rsidRPr="008379CA">
        <w:rPr>
          <w:rFonts w:ascii="Bookman Old Style" w:eastAsia="Calibri" w:hAnsi="Bookman Old Style" w:cs="Arial"/>
          <w:sz w:val="24"/>
          <w:szCs w:val="24"/>
          <w:lang w:val="id-ID"/>
        </w:rPr>
        <w:t xml:space="preserve"> </w:t>
      </w:r>
      <w:r w:rsidRPr="008379CA">
        <w:rPr>
          <w:rFonts w:ascii="Bookman Old Style" w:eastAsia="Calibri" w:hAnsi="Bookman Old Style" w:cs="Arial"/>
          <w:sz w:val="24"/>
          <w:szCs w:val="24"/>
          <w:lang w:val="id-ID"/>
        </w:rPr>
        <w:t>Penggunaan</w:t>
      </w:r>
      <w:r w:rsidR="00A954D0" w:rsidRPr="008379CA">
        <w:rPr>
          <w:rFonts w:ascii="Bookman Old Style" w:eastAsia="Calibri" w:hAnsi="Bookman Old Style" w:cs="Arial"/>
          <w:sz w:val="24"/>
          <w:szCs w:val="24"/>
          <w:lang w:val="id-ID"/>
        </w:rPr>
        <w:t xml:space="preserve"> </w:t>
      </w:r>
      <w:r w:rsidRPr="008379CA">
        <w:rPr>
          <w:rFonts w:ascii="Bookman Old Style" w:eastAsia="Calibri" w:hAnsi="Bookman Old Style" w:cs="Arial"/>
          <w:sz w:val="24"/>
          <w:szCs w:val="24"/>
          <w:lang w:val="id-ID"/>
        </w:rPr>
        <w:t>Produk</w:t>
      </w:r>
      <w:r w:rsidR="00A954D0" w:rsidRPr="008379CA">
        <w:rPr>
          <w:rFonts w:ascii="Bookman Old Style" w:eastAsia="Calibri" w:hAnsi="Bookman Old Style" w:cs="Arial"/>
          <w:sz w:val="24"/>
          <w:szCs w:val="24"/>
          <w:lang w:val="id-ID"/>
        </w:rPr>
        <w:t xml:space="preserve"> </w:t>
      </w:r>
      <w:r w:rsidRPr="008379CA">
        <w:rPr>
          <w:rFonts w:ascii="Bookman Old Style" w:eastAsia="Calibri" w:hAnsi="Bookman Old Style" w:cs="Arial"/>
          <w:sz w:val="24"/>
          <w:szCs w:val="24"/>
          <w:lang w:val="id-ID"/>
        </w:rPr>
        <w:t>Dalam</w:t>
      </w:r>
      <w:r w:rsidR="00A954D0" w:rsidRPr="008379CA">
        <w:rPr>
          <w:rFonts w:ascii="Bookman Old Style" w:eastAsia="Calibri" w:hAnsi="Bookman Old Style" w:cs="Arial"/>
          <w:sz w:val="24"/>
          <w:szCs w:val="24"/>
          <w:lang w:val="id-ID"/>
        </w:rPr>
        <w:t xml:space="preserve"> </w:t>
      </w:r>
      <w:r w:rsidRPr="008379CA">
        <w:rPr>
          <w:rFonts w:ascii="Bookman Old Style" w:eastAsia="Calibri" w:hAnsi="Bookman Old Style" w:cs="Arial"/>
          <w:sz w:val="24"/>
          <w:szCs w:val="24"/>
          <w:lang w:val="id-ID"/>
        </w:rPr>
        <w:t>Negeri</w:t>
      </w:r>
      <w:r w:rsidR="00A954D0" w:rsidRPr="008379CA">
        <w:rPr>
          <w:rFonts w:ascii="Bookman Old Style" w:eastAsia="Calibri" w:hAnsi="Bookman Old Style" w:cs="Arial"/>
          <w:sz w:val="24"/>
          <w:szCs w:val="24"/>
          <w:lang w:val="id-ID"/>
        </w:rPr>
        <w:t xml:space="preserve"> </w:t>
      </w:r>
      <w:r w:rsidRPr="008379CA">
        <w:rPr>
          <w:rFonts w:ascii="Bookman Old Style" w:eastAsia="Calibri" w:hAnsi="Bookman Old Style" w:cs="Arial"/>
          <w:sz w:val="24"/>
          <w:szCs w:val="24"/>
          <w:lang w:val="id-ID"/>
        </w:rPr>
        <w:t>dan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Produk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Usaha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Mikro,</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Usaha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Kecil</w:t>
      </w:r>
      <w:r w:rsidRPr="008379CA">
        <w:rPr>
          <w:rFonts w:ascii="Bookman Old Style" w:hAnsi="Bookman Old Style" w:cs="Arial"/>
          <w:sz w:val="24"/>
          <w:szCs w:val="24"/>
          <w:lang w:val="id-ID"/>
        </w:rPr>
        <w: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rPr>
        <w:t>Menengah</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lang w:val="id-ID"/>
        </w:rPr>
        <w:t>Koperasi</w:t>
      </w:r>
      <w:r w:rsidR="00A954D0" w:rsidRPr="008379CA">
        <w:rPr>
          <w:rFonts w:ascii="Bookman Old Style" w:hAnsi="Bookman Old Style" w:cs="Arial"/>
          <w:sz w:val="24"/>
          <w:szCs w:val="24"/>
          <w:lang w:val="id-ID"/>
        </w:rPr>
        <w:t xml:space="preserve"> </w:t>
      </w:r>
    </w:p>
    <w:p w14:paraId="3CE35714" w14:textId="54BFE146" w:rsidR="005D28F5" w:rsidRPr="008379CA" w:rsidRDefault="00C102CE" w:rsidP="004666ED">
      <w:pPr>
        <w:pStyle w:val="ListParagraph"/>
        <w:spacing w:before="60" w:after="120" w:line="276" w:lineRule="auto"/>
        <w:ind w:left="1287"/>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Penyediaan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anggaran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untuk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Percepatan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Peningkatan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Penggunaan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Produk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Dalam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Negeri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Produk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Usaha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Mikro,</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Usaha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Kecil</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Menengah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Rp2.652.269.321.632,00</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atau</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75,49%</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nilai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anggaran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pengadaan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barang/jasa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yang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terdiri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atas</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belanja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barang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jasa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serta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belanja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modal</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luar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belanja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modal</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tanah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dalam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Rancangan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Peraturan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Daerah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Kota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Tangerang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tentang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APBD</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Tahun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Anggaran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2025</w:t>
      </w:r>
      <w:r w:rsidR="00A954D0" w:rsidRPr="008379CA">
        <w:rPr>
          <w:rFonts w:ascii="Bookman Old Style" w:hAnsi="Bookman Old Style" w:cs="Arial"/>
          <w:sz w:val="24"/>
          <w:szCs w:val="24"/>
          <w:lang w:val="id-ID"/>
        </w:rPr>
        <w:t xml:space="preserve"> </w:t>
      </w:r>
      <w:r w:rsidRPr="008379CA">
        <w:rPr>
          <w:rFonts w:ascii="Bookman Old Style" w:hAnsi="Bookman Old Style" w:cs="Arial"/>
          <w:b/>
          <w:bCs/>
          <w:sz w:val="24"/>
          <w:szCs w:val="24"/>
          <w:lang w:val="id-ID"/>
        </w:rPr>
        <w:t>telah</w:t>
      </w:r>
      <w:r w:rsidR="00A954D0" w:rsidRPr="008379CA">
        <w:rPr>
          <w:rFonts w:ascii="Bookman Old Style" w:hAnsi="Bookman Old Style" w:cs="Arial"/>
          <w:b/>
          <w:bCs/>
          <w:sz w:val="24"/>
          <w:szCs w:val="24"/>
          <w:lang w:val="id-ID"/>
        </w:rPr>
        <w:t xml:space="preserve"> </w:t>
      </w:r>
      <w:r w:rsidRPr="008379CA">
        <w:rPr>
          <w:rFonts w:ascii="Bookman Old Style" w:hAnsi="Bookman Old Style" w:cs="Arial"/>
          <w:b/>
          <w:bCs/>
          <w:sz w:val="24"/>
          <w:szCs w:val="24"/>
          <w:lang w:val="id-ID"/>
        </w:rPr>
        <w:t>memenuhi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alokasi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anggaran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Penggunaan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Produk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Dalam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Negeri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Produk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Usaha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Mikro,</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Usaha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Kecil</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Menengah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sekurang-kurangnya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40%</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(empat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puluh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persen)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total</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Belanja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Barang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Jasa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Belanja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Modal</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luar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Belanja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Modal</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Tanah.</w:t>
      </w:r>
    </w:p>
    <w:p w14:paraId="03FBEB84" w14:textId="4BDA2269" w:rsidR="00C102CE" w:rsidRPr="008379CA" w:rsidRDefault="00C102CE" w:rsidP="005D28F5">
      <w:pPr>
        <w:pStyle w:val="ListParagraph"/>
        <w:spacing w:before="60" w:line="276" w:lineRule="auto"/>
        <w:ind w:left="1287"/>
        <w:jc w:val="both"/>
        <w:rPr>
          <w:rFonts w:ascii="Bookman Old Style" w:hAnsi="Bookman Old Style" w:cs="Arial"/>
          <w:sz w:val="24"/>
          <w:szCs w:val="24"/>
          <w:lang w:val="id-ID"/>
        </w:rPr>
      </w:pPr>
      <w:r w:rsidRPr="008379CA">
        <w:rPr>
          <w:rFonts w:ascii="Bookman Old Style" w:hAnsi="Bookman Old Style" w:cs="Arial"/>
          <w:sz w:val="24"/>
          <w:szCs w:val="24"/>
          <w:lang w:val="id-ID"/>
        </w:rPr>
        <w:t>Pemerintah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Kota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Tangerang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agar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meninjau</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kembali</w:t>
      </w:r>
      <w:r w:rsidR="00A954D0" w:rsidRPr="008379CA">
        <w:rPr>
          <w:rFonts w:ascii="Bookman Old Style" w:hAnsi="Bookman Old Style" w:cs="Arial"/>
          <w:sz w:val="24"/>
          <w:szCs w:val="24"/>
          <w:lang w:val="id-ID"/>
        </w:rPr>
        <w:t xml:space="preserve"> </w:t>
      </w:r>
      <w:r w:rsidR="00287B0F"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00287B0F" w:rsidRPr="008379CA">
        <w:rPr>
          <w:rFonts w:ascii="Bookman Old Style" w:hAnsi="Bookman Old Style" w:cs="Arial"/>
          <w:sz w:val="24"/>
          <w:szCs w:val="24"/>
          <w:lang w:val="id-ID"/>
        </w:rPr>
        <w:t>memperbaiki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Formulir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Komitmen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menganggarkan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Produk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Dalam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Negeri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Tahun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Anggaran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2025</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sebagaimana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ketentuan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peraturan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perundang-undangan,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yang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mengamanatkan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bahwa: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pemerintah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daerah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wajib</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menggunakan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produk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dalam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negeri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yang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telah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memiliki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nilai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Tingkat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Komponen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Dalam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Negeri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(TKDN)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ditambah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nilai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Bobot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Manfaat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Perusahaan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(BMP)</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paling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rendah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40%</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(empat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puluh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persen).</w:t>
      </w:r>
    </w:p>
    <w:p w14:paraId="6B211073" w14:textId="01C10D39" w:rsidR="00C76494" w:rsidRPr="008379CA" w:rsidRDefault="005D28F5" w:rsidP="005D28F5">
      <w:pPr>
        <w:pStyle w:val="ListParagraph"/>
        <w:spacing w:before="60" w:after="0" w:line="276" w:lineRule="auto"/>
        <w:ind w:left="1287"/>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lastRenderedPageBreak/>
        <w:t>Untuk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itu,</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Pemerintah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Daerah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Kota</w:t>
      </w:r>
      <w:r w:rsidR="00A954D0" w:rsidRPr="008379CA">
        <w:rPr>
          <w:rFonts w:ascii="Bookman Old Style" w:hAnsi="Bookman Old Style" w:cs="Arial"/>
          <w:sz w:val="24"/>
          <w:szCs w:val="24"/>
          <w:lang w:val="id-ID"/>
        </w:rPr>
        <w:t xml:space="preserve"> </w:t>
      </w:r>
      <w:r w:rsidR="00770F22" w:rsidRPr="008379CA">
        <w:rPr>
          <w:rFonts w:ascii="Bookman Old Style" w:hAnsi="Bookman Old Style" w:cs="Arial"/>
          <w:sz w:val="24"/>
          <w:szCs w:val="24"/>
          <w:lang w:val="id-ID"/>
        </w:rPr>
        <w:t>Tangerang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harus</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mempertahankan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secara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terus</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menerus</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konsisten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dalam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mengalokasikan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anggaran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Penggunaan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Produk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Dalam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Negeri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Produk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Usaha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Mikro,</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Usaha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Kecil</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Menengah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sekurang-kurangnya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40%</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(empat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puluh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persen)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total</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Belanja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Barang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Jasa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Belanja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Modal</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diluar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Belanja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Modal</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Tanah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sebagaimana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maksud</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butir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5.2.5.b.5).a).(1)</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Lampiran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Peraturan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Menteri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Dalam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Negeri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Nomor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15</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Tahun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2024,</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Instruksi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Presiden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Nomor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2</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Tahun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2022</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tanggal</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30</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Maret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2022</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tentang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Percepatan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Peningkatan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Penggunaan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Produk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Dalam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Negeri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Produk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Usaha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Mikro,</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Usaha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Kecil</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Koperasi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Dalam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Rangka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Menyukseskan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Gerakan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Nasional</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Bangga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Buatan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Indonesia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Pada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Pelaksanaan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Pengadaan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Barang/Jasa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Pemerintah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Surat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Edaran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Bersama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Menteri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Dalam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Negeri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Kepala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Lembaga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Kebijakan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Pengadaan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Barang/Jasa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Pemerintah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Nomor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027/1022/SJ</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Nomor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1</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Tahun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2022</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tanggal</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25</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Februari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2022</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tentang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Gerakan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Nasional</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Bangga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Buatan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Indonesia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pada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Pengadaan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Barang/Jasa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Lingkungan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Pemerintah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Daerah.</w:t>
      </w:r>
    </w:p>
    <w:p w14:paraId="0BFA18FC" w14:textId="46D5B900" w:rsidR="00C76494" w:rsidRPr="008379CA" w:rsidRDefault="00C76494" w:rsidP="00447E9A">
      <w:pPr>
        <w:pStyle w:val="ListParagraph"/>
        <w:numPr>
          <w:ilvl w:val="0"/>
          <w:numId w:val="97"/>
        </w:numPr>
        <w:spacing w:before="120" w:after="0" w:line="276" w:lineRule="auto"/>
        <w:ind w:left="1281" w:hanging="288"/>
        <w:contextualSpacing w:val="0"/>
        <w:jc w:val="both"/>
        <w:rPr>
          <w:rFonts w:ascii="Bookman Old Style" w:hAnsi="Bookman Old Style" w:cs="Arial"/>
          <w:sz w:val="24"/>
          <w:szCs w:val="24"/>
          <w:lang w:val="id-ID"/>
        </w:rPr>
      </w:pPr>
      <w:r w:rsidRPr="008379CA">
        <w:rPr>
          <w:rFonts w:ascii="Bookman Old Style" w:hAnsi="Bookman Old Style" w:cs="Arial"/>
          <w:sz w:val="24"/>
          <w:szCs w:val="24"/>
        </w:rPr>
        <w:t>Alokasi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Anggaran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untuk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Peningkatan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lang w:val="sv-FI"/>
        </w:rPr>
        <w:t>Investasi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Kemudahan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Berusaha</w:t>
      </w:r>
    </w:p>
    <w:p w14:paraId="50C98493" w14:textId="6D85FEC0" w:rsidR="00994781" w:rsidRPr="008379CA" w:rsidRDefault="00994781" w:rsidP="00994781">
      <w:pPr>
        <w:spacing w:before="60" w:line="276" w:lineRule="auto"/>
        <w:ind w:left="1276"/>
        <w:contextualSpacing/>
        <w:jc w:val="both"/>
        <w:rPr>
          <w:rFonts w:ascii="Bookman Old Style" w:hAnsi="Bookman Old Style" w:cs="Tahoma"/>
          <w:lang w:val="id-ID"/>
        </w:rPr>
      </w:pPr>
      <w:r w:rsidRPr="008379CA">
        <w:rPr>
          <w:rFonts w:ascii="Bookman Old Style" w:hAnsi="Bookman Old Style" w:cs="Tahoma"/>
          <w:lang w:val="id-ID"/>
        </w:rPr>
        <w:t>Penyediaan</w:t>
      </w:r>
      <w:r w:rsidR="00A954D0" w:rsidRPr="008379CA">
        <w:rPr>
          <w:rFonts w:ascii="Bookman Old Style" w:hAnsi="Bookman Old Style" w:cs="Tahoma"/>
          <w:lang w:val="id-ID"/>
        </w:rPr>
        <w:t xml:space="preserve"> </w:t>
      </w:r>
      <w:r w:rsidRPr="008379CA">
        <w:rPr>
          <w:rFonts w:ascii="Bookman Old Style" w:hAnsi="Bookman Old Style" w:cs="Tahoma"/>
          <w:lang w:val="id-ID"/>
        </w:rPr>
        <w:t>anggaran</w:t>
      </w:r>
      <w:r w:rsidR="00A954D0" w:rsidRPr="008379CA">
        <w:rPr>
          <w:rFonts w:ascii="Bookman Old Style" w:hAnsi="Bookman Old Style" w:cs="Tahoma"/>
          <w:lang w:val="id-ID"/>
        </w:rPr>
        <w:t xml:space="preserve"> </w:t>
      </w:r>
      <w:r w:rsidRPr="008379CA">
        <w:rPr>
          <w:rFonts w:ascii="Bookman Old Style" w:hAnsi="Bookman Old Style" w:cs="Tahoma"/>
          <w:lang w:val="id-ID"/>
        </w:rPr>
        <w:t>untuk</w:t>
      </w:r>
      <w:r w:rsidR="00A954D0" w:rsidRPr="008379CA">
        <w:rPr>
          <w:rFonts w:ascii="Bookman Old Style" w:hAnsi="Bookman Old Style" w:cs="Tahoma"/>
          <w:lang w:val="id-ID"/>
        </w:rPr>
        <w:t xml:space="preserve"> </w:t>
      </w:r>
      <w:r w:rsidRPr="008379CA">
        <w:rPr>
          <w:rFonts w:ascii="Bookman Old Style" w:hAnsi="Bookman Old Style" w:cs="Tahoma"/>
          <w:lang w:val="id-ID"/>
        </w:rPr>
        <w:t>mendukung</w:t>
      </w:r>
      <w:r w:rsidR="00A954D0" w:rsidRPr="008379CA">
        <w:rPr>
          <w:rFonts w:ascii="Bookman Old Style" w:hAnsi="Bookman Old Style" w:cs="Tahoma"/>
          <w:lang w:val="id-ID"/>
        </w:rPr>
        <w:t xml:space="preserve"> </w:t>
      </w:r>
      <w:r w:rsidRPr="008379CA">
        <w:rPr>
          <w:rFonts w:ascii="Bookman Old Style" w:hAnsi="Bookman Old Style" w:cs="Tahoma"/>
          <w:lang w:val="id-ID"/>
        </w:rPr>
        <w:t>program</w:t>
      </w:r>
      <w:r w:rsidR="00A954D0" w:rsidRPr="008379CA">
        <w:rPr>
          <w:rFonts w:ascii="Bookman Old Style" w:hAnsi="Bookman Old Style" w:cs="Tahoma"/>
          <w:lang w:val="id-ID"/>
        </w:rPr>
        <w:t xml:space="preserve"> </w:t>
      </w:r>
      <w:r w:rsidRPr="008379CA">
        <w:rPr>
          <w:rFonts w:ascii="Bookman Old Style" w:hAnsi="Bookman Old Style" w:cs="Tahoma"/>
          <w:lang w:val="id-ID"/>
        </w:rPr>
        <w:t>prioritas</w:t>
      </w:r>
      <w:r w:rsidR="00A954D0" w:rsidRPr="008379CA">
        <w:rPr>
          <w:rFonts w:ascii="Bookman Old Style" w:hAnsi="Bookman Old Style" w:cs="Tahoma"/>
          <w:lang w:val="id-ID"/>
        </w:rPr>
        <w:t xml:space="preserve"> </w:t>
      </w:r>
      <w:r w:rsidRPr="008379CA">
        <w:rPr>
          <w:rFonts w:ascii="Bookman Old Style" w:hAnsi="Bookman Old Style" w:cs="Tahoma"/>
          <w:lang w:val="id-ID"/>
        </w:rPr>
        <w:t>Peningkatan</w:t>
      </w:r>
      <w:r w:rsidR="00A954D0" w:rsidRPr="008379CA">
        <w:rPr>
          <w:rFonts w:ascii="Bookman Old Style" w:hAnsi="Bookman Old Style" w:cs="Tahoma"/>
          <w:lang w:val="id-ID"/>
        </w:rPr>
        <w:t xml:space="preserve"> </w:t>
      </w:r>
      <w:r w:rsidRPr="008379CA">
        <w:rPr>
          <w:rFonts w:ascii="Bookman Old Style" w:hAnsi="Bookman Old Style" w:cs="Tahoma"/>
          <w:lang w:val="id-ID"/>
        </w:rPr>
        <w:t>Investasi</w:t>
      </w:r>
      <w:r w:rsidR="00A954D0" w:rsidRPr="008379CA">
        <w:rPr>
          <w:rFonts w:ascii="Bookman Old Style" w:hAnsi="Bookman Old Style" w:cs="Tahoma"/>
          <w:lang w:val="id-ID"/>
        </w:rPr>
        <w:t xml:space="preserve"> </w:t>
      </w:r>
      <w:r w:rsidRPr="008379CA">
        <w:rPr>
          <w:rFonts w:ascii="Bookman Old Style" w:hAnsi="Bookman Old Style" w:cs="Tahoma"/>
          <w:lang w:val="id-ID"/>
        </w:rPr>
        <w:t>dan</w:t>
      </w:r>
      <w:r w:rsidR="00A954D0" w:rsidRPr="008379CA">
        <w:rPr>
          <w:rFonts w:ascii="Bookman Old Style" w:hAnsi="Bookman Old Style" w:cs="Tahoma"/>
          <w:lang w:val="id-ID"/>
        </w:rPr>
        <w:t xml:space="preserve"> </w:t>
      </w:r>
      <w:r w:rsidRPr="008379CA">
        <w:rPr>
          <w:rFonts w:ascii="Bookman Old Style" w:hAnsi="Bookman Old Style" w:cs="Tahoma"/>
          <w:lang w:val="id-ID"/>
        </w:rPr>
        <w:t>Kemudahan</w:t>
      </w:r>
      <w:r w:rsidR="00A954D0" w:rsidRPr="008379CA">
        <w:rPr>
          <w:rFonts w:ascii="Bookman Old Style" w:hAnsi="Bookman Old Style" w:cs="Tahoma"/>
          <w:lang w:val="id-ID"/>
        </w:rPr>
        <w:t xml:space="preserve"> </w:t>
      </w:r>
      <w:r w:rsidRPr="008379CA">
        <w:rPr>
          <w:rFonts w:ascii="Bookman Old Style" w:hAnsi="Bookman Old Style" w:cs="Tahoma"/>
          <w:lang w:val="id-ID"/>
        </w:rPr>
        <w:t>Berusaha</w:t>
      </w:r>
      <w:r w:rsidR="00A954D0" w:rsidRPr="008379CA">
        <w:rPr>
          <w:rFonts w:ascii="Bookman Old Style" w:hAnsi="Bookman Old Style" w:cs="Tahoma"/>
          <w:lang w:val="id-ID"/>
        </w:rPr>
        <w:t xml:space="preserve"> </w:t>
      </w:r>
      <w:r w:rsidRPr="008379CA">
        <w:rPr>
          <w:rFonts w:ascii="Bookman Old Style" w:hAnsi="Bookman Old Style" w:cs="Tahoma"/>
          <w:lang w:val="id-ID"/>
        </w:rPr>
        <w:t>sebesar</w:t>
      </w:r>
      <w:r w:rsidR="00A954D0" w:rsidRPr="008379CA">
        <w:rPr>
          <w:rFonts w:ascii="Bookman Old Style" w:hAnsi="Bookman Old Style" w:cs="Tahoma"/>
          <w:lang w:val="id-ID"/>
        </w:rPr>
        <w:t xml:space="preserve"> </w:t>
      </w:r>
      <w:r w:rsidRPr="008379CA">
        <w:rPr>
          <w:rFonts w:ascii="Bookman Old Style" w:hAnsi="Bookman Old Style" w:cs="Tahoma"/>
          <w:lang w:val="id-ID"/>
        </w:rPr>
        <w:t>Rp210.864.781.073,00</w:t>
      </w:r>
      <w:r w:rsidR="00A954D0" w:rsidRPr="008379CA">
        <w:rPr>
          <w:rFonts w:ascii="Bookman Old Style" w:hAnsi="Bookman Old Style" w:cs="Tahoma"/>
          <w:lang w:val="id-ID"/>
        </w:rPr>
        <w:t xml:space="preserve"> </w:t>
      </w:r>
      <w:r w:rsidRPr="008379CA">
        <w:rPr>
          <w:rFonts w:ascii="Bookman Old Style" w:hAnsi="Bookman Old Style" w:cs="Tahoma"/>
          <w:lang w:val="id-ID"/>
        </w:rPr>
        <w:t>atau</w:t>
      </w:r>
      <w:r w:rsidR="00A954D0" w:rsidRPr="008379CA">
        <w:rPr>
          <w:rFonts w:ascii="Bookman Old Style" w:hAnsi="Bookman Old Style" w:cs="Tahoma"/>
          <w:lang w:val="id-ID"/>
        </w:rPr>
        <w:t xml:space="preserve"> </w:t>
      </w:r>
      <w:r w:rsidRPr="008379CA">
        <w:rPr>
          <w:rFonts w:ascii="Bookman Old Style" w:hAnsi="Bookman Old Style" w:cs="Tahoma"/>
          <w:lang w:val="id-ID"/>
        </w:rPr>
        <w:t>3</w:t>
      </w:r>
      <w:r w:rsidR="004B6088" w:rsidRPr="008379CA">
        <w:rPr>
          <w:rFonts w:ascii="Bookman Old Style" w:hAnsi="Bookman Old Style" w:cs="Tahoma"/>
          <w:lang w:val="id-ID"/>
        </w:rPr>
        <w:t>,</w:t>
      </w:r>
      <w:r w:rsidRPr="008379CA">
        <w:rPr>
          <w:rFonts w:ascii="Bookman Old Style" w:hAnsi="Bookman Old Style" w:cs="Tahoma"/>
          <w:lang w:val="id-ID"/>
        </w:rPr>
        <w:t>70%</w:t>
      </w:r>
      <w:r w:rsidR="00A954D0" w:rsidRPr="008379CA">
        <w:rPr>
          <w:rFonts w:ascii="Bookman Old Style" w:hAnsi="Bookman Old Style" w:cs="Tahoma"/>
          <w:lang w:val="id-ID"/>
        </w:rPr>
        <w:t xml:space="preserve"> </w:t>
      </w:r>
      <w:r w:rsidRPr="008379CA">
        <w:rPr>
          <w:rFonts w:ascii="Bookman Old Style" w:hAnsi="Bookman Old Style" w:cs="Tahoma"/>
          <w:lang w:val="id-ID"/>
        </w:rPr>
        <w:t>dari</w:t>
      </w:r>
      <w:r w:rsidR="00A954D0" w:rsidRPr="008379CA">
        <w:rPr>
          <w:rFonts w:ascii="Bookman Old Style" w:hAnsi="Bookman Old Style" w:cs="Tahoma"/>
          <w:lang w:val="id-ID"/>
        </w:rPr>
        <w:t xml:space="preserve"> </w:t>
      </w:r>
      <w:r w:rsidRPr="008379CA">
        <w:rPr>
          <w:rFonts w:ascii="Bookman Old Style" w:hAnsi="Bookman Old Style" w:cs="Tahoma"/>
          <w:lang w:val="id-ID"/>
        </w:rPr>
        <w:t>total</w:t>
      </w:r>
      <w:r w:rsidR="00A954D0" w:rsidRPr="008379CA">
        <w:rPr>
          <w:rFonts w:ascii="Bookman Old Style" w:hAnsi="Bookman Old Style" w:cs="Tahoma"/>
          <w:lang w:val="id-ID"/>
        </w:rPr>
        <w:t xml:space="preserve"> </w:t>
      </w:r>
      <w:r w:rsidRPr="008379CA">
        <w:rPr>
          <w:rFonts w:ascii="Bookman Old Style" w:hAnsi="Bookman Old Style" w:cs="Tahoma"/>
          <w:lang w:val="id-ID"/>
        </w:rPr>
        <w:t>belanja</w:t>
      </w:r>
      <w:r w:rsidR="00A954D0" w:rsidRPr="008379CA">
        <w:rPr>
          <w:rFonts w:ascii="Bookman Old Style" w:hAnsi="Bookman Old Style" w:cs="Tahoma"/>
          <w:lang w:val="id-ID"/>
        </w:rPr>
        <w:t xml:space="preserve"> </w:t>
      </w:r>
      <w:r w:rsidRPr="008379CA">
        <w:rPr>
          <w:rFonts w:ascii="Bookman Old Style" w:hAnsi="Bookman Old Style" w:cs="Tahoma"/>
          <w:lang w:val="id-ID"/>
        </w:rPr>
        <w:t>daerah</w:t>
      </w:r>
      <w:r w:rsidR="00A954D0" w:rsidRPr="008379CA">
        <w:rPr>
          <w:rFonts w:ascii="Bookman Old Style" w:hAnsi="Bookman Old Style"/>
          <w:lang w:val="id-ID"/>
        </w:rPr>
        <w:t xml:space="preserve"> </w:t>
      </w:r>
      <w:r w:rsidRPr="008379CA">
        <w:rPr>
          <w:rFonts w:ascii="Bookman Old Style" w:hAnsi="Bookman Old Style"/>
          <w:lang w:val="id-ID"/>
        </w:rPr>
        <w:t>dalam</w:t>
      </w:r>
      <w:r w:rsidR="00A954D0" w:rsidRPr="008379CA">
        <w:rPr>
          <w:rFonts w:ascii="Bookman Old Style" w:hAnsi="Bookman Old Style"/>
          <w:lang w:val="id-ID"/>
        </w:rPr>
        <w:t xml:space="preserve"> </w:t>
      </w:r>
      <w:r w:rsidRPr="008379CA">
        <w:rPr>
          <w:rFonts w:ascii="Bookman Old Style" w:hAnsi="Bookman Old Style"/>
          <w:lang w:val="id-ID"/>
        </w:rPr>
        <w:t>Rancangan</w:t>
      </w:r>
      <w:r w:rsidR="00A954D0" w:rsidRPr="008379CA">
        <w:rPr>
          <w:rFonts w:ascii="Bookman Old Style" w:hAnsi="Bookman Old Style"/>
          <w:lang w:val="id-ID"/>
        </w:rPr>
        <w:t xml:space="preserve"> </w:t>
      </w:r>
      <w:r w:rsidRPr="008379CA">
        <w:rPr>
          <w:rFonts w:ascii="Bookman Old Style" w:hAnsi="Bookman Old Style"/>
          <w:lang w:val="id-ID"/>
        </w:rPr>
        <w:t>Peraturan</w:t>
      </w:r>
      <w:r w:rsidR="00A954D0" w:rsidRPr="008379CA">
        <w:rPr>
          <w:rFonts w:ascii="Bookman Old Style" w:hAnsi="Bookman Old Style"/>
          <w:lang w:val="id-ID"/>
        </w:rPr>
        <w:t xml:space="preserve"> </w:t>
      </w:r>
      <w:r w:rsidRPr="008379CA">
        <w:rPr>
          <w:rFonts w:ascii="Bookman Old Style" w:hAnsi="Bookman Old Style"/>
          <w:lang w:val="id-ID"/>
        </w:rPr>
        <w:t>Daerah</w:t>
      </w:r>
      <w:r w:rsidR="00A954D0" w:rsidRPr="008379CA">
        <w:rPr>
          <w:rFonts w:ascii="Bookman Old Style" w:hAnsi="Bookman Old Style"/>
          <w:lang w:val="id-ID"/>
        </w:rPr>
        <w:t xml:space="preserve"> </w:t>
      </w:r>
      <w:r w:rsidRPr="008379CA">
        <w:rPr>
          <w:rFonts w:ascii="Bookman Old Style" w:hAnsi="Bookman Old Style"/>
          <w:lang w:val="fi-FI"/>
        </w:rPr>
        <w:t>Kota</w:t>
      </w:r>
      <w:r w:rsidR="00A954D0" w:rsidRPr="008379CA">
        <w:rPr>
          <w:rFonts w:ascii="Bookman Old Style" w:hAnsi="Bookman Old Style"/>
          <w:lang w:val="fi-FI"/>
        </w:rPr>
        <w:t xml:space="preserve"> </w:t>
      </w:r>
      <w:r w:rsidRPr="008379CA">
        <w:rPr>
          <w:rFonts w:ascii="Bookman Old Style" w:hAnsi="Bookman Old Style"/>
          <w:lang w:val="fi-FI"/>
        </w:rPr>
        <w:t>Tangerang</w:t>
      </w:r>
      <w:r w:rsidR="00A954D0" w:rsidRPr="008379CA">
        <w:rPr>
          <w:rFonts w:ascii="Bookman Old Style" w:hAnsi="Bookman Old Style"/>
          <w:lang w:val="fi-FI"/>
        </w:rPr>
        <w:t xml:space="preserve"> </w:t>
      </w:r>
      <w:r w:rsidRPr="008379CA">
        <w:rPr>
          <w:rFonts w:ascii="Bookman Old Style" w:hAnsi="Bookman Old Style"/>
          <w:lang w:val="fi-FI"/>
        </w:rPr>
        <w:t>t</w:t>
      </w:r>
      <w:r w:rsidRPr="008379CA">
        <w:rPr>
          <w:rFonts w:ascii="Bookman Old Style" w:hAnsi="Bookman Old Style"/>
          <w:lang w:val="id-ID"/>
        </w:rPr>
        <w:t>entang</w:t>
      </w:r>
      <w:r w:rsidR="00A954D0" w:rsidRPr="008379CA">
        <w:rPr>
          <w:rFonts w:ascii="Bookman Old Style" w:hAnsi="Bookman Old Style"/>
          <w:lang w:val="id-ID"/>
        </w:rPr>
        <w:t xml:space="preserve"> </w:t>
      </w:r>
      <w:r w:rsidRPr="008379CA">
        <w:rPr>
          <w:rFonts w:ascii="Bookman Old Style" w:hAnsi="Bookman Old Style"/>
          <w:lang w:val="id-ID"/>
        </w:rPr>
        <w:t>APBD</w:t>
      </w:r>
      <w:r w:rsidR="00A954D0" w:rsidRPr="008379CA">
        <w:rPr>
          <w:rFonts w:ascii="Bookman Old Style" w:hAnsi="Bookman Old Style"/>
          <w:lang w:val="id-ID"/>
        </w:rPr>
        <w:t xml:space="preserve"> </w:t>
      </w:r>
      <w:r w:rsidRPr="008379CA">
        <w:rPr>
          <w:rFonts w:ascii="Bookman Old Style" w:hAnsi="Bookman Old Style"/>
          <w:lang w:val="id-ID"/>
        </w:rPr>
        <w:t>Tahun</w:t>
      </w:r>
      <w:r w:rsidR="00A954D0" w:rsidRPr="008379CA">
        <w:rPr>
          <w:rFonts w:ascii="Bookman Old Style" w:hAnsi="Bookman Old Style"/>
          <w:lang w:val="id-ID"/>
        </w:rPr>
        <w:t xml:space="preserve"> </w:t>
      </w:r>
      <w:r w:rsidRPr="008379CA">
        <w:rPr>
          <w:rFonts w:ascii="Bookman Old Style" w:hAnsi="Bookman Old Style"/>
          <w:lang w:val="id-ID"/>
        </w:rPr>
        <w:t>Anggaran</w:t>
      </w:r>
      <w:r w:rsidR="00A954D0" w:rsidRPr="008379CA">
        <w:rPr>
          <w:rFonts w:ascii="Bookman Old Style" w:hAnsi="Bookman Old Style"/>
          <w:lang w:val="id-ID"/>
        </w:rPr>
        <w:t xml:space="preserve"> </w:t>
      </w:r>
      <w:r w:rsidRPr="008379CA">
        <w:rPr>
          <w:rFonts w:ascii="Bookman Old Style" w:hAnsi="Bookman Old Style"/>
          <w:lang w:val="id-ID"/>
        </w:rPr>
        <w:t>2025</w:t>
      </w:r>
      <w:r w:rsidRPr="008379CA">
        <w:rPr>
          <w:rFonts w:ascii="Bookman Old Style" w:hAnsi="Bookman Old Style" w:cs="Tahoma"/>
          <w:lang w:val="id-ID"/>
        </w:rPr>
        <w:t>,</w:t>
      </w:r>
      <w:r w:rsidR="00A954D0" w:rsidRPr="008379CA">
        <w:rPr>
          <w:rFonts w:ascii="Bookman Old Style" w:hAnsi="Bookman Old Style" w:cs="Tahoma"/>
          <w:lang w:val="id-ID"/>
        </w:rPr>
        <w:t xml:space="preserve"> </w:t>
      </w:r>
      <w:r w:rsidRPr="008379CA">
        <w:rPr>
          <w:rFonts w:ascii="Bookman Old Style" w:hAnsi="Bookman Old Style" w:cs="Tahoma"/>
          <w:lang w:val="id-ID"/>
        </w:rPr>
        <w:t>yang</w:t>
      </w:r>
      <w:r w:rsidR="00A954D0" w:rsidRPr="008379CA">
        <w:rPr>
          <w:rFonts w:ascii="Bookman Old Style" w:hAnsi="Bookman Old Style" w:cs="Tahoma"/>
          <w:lang w:val="id-ID"/>
        </w:rPr>
        <w:t xml:space="preserve"> </w:t>
      </w:r>
      <w:r w:rsidRPr="008379CA">
        <w:rPr>
          <w:rFonts w:ascii="Bookman Old Style" w:hAnsi="Bookman Old Style" w:cs="Tahoma"/>
          <w:lang w:val="id-ID"/>
        </w:rPr>
        <w:t>tercantum</w:t>
      </w:r>
      <w:r w:rsidR="00A954D0" w:rsidRPr="008379CA">
        <w:rPr>
          <w:rFonts w:ascii="Bookman Old Style" w:hAnsi="Bookman Old Style" w:cs="Tahoma"/>
          <w:lang w:val="id-ID"/>
        </w:rPr>
        <w:t xml:space="preserve"> </w:t>
      </w:r>
      <w:r w:rsidRPr="008379CA">
        <w:rPr>
          <w:rFonts w:ascii="Bookman Old Style" w:hAnsi="Bookman Old Style" w:cs="Tahoma"/>
          <w:lang w:val="id-ID"/>
        </w:rPr>
        <w:t>pada:</w:t>
      </w:r>
    </w:p>
    <w:p w14:paraId="5DEFD4DD" w14:textId="353D9621" w:rsidR="00994781" w:rsidRPr="008379CA" w:rsidRDefault="00994781">
      <w:pPr>
        <w:pStyle w:val="ListParagraph"/>
        <w:widowControl w:val="0"/>
        <w:numPr>
          <w:ilvl w:val="0"/>
          <w:numId w:val="248"/>
        </w:numPr>
        <w:autoSpaceDE w:val="0"/>
        <w:autoSpaceDN w:val="0"/>
        <w:spacing w:before="60" w:after="0" w:line="276" w:lineRule="auto"/>
        <w:ind w:left="1701" w:right="17" w:hanging="425"/>
        <w:jc w:val="both"/>
        <w:rPr>
          <w:rFonts w:ascii="Bookman Old Style" w:hAnsi="Bookman Old Style" w:cs="Tahoma"/>
          <w:sz w:val="24"/>
          <w:szCs w:val="24"/>
        </w:rPr>
      </w:pPr>
      <w:r w:rsidRPr="008379CA">
        <w:rPr>
          <w:rFonts w:ascii="Bookman Old Style" w:hAnsi="Bookman Old Style" w:cs="Tahoma"/>
          <w:sz w:val="24"/>
          <w:szCs w:val="24"/>
        </w:rPr>
        <w:t>Dinas</w:t>
      </w:r>
      <w:r w:rsidR="00A954D0" w:rsidRPr="008379CA">
        <w:rPr>
          <w:rFonts w:ascii="Bookman Old Style" w:hAnsi="Bookman Old Style" w:cs="Tahoma"/>
          <w:sz w:val="24"/>
          <w:szCs w:val="24"/>
        </w:rPr>
        <w:t xml:space="preserve"> </w:t>
      </w:r>
      <w:r w:rsidRPr="008379CA">
        <w:rPr>
          <w:rFonts w:ascii="Bookman Old Style" w:hAnsi="Bookman Old Style" w:cs="Tahoma"/>
          <w:sz w:val="24"/>
          <w:szCs w:val="24"/>
        </w:rPr>
        <w:t>Penanaman</w:t>
      </w:r>
      <w:r w:rsidR="00A954D0" w:rsidRPr="008379CA">
        <w:rPr>
          <w:rFonts w:ascii="Bookman Old Style" w:hAnsi="Bookman Old Style" w:cs="Tahoma"/>
          <w:sz w:val="24"/>
          <w:szCs w:val="24"/>
        </w:rPr>
        <w:t xml:space="preserve"> </w:t>
      </w:r>
      <w:r w:rsidRPr="008379CA">
        <w:rPr>
          <w:rFonts w:ascii="Bookman Old Style" w:hAnsi="Bookman Old Style" w:cs="Tahoma"/>
          <w:sz w:val="24"/>
          <w:szCs w:val="24"/>
        </w:rPr>
        <w:t>Modal</w:t>
      </w:r>
      <w:r w:rsidR="00A954D0" w:rsidRPr="008379CA">
        <w:rPr>
          <w:rFonts w:ascii="Bookman Old Style" w:hAnsi="Bookman Old Style" w:cs="Tahoma"/>
          <w:sz w:val="24"/>
          <w:szCs w:val="24"/>
        </w:rPr>
        <w:t xml:space="preserve"> </w:t>
      </w:r>
      <w:r w:rsidR="00554AEE" w:rsidRPr="008379CA">
        <w:rPr>
          <w:rFonts w:ascii="Bookman Old Style" w:hAnsi="Bookman Old Style" w:cs="Tahoma"/>
          <w:sz w:val="24"/>
          <w:szCs w:val="24"/>
        </w:rPr>
        <w:t>d</w:t>
      </w:r>
      <w:r w:rsidRPr="008379CA">
        <w:rPr>
          <w:rFonts w:ascii="Bookman Old Style" w:hAnsi="Bookman Old Style" w:cs="Tahoma"/>
          <w:sz w:val="24"/>
          <w:szCs w:val="24"/>
        </w:rPr>
        <w:t>an</w:t>
      </w:r>
      <w:r w:rsidR="00A954D0" w:rsidRPr="008379CA">
        <w:rPr>
          <w:rFonts w:ascii="Bookman Old Style" w:hAnsi="Bookman Old Style" w:cs="Tahoma"/>
          <w:sz w:val="24"/>
          <w:szCs w:val="24"/>
        </w:rPr>
        <w:t xml:space="preserve"> </w:t>
      </w:r>
      <w:r w:rsidRPr="008379CA">
        <w:rPr>
          <w:rFonts w:ascii="Bookman Old Style" w:hAnsi="Bookman Old Style" w:cs="Tahoma"/>
          <w:sz w:val="24"/>
          <w:szCs w:val="24"/>
        </w:rPr>
        <w:t>Pelayanan</w:t>
      </w:r>
      <w:r w:rsidR="00A954D0" w:rsidRPr="008379CA">
        <w:rPr>
          <w:rFonts w:ascii="Bookman Old Style" w:hAnsi="Bookman Old Style" w:cs="Tahoma"/>
          <w:sz w:val="24"/>
          <w:szCs w:val="24"/>
        </w:rPr>
        <w:t xml:space="preserve"> </w:t>
      </w:r>
      <w:r w:rsidRPr="008379CA">
        <w:rPr>
          <w:rFonts w:ascii="Bookman Old Style" w:hAnsi="Bookman Old Style" w:cs="Tahoma"/>
          <w:sz w:val="24"/>
          <w:szCs w:val="24"/>
        </w:rPr>
        <w:t>Terpadu</w:t>
      </w:r>
      <w:r w:rsidR="00A954D0" w:rsidRPr="008379CA">
        <w:rPr>
          <w:rFonts w:ascii="Bookman Old Style" w:hAnsi="Bookman Old Style" w:cs="Tahoma"/>
          <w:sz w:val="24"/>
          <w:szCs w:val="24"/>
        </w:rPr>
        <w:t xml:space="preserve"> </w:t>
      </w:r>
      <w:r w:rsidRPr="008379CA">
        <w:rPr>
          <w:rFonts w:ascii="Bookman Old Style" w:hAnsi="Bookman Old Style" w:cs="Tahoma"/>
          <w:sz w:val="24"/>
          <w:szCs w:val="24"/>
        </w:rPr>
        <w:t>Satu</w:t>
      </w:r>
      <w:r w:rsidR="00A954D0" w:rsidRPr="008379CA">
        <w:rPr>
          <w:rFonts w:ascii="Bookman Old Style" w:hAnsi="Bookman Old Style" w:cs="Tahoma"/>
          <w:sz w:val="24"/>
          <w:szCs w:val="24"/>
        </w:rPr>
        <w:t xml:space="preserve"> </w:t>
      </w:r>
      <w:r w:rsidRPr="008379CA">
        <w:rPr>
          <w:rFonts w:ascii="Bookman Old Style" w:hAnsi="Bookman Old Style" w:cs="Tahoma"/>
          <w:sz w:val="24"/>
          <w:szCs w:val="24"/>
        </w:rPr>
        <w:t>Pintu</w:t>
      </w:r>
      <w:r w:rsidR="00A954D0" w:rsidRPr="008379CA">
        <w:rPr>
          <w:rFonts w:ascii="Bookman Old Style" w:hAnsi="Bookman Old Style" w:cs="Tahoma"/>
          <w:sz w:val="24"/>
          <w:szCs w:val="24"/>
          <w:lang w:val="sv-FI"/>
        </w:rPr>
        <w:t xml:space="preserve"> </w:t>
      </w:r>
      <w:r w:rsidRPr="008379CA">
        <w:rPr>
          <w:rFonts w:ascii="Bookman Old Style" w:hAnsi="Bookman Old Style" w:cs="Tahoma"/>
          <w:sz w:val="24"/>
          <w:szCs w:val="24"/>
        </w:rPr>
        <w:t>Rp1.675.060.400</w:t>
      </w:r>
      <w:r w:rsidRPr="008379CA">
        <w:rPr>
          <w:rFonts w:ascii="Bookman Old Style" w:hAnsi="Bookman Old Style" w:cs="Tahoma"/>
          <w:sz w:val="24"/>
          <w:szCs w:val="24"/>
          <w:lang w:val="sv-FI"/>
        </w:rPr>
        <w:t>,00</w:t>
      </w:r>
      <w:r w:rsidR="00A954D0" w:rsidRPr="008379CA">
        <w:rPr>
          <w:rFonts w:ascii="Bookman Old Style" w:hAnsi="Bookman Old Style" w:cs="Tahoma"/>
          <w:sz w:val="24"/>
          <w:szCs w:val="24"/>
          <w:lang w:val="sv-FI"/>
        </w:rPr>
        <w:t xml:space="preserve"> </w:t>
      </w:r>
      <w:r w:rsidRPr="008379CA">
        <w:rPr>
          <w:rFonts w:ascii="Bookman Old Style" w:hAnsi="Bookman Old Style" w:cs="Tahoma"/>
          <w:sz w:val="24"/>
          <w:szCs w:val="24"/>
        </w:rPr>
        <w:t>atau</w:t>
      </w:r>
      <w:r w:rsidR="00A954D0" w:rsidRPr="008379CA">
        <w:rPr>
          <w:rFonts w:ascii="Bookman Old Style" w:hAnsi="Bookman Old Style" w:cs="Tahoma"/>
          <w:sz w:val="24"/>
          <w:szCs w:val="24"/>
        </w:rPr>
        <w:t xml:space="preserve"> </w:t>
      </w:r>
      <w:r w:rsidRPr="008379CA">
        <w:rPr>
          <w:rFonts w:ascii="Bookman Old Style" w:hAnsi="Bookman Old Style" w:cs="Tahoma"/>
          <w:sz w:val="24"/>
          <w:szCs w:val="24"/>
        </w:rPr>
        <w:t>0,00</w:t>
      </w:r>
      <w:r w:rsidR="004B6088" w:rsidRPr="008379CA">
        <w:rPr>
          <w:rFonts w:ascii="Bookman Old Style" w:hAnsi="Bookman Old Style" w:cs="Tahoma"/>
          <w:sz w:val="24"/>
          <w:szCs w:val="24"/>
        </w:rPr>
        <w:t>8</w:t>
      </w:r>
      <w:r w:rsidRPr="008379CA">
        <w:rPr>
          <w:rFonts w:ascii="Bookman Old Style" w:hAnsi="Bookman Old Style" w:cs="Tahoma"/>
          <w:sz w:val="24"/>
          <w:szCs w:val="24"/>
        </w:rPr>
        <w:t>%</w:t>
      </w:r>
      <w:r w:rsidR="00A954D0" w:rsidRPr="008379CA">
        <w:rPr>
          <w:rFonts w:ascii="Bookman Old Style" w:hAnsi="Bookman Old Style" w:cs="Tahoma"/>
          <w:sz w:val="24"/>
          <w:szCs w:val="24"/>
          <w:lang w:val="id-ID"/>
        </w:rPr>
        <w:t xml:space="preserve"> </w:t>
      </w:r>
      <w:r w:rsidRPr="008379CA">
        <w:rPr>
          <w:rFonts w:ascii="Bookman Old Style" w:hAnsi="Bookman Old Style" w:cs="Tahoma"/>
          <w:sz w:val="24"/>
          <w:szCs w:val="24"/>
        </w:rPr>
        <w:t>dari</w:t>
      </w:r>
      <w:r w:rsidR="00A954D0" w:rsidRPr="008379CA">
        <w:rPr>
          <w:rFonts w:ascii="Bookman Old Style" w:hAnsi="Bookman Old Style" w:cs="Tahoma"/>
          <w:sz w:val="24"/>
          <w:szCs w:val="24"/>
        </w:rPr>
        <w:t xml:space="preserve"> </w:t>
      </w:r>
      <w:r w:rsidRPr="008379CA">
        <w:rPr>
          <w:rFonts w:ascii="Bookman Old Style" w:hAnsi="Bookman Old Style" w:cs="Tahoma"/>
          <w:sz w:val="24"/>
          <w:szCs w:val="24"/>
        </w:rPr>
        <w:t>total</w:t>
      </w:r>
      <w:r w:rsidR="00A954D0" w:rsidRPr="008379CA">
        <w:rPr>
          <w:rFonts w:ascii="Bookman Old Style" w:hAnsi="Bookman Old Style" w:cs="Tahoma"/>
          <w:sz w:val="24"/>
          <w:szCs w:val="24"/>
        </w:rPr>
        <w:t xml:space="preserve"> </w:t>
      </w:r>
      <w:r w:rsidRPr="008379CA">
        <w:rPr>
          <w:rFonts w:ascii="Bookman Old Style" w:hAnsi="Bookman Old Style" w:cs="Tahoma"/>
          <w:sz w:val="24"/>
          <w:szCs w:val="24"/>
        </w:rPr>
        <w:t>alokasi</w:t>
      </w:r>
      <w:r w:rsidR="00A954D0" w:rsidRPr="008379CA">
        <w:rPr>
          <w:rFonts w:ascii="Bookman Old Style" w:hAnsi="Bookman Old Style" w:cs="Tahoma"/>
          <w:sz w:val="24"/>
          <w:szCs w:val="24"/>
        </w:rPr>
        <w:t xml:space="preserve"> </w:t>
      </w:r>
      <w:r w:rsidRPr="008379CA">
        <w:rPr>
          <w:rFonts w:ascii="Bookman Old Style" w:hAnsi="Bookman Old Style" w:cs="Tahoma"/>
          <w:sz w:val="24"/>
          <w:szCs w:val="24"/>
        </w:rPr>
        <w:t>anggaran</w:t>
      </w:r>
      <w:r w:rsidR="00A954D0" w:rsidRPr="008379CA">
        <w:rPr>
          <w:rFonts w:ascii="Bookman Old Style" w:hAnsi="Bookman Old Style" w:cs="Tahoma"/>
          <w:sz w:val="24"/>
          <w:szCs w:val="24"/>
        </w:rPr>
        <w:t xml:space="preserve"> </w:t>
      </w:r>
      <w:r w:rsidRPr="008379CA">
        <w:rPr>
          <w:rFonts w:ascii="Bookman Old Style" w:hAnsi="Bookman Old Style" w:cs="Tahoma"/>
          <w:sz w:val="24"/>
          <w:szCs w:val="24"/>
        </w:rPr>
        <w:t>dalam</w:t>
      </w:r>
      <w:r w:rsidR="00A954D0" w:rsidRPr="008379CA">
        <w:rPr>
          <w:rFonts w:ascii="Bookman Old Style" w:hAnsi="Bookman Old Style" w:cs="Tahoma"/>
          <w:sz w:val="24"/>
          <w:szCs w:val="24"/>
        </w:rPr>
        <w:t xml:space="preserve"> </w:t>
      </w:r>
      <w:r w:rsidRPr="008379CA">
        <w:rPr>
          <w:rFonts w:ascii="Bookman Old Style" w:hAnsi="Bookman Old Style" w:cs="Tahoma"/>
          <w:sz w:val="24"/>
          <w:szCs w:val="24"/>
        </w:rPr>
        <w:t>rangka</w:t>
      </w:r>
      <w:r w:rsidR="00A954D0" w:rsidRPr="008379CA">
        <w:rPr>
          <w:rFonts w:ascii="Bookman Old Style" w:hAnsi="Bookman Old Style" w:cs="Tahoma"/>
          <w:sz w:val="24"/>
          <w:szCs w:val="24"/>
        </w:rPr>
        <w:t xml:space="preserve"> </w:t>
      </w:r>
      <w:r w:rsidRPr="008379CA">
        <w:rPr>
          <w:rFonts w:ascii="Bookman Old Style" w:hAnsi="Bookman Old Style" w:cs="Tahoma"/>
          <w:sz w:val="24"/>
          <w:szCs w:val="24"/>
        </w:rPr>
        <w:t>Peningkatan</w:t>
      </w:r>
      <w:r w:rsidR="00A954D0" w:rsidRPr="008379CA">
        <w:rPr>
          <w:rFonts w:ascii="Bookman Old Style" w:hAnsi="Bookman Old Style" w:cs="Tahoma"/>
          <w:sz w:val="24"/>
          <w:szCs w:val="24"/>
        </w:rPr>
        <w:t xml:space="preserve"> </w:t>
      </w:r>
      <w:r w:rsidRPr="008379CA">
        <w:rPr>
          <w:rFonts w:ascii="Bookman Old Style" w:hAnsi="Bookman Old Style" w:cs="Tahoma"/>
          <w:sz w:val="24"/>
          <w:szCs w:val="24"/>
        </w:rPr>
        <w:t>Investasi</w:t>
      </w:r>
      <w:r w:rsidR="00A954D0" w:rsidRPr="008379CA">
        <w:rPr>
          <w:rFonts w:ascii="Bookman Old Style" w:hAnsi="Bookman Old Style" w:cs="Tahoma"/>
          <w:sz w:val="24"/>
          <w:szCs w:val="24"/>
        </w:rPr>
        <w:t xml:space="preserve"> </w:t>
      </w:r>
      <w:r w:rsidRPr="008379CA">
        <w:rPr>
          <w:rFonts w:ascii="Bookman Old Style" w:hAnsi="Bookman Old Style" w:cs="Tahoma"/>
          <w:sz w:val="24"/>
          <w:szCs w:val="24"/>
        </w:rPr>
        <w:t>dan</w:t>
      </w:r>
      <w:r w:rsidR="00A954D0" w:rsidRPr="008379CA">
        <w:rPr>
          <w:rFonts w:ascii="Bookman Old Style" w:hAnsi="Bookman Old Style" w:cs="Tahoma"/>
          <w:sz w:val="24"/>
          <w:szCs w:val="24"/>
        </w:rPr>
        <w:t xml:space="preserve"> </w:t>
      </w:r>
      <w:r w:rsidRPr="008379CA">
        <w:rPr>
          <w:rFonts w:ascii="Bookman Old Style" w:hAnsi="Bookman Old Style" w:cs="Tahoma"/>
          <w:sz w:val="24"/>
          <w:szCs w:val="24"/>
        </w:rPr>
        <w:t>Kemudahan</w:t>
      </w:r>
      <w:r w:rsidR="00A954D0" w:rsidRPr="008379CA">
        <w:rPr>
          <w:rFonts w:ascii="Bookman Old Style" w:hAnsi="Bookman Old Style" w:cs="Tahoma"/>
          <w:sz w:val="24"/>
          <w:szCs w:val="24"/>
        </w:rPr>
        <w:t xml:space="preserve"> </w:t>
      </w:r>
      <w:r w:rsidRPr="008379CA">
        <w:rPr>
          <w:rFonts w:ascii="Bookman Old Style" w:hAnsi="Bookman Old Style" w:cs="Tahoma"/>
          <w:sz w:val="24"/>
          <w:szCs w:val="24"/>
        </w:rPr>
        <w:t>Berusaha</w:t>
      </w:r>
      <w:r w:rsidR="00A954D0" w:rsidRPr="008379CA">
        <w:rPr>
          <w:rFonts w:ascii="Bookman Old Style" w:hAnsi="Bookman Old Style" w:cs="Tahoma"/>
          <w:sz w:val="24"/>
          <w:szCs w:val="24"/>
          <w:lang w:val="sv-FI"/>
        </w:rPr>
        <w:t xml:space="preserve"> </w:t>
      </w:r>
      <w:r w:rsidRPr="008379CA">
        <w:rPr>
          <w:rFonts w:ascii="Bookman Old Style" w:hAnsi="Bookman Old Style" w:cs="Tahoma"/>
          <w:sz w:val="24"/>
          <w:szCs w:val="24"/>
          <w:lang w:val="sv-FI"/>
        </w:rPr>
        <w:t>terdiri</w:t>
      </w:r>
      <w:r w:rsidR="00A954D0" w:rsidRPr="008379CA">
        <w:rPr>
          <w:rFonts w:ascii="Bookman Old Style" w:hAnsi="Bookman Old Style" w:cs="Tahoma"/>
          <w:sz w:val="24"/>
          <w:szCs w:val="24"/>
          <w:lang w:val="sv-FI"/>
        </w:rPr>
        <w:t xml:space="preserve"> </w:t>
      </w:r>
      <w:r w:rsidRPr="008379CA">
        <w:rPr>
          <w:rFonts w:ascii="Bookman Old Style" w:hAnsi="Bookman Old Style" w:cs="Tahoma"/>
          <w:sz w:val="24"/>
          <w:szCs w:val="24"/>
          <w:lang w:val="sv-FI"/>
        </w:rPr>
        <w:t>dari</w:t>
      </w:r>
      <w:r w:rsidR="00A954D0" w:rsidRPr="008379CA">
        <w:rPr>
          <w:rFonts w:ascii="Bookman Old Style" w:hAnsi="Bookman Old Style" w:cs="Tahoma"/>
          <w:sz w:val="24"/>
          <w:szCs w:val="24"/>
          <w:lang w:val="sv-FI"/>
        </w:rPr>
        <w:t xml:space="preserve"> </w:t>
      </w:r>
      <w:r w:rsidRPr="008379CA">
        <w:rPr>
          <w:rFonts w:ascii="Bookman Old Style" w:hAnsi="Bookman Old Style" w:cs="Tahoma"/>
          <w:sz w:val="24"/>
          <w:szCs w:val="24"/>
          <w:lang w:val="sv-FI"/>
        </w:rPr>
        <w:t>sub</w:t>
      </w:r>
      <w:r w:rsidR="00A954D0" w:rsidRPr="008379CA">
        <w:rPr>
          <w:rFonts w:ascii="Bookman Old Style" w:hAnsi="Bookman Old Style" w:cs="Tahoma"/>
          <w:sz w:val="24"/>
          <w:szCs w:val="24"/>
          <w:lang w:val="sv-FI"/>
        </w:rPr>
        <w:t xml:space="preserve"> </w:t>
      </w:r>
      <w:r w:rsidRPr="008379CA">
        <w:rPr>
          <w:rFonts w:ascii="Bookman Old Style" w:hAnsi="Bookman Old Style" w:cs="Tahoma"/>
          <w:sz w:val="24"/>
          <w:szCs w:val="24"/>
          <w:lang w:val="sv-FI"/>
        </w:rPr>
        <w:t>kegiatan:</w:t>
      </w:r>
      <w:r w:rsidR="00A954D0" w:rsidRPr="008379CA">
        <w:rPr>
          <w:rFonts w:ascii="Bookman Old Style" w:hAnsi="Bookman Old Style" w:cs="Tahoma"/>
          <w:sz w:val="24"/>
          <w:szCs w:val="24"/>
          <w:lang w:val="sv-FI"/>
        </w:rPr>
        <w:t xml:space="preserve"> </w:t>
      </w:r>
    </w:p>
    <w:p w14:paraId="54C61DD7" w14:textId="51280EF7" w:rsidR="00994781" w:rsidRPr="008379CA" w:rsidRDefault="00994781">
      <w:pPr>
        <w:widowControl w:val="0"/>
        <w:numPr>
          <w:ilvl w:val="0"/>
          <w:numId w:val="234"/>
        </w:numPr>
        <w:autoSpaceDE w:val="0"/>
        <w:autoSpaceDN w:val="0"/>
        <w:spacing w:before="60" w:after="160" w:line="276" w:lineRule="auto"/>
        <w:ind w:left="2268" w:right="17" w:hanging="567"/>
        <w:contextualSpacing/>
        <w:jc w:val="both"/>
        <w:rPr>
          <w:rFonts w:ascii="Bookman Old Style" w:hAnsi="Bookman Old Style"/>
          <w:lang w:val="sv-FI"/>
        </w:rPr>
      </w:pPr>
      <w:r w:rsidRPr="008379CA">
        <w:rPr>
          <w:rFonts w:ascii="Bookman Old Style" w:hAnsi="Bookman Old Style"/>
          <w:lang w:val="sv-FI"/>
        </w:rPr>
        <w:t>Penetapan</w:t>
      </w:r>
      <w:r w:rsidR="00A954D0" w:rsidRPr="008379CA">
        <w:rPr>
          <w:rFonts w:ascii="Bookman Old Style" w:hAnsi="Bookman Old Style"/>
          <w:lang w:val="sv-FI"/>
        </w:rPr>
        <w:t xml:space="preserve"> </w:t>
      </w:r>
      <w:r w:rsidRPr="008379CA">
        <w:rPr>
          <w:rFonts w:ascii="Bookman Old Style" w:hAnsi="Bookman Old Style"/>
          <w:lang w:val="sv-FI"/>
        </w:rPr>
        <w:t>Kebijakan</w:t>
      </w:r>
      <w:r w:rsidR="00A954D0" w:rsidRPr="008379CA">
        <w:rPr>
          <w:rFonts w:ascii="Bookman Old Style" w:hAnsi="Bookman Old Style"/>
          <w:lang w:val="sv-FI"/>
        </w:rPr>
        <w:t xml:space="preserve"> </w:t>
      </w:r>
      <w:r w:rsidRPr="008379CA">
        <w:rPr>
          <w:rFonts w:ascii="Bookman Old Style" w:hAnsi="Bookman Old Style"/>
          <w:lang w:val="sv-FI"/>
        </w:rPr>
        <w:t>Daerah</w:t>
      </w:r>
      <w:r w:rsidR="00A954D0" w:rsidRPr="008379CA">
        <w:rPr>
          <w:rFonts w:ascii="Bookman Old Style" w:hAnsi="Bookman Old Style"/>
          <w:lang w:val="sv-FI"/>
        </w:rPr>
        <w:t xml:space="preserve"> </w:t>
      </w:r>
      <w:r w:rsidRPr="008379CA">
        <w:rPr>
          <w:rFonts w:ascii="Bookman Old Style" w:hAnsi="Bookman Old Style"/>
          <w:lang w:val="sv-FI"/>
        </w:rPr>
        <w:t>mengenai</w:t>
      </w:r>
      <w:r w:rsidR="00A954D0" w:rsidRPr="008379CA">
        <w:rPr>
          <w:rFonts w:ascii="Bookman Old Style" w:hAnsi="Bookman Old Style"/>
          <w:lang w:val="sv-FI"/>
        </w:rPr>
        <w:t xml:space="preserve"> </w:t>
      </w:r>
      <w:r w:rsidRPr="008379CA">
        <w:rPr>
          <w:rFonts w:ascii="Bookman Old Style" w:hAnsi="Bookman Old Style"/>
          <w:lang w:val="sv-FI"/>
        </w:rPr>
        <w:t>Pemberian</w:t>
      </w:r>
      <w:r w:rsidR="00A954D0" w:rsidRPr="008379CA">
        <w:rPr>
          <w:rFonts w:ascii="Bookman Old Style" w:hAnsi="Bookman Old Style"/>
          <w:lang w:val="sv-FI"/>
        </w:rPr>
        <w:t xml:space="preserve"> </w:t>
      </w:r>
      <w:r w:rsidRPr="008379CA">
        <w:rPr>
          <w:rFonts w:ascii="Bookman Old Style" w:hAnsi="Bookman Old Style"/>
          <w:lang w:val="sv-FI"/>
        </w:rPr>
        <w:t>Fasilitas/Insentif</w:t>
      </w:r>
      <w:r w:rsidR="00A954D0" w:rsidRPr="008379CA">
        <w:rPr>
          <w:rFonts w:ascii="Bookman Old Style" w:hAnsi="Bookman Old Style"/>
          <w:lang w:val="sv-FI"/>
        </w:rPr>
        <w:t xml:space="preserve"> </w:t>
      </w:r>
      <w:r w:rsidRPr="008379CA">
        <w:rPr>
          <w:rFonts w:ascii="Bookman Old Style" w:hAnsi="Bookman Old Style"/>
          <w:lang w:val="sv-FI"/>
        </w:rPr>
        <w:t>dan</w:t>
      </w:r>
      <w:r w:rsidR="00A954D0" w:rsidRPr="008379CA">
        <w:rPr>
          <w:rFonts w:ascii="Bookman Old Style" w:hAnsi="Bookman Old Style"/>
          <w:lang w:val="sv-FI"/>
        </w:rPr>
        <w:t xml:space="preserve"> </w:t>
      </w:r>
      <w:r w:rsidRPr="008379CA">
        <w:rPr>
          <w:rFonts w:ascii="Bookman Old Style" w:hAnsi="Bookman Old Style"/>
          <w:lang w:val="sv-FI"/>
        </w:rPr>
        <w:t>Kemudahan</w:t>
      </w:r>
      <w:r w:rsidR="00A954D0" w:rsidRPr="008379CA">
        <w:rPr>
          <w:rFonts w:ascii="Bookman Old Style" w:hAnsi="Bookman Old Style"/>
          <w:lang w:val="sv-FI"/>
        </w:rPr>
        <w:t xml:space="preserve"> </w:t>
      </w:r>
      <w:r w:rsidRPr="008379CA">
        <w:rPr>
          <w:rFonts w:ascii="Bookman Old Style" w:hAnsi="Bookman Old Style"/>
          <w:lang w:val="sv-FI"/>
        </w:rPr>
        <w:t>Penanaman</w:t>
      </w:r>
      <w:r w:rsidR="00A954D0" w:rsidRPr="008379CA">
        <w:rPr>
          <w:rFonts w:ascii="Bookman Old Style" w:hAnsi="Bookman Old Style"/>
          <w:lang w:val="sv-FI"/>
        </w:rPr>
        <w:t xml:space="preserve"> </w:t>
      </w:r>
      <w:r w:rsidRPr="008379CA">
        <w:rPr>
          <w:rFonts w:ascii="Bookman Old Style" w:hAnsi="Bookman Old Style"/>
          <w:lang w:val="sv-FI"/>
        </w:rPr>
        <w:t>Modal</w:t>
      </w:r>
      <w:r w:rsidR="00A954D0" w:rsidRPr="008379CA">
        <w:rPr>
          <w:rFonts w:ascii="Bookman Old Style" w:hAnsi="Bookman Old Style"/>
          <w:lang w:val="sv-FI"/>
        </w:rPr>
        <w:t xml:space="preserve"> </w:t>
      </w:r>
      <w:r w:rsidRPr="008379CA">
        <w:rPr>
          <w:rFonts w:ascii="Bookman Old Style" w:hAnsi="Bookman Old Style"/>
          <w:lang w:val="sv-FI"/>
        </w:rPr>
        <w:t>Rp53.725.600,00;</w:t>
      </w:r>
    </w:p>
    <w:p w14:paraId="4F73AF19" w14:textId="4B90E79B" w:rsidR="00994781" w:rsidRPr="008379CA" w:rsidRDefault="00994781">
      <w:pPr>
        <w:numPr>
          <w:ilvl w:val="0"/>
          <w:numId w:val="234"/>
        </w:numPr>
        <w:spacing w:before="60" w:after="160" w:line="276" w:lineRule="auto"/>
        <w:ind w:left="2268" w:hanging="567"/>
        <w:contextualSpacing/>
        <w:jc w:val="both"/>
        <w:rPr>
          <w:rFonts w:ascii="Bookman Old Style" w:hAnsi="Bookman Old Style"/>
          <w:lang w:val="sv-FI"/>
        </w:rPr>
      </w:pPr>
      <w:r w:rsidRPr="008379CA">
        <w:rPr>
          <w:rFonts w:ascii="Bookman Old Style" w:hAnsi="Bookman Old Style"/>
          <w:lang w:val="sv-FI"/>
        </w:rPr>
        <w:t>Penyusunan</w:t>
      </w:r>
      <w:r w:rsidR="00A954D0" w:rsidRPr="008379CA">
        <w:rPr>
          <w:rFonts w:ascii="Bookman Old Style" w:hAnsi="Bookman Old Style"/>
          <w:lang w:val="sv-FI"/>
        </w:rPr>
        <w:t xml:space="preserve"> </w:t>
      </w:r>
      <w:r w:rsidRPr="008379CA">
        <w:rPr>
          <w:rFonts w:ascii="Bookman Old Style" w:hAnsi="Bookman Old Style"/>
          <w:lang w:val="sv-FI"/>
        </w:rPr>
        <w:t>Peta</w:t>
      </w:r>
      <w:r w:rsidR="00A954D0" w:rsidRPr="008379CA">
        <w:rPr>
          <w:rFonts w:ascii="Bookman Old Style" w:hAnsi="Bookman Old Style"/>
          <w:lang w:val="sv-FI"/>
        </w:rPr>
        <w:t xml:space="preserve"> </w:t>
      </w:r>
      <w:r w:rsidRPr="008379CA">
        <w:rPr>
          <w:rFonts w:ascii="Bookman Old Style" w:hAnsi="Bookman Old Style"/>
          <w:lang w:val="sv-FI"/>
        </w:rPr>
        <w:t>Potensi</w:t>
      </w:r>
      <w:r w:rsidR="00A954D0" w:rsidRPr="008379CA">
        <w:rPr>
          <w:rFonts w:ascii="Bookman Old Style" w:hAnsi="Bookman Old Style"/>
          <w:lang w:val="sv-FI"/>
        </w:rPr>
        <w:t xml:space="preserve"> </w:t>
      </w:r>
      <w:r w:rsidRPr="008379CA">
        <w:rPr>
          <w:rFonts w:ascii="Bookman Old Style" w:hAnsi="Bookman Old Style"/>
          <w:lang w:val="sv-FI"/>
        </w:rPr>
        <w:t>Investasi</w:t>
      </w:r>
      <w:r w:rsidR="00A954D0" w:rsidRPr="008379CA">
        <w:rPr>
          <w:rFonts w:ascii="Bookman Old Style" w:hAnsi="Bookman Old Style"/>
          <w:lang w:val="sv-FI"/>
        </w:rPr>
        <w:t xml:space="preserve"> </w:t>
      </w:r>
      <w:r w:rsidR="00172E1C" w:rsidRPr="008379CA">
        <w:rPr>
          <w:rFonts w:ascii="Bookman Old Style" w:hAnsi="Bookman Old Style"/>
          <w:lang w:val="sv-FI"/>
        </w:rPr>
        <w:t>Kabupaten/Kota</w:t>
      </w:r>
      <w:r w:rsidR="00A954D0" w:rsidRPr="008379CA">
        <w:rPr>
          <w:rFonts w:ascii="Bookman Old Style" w:hAnsi="Bookman Old Style"/>
          <w:lang w:val="sv-FI"/>
        </w:rPr>
        <w:t xml:space="preserve"> </w:t>
      </w:r>
      <w:r w:rsidRPr="008379CA">
        <w:rPr>
          <w:rFonts w:ascii="Bookman Old Style" w:hAnsi="Bookman Old Style"/>
          <w:lang w:val="sv-FI"/>
        </w:rPr>
        <w:t>Rp95.121.000,00;</w:t>
      </w:r>
    </w:p>
    <w:p w14:paraId="241144CD" w14:textId="09F99880" w:rsidR="00994781" w:rsidRPr="008379CA" w:rsidRDefault="00994781">
      <w:pPr>
        <w:numPr>
          <w:ilvl w:val="0"/>
          <w:numId w:val="234"/>
        </w:numPr>
        <w:spacing w:before="60" w:after="160" w:line="276" w:lineRule="auto"/>
        <w:ind w:left="2268" w:hanging="567"/>
        <w:contextualSpacing/>
        <w:jc w:val="both"/>
        <w:rPr>
          <w:rFonts w:ascii="Bookman Old Style" w:hAnsi="Bookman Old Style"/>
          <w:lang w:val="sv-FI"/>
        </w:rPr>
      </w:pPr>
      <w:r w:rsidRPr="008379CA">
        <w:rPr>
          <w:rFonts w:ascii="Bookman Old Style" w:hAnsi="Bookman Old Style"/>
          <w:lang w:val="sv-FI"/>
        </w:rPr>
        <w:t>Pelaksanaan</w:t>
      </w:r>
      <w:r w:rsidR="00A954D0" w:rsidRPr="008379CA">
        <w:rPr>
          <w:rFonts w:ascii="Bookman Old Style" w:hAnsi="Bookman Old Style"/>
          <w:lang w:val="sv-FI"/>
        </w:rPr>
        <w:t xml:space="preserve"> </w:t>
      </w:r>
      <w:r w:rsidRPr="008379CA">
        <w:rPr>
          <w:rFonts w:ascii="Bookman Old Style" w:hAnsi="Bookman Old Style"/>
          <w:lang w:val="sv-FI"/>
        </w:rPr>
        <w:t>Kegiatan</w:t>
      </w:r>
      <w:r w:rsidR="00A954D0" w:rsidRPr="008379CA">
        <w:rPr>
          <w:rFonts w:ascii="Bookman Old Style" w:hAnsi="Bookman Old Style"/>
          <w:lang w:val="sv-FI"/>
        </w:rPr>
        <w:t xml:space="preserve"> </w:t>
      </w:r>
      <w:r w:rsidRPr="008379CA">
        <w:rPr>
          <w:rFonts w:ascii="Bookman Old Style" w:hAnsi="Bookman Old Style"/>
          <w:lang w:val="sv-FI"/>
        </w:rPr>
        <w:t>Promosi</w:t>
      </w:r>
      <w:r w:rsidR="00A954D0" w:rsidRPr="008379CA">
        <w:rPr>
          <w:rFonts w:ascii="Bookman Old Style" w:hAnsi="Bookman Old Style"/>
          <w:lang w:val="sv-FI"/>
        </w:rPr>
        <w:t xml:space="preserve"> </w:t>
      </w:r>
      <w:r w:rsidRPr="008379CA">
        <w:rPr>
          <w:rFonts w:ascii="Bookman Old Style" w:hAnsi="Bookman Old Style"/>
          <w:lang w:val="sv-FI"/>
        </w:rPr>
        <w:t>Penanaman</w:t>
      </w:r>
      <w:r w:rsidR="00A954D0" w:rsidRPr="008379CA">
        <w:rPr>
          <w:rFonts w:ascii="Bookman Old Style" w:hAnsi="Bookman Old Style"/>
          <w:lang w:val="sv-FI"/>
        </w:rPr>
        <w:t xml:space="preserve"> </w:t>
      </w:r>
      <w:r w:rsidRPr="008379CA">
        <w:rPr>
          <w:rFonts w:ascii="Bookman Old Style" w:hAnsi="Bookman Old Style"/>
          <w:lang w:val="sv-FI"/>
        </w:rPr>
        <w:t>Modal</w:t>
      </w:r>
      <w:r w:rsidR="00A954D0" w:rsidRPr="008379CA">
        <w:rPr>
          <w:rFonts w:ascii="Bookman Old Style" w:hAnsi="Bookman Old Style"/>
          <w:lang w:val="sv-FI"/>
        </w:rPr>
        <w:t xml:space="preserve"> </w:t>
      </w:r>
      <w:r w:rsidRPr="008379CA">
        <w:rPr>
          <w:rFonts w:ascii="Bookman Old Style" w:hAnsi="Bookman Old Style"/>
          <w:lang w:val="sv-FI"/>
        </w:rPr>
        <w:t>Daerah</w:t>
      </w:r>
      <w:r w:rsidR="00A954D0" w:rsidRPr="008379CA">
        <w:rPr>
          <w:rFonts w:ascii="Bookman Old Style" w:hAnsi="Bookman Old Style"/>
          <w:lang w:val="sv-FI"/>
        </w:rPr>
        <w:t xml:space="preserve"> </w:t>
      </w:r>
      <w:r w:rsidR="00172E1C" w:rsidRPr="008379CA">
        <w:rPr>
          <w:rFonts w:ascii="Bookman Old Style" w:hAnsi="Bookman Old Style"/>
          <w:lang w:val="sv-FI"/>
        </w:rPr>
        <w:t>Kabupaten/Kota</w:t>
      </w:r>
      <w:r w:rsidR="00A954D0" w:rsidRPr="008379CA">
        <w:rPr>
          <w:rFonts w:ascii="Bookman Old Style" w:hAnsi="Bookman Old Style"/>
          <w:lang w:val="sv-FI"/>
        </w:rPr>
        <w:t xml:space="preserve"> </w:t>
      </w:r>
      <w:r w:rsidRPr="008379CA">
        <w:rPr>
          <w:rFonts w:ascii="Bookman Old Style" w:hAnsi="Bookman Old Style"/>
          <w:lang w:val="sv-FI"/>
        </w:rPr>
        <w:t>Rp517.009.600,00;</w:t>
      </w:r>
    </w:p>
    <w:p w14:paraId="45892378" w14:textId="77D3840C" w:rsidR="00994781" w:rsidRPr="008379CA" w:rsidRDefault="00994781">
      <w:pPr>
        <w:numPr>
          <w:ilvl w:val="0"/>
          <w:numId w:val="234"/>
        </w:numPr>
        <w:spacing w:before="60" w:after="160" w:line="276" w:lineRule="auto"/>
        <w:ind w:left="2268" w:hanging="567"/>
        <w:contextualSpacing/>
        <w:jc w:val="both"/>
        <w:rPr>
          <w:rFonts w:ascii="Bookman Old Style" w:hAnsi="Bookman Old Style"/>
          <w:lang w:val="sv-FI"/>
        </w:rPr>
      </w:pPr>
      <w:r w:rsidRPr="008379CA">
        <w:rPr>
          <w:rFonts w:ascii="Bookman Old Style" w:hAnsi="Bookman Old Style"/>
          <w:lang w:val="sv-FI"/>
        </w:rPr>
        <w:t>Penyusunan</w:t>
      </w:r>
      <w:r w:rsidR="00A954D0" w:rsidRPr="008379CA">
        <w:rPr>
          <w:rFonts w:ascii="Bookman Old Style" w:hAnsi="Bookman Old Style"/>
          <w:lang w:val="sv-FI"/>
        </w:rPr>
        <w:t xml:space="preserve"> </w:t>
      </w:r>
      <w:r w:rsidRPr="008379CA">
        <w:rPr>
          <w:rFonts w:ascii="Bookman Old Style" w:hAnsi="Bookman Old Style"/>
          <w:lang w:val="sv-FI"/>
        </w:rPr>
        <w:t>Strategi</w:t>
      </w:r>
      <w:r w:rsidR="00A954D0" w:rsidRPr="008379CA">
        <w:rPr>
          <w:rFonts w:ascii="Bookman Old Style" w:hAnsi="Bookman Old Style"/>
          <w:lang w:val="sv-FI"/>
        </w:rPr>
        <w:t xml:space="preserve"> </w:t>
      </w:r>
      <w:r w:rsidRPr="008379CA">
        <w:rPr>
          <w:rFonts w:ascii="Bookman Old Style" w:hAnsi="Bookman Old Style"/>
          <w:lang w:val="sv-FI"/>
        </w:rPr>
        <w:t>Promosi</w:t>
      </w:r>
      <w:r w:rsidR="00A954D0" w:rsidRPr="008379CA">
        <w:rPr>
          <w:rFonts w:ascii="Bookman Old Style" w:hAnsi="Bookman Old Style"/>
          <w:lang w:val="sv-FI"/>
        </w:rPr>
        <w:t xml:space="preserve"> </w:t>
      </w:r>
      <w:r w:rsidRPr="008379CA">
        <w:rPr>
          <w:rFonts w:ascii="Bookman Old Style" w:hAnsi="Bookman Old Style"/>
          <w:lang w:val="sv-FI"/>
        </w:rPr>
        <w:t>Penanaman</w:t>
      </w:r>
      <w:r w:rsidR="00A954D0" w:rsidRPr="008379CA">
        <w:rPr>
          <w:rFonts w:ascii="Bookman Old Style" w:hAnsi="Bookman Old Style"/>
          <w:lang w:val="sv-FI"/>
        </w:rPr>
        <w:t xml:space="preserve"> </w:t>
      </w:r>
      <w:r w:rsidRPr="008379CA">
        <w:rPr>
          <w:rFonts w:ascii="Bookman Old Style" w:hAnsi="Bookman Old Style"/>
          <w:lang w:val="sv-FI"/>
        </w:rPr>
        <w:t>Modal</w:t>
      </w:r>
      <w:r w:rsidR="00A954D0" w:rsidRPr="008379CA">
        <w:rPr>
          <w:rFonts w:ascii="Bookman Old Style" w:hAnsi="Bookman Old Style"/>
          <w:lang w:val="sv-FI"/>
        </w:rPr>
        <w:t xml:space="preserve"> </w:t>
      </w:r>
      <w:r w:rsidRPr="008379CA">
        <w:rPr>
          <w:rFonts w:ascii="Bookman Old Style" w:hAnsi="Bookman Old Style"/>
          <w:lang w:val="sv-FI"/>
        </w:rPr>
        <w:t>Rp356.818.100,00;</w:t>
      </w:r>
    </w:p>
    <w:p w14:paraId="392298DF" w14:textId="75FCDDD6" w:rsidR="00994781" w:rsidRPr="008379CA" w:rsidRDefault="00994781">
      <w:pPr>
        <w:numPr>
          <w:ilvl w:val="0"/>
          <w:numId w:val="234"/>
        </w:numPr>
        <w:spacing w:before="60" w:after="160" w:line="276" w:lineRule="auto"/>
        <w:ind w:left="2268" w:hanging="567"/>
        <w:contextualSpacing/>
        <w:jc w:val="both"/>
        <w:rPr>
          <w:rFonts w:ascii="Bookman Old Style" w:hAnsi="Bookman Old Style"/>
          <w:lang w:val="sv-FI"/>
        </w:rPr>
      </w:pPr>
      <w:r w:rsidRPr="008379CA">
        <w:rPr>
          <w:rFonts w:ascii="Bookman Old Style" w:hAnsi="Bookman Old Style"/>
          <w:lang w:val="sv-FI"/>
        </w:rPr>
        <w:t>Penyediaan</w:t>
      </w:r>
      <w:r w:rsidR="00A954D0" w:rsidRPr="008379CA">
        <w:rPr>
          <w:rFonts w:ascii="Bookman Old Style" w:hAnsi="Bookman Old Style"/>
          <w:lang w:val="sv-FI"/>
        </w:rPr>
        <w:t xml:space="preserve"> </w:t>
      </w:r>
      <w:r w:rsidRPr="008379CA">
        <w:rPr>
          <w:rFonts w:ascii="Bookman Old Style" w:hAnsi="Bookman Old Style"/>
          <w:lang w:val="sv-FI"/>
        </w:rPr>
        <w:t>Pelayanan</w:t>
      </w:r>
      <w:r w:rsidR="00A954D0" w:rsidRPr="008379CA">
        <w:rPr>
          <w:rFonts w:ascii="Bookman Old Style" w:hAnsi="Bookman Old Style"/>
          <w:lang w:val="sv-FI"/>
        </w:rPr>
        <w:t xml:space="preserve"> </w:t>
      </w:r>
      <w:r w:rsidRPr="008379CA">
        <w:rPr>
          <w:rFonts w:ascii="Bookman Old Style" w:hAnsi="Bookman Old Style"/>
          <w:lang w:val="sv-FI"/>
        </w:rPr>
        <w:t>Perizinan</w:t>
      </w:r>
      <w:r w:rsidR="00A954D0" w:rsidRPr="008379CA">
        <w:rPr>
          <w:rFonts w:ascii="Bookman Old Style" w:hAnsi="Bookman Old Style"/>
          <w:lang w:val="sv-FI"/>
        </w:rPr>
        <w:t xml:space="preserve"> </w:t>
      </w:r>
      <w:r w:rsidRPr="008379CA">
        <w:rPr>
          <w:rFonts w:ascii="Bookman Old Style" w:hAnsi="Bookman Old Style"/>
          <w:lang w:val="sv-FI"/>
        </w:rPr>
        <w:t>Berusaha</w:t>
      </w:r>
      <w:r w:rsidR="00A954D0" w:rsidRPr="008379CA">
        <w:rPr>
          <w:rFonts w:ascii="Bookman Old Style" w:hAnsi="Bookman Old Style"/>
          <w:lang w:val="sv-FI"/>
        </w:rPr>
        <w:t xml:space="preserve"> </w:t>
      </w:r>
      <w:r w:rsidRPr="008379CA">
        <w:rPr>
          <w:rFonts w:ascii="Bookman Old Style" w:hAnsi="Bookman Old Style"/>
          <w:lang w:val="sv-FI"/>
        </w:rPr>
        <w:t>melalui</w:t>
      </w:r>
      <w:r w:rsidR="00A954D0" w:rsidRPr="008379CA">
        <w:rPr>
          <w:rFonts w:ascii="Bookman Old Style" w:hAnsi="Bookman Old Style"/>
          <w:lang w:val="sv-FI"/>
        </w:rPr>
        <w:t xml:space="preserve"> </w:t>
      </w:r>
      <w:r w:rsidRPr="008379CA">
        <w:rPr>
          <w:rFonts w:ascii="Bookman Old Style" w:hAnsi="Bookman Old Style"/>
          <w:lang w:val="sv-FI"/>
        </w:rPr>
        <w:t>Sistem</w:t>
      </w:r>
      <w:r w:rsidR="00A954D0" w:rsidRPr="008379CA">
        <w:rPr>
          <w:rFonts w:ascii="Bookman Old Style" w:hAnsi="Bookman Old Style"/>
          <w:lang w:val="sv-FI"/>
        </w:rPr>
        <w:t xml:space="preserve"> </w:t>
      </w:r>
      <w:r w:rsidRPr="008379CA">
        <w:rPr>
          <w:rFonts w:ascii="Bookman Old Style" w:hAnsi="Bookman Old Style"/>
          <w:lang w:val="sv-FI"/>
        </w:rPr>
        <w:t>Perizinan</w:t>
      </w:r>
      <w:r w:rsidR="00A954D0" w:rsidRPr="008379CA">
        <w:rPr>
          <w:rFonts w:ascii="Bookman Old Style" w:hAnsi="Bookman Old Style"/>
          <w:lang w:val="sv-FI"/>
        </w:rPr>
        <w:t xml:space="preserve"> </w:t>
      </w:r>
      <w:r w:rsidRPr="008379CA">
        <w:rPr>
          <w:rFonts w:ascii="Bookman Old Style" w:hAnsi="Bookman Old Style"/>
          <w:lang w:val="sv-FI"/>
        </w:rPr>
        <w:t>Berusaha</w:t>
      </w:r>
      <w:r w:rsidR="00A954D0" w:rsidRPr="008379CA">
        <w:rPr>
          <w:rFonts w:ascii="Bookman Old Style" w:hAnsi="Bookman Old Style"/>
          <w:lang w:val="sv-FI"/>
        </w:rPr>
        <w:t xml:space="preserve"> </w:t>
      </w:r>
      <w:r w:rsidRPr="008379CA">
        <w:rPr>
          <w:rFonts w:ascii="Bookman Old Style" w:hAnsi="Bookman Old Style"/>
          <w:lang w:val="sv-FI"/>
        </w:rPr>
        <w:t>Berbasis</w:t>
      </w:r>
      <w:r w:rsidR="00A954D0" w:rsidRPr="008379CA">
        <w:rPr>
          <w:rFonts w:ascii="Bookman Old Style" w:hAnsi="Bookman Old Style"/>
          <w:lang w:val="sv-FI"/>
        </w:rPr>
        <w:t xml:space="preserve"> </w:t>
      </w:r>
      <w:r w:rsidRPr="008379CA">
        <w:rPr>
          <w:rFonts w:ascii="Bookman Old Style" w:hAnsi="Bookman Old Style"/>
          <w:lang w:val="sv-FI"/>
        </w:rPr>
        <w:t>Risiko</w:t>
      </w:r>
      <w:r w:rsidR="00A954D0" w:rsidRPr="008379CA">
        <w:rPr>
          <w:rFonts w:ascii="Bookman Old Style" w:hAnsi="Bookman Old Style"/>
          <w:lang w:val="sv-FI"/>
        </w:rPr>
        <w:t xml:space="preserve"> </w:t>
      </w:r>
      <w:r w:rsidRPr="008379CA">
        <w:rPr>
          <w:rFonts w:ascii="Bookman Old Style" w:hAnsi="Bookman Old Style"/>
          <w:lang w:val="sv-FI"/>
        </w:rPr>
        <w:t>Terintegrasi</w:t>
      </w:r>
      <w:r w:rsidR="00A954D0" w:rsidRPr="008379CA">
        <w:rPr>
          <w:rFonts w:ascii="Bookman Old Style" w:hAnsi="Bookman Old Style"/>
          <w:lang w:val="sv-FI"/>
        </w:rPr>
        <w:t xml:space="preserve"> </w:t>
      </w:r>
      <w:r w:rsidRPr="008379CA">
        <w:rPr>
          <w:rFonts w:ascii="Bookman Old Style" w:hAnsi="Bookman Old Style"/>
          <w:lang w:val="sv-FI"/>
        </w:rPr>
        <w:t>secara</w:t>
      </w:r>
      <w:r w:rsidR="00A954D0" w:rsidRPr="008379CA">
        <w:rPr>
          <w:rFonts w:ascii="Bookman Old Style" w:hAnsi="Bookman Old Style"/>
          <w:lang w:val="sv-FI"/>
        </w:rPr>
        <w:t xml:space="preserve"> </w:t>
      </w:r>
      <w:r w:rsidRPr="008379CA">
        <w:rPr>
          <w:rFonts w:ascii="Bookman Old Style" w:hAnsi="Bookman Old Style"/>
          <w:lang w:val="sv-FI"/>
        </w:rPr>
        <w:t>Elektronik</w:t>
      </w:r>
      <w:r w:rsidR="00A954D0" w:rsidRPr="008379CA">
        <w:rPr>
          <w:rFonts w:ascii="Bookman Old Style" w:hAnsi="Bookman Old Style"/>
          <w:lang w:val="sv-FI"/>
        </w:rPr>
        <w:t xml:space="preserve"> </w:t>
      </w:r>
      <w:r w:rsidRPr="008379CA">
        <w:rPr>
          <w:rFonts w:ascii="Bookman Old Style" w:hAnsi="Bookman Old Style"/>
          <w:lang w:val="sv-FI"/>
        </w:rPr>
        <w:t>Rp144.272.000,00;</w:t>
      </w:r>
    </w:p>
    <w:p w14:paraId="7F4F7A86" w14:textId="7E65738C" w:rsidR="00994781" w:rsidRPr="008379CA" w:rsidRDefault="00994781">
      <w:pPr>
        <w:numPr>
          <w:ilvl w:val="0"/>
          <w:numId w:val="234"/>
        </w:numPr>
        <w:spacing w:before="60" w:after="160" w:line="276" w:lineRule="auto"/>
        <w:ind w:left="2268" w:hanging="567"/>
        <w:contextualSpacing/>
        <w:jc w:val="both"/>
        <w:rPr>
          <w:rFonts w:ascii="Bookman Old Style" w:hAnsi="Bookman Old Style"/>
          <w:lang w:val="sv-FI"/>
        </w:rPr>
      </w:pPr>
      <w:r w:rsidRPr="008379CA">
        <w:rPr>
          <w:rFonts w:ascii="Bookman Old Style" w:hAnsi="Bookman Old Style"/>
          <w:lang w:val="sv-FI"/>
        </w:rPr>
        <w:t>Penyediaan</w:t>
      </w:r>
      <w:r w:rsidR="00A954D0" w:rsidRPr="008379CA">
        <w:rPr>
          <w:rFonts w:ascii="Bookman Old Style" w:hAnsi="Bookman Old Style"/>
          <w:lang w:val="sv-FI"/>
        </w:rPr>
        <w:t xml:space="preserve"> </w:t>
      </w:r>
      <w:r w:rsidRPr="008379CA">
        <w:rPr>
          <w:rFonts w:ascii="Bookman Old Style" w:hAnsi="Bookman Old Style"/>
          <w:lang w:val="sv-FI"/>
        </w:rPr>
        <w:t>dan</w:t>
      </w:r>
      <w:r w:rsidR="00A954D0" w:rsidRPr="008379CA">
        <w:rPr>
          <w:rFonts w:ascii="Bookman Old Style" w:hAnsi="Bookman Old Style"/>
          <w:lang w:val="sv-FI"/>
        </w:rPr>
        <w:t xml:space="preserve"> </w:t>
      </w:r>
      <w:r w:rsidRPr="008379CA">
        <w:rPr>
          <w:rFonts w:ascii="Bookman Old Style" w:hAnsi="Bookman Old Style"/>
          <w:lang w:val="sv-FI"/>
        </w:rPr>
        <w:t>pengelolaan</w:t>
      </w:r>
      <w:r w:rsidR="00A954D0" w:rsidRPr="008379CA">
        <w:rPr>
          <w:rFonts w:ascii="Bookman Old Style" w:hAnsi="Bookman Old Style"/>
          <w:lang w:val="sv-FI"/>
        </w:rPr>
        <w:t xml:space="preserve"> </w:t>
      </w:r>
      <w:r w:rsidRPr="008379CA">
        <w:rPr>
          <w:rFonts w:ascii="Bookman Old Style" w:hAnsi="Bookman Old Style"/>
          <w:lang w:val="sv-FI"/>
        </w:rPr>
        <w:t>Layanan</w:t>
      </w:r>
      <w:r w:rsidR="00A954D0" w:rsidRPr="008379CA">
        <w:rPr>
          <w:rFonts w:ascii="Bookman Old Style" w:hAnsi="Bookman Old Style"/>
          <w:lang w:val="sv-FI"/>
        </w:rPr>
        <w:t xml:space="preserve"> </w:t>
      </w:r>
      <w:r w:rsidRPr="008379CA">
        <w:rPr>
          <w:rFonts w:ascii="Bookman Old Style" w:hAnsi="Bookman Old Style"/>
          <w:lang w:val="sv-FI"/>
        </w:rPr>
        <w:t>konsultasi</w:t>
      </w:r>
      <w:r w:rsidR="00A954D0" w:rsidRPr="008379CA">
        <w:rPr>
          <w:rFonts w:ascii="Bookman Old Style" w:hAnsi="Bookman Old Style"/>
          <w:lang w:val="sv-FI"/>
        </w:rPr>
        <w:t xml:space="preserve"> </w:t>
      </w:r>
      <w:r w:rsidRPr="008379CA">
        <w:rPr>
          <w:rFonts w:ascii="Bookman Old Style" w:hAnsi="Bookman Old Style"/>
          <w:lang w:val="sv-FI"/>
        </w:rPr>
        <w:t>perizinan</w:t>
      </w:r>
      <w:r w:rsidR="00A954D0" w:rsidRPr="008379CA">
        <w:rPr>
          <w:rFonts w:ascii="Bookman Old Style" w:hAnsi="Bookman Old Style"/>
          <w:lang w:val="sv-FI"/>
        </w:rPr>
        <w:t xml:space="preserve"> </w:t>
      </w:r>
      <w:r w:rsidRPr="008379CA">
        <w:rPr>
          <w:rFonts w:ascii="Bookman Old Style" w:hAnsi="Bookman Old Style"/>
          <w:lang w:val="sv-FI"/>
        </w:rPr>
        <w:t>berusaha</w:t>
      </w:r>
      <w:r w:rsidR="00A954D0" w:rsidRPr="008379CA">
        <w:rPr>
          <w:rFonts w:ascii="Bookman Old Style" w:hAnsi="Bookman Old Style"/>
          <w:lang w:val="sv-FI"/>
        </w:rPr>
        <w:t xml:space="preserve"> </w:t>
      </w:r>
      <w:r w:rsidRPr="008379CA">
        <w:rPr>
          <w:rFonts w:ascii="Bookman Old Style" w:hAnsi="Bookman Old Style"/>
          <w:lang w:val="sv-FI"/>
        </w:rPr>
        <w:t>berbasis</w:t>
      </w:r>
      <w:r w:rsidR="00A954D0" w:rsidRPr="008379CA">
        <w:rPr>
          <w:rFonts w:ascii="Bookman Old Style" w:hAnsi="Bookman Old Style"/>
          <w:lang w:val="sv-FI"/>
        </w:rPr>
        <w:t xml:space="preserve"> </w:t>
      </w:r>
      <w:r w:rsidRPr="008379CA">
        <w:rPr>
          <w:rFonts w:ascii="Bookman Old Style" w:hAnsi="Bookman Old Style"/>
          <w:lang w:val="sv-FI"/>
        </w:rPr>
        <w:t>risiko</w:t>
      </w:r>
      <w:r w:rsidR="00A954D0" w:rsidRPr="008379CA">
        <w:rPr>
          <w:rFonts w:ascii="Bookman Old Style" w:hAnsi="Bookman Old Style"/>
          <w:lang w:val="sv-FI"/>
        </w:rPr>
        <w:t xml:space="preserve"> </w:t>
      </w:r>
      <w:r w:rsidRPr="008379CA">
        <w:rPr>
          <w:rFonts w:ascii="Bookman Old Style" w:hAnsi="Bookman Old Style"/>
          <w:lang w:val="sv-FI"/>
        </w:rPr>
        <w:t>Rp189.349.900,00;</w:t>
      </w:r>
    </w:p>
    <w:p w14:paraId="271C6CE1" w14:textId="1185EF14" w:rsidR="00994781" w:rsidRPr="008379CA" w:rsidRDefault="00994781">
      <w:pPr>
        <w:numPr>
          <w:ilvl w:val="0"/>
          <w:numId w:val="234"/>
        </w:numPr>
        <w:spacing w:before="60" w:after="160" w:line="276" w:lineRule="auto"/>
        <w:ind w:left="2268" w:hanging="567"/>
        <w:contextualSpacing/>
        <w:jc w:val="both"/>
        <w:rPr>
          <w:rFonts w:ascii="Bookman Old Style" w:hAnsi="Bookman Old Style"/>
          <w:lang w:val="sv-FI"/>
        </w:rPr>
      </w:pPr>
      <w:r w:rsidRPr="008379CA">
        <w:rPr>
          <w:rFonts w:ascii="Bookman Old Style" w:hAnsi="Bookman Old Style"/>
          <w:lang w:val="sv-FI"/>
        </w:rPr>
        <w:lastRenderedPageBreak/>
        <w:t>Penyelesaian</w:t>
      </w:r>
      <w:r w:rsidR="00A954D0" w:rsidRPr="008379CA">
        <w:rPr>
          <w:rFonts w:ascii="Bookman Old Style" w:hAnsi="Bookman Old Style"/>
          <w:lang w:val="sv-FI"/>
        </w:rPr>
        <w:t xml:space="preserve"> </w:t>
      </w:r>
      <w:r w:rsidRPr="008379CA">
        <w:rPr>
          <w:rFonts w:ascii="Bookman Old Style" w:hAnsi="Bookman Old Style"/>
          <w:lang w:val="sv-FI"/>
        </w:rPr>
        <w:t>Permasalahan</w:t>
      </w:r>
      <w:r w:rsidR="00A954D0" w:rsidRPr="008379CA">
        <w:rPr>
          <w:rFonts w:ascii="Bookman Old Style" w:hAnsi="Bookman Old Style"/>
          <w:lang w:val="sv-FI"/>
        </w:rPr>
        <w:t xml:space="preserve"> </w:t>
      </w:r>
      <w:r w:rsidRPr="008379CA">
        <w:rPr>
          <w:rFonts w:ascii="Bookman Old Style" w:hAnsi="Bookman Old Style"/>
          <w:lang w:val="sv-FI"/>
        </w:rPr>
        <w:t>dan</w:t>
      </w:r>
      <w:r w:rsidR="00A954D0" w:rsidRPr="008379CA">
        <w:rPr>
          <w:rFonts w:ascii="Bookman Old Style" w:hAnsi="Bookman Old Style"/>
          <w:lang w:val="sv-FI"/>
        </w:rPr>
        <w:t xml:space="preserve"> </w:t>
      </w:r>
      <w:r w:rsidRPr="008379CA">
        <w:rPr>
          <w:rFonts w:ascii="Bookman Old Style" w:hAnsi="Bookman Old Style"/>
          <w:lang w:val="sv-FI"/>
        </w:rPr>
        <w:t>Hambatan</w:t>
      </w:r>
      <w:r w:rsidR="00A954D0" w:rsidRPr="008379CA">
        <w:rPr>
          <w:rFonts w:ascii="Bookman Old Style" w:hAnsi="Bookman Old Style"/>
          <w:lang w:val="sv-FI"/>
        </w:rPr>
        <w:t xml:space="preserve"> </w:t>
      </w:r>
      <w:r w:rsidRPr="008379CA">
        <w:rPr>
          <w:rFonts w:ascii="Bookman Old Style" w:hAnsi="Bookman Old Style"/>
          <w:lang w:val="sv-FI"/>
        </w:rPr>
        <w:t>yang</w:t>
      </w:r>
      <w:r w:rsidR="00A954D0" w:rsidRPr="008379CA">
        <w:rPr>
          <w:rFonts w:ascii="Bookman Old Style" w:hAnsi="Bookman Old Style"/>
          <w:lang w:val="sv-FI"/>
        </w:rPr>
        <w:t xml:space="preserve"> </w:t>
      </w:r>
      <w:r w:rsidRPr="008379CA">
        <w:rPr>
          <w:rFonts w:ascii="Bookman Old Style" w:hAnsi="Bookman Old Style"/>
          <w:lang w:val="sv-FI"/>
        </w:rPr>
        <w:t>dihadapi</w:t>
      </w:r>
      <w:r w:rsidR="00A954D0" w:rsidRPr="008379CA">
        <w:rPr>
          <w:rFonts w:ascii="Bookman Old Style" w:hAnsi="Bookman Old Style"/>
          <w:lang w:val="sv-FI"/>
        </w:rPr>
        <w:t xml:space="preserve"> </w:t>
      </w:r>
      <w:r w:rsidRPr="008379CA">
        <w:rPr>
          <w:rFonts w:ascii="Bookman Old Style" w:hAnsi="Bookman Old Style"/>
          <w:lang w:val="sv-FI"/>
        </w:rPr>
        <w:t>Pelaku</w:t>
      </w:r>
      <w:r w:rsidR="00A954D0" w:rsidRPr="008379CA">
        <w:rPr>
          <w:rFonts w:ascii="Bookman Old Style" w:hAnsi="Bookman Old Style"/>
          <w:lang w:val="sv-FI"/>
        </w:rPr>
        <w:t xml:space="preserve"> </w:t>
      </w:r>
      <w:r w:rsidRPr="008379CA">
        <w:rPr>
          <w:rFonts w:ascii="Bookman Old Style" w:hAnsi="Bookman Old Style"/>
          <w:lang w:val="sv-FI"/>
        </w:rPr>
        <w:t>Usaha</w:t>
      </w:r>
      <w:r w:rsidR="00A954D0" w:rsidRPr="008379CA">
        <w:rPr>
          <w:rFonts w:ascii="Bookman Old Style" w:hAnsi="Bookman Old Style"/>
          <w:lang w:val="sv-FI"/>
        </w:rPr>
        <w:t xml:space="preserve"> </w:t>
      </w:r>
      <w:r w:rsidRPr="008379CA">
        <w:rPr>
          <w:rFonts w:ascii="Bookman Old Style" w:hAnsi="Bookman Old Style"/>
          <w:lang w:val="sv-FI"/>
        </w:rPr>
        <w:t>dalam</w:t>
      </w:r>
      <w:r w:rsidR="00A954D0" w:rsidRPr="008379CA">
        <w:rPr>
          <w:rFonts w:ascii="Bookman Old Style" w:hAnsi="Bookman Old Style"/>
          <w:lang w:val="sv-FI"/>
        </w:rPr>
        <w:t xml:space="preserve"> </w:t>
      </w:r>
      <w:r w:rsidRPr="008379CA">
        <w:rPr>
          <w:rFonts w:ascii="Bookman Old Style" w:hAnsi="Bookman Old Style"/>
          <w:lang w:val="sv-FI"/>
        </w:rPr>
        <w:t>merealisasikan</w:t>
      </w:r>
      <w:r w:rsidR="00A954D0" w:rsidRPr="008379CA">
        <w:rPr>
          <w:rFonts w:ascii="Bookman Old Style" w:hAnsi="Bookman Old Style"/>
          <w:lang w:val="sv-FI"/>
        </w:rPr>
        <w:t xml:space="preserve"> </w:t>
      </w:r>
      <w:r w:rsidRPr="008379CA">
        <w:rPr>
          <w:rFonts w:ascii="Bookman Old Style" w:hAnsi="Bookman Old Style"/>
          <w:lang w:val="sv-FI"/>
        </w:rPr>
        <w:t>Kegiatan</w:t>
      </w:r>
      <w:r w:rsidR="00A954D0" w:rsidRPr="008379CA">
        <w:rPr>
          <w:rFonts w:ascii="Bookman Old Style" w:hAnsi="Bookman Old Style"/>
          <w:lang w:val="sv-FI"/>
        </w:rPr>
        <w:t xml:space="preserve"> </w:t>
      </w:r>
      <w:r w:rsidRPr="008379CA">
        <w:rPr>
          <w:rFonts w:ascii="Bookman Old Style" w:hAnsi="Bookman Old Style"/>
          <w:lang w:val="sv-FI"/>
        </w:rPr>
        <w:t>Usahanya</w:t>
      </w:r>
      <w:r w:rsidR="00A954D0" w:rsidRPr="008379CA">
        <w:rPr>
          <w:rFonts w:ascii="Bookman Old Style" w:hAnsi="Bookman Old Style"/>
          <w:lang w:val="sv-FI"/>
        </w:rPr>
        <w:t xml:space="preserve"> </w:t>
      </w:r>
      <w:r w:rsidRPr="008379CA">
        <w:rPr>
          <w:rFonts w:ascii="Bookman Old Style" w:hAnsi="Bookman Old Style"/>
          <w:lang w:val="sv-FI"/>
        </w:rPr>
        <w:t>Rp17.835.600,00;</w:t>
      </w:r>
    </w:p>
    <w:p w14:paraId="0889B382" w14:textId="2B9470B4" w:rsidR="00994781" w:rsidRPr="008379CA" w:rsidRDefault="00994781">
      <w:pPr>
        <w:numPr>
          <w:ilvl w:val="0"/>
          <w:numId w:val="234"/>
        </w:numPr>
        <w:spacing w:before="60" w:after="160" w:line="276" w:lineRule="auto"/>
        <w:ind w:left="2268" w:hanging="567"/>
        <w:contextualSpacing/>
        <w:jc w:val="both"/>
        <w:rPr>
          <w:rFonts w:ascii="Bookman Old Style" w:hAnsi="Bookman Old Style"/>
          <w:lang w:val="sv-FI"/>
        </w:rPr>
      </w:pPr>
      <w:r w:rsidRPr="008379CA">
        <w:rPr>
          <w:rFonts w:ascii="Bookman Old Style" w:hAnsi="Bookman Old Style"/>
          <w:lang w:val="sv-FI"/>
        </w:rPr>
        <w:t>Bimbingan</w:t>
      </w:r>
      <w:r w:rsidR="00A954D0" w:rsidRPr="008379CA">
        <w:rPr>
          <w:rFonts w:ascii="Bookman Old Style" w:hAnsi="Bookman Old Style"/>
          <w:lang w:val="sv-FI"/>
        </w:rPr>
        <w:t xml:space="preserve"> </w:t>
      </w:r>
      <w:r w:rsidRPr="008379CA">
        <w:rPr>
          <w:rFonts w:ascii="Bookman Old Style" w:hAnsi="Bookman Old Style"/>
          <w:lang w:val="sv-FI"/>
        </w:rPr>
        <w:t>Teknis</w:t>
      </w:r>
      <w:r w:rsidR="00A954D0" w:rsidRPr="008379CA">
        <w:rPr>
          <w:rFonts w:ascii="Bookman Old Style" w:hAnsi="Bookman Old Style"/>
          <w:lang w:val="sv-FI"/>
        </w:rPr>
        <w:t xml:space="preserve"> </w:t>
      </w:r>
      <w:r w:rsidRPr="008379CA">
        <w:rPr>
          <w:rFonts w:ascii="Bookman Old Style" w:hAnsi="Bookman Old Style"/>
          <w:lang w:val="sv-FI"/>
        </w:rPr>
        <w:t>kepada</w:t>
      </w:r>
      <w:r w:rsidR="00A954D0" w:rsidRPr="008379CA">
        <w:rPr>
          <w:rFonts w:ascii="Bookman Old Style" w:hAnsi="Bookman Old Style"/>
          <w:lang w:val="sv-FI"/>
        </w:rPr>
        <w:t xml:space="preserve"> </w:t>
      </w:r>
      <w:r w:rsidRPr="008379CA">
        <w:rPr>
          <w:rFonts w:ascii="Bookman Old Style" w:hAnsi="Bookman Old Style"/>
          <w:lang w:val="sv-FI"/>
        </w:rPr>
        <w:t>Pelaku</w:t>
      </w:r>
      <w:r w:rsidR="00A954D0" w:rsidRPr="008379CA">
        <w:rPr>
          <w:rFonts w:ascii="Bookman Old Style" w:hAnsi="Bookman Old Style"/>
          <w:lang w:val="sv-FI"/>
        </w:rPr>
        <w:t xml:space="preserve"> </w:t>
      </w:r>
      <w:r w:rsidRPr="008379CA">
        <w:rPr>
          <w:rFonts w:ascii="Bookman Old Style" w:hAnsi="Bookman Old Style"/>
          <w:lang w:val="sv-FI"/>
        </w:rPr>
        <w:t>Usaha</w:t>
      </w:r>
      <w:r w:rsidR="00A954D0" w:rsidRPr="008379CA">
        <w:rPr>
          <w:rFonts w:ascii="Bookman Old Style" w:hAnsi="Bookman Old Style"/>
          <w:lang w:val="sv-FI"/>
        </w:rPr>
        <w:t xml:space="preserve"> </w:t>
      </w:r>
      <w:r w:rsidRPr="008379CA">
        <w:rPr>
          <w:rFonts w:ascii="Bookman Old Style" w:hAnsi="Bookman Old Style"/>
          <w:lang w:val="sv-FI"/>
        </w:rPr>
        <w:t>Rp139.958.000,00;</w:t>
      </w:r>
    </w:p>
    <w:p w14:paraId="25B82572" w14:textId="62E7BD74" w:rsidR="00994781" w:rsidRPr="008379CA" w:rsidRDefault="00994781">
      <w:pPr>
        <w:numPr>
          <w:ilvl w:val="0"/>
          <w:numId w:val="234"/>
        </w:numPr>
        <w:spacing w:before="60" w:line="276" w:lineRule="auto"/>
        <w:ind w:left="2268" w:hanging="567"/>
        <w:contextualSpacing/>
        <w:jc w:val="both"/>
        <w:rPr>
          <w:rFonts w:ascii="Bookman Old Style" w:hAnsi="Bookman Old Style"/>
          <w:lang w:val="sv-FI"/>
        </w:rPr>
      </w:pPr>
      <w:r w:rsidRPr="008379CA">
        <w:rPr>
          <w:rFonts w:ascii="Bookman Old Style" w:hAnsi="Bookman Old Style"/>
          <w:lang w:val="sv-FI"/>
        </w:rPr>
        <w:t>Pengolahan,</w:t>
      </w:r>
      <w:r w:rsidR="00A954D0" w:rsidRPr="008379CA">
        <w:rPr>
          <w:rFonts w:ascii="Bookman Old Style" w:hAnsi="Bookman Old Style"/>
          <w:lang w:val="sv-FI"/>
        </w:rPr>
        <w:t xml:space="preserve"> </w:t>
      </w:r>
      <w:r w:rsidRPr="008379CA">
        <w:rPr>
          <w:rFonts w:ascii="Bookman Old Style" w:hAnsi="Bookman Old Style"/>
          <w:lang w:val="sv-FI"/>
        </w:rPr>
        <w:t>Penyajian</w:t>
      </w:r>
      <w:r w:rsidR="00A954D0" w:rsidRPr="008379CA">
        <w:rPr>
          <w:rFonts w:ascii="Bookman Old Style" w:hAnsi="Bookman Old Style"/>
          <w:lang w:val="sv-FI"/>
        </w:rPr>
        <w:t xml:space="preserve"> </w:t>
      </w:r>
      <w:r w:rsidRPr="008379CA">
        <w:rPr>
          <w:rFonts w:ascii="Bookman Old Style" w:hAnsi="Bookman Old Style"/>
          <w:lang w:val="sv-FI"/>
        </w:rPr>
        <w:t>dan</w:t>
      </w:r>
      <w:r w:rsidR="00A954D0" w:rsidRPr="008379CA">
        <w:rPr>
          <w:rFonts w:ascii="Bookman Old Style" w:hAnsi="Bookman Old Style"/>
          <w:lang w:val="sv-FI"/>
        </w:rPr>
        <w:t xml:space="preserve"> </w:t>
      </w:r>
      <w:r w:rsidRPr="008379CA">
        <w:rPr>
          <w:rFonts w:ascii="Bookman Old Style" w:hAnsi="Bookman Old Style"/>
          <w:lang w:val="sv-FI"/>
        </w:rPr>
        <w:t>Pemanfaatan</w:t>
      </w:r>
      <w:r w:rsidR="00A954D0" w:rsidRPr="008379CA">
        <w:rPr>
          <w:rFonts w:ascii="Bookman Old Style" w:hAnsi="Bookman Old Style"/>
          <w:lang w:val="sv-FI"/>
        </w:rPr>
        <w:t xml:space="preserve"> </w:t>
      </w:r>
      <w:r w:rsidRPr="008379CA">
        <w:rPr>
          <w:rFonts w:ascii="Bookman Old Style" w:hAnsi="Bookman Old Style"/>
          <w:lang w:val="sv-FI"/>
        </w:rPr>
        <w:t>Data</w:t>
      </w:r>
      <w:r w:rsidR="00A954D0" w:rsidRPr="008379CA">
        <w:rPr>
          <w:rFonts w:ascii="Bookman Old Style" w:hAnsi="Bookman Old Style"/>
          <w:lang w:val="sv-FI"/>
        </w:rPr>
        <w:t xml:space="preserve"> </w:t>
      </w:r>
      <w:r w:rsidRPr="008379CA">
        <w:rPr>
          <w:rFonts w:ascii="Bookman Old Style" w:hAnsi="Bookman Old Style"/>
          <w:lang w:val="sv-FI"/>
        </w:rPr>
        <w:t>dan</w:t>
      </w:r>
      <w:r w:rsidR="00A954D0" w:rsidRPr="008379CA">
        <w:rPr>
          <w:rFonts w:ascii="Bookman Old Style" w:hAnsi="Bookman Old Style"/>
          <w:lang w:val="sv-FI"/>
        </w:rPr>
        <w:t xml:space="preserve"> </w:t>
      </w:r>
      <w:r w:rsidRPr="008379CA">
        <w:rPr>
          <w:rFonts w:ascii="Bookman Old Style" w:hAnsi="Bookman Old Style"/>
          <w:lang w:val="sv-FI"/>
        </w:rPr>
        <w:t>Informasi</w:t>
      </w:r>
      <w:r w:rsidR="00A954D0" w:rsidRPr="008379CA">
        <w:rPr>
          <w:rFonts w:ascii="Bookman Old Style" w:hAnsi="Bookman Old Style"/>
          <w:lang w:val="sv-FI"/>
        </w:rPr>
        <w:t xml:space="preserve"> </w:t>
      </w:r>
      <w:r w:rsidRPr="008379CA">
        <w:rPr>
          <w:rFonts w:ascii="Bookman Old Style" w:hAnsi="Bookman Old Style"/>
          <w:lang w:val="sv-FI"/>
        </w:rPr>
        <w:t>Perizinan</w:t>
      </w:r>
      <w:r w:rsidR="00A954D0" w:rsidRPr="008379CA">
        <w:rPr>
          <w:rFonts w:ascii="Bookman Old Style" w:hAnsi="Bookman Old Style"/>
          <w:lang w:val="sv-FI"/>
        </w:rPr>
        <w:t xml:space="preserve"> </w:t>
      </w:r>
      <w:r w:rsidRPr="008379CA">
        <w:rPr>
          <w:rFonts w:ascii="Bookman Old Style" w:hAnsi="Bookman Old Style"/>
          <w:lang w:val="sv-FI"/>
        </w:rPr>
        <w:t>dan</w:t>
      </w:r>
      <w:r w:rsidR="00A954D0" w:rsidRPr="008379CA">
        <w:rPr>
          <w:rFonts w:ascii="Bookman Old Style" w:hAnsi="Bookman Old Style"/>
          <w:lang w:val="sv-FI"/>
        </w:rPr>
        <w:t xml:space="preserve"> </w:t>
      </w:r>
      <w:r w:rsidRPr="008379CA">
        <w:rPr>
          <w:rFonts w:ascii="Bookman Old Style" w:hAnsi="Bookman Old Style"/>
          <w:lang w:val="sv-FI"/>
        </w:rPr>
        <w:t>Non</w:t>
      </w:r>
      <w:r w:rsidR="00A954D0" w:rsidRPr="008379CA">
        <w:rPr>
          <w:rFonts w:ascii="Bookman Old Style" w:hAnsi="Bookman Old Style"/>
          <w:lang w:val="sv-FI"/>
        </w:rPr>
        <w:t xml:space="preserve"> </w:t>
      </w:r>
      <w:r w:rsidRPr="008379CA">
        <w:rPr>
          <w:rFonts w:ascii="Bookman Old Style" w:hAnsi="Bookman Old Style"/>
          <w:lang w:val="sv-FI"/>
        </w:rPr>
        <w:t>Perizinan</w:t>
      </w:r>
      <w:r w:rsidR="00A954D0" w:rsidRPr="008379CA">
        <w:rPr>
          <w:rFonts w:ascii="Bookman Old Style" w:hAnsi="Bookman Old Style"/>
          <w:lang w:val="sv-FI"/>
        </w:rPr>
        <w:t xml:space="preserve"> </w:t>
      </w:r>
      <w:r w:rsidRPr="008379CA">
        <w:rPr>
          <w:rFonts w:ascii="Bookman Old Style" w:hAnsi="Bookman Old Style"/>
          <w:lang w:val="sv-FI"/>
        </w:rPr>
        <w:t>Berbasis</w:t>
      </w:r>
      <w:r w:rsidR="00A954D0" w:rsidRPr="008379CA">
        <w:rPr>
          <w:rFonts w:ascii="Bookman Old Style" w:hAnsi="Bookman Old Style"/>
          <w:lang w:val="sv-FI"/>
        </w:rPr>
        <w:t xml:space="preserve"> </w:t>
      </w:r>
      <w:r w:rsidRPr="008379CA">
        <w:rPr>
          <w:rFonts w:ascii="Bookman Old Style" w:hAnsi="Bookman Old Style"/>
          <w:lang w:val="sv-FI"/>
        </w:rPr>
        <w:t>Sistem</w:t>
      </w:r>
      <w:r w:rsidR="00A954D0" w:rsidRPr="008379CA">
        <w:rPr>
          <w:rFonts w:ascii="Bookman Old Style" w:hAnsi="Bookman Old Style"/>
          <w:lang w:val="sv-FI"/>
        </w:rPr>
        <w:t xml:space="preserve"> </w:t>
      </w:r>
      <w:r w:rsidRPr="008379CA">
        <w:rPr>
          <w:rFonts w:ascii="Bookman Old Style" w:hAnsi="Bookman Old Style"/>
          <w:lang w:val="sv-FI"/>
        </w:rPr>
        <w:t>Pelayanan</w:t>
      </w:r>
      <w:r w:rsidR="00A954D0" w:rsidRPr="008379CA">
        <w:rPr>
          <w:rFonts w:ascii="Bookman Old Style" w:hAnsi="Bookman Old Style"/>
          <w:lang w:val="sv-FI"/>
        </w:rPr>
        <w:t xml:space="preserve"> </w:t>
      </w:r>
      <w:r w:rsidRPr="008379CA">
        <w:rPr>
          <w:rFonts w:ascii="Bookman Old Style" w:hAnsi="Bookman Old Style"/>
          <w:lang w:val="sv-FI"/>
        </w:rPr>
        <w:t>Perizinan</w:t>
      </w:r>
      <w:r w:rsidR="00A954D0" w:rsidRPr="008379CA">
        <w:rPr>
          <w:rFonts w:ascii="Bookman Old Style" w:hAnsi="Bookman Old Style"/>
          <w:lang w:val="sv-FI"/>
        </w:rPr>
        <w:t xml:space="preserve"> </w:t>
      </w:r>
      <w:r w:rsidRPr="008379CA">
        <w:rPr>
          <w:rFonts w:ascii="Bookman Old Style" w:hAnsi="Bookman Old Style"/>
          <w:lang w:val="sv-FI"/>
        </w:rPr>
        <w:t>Berusaha</w:t>
      </w:r>
      <w:r w:rsidR="00A954D0" w:rsidRPr="008379CA">
        <w:rPr>
          <w:rFonts w:ascii="Bookman Old Style" w:hAnsi="Bookman Old Style"/>
          <w:lang w:val="sv-FI"/>
        </w:rPr>
        <w:t xml:space="preserve"> </w:t>
      </w:r>
      <w:r w:rsidRPr="008379CA">
        <w:rPr>
          <w:rFonts w:ascii="Bookman Old Style" w:hAnsi="Bookman Old Style"/>
          <w:lang w:val="sv-FI"/>
        </w:rPr>
        <w:t>Terintegrasi</w:t>
      </w:r>
      <w:r w:rsidR="00A954D0" w:rsidRPr="008379CA">
        <w:rPr>
          <w:rFonts w:ascii="Bookman Old Style" w:hAnsi="Bookman Old Style"/>
          <w:lang w:val="sv-FI"/>
        </w:rPr>
        <w:t xml:space="preserve"> </w:t>
      </w:r>
      <w:r w:rsidRPr="008379CA">
        <w:rPr>
          <w:rFonts w:ascii="Bookman Old Style" w:hAnsi="Bookman Old Style"/>
          <w:lang w:val="sv-FI"/>
        </w:rPr>
        <w:t>secara</w:t>
      </w:r>
      <w:r w:rsidR="00A954D0" w:rsidRPr="008379CA">
        <w:rPr>
          <w:rFonts w:ascii="Bookman Old Style" w:hAnsi="Bookman Old Style"/>
          <w:lang w:val="sv-FI"/>
        </w:rPr>
        <w:t xml:space="preserve"> </w:t>
      </w:r>
      <w:r w:rsidRPr="008379CA">
        <w:rPr>
          <w:rFonts w:ascii="Bookman Old Style" w:hAnsi="Bookman Old Style"/>
          <w:lang w:val="sv-FI"/>
        </w:rPr>
        <w:t>Elektronik</w:t>
      </w:r>
      <w:r w:rsidR="00A954D0" w:rsidRPr="008379CA">
        <w:rPr>
          <w:rFonts w:ascii="Bookman Old Style" w:hAnsi="Bookman Old Style"/>
          <w:lang w:val="sv-FI"/>
        </w:rPr>
        <w:t xml:space="preserve"> </w:t>
      </w:r>
      <w:r w:rsidRPr="008379CA">
        <w:rPr>
          <w:rFonts w:ascii="Bookman Old Style" w:hAnsi="Bookman Old Style"/>
          <w:lang w:val="sv-FI"/>
        </w:rPr>
        <w:t>Rp157.745.000,00</w:t>
      </w:r>
      <w:r w:rsidR="00447E9A" w:rsidRPr="008379CA">
        <w:rPr>
          <w:rFonts w:ascii="Bookman Old Style" w:hAnsi="Bookman Old Style"/>
          <w:lang w:val="sv-FI"/>
        </w:rPr>
        <w:t>.</w:t>
      </w:r>
    </w:p>
    <w:p w14:paraId="24814821" w14:textId="3947F83C" w:rsidR="00994781" w:rsidRPr="008379CA" w:rsidRDefault="00994781">
      <w:pPr>
        <w:pStyle w:val="ListParagraph"/>
        <w:widowControl w:val="0"/>
        <w:numPr>
          <w:ilvl w:val="0"/>
          <w:numId w:val="248"/>
        </w:numPr>
        <w:autoSpaceDE w:val="0"/>
        <w:autoSpaceDN w:val="0"/>
        <w:spacing w:after="0" w:line="276" w:lineRule="auto"/>
        <w:ind w:left="1701" w:right="17" w:hanging="425"/>
        <w:jc w:val="both"/>
        <w:rPr>
          <w:rFonts w:ascii="Bookman Old Style" w:hAnsi="Bookman Old Style"/>
          <w:sz w:val="24"/>
          <w:szCs w:val="24"/>
          <w:lang w:val="sv-FI"/>
        </w:rPr>
      </w:pPr>
      <w:r w:rsidRPr="008379CA">
        <w:rPr>
          <w:rFonts w:ascii="Bookman Old Style" w:hAnsi="Bookman Old Style" w:cs="Tahoma"/>
          <w:sz w:val="24"/>
          <w:szCs w:val="24"/>
        </w:rPr>
        <w:t>Dinas</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Pekerjaan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Umum</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Penataan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Ruang</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Rp209.189.720.673,00</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atau</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99,21%</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dari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total</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alokasi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anggaran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dalam</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rangka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Peningkatan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Investasi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Kemudahan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Berusaha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terdiri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dari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sub</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kegiatan:</w:t>
      </w:r>
    </w:p>
    <w:p w14:paraId="0EB8D8EE" w14:textId="42BD8DEA" w:rsidR="00994781" w:rsidRPr="008379CA" w:rsidRDefault="00994781">
      <w:pPr>
        <w:numPr>
          <w:ilvl w:val="0"/>
          <w:numId w:val="235"/>
        </w:numPr>
        <w:spacing w:before="60" w:after="160" w:line="276" w:lineRule="auto"/>
        <w:ind w:left="2268" w:hanging="567"/>
        <w:contextualSpacing/>
        <w:jc w:val="both"/>
        <w:rPr>
          <w:rFonts w:ascii="Bookman Old Style" w:hAnsi="Bookman Old Style"/>
          <w:lang w:val="en-US"/>
        </w:rPr>
      </w:pPr>
      <w:r w:rsidRPr="008379CA">
        <w:rPr>
          <w:rFonts w:ascii="Bookman Old Style" w:hAnsi="Bookman Old Style"/>
          <w:lang w:val="en-US"/>
        </w:rPr>
        <w:t>Pembangunan</w:t>
      </w:r>
      <w:r w:rsidR="00A954D0" w:rsidRPr="008379CA">
        <w:rPr>
          <w:rFonts w:ascii="Bookman Old Style" w:hAnsi="Bookman Old Style"/>
          <w:lang w:val="en-US"/>
        </w:rPr>
        <w:t xml:space="preserve"> </w:t>
      </w:r>
      <w:r w:rsidRPr="008379CA">
        <w:rPr>
          <w:rFonts w:ascii="Bookman Old Style" w:hAnsi="Bookman Old Style"/>
          <w:lang w:val="en-US"/>
        </w:rPr>
        <w:t>Jalan</w:t>
      </w:r>
      <w:r w:rsidR="00A954D0" w:rsidRPr="008379CA">
        <w:rPr>
          <w:rFonts w:ascii="Bookman Old Style" w:hAnsi="Bookman Old Style"/>
          <w:lang w:val="en-US"/>
        </w:rPr>
        <w:t xml:space="preserve"> </w:t>
      </w:r>
      <w:r w:rsidRPr="008379CA">
        <w:rPr>
          <w:rFonts w:ascii="Bookman Old Style" w:hAnsi="Bookman Old Style"/>
          <w:lang w:val="en-US"/>
        </w:rPr>
        <w:t>Rp27.345.834.000,00;</w:t>
      </w:r>
    </w:p>
    <w:p w14:paraId="6466EC1D" w14:textId="7848F04F" w:rsidR="00994781" w:rsidRPr="008379CA" w:rsidRDefault="00994781">
      <w:pPr>
        <w:numPr>
          <w:ilvl w:val="0"/>
          <w:numId w:val="235"/>
        </w:numPr>
        <w:spacing w:before="60" w:after="160" w:line="276" w:lineRule="auto"/>
        <w:ind w:left="2268" w:hanging="567"/>
        <w:contextualSpacing/>
        <w:jc w:val="both"/>
        <w:rPr>
          <w:rFonts w:ascii="Bookman Old Style" w:hAnsi="Bookman Old Style"/>
          <w:lang w:val="en-US"/>
        </w:rPr>
      </w:pPr>
      <w:r w:rsidRPr="008379CA">
        <w:rPr>
          <w:rFonts w:ascii="Bookman Old Style" w:hAnsi="Bookman Old Style"/>
          <w:lang w:val="en-US"/>
        </w:rPr>
        <w:t>Penggantian</w:t>
      </w:r>
      <w:r w:rsidR="00A954D0" w:rsidRPr="008379CA">
        <w:rPr>
          <w:rFonts w:ascii="Bookman Old Style" w:hAnsi="Bookman Old Style"/>
          <w:lang w:val="en-US"/>
        </w:rPr>
        <w:t xml:space="preserve"> </w:t>
      </w:r>
      <w:r w:rsidRPr="008379CA">
        <w:rPr>
          <w:rFonts w:ascii="Bookman Old Style" w:hAnsi="Bookman Old Style"/>
          <w:lang w:val="en-US"/>
        </w:rPr>
        <w:t>Jembatan</w:t>
      </w:r>
      <w:r w:rsidR="00A954D0" w:rsidRPr="008379CA">
        <w:rPr>
          <w:rFonts w:ascii="Bookman Old Style" w:hAnsi="Bookman Old Style"/>
          <w:lang w:val="en-US"/>
        </w:rPr>
        <w:t xml:space="preserve"> </w:t>
      </w:r>
      <w:r w:rsidRPr="008379CA">
        <w:rPr>
          <w:rFonts w:ascii="Bookman Old Style" w:hAnsi="Bookman Old Style"/>
          <w:lang w:val="en-US"/>
        </w:rPr>
        <w:t>Rp14.401.500.769,00;</w:t>
      </w:r>
    </w:p>
    <w:p w14:paraId="5B7D0394" w14:textId="31A927B5" w:rsidR="00994781" w:rsidRPr="008379CA" w:rsidRDefault="00994781">
      <w:pPr>
        <w:numPr>
          <w:ilvl w:val="0"/>
          <w:numId w:val="235"/>
        </w:numPr>
        <w:spacing w:before="60" w:after="160" w:line="276" w:lineRule="auto"/>
        <w:ind w:left="2268" w:hanging="567"/>
        <w:contextualSpacing/>
        <w:jc w:val="both"/>
        <w:rPr>
          <w:rFonts w:ascii="Bookman Old Style" w:hAnsi="Bookman Old Style"/>
          <w:lang w:val="en-US"/>
        </w:rPr>
      </w:pPr>
      <w:r w:rsidRPr="008379CA">
        <w:rPr>
          <w:rFonts w:ascii="Bookman Old Style" w:hAnsi="Bookman Old Style"/>
          <w:lang w:val="en-US"/>
        </w:rPr>
        <w:t>Rekonstruksi</w:t>
      </w:r>
      <w:r w:rsidR="00A954D0" w:rsidRPr="008379CA">
        <w:rPr>
          <w:rFonts w:ascii="Bookman Old Style" w:hAnsi="Bookman Old Style"/>
          <w:lang w:val="en-US"/>
        </w:rPr>
        <w:t xml:space="preserve"> </w:t>
      </w:r>
      <w:r w:rsidRPr="008379CA">
        <w:rPr>
          <w:rFonts w:ascii="Bookman Old Style" w:hAnsi="Bookman Old Style"/>
          <w:lang w:val="en-US"/>
        </w:rPr>
        <w:t>Jalan</w:t>
      </w:r>
      <w:r w:rsidR="00A954D0" w:rsidRPr="008379CA">
        <w:rPr>
          <w:rFonts w:ascii="Bookman Old Style" w:hAnsi="Bookman Old Style"/>
          <w:lang w:val="en-US"/>
        </w:rPr>
        <w:t xml:space="preserve"> </w:t>
      </w:r>
      <w:r w:rsidRPr="008379CA">
        <w:rPr>
          <w:rFonts w:ascii="Bookman Old Style" w:hAnsi="Bookman Old Style"/>
          <w:lang w:val="en-US"/>
        </w:rPr>
        <w:t>Rp58.612.583.200,00;</w:t>
      </w:r>
    </w:p>
    <w:p w14:paraId="65FF25F2" w14:textId="7DBD1B7B" w:rsidR="00994781" w:rsidRPr="008379CA" w:rsidRDefault="00994781">
      <w:pPr>
        <w:numPr>
          <w:ilvl w:val="0"/>
          <w:numId w:val="235"/>
        </w:numPr>
        <w:spacing w:before="60" w:after="160" w:line="276" w:lineRule="auto"/>
        <w:ind w:left="2268" w:hanging="567"/>
        <w:contextualSpacing/>
        <w:jc w:val="both"/>
        <w:rPr>
          <w:rFonts w:ascii="Bookman Old Style" w:hAnsi="Bookman Old Style"/>
          <w:lang w:val="en-US"/>
        </w:rPr>
      </w:pPr>
      <w:r w:rsidRPr="008379CA">
        <w:rPr>
          <w:rFonts w:ascii="Bookman Old Style" w:hAnsi="Bookman Old Style"/>
          <w:lang w:val="en-US"/>
        </w:rPr>
        <w:t>Pemeliharaan</w:t>
      </w:r>
      <w:r w:rsidR="00A954D0" w:rsidRPr="008379CA">
        <w:rPr>
          <w:rFonts w:ascii="Bookman Old Style" w:hAnsi="Bookman Old Style"/>
          <w:lang w:val="en-US"/>
        </w:rPr>
        <w:t xml:space="preserve"> </w:t>
      </w:r>
      <w:r w:rsidRPr="008379CA">
        <w:rPr>
          <w:rFonts w:ascii="Bookman Old Style" w:hAnsi="Bookman Old Style"/>
          <w:lang w:val="en-US"/>
        </w:rPr>
        <w:t>Rutin</w:t>
      </w:r>
      <w:r w:rsidR="00A954D0" w:rsidRPr="008379CA">
        <w:rPr>
          <w:rFonts w:ascii="Bookman Old Style" w:hAnsi="Bookman Old Style"/>
          <w:lang w:val="en-US"/>
        </w:rPr>
        <w:t xml:space="preserve"> </w:t>
      </w:r>
      <w:r w:rsidRPr="008379CA">
        <w:rPr>
          <w:rFonts w:ascii="Bookman Old Style" w:hAnsi="Bookman Old Style"/>
          <w:lang w:val="en-US"/>
        </w:rPr>
        <w:t>Jembatan</w:t>
      </w:r>
      <w:r w:rsidR="00A954D0" w:rsidRPr="008379CA">
        <w:rPr>
          <w:rFonts w:ascii="Bookman Old Style" w:hAnsi="Bookman Old Style"/>
          <w:lang w:val="en-US"/>
        </w:rPr>
        <w:t xml:space="preserve"> </w:t>
      </w:r>
      <w:r w:rsidRPr="008379CA">
        <w:rPr>
          <w:rFonts w:ascii="Bookman Old Style" w:hAnsi="Bookman Old Style"/>
          <w:lang w:val="en-US"/>
        </w:rPr>
        <w:t>Rp14.422.887.256,00;</w:t>
      </w:r>
    </w:p>
    <w:p w14:paraId="085FA54F" w14:textId="01660EFA" w:rsidR="00994781" w:rsidRPr="008379CA" w:rsidRDefault="00994781">
      <w:pPr>
        <w:numPr>
          <w:ilvl w:val="0"/>
          <w:numId w:val="235"/>
        </w:numPr>
        <w:spacing w:before="60" w:after="160" w:line="276" w:lineRule="auto"/>
        <w:ind w:left="2268" w:hanging="567"/>
        <w:contextualSpacing/>
        <w:jc w:val="both"/>
        <w:rPr>
          <w:rFonts w:ascii="Bookman Old Style" w:hAnsi="Bookman Old Style"/>
          <w:lang w:val="en-US"/>
        </w:rPr>
      </w:pPr>
      <w:r w:rsidRPr="008379CA">
        <w:rPr>
          <w:rFonts w:ascii="Bookman Old Style" w:hAnsi="Bookman Old Style"/>
          <w:lang w:val="en-US"/>
        </w:rPr>
        <w:t>Pembangunan</w:t>
      </w:r>
      <w:r w:rsidR="00A954D0" w:rsidRPr="008379CA">
        <w:rPr>
          <w:rFonts w:ascii="Bookman Old Style" w:hAnsi="Bookman Old Style"/>
          <w:lang w:val="en-US"/>
        </w:rPr>
        <w:t xml:space="preserve"> </w:t>
      </w:r>
      <w:r w:rsidRPr="008379CA">
        <w:rPr>
          <w:rFonts w:ascii="Bookman Old Style" w:hAnsi="Bookman Old Style"/>
          <w:lang w:val="en-US"/>
        </w:rPr>
        <w:t>Jembatan</w:t>
      </w:r>
      <w:r w:rsidR="00A954D0" w:rsidRPr="008379CA">
        <w:rPr>
          <w:rFonts w:ascii="Bookman Old Style" w:hAnsi="Bookman Old Style"/>
          <w:lang w:val="en-US"/>
        </w:rPr>
        <w:t xml:space="preserve"> </w:t>
      </w:r>
      <w:r w:rsidRPr="008379CA">
        <w:rPr>
          <w:rFonts w:ascii="Bookman Old Style" w:hAnsi="Bookman Old Style"/>
          <w:lang w:val="en-US"/>
        </w:rPr>
        <w:t>Rp19.487.486.000,00;</w:t>
      </w:r>
    </w:p>
    <w:p w14:paraId="58558CDB" w14:textId="23269501" w:rsidR="00994781" w:rsidRPr="008379CA" w:rsidRDefault="00994781">
      <w:pPr>
        <w:numPr>
          <w:ilvl w:val="0"/>
          <w:numId w:val="235"/>
        </w:numPr>
        <w:spacing w:before="60" w:after="160" w:line="276" w:lineRule="auto"/>
        <w:ind w:left="2268" w:hanging="567"/>
        <w:contextualSpacing/>
        <w:jc w:val="both"/>
        <w:rPr>
          <w:rFonts w:ascii="Bookman Old Style" w:hAnsi="Bookman Old Style"/>
          <w:lang w:val="en-US"/>
        </w:rPr>
      </w:pPr>
      <w:r w:rsidRPr="008379CA">
        <w:rPr>
          <w:rFonts w:ascii="Bookman Old Style" w:hAnsi="Bookman Old Style"/>
          <w:lang w:val="en-US"/>
        </w:rPr>
        <w:t>Rehabilitasi</w:t>
      </w:r>
      <w:r w:rsidR="00A954D0" w:rsidRPr="008379CA">
        <w:rPr>
          <w:rFonts w:ascii="Bookman Old Style" w:hAnsi="Bookman Old Style"/>
          <w:lang w:val="en-US"/>
        </w:rPr>
        <w:t xml:space="preserve"> </w:t>
      </w:r>
      <w:r w:rsidRPr="008379CA">
        <w:rPr>
          <w:rFonts w:ascii="Bookman Old Style" w:hAnsi="Bookman Old Style"/>
          <w:lang w:val="en-US"/>
        </w:rPr>
        <w:t>Jalan</w:t>
      </w:r>
      <w:r w:rsidR="00A954D0" w:rsidRPr="008379CA">
        <w:rPr>
          <w:rFonts w:ascii="Bookman Old Style" w:hAnsi="Bookman Old Style"/>
          <w:lang w:val="en-US"/>
        </w:rPr>
        <w:t xml:space="preserve"> </w:t>
      </w:r>
      <w:r w:rsidRPr="008379CA">
        <w:rPr>
          <w:rFonts w:ascii="Bookman Old Style" w:hAnsi="Bookman Old Style"/>
          <w:lang w:val="en-US"/>
        </w:rPr>
        <w:t>Rp35.000.000.000,00;</w:t>
      </w:r>
    </w:p>
    <w:p w14:paraId="6509A07F" w14:textId="519EBFBC" w:rsidR="00994781" w:rsidRPr="008379CA" w:rsidRDefault="00994781">
      <w:pPr>
        <w:numPr>
          <w:ilvl w:val="0"/>
          <w:numId w:val="235"/>
        </w:numPr>
        <w:spacing w:before="60" w:line="276" w:lineRule="auto"/>
        <w:ind w:left="2268" w:hanging="567"/>
        <w:contextualSpacing/>
        <w:jc w:val="both"/>
        <w:rPr>
          <w:rFonts w:ascii="Bookman Old Style" w:hAnsi="Bookman Old Style"/>
          <w:lang w:val="en-US"/>
        </w:rPr>
      </w:pPr>
      <w:r w:rsidRPr="008379CA">
        <w:rPr>
          <w:rFonts w:ascii="Bookman Old Style" w:hAnsi="Bookman Old Style"/>
          <w:lang w:val="en-US"/>
        </w:rPr>
        <w:t>Pemeliharaan</w:t>
      </w:r>
      <w:r w:rsidR="00A954D0" w:rsidRPr="008379CA">
        <w:rPr>
          <w:rFonts w:ascii="Bookman Old Style" w:hAnsi="Bookman Old Style"/>
          <w:lang w:val="en-US"/>
        </w:rPr>
        <w:t xml:space="preserve"> </w:t>
      </w:r>
      <w:r w:rsidRPr="008379CA">
        <w:rPr>
          <w:rFonts w:ascii="Bookman Old Style" w:hAnsi="Bookman Old Style"/>
          <w:lang w:val="en-US"/>
        </w:rPr>
        <w:t>Rutin</w:t>
      </w:r>
      <w:r w:rsidR="00A954D0" w:rsidRPr="008379CA">
        <w:rPr>
          <w:rFonts w:ascii="Bookman Old Style" w:hAnsi="Bookman Old Style"/>
          <w:lang w:val="en-US"/>
        </w:rPr>
        <w:t xml:space="preserve"> </w:t>
      </w:r>
      <w:r w:rsidRPr="008379CA">
        <w:rPr>
          <w:rFonts w:ascii="Bookman Old Style" w:hAnsi="Bookman Old Style"/>
          <w:lang w:val="en-US"/>
        </w:rPr>
        <w:t>Jalan</w:t>
      </w:r>
      <w:r w:rsidR="00A954D0" w:rsidRPr="008379CA">
        <w:rPr>
          <w:rFonts w:ascii="Bookman Old Style" w:hAnsi="Bookman Old Style"/>
          <w:lang w:val="en-US"/>
        </w:rPr>
        <w:t xml:space="preserve"> </w:t>
      </w:r>
      <w:r w:rsidRPr="008379CA">
        <w:rPr>
          <w:rFonts w:ascii="Bookman Old Style" w:hAnsi="Bookman Old Style"/>
          <w:lang w:val="en-US"/>
        </w:rPr>
        <w:t>Rp49.919.429.448,00.</w:t>
      </w:r>
    </w:p>
    <w:p w14:paraId="3D5F1A67" w14:textId="18ADFA8B" w:rsidR="00994781" w:rsidRPr="008379CA" w:rsidRDefault="00994781" w:rsidP="004666ED">
      <w:pPr>
        <w:pStyle w:val="ListParagraph"/>
        <w:spacing w:before="60" w:after="120" w:line="276" w:lineRule="auto"/>
        <w:ind w:left="1276"/>
        <w:contextualSpacing w:val="0"/>
        <w:jc w:val="both"/>
        <w:rPr>
          <w:rFonts w:ascii="Bookman Old Style" w:hAnsi="Bookman Old Style"/>
          <w:sz w:val="24"/>
          <w:szCs w:val="24"/>
          <w:lang w:val="en-US"/>
        </w:rPr>
      </w:pPr>
      <w:r w:rsidRPr="008379CA">
        <w:rPr>
          <w:rFonts w:ascii="Bookman Old Style" w:hAnsi="Bookman Old Style"/>
          <w:sz w:val="24"/>
          <w:szCs w:val="24"/>
        </w:rPr>
        <w:t>Pemerintah</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Kota</w:t>
      </w:r>
      <w:r w:rsidR="00A954D0" w:rsidRPr="008379CA">
        <w:rPr>
          <w:rFonts w:ascii="Bookman Old Style" w:hAnsi="Bookman Old Style"/>
          <w:sz w:val="24"/>
          <w:szCs w:val="24"/>
        </w:rPr>
        <w:t xml:space="preserve"> </w:t>
      </w:r>
      <w:r w:rsidRPr="008379CA">
        <w:rPr>
          <w:rFonts w:ascii="Bookman Old Style" w:hAnsi="Bookman Old Style"/>
          <w:sz w:val="24"/>
          <w:szCs w:val="24"/>
        </w:rPr>
        <w:t>Tangerang</w:t>
      </w:r>
      <w:r w:rsidR="00A954D0" w:rsidRPr="008379CA">
        <w:rPr>
          <w:rFonts w:ascii="Bookman Old Style" w:hAnsi="Bookman Old Style"/>
          <w:sz w:val="24"/>
          <w:szCs w:val="24"/>
        </w:rPr>
        <w:t xml:space="preserve"> </w:t>
      </w:r>
      <w:r w:rsidRPr="008379CA">
        <w:rPr>
          <w:rFonts w:ascii="Bookman Old Style" w:hAnsi="Bookman Old Style"/>
          <w:sz w:val="24"/>
          <w:szCs w:val="24"/>
        </w:rPr>
        <w:t>harus</w:t>
      </w:r>
      <w:r w:rsidR="00A954D0" w:rsidRPr="008379CA">
        <w:rPr>
          <w:rFonts w:ascii="Bookman Old Style" w:hAnsi="Bookman Old Style"/>
          <w:sz w:val="24"/>
          <w:szCs w:val="24"/>
          <w:lang w:val="en-US"/>
        </w:rPr>
        <w:t xml:space="preserve"> </w:t>
      </w:r>
      <w:r w:rsidRPr="008379CA">
        <w:rPr>
          <w:rFonts w:ascii="Bookman Old Style" w:hAnsi="Bookman Old Style"/>
          <w:sz w:val="24"/>
          <w:szCs w:val="24"/>
        </w:rPr>
        <w:t>memprioritaskan</w:t>
      </w:r>
      <w:r w:rsidR="00A954D0" w:rsidRPr="008379CA">
        <w:rPr>
          <w:rFonts w:ascii="Bookman Old Style" w:hAnsi="Bookman Old Style"/>
          <w:sz w:val="24"/>
          <w:szCs w:val="24"/>
        </w:rPr>
        <w:t xml:space="preserve"> </w:t>
      </w:r>
      <w:r w:rsidRPr="008379CA">
        <w:rPr>
          <w:rFonts w:ascii="Bookman Old Style" w:hAnsi="Bookman Old Style"/>
          <w:sz w:val="24"/>
          <w:szCs w:val="24"/>
        </w:rPr>
        <w:t>alokasi</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belanja</w:t>
      </w:r>
      <w:r w:rsidR="00A954D0" w:rsidRPr="008379CA">
        <w:rPr>
          <w:rFonts w:ascii="Bookman Old Style" w:hAnsi="Bookman Old Style"/>
          <w:sz w:val="24"/>
          <w:szCs w:val="24"/>
        </w:rPr>
        <w:t xml:space="preserve"> </w:t>
      </w:r>
      <w:r w:rsidRPr="008379CA">
        <w:rPr>
          <w:rFonts w:ascii="Bookman Old Style" w:hAnsi="Bookman Old Style"/>
          <w:sz w:val="24"/>
          <w:szCs w:val="24"/>
        </w:rPr>
        <w:t>pokok</w:t>
      </w:r>
      <w:r w:rsidR="00A954D0" w:rsidRPr="008379CA">
        <w:rPr>
          <w:rFonts w:ascii="Bookman Old Style" w:hAnsi="Bookman Old Style"/>
          <w:sz w:val="24"/>
          <w:szCs w:val="24"/>
        </w:rPr>
        <w:t xml:space="preserve"> </w:t>
      </w:r>
      <w:r w:rsidRPr="008379CA">
        <w:rPr>
          <w:rFonts w:ascii="Bookman Old Style" w:hAnsi="Bookman Old Style"/>
          <w:sz w:val="24"/>
          <w:szCs w:val="24"/>
        </w:rPr>
        <w:t>dibandingkan</w:t>
      </w:r>
      <w:r w:rsidR="00A954D0" w:rsidRPr="008379CA">
        <w:rPr>
          <w:rFonts w:ascii="Bookman Old Style" w:hAnsi="Bookman Old Style"/>
          <w:sz w:val="24"/>
          <w:szCs w:val="24"/>
        </w:rPr>
        <w:t xml:space="preserve"> </w:t>
      </w:r>
      <w:r w:rsidRPr="008379CA">
        <w:rPr>
          <w:rFonts w:ascii="Bookman Old Style" w:hAnsi="Bookman Old Style"/>
          <w:sz w:val="24"/>
          <w:szCs w:val="24"/>
        </w:rPr>
        <w:t>dengan</w:t>
      </w:r>
      <w:r w:rsidR="00A954D0" w:rsidRPr="008379CA">
        <w:rPr>
          <w:rFonts w:ascii="Bookman Old Style" w:hAnsi="Bookman Old Style"/>
          <w:sz w:val="24"/>
          <w:szCs w:val="24"/>
        </w:rPr>
        <w:t xml:space="preserve"> </w:t>
      </w:r>
      <w:r w:rsidRPr="008379CA">
        <w:rPr>
          <w:rFonts w:ascii="Bookman Old Style" w:hAnsi="Bookman Old Style"/>
          <w:sz w:val="24"/>
          <w:szCs w:val="24"/>
        </w:rPr>
        <w:t>alokasi</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belanja</w:t>
      </w:r>
      <w:r w:rsidR="00A954D0" w:rsidRPr="008379CA">
        <w:rPr>
          <w:rFonts w:ascii="Bookman Old Style" w:hAnsi="Bookman Old Style"/>
          <w:sz w:val="24"/>
          <w:szCs w:val="24"/>
        </w:rPr>
        <w:t xml:space="preserve"> </w:t>
      </w:r>
      <w:r w:rsidRPr="008379CA">
        <w:rPr>
          <w:rFonts w:ascii="Bookman Old Style" w:hAnsi="Bookman Old Style"/>
          <w:sz w:val="24"/>
          <w:szCs w:val="24"/>
        </w:rPr>
        <w:t>penunjang</w:t>
      </w:r>
      <w:r w:rsidR="00A954D0" w:rsidRPr="008379CA">
        <w:rPr>
          <w:rFonts w:ascii="Bookman Old Style" w:hAnsi="Bookman Old Style"/>
          <w:sz w:val="24"/>
          <w:szCs w:val="24"/>
        </w:rPr>
        <w:t xml:space="preserve"> </w:t>
      </w:r>
      <w:r w:rsidRPr="008379CA">
        <w:rPr>
          <w:rFonts w:ascii="Bookman Old Style" w:hAnsi="Bookman Old Style"/>
          <w:sz w:val="24"/>
          <w:szCs w:val="24"/>
        </w:rPr>
        <w:t>guna</w:t>
      </w:r>
      <w:r w:rsidR="00A954D0" w:rsidRPr="008379CA">
        <w:rPr>
          <w:rFonts w:ascii="Bookman Old Style" w:hAnsi="Bookman Old Style"/>
          <w:sz w:val="24"/>
          <w:szCs w:val="24"/>
        </w:rPr>
        <w:t xml:space="preserve"> </w:t>
      </w:r>
      <w:r w:rsidRPr="008379CA">
        <w:rPr>
          <w:rFonts w:ascii="Bookman Old Style" w:hAnsi="Bookman Old Style"/>
          <w:sz w:val="24"/>
          <w:szCs w:val="24"/>
        </w:rPr>
        <w:t>mendukung</w:t>
      </w:r>
      <w:r w:rsidR="00A954D0" w:rsidRPr="008379CA">
        <w:rPr>
          <w:rFonts w:ascii="Bookman Old Style" w:hAnsi="Bookman Old Style"/>
          <w:sz w:val="24"/>
          <w:szCs w:val="24"/>
        </w:rPr>
        <w:t xml:space="preserve"> </w:t>
      </w:r>
      <w:r w:rsidRPr="008379CA">
        <w:rPr>
          <w:rFonts w:ascii="Bookman Old Style" w:hAnsi="Bookman Old Style"/>
          <w:sz w:val="24"/>
          <w:szCs w:val="24"/>
        </w:rPr>
        <w:t>capaian</w:t>
      </w:r>
      <w:r w:rsidR="00A954D0" w:rsidRPr="008379CA">
        <w:rPr>
          <w:rFonts w:ascii="Bookman Old Style" w:hAnsi="Bookman Old Style"/>
          <w:sz w:val="24"/>
          <w:szCs w:val="24"/>
        </w:rPr>
        <w:t xml:space="preserve"> </w:t>
      </w:r>
      <w:r w:rsidRPr="008379CA">
        <w:rPr>
          <w:rFonts w:ascii="Bookman Old Style" w:hAnsi="Bookman Old Style"/>
          <w:sz w:val="24"/>
          <w:szCs w:val="24"/>
        </w:rPr>
        <w:t>target</w:t>
      </w:r>
      <w:r w:rsidR="00A954D0" w:rsidRPr="008379CA">
        <w:rPr>
          <w:rFonts w:ascii="Bookman Old Style" w:hAnsi="Bookman Old Style"/>
          <w:sz w:val="24"/>
          <w:szCs w:val="24"/>
        </w:rPr>
        <w:t xml:space="preserve"> </w:t>
      </w:r>
      <w:r w:rsidRPr="008379CA">
        <w:rPr>
          <w:rFonts w:ascii="Bookman Old Style" w:hAnsi="Bookman Old Style"/>
          <w:sz w:val="24"/>
          <w:szCs w:val="24"/>
        </w:rPr>
        <w:t>kinerja</w:t>
      </w:r>
      <w:r w:rsidR="00A954D0" w:rsidRPr="008379CA">
        <w:rPr>
          <w:rFonts w:ascii="Bookman Old Style" w:hAnsi="Bookman Old Style"/>
          <w:sz w:val="24"/>
          <w:szCs w:val="24"/>
        </w:rPr>
        <w:t xml:space="preserve"> </w:t>
      </w:r>
      <w:r w:rsidRPr="008379CA">
        <w:rPr>
          <w:rFonts w:ascii="Bookman Old Style" w:hAnsi="Bookman Old Style"/>
          <w:sz w:val="24"/>
          <w:szCs w:val="24"/>
        </w:rPr>
        <w:t>program,</w:t>
      </w:r>
      <w:r w:rsidR="00A954D0" w:rsidRPr="008379CA">
        <w:rPr>
          <w:rFonts w:ascii="Bookman Old Style" w:hAnsi="Bookman Old Style"/>
          <w:sz w:val="24"/>
          <w:szCs w:val="24"/>
        </w:rPr>
        <w:t xml:space="preserve"> </w:t>
      </w:r>
      <w:r w:rsidRPr="008379CA">
        <w:rPr>
          <w:rFonts w:ascii="Bookman Old Style" w:hAnsi="Bookman Old Style"/>
          <w:sz w:val="24"/>
          <w:szCs w:val="24"/>
        </w:rPr>
        <w:t>kegiatan</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Pr="008379CA">
        <w:rPr>
          <w:rFonts w:ascii="Bookman Old Style" w:hAnsi="Bookman Old Style"/>
          <w:sz w:val="24"/>
          <w:szCs w:val="24"/>
        </w:rPr>
        <w:t>sub</w:t>
      </w:r>
      <w:r w:rsidR="00A954D0" w:rsidRPr="008379CA">
        <w:rPr>
          <w:rFonts w:ascii="Bookman Old Style" w:hAnsi="Bookman Old Style"/>
          <w:sz w:val="24"/>
          <w:szCs w:val="24"/>
        </w:rPr>
        <w:t xml:space="preserve"> </w:t>
      </w:r>
      <w:r w:rsidRPr="008379CA">
        <w:rPr>
          <w:rFonts w:ascii="Bookman Old Style" w:hAnsi="Bookman Old Style"/>
          <w:sz w:val="24"/>
          <w:szCs w:val="24"/>
        </w:rPr>
        <w:t>kegiatan</w:t>
      </w:r>
      <w:r w:rsidR="00A954D0" w:rsidRPr="008379CA">
        <w:rPr>
          <w:rFonts w:ascii="Bookman Old Style" w:hAnsi="Bookman Old Style"/>
          <w:sz w:val="24"/>
          <w:szCs w:val="24"/>
        </w:rPr>
        <w:t xml:space="preserve"> </w:t>
      </w:r>
      <w:r w:rsidRPr="008379CA">
        <w:rPr>
          <w:rFonts w:ascii="Bookman Old Style" w:hAnsi="Bookman Old Style"/>
          <w:sz w:val="24"/>
          <w:szCs w:val="24"/>
        </w:rPr>
        <w:t>sesuai</w:t>
      </w:r>
      <w:r w:rsidR="00A954D0" w:rsidRPr="008379CA">
        <w:rPr>
          <w:rFonts w:ascii="Bookman Old Style" w:hAnsi="Bookman Old Style"/>
          <w:sz w:val="24"/>
          <w:szCs w:val="24"/>
        </w:rPr>
        <w:t xml:space="preserve"> </w:t>
      </w:r>
      <w:r w:rsidRPr="008379CA">
        <w:rPr>
          <w:rFonts w:ascii="Bookman Old Style" w:hAnsi="Bookman Old Style"/>
          <w:sz w:val="24"/>
          <w:szCs w:val="24"/>
        </w:rPr>
        <w:t>dengan</w:t>
      </w:r>
      <w:r w:rsidR="00A954D0" w:rsidRPr="008379CA">
        <w:rPr>
          <w:rFonts w:ascii="Bookman Old Style" w:hAnsi="Bookman Old Style"/>
          <w:sz w:val="24"/>
          <w:szCs w:val="24"/>
        </w:rPr>
        <w:t xml:space="preserve"> </w:t>
      </w:r>
      <w:r w:rsidRPr="008379CA">
        <w:rPr>
          <w:rFonts w:ascii="Bookman Old Style" w:hAnsi="Bookman Old Style"/>
          <w:sz w:val="24"/>
          <w:szCs w:val="24"/>
        </w:rPr>
        <w:t>target</w:t>
      </w:r>
      <w:r w:rsidR="00A954D0" w:rsidRPr="008379CA">
        <w:rPr>
          <w:rFonts w:ascii="Bookman Old Style" w:hAnsi="Bookman Old Style"/>
          <w:sz w:val="24"/>
          <w:szCs w:val="24"/>
        </w:rPr>
        <w:t xml:space="preserve"> </w:t>
      </w:r>
      <w:r w:rsidRPr="008379CA">
        <w:rPr>
          <w:rFonts w:ascii="Bookman Old Style" w:hAnsi="Bookman Old Style"/>
          <w:sz w:val="24"/>
          <w:szCs w:val="24"/>
        </w:rPr>
        <w:t>capaian</w:t>
      </w:r>
      <w:r w:rsidR="00A954D0" w:rsidRPr="008379CA">
        <w:rPr>
          <w:rFonts w:ascii="Bookman Old Style" w:hAnsi="Bookman Old Style"/>
          <w:sz w:val="24"/>
          <w:szCs w:val="24"/>
        </w:rPr>
        <w:t xml:space="preserve"> </w:t>
      </w:r>
      <w:r w:rsidRPr="008379CA">
        <w:rPr>
          <w:rFonts w:ascii="Bookman Old Style" w:hAnsi="Bookman Old Style"/>
          <w:sz w:val="24"/>
          <w:szCs w:val="24"/>
        </w:rPr>
        <w:t>kinerja</w:t>
      </w:r>
      <w:r w:rsidR="00A954D0" w:rsidRPr="008379CA">
        <w:rPr>
          <w:rFonts w:ascii="Bookman Old Style" w:hAnsi="Bookman Old Style"/>
          <w:sz w:val="24"/>
          <w:szCs w:val="24"/>
        </w:rPr>
        <w:t xml:space="preserve"> </w:t>
      </w:r>
      <w:r w:rsidRPr="008379CA">
        <w:rPr>
          <w:rFonts w:ascii="Bookman Old Style" w:hAnsi="Bookman Old Style"/>
          <w:sz w:val="24"/>
          <w:szCs w:val="24"/>
        </w:rPr>
        <w:t>yang</w:t>
      </w:r>
      <w:r w:rsidR="00A954D0" w:rsidRPr="008379CA">
        <w:rPr>
          <w:rFonts w:ascii="Bookman Old Style" w:hAnsi="Bookman Old Style"/>
          <w:sz w:val="24"/>
          <w:szCs w:val="24"/>
        </w:rPr>
        <w:t xml:space="preserve"> </w:t>
      </w:r>
      <w:r w:rsidRPr="008379CA">
        <w:rPr>
          <w:rFonts w:ascii="Bookman Old Style" w:hAnsi="Bookman Old Style"/>
          <w:sz w:val="24"/>
          <w:szCs w:val="24"/>
        </w:rPr>
        <w:t>diharapkan</w:t>
      </w:r>
      <w:r w:rsidR="00A954D0" w:rsidRPr="008379CA">
        <w:rPr>
          <w:rFonts w:ascii="Bookman Old Style" w:hAnsi="Bookman Old Style"/>
          <w:sz w:val="24"/>
          <w:szCs w:val="24"/>
        </w:rPr>
        <w:t xml:space="preserve"> </w:t>
      </w:r>
      <w:r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Pr="008379CA">
        <w:rPr>
          <w:rFonts w:ascii="Bookman Old Style" w:hAnsi="Bookman Old Style"/>
          <w:sz w:val="24"/>
          <w:szCs w:val="24"/>
        </w:rPr>
        <w:t>sub</w:t>
      </w:r>
      <w:r w:rsidR="00A954D0" w:rsidRPr="008379CA">
        <w:rPr>
          <w:rFonts w:ascii="Bookman Old Style" w:hAnsi="Bookman Old Style"/>
          <w:sz w:val="24"/>
          <w:szCs w:val="24"/>
        </w:rPr>
        <w:t xml:space="preserve"> </w:t>
      </w:r>
      <w:r w:rsidRPr="008379CA">
        <w:rPr>
          <w:rFonts w:ascii="Bookman Old Style" w:hAnsi="Bookman Old Style"/>
          <w:sz w:val="24"/>
          <w:szCs w:val="24"/>
        </w:rPr>
        <w:t>kegiatan</w:t>
      </w:r>
      <w:r w:rsidR="00A954D0" w:rsidRPr="008379CA">
        <w:rPr>
          <w:rFonts w:ascii="Bookman Old Style" w:hAnsi="Bookman Old Style"/>
          <w:sz w:val="24"/>
          <w:szCs w:val="24"/>
        </w:rPr>
        <w:t xml:space="preserve"> </w:t>
      </w:r>
      <w:r w:rsidRPr="008379CA">
        <w:rPr>
          <w:rFonts w:ascii="Bookman Old Style" w:hAnsi="Bookman Old Style"/>
          <w:sz w:val="24"/>
          <w:szCs w:val="24"/>
        </w:rPr>
        <w:t>dimaksud</w:t>
      </w:r>
      <w:r w:rsidR="00A954D0" w:rsidRPr="008379CA">
        <w:rPr>
          <w:rFonts w:ascii="Bookman Old Style" w:hAnsi="Bookman Old Style"/>
          <w:sz w:val="24"/>
          <w:szCs w:val="24"/>
        </w:rPr>
        <w:t xml:space="preserve"> </w:t>
      </w:r>
      <w:r w:rsidRPr="008379CA">
        <w:rPr>
          <w:rFonts w:ascii="Bookman Old Style" w:hAnsi="Bookman Old Style"/>
          <w:sz w:val="24"/>
          <w:szCs w:val="24"/>
        </w:rPr>
        <w:t>apabila</w:t>
      </w:r>
      <w:r w:rsidR="00A954D0" w:rsidRPr="008379CA">
        <w:rPr>
          <w:rFonts w:ascii="Bookman Old Style" w:hAnsi="Bookman Old Style"/>
          <w:sz w:val="24"/>
          <w:szCs w:val="24"/>
        </w:rPr>
        <w:t xml:space="preserve"> </w:t>
      </w:r>
      <w:r w:rsidRPr="008379CA">
        <w:rPr>
          <w:rFonts w:ascii="Bookman Old Style" w:hAnsi="Bookman Old Style"/>
          <w:sz w:val="24"/>
          <w:szCs w:val="24"/>
        </w:rPr>
        <w:t>ditinjau</w:t>
      </w:r>
      <w:r w:rsidR="00A954D0" w:rsidRPr="008379CA">
        <w:rPr>
          <w:rFonts w:ascii="Bookman Old Style" w:hAnsi="Bookman Old Style"/>
          <w:sz w:val="24"/>
          <w:szCs w:val="24"/>
        </w:rPr>
        <w:t xml:space="preserve"> </w:t>
      </w:r>
      <w:r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Pr="008379CA">
        <w:rPr>
          <w:rFonts w:ascii="Bookman Old Style" w:hAnsi="Bookman Old Style"/>
          <w:sz w:val="24"/>
          <w:szCs w:val="24"/>
        </w:rPr>
        <w:t>aspek</w:t>
      </w:r>
      <w:r w:rsidR="00A954D0" w:rsidRPr="008379CA">
        <w:rPr>
          <w:rFonts w:ascii="Bookman Old Style" w:hAnsi="Bookman Old Style"/>
          <w:sz w:val="24"/>
          <w:szCs w:val="24"/>
        </w:rPr>
        <w:t xml:space="preserve"> </w:t>
      </w:r>
      <w:r w:rsidRPr="008379CA">
        <w:rPr>
          <w:rFonts w:ascii="Bookman Old Style" w:hAnsi="Bookman Old Style"/>
          <w:sz w:val="24"/>
          <w:szCs w:val="24"/>
        </w:rPr>
        <w:t>indikator,</w:t>
      </w:r>
      <w:r w:rsidR="00A954D0" w:rsidRPr="008379CA">
        <w:rPr>
          <w:rFonts w:ascii="Bookman Old Style" w:hAnsi="Bookman Old Style"/>
          <w:sz w:val="24"/>
          <w:szCs w:val="24"/>
        </w:rPr>
        <w:t xml:space="preserve"> </w:t>
      </w:r>
      <w:r w:rsidRPr="008379CA">
        <w:rPr>
          <w:rFonts w:ascii="Bookman Old Style" w:hAnsi="Bookman Old Style"/>
          <w:sz w:val="24"/>
          <w:szCs w:val="24"/>
        </w:rPr>
        <w:t>tolok</w:t>
      </w:r>
      <w:r w:rsidR="00A954D0" w:rsidRPr="008379CA">
        <w:rPr>
          <w:rFonts w:ascii="Bookman Old Style" w:hAnsi="Bookman Old Style"/>
          <w:sz w:val="24"/>
          <w:szCs w:val="24"/>
        </w:rPr>
        <w:t xml:space="preserve"> </w:t>
      </w:r>
      <w:r w:rsidRPr="008379CA">
        <w:rPr>
          <w:rFonts w:ascii="Bookman Old Style" w:hAnsi="Bookman Old Style"/>
          <w:sz w:val="24"/>
          <w:szCs w:val="24"/>
        </w:rPr>
        <w:t>ukur,</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Pr="008379CA">
        <w:rPr>
          <w:rFonts w:ascii="Bookman Old Style" w:hAnsi="Bookman Old Style"/>
          <w:sz w:val="24"/>
          <w:szCs w:val="24"/>
        </w:rPr>
        <w:t>target</w:t>
      </w:r>
      <w:r w:rsidR="00A954D0" w:rsidRPr="008379CA">
        <w:rPr>
          <w:rFonts w:ascii="Bookman Old Style" w:hAnsi="Bookman Old Style"/>
          <w:sz w:val="24"/>
          <w:szCs w:val="24"/>
        </w:rPr>
        <w:t xml:space="preserve"> </w:t>
      </w:r>
      <w:r w:rsidRPr="008379CA">
        <w:rPr>
          <w:rFonts w:ascii="Bookman Old Style" w:hAnsi="Bookman Old Style"/>
          <w:sz w:val="24"/>
          <w:szCs w:val="24"/>
        </w:rPr>
        <w:t>kinerja</w:t>
      </w:r>
      <w:r w:rsidR="00A954D0" w:rsidRPr="008379CA">
        <w:rPr>
          <w:rFonts w:ascii="Bookman Old Style" w:hAnsi="Bookman Old Style"/>
          <w:sz w:val="24"/>
          <w:szCs w:val="24"/>
        </w:rPr>
        <w:t xml:space="preserve"> </w:t>
      </w:r>
      <w:r w:rsidRPr="008379CA">
        <w:rPr>
          <w:rFonts w:ascii="Bookman Old Style" w:hAnsi="Bookman Old Style"/>
          <w:sz w:val="24"/>
          <w:szCs w:val="24"/>
        </w:rPr>
        <w:t>kegiatan,</w:t>
      </w:r>
      <w:r w:rsidR="00A954D0" w:rsidRPr="008379CA">
        <w:rPr>
          <w:rFonts w:ascii="Bookman Old Style" w:hAnsi="Bookman Old Style"/>
          <w:sz w:val="24"/>
          <w:szCs w:val="24"/>
        </w:rPr>
        <w:t xml:space="preserve"> </w:t>
      </w:r>
      <w:r w:rsidRPr="008379CA">
        <w:rPr>
          <w:rFonts w:ascii="Bookman Old Style" w:hAnsi="Bookman Old Style"/>
          <w:sz w:val="24"/>
          <w:szCs w:val="24"/>
        </w:rPr>
        <w:t>sebagaimana</w:t>
      </w:r>
      <w:r w:rsidR="00A954D0" w:rsidRPr="008379CA">
        <w:rPr>
          <w:rFonts w:ascii="Bookman Old Style" w:hAnsi="Bookman Old Style"/>
          <w:sz w:val="24"/>
          <w:szCs w:val="24"/>
        </w:rPr>
        <w:t xml:space="preserve"> </w:t>
      </w:r>
      <w:r w:rsidRPr="008379CA">
        <w:rPr>
          <w:rFonts w:ascii="Bookman Old Style" w:hAnsi="Bookman Old Style"/>
          <w:sz w:val="24"/>
          <w:szCs w:val="24"/>
        </w:rPr>
        <w:t>maksud</w:t>
      </w:r>
      <w:r w:rsidR="00A954D0" w:rsidRPr="008379CA">
        <w:rPr>
          <w:rFonts w:ascii="Bookman Old Style" w:hAnsi="Bookman Old Style"/>
          <w:sz w:val="24"/>
          <w:szCs w:val="24"/>
        </w:rPr>
        <w:t xml:space="preserve"> </w:t>
      </w:r>
      <w:r w:rsidRPr="008379CA">
        <w:rPr>
          <w:rFonts w:ascii="Bookman Old Style" w:hAnsi="Bookman Old Style"/>
          <w:sz w:val="24"/>
          <w:szCs w:val="24"/>
        </w:rPr>
        <w:t>Pasal</w:t>
      </w:r>
      <w:r w:rsidR="00A954D0" w:rsidRPr="008379CA">
        <w:rPr>
          <w:rFonts w:ascii="Bookman Old Style" w:hAnsi="Bookman Old Style"/>
          <w:sz w:val="24"/>
          <w:szCs w:val="24"/>
        </w:rPr>
        <w:t xml:space="preserve"> </w:t>
      </w:r>
      <w:r w:rsidRPr="008379CA">
        <w:rPr>
          <w:rFonts w:ascii="Bookman Old Style" w:hAnsi="Bookman Old Style"/>
          <w:sz w:val="24"/>
          <w:szCs w:val="24"/>
        </w:rPr>
        <w:t>54</w:t>
      </w:r>
      <w:r w:rsidR="00A954D0" w:rsidRPr="008379CA">
        <w:rPr>
          <w:rFonts w:ascii="Bookman Old Style" w:hAnsi="Bookman Old Style"/>
          <w:sz w:val="24"/>
          <w:szCs w:val="24"/>
        </w:rPr>
        <w:t xml:space="preserve"> </w:t>
      </w:r>
      <w:r w:rsidRPr="008379CA">
        <w:rPr>
          <w:rFonts w:ascii="Bookman Old Style" w:hAnsi="Bookman Old Style"/>
          <w:sz w:val="24"/>
          <w:szCs w:val="24"/>
        </w:rPr>
        <w:t>ayat</w:t>
      </w:r>
      <w:r w:rsidR="00A954D0" w:rsidRPr="008379CA">
        <w:rPr>
          <w:rFonts w:ascii="Bookman Old Style" w:hAnsi="Bookman Old Style"/>
          <w:sz w:val="24"/>
          <w:szCs w:val="24"/>
        </w:rPr>
        <w:t xml:space="preserve"> </w:t>
      </w:r>
      <w:r w:rsidRPr="008379CA">
        <w:rPr>
          <w:rFonts w:ascii="Bookman Old Style" w:hAnsi="Bookman Old Style"/>
          <w:sz w:val="24"/>
          <w:szCs w:val="24"/>
        </w:rPr>
        <w:t>(3)</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Pr="008379CA">
        <w:rPr>
          <w:rFonts w:ascii="Bookman Old Style" w:hAnsi="Bookman Old Style"/>
          <w:sz w:val="24"/>
          <w:szCs w:val="24"/>
        </w:rPr>
        <w:t>Pasal</w:t>
      </w:r>
      <w:r w:rsidR="00A954D0" w:rsidRPr="008379CA">
        <w:rPr>
          <w:rFonts w:ascii="Bookman Old Style" w:hAnsi="Bookman Old Style"/>
          <w:sz w:val="24"/>
          <w:szCs w:val="24"/>
        </w:rPr>
        <w:t xml:space="preserve"> </w:t>
      </w:r>
      <w:r w:rsidRPr="008379CA">
        <w:rPr>
          <w:rFonts w:ascii="Bookman Old Style" w:hAnsi="Bookman Old Style"/>
          <w:sz w:val="24"/>
          <w:szCs w:val="24"/>
        </w:rPr>
        <w:t>97</w:t>
      </w:r>
      <w:r w:rsidR="00A954D0" w:rsidRPr="008379CA">
        <w:rPr>
          <w:rFonts w:ascii="Bookman Old Style" w:hAnsi="Bookman Old Style"/>
          <w:sz w:val="24"/>
          <w:szCs w:val="24"/>
        </w:rPr>
        <w:t xml:space="preserve"> </w:t>
      </w:r>
      <w:r w:rsidRPr="008379CA">
        <w:rPr>
          <w:rFonts w:ascii="Bookman Old Style" w:hAnsi="Bookman Old Style"/>
          <w:sz w:val="24"/>
          <w:szCs w:val="24"/>
        </w:rPr>
        <w:t>Peraturan</w:t>
      </w:r>
      <w:r w:rsidR="00A954D0" w:rsidRPr="008379CA">
        <w:rPr>
          <w:rFonts w:ascii="Bookman Old Style" w:hAnsi="Bookman Old Style"/>
          <w:sz w:val="24"/>
          <w:szCs w:val="24"/>
        </w:rPr>
        <w:t xml:space="preserve"> </w:t>
      </w:r>
      <w:r w:rsidRPr="008379CA">
        <w:rPr>
          <w:rFonts w:ascii="Bookman Old Style" w:hAnsi="Bookman Old Style"/>
          <w:sz w:val="24"/>
          <w:szCs w:val="24"/>
        </w:rPr>
        <w:t>Pemerintah</w:t>
      </w:r>
      <w:r w:rsidR="00A954D0" w:rsidRPr="008379CA">
        <w:rPr>
          <w:rFonts w:ascii="Bookman Old Style" w:hAnsi="Bookman Old Style"/>
          <w:sz w:val="24"/>
          <w:szCs w:val="24"/>
        </w:rPr>
        <w:t xml:space="preserve"> </w:t>
      </w:r>
      <w:r w:rsidRPr="008379CA">
        <w:rPr>
          <w:rFonts w:ascii="Bookman Old Style" w:hAnsi="Bookman Old Style"/>
          <w:sz w:val="24"/>
          <w:szCs w:val="24"/>
        </w:rPr>
        <w:t>Nomor</w:t>
      </w:r>
      <w:r w:rsidR="00A954D0" w:rsidRPr="008379CA">
        <w:rPr>
          <w:rFonts w:ascii="Bookman Old Style" w:hAnsi="Bookman Old Style"/>
          <w:sz w:val="24"/>
          <w:szCs w:val="24"/>
        </w:rPr>
        <w:t xml:space="preserve"> </w:t>
      </w:r>
      <w:r w:rsidRPr="008379CA">
        <w:rPr>
          <w:rFonts w:ascii="Bookman Old Style" w:hAnsi="Bookman Old Style"/>
          <w:sz w:val="24"/>
          <w:szCs w:val="24"/>
        </w:rPr>
        <w:t>12</w:t>
      </w:r>
      <w:r w:rsidR="00A954D0" w:rsidRPr="008379CA">
        <w:rPr>
          <w:rFonts w:ascii="Bookman Old Style" w:hAnsi="Bookman Old Style"/>
          <w:sz w:val="24"/>
          <w:szCs w:val="24"/>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rPr>
        <w:t>2019</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Pr="008379CA">
        <w:rPr>
          <w:rFonts w:ascii="Bookman Old Style" w:hAnsi="Bookman Old Style"/>
          <w:sz w:val="24"/>
          <w:szCs w:val="24"/>
        </w:rPr>
        <w:t>butir</w:t>
      </w:r>
      <w:r w:rsidR="00A954D0" w:rsidRPr="008379CA">
        <w:rPr>
          <w:rFonts w:ascii="Bookman Old Style" w:hAnsi="Bookman Old Style"/>
          <w:sz w:val="24"/>
          <w:szCs w:val="24"/>
        </w:rPr>
        <w:t xml:space="preserve"> </w:t>
      </w:r>
      <w:r w:rsidRPr="008379CA">
        <w:rPr>
          <w:rFonts w:ascii="Bookman Old Style" w:hAnsi="Bookman Old Style"/>
          <w:sz w:val="24"/>
          <w:szCs w:val="24"/>
        </w:rPr>
        <w:t>4.1.3.c</w:t>
      </w:r>
      <w:r w:rsidR="00A954D0" w:rsidRPr="008379CA">
        <w:rPr>
          <w:rFonts w:ascii="Bookman Old Style" w:hAnsi="Bookman Old Style"/>
          <w:sz w:val="24"/>
          <w:szCs w:val="24"/>
        </w:rPr>
        <w:t xml:space="preserve"> </w:t>
      </w:r>
      <w:r w:rsidRPr="008379CA">
        <w:rPr>
          <w:rFonts w:ascii="Bookman Old Style" w:hAnsi="Bookman Old Style"/>
          <w:sz w:val="24"/>
          <w:szCs w:val="24"/>
        </w:rPr>
        <w:t>Lampiran</w:t>
      </w:r>
      <w:r w:rsidR="00A954D0" w:rsidRPr="008379CA">
        <w:rPr>
          <w:rFonts w:ascii="Bookman Old Style" w:hAnsi="Bookman Old Style"/>
          <w:sz w:val="24"/>
          <w:szCs w:val="24"/>
        </w:rPr>
        <w:t xml:space="preserve"> </w:t>
      </w:r>
      <w:r w:rsidRPr="008379CA">
        <w:rPr>
          <w:rFonts w:ascii="Bookman Old Style" w:hAnsi="Bookman Old Style"/>
          <w:sz w:val="24"/>
          <w:szCs w:val="24"/>
        </w:rPr>
        <w:t>Peraturan</w:t>
      </w:r>
      <w:r w:rsidR="00A954D0" w:rsidRPr="008379CA">
        <w:rPr>
          <w:rFonts w:ascii="Bookman Old Style" w:hAnsi="Bookman Old Style"/>
          <w:sz w:val="24"/>
          <w:szCs w:val="24"/>
        </w:rPr>
        <w:t xml:space="preserve"> </w:t>
      </w:r>
      <w:r w:rsidRPr="008379CA">
        <w:rPr>
          <w:rFonts w:ascii="Bookman Old Style" w:hAnsi="Bookman Old Style"/>
          <w:sz w:val="24"/>
          <w:szCs w:val="24"/>
        </w:rPr>
        <w:t>Menteri</w:t>
      </w:r>
      <w:r w:rsidR="00A954D0" w:rsidRPr="008379CA">
        <w:rPr>
          <w:rFonts w:ascii="Bookman Old Style" w:hAnsi="Bookman Old Style"/>
          <w:sz w:val="24"/>
          <w:szCs w:val="24"/>
        </w:rPr>
        <w:t xml:space="preserve"> </w:t>
      </w:r>
      <w:r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Pr="008379CA">
        <w:rPr>
          <w:rFonts w:ascii="Bookman Old Style" w:hAnsi="Bookman Old Style"/>
          <w:sz w:val="24"/>
          <w:szCs w:val="24"/>
        </w:rPr>
        <w:t>Negeri</w:t>
      </w:r>
      <w:r w:rsidR="00A954D0" w:rsidRPr="008379CA">
        <w:rPr>
          <w:rFonts w:ascii="Bookman Old Style" w:hAnsi="Bookman Old Style"/>
          <w:sz w:val="24"/>
          <w:szCs w:val="24"/>
        </w:rPr>
        <w:t xml:space="preserve"> </w:t>
      </w:r>
      <w:r w:rsidRPr="008379CA">
        <w:rPr>
          <w:rFonts w:ascii="Bookman Old Style" w:hAnsi="Bookman Old Style"/>
          <w:sz w:val="24"/>
          <w:szCs w:val="24"/>
        </w:rPr>
        <w:t>Nomor</w:t>
      </w:r>
      <w:r w:rsidR="00A954D0" w:rsidRPr="008379CA">
        <w:rPr>
          <w:rFonts w:ascii="Bookman Old Style" w:hAnsi="Bookman Old Style"/>
          <w:sz w:val="24"/>
          <w:szCs w:val="24"/>
        </w:rPr>
        <w:t xml:space="preserve"> </w:t>
      </w:r>
      <w:r w:rsidRPr="008379CA">
        <w:rPr>
          <w:rFonts w:ascii="Bookman Old Style" w:hAnsi="Bookman Old Style"/>
          <w:sz w:val="24"/>
          <w:szCs w:val="24"/>
        </w:rPr>
        <w:t>15</w:t>
      </w:r>
      <w:r w:rsidR="00A954D0" w:rsidRPr="008379CA">
        <w:rPr>
          <w:rFonts w:ascii="Bookman Old Style" w:hAnsi="Bookman Old Style"/>
          <w:sz w:val="24"/>
          <w:szCs w:val="24"/>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rPr>
        <w:t>2024</w:t>
      </w:r>
      <w:r w:rsidRPr="008379CA">
        <w:rPr>
          <w:rFonts w:ascii="Bookman Old Style" w:hAnsi="Bookman Old Style"/>
          <w:sz w:val="24"/>
          <w:szCs w:val="24"/>
          <w:lang w:val="en-US"/>
        </w:rPr>
        <w:t>.</w:t>
      </w:r>
    </w:p>
    <w:p w14:paraId="26F8FD80" w14:textId="67977DC7" w:rsidR="00C76494" w:rsidRPr="008379CA" w:rsidRDefault="00994781" w:rsidP="00994781">
      <w:pPr>
        <w:pStyle w:val="ListParagraph"/>
        <w:spacing w:before="60" w:after="0" w:line="276" w:lineRule="auto"/>
        <w:ind w:left="1276"/>
        <w:contextualSpacing w:val="0"/>
        <w:jc w:val="both"/>
        <w:rPr>
          <w:rFonts w:ascii="Bookman Old Style" w:hAnsi="Bookman Old Style" w:cs="Arial"/>
          <w:sz w:val="24"/>
          <w:szCs w:val="24"/>
          <w:highlight w:val="yellow"/>
          <w:lang w:val="id-ID"/>
        </w:rPr>
      </w:pPr>
      <w:r w:rsidRPr="008379CA">
        <w:rPr>
          <w:rFonts w:ascii="Bookman Old Style" w:hAnsi="Bookman Old Style"/>
          <w:sz w:val="24"/>
          <w:szCs w:val="24"/>
        </w:rPr>
        <w:t>Selanjutnya,</w:t>
      </w:r>
      <w:r w:rsidR="00A954D0" w:rsidRPr="008379CA">
        <w:rPr>
          <w:rFonts w:ascii="Bookman Old Style" w:hAnsi="Bookman Old Style"/>
          <w:sz w:val="24"/>
          <w:szCs w:val="24"/>
        </w:rPr>
        <w:t xml:space="preserve"> </w:t>
      </w:r>
      <w:r w:rsidRPr="008379CA">
        <w:rPr>
          <w:rFonts w:ascii="Bookman Old Style" w:hAnsi="Bookman Old Style"/>
          <w:sz w:val="24"/>
          <w:szCs w:val="24"/>
        </w:rPr>
        <w:t>Pemerintah</w:t>
      </w:r>
      <w:r w:rsidR="00A954D0" w:rsidRPr="008379CA">
        <w:rPr>
          <w:rFonts w:ascii="Bookman Old Style" w:hAnsi="Bookman Old Style"/>
          <w:sz w:val="24"/>
          <w:szCs w:val="24"/>
        </w:rPr>
        <w:t xml:space="preserve"> </w:t>
      </w:r>
      <w:r w:rsidRPr="008379CA">
        <w:rPr>
          <w:rFonts w:ascii="Bookman Old Style" w:hAnsi="Bookman Old Style"/>
          <w:sz w:val="24"/>
          <w:szCs w:val="24"/>
        </w:rPr>
        <w:t>Kota</w:t>
      </w:r>
      <w:r w:rsidR="00A954D0" w:rsidRPr="008379CA">
        <w:rPr>
          <w:rFonts w:ascii="Bookman Old Style" w:hAnsi="Bookman Old Style"/>
          <w:sz w:val="24"/>
          <w:szCs w:val="24"/>
        </w:rPr>
        <w:t xml:space="preserve"> </w:t>
      </w:r>
      <w:r w:rsidRPr="008379CA">
        <w:rPr>
          <w:rFonts w:ascii="Bookman Old Style" w:hAnsi="Bookman Old Style"/>
          <w:sz w:val="24"/>
          <w:szCs w:val="24"/>
        </w:rPr>
        <w:t>Tangerang</w:t>
      </w:r>
      <w:r w:rsidR="00A954D0" w:rsidRPr="008379CA">
        <w:rPr>
          <w:rFonts w:ascii="Bookman Old Style" w:hAnsi="Bookman Old Style"/>
          <w:sz w:val="24"/>
          <w:szCs w:val="24"/>
        </w:rPr>
        <w:t xml:space="preserve"> </w:t>
      </w:r>
      <w:r w:rsidRPr="008379CA">
        <w:rPr>
          <w:rFonts w:ascii="Bookman Old Style" w:hAnsi="Bookman Old Style"/>
          <w:sz w:val="24"/>
          <w:szCs w:val="24"/>
        </w:rPr>
        <w:t>agar</w:t>
      </w:r>
      <w:r w:rsidR="00A954D0" w:rsidRPr="008379CA">
        <w:rPr>
          <w:rFonts w:ascii="Bookman Old Style" w:hAnsi="Bookman Old Style"/>
          <w:sz w:val="24"/>
          <w:szCs w:val="24"/>
          <w:lang w:val="en-US"/>
        </w:rPr>
        <w:t xml:space="preserve"> </w:t>
      </w:r>
      <w:r w:rsidRPr="008379CA">
        <w:rPr>
          <w:rFonts w:ascii="Bookman Old Style" w:hAnsi="Bookman Old Style"/>
          <w:sz w:val="24"/>
          <w:szCs w:val="24"/>
        </w:rPr>
        <w:t>menyediakan</w:t>
      </w:r>
      <w:r w:rsidR="00A954D0" w:rsidRPr="008379CA">
        <w:rPr>
          <w:rFonts w:ascii="Bookman Old Style" w:hAnsi="Bookman Old Style"/>
          <w:sz w:val="24"/>
          <w:szCs w:val="24"/>
        </w:rPr>
        <w:t xml:space="preserve"> </w:t>
      </w:r>
      <w:r w:rsidRPr="008379CA">
        <w:rPr>
          <w:rFonts w:ascii="Bookman Old Style" w:hAnsi="Bookman Old Style"/>
          <w:sz w:val="24"/>
          <w:szCs w:val="24"/>
        </w:rPr>
        <w:t>alokasi</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yang</w:t>
      </w:r>
      <w:r w:rsidR="00A954D0" w:rsidRPr="008379CA">
        <w:rPr>
          <w:rFonts w:ascii="Bookman Old Style" w:hAnsi="Bookman Old Style"/>
          <w:sz w:val="24"/>
          <w:szCs w:val="24"/>
        </w:rPr>
        <w:t xml:space="preserve"> </w:t>
      </w:r>
      <w:r w:rsidRPr="008379CA">
        <w:rPr>
          <w:rFonts w:ascii="Bookman Old Style" w:hAnsi="Bookman Old Style"/>
          <w:sz w:val="24"/>
          <w:szCs w:val="24"/>
        </w:rPr>
        <w:t>memadai</w:t>
      </w:r>
      <w:r w:rsidR="00A954D0" w:rsidRPr="008379CA">
        <w:rPr>
          <w:rFonts w:ascii="Bookman Old Style" w:hAnsi="Bookman Old Style"/>
          <w:sz w:val="24"/>
          <w:szCs w:val="24"/>
        </w:rPr>
        <w:t xml:space="preserve"> </w:t>
      </w:r>
      <w:r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Pr="008379CA">
        <w:rPr>
          <w:rFonts w:ascii="Bookman Old Style" w:hAnsi="Bookman Old Style"/>
          <w:sz w:val="24"/>
          <w:szCs w:val="24"/>
        </w:rPr>
        <w:t>Rancangan</w:t>
      </w:r>
      <w:r w:rsidR="00A954D0" w:rsidRPr="008379CA">
        <w:rPr>
          <w:rFonts w:ascii="Bookman Old Style" w:hAnsi="Bookman Old Style"/>
          <w:sz w:val="24"/>
          <w:szCs w:val="24"/>
        </w:rPr>
        <w:t xml:space="preserve"> </w:t>
      </w:r>
      <w:r w:rsidRPr="008379CA">
        <w:rPr>
          <w:rFonts w:ascii="Bookman Old Style" w:hAnsi="Bookman Old Style"/>
          <w:sz w:val="24"/>
          <w:szCs w:val="24"/>
        </w:rPr>
        <w:t>Peraturan</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Kota</w:t>
      </w:r>
      <w:r w:rsidR="00A954D0" w:rsidRPr="008379CA">
        <w:rPr>
          <w:rFonts w:ascii="Bookman Old Style" w:hAnsi="Bookman Old Style"/>
          <w:sz w:val="24"/>
          <w:szCs w:val="24"/>
        </w:rPr>
        <w:t xml:space="preserve"> </w:t>
      </w:r>
      <w:r w:rsidRPr="008379CA">
        <w:rPr>
          <w:rFonts w:ascii="Bookman Old Style" w:hAnsi="Bookman Old Style"/>
          <w:sz w:val="24"/>
          <w:szCs w:val="24"/>
        </w:rPr>
        <w:t>Tangerang</w:t>
      </w:r>
      <w:r w:rsidR="00A954D0" w:rsidRPr="008379CA">
        <w:rPr>
          <w:rFonts w:ascii="Bookman Old Style" w:hAnsi="Bookman Old Style"/>
          <w:sz w:val="24"/>
          <w:szCs w:val="24"/>
        </w:rPr>
        <w:t xml:space="preserve"> </w:t>
      </w:r>
      <w:r w:rsidRPr="008379CA">
        <w:rPr>
          <w:rFonts w:ascii="Bookman Old Style" w:hAnsi="Bookman Old Style"/>
          <w:sz w:val="24"/>
          <w:szCs w:val="24"/>
        </w:rPr>
        <w:t>tentang</w:t>
      </w:r>
      <w:r w:rsidR="00A954D0" w:rsidRPr="008379CA">
        <w:rPr>
          <w:rFonts w:ascii="Bookman Old Style" w:hAnsi="Bookman Old Style"/>
          <w:sz w:val="24"/>
          <w:szCs w:val="24"/>
        </w:rPr>
        <w:t xml:space="preserve"> </w:t>
      </w:r>
      <w:r w:rsidRPr="008379CA">
        <w:rPr>
          <w:rFonts w:ascii="Bookman Old Style" w:hAnsi="Bookman Old Style"/>
          <w:sz w:val="24"/>
          <w:szCs w:val="24"/>
        </w:rPr>
        <w:t>APBD</w:t>
      </w:r>
      <w:r w:rsidR="00A954D0" w:rsidRPr="008379CA">
        <w:rPr>
          <w:rFonts w:ascii="Bookman Old Style" w:hAnsi="Bookman Old Style"/>
          <w:sz w:val="24"/>
          <w:szCs w:val="24"/>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2025</w:t>
      </w:r>
      <w:r w:rsidR="00A954D0" w:rsidRPr="008379CA">
        <w:rPr>
          <w:rFonts w:ascii="Bookman Old Style" w:hAnsi="Bookman Old Style"/>
          <w:sz w:val="24"/>
          <w:szCs w:val="24"/>
        </w:rPr>
        <w:t xml:space="preserve"> </w:t>
      </w:r>
      <w:r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Pr="008379CA">
        <w:rPr>
          <w:rFonts w:ascii="Bookman Old Style" w:hAnsi="Bookman Old Style"/>
          <w:sz w:val="24"/>
          <w:szCs w:val="24"/>
        </w:rPr>
        <w:t>rangka</w:t>
      </w:r>
      <w:r w:rsidR="00A954D0" w:rsidRPr="008379CA">
        <w:rPr>
          <w:rFonts w:ascii="Bookman Old Style" w:hAnsi="Bookman Old Style"/>
          <w:sz w:val="24"/>
          <w:szCs w:val="24"/>
        </w:rPr>
        <w:t xml:space="preserve"> </w:t>
      </w:r>
      <w:r w:rsidRPr="008379CA">
        <w:rPr>
          <w:rFonts w:ascii="Bookman Old Style" w:hAnsi="Bookman Old Style"/>
          <w:sz w:val="24"/>
          <w:szCs w:val="24"/>
        </w:rPr>
        <w:t>mendukung</w:t>
      </w:r>
      <w:r w:rsidR="00A954D0" w:rsidRPr="008379CA">
        <w:rPr>
          <w:rFonts w:ascii="Bookman Old Style" w:hAnsi="Bookman Old Style"/>
          <w:sz w:val="24"/>
          <w:szCs w:val="24"/>
        </w:rPr>
        <w:t xml:space="preserve"> </w:t>
      </w:r>
      <w:r w:rsidRPr="008379CA">
        <w:rPr>
          <w:rFonts w:ascii="Bookman Old Style" w:hAnsi="Bookman Old Style"/>
          <w:sz w:val="24"/>
          <w:szCs w:val="24"/>
        </w:rPr>
        <w:t>percepatan</w:t>
      </w:r>
      <w:r w:rsidR="00A954D0" w:rsidRPr="008379CA">
        <w:rPr>
          <w:rFonts w:ascii="Bookman Old Style" w:hAnsi="Bookman Old Style"/>
          <w:sz w:val="24"/>
          <w:szCs w:val="24"/>
        </w:rPr>
        <w:t xml:space="preserve"> </w:t>
      </w:r>
      <w:r w:rsidRPr="008379CA">
        <w:rPr>
          <w:rFonts w:ascii="Bookman Old Style" w:hAnsi="Bookman Old Style"/>
          <w:sz w:val="24"/>
          <w:szCs w:val="24"/>
        </w:rPr>
        <w:t>transformasi</w:t>
      </w:r>
      <w:r w:rsidR="00A954D0" w:rsidRPr="008379CA">
        <w:rPr>
          <w:rFonts w:ascii="Bookman Old Style" w:hAnsi="Bookman Old Style"/>
          <w:sz w:val="24"/>
          <w:szCs w:val="24"/>
        </w:rPr>
        <w:t xml:space="preserve"> </w:t>
      </w:r>
      <w:r w:rsidRPr="008379CA">
        <w:rPr>
          <w:rFonts w:ascii="Bookman Old Style" w:hAnsi="Bookman Old Style"/>
          <w:sz w:val="24"/>
          <w:szCs w:val="24"/>
        </w:rPr>
        <w:t>ekonomi</w:t>
      </w:r>
      <w:r w:rsidR="00A954D0" w:rsidRPr="008379CA">
        <w:rPr>
          <w:rFonts w:ascii="Bookman Old Style" w:hAnsi="Bookman Old Style"/>
          <w:sz w:val="24"/>
          <w:szCs w:val="24"/>
        </w:rPr>
        <w:t xml:space="preserve"> </w:t>
      </w:r>
      <w:r w:rsidRPr="008379CA">
        <w:rPr>
          <w:rFonts w:ascii="Bookman Old Style" w:hAnsi="Bookman Old Style"/>
          <w:sz w:val="24"/>
          <w:szCs w:val="24"/>
        </w:rPr>
        <w:t>melalui</w:t>
      </w:r>
      <w:r w:rsidR="00A954D0" w:rsidRPr="008379CA">
        <w:rPr>
          <w:rFonts w:ascii="Bookman Old Style" w:hAnsi="Bookman Old Style"/>
          <w:sz w:val="24"/>
          <w:szCs w:val="24"/>
        </w:rPr>
        <w:t xml:space="preserve"> </w:t>
      </w:r>
      <w:r w:rsidRPr="008379CA">
        <w:rPr>
          <w:rFonts w:ascii="Bookman Old Style" w:hAnsi="Bookman Old Style"/>
          <w:sz w:val="24"/>
          <w:szCs w:val="24"/>
        </w:rPr>
        <w:t>peningkatan</w:t>
      </w:r>
      <w:r w:rsidR="00A954D0" w:rsidRPr="008379CA">
        <w:rPr>
          <w:rFonts w:ascii="Bookman Old Style" w:hAnsi="Bookman Old Style"/>
          <w:sz w:val="24"/>
          <w:szCs w:val="24"/>
        </w:rPr>
        <w:t xml:space="preserve"> </w:t>
      </w:r>
      <w:r w:rsidRPr="008379CA">
        <w:rPr>
          <w:rFonts w:ascii="Bookman Old Style" w:hAnsi="Bookman Old Style"/>
          <w:sz w:val="24"/>
          <w:szCs w:val="24"/>
        </w:rPr>
        <w:t>investasi</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Pr="008379CA">
        <w:rPr>
          <w:rFonts w:ascii="Bookman Old Style" w:hAnsi="Bookman Old Style"/>
          <w:sz w:val="24"/>
          <w:szCs w:val="24"/>
        </w:rPr>
        <w:t>kemudahan</w:t>
      </w:r>
      <w:r w:rsidR="00A954D0" w:rsidRPr="008379CA">
        <w:rPr>
          <w:rFonts w:ascii="Bookman Old Style" w:hAnsi="Bookman Old Style"/>
          <w:sz w:val="24"/>
          <w:szCs w:val="24"/>
        </w:rPr>
        <w:t xml:space="preserve"> </w:t>
      </w:r>
      <w:r w:rsidRPr="008379CA">
        <w:rPr>
          <w:rFonts w:ascii="Bookman Old Style" w:hAnsi="Bookman Old Style"/>
          <w:sz w:val="24"/>
          <w:szCs w:val="24"/>
        </w:rPr>
        <w:t>berusaha</w:t>
      </w:r>
      <w:r w:rsidR="00A954D0" w:rsidRPr="008379CA">
        <w:rPr>
          <w:rFonts w:ascii="Bookman Old Style" w:hAnsi="Bookman Old Style"/>
          <w:sz w:val="24"/>
          <w:szCs w:val="24"/>
        </w:rPr>
        <w:t xml:space="preserve"> </w:t>
      </w:r>
      <w:r w:rsidRPr="008379CA">
        <w:rPr>
          <w:rFonts w:ascii="Bookman Old Style" w:hAnsi="Bookman Old Style"/>
          <w:sz w:val="24"/>
          <w:szCs w:val="24"/>
        </w:rPr>
        <w:t>serta</w:t>
      </w:r>
      <w:r w:rsidR="00A954D0" w:rsidRPr="008379CA">
        <w:rPr>
          <w:rFonts w:ascii="Bookman Old Style" w:hAnsi="Bookman Old Style"/>
          <w:sz w:val="24"/>
          <w:szCs w:val="24"/>
        </w:rPr>
        <w:t xml:space="preserve"> </w:t>
      </w:r>
      <w:r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Pr="008379CA">
        <w:rPr>
          <w:rFonts w:ascii="Bookman Old Style" w:hAnsi="Bookman Old Style"/>
          <w:sz w:val="24"/>
          <w:szCs w:val="24"/>
        </w:rPr>
        <w:t>rangka</w:t>
      </w:r>
      <w:r w:rsidR="00A954D0" w:rsidRPr="008379CA">
        <w:rPr>
          <w:rFonts w:ascii="Bookman Old Style" w:hAnsi="Bookman Old Style"/>
          <w:sz w:val="24"/>
          <w:szCs w:val="24"/>
        </w:rPr>
        <w:t xml:space="preserve"> </w:t>
      </w:r>
      <w:r w:rsidRPr="008379CA">
        <w:rPr>
          <w:rFonts w:ascii="Bookman Old Style" w:hAnsi="Bookman Old Style"/>
          <w:sz w:val="24"/>
          <w:szCs w:val="24"/>
        </w:rPr>
        <w:t>mencegah</w:t>
      </w:r>
      <w:r w:rsidR="00A954D0" w:rsidRPr="008379CA">
        <w:rPr>
          <w:rFonts w:ascii="Bookman Old Style" w:hAnsi="Bookman Old Style"/>
          <w:sz w:val="24"/>
          <w:szCs w:val="24"/>
        </w:rPr>
        <w:t xml:space="preserve"> </w:t>
      </w:r>
      <w:r w:rsidRPr="008379CA">
        <w:rPr>
          <w:rFonts w:ascii="Bookman Old Style" w:hAnsi="Bookman Old Style"/>
          <w:sz w:val="24"/>
          <w:szCs w:val="24"/>
        </w:rPr>
        <w:t>korupsi</w:t>
      </w:r>
      <w:r w:rsidR="00A954D0" w:rsidRPr="008379CA">
        <w:rPr>
          <w:rFonts w:ascii="Bookman Old Style" w:hAnsi="Bookman Old Style"/>
          <w:sz w:val="24"/>
          <w:szCs w:val="24"/>
        </w:rPr>
        <w:t xml:space="preserve"> </w:t>
      </w:r>
      <w:r w:rsidRPr="008379CA">
        <w:rPr>
          <w:rFonts w:ascii="Bookman Old Style" w:hAnsi="Bookman Old Style"/>
          <w:sz w:val="24"/>
          <w:szCs w:val="24"/>
        </w:rPr>
        <w:t>di</w:t>
      </w:r>
      <w:r w:rsidR="00A954D0" w:rsidRPr="008379CA">
        <w:rPr>
          <w:rFonts w:ascii="Bookman Old Style" w:hAnsi="Bookman Old Style"/>
          <w:sz w:val="24"/>
          <w:szCs w:val="24"/>
        </w:rPr>
        <w:t xml:space="preserve"> </w:t>
      </w:r>
      <w:r w:rsidRPr="008379CA">
        <w:rPr>
          <w:rFonts w:ascii="Bookman Old Style" w:hAnsi="Bookman Old Style"/>
          <w:sz w:val="24"/>
          <w:szCs w:val="24"/>
        </w:rPr>
        <w:t>sektor</w:t>
      </w:r>
      <w:r w:rsidR="00A954D0" w:rsidRPr="008379CA">
        <w:rPr>
          <w:rFonts w:ascii="Bookman Old Style" w:hAnsi="Bookman Old Style"/>
          <w:sz w:val="24"/>
          <w:szCs w:val="24"/>
        </w:rPr>
        <w:t xml:space="preserve"> </w:t>
      </w:r>
      <w:r w:rsidRPr="008379CA">
        <w:rPr>
          <w:rFonts w:ascii="Bookman Old Style" w:hAnsi="Bookman Old Style"/>
          <w:sz w:val="24"/>
          <w:szCs w:val="24"/>
        </w:rPr>
        <w:t>perizinan</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Pr="008379CA">
        <w:rPr>
          <w:rFonts w:ascii="Bookman Old Style" w:hAnsi="Bookman Old Style"/>
          <w:sz w:val="24"/>
          <w:szCs w:val="24"/>
        </w:rPr>
        <w:t>pelayanan</w:t>
      </w:r>
      <w:r w:rsidR="00A954D0" w:rsidRPr="008379CA">
        <w:rPr>
          <w:rFonts w:ascii="Bookman Old Style" w:hAnsi="Bookman Old Style"/>
          <w:sz w:val="24"/>
          <w:szCs w:val="24"/>
        </w:rPr>
        <w:t xml:space="preserve"> </w:t>
      </w:r>
      <w:r w:rsidRPr="008379CA">
        <w:rPr>
          <w:rFonts w:ascii="Bookman Old Style" w:hAnsi="Bookman Old Style"/>
          <w:sz w:val="24"/>
          <w:szCs w:val="24"/>
        </w:rPr>
        <w:t>terpadu</w:t>
      </w:r>
      <w:r w:rsidR="00A954D0" w:rsidRPr="008379CA">
        <w:rPr>
          <w:rFonts w:ascii="Bookman Old Style" w:hAnsi="Bookman Old Style"/>
          <w:sz w:val="24"/>
          <w:szCs w:val="24"/>
        </w:rPr>
        <w:t xml:space="preserve"> </w:t>
      </w:r>
      <w:r w:rsidRPr="008379CA">
        <w:rPr>
          <w:rFonts w:ascii="Bookman Old Style" w:hAnsi="Bookman Old Style"/>
          <w:sz w:val="24"/>
          <w:szCs w:val="24"/>
        </w:rPr>
        <w:t>satu</w:t>
      </w:r>
      <w:r w:rsidR="00A954D0" w:rsidRPr="008379CA">
        <w:rPr>
          <w:rFonts w:ascii="Bookman Old Style" w:hAnsi="Bookman Old Style"/>
          <w:sz w:val="24"/>
          <w:szCs w:val="24"/>
        </w:rPr>
        <w:t xml:space="preserve"> </w:t>
      </w:r>
      <w:r w:rsidRPr="008379CA">
        <w:rPr>
          <w:rFonts w:ascii="Bookman Old Style" w:hAnsi="Bookman Old Style"/>
          <w:sz w:val="24"/>
          <w:szCs w:val="24"/>
        </w:rPr>
        <w:t>pintu</w:t>
      </w:r>
      <w:r w:rsidR="00A954D0" w:rsidRPr="008379CA">
        <w:rPr>
          <w:rFonts w:ascii="Bookman Old Style" w:hAnsi="Bookman Old Style"/>
          <w:sz w:val="24"/>
          <w:szCs w:val="24"/>
        </w:rPr>
        <w:t xml:space="preserve"> </w:t>
      </w:r>
      <w:r w:rsidRPr="008379CA">
        <w:rPr>
          <w:rFonts w:ascii="Bookman Old Style" w:hAnsi="Bookman Old Style"/>
          <w:sz w:val="24"/>
          <w:szCs w:val="24"/>
        </w:rPr>
        <w:t>sebagaimana</w:t>
      </w:r>
      <w:r w:rsidR="00A954D0" w:rsidRPr="008379CA">
        <w:rPr>
          <w:rFonts w:ascii="Bookman Old Style" w:hAnsi="Bookman Old Style"/>
          <w:sz w:val="24"/>
          <w:szCs w:val="24"/>
        </w:rPr>
        <w:t xml:space="preserve"> </w:t>
      </w:r>
      <w:r w:rsidRPr="008379CA">
        <w:rPr>
          <w:rFonts w:ascii="Bookman Old Style" w:hAnsi="Bookman Old Style"/>
          <w:sz w:val="24"/>
          <w:szCs w:val="24"/>
        </w:rPr>
        <w:t>telah</w:t>
      </w:r>
      <w:r w:rsidR="00A954D0" w:rsidRPr="008379CA">
        <w:rPr>
          <w:rFonts w:ascii="Bookman Old Style" w:hAnsi="Bookman Old Style"/>
          <w:sz w:val="24"/>
          <w:szCs w:val="24"/>
        </w:rPr>
        <w:t xml:space="preserve"> </w:t>
      </w:r>
      <w:r w:rsidRPr="008379CA">
        <w:rPr>
          <w:rFonts w:ascii="Bookman Old Style" w:hAnsi="Bookman Old Style"/>
          <w:sz w:val="24"/>
          <w:szCs w:val="24"/>
        </w:rPr>
        <w:t>diatur</w:t>
      </w:r>
      <w:r w:rsidR="00A954D0" w:rsidRPr="008379CA">
        <w:rPr>
          <w:rFonts w:ascii="Bookman Old Style" w:hAnsi="Bookman Old Style"/>
          <w:sz w:val="24"/>
          <w:szCs w:val="24"/>
        </w:rPr>
        <w:t xml:space="preserve"> </w:t>
      </w:r>
      <w:r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Pr="008379CA">
        <w:rPr>
          <w:rFonts w:ascii="Bookman Old Style" w:hAnsi="Bookman Old Style"/>
          <w:sz w:val="24"/>
          <w:szCs w:val="24"/>
        </w:rPr>
        <w:t>Peraturan</w:t>
      </w:r>
      <w:r w:rsidR="00A954D0" w:rsidRPr="008379CA">
        <w:rPr>
          <w:rFonts w:ascii="Bookman Old Style" w:hAnsi="Bookman Old Style"/>
          <w:sz w:val="24"/>
          <w:szCs w:val="24"/>
        </w:rPr>
        <w:t xml:space="preserve"> </w:t>
      </w:r>
      <w:r w:rsidRPr="008379CA">
        <w:rPr>
          <w:rFonts w:ascii="Bookman Old Style" w:hAnsi="Bookman Old Style"/>
          <w:sz w:val="24"/>
          <w:szCs w:val="24"/>
        </w:rPr>
        <w:t>Menteri</w:t>
      </w:r>
      <w:r w:rsidR="00A954D0" w:rsidRPr="008379CA">
        <w:rPr>
          <w:rFonts w:ascii="Bookman Old Style" w:hAnsi="Bookman Old Style"/>
          <w:sz w:val="24"/>
          <w:szCs w:val="24"/>
        </w:rPr>
        <w:t xml:space="preserve"> </w:t>
      </w:r>
      <w:r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Pr="008379CA">
        <w:rPr>
          <w:rFonts w:ascii="Bookman Old Style" w:hAnsi="Bookman Old Style"/>
          <w:sz w:val="24"/>
          <w:szCs w:val="24"/>
        </w:rPr>
        <w:t>Negeri</w:t>
      </w:r>
      <w:r w:rsidR="00A954D0" w:rsidRPr="008379CA">
        <w:rPr>
          <w:rFonts w:ascii="Bookman Old Style" w:hAnsi="Bookman Old Style"/>
          <w:sz w:val="24"/>
          <w:szCs w:val="24"/>
        </w:rPr>
        <w:t xml:space="preserve"> </w:t>
      </w:r>
      <w:r w:rsidRPr="008379CA">
        <w:rPr>
          <w:rFonts w:ascii="Bookman Old Style" w:hAnsi="Bookman Old Style"/>
          <w:sz w:val="24"/>
          <w:szCs w:val="24"/>
        </w:rPr>
        <w:t>Nomor</w:t>
      </w:r>
      <w:r w:rsidR="00A954D0" w:rsidRPr="008379CA">
        <w:rPr>
          <w:rFonts w:ascii="Bookman Old Style" w:hAnsi="Bookman Old Style"/>
          <w:sz w:val="24"/>
          <w:szCs w:val="24"/>
        </w:rPr>
        <w:t xml:space="preserve"> </w:t>
      </w:r>
      <w:r w:rsidRPr="008379CA">
        <w:rPr>
          <w:rFonts w:ascii="Bookman Old Style" w:hAnsi="Bookman Old Style"/>
          <w:sz w:val="24"/>
          <w:szCs w:val="24"/>
        </w:rPr>
        <w:t>138</w:t>
      </w:r>
      <w:r w:rsidR="00A954D0" w:rsidRPr="008379CA">
        <w:rPr>
          <w:rFonts w:ascii="Bookman Old Style" w:hAnsi="Bookman Old Style"/>
          <w:sz w:val="24"/>
          <w:szCs w:val="24"/>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rPr>
        <w:t>2017</w:t>
      </w:r>
      <w:r w:rsidR="00A954D0" w:rsidRPr="008379CA">
        <w:rPr>
          <w:rFonts w:ascii="Bookman Old Style" w:hAnsi="Bookman Old Style"/>
          <w:sz w:val="24"/>
          <w:szCs w:val="24"/>
        </w:rPr>
        <w:t xml:space="preserve"> </w:t>
      </w:r>
      <w:r w:rsidRPr="008379CA">
        <w:rPr>
          <w:rFonts w:ascii="Bookman Old Style" w:hAnsi="Bookman Old Style"/>
          <w:sz w:val="24"/>
          <w:szCs w:val="24"/>
        </w:rPr>
        <w:t>tentang</w:t>
      </w:r>
      <w:r w:rsidR="00A954D0" w:rsidRPr="008379CA">
        <w:rPr>
          <w:rFonts w:ascii="Bookman Old Style" w:hAnsi="Bookman Old Style"/>
          <w:sz w:val="24"/>
          <w:szCs w:val="24"/>
        </w:rPr>
        <w:t xml:space="preserve"> </w:t>
      </w:r>
      <w:r w:rsidRPr="008379CA">
        <w:rPr>
          <w:rFonts w:ascii="Bookman Old Style" w:hAnsi="Bookman Old Style"/>
          <w:sz w:val="24"/>
          <w:szCs w:val="24"/>
        </w:rPr>
        <w:t>Penyelenggaraan</w:t>
      </w:r>
      <w:r w:rsidR="00A954D0" w:rsidRPr="008379CA">
        <w:rPr>
          <w:rFonts w:ascii="Bookman Old Style" w:hAnsi="Bookman Old Style"/>
          <w:sz w:val="24"/>
          <w:szCs w:val="24"/>
        </w:rPr>
        <w:t xml:space="preserve"> </w:t>
      </w:r>
      <w:r w:rsidRPr="008379CA">
        <w:rPr>
          <w:rFonts w:ascii="Bookman Old Style" w:hAnsi="Bookman Old Style"/>
          <w:sz w:val="24"/>
          <w:szCs w:val="24"/>
        </w:rPr>
        <w:t>Pelayanan</w:t>
      </w:r>
      <w:r w:rsidR="00A954D0" w:rsidRPr="008379CA">
        <w:rPr>
          <w:rFonts w:ascii="Bookman Old Style" w:hAnsi="Bookman Old Style"/>
          <w:sz w:val="24"/>
          <w:szCs w:val="24"/>
        </w:rPr>
        <w:t xml:space="preserve"> </w:t>
      </w:r>
      <w:r w:rsidRPr="008379CA">
        <w:rPr>
          <w:rFonts w:ascii="Bookman Old Style" w:hAnsi="Bookman Old Style"/>
          <w:sz w:val="24"/>
          <w:szCs w:val="24"/>
        </w:rPr>
        <w:t>Terpadu</w:t>
      </w:r>
      <w:r w:rsidR="00A954D0" w:rsidRPr="008379CA">
        <w:rPr>
          <w:rFonts w:ascii="Bookman Old Style" w:hAnsi="Bookman Old Style"/>
          <w:sz w:val="24"/>
          <w:szCs w:val="24"/>
        </w:rPr>
        <w:t xml:space="preserve"> </w:t>
      </w:r>
      <w:r w:rsidRPr="008379CA">
        <w:rPr>
          <w:rFonts w:ascii="Bookman Old Style" w:hAnsi="Bookman Old Style"/>
          <w:sz w:val="24"/>
          <w:szCs w:val="24"/>
        </w:rPr>
        <w:t>Satu</w:t>
      </w:r>
      <w:r w:rsidR="00A954D0" w:rsidRPr="008379CA">
        <w:rPr>
          <w:rFonts w:ascii="Bookman Old Style" w:hAnsi="Bookman Old Style"/>
          <w:sz w:val="24"/>
          <w:szCs w:val="24"/>
        </w:rPr>
        <w:t xml:space="preserve"> </w:t>
      </w:r>
      <w:r w:rsidRPr="008379CA">
        <w:rPr>
          <w:rFonts w:ascii="Bookman Old Style" w:hAnsi="Bookman Old Style"/>
          <w:sz w:val="24"/>
          <w:szCs w:val="24"/>
        </w:rPr>
        <w:t>Pintu</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sebagaimana</w:t>
      </w:r>
      <w:r w:rsidR="00A954D0" w:rsidRPr="008379CA">
        <w:rPr>
          <w:rFonts w:ascii="Bookman Old Style" w:hAnsi="Bookman Old Style"/>
          <w:sz w:val="24"/>
          <w:szCs w:val="24"/>
        </w:rPr>
        <w:t xml:space="preserve"> </w:t>
      </w:r>
      <w:r w:rsidRPr="008379CA">
        <w:rPr>
          <w:rFonts w:ascii="Bookman Old Style" w:hAnsi="Bookman Old Style"/>
          <w:sz w:val="24"/>
          <w:szCs w:val="24"/>
        </w:rPr>
        <w:t>maksud</w:t>
      </w:r>
      <w:r w:rsidR="00A954D0" w:rsidRPr="008379CA">
        <w:rPr>
          <w:rFonts w:ascii="Bookman Old Style" w:hAnsi="Bookman Old Style"/>
          <w:sz w:val="24"/>
          <w:szCs w:val="24"/>
        </w:rPr>
        <w:t xml:space="preserve"> </w:t>
      </w:r>
      <w:r w:rsidRPr="008379CA">
        <w:rPr>
          <w:rFonts w:ascii="Bookman Old Style" w:hAnsi="Bookman Old Style"/>
          <w:sz w:val="24"/>
          <w:szCs w:val="24"/>
        </w:rPr>
        <w:t>butir</w:t>
      </w:r>
      <w:r w:rsidR="00A954D0" w:rsidRPr="008379CA">
        <w:rPr>
          <w:rFonts w:ascii="Bookman Old Style" w:hAnsi="Bookman Old Style"/>
          <w:sz w:val="24"/>
          <w:szCs w:val="24"/>
        </w:rPr>
        <w:t xml:space="preserve"> </w:t>
      </w:r>
      <w:r w:rsidRPr="008379CA">
        <w:rPr>
          <w:rFonts w:ascii="Bookman Old Style" w:hAnsi="Bookman Old Style"/>
          <w:sz w:val="24"/>
          <w:szCs w:val="24"/>
        </w:rPr>
        <w:t>5.3.17</w:t>
      </w:r>
      <w:r w:rsidR="00A954D0" w:rsidRPr="008379CA">
        <w:rPr>
          <w:rFonts w:ascii="Bookman Old Style" w:hAnsi="Bookman Old Style"/>
          <w:sz w:val="24"/>
          <w:szCs w:val="24"/>
        </w:rPr>
        <w:t xml:space="preserve"> </w:t>
      </w:r>
      <w:r w:rsidRPr="008379CA">
        <w:rPr>
          <w:rFonts w:ascii="Bookman Old Style" w:hAnsi="Bookman Old Style"/>
          <w:sz w:val="24"/>
          <w:szCs w:val="24"/>
        </w:rPr>
        <w:t>Lampiran</w:t>
      </w:r>
      <w:r w:rsidR="00A954D0" w:rsidRPr="008379CA">
        <w:rPr>
          <w:rFonts w:ascii="Bookman Old Style" w:hAnsi="Bookman Old Style"/>
          <w:sz w:val="24"/>
          <w:szCs w:val="24"/>
        </w:rPr>
        <w:t xml:space="preserve"> </w:t>
      </w:r>
      <w:r w:rsidRPr="008379CA">
        <w:rPr>
          <w:rFonts w:ascii="Bookman Old Style" w:hAnsi="Bookman Old Style"/>
          <w:sz w:val="24"/>
          <w:szCs w:val="24"/>
        </w:rPr>
        <w:t>Peraturan</w:t>
      </w:r>
      <w:r w:rsidR="00A954D0" w:rsidRPr="008379CA">
        <w:rPr>
          <w:rFonts w:ascii="Bookman Old Style" w:hAnsi="Bookman Old Style"/>
          <w:sz w:val="24"/>
          <w:szCs w:val="24"/>
        </w:rPr>
        <w:t xml:space="preserve"> </w:t>
      </w:r>
      <w:r w:rsidRPr="008379CA">
        <w:rPr>
          <w:rFonts w:ascii="Bookman Old Style" w:hAnsi="Bookman Old Style"/>
          <w:sz w:val="24"/>
          <w:szCs w:val="24"/>
        </w:rPr>
        <w:t>Menteri</w:t>
      </w:r>
      <w:r w:rsidR="00A954D0" w:rsidRPr="008379CA">
        <w:rPr>
          <w:rFonts w:ascii="Bookman Old Style" w:hAnsi="Bookman Old Style"/>
          <w:sz w:val="24"/>
          <w:szCs w:val="24"/>
        </w:rPr>
        <w:t xml:space="preserve"> </w:t>
      </w:r>
      <w:r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Pr="008379CA">
        <w:rPr>
          <w:rFonts w:ascii="Bookman Old Style" w:hAnsi="Bookman Old Style"/>
          <w:sz w:val="24"/>
          <w:szCs w:val="24"/>
        </w:rPr>
        <w:t>Negeri</w:t>
      </w:r>
      <w:r w:rsidR="00A954D0" w:rsidRPr="008379CA">
        <w:rPr>
          <w:rFonts w:ascii="Bookman Old Style" w:hAnsi="Bookman Old Style"/>
          <w:sz w:val="24"/>
          <w:szCs w:val="24"/>
        </w:rPr>
        <w:t xml:space="preserve"> </w:t>
      </w:r>
      <w:r w:rsidRPr="008379CA">
        <w:rPr>
          <w:rFonts w:ascii="Bookman Old Style" w:hAnsi="Bookman Old Style"/>
          <w:sz w:val="24"/>
          <w:szCs w:val="24"/>
        </w:rPr>
        <w:t>Nomor</w:t>
      </w:r>
      <w:r w:rsidR="00A954D0" w:rsidRPr="008379CA">
        <w:rPr>
          <w:rFonts w:ascii="Bookman Old Style" w:hAnsi="Bookman Old Style"/>
          <w:sz w:val="24"/>
          <w:szCs w:val="24"/>
        </w:rPr>
        <w:t xml:space="preserve"> </w:t>
      </w:r>
      <w:r w:rsidRPr="008379CA">
        <w:rPr>
          <w:rFonts w:ascii="Bookman Old Style" w:hAnsi="Bookman Old Style"/>
          <w:sz w:val="24"/>
          <w:szCs w:val="24"/>
        </w:rPr>
        <w:t>15</w:t>
      </w:r>
      <w:r w:rsidR="00A954D0" w:rsidRPr="008379CA">
        <w:rPr>
          <w:rFonts w:ascii="Bookman Old Style" w:hAnsi="Bookman Old Style"/>
          <w:sz w:val="24"/>
          <w:szCs w:val="24"/>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rPr>
        <w:t>2024.</w:t>
      </w:r>
    </w:p>
    <w:p w14:paraId="3394C3B8" w14:textId="2A008F3B" w:rsidR="00182421" w:rsidRPr="008379CA" w:rsidRDefault="00182421" w:rsidP="00447E9A">
      <w:pPr>
        <w:pStyle w:val="ListParagraph"/>
        <w:numPr>
          <w:ilvl w:val="0"/>
          <w:numId w:val="97"/>
        </w:numPr>
        <w:spacing w:before="120" w:after="0" w:line="276" w:lineRule="auto"/>
        <w:ind w:left="1281" w:hanging="288"/>
        <w:contextualSpacing w:val="0"/>
        <w:jc w:val="both"/>
        <w:rPr>
          <w:rFonts w:ascii="Bookman Old Style" w:hAnsi="Bookman Old Style" w:cs="Arial"/>
          <w:sz w:val="24"/>
          <w:szCs w:val="24"/>
          <w:lang w:val="id-ID"/>
        </w:rPr>
      </w:pPr>
      <w:bookmarkStart w:id="12" w:name="_Hlk182065214"/>
      <w:r w:rsidRPr="008379CA">
        <w:rPr>
          <w:rFonts w:ascii="Bookman Old Style" w:hAnsi="Bookman Old Style" w:cs="Arial"/>
          <w:sz w:val="24"/>
          <w:szCs w:val="24"/>
        </w:rPr>
        <w:t>Alokasi</w:t>
      </w:r>
      <w:r w:rsidR="00A954D0" w:rsidRPr="008379CA">
        <w:rPr>
          <w:rFonts w:ascii="Bookman Old Style" w:hAnsi="Bookman Old Style" w:cs="Arial"/>
          <w:sz w:val="24"/>
          <w:szCs w:val="24"/>
        </w:rPr>
        <w:t xml:space="preserve"> </w:t>
      </w:r>
      <w:bookmarkEnd w:id="12"/>
      <w:r w:rsidR="00AB697B" w:rsidRPr="008379CA">
        <w:rPr>
          <w:rFonts w:ascii="Bookman Old Style" w:hAnsi="Bookman Old Style" w:cs="Arial"/>
          <w:sz w:val="24"/>
          <w:szCs w:val="24"/>
        </w:rPr>
        <w:t>Anggaran</w:t>
      </w:r>
      <w:r w:rsidR="00A954D0" w:rsidRPr="008379CA">
        <w:rPr>
          <w:rFonts w:ascii="Bookman Old Style" w:hAnsi="Bookman Old Style" w:cs="Arial"/>
          <w:sz w:val="24"/>
          <w:szCs w:val="24"/>
        </w:rPr>
        <w:t xml:space="preserve"> </w:t>
      </w:r>
      <w:r w:rsidR="00AB697B" w:rsidRPr="008379CA">
        <w:rPr>
          <w:rFonts w:ascii="Bookman Old Style" w:hAnsi="Bookman Old Style" w:cs="Arial"/>
          <w:sz w:val="24"/>
          <w:szCs w:val="24"/>
        </w:rPr>
        <w:t>untuk</w:t>
      </w:r>
      <w:r w:rsidR="00A954D0" w:rsidRPr="008379CA">
        <w:rPr>
          <w:rFonts w:ascii="Bookman Old Style" w:hAnsi="Bookman Old Style" w:cs="Arial"/>
          <w:sz w:val="24"/>
          <w:szCs w:val="24"/>
        </w:rPr>
        <w:t xml:space="preserve"> </w:t>
      </w:r>
      <w:r w:rsidR="00AB697B" w:rsidRPr="008379CA">
        <w:rPr>
          <w:rFonts w:ascii="Bookman Old Style" w:hAnsi="Bookman Old Style" w:cs="Arial"/>
          <w:sz w:val="24"/>
          <w:szCs w:val="24"/>
        </w:rPr>
        <w:t>Menurunkan</w:t>
      </w:r>
      <w:r w:rsidR="00A954D0" w:rsidRPr="008379CA">
        <w:rPr>
          <w:rFonts w:ascii="Bookman Old Style" w:hAnsi="Bookman Old Style" w:cs="Arial"/>
          <w:sz w:val="24"/>
          <w:szCs w:val="24"/>
        </w:rPr>
        <w:t xml:space="preserve"> </w:t>
      </w:r>
      <w:r w:rsidR="00AB697B" w:rsidRPr="008379CA">
        <w:rPr>
          <w:rFonts w:ascii="Bookman Old Style" w:hAnsi="Bookman Old Style" w:cs="Arial"/>
          <w:sz w:val="24"/>
          <w:szCs w:val="24"/>
        </w:rPr>
        <w:t>Angka</w:t>
      </w:r>
      <w:r w:rsidR="00A954D0" w:rsidRPr="008379CA">
        <w:rPr>
          <w:rFonts w:ascii="Bookman Old Style" w:hAnsi="Bookman Old Style" w:cs="Arial"/>
          <w:sz w:val="24"/>
          <w:szCs w:val="24"/>
        </w:rPr>
        <w:t xml:space="preserve"> </w:t>
      </w:r>
      <w:r w:rsidR="00AB697B" w:rsidRPr="008379CA">
        <w:rPr>
          <w:rFonts w:ascii="Bookman Old Style" w:hAnsi="Bookman Old Style" w:cs="Arial"/>
          <w:sz w:val="24"/>
          <w:szCs w:val="24"/>
        </w:rPr>
        <w:t>Pengangguran</w:t>
      </w:r>
    </w:p>
    <w:p w14:paraId="77060D40" w14:textId="60B15130" w:rsidR="00994781" w:rsidRPr="008379CA" w:rsidRDefault="00994781" w:rsidP="00994781">
      <w:pPr>
        <w:pStyle w:val="ListParagraph"/>
        <w:spacing w:before="60" w:after="0" w:line="276" w:lineRule="auto"/>
        <w:ind w:left="1276"/>
        <w:contextualSpacing w:val="0"/>
        <w:jc w:val="both"/>
        <w:rPr>
          <w:rFonts w:ascii="Bookman Old Style" w:hAnsi="Bookman Old Style" w:cs="Tahoma"/>
          <w:sz w:val="24"/>
          <w:szCs w:val="24"/>
          <w:lang w:val="id-ID"/>
        </w:rPr>
      </w:pPr>
      <w:r w:rsidRPr="008379CA">
        <w:rPr>
          <w:rFonts w:ascii="Bookman Old Style" w:hAnsi="Bookman Old Style" w:cs="Tahoma"/>
          <w:sz w:val="24"/>
          <w:szCs w:val="24"/>
        </w:rPr>
        <w:t>penyediaan</w:t>
      </w:r>
      <w:r w:rsidR="00A954D0" w:rsidRPr="008379CA">
        <w:rPr>
          <w:rFonts w:ascii="Bookman Old Style" w:hAnsi="Bookman Old Style" w:cs="Tahoma"/>
          <w:sz w:val="24"/>
          <w:szCs w:val="24"/>
        </w:rPr>
        <w:t xml:space="preserve"> </w:t>
      </w:r>
      <w:r w:rsidRPr="008379CA">
        <w:rPr>
          <w:rFonts w:ascii="Bookman Old Style" w:hAnsi="Bookman Old Style" w:cs="Tahoma"/>
          <w:sz w:val="24"/>
          <w:szCs w:val="24"/>
        </w:rPr>
        <w:t>anggaran</w:t>
      </w:r>
      <w:r w:rsidR="00A954D0" w:rsidRPr="008379CA">
        <w:rPr>
          <w:rFonts w:ascii="Bookman Old Style" w:hAnsi="Bookman Old Style" w:cs="Tahoma"/>
          <w:sz w:val="24"/>
          <w:szCs w:val="24"/>
        </w:rPr>
        <w:t xml:space="preserve"> </w:t>
      </w:r>
      <w:r w:rsidRPr="008379CA">
        <w:rPr>
          <w:rFonts w:ascii="Bookman Old Style" w:hAnsi="Bookman Old Style" w:cs="Tahoma"/>
          <w:sz w:val="24"/>
          <w:szCs w:val="24"/>
        </w:rPr>
        <w:t>untuk</w:t>
      </w:r>
      <w:r w:rsidR="00A954D0" w:rsidRPr="008379CA">
        <w:rPr>
          <w:rFonts w:ascii="Bookman Old Style" w:hAnsi="Bookman Old Style" w:cs="Tahoma"/>
          <w:sz w:val="24"/>
          <w:szCs w:val="24"/>
        </w:rPr>
        <w:t xml:space="preserve"> </w:t>
      </w:r>
      <w:r w:rsidRPr="008379CA">
        <w:rPr>
          <w:rFonts w:ascii="Bookman Old Style" w:hAnsi="Bookman Old Style" w:cs="Tahoma"/>
          <w:sz w:val="24"/>
          <w:szCs w:val="24"/>
        </w:rPr>
        <w:t>menurunkan</w:t>
      </w:r>
      <w:r w:rsidR="00A954D0" w:rsidRPr="008379CA">
        <w:rPr>
          <w:rFonts w:ascii="Bookman Old Style" w:hAnsi="Bookman Old Style" w:cs="Tahoma"/>
          <w:sz w:val="24"/>
          <w:szCs w:val="24"/>
        </w:rPr>
        <w:t xml:space="preserve"> </w:t>
      </w:r>
      <w:r w:rsidRPr="008379CA">
        <w:rPr>
          <w:rFonts w:ascii="Bookman Old Style" w:hAnsi="Bookman Old Style" w:cs="Tahoma"/>
          <w:sz w:val="24"/>
          <w:szCs w:val="24"/>
        </w:rPr>
        <w:t>angka</w:t>
      </w:r>
      <w:r w:rsidR="00A954D0" w:rsidRPr="008379CA">
        <w:rPr>
          <w:rFonts w:ascii="Bookman Old Style" w:hAnsi="Bookman Old Style" w:cs="Tahoma"/>
          <w:sz w:val="24"/>
          <w:szCs w:val="24"/>
        </w:rPr>
        <w:t xml:space="preserve"> </w:t>
      </w:r>
      <w:r w:rsidRPr="008379CA">
        <w:rPr>
          <w:rFonts w:ascii="Bookman Old Style" w:hAnsi="Bookman Old Style" w:cs="Tahoma"/>
          <w:sz w:val="24"/>
          <w:szCs w:val="24"/>
        </w:rPr>
        <w:t>pengangguran</w:t>
      </w:r>
      <w:r w:rsidR="00A954D0" w:rsidRPr="008379CA">
        <w:rPr>
          <w:rFonts w:ascii="Bookman Old Style" w:hAnsi="Bookman Old Style" w:cs="Tahoma"/>
          <w:sz w:val="24"/>
          <w:szCs w:val="24"/>
          <w:lang w:val="id-ID"/>
        </w:rPr>
        <w:t xml:space="preserve"> </w:t>
      </w:r>
      <w:r w:rsidRPr="008379CA">
        <w:rPr>
          <w:rFonts w:ascii="Bookman Old Style" w:hAnsi="Bookman Old Style" w:cs="Tahoma"/>
          <w:sz w:val="24"/>
          <w:szCs w:val="24"/>
          <w:lang w:val="id-ID"/>
        </w:rPr>
        <w:t>berdasarkan</w:t>
      </w:r>
      <w:r w:rsidR="00A954D0" w:rsidRPr="008379CA">
        <w:rPr>
          <w:rFonts w:ascii="Bookman Old Style" w:hAnsi="Bookman Old Style" w:cs="Tahoma"/>
          <w:sz w:val="24"/>
          <w:szCs w:val="24"/>
          <w:lang w:val="id-ID"/>
        </w:rPr>
        <w:t xml:space="preserve"> </w:t>
      </w:r>
      <w:r w:rsidRPr="008379CA">
        <w:rPr>
          <w:rFonts w:ascii="Bookman Old Style" w:hAnsi="Bookman Old Style" w:cs="Tahoma"/>
          <w:sz w:val="24"/>
          <w:szCs w:val="24"/>
          <w:lang w:val="id-ID"/>
        </w:rPr>
        <w:t>data</w:t>
      </w:r>
      <w:r w:rsidR="00A954D0" w:rsidRPr="008379CA">
        <w:rPr>
          <w:rFonts w:ascii="Bookman Old Style" w:hAnsi="Bookman Old Style" w:cs="Tahoma"/>
          <w:sz w:val="24"/>
          <w:szCs w:val="24"/>
          <w:lang w:val="id-ID"/>
        </w:rPr>
        <w:t xml:space="preserve"> </w:t>
      </w:r>
      <w:r w:rsidRPr="008379CA">
        <w:rPr>
          <w:rFonts w:ascii="Bookman Old Style" w:hAnsi="Bookman Old Style" w:cs="Tahoma"/>
          <w:sz w:val="24"/>
          <w:szCs w:val="24"/>
          <w:lang w:val="id-ID"/>
        </w:rPr>
        <w:t>dukung</w:t>
      </w:r>
      <w:r w:rsidR="00A954D0" w:rsidRPr="008379CA">
        <w:rPr>
          <w:rFonts w:ascii="Bookman Old Style" w:hAnsi="Bookman Old Style" w:cs="Tahoma"/>
          <w:sz w:val="24"/>
          <w:szCs w:val="24"/>
          <w:lang w:val="id-ID"/>
        </w:rPr>
        <w:t xml:space="preserve"> </w:t>
      </w:r>
      <w:r w:rsidRPr="008379CA">
        <w:rPr>
          <w:rFonts w:ascii="Bookman Old Style" w:hAnsi="Bookman Old Style" w:cs="Tahoma"/>
          <w:sz w:val="24"/>
          <w:szCs w:val="24"/>
        </w:rPr>
        <w:t>sebesar</w:t>
      </w:r>
      <w:r w:rsidR="00A954D0" w:rsidRPr="008379CA">
        <w:rPr>
          <w:rFonts w:ascii="Bookman Old Style" w:hAnsi="Bookman Old Style" w:cs="Tahoma"/>
          <w:sz w:val="24"/>
          <w:szCs w:val="24"/>
        </w:rPr>
        <w:t xml:space="preserve"> </w:t>
      </w:r>
      <w:r w:rsidRPr="008379CA">
        <w:rPr>
          <w:rFonts w:ascii="Bookman Old Style" w:hAnsi="Bookman Old Style" w:cs="Tahoma"/>
          <w:sz w:val="24"/>
          <w:szCs w:val="24"/>
        </w:rPr>
        <w:t>Rp4.850.538.100,00</w:t>
      </w:r>
      <w:r w:rsidR="00A954D0" w:rsidRPr="008379CA">
        <w:rPr>
          <w:rFonts w:ascii="Bookman Old Style" w:hAnsi="Bookman Old Style" w:cs="Tahoma"/>
          <w:sz w:val="24"/>
          <w:szCs w:val="24"/>
        </w:rPr>
        <w:t xml:space="preserve"> </w:t>
      </w:r>
      <w:r w:rsidRPr="008379CA">
        <w:rPr>
          <w:rFonts w:ascii="Bookman Old Style" w:hAnsi="Bookman Old Style" w:cs="Tahoma"/>
          <w:sz w:val="24"/>
          <w:szCs w:val="24"/>
        </w:rPr>
        <w:t>atau</w:t>
      </w:r>
      <w:r w:rsidR="00A954D0" w:rsidRPr="008379CA">
        <w:rPr>
          <w:rFonts w:ascii="Bookman Old Style" w:hAnsi="Bookman Old Style" w:cs="Tahoma"/>
          <w:sz w:val="24"/>
          <w:szCs w:val="24"/>
        </w:rPr>
        <w:t xml:space="preserve"> </w:t>
      </w:r>
      <w:r w:rsidRPr="008379CA">
        <w:rPr>
          <w:rFonts w:ascii="Bookman Old Style" w:hAnsi="Bookman Old Style" w:cs="Tahoma"/>
          <w:sz w:val="24"/>
          <w:szCs w:val="24"/>
          <w:lang w:val="id-ID"/>
        </w:rPr>
        <w:t>0,08</w:t>
      </w:r>
      <w:r w:rsidRPr="008379CA">
        <w:rPr>
          <w:rFonts w:ascii="Bookman Old Style" w:hAnsi="Bookman Old Style" w:cs="Tahoma"/>
          <w:sz w:val="24"/>
          <w:szCs w:val="24"/>
        </w:rPr>
        <w:t>%</w:t>
      </w:r>
      <w:r w:rsidR="00A954D0" w:rsidRPr="008379CA">
        <w:rPr>
          <w:rFonts w:ascii="Bookman Old Style" w:hAnsi="Bookman Old Style" w:cs="Tahoma"/>
          <w:sz w:val="24"/>
          <w:szCs w:val="24"/>
          <w:lang w:val="id-ID"/>
        </w:rPr>
        <w:t xml:space="preserve"> </w:t>
      </w:r>
      <w:r w:rsidRPr="008379CA">
        <w:rPr>
          <w:rFonts w:ascii="Bookman Old Style" w:hAnsi="Bookman Old Style" w:cs="Tahoma"/>
          <w:sz w:val="24"/>
          <w:szCs w:val="24"/>
        </w:rPr>
        <w:t>dari</w:t>
      </w:r>
      <w:r w:rsidR="00A954D0" w:rsidRPr="008379CA">
        <w:rPr>
          <w:rFonts w:ascii="Bookman Old Style" w:hAnsi="Bookman Old Style" w:cs="Tahoma"/>
          <w:sz w:val="24"/>
          <w:szCs w:val="24"/>
        </w:rPr>
        <w:t xml:space="preserve"> </w:t>
      </w:r>
      <w:r w:rsidRPr="008379CA">
        <w:rPr>
          <w:rFonts w:ascii="Bookman Old Style" w:hAnsi="Bookman Old Style" w:cs="Tahoma"/>
          <w:sz w:val="24"/>
          <w:szCs w:val="24"/>
        </w:rPr>
        <w:t>total</w:t>
      </w:r>
      <w:r w:rsidR="00A954D0" w:rsidRPr="008379CA">
        <w:rPr>
          <w:rFonts w:ascii="Bookman Old Style" w:hAnsi="Bookman Old Style" w:cs="Tahoma"/>
          <w:sz w:val="24"/>
          <w:szCs w:val="24"/>
        </w:rPr>
        <w:t xml:space="preserve"> </w:t>
      </w:r>
      <w:r w:rsidRPr="008379CA">
        <w:rPr>
          <w:rFonts w:ascii="Bookman Old Style" w:hAnsi="Bookman Old Style" w:cs="Tahoma"/>
          <w:sz w:val="24"/>
          <w:szCs w:val="24"/>
        </w:rPr>
        <w:t>belanja</w:t>
      </w:r>
      <w:r w:rsidR="00A954D0" w:rsidRPr="008379CA">
        <w:rPr>
          <w:rFonts w:ascii="Bookman Old Style" w:hAnsi="Bookman Old Style" w:cs="Tahoma"/>
          <w:sz w:val="24"/>
          <w:szCs w:val="24"/>
        </w:rPr>
        <w:t xml:space="preserve"> </w:t>
      </w:r>
      <w:r w:rsidRPr="008379CA">
        <w:rPr>
          <w:rFonts w:ascii="Bookman Old Style" w:hAnsi="Bookman Old Style" w:cs="Tahoma"/>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Pr="008379CA">
        <w:rPr>
          <w:rFonts w:ascii="Bookman Old Style" w:hAnsi="Bookman Old Style"/>
          <w:sz w:val="24"/>
          <w:szCs w:val="24"/>
        </w:rPr>
        <w:t>Rancangan</w:t>
      </w:r>
      <w:r w:rsidR="00A954D0" w:rsidRPr="008379CA">
        <w:rPr>
          <w:rFonts w:ascii="Bookman Old Style" w:hAnsi="Bookman Old Style"/>
          <w:sz w:val="24"/>
          <w:szCs w:val="24"/>
        </w:rPr>
        <w:t xml:space="preserve"> </w:t>
      </w:r>
      <w:r w:rsidRPr="008379CA">
        <w:rPr>
          <w:rFonts w:ascii="Bookman Old Style" w:hAnsi="Bookman Old Style"/>
          <w:sz w:val="24"/>
          <w:szCs w:val="24"/>
        </w:rPr>
        <w:t>Peraturan</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sz w:val="24"/>
          <w:szCs w:val="24"/>
        </w:rPr>
        <w:t>tentang</w:t>
      </w:r>
      <w:r w:rsidR="00A954D0" w:rsidRPr="008379CA">
        <w:rPr>
          <w:rFonts w:ascii="Bookman Old Style" w:hAnsi="Bookman Old Style"/>
          <w:sz w:val="24"/>
          <w:szCs w:val="24"/>
        </w:rPr>
        <w:t xml:space="preserve"> </w:t>
      </w:r>
      <w:r w:rsidRPr="008379CA">
        <w:rPr>
          <w:rFonts w:ascii="Bookman Old Style" w:hAnsi="Bookman Old Style"/>
          <w:sz w:val="24"/>
          <w:szCs w:val="24"/>
        </w:rPr>
        <w:t>APBD</w:t>
      </w:r>
      <w:r w:rsidR="00A954D0" w:rsidRPr="008379CA">
        <w:rPr>
          <w:rFonts w:ascii="Bookman Old Style" w:hAnsi="Bookman Old Style"/>
          <w:sz w:val="24"/>
          <w:szCs w:val="24"/>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202</w:t>
      </w:r>
      <w:r w:rsidRPr="008379CA">
        <w:rPr>
          <w:rFonts w:ascii="Bookman Old Style" w:hAnsi="Bookman Old Style"/>
          <w:sz w:val="24"/>
          <w:szCs w:val="24"/>
          <w:lang w:val="id-ID"/>
        </w:rPr>
        <w:t>5</w:t>
      </w:r>
      <w:r w:rsidRPr="008379CA">
        <w:rPr>
          <w:rFonts w:ascii="Bookman Old Style" w:hAnsi="Bookman Old Style" w:cs="Tahoma"/>
          <w:sz w:val="24"/>
          <w:szCs w:val="24"/>
        </w:rPr>
        <w:t>,</w:t>
      </w:r>
      <w:r w:rsidR="00A954D0" w:rsidRPr="008379CA">
        <w:rPr>
          <w:rFonts w:ascii="Bookman Old Style" w:hAnsi="Bookman Old Style" w:cs="Tahoma"/>
          <w:sz w:val="24"/>
          <w:szCs w:val="24"/>
        </w:rPr>
        <w:t xml:space="preserve"> </w:t>
      </w:r>
      <w:r w:rsidRPr="008379CA">
        <w:rPr>
          <w:rFonts w:ascii="Bookman Old Style" w:hAnsi="Bookman Old Style" w:cs="Tahoma"/>
          <w:sz w:val="24"/>
          <w:szCs w:val="24"/>
          <w:lang w:val="id-ID"/>
        </w:rPr>
        <w:lastRenderedPageBreak/>
        <w:t>tercantum</w:t>
      </w:r>
      <w:r w:rsidR="00A954D0" w:rsidRPr="008379CA">
        <w:rPr>
          <w:rFonts w:ascii="Bookman Old Style" w:hAnsi="Bookman Old Style" w:cs="Tahoma"/>
          <w:sz w:val="24"/>
          <w:szCs w:val="24"/>
          <w:lang w:val="id-ID"/>
        </w:rPr>
        <w:t xml:space="preserve"> </w:t>
      </w:r>
      <w:r w:rsidRPr="008379CA">
        <w:rPr>
          <w:rFonts w:ascii="Bookman Old Style" w:hAnsi="Bookman Old Style" w:cs="Tahoma"/>
          <w:sz w:val="24"/>
          <w:szCs w:val="24"/>
          <w:lang w:val="id-ID"/>
        </w:rPr>
        <w:t>pada</w:t>
      </w:r>
      <w:r w:rsidR="00A954D0" w:rsidRPr="008379CA">
        <w:rPr>
          <w:rFonts w:ascii="Bookman Old Style" w:hAnsi="Bookman Old Style" w:cs="Tahoma"/>
          <w:sz w:val="24"/>
          <w:szCs w:val="24"/>
          <w:lang w:val="id-ID"/>
        </w:rPr>
        <w:t xml:space="preserve"> </w:t>
      </w:r>
      <w:r w:rsidR="00F97477" w:rsidRPr="008379CA">
        <w:rPr>
          <w:rFonts w:ascii="Bookman Old Style" w:hAnsi="Bookman Old Style" w:cs="Tahoma"/>
          <w:sz w:val="24"/>
          <w:szCs w:val="24"/>
          <w:lang w:val="id-ID"/>
        </w:rPr>
        <w:t>Dinas</w:t>
      </w:r>
      <w:r w:rsidR="00A954D0" w:rsidRPr="008379CA">
        <w:rPr>
          <w:rFonts w:ascii="Bookman Old Style" w:hAnsi="Bookman Old Style" w:cs="Tahoma"/>
          <w:sz w:val="24"/>
          <w:szCs w:val="24"/>
          <w:lang w:val="id-ID"/>
        </w:rPr>
        <w:t xml:space="preserve"> </w:t>
      </w:r>
      <w:r w:rsidR="00F97477" w:rsidRPr="008379CA">
        <w:rPr>
          <w:rFonts w:ascii="Bookman Old Style" w:hAnsi="Bookman Old Style" w:cs="Tahoma"/>
          <w:sz w:val="24"/>
          <w:szCs w:val="24"/>
          <w:lang w:val="id-ID"/>
        </w:rPr>
        <w:t>Ketenagakerjaan,</w:t>
      </w:r>
      <w:r w:rsidR="00A954D0" w:rsidRPr="008379CA">
        <w:rPr>
          <w:rFonts w:ascii="Bookman Old Style" w:hAnsi="Bookman Old Style" w:cs="Tahoma"/>
          <w:sz w:val="24"/>
          <w:szCs w:val="24"/>
          <w:lang w:val="id-ID"/>
        </w:rPr>
        <w:t xml:space="preserve"> </w:t>
      </w:r>
      <w:r w:rsidR="009161AD" w:rsidRPr="008379CA">
        <w:rPr>
          <w:rFonts w:ascii="Bookman Old Style" w:hAnsi="Bookman Old Style" w:cs="Tahoma"/>
          <w:sz w:val="24"/>
          <w:szCs w:val="24"/>
          <w:lang w:val="id-ID"/>
        </w:rPr>
        <w:t>yang</w:t>
      </w:r>
      <w:r w:rsidR="00A954D0" w:rsidRPr="008379CA">
        <w:rPr>
          <w:rFonts w:ascii="Bookman Old Style" w:hAnsi="Bookman Old Style" w:cs="Tahoma"/>
          <w:sz w:val="24"/>
          <w:szCs w:val="24"/>
          <w:lang w:val="id-ID"/>
        </w:rPr>
        <w:t xml:space="preserve"> </w:t>
      </w:r>
      <w:r w:rsidR="009161AD" w:rsidRPr="008379CA">
        <w:rPr>
          <w:rFonts w:ascii="Bookman Old Style" w:hAnsi="Bookman Old Style" w:cs="Tahoma"/>
          <w:sz w:val="24"/>
          <w:szCs w:val="24"/>
          <w:lang w:val="id-ID"/>
        </w:rPr>
        <w:t>diuraikan</w:t>
      </w:r>
      <w:r w:rsidR="00A954D0" w:rsidRPr="008379CA">
        <w:rPr>
          <w:rFonts w:ascii="Bookman Old Style" w:hAnsi="Bookman Old Style" w:cs="Tahoma"/>
          <w:sz w:val="24"/>
          <w:szCs w:val="24"/>
          <w:lang w:val="id-ID"/>
        </w:rPr>
        <w:t xml:space="preserve"> </w:t>
      </w:r>
      <w:r w:rsidR="009161AD" w:rsidRPr="008379CA">
        <w:rPr>
          <w:rFonts w:ascii="Bookman Old Style" w:hAnsi="Bookman Old Style" w:cs="Tahoma"/>
          <w:sz w:val="24"/>
          <w:szCs w:val="24"/>
          <w:lang w:val="id-ID"/>
        </w:rPr>
        <w:t>dalam</w:t>
      </w:r>
      <w:r w:rsidR="00A954D0" w:rsidRPr="008379CA">
        <w:rPr>
          <w:rFonts w:ascii="Bookman Old Style" w:hAnsi="Bookman Old Style" w:cs="Tahoma"/>
          <w:sz w:val="24"/>
          <w:szCs w:val="24"/>
          <w:lang w:val="id-ID"/>
        </w:rPr>
        <w:t xml:space="preserve"> </w:t>
      </w:r>
      <w:r w:rsidRPr="008379CA">
        <w:rPr>
          <w:rFonts w:ascii="Bookman Old Style" w:hAnsi="Bookman Old Style" w:cs="Tahoma"/>
          <w:sz w:val="24"/>
          <w:szCs w:val="24"/>
          <w:lang w:val="id-ID"/>
        </w:rPr>
        <w:t>sub</w:t>
      </w:r>
      <w:r w:rsidR="00A954D0" w:rsidRPr="008379CA">
        <w:rPr>
          <w:rFonts w:ascii="Bookman Old Style" w:hAnsi="Bookman Old Style" w:cs="Tahoma"/>
          <w:sz w:val="24"/>
          <w:szCs w:val="24"/>
          <w:lang w:val="id-ID"/>
        </w:rPr>
        <w:t xml:space="preserve"> </w:t>
      </w:r>
      <w:r w:rsidRPr="008379CA">
        <w:rPr>
          <w:rFonts w:ascii="Bookman Old Style" w:hAnsi="Bookman Old Style" w:cs="Tahoma"/>
          <w:sz w:val="24"/>
          <w:szCs w:val="24"/>
          <w:lang w:val="id-ID"/>
        </w:rPr>
        <w:t>kegiatan:</w:t>
      </w:r>
    </w:p>
    <w:p w14:paraId="3E374DD5" w14:textId="6A992416" w:rsidR="00994781" w:rsidRPr="008379CA" w:rsidRDefault="00994781">
      <w:pPr>
        <w:pStyle w:val="ListParagraph"/>
        <w:numPr>
          <w:ilvl w:val="4"/>
          <w:numId w:val="105"/>
        </w:numPr>
        <w:spacing w:before="60" w:line="276" w:lineRule="auto"/>
        <w:ind w:left="1701" w:hanging="425"/>
        <w:jc w:val="both"/>
        <w:rPr>
          <w:rFonts w:ascii="Bookman Old Style" w:hAnsi="Bookman Old Style" w:cs="Tahoma"/>
          <w:sz w:val="24"/>
          <w:szCs w:val="24"/>
          <w:lang w:val="sv-FI"/>
        </w:rPr>
      </w:pPr>
      <w:r w:rsidRPr="008379CA">
        <w:rPr>
          <w:rFonts w:ascii="Bookman Old Style" w:hAnsi="Bookman Old Style" w:cs="Tahoma"/>
          <w:sz w:val="24"/>
          <w:szCs w:val="24"/>
          <w:lang w:val="sv-FI"/>
        </w:rPr>
        <w:t>Pelatihan</w:t>
      </w:r>
      <w:r w:rsidR="00A954D0" w:rsidRPr="008379CA">
        <w:rPr>
          <w:rFonts w:ascii="Bookman Old Style" w:hAnsi="Bookman Old Style" w:cs="Tahoma"/>
          <w:sz w:val="24"/>
          <w:szCs w:val="24"/>
          <w:lang w:val="sv-FI"/>
        </w:rPr>
        <w:t xml:space="preserve"> </w:t>
      </w:r>
      <w:r w:rsidRPr="008379CA">
        <w:rPr>
          <w:rFonts w:ascii="Bookman Old Style" w:hAnsi="Bookman Old Style" w:cs="Tahoma"/>
          <w:sz w:val="24"/>
          <w:szCs w:val="24"/>
          <w:lang w:val="sv-FI"/>
        </w:rPr>
        <w:t>berdasarkan</w:t>
      </w:r>
      <w:r w:rsidR="00A954D0" w:rsidRPr="008379CA">
        <w:rPr>
          <w:rFonts w:ascii="Bookman Old Style" w:hAnsi="Bookman Old Style" w:cs="Tahoma"/>
          <w:sz w:val="24"/>
          <w:szCs w:val="24"/>
          <w:lang w:val="sv-FI"/>
        </w:rPr>
        <w:t xml:space="preserve"> </w:t>
      </w:r>
      <w:r w:rsidRPr="008379CA">
        <w:rPr>
          <w:rFonts w:ascii="Bookman Old Style" w:hAnsi="Bookman Old Style" w:cs="Tahoma"/>
          <w:sz w:val="24"/>
          <w:szCs w:val="24"/>
          <w:lang w:val="sv-FI"/>
        </w:rPr>
        <w:t>Unit</w:t>
      </w:r>
      <w:r w:rsidR="00A954D0" w:rsidRPr="008379CA">
        <w:rPr>
          <w:rFonts w:ascii="Bookman Old Style" w:hAnsi="Bookman Old Style" w:cs="Tahoma"/>
          <w:sz w:val="24"/>
          <w:szCs w:val="24"/>
          <w:lang w:val="sv-FI"/>
        </w:rPr>
        <w:t xml:space="preserve"> </w:t>
      </w:r>
      <w:r w:rsidRPr="008379CA">
        <w:rPr>
          <w:rFonts w:ascii="Bookman Old Style" w:hAnsi="Bookman Old Style" w:cs="Tahoma"/>
          <w:sz w:val="24"/>
          <w:szCs w:val="24"/>
          <w:lang w:val="sv-FI"/>
        </w:rPr>
        <w:t>Kompetensi/Proses</w:t>
      </w:r>
      <w:r w:rsidR="00A954D0" w:rsidRPr="008379CA">
        <w:rPr>
          <w:rFonts w:ascii="Bookman Old Style" w:hAnsi="Bookman Old Style" w:cs="Tahoma"/>
          <w:sz w:val="24"/>
          <w:szCs w:val="24"/>
          <w:lang w:val="sv-FI"/>
        </w:rPr>
        <w:t xml:space="preserve"> </w:t>
      </w:r>
      <w:r w:rsidRPr="008379CA">
        <w:rPr>
          <w:rFonts w:ascii="Bookman Old Style" w:hAnsi="Bookman Old Style" w:cs="Tahoma"/>
          <w:sz w:val="24"/>
          <w:szCs w:val="24"/>
          <w:lang w:val="sv-FI"/>
        </w:rPr>
        <w:t>Pelaksanaan</w:t>
      </w:r>
      <w:r w:rsidR="00A954D0" w:rsidRPr="008379CA">
        <w:rPr>
          <w:rFonts w:ascii="Bookman Old Style" w:hAnsi="Bookman Old Style" w:cs="Tahoma"/>
          <w:sz w:val="24"/>
          <w:szCs w:val="24"/>
          <w:lang w:val="sv-FI"/>
        </w:rPr>
        <w:t xml:space="preserve"> </w:t>
      </w:r>
      <w:r w:rsidRPr="008379CA">
        <w:rPr>
          <w:rFonts w:ascii="Bookman Old Style" w:hAnsi="Bookman Old Style" w:cs="Tahoma"/>
          <w:sz w:val="24"/>
          <w:szCs w:val="24"/>
          <w:lang w:val="sv-FI"/>
        </w:rPr>
        <w:t>Pendidikan</w:t>
      </w:r>
      <w:r w:rsidR="00A954D0" w:rsidRPr="008379CA">
        <w:rPr>
          <w:rFonts w:ascii="Bookman Old Style" w:hAnsi="Bookman Old Style" w:cs="Tahoma"/>
          <w:sz w:val="24"/>
          <w:szCs w:val="24"/>
          <w:lang w:val="sv-FI"/>
        </w:rPr>
        <w:t xml:space="preserve"> </w:t>
      </w:r>
      <w:r w:rsidRPr="008379CA">
        <w:rPr>
          <w:rFonts w:ascii="Bookman Old Style" w:hAnsi="Bookman Old Style" w:cs="Tahoma"/>
          <w:sz w:val="24"/>
          <w:szCs w:val="24"/>
          <w:lang w:val="sv-FI"/>
        </w:rPr>
        <w:t>dan</w:t>
      </w:r>
      <w:r w:rsidR="00A954D0" w:rsidRPr="008379CA">
        <w:rPr>
          <w:rFonts w:ascii="Bookman Old Style" w:hAnsi="Bookman Old Style" w:cs="Tahoma"/>
          <w:sz w:val="24"/>
          <w:szCs w:val="24"/>
          <w:lang w:val="sv-FI"/>
        </w:rPr>
        <w:t xml:space="preserve"> </w:t>
      </w:r>
      <w:r w:rsidRPr="008379CA">
        <w:rPr>
          <w:rFonts w:ascii="Bookman Old Style" w:hAnsi="Bookman Old Style" w:cs="Tahoma"/>
          <w:sz w:val="24"/>
          <w:szCs w:val="24"/>
          <w:lang w:val="sv-FI"/>
        </w:rPr>
        <w:t>Pelatihan</w:t>
      </w:r>
      <w:r w:rsidR="00A954D0" w:rsidRPr="008379CA">
        <w:rPr>
          <w:rFonts w:ascii="Bookman Old Style" w:hAnsi="Bookman Old Style" w:cs="Tahoma"/>
          <w:sz w:val="24"/>
          <w:szCs w:val="24"/>
          <w:lang w:val="sv-FI"/>
        </w:rPr>
        <w:t xml:space="preserve"> </w:t>
      </w:r>
      <w:r w:rsidRPr="008379CA">
        <w:rPr>
          <w:rFonts w:ascii="Bookman Old Style" w:hAnsi="Bookman Old Style" w:cs="Tahoma"/>
          <w:sz w:val="24"/>
          <w:szCs w:val="24"/>
          <w:lang w:val="sv-FI"/>
        </w:rPr>
        <w:t>Keterampilan</w:t>
      </w:r>
      <w:r w:rsidR="00A954D0" w:rsidRPr="008379CA">
        <w:rPr>
          <w:rFonts w:ascii="Bookman Old Style" w:hAnsi="Bookman Old Style" w:cs="Tahoma"/>
          <w:sz w:val="24"/>
          <w:szCs w:val="24"/>
          <w:lang w:val="sv-FI"/>
        </w:rPr>
        <w:t xml:space="preserve"> </w:t>
      </w:r>
      <w:r w:rsidRPr="008379CA">
        <w:rPr>
          <w:rFonts w:ascii="Bookman Old Style" w:hAnsi="Bookman Old Style" w:cs="Tahoma"/>
          <w:sz w:val="24"/>
          <w:szCs w:val="24"/>
          <w:lang w:val="sv-FI"/>
        </w:rPr>
        <w:t>bagi</w:t>
      </w:r>
      <w:r w:rsidR="00A954D0" w:rsidRPr="008379CA">
        <w:rPr>
          <w:rFonts w:ascii="Bookman Old Style" w:hAnsi="Bookman Old Style" w:cs="Tahoma"/>
          <w:sz w:val="24"/>
          <w:szCs w:val="24"/>
          <w:lang w:val="sv-FI"/>
        </w:rPr>
        <w:t xml:space="preserve"> </w:t>
      </w:r>
      <w:r w:rsidRPr="008379CA">
        <w:rPr>
          <w:rFonts w:ascii="Bookman Old Style" w:hAnsi="Bookman Old Style" w:cs="Tahoma"/>
          <w:sz w:val="24"/>
          <w:szCs w:val="24"/>
          <w:lang w:val="sv-FI"/>
        </w:rPr>
        <w:t>Pencari</w:t>
      </w:r>
      <w:r w:rsidR="00A954D0" w:rsidRPr="008379CA">
        <w:rPr>
          <w:rFonts w:ascii="Bookman Old Style" w:hAnsi="Bookman Old Style" w:cs="Tahoma"/>
          <w:sz w:val="24"/>
          <w:szCs w:val="24"/>
          <w:lang w:val="sv-FI"/>
        </w:rPr>
        <w:t xml:space="preserve"> </w:t>
      </w:r>
      <w:r w:rsidRPr="008379CA">
        <w:rPr>
          <w:rFonts w:ascii="Bookman Old Style" w:hAnsi="Bookman Old Style" w:cs="Tahoma"/>
          <w:sz w:val="24"/>
          <w:szCs w:val="24"/>
          <w:lang w:val="sv-FI"/>
        </w:rPr>
        <w:t>Kerja</w:t>
      </w:r>
      <w:r w:rsidR="00A954D0" w:rsidRPr="008379CA">
        <w:rPr>
          <w:rFonts w:ascii="Bookman Old Style" w:hAnsi="Bookman Old Style" w:cs="Tahoma"/>
          <w:sz w:val="24"/>
          <w:szCs w:val="24"/>
          <w:lang w:val="sv-FI"/>
        </w:rPr>
        <w:t xml:space="preserve"> </w:t>
      </w:r>
      <w:r w:rsidRPr="008379CA">
        <w:rPr>
          <w:rFonts w:ascii="Bookman Old Style" w:hAnsi="Bookman Old Style" w:cs="Tahoma"/>
          <w:sz w:val="24"/>
          <w:szCs w:val="24"/>
          <w:lang w:val="sv-FI"/>
        </w:rPr>
        <w:t>berdasarkan</w:t>
      </w:r>
      <w:r w:rsidR="00A954D0" w:rsidRPr="008379CA">
        <w:rPr>
          <w:rFonts w:ascii="Bookman Old Style" w:hAnsi="Bookman Old Style" w:cs="Tahoma"/>
          <w:sz w:val="24"/>
          <w:szCs w:val="24"/>
          <w:lang w:val="sv-FI"/>
        </w:rPr>
        <w:t xml:space="preserve"> </w:t>
      </w:r>
      <w:r w:rsidRPr="008379CA">
        <w:rPr>
          <w:rFonts w:ascii="Bookman Old Style" w:hAnsi="Bookman Old Style" w:cs="Tahoma"/>
          <w:sz w:val="24"/>
          <w:szCs w:val="24"/>
          <w:lang w:val="sv-FI"/>
        </w:rPr>
        <w:t>Klaster</w:t>
      </w:r>
      <w:r w:rsidR="00A954D0" w:rsidRPr="008379CA">
        <w:rPr>
          <w:rFonts w:ascii="Bookman Old Style" w:hAnsi="Bookman Old Style" w:cs="Tahoma"/>
          <w:sz w:val="24"/>
          <w:szCs w:val="24"/>
          <w:lang w:val="sv-FI"/>
        </w:rPr>
        <w:t xml:space="preserve"> </w:t>
      </w:r>
      <w:r w:rsidRPr="008379CA">
        <w:rPr>
          <w:rFonts w:ascii="Bookman Old Style" w:hAnsi="Bookman Old Style" w:cs="Tahoma"/>
          <w:sz w:val="24"/>
          <w:szCs w:val="24"/>
          <w:lang w:val="sv-FI"/>
        </w:rPr>
        <w:t>Kompetensi</w:t>
      </w:r>
      <w:r w:rsidR="00A954D0" w:rsidRPr="008379CA">
        <w:rPr>
          <w:rFonts w:ascii="Bookman Old Style" w:hAnsi="Bookman Old Style" w:cs="Tahoma"/>
          <w:sz w:val="24"/>
          <w:szCs w:val="24"/>
          <w:lang w:val="sv-FI"/>
        </w:rPr>
        <w:t xml:space="preserve"> </w:t>
      </w:r>
      <w:r w:rsidRPr="008379CA">
        <w:rPr>
          <w:rFonts w:ascii="Bookman Old Style" w:hAnsi="Bookman Old Style" w:cs="Tahoma"/>
          <w:sz w:val="24"/>
          <w:szCs w:val="24"/>
          <w:lang w:val="sv-FI"/>
        </w:rPr>
        <w:t>Rp3.047.580.100,00;</w:t>
      </w:r>
    </w:p>
    <w:p w14:paraId="6AB1A856" w14:textId="1294B7E5" w:rsidR="00994781" w:rsidRPr="008379CA" w:rsidRDefault="00994781">
      <w:pPr>
        <w:pStyle w:val="ListParagraph"/>
        <w:numPr>
          <w:ilvl w:val="4"/>
          <w:numId w:val="105"/>
        </w:numPr>
        <w:spacing w:before="60" w:line="276" w:lineRule="auto"/>
        <w:ind w:left="1701" w:hanging="425"/>
        <w:jc w:val="both"/>
        <w:rPr>
          <w:rFonts w:ascii="Bookman Old Style" w:hAnsi="Bookman Old Style" w:cs="Tahoma"/>
          <w:sz w:val="24"/>
          <w:szCs w:val="24"/>
          <w:lang w:val="sv-FI"/>
        </w:rPr>
      </w:pPr>
      <w:r w:rsidRPr="008379CA">
        <w:rPr>
          <w:rFonts w:ascii="Bookman Old Style" w:hAnsi="Bookman Old Style" w:cs="Tahoma"/>
          <w:sz w:val="24"/>
          <w:szCs w:val="24"/>
          <w:lang w:val="sv-FI"/>
        </w:rPr>
        <w:t>Pengelolaan</w:t>
      </w:r>
      <w:r w:rsidR="00A954D0" w:rsidRPr="008379CA">
        <w:rPr>
          <w:rFonts w:ascii="Bookman Old Style" w:hAnsi="Bookman Old Style" w:cs="Tahoma"/>
          <w:sz w:val="24"/>
          <w:szCs w:val="24"/>
          <w:lang w:val="sv-FI"/>
        </w:rPr>
        <w:t xml:space="preserve"> </w:t>
      </w:r>
      <w:r w:rsidRPr="008379CA">
        <w:rPr>
          <w:rFonts w:ascii="Bookman Old Style" w:hAnsi="Bookman Old Style" w:cs="Tahoma"/>
          <w:sz w:val="24"/>
          <w:szCs w:val="24"/>
          <w:lang w:val="sv-FI"/>
        </w:rPr>
        <w:t>Informasi</w:t>
      </w:r>
      <w:r w:rsidR="00A954D0" w:rsidRPr="008379CA">
        <w:rPr>
          <w:rFonts w:ascii="Bookman Old Style" w:hAnsi="Bookman Old Style" w:cs="Tahoma"/>
          <w:sz w:val="24"/>
          <w:szCs w:val="24"/>
          <w:lang w:val="sv-FI"/>
        </w:rPr>
        <w:t xml:space="preserve"> </w:t>
      </w:r>
      <w:r w:rsidRPr="008379CA">
        <w:rPr>
          <w:rFonts w:ascii="Bookman Old Style" w:hAnsi="Bookman Old Style" w:cs="Tahoma"/>
          <w:sz w:val="24"/>
          <w:szCs w:val="24"/>
          <w:lang w:val="sv-FI"/>
        </w:rPr>
        <w:t>Pasar</w:t>
      </w:r>
      <w:r w:rsidR="00A954D0" w:rsidRPr="008379CA">
        <w:rPr>
          <w:rFonts w:ascii="Bookman Old Style" w:hAnsi="Bookman Old Style" w:cs="Tahoma"/>
          <w:sz w:val="24"/>
          <w:szCs w:val="24"/>
          <w:lang w:val="sv-FI"/>
        </w:rPr>
        <w:t xml:space="preserve"> </w:t>
      </w:r>
      <w:r w:rsidRPr="008379CA">
        <w:rPr>
          <w:rFonts w:ascii="Bookman Old Style" w:hAnsi="Bookman Old Style" w:cs="Tahoma"/>
          <w:sz w:val="24"/>
          <w:szCs w:val="24"/>
          <w:lang w:val="sv-FI"/>
        </w:rPr>
        <w:t>Kerja/</w:t>
      </w:r>
      <w:r w:rsidRPr="008379CA">
        <w:rPr>
          <w:rFonts w:ascii="Bookman Old Style" w:hAnsi="Bookman Old Style" w:cs="Tahoma"/>
          <w:i/>
          <w:iCs/>
          <w:sz w:val="24"/>
          <w:szCs w:val="24"/>
          <w:lang w:val="sv-FI"/>
        </w:rPr>
        <w:t>Job</w:t>
      </w:r>
      <w:r w:rsidR="00A954D0" w:rsidRPr="008379CA">
        <w:rPr>
          <w:rFonts w:ascii="Bookman Old Style" w:hAnsi="Bookman Old Style" w:cs="Tahoma"/>
          <w:i/>
          <w:iCs/>
          <w:sz w:val="24"/>
          <w:szCs w:val="24"/>
          <w:lang w:val="sv-FI"/>
        </w:rPr>
        <w:t xml:space="preserve"> </w:t>
      </w:r>
      <w:r w:rsidRPr="008379CA">
        <w:rPr>
          <w:rFonts w:ascii="Bookman Old Style" w:hAnsi="Bookman Old Style" w:cs="Tahoma"/>
          <w:i/>
          <w:iCs/>
          <w:sz w:val="24"/>
          <w:szCs w:val="24"/>
          <w:lang w:val="sv-FI"/>
        </w:rPr>
        <w:t>Fair</w:t>
      </w:r>
      <w:r w:rsidRPr="008379CA">
        <w:rPr>
          <w:rFonts w:ascii="Bookman Old Style" w:hAnsi="Bookman Old Style" w:cs="Tahoma"/>
          <w:sz w:val="24"/>
          <w:szCs w:val="24"/>
          <w:lang w:val="sv-FI"/>
        </w:rPr>
        <w:t>/Bursa</w:t>
      </w:r>
      <w:r w:rsidR="00A954D0" w:rsidRPr="008379CA">
        <w:rPr>
          <w:rFonts w:ascii="Bookman Old Style" w:hAnsi="Bookman Old Style" w:cs="Tahoma"/>
          <w:sz w:val="24"/>
          <w:szCs w:val="24"/>
          <w:lang w:val="sv-FI"/>
        </w:rPr>
        <w:t xml:space="preserve"> </w:t>
      </w:r>
      <w:r w:rsidRPr="008379CA">
        <w:rPr>
          <w:rFonts w:ascii="Bookman Old Style" w:hAnsi="Bookman Old Style" w:cs="Tahoma"/>
          <w:sz w:val="24"/>
          <w:szCs w:val="24"/>
          <w:lang w:val="sv-FI"/>
        </w:rPr>
        <w:t>Kerja</w:t>
      </w:r>
      <w:r w:rsidR="00A954D0" w:rsidRPr="008379CA">
        <w:rPr>
          <w:rFonts w:ascii="Bookman Old Style" w:hAnsi="Bookman Old Style" w:cs="Tahoma"/>
          <w:sz w:val="24"/>
          <w:szCs w:val="24"/>
          <w:lang w:val="sv-FI"/>
        </w:rPr>
        <w:t xml:space="preserve"> </w:t>
      </w:r>
      <w:r w:rsidRPr="008379CA">
        <w:rPr>
          <w:rFonts w:ascii="Bookman Old Style" w:hAnsi="Bookman Old Style" w:cs="Tahoma"/>
          <w:sz w:val="24"/>
          <w:szCs w:val="24"/>
          <w:lang w:val="sv-FI"/>
        </w:rPr>
        <w:t>Rp845.528.800,00;</w:t>
      </w:r>
    </w:p>
    <w:p w14:paraId="7E112482" w14:textId="5F7ECA8D" w:rsidR="00AB697B" w:rsidRPr="008379CA" w:rsidRDefault="00994781">
      <w:pPr>
        <w:pStyle w:val="ListParagraph"/>
        <w:widowControl w:val="0"/>
        <w:numPr>
          <w:ilvl w:val="0"/>
          <w:numId w:val="105"/>
        </w:numPr>
        <w:autoSpaceDE w:val="0"/>
        <w:autoSpaceDN w:val="0"/>
        <w:spacing w:before="60" w:after="0" w:line="276" w:lineRule="auto"/>
        <w:ind w:left="1701" w:right="17" w:hanging="425"/>
        <w:contextualSpacing w:val="0"/>
        <w:jc w:val="both"/>
        <w:rPr>
          <w:rFonts w:ascii="Bookman Old Style" w:hAnsi="Bookman Old Style" w:cs="Tahoma"/>
          <w:sz w:val="24"/>
          <w:szCs w:val="24"/>
        </w:rPr>
      </w:pPr>
      <w:r w:rsidRPr="008379CA">
        <w:rPr>
          <w:rFonts w:ascii="Bookman Old Style" w:hAnsi="Bookman Old Style" w:cs="Tahoma"/>
          <w:sz w:val="24"/>
          <w:szCs w:val="24"/>
          <w:lang w:val="sv-FI"/>
        </w:rPr>
        <w:t>Pelayanan</w:t>
      </w:r>
      <w:r w:rsidR="00A954D0" w:rsidRPr="008379CA">
        <w:rPr>
          <w:rFonts w:ascii="Bookman Old Style" w:hAnsi="Bookman Old Style" w:cs="Tahoma"/>
          <w:sz w:val="24"/>
          <w:szCs w:val="24"/>
          <w:lang w:val="sv-FI"/>
        </w:rPr>
        <w:t xml:space="preserve"> </w:t>
      </w:r>
      <w:r w:rsidRPr="008379CA">
        <w:rPr>
          <w:rFonts w:ascii="Bookman Old Style" w:hAnsi="Bookman Old Style" w:cs="Tahoma"/>
          <w:sz w:val="24"/>
          <w:szCs w:val="24"/>
          <w:lang w:val="sv-FI"/>
        </w:rPr>
        <w:t>antar</w:t>
      </w:r>
      <w:r w:rsidR="00A954D0" w:rsidRPr="008379CA">
        <w:rPr>
          <w:rFonts w:ascii="Bookman Old Style" w:hAnsi="Bookman Old Style" w:cs="Tahoma"/>
          <w:sz w:val="24"/>
          <w:szCs w:val="24"/>
          <w:lang w:val="sv-FI"/>
        </w:rPr>
        <w:t xml:space="preserve"> </w:t>
      </w:r>
      <w:r w:rsidRPr="008379CA">
        <w:rPr>
          <w:rFonts w:ascii="Bookman Old Style" w:hAnsi="Bookman Old Style" w:cs="Tahoma"/>
          <w:sz w:val="24"/>
          <w:szCs w:val="24"/>
          <w:lang w:val="sv-FI"/>
        </w:rPr>
        <w:t>Kerja</w:t>
      </w:r>
      <w:r w:rsidR="00A954D0" w:rsidRPr="008379CA">
        <w:rPr>
          <w:rFonts w:ascii="Bookman Old Style" w:hAnsi="Bookman Old Style" w:cs="Tahoma"/>
          <w:sz w:val="24"/>
          <w:szCs w:val="24"/>
          <w:lang w:val="sv-FI"/>
        </w:rPr>
        <w:t xml:space="preserve"> </w:t>
      </w:r>
      <w:r w:rsidRPr="008379CA">
        <w:rPr>
          <w:rFonts w:ascii="Bookman Old Style" w:hAnsi="Bookman Old Style" w:cs="Tahoma"/>
          <w:sz w:val="24"/>
          <w:szCs w:val="24"/>
          <w:lang w:val="sv-FI"/>
        </w:rPr>
        <w:t>di</w:t>
      </w:r>
      <w:r w:rsidR="00A954D0" w:rsidRPr="008379CA">
        <w:rPr>
          <w:rFonts w:ascii="Bookman Old Style" w:hAnsi="Bookman Old Style" w:cs="Tahoma"/>
          <w:sz w:val="24"/>
          <w:szCs w:val="24"/>
          <w:lang w:val="sv-FI"/>
        </w:rPr>
        <w:t xml:space="preserve"> </w:t>
      </w:r>
      <w:r w:rsidRPr="008379CA">
        <w:rPr>
          <w:rFonts w:ascii="Bookman Old Style" w:hAnsi="Bookman Old Style" w:cs="Tahoma"/>
          <w:sz w:val="24"/>
          <w:szCs w:val="24"/>
          <w:lang w:val="sv-FI"/>
        </w:rPr>
        <w:t>Daerah</w:t>
      </w:r>
      <w:r w:rsidR="00A954D0" w:rsidRPr="008379CA">
        <w:rPr>
          <w:rFonts w:ascii="Bookman Old Style" w:hAnsi="Bookman Old Style" w:cs="Tahoma"/>
          <w:sz w:val="24"/>
          <w:szCs w:val="24"/>
          <w:lang w:val="sv-FI"/>
        </w:rPr>
        <w:t xml:space="preserve"> </w:t>
      </w:r>
      <w:r w:rsidR="00172E1C" w:rsidRPr="008379CA">
        <w:rPr>
          <w:rFonts w:ascii="Bookman Old Style" w:hAnsi="Bookman Old Style" w:cs="Tahoma"/>
          <w:sz w:val="24"/>
          <w:szCs w:val="24"/>
          <w:lang w:val="sv-FI"/>
        </w:rPr>
        <w:t>Kabupaten/Kota</w:t>
      </w:r>
      <w:r w:rsidRPr="008379CA">
        <w:rPr>
          <w:rFonts w:ascii="Bookman Old Style" w:hAnsi="Bookman Old Style" w:cs="Tahoma"/>
          <w:sz w:val="24"/>
          <w:szCs w:val="24"/>
          <w:lang w:val="sv-FI"/>
        </w:rPr>
        <w:t>/Perluasan</w:t>
      </w:r>
      <w:r w:rsidR="00A954D0" w:rsidRPr="008379CA">
        <w:rPr>
          <w:rFonts w:ascii="Bookman Old Style" w:hAnsi="Bookman Old Style" w:cs="Tahoma"/>
          <w:sz w:val="24"/>
          <w:szCs w:val="24"/>
          <w:lang w:val="sv-FI"/>
        </w:rPr>
        <w:t xml:space="preserve"> </w:t>
      </w:r>
      <w:r w:rsidRPr="008379CA">
        <w:rPr>
          <w:rFonts w:ascii="Bookman Old Style" w:hAnsi="Bookman Old Style" w:cs="Tahoma"/>
          <w:sz w:val="24"/>
          <w:szCs w:val="24"/>
          <w:lang w:val="sv-FI"/>
        </w:rPr>
        <w:t>Kesempatan</w:t>
      </w:r>
      <w:r w:rsidR="00A954D0" w:rsidRPr="008379CA">
        <w:rPr>
          <w:rFonts w:ascii="Bookman Old Style" w:hAnsi="Bookman Old Style" w:cs="Tahoma"/>
          <w:sz w:val="24"/>
          <w:szCs w:val="24"/>
          <w:lang w:val="sv-FI"/>
        </w:rPr>
        <w:t xml:space="preserve"> </w:t>
      </w:r>
      <w:r w:rsidRPr="008379CA">
        <w:rPr>
          <w:rFonts w:ascii="Bookman Old Style" w:hAnsi="Bookman Old Style" w:cs="Tahoma"/>
          <w:sz w:val="24"/>
          <w:szCs w:val="24"/>
          <w:lang w:val="sv-FI"/>
        </w:rPr>
        <w:t>Kerja</w:t>
      </w:r>
      <w:r w:rsidR="00A954D0" w:rsidRPr="008379CA">
        <w:rPr>
          <w:rFonts w:ascii="Bookman Old Style" w:hAnsi="Bookman Old Style" w:cs="Tahoma"/>
          <w:sz w:val="24"/>
          <w:szCs w:val="24"/>
          <w:lang w:val="sv-FI"/>
        </w:rPr>
        <w:t xml:space="preserve"> </w:t>
      </w:r>
      <w:r w:rsidRPr="008379CA">
        <w:rPr>
          <w:rFonts w:ascii="Bookman Old Style" w:hAnsi="Bookman Old Style" w:cs="Tahoma"/>
          <w:sz w:val="24"/>
          <w:szCs w:val="24"/>
          <w:lang w:val="sv-FI"/>
        </w:rPr>
        <w:t>Rp957.429.200,00</w:t>
      </w:r>
      <w:r w:rsidR="00E43C23" w:rsidRPr="008379CA">
        <w:rPr>
          <w:rFonts w:ascii="Bookman Old Style" w:hAnsi="Bookman Old Style" w:cs="Tahoma"/>
          <w:sz w:val="24"/>
          <w:szCs w:val="24"/>
          <w:lang w:val="sv-FI"/>
        </w:rPr>
        <w:t>.</w:t>
      </w:r>
    </w:p>
    <w:p w14:paraId="3D139DF6" w14:textId="18C2C824" w:rsidR="002F68BF" w:rsidRPr="008379CA" w:rsidRDefault="002F68BF" w:rsidP="004666ED">
      <w:pPr>
        <w:pStyle w:val="ListParagraph"/>
        <w:spacing w:before="60" w:after="120" w:line="276" w:lineRule="auto"/>
        <w:ind w:left="1276"/>
        <w:contextualSpacing w:val="0"/>
        <w:jc w:val="both"/>
        <w:rPr>
          <w:rFonts w:ascii="Bookman Old Style" w:hAnsi="Bookman Old Style"/>
          <w:sz w:val="24"/>
          <w:szCs w:val="24"/>
          <w:lang w:val="id-ID"/>
        </w:rPr>
      </w:pPr>
      <w:r w:rsidRPr="008379CA">
        <w:rPr>
          <w:rFonts w:ascii="Bookman Old Style" w:hAnsi="Bookman Old Style" w:cs="Arial"/>
          <w:noProof/>
          <w:sz w:val="24"/>
          <w:szCs w:val="24"/>
          <w:lang w:val="id-ID"/>
        </w:rPr>
        <w:t>Pemerintah</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Daerah</w:t>
      </w:r>
      <w:r w:rsidR="00A954D0" w:rsidRPr="008379CA">
        <w:rPr>
          <w:rFonts w:ascii="Bookman Old Style" w:hAnsi="Bookman Old Style" w:cs="Arial"/>
          <w:noProof/>
          <w:sz w:val="24"/>
          <w:szCs w:val="24"/>
          <w:lang w:val="id-ID"/>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00770F22"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cs="Arial"/>
          <w:noProof/>
          <w:sz w:val="24"/>
          <w:szCs w:val="24"/>
          <w:lang w:val="id-ID"/>
        </w:rPr>
        <w:t>harus</w:t>
      </w:r>
      <w:r w:rsidR="00A954D0" w:rsidRPr="008379CA">
        <w:rPr>
          <w:rFonts w:ascii="Bookman Old Style" w:hAnsi="Bookman Old Style" w:cs="Arial"/>
          <w:noProof/>
          <w:sz w:val="24"/>
          <w:szCs w:val="24"/>
          <w:lang w:val="id-ID"/>
        </w:rPr>
        <w:t xml:space="preserve"> </w:t>
      </w:r>
      <w:r w:rsidRPr="008379CA">
        <w:rPr>
          <w:rFonts w:ascii="Bookman Old Style" w:hAnsi="Bookman Old Style"/>
          <w:sz w:val="24"/>
          <w:szCs w:val="24"/>
          <w:lang w:val="fi-FI"/>
        </w:rPr>
        <w:t>memprioritaskan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alokasi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anggaran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pokok</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dibandingkan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dengan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alokasi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anggaran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belanja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penunjang</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guna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mendukung</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capaian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target</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kinerja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program,</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kegiatan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sub</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kegiatan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sesuai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dengan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target</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capaian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kinerja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yang</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diharapkan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dari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sub</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kegiatan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dimaksud</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apabila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ditinjau</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dari</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aspek</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indikator,</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tolok</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ukur,</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target</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kinerja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kegiatan,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sebagaimana</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maksud</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Pasal</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54</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ayat</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(3)</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Pasal</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97</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Peraturan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Pemerintah</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Nomor</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12</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Tahun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2019</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dan</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butir</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4.1.3.c</w:t>
      </w:r>
      <w:r w:rsidR="00A954D0" w:rsidRPr="008379CA">
        <w:rPr>
          <w:rFonts w:ascii="Bookman Old Style" w:hAnsi="Bookman Old Style" w:cs="Arial"/>
          <w:noProof/>
          <w:sz w:val="24"/>
          <w:szCs w:val="24"/>
          <w:lang w:val="id-ID"/>
        </w:rPr>
        <w:t xml:space="preserve"> </w:t>
      </w:r>
      <w:r w:rsidRPr="008379CA">
        <w:rPr>
          <w:rFonts w:ascii="Bookman Old Style" w:hAnsi="Bookman Old Style" w:cs="Arial"/>
          <w:noProof/>
          <w:sz w:val="24"/>
          <w:szCs w:val="24"/>
          <w:lang w:val="id-ID"/>
        </w:rPr>
        <w:t>Lampiran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Peraturan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Menteri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Dalam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Negeri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Nomor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15</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Tahun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2024</w:t>
      </w:r>
      <w:r w:rsidR="00994781" w:rsidRPr="008379CA">
        <w:rPr>
          <w:rFonts w:ascii="Bookman Old Style" w:hAnsi="Bookman Old Style" w:cs="Arial"/>
          <w:sz w:val="24"/>
          <w:szCs w:val="24"/>
          <w:lang w:val="id-ID"/>
        </w:rPr>
        <w:t>.</w:t>
      </w:r>
    </w:p>
    <w:p w14:paraId="42398A6B" w14:textId="7ED5C858" w:rsidR="00F2741D" w:rsidRPr="008379CA" w:rsidRDefault="002A4FB6" w:rsidP="00F2741D">
      <w:pPr>
        <w:pStyle w:val="ListParagraph"/>
        <w:spacing w:before="60" w:line="276" w:lineRule="auto"/>
        <w:ind w:left="1276"/>
        <w:jc w:val="both"/>
        <w:rPr>
          <w:rFonts w:ascii="Bookman Old Style" w:hAnsi="Bookman Old Style"/>
          <w:sz w:val="24"/>
          <w:szCs w:val="24"/>
        </w:rPr>
      </w:pPr>
      <w:r w:rsidRPr="008379CA">
        <w:rPr>
          <w:rFonts w:ascii="Bookman Old Style" w:hAnsi="Bookman Old Style"/>
          <w:sz w:val="24"/>
          <w:szCs w:val="24"/>
          <w:lang w:val="id-ID"/>
        </w:rPr>
        <w:t>Berdasarkan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data</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rekapitulasi</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Kartu</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Tanda</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Pencari</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Kerja</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(Kartu</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Kuning</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AK1)</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s.d.</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Agustus</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2024</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dari</w:t>
      </w:r>
      <w:r w:rsidR="00A954D0" w:rsidRPr="008379CA">
        <w:rPr>
          <w:rFonts w:ascii="Bookman Old Style" w:hAnsi="Bookman Old Style"/>
          <w:sz w:val="24"/>
          <w:szCs w:val="24"/>
          <w:lang w:val="id-ID"/>
        </w:rPr>
        <w:t xml:space="preserve"> </w:t>
      </w:r>
      <w:r w:rsidRPr="008379CA">
        <w:rPr>
          <w:rFonts w:ascii="Bookman Old Style" w:hAnsi="Bookman Old Style"/>
          <w:sz w:val="24"/>
          <w:szCs w:val="24"/>
        </w:rPr>
        <w:t>Dinas</w:t>
      </w:r>
      <w:r w:rsidR="00A954D0" w:rsidRPr="008379CA">
        <w:rPr>
          <w:rFonts w:ascii="Bookman Old Style" w:hAnsi="Bookman Old Style"/>
          <w:sz w:val="24"/>
          <w:szCs w:val="24"/>
        </w:rPr>
        <w:t xml:space="preserve"> </w:t>
      </w:r>
      <w:r w:rsidRPr="008379CA">
        <w:rPr>
          <w:rFonts w:ascii="Bookman Old Style" w:hAnsi="Bookman Old Style"/>
          <w:sz w:val="24"/>
          <w:szCs w:val="24"/>
        </w:rPr>
        <w:t>Tenaga</w:t>
      </w:r>
      <w:r w:rsidR="00A954D0" w:rsidRPr="008379CA">
        <w:rPr>
          <w:rFonts w:ascii="Bookman Old Style" w:hAnsi="Bookman Old Style"/>
          <w:sz w:val="24"/>
          <w:szCs w:val="24"/>
        </w:rPr>
        <w:t xml:space="preserve"> </w:t>
      </w:r>
      <w:r w:rsidRPr="008379CA">
        <w:rPr>
          <w:rFonts w:ascii="Bookman Old Style" w:hAnsi="Bookman Old Style"/>
          <w:sz w:val="24"/>
          <w:szCs w:val="24"/>
        </w:rPr>
        <w:t>Kerja</w:t>
      </w:r>
      <w:r w:rsidR="00A954D0" w:rsidRPr="008379CA">
        <w:rPr>
          <w:rFonts w:ascii="Bookman Old Style" w:hAnsi="Bookman Old Style"/>
          <w:sz w:val="24"/>
          <w:szCs w:val="24"/>
        </w:rPr>
        <w:t xml:space="preserve"> </w:t>
      </w:r>
      <w:r w:rsidRPr="008379CA">
        <w:rPr>
          <w:rFonts w:ascii="Bookman Old Style" w:hAnsi="Bookman Old Style"/>
          <w:sz w:val="24"/>
          <w:szCs w:val="24"/>
        </w:rPr>
        <w:t>Provinsi</w:t>
      </w:r>
      <w:r w:rsidR="00A954D0" w:rsidRPr="008379CA">
        <w:rPr>
          <w:rFonts w:ascii="Bookman Old Style" w:hAnsi="Bookman Old Style"/>
          <w:sz w:val="24"/>
          <w:szCs w:val="24"/>
        </w:rPr>
        <w:t xml:space="preserve"> </w:t>
      </w:r>
      <w:r w:rsidRPr="008379CA">
        <w:rPr>
          <w:rFonts w:ascii="Bookman Old Style" w:hAnsi="Bookman Old Style"/>
          <w:sz w:val="24"/>
          <w:szCs w:val="24"/>
        </w:rPr>
        <w:t>Banten,</w:t>
      </w:r>
      <w:r w:rsidR="00A954D0" w:rsidRPr="008379CA">
        <w:rPr>
          <w:rFonts w:ascii="Bookman Old Style" w:hAnsi="Bookman Old Style"/>
          <w:sz w:val="24"/>
          <w:szCs w:val="24"/>
        </w:rPr>
        <w:t xml:space="preserve"> </w:t>
      </w:r>
      <w:r w:rsidRPr="008379CA">
        <w:rPr>
          <w:rFonts w:ascii="Bookman Old Style" w:hAnsi="Bookman Old Style"/>
          <w:sz w:val="24"/>
          <w:szCs w:val="24"/>
          <w:lang w:val="id-ID"/>
        </w:rPr>
        <w:t>Angka</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Pencari</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Kerja</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Terdaftar</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Tahun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2024</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di</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Kota</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Tangerang</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sebanyak</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3.317</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laki-laki</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3.076</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perempuan.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es-BO"/>
        </w:rPr>
        <w:t>Tingkat</w:t>
      </w:r>
      <w:r w:rsidR="00A954D0" w:rsidRPr="008379CA">
        <w:rPr>
          <w:rFonts w:ascii="Bookman Old Style" w:hAnsi="Bookman Old Style"/>
          <w:sz w:val="24"/>
          <w:szCs w:val="24"/>
          <w:lang w:val="es-BO"/>
        </w:rPr>
        <w:t xml:space="preserve"> </w:t>
      </w:r>
      <w:r w:rsidRPr="008379CA">
        <w:rPr>
          <w:rFonts w:ascii="Bookman Old Style" w:hAnsi="Bookman Old Style"/>
          <w:sz w:val="24"/>
          <w:szCs w:val="24"/>
          <w:lang w:val="es-BO"/>
        </w:rPr>
        <w:t>Pengangguran</w:t>
      </w:r>
      <w:r w:rsidR="00A954D0" w:rsidRPr="008379CA">
        <w:rPr>
          <w:rFonts w:ascii="Bookman Old Style" w:hAnsi="Bookman Old Style"/>
          <w:sz w:val="24"/>
          <w:szCs w:val="24"/>
          <w:lang w:val="es-BO"/>
        </w:rPr>
        <w:t xml:space="preserve"> </w:t>
      </w:r>
      <w:r w:rsidRPr="008379CA">
        <w:rPr>
          <w:rFonts w:ascii="Bookman Old Style" w:hAnsi="Bookman Old Style"/>
          <w:sz w:val="24"/>
          <w:szCs w:val="24"/>
          <w:lang w:val="es-BO"/>
        </w:rPr>
        <w:t>Terbuka</w:t>
      </w:r>
      <w:r w:rsidR="00A954D0" w:rsidRPr="008379CA">
        <w:rPr>
          <w:rFonts w:ascii="Bookman Old Style" w:hAnsi="Bookman Old Style"/>
          <w:sz w:val="24"/>
          <w:szCs w:val="24"/>
          <w:lang w:val="es-BO"/>
        </w:rPr>
        <w:t xml:space="preserve"> </w:t>
      </w:r>
      <w:r w:rsidRPr="008379CA">
        <w:rPr>
          <w:rFonts w:ascii="Bookman Old Style" w:hAnsi="Bookman Old Style"/>
          <w:sz w:val="24"/>
          <w:szCs w:val="24"/>
          <w:lang w:val="es-BO"/>
        </w:rPr>
        <w:t>K</w:t>
      </w:r>
      <w:r w:rsidR="00BA1ACE" w:rsidRPr="008379CA">
        <w:rPr>
          <w:rFonts w:ascii="Bookman Old Style" w:hAnsi="Bookman Old Style"/>
          <w:sz w:val="24"/>
          <w:szCs w:val="24"/>
          <w:lang w:val="es-BO"/>
        </w:rPr>
        <w:t>ota</w:t>
      </w:r>
      <w:r w:rsidR="00A954D0" w:rsidRPr="008379CA">
        <w:rPr>
          <w:rFonts w:ascii="Bookman Old Style" w:hAnsi="Bookman Old Style"/>
          <w:sz w:val="24"/>
          <w:szCs w:val="24"/>
          <w:lang w:val="es-BO"/>
        </w:rPr>
        <w:t xml:space="preserve"> </w:t>
      </w:r>
      <w:r w:rsidR="00BA1ACE" w:rsidRPr="008379CA">
        <w:rPr>
          <w:rFonts w:ascii="Bookman Old Style" w:hAnsi="Bookman Old Style"/>
          <w:sz w:val="24"/>
          <w:szCs w:val="24"/>
          <w:lang w:val="es-BO"/>
        </w:rPr>
        <w:t>Tanger</w:t>
      </w:r>
      <w:r w:rsidRPr="008379CA">
        <w:rPr>
          <w:rFonts w:ascii="Bookman Old Style" w:hAnsi="Bookman Old Style"/>
          <w:sz w:val="24"/>
          <w:szCs w:val="24"/>
          <w:lang w:val="es-BO"/>
        </w:rPr>
        <w:t>ang</w:t>
      </w:r>
      <w:r w:rsidR="00A954D0" w:rsidRPr="008379CA">
        <w:rPr>
          <w:rFonts w:ascii="Bookman Old Style" w:hAnsi="Bookman Old Style"/>
          <w:sz w:val="24"/>
          <w:szCs w:val="24"/>
          <w:lang w:val="es-BO"/>
        </w:rPr>
        <w:t xml:space="preserve"> </w:t>
      </w:r>
      <w:r w:rsidRPr="008379CA">
        <w:rPr>
          <w:rFonts w:ascii="Bookman Old Style" w:hAnsi="Bookman Old Style"/>
          <w:sz w:val="24"/>
          <w:szCs w:val="24"/>
          <w:lang w:val="es-BO"/>
        </w:rPr>
        <w:t>Tahun</w:t>
      </w:r>
      <w:r w:rsidR="00A954D0" w:rsidRPr="008379CA">
        <w:rPr>
          <w:rFonts w:ascii="Bookman Old Style" w:hAnsi="Bookman Old Style"/>
          <w:sz w:val="24"/>
          <w:szCs w:val="24"/>
          <w:lang w:val="es-BO"/>
        </w:rPr>
        <w:t xml:space="preserve"> </w:t>
      </w:r>
      <w:r w:rsidRPr="008379CA">
        <w:rPr>
          <w:rFonts w:ascii="Bookman Old Style" w:hAnsi="Bookman Old Style"/>
          <w:sz w:val="24"/>
          <w:szCs w:val="24"/>
          <w:lang w:val="es-BO"/>
        </w:rPr>
        <w:t>2024</w:t>
      </w:r>
      <w:r w:rsidR="00A954D0" w:rsidRPr="008379CA">
        <w:rPr>
          <w:rFonts w:ascii="Bookman Old Style" w:hAnsi="Bookman Old Style"/>
          <w:sz w:val="24"/>
          <w:szCs w:val="24"/>
          <w:lang w:val="es-BO"/>
        </w:rPr>
        <w:t xml:space="preserve"> </w:t>
      </w:r>
      <w:r w:rsidRPr="008379CA">
        <w:rPr>
          <w:rFonts w:ascii="Bookman Old Style" w:hAnsi="Bookman Old Style"/>
          <w:sz w:val="24"/>
          <w:szCs w:val="24"/>
          <w:lang w:val="es-BO"/>
        </w:rPr>
        <w:t>sebesar</w:t>
      </w:r>
      <w:r w:rsidR="00A954D0" w:rsidRPr="008379CA">
        <w:rPr>
          <w:rFonts w:ascii="Bookman Old Style" w:hAnsi="Bookman Old Style"/>
          <w:sz w:val="24"/>
          <w:szCs w:val="24"/>
          <w:lang w:val="es-BO"/>
        </w:rPr>
        <w:t xml:space="preserve"> </w:t>
      </w:r>
      <w:r w:rsidR="00B26351" w:rsidRPr="008379CA">
        <w:rPr>
          <w:rFonts w:ascii="Bookman Old Style" w:hAnsi="Bookman Old Style"/>
          <w:sz w:val="24"/>
          <w:szCs w:val="24"/>
          <w:lang w:val="id-ID"/>
        </w:rPr>
        <w:t>5,92</w:t>
      </w:r>
      <w:r w:rsidRPr="008379CA">
        <w:rPr>
          <w:rFonts w:ascii="Bookman Old Style" w:hAnsi="Bookman Old Style"/>
          <w:sz w:val="24"/>
          <w:szCs w:val="24"/>
          <w:lang w:val="es-BO"/>
        </w:rPr>
        <w:t>%</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Tahun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2023</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sebesar</w:t>
      </w:r>
      <w:r w:rsidR="00A954D0" w:rsidRPr="008379CA">
        <w:rPr>
          <w:rFonts w:ascii="Bookman Old Style" w:hAnsi="Bookman Old Style"/>
          <w:sz w:val="24"/>
          <w:szCs w:val="24"/>
          <w:lang w:val="id-ID"/>
        </w:rPr>
        <w:t xml:space="preserve"> </w:t>
      </w:r>
      <w:r w:rsidR="00B26351" w:rsidRPr="008379CA">
        <w:rPr>
          <w:rFonts w:ascii="Bookman Old Style" w:hAnsi="Bookman Old Style"/>
          <w:sz w:val="24"/>
          <w:szCs w:val="24"/>
          <w:lang w:val="id-ID"/>
        </w:rPr>
        <w:t>6,76</w:t>
      </w:r>
      <w:r w:rsidRPr="008379CA">
        <w:rPr>
          <w:rFonts w:ascii="Bookman Old Style" w:hAnsi="Bookman Old Style"/>
          <w:sz w:val="24"/>
          <w:szCs w:val="24"/>
          <w:lang w:val="id-ID"/>
        </w:rPr>
        <w:t>%.</w:t>
      </w:r>
    </w:p>
    <w:p w14:paraId="34800ED4" w14:textId="5C084534" w:rsidR="00F2741D" w:rsidRPr="008379CA" w:rsidRDefault="00F2741D" w:rsidP="00F2741D">
      <w:pPr>
        <w:pStyle w:val="ListParagraph"/>
        <w:spacing w:before="60" w:line="276" w:lineRule="auto"/>
        <w:ind w:left="1276"/>
        <w:jc w:val="both"/>
        <w:rPr>
          <w:rFonts w:ascii="Bookman Old Style" w:hAnsi="Bookman Old Style"/>
          <w:sz w:val="24"/>
          <w:szCs w:val="24"/>
        </w:rPr>
      </w:pPr>
      <w:r w:rsidRPr="008379CA">
        <w:rPr>
          <w:rFonts w:ascii="Bookman Old Style" w:hAnsi="Bookman Old Style"/>
          <w:sz w:val="24"/>
          <w:szCs w:val="24"/>
        </w:rPr>
        <w:t>Sehubungan</w:t>
      </w:r>
      <w:r w:rsidR="00A954D0" w:rsidRPr="008379CA">
        <w:rPr>
          <w:rFonts w:ascii="Bookman Old Style" w:hAnsi="Bookman Old Style"/>
          <w:sz w:val="24"/>
          <w:szCs w:val="24"/>
        </w:rPr>
        <w:t xml:space="preserve"> </w:t>
      </w:r>
      <w:r w:rsidRPr="008379CA">
        <w:rPr>
          <w:rFonts w:ascii="Bookman Old Style" w:hAnsi="Bookman Old Style"/>
          <w:sz w:val="24"/>
          <w:szCs w:val="24"/>
        </w:rPr>
        <w:t>dengan</w:t>
      </w:r>
      <w:r w:rsidR="00A954D0" w:rsidRPr="008379CA">
        <w:rPr>
          <w:rFonts w:ascii="Bookman Old Style" w:hAnsi="Bookman Old Style"/>
          <w:sz w:val="24"/>
          <w:szCs w:val="24"/>
        </w:rPr>
        <w:t xml:space="preserve"> </w:t>
      </w:r>
      <w:r w:rsidRPr="008379CA">
        <w:rPr>
          <w:rFonts w:ascii="Bookman Old Style" w:hAnsi="Bookman Old Style"/>
          <w:sz w:val="24"/>
          <w:szCs w:val="24"/>
        </w:rPr>
        <w:t>hal</w:t>
      </w:r>
      <w:r w:rsidR="00A954D0" w:rsidRPr="008379CA">
        <w:rPr>
          <w:rFonts w:ascii="Bookman Old Style" w:hAnsi="Bookman Old Style"/>
          <w:sz w:val="24"/>
          <w:szCs w:val="24"/>
        </w:rPr>
        <w:t xml:space="preserve"> </w:t>
      </w:r>
      <w:r w:rsidRPr="008379CA">
        <w:rPr>
          <w:rFonts w:ascii="Bookman Old Style" w:hAnsi="Bookman Old Style"/>
          <w:sz w:val="24"/>
          <w:szCs w:val="24"/>
        </w:rPr>
        <w:t>tersebut</w:t>
      </w:r>
      <w:r w:rsidR="00A954D0" w:rsidRPr="008379CA">
        <w:rPr>
          <w:rFonts w:ascii="Bookman Old Style" w:hAnsi="Bookman Old Style"/>
          <w:sz w:val="24"/>
          <w:szCs w:val="24"/>
        </w:rPr>
        <w:t xml:space="preserve"> </w:t>
      </w:r>
      <w:r w:rsidRPr="008379CA">
        <w:rPr>
          <w:rFonts w:ascii="Bookman Old Style" w:hAnsi="Bookman Old Style"/>
          <w:sz w:val="24"/>
          <w:szCs w:val="24"/>
        </w:rPr>
        <w:t>Pemerintah</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00770F22"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sz w:val="24"/>
          <w:szCs w:val="24"/>
        </w:rPr>
        <w:t>agar</w:t>
      </w:r>
      <w:r w:rsidR="00A954D0" w:rsidRPr="008379CA">
        <w:rPr>
          <w:rFonts w:ascii="Bookman Old Style" w:hAnsi="Bookman Old Style"/>
          <w:sz w:val="24"/>
          <w:szCs w:val="24"/>
        </w:rPr>
        <w:t xml:space="preserve"> </w:t>
      </w:r>
      <w:r w:rsidRPr="008379CA">
        <w:rPr>
          <w:rFonts w:ascii="Bookman Old Style" w:hAnsi="Bookman Old Style"/>
          <w:sz w:val="24"/>
          <w:szCs w:val="24"/>
        </w:rPr>
        <w:t>mengalokasikan</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untuk</w:t>
      </w:r>
      <w:r w:rsidR="00A954D0" w:rsidRPr="008379CA">
        <w:rPr>
          <w:rFonts w:ascii="Bookman Old Style" w:hAnsi="Bookman Old Style"/>
          <w:sz w:val="24"/>
          <w:szCs w:val="24"/>
        </w:rPr>
        <w:t xml:space="preserve"> </w:t>
      </w:r>
      <w:r w:rsidRPr="008379CA">
        <w:rPr>
          <w:rFonts w:ascii="Bookman Old Style" w:hAnsi="Bookman Old Style"/>
          <w:sz w:val="24"/>
          <w:szCs w:val="24"/>
        </w:rPr>
        <w:t>menurunkan</w:t>
      </w:r>
      <w:r w:rsidR="00A954D0" w:rsidRPr="008379CA">
        <w:rPr>
          <w:rFonts w:ascii="Bookman Old Style" w:hAnsi="Bookman Old Style"/>
          <w:sz w:val="24"/>
          <w:szCs w:val="24"/>
        </w:rPr>
        <w:t xml:space="preserve"> </w:t>
      </w:r>
      <w:r w:rsidRPr="008379CA">
        <w:rPr>
          <w:rFonts w:ascii="Bookman Old Style" w:hAnsi="Bookman Old Style"/>
          <w:sz w:val="24"/>
          <w:szCs w:val="24"/>
        </w:rPr>
        <w:t>angka</w:t>
      </w:r>
      <w:r w:rsidR="00A954D0" w:rsidRPr="008379CA">
        <w:rPr>
          <w:rFonts w:ascii="Bookman Old Style" w:hAnsi="Bookman Old Style"/>
          <w:sz w:val="24"/>
          <w:szCs w:val="24"/>
        </w:rPr>
        <w:t xml:space="preserve"> </w:t>
      </w:r>
      <w:r w:rsidRPr="008379CA">
        <w:rPr>
          <w:rFonts w:ascii="Bookman Old Style" w:hAnsi="Bookman Old Style"/>
          <w:sz w:val="24"/>
          <w:szCs w:val="24"/>
        </w:rPr>
        <w:t>pengangguran</w:t>
      </w:r>
      <w:r w:rsidR="00A954D0" w:rsidRPr="008379CA">
        <w:rPr>
          <w:rFonts w:ascii="Bookman Old Style" w:hAnsi="Bookman Old Style"/>
          <w:sz w:val="24"/>
          <w:szCs w:val="24"/>
        </w:rPr>
        <w:t xml:space="preserve"> </w:t>
      </w:r>
      <w:r w:rsidRPr="008379CA">
        <w:rPr>
          <w:rFonts w:ascii="Bookman Old Style" w:hAnsi="Bookman Old Style"/>
          <w:sz w:val="24"/>
          <w:szCs w:val="24"/>
        </w:rPr>
        <w:t>secara</w:t>
      </w:r>
      <w:r w:rsidR="00A954D0" w:rsidRPr="008379CA">
        <w:rPr>
          <w:rFonts w:ascii="Bookman Old Style" w:hAnsi="Bookman Old Style"/>
          <w:sz w:val="24"/>
          <w:szCs w:val="24"/>
        </w:rPr>
        <w:t xml:space="preserve"> </w:t>
      </w:r>
      <w:r w:rsidRPr="008379CA">
        <w:rPr>
          <w:rFonts w:ascii="Bookman Old Style" w:hAnsi="Bookman Old Style"/>
          <w:sz w:val="24"/>
          <w:szCs w:val="24"/>
        </w:rPr>
        <w:t>memadai</w:t>
      </w:r>
      <w:r w:rsidR="00A954D0" w:rsidRPr="008379CA">
        <w:rPr>
          <w:rFonts w:ascii="Bookman Old Style" w:hAnsi="Bookman Old Style"/>
          <w:sz w:val="24"/>
          <w:szCs w:val="24"/>
        </w:rPr>
        <w:t xml:space="preserve"> </w:t>
      </w:r>
      <w:r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Pr="008379CA">
        <w:rPr>
          <w:rFonts w:ascii="Bookman Old Style" w:hAnsi="Bookman Old Style"/>
          <w:sz w:val="24"/>
          <w:szCs w:val="24"/>
        </w:rPr>
        <w:t>Rancangan</w:t>
      </w:r>
      <w:r w:rsidR="00A954D0" w:rsidRPr="008379CA">
        <w:rPr>
          <w:rFonts w:ascii="Bookman Old Style" w:hAnsi="Bookman Old Style"/>
          <w:sz w:val="24"/>
          <w:szCs w:val="24"/>
        </w:rPr>
        <w:t xml:space="preserve"> </w:t>
      </w:r>
      <w:r w:rsidRPr="008379CA">
        <w:rPr>
          <w:rFonts w:ascii="Bookman Old Style" w:hAnsi="Bookman Old Style"/>
          <w:sz w:val="24"/>
          <w:szCs w:val="24"/>
        </w:rPr>
        <w:t>Peraturan</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00770F22"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sz w:val="24"/>
          <w:szCs w:val="24"/>
        </w:rPr>
        <w:t>tentang</w:t>
      </w:r>
      <w:r w:rsidR="00A954D0" w:rsidRPr="008379CA">
        <w:rPr>
          <w:rFonts w:ascii="Bookman Old Style" w:hAnsi="Bookman Old Style"/>
          <w:sz w:val="24"/>
          <w:szCs w:val="24"/>
        </w:rPr>
        <w:t xml:space="preserve"> </w:t>
      </w:r>
      <w:r w:rsidRPr="008379CA">
        <w:rPr>
          <w:rFonts w:ascii="Bookman Old Style" w:hAnsi="Bookman Old Style"/>
          <w:sz w:val="24"/>
          <w:szCs w:val="24"/>
        </w:rPr>
        <w:t>APBD</w:t>
      </w:r>
      <w:r w:rsidR="00A954D0" w:rsidRPr="008379CA">
        <w:rPr>
          <w:rFonts w:ascii="Bookman Old Style" w:hAnsi="Bookman Old Style"/>
          <w:sz w:val="24"/>
          <w:szCs w:val="24"/>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2025</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Pr="008379CA">
        <w:rPr>
          <w:rFonts w:ascii="Bookman Old Style" w:hAnsi="Bookman Old Style"/>
          <w:sz w:val="24"/>
          <w:szCs w:val="24"/>
        </w:rPr>
        <w:t>melakukan</w:t>
      </w:r>
      <w:r w:rsidR="00A954D0" w:rsidRPr="008379CA">
        <w:rPr>
          <w:rFonts w:ascii="Bookman Old Style" w:hAnsi="Bookman Old Style"/>
          <w:sz w:val="24"/>
          <w:szCs w:val="24"/>
        </w:rPr>
        <w:t xml:space="preserve"> </w:t>
      </w:r>
      <w:r w:rsidRPr="008379CA">
        <w:rPr>
          <w:rFonts w:ascii="Bookman Old Style" w:hAnsi="Bookman Old Style"/>
          <w:sz w:val="24"/>
          <w:szCs w:val="24"/>
        </w:rPr>
        <w:t>langkah-langkah</w:t>
      </w:r>
      <w:r w:rsidR="00A954D0" w:rsidRPr="008379CA">
        <w:rPr>
          <w:rFonts w:ascii="Bookman Old Style" w:hAnsi="Bookman Old Style"/>
          <w:sz w:val="24"/>
          <w:szCs w:val="24"/>
        </w:rPr>
        <w:t xml:space="preserve"> </w:t>
      </w:r>
      <w:r w:rsidRPr="008379CA">
        <w:rPr>
          <w:rFonts w:ascii="Bookman Old Style" w:hAnsi="Bookman Old Style"/>
          <w:sz w:val="24"/>
          <w:szCs w:val="24"/>
        </w:rPr>
        <w:t>strategis</w:t>
      </w:r>
      <w:r w:rsidR="00A954D0" w:rsidRPr="008379CA">
        <w:rPr>
          <w:rFonts w:ascii="Bookman Old Style" w:hAnsi="Bookman Old Style"/>
          <w:sz w:val="24"/>
          <w:szCs w:val="24"/>
        </w:rPr>
        <w:t xml:space="preserve"> </w:t>
      </w:r>
      <w:r w:rsidRPr="008379CA">
        <w:rPr>
          <w:rFonts w:ascii="Bookman Old Style" w:hAnsi="Bookman Old Style"/>
          <w:sz w:val="24"/>
          <w:szCs w:val="24"/>
        </w:rPr>
        <w:t>dengan</w:t>
      </w:r>
      <w:r w:rsidR="00A954D0" w:rsidRPr="008379CA">
        <w:rPr>
          <w:rFonts w:ascii="Bookman Old Style" w:hAnsi="Bookman Old Style"/>
          <w:sz w:val="24"/>
          <w:szCs w:val="24"/>
        </w:rPr>
        <w:t xml:space="preserve"> </w:t>
      </w:r>
      <w:r w:rsidRPr="008379CA">
        <w:rPr>
          <w:rFonts w:ascii="Bookman Old Style" w:hAnsi="Bookman Old Style"/>
          <w:sz w:val="24"/>
          <w:szCs w:val="24"/>
        </w:rPr>
        <w:t>bekerja</w:t>
      </w:r>
      <w:r w:rsidR="00A954D0" w:rsidRPr="008379CA">
        <w:rPr>
          <w:rFonts w:ascii="Bookman Old Style" w:hAnsi="Bookman Old Style"/>
          <w:sz w:val="24"/>
          <w:szCs w:val="24"/>
        </w:rPr>
        <w:t xml:space="preserve"> </w:t>
      </w:r>
      <w:r w:rsidRPr="008379CA">
        <w:rPr>
          <w:rFonts w:ascii="Bookman Old Style" w:hAnsi="Bookman Old Style"/>
          <w:sz w:val="24"/>
          <w:szCs w:val="24"/>
        </w:rPr>
        <w:t>sama</w:t>
      </w:r>
      <w:r w:rsidR="00A954D0" w:rsidRPr="008379CA">
        <w:rPr>
          <w:rFonts w:ascii="Bookman Old Style" w:hAnsi="Bookman Old Style"/>
          <w:sz w:val="24"/>
          <w:szCs w:val="24"/>
        </w:rPr>
        <w:t xml:space="preserve"> </w:t>
      </w:r>
      <w:r w:rsidRPr="008379CA">
        <w:rPr>
          <w:rFonts w:ascii="Bookman Old Style" w:hAnsi="Bookman Old Style"/>
          <w:sz w:val="24"/>
          <w:szCs w:val="24"/>
        </w:rPr>
        <w:t>serta</w:t>
      </w:r>
      <w:r w:rsidR="00A954D0" w:rsidRPr="008379CA">
        <w:rPr>
          <w:rFonts w:ascii="Bookman Old Style" w:hAnsi="Bookman Old Style"/>
          <w:sz w:val="24"/>
          <w:szCs w:val="24"/>
        </w:rPr>
        <w:t xml:space="preserve"> </w:t>
      </w:r>
      <w:r w:rsidRPr="008379CA">
        <w:rPr>
          <w:rFonts w:ascii="Bookman Old Style" w:hAnsi="Bookman Old Style"/>
          <w:sz w:val="24"/>
          <w:szCs w:val="24"/>
        </w:rPr>
        <w:t>berkolaborasi</w:t>
      </w:r>
      <w:r w:rsidR="00A954D0" w:rsidRPr="008379CA">
        <w:rPr>
          <w:rFonts w:ascii="Bookman Old Style" w:hAnsi="Bookman Old Style"/>
          <w:sz w:val="24"/>
          <w:szCs w:val="24"/>
        </w:rPr>
        <w:t xml:space="preserve"> </w:t>
      </w:r>
      <w:r w:rsidRPr="008379CA">
        <w:rPr>
          <w:rFonts w:ascii="Bookman Old Style" w:hAnsi="Bookman Old Style"/>
          <w:sz w:val="24"/>
          <w:szCs w:val="24"/>
        </w:rPr>
        <w:t>dengan</w:t>
      </w:r>
      <w:r w:rsidR="00A954D0" w:rsidRPr="008379CA">
        <w:rPr>
          <w:rFonts w:ascii="Bookman Old Style" w:hAnsi="Bookman Old Style"/>
          <w:sz w:val="24"/>
          <w:szCs w:val="24"/>
        </w:rPr>
        <w:t xml:space="preserve"> </w:t>
      </w:r>
      <w:r w:rsidRPr="008379CA">
        <w:rPr>
          <w:rFonts w:ascii="Bookman Old Style" w:hAnsi="Bookman Old Style"/>
          <w:i/>
          <w:iCs/>
          <w:sz w:val="24"/>
          <w:szCs w:val="24"/>
        </w:rPr>
        <w:t>stake</w:t>
      </w:r>
      <w:r w:rsidR="00A954D0" w:rsidRPr="008379CA">
        <w:rPr>
          <w:rFonts w:ascii="Bookman Old Style" w:hAnsi="Bookman Old Style"/>
          <w:i/>
          <w:iCs/>
          <w:sz w:val="24"/>
          <w:szCs w:val="24"/>
        </w:rPr>
        <w:t xml:space="preserve"> </w:t>
      </w:r>
      <w:r w:rsidRPr="008379CA">
        <w:rPr>
          <w:rFonts w:ascii="Bookman Old Style" w:hAnsi="Bookman Old Style"/>
          <w:i/>
          <w:iCs/>
          <w:sz w:val="24"/>
          <w:szCs w:val="24"/>
        </w:rPr>
        <w:t>holder</w:t>
      </w:r>
      <w:r w:rsidR="00A954D0" w:rsidRPr="008379CA">
        <w:rPr>
          <w:rFonts w:ascii="Bookman Old Style" w:hAnsi="Bookman Old Style"/>
          <w:sz w:val="24"/>
          <w:szCs w:val="24"/>
        </w:rPr>
        <w:t xml:space="preserve"> </w:t>
      </w:r>
      <w:r w:rsidRPr="008379CA">
        <w:rPr>
          <w:rFonts w:ascii="Bookman Old Style" w:hAnsi="Bookman Old Style"/>
          <w:sz w:val="24"/>
          <w:szCs w:val="24"/>
        </w:rPr>
        <w:t>lainnya</w:t>
      </w:r>
      <w:r w:rsidR="00A954D0" w:rsidRPr="008379CA">
        <w:rPr>
          <w:rFonts w:ascii="Bookman Old Style" w:hAnsi="Bookman Old Style"/>
          <w:sz w:val="24"/>
          <w:szCs w:val="24"/>
        </w:rPr>
        <w:t xml:space="preserve"> </w:t>
      </w:r>
      <w:r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Pr="008379CA">
        <w:rPr>
          <w:rFonts w:ascii="Bookman Old Style" w:hAnsi="Bookman Old Style"/>
          <w:sz w:val="24"/>
          <w:szCs w:val="24"/>
        </w:rPr>
        <w:t>rangka</w:t>
      </w:r>
      <w:r w:rsidR="00A954D0" w:rsidRPr="008379CA">
        <w:rPr>
          <w:rFonts w:ascii="Bookman Old Style" w:hAnsi="Bookman Old Style"/>
          <w:sz w:val="24"/>
          <w:szCs w:val="24"/>
        </w:rPr>
        <w:t xml:space="preserve"> </w:t>
      </w:r>
      <w:r w:rsidRPr="008379CA">
        <w:rPr>
          <w:rFonts w:ascii="Bookman Old Style" w:hAnsi="Bookman Old Style"/>
          <w:sz w:val="24"/>
          <w:szCs w:val="24"/>
        </w:rPr>
        <w:t>menurunkan</w:t>
      </w:r>
      <w:r w:rsidR="00A954D0" w:rsidRPr="008379CA">
        <w:rPr>
          <w:rFonts w:ascii="Bookman Old Style" w:hAnsi="Bookman Old Style"/>
          <w:sz w:val="24"/>
          <w:szCs w:val="24"/>
        </w:rPr>
        <w:t xml:space="preserve"> </w:t>
      </w:r>
      <w:r w:rsidRPr="008379CA">
        <w:rPr>
          <w:rFonts w:ascii="Bookman Old Style" w:hAnsi="Bookman Old Style"/>
          <w:sz w:val="24"/>
          <w:szCs w:val="24"/>
        </w:rPr>
        <w:t>angka</w:t>
      </w:r>
      <w:r w:rsidR="00A954D0" w:rsidRPr="008379CA">
        <w:rPr>
          <w:rFonts w:ascii="Bookman Old Style" w:hAnsi="Bookman Old Style"/>
          <w:sz w:val="24"/>
          <w:szCs w:val="24"/>
        </w:rPr>
        <w:t xml:space="preserve"> </w:t>
      </w:r>
      <w:r w:rsidRPr="008379CA">
        <w:rPr>
          <w:rFonts w:ascii="Bookman Old Style" w:hAnsi="Bookman Old Style"/>
          <w:sz w:val="24"/>
          <w:szCs w:val="24"/>
        </w:rPr>
        <w:t>tingkat</w:t>
      </w:r>
      <w:r w:rsidR="00A954D0" w:rsidRPr="008379CA">
        <w:rPr>
          <w:rFonts w:ascii="Bookman Old Style" w:hAnsi="Bookman Old Style"/>
          <w:sz w:val="24"/>
          <w:szCs w:val="24"/>
        </w:rPr>
        <w:t xml:space="preserve"> </w:t>
      </w:r>
      <w:r w:rsidRPr="008379CA">
        <w:rPr>
          <w:rFonts w:ascii="Bookman Old Style" w:hAnsi="Bookman Old Style"/>
          <w:sz w:val="24"/>
          <w:szCs w:val="24"/>
        </w:rPr>
        <w:t>pengangguran</w:t>
      </w:r>
      <w:r w:rsidR="00A954D0" w:rsidRPr="008379CA">
        <w:rPr>
          <w:rFonts w:ascii="Bookman Old Style" w:hAnsi="Bookman Old Style"/>
          <w:sz w:val="24"/>
          <w:szCs w:val="24"/>
        </w:rPr>
        <w:t xml:space="preserve"> </w:t>
      </w:r>
      <w:r w:rsidRPr="008379CA">
        <w:rPr>
          <w:rFonts w:ascii="Bookman Old Style" w:hAnsi="Bookman Old Style"/>
          <w:sz w:val="24"/>
          <w:szCs w:val="24"/>
        </w:rPr>
        <w:t>terbuka</w:t>
      </w:r>
      <w:r w:rsidR="00A954D0" w:rsidRPr="008379CA">
        <w:rPr>
          <w:rFonts w:ascii="Bookman Old Style" w:hAnsi="Bookman Old Style"/>
          <w:sz w:val="24"/>
          <w:szCs w:val="24"/>
        </w:rPr>
        <w:t xml:space="preserve"> </w:t>
      </w:r>
      <w:r w:rsidRPr="008379CA">
        <w:rPr>
          <w:rFonts w:ascii="Bookman Old Style" w:hAnsi="Bookman Old Style"/>
          <w:sz w:val="24"/>
          <w:szCs w:val="24"/>
        </w:rPr>
        <w:t>pada</w:t>
      </w:r>
      <w:r w:rsidR="00A954D0" w:rsidRPr="008379CA">
        <w:rPr>
          <w:rFonts w:ascii="Bookman Old Style" w:hAnsi="Bookman Old Style"/>
          <w:sz w:val="24"/>
          <w:szCs w:val="24"/>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rPr>
        <w:t>2025</w:t>
      </w:r>
      <w:r w:rsidR="00A954D0" w:rsidRPr="008379CA">
        <w:rPr>
          <w:rFonts w:ascii="Bookman Old Style" w:hAnsi="Bookman Old Style"/>
          <w:sz w:val="24"/>
          <w:szCs w:val="24"/>
        </w:rPr>
        <w:t xml:space="preserve"> </w:t>
      </w:r>
      <w:r w:rsidRPr="008379CA">
        <w:rPr>
          <w:rFonts w:ascii="Bookman Old Style" w:hAnsi="Bookman Old Style"/>
          <w:sz w:val="24"/>
          <w:szCs w:val="24"/>
        </w:rPr>
        <w:t>sebesar</w:t>
      </w:r>
      <w:r w:rsidR="00A954D0" w:rsidRPr="008379CA">
        <w:rPr>
          <w:rFonts w:ascii="Bookman Old Style" w:hAnsi="Bookman Old Style"/>
          <w:sz w:val="24"/>
          <w:szCs w:val="24"/>
        </w:rPr>
        <w:t xml:space="preserve"> </w:t>
      </w:r>
      <w:r w:rsidR="0028432F" w:rsidRPr="008379CA">
        <w:rPr>
          <w:rFonts w:ascii="Bookman Old Style" w:hAnsi="Bookman Old Style"/>
          <w:sz w:val="24"/>
          <w:szCs w:val="24"/>
        </w:rPr>
        <w:t>6</w:t>
      </w:r>
      <w:r w:rsidR="00D06235" w:rsidRPr="008379CA">
        <w:rPr>
          <w:rFonts w:ascii="Bookman Old Style" w:hAnsi="Bookman Old Style"/>
          <w:sz w:val="24"/>
          <w:szCs w:val="24"/>
        </w:rPr>
        <w:t>,</w:t>
      </w:r>
      <w:r w:rsidR="0028432F" w:rsidRPr="008379CA">
        <w:rPr>
          <w:rFonts w:ascii="Bookman Old Style" w:hAnsi="Bookman Old Style"/>
          <w:sz w:val="24"/>
          <w:szCs w:val="24"/>
        </w:rPr>
        <w:t>66</w:t>
      </w:r>
      <w:r w:rsidRPr="008379CA">
        <w:rPr>
          <w:rFonts w:ascii="Bookman Old Style" w:hAnsi="Bookman Old Style"/>
          <w:sz w:val="24"/>
          <w:szCs w:val="24"/>
        </w:rPr>
        <w:t>%.</w:t>
      </w:r>
    </w:p>
    <w:p w14:paraId="62E6655E" w14:textId="4DC5B99E" w:rsidR="00C32179" w:rsidRPr="008379CA" w:rsidRDefault="00C32179" w:rsidP="00447E9A">
      <w:pPr>
        <w:pStyle w:val="ListParagraph"/>
        <w:numPr>
          <w:ilvl w:val="0"/>
          <w:numId w:val="97"/>
        </w:numPr>
        <w:spacing w:before="240" w:after="120" w:line="276" w:lineRule="auto"/>
        <w:ind w:left="1281" w:hanging="288"/>
        <w:contextualSpacing w:val="0"/>
        <w:jc w:val="both"/>
        <w:rPr>
          <w:rFonts w:ascii="Bookman Old Style" w:hAnsi="Bookman Old Style" w:cs="Arial"/>
          <w:sz w:val="24"/>
          <w:szCs w:val="24"/>
          <w:lang w:val="id-ID"/>
        </w:rPr>
      </w:pPr>
      <w:r w:rsidRPr="008379CA">
        <w:rPr>
          <w:rFonts w:ascii="Bookman Old Style" w:hAnsi="Bookman Old Style" w:cs="Arial"/>
          <w:sz w:val="24"/>
          <w:szCs w:val="24"/>
        </w:rPr>
        <w:t>Alokasi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Anggaran</w:t>
      </w:r>
      <w:r w:rsidR="00A954D0" w:rsidRPr="008379CA">
        <w:rPr>
          <w:rFonts w:ascii="Bookman Old Style" w:hAnsi="Bookman Old Style" w:cs="Arial"/>
          <w:sz w:val="24"/>
          <w:szCs w:val="24"/>
        </w:rPr>
        <w:t xml:space="preserve"> </w:t>
      </w:r>
      <w:r w:rsidR="001E4547" w:rsidRPr="008379CA">
        <w:rPr>
          <w:rFonts w:ascii="Bookman Old Style" w:hAnsi="Bookman Old Style" w:cs="Arial"/>
          <w:sz w:val="24"/>
          <w:szCs w:val="24"/>
        </w:rPr>
        <w:t>Swasembada</w:t>
      </w:r>
      <w:r w:rsidR="00A954D0" w:rsidRPr="008379CA">
        <w:rPr>
          <w:rFonts w:ascii="Bookman Old Style" w:hAnsi="Bookman Old Style" w:cs="Arial"/>
          <w:sz w:val="24"/>
          <w:szCs w:val="24"/>
        </w:rPr>
        <w:t xml:space="preserve"> </w:t>
      </w:r>
      <w:r w:rsidR="001E4547" w:rsidRPr="008379CA">
        <w:rPr>
          <w:rFonts w:ascii="Bookman Old Style" w:hAnsi="Bookman Old Style" w:cs="Arial"/>
          <w:sz w:val="24"/>
          <w:szCs w:val="24"/>
        </w:rPr>
        <w:t>Pangan</w:t>
      </w:r>
      <w:r w:rsidR="00A954D0" w:rsidRPr="008379CA">
        <w:rPr>
          <w:rFonts w:ascii="Bookman Old Style" w:hAnsi="Bookman Old Style" w:cs="Arial"/>
          <w:sz w:val="24"/>
          <w:szCs w:val="24"/>
        </w:rPr>
        <w:t xml:space="preserve"> </w:t>
      </w:r>
      <w:r w:rsidR="001E4547" w:rsidRPr="008379CA">
        <w:rPr>
          <w:rFonts w:ascii="Bookman Old Style" w:hAnsi="Bookman Old Style" w:cs="Arial"/>
          <w:sz w:val="24"/>
          <w:szCs w:val="24"/>
        </w:rPr>
        <w:t>Untuk</w:t>
      </w:r>
      <w:r w:rsidR="00A954D0" w:rsidRPr="008379CA">
        <w:rPr>
          <w:rFonts w:ascii="Bookman Old Style" w:hAnsi="Bookman Old Style" w:cs="Arial"/>
          <w:sz w:val="24"/>
          <w:szCs w:val="24"/>
        </w:rPr>
        <w:t xml:space="preserve"> </w:t>
      </w:r>
      <w:r w:rsidR="001E4547" w:rsidRPr="008379CA">
        <w:rPr>
          <w:rFonts w:ascii="Bookman Old Style" w:hAnsi="Bookman Old Style" w:cs="Arial"/>
          <w:sz w:val="24"/>
          <w:szCs w:val="24"/>
        </w:rPr>
        <w:t>Mendorong</w:t>
      </w:r>
      <w:r w:rsidR="00A954D0" w:rsidRPr="008379CA">
        <w:rPr>
          <w:rFonts w:ascii="Bookman Old Style" w:hAnsi="Bookman Old Style" w:cs="Arial"/>
          <w:sz w:val="24"/>
          <w:szCs w:val="24"/>
        </w:rPr>
        <w:t xml:space="preserve"> </w:t>
      </w:r>
      <w:r w:rsidR="001E4547" w:rsidRPr="008379CA">
        <w:rPr>
          <w:rFonts w:ascii="Bookman Old Style" w:hAnsi="Bookman Old Style" w:cs="Arial"/>
          <w:sz w:val="24"/>
          <w:szCs w:val="24"/>
        </w:rPr>
        <w:t>Kemandirian</w:t>
      </w:r>
      <w:r w:rsidR="00A954D0" w:rsidRPr="008379CA">
        <w:rPr>
          <w:rFonts w:ascii="Bookman Old Style" w:hAnsi="Bookman Old Style" w:cs="Arial"/>
          <w:sz w:val="24"/>
          <w:szCs w:val="24"/>
        </w:rPr>
        <w:t xml:space="preserve"> </w:t>
      </w:r>
      <w:r w:rsidR="001E4547" w:rsidRPr="008379CA">
        <w:rPr>
          <w:rFonts w:ascii="Bookman Old Style" w:hAnsi="Bookman Old Style" w:cs="Arial"/>
          <w:sz w:val="24"/>
          <w:szCs w:val="24"/>
        </w:rPr>
        <w:t>Bangsa</w:t>
      </w:r>
      <w:r w:rsidR="00A954D0" w:rsidRPr="008379CA">
        <w:rPr>
          <w:rFonts w:ascii="Bookman Old Style" w:hAnsi="Bookman Old Style" w:cs="Arial"/>
          <w:sz w:val="24"/>
          <w:szCs w:val="24"/>
        </w:rPr>
        <w:t xml:space="preserve"> </w:t>
      </w:r>
    </w:p>
    <w:p w14:paraId="4C970B6C" w14:textId="1913DD47" w:rsidR="00D72B30" w:rsidRDefault="00AA448C" w:rsidP="004666ED">
      <w:pPr>
        <w:pStyle w:val="ListParagraph"/>
        <w:spacing w:before="120" w:after="120" w:line="276" w:lineRule="auto"/>
        <w:ind w:left="1276"/>
        <w:contextualSpacing w:val="0"/>
        <w:jc w:val="both"/>
        <w:rPr>
          <w:rFonts w:ascii="Bookman Old Style" w:hAnsi="Bookman Old Style"/>
          <w:sz w:val="24"/>
          <w:szCs w:val="24"/>
          <w:lang w:val="id-ID"/>
        </w:rPr>
      </w:pPr>
      <w:r w:rsidRPr="008379CA">
        <w:rPr>
          <w:rFonts w:ascii="Bookman Old Style" w:hAnsi="Bookman Old Style" w:cs="Arial"/>
          <w:sz w:val="24"/>
          <w:szCs w:val="24"/>
        </w:rPr>
        <w:t>Penyediaan</w:t>
      </w:r>
      <w:r w:rsidR="00A954D0" w:rsidRPr="008379CA">
        <w:rPr>
          <w:rFonts w:ascii="Bookman Old Style" w:hAnsi="Bookman Old Style" w:cs="Arial"/>
          <w:sz w:val="24"/>
          <w:szCs w:val="24"/>
        </w:rPr>
        <w:t xml:space="preserve"> </w:t>
      </w:r>
      <w:r w:rsidR="0037705A" w:rsidRPr="008379CA">
        <w:rPr>
          <w:rFonts w:ascii="Bookman Old Style" w:hAnsi="Bookman Old Style" w:cs="Arial"/>
          <w:sz w:val="24"/>
          <w:szCs w:val="24"/>
        </w:rPr>
        <w:t>anggaran</w:t>
      </w:r>
      <w:r w:rsidR="00A954D0" w:rsidRPr="008379CA">
        <w:rPr>
          <w:rFonts w:ascii="Bookman Old Style" w:hAnsi="Bookman Old Style" w:cs="Arial"/>
          <w:sz w:val="24"/>
          <w:szCs w:val="24"/>
        </w:rPr>
        <w:t xml:space="preserve"> </w:t>
      </w:r>
      <w:r w:rsidR="0037705A" w:rsidRPr="008379CA">
        <w:rPr>
          <w:rFonts w:ascii="Bookman Old Style" w:hAnsi="Bookman Old Style" w:cs="Arial"/>
          <w:sz w:val="24"/>
          <w:szCs w:val="24"/>
        </w:rPr>
        <w:t>swasembada</w:t>
      </w:r>
      <w:r w:rsidR="00A954D0" w:rsidRPr="008379CA">
        <w:rPr>
          <w:rFonts w:ascii="Bookman Old Style" w:hAnsi="Bookman Old Style" w:cs="Arial"/>
          <w:sz w:val="24"/>
          <w:szCs w:val="24"/>
        </w:rPr>
        <w:t xml:space="preserve"> </w:t>
      </w:r>
      <w:r w:rsidR="0037705A" w:rsidRPr="008379CA">
        <w:rPr>
          <w:rFonts w:ascii="Bookman Old Style" w:hAnsi="Bookman Old Style" w:cs="Arial"/>
          <w:sz w:val="24"/>
          <w:szCs w:val="24"/>
        </w:rPr>
        <w:t>pangan</w:t>
      </w:r>
      <w:r w:rsidR="00A954D0" w:rsidRPr="008379CA">
        <w:rPr>
          <w:rFonts w:ascii="Bookman Old Style" w:hAnsi="Bookman Old Style" w:cs="Arial"/>
          <w:sz w:val="24"/>
          <w:szCs w:val="24"/>
        </w:rPr>
        <w:t xml:space="preserve"> </w:t>
      </w:r>
      <w:r w:rsidR="0037705A" w:rsidRPr="008379CA">
        <w:rPr>
          <w:rFonts w:ascii="Bookman Old Style" w:hAnsi="Bookman Old Style" w:cs="Arial"/>
          <w:sz w:val="24"/>
          <w:szCs w:val="24"/>
        </w:rPr>
        <w:t>untuk</w:t>
      </w:r>
      <w:r w:rsidR="00A954D0" w:rsidRPr="008379CA">
        <w:rPr>
          <w:rFonts w:ascii="Bookman Old Style" w:hAnsi="Bookman Old Style" w:cs="Arial"/>
          <w:sz w:val="24"/>
          <w:szCs w:val="24"/>
        </w:rPr>
        <w:t xml:space="preserve"> </w:t>
      </w:r>
      <w:r w:rsidR="0037705A" w:rsidRPr="008379CA">
        <w:rPr>
          <w:rFonts w:ascii="Bookman Old Style" w:hAnsi="Bookman Old Style" w:cs="Arial"/>
          <w:sz w:val="24"/>
          <w:szCs w:val="24"/>
        </w:rPr>
        <w:t>mendorong</w:t>
      </w:r>
      <w:r w:rsidR="00A954D0" w:rsidRPr="008379CA">
        <w:rPr>
          <w:rFonts w:ascii="Bookman Old Style" w:hAnsi="Bookman Old Style" w:cs="Arial"/>
          <w:sz w:val="24"/>
          <w:szCs w:val="24"/>
        </w:rPr>
        <w:t xml:space="preserve"> </w:t>
      </w:r>
      <w:r w:rsidR="0037705A" w:rsidRPr="008379CA">
        <w:rPr>
          <w:rFonts w:ascii="Bookman Old Style" w:hAnsi="Bookman Old Style" w:cs="Arial"/>
          <w:sz w:val="24"/>
          <w:szCs w:val="24"/>
        </w:rPr>
        <w:t>kemandirian</w:t>
      </w:r>
      <w:r w:rsidR="00A954D0" w:rsidRPr="008379CA">
        <w:rPr>
          <w:rFonts w:ascii="Bookman Old Style" w:hAnsi="Bookman Old Style" w:cs="Arial"/>
          <w:sz w:val="24"/>
          <w:szCs w:val="24"/>
        </w:rPr>
        <w:t xml:space="preserve"> </w:t>
      </w:r>
      <w:r w:rsidR="00D72B30" w:rsidRPr="008379CA">
        <w:rPr>
          <w:rFonts w:ascii="Bookman Old Style" w:hAnsi="Bookman Old Style" w:cs="Arial"/>
          <w:sz w:val="24"/>
          <w:szCs w:val="24"/>
        </w:rPr>
        <w:t>Bangsa</w:t>
      </w:r>
      <w:r w:rsidR="00A954D0" w:rsidRPr="008379CA">
        <w:rPr>
          <w:rFonts w:ascii="Bookman Old Style" w:hAnsi="Bookman Old Style" w:cs="Tahoma"/>
          <w:sz w:val="24"/>
          <w:szCs w:val="24"/>
        </w:rPr>
        <w:t xml:space="preserve"> </w:t>
      </w:r>
      <w:r w:rsidR="00D72B30" w:rsidRPr="008379CA">
        <w:rPr>
          <w:rFonts w:ascii="Bookman Old Style" w:hAnsi="Bookman Old Style" w:cs="Tahoma"/>
          <w:b/>
          <w:bCs/>
          <w:sz w:val="24"/>
          <w:szCs w:val="24"/>
        </w:rPr>
        <w:t>agar</w:t>
      </w:r>
      <w:r w:rsidR="00A954D0" w:rsidRPr="008379CA">
        <w:rPr>
          <w:rFonts w:ascii="Bookman Old Style" w:hAnsi="Bookman Old Style" w:cs="Tahoma"/>
          <w:b/>
          <w:bCs/>
          <w:sz w:val="24"/>
          <w:szCs w:val="24"/>
        </w:rPr>
        <w:t xml:space="preserve"> </w:t>
      </w:r>
      <w:r w:rsidR="00D72B30" w:rsidRPr="008379CA">
        <w:rPr>
          <w:rFonts w:ascii="Bookman Old Style" w:hAnsi="Bookman Old Style" w:cs="Tahoma"/>
          <w:b/>
          <w:bCs/>
          <w:sz w:val="24"/>
          <w:szCs w:val="24"/>
        </w:rPr>
        <w:t>dianggarkan</w:t>
      </w:r>
      <w:r w:rsidR="00A954D0" w:rsidRPr="008379CA">
        <w:rPr>
          <w:rFonts w:ascii="Bookman Old Style" w:hAnsi="Bookman Old Style" w:cs="Tahoma"/>
          <w:sz w:val="24"/>
          <w:szCs w:val="24"/>
        </w:rPr>
        <w:t xml:space="preserve"> </w:t>
      </w:r>
      <w:r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Pr="008379CA">
        <w:rPr>
          <w:rFonts w:ascii="Bookman Old Style" w:hAnsi="Bookman Old Style"/>
          <w:sz w:val="24"/>
          <w:szCs w:val="24"/>
        </w:rPr>
        <w:t>Rancangan</w:t>
      </w:r>
      <w:r w:rsidR="00A954D0" w:rsidRPr="008379CA">
        <w:rPr>
          <w:rFonts w:ascii="Bookman Old Style" w:hAnsi="Bookman Old Style"/>
          <w:sz w:val="24"/>
          <w:szCs w:val="24"/>
        </w:rPr>
        <w:t xml:space="preserve"> </w:t>
      </w:r>
      <w:r w:rsidRPr="008379CA">
        <w:rPr>
          <w:rFonts w:ascii="Bookman Old Style" w:hAnsi="Bookman Old Style"/>
          <w:sz w:val="24"/>
          <w:szCs w:val="24"/>
        </w:rPr>
        <w:t>Peraturan</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00770F22"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sz w:val="24"/>
          <w:szCs w:val="24"/>
        </w:rPr>
        <w:t>tentang</w:t>
      </w:r>
      <w:r w:rsidR="00A954D0" w:rsidRPr="008379CA">
        <w:rPr>
          <w:rFonts w:ascii="Bookman Old Style" w:hAnsi="Bookman Old Style"/>
          <w:sz w:val="24"/>
          <w:szCs w:val="24"/>
        </w:rPr>
        <w:t xml:space="preserve"> </w:t>
      </w:r>
      <w:r w:rsidRPr="008379CA">
        <w:rPr>
          <w:rFonts w:ascii="Bookman Old Style" w:hAnsi="Bookman Old Style"/>
          <w:sz w:val="24"/>
          <w:szCs w:val="24"/>
        </w:rPr>
        <w:t>APBD</w:t>
      </w:r>
      <w:r w:rsidR="00A954D0" w:rsidRPr="008379CA">
        <w:rPr>
          <w:rFonts w:ascii="Bookman Old Style" w:hAnsi="Bookman Old Style"/>
          <w:sz w:val="24"/>
          <w:szCs w:val="24"/>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202</w:t>
      </w:r>
      <w:r w:rsidRPr="008379CA">
        <w:rPr>
          <w:rFonts w:ascii="Bookman Old Style" w:hAnsi="Bookman Old Style"/>
          <w:sz w:val="24"/>
          <w:szCs w:val="24"/>
          <w:lang w:val="id-ID"/>
        </w:rPr>
        <w:t>5</w:t>
      </w:r>
      <w:r w:rsidR="00A954D0" w:rsidRPr="008379CA">
        <w:rPr>
          <w:rFonts w:ascii="Bookman Old Style" w:hAnsi="Bookman Old Style"/>
          <w:sz w:val="24"/>
          <w:szCs w:val="24"/>
          <w:lang w:val="id-ID"/>
        </w:rPr>
        <w:t xml:space="preserve"> </w:t>
      </w:r>
      <w:r w:rsidR="00D72B30" w:rsidRPr="008379CA">
        <w:rPr>
          <w:rFonts w:ascii="Bookman Old Style" w:hAnsi="Bookman Old Style"/>
          <w:sz w:val="24"/>
          <w:szCs w:val="24"/>
          <w:lang w:val="id-ID"/>
        </w:rPr>
        <w:t>guna</w:t>
      </w:r>
      <w:r w:rsidR="00A954D0" w:rsidRPr="008379CA">
        <w:rPr>
          <w:rFonts w:ascii="Bookman Old Style" w:hAnsi="Bookman Old Style"/>
          <w:sz w:val="24"/>
          <w:szCs w:val="24"/>
          <w:lang w:val="id-ID"/>
        </w:rPr>
        <w:t xml:space="preserve"> </w:t>
      </w:r>
      <w:r w:rsidR="00D72B30" w:rsidRPr="008379CA">
        <w:rPr>
          <w:rFonts w:ascii="Bookman Old Style" w:hAnsi="Bookman Old Style"/>
          <w:sz w:val="24"/>
          <w:szCs w:val="24"/>
          <w:lang w:val="id-ID"/>
        </w:rPr>
        <w:t>mewujudkan</w:t>
      </w:r>
      <w:r w:rsidR="00A954D0" w:rsidRPr="008379CA">
        <w:rPr>
          <w:rFonts w:ascii="Bookman Old Style" w:hAnsi="Bookman Old Style"/>
          <w:sz w:val="24"/>
          <w:szCs w:val="24"/>
          <w:lang w:val="id-ID"/>
        </w:rPr>
        <w:t xml:space="preserve"> </w:t>
      </w:r>
      <w:r w:rsidR="0037705A" w:rsidRPr="008379CA">
        <w:rPr>
          <w:rFonts w:ascii="Bookman Old Style" w:hAnsi="Bookman Old Style"/>
          <w:sz w:val="24"/>
          <w:szCs w:val="24"/>
          <w:lang w:val="id-ID"/>
        </w:rPr>
        <w:t>swasembada</w:t>
      </w:r>
      <w:r w:rsidR="00A954D0" w:rsidRPr="008379CA">
        <w:rPr>
          <w:rFonts w:ascii="Bookman Old Style" w:hAnsi="Bookman Old Style"/>
          <w:sz w:val="24"/>
          <w:szCs w:val="24"/>
          <w:lang w:val="id-ID"/>
        </w:rPr>
        <w:t xml:space="preserve"> </w:t>
      </w:r>
      <w:r w:rsidR="0037705A" w:rsidRPr="008379CA">
        <w:rPr>
          <w:rFonts w:ascii="Bookman Old Style" w:hAnsi="Bookman Old Style"/>
          <w:sz w:val="24"/>
          <w:szCs w:val="24"/>
          <w:lang w:val="id-ID"/>
        </w:rPr>
        <w:t>pangan</w:t>
      </w:r>
      <w:r w:rsidR="00A954D0" w:rsidRPr="008379CA">
        <w:rPr>
          <w:rFonts w:ascii="Bookman Old Style" w:hAnsi="Bookman Old Style"/>
          <w:sz w:val="24"/>
          <w:szCs w:val="24"/>
          <w:lang w:val="id-ID"/>
        </w:rPr>
        <w:t xml:space="preserve"> </w:t>
      </w:r>
      <w:r w:rsidR="00D72B30" w:rsidRPr="008379CA">
        <w:rPr>
          <w:rFonts w:ascii="Bookman Old Style" w:hAnsi="Bookman Old Style"/>
          <w:sz w:val="24"/>
          <w:szCs w:val="24"/>
          <w:lang w:val="id-ID"/>
        </w:rPr>
        <w:t>sesuai</w:t>
      </w:r>
      <w:r w:rsidR="00A954D0" w:rsidRPr="008379CA">
        <w:rPr>
          <w:rFonts w:ascii="Bookman Old Style" w:hAnsi="Bookman Old Style"/>
          <w:sz w:val="24"/>
          <w:szCs w:val="24"/>
          <w:lang w:val="id-ID"/>
        </w:rPr>
        <w:t xml:space="preserve"> </w:t>
      </w:r>
      <w:r w:rsidR="00D72B30" w:rsidRPr="008379CA">
        <w:rPr>
          <w:rFonts w:ascii="Bookman Old Style" w:hAnsi="Bookman Old Style"/>
          <w:sz w:val="24"/>
          <w:szCs w:val="24"/>
          <w:lang w:val="id-ID"/>
        </w:rPr>
        <w:t>dengan</w:t>
      </w:r>
      <w:r w:rsidR="00A954D0" w:rsidRPr="008379CA">
        <w:rPr>
          <w:rFonts w:ascii="Bookman Old Style" w:hAnsi="Bookman Old Style"/>
          <w:sz w:val="24"/>
          <w:szCs w:val="24"/>
          <w:lang w:val="id-ID"/>
        </w:rPr>
        <w:t xml:space="preserve"> </w:t>
      </w:r>
      <w:r w:rsidR="00D72B30" w:rsidRPr="008379CA">
        <w:rPr>
          <w:rFonts w:ascii="Bookman Old Style" w:hAnsi="Bookman Old Style"/>
          <w:sz w:val="24"/>
          <w:szCs w:val="24"/>
          <w:lang w:val="id-ID"/>
        </w:rPr>
        <w:t>kewenangan</w:t>
      </w:r>
      <w:r w:rsidR="00A954D0" w:rsidRPr="008379CA">
        <w:rPr>
          <w:rFonts w:ascii="Bookman Old Style" w:hAnsi="Bookman Old Style"/>
          <w:sz w:val="24"/>
          <w:szCs w:val="24"/>
          <w:lang w:val="id-ID"/>
        </w:rPr>
        <w:t xml:space="preserve"> </w:t>
      </w:r>
      <w:r w:rsidR="00D72B30" w:rsidRPr="008379CA">
        <w:rPr>
          <w:rFonts w:ascii="Bookman Old Style" w:hAnsi="Bookman Old Style"/>
          <w:sz w:val="24"/>
          <w:szCs w:val="24"/>
          <w:lang w:val="id-ID"/>
        </w:rPr>
        <w:t>daerah</w:t>
      </w:r>
      <w:r w:rsidR="00A954D0" w:rsidRPr="008379CA">
        <w:rPr>
          <w:rFonts w:ascii="Bookman Old Style" w:hAnsi="Bookman Old Style"/>
          <w:sz w:val="24"/>
          <w:szCs w:val="24"/>
          <w:lang w:val="id-ID"/>
        </w:rPr>
        <w:t xml:space="preserve"> </w:t>
      </w:r>
      <w:r w:rsidR="00D72B30" w:rsidRPr="008379CA">
        <w:rPr>
          <w:rFonts w:ascii="Bookman Old Style" w:hAnsi="Bookman Old Style"/>
          <w:sz w:val="24"/>
          <w:szCs w:val="24"/>
          <w:lang w:val="id-ID"/>
        </w:rPr>
        <w:t>antara</w:t>
      </w:r>
      <w:r w:rsidR="00A954D0" w:rsidRPr="008379CA">
        <w:rPr>
          <w:rFonts w:ascii="Bookman Old Style" w:hAnsi="Bookman Old Style"/>
          <w:sz w:val="24"/>
          <w:szCs w:val="24"/>
          <w:lang w:val="id-ID"/>
        </w:rPr>
        <w:t xml:space="preserve"> </w:t>
      </w:r>
      <w:r w:rsidR="00D72B30" w:rsidRPr="008379CA">
        <w:rPr>
          <w:rFonts w:ascii="Bookman Old Style" w:hAnsi="Bookman Old Style"/>
          <w:sz w:val="24"/>
          <w:szCs w:val="24"/>
          <w:lang w:val="id-ID"/>
        </w:rPr>
        <w:t>lain</w:t>
      </w:r>
      <w:r w:rsidR="00A954D0" w:rsidRPr="008379CA">
        <w:rPr>
          <w:rFonts w:ascii="Bookman Old Style" w:hAnsi="Bookman Old Style"/>
          <w:sz w:val="24"/>
          <w:szCs w:val="24"/>
          <w:lang w:val="id-ID"/>
        </w:rPr>
        <w:t xml:space="preserve"> </w:t>
      </w:r>
      <w:r w:rsidR="00D72B30" w:rsidRPr="008379CA">
        <w:rPr>
          <w:rFonts w:ascii="Bookman Old Style" w:hAnsi="Bookman Old Style"/>
          <w:sz w:val="24"/>
          <w:szCs w:val="24"/>
          <w:lang w:val="id-ID"/>
        </w:rPr>
        <w:t>mendorong</w:t>
      </w:r>
      <w:r w:rsidR="00A954D0" w:rsidRPr="008379CA">
        <w:rPr>
          <w:rFonts w:ascii="Bookman Old Style" w:hAnsi="Bookman Old Style"/>
          <w:sz w:val="24"/>
          <w:szCs w:val="24"/>
          <w:lang w:val="id-ID"/>
        </w:rPr>
        <w:t xml:space="preserve"> </w:t>
      </w:r>
      <w:r w:rsidR="00D72B30" w:rsidRPr="008379CA">
        <w:rPr>
          <w:rFonts w:ascii="Bookman Old Style" w:hAnsi="Bookman Old Style"/>
          <w:sz w:val="24"/>
          <w:szCs w:val="24"/>
          <w:lang w:val="id-ID"/>
        </w:rPr>
        <w:t>upaya</w:t>
      </w:r>
      <w:r w:rsidR="00A954D0" w:rsidRPr="008379CA">
        <w:rPr>
          <w:rFonts w:ascii="Bookman Old Style" w:hAnsi="Bookman Old Style"/>
          <w:sz w:val="24"/>
          <w:szCs w:val="24"/>
          <w:lang w:val="id-ID"/>
        </w:rPr>
        <w:t xml:space="preserve"> </w:t>
      </w:r>
      <w:r w:rsidR="00D72B30" w:rsidRPr="008379CA">
        <w:rPr>
          <w:rFonts w:ascii="Bookman Old Style" w:hAnsi="Bookman Old Style"/>
          <w:sz w:val="24"/>
          <w:szCs w:val="24"/>
          <w:lang w:val="id-ID"/>
        </w:rPr>
        <w:t>peningkatan</w:t>
      </w:r>
      <w:r w:rsidR="00A954D0" w:rsidRPr="008379CA">
        <w:rPr>
          <w:rFonts w:ascii="Bookman Old Style" w:hAnsi="Bookman Old Style"/>
          <w:sz w:val="24"/>
          <w:szCs w:val="24"/>
          <w:lang w:val="id-ID"/>
        </w:rPr>
        <w:t xml:space="preserve"> </w:t>
      </w:r>
      <w:r w:rsidR="00D72B30" w:rsidRPr="008379CA">
        <w:rPr>
          <w:rFonts w:ascii="Bookman Old Style" w:hAnsi="Bookman Old Style"/>
          <w:sz w:val="24"/>
          <w:szCs w:val="24"/>
          <w:lang w:val="id-ID"/>
        </w:rPr>
        <w:t>produksi</w:t>
      </w:r>
      <w:r w:rsidR="00A954D0" w:rsidRPr="008379CA">
        <w:rPr>
          <w:rFonts w:ascii="Bookman Old Style" w:hAnsi="Bookman Old Style"/>
          <w:sz w:val="24"/>
          <w:szCs w:val="24"/>
          <w:lang w:val="id-ID"/>
        </w:rPr>
        <w:t xml:space="preserve"> </w:t>
      </w:r>
      <w:r w:rsidR="00D72B30" w:rsidRPr="008379CA">
        <w:rPr>
          <w:rFonts w:ascii="Bookman Old Style" w:hAnsi="Bookman Old Style"/>
          <w:sz w:val="24"/>
          <w:szCs w:val="24"/>
          <w:lang w:val="id-ID"/>
        </w:rPr>
        <w:t>dan</w:t>
      </w:r>
      <w:r w:rsidR="00A954D0" w:rsidRPr="008379CA">
        <w:rPr>
          <w:rFonts w:ascii="Bookman Old Style" w:hAnsi="Bookman Old Style"/>
          <w:sz w:val="24"/>
          <w:szCs w:val="24"/>
          <w:lang w:val="id-ID"/>
        </w:rPr>
        <w:t xml:space="preserve"> </w:t>
      </w:r>
      <w:r w:rsidR="00D72B30" w:rsidRPr="008379CA">
        <w:rPr>
          <w:rFonts w:ascii="Bookman Old Style" w:hAnsi="Bookman Old Style"/>
          <w:sz w:val="24"/>
          <w:szCs w:val="24"/>
          <w:lang w:val="id-ID"/>
        </w:rPr>
        <w:t>produktivitas</w:t>
      </w:r>
      <w:r w:rsidR="00A954D0" w:rsidRPr="008379CA">
        <w:rPr>
          <w:rFonts w:ascii="Bookman Old Style" w:hAnsi="Bookman Old Style"/>
          <w:sz w:val="24"/>
          <w:szCs w:val="24"/>
          <w:lang w:val="id-ID"/>
        </w:rPr>
        <w:t xml:space="preserve"> </w:t>
      </w:r>
      <w:r w:rsidR="00D72B30" w:rsidRPr="008379CA">
        <w:rPr>
          <w:rFonts w:ascii="Bookman Old Style" w:hAnsi="Bookman Old Style"/>
          <w:sz w:val="24"/>
          <w:szCs w:val="24"/>
          <w:lang w:val="id-ID"/>
        </w:rPr>
        <w:t>komoditas</w:t>
      </w:r>
      <w:r w:rsidR="00A954D0" w:rsidRPr="008379CA">
        <w:rPr>
          <w:rFonts w:ascii="Bookman Old Style" w:hAnsi="Bookman Old Style"/>
          <w:sz w:val="24"/>
          <w:szCs w:val="24"/>
          <w:lang w:val="id-ID"/>
        </w:rPr>
        <w:t xml:space="preserve"> </w:t>
      </w:r>
      <w:r w:rsidR="00D72B30" w:rsidRPr="008379CA">
        <w:rPr>
          <w:rFonts w:ascii="Bookman Old Style" w:hAnsi="Bookman Old Style"/>
          <w:sz w:val="24"/>
          <w:szCs w:val="24"/>
          <w:lang w:val="id-ID"/>
        </w:rPr>
        <w:t>pertanian</w:t>
      </w:r>
      <w:r w:rsidR="00A954D0" w:rsidRPr="008379CA">
        <w:rPr>
          <w:rFonts w:ascii="Bookman Old Style" w:hAnsi="Bookman Old Style"/>
          <w:sz w:val="24"/>
          <w:szCs w:val="24"/>
          <w:lang w:val="id-ID"/>
        </w:rPr>
        <w:t xml:space="preserve"> </w:t>
      </w:r>
      <w:r w:rsidR="00D72B30" w:rsidRPr="008379CA">
        <w:rPr>
          <w:rFonts w:ascii="Bookman Old Style" w:hAnsi="Bookman Old Style"/>
          <w:sz w:val="24"/>
          <w:szCs w:val="24"/>
          <w:lang w:val="id-ID"/>
        </w:rPr>
        <w:t>dan</w:t>
      </w:r>
      <w:r w:rsidR="00A954D0" w:rsidRPr="008379CA">
        <w:rPr>
          <w:rFonts w:ascii="Bookman Old Style" w:hAnsi="Bookman Old Style"/>
          <w:sz w:val="24"/>
          <w:szCs w:val="24"/>
          <w:lang w:val="id-ID"/>
        </w:rPr>
        <w:t xml:space="preserve"> </w:t>
      </w:r>
      <w:r w:rsidR="00D72B30" w:rsidRPr="008379CA">
        <w:rPr>
          <w:rFonts w:ascii="Bookman Old Style" w:hAnsi="Bookman Old Style"/>
          <w:sz w:val="24"/>
          <w:szCs w:val="24"/>
          <w:lang w:val="id-ID"/>
        </w:rPr>
        <w:t>peningkatan</w:t>
      </w:r>
      <w:r w:rsidR="00A954D0" w:rsidRPr="008379CA">
        <w:rPr>
          <w:rFonts w:ascii="Bookman Old Style" w:hAnsi="Bookman Old Style"/>
          <w:sz w:val="24"/>
          <w:szCs w:val="24"/>
          <w:lang w:val="id-ID"/>
        </w:rPr>
        <w:t xml:space="preserve"> </w:t>
      </w:r>
      <w:r w:rsidR="00D72B30" w:rsidRPr="008379CA">
        <w:rPr>
          <w:rFonts w:ascii="Bookman Old Style" w:hAnsi="Bookman Old Style"/>
          <w:sz w:val="24"/>
          <w:szCs w:val="24"/>
          <w:lang w:val="id-ID"/>
        </w:rPr>
        <w:t>kapasitas</w:t>
      </w:r>
      <w:r w:rsidR="00A954D0" w:rsidRPr="008379CA">
        <w:rPr>
          <w:rFonts w:ascii="Bookman Old Style" w:hAnsi="Bookman Old Style"/>
          <w:sz w:val="24"/>
          <w:szCs w:val="24"/>
          <w:lang w:val="id-ID"/>
        </w:rPr>
        <w:t xml:space="preserve"> </w:t>
      </w:r>
      <w:r w:rsidR="00D72B30" w:rsidRPr="008379CA">
        <w:rPr>
          <w:rFonts w:ascii="Bookman Old Style" w:hAnsi="Bookman Old Style"/>
          <w:sz w:val="24"/>
          <w:szCs w:val="24"/>
          <w:lang w:val="id-ID"/>
        </w:rPr>
        <w:t>SDM</w:t>
      </w:r>
      <w:r w:rsidR="00A954D0" w:rsidRPr="008379CA">
        <w:rPr>
          <w:rFonts w:ascii="Bookman Old Style" w:hAnsi="Bookman Old Style"/>
          <w:sz w:val="24"/>
          <w:szCs w:val="24"/>
          <w:lang w:val="id-ID"/>
        </w:rPr>
        <w:t xml:space="preserve"> </w:t>
      </w:r>
      <w:r w:rsidR="00D72B30" w:rsidRPr="008379CA">
        <w:rPr>
          <w:rFonts w:ascii="Bookman Old Style" w:hAnsi="Bookman Old Style"/>
          <w:sz w:val="24"/>
          <w:szCs w:val="24"/>
          <w:lang w:val="id-ID"/>
        </w:rPr>
        <w:t>di</w:t>
      </w:r>
      <w:r w:rsidR="00A954D0" w:rsidRPr="008379CA">
        <w:rPr>
          <w:rFonts w:ascii="Bookman Old Style" w:hAnsi="Bookman Old Style"/>
          <w:sz w:val="24"/>
          <w:szCs w:val="24"/>
          <w:lang w:val="id-ID"/>
        </w:rPr>
        <w:t xml:space="preserve"> </w:t>
      </w:r>
      <w:r w:rsidR="00D72B30" w:rsidRPr="008379CA">
        <w:rPr>
          <w:rFonts w:ascii="Bookman Old Style" w:hAnsi="Bookman Old Style"/>
          <w:sz w:val="24"/>
          <w:szCs w:val="24"/>
          <w:lang w:val="id-ID"/>
        </w:rPr>
        <w:t>bidang</w:t>
      </w:r>
      <w:r w:rsidR="00A954D0" w:rsidRPr="008379CA">
        <w:rPr>
          <w:rFonts w:ascii="Bookman Old Style" w:hAnsi="Bookman Old Style"/>
          <w:sz w:val="24"/>
          <w:szCs w:val="24"/>
          <w:lang w:val="id-ID"/>
        </w:rPr>
        <w:t xml:space="preserve"> </w:t>
      </w:r>
      <w:r w:rsidR="00D72B30" w:rsidRPr="008379CA">
        <w:rPr>
          <w:rFonts w:ascii="Bookman Old Style" w:hAnsi="Bookman Old Style"/>
          <w:sz w:val="24"/>
          <w:szCs w:val="24"/>
          <w:lang w:val="id-ID"/>
        </w:rPr>
        <w:t>pertanian.</w:t>
      </w:r>
      <w:r w:rsidR="00A954D0" w:rsidRPr="008379CA">
        <w:rPr>
          <w:rFonts w:ascii="Bookman Old Style" w:hAnsi="Bookman Old Style"/>
          <w:sz w:val="24"/>
          <w:szCs w:val="24"/>
          <w:lang w:val="id-ID"/>
        </w:rPr>
        <w:t xml:space="preserve"> </w:t>
      </w:r>
    </w:p>
    <w:p w14:paraId="155C8D6A" w14:textId="77777777" w:rsidR="004666ED" w:rsidRPr="008379CA" w:rsidRDefault="004666ED" w:rsidP="004666ED">
      <w:pPr>
        <w:pStyle w:val="ListParagraph"/>
        <w:spacing w:before="120" w:after="120" w:line="276" w:lineRule="auto"/>
        <w:ind w:left="1276"/>
        <w:contextualSpacing w:val="0"/>
        <w:jc w:val="both"/>
        <w:rPr>
          <w:rFonts w:ascii="Bookman Old Style" w:hAnsi="Bookman Old Style"/>
          <w:sz w:val="24"/>
          <w:szCs w:val="24"/>
          <w:lang w:val="id-ID"/>
        </w:rPr>
      </w:pPr>
    </w:p>
    <w:p w14:paraId="599E1D5A" w14:textId="3EF19841" w:rsidR="00D72B30" w:rsidRPr="008379CA" w:rsidRDefault="00D72B30" w:rsidP="00D72B30">
      <w:pPr>
        <w:pStyle w:val="ListParagraph"/>
        <w:spacing w:before="60" w:line="276" w:lineRule="auto"/>
        <w:ind w:left="1276"/>
        <w:jc w:val="both"/>
        <w:rPr>
          <w:rFonts w:ascii="Bookman Old Style" w:hAnsi="Bookman Old Style"/>
          <w:sz w:val="24"/>
          <w:szCs w:val="24"/>
          <w:lang w:val="sv-FI"/>
        </w:rPr>
      </w:pPr>
      <w:r w:rsidRPr="008379CA">
        <w:rPr>
          <w:rFonts w:ascii="Bookman Old Style" w:hAnsi="Bookman Old Style"/>
          <w:sz w:val="24"/>
          <w:szCs w:val="24"/>
          <w:lang w:val="sv-FI"/>
        </w:rPr>
        <w:lastRenderedPageBreak/>
        <w:t>Selanjutnya,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guna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mewujudkan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swasembada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pangan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daerah,</w:t>
      </w:r>
      <w:r w:rsidR="00A954D0" w:rsidRPr="008379CA">
        <w:rPr>
          <w:rFonts w:ascii="Bookman Old Style" w:hAnsi="Bookman Old Style"/>
          <w:sz w:val="24"/>
          <w:szCs w:val="24"/>
          <w:lang w:val="sv-FI"/>
        </w:rPr>
        <w:t xml:space="preserve"> </w:t>
      </w:r>
    </w:p>
    <w:p w14:paraId="1A2963BE" w14:textId="696251BB" w:rsidR="00D72B30" w:rsidRPr="008379CA" w:rsidRDefault="00D72B30" w:rsidP="00D72B30">
      <w:pPr>
        <w:pStyle w:val="ListParagraph"/>
        <w:spacing w:before="60" w:line="276" w:lineRule="auto"/>
        <w:ind w:left="1276"/>
        <w:jc w:val="both"/>
        <w:rPr>
          <w:rFonts w:ascii="Bookman Old Style" w:hAnsi="Bookman Old Style"/>
          <w:sz w:val="24"/>
          <w:szCs w:val="24"/>
          <w:lang w:val="sv-FI"/>
        </w:rPr>
      </w:pPr>
      <w:r w:rsidRPr="008379CA">
        <w:rPr>
          <w:rFonts w:ascii="Bookman Old Style" w:hAnsi="Bookman Old Style"/>
          <w:sz w:val="24"/>
          <w:szCs w:val="24"/>
          <w:lang w:val="sv-FI"/>
        </w:rPr>
        <w:t>Pemerintah</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Daerah</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Kota</w:t>
      </w:r>
      <w:r w:rsidR="00A954D0" w:rsidRPr="008379CA">
        <w:rPr>
          <w:rFonts w:ascii="Bookman Old Style" w:hAnsi="Bookman Old Style"/>
          <w:sz w:val="24"/>
          <w:szCs w:val="24"/>
          <w:lang w:val="sv-FI"/>
        </w:rPr>
        <w:t xml:space="preserve"> </w:t>
      </w:r>
      <w:r w:rsidR="00770F22" w:rsidRPr="008379CA">
        <w:rPr>
          <w:rFonts w:ascii="Bookman Old Style" w:hAnsi="Bookman Old Style"/>
          <w:sz w:val="24"/>
          <w:szCs w:val="24"/>
          <w:lang w:val="sv-FI"/>
        </w:rPr>
        <w:t>Tangerang</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juga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melakukan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pengawasan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pengendalian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harga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pangan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daerah,</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antara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lain:</w:t>
      </w:r>
      <w:r w:rsidR="00A954D0" w:rsidRPr="008379CA">
        <w:rPr>
          <w:rFonts w:ascii="Bookman Old Style" w:hAnsi="Bookman Old Style"/>
          <w:sz w:val="24"/>
          <w:szCs w:val="24"/>
          <w:lang w:val="sv-FI"/>
        </w:rPr>
        <w:t xml:space="preserve"> </w:t>
      </w:r>
    </w:p>
    <w:p w14:paraId="40E4358F" w14:textId="2537748A" w:rsidR="00D72B30" w:rsidRPr="008379CA" w:rsidRDefault="00D72B30" w:rsidP="00447E9A">
      <w:pPr>
        <w:pStyle w:val="ListParagraph"/>
        <w:numPr>
          <w:ilvl w:val="0"/>
          <w:numId w:val="181"/>
        </w:numPr>
        <w:spacing w:before="60" w:line="276" w:lineRule="auto"/>
        <w:ind w:left="1701" w:hanging="425"/>
        <w:jc w:val="both"/>
        <w:rPr>
          <w:rFonts w:ascii="Bookman Old Style" w:hAnsi="Bookman Old Style"/>
          <w:sz w:val="24"/>
          <w:szCs w:val="24"/>
          <w:lang w:val="sv-FI"/>
        </w:rPr>
      </w:pPr>
      <w:r w:rsidRPr="008379CA">
        <w:rPr>
          <w:rFonts w:ascii="Bookman Old Style" w:hAnsi="Bookman Old Style"/>
          <w:sz w:val="24"/>
          <w:szCs w:val="24"/>
          <w:lang w:val="sv-FI"/>
        </w:rPr>
        <w:t>Memastikan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ketersediaan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keterjangkauan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pangan;</w:t>
      </w:r>
      <w:r w:rsidR="00A954D0" w:rsidRPr="008379CA">
        <w:rPr>
          <w:rFonts w:ascii="Bookman Old Style" w:hAnsi="Bookman Old Style"/>
          <w:sz w:val="24"/>
          <w:szCs w:val="24"/>
          <w:lang w:val="sv-FI"/>
        </w:rPr>
        <w:t xml:space="preserve"> </w:t>
      </w:r>
    </w:p>
    <w:p w14:paraId="0DE77802" w14:textId="6B9CBDFB" w:rsidR="00D72B30" w:rsidRPr="008379CA" w:rsidRDefault="00D72B30" w:rsidP="00447E9A">
      <w:pPr>
        <w:pStyle w:val="ListParagraph"/>
        <w:numPr>
          <w:ilvl w:val="0"/>
          <w:numId w:val="181"/>
        </w:numPr>
        <w:spacing w:before="60" w:line="276" w:lineRule="auto"/>
        <w:ind w:left="1701" w:hanging="425"/>
        <w:jc w:val="both"/>
        <w:rPr>
          <w:rFonts w:ascii="Bookman Old Style" w:hAnsi="Bookman Old Style"/>
          <w:sz w:val="24"/>
          <w:szCs w:val="24"/>
          <w:lang w:val="sv-FI"/>
        </w:rPr>
      </w:pPr>
      <w:r w:rsidRPr="008379CA">
        <w:rPr>
          <w:rFonts w:ascii="Bookman Old Style" w:hAnsi="Bookman Old Style"/>
          <w:sz w:val="24"/>
          <w:szCs w:val="24"/>
          <w:lang w:val="sv-FI"/>
        </w:rPr>
        <w:t>Menjaga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stabilitas</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ekonomi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daerah;</w:t>
      </w:r>
      <w:r w:rsidR="00A954D0" w:rsidRPr="008379CA">
        <w:rPr>
          <w:rFonts w:ascii="Bookman Old Style" w:hAnsi="Bookman Old Style"/>
          <w:sz w:val="24"/>
          <w:szCs w:val="24"/>
          <w:lang w:val="sv-FI"/>
        </w:rPr>
        <w:t xml:space="preserve"> </w:t>
      </w:r>
    </w:p>
    <w:p w14:paraId="52488A20" w14:textId="5713758D" w:rsidR="00D72B30" w:rsidRPr="008379CA" w:rsidRDefault="00D72B30" w:rsidP="00447E9A">
      <w:pPr>
        <w:pStyle w:val="ListParagraph"/>
        <w:numPr>
          <w:ilvl w:val="0"/>
          <w:numId w:val="181"/>
        </w:numPr>
        <w:spacing w:before="60" w:line="276" w:lineRule="auto"/>
        <w:ind w:left="1701" w:hanging="425"/>
        <w:jc w:val="both"/>
        <w:rPr>
          <w:rFonts w:ascii="Bookman Old Style" w:hAnsi="Bookman Old Style"/>
          <w:sz w:val="24"/>
          <w:szCs w:val="24"/>
          <w:lang w:val="sv-FI"/>
        </w:rPr>
      </w:pPr>
      <w:r w:rsidRPr="008379CA">
        <w:rPr>
          <w:rFonts w:ascii="Bookman Old Style" w:hAnsi="Bookman Old Style"/>
          <w:sz w:val="24"/>
          <w:szCs w:val="24"/>
          <w:lang w:val="sv-FI"/>
        </w:rPr>
        <w:t>Monitoring</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harga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pasar</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ketersediaan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pasokan,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operasi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pasar,</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sosialisasi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kerja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sama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dengan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petani,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serta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melakukan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pengawasan</w:t>
      </w:r>
      <w:r w:rsidR="00447E9A" w:rsidRPr="008379CA">
        <w:rPr>
          <w:rFonts w:ascii="Bookman Old Style" w:hAnsi="Bookman Old Style"/>
          <w:sz w:val="24"/>
          <w:szCs w:val="24"/>
          <w:lang w:val="sv-FI"/>
        </w:rPr>
        <w:t>.</w:t>
      </w:r>
    </w:p>
    <w:p w14:paraId="492A64F2" w14:textId="0C5EF4CD" w:rsidR="00AA448C" w:rsidRPr="008379CA" w:rsidRDefault="00447E9A" w:rsidP="00D72B30">
      <w:pPr>
        <w:pStyle w:val="ListParagraph"/>
        <w:spacing w:before="60" w:after="0" w:line="276" w:lineRule="auto"/>
        <w:ind w:left="1276"/>
        <w:contextualSpacing w:val="0"/>
        <w:jc w:val="both"/>
        <w:rPr>
          <w:rFonts w:ascii="Bookman Old Style" w:hAnsi="Bookman Old Style"/>
          <w:sz w:val="24"/>
          <w:szCs w:val="24"/>
          <w:lang w:val="sv-FI"/>
        </w:rPr>
      </w:pPr>
      <w:r w:rsidRPr="008379CA">
        <w:rPr>
          <w:rFonts w:ascii="Bookman Old Style" w:hAnsi="Bookman Old Style"/>
          <w:sz w:val="24"/>
          <w:szCs w:val="24"/>
          <w:lang w:val="sv-FI"/>
        </w:rPr>
        <w:t>S</w:t>
      </w:r>
      <w:r w:rsidR="00D72B30" w:rsidRPr="008379CA">
        <w:rPr>
          <w:rFonts w:ascii="Bookman Old Style" w:hAnsi="Bookman Old Style"/>
          <w:sz w:val="24"/>
          <w:szCs w:val="24"/>
          <w:lang w:val="sv-FI"/>
        </w:rPr>
        <w:t>esuai</w:t>
      </w:r>
      <w:r w:rsidR="00A954D0" w:rsidRPr="008379CA">
        <w:rPr>
          <w:rFonts w:ascii="Bookman Old Style" w:hAnsi="Bookman Old Style"/>
          <w:sz w:val="24"/>
          <w:szCs w:val="24"/>
          <w:lang w:val="sv-FI"/>
        </w:rPr>
        <w:t xml:space="preserve"> </w:t>
      </w:r>
      <w:r w:rsidR="00D72B30" w:rsidRPr="008379CA">
        <w:rPr>
          <w:rFonts w:ascii="Bookman Old Style" w:hAnsi="Bookman Old Style"/>
          <w:sz w:val="24"/>
          <w:szCs w:val="24"/>
          <w:lang w:val="sv-FI"/>
        </w:rPr>
        <w:t>dengan</w:t>
      </w:r>
      <w:r w:rsidR="00A954D0" w:rsidRPr="008379CA">
        <w:rPr>
          <w:rFonts w:ascii="Bookman Old Style" w:hAnsi="Bookman Old Style"/>
          <w:sz w:val="24"/>
          <w:szCs w:val="24"/>
          <w:lang w:val="sv-FI"/>
        </w:rPr>
        <w:t xml:space="preserve"> </w:t>
      </w:r>
      <w:r w:rsidR="00D72B30" w:rsidRPr="008379CA">
        <w:rPr>
          <w:rFonts w:ascii="Bookman Old Style" w:hAnsi="Bookman Old Style"/>
          <w:sz w:val="24"/>
          <w:szCs w:val="24"/>
          <w:lang w:val="sv-FI"/>
        </w:rPr>
        <w:t>ketentuan</w:t>
      </w:r>
      <w:r w:rsidR="00A954D0" w:rsidRPr="008379CA">
        <w:rPr>
          <w:rFonts w:ascii="Bookman Old Style" w:hAnsi="Bookman Old Style"/>
          <w:sz w:val="24"/>
          <w:szCs w:val="24"/>
          <w:lang w:val="sv-FI"/>
        </w:rPr>
        <w:t xml:space="preserve"> </w:t>
      </w:r>
      <w:r w:rsidR="00D72B30" w:rsidRPr="008379CA">
        <w:rPr>
          <w:rFonts w:ascii="Bookman Old Style" w:hAnsi="Bookman Old Style"/>
          <w:sz w:val="24"/>
          <w:szCs w:val="24"/>
          <w:lang w:val="sv-FI"/>
        </w:rPr>
        <w:t>peraturan</w:t>
      </w:r>
      <w:r w:rsidR="00A954D0" w:rsidRPr="008379CA">
        <w:rPr>
          <w:rFonts w:ascii="Bookman Old Style" w:hAnsi="Bookman Old Style"/>
          <w:sz w:val="24"/>
          <w:szCs w:val="24"/>
          <w:lang w:val="sv-FI"/>
        </w:rPr>
        <w:t xml:space="preserve"> </w:t>
      </w:r>
      <w:r w:rsidR="00D72B30" w:rsidRPr="008379CA">
        <w:rPr>
          <w:rFonts w:ascii="Bookman Old Style" w:hAnsi="Bookman Old Style"/>
          <w:sz w:val="24"/>
          <w:szCs w:val="24"/>
          <w:lang w:val="sv-FI"/>
        </w:rPr>
        <w:t>perundang-undangan.</w:t>
      </w:r>
    </w:p>
    <w:p w14:paraId="795DBA0E" w14:textId="02183FDE" w:rsidR="00F14F4D" w:rsidRPr="008379CA" w:rsidRDefault="00F14F4D" w:rsidP="00447E9A">
      <w:pPr>
        <w:pStyle w:val="ListParagraph"/>
        <w:numPr>
          <w:ilvl w:val="0"/>
          <w:numId w:val="96"/>
        </w:numPr>
        <w:spacing w:before="120" w:after="0" w:line="276" w:lineRule="auto"/>
        <w:ind w:left="993" w:hanging="426"/>
        <w:contextualSpacing w:val="0"/>
        <w:jc w:val="both"/>
        <w:rPr>
          <w:rFonts w:ascii="Bookman Old Style" w:hAnsi="Bookman Old Style" w:cs="Arial"/>
          <w:i/>
          <w:iCs/>
          <w:sz w:val="24"/>
          <w:szCs w:val="24"/>
          <w:lang w:val="sv-FI"/>
        </w:rPr>
      </w:pPr>
      <w:r w:rsidRPr="008379CA">
        <w:rPr>
          <w:rFonts w:ascii="Bookman Old Style" w:hAnsi="Bookman Old Style" w:cs="Arial"/>
          <w:sz w:val="24"/>
          <w:szCs w:val="24"/>
          <w:lang w:val="sv-FI"/>
        </w:rPr>
        <w:t>Alokasi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Untuk</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Mendanai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Urusan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Pemerintahan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Daerah</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Yang</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de-DE"/>
        </w:rPr>
        <w:t>Besarannya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Telah</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Ditetapkan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Sesuai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Dengan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Ketentuan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Peraturan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Perundang-Undangan</w:t>
      </w:r>
      <w:r w:rsidR="00A954D0" w:rsidRPr="008379CA">
        <w:rPr>
          <w:rFonts w:ascii="Bookman Old Style" w:hAnsi="Bookman Old Style" w:cs="Arial"/>
          <w:sz w:val="24"/>
          <w:szCs w:val="24"/>
          <w:lang w:val="sv-FI"/>
        </w:rPr>
        <w:t xml:space="preserve"> </w:t>
      </w:r>
      <w:r w:rsidRPr="008379CA">
        <w:rPr>
          <w:rFonts w:ascii="Bookman Old Style" w:hAnsi="Bookman Old Style" w:cs="Arial"/>
          <w:i/>
          <w:iCs/>
          <w:sz w:val="24"/>
          <w:szCs w:val="24"/>
          <w:lang w:val="sv-FI"/>
        </w:rPr>
        <w:t>(</w:t>
      </w:r>
      <w:r w:rsidR="00711332" w:rsidRPr="008379CA">
        <w:rPr>
          <w:rFonts w:ascii="Bookman Old Style" w:hAnsi="Bookman Old Style" w:cs="Arial"/>
          <w:i/>
          <w:iCs/>
          <w:sz w:val="24"/>
          <w:szCs w:val="24"/>
          <w:lang w:val="sv-FI"/>
        </w:rPr>
        <w:t>Mandatory</w:t>
      </w:r>
      <w:r w:rsidR="00A954D0" w:rsidRPr="008379CA">
        <w:rPr>
          <w:rFonts w:ascii="Bookman Old Style" w:hAnsi="Bookman Old Style" w:cs="Arial"/>
          <w:i/>
          <w:iCs/>
          <w:sz w:val="24"/>
          <w:szCs w:val="24"/>
          <w:lang w:val="sv-FI"/>
        </w:rPr>
        <w:t xml:space="preserve"> </w:t>
      </w:r>
      <w:r w:rsidR="00711332" w:rsidRPr="008379CA">
        <w:rPr>
          <w:rFonts w:ascii="Bookman Old Style" w:hAnsi="Bookman Old Style" w:cs="Arial"/>
          <w:i/>
          <w:iCs/>
          <w:sz w:val="24"/>
          <w:szCs w:val="24"/>
          <w:lang w:val="sv-FI"/>
        </w:rPr>
        <w:t>spending</w:t>
      </w:r>
      <w:r w:rsidRPr="008379CA">
        <w:rPr>
          <w:rFonts w:ascii="Bookman Old Style" w:hAnsi="Bookman Old Style" w:cs="Arial"/>
          <w:i/>
          <w:iCs/>
          <w:sz w:val="24"/>
          <w:szCs w:val="24"/>
          <w:lang w:val="sv-FI"/>
        </w:rPr>
        <w:t>)</w:t>
      </w:r>
    </w:p>
    <w:p w14:paraId="0F410D79" w14:textId="27DF6C33" w:rsidR="00D76E22" w:rsidRPr="008379CA" w:rsidRDefault="00D76E22" w:rsidP="00447E9A">
      <w:pPr>
        <w:pStyle w:val="ListParagraph"/>
        <w:spacing w:before="120" w:after="0" w:line="276" w:lineRule="auto"/>
        <w:ind w:left="993"/>
        <w:contextualSpacing w:val="0"/>
        <w:jc w:val="both"/>
        <w:rPr>
          <w:rFonts w:ascii="Bookman Old Style" w:hAnsi="Bookman Old Style" w:cs="Arial"/>
          <w:sz w:val="24"/>
          <w:szCs w:val="24"/>
          <w:lang w:val="de-DE"/>
        </w:rPr>
      </w:pPr>
      <w:r w:rsidRPr="008379CA">
        <w:rPr>
          <w:rFonts w:ascii="Bookman Old Style" w:hAnsi="Bookman Old Style" w:cs="Arial"/>
          <w:sz w:val="24"/>
          <w:szCs w:val="24"/>
          <w:lang w:val="de-DE"/>
        </w:rPr>
        <w:t>Pemerintah</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Daerah</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wajib</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mengalokasikan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belanja</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untuk</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mendanai</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urusan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pemerintahan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daerah</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yang</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besarannya</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telah</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ditetapkan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sesuai</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dengan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ketentuan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peraturan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perundang</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undangan,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sebagaimana</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diamanatkan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dalam</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Pasal</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50</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ayat</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(1)</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Peraturan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Pemerintah</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Nomor</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12</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Tahun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2019.</w:t>
      </w:r>
    </w:p>
    <w:p w14:paraId="5950EF59" w14:textId="6E91BCC6" w:rsidR="00CD5594" w:rsidRPr="008379CA" w:rsidRDefault="00D76E22" w:rsidP="00447E9A">
      <w:pPr>
        <w:pStyle w:val="ListParagraph"/>
        <w:spacing w:before="60" w:after="0" w:line="276" w:lineRule="auto"/>
        <w:ind w:left="993"/>
        <w:contextualSpacing w:val="0"/>
        <w:jc w:val="both"/>
        <w:rPr>
          <w:rFonts w:ascii="Bookman Old Style" w:hAnsi="Bookman Old Style"/>
          <w:sz w:val="24"/>
          <w:szCs w:val="24"/>
          <w:lang w:val="id-ID"/>
        </w:rPr>
      </w:pPr>
      <w:r w:rsidRPr="008379CA">
        <w:rPr>
          <w:rFonts w:ascii="Bookman Old Style" w:hAnsi="Bookman Old Style" w:cs="Arial"/>
          <w:sz w:val="24"/>
          <w:szCs w:val="24"/>
          <w:lang w:val="de-DE"/>
        </w:rPr>
        <w:t>Penyediaan</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lang w:val="id-ID"/>
        </w:rPr>
        <w:t>dalam</w:t>
      </w:r>
      <w:r w:rsidR="00A954D0" w:rsidRPr="008379CA">
        <w:rPr>
          <w:rFonts w:ascii="Bookman Old Style" w:hAnsi="Bookman Old Style"/>
          <w:sz w:val="24"/>
          <w:szCs w:val="24"/>
          <w:lang w:val="id-ID"/>
        </w:rPr>
        <w:t xml:space="preserve"> </w:t>
      </w:r>
      <w:r w:rsidRPr="008379CA">
        <w:rPr>
          <w:rFonts w:ascii="Bookman Old Style" w:hAnsi="Bookman Old Style" w:cs="Arial"/>
          <w:sz w:val="24"/>
          <w:szCs w:val="24"/>
          <w:lang w:val="id-ID"/>
        </w:rPr>
        <w:t>Rancangan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rPr>
        <w:t>Peraturan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Daerah</w:t>
      </w:r>
      <w:r w:rsidR="00A954D0" w:rsidRPr="008379CA">
        <w:rPr>
          <w:rFonts w:ascii="Bookman Old Style" w:hAnsi="Bookman Old Style" w:cs="Arial"/>
          <w:sz w:val="24"/>
          <w:szCs w:val="24"/>
        </w:rPr>
        <w:t xml:space="preserve"> </w:t>
      </w:r>
      <w:r w:rsidR="00B055C5"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00770F22"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cs="Arial"/>
          <w:sz w:val="24"/>
          <w:szCs w:val="24"/>
        </w:rPr>
        <w:t>tentang</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APBD</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Tahun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Anggaran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2025</w:t>
      </w:r>
      <w:r w:rsidR="00A954D0" w:rsidRPr="008379CA">
        <w:rPr>
          <w:rFonts w:ascii="Bookman Old Style" w:hAnsi="Bookman Old Style"/>
          <w:sz w:val="24"/>
          <w:szCs w:val="24"/>
        </w:rPr>
        <w:t xml:space="preserve"> </w:t>
      </w:r>
      <w:r w:rsidRPr="008379CA">
        <w:rPr>
          <w:rFonts w:ascii="Bookman Old Style" w:hAnsi="Bookman Old Style"/>
          <w:sz w:val="24"/>
          <w:szCs w:val="24"/>
          <w:lang w:val="id-ID"/>
        </w:rPr>
        <w:t>yang</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besarannya</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telah</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ditetapkan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sesuai</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dengan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ketentuan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peraturan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perundang-undangan</w:t>
      </w:r>
      <w:r w:rsidR="00A954D0" w:rsidRPr="008379CA">
        <w:rPr>
          <w:rFonts w:ascii="Bookman Old Style" w:hAnsi="Bookman Old Style"/>
          <w:sz w:val="24"/>
          <w:szCs w:val="24"/>
          <w:lang w:val="id-ID"/>
        </w:rPr>
        <w:t xml:space="preserve"> </w:t>
      </w:r>
      <w:r w:rsidRPr="008379CA">
        <w:rPr>
          <w:rFonts w:ascii="Bookman Old Style" w:hAnsi="Bookman Old Style"/>
          <w:i/>
          <w:iCs/>
          <w:sz w:val="24"/>
          <w:szCs w:val="24"/>
          <w:lang w:val="id-ID"/>
        </w:rPr>
        <w:t>(</w:t>
      </w:r>
      <w:r w:rsidR="00711332" w:rsidRPr="008379CA">
        <w:rPr>
          <w:rFonts w:ascii="Bookman Old Style" w:hAnsi="Bookman Old Style"/>
          <w:i/>
          <w:iCs/>
          <w:sz w:val="24"/>
          <w:szCs w:val="24"/>
          <w:lang w:val="id-ID"/>
        </w:rPr>
        <w:t>mandatory</w:t>
      </w:r>
      <w:r w:rsidR="00A954D0" w:rsidRPr="008379CA">
        <w:rPr>
          <w:rFonts w:ascii="Bookman Old Style" w:hAnsi="Bookman Old Style"/>
          <w:i/>
          <w:iCs/>
          <w:sz w:val="24"/>
          <w:szCs w:val="24"/>
          <w:lang w:val="id-ID"/>
        </w:rPr>
        <w:t xml:space="preserve"> </w:t>
      </w:r>
      <w:r w:rsidR="00711332" w:rsidRPr="008379CA">
        <w:rPr>
          <w:rFonts w:ascii="Bookman Old Style" w:hAnsi="Bookman Old Style"/>
          <w:i/>
          <w:iCs/>
          <w:sz w:val="24"/>
          <w:szCs w:val="24"/>
          <w:lang w:val="id-ID"/>
        </w:rPr>
        <w:t>spending</w:t>
      </w:r>
      <w:r w:rsidRPr="008379CA">
        <w:rPr>
          <w:rFonts w:ascii="Bookman Old Style" w:hAnsi="Bookman Old Style"/>
          <w:i/>
          <w:iCs/>
          <w:sz w:val="24"/>
          <w:szCs w:val="24"/>
          <w:lang w:val="id-ID"/>
        </w:rPr>
        <w:t>)</w:t>
      </w:r>
      <w:r w:rsidRPr="008379CA">
        <w:rPr>
          <w:rFonts w:ascii="Bookman Old Style" w:hAnsi="Bookman Old Style"/>
          <w:sz w:val="24"/>
          <w:szCs w:val="24"/>
          <w:lang w:val="id-ID"/>
        </w:rPr>
        <w:t>,</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sebagai</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berikut:</w:t>
      </w:r>
    </w:p>
    <w:p w14:paraId="1BB7A599" w14:textId="6E5B3028" w:rsidR="00F14F4D" w:rsidRPr="008379CA" w:rsidRDefault="00980C83" w:rsidP="00447E9A">
      <w:pPr>
        <w:pStyle w:val="ListParagraph"/>
        <w:numPr>
          <w:ilvl w:val="0"/>
          <w:numId w:val="98"/>
        </w:numPr>
        <w:spacing w:before="120" w:after="0" w:line="276" w:lineRule="auto"/>
        <w:ind w:left="1276" w:hanging="283"/>
        <w:contextualSpacing w:val="0"/>
        <w:jc w:val="both"/>
        <w:rPr>
          <w:rFonts w:ascii="Bookman Old Style" w:hAnsi="Bookman Old Style" w:cs="Arial"/>
          <w:sz w:val="24"/>
          <w:szCs w:val="24"/>
        </w:rPr>
      </w:pPr>
      <w:r w:rsidRPr="008379CA">
        <w:rPr>
          <w:rFonts w:ascii="Bookman Old Style" w:hAnsi="Bookman Old Style" w:cs="Arial"/>
          <w:sz w:val="24"/>
          <w:szCs w:val="24"/>
        </w:rPr>
        <w:t>Alokasi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Anggaran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Untuk</w:t>
      </w:r>
      <w:r w:rsidR="00A954D0" w:rsidRPr="008379CA">
        <w:rPr>
          <w:rFonts w:ascii="Bookman Old Style" w:hAnsi="Bookman Old Style" w:cs="Arial"/>
          <w:sz w:val="24"/>
          <w:szCs w:val="24"/>
        </w:rPr>
        <w:t xml:space="preserve"> </w:t>
      </w:r>
      <w:r w:rsidR="00F14F4D" w:rsidRPr="008379CA">
        <w:rPr>
          <w:rFonts w:ascii="Bookman Old Style" w:hAnsi="Bookman Old Style" w:cs="Arial"/>
          <w:sz w:val="24"/>
          <w:szCs w:val="24"/>
        </w:rPr>
        <w:t>Fungsi</w:t>
      </w:r>
      <w:r w:rsidR="00A954D0" w:rsidRPr="008379CA">
        <w:rPr>
          <w:rFonts w:ascii="Bookman Old Style" w:hAnsi="Bookman Old Style" w:cs="Arial"/>
          <w:sz w:val="24"/>
          <w:szCs w:val="24"/>
        </w:rPr>
        <w:t xml:space="preserve"> </w:t>
      </w:r>
      <w:r w:rsidR="00F14F4D" w:rsidRPr="008379CA">
        <w:rPr>
          <w:rFonts w:ascii="Bookman Old Style" w:hAnsi="Bookman Old Style" w:cs="Arial"/>
          <w:sz w:val="24"/>
          <w:szCs w:val="24"/>
        </w:rPr>
        <w:t>Pendidikan</w:t>
      </w:r>
    </w:p>
    <w:p w14:paraId="3E6D5FD8" w14:textId="3CBFFD46" w:rsidR="00770F22" w:rsidRPr="008379CA" w:rsidRDefault="00770F22" w:rsidP="00447E9A">
      <w:pPr>
        <w:pStyle w:val="ListParagraph"/>
        <w:spacing w:before="60" w:after="0" w:line="276" w:lineRule="auto"/>
        <w:ind w:left="1276"/>
        <w:contextualSpacing w:val="0"/>
        <w:jc w:val="both"/>
        <w:rPr>
          <w:rFonts w:ascii="Bookman Old Style" w:hAnsi="Bookman Old Style"/>
          <w:sz w:val="24"/>
          <w:szCs w:val="24"/>
        </w:rPr>
      </w:pPr>
      <w:r w:rsidRPr="008379CA">
        <w:rPr>
          <w:rFonts w:ascii="Bookman Old Style" w:hAnsi="Bookman Old Style" w:cs="Arial"/>
          <w:sz w:val="24"/>
          <w:szCs w:val="24"/>
        </w:rPr>
        <w:t>Penyediaan</w:t>
      </w:r>
      <w:r w:rsidR="00A954D0" w:rsidRPr="008379CA">
        <w:rPr>
          <w:rFonts w:ascii="Bookman Old Style" w:hAnsi="Bookman Old Style"/>
          <w:sz w:val="24"/>
          <w:szCs w:val="24"/>
        </w:rPr>
        <w:t xml:space="preserve"> </w:t>
      </w:r>
      <w:r w:rsidRPr="008379CA">
        <w:rPr>
          <w:rFonts w:ascii="Bookman Old Style" w:hAnsi="Bookman Old Style" w:cs="Arial"/>
          <w:sz w:val="24"/>
          <w:szCs w:val="24"/>
        </w:rPr>
        <w:t>alokasi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anggaran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untuk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fungsi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pendidikan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Rp1.549.313.277.764,00</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sv-FI"/>
        </w:rPr>
        <w:t>atau</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27,15</w:t>
      </w:r>
      <w:r w:rsidRPr="008379CA">
        <w:rPr>
          <w:rFonts w:ascii="Bookman Old Style" w:hAnsi="Bookman Old Style" w:cs="Arial"/>
          <w:sz w:val="24"/>
          <w:szCs w:val="24"/>
          <w:lang w:val="sv-FI"/>
        </w:rPr>
        <w:t>%</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dari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total</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belanja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daerah</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dalam</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Rancangan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Peraturan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Daerah</w:t>
      </w:r>
      <w:r w:rsidR="00A954D0" w:rsidRPr="008379CA">
        <w:rPr>
          <w:rFonts w:ascii="Bookman Old Style" w:hAnsi="Bookman Old Style" w:cs="Arial"/>
          <w:sz w:val="24"/>
          <w:szCs w:val="24"/>
          <w:lang w:val="sv-FI"/>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cs="Arial"/>
          <w:sz w:val="24"/>
          <w:szCs w:val="24"/>
          <w:lang w:val="sv-FI"/>
        </w:rPr>
        <w:t>tentang</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APBD</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Tahun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Anggaran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2025.</w:t>
      </w:r>
      <w:r w:rsidR="00A954D0" w:rsidRPr="008379CA">
        <w:rPr>
          <w:rFonts w:ascii="Bookman Old Style" w:hAnsi="Bookman Old Style" w:cs="Arial"/>
          <w:sz w:val="24"/>
          <w:szCs w:val="24"/>
          <w:lang w:val="sv-FI"/>
        </w:rPr>
        <w:t xml:space="preserve"> </w:t>
      </w:r>
    </w:p>
    <w:p w14:paraId="0502A91B" w14:textId="7795D238" w:rsidR="00770F22" w:rsidRPr="008379CA" w:rsidRDefault="00770F22" w:rsidP="00447E9A">
      <w:pPr>
        <w:pStyle w:val="ListParagraph"/>
        <w:spacing w:before="60" w:after="0" w:line="276" w:lineRule="auto"/>
        <w:ind w:left="1276"/>
        <w:contextualSpacing w:val="0"/>
        <w:jc w:val="both"/>
        <w:rPr>
          <w:rFonts w:ascii="Bookman Old Style" w:hAnsi="Bookman Old Style" w:cs="Arial"/>
          <w:sz w:val="24"/>
          <w:szCs w:val="24"/>
          <w:lang w:val="sv-FI"/>
        </w:rPr>
      </w:pPr>
      <w:r w:rsidRPr="008379CA">
        <w:rPr>
          <w:rFonts w:ascii="Bookman Old Style" w:hAnsi="Bookman Old Style" w:cs="Arial"/>
          <w:sz w:val="24"/>
          <w:szCs w:val="24"/>
          <w:lang w:val="sv-FI"/>
        </w:rPr>
        <w:t>Pemerintah</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Daerah</w:t>
      </w:r>
      <w:r w:rsidR="00A954D0" w:rsidRPr="008379CA">
        <w:rPr>
          <w:rFonts w:ascii="Bookman Old Style" w:hAnsi="Bookman Old Style" w:cs="Arial"/>
          <w:sz w:val="24"/>
          <w:szCs w:val="24"/>
          <w:lang w:val="sv-FI"/>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id-ID"/>
        </w:rPr>
        <w:t xml:space="preserve"> </w:t>
      </w:r>
      <w:r w:rsidRPr="008379CA">
        <w:rPr>
          <w:rFonts w:ascii="Bookman Old Style" w:hAnsi="Bookman Old Style"/>
          <w:b/>
          <w:bCs/>
          <w:sz w:val="24"/>
          <w:szCs w:val="24"/>
          <w:lang w:val="id-ID"/>
        </w:rPr>
        <w:t>telah</w:t>
      </w:r>
      <w:r w:rsidR="00A954D0" w:rsidRPr="008379CA">
        <w:rPr>
          <w:rFonts w:ascii="Bookman Old Style" w:hAnsi="Bookman Old Style" w:cs="Arial"/>
          <w:b/>
          <w:bCs/>
          <w:sz w:val="24"/>
          <w:szCs w:val="24"/>
          <w:lang w:val="sv-FI"/>
        </w:rPr>
        <w:t xml:space="preserve"> </w:t>
      </w:r>
      <w:r w:rsidRPr="008379CA">
        <w:rPr>
          <w:rFonts w:ascii="Bookman Old Style" w:hAnsi="Bookman Old Style" w:cs="Arial"/>
          <w:b/>
          <w:bCs/>
          <w:sz w:val="24"/>
          <w:szCs w:val="24"/>
          <w:lang w:val="sv-FI"/>
        </w:rPr>
        <w:t>memenuhi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alokasi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anggaran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untuk</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fungsi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pendidikan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sekurang-kurangnya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20%</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(dua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puluh</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persen)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dari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total</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belanja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daerah</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dalam</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Rancangan</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Peraturan</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Daerah</w:t>
      </w:r>
      <w:r w:rsidR="00A954D0" w:rsidRPr="008379CA">
        <w:rPr>
          <w:rFonts w:ascii="Bookman Old Style" w:hAnsi="Bookman Old Style" w:cs="Arial"/>
          <w:sz w:val="24"/>
          <w:szCs w:val="24"/>
          <w:lang w:val="sv-FI"/>
        </w:rPr>
        <w:t xml:space="preserve"> </w:t>
      </w:r>
      <w:r w:rsidR="00FC48A1"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00FC48A1"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00FC48A1" w:rsidRPr="008379CA">
        <w:rPr>
          <w:rFonts w:ascii="Bookman Old Style" w:hAnsi="Bookman Old Style" w:cs="Arial"/>
          <w:sz w:val="24"/>
          <w:szCs w:val="24"/>
          <w:lang w:val="sv-FI"/>
        </w:rPr>
        <w:t>tentang</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APBD</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Tahun</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Anggaran</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2025.</w:t>
      </w:r>
    </w:p>
    <w:p w14:paraId="521E16CC" w14:textId="79DE76DA" w:rsidR="00770F22" w:rsidRPr="008379CA" w:rsidRDefault="00770F22" w:rsidP="00447E9A">
      <w:pPr>
        <w:pStyle w:val="ListParagraph"/>
        <w:spacing w:before="60" w:after="0" w:line="276" w:lineRule="auto"/>
        <w:ind w:left="1276"/>
        <w:contextualSpacing w:val="0"/>
        <w:jc w:val="both"/>
        <w:rPr>
          <w:rFonts w:ascii="Bookman Old Style" w:hAnsi="Bookman Old Style"/>
          <w:sz w:val="24"/>
          <w:szCs w:val="24"/>
        </w:rPr>
      </w:pPr>
      <w:r w:rsidRPr="008379CA">
        <w:rPr>
          <w:rFonts w:ascii="Bookman Old Style" w:hAnsi="Bookman Old Style" w:cs="Arial"/>
          <w:sz w:val="24"/>
          <w:szCs w:val="24"/>
          <w:lang w:val="sv-FI"/>
        </w:rPr>
        <w:t>Untuk</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itu,</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Pemerintah</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Daerah</w:t>
      </w:r>
      <w:r w:rsidR="00A954D0" w:rsidRPr="008379CA">
        <w:rPr>
          <w:rFonts w:ascii="Bookman Old Style" w:hAnsi="Bookman Old Style" w:cs="Arial"/>
          <w:sz w:val="24"/>
          <w:szCs w:val="24"/>
          <w:lang w:val="sv-FI"/>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cs="Arial"/>
          <w:sz w:val="24"/>
          <w:szCs w:val="24"/>
          <w:lang w:val="sv-FI"/>
        </w:rPr>
        <w:t>harus</w:t>
      </w:r>
      <w:r w:rsidR="00A954D0" w:rsidRPr="008379CA">
        <w:rPr>
          <w:rFonts w:ascii="Bookman Old Style" w:hAnsi="Bookman Old Style" w:cs="Arial"/>
          <w:sz w:val="24"/>
          <w:szCs w:val="24"/>
          <w:lang w:val="sv-FI"/>
        </w:rPr>
        <w:t xml:space="preserve"> </w:t>
      </w:r>
      <w:r w:rsidR="007418D7" w:rsidRPr="008379CA">
        <w:rPr>
          <w:rFonts w:ascii="Bookman Old Style" w:hAnsi="Bookman Old Style" w:cs="Arial"/>
          <w:sz w:val="24"/>
          <w:szCs w:val="24"/>
          <w:lang w:val="sv-FI"/>
        </w:rPr>
        <w:t xml:space="preserve">mempertahankan </w:t>
      </w:r>
      <w:r w:rsidRPr="008379CA">
        <w:rPr>
          <w:rFonts w:ascii="Bookman Old Style" w:hAnsi="Bookman Old Style" w:cs="Arial"/>
          <w:sz w:val="24"/>
          <w:szCs w:val="24"/>
          <w:shd w:val="clear" w:color="auto" w:fill="FFFFFF"/>
          <w:lang w:val="sv-FI"/>
        </w:rPr>
        <w:t>secara</w:t>
      </w:r>
      <w:r w:rsidR="00A954D0" w:rsidRPr="008379CA">
        <w:rPr>
          <w:rFonts w:ascii="Bookman Old Style" w:hAnsi="Bookman Old Style" w:cs="Arial"/>
          <w:sz w:val="24"/>
          <w:szCs w:val="24"/>
          <w:shd w:val="clear" w:color="auto" w:fill="FFFFFF"/>
          <w:lang w:val="sv-FI"/>
        </w:rPr>
        <w:t xml:space="preserve"> </w:t>
      </w:r>
      <w:r w:rsidRPr="008379CA">
        <w:rPr>
          <w:rFonts w:ascii="Bookman Old Style" w:hAnsi="Bookman Old Style" w:cs="Arial"/>
          <w:sz w:val="24"/>
          <w:szCs w:val="24"/>
          <w:lang w:val="sv-FI"/>
        </w:rPr>
        <w:t>konsisten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berkesinambungan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dalam</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mengalokasikan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shd w:val="clear" w:color="auto" w:fill="FFFFFF"/>
          <w:lang w:val="sv-FI"/>
        </w:rPr>
        <w:t>anggaran</w:t>
      </w:r>
      <w:r w:rsidR="00A954D0" w:rsidRPr="008379CA">
        <w:rPr>
          <w:rFonts w:ascii="Bookman Old Style" w:hAnsi="Bookman Old Style" w:cs="Arial"/>
          <w:sz w:val="24"/>
          <w:szCs w:val="24"/>
          <w:shd w:val="clear" w:color="auto" w:fill="FFFFFF"/>
          <w:lang w:val="sv-FI"/>
        </w:rPr>
        <w:t xml:space="preserve"> </w:t>
      </w:r>
      <w:r w:rsidRPr="008379CA">
        <w:rPr>
          <w:rFonts w:ascii="Bookman Old Style" w:hAnsi="Bookman Old Style" w:cs="Arial"/>
          <w:sz w:val="24"/>
          <w:szCs w:val="24"/>
          <w:shd w:val="clear" w:color="auto" w:fill="FFFFFF"/>
          <w:lang w:val="sv-FI"/>
        </w:rPr>
        <w:t>untuk</w:t>
      </w:r>
      <w:r w:rsidR="00A954D0" w:rsidRPr="008379CA">
        <w:rPr>
          <w:rFonts w:ascii="Bookman Old Style" w:hAnsi="Bookman Old Style" w:cs="Arial"/>
          <w:sz w:val="24"/>
          <w:szCs w:val="24"/>
          <w:shd w:val="clear" w:color="auto" w:fill="FFFFFF"/>
          <w:lang w:val="sv-FI"/>
        </w:rPr>
        <w:t xml:space="preserve"> </w:t>
      </w:r>
      <w:r w:rsidRPr="008379CA">
        <w:rPr>
          <w:rFonts w:ascii="Bookman Old Style" w:hAnsi="Bookman Old Style" w:cs="Arial"/>
          <w:sz w:val="24"/>
          <w:szCs w:val="24"/>
          <w:shd w:val="clear" w:color="auto" w:fill="FFFFFF"/>
          <w:lang w:val="sv-FI"/>
        </w:rPr>
        <w:t>fungsi</w:t>
      </w:r>
      <w:r w:rsidR="00A954D0" w:rsidRPr="008379CA">
        <w:rPr>
          <w:rFonts w:ascii="Bookman Old Style" w:hAnsi="Bookman Old Style" w:cs="Arial"/>
          <w:sz w:val="24"/>
          <w:szCs w:val="24"/>
          <w:shd w:val="clear" w:color="auto" w:fill="FFFFFF"/>
          <w:lang w:val="sv-FI"/>
        </w:rPr>
        <w:t xml:space="preserve"> </w:t>
      </w:r>
      <w:r w:rsidRPr="008379CA">
        <w:rPr>
          <w:rFonts w:ascii="Bookman Old Style" w:hAnsi="Bookman Old Style" w:cs="Arial"/>
          <w:sz w:val="24"/>
          <w:szCs w:val="24"/>
          <w:shd w:val="clear" w:color="auto" w:fill="FFFFFF"/>
          <w:lang w:val="sv-FI"/>
        </w:rPr>
        <w:t>pendidikan</w:t>
      </w:r>
      <w:r w:rsidR="00A954D0" w:rsidRPr="008379CA">
        <w:rPr>
          <w:rFonts w:ascii="Bookman Old Style" w:hAnsi="Bookman Old Style" w:cs="Arial"/>
          <w:sz w:val="24"/>
          <w:szCs w:val="24"/>
          <w:shd w:val="clear" w:color="auto" w:fill="FFFFFF"/>
          <w:lang w:val="sv-FI"/>
        </w:rPr>
        <w:t xml:space="preserve"> </w:t>
      </w:r>
      <w:r w:rsidRPr="008379CA">
        <w:rPr>
          <w:rFonts w:ascii="Bookman Old Style" w:hAnsi="Bookman Old Style" w:cs="Arial"/>
          <w:sz w:val="24"/>
          <w:szCs w:val="24"/>
          <w:shd w:val="clear" w:color="auto" w:fill="FFFFFF"/>
          <w:lang w:val="sv-FI"/>
        </w:rPr>
        <w:t>sekurang-kurangnya</w:t>
      </w:r>
      <w:r w:rsidR="00A954D0" w:rsidRPr="008379CA">
        <w:rPr>
          <w:rFonts w:ascii="Bookman Old Style" w:hAnsi="Bookman Old Style" w:cs="Arial"/>
          <w:sz w:val="24"/>
          <w:szCs w:val="24"/>
          <w:shd w:val="clear" w:color="auto" w:fill="FFFFFF"/>
          <w:lang w:val="sv-FI"/>
        </w:rPr>
        <w:t xml:space="preserve"> </w:t>
      </w:r>
      <w:r w:rsidRPr="008379CA">
        <w:rPr>
          <w:rFonts w:ascii="Bookman Old Style" w:hAnsi="Bookman Old Style" w:cs="Arial"/>
          <w:sz w:val="24"/>
          <w:szCs w:val="24"/>
          <w:shd w:val="clear" w:color="auto" w:fill="FFFFFF"/>
          <w:lang w:val="sv-FI"/>
        </w:rPr>
        <w:t>20%</w:t>
      </w:r>
      <w:r w:rsidR="00A954D0" w:rsidRPr="008379CA">
        <w:rPr>
          <w:rFonts w:ascii="Bookman Old Style" w:hAnsi="Bookman Old Style" w:cs="Arial"/>
          <w:sz w:val="24"/>
          <w:szCs w:val="24"/>
          <w:shd w:val="clear" w:color="auto" w:fill="FFFFFF"/>
          <w:lang w:val="sv-FI"/>
        </w:rPr>
        <w:t xml:space="preserve"> </w:t>
      </w:r>
      <w:r w:rsidRPr="008379CA">
        <w:rPr>
          <w:rFonts w:ascii="Bookman Old Style" w:hAnsi="Bookman Old Style" w:cs="Arial"/>
          <w:sz w:val="24"/>
          <w:szCs w:val="24"/>
          <w:lang w:val="sv-FI"/>
        </w:rPr>
        <w:t>(dua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puluh</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persen)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shd w:val="clear" w:color="auto" w:fill="FFFFFF"/>
          <w:lang w:val="sv-FI"/>
        </w:rPr>
        <w:t>dari</w:t>
      </w:r>
      <w:r w:rsidR="00A954D0" w:rsidRPr="008379CA">
        <w:rPr>
          <w:rFonts w:ascii="Bookman Old Style" w:hAnsi="Bookman Old Style" w:cs="Arial"/>
          <w:sz w:val="24"/>
          <w:szCs w:val="24"/>
          <w:shd w:val="clear" w:color="auto" w:fill="FFFFFF"/>
          <w:lang w:val="sv-FI"/>
        </w:rPr>
        <w:t xml:space="preserve"> </w:t>
      </w:r>
      <w:r w:rsidRPr="008379CA">
        <w:rPr>
          <w:rFonts w:ascii="Bookman Old Style" w:hAnsi="Bookman Old Style" w:cs="Arial"/>
          <w:sz w:val="24"/>
          <w:szCs w:val="24"/>
          <w:lang w:val="sv-FI"/>
        </w:rPr>
        <w:t>total</w:t>
      </w:r>
      <w:r w:rsidR="00A954D0" w:rsidRPr="008379CA">
        <w:rPr>
          <w:rFonts w:ascii="Bookman Old Style" w:hAnsi="Bookman Old Style" w:cs="Arial"/>
          <w:sz w:val="24"/>
          <w:szCs w:val="24"/>
          <w:shd w:val="clear" w:color="auto" w:fill="FFFFFF"/>
          <w:lang w:val="sv-FI"/>
        </w:rPr>
        <w:t xml:space="preserve"> </w:t>
      </w:r>
      <w:r w:rsidRPr="008379CA">
        <w:rPr>
          <w:rFonts w:ascii="Bookman Old Style" w:hAnsi="Bookman Old Style" w:cs="Arial"/>
          <w:sz w:val="24"/>
          <w:szCs w:val="24"/>
          <w:shd w:val="clear" w:color="auto" w:fill="FFFFFF"/>
          <w:lang w:val="sv-FI"/>
        </w:rPr>
        <w:t>belanja</w:t>
      </w:r>
      <w:r w:rsidR="00A954D0" w:rsidRPr="008379CA">
        <w:rPr>
          <w:rFonts w:ascii="Bookman Old Style" w:hAnsi="Bookman Old Style" w:cs="Arial"/>
          <w:sz w:val="24"/>
          <w:szCs w:val="24"/>
          <w:shd w:val="clear" w:color="auto" w:fill="FFFFFF"/>
          <w:lang w:val="sv-FI"/>
        </w:rPr>
        <w:t xml:space="preserve"> </w:t>
      </w:r>
      <w:r w:rsidRPr="008379CA">
        <w:rPr>
          <w:rFonts w:ascii="Bookman Old Style" w:hAnsi="Bookman Old Style" w:cs="Arial"/>
          <w:sz w:val="24"/>
          <w:szCs w:val="24"/>
          <w:shd w:val="clear" w:color="auto" w:fill="FFFFFF"/>
          <w:lang w:val="sv-FI"/>
        </w:rPr>
        <w:t>daerah</w:t>
      </w:r>
      <w:r w:rsidR="00A954D0" w:rsidRPr="008379CA">
        <w:rPr>
          <w:rFonts w:ascii="Bookman Old Style" w:hAnsi="Bookman Old Style" w:cs="Arial"/>
          <w:sz w:val="24"/>
          <w:szCs w:val="24"/>
          <w:shd w:val="clear" w:color="auto" w:fill="FFFFFF"/>
          <w:lang w:val="sv-FI"/>
        </w:rPr>
        <w:t xml:space="preserve"> </w:t>
      </w:r>
      <w:r w:rsidRPr="008379CA">
        <w:rPr>
          <w:rFonts w:ascii="Bookman Old Style" w:hAnsi="Bookman Old Style" w:cs="Arial"/>
          <w:sz w:val="24"/>
          <w:szCs w:val="24"/>
          <w:shd w:val="clear" w:color="auto" w:fill="FFFFFF"/>
          <w:lang w:val="sv-FI"/>
        </w:rPr>
        <w:t>sebagaimana</w:t>
      </w:r>
      <w:r w:rsidR="00A954D0" w:rsidRPr="008379CA">
        <w:rPr>
          <w:rFonts w:ascii="Bookman Old Style" w:hAnsi="Bookman Old Style" w:cs="Arial"/>
          <w:sz w:val="24"/>
          <w:szCs w:val="24"/>
          <w:shd w:val="clear" w:color="auto" w:fill="FFFFFF"/>
          <w:lang w:val="sv-FI"/>
        </w:rPr>
        <w:t xml:space="preserve"> </w:t>
      </w:r>
      <w:r w:rsidRPr="008379CA">
        <w:rPr>
          <w:rFonts w:ascii="Bookman Old Style" w:hAnsi="Bookman Old Style" w:cs="Arial"/>
          <w:sz w:val="24"/>
          <w:szCs w:val="24"/>
          <w:shd w:val="clear" w:color="auto" w:fill="FFFFFF"/>
          <w:lang w:val="sv-FI"/>
        </w:rPr>
        <w:t>maksud</w:t>
      </w:r>
      <w:r w:rsidR="00A954D0" w:rsidRPr="008379CA">
        <w:rPr>
          <w:rFonts w:ascii="Bookman Old Style" w:hAnsi="Bookman Old Style" w:cs="Arial"/>
          <w:sz w:val="24"/>
          <w:szCs w:val="24"/>
          <w:shd w:val="clear" w:color="auto" w:fill="FFFFFF"/>
          <w:lang w:val="sv-FI"/>
        </w:rPr>
        <w:t xml:space="preserve"> </w:t>
      </w:r>
      <w:r w:rsidR="00FC48A1" w:rsidRPr="008379CA">
        <w:rPr>
          <w:rFonts w:ascii="Bookman Old Style" w:hAnsi="Bookman Old Style" w:cs="Arial"/>
          <w:sz w:val="24"/>
          <w:szCs w:val="24"/>
          <w:lang w:val="sv-FI"/>
        </w:rPr>
        <w:t>sebagaimana</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maksud</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Pasal</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49</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ayat</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(1)</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Undang-Undang</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Nomor</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20</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Tahun</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2003</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tentang</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Sistem</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Pendidikan</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Nasional</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dan</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Pasal</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81</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ayat</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(1)</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Peraturan</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Pemerintah</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Nomor</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48</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Tahun</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2008</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tentang</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Pendanaan</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Pendidikan</w:t>
      </w:r>
      <w:r w:rsidR="00A954D0" w:rsidRPr="008379CA">
        <w:rPr>
          <w:rFonts w:ascii="Bookman Old Style" w:hAnsi="Bookman Old Style" w:cs="Arial"/>
          <w:sz w:val="24"/>
          <w:szCs w:val="24"/>
          <w:lang w:val="id-ID"/>
        </w:rPr>
        <w:t xml:space="preserve"> </w:t>
      </w:r>
      <w:r w:rsidR="00FC48A1" w:rsidRPr="008379CA">
        <w:rPr>
          <w:rFonts w:ascii="Bookman Old Style" w:hAnsi="Bookman Old Style" w:cs="Arial"/>
          <w:sz w:val="24"/>
          <w:szCs w:val="24"/>
          <w:lang w:val="id-ID"/>
        </w:rPr>
        <w:t>sebagaimana</w:t>
      </w:r>
      <w:r w:rsidR="00A954D0" w:rsidRPr="008379CA">
        <w:rPr>
          <w:rFonts w:ascii="Bookman Old Style" w:hAnsi="Bookman Old Style" w:cs="Arial"/>
          <w:sz w:val="24"/>
          <w:szCs w:val="24"/>
          <w:lang w:val="id-ID"/>
        </w:rPr>
        <w:t xml:space="preserve"> </w:t>
      </w:r>
      <w:r w:rsidR="00FC48A1" w:rsidRPr="008379CA">
        <w:rPr>
          <w:rFonts w:ascii="Bookman Old Style" w:hAnsi="Bookman Old Style" w:cs="Arial"/>
          <w:sz w:val="24"/>
          <w:szCs w:val="24"/>
          <w:lang w:val="id-ID"/>
        </w:rPr>
        <w:t>telah</w:t>
      </w:r>
      <w:r w:rsidR="00A954D0" w:rsidRPr="008379CA">
        <w:rPr>
          <w:rFonts w:ascii="Bookman Old Style" w:hAnsi="Bookman Old Style" w:cs="Arial"/>
          <w:sz w:val="24"/>
          <w:szCs w:val="24"/>
          <w:lang w:val="id-ID"/>
        </w:rPr>
        <w:t xml:space="preserve"> </w:t>
      </w:r>
      <w:r w:rsidR="00FC48A1" w:rsidRPr="008379CA">
        <w:rPr>
          <w:rFonts w:ascii="Bookman Old Style" w:hAnsi="Bookman Old Style" w:cs="Arial"/>
          <w:sz w:val="24"/>
          <w:szCs w:val="24"/>
          <w:lang w:val="id-ID"/>
        </w:rPr>
        <w:t>diubah</w:t>
      </w:r>
      <w:r w:rsidR="00A954D0" w:rsidRPr="008379CA">
        <w:rPr>
          <w:rFonts w:ascii="Bookman Old Style" w:hAnsi="Bookman Old Style" w:cs="Arial"/>
          <w:sz w:val="24"/>
          <w:szCs w:val="24"/>
          <w:lang w:val="id-ID"/>
        </w:rPr>
        <w:t xml:space="preserve"> </w:t>
      </w:r>
      <w:r w:rsidR="00FC48A1" w:rsidRPr="008379CA">
        <w:rPr>
          <w:rFonts w:ascii="Bookman Old Style" w:hAnsi="Bookman Old Style" w:cs="Arial"/>
          <w:sz w:val="24"/>
          <w:szCs w:val="24"/>
          <w:lang w:val="id-ID"/>
        </w:rPr>
        <w:t>dengan</w:t>
      </w:r>
      <w:r w:rsidR="00A954D0" w:rsidRPr="008379CA">
        <w:rPr>
          <w:rFonts w:ascii="Bookman Old Style" w:hAnsi="Bookman Old Style" w:cs="Arial"/>
          <w:sz w:val="24"/>
          <w:szCs w:val="24"/>
          <w:lang w:val="id-ID"/>
        </w:rPr>
        <w:t xml:space="preserve"> </w:t>
      </w:r>
      <w:r w:rsidR="00FC48A1" w:rsidRPr="008379CA">
        <w:rPr>
          <w:rFonts w:ascii="Bookman Old Style" w:hAnsi="Bookman Old Style" w:cs="Arial"/>
          <w:sz w:val="24"/>
          <w:szCs w:val="24"/>
          <w:lang w:val="sv-FI"/>
        </w:rPr>
        <w:t>Peraturan</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Pemerintah</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Nomor</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18</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Tahun</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2022</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tentang</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Perubahan</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atas</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Peraturan</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Pemerintah</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Nomor</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48</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Tahun</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2008</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tentang</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Pendanaan</w:t>
      </w:r>
      <w:r w:rsidR="00A954D0" w:rsidRPr="008379CA">
        <w:rPr>
          <w:rFonts w:ascii="Bookman Old Style" w:hAnsi="Bookman Old Style" w:cs="Arial"/>
          <w:sz w:val="24"/>
          <w:szCs w:val="24"/>
          <w:lang w:val="sv-FI"/>
        </w:rPr>
        <w:t xml:space="preserve"> </w:t>
      </w:r>
      <w:r w:rsidR="00FC48A1" w:rsidRPr="008379CA">
        <w:rPr>
          <w:rFonts w:ascii="Bookman Old Style" w:hAnsi="Bookman Old Style" w:cs="Arial"/>
          <w:sz w:val="24"/>
          <w:szCs w:val="24"/>
          <w:lang w:val="sv-FI"/>
        </w:rPr>
        <w:t>Pendidikan,</w:t>
      </w:r>
      <w:r w:rsidR="00A954D0" w:rsidRPr="008379CA">
        <w:rPr>
          <w:rFonts w:ascii="Bookman Old Style" w:hAnsi="Bookman Old Style"/>
          <w:sz w:val="24"/>
          <w:szCs w:val="24"/>
        </w:rPr>
        <w:t xml:space="preserve"> </w:t>
      </w:r>
      <w:r w:rsidR="00FC48A1" w:rsidRPr="008379CA">
        <w:rPr>
          <w:rFonts w:ascii="Bookman Old Style" w:hAnsi="Bookman Old Style" w:cs="Arial"/>
          <w:sz w:val="24"/>
          <w:szCs w:val="24"/>
        </w:rPr>
        <w:t>butir</w:t>
      </w:r>
      <w:r w:rsidR="00A954D0" w:rsidRPr="008379CA">
        <w:rPr>
          <w:rFonts w:ascii="Bookman Old Style" w:hAnsi="Bookman Old Style" w:cs="Arial"/>
          <w:sz w:val="24"/>
          <w:szCs w:val="24"/>
        </w:rPr>
        <w:t xml:space="preserve"> </w:t>
      </w:r>
      <w:r w:rsidR="00FC48A1" w:rsidRPr="008379CA">
        <w:rPr>
          <w:rFonts w:ascii="Bookman Old Style" w:hAnsi="Bookman Old Style"/>
          <w:sz w:val="24"/>
          <w:szCs w:val="24"/>
          <w:lang w:val="sv-FI"/>
        </w:rPr>
        <w:t>5.1.2</w:t>
      </w:r>
      <w:r w:rsidR="00A954D0" w:rsidRPr="008379CA">
        <w:rPr>
          <w:rFonts w:ascii="Bookman Old Style" w:hAnsi="Bookman Old Style"/>
          <w:sz w:val="24"/>
          <w:szCs w:val="24"/>
        </w:rPr>
        <w:t xml:space="preserve"> </w:t>
      </w:r>
      <w:r w:rsidR="00FC48A1" w:rsidRPr="008379CA">
        <w:rPr>
          <w:rFonts w:ascii="Bookman Old Style" w:hAnsi="Bookman Old Style"/>
          <w:sz w:val="24"/>
          <w:szCs w:val="24"/>
        </w:rPr>
        <w:t>Lampiran</w:t>
      </w:r>
      <w:r w:rsidR="00A954D0" w:rsidRPr="008379CA">
        <w:rPr>
          <w:rFonts w:ascii="Bookman Old Style" w:hAnsi="Bookman Old Style"/>
          <w:sz w:val="24"/>
          <w:szCs w:val="24"/>
        </w:rPr>
        <w:t xml:space="preserve"> </w:t>
      </w:r>
      <w:r w:rsidR="00FC48A1" w:rsidRPr="008379CA">
        <w:rPr>
          <w:rFonts w:ascii="Bookman Old Style" w:hAnsi="Bookman Old Style"/>
          <w:sz w:val="24"/>
          <w:szCs w:val="24"/>
        </w:rPr>
        <w:t>Peraturan</w:t>
      </w:r>
      <w:r w:rsidR="00A954D0" w:rsidRPr="008379CA">
        <w:rPr>
          <w:rFonts w:ascii="Bookman Old Style" w:hAnsi="Bookman Old Style"/>
          <w:sz w:val="24"/>
          <w:szCs w:val="24"/>
        </w:rPr>
        <w:t xml:space="preserve"> </w:t>
      </w:r>
      <w:r w:rsidR="00FC48A1" w:rsidRPr="008379CA">
        <w:rPr>
          <w:rFonts w:ascii="Bookman Old Style" w:hAnsi="Bookman Old Style"/>
          <w:sz w:val="24"/>
          <w:szCs w:val="24"/>
        </w:rPr>
        <w:t>Menteri</w:t>
      </w:r>
      <w:r w:rsidR="00A954D0" w:rsidRPr="008379CA">
        <w:rPr>
          <w:rFonts w:ascii="Bookman Old Style" w:hAnsi="Bookman Old Style"/>
          <w:sz w:val="24"/>
          <w:szCs w:val="24"/>
        </w:rPr>
        <w:t xml:space="preserve"> </w:t>
      </w:r>
      <w:r w:rsidR="00FC48A1"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00FC48A1" w:rsidRPr="008379CA">
        <w:rPr>
          <w:rFonts w:ascii="Bookman Old Style" w:hAnsi="Bookman Old Style"/>
          <w:sz w:val="24"/>
          <w:szCs w:val="24"/>
        </w:rPr>
        <w:t>Negeri</w:t>
      </w:r>
      <w:r w:rsidR="00A954D0" w:rsidRPr="008379CA">
        <w:rPr>
          <w:rFonts w:ascii="Bookman Old Style" w:hAnsi="Bookman Old Style"/>
          <w:sz w:val="24"/>
          <w:szCs w:val="24"/>
        </w:rPr>
        <w:t xml:space="preserve"> </w:t>
      </w:r>
      <w:r w:rsidR="00FC48A1" w:rsidRPr="008379CA">
        <w:rPr>
          <w:rFonts w:ascii="Bookman Old Style" w:hAnsi="Bookman Old Style"/>
          <w:sz w:val="24"/>
          <w:szCs w:val="24"/>
        </w:rPr>
        <w:t>Nomor</w:t>
      </w:r>
      <w:r w:rsidR="00A954D0" w:rsidRPr="008379CA">
        <w:rPr>
          <w:rFonts w:ascii="Bookman Old Style" w:hAnsi="Bookman Old Style"/>
          <w:sz w:val="24"/>
          <w:szCs w:val="24"/>
        </w:rPr>
        <w:t xml:space="preserve"> </w:t>
      </w:r>
      <w:r w:rsidR="00FC48A1" w:rsidRPr="008379CA">
        <w:rPr>
          <w:rFonts w:ascii="Bookman Old Style" w:hAnsi="Bookman Old Style"/>
          <w:sz w:val="24"/>
          <w:szCs w:val="24"/>
          <w:lang w:val="sv-FI"/>
        </w:rPr>
        <w:t>15</w:t>
      </w:r>
      <w:r w:rsidR="00A954D0" w:rsidRPr="008379CA">
        <w:rPr>
          <w:rFonts w:ascii="Bookman Old Style" w:hAnsi="Bookman Old Style"/>
          <w:sz w:val="24"/>
          <w:szCs w:val="24"/>
        </w:rPr>
        <w:t xml:space="preserve"> </w:t>
      </w:r>
      <w:r w:rsidR="00FC48A1"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00FC48A1" w:rsidRPr="008379CA">
        <w:rPr>
          <w:rFonts w:ascii="Bookman Old Style" w:hAnsi="Bookman Old Style"/>
          <w:sz w:val="24"/>
          <w:szCs w:val="24"/>
        </w:rPr>
        <w:t>202</w:t>
      </w:r>
      <w:r w:rsidR="00FC48A1" w:rsidRPr="008379CA">
        <w:rPr>
          <w:rFonts w:ascii="Bookman Old Style" w:hAnsi="Bookman Old Style"/>
          <w:sz w:val="24"/>
          <w:szCs w:val="24"/>
          <w:lang w:val="sv-FI"/>
        </w:rPr>
        <w:t>4</w:t>
      </w:r>
      <w:r w:rsidR="00A954D0" w:rsidRPr="008379CA">
        <w:rPr>
          <w:rFonts w:ascii="Bookman Old Style" w:hAnsi="Bookman Old Style"/>
          <w:sz w:val="24"/>
          <w:szCs w:val="24"/>
        </w:rPr>
        <w:t xml:space="preserve"> </w:t>
      </w:r>
      <w:r w:rsidR="00FC48A1" w:rsidRPr="008379CA">
        <w:rPr>
          <w:rFonts w:ascii="Bookman Old Style" w:hAnsi="Bookman Old Style"/>
          <w:sz w:val="24"/>
          <w:szCs w:val="24"/>
        </w:rPr>
        <w:t>dan</w:t>
      </w:r>
      <w:r w:rsidR="00A954D0" w:rsidRPr="008379CA">
        <w:rPr>
          <w:rFonts w:ascii="Bookman Old Style" w:hAnsi="Bookman Old Style"/>
          <w:sz w:val="24"/>
          <w:szCs w:val="24"/>
        </w:rPr>
        <w:t xml:space="preserve"> </w:t>
      </w:r>
      <w:r w:rsidR="00FC48A1" w:rsidRPr="008379CA">
        <w:rPr>
          <w:rFonts w:ascii="Bookman Old Style" w:hAnsi="Bookman Old Style"/>
          <w:sz w:val="24"/>
          <w:szCs w:val="24"/>
        </w:rPr>
        <w:t>Keputusan</w:t>
      </w:r>
      <w:r w:rsidR="00A954D0" w:rsidRPr="008379CA">
        <w:rPr>
          <w:rFonts w:ascii="Bookman Old Style" w:hAnsi="Bookman Old Style"/>
          <w:sz w:val="24"/>
          <w:szCs w:val="24"/>
        </w:rPr>
        <w:t xml:space="preserve"> </w:t>
      </w:r>
      <w:r w:rsidR="00FC48A1" w:rsidRPr="008379CA">
        <w:rPr>
          <w:rFonts w:ascii="Bookman Old Style" w:hAnsi="Bookman Old Style"/>
          <w:sz w:val="24"/>
          <w:szCs w:val="24"/>
        </w:rPr>
        <w:t>Menteri</w:t>
      </w:r>
      <w:r w:rsidR="00A954D0" w:rsidRPr="008379CA">
        <w:rPr>
          <w:rFonts w:ascii="Bookman Old Style" w:hAnsi="Bookman Old Style"/>
          <w:sz w:val="24"/>
          <w:szCs w:val="24"/>
        </w:rPr>
        <w:t xml:space="preserve"> </w:t>
      </w:r>
      <w:r w:rsidR="00FC48A1" w:rsidRPr="008379CA">
        <w:rPr>
          <w:rFonts w:ascii="Bookman Old Style" w:hAnsi="Bookman Old Style"/>
          <w:sz w:val="24"/>
          <w:szCs w:val="24"/>
        </w:rPr>
        <w:lastRenderedPageBreak/>
        <w:t>Keuangan</w:t>
      </w:r>
      <w:r w:rsidR="00A954D0" w:rsidRPr="008379CA">
        <w:rPr>
          <w:rFonts w:ascii="Bookman Old Style" w:hAnsi="Bookman Old Style"/>
          <w:sz w:val="24"/>
          <w:szCs w:val="24"/>
        </w:rPr>
        <w:t xml:space="preserve"> </w:t>
      </w:r>
      <w:r w:rsidR="00FC48A1" w:rsidRPr="008379CA">
        <w:rPr>
          <w:rFonts w:ascii="Bookman Old Style" w:hAnsi="Bookman Old Style"/>
          <w:sz w:val="24"/>
          <w:szCs w:val="24"/>
        </w:rPr>
        <w:t>Nomor</w:t>
      </w:r>
      <w:r w:rsidR="00A954D0" w:rsidRPr="008379CA">
        <w:rPr>
          <w:rFonts w:ascii="Bookman Old Style" w:hAnsi="Bookman Old Style"/>
          <w:sz w:val="24"/>
          <w:szCs w:val="24"/>
        </w:rPr>
        <w:t xml:space="preserve"> </w:t>
      </w:r>
      <w:r w:rsidR="00FC48A1" w:rsidRPr="008379CA">
        <w:rPr>
          <w:rFonts w:ascii="Bookman Old Style" w:hAnsi="Bookman Old Style"/>
          <w:sz w:val="24"/>
          <w:szCs w:val="24"/>
        </w:rPr>
        <w:t>10/KM.7/2024</w:t>
      </w:r>
      <w:r w:rsidR="00A954D0" w:rsidRPr="008379CA">
        <w:rPr>
          <w:rFonts w:ascii="Bookman Old Style" w:hAnsi="Bookman Old Style"/>
          <w:sz w:val="24"/>
          <w:szCs w:val="24"/>
        </w:rPr>
        <w:t xml:space="preserve"> </w:t>
      </w:r>
      <w:r w:rsidR="00FC48A1" w:rsidRPr="008379CA">
        <w:rPr>
          <w:rFonts w:ascii="Bookman Old Style" w:hAnsi="Bookman Old Style"/>
          <w:sz w:val="24"/>
          <w:szCs w:val="24"/>
        </w:rPr>
        <w:t>tentang</w:t>
      </w:r>
      <w:r w:rsidR="00A954D0" w:rsidRPr="008379CA">
        <w:rPr>
          <w:rFonts w:ascii="Bookman Old Style" w:hAnsi="Bookman Old Style"/>
          <w:sz w:val="24"/>
          <w:szCs w:val="24"/>
        </w:rPr>
        <w:t xml:space="preserve"> </w:t>
      </w:r>
      <w:r w:rsidR="00FC48A1" w:rsidRPr="008379CA">
        <w:rPr>
          <w:rFonts w:ascii="Bookman Old Style" w:hAnsi="Bookman Old Style"/>
          <w:sz w:val="24"/>
          <w:szCs w:val="24"/>
        </w:rPr>
        <w:t>Penandaan</w:t>
      </w:r>
      <w:r w:rsidR="00A954D0" w:rsidRPr="008379CA">
        <w:rPr>
          <w:rFonts w:ascii="Bookman Old Style" w:hAnsi="Bookman Old Style"/>
          <w:sz w:val="24"/>
          <w:szCs w:val="24"/>
        </w:rPr>
        <w:t xml:space="preserve"> </w:t>
      </w:r>
      <w:r w:rsidR="00FC48A1" w:rsidRPr="008379CA">
        <w:rPr>
          <w:rFonts w:ascii="Bookman Old Style" w:hAnsi="Bookman Old Style"/>
          <w:sz w:val="24"/>
          <w:szCs w:val="24"/>
        </w:rPr>
        <w:t>Rincian</w:t>
      </w:r>
      <w:r w:rsidR="00A954D0" w:rsidRPr="008379CA">
        <w:rPr>
          <w:rFonts w:ascii="Bookman Old Style" w:hAnsi="Bookman Old Style"/>
          <w:sz w:val="24"/>
          <w:szCs w:val="24"/>
        </w:rPr>
        <w:t xml:space="preserve"> </w:t>
      </w:r>
      <w:r w:rsidR="00FC48A1" w:rsidRPr="008379CA">
        <w:rPr>
          <w:rFonts w:ascii="Bookman Old Style" w:hAnsi="Bookman Old Style"/>
          <w:sz w:val="24"/>
          <w:szCs w:val="24"/>
        </w:rPr>
        <w:t>Belanja</w:t>
      </w:r>
      <w:r w:rsidR="00A954D0" w:rsidRPr="008379CA">
        <w:rPr>
          <w:rFonts w:ascii="Bookman Old Style" w:hAnsi="Bookman Old Style"/>
          <w:sz w:val="24"/>
          <w:szCs w:val="24"/>
        </w:rPr>
        <w:t xml:space="preserve"> </w:t>
      </w:r>
      <w:r w:rsidR="00FC48A1" w:rsidRPr="008379CA">
        <w:rPr>
          <w:rFonts w:ascii="Bookman Old Style" w:hAnsi="Bookman Old Style"/>
          <w:sz w:val="24"/>
          <w:szCs w:val="24"/>
        </w:rPr>
        <w:t>Pendidikan</w:t>
      </w:r>
      <w:r w:rsidR="00A954D0" w:rsidRPr="008379CA">
        <w:rPr>
          <w:rFonts w:ascii="Bookman Old Style" w:hAnsi="Bookman Old Style"/>
          <w:sz w:val="24"/>
          <w:szCs w:val="24"/>
        </w:rPr>
        <w:t xml:space="preserve"> </w:t>
      </w:r>
      <w:r w:rsidR="00FC48A1" w:rsidRPr="008379CA">
        <w:rPr>
          <w:rFonts w:ascii="Bookman Old Style" w:hAnsi="Bookman Old Style"/>
          <w:sz w:val="24"/>
          <w:szCs w:val="24"/>
        </w:rPr>
        <w:t>untuk</w:t>
      </w:r>
      <w:r w:rsidR="00A954D0" w:rsidRPr="008379CA">
        <w:rPr>
          <w:rFonts w:ascii="Bookman Old Style" w:hAnsi="Bookman Old Style"/>
          <w:sz w:val="24"/>
          <w:szCs w:val="24"/>
        </w:rPr>
        <w:t xml:space="preserve"> </w:t>
      </w:r>
      <w:r w:rsidR="00FC48A1" w:rsidRPr="008379CA">
        <w:rPr>
          <w:rFonts w:ascii="Bookman Old Style" w:hAnsi="Bookman Old Style"/>
          <w:sz w:val="24"/>
          <w:szCs w:val="24"/>
        </w:rPr>
        <w:t>Evaluasi</w:t>
      </w:r>
      <w:r w:rsidR="00A954D0" w:rsidRPr="008379CA">
        <w:rPr>
          <w:rFonts w:ascii="Bookman Old Style" w:hAnsi="Bookman Old Style"/>
          <w:sz w:val="24"/>
          <w:szCs w:val="24"/>
        </w:rPr>
        <w:t xml:space="preserve"> </w:t>
      </w:r>
      <w:r w:rsidR="00FC48A1" w:rsidRPr="008379CA">
        <w:rPr>
          <w:rFonts w:ascii="Bookman Old Style" w:hAnsi="Bookman Old Style"/>
          <w:sz w:val="24"/>
          <w:szCs w:val="24"/>
        </w:rPr>
        <w:t>Pemenuhan</w:t>
      </w:r>
      <w:r w:rsidR="00A954D0" w:rsidRPr="008379CA">
        <w:rPr>
          <w:rFonts w:ascii="Bookman Old Style" w:hAnsi="Bookman Old Style"/>
          <w:sz w:val="24"/>
          <w:szCs w:val="24"/>
        </w:rPr>
        <w:t xml:space="preserve"> </w:t>
      </w:r>
      <w:r w:rsidR="00FC48A1" w:rsidRPr="008379CA">
        <w:rPr>
          <w:rFonts w:ascii="Bookman Old Style" w:hAnsi="Bookman Old Style"/>
          <w:sz w:val="24"/>
          <w:szCs w:val="24"/>
        </w:rPr>
        <w:t>Belanja</w:t>
      </w:r>
      <w:r w:rsidR="00A954D0" w:rsidRPr="008379CA">
        <w:rPr>
          <w:rFonts w:ascii="Bookman Old Style" w:hAnsi="Bookman Old Style"/>
          <w:sz w:val="24"/>
          <w:szCs w:val="24"/>
        </w:rPr>
        <w:t xml:space="preserve"> </w:t>
      </w:r>
      <w:r w:rsidR="00FC48A1" w:rsidRPr="008379CA">
        <w:rPr>
          <w:rFonts w:ascii="Bookman Old Style" w:hAnsi="Bookman Old Style"/>
          <w:sz w:val="24"/>
          <w:szCs w:val="24"/>
        </w:rPr>
        <w:t>Wajib</w:t>
      </w:r>
      <w:r w:rsidR="00A954D0" w:rsidRPr="008379CA">
        <w:rPr>
          <w:rFonts w:ascii="Bookman Old Style" w:hAnsi="Bookman Old Style"/>
          <w:sz w:val="24"/>
          <w:szCs w:val="24"/>
        </w:rPr>
        <w:t xml:space="preserve"> </w:t>
      </w:r>
      <w:r w:rsidR="00FC48A1"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00FC48A1"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00FC48A1" w:rsidRPr="008379CA">
        <w:rPr>
          <w:rFonts w:ascii="Bookman Old Style" w:hAnsi="Bookman Old Style"/>
          <w:sz w:val="24"/>
          <w:szCs w:val="24"/>
        </w:rPr>
        <w:t>Pendapatan</w:t>
      </w:r>
      <w:r w:rsidR="00A954D0" w:rsidRPr="008379CA">
        <w:rPr>
          <w:rFonts w:ascii="Bookman Old Style" w:hAnsi="Bookman Old Style"/>
          <w:sz w:val="24"/>
          <w:szCs w:val="24"/>
        </w:rPr>
        <w:t xml:space="preserve"> </w:t>
      </w:r>
      <w:r w:rsidR="00FC48A1" w:rsidRPr="008379CA">
        <w:rPr>
          <w:rFonts w:ascii="Bookman Old Style" w:hAnsi="Bookman Old Style"/>
          <w:sz w:val="24"/>
          <w:szCs w:val="24"/>
        </w:rPr>
        <w:t>dan</w:t>
      </w:r>
      <w:r w:rsidR="00A954D0" w:rsidRPr="008379CA">
        <w:rPr>
          <w:rFonts w:ascii="Bookman Old Style" w:hAnsi="Bookman Old Style"/>
          <w:sz w:val="24"/>
          <w:szCs w:val="24"/>
        </w:rPr>
        <w:t xml:space="preserve"> </w:t>
      </w:r>
      <w:r w:rsidR="00FC48A1" w:rsidRPr="008379CA">
        <w:rPr>
          <w:rFonts w:ascii="Bookman Old Style" w:hAnsi="Bookman Old Style"/>
          <w:sz w:val="24"/>
          <w:szCs w:val="24"/>
        </w:rPr>
        <w:t>Belanja</w:t>
      </w:r>
      <w:r w:rsidR="00A954D0" w:rsidRPr="008379CA">
        <w:rPr>
          <w:rFonts w:ascii="Bookman Old Style" w:hAnsi="Bookman Old Style"/>
          <w:sz w:val="24"/>
          <w:szCs w:val="24"/>
        </w:rPr>
        <w:t xml:space="preserve"> </w:t>
      </w:r>
      <w:r w:rsidR="00FC48A1" w:rsidRPr="008379CA">
        <w:rPr>
          <w:rFonts w:ascii="Bookman Old Style" w:hAnsi="Bookman Old Style"/>
          <w:sz w:val="24"/>
          <w:szCs w:val="24"/>
        </w:rPr>
        <w:t>Daerah</w:t>
      </w:r>
      <w:r w:rsidR="007418D7" w:rsidRPr="008379CA">
        <w:rPr>
          <w:rFonts w:ascii="Bookman Old Style" w:hAnsi="Bookman Old Style"/>
          <w:sz w:val="24"/>
          <w:szCs w:val="24"/>
        </w:rPr>
        <w:t xml:space="preserve"> sebagaimana telah diubah dengan Keputusan Menteri Keuangan Nomor 35/KM.7/2024 tentang Perubahan atas Keputusan Menteri Keuangan Republik Indonesia Nomor 10/KM.7/2024 tentang Penandaan Rincian Belanja Pendidikan untuk Evaluasi Pemenuhan Belanja Wajib dalam Anggaran Pendapatan dan Belanja Daerah</w:t>
      </w:r>
      <w:r w:rsidR="00FC48A1" w:rsidRPr="008379CA">
        <w:rPr>
          <w:rFonts w:ascii="Bookman Old Style" w:hAnsi="Bookman Old Style"/>
          <w:sz w:val="24"/>
          <w:szCs w:val="24"/>
        </w:rPr>
        <w:t>.</w:t>
      </w:r>
    </w:p>
    <w:p w14:paraId="675D6D78" w14:textId="4F64EC05" w:rsidR="00770F22" w:rsidRPr="008379CA" w:rsidRDefault="00770F22" w:rsidP="00447E9A">
      <w:pPr>
        <w:pStyle w:val="ListParagraph"/>
        <w:spacing w:before="60" w:after="0" w:line="276" w:lineRule="auto"/>
        <w:ind w:left="1276"/>
        <w:contextualSpacing w:val="0"/>
        <w:jc w:val="both"/>
        <w:rPr>
          <w:rFonts w:ascii="Bookman Old Style" w:hAnsi="Bookman Old Style"/>
          <w:sz w:val="24"/>
          <w:szCs w:val="24"/>
        </w:rPr>
      </w:pPr>
      <w:r w:rsidRPr="008379CA">
        <w:rPr>
          <w:rFonts w:ascii="Bookman Old Style" w:hAnsi="Bookman Old Style" w:cs="Arial"/>
          <w:sz w:val="24"/>
          <w:szCs w:val="24"/>
          <w:lang w:val="sv-FI"/>
        </w:rPr>
        <w:t>Anggaran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untuk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fungsi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pendidikan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tersebut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id-ID"/>
        </w:rPr>
        <w:t>atas,</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sv-FI"/>
        </w:rPr>
        <w:t>antara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lain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diuraikan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ke</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dalam</w:t>
      </w:r>
      <w:r w:rsidR="00A954D0" w:rsidRPr="008379CA">
        <w:rPr>
          <w:rFonts w:ascii="Bookman Old Style" w:hAnsi="Bookman Old Style" w:cs="Arial"/>
          <w:sz w:val="24"/>
          <w:szCs w:val="24"/>
          <w:lang w:val="de-DE"/>
        </w:rPr>
        <w:t xml:space="preserve"> </w:t>
      </w:r>
      <w:r w:rsidR="00465B5A" w:rsidRPr="008379CA">
        <w:rPr>
          <w:rFonts w:ascii="Bookman Old Style" w:hAnsi="Bookman Old Style" w:cs="Arial"/>
          <w:sz w:val="24"/>
          <w:szCs w:val="24"/>
          <w:lang w:val="de-DE"/>
        </w:rPr>
        <w:t>sub</w:t>
      </w:r>
      <w:r w:rsidR="00A954D0" w:rsidRPr="008379CA">
        <w:rPr>
          <w:rFonts w:ascii="Bookman Old Style" w:hAnsi="Bookman Old Style" w:cs="Arial"/>
          <w:sz w:val="24"/>
          <w:szCs w:val="24"/>
          <w:lang w:val="de-DE"/>
        </w:rPr>
        <w:t xml:space="preserve"> </w:t>
      </w:r>
      <w:r w:rsidR="00465B5A" w:rsidRPr="008379CA">
        <w:rPr>
          <w:rFonts w:ascii="Bookman Old Style" w:hAnsi="Bookman Old Style" w:cs="Arial"/>
          <w:sz w:val="24"/>
          <w:szCs w:val="24"/>
          <w:lang w:val="de-DE"/>
        </w:rPr>
        <w:t>kegiatan</w:t>
      </w:r>
      <w:r w:rsidRPr="008379CA">
        <w:rPr>
          <w:rFonts w:ascii="Bookman Old Style" w:hAnsi="Bookman Old Style" w:cs="Arial"/>
          <w:sz w:val="24"/>
          <w:szCs w:val="24"/>
          <w:lang w:val="de-DE"/>
        </w:rPr>
        <w:t>:</w:t>
      </w:r>
    </w:p>
    <w:p w14:paraId="063D7AE0" w14:textId="02D37E98" w:rsidR="00770F22" w:rsidRPr="008379CA" w:rsidRDefault="00770F22" w:rsidP="00447E9A">
      <w:pPr>
        <w:pStyle w:val="ListParagraph"/>
        <w:numPr>
          <w:ilvl w:val="0"/>
          <w:numId w:val="7"/>
        </w:numPr>
        <w:spacing w:before="60" w:after="0" w:line="276" w:lineRule="auto"/>
        <w:ind w:left="1701" w:hanging="426"/>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Penyediaan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Gaji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Tunjangan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ASN</w:t>
      </w:r>
      <w:r w:rsidR="00A954D0" w:rsidRPr="008379CA">
        <w:rPr>
          <w:rFonts w:ascii="Bookman Old Style" w:hAnsi="Bookman Old Style" w:cs="Arial"/>
          <w:sz w:val="24"/>
          <w:szCs w:val="24"/>
          <w:lang w:val="id-ID"/>
        </w:rPr>
        <w:t xml:space="preserve"> </w:t>
      </w:r>
      <w:r w:rsidR="00465B5A" w:rsidRPr="008379CA">
        <w:rPr>
          <w:rFonts w:ascii="Bookman Old Style" w:hAnsi="Bookman Old Style" w:cs="Arial"/>
          <w:sz w:val="24"/>
          <w:szCs w:val="24"/>
          <w:lang w:val="id-ID"/>
        </w:rPr>
        <w:t>pada</w:t>
      </w:r>
      <w:r w:rsidR="00A954D0" w:rsidRPr="008379CA">
        <w:rPr>
          <w:rFonts w:ascii="Bookman Old Style" w:hAnsi="Bookman Old Style" w:cs="Arial"/>
          <w:sz w:val="24"/>
          <w:szCs w:val="24"/>
          <w:lang w:val="id-ID"/>
        </w:rPr>
        <w:t xml:space="preserve"> </w:t>
      </w:r>
      <w:r w:rsidR="00465B5A" w:rsidRPr="008379CA">
        <w:rPr>
          <w:rFonts w:ascii="Bookman Old Style" w:hAnsi="Bookman Old Style" w:cs="Arial"/>
          <w:sz w:val="24"/>
          <w:szCs w:val="24"/>
          <w:lang w:val="id-ID"/>
        </w:rPr>
        <w:t>Dinas</w:t>
      </w:r>
      <w:r w:rsidR="00A954D0" w:rsidRPr="008379CA">
        <w:rPr>
          <w:rFonts w:ascii="Bookman Old Style" w:hAnsi="Bookman Old Style" w:cs="Arial"/>
          <w:sz w:val="24"/>
          <w:szCs w:val="24"/>
          <w:lang w:val="id-ID"/>
        </w:rPr>
        <w:t xml:space="preserve"> </w:t>
      </w:r>
      <w:r w:rsidR="00465B5A" w:rsidRPr="008379CA">
        <w:rPr>
          <w:rFonts w:ascii="Bookman Old Style" w:hAnsi="Bookman Old Style" w:cs="Arial"/>
          <w:sz w:val="24"/>
          <w:szCs w:val="24"/>
          <w:lang w:val="id-ID"/>
        </w:rPr>
        <w:t>Pendidikan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Rp717.613.744.504,00;</w:t>
      </w:r>
    </w:p>
    <w:p w14:paraId="7F9F9486" w14:textId="681E43C7" w:rsidR="00770F22" w:rsidRPr="008379CA" w:rsidRDefault="00770F22" w:rsidP="00447E9A">
      <w:pPr>
        <w:pStyle w:val="ListParagraph"/>
        <w:numPr>
          <w:ilvl w:val="0"/>
          <w:numId w:val="7"/>
        </w:numPr>
        <w:spacing w:before="60" w:after="0" w:line="276" w:lineRule="auto"/>
        <w:ind w:left="1701" w:hanging="426"/>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Pengadaan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Mebel</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Sekolah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Rp23.708.343.700,00;</w:t>
      </w:r>
    </w:p>
    <w:p w14:paraId="2811DEE1" w14:textId="4C3EAAF6" w:rsidR="00770F22" w:rsidRPr="008379CA" w:rsidRDefault="00770F22" w:rsidP="00447E9A">
      <w:pPr>
        <w:pStyle w:val="ListParagraph"/>
        <w:numPr>
          <w:ilvl w:val="0"/>
          <w:numId w:val="7"/>
        </w:numPr>
        <w:spacing w:before="60" w:after="0" w:line="276" w:lineRule="auto"/>
        <w:ind w:left="1701" w:hanging="426"/>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Penyediaan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Pendidik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Tenaga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Kependidikan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bagi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Satuan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Pendidikan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Sekolah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Dasar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Rp152.126.693.876,00;</w:t>
      </w:r>
    </w:p>
    <w:p w14:paraId="50A01D80" w14:textId="78573F0B" w:rsidR="00770F22" w:rsidRPr="008379CA" w:rsidRDefault="00770F22" w:rsidP="00447E9A">
      <w:pPr>
        <w:pStyle w:val="ListParagraph"/>
        <w:numPr>
          <w:ilvl w:val="0"/>
          <w:numId w:val="7"/>
        </w:numPr>
        <w:spacing w:before="60" w:after="0" w:line="276" w:lineRule="auto"/>
        <w:ind w:left="1701" w:hanging="426"/>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Pengelolaan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BOS</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Sekolah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Dasar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Rp149.405.832.827,00;</w:t>
      </w:r>
    </w:p>
    <w:p w14:paraId="2998A772" w14:textId="4FA0B7B6" w:rsidR="00770F22" w:rsidRPr="008379CA" w:rsidRDefault="00770F22" w:rsidP="00447E9A">
      <w:pPr>
        <w:pStyle w:val="ListParagraph"/>
        <w:numPr>
          <w:ilvl w:val="0"/>
          <w:numId w:val="7"/>
        </w:numPr>
        <w:spacing w:before="60" w:after="0" w:line="276" w:lineRule="auto"/>
        <w:ind w:left="1701" w:hanging="426"/>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Pemberian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layanan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pendampingan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bagi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satuan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pendidikan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untuk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pencegahan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perundungan,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kekerasan,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intoleransi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Rp5.300.000.000,00;</w:t>
      </w:r>
    </w:p>
    <w:p w14:paraId="605C8220" w14:textId="09A2A95D" w:rsidR="00770F22" w:rsidRPr="008379CA" w:rsidRDefault="00770F22" w:rsidP="00447E9A">
      <w:pPr>
        <w:pStyle w:val="ListParagraph"/>
        <w:numPr>
          <w:ilvl w:val="0"/>
          <w:numId w:val="7"/>
        </w:numPr>
        <w:spacing w:before="60" w:after="0" w:line="276" w:lineRule="auto"/>
        <w:ind w:left="1701" w:hanging="426"/>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Penyediaan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Biaya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Personil</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Peserta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Didik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Sekolah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Dasar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Rp68.449.987.800,00;</w:t>
      </w:r>
    </w:p>
    <w:p w14:paraId="57F8EAED" w14:textId="3DC4E11E" w:rsidR="00770F22" w:rsidRPr="008379CA" w:rsidRDefault="00770F22" w:rsidP="00447E9A">
      <w:pPr>
        <w:pStyle w:val="ListParagraph"/>
        <w:numPr>
          <w:ilvl w:val="0"/>
          <w:numId w:val="7"/>
        </w:numPr>
        <w:spacing w:before="60" w:after="0" w:line="276" w:lineRule="auto"/>
        <w:ind w:left="1701" w:hanging="426"/>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Pengadaan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Alat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Praktik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Peraga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Peserta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Didik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Rp28.382.310.000,00;</w:t>
      </w:r>
    </w:p>
    <w:p w14:paraId="0359761F" w14:textId="4DA68FE4" w:rsidR="00770F22" w:rsidRPr="008379CA" w:rsidRDefault="00770F22" w:rsidP="00447E9A">
      <w:pPr>
        <w:pStyle w:val="ListParagraph"/>
        <w:numPr>
          <w:ilvl w:val="0"/>
          <w:numId w:val="7"/>
        </w:numPr>
        <w:spacing w:before="60" w:after="0" w:line="276" w:lineRule="auto"/>
        <w:ind w:left="1701" w:hanging="426"/>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Pengadaan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Mebel</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Sekolah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Rp1.981.755.500,00;</w:t>
      </w:r>
    </w:p>
    <w:p w14:paraId="1A152595" w14:textId="40B235B7" w:rsidR="00770F22" w:rsidRPr="008379CA" w:rsidRDefault="00770F22" w:rsidP="00447E9A">
      <w:pPr>
        <w:pStyle w:val="ListParagraph"/>
        <w:numPr>
          <w:ilvl w:val="0"/>
          <w:numId w:val="7"/>
        </w:numPr>
        <w:spacing w:before="60" w:after="0" w:line="276" w:lineRule="auto"/>
        <w:ind w:left="1701" w:hanging="426"/>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Pengadaan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Perlengkapan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Sekolah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Rp1.598.360.000,00;</w:t>
      </w:r>
    </w:p>
    <w:p w14:paraId="384F7FF3" w14:textId="17661B0D" w:rsidR="00770F22" w:rsidRPr="008379CA" w:rsidRDefault="00770F22" w:rsidP="00447E9A">
      <w:pPr>
        <w:pStyle w:val="ListParagraph"/>
        <w:numPr>
          <w:ilvl w:val="0"/>
          <w:numId w:val="7"/>
        </w:numPr>
        <w:spacing w:before="60" w:after="0" w:line="276" w:lineRule="auto"/>
        <w:ind w:left="1701" w:hanging="426"/>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Penyediaan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Biaya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Personil</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Peserta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Didik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Sekolah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Menengah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Pertama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Rp58.653.768.000,00;</w:t>
      </w:r>
    </w:p>
    <w:p w14:paraId="5CEC574E" w14:textId="1D09EB74" w:rsidR="00770F22" w:rsidRPr="008379CA" w:rsidRDefault="00770F22" w:rsidP="00447E9A">
      <w:pPr>
        <w:pStyle w:val="ListParagraph"/>
        <w:numPr>
          <w:ilvl w:val="0"/>
          <w:numId w:val="7"/>
        </w:numPr>
        <w:spacing w:before="60" w:after="0" w:line="276" w:lineRule="auto"/>
        <w:ind w:left="1701" w:hanging="426"/>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Pembinaan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Minat,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Bakat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Kreativitas</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Siswa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Rp1.629.238.000,00;</w:t>
      </w:r>
    </w:p>
    <w:p w14:paraId="71DE36DB" w14:textId="73197F88" w:rsidR="00770F22" w:rsidRPr="008379CA" w:rsidRDefault="00770F22" w:rsidP="00447E9A">
      <w:pPr>
        <w:pStyle w:val="ListParagraph"/>
        <w:numPr>
          <w:ilvl w:val="0"/>
          <w:numId w:val="7"/>
        </w:numPr>
        <w:spacing w:before="60" w:after="0" w:line="276" w:lineRule="auto"/>
        <w:ind w:left="1701" w:hanging="426"/>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Penyediaan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Pendidik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Tenaga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Kependidikan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bagi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Satuan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Pendidikan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Sekolah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Menengah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Pertama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Rp65.164.944.836,00;</w:t>
      </w:r>
    </w:p>
    <w:p w14:paraId="74EB627F" w14:textId="0577A32D" w:rsidR="00770F22" w:rsidRPr="008379CA" w:rsidRDefault="00770F22" w:rsidP="00447E9A">
      <w:pPr>
        <w:pStyle w:val="ListParagraph"/>
        <w:numPr>
          <w:ilvl w:val="0"/>
          <w:numId w:val="7"/>
        </w:numPr>
        <w:spacing w:before="60" w:after="0" w:line="276" w:lineRule="auto"/>
        <w:ind w:left="1701" w:hanging="426"/>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Pembinaan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Kelembagaan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Manajemen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Sekolah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Rp1.243.273.000,00;</w:t>
      </w:r>
    </w:p>
    <w:p w14:paraId="052E948E" w14:textId="4BC85AD9" w:rsidR="00770F22" w:rsidRPr="008379CA" w:rsidRDefault="00770F22" w:rsidP="00447E9A">
      <w:pPr>
        <w:pStyle w:val="ListParagraph"/>
        <w:numPr>
          <w:ilvl w:val="0"/>
          <w:numId w:val="7"/>
        </w:numPr>
        <w:spacing w:before="60" w:after="0" w:line="276" w:lineRule="auto"/>
        <w:ind w:left="1701" w:hanging="426"/>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Pengelolaan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BOS</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Sekolah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Menengah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Pertama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Rp78.588.257.173,00;</w:t>
      </w:r>
    </w:p>
    <w:p w14:paraId="6705CD25" w14:textId="024D37AD" w:rsidR="00770F22" w:rsidRPr="008379CA" w:rsidRDefault="00770F22" w:rsidP="00447E9A">
      <w:pPr>
        <w:pStyle w:val="ListParagraph"/>
        <w:numPr>
          <w:ilvl w:val="0"/>
          <w:numId w:val="7"/>
        </w:numPr>
        <w:spacing w:before="60" w:after="0" w:line="276" w:lineRule="auto"/>
        <w:ind w:left="1701" w:hanging="426"/>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Pemberian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layanan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pendampingan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bagi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satuan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pendidikan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untuk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pencegahan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perundungan,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kekerasan,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intoleransi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Rp2.600.000.000,00;</w:t>
      </w:r>
    </w:p>
    <w:p w14:paraId="649C022B" w14:textId="1F91940E" w:rsidR="00770F22" w:rsidRPr="008379CA" w:rsidRDefault="00770F22" w:rsidP="00447E9A">
      <w:pPr>
        <w:pStyle w:val="ListParagraph"/>
        <w:numPr>
          <w:ilvl w:val="0"/>
          <w:numId w:val="7"/>
        </w:numPr>
        <w:spacing w:before="60" w:after="0" w:line="276" w:lineRule="auto"/>
        <w:ind w:left="1701" w:hanging="426"/>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Penyediaan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Pendidik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Tenaga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Kependidikan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bagi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Satuan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PAUD</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Rp40.900.101.411,00;</w:t>
      </w:r>
    </w:p>
    <w:p w14:paraId="500C23E1" w14:textId="42FA5195" w:rsidR="00770F22" w:rsidRPr="008379CA" w:rsidRDefault="00770F22" w:rsidP="00447E9A">
      <w:pPr>
        <w:pStyle w:val="ListParagraph"/>
        <w:numPr>
          <w:ilvl w:val="0"/>
          <w:numId w:val="7"/>
        </w:numPr>
        <w:spacing w:before="60" w:after="0" w:line="276" w:lineRule="auto"/>
        <w:ind w:left="1701" w:hanging="426"/>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Pengelolaan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BOP</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PAUD</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Rp14.458.960.000,00;</w:t>
      </w:r>
    </w:p>
    <w:p w14:paraId="7CC95D08" w14:textId="2BA34B1F" w:rsidR="00770F22" w:rsidRPr="008379CA" w:rsidRDefault="00770F22" w:rsidP="00447E9A">
      <w:pPr>
        <w:pStyle w:val="ListParagraph"/>
        <w:numPr>
          <w:ilvl w:val="0"/>
          <w:numId w:val="7"/>
        </w:numPr>
        <w:spacing w:before="60" w:after="0" w:line="276" w:lineRule="auto"/>
        <w:ind w:left="1701" w:hanging="426"/>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lastRenderedPageBreak/>
        <w:t>Penyediaan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Pendidik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Tenaga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Kependidikan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bagi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Satuan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Pendidikan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Nonformal/Kesetaraan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Rp1.094.400.000,00;</w:t>
      </w:r>
    </w:p>
    <w:p w14:paraId="5402E421" w14:textId="626A114D" w:rsidR="00770F22" w:rsidRPr="008379CA" w:rsidRDefault="00770F22" w:rsidP="00447E9A">
      <w:pPr>
        <w:pStyle w:val="ListParagraph"/>
        <w:numPr>
          <w:ilvl w:val="0"/>
          <w:numId w:val="7"/>
        </w:numPr>
        <w:spacing w:before="60" w:after="0" w:line="276" w:lineRule="auto"/>
        <w:ind w:left="1701" w:hanging="426"/>
        <w:contextualSpacing w:val="0"/>
        <w:jc w:val="both"/>
        <w:rPr>
          <w:rFonts w:ascii="Bookman Old Style" w:hAnsi="Bookman Old Style" w:cs="Arial"/>
          <w:sz w:val="24"/>
          <w:szCs w:val="24"/>
          <w:lang w:val="id-ID"/>
        </w:rPr>
      </w:pPr>
      <w:r w:rsidRPr="008379CA">
        <w:rPr>
          <w:rFonts w:ascii="Bookman Old Style" w:hAnsi="Bookman Old Style" w:cs="Arial"/>
          <w:sz w:val="24"/>
          <w:szCs w:val="24"/>
          <w:lang w:val="id-ID"/>
        </w:rPr>
        <w:t>Pengelolaan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BOP</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Sekolah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Nonformal/Kesetaraan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Rp5.781.390.000,00.</w:t>
      </w:r>
    </w:p>
    <w:p w14:paraId="35573894" w14:textId="6E84F8A6" w:rsidR="00F14F4D" w:rsidRPr="008379CA" w:rsidRDefault="00770F22" w:rsidP="00447E9A">
      <w:pPr>
        <w:pStyle w:val="ListParagraph"/>
        <w:spacing w:before="60" w:after="0" w:line="276" w:lineRule="auto"/>
        <w:ind w:left="1276"/>
        <w:contextualSpacing w:val="0"/>
        <w:jc w:val="both"/>
        <w:rPr>
          <w:rFonts w:ascii="Bookman Old Style" w:hAnsi="Bookman Old Style" w:cs="Arial"/>
          <w:sz w:val="24"/>
          <w:szCs w:val="24"/>
          <w:highlight w:val="yellow"/>
        </w:rPr>
      </w:pPr>
      <w:r w:rsidRPr="008379CA">
        <w:rPr>
          <w:rFonts w:ascii="Bookman Old Style" w:hAnsi="Bookman Old Style" w:cs="Arial"/>
          <w:sz w:val="24"/>
          <w:szCs w:val="24"/>
          <w:lang w:val="id-ID"/>
        </w:rPr>
        <w:t>Selanjutnya</w:t>
      </w:r>
      <w:r w:rsidRPr="008379CA">
        <w:rPr>
          <w:rFonts w:ascii="Bookman Old Style" w:hAnsi="Bookman Old Style"/>
          <w:sz w:val="24"/>
          <w:szCs w:val="24"/>
        </w:rPr>
        <w:t>,</w:t>
      </w:r>
      <w:r w:rsidR="00A954D0" w:rsidRPr="008379CA">
        <w:rPr>
          <w:rFonts w:ascii="Bookman Old Style" w:hAnsi="Bookman Old Style"/>
          <w:sz w:val="24"/>
          <w:szCs w:val="24"/>
        </w:rPr>
        <w:t xml:space="preserve"> </w:t>
      </w:r>
      <w:r w:rsidRPr="008379CA">
        <w:rPr>
          <w:rFonts w:ascii="Bookman Old Style" w:hAnsi="Bookman Old Style"/>
          <w:sz w:val="24"/>
          <w:szCs w:val="24"/>
        </w:rPr>
        <w:t>penetapan</w:t>
      </w:r>
      <w:r w:rsidR="00A954D0" w:rsidRPr="008379CA">
        <w:rPr>
          <w:rFonts w:ascii="Bookman Old Style" w:hAnsi="Bookman Old Style"/>
          <w:sz w:val="24"/>
          <w:szCs w:val="24"/>
        </w:rPr>
        <w:t xml:space="preserve"> </w:t>
      </w:r>
      <w:r w:rsidRPr="008379CA">
        <w:rPr>
          <w:rFonts w:ascii="Bookman Old Style" w:hAnsi="Bookman Old Style"/>
          <w:sz w:val="24"/>
          <w:szCs w:val="24"/>
        </w:rPr>
        <w:t>besaran</w:t>
      </w:r>
      <w:r w:rsidR="00A954D0" w:rsidRPr="008379CA">
        <w:rPr>
          <w:rFonts w:ascii="Bookman Old Style" w:hAnsi="Bookman Old Style"/>
          <w:sz w:val="24"/>
          <w:szCs w:val="24"/>
        </w:rPr>
        <w:t xml:space="preserve"> </w:t>
      </w:r>
      <w:r w:rsidRPr="008379CA">
        <w:rPr>
          <w:rFonts w:ascii="Bookman Old Style" w:hAnsi="Bookman Old Style"/>
          <w:sz w:val="24"/>
          <w:szCs w:val="24"/>
        </w:rPr>
        <w:t>standar</w:t>
      </w:r>
      <w:r w:rsidR="00A954D0" w:rsidRPr="008379CA">
        <w:rPr>
          <w:rFonts w:ascii="Bookman Old Style" w:hAnsi="Bookman Old Style"/>
          <w:sz w:val="24"/>
          <w:szCs w:val="24"/>
        </w:rPr>
        <w:t xml:space="preserve"> </w:t>
      </w:r>
      <w:r w:rsidRPr="008379CA">
        <w:rPr>
          <w:rFonts w:ascii="Bookman Old Style" w:hAnsi="Bookman Old Style"/>
          <w:sz w:val="24"/>
          <w:szCs w:val="24"/>
        </w:rPr>
        <w:t>satuan</w:t>
      </w:r>
      <w:r w:rsidR="00A954D0" w:rsidRPr="008379CA">
        <w:rPr>
          <w:rFonts w:ascii="Bookman Old Style" w:hAnsi="Bookman Old Style"/>
          <w:sz w:val="24"/>
          <w:szCs w:val="24"/>
        </w:rPr>
        <w:t xml:space="preserve"> </w:t>
      </w:r>
      <w:r w:rsidRPr="008379CA">
        <w:rPr>
          <w:rFonts w:ascii="Bookman Old Style" w:hAnsi="Bookman Old Style"/>
          <w:sz w:val="24"/>
          <w:szCs w:val="24"/>
        </w:rPr>
        <w:t>harga</w:t>
      </w:r>
      <w:r w:rsidR="00A954D0" w:rsidRPr="008379CA">
        <w:rPr>
          <w:rFonts w:ascii="Bookman Old Style" w:hAnsi="Bookman Old Style"/>
          <w:sz w:val="24"/>
          <w:szCs w:val="24"/>
        </w:rPr>
        <w:t xml:space="preserve"> </w:t>
      </w:r>
      <w:r w:rsidRPr="008379CA">
        <w:rPr>
          <w:rFonts w:ascii="Bookman Old Style" w:hAnsi="Bookman Old Style"/>
          <w:sz w:val="24"/>
          <w:szCs w:val="24"/>
        </w:rPr>
        <w:t>untuk</w:t>
      </w:r>
      <w:r w:rsidR="00A954D0" w:rsidRPr="008379CA">
        <w:rPr>
          <w:rFonts w:ascii="Bookman Old Style" w:hAnsi="Bookman Old Style"/>
          <w:sz w:val="24"/>
          <w:szCs w:val="24"/>
        </w:rPr>
        <w:t xml:space="preserve"> </w:t>
      </w:r>
      <w:r w:rsidRPr="008379CA">
        <w:rPr>
          <w:rFonts w:ascii="Bookman Old Style" w:hAnsi="Bookman Old Style"/>
          <w:sz w:val="24"/>
          <w:szCs w:val="24"/>
        </w:rPr>
        <w:t>tenaga</w:t>
      </w:r>
      <w:r w:rsidR="00A954D0" w:rsidRPr="008379CA">
        <w:rPr>
          <w:rFonts w:ascii="Bookman Old Style" w:hAnsi="Bookman Old Style"/>
          <w:sz w:val="24"/>
          <w:szCs w:val="24"/>
        </w:rPr>
        <w:t xml:space="preserve"> </w:t>
      </w:r>
      <w:r w:rsidRPr="008379CA">
        <w:rPr>
          <w:rFonts w:ascii="Bookman Old Style" w:hAnsi="Bookman Old Style"/>
          <w:sz w:val="24"/>
          <w:szCs w:val="24"/>
        </w:rPr>
        <w:t>pendidik</w:t>
      </w:r>
      <w:r w:rsidR="00A954D0" w:rsidRPr="008379CA">
        <w:rPr>
          <w:rFonts w:ascii="Bookman Old Style" w:hAnsi="Bookman Old Style"/>
          <w:sz w:val="24"/>
          <w:szCs w:val="24"/>
        </w:rPr>
        <w:t xml:space="preserve"> </w:t>
      </w:r>
      <w:r w:rsidRPr="008379CA">
        <w:rPr>
          <w:rFonts w:ascii="Bookman Old Style" w:hAnsi="Bookman Old Style"/>
          <w:sz w:val="24"/>
          <w:szCs w:val="24"/>
        </w:rPr>
        <w:t>berpedoman</w:t>
      </w:r>
      <w:r w:rsidR="00A954D0" w:rsidRPr="008379CA">
        <w:rPr>
          <w:rFonts w:ascii="Bookman Old Style" w:hAnsi="Bookman Old Style"/>
          <w:sz w:val="24"/>
          <w:szCs w:val="24"/>
        </w:rPr>
        <w:t xml:space="preserve"> </w:t>
      </w:r>
      <w:r w:rsidRPr="008379CA">
        <w:rPr>
          <w:rFonts w:ascii="Bookman Old Style" w:hAnsi="Bookman Old Style"/>
          <w:sz w:val="24"/>
          <w:szCs w:val="24"/>
        </w:rPr>
        <w:t>pada</w:t>
      </w:r>
      <w:r w:rsidR="00A954D0" w:rsidRPr="008379CA">
        <w:rPr>
          <w:rFonts w:ascii="Bookman Old Style" w:hAnsi="Bookman Old Style"/>
          <w:sz w:val="24"/>
          <w:szCs w:val="24"/>
        </w:rPr>
        <w:t xml:space="preserve"> </w:t>
      </w:r>
      <w:r w:rsidRPr="008379CA">
        <w:rPr>
          <w:rFonts w:ascii="Bookman Old Style" w:hAnsi="Bookman Old Style"/>
          <w:sz w:val="24"/>
          <w:szCs w:val="24"/>
        </w:rPr>
        <w:t>upah</w:t>
      </w:r>
      <w:r w:rsidR="00A954D0" w:rsidRPr="008379CA">
        <w:rPr>
          <w:rFonts w:ascii="Bookman Old Style" w:hAnsi="Bookman Old Style"/>
          <w:sz w:val="24"/>
          <w:szCs w:val="24"/>
        </w:rPr>
        <w:t xml:space="preserve"> </w:t>
      </w:r>
      <w:r w:rsidRPr="008379CA">
        <w:rPr>
          <w:rFonts w:ascii="Bookman Old Style" w:hAnsi="Bookman Old Style"/>
          <w:sz w:val="24"/>
          <w:szCs w:val="24"/>
        </w:rPr>
        <w:t>minimum</w:t>
      </w:r>
      <w:r w:rsidR="00A954D0" w:rsidRPr="008379CA">
        <w:rPr>
          <w:rFonts w:ascii="Bookman Old Style" w:hAnsi="Bookman Old Style"/>
          <w:sz w:val="24"/>
          <w:szCs w:val="24"/>
        </w:rPr>
        <w:t xml:space="preserve"> </w:t>
      </w:r>
      <w:r w:rsidRPr="008379CA">
        <w:rPr>
          <w:rFonts w:ascii="Bookman Old Style" w:hAnsi="Bookman Old Style"/>
          <w:sz w:val="24"/>
          <w:szCs w:val="24"/>
        </w:rPr>
        <w:t>yang</w:t>
      </w:r>
      <w:r w:rsidR="00A954D0" w:rsidRPr="008379CA">
        <w:rPr>
          <w:rFonts w:ascii="Bookman Old Style" w:hAnsi="Bookman Old Style"/>
          <w:sz w:val="24"/>
          <w:szCs w:val="24"/>
        </w:rPr>
        <w:t xml:space="preserve"> </w:t>
      </w:r>
      <w:r w:rsidRPr="008379CA">
        <w:rPr>
          <w:rFonts w:ascii="Bookman Old Style" w:hAnsi="Bookman Old Style"/>
          <w:sz w:val="24"/>
          <w:szCs w:val="24"/>
        </w:rPr>
        <w:t>ditetapkan</w:t>
      </w:r>
      <w:r w:rsidR="00A954D0" w:rsidRPr="008379CA">
        <w:rPr>
          <w:rFonts w:ascii="Bookman Old Style" w:hAnsi="Bookman Old Style"/>
          <w:sz w:val="24"/>
          <w:szCs w:val="24"/>
        </w:rPr>
        <w:t xml:space="preserve"> </w:t>
      </w:r>
      <w:r w:rsidRPr="008379CA">
        <w:rPr>
          <w:rFonts w:ascii="Bookman Old Style" w:hAnsi="Bookman Old Style"/>
          <w:sz w:val="24"/>
          <w:szCs w:val="24"/>
        </w:rPr>
        <w:t>oleh</w:t>
      </w:r>
      <w:r w:rsidR="00A954D0" w:rsidRPr="008379CA">
        <w:rPr>
          <w:rFonts w:ascii="Bookman Old Style" w:hAnsi="Bookman Old Style"/>
          <w:sz w:val="24"/>
          <w:szCs w:val="24"/>
        </w:rPr>
        <w:t xml:space="preserve"> </w:t>
      </w:r>
      <w:r w:rsidRPr="008379CA">
        <w:rPr>
          <w:rFonts w:ascii="Bookman Old Style" w:hAnsi="Bookman Old Style"/>
          <w:sz w:val="24"/>
          <w:szCs w:val="24"/>
        </w:rPr>
        <w:t>Gubernur</w:t>
      </w:r>
      <w:r w:rsidR="00A954D0" w:rsidRPr="008379CA">
        <w:rPr>
          <w:rFonts w:ascii="Bookman Old Style" w:hAnsi="Bookman Old Style"/>
          <w:sz w:val="24"/>
          <w:szCs w:val="24"/>
        </w:rPr>
        <w:t xml:space="preserve"> </w:t>
      </w:r>
      <w:r w:rsidRPr="008379CA">
        <w:rPr>
          <w:rFonts w:ascii="Bookman Old Style" w:hAnsi="Bookman Old Style"/>
          <w:sz w:val="24"/>
          <w:szCs w:val="24"/>
        </w:rPr>
        <w:t>sebagaimana</w:t>
      </w:r>
      <w:r w:rsidR="00A954D0" w:rsidRPr="008379CA">
        <w:rPr>
          <w:rFonts w:ascii="Bookman Old Style" w:hAnsi="Bookman Old Style"/>
          <w:sz w:val="24"/>
          <w:szCs w:val="24"/>
        </w:rPr>
        <w:t xml:space="preserve"> </w:t>
      </w:r>
      <w:r w:rsidRPr="008379CA">
        <w:rPr>
          <w:rFonts w:ascii="Bookman Old Style" w:hAnsi="Bookman Old Style"/>
          <w:sz w:val="24"/>
          <w:szCs w:val="24"/>
        </w:rPr>
        <w:t>maksud</w:t>
      </w:r>
      <w:r w:rsidR="00A954D0" w:rsidRPr="008379CA">
        <w:rPr>
          <w:rFonts w:ascii="Bookman Old Style" w:hAnsi="Bookman Old Style"/>
          <w:sz w:val="24"/>
          <w:szCs w:val="24"/>
        </w:rPr>
        <w:t xml:space="preserve"> </w:t>
      </w:r>
      <w:r w:rsidRPr="008379CA">
        <w:rPr>
          <w:rFonts w:ascii="Bookman Old Style" w:hAnsi="Bookman Old Style"/>
          <w:sz w:val="24"/>
          <w:szCs w:val="24"/>
        </w:rPr>
        <w:t>Peraturan</w:t>
      </w:r>
      <w:r w:rsidR="00A954D0" w:rsidRPr="008379CA">
        <w:rPr>
          <w:rFonts w:ascii="Bookman Old Style" w:hAnsi="Bookman Old Style"/>
          <w:sz w:val="24"/>
          <w:szCs w:val="24"/>
        </w:rPr>
        <w:t xml:space="preserve"> </w:t>
      </w:r>
      <w:r w:rsidRPr="008379CA">
        <w:rPr>
          <w:rFonts w:ascii="Bookman Old Style" w:hAnsi="Bookman Old Style"/>
          <w:sz w:val="24"/>
          <w:szCs w:val="24"/>
        </w:rPr>
        <w:t>Pemerintah</w:t>
      </w:r>
      <w:r w:rsidR="00A954D0" w:rsidRPr="008379CA">
        <w:rPr>
          <w:rFonts w:ascii="Bookman Old Style" w:hAnsi="Bookman Old Style"/>
          <w:sz w:val="24"/>
          <w:szCs w:val="24"/>
        </w:rPr>
        <w:t xml:space="preserve"> </w:t>
      </w:r>
      <w:r w:rsidRPr="008379CA">
        <w:rPr>
          <w:rFonts w:ascii="Bookman Old Style" w:hAnsi="Bookman Old Style"/>
          <w:sz w:val="24"/>
          <w:szCs w:val="24"/>
        </w:rPr>
        <w:t>Nomor</w:t>
      </w:r>
      <w:r w:rsidR="00A954D0" w:rsidRPr="008379CA">
        <w:rPr>
          <w:rFonts w:ascii="Bookman Old Style" w:hAnsi="Bookman Old Style"/>
          <w:sz w:val="24"/>
          <w:szCs w:val="24"/>
        </w:rPr>
        <w:t xml:space="preserve"> </w:t>
      </w:r>
      <w:r w:rsidRPr="008379CA">
        <w:rPr>
          <w:rFonts w:ascii="Bookman Old Style" w:hAnsi="Bookman Old Style"/>
          <w:sz w:val="24"/>
          <w:szCs w:val="24"/>
        </w:rPr>
        <w:t>36</w:t>
      </w:r>
      <w:r w:rsidR="00A954D0" w:rsidRPr="008379CA">
        <w:rPr>
          <w:rFonts w:ascii="Bookman Old Style" w:hAnsi="Bookman Old Style"/>
          <w:sz w:val="24"/>
          <w:szCs w:val="24"/>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rPr>
        <w:t>2021</w:t>
      </w:r>
      <w:r w:rsidR="00A954D0" w:rsidRPr="008379CA">
        <w:rPr>
          <w:rFonts w:ascii="Bookman Old Style" w:hAnsi="Bookman Old Style"/>
          <w:sz w:val="24"/>
          <w:szCs w:val="24"/>
        </w:rPr>
        <w:t xml:space="preserve"> </w:t>
      </w:r>
      <w:r w:rsidRPr="008379CA">
        <w:rPr>
          <w:rFonts w:ascii="Bookman Old Style" w:hAnsi="Bookman Old Style"/>
          <w:sz w:val="24"/>
          <w:szCs w:val="24"/>
        </w:rPr>
        <w:t>tentang</w:t>
      </w:r>
      <w:r w:rsidR="00A954D0" w:rsidRPr="008379CA">
        <w:rPr>
          <w:rFonts w:ascii="Bookman Old Style" w:hAnsi="Bookman Old Style"/>
          <w:sz w:val="24"/>
          <w:szCs w:val="24"/>
        </w:rPr>
        <w:t xml:space="preserve"> </w:t>
      </w:r>
      <w:r w:rsidRPr="008379CA">
        <w:rPr>
          <w:rFonts w:ascii="Bookman Old Style" w:hAnsi="Bookman Old Style"/>
          <w:sz w:val="24"/>
          <w:szCs w:val="24"/>
        </w:rPr>
        <w:t>Pengupahan</w:t>
      </w:r>
      <w:r w:rsidR="00A954D0" w:rsidRPr="008379CA">
        <w:rPr>
          <w:rFonts w:ascii="Bookman Old Style" w:hAnsi="Bookman Old Style"/>
          <w:sz w:val="24"/>
          <w:szCs w:val="24"/>
        </w:rPr>
        <w:t xml:space="preserve"> </w:t>
      </w:r>
      <w:r w:rsidRPr="008379CA">
        <w:rPr>
          <w:rFonts w:ascii="Bookman Old Style" w:hAnsi="Bookman Old Style"/>
          <w:sz w:val="24"/>
          <w:szCs w:val="24"/>
          <w:lang w:val="id-ID"/>
        </w:rPr>
        <w:t>sebagaimana</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telah</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diubah</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dengan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rPr>
        <w:t>Peraturan</w:t>
      </w:r>
      <w:r w:rsidR="00A954D0" w:rsidRPr="008379CA">
        <w:rPr>
          <w:rFonts w:ascii="Bookman Old Style" w:hAnsi="Bookman Old Style"/>
          <w:sz w:val="24"/>
          <w:szCs w:val="24"/>
        </w:rPr>
        <w:t xml:space="preserve"> </w:t>
      </w:r>
      <w:r w:rsidRPr="008379CA">
        <w:rPr>
          <w:rFonts w:ascii="Bookman Old Style" w:hAnsi="Bookman Old Style"/>
          <w:sz w:val="24"/>
          <w:szCs w:val="24"/>
        </w:rPr>
        <w:t>Pemerintah</w:t>
      </w:r>
      <w:r w:rsidR="00A954D0" w:rsidRPr="008379CA">
        <w:rPr>
          <w:rFonts w:ascii="Bookman Old Style" w:hAnsi="Bookman Old Style"/>
          <w:sz w:val="24"/>
          <w:szCs w:val="24"/>
        </w:rPr>
        <w:t xml:space="preserve"> </w:t>
      </w:r>
      <w:r w:rsidRPr="008379CA">
        <w:rPr>
          <w:rFonts w:ascii="Bookman Old Style" w:hAnsi="Bookman Old Style"/>
          <w:sz w:val="24"/>
          <w:szCs w:val="24"/>
        </w:rPr>
        <w:t>Nomor</w:t>
      </w:r>
      <w:r w:rsidR="00A954D0" w:rsidRPr="008379CA">
        <w:rPr>
          <w:rFonts w:ascii="Bookman Old Style" w:hAnsi="Bookman Old Style"/>
          <w:sz w:val="24"/>
          <w:szCs w:val="24"/>
        </w:rPr>
        <w:t xml:space="preserve"> </w:t>
      </w:r>
      <w:r w:rsidRPr="008379CA">
        <w:rPr>
          <w:rFonts w:ascii="Bookman Old Style" w:hAnsi="Bookman Old Style"/>
          <w:sz w:val="24"/>
          <w:szCs w:val="24"/>
          <w:lang w:val="id-ID"/>
        </w:rPr>
        <w:t>51</w:t>
      </w:r>
      <w:r w:rsidR="00A954D0" w:rsidRPr="008379CA">
        <w:rPr>
          <w:rFonts w:ascii="Bookman Old Style" w:hAnsi="Bookman Old Style"/>
          <w:sz w:val="24"/>
          <w:szCs w:val="24"/>
          <w:lang w:val="id-ID"/>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rPr>
        <w:t>202</w:t>
      </w:r>
      <w:r w:rsidRPr="008379CA">
        <w:rPr>
          <w:rFonts w:ascii="Bookman Old Style" w:hAnsi="Bookman Old Style"/>
          <w:sz w:val="24"/>
          <w:szCs w:val="24"/>
          <w:lang w:val="id-ID"/>
        </w:rPr>
        <w:t>3</w:t>
      </w:r>
      <w:r w:rsidR="00A954D0" w:rsidRPr="008379CA">
        <w:rPr>
          <w:rFonts w:ascii="Bookman Old Style" w:hAnsi="Bookman Old Style"/>
          <w:sz w:val="24"/>
          <w:szCs w:val="24"/>
        </w:rPr>
        <w:t xml:space="preserve"> </w:t>
      </w:r>
      <w:r w:rsidRPr="008379CA">
        <w:rPr>
          <w:rFonts w:ascii="Bookman Old Style" w:hAnsi="Bookman Old Style"/>
          <w:sz w:val="24"/>
          <w:szCs w:val="24"/>
        </w:rPr>
        <w:t>tentang</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Perubahan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atas</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Peraturan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Pemerintah</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Nomor</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36</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Tahun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2021</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tentang</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Pengupahan</w:t>
      </w:r>
      <w:r w:rsidRPr="008379CA">
        <w:rPr>
          <w:rFonts w:ascii="Bookman Old Style" w:hAnsi="Bookman Old Style"/>
          <w:sz w:val="24"/>
          <w:szCs w:val="24"/>
        </w:rPr>
        <w:t>.</w:t>
      </w:r>
    </w:p>
    <w:p w14:paraId="33D11C28" w14:textId="6FAD1E14" w:rsidR="00F14F4D" w:rsidRPr="008379CA" w:rsidRDefault="001B677A" w:rsidP="00447E9A">
      <w:pPr>
        <w:pStyle w:val="ListParagraph"/>
        <w:numPr>
          <w:ilvl w:val="0"/>
          <w:numId w:val="98"/>
        </w:numPr>
        <w:spacing w:before="120" w:after="0" w:line="276" w:lineRule="auto"/>
        <w:ind w:left="1276" w:hanging="283"/>
        <w:contextualSpacing w:val="0"/>
        <w:jc w:val="both"/>
        <w:rPr>
          <w:rFonts w:ascii="Bookman Old Style" w:hAnsi="Bookman Old Style" w:cs="Arial"/>
          <w:sz w:val="24"/>
          <w:szCs w:val="24"/>
        </w:rPr>
      </w:pPr>
      <w:r w:rsidRPr="008379CA">
        <w:rPr>
          <w:rFonts w:ascii="Bookman Old Style" w:hAnsi="Bookman Old Style"/>
          <w:sz w:val="24"/>
          <w:szCs w:val="24"/>
        </w:rPr>
        <w:t>Alokasi</w:t>
      </w:r>
      <w:r w:rsidR="00A954D0" w:rsidRPr="008379CA">
        <w:rPr>
          <w:rFonts w:ascii="Bookman Old Style" w:hAnsi="Bookman Old Style"/>
          <w:sz w:val="24"/>
          <w:szCs w:val="24"/>
        </w:rPr>
        <w:t xml:space="preserve"> </w:t>
      </w:r>
      <w:r w:rsidRPr="008379CA">
        <w:rPr>
          <w:rFonts w:ascii="Bookman Old Style" w:hAnsi="Bookman Old Style" w:cs="Arial"/>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lang w:val="sv-FI"/>
        </w:rPr>
        <w:t>untuk</w:t>
      </w:r>
      <w:r w:rsidR="00A954D0" w:rsidRPr="008379CA">
        <w:rPr>
          <w:rFonts w:ascii="Bookman Old Style" w:hAnsi="Bookman Old Style"/>
          <w:sz w:val="24"/>
          <w:szCs w:val="24"/>
          <w:lang w:val="sv-FI"/>
        </w:rPr>
        <w:t xml:space="preserve"> </w:t>
      </w:r>
      <w:r w:rsidRPr="008379CA">
        <w:rPr>
          <w:rFonts w:ascii="Bookman Old Style" w:hAnsi="Bookman Old Style"/>
          <w:sz w:val="24"/>
          <w:szCs w:val="24"/>
        </w:rPr>
        <w:t>Belanja</w:t>
      </w:r>
      <w:r w:rsidR="00A954D0" w:rsidRPr="008379CA">
        <w:rPr>
          <w:rFonts w:ascii="Bookman Old Style" w:hAnsi="Bookman Old Style"/>
          <w:sz w:val="24"/>
          <w:szCs w:val="24"/>
        </w:rPr>
        <w:t xml:space="preserve"> </w:t>
      </w:r>
      <w:r w:rsidRPr="008379CA">
        <w:rPr>
          <w:rFonts w:ascii="Bookman Old Style" w:hAnsi="Bookman Old Style" w:cs="Arial"/>
          <w:sz w:val="24"/>
          <w:szCs w:val="24"/>
        </w:rPr>
        <w:t>Infrastruktur</w:t>
      </w:r>
      <w:r w:rsidR="00A954D0" w:rsidRPr="008379CA">
        <w:rPr>
          <w:rFonts w:ascii="Bookman Old Style" w:hAnsi="Bookman Old Style"/>
          <w:sz w:val="24"/>
          <w:szCs w:val="24"/>
        </w:rPr>
        <w:t xml:space="preserve"> </w:t>
      </w:r>
      <w:r w:rsidRPr="008379CA">
        <w:rPr>
          <w:rFonts w:ascii="Bookman Old Style" w:hAnsi="Bookman Old Style"/>
          <w:sz w:val="24"/>
          <w:szCs w:val="24"/>
        </w:rPr>
        <w:t>Pelayanan</w:t>
      </w:r>
      <w:r w:rsidR="00A954D0" w:rsidRPr="008379CA">
        <w:rPr>
          <w:rFonts w:ascii="Bookman Old Style" w:hAnsi="Bookman Old Style"/>
          <w:sz w:val="24"/>
          <w:szCs w:val="24"/>
        </w:rPr>
        <w:t xml:space="preserve"> </w:t>
      </w:r>
      <w:r w:rsidRPr="008379CA">
        <w:rPr>
          <w:rFonts w:ascii="Bookman Old Style" w:hAnsi="Bookman Old Style"/>
          <w:sz w:val="24"/>
          <w:szCs w:val="24"/>
        </w:rPr>
        <w:t>Publik</w:t>
      </w:r>
      <w:r w:rsidR="00A954D0" w:rsidRPr="008379CA">
        <w:rPr>
          <w:rFonts w:ascii="Bookman Old Style" w:hAnsi="Bookman Old Style" w:cs="Arial"/>
          <w:sz w:val="24"/>
          <w:szCs w:val="24"/>
        </w:rPr>
        <w:t xml:space="preserve"> </w:t>
      </w:r>
    </w:p>
    <w:p w14:paraId="757CA947" w14:textId="161C4F28" w:rsidR="008E6C48" w:rsidRPr="008379CA" w:rsidRDefault="008E6C48" w:rsidP="00447E9A">
      <w:pPr>
        <w:pStyle w:val="ListParagraph"/>
        <w:spacing w:before="60" w:after="0" w:line="276" w:lineRule="auto"/>
        <w:ind w:left="1276"/>
        <w:contextualSpacing w:val="0"/>
        <w:jc w:val="both"/>
        <w:rPr>
          <w:rFonts w:ascii="Bookman Old Style" w:hAnsi="Bookman Old Style"/>
          <w:sz w:val="24"/>
          <w:szCs w:val="24"/>
          <w:lang w:val="en-GB"/>
        </w:rPr>
      </w:pPr>
      <w:r w:rsidRPr="008379CA">
        <w:rPr>
          <w:rFonts w:ascii="Bookman Old Style" w:hAnsi="Bookman Old Style"/>
          <w:sz w:val="24"/>
          <w:szCs w:val="24"/>
        </w:rPr>
        <w:t>Pemerintah</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sz w:val="24"/>
          <w:szCs w:val="24"/>
        </w:rPr>
        <w:t>mengalokasikan</w:t>
      </w:r>
      <w:r w:rsidR="00A954D0" w:rsidRPr="008379CA">
        <w:rPr>
          <w:rFonts w:ascii="Bookman Old Style" w:hAnsi="Bookman Old Style"/>
          <w:sz w:val="24"/>
          <w:szCs w:val="24"/>
        </w:rPr>
        <w:t xml:space="preserve"> </w:t>
      </w:r>
      <w:r w:rsidRPr="008379CA">
        <w:rPr>
          <w:rFonts w:ascii="Bookman Old Style" w:hAnsi="Bookman Old Style"/>
          <w:sz w:val="24"/>
          <w:szCs w:val="24"/>
        </w:rPr>
        <w:t>belanja</w:t>
      </w:r>
      <w:r w:rsidR="00A954D0" w:rsidRPr="008379CA">
        <w:rPr>
          <w:rFonts w:ascii="Bookman Old Style" w:hAnsi="Bookman Old Style"/>
          <w:sz w:val="24"/>
          <w:szCs w:val="24"/>
        </w:rPr>
        <w:t xml:space="preserve"> </w:t>
      </w:r>
      <w:r w:rsidRPr="008379CA">
        <w:rPr>
          <w:rFonts w:ascii="Bookman Old Style" w:hAnsi="Bookman Old Style" w:cs="Gill Sans Light (Arabid)"/>
          <w:bCs/>
          <w:sz w:val="24"/>
          <w:szCs w:val="24"/>
          <w:lang w:val="sv-FI" w:eastAsia="id-ID"/>
        </w:rPr>
        <w:t>infrastruktur</w:t>
      </w:r>
      <w:r w:rsidR="00A954D0" w:rsidRPr="008379CA">
        <w:rPr>
          <w:rFonts w:ascii="Bookman Old Style" w:hAnsi="Bookman Old Style"/>
          <w:sz w:val="24"/>
          <w:szCs w:val="24"/>
        </w:rPr>
        <w:t xml:space="preserve"> </w:t>
      </w:r>
      <w:r w:rsidRPr="008379CA">
        <w:rPr>
          <w:rFonts w:ascii="Bookman Old Style" w:hAnsi="Bookman Old Style"/>
          <w:sz w:val="24"/>
          <w:szCs w:val="24"/>
        </w:rPr>
        <w:t>pelayanan</w:t>
      </w:r>
      <w:r w:rsidR="00A954D0" w:rsidRPr="008379CA">
        <w:rPr>
          <w:rFonts w:ascii="Bookman Old Style" w:hAnsi="Bookman Old Style"/>
          <w:sz w:val="24"/>
          <w:szCs w:val="24"/>
        </w:rPr>
        <w:t xml:space="preserve"> </w:t>
      </w:r>
      <w:r w:rsidRPr="008379CA">
        <w:rPr>
          <w:rFonts w:ascii="Bookman Old Style" w:hAnsi="Bookman Old Style"/>
          <w:sz w:val="24"/>
          <w:szCs w:val="24"/>
        </w:rPr>
        <w:t>publik</w:t>
      </w:r>
      <w:r w:rsidR="00A954D0" w:rsidRPr="008379CA">
        <w:rPr>
          <w:rFonts w:ascii="Bookman Old Style" w:hAnsi="Bookman Old Style"/>
          <w:sz w:val="24"/>
          <w:szCs w:val="24"/>
        </w:rPr>
        <w:t xml:space="preserve"> </w:t>
      </w:r>
      <w:r w:rsidRPr="008379CA">
        <w:rPr>
          <w:rFonts w:ascii="Bookman Old Style" w:hAnsi="Bookman Old Style"/>
          <w:sz w:val="24"/>
          <w:szCs w:val="24"/>
          <w:lang w:val="en-GB"/>
        </w:rPr>
        <w:t>Rp2.183.773.387.974,00</w:t>
      </w:r>
      <w:r w:rsidR="00A954D0" w:rsidRPr="008379CA">
        <w:rPr>
          <w:rFonts w:ascii="Bookman Old Style" w:hAnsi="Bookman Old Style"/>
          <w:sz w:val="24"/>
          <w:szCs w:val="24"/>
          <w:lang w:val="en-GB"/>
        </w:rPr>
        <w:t xml:space="preserve"> </w:t>
      </w:r>
      <w:r w:rsidRPr="008379CA">
        <w:rPr>
          <w:rFonts w:ascii="Bookman Old Style" w:hAnsi="Bookman Old Style"/>
          <w:sz w:val="24"/>
          <w:szCs w:val="24"/>
          <w:lang w:val="en-GB"/>
        </w:rPr>
        <w:t>atau</w:t>
      </w:r>
      <w:r w:rsidR="00A954D0" w:rsidRPr="008379CA">
        <w:rPr>
          <w:rFonts w:ascii="Bookman Old Style" w:hAnsi="Bookman Old Style"/>
          <w:sz w:val="24"/>
          <w:szCs w:val="24"/>
          <w:lang w:val="en-GB"/>
        </w:rPr>
        <w:t xml:space="preserve"> </w:t>
      </w:r>
      <w:r w:rsidRPr="008379CA">
        <w:rPr>
          <w:rFonts w:ascii="Bookman Old Style" w:hAnsi="Bookman Old Style"/>
          <w:sz w:val="24"/>
          <w:szCs w:val="24"/>
          <w:lang w:val="id-ID"/>
        </w:rPr>
        <w:t>38</w:t>
      </w:r>
      <w:r w:rsidRPr="008379CA">
        <w:rPr>
          <w:rFonts w:ascii="Bookman Old Style" w:hAnsi="Bookman Old Style"/>
          <w:sz w:val="24"/>
          <w:szCs w:val="24"/>
          <w:lang w:val="en-GB"/>
        </w:rPr>
        <w:t>,</w:t>
      </w:r>
      <w:r w:rsidRPr="008379CA">
        <w:rPr>
          <w:rFonts w:ascii="Bookman Old Style" w:hAnsi="Bookman Old Style"/>
          <w:sz w:val="24"/>
          <w:szCs w:val="24"/>
          <w:lang w:val="id-ID"/>
        </w:rPr>
        <w:t>27</w:t>
      </w:r>
      <w:r w:rsidRPr="008379CA">
        <w:rPr>
          <w:rFonts w:ascii="Bookman Old Style" w:hAnsi="Bookman Old Style"/>
          <w:sz w:val="24"/>
          <w:szCs w:val="24"/>
          <w:lang w:val="en-GB"/>
        </w:rPr>
        <w:t>%</w:t>
      </w:r>
      <w:r w:rsidR="00A954D0" w:rsidRPr="008379CA">
        <w:rPr>
          <w:rFonts w:ascii="Bookman Old Style" w:hAnsi="Bookman Old Style"/>
          <w:sz w:val="24"/>
          <w:szCs w:val="24"/>
          <w:lang w:val="en-GB"/>
        </w:rPr>
        <w:t xml:space="preserve"> </w:t>
      </w:r>
      <w:r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Pr="008379CA">
        <w:rPr>
          <w:rFonts w:ascii="Bookman Old Style" w:hAnsi="Bookman Old Style"/>
          <w:sz w:val="24"/>
          <w:szCs w:val="24"/>
        </w:rPr>
        <w:t>total</w:t>
      </w:r>
      <w:r w:rsidR="00A954D0" w:rsidRPr="008379CA">
        <w:rPr>
          <w:rFonts w:ascii="Bookman Old Style" w:hAnsi="Bookman Old Style"/>
          <w:sz w:val="24"/>
          <w:szCs w:val="24"/>
        </w:rPr>
        <w:t xml:space="preserve"> </w:t>
      </w:r>
      <w:r w:rsidRPr="008379CA">
        <w:rPr>
          <w:rFonts w:ascii="Bookman Old Style" w:hAnsi="Bookman Old Style"/>
          <w:sz w:val="24"/>
          <w:szCs w:val="24"/>
        </w:rPr>
        <w:t>belanja</w:t>
      </w:r>
      <w:r w:rsidR="00A954D0" w:rsidRPr="008379CA">
        <w:rPr>
          <w:rFonts w:ascii="Bookman Old Style" w:hAnsi="Bookman Old Style"/>
          <w:sz w:val="24"/>
          <w:szCs w:val="24"/>
        </w:rPr>
        <w:t xml:space="preserve"> </w:t>
      </w:r>
      <w:r w:rsidRPr="008379CA">
        <w:rPr>
          <w:rFonts w:ascii="Bookman Old Style" w:hAnsi="Bookman Old Style"/>
          <w:sz w:val="24"/>
          <w:szCs w:val="24"/>
          <w:lang w:val="id-ID"/>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diluar</w:t>
      </w:r>
      <w:r w:rsidR="00A954D0" w:rsidRPr="008379CA">
        <w:rPr>
          <w:rFonts w:ascii="Bookman Old Style" w:hAnsi="Bookman Old Style"/>
          <w:sz w:val="24"/>
          <w:szCs w:val="24"/>
        </w:rPr>
        <w:t xml:space="preserve"> </w:t>
      </w:r>
      <w:r w:rsidRPr="008379CA">
        <w:rPr>
          <w:rFonts w:ascii="Bookman Old Style" w:hAnsi="Bookman Old Style"/>
          <w:sz w:val="24"/>
          <w:szCs w:val="24"/>
        </w:rPr>
        <w:t>belanja</w:t>
      </w:r>
      <w:r w:rsidR="00A954D0" w:rsidRPr="008379CA">
        <w:rPr>
          <w:rFonts w:ascii="Bookman Old Style" w:hAnsi="Bookman Old Style"/>
          <w:sz w:val="24"/>
          <w:szCs w:val="24"/>
        </w:rPr>
        <w:t xml:space="preserve"> </w:t>
      </w:r>
      <w:r w:rsidRPr="008379CA">
        <w:rPr>
          <w:rFonts w:ascii="Bookman Old Style" w:hAnsi="Bookman Old Style"/>
          <w:sz w:val="24"/>
          <w:szCs w:val="24"/>
        </w:rPr>
        <w:t>bagi</w:t>
      </w:r>
      <w:r w:rsidR="00A954D0" w:rsidRPr="008379CA">
        <w:rPr>
          <w:rFonts w:ascii="Bookman Old Style" w:hAnsi="Bookman Old Style"/>
          <w:sz w:val="24"/>
          <w:szCs w:val="24"/>
        </w:rPr>
        <w:t xml:space="preserve"> </w:t>
      </w:r>
      <w:r w:rsidRPr="008379CA">
        <w:rPr>
          <w:rFonts w:ascii="Bookman Old Style" w:hAnsi="Bookman Old Style"/>
          <w:sz w:val="24"/>
          <w:szCs w:val="24"/>
        </w:rPr>
        <w:t>hasil</w:t>
      </w:r>
      <w:r w:rsidR="00A954D0" w:rsidRPr="008379CA">
        <w:rPr>
          <w:rFonts w:ascii="Bookman Old Style" w:hAnsi="Bookman Old Style"/>
          <w:sz w:val="24"/>
          <w:szCs w:val="24"/>
        </w:rPr>
        <w:t xml:space="preserve"> </w:t>
      </w:r>
      <w:r w:rsidRPr="008379CA">
        <w:rPr>
          <w:rFonts w:ascii="Bookman Old Style" w:hAnsi="Bookman Old Style"/>
          <w:sz w:val="24"/>
          <w:szCs w:val="24"/>
        </w:rPr>
        <w:t>dan/atau</w:t>
      </w:r>
      <w:r w:rsidR="00A954D0" w:rsidRPr="008379CA">
        <w:rPr>
          <w:rFonts w:ascii="Bookman Old Style" w:hAnsi="Bookman Old Style"/>
          <w:sz w:val="24"/>
          <w:szCs w:val="24"/>
        </w:rPr>
        <w:t xml:space="preserve"> </w:t>
      </w:r>
      <w:r w:rsidRPr="008379CA">
        <w:rPr>
          <w:rFonts w:ascii="Bookman Old Style" w:hAnsi="Bookman Old Style"/>
          <w:sz w:val="24"/>
          <w:szCs w:val="24"/>
        </w:rPr>
        <w:t>transfer</w:t>
      </w:r>
      <w:r w:rsidR="00A954D0" w:rsidRPr="008379CA">
        <w:rPr>
          <w:rFonts w:ascii="Bookman Old Style" w:hAnsi="Bookman Old Style"/>
          <w:sz w:val="24"/>
          <w:szCs w:val="24"/>
        </w:rPr>
        <w:t xml:space="preserve"> </w:t>
      </w:r>
      <w:r w:rsidRPr="008379CA">
        <w:rPr>
          <w:rFonts w:ascii="Bookman Old Style" w:hAnsi="Bookman Old Style"/>
          <w:sz w:val="24"/>
          <w:szCs w:val="24"/>
        </w:rPr>
        <w:t>kepada</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dan/atau</w:t>
      </w:r>
      <w:r w:rsidR="00A954D0" w:rsidRPr="008379CA">
        <w:rPr>
          <w:rFonts w:ascii="Bookman Old Style" w:hAnsi="Bookman Old Style"/>
          <w:sz w:val="24"/>
          <w:szCs w:val="24"/>
        </w:rPr>
        <w:t xml:space="preserve"> </w:t>
      </w:r>
      <w:r w:rsidRPr="008379CA">
        <w:rPr>
          <w:rFonts w:ascii="Bookman Old Style" w:hAnsi="Bookman Old Style"/>
          <w:sz w:val="24"/>
          <w:szCs w:val="24"/>
        </w:rPr>
        <w:t>desa</w:t>
      </w:r>
      <w:r w:rsidR="00A954D0" w:rsidRPr="008379CA">
        <w:rPr>
          <w:rFonts w:ascii="Bookman Old Style" w:hAnsi="Bookman Old Style"/>
          <w:sz w:val="24"/>
          <w:szCs w:val="24"/>
          <w:lang w:val="en-GB"/>
        </w:rPr>
        <w:t xml:space="preserve"> </w:t>
      </w:r>
      <w:r w:rsidRPr="008379CA">
        <w:rPr>
          <w:rFonts w:ascii="Bookman Old Style" w:hAnsi="Bookman Old Style"/>
          <w:sz w:val="24"/>
          <w:szCs w:val="24"/>
          <w:lang w:val="en-GB"/>
        </w:rPr>
        <w:t>Rp5.706.600.538.955,00</w:t>
      </w:r>
      <w:r w:rsidR="00A954D0" w:rsidRPr="008379CA">
        <w:rPr>
          <w:rFonts w:ascii="Bookman Old Style" w:hAnsi="Bookman Old Style"/>
          <w:sz w:val="24"/>
          <w:szCs w:val="24"/>
          <w:lang w:val="en-GB"/>
        </w:rPr>
        <w:t xml:space="preserve"> </w:t>
      </w:r>
      <w:r w:rsidRPr="008379CA">
        <w:rPr>
          <w:rFonts w:ascii="Bookman Old Style" w:hAnsi="Bookman Old Style"/>
          <w:sz w:val="24"/>
          <w:szCs w:val="24"/>
          <w:lang w:val="en-GB"/>
        </w:rPr>
        <w:t>dalam</w:t>
      </w:r>
      <w:r w:rsidR="00A954D0" w:rsidRPr="008379CA">
        <w:rPr>
          <w:rFonts w:ascii="Bookman Old Style" w:hAnsi="Bookman Old Style"/>
          <w:sz w:val="24"/>
          <w:szCs w:val="24"/>
          <w:lang w:val="en-GB"/>
        </w:rPr>
        <w:t xml:space="preserve"> </w:t>
      </w:r>
      <w:r w:rsidRPr="008379CA">
        <w:rPr>
          <w:rFonts w:ascii="Bookman Old Style" w:hAnsi="Bookman Old Style"/>
          <w:sz w:val="24"/>
          <w:szCs w:val="24"/>
          <w:lang w:val="en-GB"/>
        </w:rPr>
        <w:t>Rancangan</w:t>
      </w:r>
      <w:r w:rsidR="00A954D0" w:rsidRPr="008379CA">
        <w:rPr>
          <w:rFonts w:ascii="Bookman Old Style" w:hAnsi="Bookman Old Style"/>
          <w:sz w:val="24"/>
          <w:szCs w:val="24"/>
          <w:lang w:val="en-GB"/>
        </w:rPr>
        <w:t xml:space="preserve"> </w:t>
      </w:r>
      <w:r w:rsidRPr="008379CA">
        <w:rPr>
          <w:rFonts w:ascii="Bookman Old Style" w:hAnsi="Bookman Old Style"/>
          <w:sz w:val="24"/>
          <w:szCs w:val="24"/>
          <w:lang w:val="en-GB"/>
        </w:rPr>
        <w:t>Peraturan</w:t>
      </w:r>
      <w:r w:rsidR="00A954D0" w:rsidRPr="008379CA">
        <w:rPr>
          <w:rFonts w:ascii="Bookman Old Style" w:hAnsi="Bookman Old Style"/>
          <w:sz w:val="24"/>
          <w:szCs w:val="24"/>
          <w:lang w:val="en-GB"/>
        </w:rPr>
        <w:t xml:space="preserve"> </w:t>
      </w:r>
      <w:r w:rsidRPr="008379CA">
        <w:rPr>
          <w:rFonts w:ascii="Bookman Old Style" w:hAnsi="Bookman Old Style"/>
          <w:sz w:val="24"/>
          <w:szCs w:val="24"/>
          <w:lang w:val="en-GB"/>
        </w:rPr>
        <w:t>Daerah</w:t>
      </w:r>
      <w:r w:rsidR="00A954D0" w:rsidRPr="008379CA">
        <w:rPr>
          <w:rFonts w:ascii="Bookman Old Style" w:hAnsi="Bookman Old Style"/>
          <w:sz w:val="24"/>
          <w:szCs w:val="24"/>
          <w:lang w:val="en-GB"/>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en-GB"/>
        </w:rPr>
        <w:t>tentang</w:t>
      </w:r>
      <w:r w:rsidR="00A954D0" w:rsidRPr="008379CA">
        <w:rPr>
          <w:rFonts w:ascii="Bookman Old Style" w:hAnsi="Bookman Old Style"/>
          <w:sz w:val="24"/>
          <w:szCs w:val="24"/>
          <w:lang w:val="en-GB"/>
        </w:rPr>
        <w:t xml:space="preserve"> </w:t>
      </w:r>
      <w:r w:rsidRPr="008379CA">
        <w:rPr>
          <w:rFonts w:ascii="Bookman Old Style" w:hAnsi="Bookman Old Style"/>
          <w:sz w:val="24"/>
          <w:szCs w:val="24"/>
          <w:lang w:val="en-GB"/>
        </w:rPr>
        <w:t>APBD</w:t>
      </w:r>
      <w:r w:rsidR="00A954D0" w:rsidRPr="008379CA">
        <w:rPr>
          <w:rFonts w:ascii="Bookman Old Style" w:hAnsi="Bookman Old Style"/>
          <w:sz w:val="24"/>
          <w:szCs w:val="24"/>
          <w:lang w:val="en-GB"/>
        </w:rPr>
        <w:t xml:space="preserve"> </w:t>
      </w:r>
      <w:r w:rsidRPr="008379CA">
        <w:rPr>
          <w:rFonts w:ascii="Bookman Old Style" w:hAnsi="Bookman Old Style"/>
          <w:sz w:val="24"/>
          <w:szCs w:val="24"/>
          <w:lang w:val="en-GB"/>
        </w:rPr>
        <w:t>Tahun</w:t>
      </w:r>
      <w:r w:rsidR="00A954D0" w:rsidRPr="008379CA">
        <w:rPr>
          <w:rFonts w:ascii="Bookman Old Style" w:hAnsi="Bookman Old Style"/>
          <w:sz w:val="24"/>
          <w:szCs w:val="24"/>
          <w:lang w:val="en-GB"/>
        </w:rPr>
        <w:t xml:space="preserve"> </w:t>
      </w:r>
      <w:r w:rsidRPr="008379CA">
        <w:rPr>
          <w:rFonts w:ascii="Bookman Old Style" w:hAnsi="Bookman Old Style"/>
          <w:sz w:val="24"/>
          <w:szCs w:val="24"/>
          <w:lang w:val="en-GB"/>
        </w:rPr>
        <w:t>Anggaran</w:t>
      </w:r>
      <w:r w:rsidR="00A954D0" w:rsidRPr="008379CA">
        <w:rPr>
          <w:rFonts w:ascii="Bookman Old Style" w:hAnsi="Bookman Old Style"/>
          <w:sz w:val="24"/>
          <w:szCs w:val="24"/>
          <w:lang w:val="en-GB"/>
        </w:rPr>
        <w:t xml:space="preserve"> </w:t>
      </w:r>
      <w:r w:rsidRPr="008379CA">
        <w:rPr>
          <w:rFonts w:ascii="Bookman Old Style" w:hAnsi="Bookman Old Style"/>
          <w:sz w:val="24"/>
          <w:szCs w:val="24"/>
          <w:lang w:val="en-GB"/>
        </w:rPr>
        <w:t>2025.</w:t>
      </w:r>
    </w:p>
    <w:p w14:paraId="4A76FA9C" w14:textId="2491CF81" w:rsidR="008E6C48" w:rsidRPr="008379CA" w:rsidRDefault="008E6C48" w:rsidP="00447E9A">
      <w:pPr>
        <w:pStyle w:val="ListParagraph"/>
        <w:spacing w:before="60" w:after="0" w:line="276" w:lineRule="auto"/>
        <w:ind w:left="1276"/>
        <w:contextualSpacing w:val="0"/>
        <w:jc w:val="both"/>
        <w:rPr>
          <w:rFonts w:ascii="Bookman Old Style" w:hAnsi="Bookman Old Style" w:cs="Arial"/>
          <w:sz w:val="24"/>
          <w:szCs w:val="24"/>
          <w:lang w:val="id-ID"/>
        </w:rPr>
      </w:pPr>
      <w:r w:rsidRPr="008379CA">
        <w:rPr>
          <w:rFonts w:ascii="Bookman Old Style" w:hAnsi="Bookman Old Style"/>
          <w:sz w:val="24"/>
          <w:szCs w:val="24"/>
          <w:lang w:val="sv-FI"/>
        </w:rPr>
        <w:t>Penyediaan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a</w:t>
      </w:r>
      <w:r w:rsidRPr="008379CA">
        <w:rPr>
          <w:rFonts w:ascii="Bookman Old Style" w:hAnsi="Bookman Old Style" w:cs="Arial"/>
          <w:sz w:val="24"/>
          <w:szCs w:val="24"/>
        </w:rPr>
        <w:t>nggaran</w:t>
      </w:r>
      <w:r w:rsidR="00A954D0" w:rsidRPr="008379CA">
        <w:rPr>
          <w:rFonts w:ascii="Bookman Old Style" w:hAnsi="Bookman Old Style" w:cs="Arial"/>
          <w:sz w:val="24"/>
          <w:szCs w:val="24"/>
        </w:rPr>
        <w:t xml:space="preserve"> </w:t>
      </w:r>
      <w:r w:rsidRPr="008379CA">
        <w:rPr>
          <w:rFonts w:ascii="Bookman Old Style" w:hAnsi="Bookman Old Style"/>
          <w:sz w:val="24"/>
          <w:szCs w:val="24"/>
        </w:rPr>
        <w:t>Belanja</w:t>
      </w:r>
      <w:r w:rsidR="00A954D0" w:rsidRPr="008379CA">
        <w:rPr>
          <w:rFonts w:ascii="Bookman Old Style" w:hAnsi="Bookman Old Style"/>
          <w:sz w:val="24"/>
          <w:szCs w:val="24"/>
        </w:rPr>
        <w:t xml:space="preserve"> </w:t>
      </w:r>
      <w:r w:rsidRPr="008379CA">
        <w:rPr>
          <w:rFonts w:ascii="Bookman Old Style" w:hAnsi="Bookman Old Style"/>
          <w:sz w:val="24"/>
          <w:szCs w:val="24"/>
        </w:rPr>
        <w:t>Infrastruktur</w:t>
      </w:r>
      <w:r w:rsidR="00A954D0" w:rsidRPr="008379CA">
        <w:rPr>
          <w:rFonts w:ascii="Bookman Old Style" w:hAnsi="Bookman Old Style"/>
          <w:sz w:val="24"/>
          <w:szCs w:val="24"/>
        </w:rPr>
        <w:t xml:space="preserve"> </w:t>
      </w:r>
      <w:r w:rsidRPr="008379CA">
        <w:rPr>
          <w:rFonts w:ascii="Bookman Old Style" w:hAnsi="Bookman Old Style"/>
          <w:sz w:val="24"/>
          <w:szCs w:val="24"/>
        </w:rPr>
        <w:t>Pelayanan</w:t>
      </w:r>
      <w:r w:rsidR="00A954D0" w:rsidRPr="008379CA">
        <w:rPr>
          <w:rFonts w:ascii="Bookman Old Style" w:hAnsi="Bookman Old Style"/>
          <w:sz w:val="24"/>
          <w:szCs w:val="24"/>
        </w:rPr>
        <w:t xml:space="preserve"> </w:t>
      </w:r>
      <w:r w:rsidRPr="008379CA">
        <w:rPr>
          <w:rFonts w:ascii="Bookman Old Style" w:hAnsi="Bookman Old Style"/>
          <w:sz w:val="24"/>
          <w:szCs w:val="24"/>
        </w:rPr>
        <w:t>Publik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tersebut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id-ID"/>
        </w:rPr>
        <w:t>atas,</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sv-FI"/>
        </w:rPr>
        <w:t>antara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lain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de-DE"/>
        </w:rPr>
        <w:t>diuraikan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ke</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dalam</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sv-FI"/>
        </w:rPr>
        <w:t>Sub</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Kegiatan</w:t>
      </w:r>
      <w:r w:rsidRPr="008379CA">
        <w:rPr>
          <w:rFonts w:ascii="Bookman Old Style" w:hAnsi="Bookman Old Style" w:cs="Arial"/>
          <w:sz w:val="24"/>
          <w:szCs w:val="24"/>
          <w:lang w:val="de-DE"/>
        </w:rPr>
        <w:t>:</w:t>
      </w:r>
    </w:p>
    <w:p w14:paraId="51790937" w14:textId="4946486E" w:rsidR="008E6C48" w:rsidRPr="008379CA" w:rsidRDefault="008E6C48" w:rsidP="00447E9A">
      <w:pPr>
        <w:pStyle w:val="ListParagraph"/>
        <w:numPr>
          <w:ilvl w:val="0"/>
          <w:numId w:val="106"/>
        </w:numPr>
        <w:spacing w:before="60" w:line="276" w:lineRule="auto"/>
        <w:ind w:left="1701" w:hanging="425"/>
        <w:jc w:val="both"/>
        <w:rPr>
          <w:rFonts w:ascii="Bookman Old Style" w:hAnsi="Bookman Old Style" w:cs="Arial"/>
          <w:sz w:val="24"/>
          <w:szCs w:val="24"/>
          <w:lang w:val="id-ID"/>
        </w:rPr>
      </w:pPr>
      <w:r w:rsidRPr="008379CA">
        <w:rPr>
          <w:rFonts w:ascii="Bookman Old Style" w:hAnsi="Bookman Old Style" w:cs="Arial"/>
          <w:sz w:val="24"/>
          <w:szCs w:val="24"/>
          <w:lang w:val="id-ID"/>
        </w:rPr>
        <w:t>Pembangunan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Tanggul</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Sungai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Rp28.128.318.148,00;</w:t>
      </w:r>
    </w:p>
    <w:p w14:paraId="2B6354F4" w14:textId="3E5BAE96" w:rsidR="008E6C48" w:rsidRPr="008379CA" w:rsidRDefault="008E6C48" w:rsidP="00447E9A">
      <w:pPr>
        <w:pStyle w:val="ListParagraph"/>
        <w:numPr>
          <w:ilvl w:val="0"/>
          <w:numId w:val="106"/>
        </w:numPr>
        <w:spacing w:before="60" w:line="276" w:lineRule="auto"/>
        <w:ind w:left="1701" w:hanging="425"/>
        <w:jc w:val="both"/>
        <w:rPr>
          <w:rFonts w:ascii="Bookman Old Style" w:hAnsi="Bookman Old Style" w:cs="Arial"/>
          <w:sz w:val="24"/>
          <w:szCs w:val="24"/>
          <w:lang w:val="id-ID"/>
        </w:rPr>
      </w:pPr>
      <w:r w:rsidRPr="008379CA">
        <w:rPr>
          <w:rFonts w:ascii="Bookman Old Style" w:hAnsi="Bookman Old Style" w:cs="Arial"/>
          <w:sz w:val="24"/>
          <w:szCs w:val="24"/>
          <w:lang w:val="id-ID"/>
        </w:rPr>
        <w:t>Pembangunan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Embung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Penampung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Air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Lainnya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Rp31.079.074.656,00;</w:t>
      </w:r>
    </w:p>
    <w:p w14:paraId="1CBEE38B" w14:textId="3B752104" w:rsidR="008E6C48" w:rsidRPr="008379CA" w:rsidRDefault="008E6C48" w:rsidP="00447E9A">
      <w:pPr>
        <w:pStyle w:val="ListParagraph"/>
        <w:numPr>
          <w:ilvl w:val="0"/>
          <w:numId w:val="106"/>
        </w:numPr>
        <w:spacing w:before="60" w:line="276" w:lineRule="auto"/>
        <w:ind w:left="1701" w:hanging="425"/>
        <w:jc w:val="both"/>
        <w:rPr>
          <w:rFonts w:ascii="Bookman Old Style" w:hAnsi="Bookman Old Style" w:cs="Arial"/>
          <w:sz w:val="24"/>
          <w:szCs w:val="24"/>
          <w:lang w:val="id-ID"/>
        </w:rPr>
      </w:pPr>
      <w:r w:rsidRPr="008379CA">
        <w:rPr>
          <w:rFonts w:ascii="Bookman Old Style" w:hAnsi="Bookman Old Style" w:cs="Arial"/>
          <w:sz w:val="24"/>
          <w:szCs w:val="24"/>
          <w:lang w:val="id-ID"/>
        </w:rPr>
        <w:t>Pembangunan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Polder/Kolam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Retensi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Rp25.373.452.315,00;</w:t>
      </w:r>
    </w:p>
    <w:p w14:paraId="622C093C" w14:textId="046C3755" w:rsidR="008E6C48" w:rsidRPr="008379CA" w:rsidRDefault="008E6C48" w:rsidP="00447E9A">
      <w:pPr>
        <w:pStyle w:val="ListParagraph"/>
        <w:numPr>
          <w:ilvl w:val="0"/>
          <w:numId w:val="106"/>
        </w:numPr>
        <w:spacing w:before="60" w:line="276" w:lineRule="auto"/>
        <w:ind w:left="1701" w:hanging="425"/>
        <w:jc w:val="both"/>
        <w:rPr>
          <w:rFonts w:ascii="Bookman Old Style" w:hAnsi="Bookman Old Style" w:cs="Arial"/>
          <w:sz w:val="24"/>
          <w:szCs w:val="24"/>
          <w:lang w:val="id-ID"/>
        </w:rPr>
      </w:pPr>
      <w:r w:rsidRPr="008379CA">
        <w:rPr>
          <w:rFonts w:ascii="Bookman Old Style" w:hAnsi="Bookman Old Style" w:cs="Arial"/>
          <w:sz w:val="24"/>
          <w:szCs w:val="24"/>
          <w:lang w:val="id-ID"/>
        </w:rPr>
        <w:t>Peningkatan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Sistem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Drainase</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Lingkungan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Rp93.277.955.000,00;</w:t>
      </w:r>
    </w:p>
    <w:p w14:paraId="4E6B3669" w14:textId="4D597FC5" w:rsidR="008E6C48" w:rsidRPr="008379CA" w:rsidRDefault="008E6C48" w:rsidP="00447E9A">
      <w:pPr>
        <w:pStyle w:val="ListParagraph"/>
        <w:numPr>
          <w:ilvl w:val="0"/>
          <w:numId w:val="106"/>
        </w:numPr>
        <w:spacing w:before="60" w:line="276" w:lineRule="auto"/>
        <w:ind w:left="1701" w:hanging="425"/>
        <w:jc w:val="both"/>
        <w:rPr>
          <w:rFonts w:ascii="Bookman Old Style" w:hAnsi="Bookman Old Style" w:cs="Arial"/>
          <w:sz w:val="24"/>
          <w:szCs w:val="24"/>
          <w:lang w:val="id-ID"/>
        </w:rPr>
      </w:pPr>
      <w:r w:rsidRPr="008379CA">
        <w:rPr>
          <w:rFonts w:ascii="Bookman Old Style" w:hAnsi="Bookman Old Style" w:cs="Arial"/>
          <w:sz w:val="24"/>
          <w:szCs w:val="24"/>
          <w:lang w:val="id-ID"/>
        </w:rPr>
        <w:t>Pembangunan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Jalan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Rp27.345.834.000,00;</w:t>
      </w:r>
    </w:p>
    <w:p w14:paraId="02133E67" w14:textId="61363587" w:rsidR="008E6C48" w:rsidRPr="008379CA" w:rsidRDefault="008E6C48" w:rsidP="00447E9A">
      <w:pPr>
        <w:pStyle w:val="ListParagraph"/>
        <w:numPr>
          <w:ilvl w:val="0"/>
          <w:numId w:val="106"/>
        </w:numPr>
        <w:spacing w:before="60" w:line="276" w:lineRule="auto"/>
        <w:ind w:left="1701" w:hanging="425"/>
        <w:jc w:val="both"/>
        <w:rPr>
          <w:rFonts w:ascii="Bookman Old Style" w:hAnsi="Bookman Old Style" w:cs="Arial"/>
          <w:sz w:val="24"/>
          <w:szCs w:val="24"/>
          <w:lang w:val="id-ID"/>
        </w:rPr>
      </w:pPr>
      <w:r w:rsidRPr="008379CA">
        <w:rPr>
          <w:rFonts w:ascii="Bookman Old Style" w:hAnsi="Bookman Old Style" w:cs="Arial"/>
          <w:sz w:val="24"/>
          <w:szCs w:val="24"/>
          <w:lang w:val="id-ID"/>
        </w:rPr>
        <w:t>Rekonstruksi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Jalan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Rp58.612.583.200,00;</w:t>
      </w:r>
    </w:p>
    <w:p w14:paraId="374DAA3E" w14:textId="16B50C85" w:rsidR="008E6C48" w:rsidRPr="008379CA" w:rsidRDefault="008E6C48" w:rsidP="00447E9A">
      <w:pPr>
        <w:pStyle w:val="ListParagraph"/>
        <w:numPr>
          <w:ilvl w:val="0"/>
          <w:numId w:val="106"/>
        </w:numPr>
        <w:spacing w:before="60" w:line="276" w:lineRule="auto"/>
        <w:ind w:left="1701" w:hanging="425"/>
        <w:jc w:val="both"/>
        <w:rPr>
          <w:rFonts w:ascii="Bookman Old Style" w:hAnsi="Bookman Old Style" w:cs="Arial"/>
          <w:sz w:val="24"/>
          <w:szCs w:val="24"/>
          <w:lang w:val="id-ID"/>
        </w:rPr>
      </w:pPr>
      <w:r w:rsidRPr="008379CA">
        <w:rPr>
          <w:rFonts w:ascii="Bookman Old Style" w:hAnsi="Bookman Old Style" w:cs="Arial"/>
          <w:sz w:val="24"/>
          <w:szCs w:val="24"/>
          <w:lang w:val="id-ID"/>
        </w:rPr>
        <w:t>Rehabilitasi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Jalan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Rp35.000.000.000,00;</w:t>
      </w:r>
    </w:p>
    <w:p w14:paraId="3988E88A" w14:textId="52871486" w:rsidR="008E6C48" w:rsidRPr="008379CA" w:rsidRDefault="008E6C48" w:rsidP="00447E9A">
      <w:pPr>
        <w:pStyle w:val="ListParagraph"/>
        <w:numPr>
          <w:ilvl w:val="0"/>
          <w:numId w:val="106"/>
        </w:numPr>
        <w:spacing w:before="60" w:line="276" w:lineRule="auto"/>
        <w:ind w:left="1701" w:hanging="425"/>
        <w:jc w:val="both"/>
        <w:rPr>
          <w:rFonts w:ascii="Bookman Old Style" w:hAnsi="Bookman Old Style" w:cs="Arial"/>
          <w:sz w:val="24"/>
          <w:szCs w:val="24"/>
          <w:lang w:val="id-ID"/>
        </w:rPr>
      </w:pPr>
      <w:r w:rsidRPr="008379CA">
        <w:rPr>
          <w:rFonts w:ascii="Bookman Old Style" w:hAnsi="Bookman Old Style" w:cs="Arial"/>
          <w:sz w:val="24"/>
          <w:szCs w:val="24"/>
          <w:lang w:val="id-ID"/>
        </w:rPr>
        <w:t>Pemeliharaan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Rutin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Jalan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Rp49.919.429.448,00;</w:t>
      </w:r>
    </w:p>
    <w:p w14:paraId="544DC2B5" w14:textId="49E7C75D" w:rsidR="008E6C48" w:rsidRPr="008379CA" w:rsidRDefault="008E6C48" w:rsidP="00447E9A">
      <w:pPr>
        <w:pStyle w:val="ListParagraph"/>
        <w:numPr>
          <w:ilvl w:val="0"/>
          <w:numId w:val="106"/>
        </w:numPr>
        <w:spacing w:before="60" w:line="276" w:lineRule="auto"/>
        <w:ind w:left="1701" w:hanging="425"/>
        <w:jc w:val="both"/>
        <w:rPr>
          <w:rFonts w:ascii="Bookman Old Style" w:hAnsi="Bookman Old Style" w:cs="Arial"/>
          <w:sz w:val="24"/>
          <w:szCs w:val="24"/>
          <w:lang w:val="id-ID"/>
        </w:rPr>
      </w:pPr>
      <w:r w:rsidRPr="008379CA">
        <w:rPr>
          <w:rFonts w:ascii="Bookman Old Style" w:hAnsi="Bookman Old Style" w:cs="Arial"/>
          <w:sz w:val="24"/>
          <w:szCs w:val="24"/>
          <w:lang w:val="id-ID"/>
        </w:rPr>
        <w:t>Koordinasi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Sinkronisasi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Penyelesaian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Masalah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Ganti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Kerugian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Santunan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Tanah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untuk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Pembangunan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oleh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Pemerintah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Daerah</w:t>
      </w:r>
      <w:r w:rsidR="00A954D0" w:rsidRPr="008379CA">
        <w:rPr>
          <w:rFonts w:ascii="Bookman Old Style" w:hAnsi="Bookman Old Style" w:cs="Arial"/>
          <w:sz w:val="24"/>
          <w:szCs w:val="24"/>
          <w:lang w:val="id-ID"/>
        </w:rPr>
        <w:t xml:space="preserve"> </w:t>
      </w:r>
      <w:r w:rsidR="00172E1C" w:rsidRPr="008379CA">
        <w:rPr>
          <w:rFonts w:ascii="Bookman Old Style" w:hAnsi="Bookman Old Style" w:cs="Arial"/>
          <w:sz w:val="24"/>
          <w:szCs w:val="24"/>
          <w:lang w:val="id-ID"/>
        </w:rPr>
        <w:t>Kabupaten/Kota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Rp78.836.615.043,00;</w:t>
      </w:r>
    </w:p>
    <w:p w14:paraId="46338C05" w14:textId="3412C861" w:rsidR="008E6C48" w:rsidRPr="008379CA" w:rsidRDefault="008E6C48" w:rsidP="00447E9A">
      <w:pPr>
        <w:pStyle w:val="ListParagraph"/>
        <w:numPr>
          <w:ilvl w:val="0"/>
          <w:numId w:val="106"/>
        </w:numPr>
        <w:spacing w:before="60" w:line="276" w:lineRule="auto"/>
        <w:ind w:left="1701" w:hanging="425"/>
        <w:jc w:val="both"/>
        <w:rPr>
          <w:rFonts w:ascii="Bookman Old Style" w:hAnsi="Bookman Old Style" w:cs="Arial"/>
          <w:sz w:val="24"/>
          <w:szCs w:val="24"/>
          <w:lang w:val="id-ID"/>
        </w:rPr>
      </w:pPr>
      <w:r w:rsidRPr="008379CA">
        <w:rPr>
          <w:rFonts w:ascii="Bookman Old Style" w:hAnsi="Bookman Old Style" w:cs="Arial"/>
          <w:sz w:val="24"/>
          <w:szCs w:val="24"/>
          <w:lang w:val="id-ID"/>
        </w:rPr>
        <w:t>Operasi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Pemeliharaan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Sistem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Pengelolaan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Air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Limbah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Domestik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(SPALD)</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Rp20.976.916.690,00;</w:t>
      </w:r>
    </w:p>
    <w:p w14:paraId="428F75BB" w14:textId="26FAA04A" w:rsidR="008E6C48" w:rsidRPr="008379CA" w:rsidRDefault="008E6C48" w:rsidP="00447E9A">
      <w:pPr>
        <w:pStyle w:val="ListParagraph"/>
        <w:numPr>
          <w:ilvl w:val="0"/>
          <w:numId w:val="106"/>
        </w:numPr>
        <w:spacing w:before="60" w:line="276" w:lineRule="auto"/>
        <w:ind w:left="1701" w:hanging="425"/>
        <w:jc w:val="both"/>
        <w:rPr>
          <w:rFonts w:ascii="Bookman Old Style" w:hAnsi="Bookman Old Style" w:cs="Arial"/>
          <w:sz w:val="24"/>
          <w:szCs w:val="24"/>
          <w:lang w:val="id-ID"/>
        </w:rPr>
      </w:pPr>
      <w:r w:rsidRPr="008379CA">
        <w:rPr>
          <w:rFonts w:ascii="Bookman Old Style" w:hAnsi="Bookman Old Style" w:cs="Arial"/>
          <w:sz w:val="24"/>
          <w:szCs w:val="24"/>
          <w:lang w:val="id-ID"/>
        </w:rPr>
        <w:t>Pengubahsuaian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Bangunan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Gedung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untuk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Kepentingan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Strategis</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Daerah</w:t>
      </w:r>
      <w:r w:rsidR="00A954D0" w:rsidRPr="008379CA">
        <w:rPr>
          <w:rFonts w:ascii="Bookman Old Style" w:hAnsi="Bookman Old Style" w:cs="Arial"/>
          <w:sz w:val="24"/>
          <w:szCs w:val="24"/>
          <w:lang w:val="id-ID"/>
        </w:rPr>
        <w:t xml:space="preserve"> </w:t>
      </w:r>
      <w:r w:rsidR="00172E1C" w:rsidRPr="008379CA">
        <w:rPr>
          <w:rFonts w:ascii="Bookman Old Style" w:hAnsi="Bookman Old Style" w:cs="Arial"/>
          <w:sz w:val="24"/>
          <w:szCs w:val="24"/>
          <w:lang w:val="id-ID"/>
        </w:rPr>
        <w:t>Kabupaten/Kota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Rp35.870.929.260,00;</w:t>
      </w:r>
    </w:p>
    <w:p w14:paraId="14A45F94" w14:textId="23BCEA20" w:rsidR="008E6C48" w:rsidRPr="008379CA" w:rsidRDefault="008E6C48" w:rsidP="00447E9A">
      <w:pPr>
        <w:pStyle w:val="ListParagraph"/>
        <w:numPr>
          <w:ilvl w:val="0"/>
          <w:numId w:val="106"/>
        </w:numPr>
        <w:spacing w:before="60" w:line="276" w:lineRule="auto"/>
        <w:ind w:left="1701" w:hanging="425"/>
        <w:jc w:val="both"/>
        <w:rPr>
          <w:rFonts w:ascii="Bookman Old Style" w:hAnsi="Bookman Old Style" w:cs="Arial"/>
          <w:sz w:val="24"/>
          <w:szCs w:val="24"/>
          <w:lang w:val="id-ID"/>
        </w:rPr>
      </w:pPr>
      <w:r w:rsidRPr="008379CA">
        <w:rPr>
          <w:rFonts w:ascii="Bookman Old Style" w:hAnsi="Bookman Old Style" w:cs="Arial"/>
          <w:sz w:val="24"/>
          <w:szCs w:val="24"/>
          <w:lang w:val="id-ID"/>
        </w:rPr>
        <w:t>Pembangunan,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Pemanfaatan,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Pelestariaan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Pembongkaran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Bangunan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Gedung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untuk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Kepentingan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Strategis</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Daerah</w:t>
      </w:r>
      <w:r w:rsidR="00A954D0" w:rsidRPr="008379CA">
        <w:rPr>
          <w:rFonts w:ascii="Bookman Old Style" w:hAnsi="Bookman Old Style" w:cs="Arial"/>
          <w:sz w:val="24"/>
          <w:szCs w:val="24"/>
          <w:lang w:val="id-ID"/>
        </w:rPr>
        <w:t xml:space="preserve"> </w:t>
      </w:r>
      <w:r w:rsidR="00172E1C" w:rsidRPr="008379CA">
        <w:rPr>
          <w:rFonts w:ascii="Bookman Old Style" w:hAnsi="Bookman Old Style" w:cs="Arial"/>
          <w:sz w:val="24"/>
          <w:szCs w:val="24"/>
          <w:lang w:val="id-ID"/>
        </w:rPr>
        <w:t>Kabupaten/Kota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Rp116.300.013.400,00;</w:t>
      </w:r>
    </w:p>
    <w:p w14:paraId="00F35FAD" w14:textId="14B52BE3" w:rsidR="008E6C48" w:rsidRPr="008379CA" w:rsidRDefault="008E6C48" w:rsidP="00447E9A">
      <w:pPr>
        <w:pStyle w:val="ListParagraph"/>
        <w:numPr>
          <w:ilvl w:val="0"/>
          <w:numId w:val="106"/>
        </w:numPr>
        <w:spacing w:before="60" w:line="276" w:lineRule="auto"/>
        <w:ind w:left="1701" w:hanging="425"/>
        <w:jc w:val="both"/>
        <w:rPr>
          <w:rFonts w:ascii="Bookman Old Style" w:hAnsi="Bookman Old Style" w:cs="Arial"/>
          <w:sz w:val="24"/>
          <w:szCs w:val="24"/>
          <w:lang w:val="id-ID"/>
        </w:rPr>
      </w:pPr>
      <w:r w:rsidRPr="008379CA">
        <w:rPr>
          <w:rFonts w:ascii="Bookman Old Style" w:hAnsi="Bookman Old Style" w:cs="Arial"/>
          <w:sz w:val="24"/>
          <w:szCs w:val="24"/>
          <w:lang w:val="id-ID"/>
        </w:rPr>
        <w:t>Perbaikan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Rumah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Tidak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Layak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Huni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Rp30.846.733.908,00;</w:t>
      </w:r>
    </w:p>
    <w:p w14:paraId="13AA1816" w14:textId="2156EFF9" w:rsidR="008E6C48" w:rsidRPr="008379CA" w:rsidRDefault="008E6C48" w:rsidP="00447E9A">
      <w:pPr>
        <w:pStyle w:val="ListParagraph"/>
        <w:numPr>
          <w:ilvl w:val="0"/>
          <w:numId w:val="106"/>
        </w:numPr>
        <w:spacing w:before="60" w:line="276" w:lineRule="auto"/>
        <w:ind w:left="1701" w:hanging="425"/>
        <w:jc w:val="both"/>
        <w:rPr>
          <w:rFonts w:ascii="Bookman Old Style" w:hAnsi="Bookman Old Style" w:cs="Arial"/>
          <w:sz w:val="24"/>
          <w:szCs w:val="24"/>
          <w:lang w:val="id-ID"/>
        </w:rPr>
      </w:pPr>
      <w:r w:rsidRPr="008379CA">
        <w:rPr>
          <w:rFonts w:ascii="Bookman Old Style" w:hAnsi="Bookman Old Style" w:cs="Arial"/>
          <w:sz w:val="24"/>
          <w:szCs w:val="24"/>
          <w:lang w:val="id-ID"/>
        </w:rPr>
        <w:t>Penanganan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sampah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melalui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pemrosesan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akhir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sampah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TPA/TPST</w:t>
      </w:r>
      <w:r w:rsidR="00A954D0" w:rsidRPr="008379CA">
        <w:rPr>
          <w:rFonts w:ascii="Bookman Old Style" w:hAnsi="Bookman Old Style" w:cs="Arial"/>
          <w:sz w:val="24"/>
          <w:szCs w:val="24"/>
          <w:lang w:val="id-ID"/>
        </w:rPr>
        <w:t xml:space="preserve"> </w:t>
      </w:r>
      <w:r w:rsidR="00172E1C" w:rsidRPr="008379CA">
        <w:rPr>
          <w:rFonts w:ascii="Bookman Old Style" w:hAnsi="Bookman Old Style" w:cs="Arial"/>
          <w:sz w:val="24"/>
          <w:szCs w:val="24"/>
          <w:lang w:val="id-ID"/>
        </w:rPr>
        <w:t>Kabupaten/Kota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atau</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TPA/TPST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Regional</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Rp54.603.867.360,00;</w:t>
      </w:r>
    </w:p>
    <w:p w14:paraId="7F6ACC38" w14:textId="367637A7" w:rsidR="008E6C48" w:rsidRPr="008379CA" w:rsidRDefault="008E6C48" w:rsidP="00447E9A">
      <w:pPr>
        <w:pStyle w:val="ListParagraph"/>
        <w:numPr>
          <w:ilvl w:val="0"/>
          <w:numId w:val="106"/>
        </w:numPr>
        <w:spacing w:before="60" w:line="276" w:lineRule="auto"/>
        <w:ind w:left="1701" w:hanging="425"/>
        <w:jc w:val="both"/>
        <w:rPr>
          <w:rFonts w:ascii="Bookman Old Style" w:hAnsi="Bookman Old Style" w:cs="Arial"/>
          <w:sz w:val="24"/>
          <w:szCs w:val="24"/>
          <w:lang w:val="id-ID"/>
        </w:rPr>
      </w:pPr>
      <w:r w:rsidRPr="008379CA">
        <w:rPr>
          <w:rFonts w:ascii="Bookman Old Style" w:hAnsi="Bookman Old Style" w:cs="Arial"/>
          <w:sz w:val="24"/>
          <w:szCs w:val="24"/>
          <w:lang w:val="id-ID"/>
        </w:rPr>
        <w:lastRenderedPageBreak/>
        <w:t>Penyediaan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prasarana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sarana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olahraga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rekreasi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melalui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perencanaan,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pengadaan,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pemanfaatan,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pemeliharaan,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pengembangan,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pengawasan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Rp32.589.471.427,00;</w:t>
      </w:r>
    </w:p>
    <w:p w14:paraId="3F298FF2" w14:textId="39141A9B" w:rsidR="008E6C48" w:rsidRPr="008379CA" w:rsidRDefault="008E6C48" w:rsidP="00447E9A">
      <w:pPr>
        <w:pStyle w:val="ListParagraph"/>
        <w:numPr>
          <w:ilvl w:val="0"/>
          <w:numId w:val="106"/>
        </w:numPr>
        <w:spacing w:before="60" w:line="276" w:lineRule="auto"/>
        <w:ind w:left="1701" w:hanging="425"/>
        <w:jc w:val="both"/>
        <w:rPr>
          <w:rFonts w:ascii="Bookman Old Style" w:hAnsi="Bookman Old Style" w:cs="Arial"/>
          <w:sz w:val="24"/>
          <w:szCs w:val="24"/>
          <w:lang w:val="id-ID"/>
        </w:rPr>
      </w:pPr>
      <w:r w:rsidRPr="008379CA">
        <w:rPr>
          <w:rFonts w:ascii="Bookman Old Style" w:hAnsi="Bookman Old Style" w:cs="Arial"/>
          <w:sz w:val="24"/>
          <w:szCs w:val="24"/>
          <w:lang w:val="id-ID"/>
        </w:rPr>
        <w:t>Pengembangan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Destinasi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Pariwisata</w:t>
      </w:r>
      <w:r w:rsidR="00A954D0" w:rsidRPr="008379CA">
        <w:rPr>
          <w:rFonts w:ascii="Bookman Old Style" w:hAnsi="Bookman Old Style" w:cs="Arial"/>
          <w:sz w:val="24"/>
          <w:szCs w:val="24"/>
          <w:lang w:val="id-ID"/>
        </w:rPr>
        <w:t xml:space="preserve"> </w:t>
      </w:r>
      <w:r w:rsidR="00172E1C" w:rsidRPr="008379CA">
        <w:rPr>
          <w:rFonts w:ascii="Bookman Old Style" w:hAnsi="Bookman Old Style" w:cs="Arial"/>
          <w:sz w:val="24"/>
          <w:szCs w:val="24"/>
          <w:lang w:val="id-ID"/>
        </w:rPr>
        <w:t>Kabupaten/Kota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Rp25.167.041.180,00.</w:t>
      </w:r>
    </w:p>
    <w:p w14:paraId="38840211" w14:textId="0A530E53" w:rsidR="008E6C48" w:rsidRPr="008379CA" w:rsidRDefault="008E6C48" w:rsidP="00447E9A">
      <w:pPr>
        <w:pStyle w:val="ListParagraph"/>
        <w:spacing w:before="60" w:after="0" w:line="276" w:lineRule="auto"/>
        <w:ind w:left="1276"/>
        <w:contextualSpacing w:val="0"/>
        <w:jc w:val="both"/>
        <w:rPr>
          <w:rFonts w:ascii="Bookman Old Style" w:hAnsi="Bookman Old Style"/>
          <w:sz w:val="24"/>
          <w:szCs w:val="24"/>
          <w:lang w:val="id-ID"/>
        </w:rPr>
      </w:pPr>
      <w:r w:rsidRPr="008379CA">
        <w:rPr>
          <w:rFonts w:ascii="Bookman Old Style" w:hAnsi="Bookman Old Style"/>
          <w:sz w:val="24"/>
          <w:szCs w:val="24"/>
        </w:rPr>
        <w:t>Sehubungan</w:t>
      </w:r>
      <w:r w:rsidR="00A954D0" w:rsidRPr="008379CA">
        <w:rPr>
          <w:rFonts w:ascii="Bookman Old Style" w:hAnsi="Bookman Old Style"/>
          <w:sz w:val="24"/>
          <w:szCs w:val="24"/>
        </w:rPr>
        <w:t xml:space="preserve"> </w:t>
      </w:r>
      <w:r w:rsidRPr="008379CA">
        <w:rPr>
          <w:rFonts w:ascii="Bookman Old Style" w:hAnsi="Bookman Old Style"/>
          <w:sz w:val="24"/>
          <w:szCs w:val="24"/>
        </w:rPr>
        <w:t>hal</w:t>
      </w:r>
      <w:r w:rsidR="00A954D0" w:rsidRPr="008379CA">
        <w:rPr>
          <w:rFonts w:ascii="Bookman Old Style" w:hAnsi="Bookman Old Style"/>
          <w:sz w:val="24"/>
          <w:szCs w:val="24"/>
        </w:rPr>
        <w:t xml:space="preserve"> </w:t>
      </w:r>
      <w:r w:rsidRPr="008379CA">
        <w:rPr>
          <w:rFonts w:ascii="Bookman Old Style" w:hAnsi="Bookman Old Style"/>
          <w:sz w:val="24"/>
          <w:szCs w:val="24"/>
        </w:rPr>
        <w:t>tersebut,</w:t>
      </w:r>
      <w:r w:rsidR="00A954D0" w:rsidRPr="008379CA">
        <w:rPr>
          <w:rFonts w:ascii="Bookman Old Style" w:hAnsi="Bookman Old Style"/>
          <w:sz w:val="24"/>
          <w:szCs w:val="24"/>
        </w:rPr>
        <w:t xml:space="preserve"> </w:t>
      </w:r>
      <w:r w:rsidRPr="008379CA">
        <w:rPr>
          <w:rFonts w:ascii="Bookman Old Style" w:hAnsi="Bookman Old Style"/>
          <w:sz w:val="24"/>
          <w:szCs w:val="24"/>
        </w:rPr>
        <w:t>Pemerintah</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b/>
          <w:bCs/>
          <w:sz w:val="24"/>
          <w:szCs w:val="24"/>
          <w:lang w:val="id-ID"/>
        </w:rPr>
        <w:t>belum</w:t>
      </w:r>
      <w:r w:rsidR="00A954D0" w:rsidRPr="008379CA">
        <w:rPr>
          <w:rFonts w:ascii="Bookman Old Style" w:hAnsi="Bookman Old Style"/>
          <w:b/>
          <w:bCs/>
          <w:sz w:val="24"/>
          <w:szCs w:val="24"/>
          <w:lang w:val="id-ID"/>
        </w:rPr>
        <w:t xml:space="preserve"> </w:t>
      </w:r>
      <w:r w:rsidRPr="008379CA">
        <w:rPr>
          <w:rFonts w:ascii="Bookman Old Style" w:hAnsi="Bookman Old Style"/>
          <w:b/>
          <w:bCs/>
          <w:sz w:val="24"/>
          <w:szCs w:val="24"/>
          <w:lang w:val="id-ID"/>
        </w:rPr>
        <w:t>memenuhi</w:t>
      </w:r>
      <w:r w:rsidR="00A954D0" w:rsidRPr="008379CA">
        <w:rPr>
          <w:rFonts w:ascii="Bookman Old Style" w:hAnsi="Bookman Old Style"/>
          <w:sz w:val="24"/>
          <w:szCs w:val="24"/>
        </w:rPr>
        <w:t xml:space="preserve"> </w:t>
      </w:r>
      <w:r w:rsidRPr="008379CA">
        <w:rPr>
          <w:rFonts w:ascii="Bookman Old Style" w:hAnsi="Bookman Old Style"/>
          <w:sz w:val="24"/>
          <w:szCs w:val="24"/>
        </w:rPr>
        <w:t>alokasi</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Belanja</w:t>
      </w:r>
      <w:r w:rsidR="00A954D0" w:rsidRPr="008379CA">
        <w:rPr>
          <w:rFonts w:ascii="Bookman Old Style" w:hAnsi="Bookman Old Style"/>
          <w:sz w:val="24"/>
          <w:szCs w:val="24"/>
        </w:rPr>
        <w:t xml:space="preserve"> </w:t>
      </w:r>
      <w:r w:rsidRPr="008379CA">
        <w:rPr>
          <w:rFonts w:ascii="Bookman Old Style" w:hAnsi="Bookman Old Style"/>
          <w:sz w:val="24"/>
          <w:szCs w:val="24"/>
        </w:rPr>
        <w:t>Infrastruktur</w:t>
      </w:r>
      <w:r w:rsidR="00A954D0" w:rsidRPr="008379CA">
        <w:rPr>
          <w:rFonts w:ascii="Bookman Old Style" w:hAnsi="Bookman Old Style"/>
          <w:sz w:val="24"/>
          <w:szCs w:val="24"/>
        </w:rPr>
        <w:t xml:space="preserve"> </w:t>
      </w:r>
      <w:r w:rsidRPr="008379CA">
        <w:rPr>
          <w:rFonts w:ascii="Bookman Old Style" w:hAnsi="Bookman Old Style"/>
          <w:sz w:val="24"/>
          <w:szCs w:val="24"/>
        </w:rPr>
        <w:t>Pelayanan</w:t>
      </w:r>
      <w:r w:rsidR="00A954D0" w:rsidRPr="008379CA">
        <w:rPr>
          <w:rFonts w:ascii="Bookman Old Style" w:hAnsi="Bookman Old Style"/>
          <w:sz w:val="24"/>
          <w:szCs w:val="24"/>
        </w:rPr>
        <w:t xml:space="preserve"> </w:t>
      </w:r>
      <w:r w:rsidRPr="008379CA">
        <w:rPr>
          <w:rFonts w:ascii="Bookman Old Style" w:hAnsi="Bookman Old Style"/>
          <w:sz w:val="24"/>
          <w:szCs w:val="24"/>
        </w:rPr>
        <w:t>Publik</w:t>
      </w:r>
      <w:r w:rsidR="00A954D0" w:rsidRPr="008379CA">
        <w:rPr>
          <w:rFonts w:ascii="Bookman Old Style" w:hAnsi="Bookman Old Style"/>
          <w:sz w:val="24"/>
          <w:szCs w:val="24"/>
        </w:rPr>
        <w:t xml:space="preserve"> </w:t>
      </w:r>
      <w:r w:rsidRPr="008379CA">
        <w:rPr>
          <w:rFonts w:ascii="Bookman Old Style" w:hAnsi="Bookman Old Style"/>
          <w:sz w:val="24"/>
          <w:szCs w:val="24"/>
        </w:rPr>
        <w:t>paling</w:t>
      </w:r>
      <w:r w:rsidR="00A954D0" w:rsidRPr="008379CA">
        <w:rPr>
          <w:rFonts w:ascii="Bookman Old Style" w:hAnsi="Bookman Old Style"/>
          <w:sz w:val="24"/>
          <w:szCs w:val="24"/>
        </w:rPr>
        <w:t xml:space="preserve"> </w:t>
      </w:r>
      <w:r w:rsidRPr="008379CA">
        <w:rPr>
          <w:rFonts w:ascii="Bookman Old Style" w:hAnsi="Bookman Old Style"/>
          <w:sz w:val="24"/>
          <w:szCs w:val="24"/>
        </w:rPr>
        <w:t>rendah</w:t>
      </w:r>
      <w:r w:rsidR="00A954D0" w:rsidRPr="008379CA">
        <w:rPr>
          <w:rFonts w:ascii="Bookman Old Style" w:hAnsi="Bookman Old Style"/>
          <w:sz w:val="24"/>
          <w:szCs w:val="24"/>
        </w:rPr>
        <w:t xml:space="preserve"> </w:t>
      </w:r>
      <w:r w:rsidRPr="008379CA">
        <w:rPr>
          <w:rFonts w:ascii="Bookman Old Style" w:hAnsi="Bookman Old Style"/>
          <w:sz w:val="24"/>
          <w:szCs w:val="24"/>
        </w:rPr>
        <w:t>40%</w:t>
      </w:r>
      <w:r w:rsidR="00A954D0" w:rsidRPr="008379CA">
        <w:rPr>
          <w:rFonts w:ascii="Bookman Old Style" w:hAnsi="Bookman Old Style"/>
          <w:sz w:val="24"/>
          <w:szCs w:val="24"/>
        </w:rPr>
        <w:t xml:space="preserve"> </w:t>
      </w:r>
      <w:r w:rsidRPr="008379CA">
        <w:rPr>
          <w:rFonts w:ascii="Bookman Old Style" w:hAnsi="Bookman Old Style"/>
          <w:sz w:val="24"/>
          <w:szCs w:val="24"/>
        </w:rPr>
        <w:t>(empat</w:t>
      </w:r>
      <w:r w:rsidR="00A954D0" w:rsidRPr="008379CA">
        <w:rPr>
          <w:rFonts w:ascii="Bookman Old Style" w:hAnsi="Bookman Old Style"/>
          <w:sz w:val="24"/>
          <w:szCs w:val="24"/>
        </w:rPr>
        <w:t xml:space="preserve"> </w:t>
      </w:r>
      <w:r w:rsidRPr="008379CA">
        <w:rPr>
          <w:rFonts w:ascii="Bookman Old Style" w:hAnsi="Bookman Old Style"/>
          <w:sz w:val="24"/>
          <w:szCs w:val="24"/>
        </w:rPr>
        <w:t>puluh</w:t>
      </w:r>
      <w:r w:rsidR="00A954D0" w:rsidRPr="008379CA">
        <w:rPr>
          <w:rFonts w:ascii="Bookman Old Style" w:hAnsi="Bookman Old Style"/>
          <w:sz w:val="24"/>
          <w:szCs w:val="24"/>
        </w:rPr>
        <w:t xml:space="preserve"> </w:t>
      </w:r>
      <w:r w:rsidRPr="008379CA">
        <w:rPr>
          <w:rFonts w:ascii="Bookman Old Style" w:hAnsi="Bookman Old Style"/>
          <w:sz w:val="24"/>
          <w:szCs w:val="24"/>
        </w:rPr>
        <w:t>persen)</w:t>
      </w:r>
      <w:r w:rsidR="00A954D0" w:rsidRPr="008379CA">
        <w:rPr>
          <w:rFonts w:ascii="Bookman Old Style" w:hAnsi="Bookman Old Style"/>
          <w:sz w:val="24"/>
          <w:szCs w:val="24"/>
        </w:rPr>
        <w:t xml:space="preserve"> </w:t>
      </w:r>
      <w:r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Pr="008379CA">
        <w:rPr>
          <w:rFonts w:ascii="Bookman Old Style" w:hAnsi="Bookman Old Style"/>
          <w:sz w:val="24"/>
          <w:szCs w:val="24"/>
        </w:rPr>
        <w:t>total</w:t>
      </w:r>
      <w:r w:rsidR="00A954D0" w:rsidRPr="008379CA">
        <w:rPr>
          <w:rFonts w:ascii="Bookman Old Style" w:hAnsi="Bookman Old Style"/>
          <w:sz w:val="24"/>
          <w:szCs w:val="24"/>
        </w:rPr>
        <w:t xml:space="preserve"> </w:t>
      </w:r>
      <w:r w:rsidRPr="008379CA">
        <w:rPr>
          <w:rFonts w:ascii="Bookman Old Style" w:hAnsi="Bookman Old Style"/>
          <w:sz w:val="24"/>
          <w:szCs w:val="24"/>
        </w:rPr>
        <w:t>belanja</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di</w:t>
      </w:r>
      <w:r w:rsidR="00A954D0" w:rsidRPr="008379CA">
        <w:rPr>
          <w:rFonts w:ascii="Bookman Old Style" w:hAnsi="Bookman Old Style"/>
          <w:sz w:val="24"/>
          <w:szCs w:val="24"/>
        </w:rPr>
        <w:t xml:space="preserve"> </w:t>
      </w:r>
      <w:r w:rsidRPr="008379CA">
        <w:rPr>
          <w:rFonts w:ascii="Bookman Old Style" w:hAnsi="Bookman Old Style"/>
          <w:sz w:val="24"/>
          <w:szCs w:val="24"/>
        </w:rPr>
        <w:t>luar</w:t>
      </w:r>
      <w:r w:rsidR="00A954D0" w:rsidRPr="008379CA">
        <w:rPr>
          <w:rFonts w:ascii="Bookman Old Style" w:hAnsi="Bookman Old Style"/>
          <w:sz w:val="24"/>
          <w:szCs w:val="24"/>
        </w:rPr>
        <w:t xml:space="preserve"> </w:t>
      </w:r>
      <w:r w:rsidRPr="008379CA">
        <w:rPr>
          <w:rFonts w:ascii="Bookman Old Style" w:hAnsi="Bookman Old Style"/>
          <w:sz w:val="24"/>
          <w:szCs w:val="24"/>
        </w:rPr>
        <w:t>belanja</w:t>
      </w:r>
      <w:r w:rsidR="00A954D0" w:rsidRPr="008379CA">
        <w:rPr>
          <w:rFonts w:ascii="Bookman Old Style" w:hAnsi="Bookman Old Style"/>
          <w:sz w:val="24"/>
          <w:szCs w:val="24"/>
        </w:rPr>
        <w:t xml:space="preserve"> </w:t>
      </w:r>
      <w:r w:rsidRPr="008379CA">
        <w:rPr>
          <w:rFonts w:ascii="Bookman Old Style" w:hAnsi="Bookman Old Style"/>
          <w:sz w:val="24"/>
          <w:szCs w:val="24"/>
        </w:rPr>
        <w:t>bagi</w:t>
      </w:r>
      <w:r w:rsidR="00A954D0" w:rsidRPr="008379CA">
        <w:rPr>
          <w:rFonts w:ascii="Bookman Old Style" w:hAnsi="Bookman Old Style"/>
          <w:sz w:val="24"/>
          <w:szCs w:val="24"/>
        </w:rPr>
        <w:t xml:space="preserve"> </w:t>
      </w:r>
      <w:r w:rsidRPr="008379CA">
        <w:rPr>
          <w:rFonts w:ascii="Bookman Old Style" w:hAnsi="Bookman Old Style"/>
          <w:sz w:val="24"/>
          <w:szCs w:val="24"/>
        </w:rPr>
        <w:t>hasil</w:t>
      </w:r>
      <w:r w:rsidR="00A954D0" w:rsidRPr="008379CA">
        <w:rPr>
          <w:rFonts w:ascii="Bookman Old Style" w:hAnsi="Bookman Old Style"/>
          <w:sz w:val="24"/>
          <w:szCs w:val="24"/>
        </w:rPr>
        <w:t xml:space="preserve"> </w:t>
      </w:r>
      <w:r w:rsidRPr="008379CA">
        <w:rPr>
          <w:rFonts w:ascii="Bookman Old Style" w:hAnsi="Bookman Old Style"/>
          <w:sz w:val="24"/>
          <w:szCs w:val="24"/>
        </w:rPr>
        <w:t>dan/atau</w:t>
      </w:r>
      <w:r w:rsidR="00A954D0" w:rsidRPr="008379CA">
        <w:rPr>
          <w:rFonts w:ascii="Bookman Old Style" w:hAnsi="Bookman Old Style"/>
          <w:sz w:val="24"/>
          <w:szCs w:val="24"/>
        </w:rPr>
        <w:t xml:space="preserve"> </w:t>
      </w:r>
      <w:r w:rsidRPr="008379CA">
        <w:rPr>
          <w:rFonts w:ascii="Bookman Old Style" w:hAnsi="Bookman Old Style"/>
          <w:sz w:val="24"/>
          <w:szCs w:val="24"/>
        </w:rPr>
        <w:t>transfer</w:t>
      </w:r>
      <w:r w:rsidR="00A954D0" w:rsidRPr="008379CA">
        <w:rPr>
          <w:rFonts w:ascii="Bookman Old Style" w:hAnsi="Bookman Old Style"/>
          <w:sz w:val="24"/>
          <w:szCs w:val="24"/>
        </w:rPr>
        <w:t xml:space="preserve"> </w:t>
      </w:r>
      <w:r w:rsidRPr="008379CA">
        <w:rPr>
          <w:rFonts w:ascii="Bookman Old Style" w:hAnsi="Bookman Old Style"/>
          <w:sz w:val="24"/>
          <w:szCs w:val="24"/>
        </w:rPr>
        <w:t>kepada</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dan/atau</w:t>
      </w:r>
      <w:r w:rsidR="00A954D0" w:rsidRPr="008379CA">
        <w:rPr>
          <w:rFonts w:ascii="Bookman Old Style" w:hAnsi="Bookman Old Style"/>
          <w:sz w:val="24"/>
          <w:szCs w:val="24"/>
        </w:rPr>
        <w:t xml:space="preserve"> </w:t>
      </w:r>
      <w:r w:rsidRPr="008379CA">
        <w:rPr>
          <w:rFonts w:ascii="Bookman Old Style" w:hAnsi="Bookman Old Style"/>
          <w:sz w:val="24"/>
          <w:szCs w:val="24"/>
        </w:rPr>
        <w:t>desa</w:t>
      </w:r>
      <w:r w:rsidR="00A954D0" w:rsidRPr="008379CA">
        <w:rPr>
          <w:rFonts w:ascii="Bookman Old Style" w:hAnsi="Bookman Old Style"/>
          <w:sz w:val="24"/>
          <w:szCs w:val="24"/>
        </w:rPr>
        <w:t xml:space="preserve"> </w:t>
      </w:r>
      <w:r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Pr="008379CA">
        <w:rPr>
          <w:rFonts w:ascii="Bookman Old Style" w:hAnsi="Bookman Old Style"/>
          <w:sz w:val="24"/>
          <w:szCs w:val="24"/>
        </w:rPr>
        <w:t>Rancangan</w:t>
      </w:r>
      <w:r w:rsidR="00A954D0" w:rsidRPr="008379CA">
        <w:rPr>
          <w:rFonts w:ascii="Bookman Old Style" w:hAnsi="Bookman Old Style"/>
          <w:sz w:val="24"/>
          <w:szCs w:val="24"/>
        </w:rPr>
        <w:t xml:space="preserve"> </w:t>
      </w:r>
      <w:r w:rsidRPr="008379CA">
        <w:rPr>
          <w:rFonts w:ascii="Bookman Old Style" w:hAnsi="Bookman Old Style"/>
          <w:sz w:val="24"/>
          <w:szCs w:val="24"/>
        </w:rPr>
        <w:t>Peraturan</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sz w:val="24"/>
          <w:szCs w:val="24"/>
        </w:rPr>
        <w:t>tentang</w:t>
      </w:r>
      <w:r w:rsidR="00A954D0" w:rsidRPr="008379CA">
        <w:rPr>
          <w:rFonts w:ascii="Bookman Old Style" w:hAnsi="Bookman Old Style"/>
          <w:sz w:val="24"/>
          <w:szCs w:val="24"/>
        </w:rPr>
        <w:t xml:space="preserve"> </w:t>
      </w:r>
      <w:r w:rsidRPr="008379CA">
        <w:rPr>
          <w:rFonts w:ascii="Bookman Old Style" w:hAnsi="Bookman Old Style"/>
          <w:sz w:val="24"/>
          <w:szCs w:val="24"/>
          <w:lang w:val="id-ID"/>
        </w:rPr>
        <w:t>APBD</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Tahun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2025.</w:t>
      </w:r>
    </w:p>
    <w:p w14:paraId="3F46C685" w14:textId="05E074A8" w:rsidR="00C60127" w:rsidRPr="008379CA" w:rsidRDefault="008E6C48" w:rsidP="00447E9A">
      <w:pPr>
        <w:pStyle w:val="ListParagraph"/>
        <w:spacing w:before="60" w:after="0" w:line="276" w:lineRule="auto"/>
        <w:ind w:left="1276"/>
        <w:contextualSpacing w:val="0"/>
        <w:jc w:val="both"/>
        <w:rPr>
          <w:rFonts w:ascii="Bookman Old Style" w:hAnsi="Bookman Old Style"/>
          <w:sz w:val="24"/>
          <w:szCs w:val="24"/>
        </w:rPr>
      </w:pPr>
      <w:r w:rsidRPr="008379CA">
        <w:rPr>
          <w:rFonts w:ascii="Bookman Old Style" w:hAnsi="Bookman Old Style"/>
          <w:sz w:val="24"/>
          <w:szCs w:val="24"/>
        </w:rPr>
        <w:t>Untuk</w:t>
      </w:r>
      <w:r w:rsidR="00A954D0" w:rsidRPr="008379CA">
        <w:rPr>
          <w:rFonts w:ascii="Bookman Old Style" w:hAnsi="Bookman Old Style"/>
          <w:sz w:val="24"/>
          <w:szCs w:val="24"/>
        </w:rPr>
        <w:t xml:space="preserve"> </w:t>
      </w:r>
      <w:r w:rsidRPr="008379CA">
        <w:rPr>
          <w:rFonts w:ascii="Bookman Old Style" w:hAnsi="Bookman Old Style"/>
          <w:sz w:val="24"/>
          <w:szCs w:val="24"/>
        </w:rPr>
        <w:t>itu,</w:t>
      </w:r>
      <w:r w:rsidR="00A954D0" w:rsidRPr="008379CA">
        <w:rPr>
          <w:rFonts w:ascii="Bookman Old Style" w:hAnsi="Bookman Old Style"/>
          <w:sz w:val="24"/>
          <w:szCs w:val="24"/>
        </w:rPr>
        <w:t xml:space="preserve"> </w:t>
      </w:r>
      <w:r w:rsidRPr="008379CA">
        <w:rPr>
          <w:rFonts w:ascii="Bookman Old Style" w:hAnsi="Bookman Old Style"/>
          <w:sz w:val="24"/>
          <w:szCs w:val="24"/>
        </w:rPr>
        <w:t>Pemerintah</w:t>
      </w:r>
      <w:r w:rsidR="00A954D0" w:rsidRPr="008379CA">
        <w:rPr>
          <w:rFonts w:ascii="Bookman Old Style" w:hAnsi="Bookman Old Style"/>
          <w:sz w:val="24"/>
          <w:szCs w:val="24"/>
        </w:rPr>
        <w:t xml:space="preserve"> </w:t>
      </w:r>
      <w:r w:rsidRPr="008379CA">
        <w:rPr>
          <w:rFonts w:ascii="Bookman Old Style" w:hAnsi="Bookman Old Style"/>
          <w:sz w:val="24"/>
          <w:szCs w:val="24"/>
          <w:lang w:val="id-ID"/>
        </w:rPr>
        <w:t>Daerah</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cs="Arial"/>
          <w:sz w:val="24"/>
          <w:szCs w:val="24"/>
          <w:lang w:val="de-DE"/>
        </w:rPr>
        <w:t>harus</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id-ID"/>
        </w:rPr>
        <w:t>mengupayakan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pemenuhan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de-DE"/>
        </w:rPr>
        <w:t>alokasi</w:t>
      </w:r>
      <w:r w:rsidR="00A954D0" w:rsidRPr="008379CA">
        <w:rPr>
          <w:rFonts w:ascii="Bookman Old Style" w:hAnsi="Bookman Old Style"/>
          <w:sz w:val="24"/>
          <w:szCs w:val="24"/>
          <w:lang w:val="id-ID"/>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Belanja</w:t>
      </w:r>
      <w:r w:rsidR="00A954D0" w:rsidRPr="008379CA">
        <w:rPr>
          <w:rFonts w:ascii="Bookman Old Style" w:hAnsi="Bookman Old Style"/>
          <w:sz w:val="24"/>
          <w:szCs w:val="24"/>
        </w:rPr>
        <w:t xml:space="preserve"> </w:t>
      </w:r>
      <w:r w:rsidRPr="008379CA">
        <w:rPr>
          <w:rFonts w:ascii="Bookman Old Style" w:hAnsi="Bookman Old Style"/>
          <w:sz w:val="24"/>
          <w:szCs w:val="24"/>
        </w:rPr>
        <w:t>Infrastruktur</w:t>
      </w:r>
      <w:r w:rsidR="00A954D0" w:rsidRPr="008379CA">
        <w:rPr>
          <w:rFonts w:ascii="Bookman Old Style" w:hAnsi="Bookman Old Style"/>
          <w:sz w:val="24"/>
          <w:szCs w:val="24"/>
        </w:rPr>
        <w:t xml:space="preserve"> </w:t>
      </w:r>
      <w:r w:rsidRPr="008379CA">
        <w:rPr>
          <w:rFonts w:ascii="Bookman Old Style" w:hAnsi="Bookman Old Style"/>
          <w:sz w:val="24"/>
          <w:szCs w:val="24"/>
        </w:rPr>
        <w:t>Pelayanan</w:t>
      </w:r>
      <w:r w:rsidR="00A954D0" w:rsidRPr="008379CA">
        <w:rPr>
          <w:rFonts w:ascii="Bookman Old Style" w:hAnsi="Bookman Old Style"/>
          <w:sz w:val="24"/>
          <w:szCs w:val="24"/>
        </w:rPr>
        <w:t xml:space="preserve"> </w:t>
      </w:r>
      <w:r w:rsidRPr="008379CA">
        <w:rPr>
          <w:rFonts w:ascii="Bookman Old Style" w:hAnsi="Bookman Old Style"/>
          <w:sz w:val="24"/>
          <w:szCs w:val="24"/>
        </w:rPr>
        <w:t>Publik</w:t>
      </w:r>
      <w:r w:rsidR="00A954D0" w:rsidRPr="008379CA">
        <w:rPr>
          <w:rFonts w:ascii="Bookman Old Style" w:hAnsi="Bookman Old Style"/>
          <w:sz w:val="24"/>
          <w:szCs w:val="24"/>
        </w:rPr>
        <w:t xml:space="preserve"> </w:t>
      </w:r>
      <w:r w:rsidRPr="008379CA">
        <w:rPr>
          <w:rFonts w:ascii="Bookman Old Style" w:hAnsi="Bookman Old Style"/>
          <w:sz w:val="24"/>
          <w:szCs w:val="24"/>
        </w:rPr>
        <w:t>paling</w:t>
      </w:r>
      <w:r w:rsidR="00A954D0" w:rsidRPr="008379CA">
        <w:rPr>
          <w:rFonts w:ascii="Bookman Old Style" w:hAnsi="Bookman Old Style"/>
          <w:sz w:val="24"/>
          <w:szCs w:val="24"/>
        </w:rPr>
        <w:t xml:space="preserve"> </w:t>
      </w:r>
      <w:r w:rsidRPr="008379CA">
        <w:rPr>
          <w:rFonts w:ascii="Bookman Old Style" w:hAnsi="Bookman Old Style"/>
          <w:sz w:val="24"/>
          <w:szCs w:val="24"/>
        </w:rPr>
        <w:t>rendah</w:t>
      </w:r>
      <w:r w:rsidR="00A954D0" w:rsidRPr="008379CA">
        <w:rPr>
          <w:rFonts w:ascii="Bookman Old Style" w:hAnsi="Bookman Old Style"/>
          <w:sz w:val="24"/>
          <w:szCs w:val="24"/>
        </w:rPr>
        <w:t xml:space="preserve"> </w:t>
      </w:r>
      <w:r w:rsidRPr="008379CA">
        <w:rPr>
          <w:rFonts w:ascii="Bookman Old Style" w:hAnsi="Bookman Old Style"/>
          <w:sz w:val="24"/>
          <w:szCs w:val="24"/>
        </w:rPr>
        <w:t>40%</w:t>
      </w:r>
      <w:r w:rsidR="00A954D0" w:rsidRPr="008379CA">
        <w:rPr>
          <w:rFonts w:ascii="Bookman Old Style" w:hAnsi="Bookman Old Style"/>
          <w:sz w:val="24"/>
          <w:szCs w:val="24"/>
        </w:rPr>
        <w:t xml:space="preserve"> </w:t>
      </w:r>
      <w:r w:rsidRPr="008379CA">
        <w:rPr>
          <w:rFonts w:ascii="Bookman Old Style" w:hAnsi="Bookman Old Style"/>
          <w:sz w:val="24"/>
          <w:szCs w:val="24"/>
        </w:rPr>
        <w:t>(empat</w:t>
      </w:r>
      <w:r w:rsidR="00A954D0" w:rsidRPr="008379CA">
        <w:rPr>
          <w:rFonts w:ascii="Bookman Old Style" w:hAnsi="Bookman Old Style"/>
          <w:sz w:val="24"/>
          <w:szCs w:val="24"/>
        </w:rPr>
        <w:t xml:space="preserve"> </w:t>
      </w:r>
      <w:r w:rsidRPr="008379CA">
        <w:rPr>
          <w:rFonts w:ascii="Bookman Old Style" w:hAnsi="Bookman Old Style"/>
          <w:sz w:val="24"/>
          <w:szCs w:val="24"/>
        </w:rPr>
        <w:t>puluh</w:t>
      </w:r>
      <w:r w:rsidR="00A954D0" w:rsidRPr="008379CA">
        <w:rPr>
          <w:rFonts w:ascii="Bookman Old Style" w:hAnsi="Bookman Old Style"/>
          <w:sz w:val="24"/>
          <w:szCs w:val="24"/>
        </w:rPr>
        <w:t xml:space="preserve"> </w:t>
      </w:r>
      <w:r w:rsidRPr="008379CA">
        <w:rPr>
          <w:rFonts w:ascii="Bookman Old Style" w:hAnsi="Bookman Old Style"/>
          <w:sz w:val="24"/>
          <w:szCs w:val="24"/>
        </w:rPr>
        <w:t>persen)</w:t>
      </w:r>
      <w:r w:rsidR="00A954D0" w:rsidRPr="008379CA">
        <w:rPr>
          <w:rFonts w:ascii="Bookman Old Style" w:hAnsi="Bookman Old Style"/>
          <w:sz w:val="24"/>
          <w:szCs w:val="24"/>
        </w:rPr>
        <w:t xml:space="preserve"> </w:t>
      </w:r>
      <w:r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Pr="008379CA">
        <w:rPr>
          <w:rFonts w:ascii="Bookman Old Style" w:hAnsi="Bookman Old Style"/>
          <w:sz w:val="24"/>
          <w:szCs w:val="24"/>
        </w:rPr>
        <w:t>total</w:t>
      </w:r>
      <w:r w:rsidR="00A954D0" w:rsidRPr="008379CA">
        <w:rPr>
          <w:rFonts w:ascii="Bookman Old Style" w:hAnsi="Bookman Old Style"/>
          <w:sz w:val="24"/>
          <w:szCs w:val="24"/>
        </w:rPr>
        <w:t xml:space="preserve"> </w:t>
      </w:r>
      <w:r w:rsidRPr="008379CA">
        <w:rPr>
          <w:rFonts w:ascii="Bookman Old Style" w:hAnsi="Bookman Old Style"/>
          <w:sz w:val="24"/>
          <w:szCs w:val="24"/>
        </w:rPr>
        <w:t>belanja</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di</w:t>
      </w:r>
      <w:r w:rsidR="00A954D0" w:rsidRPr="008379CA">
        <w:rPr>
          <w:rFonts w:ascii="Bookman Old Style" w:hAnsi="Bookman Old Style"/>
          <w:sz w:val="24"/>
          <w:szCs w:val="24"/>
        </w:rPr>
        <w:t xml:space="preserve"> </w:t>
      </w:r>
      <w:r w:rsidRPr="008379CA">
        <w:rPr>
          <w:rFonts w:ascii="Bookman Old Style" w:hAnsi="Bookman Old Style"/>
          <w:sz w:val="24"/>
          <w:szCs w:val="24"/>
        </w:rPr>
        <w:t>luar</w:t>
      </w:r>
      <w:r w:rsidR="00A954D0" w:rsidRPr="008379CA">
        <w:rPr>
          <w:rFonts w:ascii="Bookman Old Style" w:hAnsi="Bookman Old Style"/>
          <w:sz w:val="24"/>
          <w:szCs w:val="24"/>
        </w:rPr>
        <w:t xml:space="preserve"> </w:t>
      </w:r>
      <w:r w:rsidRPr="008379CA">
        <w:rPr>
          <w:rFonts w:ascii="Bookman Old Style" w:hAnsi="Bookman Old Style"/>
          <w:sz w:val="24"/>
          <w:szCs w:val="24"/>
        </w:rPr>
        <w:t>Belanja</w:t>
      </w:r>
      <w:r w:rsidR="00A954D0" w:rsidRPr="008379CA">
        <w:rPr>
          <w:rFonts w:ascii="Bookman Old Style" w:hAnsi="Bookman Old Style"/>
          <w:sz w:val="24"/>
          <w:szCs w:val="24"/>
        </w:rPr>
        <w:t xml:space="preserve"> </w:t>
      </w:r>
      <w:r w:rsidRPr="008379CA">
        <w:rPr>
          <w:rFonts w:ascii="Bookman Old Style" w:hAnsi="Bookman Old Style"/>
          <w:sz w:val="24"/>
          <w:szCs w:val="24"/>
        </w:rPr>
        <w:t>Bagi</w:t>
      </w:r>
      <w:r w:rsidR="00A954D0" w:rsidRPr="008379CA">
        <w:rPr>
          <w:rFonts w:ascii="Bookman Old Style" w:hAnsi="Bookman Old Style"/>
          <w:sz w:val="24"/>
          <w:szCs w:val="24"/>
        </w:rPr>
        <w:t xml:space="preserve"> </w:t>
      </w:r>
      <w:r w:rsidRPr="008379CA">
        <w:rPr>
          <w:rFonts w:ascii="Bookman Old Style" w:hAnsi="Bookman Old Style"/>
          <w:sz w:val="24"/>
          <w:szCs w:val="24"/>
        </w:rPr>
        <w:t>Hasil</w:t>
      </w:r>
      <w:r w:rsidR="00A954D0" w:rsidRPr="008379CA">
        <w:rPr>
          <w:rFonts w:ascii="Bookman Old Style" w:hAnsi="Bookman Old Style"/>
          <w:sz w:val="24"/>
          <w:szCs w:val="24"/>
        </w:rPr>
        <w:t xml:space="preserve"> </w:t>
      </w:r>
      <w:r w:rsidRPr="008379CA">
        <w:rPr>
          <w:rFonts w:ascii="Bookman Old Style" w:hAnsi="Bookman Old Style"/>
          <w:sz w:val="24"/>
          <w:szCs w:val="24"/>
        </w:rPr>
        <w:t>dan/atau</w:t>
      </w:r>
      <w:r w:rsidR="00A954D0" w:rsidRPr="008379CA">
        <w:rPr>
          <w:rFonts w:ascii="Bookman Old Style" w:hAnsi="Bookman Old Style"/>
          <w:sz w:val="24"/>
          <w:szCs w:val="24"/>
        </w:rPr>
        <w:t xml:space="preserve"> </w:t>
      </w:r>
      <w:r w:rsidRPr="008379CA">
        <w:rPr>
          <w:rFonts w:ascii="Bookman Old Style" w:hAnsi="Bookman Old Style"/>
          <w:sz w:val="24"/>
          <w:szCs w:val="24"/>
        </w:rPr>
        <w:t>Transfer</w:t>
      </w:r>
      <w:r w:rsidR="00A954D0" w:rsidRPr="008379CA">
        <w:rPr>
          <w:rFonts w:ascii="Bookman Old Style" w:hAnsi="Bookman Old Style"/>
          <w:sz w:val="24"/>
          <w:szCs w:val="24"/>
        </w:rPr>
        <w:t xml:space="preserve"> </w:t>
      </w:r>
      <w:r w:rsidRPr="008379CA">
        <w:rPr>
          <w:rFonts w:ascii="Bookman Old Style" w:hAnsi="Bookman Old Style"/>
          <w:sz w:val="24"/>
          <w:szCs w:val="24"/>
        </w:rPr>
        <w:t>Kepada</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dan/atau</w:t>
      </w:r>
      <w:r w:rsidR="00A954D0" w:rsidRPr="008379CA">
        <w:rPr>
          <w:rFonts w:ascii="Bookman Old Style" w:hAnsi="Bookman Old Style"/>
          <w:sz w:val="24"/>
          <w:szCs w:val="24"/>
        </w:rPr>
        <w:t xml:space="preserve"> </w:t>
      </w:r>
      <w:r w:rsidRPr="008379CA">
        <w:rPr>
          <w:rFonts w:ascii="Bookman Old Style" w:hAnsi="Bookman Old Style"/>
          <w:sz w:val="24"/>
          <w:szCs w:val="24"/>
        </w:rPr>
        <w:t>Desa</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paling</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lama</w:t>
      </w:r>
      <w:r w:rsidR="00A954D0" w:rsidRPr="008379CA">
        <w:rPr>
          <w:rFonts w:ascii="Bookman Old Style" w:hAnsi="Bookman Old Style"/>
          <w:sz w:val="24"/>
          <w:szCs w:val="24"/>
        </w:rPr>
        <w:t xml:space="preserve"> </w:t>
      </w:r>
      <w:r w:rsidRPr="008379CA">
        <w:rPr>
          <w:rFonts w:ascii="Bookman Old Style" w:hAnsi="Bookman Old Style"/>
          <w:sz w:val="24"/>
          <w:szCs w:val="24"/>
        </w:rPr>
        <w:t>5</w:t>
      </w:r>
      <w:r w:rsidR="00A954D0" w:rsidRPr="008379CA">
        <w:rPr>
          <w:rFonts w:ascii="Bookman Old Style" w:hAnsi="Bookman Old Style"/>
          <w:sz w:val="24"/>
          <w:szCs w:val="24"/>
        </w:rPr>
        <w:t xml:space="preserve"> </w:t>
      </w:r>
      <w:r w:rsidRPr="008379CA">
        <w:rPr>
          <w:rFonts w:ascii="Bookman Old Style" w:hAnsi="Bookman Old Style"/>
          <w:sz w:val="24"/>
          <w:szCs w:val="24"/>
        </w:rPr>
        <w:t>(lima)</w:t>
      </w:r>
      <w:r w:rsidR="00A954D0" w:rsidRPr="008379CA">
        <w:rPr>
          <w:rFonts w:ascii="Bookman Old Style" w:hAnsi="Bookman Old Style"/>
          <w:sz w:val="24"/>
          <w:szCs w:val="24"/>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lang w:val="id-ID"/>
        </w:rPr>
        <w:t>terhitung</w:t>
      </w:r>
      <w:r w:rsidR="00A954D0" w:rsidRPr="008379CA">
        <w:rPr>
          <w:rFonts w:ascii="Bookman Old Style" w:hAnsi="Bookman Old Style"/>
          <w:sz w:val="24"/>
          <w:szCs w:val="24"/>
          <w:lang w:val="id-ID"/>
        </w:rPr>
        <w:t xml:space="preserve"> </w:t>
      </w:r>
      <w:r w:rsidRPr="008379CA">
        <w:rPr>
          <w:rFonts w:ascii="Bookman Old Style" w:hAnsi="Bookman Old Style"/>
          <w:sz w:val="24"/>
          <w:szCs w:val="24"/>
        </w:rPr>
        <w:t>sejak</w:t>
      </w:r>
      <w:r w:rsidR="00A954D0" w:rsidRPr="008379CA">
        <w:rPr>
          <w:rFonts w:ascii="Bookman Old Style" w:hAnsi="Bookman Old Style"/>
          <w:sz w:val="24"/>
          <w:szCs w:val="24"/>
        </w:rPr>
        <w:t xml:space="preserve"> </w:t>
      </w:r>
      <w:r w:rsidRPr="008379CA">
        <w:rPr>
          <w:rFonts w:ascii="Bookman Old Style" w:hAnsi="Bookman Old Style"/>
          <w:sz w:val="24"/>
          <w:szCs w:val="24"/>
        </w:rPr>
        <w:t>Undang-Undang</w:t>
      </w:r>
      <w:r w:rsidR="00A954D0" w:rsidRPr="008379CA">
        <w:rPr>
          <w:rFonts w:ascii="Bookman Old Style" w:hAnsi="Bookman Old Style"/>
          <w:sz w:val="24"/>
          <w:szCs w:val="24"/>
        </w:rPr>
        <w:t xml:space="preserve"> </w:t>
      </w:r>
      <w:r w:rsidRPr="008379CA">
        <w:rPr>
          <w:rFonts w:ascii="Bookman Old Style" w:hAnsi="Bookman Old Style"/>
          <w:sz w:val="24"/>
          <w:szCs w:val="24"/>
        </w:rPr>
        <w:t>Nomor</w:t>
      </w:r>
      <w:r w:rsidR="00A954D0" w:rsidRPr="008379CA">
        <w:rPr>
          <w:rFonts w:ascii="Bookman Old Style" w:hAnsi="Bookman Old Style"/>
          <w:sz w:val="24"/>
          <w:szCs w:val="24"/>
        </w:rPr>
        <w:t xml:space="preserve"> </w:t>
      </w:r>
      <w:r w:rsidRPr="008379CA">
        <w:rPr>
          <w:rFonts w:ascii="Bookman Old Style" w:hAnsi="Bookman Old Style"/>
          <w:sz w:val="24"/>
          <w:szCs w:val="24"/>
        </w:rPr>
        <w:t>1</w:t>
      </w:r>
      <w:r w:rsidR="00A954D0" w:rsidRPr="008379CA">
        <w:rPr>
          <w:rFonts w:ascii="Bookman Old Style" w:hAnsi="Bookman Old Style"/>
          <w:sz w:val="24"/>
          <w:szCs w:val="24"/>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rPr>
        <w:t>2022</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diundangkan</w:t>
      </w:r>
      <w:r w:rsidRPr="008379CA">
        <w:rPr>
          <w:rFonts w:ascii="Bookman Old Style" w:hAnsi="Bookman Old Style"/>
          <w:sz w:val="24"/>
          <w:szCs w:val="24"/>
        </w:rPr>
        <w:t>,</w:t>
      </w:r>
      <w:r w:rsidR="00A954D0" w:rsidRPr="008379CA">
        <w:rPr>
          <w:rFonts w:ascii="Bookman Old Style" w:hAnsi="Bookman Old Style"/>
          <w:sz w:val="24"/>
          <w:szCs w:val="24"/>
        </w:rPr>
        <w:t xml:space="preserve"> </w:t>
      </w:r>
      <w:r w:rsidRPr="008379CA">
        <w:rPr>
          <w:rFonts w:ascii="Bookman Old Style" w:hAnsi="Bookman Old Style"/>
          <w:sz w:val="24"/>
          <w:szCs w:val="24"/>
          <w:lang w:val="id-ID"/>
        </w:rPr>
        <w:t>sebagaimana</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maksud</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Pasal</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147</w:t>
      </w:r>
      <w:r w:rsidR="00A954D0" w:rsidRPr="008379CA">
        <w:rPr>
          <w:rFonts w:ascii="Bookman Old Style" w:hAnsi="Bookman Old Style"/>
          <w:sz w:val="24"/>
          <w:szCs w:val="24"/>
          <w:lang w:val="id-ID"/>
        </w:rPr>
        <w:t xml:space="preserve"> </w:t>
      </w:r>
      <w:r w:rsidRPr="008379CA">
        <w:rPr>
          <w:rFonts w:ascii="Bookman Old Style" w:hAnsi="Bookman Old Style"/>
          <w:sz w:val="24"/>
          <w:szCs w:val="24"/>
        </w:rPr>
        <w:t>Undang-Undang</w:t>
      </w:r>
      <w:r w:rsidR="00A954D0" w:rsidRPr="008379CA">
        <w:rPr>
          <w:rFonts w:ascii="Bookman Old Style" w:hAnsi="Bookman Old Style"/>
          <w:sz w:val="24"/>
          <w:szCs w:val="24"/>
        </w:rPr>
        <w:t xml:space="preserve"> </w:t>
      </w:r>
      <w:r w:rsidRPr="008379CA">
        <w:rPr>
          <w:rFonts w:ascii="Bookman Old Style" w:hAnsi="Bookman Old Style"/>
          <w:sz w:val="24"/>
          <w:szCs w:val="24"/>
        </w:rPr>
        <w:t>Nomor</w:t>
      </w:r>
      <w:r w:rsidR="00A954D0" w:rsidRPr="008379CA">
        <w:rPr>
          <w:rFonts w:ascii="Bookman Old Style" w:hAnsi="Bookman Old Style"/>
          <w:sz w:val="24"/>
          <w:szCs w:val="24"/>
        </w:rPr>
        <w:t xml:space="preserve"> </w:t>
      </w:r>
      <w:r w:rsidRPr="008379CA">
        <w:rPr>
          <w:rFonts w:ascii="Bookman Old Style" w:hAnsi="Bookman Old Style"/>
          <w:sz w:val="24"/>
          <w:szCs w:val="24"/>
        </w:rPr>
        <w:t>1</w:t>
      </w:r>
      <w:r w:rsidR="00A954D0" w:rsidRPr="008379CA">
        <w:rPr>
          <w:rFonts w:ascii="Bookman Old Style" w:hAnsi="Bookman Old Style"/>
          <w:sz w:val="24"/>
          <w:szCs w:val="24"/>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rPr>
        <w:t>2022</w:t>
      </w:r>
      <w:r w:rsidRPr="008379CA">
        <w:rPr>
          <w:rFonts w:ascii="Bookman Old Style" w:hAnsi="Bookman Old Style"/>
          <w:sz w:val="24"/>
          <w:szCs w:val="24"/>
          <w:lang w:val="id-ID"/>
        </w:rPr>
        <w:t>,</w:t>
      </w:r>
      <w:r w:rsidR="00A954D0" w:rsidRPr="008379CA">
        <w:rPr>
          <w:rFonts w:ascii="Bookman Old Style" w:hAnsi="Bookman Old Style"/>
          <w:sz w:val="24"/>
          <w:szCs w:val="24"/>
        </w:rPr>
        <w:t xml:space="preserve"> </w:t>
      </w:r>
      <w:r w:rsidRPr="008379CA">
        <w:rPr>
          <w:rFonts w:ascii="Bookman Old Style" w:hAnsi="Bookman Old Style"/>
          <w:sz w:val="24"/>
          <w:szCs w:val="24"/>
        </w:rPr>
        <w:t>butir</w:t>
      </w:r>
      <w:r w:rsidR="00A954D0" w:rsidRPr="008379CA">
        <w:rPr>
          <w:rFonts w:ascii="Bookman Old Style" w:hAnsi="Bookman Old Style"/>
          <w:sz w:val="24"/>
          <w:szCs w:val="24"/>
        </w:rPr>
        <w:t xml:space="preserve"> </w:t>
      </w:r>
      <w:r w:rsidRPr="008379CA">
        <w:rPr>
          <w:rFonts w:ascii="Bookman Old Style" w:hAnsi="Bookman Old Style"/>
          <w:sz w:val="24"/>
          <w:szCs w:val="24"/>
        </w:rPr>
        <w:t>3.2.2.k</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Pr="008379CA">
        <w:rPr>
          <w:rFonts w:ascii="Bookman Old Style" w:hAnsi="Bookman Old Style"/>
          <w:sz w:val="24"/>
          <w:szCs w:val="24"/>
        </w:rPr>
        <w:t>butir</w:t>
      </w:r>
      <w:r w:rsidR="00A954D0" w:rsidRPr="008379CA">
        <w:rPr>
          <w:rFonts w:ascii="Bookman Old Style" w:hAnsi="Bookman Old Style"/>
          <w:sz w:val="24"/>
          <w:szCs w:val="24"/>
        </w:rPr>
        <w:t xml:space="preserve"> </w:t>
      </w:r>
      <w:r w:rsidRPr="008379CA">
        <w:rPr>
          <w:rFonts w:ascii="Bookman Old Style" w:hAnsi="Bookman Old Style"/>
          <w:sz w:val="24"/>
          <w:szCs w:val="24"/>
          <w:lang w:val="id-ID"/>
        </w:rPr>
        <w:t>5.1.3</w:t>
      </w:r>
      <w:r w:rsidR="00A954D0" w:rsidRPr="008379CA">
        <w:rPr>
          <w:rFonts w:ascii="Bookman Old Style" w:hAnsi="Bookman Old Style"/>
          <w:sz w:val="24"/>
          <w:szCs w:val="24"/>
        </w:rPr>
        <w:t xml:space="preserve"> </w:t>
      </w:r>
      <w:r w:rsidRPr="008379CA">
        <w:rPr>
          <w:rFonts w:ascii="Bookman Old Style" w:hAnsi="Bookman Old Style"/>
          <w:sz w:val="24"/>
          <w:szCs w:val="24"/>
        </w:rPr>
        <w:t>Lampiran</w:t>
      </w:r>
      <w:r w:rsidR="00A954D0" w:rsidRPr="008379CA">
        <w:rPr>
          <w:rFonts w:ascii="Bookman Old Style" w:hAnsi="Bookman Old Style"/>
          <w:sz w:val="24"/>
          <w:szCs w:val="24"/>
        </w:rPr>
        <w:t xml:space="preserve"> </w:t>
      </w:r>
      <w:r w:rsidRPr="008379CA">
        <w:rPr>
          <w:rFonts w:ascii="Bookman Old Style" w:hAnsi="Bookman Old Style"/>
          <w:sz w:val="24"/>
          <w:szCs w:val="24"/>
        </w:rPr>
        <w:t>Peraturan</w:t>
      </w:r>
      <w:r w:rsidR="00A954D0" w:rsidRPr="008379CA">
        <w:rPr>
          <w:rFonts w:ascii="Bookman Old Style" w:hAnsi="Bookman Old Style"/>
          <w:sz w:val="24"/>
          <w:szCs w:val="24"/>
        </w:rPr>
        <w:t xml:space="preserve"> </w:t>
      </w:r>
      <w:r w:rsidRPr="008379CA">
        <w:rPr>
          <w:rFonts w:ascii="Bookman Old Style" w:hAnsi="Bookman Old Style"/>
          <w:sz w:val="24"/>
          <w:szCs w:val="24"/>
        </w:rPr>
        <w:t>Menteri</w:t>
      </w:r>
      <w:r w:rsidR="00A954D0" w:rsidRPr="008379CA">
        <w:rPr>
          <w:rFonts w:ascii="Bookman Old Style" w:hAnsi="Bookman Old Style"/>
          <w:sz w:val="24"/>
          <w:szCs w:val="24"/>
        </w:rPr>
        <w:t xml:space="preserve"> </w:t>
      </w:r>
      <w:r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Pr="008379CA">
        <w:rPr>
          <w:rFonts w:ascii="Bookman Old Style" w:hAnsi="Bookman Old Style"/>
          <w:sz w:val="24"/>
          <w:szCs w:val="24"/>
        </w:rPr>
        <w:t>Negeri</w:t>
      </w:r>
      <w:r w:rsidR="00A954D0" w:rsidRPr="008379CA">
        <w:rPr>
          <w:rFonts w:ascii="Bookman Old Style" w:hAnsi="Bookman Old Style"/>
          <w:sz w:val="24"/>
          <w:szCs w:val="24"/>
        </w:rPr>
        <w:t xml:space="preserve"> </w:t>
      </w:r>
      <w:r w:rsidRPr="008379CA">
        <w:rPr>
          <w:rFonts w:ascii="Bookman Old Style" w:hAnsi="Bookman Old Style"/>
          <w:sz w:val="24"/>
          <w:szCs w:val="24"/>
        </w:rPr>
        <w:t>Nomor</w:t>
      </w:r>
      <w:r w:rsidR="00A954D0" w:rsidRPr="008379CA">
        <w:rPr>
          <w:rFonts w:ascii="Bookman Old Style" w:hAnsi="Bookman Old Style"/>
          <w:sz w:val="24"/>
          <w:szCs w:val="24"/>
        </w:rPr>
        <w:t xml:space="preserve"> </w:t>
      </w:r>
      <w:r w:rsidRPr="008379CA">
        <w:rPr>
          <w:rFonts w:ascii="Bookman Old Style" w:hAnsi="Bookman Old Style"/>
          <w:sz w:val="24"/>
          <w:szCs w:val="24"/>
          <w:lang w:val="id-ID"/>
        </w:rPr>
        <w:t>15</w:t>
      </w:r>
      <w:r w:rsidR="00A954D0" w:rsidRPr="008379CA">
        <w:rPr>
          <w:rFonts w:ascii="Bookman Old Style" w:hAnsi="Bookman Old Style"/>
          <w:sz w:val="24"/>
          <w:szCs w:val="24"/>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rPr>
        <w:t>202</w:t>
      </w:r>
      <w:r w:rsidRPr="008379CA">
        <w:rPr>
          <w:rFonts w:ascii="Bookman Old Style" w:hAnsi="Bookman Old Style"/>
          <w:sz w:val="24"/>
          <w:szCs w:val="24"/>
          <w:lang w:val="id-ID"/>
        </w:rPr>
        <w:t>4</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Pr="008379CA">
        <w:rPr>
          <w:rFonts w:ascii="Bookman Old Style" w:hAnsi="Bookman Old Style"/>
          <w:sz w:val="24"/>
          <w:szCs w:val="24"/>
        </w:rPr>
        <w:t>Keputusan</w:t>
      </w:r>
      <w:r w:rsidR="00A954D0" w:rsidRPr="008379CA">
        <w:rPr>
          <w:rFonts w:ascii="Bookman Old Style" w:hAnsi="Bookman Old Style"/>
          <w:sz w:val="24"/>
          <w:szCs w:val="24"/>
        </w:rPr>
        <w:t xml:space="preserve"> </w:t>
      </w:r>
      <w:r w:rsidRPr="008379CA">
        <w:rPr>
          <w:rFonts w:ascii="Bookman Old Style" w:hAnsi="Bookman Old Style"/>
          <w:sz w:val="24"/>
          <w:szCs w:val="24"/>
        </w:rPr>
        <w:t>Menteri</w:t>
      </w:r>
      <w:r w:rsidR="00A954D0" w:rsidRPr="008379CA">
        <w:rPr>
          <w:rFonts w:ascii="Bookman Old Style" w:hAnsi="Bookman Old Style"/>
          <w:sz w:val="24"/>
          <w:szCs w:val="24"/>
        </w:rPr>
        <w:t xml:space="preserve"> </w:t>
      </w:r>
      <w:r w:rsidRPr="008379CA">
        <w:rPr>
          <w:rFonts w:ascii="Bookman Old Style" w:hAnsi="Bookman Old Style"/>
          <w:sz w:val="24"/>
          <w:szCs w:val="24"/>
        </w:rPr>
        <w:t>Keuangan</w:t>
      </w:r>
      <w:r w:rsidR="00A954D0" w:rsidRPr="008379CA">
        <w:rPr>
          <w:rFonts w:ascii="Bookman Old Style" w:hAnsi="Bookman Old Style"/>
          <w:sz w:val="24"/>
          <w:szCs w:val="24"/>
        </w:rPr>
        <w:t xml:space="preserve"> </w:t>
      </w:r>
      <w:r w:rsidRPr="008379CA">
        <w:rPr>
          <w:rFonts w:ascii="Bookman Old Style" w:hAnsi="Bookman Old Style"/>
          <w:sz w:val="24"/>
          <w:szCs w:val="24"/>
        </w:rPr>
        <w:t>Nomor</w:t>
      </w:r>
      <w:r w:rsidR="00A954D0" w:rsidRPr="008379CA">
        <w:rPr>
          <w:rFonts w:ascii="Bookman Old Style" w:hAnsi="Bookman Old Style"/>
          <w:sz w:val="24"/>
          <w:szCs w:val="24"/>
        </w:rPr>
        <w:t xml:space="preserve"> </w:t>
      </w:r>
      <w:r w:rsidRPr="008379CA">
        <w:rPr>
          <w:rFonts w:ascii="Bookman Old Style" w:hAnsi="Bookman Old Style"/>
          <w:sz w:val="24"/>
          <w:szCs w:val="24"/>
        </w:rPr>
        <w:t>11/KM.7/2024</w:t>
      </w:r>
      <w:r w:rsidR="00A954D0" w:rsidRPr="008379CA">
        <w:rPr>
          <w:rFonts w:ascii="Bookman Old Style" w:hAnsi="Bookman Old Style"/>
          <w:sz w:val="24"/>
          <w:szCs w:val="24"/>
        </w:rPr>
        <w:t xml:space="preserve"> </w:t>
      </w:r>
      <w:r w:rsidRPr="008379CA">
        <w:rPr>
          <w:rFonts w:ascii="Bookman Old Style" w:hAnsi="Bookman Old Style"/>
          <w:sz w:val="24"/>
          <w:szCs w:val="24"/>
        </w:rPr>
        <w:t>tentang</w:t>
      </w:r>
      <w:r w:rsidR="00A954D0" w:rsidRPr="008379CA">
        <w:rPr>
          <w:rFonts w:ascii="Bookman Old Style" w:hAnsi="Bookman Old Style"/>
          <w:sz w:val="24"/>
          <w:szCs w:val="24"/>
        </w:rPr>
        <w:t xml:space="preserve"> </w:t>
      </w:r>
      <w:r w:rsidRPr="008379CA">
        <w:rPr>
          <w:rFonts w:ascii="Bookman Old Style" w:hAnsi="Bookman Old Style"/>
          <w:sz w:val="24"/>
          <w:szCs w:val="24"/>
        </w:rPr>
        <w:t>Penandaan</w:t>
      </w:r>
      <w:r w:rsidR="00A954D0" w:rsidRPr="008379CA">
        <w:rPr>
          <w:rFonts w:ascii="Bookman Old Style" w:hAnsi="Bookman Old Style"/>
          <w:sz w:val="24"/>
          <w:szCs w:val="24"/>
        </w:rPr>
        <w:t xml:space="preserve"> </w:t>
      </w:r>
      <w:r w:rsidRPr="008379CA">
        <w:rPr>
          <w:rFonts w:ascii="Bookman Old Style" w:hAnsi="Bookman Old Style"/>
          <w:sz w:val="24"/>
          <w:szCs w:val="24"/>
        </w:rPr>
        <w:t>Rincian</w:t>
      </w:r>
      <w:r w:rsidR="00A954D0" w:rsidRPr="008379CA">
        <w:rPr>
          <w:rFonts w:ascii="Bookman Old Style" w:hAnsi="Bookman Old Style"/>
          <w:sz w:val="24"/>
          <w:szCs w:val="24"/>
        </w:rPr>
        <w:t xml:space="preserve"> </w:t>
      </w:r>
      <w:r w:rsidRPr="008379CA">
        <w:rPr>
          <w:rFonts w:ascii="Bookman Old Style" w:hAnsi="Bookman Old Style"/>
          <w:sz w:val="24"/>
          <w:szCs w:val="24"/>
        </w:rPr>
        <w:t>Belanja</w:t>
      </w:r>
      <w:r w:rsidR="00A954D0" w:rsidRPr="008379CA">
        <w:rPr>
          <w:rFonts w:ascii="Bookman Old Style" w:hAnsi="Bookman Old Style"/>
          <w:sz w:val="24"/>
          <w:szCs w:val="24"/>
        </w:rPr>
        <w:t xml:space="preserve"> </w:t>
      </w:r>
      <w:r w:rsidRPr="008379CA">
        <w:rPr>
          <w:rFonts w:ascii="Bookman Old Style" w:hAnsi="Bookman Old Style"/>
          <w:sz w:val="24"/>
          <w:szCs w:val="24"/>
        </w:rPr>
        <w:t>Infrastruktur</w:t>
      </w:r>
      <w:r w:rsidR="00A954D0" w:rsidRPr="008379CA">
        <w:rPr>
          <w:rFonts w:ascii="Bookman Old Style" w:hAnsi="Bookman Old Style"/>
          <w:sz w:val="24"/>
          <w:szCs w:val="24"/>
        </w:rPr>
        <w:t xml:space="preserve"> </w:t>
      </w:r>
      <w:r w:rsidRPr="008379CA">
        <w:rPr>
          <w:rFonts w:ascii="Bookman Old Style" w:hAnsi="Bookman Old Style"/>
          <w:sz w:val="24"/>
          <w:szCs w:val="24"/>
        </w:rPr>
        <w:t>Pelayanan</w:t>
      </w:r>
      <w:r w:rsidR="00A954D0" w:rsidRPr="008379CA">
        <w:rPr>
          <w:rFonts w:ascii="Bookman Old Style" w:hAnsi="Bookman Old Style"/>
          <w:sz w:val="24"/>
          <w:szCs w:val="24"/>
        </w:rPr>
        <w:t xml:space="preserve"> </w:t>
      </w:r>
      <w:r w:rsidRPr="008379CA">
        <w:rPr>
          <w:rFonts w:ascii="Bookman Old Style" w:hAnsi="Bookman Old Style"/>
          <w:sz w:val="24"/>
          <w:szCs w:val="24"/>
        </w:rPr>
        <w:t>Publik</w:t>
      </w:r>
      <w:r w:rsidR="00A954D0" w:rsidRPr="008379CA">
        <w:rPr>
          <w:rFonts w:ascii="Bookman Old Style" w:hAnsi="Bookman Old Style"/>
          <w:sz w:val="24"/>
          <w:szCs w:val="24"/>
        </w:rPr>
        <w:t xml:space="preserve"> </w:t>
      </w:r>
      <w:r w:rsidRPr="008379CA">
        <w:rPr>
          <w:rFonts w:ascii="Bookman Old Style" w:hAnsi="Bookman Old Style"/>
          <w:sz w:val="24"/>
          <w:szCs w:val="24"/>
        </w:rPr>
        <w:t>untuk</w:t>
      </w:r>
      <w:r w:rsidR="00A954D0" w:rsidRPr="008379CA">
        <w:rPr>
          <w:rFonts w:ascii="Bookman Old Style" w:hAnsi="Bookman Old Style"/>
          <w:sz w:val="24"/>
          <w:szCs w:val="24"/>
        </w:rPr>
        <w:t xml:space="preserve"> </w:t>
      </w:r>
      <w:r w:rsidRPr="008379CA">
        <w:rPr>
          <w:rFonts w:ascii="Bookman Old Style" w:hAnsi="Bookman Old Style"/>
          <w:sz w:val="24"/>
          <w:szCs w:val="24"/>
        </w:rPr>
        <w:t>Evaluasi</w:t>
      </w:r>
      <w:r w:rsidR="00A954D0" w:rsidRPr="008379CA">
        <w:rPr>
          <w:rFonts w:ascii="Bookman Old Style" w:hAnsi="Bookman Old Style"/>
          <w:sz w:val="24"/>
          <w:szCs w:val="24"/>
        </w:rPr>
        <w:t xml:space="preserve"> </w:t>
      </w:r>
      <w:r w:rsidRPr="008379CA">
        <w:rPr>
          <w:rFonts w:ascii="Bookman Old Style" w:hAnsi="Bookman Old Style"/>
          <w:sz w:val="24"/>
          <w:szCs w:val="24"/>
        </w:rPr>
        <w:t>Pemenuhan</w:t>
      </w:r>
      <w:r w:rsidR="00A954D0" w:rsidRPr="008379CA">
        <w:rPr>
          <w:rFonts w:ascii="Bookman Old Style" w:hAnsi="Bookman Old Style"/>
          <w:sz w:val="24"/>
          <w:szCs w:val="24"/>
        </w:rPr>
        <w:t xml:space="preserve"> </w:t>
      </w:r>
      <w:r w:rsidRPr="008379CA">
        <w:rPr>
          <w:rFonts w:ascii="Bookman Old Style" w:hAnsi="Bookman Old Style"/>
          <w:sz w:val="24"/>
          <w:szCs w:val="24"/>
        </w:rPr>
        <w:t>Belanja</w:t>
      </w:r>
      <w:r w:rsidR="00A954D0" w:rsidRPr="008379CA">
        <w:rPr>
          <w:rFonts w:ascii="Bookman Old Style" w:hAnsi="Bookman Old Style"/>
          <w:sz w:val="24"/>
          <w:szCs w:val="24"/>
        </w:rPr>
        <w:t xml:space="preserve"> </w:t>
      </w:r>
      <w:r w:rsidRPr="008379CA">
        <w:rPr>
          <w:rFonts w:ascii="Bookman Old Style" w:hAnsi="Bookman Old Style"/>
          <w:sz w:val="24"/>
          <w:szCs w:val="24"/>
        </w:rPr>
        <w:t>Wajib</w:t>
      </w:r>
      <w:r w:rsidR="00A954D0" w:rsidRPr="008379CA">
        <w:rPr>
          <w:rFonts w:ascii="Bookman Old Style" w:hAnsi="Bookman Old Style"/>
          <w:sz w:val="24"/>
          <w:szCs w:val="24"/>
        </w:rPr>
        <w:t xml:space="preserve"> </w:t>
      </w:r>
      <w:r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Pendapatan</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Pr="008379CA">
        <w:rPr>
          <w:rFonts w:ascii="Bookman Old Style" w:hAnsi="Bookman Old Style"/>
          <w:sz w:val="24"/>
          <w:szCs w:val="24"/>
        </w:rPr>
        <w:t>Belanja</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7418D7" w:rsidRPr="008379CA">
        <w:rPr>
          <w:rFonts w:ascii="Bookman Old Style" w:hAnsi="Bookman Old Style"/>
          <w:sz w:val="24"/>
          <w:szCs w:val="24"/>
        </w:rPr>
        <w:t xml:space="preserve"> sebagaimana telah diubah dengan Keputusan Menteri Keuangan Nomor 35/KM.7/2024 tentang Perubahan atas Keputusan Menteri Keuangan Republik Indonesia Nomor 10/KM.7/2024 tentang Penandaan Rincian Belanja Pendidikan untuk Evaluasi Pemenuhan Belanja Wajib dalam Anggaran Pendapatan dan Belanja Daerah</w:t>
      </w:r>
      <w:r w:rsidRPr="008379CA">
        <w:rPr>
          <w:rFonts w:ascii="Bookman Old Style" w:hAnsi="Bookman Old Style"/>
          <w:sz w:val="24"/>
          <w:szCs w:val="24"/>
        </w:rPr>
        <w:t>.</w:t>
      </w:r>
    </w:p>
    <w:p w14:paraId="4BB428A0" w14:textId="31545E99" w:rsidR="00471C95" w:rsidRPr="008379CA" w:rsidRDefault="00471C95" w:rsidP="00447E9A">
      <w:pPr>
        <w:pStyle w:val="ListParagraph"/>
        <w:spacing w:before="60" w:after="0" w:line="276" w:lineRule="auto"/>
        <w:ind w:left="1276"/>
        <w:contextualSpacing w:val="0"/>
        <w:jc w:val="both"/>
        <w:rPr>
          <w:rFonts w:ascii="Bookman Old Style" w:hAnsi="Bookman Old Style"/>
          <w:sz w:val="24"/>
          <w:szCs w:val="24"/>
        </w:rPr>
      </w:pPr>
      <w:r w:rsidRPr="008379CA">
        <w:rPr>
          <w:rFonts w:ascii="Bookman Old Style" w:hAnsi="Bookman Old Style"/>
          <w:sz w:val="24"/>
          <w:szCs w:val="24"/>
        </w:rPr>
        <w:t>Penyesuaian</w:t>
      </w:r>
      <w:r w:rsidR="00A954D0" w:rsidRPr="008379CA">
        <w:rPr>
          <w:rFonts w:ascii="Bookman Old Style" w:hAnsi="Bookman Old Style"/>
          <w:sz w:val="24"/>
          <w:szCs w:val="24"/>
        </w:rPr>
        <w:t xml:space="preserve"> </w:t>
      </w:r>
      <w:r w:rsidRPr="008379CA">
        <w:rPr>
          <w:rFonts w:ascii="Bookman Old Style" w:hAnsi="Bookman Old Style"/>
          <w:sz w:val="24"/>
          <w:szCs w:val="24"/>
        </w:rPr>
        <w:t>porsi</w:t>
      </w:r>
      <w:r w:rsidR="00A954D0" w:rsidRPr="008379CA">
        <w:rPr>
          <w:rFonts w:ascii="Bookman Old Style" w:hAnsi="Bookman Old Style"/>
          <w:sz w:val="24"/>
          <w:szCs w:val="24"/>
        </w:rPr>
        <w:t xml:space="preserve"> </w:t>
      </w:r>
      <w:r w:rsidRPr="008379CA">
        <w:rPr>
          <w:rFonts w:ascii="Bookman Old Style" w:hAnsi="Bookman Old Style"/>
          <w:sz w:val="24"/>
          <w:szCs w:val="24"/>
        </w:rPr>
        <w:t>belanja</w:t>
      </w:r>
      <w:r w:rsidR="00A954D0" w:rsidRPr="008379CA">
        <w:rPr>
          <w:rFonts w:ascii="Bookman Old Style" w:hAnsi="Bookman Old Style"/>
          <w:sz w:val="24"/>
          <w:szCs w:val="24"/>
        </w:rPr>
        <w:t xml:space="preserve"> </w:t>
      </w:r>
      <w:r w:rsidRPr="008379CA">
        <w:rPr>
          <w:rFonts w:ascii="Bookman Old Style" w:hAnsi="Bookman Old Style"/>
          <w:sz w:val="24"/>
          <w:szCs w:val="24"/>
        </w:rPr>
        <w:t>infrastruktur</w:t>
      </w:r>
      <w:r w:rsidR="00A954D0" w:rsidRPr="008379CA">
        <w:rPr>
          <w:rFonts w:ascii="Bookman Old Style" w:hAnsi="Bookman Old Style"/>
          <w:sz w:val="24"/>
          <w:szCs w:val="24"/>
        </w:rPr>
        <w:t xml:space="preserve"> </w:t>
      </w:r>
      <w:r w:rsidRPr="008379CA">
        <w:rPr>
          <w:rFonts w:ascii="Bookman Old Style" w:hAnsi="Bookman Old Style"/>
          <w:sz w:val="24"/>
          <w:szCs w:val="24"/>
        </w:rPr>
        <w:t>pelayanan</w:t>
      </w:r>
      <w:r w:rsidR="00A954D0" w:rsidRPr="008379CA">
        <w:rPr>
          <w:rFonts w:ascii="Bookman Old Style" w:hAnsi="Bookman Old Style"/>
          <w:sz w:val="24"/>
          <w:szCs w:val="24"/>
        </w:rPr>
        <w:t xml:space="preserve"> </w:t>
      </w:r>
      <w:r w:rsidRPr="008379CA">
        <w:rPr>
          <w:rFonts w:ascii="Bookman Old Style" w:hAnsi="Bookman Old Style"/>
          <w:sz w:val="24"/>
          <w:szCs w:val="24"/>
        </w:rPr>
        <w:t>publik</w:t>
      </w:r>
      <w:r w:rsidR="00A954D0" w:rsidRPr="008379CA">
        <w:rPr>
          <w:rFonts w:ascii="Bookman Old Style" w:hAnsi="Bookman Old Style"/>
          <w:sz w:val="24"/>
          <w:szCs w:val="24"/>
        </w:rPr>
        <w:t xml:space="preserve"> </w:t>
      </w:r>
      <w:r w:rsidRPr="008379CA">
        <w:rPr>
          <w:rFonts w:ascii="Bookman Old Style" w:hAnsi="Bookman Old Style"/>
          <w:sz w:val="24"/>
          <w:szCs w:val="24"/>
        </w:rPr>
        <w:t>tersebut</w:t>
      </w:r>
      <w:r w:rsidR="00A954D0" w:rsidRPr="008379CA">
        <w:rPr>
          <w:rFonts w:ascii="Bookman Old Style" w:hAnsi="Bookman Old Style"/>
          <w:sz w:val="24"/>
          <w:szCs w:val="24"/>
        </w:rPr>
        <w:t xml:space="preserve"> </w:t>
      </w:r>
      <w:r w:rsidRPr="008379CA">
        <w:rPr>
          <w:rFonts w:ascii="Bookman Old Style" w:hAnsi="Bookman Old Style"/>
          <w:sz w:val="24"/>
          <w:szCs w:val="24"/>
        </w:rPr>
        <w:t>dilakukan</w:t>
      </w:r>
      <w:r w:rsidR="00A954D0" w:rsidRPr="008379CA">
        <w:rPr>
          <w:rFonts w:ascii="Bookman Old Style" w:hAnsi="Bookman Old Style"/>
          <w:sz w:val="24"/>
          <w:szCs w:val="24"/>
        </w:rPr>
        <w:t xml:space="preserve"> </w:t>
      </w:r>
      <w:r w:rsidRPr="008379CA">
        <w:rPr>
          <w:rFonts w:ascii="Bookman Old Style" w:hAnsi="Bookman Old Style"/>
          <w:sz w:val="24"/>
          <w:szCs w:val="24"/>
        </w:rPr>
        <w:t>secara</w:t>
      </w:r>
      <w:r w:rsidR="00A954D0" w:rsidRPr="008379CA">
        <w:rPr>
          <w:rFonts w:ascii="Bookman Old Style" w:hAnsi="Bookman Old Style"/>
          <w:sz w:val="24"/>
          <w:szCs w:val="24"/>
        </w:rPr>
        <w:t xml:space="preserve"> </w:t>
      </w:r>
      <w:r w:rsidRPr="008379CA">
        <w:rPr>
          <w:rFonts w:ascii="Bookman Old Style" w:hAnsi="Bookman Old Style"/>
          <w:sz w:val="24"/>
          <w:szCs w:val="24"/>
        </w:rPr>
        <w:t>bertahap</w:t>
      </w:r>
      <w:r w:rsidR="00A954D0" w:rsidRPr="008379CA">
        <w:rPr>
          <w:rFonts w:ascii="Bookman Old Style" w:hAnsi="Bookman Old Style"/>
          <w:sz w:val="24"/>
          <w:szCs w:val="24"/>
        </w:rPr>
        <w:t xml:space="preserve"> </w:t>
      </w:r>
      <w:r w:rsidRPr="008379CA">
        <w:rPr>
          <w:rFonts w:ascii="Bookman Old Style" w:hAnsi="Bookman Old Style"/>
          <w:sz w:val="24"/>
          <w:szCs w:val="24"/>
        </w:rPr>
        <w:t>dengan</w:t>
      </w:r>
      <w:r w:rsidR="00A954D0" w:rsidRPr="008379CA">
        <w:rPr>
          <w:rFonts w:ascii="Bookman Old Style" w:hAnsi="Bookman Old Style"/>
          <w:sz w:val="24"/>
          <w:szCs w:val="24"/>
        </w:rPr>
        <w:t xml:space="preserve"> </w:t>
      </w:r>
      <w:r w:rsidRPr="008379CA">
        <w:rPr>
          <w:rFonts w:ascii="Bookman Old Style" w:hAnsi="Bookman Old Style"/>
          <w:sz w:val="24"/>
          <w:szCs w:val="24"/>
        </w:rPr>
        <w:t>berpedoman</w:t>
      </w:r>
      <w:r w:rsidR="00A954D0" w:rsidRPr="008379CA">
        <w:rPr>
          <w:rFonts w:ascii="Bookman Old Style" w:hAnsi="Bookman Old Style"/>
          <w:sz w:val="24"/>
          <w:szCs w:val="24"/>
        </w:rPr>
        <w:t xml:space="preserve"> </w:t>
      </w:r>
      <w:r w:rsidRPr="008379CA">
        <w:rPr>
          <w:rFonts w:ascii="Bookman Old Style" w:hAnsi="Bookman Old Style"/>
          <w:sz w:val="24"/>
          <w:szCs w:val="24"/>
        </w:rPr>
        <w:t>pada</w:t>
      </w:r>
      <w:r w:rsidR="00A954D0" w:rsidRPr="008379CA">
        <w:rPr>
          <w:rFonts w:ascii="Bookman Old Style" w:hAnsi="Bookman Old Style"/>
          <w:sz w:val="24"/>
          <w:szCs w:val="24"/>
        </w:rPr>
        <w:t xml:space="preserve"> </w:t>
      </w:r>
      <w:r w:rsidRPr="008379CA">
        <w:rPr>
          <w:rFonts w:ascii="Bookman Old Style" w:hAnsi="Bookman Old Style"/>
          <w:sz w:val="24"/>
          <w:szCs w:val="24"/>
        </w:rPr>
        <w:t>klasterisasi</w:t>
      </w:r>
      <w:r w:rsidR="00A954D0" w:rsidRPr="008379CA">
        <w:rPr>
          <w:rFonts w:ascii="Bookman Old Style" w:hAnsi="Bookman Old Style"/>
          <w:sz w:val="24"/>
          <w:szCs w:val="24"/>
        </w:rPr>
        <w:t xml:space="preserve"> </w:t>
      </w:r>
      <w:r w:rsidRPr="008379CA">
        <w:rPr>
          <w:rFonts w:ascii="Bookman Old Style" w:hAnsi="Bookman Old Style"/>
          <w:sz w:val="24"/>
          <w:szCs w:val="24"/>
        </w:rPr>
        <w:t>sesuai</w:t>
      </w:r>
      <w:r w:rsidR="00A954D0" w:rsidRPr="008379CA">
        <w:rPr>
          <w:rFonts w:ascii="Bookman Old Style" w:hAnsi="Bookman Old Style"/>
          <w:sz w:val="24"/>
          <w:szCs w:val="24"/>
        </w:rPr>
        <w:t xml:space="preserve"> </w:t>
      </w:r>
      <w:r w:rsidRPr="008379CA">
        <w:rPr>
          <w:rFonts w:ascii="Bookman Old Style" w:hAnsi="Bookman Old Style"/>
          <w:sz w:val="24"/>
          <w:szCs w:val="24"/>
        </w:rPr>
        <w:t>ketentuan</w:t>
      </w:r>
      <w:r w:rsidR="00A954D0" w:rsidRPr="008379CA">
        <w:rPr>
          <w:rFonts w:ascii="Bookman Old Style" w:hAnsi="Bookman Old Style"/>
          <w:sz w:val="24"/>
          <w:szCs w:val="24"/>
        </w:rPr>
        <w:t xml:space="preserve"> </w:t>
      </w:r>
      <w:r w:rsidRPr="008379CA">
        <w:rPr>
          <w:rFonts w:ascii="Bookman Old Style" w:hAnsi="Bookman Old Style"/>
          <w:sz w:val="24"/>
          <w:szCs w:val="24"/>
        </w:rPr>
        <w:t>peraturan</w:t>
      </w:r>
      <w:r w:rsidR="00A954D0" w:rsidRPr="008379CA">
        <w:rPr>
          <w:rFonts w:ascii="Bookman Old Style" w:hAnsi="Bookman Old Style"/>
          <w:sz w:val="24"/>
          <w:szCs w:val="24"/>
        </w:rPr>
        <w:t xml:space="preserve"> </w:t>
      </w:r>
      <w:r w:rsidRPr="008379CA">
        <w:rPr>
          <w:rFonts w:ascii="Bookman Old Style" w:hAnsi="Bookman Old Style"/>
          <w:sz w:val="24"/>
          <w:szCs w:val="24"/>
        </w:rPr>
        <w:t>perundang-undangan</w:t>
      </w:r>
      <w:r w:rsidR="00A954D0" w:rsidRPr="008379CA">
        <w:rPr>
          <w:rFonts w:ascii="Bookman Old Style" w:hAnsi="Bookman Old Style"/>
          <w:sz w:val="24"/>
          <w:szCs w:val="24"/>
        </w:rPr>
        <w:t xml:space="preserve"> </w:t>
      </w:r>
      <w:r w:rsidRPr="008379CA">
        <w:rPr>
          <w:rFonts w:ascii="Bookman Old Style" w:hAnsi="Bookman Old Style"/>
          <w:sz w:val="24"/>
          <w:szCs w:val="24"/>
        </w:rPr>
        <w:t>dengan</w:t>
      </w:r>
      <w:r w:rsidR="00A954D0" w:rsidRPr="008379CA">
        <w:rPr>
          <w:rFonts w:ascii="Bookman Old Style" w:hAnsi="Bookman Old Style"/>
          <w:sz w:val="24"/>
          <w:szCs w:val="24"/>
        </w:rPr>
        <w:t xml:space="preserve"> </w:t>
      </w:r>
      <w:r w:rsidRPr="008379CA">
        <w:rPr>
          <w:rFonts w:ascii="Bookman Old Style" w:hAnsi="Bookman Old Style"/>
          <w:sz w:val="24"/>
          <w:szCs w:val="24"/>
        </w:rPr>
        <w:t>mempertimbangkan</w:t>
      </w:r>
      <w:r w:rsidR="00A954D0" w:rsidRPr="008379CA">
        <w:rPr>
          <w:rFonts w:ascii="Bookman Old Style" w:hAnsi="Bookman Old Style"/>
          <w:sz w:val="24"/>
          <w:szCs w:val="24"/>
        </w:rPr>
        <w:t xml:space="preserve"> </w:t>
      </w:r>
      <w:r w:rsidRPr="008379CA">
        <w:rPr>
          <w:rFonts w:ascii="Bookman Old Style" w:hAnsi="Bookman Old Style"/>
          <w:sz w:val="24"/>
          <w:szCs w:val="24"/>
        </w:rPr>
        <w:t>minimal</w:t>
      </w:r>
      <w:r w:rsidR="00A954D0" w:rsidRPr="008379CA">
        <w:rPr>
          <w:rFonts w:ascii="Bookman Old Style" w:hAnsi="Bookman Old Style"/>
          <w:sz w:val="24"/>
          <w:szCs w:val="24"/>
        </w:rPr>
        <w:t xml:space="preserve"> </w:t>
      </w:r>
      <w:r w:rsidRPr="008379CA">
        <w:rPr>
          <w:rFonts w:ascii="Bookman Old Style" w:hAnsi="Bookman Old Style"/>
          <w:sz w:val="24"/>
          <w:szCs w:val="24"/>
        </w:rPr>
        <w:t>arah</w:t>
      </w:r>
      <w:r w:rsidR="00A954D0" w:rsidRPr="008379CA">
        <w:rPr>
          <w:rFonts w:ascii="Bookman Old Style" w:hAnsi="Bookman Old Style"/>
          <w:sz w:val="24"/>
          <w:szCs w:val="24"/>
        </w:rPr>
        <w:t xml:space="preserve"> </w:t>
      </w:r>
      <w:r w:rsidRPr="008379CA">
        <w:rPr>
          <w:rFonts w:ascii="Bookman Old Style" w:hAnsi="Bookman Old Style"/>
          <w:sz w:val="24"/>
          <w:szCs w:val="24"/>
        </w:rPr>
        <w:t>pembangunan</w:t>
      </w:r>
      <w:r w:rsidR="00A954D0" w:rsidRPr="008379CA">
        <w:rPr>
          <w:rFonts w:ascii="Bookman Old Style" w:hAnsi="Bookman Old Style"/>
          <w:sz w:val="24"/>
          <w:szCs w:val="24"/>
        </w:rPr>
        <w:t xml:space="preserve"> </w:t>
      </w:r>
      <w:r w:rsidRPr="008379CA">
        <w:rPr>
          <w:rFonts w:ascii="Bookman Old Style" w:hAnsi="Bookman Old Style"/>
          <w:sz w:val="24"/>
          <w:szCs w:val="24"/>
        </w:rPr>
        <w:t>infrastruktur</w:t>
      </w:r>
      <w:r w:rsidR="00A954D0" w:rsidRPr="008379CA">
        <w:rPr>
          <w:rFonts w:ascii="Bookman Old Style" w:hAnsi="Bookman Old Style"/>
          <w:sz w:val="24"/>
          <w:szCs w:val="24"/>
        </w:rPr>
        <w:t xml:space="preserve"> </w:t>
      </w:r>
      <w:r w:rsidRPr="008379CA">
        <w:rPr>
          <w:rFonts w:ascii="Bookman Old Style" w:hAnsi="Bookman Old Style"/>
          <w:sz w:val="24"/>
          <w:szCs w:val="24"/>
        </w:rPr>
        <w:t>nasional</w:t>
      </w:r>
      <w:r w:rsidR="00A954D0" w:rsidRPr="008379CA">
        <w:rPr>
          <w:rFonts w:ascii="Bookman Old Style" w:hAnsi="Bookman Old Style"/>
          <w:sz w:val="24"/>
          <w:szCs w:val="24"/>
        </w:rPr>
        <w:t xml:space="preserve"> </w:t>
      </w:r>
      <w:r w:rsidRPr="008379CA">
        <w:rPr>
          <w:rFonts w:ascii="Bookman Old Style" w:hAnsi="Bookman Old Style"/>
          <w:sz w:val="24"/>
          <w:szCs w:val="24"/>
        </w:rPr>
        <w:t>yang</w:t>
      </w:r>
      <w:r w:rsidR="00A954D0" w:rsidRPr="008379CA">
        <w:rPr>
          <w:rFonts w:ascii="Bookman Old Style" w:hAnsi="Bookman Old Style"/>
          <w:sz w:val="24"/>
          <w:szCs w:val="24"/>
        </w:rPr>
        <w:t xml:space="preserve"> </w:t>
      </w:r>
      <w:r w:rsidRPr="008379CA">
        <w:rPr>
          <w:rFonts w:ascii="Bookman Old Style" w:hAnsi="Bookman Old Style"/>
          <w:sz w:val="24"/>
          <w:szCs w:val="24"/>
        </w:rPr>
        <w:t>tercantum</w:t>
      </w:r>
      <w:r w:rsidR="00A954D0" w:rsidRPr="008379CA">
        <w:rPr>
          <w:rFonts w:ascii="Bookman Old Style" w:hAnsi="Bookman Old Style"/>
          <w:sz w:val="24"/>
          <w:szCs w:val="24"/>
        </w:rPr>
        <w:t xml:space="preserve"> </w:t>
      </w:r>
      <w:r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Pr="008379CA">
        <w:rPr>
          <w:rFonts w:ascii="Bookman Old Style" w:hAnsi="Bookman Old Style"/>
          <w:sz w:val="24"/>
          <w:szCs w:val="24"/>
        </w:rPr>
        <w:t>rencana</w:t>
      </w:r>
      <w:r w:rsidR="00A954D0" w:rsidRPr="008379CA">
        <w:rPr>
          <w:rFonts w:ascii="Bookman Old Style" w:hAnsi="Bookman Old Style"/>
          <w:sz w:val="24"/>
          <w:szCs w:val="24"/>
        </w:rPr>
        <w:t xml:space="preserve"> </w:t>
      </w:r>
      <w:r w:rsidRPr="008379CA">
        <w:rPr>
          <w:rFonts w:ascii="Bookman Old Style" w:hAnsi="Bookman Old Style"/>
          <w:sz w:val="24"/>
          <w:szCs w:val="24"/>
        </w:rPr>
        <w:t>pembangunan</w:t>
      </w:r>
      <w:r w:rsidR="00A954D0" w:rsidRPr="008379CA">
        <w:rPr>
          <w:rFonts w:ascii="Bookman Old Style" w:hAnsi="Bookman Old Style"/>
          <w:sz w:val="24"/>
          <w:szCs w:val="24"/>
        </w:rPr>
        <w:t xml:space="preserve"> </w:t>
      </w:r>
      <w:r w:rsidRPr="008379CA">
        <w:rPr>
          <w:rFonts w:ascii="Bookman Old Style" w:hAnsi="Bookman Old Style"/>
          <w:sz w:val="24"/>
          <w:szCs w:val="24"/>
        </w:rPr>
        <w:t>jangka</w:t>
      </w:r>
      <w:r w:rsidR="00A954D0" w:rsidRPr="008379CA">
        <w:rPr>
          <w:rFonts w:ascii="Bookman Old Style" w:hAnsi="Bookman Old Style"/>
          <w:sz w:val="24"/>
          <w:szCs w:val="24"/>
        </w:rPr>
        <w:t xml:space="preserve"> </w:t>
      </w:r>
      <w:r w:rsidRPr="008379CA">
        <w:rPr>
          <w:rFonts w:ascii="Bookman Old Style" w:hAnsi="Bookman Old Style"/>
          <w:sz w:val="24"/>
          <w:szCs w:val="24"/>
        </w:rPr>
        <w:t>menengah,</w:t>
      </w:r>
      <w:r w:rsidR="00A954D0" w:rsidRPr="008379CA">
        <w:rPr>
          <w:rFonts w:ascii="Bookman Old Style" w:hAnsi="Bookman Old Style"/>
          <w:sz w:val="24"/>
          <w:szCs w:val="24"/>
        </w:rPr>
        <w:t xml:space="preserve"> </w:t>
      </w:r>
      <w:r w:rsidRPr="008379CA">
        <w:rPr>
          <w:rFonts w:ascii="Bookman Old Style" w:hAnsi="Bookman Old Style"/>
          <w:sz w:val="24"/>
          <w:szCs w:val="24"/>
        </w:rPr>
        <w:t>kondisi</w:t>
      </w:r>
      <w:r w:rsidR="00A954D0" w:rsidRPr="008379CA">
        <w:rPr>
          <w:rFonts w:ascii="Bookman Old Style" w:hAnsi="Bookman Old Style"/>
          <w:sz w:val="24"/>
          <w:szCs w:val="24"/>
        </w:rPr>
        <w:t xml:space="preserve"> </w:t>
      </w:r>
      <w:r w:rsidRPr="008379CA">
        <w:rPr>
          <w:rFonts w:ascii="Bookman Old Style" w:hAnsi="Bookman Old Style"/>
          <w:sz w:val="24"/>
          <w:szCs w:val="24"/>
        </w:rPr>
        <w:t>infrastruktur</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Pr="008379CA">
        <w:rPr>
          <w:rFonts w:ascii="Bookman Old Style" w:hAnsi="Bookman Old Style"/>
          <w:sz w:val="24"/>
          <w:szCs w:val="24"/>
        </w:rPr>
        <w:t>kapasitas</w:t>
      </w:r>
      <w:r w:rsidR="00A954D0" w:rsidRPr="008379CA">
        <w:rPr>
          <w:rFonts w:ascii="Bookman Old Style" w:hAnsi="Bookman Old Style"/>
          <w:sz w:val="24"/>
          <w:szCs w:val="24"/>
        </w:rPr>
        <w:t xml:space="preserve"> </w:t>
      </w:r>
      <w:r w:rsidRPr="008379CA">
        <w:rPr>
          <w:rFonts w:ascii="Bookman Old Style" w:hAnsi="Bookman Old Style"/>
          <w:sz w:val="24"/>
          <w:szCs w:val="24"/>
        </w:rPr>
        <w:t>fiskal</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sebagaimana</w:t>
      </w:r>
      <w:r w:rsidR="00A954D0" w:rsidRPr="008379CA">
        <w:rPr>
          <w:rFonts w:ascii="Bookman Old Style" w:hAnsi="Bookman Old Style"/>
          <w:sz w:val="24"/>
          <w:szCs w:val="24"/>
        </w:rPr>
        <w:t xml:space="preserve"> </w:t>
      </w:r>
      <w:r w:rsidRPr="008379CA">
        <w:rPr>
          <w:rFonts w:ascii="Bookman Old Style" w:hAnsi="Bookman Old Style"/>
          <w:sz w:val="24"/>
          <w:szCs w:val="24"/>
        </w:rPr>
        <w:t>maksud</w:t>
      </w:r>
      <w:r w:rsidR="00A954D0" w:rsidRPr="008379CA">
        <w:rPr>
          <w:rFonts w:ascii="Bookman Old Style" w:hAnsi="Bookman Old Style"/>
          <w:sz w:val="24"/>
          <w:szCs w:val="24"/>
        </w:rPr>
        <w:t xml:space="preserve"> </w:t>
      </w:r>
      <w:r w:rsidRPr="008379CA">
        <w:rPr>
          <w:rFonts w:ascii="Bookman Old Style" w:hAnsi="Bookman Old Style"/>
          <w:sz w:val="24"/>
          <w:szCs w:val="24"/>
        </w:rPr>
        <w:t>butir</w:t>
      </w:r>
      <w:r w:rsidR="00A954D0" w:rsidRPr="008379CA">
        <w:rPr>
          <w:rFonts w:ascii="Bookman Old Style" w:hAnsi="Bookman Old Style"/>
          <w:sz w:val="24"/>
          <w:szCs w:val="24"/>
        </w:rPr>
        <w:t xml:space="preserve"> </w:t>
      </w:r>
      <w:r w:rsidRPr="008379CA">
        <w:rPr>
          <w:rFonts w:ascii="Bookman Old Style" w:hAnsi="Bookman Old Style"/>
          <w:sz w:val="24"/>
          <w:szCs w:val="24"/>
        </w:rPr>
        <w:t>5.1.3.f</w:t>
      </w:r>
      <w:r w:rsidR="00A954D0" w:rsidRPr="008379CA">
        <w:rPr>
          <w:rFonts w:ascii="Bookman Old Style" w:hAnsi="Bookman Old Style"/>
          <w:sz w:val="24"/>
          <w:szCs w:val="24"/>
        </w:rPr>
        <w:t xml:space="preserve"> </w:t>
      </w:r>
      <w:r w:rsidRPr="008379CA">
        <w:rPr>
          <w:rFonts w:ascii="Bookman Old Style" w:hAnsi="Bookman Old Style"/>
          <w:sz w:val="24"/>
          <w:szCs w:val="24"/>
        </w:rPr>
        <w:t>Lampiran</w:t>
      </w:r>
      <w:r w:rsidR="00A954D0" w:rsidRPr="008379CA">
        <w:rPr>
          <w:rFonts w:ascii="Bookman Old Style" w:hAnsi="Bookman Old Style"/>
          <w:sz w:val="24"/>
          <w:szCs w:val="24"/>
        </w:rPr>
        <w:t xml:space="preserve"> </w:t>
      </w:r>
      <w:r w:rsidRPr="008379CA">
        <w:rPr>
          <w:rFonts w:ascii="Bookman Old Style" w:hAnsi="Bookman Old Style"/>
          <w:sz w:val="24"/>
          <w:szCs w:val="24"/>
        </w:rPr>
        <w:t>Peraturan</w:t>
      </w:r>
      <w:r w:rsidR="00A954D0" w:rsidRPr="008379CA">
        <w:rPr>
          <w:rFonts w:ascii="Bookman Old Style" w:hAnsi="Bookman Old Style"/>
          <w:sz w:val="24"/>
          <w:szCs w:val="24"/>
        </w:rPr>
        <w:t xml:space="preserve"> </w:t>
      </w:r>
      <w:r w:rsidRPr="008379CA">
        <w:rPr>
          <w:rFonts w:ascii="Bookman Old Style" w:hAnsi="Bookman Old Style"/>
          <w:sz w:val="24"/>
          <w:szCs w:val="24"/>
        </w:rPr>
        <w:t>Menteri</w:t>
      </w:r>
      <w:r w:rsidR="00A954D0" w:rsidRPr="008379CA">
        <w:rPr>
          <w:rFonts w:ascii="Bookman Old Style" w:hAnsi="Bookman Old Style"/>
          <w:sz w:val="24"/>
          <w:szCs w:val="24"/>
        </w:rPr>
        <w:t xml:space="preserve"> </w:t>
      </w:r>
      <w:r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Pr="008379CA">
        <w:rPr>
          <w:rFonts w:ascii="Bookman Old Style" w:hAnsi="Bookman Old Style"/>
          <w:sz w:val="24"/>
          <w:szCs w:val="24"/>
        </w:rPr>
        <w:t>Negeri</w:t>
      </w:r>
      <w:r w:rsidR="00A954D0" w:rsidRPr="008379CA">
        <w:rPr>
          <w:rFonts w:ascii="Bookman Old Style" w:hAnsi="Bookman Old Style"/>
          <w:sz w:val="24"/>
          <w:szCs w:val="24"/>
        </w:rPr>
        <w:t xml:space="preserve"> </w:t>
      </w:r>
      <w:r w:rsidRPr="008379CA">
        <w:rPr>
          <w:rFonts w:ascii="Bookman Old Style" w:hAnsi="Bookman Old Style"/>
          <w:sz w:val="24"/>
          <w:szCs w:val="24"/>
        </w:rPr>
        <w:t>Nomor</w:t>
      </w:r>
      <w:r w:rsidR="00A954D0" w:rsidRPr="008379CA">
        <w:rPr>
          <w:rFonts w:ascii="Bookman Old Style" w:hAnsi="Bookman Old Style"/>
          <w:sz w:val="24"/>
          <w:szCs w:val="24"/>
        </w:rPr>
        <w:t xml:space="preserve"> </w:t>
      </w:r>
      <w:r w:rsidRPr="008379CA">
        <w:rPr>
          <w:rFonts w:ascii="Bookman Old Style" w:hAnsi="Bookman Old Style"/>
          <w:sz w:val="24"/>
          <w:szCs w:val="24"/>
        </w:rPr>
        <w:t>15</w:t>
      </w:r>
      <w:r w:rsidR="00A954D0" w:rsidRPr="008379CA">
        <w:rPr>
          <w:rFonts w:ascii="Bookman Old Style" w:hAnsi="Bookman Old Style"/>
          <w:sz w:val="24"/>
          <w:szCs w:val="24"/>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rPr>
        <w:t>2024.</w:t>
      </w:r>
    </w:p>
    <w:p w14:paraId="31040C03" w14:textId="0FF63DB0" w:rsidR="00F14F4D" w:rsidRPr="008379CA" w:rsidRDefault="00F14F4D" w:rsidP="00447E9A">
      <w:pPr>
        <w:pStyle w:val="ListParagraph"/>
        <w:numPr>
          <w:ilvl w:val="0"/>
          <w:numId w:val="98"/>
        </w:numPr>
        <w:spacing w:before="120" w:after="0" w:line="276" w:lineRule="auto"/>
        <w:ind w:left="1276" w:hanging="283"/>
        <w:contextualSpacing w:val="0"/>
        <w:jc w:val="both"/>
        <w:rPr>
          <w:rFonts w:ascii="Bookman Old Style" w:hAnsi="Bookman Old Style" w:cs="Arial"/>
          <w:sz w:val="24"/>
          <w:szCs w:val="24"/>
        </w:rPr>
      </w:pPr>
      <w:r w:rsidRPr="008379CA">
        <w:rPr>
          <w:rFonts w:ascii="Bookman Old Style" w:hAnsi="Bookman Old Style" w:cs="Arial"/>
          <w:sz w:val="24"/>
          <w:szCs w:val="24"/>
        </w:rPr>
        <w:t>Alokasi</w:t>
      </w:r>
      <w:r w:rsidR="00A954D0" w:rsidRPr="008379CA">
        <w:rPr>
          <w:rFonts w:ascii="Bookman Old Style" w:hAnsi="Bookman Old Style" w:cs="Arial"/>
          <w:sz w:val="24"/>
          <w:szCs w:val="24"/>
        </w:rPr>
        <w:t xml:space="preserve"> </w:t>
      </w:r>
      <w:r w:rsidR="008C47C6" w:rsidRPr="008379CA">
        <w:rPr>
          <w:rFonts w:ascii="Bookman Old Style" w:hAnsi="Bookman Old Style" w:cs="Arial"/>
          <w:sz w:val="24"/>
          <w:szCs w:val="24"/>
        </w:rPr>
        <w:t>Anggaran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Belanja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Pegawai</w:t>
      </w:r>
      <w:r w:rsidR="00A954D0" w:rsidRPr="008379CA">
        <w:rPr>
          <w:rFonts w:ascii="Bookman Old Style" w:hAnsi="Bookman Old Style" w:cs="Arial"/>
          <w:sz w:val="24"/>
          <w:szCs w:val="24"/>
        </w:rPr>
        <w:t xml:space="preserve"> </w:t>
      </w:r>
      <w:r w:rsidR="00736899" w:rsidRPr="008379CA">
        <w:rPr>
          <w:rFonts w:ascii="Bookman Old Style" w:hAnsi="Bookman Old Style" w:cs="Arial"/>
          <w:sz w:val="24"/>
          <w:szCs w:val="24"/>
          <w:lang w:val="sv-FI"/>
        </w:rPr>
        <w:t>di</w:t>
      </w:r>
      <w:r w:rsidR="00A954D0" w:rsidRPr="008379CA">
        <w:rPr>
          <w:rFonts w:ascii="Bookman Old Style" w:hAnsi="Bookman Old Style" w:cs="Arial"/>
          <w:sz w:val="24"/>
          <w:szCs w:val="24"/>
          <w:lang w:val="sv-FI"/>
        </w:rPr>
        <w:t xml:space="preserve"> </w:t>
      </w:r>
      <w:r w:rsidR="00736899" w:rsidRPr="008379CA">
        <w:rPr>
          <w:rFonts w:ascii="Bookman Old Style" w:hAnsi="Bookman Old Style" w:cs="Arial"/>
          <w:sz w:val="24"/>
          <w:szCs w:val="24"/>
          <w:lang w:val="sv-FI"/>
        </w:rPr>
        <w:t>luar</w:t>
      </w:r>
      <w:r w:rsidR="00A954D0" w:rsidRPr="008379CA">
        <w:rPr>
          <w:rFonts w:ascii="Bookman Old Style" w:hAnsi="Bookman Old Style" w:cs="Arial"/>
          <w:sz w:val="24"/>
          <w:szCs w:val="24"/>
          <w:lang w:val="sv-FI"/>
        </w:rPr>
        <w:t xml:space="preserve"> </w:t>
      </w:r>
      <w:r w:rsidR="00736899" w:rsidRPr="008379CA">
        <w:rPr>
          <w:rFonts w:ascii="Bookman Old Style" w:hAnsi="Bookman Old Style" w:cs="Arial"/>
          <w:sz w:val="24"/>
          <w:szCs w:val="24"/>
          <w:lang w:val="sv-FI"/>
        </w:rPr>
        <w:t>tunjangan</w:t>
      </w:r>
      <w:r w:rsidR="00A954D0" w:rsidRPr="008379CA">
        <w:rPr>
          <w:rFonts w:ascii="Bookman Old Style" w:hAnsi="Bookman Old Style" w:cs="Arial"/>
          <w:sz w:val="24"/>
          <w:szCs w:val="24"/>
          <w:lang w:val="sv-FI"/>
        </w:rPr>
        <w:t xml:space="preserve"> </w:t>
      </w:r>
      <w:r w:rsidR="00736899" w:rsidRPr="008379CA">
        <w:rPr>
          <w:rFonts w:ascii="Bookman Old Style" w:hAnsi="Bookman Old Style" w:cs="Arial"/>
          <w:sz w:val="24"/>
          <w:szCs w:val="24"/>
          <w:lang w:val="sv-FI"/>
        </w:rPr>
        <w:t>guru</w:t>
      </w:r>
      <w:r w:rsidR="00A954D0" w:rsidRPr="008379CA">
        <w:rPr>
          <w:rFonts w:ascii="Bookman Old Style" w:hAnsi="Bookman Old Style" w:cs="Arial"/>
          <w:sz w:val="24"/>
          <w:szCs w:val="24"/>
          <w:lang w:val="sv-FI"/>
        </w:rPr>
        <w:t xml:space="preserve"> </w:t>
      </w:r>
      <w:r w:rsidR="00736899" w:rsidRPr="008379CA">
        <w:rPr>
          <w:rFonts w:ascii="Bookman Old Style" w:hAnsi="Bookman Old Style" w:cs="Arial"/>
          <w:sz w:val="24"/>
          <w:szCs w:val="24"/>
          <w:lang w:val="sv-FI"/>
        </w:rPr>
        <w:t>yang</w:t>
      </w:r>
      <w:r w:rsidR="00A954D0" w:rsidRPr="008379CA">
        <w:rPr>
          <w:rFonts w:ascii="Bookman Old Style" w:hAnsi="Bookman Old Style" w:cs="Arial"/>
          <w:sz w:val="24"/>
          <w:szCs w:val="24"/>
          <w:lang w:val="sv-FI"/>
        </w:rPr>
        <w:t xml:space="preserve"> </w:t>
      </w:r>
      <w:r w:rsidR="00736899" w:rsidRPr="008379CA">
        <w:rPr>
          <w:rFonts w:ascii="Bookman Old Style" w:hAnsi="Bookman Old Style" w:cs="Arial"/>
          <w:sz w:val="24"/>
          <w:szCs w:val="24"/>
          <w:lang w:val="sv-FI"/>
        </w:rPr>
        <w:t>dialokasikan</w:t>
      </w:r>
      <w:r w:rsidR="00A954D0" w:rsidRPr="008379CA">
        <w:rPr>
          <w:rFonts w:ascii="Bookman Old Style" w:hAnsi="Bookman Old Style" w:cs="Arial"/>
          <w:sz w:val="24"/>
          <w:szCs w:val="24"/>
          <w:lang w:val="sv-FI"/>
        </w:rPr>
        <w:t xml:space="preserve"> </w:t>
      </w:r>
      <w:r w:rsidR="00736899" w:rsidRPr="008379CA">
        <w:rPr>
          <w:rFonts w:ascii="Bookman Old Style" w:hAnsi="Bookman Old Style" w:cs="Arial"/>
          <w:sz w:val="24"/>
          <w:szCs w:val="24"/>
          <w:lang w:val="sv-FI"/>
        </w:rPr>
        <w:t>melalui</w:t>
      </w:r>
      <w:r w:rsidR="00A954D0" w:rsidRPr="008379CA">
        <w:rPr>
          <w:rFonts w:ascii="Bookman Old Style" w:hAnsi="Bookman Old Style" w:cs="Arial"/>
          <w:sz w:val="24"/>
          <w:szCs w:val="24"/>
          <w:lang w:val="sv-FI"/>
        </w:rPr>
        <w:t xml:space="preserve"> </w:t>
      </w:r>
      <w:r w:rsidR="00736899" w:rsidRPr="008379CA">
        <w:rPr>
          <w:rFonts w:ascii="Bookman Old Style" w:hAnsi="Bookman Old Style" w:cs="Arial"/>
          <w:sz w:val="24"/>
          <w:szCs w:val="24"/>
          <w:lang w:val="sv-FI"/>
        </w:rPr>
        <w:t>TKD</w:t>
      </w:r>
    </w:p>
    <w:p w14:paraId="7EAC9B3C" w14:textId="4A4F1F61" w:rsidR="00843653" w:rsidRPr="008379CA" w:rsidRDefault="00843653" w:rsidP="00447E9A">
      <w:pPr>
        <w:pStyle w:val="ListParagraph"/>
        <w:spacing w:before="60" w:after="0" w:line="276" w:lineRule="auto"/>
        <w:ind w:left="1276"/>
        <w:contextualSpacing w:val="0"/>
        <w:jc w:val="both"/>
        <w:rPr>
          <w:rFonts w:ascii="Bookman Old Style" w:hAnsi="Bookman Old Style" w:cs="Gill Sans Light (Arabid)"/>
          <w:bCs/>
          <w:sz w:val="24"/>
          <w:szCs w:val="24"/>
          <w:lang w:eastAsia="id-ID"/>
        </w:rPr>
      </w:pPr>
      <w:r w:rsidRPr="008379CA">
        <w:rPr>
          <w:rFonts w:ascii="Bookman Old Style" w:hAnsi="Bookman Old Style"/>
          <w:sz w:val="24"/>
          <w:szCs w:val="24"/>
          <w:lang w:val="id-ID"/>
        </w:rPr>
        <w:t>Penyediaan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rPr>
        <w:t>anggaran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rPr>
        <w:t>Belanja</w:t>
      </w:r>
      <w:r w:rsidR="00A954D0" w:rsidRPr="008379CA">
        <w:rPr>
          <w:rFonts w:ascii="Bookman Old Style" w:hAnsi="Bookman Old Style"/>
          <w:sz w:val="24"/>
          <w:szCs w:val="24"/>
        </w:rPr>
        <w:t xml:space="preserve"> </w:t>
      </w:r>
      <w:r w:rsidRPr="008379CA">
        <w:rPr>
          <w:rFonts w:ascii="Bookman Old Style" w:hAnsi="Bookman Old Style"/>
          <w:sz w:val="24"/>
          <w:szCs w:val="24"/>
        </w:rPr>
        <w:t>Pegawai</w:t>
      </w:r>
      <w:r w:rsidR="00A954D0" w:rsidRPr="008379CA">
        <w:rPr>
          <w:rFonts w:ascii="Bookman Old Style" w:hAnsi="Bookman Old Style"/>
          <w:sz w:val="24"/>
          <w:szCs w:val="24"/>
        </w:rPr>
        <w:t xml:space="preserve"> </w:t>
      </w:r>
      <w:r w:rsidRPr="008379CA">
        <w:rPr>
          <w:rFonts w:ascii="Bookman Old Style" w:hAnsi="Bookman Old Style"/>
          <w:sz w:val="24"/>
          <w:szCs w:val="24"/>
          <w:lang w:val="en-US"/>
        </w:rPr>
        <w:t>Rp2.121.034.028.539,00</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atau</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id-ID"/>
        </w:rPr>
        <w:t>37</w:t>
      </w:r>
      <w:r w:rsidRPr="008379CA">
        <w:rPr>
          <w:rFonts w:ascii="Bookman Old Style" w:hAnsi="Bookman Old Style"/>
          <w:sz w:val="24"/>
          <w:szCs w:val="24"/>
          <w:lang w:val="en-US"/>
        </w:rPr>
        <w:t>,</w:t>
      </w:r>
      <w:r w:rsidRPr="008379CA">
        <w:rPr>
          <w:rFonts w:ascii="Bookman Old Style" w:hAnsi="Bookman Old Style"/>
          <w:sz w:val="24"/>
          <w:szCs w:val="24"/>
          <w:lang w:val="id-ID"/>
        </w:rPr>
        <w:t>17</w:t>
      </w:r>
      <w:r w:rsidRPr="008379CA">
        <w:rPr>
          <w:rFonts w:ascii="Bookman Old Style" w:hAnsi="Bookman Old Style"/>
          <w:sz w:val="24"/>
          <w:szCs w:val="24"/>
          <w:lang w:val="en-US"/>
        </w:rPr>
        <w:t>%</w:t>
      </w:r>
      <w:r w:rsidR="00A954D0" w:rsidRPr="008379CA">
        <w:rPr>
          <w:rFonts w:ascii="Bookman Old Style" w:hAnsi="Bookman Old Style"/>
          <w:sz w:val="24"/>
          <w:szCs w:val="24"/>
        </w:rPr>
        <w:t xml:space="preserve"> </w:t>
      </w:r>
      <w:r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Pr="008379CA">
        <w:rPr>
          <w:rFonts w:ascii="Bookman Old Style" w:hAnsi="Bookman Old Style"/>
          <w:sz w:val="24"/>
          <w:szCs w:val="24"/>
        </w:rPr>
        <w:t>total</w:t>
      </w:r>
      <w:r w:rsidR="00A954D0" w:rsidRPr="008379CA">
        <w:rPr>
          <w:rFonts w:ascii="Bookman Old Style" w:hAnsi="Bookman Old Style"/>
          <w:sz w:val="24"/>
          <w:szCs w:val="24"/>
        </w:rPr>
        <w:t xml:space="preserve"> </w:t>
      </w:r>
      <w:r w:rsidRPr="008379CA">
        <w:rPr>
          <w:rFonts w:ascii="Bookman Old Style" w:hAnsi="Bookman Old Style"/>
          <w:sz w:val="24"/>
          <w:szCs w:val="24"/>
        </w:rPr>
        <w:t>belanja</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cs="Gill Sans Light (Arabid)"/>
          <w:bCs/>
          <w:sz w:val="24"/>
          <w:szCs w:val="24"/>
          <w:lang w:eastAsia="id-ID"/>
        </w:rPr>
        <w:t xml:space="preserve"> </w:t>
      </w:r>
      <w:r w:rsidRPr="008379CA">
        <w:rPr>
          <w:rFonts w:ascii="Bookman Old Style" w:hAnsi="Bookman Old Style" w:cs="Gill Sans Light (Arabid)"/>
          <w:bCs/>
          <w:sz w:val="24"/>
          <w:szCs w:val="24"/>
          <w:lang w:eastAsia="id-ID"/>
        </w:rPr>
        <w:t>dalam</w:t>
      </w:r>
      <w:r w:rsidR="00A954D0" w:rsidRPr="008379CA">
        <w:rPr>
          <w:rFonts w:ascii="Bookman Old Style" w:hAnsi="Bookman Old Style" w:cs="Gill Sans Light (Arabid)"/>
          <w:bCs/>
          <w:sz w:val="24"/>
          <w:szCs w:val="24"/>
          <w:lang w:eastAsia="id-ID"/>
        </w:rPr>
        <w:t xml:space="preserve"> </w:t>
      </w:r>
      <w:r w:rsidRPr="008379CA">
        <w:rPr>
          <w:rFonts w:ascii="Bookman Old Style" w:hAnsi="Bookman Old Style" w:cs="Gill Sans Light (Arabid)"/>
          <w:bCs/>
          <w:sz w:val="24"/>
          <w:szCs w:val="24"/>
          <w:lang w:eastAsia="id-ID"/>
        </w:rPr>
        <w:t>Rancangan</w:t>
      </w:r>
      <w:r w:rsidR="00A954D0" w:rsidRPr="008379CA">
        <w:rPr>
          <w:rFonts w:ascii="Bookman Old Style" w:hAnsi="Bookman Old Style" w:cs="Gill Sans Light (Arabid)"/>
          <w:bCs/>
          <w:sz w:val="24"/>
          <w:szCs w:val="24"/>
          <w:lang w:eastAsia="id-ID"/>
        </w:rPr>
        <w:t xml:space="preserve"> </w:t>
      </w:r>
      <w:r w:rsidRPr="008379CA">
        <w:rPr>
          <w:rFonts w:ascii="Bookman Old Style" w:hAnsi="Bookman Old Style" w:cs="Gill Sans Light (Arabid)"/>
          <w:bCs/>
          <w:sz w:val="24"/>
          <w:szCs w:val="24"/>
          <w:lang w:eastAsia="id-ID"/>
        </w:rPr>
        <w:t>Peraturan</w:t>
      </w:r>
      <w:r w:rsidR="00A954D0" w:rsidRPr="008379CA">
        <w:rPr>
          <w:rFonts w:ascii="Bookman Old Style" w:hAnsi="Bookman Old Style" w:cs="Gill Sans Light (Arabid)"/>
          <w:bCs/>
          <w:sz w:val="24"/>
          <w:szCs w:val="24"/>
          <w:lang w:eastAsia="id-ID"/>
        </w:rPr>
        <w:t xml:space="preserve"> </w:t>
      </w:r>
      <w:r w:rsidRPr="008379CA">
        <w:rPr>
          <w:rFonts w:ascii="Bookman Old Style" w:hAnsi="Bookman Old Style" w:cs="Gill Sans Light (Arabid)"/>
          <w:bCs/>
          <w:sz w:val="24"/>
          <w:szCs w:val="24"/>
          <w:lang w:eastAsia="id-ID"/>
        </w:rPr>
        <w:t>Daerah</w:t>
      </w:r>
      <w:r w:rsidR="00A954D0" w:rsidRPr="008379CA">
        <w:rPr>
          <w:rFonts w:ascii="Bookman Old Style" w:hAnsi="Bookman Old Style" w:cs="Gill Sans Light (Arabid)"/>
          <w:bCs/>
          <w:sz w:val="24"/>
          <w:szCs w:val="24"/>
          <w:lang w:eastAsia="id-ID"/>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cs="Gill Sans Light (Arabid)"/>
          <w:bCs/>
          <w:sz w:val="24"/>
          <w:szCs w:val="24"/>
          <w:lang w:eastAsia="id-ID"/>
        </w:rPr>
        <w:t>tentang</w:t>
      </w:r>
      <w:r w:rsidR="00A954D0" w:rsidRPr="008379CA">
        <w:rPr>
          <w:rFonts w:ascii="Bookman Old Style" w:hAnsi="Bookman Old Style" w:cs="Gill Sans Light (Arabid)"/>
          <w:bCs/>
          <w:sz w:val="24"/>
          <w:szCs w:val="24"/>
          <w:lang w:eastAsia="id-ID"/>
        </w:rPr>
        <w:t xml:space="preserve"> </w:t>
      </w:r>
      <w:r w:rsidRPr="008379CA">
        <w:rPr>
          <w:rFonts w:ascii="Bookman Old Style" w:hAnsi="Bookman Old Style" w:cs="Gill Sans Light (Arabid)"/>
          <w:bCs/>
          <w:sz w:val="24"/>
          <w:szCs w:val="24"/>
          <w:lang w:eastAsia="id-ID"/>
        </w:rPr>
        <w:t>APBD</w:t>
      </w:r>
      <w:r w:rsidR="00A954D0" w:rsidRPr="008379CA">
        <w:rPr>
          <w:rFonts w:ascii="Bookman Old Style" w:hAnsi="Bookman Old Style" w:cs="Gill Sans Light (Arabid)"/>
          <w:bCs/>
          <w:sz w:val="24"/>
          <w:szCs w:val="24"/>
          <w:lang w:eastAsia="id-ID"/>
        </w:rPr>
        <w:t xml:space="preserve"> </w:t>
      </w:r>
      <w:r w:rsidRPr="008379CA">
        <w:rPr>
          <w:rFonts w:ascii="Bookman Old Style" w:hAnsi="Bookman Old Style" w:cs="Gill Sans Light (Arabid)"/>
          <w:bCs/>
          <w:sz w:val="24"/>
          <w:szCs w:val="24"/>
          <w:lang w:eastAsia="id-ID"/>
        </w:rPr>
        <w:t>Tahun</w:t>
      </w:r>
      <w:r w:rsidR="00A954D0" w:rsidRPr="008379CA">
        <w:rPr>
          <w:rFonts w:ascii="Bookman Old Style" w:hAnsi="Bookman Old Style" w:cs="Gill Sans Light (Arabid)"/>
          <w:bCs/>
          <w:sz w:val="24"/>
          <w:szCs w:val="24"/>
          <w:lang w:eastAsia="id-ID"/>
        </w:rPr>
        <w:t xml:space="preserve"> </w:t>
      </w:r>
      <w:r w:rsidRPr="008379CA">
        <w:rPr>
          <w:rFonts w:ascii="Bookman Old Style" w:hAnsi="Bookman Old Style" w:cs="Gill Sans Light (Arabid)"/>
          <w:bCs/>
          <w:sz w:val="24"/>
          <w:szCs w:val="24"/>
          <w:lang w:eastAsia="id-ID"/>
        </w:rPr>
        <w:t>Anggaran</w:t>
      </w:r>
      <w:r w:rsidR="00A954D0" w:rsidRPr="008379CA">
        <w:rPr>
          <w:rFonts w:ascii="Bookman Old Style" w:hAnsi="Bookman Old Style" w:cs="Gill Sans Light (Arabid)"/>
          <w:bCs/>
          <w:sz w:val="24"/>
          <w:szCs w:val="24"/>
          <w:lang w:eastAsia="id-ID"/>
        </w:rPr>
        <w:t xml:space="preserve"> </w:t>
      </w:r>
      <w:r w:rsidRPr="008379CA">
        <w:rPr>
          <w:rFonts w:ascii="Bookman Old Style" w:hAnsi="Bookman Old Style" w:cs="Gill Sans Light (Arabid)"/>
          <w:bCs/>
          <w:sz w:val="24"/>
          <w:szCs w:val="24"/>
          <w:lang w:eastAsia="id-ID"/>
        </w:rPr>
        <w:t>2025.</w:t>
      </w:r>
    </w:p>
    <w:p w14:paraId="1767D3DF" w14:textId="4C0F2477" w:rsidR="00521ABC" w:rsidRPr="008379CA" w:rsidRDefault="00843653" w:rsidP="00447E9A">
      <w:pPr>
        <w:pStyle w:val="ListParagraph"/>
        <w:spacing w:before="60" w:after="0" w:line="276" w:lineRule="auto"/>
        <w:ind w:left="1276"/>
        <w:contextualSpacing w:val="0"/>
        <w:jc w:val="both"/>
        <w:rPr>
          <w:rFonts w:ascii="Bookman Old Style" w:hAnsi="Bookman Old Style"/>
          <w:sz w:val="24"/>
          <w:szCs w:val="24"/>
          <w:lang w:val="id-ID"/>
        </w:rPr>
      </w:pPr>
      <w:r w:rsidRPr="008379CA">
        <w:rPr>
          <w:rFonts w:ascii="Bookman Old Style" w:hAnsi="Bookman Old Style"/>
          <w:sz w:val="24"/>
          <w:szCs w:val="24"/>
        </w:rPr>
        <w:lastRenderedPageBreak/>
        <w:t>Selanjutnya,</w:t>
      </w:r>
      <w:r w:rsidR="00A954D0" w:rsidRPr="008379CA">
        <w:rPr>
          <w:rFonts w:ascii="Bookman Old Style" w:hAnsi="Bookman Old Style"/>
          <w:sz w:val="24"/>
          <w:szCs w:val="24"/>
        </w:rPr>
        <w:t xml:space="preserve"> </w:t>
      </w:r>
      <w:r w:rsidRPr="008379CA">
        <w:rPr>
          <w:rFonts w:ascii="Bookman Old Style" w:hAnsi="Bookman Old Style"/>
          <w:sz w:val="24"/>
          <w:szCs w:val="24"/>
        </w:rPr>
        <w:t>penyediaan</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belanja</w:t>
      </w:r>
      <w:r w:rsidR="00A954D0" w:rsidRPr="008379CA">
        <w:rPr>
          <w:rFonts w:ascii="Bookman Old Style" w:hAnsi="Bookman Old Style"/>
          <w:sz w:val="24"/>
          <w:szCs w:val="24"/>
        </w:rPr>
        <w:t xml:space="preserve"> </w:t>
      </w:r>
      <w:r w:rsidRPr="008379CA">
        <w:rPr>
          <w:rFonts w:ascii="Bookman Old Style" w:hAnsi="Bookman Old Style"/>
          <w:sz w:val="24"/>
          <w:szCs w:val="24"/>
        </w:rPr>
        <w:t>pegawai</w:t>
      </w:r>
      <w:r w:rsidR="00A954D0" w:rsidRPr="008379CA">
        <w:rPr>
          <w:rFonts w:ascii="Bookman Old Style" w:hAnsi="Bookman Old Style"/>
          <w:sz w:val="24"/>
          <w:szCs w:val="24"/>
        </w:rPr>
        <w:t xml:space="preserve"> </w:t>
      </w:r>
      <w:r w:rsidRPr="008379CA">
        <w:rPr>
          <w:rFonts w:ascii="Bookman Old Style" w:hAnsi="Bookman Old Style"/>
          <w:sz w:val="24"/>
          <w:szCs w:val="24"/>
          <w:lang w:val="id-ID"/>
        </w:rPr>
        <w:t>di</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id-ID"/>
        </w:rPr>
        <w:t>luar</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tambahan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penghasilan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guru,</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tunjangan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khusus</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guru,</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tunjangan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profesi</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guru</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tunjangan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sejenis</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lainnya</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yang</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bersumber</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dari</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TKD</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yang</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telah</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ditentukan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penggunaannya</w:t>
      </w:r>
      <w:r w:rsidR="00A954D0" w:rsidRPr="008379CA">
        <w:rPr>
          <w:rFonts w:ascii="Bookman Old Style" w:hAnsi="Bookman Old Style" w:cs="Arial"/>
          <w:sz w:val="24"/>
          <w:szCs w:val="24"/>
          <w:lang w:val="en-US"/>
        </w:rPr>
        <w:t xml:space="preserve"> </w:t>
      </w:r>
      <w:r w:rsidRPr="008379CA">
        <w:rPr>
          <w:rFonts w:ascii="Bookman Old Style" w:hAnsi="Bookman Old Style"/>
          <w:sz w:val="24"/>
          <w:szCs w:val="24"/>
          <w:lang w:val="en-US"/>
        </w:rPr>
        <w:t>Rp1.897.525.621.539,00</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atau</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id-ID"/>
        </w:rPr>
        <w:t>33</w:t>
      </w:r>
      <w:r w:rsidRPr="008379CA">
        <w:rPr>
          <w:rFonts w:ascii="Bookman Old Style" w:hAnsi="Bookman Old Style"/>
          <w:sz w:val="24"/>
          <w:szCs w:val="24"/>
          <w:lang w:val="en-US"/>
        </w:rPr>
        <w:t>,</w:t>
      </w:r>
      <w:r w:rsidRPr="008379CA">
        <w:rPr>
          <w:rFonts w:ascii="Bookman Old Style" w:hAnsi="Bookman Old Style"/>
          <w:sz w:val="24"/>
          <w:szCs w:val="24"/>
          <w:lang w:val="id-ID"/>
        </w:rPr>
        <w:t>25</w:t>
      </w:r>
      <w:r w:rsidRPr="008379CA">
        <w:rPr>
          <w:rFonts w:ascii="Bookman Old Style" w:hAnsi="Bookman Old Style"/>
          <w:sz w:val="24"/>
          <w:szCs w:val="24"/>
          <w:lang w:val="en-US"/>
        </w:rPr>
        <w:t>%</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dari</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total</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belanja</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daerah</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dalam</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Rancangan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Peraturan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Daerah</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id-ID"/>
        </w:rPr>
        <w:t>tentang</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APBD</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Tahun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Anggaran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2025</w:t>
      </w:r>
      <w:r w:rsidRPr="008379CA">
        <w:rPr>
          <w:rFonts w:ascii="Bookman Old Style" w:hAnsi="Bookman Old Style"/>
          <w:sz w:val="24"/>
          <w:szCs w:val="24"/>
          <w:lang w:val="en-US"/>
        </w:rPr>
        <w:t>,</w:t>
      </w:r>
      <w:r w:rsidR="00A954D0" w:rsidRPr="008379CA">
        <w:rPr>
          <w:rFonts w:ascii="Bookman Old Style" w:hAnsi="Bookman Old Style"/>
          <w:sz w:val="24"/>
          <w:szCs w:val="24"/>
          <w:lang w:val="en-US"/>
        </w:rPr>
        <w:t xml:space="preserve"> </w:t>
      </w:r>
      <w:r w:rsidRPr="008379CA">
        <w:rPr>
          <w:rFonts w:ascii="Bookman Old Style" w:hAnsi="Bookman Old Style"/>
          <w:sz w:val="24"/>
          <w:szCs w:val="24"/>
        </w:rPr>
        <w:t>dengan</w:t>
      </w:r>
      <w:r w:rsidR="00A954D0" w:rsidRPr="008379CA">
        <w:rPr>
          <w:rFonts w:ascii="Bookman Old Style" w:hAnsi="Bookman Old Style"/>
          <w:sz w:val="24"/>
          <w:szCs w:val="24"/>
        </w:rPr>
        <w:t xml:space="preserve"> </w:t>
      </w:r>
      <w:r w:rsidRPr="008379CA">
        <w:rPr>
          <w:rFonts w:ascii="Bookman Old Style" w:hAnsi="Bookman Old Style"/>
          <w:sz w:val="24"/>
          <w:szCs w:val="24"/>
        </w:rPr>
        <w:t>perhitungan</w:t>
      </w:r>
      <w:r w:rsidR="00A954D0" w:rsidRPr="008379CA">
        <w:rPr>
          <w:rFonts w:ascii="Bookman Old Style" w:hAnsi="Bookman Old Style"/>
          <w:sz w:val="24"/>
          <w:szCs w:val="24"/>
        </w:rPr>
        <w:t xml:space="preserve"> </w:t>
      </w:r>
      <w:r w:rsidRPr="008379CA">
        <w:rPr>
          <w:rFonts w:ascii="Bookman Old Style" w:hAnsi="Bookman Old Style"/>
          <w:sz w:val="24"/>
          <w:szCs w:val="24"/>
        </w:rPr>
        <w:t>sebagaimana</w:t>
      </w:r>
      <w:r w:rsidR="00A954D0" w:rsidRPr="008379CA">
        <w:rPr>
          <w:rFonts w:ascii="Bookman Old Style" w:hAnsi="Bookman Old Style"/>
          <w:sz w:val="24"/>
          <w:szCs w:val="24"/>
        </w:rPr>
        <w:t xml:space="preserve"> </w:t>
      </w:r>
      <w:r w:rsidRPr="008379CA">
        <w:rPr>
          <w:rFonts w:ascii="Bookman Old Style" w:hAnsi="Bookman Old Style"/>
          <w:sz w:val="24"/>
          <w:szCs w:val="24"/>
        </w:rPr>
        <w:t>Tabel</w:t>
      </w:r>
      <w:r w:rsidR="00A954D0" w:rsidRPr="008379CA">
        <w:rPr>
          <w:rFonts w:ascii="Bookman Old Style" w:hAnsi="Bookman Old Style"/>
          <w:sz w:val="24"/>
          <w:szCs w:val="24"/>
        </w:rPr>
        <w:t xml:space="preserve"> </w:t>
      </w:r>
      <w:r w:rsidR="00447E9A" w:rsidRPr="008379CA">
        <w:rPr>
          <w:rFonts w:ascii="Bookman Old Style" w:hAnsi="Bookman Old Style"/>
          <w:sz w:val="24"/>
          <w:szCs w:val="24"/>
          <w:lang w:val="en-US"/>
        </w:rPr>
        <w:t>9</w:t>
      </w:r>
      <w:r w:rsidR="00A954D0" w:rsidRPr="008379CA">
        <w:rPr>
          <w:rFonts w:ascii="Bookman Old Style" w:hAnsi="Bookman Old Style"/>
          <w:sz w:val="24"/>
          <w:szCs w:val="24"/>
        </w:rPr>
        <w:t xml:space="preserve"> </w:t>
      </w:r>
      <w:r w:rsidRPr="008379CA">
        <w:rPr>
          <w:rFonts w:ascii="Bookman Old Style" w:hAnsi="Bookman Old Style"/>
          <w:sz w:val="24"/>
          <w:szCs w:val="24"/>
        </w:rPr>
        <w:t>berikut:</w:t>
      </w:r>
    </w:p>
    <w:p w14:paraId="3C2EFEA5" w14:textId="467DC600" w:rsidR="00843653" w:rsidRPr="008379CA" w:rsidRDefault="00843653" w:rsidP="003C65C5">
      <w:pPr>
        <w:pStyle w:val="ListParagraph"/>
        <w:spacing w:before="60" w:after="0" w:line="276" w:lineRule="auto"/>
        <w:ind w:left="1287"/>
        <w:contextualSpacing w:val="0"/>
        <w:jc w:val="center"/>
        <w:rPr>
          <w:rFonts w:ascii="Bookman Old Style" w:hAnsi="Bookman Old Style"/>
          <w:sz w:val="24"/>
          <w:szCs w:val="24"/>
          <w:lang w:val="id-ID"/>
        </w:rPr>
      </w:pPr>
      <w:r w:rsidRPr="008379CA">
        <w:rPr>
          <w:rFonts w:ascii="Bookman Old Style" w:hAnsi="Bookman Old Style"/>
          <w:sz w:val="24"/>
          <w:szCs w:val="24"/>
          <w:lang w:val="id-ID"/>
        </w:rPr>
        <w:t>Tabel</w:t>
      </w:r>
      <w:r w:rsidR="00A954D0" w:rsidRPr="008379CA">
        <w:rPr>
          <w:rFonts w:ascii="Bookman Old Style" w:hAnsi="Bookman Old Style"/>
          <w:sz w:val="24"/>
          <w:szCs w:val="24"/>
          <w:lang w:val="id-ID"/>
        </w:rPr>
        <w:t xml:space="preserve"> </w:t>
      </w:r>
      <w:r w:rsidR="00447E9A" w:rsidRPr="008379CA">
        <w:rPr>
          <w:rFonts w:ascii="Bookman Old Style" w:hAnsi="Bookman Old Style"/>
          <w:sz w:val="24"/>
          <w:szCs w:val="24"/>
          <w:lang w:val="en-US"/>
        </w:rPr>
        <w:t>9</w:t>
      </w:r>
    </w:p>
    <w:p w14:paraId="71EBD2A9" w14:textId="12A8DFEE" w:rsidR="00843653" w:rsidRPr="008379CA" w:rsidRDefault="00843653" w:rsidP="003C65C5">
      <w:pPr>
        <w:pStyle w:val="ListParagraph"/>
        <w:spacing w:after="120" w:line="276" w:lineRule="auto"/>
        <w:ind w:left="1287"/>
        <w:contextualSpacing w:val="0"/>
        <w:jc w:val="center"/>
        <w:rPr>
          <w:rFonts w:ascii="Bookman Old Style" w:hAnsi="Bookman Old Style"/>
          <w:sz w:val="24"/>
          <w:szCs w:val="24"/>
          <w:lang w:val="id-ID"/>
        </w:rPr>
      </w:pPr>
      <w:r w:rsidRPr="008379CA">
        <w:rPr>
          <w:rFonts w:ascii="Bookman Old Style" w:hAnsi="Bookman Old Style"/>
          <w:sz w:val="24"/>
          <w:szCs w:val="24"/>
        </w:rPr>
        <w:t>Komposisi</w:t>
      </w:r>
      <w:r w:rsidR="00A954D0" w:rsidRPr="008379CA">
        <w:rPr>
          <w:rFonts w:ascii="Bookman Old Style" w:hAnsi="Bookman Old Style"/>
          <w:sz w:val="24"/>
          <w:szCs w:val="24"/>
        </w:rPr>
        <w:t xml:space="preserve"> </w:t>
      </w:r>
      <w:r w:rsidRPr="008379CA">
        <w:rPr>
          <w:rFonts w:ascii="Bookman Old Style" w:hAnsi="Bookman Old Style"/>
          <w:sz w:val="24"/>
          <w:szCs w:val="24"/>
        </w:rPr>
        <w:t>Belanja</w:t>
      </w:r>
      <w:r w:rsidR="00A954D0" w:rsidRPr="008379CA">
        <w:rPr>
          <w:rFonts w:ascii="Bookman Old Style" w:hAnsi="Bookman Old Style"/>
          <w:sz w:val="24"/>
          <w:szCs w:val="24"/>
        </w:rPr>
        <w:t xml:space="preserve"> </w:t>
      </w:r>
      <w:r w:rsidRPr="008379CA">
        <w:rPr>
          <w:rFonts w:ascii="Bookman Old Style" w:hAnsi="Bookman Old Style"/>
          <w:sz w:val="24"/>
          <w:szCs w:val="24"/>
        </w:rPr>
        <w:t>Pegawai</w:t>
      </w:r>
    </w:p>
    <w:tbl>
      <w:tblPr>
        <w:tblW w:w="7953" w:type="dxa"/>
        <w:tblInd w:w="959" w:type="dxa"/>
        <w:tblLook w:val="04A0" w:firstRow="1" w:lastRow="0" w:firstColumn="1" w:lastColumn="0" w:noHBand="0" w:noVBand="1"/>
      </w:tblPr>
      <w:tblGrid>
        <w:gridCol w:w="488"/>
        <w:gridCol w:w="5068"/>
        <w:gridCol w:w="2537"/>
      </w:tblGrid>
      <w:tr w:rsidR="008379CA" w:rsidRPr="008379CA" w14:paraId="6A33594A" w14:textId="77777777" w:rsidTr="00C90CFA">
        <w:trPr>
          <w:trHeight w:val="62"/>
          <w:tblHeader/>
        </w:trPr>
        <w:tc>
          <w:tcPr>
            <w:tcW w:w="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D8B9C" w14:textId="77777777" w:rsidR="00843653" w:rsidRPr="008379CA" w:rsidRDefault="00843653" w:rsidP="00C90CFA">
            <w:pPr>
              <w:jc w:val="center"/>
              <w:rPr>
                <w:rFonts w:ascii="Bookman Old Style" w:hAnsi="Bookman Old Style" w:cs="Arial"/>
                <w:b/>
                <w:bCs/>
                <w:sz w:val="20"/>
                <w:szCs w:val="20"/>
              </w:rPr>
            </w:pPr>
            <w:r w:rsidRPr="008379CA">
              <w:rPr>
                <w:rFonts w:ascii="Bookman Old Style" w:hAnsi="Bookman Old Style" w:cs="Arial"/>
                <w:b/>
                <w:bCs/>
                <w:sz w:val="20"/>
                <w:szCs w:val="20"/>
              </w:rPr>
              <w:t>No</w:t>
            </w:r>
          </w:p>
        </w:tc>
        <w:tc>
          <w:tcPr>
            <w:tcW w:w="5068" w:type="dxa"/>
            <w:tcBorders>
              <w:top w:val="single" w:sz="4" w:space="0" w:color="auto"/>
              <w:left w:val="nil"/>
              <w:bottom w:val="single" w:sz="4" w:space="0" w:color="auto"/>
              <w:right w:val="single" w:sz="4" w:space="0" w:color="auto"/>
            </w:tcBorders>
            <w:shd w:val="clear" w:color="auto" w:fill="auto"/>
            <w:noWrap/>
            <w:vAlign w:val="center"/>
            <w:hideMark/>
          </w:tcPr>
          <w:p w14:paraId="5FE1E75E" w14:textId="77777777" w:rsidR="00843653" w:rsidRPr="008379CA" w:rsidRDefault="00843653" w:rsidP="00C90CFA">
            <w:pPr>
              <w:jc w:val="center"/>
              <w:rPr>
                <w:rFonts w:ascii="Bookman Old Style" w:hAnsi="Bookman Old Style" w:cs="Arial"/>
                <w:b/>
                <w:bCs/>
                <w:sz w:val="20"/>
                <w:szCs w:val="20"/>
              </w:rPr>
            </w:pPr>
            <w:r w:rsidRPr="008379CA">
              <w:rPr>
                <w:rFonts w:ascii="Bookman Old Style" w:hAnsi="Bookman Old Style" w:cs="Arial"/>
                <w:b/>
                <w:bCs/>
                <w:sz w:val="20"/>
                <w:szCs w:val="20"/>
              </w:rPr>
              <w:t>Uraian</w:t>
            </w:r>
          </w:p>
        </w:tc>
        <w:tc>
          <w:tcPr>
            <w:tcW w:w="2397" w:type="dxa"/>
            <w:tcBorders>
              <w:top w:val="single" w:sz="4" w:space="0" w:color="auto"/>
              <w:left w:val="nil"/>
              <w:bottom w:val="single" w:sz="4" w:space="0" w:color="auto"/>
              <w:right w:val="single" w:sz="4" w:space="0" w:color="auto"/>
            </w:tcBorders>
            <w:shd w:val="clear" w:color="auto" w:fill="auto"/>
            <w:noWrap/>
            <w:vAlign w:val="center"/>
            <w:hideMark/>
          </w:tcPr>
          <w:p w14:paraId="7875D930" w14:textId="607C89D2" w:rsidR="00843653" w:rsidRPr="008379CA" w:rsidRDefault="00843653" w:rsidP="00C90CFA">
            <w:pPr>
              <w:jc w:val="center"/>
              <w:rPr>
                <w:rFonts w:ascii="Bookman Old Style" w:hAnsi="Bookman Old Style" w:cs="Arial"/>
                <w:b/>
                <w:bCs/>
                <w:sz w:val="20"/>
                <w:szCs w:val="20"/>
              </w:rPr>
            </w:pPr>
            <w:r w:rsidRPr="008379CA">
              <w:rPr>
                <w:rFonts w:ascii="Bookman Old Style" w:hAnsi="Bookman Old Style" w:cs="Arial"/>
                <w:b/>
                <w:bCs/>
                <w:sz w:val="20"/>
                <w:szCs w:val="20"/>
              </w:rPr>
              <w:t>Jumlah</w:t>
            </w:r>
            <w:r w:rsidR="00A954D0" w:rsidRPr="008379CA">
              <w:rPr>
                <w:rFonts w:ascii="Bookman Old Style" w:hAnsi="Bookman Old Style" w:cs="Arial"/>
                <w:b/>
                <w:bCs/>
                <w:sz w:val="20"/>
                <w:szCs w:val="20"/>
              </w:rPr>
              <w:t xml:space="preserve"> </w:t>
            </w:r>
          </w:p>
          <w:p w14:paraId="5C19F0AF" w14:textId="77777777" w:rsidR="00843653" w:rsidRPr="008379CA" w:rsidRDefault="00843653" w:rsidP="00C90CFA">
            <w:pPr>
              <w:jc w:val="center"/>
              <w:rPr>
                <w:rFonts w:ascii="Bookman Old Style" w:hAnsi="Bookman Old Style" w:cs="Arial"/>
                <w:b/>
                <w:bCs/>
                <w:sz w:val="20"/>
                <w:szCs w:val="20"/>
              </w:rPr>
            </w:pPr>
            <w:r w:rsidRPr="008379CA">
              <w:rPr>
                <w:rFonts w:ascii="Bookman Old Style" w:hAnsi="Bookman Old Style" w:cs="Arial"/>
                <w:b/>
                <w:bCs/>
                <w:sz w:val="20"/>
                <w:szCs w:val="20"/>
              </w:rPr>
              <w:t>(Rp)</w:t>
            </w:r>
          </w:p>
        </w:tc>
      </w:tr>
      <w:tr w:rsidR="008379CA" w:rsidRPr="008379CA" w14:paraId="1603A5FD" w14:textId="77777777" w:rsidTr="00C90CFA">
        <w:trPr>
          <w:trHeight w:val="50"/>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4EF5656A" w14:textId="77777777" w:rsidR="00843653" w:rsidRPr="008379CA" w:rsidRDefault="00843653" w:rsidP="00C90CFA">
            <w:pPr>
              <w:jc w:val="center"/>
              <w:rPr>
                <w:rFonts w:ascii="Bookman Old Style" w:hAnsi="Bookman Old Style" w:cs="Arial"/>
                <w:sz w:val="20"/>
                <w:szCs w:val="20"/>
              </w:rPr>
            </w:pPr>
            <w:r w:rsidRPr="008379CA">
              <w:rPr>
                <w:rFonts w:ascii="Bookman Old Style" w:hAnsi="Bookman Old Style" w:cs="Arial"/>
                <w:sz w:val="20"/>
                <w:szCs w:val="20"/>
              </w:rPr>
              <w:t>1</w:t>
            </w:r>
          </w:p>
        </w:tc>
        <w:tc>
          <w:tcPr>
            <w:tcW w:w="5068" w:type="dxa"/>
            <w:tcBorders>
              <w:top w:val="nil"/>
              <w:left w:val="nil"/>
              <w:bottom w:val="single" w:sz="4" w:space="0" w:color="auto"/>
              <w:right w:val="single" w:sz="4" w:space="0" w:color="auto"/>
            </w:tcBorders>
            <w:shd w:val="clear" w:color="auto" w:fill="auto"/>
            <w:noWrap/>
            <w:vAlign w:val="center"/>
            <w:hideMark/>
          </w:tcPr>
          <w:p w14:paraId="3740852D" w14:textId="797A90B1" w:rsidR="00843653" w:rsidRPr="008379CA" w:rsidRDefault="00843653" w:rsidP="00C90CFA">
            <w:pPr>
              <w:rPr>
                <w:rFonts w:ascii="Bookman Old Style" w:hAnsi="Bookman Old Style" w:cs="Arial"/>
                <w:b/>
                <w:bCs/>
                <w:sz w:val="20"/>
                <w:szCs w:val="20"/>
              </w:rPr>
            </w:pPr>
            <w:r w:rsidRPr="008379CA">
              <w:rPr>
                <w:rFonts w:ascii="Bookman Old Style" w:hAnsi="Bookman Old Style" w:cs="Arial"/>
                <w:b/>
                <w:bCs/>
                <w:sz w:val="20"/>
                <w:szCs w:val="20"/>
              </w:rPr>
              <w:t>Belanja</w:t>
            </w:r>
            <w:r w:rsidR="00A954D0" w:rsidRPr="008379CA">
              <w:rPr>
                <w:rFonts w:ascii="Bookman Old Style" w:hAnsi="Bookman Old Style" w:cs="Arial"/>
                <w:b/>
                <w:bCs/>
                <w:sz w:val="20"/>
                <w:szCs w:val="20"/>
              </w:rPr>
              <w:t xml:space="preserve"> </w:t>
            </w:r>
            <w:r w:rsidRPr="008379CA">
              <w:rPr>
                <w:rFonts w:ascii="Bookman Old Style" w:hAnsi="Bookman Old Style" w:cs="Arial"/>
                <w:b/>
                <w:bCs/>
                <w:sz w:val="20"/>
                <w:szCs w:val="20"/>
              </w:rPr>
              <w:t>Pegawai</w:t>
            </w:r>
          </w:p>
        </w:tc>
        <w:tc>
          <w:tcPr>
            <w:tcW w:w="2397" w:type="dxa"/>
            <w:tcBorders>
              <w:top w:val="nil"/>
              <w:left w:val="nil"/>
              <w:bottom w:val="single" w:sz="4" w:space="0" w:color="auto"/>
              <w:right w:val="single" w:sz="4" w:space="0" w:color="auto"/>
            </w:tcBorders>
            <w:shd w:val="clear" w:color="auto" w:fill="auto"/>
            <w:noWrap/>
            <w:vAlign w:val="center"/>
            <w:hideMark/>
          </w:tcPr>
          <w:p w14:paraId="4141D7E1" w14:textId="77777777" w:rsidR="00843653" w:rsidRPr="008379CA" w:rsidRDefault="00843653" w:rsidP="00C90CFA">
            <w:pPr>
              <w:jc w:val="right"/>
              <w:rPr>
                <w:rFonts w:ascii="Bookman Old Style" w:hAnsi="Bookman Old Style" w:cs="Arial"/>
                <w:b/>
                <w:bCs/>
                <w:sz w:val="20"/>
                <w:szCs w:val="20"/>
              </w:rPr>
            </w:pPr>
            <w:r w:rsidRPr="008379CA">
              <w:rPr>
                <w:rFonts w:ascii="Bookman Old Style" w:hAnsi="Bookman Old Style" w:cs="Arial"/>
                <w:b/>
                <w:bCs/>
                <w:sz w:val="20"/>
                <w:szCs w:val="20"/>
              </w:rPr>
              <w:t>2.121.034.028.539,00</w:t>
            </w:r>
          </w:p>
        </w:tc>
      </w:tr>
      <w:tr w:rsidR="008379CA" w:rsidRPr="008379CA" w14:paraId="08F9B70F" w14:textId="77777777" w:rsidTr="00C90CFA">
        <w:trPr>
          <w:trHeight w:val="50"/>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250386D2" w14:textId="77777777" w:rsidR="00843653" w:rsidRPr="008379CA" w:rsidRDefault="00843653" w:rsidP="00C90CFA">
            <w:pPr>
              <w:jc w:val="center"/>
              <w:rPr>
                <w:rFonts w:ascii="Bookman Old Style" w:hAnsi="Bookman Old Style" w:cs="Arial"/>
                <w:sz w:val="20"/>
                <w:szCs w:val="20"/>
              </w:rPr>
            </w:pPr>
            <w:r w:rsidRPr="008379CA">
              <w:rPr>
                <w:rFonts w:ascii="Bookman Old Style" w:hAnsi="Bookman Old Style" w:cs="Arial"/>
                <w:sz w:val="20"/>
                <w:szCs w:val="20"/>
              </w:rPr>
              <w:t>2</w:t>
            </w:r>
          </w:p>
        </w:tc>
        <w:tc>
          <w:tcPr>
            <w:tcW w:w="5068" w:type="dxa"/>
            <w:tcBorders>
              <w:top w:val="nil"/>
              <w:left w:val="nil"/>
              <w:bottom w:val="single" w:sz="4" w:space="0" w:color="auto"/>
              <w:right w:val="single" w:sz="4" w:space="0" w:color="auto"/>
            </w:tcBorders>
            <w:shd w:val="clear" w:color="auto" w:fill="auto"/>
            <w:noWrap/>
            <w:vAlign w:val="center"/>
            <w:hideMark/>
          </w:tcPr>
          <w:p w14:paraId="1357EAB4" w14:textId="42057E32" w:rsidR="00843653" w:rsidRPr="008379CA" w:rsidRDefault="00843653" w:rsidP="00C90CFA">
            <w:pPr>
              <w:rPr>
                <w:rFonts w:ascii="Bookman Old Style" w:hAnsi="Bookman Old Style" w:cs="Arial"/>
                <w:sz w:val="20"/>
                <w:szCs w:val="20"/>
                <w:lang w:val="fi-FI"/>
              </w:rPr>
            </w:pPr>
            <w:r w:rsidRPr="008379CA">
              <w:rPr>
                <w:rFonts w:ascii="Bookman Old Style" w:hAnsi="Bookman Old Style" w:cs="Arial"/>
                <w:sz w:val="20"/>
                <w:szCs w:val="20"/>
                <w:lang w:val="fi-FI"/>
              </w:rPr>
              <w:t>a.</w:t>
            </w:r>
            <w:r w:rsidR="00A954D0" w:rsidRPr="008379CA">
              <w:rPr>
                <w:rFonts w:ascii="Bookman Old Style" w:hAnsi="Bookman Old Style" w:cs="Arial"/>
                <w:sz w:val="20"/>
                <w:szCs w:val="20"/>
                <w:lang w:val="fi-FI"/>
              </w:rPr>
              <w:t xml:space="preserve"> </w:t>
            </w:r>
            <w:r w:rsidRPr="008379CA">
              <w:rPr>
                <w:rFonts w:ascii="Bookman Old Style" w:hAnsi="Bookman Old Style" w:cs="Arial"/>
                <w:sz w:val="20"/>
                <w:szCs w:val="20"/>
                <w:lang w:val="fi-FI"/>
              </w:rPr>
              <w:t>Tunjangan</w:t>
            </w:r>
            <w:r w:rsidR="00A954D0" w:rsidRPr="008379CA">
              <w:rPr>
                <w:rFonts w:ascii="Bookman Old Style" w:hAnsi="Bookman Old Style" w:cs="Arial"/>
                <w:sz w:val="20"/>
                <w:szCs w:val="20"/>
                <w:lang w:val="fi-FI"/>
              </w:rPr>
              <w:t xml:space="preserve"> </w:t>
            </w:r>
            <w:r w:rsidRPr="008379CA">
              <w:rPr>
                <w:rFonts w:ascii="Bookman Old Style" w:hAnsi="Bookman Old Style" w:cs="Arial"/>
                <w:sz w:val="20"/>
                <w:szCs w:val="20"/>
                <w:lang w:val="fi-FI"/>
              </w:rPr>
              <w:t>Profesi</w:t>
            </w:r>
            <w:r w:rsidR="00A954D0" w:rsidRPr="008379CA">
              <w:rPr>
                <w:rFonts w:ascii="Bookman Old Style" w:hAnsi="Bookman Old Style" w:cs="Arial"/>
                <w:sz w:val="20"/>
                <w:szCs w:val="20"/>
                <w:lang w:val="fi-FI"/>
              </w:rPr>
              <w:t xml:space="preserve"> </w:t>
            </w:r>
            <w:r w:rsidRPr="008379CA">
              <w:rPr>
                <w:rFonts w:ascii="Bookman Old Style" w:hAnsi="Bookman Old Style" w:cs="Arial"/>
                <w:sz w:val="20"/>
                <w:szCs w:val="20"/>
                <w:lang w:val="fi-FI"/>
              </w:rPr>
              <w:t>Guru</w:t>
            </w:r>
            <w:r w:rsidR="00A954D0" w:rsidRPr="008379CA">
              <w:rPr>
                <w:rFonts w:ascii="Bookman Old Style" w:hAnsi="Bookman Old Style" w:cs="Arial"/>
                <w:sz w:val="20"/>
                <w:szCs w:val="20"/>
                <w:lang w:val="fi-FI"/>
              </w:rPr>
              <w:t xml:space="preserve"> </w:t>
            </w:r>
            <w:r w:rsidRPr="008379CA">
              <w:rPr>
                <w:rFonts w:ascii="Bookman Old Style" w:hAnsi="Bookman Old Style" w:cs="Arial"/>
                <w:sz w:val="20"/>
                <w:szCs w:val="20"/>
                <w:lang w:val="fi-FI"/>
              </w:rPr>
              <w:t>PNSD</w:t>
            </w:r>
          </w:p>
        </w:tc>
        <w:tc>
          <w:tcPr>
            <w:tcW w:w="2397" w:type="dxa"/>
            <w:tcBorders>
              <w:top w:val="nil"/>
              <w:left w:val="nil"/>
              <w:bottom w:val="single" w:sz="4" w:space="0" w:color="auto"/>
              <w:right w:val="single" w:sz="4" w:space="0" w:color="auto"/>
            </w:tcBorders>
            <w:shd w:val="clear" w:color="auto" w:fill="auto"/>
            <w:noWrap/>
            <w:vAlign w:val="center"/>
            <w:hideMark/>
          </w:tcPr>
          <w:p w14:paraId="2ED3A8A6" w14:textId="77777777" w:rsidR="00843653" w:rsidRPr="008379CA" w:rsidRDefault="00843653" w:rsidP="00C90CFA">
            <w:pPr>
              <w:jc w:val="right"/>
              <w:rPr>
                <w:rFonts w:ascii="Bookman Old Style" w:hAnsi="Bookman Old Style" w:cs="Arial"/>
                <w:sz w:val="20"/>
                <w:szCs w:val="20"/>
              </w:rPr>
            </w:pPr>
            <w:r w:rsidRPr="008379CA">
              <w:rPr>
                <w:rFonts w:ascii="Bookman Old Style" w:hAnsi="Bookman Old Style" w:cs="Arial"/>
                <w:sz w:val="20"/>
                <w:szCs w:val="20"/>
              </w:rPr>
              <w:t>219.922.157.000,00</w:t>
            </w:r>
          </w:p>
        </w:tc>
      </w:tr>
      <w:tr w:rsidR="008379CA" w:rsidRPr="008379CA" w14:paraId="6B7F0F29" w14:textId="77777777" w:rsidTr="00521ABC">
        <w:trPr>
          <w:trHeight w:val="50"/>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6EF06A40" w14:textId="77777777" w:rsidR="00843653" w:rsidRPr="008379CA" w:rsidRDefault="00843653" w:rsidP="00C90CFA">
            <w:pPr>
              <w:jc w:val="center"/>
              <w:rPr>
                <w:rFonts w:ascii="Bookman Old Style" w:hAnsi="Bookman Old Style" w:cs="Arial"/>
                <w:sz w:val="20"/>
                <w:szCs w:val="20"/>
              </w:rPr>
            </w:pPr>
          </w:p>
        </w:tc>
        <w:tc>
          <w:tcPr>
            <w:tcW w:w="5068" w:type="dxa"/>
            <w:tcBorders>
              <w:top w:val="nil"/>
              <w:left w:val="nil"/>
              <w:bottom w:val="single" w:sz="4" w:space="0" w:color="auto"/>
              <w:right w:val="single" w:sz="4" w:space="0" w:color="auto"/>
            </w:tcBorders>
            <w:shd w:val="clear" w:color="auto" w:fill="auto"/>
            <w:noWrap/>
            <w:vAlign w:val="center"/>
            <w:hideMark/>
          </w:tcPr>
          <w:p w14:paraId="1829151C" w14:textId="333932AE" w:rsidR="00843653" w:rsidRPr="008379CA" w:rsidRDefault="00843653" w:rsidP="00C90CFA">
            <w:pPr>
              <w:rPr>
                <w:rFonts w:ascii="Bookman Old Style" w:hAnsi="Bookman Old Style" w:cs="Arial"/>
                <w:sz w:val="20"/>
                <w:szCs w:val="20"/>
                <w:lang w:val="sv-FI"/>
              </w:rPr>
            </w:pPr>
            <w:r w:rsidRPr="008379CA">
              <w:rPr>
                <w:rFonts w:ascii="Bookman Old Style" w:hAnsi="Bookman Old Style" w:cs="Arial"/>
                <w:sz w:val="20"/>
                <w:szCs w:val="20"/>
                <w:lang w:val="sv-FI"/>
              </w:rPr>
              <w:t>b.</w:t>
            </w:r>
            <w:r w:rsidR="00A954D0" w:rsidRPr="008379CA">
              <w:rPr>
                <w:rFonts w:ascii="Bookman Old Style" w:hAnsi="Bookman Old Style" w:cs="Arial"/>
                <w:sz w:val="20"/>
                <w:szCs w:val="20"/>
                <w:lang w:val="sv-FI"/>
              </w:rPr>
              <w:t xml:space="preserve"> </w:t>
            </w:r>
            <w:r w:rsidRPr="008379CA">
              <w:rPr>
                <w:rFonts w:ascii="Bookman Old Style" w:hAnsi="Bookman Old Style" w:cs="Arial"/>
                <w:sz w:val="20"/>
                <w:szCs w:val="20"/>
                <w:lang w:val="sv-FI"/>
              </w:rPr>
              <w:t>Tambahan</w:t>
            </w:r>
            <w:r w:rsidR="00A954D0" w:rsidRPr="008379CA">
              <w:rPr>
                <w:rFonts w:ascii="Bookman Old Style" w:hAnsi="Bookman Old Style" w:cs="Arial"/>
                <w:sz w:val="20"/>
                <w:szCs w:val="20"/>
                <w:lang w:val="sv-FI"/>
              </w:rPr>
              <w:t xml:space="preserve"> </w:t>
            </w:r>
            <w:r w:rsidRPr="008379CA">
              <w:rPr>
                <w:rFonts w:ascii="Bookman Old Style" w:hAnsi="Bookman Old Style" w:cs="Arial"/>
                <w:sz w:val="20"/>
                <w:szCs w:val="20"/>
                <w:lang w:val="sv-FI"/>
              </w:rPr>
              <w:t>Penghasilan</w:t>
            </w:r>
            <w:r w:rsidR="00A954D0" w:rsidRPr="008379CA">
              <w:rPr>
                <w:rFonts w:ascii="Bookman Old Style" w:hAnsi="Bookman Old Style" w:cs="Arial"/>
                <w:sz w:val="20"/>
                <w:szCs w:val="20"/>
                <w:lang w:val="sv-FI"/>
              </w:rPr>
              <w:t xml:space="preserve"> </w:t>
            </w:r>
            <w:r w:rsidRPr="008379CA">
              <w:rPr>
                <w:rFonts w:ascii="Bookman Old Style" w:hAnsi="Bookman Old Style" w:cs="Arial"/>
                <w:sz w:val="20"/>
                <w:szCs w:val="20"/>
                <w:lang w:val="sv-FI"/>
              </w:rPr>
              <w:t>Guru</w:t>
            </w:r>
            <w:r w:rsidR="00A954D0" w:rsidRPr="008379CA">
              <w:rPr>
                <w:rFonts w:ascii="Bookman Old Style" w:hAnsi="Bookman Old Style" w:cs="Arial"/>
                <w:sz w:val="20"/>
                <w:szCs w:val="20"/>
                <w:lang w:val="sv-FI"/>
              </w:rPr>
              <w:t xml:space="preserve"> </w:t>
            </w:r>
            <w:r w:rsidRPr="008379CA">
              <w:rPr>
                <w:rFonts w:ascii="Bookman Old Style" w:hAnsi="Bookman Old Style" w:cs="Arial"/>
                <w:sz w:val="20"/>
                <w:szCs w:val="20"/>
                <w:lang w:val="sv-FI"/>
              </w:rPr>
              <w:t>PNSD</w:t>
            </w:r>
          </w:p>
        </w:tc>
        <w:tc>
          <w:tcPr>
            <w:tcW w:w="2397" w:type="dxa"/>
            <w:tcBorders>
              <w:top w:val="nil"/>
              <w:left w:val="nil"/>
              <w:bottom w:val="single" w:sz="4" w:space="0" w:color="auto"/>
              <w:right w:val="single" w:sz="4" w:space="0" w:color="auto"/>
            </w:tcBorders>
            <w:shd w:val="clear" w:color="auto" w:fill="auto"/>
            <w:noWrap/>
            <w:vAlign w:val="center"/>
            <w:hideMark/>
          </w:tcPr>
          <w:p w14:paraId="7B1B9063" w14:textId="77777777" w:rsidR="00843653" w:rsidRPr="008379CA" w:rsidRDefault="00843653" w:rsidP="00C90CFA">
            <w:pPr>
              <w:jc w:val="right"/>
              <w:rPr>
                <w:rFonts w:ascii="Bookman Old Style" w:hAnsi="Bookman Old Style" w:cs="Arial"/>
                <w:sz w:val="20"/>
                <w:szCs w:val="20"/>
              </w:rPr>
            </w:pPr>
            <w:r w:rsidRPr="008379CA">
              <w:rPr>
                <w:rFonts w:ascii="Bookman Old Style" w:hAnsi="Bookman Old Style" w:cs="Arial"/>
                <w:sz w:val="20"/>
                <w:szCs w:val="20"/>
              </w:rPr>
              <w:t>3.586.250.000,00</w:t>
            </w:r>
          </w:p>
        </w:tc>
      </w:tr>
      <w:tr w:rsidR="008379CA" w:rsidRPr="008379CA" w14:paraId="69C1E869" w14:textId="77777777" w:rsidTr="00C90CFA">
        <w:trPr>
          <w:trHeight w:val="50"/>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04759900" w14:textId="77777777" w:rsidR="00843653" w:rsidRPr="008379CA" w:rsidRDefault="00843653" w:rsidP="00C90CFA">
            <w:pPr>
              <w:jc w:val="center"/>
              <w:rPr>
                <w:rFonts w:ascii="Bookman Old Style" w:hAnsi="Bookman Old Style" w:cs="Arial"/>
                <w:sz w:val="20"/>
                <w:szCs w:val="20"/>
              </w:rPr>
            </w:pPr>
          </w:p>
        </w:tc>
        <w:tc>
          <w:tcPr>
            <w:tcW w:w="5068" w:type="dxa"/>
            <w:tcBorders>
              <w:top w:val="nil"/>
              <w:left w:val="nil"/>
              <w:bottom w:val="single" w:sz="4" w:space="0" w:color="auto"/>
              <w:right w:val="single" w:sz="4" w:space="0" w:color="auto"/>
            </w:tcBorders>
            <w:shd w:val="clear" w:color="auto" w:fill="auto"/>
            <w:noWrap/>
            <w:vAlign w:val="center"/>
            <w:hideMark/>
          </w:tcPr>
          <w:p w14:paraId="2E7B4747" w14:textId="7BD6AA03" w:rsidR="00843653" w:rsidRPr="008379CA" w:rsidRDefault="00843653" w:rsidP="00C90CFA">
            <w:pPr>
              <w:rPr>
                <w:rFonts w:ascii="Bookman Old Style" w:hAnsi="Bookman Old Style" w:cs="Arial"/>
                <w:b/>
                <w:bCs/>
                <w:sz w:val="20"/>
                <w:szCs w:val="20"/>
              </w:rPr>
            </w:pPr>
            <w:r w:rsidRPr="008379CA">
              <w:rPr>
                <w:rFonts w:ascii="Bookman Old Style" w:hAnsi="Bookman Old Style" w:cs="Arial"/>
                <w:b/>
                <w:bCs/>
                <w:sz w:val="20"/>
                <w:szCs w:val="20"/>
              </w:rPr>
              <w:t>Total</w:t>
            </w:r>
            <w:r w:rsidR="00A954D0" w:rsidRPr="008379CA">
              <w:rPr>
                <w:rFonts w:ascii="Bookman Old Style" w:hAnsi="Bookman Old Style" w:cs="Arial"/>
                <w:b/>
                <w:bCs/>
                <w:sz w:val="20"/>
                <w:szCs w:val="20"/>
              </w:rPr>
              <w:t xml:space="preserve"> </w:t>
            </w:r>
            <w:r w:rsidRPr="008379CA">
              <w:rPr>
                <w:rFonts w:ascii="Bookman Old Style" w:hAnsi="Bookman Old Style" w:cs="Arial"/>
                <w:b/>
                <w:bCs/>
                <w:sz w:val="20"/>
                <w:szCs w:val="20"/>
              </w:rPr>
              <w:t>TKD</w:t>
            </w:r>
            <w:r w:rsidR="00A954D0" w:rsidRPr="008379CA">
              <w:rPr>
                <w:rFonts w:ascii="Bookman Old Style" w:hAnsi="Bookman Old Style" w:cs="Arial"/>
                <w:b/>
                <w:bCs/>
                <w:sz w:val="20"/>
                <w:szCs w:val="20"/>
              </w:rPr>
              <w:t xml:space="preserve"> </w:t>
            </w:r>
            <w:r w:rsidRPr="008379CA">
              <w:rPr>
                <w:rFonts w:ascii="Bookman Old Style" w:hAnsi="Bookman Old Style" w:cs="Arial"/>
                <w:b/>
                <w:bCs/>
                <w:sz w:val="20"/>
                <w:szCs w:val="20"/>
              </w:rPr>
              <w:t>(a+b)</w:t>
            </w:r>
          </w:p>
        </w:tc>
        <w:tc>
          <w:tcPr>
            <w:tcW w:w="2397" w:type="dxa"/>
            <w:tcBorders>
              <w:top w:val="nil"/>
              <w:left w:val="nil"/>
              <w:bottom w:val="single" w:sz="4" w:space="0" w:color="auto"/>
              <w:right w:val="single" w:sz="4" w:space="0" w:color="auto"/>
            </w:tcBorders>
            <w:shd w:val="clear" w:color="auto" w:fill="auto"/>
            <w:noWrap/>
            <w:vAlign w:val="center"/>
            <w:hideMark/>
          </w:tcPr>
          <w:p w14:paraId="4A6A4410" w14:textId="77777777" w:rsidR="00843653" w:rsidRPr="008379CA" w:rsidRDefault="00843653" w:rsidP="00C90CFA">
            <w:pPr>
              <w:jc w:val="right"/>
              <w:rPr>
                <w:rFonts w:ascii="Bookman Old Style" w:hAnsi="Bookman Old Style" w:cs="Arial"/>
                <w:b/>
                <w:bCs/>
                <w:sz w:val="20"/>
                <w:szCs w:val="20"/>
              </w:rPr>
            </w:pPr>
            <w:r w:rsidRPr="008379CA">
              <w:rPr>
                <w:rFonts w:ascii="Bookman Old Style" w:hAnsi="Bookman Old Style" w:cs="Arial"/>
                <w:b/>
                <w:bCs/>
                <w:sz w:val="20"/>
                <w:szCs w:val="20"/>
              </w:rPr>
              <w:t>223.508.407.000,00</w:t>
            </w:r>
          </w:p>
        </w:tc>
      </w:tr>
      <w:tr w:rsidR="008379CA" w:rsidRPr="008379CA" w14:paraId="0ED639D7" w14:textId="77777777" w:rsidTr="00C90CFA">
        <w:trPr>
          <w:trHeight w:val="50"/>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4EFDF2BD" w14:textId="77777777" w:rsidR="00843653" w:rsidRPr="008379CA" w:rsidRDefault="00843653" w:rsidP="00C90CFA">
            <w:pPr>
              <w:jc w:val="center"/>
              <w:rPr>
                <w:rFonts w:ascii="Bookman Old Style" w:hAnsi="Bookman Old Style" w:cs="Arial"/>
                <w:sz w:val="20"/>
                <w:szCs w:val="20"/>
              </w:rPr>
            </w:pPr>
            <w:r w:rsidRPr="008379CA">
              <w:rPr>
                <w:rFonts w:ascii="Bookman Old Style" w:hAnsi="Bookman Old Style" w:cs="Arial"/>
                <w:sz w:val="20"/>
                <w:szCs w:val="20"/>
              </w:rPr>
              <w:t>3</w:t>
            </w:r>
          </w:p>
        </w:tc>
        <w:tc>
          <w:tcPr>
            <w:tcW w:w="5068" w:type="dxa"/>
            <w:tcBorders>
              <w:top w:val="nil"/>
              <w:left w:val="nil"/>
              <w:bottom w:val="single" w:sz="4" w:space="0" w:color="auto"/>
              <w:right w:val="single" w:sz="4" w:space="0" w:color="auto"/>
            </w:tcBorders>
            <w:shd w:val="clear" w:color="auto" w:fill="auto"/>
            <w:noWrap/>
            <w:vAlign w:val="center"/>
            <w:hideMark/>
          </w:tcPr>
          <w:p w14:paraId="7F561A64" w14:textId="0C1B84DC" w:rsidR="00843653" w:rsidRPr="008379CA" w:rsidRDefault="00843653" w:rsidP="00C90CFA">
            <w:pPr>
              <w:rPr>
                <w:rFonts w:ascii="Bookman Old Style" w:hAnsi="Bookman Old Style" w:cs="Arial"/>
                <w:sz w:val="20"/>
                <w:szCs w:val="20"/>
                <w:lang w:val="sv-FI"/>
              </w:rPr>
            </w:pPr>
            <w:r w:rsidRPr="008379CA">
              <w:rPr>
                <w:rFonts w:ascii="Bookman Old Style" w:hAnsi="Bookman Old Style" w:cs="Arial"/>
                <w:sz w:val="20"/>
                <w:szCs w:val="20"/>
                <w:lang w:val="sv-FI"/>
              </w:rPr>
              <w:t>Belanja</w:t>
            </w:r>
            <w:r w:rsidR="00A954D0" w:rsidRPr="008379CA">
              <w:rPr>
                <w:rFonts w:ascii="Bookman Old Style" w:hAnsi="Bookman Old Style" w:cs="Arial"/>
                <w:sz w:val="20"/>
                <w:szCs w:val="20"/>
                <w:lang w:val="sv-FI"/>
              </w:rPr>
              <w:t xml:space="preserve"> </w:t>
            </w:r>
            <w:r w:rsidRPr="008379CA">
              <w:rPr>
                <w:rFonts w:ascii="Bookman Old Style" w:hAnsi="Bookman Old Style" w:cs="Arial"/>
                <w:sz w:val="20"/>
                <w:szCs w:val="20"/>
                <w:lang w:val="sv-FI"/>
              </w:rPr>
              <w:t>Pegawai</w:t>
            </w:r>
            <w:r w:rsidR="00A954D0" w:rsidRPr="008379CA">
              <w:rPr>
                <w:rFonts w:ascii="Bookman Old Style" w:hAnsi="Bookman Old Style" w:cs="Arial"/>
                <w:sz w:val="20"/>
                <w:szCs w:val="20"/>
                <w:lang w:val="sv-FI"/>
              </w:rPr>
              <w:t xml:space="preserve"> </w:t>
            </w:r>
            <w:r w:rsidRPr="008379CA">
              <w:rPr>
                <w:rFonts w:ascii="Bookman Old Style" w:hAnsi="Bookman Old Style" w:cs="Arial"/>
                <w:sz w:val="20"/>
                <w:szCs w:val="20"/>
                <w:lang w:val="sv-FI"/>
              </w:rPr>
              <w:t>diluar</w:t>
            </w:r>
            <w:r w:rsidR="00A954D0" w:rsidRPr="008379CA">
              <w:rPr>
                <w:rFonts w:ascii="Bookman Old Style" w:hAnsi="Bookman Old Style" w:cs="Arial"/>
                <w:sz w:val="20"/>
                <w:szCs w:val="20"/>
                <w:lang w:val="sv-FI"/>
              </w:rPr>
              <w:t xml:space="preserve"> </w:t>
            </w:r>
            <w:r w:rsidRPr="008379CA">
              <w:rPr>
                <w:rFonts w:ascii="Bookman Old Style" w:hAnsi="Bookman Old Style" w:cs="Arial"/>
                <w:sz w:val="20"/>
                <w:szCs w:val="20"/>
                <w:lang w:val="sv-FI"/>
              </w:rPr>
              <w:t>Tunjangan</w:t>
            </w:r>
            <w:r w:rsidR="00A954D0" w:rsidRPr="008379CA">
              <w:rPr>
                <w:rFonts w:ascii="Bookman Old Style" w:hAnsi="Bookman Old Style" w:cs="Arial"/>
                <w:sz w:val="20"/>
                <w:szCs w:val="20"/>
                <w:lang w:val="sv-FI"/>
              </w:rPr>
              <w:t xml:space="preserve"> </w:t>
            </w:r>
            <w:r w:rsidRPr="008379CA">
              <w:rPr>
                <w:rFonts w:ascii="Bookman Old Style" w:hAnsi="Bookman Old Style" w:cs="Arial"/>
                <w:sz w:val="20"/>
                <w:szCs w:val="20"/>
                <w:lang w:val="sv-FI"/>
              </w:rPr>
              <w:t>Guru</w:t>
            </w:r>
            <w:r w:rsidR="00A954D0" w:rsidRPr="008379CA">
              <w:rPr>
                <w:rFonts w:ascii="Bookman Old Style" w:hAnsi="Bookman Old Style" w:cs="Arial"/>
                <w:sz w:val="20"/>
                <w:szCs w:val="20"/>
                <w:lang w:val="sv-FI"/>
              </w:rPr>
              <w:t xml:space="preserve"> </w:t>
            </w:r>
            <w:r w:rsidRPr="008379CA">
              <w:rPr>
                <w:rFonts w:ascii="Bookman Old Style" w:hAnsi="Bookman Old Style" w:cs="Arial"/>
                <w:sz w:val="20"/>
                <w:szCs w:val="20"/>
                <w:lang w:val="sv-FI"/>
              </w:rPr>
              <w:t>(1-2)</w:t>
            </w:r>
          </w:p>
        </w:tc>
        <w:tc>
          <w:tcPr>
            <w:tcW w:w="2397" w:type="dxa"/>
            <w:tcBorders>
              <w:top w:val="nil"/>
              <w:left w:val="nil"/>
              <w:bottom w:val="single" w:sz="4" w:space="0" w:color="auto"/>
              <w:right w:val="single" w:sz="4" w:space="0" w:color="auto"/>
            </w:tcBorders>
            <w:shd w:val="clear" w:color="auto" w:fill="auto"/>
            <w:noWrap/>
            <w:vAlign w:val="center"/>
            <w:hideMark/>
          </w:tcPr>
          <w:p w14:paraId="253F7773" w14:textId="77777777" w:rsidR="00843653" w:rsidRPr="008379CA" w:rsidRDefault="00843653" w:rsidP="00C90CFA">
            <w:pPr>
              <w:jc w:val="right"/>
              <w:rPr>
                <w:rFonts w:ascii="Bookman Old Style" w:hAnsi="Bookman Old Style" w:cs="Arial"/>
                <w:sz w:val="20"/>
                <w:szCs w:val="20"/>
              </w:rPr>
            </w:pPr>
            <w:r w:rsidRPr="008379CA">
              <w:rPr>
                <w:rFonts w:ascii="Bookman Old Style" w:hAnsi="Bookman Old Style" w:cs="Arial"/>
                <w:sz w:val="20"/>
                <w:szCs w:val="20"/>
              </w:rPr>
              <w:t>1.897.525.621.539,00</w:t>
            </w:r>
          </w:p>
        </w:tc>
      </w:tr>
      <w:tr w:rsidR="008379CA" w:rsidRPr="008379CA" w14:paraId="4B7BF184" w14:textId="77777777" w:rsidTr="00C90CFA">
        <w:trPr>
          <w:trHeight w:val="50"/>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4B75B663" w14:textId="77777777" w:rsidR="00843653" w:rsidRPr="008379CA" w:rsidRDefault="00843653" w:rsidP="00C90CFA">
            <w:pPr>
              <w:jc w:val="center"/>
              <w:rPr>
                <w:rFonts w:ascii="Bookman Old Style" w:hAnsi="Bookman Old Style" w:cs="Arial"/>
                <w:sz w:val="20"/>
                <w:szCs w:val="20"/>
              </w:rPr>
            </w:pPr>
            <w:r w:rsidRPr="008379CA">
              <w:rPr>
                <w:rFonts w:ascii="Bookman Old Style" w:hAnsi="Bookman Old Style" w:cs="Arial"/>
                <w:sz w:val="20"/>
                <w:szCs w:val="20"/>
              </w:rPr>
              <w:t>4</w:t>
            </w:r>
          </w:p>
        </w:tc>
        <w:tc>
          <w:tcPr>
            <w:tcW w:w="5068" w:type="dxa"/>
            <w:tcBorders>
              <w:top w:val="nil"/>
              <w:left w:val="nil"/>
              <w:bottom w:val="single" w:sz="4" w:space="0" w:color="auto"/>
              <w:right w:val="single" w:sz="4" w:space="0" w:color="auto"/>
            </w:tcBorders>
            <w:shd w:val="clear" w:color="auto" w:fill="auto"/>
            <w:noWrap/>
            <w:vAlign w:val="center"/>
            <w:hideMark/>
          </w:tcPr>
          <w:p w14:paraId="7DE2C02A" w14:textId="3A93B416" w:rsidR="00843653" w:rsidRPr="008379CA" w:rsidRDefault="00843653" w:rsidP="00C90CFA">
            <w:pPr>
              <w:rPr>
                <w:rFonts w:ascii="Bookman Old Style" w:hAnsi="Bookman Old Style" w:cs="Arial"/>
                <w:sz w:val="20"/>
                <w:szCs w:val="20"/>
              </w:rPr>
            </w:pPr>
            <w:r w:rsidRPr="008379CA">
              <w:rPr>
                <w:rFonts w:ascii="Bookman Old Style" w:hAnsi="Bookman Old Style" w:cs="Arial"/>
                <w:sz w:val="20"/>
                <w:szCs w:val="20"/>
              </w:rPr>
              <w:t>Total</w:t>
            </w:r>
            <w:r w:rsidR="00A954D0" w:rsidRPr="008379CA">
              <w:rPr>
                <w:rFonts w:ascii="Bookman Old Style" w:hAnsi="Bookman Old Style" w:cs="Arial"/>
                <w:sz w:val="20"/>
                <w:szCs w:val="20"/>
              </w:rPr>
              <w:t xml:space="preserve"> </w:t>
            </w:r>
            <w:r w:rsidRPr="008379CA">
              <w:rPr>
                <w:rFonts w:ascii="Bookman Old Style" w:hAnsi="Bookman Old Style" w:cs="Arial"/>
                <w:sz w:val="20"/>
                <w:szCs w:val="20"/>
              </w:rPr>
              <w:t>Belanja</w:t>
            </w:r>
            <w:r w:rsidR="00A954D0" w:rsidRPr="008379CA">
              <w:rPr>
                <w:rFonts w:ascii="Bookman Old Style" w:hAnsi="Bookman Old Style" w:cs="Arial"/>
                <w:sz w:val="20"/>
                <w:szCs w:val="20"/>
              </w:rPr>
              <w:t xml:space="preserve"> </w:t>
            </w:r>
            <w:r w:rsidRPr="008379CA">
              <w:rPr>
                <w:rFonts w:ascii="Bookman Old Style" w:hAnsi="Bookman Old Style" w:cs="Arial"/>
                <w:sz w:val="20"/>
                <w:szCs w:val="20"/>
              </w:rPr>
              <w:t>Rancangan</w:t>
            </w:r>
            <w:r w:rsidR="00A954D0" w:rsidRPr="008379CA">
              <w:rPr>
                <w:rFonts w:ascii="Bookman Old Style" w:hAnsi="Bookman Old Style" w:cs="Arial"/>
                <w:sz w:val="20"/>
                <w:szCs w:val="20"/>
              </w:rPr>
              <w:t xml:space="preserve"> </w:t>
            </w:r>
            <w:r w:rsidRPr="008379CA">
              <w:rPr>
                <w:rFonts w:ascii="Bookman Old Style" w:hAnsi="Bookman Old Style" w:cs="Arial"/>
                <w:sz w:val="20"/>
                <w:szCs w:val="20"/>
              </w:rPr>
              <w:t>APBD</w:t>
            </w:r>
          </w:p>
        </w:tc>
        <w:tc>
          <w:tcPr>
            <w:tcW w:w="2397" w:type="dxa"/>
            <w:tcBorders>
              <w:top w:val="nil"/>
              <w:left w:val="nil"/>
              <w:bottom w:val="single" w:sz="4" w:space="0" w:color="auto"/>
              <w:right w:val="single" w:sz="4" w:space="0" w:color="auto"/>
            </w:tcBorders>
            <w:shd w:val="clear" w:color="auto" w:fill="auto"/>
            <w:noWrap/>
            <w:vAlign w:val="center"/>
            <w:hideMark/>
          </w:tcPr>
          <w:p w14:paraId="7EF3010B" w14:textId="77777777" w:rsidR="00843653" w:rsidRPr="008379CA" w:rsidRDefault="00843653" w:rsidP="00C90CFA">
            <w:pPr>
              <w:jc w:val="right"/>
              <w:rPr>
                <w:rFonts w:ascii="Bookman Old Style" w:hAnsi="Bookman Old Style" w:cs="Arial"/>
                <w:sz w:val="20"/>
                <w:szCs w:val="20"/>
              </w:rPr>
            </w:pPr>
            <w:r w:rsidRPr="008379CA">
              <w:rPr>
                <w:rFonts w:ascii="Bookman Old Style" w:hAnsi="Bookman Old Style" w:cs="Arial"/>
                <w:sz w:val="20"/>
                <w:szCs w:val="20"/>
              </w:rPr>
              <w:t>5.706.600.538.955,00</w:t>
            </w:r>
          </w:p>
        </w:tc>
      </w:tr>
      <w:tr w:rsidR="008379CA" w:rsidRPr="008379CA" w14:paraId="54C7F532" w14:textId="77777777" w:rsidTr="0023341C">
        <w:trPr>
          <w:trHeight w:val="300"/>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14:paraId="6CED2BCB" w14:textId="77777777" w:rsidR="00843653" w:rsidRPr="008379CA" w:rsidRDefault="00843653" w:rsidP="00C90CFA">
            <w:pPr>
              <w:jc w:val="center"/>
              <w:rPr>
                <w:rFonts w:ascii="Bookman Old Style" w:hAnsi="Bookman Old Style" w:cs="Arial"/>
                <w:sz w:val="20"/>
                <w:szCs w:val="20"/>
              </w:rPr>
            </w:pPr>
            <w:r w:rsidRPr="008379CA">
              <w:rPr>
                <w:rFonts w:ascii="Bookman Old Style" w:hAnsi="Bookman Old Style" w:cs="Arial"/>
                <w:sz w:val="20"/>
                <w:szCs w:val="20"/>
              </w:rPr>
              <w:t>5</w:t>
            </w:r>
          </w:p>
        </w:tc>
        <w:tc>
          <w:tcPr>
            <w:tcW w:w="5068" w:type="dxa"/>
            <w:tcBorders>
              <w:top w:val="nil"/>
              <w:left w:val="nil"/>
              <w:bottom w:val="single" w:sz="4" w:space="0" w:color="auto"/>
              <w:right w:val="single" w:sz="4" w:space="0" w:color="auto"/>
            </w:tcBorders>
            <w:shd w:val="clear" w:color="auto" w:fill="auto"/>
            <w:noWrap/>
            <w:vAlign w:val="center"/>
            <w:hideMark/>
          </w:tcPr>
          <w:p w14:paraId="61B5F897" w14:textId="1D770FA5" w:rsidR="00843653" w:rsidRPr="008379CA" w:rsidRDefault="00843653" w:rsidP="00C90CFA">
            <w:pPr>
              <w:rPr>
                <w:rFonts w:ascii="Bookman Old Style" w:hAnsi="Bookman Old Style" w:cs="Arial"/>
                <w:b/>
                <w:bCs/>
                <w:sz w:val="20"/>
                <w:szCs w:val="20"/>
              </w:rPr>
            </w:pPr>
            <w:r w:rsidRPr="008379CA">
              <w:rPr>
                <w:rFonts w:ascii="Bookman Old Style" w:hAnsi="Bookman Old Style" w:cs="Arial"/>
                <w:b/>
                <w:bCs/>
                <w:sz w:val="20"/>
                <w:szCs w:val="20"/>
              </w:rPr>
              <w:t>Persentase</w:t>
            </w:r>
            <w:r w:rsidR="00A954D0" w:rsidRPr="008379CA">
              <w:rPr>
                <w:rFonts w:ascii="Bookman Old Style" w:hAnsi="Bookman Old Style" w:cs="Arial"/>
                <w:b/>
                <w:bCs/>
                <w:sz w:val="20"/>
                <w:szCs w:val="20"/>
              </w:rPr>
              <w:t xml:space="preserve"> </w:t>
            </w:r>
            <w:r w:rsidRPr="008379CA">
              <w:rPr>
                <w:rFonts w:ascii="Bookman Old Style" w:hAnsi="Bookman Old Style" w:cs="Arial"/>
                <w:b/>
                <w:bCs/>
                <w:sz w:val="20"/>
                <w:szCs w:val="20"/>
              </w:rPr>
              <w:t>Belanja</w:t>
            </w:r>
            <w:r w:rsidR="00A954D0" w:rsidRPr="008379CA">
              <w:rPr>
                <w:rFonts w:ascii="Bookman Old Style" w:hAnsi="Bookman Old Style" w:cs="Arial"/>
                <w:b/>
                <w:bCs/>
                <w:sz w:val="20"/>
                <w:szCs w:val="20"/>
              </w:rPr>
              <w:t xml:space="preserve"> </w:t>
            </w:r>
            <w:r w:rsidRPr="008379CA">
              <w:rPr>
                <w:rFonts w:ascii="Bookman Old Style" w:hAnsi="Bookman Old Style" w:cs="Arial"/>
                <w:b/>
                <w:bCs/>
                <w:sz w:val="20"/>
                <w:szCs w:val="20"/>
              </w:rPr>
              <w:t>Pegawai</w:t>
            </w:r>
            <w:r w:rsidR="00A954D0" w:rsidRPr="008379CA">
              <w:rPr>
                <w:rFonts w:ascii="Bookman Old Style" w:hAnsi="Bookman Old Style" w:cs="Arial"/>
                <w:b/>
                <w:bCs/>
                <w:sz w:val="20"/>
                <w:szCs w:val="20"/>
              </w:rPr>
              <w:t xml:space="preserve"> </w:t>
            </w:r>
            <w:r w:rsidRPr="008379CA">
              <w:rPr>
                <w:rFonts w:ascii="Bookman Old Style" w:hAnsi="Bookman Old Style" w:cs="Arial"/>
                <w:b/>
                <w:bCs/>
                <w:sz w:val="20"/>
                <w:szCs w:val="20"/>
              </w:rPr>
              <w:t>terhadap</w:t>
            </w:r>
            <w:r w:rsidR="00A954D0" w:rsidRPr="008379CA">
              <w:rPr>
                <w:rFonts w:ascii="Bookman Old Style" w:hAnsi="Bookman Old Style" w:cs="Arial"/>
                <w:b/>
                <w:bCs/>
                <w:sz w:val="20"/>
                <w:szCs w:val="20"/>
              </w:rPr>
              <w:t xml:space="preserve"> </w:t>
            </w:r>
            <w:r w:rsidRPr="008379CA">
              <w:rPr>
                <w:rFonts w:ascii="Bookman Old Style" w:hAnsi="Bookman Old Style" w:cs="Arial"/>
                <w:b/>
                <w:bCs/>
                <w:sz w:val="20"/>
                <w:szCs w:val="20"/>
              </w:rPr>
              <w:t>Total</w:t>
            </w:r>
            <w:r w:rsidR="00A954D0" w:rsidRPr="008379CA">
              <w:rPr>
                <w:rFonts w:ascii="Bookman Old Style" w:hAnsi="Bookman Old Style" w:cs="Arial"/>
                <w:b/>
                <w:bCs/>
                <w:sz w:val="20"/>
                <w:szCs w:val="20"/>
              </w:rPr>
              <w:t xml:space="preserve"> </w:t>
            </w:r>
            <w:r w:rsidRPr="008379CA">
              <w:rPr>
                <w:rFonts w:ascii="Bookman Old Style" w:hAnsi="Bookman Old Style" w:cs="Arial"/>
                <w:b/>
                <w:bCs/>
                <w:sz w:val="20"/>
                <w:szCs w:val="20"/>
              </w:rPr>
              <w:t>Belanja</w:t>
            </w:r>
            <w:r w:rsidR="00A954D0" w:rsidRPr="008379CA">
              <w:rPr>
                <w:rFonts w:ascii="Bookman Old Style" w:hAnsi="Bookman Old Style" w:cs="Arial"/>
                <w:b/>
                <w:bCs/>
                <w:sz w:val="20"/>
                <w:szCs w:val="20"/>
              </w:rPr>
              <w:t xml:space="preserve"> </w:t>
            </w:r>
            <w:r w:rsidRPr="008379CA">
              <w:rPr>
                <w:rFonts w:ascii="Bookman Old Style" w:hAnsi="Bookman Old Style" w:cs="Arial"/>
                <w:b/>
                <w:bCs/>
                <w:sz w:val="20"/>
                <w:szCs w:val="20"/>
              </w:rPr>
              <w:t>Daerah</w:t>
            </w:r>
            <w:r w:rsidR="00A954D0" w:rsidRPr="008379CA">
              <w:rPr>
                <w:rFonts w:ascii="Bookman Old Style" w:hAnsi="Bookman Old Style" w:cs="Arial"/>
                <w:b/>
                <w:bCs/>
                <w:sz w:val="20"/>
                <w:szCs w:val="20"/>
              </w:rPr>
              <w:t xml:space="preserve"> </w:t>
            </w:r>
            <w:r w:rsidRPr="008379CA">
              <w:rPr>
                <w:rFonts w:ascii="Bookman Old Style" w:hAnsi="Bookman Old Style" w:cs="Arial"/>
                <w:b/>
                <w:bCs/>
                <w:sz w:val="20"/>
                <w:szCs w:val="20"/>
              </w:rPr>
              <w:t>(3:4)</w:t>
            </w:r>
          </w:p>
        </w:tc>
        <w:tc>
          <w:tcPr>
            <w:tcW w:w="2397" w:type="dxa"/>
            <w:tcBorders>
              <w:top w:val="nil"/>
              <w:left w:val="nil"/>
              <w:bottom w:val="single" w:sz="4" w:space="0" w:color="auto"/>
              <w:right w:val="single" w:sz="4" w:space="0" w:color="auto"/>
            </w:tcBorders>
            <w:shd w:val="clear" w:color="auto" w:fill="auto"/>
            <w:noWrap/>
            <w:vAlign w:val="center"/>
            <w:hideMark/>
          </w:tcPr>
          <w:p w14:paraId="1D0E9DC9" w14:textId="77777777" w:rsidR="00843653" w:rsidRPr="008379CA" w:rsidRDefault="00843653" w:rsidP="00C90CFA">
            <w:pPr>
              <w:jc w:val="right"/>
              <w:rPr>
                <w:rFonts w:ascii="Bookman Old Style" w:hAnsi="Bookman Old Style" w:cs="Arial"/>
                <w:b/>
                <w:bCs/>
                <w:sz w:val="20"/>
                <w:szCs w:val="20"/>
              </w:rPr>
            </w:pPr>
            <w:r w:rsidRPr="008379CA">
              <w:rPr>
                <w:rFonts w:ascii="Bookman Old Style" w:hAnsi="Bookman Old Style" w:cs="Arial"/>
                <w:b/>
                <w:bCs/>
                <w:sz w:val="20"/>
                <w:szCs w:val="20"/>
                <w:lang w:val="id-ID"/>
              </w:rPr>
              <w:t>33</w:t>
            </w:r>
            <w:r w:rsidRPr="008379CA">
              <w:rPr>
                <w:rFonts w:ascii="Bookman Old Style" w:hAnsi="Bookman Old Style" w:cs="Arial"/>
                <w:b/>
                <w:bCs/>
                <w:sz w:val="20"/>
                <w:szCs w:val="20"/>
              </w:rPr>
              <w:t>,</w:t>
            </w:r>
            <w:r w:rsidRPr="008379CA">
              <w:rPr>
                <w:rFonts w:ascii="Bookman Old Style" w:hAnsi="Bookman Old Style" w:cs="Arial"/>
                <w:b/>
                <w:bCs/>
                <w:sz w:val="20"/>
                <w:szCs w:val="20"/>
                <w:lang w:val="id-ID"/>
              </w:rPr>
              <w:t>25</w:t>
            </w:r>
            <w:r w:rsidRPr="008379CA">
              <w:rPr>
                <w:rFonts w:ascii="Bookman Old Style" w:hAnsi="Bookman Old Style" w:cs="Arial"/>
                <w:b/>
                <w:bCs/>
                <w:sz w:val="20"/>
                <w:szCs w:val="20"/>
              </w:rPr>
              <w:t>%</w:t>
            </w:r>
          </w:p>
        </w:tc>
      </w:tr>
    </w:tbl>
    <w:p w14:paraId="16165C74" w14:textId="7E237433" w:rsidR="00843653" w:rsidRPr="008379CA" w:rsidRDefault="00843653" w:rsidP="00447E9A">
      <w:pPr>
        <w:pStyle w:val="ListParagraph"/>
        <w:spacing w:before="60" w:after="0" w:line="276" w:lineRule="auto"/>
        <w:ind w:left="1276"/>
        <w:contextualSpacing w:val="0"/>
        <w:jc w:val="both"/>
        <w:rPr>
          <w:rFonts w:ascii="Bookman Old Style" w:hAnsi="Bookman Old Style"/>
          <w:sz w:val="24"/>
          <w:szCs w:val="24"/>
          <w:lang w:val="id-ID"/>
        </w:rPr>
      </w:pPr>
      <w:r w:rsidRPr="008379CA">
        <w:rPr>
          <w:rFonts w:ascii="Bookman Old Style" w:hAnsi="Bookman Old Style"/>
          <w:sz w:val="24"/>
          <w:szCs w:val="24"/>
          <w:lang w:val="en-US"/>
        </w:rPr>
        <w:t>Berdasarkan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perhitungan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di</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atas,</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Pemerintah</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Daerah</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00AE2B98" w:rsidRPr="008379CA">
        <w:rPr>
          <w:rFonts w:ascii="Bookman Old Style" w:hAnsi="Bookman Old Style"/>
          <w:b/>
          <w:bCs/>
          <w:sz w:val="24"/>
          <w:szCs w:val="24"/>
          <w:lang w:val="id-ID"/>
        </w:rPr>
        <w:t>melebihi</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ketentuan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alokasi</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belanja</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pegawai,</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di</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id-ID"/>
        </w:rPr>
        <w:t>luar</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en-US"/>
        </w:rPr>
        <w:t>tambahan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penghasilan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guru,</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tunjangan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khusus</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guru,</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tunjangan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profesi</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guru</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tunjangan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sejenis</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lainnya</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yang</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bersumber</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dari</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TKD</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yang</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telah</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ditentukan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penggunaannya</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paling</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tinggi</w:t>
      </w:r>
      <w:r w:rsidR="00A954D0" w:rsidRPr="008379CA">
        <w:rPr>
          <w:rFonts w:ascii="Bookman Old Style" w:hAnsi="Bookman Old Style"/>
          <w:sz w:val="24"/>
          <w:szCs w:val="24"/>
        </w:rPr>
        <w:t xml:space="preserve"> </w:t>
      </w:r>
      <w:r w:rsidRPr="008379CA">
        <w:rPr>
          <w:rFonts w:ascii="Bookman Old Style" w:hAnsi="Bookman Old Style"/>
          <w:sz w:val="24"/>
          <w:szCs w:val="24"/>
        </w:rPr>
        <w:t>30%</w:t>
      </w:r>
      <w:r w:rsidR="00A954D0" w:rsidRPr="008379CA">
        <w:rPr>
          <w:rFonts w:ascii="Bookman Old Style" w:hAnsi="Bookman Old Style"/>
          <w:sz w:val="24"/>
          <w:szCs w:val="24"/>
        </w:rPr>
        <w:t xml:space="preserve"> </w:t>
      </w:r>
      <w:r w:rsidRPr="008379CA">
        <w:rPr>
          <w:rFonts w:ascii="Bookman Old Style" w:hAnsi="Bookman Old Style"/>
          <w:sz w:val="24"/>
          <w:szCs w:val="24"/>
        </w:rPr>
        <w:t>(tiga</w:t>
      </w:r>
      <w:r w:rsidR="00A954D0" w:rsidRPr="008379CA">
        <w:rPr>
          <w:rFonts w:ascii="Bookman Old Style" w:hAnsi="Bookman Old Style"/>
          <w:sz w:val="24"/>
          <w:szCs w:val="24"/>
        </w:rPr>
        <w:t xml:space="preserve"> </w:t>
      </w:r>
      <w:r w:rsidRPr="008379CA">
        <w:rPr>
          <w:rFonts w:ascii="Bookman Old Style" w:hAnsi="Bookman Old Style"/>
          <w:sz w:val="24"/>
          <w:szCs w:val="24"/>
        </w:rPr>
        <w:t>puluh</w:t>
      </w:r>
      <w:r w:rsidR="00A954D0" w:rsidRPr="008379CA">
        <w:rPr>
          <w:rFonts w:ascii="Bookman Old Style" w:hAnsi="Bookman Old Style"/>
          <w:sz w:val="24"/>
          <w:szCs w:val="24"/>
        </w:rPr>
        <w:t xml:space="preserve"> </w:t>
      </w:r>
      <w:r w:rsidRPr="008379CA">
        <w:rPr>
          <w:rFonts w:ascii="Bookman Old Style" w:hAnsi="Bookman Old Style"/>
          <w:sz w:val="24"/>
          <w:szCs w:val="24"/>
        </w:rPr>
        <w:t>persen)</w:t>
      </w:r>
      <w:r w:rsidR="00A954D0" w:rsidRPr="008379CA">
        <w:rPr>
          <w:rFonts w:ascii="Bookman Old Style" w:hAnsi="Bookman Old Style"/>
          <w:sz w:val="24"/>
          <w:szCs w:val="24"/>
        </w:rPr>
        <w:t xml:space="preserve"> </w:t>
      </w:r>
      <w:r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Pr="008379CA">
        <w:rPr>
          <w:rFonts w:ascii="Bookman Old Style" w:hAnsi="Bookman Old Style"/>
          <w:sz w:val="24"/>
          <w:szCs w:val="24"/>
        </w:rPr>
        <w:t>total</w:t>
      </w:r>
      <w:r w:rsidR="00A954D0" w:rsidRPr="008379CA">
        <w:rPr>
          <w:rFonts w:ascii="Bookman Old Style" w:hAnsi="Bookman Old Style"/>
          <w:sz w:val="24"/>
          <w:szCs w:val="24"/>
        </w:rPr>
        <w:t xml:space="preserve"> </w:t>
      </w:r>
      <w:r w:rsidRPr="008379CA">
        <w:rPr>
          <w:rFonts w:ascii="Bookman Old Style" w:hAnsi="Bookman Old Style"/>
          <w:sz w:val="24"/>
          <w:szCs w:val="24"/>
        </w:rPr>
        <w:t>belanja</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daerah</w:t>
      </w:r>
      <w:r w:rsidRPr="008379CA">
        <w:rPr>
          <w:rFonts w:ascii="Bookman Old Style" w:hAnsi="Bookman Old Style"/>
          <w:sz w:val="24"/>
          <w:szCs w:val="24"/>
          <w:lang w:val="id-ID"/>
        </w:rPr>
        <w:t>.</w:t>
      </w:r>
    </w:p>
    <w:p w14:paraId="65BF21DA" w14:textId="6D80B82F" w:rsidR="008C47C6" w:rsidRPr="008379CA" w:rsidRDefault="00843653" w:rsidP="00447E9A">
      <w:pPr>
        <w:pStyle w:val="ListParagraph"/>
        <w:spacing w:before="60" w:after="0" w:line="276" w:lineRule="auto"/>
        <w:ind w:left="1276"/>
        <w:contextualSpacing w:val="0"/>
        <w:jc w:val="both"/>
        <w:rPr>
          <w:rFonts w:ascii="Bookman Old Style" w:hAnsi="Bookman Old Style"/>
          <w:sz w:val="24"/>
          <w:szCs w:val="24"/>
          <w:lang w:val="id-ID"/>
        </w:rPr>
      </w:pPr>
      <w:r w:rsidRPr="008379CA">
        <w:rPr>
          <w:rFonts w:ascii="Bookman Old Style" w:hAnsi="Bookman Old Style"/>
          <w:sz w:val="24"/>
          <w:szCs w:val="24"/>
          <w:lang w:val="id-ID"/>
        </w:rPr>
        <w:t>Untuk</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itu,</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Pemerintah</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Daerah</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cs="Gill Sans Light (Arabid)"/>
          <w:bCs/>
          <w:sz w:val="24"/>
          <w:szCs w:val="24"/>
          <w:lang w:eastAsia="id-ID"/>
        </w:rPr>
        <w:t>harus</w:t>
      </w:r>
      <w:r w:rsidR="00A954D0" w:rsidRPr="008379CA">
        <w:rPr>
          <w:rFonts w:ascii="Bookman Old Style" w:hAnsi="Bookman Old Style" w:cs="Gill Sans Light (Arabid)"/>
          <w:bCs/>
          <w:sz w:val="24"/>
          <w:szCs w:val="24"/>
          <w:lang w:eastAsia="id-ID"/>
        </w:rPr>
        <w:t xml:space="preserve"> </w:t>
      </w:r>
      <w:r w:rsidRPr="008379CA">
        <w:rPr>
          <w:rFonts w:ascii="Bookman Old Style" w:hAnsi="Bookman Old Style"/>
          <w:sz w:val="24"/>
          <w:szCs w:val="24"/>
          <w:lang w:val="id-ID"/>
        </w:rPr>
        <w:t>menyesuaikan</w:t>
      </w:r>
      <w:r w:rsidR="00A954D0" w:rsidRPr="008379CA">
        <w:rPr>
          <w:rFonts w:ascii="Bookman Old Style" w:hAnsi="Bookman Old Style" w:cs="Gill Sans Light (Arabid)"/>
          <w:bCs/>
          <w:sz w:val="24"/>
          <w:szCs w:val="24"/>
          <w:lang w:eastAsia="id-ID"/>
        </w:rPr>
        <w:t xml:space="preserve"> </w:t>
      </w:r>
      <w:r w:rsidRPr="008379CA">
        <w:rPr>
          <w:rFonts w:ascii="Bookman Old Style" w:hAnsi="Bookman Old Style" w:cs="Gill Sans Light (Arabid)"/>
          <w:bCs/>
          <w:sz w:val="24"/>
          <w:szCs w:val="24"/>
          <w:lang w:eastAsia="id-ID"/>
        </w:rPr>
        <w:t>alokasi</w:t>
      </w:r>
      <w:r w:rsidR="00A954D0" w:rsidRPr="008379CA">
        <w:rPr>
          <w:rFonts w:ascii="Bookman Old Style" w:hAnsi="Bookman Old Style" w:cs="Tahoma,Bold"/>
          <w:bCs/>
          <w:sz w:val="24"/>
          <w:szCs w:val="24"/>
          <w:lang w:val="id-ID" w:eastAsia="id-ID"/>
        </w:rPr>
        <w:t xml:space="preserve"> </w:t>
      </w:r>
      <w:r w:rsidRPr="008379CA">
        <w:rPr>
          <w:rFonts w:ascii="Bookman Old Style" w:hAnsi="Bookman Old Style" w:cs="Tahoma,Bold"/>
          <w:bCs/>
          <w:sz w:val="24"/>
          <w:szCs w:val="24"/>
          <w:lang w:val="id-ID" w:eastAsia="id-ID"/>
        </w:rPr>
        <w:t>anggaran</w:t>
      </w:r>
      <w:r w:rsidR="00A954D0" w:rsidRPr="008379CA">
        <w:rPr>
          <w:rFonts w:ascii="Bookman Old Style" w:hAnsi="Bookman Old Style" w:cs="Tahoma,Bold"/>
          <w:bCs/>
          <w:sz w:val="24"/>
          <w:szCs w:val="24"/>
          <w:lang w:val="id-ID" w:eastAsia="id-ID"/>
        </w:rPr>
        <w:t xml:space="preserve"> </w:t>
      </w:r>
      <w:r w:rsidRPr="008379CA">
        <w:rPr>
          <w:rFonts w:ascii="Bookman Old Style" w:hAnsi="Bookman Old Style" w:cs="Tahoma,Bold"/>
          <w:bCs/>
          <w:sz w:val="24"/>
          <w:szCs w:val="24"/>
          <w:lang w:val="id-ID" w:eastAsia="id-ID"/>
        </w:rPr>
        <w:t>untuk</w:t>
      </w:r>
      <w:r w:rsidR="00A954D0" w:rsidRPr="008379CA">
        <w:rPr>
          <w:rFonts w:ascii="Bookman Old Style" w:hAnsi="Bookman Old Style"/>
          <w:sz w:val="24"/>
          <w:szCs w:val="24"/>
        </w:rPr>
        <w:t xml:space="preserve"> </w:t>
      </w:r>
      <w:r w:rsidRPr="008379CA">
        <w:rPr>
          <w:rFonts w:ascii="Bookman Old Style" w:hAnsi="Bookman Old Style"/>
          <w:sz w:val="24"/>
          <w:szCs w:val="24"/>
        </w:rPr>
        <w:t>belanja</w:t>
      </w:r>
      <w:r w:rsidR="00A954D0" w:rsidRPr="008379CA">
        <w:rPr>
          <w:rFonts w:ascii="Bookman Old Style" w:hAnsi="Bookman Old Style"/>
          <w:sz w:val="24"/>
          <w:szCs w:val="24"/>
        </w:rPr>
        <w:t xml:space="preserve"> </w:t>
      </w:r>
      <w:r w:rsidRPr="008379CA">
        <w:rPr>
          <w:rFonts w:ascii="Bookman Old Style" w:hAnsi="Bookman Old Style"/>
          <w:sz w:val="24"/>
          <w:szCs w:val="24"/>
        </w:rPr>
        <w:t>pegawai</w:t>
      </w:r>
      <w:r w:rsidR="00A954D0" w:rsidRPr="008379CA">
        <w:rPr>
          <w:rFonts w:ascii="Bookman Old Style" w:hAnsi="Bookman Old Style"/>
          <w:sz w:val="24"/>
          <w:szCs w:val="24"/>
          <w:lang w:val="id-ID"/>
        </w:rPr>
        <w:t xml:space="preserve"> </w:t>
      </w:r>
      <w:r w:rsidRPr="008379CA">
        <w:rPr>
          <w:rFonts w:ascii="Bookman Old Style" w:hAnsi="Bookman Old Style"/>
          <w:sz w:val="24"/>
          <w:szCs w:val="24"/>
        </w:rPr>
        <w:t>di</w:t>
      </w:r>
      <w:r w:rsidR="00A954D0" w:rsidRPr="008379CA">
        <w:rPr>
          <w:rFonts w:ascii="Bookman Old Style" w:hAnsi="Bookman Old Style"/>
          <w:sz w:val="24"/>
          <w:szCs w:val="24"/>
          <w:lang w:val="id-ID"/>
        </w:rPr>
        <w:t xml:space="preserve"> </w:t>
      </w:r>
      <w:r w:rsidRPr="008379CA">
        <w:rPr>
          <w:rFonts w:ascii="Bookman Old Style" w:hAnsi="Bookman Old Style"/>
          <w:sz w:val="24"/>
          <w:szCs w:val="24"/>
        </w:rPr>
        <w:t>luar</w:t>
      </w:r>
      <w:r w:rsidR="00A954D0" w:rsidRPr="008379CA">
        <w:rPr>
          <w:rFonts w:ascii="Bookman Old Style" w:hAnsi="Bookman Old Style"/>
          <w:sz w:val="24"/>
          <w:szCs w:val="24"/>
        </w:rPr>
        <w:t xml:space="preserve"> </w:t>
      </w:r>
      <w:r w:rsidRPr="008379CA">
        <w:rPr>
          <w:rFonts w:ascii="Bookman Old Style" w:hAnsi="Bookman Old Style"/>
          <w:sz w:val="24"/>
          <w:szCs w:val="24"/>
          <w:lang w:val="id-ID"/>
        </w:rPr>
        <w:t>t</w:t>
      </w:r>
      <w:r w:rsidRPr="008379CA">
        <w:rPr>
          <w:rFonts w:ascii="Bookman Old Style" w:hAnsi="Bookman Old Style"/>
          <w:sz w:val="24"/>
          <w:szCs w:val="24"/>
        </w:rPr>
        <w:t>ambahan</w:t>
      </w:r>
      <w:r w:rsidR="00A954D0" w:rsidRPr="008379CA">
        <w:rPr>
          <w:rFonts w:ascii="Bookman Old Style" w:hAnsi="Bookman Old Style"/>
          <w:sz w:val="24"/>
          <w:szCs w:val="24"/>
        </w:rPr>
        <w:t xml:space="preserve"> </w:t>
      </w:r>
      <w:r w:rsidRPr="008379CA">
        <w:rPr>
          <w:rFonts w:ascii="Bookman Old Style" w:hAnsi="Bookman Old Style"/>
          <w:sz w:val="24"/>
          <w:szCs w:val="24"/>
        </w:rPr>
        <w:t>penghasilan</w:t>
      </w:r>
      <w:r w:rsidR="00A954D0" w:rsidRPr="008379CA">
        <w:rPr>
          <w:rFonts w:ascii="Bookman Old Style" w:hAnsi="Bookman Old Style"/>
          <w:sz w:val="24"/>
          <w:szCs w:val="24"/>
        </w:rPr>
        <w:t xml:space="preserve"> </w:t>
      </w:r>
      <w:r w:rsidRPr="008379CA">
        <w:rPr>
          <w:rFonts w:ascii="Bookman Old Style" w:hAnsi="Bookman Old Style"/>
          <w:sz w:val="24"/>
          <w:szCs w:val="24"/>
        </w:rPr>
        <w:t>guru,</w:t>
      </w:r>
      <w:r w:rsidR="00A954D0" w:rsidRPr="008379CA">
        <w:rPr>
          <w:rFonts w:ascii="Bookman Old Style" w:hAnsi="Bookman Old Style"/>
          <w:sz w:val="24"/>
          <w:szCs w:val="24"/>
        </w:rPr>
        <w:t xml:space="preserve"> </w:t>
      </w:r>
      <w:r w:rsidRPr="008379CA">
        <w:rPr>
          <w:rFonts w:ascii="Bookman Old Style" w:hAnsi="Bookman Old Style"/>
          <w:sz w:val="24"/>
          <w:szCs w:val="24"/>
        </w:rPr>
        <w:t>tunjangan</w:t>
      </w:r>
      <w:r w:rsidR="00A954D0" w:rsidRPr="008379CA">
        <w:rPr>
          <w:rFonts w:ascii="Bookman Old Style" w:hAnsi="Bookman Old Style"/>
          <w:sz w:val="24"/>
          <w:szCs w:val="24"/>
        </w:rPr>
        <w:t xml:space="preserve"> </w:t>
      </w:r>
      <w:r w:rsidRPr="008379CA">
        <w:rPr>
          <w:rFonts w:ascii="Bookman Old Style" w:hAnsi="Bookman Old Style"/>
          <w:sz w:val="24"/>
          <w:szCs w:val="24"/>
        </w:rPr>
        <w:t>khusus</w:t>
      </w:r>
      <w:r w:rsidR="00A954D0" w:rsidRPr="008379CA">
        <w:rPr>
          <w:rFonts w:ascii="Bookman Old Style" w:hAnsi="Bookman Old Style"/>
          <w:sz w:val="24"/>
          <w:szCs w:val="24"/>
        </w:rPr>
        <w:t xml:space="preserve"> </w:t>
      </w:r>
      <w:r w:rsidRPr="008379CA">
        <w:rPr>
          <w:rFonts w:ascii="Bookman Old Style" w:hAnsi="Bookman Old Style"/>
          <w:sz w:val="24"/>
          <w:szCs w:val="24"/>
        </w:rPr>
        <w:t>guru,</w:t>
      </w:r>
      <w:r w:rsidR="00A954D0" w:rsidRPr="008379CA">
        <w:rPr>
          <w:rFonts w:ascii="Bookman Old Style" w:hAnsi="Bookman Old Style"/>
          <w:sz w:val="24"/>
          <w:szCs w:val="24"/>
        </w:rPr>
        <w:t xml:space="preserve"> </w:t>
      </w:r>
      <w:r w:rsidRPr="008379CA">
        <w:rPr>
          <w:rFonts w:ascii="Bookman Old Style" w:hAnsi="Bookman Old Style"/>
          <w:sz w:val="24"/>
          <w:szCs w:val="24"/>
        </w:rPr>
        <w:t>tunjangan</w:t>
      </w:r>
      <w:r w:rsidR="00A954D0" w:rsidRPr="008379CA">
        <w:rPr>
          <w:rFonts w:ascii="Bookman Old Style" w:hAnsi="Bookman Old Style"/>
          <w:sz w:val="24"/>
          <w:szCs w:val="24"/>
        </w:rPr>
        <w:t xml:space="preserve"> </w:t>
      </w:r>
      <w:r w:rsidRPr="008379CA">
        <w:rPr>
          <w:rFonts w:ascii="Bookman Old Style" w:hAnsi="Bookman Old Style"/>
          <w:sz w:val="24"/>
          <w:szCs w:val="24"/>
        </w:rPr>
        <w:t>profesi</w:t>
      </w:r>
      <w:r w:rsidR="00A954D0" w:rsidRPr="008379CA">
        <w:rPr>
          <w:rFonts w:ascii="Bookman Old Style" w:hAnsi="Bookman Old Style"/>
          <w:sz w:val="24"/>
          <w:szCs w:val="24"/>
        </w:rPr>
        <w:t xml:space="preserve"> </w:t>
      </w:r>
      <w:r w:rsidRPr="008379CA">
        <w:rPr>
          <w:rFonts w:ascii="Bookman Old Style" w:hAnsi="Bookman Old Style"/>
          <w:sz w:val="24"/>
          <w:szCs w:val="24"/>
        </w:rPr>
        <w:t>guru</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Pr="008379CA">
        <w:rPr>
          <w:rFonts w:ascii="Bookman Old Style" w:hAnsi="Bookman Old Style"/>
          <w:sz w:val="24"/>
          <w:szCs w:val="24"/>
        </w:rPr>
        <w:t>tunjangan</w:t>
      </w:r>
      <w:r w:rsidR="00A954D0" w:rsidRPr="008379CA">
        <w:rPr>
          <w:rFonts w:ascii="Bookman Old Style" w:hAnsi="Bookman Old Style"/>
          <w:sz w:val="24"/>
          <w:szCs w:val="24"/>
        </w:rPr>
        <w:t xml:space="preserve"> </w:t>
      </w:r>
      <w:r w:rsidRPr="008379CA">
        <w:rPr>
          <w:rFonts w:ascii="Bookman Old Style" w:hAnsi="Bookman Old Style"/>
          <w:sz w:val="24"/>
          <w:szCs w:val="24"/>
        </w:rPr>
        <w:t>sejenis</w:t>
      </w:r>
      <w:r w:rsidR="00A954D0" w:rsidRPr="008379CA">
        <w:rPr>
          <w:rFonts w:ascii="Bookman Old Style" w:hAnsi="Bookman Old Style"/>
          <w:sz w:val="24"/>
          <w:szCs w:val="24"/>
        </w:rPr>
        <w:t xml:space="preserve"> </w:t>
      </w:r>
      <w:r w:rsidRPr="008379CA">
        <w:rPr>
          <w:rFonts w:ascii="Bookman Old Style" w:hAnsi="Bookman Old Style"/>
          <w:sz w:val="24"/>
          <w:szCs w:val="24"/>
        </w:rPr>
        <w:t>lainnya</w:t>
      </w:r>
      <w:r w:rsidR="00A954D0" w:rsidRPr="008379CA">
        <w:rPr>
          <w:rFonts w:ascii="Bookman Old Style" w:hAnsi="Bookman Old Style"/>
          <w:sz w:val="24"/>
          <w:szCs w:val="24"/>
        </w:rPr>
        <w:t xml:space="preserve"> </w:t>
      </w:r>
      <w:r w:rsidRPr="008379CA">
        <w:rPr>
          <w:rFonts w:ascii="Bookman Old Style" w:hAnsi="Bookman Old Style"/>
          <w:sz w:val="24"/>
          <w:szCs w:val="24"/>
        </w:rPr>
        <w:t>yang</w:t>
      </w:r>
      <w:r w:rsidR="00A954D0" w:rsidRPr="008379CA">
        <w:rPr>
          <w:rFonts w:ascii="Bookman Old Style" w:hAnsi="Bookman Old Style"/>
          <w:sz w:val="24"/>
          <w:szCs w:val="24"/>
        </w:rPr>
        <w:t xml:space="preserve"> </w:t>
      </w:r>
      <w:r w:rsidRPr="008379CA">
        <w:rPr>
          <w:rFonts w:ascii="Bookman Old Style" w:hAnsi="Bookman Old Style"/>
          <w:sz w:val="24"/>
          <w:szCs w:val="24"/>
        </w:rPr>
        <w:t>bersumber</w:t>
      </w:r>
      <w:r w:rsidR="00A954D0" w:rsidRPr="008379CA">
        <w:rPr>
          <w:rFonts w:ascii="Bookman Old Style" w:hAnsi="Bookman Old Style"/>
          <w:sz w:val="24"/>
          <w:szCs w:val="24"/>
        </w:rPr>
        <w:t xml:space="preserve"> </w:t>
      </w:r>
      <w:r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Pr="008379CA">
        <w:rPr>
          <w:rFonts w:ascii="Bookman Old Style" w:hAnsi="Bookman Old Style"/>
          <w:sz w:val="24"/>
          <w:szCs w:val="24"/>
        </w:rPr>
        <w:t>TKD</w:t>
      </w:r>
      <w:r w:rsidR="00A954D0" w:rsidRPr="008379CA">
        <w:rPr>
          <w:rFonts w:ascii="Bookman Old Style" w:hAnsi="Bookman Old Style"/>
          <w:sz w:val="24"/>
          <w:szCs w:val="24"/>
          <w:lang w:val="id-ID"/>
        </w:rPr>
        <w:t xml:space="preserve"> </w:t>
      </w:r>
      <w:r w:rsidRPr="008379CA">
        <w:rPr>
          <w:rFonts w:ascii="Bookman Old Style" w:hAnsi="Bookman Old Style"/>
          <w:sz w:val="24"/>
          <w:szCs w:val="24"/>
        </w:rPr>
        <w:t>yang</w:t>
      </w:r>
      <w:r w:rsidR="00A954D0" w:rsidRPr="008379CA">
        <w:rPr>
          <w:rFonts w:ascii="Bookman Old Style" w:hAnsi="Bookman Old Style"/>
          <w:sz w:val="24"/>
          <w:szCs w:val="24"/>
        </w:rPr>
        <w:t xml:space="preserve"> </w:t>
      </w:r>
      <w:r w:rsidRPr="008379CA">
        <w:rPr>
          <w:rFonts w:ascii="Bookman Old Style" w:hAnsi="Bookman Old Style"/>
          <w:sz w:val="24"/>
          <w:szCs w:val="24"/>
        </w:rPr>
        <w:t>telah</w:t>
      </w:r>
      <w:r w:rsidR="00A954D0" w:rsidRPr="008379CA">
        <w:rPr>
          <w:rFonts w:ascii="Bookman Old Style" w:hAnsi="Bookman Old Style"/>
          <w:sz w:val="24"/>
          <w:szCs w:val="24"/>
        </w:rPr>
        <w:t xml:space="preserve"> </w:t>
      </w:r>
      <w:r w:rsidRPr="008379CA">
        <w:rPr>
          <w:rFonts w:ascii="Bookman Old Style" w:hAnsi="Bookman Old Style"/>
          <w:sz w:val="24"/>
          <w:szCs w:val="24"/>
        </w:rPr>
        <w:t>ditentukan</w:t>
      </w:r>
      <w:r w:rsidR="00A954D0" w:rsidRPr="008379CA">
        <w:rPr>
          <w:rFonts w:ascii="Bookman Old Style" w:hAnsi="Bookman Old Style"/>
          <w:sz w:val="24"/>
          <w:szCs w:val="24"/>
        </w:rPr>
        <w:t xml:space="preserve"> </w:t>
      </w:r>
      <w:r w:rsidRPr="008379CA">
        <w:rPr>
          <w:rFonts w:ascii="Bookman Old Style" w:hAnsi="Bookman Old Style"/>
          <w:sz w:val="24"/>
          <w:szCs w:val="24"/>
        </w:rPr>
        <w:t>penggunaannya</w:t>
      </w:r>
      <w:r w:rsidRPr="008379CA">
        <w:rPr>
          <w:rFonts w:ascii="Bookman Old Style" w:hAnsi="Bookman Old Style"/>
          <w:sz w:val="24"/>
          <w:szCs w:val="24"/>
          <w:lang w:val="id-ID"/>
        </w:rPr>
        <w:t>,</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paling</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tinggi</w:t>
      </w:r>
      <w:r w:rsidR="00A954D0" w:rsidRPr="008379CA">
        <w:rPr>
          <w:rFonts w:ascii="Bookman Old Style" w:hAnsi="Bookman Old Style"/>
          <w:sz w:val="24"/>
          <w:szCs w:val="24"/>
        </w:rPr>
        <w:t xml:space="preserve"> </w:t>
      </w:r>
      <w:r w:rsidRPr="008379CA">
        <w:rPr>
          <w:rFonts w:ascii="Bookman Old Style" w:hAnsi="Bookman Old Style"/>
          <w:sz w:val="24"/>
          <w:szCs w:val="24"/>
        </w:rPr>
        <w:t>30%</w:t>
      </w:r>
      <w:r w:rsidR="00A954D0" w:rsidRPr="008379CA">
        <w:rPr>
          <w:rFonts w:ascii="Bookman Old Style" w:hAnsi="Bookman Old Style"/>
          <w:sz w:val="24"/>
          <w:szCs w:val="24"/>
        </w:rPr>
        <w:t xml:space="preserve"> </w:t>
      </w:r>
      <w:r w:rsidRPr="008379CA">
        <w:rPr>
          <w:rFonts w:ascii="Bookman Old Style" w:hAnsi="Bookman Old Style"/>
          <w:sz w:val="24"/>
          <w:szCs w:val="24"/>
        </w:rPr>
        <w:t>(tiga</w:t>
      </w:r>
      <w:r w:rsidR="00A954D0" w:rsidRPr="008379CA">
        <w:rPr>
          <w:rFonts w:ascii="Bookman Old Style" w:hAnsi="Bookman Old Style"/>
          <w:sz w:val="24"/>
          <w:szCs w:val="24"/>
        </w:rPr>
        <w:t xml:space="preserve"> </w:t>
      </w:r>
      <w:r w:rsidRPr="008379CA">
        <w:rPr>
          <w:rFonts w:ascii="Bookman Old Style" w:hAnsi="Bookman Old Style"/>
          <w:sz w:val="24"/>
          <w:szCs w:val="24"/>
        </w:rPr>
        <w:t>puluh</w:t>
      </w:r>
      <w:r w:rsidR="00A954D0" w:rsidRPr="008379CA">
        <w:rPr>
          <w:rFonts w:ascii="Bookman Old Style" w:hAnsi="Bookman Old Style"/>
          <w:sz w:val="24"/>
          <w:szCs w:val="24"/>
        </w:rPr>
        <w:t xml:space="preserve"> </w:t>
      </w:r>
      <w:r w:rsidRPr="008379CA">
        <w:rPr>
          <w:rFonts w:ascii="Bookman Old Style" w:hAnsi="Bookman Old Style"/>
          <w:sz w:val="24"/>
          <w:szCs w:val="24"/>
        </w:rPr>
        <w:t>persen)</w:t>
      </w:r>
      <w:r w:rsidR="00A954D0" w:rsidRPr="008379CA">
        <w:rPr>
          <w:rFonts w:ascii="Bookman Old Style" w:hAnsi="Bookman Old Style"/>
          <w:sz w:val="24"/>
          <w:szCs w:val="24"/>
        </w:rPr>
        <w:t xml:space="preserve"> </w:t>
      </w:r>
      <w:r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Pr="008379CA">
        <w:rPr>
          <w:rFonts w:ascii="Bookman Old Style" w:hAnsi="Bookman Old Style"/>
          <w:sz w:val="24"/>
          <w:szCs w:val="24"/>
        </w:rPr>
        <w:t>total</w:t>
      </w:r>
      <w:r w:rsidR="00A954D0" w:rsidRPr="008379CA">
        <w:rPr>
          <w:rFonts w:ascii="Bookman Old Style" w:hAnsi="Bookman Old Style"/>
          <w:sz w:val="24"/>
          <w:szCs w:val="24"/>
        </w:rPr>
        <w:t xml:space="preserve"> </w:t>
      </w:r>
      <w:r w:rsidRPr="008379CA">
        <w:rPr>
          <w:rFonts w:ascii="Bookman Old Style" w:hAnsi="Bookman Old Style"/>
          <w:sz w:val="24"/>
          <w:szCs w:val="24"/>
        </w:rPr>
        <w:t>belanja</w:t>
      </w:r>
      <w:r w:rsidR="00A954D0" w:rsidRPr="008379CA">
        <w:rPr>
          <w:rFonts w:ascii="Bookman Old Style" w:hAnsi="Bookman Old Style"/>
          <w:sz w:val="24"/>
          <w:szCs w:val="24"/>
        </w:rPr>
        <w:t xml:space="preserve"> </w:t>
      </w:r>
      <w:r w:rsidRPr="008379CA">
        <w:rPr>
          <w:rFonts w:ascii="Bookman Old Style" w:hAnsi="Bookman Old Style"/>
          <w:sz w:val="24"/>
          <w:szCs w:val="24"/>
          <w:lang w:val="id-ID"/>
        </w:rPr>
        <w:t>daerah</w:t>
      </w:r>
      <w:r w:rsidR="00A954D0" w:rsidRPr="008379CA">
        <w:rPr>
          <w:rFonts w:ascii="Bookman Old Style" w:hAnsi="Bookman Old Style"/>
          <w:sz w:val="24"/>
          <w:szCs w:val="24"/>
          <w:lang w:val="id-ID"/>
        </w:rPr>
        <w:t xml:space="preserve"> </w:t>
      </w:r>
      <w:r w:rsidRPr="008379CA">
        <w:rPr>
          <w:rFonts w:ascii="Bookman Old Style" w:hAnsi="Bookman Old Style" w:cs="Gill Sans Light (Arabid)"/>
          <w:bCs/>
          <w:sz w:val="24"/>
          <w:szCs w:val="24"/>
          <w:lang w:val="id-ID" w:eastAsia="id-ID" w:bidi="he-IL"/>
        </w:rPr>
        <w:t>secara</w:t>
      </w:r>
      <w:r w:rsidR="00A954D0" w:rsidRPr="008379CA">
        <w:rPr>
          <w:rFonts w:ascii="Bookman Old Style" w:hAnsi="Bookman Old Style" w:cs="Gill Sans Light (Arabid)"/>
          <w:bCs/>
          <w:sz w:val="24"/>
          <w:szCs w:val="24"/>
          <w:lang w:val="id-ID" w:eastAsia="id-ID" w:bidi="he-IL"/>
        </w:rPr>
        <w:t xml:space="preserve"> </w:t>
      </w:r>
      <w:r w:rsidRPr="008379CA">
        <w:rPr>
          <w:rFonts w:ascii="Bookman Old Style" w:hAnsi="Bookman Old Style" w:cs="Gill Sans Light (Arabid)"/>
          <w:bCs/>
          <w:sz w:val="24"/>
          <w:szCs w:val="24"/>
          <w:lang w:val="id-ID" w:eastAsia="id-ID" w:bidi="he-IL"/>
        </w:rPr>
        <w:t>bertahap</w:t>
      </w:r>
      <w:r w:rsidR="00A954D0" w:rsidRPr="008379CA">
        <w:rPr>
          <w:rFonts w:ascii="Bookman Old Style" w:hAnsi="Bookman Old Style" w:cs="Gill Sans Light (Arabid)"/>
          <w:bCs/>
          <w:sz w:val="24"/>
          <w:szCs w:val="24"/>
          <w:lang w:val="id-ID" w:eastAsia="id-ID" w:bidi="he-IL"/>
        </w:rPr>
        <w:t xml:space="preserve"> </w:t>
      </w:r>
      <w:r w:rsidRPr="008379CA">
        <w:rPr>
          <w:rFonts w:ascii="Bookman Old Style" w:hAnsi="Bookman Old Style" w:cs="Gill Sans Light (Arabid)"/>
          <w:bCs/>
          <w:sz w:val="24"/>
          <w:szCs w:val="24"/>
          <w:lang w:val="id-ID" w:eastAsia="id-ID" w:bidi="he-IL"/>
        </w:rPr>
        <w:t>dalam</w:t>
      </w:r>
      <w:r w:rsidR="00A954D0" w:rsidRPr="008379CA">
        <w:rPr>
          <w:rFonts w:ascii="Bookman Old Style" w:hAnsi="Bookman Old Style" w:cs="Gill Sans Light (Arabid)"/>
          <w:bCs/>
          <w:sz w:val="24"/>
          <w:szCs w:val="24"/>
          <w:lang w:val="id-ID" w:eastAsia="id-ID" w:bidi="he-IL"/>
        </w:rPr>
        <w:t xml:space="preserve"> </w:t>
      </w:r>
      <w:r w:rsidRPr="008379CA">
        <w:rPr>
          <w:rFonts w:ascii="Bookman Old Style" w:hAnsi="Bookman Old Style" w:cs="Gill Sans Light (Arabid)"/>
          <w:bCs/>
          <w:sz w:val="24"/>
          <w:szCs w:val="24"/>
          <w:lang w:val="id-ID" w:eastAsia="id-ID" w:bidi="he-IL"/>
        </w:rPr>
        <w:t>waktu</w:t>
      </w:r>
      <w:r w:rsidR="00A954D0" w:rsidRPr="008379CA">
        <w:rPr>
          <w:rFonts w:ascii="Bookman Old Style" w:hAnsi="Bookman Old Style" w:cs="Gill Sans Light (Arabid)"/>
          <w:bCs/>
          <w:sz w:val="24"/>
          <w:szCs w:val="24"/>
          <w:lang w:val="id-ID" w:eastAsia="id-ID" w:bidi="he-IL"/>
        </w:rPr>
        <w:t xml:space="preserve"> </w:t>
      </w:r>
      <w:r w:rsidRPr="008379CA">
        <w:rPr>
          <w:rFonts w:ascii="Bookman Old Style" w:hAnsi="Bookman Old Style" w:cs="Gill Sans Light (Arabid)"/>
          <w:bCs/>
          <w:sz w:val="24"/>
          <w:szCs w:val="24"/>
          <w:lang w:val="id-ID" w:eastAsia="id-ID" w:bidi="he-IL"/>
        </w:rPr>
        <w:t>5</w:t>
      </w:r>
      <w:r w:rsidR="00A954D0" w:rsidRPr="008379CA">
        <w:rPr>
          <w:rFonts w:ascii="Bookman Old Style" w:hAnsi="Bookman Old Style" w:cs="Gill Sans Light (Arabid)"/>
          <w:bCs/>
          <w:sz w:val="24"/>
          <w:szCs w:val="24"/>
          <w:lang w:val="id-ID" w:eastAsia="id-ID" w:bidi="he-IL"/>
        </w:rPr>
        <w:t xml:space="preserve"> </w:t>
      </w:r>
      <w:r w:rsidRPr="008379CA">
        <w:rPr>
          <w:rFonts w:ascii="Bookman Old Style" w:hAnsi="Bookman Old Style" w:cs="Gill Sans Light (Arabid)"/>
          <w:bCs/>
          <w:sz w:val="24"/>
          <w:szCs w:val="24"/>
          <w:lang w:val="id-ID" w:eastAsia="id-ID" w:bidi="he-IL"/>
        </w:rPr>
        <w:t>(lima)</w:t>
      </w:r>
      <w:r w:rsidR="00A954D0" w:rsidRPr="008379CA">
        <w:rPr>
          <w:rFonts w:ascii="Bookman Old Style" w:hAnsi="Bookman Old Style" w:cs="Gill Sans Light (Arabid)"/>
          <w:bCs/>
          <w:sz w:val="24"/>
          <w:szCs w:val="24"/>
          <w:lang w:val="id-ID" w:eastAsia="id-ID" w:bidi="he-IL"/>
        </w:rPr>
        <w:t xml:space="preserve"> </w:t>
      </w:r>
      <w:r w:rsidRPr="008379CA">
        <w:rPr>
          <w:rFonts w:ascii="Bookman Old Style" w:hAnsi="Bookman Old Style" w:cs="Gill Sans Light (Arabid)"/>
          <w:bCs/>
          <w:sz w:val="24"/>
          <w:szCs w:val="24"/>
          <w:lang w:val="id-ID" w:eastAsia="id-ID" w:bidi="he-IL"/>
        </w:rPr>
        <w:t>tahun</w:t>
      </w:r>
      <w:r w:rsidR="00A954D0" w:rsidRPr="008379CA">
        <w:rPr>
          <w:rFonts w:ascii="Bookman Old Style" w:hAnsi="Bookman Old Style" w:cs="Gill Sans Light (Arabid)"/>
          <w:bCs/>
          <w:sz w:val="24"/>
          <w:szCs w:val="24"/>
          <w:lang w:val="id-ID" w:eastAsia="id-ID" w:bidi="he-IL"/>
        </w:rPr>
        <w:t xml:space="preserve"> </w:t>
      </w:r>
      <w:r w:rsidRPr="008379CA">
        <w:rPr>
          <w:rFonts w:ascii="Bookman Old Style" w:hAnsi="Bookman Old Style" w:cs="Gill Sans Light (Arabid)"/>
          <w:bCs/>
          <w:sz w:val="24"/>
          <w:szCs w:val="24"/>
          <w:lang w:val="id-ID" w:eastAsia="id-ID" w:bidi="he-IL"/>
        </w:rPr>
        <w:t>sejak</w:t>
      </w:r>
      <w:r w:rsidR="00A954D0" w:rsidRPr="008379CA">
        <w:rPr>
          <w:rFonts w:ascii="Bookman Old Style" w:hAnsi="Bookman Old Style" w:cs="Gill Sans Light (Arabid)"/>
          <w:bCs/>
          <w:sz w:val="24"/>
          <w:szCs w:val="24"/>
          <w:lang w:val="id-ID" w:eastAsia="id-ID" w:bidi="he-IL"/>
        </w:rPr>
        <w:t xml:space="preserve"> </w:t>
      </w:r>
      <w:r w:rsidRPr="008379CA">
        <w:rPr>
          <w:rFonts w:ascii="Bookman Old Style" w:hAnsi="Bookman Old Style" w:cs="Gill Sans Light (Arabid)"/>
          <w:bCs/>
          <w:sz w:val="24"/>
          <w:szCs w:val="24"/>
          <w:lang w:val="id-ID" w:eastAsia="id-ID" w:bidi="he-IL"/>
        </w:rPr>
        <w:t>diterbitkannya</w:t>
      </w:r>
      <w:r w:rsidR="00A954D0" w:rsidRPr="008379CA">
        <w:rPr>
          <w:rFonts w:ascii="Bookman Old Style" w:hAnsi="Bookman Old Style" w:cs="Gill Sans Light (Arabid)"/>
          <w:bCs/>
          <w:sz w:val="24"/>
          <w:szCs w:val="24"/>
          <w:lang w:val="id-ID" w:eastAsia="id-ID" w:bidi="he-IL"/>
        </w:rPr>
        <w:t xml:space="preserve"> </w:t>
      </w:r>
      <w:r w:rsidRPr="008379CA">
        <w:rPr>
          <w:rFonts w:ascii="Bookman Old Style" w:hAnsi="Bookman Old Style" w:cs="Gill Sans Light (Arabid)"/>
          <w:bCs/>
          <w:sz w:val="24"/>
          <w:szCs w:val="24"/>
          <w:lang w:val="id-ID" w:eastAsia="id-ID" w:bidi="he-IL"/>
        </w:rPr>
        <w:t>Undang-Undang</w:t>
      </w:r>
      <w:r w:rsidR="00A954D0" w:rsidRPr="008379CA">
        <w:rPr>
          <w:rFonts w:ascii="Bookman Old Style" w:hAnsi="Bookman Old Style" w:cs="Gill Sans Light (Arabid)"/>
          <w:bCs/>
          <w:sz w:val="24"/>
          <w:szCs w:val="24"/>
          <w:lang w:val="id-ID" w:eastAsia="id-ID" w:bidi="he-IL"/>
        </w:rPr>
        <w:t xml:space="preserve"> </w:t>
      </w:r>
      <w:r w:rsidRPr="008379CA">
        <w:rPr>
          <w:rFonts w:ascii="Bookman Old Style" w:hAnsi="Bookman Old Style" w:cs="Gill Sans Light (Arabid)"/>
          <w:bCs/>
          <w:sz w:val="24"/>
          <w:szCs w:val="24"/>
          <w:lang w:val="id-ID" w:eastAsia="id-ID" w:bidi="he-IL"/>
        </w:rPr>
        <w:t>Nomor</w:t>
      </w:r>
      <w:r w:rsidR="00A954D0" w:rsidRPr="008379CA">
        <w:rPr>
          <w:rFonts w:ascii="Bookman Old Style" w:hAnsi="Bookman Old Style" w:cs="Gill Sans Light (Arabid)"/>
          <w:bCs/>
          <w:sz w:val="24"/>
          <w:szCs w:val="24"/>
          <w:lang w:val="id-ID" w:eastAsia="id-ID" w:bidi="he-IL"/>
        </w:rPr>
        <w:t xml:space="preserve"> </w:t>
      </w:r>
      <w:r w:rsidRPr="008379CA">
        <w:rPr>
          <w:rFonts w:ascii="Bookman Old Style" w:hAnsi="Bookman Old Style" w:cs="Gill Sans Light (Arabid)"/>
          <w:bCs/>
          <w:sz w:val="24"/>
          <w:szCs w:val="24"/>
          <w:lang w:val="id-ID" w:eastAsia="id-ID" w:bidi="he-IL"/>
        </w:rPr>
        <w:t>1</w:t>
      </w:r>
      <w:r w:rsidR="00A954D0" w:rsidRPr="008379CA">
        <w:rPr>
          <w:rFonts w:ascii="Bookman Old Style" w:hAnsi="Bookman Old Style" w:cs="Gill Sans Light (Arabid)"/>
          <w:bCs/>
          <w:sz w:val="24"/>
          <w:szCs w:val="24"/>
          <w:lang w:val="id-ID" w:eastAsia="id-ID" w:bidi="he-IL"/>
        </w:rPr>
        <w:t xml:space="preserve"> </w:t>
      </w:r>
      <w:r w:rsidRPr="008379CA">
        <w:rPr>
          <w:rFonts w:ascii="Bookman Old Style" w:hAnsi="Bookman Old Style" w:cs="Gill Sans Light (Arabid)"/>
          <w:bCs/>
          <w:sz w:val="24"/>
          <w:szCs w:val="24"/>
          <w:lang w:val="id-ID" w:eastAsia="id-ID" w:bidi="he-IL"/>
        </w:rPr>
        <w:t>Tahun</w:t>
      </w:r>
      <w:r w:rsidR="00A954D0" w:rsidRPr="008379CA">
        <w:rPr>
          <w:rFonts w:ascii="Bookman Old Style" w:hAnsi="Bookman Old Style" w:cs="Gill Sans Light (Arabid)"/>
          <w:bCs/>
          <w:sz w:val="24"/>
          <w:szCs w:val="24"/>
          <w:lang w:val="id-ID" w:eastAsia="id-ID" w:bidi="he-IL"/>
        </w:rPr>
        <w:t xml:space="preserve"> </w:t>
      </w:r>
      <w:r w:rsidRPr="008379CA">
        <w:rPr>
          <w:rFonts w:ascii="Bookman Old Style" w:hAnsi="Bookman Old Style" w:cs="Gill Sans Light (Arabid)"/>
          <w:bCs/>
          <w:sz w:val="24"/>
          <w:szCs w:val="24"/>
          <w:lang w:val="id-ID" w:eastAsia="id-ID" w:bidi="he-IL"/>
        </w:rPr>
        <w:t>2022,</w:t>
      </w:r>
      <w:r w:rsidR="00A954D0" w:rsidRPr="008379CA">
        <w:rPr>
          <w:rFonts w:ascii="Bookman Old Style" w:hAnsi="Bookman Old Style" w:cs="Gill Sans Light (Arabid)"/>
          <w:bCs/>
          <w:sz w:val="24"/>
          <w:szCs w:val="24"/>
          <w:lang w:val="id-ID" w:eastAsia="id-ID" w:bidi="he-IL"/>
        </w:rPr>
        <w:t xml:space="preserve"> </w:t>
      </w:r>
      <w:r w:rsidRPr="008379CA">
        <w:rPr>
          <w:rFonts w:ascii="Bookman Old Style" w:hAnsi="Bookman Old Style"/>
          <w:sz w:val="24"/>
          <w:szCs w:val="24"/>
          <w:lang w:val="id-ID"/>
        </w:rPr>
        <w:t>sebagaimana</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maksud</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Pasal</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146</w:t>
      </w:r>
      <w:r w:rsidR="00A954D0" w:rsidRPr="008379CA">
        <w:rPr>
          <w:rFonts w:ascii="Bookman Old Style" w:hAnsi="Bookman Old Style"/>
          <w:sz w:val="24"/>
          <w:szCs w:val="24"/>
          <w:lang w:val="id-ID"/>
        </w:rPr>
        <w:t xml:space="preserve"> </w:t>
      </w:r>
      <w:r w:rsidRPr="008379CA">
        <w:rPr>
          <w:rFonts w:ascii="Bookman Old Style" w:hAnsi="Bookman Old Style"/>
          <w:sz w:val="24"/>
          <w:szCs w:val="24"/>
        </w:rPr>
        <w:t>Undang-Undang</w:t>
      </w:r>
      <w:r w:rsidR="00A954D0" w:rsidRPr="008379CA">
        <w:rPr>
          <w:rFonts w:ascii="Bookman Old Style" w:hAnsi="Bookman Old Style"/>
          <w:sz w:val="24"/>
          <w:szCs w:val="24"/>
        </w:rPr>
        <w:t xml:space="preserve"> </w:t>
      </w:r>
      <w:r w:rsidRPr="008379CA">
        <w:rPr>
          <w:rFonts w:ascii="Bookman Old Style" w:hAnsi="Bookman Old Style"/>
          <w:sz w:val="24"/>
          <w:szCs w:val="24"/>
        </w:rPr>
        <w:t>Nomor</w:t>
      </w:r>
      <w:r w:rsidR="00A954D0" w:rsidRPr="008379CA">
        <w:rPr>
          <w:rFonts w:ascii="Bookman Old Style" w:hAnsi="Bookman Old Style"/>
          <w:sz w:val="24"/>
          <w:szCs w:val="24"/>
        </w:rPr>
        <w:t xml:space="preserve"> </w:t>
      </w:r>
      <w:r w:rsidRPr="008379CA">
        <w:rPr>
          <w:rFonts w:ascii="Bookman Old Style" w:hAnsi="Bookman Old Style"/>
          <w:sz w:val="24"/>
          <w:szCs w:val="24"/>
        </w:rPr>
        <w:t>1</w:t>
      </w:r>
      <w:r w:rsidR="00A954D0" w:rsidRPr="008379CA">
        <w:rPr>
          <w:rFonts w:ascii="Bookman Old Style" w:hAnsi="Bookman Old Style"/>
          <w:sz w:val="24"/>
          <w:szCs w:val="24"/>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rPr>
        <w:t>2022</w:t>
      </w:r>
      <w:r w:rsidRPr="008379CA">
        <w:rPr>
          <w:rFonts w:ascii="Bookman Old Style" w:hAnsi="Bookman Old Style"/>
          <w:sz w:val="24"/>
          <w:szCs w:val="24"/>
          <w:lang w:val="id-ID"/>
        </w:rPr>
        <w:t>,</w:t>
      </w:r>
      <w:r w:rsidR="00A954D0" w:rsidRPr="008379CA">
        <w:rPr>
          <w:rFonts w:ascii="Bookman Old Style" w:hAnsi="Bookman Old Style"/>
          <w:sz w:val="24"/>
          <w:szCs w:val="24"/>
          <w:lang w:val="id-ID"/>
        </w:rPr>
        <w:t xml:space="preserve"> </w:t>
      </w:r>
      <w:r w:rsidRPr="008379CA">
        <w:rPr>
          <w:rFonts w:ascii="Bookman Old Style" w:hAnsi="Bookman Old Style"/>
          <w:sz w:val="24"/>
          <w:szCs w:val="24"/>
        </w:rPr>
        <w:t>butir</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3.2.2.j</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butir</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3.4.1.1.e</w:t>
      </w:r>
      <w:r w:rsidR="00A954D0" w:rsidRPr="008379CA">
        <w:rPr>
          <w:rFonts w:ascii="Bookman Old Style" w:hAnsi="Bookman Old Style"/>
          <w:sz w:val="24"/>
          <w:szCs w:val="24"/>
        </w:rPr>
        <w:t xml:space="preserve"> </w:t>
      </w:r>
      <w:r w:rsidRPr="008379CA">
        <w:rPr>
          <w:rFonts w:ascii="Bookman Old Style" w:hAnsi="Bookman Old Style"/>
          <w:sz w:val="24"/>
          <w:szCs w:val="24"/>
        </w:rPr>
        <w:t>Lampiran</w:t>
      </w:r>
      <w:r w:rsidR="00A954D0" w:rsidRPr="008379CA">
        <w:rPr>
          <w:rFonts w:ascii="Bookman Old Style" w:hAnsi="Bookman Old Style"/>
          <w:sz w:val="24"/>
          <w:szCs w:val="24"/>
        </w:rPr>
        <w:t xml:space="preserve"> </w:t>
      </w:r>
      <w:r w:rsidRPr="008379CA">
        <w:rPr>
          <w:rFonts w:ascii="Bookman Old Style" w:hAnsi="Bookman Old Style"/>
          <w:sz w:val="24"/>
          <w:szCs w:val="24"/>
        </w:rPr>
        <w:t>Peraturan</w:t>
      </w:r>
      <w:r w:rsidR="00A954D0" w:rsidRPr="008379CA">
        <w:rPr>
          <w:rFonts w:ascii="Bookman Old Style" w:hAnsi="Bookman Old Style"/>
          <w:sz w:val="24"/>
          <w:szCs w:val="24"/>
        </w:rPr>
        <w:t xml:space="preserve"> </w:t>
      </w:r>
      <w:r w:rsidRPr="008379CA">
        <w:rPr>
          <w:rFonts w:ascii="Bookman Old Style" w:hAnsi="Bookman Old Style"/>
          <w:sz w:val="24"/>
          <w:szCs w:val="24"/>
        </w:rPr>
        <w:t>Menteri</w:t>
      </w:r>
      <w:r w:rsidR="00A954D0" w:rsidRPr="008379CA">
        <w:rPr>
          <w:rFonts w:ascii="Bookman Old Style" w:hAnsi="Bookman Old Style"/>
          <w:sz w:val="24"/>
          <w:szCs w:val="24"/>
        </w:rPr>
        <w:t xml:space="preserve"> </w:t>
      </w:r>
      <w:r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Pr="008379CA">
        <w:rPr>
          <w:rFonts w:ascii="Bookman Old Style" w:hAnsi="Bookman Old Style"/>
          <w:sz w:val="24"/>
          <w:szCs w:val="24"/>
        </w:rPr>
        <w:t>Negeri</w:t>
      </w:r>
      <w:r w:rsidR="00A954D0" w:rsidRPr="008379CA">
        <w:rPr>
          <w:rFonts w:ascii="Bookman Old Style" w:hAnsi="Bookman Old Style"/>
          <w:sz w:val="24"/>
          <w:szCs w:val="24"/>
        </w:rPr>
        <w:t xml:space="preserve"> </w:t>
      </w:r>
      <w:r w:rsidRPr="008379CA">
        <w:rPr>
          <w:rFonts w:ascii="Bookman Old Style" w:hAnsi="Bookman Old Style"/>
          <w:sz w:val="24"/>
          <w:szCs w:val="24"/>
        </w:rPr>
        <w:t>Nomor</w:t>
      </w:r>
      <w:r w:rsidR="00A954D0" w:rsidRPr="008379CA">
        <w:rPr>
          <w:rFonts w:ascii="Bookman Old Style" w:hAnsi="Bookman Old Style"/>
          <w:sz w:val="24"/>
          <w:szCs w:val="24"/>
        </w:rPr>
        <w:t xml:space="preserve"> </w:t>
      </w:r>
      <w:r w:rsidRPr="008379CA">
        <w:rPr>
          <w:rFonts w:ascii="Bookman Old Style" w:hAnsi="Bookman Old Style"/>
          <w:sz w:val="24"/>
          <w:szCs w:val="24"/>
          <w:lang w:val="id-ID"/>
        </w:rPr>
        <w:t>15</w:t>
      </w:r>
      <w:r w:rsidR="00A954D0" w:rsidRPr="008379CA">
        <w:rPr>
          <w:rFonts w:ascii="Bookman Old Style" w:hAnsi="Bookman Old Style"/>
          <w:sz w:val="24"/>
          <w:szCs w:val="24"/>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rPr>
        <w:t>2024</w:t>
      </w:r>
      <w:r w:rsidRPr="008379CA">
        <w:rPr>
          <w:rFonts w:ascii="Bookman Old Style" w:hAnsi="Bookman Old Style"/>
          <w:sz w:val="24"/>
          <w:szCs w:val="24"/>
          <w:lang w:val="id-ID"/>
        </w:rPr>
        <w:t>.</w:t>
      </w:r>
    </w:p>
    <w:p w14:paraId="034DAEED" w14:textId="0A0A8B10" w:rsidR="00F14F4D" w:rsidRPr="008379CA" w:rsidRDefault="00A5317F" w:rsidP="00447E9A">
      <w:pPr>
        <w:pStyle w:val="ListParagraph"/>
        <w:numPr>
          <w:ilvl w:val="0"/>
          <w:numId w:val="98"/>
        </w:numPr>
        <w:spacing w:before="120" w:after="0" w:line="276" w:lineRule="auto"/>
        <w:ind w:left="1276" w:hanging="283"/>
        <w:contextualSpacing w:val="0"/>
        <w:jc w:val="both"/>
        <w:rPr>
          <w:rFonts w:ascii="Bookman Old Style" w:hAnsi="Bookman Old Style" w:cs="Arial"/>
          <w:sz w:val="24"/>
          <w:szCs w:val="24"/>
        </w:rPr>
      </w:pPr>
      <w:r w:rsidRPr="008379CA">
        <w:rPr>
          <w:rFonts w:ascii="Bookman Old Style" w:hAnsi="Bookman Old Style" w:cs="Arial"/>
          <w:sz w:val="24"/>
          <w:szCs w:val="24"/>
        </w:rPr>
        <w:t>Alokasi</w:t>
      </w:r>
      <w:r w:rsidR="00A954D0" w:rsidRPr="008379CA">
        <w:rPr>
          <w:rFonts w:ascii="Bookman Old Style" w:hAnsi="Bookman Old Style" w:cs="Arial"/>
          <w:sz w:val="24"/>
          <w:szCs w:val="24"/>
        </w:rPr>
        <w:t xml:space="preserve"> </w:t>
      </w:r>
      <w:bookmarkStart w:id="13" w:name="_Hlk182911793"/>
      <w:r w:rsidRPr="008379CA">
        <w:rPr>
          <w:rFonts w:ascii="Bookman Old Style" w:hAnsi="Bookman Old Style" w:cs="Arial"/>
          <w:sz w:val="24"/>
          <w:szCs w:val="24"/>
        </w:rPr>
        <w:t>Anggaran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Pembinaan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Pengawasan</w:t>
      </w:r>
      <w:bookmarkEnd w:id="13"/>
    </w:p>
    <w:p w14:paraId="6C6E0298" w14:textId="1F1371C0" w:rsidR="00BB2062" w:rsidRPr="008379CA" w:rsidRDefault="00BB2062" w:rsidP="00447E9A">
      <w:pPr>
        <w:pStyle w:val="ListParagraph"/>
        <w:spacing w:before="60" w:after="0" w:line="276" w:lineRule="auto"/>
        <w:ind w:left="1276"/>
        <w:contextualSpacing w:val="0"/>
        <w:jc w:val="both"/>
        <w:rPr>
          <w:rFonts w:ascii="Bookman Old Style" w:hAnsi="Bookman Old Style"/>
          <w:sz w:val="24"/>
          <w:szCs w:val="24"/>
          <w:lang w:val="en-US"/>
        </w:rPr>
      </w:pPr>
      <w:r w:rsidRPr="008379CA">
        <w:rPr>
          <w:rFonts w:ascii="Bookman Old Style" w:hAnsi="Bookman Old Style"/>
          <w:sz w:val="24"/>
          <w:szCs w:val="24"/>
          <w:lang w:val="sv-FI"/>
        </w:rPr>
        <w:t>Penyediaan</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pada</w:t>
      </w:r>
      <w:r w:rsidR="00A954D0" w:rsidRPr="008379CA">
        <w:rPr>
          <w:rFonts w:ascii="Bookman Old Style" w:hAnsi="Bookman Old Style"/>
          <w:sz w:val="24"/>
          <w:szCs w:val="24"/>
        </w:rPr>
        <w:t xml:space="preserve"> </w:t>
      </w:r>
      <w:r w:rsidRPr="008379CA">
        <w:rPr>
          <w:rFonts w:ascii="Bookman Old Style" w:hAnsi="Bookman Old Style"/>
          <w:sz w:val="24"/>
          <w:szCs w:val="24"/>
          <w:lang w:val="en-US"/>
        </w:rPr>
        <w:t>Inspektorat</w:t>
      </w:r>
      <w:r w:rsidR="00A954D0" w:rsidRPr="008379CA">
        <w:rPr>
          <w:rFonts w:ascii="Bookman Old Style" w:hAnsi="Bookman Old Style"/>
          <w:sz w:val="24"/>
          <w:szCs w:val="24"/>
        </w:rPr>
        <w:t xml:space="preserve"> </w:t>
      </w:r>
      <w:r w:rsidRPr="008379CA">
        <w:rPr>
          <w:rFonts w:ascii="Bookman Old Style" w:hAnsi="Bookman Old Style"/>
          <w:sz w:val="24"/>
          <w:szCs w:val="24"/>
        </w:rPr>
        <w:t>Pemerintah</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sv-FI"/>
        </w:rPr>
        <w:t xml:space="preserve"> </w:t>
      </w:r>
      <w:r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Pr="008379CA">
        <w:rPr>
          <w:rFonts w:ascii="Bookman Old Style" w:hAnsi="Bookman Old Style"/>
          <w:sz w:val="24"/>
          <w:szCs w:val="24"/>
        </w:rPr>
        <w:t>rangka</w:t>
      </w:r>
      <w:r w:rsidR="00A954D0" w:rsidRPr="008379CA">
        <w:rPr>
          <w:rFonts w:ascii="Bookman Old Style" w:hAnsi="Bookman Old Style"/>
          <w:sz w:val="24"/>
          <w:szCs w:val="24"/>
        </w:rPr>
        <w:t xml:space="preserve"> </w:t>
      </w:r>
      <w:r w:rsidRPr="008379CA">
        <w:rPr>
          <w:rFonts w:ascii="Bookman Old Style" w:hAnsi="Bookman Old Style"/>
          <w:sz w:val="24"/>
          <w:szCs w:val="24"/>
        </w:rPr>
        <w:t>penguatan</w:t>
      </w:r>
      <w:r w:rsidR="00A954D0" w:rsidRPr="008379CA">
        <w:rPr>
          <w:rFonts w:ascii="Bookman Old Style" w:hAnsi="Bookman Old Style"/>
          <w:sz w:val="24"/>
          <w:szCs w:val="24"/>
        </w:rPr>
        <w:t xml:space="preserve"> </w:t>
      </w:r>
      <w:r w:rsidRPr="008379CA">
        <w:rPr>
          <w:rFonts w:ascii="Bookman Old Style" w:hAnsi="Bookman Old Style"/>
          <w:sz w:val="24"/>
          <w:szCs w:val="24"/>
          <w:lang w:val="sv-FI"/>
        </w:rPr>
        <w:t>p</w:t>
      </w:r>
      <w:r w:rsidRPr="008379CA">
        <w:rPr>
          <w:rFonts w:ascii="Bookman Old Style" w:hAnsi="Bookman Old Style"/>
          <w:sz w:val="24"/>
          <w:szCs w:val="24"/>
        </w:rPr>
        <w:t>embinaan</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Pr="008379CA">
        <w:rPr>
          <w:rFonts w:ascii="Bookman Old Style" w:hAnsi="Bookman Old Style"/>
          <w:sz w:val="24"/>
          <w:szCs w:val="24"/>
          <w:lang w:val="sv-FI"/>
        </w:rPr>
        <w:t>p</w:t>
      </w:r>
      <w:r w:rsidRPr="008379CA">
        <w:rPr>
          <w:rFonts w:ascii="Bookman Old Style" w:hAnsi="Bookman Old Style"/>
          <w:sz w:val="24"/>
          <w:szCs w:val="24"/>
        </w:rPr>
        <w:t>engawasan</w:t>
      </w:r>
      <w:r w:rsidR="00A954D0" w:rsidRPr="008379CA">
        <w:rPr>
          <w:rFonts w:ascii="Bookman Old Style" w:hAnsi="Bookman Old Style"/>
          <w:sz w:val="24"/>
          <w:szCs w:val="24"/>
        </w:rPr>
        <w:t xml:space="preserve"> </w:t>
      </w:r>
      <w:r w:rsidRPr="008379CA">
        <w:rPr>
          <w:rFonts w:ascii="Bookman Old Style" w:hAnsi="Bookman Old Style" w:cs="Arial"/>
          <w:sz w:val="24"/>
          <w:szCs w:val="24"/>
          <w:lang w:val="sv-FI"/>
        </w:rPr>
        <w:t>Rp35.642.003.444,00</w:t>
      </w:r>
      <w:r w:rsidR="00A954D0" w:rsidRPr="008379CA">
        <w:rPr>
          <w:rFonts w:ascii="Bookman Old Style" w:hAnsi="Bookman Old Style" w:cs="Arial"/>
          <w:sz w:val="24"/>
          <w:szCs w:val="24"/>
          <w:lang w:val="sv-FI"/>
        </w:rPr>
        <w:t xml:space="preserve"> </w:t>
      </w:r>
      <w:r w:rsidRPr="008379CA">
        <w:rPr>
          <w:rFonts w:ascii="Bookman Old Style" w:hAnsi="Bookman Old Style"/>
          <w:sz w:val="24"/>
          <w:szCs w:val="24"/>
          <w:lang w:val="sv-FI"/>
        </w:rPr>
        <w:t>atau</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sv-FI"/>
        </w:rPr>
        <w:t>0,62%</w:t>
      </w:r>
      <w:r w:rsidR="00A954D0" w:rsidRPr="008379CA">
        <w:rPr>
          <w:rFonts w:ascii="Bookman Old Style" w:hAnsi="Bookman Old Style"/>
          <w:sz w:val="24"/>
          <w:szCs w:val="24"/>
          <w:lang w:val="sv-FI"/>
        </w:rPr>
        <w:t xml:space="preserve"> </w:t>
      </w:r>
      <w:r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Pr="008379CA">
        <w:rPr>
          <w:rFonts w:ascii="Bookman Old Style" w:hAnsi="Bookman Old Style"/>
          <w:sz w:val="24"/>
          <w:szCs w:val="24"/>
        </w:rPr>
        <w:t>total</w:t>
      </w:r>
      <w:r w:rsidR="00A954D0" w:rsidRPr="008379CA">
        <w:rPr>
          <w:rFonts w:ascii="Bookman Old Style" w:hAnsi="Bookman Old Style"/>
          <w:sz w:val="24"/>
          <w:szCs w:val="24"/>
        </w:rPr>
        <w:t xml:space="preserve"> </w:t>
      </w:r>
      <w:r w:rsidRPr="008379CA">
        <w:rPr>
          <w:rFonts w:ascii="Bookman Old Style" w:hAnsi="Bookman Old Style"/>
          <w:sz w:val="24"/>
          <w:szCs w:val="24"/>
        </w:rPr>
        <w:t>belanja</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lang w:val="en-US"/>
        </w:rPr>
        <w:t xml:space="preserve"> </w:t>
      </w:r>
      <w:r w:rsidRPr="008379CA">
        <w:rPr>
          <w:rFonts w:ascii="Bookman Old Style" w:hAnsi="Bookman Old Style" w:cs="Arial"/>
          <w:sz w:val="24"/>
          <w:szCs w:val="24"/>
          <w:lang w:val="sv-FI"/>
        </w:rPr>
        <w:t>Rp5.706.600.538.955,00</w:t>
      </w:r>
      <w:r w:rsidR="00A954D0" w:rsidRPr="008379CA">
        <w:rPr>
          <w:rFonts w:ascii="Bookman Old Style" w:hAnsi="Bookman Old Style"/>
          <w:sz w:val="24"/>
          <w:szCs w:val="24"/>
          <w:lang w:val="en-US"/>
        </w:rPr>
        <w:t xml:space="preserve"> </w:t>
      </w:r>
      <w:r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Pr="008379CA">
        <w:rPr>
          <w:rFonts w:ascii="Bookman Old Style" w:hAnsi="Bookman Old Style"/>
          <w:sz w:val="24"/>
          <w:szCs w:val="24"/>
        </w:rPr>
        <w:t>Rancangan</w:t>
      </w:r>
      <w:r w:rsidR="00A954D0" w:rsidRPr="008379CA">
        <w:rPr>
          <w:rFonts w:ascii="Bookman Old Style" w:hAnsi="Bookman Old Style"/>
          <w:sz w:val="24"/>
          <w:szCs w:val="24"/>
        </w:rPr>
        <w:t xml:space="preserve"> </w:t>
      </w:r>
      <w:r w:rsidRPr="008379CA">
        <w:rPr>
          <w:rFonts w:ascii="Bookman Old Style" w:hAnsi="Bookman Old Style"/>
          <w:sz w:val="24"/>
          <w:szCs w:val="24"/>
        </w:rPr>
        <w:t>Peraturan</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sz w:val="24"/>
          <w:szCs w:val="24"/>
        </w:rPr>
        <w:t>tentang</w:t>
      </w:r>
      <w:r w:rsidR="00A954D0" w:rsidRPr="008379CA">
        <w:rPr>
          <w:rFonts w:ascii="Bookman Old Style" w:hAnsi="Bookman Old Style"/>
          <w:sz w:val="24"/>
          <w:szCs w:val="24"/>
        </w:rPr>
        <w:t xml:space="preserve"> </w:t>
      </w:r>
      <w:r w:rsidRPr="008379CA">
        <w:rPr>
          <w:rFonts w:ascii="Bookman Old Style" w:hAnsi="Bookman Old Style"/>
          <w:sz w:val="24"/>
          <w:szCs w:val="24"/>
          <w:lang w:val="en-US"/>
        </w:rPr>
        <w:t>APBD</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Tahun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2025</w:t>
      </w:r>
      <w:r w:rsidRPr="008379CA">
        <w:rPr>
          <w:rFonts w:ascii="Bookman Old Style" w:hAnsi="Bookman Old Style"/>
          <w:sz w:val="24"/>
          <w:szCs w:val="24"/>
        </w:rPr>
        <w:t>,</w:t>
      </w:r>
      <w:r w:rsidR="00A954D0" w:rsidRPr="008379CA">
        <w:rPr>
          <w:rFonts w:ascii="Bookman Old Style" w:hAnsi="Bookman Old Style"/>
          <w:sz w:val="24"/>
          <w:szCs w:val="24"/>
        </w:rPr>
        <w:t xml:space="preserve"> </w:t>
      </w:r>
      <w:r w:rsidRPr="008379CA">
        <w:rPr>
          <w:rFonts w:ascii="Bookman Old Style" w:hAnsi="Bookman Old Style"/>
          <w:sz w:val="24"/>
          <w:szCs w:val="24"/>
          <w:lang w:val="en-US"/>
        </w:rPr>
        <w:t>yang</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diuraikan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sebagai</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berikut:</w:t>
      </w:r>
    </w:p>
    <w:p w14:paraId="536681CB" w14:textId="1B19A0FA" w:rsidR="00BB2062" w:rsidRPr="008379CA" w:rsidRDefault="00BB2062" w:rsidP="00447E9A">
      <w:pPr>
        <w:pStyle w:val="ListParagraph"/>
        <w:numPr>
          <w:ilvl w:val="0"/>
          <w:numId w:val="60"/>
        </w:numPr>
        <w:spacing w:before="60" w:after="0" w:line="276" w:lineRule="auto"/>
        <w:ind w:left="1701" w:hanging="426"/>
        <w:contextualSpacing w:val="0"/>
        <w:jc w:val="both"/>
        <w:rPr>
          <w:rFonts w:ascii="Bookman Old Style" w:hAnsi="Bookman Old Style"/>
          <w:sz w:val="24"/>
          <w:szCs w:val="24"/>
          <w:lang w:val="sv-FI"/>
        </w:rPr>
      </w:pPr>
      <w:r w:rsidRPr="008379CA">
        <w:rPr>
          <w:rFonts w:ascii="Bookman Old Style" w:hAnsi="Bookman Old Style"/>
          <w:sz w:val="24"/>
          <w:szCs w:val="24"/>
          <w:lang w:val="sv-FI"/>
        </w:rPr>
        <w:t>Alokasi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belanja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gaji,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tunjangan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TP</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ASN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pada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SKPD</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Inspektorat</w:t>
      </w:r>
      <w:r w:rsidR="00A954D0" w:rsidRPr="008379CA">
        <w:rPr>
          <w:rFonts w:ascii="Bookman Old Style" w:hAnsi="Bookman Old Style"/>
          <w:sz w:val="24"/>
          <w:szCs w:val="24"/>
          <w:lang w:val="sv-FI"/>
        </w:rPr>
        <w:t xml:space="preserve"> </w:t>
      </w:r>
      <w:r w:rsidRPr="008379CA">
        <w:rPr>
          <w:rFonts w:ascii="Bookman Old Style" w:hAnsi="Bookman Old Style" w:cs="Arial"/>
          <w:sz w:val="24"/>
          <w:szCs w:val="24"/>
          <w:lang w:val="sv-FI"/>
        </w:rPr>
        <w:t>Rp26.301.577.164,00</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atau</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0,46%</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dari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total</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belanja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daerah;</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dan</w:t>
      </w:r>
    </w:p>
    <w:p w14:paraId="1E8E3D43" w14:textId="68A4644A" w:rsidR="00BB2062" w:rsidRPr="008379CA" w:rsidRDefault="00BB2062" w:rsidP="00447E9A">
      <w:pPr>
        <w:pStyle w:val="ListParagraph"/>
        <w:numPr>
          <w:ilvl w:val="0"/>
          <w:numId w:val="60"/>
        </w:numPr>
        <w:spacing w:before="60" w:after="0" w:line="276" w:lineRule="auto"/>
        <w:ind w:left="1701" w:hanging="426"/>
        <w:contextualSpacing w:val="0"/>
        <w:jc w:val="both"/>
        <w:rPr>
          <w:rFonts w:ascii="Bookman Old Style" w:hAnsi="Bookman Old Style"/>
          <w:sz w:val="24"/>
          <w:szCs w:val="24"/>
        </w:rPr>
      </w:pPr>
      <w:r w:rsidRPr="008379CA">
        <w:rPr>
          <w:rFonts w:ascii="Bookman Old Style" w:hAnsi="Bookman Old Style"/>
          <w:sz w:val="24"/>
          <w:szCs w:val="24"/>
          <w:lang w:val="sv-FI"/>
        </w:rPr>
        <w:lastRenderedPageBreak/>
        <w:t>Alokasi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belanja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pada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SKPD</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Inspektorat</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luar</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belanja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gaji,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tunjangan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TP</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ASN</w:t>
      </w:r>
      <w:r w:rsidR="00A954D0" w:rsidRPr="008379CA">
        <w:rPr>
          <w:rFonts w:ascii="Bookman Old Style" w:hAnsi="Bookman Old Style"/>
          <w:sz w:val="24"/>
          <w:szCs w:val="24"/>
          <w:lang w:val="sv-FI"/>
        </w:rPr>
        <w:t xml:space="preserve"> </w:t>
      </w:r>
      <w:r w:rsidRPr="008379CA">
        <w:rPr>
          <w:rFonts w:ascii="Bookman Old Style" w:hAnsi="Bookman Old Style" w:cs="Arial"/>
          <w:sz w:val="24"/>
          <w:szCs w:val="24"/>
          <w:lang w:val="sv-FI"/>
        </w:rPr>
        <w:t>Rp9.340.426.280,00</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atau</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0,16%</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dari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total</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belanja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daerah.</w:t>
      </w:r>
      <w:r w:rsidR="00A954D0" w:rsidRPr="008379CA">
        <w:rPr>
          <w:rFonts w:ascii="Bookman Old Style" w:hAnsi="Bookman Old Style"/>
          <w:sz w:val="24"/>
          <w:szCs w:val="24"/>
          <w:lang w:val="sv-FI"/>
        </w:rPr>
        <w:t xml:space="preserve"> </w:t>
      </w:r>
    </w:p>
    <w:p w14:paraId="51D0F820" w14:textId="742F9A0C" w:rsidR="00BB2062" w:rsidRPr="008379CA" w:rsidRDefault="00BB2062" w:rsidP="00447E9A">
      <w:pPr>
        <w:pStyle w:val="ListParagraph"/>
        <w:spacing w:before="60" w:after="0" w:line="276" w:lineRule="auto"/>
        <w:ind w:left="1701"/>
        <w:contextualSpacing w:val="0"/>
        <w:jc w:val="both"/>
        <w:rPr>
          <w:rFonts w:ascii="Bookman Old Style" w:hAnsi="Bookman Old Style"/>
          <w:sz w:val="24"/>
          <w:szCs w:val="24"/>
          <w:lang w:val="sv-FI"/>
        </w:rPr>
      </w:pPr>
      <w:r w:rsidRPr="008379CA">
        <w:rPr>
          <w:rFonts w:ascii="Bookman Old Style" w:hAnsi="Bookman Old Style"/>
          <w:sz w:val="24"/>
          <w:szCs w:val="24"/>
          <w:lang w:val="sv-FI"/>
        </w:rPr>
        <w:t>Yang</w:t>
      </w:r>
      <w:r w:rsidR="00A954D0" w:rsidRPr="008379CA">
        <w:rPr>
          <w:rFonts w:ascii="Bookman Old Style" w:hAnsi="Bookman Old Style"/>
          <w:sz w:val="24"/>
          <w:szCs w:val="24"/>
          <w:lang w:val="sv-FI"/>
        </w:rPr>
        <w:t xml:space="preserve"> </w:t>
      </w:r>
      <w:r w:rsidRPr="008379CA">
        <w:rPr>
          <w:rFonts w:ascii="Bookman Old Style" w:hAnsi="Bookman Old Style"/>
          <w:sz w:val="24"/>
          <w:szCs w:val="24"/>
        </w:rPr>
        <w:t>antara</w:t>
      </w:r>
      <w:r w:rsidR="00A954D0" w:rsidRPr="008379CA">
        <w:rPr>
          <w:rFonts w:ascii="Bookman Old Style" w:hAnsi="Bookman Old Style"/>
          <w:sz w:val="24"/>
          <w:szCs w:val="24"/>
          <w:lang w:val="sv-FI"/>
        </w:rPr>
        <w:t xml:space="preserve"> </w:t>
      </w:r>
      <w:r w:rsidRPr="008379CA">
        <w:rPr>
          <w:rFonts w:ascii="Bookman Old Style" w:hAnsi="Bookman Old Style"/>
          <w:sz w:val="24"/>
          <w:szCs w:val="24"/>
        </w:rPr>
        <w:t>lain</w:t>
      </w:r>
      <w:r w:rsidR="00A954D0" w:rsidRPr="008379CA">
        <w:rPr>
          <w:rFonts w:ascii="Bookman Old Style" w:hAnsi="Bookman Old Style"/>
          <w:sz w:val="24"/>
          <w:szCs w:val="24"/>
        </w:rPr>
        <w:t xml:space="preserve"> </w:t>
      </w:r>
      <w:r w:rsidRPr="008379CA">
        <w:rPr>
          <w:rFonts w:ascii="Bookman Old Style" w:hAnsi="Bookman Old Style"/>
          <w:sz w:val="24"/>
          <w:szCs w:val="24"/>
        </w:rPr>
        <w:t>tercantum</w:t>
      </w:r>
      <w:r w:rsidR="00A954D0" w:rsidRPr="008379CA">
        <w:rPr>
          <w:rFonts w:ascii="Bookman Old Style" w:hAnsi="Bookman Old Style"/>
          <w:sz w:val="24"/>
          <w:szCs w:val="24"/>
        </w:rPr>
        <w:t xml:space="preserve"> </w:t>
      </w:r>
      <w:r w:rsidRPr="008379CA">
        <w:rPr>
          <w:rFonts w:ascii="Bookman Old Style" w:hAnsi="Bookman Old Style"/>
          <w:sz w:val="24"/>
          <w:szCs w:val="24"/>
        </w:rPr>
        <w:t>pada</w:t>
      </w:r>
      <w:r w:rsidRPr="008379CA">
        <w:rPr>
          <w:rFonts w:ascii="Bookman Old Style" w:hAnsi="Bookman Old Style"/>
          <w:sz w:val="24"/>
          <w:szCs w:val="24"/>
          <w:lang w:val="sv-FI"/>
        </w:rPr>
        <w:t>:</w:t>
      </w:r>
    </w:p>
    <w:p w14:paraId="58CBB3B9" w14:textId="3DC92CEA" w:rsidR="00BB2062" w:rsidRPr="008379CA" w:rsidRDefault="00BB2062" w:rsidP="00447E9A">
      <w:pPr>
        <w:pStyle w:val="ListParagraph"/>
        <w:numPr>
          <w:ilvl w:val="0"/>
          <w:numId w:val="249"/>
        </w:numPr>
        <w:spacing w:before="60" w:after="0" w:line="276" w:lineRule="auto"/>
        <w:ind w:left="2268" w:hanging="567"/>
        <w:contextualSpacing w:val="0"/>
        <w:jc w:val="both"/>
        <w:rPr>
          <w:rFonts w:ascii="Bookman Old Style" w:hAnsi="Bookman Old Style"/>
          <w:sz w:val="24"/>
          <w:szCs w:val="24"/>
          <w:lang w:val="sv-FI"/>
        </w:rPr>
      </w:pPr>
      <w:r w:rsidRPr="008379CA">
        <w:rPr>
          <w:rFonts w:ascii="Bookman Old Style" w:hAnsi="Bookman Old Style"/>
          <w:sz w:val="24"/>
          <w:szCs w:val="24"/>
          <w:lang w:val="sv-FI"/>
        </w:rPr>
        <w:t>Kegiatan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Penyelenggaraan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Pengawasan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Internal</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Rp1.090.488.900,00;</w:t>
      </w:r>
    </w:p>
    <w:p w14:paraId="19BAA0B8" w14:textId="5B69CD18" w:rsidR="00BB2062" w:rsidRPr="008379CA" w:rsidRDefault="00BB2062" w:rsidP="00447E9A">
      <w:pPr>
        <w:pStyle w:val="ListParagraph"/>
        <w:numPr>
          <w:ilvl w:val="0"/>
          <w:numId w:val="249"/>
        </w:numPr>
        <w:spacing w:before="60" w:after="0" w:line="276" w:lineRule="auto"/>
        <w:ind w:left="2268" w:hanging="567"/>
        <w:contextualSpacing w:val="0"/>
        <w:jc w:val="both"/>
        <w:rPr>
          <w:rFonts w:ascii="Bookman Old Style" w:hAnsi="Bookman Old Style"/>
          <w:sz w:val="24"/>
          <w:szCs w:val="24"/>
          <w:lang w:val="sv-FI"/>
        </w:rPr>
      </w:pPr>
      <w:r w:rsidRPr="008379CA">
        <w:rPr>
          <w:rFonts w:ascii="Bookman Old Style" w:hAnsi="Bookman Old Style"/>
          <w:sz w:val="24"/>
          <w:szCs w:val="24"/>
          <w:lang w:val="sv-FI"/>
        </w:rPr>
        <w:t>Kegiatan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Penyelenggaraan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Pengawasan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dengan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Tujuan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Tertentu</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Rp692.142.300,00;</w:t>
      </w:r>
    </w:p>
    <w:p w14:paraId="27B46486" w14:textId="70CE7204" w:rsidR="00BB2062" w:rsidRPr="008379CA" w:rsidRDefault="00BB2062" w:rsidP="00447E9A">
      <w:pPr>
        <w:pStyle w:val="ListParagraph"/>
        <w:numPr>
          <w:ilvl w:val="0"/>
          <w:numId w:val="249"/>
        </w:numPr>
        <w:spacing w:before="60" w:after="0" w:line="276" w:lineRule="auto"/>
        <w:ind w:left="2268" w:hanging="567"/>
        <w:contextualSpacing w:val="0"/>
        <w:jc w:val="both"/>
        <w:rPr>
          <w:rFonts w:ascii="Bookman Old Style" w:hAnsi="Bookman Old Style"/>
          <w:sz w:val="24"/>
          <w:szCs w:val="24"/>
          <w:lang w:val="sv-FI"/>
        </w:rPr>
      </w:pPr>
      <w:r w:rsidRPr="008379CA">
        <w:rPr>
          <w:rFonts w:ascii="Bookman Old Style" w:hAnsi="Bookman Old Style"/>
          <w:sz w:val="24"/>
          <w:szCs w:val="24"/>
          <w:lang w:val="sv-FI"/>
        </w:rPr>
        <w:t>Kegiatan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Perumusan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Kebijakan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Teknis</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Bidang</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Pengawasan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Fasilitasi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Pengawasan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Rp63.398.400,00;</w:t>
      </w:r>
    </w:p>
    <w:p w14:paraId="4E812C90" w14:textId="6C1FE161" w:rsidR="00BB2062" w:rsidRPr="008379CA" w:rsidRDefault="00BB2062" w:rsidP="00447E9A">
      <w:pPr>
        <w:pStyle w:val="ListParagraph"/>
        <w:numPr>
          <w:ilvl w:val="0"/>
          <w:numId w:val="249"/>
        </w:numPr>
        <w:spacing w:before="60" w:after="0" w:line="276" w:lineRule="auto"/>
        <w:ind w:left="2268" w:hanging="567"/>
        <w:contextualSpacing w:val="0"/>
        <w:jc w:val="both"/>
        <w:rPr>
          <w:rFonts w:ascii="Bookman Old Style" w:hAnsi="Bookman Old Style"/>
          <w:sz w:val="24"/>
          <w:szCs w:val="24"/>
          <w:lang w:val="sv-FI"/>
        </w:rPr>
      </w:pPr>
      <w:r w:rsidRPr="008379CA">
        <w:rPr>
          <w:rFonts w:ascii="Bookman Old Style" w:hAnsi="Bookman Old Style"/>
          <w:sz w:val="24"/>
          <w:szCs w:val="24"/>
          <w:lang w:val="sv-FI"/>
        </w:rPr>
        <w:t>Kegiatan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Pendampingan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Asistensi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Rp979.910.000,00</w:t>
      </w:r>
      <w:r w:rsidR="00447E9A" w:rsidRPr="008379CA">
        <w:rPr>
          <w:rFonts w:ascii="Bookman Old Style" w:hAnsi="Bookman Old Style"/>
          <w:sz w:val="24"/>
          <w:szCs w:val="24"/>
          <w:lang w:val="sv-FI"/>
        </w:rPr>
        <w:t>.</w:t>
      </w:r>
    </w:p>
    <w:p w14:paraId="6B11C655" w14:textId="51BA6487" w:rsidR="00BB2062" w:rsidRPr="008379CA" w:rsidRDefault="00BC0C42" w:rsidP="006A0033">
      <w:pPr>
        <w:pStyle w:val="ListParagraph"/>
        <w:spacing w:before="60" w:after="120" w:line="276" w:lineRule="auto"/>
        <w:ind w:left="1276"/>
        <w:contextualSpacing w:val="0"/>
        <w:jc w:val="both"/>
        <w:rPr>
          <w:rFonts w:ascii="Bookman Old Style" w:hAnsi="Bookman Old Style"/>
          <w:sz w:val="24"/>
          <w:szCs w:val="24"/>
          <w:lang w:val="sv-FI"/>
        </w:rPr>
      </w:pPr>
      <w:r w:rsidRPr="008379CA">
        <w:rPr>
          <w:rFonts w:ascii="Bookman Old Style" w:hAnsi="Bookman Old Style"/>
          <w:sz w:val="24"/>
          <w:szCs w:val="24"/>
          <w:lang w:val="sv-FI"/>
        </w:rPr>
        <w:t>Sehubungan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hal</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tersebut,</w:t>
      </w:r>
      <w:r w:rsidR="00A954D0" w:rsidRPr="008379CA">
        <w:rPr>
          <w:rFonts w:ascii="Bookman Old Style" w:hAnsi="Bookman Old Style"/>
          <w:sz w:val="24"/>
          <w:szCs w:val="24"/>
          <w:lang w:val="sv-FI"/>
        </w:rPr>
        <w:t xml:space="preserve"> </w:t>
      </w:r>
      <w:r w:rsidR="00C15801" w:rsidRPr="008379CA">
        <w:rPr>
          <w:rFonts w:ascii="Bookman Old Style" w:hAnsi="Bookman Old Style"/>
          <w:sz w:val="24"/>
          <w:szCs w:val="24"/>
          <w:lang w:val="sv-FI"/>
        </w:rPr>
        <w:t>penyediaan</w:t>
      </w:r>
      <w:r w:rsidR="00A954D0" w:rsidRPr="008379CA">
        <w:rPr>
          <w:rFonts w:ascii="Bookman Old Style" w:hAnsi="Bookman Old Style"/>
          <w:sz w:val="24"/>
          <w:szCs w:val="24"/>
          <w:lang w:val="sv-FI"/>
        </w:rPr>
        <w:t xml:space="preserve"> </w:t>
      </w:r>
      <w:r w:rsidR="00C15801" w:rsidRPr="008379CA">
        <w:rPr>
          <w:rFonts w:ascii="Bookman Old Style" w:hAnsi="Bookman Old Style"/>
          <w:sz w:val="24"/>
          <w:szCs w:val="24"/>
          <w:lang w:val="sv-FI"/>
        </w:rPr>
        <w:t>alokasi</w:t>
      </w:r>
      <w:r w:rsidR="00A954D0" w:rsidRPr="008379CA">
        <w:rPr>
          <w:rFonts w:ascii="Bookman Old Style" w:hAnsi="Bookman Old Style"/>
          <w:sz w:val="24"/>
          <w:szCs w:val="24"/>
          <w:lang w:val="sv-FI"/>
        </w:rPr>
        <w:t xml:space="preserve"> </w:t>
      </w:r>
      <w:r w:rsidR="00C15801" w:rsidRPr="008379CA">
        <w:rPr>
          <w:rFonts w:ascii="Bookman Old Style" w:hAnsi="Bookman Old Style"/>
          <w:sz w:val="24"/>
          <w:szCs w:val="24"/>
          <w:lang w:val="sv-FI"/>
        </w:rPr>
        <w:t>anggaran</w:t>
      </w:r>
      <w:r w:rsidR="00A954D0" w:rsidRPr="008379CA">
        <w:rPr>
          <w:rFonts w:ascii="Bookman Old Style" w:hAnsi="Bookman Old Style"/>
          <w:sz w:val="24"/>
          <w:szCs w:val="24"/>
          <w:lang w:val="sv-FI"/>
        </w:rPr>
        <w:t xml:space="preserve"> </w:t>
      </w:r>
      <w:r w:rsidR="00C15801" w:rsidRPr="008379CA">
        <w:rPr>
          <w:rFonts w:ascii="Bookman Old Style" w:hAnsi="Bookman Old Style"/>
          <w:sz w:val="24"/>
          <w:szCs w:val="24"/>
          <w:lang w:val="sv-FI"/>
        </w:rPr>
        <w:t>pembinaan</w:t>
      </w:r>
      <w:r w:rsidR="00A954D0" w:rsidRPr="008379CA">
        <w:rPr>
          <w:rFonts w:ascii="Bookman Old Style" w:hAnsi="Bookman Old Style"/>
          <w:sz w:val="24"/>
          <w:szCs w:val="24"/>
          <w:lang w:val="sv-FI"/>
        </w:rPr>
        <w:t xml:space="preserve"> </w:t>
      </w:r>
      <w:r w:rsidR="00C15801" w:rsidRPr="008379CA">
        <w:rPr>
          <w:rFonts w:ascii="Bookman Old Style" w:hAnsi="Bookman Old Style"/>
          <w:sz w:val="24"/>
          <w:szCs w:val="24"/>
          <w:lang w:val="sv-FI"/>
        </w:rPr>
        <w:t>dan</w:t>
      </w:r>
      <w:r w:rsidR="00A954D0" w:rsidRPr="008379CA">
        <w:rPr>
          <w:rFonts w:ascii="Bookman Old Style" w:hAnsi="Bookman Old Style"/>
          <w:sz w:val="24"/>
          <w:szCs w:val="24"/>
          <w:lang w:val="sv-FI"/>
        </w:rPr>
        <w:t xml:space="preserve"> </w:t>
      </w:r>
      <w:r w:rsidR="00C15801" w:rsidRPr="008379CA">
        <w:rPr>
          <w:rFonts w:ascii="Bookman Old Style" w:hAnsi="Bookman Old Style"/>
          <w:sz w:val="24"/>
          <w:szCs w:val="24"/>
          <w:lang w:val="sv-FI"/>
        </w:rPr>
        <w:t>pengawasan</w:t>
      </w:r>
      <w:r w:rsidR="00A954D0" w:rsidRPr="008379CA">
        <w:rPr>
          <w:rFonts w:ascii="Bookman Old Style" w:hAnsi="Bookman Old Style"/>
          <w:sz w:val="24"/>
          <w:szCs w:val="24"/>
          <w:lang w:val="sv-FI"/>
        </w:rPr>
        <w:t xml:space="preserve"> </w:t>
      </w:r>
      <w:r w:rsidR="00C15801" w:rsidRPr="008379CA">
        <w:rPr>
          <w:rFonts w:ascii="Bookman Old Style" w:hAnsi="Bookman Old Style"/>
          <w:sz w:val="24"/>
          <w:szCs w:val="24"/>
          <w:lang w:val="sv-FI"/>
        </w:rPr>
        <w:t>sebagaimana</w:t>
      </w:r>
      <w:r w:rsidR="00A954D0" w:rsidRPr="008379CA">
        <w:rPr>
          <w:rFonts w:ascii="Bookman Old Style" w:hAnsi="Bookman Old Style"/>
          <w:sz w:val="24"/>
          <w:szCs w:val="24"/>
          <w:lang w:val="sv-FI"/>
        </w:rPr>
        <w:t xml:space="preserve"> </w:t>
      </w:r>
      <w:r w:rsidR="00C15801" w:rsidRPr="008379CA">
        <w:rPr>
          <w:rFonts w:ascii="Bookman Old Style" w:hAnsi="Bookman Old Style"/>
          <w:sz w:val="24"/>
          <w:szCs w:val="24"/>
          <w:lang w:val="sv-FI"/>
        </w:rPr>
        <w:t>tercantum</w:t>
      </w:r>
      <w:r w:rsidR="00A954D0" w:rsidRPr="008379CA">
        <w:rPr>
          <w:rFonts w:ascii="Bookman Old Style" w:hAnsi="Bookman Old Style"/>
          <w:sz w:val="24"/>
          <w:szCs w:val="24"/>
          <w:lang w:val="sv-FI"/>
        </w:rPr>
        <w:t xml:space="preserve"> </w:t>
      </w:r>
      <w:r w:rsidR="00C15801" w:rsidRPr="008379CA">
        <w:rPr>
          <w:rFonts w:ascii="Bookman Old Style" w:hAnsi="Bookman Old Style"/>
          <w:sz w:val="24"/>
          <w:szCs w:val="24"/>
          <w:lang w:val="sv-FI"/>
        </w:rPr>
        <w:t>dalam</w:t>
      </w:r>
      <w:r w:rsidR="00A954D0" w:rsidRPr="008379CA">
        <w:rPr>
          <w:rFonts w:ascii="Bookman Old Style" w:hAnsi="Bookman Old Style"/>
          <w:sz w:val="24"/>
          <w:szCs w:val="24"/>
          <w:lang w:val="sv-FI"/>
        </w:rPr>
        <w:t xml:space="preserve"> </w:t>
      </w:r>
      <w:r w:rsidR="00C15801" w:rsidRPr="008379CA">
        <w:rPr>
          <w:rFonts w:ascii="Bookman Old Style" w:hAnsi="Bookman Old Style"/>
          <w:sz w:val="24"/>
          <w:szCs w:val="24"/>
          <w:lang w:val="sv-FI"/>
        </w:rPr>
        <w:t>huruf</w:t>
      </w:r>
      <w:r w:rsidR="00A954D0" w:rsidRPr="008379CA">
        <w:rPr>
          <w:rFonts w:ascii="Bookman Old Style" w:hAnsi="Bookman Old Style"/>
          <w:sz w:val="24"/>
          <w:szCs w:val="24"/>
          <w:lang w:val="sv-FI"/>
        </w:rPr>
        <w:t xml:space="preserve"> </w:t>
      </w:r>
      <w:r w:rsidR="00C15801" w:rsidRPr="008379CA">
        <w:rPr>
          <w:rFonts w:ascii="Bookman Old Style" w:hAnsi="Bookman Old Style"/>
          <w:sz w:val="24"/>
          <w:szCs w:val="24"/>
          <w:lang w:val="sv-FI"/>
        </w:rPr>
        <w:t>b</w:t>
      </w:r>
      <w:r w:rsidR="00A954D0" w:rsidRPr="008379CA">
        <w:rPr>
          <w:rFonts w:ascii="Bookman Old Style" w:hAnsi="Bookman Old Style"/>
          <w:sz w:val="24"/>
          <w:szCs w:val="24"/>
          <w:lang w:val="sv-FI"/>
        </w:rPr>
        <w:t xml:space="preserve"> </w:t>
      </w:r>
      <w:r w:rsidRPr="008379CA">
        <w:rPr>
          <w:rFonts w:ascii="Bookman Old Style" w:hAnsi="Bookman Old Style"/>
          <w:b/>
          <w:bCs/>
          <w:sz w:val="24"/>
          <w:szCs w:val="24"/>
          <w:lang w:val="sv-FI"/>
        </w:rPr>
        <w:t>b</w:t>
      </w:r>
      <w:r w:rsidR="00BB2062" w:rsidRPr="008379CA">
        <w:rPr>
          <w:rFonts w:ascii="Bookman Old Style" w:hAnsi="Bookman Old Style"/>
          <w:b/>
          <w:bCs/>
          <w:sz w:val="24"/>
          <w:szCs w:val="24"/>
          <w:lang w:val="sv-FI"/>
        </w:rPr>
        <w:t>elum</w:t>
      </w:r>
      <w:r w:rsidR="00A954D0" w:rsidRPr="008379CA">
        <w:rPr>
          <w:rFonts w:ascii="Bookman Old Style" w:hAnsi="Bookman Old Style"/>
          <w:b/>
          <w:bCs/>
          <w:sz w:val="24"/>
          <w:szCs w:val="24"/>
        </w:rPr>
        <w:t xml:space="preserve"> </w:t>
      </w:r>
      <w:r w:rsidR="00BB2062" w:rsidRPr="008379CA">
        <w:rPr>
          <w:rFonts w:ascii="Bookman Old Style" w:hAnsi="Bookman Old Style"/>
          <w:b/>
          <w:bCs/>
          <w:sz w:val="24"/>
          <w:szCs w:val="24"/>
        </w:rPr>
        <w:t>memenuhi</w:t>
      </w:r>
      <w:r w:rsidR="00A954D0" w:rsidRPr="008379CA">
        <w:rPr>
          <w:rFonts w:ascii="Bookman Old Style" w:hAnsi="Bookman Old Style"/>
          <w:sz w:val="24"/>
          <w:szCs w:val="24"/>
        </w:rPr>
        <w:t xml:space="preserve"> </w:t>
      </w:r>
      <w:r w:rsidR="00BB2062" w:rsidRPr="008379CA">
        <w:rPr>
          <w:rFonts w:ascii="Bookman Old Style" w:hAnsi="Bookman Old Style" w:cs="Arial"/>
          <w:sz w:val="24"/>
          <w:szCs w:val="24"/>
          <w:shd w:val="clear" w:color="auto" w:fill="FFFFFF"/>
          <w:lang w:val="sv-FI"/>
        </w:rPr>
        <w:t>alokasi</w:t>
      </w:r>
      <w:r w:rsidR="00A954D0" w:rsidRPr="008379CA">
        <w:rPr>
          <w:rFonts w:ascii="Bookman Old Style" w:hAnsi="Bookman Old Style" w:cs="Arial"/>
          <w:sz w:val="24"/>
          <w:szCs w:val="24"/>
          <w:shd w:val="clear" w:color="auto" w:fill="FFFFFF"/>
          <w:lang w:val="sv-FI"/>
        </w:rPr>
        <w:t xml:space="preserve"> </w:t>
      </w:r>
      <w:r w:rsidR="00BB2062" w:rsidRPr="008379CA">
        <w:rPr>
          <w:rFonts w:ascii="Bookman Old Style" w:hAnsi="Bookman Old Style"/>
          <w:sz w:val="24"/>
          <w:szCs w:val="24"/>
          <w:lang w:val="sv-FI"/>
        </w:rPr>
        <w:t>anggaran</w:t>
      </w:r>
      <w:r w:rsidR="00A954D0" w:rsidRPr="008379CA">
        <w:rPr>
          <w:rFonts w:ascii="Bookman Old Style" w:hAnsi="Bookman Old Style" w:cs="Arial"/>
          <w:sz w:val="24"/>
          <w:szCs w:val="24"/>
          <w:shd w:val="clear" w:color="auto" w:fill="FFFFFF"/>
          <w:lang w:val="sv-FI"/>
        </w:rPr>
        <w:t xml:space="preserve"> </w:t>
      </w:r>
      <w:r w:rsidR="00BB2062" w:rsidRPr="008379CA">
        <w:rPr>
          <w:rFonts w:ascii="Bookman Old Style" w:hAnsi="Bookman Old Style"/>
          <w:sz w:val="24"/>
          <w:szCs w:val="24"/>
        </w:rPr>
        <w:t>penguatan</w:t>
      </w:r>
      <w:r w:rsidR="00A954D0" w:rsidRPr="008379CA">
        <w:rPr>
          <w:rFonts w:ascii="Bookman Old Style" w:hAnsi="Bookman Old Style"/>
          <w:sz w:val="24"/>
          <w:szCs w:val="24"/>
        </w:rPr>
        <w:t xml:space="preserve"> </w:t>
      </w:r>
      <w:r w:rsidR="00BB2062" w:rsidRPr="008379CA">
        <w:rPr>
          <w:rFonts w:ascii="Bookman Old Style" w:hAnsi="Bookman Old Style"/>
          <w:sz w:val="24"/>
          <w:szCs w:val="24"/>
        </w:rPr>
        <w:t>pembinaan</w:t>
      </w:r>
      <w:r w:rsidR="00A954D0" w:rsidRPr="008379CA">
        <w:rPr>
          <w:rFonts w:ascii="Bookman Old Style" w:hAnsi="Bookman Old Style"/>
          <w:sz w:val="24"/>
          <w:szCs w:val="24"/>
        </w:rPr>
        <w:t xml:space="preserve"> </w:t>
      </w:r>
      <w:r w:rsidR="00BB2062" w:rsidRPr="008379CA">
        <w:rPr>
          <w:rFonts w:ascii="Bookman Old Style" w:hAnsi="Bookman Old Style"/>
          <w:sz w:val="24"/>
          <w:szCs w:val="24"/>
        </w:rPr>
        <w:t>dan</w:t>
      </w:r>
      <w:r w:rsidR="00A954D0" w:rsidRPr="008379CA">
        <w:rPr>
          <w:rFonts w:ascii="Bookman Old Style" w:hAnsi="Bookman Old Style"/>
          <w:sz w:val="24"/>
          <w:szCs w:val="24"/>
        </w:rPr>
        <w:t xml:space="preserve"> </w:t>
      </w:r>
      <w:r w:rsidR="00BB2062" w:rsidRPr="008379CA">
        <w:rPr>
          <w:rFonts w:ascii="Bookman Old Style" w:hAnsi="Bookman Old Style"/>
          <w:sz w:val="24"/>
          <w:szCs w:val="24"/>
        </w:rPr>
        <w:t>pengawasan</w:t>
      </w:r>
      <w:r w:rsidR="00A954D0" w:rsidRPr="008379CA">
        <w:rPr>
          <w:rFonts w:ascii="Bookman Old Style" w:hAnsi="Bookman Old Style"/>
          <w:sz w:val="24"/>
          <w:szCs w:val="24"/>
        </w:rPr>
        <w:t xml:space="preserve"> </w:t>
      </w:r>
      <w:r w:rsidR="00BB2062" w:rsidRPr="008379CA">
        <w:rPr>
          <w:rFonts w:ascii="Bookman Old Style" w:hAnsi="Bookman Old Style"/>
          <w:sz w:val="24"/>
          <w:szCs w:val="24"/>
        </w:rPr>
        <w:t>pada</w:t>
      </w:r>
      <w:r w:rsidR="00A954D0" w:rsidRPr="008379CA">
        <w:rPr>
          <w:rFonts w:ascii="Bookman Old Style" w:hAnsi="Bookman Old Style"/>
          <w:sz w:val="24"/>
          <w:szCs w:val="24"/>
        </w:rPr>
        <w:t xml:space="preserve"> </w:t>
      </w:r>
      <w:r w:rsidR="00BB2062" w:rsidRPr="008379CA">
        <w:rPr>
          <w:rFonts w:ascii="Bookman Old Style" w:hAnsi="Bookman Old Style"/>
          <w:sz w:val="24"/>
          <w:szCs w:val="24"/>
        </w:rPr>
        <w:t>Inspektorat</w:t>
      </w:r>
      <w:r w:rsidR="00A954D0" w:rsidRPr="008379CA">
        <w:rPr>
          <w:rFonts w:ascii="Bookman Old Style" w:hAnsi="Bookman Old Style"/>
          <w:sz w:val="24"/>
          <w:szCs w:val="24"/>
        </w:rPr>
        <w:t xml:space="preserve"> </w:t>
      </w:r>
      <w:r w:rsidR="00BB2062" w:rsidRPr="008379CA">
        <w:rPr>
          <w:rFonts w:ascii="Bookman Old Style" w:hAnsi="Bookman Old Style"/>
          <w:sz w:val="24"/>
          <w:szCs w:val="24"/>
        </w:rPr>
        <w:t>Pemerintah</w:t>
      </w:r>
      <w:r w:rsidR="00A954D0" w:rsidRPr="008379CA">
        <w:rPr>
          <w:rFonts w:ascii="Bookman Old Style" w:hAnsi="Bookman Old Style"/>
          <w:sz w:val="24"/>
          <w:szCs w:val="24"/>
        </w:rPr>
        <w:t xml:space="preserve"> </w:t>
      </w:r>
      <w:r w:rsidR="00BB2062"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00BB2062"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00BB2062"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00BB2062" w:rsidRPr="008379CA">
        <w:rPr>
          <w:rFonts w:ascii="Bookman Old Style" w:hAnsi="Bookman Old Style" w:cs="Arial"/>
          <w:sz w:val="24"/>
          <w:szCs w:val="24"/>
        </w:rPr>
        <w:t>sekurang-</w:t>
      </w:r>
      <w:r w:rsidR="00BB2062" w:rsidRPr="008379CA">
        <w:rPr>
          <w:rFonts w:ascii="Bookman Old Style" w:hAnsi="Bookman Old Style"/>
          <w:sz w:val="24"/>
          <w:szCs w:val="24"/>
        </w:rPr>
        <w:t>kurangnya</w:t>
      </w:r>
      <w:r w:rsidR="00A954D0" w:rsidRPr="008379CA">
        <w:rPr>
          <w:rFonts w:ascii="Bookman Old Style" w:hAnsi="Bookman Old Style" w:cs="Arial"/>
          <w:sz w:val="24"/>
          <w:szCs w:val="24"/>
        </w:rPr>
        <w:t xml:space="preserve"> </w:t>
      </w:r>
      <w:r w:rsidR="00BB2062" w:rsidRPr="008379CA">
        <w:rPr>
          <w:rFonts w:ascii="Bookman Old Style" w:hAnsi="Bookman Old Style" w:cs="Arial"/>
          <w:sz w:val="24"/>
          <w:szCs w:val="24"/>
          <w:lang w:val="sv-FI"/>
        </w:rPr>
        <w:t>0,50</w:t>
      </w:r>
      <w:r w:rsidR="00BB2062" w:rsidRPr="008379CA">
        <w:rPr>
          <w:rFonts w:ascii="Bookman Old Style" w:hAnsi="Bookman Old Style" w:cs="Arial"/>
          <w:sz w:val="24"/>
          <w:szCs w:val="24"/>
          <w:lang w:val="id-ID"/>
        </w:rPr>
        <w:t>%</w:t>
      </w:r>
      <w:r w:rsidR="00A954D0" w:rsidRPr="008379CA">
        <w:rPr>
          <w:rFonts w:ascii="Bookman Old Style" w:hAnsi="Bookman Old Style" w:cs="Arial"/>
          <w:sz w:val="24"/>
          <w:szCs w:val="24"/>
          <w:lang w:val="id-ID"/>
        </w:rPr>
        <w:t xml:space="preserve"> </w:t>
      </w:r>
      <w:r w:rsidR="00BB2062" w:rsidRPr="008379CA">
        <w:rPr>
          <w:rFonts w:ascii="Bookman Old Style" w:hAnsi="Bookman Old Style" w:cs="Arial"/>
          <w:sz w:val="24"/>
          <w:szCs w:val="24"/>
          <w:lang w:val="id-ID"/>
        </w:rPr>
        <w:t>(</w:t>
      </w:r>
      <w:r w:rsidR="00BB2062" w:rsidRPr="008379CA">
        <w:rPr>
          <w:rFonts w:ascii="Bookman Old Style" w:hAnsi="Bookman Old Style" w:cs="Arial"/>
          <w:sz w:val="24"/>
          <w:szCs w:val="24"/>
          <w:lang w:val="sv-FI"/>
        </w:rPr>
        <w:t>nol</w:t>
      </w:r>
      <w:r w:rsidR="00A954D0" w:rsidRPr="008379CA">
        <w:rPr>
          <w:rFonts w:ascii="Bookman Old Style" w:hAnsi="Bookman Old Style" w:cs="Arial"/>
          <w:sz w:val="24"/>
          <w:szCs w:val="24"/>
          <w:lang w:val="sv-FI"/>
        </w:rPr>
        <w:t xml:space="preserve"> </w:t>
      </w:r>
      <w:r w:rsidR="00BB2062" w:rsidRPr="008379CA">
        <w:rPr>
          <w:rFonts w:ascii="Bookman Old Style" w:hAnsi="Bookman Old Style" w:cs="Arial"/>
          <w:sz w:val="24"/>
          <w:szCs w:val="24"/>
          <w:lang w:val="sv-FI"/>
        </w:rPr>
        <w:t>koma</w:t>
      </w:r>
      <w:r w:rsidR="00A954D0" w:rsidRPr="008379CA">
        <w:rPr>
          <w:rFonts w:ascii="Bookman Old Style" w:hAnsi="Bookman Old Style" w:cs="Arial"/>
          <w:sz w:val="24"/>
          <w:szCs w:val="24"/>
          <w:lang w:val="sv-FI"/>
        </w:rPr>
        <w:t xml:space="preserve"> </w:t>
      </w:r>
      <w:r w:rsidR="00BB2062" w:rsidRPr="008379CA">
        <w:rPr>
          <w:rFonts w:ascii="Bookman Old Style" w:hAnsi="Bookman Old Style" w:cs="Arial"/>
          <w:sz w:val="24"/>
          <w:szCs w:val="24"/>
          <w:lang w:val="sv-FI"/>
        </w:rPr>
        <w:t>lima</w:t>
      </w:r>
      <w:r w:rsidR="00A954D0" w:rsidRPr="008379CA">
        <w:rPr>
          <w:rFonts w:ascii="Bookman Old Style" w:hAnsi="Bookman Old Style" w:cs="Arial"/>
          <w:sz w:val="24"/>
          <w:szCs w:val="24"/>
          <w:lang w:val="sv-FI"/>
        </w:rPr>
        <w:t xml:space="preserve"> </w:t>
      </w:r>
      <w:r w:rsidR="00BB2062" w:rsidRPr="008379CA">
        <w:rPr>
          <w:rFonts w:ascii="Bookman Old Style" w:hAnsi="Bookman Old Style" w:cs="Arial"/>
          <w:sz w:val="24"/>
          <w:szCs w:val="24"/>
          <w:lang w:val="sv-FI"/>
        </w:rPr>
        <w:t>puluh</w:t>
      </w:r>
      <w:r w:rsidR="00A954D0" w:rsidRPr="008379CA">
        <w:rPr>
          <w:rFonts w:ascii="Bookman Old Style" w:hAnsi="Bookman Old Style" w:cs="Arial"/>
          <w:sz w:val="24"/>
          <w:szCs w:val="24"/>
          <w:lang w:val="id-ID"/>
        </w:rPr>
        <w:t xml:space="preserve"> </w:t>
      </w:r>
      <w:r w:rsidR="00BB2062" w:rsidRPr="008379CA">
        <w:rPr>
          <w:rFonts w:ascii="Bookman Old Style" w:hAnsi="Bookman Old Style" w:cs="Arial"/>
          <w:sz w:val="24"/>
          <w:szCs w:val="24"/>
          <w:lang w:val="id-ID"/>
        </w:rPr>
        <w:t>persen)</w:t>
      </w:r>
      <w:r w:rsidR="00A954D0" w:rsidRPr="008379CA">
        <w:rPr>
          <w:rFonts w:ascii="Bookman Old Style" w:hAnsi="Bookman Old Style" w:cs="Arial"/>
          <w:sz w:val="24"/>
          <w:szCs w:val="24"/>
          <w:lang w:val="id-ID"/>
        </w:rPr>
        <w:t xml:space="preserve"> </w:t>
      </w:r>
      <w:r w:rsidR="00BB2062" w:rsidRPr="008379CA">
        <w:rPr>
          <w:rFonts w:ascii="Bookman Old Style" w:hAnsi="Bookman Old Style" w:cs="Arial"/>
          <w:sz w:val="24"/>
          <w:szCs w:val="24"/>
          <w:lang w:val="id-ID"/>
        </w:rPr>
        <w:t>dari</w:t>
      </w:r>
      <w:r w:rsidR="00A954D0" w:rsidRPr="008379CA">
        <w:rPr>
          <w:rFonts w:ascii="Bookman Old Style" w:hAnsi="Bookman Old Style" w:cs="Arial"/>
          <w:sz w:val="24"/>
          <w:szCs w:val="24"/>
          <w:lang w:val="id-ID"/>
        </w:rPr>
        <w:t xml:space="preserve"> </w:t>
      </w:r>
      <w:r w:rsidR="00BB2062" w:rsidRPr="008379CA">
        <w:rPr>
          <w:rFonts w:ascii="Bookman Old Style" w:hAnsi="Bookman Old Style" w:cs="Arial"/>
          <w:sz w:val="24"/>
          <w:szCs w:val="24"/>
          <w:lang w:val="id-ID"/>
        </w:rPr>
        <w:t>total</w:t>
      </w:r>
      <w:r w:rsidR="00A954D0" w:rsidRPr="008379CA">
        <w:rPr>
          <w:rFonts w:ascii="Bookman Old Style" w:hAnsi="Bookman Old Style" w:cs="Arial"/>
          <w:sz w:val="24"/>
          <w:szCs w:val="24"/>
          <w:lang w:val="id-ID"/>
        </w:rPr>
        <w:t xml:space="preserve"> </w:t>
      </w:r>
      <w:r w:rsidR="00BB2062" w:rsidRPr="008379CA">
        <w:rPr>
          <w:rFonts w:ascii="Bookman Old Style" w:hAnsi="Bookman Old Style" w:cs="Arial"/>
          <w:sz w:val="24"/>
          <w:szCs w:val="24"/>
          <w:lang w:val="id-ID"/>
        </w:rPr>
        <w:t>belanja</w:t>
      </w:r>
      <w:r w:rsidR="00A954D0" w:rsidRPr="008379CA">
        <w:rPr>
          <w:rFonts w:ascii="Bookman Old Style" w:hAnsi="Bookman Old Style" w:cs="Arial"/>
          <w:sz w:val="24"/>
          <w:szCs w:val="24"/>
          <w:lang w:val="id-ID"/>
        </w:rPr>
        <w:t xml:space="preserve"> </w:t>
      </w:r>
      <w:r w:rsidR="00BB2062" w:rsidRPr="008379CA">
        <w:rPr>
          <w:rFonts w:ascii="Bookman Old Style" w:hAnsi="Bookman Old Style" w:cs="Arial"/>
          <w:sz w:val="24"/>
          <w:szCs w:val="24"/>
          <w:lang w:val="id-ID"/>
        </w:rPr>
        <w:t>daerah</w:t>
      </w:r>
      <w:r w:rsidR="00A954D0" w:rsidRPr="008379CA">
        <w:rPr>
          <w:rFonts w:ascii="Bookman Old Style" w:hAnsi="Bookman Old Style" w:cs="Arial"/>
          <w:sz w:val="24"/>
          <w:szCs w:val="24"/>
          <w:lang w:val="id-ID"/>
        </w:rPr>
        <w:t xml:space="preserve"> </w:t>
      </w:r>
      <w:r w:rsidR="00BB2062"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00BB2062" w:rsidRPr="008379CA">
        <w:rPr>
          <w:rFonts w:ascii="Bookman Old Style" w:hAnsi="Bookman Old Style" w:cs="Arial"/>
          <w:sz w:val="24"/>
          <w:szCs w:val="24"/>
        </w:rPr>
        <w:t>diatas</w:t>
      </w:r>
      <w:r w:rsidR="00A954D0" w:rsidRPr="008379CA">
        <w:rPr>
          <w:rFonts w:ascii="Bookman Old Style" w:hAnsi="Bookman Old Style" w:cs="Arial"/>
          <w:sz w:val="24"/>
          <w:szCs w:val="24"/>
        </w:rPr>
        <w:t xml:space="preserve"> </w:t>
      </w:r>
      <w:r w:rsidR="00BB2062" w:rsidRPr="008379CA">
        <w:rPr>
          <w:rFonts w:ascii="Bookman Old Style" w:hAnsi="Bookman Old Style" w:cs="Arial"/>
          <w:sz w:val="24"/>
          <w:szCs w:val="24"/>
        </w:rPr>
        <w:t>Rp15.000.000.000,00</w:t>
      </w:r>
      <w:r w:rsidR="00A954D0" w:rsidRPr="008379CA">
        <w:rPr>
          <w:rFonts w:ascii="Bookman Old Style" w:hAnsi="Bookman Old Style" w:cs="Arial"/>
          <w:sz w:val="24"/>
          <w:szCs w:val="24"/>
        </w:rPr>
        <w:t xml:space="preserve"> </w:t>
      </w:r>
      <w:r w:rsidR="00BB2062" w:rsidRPr="008379CA">
        <w:rPr>
          <w:rFonts w:ascii="Bookman Old Style" w:hAnsi="Bookman Old Style" w:cs="Arial"/>
          <w:sz w:val="24"/>
          <w:szCs w:val="24"/>
        </w:rPr>
        <w:t>(lima</w:t>
      </w:r>
      <w:r w:rsidR="00A954D0" w:rsidRPr="008379CA">
        <w:rPr>
          <w:rFonts w:ascii="Bookman Old Style" w:hAnsi="Bookman Old Style" w:cs="Arial"/>
          <w:sz w:val="24"/>
          <w:szCs w:val="24"/>
        </w:rPr>
        <w:t xml:space="preserve"> </w:t>
      </w:r>
      <w:r w:rsidR="00BB2062" w:rsidRPr="008379CA">
        <w:rPr>
          <w:rFonts w:ascii="Bookman Old Style" w:hAnsi="Bookman Old Style" w:cs="Arial"/>
          <w:sz w:val="24"/>
          <w:szCs w:val="24"/>
        </w:rPr>
        <w:t>belas</w:t>
      </w:r>
      <w:r w:rsidR="00A954D0" w:rsidRPr="008379CA">
        <w:rPr>
          <w:rFonts w:ascii="Bookman Old Style" w:hAnsi="Bookman Old Style" w:cs="Arial"/>
          <w:sz w:val="24"/>
          <w:szCs w:val="24"/>
        </w:rPr>
        <w:t xml:space="preserve"> </w:t>
      </w:r>
      <w:r w:rsidR="00BB2062" w:rsidRPr="008379CA">
        <w:rPr>
          <w:rFonts w:ascii="Bookman Old Style" w:hAnsi="Bookman Old Style" w:cs="Arial"/>
          <w:sz w:val="24"/>
          <w:szCs w:val="24"/>
        </w:rPr>
        <w:t>miliar</w:t>
      </w:r>
      <w:r w:rsidR="00A954D0" w:rsidRPr="008379CA">
        <w:rPr>
          <w:rFonts w:ascii="Bookman Old Style" w:hAnsi="Bookman Old Style" w:cs="Arial"/>
          <w:sz w:val="24"/>
          <w:szCs w:val="24"/>
        </w:rPr>
        <w:t xml:space="preserve"> </w:t>
      </w:r>
      <w:r w:rsidR="00BB2062" w:rsidRPr="008379CA">
        <w:rPr>
          <w:rFonts w:ascii="Bookman Old Style" w:hAnsi="Bookman Old Style" w:cs="Arial"/>
          <w:sz w:val="24"/>
          <w:szCs w:val="24"/>
        </w:rPr>
        <w:t>rupiah)</w:t>
      </w:r>
      <w:r w:rsidR="00A954D0" w:rsidRPr="008379CA">
        <w:rPr>
          <w:rFonts w:ascii="Bookman Old Style" w:hAnsi="Bookman Old Style" w:cs="Arial"/>
          <w:sz w:val="24"/>
          <w:szCs w:val="24"/>
        </w:rPr>
        <w:t xml:space="preserve"> </w:t>
      </w:r>
      <w:r w:rsidR="00BB2062" w:rsidRPr="008379CA">
        <w:rPr>
          <w:rFonts w:ascii="Bookman Old Style" w:hAnsi="Bookman Old Style" w:cs="Arial"/>
          <w:sz w:val="24"/>
          <w:szCs w:val="24"/>
          <w:lang w:val="id-ID"/>
        </w:rPr>
        <w:t>serta</w:t>
      </w:r>
      <w:r w:rsidR="00A954D0" w:rsidRPr="008379CA">
        <w:rPr>
          <w:rFonts w:ascii="Bookman Old Style" w:hAnsi="Bookman Old Style" w:cs="Arial"/>
          <w:sz w:val="24"/>
          <w:szCs w:val="24"/>
          <w:lang w:val="id-ID"/>
        </w:rPr>
        <w:t xml:space="preserve"> </w:t>
      </w:r>
      <w:r w:rsidR="00BB2062" w:rsidRPr="008379CA">
        <w:rPr>
          <w:rFonts w:ascii="Bookman Old Style" w:hAnsi="Bookman Old Style" w:cs="Arial"/>
          <w:sz w:val="24"/>
          <w:szCs w:val="24"/>
          <w:lang w:val="id-ID"/>
        </w:rPr>
        <w:t>alokasi</w:t>
      </w:r>
      <w:r w:rsidR="00A954D0" w:rsidRPr="008379CA">
        <w:rPr>
          <w:rFonts w:ascii="Bookman Old Style" w:hAnsi="Bookman Old Style" w:cs="Arial"/>
          <w:sz w:val="24"/>
          <w:szCs w:val="24"/>
          <w:lang w:val="id-ID"/>
        </w:rPr>
        <w:t xml:space="preserve"> </w:t>
      </w:r>
      <w:r w:rsidR="00BB2062" w:rsidRPr="008379CA">
        <w:rPr>
          <w:rFonts w:ascii="Bookman Old Style" w:hAnsi="Bookman Old Style" w:cs="Arial"/>
          <w:sz w:val="24"/>
          <w:szCs w:val="24"/>
          <w:lang w:val="id-ID"/>
        </w:rPr>
        <w:t>anggaran</w:t>
      </w:r>
      <w:r w:rsidR="00A954D0" w:rsidRPr="008379CA">
        <w:rPr>
          <w:rFonts w:ascii="Bookman Old Style" w:hAnsi="Bookman Old Style" w:cs="Arial"/>
          <w:sz w:val="24"/>
          <w:szCs w:val="24"/>
          <w:lang w:val="id-ID"/>
        </w:rPr>
        <w:t xml:space="preserve"> </w:t>
      </w:r>
      <w:r w:rsidR="00BB2062" w:rsidRPr="008379CA">
        <w:rPr>
          <w:rFonts w:ascii="Bookman Old Style" w:hAnsi="Bookman Old Style" w:cs="Arial"/>
          <w:sz w:val="24"/>
          <w:szCs w:val="24"/>
          <w:lang w:val="id-ID"/>
        </w:rPr>
        <w:t>pengawasan</w:t>
      </w:r>
      <w:r w:rsidR="00A954D0" w:rsidRPr="008379CA">
        <w:rPr>
          <w:rFonts w:ascii="Bookman Old Style" w:hAnsi="Bookman Old Style" w:cs="Arial"/>
          <w:sz w:val="24"/>
          <w:szCs w:val="24"/>
          <w:lang w:val="id-ID"/>
        </w:rPr>
        <w:t xml:space="preserve"> </w:t>
      </w:r>
      <w:r w:rsidR="00BB2062" w:rsidRPr="008379CA">
        <w:rPr>
          <w:rFonts w:ascii="Bookman Old Style" w:hAnsi="Bookman Old Style" w:cs="Arial"/>
          <w:sz w:val="24"/>
          <w:szCs w:val="24"/>
          <w:lang w:val="id-ID"/>
        </w:rPr>
        <w:t>dimaksud</w:t>
      </w:r>
      <w:r w:rsidR="00A954D0" w:rsidRPr="008379CA">
        <w:rPr>
          <w:rFonts w:ascii="Bookman Old Style" w:hAnsi="Bookman Old Style" w:cs="Arial"/>
          <w:sz w:val="24"/>
          <w:szCs w:val="24"/>
          <w:lang w:val="id-ID"/>
        </w:rPr>
        <w:t xml:space="preserve"> </w:t>
      </w:r>
      <w:r w:rsidR="00BB2062" w:rsidRPr="008379CA">
        <w:rPr>
          <w:rFonts w:ascii="Bookman Old Style" w:hAnsi="Bookman Old Style" w:cs="Arial"/>
          <w:sz w:val="24"/>
          <w:szCs w:val="24"/>
          <w:lang w:val="id-ID"/>
        </w:rPr>
        <w:t>tidak</w:t>
      </w:r>
      <w:r w:rsidR="00A954D0" w:rsidRPr="008379CA">
        <w:rPr>
          <w:rFonts w:ascii="Bookman Old Style" w:hAnsi="Bookman Old Style" w:cs="Arial"/>
          <w:sz w:val="24"/>
          <w:szCs w:val="24"/>
          <w:lang w:val="id-ID"/>
        </w:rPr>
        <w:t xml:space="preserve"> </w:t>
      </w:r>
      <w:r w:rsidR="00BB2062" w:rsidRPr="008379CA">
        <w:rPr>
          <w:rFonts w:ascii="Bookman Old Style" w:hAnsi="Bookman Old Style" w:cs="Arial"/>
          <w:sz w:val="24"/>
          <w:szCs w:val="24"/>
          <w:lang w:val="id-ID"/>
        </w:rPr>
        <w:t>termasuk</w:t>
      </w:r>
      <w:r w:rsidR="00A954D0" w:rsidRPr="008379CA">
        <w:rPr>
          <w:rFonts w:ascii="Bookman Old Style" w:hAnsi="Bookman Old Style" w:cs="Arial"/>
          <w:sz w:val="24"/>
          <w:szCs w:val="24"/>
          <w:lang w:val="id-ID"/>
        </w:rPr>
        <w:t xml:space="preserve"> </w:t>
      </w:r>
      <w:r w:rsidR="00BB2062" w:rsidRPr="008379CA">
        <w:rPr>
          <w:rFonts w:ascii="Bookman Old Style" w:hAnsi="Bookman Old Style" w:cs="Arial"/>
          <w:sz w:val="24"/>
          <w:szCs w:val="24"/>
          <w:lang w:val="id-ID"/>
        </w:rPr>
        <w:t>belanja</w:t>
      </w:r>
      <w:r w:rsidR="00A954D0" w:rsidRPr="008379CA">
        <w:rPr>
          <w:rFonts w:ascii="Bookman Old Style" w:hAnsi="Bookman Old Style" w:cs="Arial"/>
          <w:sz w:val="24"/>
          <w:szCs w:val="24"/>
          <w:lang w:val="id-ID"/>
        </w:rPr>
        <w:t xml:space="preserve"> </w:t>
      </w:r>
      <w:r w:rsidR="00BB2062" w:rsidRPr="008379CA">
        <w:rPr>
          <w:rFonts w:ascii="Bookman Old Style" w:hAnsi="Bookman Old Style" w:cs="Arial"/>
          <w:sz w:val="24"/>
          <w:szCs w:val="24"/>
          <w:lang w:val="id-ID"/>
        </w:rPr>
        <w:t>gaji,</w:t>
      </w:r>
      <w:r w:rsidR="00A954D0" w:rsidRPr="008379CA">
        <w:rPr>
          <w:rFonts w:ascii="Bookman Old Style" w:hAnsi="Bookman Old Style" w:cs="Arial"/>
          <w:sz w:val="24"/>
          <w:szCs w:val="24"/>
          <w:lang w:val="id-ID"/>
        </w:rPr>
        <w:t xml:space="preserve"> </w:t>
      </w:r>
      <w:r w:rsidR="00BB2062" w:rsidRPr="008379CA">
        <w:rPr>
          <w:rFonts w:ascii="Bookman Old Style" w:hAnsi="Bookman Old Style" w:cs="Arial"/>
          <w:sz w:val="24"/>
          <w:szCs w:val="24"/>
          <w:lang w:val="id-ID"/>
        </w:rPr>
        <w:t>tunjangan</w:t>
      </w:r>
      <w:r w:rsidR="00A954D0" w:rsidRPr="008379CA">
        <w:rPr>
          <w:rFonts w:ascii="Bookman Old Style" w:hAnsi="Bookman Old Style" w:cs="Arial"/>
          <w:sz w:val="24"/>
          <w:szCs w:val="24"/>
          <w:lang w:val="id-ID"/>
        </w:rPr>
        <w:t xml:space="preserve"> </w:t>
      </w:r>
      <w:r w:rsidR="00BB2062"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00BB2062" w:rsidRPr="008379CA">
        <w:rPr>
          <w:rFonts w:ascii="Bookman Old Style" w:hAnsi="Bookman Old Style" w:cs="Arial"/>
          <w:sz w:val="24"/>
          <w:szCs w:val="24"/>
          <w:lang w:val="id-ID"/>
        </w:rPr>
        <w:t>TP</w:t>
      </w:r>
      <w:r w:rsidR="00A954D0" w:rsidRPr="008379CA">
        <w:rPr>
          <w:rFonts w:ascii="Bookman Old Style" w:hAnsi="Bookman Old Style" w:cs="Arial"/>
          <w:sz w:val="24"/>
          <w:szCs w:val="24"/>
          <w:lang w:val="id-ID"/>
        </w:rPr>
        <w:t xml:space="preserve"> </w:t>
      </w:r>
      <w:r w:rsidR="00BB2062" w:rsidRPr="008379CA">
        <w:rPr>
          <w:rFonts w:ascii="Bookman Old Style" w:hAnsi="Bookman Old Style" w:cs="Arial"/>
          <w:sz w:val="24"/>
          <w:szCs w:val="24"/>
          <w:lang w:val="id-ID"/>
        </w:rPr>
        <w:t>ASN</w:t>
      </w:r>
      <w:r w:rsidR="00A954D0" w:rsidRPr="008379CA">
        <w:rPr>
          <w:rFonts w:ascii="Bookman Old Style" w:hAnsi="Bookman Old Style" w:cs="Arial"/>
          <w:sz w:val="24"/>
          <w:szCs w:val="24"/>
          <w:lang w:val="id-ID"/>
        </w:rPr>
        <w:t xml:space="preserve"> </w:t>
      </w:r>
      <w:r w:rsidR="00BB2062" w:rsidRPr="008379CA">
        <w:rPr>
          <w:rFonts w:ascii="Bookman Old Style" w:hAnsi="Bookman Old Style" w:cs="Arial"/>
          <w:sz w:val="24"/>
          <w:szCs w:val="24"/>
          <w:lang w:val="id-ID"/>
        </w:rPr>
        <w:t>pada</w:t>
      </w:r>
      <w:r w:rsidR="00A954D0" w:rsidRPr="008379CA">
        <w:rPr>
          <w:rFonts w:ascii="Bookman Old Style" w:hAnsi="Bookman Old Style" w:cs="Arial"/>
          <w:sz w:val="24"/>
          <w:szCs w:val="24"/>
          <w:lang w:val="id-ID"/>
        </w:rPr>
        <w:t xml:space="preserve"> </w:t>
      </w:r>
      <w:r w:rsidR="00BB2062" w:rsidRPr="008379CA">
        <w:rPr>
          <w:rFonts w:ascii="Bookman Old Style" w:hAnsi="Bookman Old Style" w:cs="Arial"/>
          <w:sz w:val="24"/>
          <w:szCs w:val="24"/>
          <w:lang w:val="id-ID"/>
        </w:rPr>
        <w:t>SKPD</w:t>
      </w:r>
      <w:r w:rsidR="00A954D0" w:rsidRPr="008379CA">
        <w:rPr>
          <w:rFonts w:ascii="Bookman Old Style" w:hAnsi="Bookman Old Style" w:cs="Arial"/>
          <w:sz w:val="24"/>
          <w:szCs w:val="24"/>
          <w:lang w:val="id-ID"/>
        </w:rPr>
        <w:t xml:space="preserve"> </w:t>
      </w:r>
      <w:r w:rsidR="00BB2062" w:rsidRPr="008379CA">
        <w:rPr>
          <w:rFonts w:ascii="Bookman Old Style" w:hAnsi="Bookman Old Style" w:cs="Arial"/>
          <w:sz w:val="24"/>
          <w:szCs w:val="24"/>
          <w:lang w:val="id-ID"/>
        </w:rPr>
        <w:t>Inspektorat</w:t>
      </w:r>
      <w:r w:rsidR="00BB2062" w:rsidRPr="008379CA">
        <w:rPr>
          <w:rFonts w:ascii="Bookman Old Style" w:hAnsi="Bookman Old Style"/>
          <w:sz w:val="24"/>
          <w:szCs w:val="24"/>
        </w:rPr>
        <w:t>.</w:t>
      </w:r>
      <w:r w:rsidR="00A954D0" w:rsidRPr="008379CA">
        <w:rPr>
          <w:rFonts w:ascii="Bookman Old Style" w:hAnsi="Bookman Old Style"/>
          <w:sz w:val="24"/>
          <w:szCs w:val="24"/>
          <w:lang w:val="sv-FI"/>
        </w:rPr>
        <w:t xml:space="preserve"> </w:t>
      </w:r>
    </w:p>
    <w:p w14:paraId="61FED7CD" w14:textId="5994A448" w:rsidR="00420A08" w:rsidRPr="008379CA" w:rsidRDefault="00BB2062" w:rsidP="006A0033">
      <w:pPr>
        <w:pStyle w:val="ListParagraph"/>
        <w:spacing w:before="120" w:after="0" w:line="276" w:lineRule="auto"/>
        <w:ind w:left="1276"/>
        <w:contextualSpacing w:val="0"/>
        <w:jc w:val="both"/>
        <w:rPr>
          <w:rFonts w:ascii="Bookman Old Style" w:hAnsi="Bookman Old Style"/>
          <w:sz w:val="24"/>
          <w:szCs w:val="24"/>
          <w:highlight w:val="yellow"/>
          <w:lang w:val="id-ID"/>
        </w:rPr>
      </w:pPr>
      <w:r w:rsidRPr="008379CA">
        <w:rPr>
          <w:rFonts w:ascii="Bookman Old Style" w:hAnsi="Bookman Old Style"/>
          <w:sz w:val="24"/>
          <w:szCs w:val="24"/>
          <w:lang w:val="sv-FI"/>
        </w:rPr>
        <w:t>Untuk</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itu,</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Pemerintah</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Daerah</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sv-FI"/>
        </w:rPr>
        <w:t>agar</w:t>
      </w:r>
      <w:r w:rsidR="00A954D0" w:rsidRPr="008379CA">
        <w:rPr>
          <w:rFonts w:ascii="Bookman Old Style" w:hAnsi="Bookman Old Style"/>
          <w:sz w:val="24"/>
          <w:szCs w:val="24"/>
          <w:lang w:val="id-ID"/>
        </w:rPr>
        <w:t xml:space="preserve"> </w:t>
      </w:r>
      <w:r w:rsidRPr="008379CA">
        <w:rPr>
          <w:rFonts w:ascii="Bookman Old Style" w:hAnsi="Bookman Old Style" w:cs="Arial"/>
          <w:sz w:val="24"/>
          <w:szCs w:val="24"/>
          <w:lang w:val="id-ID"/>
        </w:rPr>
        <w:t>mengupayakan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pemenuhan</w:t>
      </w:r>
      <w:r w:rsidR="00A954D0" w:rsidRPr="008379CA">
        <w:rPr>
          <w:rFonts w:ascii="Bookman Old Style" w:hAnsi="Bookman Old Style"/>
          <w:sz w:val="24"/>
          <w:szCs w:val="24"/>
          <w:lang w:val="id-ID"/>
        </w:rPr>
        <w:t xml:space="preserve"> </w:t>
      </w:r>
      <w:r w:rsidRPr="008379CA">
        <w:rPr>
          <w:rFonts w:ascii="Bookman Old Style" w:hAnsi="Bookman Old Style" w:cs="Arial"/>
          <w:sz w:val="24"/>
          <w:szCs w:val="24"/>
          <w:lang w:val="id-ID"/>
        </w:rPr>
        <w:t>alokasi</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lang w:val="sv-FI"/>
        </w:rPr>
        <w:t>pada</w:t>
      </w:r>
      <w:r w:rsidR="00A954D0" w:rsidRPr="008379CA">
        <w:rPr>
          <w:rFonts w:ascii="Bookman Old Style" w:hAnsi="Bookman Old Style"/>
          <w:sz w:val="24"/>
          <w:szCs w:val="24"/>
          <w:lang w:val="sv-FI"/>
        </w:rPr>
        <w:t xml:space="preserve"> </w:t>
      </w:r>
      <w:r w:rsidRPr="008379CA">
        <w:rPr>
          <w:rFonts w:ascii="Bookman Old Style" w:hAnsi="Bookman Old Style"/>
          <w:sz w:val="24"/>
          <w:szCs w:val="24"/>
        </w:rPr>
        <w:t>Inspektorat</w:t>
      </w:r>
      <w:r w:rsidR="00A954D0" w:rsidRPr="008379CA">
        <w:rPr>
          <w:rFonts w:ascii="Bookman Old Style" w:hAnsi="Bookman Old Style"/>
          <w:sz w:val="24"/>
          <w:szCs w:val="24"/>
        </w:rPr>
        <w:t xml:space="preserve"> </w:t>
      </w:r>
      <w:r w:rsidRPr="008379CA">
        <w:rPr>
          <w:rFonts w:ascii="Bookman Old Style" w:hAnsi="Bookman Old Style"/>
          <w:sz w:val="24"/>
          <w:szCs w:val="24"/>
        </w:rPr>
        <w:t>Pemerintah</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sv-FI"/>
        </w:rPr>
        <w:t>dalam</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rangka</w:t>
      </w:r>
      <w:r w:rsidR="00A954D0" w:rsidRPr="008379CA">
        <w:rPr>
          <w:rFonts w:ascii="Bookman Old Style" w:hAnsi="Bookman Old Style"/>
          <w:sz w:val="24"/>
          <w:szCs w:val="24"/>
          <w:lang w:val="sv-FI"/>
        </w:rPr>
        <w:t xml:space="preserve"> </w:t>
      </w:r>
      <w:r w:rsidRPr="008379CA">
        <w:rPr>
          <w:rFonts w:ascii="Bookman Old Style" w:hAnsi="Bookman Old Style"/>
          <w:sz w:val="24"/>
          <w:szCs w:val="24"/>
        </w:rPr>
        <w:t>penguatan</w:t>
      </w:r>
      <w:r w:rsidR="00A954D0" w:rsidRPr="008379CA">
        <w:rPr>
          <w:rFonts w:ascii="Bookman Old Style" w:hAnsi="Bookman Old Style"/>
          <w:sz w:val="24"/>
          <w:szCs w:val="24"/>
        </w:rPr>
        <w:t xml:space="preserve"> </w:t>
      </w:r>
      <w:r w:rsidRPr="008379CA">
        <w:rPr>
          <w:rFonts w:ascii="Bookman Old Style" w:hAnsi="Bookman Old Style"/>
          <w:sz w:val="24"/>
          <w:szCs w:val="24"/>
        </w:rPr>
        <w:t>pembinaan</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Pr="008379CA">
        <w:rPr>
          <w:rFonts w:ascii="Bookman Old Style" w:hAnsi="Bookman Old Style"/>
          <w:sz w:val="24"/>
          <w:szCs w:val="24"/>
        </w:rPr>
        <w:t>pengawasan</w:t>
      </w:r>
      <w:r w:rsidR="00A954D0" w:rsidRPr="008379CA">
        <w:rPr>
          <w:rFonts w:ascii="Bookman Old Style" w:hAnsi="Bookman Old Style"/>
          <w:sz w:val="24"/>
          <w:szCs w:val="24"/>
        </w:rPr>
        <w:t xml:space="preserve"> </w:t>
      </w:r>
      <w:r w:rsidRPr="008379CA">
        <w:rPr>
          <w:rFonts w:ascii="Bookman Old Style" w:hAnsi="Bookman Old Style"/>
          <w:sz w:val="24"/>
          <w:szCs w:val="24"/>
        </w:rPr>
        <w:t>sekurang-kurangnya</w:t>
      </w:r>
      <w:r w:rsidR="00A954D0" w:rsidRPr="008379CA">
        <w:rPr>
          <w:rFonts w:ascii="Bookman Old Style" w:hAnsi="Bookman Old Style"/>
          <w:sz w:val="24"/>
          <w:szCs w:val="24"/>
        </w:rPr>
        <w:t xml:space="preserve"> </w:t>
      </w:r>
      <w:r w:rsidRPr="008379CA">
        <w:rPr>
          <w:rFonts w:ascii="Bookman Old Style" w:hAnsi="Bookman Old Style" w:cs="Arial"/>
          <w:sz w:val="24"/>
          <w:szCs w:val="24"/>
          <w:lang w:val="sv-FI"/>
        </w:rPr>
        <w:t>0,50</w:t>
      </w:r>
      <w:r w:rsidRPr="008379CA">
        <w:rPr>
          <w:rFonts w:ascii="Bookman Old Style" w:hAnsi="Bookman Old Style" w:cs="Arial"/>
          <w:sz w:val="24"/>
          <w:szCs w:val="24"/>
          <w:lang w:val="id-ID"/>
        </w:rPr>
        <w: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w:t>
      </w:r>
      <w:r w:rsidRPr="008379CA">
        <w:rPr>
          <w:rFonts w:ascii="Bookman Old Style" w:hAnsi="Bookman Old Style" w:cs="Arial"/>
          <w:sz w:val="24"/>
          <w:szCs w:val="24"/>
          <w:lang w:val="sv-FI"/>
        </w:rPr>
        <w:t>nol</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koma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lima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puluh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persen)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total</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belanja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daerah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diatas</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Rp15.000.000.000,00</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(lima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belas</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miliar</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rupiah)</w:t>
      </w:r>
      <w:r w:rsidR="00A954D0" w:rsidRPr="008379CA">
        <w:rPr>
          <w:rFonts w:ascii="Bookman Old Style" w:hAnsi="Bookman Old Style" w:cs="Arial"/>
          <w:sz w:val="24"/>
          <w:szCs w:val="24"/>
        </w:rPr>
        <w:t xml:space="preserve"> </w:t>
      </w:r>
      <w:r w:rsidRPr="008379CA">
        <w:rPr>
          <w:rFonts w:ascii="Bookman Old Style" w:hAnsi="Bookman Old Style"/>
          <w:sz w:val="24"/>
          <w:szCs w:val="24"/>
          <w:lang w:val="id-ID"/>
        </w:rPr>
        <w:t>serta</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alokasi</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dimaksud</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tidak</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termasuk</w:t>
      </w:r>
      <w:r w:rsidR="00A954D0" w:rsidRPr="008379CA">
        <w:rPr>
          <w:rFonts w:ascii="Bookman Old Style" w:hAnsi="Bookman Old Style"/>
          <w:sz w:val="24"/>
          <w:szCs w:val="24"/>
          <w:lang w:val="id-ID"/>
        </w:rPr>
        <w:t xml:space="preserve"> </w:t>
      </w:r>
      <w:r w:rsidRPr="008379CA">
        <w:rPr>
          <w:rFonts w:ascii="Bookman Old Style" w:hAnsi="Bookman Old Style" w:cs="Arial"/>
          <w:sz w:val="24"/>
          <w:szCs w:val="24"/>
          <w:lang w:val="id-ID"/>
        </w:rPr>
        <w:t>belanja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gaji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ASN,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tunjangan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TP</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ASN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pada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SKPD</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Inspektorat</w:t>
      </w:r>
      <w:r w:rsidRPr="008379CA">
        <w:rPr>
          <w:rFonts w:ascii="Bookman Old Style" w:hAnsi="Bookman Old Style"/>
          <w:sz w:val="24"/>
          <w:szCs w:val="24"/>
        </w:rPr>
        <w:t>,</w:t>
      </w:r>
      <w:r w:rsidR="00A954D0" w:rsidRPr="008379CA">
        <w:rPr>
          <w:rFonts w:ascii="Bookman Old Style" w:hAnsi="Bookman Old Style"/>
          <w:sz w:val="24"/>
          <w:szCs w:val="24"/>
        </w:rPr>
        <w:t xml:space="preserve"> </w:t>
      </w:r>
      <w:r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Pr="008379CA">
        <w:rPr>
          <w:rFonts w:ascii="Bookman Old Style" w:hAnsi="Bookman Old Style"/>
          <w:sz w:val="24"/>
          <w:szCs w:val="24"/>
        </w:rPr>
        <w:t>Rancangan</w:t>
      </w:r>
      <w:r w:rsidR="00A954D0" w:rsidRPr="008379CA">
        <w:rPr>
          <w:rFonts w:ascii="Bookman Old Style" w:hAnsi="Bookman Old Style"/>
          <w:sz w:val="24"/>
          <w:szCs w:val="24"/>
        </w:rPr>
        <w:t xml:space="preserve"> </w:t>
      </w:r>
      <w:r w:rsidRPr="008379CA">
        <w:rPr>
          <w:rFonts w:ascii="Bookman Old Style" w:hAnsi="Bookman Old Style"/>
          <w:sz w:val="24"/>
          <w:szCs w:val="24"/>
        </w:rPr>
        <w:t>Peraturan</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id-ID"/>
        </w:rPr>
        <w:t>tentang</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APBD</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Tahun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Anggaran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2025,</w:t>
      </w:r>
      <w:r w:rsidR="00A954D0" w:rsidRPr="008379CA">
        <w:rPr>
          <w:rFonts w:ascii="Bookman Old Style" w:hAnsi="Bookman Old Style" w:cs="Arial"/>
          <w:sz w:val="24"/>
          <w:szCs w:val="24"/>
          <w:lang w:val="id-ID"/>
        </w:rPr>
        <w:t xml:space="preserve"> </w:t>
      </w:r>
      <w:r w:rsidRPr="008379CA">
        <w:rPr>
          <w:rFonts w:ascii="Bookman Old Style" w:hAnsi="Bookman Old Style"/>
          <w:sz w:val="24"/>
          <w:szCs w:val="24"/>
        </w:rPr>
        <w:t>sebagaimana</w:t>
      </w:r>
      <w:r w:rsidR="00A954D0" w:rsidRPr="008379CA">
        <w:rPr>
          <w:rFonts w:ascii="Bookman Old Style" w:hAnsi="Bookman Old Style"/>
          <w:sz w:val="24"/>
          <w:szCs w:val="24"/>
        </w:rPr>
        <w:t xml:space="preserve"> </w:t>
      </w:r>
      <w:r w:rsidRPr="008379CA">
        <w:rPr>
          <w:rFonts w:ascii="Bookman Old Style" w:hAnsi="Bookman Old Style"/>
          <w:sz w:val="24"/>
          <w:szCs w:val="24"/>
          <w:lang w:val="id-ID"/>
        </w:rPr>
        <w:t>maksud</w:t>
      </w:r>
      <w:r w:rsidR="00A954D0" w:rsidRPr="008379CA">
        <w:rPr>
          <w:rFonts w:ascii="Bookman Old Style" w:hAnsi="Bookman Old Style"/>
          <w:sz w:val="24"/>
          <w:szCs w:val="24"/>
        </w:rPr>
        <w:t xml:space="preserve"> </w:t>
      </w:r>
      <w:r w:rsidRPr="008379CA">
        <w:rPr>
          <w:rFonts w:ascii="Bookman Old Style" w:hAnsi="Bookman Old Style"/>
          <w:sz w:val="24"/>
          <w:szCs w:val="24"/>
        </w:rPr>
        <w:t>butir</w:t>
      </w:r>
      <w:r w:rsidR="00A954D0" w:rsidRPr="008379CA">
        <w:rPr>
          <w:rFonts w:ascii="Bookman Old Style" w:hAnsi="Bookman Old Style"/>
          <w:sz w:val="24"/>
          <w:szCs w:val="24"/>
        </w:rPr>
        <w:t xml:space="preserve"> </w:t>
      </w:r>
      <w:r w:rsidRPr="008379CA">
        <w:rPr>
          <w:rFonts w:ascii="Bookman Old Style" w:hAnsi="Bookman Old Style"/>
          <w:sz w:val="24"/>
          <w:szCs w:val="24"/>
          <w:lang w:val="id-ID"/>
        </w:rPr>
        <w:t>5.3.33</w:t>
      </w:r>
      <w:r w:rsidR="00A954D0" w:rsidRPr="008379CA">
        <w:rPr>
          <w:rFonts w:ascii="Bookman Old Style" w:hAnsi="Bookman Old Style"/>
          <w:sz w:val="24"/>
          <w:szCs w:val="24"/>
          <w:lang w:val="id-ID"/>
        </w:rPr>
        <w:t xml:space="preserve"> </w:t>
      </w:r>
      <w:r w:rsidRPr="008379CA">
        <w:rPr>
          <w:rFonts w:ascii="Bookman Old Style" w:hAnsi="Bookman Old Style"/>
          <w:sz w:val="24"/>
          <w:szCs w:val="24"/>
        </w:rPr>
        <w:t>Lampiran</w:t>
      </w:r>
      <w:r w:rsidR="00A954D0" w:rsidRPr="008379CA">
        <w:rPr>
          <w:rFonts w:ascii="Bookman Old Style" w:hAnsi="Bookman Old Style"/>
          <w:sz w:val="24"/>
          <w:szCs w:val="24"/>
        </w:rPr>
        <w:t xml:space="preserve"> </w:t>
      </w:r>
      <w:r w:rsidRPr="008379CA">
        <w:rPr>
          <w:rFonts w:ascii="Bookman Old Style" w:hAnsi="Bookman Old Style"/>
          <w:sz w:val="24"/>
          <w:szCs w:val="24"/>
        </w:rPr>
        <w:t>Peraturan</w:t>
      </w:r>
      <w:r w:rsidR="00A954D0" w:rsidRPr="008379CA">
        <w:rPr>
          <w:rFonts w:ascii="Bookman Old Style" w:hAnsi="Bookman Old Style"/>
          <w:sz w:val="24"/>
          <w:szCs w:val="24"/>
        </w:rPr>
        <w:t xml:space="preserve"> </w:t>
      </w:r>
      <w:r w:rsidRPr="008379CA">
        <w:rPr>
          <w:rFonts w:ascii="Bookman Old Style" w:hAnsi="Bookman Old Style"/>
          <w:sz w:val="24"/>
          <w:szCs w:val="24"/>
        </w:rPr>
        <w:t>Menteri</w:t>
      </w:r>
      <w:r w:rsidR="00A954D0" w:rsidRPr="008379CA">
        <w:rPr>
          <w:rFonts w:ascii="Bookman Old Style" w:hAnsi="Bookman Old Style"/>
          <w:sz w:val="24"/>
          <w:szCs w:val="24"/>
        </w:rPr>
        <w:t xml:space="preserve"> </w:t>
      </w:r>
      <w:r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Pr="008379CA">
        <w:rPr>
          <w:rFonts w:ascii="Bookman Old Style" w:hAnsi="Bookman Old Style"/>
          <w:sz w:val="24"/>
          <w:szCs w:val="24"/>
        </w:rPr>
        <w:t>Negeri</w:t>
      </w:r>
      <w:r w:rsidR="00A954D0" w:rsidRPr="008379CA">
        <w:rPr>
          <w:rFonts w:ascii="Bookman Old Style" w:hAnsi="Bookman Old Style"/>
          <w:sz w:val="24"/>
          <w:szCs w:val="24"/>
        </w:rPr>
        <w:t xml:space="preserve"> </w:t>
      </w:r>
      <w:r w:rsidRPr="008379CA">
        <w:rPr>
          <w:rFonts w:ascii="Bookman Old Style" w:hAnsi="Bookman Old Style"/>
          <w:sz w:val="24"/>
          <w:szCs w:val="24"/>
        </w:rPr>
        <w:t>Nomor</w:t>
      </w:r>
      <w:r w:rsidR="00A954D0" w:rsidRPr="008379CA">
        <w:rPr>
          <w:rFonts w:ascii="Bookman Old Style" w:hAnsi="Bookman Old Style"/>
          <w:sz w:val="24"/>
          <w:szCs w:val="24"/>
        </w:rPr>
        <w:t xml:space="preserve"> </w:t>
      </w:r>
      <w:r w:rsidRPr="008379CA">
        <w:rPr>
          <w:rFonts w:ascii="Bookman Old Style" w:hAnsi="Bookman Old Style"/>
          <w:sz w:val="24"/>
          <w:szCs w:val="24"/>
          <w:lang w:val="id-ID"/>
        </w:rPr>
        <w:t>15</w:t>
      </w:r>
      <w:r w:rsidR="00A954D0" w:rsidRPr="008379CA">
        <w:rPr>
          <w:rFonts w:ascii="Bookman Old Style" w:hAnsi="Bookman Old Style"/>
          <w:sz w:val="24"/>
          <w:szCs w:val="24"/>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rPr>
        <w:t>2024</w:t>
      </w:r>
      <w:r w:rsidRPr="008379CA">
        <w:rPr>
          <w:rFonts w:ascii="Bookman Old Style" w:hAnsi="Bookman Old Style"/>
          <w:sz w:val="24"/>
          <w:szCs w:val="24"/>
          <w:lang w:val="id-ID"/>
        </w:rPr>
        <w:t>.</w:t>
      </w:r>
    </w:p>
    <w:p w14:paraId="71399E6C" w14:textId="34D8392B" w:rsidR="00420A08" w:rsidRPr="008379CA" w:rsidRDefault="00420A08" w:rsidP="00447E9A">
      <w:pPr>
        <w:pStyle w:val="ListParagraph"/>
        <w:spacing w:before="60" w:after="0" w:line="276" w:lineRule="auto"/>
        <w:ind w:left="1276"/>
        <w:contextualSpacing w:val="0"/>
        <w:jc w:val="both"/>
        <w:rPr>
          <w:rFonts w:ascii="Bookman Old Style" w:hAnsi="Bookman Old Style"/>
          <w:sz w:val="24"/>
          <w:szCs w:val="24"/>
          <w:lang w:val="id-ID"/>
        </w:rPr>
      </w:pPr>
      <w:r w:rsidRPr="008379CA">
        <w:rPr>
          <w:rFonts w:ascii="Bookman Old Style" w:hAnsi="Bookman Old Style"/>
          <w:sz w:val="24"/>
          <w:szCs w:val="24"/>
        </w:rPr>
        <w:t>Selanjutnya,</w:t>
      </w:r>
      <w:r w:rsidR="00A954D0" w:rsidRPr="008379CA">
        <w:rPr>
          <w:rFonts w:ascii="Bookman Old Style" w:hAnsi="Bookman Old Style"/>
          <w:sz w:val="24"/>
          <w:szCs w:val="24"/>
        </w:rPr>
        <w:t xml:space="preserve"> </w:t>
      </w:r>
      <w:r w:rsidRPr="008379CA">
        <w:rPr>
          <w:rFonts w:ascii="Bookman Old Style" w:hAnsi="Bookman Old Style"/>
          <w:sz w:val="24"/>
          <w:szCs w:val="24"/>
        </w:rPr>
        <w:t>Pemerintah</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00B055C5"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00770F22"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cs="Arial"/>
          <w:sz w:val="24"/>
          <w:szCs w:val="24"/>
          <w:lang w:val="id-ID"/>
        </w:rPr>
        <w:t>mengalokasikan</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pengawasan</w:t>
      </w:r>
      <w:r w:rsidR="00A954D0" w:rsidRPr="008379CA">
        <w:rPr>
          <w:rFonts w:ascii="Bookman Old Style" w:hAnsi="Bookman Old Style"/>
          <w:sz w:val="24"/>
          <w:szCs w:val="24"/>
        </w:rPr>
        <w:t xml:space="preserve"> </w:t>
      </w:r>
      <w:r w:rsidRPr="008379CA">
        <w:rPr>
          <w:rFonts w:ascii="Bookman Old Style" w:hAnsi="Bookman Old Style"/>
          <w:sz w:val="24"/>
          <w:szCs w:val="24"/>
        </w:rPr>
        <w:t>sesuai</w:t>
      </w:r>
      <w:r w:rsidR="00A954D0" w:rsidRPr="008379CA">
        <w:rPr>
          <w:rFonts w:ascii="Bookman Old Style" w:hAnsi="Bookman Old Style"/>
          <w:sz w:val="24"/>
          <w:szCs w:val="24"/>
        </w:rPr>
        <w:t xml:space="preserve"> </w:t>
      </w:r>
      <w:r w:rsidRPr="008379CA">
        <w:rPr>
          <w:rFonts w:ascii="Bookman Old Style" w:hAnsi="Bookman Old Style"/>
          <w:sz w:val="24"/>
          <w:szCs w:val="24"/>
        </w:rPr>
        <w:t>dengan</w:t>
      </w:r>
      <w:r w:rsidR="00A954D0" w:rsidRPr="008379CA">
        <w:rPr>
          <w:rFonts w:ascii="Bookman Old Style" w:hAnsi="Bookman Old Style"/>
          <w:sz w:val="24"/>
          <w:szCs w:val="24"/>
        </w:rPr>
        <w:t xml:space="preserve"> </w:t>
      </w:r>
      <w:r w:rsidRPr="008379CA">
        <w:rPr>
          <w:rFonts w:ascii="Bookman Old Style" w:hAnsi="Bookman Old Style"/>
          <w:sz w:val="24"/>
          <w:szCs w:val="24"/>
        </w:rPr>
        <w:t>kewenangannya</w:t>
      </w:r>
      <w:r w:rsidR="00A954D0" w:rsidRPr="008379CA">
        <w:rPr>
          <w:rFonts w:ascii="Bookman Old Style" w:hAnsi="Bookman Old Style"/>
          <w:sz w:val="24"/>
          <w:szCs w:val="24"/>
        </w:rPr>
        <w:t xml:space="preserve"> </w:t>
      </w:r>
      <w:r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Pr="008379CA">
        <w:rPr>
          <w:rFonts w:ascii="Bookman Old Style" w:hAnsi="Bookman Old Style"/>
          <w:sz w:val="24"/>
          <w:szCs w:val="24"/>
        </w:rPr>
        <w:t>Rancangan</w:t>
      </w:r>
      <w:r w:rsidR="00A954D0" w:rsidRPr="008379CA">
        <w:rPr>
          <w:rFonts w:ascii="Bookman Old Style" w:hAnsi="Bookman Old Style"/>
          <w:sz w:val="24"/>
          <w:szCs w:val="24"/>
        </w:rPr>
        <w:t xml:space="preserve"> </w:t>
      </w:r>
      <w:r w:rsidRPr="008379CA">
        <w:rPr>
          <w:rFonts w:ascii="Bookman Old Style" w:hAnsi="Bookman Old Style"/>
          <w:sz w:val="24"/>
          <w:szCs w:val="24"/>
        </w:rPr>
        <w:t>Peraturan</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00B055C5"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00770F22"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bCs/>
          <w:sz w:val="24"/>
          <w:szCs w:val="24"/>
          <w:lang w:val="id-ID" w:eastAsia="id-ID"/>
        </w:rPr>
        <w:t>tentang</w:t>
      </w:r>
      <w:r w:rsidR="00A954D0" w:rsidRPr="008379CA">
        <w:rPr>
          <w:rFonts w:ascii="Bookman Old Style" w:hAnsi="Bookman Old Style"/>
          <w:bCs/>
          <w:sz w:val="24"/>
          <w:szCs w:val="24"/>
          <w:lang w:val="id-ID" w:eastAsia="id-ID"/>
        </w:rPr>
        <w:t xml:space="preserve"> </w:t>
      </w:r>
      <w:r w:rsidRPr="008379CA">
        <w:rPr>
          <w:rFonts w:ascii="Bookman Old Style" w:hAnsi="Bookman Old Style"/>
          <w:bCs/>
          <w:sz w:val="24"/>
          <w:szCs w:val="24"/>
          <w:lang w:val="id-ID" w:eastAsia="id-ID"/>
        </w:rPr>
        <w:t>APBD</w:t>
      </w:r>
      <w:r w:rsidR="00A954D0" w:rsidRPr="008379CA">
        <w:rPr>
          <w:rFonts w:ascii="Bookman Old Style" w:hAnsi="Bookman Old Style"/>
          <w:bCs/>
          <w:sz w:val="24"/>
          <w:szCs w:val="24"/>
          <w:lang w:val="id-ID" w:eastAsia="id-ID"/>
        </w:rPr>
        <w:t xml:space="preserve"> </w:t>
      </w:r>
      <w:r w:rsidRPr="008379CA">
        <w:rPr>
          <w:rFonts w:ascii="Bookman Old Style" w:hAnsi="Bookman Old Style"/>
          <w:bCs/>
          <w:sz w:val="24"/>
          <w:szCs w:val="24"/>
          <w:lang w:val="id-ID" w:eastAsia="id-ID"/>
        </w:rPr>
        <w:t>Tahun</w:t>
      </w:r>
      <w:r w:rsidR="00A954D0" w:rsidRPr="008379CA">
        <w:rPr>
          <w:rFonts w:ascii="Bookman Old Style" w:hAnsi="Bookman Old Style"/>
          <w:bCs/>
          <w:sz w:val="24"/>
          <w:szCs w:val="24"/>
          <w:lang w:val="id-ID" w:eastAsia="id-ID"/>
        </w:rPr>
        <w:t xml:space="preserve"> </w:t>
      </w:r>
      <w:r w:rsidRPr="008379CA">
        <w:rPr>
          <w:rFonts w:ascii="Bookman Old Style" w:hAnsi="Bookman Old Style"/>
          <w:bCs/>
          <w:sz w:val="24"/>
          <w:szCs w:val="24"/>
          <w:lang w:val="id-ID" w:eastAsia="id-ID"/>
        </w:rPr>
        <w:t>Anggaran</w:t>
      </w:r>
      <w:r w:rsidR="00A954D0" w:rsidRPr="008379CA">
        <w:rPr>
          <w:rFonts w:ascii="Bookman Old Style" w:hAnsi="Bookman Old Style"/>
          <w:bCs/>
          <w:sz w:val="24"/>
          <w:szCs w:val="24"/>
          <w:lang w:val="id-ID" w:eastAsia="id-ID"/>
        </w:rPr>
        <w:t xml:space="preserve"> </w:t>
      </w:r>
      <w:r w:rsidRPr="008379CA">
        <w:rPr>
          <w:rFonts w:ascii="Bookman Old Style" w:hAnsi="Bookman Old Style"/>
          <w:bCs/>
          <w:sz w:val="24"/>
          <w:szCs w:val="24"/>
          <w:lang w:val="id-ID" w:eastAsia="id-ID"/>
        </w:rPr>
        <w:t>202</w:t>
      </w:r>
      <w:r w:rsidR="00F33A2F" w:rsidRPr="008379CA">
        <w:rPr>
          <w:rFonts w:ascii="Bookman Old Style" w:hAnsi="Bookman Old Style"/>
          <w:bCs/>
          <w:sz w:val="24"/>
          <w:szCs w:val="24"/>
          <w:lang w:val="id-ID" w:eastAsia="id-ID"/>
        </w:rPr>
        <w:t>5</w:t>
      </w:r>
      <w:r w:rsidRPr="008379CA">
        <w:rPr>
          <w:rFonts w:ascii="Bookman Old Style" w:hAnsi="Bookman Old Style"/>
          <w:sz w:val="24"/>
          <w:szCs w:val="24"/>
        </w:rPr>
        <w:t>,</w:t>
      </w:r>
      <w:r w:rsidR="00A954D0" w:rsidRPr="008379CA">
        <w:rPr>
          <w:rFonts w:ascii="Bookman Old Style" w:hAnsi="Bookman Old Style"/>
          <w:sz w:val="24"/>
          <w:szCs w:val="24"/>
        </w:rPr>
        <w:t xml:space="preserve"> </w:t>
      </w:r>
      <w:r w:rsidRPr="008379CA">
        <w:rPr>
          <w:rFonts w:ascii="Bookman Old Style" w:hAnsi="Bookman Old Style"/>
          <w:sz w:val="24"/>
          <w:szCs w:val="24"/>
        </w:rPr>
        <w:t>untuk</w:t>
      </w:r>
      <w:r w:rsidR="00A954D0" w:rsidRPr="008379CA">
        <w:rPr>
          <w:rFonts w:ascii="Bookman Old Style" w:hAnsi="Bookman Old Style"/>
          <w:sz w:val="24"/>
          <w:szCs w:val="24"/>
        </w:rPr>
        <w:t xml:space="preserve"> </w:t>
      </w:r>
      <w:r w:rsidRPr="008379CA">
        <w:rPr>
          <w:rFonts w:ascii="Bookman Old Style" w:hAnsi="Bookman Old Style"/>
          <w:sz w:val="24"/>
          <w:szCs w:val="24"/>
        </w:rPr>
        <w:t>mendanai</w:t>
      </w:r>
      <w:r w:rsidR="00A954D0" w:rsidRPr="008379CA">
        <w:rPr>
          <w:rFonts w:ascii="Bookman Old Style" w:hAnsi="Bookman Old Style"/>
          <w:sz w:val="24"/>
          <w:szCs w:val="24"/>
        </w:rPr>
        <w:t xml:space="preserve"> </w:t>
      </w:r>
      <w:r w:rsidRPr="008379CA">
        <w:rPr>
          <w:rFonts w:ascii="Bookman Old Style" w:hAnsi="Bookman Old Style"/>
          <w:sz w:val="24"/>
          <w:szCs w:val="24"/>
        </w:rPr>
        <w:t>program</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Pr="008379CA">
        <w:rPr>
          <w:rFonts w:ascii="Bookman Old Style" w:hAnsi="Bookman Old Style"/>
          <w:sz w:val="24"/>
          <w:szCs w:val="24"/>
        </w:rPr>
        <w:t>kegiatan</w:t>
      </w:r>
      <w:r w:rsidR="00A954D0" w:rsidRPr="008379CA">
        <w:rPr>
          <w:rFonts w:ascii="Bookman Old Style" w:hAnsi="Bookman Old Style"/>
          <w:sz w:val="24"/>
          <w:szCs w:val="24"/>
        </w:rPr>
        <w:t xml:space="preserve"> </w:t>
      </w:r>
      <w:r w:rsidRPr="008379CA">
        <w:rPr>
          <w:rFonts w:ascii="Bookman Old Style" w:hAnsi="Bookman Old Style"/>
          <w:sz w:val="24"/>
          <w:szCs w:val="24"/>
        </w:rPr>
        <w:t>pembinaan</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Pr="008379CA">
        <w:rPr>
          <w:rFonts w:ascii="Bookman Old Style" w:hAnsi="Bookman Old Style"/>
          <w:sz w:val="24"/>
          <w:szCs w:val="24"/>
        </w:rPr>
        <w:t>pengawasan,</w:t>
      </w:r>
      <w:r w:rsidR="00A954D0" w:rsidRPr="008379CA">
        <w:rPr>
          <w:rFonts w:ascii="Bookman Old Style" w:hAnsi="Bookman Old Style"/>
          <w:sz w:val="24"/>
          <w:szCs w:val="24"/>
        </w:rPr>
        <w:t xml:space="preserve"> </w:t>
      </w:r>
      <w:r w:rsidRPr="008379CA">
        <w:rPr>
          <w:rFonts w:ascii="Bookman Old Style" w:hAnsi="Bookman Old Style"/>
          <w:sz w:val="24"/>
          <w:szCs w:val="24"/>
        </w:rPr>
        <w:t>meliputi:</w:t>
      </w:r>
    </w:p>
    <w:p w14:paraId="4A7F78D0" w14:textId="1698A110" w:rsidR="00420A08" w:rsidRPr="008379CA" w:rsidRDefault="00420A08" w:rsidP="00447E9A">
      <w:pPr>
        <w:pStyle w:val="ListParagraph"/>
        <w:numPr>
          <w:ilvl w:val="0"/>
          <w:numId w:val="12"/>
        </w:numPr>
        <w:spacing w:before="60" w:after="0" w:line="276" w:lineRule="auto"/>
        <w:ind w:left="1701" w:hanging="426"/>
        <w:contextualSpacing w:val="0"/>
        <w:jc w:val="both"/>
        <w:rPr>
          <w:rFonts w:ascii="Bookman Old Style" w:hAnsi="Bookman Old Style"/>
          <w:sz w:val="24"/>
          <w:szCs w:val="24"/>
        </w:rPr>
      </w:pPr>
      <w:r w:rsidRPr="008379CA">
        <w:rPr>
          <w:rFonts w:ascii="Bookman Old Style" w:hAnsi="Bookman Old Style" w:cs="Arial"/>
          <w:sz w:val="24"/>
          <w:szCs w:val="24"/>
          <w:lang w:val="en-US"/>
        </w:rPr>
        <w:t>K</w:t>
      </w:r>
      <w:r w:rsidRPr="008379CA">
        <w:rPr>
          <w:rFonts w:ascii="Bookman Old Style" w:hAnsi="Bookman Old Style" w:cs="Arial"/>
          <w:sz w:val="24"/>
          <w:szCs w:val="24"/>
        </w:rPr>
        <w:t>egiatan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lang w:val="en-US"/>
        </w:rPr>
        <w:t>P</w:t>
      </w:r>
      <w:r w:rsidRPr="008379CA">
        <w:rPr>
          <w:rFonts w:ascii="Bookman Old Style" w:hAnsi="Bookman Old Style" w:cs="Arial"/>
          <w:sz w:val="24"/>
          <w:szCs w:val="24"/>
        </w:rPr>
        <w:t>engawasan,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yaitu:</w:t>
      </w:r>
    </w:p>
    <w:p w14:paraId="174AACD7" w14:textId="2601E51D" w:rsidR="00420A08" w:rsidRPr="008379CA" w:rsidRDefault="00420A08" w:rsidP="00447E9A">
      <w:pPr>
        <w:pStyle w:val="ListParagraph"/>
        <w:numPr>
          <w:ilvl w:val="0"/>
          <w:numId w:val="47"/>
        </w:numPr>
        <w:shd w:val="clear" w:color="auto" w:fill="FFFFFF" w:themeFill="background1"/>
        <w:spacing w:before="60" w:after="0" w:line="276" w:lineRule="auto"/>
        <w:ind w:left="2268" w:hanging="567"/>
        <w:contextualSpacing w:val="0"/>
        <w:jc w:val="both"/>
        <w:rPr>
          <w:rFonts w:ascii="Bookman Old Style" w:hAnsi="Bookman Old Style" w:cs="Arial"/>
          <w:strike/>
          <w:sz w:val="24"/>
          <w:szCs w:val="24"/>
        </w:rPr>
      </w:pPr>
      <w:r w:rsidRPr="008379CA">
        <w:rPr>
          <w:rFonts w:ascii="Bookman Old Style" w:eastAsia="Bookman Old Style" w:hAnsi="Bookman Old Style" w:cs="Bookman Old Style"/>
          <w:sz w:val="24"/>
          <w:szCs w:val="24"/>
        </w:rPr>
        <w:t>Pelaksanaan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pembinaan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dan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pengawasan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urusan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pemerintahan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yang</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menjadi</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kewenangan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daerah</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dilakukan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dalam</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bentuk</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pemeriksaan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ketaatan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terhadap</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ketentuan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peraturan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perundang</w:t>
      </w:r>
      <w:r w:rsidRPr="008379CA">
        <w:rPr>
          <w:rFonts w:ascii="Bookman Old Style" w:eastAsia="Bookman Old Style" w:hAnsi="Bookman Old Style" w:cs="Bookman Old Style"/>
          <w:sz w:val="24"/>
          <w:szCs w:val="24"/>
          <w:lang w:val="id-ID"/>
        </w:rPr>
        <w:t>-</w:t>
      </w:r>
      <w:r w:rsidRPr="008379CA">
        <w:rPr>
          <w:rFonts w:ascii="Bookman Old Style" w:eastAsia="Bookman Old Style" w:hAnsi="Bookman Old Style" w:cs="Bookman Old Style"/>
          <w:sz w:val="24"/>
          <w:szCs w:val="24"/>
        </w:rPr>
        <w:t>undangan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termasuk</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ketaatan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pelaksanaan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norma,</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standar,</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lastRenderedPageBreak/>
        <w:t>prosedur,</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dan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kriteria</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yang</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ditetapkan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oleh</w:t>
      </w:r>
      <w:r w:rsidR="00A954D0" w:rsidRPr="008379CA">
        <w:rPr>
          <w:rFonts w:ascii="Bookman Old Style" w:eastAsia="Bookman Old Style" w:hAnsi="Bookman Old Style" w:cs="Bookman Old Style"/>
          <w:sz w:val="24"/>
          <w:szCs w:val="24"/>
          <w:lang w:val="id-ID"/>
        </w:rPr>
        <w:t xml:space="preserve"> </w:t>
      </w:r>
      <w:r w:rsidRPr="008379CA">
        <w:rPr>
          <w:rFonts w:ascii="Bookman Old Style" w:eastAsia="Bookman Old Style" w:hAnsi="Bookman Old Style" w:cs="Bookman Old Style"/>
          <w:sz w:val="24"/>
          <w:szCs w:val="24"/>
        </w:rPr>
        <w:t>pemerintah</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pusat;</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dan/atau</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pemeriksaan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kinerja;</w:t>
      </w:r>
      <w:r w:rsidR="00A954D0" w:rsidRPr="008379CA">
        <w:rPr>
          <w:rFonts w:ascii="Bookman Old Style" w:eastAsia="Bookman Old Style" w:hAnsi="Bookman Old Style" w:cs="Bookman Old Style"/>
          <w:sz w:val="24"/>
          <w:szCs w:val="24"/>
          <w:lang w:val="id-ID"/>
        </w:rPr>
        <w:t xml:space="preserve"> </w:t>
      </w:r>
    </w:p>
    <w:p w14:paraId="26D56F73" w14:textId="33318982" w:rsidR="00420A08" w:rsidRPr="008379CA" w:rsidRDefault="00420A08" w:rsidP="00447E9A">
      <w:pPr>
        <w:pStyle w:val="ListParagraph"/>
        <w:numPr>
          <w:ilvl w:val="0"/>
          <w:numId w:val="47"/>
        </w:numPr>
        <w:shd w:val="clear" w:color="auto" w:fill="FFFFFF" w:themeFill="background1"/>
        <w:spacing w:before="60" w:after="0" w:line="276" w:lineRule="auto"/>
        <w:ind w:left="2268" w:hanging="567"/>
        <w:contextualSpacing w:val="0"/>
        <w:jc w:val="both"/>
        <w:rPr>
          <w:rFonts w:ascii="Bookman Old Style" w:eastAsia="Bookman Old Style" w:hAnsi="Bookman Old Style" w:cs="Bookman Old Style"/>
          <w:sz w:val="24"/>
          <w:szCs w:val="24"/>
        </w:rPr>
      </w:pPr>
      <w:r w:rsidRPr="008379CA">
        <w:rPr>
          <w:rFonts w:ascii="Bookman Old Style" w:eastAsia="Bookman Old Style" w:hAnsi="Bookman Old Style" w:cs="Bookman Old Style"/>
          <w:sz w:val="24"/>
          <w:szCs w:val="24"/>
        </w:rPr>
        <w:t>Reviu</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dokumen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perencanaan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pembangunan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dan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rencana</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keuangan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daerah</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meliputi</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rancangan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akhir</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rencana</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kerja</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Pemerintah</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Daerah,</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rancangan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akhir</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lang w:val="en-US"/>
        </w:rPr>
        <w:t>RKPD</w:t>
      </w:r>
      <w:r w:rsidRPr="008379CA">
        <w:rPr>
          <w:rFonts w:ascii="Bookman Old Style" w:eastAsia="Bookman Old Style" w:hAnsi="Bookman Old Style" w:cs="Bookman Old Style"/>
          <w:sz w:val="24"/>
          <w:szCs w:val="24"/>
        </w:rPr>
        <w:t>,</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Rancangan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lang w:val="en-US"/>
        </w:rPr>
        <w:t>KUA</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dan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lang w:val="en-US"/>
        </w:rPr>
        <w:t>PPAS</w:t>
      </w:r>
      <w:r w:rsidRPr="008379CA">
        <w:rPr>
          <w:rFonts w:ascii="Bookman Old Style" w:eastAsia="Bookman Old Style" w:hAnsi="Bookman Old Style" w:cs="Bookman Old Style"/>
          <w:sz w:val="24"/>
          <w:szCs w:val="24"/>
        </w:rPr>
        <w:t>,</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RKA-SKPD;</w:t>
      </w:r>
      <w:r w:rsidR="00A954D0" w:rsidRPr="008379CA">
        <w:rPr>
          <w:rFonts w:ascii="Bookman Old Style" w:eastAsia="Bookman Old Style" w:hAnsi="Bookman Old Style" w:cs="Bookman Old Style"/>
          <w:sz w:val="24"/>
          <w:szCs w:val="24"/>
        </w:rPr>
        <w:t xml:space="preserve"> </w:t>
      </w:r>
    </w:p>
    <w:p w14:paraId="65216338" w14:textId="039877CC" w:rsidR="00420A08" w:rsidRPr="008379CA" w:rsidRDefault="00420A08" w:rsidP="00447E9A">
      <w:pPr>
        <w:pStyle w:val="ListParagraph"/>
        <w:numPr>
          <w:ilvl w:val="0"/>
          <w:numId w:val="47"/>
        </w:numPr>
        <w:shd w:val="clear" w:color="auto" w:fill="FFFFFF" w:themeFill="background1"/>
        <w:spacing w:before="60" w:after="0" w:line="276" w:lineRule="auto"/>
        <w:ind w:left="2268" w:hanging="567"/>
        <w:contextualSpacing w:val="0"/>
        <w:jc w:val="both"/>
        <w:rPr>
          <w:rFonts w:ascii="Bookman Old Style" w:eastAsia="Bookman Old Style" w:hAnsi="Bookman Old Style" w:cs="Bookman Old Style"/>
          <w:sz w:val="24"/>
          <w:szCs w:val="24"/>
        </w:rPr>
      </w:pPr>
      <w:r w:rsidRPr="008379CA">
        <w:rPr>
          <w:rFonts w:ascii="Bookman Old Style" w:eastAsia="Bookman Old Style" w:hAnsi="Bookman Old Style" w:cs="Bookman Old Style"/>
          <w:sz w:val="24"/>
          <w:szCs w:val="24"/>
        </w:rPr>
        <w:t>Pemeriksaan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Pengelolaan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Keuangan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Daerah;</w:t>
      </w:r>
      <w:r w:rsidR="00A954D0" w:rsidRPr="008379CA">
        <w:rPr>
          <w:rFonts w:ascii="Bookman Old Style" w:eastAsia="Bookman Old Style" w:hAnsi="Bookman Old Style" w:cs="Bookman Old Style"/>
          <w:sz w:val="24"/>
          <w:szCs w:val="24"/>
        </w:rPr>
        <w:t xml:space="preserve"> </w:t>
      </w:r>
    </w:p>
    <w:p w14:paraId="4CE85062" w14:textId="3304D656" w:rsidR="00420A08" w:rsidRPr="008379CA" w:rsidRDefault="00420A08" w:rsidP="00447E9A">
      <w:pPr>
        <w:pStyle w:val="ListParagraph"/>
        <w:numPr>
          <w:ilvl w:val="0"/>
          <w:numId w:val="47"/>
        </w:numPr>
        <w:shd w:val="clear" w:color="auto" w:fill="FFFFFF" w:themeFill="background1"/>
        <w:spacing w:before="60" w:after="0" w:line="276" w:lineRule="auto"/>
        <w:ind w:left="2268" w:hanging="567"/>
        <w:contextualSpacing w:val="0"/>
        <w:jc w:val="both"/>
        <w:rPr>
          <w:rFonts w:ascii="Bookman Old Style" w:eastAsia="Bookman Old Style" w:hAnsi="Bookman Old Style" w:cs="Bookman Old Style"/>
          <w:sz w:val="24"/>
          <w:szCs w:val="24"/>
        </w:rPr>
      </w:pPr>
      <w:r w:rsidRPr="008379CA">
        <w:rPr>
          <w:rFonts w:ascii="Bookman Old Style" w:eastAsia="Bookman Old Style" w:hAnsi="Bookman Old Style" w:cs="Bookman Old Style"/>
          <w:sz w:val="24"/>
          <w:szCs w:val="24"/>
        </w:rPr>
        <w:t>Reviu</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Laporan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Keuangan;</w:t>
      </w:r>
      <w:r w:rsidR="00A954D0" w:rsidRPr="008379CA">
        <w:rPr>
          <w:rFonts w:ascii="Bookman Old Style" w:eastAsia="Bookman Old Style" w:hAnsi="Bookman Old Style" w:cs="Bookman Old Style"/>
          <w:sz w:val="24"/>
          <w:szCs w:val="24"/>
        </w:rPr>
        <w:t xml:space="preserve"> </w:t>
      </w:r>
    </w:p>
    <w:p w14:paraId="07608ECE" w14:textId="423EA850" w:rsidR="00420A08" w:rsidRPr="008379CA" w:rsidRDefault="00420A08" w:rsidP="00447E9A">
      <w:pPr>
        <w:pStyle w:val="ListParagraph"/>
        <w:numPr>
          <w:ilvl w:val="0"/>
          <w:numId w:val="47"/>
        </w:numPr>
        <w:shd w:val="clear" w:color="auto" w:fill="FFFFFF" w:themeFill="background1"/>
        <w:spacing w:before="60" w:after="0" w:line="276" w:lineRule="auto"/>
        <w:ind w:left="2268" w:hanging="567"/>
        <w:contextualSpacing w:val="0"/>
        <w:jc w:val="both"/>
        <w:rPr>
          <w:rFonts w:ascii="Bookman Old Style" w:eastAsia="Bookman Old Style" w:hAnsi="Bookman Old Style" w:cs="Bookman Old Style"/>
          <w:sz w:val="24"/>
          <w:szCs w:val="24"/>
        </w:rPr>
      </w:pPr>
      <w:r w:rsidRPr="008379CA">
        <w:rPr>
          <w:rFonts w:ascii="Bookman Old Style" w:eastAsia="Bookman Old Style" w:hAnsi="Bookman Old Style" w:cs="Bookman Old Style"/>
          <w:sz w:val="24"/>
          <w:szCs w:val="24"/>
        </w:rPr>
        <w:t>Kegiatan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Pengawasan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Lainnya</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meliputi</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i/>
          <w:iCs/>
          <w:sz w:val="24"/>
          <w:szCs w:val="24"/>
        </w:rPr>
        <w:t>Probity</w:t>
      </w:r>
      <w:r w:rsidR="00A954D0" w:rsidRPr="008379CA">
        <w:rPr>
          <w:rFonts w:ascii="Bookman Old Style" w:eastAsia="Bookman Old Style" w:hAnsi="Bookman Old Style" w:cs="Bookman Old Style"/>
          <w:i/>
          <w:iCs/>
          <w:sz w:val="24"/>
          <w:szCs w:val="24"/>
        </w:rPr>
        <w:t xml:space="preserve"> </w:t>
      </w:r>
      <w:r w:rsidRPr="008379CA">
        <w:rPr>
          <w:rFonts w:ascii="Bookman Old Style" w:eastAsia="Bookman Old Style" w:hAnsi="Bookman Old Style" w:cs="Bookman Old Style"/>
          <w:i/>
          <w:iCs/>
          <w:sz w:val="24"/>
          <w:szCs w:val="24"/>
        </w:rPr>
        <w:t>Audit</w:t>
      </w:r>
      <w:r w:rsidRPr="008379CA">
        <w:rPr>
          <w:rFonts w:ascii="Bookman Old Style" w:eastAsia="Bookman Old Style" w:hAnsi="Bookman Old Style" w:cs="Bookman Old Style"/>
          <w:sz w:val="24"/>
          <w:szCs w:val="24"/>
        </w:rPr>
        <w:t>,</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Reviu</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Laporan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Kinerja,</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Reviu</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LPPD,</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Pemeriksaan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dengan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tujuan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tertentu,</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pengawasan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perencanaan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dan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penganggaran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yang</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berbasis</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gender,</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pemeriksaan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pengelolaan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keuangan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desa;</w:t>
      </w:r>
      <w:r w:rsidR="00A954D0" w:rsidRPr="008379CA">
        <w:rPr>
          <w:rFonts w:ascii="Bookman Old Style" w:eastAsia="Bookman Old Style" w:hAnsi="Bookman Old Style" w:cs="Bookman Old Style"/>
          <w:sz w:val="24"/>
          <w:szCs w:val="24"/>
          <w:lang w:val="en-US"/>
        </w:rPr>
        <w:t xml:space="preserve"> </w:t>
      </w:r>
    </w:p>
    <w:p w14:paraId="7735B71F" w14:textId="2952E534" w:rsidR="00420A08" w:rsidRPr="008379CA" w:rsidRDefault="00353667" w:rsidP="00447E9A">
      <w:pPr>
        <w:pStyle w:val="ListParagraph"/>
        <w:numPr>
          <w:ilvl w:val="0"/>
          <w:numId w:val="47"/>
        </w:numPr>
        <w:shd w:val="clear" w:color="auto" w:fill="FFFFFF" w:themeFill="background1"/>
        <w:spacing w:before="60" w:after="0" w:line="276" w:lineRule="auto"/>
        <w:ind w:left="2268" w:hanging="567"/>
        <w:contextualSpacing w:val="0"/>
        <w:jc w:val="both"/>
        <w:rPr>
          <w:rFonts w:ascii="Bookman Old Style" w:hAnsi="Bookman Old Style" w:cs="Arial"/>
          <w:sz w:val="24"/>
          <w:szCs w:val="24"/>
          <w:lang w:val="id-ID"/>
        </w:rPr>
      </w:pPr>
      <w:r w:rsidRPr="008379CA">
        <w:rPr>
          <w:rFonts w:ascii="Bookman Old Style" w:eastAsia="Bookman Old Style" w:hAnsi="Bookman Old Style" w:cs="Bookman Old Style"/>
          <w:sz w:val="24"/>
          <w:szCs w:val="24"/>
          <w:lang w:val="en-ID"/>
        </w:rPr>
        <w:t>Penguatan</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tata</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kelola</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pemerintahan</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dan</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peningkatan</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integritas</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meliputi,</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pengendalian</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gratifikasi,</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pelaksanaan</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survei</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penilaian</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integritas,</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pelaksanaan</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sosialisasi</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dan</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kampanye</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antikorupsi</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kepada</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seluruh</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elemen</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masyarakat</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(legislatif,</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eksekutif,</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aparat</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penegak</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hukum,</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masyarakat</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umum),</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penilaian</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mandiri</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pelaksanaan</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reformasi</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birokrasi,</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asistensi</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pembangunan</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reformasi</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birokrasi,</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capaian</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aksi</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pencegahan</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korupsi</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yang</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dikoordinasikan</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oleh</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strategi</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nasional</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pencegahan</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korupsi,</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capaian</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aksi</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koordinasi</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dan</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supervisi</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pencegahan</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korupsi</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terintegrasi</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yang</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dikoordinasikan</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KPK,</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operasionalisasi</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sapu</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bersih</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pungutan</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liar,</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pemeriksaan</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investigatif,</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tindak</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lanjut</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perjanjian</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kerjasama</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APIP</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dan</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aparat</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penegak</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hukum</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dalam</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penanganan</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laporan/pengaduan</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masyarakat</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yang</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berindikasi</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korupsi,</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monitoring</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dan</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evaluasi</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tindak</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lanjut</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hasil</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pemeriksaan</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BPK</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serta</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tindak</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lanjut</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hasil</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pemeriksaan</w:t>
      </w:r>
      <w:r w:rsidR="00A954D0" w:rsidRPr="008379CA">
        <w:rPr>
          <w:rFonts w:ascii="Bookman Old Style" w:eastAsia="Bookman Old Style" w:hAnsi="Bookman Old Style" w:cs="Bookman Old Style"/>
          <w:sz w:val="24"/>
          <w:szCs w:val="24"/>
          <w:lang w:val="en-ID"/>
        </w:rPr>
        <w:t xml:space="preserve"> </w:t>
      </w:r>
      <w:r w:rsidRPr="008379CA">
        <w:rPr>
          <w:rFonts w:ascii="Bookman Old Style" w:eastAsia="Bookman Old Style" w:hAnsi="Bookman Old Style" w:cs="Bookman Old Style"/>
          <w:sz w:val="24"/>
          <w:szCs w:val="24"/>
          <w:lang w:val="en-ID"/>
        </w:rPr>
        <w:t>APIP</w:t>
      </w:r>
      <w:r w:rsidR="00420A08" w:rsidRPr="008379CA">
        <w:rPr>
          <w:rFonts w:ascii="Bookman Old Style" w:eastAsia="Bookman Old Style" w:hAnsi="Bookman Old Style" w:cs="Bookman Old Style"/>
          <w:sz w:val="24"/>
          <w:szCs w:val="24"/>
        </w:rPr>
        <w:t>.</w:t>
      </w:r>
    </w:p>
    <w:p w14:paraId="62BF0603" w14:textId="24F8C73A" w:rsidR="00420A08" w:rsidRPr="008379CA" w:rsidRDefault="00420A08" w:rsidP="00447E9A">
      <w:pPr>
        <w:pStyle w:val="ListParagraph"/>
        <w:numPr>
          <w:ilvl w:val="0"/>
          <w:numId w:val="12"/>
        </w:numPr>
        <w:spacing w:before="60" w:after="0" w:line="276" w:lineRule="auto"/>
        <w:ind w:left="1701" w:hanging="425"/>
        <w:contextualSpacing w:val="0"/>
        <w:jc w:val="both"/>
        <w:rPr>
          <w:rFonts w:ascii="Bookman Old Style" w:hAnsi="Bookman Old Style" w:cs="Arial"/>
          <w:sz w:val="24"/>
          <w:szCs w:val="24"/>
        </w:rPr>
      </w:pPr>
      <w:r w:rsidRPr="008379CA">
        <w:rPr>
          <w:rFonts w:ascii="Bookman Old Style" w:hAnsi="Bookman Old Style" w:cs="Arial"/>
          <w:sz w:val="24"/>
          <w:szCs w:val="24"/>
        </w:rPr>
        <w:t>Peningkatan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kapabilitas</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APIP</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meliputi,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Kapabilitas</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APIP</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level</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3,</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Maturitas</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sistem</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pengendalian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internal</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pemerintah,</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lang w:val="sv-FI"/>
        </w:rPr>
        <w:t>penerapan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manajemen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risiko,</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penguatan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integritas</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antikorupsi,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pendidikan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profesional</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berkelanjutan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melalui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pendidikan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pelatihan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serta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bimbingan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teknis</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minimal</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120</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(seratus</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dua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puluh)</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jam/tahun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per</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APIP.</w:t>
      </w:r>
    </w:p>
    <w:p w14:paraId="7A474819" w14:textId="31D6C66D" w:rsidR="000D6D7A" w:rsidRPr="008379CA" w:rsidRDefault="00420A08" w:rsidP="009E024A">
      <w:pPr>
        <w:pStyle w:val="ListParagraph"/>
        <w:numPr>
          <w:ilvl w:val="0"/>
          <w:numId w:val="12"/>
        </w:numPr>
        <w:spacing w:before="60" w:after="0" w:line="276" w:lineRule="auto"/>
        <w:ind w:left="1701" w:hanging="426"/>
        <w:contextualSpacing w:val="0"/>
        <w:jc w:val="both"/>
        <w:rPr>
          <w:rFonts w:ascii="Bookman Old Style" w:hAnsi="Bookman Old Style" w:cs="Arial"/>
          <w:sz w:val="24"/>
          <w:szCs w:val="24"/>
        </w:rPr>
      </w:pPr>
      <w:r w:rsidRPr="008379CA">
        <w:rPr>
          <w:rFonts w:ascii="Bookman Old Style" w:hAnsi="Bookman Old Style" w:cs="Arial"/>
          <w:sz w:val="24"/>
          <w:szCs w:val="24"/>
        </w:rPr>
        <w:t>Sarana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prasarana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pengawasan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seperti: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laptop,</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alat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lang w:val="sv-FI"/>
        </w:rPr>
        <w:t>pengukur</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beton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lain-lain</w:t>
      </w:r>
    </w:p>
    <w:p w14:paraId="563C79C9" w14:textId="3100D9B6" w:rsidR="00F14F4D" w:rsidRPr="008379CA" w:rsidRDefault="00353667" w:rsidP="009E024A">
      <w:pPr>
        <w:pStyle w:val="ListParagraph"/>
        <w:numPr>
          <w:ilvl w:val="0"/>
          <w:numId w:val="98"/>
        </w:numPr>
        <w:spacing w:before="120" w:after="0" w:line="276" w:lineRule="auto"/>
        <w:ind w:left="1276" w:hanging="283"/>
        <w:contextualSpacing w:val="0"/>
        <w:jc w:val="both"/>
        <w:rPr>
          <w:rFonts w:ascii="Bookman Old Style" w:hAnsi="Bookman Old Style" w:cs="Arial"/>
          <w:sz w:val="24"/>
          <w:szCs w:val="24"/>
        </w:rPr>
      </w:pPr>
      <w:r w:rsidRPr="008379CA">
        <w:rPr>
          <w:rFonts w:ascii="Bookman Old Style" w:hAnsi="Bookman Old Style"/>
          <w:sz w:val="24"/>
          <w:szCs w:val="24"/>
        </w:rPr>
        <w:t>Alokasi</w:t>
      </w:r>
      <w:r w:rsidR="00A954D0" w:rsidRPr="008379CA">
        <w:rPr>
          <w:rFonts w:ascii="Bookman Old Style" w:hAnsi="Bookman Old Style"/>
          <w:sz w:val="24"/>
          <w:szCs w:val="24"/>
        </w:rPr>
        <w:t xml:space="preserve"> </w:t>
      </w:r>
      <w:r w:rsidRPr="008379CA">
        <w:rPr>
          <w:rFonts w:ascii="Bookman Old Style" w:hAnsi="Bookman Old Style" w:cs="Arial"/>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untuk</w:t>
      </w:r>
      <w:r w:rsidR="00A954D0" w:rsidRPr="008379CA">
        <w:rPr>
          <w:rFonts w:ascii="Bookman Old Style" w:hAnsi="Bookman Old Style"/>
          <w:sz w:val="24"/>
          <w:szCs w:val="24"/>
        </w:rPr>
        <w:t xml:space="preserve"> </w:t>
      </w:r>
      <w:r w:rsidR="00B10CC0" w:rsidRPr="008379CA">
        <w:rPr>
          <w:rFonts w:ascii="Bookman Old Style" w:hAnsi="Bookman Old Style"/>
          <w:sz w:val="24"/>
          <w:szCs w:val="24"/>
          <w:lang w:val="sv-FI"/>
        </w:rPr>
        <w:t>Pendidikan</w:t>
      </w:r>
      <w:r w:rsidR="00A954D0" w:rsidRPr="008379CA">
        <w:rPr>
          <w:rFonts w:ascii="Bookman Old Style" w:hAnsi="Bookman Old Style"/>
          <w:sz w:val="24"/>
          <w:szCs w:val="24"/>
          <w:lang w:val="sv-FI"/>
        </w:rPr>
        <w:t xml:space="preserve"> </w:t>
      </w:r>
      <w:r w:rsidR="00B10CC0" w:rsidRPr="008379CA">
        <w:rPr>
          <w:rFonts w:ascii="Bookman Old Style" w:hAnsi="Bookman Old Style"/>
          <w:sz w:val="24"/>
          <w:szCs w:val="24"/>
          <w:lang w:val="sv-FI"/>
        </w:rPr>
        <w:t>dan</w:t>
      </w:r>
      <w:r w:rsidR="00A954D0" w:rsidRPr="008379CA">
        <w:rPr>
          <w:rFonts w:ascii="Bookman Old Style" w:hAnsi="Bookman Old Style"/>
          <w:sz w:val="24"/>
          <w:szCs w:val="24"/>
          <w:lang w:val="sv-FI"/>
        </w:rPr>
        <w:t xml:space="preserve"> </w:t>
      </w:r>
      <w:r w:rsidR="00B10CC0" w:rsidRPr="008379CA">
        <w:rPr>
          <w:rFonts w:ascii="Bookman Old Style" w:hAnsi="Bookman Old Style"/>
          <w:sz w:val="24"/>
          <w:szCs w:val="24"/>
          <w:lang w:val="sv-FI"/>
        </w:rPr>
        <w:t>Pelatihan</w:t>
      </w:r>
      <w:r w:rsidR="00A954D0" w:rsidRPr="008379CA">
        <w:rPr>
          <w:rFonts w:ascii="Bookman Old Style" w:hAnsi="Bookman Old Style"/>
          <w:sz w:val="24"/>
          <w:szCs w:val="24"/>
          <w:lang w:val="sv-FI"/>
        </w:rPr>
        <w:t xml:space="preserve"> </w:t>
      </w:r>
      <w:r w:rsidR="00B10CC0" w:rsidRPr="008379CA">
        <w:rPr>
          <w:rFonts w:ascii="Bookman Old Style" w:hAnsi="Bookman Old Style"/>
          <w:sz w:val="24"/>
          <w:szCs w:val="24"/>
          <w:lang w:val="sv-FI"/>
        </w:rPr>
        <w:t>bagi</w:t>
      </w:r>
      <w:r w:rsidR="00A954D0" w:rsidRPr="008379CA">
        <w:rPr>
          <w:rFonts w:ascii="Bookman Old Style" w:hAnsi="Bookman Old Style"/>
          <w:sz w:val="24"/>
          <w:szCs w:val="24"/>
          <w:lang w:val="sv-FI"/>
        </w:rPr>
        <w:t xml:space="preserve"> </w:t>
      </w:r>
      <w:r w:rsidR="00B10CC0" w:rsidRPr="008379CA">
        <w:rPr>
          <w:rFonts w:ascii="Bookman Old Style" w:hAnsi="Bookman Old Style"/>
          <w:sz w:val="24"/>
          <w:szCs w:val="24"/>
          <w:lang w:val="sv-FI"/>
        </w:rPr>
        <w:t>ASN</w:t>
      </w:r>
      <w:r w:rsidR="00A954D0" w:rsidRPr="008379CA">
        <w:rPr>
          <w:rFonts w:ascii="Bookman Old Style" w:hAnsi="Bookman Old Style"/>
          <w:sz w:val="24"/>
          <w:szCs w:val="24"/>
        </w:rPr>
        <w:t xml:space="preserve"> </w:t>
      </w:r>
    </w:p>
    <w:p w14:paraId="78B4D1DC" w14:textId="2C52E52E" w:rsidR="003A0614" w:rsidRPr="008379CA" w:rsidRDefault="003A0614" w:rsidP="00A01E76">
      <w:pPr>
        <w:pStyle w:val="ListParagraph"/>
        <w:spacing w:before="60" w:after="0" w:line="276" w:lineRule="auto"/>
        <w:ind w:left="1276"/>
        <w:contextualSpacing w:val="0"/>
        <w:jc w:val="both"/>
        <w:rPr>
          <w:rFonts w:ascii="Bookman Old Style" w:hAnsi="Bookman Old Style"/>
          <w:sz w:val="24"/>
          <w:szCs w:val="24"/>
        </w:rPr>
      </w:pPr>
      <w:r w:rsidRPr="008379CA">
        <w:rPr>
          <w:rFonts w:ascii="Bookman Old Style" w:hAnsi="Bookman Old Style" w:cs="Arial"/>
          <w:sz w:val="24"/>
          <w:szCs w:val="24"/>
        </w:rPr>
        <w:t>Penyediaan</w:t>
      </w:r>
      <w:r w:rsidR="00A954D0" w:rsidRPr="008379CA">
        <w:rPr>
          <w:rFonts w:ascii="Bookman Old Style" w:hAnsi="Bookman Old Style"/>
          <w:sz w:val="24"/>
          <w:szCs w:val="24"/>
        </w:rPr>
        <w:t xml:space="preserve"> </w:t>
      </w:r>
      <w:r w:rsidRPr="008379CA">
        <w:rPr>
          <w:rFonts w:ascii="Bookman Old Style" w:hAnsi="Bookman Old Style"/>
          <w:sz w:val="24"/>
          <w:szCs w:val="24"/>
          <w:lang w:val="en-ID"/>
        </w:rPr>
        <w:t>anggaran</w:t>
      </w:r>
      <w:r w:rsidR="00A954D0" w:rsidRPr="008379CA">
        <w:rPr>
          <w:rFonts w:ascii="Bookman Old Style" w:hAnsi="Bookman Old Style"/>
          <w:sz w:val="24"/>
          <w:szCs w:val="24"/>
          <w:lang w:val="en-ID"/>
        </w:rPr>
        <w:t xml:space="preserve"> </w:t>
      </w:r>
      <w:r w:rsidRPr="008379CA">
        <w:rPr>
          <w:rFonts w:ascii="Bookman Old Style" w:hAnsi="Bookman Old Style"/>
          <w:sz w:val="24"/>
          <w:szCs w:val="24"/>
          <w:lang w:val="en-ID"/>
        </w:rPr>
        <w:t>untuk</w:t>
      </w:r>
      <w:r w:rsidR="00A954D0" w:rsidRPr="008379CA">
        <w:rPr>
          <w:rFonts w:ascii="Bookman Old Style" w:hAnsi="Bookman Old Style"/>
          <w:sz w:val="24"/>
          <w:szCs w:val="24"/>
          <w:lang w:val="en-ID"/>
        </w:rPr>
        <w:t xml:space="preserve"> </w:t>
      </w:r>
      <w:r w:rsidRPr="008379CA">
        <w:rPr>
          <w:rFonts w:ascii="Bookman Old Style" w:hAnsi="Bookman Old Style"/>
          <w:sz w:val="24"/>
          <w:szCs w:val="24"/>
          <w:lang w:val="en-ID"/>
        </w:rPr>
        <w:t>pendidikan</w:t>
      </w:r>
      <w:r w:rsidR="00A954D0" w:rsidRPr="008379CA">
        <w:rPr>
          <w:rFonts w:ascii="Bookman Old Style" w:hAnsi="Bookman Old Style"/>
          <w:sz w:val="24"/>
          <w:szCs w:val="24"/>
          <w:lang w:val="en-ID"/>
        </w:rPr>
        <w:t xml:space="preserve"> </w:t>
      </w:r>
      <w:r w:rsidRPr="008379CA">
        <w:rPr>
          <w:rFonts w:ascii="Bookman Old Style" w:hAnsi="Bookman Old Style"/>
          <w:sz w:val="24"/>
          <w:szCs w:val="24"/>
          <w:lang w:val="en-ID"/>
        </w:rPr>
        <w:t>dan</w:t>
      </w:r>
      <w:r w:rsidR="00A954D0" w:rsidRPr="008379CA">
        <w:rPr>
          <w:rFonts w:ascii="Bookman Old Style" w:hAnsi="Bookman Old Style"/>
          <w:sz w:val="24"/>
          <w:szCs w:val="24"/>
          <w:lang w:val="en-ID"/>
        </w:rPr>
        <w:t xml:space="preserve"> </w:t>
      </w:r>
      <w:r w:rsidRPr="008379CA">
        <w:rPr>
          <w:rFonts w:ascii="Bookman Old Style" w:hAnsi="Bookman Old Style"/>
          <w:sz w:val="24"/>
          <w:szCs w:val="24"/>
          <w:lang w:val="en-ID"/>
        </w:rPr>
        <w:t>pelatihan</w:t>
      </w:r>
      <w:r w:rsidR="00A954D0" w:rsidRPr="008379CA">
        <w:rPr>
          <w:rFonts w:ascii="Bookman Old Style" w:hAnsi="Bookman Old Style"/>
          <w:sz w:val="24"/>
          <w:szCs w:val="24"/>
          <w:lang w:val="en-ID"/>
        </w:rPr>
        <w:t xml:space="preserve"> </w:t>
      </w:r>
      <w:r w:rsidRPr="008379CA">
        <w:rPr>
          <w:rFonts w:ascii="Bookman Old Style" w:hAnsi="Bookman Old Style"/>
          <w:sz w:val="24"/>
          <w:szCs w:val="24"/>
          <w:lang w:val="en-ID"/>
        </w:rPr>
        <w:t>bagi</w:t>
      </w:r>
      <w:r w:rsidR="00A954D0" w:rsidRPr="008379CA">
        <w:rPr>
          <w:rFonts w:ascii="Bookman Old Style" w:hAnsi="Bookman Old Style"/>
          <w:sz w:val="24"/>
          <w:szCs w:val="24"/>
          <w:lang w:val="en-ID"/>
        </w:rPr>
        <w:t xml:space="preserve"> </w:t>
      </w:r>
      <w:r w:rsidRPr="008379CA">
        <w:rPr>
          <w:rFonts w:ascii="Bookman Old Style" w:hAnsi="Bookman Old Style"/>
          <w:sz w:val="24"/>
          <w:szCs w:val="24"/>
          <w:lang w:val="en-ID"/>
        </w:rPr>
        <w:t>ASN</w:t>
      </w:r>
      <w:r w:rsidR="00A954D0" w:rsidRPr="008379CA">
        <w:rPr>
          <w:rFonts w:ascii="Bookman Old Style" w:hAnsi="Bookman Old Style"/>
          <w:sz w:val="24"/>
          <w:szCs w:val="24"/>
          <w:lang w:val="en-ID"/>
        </w:rPr>
        <w:t xml:space="preserve"> </w:t>
      </w:r>
      <w:r w:rsidRPr="008379CA">
        <w:rPr>
          <w:rFonts w:ascii="Bookman Old Style" w:hAnsi="Bookman Old Style"/>
          <w:sz w:val="24"/>
          <w:szCs w:val="24"/>
          <w:lang w:val="en-ID"/>
        </w:rPr>
        <w:t>dalam</w:t>
      </w:r>
      <w:r w:rsidR="00A954D0" w:rsidRPr="008379CA">
        <w:rPr>
          <w:rFonts w:ascii="Bookman Old Style" w:hAnsi="Bookman Old Style"/>
          <w:sz w:val="24"/>
          <w:szCs w:val="24"/>
          <w:lang w:val="en-ID"/>
        </w:rPr>
        <w:t xml:space="preserve"> </w:t>
      </w:r>
      <w:r w:rsidRPr="008379CA">
        <w:rPr>
          <w:rFonts w:ascii="Bookman Old Style" w:hAnsi="Bookman Old Style"/>
          <w:sz w:val="24"/>
          <w:szCs w:val="24"/>
          <w:lang w:val="en-ID"/>
        </w:rPr>
        <w:t>rangka</w:t>
      </w:r>
      <w:r w:rsidR="00A954D0" w:rsidRPr="008379CA">
        <w:rPr>
          <w:rFonts w:ascii="Bookman Old Style" w:hAnsi="Bookman Old Style"/>
          <w:sz w:val="24"/>
          <w:szCs w:val="24"/>
          <w:lang w:val="en-ID"/>
        </w:rPr>
        <w:t xml:space="preserve"> </w:t>
      </w:r>
      <w:r w:rsidRPr="008379CA">
        <w:rPr>
          <w:rFonts w:ascii="Bookman Old Style" w:hAnsi="Bookman Old Style"/>
          <w:sz w:val="24"/>
          <w:szCs w:val="24"/>
          <w:lang w:val="en-ID"/>
        </w:rPr>
        <w:t>pengembangan</w:t>
      </w:r>
      <w:r w:rsidR="00A954D0" w:rsidRPr="008379CA">
        <w:rPr>
          <w:rFonts w:ascii="Bookman Old Style" w:hAnsi="Bookman Old Style"/>
          <w:sz w:val="24"/>
          <w:szCs w:val="24"/>
          <w:lang w:val="en-ID"/>
        </w:rPr>
        <w:t xml:space="preserve"> </w:t>
      </w:r>
      <w:r w:rsidRPr="008379CA">
        <w:rPr>
          <w:rFonts w:ascii="Bookman Old Style" w:hAnsi="Bookman Old Style"/>
          <w:sz w:val="24"/>
          <w:szCs w:val="24"/>
          <w:lang w:val="en-ID"/>
        </w:rPr>
        <w:t>kompetensi</w:t>
      </w:r>
      <w:r w:rsidR="00A954D0" w:rsidRPr="008379CA">
        <w:rPr>
          <w:rFonts w:ascii="Bookman Old Style" w:hAnsi="Bookman Old Style"/>
          <w:sz w:val="24"/>
          <w:szCs w:val="24"/>
          <w:lang w:val="en-ID"/>
        </w:rPr>
        <w:t xml:space="preserve"> </w:t>
      </w:r>
      <w:r w:rsidRPr="008379CA">
        <w:rPr>
          <w:rFonts w:ascii="Bookman Old Style" w:hAnsi="Bookman Old Style"/>
          <w:sz w:val="24"/>
          <w:szCs w:val="24"/>
          <w:lang w:val="en-ID"/>
        </w:rPr>
        <w:t>penyelenggara</w:t>
      </w:r>
      <w:r w:rsidR="00A954D0" w:rsidRPr="008379CA">
        <w:rPr>
          <w:rFonts w:ascii="Bookman Old Style" w:hAnsi="Bookman Old Style"/>
          <w:sz w:val="24"/>
          <w:szCs w:val="24"/>
          <w:lang w:val="en-ID"/>
        </w:rPr>
        <w:t xml:space="preserve"> </w:t>
      </w:r>
      <w:r w:rsidRPr="008379CA">
        <w:rPr>
          <w:rFonts w:ascii="Bookman Old Style" w:hAnsi="Bookman Old Style" w:cs="Arial"/>
          <w:sz w:val="24"/>
          <w:szCs w:val="24"/>
          <w:lang w:val="en-ID"/>
        </w:rPr>
        <w:t>Pemerintah</w:t>
      </w:r>
      <w:r w:rsidR="00A954D0" w:rsidRPr="008379CA">
        <w:rPr>
          <w:rFonts w:ascii="Bookman Old Style" w:hAnsi="Bookman Old Style"/>
          <w:sz w:val="24"/>
          <w:szCs w:val="24"/>
          <w:lang w:val="en-ID"/>
        </w:rPr>
        <w:t xml:space="preserve"> </w:t>
      </w:r>
      <w:r w:rsidRPr="008379CA">
        <w:rPr>
          <w:rFonts w:ascii="Bookman Old Style" w:hAnsi="Bookman Old Style"/>
          <w:sz w:val="24"/>
          <w:szCs w:val="24"/>
          <w:lang w:val="en-ID"/>
        </w:rPr>
        <w:t>daerah</w:t>
      </w:r>
      <w:r w:rsidR="00A954D0" w:rsidRPr="008379CA">
        <w:rPr>
          <w:rFonts w:ascii="Bookman Old Style" w:hAnsi="Bookman Old Style"/>
          <w:sz w:val="24"/>
          <w:szCs w:val="24"/>
        </w:rPr>
        <w:t xml:space="preserve"> </w:t>
      </w:r>
      <w:r w:rsidRPr="008379CA">
        <w:rPr>
          <w:rFonts w:ascii="Bookman Old Style" w:hAnsi="Bookman Old Style" w:cs="Arial"/>
          <w:sz w:val="24"/>
          <w:szCs w:val="24"/>
          <w:lang w:val="id-ID"/>
        </w:rPr>
        <w:t>yang</w:t>
      </w:r>
      <w:r w:rsidR="00A954D0" w:rsidRPr="008379CA">
        <w:rPr>
          <w:rFonts w:ascii="Bookman Old Style" w:hAnsi="Bookman Old Style"/>
          <w:sz w:val="24"/>
          <w:szCs w:val="24"/>
        </w:rPr>
        <w:t xml:space="preserve"> </w:t>
      </w:r>
      <w:r w:rsidRPr="008379CA">
        <w:rPr>
          <w:rFonts w:ascii="Bookman Old Style" w:hAnsi="Bookman Old Style"/>
          <w:sz w:val="24"/>
          <w:szCs w:val="24"/>
        </w:rPr>
        <w:t>tercantum</w:t>
      </w:r>
      <w:r w:rsidR="00A954D0" w:rsidRPr="008379CA">
        <w:rPr>
          <w:rFonts w:ascii="Bookman Old Style" w:hAnsi="Bookman Old Style"/>
          <w:sz w:val="24"/>
          <w:szCs w:val="24"/>
        </w:rPr>
        <w:t xml:space="preserve"> </w:t>
      </w:r>
      <w:r w:rsidRPr="008379CA">
        <w:rPr>
          <w:rFonts w:ascii="Bookman Old Style" w:hAnsi="Bookman Old Style"/>
          <w:sz w:val="24"/>
          <w:szCs w:val="24"/>
        </w:rPr>
        <w:t>pada</w:t>
      </w:r>
      <w:r w:rsidR="00A954D0" w:rsidRPr="008379CA">
        <w:rPr>
          <w:rFonts w:ascii="Bookman Old Style" w:hAnsi="Bookman Old Style"/>
          <w:sz w:val="24"/>
          <w:szCs w:val="24"/>
        </w:rPr>
        <w:t xml:space="preserve"> </w:t>
      </w:r>
      <w:r w:rsidRPr="008379CA">
        <w:rPr>
          <w:rFonts w:ascii="Bookman Old Style" w:hAnsi="Bookman Old Style"/>
          <w:sz w:val="24"/>
          <w:szCs w:val="24"/>
        </w:rPr>
        <w:t>SKPD</w:t>
      </w:r>
      <w:r w:rsidR="00A954D0" w:rsidRPr="008379CA">
        <w:rPr>
          <w:rFonts w:ascii="Bookman Old Style" w:hAnsi="Bookman Old Style"/>
          <w:sz w:val="24"/>
          <w:szCs w:val="24"/>
          <w:lang w:val="en-US"/>
        </w:rPr>
        <w:t xml:space="preserve"> </w:t>
      </w:r>
      <w:r w:rsidRPr="008379CA">
        <w:rPr>
          <w:rFonts w:ascii="Bookman Old Style" w:hAnsi="Bookman Old Style"/>
          <w:sz w:val="24"/>
          <w:szCs w:val="24"/>
        </w:rPr>
        <w:t>Badan</w:t>
      </w:r>
      <w:r w:rsidR="00A954D0" w:rsidRPr="008379CA">
        <w:rPr>
          <w:rFonts w:ascii="Bookman Old Style" w:hAnsi="Bookman Old Style"/>
          <w:sz w:val="24"/>
          <w:szCs w:val="24"/>
        </w:rPr>
        <w:t xml:space="preserve"> </w:t>
      </w:r>
      <w:r w:rsidRPr="008379CA">
        <w:rPr>
          <w:rFonts w:ascii="Bookman Old Style" w:hAnsi="Bookman Old Style"/>
          <w:sz w:val="24"/>
          <w:szCs w:val="24"/>
          <w:lang w:val="en-GB"/>
        </w:rPr>
        <w:t>Kepegawaian</w:t>
      </w:r>
      <w:r w:rsidR="00A954D0" w:rsidRPr="008379CA">
        <w:rPr>
          <w:rFonts w:ascii="Bookman Old Style" w:hAnsi="Bookman Old Style"/>
          <w:sz w:val="24"/>
          <w:szCs w:val="24"/>
          <w:lang w:val="en-GB"/>
        </w:rPr>
        <w:t xml:space="preserve"> </w:t>
      </w:r>
      <w:r w:rsidRPr="008379CA">
        <w:rPr>
          <w:rFonts w:ascii="Bookman Old Style" w:hAnsi="Bookman Old Style"/>
          <w:sz w:val="24"/>
          <w:szCs w:val="24"/>
          <w:lang w:val="en-GB"/>
        </w:rPr>
        <w:t>dan</w:t>
      </w:r>
      <w:r w:rsidR="00A954D0" w:rsidRPr="008379CA">
        <w:rPr>
          <w:rFonts w:ascii="Bookman Old Style" w:hAnsi="Bookman Old Style"/>
          <w:sz w:val="24"/>
          <w:szCs w:val="24"/>
          <w:lang w:val="en-GB"/>
        </w:rPr>
        <w:t xml:space="preserve"> </w:t>
      </w:r>
      <w:r w:rsidRPr="008379CA">
        <w:rPr>
          <w:rFonts w:ascii="Bookman Old Style" w:hAnsi="Bookman Old Style"/>
          <w:sz w:val="24"/>
          <w:szCs w:val="24"/>
        </w:rPr>
        <w:t>Pengembangan</w:t>
      </w:r>
      <w:r w:rsidR="00A954D0" w:rsidRPr="008379CA">
        <w:rPr>
          <w:rFonts w:ascii="Bookman Old Style" w:hAnsi="Bookman Old Style"/>
          <w:sz w:val="24"/>
          <w:szCs w:val="24"/>
        </w:rPr>
        <w:t xml:space="preserve"> </w:t>
      </w:r>
      <w:r w:rsidRPr="008379CA">
        <w:rPr>
          <w:rFonts w:ascii="Bookman Old Style" w:hAnsi="Bookman Old Style"/>
          <w:sz w:val="24"/>
          <w:szCs w:val="24"/>
        </w:rPr>
        <w:t>Sumber</w:t>
      </w:r>
      <w:r w:rsidR="00A954D0" w:rsidRPr="008379CA">
        <w:rPr>
          <w:rFonts w:ascii="Bookman Old Style" w:hAnsi="Bookman Old Style"/>
          <w:sz w:val="24"/>
          <w:szCs w:val="24"/>
        </w:rPr>
        <w:t xml:space="preserve"> </w:t>
      </w:r>
      <w:r w:rsidRPr="008379CA">
        <w:rPr>
          <w:rFonts w:ascii="Bookman Old Style" w:hAnsi="Bookman Old Style"/>
          <w:sz w:val="24"/>
          <w:szCs w:val="24"/>
        </w:rPr>
        <w:t>Daya</w:t>
      </w:r>
      <w:r w:rsidR="00A954D0" w:rsidRPr="008379CA">
        <w:rPr>
          <w:rFonts w:ascii="Bookman Old Style" w:hAnsi="Bookman Old Style"/>
          <w:sz w:val="24"/>
          <w:szCs w:val="24"/>
          <w:lang w:val="id-ID"/>
        </w:rPr>
        <w:t xml:space="preserve"> </w:t>
      </w:r>
      <w:r w:rsidRPr="008379CA">
        <w:rPr>
          <w:rFonts w:ascii="Bookman Old Style" w:hAnsi="Bookman Old Style"/>
          <w:sz w:val="24"/>
          <w:szCs w:val="24"/>
        </w:rPr>
        <w:t>Manusia</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lang w:val="en-US"/>
        </w:rPr>
        <w:t xml:space="preserve"> </w:t>
      </w:r>
      <w:r w:rsidRPr="008379CA">
        <w:rPr>
          <w:rFonts w:ascii="Bookman Old Style" w:hAnsi="Bookman Old Style" w:cs="Arial"/>
          <w:sz w:val="24"/>
          <w:szCs w:val="24"/>
          <w:lang w:val="de-DE"/>
        </w:rPr>
        <w:t>Rp124.254.100.189,00</w:t>
      </w:r>
      <w:r w:rsidR="00A954D0" w:rsidRPr="008379CA">
        <w:rPr>
          <w:rFonts w:ascii="Bookman Old Style" w:hAnsi="Bookman Old Style" w:cs="Arial"/>
          <w:sz w:val="24"/>
          <w:szCs w:val="24"/>
          <w:lang w:val="de-DE"/>
        </w:rPr>
        <w:t xml:space="preserve"> </w:t>
      </w:r>
      <w:r w:rsidRPr="008379CA">
        <w:rPr>
          <w:rFonts w:ascii="Bookman Old Style" w:hAnsi="Bookman Old Style"/>
          <w:sz w:val="24"/>
          <w:szCs w:val="24"/>
          <w:lang w:val="en-US"/>
        </w:rPr>
        <w:t>atau</w:t>
      </w:r>
      <w:r w:rsidR="00A954D0" w:rsidRPr="008379CA">
        <w:rPr>
          <w:rFonts w:ascii="Bookman Old Style" w:hAnsi="Bookman Old Style"/>
          <w:sz w:val="24"/>
          <w:szCs w:val="24"/>
          <w:lang w:val="en-US"/>
        </w:rPr>
        <w:t xml:space="preserve"> </w:t>
      </w:r>
      <w:r w:rsidRPr="008379CA">
        <w:rPr>
          <w:rFonts w:ascii="Bookman Old Style" w:hAnsi="Bookman Old Style" w:cs="Arial"/>
          <w:sz w:val="24"/>
          <w:szCs w:val="24"/>
          <w:lang w:val="id-ID"/>
        </w:rPr>
        <w:t>2</w:t>
      </w:r>
      <w:r w:rsidRPr="008379CA">
        <w:rPr>
          <w:rFonts w:ascii="Bookman Old Style" w:hAnsi="Bookman Old Style" w:cs="Arial"/>
          <w:sz w:val="24"/>
          <w:szCs w:val="24"/>
          <w:lang w:val="en-US"/>
        </w:rPr>
        <w:t>,</w:t>
      </w:r>
      <w:r w:rsidRPr="008379CA">
        <w:rPr>
          <w:rFonts w:ascii="Bookman Old Style" w:hAnsi="Bookman Old Style" w:cs="Arial"/>
          <w:sz w:val="24"/>
          <w:szCs w:val="24"/>
          <w:lang w:val="id-ID"/>
        </w:rPr>
        <w:t>18%</w:t>
      </w:r>
      <w:r w:rsidR="00A954D0" w:rsidRPr="008379CA">
        <w:rPr>
          <w:rFonts w:ascii="Bookman Old Style" w:hAnsi="Bookman Old Style"/>
          <w:sz w:val="24"/>
          <w:szCs w:val="24"/>
          <w:lang w:val="id-ID"/>
        </w:rPr>
        <w:t xml:space="preserve"> </w:t>
      </w:r>
      <w:r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Pr="008379CA">
        <w:rPr>
          <w:rFonts w:ascii="Bookman Old Style" w:hAnsi="Bookman Old Style"/>
          <w:sz w:val="24"/>
          <w:szCs w:val="24"/>
        </w:rPr>
        <w:t>total</w:t>
      </w:r>
      <w:r w:rsidR="00A954D0" w:rsidRPr="008379CA">
        <w:rPr>
          <w:rFonts w:ascii="Bookman Old Style" w:hAnsi="Bookman Old Style"/>
          <w:sz w:val="24"/>
          <w:szCs w:val="24"/>
        </w:rPr>
        <w:t xml:space="preserve"> </w:t>
      </w:r>
      <w:r w:rsidRPr="008379CA">
        <w:rPr>
          <w:rFonts w:ascii="Bookman Old Style" w:hAnsi="Bookman Old Style"/>
          <w:sz w:val="24"/>
          <w:szCs w:val="24"/>
        </w:rPr>
        <w:t>belanja</w:t>
      </w:r>
      <w:r w:rsidR="00A954D0" w:rsidRPr="008379CA">
        <w:rPr>
          <w:rFonts w:ascii="Bookman Old Style" w:hAnsi="Bookman Old Style"/>
          <w:sz w:val="24"/>
          <w:szCs w:val="24"/>
        </w:rPr>
        <w:t xml:space="preserve"> </w:t>
      </w:r>
      <w:r w:rsidRPr="008379CA">
        <w:rPr>
          <w:rFonts w:ascii="Bookman Old Style" w:hAnsi="Bookman Old Style"/>
          <w:sz w:val="24"/>
          <w:szCs w:val="24"/>
        </w:rPr>
        <w:lastRenderedPageBreak/>
        <w:t>daerah</w:t>
      </w:r>
      <w:r w:rsidR="00A954D0" w:rsidRPr="008379CA">
        <w:rPr>
          <w:rFonts w:ascii="Bookman Old Style" w:hAnsi="Bookman Old Style"/>
          <w:sz w:val="24"/>
          <w:szCs w:val="24"/>
        </w:rPr>
        <w:t xml:space="preserve"> </w:t>
      </w:r>
      <w:r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Pr="008379CA">
        <w:rPr>
          <w:rFonts w:ascii="Bookman Old Style" w:hAnsi="Bookman Old Style"/>
          <w:sz w:val="24"/>
          <w:szCs w:val="24"/>
        </w:rPr>
        <w:t>Rancangan</w:t>
      </w:r>
      <w:r w:rsidR="00A954D0" w:rsidRPr="008379CA">
        <w:rPr>
          <w:rFonts w:ascii="Bookman Old Style" w:hAnsi="Bookman Old Style"/>
          <w:sz w:val="24"/>
          <w:szCs w:val="24"/>
        </w:rPr>
        <w:t xml:space="preserve"> </w:t>
      </w:r>
      <w:r w:rsidRPr="008379CA">
        <w:rPr>
          <w:rFonts w:ascii="Bookman Old Style" w:hAnsi="Bookman Old Style"/>
          <w:sz w:val="24"/>
          <w:szCs w:val="24"/>
        </w:rPr>
        <w:t>Peraturan</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sz w:val="24"/>
          <w:szCs w:val="24"/>
        </w:rPr>
        <w:t>tentang</w:t>
      </w:r>
      <w:r w:rsidR="00A954D0" w:rsidRPr="008379CA">
        <w:rPr>
          <w:rFonts w:ascii="Bookman Old Style" w:hAnsi="Bookman Old Style"/>
          <w:sz w:val="24"/>
          <w:szCs w:val="24"/>
        </w:rPr>
        <w:t xml:space="preserve"> </w:t>
      </w:r>
      <w:r w:rsidRPr="008379CA">
        <w:rPr>
          <w:rFonts w:ascii="Bookman Old Style" w:hAnsi="Bookman Old Style"/>
          <w:sz w:val="24"/>
          <w:szCs w:val="24"/>
        </w:rPr>
        <w:t>APBD</w:t>
      </w:r>
      <w:r w:rsidR="00A954D0" w:rsidRPr="008379CA">
        <w:rPr>
          <w:rFonts w:ascii="Bookman Old Style" w:hAnsi="Bookman Old Style"/>
          <w:sz w:val="24"/>
          <w:szCs w:val="24"/>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202</w:t>
      </w:r>
      <w:r w:rsidRPr="008379CA">
        <w:rPr>
          <w:rFonts w:ascii="Bookman Old Style" w:hAnsi="Bookman Old Style"/>
          <w:sz w:val="24"/>
          <w:szCs w:val="24"/>
          <w:lang w:val="en-US"/>
        </w:rPr>
        <w:t>5</w:t>
      </w:r>
      <w:r w:rsidRPr="008379CA">
        <w:rPr>
          <w:rFonts w:ascii="Bookman Old Style" w:hAnsi="Bookman Old Style"/>
          <w:sz w:val="24"/>
          <w:szCs w:val="24"/>
        </w:rPr>
        <w:t>,</w:t>
      </w:r>
      <w:r w:rsidR="00A954D0" w:rsidRPr="008379CA">
        <w:rPr>
          <w:rFonts w:ascii="Bookman Old Style" w:hAnsi="Bookman Old Style"/>
          <w:sz w:val="24"/>
          <w:szCs w:val="24"/>
        </w:rPr>
        <w:t xml:space="preserve"> </w:t>
      </w:r>
      <w:r w:rsidRPr="008379CA">
        <w:rPr>
          <w:rFonts w:ascii="Bookman Old Style" w:hAnsi="Bookman Old Style"/>
          <w:sz w:val="24"/>
          <w:szCs w:val="24"/>
          <w:lang w:val="en-US"/>
        </w:rPr>
        <w:t>yang</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diuraikan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sebagai</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berikut:</w:t>
      </w:r>
    </w:p>
    <w:p w14:paraId="4BE3DB9C" w14:textId="04875BDE" w:rsidR="003A0614" w:rsidRPr="008379CA" w:rsidRDefault="003A0614" w:rsidP="00FF42D8">
      <w:pPr>
        <w:pStyle w:val="ListParagraph"/>
        <w:numPr>
          <w:ilvl w:val="0"/>
          <w:numId w:val="75"/>
        </w:numPr>
        <w:spacing w:before="60" w:after="0" w:line="276" w:lineRule="auto"/>
        <w:ind w:left="1701" w:hanging="426"/>
        <w:contextualSpacing w:val="0"/>
        <w:jc w:val="both"/>
        <w:rPr>
          <w:rFonts w:ascii="Bookman Old Style" w:hAnsi="Bookman Old Style"/>
          <w:sz w:val="24"/>
          <w:szCs w:val="24"/>
          <w:lang w:val="en-US"/>
        </w:rPr>
      </w:pPr>
      <w:r w:rsidRPr="008379CA">
        <w:rPr>
          <w:rFonts w:ascii="Bookman Old Style" w:hAnsi="Bookman Old Style"/>
          <w:sz w:val="24"/>
          <w:szCs w:val="24"/>
          <w:lang w:val="en-US"/>
        </w:rPr>
        <w:t>Alokasi</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belanja</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pegawai</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dan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belanja</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pemeliharaan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pada</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SKPD</w:t>
      </w:r>
      <w:r w:rsidR="00A954D0" w:rsidRPr="008379CA">
        <w:rPr>
          <w:rFonts w:ascii="Bookman Old Style" w:hAnsi="Bookman Old Style"/>
          <w:sz w:val="24"/>
          <w:szCs w:val="24"/>
          <w:lang w:val="en-US"/>
        </w:rPr>
        <w:t xml:space="preserve"> </w:t>
      </w:r>
      <w:r w:rsidRPr="008379CA">
        <w:rPr>
          <w:rFonts w:ascii="Bookman Old Style" w:hAnsi="Bookman Old Style"/>
          <w:sz w:val="24"/>
          <w:szCs w:val="24"/>
        </w:rPr>
        <w:t>Badan</w:t>
      </w:r>
      <w:r w:rsidR="00A954D0" w:rsidRPr="008379CA">
        <w:rPr>
          <w:rFonts w:ascii="Bookman Old Style" w:hAnsi="Bookman Old Style"/>
          <w:sz w:val="24"/>
          <w:szCs w:val="24"/>
        </w:rPr>
        <w:t xml:space="preserve"> </w:t>
      </w:r>
      <w:r w:rsidRPr="008379CA">
        <w:rPr>
          <w:rFonts w:ascii="Bookman Old Style" w:hAnsi="Bookman Old Style"/>
          <w:sz w:val="24"/>
          <w:szCs w:val="24"/>
          <w:lang w:val="en-GB"/>
        </w:rPr>
        <w:t>Kepegawaian</w:t>
      </w:r>
      <w:r w:rsidR="00A954D0" w:rsidRPr="008379CA">
        <w:rPr>
          <w:rFonts w:ascii="Bookman Old Style" w:hAnsi="Bookman Old Style"/>
          <w:sz w:val="24"/>
          <w:szCs w:val="24"/>
          <w:lang w:val="en-GB"/>
        </w:rPr>
        <w:t xml:space="preserve"> </w:t>
      </w:r>
      <w:r w:rsidRPr="008379CA">
        <w:rPr>
          <w:rFonts w:ascii="Bookman Old Style" w:hAnsi="Bookman Old Style"/>
          <w:sz w:val="24"/>
          <w:szCs w:val="24"/>
          <w:lang w:val="en-GB"/>
        </w:rPr>
        <w:t>dan</w:t>
      </w:r>
      <w:r w:rsidR="00A954D0" w:rsidRPr="008379CA">
        <w:rPr>
          <w:rFonts w:ascii="Bookman Old Style" w:hAnsi="Bookman Old Style"/>
          <w:sz w:val="24"/>
          <w:szCs w:val="24"/>
          <w:lang w:val="en-GB"/>
        </w:rPr>
        <w:t xml:space="preserve"> </w:t>
      </w:r>
      <w:r w:rsidRPr="008379CA">
        <w:rPr>
          <w:rFonts w:ascii="Bookman Old Style" w:hAnsi="Bookman Old Style"/>
          <w:sz w:val="24"/>
          <w:szCs w:val="24"/>
        </w:rPr>
        <w:t>Pengembangan</w:t>
      </w:r>
      <w:r w:rsidR="00A954D0" w:rsidRPr="008379CA">
        <w:rPr>
          <w:rFonts w:ascii="Bookman Old Style" w:hAnsi="Bookman Old Style"/>
          <w:sz w:val="24"/>
          <w:szCs w:val="24"/>
        </w:rPr>
        <w:t xml:space="preserve"> </w:t>
      </w:r>
      <w:r w:rsidRPr="008379CA">
        <w:rPr>
          <w:rFonts w:ascii="Bookman Old Style" w:hAnsi="Bookman Old Style"/>
          <w:sz w:val="24"/>
          <w:szCs w:val="24"/>
        </w:rPr>
        <w:t>Sumber</w:t>
      </w:r>
      <w:r w:rsidR="00A954D0" w:rsidRPr="008379CA">
        <w:rPr>
          <w:rFonts w:ascii="Bookman Old Style" w:hAnsi="Bookman Old Style"/>
          <w:sz w:val="24"/>
          <w:szCs w:val="24"/>
        </w:rPr>
        <w:t xml:space="preserve"> </w:t>
      </w:r>
      <w:r w:rsidRPr="008379CA">
        <w:rPr>
          <w:rFonts w:ascii="Bookman Old Style" w:hAnsi="Bookman Old Style"/>
          <w:sz w:val="24"/>
          <w:szCs w:val="24"/>
        </w:rPr>
        <w:t>Daya</w:t>
      </w:r>
      <w:r w:rsidR="00A954D0" w:rsidRPr="008379CA">
        <w:rPr>
          <w:rFonts w:ascii="Bookman Old Style" w:hAnsi="Bookman Old Style"/>
          <w:sz w:val="24"/>
          <w:szCs w:val="24"/>
          <w:lang w:val="id-ID"/>
        </w:rPr>
        <w:t xml:space="preserve"> </w:t>
      </w:r>
      <w:r w:rsidRPr="008379CA">
        <w:rPr>
          <w:rFonts w:ascii="Bookman Old Style" w:hAnsi="Bookman Old Style"/>
          <w:sz w:val="24"/>
          <w:szCs w:val="24"/>
        </w:rPr>
        <w:t>Manusia</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lang w:val="en-US"/>
        </w:rPr>
        <w:t xml:space="preserve"> </w:t>
      </w:r>
      <w:r w:rsidRPr="008379CA">
        <w:rPr>
          <w:rFonts w:ascii="Bookman Old Style" w:hAnsi="Bookman Old Style" w:cs="Arial"/>
          <w:sz w:val="24"/>
          <w:szCs w:val="24"/>
          <w:lang w:val="de-DE"/>
        </w:rPr>
        <w:t>Rp100.919.912.771,00</w:t>
      </w:r>
      <w:r w:rsidR="00A954D0" w:rsidRPr="008379CA">
        <w:rPr>
          <w:rFonts w:ascii="Bookman Old Style" w:hAnsi="Bookman Old Style" w:cs="Arial"/>
          <w:sz w:val="24"/>
          <w:szCs w:val="24"/>
          <w:lang w:val="de-DE"/>
        </w:rPr>
        <w:t xml:space="preserve"> </w:t>
      </w:r>
      <w:r w:rsidRPr="008379CA">
        <w:rPr>
          <w:rFonts w:ascii="Bookman Old Style" w:hAnsi="Bookman Old Style"/>
          <w:sz w:val="24"/>
          <w:szCs w:val="24"/>
          <w:lang w:val="en-US"/>
        </w:rPr>
        <w:t>atau</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id-ID"/>
        </w:rPr>
        <w:t>1</w:t>
      </w:r>
      <w:r w:rsidRPr="008379CA">
        <w:rPr>
          <w:rFonts w:ascii="Bookman Old Style" w:hAnsi="Bookman Old Style"/>
          <w:sz w:val="24"/>
          <w:szCs w:val="24"/>
          <w:lang w:val="en-US"/>
        </w:rPr>
        <w:t>,</w:t>
      </w:r>
      <w:r w:rsidRPr="008379CA">
        <w:rPr>
          <w:rFonts w:ascii="Bookman Old Style" w:hAnsi="Bookman Old Style"/>
          <w:sz w:val="24"/>
          <w:szCs w:val="24"/>
          <w:lang w:val="id-ID"/>
        </w:rPr>
        <w:t>77</w:t>
      </w:r>
      <w:r w:rsidRPr="008379CA">
        <w:rPr>
          <w:rFonts w:ascii="Bookman Old Style" w:hAnsi="Bookman Old Style"/>
          <w:sz w:val="24"/>
          <w:szCs w:val="24"/>
          <w:lang w:val="en-US"/>
        </w:rPr>
        <w:t>%</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dari</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total</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belanja</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daerah;</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dan</w:t>
      </w:r>
    </w:p>
    <w:p w14:paraId="7F6CBEB8" w14:textId="619D64B7" w:rsidR="003A0614" w:rsidRPr="008379CA" w:rsidRDefault="003A0614" w:rsidP="00FF42D8">
      <w:pPr>
        <w:pStyle w:val="ListParagraph"/>
        <w:numPr>
          <w:ilvl w:val="0"/>
          <w:numId w:val="75"/>
        </w:numPr>
        <w:spacing w:before="60" w:after="0" w:line="276" w:lineRule="auto"/>
        <w:ind w:left="1701" w:hanging="426"/>
        <w:contextualSpacing w:val="0"/>
        <w:jc w:val="both"/>
        <w:rPr>
          <w:rFonts w:ascii="Bookman Old Style" w:hAnsi="Bookman Old Style"/>
          <w:sz w:val="24"/>
          <w:szCs w:val="24"/>
        </w:rPr>
      </w:pPr>
      <w:r w:rsidRPr="008379CA">
        <w:rPr>
          <w:rFonts w:ascii="Bookman Old Style" w:hAnsi="Bookman Old Style"/>
          <w:sz w:val="24"/>
          <w:szCs w:val="24"/>
          <w:lang w:val="en-US"/>
        </w:rPr>
        <w:t>Alokasi</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belanja</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pada</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SKPD</w:t>
      </w:r>
      <w:r w:rsidR="00A954D0" w:rsidRPr="008379CA">
        <w:rPr>
          <w:rFonts w:ascii="Bookman Old Style" w:hAnsi="Bookman Old Style"/>
          <w:sz w:val="24"/>
          <w:szCs w:val="24"/>
          <w:lang w:val="en-US"/>
        </w:rPr>
        <w:t xml:space="preserve"> </w:t>
      </w:r>
      <w:r w:rsidRPr="008379CA">
        <w:rPr>
          <w:rFonts w:ascii="Bookman Old Style" w:hAnsi="Bookman Old Style"/>
          <w:sz w:val="24"/>
          <w:szCs w:val="24"/>
        </w:rPr>
        <w:t>Badan</w:t>
      </w:r>
      <w:r w:rsidR="00A954D0" w:rsidRPr="008379CA">
        <w:rPr>
          <w:rFonts w:ascii="Bookman Old Style" w:hAnsi="Bookman Old Style"/>
          <w:sz w:val="24"/>
          <w:szCs w:val="24"/>
        </w:rPr>
        <w:t xml:space="preserve"> </w:t>
      </w:r>
      <w:r w:rsidRPr="008379CA">
        <w:rPr>
          <w:rFonts w:ascii="Bookman Old Style" w:hAnsi="Bookman Old Style"/>
          <w:sz w:val="24"/>
          <w:szCs w:val="24"/>
          <w:lang w:val="en-GB"/>
        </w:rPr>
        <w:t>Kepegawaian</w:t>
      </w:r>
      <w:r w:rsidR="00A954D0" w:rsidRPr="008379CA">
        <w:rPr>
          <w:rFonts w:ascii="Bookman Old Style" w:hAnsi="Bookman Old Style"/>
          <w:sz w:val="24"/>
          <w:szCs w:val="24"/>
          <w:lang w:val="en-GB"/>
        </w:rPr>
        <w:t xml:space="preserve"> </w:t>
      </w:r>
      <w:r w:rsidRPr="008379CA">
        <w:rPr>
          <w:rFonts w:ascii="Bookman Old Style" w:hAnsi="Bookman Old Style"/>
          <w:sz w:val="24"/>
          <w:szCs w:val="24"/>
          <w:lang w:val="en-GB"/>
        </w:rPr>
        <w:t>dan</w:t>
      </w:r>
      <w:r w:rsidR="00A954D0" w:rsidRPr="008379CA">
        <w:rPr>
          <w:rFonts w:ascii="Bookman Old Style" w:hAnsi="Bookman Old Style"/>
          <w:sz w:val="24"/>
          <w:szCs w:val="24"/>
          <w:lang w:val="en-GB"/>
        </w:rPr>
        <w:t xml:space="preserve"> </w:t>
      </w:r>
      <w:r w:rsidRPr="008379CA">
        <w:rPr>
          <w:rFonts w:ascii="Bookman Old Style" w:hAnsi="Bookman Old Style"/>
          <w:sz w:val="24"/>
          <w:szCs w:val="24"/>
        </w:rPr>
        <w:t>Pengembangan</w:t>
      </w:r>
      <w:r w:rsidR="00A954D0" w:rsidRPr="008379CA">
        <w:rPr>
          <w:rFonts w:ascii="Bookman Old Style" w:hAnsi="Bookman Old Style"/>
          <w:sz w:val="24"/>
          <w:szCs w:val="24"/>
        </w:rPr>
        <w:t xml:space="preserve"> </w:t>
      </w:r>
      <w:r w:rsidRPr="008379CA">
        <w:rPr>
          <w:rFonts w:ascii="Bookman Old Style" w:hAnsi="Bookman Old Style"/>
          <w:sz w:val="24"/>
          <w:szCs w:val="24"/>
        </w:rPr>
        <w:t>Sumber</w:t>
      </w:r>
      <w:r w:rsidR="00A954D0" w:rsidRPr="008379CA">
        <w:rPr>
          <w:rFonts w:ascii="Bookman Old Style" w:hAnsi="Bookman Old Style"/>
          <w:sz w:val="24"/>
          <w:szCs w:val="24"/>
        </w:rPr>
        <w:t xml:space="preserve"> </w:t>
      </w:r>
      <w:r w:rsidRPr="008379CA">
        <w:rPr>
          <w:rFonts w:ascii="Bookman Old Style" w:hAnsi="Bookman Old Style"/>
          <w:sz w:val="24"/>
          <w:szCs w:val="24"/>
        </w:rPr>
        <w:t>Daya</w:t>
      </w:r>
      <w:r w:rsidR="00A954D0" w:rsidRPr="008379CA">
        <w:rPr>
          <w:rFonts w:ascii="Bookman Old Style" w:hAnsi="Bookman Old Style"/>
          <w:sz w:val="24"/>
          <w:szCs w:val="24"/>
          <w:lang w:val="id-ID"/>
        </w:rPr>
        <w:t xml:space="preserve"> </w:t>
      </w:r>
      <w:r w:rsidRPr="008379CA">
        <w:rPr>
          <w:rFonts w:ascii="Bookman Old Style" w:hAnsi="Bookman Old Style"/>
          <w:sz w:val="24"/>
          <w:szCs w:val="24"/>
        </w:rPr>
        <w:t>Manusia</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di</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luar</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belanja</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pegawai</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dan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belanja</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pemeliharaan</w:t>
      </w:r>
      <w:r w:rsidR="00A954D0" w:rsidRPr="008379CA">
        <w:rPr>
          <w:rFonts w:ascii="Bookman Old Style" w:hAnsi="Bookman Old Style"/>
          <w:sz w:val="24"/>
          <w:szCs w:val="24"/>
          <w:lang w:val="en-US"/>
        </w:rPr>
        <w:t xml:space="preserve"> </w:t>
      </w:r>
      <w:r w:rsidRPr="008379CA">
        <w:rPr>
          <w:rFonts w:ascii="Bookman Old Style" w:hAnsi="Bookman Old Style" w:cs="Arial"/>
          <w:sz w:val="24"/>
          <w:szCs w:val="24"/>
          <w:lang w:val="de-DE"/>
        </w:rPr>
        <w:t>Rp23.334.187.418,00</w:t>
      </w:r>
      <w:r w:rsidR="00A954D0" w:rsidRPr="008379CA">
        <w:rPr>
          <w:rFonts w:ascii="Bookman Old Style" w:hAnsi="Bookman Old Style" w:cs="Arial"/>
          <w:sz w:val="24"/>
          <w:szCs w:val="24"/>
          <w:lang w:val="de-DE"/>
        </w:rPr>
        <w:t xml:space="preserve"> </w:t>
      </w:r>
      <w:r w:rsidRPr="008379CA">
        <w:rPr>
          <w:rFonts w:ascii="Bookman Old Style" w:hAnsi="Bookman Old Style"/>
          <w:sz w:val="24"/>
          <w:szCs w:val="24"/>
          <w:lang w:val="en-US"/>
        </w:rPr>
        <w:t>atau</w:t>
      </w:r>
      <w:r w:rsidR="00A954D0" w:rsidRPr="008379CA">
        <w:rPr>
          <w:rFonts w:ascii="Bookman Old Style" w:hAnsi="Bookman Old Style"/>
          <w:sz w:val="24"/>
          <w:szCs w:val="24"/>
          <w:lang w:val="en-US"/>
        </w:rPr>
        <w:t xml:space="preserve"> </w:t>
      </w:r>
      <w:r w:rsidRPr="008379CA">
        <w:rPr>
          <w:rFonts w:ascii="Bookman Old Style" w:hAnsi="Bookman Old Style" w:cs="Arial"/>
          <w:sz w:val="24"/>
          <w:szCs w:val="24"/>
          <w:lang w:val="en-US"/>
        </w:rPr>
        <w:t>0,</w:t>
      </w:r>
      <w:r w:rsidRPr="008379CA">
        <w:rPr>
          <w:rFonts w:ascii="Bookman Old Style" w:hAnsi="Bookman Old Style" w:cs="Arial"/>
          <w:sz w:val="24"/>
          <w:szCs w:val="24"/>
          <w:lang w:val="id-ID"/>
        </w:rPr>
        <w:t>41%</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en-US"/>
        </w:rPr>
        <w:t>dari</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total</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belanja</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daerah</w:t>
      </w:r>
      <w:r w:rsidRPr="008379CA">
        <w:rPr>
          <w:rFonts w:ascii="Bookman Old Style" w:hAnsi="Bookman Old Style"/>
          <w:sz w:val="24"/>
          <w:szCs w:val="24"/>
          <w:lang w:val="id-ID"/>
        </w:rPr>
        <w:t>.</w:t>
      </w:r>
    </w:p>
    <w:p w14:paraId="09DD8AE3" w14:textId="6B0C964D" w:rsidR="003A0614" w:rsidRPr="008379CA" w:rsidRDefault="003A0614" w:rsidP="00B636C0">
      <w:pPr>
        <w:pStyle w:val="ListParagraph"/>
        <w:spacing w:before="60" w:after="0" w:line="276" w:lineRule="auto"/>
        <w:ind w:left="1701"/>
        <w:contextualSpacing w:val="0"/>
        <w:jc w:val="both"/>
        <w:rPr>
          <w:rFonts w:ascii="Bookman Old Style" w:hAnsi="Bookman Old Style"/>
          <w:sz w:val="24"/>
          <w:szCs w:val="24"/>
          <w:lang w:val="en-US"/>
        </w:rPr>
      </w:pPr>
      <w:r w:rsidRPr="008379CA">
        <w:rPr>
          <w:rFonts w:ascii="Bookman Old Style" w:hAnsi="Bookman Old Style"/>
          <w:sz w:val="24"/>
          <w:szCs w:val="24"/>
          <w:lang w:val="id-ID"/>
        </w:rPr>
        <w:t>A</w:t>
      </w:r>
      <w:r w:rsidRPr="008379CA">
        <w:rPr>
          <w:rFonts w:ascii="Bookman Old Style" w:hAnsi="Bookman Old Style"/>
          <w:sz w:val="24"/>
          <w:szCs w:val="24"/>
        </w:rPr>
        <w:t>ntara</w:t>
      </w:r>
      <w:r w:rsidR="00A954D0" w:rsidRPr="008379CA">
        <w:rPr>
          <w:rFonts w:ascii="Bookman Old Style" w:hAnsi="Bookman Old Style"/>
          <w:sz w:val="24"/>
          <w:szCs w:val="24"/>
        </w:rPr>
        <w:t xml:space="preserve"> </w:t>
      </w:r>
      <w:r w:rsidRPr="008379CA">
        <w:rPr>
          <w:rFonts w:ascii="Bookman Old Style" w:hAnsi="Bookman Old Style"/>
          <w:sz w:val="24"/>
          <w:szCs w:val="24"/>
        </w:rPr>
        <w:t>lain</w:t>
      </w:r>
      <w:r w:rsidR="00A954D0" w:rsidRPr="008379CA">
        <w:rPr>
          <w:rFonts w:ascii="Bookman Old Style" w:hAnsi="Bookman Old Style"/>
          <w:sz w:val="24"/>
          <w:szCs w:val="24"/>
        </w:rPr>
        <w:t xml:space="preserve"> </w:t>
      </w:r>
      <w:r w:rsidRPr="008379CA">
        <w:rPr>
          <w:rFonts w:ascii="Bookman Old Style" w:hAnsi="Bookman Old Style"/>
          <w:sz w:val="24"/>
          <w:szCs w:val="24"/>
        </w:rPr>
        <w:t>tercantum</w:t>
      </w:r>
      <w:r w:rsidR="00A954D0" w:rsidRPr="008379CA">
        <w:rPr>
          <w:rFonts w:ascii="Bookman Old Style" w:hAnsi="Bookman Old Style"/>
          <w:sz w:val="24"/>
          <w:szCs w:val="24"/>
        </w:rPr>
        <w:t xml:space="preserve"> </w:t>
      </w:r>
      <w:r w:rsidRPr="008379CA">
        <w:rPr>
          <w:rFonts w:ascii="Bookman Old Style" w:hAnsi="Bookman Old Style"/>
          <w:sz w:val="24"/>
          <w:szCs w:val="24"/>
        </w:rPr>
        <w:t>pada</w:t>
      </w:r>
      <w:r w:rsidRPr="008379CA">
        <w:rPr>
          <w:rFonts w:ascii="Bookman Old Style" w:hAnsi="Bookman Old Style"/>
          <w:sz w:val="24"/>
          <w:szCs w:val="24"/>
          <w:lang w:val="en-US"/>
        </w:rPr>
        <w:t>:</w:t>
      </w:r>
    </w:p>
    <w:p w14:paraId="1325EBA0" w14:textId="698B9E64" w:rsidR="003A0614" w:rsidRPr="008379CA" w:rsidRDefault="003A0614" w:rsidP="00B636C0">
      <w:pPr>
        <w:pStyle w:val="ListParagraph"/>
        <w:numPr>
          <w:ilvl w:val="0"/>
          <w:numId w:val="250"/>
        </w:numPr>
        <w:spacing w:before="60" w:after="0" w:line="276" w:lineRule="auto"/>
        <w:ind w:left="2268" w:hanging="567"/>
        <w:contextualSpacing w:val="0"/>
        <w:jc w:val="both"/>
        <w:rPr>
          <w:rFonts w:ascii="Bookman Old Style" w:hAnsi="Bookman Old Style"/>
          <w:sz w:val="24"/>
          <w:szCs w:val="24"/>
          <w:lang w:val="sv-FI"/>
        </w:rPr>
      </w:pPr>
      <w:r w:rsidRPr="008379CA">
        <w:rPr>
          <w:rFonts w:ascii="Bookman Old Style" w:hAnsi="Bookman Old Style"/>
          <w:sz w:val="24"/>
          <w:szCs w:val="24"/>
          <w:lang w:val="sv-FI"/>
        </w:rPr>
        <w:t>Kegiatan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Pengembangan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Kompetensi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ASN</w:t>
      </w:r>
      <w:r w:rsidR="00A954D0" w:rsidRPr="008379CA">
        <w:rPr>
          <w:rFonts w:ascii="Bookman Old Style" w:hAnsi="Bookman Old Style"/>
          <w:sz w:val="24"/>
          <w:szCs w:val="24"/>
          <w:lang w:val="sv-FI"/>
        </w:rPr>
        <w:t xml:space="preserve"> </w:t>
      </w:r>
      <w:r w:rsidR="00C15801" w:rsidRPr="008379CA">
        <w:rPr>
          <w:rFonts w:ascii="Bookman Old Style" w:hAnsi="Bookman Old Style"/>
          <w:sz w:val="24"/>
          <w:szCs w:val="24"/>
          <w:lang w:val="sv-FI"/>
        </w:rPr>
        <w:t>Rp3.357.594.100</w:t>
      </w:r>
      <w:r w:rsidRPr="008379CA">
        <w:rPr>
          <w:rFonts w:ascii="Bookman Old Style" w:hAnsi="Bookman Old Style"/>
          <w:sz w:val="24"/>
          <w:szCs w:val="24"/>
          <w:lang w:val="sv-FI"/>
        </w:rPr>
        <w:t>,00;</w:t>
      </w:r>
    </w:p>
    <w:p w14:paraId="6B07B47E" w14:textId="327CC5FA" w:rsidR="00C15801" w:rsidRPr="008379CA" w:rsidRDefault="00C15801" w:rsidP="00B636C0">
      <w:pPr>
        <w:pStyle w:val="ListParagraph"/>
        <w:numPr>
          <w:ilvl w:val="0"/>
          <w:numId w:val="250"/>
        </w:numPr>
        <w:spacing w:before="60" w:after="0" w:line="276" w:lineRule="auto"/>
        <w:ind w:left="2268" w:hanging="567"/>
        <w:contextualSpacing w:val="0"/>
        <w:jc w:val="both"/>
        <w:rPr>
          <w:rFonts w:ascii="Bookman Old Style" w:hAnsi="Bookman Old Style"/>
          <w:sz w:val="24"/>
          <w:szCs w:val="24"/>
          <w:lang w:val="sv-FI"/>
        </w:rPr>
      </w:pPr>
      <w:r w:rsidRPr="008379CA">
        <w:rPr>
          <w:rFonts w:ascii="Bookman Old Style" w:hAnsi="Bookman Old Style"/>
          <w:sz w:val="24"/>
          <w:szCs w:val="24"/>
          <w:lang w:val="sv-FI"/>
        </w:rPr>
        <w:t>Kegiatan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Pengembangan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Kompetensi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Teknis</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ASN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Rp2.401.623.200,00;</w:t>
      </w:r>
    </w:p>
    <w:p w14:paraId="30CD25B4" w14:textId="1D6F8490" w:rsidR="003A0614" w:rsidRPr="008379CA" w:rsidRDefault="003A0614" w:rsidP="00B636C0">
      <w:pPr>
        <w:pStyle w:val="ListParagraph"/>
        <w:numPr>
          <w:ilvl w:val="0"/>
          <w:numId w:val="250"/>
        </w:numPr>
        <w:spacing w:before="60" w:after="0" w:line="276" w:lineRule="auto"/>
        <w:ind w:left="2268" w:hanging="567"/>
        <w:contextualSpacing w:val="0"/>
        <w:jc w:val="both"/>
        <w:rPr>
          <w:rFonts w:ascii="Bookman Old Style" w:hAnsi="Bookman Old Style"/>
          <w:sz w:val="24"/>
          <w:szCs w:val="24"/>
          <w:lang w:val="sv-FI"/>
        </w:rPr>
      </w:pPr>
      <w:r w:rsidRPr="008379CA">
        <w:rPr>
          <w:rFonts w:ascii="Bookman Old Style" w:hAnsi="Bookman Old Style"/>
          <w:sz w:val="24"/>
          <w:szCs w:val="24"/>
          <w:lang w:val="sv-FI"/>
        </w:rPr>
        <w:t>Kegiatan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Sertifikasi,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Kelembagaan,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Pengembangan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Kompetensi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Manajerial</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Fungsional</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Rp6.452.020.000,00.</w:t>
      </w:r>
    </w:p>
    <w:p w14:paraId="492C364B" w14:textId="3E201254" w:rsidR="003A0614" w:rsidRPr="008379CA" w:rsidRDefault="00C15801" w:rsidP="006A0033">
      <w:pPr>
        <w:pStyle w:val="ListParagraph"/>
        <w:spacing w:before="60" w:after="120" w:line="276" w:lineRule="auto"/>
        <w:ind w:left="1276"/>
        <w:contextualSpacing w:val="0"/>
        <w:jc w:val="both"/>
        <w:rPr>
          <w:rFonts w:ascii="Bookman Old Style" w:hAnsi="Bookman Old Style"/>
          <w:sz w:val="24"/>
          <w:szCs w:val="24"/>
        </w:rPr>
      </w:pPr>
      <w:r w:rsidRPr="008379CA">
        <w:rPr>
          <w:rFonts w:ascii="Bookman Old Style" w:hAnsi="Bookman Old Style"/>
          <w:sz w:val="24"/>
          <w:szCs w:val="24"/>
          <w:lang w:val="sv-FI"/>
        </w:rPr>
        <w:t>Sehubungan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hal</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tersebut,</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penyediaan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alokasi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anggaran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untuk</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pendidikan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pelatihan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bagi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ASN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sebagaimana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tercantum</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pada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huruf</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b</w:t>
      </w:r>
      <w:r w:rsidR="00A954D0" w:rsidRPr="008379CA">
        <w:rPr>
          <w:rFonts w:ascii="Bookman Old Style" w:hAnsi="Bookman Old Style"/>
          <w:b/>
          <w:bCs/>
          <w:sz w:val="24"/>
          <w:szCs w:val="24"/>
          <w:lang w:val="sv-FI"/>
        </w:rPr>
        <w:t xml:space="preserve"> </w:t>
      </w:r>
      <w:r w:rsidRPr="008379CA">
        <w:rPr>
          <w:rFonts w:ascii="Bookman Old Style" w:hAnsi="Bookman Old Style"/>
          <w:b/>
          <w:bCs/>
          <w:sz w:val="24"/>
          <w:szCs w:val="24"/>
          <w:lang w:val="sv-FI"/>
        </w:rPr>
        <w:t>telah</w:t>
      </w:r>
      <w:r w:rsidR="00A954D0" w:rsidRPr="008379CA">
        <w:rPr>
          <w:rFonts w:ascii="Bookman Old Style" w:hAnsi="Bookman Old Style"/>
          <w:b/>
          <w:bCs/>
          <w:sz w:val="24"/>
          <w:szCs w:val="24"/>
          <w:lang w:val="sv-FI"/>
        </w:rPr>
        <w:t xml:space="preserve"> </w:t>
      </w:r>
      <w:r w:rsidR="003A0614" w:rsidRPr="008379CA">
        <w:rPr>
          <w:rFonts w:ascii="Bookman Old Style" w:hAnsi="Bookman Old Style"/>
          <w:b/>
          <w:bCs/>
          <w:sz w:val="24"/>
          <w:szCs w:val="24"/>
        </w:rPr>
        <w:t>memenuhi</w:t>
      </w:r>
      <w:r w:rsidR="00A954D0" w:rsidRPr="008379CA">
        <w:rPr>
          <w:rFonts w:ascii="Bookman Old Style" w:hAnsi="Bookman Old Style"/>
          <w:sz w:val="24"/>
          <w:szCs w:val="24"/>
        </w:rPr>
        <w:t xml:space="preserve"> </w:t>
      </w:r>
      <w:r w:rsidR="003A0614" w:rsidRPr="008379CA">
        <w:rPr>
          <w:rFonts w:ascii="Bookman Old Style" w:hAnsi="Bookman Old Style"/>
          <w:sz w:val="24"/>
          <w:szCs w:val="24"/>
        </w:rPr>
        <w:t>alokasi</w:t>
      </w:r>
      <w:r w:rsidR="00A954D0" w:rsidRPr="008379CA">
        <w:rPr>
          <w:rFonts w:ascii="Bookman Old Style" w:hAnsi="Bookman Old Style"/>
          <w:sz w:val="24"/>
          <w:szCs w:val="24"/>
        </w:rPr>
        <w:t xml:space="preserve"> </w:t>
      </w:r>
      <w:r w:rsidR="003A0614"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003A0614" w:rsidRPr="008379CA">
        <w:rPr>
          <w:rFonts w:ascii="Bookman Old Style" w:hAnsi="Bookman Old Style"/>
          <w:sz w:val="24"/>
          <w:szCs w:val="24"/>
        </w:rPr>
        <w:t>untuk</w:t>
      </w:r>
      <w:r w:rsidR="00A954D0" w:rsidRPr="008379CA">
        <w:rPr>
          <w:rFonts w:ascii="Bookman Old Style" w:hAnsi="Bookman Old Style"/>
          <w:sz w:val="24"/>
          <w:szCs w:val="24"/>
        </w:rPr>
        <w:t xml:space="preserve"> </w:t>
      </w:r>
      <w:r w:rsidR="003A0614" w:rsidRPr="008379CA">
        <w:rPr>
          <w:rFonts w:ascii="Bookman Old Style" w:hAnsi="Bookman Old Style"/>
          <w:sz w:val="24"/>
          <w:szCs w:val="24"/>
        </w:rPr>
        <w:t>pendidikan</w:t>
      </w:r>
      <w:r w:rsidR="00A954D0" w:rsidRPr="008379CA">
        <w:rPr>
          <w:rFonts w:ascii="Bookman Old Style" w:hAnsi="Bookman Old Style"/>
          <w:sz w:val="24"/>
          <w:szCs w:val="24"/>
        </w:rPr>
        <w:t xml:space="preserve"> </w:t>
      </w:r>
      <w:r w:rsidR="003A0614" w:rsidRPr="008379CA">
        <w:rPr>
          <w:rFonts w:ascii="Bookman Old Style" w:hAnsi="Bookman Old Style"/>
          <w:sz w:val="24"/>
          <w:szCs w:val="24"/>
        </w:rPr>
        <w:t>dan</w:t>
      </w:r>
      <w:r w:rsidR="00A954D0" w:rsidRPr="008379CA">
        <w:rPr>
          <w:rFonts w:ascii="Bookman Old Style" w:hAnsi="Bookman Old Style"/>
          <w:sz w:val="24"/>
          <w:szCs w:val="24"/>
        </w:rPr>
        <w:t xml:space="preserve"> </w:t>
      </w:r>
      <w:r w:rsidR="003A0614" w:rsidRPr="008379CA">
        <w:rPr>
          <w:rFonts w:ascii="Bookman Old Style" w:hAnsi="Bookman Old Style"/>
          <w:sz w:val="24"/>
          <w:szCs w:val="24"/>
        </w:rPr>
        <w:t>pelatihan</w:t>
      </w:r>
      <w:r w:rsidR="00A954D0" w:rsidRPr="008379CA">
        <w:rPr>
          <w:rFonts w:ascii="Bookman Old Style" w:hAnsi="Bookman Old Style"/>
          <w:sz w:val="24"/>
          <w:szCs w:val="24"/>
        </w:rPr>
        <w:t xml:space="preserve"> </w:t>
      </w:r>
      <w:r w:rsidR="003A0614" w:rsidRPr="008379CA">
        <w:rPr>
          <w:rFonts w:ascii="Bookman Old Style" w:hAnsi="Bookman Old Style"/>
          <w:sz w:val="24"/>
          <w:szCs w:val="24"/>
        </w:rPr>
        <w:t>bagi</w:t>
      </w:r>
      <w:r w:rsidR="00A954D0" w:rsidRPr="008379CA">
        <w:rPr>
          <w:rFonts w:ascii="Bookman Old Style" w:hAnsi="Bookman Old Style"/>
          <w:sz w:val="24"/>
          <w:szCs w:val="24"/>
        </w:rPr>
        <w:t xml:space="preserve"> </w:t>
      </w:r>
      <w:r w:rsidR="003A0614" w:rsidRPr="008379CA">
        <w:rPr>
          <w:rFonts w:ascii="Bookman Old Style" w:hAnsi="Bookman Old Style"/>
          <w:sz w:val="24"/>
          <w:szCs w:val="24"/>
        </w:rPr>
        <w:t>ASN</w:t>
      </w:r>
      <w:r w:rsidR="00A954D0" w:rsidRPr="008379CA">
        <w:rPr>
          <w:rFonts w:ascii="Bookman Old Style" w:hAnsi="Bookman Old Style"/>
          <w:sz w:val="24"/>
          <w:szCs w:val="24"/>
        </w:rPr>
        <w:t xml:space="preserve"> </w:t>
      </w:r>
      <w:r w:rsidR="003A0614"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003A0614" w:rsidRPr="008379CA">
        <w:rPr>
          <w:rFonts w:ascii="Bookman Old Style" w:hAnsi="Bookman Old Style"/>
          <w:sz w:val="24"/>
          <w:szCs w:val="24"/>
        </w:rPr>
        <w:t>rangka</w:t>
      </w:r>
      <w:r w:rsidR="00A954D0" w:rsidRPr="008379CA">
        <w:rPr>
          <w:rFonts w:ascii="Bookman Old Style" w:hAnsi="Bookman Old Style"/>
          <w:sz w:val="24"/>
          <w:szCs w:val="24"/>
        </w:rPr>
        <w:t xml:space="preserve"> </w:t>
      </w:r>
      <w:r w:rsidR="003A0614" w:rsidRPr="008379CA">
        <w:rPr>
          <w:rFonts w:ascii="Bookman Old Style" w:hAnsi="Bookman Old Style"/>
          <w:sz w:val="24"/>
          <w:szCs w:val="24"/>
        </w:rPr>
        <w:t>pengembangan</w:t>
      </w:r>
      <w:r w:rsidR="00A954D0" w:rsidRPr="008379CA">
        <w:rPr>
          <w:rFonts w:ascii="Bookman Old Style" w:hAnsi="Bookman Old Style"/>
          <w:sz w:val="24"/>
          <w:szCs w:val="24"/>
        </w:rPr>
        <w:t xml:space="preserve"> </w:t>
      </w:r>
      <w:r w:rsidR="003A0614" w:rsidRPr="008379CA">
        <w:rPr>
          <w:rFonts w:ascii="Bookman Old Style" w:hAnsi="Bookman Old Style"/>
          <w:sz w:val="24"/>
          <w:szCs w:val="24"/>
        </w:rPr>
        <w:t>kompetensi</w:t>
      </w:r>
      <w:r w:rsidR="00A954D0" w:rsidRPr="008379CA">
        <w:rPr>
          <w:rFonts w:ascii="Bookman Old Style" w:hAnsi="Bookman Old Style"/>
          <w:sz w:val="24"/>
          <w:szCs w:val="24"/>
        </w:rPr>
        <w:t xml:space="preserve"> </w:t>
      </w:r>
      <w:r w:rsidR="003A0614" w:rsidRPr="008379CA">
        <w:rPr>
          <w:rFonts w:ascii="Bookman Old Style" w:hAnsi="Bookman Old Style"/>
          <w:sz w:val="24"/>
          <w:szCs w:val="24"/>
        </w:rPr>
        <w:t>penyelenggara</w:t>
      </w:r>
      <w:r w:rsidR="00A954D0" w:rsidRPr="008379CA">
        <w:rPr>
          <w:rFonts w:ascii="Bookman Old Style" w:hAnsi="Bookman Old Style"/>
          <w:sz w:val="24"/>
          <w:szCs w:val="24"/>
        </w:rPr>
        <w:t xml:space="preserve"> </w:t>
      </w:r>
      <w:r w:rsidR="003A0614" w:rsidRPr="008379CA">
        <w:rPr>
          <w:rFonts w:ascii="Bookman Old Style" w:hAnsi="Bookman Old Style"/>
          <w:sz w:val="24"/>
          <w:szCs w:val="24"/>
        </w:rPr>
        <w:t>Pemerintah</w:t>
      </w:r>
      <w:r w:rsidR="00A954D0" w:rsidRPr="008379CA">
        <w:rPr>
          <w:rFonts w:ascii="Bookman Old Style" w:hAnsi="Bookman Old Style"/>
          <w:sz w:val="24"/>
          <w:szCs w:val="24"/>
        </w:rPr>
        <w:t xml:space="preserve"> </w:t>
      </w:r>
      <w:r w:rsidR="003A0614"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003A0614" w:rsidRPr="008379CA">
        <w:rPr>
          <w:rFonts w:ascii="Bookman Old Style" w:hAnsi="Bookman Old Style"/>
          <w:sz w:val="24"/>
          <w:szCs w:val="24"/>
        </w:rPr>
        <w:t>paling</w:t>
      </w:r>
      <w:r w:rsidR="00A954D0" w:rsidRPr="008379CA">
        <w:rPr>
          <w:rFonts w:ascii="Bookman Old Style" w:hAnsi="Bookman Old Style"/>
          <w:sz w:val="24"/>
          <w:szCs w:val="24"/>
        </w:rPr>
        <w:t xml:space="preserve"> </w:t>
      </w:r>
      <w:r w:rsidR="003A0614" w:rsidRPr="008379CA">
        <w:rPr>
          <w:rFonts w:ascii="Bookman Old Style" w:hAnsi="Bookman Old Style"/>
          <w:sz w:val="24"/>
          <w:szCs w:val="24"/>
        </w:rPr>
        <w:t>sedikit</w:t>
      </w:r>
      <w:r w:rsidR="00A954D0" w:rsidRPr="008379CA">
        <w:rPr>
          <w:rFonts w:ascii="Bookman Old Style" w:hAnsi="Bookman Old Style"/>
          <w:sz w:val="24"/>
          <w:szCs w:val="24"/>
        </w:rPr>
        <w:t xml:space="preserve"> </w:t>
      </w:r>
      <w:r w:rsidR="003A0614" w:rsidRPr="008379CA">
        <w:rPr>
          <w:rFonts w:ascii="Bookman Old Style" w:hAnsi="Bookman Old Style"/>
          <w:sz w:val="24"/>
          <w:szCs w:val="24"/>
        </w:rPr>
        <w:t>0,</w:t>
      </w:r>
      <w:r w:rsidR="003A0614" w:rsidRPr="008379CA">
        <w:rPr>
          <w:rFonts w:ascii="Bookman Old Style" w:hAnsi="Bookman Old Style"/>
          <w:sz w:val="24"/>
          <w:szCs w:val="24"/>
          <w:lang w:val="sv-FI"/>
        </w:rPr>
        <w:t>16</w:t>
      </w:r>
      <w:r w:rsidR="003A0614" w:rsidRPr="008379CA">
        <w:rPr>
          <w:rFonts w:ascii="Bookman Old Style" w:hAnsi="Bookman Old Style"/>
          <w:sz w:val="24"/>
          <w:szCs w:val="24"/>
        </w:rPr>
        <w:t>%</w:t>
      </w:r>
      <w:r w:rsidR="00A954D0" w:rsidRPr="008379CA">
        <w:rPr>
          <w:rFonts w:ascii="Bookman Old Style" w:hAnsi="Bookman Old Style"/>
          <w:sz w:val="24"/>
          <w:szCs w:val="24"/>
        </w:rPr>
        <w:t xml:space="preserve"> </w:t>
      </w:r>
      <w:r w:rsidR="003A0614" w:rsidRPr="008379CA">
        <w:rPr>
          <w:rFonts w:ascii="Bookman Old Style" w:hAnsi="Bookman Old Style"/>
          <w:sz w:val="24"/>
          <w:szCs w:val="24"/>
        </w:rPr>
        <w:t>(nol</w:t>
      </w:r>
      <w:r w:rsidR="00A954D0" w:rsidRPr="008379CA">
        <w:rPr>
          <w:rFonts w:ascii="Bookman Old Style" w:hAnsi="Bookman Old Style"/>
          <w:sz w:val="24"/>
          <w:szCs w:val="24"/>
        </w:rPr>
        <w:t xml:space="preserve"> </w:t>
      </w:r>
      <w:r w:rsidR="003A0614" w:rsidRPr="008379CA">
        <w:rPr>
          <w:rFonts w:ascii="Bookman Old Style" w:hAnsi="Bookman Old Style"/>
          <w:sz w:val="24"/>
          <w:szCs w:val="24"/>
        </w:rPr>
        <w:t>koma</w:t>
      </w:r>
      <w:r w:rsidR="00A954D0" w:rsidRPr="008379CA">
        <w:rPr>
          <w:rFonts w:ascii="Bookman Old Style" w:hAnsi="Bookman Old Style"/>
          <w:sz w:val="24"/>
          <w:szCs w:val="24"/>
        </w:rPr>
        <w:t xml:space="preserve"> </w:t>
      </w:r>
      <w:r w:rsidR="003A0614" w:rsidRPr="008379CA">
        <w:rPr>
          <w:rFonts w:ascii="Bookman Old Style" w:hAnsi="Bookman Old Style"/>
          <w:sz w:val="24"/>
          <w:szCs w:val="24"/>
          <w:lang w:val="sv-FI"/>
        </w:rPr>
        <w:t>enam</w:t>
      </w:r>
      <w:r w:rsidR="00A954D0" w:rsidRPr="008379CA">
        <w:rPr>
          <w:rFonts w:ascii="Bookman Old Style" w:hAnsi="Bookman Old Style"/>
          <w:sz w:val="24"/>
          <w:szCs w:val="24"/>
          <w:lang w:val="sv-FI"/>
        </w:rPr>
        <w:t xml:space="preserve"> </w:t>
      </w:r>
      <w:r w:rsidR="003A0614" w:rsidRPr="008379CA">
        <w:rPr>
          <w:rFonts w:ascii="Bookman Old Style" w:hAnsi="Bookman Old Style"/>
          <w:sz w:val="24"/>
          <w:szCs w:val="24"/>
          <w:lang w:val="sv-FI"/>
        </w:rPr>
        <w:t>belas</w:t>
      </w:r>
      <w:r w:rsidR="00A954D0" w:rsidRPr="008379CA">
        <w:rPr>
          <w:rFonts w:ascii="Bookman Old Style" w:hAnsi="Bookman Old Style"/>
          <w:sz w:val="24"/>
          <w:szCs w:val="24"/>
        </w:rPr>
        <w:t xml:space="preserve"> </w:t>
      </w:r>
      <w:r w:rsidR="003A0614" w:rsidRPr="008379CA">
        <w:rPr>
          <w:rFonts w:ascii="Bookman Old Style" w:hAnsi="Bookman Old Style"/>
          <w:sz w:val="24"/>
          <w:szCs w:val="24"/>
        </w:rPr>
        <w:t>persen)</w:t>
      </w:r>
      <w:r w:rsidR="00A954D0" w:rsidRPr="008379CA">
        <w:rPr>
          <w:rFonts w:ascii="Bookman Old Style" w:hAnsi="Bookman Old Style"/>
          <w:sz w:val="24"/>
          <w:szCs w:val="24"/>
        </w:rPr>
        <w:t xml:space="preserve"> </w:t>
      </w:r>
      <w:r w:rsidR="003A0614"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003A0614" w:rsidRPr="008379CA">
        <w:rPr>
          <w:rFonts w:ascii="Bookman Old Style" w:hAnsi="Bookman Old Style"/>
          <w:sz w:val="24"/>
          <w:szCs w:val="24"/>
        </w:rPr>
        <w:t>total</w:t>
      </w:r>
      <w:r w:rsidR="00A954D0" w:rsidRPr="008379CA">
        <w:rPr>
          <w:rFonts w:ascii="Bookman Old Style" w:hAnsi="Bookman Old Style"/>
          <w:sz w:val="24"/>
          <w:szCs w:val="24"/>
        </w:rPr>
        <w:t xml:space="preserve"> </w:t>
      </w:r>
      <w:r w:rsidR="003A0614" w:rsidRPr="008379CA">
        <w:rPr>
          <w:rFonts w:ascii="Bookman Old Style" w:hAnsi="Bookman Old Style"/>
          <w:sz w:val="24"/>
          <w:szCs w:val="24"/>
        </w:rPr>
        <w:t>belanja</w:t>
      </w:r>
      <w:r w:rsidR="00A954D0" w:rsidRPr="008379CA">
        <w:rPr>
          <w:rFonts w:ascii="Bookman Old Style" w:hAnsi="Bookman Old Style"/>
          <w:sz w:val="24"/>
          <w:szCs w:val="24"/>
        </w:rPr>
        <w:t xml:space="preserve"> </w:t>
      </w:r>
      <w:r w:rsidR="003A0614"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003A0614" w:rsidRPr="008379CA">
        <w:rPr>
          <w:rFonts w:ascii="Bookman Old Style" w:hAnsi="Bookman Old Style" w:cs="Arial"/>
          <w:sz w:val="24"/>
          <w:szCs w:val="24"/>
          <w:lang w:val="sv-FI"/>
        </w:rPr>
        <w:t>serta</w:t>
      </w:r>
      <w:r w:rsidR="00A954D0" w:rsidRPr="008379CA">
        <w:rPr>
          <w:rFonts w:ascii="Bookman Old Style" w:hAnsi="Bookman Old Style" w:cs="Arial"/>
          <w:sz w:val="24"/>
          <w:szCs w:val="24"/>
          <w:lang w:val="sv-FI"/>
        </w:rPr>
        <w:t xml:space="preserve"> </w:t>
      </w:r>
      <w:r w:rsidR="003A0614" w:rsidRPr="008379CA">
        <w:rPr>
          <w:rFonts w:ascii="Bookman Old Style" w:hAnsi="Bookman Old Style" w:cs="Arial"/>
          <w:sz w:val="24"/>
          <w:szCs w:val="24"/>
          <w:lang w:val="sv-FI"/>
        </w:rPr>
        <w:t>alokasi</w:t>
      </w:r>
      <w:r w:rsidR="00A954D0" w:rsidRPr="008379CA">
        <w:rPr>
          <w:rFonts w:ascii="Bookman Old Style" w:hAnsi="Bookman Old Style" w:cs="Arial"/>
          <w:sz w:val="24"/>
          <w:szCs w:val="24"/>
          <w:lang w:val="sv-FI"/>
        </w:rPr>
        <w:t xml:space="preserve"> </w:t>
      </w:r>
      <w:r w:rsidR="003A0614" w:rsidRPr="008379CA">
        <w:rPr>
          <w:rFonts w:ascii="Bookman Old Style" w:hAnsi="Bookman Old Style" w:cs="Arial"/>
          <w:sz w:val="24"/>
          <w:szCs w:val="24"/>
          <w:lang w:val="sv-FI"/>
        </w:rPr>
        <w:t>anggaran</w:t>
      </w:r>
      <w:r w:rsidR="00A954D0" w:rsidRPr="008379CA">
        <w:rPr>
          <w:rFonts w:ascii="Bookman Old Style" w:hAnsi="Bookman Old Style" w:cs="Arial"/>
          <w:sz w:val="24"/>
          <w:szCs w:val="24"/>
          <w:lang w:val="sv-FI"/>
        </w:rPr>
        <w:t xml:space="preserve"> </w:t>
      </w:r>
      <w:r w:rsidR="003A0614" w:rsidRPr="008379CA">
        <w:rPr>
          <w:rFonts w:ascii="Bookman Old Style" w:hAnsi="Bookman Old Style" w:cs="Arial"/>
          <w:sz w:val="24"/>
          <w:szCs w:val="24"/>
          <w:lang w:val="sv-FI"/>
        </w:rPr>
        <w:t>tersebut</w:t>
      </w:r>
      <w:r w:rsidR="00A954D0" w:rsidRPr="008379CA">
        <w:rPr>
          <w:rFonts w:ascii="Bookman Old Style" w:hAnsi="Bookman Old Style" w:cs="Arial"/>
          <w:sz w:val="24"/>
          <w:szCs w:val="24"/>
          <w:lang w:val="sv-FI"/>
        </w:rPr>
        <w:t xml:space="preserve"> </w:t>
      </w:r>
      <w:r w:rsidR="003A0614" w:rsidRPr="008379CA">
        <w:rPr>
          <w:rFonts w:ascii="Bookman Old Style" w:hAnsi="Bookman Old Style" w:cs="Arial"/>
          <w:sz w:val="24"/>
          <w:szCs w:val="24"/>
          <w:lang w:val="sv-FI"/>
        </w:rPr>
        <w:t>diluar</w:t>
      </w:r>
      <w:r w:rsidR="00A954D0" w:rsidRPr="008379CA">
        <w:rPr>
          <w:rFonts w:ascii="Bookman Old Style" w:hAnsi="Bookman Old Style" w:cs="Arial"/>
          <w:sz w:val="24"/>
          <w:szCs w:val="24"/>
          <w:lang w:val="sv-FI"/>
        </w:rPr>
        <w:t xml:space="preserve"> </w:t>
      </w:r>
      <w:r w:rsidR="003A0614" w:rsidRPr="008379CA">
        <w:rPr>
          <w:rFonts w:ascii="Bookman Old Style" w:hAnsi="Bookman Old Style" w:cs="Arial"/>
          <w:sz w:val="24"/>
          <w:szCs w:val="24"/>
        </w:rPr>
        <w:t>belanja</w:t>
      </w:r>
      <w:r w:rsidR="00A954D0" w:rsidRPr="008379CA">
        <w:rPr>
          <w:rFonts w:ascii="Bookman Old Style" w:hAnsi="Bookman Old Style" w:cs="Arial"/>
          <w:sz w:val="24"/>
          <w:szCs w:val="24"/>
          <w:lang w:val="sv-FI"/>
        </w:rPr>
        <w:t xml:space="preserve"> </w:t>
      </w:r>
      <w:r w:rsidR="003A0614" w:rsidRPr="008379CA">
        <w:rPr>
          <w:rFonts w:ascii="Bookman Old Style" w:hAnsi="Bookman Old Style" w:cs="Arial"/>
          <w:sz w:val="24"/>
          <w:szCs w:val="24"/>
          <w:lang w:val="sv-FI"/>
        </w:rPr>
        <w:t>pegawai</w:t>
      </w:r>
      <w:r w:rsidR="00A954D0" w:rsidRPr="008379CA">
        <w:rPr>
          <w:rFonts w:ascii="Bookman Old Style" w:hAnsi="Bookman Old Style" w:cs="Arial"/>
          <w:sz w:val="24"/>
          <w:szCs w:val="24"/>
          <w:lang w:val="sv-FI"/>
        </w:rPr>
        <w:t xml:space="preserve"> </w:t>
      </w:r>
      <w:r w:rsidR="003A0614" w:rsidRPr="008379CA">
        <w:rPr>
          <w:rFonts w:ascii="Bookman Old Style" w:hAnsi="Bookman Old Style" w:cs="Arial"/>
          <w:sz w:val="24"/>
          <w:szCs w:val="24"/>
          <w:lang w:val="sv-FI"/>
        </w:rPr>
        <w:t>dan</w:t>
      </w:r>
      <w:r w:rsidR="00A954D0" w:rsidRPr="008379CA">
        <w:rPr>
          <w:rFonts w:ascii="Bookman Old Style" w:hAnsi="Bookman Old Style" w:cs="Arial"/>
          <w:sz w:val="24"/>
          <w:szCs w:val="24"/>
          <w:lang w:val="sv-FI"/>
        </w:rPr>
        <w:t xml:space="preserve"> </w:t>
      </w:r>
      <w:r w:rsidR="003A0614" w:rsidRPr="008379CA">
        <w:rPr>
          <w:rFonts w:ascii="Bookman Old Style" w:hAnsi="Bookman Old Style" w:cs="Arial"/>
          <w:sz w:val="24"/>
          <w:szCs w:val="24"/>
          <w:lang w:val="sv-FI"/>
        </w:rPr>
        <w:t>belanja</w:t>
      </w:r>
      <w:r w:rsidR="00A954D0" w:rsidRPr="008379CA">
        <w:rPr>
          <w:rFonts w:ascii="Bookman Old Style" w:hAnsi="Bookman Old Style" w:cs="Arial"/>
          <w:sz w:val="24"/>
          <w:szCs w:val="24"/>
          <w:lang w:val="sv-FI"/>
        </w:rPr>
        <w:t xml:space="preserve"> </w:t>
      </w:r>
      <w:r w:rsidR="003A0614" w:rsidRPr="008379CA">
        <w:rPr>
          <w:rFonts w:ascii="Bookman Old Style" w:hAnsi="Bookman Old Style" w:cs="Arial"/>
          <w:sz w:val="24"/>
          <w:szCs w:val="24"/>
          <w:lang w:val="sv-FI"/>
        </w:rPr>
        <w:t>pemeliharaan</w:t>
      </w:r>
      <w:r w:rsidR="00A954D0" w:rsidRPr="008379CA">
        <w:rPr>
          <w:rFonts w:ascii="Bookman Old Style" w:hAnsi="Bookman Old Style" w:cs="Arial"/>
          <w:sz w:val="24"/>
          <w:szCs w:val="24"/>
          <w:lang w:val="sv-FI"/>
        </w:rPr>
        <w:t xml:space="preserve"> </w:t>
      </w:r>
      <w:r w:rsidR="003A0614" w:rsidRPr="008379CA">
        <w:rPr>
          <w:rFonts w:ascii="Bookman Old Style" w:hAnsi="Bookman Old Style" w:cs="Arial"/>
          <w:sz w:val="24"/>
          <w:szCs w:val="24"/>
          <w:lang w:val="sv-FI"/>
        </w:rPr>
        <w:t>pada</w:t>
      </w:r>
      <w:r w:rsidR="00A954D0" w:rsidRPr="008379CA">
        <w:rPr>
          <w:rFonts w:ascii="Bookman Old Style" w:hAnsi="Bookman Old Style" w:cs="Arial"/>
          <w:sz w:val="24"/>
          <w:szCs w:val="24"/>
          <w:lang w:val="sv-FI"/>
        </w:rPr>
        <w:t xml:space="preserve"> </w:t>
      </w:r>
      <w:r w:rsidR="003A0614" w:rsidRPr="008379CA">
        <w:rPr>
          <w:rFonts w:ascii="Bookman Old Style" w:hAnsi="Bookman Old Style" w:cs="Arial"/>
          <w:sz w:val="24"/>
          <w:szCs w:val="24"/>
          <w:lang w:val="sv-FI"/>
        </w:rPr>
        <w:t>SKPD</w:t>
      </w:r>
      <w:r w:rsidR="00A954D0" w:rsidRPr="008379CA">
        <w:rPr>
          <w:rFonts w:ascii="Bookman Old Style" w:hAnsi="Bookman Old Style" w:cs="Arial"/>
          <w:sz w:val="24"/>
          <w:szCs w:val="24"/>
          <w:lang w:val="sv-FI"/>
        </w:rPr>
        <w:t xml:space="preserve"> </w:t>
      </w:r>
      <w:r w:rsidR="003A0614" w:rsidRPr="008379CA">
        <w:rPr>
          <w:rFonts w:ascii="Bookman Old Style" w:hAnsi="Bookman Old Style" w:cs="Arial"/>
          <w:sz w:val="24"/>
          <w:szCs w:val="24"/>
          <w:lang w:val="sv-FI"/>
        </w:rPr>
        <w:t>yang</w:t>
      </w:r>
      <w:r w:rsidR="00A954D0" w:rsidRPr="008379CA">
        <w:rPr>
          <w:rFonts w:ascii="Bookman Old Style" w:hAnsi="Bookman Old Style" w:cs="Arial"/>
          <w:sz w:val="24"/>
          <w:szCs w:val="24"/>
          <w:lang w:val="sv-FI"/>
        </w:rPr>
        <w:t xml:space="preserve"> </w:t>
      </w:r>
      <w:r w:rsidR="003A0614" w:rsidRPr="008379CA">
        <w:rPr>
          <w:rFonts w:ascii="Bookman Old Style" w:hAnsi="Bookman Old Style" w:cs="Arial"/>
          <w:sz w:val="24"/>
          <w:szCs w:val="24"/>
          <w:lang w:val="sv-FI"/>
        </w:rPr>
        <w:t>menyelenggarakan</w:t>
      </w:r>
      <w:r w:rsidR="00A954D0" w:rsidRPr="008379CA">
        <w:rPr>
          <w:rFonts w:ascii="Bookman Old Style" w:hAnsi="Bookman Old Style" w:cs="Arial"/>
          <w:sz w:val="24"/>
          <w:szCs w:val="24"/>
          <w:lang w:val="sv-FI"/>
        </w:rPr>
        <w:t xml:space="preserve"> </w:t>
      </w:r>
      <w:r w:rsidR="003A0614" w:rsidRPr="008379CA">
        <w:rPr>
          <w:rFonts w:ascii="Bookman Old Style" w:hAnsi="Bookman Old Style" w:cs="Arial"/>
          <w:sz w:val="24"/>
          <w:szCs w:val="24"/>
          <w:lang w:val="sv-FI"/>
        </w:rPr>
        <w:t>unsur</w:t>
      </w:r>
      <w:r w:rsidR="00A954D0" w:rsidRPr="008379CA">
        <w:rPr>
          <w:rFonts w:ascii="Bookman Old Style" w:hAnsi="Bookman Old Style" w:cs="Arial"/>
          <w:sz w:val="24"/>
          <w:szCs w:val="24"/>
          <w:lang w:val="sv-FI"/>
        </w:rPr>
        <w:t xml:space="preserve"> </w:t>
      </w:r>
      <w:r w:rsidR="003A0614" w:rsidRPr="008379CA">
        <w:rPr>
          <w:rFonts w:ascii="Bookman Old Style" w:hAnsi="Bookman Old Style" w:cs="Arial"/>
          <w:sz w:val="24"/>
          <w:szCs w:val="24"/>
          <w:lang w:val="sv-FI"/>
        </w:rPr>
        <w:t>penunjang</w:t>
      </w:r>
      <w:r w:rsidR="00A954D0" w:rsidRPr="008379CA">
        <w:rPr>
          <w:rFonts w:ascii="Bookman Old Style" w:hAnsi="Bookman Old Style" w:cs="Arial"/>
          <w:sz w:val="24"/>
          <w:szCs w:val="24"/>
          <w:lang w:val="sv-FI"/>
        </w:rPr>
        <w:t xml:space="preserve"> </w:t>
      </w:r>
      <w:r w:rsidR="003A0614" w:rsidRPr="008379CA">
        <w:rPr>
          <w:rFonts w:ascii="Bookman Old Style" w:hAnsi="Bookman Old Style" w:cs="Arial"/>
          <w:sz w:val="24"/>
          <w:szCs w:val="24"/>
          <w:lang w:val="sv-FI"/>
        </w:rPr>
        <w:t>dibidang</w:t>
      </w:r>
      <w:r w:rsidR="00A954D0" w:rsidRPr="008379CA">
        <w:rPr>
          <w:rFonts w:ascii="Bookman Old Style" w:hAnsi="Bookman Old Style" w:cs="Arial"/>
          <w:sz w:val="24"/>
          <w:szCs w:val="24"/>
          <w:lang w:val="sv-FI"/>
        </w:rPr>
        <w:t xml:space="preserve"> </w:t>
      </w:r>
      <w:r w:rsidR="003A0614" w:rsidRPr="008379CA">
        <w:rPr>
          <w:rFonts w:ascii="Bookman Old Style" w:hAnsi="Bookman Old Style" w:cs="Arial"/>
          <w:sz w:val="24"/>
          <w:szCs w:val="24"/>
          <w:lang w:val="sv-FI"/>
        </w:rPr>
        <w:t>pendidikan</w:t>
      </w:r>
      <w:r w:rsidR="00A954D0" w:rsidRPr="008379CA">
        <w:rPr>
          <w:rFonts w:ascii="Bookman Old Style" w:hAnsi="Bookman Old Style" w:cs="Arial"/>
          <w:sz w:val="24"/>
          <w:szCs w:val="24"/>
          <w:lang w:val="sv-FI"/>
        </w:rPr>
        <w:t xml:space="preserve"> </w:t>
      </w:r>
      <w:r w:rsidR="003A0614" w:rsidRPr="008379CA">
        <w:rPr>
          <w:rFonts w:ascii="Bookman Old Style" w:hAnsi="Bookman Old Style" w:cs="Arial"/>
          <w:sz w:val="24"/>
          <w:szCs w:val="24"/>
          <w:lang w:val="sv-FI"/>
        </w:rPr>
        <w:t>dan</w:t>
      </w:r>
      <w:r w:rsidR="00A954D0" w:rsidRPr="008379CA">
        <w:rPr>
          <w:rFonts w:ascii="Bookman Old Style" w:hAnsi="Bookman Old Style" w:cs="Arial"/>
          <w:sz w:val="24"/>
          <w:szCs w:val="24"/>
          <w:lang w:val="sv-FI"/>
        </w:rPr>
        <w:t xml:space="preserve"> </w:t>
      </w:r>
      <w:r w:rsidR="003A0614" w:rsidRPr="008379CA">
        <w:rPr>
          <w:rFonts w:ascii="Bookman Old Style" w:hAnsi="Bookman Old Style" w:cs="Arial"/>
          <w:sz w:val="24"/>
          <w:szCs w:val="24"/>
          <w:lang w:val="sv-FI"/>
        </w:rPr>
        <w:t>pelatihan</w:t>
      </w:r>
      <w:r w:rsidR="00A954D0" w:rsidRPr="008379CA">
        <w:rPr>
          <w:rFonts w:ascii="Bookman Old Style" w:hAnsi="Bookman Old Style" w:cs="Arial"/>
          <w:sz w:val="24"/>
          <w:szCs w:val="24"/>
          <w:lang w:val="sv-FI"/>
        </w:rPr>
        <w:t xml:space="preserve"> </w:t>
      </w:r>
      <w:r w:rsidR="003A0614" w:rsidRPr="008379CA">
        <w:rPr>
          <w:rFonts w:ascii="Bookman Old Style" w:hAnsi="Bookman Old Style" w:cs="Arial"/>
          <w:sz w:val="24"/>
          <w:szCs w:val="24"/>
          <w:lang w:val="sv-FI"/>
        </w:rPr>
        <w:t>dan</w:t>
      </w:r>
      <w:r w:rsidR="00A954D0" w:rsidRPr="008379CA">
        <w:rPr>
          <w:rFonts w:ascii="Bookman Old Style" w:hAnsi="Bookman Old Style" w:cs="Arial"/>
          <w:sz w:val="24"/>
          <w:szCs w:val="24"/>
          <w:lang w:val="sv-FI"/>
        </w:rPr>
        <w:t xml:space="preserve"> </w:t>
      </w:r>
      <w:r w:rsidR="003A0614" w:rsidRPr="008379CA">
        <w:rPr>
          <w:rFonts w:ascii="Bookman Old Style" w:hAnsi="Bookman Old Style" w:cs="Arial"/>
          <w:sz w:val="24"/>
          <w:szCs w:val="24"/>
          <w:lang w:val="sv-FI"/>
        </w:rPr>
        <w:t>diarahkan</w:t>
      </w:r>
      <w:r w:rsidR="00A954D0" w:rsidRPr="008379CA">
        <w:rPr>
          <w:rFonts w:ascii="Bookman Old Style" w:hAnsi="Bookman Old Style" w:cs="Arial"/>
          <w:sz w:val="24"/>
          <w:szCs w:val="24"/>
          <w:lang w:val="sv-FI"/>
        </w:rPr>
        <w:t xml:space="preserve"> </w:t>
      </w:r>
      <w:r w:rsidR="003A0614" w:rsidRPr="008379CA">
        <w:rPr>
          <w:rFonts w:ascii="Bookman Old Style" w:hAnsi="Bookman Old Style" w:cs="Arial"/>
          <w:sz w:val="24"/>
          <w:szCs w:val="24"/>
          <w:lang w:val="sv-FI"/>
        </w:rPr>
        <w:t>hanya</w:t>
      </w:r>
      <w:r w:rsidR="00A954D0" w:rsidRPr="008379CA">
        <w:rPr>
          <w:rFonts w:ascii="Bookman Old Style" w:hAnsi="Bookman Old Style" w:cs="Arial"/>
          <w:sz w:val="24"/>
          <w:szCs w:val="24"/>
          <w:lang w:val="sv-FI"/>
        </w:rPr>
        <w:t xml:space="preserve"> </w:t>
      </w:r>
      <w:r w:rsidR="003A0614" w:rsidRPr="008379CA">
        <w:rPr>
          <w:rFonts w:ascii="Bookman Old Style" w:hAnsi="Bookman Old Style" w:cs="Arial"/>
          <w:sz w:val="24"/>
          <w:szCs w:val="24"/>
          <w:lang w:val="sv-FI"/>
        </w:rPr>
        <w:t>untuk</w:t>
      </w:r>
      <w:r w:rsidR="00A954D0" w:rsidRPr="008379CA">
        <w:rPr>
          <w:rFonts w:ascii="Bookman Old Style" w:hAnsi="Bookman Old Style" w:cs="Arial"/>
          <w:sz w:val="24"/>
          <w:szCs w:val="24"/>
          <w:lang w:val="sv-FI"/>
        </w:rPr>
        <w:t xml:space="preserve"> </w:t>
      </w:r>
      <w:r w:rsidR="003A0614" w:rsidRPr="008379CA">
        <w:rPr>
          <w:rFonts w:ascii="Bookman Old Style" w:hAnsi="Bookman Old Style" w:cs="Arial"/>
          <w:sz w:val="24"/>
          <w:szCs w:val="24"/>
          <w:lang w:val="sv-FI"/>
        </w:rPr>
        <w:t>berbagai</w:t>
      </w:r>
      <w:r w:rsidR="00A954D0" w:rsidRPr="008379CA">
        <w:rPr>
          <w:rFonts w:ascii="Bookman Old Style" w:hAnsi="Bookman Old Style" w:cs="Arial"/>
          <w:sz w:val="24"/>
          <w:szCs w:val="24"/>
          <w:lang w:val="sv-FI"/>
        </w:rPr>
        <w:t xml:space="preserve"> </w:t>
      </w:r>
      <w:r w:rsidR="003A0614" w:rsidRPr="008379CA">
        <w:rPr>
          <w:rFonts w:ascii="Bookman Old Style" w:hAnsi="Bookman Old Style" w:cs="Arial"/>
          <w:sz w:val="24"/>
          <w:szCs w:val="24"/>
          <w:lang w:val="sv-FI"/>
        </w:rPr>
        <w:t>program</w:t>
      </w:r>
      <w:r w:rsidR="00A954D0" w:rsidRPr="008379CA">
        <w:rPr>
          <w:rFonts w:ascii="Bookman Old Style" w:hAnsi="Bookman Old Style" w:cs="Arial"/>
          <w:sz w:val="24"/>
          <w:szCs w:val="24"/>
          <w:lang w:val="sv-FI"/>
        </w:rPr>
        <w:t xml:space="preserve"> </w:t>
      </w:r>
      <w:r w:rsidR="003A0614" w:rsidRPr="008379CA">
        <w:rPr>
          <w:rFonts w:ascii="Bookman Old Style" w:hAnsi="Bookman Old Style" w:cs="Arial"/>
          <w:sz w:val="24"/>
          <w:szCs w:val="24"/>
          <w:lang w:val="sv-FI"/>
        </w:rPr>
        <w:t>pengembangan</w:t>
      </w:r>
      <w:r w:rsidR="00A954D0" w:rsidRPr="008379CA">
        <w:rPr>
          <w:rFonts w:ascii="Bookman Old Style" w:hAnsi="Bookman Old Style" w:cs="Arial"/>
          <w:sz w:val="24"/>
          <w:szCs w:val="24"/>
          <w:lang w:val="sv-FI"/>
        </w:rPr>
        <w:t xml:space="preserve"> </w:t>
      </w:r>
      <w:r w:rsidR="003A0614" w:rsidRPr="008379CA">
        <w:rPr>
          <w:rFonts w:ascii="Bookman Old Style" w:hAnsi="Bookman Old Style" w:cs="Arial"/>
          <w:sz w:val="24"/>
          <w:szCs w:val="24"/>
          <w:lang w:val="sv-FI"/>
        </w:rPr>
        <w:t>kompetensi</w:t>
      </w:r>
      <w:r w:rsidR="00A954D0" w:rsidRPr="008379CA">
        <w:rPr>
          <w:rFonts w:ascii="Bookman Old Style" w:hAnsi="Bookman Old Style" w:cs="Arial"/>
          <w:sz w:val="24"/>
          <w:szCs w:val="24"/>
          <w:lang w:val="sv-FI"/>
        </w:rPr>
        <w:t xml:space="preserve"> </w:t>
      </w:r>
      <w:r w:rsidR="003A0614" w:rsidRPr="008379CA">
        <w:rPr>
          <w:rFonts w:ascii="Bookman Old Style" w:hAnsi="Bookman Old Style" w:cs="Arial"/>
          <w:sz w:val="24"/>
          <w:szCs w:val="24"/>
          <w:lang w:val="sv-FI"/>
        </w:rPr>
        <w:t>dan</w:t>
      </w:r>
      <w:r w:rsidR="00A954D0" w:rsidRPr="008379CA">
        <w:rPr>
          <w:rFonts w:ascii="Bookman Old Style" w:hAnsi="Bookman Old Style" w:cs="Arial"/>
          <w:sz w:val="24"/>
          <w:szCs w:val="24"/>
          <w:lang w:val="sv-FI"/>
        </w:rPr>
        <w:t xml:space="preserve"> </w:t>
      </w:r>
      <w:r w:rsidR="003A0614" w:rsidRPr="008379CA">
        <w:rPr>
          <w:rFonts w:ascii="Bookman Old Style" w:hAnsi="Bookman Old Style" w:cs="Arial"/>
          <w:sz w:val="24"/>
          <w:szCs w:val="24"/>
          <w:lang w:val="sv-FI"/>
        </w:rPr>
        <w:t>uji</w:t>
      </w:r>
      <w:r w:rsidR="00A954D0" w:rsidRPr="008379CA">
        <w:rPr>
          <w:rFonts w:ascii="Bookman Old Style" w:hAnsi="Bookman Old Style" w:cs="Arial"/>
          <w:sz w:val="24"/>
          <w:szCs w:val="24"/>
          <w:lang w:val="sv-FI"/>
        </w:rPr>
        <w:t xml:space="preserve"> </w:t>
      </w:r>
      <w:r w:rsidR="003A0614" w:rsidRPr="008379CA">
        <w:rPr>
          <w:rFonts w:ascii="Bookman Old Style" w:hAnsi="Bookman Old Style" w:cs="Arial"/>
          <w:sz w:val="24"/>
          <w:szCs w:val="24"/>
          <w:lang w:val="sv-FI"/>
        </w:rPr>
        <w:t>kompetensi</w:t>
      </w:r>
      <w:r w:rsidR="00A954D0" w:rsidRPr="008379CA">
        <w:rPr>
          <w:rFonts w:ascii="Bookman Old Style" w:hAnsi="Bookman Old Style" w:cs="Arial"/>
          <w:sz w:val="24"/>
          <w:szCs w:val="24"/>
          <w:lang w:val="sv-FI"/>
        </w:rPr>
        <w:t xml:space="preserve"> </w:t>
      </w:r>
      <w:r w:rsidR="003A0614" w:rsidRPr="008379CA">
        <w:rPr>
          <w:rFonts w:ascii="Bookman Old Style" w:hAnsi="Bookman Old Style" w:cs="Arial"/>
          <w:sz w:val="24"/>
          <w:szCs w:val="24"/>
          <w:lang w:val="sv-FI"/>
        </w:rPr>
        <w:t>sebagaimana</w:t>
      </w:r>
      <w:r w:rsidR="00A954D0" w:rsidRPr="008379CA">
        <w:rPr>
          <w:rFonts w:ascii="Bookman Old Style" w:hAnsi="Bookman Old Style" w:cs="Arial"/>
          <w:sz w:val="24"/>
          <w:szCs w:val="24"/>
          <w:lang w:val="sv-FI"/>
        </w:rPr>
        <w:t xml:space="preserve"> </w:t>
      </w:r>
      <w:r w:rsidR="003A0614" w:rsidRPr="008379CA">
        <w:rPr>
          <w:rFonts w:ascii="Bookman Old Style" w:hAnsi="Bookman Old Style" w:cs="Arial"/>
          <w:sz w:val="24"/>
          <w:szCs w:val="24"/>
          <w:lang w:val="sv-FI"/>
        </w:rPr>
        <w:t>maksud</w:t>
      </w:r>
      <w:r w:rsidR="00A954D0" w:rsidRPr="008379CA">
        <w:rPr>
          <w:rFonts w:ascii="Bookman Old Style" w:hAnsi="Bookman Old Style" w:cs="Arial"/>
          <w:sz w:val="24"/>
          <w:szCs w:val="24"/>
          <w:lang w:val="sv-FI"/>
        </w:rPr>
        <w:t xml:space="preserve"> </w:t>
      </w:r>
      <w:r w:rsidR="003A0614" w:rsidRPr="008379CA">
        <w:rPr>
          <w:rFonts w:ascii="Bookman Old Style" w:hAnsi="Bookman Old Style" w:cs="Arial"/>
          <w:sz w:val="24"/>
          <w:szCs w:val="24"/>
          <w:lang w:val="sv-FI"/>
        </w:rPr>
        <w:t>b</w:t>
      </w:r>
      <w:r w:rsidR="003A0614" w:rsidRPr="008379CA">
        <w:rPr>
          <w:rFonts w:ascii="Bookman Old Style" w:hAnsi="Bookman Old Style" w:cs="Arial"/>
          <w:sz w:val="24"/>
          <w:szCs w:val="24"/>
        </w:rPr>
        <w:t>utir</w:t>
      </w:r>
      <w:r w:rsidR="00A954D0" w:rsidRPr="008379CA">
        <w:rPr>
          <w:rFonts w:ascii="Bookman Old Style" w:hAnsi="Bookman Old Style" w:cs="Arial"/>
          <w:sz w:val="24"/>
          <w:szCs w:val="24"/>
        </w:rPr>
        <w:t xml:space="preserve"> </w:t>
      </w:r>
      <w:r w:rsidR="003A0614" w:rsidRPr="008379CA">
        <w:rPr>
          <w:rFonts w:ascii="Bookman Old Style" w:hAnsi="Bookman Old Style" w:cs="Arial"/>
          <w:sz w:val="24"/>
          <w:szCs w:val="24"/>
          <w:lang w:val="sv-FI"/>
        </w:rPr>
        <w:t>5.2.3</w:t>
      </w:r>
      <w:r w:rsidR="00A954D0" w:rsidRPr="008379CA">
        <w:rPr>
          <w:rFonts w:ascii="Bookman Old Style" w:hAnsi="Bookman Old Style"/>
          <w:sz w:val="24"/>
          <w:szCs w:val="24"/>
        </w:rPr>
        <w:t xml:space="preserve"> </w:t>
      </w:r>
      <w:r w:rsidR="003A0614" w:rsidRPr="008379CA">
        <w:rPr>
          <w:rFonts w:ascii="Bookman Old Style" w:hAnsi="Bookman Old Style"/>
          <w:sz w:val="24"/>
          <w:szCs w:val="24"/>
        </w:rPr>
        <w:t>Lampiran</w:t>
      </w:r>
      <w:r w:rsidR="00A954D0" w:rsidRPr="008379CA">
        <w:rPr>
          <w:rFonts w:ascii="Bookman Old Style" w:hAnsi="Bookman Old Style"/>
          <w:sz w:val="24"/>
          <w:szCs w:val="24"/>
        </w:rPr>
        <w:t xml:space="preserve"> </w:t>
      </w:r>
      <w:r w:rsidR="003A0614" w:rsidRPr="008379CA">
        <w:rPr>
          <w:rFonts w:ascii="Bookman Old Style" w:hAnsi="Bookman Old Style"/>
          <w:sz w:val="24"/>
          <w:szCs w:val="24"/>
        </w:rPr>
        <w:t>Peraturan</w:t>
      </w:r>
      <w:r w:rsidR="00A954D0" w:rsidRPr="008379CA">
        <w:rPr>
          <w:rFonts w:ascii="Bookman Old Style" w:hAnsi="Bookman Old Style"/>
          <w:sz w:val="24"/>
          <w:szCs w:val="24"/>
        </w:rPr>
        <w:t xml:space="preserve"> </w:t>
      </w:r>
      <w:r w:rsidR="003A0614" w:rsidRPr="008379CA">
        <w:rPr>
          <w:rFonts w:ascii="Bookman Old Style" w:hAnsi="Bookman Old Style"/>
          <w:sz w:val="24"/>
          <w:szCs w:val="24"/>
        </w:rPr>
        <w:t>Menteri</w:t>
      </w:r>
      <w:r w:rsidR="00A954D0" w:rsidRPr="008379CA">
        <w:rPr>
          <w:rFonts w:ascii="Bookman Old Style" w:hAnsi="Bookman Old Style"/>
          <w:sz w:val="24"/>
          <w:szCs w:val="24"/>
        </w:rPr>
        <w:t xml:space="preserve"> </w:t>
      </w:r>
      <w:r w:rsidR="003A0614"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003A0614" w:rsidRPr="008379CA">
        <w:rPr>
          <w:rFonts w:ascii="Bookman Old Style" w:hAnsi="Bookman Old Style"/>
          <w:sz w:val="24"/>
          <w:szCs w:val="24"/>
        </w:rPr>
        <w:t>Negeri</w:t>
      </w:r>
      <w:r w:rsidR="00A954D0" w:rsidRPr="008379CA">
        <w:rPr>
          <w:rFonts w:ascii="Bookman Old Style" w:hAnsi="Bookman Old Style"/>
          <w:sz w:val="24"/>
          <w:szCs w:val="24"/>
        </w:rPr>
        <w:t xml:space="preserve"> </w:t>
      </w:r>
      <w:r w:rsidR="003A0614" w:rsidRPr="008379CA">
        <w:rPr>
          <w:rFonts w:ascii="Bookman Old Style" w:hAnsi="Bookman Old Style"/>
          <w:sz w:val="24"/>
          <w:szCs w:val="24"/>
        </w:rPr>
        <w:t>Nomor</w:t>
      </w:r>
      <w:r w:rsidR="00A954D0" w:rsidRPr="008379CA">
        <w:rPr>
          <w:rFonts w:ascii="Bookman Old Style" w:hAnsi="Bookman Old Style"/>
          <w:sz w:val="24"/>
          <w:szCs w:val="24"/>
        </w:rPr>
        <w:t xml:space="preserve"> </w:t>
      </w:r>
      <w:r w:rsidR="003A0614" w:rsidRPr="008379CA">
        <w:rPr>
          <w:rFonts w:ascii="Bookman Old Style" w:hAnsi="Bookman Old Style"/>
          <w:sz w:val="24"/>
          <w:szCs w:val="24"/>
          <w:lang w:val="sv-FI"/>
        </w:rPr>
        <w:t>15</w:t>
      </w:r>
      <w:r w:rsidR="00A954D0" w:rsidRPr="008379CA">
        <w:rPr>
          <w:rFonts w:ascii="Bookman Old Style" w:hAnsi="Bookman Old Style"/>
          <w:sz w:val="24"/>
          <w:szCs w:val="24"/>
        </w:rPr>
        <w:t xml:space="preserve"> </w:t>
      </w:r>
      <w:r w:rsidR="003A0614"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003A0614" w:rsidRPr="008379CA">
        <w:rPr>
          <w:rFonts w:ascii="Bookman Old Style" w:hAnsi="Bookman Old Style"/>
          <w:sz w:val="24"/>
          <w:szCs w:val="24"/>
        </w:rPr>
        <w:t>202</w:t>
      </w:r>
      <w:r w:rsidR="003A0614" w:rsidRPr="008379CA">
        <w:rPr>
          <w:rFonts w:ascii="Bookman Old Style" w:hAnsi="Bookman Old Style"/>
          <w:sz w:val="24"/>
          <w:szCs w:val="24"/>
          <w:lang w:val="sv-FI"/>
        </w:rPr>
        <w:t>4</w:t>
      </w:r>
      <w:r w:rsidR="003A0614" w:rsidRPr="008379CA">
        <w:rPr>
          <w:rFonts w:ascii="Bookman Old Style" w:hAnsi="Bookman Old Style"/>
          <w:sz w:val="24"/>
          <w:szCs w:val="24"/>
        </w:rPr>
        <w:t>.</w:t>
      </w:r>
    </w:p>
    <w:p w14:paraId="402BB529" w14:textId="6EC6194F" w:rsidR="003A0614" w:rsidRPr="008379CA" w:rsidRDefault="003A0614" w:rsidP="006A0033">
      <w:pPr>
        <w:pStyle w:val="ListParagraph"/>
        <w:spacing w:before="120" w:after="0" w:line="276" w:lineRule="auto"/>
        <w:ind w:left="1276"/>
        <w:contextualSpacing w:val="0"/>
        <w:jc w:val="both"/>
        <w:rPr>
          <w:rFonts w:ascii="Bookman Old Style" w:hAnsi="Bookman Old Style"/>
          <w:sz w:val="24"/>
          <w:szCs w:val="24"/>
          <w:lang w:val="en-US"/>
        </w:rPr>
      </w:pPr>
      <w:r w:rsidRPr="008379CA">
        <w:rPr>
          <w:rFonts w:ascii="Bookman Old Style" w:hAnsi="Bookman Old Style" w:cs="Arial"/>
          <w:sz w:val="24"/>
          <w:szCs w:val="24"/>
        </w:rPr>
        <w:t>Untuk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itu,</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Pemerintah</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Daerah</w:t>
      </w:r>
      <w:r w:rsidR="00A954D0" w:rsidRPr="008379CA">
        <w:rPr>
          <w:rFonts w:ascii="Bookman Old Style" w:hAnsi="Bookman Old Style" w:cs="Arial"/>
          <w:sz w:val="24"/>
          <w:szCs w:val="24"/>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cs="Arial"/>
          <w:sz w:val="24"/>
          <w:szCs w:val="24"/>
          <w:lang w:val="en-US"/>
        </w:rPr>
        <w:t>harus</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mengupayakan/</w:t>
      </w:r>
      <w:r w:rsidRPr="008379CA">
        <w:rPr>
          <w:rFonts w:ascii="Bookman Old Style" w:hAnsi="Bookman Old Style" w:cs="Arial"/>
          <w:sz w:val="24"/>
          <w:szCs w:val="24"/>
          <w:shd w:val="clear" w:color="auto" w:fill="FFFFFF"/>
          <w:lang w:val="en-US"/>
        </w:rPr>
        <w:t>mempertahankan</w:t>
      </w:r>
      <w:r w:rsidR="00A954D0" w:rsidRPr="008379CA">
        <w:rPr>
          <w:rFonts w:ascii="Bookman Old Style" w:hAnsi="Bookman Old Style" w:cs="Arial"/>
          <w:sz w:val="24"/>
          <w:szCs w:val="24"/>
          <w:shd w:val="clear" w:color="auto" w:fill="FFFFFF"/>
          <w:lang w:val="en-US"/>
        </w:rPr>
        <w:t xml:space="preserve"> </w:t>
      </w:r>
      <w:r w:rsidRPr="008379CA">
        <w:rPr>
          <w:rFonts w:ascii="Bookman Old Style" w:hAnsi="Bookman Old Style" w:cs="Arial"/>
          <w:sz w:val="24"/>
          <w:szCs w:val="24"/>
          <w:shd w:val="clear" w:color="auto" w:fill="FFFFFF"/>
          <w:lang w:val="en-US"/>
        </w:rPr>
        <w:t>secara</w:t>
      </w:r>
      <w:r w:rsidR="00A954D0" w:rsidRPr="008379CA">
        <w:rPr>
          <w:rFonts w:ascii="Bookman Old Style" w:hAnsi="Bookman Old Style" w:cs="Arial"/>
          <w:sz w:val="24"/>
          <w:szCs w:val="24"/>
          <w:shd w:val="clear" w:color="auto" w:fill="FFFFFF"/>
          <w:lang w:val="en-US"/>
        </w:rPr>
        <w:t xml:space="preserve"> </w:t>
      </w:r>
      <w:r w:rsidRPr="008379CA">
        <w:rPr>
          <w:rFonts w:ascii="Bookman Old Style" w:hAnsi="Bookman Old Style" w:cs="Arial"/>
          <w:sz w:val="24"/>
          <w:szCs w:val="24"/>
          <w:shd w:val="clear" w:color="auto" w:fill="FFFFFF"/>
          <w:lang w:val="en-US"/>
        </w:rPr>
        <w:t>terus</w:t>
      </w:r>
      <w:r w:rsidR="00A954D0" w:rsidRPr="008379CA">
        <w:rPr>
          <w:rFonts w:ascii="Bookman Old Style" w:hAnsi="Bookman Old Style" w:cs="Arial"/>
          <w:sz w:val="24"/>
          <w:szCs w:val="24"/>
          <w:shd w:val="clear" w:color="auto" w:fill="FFFFFF"/>
          <w:lang w:val="en-US"/>
        </w:rPr>
        <w:t xml:space="preserve"> </w:t>
      </w:r>
      <w:r w:rsidRPr="008379CA">
        <w:rPr>
          <w:rFonts w:ascii="Bookman Old Style" w:hAnsi="Bookman Old Style" w:cs="Arial"/>
          <w:sz w:val="24"/>
          <w:szCs w:val="24"/>
          <w:shd w:val="clear" w:color="auto" w:fill="FFFFFF"/>
          <w:lang w:val="en-US"/>
        </w:rPr>
        <w:t>menerus</w:t>
      </w:r>
      <w:r w:rsidR="00A954D0" w:rsidRPr="008379CA">
        <w:rPr>
          <w:rFonts w:ascii="Bookman Old Style" w:hAnsi="Bookman Old Style" w:cs="Arial"/>
          <w:sz w:val="24"/>
          <w:szCs w:val="24"/>
          <w:shd w:val="clear" w:color="auto" w:fill="FFFFFF"/>
          <w:lang w:val="en-US"/>
        </w:rPr>
        <w:t xml:space="preserve"> </w:t>
      </w:r>
      <w:r w:rsidRPr="008379CA">
        <w:rPr>
          <w:rFonts w:ascii="Bookman Old Style" w:hAnsi="Bookman Old Style" w:cs="Arial"/>
          <w:sz w:val="24"/>
          <w:szCs w:val="24"/>
          <w:lang w:val="en-US"/>
        </w:rPr>
        <w:t>dan</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sv-FI"/>
        </w:rPr>
        <w:t>konsisten</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dalam</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pemenuhan</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alokasi</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rPr>
        <w:t>anggaran</w:t>
      </w:r>
      <w:r w:rsidR="00A954D0" w:rsidRPr="008379CA">
        <w:rPr>
          <w:rFonts w:ascii="Bookman Old Style" w:hAnsi="Bookman Old Style" w:cs="Arial"/>
          <w:sz w:val="24"/>
          <w:szCs w:val="24"/>
        </w:rPr>
        <w:t xml:space="preserve"> </w:t>
      </w:r>
      <w:r w:rsidRPr="008379CA">
        <w:rPr>
          <w:rFonts w:ascii="Bookman Old Style" w:hAnsi="Bookman Old Style"/>
          <w:sz w:val="24"/>
          <w:szCs w:val="24"/>
        </w:rPr>
        <w:t>untuk</w:t>
      </w:r>
      <w:r w:rsidR="00A954D0" w:rsidRPr="008379CA">
        <w:rPr>
          <w:rFonts w:ascii="Bookman Old Style" w:hAnsi="Bookman Old Style"/>
          <w:sz w:val="24"/>
          <w:szCs w:val="24"/>
        </w:rPr>
        <w:t xml:space="preserve"> </w:t>
      </w:r>
      <w:r w:rsidRPr="008379CA">
        <w:rPr>
          <w:rFonts w:ascii="Bookman Old Style" w:hAnsi="Bookman Old Style"/>
          <w:sz w:val="24"/>
          <w:szCs w:val="24"/>
        </w:rPr>
        <w:t>pendidikan</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Pr="008379CA">
        <w:rPr>
          <w:rFonts w:ascii="Bookman Old Style" w:hAnsi="Bookman Old Style"/>
          <w:sz w:val="24"/>
          <w:szCs w:val="24"/>
        </w:rPr>
        <w:t>pelatihan</w:t>
      </w:r>
      <w:r w:rsidR="00A954D0" w:rsidRPr="008379CA">
        <w:rPr>
          <w:rFonts w:ascii="Bookman Old Style" w:hAnsi="Bookman Old Style"/>
          <w:sz w:val="24"/>
          <w:szCs w:val="24"/>
        </w:rPr>
        <w:t xml:space="preserve"> </w:t>
      </w:r>
      <w:r w:rsidRPr="008379CA">
        <w:rPr>
          <w:rFonts w:ascii="Bookman Old Style" w:hAnsi="Bookman Old Style"/>
          <w:sz w:val="24"/>
          <w:szCs w:val="24"/>
        </w:rPr>
        <w:t>bagi</w:t>
      </w:r>
      <w:r w:rsidR="00A954D0" w:rsidRPr="008379CA">
        <w:rPr>
          <w:rFonts w:ascii="Bookman Old Style" w:hAnsi="Bookman Old Style"/>
          <w:sz w:val="24"/>
          <w:szCs w:val="24"/>
        </w:rPr>
        <w:t xml:space="preserve"> </w:t>
      </w:r>
      <w:r w:rsidRPr="008379CA">
        <w:rPr>
          <w:rFonts w:ascii="Bookman Old Style" w:hAnsi="Bookman Old Style"/>
          <w:sz w:val="24"/>
          <w:szCs w:val="24"/>
        </w:rPr>
        <w:t>ASN</w:t>
      </w:r>
      <w:r w:rsidR="00A954D0" w:rsidRPr="008379CA">
        <w:rPr>
          <w:rFonts w:ascii="Bookman Old Style" w:hAnsi="Bookman Old Style"/>
          <w:sz w:val="24"/>
          <w:szCs w:val="24"/>
        </w:rPr>
        <w:t xml:space="preserve"> </w:t>
      </w:r>
      <w:r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Pr="008379CA">
        <w:rPr>
          <w:rFonts w:ascii="Bookman Old Style" w:hAnsi="Bookman Old Style"/>
          <w:sz w:val="24"/>
          <w:szCs w:val="24"/>
        </w:rPr>
        <w:t>rangka</w:t>
      </w:r>
      <w:r w:rsidR="00A954D0" w:rsidRPr="008379CA">
        <w:rPr>
          <w:rFonts w:ascii="Bookman Old Style" w:hAnsi="Bookman Old Style"/>
          <w:sz w:val="24"/>
          <w:szCs w:val="24"/>
        </w:rPr>
        <w:t xml:space="preserve"> </w:t>
      </w:r>
      <w:r w:rsidRPr="008379CA">
        <w:rPr>
          <w:rFonts w:ascii="Bookman Old Style" w:hAnsi="Bookman Old Style" w:cs="Arial"/>
          <w:sz w:val="24"/>
          <w:szCs w:val="24"/>
        </w:rPr>
        <w:t>pengembangan</w:t>
      </w:r>
      <w:r w:rsidR="00A954D0" w:rsidRPr="008379CA">
        <w:rPr>
          <w:rFonts w:ascii="Bookman Old Style" w:hAnsi="Bookman Old Style"/>
          <w:sz w:val="24"/>
          <w:szCs w:val="24"/>
        </w:rPr>
        <w:t xml:space="preserve"> </w:t>
      </w:r>
      <w:r w:rsidRPr="008379CA">
        <w:rPr>
          <w:rFonts w:ascii="Bookman Old Style" w:hAnsi="Bookman Old Style"/>
          <w:sz w:val="24"/>
          <w:szCs w:val="24"/>
        </w:rPr>
        <w:t>kompetensi</w:t>
      </w:r>
      <w:r w:rsidR="00A954D0" w:rsidRPr="008379CA">
        <w:rPr>
          <w:rFonts w:ascii="Bookman Old Style" w:hAnsi="Bookman Old Style"/>
          <w:sz w:val="24"/>
          <w:szCs w:val="24"/>
        </w:rPr>
        <w:t xml:space="preserve"> </w:t>
      </w:r>
      <w:r w:rsidRPr="008379CA">
        <w:rPr>
          <w:rFonts w:ascii="Bookman Old Style" w:hAnsi="Bookman Old Style"/>
          <w:sz w:val="24"/>
          <w:szCs w:val="24"/>
        </w:rPr>
        <w:t>penyelenggara</w:t>
      </w:r>
      <w:r w:rsidR="00A954D0" w:rsidRPr="008379CA">
        <w:rPr>
          <w:rFonts w:ascii="Bookman Old Style" w:hAnsi="Bookman Old Style"/>
          <w:sz w:val="24"/>
          <w:szCs w:val="24"/>
        </w:rPr>
        <w:t xml:space="preserve"> </w:t>
      </w:r>
      <w:r w:rsidRPr="008379CA">
        <w:rPr>
          <w:rFonts w:ascii="Bookman Old Style" w:hAnsi="Bookman Old Style"/>
          <w:sz w:val="24"/>
          <w:szCs w:val="24"/>
        </w:rPr>
        <w:t>Pemerintah</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paling</w:t>
      </w:r>
      <w:r w:rsidR="00A954D0" w:rsidRPr="008379CA">
        <w:rPr>
          <w:rFonts w:ascii="Bookman Old Style" w:hAnsi="Bookman Old Style"/>
          <w:sz w:val="24"/>
          <w:szCs w:val="24"/>
        </w:rPr>
        <w:t xml:space="preserve"> </w:t>
      </w:r>
      <w:r w:rsidRPr="008379CA">
        <w:rPr>
          <w:rFonts w:ascii="Bookman Old Style" w:hAnsi="Bookman Old Style"/>
          <w:sz w:val="24"/>
          <w:szCs w:val="24"/>
        </w:rPr>
        <w:t>sedikit</w:t>
      </w:r>
      <w:r w:rsidR="00A954D0" w:rsidRPr="008379CA">
        <w:rPr>
          <w:rFonts w:ascii="Bookman Old Style" w:hAnsi="Bookman Old Style"/>
          <w:sz w:val="24"/>
          <w:szCs w:val="24"/>
        </w:rPr>
        <w:t xml:space="preserve"> </w:t>
      </w:r>
      <w:r w:rsidRPr="008379CA">
        <w:rPr>
          <w:rFonts w:ascii="Bookman Old Style" w:hAnsi="Bookman Old Style"/>
          <w:sz w:val="24"/>
          <w:szCs w:val="24"/>
        </w:rPr>
        <w:t>0,</w:t>
      </w:r>
      <w:r w:rsidRPr="008379CA">
        <w:rPr>
          <w:rFonts w:ascii="Bookman Old Style" w:hAnsi="Bookman Old Style"/>
          <w:sz w:val="24"/>
          <w:szCs w:val="24"/>
          <w:lang w:val="en-US"/>
        </w:rPr>
        <w:t>16</w:t>
      </w:r>
      <w:r w:rsidRPr="008379CA">
        <w:rPr>
          <w:rFonts w:ascii="Bookman Old Style" w:hAnsi="Bookman Old Style"/>
          <w:sz w:val="24"/>
          <w:szCs w:val="24"/>
        </w:rPr>
        <w:t>%</w:t>
      </w:r>
      <w:r w:rsidR="00A954D0" w:rsidRPr="008379CA">
        <w:rPr>
          <w:rFonts w:ascii="Bookman Old Style" w:hAnsi="Bookman Old Style"/>
          <w:sz w:val="24"/>
          <w:szCs w:val="24"/>
        </w:rPr>
        <w:t xml:space="preserve"> </w:t>
      </w:r>
      <w:r w:rsidRPr="008379CA">
        <w:rPr>
          <w:rFonts w:ascii="Bookman Old Style" w:hAnsi="Bookman Old Style"/>
          <w:sz w:val="24"/>
          <w:szCs w:val="24"/>
        </w:rPr>
        <w:t>(nol</w:t>
      </w:r>
      <w:r w:rsidR="00A954D0" w:rsidRPr="008379CA">
        <w:rPr>
          <w:rFonts w:ascii="Bookman Old Style" w:hAnsi="Bookman Old Style"/>
          <w:sz w:val="24"/>
          <w:szCs w:val="24"/>
        </w:rPr>
        <w:t xml:space="preserve"> </w:t>
      </w:r>
      <w:r w:rsidRPr="008379CA">
        <w:rPr>
          <w:rFonts w:ascii="Bookman Old Style" w:hAnsi="Bookman Old Style"/>
          <w:sz w:val="24"/>
          <w:szCs w:val="24"/>
        </w:rPr>
        <w:t>koma</w:t>
      </w:r>
      <w:r w:rsidR="00A954D0" w:rsidRPr="008379CA">
        <w:rPr>
          <w:rFonts w:ascii="Bookman Old Style" w:hAnsi="Bookman Old Style"/>
          <w:sz w:val="24"/>
          <w:szCs w:val="24"/>
        </w:rPr>
        <w:t xml:space="preserve"> </w:t>
      </w:r>
      <w:r w:rsidRPr="008379CA">
        <w:rPr>
          <w:rFonts w:ascii="Bookman Old Style" w:hAnsi="Bookman Old Style"/>
          <w:sz w:val="24"/>
          <w:szCs w:val="24"/>
          <w:lang w:val="en-US"/>
        </w:rPr>
        <w:t>enam</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belas</w:t>
      </w:r>
      <w:r w:rsidR="00A954D0" w:rsidRPr="008379CA">
        <w:rPr>
          <w:rFonts w:ascii="Bookman Old Style" w:hAnsi="Bookman Old Style"/>
          <w:sz w:val="24"/>
          <w:szCs w:val="24"/>
        </w:rPr>
        <w:t xml:space="preserve"> </w:t>
      </w:r>
      <w:r w:rsidRPr="008379CA">
        <w:rPr>
          <w:rFonts w:ascii="Bookman Old Style" w:hAnsi="Bookman Old Style"/>
          <w:sz w:val="24"/>
          <w:szCs w:val="24"/>
        </w:rPr>
        <w:t>persen)</w:t>
      </w:r>
      <w:r w:rsidR="00A954D0" w:rsidRPr="008379CA">
        <w:rPr>
          <w:rFonts w:ascii="Bookman Old Style" w:hAnsi="Bookman Old Style"/>
          <w:sz w:val="24"/>
          <w:szCs w:val="24"/>
        </w:rPr>
        <w:t xml:space="preserve"> </w:t>
      </w:r>
      <w:r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Pr="008379CA">
        <w:rPr>
          <w:rFonts w:ascii="Bookman Old Style" w:hAnsi="Bookman Old Style"/>
          <w:sz w:val="24"/>
          <w:szCs w:val="24"/>
        </w:rPr>
        <w:t>total</w:t>
      </w:r>
      <w:r w:rsidR="00A954D0" w:rsidRPr="008379CA">
        <w:rPr>
          <w:rFonts w:ascii="Bookman Old Style" w:hAnsi="Bookman Old Style"/>
          <w:sz w:val="24"/>
          <w:szCs w:val="24"/>
        </w:rPr>
        <w:t xml:space="preserve"> </w:t>
      </w:r>
      <w:r w:rsidRPr="008379CA">
        <w:rPr>
          <w:rFonts w:ascii="Bookman Old Style" w:hAnsi="Bookman Old Style"/>
          <w:sz w:val="24"/>
          <w:szCs w:val="24"/>
        </w:rPr>
        <w:t>belanja</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cs="Arial"/>
          <w:sz w:val="24"/>
          <w:szCs w:val="24"/>
          <w:lang w:val="en-US"/>
        </w:rPr>
        <w:t>di</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luar</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Belanja</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Pegawai</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dan</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Belanja</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Pemeliharaan</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pada</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SKPD</w:t>
      </w:r>
      <w:r w:rsidR="00A954D0" w:rsidRPr="008379CA">
        <w:rPr>
          <w:rFonts w:ascii="Bookman Old Style" w:hAnsi="Bookman Old Style" w:cs="Arial"/>
          <w:sz w:val="24"/>
          <w:szCs w:val="24"/>
          <w:lang w:val="en-US"/>
        </w:rPr>
        <w:t xml:space="preserve"> </w:t>
      </w:r>
      <w:r w:rsidRPr="008379CA">
        <w:rPr>
          <w:rFonts w:ascii="Bookman Old Style" w:hAnsi="Bookman Old Style"/>
          <w:sz w:val="24"/>
          <w:szCs w:val="24"/>
        </w:rPr>
        <w:t>Badan</w:t>
      </w:r>
      <w:r w:rsidR="00A954D0" w:rsidRPr="008379CA">
        <w:rPr>
          <w:rFonts w:ascii="Bookman Old Style" w:hAnsi="Bookman Old Style"/>
          <w:sz w:val="24"/>
          <w:szCs w:val="24"/>
        </w:rPr>
        <w:t xml:space="preserve"> </w:t>
      </w:r>
      <w:r w:rsidRPr="008379CA">
        <w:rPr>
          <w:rFonts w:ascii="Bookman Old Style" w:hAnsi="Bookman Old Style"/>
          <w:sz w:val="24"/>
          <w:szCs w:val="24"/>
          <w:lang w:val="en-GB"/>
        </w:rPr>
        <w:t>Kepegawaian</w:t>
      </w:r>
      <w:r w:rsidR="00A954D0" w:rsidRPr="008379CA">
        <w:rPr>
          <w:rFonts w:ascii="Bookman Old Style" w:hAnsi="Bookman Old Style"/>
          <w:sz w:val="24"/>
          <w:szCs w:val="24"/>
          <w:lang w:val="en-GB"/>
        </w:rPr>
        <w:t xml:space="preserve"> </w:t>
      </w:r>
      <w:r w:rsidRPr="008379CA">
        <w:rPr>
          <w:rFonts w:ascii="Bookman Old Style" w:hAnsi="Bookman Old Style"/>
          <w:sz w:val="24"/>
          <w:szCs w:val="24"/>
          <w:lang w:val="en-GB"/>
        </w:rPr>
        <w:t>dan</w:t>
      </w:r>
      <w:r w:rsidR="00A954D0" w:rsidRPr="008379CA">
        <w:rPr>
          <w:rFonts w:ascii="Bookman Old Style" w:hAnsi="Bookman Old Style"/>
          <w:sz w:val="24"/>
          <w:szCs w:val="24"/>
          <w:lang w:val="en-GB"/>
        </w:rPr>
        <w:t xml:space="preserve"> </w:t>
      </w:r>
      <w:r w:rsidRPr="008379CA">
        <w:rPr>
          <w:rFonts w:ascii="Bookman Old Style" w:hAnsi="Bookman Old Style"/>
          <w:sz w:val="24"/>
          <w:szCs w:val="24"/>
        </w:rPr>
        <w:t>Pengembangan</w:t>
      </w:r>
      <w:r w:rsidR="00A954D0" w:rsidRPr="008379CA">
        <w:rPr>
          <w:rFonts w:ascii="Bookman Old Style" w:hAnsi="Bookman Old Style"/>
          <w:sz w:val="24"/>
          <w:szCs w:val="24"/>
        </w:rPr>
        <w:t xml:space="preserve"> </w:t>
      </w:r>
      <w:r w:rsidRPr="008379CA">
        <w:rPr>
          <w:rFonts w:ascii="Bookman Old Style" w:hAnsi="Bookman Old Style"/>
          <w:sz w:val="24"/>
          <w:szCs w:val="24"/>
        </w:rPr>
        <w:t>Sumber</w:t>
      </w:r>
      <w:r w:rsidR="00A954D0" w:rsidRPr="008379CA">
        <w:rPr>
          <w:rFonts w:ascii="Bookman Old Style" w:hAnsi="Bookman Old Style"/>
          <w:sz w:val="24"/>
          <w:szCs w:val="24"/>
        </w:rPr>
        <w:t xml:space="preserve"> </w:t>
      </w:r>
      <w:r w:rsidRPr="008379CA">
        <w:rPr>
          <w:rFonts w:ascii="Bookman Old Style" w:hAnsi="Bookman Old Style"/>
          <w:sz w:val="24"/>
          <w:szCs w:val="24"/>
        </w:rPr>
        <w:t>Daya</w:t>
      </w:r>
      <w:r w:rsidR="00A954D0" w:rsidRPr="008379CA">
        <w:rPr>
          <w:rFonts w:ascii="Bookman Old Style" w:hAnsi="Bookman Old Style"/>
          <w:sz w:val="24"/>
          <w:szCs w:val="24"/>
          <w:lang w:val="id-ID"/>
        </w:rPr>
        <w:t xml:space="preserve"> </w:t>
      </w:r>
      <w:r w:rsidRPr="008379CA">
        <w:rPr>
          <w:rFonts w:ascii="Bookman Old Style" w:hAnsi="Bookman Old Style"/>
          <w:sz w:val="24"/>
          <w:szCs w:val="24"/>
        </w:rPr>
        <w:t>Manusia</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Pr="008379CA">
        <w:rPr>
          <w:rFonts w:ascii="Bookman Old Style" w:hAnsi="Bookman Old Style"/>
          <w:sz w:val="24"/>
          <w:szCs w:val="24"/>
        </w:rPr>
        <w:t>Rancangan</w:t>
      </w:r>
      <w:r w:rsidR="00A954D0" w:rsidRPr="008379CA">
        <w:rPr>
          <w:rFonts w:ascii="Bookman Old Style" w:hAnsi="Bookman Old Style"/>
          <w:sz w:val="24"/>
          <w:szCs w:val="24"/>
        </w:rPr>
        <w:t xml:space="preserve"> </w:t>
      </w:r>
      <w:r w:rsidRPr="008379CA">
        <w:rPr>
          <w:rFonts w:ascii="Bookman Old Style" w:hAnsi="Bookman Old Style"/>
          <w:sz w:val="24"/>
          <w:szCs w:val="24"/>
        </w:rPr>
        <w:t>Peraturan</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sz w:val="24"/>
          <w:szCs w:val="24"/>
        </w:rPr>
        <w:t>tentang</w:t>
      </w:r>
      <w:r w:rsidR="00A954D0" w:rsidRPr="008379CA">
        <w:rPr>
          <w:rFonts w:ascii="Bookman Old Style" w:hAnsi="Bookman Old Style"/>
          <w:sz w:val="24"/>
          <w:szCs w:val="24"/>
        </w:rPr>
        <w:t xml:space="preserve"> </w:t>
      </w:r>
      <w:r w:rsidRPr="008379CA">
        <w:rPr>
          <w:rFonts w:ascii="Bookman Old Style" w:hAnsi="Bookman Old Style"/>
          <w:sz w:val="24"/>
          <w:szCs w:val="24"/>
        </w:rPr>
        <w:t>APBD</w:t>
      </w:r>
      <w:r w:rsidR="00A954D0" w:rsidRPr="008379CA">
        <w:rPr>
          <w:rFonts w:ascii="Bookman Old Style" w:hAnsi="Bookman Old Style"/>
          <w:sz w:val="24"/>
          <w:szCs w:val="24"/>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2025</w:t>
      </w:r>
      <w:r w:rsidRPr="008379CA">
        <w:rPr>
          <w:rFonts w:ascii="Bookman Old Style" w:hAnsi="Bookman Old Style" w:cs="Arial"/>
          <w:sz w:val="24"/>
          <w:szCs w:val="24"/>
          <w:lang w:val="en-US"/>
        </w:rPr>
        <w:t>,</w:t>
      </w:r>
      <w:r w:rsidR="00A954D0" w:rsidRPr="008379CA">
        <w:rPr>
          <w:rFonts w:ascii="Bookman Old Style" w:hAnsi="Bookman Old Style" w:cs="Arial"/>
          <w:sz w:val="24"/>
          <w:szCs w:val="24"/>
          <w:lang w:val="en-US"/>
        </w:rPr>
        <w:t xml:space="preserve"> </w:t>
      </w:r>
      <w:r w:rsidRPr="008379CA">
        <w:rPr>
          <w:rFonts w:ascii="Bookman Old Style" w:hAnsi="Bookman Old Style" w:cs="Arial"/>
          <w:sz w:val="24"/>
          <w:szCs w:val="24"/>
          <w:lang w:val="en-US"/>
        </w:rPr>
        <w:t>s</w:t>
      </w:r>
      <w:r w:rsidRPr="008379CA">
        <w:rPr>
          <w:rFonts w:ascii="Bookman Old Style" w:hAnsi="Bookman Old Style"/>
          <w:sz w:val="24"/>
          <w:szCs w:val="24"/>
        </w:rPr>
        <w:t>ebagaimana</w:t>
      </w:r>
      <w:r w:rsidR="00A954D0" w:rsidRPr="008379CA">
        <w:rPr>
          <w:rFonts w:ascii="Bookman Old Style" w:hAnsi="Bookman Old Style"/>
          <w:sz w:val="24"/>
          <w:szCs w:val="24"/>
        </w:rPr>
        <w:t xml:space="preserve"> </w:t>
      </w:r>
      <w:r w:rsidRPr="008379CA">
        <w:rPr>
          <w:rFonts w:ascii="Bookman Old Style" w:hAnsi="Bookman Old Style"/>
          <w:sz w:val="24"/>
          <w:szCs w:val="24"/>
          <w:lang w:val="en-US"/>
        </w:rPr>
        <w:t>maksud</w:t>
      </w:r>
      <w:r w:rsidR="00A954D0" w:rsidRPr="008379CA">
        <w:rPr>
          <w:rFonts w:ascii="Bookman Old Style" w:hAnsi="Bookman Old Style"/>
          <w:sz w:val="24"/>
          <w:szCs w:val="24"/>
        </w:rPr>
        <w:t xml:space="preserve"> </w:t>
      </w:r>
      <w:r w:rsidRPr="008379CA">
        <w:rPr>
          <w:rFonts w:ascii="Bookman Old Style" w:hAnsi="Bookman Old Style" w:cs="Arial"/>
          <w:sz w:val="24"/>
          <w:szCs w:val="24"/>
        </w:rPr>
        <w:t>butir</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lang w:val="en-US"/>
        </w:rPr>
        <w:t>5.2.3.a</w:t>
      </w:r>
      <w:r w:rsidR="00A954D0" w:rsidRPr="008379CA">
        <w:rPr>
          <w:rFonts w:ascii="Bookman Old Style" w:hAnsi="Bookman Old Style"/>
          <w:sz w:val="24"/>
          <w:szCs w:val="24"/>
        </w:rPr>
        <w:t xml:space="preserve"> </w:t>
      </w:r>
      <w:r w:rsidRPr="008379CA">
        <w:rPr>
          <w:rFonts w:ascii="Bookman Old Style" w:hAnsi="Bookman Old Style"/>
          <w:sz w:val="24"/>
          <w:szCs w:val="24"/>
        </w:rPr>
        <w:t>Lampiran</w:t>
      </w:r>
      <w:r w:rsidR="00A954D0" w:rsidRPr="008379CA">
        <w:rPr>
          <w:rFonts w:ascii="Bookman Old Style" w:hAnsi="Bookman Old Style"/>
          <w:sz w:val="24"/>
          <w:szCs w:val="24"/>
        </w:rPr>
        <w:t xml:space="preserve"> </w:t>
      </w:r>
      <w:r w:rsidRPr="008379CA">
        <w:rPr>
          <w:rFonts w:ascii="Bookman Old Style" w:hAnsi="Bookman Old Style"/>
          <w:sz w:val="24"/>
          <w:szCs w:val="24"/>
        </w:rPr>
        <w:t>Peraturan</w:t>
      </w:r>
      <w:r w:rsidR="00A954D0" w:rsidRPr="008379CA">
        <w:rPr>
          <w:rFonts w:ascii="Bookman Old Style" w:hAnsi="Bookman Old Style"/>
          <w:sz w:val="24"/>
          <w:szCs w:val="24"/>
        </w:rPr>
        <w:t xml:space="preserve"> </w:t>
      </w:r>
      <w:r w:rsidRPr="008379CA">
        <w:rPr>
          <w:rFonts w:ascii="Bookman Old Style" w:hAnsi="Bookman Old Style"/>
          <w:sz w:val="24"/>
          <w:szCs w:val="24"/>
        </w:rPr>
        <w:t>Menteri</w:t>
      </w:r>
      <w:r w:rsidR="00A954D0" w:rsidRPr="008379CA">
        <w:rPr>
          <w:rFonts w:ascii="Bookman Old Style" w:hAnsi="Bookman Old Style"/>
          <w:sz w:val="24"/>
          <w:szCs w:val="24"/>
        </w:rPr>
        <w:t xml:space="preserve"> </w:t>
      </w:r>
      <w:r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Pr="008379CA">
        <w:rPr>
          <w:rFonts w:ascii="Bookman Old Style" w:hAnsi="Bookman Old Style"/>
          <w:sz w:val="24"/>
          <w:szCs w:val="24"/>
        </w:rPr>
        <w:t>Negeri</w:t>
      </w:r>
      <w:r w:rsidR="00A954D0" w:rsidRPr="008379CA">
        <w:rPr>
          <w:rFonts w:ascii="Bookman Old Style" w:hAnsi="Bookman Old Style"/>
          <w:sz w:val="24"/>
          <w:szCs w:val="24"/>
        </w:rPr>
        <w:t xml:space="preserve"> </w:t>
      </w:r>
      <w:r w:rsidRPr="008379CA">
        <w:rPr>
          <w:rFonts w:ascii="Bookman Old Style" w:hAnsi="Bookman Old Style"/>
          <w:sz w:val="24"/>
          <w:szCs w:val="24"/>
        </w:rPr>
        <w:t>Nomor</w:t>
      </w:r>
      <w:r w:rsidR="00A954D0" w:rsidRPr="008379CA">
        <w:rPr>
          <w:rFonts w:ascii="Bookman Old Style" w:hAnsi="Bookman Old Style"/>
          <w:sz w:val="24"/>
          <w:szCs w:val="24"/>
        </w:rPr>
        <w:t xml:space="preserve"> </w:t>
      </w:r>
      <w:r w:rsidRPr="008379CA">
        <w:rPr>
          <w:rFonts w:ascii="Bookman Old Style" w:hAnsi="Bookman Old Style"/>
          <w:sz w:val="24"/>
          <w:szCs w:val="24"/>
          <w:lang w:val="en-US"/>
        </w:rPr>
        <w:t>15</w:t>
      </w:r>
      <w:r w:rsidR="00A954D0" w:rsidRPr="008379CA">
        <w:rPr>
          <w:rFonts w:ascii="Bookman Old Style" w:hAnsi="Bookman Old Style"/>
          <w:sz w:val="24"/>
          <w:szCs w:val="24"/>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rPr>
        <w:t>202</w:t>
      </w:r>
      <w:r w:rsidRPr="008379CA">
        <w:rPr>
          <w:rFonts w:ascii="Bookman Old Style" w:hAnsi="Bookman Old Style"/>
          <w:sz w:val="24"/>
          <w:szCs w:val="24"/>
          <w:lang w:val="en-US"/>
        </w:rPr>
        <w:t>4.</w:t>
      </w:r>
    </w:p>
    <w:p w14:paraId="27AF4273" w14:textId="37C547A0" w:rsidR="000D6D7A" w:rsidRPr="008379CA" w:rsidRDefault="003A0614" w:rsidP="00BD2EDD">
      <w:pPr>
        <w:pStyle w:val="ListParagraph"/>
        <w:spacing w:before="60" w:after="0" w:line="276" w:lineRule="auto"/>
        <w:ind w:left="1276"/>
        <w:contextualSpacing w:val="0"/>
        <w:jc w:val="both"/>
        <w:rPr>
          <w:rFonts w:ascii="Bookman Old Style" w:hAnsi="Bookman Old Style" w:cs="Arial"/>
          <w:sz w:val="24"/>
          <w:szCs w:val="24"/>
        </w:rPr>
      </w:pPr>
      <w:r w:rsidRPr="008379CA">
        <w:rPr>
          <w:rFonts w:ascii="Bookman Old Style" w:hAnsi="Bookman Old Style"/>
          <w:sz w:val="24"/>
          <w:szCs w:val="24"/>
          <w:lang w:val="sv-FI" w:eastAsia="en-US"/>
        </w:rPr>
        <w:lastRenderedPageBreak/>
        <w:t>Dibandingkan</w:t>
      </w:r>
      <w:r w:rsidR="00A954D0" w:rsidRPr="008379CA">
        <w:rPr>
          <w:rFonts w:ascii="Bookman Old Style" w:hAnsi="Bookman Old Style"/>
          <w:sz w:val="24"/>
          <w:szCs w:val="24"/>
          <w:lang w:val="sv-FI" w:eastAsia="en-US"/>
        </w:rPr>
        <w:t xml:space="preserve"> </w:t>
      </w:r>
      <w:r w:rsidRPr="008379CA">
        <w:rPr>
          <w:rFonts w:ascii="Bookman Old Style" w:hAnsi="Bookman Old Style" w:cs="Arial"/>
          <w:sz w:val="24"/>
          <w:szCs w:val="24"/>
          <w:lang w:val="sv-FI"/>
        </w:rPr>
        <w:t>alokasi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rPr>
        <w:t>anggaran</w:t>
      </w:r>
      <w:r w:rsidR="00A954D0" w:rsidRPr="008379CA">
        <w:rPr>
          <w:rFonts w:ascii="Bookman Old Style" w:hAnsi="Bookman Old Style" w:cs="Arial"/>
          <w:sz w:val="24"/>
          <w:szCs w:val="24"/>
        </w:rPr>
        <w:t xml:space="preserve"> </w:t>
      </w:r>
      <w:r w:rsidRPr="008379CA">
        <w:rPr>
          <w:rFonts w:ascii="Bookman Old Style" w:hAnsi="Bookman Old Style"/>
          <w:sz w:val="24"/>
          <w:szCs w:val="24"/>
          <w:lang w:val="sv-FI" w:eastAsia="en-US"/>
        </w:rPr>
        <w:t>tahun</w:t>
      </w:r>
      <w:r w:rsidR="00A954D0" w:rsidRPr="008379CA">
        <w:rPr>
          <w:rFonts w:ascii="Bookman Old Style" w:hAnsi="Bookman Old Style"/>
          <w:sz w:val="24"/>
          <w:szCs w:val="24"/>
          <w:lang w:val="sv-FI" w:eastAsia="en-US"/>
        </w:rPr>
        <w:t xml:space="preserve"> </w:t>
      </w:r>
      <w:r w:rsidRPr="008379CA">
        <w:rPr>
          <w:rFonts w:ascii="Bookman Old Style" w:hAnsi="Bookman Old Style"/>
          <w:sz w:val="24"/>
          <w:szCs w:val="24"/>
          <w:lang w:val="sv-FI" w:eastAsia="en-US"/>
        </w:rPr>
        <w:t>2024</w:t>
      </w:r>
      <w:r w:rsidR="00A954D0" w:rsidRPr="008379CA">
        <w:rPr>
          <w:rFonts w:ascii="Bookman Old Style" w:hAnsi="Bookman Old Style"/>
          <w:sz w:val="24"/>
          <w:szCs w:val="24"/>
          <w:lang w:val="sv-FI" w:eastAsia="en-US"/>
        </w:rPr>
        <w:t xml:space="preserve"> </w:t>
      </w:r>
      <w:r w:rsidRPr="008379CA">
        <w:rPr>
          <w:rFonts w:ascii="Bookman Old Style" w:hAnsi="Bookman Old Style"/>
          <w:sz w:val="24"/>
          <w:szCs w:val="24"/>
          <w:lang w:val="sv-FI" w:eastAsia="en-US"/>
        </w:rPr>
        <w:t>sebesar</w:t>
      </w:r>
      <w:r w:rsidR="00A954D0" w:rsidRPr="008379CA">
        <w:rPr>
          <w:rFonts w:ascii="Bookman Old Style" w:hAnsi="Bookman Old Style"/>
          <w:sz w:val="24"/>
          <w:szCs w:val="24"/>
          <w:lang w:val="sv-FI" w:eastAsia="en-US"/>
        </w:rPr>
        <w:t xml:space="preserve"> </w:t>
      </w:r>
      <w:r w:rsidR="00FC48A1" w:rsidRPr="008379CA">
        <w:rPr>
          <w:rFonts w:ascii="Bookman Old Style" w:hAnsi="Bookman Old Style"/>
          <w:sz w:val="24"/>
          <w:szCs w:val="24"/>
          <w:lang w:val="id-ID" w:eastAsia="en-US"/>
        </w:rPr>
        <w:t>0,35</w:t>
      </w:r>
      <w:r w:rsidRPr="008379CA">
        <w:rPr>
          <w:rFonts w:ascii="Bookman Old Style" w:hAnsi="Bookman Old Style"/>
          <w:sz w:val="24"/>
          <w:szCs w:val="24"/>
          <w:lang w:val="sv-FI" w:eastAsia="en-US"/>
        </w:rPr>
        <w:t>%,</w:t>
      </w:r>
      <w:r w:rsidR="00A954D0" w:rsidRPr="008379CA">
        <w:rPr>
          <w:rFonts w:ascii="Bookman Old Style" w:hAnsi="Bookman Old Style"/>
          <w:sz w:val="24"/>
          <w:szCs w:val="24"/>
          <w:lang w:val="sv-FI" w:eastAsia="en-US"/>
        </w:rPr>
        <w:t xml:space="preserve"> </w:t>
      </w:r>
      <w:r w:rsidRPr="008379CA">
        <w:rPr>
          <w:rFonts w:ascii="Bookman Old Style" w:hAnsi="Bookman Old Style" w:cs="Arial"/>
          <w:sz w:val="24"/>
          <w:szCs w:val="24"/>
          <w:lang w:val="sv-FI"/>
        </w:rPr>
        <w:t>alokasi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rPr>
        <w:t>anggaran</w:t>
      </w:r>
      <w:r w:rsidR="00A954D0" w:rsidRPr="008379CA">
        <w:rPr>
          <w:rFonts w:ascii="Bookman Old Style" w:hAnsi="Bookman Old Style" w:cs="Arial"/>
          <w:sz w:val="24"/>
          <w:szCs w:val="24"/>
        </w:rPr>
        <w:t xml:space="preserve"> </w:t>
      </w:r>
      <w:r w:rsidRPr="008379CA">
        <w:rPr>
          <w:rFonts w:ascii="Bookman Old Style" w:hAnsi="Bookman Old Style"/>
          <w:sz w:val="24"/>
          <w:szCs w:val="24"/>
        </w:rPr>
        <w:t>untuk</w:t>
      </w:r>
      <w:r w:rsidR="00A954D0" w:rsidRPr="008379CA">
        <w:rPr>
          <w:rFonts w:ascii="Bookman Old Style" w:hAnsi="Bookman Old Style"/>
          <w:sz w:val="24"/>
          <w:szCs w:val="24"/>
        </w:rPr>
        <w:t xml:space="preserve"> </w:t>
      </w:r>
      <w:r w:rsidRPr="008379CA">
        <w:rPr>
          <w:rFonts w:ascii="Bookman Old Style" w:hAnsi="Bookman Old Style"/>
          <w:sz w:val="24"/>
          <w:szCs w:val="24"/>
        </w:rPr>
        <w:t>pendidikan</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Pr="008379CA">
        <w:rPr>
          <w:rFonts w:ascii="Bookman Old Style" w:hAnsi="Bookman Old Style"/>
          <w:sz w:val="24"/>
          <w:szCs w:val="24"/>
        </w:rPr>
        <w:t>pelatihan</w:t>
      </w:r>
      <w:r w:rsidR="00A954D0" w:rsidRPr="008379CA">
        <w:rPr>
          <w:rFonts w:ascii="Bookman Old Style" w:hAnsi="Bookman Old Style"/>
          <w:sz w:val="24"/>
          <w:szCs w:val="24"/>
        </w:rPr>
        <w:t xml:space="preserve"> </w:t>
      </w:r>
      <w:r w:rsidRPr="008379CA">
        <w:rPr>
          <w:rFonts w:ascii="Bookman Old Style" w:hAnsi="Bookman Old Style"/>
          <w:sz w:val="24"/>
          <w:szCs w:val="24"/>
        </w:rPr>
        <w:t>bagi</w:t>
      </w:r>
      <w:r w:rsidR="00A954D0" w:rsidRPr="008379CA">
        <w:rPr>
          <w:rFonts w:ascii="Bookman Old Style" w:hAnsi="Bookman Old Style"/>
          <w:sz w:val="24"/>
          <w:szCs w:val="24"/>
        </w:rPr>
        <w:t xml:space="preserve"> </w:t>
      </w:r>
      <w:r w:rsidRPr="008379CA">
        <w:rPr>
          <w:rFonts w:ascii="Bookman Old Style" w:hAnsi="Bookman Old Style"/>
          <w:sz w:val="24"/>
          <w:szCs w:val="24"/>
        </w:rPr>
        <w:t>ASN</w:t>
      </w:r>
      <w:r w:rsidR="00A954D0" w:rsidRPr="008379CA">
        <w:rPr>
          <w:rFonts w:ascii="Bookman Old Style" w:hAnsi="Bookman Old Style"/>
          <w:sz w:val="24"/>
          <w:szCs w:val="24"/>
        </w:rPr>
        <w:t xml:space="preserve"> </w:t>
      </w:r>
      <w:r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Pr="008379CA">
        <w:rPr>
          <w:rFonts w:ascii="Bookman Old Style" w:hAnsi="Bookman Old Style"/>
          <w:sz w:val="24"/>
          <w:szCs w:val="24"/>
        </w:rPr>
        <w:t>rangka</w:t>
      </w:r>
      <w:r w:rsidR="00A954D0" w:rsidRPr="008379CA">
        <w:rPr>
          <w:rFonts w:ascii="Bookman Old Style" w:hAnsi="Bookman Old Style"/>
          <w:sz w:val="24"/>
          <w:szCs w:val="24"/>
        </w:rPr>
        <w:t xml:space="preserve"> </w:t>
      </w:r>
      <w:r w:rsidRPr="008379CA">
        <w:rPr>
          <w:rFonts w:ascii="Bookman Old Style" w:hAnsi="Bookman Old Style" w:cs="Arial"/>
          <w:sz w:val="24"/>
          <w:szCs w:val="24"/>
        </w:rPr>
        <w:t>pengembangan</w:t>
      </w:r>
      <w:r w:rsidR="00A954D0" w:rsidRPr="008379CA">
        <w:rPr>
          <w:rFonts w:ascii="Bookman Old Style" w:hAnsi="Bookman Old Style"/>
          <w:sz w:val="24"/>
          <w:szCs w:val="24"/>
        </w:rPr>
        <w:t xml:space="preserve"> </w:t>
      </w:r>
      <w:r w:rsidRPr="008379CA">
        <w:rPr>
          <w:rFonts w:ascii="Bookman Old Style" w:hAnsi="Bookman Old Style"/>
          <w:sz w:val="24"/>
          <w:szCs w:val="24"/>
        </w:rPr>
        <w:t>kompetensi</w:t>
      </w:r>
      <w:r w:rsidR="00A954D0" w:rsidRPr="008379CA">
        <w:rPr>
          <w:rFonts w:ascii="Bookman Old Style" w:hAnsi="Bookman Old Style"/>
          <w:sz w:val="24"/>
          <w:szCs w:val="24"/>
        </w:rPr>
        <w:t xml:space="preserve"> </w:t>
      </w:r>
      <w:r w:rsidRPr="008379CA">
        <w:rPr>
          <w:rFonts w:ascii="Bookman Old Style" w:hAnsi="Bookman Old Style"/>
          <w:sz w:val="24"/>
          <w:szCs w:val="24"/>
        </w:rPr>
        <w:t>penyelenggara</w:t>
      </w:r>
      <w:r w:rsidR="00A954D0" w:rsidRPr="008379CA">
        <w:rPr>
          <w:rFonts w:ascii="Bookman Old Style" w:hAnsi="Bookman Old Style"/>
          <w:sz w:val="24"/>
          <w:szCs w:val="24"/>
        </w:rPr>
        <w:t xml:space="preserve"> </w:t>
      </w:r>
      <w:r w:rsidRPr="008379CA">
        <w:rPr>
          <w:rFonts w:ascii="Bookman Old Style" w:hAnsi="Bookman Old Style"/>
          <w:sz w:val="24"/>
          <w:szCs w:val="24"/>
        </w:rPr>
        <w:t>Pemerintah</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rPr>
        <w:t>2025</w:t>
      </w:r>
      <w:r w:rsidR="00A954D0" w:rsidRPr="008379CA">
        <w:rPr>
          <w:rFonts w:ascii="Bookman Old Style" w:hAnsi="Bookman Old Style"/>
          <w:sz w:val="24"/>
          <w:szCs w:val="24"/>
          <w:lang w:val="sv-FI" w:eastAsia="en-US"/>
        </w:rPr>
        <w:t xml:space="preserve"> </w:t>
      </w:r>
      <w:r w:rsidRPr="008379CA">
        <w:rPr>
          <w:rFonts w:ascii="Bookman Old Style" w:hAnsi="Bookman Old Style"/>
          <w:sz w:val="24"/>
          <w:szCs w:val="24"/>
          <w:lang w:val="sv-FI" w:eastAsia="en-US"/>
        </w:rPr>
        <w:t>mengalami</w:t>
      </w:r>
      <w:r w:rsidR="00A954D0" w:rsidRPr="008379CA">
        <w:rPr>
          <w:rFonts w:ascii="Bookman Old Style" w:hAnsi="Bookman Old Style"/>
          <w:sz w:val="24"/>
          <w:szCs w:val="24"/>
          <w:lang w:val="sv-FI" w:eastAsia="en-US"/>
        </w:rPr>
        <w:t xml:space="preserve"> </w:t>
      </w:r>
      <w:r w:rsidRPr="008379CA">
        <w:rPr>
          <w:rFonts w:ascii="Bookman Old Style" w:hAnsi="Bookman Old Style"/>
          <w:b/>
          <w:bCs/>
          <w:sz w:val="24"/>
          <w:szCs w:val="24"/>
          <w:lang w:val="sv-FI" w:eastAsia="en-US"/>
        </w:rPr>
        <w:t>kenaikan</w:t>
      </w:r>
      <w:r w:rsidR="00A954D0" w:rsidRPr="008379CA">
        <w:rPr>
          <w:rFonts w:ascii="Bookman Old Style" w:hAnsi="Bookman Old Style"/>
          <w:b/>
          <w:bCs/>
          <w:sz w:val="24"/>
          <w:szCs w:val="24"/>
          <w:lang w:val="sv-FI" w:eastAsia="en-US"/>
        </w:rPr>
        <w:t xml:space="preserve"> </w:t>
      </w:r>
      <w:r w:rsidR="00FC48A1" w:rsidRPr="008379CA">
        <w:rPr>
          <w:rFonts w:ascii="Bookman Old Style" w:hAnsi="Bookman Old Style"/>
          <w:sz w:val="24"/>
          <w:szCs w:val="24"/>
          <w:lang w:val="sv-FI" w:eastAsia="en-US"/>
        </w:rPr>
        <w:t>0,</w:t>
      </w:r>
      <w:r w:rsidR="002A139C" w:rsidRPr="008379CA">
        <w:rPr>
          <w:rFonts w:ascii="Bookman Old Style" w:hAnsi="Bookman Old Style"/>
          <w:sz w:val="24"/>
          <w:szCs w:val="24"/>
          <w:lang w:val="sv-FI" w:eastAsia="en-US"/>
        </w:rPr>
        <w:t>06%</w:t>
      </w:r>
      <w:r w:rsidRPr="008379CA">
        <w:rPr>
          <w:rFonts w:ascii="Bookman Old Style" w:hAnsi="Bookman Old Style"/>
          <w:sz w:val="24"/>
          <w:szCs w:val="24"/>
          <w:lang w:val="sv-FI" w:eastAsia="en-US"/>
        </w:rPr>
        <w:t>.</w:t>
      </w:r>
      <w:r w:rsidR="00A954D0" w:rsidRPr="008379CA">
        <w:rPr>
          <w:rFonts w:ascii="Bookman Old Style" w:hAnsi="Bookman Old Style"/>
          <w:sz w:val="24"/>
          <w:szCs w:val="24"/>
          <w:lang w:val="sv-FI" w:eastAsia="en-US"/>
        </w:rPr>
        <w:t xml:space="preserve"> </w:t>
      </w:r>
      <w:r w:rsidRPr="008379CA">
        <w:rPr>
          <w:rFonts w:ascii="Bookman Old Style" w:hAnsi="Bookman Old Style"/>
          <w:sz w:val="24"/>
          <w:szCs w:val="24"/>
          <w:lang w:val="sv-FI" w:eastAsia="en-US"/>
        </w:rPr>
        <w:t>Berk</w:t>
      </w:r>
      <w:r w:rsidR="00645FDE" w:rsidRPr="008379CA">
        <w:rPr>
          <w:rFonts w:ascii="Bookman Old Style" w:hAnsi="Bookman Old Style"/>
          <w:sz w:val="24"/>
          <w:szCs w:val="24"/>
          <w:lang w:val="sv-FI" w:eastAsia="en-US"/>
        </w:rPr>
        <w:t>e</w:t>
      </w:r>
      <w:r w:rsidRPr="008379CA">
        <w:rPr>
          <w:rFonts w:ascii="Bookman Old Style" w:hAnsi="Bookman Old Style"/>
          <w:sz w:val="24"/>
          <w:szCs w:val="24"/>
          <w:lang w:val="sv-FI" w:eastAsia="en-US"/>
        </w:rPr>
        <w:t>naan</w:t>
      </w:r>
      <w:r w:rsidR="00A954D0" w:rsidRPr="008379CA">
        <w:rPr>
          <w:rFonts w:ascii="Bookman Old Style" w:hAnsi="Bookman Old Style"/>
          <w:sz w:val="24"/>
          <w:szCs w:val="24"/>
          <w:lang w:val="sv-FI" w:eastAsia="en-US"/>
        </w:rPr>
        <w:t xml:space="preserve"> </w:t>
      </w:r>
      <w:r w:rsidRPr="008379CA">
        <w:rPr>
          <w:rFonts w:ascii="Bookman Old Style" w:hAnsi="Bookman Old Style"/>
          <w:sz w:val="24"/>
          <w:szCs w:val="24"/>
          <w:lang w:val="sv-FI" w:eastAsia="en-US"/>
        </w:rPr>
        <w:t>dengan</w:t>
      </w:r>
      <w:r w:rsidR="00A954D0" w:rsidRPr="008379CA">
        <w:rPr>
          <w:rFonts w:ascii="Bookman Old Style" w:hAnsi="Bookman Old Style"/>
          <w:sz w:val="24"/>
          <w:szCs w:val="24"/>
          <w:lang w:val="sv-FI" w:eastAsia="en-US"/>
        </w:rPr>
        <w:t xml:space="preserve"> </w:t>
      </w:r>
      <w:r w:rsidRPr="008379CA">
        <w:rPr>
          <w:rFonts w:ascii="Bookman Old Style" w:hAnsi="Bookman Old Style"/>
          <w:sz w:val="24"/>
          <w:szCs w:val="24"/>
          <w:lang w:val="sv-FI" w:eastAsia="en-US"/>
        </w:rPr>
        <w:t>hal</w:t>
      </w:r>
      <w:r w:rsidR="00A954D0" w:rsidRPr="008379CA">
        <w:rPr>
          <w:rFonts w:ascii="Bookman Old Style" w:hAnsi="Bookman Old Style"/>
          <w:sz w:val="24"/>
          <w:szCs w:val="24"/>
          <w:lang w:val="sv-FI" w:eastAsia="en-US"/>
        </w:rPr>
        <w:t xml:space="preserve"> </w:t>
      </w:r>
      <w:r w:rsidRPr="008379CA">
        <w:rPr>
          <w:rFonts w:ascii="Bookman Old Style" w:hAnsi="Bookman Old Style"/>
          <w:sz w:val="24"/>
          <w:szCs w:val="24"/>
          <w:lang w:val="sv-FI" w:eastAsia="en-US"/>
        </w:rPr>
        <w:t>tersebut</w:t>
      </w:r>
      <w:r w:rsidR="00A954D0" w:rsidRPr="008379CA">
        <w:rPr>
          <w:rFonts w:ascii="Bookman Old Style" w:hAnsi="Bookman Old Style"/>
          <w:sz w:val="24"/>
          <w:szCs w:val="24"/>
          <w:lang w:val="sv-FI" w:eastAsia="en-US"/>
        </w:rPr>
        <w:t xml:space="preserve"> </w:t>
      </w:r>
      <w:r w:rsidRPr="008379CA">
        <w:rPr>
          <w:rFonts w:ascii="Bookman Old Style" w:hAnsi="Bookman Old Style"/>
          <w:sz w:val="24"/>
          <w:szCs w:val="24"/>
          <w:lang w:val="sv-FI" w:eastAsia="en-US"/>
        </w:rPr>
        <w:t>Pemerintah</w:t>
      </w:r>
      <w:r w:rsidR="00A954D0" w:rsidRPr="008379CA">
        <w:rPr>
          <w:rFonts w:ascii="Bookman Old Style" w:hAnsi="Bookman Old Style"/>
          <w:sz w:val="24"/>
          <w:szCs w:val="24"/>
          <w:lang w:val="sv-FI" w:eastAsia="en-US"/>
        </w:rPr>
        <w:t xml:space="preserve"> </w:t>
      </w:r>
      <w:r w:rsidRPr="008379CA">
        <w:rPr>
          <w:rFonts w:ascii="Bookman Old Style" w:hAnsi="Bookman Old Style"/>
          <w:sz w:val="24"/>
          <w:szCs w:val="24"/>
          <w:lang w:val="sv-FI" w:eastAsia="en-US"/>
        </w:rPr>
        <w:t>Daerah</w:t>
      </w:r>
      <w:r w:rsidR="00A954D0" w:rsidRPr="008379CA">
        <w:rPr>
          <w:rFonts w:ascii="Bookman Old Style" w:hAnsi="Bookman Old Style"/>
          <w:sz w:val="24"/>
          <w:szCs w:val="24"/>
          <w:lang w:val="sv-FI" w:eastAsia="en-US"/>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b/>
          <w:bCs/>
          <w:sz w:val="24"/>
          <w:szCs w:val="24"/>
          <w:lang w:val="sv-FI" w:eastAsia="en-US"/>
        </w:rPr>
        <w:t>tidak</w:t>
      </w:r>
      <w:r w:rsidR="00A954D0" w:rsidRPr="008379CA">
        <w:rPr>
          <w:rFonts w:ascii="Bookman Old Style" w:hAnsi="Bookman Old Style"/>
          <w:b/>
          <w:bCs/>
          <w:sz w:val="24"/>
          <w:szCs w:val="24"/>
          <w:lang w:val="sv-FI" w:eastAsia="en-US"/>
        </w:rPr>
        <w:t xml:space="preserve"> </w:t>
      </w:r>
      <w:r w:rsidRPr="008379CA">
        <w:rPr>
          <w:rFonts w:ascii="Bookman Old Style" w:hAnsi="Bookman Old Style"/>
          <w:b/>
          <w:bCs/>
          <w:sz w:val="24"/>
          <w:szCs w:val="24"/>
          <w:lang w:val="sv-FI" w:eastAsia="en-US"/>
        </w:rPr>
        <w:t>diperkenankan</w:t>
      </w:r>
      <w:r w:rsidR="00A954D0" w:rsidRPr="008379CA">
        <w:rPr>
          <w:rFonts w:ascii="Bookman Old Style" w:hAnsi="Bookman Old Style"/>
          <w:sz w:val="24"/>
          <w:szCs w:val="24"/>
          <w:lang w:val="sv-FI" w:eastAsia="en-US"/>
        </w:rPr>
        <w:t xml:space="preserve"> </w:t>
      </w:r>
      <w:r w:rsidRPr="008379CA">
        <w:rPr>
          <w:rFonts w:ascii="Bookman Old Style" w:hAnsi="Bookman Old Style"/>
          <w:sz w:val="24"/>
          <w:szCs w:val="24"/>
          <w:lang w:val="sv-FI" w:eastAsia="en-US"/>
        </w:rPr>
        <w:t>mengurangi</w:t>
      </w:r>
      <w:r w:rsidR="00A954D0" w:rsidRPr="008379CA">
        <w:rPr>
          <w:rFonts w:ascii="Bookman Old Style" w:hAnsi="Bookman Old Style"/>
          <w:sz w:val="24"/>
          <w:szCs w:val="24"/>
          <w:lang w:val="sv-FI" w:eastAsia="en-US"/>
        </w:rPr>
        <w:t xml:space="preserve"> </w:t>
      </w:r>
      <w:r w:rsidRPr="008379CA">
        <w:rPr>
          <w:rFonts w:ascii="Bookman Old Style" w:hAnsi="Bookman Old Style"/>
          <w:sz w:val="24"/>
          <w:szCs w:val="24"/>
          <w:lang w:val="sv-FI" w:eastAsia="en-US"/>
        </w:rPr>
        <w:t>besaran</w:t>
      </w:r>
      <w:r w:rsidR="00A954D0" w:rsidRPr="008379CA">
        <w:rPr>
          <w:rFonts w:ascii="Bookman Old Style" w:hAnsi="Bookman Old Style"/>
          <w:sz w:val="24"/>
          <w:szCs w:val="24"/>
          <w:lang w:val="sv-FI" w:eastAsia="en-US"/>
        </w:rPr>
        <w:t xml:space="preserve"> </w:t>
      </w:r>
      <w:r w:rsidRPr="008379CA">
        <w:rPr>
          <w:rFonts w:ascii="Bookman Old Style" w:hAnsi="Bookman Old Style"/>
          <w:sz w:val="24"/>
          <w:szCs w:val="24"/>
          <w:lang w:val="sv-FI" w:eastAsia="en-US"/>
        </w:rPr>
        <w:t>persentase</w:t>
      </w:r>
      <w:r w:rsidR="00A954D0" w:rsidRPr="008379CA">
        <w:rPr>
          <w:rFonts w:ascii="Bookman Old Style" w:hAnsi="Bookman Old Style"/>
          <w:sz w:val="24"/>
          <w:szCs w:val="24"/>
          <w:lang w:val="sv-FI" w:eastAsia="en-US"/>
        </w:rPr>
        <w:t xml:space="preserve"> </w:t>
      </w:r>
      <w:r w:rsidRPr="008379CA">
        <w:rPr>
          <w:rFonts w:ascii="Bookman Old Style" w:hAnsi="Bookman Old Style"/>
          <w:sz w:val="24"/>
          <w:szCs w:val="24"/>
          <w:lang w:val="sv-FI" w:eastAsia="en-US"/>
        </w:rPr>
        <w:t>alokasi</w:t>
      </w:r>
      <w:r w:rsidR="00A954D0" w:rsidRPr="008379CA">
        <w:rPr>
          <w:rFonts w:ascii="Bookman Old Style" w:hAnsi="Bookman Old Style"/>
          <w:sz w:val="24"/>
          <w:szCs w:val="24"/>
          <w:lang w:val="sv-FI" w:eastAsia="en-US"/>
        </w:rPr>
        <w:t xml:space="preserve"> </w:t>
      </w:r>
      <w:r w:rsidRPr="008379CA">
        <w:rPr>
          <w:rFonts w:ascii="Bookman Old Style" w:hAnsi="Bookman Old Style"/>
          <w:sz w:val="24"/>
          <w:szCs w:val="24"/>
          <w:lang w:val="sv-FI" w:eastAsia="en-US"/>
        </w:rPr>
        <w:t>anggaran</w:t>
      </w:r>
      <w:r w:rsidR="00A954D0" w:rsidRPr="008379CA">
        <w:rPr>
          <w:rFonts w:ascii="Bookman Old Style" w:hAnsi="Bookman Old Style"/>
          <w:sz w:val="24"/>
          <w:szCs w:val="24"/>
          <w:lang w:val="sv-FI" w:eastAsia="en-US"/>
        </w:rPr>
        <w:t xml:space="preserve"> </w:t>
      </w:r>
      <w:r w:rsidRPr="008379CA">
        <w:rPr>
          <w:rFonts w:ascii="Bookman Old Style" w:hAnsi="Bookman Old Style"/>
          <w:sz w:val="24"/>
          <w:szCs w:val="24"/>
          <w:lang w:val="sv-FI" w:eastAsia="en-US"/>
        </w:rPr>
        <w:t>pendidikan</w:t>
      </w:r>
      <w:r w:rsidR="00A954D0" w:rsidRPr="008379CA">
        <w:rPr>
          <w:rFonts w:ascii="Bookman Old Style" w:hAnsi="Bookman Old Style"/>
          <w:sz w:val="24"/>
          <w:szCs w:val="24"/>
          <w:lang w:val="sv-FI" w:eastAsia="en-US"/>
        </w:rPr>
        <w:t xml:space="preserve"> </w:t>
      </w:r>
      <w:r w:rsidRPr="008379CA">
        <w:rPr>
          <w:rFonts w:ascii="Bookman Old Style" w:hAnsi="Bookman Old Style"/>
          <w:sz w:val="24"/>
          <w:szCs w:val="24"/>
          <w:lang w:val="sv-FI" w:eastAsia="en-US"/>
        </w:rPr>
        <w:t>dan</w:t>
      </w:r>
      <w:r w:rsidR="00A954D0" w:rsidRPr="008379CA">
        <w:rPr>
          <w:rFonts w:ascii="Bookman Old Style" w:hAnsi="Bookman Old Style"/>
          <w:sz w:val="24"/>
          <w:szCs w:val="24"/>
          <w:lang w:val="sv-FI" w:eastAsia="en-US"/>
        </w:rPr>
        <w:t xml:space="preserve"> </w:t>
      </w:r>
      <w:r w:rsidRPr="008379CA">
        <w:rPr>
          <w:rFonts w:ascii="Bookman Old Style" w:hAnsi="Bookman Old Style"/>
          <w:sz w:val="24"/>
          <w:szCs w:val="24"/>
          <w:lang w:val="sv-FI" w:eastAsia="en-US"/>
        </w:rPr>
        <w:t>pelatihan</w:t>
      </w:r>
      <w:r w:rsidR="00A954D0" w:rsidRPr="008379CA">
        <w:rPr>
          <w:rFonts w:ascii="Bookman Old Style" w:hAnsi="Bookman Old Style"/>
          <w:sz w:val="24"/>
          <w:szCs w:val="24"/>
          <w:lang w:val="sv-FI" w:eastAsia="en-US"/>
        </w:rPr>
        <w:t xml:space="preserve"> </w:t>
      </w:r>
      <w:r w:rsidRPr="008379CA">
        <w:rPr>
          <w:rFonts w:ascii="Bookman Old Style" w:hAnsi="Bookman Old Style"/>
          <w:sz w:val="24"/>
          <w:szCs w:val="24"/>
          <w:lang w:val="sv-FI" w:eastAsia="en-US"/>
        </w:rPr>
        <w:t>dimaksud</w:t>
      </w:r>
      <w:r w:rsidR="00A954D0" w:rsidRPr="008379CA">
        <w:rPr>
          <w:rFonts w:ascii="Bookman Old Style" w:hAnsi="Bookman Old Style"/>
          <w:sz w:val="24"/>
          <w:szCs w:val="24"/>
          <w:lang w:val="sv-FI" w:eastAsia="en-US"/>
        </w:rPr>
        <w:t xml:space="preserve"> </w:t>
      </w:r>
      <w:r w:rsidRPr="008379CA">
        <w:rPr>
          <w:rFonts w:ascii="Bookman Old Style" w:hAnsi="Bookman Old Style"/>
          <w:sz w:val="24"/>
          <w:szCs w:val="24"/>
          <w:lang w:val="sv-FI" w:eastAsia="en-US"/>
        </w:rPr>
        <w:t>dan</w:t>
      </w:r>
      <w:r w:rsidR="00A954D0" w:rsidRPr="008379CA">
        <w:rPr>
          <w:rFonts w:ascii="Bookman Old Style" w:hAnsi="Bookman Old Style"/>
          <w:sz w:val="24"/>
          <w:szCs w:val="24"/>
          <w:lang w:val="sv-FI" w:eastAsia="en-US"/>
        </w:rPr>
        <w:t xml:space="preserve"> </w:t>
      </w:r>
      <w:r w:rsidRPr="008379CA">
        <w:rPr>
          <w:rFonts w:ascii="Bookman Old Style" w:hAnsi="Bookman Old Style"/>
          <w:sz w:val="24"/>
          <w:szCs w:val="24"/>
          <w:lang w:val="sv-FI" w:eastAsia="en-US"/>
        </w:rPr>
        <w:t>alokasi</w:t>
      </w:r>
      <w:r w:rsidR="00A954D0" w:rsidRPr="008379CA">
        <w:rPr>
          <w:rFonts w:ascii="Bookman Old Style" w:hAnsi="Bookman Old Style"/>
          <w:sz w:val="24"/>
          <w:szCs w:val="24"/>
          <w:lang w:val="sv-FI" w:eastAsia="en-US"/>
        </w:rPr>
        <w:t xml:space="preserve"> </w:t>
      </w:r>
      <w:r w:rsidRPr="008379CA">
        <w:rPr>
          <w:rFonts w:ascii="Bookman Old Style" w:hAnsi="Bookman Old Style" w:cs="Arial"/>
          <w:sz w:val="24"/>
          <w:szCs w:val="24"/>
          <w:lang w:val="sv-FI"/>
        </w:rPr>
        <w:t>t</w:t>
      </w:r>
      <w:r w:rsidRPr="008379CA">
        <w:rPr>
          <w:rFonts w:ascii="Bookman Old Style" w:hAnsi="Bookman Old Style" w:cs="Arial"/>
          <w:sz w:val="24"/>
          <w:szCs w:val="24"/>
        </w:rPr>
        <w:t>ahun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lang w:val="sv-FI"/>
        </w:rPr>
        <w:t>a</w:t>
      </w:r>
      <w:r w:rsidRPr="008379CA">
        <w:rPr>
          <w:rFonts w:ascii="Bookman Old Style" w:hAnsi="Bookman Old Style" w:cs="Arial"/>
          <w:sz w:val="24"/>
          <w:szCs w:val="24"/>
        </w:rPr>
        <w:t>nggaran</w:t>
      </w:r>
      <w:r w:rsidR="00A954D0" w:rsidRPr="008379CA">
        <w:rPr>
          <w:rFonts w:ascii="Bookman Old Style" w:hAnsi="Bookman Old Style"/>
          <w:sz w:val="24"/>
          <w:szCs w:val="24"/>
          <w:lang w:val="sv-FI" w:eastAsia="en-US"/>
        </w:rPr>
        <w:t xml:space="preserve"> </w:t>
      </w:r>
      <w:r w:rsidRPr="008379CA">
        <w:rPr>
          <w:rFonts w:ascii="Bookman Old Style" w:hAnsi="Bookman Old Style"/>
          <w:sz w:val="24"/>
          <w:szCs w:val="24"/>
          <w:lang w:val="sv-FI" w:eastAsia="en-US"/>
        </w:rPr>
        <w:t>sebelumnya</w:t>
      </w:r>
      <w:r w:rsidR="00A954D0" w:rsidRPr="008379CA">
        <w:rPr>
          <w:rFonts w:ascii="Bookman Old Style" w:hAnsi="Bookman Old Style"/>
          <w:sz w:val="24"/>
          <w:szCs w:val="24"/>
          <w:lang w:val="sv-FI" w:eastAsia="en-US"/>
        </w:rPr>
        <w:t xml:space="preserve"> </w:t>
      </w:r>
      <w:r w:rsidRPr="008379CA">
        <w:rPr>
          <w:rFonts w:ascii="Bookman Old Style" w:hAnsi="Bookman Old Style" w:cs="Arial"/>
          <w:sz w:val="24"/>
          <w:szCs w:val="24"/>
          <w:lang w:val="sv-FI"/>
        </w:rPr>
        <w:t>sebagaimana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maksud</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rPr>
        <w:t>butir</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lang w:val="sv-FI"/>
        </w:rPr>
        <w:t>5.2.3.b</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rPr>
        <w:t>Lampiran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Peraturan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Menteri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Dalam</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Negeri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Nomor</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15</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Tahun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202</w:t>
      </w:r>
      <w:r w:rsidRPr="008379CA">
        <w:rPr>
          <w:rFonts w:ascii="Bookman Old Style" w:hAnsi="Bookman Old Style" w:cs="Arial"/>
          <w:sz w:val="24"/>
          <w:szCs w:val="24"/>
          <w:lang w:val="sv-FI"/>
        </w:rPr>
        <w:t>4.</w:t>
      </w:r>
    </w:p>
    <w:p w14:paraId="0D086A49" w14:textId="2CEC13F0" w:rsidR="009E4CA7" w:rsidRPr="008379CA" w:rsidRDefault="009E4CA7" w:rsidP="00BD2EDD">
      <w:pPr>
        <w:pStyle w:val="ListParagraph"/>
        <w:numPr>
          <w:ilvl w:val="0"/>
          <w:numId w:val="98"/>
        </w:numPr>
        <w:spacing w:before="120" w:after="0" w:line="276" w:lineRule="auto"/>
        <w:ind w:left="1276" w:hanging="283"/>
        <w:contextualSpacing w:val="0"/>
        <w:jc w:val="both"/>
        <w:rPr>
          <w:rFonts w:ascii="Bookman Old Style" w:hAnsi="Bookman Old Style" w:cs="Arial"/>
          <w:sz w:val="24"/>
          <w:szCs w:val="24"/>
        </w:rPr>
      </w:pPr>
      <w:r w:rsidRPr="008379CA">
        <w:rPr>
          <w:rFonts w:ascii="Bookman Old Style" w:hAnsi="Bookman Old Style" w:cs="Arial"/>
          <w:sz w:val="24"/>
          <w:szCs w:val="24"/>
          <w:lang w:val="sv-FI"/>
        </w:rPr>
        <w:t>Alokasi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Anggaran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Belanja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Wajib</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yang</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didanai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Pendapatan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yang</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telah</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ditentukan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penggunaannya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sesuai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dengan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ketentuan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Peraturan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Perundang-undangan</w:t>
      </w:r>
    </w:p>
    <w:p w14:paraId="6918FCFF" w14:textId="2DF8F95F" w:rsidR="00F14F4D" w:rsidRPr="008379CA" w:rsidRDefault="005A1DE7" w:rsidP="00AD338A">
      <w:pPr>
        <w:pStyle w:val="ListParagraph"/>
        <w:numPr>
          <w:ilvl w:val="0"/>
          <w:numId w:val="194"/>
        </w:numPr>
        <w:spacing w:before="120" w:after="0" w:line="276" w:lineRule="auto"/>
        <w:ind w:left="1701" w:hanging="425"/>
        <w:contextualSpacing w:val="0"/>
        <w:jc w:val="both"/>
        <w:rPr>
          <w:rFonts w:ascii="Bookman Old Style" w:hAnsi="Bookman Old Style" w:cs="Arial"/>
          <w:sz w:val="24"/>
          <w:szCs w:val="24"/>
        </w:rPr>
      </w:pPr>
      <w:r w:rsidRPr="008379CA">
        <w:rPr>
          <w:rFonts w:ascii="Bookman Old Style" w:hAnsi="Bookman Old Style" w:cs="Arial"/>
          <w:sz w:val="24"/>
          <w:szCs w:val="24"/>
        </w:rPr>
        <w:t>Alokasi</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cs="Arial"/>
          <w:sz w:val="24"/>
          <w:szCs w:val="24"/>
        </w:rPr>
        <w:t>untuk</w:t>
      </w:r>
      <w:r w:rsidR="00A954D0" w:rsidRPr="008379CA">
        <w:rPr>
          <w:rFonts w:ascii="Bookman Old Style" w:hAnsi="Bookman Old Style"/>
          <w:sz w:val="24"/>
          <w:szCs w:val="24"/>
        </w:rPr>
        <w:t xml:space="preserve"> </w:t>
      </w:r>
      <w:r w:rsidR="00F14F4D" w:rsidRPr="008379CA">
        <w:rPr>
          <w:rFonts w:ascii="Bookman Old Style" w:hAnsi="Bookman Old Style"/>
          <w:sz w:val="24"/>
          <w:szCs w:val="24"/>
        </w:rPr>
        <w:t>Penggunaan</w:t>
      </w:r>
      <w:r w:rsidR="00A954D0" w:rsidRPr="008379CA">
        <w:rPr>
          <w:rFonts w:ascii="Bookman Old Style" w:hAnsi="Bookman Old Style" w:cs="Arial"/>
          <w:sz w:val="24"/>
          <w:szCs w:val="24"/>
        </w:rPr>
        <w:t xml:space="preserve"> </w:t>
      </w:r>
      <w:r w:rsidR="00F14F4D" w:rsidRPr="008379CA">
        <w:rPr>
          <w:rFonts w:ascii="Bookman Old Style" w:hAnsi="Bookman Old Style" w:cs="Arial"/>
          <w:sz w:val="24"/>
          <w:szCs w:val="24"/>
        </w:rPr>
        <w:t>Hasil</w:t>
      </w:r>
      <w:r w:rsidR="00A954D0" w:rsidRPr="008379CA">
        <w:rPr>
          <w:rFonts w:ascii="Bookman Old Style" w:hAnsi="Bookman Old Style" w:cs="Arial"/>
          <w:sz w:val="24"/>
          <w:szCs w:val="24"/>
        </w:rPr>
        <w:t xml:space="preserve"> </w:t>
      </w:r>
      <w:r w:rsidR="00F14F4D" w:rsidRPr="008379CA">
        <w:rPr>
          <w:rFonts w:ascii="Bookman Old Style" w:hAnsi="Bookman Old Style" w:cs="Arial"/>
          <w:sz w:val="24"/>
          <w:szCs w:val="24"/>
        </w:rPr>
        <w:t>Penerimaan</w:t>
      </w:r>
      <w:r w:rsidR="00A954D0" w:rsidRPr="008379CA">
        <w:rPr>
          <w:rFonts w:ascii="Bookman Old Style" w:hAnsi="Bookman Old Style" w:cs="Arial"/>
          <w:sz w:val="24"/>
          <w:szCs w:val="24"/>
        </w:rPr>
        <w:t xml:space="preserve"> </w:t>
      </w:r>
      <w:r w:rsidR="00F14F4D" w:rsidRPr="008379CA">
        <w:rPr>
          <w:rFonts w:ascii="Bookman Old Style" w:hAnsi="Bookman Old Style" w:cs="Arial"/>
          <w:sz w:val="24"/>
          <w:szCs w:val="24"/>
        </w:rPr>
        <w:t>Opsen</w:t>
      </w:r>
      <w:r w:rsidR="00A954D0" w:rsidRPr="008379CA">
        <w:rPr>
          <w:rFonts w:ascii="Bookman Old Style" w:hAnsi="Bookman Old Style" w:cs="Arial"/>
          <w:sz w:val="24"/>
          <w:szCs w:val="24"/>
        </w:rPr>
        <w:t xml:space="preserve"> </w:t>
      </w:r>
      <w:r w:rsidRPr="008379CA">
        <w:rPr>
          <w:rFonts w:ascii="Bookman Old Style" w:hAnsi="Bookman Old Style"/>
          <w:sz w:val="24"/>
          <w:szCs w:val="24"/>
          <w:lang w:val="sv-FI"/>
        </w:rPr>
        <w:t>Pajak</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Kendaraan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Bermotor</w:t>
      </w:r>
    </w:p>
    <w:p w14:paraId="0EA53AD2" w14:textId="575303A0" w:rsidR="005D5AAB" w:rsidRPr="008379CA" w:rsidRDefault="00FA45C7" w:rsidP="00AD338A">
      <w:pPr>
        <w:pStyle w:val="ListParagraph"/>
        <w:spacing w:before="60" w:after="0" w:line="276" w:lineRule="auto"/>
        <w:ind w:left="1701"/>
        <w:contextualSpacing w:val="0"/>
        <w:jc w:val="both"/>
        <w:rPr>
          <w:rFonts w:ascii="Bookman Old Style" w:hAnsi="Bookman Old Style" w:cs="Arial"/>
          <w:sz w:val="24"/>
          <w:szCs w:val="24"/>
        </w:rPr>
      </w:pPr>
      <w:r w:rsidRPr="008379CA">
        <w:rPr>
          <w:rFonts w:ascii="Bookman Old Style" w:hAnsi="Bookman Old Style" w:cs="Arial"/>
          <w:sz w:val="24"/>
          <w:szCs w:val="24"/>
        </w:rPr>
        <w:t>Berdasarkan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Laporan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Tematik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SIPD</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RI,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w:t>
      </w:r>
      <w:r w:rsidR="005D5AAB" w:rsidRPr="008379CA">
        <w:rPr>
          <w:rFonts w:ascii="Bookman Old Style" w:hAnsi="Bookman Old Style" w:cs="Arial"/>
          <w:sz w:val="24"/>
          <w:szCs w:val="24"/>
        </w:rPr>
        <w:t>enyediaan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alokasi</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anggaran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untuk</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Penggunaan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Hasil</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Penerimaan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Opsen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Pajak</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Kendaraan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Bermotor</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(Opsen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PKB)</w:t>
      </w:r>
      <w:r w:rsidR="00A954D0" w:rsidRPr="008379CA">
        <w:rPr>
          <w:rFonts w:ascii="Bookman Old Style" w:hAnsi="Bookman Old Style" w:cs="Arial"/>
          <w:sz w:val="24"/>
          <w:szCs w:val="24"/>
        </w:rPr>
        <w:t xml:space="preserve"> </w:t>
      </w:r>
      <w:r w:rsidR="00446EF8" w:rsidRPr="008379CA">
        <w:rPr>
          <w:rFonts w:ascii="Bookman Old Style" w:hAnsi="Bookman Old Style" w:cs="Arial"/>
          <w:sz w:val="24"/>
          <w:szCs w:val="24"/>
        </w:rPr>
        <w:t>Rp58.612.583.200,00</w:t>
      </w:r>
      <w:r w:rsidR="00A954D0" w:rsidRPr="008379CA">
        <w:rPr>
          <w:rFonts w:ascii="Bookman Old Style" w:hAnsi="Bookman Old Style" w:cs="Arial"/>
          <w:sz w:val="24"/>
          <w:szCs w:val="24"/>
        </w:rPr>
        <w:t xml:space="preserve"> </w:t>
      </w:r>
      <w:r w:rsidR="00446EF8" w:rsidRPr="008379CA">
        <w:rPr>
          <w:rFonts w:ascii="Bookman Old Style" w:hAnsi="Bookman Old Style" w:cs="Arial"/>
          <w:sz w:val="24"/>
          <w:szCs w:val="24"/>
        </w:rPr>
        <w:t>atau</w:t>
      </w:r>
      <w:r w:rsidR="00A954D0" w:rsidRPr="008379CA">
        <w:rPr>
          <w:rFonts w:ascii="Bookman Old Style" w:hAnsi="Bookman Old Style" w:cs="Arial"/>
          <w:sz w:val="24"/>
          <w:szCs w:val="24"/>
        </w:rPr>
        <w:t xml:space="preserve"> </w:t>
      </w:r>
      <w:r w:rsidR="00446EF8" w:rsidRPr="008379CA">
        <w:rPr>
          <w:rFonts w:ascii="Bookman Old Style" w:hAnsi="Bookman Old Style" w:cs="Arial"/>
          <w:sz w:val="24"/>
          <w:szCs w:val="24"/>
        </w:rPr>
        <w:t>16,86%</w:t>
      </w:r>
      <w:r w:rsidR="00A954D0" w:rsidRPr="008379CA">
        <w:rPr>
          <w:rFonts w:ascii="Bookman Old Style" w:hAnsi="Bookman Old Style" w:cs="Arial"/>
          <w:b/>
          <w:bCs/>
          <w:sz w:val="24"/>
          <w:szCs w:val="24"/>
        </w:rPr>
        <w:t xml:space="preserve"> </w:t>
      </w:r>
      <w:r w:rsidR="005D5AAB" w:rsidRPr="008379CA">
        <w:rPr>
          <w:rFonts w:ascii="Bookman Old Style" w:hAnsi="Bookman Old Style" w:cs="Arial"/>
          <w:sz w:val="24"/>
          <w:szCs w:val="24"/>
        </w:rPr>
        <w:t>dari</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Penerimaan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Opsen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Pajak</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Kendaraan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Bermotor</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(Opsen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PKB)</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sebesar</w:t>
      </w:r>
      <w:r w:rsidR="00A954D0" w:rsidRPr="008379CA">
        <w:rPr>
          <w:rFonts w:ascii="Bookman Old Style" w:hAnsi="Bookman Old Style" w:cs="Arial"/>
          <w:sz w:val="24"/>
          <w:szCs w:val="24"/>
        </w:rPr>
        <w:t xml:space="preserve"> </w:t>
      </w:r>
      <w:r w:rsidR="00446EF8" w:rsidRPr="008379CA">
        <w:rPr>
          <w:rFonts w:ascii="Bookman Old Style" w:hAnsi="Bookman Old Style" w:cs="Arial"/>
          <w:sz w:val="24"/>
          <w:szCs w:val="24"/>
        </w:rPr>
        <w:t>Rp347.583.960.751</w:t>
      </w:r>
      <w:r w:rsidR="005D5AAB" w:rsidRPr="008379CA">
        <w:rPr>
          <w:rFonts w:ascii="Bookman Old Style" w:hAnsi="Bookman Old Style" w:cs="Arial"/>
          <w:sz w:val="24"/>
          <w:szCs w:val="24"/>
        </w:rPr>
        <w:t>,00</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dalam</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Rancangan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Peraturan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Daerah</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Kota</w:t>
      </w:r>
      <w:r w:rsidR="00A954D0" w:rsidRPr="008379CA">
        <w:rPr>
          <w:rFonts w:ascii="Bookman Old Style" w:hAnsi="Bookman Old Style" w:cs="Arial"/>
          <w:sz w:val="24"/>
          <w:szCs w:val="24"/>
        </w:rPr>
        <w:t xml:space="preserve"> </w:t>
      </w:r>
      <w:r w:rsidR="00770F22" w:rsidRPr="008379CA">
        <w:rPr>
          <w:rFonts w:ascii="Bookman Old Style" w:hAnsi="Bookman Old Style" w:cs="Arial"/>
          <w:sz w:val="24"/>
          <w:szCs w:val="24"/>
        </w:rPr>
        <w:t>Tangerang</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tentang</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APBD</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Tahun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Anggaran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2025.</w:t>
      </w:r>
      <w:r w:rsidR="00A954D0" w:rsidRPr="008379CA">
        <w:rPr>
          <w:rFonts w:ascii="Bookman Old Style" w:hAnsi="Bookman Old Style" w:cs="Arial"/>
          <w:sz w:val="24"/>
          <w:szCs w:val="24"/>
        </w:rPr>
        <w:t xml:space="preserve"> </w:t>
      </w:r>
    </w:p>
    <w:p w14:paraId="73CE4389" w14:textId="650D1359" w:rsidR="005D5AAB" w:rsidRPr="008379CA" w:rsidRDefault="00526BA0" w:rsidP="00AD338A">
      <w:pPr>
        <w:pStyle w:val="ListParagraph"/>
        <w:spacing w:before="60" w:after="0" w:line="276" w:lineRule="auto"/>
        <w:ind w:left="1701"/>
        <w:contextualSpacing w:val="0"/>
        <w:jc w:val="both"/>
        <w:rPr>
          <w:rFonts w:ascii="Bookman Old Style" w:hAnsi="Bookman Old Style" w:cs="Arial"/>
          <w:sz w:val="24"/>
          <w:szCs w:val="24"/>
        </w:rPr>
      </w:pPr>
      <w:r w:rsidRPr="008379CA">
        <w:rPr>
          <w:rFonts w:ascii="Bookman Old Style" w:hAnsi="Bookman Old Style" w:cs="Arial"/>
          <w:sz w:val="24"/>
          <w:szCs w:val="24"/>
        </w:rPr>
        <w:t>Sehubungan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dengan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hal</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tersebut,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Pemerintah</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Daerah</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Kota</w:t>
      </w:r>
      <w:r w:rsidR="00A954D0" w:rsidRPr="008379CA">
        <w:rPr>
          <w:rFonts w:ascii="Bookman Old Style" w:hAnsi="Bookman Old Style" w:cs="Arial"/>
          <w:sz w:val="24"/>
          <w:szCs w:val="24"/>
        </w:rPr>
        <w:t xml:space="preserve"> </w:t>
      </w:r>
      <w:r w:rsidR="00770F22" w:rsidRPr="008379CA">
        <w:rPr>
          <w:rFonts w:ascii="Bookman Old Style" w:hAnsi="Bookman Old Style" w:cs="Arial"/>
          <w:sz w:val="24"/>
          <w:szCs w:val="24"/>
        </w:rPr>
        <w:t>Tangerang</w:t>
      </w:r>
      <w:r w:rsidR="00A954D0" w:rsidRPr="008379CA">
        <w:rPr>
          <w:rFonts w:ascii="Bookman Old Style" w:hAnsi="Bookman Old Style" w:cs="Arial"/>
          <w:b/>
          <w:bCs/>
          <w:sz w:val="24"/>
          <w:szCs w:val="24"/>
        </w:rPr>
        <w:t xml:space="preserve"> </w:t>
      </w:r>
      <w:r w:rsidR="00446EF8" w:rsidRPr="008379CA">
        <w:rPr>
          <w:rFonts w:ascii="Bookman Old Style" w:hAnsi="Bookman Old Style" w:cs="Arial"/>
          <w:b/>
          <w:bCs/>
          <w:sz w:val="24"/>
          <w:szCs w:val="24"/>
        </w:rPr>
        <w:t>telah</w:t>
      </w:r>
      <w:r w:rsidR="00A954D0" w:rsidRPr="008379CA">
        <w:rPr>
          <w:rFonts w:ascii="Bookman Old Style" w:hAnsi="Bookman Old Style" w:cs="Arial"/>
          <w:b/>
          <w:bCs/>
          <w:sz w:val="24"/>
          <w:szCs w:val="24"/>
        </w:rPr>
        <w:t xml:space="preserve"> </w:t>
      </w:r>
      <w:r w:rsidR="005D5AAB" w:rsidRPr="008379CA">
        <w:rPr>
          <w:rFonts w:ascii="Bookman Old Style" w:hAnsi="Bookman Old Style" w:cs="Arial"/>
          <w:b/>
          <w:bCs/>
          <w:sz w:val="24"/>
          <w:szCs w:val="24"/>
        </w:rPr>
        <w:t>memenuhi</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alokasi</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anggaran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untuk</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Penggunaan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atas</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hasil</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penerimaan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Opsen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PKB</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paling</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sedikit</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10%</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(sepuluh</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persen)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untuk</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pembangunan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dan/atau</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pemeliharaan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jalan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serta</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peningkatan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moda</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sarana</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transportasi</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umum</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sebagaimana</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maksud</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butir</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3.3.1.1.2.a</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butir</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5.1.1</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Lampiran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Peraturan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Menteri</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Dalam</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Negeri</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Nomor</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15</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Tahun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2024.</w:t>
      </w:r>
      <w:r w:rsidR="00A954D0" w:rsidRPr="008379CA">
        <w:rPr>
          <w:rFonts w:ascii="Bookman Old Style" w:hAnsi="Bookman Old Style" w:cs="Arial"/>
          <w:sz w:val="24"/>
          <w:szCs w:val="24"/>
        </w:rPr>
        <w:t xml:space="preserve"> </w:t>
      </w:r>
    </w:p>
    <w:p w14:paraId="2B7B50A3" w14:textId="37DDB801" w:rsidR="005A1DE7" w:rsidRPr="008379CA" w:rsidRDefault="009E4CA7" w:rsidP="00AD338A">
      <w:pPr>
        <w:pStyle w:val="ListParagraph"/>
        <w:spacing w:before="60" w:after="0" w:line="276" w:lineRule="auto"/>
        <w:ind w:left="1701"/>
        <w:contextualSpacing w:val="0"/>
        <w:jc w:val="both"/>
        <w:rPr>
          <w:rFonts w:ascii="Bookman Old Style" w:hAnsi="Bookman Old Style" w:cs="Arial"/>
          <w:sz w:val="24"/>
          <w:szCs w:val="24"/>
        </w:rPr>
      </w:pPr>
      <w:r w:rsidRPr="008379CA">
        <w:rPr>
          <w:rFonts w:ascii="Bookman Old Style" w:hAnsi="Bookman Old Style" w:cs="Arial"/>
          <w:sz w:val="24"/>
          <w:szCs w:val="24"/>
        </w:rPr>
        <w:t>Selanjutnya,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b</w:t>
      </w:r>
      <w:r w:rsidR="005D5AAB" w:rsidRPr="008379CA">
        <w:rPr>
          <w:rFonts w:ascii="Bookman Old Style" w:hAnsi="Bookman Old Style" w:cs="Arial"/>
          <w:sz w:val="24"/>
          <w:szCs w:val="24"/>
        </w:rPr>
        <w:t>erdasarkan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Peraturan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Pemerintah</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Nomor</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35</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Tahun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2023</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tentang</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Ketentuan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Umum</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Pajak</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Daerah</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Retribusi</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Daerah,</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agar</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Pemerintah</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Daerah</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Kota</w:t>
      </w:r>
      <w:r w:rsidR="00A954D0" w:rsidRPr="008379CA">
        <w:rPr>
          <w:rFonts w:ascii="Bookman Old Style" w:hAnsi="Bookman Old Style" w:cs="Arial"/>
          <w:sz w:val="24"/>
          <w:szCs w:val="24"/>
        </w:rPr>
        <w:t xml:space="preserve"> </w:t>
      </w:r>
      <w:r w:rsidR="00770F22" w:rsidRPr="008379CA">
        <w:rPr>
          <w:rFonts w:ascii="Bookman Old Style" w:hAnsi="Bookman Old Style" w:cs="Arial"/>
          <w:sz w:val="24"/>
          <w:szCs w:val="24"/>
        </w:rPr>
        <w:t>Tangerang</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mengalokasikan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anggaran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kegiatan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sinergi</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pendanaan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untuk</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biaya</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yang</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muncul</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dalam</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Pemungutan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PKB,</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Opsen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PKB,</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BBNKB,</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Opsen</w:t>
      </w:r>
      <w:r w:rsidR="00A954D0" w:rsidRPr="008379CA">
        <w:rPr>
          <w:rFonts w:ascii="Bookman Old Style" w:hAnsi="Bookman Old Style" w:cs="Arial"/>
          <w:sz w:val="24"/>
          <w:szCs w:val="24"/>
        </w:rPr>
        <w:t xml:space="preserve"> </w:t>
      </w:r>
      <w:r w:rsidR="005D5AAB" w:rsidRPr="008379CA">
        <w:rPr>
          <w:rFonts w:ascii="Bookman Old Style" w:hAnsi="Bookman Old Style" w:cs="Arial"/>
          <w:sz w:val="24"/>
          <w:szCs w:val="24"/>
        </w:rPr>
        <w:t>BBNKB.</w:t>
      </w:r>
    </w:p>
    <w:p w14:paraId="2770A2E5" w14:textId="756060BB" w:rsidR="00FA45C7" w:rsidRPr="008379CA" w:rsidRDefault="00FA45C7" w:rsidP="00295039">
      <w:pPr>
        <w:pStyle w:val="ListParagraph"/>
        <w:spacing w:before="60" w:after="0" w:line="276" w:lineRule="auto"/>
        <w:ind w:left="1701"/>
        <w:contextualSpacing w:val="0"/>
        <w:jc w:val="both"/>
        <w:rPr>
          <w:rFonts w:ascii="Bookman Old Style" w:hAnsi="Bookman Old Style" w:cs="Arial"/>
          <w:sz w:val="24"/>
          <w:szCs w:val="24"/>
        </w:rPr>
      </w:pPr>
      <w:r w:rsidRPr="008379CA">
        <w:rPr>
          <w:rFonts w:ascii="Bookman Old Style" w:hAnsi="Bookman Old Style" w:cs="Arial"/>
          <w:sz w:val="24"/>
          <w:szCs w:val="24"/>
          <w:lang w:val="en-ID"/>
        </w:rPr>
        <w:t>Dalam</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hal</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terdapat</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perubahan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kebijakan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terkait</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pemetaan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penganggaran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rPr>
        <w:t>untuk</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pemenuhan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alokasi</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anggaran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hasil</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penerimaan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PKB</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Opsen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PKB,</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Pemerintah</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Daerah</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rPr>
        <w:t>Kota</w:t>
      </w:r>
      <w:r w:rsidR="00A954D0" w:rsidRPr="008379CA">
        <w:rPr>
          <w:rFonts w:ascii="Bookman Old Style" w:hAnsi="Bookman Old Style" w:cs="Arial"/>
          <w:sz w:val="24"/>
          <w:szCs w:val="24"/>
        </w:rPr>
        <w:t xml:space="preserve"> </w:t>
      </w:r>
      <w:r w:rsidR="00770F22" w:rsidRPr="008379CA">
        <w:rPr>
          <w:rFonts w:ascii="Bookman Old Style" w:hAnsi="Bookman Old Style" w:cs="Arial"/>
          <w:sz w:val="24"/>
          <w:szCs w:val="24"/>
        </w:rPr>
        <w:t>Tangerang</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harus</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melakukan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penyesuaian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terhadap</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alokasi</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anggaran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hasil</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penerimaan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PKB</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Opsen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PKB</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dimaksud</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dengan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berpedoman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pada</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Peraturan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Menteri</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Dalam</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Negeri</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Nomor</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90</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Tahun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2019,</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Keputusan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Menteri</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Dalam</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Negeri</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Nomor</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050-5889</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Tahun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2021</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sebagaimana</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telah</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diubah</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beberapa</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kali</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terakhir</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dengan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Keputusan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Menteri</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lastRenderedPageBreak/>
        <w:t>Dalam</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Negeri</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Nomor</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900.1.15.5-3406</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Tahun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2024</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pemutakhirannya</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sesuai</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dengan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ketentuan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peraturan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perundang</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undangan</w:t>
      </w:r>
      <w:r w:rsidR="005732F9" w:rsidRPr="008379CA">
        <w:rPr>
          <w:rFonts w:ascii="Bookman Old Style" w:hAnsi="Bookman Old Style" w:cs="Arial"/>
          <w:sz w:val="24"/>
          <w:szCs w:val="24"/>
          <w:lang w:val="en-ID"/>
        </w:rPr>
        <w:t>.</w:t>
      </w:r>
    </w:p>
    <w:p w14:paraId="7EAE9F78" w14:textId="077F624A" w:rsidR="00F14F4D" w:rsidRPr="008379CA" w:rsidRDefault="005A1DE7" w:rsidP="00295039">
      <w:pPr>
        <w:pStyle w:val="ListParagraph"/>
        <w:numPr>
          <w:ilvl w:val="0"/>
          <w:numId w:val="194"/>
        </w:numPr>
        <w:spacing w:before="120" w:after="0" w:line="276" w:lineRule="auto"/>
        <w:ind w:left="1701" w:hanging="425"/>
        <w:contextualSpacing w:val="0"/>
        <w:jc w:val="both"/>
        <w:rPr>
          <w:rFonts w:ascii="Bookman Old Style" w:hAnsi="Bookman Old Style" w:cs="Arial"/>
          <w:sz w:val="24"/>
          <w:szCs w:val="24"/>
        </w:rPr>
      </w:pPr>
      <w:r w:rsidRPr="008379CA">
        <w:rPr>
          <w:rFonts w:ascii="Bookman Old Style" w:hAnsi="Bookman Old Style"/>
          <w:sz w:val="24"/>
          <w:szCs w:val="24"/>
        </w:rPr>
        <w:t>Alokasi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Anggaran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untuk</w:t>
      </w:r>
      <w:r w:rsidR="00A954D0" w:rsidRPr="008379CA">
        <w:rPr>
          <w:rFonts w:ascii="Bookman Old Style" w:hAnsi="Bookman Old Style" w:cs="Arial"/>
          <w:sz w:val="24"/>
          <w:szCs w:val="24"/>
        </w:rPr>
        <w:t xml:space="preserve"> </w:t>
      </w:r>
      <w:r w:rsidR="00F14F4D" w:rsidRPr="008379CA">
        <w:rPr>
          <w:rFonts w:ascii="Bookman Old Style" w:hAnsi="Bookman Old Style" w:cs="Arial"/>
          <w:sz w:val="24"/>
          <w:szCs w:val="24"/>
        </w:rPr>
        <w:t>Penggunaan</w:t>
      </w:r>
      <w:r w:rsidR="00A954D0" w:rsidRPr="008379CA">
        <w:rPr>
          <w:rFonts w:ascii="Bookman Old Style" w:hAnsi="Bookman Old Style" w:cs="Arial"/>
          <w:sz w:val="24"/>
          <w:szCs w:val="24"/>
        </w:rPr>
        <w:t xml:space="preserve"> </w:t>
      </w:r>
      <w:r w:rsidR="00F14F4D" w:rsidRPr="008379CA">
        <w:rPr>
          <w:rFonts w:ascii="Bookman Old Style" w:hAnsi="Bookman Old Style" w:cs="Arial"/>
          <w:sz w:val="24"/>
          <w:szCs w:val="24"/>
        </w:rPr>
        <w:t>Hasil</w:t>
      </w:r>
      <w:r w:rsidR="00A954D0" w:rsidRPr="008379CA">
        <w:rPr>
          <w:rFonts w:ascii="Bookman Old Style" w:hAnsi="Bookman Old Style" w:cs="Arial"/>
          <w:sz w:val="24"/>
          <w:szCs w:val="24"/>
        </w:rPr>
        <w:t xml:space="preserve"> </w:t>
      </w:r>
      <w:r w:rsidR="00F14F4D" w:rsidRPr="008379CA">
        <w:rPr>
          <w:rFonts w:ascii="Bookman Old Style" w:hAnsi="Bookman Old Style" w:cs="Arial"/>
          <w:sz w:val="24"/>
          <w:szCs w:val="24"/>
        </w:rPr>
        <w:t>Penerimaan</w:t>
      </w:r>
      <w:r w:rsidR="00A954D0" w:rsidRPr="008379CA">
        <w:rPr>
          <w:rFonts w:ascii="Bookman Old Style" w:hAnsi="Bookman Old Style" w:cs="Arial"/>
          <w:sz w:val="24"/>
          <w:szCs w:val="24"/>
        </w:rPr>
        <w:t xml:space="preserve"> </w:t>
      </w:r>
      <w:r w:rsidR="00F14F4D" w:rsidRPr="008379CA">
        <w:rPr>
          <w:rFonts w:ascii="Bookman Old Style" w:hAnsi="Bookman Old Style" w:cs="Arial"/>
          <w:sz w:val="24"/>
          <w:szCs w:val="24"/>
        </w:rPr>
        <w:t>PBJT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Atas</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Tenaga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Listrik</w:t>
      </w:r>
    </w:p>
    <w:p w14:paraId="618E35BC" w14:textId="756A72FF" w:rsidR="008C207E" w:rsidRPr="008379CA" w:rsidRDefault="00FA45C7" w:rsidP="009641EA">
      <w:pPr>
        <w:pStyle w:val="ListParagraph"/>
        <w:spacing w:before="60" w:after="0" w:line="276" w:lineRule="auto"/>
        <w:ind w:left="1701"/>
        <w:contextualSpacing w:val="0"/>
        <w:jc w:val="both"/>
        <w:rPr>
          <w:rFonts w:ascii="Bookman Old Style" w:hAnsi="Bookman Old Style" w:cs="Arial"/>
          <w:sz w:val="24"/>
          <w:szCs w:val="24"/>
        </w:rPr>
      </w:pPr>
      <w:r w:rsidRPr="008379CA">
        <w:rPr>
          <w:rFonts w:ascii="Bookman Old Style" w:hAnsi="Bookman Old Style" w:cs="Arial"/>
          <w:sz w:val="24"/>
          <w:szCs w:val="24"/>
        </w:rPr>
        <w:t>Berdasarkan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Laporan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Tematik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SIPD</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RI,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w:t>
      </w:r>
      <w:r w:rsidR="008C207E" w:rsidRPr="008379CA">
        <w:rPr>
          <w:rFonts w:ascii="Bookman Old Style" w:hAnsi="Bookman Old Style" w:cs="Arial"/>
          <w:sz w:val="24"/>
          <w:szCs w:val="24"/>
        </w:rPr>
        <w:t>enyediaan</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alokasi</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lang w:val="en-ID"/>
        </w:rPr>
        <w:t>anggaran</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untuk</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Penggunaan</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Hasil</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Penerimaan</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PBJT</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Atas</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Tenaga</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Listrik</w:t>
      </w:r>
      <w:r w:rsidR="00A954D0" w:rsidRPr="008379CA">
        <w:rPr>
          <w:rFonts w:ascii="Bookman Old Style" w:hAnsi="Bookman Old Style" w:cs="Arial"/>
          <w:sz w:val="24"/>
          <w:szCs w:val="24"/>
        </w:rPr>
        <w:t xml:space="preserve"> </w:t>
      </w:r>
      <w:r w:rsidR="00446EF8" w:rsidRPr="008379CA">
        <w:rPr>
          <w:rFonts w:ascii="Bookman Old Style" w:hAnsi="Bookman Old Style" w:cs="Arial"/>
          <w:sz w:val="24"/>
          <w:szCs w:val="24"/>
        </w:rPr>
        <w:t>Rp66.977.070.860,00</w:t>
      </w:r>
      <w:r w:rsidR="00A954D0" w:rsidRPr="008379CA">
        <w:rPr>
          <w:rFonts w:ascii="Bookman Old Style" w:hAnsi="Bookman Old Style" w:cs="Arial"/>
          <w:sz w:val="24"/>
          <w:szCs w:val="24"/>
        </w:rPr>
        <w:t xml:space="preserve"> </w:t>
      </w:r>
      <w:r w:rsidR="00446EF8" w:rsidRPr="008379CA">
        <w:rPr>
          <w:rFonts w:ascii="Bookman Old Style" w:hAnsi="Bookman Old Style" w:cs="Arial"/>
          <w:sz w:val="24"/>
          <w:szCs w:val="24"/>
        </w:rPr>
        <w:t>atau</w:t>
      </w:r>
      <w:r w:rsidR="00A954D0" w:rsidRPr="008379CA">
        <w:rPr>
          <w:rFonts w:ascii="Bookman Old Style" w:hAnsi="Bookman Old Style" w:cs="Arial"/>
          <w:sz w:val="24"/>
          <w:szCs w:val="24"/>
        </w:rPr>
        <w:t xml:space="preserve"> </w:t>
      </w:r>
      <w:r w:rsidR="00446EF8" w:rsidRPr="008379CA">
        <w:rPr>
          <w:rFonts w:ascii="Bookman Old Style" w:hAnsi="Bookman Old Style" w:cs="Arial"/>
          <w:sz w:val="24"/>
          <w:szCs w:val="24"/>
        </w:rPr>
        <w:t>22,33%</w:t>
      </w:r>
      <w:r w:rsidR="00A954D0" w:rsidRPr="008379CA">
        <w:rPr>
          <w:rFonts w:ascii="Bookman Old Style" w:hAnsi="Bookman Old Style" w:cs="Arial"/>
          <w:sz w:val="24"/>
          <w:szCs w:val="24"/>
        </w:rPr>
        <w:t xml:space="preserve"> </w:t>
      </w:r>
      <w:r w:rsidR="00253394" w:rsidRPr="008379CA">
        <w:rPr>
          <w:rFonts w:ascii="Bookman Old Style" w:hAnsi="Bookman Old Style" w:cs="Arial"/>
          <w:sz w:val="24"/>
          <w:szCs w:val="24"/>
        </w:rPr>
        <w:t>dari</w:t>
      </w:r>
      <w:r w:rsidR="00A954D0" w:rsidRPr="008379CA">
        <w:rPr>
          <w:rFonts w:ascii="Bookman Old Style" w:hAnsi="Bookman Old Style" w:cs="Arial"/>
          <w:sz w:val="24"/>
          <w:szCs w:val="24"/>
        </w:rPr>
        <w:t xml:space="preserve"> </w:t>
      </w:r>
      <w:r w:rsidR="00253394" w:rsidRPr="008379CA">
        <w:rPr>
          <w:rFonts w:ascii="Bookman Old Style" w:hAnsi="Bookman Old Style" w:cs="Arial"/>
          <w:sz w:val="24"/>
          <w:szCs w:val="24"/>
        </w:rPr>
        <w:t>Penerimaan</w:t>
      </w:r>
      <w:r w:rsidR="00A954D0" w:rsidRPr="008379CA">
        <w:rPr>
          <w:rFonts w:ascii="Bookman Old Style" w:hAnsi="Bookman Old Style" w:cs="Arial"/>
          <w:sz w:val="24"/>
          <w:szCs w:val="24"/>
        </w:rPr>
        <w:t xml:space="preserve"> </w:t>
      </w:r>
      <w:r w:rsidR="00253394" w:rsidRPr="008379CA">
        <w:rPr>
          <w:rFonts w:ascii="Bookman Old Style" w:hAnsi="Bookman Old Style" w:cs="Arial"/>
          <w:sz w:val="24"/>
          <w:szCs w:val="24"/>
        </w:rPr>
        <w:t>PBJT</w:t>
      </w:r>
      <w:r w:rsidR="00A954D0" w:rsidRPr="008379CA">
        <w:rPr>
          <w:rFonts w:ascii="Bookman Old Style" w:hAnsi="Bookman Old Style" w:cs="Arial"/>
          <w:sz w:val="24"/>
          <w:szCs w:val="24"/>
        </w:rPr>
        <w:t xml:space="preserve"> </w:t>
      </w:r>
      <w:r w:rsidR="00253394" w:rsidRPr="008379CA">
        <w:rPr>
          <w:rFonts w:ascii="Bookman Old Style" w:hAnsi="Bookman Old Style" w:cs="Arial"/>
          <w:sz w:val="24"/>
          <w:szCs w:val="24"/>
        </w:rPr>
        <w:t>Atas</w:t>
      </w:r>
      <w:r w:rsidR="00A954D0" w:rsidRPr="008379CA">
        <w:rPr>
          <w:rFonts w:ascii="Bookman Old Style" w:hAnsi="Bookman Old Style" w:cs="Arial"/>
          <w:sz w:val="24"/>
          <w:szCs w:val="24"/>
        </w:rPr>
        <w:t xml:space="preserve"> </w:t>
      </w:r>
      <w:r w:rsidR="00253394" w:rsidRPr="008379CA">
        <w:rPr>
          <w:rFonts w:ascii="Bookman Old Style" w:hAnsi="Bookman Old Style" w:cs="Arial"/>
          <w:sz w:val="24"/>
          <w:szCs w:val="24"/>
        </w:rPr>
        <w:t>Tenaga</w:t>
      </w:r>
      <w:r w:rsidR="00A954D0" w:rsidRPr="008379CA">
        <w:rPr>
          <w:rFonts w:ascii="Bookman Old Style" w:hAnsi="Bookman Old Style" w:cs="Arial"/>
          <w:sz w:val="24"/>
          <w:szCs w:val="24"/>
        </w:rPr>
        <w:t xml:space="preserve"> </w:t>
      </w:r>
      <w:r w:rsidR="00253394" w:rsidRPr="008379CA">
        <w:rPr>
          <w:rFonts w:ascii="Bookman Old Style" w:hAnsi="Bookman Old Style" w:cs="Arial"/>
          <w:sz w:val="24"/>
          <w:szCs w:val="24"/>
        </w:rPr>
        <w:t>Listrik</w:t>
      </w:r>
      <w:r w:rsidR="00A954D0" w:rsidRPr="008379CA">
        <w:rPr>
          <w:rFonts w:ascii="Bookman Old Style" w:hAnsi="Bookman Old Style" w:cs="Arial"/>
          <w:sz w:val="24"/>
          <w:szCs w:val="24"/>
        </w:rPr>
        <w:t xml:space="preserve"> </w:t>
      </w:r>
      <w:r w:rsidR="00253394" w:rsidRPr="008379CA">
        <w:rPr>
          <w:rFonts w:ascii="Bookman Old Style" w:hAnsi="Bookman Old Style" w:cs="Arial"/>
          <w:sz w:val="24"/>
          <w:szCs w:val="24"/>
        </w:rPr>
        <w:t>sebesar</w:t>
      </w:r>
      <w:r w:rsidR="00A954D0" w:rsidRPr="008379CA">
        <w:rPr>
          <w:rFonts w:ascii="Bookman Old Style" w:hAnsi="Bookman Old Style" w:cs="Arial"/>
          <w:sz w:val="24"/>
          <w:szCs w:val="24"/>
        </w:rPr>
        <w:t xml:space="preserve"> </w:t>
      </w:r>
      <w:r w:rsidR="00253394" w:rsidRPr="008379CA">
        <w:rPr>
          <w:rFonts w:ascii="Bookman Old Style" w:hAnsi="Bookman Old Style" w:cs="Arial"/>
          <w:sz w:val="24"/>
          <w:szCs w:val="24"/>
        </w:rPr>
        <w:t>Rp</w:t>
      </w:r>
      <w:r w:rsidR="00446EF8" w:rsidRPr="008379CA">
        <w:rPr>
          <w:rFonts w:ascii="Bookman Old Style" w:hAnsi="Bookman Old Style" w:cs="Arial"/>
          <w:sz w:val="24"/>
          <w:szCs w:val="24"/>
        </w:rPr>
        <w:t>300</w:t>
      </w:r>
      <w:r w:rsidR="00253394" w:rsidRPr="008379CA">
        <w:rPr>
          <w:rFonts w:ascii="Bookman Old Style" w:hAnsi="Bookman Old Style" w:cs="Arial"/>
          <w:sz w:val="24"/>
          <w:szCs w:val="24"/>
        </w:rPr>
        <w:t>.000.000.000,00</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dalam</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Rancangan</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Peraturan</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Daerah</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Kota</w:t>
      </w:r>
      <w:r w:rsidR="00A954D0" w:rsidRPr="008379CA">
        <w:rPr>
          <w:rFonts w:ascii="Bookman Old Style" w:hAnsi="Bookman Old Style" w:cs="Arial"/>
          <w:sz w:val="24"/>
          <w:szCs w:val="24"/>
        </w:rPr>
        <w:t xml:space="preserve"> </w:t>
      </w:r>
      <w:r w:rsidR="00770F22" w:rsidRPr="008379CA">
        <w:rPr>
          <w:rFonts w:ascii="Bookman Old Style" w:hAnsi="Bookman Old Style" w:cs="Arial"/>
          <w:sz w:val="24"/>
          <w:szCs w:val="24"/>
        </w:rPr>
        <w:t>Tangerang</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tentang</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APBD</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Tahun</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Anggaran</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2025.</w:t>
      </w:r>
    </w:p>
    <w:p w14:paraId="7318D8E9" w14:textId="63E81652" w:rsidR="005A1DE7" w:rsidRPr="008379CA" w:rsidRDefault="00BD21A6" w:rsidP="001A6EB5">
      <w:pPr>
        <w:pStyle w:val="ListParagraph"/>
        <w:spacing w:before="60" w:after="0" w:line="276" w:lineRule="auto"/>
        <w:ind w:left="1701"/>
        <w:contextualSpacing w:val="0"/>
        <w:jc w:val="both"/>
        <w:rPr>
          <w:rFonts w:ascii="Bookman Old Style" w:hAnsi="Bookman Old Style" w:cs="Arial"/>
          <w:sz w:val="24"/>
          <w:szCs w:val="24"/>
        </w:rPr>
      </w:pPr>
      <w:r w:rsidRPr="008379CA">
        <w:rPr>
          <w:rFonts w:ascii="Bookman Old Style" w:hAnsi="Bookman Old Style" w:cs="Arial"/>
          <w:sz w:val="24"/>
          <w:szCs w:val="24"/>
        </w:rPr>
        <w:t>Sehubungan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dengan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hal</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tersebut,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Pemerintah</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Daerah</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Kota</w:t>
      </w:r>
      <w:r w:rsidR="00A954D0" w:rsidRPr="008379CA">
        <w:rPr>
          <w:rFonts w:ascii="Bookman Old Style" w:hAnsi="Bookman Old Style" w:cs="Arial"/>
          <w:sz w:val="24"/>
          <w:szCs w:val="24"/>
        </w:rPr>
        <w:t xml:space="preserve"> </w:t>
      </w:r>
      <w:r w:rsidR="00770F22" w:rsidRPr="008379CA">
        <w:rPr>
          <w:rFonts w:ascii="Bookman Old Style" w:hAnsi="Bookman Old Style" w:cs="Arial"/>
          <w:sz w:val="24"/>
          <w:szCs w:val="24"/>
        </w:rPr>
        <w:t>Tangerang</w:t>
      </w:r>
      <w:r w:rsidR="00A954D0" w:rsidRPr="008379CA">
        <w:rPr>
          <w:rFonts w:ascii="Bookman Old Style" w:hAnsi="Bookman Old Style" w:cs="Arial"/>
          <w:sz w:val="24"/>
          <w:szCs w:val="24"/>
        </w:rPr>
        <w:t xml:space="preserve"> </w:t>
      </w:r>
      <w:r w:rsidR="00446EF8" w:rsidRPr="008379CA">
        <w:rPr>
          <w:rFonts w:ascii="Bookman Old Style" w:hAnsi="Bookman Old Style" w:cs="Arial"/>
          <w:b/>
          <w:bCs/>
          <w:sz w:val="24"/>
          <w:szCs w:val="24"/>
        </w:rPr>
        <w:t>telah</w:t>
      </w:r>
      <w:r w:rsidR="00A954D0" w:rsidRPr="008379CA">
        <w:rPr>
          <w:rFonts w:ascii="Bookman Old Style" w:hAnsi="Bookman Old Style" w:cs="Arial"/>
          <w:b/>
          <w:bCs/>
          <w:sz w:val="24"/>
          <w:szCs w:val="24"/>
        </w:rPr>
        <w:t xml:space="preserve"> </w:t>
      </w:r>
      <w:r w:rsidR="008C207E" w:rsidRPr="008379CA">
        <w:rPr>
          <w:rFonts w:ascii="Bookman Old Style" w:hAnsi="Bookman Old Style" w:cs="Arial"/>
          <w:b/>
          <w:bCs/>
          <w:sz w:val="24"/>
          <w:szCs w:val="24"/>
        </w:rPr>
        <w:t>memenuhi</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alokasi</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anggaran</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untuk</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lang w:val="en-ID"/>
        </w:rPr>
        <w:t>Penggunaan</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Hasil</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Penerimaan</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PBJT</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Atas</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Tenaga</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Listrik</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paling</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sedikit</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10%</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(sepuluh</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persen)</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untuk</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penyediaan</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penerangan</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jalan</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umum</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yang</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meliputi</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penyediaan</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pemeliharaan</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infrastruktur</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penerangan</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jalan</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umum</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serta</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pembayaran</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biaya</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atas</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konsumsi</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Tenaga</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Listrik</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untuk</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penerangan</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jalan</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umum,</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termasuk</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pembayaran</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ketersediaan</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layanan</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atas</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penyediaan</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pemeliharaan</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infrastruktur</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penerangan</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jalan</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umum</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yang</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disediakan</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melalui</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skema</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pembiayaan</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kerjasama</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antara</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Pemerintah</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daerah</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badan</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usaha</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sebagaimana</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maksud</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butir</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3.3.1.1.2.b</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butir</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5.1.1</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Lampiran</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Peraturan</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Menteri</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Dalam</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Negeri</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Nomor</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15</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Tahun</w:t>
      </w:r>
      <w:r w:rsidR="00A954D0" w:rsidRPr="008379CA">
        <w:rPr>
          <w:rFonts w:ascii="Bookman Old Style" w:hAnsi="Bookman Old Style" w:cs="Arial"/>
          <w:sz w:val="24"/>
          <w:szCs w:val="24"/>
        </w:rPr>
        <w:t xml:space="preserve"> </w:t>
      </w:r>
      <w:r w:rsidR="008C207E" w:rsidRPr="008379CA">
        <w:rPr>
          <w:rFonts w:ascii="Bookman Old Style" w:hAnsi="Bookman Old Style" w:cs="Arial"/>
          <w:sz w:val="24"/>
          <w:szCs w:val="24"/>
        </w:rPr>
        <w:t>2024.</w:t>
      </w:r>
      <w:r w:rsidR="00A954D0" w:rsidRPr="008379CA">
        <w:rPr>
          <w:rFonts w:ascii="Bookman Old Style" w:hAnsi="Bookman Old Style" w:cs="Arial"/>
          <w:sz w:val="24"/>
          <w:szCs w:val="24"/>
        </w:rPr>
        <w:t xml:space="preserve"> </w:t>
      </w:r>
    </w:p>
    <w:p w14:paraId="77EFDDF1" w14:textId="6BED0D1D" w:rsidR="005732F9" w:rsidRPr="008379CA" w:rsidRDefault="005732F9" w:rsidP="001A6EB5">
      <w:pPr>
        <w:pStyle w:val="ListParagraph"/>
        <w:spacing w:before="60" w:after="0" w:line="276" w:lineRule="auto"/>
        <w:ind w:left="1701"/>
        <w:contextualSpacing w:val="0"/>
        <w:jc w:val="both"/>
        <w:rPr>
          <w:rFonts w:ascii="Bookman Old Style" w:hAnsi="Bookman Old Style" w:cs="Arial"/>
          <w:sz w:val="24"/>
          <w:szCs w:val="24"/>
        </w:rPr>
      </w:pPr>
      <w:r w:rsidRPr="008379CA">
        <w:rPr>
          <w:rFonts w:ascii="Bookman Old Style" w:hAnsi="Bookman Old Style" w:cs="Arial"/>
          <w:sz w:val="24"/>
          <w:szCs w:val="24"/>
          <w:lang w:val="en-ID"/>
        </w:rPr>
        <w:t>Dalam</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hal</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terdapat</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perubahan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kebijakan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terkait</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pemetaan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penganggaran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untuk</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pemenuhan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alokasi</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anggaran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rPr>
        <w:t>Penggunaan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Hasil</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Penerimaan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PBJT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Atas</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Tenaga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Listrik</w:t>
      </w:r>
      <w:r w:rsidRPr="008379CA">
        <w:rPr>
          <w:rFonts w:ascii="Bookman Old Style" w:hAnsi="Bookman Old Style" w:cs="Arial"/>
          <w:sz w:val="24"/>
          <w:szCs w:val="24"/>
          <w:lang w:val="en-ID"/>
        </w:rPr>
        <w:t>,</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Pemerintah</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Daerah</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rPr>
        <w:t>Kota</w:t>
      </w:r>
      <w:r w:rsidR="00A954D0" w:rsidRPr="008379CA">
        <w:rPr>
          <w:rFonts w:ascii="Bookman Old Style" w:hAnsi="Bookman Old Style" w:cs="Arial"/>
          <w:sz w:val="24"/>
          <w:szCs w:val="24"/>
        </w:rPr>
        <w:t xml:space="preserve"> </w:t>
      </w:r>
      <w:r w:rsidR="00770F22" w:rsidRPr="008379CA">
        <w:rPr>
          <w:rFonts w:ascii="Bookman Old Style" w:hAnsi="Bookman Old Style" w:cs="Arial"/>
          <w:sz w:val="24"/>
          <w:szCs w:val="24"/>
        </w:rPr>
        <w:t>Tangerang</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harus</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melakukan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penyesuaian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terhadap</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alokasi</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anggaran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rPr>
        <w:t>Penggunaan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Hasil</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Penerimaan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PBJT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Atas</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Tenaga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Listrik</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dimaksud</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dengan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berpedoman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pada</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Peraturan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Menteri</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Dalam</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Negeri</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Nomor</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90</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Tahun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2019,</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Keputusan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Menteri</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Dalam</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Negeri</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Nomor</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050-5889</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Tahun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2021</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sebagaimana</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telah</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diubah</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beberapa</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kali</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terakhir</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dengan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Keputusan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Menteri</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Dalam</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Negeri</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Nomor</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900.1.15.5-3406</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Tahun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2024</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pemutakhirannya</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sesuai</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dengan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ketentuan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peraturan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perundang</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undangan.</w:t>
      </w:r>
    </w:p>
    <w:p w14:paraId="0C28C0D3" w14:textId="4B075DEE" w:rsidR="00F14F4D" w:rsidRPr="008379CA" w:rsidRDefault="005E5D0B" w:rsidP="00411DE2">
      <w:pPr>
        <w:pStyle w:val="ListParagraph"/>
        <w:numPr>
          <w:ilvl w:val="0"/>
          <w:numId w:val="194"/>
        </w:numPr>
        <w:spacing w:before="120" w:after="0" w:line="276" w:lineRule="auto"/>
        <w:ind w:left="1701" w:hanging="425"/>
        <w:contextualSpacing w:val="0"/>
        <w:jc w:val="both"/>
        <w:rPr>
          <w:rFonts w:ascii="Bookman Old Style" w:hAnsi="Bookman Old Style" w:cs="Arial"/>
          <w:sz w:val="24"/>
          <w:szCs w:val="24"/>
        </w:rPr>
      </w:pPr>
      <w:r w:rsidRPr="008379CA">
        <w:rPr>
          <w:rFonts w:ascii="Bookman Old Style" w:hAnsi="Bookman Old Style" w:cs="Arial"/>
          <w:sz w:val="24"/>
          <w:szCs w:val="24"/>
        </w:rPr>
        <w:t>Alokasi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Anggaran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untuk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Penggunaan</w:t>
      </w:r>
      <w:r w:rsidR="00A954D0" w:rsidRPr="008379CA">
        <w:rPr>
          <w:rFonts w:ascii="Bookman Old Style" w:hAnsi="Bookman Old Style" w:cs="Arial"/>
          <w:sz w:val="24"/>
          <w:szCs w:val="24"/>
        </w:rPr>
        <w:t xml:space="preserve"> </w:t>
      </w:r>
      <w:r w:rsidR="00F14F4D" w:rsidRPr="008379CA">
        <w:rPr>
          <w:rFonts w:ascii="Bookman Old Style" w:hAnsi="Bookman Old Style" w:cs="Arial"/>
          <w:sz w:val="24"/>
          <w:szCs w:val="24"/>
        </w:rPr>
        <w:t>Hasil</w:t>
      </w:r>
      <w:r w:rsidR="00A954D0" w:rsidRPr="008379CA">
        <w:rPr>
          <w:rFonts w:ascii="Bookman Old Style" w:hAnsi="Bookman Old Style" w:cs="Arial"/>
          <w:sz w:val="24"/>
          <w:szCs w:val="24"/>
        </w:rPr>
        <w:t xml:space="preserve"> </w:t>
      </w:r>
      <w:r w:rsidR="00F14F4D" w:rsidRPr="008379CA">
        <w:rPr>
          <w:rFonts w:ascii="Bookman Old Style" w:hAnsi="Bookman Old Style" w:cs="Arial"/>
          <w:sz w:val="24"/>
          <w:szCs w:val="24"/>
        </w:rPr>
        <w:t>Penerimaan</w:t>
      </w:r>
      <w:r w:rsidR="00A954D0" w:rsidRPr="008379CA">
        <w:rPr>
          <w:rFonts w:ascii="Bookman Old Style" w:hAnsi="Bookman Old Style" w:cs="Arial"/>
          <w:sz w:val="24"/>
          <w:szCs w:val="24"/>
        </w:rPr>
        <w:t xml:space="preserve"> </w:t>
      </w:r>
      <w:r w:rsidR="00C103D9" w:rsidRPr="008379CA">
        <w:rPr>
          <w:rFonts w:ascii="Bookman Old Style" w:hAnsi="Bookman Old Style" w:cs="Arial"/>
          <w:sz w:val="24"/>
          <w:szCs w:val="24"/>
        </w:rPr>
        <w:t>Bagi</w:t>
      </w:r>
      <w:r w:rsidR="00A954D0" w:rsidRPr="008379CA">
        <w:rPr>
          <w:rFonts w:ascii="Bookman Old Style" w:hAnsi="Bookman Old Style" w:cs="Arial"/>
          <w:sz w:val="24"/>
          <w:szCs w:val="24"/>
        </w:rPr>
        <w:t xml:space="preserve"> </w:t>
      </w:r>
      <w:r w:rsidR="00C103D9" w:rsidRPr="008379CA">
        <w:rPr>
          <w:rFonts w:ascii="Bookman Old Style" w:hAnsi="Bookman Old Style" w:cs="Arial"/>
          <w:sz w:val="24"/>
          <w:szCs w:val="24"/>
        </w:rPr>
        <w:t>Hasil</w:t>
      </w:r>
      <w:r w:rsidR="00A954D0" w:rsidRPr="008379CA">
        <w:rPr>
          <w:rFonts w:ascii="Bookman Old Style" w:hAnsi="Bookman Old Style" w:cs="Arial"/>
          <w:sz w:val="24"/>
          <w:szCs w:val="24"/>
        </w:rPr>
        <w:t xml:space="preserve"> </w:t>
      </w:r>
      <w:r w:rsidR="00F14F4D" w:rsidRPr="008379CA">
        <w:rPr>
          <w:rFonts w:ascii="Bookman Old Style" w:hAnsi="Bookman Old Style" w:cs="Arial"/>
          <w:sz w:val="24"/>
          <w:szCs w:val="24"/>
        </w:rPr>
        <w:t>Pajak</w:t>
      </w:r>
      <w:r w:rsidR="00A954D0" w:rsidRPr="008379CA">
        <w:rPr>
          <w:rFonts w:ascii="Bookman Old Style" w:hAnsi="Bookman Old Style" w:cs="Arial"/>
          <w:sz w:val="24"/>
          <w:szCs w:val="24"/>
        </w:rPr>
        <w:t xml:space="preserve"> </w:t>
      </w:r>
      <w:r w:rsidR="00F14F4D" w:rsidRPr="008379CA">
        <w:rPr>
          <w:rFonts w:ascii="Bookman Old Style" w:hAnsi="Bookman Old Style" w:cs="Arial"/>
          <w:sz w:val="24"/>
          <w:szCs w:val="24"/>
        </w:rPr>
        <w:t>Rokok</w:t>
      </w:r>
    </w:p>
    <w:p w14:paraId="5CEFD473" w14:textId="5615F778" w:rsidR="00202B45" w:rsidRPr="008379CA" w:rsidRDefault="00FA45C7" w:rsidP="00C92505">
      <w:pPr>
        <w:pStyle w:val="ListParagraph"/>
        <w:spacing w:before="60" w:after="0" w:line="276" w:lineRule="auto"/>
        <w:ind w:left="1701"/>
        <w:contextualSpacing w:val="0"/>
        <w:jc w:val="both"/>
        <w:rPr>
          <w:rFonts w:ascii="Bookman Old Style" w:hAnsi="Bookman Old Style"/>
          <w:sz w:val="24"/>
          <w:szCs w:val="24"/>
          <w:lang w:val="id-ID"/>
        </w:rPr>
      </w:pPr>
      <w:r w:rsidRPr="008379CA">
        <w:rPr>
          <w:rFonts w:ascii="Bookman Old Style" w:hAnsi="Bookman Old Style" w:cs="Arial"/>
          <w:sz w:val="24"/>
          <w:szCs w:val="24"/>
        </w:rPr>
        <w:t>Berdasarkan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Laporan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Tematik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SIPD</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RI,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w:t>
      </w:r>
      <w:r w:rsidR="00202B45" w:rsidRPr="008379CA">
        <w:rPr>
          <w:rFonts w:ascii="Bookman Old Style" w:hAnsi="Bookman Old Style" w:cs="Arial"/>
          <w:sz w:val="24"/>
          <w:szCs w:val="24"/>
        </w:rPr>
        <w:t>enyediaan</w:t>
      </w:r>
      <w:r w:rsidR="00A954D0" w:rsidRPr="008379CA">
        <w:rPr>
          <w:rFonts w:ascii="Bookman Old Style" w:hAnsi="Bookman Old Style"/>
          <w:sz w:val="24"/>
          <w:szCs w:val="24"/>
        </w:rPr>
        <w:t xml:space="preserve"> </w:t>
      </w:r>
      <w:r w:rsidR="00202B45" w:rsidRPr="008379CA">
        <w:rPr>
          <w:rFonts w:ascii="Bookman Old Style" w:hAnsi="Bookman Old Style"/>
          <w:sz w:val="24"/>
          <w:szCs w:val="24"/>
        </w:rPr>
        <w:t>alokasi</w:t>
      </w:r>
      <w:r w:rsidR="00A954D0" w:rsidRPr="008379CA">
        <w:rPr>
          <w:rFonts w:ascii="Bookman Old Style" w:hAnsi="Bookman Old Style"/>
          <w:sz w:val="24"/>
          <w:szCs w:val="24"/>
        </w:rPr>
        <w:t xml:space="preserve"> </w:t>
      </w:r>
      <w:r w:rsidR="00202B45" w:rsidRPr="008379CA">
        <w:rPr>
          <w:rFonts w:ascii="Bookman Old Style" w:hAnsi="Bookman Old Style" w:cs="Arial"/>
          <w:sz w:val="24"/>
          <w:szCs w:val="24"/>
          <w:lang w:val="en-ID"/>
        </w:rPr>
        <w:t>anggaran</w:t>
      </w:r>
      <w:r w:rsidR="00A954D0" w:rsidRPr="008379CA">
        <w:rPr>
          <w:rFonts w:ascii="Bookman Old Style" w:hAnsi="Bookman Old Style"/>
          <w:sz w:val="24"/>
          <w:szCs w:val="24"/>
          <w:lang w:val="en-ID"/>
        </w:rPr>
        <w:t xml:space="preserve"> </w:t>
      </w:r>
      <w:r w:rsidR="00202B45" w:rsidRPr="008379CA">
        <w:rPr>
          <w:rFonts w:ascii="Bookman Old Style" w:hAnsi="Bookman Old Style"/>
          <w:sz w:val="24"/>
          <w:szCs w:val="24"/>
          <w:lang w:val="en-ID"/>
        </w:rPr>
        <w:t>untuk</w:t>
      </w:r>
      <w:r w:rsidR="00A954D0" w:rsidRPr="008379CA">
        <w:rPr>
          <w:rFonts w:ascii="Bookman Old Style" w:hAnsi="Bookman Old Style"/>
          <w:sz w:val="24"/>
          <w:szCs w:val="24"/>
          <w:lang w:val="en-ID"/>
        </w:rPr>
        <w:t xml:space="preserve"> </w:t>
      </w:r>
      <w:r w:rsidR="00202B45" w:rsidRPr="008379CA">
        <w:rPr>
          <w:rFonts w:ascii="Bookman Old Style" w:hAnsi="Bookman Old Style" w:cs="Arial"/>
          <w:sz w:val="24"/>
          <w:szCs w:val="24"/>
        </w:rPr>
        <w:t>Penggunaan</w:t>
      </w:r>
      <w:r w:rsidR="00A954D0" w:rsidRPr="008379CA">
        <w:rPr>
          <w:rFonts w:ascii="Bookman Old Style" w:hAnsi="Bookman Old Style" w:cs="Arial"/>
          <w:sz w:val="24"/>
          <w:szCs w:val="24"/>
        </w:rPr>
        <w:t xml:space="preserve"> </w:t>
      </w:r>
      <w:r w:rsidR="00202B45" w:rsidRPr="008379CA">
        <w:rPr>
          <w:rFonts w:ascii="Bookman Old Style" w:hAnsi="Bookman Old Style" w:cs="Arial"/>
          <w:sz w:val="24"/>
          <w:szCs w:val="24"/>
        </w:rPr>
        <w:t>Hasil</w:t>
      </w:r>
      <w:r w:rsidR="00A954D0" w:rsidRPr="008379CA">
        <w:rPr>
          <w:rFonts w:ascii="Bookman Old Style" w:hAnsi="Bookman Old Style" w:cs="Arial"/>
          <w:sz w:val="24"/>
          <w:szCs w:val="24"/>
        </w:rPr>
        <w:t xml:space="preserve"> </w:t>
      </w:r>
      <w:r w:rsidR="00202B45" w:rsidRPr="008379CA">
        <w:rPr>
          <w:rFonts w:ascii="Bookman Old Style" w:hAnsi="Bookman Old Style" w:cs="Arial"/>
          <w:sz w:val="24"/>
          <w:szCs w:val="24"/>
          <w:lang w:val="en-ID"/>
        </w:rPr>
        <w:t>Penerimaan</w:t>
      </w:r>
      <w:r w:rsidR="00A954D0" w:rsidRPr="008379CA">
        <w:rPr>
          <w:rFonts w:ascii="Bookman Old Style" w:hAnsi="Bookman Old Style" w:cs="Arial"/>
          <w:sz w:val="24"/>
          <w:szCs w:val="24"/>
        </w:rPr>
        <w:t xml:space="preserve"> </w:t>
      </w:r>
      <w:r w:rsidR="00C103D9" w:rsidRPr="008379CA">
        <w:rPr>
          <w:rFonts w:ascii="Bookman Old Style" w:hAnsi="Bookman Old Style" w:cs="Arial"/>
          <w:sz w:val="24"/>
          <w:szCs w:val="24"/>
        </w:rPr>
        <w:t>Bagi</w:t>
      </w:r>
      <w:r w:rsidR="00A954D0" w:rsidRPr="008379CA">
        <w:rPr>
          <w:rFonts w:ascii="Bookman Old Style" w:hAnsi="Bookman Old Style" w:cs="Arial"/>
          <w:sz w:val="24"/>
          <w:szCs w:val="24"/>
        </w:rPr>
        <w:t xml:space="preserve"> </w:t>
      </w:r>
      <w:r w:rsidR="00C103D9" w:rsidRPr="008379CA">
        <w:rPr>
          <w:rFonts w:ascii="Bookman Old Style" w:hAnsi="Bookman Old Style" w:cs="Arial"/>
          <w:sz w:val="24"/>
          <w:szCs w:val="24"/>
        </w:rPr>
        <w:t>Hasil</w:t>
      </w:r>
      <w:r w:rsidR="00A954D0" w:rsidRPr="008379CA">
        <w:rPr>
          <w:rFonts w:ascii="Bookman Old Style" w:hAnsi="Bookman Old Style" w:cs="Arial"/>
          <w:sz w:val="24"/>
          <w:szCs w:val="24"/>
        </w:rPr>
        <w:t xml:space="preserve"> </w:t>
      </w:r>
      <w:r w:rsidR="00202B45" w:rsidRPr="008379CA">
        <w:rPr>
          <w:rFonts w:ascii="Bookman Old Style" w:hAnsi="Bookman Old Style" w:cs="Arial"/>
          <w:sz w:val="24"/>
          <w:szCs w:val="24"/>
        </w:rPr>
        <w:t>Pajak</w:t>
      </w:r>
      <w:r w:rsidR="00A954D0" w:rsidRPr="008379CA">
        <w:rPr>
          <w:rFonts w:ascii="Bookman Old Style" w:hAnsi="Bookman Old Style" w:cs="Arial"/>
          <w:sz w:val="24"/>
          <w:szCs w:val="24"/>
        </w:rPr>
        <w:t xml:space="preserve"> </w:t>
      </w:r>
      <w:r w:rsidR="00202B45" w:rsidRPr="008379CA">
        <w:rPr>
          <w:rFonts w:ascii="Bookman Old Style" w:hAnsi="Bookman Old Style" w:cs="Arial"/>
          <w:sz w:val="24"/>
          <w:szCs w:val="24"/>
        </w:rPr>
        <w:t>Rokok</w:t>
      </w:r>
      <w:r w:rsidR="00A954D0" w:rsidRPr="008379CA">
        <w:rPr>
          <w:rFonts w:ascii="Bookman Old Style" w:hAnsi="Bookman Old Style"/>
          <w:sz w:val="24"/>
          <w:szCs w:val="24"/>
          <w:lang w:val="en-US"/>
        </w:rPr>
        <w:t xml:space="preserve"> </w:t>
      </w:r>
      <w:r w:rsidR="00645FDE" w:rsidRPr="008379CA">
        <w:rPr>
          <w:rFonts w:ascii="Bookman Old Style" w:hAnsi="Bookman Old Style"/>
          <w:sz w:val="24"/>
          <w:szCs w:val="24"/>
        </w:rPr>
        <w:t>Rp</w:t>
      </w:r>
      <w:r w:rsidR="00645FDE" w:rsidRPr="008379CA">
        <w:rPr>
          <w:rFonts w:ascii="Bookman Old Style" w:hAnsi="Bookman Old Style"/>
          <w:sz w:val="24"/>
          <w:szCs w:val="24"/>
          <w:lang w:val="id-ID"/>
        </w:rPr>
        <w:t xml:space="preserve">118.465.494.000,00 atau 100,00% </w:t>
      </w:r>
      <w:r w:rsidR="00C103D9"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00C103D9" w:rsidRPr="008379CA">
        <w:rPr>
          <w:rFonts w:ascii="Bookman Old Style" w:hAnsi="Bookman Old Style" w:cs="Arial"/>
          <w:sz w:val="24"/>
          <w:szCs w:val="24"/>
        </w:rPr>
        <w:t>Hasil</w:t>
      </w:r>
      <w:r w:rsidR="00A954D0" w:rsidRPr="008379CA">
        <w:rPr>
          <w:rFonts w:ascii="Bookman Old Style" w:hAnsi="Bookman Old Style" w:cs="Arial"/>
          <w:sz w:val="24"/>
          <w:szCs w:val="24"/>
        </w:rPr>
        <w:t xml:space="preserve"> </w:t>
      </w:r>
      <w:r w:rsidR="00C103D9" w:rsidRPr="008379CA">
        <w:rPr>
          <w:rFonts w:ascii="Bookman Old Style" w:hAnsi="Bookman Old Style" w:cs="Arial"/>
          <w:sz w:val="24"/>
          <w:szCs w:val="24"/>
        </w:rPr>
        <w:t>Penerimaan</w:t>
      </w:r>
      <w:r w:rsidR="00A954D0" w:rsidRPr="008379CA">
        <w:rPr>
          <w:rFonts w:ascii="Bookman Old Style" w:hAnsi="Bookman Old Style" w:cs="Arial"/>
          <w:sz w:val="24"/>
          <w:szCs w:val="24"/>
        </w:rPr>
        <w:t xml:space="preserve"> </w:t>
      </w:r>
      <w:r w:rsidR="00C103D9" w:rsidRPr="008379CA">
        <w:rPr>
          <w:rFonts w:ascii="Bookman Old Style" w:hAnsi="Bookman Old Style" w:cs="Arial"/>
          <w:sz w:val="24"/>
          <w:szCs w:val="24"/>
        </w:rPr>
        <w:t>Pendapatan</w:t>
      </w:r>
      <w:r w:rsidR="00A954D0" w:rsidRPr="008379CA">
        <w:rPr>
          <w:rFonts w:ascii="Bookman Old Style" w:hAnsi="Bookman Old Style" w:cs="Arial"/>
          <w:sz w:val="24"/>
          <w:szCs w:val="24"/>
        </w:rPr>
        <w:t xml:space="preserve"> </w:t>
      </w:r>
      <w:r w:rsidR="00C103D9" w:rsidRPr="008379CA">
        <w:rPr>
          <w:rFonts w:ascii="Bookman Old Style" w:hAnsi="Bookman Old Style" w:cs="Arial"/>
          <w:sz w:val="24"/>
          <w:szCs w:val="24"/>
        </w:rPr>
        <w:t>Bagi</w:t>
      </w:r>
      <w:r w:rsidR="00A954D0" w:rsidRPr="008379CA">
        <w:rPr>
          <w:rFonts w:ascii="Bookman Old Style" w:hAnsi="Bookman Old Style" w:cs="Arial"/>
          <w:sz w:val="24"/>
          <w:szCs w:val="24"/>
        </w:rPr>
        <w:t xml:space="preserve"> </w:t>
      </w:r>
      <w:r w:rsidR="00C103D9" w:rsidRPr="008379CA">
        <w:rPr>
          <w:rFonts w:ascii="Bookman Old Style" w:hAnsi="Bookman Old Style" w:cs="Arial"/>
          <w:sz w:val="24"/>
          <w:szCs w:val="24"/>
        </w:rPr>
        <w:t>Hasil</w:t>
      </w:r>
      <w:r w:rsidR="00A954D0" w:rsidRPr="008379CA">
        <w:rPr>
          <w:rFonts w:ascii="Bookman Old Style" w:hAnsi="Bookman Old Style" w:cs="Arial"/>
          <w:sz w:val="24"/>
          <w:szCs w:val="24"/>
        </w:rPr>
        <w:t xml:space="preserve"> </w:t>
      </w:r>
      <w:r w:rsidR="00C103D9" w:rsidRPr="008379CA">
        <w:rPr>
          <w:rFonts w:ascii="Bookman Old Style" w:hAnsi="Bookman Old Style" w:cs="Arial"/>
          <w:sz w:val="24"/>
          <w:szCs w:val="24"/>
        </w:rPr>
        <w:t>Pajak</w:t>
      </w:r>
      <w:r w:rsidR="00A954D0" w:rsidRPr="008379CA">
        <w:rPr>
          <w:rFonts w:ascii="Bookman Old Style" w:hAnsi="Bookman Old Style" w:cs="Arial"/>
          <w:sz w:val="24"/>
          <w:szCs w:val="24"/>
        </w:rPr>
        <w:t xml:space="preserve"> </w:t>
      </w:r>
      <w:r w:rsidR="00C103D9" w:rsidRPr="008379CA">
        <w:rPr>
          <w:rFonts w:ascii="Bookman Old Style" w:hAnsi="Bookman Old Style" w:cs="Arial"/>
          <w:sz w:val="24"/>
          <w:szCs w:val="24"/>
        </w:rPr>
        <w:t>Rokok</w:t>
      </w:r>
      <w:r w:rsidR="00A954D0" w:rsidRPr="008379CA">
        <w:rPr>
          <w:rFonts w:ascii="Bookman Old Style" w:hAnsi="Bookman Old Style"/>
          <w:sz w:val="24"/>
          <w:szCs w:val="24"/>
        </w:rPr>
        <w:t xml:space="preserve"> </w:t>
      </w:r>
      <w:r w:rsidR="00C103D9" w:rsidRPr="008379CA">
        <w:rPr>
          <w:rFonts w:ascii="Bookman Old Style" w:hAnsi="Bookman Old Style"/>
          <w:sz w:val="24"/>
          <w:szCs w:val="24"/>
        </w:rPr>
        <w:t>sebesar</w:t>
      </w:r>
      <w:r w:rsidR="00A954D0" w:rsidRPr="008379CA">
        <w:rPr>
          <w:rFonts w:ascii="Bookman Old Style" w:hAnsi="Bookman Old Style"/>
          <w:sz w:val="24"/>
          <w:szCs w:val="24"/>
        </w:rPr>
        <w:t xml:space="preserve"> </w:t>
      </w:r>
      <w:r w:rsidR="00446EF8" w:rsidRPr="008379CA">
        <w:rPr>
          <w:rFonts w:ascii="Bookman Old Style" w:hAnsi="Bookman Old Style"/>
          <w:sz w:val="24"/>
          <w:szCs w:val="24"/>
        </w:rPr>
        <w:t>Rp</w:t>
      </w:r>
      <w:r w:rsidR="00446EF8" w:rsidRPr="008379CA">
        <w:rPr>
          <w:rFonts w:ascii="Bookman Old Style" w:hAnsi="Bookman Old Style"/>
          <w:sz w:val="24"/>
          <w:szCs w:val="24"/>
          <w:lang w:val="id-ID"/>
        </w:rPr>
        <w:t>118.465.494.000</w:t>
      </w:r>
      <w:r w:rsidR="00A954D0" w:rsidRPr="008379CA">
        <w:rPr>
          <w:rFonts w:ascii="Bookman Old Style" w:hAnsi="Bookman Old Style"/>
          <w:sz w:val="24"/>
          <w:szCs w:val="24"/>
          <w:lang w:val="id-ID"/>
        </w:rPr>
        <w:t xml:space="preserve"> </w:t>
      </w:r>
      <w:r w:rsidR="00202B45"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00202B45" w:rsidRPr="008379CA">
        <w:rPr>
          <w:rFonts w:ascii="Bookman Old Style" w:hAnsi="Bookman Old Style"/>
          <w:sz w:val="24"/>
          <w:szCs w:val="24"/>
        </w:rPr>
        <w:t>Rancangan</w:t>
      </w:r>
      <w:r w:rsidR="00A954D0" w:rsidRPr="008379CA">
        <w:rPr>
          <w:rFonts w:ascii="Bookman Old Style" w:hAnsi="Bookman Old Style"/>
          <w:sz w:val="24"/>
          <w:szCs w:val="24"/>
        </w:rPr>
        <w:t xml:space="preserve"> </w:t>
      </w:r>
      <w:r w:rsidR="00202B45" w:rsidRPr="008379CA">
        <w:rPr>
          <w:rFonts w:ascii="Bookman Old Style" w:hAnsi="Bookman Old Style"/>
          <w:sz w:val="24"/>
          <w:szCs w:val="24"/>
        </w:rPr>
        <w:t>Peraturan</w:t>
      </w:r>
      <w:r w:rsidR="00A954D0" w:rsidRPr="008379CA">
        <w:rPr>
          <w:rFonts w:ascii="Bookman Old Style" w:hAnsi="Bookman Old Style"/>
          <w:sz w:val="24"/>
          <w:szCs w:val="24"/>
        </w:rPr>
        <w:t xml:space="preserve"> </w:t>
      </w:r>
      <w:r w:rsidR="00202B45" w:rsidRPr="008379CA">
        <w:rPr>
          <w:rFonts w:ascii="Bookman Old Style" w:hAnsi="Bookman Old Style"/>
          <w:sz w:val="24"/>
          <w:szCs w:val="24"/>
        </w:rPr>
        <w:lastRenderedPageBreak/>
        <w:t>Daerah</w:t>
      </w:r>
      <w:r w:rsidR="00A954D0" w:rsidRPr="008379CA">
        <w:rPr>
          <w:rFonts w:ascii="Bookman Old Style" w:hAnsi="Bookman Old Style"/>
          <w:sz w:val="24"/>
          <w:szCs w:val="24"/>
        </w:rPr>
        <w:t xml:space="preserve"> </w:t>
      </w:r>
      <w:r w:rsidR="00202B45"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00770F22"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00202B45" w:rsidRPr="008379CA">
        <w:rPr>
          <w:rFonts w:ascii="Bookman Old Style" w:hAnsi="Bookman Old Style"/>
          <w:sz w:val="24"/>
          <w:szCs w:val="24"/>
        </w:rPr>
        <w:t>tentang</w:t>
      </w:r>
      <w:r w:rsidR="00A954D0" w:rsidRPr="008379CA">
        <w:rPr>
          <w:rFonts w:ascii="Bookman Old Style" w:hAnsi="Bookman Old Style"/>
          <w:sz w:val="24"/>
          <w:szCs w:val="24"/>
        </w:rPr>
        <w:t xml:space="preserve"> </w:t>
      </w:r>
      <w:r w:rsidR="00202B45" w:rsidRPr="008379CA">
        <w:rPr>
          <w:rFonts w:ascii="Bookman Old Style" w:hAnsi="Bookman Old Style"/>
          <w:sz w:val="24"/>
          <w:szCs w:val="24"/>
        </w:rPr>
        <w:t>APBD</w:t>
      </w:r>
      <w:r w:rsidR="00A954D0" w:rsidRPr="008379CA">
        <w:rPr>
          <w:rFonts w:ascii="Bookman Old Style" w:hAnsi="Bookman Old Style"/>
          <w:sz w:val="24"/>
          <w:szCs w:val="24"/>
        </w:rPr>
        <w:t xml:space="preserve"> </w:t>
      </w:r>
      <w:r w:rsidR="00202B45"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00202B45"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00202B45" w:rsidRPr="008379CA">
        <w:rPr>
          <w:rFonts w:ascii="Bookman Old Style" w:hAnsi="Bookman Old Style"/>
          <w:sz w:val="24"/>
          <w:szCs w:val="24"/>
        </w:rPr>
        <w:t>202</w:t>
      </w:r>
      <w:r w:rsidR="00202B45" w:rsidRPr="008379CA">
        <w:rPr>
          <w:rFonts w:ascii="Bookman Old Style" w:hAnsi="Bookman Old Style"/>
          <w:sz w:val="24"/>
          <w:szCs w:val="24"/>
          <w:lang w:val="en-US"/>
        </w:rPr>
        <w:t>5</w:t>
      </w:r>
      <w:r w:rsidR="00390596" w:rsidRPr="008379CA">
        <w:rPr>
          <w:rFonts w:ascii="Bookman Old Style" w:hAnsi="Bookman Old Style"/>
          <w:sz w:val="24"/>
          <w:szCs w:val="24"/>
          <w:lang w:val="en-US"/>
        </w:rPr>
        <w:t>.</w:t>
      </w:r>
      <w:r w:rsidR="00645FDE" w:rsidRPr="008379CA">
        <w:rPr>
          <w:rFonts w:ascii="Bookman Old Style" w:hAnsi="Bookman Old Style"/>
          <w:sz w:val="24"/>
          <w:szCs w:val="24"/>
          <w:lang w:val="en-US"/>
        </w:rPr>
        <w:t xml:space="preserve"> </w:t>
      </w:r>
      <w:r w:rsidR="00645FDE" w:rsidRPr="008379CA">
        <w:rPr>
          <w:rFonts w:ascii="Bookman Old Style" w:hAnsi="Bookman Old Style" w:cs="Arial"/>
          <w:sz w:val="24"/>
          <w:szCs w:val="24"/>
        </w:rPr>
        <w:t xml:space="preserve">Hasil </w:t>
      </w:r>
      <w:r w:rsidR="00645FDE" w:rsidRPr="008379CA">
        <w:rPr>
          <w:rFonts w:ascii="Bookman Old Style" w:hAnsi="Bookman Old Style" w:cs="Arial"/>
          <w:sz w:val="24"/>
          <w:szCs w:val="24"/>
          <w:lang w:val="en-ID"/>
        </w:rPr>
        <w:t>Penerimaan</w:t>
      </w:r>
      <w:r w:rsidR="00645FDE" w:rsidRPr="008379CA">
        <w:rPr>
          <w:rFonts w:ascii="Bookman Old Style" w:hAnsi="Bookman Old Style" w:cs="Arial"/>
          <w:sz w:val="24"/>
          <w:szCs w:val="24"/>
        </w:rPr>
        <w:t xml:space="preserve"> Bagi Hasil Pajak Rokok seluruhnya dialokasikan untuk </w:t>
      </w:r>
      <w:r w:rsidR="00645FDE" w:rsidRPr="008379CA">
        <w:rPr>
          <w:rFonts w:ascii="Bookman Old Style" w:hAnsi="Bookman Old Style" w:cs="Arial"/>
          <w:sz w:val="24"/>
          <w:szCs w:val="24"/>
          <w:lang w:val="de-DE"/>
        </w:rPr>
        <w:t>pendanaan program Jaminan Kesehatan Nasional (JKN).</w:t>
      </w:r>
    </w:p>
    <w:p w14:paraId="77B61F02" w14:textId="72F62A2E" w:rsidR="00202B45" w:rsidRPr="008379CA" w:rsidRDefault="00390596" w:rsidP="00C92505">
      <w:pPr>
        <w:pStyle w:val="ListParagraph"/>
        <w:spacing w:before="60" w:after="0" w:line="276" w:lineRule="auto"/>
        <w:ind w:left="1701"/>
        <w:contextualSpacing w:val="0"/>
        <w:jc w:val="both"/>
        <w:rPr>
          <w:rFonts w:ascii="Bookman Old Style" w:hAnsi="Bookman Old Style" w:cs="Arial"/>
          <w:sz w:val="24"/>
          <w:szCs w:val="24"/>
          <w:lang w:val="de-DE"/>
        </w:rPr>
      </w:pPr>
      <w:r w:rsidRPr="008379CA">
        <w:rPr>
          <w:rFonts w:ascii="Bookman Old Style" w:hAnsi="Bookman Old Style" w:cs="Arial"/>
          <w:sz w:val="24"/>
          <w:szCs w:val="24"/>
        </w:rPr>
        <w:t>Sehubungan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dengan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hal</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tersebut,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Pemerintah</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Daerah</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Kota</w:t>
      </w:r>
      <w:r w:rsidR="00A954D0" w:rsidRPr="008379CA">
        <w:rPr>
          <w:rFonts w:ascii="Bookman Old Style" w:hAnsi="Bookman Old Style" w:cs="Arial"/>
          <w:sz w:val="24"/>
          <w:szCs w:val="24"/>
        </w:rPr>
        <w:t xml:space="preserve"> </w:t>
      </w:r>
      <w:r w:rsidR="00770F22" w:rsidRPr="008379CA">
        <w:rPr>
          <w:rFonts w:ascii="Bookman Old Style" w:hAnsi="Bookman Old Style" w:cs="Arial"/>
          <w:sz w:val="24"/>
          <w:szCs w:val="24"/>
          <w:lang w:val="id-ID"/>
        </w:rPr>
        <w:t>Tangerang</w:t>
      </w:r>
      <w:r w:rsidR="00A954D0" w:rsidRPr="008379CA">
        <w:rPr>
          <w:rFonts w:ascii="Bookman Old Style" w:hAnsi="Bookman Old Style" w:cs="Arial"/>
          <w:sz w:val="24"/>
          <w:szCs w:val="24"/>
        </w:rPr>
        <w:t xml:space="preserve"> </w:t>
      </w:r>
      <w:r w:rsidR="00645FDE" w:rsidRPr="008379CA">
        <w:rPr>
          <w:rFonts w:ascii="Bookman Old Style" w:hAnsi="Bookman Old Style" w:cs="Arial"/>
          <w:b/>
          <w:bCs/>
          <w:sz w:val="24"/>
          <w:szCs w:val="24"/>
        </w:rPr>
        <w:t>telah</w:t>
      </w:r>
      <w:r w:rsidR="00A954D0" w:rsidRPr="008379CA">
        <w:rPr>
          <w:rFonts w:ascii="Bookman Old Style" w:hAnsi="Bookman Old Style"/>
          <w:b/>
          <w:bCs/>
          <w:sz w:val="24"/>
          <w:szCs w:val="24"/>
          <w:lang w:val="id-ID"/>
        </w:rPr>
        <w:t xml:space="preserve"> </w:t>
      </w:r>
      <w:r w:rsidR="00202B45" w:rsidRPr="008379CA">
        <w:rPr>
          <w:rFonts w:ascii="Bookman Old Style" w:hAnsi="Bookman Old Style"/>
          <w:b/>
          <w:bCs/>
          <w:sz w:val="24"/>
          <w:szCs w:val="24"/>
        </w:rPr>
        <w:t>memenuhi</w:t>
      </w:r>
      <w:r w:rsidR="00A954D0" w:rsidRPr="008379CA">
        <w:rPr>
          <w:rFonts w:ascii="Bookman Old Style" w:hAnsi="Bookman Old Style"/>
          <w:sz w:val="24"/>
          <w:szCs w:val="24"/>
        </w:rPr>
        <w:t xml:space="preserve"> </w:t>
      </w:r>
      <w:r w:rsidR="00202B45" w:rsidRPr="008379CA">
        <w:rPr>
          <w:rFonts w:ascii="Bookman Old Style" w:hAnsi="Bookman Old Style"/>
          <w:sz w:val="24"/>
          <w:szCs w:val="24"/>
        </w:rPr>
        <w:t>alokasi</w:t>
      </w:r>
      <w:r w:rsidR="00A954D0" w:rsidRPr="008379CA">
        <w:rPr>
          <w:rFonts w:ascii="Bookman Old Style" w:hAnsi="Bookman Old Style"/>
          <w:sz w:val="24"/>
          <w:szCs w:val="24"/>
        </w:rPr>
        <w:t xml:space="preserve"> </w:t>
      </w:r>
      <w:r w:rsidR="00202B45"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00202B45" w:rsidRPr="008379CA">
        <w:rPr>
          <w:rFonts w:ascii="Bookman Old Style" w:hAnsi="Bookman Old Style"/>
          <w:sz w:val="24"/>
          <w:szCs w:val="24"/>
        </w:rPr>
        <w:t>untuk</w:t>
      </w:r>
      <w:r w:rsidR="00A954D0" w:rsidRPr="008379CA">
        <w:rPr>
          <w:rFonts w:ascii="Bookman Old Style" w:hAnsi="Bookman Old Style"/>
          <w:sz w:val="24"/>
          <w:szCs w:val="24"/>
        </w:rPr>
        <w:t xml:space="preserve"> </w:t>
      </w:r>
      <w:r w:rsidR="00202B45" w:rsidRPr="008379CA">
        <w:rPr>
          <w:rFonts w:ascii="Bookman Old Style" w:hAnsi="Bookman Old Style" w:cs="Arial"/>
          <w:sz w:val="24"/>
          <w:szCs w:val="24"/>
        </w:rPr>
        <w:t>Penggunaan</w:t>
      </w:r>
      <w:r w:rsidR="00A954D0" w:rsidRPr="008379CA">
        <w:rPr>
          <w:rFonts w:ascii="Bookman Old Style" w:hAnsi="Bookman Old Style" w:cs="Arial"/>
          <w:sz w:val="24"/>
          <w:szCs w:val="24"/>
        </w:rPr>
        <w:t xml:space="preserve"> </w:t>
      </w:r>
      <w:r w:rsidR="00202B45" w:rsidRPr="008379CA">
        <w:rPr>
          <w:rFonts w:ascii="Bookman Old Style" w:hAnsi="Bookman Old Style" w:cs="Arial"/>
          <w:sz w:val="24"/>
          <w:szCs w:val="24"/>
        </w:rPr>
        <w:t>Hasil</w:t>
      </w:r>
      <w:r w:rsidR="00A954D0" w:rsidRPr="008379CA">
        <w:rPr>
          <w:rFonts w:ascii="Bookman Old Style" w:hAnsi="Bookman Old Style" w:cs="Arial"/>
          <w:sz w:val="24"/>
          <w:szCs w:val="24"/>
        </w:rPr>
        <w:t xml:space="preserve"> </w:t>
      </w:r>
      <w:r w:rsidR="00202B45" w:rsidRPr="008379CA">
        <w:rPr>
          <w:rFonts w:ascii="Bookman Old Style" w:hAnsi="Bookman Old Style" w:cs="Arial"/>
          <w:sz w:val="24"/>
          <w:szCs w:val="24"/>
        </w:rPr>
        <w:t>Penerimaan</w:t>
      </w:r>
      <w:r w:rsidR="00A954D0" w:rsidRPr="008379CA">
        <w:rPr>
          <w:rFonts w:ascii="Bookman Old Style" w:hAnsi="Bookman Old Style" w:cs="Arial"/>
          <w:sz w:val="24"/>
          <w:szCs w:val="24"/>
        </w:rPr>
        <w:t xml:space="preserve"> </w:t>
      </w:r>
      <w:r w:rsidR="0059489F" w:rsidRPr="008379CA">
        <w:rPr>
          <w:rFonts w:ascii="Bookman Old Style" w:hAnsi="Bookman Old Style" w:cs="Arial"/>
          <w:sz w:val="24"/>
          <w:szCs w:val="24"/>
        </w:rPr>
        <w:t>bagi</w:t>
      </w:r>
      <w:r w:rsidR="00A954D0" w:rsidRPr="008379CA">
        <w:rPr>
          <w:rFonts w:ascii="Bookman Old Style" w:hAnsi="Bookman Old Style" w:cs="Arial"/>
          <w:sz w:val="24"/>
          <w:szCs w:val="24"/>
        </w:rPr>
        <w:t xml:space="preserve"> </w:t>
      </w:r>
      <w:r w:rsidR="0059489F" w:rsidRPr="008379CA">
        <w:rPr>
          <w:rFonts w:ascii="Bookman Old Style" w:hAnsi="Bookman Old Style" w:cs="Arial"/>
          <w:sz w:val="24"/>
          <w:szCs w:val="24"/>
        </w:rPr>
        <w:t>hasil</w:t>
      </w:r>
      <w:r w:rsidR="00A954D0" w:rsidRPr="008379CA">
        <w:rPr>
          <w:rFonts w:ascii="Bookman Old Style" w:hAnsi="Bookman Old Style" w:cs="Arial"/>
          <w:sz w:val="24"/>
          <w:szCs w:val="24"/>
        </w:rPr>
        <w:t xml:space="preserve"> </w:t>
      </w:r>
      <w:r w:rsidR="00202B45" w:rsidRPr="008379CA">
        <w:rPr>
          <w:rFonts w:ascii="Bookman Old Style" w:hAnsi="Bookman Old Style" w:cs="Arial"/>
          <w:sz w:val="24"/>
          <w:szCs w:val="24"/>
        </w:rPr>
        <w:t>Pajak</w:t>
      </w:r>
      <w:r w:rsidR="00A954D0" w:rsidRPr="008379CA">
        <w:rPr>
          <w:rFonts w:ascii="Bookman Old Style" w:hAnsi="Bookman Old Style" w:cs="Arial"/>
          <w:sz w:val="24"/>
          <w:szCs w:val="24"/>
        </w:rPr>
        <w:t xml:space="preserve"> </w:t>
      </w:r>
      <w:r w:rsidR="00202B45" w:rsidRPr="008379CA">
        <w:rPr>
          <w:rFonts w:ascii="Bookman Old Style" w:hAnsi="Bookman Old Style" w:cs="Arial"/>
          <w:sz w:val="24"/>
          <w:szCs w:val="24"/>
        </w:rPr>
        <w:t>Rokok</w:t>
      </w:r>
      <w:r w:rsidR="00A954D0" w:rsidRPr="008379CA">
        <w:rPr>
          <w:rFonts w:ascii="Bookman Old Style" w:hAnsi="Bookman Old Style"/>
          <w:sz w:val="24"/>
          <w:szCs w:val="24"/>
          <w:lang w:val="id-ID"/>
        </w:rPr>
        <w:t xml:space="preserve"> </w:t>
      </w:r>
      <w:r w:rsidR="00202B45" w:rsidRPr="008379CA">
        <w:rPr>
          <w:rFonts w:ascii="Bookman Old Style" w:hAnsi="Bookman Old Style" w:cs="Arial"/>
          <w:sz w:val="24"/>
          <w:szCs w:val="24"/>
          <w:lang w:val="id-ID"/>
        </w:rPr>
        <w:t>paling</w:t>
      </w:r>
      <w:r w:rsidR="00A954D0" w:rsidRPr="008379CA">
        <w:rPr>
          <w:rFonts w:ascii="Bookman Old Style" w:hAnsi="Bookman Old Style" w:cs="Arial"/>
          <w:sz w:val="24"/>
          <w:szCs w:val="24"/>
          <w:lang w:val="id-ID"/>
        </w:rPr>
        <w:t xml:space="preserve"> </w:t>
      </w:r>
      <w:r w:rsidR="00202B45" w:rsidRPr="008379CA">
        <w:rPr>
          <w:rFonts w:ascii="Bookman Old Style" w:hAnsi="Bookman Old Style" w:cs="Arial"/>
          <w:sz w:val="24"/>
          <w:szCs w:val="24"/>
          <w:lang w:val="id-ID"/>
        </w:rPr>
        <w:t>sedikit</w:t>
      </w:r>
      <w:r w:rsidR="00A954D0" w:rsidRPr="008379CA">
        <w:rPr>
          <w:rFonts w:ascii="Bookman Old Style" w:hAnsi="Bookman Old Style" w:cs="Arial"/>
          <w:sz w:val="24"/>
          <w:szCs w:val="24"/>
          <w:lang w:val="id-ID"/>
        </w:rPr>
        <w:t xml:space="preserve"> </w:t>
      </w:r>
      <w:r w:rsidR="00202B45" w:rsidRPr="008379CA">
        <w:rPr>
          <w:rFonts w:ascii="Bookman Old Style" w:hAnsi="Bookman Old Style" w:cs="Arial"/>
          <w:sz w:val="24"/>
          <w:szCs w:val="24"/>
          <w:lang w:val="de-DE"/>
        </w:rPr>
        <w:t>paling</w:t>
      </w:r>
      <w:r w:rsidR="00A954D0" w:rsidRPr="008379CA">
        <w:rPr>
          <w:rFonts w:ascii="Bookman Old Style" w:hAnsi="Bookman Old Style" w:cs="Arial"/>
          <w:sz w:val="24"/>
          <w:szCs w:val="24"/>
          <w:lang w:val="de-DE"/>
        </w:rPr>
        <w:t xml:space="preserve"> </w:t>
      </w:r>
      <w:r w:rsidR="00202B45" w:rsidRPr="008379CA">
        <w:rPr>
          <w:rFonts w:ascii="Bookman Old Style" w:hAnsi="Bookman Old Style" w:cs="Arial"/>
          <w:sz w:val="24"/>
          <w:szCs w:val="24"/>
          <w:lang w:val="de-DE"/>
        </w:rPr>
        <w:t>sedikit</w:t>
      </w:r>
      <w:r w:rsidR="00A954D0" w:rsidRPr="008379CA">
        <w:rPr>
          <w:rFonts w:ascii="Bookman Old Style" w:hAnsi="Bookman Old Style" w:cs="Arial"/>
          <w:sz w:val="24"/>
          <w:szCs w:val="24"/>
          <w:lang w:val="de-DE"/>
        </w:rPr>
        <w:t xml:space="preserve"> </w:t>
      </w:r>
      <w:r w:rsidR="00202B45" w:rsidRPr="008379CA">
        <w:rPr>
          <w:rFonts w:ascii="Bookman Old Style" w:hAnsi="Bookman Old Style" w:cs="Arial"/>
          <w:sz w:val="24"/>
          <w:szCs w:val="24"/>
          <w:lang w:val="de-DE"/>
        </w:rPr>
        <w:t>50%</w:t>
      </w:r>
      <w:r w:rsidR="00A954D0" w:rsidRPr="008379CA">
        <w:rPr>
          <w:rFonts w:ascii="Bookman Old Style" w:hAnsi="Bookman Old Style" w:cs="Arial"/>
          <w:sz w:val="24"/>
          <w:szCs w:val="24"/>
          <w:lang w:val="de-DE"/>
        </w:rPr>
        <w:t xml:space="preserve"> </w:t>
      </w:r>
      <w:r w:rsidR="00202B45" w:rsidRPr="008379CA">
        <w:rPr>
          <w:rFonts w:ascii="Bookman Old Style" w:hAnsi="Bookman Old Style" w:cs="Arial"/>
          <w:sz w:val="24"/>
          <w:szCs w:val="24"/>
          <w:lang w:val="de-DE"/>
        </w:rPr>
        <w:t>(lima</w:t>
      </w:r>
      <w:r w:rsidR="00A954D0" w:rsidRPr="008379CA">
        <w:rPr>
          <w:rFonts w:ascii="Bookman Old Style" w:hAnsi="Bookman Old Style" w:cs="Arial"/>
          <w:sz w:val="24"/>
          <w:szCs w:val="24"/>
          <w:lang w:val="de-DE"/>
        </w:rPr>
        <w:t xml:space="preserve"> </w:t>
      </w:r>
      <w:r w:rsidR="00202B45" w:rsidRPr="008379CA">
        <w:rPr>
          <w:rFonts w:ascii="Bookman Old Style" w:hAnsi="Bookman Old Style" w:cs="Arial"/>
          <w:sz w:val="24"/>
          <w:szCs w:val="24"/>
          <w:lang w:val="de-DE"/>
        </w:rPr>
        <w:t>puluh</w:t>
      </w:r>
      <w:r w:rsidR="00A954D0" w:rsidRPr="008379CA">
        <w:rPr>
          <w:rFonts w:ascii="Bookman Old Style" w:hAnsi="Bookman Old Style" w:cs="Arial"/>
          <w:sz w:val="24"/>
          <w:szCs w:val="24"/>
          <w:lang w:val="de-DE"/>
        </w:rPr>
        <w:t xml:space="preserve"> </w:t>
      </w:r>
      <w:r w:rsidR="00202B45" w:rsidRPr="008379CA">
        <w:rPr>
          <w:rFonts w:ascii="Bookman Old Style" w:hAnsi="Bookman Old Style" w:cs="Arial"/>
          <w:sz w:val="24"/>
          <w:szCs w:val="24"/>
          <w:lang w:val="de-DE"/>
        </w:rPr>
        <w:t>persen)</w:t>
      </w:r>
      <w:r w:rsidR="00A954D0" w:rsidRPr="008379CA">
        <w:rPr>
          <w:rFonts w:ascii="Bookman Old Style" w:hAnsi="Bookman Old Style" w:cs="Arial"/>
          <w:sz w:val="24"/>
          <w:szCs w:val="24"/>
          <w:lang w:val="de-DE"/>
        </w:rPr>
        <w:t xml:space="preserve"> </w:t>
      </w:r>
      <w:r w:rsidR="00202B45" w:rsidRPr="008379CA">
        <w:rPr>
          <w:rFonts w:ascii="Bookman Old Style" w:hAnsi="Bookman Old Style" w:cs="Arial"/>
          <w:sz w:val="24"/>
          <w:szCs w:val="24"/>
          <w:lang w:val="de-DE"/>
        </w:rPr>
        <w:t>untuk</w:t>
      </w:r>
      <w:r w:rsidR="00A954D0" w:rsidRPr="008379CA">
        <w:rPr>
          <w:rFonts w:ascii="Bookman Old Style" w:hAnsi="Bookman Old Style" w:cs="Arial"/>
          <w:sz w:val="24"/>
          <w:szCs w:val="24"/>
          <w:lang w:val="de-DE"/>
        </w:rPr>
        <w:t xml:space="preserve"> </w:t>
      </w:r>
      <w:r w:rsidR="00202B45" w:rsidRPr="008379CA">
        <w:rPr>
          <w:rFonts w:ascii="Bookman Old Style" w:hAnsi="Bookman Old Style" w:cs="Arial"/>
          <w:sz w:val="24"/>
          <w:szCs w:val="24"/>
          <w:lang w:val="de-DE"/>
        </w:rPr>
        <w:t>mendanai</w:t>
      </w:r>
      <w:r w:rsidR="00A954D0" w:rsidRPr="008379CA">
        <w:rPr>
          <w:rFonts w:ascii="Bookman Old Style" w:hAnsi="Bookman Old Style" w:cs="Arial"/>
          <w:sz w:val="24"/>
          <w:szCs w:val="24"/>
          <w:lang w:val="de-DE"/>
        </w:rPr>
        <w:t xml:space="preserve"> </w:t>
      </w:r>
      <w:r w:rsidR="00202B45" w:rsidRPr="008379CA">
        <w:rPr>
          <w:rFonts w:ascii="Bookman Old Style" w:hAnsi="Bookman Old Style" w:cs="Arial"/>
          <w:sz w:val="24"/>
          <w:szCs w:val="24"/>
          <w:lang w:val="de-DE"/>
        </w:rPr>
        <w:t>pelayanan</w:t>
      </w:r>
      <w:r w:rsidR="00A954D0" w:rsidRPr="008379CA">
        <w:rPr>
          <w:rFonts w:ascii="Bookman Old Style" w:hAnsi="Bookman Old Style" w:cs="Arial"/>
          <w:sz w:val="24"/>
          <w:szCs w:val="24"/>
          <w:lang w:val="de-DE"/>
        </w:rPr>
        <w:t xml:space="preserve"> </w:t>
      </w:r>
      <w:r w:rsidR="00202B45" w:rsidRPr="008379CA">
        <w:rPr>
          <w:rFonts w:ascii="Bookman Old Style" w:hAnsi="Bookman Old Style" w:cs="Arial"/>
          <w:sz w:val="24"/>
          <w:szCs w:val="24"/>
          <w:lang w:val="de-DE"/>
        </w:rPr>
        <w:t>kesehatan</w:t>
      </w:r>
      <w:r w:rsidR="00A954D0" w:rsidRPr="008379CA">
        <w:rPr>
          <w:rFonts w:ascii="Bookman Old Style" w:hAnsi="Bookman Old Style" w:cs="Arial"/>
          <w:sz w:val="24"/>
          <w:szCs w:val="24"/>
          <w:lang w:val="de-DE"/>
        </w:rPr>
        <w:t xml:space="preserve"> </w:t>
      </w:r>
      <w:r w:rsidR="00202B45" w:rsidRPr="008379CA">
        <w:rPr>
          <w:rFonts w:ascii="Bookman Old Style" w:hAnsi="Bookman Old Style" w:cs="Arial"/>
          <w:sz w:val="24"/>
          <w:szCs w:val="24"/>
          <w:lang w:val="de-DE"/>
        </w:rPr>
        <w:t>untuk</w:t>
      </w:r>
      <w:r w:rsidR="00A954D0" w:rsidRPr="008379CA">
        <w:rPr>
          <w:rFonts w:ascii="Bookman Old Style" w:hAnsi="Bookman Old Style" w:cs="Arial"/>
          <w:sz w:val="24"/>
          <w:szCs w:val="24"/>
          <w:lang w:val="de-DE"/>
        </w:rPr>
        <w:t xml:space="preserve"> </w:t>
      </w:r>
      <w:r w:rsidR="00202B45" w:rsidRPr="008379CA">
        <w:rPr>
          <w:rFonts w:ascii="Bookman Old Style" w:hAnsi="Bookman Old Style" w:cs="Arial"/>
          <w:sz w:val="24"/>
          <w:szCs w:val="24"/>
          <w:lang w:val="de-DE"/>
        </w:rPr>
        <w:t>masyarakat</w:t>
      </w:r>
      <w:r w:rsidR="00A954D0" w:rsidRPr="008379CA">
        <w:rPr>
          <w:rFonts w:ascii="Bookman Old Style" w:hAnsi="Bookman Old Style" w:cs="Arial"/>
          <w:sz w:val="24"/>
          <w:szCs w:val="24"/>
          <w:lang w:val="de-DE"/>
        </w:rPr>
        <w:t xml:space="preserve"> </w:t>
      </w:r>
      <w:r w:rsidR="00202B45" w:rsidRPr="008379CA">
        <w:rPr>
          <w:rFonts w:ascii="Bookman Old Style" w:hAnsi="Bookman Old Style" w:cs="Arial"/>
          <w:sz w:val="24"/>
          <w:szCs w:val="24"/>
          <w:lang w:val="de-DE"/>
        </w:rPr>
        <w:t>dan</w:t>
      </w:r>
      <w:r w:rsidR="00A954D0" w:rsidRPr="008379CA">
        <w:rPr>
          <w:rFonts w:ascii="Bookman Old Style" w:hAnsi="Bookman Old Style" w:cs="Arial"/>
          <w:sz w:val="24"/>
          <w:szCs w:val="24"/>
          <w:lang w:val="de-DE"/>
        </w:rPr>
        <w:t xml:space="preserve"> </w:t>
      </w:r>
      <w:r w:rsidR="00202B45" w:rsidRPr="008379CA">
        <w:rPr>
          <w:rFonts w:ascii="Bookman Old Style" w:hAnsi="Bookman Old Style" w:cs="Arial"/>
          <w:sz w:val="24"/>
          <w:szCs w:val="24"/>
          <w:lang w:val="de-DE"/>
        </w:rPr>
        <w:t>penegakan</w:t>
      </w:r>
      <w:r w:rsidR="00A954D0" w:rsidRPr="008379CA">
        <w:rPr>
          <w:rFonts w:ascii="Bookman Old Style" w:hAnsi="Bookman Old Style" w:cs="Arial"/>
          <w:sz w:val="24"/>
          <w:szCs w:val="24"/>
          <w:lang w:val="de-DE"/>
        </w:rPr>
        <w:t xml:space="preserve"> </w:t>
      </w:r>
      <w:r w:rsidR="00202B45" w:rsidRPr="008379CA">
        <w:rPr>
          <w:rFonts w:ascii="Bookman Old Style" w:hAnsi="Bookman Old Style" w:cs="Arial"/>
          <w:sz w:val="24"/>
          <w:szCs w:val="24"/>
          <w:lang w:val="de-DE"/>
        </w:rPr>
        <w:t>hukum,</w:t>
      </w:r>
      <w:r w:rsidR="00A954D0" w:rsidRPr="008379CA">
        <w:rPr>
          <w:rFonts w:ascii="Bookman Old Style" w:hAnsi="Bookman Old Style" w:cs="Arial"/>
          <w:sz w:val="24"/>
          <w:szCs w:val="24"/>
          <w:lang w:val="de-DE"/>
        </w:rPr>
        <w:t xml:space="preserve"> </w:t>
      </w:r>
      <w:r w:rsidR="00202B45" w:rsidRPr="008379CA">
        <w:rPr>
          <w:rFonts w:ascii="Bookman Old Style" w:hAnsi="Bookman Old Style" w:cs="Arial"/>
          <w:sz w:val="24"/>
          <w:szCs w:val="24"/>
          <w:lang w:val="de-DE"/>
        </w:rPr>
        <w:t>seperti:</w:t>
      </w:r>
    </w:p>
    <w:p w14:paraId="20D08AC3" w14:textId="697F063D" w:rsidR="00202B45" w:rsidRPr="008379CA" w:rsidRDefault="00202B45" w:rsidP="00DA6BF7">
      <w:pPr>
        <w:pStyle w:val="ListParagraph"/>
        <w:numPr>
          <w:ilvl w:val="0"/>
          <w:numId w:val="108"/>
        </w:numPr>
        <w:spacing w:before="60" w:after="0" w:line="276" w:lineRule="auto"/>
        <w:ind w:hanging="579"/>
        <w:contextualSpacing w:val="0"/>
        <w:jc w:val="both"/>
        <w:rPr>
          <w:rFonts w:ascii="Bookman Old Style" w:hAnsi="Bookman Old Style" w:cs="Arial"/>
          <w:sz w:val="24"/>
          <w:szCs w:val="24"/>
          <w:lang w:val="de-DE"/>
        </w:rPr>
      </w:pPr>
      <w:r w:rsidRPr="008379CA">
        <w:rPr>
          <w:rFonts w:ascii="Bookman Old Style" w:hAnsi="Bookman Old Style" w:cs="Arial"/>
          <w:sz w:val="24"/>
          <w:szCs w:val="24"/>
          <w:lang w:val="de-DE"/>
        </w:rPr>
        <w:t>penggunaan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Pajak</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Rokok</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untuk</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pelayanan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kesehatan:</w:t>
      </w:r>
    </w:p>
    <w:p w14:paraId="7B681834" w14:textId="464502B8" w:rsidR="00202B45" w:rsidRPr="008379CA" w:rsidRDefault="00202B45" w:rsidP="00DA6BF7">
      <w:pPr>
        <w:pStyle w:val="ListParagraph"/>
        <w:numPr>
          <w:ilvl w:val="0"/>
          <w:numId w:val="195"/>
        </w:numPr>
        <w:spacing w:before="60" w:after="0" w:line="276" w:lineRule="auto"/>
        <w:ind w:left="2694" w:hanging="426"/>
        <w:contextualSpacing w:val="0"/>
        <w:jc w:val="both"/>
        <w:rPr>
          <w:rFonts w:ascii="Bookman Old Style" w:hAnsi="Bookman Old Style" w:cs="Arial"/>
          <w:sz w:val="24"/>
          <w:szCs w:val="24"/>
          <w:lang w:val="de-DE"/>
        </w:rPr>
      </w:pPr>
      <w:r w:rsidRPr="008379CA">
        <w:rPr>
          <w:rFonts w:ascii="Bookman Old Style" w:hAnsi="Bookman Old Style" w:cs="Arial"/>
          <w:sz w:val="24"/>
          <w:szCs w:val="24"/>
          <w:lang w:val="de-DE"/>
        </w:rPr>
        <w:t>penggunaan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Pajak</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Rokok</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untuk</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mendanai</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pelayanan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kesehatan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untuk</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masyarakat</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oleh</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pemerintah</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daerah</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provinsi</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dan</w:t>
      </w:r>
      <w:r w:rsidR="00A954D0" w:rsidRPr="008379CA">
        <w:rPr>
          <w:rFonts w:ascii="Bookman Old Style" w:hAnsi="Bookman Old Style" w:cs="Arial"/>
          <w:sz w:val="24"/>
          <w:szCs w:val="24"/>
          <w:lang w:val="de-DE"/>
        </w:rPr>
        <w:t xml:space="preserve"> </w:t>
      </w:r>
      <w:r w:rsidR="00172E1C" w:rsidRPr="008379CA">
        <w:rPr>
          <w:rFonts w:ascii="Bookman Old Style" w:hAnsi="Bookman Old Style" w:cs="Arial"/>
          <w:sz w:val="24"/>
          <w:szCs w:val="24"/>
          <w:lang w:val="de-DE"/>
        </w:rPr>
        <w:t>Kabupaten/Kota</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dilakukan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dengan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berpedoman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pada</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petunjuk</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teknis</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yang</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ditetapkan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oleh</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menteri</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yang</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menyelenggarakan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urusan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pemerintahan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dibidang</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kesehatan</w:t>
      </w:r>
      <w:r w:rsidR="00DA6BF7" w:rsidRPr="008379CA">
        <w:rPr>
          <w:rFonts w:ascii="Bookman Old Style" w:hAnsi="Bookman Old Style" w:cs="Arial"/>
          <w:sz w:val="24"/>
          <w:szCs w:val="24"/>
          <w:lang w:val="de-DE"/>
        </w:rPr>
        <w:t>;</w:t>
      </w:r>
      <w:r w:rsidR="00A954D0" w:rsidRPr="008379CA">
        <w:rPr>
          <w:rFonts w:ascii="Bookman Old Style" w:hAnsi="Bookman Old Style" w:cs="Arial"/>
          <w:sz w:val="24"/>
          <w:szCs w:val="24"/>
          <w:lang w:val="de-DE"/>
        </w:rPr>
        <w:t xml:space="preserve"> </w:t>
      </w:r>
    </w:p>
    <w:p w14:paraId="63757A06" w14:textId="147E6526" w:rsidR="00202B45" w:rsidRPr="008379CA" w:rsidRDefault="00202B45" w:rsidP="00DA6BF7">
      <w:pPr>
        <w:pStyle w:val="ListParagraph"/>
        <w:numPr>
          <w:ilvl w:val="0"/>
          <w:numId w:val="195"/>
        </w:numPr>
        <w:spacing w:before="60" w:after="0" w:line="276" w:lineRule="auto"/>
        <w:ind w:left="2694" w:hanging="426"/>
        <w:contextualSpacing w:val="0"/>
        <w:jc w:val="both"/>
        <w:rPr>
          <w:rFonts w:ascii="Bookman Old Style" w:hAnsi="Bookman Old Style" w:cs="Arial"/>
          <w:sz w:val="24"/>
          <w:szCs w:val="24"/>
          <w:lang w:val="de-DE"/>
        </w:rPr>
      </w:pPr>
      <w:r w:rsidRPr="008379CA">
        <w:rPr>
          <w:rFonts w:ascii="Bookman Old Style" w:hAnsi="Bookman Old Style" w:cs="Arial"/>
          <w:sz w:val="24"/>
          <w:szCs w:val="24"/>
          <w:lang w:val="de-DE"/>
        </w:rPr>
        <w:t>selain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digunakan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untuk</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kegiatan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tersebut</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pada</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huruf</w:t>
      </w:r>
      <w:r w:rsidR="00A954D0" w:rsidRPr="008379CA">
        <w:rPr>
          <w:rFonts w:ascii="Bookman Old Style" w:hAnsi="Bookman Old Style" w:cs="Arial"/>
          <w:sz w:val="24"/>
          <w:szCs w:val="24"/>
          <w:lang w:val="de-DE"/>
        </w:rPr>
        <w:t xml:space="preserve"> </w:t>
      </w:r>
      <w:r w:rsidR="009E4CA7" w:rsidRPr="008379CA">
        <w:rPr>
          <w:rFonts w:ascii="Bookman Old Style" w:hAnsi="Bookman Old Style" w:cs="Arial"/>
          <w:sz w:val="24"/>
          <w:szCs w:val="24"/>
          <w:lang w:val="de-DE"/>
        </w:rPr>
        <w:t>(</w:t>
      </w:r>
      <w:r w:rsidRPr="008379CA">
        <w:rPr>
          <w:rFonts w:ascii="Bookman Old Style" w:hAnsi="Bookman Old Style" w:cs="Arial"/>
          <w:sz w:val="24"/>
          <w:szCs w:val="24"/>
          <w:lang w:val="de-DE"/>
        </w:rPr>
        <w:t>a),</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pajak</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rokok</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digunakan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untuk</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pendanaan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program</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Jaminan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Kesehatan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Nasional</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(JKN)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sebesar</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75%</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(tujuh</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puluh</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lima</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persen)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dari</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50%</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(lima</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puluh</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persen)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dari</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realisasi</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penerimaan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pajak</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rokok</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bagian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hak</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provinsi/</w:t>
      </w:r>
      <w:r w:rsidR="00172E1C" w:rsidRPr="008379CA">
        <w:rPr>
          <w:rFonts w:ascii="Bookman Old Style" w:hAnsi="Bookman Old Style" w:cs="Arial"/>
          <w:sz w:val="24"/>
          <w:szCs w:val="24"/>
          <w:lang w:val="de-DE"/>
        </w:rPr>
        <w:t>Kabupaten/Kota</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atau</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ekuivalen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sebesar</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37,5%</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(tiga</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puluh</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tujuh</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koma</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lima</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persen)</w:t>
      </w:r>
      <w:r w:rsidR="00DA6BF7" w:rsidRPr="008379CA">
        <w:rPr>
          <w:rFonts w:ascii="Bookman Old Style" w:hAnsi="Bookman Old Style" w:cs="Arial"/>
          <w:sz w:val="24"/>
          <w:szCs w:val="24"/>
          <w:lang w:val="de-DE"/>
        </w:rPr>
        <w:t>;</w:t>
      </w:r>
      <w:r w:rsidR="00A954D0" w:rsidRPr="008379CA">
        <w:rPr>
          <w:rFonts w:ascii="Bookman Old Style" w:hAnsi="Bookman Old Style" w:cs="Arial"/>
          <w:sz w:val="24"/>
          <w:szCs w:val="24"/>
          <w:lang w:val="de-DE"/>
        </w:rPr>
        <w:t xml:space="preserve"> </w:t>
      </w:r>
    </w:p>
    <w:p w14:paraId="2CD73131" w14:textId="3923E65B" w:rsidR="00202B45" w:rsidRPr="008379CA" w:rsidRDefault="00202B45" w:rsidP="00DA6BF7">
      <w:pPr>
        <w:pStyle w:val="ListParagraph"/>
        <w:numPr>
          <w:ilvl w:val="0"/>
          <w:numId w:val="195"/>
        </w:numPr>
        <w:spacing w:before="60" w:after="0" w:line="276" w:lineRule="auto"/>
        <w:ind w:left="2694" w:hanging="426"/>
        <w:contextualSpacing w:val="0"/>
        <w:jc w:val="both"/>
        <w:rPr>
          <w:rFonts w:ascii="Bookman Old Style" w:hAnsi="Bookman Old Style" w:cs="Arial"/>
          <w:sz w:val="24"/>
          <w:szCs w:val="24"/>
          <w:lang w:val="de-DE"/>
        </w:rPr>
      </w:pPr>
      <w:r w:rsidRPr="008379CA">
        <w:rPr>
          <w:rFonts w:ascii="Bookman Old Style" w:hAnsi="Bookman Old Style" w:cs="Arial"/>
          <w:sz w:val="24"/>
          <w:szCs w:val="24"/>
          <w:lang w:val="de-DE"/>
        </w:rPr>
        <w:t>dalam</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rangka</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pelayanan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kesehatan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untuk</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masyarakat</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dalam</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mendukung</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program</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JKN,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pemerintah</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daerah</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menggunakan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pendapatan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yang</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bersumber</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dari</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Pajak</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Rokok</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yang</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merupakan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bagian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provinsi/</w:t>
      </w:r>
      <w:r w:rsidR="00172E1C" w:rsidRPr="008379CA">
        <w:rPr>
          <w:rFonts w:ascii="Bookman Old Style" w:hAnsi="Bookman Old Style" w:cs="Arial"/>
          <w:sz w:val="24"/>
          <w:szCs w:val="24"/>
          <w:lang w:val="de-DE"/>
        </w:rPr>
        <w:t>Kabupaten/Kota</w:t>
      </w:r>
      <w:r w:rsidRPr="008379CA">
        <w:rPr>
          <w:rFonts w:ascii="Bookman Old Style" w:hAnsi="Bookman Old Style" w:cs="Arial"/>
          <w:sz w:val="24"/>
          <w:szCs w:val="24"/>
          <w:lang w:val="de-DE"/>
        </w:rPr>
        <w:t>,</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sebesar</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75%</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(tujuh</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puluh</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lima</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persen)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dari</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50%</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(lima</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puluh</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persen)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realisasi</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penerimaan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pajak</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rokok</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bagian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hak</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masing-masing</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daerah</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provinsi/</w:t>
      </w:r>
      <w:r w:rsidR="00172E1C" w:rsidRPr="008379CA">
        <w:rPr>
          <w:rFonts w:ascii="Bookman Old Style" w:hAnsi="Bookman Old Style" w:cs="Arial"/>
          <w:sz w:val="24"/>
          <w:szCs w:val="24"/>
          <w:lang w:val="de-DE"/>
        </w:rPr>
        <w:t>Kabupaten/Kota</w:t>
      </w:r>
      <w:r w:rsidRPr="008379CA">
        <w:rPr>
          <w:rFonts w:ascii="Bookman Old Style" w:hAnsi="Bookman Old Style" w:cs="Arial"/>
          <w:sz w:val="24"/>
          <w:szCs w:val="24"/>
          <w:lang w:val="de-DE"/>
        </w:rPr>
        <w:t>.</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Pendapatan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yang</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bersumber</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dari</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Pajak</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Rokok</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tersebut</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diutamakan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digunakan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dalam</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rangka</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kontribusi</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iuran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peserta</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Penerima</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Bantuan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Iuran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(PBI)</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Jaminan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Kesehatan,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perluasan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cakupan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peserta</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untuk</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penganggaran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iuran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tunggakan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iuran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Pekerja</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Bukan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Penerima</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Upah</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(PBPU)</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Bukan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Pekerja</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(BP)</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yang</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didaftarkan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pemerintah</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daerah</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dengan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manfaat</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pelayanan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di</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Kelas</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Rawat</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Inap</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Standar/</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Ruang</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Perawatan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Kelas</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III</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dalam</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kepesertaan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program</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JKN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menuju</w:t>
      </w:r>
      <w:r w:rsidR="00A954D0" w:rsidRPr="008379CA">
        <w:rPr>
          <w:rFonts w:ascii="Bookman Old Style" w:hAnsi="Bookman Old Style" w:cs="Arial"/>
          <w:sz w:val="24"/>
          <w:szCs w:val="24"/>
          <w:lang w:val="de-DE"/>
        </w:rPr>
        <w:t xml:space="preserve"> </w:t>
      </w:r>
      <w:r w:rsidRPr="008379CA">
        <w:rPr>
          <w:rFonts w:ascii="Bookman Old Style" w:hAnsi="Bookman Old Style" w:cs="Arial"/>
          <w:i/>
          <w:sz w:val="24"/>
          <w:szCs w:val="24"/>
          <w:lang w:val="de-DE"/>
        </w:rPr>
        <w:t>Universal</w:t>
      </w:r>
      <w:r w:rsidR="00A954D0" w:rsidRPr="008379CA">
        <w:rPr>
          <w:rFonts w:ascii="Bookman Old Style" w:hAnsi="Bookman Old Style" w:cs="Arial"/>
          <w:i/>
          <w:sz w:val="24"/>
          <w:szCs w:val="24"/>
          <w:lang w:val="de-DE"/>
        </w:rPr>
        <w:t xml:space="preserve"> </w:t>
      </w:r>
      <w:r w:rsidRPr="008379CA">
        <w:rPr>
          <w:rFonts w:ascii="Bookman Old Style" w:hAnsi="Bookman Old Style" w:cs="Arial"/>
          <w:i/>
          <w:sz w:val="24"/>
          <w:szCs w:val="24"/>
          <w:lang w:val="de-DE"/>
        </w:rPr>
        <w:t>Health</w:t>
      </w:r>
      <w:r w:rsidR="00A954D0" w:rsidRPr="008379CA">
        <w:rPr>
          <w:rFonts w:ascii="Bookman Old Style" w:hAnsi="Bookman Old Style" w:cs="Arial"/>
          <w:i/>
          <w:sz w:val="24"/>
          <w:szCs w:val="24"/>
          <w:lang w:val="de-DE"/>
        </w:rPr>
        <w:t xml:space="preserve"> </w:t>
      </w:r>
      <w:r w:rsidRPr="008379CA">
        <w:rPr>
          <w:rFonts w:ascii="Bookman Old Style" w:hAnsi="Bookman Old Style" w:cs="Arial"/>
          <w:i/>
          <w:sz w:val="24"/>
          <w:szCs w:val="24"/>
          <w:lang w:val="de-DE"/>
        </w:rPr>
        <w:t>Coverage</w:t>
      </w:r>
      <w:r w:rsidR="00A954D0" w:rsidRPr="008379CA">
        <w:rPr>
          <w:rFonts w:ascii="Bookman Old Style" w:hAnsi="Bookman Old Style" w:cs="Arial"/>
          <w:i/>
          <w:sz w:val="24"/>
          <w:szCs w:val="24"/>
          <w:lang w:val="de-DE"/>
        </w:rPr>
        <w:t xml:space="preserve"> </w:t>
      </w:r>
      <w:r w:rsidRPr="008379CA">
        <w:rPr>
          <w:rFonts w:ascii="Bookman Old Style" w:hAnsi="Bookman Old Style" w:cs="Arial"/>
          <w:i/>
          <w:sz w:val="24"/>
          <w:szCs w:val="24"/>
          <w:lang w:val="de-DE"/>
        </w:rPr>
        <w:t>(UHC)</w:t>
      </w:r>
      <w:r w:rsidRPr="008379CA">
        <w:rPr>
          <w:rFonts w:ascii="Bookman Old Style" w:hAnsi="Bookman Old Style" w:cs="Arial"/>
          <w:sz w:val="24"/>
          <w:szCs w:val="24"/>
          <w:lang w:val="de-DE"/>
        </w:rPr>
        <w:t>,</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selain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itu</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dapat</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juga</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digunakan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untuk</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lastRenderedPageBreak/>
        <w:t>penganggaran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bantuan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iuran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PBPU</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BP</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yang</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didaftarkan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oleh</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pemerintah</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daerah</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dengan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manfaat</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pelayanan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perawatan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di</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ruang</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kelas</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III,</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penganggaran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bantuan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iuran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PBPU</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BP</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yang</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mendaftar</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secara</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mandiri</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dengan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manfaat</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pelayanan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di</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Kelas</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Rawat</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Inap</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Standar/Ruang</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Perawatan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Kelas</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III</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tunggakannya</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serta</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kontribusi</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peserta</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PBI.</w:t>
      </w:r>
    </w:p>
    <w:p w14:paraId="5686E5B0" w14:textId="675332B9" w:rsidR="00202B45" w:rsidRPr="008379CA" w:rsidRDefault="00202B45" w:rsidP="00DA6BF7">
      <w:pPr>
        <w:pStyle w:val="ListParagraph"/>
        <w:numPr>
          <w:ilvl w:val="0"/>
          <w:numId w:val="108"/>
        </w:numPr>
        <w:spacing w:before="60" w:after="0" w:line="276" w:lineRule="auto"/>
        <w:ind w:hanging="579"/>
        <w:contextualSpacing w:val="0"/>
        <w:jc w:val="both"/>
        <w:rPr>
          <w:rFonts w:ascii="Bookman Old Style" w:hAnsi="Bookman Old Style" w:cs="Arial"/>
          <w:sz w:val="24"/>
          <w:szCs w:val="24"/>
          <w:lang w:val="de-DE"/>
        </w:rPr>
      </w:pPr>
      <w:r w:rsidRPr="008379CA">
        <w:rPr>
          <w:rFonts w:ascii="Bookman Old Style" w:hAnsi="Bookman Old Style" w:cs="Arial"/>
          <w:sz w:val="24"/>
          <w:szCs w:val="24"/>
          <w:lang w:val="de-DE"/>
        </w:rPr>
        <w:t>penggunaan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Pajak</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Rokok</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untuk</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penegakan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hukum</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digunakan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untuk:</w:t>
      </w:r>
    </w:p>
    <w:p w14:paraId="10267652" w14:textId="7E0E3E0D" w:rsidR="00202B45" w:rsidRPr="008379CA" w:rsidRDefault="00202B45" w:rsidP="00DA6BF7">
      <w:pPr>
        <w:pStyle w:val="ListParagraph"/>
        <w:numPr>
          <w:ilvl w:val="0"/>
          <w:numId w:val="196"/>
        </w:numPr>
        <w:spacing w:before="60" w:after="0" w:line="276" w:lineRule="auto"/>
        <w:ind w:left="2694" w:hanging="426"/>
        <w:contextualSpacing w:val="0"/>
        <w:jc w:val="both"/>
        <w:rPr>
          <w:rFonts w:ascii="Bookman Old Style" w:hAnsi="Bookman Old Style" w:cs="Arial"/>
          <w:sz w:val="24"/>
          <w:szCs w:val="24"/>
          <w:lang w:val="de-DE"/>
        </w:rPr>
      </w:pPr>
      <w:r w:rsidRPr="008379CA">
        <w:rPr>
          <w:rFonts w:ascii="Bookman Old Style" w:hAnsi="Bookman Old Style" w:cs="Arial"/>
          <w:sz w:val="24"/>
          <w:szCs w:val="24"/>
          <w:lang w:val="de-DE"/>
        </w:rPr>
        <w:t>minimal</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berupa:</w:t>
      </w:r>
    </w:p>
    <w:p w14:paraId="2E95D20D" w14:textId="305871DB" w:rsidR="00202B45" w:rsidRPr="008379CA" w:rsidRDefault="00202B45" w:rsidP="00DA6BF7">
      <w:pPr>
        <w:pStyle w:val="ListParagraph"/>
        <w:numPr>
          <w:ilvl w:val="0"/>
          <w:numId w:val="197"/>
        </w:numPr>
        <w:spacing w:before="60" w:after="0" w:line="276" w:lineRule="auto"/>
        <w:ind w:left="3261" w:hanging="284"/>
        <w:contextualSpacing w:val="0"/>
        <w:jc w:val="both"/>
        <w:rPr>
          <w:rFonts w:ascii="Bookman Old Style" w:hAnsi="Bookman Old Style" w:cs="Arial"/>
          <w:sz w:val="24"/>
          <w:szCs w:val="24"/>
          <w:lang w:val="de-DE"/>
        </w:rPr>
      </w:pPr>
      <w:r w:rsidRPr="008379CA">
        <w:rPr>
          <w:rFonts w:ascii="Bookman Old Style" w:hAnsi="Bookman Old Style" w:cs="Arial"/>
          <w:sz w:val="24"/>
          <w:szCs w:val="24"/>
          <w:lang w:val="de-DE"/>
        </w:rPr>
        <w:t>sosialisasi</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ketentuan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di</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bidang</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cukai</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hasil</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tembakau;</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dan</w:t>
      </w:r>
    </w:p>
    <w:p w14:paraId="44A80148" w14:textId="0B3FDEE4" w:rsidR="00202B45" w:rsidRPr="008379CA" w:rsidRDefault="00202B45" w:rsidP="00DA6BF7">
      <w:pPr>
        <w:pStyle w:val="ListParagraph"/>
        <w:numPr>
          <w:ilvl w:val="0"/>
          <w:numId w:val="197"/>
        </w:numPr>
        <w:spacing w:before="60" w:after="0" w:line="276" w:lineRule="auto"/>
        <w:ind w:left="3261" w:hanging="284"/>
        <w:contextualSpacing w:val="0"/>
        <w:jc w:val="both"/>
        <w:rPr>
          <w:rFonts w:ascii="Bookman Old Style" w:hAnsi="Bookman Old Style" w:cs="Arial"/>
          <w:sz w:val="24"/>
          <w:szCs w:val="24"/>
          <w:lang w:val="de-DE"/>
        </w:rPr>
      </w:pPr>
      <w:r w:rsidRPr="008379CA">
        <w:rPr>
          <w:rFonts w:ascii="Bookman Old Style" w:hAnsi="Bookman Old Style" w:cs="Arial"/>
          <w:sz w:val="24"/>
          <w:szCs w:val="24"/>
          <w:lang w:val="de-DE"/>
        </w:rPr>
        <w:t>operasi</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pemberantasan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rokok</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ilegal.</w:t>
      </w:r>
    </w:p>
    <w:p w14:paraId="7C4608B6" w14:textId="43B2FD0D" w:rsidR="00202B45" w:rsidRPr="008379CA" w:rsidRDefault="00DA6BF7" w:rsidP="00DA6BF7">
      <w:pPr>
        <w:pStyle w:val="ListParagraph"/>
        <w:spacing w:before="60" w:after="0" w:line="276" w:lineRule="auto"/>
        <w:ind w:left="2694"/>
        <w:contextualSpacing w:val="0"/>
        <w:jc w:val="both"/>
        <w:rPr>
          <w:rFonts w:ascii="Bookman Old Style" w:hAnsi="Bookman Old Style" w:cs="Arial"/>
          <w:sz w:val="24"/>
          <w:szCs w:val="24"/>
          <w:lang w:val="de-DE"/>
        </w:rPr>
      </w:pPr>
      <w:r w:rsidRPr="008379CA">
        <w:rPr>
          <w:rFonts w:ascii="Bookman Old Style" w:hAnsi="Bookman Old Style" w:cs="Arial"/>
          <w:sz w:val="24"/>
          <w:szCs w:val="24"/>
          <w:lang w:val="de-DE"/>
        </w:rPr>
        <w:t>D</w:t>
      </w:r>
      <w:r w:rsidR="00202B45" w:rsidRPr="008379CA">
        <w:rPr>
          <w:rFonts w:ascii="Bookman Old Style" w:hAnsi="Bookman Old Style" w:cs="Arial"/>
          <w:sz w:val="24"/>
          <w:szCs w:val="24"/>
          <w:lang w:val="de-DE"/>
        </w:rPr>
        <w:t>iprioritaskan</w:t>
      </w:r>
      <w:r w:rsidR="00A954D0" w:rsidRPr="008379CA">
        <w:rPr>
          <w:rFonts w:ascii="Bookman Old Style" w:hAnsi="Bookman Old Style" w:cs="Arial"/>
          <w:sz w:val="24"/>
          <w:szCs w:val="24"/>
          <w:lang w:val="de-DE"/>
        </w:rPr>
        <w:t xml:space="preserve"> </w:t>
      </w:r>
      <w:r w:rsidR="00202B45" w:rsidRPr="008379CA">
        <w:rPr>
          <w:rFonts w:ascii="Bookman Old Style" w:hAnsi="Bookman Old Style" w:cs="Arial"/>
          <w:sz w:val="24"/>
          <w:szCs w:val="24"/>
          <w:lang w:val="de-DE"/>
        </w:rPr>
        <w:t>apabila</w:t>
      </w:r>
      <w:r w:rsidR="00A954D0" w:rsidRPr="008379CA">
        <w:rPr>
          <w:rFonts w:ascii="Bookman Old Style" w:hAnsi="Bookman Old Style" w:cs="Arial"/>
          <w:sz w:val="24"/>
          <w:szCs w:val="24"/>
          <w:lang w:val="de-DE"/>
        </w:rPr>
        <w:t xml:space="preserve"> </w:t>
      </w:r>
      <w:r w:rsidR="00202B45" w:rsidRPr="008379CA">
        <w:rPr>
          <w:rFonts w:ascii="Bookman Old Style" w:hAnsi="Bookman Old Style" w:cs="Arial"/>
          <w:sz w:val="24"/>
          <w:szCs w:val="24"/>
          <w:lang w:val="de-DE"/>
        </w:rPr>
        <w:t>DBH-CHT</w:t>
      </w:r>
      <w:r w:rsidR="00A954D0" w:rsidRPr="008379CA">
        <w:rPr>
          <w:rFonts w:ascii="Bookman Old Style" w:hAnsi="Bookman Old Style" w:cs="Arial"/>
          <w:sz w:val="24"/>
          <w:szCs w:val="24"/>
          <w:lang w:val="de-DE"/>
        </w:rPr>
        <w:t xml:space="preserve"> </w:t>
      </w:r>
      <w:r w:rsidR="00202B45" w:rsidRPr="008379CA">
        <w:rPr>
          <w:rFonts w:ascii="Bookman Old Style" w:hAnsi="Bookman Old Style" w:cs="Arial"/>
          <w:sz w:val="24"/>
          <w:szCs w:val="24"/>
          <w:lang w:val="de-DE"/>
        </w:rPr>
        <w:t>tidak</w:t>
      </w:r>
      <w:r w:rsidR="00A954D0" w:rsidRPr="008379CA">
        <w:rPr>
          <w:rFonts w:ascii="Bookman Old Style" w:hAnsi="Bookman Old Style" w:cs="Arial"/>
          <w:sz w:val="24"/>
          <w:szCs w:val="24"/>
          <w:lang w:val="de-DE"/>
        </w:rPr>
        <w:t xml:space="preserve"> </w:t>
      </w:r>
      <w:r w:rsidR="00202B45" w:rsidRPr="008379CA">
        <w:rPr>
          <w:rFonts w:ascii="Bookman Old Style" w:hAnsi="Bookman Old Style" w:cs="Arial"/>
          <w:sz w:val="24"/>
          <w:szCs w:val="24"/>
          <w:lang w:val="de-DE"/>
        </w:rPr>
        <w:t>mencukupi</w:t>
      </w:r>
      <w:r w:rsidR="00A954D0" w:rsidRPr="008379CA">
        <w:rPr>
          <w:rFonts w:ascii="Bookman Old Style" w:hAnsi="Bookman Old Style" w:cs="Arial"/>
          <w:sz w:val="24"/>
          <w:szCs w:val="24"/>
          <w:lang w:val="de-DE"/>
        </w:rPr>
        <w:t xml:space="preserve"> </w:t>
      </w:r>
      <w:r w:rsidR="00202B45" w:rsidRPr="008379CA">
        <w:rPr>
          <w:rFonts w:ascii="Bookman Old Style" w:hAnsi="Bookman Old Style" w:cs="Arial"/>
          <w:sz w:val="24"/>
          <w:szCs w:val="24"/>
          <w:lang w:val="de-DE"/>
        </w:rPr>
        <w:t>untuk</w:t>
      </w:r>
      <w:r w:rsidR="00A954D0" w:rsidRPr="008379CA">
        <w:rPr>
          <w:rFonts w:ascii="Bookman Old Style" w:hAnsi="Bookman Old Style" w:cs="Arial"/>
          <w:sz w:val="24"/>
          <w:szCs w:val="24"/>
          <w:lang w:val="de-DE"/>
        </w:rPr>
        <w:t xml:space="preserve"> </w:t>
      </w:r>
      <w:r w:rsidR="00202B45" w:rsidRPr="008379CA">
        <w:rPr>
          <w:rFonts w:ascii="Bookman Old Style" w:hAnsi="Bookman Old Style" w:cs="Arial"/>
          <w:sz w:val="24"/>
          <w:szCs w:val="24"/>
          <w:lang w:val="de-DE"/>
        </w:rPr>
        <w:t>membiayai</w:t>
      </w:r>
      <w:r w:rsidR="00A954D0" w:rsidRPr="008379CA">
        <w:rPr>
          <w:rFonts w:ascii="Bookman Old Style" w:hAnsi="Bookman Old Style" w:cs="Arial"/>
          <w:sz w:val="24"/>
          <w:szCs w:val="24"/>
          <w:lang w:val="de-DE"/>
        </w:rPr>
        <w:t xml:space="preserve"> </w:t>
      </w:r>
      <w:r w:rsidR="00202B45" w:rsidRPr="008379CA">
        <w:rPr>
          <w:rFonts w:ascii="Bookman Old Style" w:hAnsi="Bookman Old Style" w:cs="Arial"/>
          <w:sz w:val="24"/>
          <w:szCs w:val="24"/>
          <w:lang w:val="de-DE"/>
        </w:rPr>
        <w:t>kegiatan</w:t>
      </w:r>
      <w:r w:rsidR="00A954D0" w:rsidRPr="008379CA">
        <w:rPr>
          <w:rFonts w:ascii="Bookman Old Style" w:hAnsi="Bookman Old Style" w:cs="Arial"/>
          <w:sz w:val="24"/>
          <w:szCs w:val="24"/>
          <w:lang w:val="de-DE"/>
        </w:rPr>
        <w:t xml:space="preserve"> </w:t>
      </w:r>
      <w:r w:rsidR="00202B45" w:rsidRPr="008379CA">
        <w:rPr>
          <w:rFonts w:ascii="Bookman Old Style" w:hAnsi="Bookman Old Style" w:cs="Arial"/>
          <w:sz w:val="24"/>
          <w:szCs w:val="24"/>
          <w:lang w:val="de-DE"/>
        </w:rPr>
        <w:t>dimaksud.</w:t>
      </w:r>
    </w:p>
    <w:p w14:paraId="25C91AFD" w14:textId="585AC985" w:rsidR="00202B45" w:rsidRPr="008379CA" w:rsidRDefault="00202B45" w:rsidP="00DA6BF7">
      <w:pPr>
        <w:pStyle w:val="ListParagraph"/>
        <w:numPr>
          <w:ilvl w:val="0"/>
          <w:numId w:val="196"/>
        </w:numPr>
        <w:spacing w:before="60" w:after="0" w:line="276" w:lineRule="auto"/>
        <w:ind w:left="2694" w:hanging="426"/>
        <w:contextualSpacing w:val="0"/>
        <w:jc w:val="both"/>
        <w:rPr>
          <w:rFonts w:ascii="Bookman Old Style" w:hAnsi="Bookman Old Style" w:cs="Arial"/>
          <w:sz w:val="24"/>
          <w:szCs w:val="24"/>
          <w:lang w:val="de-DE"/>
        </w:rPr>
      </w:pPr>
      <w:r w:rsidRPr="008379CA">
        <w:rPr>
          <w:rFonts w:ascii="Bookman Old Style" w:hAnsi="Bookman Old Style" w:cs="Arial"/>
          <w:sz w:val="24"/>
          <w:szCs w:val="24"/>
          <w:lang w:val="de-DE"/>
        </w:rPr>
        <w:t>penggunaan/pemanfaatan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pajak</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rokok</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dalam</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bidang</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penegakan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hukum</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termasuk</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kerjasama</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antara</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pemerintah</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daerah</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DJBC</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memperhatikan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ketentuan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peraturan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perundang-undangan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mengenai</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pedoman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kerjasama</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pemanfaatan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dana</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pajak</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rokok</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dalam</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pelaksanaan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bidang</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penegakan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hukum</w:t>
      </w:r>
    </w:p>
    <w:p w14:paraId="2601A852" w14:textId="0681AAFE" w:rsidR="00202B45" w:rsidRPr="008379CA" w:rsidRDefault="00DA6BF7" w:rsidP="00DA6BF7">
      <w:pPr>
        <w:pStyle w:val="ListParagraph"/>
        <w:spacing w:before="60" w:after="0" w:line="276" w:lineRule="auto"/>
        <w:ind w:left="2268"/>
        <w:contextualSpacing w:val="0"/>
        <w:jc w:val="both"/>
        <w:rPr>
          <w:rFonts w:ascii="Bookman Old Style" w:hAnsi="Bookman Old Style"/>
          <w:sz w:val="24"/>
          <w:szCs w:val="24"/>
          <w:lang w:val="sv-FI"/>
        </w:rPr>
      </w:pPr>
      <w:r w:rsidRPr="008379CA">
        <w:rPr>
          <w:rFonts w:ascii="Bookman Old Style" w:hAnsi="Bookman Old Style" w:cs="Arial"/>
          <w:sz w:val="24"/>
          <w:szCs w:val="24"/>
          <w:lang w:val="sv-FI"/>
        </w:rPr>
        <w:t>S</w:t>
      </w:r>
      <w:r w:rsidR="00202B45" w:rsidRPr="008379CA">
        <w:rPr>
          <w:rFonts w:ascii="Bookman Old Style" w:hAnsi="Bookman Old Style" w:cs="Arial"/>
          <w:sz w:val="24"/>
          <w:szCs w:val="24"/>
          <w:lang w:val="sv-FI"/>
        </w:rPr>
        <w:t>ebagaimana</w:t>
      </w:r>
      <w:r w:rsidR="00A954D0" w:rsidRPr="008379CA">
        <w:rPr>
          <w:rFonts w:ascii="Bookman Old Style" w:hAnsi="Bookman Old Style" w:cs="Arial"/>
          <w:sz w:val="24"/>
          <w:szCs w:val="24"/>
          <w:lang w:val="sv-FI"/>
        </w:rPr>
        <w:t xml:space="preserve"> </w:t>
      </w:r>
      <w:r w:rsidR="00202B45" w:rsidRPr="008379CA">
        <w:rPr>
          <w:rFonts w:ascii="Bookman Old Style" w:hAnsi="Bookman Old Style" w:cs="Arial"/>
          <w:sz w:val="24"/>
          <w:szCs w:val="24"/>
          <w:lang w:val="sv-FI"/>
        </w:rPr>
        <w:t>maksud</w:t>
      </w:r>
      <w:r w:rsidR="00A954D0" w:rsidRPr="008379CA">
        <w:rPr>
          <w:rFonts w:ascii="Bookman Old Style" w:hAnsi="Bookman Old Style" w:cs="Arial"/>
          <w:sz w:val="24"/>
          <w:szCs w:val="24"/>
          <w:lang w:val="sv-FI"/>
        </w:rPr>
        <w:t xml:space="preserve"> </w:t>
      </w:r>
      <w:r w:rsidR="00202B45" w:rsidRPr="008379CA">
        <w:rPr>
          <w:rFonts w:ascii="Bookman Old Style" w:hAnsi="Bookman Old Style" w:cs="Arial"/>
          <w:sz w:val="24"/>
          <w:szCs w:val="24"/>
          <w:lang w:val="sv-FI"/>
        </w:rPr>
        <w:t>butir</w:t>
      </w:r>
      <w:r w:rsidR="00A954D0" w:rsidRPr="008379CA">
        <w:rPr>
          <w:rFonts w:ascii="Bookman Old Style" w:hAnsi="Bookman Old Style" w:cs="Arial"/>
          <w:sz w:val="24"/>
          <w:szCs w:val="24"/>
          <w:lang w:val="sv-FI"/>
        </w:rPr>
        <w:t xml:space="preserve"> </w:t>
      </w:r>
      <w:r w:rsidR="00202B45" w:rsidRPr="008379CA">
        <w:rPr>
          <w:rFonts w:ascii="Bookman Old Style" w:hAnsi="Bookman Old Style" w:cs="Arial"/>
          <w:sz w:val="24"/>
          <w:szCs w:val="24"/>
          <w:lang w:val="sv-FI"/>
        </w:rPr>
        <w:t>3.3.1.1.2.c,</w:t>
      </w:r>
      <w:r w:rsidR="00A954D0" w:rsidRPr="008379CA">
        <w:rPr>
          <w:rFonts w:ascii="Bookman Old Style" w:hAnsi="Bookman Old Style" w:cs="Arial"/>
          <w:sz w:val="24"/>
          <w:szCs w:val="24"/>
          <w:lang w:val="sv-FI"/>
        </w:rPr>
        <w:t xml:space="preserve"> </w:t>
      </w:r>
      <w:r w:rsidR="00202B45" w:rsidRPr="008379CA">
        <w:rPr>
          <w:rFonts w:ascii="Bookman Old Style" w:hAnsi="Bookman Old Style" w:cs="Arial"/>
          <w:sz w:val="24"/>
          <w:szCs w:val="24"/>
          <w:lang w:val="sv-FI"/>
        </w:rPr>
        <w:t>butir</w:t>
      </w:r>
      <w:r w:rsidR="00A954D0" w:rsidRPr="008379CA">
        <w:rPr>
          <w:rFonts w:ascii="Bookman Old Style" w:hAnsi="Bookman Old Style" w:cs="Arial"/>
          <w:sz w:val="24"/>
          <w:szCs w:val="24"/>
          <w:lang w:val="sv-FI"/>
        </w:rPr>
        <w:t xml:space="preserve"> </w:t>
      </w:r>
      <w:r w:rsidR="00202B45" w:rsidRPr="008379CA">
        <w:rPr>
          <w:rFonts w:ascii="Bookman Old Style" w:hAnsi="Bookman Old Style" w:cs="Arial"/>
          <w:sz w:val="24"/>
          <w:szCs w:val="24"/>
          <w:lang w:val="sv-FI"/>
        </w:rPr>
        <w:t>3.3.2.2.1.f</w:t>
      </w:r>
      <w:r w:rsidR="00A954D0" w:rsidRPr="008379CA">
        <w:rPr>
          <w:rFonts w:ascii="Bookman Old Style" w:hAnsi="Bookman Old Style" w:cs="Arial"/>
          <w:sz w:val="24"/>
          <w:szCs w:val="24"/>
          <w:lang w:val="sv-FI"/>
        </w:rPr>
        <w:t xml:space="preserve"> </w:t>
      </w:r>
      <w:r w:rsidR="00202B45" w:rsidRPr="008379CA">
        <w:rPr>
          <w:rFonts w:ascii="Bookman Old Style" w:hAnsi="Bookman Old Style" w:cs="Arial"/>
          <w:sz w:val="24"/>
          <w:szCs w:val="24"/>
          <w:lang w:val="sv-FI"/>
        </w:rPr>
        <w:t>dan</w:t>
      </w:r>
      <w:r w:rsidR="00A954D0" w:rsidRPr="008379CA">
        <w:rPr>
          <w:rFonts w:ascii="Bookman Old Style" w:hAnsi="Bookman Old Style" w:cs="Arial"/>
          <w:sz w:val="24"/>
          <w:szCs w:val="24"/>
          <w:lang w:val="sv-FI"/>
        </w:rPr>
        <w:t xml:space="preserve"> </w:t>
      </w:r>
      <w:r w:rsidR="00202B45" w:rsidRPr="008379CA">
        <w:rPr>
          <w:rFonts w:ascii="Bookman Old Style" w:hAnsi="Bookman Old Style" w:cs="Arial"/>
          <w:sz w:val="24"/>
          <w:szCs w:val="24"/>
          <w:lang w:val="de-DE"/>
        </w:rPr>
        <w:t>butir</w:t>
      </w:r>
      <w:r w:rsidR="00A954D0" w:rsidRPr="008379CA">
        <w:rPr>
          <w:rFonts w:ascii="Bookman Old Style" w:hAnsi="Bookman Old Style" w:cs="Arial"/>
          <w:sz w:val="24"/>
          <w:szCs w:val="24"/>
          <w:lang w:val="sv-FI"/>
        </w:rPr>
        <w:t xml:space="preserve"> </w:t>
      </w:r>
      <w:r w:rsidR="00202B45" w:rsidRPr="008379CA">
        <w:rPr>
          <w:rFonts w:ascii="Bookman Old Style" w:hAnsi="Bookman Old Style" w:cs="Arial"/>
          <w:sz w:val="24"/>
          <w:szCs w:val="24"/>
          <w:lang w:val="sv-FI"/>
        </w:rPr>
        <w:t>5.1.1</w:t>
      </w:r>
      <w:r w:rsidR="00A954D0" w:rsidRPr="008379CA">
        <w:rPr>
          <w:rFonts w:ascii="Bookman Old Style" w:hAnsi="Bookman Old Style" w:cs="Arial"/>
          <w:sz w:val="24"/>
          <w:szCs w:val="24"/>
          <w:lang w:val="sv-FI"/>
        </w:rPr>
        <w:t xml:space="preserve"> </w:t>
      </w:r>
      <w:r w:rsidR="00202B45" w:rsidRPr="008379CA">
        <w:rPr>
          <w:rFonts w:ascii="Bookman Old Style" w:hAnsi="Bookman Old Style"/>
          <w:sz w:val="24"/>
          <w:szCs w:val="24"/>
        </w:rPr>
        <w:t>Lampiran</w:t>
      </w:r>
      <w:r w:rsidR="00A954D0" w:rsidRPr="008379CA">
        <w:rPr>
          <w:rFonts w:ascii="Bookman Old Style" w:hAnsi="Bookman Old Style"/>
          <w:sz w:val="24"/>
          <w:szCs w:val="24"/>
        </w:rPr>
        <w:t xml:space="preserve"> </w:t>
      </w:r>
      <w:r w:rsidR="00202B45" w:rsidRPr="008379CA">
        <w:rPr>
          <w:rFonts w:ascii="Bookman Old Style" w:hAnsi="Bookman Old Style"/>
          <w:sz w:val="24"/>
          <w:szCs w:val="24"/>
        </w:rPr>
        <w:t>Peraturan</w:t>
      </w:r>
      <w:r w:rsidR="00A954D0" w:rsidRPr="008379CA">
        <w:rPr>
          <w:rFonts w:ascii="Bookman Old Style" w:hAnsi="Bookman Old Style"/>
          <w:sz w:val="24"/>
          <w:szCs w:val="24"/>
        </w:rPr>
        <w:t xml:space="preserve"> </w:t>
      </w:r>
      <w:r w:rsidR="00202B45" w:rsidRPr="008379CA">
        <w:rPr>
          <w:rFonts w:ascii="Bookman Old Style" w:hAnsi="Bookman Old Style"/>
          <w:sz w:val="24"/>
          <w:szCs w:val="24"/>
        </w:rPr>
        <w:t>Menteri</w:t>
      </w:r>
      <w:r w:rsidR="00A954D0" w:rsidRPr="008379CA">
        <w:rPr>
          <w:rFonts w:ascii="Bookman Old Style" w:hAnsi="Bookman Old Style"/>
          <w:sz w:val="24"/>
          <w:szCs w:val="24"/>
        </w:rPr>
        <w:t xml:space="preserve"> </w:t>
      </w:r>
      <w:r w:rsidR="00202B45"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00202B45" w:rsidRPr="008379CA">
        <w:rPr>
          <w:rFonts w:ascii="Bookman Old Style" w:hAnsi="Bookman Old Style"/>
          <w:sz w:val="24"/>
          <w:szCs w:val="24"/>
        </w:rPr>
        <w:t>Negeri</w:t>
      </w:r>
      <w:r w:rsidR="00A954D0" w:rsidRPr="008379CA">
        <w:rPr>
          <w:rFonts w:ascii="Bookman Old Style" w:hAnsi="Bookman Old Style"/>
          <w:sz w:val="24"/>
          <w:szCs w:val="24"/>
        </w:rPr>
        <w:t xml:space="preserve"> </w:t>
      </w:r>
      <w:r w:rsidR="00202B45" w:rsidRPr="008379CA">
        <w:rPr>
          <w:rFonts w:ascii="Bookman Old Style" w:hAnsi="Bookman Old Style"/>
          <w:sz w:val="24"/>
          <w:szCs w:val="24"/>
        </w:rPr>
        <w:t>Nomor</w:t>
      </w:r>
      <w:r w:rsidR="00A954D0" w:rsidRPr="008379CA">
        <w:rPr>
          <w:rFonts w:ascii="Bookman Old Style" w:hAnsi="Bookman Old Style"/>
          <w:sz w:val="24"/>
          <w:szCs w:val="24"/>
        </w:rPr>
        <w:t xml:space="preserve"> </w:t>
      </w:r>
      <w:r w:rsidR="00202B45" w:rsidRPr="008379CA">
        <w:rPr>
          <w:rFonts w:ascii="Bookman Old Style" w:hAnsi="Bookman Old Style"/>
          <w:sz w:val="24"/>
          <w:szCs w:val="24"/>
          <w:lang w:val="sv-FI"/>
        </w:rPr>
        <w:t>15</w:t>
      </w:r>
      <w:r w:rsidR="00A954D0" w:rsidRPr="008379CA">
        <w:rPr>
          <w:rFonts w:ascii="Bookman Old Style" w:hAnsi="Bookman Old Style"/>
          <w:sz w:val="24"/>
          <w:szCs w:val="24"/>
        </w:rPr>
        <w:t xml:space="preserve"> </w:t>
      </w:r>
      <w:r w:rsidR="00202B45"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00202B45" w:rsidRPr="008379CA">
        <w:rPr>
          <w:rFonts w:ascii="Bookman Old Style" w:hAnsi="Bookman Old Style"/>
          <w:sz w:val="24"/>
          <w:szCs w:val="24"/>
        </w:rPr>
        <w:t>202</w:t>
      </w:r>
      <w:r w:rsidR="00202B45" w:rsidRPr="008379CA">
        <w:rPr>
          <w:rFonts w:ascii="Bookman Old Style" w:hAnsi="Bookman Old Style"/>
          <w:sz w:val="24"/>
          <w:szCs w:val="24"/>
          <w:lang w:val="sv-FI"/>
        </w:rPr>
        <w:t>4.</w:t>
      </w:r>
    </w:p>
    <w:p w14:paraId="3FC5339B" w14:textId="2B4F5CD2" w:rsidR="005732F9" w:rsidRPr="008379CA" w:rsidRDefault="005732F9" w:rsidP="00DA6BF7">
      <w:pPr>
        <w:pStyle w:val="ListParagraph"/>
        <w:spacing w:before="60" w:after="0" w:line="276" w:lineRule="auto"/>
        <w:ind w:left="1701"/>
        <w:contextualSpacing w:val="0"/>
        <w:jc w:val="both"/>
        <w:rPr>
          <w:rFonts w:ascii="Bookman Old Style" w:hAnsi="Bookman Old Style"/>
          <w:sz w:val="24"/>
          <w:szCs w:val="24"/>
          <w:lang w:val="sv-FI"/>
        </w:rPr>
      </w:pPr>
      <w:r w:rsidRPr="008379CA">
        <w:rPr>
          <w:rFonts w:ascii="Bookman Old Style" w:hAnsi="Bookman Old Style" w:cs="Arial"/>
          <w:sz w:val="24"/>
          <w:szCs w:val="24"/>
          <w:lang w:val="sv-FI"/>
        </w:rPr>
        <w:t>Dalam</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hal</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terdapat</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perubahan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kebijakan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terkait</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pemetaan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penganggaran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untuk</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pemenuhan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alokasi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anggaran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rPr>
        <w:t>Penggunaan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Hasil</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Penerimaan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Pendapatan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Bagi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Hasil</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Pajak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Rokok</w:t>
      </w:r>
      <w:r w:rsidRPr="008379CA">
        <w:rPr>
          <w:rFonts w:ascii="Bookman Old Style" w:hAnsi="Bookman Old Style" w:cs="Arial"/>
          <w:sz w:val="24"/>
          <w:szCs w:val="24"/>
          <w:lang w:val="sv-FI"/>
        </w:rPr>
        <w:t>,</w:t>
      </w:r>
      <w:r w:rsidR="00A954D0" w:rsidRPr="008379CA">
        <w:rPr>
          <w:rFonts w:ascii="Bookman Old Style" w:hAnsi="Bookman Old Style" w:cs="Arial"/>
          <w:sz w:val="24"/>
          <w:szCs w:val="24"/>
          <w:lang w:val="sv-FI"/>
        </w:rPr>
        <w:t xml:space="preserve"> </w:t>
      </w:r>
      <w:r w:rsidRPr="008379CA">
        <w:rPr>
          <w:rFonts w:ascii="Bookman Old Style" w:hAnsi="Bookman Old Style"/>
          <w:sz w:val="24"/>
          <w:szCs w:val="24"/>
        </w:rPr>
        <w:t>Pemerintah</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Daerah</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rPr>
        <w:t>Kota</w:t>
      </w:r>
      <w:r w:rsidR="00A954D0" w:rsidRPr="008379CA">
        <w:rPr>
          <w:rFonts w:ascii="Bookman Old Style" w:hAnsi="Bookman Old Style" w:cs="Arial"/>
          <w:sz w:val="24"/>
          <w:szCs w:val="24"/>
        </w:rPr>
        <w:t xml:space="preserve"> </w:t>
      </w:r>
      <w:r w:rsidR="00770F22" w:rsidRPr="008379CA">
        <w:rPr>
          <w:rFonts w:ascii="Bookman Old Style" w:hAnsi="Bookman Old Style" w:cs="Arial"/>
          <w:sz w:val="24"/>
          <w:szCs w:val="24"/>
        </w:rPr>
        <w:t>Tangerang</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harus</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melakukan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penyesuaian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terhadap</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alokasi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anggaran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rPr>
        <w:t>Penggunaan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Hasil</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Penerimaan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Pendapatan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Bagi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Hasil</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Pajak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Rokok</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dimaksud</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dengan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berpedoman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pada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Peraturan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Menteri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Dalam</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Negeri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Nomor</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90</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Tahun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2019,</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Keputusan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Menteri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Dalam</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Negeri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Nomor</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050-5889</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Tahun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2021</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sebagaimana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telah</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diubah</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beberapa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kali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terakhir</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dengan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Keputusan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Menteri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Dalam</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Negeri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Nomor</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900.1.15.5-3406</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Tahun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2024</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pemutakhirannya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sesuai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dengan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ketentuan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peraturan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perundang</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undangan.</w:t>
      </w:r>
    </w:p>
    <w:p w14:paraId="127A0671" w14:textId="34A600C1" w:rsidR="00F14F4D" w:rsidRPr="008379CA" w:rsidRDefault="00C614EB" w:rsidP="00DA6BF7">
      <w:pPr>
        <w:pStyle w:val="ListParagraph"/>
        <w:numPr>
          <w:ilvl w:val="0"/>
          <w:numId w:val="194"/>
        </w:numPr>
        <w:spacing w:before="120" w:after="0" w:line="276" w:lineRule="auto"/>
        <w:ind w:left="1701" w:hanging="425"/>
        <w:contextualSpacing w:val="0"/>
        <w:jc w:val="both"/>
        <w:rPr>
          <w:rFonts w:ascii="Bookman Old Style" w:hAnsi="Bookman Old Style" w:cs="Arial"/>
          <w:sz w:val="24"/>
          <w:szCs w:val="24"/>
        </w:rPr>
      </w:pPr>
      <w:r w:rsidRPr="008379CA">
        <w:rPr>
          <w:rFonts w:ascii="Bookman Old Style" w:hAnsi="Bookman Old Style" w:cs="Arial"/>
          <w:sz w:val="24"/>
          <w:szCs w:val="24"/>
        </w:rPr>
        <w:t>Alokasi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Anggaran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untuk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Penggunaan</w:t>
      </w:r>
      <w:r w:rsidR="00A954D0" w:rsidRPr="008379CA">
        <w:rPr>
          <w:rFonts w:ascii="Bookman Old Style" w:hAnsi="Bookman Old Style" w:cs="Arial"/>
          <w:sz w:val="24"/>
          <w:szCs w:val="24"/>
        </w:rPr>
        <w:t xml:space="preserve"> </w:t>
      </w:r>
      <w:r w:rsidR="00F14F4D" w:rsidRPr="008379CA">
        <w:rPr>
          <w:rFonts w:ascii="Bookman Old Style" w:hAnsi="Bookman Old Style" w:cs="Arial"/>
          <w:sz w:val="24"/>
          <w:szCs w:val="24"/>
        </w:rPr>
        <w:t>Hasil</w:t>
      </w:r>
      <w:r w:rsidR="00A954D0" w:rsidRPr="008379CA">
        <w:rPr>
          <w:rFonts w:ascii="Bookman Old Style" w:hAnsi="Bookman Old Style" w:cs="Arial"/>
          <w:sz w:val="24"/>
          <w:szCs w:val="24"/>
        </w:rPr>
        <w:t xml:space="preserve"> </w:t>
      </w:r>
      <w:r w:rsidR="00F14F4D" w:rsidRPr="008379CA">
        <w:rPr>
          <w:rFonts w:ascii="Bookman Old Style" w:hAnsi="Bookman Old Style" w:cs="Arial"/>
          <w:sz w:val="24"/>
          <w:szCs w:val="24"/>
        </w:rPr>
        <w:t>Penerimaan</w:t>
      </w:r>
      <w:r w:rsidR="00A954D0" w:rsidRPr="008379CA">
        <w:rPr>
          <w:rFonts w:ascii="Bookman Old Style" w:hAnsi="Bookman Old Style" w:cs="Arial"/>
          <w:sz w:val="24"/>
          <w:szCs w:val="24"/>
        </w:rPr>
        <w:t xml:space="preserve"> </w:t>
      </w:r>
      <w:r w:rsidR="00F14F4D" w:rsidRPr="008379CA">
        <w:rPr>
          <w:rFonts w:ascii="Bookman Old Style" w:hAnsi="Bookman Old Style" w:cs="Arial"/>
          <w:sz w:val="24"/>
          <w:szCs w:val="24"/>
        </w:rPr>
        <w:t>Pajak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Air</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Tanah</w:t>
      </w:r>
    </w:p>
    <w:p w14:paraId="0C9ED79C" w14:textId="5B0566DD" w:rsidR="00202B45" w:rsidRPr="008379CA" w:rsidRDefault="005732F9" w:rsidP="005F31C9">
      <w:pPr>
        <w:pStyle w:val="ListParagraph"/>
        <w:spacing w:before="60" w:after="0" w:line="276" w:lineRule="auto"/>
        <w:ind w:left="1701"/>
        <w:contextualSpacing w:val="0"/>
        <w:jc w:val="both"/>
        <w:rPr>
          <w:rFonts w:ascii="Bookman Old Style" w:hAnsi="Bookman Old Style"/>
          <w:sz w:val="24"/>
          <w:szCs w:val="24"/>
          <w:lang w:val="sv-FI"/>
        </w:rPr>
      </w:pPr>
      <w:bookmarkStart w:id="14" w:name="_Hlk183457134"/>
      <w:r w:rsidRPr="008379CA">
        <w:rPr>
          <w:rFonts w:ascii="Bookman Old Style" w:hAnsi="Bookman Old Style" w:cs="Arial"/>
          <w:sz w:val="24"/>
          <w:szCs w:val="24"/>
        </w:rPr>
        <w:t>Berdasarkan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Laporan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Tematik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SIPD</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RI</w:t>
      </w:r>
      <w:bookmarkEnd w:id="14"/>
      <w:r w:rsidRPr="008379CA">
        <w:rPr>
          <w:rFonts w:ascii="Bookman Old Style" w:hAnsi="Bookman Old Style" w:cs="Arial"/>
          <w:sz w:val="24"/>
          <w:szCs w:val="24"/>
        </w:rPr>
        <w: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w:t>
      </w:r>
      <w:r w:rsidR="00202B45" w:rsidRPr="008379CA">
        <w:rPr>
          <w:rFonts w:ascii="Bookman Old Style" w:hAnsi="Bookman Old Style" w:cs="Arial"/>
          <w:sz w:val="24"/>
          <w:szCs w:val="24"/>
        </w:rPr>
        <w:t>enyediaan</w:t>
      </w:r>
      <w:r w:rsidR="00A954D0" w:rsidRPr="008379CA">
        <w:rPr>
          <w:rFonts w:ascii="Bookman Old Style" w:hAnsi="Bookman Old Style"/>
          <w:sz w:val="24"/>
          <w:szCs w:val="24"/>
        </w:rPr>
        <w:t xml:space="preserve"> </w:t>
      </w:r>
      <w:r w:rsidR="00202B45" w:rsidRPr="008379CA">
        <w:rPr>
          <w:rFonts w:ascii="Bookman Old Style" w:hAnsi="Bookman Old Style"/>
          <w:sz w:val="24"/>
          <w:szCs w:val="24"/>
        </w:rPr>
        <w:t>alokasi</w:t>
      </w:r>
      <w:r w:rsidR="00A954D0" w:rsidRPr="008379CA">
        <w:rPr>
          <w:rFonts w:ascii="Bookman Old Style" w:hAnsi="Bookman Old Style"/>
          <w:sz w:val="24"/>
          <w:szCs w:val="24"/>
        </w:rPr>
        <w:t xml:space="preserve"> </w:t>
      </w:r>
      <w:r w:rsidR="00202B45" w:rsidRPr="008379CA">
        <w:rPr>
          <w:rFonts w:ascii="Bookman Old Style" w:hAnsi="Bookman Old Style" w:cs="Arial"/>
          <w:sz w:val="24"/>
          <w:szCs w:val="24"/>
          <w:lang w:val="en-ID"/>
        </w:rPr>
        <w:t>anggaran</w:t>
      </w:r>
      <w:r w:rsidR="00A954D0" w:rsidRPr="008379CA">
        <w:rPr>
          <w:rFonts w:ascii="Bookman Old Style" w:hAnsi="Bookman Old Style"/>
          <w:sz w:val="24"/>
          <w:szCs w:val="24"/>
          <w:lang w:val="en-ID"/>
        </w:rPr>
        <w:t xml:space="preserve"> </w:t>
      </w:r>
      <w:r w:rsidR="00202B45" w:rsidRPr="008379CA">
        <w:rPr>
          <w:rFonts w:ascii="Bookman Old Style" w:hAnsi="Bookman Old Style"/>
          <w:sz w:val="24"/>
          <w:szCs w:val="24"/>
          <w:lang w:val="en-ID"/>
        </w:rPr>
        <w:t>untuk</w:t>
      </w:r>
      <w:r w:rsidR="00A954D0" w:rsidRPr="008379CA">
        <w:rPr>
          <w:rFonts w:ascii="Bookman Old Style" w:hAnsi="Bookman Old Style"/>
          <w:sz w:val="24"/>
          <w:szCs w:val="24"/>
          <w:lang w:val="en-ID"/>
        </w:rPr>
        <w:t xml:space="preserve"> </w:t>
      </w:r>
      <w:r w:rsidR="00202B45" w:rsidRPr="008379CA">
        <w:rPr>
          <w:rFonts w:ascii="Bookman Old Style" w:hAnsi="Bookman Old Style" w:cs="Arial"/>
          <w:sz w:val="24"/>
          <w:szCs w:val="24"/>
        </w:rPr>
        <w:t>Penggunaan</w:t>
      </w:r>
      <w:r w:rsidR="00A954D0" w:rsidRPr="008379CA">
        <w:rPr>
          <w:rFonts w:ascii="Bookman Old Style" w:hAnsi="Bookman Old Style" w:cs="Arial"/>
          <w:sz w:val="24"/>
          <w:szCs w:val="24"/>
        </w:rPr>
        <w:t xml:space="preserve"> </w:t>
      </w:r>
      <w:r w:rsidR="00202B45" w:rsidRPr="008379CA">
        <w:rPr>
          <w:rFonts w:ascii="Bookman Old Style" w:hAnsi="Bookman Old Style" w:cs="Arial"/>
          <w:sz w:val="24"/>
          <w:szCs w:val="24"/>
        </w:rPr>
        <w:t>Hasil</w:t>
      </w:r>
      <w:r w:rsidR="00A954D0" w:rsidRPr="008379CA">
        <w:rPr>
          <w:rFonts w:ascii="Bookman Old Style" w:hAnsi="Bookman Old Style" w:cs="Arial"/>
          <w:sz w:val="24"/>
          <w:szCs w:val="24"/>
        </w:rPr>
        <w:t xml:space="preserve"> </w:t>
      </w:r>
      <w:r w:rsidR="00202B45" w:rsidRPr="008379CA">
        <w:rPr>
          <w:rFonts w:ascii="Bookman Old Style" w:hAnsi="Bookman Old Style" w:cs="Arial"/>
          <w:sz w:val="24"/>
          <w:szCs w:val="24"/>
          <w:lang w:val="en-ID"/>
        </w:rPr>
        <w:t>Penerimaan</w:t>
      </w:r>
      <w:r w:rsidR="00A954D0" w:rsidRPr="008379CA">
        <w:rPr>
          <w:rFonts w:ascii="Bookman Old Style" w:hAnsi="Bookman Old Style" w:cs="Arial"/>
          <w:sz w:val="24"/>
          <w:szCs w:val="24"/>
        </w:rPr>
        <w:t xml:space="preserve"> </w:t>
      </w:r>
      <w:r w:rsidR="00202B45" w:rsidRPr="008379CA">
        <w:rPr>
          <w:rFonts w:ascii="Bookman Old Style" w:hAnsi="Bookman Old Style" w:cs="Arial"/>
          <w:sz w:val="24"/>
          <w:szCs w:val="24"/>
        </w:rPr>
        <w:t>Pajak</w:t>
      </w:r>
      <w:r w:rsidR="00A954D0" w:rsidRPr="008379CA">
        <w:rPr>
          <w:rFonts w:ascii="Bookman Old Style" w:hAnsi="Bookman Old Style" w:cs="Arial"/>
          <w:sz w:val="24"/>
          <w:szCs w:val="24"/>
        </w:rPr>
        <w:t xml:space="preserve"> </w:t>
      </w:r>
      <w:r w:rsidR="00202B45" w:rsidRPr="008379CA">
        <w:rPr>
          <w:rFonts w:ascii="Bookman Old Style" w:hAnsi="Bookman Old Style" w:cs="Arial"/>
          <w:sz w:val="24"/>
          <w:szCs w:val="24"/>
        </w:rPr>
        <w:t>Air</w:t>
      </w:r>
      <w:r w:rsidR="00A954D0" w:rsidRPr="008379CA">
        <w:rPr>
          <w:rFonts w:ascii="Bookman Old Style" w:hAnsi="Bookman Old Style" w:cs="Arial"/>
          <w:sz w:val="24"/>
          <w:szCs w:val="24"/>
        </w:rPr>
        <w:t xml:space="preserve"> </w:t>
      </w:r>
      <w:r w:rsidR="00202B45" w:rsidRPr="008379CA">
        <w:rPr>
          <w:rFonts w:ascii="Bookman Old Style" w:hAnsi="Bookman Old Style" w:cs="Arial"/>
          <w:sz w:val="24"/>
          <w:szCs w:val="24"/>
        </w:rPr>
        <w:t>Tanah</w:t>
      </w:r>
      <w:r w:rsidR="00A954D0" w:rsidRPr="008379CA">
        <w:rPr>
          <w:rFonts w:ascii="Bookman Old Style" w:hAnsi="Bookman Old Style"/>
          <w:sz w:val="24"/>
          <w:szCs w:val="24"/>
          <w:lang w:val="en-US"/>
        </w:rPr>
        <w:t xml:space="preserve"> </w:t>
      </w:r>
      <w:r w:rsidR="00446EF8" w:rsidRPr="008379CA">
        <w:rPr>
          <w:rFonts w:ascii="Bookman Old Style" w:hAnsi="Bookman Old Style" w:cs="Arial"/>
          <w:sz w:val="24"/>
          <w:szCs w:val="24"/>
          <w:lang w:val="de-DE"/>
        </w:rPr>
        <w:t>Rp2.194.770.558,00</w:t>
      </w:r>
      <w:r w:rsidR="00A954D0" w:rsidRPr="008379CA">
        <w:rPr>
          <w:rFonts w:ascii="Bookman Old Style" w:hAnsi="Bookman Old Style" w:cs="Arial"/>
          <w:sz w:val="24"/>
          <w:szCs w:val="24"/>
          <w:lang w:val="de-DE"/>
        </w:rPr>
        <w:t xml:space="preserve"> </w:t>
      </w:r>
      <w:r w:rsidR="00446EF8" w:rsidRPr="008379CA">
        <w:rPr>
          <w:rFonts w:ascii="Bookman Old Style" w:hAnsi="Bookman Old Style" w:cs="Arial"/>
          <w:sz w:val="24"/>
          <w:szCs w:val="24"/>
          <w:lang w:val="de-DE"/>
        </w:rPr>
        <w:t>atau</w:t>
      </w:r>
      <w:r w:rsidR="00A954D0" w:rsidRPr="008379CA">
        <w:rPr>
          <w:rFonts w:ascii="Bookman Old Style" w:hAnsi="Bookman Old Style" w:cs="Arial"/>
          <w:sz w:val="24"/>
          <w:szCs w:val="24"/>
          <w:lang w:val="de-DE"/>
        </w:rPr>
        <w:t xml:space="preserve"> </w:t>
      </w:r>
      <w:r w:rsidR="00446EF8" w:rsidRPr="008379CA">
        <w:rPr>
          <w:rFonts w:ascii="Bookman Old Style" w:hAnsi="Bookman Old Style" w:cs="Arial"/>
          <w:sz w:val="24"/>
          <w:szCs w:val="24"/>
          <w:lang w:val="de-DE"/>
        </w:rPr>
        <w:t>21,95%</w:t>
      </w:r>
      <w:r w:rsidR="00A954D0" w:rsidRPr="008379CA">
        <w:rPr>
          <w:rFonts w:ascii="Bookman Old Style" w:hAnsi="Bookman Old Style" w:cs="Arial"/>
          <w:b/>
          <w:bCs/>
          <w:sz w:val="24"/>
          <w:szCs w:val="24"/>
          <w:lang w:val="de-DE"/>
        </w:rPr>
        <w:t xml:space="preserve"> </w:t>
      </w:r>
      <w:r w:rsidR="00131C8B" w:rsidRPr="008379CA">
        <w:rPr>
          <w:rFonts w:ascii="Bookman Old Style" w:hAnsi="Bookman Old Style" w:cs="Arial"/>
          <w:sz w:val="24"/>
          <w:szCs w:val="24"/>
          <w:lang w:val="de-DE"/>
        </w:rPr>
        <w:t>dari</w:t>
      </w:r>
      <w:r w:rsidR="00A954D0" w:rsidRPr="008379CA">
        <w:rPr>
          <w:rFonts w:ascii="Bookman Old Style" w:hAnsi="Bookman Old Style" w:cs="Arial"/>
          <w:sz w:val="24"/>
          <w:szCs w:val="24"/>
          <w:lang w:val="de-DE"/>
        </w:rPr>
        <w:t xml:space="preserve"> </w:t>
      </w:r>
      <w:r w:rsidR="00131C8B" w:rsidRPr="008379CA">
        <w:rPr>
          <w:rFonts w:ascii="Bookman Old Style" w:hAnsi="Bookman Old Style" w:cs="Arial"/>
          <w:sz w:val="24"/>
          <w:szCs w:val="24"/>
        </w:rPr>
        <w:t>Hasil</w:t>
      </w:r>
      <w:r w:rsidR="00A954D0" w:rsidRPr="008379CA">
        <w:rPr>
          <w:rFonts w:ascii="Bookman Old Style" w:hAnsi="Bookman Old Style" w:cs="Arial"/>
          <w:sz w:val="24"/>
          <w:szCs w:val="24"/>
        </w:rPr>
        <w:t xml:space="preserve"> </w:t>
      </w:r>
      <w:r w:rsidR="00131C8B" w:rsidRPr="008379CA">
        <w:rPr>
          <w:rFonts w:ascii="Bookman Old Style" w:hAnsi="Bookman Old Style" w:cs="Arial"/>
          <w:sz w:val="24"/>
          <w:szCs w:val="24"/>
          <w:lang w:val="en-ID"/>
        </w:rPr>
        <w:t>Penerimaan</w:t>
      </w:r>
      <w:r w:rsidR="00A954D0" w:rsidRPr="008379CA">
        <w:rPr>
          <w:rFonts w:ascii="Bookman Old Style" w:hAnsi="Bookman Old Style" w:cs="Arial"/>
          <w:sz w:val="24"/>
          <w:szCs w:val="24"/>
        </w:rPr>
        <w:t xml:space="preserve"> </w:t>
      </w:r>
      <w:r w:rsidR="00131C8B" w:rsidRPr="008379CA">
        <w:rPr>
          <w:rFonts w:ascii="Bookman Old Style" w:hAnsi="Bookman Old Style" w:cs="Arial"/>
          <w:sz w:val="24"/>
          <w:szCs w:val="24"/>
        </w:rPr>
        <w:t>Pajak</w:t>
      </w:r>
      <w:r w:rsidR="00A954D0" w:rsidRPr="008379CA">
        <w:rPr>
          <w:rFonts w:ascii="Bookman Old Style" w:hAnsi="Bookman Old Style" w:cs="Arial"/>
          <w:sz w:val="24"/>
          <w:szCs w:val="24"/>
        </w:rPr>
        <w:t xml:space="preserve"> </w:t>
      </w:r>
      <w:r w:rsidR="00131C8B" w:rsidRPr="008379CA">
        <w:rPr>
          <w:rFonts w:ascii="Bookman Old Style" w:hAnsi="Bookman Old Style" w:cs="Arial"/>
          <w:sz w:val="24"/>
          <w:szCs w:val="24"/>
        </w:rPr>
        <w:t>Air</w:t>
      </w:r>
      <w:r w:rsidR="00A954D0" w:rsidRPr="008379CA">
        <w:rPr>
          <w:rFonts w:ascii="Bookman Old Style" w:hAnsi="Bookman Old Style" w:cs="Arial"/>
          <w:sz w:val="24"/>
          <w:szCs w:val="24"/>
        </w:rPr>
        <w:t xml:space="preserve"> </w:t>
      </w:r>
      <w:r w:rsidR="00131C8B" w:rsidRPr="008379CA">
        <w:rPr>
          <w:rFonts w:ascii="Bookman Old Style" w:hAnsi="Bookman Old Style" w:cs="Arial"/>
          <w:sz w:val="24"/>
          <w:szCs w:val="24"/>
        </w:rPr>
        <w:t>Tanah</w:t>
      </w:r>
      <w:r w:rsidR="00A954D0" w:rsidRPr="008379CA">
        <w:rPr>
          <w:rFonts w:ascii="Bookman Old Style" w:hAnsi="Bookman Old Style" w:cs="Arial"/>
          <w:sz w:val="24"/>
          <w:szCs w:val="24"/>
        </w:rPr>
        <w:t xml:space="preserve"> </w:t>
      </w:r>
      <w:r w:rsidR="00131C8B" w:rsidRPr="008379CA">
        <w:rPr>
          <w:rFonts w:ascii="Bookman Old Style" w:hAnsi="Bookman Old Style" w:cs="Arial"/>
          <w:sz w:val="24"/>
          <w:szCs w:val="24"/>
        </w:rPr>
        <w:t>sebesar</w:t>
      </w:r>
      <w:r w:rsidR="00A954D0" w:rsidRPr="008379CA">
        <w:rPr>
          <w:rFonts w:ascii="Bookman Old Style" w:hAnsi="Bookman Old Style" w:cs="Arial"/>
          <w:sz w:val="24"/>
          <w:szCs w:val="24"/>
        </w:rPr>
        <w:t xml:space="preserve"> </w:t>
      </w:r>
      <w:r w:rsidR="00131C8B" w:rsidRPr="008379CA">
        <w:rPr>
          <w:rFonts w:ascii="Bookman Old Style" w:hAnsi="Bookman Old Style" w:cs="Arial"/>
          <w:sz w:val="24"/>
          <w:szCs w:val="24"/>
        </w:rPr>
        <w:t>Rp</w:t>
      </w:r>
      <w:r w:rsidR="00446EF8" w:rsidRPr="008379CA">
        <w:rPr>
          <w:rFonts w:ascii="Bookman Old Style" w:hAnsi="Bookman Old Style" w:cs="Arial"/>
          <w:sz w:val="24"/>
          <w:szCs w:val="24"/>
        </w:rPr>
        <w:t>10</w:t>
      </w:r>
      <w:r w:rsidR="00131C8B" w:rsidRPr="008379CA">
        <w:rPr>
          <w:rFonts w:ascii="Bookman Old Style" w:hAnsi="Bookman Old Style" w:cs="Arial"/>
          <w:sz w:val="24"/>
          <w:szCs w:val="24"/>
        </w:rPr>
        <w:t>.000.000.000,00</w:t>
      </w:r>
      <w:r w:rsidR="00A954D0" w:rsidRPr="008379CA">
        <w:rPr>
          <w:rFonts w:ascii="Bookman Old Style" w:hAnsi="Bookman Old Style" w:cs="Arial"/>
          <w:sz w:val="24"/>
          <w:szCs w:val="24"/>
          <w:lang w:val="de-DE"/>
        </w:rPr>
        <w:t xml:space="preserve"> </w:t>
      </w:r>
      <w:r w:rsidR="00202B45" w:rsidRPr="008379CA">
        <w:rPr>
          <w:rFonts w:ascii="Bookman Old Style" w:hAnsi="Bookman Old Style"/>
          <w:sz w:val="24"/>
          <w:szCs w:val="24"/>
        </w:rPr>
        <w:lastRenderedPageBreak/>
        <w:t>dalam</w:t>
      </w:r>
      <w:r w:rsidR="00A954D0" w:rsidRPr="008379CA">
        <w:rPr>
          <w:rFonts w:ascii="Bookman Old Style" w:hAnsi="Bookman Old Style"/>
          <w:sz w:val="24"/>
          <w:szCs w:val="24"/>
        </w:rPr>
        <w:t xml:space="preserve"> </w:t>
      </w:r>
      <w:r w:rsidR="00202B45" w:rsidRPr="008379CA">
        <w:rPr>
          <w:rFonts w:ascii="Bookman Old Style" w:hAnsi="Bookman Old Style"/>
          <w:sz w:val="24"/>
          <w:szCs w:val="24"/>
        </w:rPr>
        <w:t>Rancangan</w:t>
      </w:r>
      <w:r w:rsidR="00A954D0" w:rsidRPr="008379CA">
        <w:rPr>
          <w:rFonts w:ascii="Bookman Old Style" w:hAnsi="Bookman Old Style"/>
          <w:sz w:val="24"/>
          <w:szCs w:val="24"/>
        </w:rPr>
        <w:t xml:space="preserve"> </w:t>
      </w:r>
      <w:r w:rsidR="00202B45" w:rsidRPr="008379CA">
        <w:rPr>
          <w:rFonts w:ascii="Bookman Old Style" w:hAnsi="Bookman Old Style"/>
          <w:sz w:val="24"/>
          <w:szCs w:val="24"/>
        </w:rPr>
        <w:t>Peraturan</w:t>
      </w:r>
      <w:r w:rsidR="00A954D0" w:rsidRPr="008379CA">
        <w:rPr>
          <w:rFonts w:ascii="Bookman Old Style" w:hAnsi="Bookman Old Style"/>
          <w:sz w:val="24"/>
          <w:szCs w:val="24"/>
        </w:rPr>
        <w:t xml:space="preserve"> </w:t>
      </w:r>
      <w:r w:rsidR="00202B45"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00202B45"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00770F22"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00202B45" w:rsidRPr="008379CA">
        <w:rPr>
          <w:rFonts w:ascii="Bookman Old Style" w:hAnsi="Bookman Old Style"/>
          <w:sz w:val="24"/>
          <w:szCs w:val="24"/>
        </w:rPr>
        <w:t>tentang</w:t>
      </w:r>
      <w:r w:rsidR="00A954D0" w:rsidRPr="008379CA">
        <w:rPr>
          <w:rFonts w:ascii="Bookman Old Style" w:hAnsi="Bookman Old Style"/>
          <w:sz w:val="24"/>
          <w:szCs w:val="24"/>
        </w:rPr>
        <w:t xml:space="preserve"> </w:t>
      </w:r>
      <w:r w:rsidR="00202B45" w:rsidRPr="008379CA">
        <w:rPr>
          <w:rFonts w:ascii="Bookman Old Style" w:hAnsi="Bookman Old Style"/>
          <w:sz w:val="24"/>
          <w:szCs w:val="24"/>
        </w:rPr>
        <w:t>APBD</w:t>
      </w:r>
      <w:r w:rsidR="00A954D0" w:rsidRPr="008379CA">
        <w:rPr>
          <w:rFonts w:ascii="Bookman Old Style" w:hAnsi="Bookman Old Style"/>
          <w:sz w:val="24"/>
          <w:szCs w:val="24"/>
        </w:rPr>
        <w:t xml:space="preserve"> </w:t>
      </w:r>
      <w:r w:rsidR="00202B45"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00202B45"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00202B45" w:rsidRPr="008379CA">
        <w:rPr>
          <w:rFonts w:ascii="Bookman Old Style" w:hAnsi="Bookman Old Style"/>
          <w:sz w:val="24"/>
          <w:szCs w:val="24"/>
        </w:rPr>
        <w:t>202</w:t>
      </w:r>
      <w:r w:rsidR="00202B45" w:rsidRPr="008379CA">
        <w:rPr>
          <w:rFonts w:ascii="Bookman Old Style" w:hAnsi="Bookman Old Style"/>
          <w:sz w:val="24"/>
          <w:szCs w:val="24"/>
          <w:lang w:val="en-US"/>
        </w:rPr>
        <w:t>5</w:t>
      </w:r>
      <w:r w:rsidR="00202B45" w:rsidRPr="008379CA">
        <w:rPr>
          <w:rFonts w:ascii="Bookman Old Style" w:hAnsi="Bookman Old Style"/>
          <w:sz w:val="24"/>
          <w:szCs w:val="24"/>
        </w:rPr>
        <w:t>.</w:t>
      </w:r>
    </w:p>
    <w:p w14:paraId="44C22CFA" w14:textId="044FE139" w:rsidR="00202B45" w:rsidRPr="008379CA" w:rsidRDefault="001C0867" w:rsidP="00A15A43">
      <w:pPr>
        <w:pStyle w:val="ListParagraph"/>
        <w:spacing w:before="60" w:after="0" w:line="276" w:lineRule="auto"/>
        <w:ind w:left="1701"/>
        <w:contextualSpacing w:val="0"/>
        <w:jc w:val="both"/>
        <w:rPr>
          <w:rFonts w:ascii="Bookman Old Style" w:hAnsi="Bookman Old Style" w:cs="Arial"/>
          <w:sz w:val="24"/>
          <w:szCs w:val="24"/>
          <w:lang w:val="sv-FI"/>
        </w:rPr>
      </w:pPr>
      <w:bookmarkStart w:id="15" w:name="_Hlk183457195"/>
      <w:r w:rsidRPr="008379CA">
        <w:rPr>
          <w:rFonts w:ascii="Bookman Old Style" w:hAnsi="Bookman Old Style" w:cs="Arial"/>
          <w:sz w:val="24"/>
          <w:szCs w:val="24"/>
        </w:rPr>
        <w:t>Sehubungan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dengan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hal</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tersebut,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Pemerintah</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Daerah</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Kota</w:t>
      </w:r>
      <w:r w:rsidR="00A954D0" w:rsidRPr="008379CA">
        <w:rPr>
          <w:rFonts w:ascii="Bookman Old Style" w:hAnsi="Bookman Old Style" w:cs="Arial"/>
          <w:sz w:val="24"/>
          <w:szCs w:val="24"/>
        </w:rPr>
        <w:t xml:space="preserve"> </w:t>
      </w:r>
      <w:r w:rsidR="00770F22" w:rsidRPr="008379CA">
        <w:rPr>
          <w:rFonts w:ascii="Bookman Old Style" w:hAnsi="Bookman Old Style" w:cs="Arial"/>
          <w:sz w:val="24"/>
          <w:szCs w:val="24"/>
          <w:lang w:val="sv-FI"/>
        </w:rPr>
        <w:t>Tangerang</w:t>
      </w:r>
      <w:r w:rsidR="00A954D0" w:rsidRPr="008379CA">
        <w:rPr>
          <w:rFonts w:ascii="Bookman Old Style" w:hAnsi="Bookman Old Style"/>
          <w:b/>
          <w:bCs/>
          <w:sz w:val="24"/>
          <w:szCs w:val="24"/>
          <w:lang w:val="sv-FI"/>
        </w:rPr>
        <w:t xml:space="preserve"> </w:t>
      </w:r>
      <w:bookmarkEnd w:id="15"/>
      <w:r w:rsidR="00446EF8" w:rsidRPr="008379CA">
        <w:rPr>
          <w:rFonts w:ascii="Bookman Old Style" w:hAnsi="Bookman Old Style"/>
          <w:b/>
          <w:bCs/>
          <w:sz w:val="24"/>
          <w:szCs w:val="24"/>
          <w:lang w:val="sv-FI"/>
        </w:rPr>
        <w:t>telah</w:t>
      </w:r>
      <w:r w:rsidR="00A954D0" w:rsidRPr="008379CA">
        <w:rPr>
          <w:rFonts w:ascii="Bookman Old Style" w:hAnsi="Bookman Old Style"/>
          <w:b/>
          <w:bCs/>
          <w:sz w:val="24"/>
          <w:szCs w:val="24"/>
          <w:lang w:val="sv-FI"/>
        </w:rPr>
        <w:t xml:space="preserve"> </w:t>
      </w:r>
      <w:r w:rsidR="00202B45" w:rsidRPr="008379CA">
        <w:rPr>
          <w:rFonts w:ascii="Bookman Old Style" w:hAnsi="Bookman Old Style"/>
          <w:b/>
          <w:bCs/>
          <w:sz w:val="24"/>
          <w:szCs w:val="24"/>
        </w:rPr>
        <w:t>memenuhi</w:t>
      </w:r>
      <w:r w:rsidR="00A954D0" w:rsidRPr="008379CA">
        <w:rPr>
          <w:rFonts w:ascii="Bookman Old Style" w:hAnsi="Bookman Old Style"/>
          <w:sz w:val="24"/>
          <w:szCs w:val="24"/>
        </w:rPr>
        <w:t xml:space="preserve"> </w:t>
      </w:r>
      <w:r w:rsidR="00202B45" w:rsidRPr="008379CA">
        <w:rPr>
          <w:rFonts w:ascii="Bookman Old Style" w:hAnsi="Bookman Old Style"/>
          <w:sz w:val="24"/>
          <w:szCs w:val="24"/>
        </w:rPr>
        <w:t>alokasi</w:t>
      </w:r>
      <w:r w:rsidR="00A954D0" w:rsidRPr="008379CA">
        <w:rPr>
          <w:rFonts w:ascii="Bookman Old Style" w:hAnsi="Bookman Old Style"/>
          <w:sz w:val="24"/>
          <w:szCs w:val="24"/>
        </w:rPr>
        <w:t xml:space="preserve"> </w:t>
      </w:r>
      <w:r w:rsidR="00202B45"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00202B45" w:rsidRPr="008379CA">
        <w:rPr>
          <w:rFonts w:ascii="Bookman Old Style" w:hAnsi="Bookman Old Style"/>
          <w:sz w:val="24"/>
          <w:szCs w:val="24"/>
        </w:rPr>
        <w:t>untuk</w:t>
      </w:r>
      <w:r w:rsidR="00A954D0" w:rsidRPr="008379CA">
        <w:rPr>
          <w:rFonts w:ascii="Bookman Old Style" w:hAnsi="Bookman Old Style"/>
          <w:sz w:val="24"/>
          <w:szCs w:val="24"/>
        </w:rPr>
        <w:t xml:space="preserve"> </w:t>
      </w:r>
      <w:r w:rsidR="00202B45" w:rsidRPr="008379CA">
        <w:rPr>
          <w:rFonts w:ascii="Bookman Old Style" w:hAnsi="Bookman Old Style" w:cs="Arial"/>
          <w:sz w:val="24"/>
          <w:szCs w:val="24"/>
        </w:rPr>
        <w:t>Penggunaan</w:t>
      </w:r>
      <w:r w:rsidR="00A954D0" w:rsidRPr="008379CA">
        <w:rPr>
          <w:rFonts w:ascii="Bookman Old Style" w:hAnsi="Bookman Old Style" w:cs="Arial"/>
          <w:sz w:val="24"/>
          <w:szCs w:val="24"/>
        </w:rPr>
        <w:t xml:space="preserve"> </w:t>
      </w:r>
      <w:r w:rsidR="00202B45" w:rsidRPr="008379CA">
        <w:rPr>
          <w:rFonts w:ascii="Bookman Old Style" w:hAnsi="Bookman Old Style" w:cs="Arial"/>
          <w:sz w:val="24"/>
          <w:szCs w:val="24"/>
        </w:rPr>
        <w:t>Hasil</w:t>
      </w:r>
      <w:r w:rsidR="00A954D0" w:rsidRPr="008379CA">
        <w:rPr>
          <w:rFonts w:ascii="Bookman Old Style" w:hAnsi="Bookman Old Style" w:cs="Arial"/>
          <w:sz w:val="24"/>
          <w:szCs w:val="24"/>
        </w:rPr>
        <w:t xml:space="preserve"> </w:t>
      </w:r>
      <w:r w:rsidR="00202B45" w:rsidRPr="008379CA">
        <w:rPr>
          <w:rFonts w:ascii="Bookman Old Style" w:hAnsi="Bookman Old Style" w:cs="Arial"/>
          <w:sz w:val="24"/>
          <w:szCs w:val="24"/>
        </w:rPr>
        <w:t>Penerimaan</w:t>
      </w:r>
      <w:r w:rsidR="00A954D0" w:rsidRPr="008379CA">
        <w:rPr>
          <w:rFonts w:ascii="Bookman Old Style" w:hAnsi="Bookman Old Style" w:cs="Arial"/>
          <w:sz w:val="24"/>
          <w:szCs w:val="24"/>
        </w:rPr>
        <w:t xml:space="preserve"> </w:t>
      </w:r>
      <w:r w:rsidR="00202B45" w:rsidRPr="008379CA">
        <w:rPr>
          <w:rFonts w:ascii="Bookman Old Style" w:hAnsi="Bookman Old Style" w:cs="Arial"/>
          <w:sz w:val="24"/>
          <w:szCs w:val="24"/>
        </w:rPr>
        <w:t>Pajak</w:t>
      </w:r>
      <w:r w:rsidR="00A954D0" w:rsidRPr="008379CA">
        <w:rPr>
          <w:rFonts w:ascii="Bookman Old Style" w:hAnsi="Bookman Old Style" w:cs="Arial"/>
          <w:sz w:val="24"/>
          <w:szCs w:val="24"/>
        </w:rPr>
        <w:t xml:space="preserve"> </w:t>
      </w:r>
      <w:r w:rsidR="00202B45" w:rsidRPr="008379CA">
        <w:rPr>
          <w:rFonts w:ascii="Bookman Old Style" w:hAnsi="Bookman Old Style" w:cs="Arial"/>
          <w:sz w:val="24"/>
          <w:szCs w:val="24"/>
        </w:rPr>
        <w:t>Air</w:t>
      </w:r>
      <w:r w:rsidR="00A954D0" w:rsidRPr="008379CA">
        <w:rPr>
          <w:rFonts w:ascii="Bookman Old Style" w:hAnsi="Bookman Old Style" w:cs="Arial"/>
          <w:sz w:val="24"/>
          <w:szCs w:val="24"/>
        </w:rPr>
        <w:t xml:space="preserve"> </w:t>
      </w:r>
      <w:r w:rsidR="00202B45" w:rsidRPr="008379CA">
        <w:rPr>
          <w:rFonts w:ascii="Bookman Old Style" w:hAnsi="Bookman Old Style" w:cs="Arial"/>
          <w:sz w:val="24"/>
          <w:szCs w:val="24"/>
        </w:rPr>
        <w:t>Tanah</w:t>
      </w:r>
      <w:r w:rsidR="00A954D0" w:rsidRPr="008379CA">
        <w:rPr>
          <w:rFonts w:ascii="Bookman Old Style" w:hAnsi="Bookman Old Style"/>
          <w:sz w:val="24"/>
          <w:szCs w:val="24"/>
          <w:lang w:val="sv-FI"/>
        </w:rPr>
        <w:t xml:space="preserve"> </w:t>
      </w:r>
      <w:r w:rsidR="00202B45" w:rsidRPr="008379CA">
        <w:rPr>
          <w:rFonts w:ascii="Bookman Old Style" w:hAnsi="Bookman Old Style" w:cs="Arial"/>
          <w:sz w:val="24"/>
          <w:szCs w:val="24"/>
          <w:lang w:val="sv-FI"/>
        </w:rPr>
        <w:t>paling</w:t>
      </w:r>
      <w:r w:rsidR="00A954D0" w:rsidRPr="008379CA">
        <w:rPr>
          <w:rFonts w:ascii="Bookman Old Style" w:hAnsi="Bookman Old Style" w:cs="Arial"/>
          <w:sz w:val="24"/>
          <w:szCs w:val="24"/>
          <w:lang w:val="sv-FI"/>
        </w:rPr>
        <w:t xml:space="preserve"> </w:t>
      </w:r>
      <w:r w:rsidR="00202B45" w:rsidRPr="008379CA">
        <w:rPr>
          <w:rFonts w:ascii="Bookman Old Style" w:hAnsi="Bookman Old Style" w:cs="Arial"/>
          <w:sz w:val="24"/>
          <w:szCs w:val="24"/>
          <w:lang w:val="sv-FI"/>
        </w:rPr>
        <w:t>sedikit</w:t>
      </w:r>
      <w:r w:rsidR="00A954D0" w:rsidRPr="008379CA">
        <w:rPr>
          <w:rFonts w:ascii="Bookman Old Style" w:hAnsi="Bookman Old Style" w:cs="Arial"/>
          <w:sz w:val="24"/>
          <w:szCs w:val="24"/>
          <w:lang w:val="sv-FI"/>
        </w:rPr>
        <w:t xml:space="preserve"> </w:t>
      </w:r>
      <w:r w:rsidR="00202B45" w:rsidRPr="008379CA">
        <w:rPr>
          <w:rFonts w:ascii="Bookman Old Style" w:hAnsi="Bookman Old Style" w:cs="Arial"/>
          <w:sz w:val="24"/>
          <w:szCs w:val="24"/>
          <w:lang w:val="sv-FI"/>
        </w:rPr>
        <w:t>10%</w:t>
      </w:r>
      <w:r w:rsidR="00A954D0" w:rsidRPr="008379CA">
        <w:rPr>
          <w:rFonts w:ascii="Bookman Old Style" w:hAnsi="Bookman Old Style" w:cs="Arial"/>
          <w:sz w:val="24"/>
          <w:szCs w:val="24"/>
          <w:lang w:val="sv-FI"/>
        </w:rPr>
        <w:t xml:space="preserve"> </w:t>
      </w:r>
      <w:r w:rsidR="00202B45" w:rsidRPr="008379CA">
        <w:rPr>
          <w:rFonts w:ascii="Bookman Old Style" w:hAnsi="Bookman Old Style" w:cs="Arial"/>
          <w:sz w:val="24"/>
          <w:szCs w:val="24"/>
          <w:lang w:val="sv-FI"/>
        </w:rPr>
        <w:t>(sepuluh</w:t>
      </w:r>
      <w:r w:rsidR="00A954D0" w:rsidRPr="008379CA">
        <w:rPr>
          <w:rFonts w:ascii="Bookman Old Style" w:hAnsi="Bookman Old Style" w:cs="Arial"/>
          <w:sz w:val="24"/>
          <w:szCs w:val="24"/>
          <w:lang w:val="sv-FI"/>
        </w:rPr>
        <w:t xml:space="preserve"> </w:t>
      </w:r>
      <w:r w:rsidR="00202B45" w:rsidRPr="008379CA">
        <w:rPr>
          <w:rFonts w:ascii="Bookman Old Style" w:hAnsi="Bookman Old Style" w:cs="Arial"/>
          <w:sz w:val="24"/>
          <w:szCs w:val="24"/>
          <w:lang w:val="sv-FI"/>
        </w:rPr>
        <w:t>persen)</w:t>
      </w:r>
      <w:r w:rsidR="00A954D0" w:rsidRPr="008379CA">
        <w:rPr>
          <w:rFonts w:ascii="Bookman Old Style" w:hAnsi="Bookman Old Style" w:cs="Arial"/>
          <w:sz w:val="24"/>
          <w:szCs w:val="24"/>
          <w:lang w:val="sv-FI"/>
        </w:rPr>
        <w:t xml:space="preserve"> </w:t>
      </w:r>
      <w:r w:rsidR="00202B45" w:rsidRPr="008379CA">
        <w:rPr>
          <w:rFonts w:ascii="Bookman Old Style" w:hAnsi="Bookman Old Style" w:cs="Arial"/>
          <w:sz w:val="24"/>
          <w:szCs w:val="24"/>
          <w:lang w:val="sv-FI"/>
        </w:rPr>
        <w:t>untuk</w:t>
      </w:r>
      <w:r w:rsidR="00A954D0" w:rsidRPr="008379CA">
        <w:rPr>
          <w:rFonts w:ascii="Bookman Old Style" w:hAnsi="Bookman Old Style" w:cs="Arial"/>
          <w:sz w:val="24"/>
          <w:szCs w:val="24"/>
          <w:lang w:val="sv-FI"/>
        </w:rPr>
        <w:t xml:space="preserve"> </w:t>
      </w:r>
      <w:r w:rsidR="00202B45" w:rsidRPr="008379CA">
        <w:rPr>
          <w:rFonts w:ascii="Bookman Old Style" w:hAnsi="Bookman Old Style" w:cs="Arial"/>
          <w:sz w:val="24"/>
          <w:szCs w:val="24"/>
          <w:lang w:val="sv-FI"/>
        </w:rPr>
        <w:t>pencegahan,</w:t>
      </w:r>
      <w:r w:rsidR="00A954D0" w:rsidRPr="008379CA">
        <w:rPr>
          <w:rFonts w:ascii="Bookman Old Style" w:hAnsi="Bookman Old Style" w:cs="Arial"/>
          <w:sz w:val="24"/>
          <w:szCs w:val="24"/>
          <w:lang w:val="sv-FI"/>
        </w:rPr>
        <w:t xml:space="preserve"> </w:t>
      </w:r>
      <w:r w:rsidR="00202B45" w:rsidRPr="008379CA">
        <w:rPr>
          <w:rFonts w:ascii="Bookman Old Style" w:hAnsi="Bookman Old Style" w:cs="Arial"/>
          <w:sz w:val="24"/>
          <w:szCs w:val="24"/>
          <w:lang w:val="sv-FI"/>
        </w:rPr>
        <w:t>penanggulangan,</w:t>
      </w:r>
      <w:r w:rsidR="00A954D0" w:rsidRPr="008379CA">
        <w:rPr>
          <w:rFonts w:ascii="Bookman Old Style" w:hAnsi="Bookman Old Style" w:cs="Arial"/>
          <w:sz w:val="24"/>
          <w:szCs w:val="24"/>
          <w:lang w:val="sv-FI"/>
        </w:rPr>
        <w:t xml:space="preserve"> </w:t>
      </w:r>
      <w:r w:rsidR="00202B45" w:rsidRPr="008379CA">
        <w:rPr>
          <w:rFonts w:ascii="Bookman Old Style" w:hAnsi="Bookman Old Style" w:cs="Arial"/>
          <w:sz w:val="24"/>
          <w:szCs w:val="24"/>
          <w:lang w:val="sv-FI"/>
        </w:rPr>
        <w:t>dan</w:t>
      </w:r>
      <w:r w:rsidR="00A954D0" w:rsidRPr="008379CA">
        <w:rPr>
          <w:rFonts w:ascii="Bookman Old Style" w:hAnsi="Bookman Old Style" w:cs="Arial"/>
          <w:sz w:val="24"/>
          <w:szCs w:val="24"/>
          <w:lang w:val="sv-FI"/>
        </w:rPr>
        <w:t xml:space="preserve"> </w:t>
      </w:r>
      <w:r w:rsidR="00202B45" w:rsidRPr="008379CA">
        <w:rPr>
          <w:rFonts w:ascii="Bookman Old Style" w:hAnsi="Bookman Old Style" w:cs="Arial"/>
          <w:sz w:val="24"/>
          <w:szCs w:val="24"/>
          <w:lang w:val="sv-FI"/>
        </w:rPr>
        <w:t>pemulihan</w:t>
      </w:r>
      <w:r w:rsidR="00A954D0" w:rsidRPr="008379CA">
        <w:rPr>
          <w:rFonts w:ascii="Bookman Old Style" w:hAnsi="Bookman Old Style" w:cs="Arial"/>
          <w:sz w:val="24"/>
          <w:szCs w:val="24"/>
          <w:lang w:val="sv-FI"/>
        </w:rPr>
        <w:t xml:space="preserve"> </w:t>
      </w:r>
      <w:r w:rsidR="00202B45" w:rsidRPr="008379CA">
        <w:rPr>
          <w:rFonts w:ascii="Bookman Old Style" w:hAnsi="Bookman Old Style" w:cs="Arial"/>
          <w:sz w:val="24"/>
          <w:szCs w:val="24"/>
          <w:lang w:val="sv-FI"/>
        </w:rPr>
        <w:t>pencemaran</w:t>
      </w:r>
      <w:r w:rsidR="00A954D0" w:rsidRPr="008379CA">
        <w:rPr>
          <w:rFonts w:ascii="Bookman Old Style" w:hAnsi="Bookman Old Style" w:cs="Arial"/>
          <w:sz w:val="24"/>
          <w:szCs w:val="24"/>
          <w:lang w:val="sv-FI"/>
        </w:rPr>
        <w:t xml:space="preserve"> </w:t>
      </w:r>
      <w:r w:rsidR="00202B45" w:rsidRPr="008379CA">
        <w:rPr>
          <w:rFonts w:ascii="Bookman Old Style" w:hAnsi="Bookman Old Style" w:cs="Arial"/>
          <w:sz w:val="24"/>
          <w:szCs w:val="24"/>
          <w:lang w:val="sv-FI"/>
        </w:rPr>
        <w:t>dan/atau</w:t>
      </w:r>
      <w:r w:rsidR="00A954D0" w:rsidRPr="008379CA">
        <w:rPr>
          <w:rFonts w:ascii="Bookman Old Style" w:hAnsi="Bookman Old Style" w:cs="Arial"/>
          <w:sz w:val="24"/>
          <w:szCs w:val="24"/>
          <w:lang w:val="sv-FI"/>
        </w:rPr>
        <w:t xml:space="preserve"> </w:t>
      </w:r>
      <w:r w:rsidR="00202B45" w:rsidRPr="008379CA">
        <w:rPr>
          <w:rFonts w:ascii="Bookman Old Style" w:hAnsi="Bookman Old Style" w:cs="Arial"/>
          <w:sz w:val="24"/>
          <w:szCs w:val="24"/>
          <w:lang w:val="sv-FI"/>
        </w:rPr>
        <w:t>kerusakan</w:t>
      </w:r>
      <w:r w:rsidR="00A954D0" w:rsidRPr="008379CA">
        <w:rPr>
          <w:rFonts w:ascii="Bookman Old Style" w:hAnsi="Bookman Old Style" w:cs="Arial"/>
          <w:sz w:val="24"/>
          <w:szCs w:val="24"/>
          <w:lang w:val="sv-FI"/>
        </w:rPr>
        <w:t xml:space="preserve"> </w:t>
      </w:r>
      <w:r w:rsidR="00202B45" w:rsidRPr="008379CA">
        <w:rPr>
          <w:rFonts w:ascii="Bookman Old Style" w:hAnsi="Bookman Old Style" w:cs="Arial"/>
          <w:sz w:val="24"/>
          <w:szCs w:val="24"/>
          <w:lang w:val="sv-FI"/>
        </w:rPr>
        <w:t>lingkungan</w:t>
      </w:r>
      <w:r w:rsidR="00A954D0" w:rsidRPr="008379CA">
        <w:rPr>
          <w:rFonts w:ascii="Bookman Old Style" w:hAnsi="Bookman Old Style" w:cs="Arial"/>
          <w:sz w:val="24"/>
          <w:szCs w:val="24"/>
          <w:lang w:val="sv-FI"/>
        </w:rPr>
        <w:t xml:space="preserve"> </w:t>
      </w:r>
      <w:r w:rsidR="00202B45" w:rsidRPr="008379CA">
        <w:rPr>
          <w:rFonts w:ascii="Bookman Old Style" w:hAnsi="Bookman Old Style" w:cs="Arial"/>
          <w:sz w:val="24"/>
          <w:szCs w:val="24"/>
          <w:lang w:val="sv-FI"/>
        </w:rPr>
        <w:t>hidup</w:t>
      </w:r>
      <w:r w:rsidR="00A954D0" w:rsidRPr="008379CA">
        <w:rPr>
          <w:rFonts w:ascii="Bookman Old Style" w:hAnsi="Bookman Old Style" w:cs="Arial"/>
          <w:sz w:val="24"/>
          <w:szCs w:val="24"/>
          <w:lang w:val="sv-FI"/>
        </w:rPr>
        <w:t xml:space="preserve"> </w:t>
      </w:r>
      <w:r w:rsidR="00202B45" w:rsidRPr="008379CA">
        <w:rPr>
          <w:rFonts w:ascii="Bookman Old Style" w:hAnsi="Bookman Old Style" w:cs="Arial"/>
          <w:sz w:val="24"/>
          <w:szCs w:val="24"/>
          <w:lang w:val="sv-FI"/>
        </w:rPr>
        <w:t>dalam</w:t>
      </w:r>
      <w:r w:rsidR="00A954D0" w:rsidRPr="008379CA">
        <w:rPr>
          <w:rFonts w:ascii="Bookman Old Style" w:hAnsi="Bookman Old Style" w:cs="Arial"/>
          <w:sz w:val="24"/>
          <w:szCs w:val="24"/>
          <w:lang w:val="sv-FI"/>
        </w:rPr>
        <w:t xml:space="preserve"> </w:t>
      </w:r>
      <w:r w:rsidR="00202B45" w:rsidRPr="008379CA">
        <w:rPr>
          <w:rFonts w:ascii="Bookman Old Style" w:hAnsi="Bookman Old Style" w:cs="Arial"/>
          <w:sz w:val="24"/>
          <w:szCs w:val="24"/>
          <w:lang w:val="sv-FI"/>
        </w:rPr>
        <w:t>daerah</w:t>
      </w:r>
      <w:r w:rsidR="00A954D0" w:rsidRPr="008379CA">
        <w:rPr>
          <w:rFonts w:ascii="Bookman Old Style" w:hAnsi="Bookman Old Style" w:cs="Arial"/>
          <w:sz w:val="24"/>
          <w:szCs w:val="24"/>
          <w:lang w:val="sv-FI"/>
        </w:rPr>
        <w:t xml:space="preserve"> </w:t>
      </w:r>
      <w:r w:rsidR="00172E1C" w:rsidRPr="008379CA">
        <w:rPr>
          <w:rFonts w:ascii="Bookman Old Style" w:hAnsi="Bookman Old Style" w:cs="Arial"/>
          <w:sz w:val="24"/>
          <w:szCs w:val="24"/>
          <w:lang w:val="sv-FI"/>
        </w:rPr>
        <w:t>Kabupaten/Kota</w:t>
      </w:r>
      <w:r w:rsidR="00A954D0" w:rsidRPr="008379CA">
        <w:rPr>
          <w:rFonts w:ascii="Bookman Old Style" w:hAnsi="Bookman Old Style" w:cs="Arial"/>
          <w:sz w:val="24"/>
          <w:szCs w:val="24"/>
          <w:lang w:val="sv-FI"/>
        </w:rPr>
        <w:t xml:space="preserve"> </w:t>
      </w:r>
      <w:r w:rsidR="00202B45" w:rsidRPr="008379CA">
        <w:rPr>
          <w:rFonts w:ascii="Bookman Old Style" w:hAnsi="Bookman Old Style" w:cs="Arial"/>
          <w:sz w:val="24"/>
          <w:szCs w:val="24"/>
          <w:lang w:val="sv-FI"/>
        </w:rPr>
        <w:t>yang</w:t>
      </w:r>
      <w:r w:rsidR="00A954D0" w:rsidRPr="008379CA">
        <w:rPr>
          <w:rFonts w:ascii="Bookman Old Style" w:hAnsi="Bookman Old Style" w:cs="Arial"/>
          <w:sz w:val="24"/>
          <w:szCs w:val="24"/>
          <w:lang w:val="sv-FI"/>
        </w:rPr>
        <w:t xml:space="preserve"> </w:t>
      </w:r>
      <w:r w:rsidR="00202B45" w:rsidRPr="008379CA">
        <w:rPr>
          <w:rFonts w:ascii="Bookman Old Style" w:hAnsi="Bookman Old Style" w:cs="Arial"/>
          <w:sz w:val="24"/>
          <w:szCs w:val="24"/>
          <w:lang w:val="sv-FI"/>
        </w:rPr>
        <w:t>berdampak</w:t>
      </w:r>
      <w:r w:rsidR="00A954D0" w:rsidRPr="008379CA">
        <w:rPr>
          <w:rFonts w:ascii="Bookman Old Style" w:hAnsi="Bookman Old Style" w:cs="Arial"/>
          <w:sz w:val="24"/>
          <w:szCs w:val="24"/>
          <w:lang w:val="sv-FI"/>
        </w:rPr>
        <w:t xml:space="preserve"> </w:t>
      </w:r>
      <w:r w:rsidR="00202B45" w:rsidRPr="008379CA">
        <w:rPr>
          <w:rFonts w:ascii="Bookman Old Style" w:hAnsi="Bookman Old Style" w:cs="Arial"/>
          <w:sz w:val="24"/>
          <w:szCs w:val="24"/>
          <w:lang w:val="sv-FI"/>
        </w:rPr>
        <w:t>terhadap</w:t>
      </w:r>
      <w:r w:rsidR="00A954D0" w:rsidRPr="008379CA">
        <w:rPr>
          <w:rFonts w:ascii="Bookman Old Style" w:hAnsi="Bookman Old Style" w:cs="Arial"/>
          <w:sz w:val="24"/>
          <w:szCs w:val="24"/>
          <w:lang w:val="sv-FI"/>
        </w:rPr>
        <w:t xml:space="preserve"> </w:t>
      </w:r>
      <w:r w:rsidR="00202B45" w:rsidRPr="008379CA">
        <w:rPr>
          <w:rFonts w:ascii="Bookman Old Style" w:hAnsi="Bookman Old Style" w:cs="Arial"/>
          <w:sz w:val="24"/>
          <w:szCs w:val="24"/>
          <w:lang w:val="sv-FI"/>
        </w:rPr>
        <w:t>kualitas</w:t>
      </w:r>
      <w:r w:rsidR="00A954D0" w:rsidRPr="008379CA">
        <w:rPr>
          <w:rFonts w:ascii="Bookman Old Style" w:hAnsi="Bookman Old Style" w:cs="Arial"/>
          <w:sz w:val="24"/>
          <w:szCs w:val="24"/>
          <w:lang w:val="sv-FI"/>
        </w:rPr>
        <w:t xml:space="preserve"> </w:t>
      </w:r>
      <w:r w:rsidR="00202B45" w:rsidRPr="008379CA">
        <w:rPr>
          <w:rFonts w:ascii="Bookman Old Style" w:hAnsi="Bookman Old Style" w:cs="Arial"/>
          <w:sz w:val="24"/>
          <w:szCs w:val="24"/>
          <w:lang w:val="sv-FI"/>
        </w:rPr>
        <w:t>dan</w:t>
      </w:r>
      <w:r w:rsidR="00A954D0" w:rsidRPr="008379CA">
        <w:rPr>
          <w:rFonts w:ascii="Bookman Old Style" w:hAnsi="Bookman Old Style" w:cs="Arial"/>
          <w:sz w:val="24"/>
          <w:szCs w:val="24"/>
          <w:lang w:val="sv-FI"/>
        </w:rPr>
        <w:t xml:space="preserve"> </w:t>
      </w:r>
      <w:r w:rsidR="00202B45" w:rsidRPr="008379CA">
        <w:rPr>
          <w:rFonts w:ascii="Bookman Old Style" w:hAnsi="Bookman Old Style" w:cs="Arial"/>
          <w:sz w:val="24"/>
          <w:szCs w:val="24"/>
          <w:lang w:val="sv-FI"/>
        </w:rPr>
        <w:t>kuantitas</w:t>
      </w:r>
      <w:r w:rsidR="00A954D0" w:rsidRPr="008379CA">
        <w:rPr>
          <w:rFonts w:ascii="Bookman Old Style" w:hAnsi="Bookman Old Style" w:cs="Arial"/>
          <w:sz w:val="24"/>
          <w:szCs w:val="24"/>
          <w:lang w:val="sv-FI"/>
        </w:rPr>
        <w:t xml:space="preserve"> </w:t>
      </w:r>
      <w:r w:rsidR="00202B45" w:rsidRPr="008379CA">
        <w:rPr>
          <w:rFonts w:ascii="Bookman Old Style" w:hAnsi="Bookman Old Style" w:cs="Arial"/>
          <w:sz w:val="24"/>
          <w:szCs w:val="24"/>
          <w:lang w:val="sv-FI"/>
        </w:rPr>
        <w:t>air</w:t>
      </w:r>
      <w:r w:rsidR="00A954D0" w:rsidRPr="008379CA">
        <w:rPr>
          <w:rFonts w:ascii="Bookman Old Style" w:hAnsi="Bookman Old Style" w:cs="Arial"/>
          <w:sz w:val="24"/>
          <w:szCs w:val="24"/>
          <w:lang w:val="sv-FI"/>
        </w:rPr>
        <w:t xml:space="preserve"> </w:t>
      </w:r>
      <w:r w:rsidR="00202B45" w:rsidRPr="008379CA">
        <w:rPr>
          <w:rFonts w:ascii="Bookman Old Style" w:hAnsi="Bookman Old Style" w:cs="Arial"/>
          <w:sz w:val="24"/>
          <w:szCs w:val="24"/>
          <w:lang w:val="sv-FI"/>
        </w:rPr>
        <w:t>tanah,</w:t>
      </w:r>
      <w:r w:rsidR="00A954D0" w:rsidRPr="008379CA">
        <w:rPr>
          <w:rFonts w:ascii="Bookman Old Style" w:hAnsi="Bookman Old Style" w:cs="Arial"/>
          <w:sz w:val="24"/>
          <w:szCs w:val="24"/>
          <w:lang w:val="sv-FI"/>
        </w:rPr>
        <w:t xml:space="preserve"> </w:t>
      </w:r>
      <w:r w:rsidR="00202B45" w:rsidRPr="008379CA">
        <w:rPr>
          <w:rFonts w:ascii="Bookman Old Style" w:hAnsi="Bookman Old Style" w:cs="Arial"/>
          <w:sz w:val="24"/>
          <w:szCs w:val="24"/>
          <w:lang w:val="sv-FI"/>
        </w:rPr>
        <w:t>meliputi:</w:t>
      </w:r>
      <w:r w:rsidR="00A954D0" w:rsidRPr="008379CA">
        <w:rPr>
          <w:rFonts w:ascii="Bookman Old Style" w:hAnsi="Bookman Old Style" w:cs="Arial"/>
          <w:sz w:val="24"/>
          <w:szCs w:val="24"/>
          <w:lang w:val="sv-FI"/>
        </w:rPr>
        <w:t xml:space="preserve"> </w:t>
      </w:r>
    </w:p>
    <w:p w14:paraId="68443A3A" w14:textId="43AF6D4A" w:rsidR="00202B45" w:rsidRPr="008379CA" w:rsidRDefault="00202B45" w:rsidP="00476877">
      <w:pPr>
        <w:pStyle w:val="ListParagraph"/>
        <w:numPr>
          <w:ilvl w:val="0"/>
          <w:numId w:val="198"/>
        </w:numPr>
        <w:spacing w:before="60" w:after="0" w:line="276" w:lineRule="auto"/>
        <w:ind w:left="2268" w:hanging="567"/>
        <w:contextualSpacing w:val="0"/>
        <w:jc w:val="both"/>
        <w:rPr>
          <w:rFonts w:ascii="Bookman Old Style" w:hAnsi="Bookman Old Style"/>
          <w:sz w:val="24"/>
          <w:szCs w:val="24"/>
          <w:lang w:val="sv-FI"/>
        </w:rPr>
      </w:pPr>
      <w:r w:rsidRPr="008379CA">
        <w:rPr>
          <w:rFonts w:ascii="Bookman Old Style" w:hAnsi="Bookman Old Style"/>
          <w:sz w:val="24"/>
          <w:szCs w:val="24"/>
          <w:lang w:val="sv-FI"/>
        </w:rPr>
        <w:t>penanaman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pohon;</w:t>
      </w:r>
      <w:r w:rsidR="00A954D0" w:rsidRPr="008379CA">
        <w:rPr>
          <w:rFonts w:ascii="Bookman Old Style" w:hAnsi="Bookman Old Style"/>
          <w:sz w:val="24"/>
          <w:szCs w:val="24"/>
          <w:lang w:val="sv-FI"/>
        </w:rPr>
        <w:t xml:space="preserve"> </w:t>
      </w:r>
    </w:p>
    <w:p w14:paraId="1C7AA0E2" w14:textId="3F2EFBC4" w:rsidR="00202B45" w:rsidRPr="008379CA" w:rsidRDefault="00202B45" w:rsidP="00476877">
      <w:pPr>
        <w:pStyle w:val="ListParagraph"/>
        <w:numPr>
          <w:ilvl w:val="0"/>
          <w:numId w:val="198"/>
        </w:numPr>
        <w:spacing w:before="60" w:after="0" w:line="276" w:lineRule="auto"/>
        <w:ind w:left="2268" w:hanging="567"/>
        <w:contextualSpacing w:val="0"/>
        <w:jc w:val="both"/>
        <w:rPr>
          <w:rFonts w:ascii="Bookman Old Style" w:hAnsi="Bookman Old Style"/>
          <w:sz w:val="24"/>
          <w:szCs w:val="24"/>
          <w:lang w:val="sv-FI"/>
        </w:rPr>
      </w:pPr>
      <w:r w:rsidRPr="008379CA">
        <w:rPr>
          <w:rFonts w:ascii="Bookman Old Style" w:hAnsi="Bookman Old Style"/>
          <w:sz w:val="24"/>
          <w:szCs w:val="24"/>
          <w:lang w:val="sv-FI"/>
        </w:rPr>
        <w:t>pembuatan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lubang</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atau</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sumur</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resapan;</w:t>
      </w:r>
      <w:r w:rsidR="00A954D0" w:rsidRPr="008379CA">
        <w:rPr>
          <w:rFonts w:ascii="Bookman Old Style" w:hAnsi="Bookman Old Style"/>
          <w:sz w:val="24"/>
          <w:szCs w:val="24"/>
          <w:lang w:val="sv-FI"/>
        </w:rPr>
        <w:t xml:space="preserve"> </w:t>
      </w:r>
    </w:p>
    <w:p w14:paraId="277AC177" w14:textId="33369286" w:rsidR="00202B45" w:rsidRPr="008379CA" w:rsidRDefault="00202B45" w:rsidP="00476877">
      <w:pPr>
        <w:pStyle w:val="ListParagraph"/>
        <w:numPr>
          <w:ilvl w:val="0"/>
          <w:numId w:val="198"/>
        </w:numPr>
        <w:spacing w:before="60" w:after="0" w:line="276" w:lineRule="auto"/>
        <w:ind w:left="2268" w:hanging="567"/>
        <w:contextualSpacing w:val="0"/>
        <w:jc w:val="both"/>
        <w:rPr>
          <w:rFonts w:ascii="Bookman Old Style" w:hAnsi="Bookman Old Style"/>
          <w:sz w:val="24"/>
          <w:szCs w:val="24"/>
          <w:lang w:val="sv-FI"/>
        </w:rPr>
      </w:pPr>
      <w:r w:rsidRPr="008379CA">
        <w:rPr>
          <w:rFonts w:ascii="Bookman Old Style" w:hAnsi="Bookman Old Style"/>
          <w:sz w:val="24"/>
          <w:szCs w:val="24"/>
          <w:lang w:val="sv-FI"/>
        </w:rPr>
        <w:t>pelestarian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hutan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atau</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pepohonan;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dan</w:t>
      </w:r>
      <w:r w:rsidR="00A954D0" w:rsidRPr="008379CA">
        <w:rPr>
          <w:rFonts w:ascii="Bookman Old Style" w:hAnsi="Bookman Old Style"/>
          <w:sz w:val="24"/>
          <w:szCs w:val="24"/>
          <w:lang w:val="sv-FI"/>
        </w:rPr>
        <w:t xml:space="preserve"> </w:t>
      </w:r>
    </w:p>
    <w:p w14:paraId="2B5CB106" w14:textId="5A9228D3" w:rsidR="00202B45" w:rsidRPr="008379CA" w:rsidRDefault="00202B45" w:rsidP="00476877">
      <w:pPr>
        <w:pStyle w:val="ListParagraph"/>
        <w:numPr>
          <w:ilvl w:val="0"/>
          <w:numId w:val="198"/>
        </w:numPr>
        <w:spacing w:before="60" w:after="0" w:line="276" w:lineRule="auto"/>
        <w:ind w:left="2268" w:hanging="567"/>
        <w:contextualSpacing w:val="0"/>
        <w:jc w:val="both"/>
        <w:rPr>
          <w:rFonts w:ascii="Bookman Old Style" w:hAnsi="Bookman Old Style" w:cs="Arial"/>
          <w:sz w:val="24"/>
          <w:szCs w:val="24"/>
          <w:lang w:val="en-US"/>
        </w:rPr>
      </w:pPr>
      <w:r w:rsidRPr="008379CA">
        <w:rPr>
          <w:rFonts w:ascii="Bookman Old Style" w:hAnsi="Bookman Old Style"/>
          <w:sz w:val="24"/>
          <w:szCs w:val="24"/>
          <w:lang w:val="sv-FI"/>
        </w:rPr>
        <w:t>pengelolaan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limbah</w:t>
      </w:r>
      <w:r w:rsidR="00476877" w:rsidRPr="008379CA">
        <w:rPr>
          <w:rFonts w:ascii="Bookman Old Style" w:hAnsi="Bookman Old Style" w:cs="Arial"/>
          <w:sz w:val="24"/>
          <w:szCs w:val="24"/>
          <w:lang w:val="en-ID"/>
        </w:rPr>
        <w:t>.</w:t>
      </w:r>
      <w:r w:rsidR="00A954D0" w:rsidRPr="008379CA">
        <w:rPr>
          <w:rFonts w:ascii="Bookman Old Style" w:hAnsi="Bookman Old Style" w:cs="Arial"/>
          <w:sz w:val="24"/>
          <w:szCs w:val="24"/>
          <w:lang w:val="en-US"/>
        </w:rPr>
        <w:t xml:space="preserve"> </w:t>
      </w:r>
    </w:p>
    <w:p w14:paraId="1DFFEEE6" w14:textId="56BDDF01" w:rsidR="00202B45" w:rsidRPr="008379CA" w:rsidRDefault="00476877" w:rsidP="00476877">
      <w:pPr>
        <w:pStyle w:val="ListParagraph"/>
        <w:spacing w:before="60" w:after="0" w:line="276" w:lineRule="auto"/>
        <w:ind w:left="1701"/>
        <w:contextualSpacing w:val="0"/>
        <w:jc w:val="both"/>
        <w:rPr>
          <w:rFonts w:ascii="Bookman Old Style" w:hAnsi="Bookman Old Style"/>
          <w:sz w:val="24"/>
          <w:szCs w:val="24"/>
        </w:rPr>
      </w:pPr>
      <w:r w:rsidRPr="008379CA">
        <w:rPr>
          <w:rFonts w:ascii="Bookman Old Style" w:hAnsi="Bookman Old Style" w:cs="Arial"/>
          <w:sz w:val="24"/>
          <w:szCs w:val="24"/>
          <w:lang w:val="sv-FI"/>
        </w:rPr>
        <w:t>S</w:t>
      </w:r>
      <w:r w:rsidR="00202B45" w:rsidRPr="008379CA">
        <w:rPr>
          <w:rFonts w:ascii="Bookman Old Style" w:hAnsi="Bookman Old Style" w:cs="Arial"/>
          <w:sz w:val="24"/>
          <w:szCs w:val="24"/>
          <w:lang w:val="sv-FI"/>
        </w:rPr>
        <w:t>ebagaimana</w:t>
      </w:r>
      <w:r w:rsidR="00A954D0" w:rsidRPr="008379CA">
        <w:rPr>
          <w:rFonts w:ascii="Bookman Old Style" w:hAnsi="Bookman Old Style" w:cs="Arial"/>
          <w:sz w:val="24"/>
          <w:szCs w:val="24"/>
          <w:lang w:val="sv-FI"/>
        </w:rPr>
        <w:t xml:space="preserve"> </w:t>
      </w:r>
      <w:r w:rsidR="00202B45" w:rsidRPr="008379CA">
        <w:rPr>
          <w:rFonts w:ascii="Bookman Old Style" w:hAnsi="Bookman Old Style" w:cs="Arial"/>
          <w:sz w:val="24"/>
          <w:szCs w:val="24"/>
          <w:lang w:val="sv-FI"/>
        </w:rPr>
        <w:t>maksud</w:t>
      </w:r>
      <w:r w:rsidR="00A954D0" w:rsidRPr="008379CA">
        <w:rPr>
          <w:rFonts w:ascii="Bookman Old Style" w:hAnsi="Bookman Old Style" w:cs="Arial"/>
          <w:sz w:val="24"/>
          <w:szCs w:val="24"/>
          <w:lang w:val="sv-FI"/>
        </w:rPr>
        <w:t xml:space="preserve"> </w:t>
      </w:r>
      <w:r w:rsidR="00202B45" w:rsidRPr="008379CA">
        <w:rPr>
          <w:rFonts w:ascii="Bookman Old Style" w:hAnsi="Bookman Old Style" w:cs="Arial"/>
          <w:sz w:val="24"/>
          <w:szCs w:val="24"/>
          <w:lang w:val="sv-FI"/>
        </w:rPr>
        <w:t>butir</w:t>
      </w:r>
      <w:r w:rsidR="00A954D0" w:rsidRPr="008379CA">
        <w:rPr>
          <w:rFonts w:ascii="Bookman Old Style" w:hAnsi="Bookman Old Style" w:cs="Arial"/>
          <w:sz w:val="24"/>
          <w:szCs w:val="24"/>
          <w:lang w:val="sv-FI"/>
        </w:rPr>
        <w:t xml:space="preserve"> </w:t>
      </w:r>
      <w:r w:rsidR="00202B45" w:rsidRPr="008379CA">
        <w:rPr>
          <w:rFonts w:ascii="Bookman Old Style" w:hAnsi="Bookman Old Style" w:cs="Arial"/>
          <w:sz w:val="24"/>
          <w:szCs w:val="24"/>
          <w:lang w:val="sv-FI"/>
        </w:rPr>
        <w:t>3.3.1.1.2.d</w:t>
      </w:r>
      <w:r w:rsidR="00A954D0" w:rsidRPr="008379CA">
        <w:rPr>
          <w:rFonts w:ascii="Bookman Old Style" w:hAnsi="Bookman Old Style" w:cs="Arial"/>
          <w:sz w:val="24"/>
          <w:szCs w:val="24"/>
          <w:lang w:val="sv-FI"/>
        </w:rPr>
        <w:t xml:space="preserve"> </w:t>
      </w:r>
      <w:r w:rsidR="00202B45" w:rsidRPr="008379CA">
        <w:rPr>
          <w:rFonts w:ascii="Bookman Old Style" w:hAnsi="Bookman Old Style" w:cs="Arial"/>
          <w:sz w:val="24"/>
          <w:szCs w:val="24"/>
          <w:lang w:val="sv-FI"/>
        </w:rPr>
        <w:t>dan</w:t>
      </w:r>
      <w:r w:rsidR="00A954D0" w:rsidRPr="008379CA">
        <w:rPr>
          <w:rFonts w:ascii="Bookman Old Style" w:hAnsi="Bookman Old Style" w:cs="Arial"/>
          <w:sz w:val="24"/>
          <w:szCs w:val="24"/>
          <w:lang w:val="sv-FI"/>
        </w:rPr>
        <w:t xml:space="preserve"> </w:t>
      </w:r>
      <w:r w:rsidR="00202B45" w:rsidRPr="008379CA">
        <w:rPr>
          <w:rFonts w:ascii="Bookman Old Style" w:hAnsi="Bookman Old Style" w:cs="Arial"/>
          <w:sz w:val="24"/>
          <w:szCs w:val="24"/>
          <w:lang w:val="sv-FI"/>
        </w:rPr>
        <w:t>butir</w:t>
      </w:r>
      <w:r w:rsidR="00A954D0" w:rsidRPr="008379CA">
        <w:rPr>
          <w:rFonts w:ascii="Bookman Old Style" w:hAnsi="Bookman Old Style" w:cs="Arial"/>
          <w:sz w:val="24"/>
          <w:szCs w:val="24"/>
          <w:lang w:val="sv-FI"/>
        </w:rPr>
        <w:t xml:space="preserve"> </w:t>
      </w:r>
      <w:r w:rsidR="00202B45" w:rsidRPr="008379CA">
        <w:rPr>
          <w:rFonts w:ascii="Bookman Old Style" w:hAnsi="Bookman Old Style" w:cs="Arial"/>
          <w:sz w:val="24"/>
          <w:szCs w:val="24"/>
          <w:lang w:val="sv-FI"/>
        </w:rPr>
        <w:t>5.1.1</w:t>
      </w:r>
      <w:r w:rsidR="00A954D0" w:rsidRPr="008379CA">
        <w:rPr>
          <w:rFonts w:ascii="Bookman Old Style" w:hAnsi="Bookman Old Style" w:cs="Arial"/>
          <w:sz w:val="24"/>
          <w:szCs w:val="24"/>
          <w:lang w:val="sv-FI"/>
        </w:rPr>
        <w:t xml:space="preserve"> </w:t>
      </w:r>
      <w:r w:rsidR="00202B45" w:rsidRPr="008379CA">
        <w:rPr>
          <w:rFonts w:ascii="Bookman Old Style" w:hAnsi="Bookman Old Style"/>
          <w:sz w:val="24"/>
          <w:szCs w:val="24"/>
        </w:rPr>
        <w:t>Lampiran</w:t>
      </w:r>
      <w:r w:rsidR="00A954D0" w:rsidRPr="008379CA">
        <w:rPr>
          <w:rFonts w:ascii="Bookman Old Style" w:hAnsi="Bookman Old Style"/>
          <w:sz w:val="24"/>
          <w:szCs w:val="24"/>
        </w:rPr>
        <w:t xml:space="preserve"> </w:t>
      </w:r>
      <w:r w:rsidR="00202B45" w:rsidRPr="008379CA">
        <w:rPr>
          <w:rFonts w:ascii="Bookman Old Style" w:hAnsi="Bookman Old Style"/>
          <w:sz w:val="24"/>
          <w:szCs w:val="24"/>
        </w:rPr>
        <w:t>Peraturan</w:t>
      </w:r>
      <w:r w:rsidR="00A954D0" w:rsidRPr="008379CA">
        <w:rPr>
          <w:rFonts w:ascii="Bookman Old Style" w:hAnsi="Bookman Old Style"/>
          <w:sz w:val="24"/>
          <w:szCs w:val="24"/>
        </w:rPr>
        <w:t xml:space="preserve"> </w:t>
      </w:r>
      <w:r w:rsidR="00202B45" w:rsidRPr="008379CA">
        <w:rPr>
          <w:rFonts w:ascii="Bookman Old Style" w:hAnsi="Bookman Old Style"/>
          <w:sz w:val="24"/>
          <w:szCs w:val="24"/>
        </w:rPr>
        <w:t>Menteri</w:t>
      </w:r>
      <w:r w:rsidR="00A954D0" w:rsidRPr="008379CA">
        <w:rPr>
          <w:rFonts w:ascii="Bookman Old Style" w:hAnsi="Bookman Old Style"/>
          <w:sz w:val="24"/>
          <w:szCs w:val="24"/>
        </w:rPr>
        <w:t xml:space="preserve"> </w:t>
      </w:r>
      <w:r w:rsidR="00202B45"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00202B45" w:rsidRPr="008379CA">
        <w:rPr>
          <w:rFonts w:ascii="Bookman Old Style" w:hAnsi="Bookman Old Style"/>
          <w:sz w:val="24"/>
          <w:szCs w:val="24"/>
        </w:rPr>
        <w:t>Negeri</w:t>
      </w:r>
      <w:r w:rsidR="00A954D0" w:rsidRPr="008379CA">
        <w:rPr>
          <w:rFonts w:ascii="Bookman Old Style" w:hAnsi="Bookman Old Style"/>
          <w:sz w:val="24"/>
          <w:szCs w:val="24"/>
        </w:rPr>
        <w:t xml:space="preserve"> </w:t>
      </w:r>
      <w:r w:rsidR="00202B45" w:rsidRPr="008379CA">
        <w:rPr>
          <w:rFonts w:ascii="Bookman Old Style" w:hAnsi="Bookman Old Style"/>
          <w:sz w:val="24"/>
          <w:szCs w:val="24"/>
        </w:rPr>
        <w:t>Nomor</w:t>
      </w:r>
      <w:r w:rsidR="00A954D0" w:rsidRPr="008379CA">
        <w:rPr>
          <w:rFonts w:ascii="Bookman Old Style" w:hAnsi="Bookman Old Style"/>
          <w:sz w:val="24"/>
          <w:szCs w:val="24"/>
        </w:rPr>
        <w:t xml:space="preserve"> </w:t>
      </w:r>
      <w:r w:rsidR="00202B45" w:rsidRPr="008379CA">
        <w:rPr>
          <w:rFonts w:ascii="Bookman Old Style" w:hAnsi="Bookman Old Style"/>
          <w:sz w:val="24"/>
          <w:szCs w:val="24"/>
          <w:lang w:val="sv-FI"/>
        </w:rPr>
        <w:t>15</w:t>
      </w:r>
      <w:r w:rsidR="00A954D0" w:rsidRPr="008379CA">
        <w:rPr>
          <w:rFonts w:ascii="Bookman Old Style" w:hAnsi="Bookman Old Style"/>
          <w:sz w:val="24"/>
          <w:szCs w:val="24"/>
        </w:rPr>
        <w:t xml:space="preserve"> </w:t>
      </w:r>
      <w:r w:rsidR="00202B45"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00202B45" w:rsidRPr="008379CA">
        <w:rPr>
          <w:rFonts w:ascii="Bookman Old Style" w:hAnsi="Bookman Old Style"/>
          <w:sz w:val="24"/>
          <w:szCs w:val="24"/>
        </w:rPr>
        <w:t>202</w:t>
      </w:r>
      <w:r w:rsidR="00202B45" w:rsidRPr="008379CA">
        <w:rPr>
          <w:rFonts w:ascii="Bookman Old Style" w:hAnsi="Bookman Old Style"/>
          <w:sz w:val="24"/>
          <w:szCs w:val="24"/>
          <w:lang w:val="sv-FI"/>
        </w:rPr>
        <w:t>4</w:t>
      </w:r>
      <w:r w:rsidR="00202B45" w:rsidRPr="008379CA">
        <w:rPr>
          <w:rFonts w:ascii="Bookman Old Style" w:hAnsi="Bookman Old Style"/>
          <w:sz w:val="24"/>
          <w:szCs w:val="24"/>
        </w:rPr>
        <w:t>.</w:t>
      </w:r>
    </w:p>
    <w:p w14:paraId="18BA24A1" w14:textId="45CF384D" w:rsidR="005732F9" w:rsidRPr="008379CA" w:rsidRDefault="005732F9" w:rsidP="00476877">
      <w:pPr>
        <w:pStyle w:val="ListParagraph"/>
        <w:spacing w:before="60" w:after="0" w:line="276" w:lineRule="auto"/>
        <w:ind w:left="1701"/>
        <w:contextualSpacing w:val="0"/>
        <w:jc w:val="both"/>
        <w:rPr>
          <w:rFonts w:ascii="Bookman Old Style" w:hAnsi="Bookman Old Style"/>
          <w:sz w:val="24"/>
          <w:szCs w:val="24"/>
        </w:rPr>
      </w:pPr>
      <w:r w:rsidRPr="008379CA">
        <w:rPr>
          <w:rFonts w:ascii="Bookman Old Style" w:hAnsi="Bookman Old Style" w:cs="Arial"/>
          <w:sz w:val="24"/>
          <w:szCs w:val="24"/>
          <w:lang w:val="en-ID"/>
        </w:rPr>
        <w:t>Dalam</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hal</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terdapat</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perubahan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kebijakan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terkait</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pemetaan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penganggaran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untuk</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pemenuhan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alokasi</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anggaran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Penggunaan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Hasil</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Penerimaan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Pajak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Air</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Tanah</w:t>
      </w:r>
      <w:r w:rsidRPr="008379CA">
        <w:rPr>
          <w:rFonts w:ascii="Bookman Old Style" w:hAnsi="Bookman Old Style" w:cs="Arial"/>
          <w:sz w:val="24"/>
          <w:szCs w:val="24"/>
          <w:lang w:val="en-ID"/>
        </w:rPr>
        <w:t>,</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Pemerintah</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Daerah</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rPr>
        <w:t>Kota</w:t>
      </w:r>
      <w:r w:rsidR="00A954D0" w:rsidRPr="008379CA">
        <w:rPr>
          <w:rFonts w:ascii="Bookman Old Style" w:hAnsi="Bookman Old Style" w:cs="Arial"/>
          <w:sz w:val="24"/>
          <w:szCs w:val="24"/>
        </w:rPr>
        <w:t xml:space="preserve"> </w:t>
      </w:r>
      <w:r w:rsidR="00770F22" w:rsidRPr="008379CA">
        <w:rPr>
          <w:rFonts w:ascii="Bookman Old Style" w:hAnsi="Bookman Old Style" w:cs="Arial"/>
          <w:sz w:val="24"/>
          <w:szCs w:val="24"/>
        </w:rPr>
        <w:t>Tangerang</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harus</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melakukan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penyesuaian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terhadap</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alokasi</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anggaran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rPr>
        <w:t>Penggunaan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Hasil</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Penerimaan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Pajak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Air</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Tanah</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dimaksud</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dengan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berpedoman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pada</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Peraturan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Menteri</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Dalam</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Negeri</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Nomor</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90</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Tahun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2019,</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Keputusan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Menteri</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Dalam</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Negeri</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Nomor</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050-5889</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Tahun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2021</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sebagaimana</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telah</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diubah</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beberapa</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kali</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terakhir</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dengan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Keputusan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Menteri</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Dalam</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Negeri</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Nomor</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900.1.15.5-3406</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Tahun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2024</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pemutakhirannya</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sesuai</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dengan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ketentuan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peraturan</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perundang</w:t>
      </w:r>
      <w:r w:rsidR="00A954D0" w:rsidRPr="008379CA">
        <w:rPr>
          <w:rFonts w:ascii="Bookman Old Style" w:hAnsi="Bookman Old Style" w:cs="Arial"/>
          <w:sz w:val="24"/>
          <w:szCs w:val="24"/>
          <w:lang w:val="en-ID"/>
        </w:rPr>
        <w:t xml:space="preserve"> </w:t>
      </w:r>
      <w:r w:rsidRPr="008379CA">
        <w:rPr>
          <w:rFonts w:ascii="Bookman Old Style" w:hAnsi="Bookman Old Style" w:cs="Arial"/>
          <w:sz w:val="24"/>
          <w:szCs w:val="24"/>
          <w:lang w:val="en-ID"/>
        </w:rPr>
        <w:t>undangan.</w:t>
      </w:r>
    </w:p>
    <w:p w14:paraId="6A31D171" w14:textId="772ADA85" w:rsidR="00420A08" w:rsidRPr="008379CA" w:rsidRDefault="00420A08">
      <w:pPr>
        <w:pStyle w:val="ListParagraph"/>
        <w:numPr>
          <w:ilvl w:val="0"/>
          <w:numId w:val="96"/>
        </w:numPr>
        <w:spacing w:before="120" w:after="0" w:line="276" w:lineRule="auto"/>
        <w:ind w:left="993" w:hanging="426"/>
        <w:contextualSpacing w:val="0"/>
        <w:jc w:val="both"/>
        <w:rPr>
          <w:rFonts w:ascii="Bookman Old Style" w:hAnsi="Bookman Old Style" w:cs="Arial"/>
          <w:bCs/>
          <w:sz w:val="24"/>
          <w:szCs w:val="24"/>
          <w:lang w:val="sv-FI"/>
        </w:rPr>
      </w:pPr>
      <w:r w:rsidRPr="008379CA">
        <w:rPr>
          <w:rFonts w:ascii="Bookman Old Style" w:hAnsi="Bookman Old Style" w:cs="Arial"/>
          <w:sz w:val="24"/>
          <w:szCs w:val="24"/>
          <w:lang w:val="sv-FI"/>
        </w:rPr>
        <w:t>P</w:t>
      </w:r>
      <w:r w:rsidRPr="008379CA">
        <w:rPr>
          <w:rFonts w:ascii="Bookman Old Style" w:hAnsi="Bookman Old Style" w:cs="Arial"/>
          <w:sz w:val="24"/>
          <w:szCs w:val="24"/>
          <w:lang w:val="id-ID"/>
        </w:rPr>
        <w:t>endanaan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pelaksanaan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Urusan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Pemerintahan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Wajib</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terkait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Pelayanan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sv-FI"/>
        </w:rPr>
        <w:t>Dasar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dalam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rangka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pemenuhan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fi-FI"/>
        </w:rPr>
        <w:t>SPM</w:t>
      </w:r>
      <w:r w:rsidR="00A954D0" w:rsidRPr="008379CA">
        <w:rPr>
          <w:rFonts w:ascii="Bookman Old Style" w:hAnsi="Bookman Old Style" w:cs="Arial"/>
          <w:sz w:val="24"/>
          <w:szCs w:val="24"/>
          <w:lang w:val="fi-FI"/>
        </w:rPr>
        <w:t xml:space="preserve"> </w:t>
      </w:r>
    </w:p>
    <w:p w14:paraId="55C8E4DA" w14:textId="7691A33F" w:rsidR="00127869" w:rsidRPr="008379CA" w:rsidRDefault="00127869" w:rsidP="00727324">
      <w:pPr>
        <w:spacing w:before="60" w:line="276" w:lineRule="auto"/>
        <w:ind w:left="993"/>
        <w:jc w:val="both"/>
        <w:rPr>
          <w:rFonts w:ascii="Bookman Old Style" w:hAnsi="Bookman Old Style"/>
          <w:lang w:val="id-ID"/>
        </w:rPr>
      </w:pPr>
      <w:r w:rsidRPr="008379CA">
        <w:rPr>
          <w:rFonts w:ascii="Bookman Old Style" w:hAnsi="Bookman Old Style" w:cs="Arial"/>
          <w:lang w:val="sv-FI"/>
        </w:rPr>
        <w:t>Penyediaan</w:t>
      </w:r>
      <w:r w:rsidR="00A954D0" w:rsidRPr="008379CA">
        <w:rPr>
          <w:rFonts w:ascii="Bookman Old Style" w:hAnsi="Bookman Old Style"/>
          <w:lang w:val="sv-FI"/>
        </w:rPr>
        <w:t xml:space="preserve"> </w:t>
      </w:r>
      <w:r w:rsidRPr="008379CA">
        <w:rPr>
          <w:rFonts w:ascii="Bookman Old Style" w:hAnsi="Bookman Old Style"/>
          <w:lang w:val="sv-FI"/>
        </w:rPr>
        <w:t>alokasi</w:t>
      </w:r>
      <w:r w:rsidR="00A954D0" w:rsidRPr="008379CA">
        <w:rPr>
          <w:rFonts w:ascii="Bookman Old Style" w:hAnsi="Bookman Old Style"/>
          <w:lang w:val="sv-FI"/>
        </w:rPr>
        <w:t xml:space="preserve"> </w:t>
      </w:r>
      <w:r w:rsidRPr="008379CA">
        <w:rPr>
          <w:rFonts w:ascii="Bookman Old Style" w:hAnsi="Bookman Old Style"/>
          <w:lang w:val="sv-FI"/>
        </w:rPr>
        <w:t>anggaran</w:t>
      </w:r>
      <w:r w:rsidR="00A954D0" w:rsidRPr="008379CA">
        <w:rPr>
          <w:rFonts w:ascii="Bookman Old Style" w:hAnsi="Bookman Old Style"/>
          <w:lang w:val="sv-FI"/>
        </w:rPr>
        <w:t xml:space="preserve"> </w:t>
      </w:r>
      <w:r w:rsidRPr="008379CA">
        <w:rPr>
          <w:rFonts w:ascii="Bookman Old Style" w:hAnsi="Bookman Old Style"/>
          <w:lang w:val="id-ID"/>
        </w:rPr>
        <w:t>dalam</w:t>
      </w:r>
      <w:r w:rsidR="00A954D0" w:rsidRPr="008379CA">
        <w:rPr>
          <w:rFonts w:ascii="Bookman Old Style" w:hAnsi="Bookman Old Style"/>
          <w:lang w:val="id-ID"/>
        </w:rPr>
        <w:t xml:space="preserve"> </w:t>
      </w:r>
      <w:r w:rsidR="00B635D5" w:rsidRPr="008379CA">
        <w:rPr>
          <w:rFonts w:ascii="Bookman Old Style" w:hAnsi="Bookman Old Style"/>
          <w:lang w:val="id-ID"/>
        </w:rPr>
        <w:t>Rancangan</w:t>
      </w:r>
      <w:r w:rsidR="00A954D0" w:rsidRPr="008379CA">
        <w:rPr>
          <w:rFonts w:ascii="Bookman Old Style" w:hAnsi="Bookman Old Style"/>
          <w:lang w:val="id-ID"/>
        </w:rPr>
        <w:t xml:space="preserve"> </w:t>
      </w:r>
      <w:r w:rsidR="00B635D5" w:rsidRPr="008379CA">
        <w:rPr>
          <w:rFonts w:ascii="Bookman Old Style" w:hAnsi="Bookman Old Style"/>
          <w:lang w:val="id-ID"/>
        </w:rPr>
        <w:t>Peraturan</w:t>
      </w:r>
      <w:r w:rsidR="00A954D0" w:rsidRPr="008379CA">
        <w:rPr>
          <w:rFonts w:ascii="Bookman Old Style" w:hAnsi="Bookman Old Style"/>
          <w:lang w:val="id-ID"/>
        </w:rPr>
        <w:t xml:space="preserve"> </w:t>
      </w:r>
      <w:r w:rsidR="00B635D5" w:rsidRPr="008379CA">
        <w:rPr>
          <w:rFonts w:ascii="Bookman Old Style" w:hAnsi="Bookman Old Style"/>
          <w:lang w:val="id-ID"/>
        </w:rPr>
        <w:t>Daerah</w:t>
      </w:r>
      <w:r w:rsidR="00A954D0" w:rsidRPr="008379CA">
        <w:rPr>
          <w:rFonts w:ascii="Bookman Old Style" w:hAnsi="Bookman Old Style"/>
          <w:lang w:val="id-ID"/>
        </w:rPr>
        <w:t xml:space="preserve"> </w:t>
      </w:r>
      <w:r w:rsidR="00B635D5" w:rsidRPr="008379CA">
        <w:rPr>
          <w:rFonts w:ascii="Bookman Old Style" w:hAnsi="Bookman Old Style"/>
          <w:lang w:val="id-ID"/>
        </w:rPr>
        <w:t>Kota</w:t>
      </w:r>
      <w:r w:rsidR="00A954D0" w:rsidRPr="008379CA">
        <w:rPr>
          <w:rFonts w:ascii="Bookman Old Style" w:hAnsi="Bookman Old Style"/>
          <w:lang w:val="id-ID"/>
        </w:rPr>
        <w:t xml:space="preserve"> </w:t>
      </w:r>
      <w:r w:rsidR="00770F22" w:rsidRPr="008379CA">
        <w:rPr>
          <w:rFonts w:ascii="Bookman Old Style" w:hAnsi="Bookman Old Style"/>
          <w:lang w:val="id-ID"/>
        </w:rPr>
        <w:t>Tangerang</w:t>
      </w:r>
      <w:r w:rsidR="00A954D0" w:rsidRPr="008379CA">
        <w:rPr>
          <w:rFonts w:ascii="Bookman Old Style" w:hAnsi="Bookman Old Style"/>
          <w:lang w:val="id-ID"/>
        </w:rPr>
        <w:t xml:space="preserve"> </w:t>
      </w:r>
      <w:r w:rsidR="00B635D5" w:rsidRPr="008379CA">
        <w:rPr>
          <w:rFonts w:ascii="Bookman Old Style" w:hAnsi="Bookman Old Style"/>
          <w:lang w:val="id-ID"/>
        </w:rPr>
        <w:t>tentang</w:t>
      </w:r>
      <w:r w:rsidR="00A954D0" w:rsidRPr="008379CA">
        <w:rPr>
          <w:rFonts w:ascii="Bookman Old Style" w:hAnsi="Bookman Old Style"/>
          <w:lang w:val="id-ID"/>
        </w:rPr>
        <w:t xml:space="preserve"> </w:t>
      </w:r>
      <w:r w:rsidR="00B635D5" w:rsidRPr="008379CA">
        <w:rPr>
          <w:rFonts w:ascii="Bookman Old Style" w:hAnsi="Bookman Old Style"/>
          <w:lang w:val="id-ID"/>
        </w:rPr>
        <w:t>APBD</w:t>
      </w:r>
      <w:r w:rsidR="00A954D0" w:rsidRPr="008379CA">
        <w:rPr>
          <w:rFonts w:ascii="Bookman Old Style" w:hAnsi="Bookman Old Style"/>
          <w:lang w:val="id-ID"/>
        </w:rPr>
        <w:t xml:space="preserve"> </w:t>
      </w:r>
      <w:r w:rsidR="00B635D5" w:rsidRPr="008379CA">
        <w:rPr>
          <w:rFonts w:ascii="Bookman Old Style" w:hAnsi="Bookman Old Style"/>
          <w:lang w:val="id-ID"/>
        </w:rPr>
        <w:t>Tahun</w:t>
      </w:r>
      <w:r w:rsidR="00A954D0" w:rsidRPr="008379CA">
        <w:rPr>
          <w:rFonts w:ascii="Bookman Old Style" w:hAnsi="Bookman Old Style"/>
          <w:lang w:val="id-ID"/>
        </w:rPr>
        <w:t xml:space="preserve"> </w:t>
      </w:r>
      <w:r w:rsidR="00B635D5" w:rsidRPr="008379CA">
        <w:rPr>
          <w:rFonts w:ascii="Bookman Old Style" w:hAnsi="Bookman Old Style"/>
          <w:lang w:val="id-ID"/>
        </w:rPr>
        <w:t>Anggaran</w:t>
      </w:r>
      <w:r w:rsidR="00A954D0" w:rsidRPr="008379CA">
        <w:rPr>
          <w:rFonts w:ascii="Bookman Old Style" w:hAnsi="Bookman Old Style"/>
          <w:lang w:val="id-ID"/>
        </w:rPr>
        <w:t xml:space="preserve"> </w:t>
      </w:r>
      <w:r w:rsidR="00B635D5" w:rsidRPr="008379CA">
        <w:rPr>
          <w:rFonts w:ascii="Bookman Old Style" w:hAnsi="Bookman Old Style"/>
          <w:lang w:val="id-ID"/>
        </w:rPr>
        <w:t>2025</w:t>
      </w:r>
      <w:r w:rsidRPr="008379CA">
        <w:rPr>
          <w:rFonts w:ascii="Bookman Old Style" w:hAnsi="Bookman Old Style" w:cs="Arial"/>
          <w:lang w:val="id-ID"/>
        </w:rPr>
        <w:t>,</w:t>
      </w:r>
      <w:r w:rsidR="00A954D0" w:rsidRPr="008379CA">
        <w:rPr>
          <w:rFonts w:ascii="Bookman Old Style" w:hAnsi="Bookman Old Style" w:cs="Arial"/>
          <w:lang w:val="id-ID"/>
        </w:rPr>
        <w:t xml:space="preserve"> </w:t>
      </w:r>
      <w:r w:rsidRPr="008379CA">
        <w:rPr>
          <w:rFonts w:ascii="Bookman Old Style" w:hAnsi="Bookman Old Style" w:cs="Arial"/>
          <w:lang w:val="id-ID"/>
        </w:rPr>
        <w:t>untuk</w:t>
      </w:r>
      <w:r w:rsidR="00A954D0" w:rsidRPr="008379CA">
        <w:rPr>
          <w:rFonts w:ascii="Bookman Old Style" w:hAnsi="Bookman Old Style" w:cs="Arial"/>
          <w:lang w:val="id-ID"/>
        </w:rPr>
        <w:t xml:space="preserve"> </w:t>
      </w:r>
      <w:r w:rsidRPr="008379CA">
        <w:rPr>
          <w:rFonts w:ascii="Bookman Old Style" w:hAnsi="Bookman Old Style"/>
          <w:lang w:val="id-ID"/>
        </w:rPr>
        <w:t>pemenuhan</w:t>
      </w:r>
      <w:r w:rsidR="00A954D0" w:rsidRPr="008379CA">
        <w:rPr>
          <w:rFonts w:ascii="Bookman Old Style" w:hAnsi="Bookman Old Style"/>
          <w:lang w:val="id-ID"/>
        </w:rPr>
        <w:t xml:space="preserve"> </w:t>
      </w:r>
      <w:r w:rsidRPr="008379CA">
        <w:rPr>
          <w:rFonts w:ascii="Bookman Old Style" w:hAnsi="Bookman Old Style"/>
          <w:lang w:val="sv-FI"/>
        </w:rPr>
        <w:t>SPM</w:t>
      </w:r>
      <w:r w:rsidR="00A954D0" w:rsidRPr="008379CA">
        <w:rPr>
          <w:rFonts w:ascii="Bookman Old Style" w:hAnsi="Bookman Old Style"/>
          <w:lang w:val="sv-FI"/>
        </w:rPr>
        <w:t xml:space="preserve"> </w:t>
      </w:r>
      <w:r w:rsidR="00225C0D" w:rsidRPr="008379CA">
        <w:rPr>
          <w:rFonts w:ascii="Bookman Old Style" w:hAnsi="Bookman Old Style"/>
          <w:lang w:val="sv-SE"/>
        </w:rPr>
        <w:t>sebagaimana</w:t>
      </w:r>
      <w:r w:rsidR="00A954D0" w:rsidRPr="008379CA">
        <w:rPr>
          <w:rFonts w:ascii="Bookman Old Style" w:hAnsi="Bookman Old Style"/>
          <w:lang w:val="sv-SE"/>
        </w:rPr>
        <w:t xml:space="preserve"> </w:t>
      </w:r>
      <w:r w:rsidR="00225C0D" w:rsidRPr="008379CA">
        <w:rPr>
          <w:rFonts w:ascii="Bookman Old Style" w:hAnsi="Bookman Old Style"/>
          <w:lang w:val="sv-SE"/>
        </w:rPr>
        <w:t>diatur</w:t>
      </w:r>
      <w:r w:rsidR="00A954D0" w:rsidRPr="008379CA">
        <w:rPr>
          <w:rFonts w:ascii="Bookman Old Style" w:hAnsi="Bookman Old Style"/>
          <w:lang w:val="sv-SE"/>
        </w:rPr>
        <w:t xml:space="preserve"> </w:t>
      </w:r>
      <w:r w:rsidR="00225C0D" w:rsidRPr="008379CA">
        <w:rPr>
          <w:rFonts w:ascii="Bookman Old Style" w:hAnsi="Bookman Old Style"/>
          <w:lang w:val="sv-SE"/>
        </w:rPr>
        <w:t>dalam</w:t>
      </w:r>
      <w:r w:rsidR="00A954D0" w:rsidRPr="008379CA">
        <w:rPr>
          <w:rFonts w:ascii="Bookman Old Style" w:hAnsi="Bookman Old Style"/>
          <w:lang w:val="sv-SE"/>
        </w:rPr>
        <w:t xml:space="preserve"> </w:t>
      </w:r>
      <w:r w:rsidR="00225C0D" w:rsidRPr="008379CA">
        <w:rPr>
          <w:rFonts w:ascii="Bookman Old Style" w:hAnsi="Bookman Old Style"/>
          <w:lang w:val="sv-SE"/>
        </w:rPr>
        <w:t>Peraturan</w:t>
      </w:r>
      <w:r w:rsidR="00A954D0" w:rsidRPr="008379CA">
        <w:rPr>
          <w:rFonts w:ascii="Bookman Old Style" w:hAnsi="Bookman Old Style"/>
          <w:lang w:val="sv-SE"/>
        </w:rPr>
        <w:t xml:space="preserve"> </w:t>
      </w:r>
      <w:r w:rsidR="00225C0D" w:rsidRPr="008379CA">
        <w:rPr>
          <w:rFonts w:ascii="Bookman Old Style" w:hAnsi="Bookman Old Style"/>
          <w:lang w:val="sv-SE"/>
        </w:rPr>
        <w:t>Pemerintah</w:t>
      </w:r>
      <w:r w:rsidR="00A954D0" w:rsidRPr="008379CA">
        <w:rPr>
          <w:rFonts w:ascii="Bookman Old Style" w:hAnsi="Bookman Old Style"/>
          <w:lang w:val="sv-SE"/>
        </w:rPr>
        <w:t xml:space="preserve"> </w:t>
      </w:r>
      <w:r w:rsidR="00225C0D" w:rsidRPr="008379CA">
        <w:rPr>
          <w:rFonts w:ascii="Bookman Old Style" w:hAnsi="Bookman Old Style"/>
          <w:lang w:val="sv-SE"/>
        </w:rPr>
        <w:t>Nomor</w:t>
      </w:r>
      <w:r w:rsidR="00A954D0" w:rsidRPr="008379CA">
        <w:rPr>
          <w:rFonts w:ascii="Bookman Old Style" w:hAnsi="Bookman Old Style"/>
          <w:lang w:val="sv-SE"/>
        </w:rPr>
        <w:t xml:space="preserve"> </w:t>
      </w:r>
      <w:r w:rsidR="00225C0D" w:rsidRPr="008379CA">
        <w:rPr>
          <w:rFonts w:ascii="Bookman Old Style" w:hAnsi="Bookman Old Style"/>
          <w:lang w:val="sv-SE"/>
        </w:rPr>
        <w:t>2</w:t>
      </w:r>
      <w:r w:rsidR="00A954D0" w:rsidRPr="008379CA">
        <w:rPr>
          <w:rFonts w:ascii="Bookman Old Style" w:hAnsi="Bookman Old Style"/>
          <w:lang w:val="sv-SE"/>
        </w:rPr>
        <w:t xml:space="preserve"> </w:t>
      </w:r>
      <w:r w:rsidR="00225C0D" w:rsidRPr="008379CA">
        <w:rPr>
          <w:rFonts w:ascii="Bookman Old Style" w:hAnsi="Bookman Old Style"/>
          <w:lang w:val="sv-SE"/>
        </w:rPr>
        <w:t>Tahun</w:t>
      </w:r>
      <w:r w:rsidR="00A954D0" w:rsidRPr="008379CA">
        <w:rPr>
          <w:rFonts w:ascii="Bookman Old Style" w:hAnsi="Bookman Old Style"/>
          <w:lang w:val="sv-SE"/>
        </w:rPr>
        <w:t xml:space="preserve"> </w:t>
      </w:r>
      <w:r w:rsidR="00225C0D" w:rsidRPr="008379CA">
        <w:rPr>
          <w:rFonts w:ascii="Bookman Old Style" w:hAnsi="Bookman Old Style"/>
          <w:lang w:val="sv-SE"/>
        </w:rPr>
        <w:t>2018</w:t>
      </w:r>
      <w:r w:rsidR="00A954D0" w:rsidRPr="008379CA">
        <w:rPr>
          <w:rFonts w:ascii="Bookman Old Style" w:hAnsi="Bookman Old Style"/>
          <w:lang w:val="sv-SE"/>
        </w:rPr>
        <w:t xml:space="preserve"> </w:t>
      </w:r>
      <w:r w:rsidR="00225C0D" w:rsidRPr="008379CA">
        <w:rPr>
          <w:rFonts w:ascii="Bookman Old Style" w:hAnsi="Bookman Old Style"/>
          <w:lang w:val="sv-SE"/>
        </w:rPr>
        <w:t>tentang</w:t>
      </w:r>
      <w:r w:rsidR="00A954D0" w:rsidRPr="008379CA">
        <w:rPr>
          <w:rFonts w:ascii="Bookman Old Style" w:hAnsi="Bookman Old Style"/>
          <w:lang w:val="sv-SE"/>
        </w:rPr>
        <w:t xml:space="preserve"> </w:t>
      </w:r>
      <w:r w:rsidR="00225C0D" w:rsidRPr="008379CA">
        <w:rPr>
          <w:rFonts w:ascii="Bookman Old Style" w:hAnsi="Bookman Old Style"/>
          <w:lang w:val="sv-SE"/>
        </w:rPr>
        <w:t>Standar</w:t>
      </w:r>
      <w:r w:rsidR="00A954D0" w:rsidRPr="008379CA">
        <w:rPr>
          <w:rFonts w:ascii="Bookman Old Style" w:hAnsi="Bookman Old Style"/>
          <w:lang w:val="sv-SE"/>
        </w:rPr>
        <w:t xml:space="preserve"> </w:t>
      </w:r>
      <w:r w:rsidR="00225C0D" w:rsidRPr="008379CA">
        <w:rPr>
          <w:rFonts w:ascii="Bookman Old Style" w:hAnsi="Bookman Old Style"/>
          <w:lang w:val="sv-SE"/>
        </w:rPr>
        <w:t>Pelayanan</w:t>
      </w:r>
      <w:r w:rsidR="00A954D0" w:rsidRPr="008379CA">
        <w:rPr>
          <w:rFonts w:ascii="Bookman Old Style" w:hAnsi="Bookman Old Style"/>
          <w:lang w:val="sv-SE"/>
        </w:rPr>
        <w:t xml:space="preserve"> </w:t>
      </w:r>
      <w:r w:rsidR="00225C0D" w:rsidRPr="008379CA">
        <w:rPr>
          <w:rFonts w:ascii="Bookman Old Style" w:hAnsi="Bookman Old Style"/>
          <w:lang w:val="sv-SE"/>
        </w:rPr>
        <w:t>Minimal</w:t>
      </w:r>
      <w:r w:rsidRPr="008379CA">
        <w:rPr>
          <w:rFonts w:ascii="Bookman Old Style" w:hAnsi="Bookman Old Style"/>
          <w:lang w:val="id-ID"/>
        </w:rPr>
        <w:t>,</w:t>
      </w:r>
      <w:r w:rsidR="00A954D0" w:rsidRPr="008379CA">
        <w:rPr>
          <w:rFonts w:ascii="Bookman Old Style" w:hAnsi="Bookman Old Style"/>
          <w:lang w:val="id-ID"/>
        </w:rPr>
        <w:t xml:space="preserve"> </w:t>
      </w:r>
      <w:r w:rsidRPr="008379CA">
        <w:rPr>
          <w:rFonts w:ascii="Bookman Old Style" w:hAnsi="Bookman Old Style"/>
          <w:lang w:val="id-ID"/>
        </w:rPr>
        <w:t>sebagai</w:t>
      </w:r>
      <w:r w:rsidR="00A954D0" w:rsidRPr="008379CA">
        <w:rPr>
          <w:rFonts w:ascii="Bookman Old Style" w:hAnsi="Bookman Old Style"/>
          <w:lang w:val="id-ID"/>
        </w:rPr>
        <w:t xml:space="preserve"> </w:t>
      </w:r>
      <w:r w:rsidRPr="008379CA">
        <w:rPr>
          <w:rFonts w:ascii="Bookman Old Style" w:hAnsi="Bookman Old Style"/>
          <w:lang w:val="id-ID"/>
        </w:rPr>
        <w:t>berikut:</w:t>
      </w:r>
    </w:p>
    <w:p w14:paraId="2827E1FD" w14:textId="1A305C47" w:rsidR="00127869" w:rsidRPr="008379CA" w:rsidRDefault="00127869" w:rsidP="00CE715C">
      <w:pPr>
        <w:pStyle w:val="ListParagraph"/>
        <w:numPr>
          <w:ilvl w:val="6"/>
          <w:numId w:val="107"/>
        </w:numPr>
        <w:spacing w:before="120" w:after="0" w:line="276" w:lineRule="auto"/>
        <w:ind w:left="1276" w:hanging="284"/>
        <w:contextualSpacing w:val="0"/>
        <w:jc w:val="both"/>
        <w:rPr>
          <w:rFonts w:ascii="Bookman Old Style" w:hAnsi="Bookman Old Style" w:cs="Arial"/>
          <w:sz w:val="24"/>
          <w:szCs w:val="24"/>
        </w:rPr>
      </w:pPr>
      <w:r w:rsidRPr="008379CA">
        <w:rPr>
          <w:rFonts w:ascii="Bookman Old Style" w:hAnsi="Bookman Old Style" w:cs="Arial"/>
          <w:sz w:val="24"/>
          <w:szCs w:val="24"/>
        </w:rPr>
        <w:t>SPM</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Bidang</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Pendidikan</w:t>
      </w:r>
      <w:r w:rsidR="00A954D0" w:rsidRPr="008379CA">
        <w:rPr>
          <w:rFonts w:ascii="Bookman Old Style" w:hAnsi="Bookman Old Style" w:cs="Arial"/>
          <w:sz w:val="24"/>
          <w:szCs w:val="24"/>
        </w:rPr>
        <w:t xml:space="preserve"> </w:t>
      </w:r>
    </w:p>
    <w:p w14:paraId="224A4968" w14:textId="732DADAB" w:rsidR="00BB2062" w:rsidRPr="008379CA" w:rsidRDefault="00BB2062" w:rsidP="00CE715C">
      <w:pPr>
        <w:pStyle w:val="ListParagraph"/>
        <w:spacing w:before="60" w:after="0" w:line="276" w:lineRule="auto"/>
        <w:ind w:left="1276"/>
        <w:contextualSpacing w:val="0"/>
        <w:jc w:val="both"/>
        <w:rPr>
          <w:rFonts w:ascii="Bookman Old Style" w:hAnsi="Bookman Old Style"/>
          <w:sz w:val="24"/>
          <w:szCs w:val="24"/>
          <w:lang w:val="id-ID"/>
        </w:rPr>
      </w:pPr>
      <w:r w:rsidRPr="008379CA">
        <w:rPr>
          <w:rFonts w:ascii="Bookman Old Style" w:hAnsi="Bookman Old Style"/>
          <w:sz w:val="24"/>
          <w:szCs w:val="24"/>
        </w:rPr>
        <w:t>Alokasi</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untuk</w:t>
      </w:r>
      <w:r w:rsidR="00A954D0" w:rsidRPr="008379CA">
        <w:rPr>
          <w:rFonts w:ascii="Bookman Old Style" w:hAnsi="Bookman Old Style"/>
          <w:sz w:val="24"/>
          <w:szCs w:val="24"/>
        </w:rPr>
        <w:t xml:space="preserve"> </w:t>
      </w:r>
      <w:r w:rsidRPr="008379CA">
        <w:rPr>
          <w:rFonts w:ascii="Bookman Old Style" w:hAnsi="Bookman Old Style"/>
          <w:sz w:val="24"/>
          <w:szCs w:val="24"/>
        </w:rPr>
        <w:t>b</w:t>
      </w:r>
      <w:r w:rsidRPr="008379CA">
        <w:rPr>
          <w:rFonts w:ascii="Bookman Old Style" w:hAnsi="Bookman Old Style"/>
          <w:sz w:val="24"/>
          <w:szCs w:val="24"/>
          <w:lang w:val="id-ID"/>
        </w:rPr>
        <w:t>elanja</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SPM</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Pendidikan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Rp</w:t>
      </w:r>
      <w:r w:rsidRPr="008379CA">
        <w:rPr>
          <w:rFonts w:ascii="Bookman Old Style" w:hAnsi="Bookman Old Style"/>
          <w:sz w:val="24"/>
          <w:szCs w:val="24"/>
          <w:lang w:val="sv-FI"/>
        </w:rPr>
        <w:t>302.799.770.487,00</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atau</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sv-FI"/>
        </w:rPr>
        <w:t>21</w:t>
      </w:r>
      <w:r w:rsidR="00C23305" w:rsidRPr="008379CA">
        <w:rPr>
          <w:rFonts w:ascii="Bookman Old Style" w:hAnsi="Bookman Old Style"/>
          <w:sz w:val="24"/>
          <w:szCs w:val="24"/>
          <w:lang w:val="sv-FI"/>
        </w:rPr>
        <w:t>,</w:t>
      </w:r>
      <w:r w:rsidRPr="008379CA">
        <w:rPr>
          <w:rFonts w:ascii="Bookman Old Style" w:hAnsi="Bookman Old Style"/>
          <w:sz w:val="24"/>
          <w:szCs w:val="24"/>
          <w:lang w:val="sv-FI"/>
        </w:rPr>
        <w:t>0</w:t>
      </w:r>
      <w:r w:rsidR="00B75399" w:rsidRPr="008379CA">
        <w:rPr>
          <w:rFonts w:ascii="Bookman Old Style" w:hAnsi="Bookman Old Style"/>
          <w:sz w:val="24"/>
          <w:szCs w:val="24"/>
          <w:lang w:val="sv-FI"/>
        </w:rPr>
        <w:t>9</w:t>
      </w:r>
      <w:r w:rsidRPr="008379CA">
        <w:rPr>
          <w:rFonts w:ascii="Bookman Old Style" w:hAnsi="Bookman Old Style"/>
          <w:sz w:val="24"/>
          <w:szCs w:val="24"/>
          <w:lang w:val="id-ID"/>
        </w:rPr>
        <w: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dari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total</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belanja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Urusan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Pemerintahan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Bidang</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Pendidikan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Rp</w:t>
      </w:r>
      <w:r w:rsidRPr="008379CA">
        <w:rPr>
          <w:rFonts w:ascii="Bookman Old Style" w:hAnsi="Bookman Old Style" w:cs="Arial"/>
          <w:sz w:val="24"/>
          <w:szCs w:val="24"/>
          <w:lang w:val="sv-FI"/>
        </w:rPr>
        <w:t>1.43</w:t>
      </w:r>
      <w:r w:rsidR="00053041" w:rsidRPr="008379CA">
        <w:rPr>
          <w:rFonts w:ascii="Bookman Old Style" w:hAnsi="Bookman Old Style" w:cs="Arial"/>
          <w:sz w:val="24"/>
          <w:szCs w:val="24"/>
          <w:lang w:val="sv-FI"/>
        </w:rPr>
        <w:t>5</w:t>
      </w:r>
      <w:r w:rsidRPr="008379CA">
        <w:rPr>
          <w:rFonts w:ascii="Bookman Old Style" w:hAnsi="Bookman Old Style" w:cs="Arial"/>
          <w:sz w:val="24"/>
          <w:szCs w:val="24"/>
          <w:lang w:val="sv-FI"/>
        </w:rPr>
        <w:t>.645.361.451,00.</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rPr>
        <w:t>Alokasi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anggaran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untuk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belanja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SPM</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tersebut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diuraikan</w:t>
      </w:r>
      <w:r w:rsidR="00A954D0" w:rsidRPr="008379CA">
        <w:rPr>
          <w:rFonts w:ascii="Bookman Old Style" w:hAnsi="Bookman Old Style" w:cs="Arial"/>
          <w:sz w:val="24"/>
          <w:szCs w:val="24"/>
        </w:rPr>
        <w:t xml:space="preserve"> </w:t>
      </w:r>
      <w:r w:rsidRPr="008379CA">
        <w:rPr>
          <w:rFonts w:ascii="Bookman Old Style" w:eastAsia="Calibri" w:hAnsi="Bookman Old Style" w:cs="Arial"/>
          <w:sz w:val="24"/>
          <w:szCs w:val="24"/>
          <w:lang w:val="sv-SE"/>
        </w:rPr>
        <w:t>dalam</w:t>
      </w:r>
      <w:r w:rsidR="00A954D0" w:rsidRPr="008379CA">
        <w:rPr>
          <w:rFonts w:ascii="Bookman Old Style" w:eastAsia="Calibri" w:hAnsi="Bookman Old Style" w:cs="Arial"/>
          <w:sz w:val="24"/>
          <w:szCs w:val="24"/>
          <w:lang w:val="sv-SE"/>
        </w:rPr>
        <w:t xml:space="preserve"> </w:t>
      </w:r>
      <w:r w:rsidRPr="008379CA">
        <w:rPr>
          <w:rFonts w:ascii="Bookman Old Style" w:eastAsia="Calibri" w:hAnsi="Bookman Old Style" w:cs="Arial"/>
          <w:sz w:val="24"/>
          <w:szCs w:val="24"/>
          <w:lang w:val="sv-SE"/>
        </w:rPr>
        <w:t>jenis</w:t>
      </w:r>
      <w:r w:rsidR="00A954D0" w:rsidRPr="008379CA">
        <w:rPr>
          <w:rFonts w:ascii="Bookman Old Style" w:eastAsia="Calibri" w:hAnsi="Bookman Old Style" w:cs="Arial"/>
          <w:sz w:val="24"/>
          <w:szCs w:val="24"/>
          <w:lang w:val="sv-SE"/>
        </w:rPr>
        <w:t xml:space="preserve"> </w:t>
      </w:r>
      <w:r w:rsidRPr="008379CA">
        <w:rPr>
          <w:rFonts w:ascii="Bookman Old Style" w:eastAsia="Calibri" w:hAnsi="Bookman Old Style" w:cs="Arial"/>
          <w:sz w:val="24"/>
          <w:szCs w:val="24"/>
          <w:lang w:val="sv-SE"/>
        </w:rPr>
        <w:t>pelayanan</w:t>
      </w:r>
      <w:r w:rsidR="00A954D0" w:rsidRPr="008379CA">
        <w:rPr>
          <w:rFonts w:ascii="Bookman Old Style" w:eastAsia="Calibri" w:hAnsi="Bookman Old Style" w:cs="Arial"/>
          <w:sz w:val="24"/>
          <w:szCs w:val="24"/>
          <w:lang w:val="sv-SE"/>
        </w:rPr>
        <w:t xml:space="preserve"> </w:t>
      </w:r>
      <w:r w:rsidRPr="008379CA">
        <w:rPr>
          <w:rFonts w:ascii="Bookman Old Style" w:eastAsia="Calibri" w:hAnsi="Bookman Old Style" w:cs="Arial"/>
          <w:sz w:val="24"/>
          <w:szCs w:val="24"/>
          <w:lang w:val="sv-SE"/>
        </w:rPr>
        <w:t>dasar</w:t>
      </w:r>
      <w:r w:rsidR="00A954D0" w:rsidRPr="008379CA">
        <w:rPr>
          <w:rFonts w:ascii="Bookman Old Style" w:eastAsia="Calibri" w:hAnsi="Bookman Old Style" w:cs="Arial"/>
          <w:sz w:val="24"/>
          <w:szCs w:val="24"/>
          <w:lang w:val="sv-SE"/>
        </w:rPr>
        <w:t xml:space="preserve"> </w:t>
      </w:r>
      <w:r w:rsidRPr="008379CA">
        <w:rPr>
          <w:rFonts w:ascii="Bookman Old Style" w:eastAsia="Calibri" w:hAnsi="Bookman Old Style" w:cs="Arial"/>
          <w:sz w:val="24"/>
          <w:szCs w:val="24"/>
          <w:lang w:val="sv-SE"/>
        </w:rPr>
        <w:t>sebagai</w:t>
      </w:r>
      <w:r w:rsidR="00A954D0" w:rsidRPr="008379CA">
        <w:rPr>
          <w:rFonts w:ascii="Bookman Old Style" w:eastAsia="Calibri" w:hAnsi="Bookman Old Style" w:cs="Arial"/>
          <w:sz w:val="24"/>
          <w:szCs w:val="24"/>
          <w:lang w:val="sv-SE"/>
        </w:rPr>
        <w:t xml:space="preserve"> </w:t>
      </w:r>
      <w:r w:rsidRPr="008379CA">
        <w:rPr>
          <w:rFonts w:ascii="Bookman Old Style" w:eastAsia="Calibri" w:hAnsi="Bookman Old Style" w:cs="Arial"/>
          <w:sz w:val="24"/>
          <w:szCs w:val="24"/>
          <w:lang w:val="sv-SE"/>
        </w:rPr>
        <w:t>berikut</w:t>
      </w:r>
      <w:r w:rsidRPr="008379CA">
        <w:rPr>
          <w:rFonts w:ascii="Bookman Old Style" w:hAnsi="Bookman Old Style"/>
          <w:sz w:val="24"/>
          <w:szCs w:val="24"/>
          <w:lang w:val="id-ID"/>
        </w:rPr>
        <w:t>:</w:t>
      </w:r>
    </w:p>
    <w:p w14:paraId="16EEE770" w14:textId="3520C1C4" w:rsidR="00BB2062" w:rsidRPr="008379CA" w:rsidRDefault="00BB2062" w:rsidP="00CE715C">
      <w:pPr>
        <w:numPr>
          <w:ilvl w:val="0"/>
          <w:numId w:val="2"/>
        </w:numPr>
        <w:spacing w:before="60" w:line="276" w:lineRule="auto"/>
        <w:ind w:left="1701" w:hanging="425"/>
        <w:jc w:val="both"/>
        <w:rPr>
          <w:rFonts w:ascii="Bookman Old Style" w:eastAsia="Calibri" w:hAnsi="Bookman Old Style" w:cs="Arial"/>
          <w:lang w:val="sv-SE"/>
        </w:rPr>
      </w:pPr>
      <w:r w:rsidRPr="008379CA">
        <w:rPr>
          <w:rFonts w:ascii="Bookman Old Style" w:eastAsia="Calibri" w:hAnsi="Bookman Old Style" w:cs="Arial"/>
          <w:lang w:val="sv-SE"/>
        </w:rPr>
        <w:t>Angka</w:t>
      </w:r>
      <w:r w:rsidR="00A954D0" w:rsidRPr="008379CA">
        <w:rPr>
          <w:rFonts w:ascii="Bookman Old Style" w:eastAsia="Calibri" w:hAnsi="Bookman Old Style" w:cs="Arial"/>
          <w:lang w:val="sv-SE"/>
        </w:rPr>
        <w:t xml:space="preserve"> </w:t>
      </w:r>
      <w:r w:rsidRPr="008379CA">
        <w:rPr>
          <w:rFonts w:ascii="Bookman Old Style" w:eastAsia="Calibri" w:hAnsi="Bookman Old Style" w:cs="Arial"/>
          <w:lang w:val="sv-SE"/>
        </w:rPr>
        <w:t>Partisipasi</w:t>
      </w:r>
      <w:r w:rsidR="00A954D0" w:rsidRPr="008379CA">
        <w:rPr>
          <w:rFonts w:ascii="Bookman Old Style" w:eastAsia="Calibri" w:hAnsi="Bookman Old Style" w:cs="Arial"/>
          <w:lang w:val="sv-SE"/>
        </w:rPr>
        <w:t xml:space="preserve"> </w:t>
      </w:r>
      <w:r w:rsidRPr="008379CA">
        <w:rPr>
          <w:rFonts w:ascii="Bookman Old Style" w:eastAsia="Calibri" w:hAnsi="Bookman Old Style" w:cs="Arial"/>
          <w:lang w:val="sv-SE"/>
        </w:rPr>
        <w:t>Sekolah</w:t>
      </w:r>
      <w:r w:rsidR="00A954D0" w:rsidRPr="008379CA">
        <w:rPr>
          <w:rFonts w:ascii="Bookman Old Style" w:eastAsia="Calibri" w:hAnsi="Bookman Old Style" w:cs="Arial"/>
          <w:lang w:val="sv-SE"/>
        </w:rPr>
        <w:t xml:space="preserve"> </w:t>
      </w:r>
      <w:r w:rsidRPr="008379CA">
        <w:rPr>
          <w:rFonts w:ascii="Bookman Old Style" w:eastAsia="Calibri" w:hAnsi="Bookman Old Style" w:cs="Arial"/>
          <w:lang w:val="sv-SE"/>
        </w:rPr>
        <w:t>Rp110.986.079.711,00;</w:t>
      </w:r>
    </w:p>
    <w:p w14:paraId="66316031" w14:textId="7299F9CA" w:rsidR="00BB2062" w:rsidRPr="008379CA" w:rsidRDefault="00BB2062" w:rsidP="00CE715C">
      <w:pPr>
        <w:numPr>
          <w:ilvl w:val="0"/>
          <w:numId w:val="2"/>
        </w:numPr>
        <w:spacing w:before="60" w:line="276" w:lineRule="auto"/>
        <w:ind w:left="1701" w:hanging="425"/>
        <w:jc w:val="both"/>
        <w:rPr>
          <w:rFonts w:ascii="Bookman Old Style" w:eastAsia="Calibri" w:hAnsi="Bookman Old Style" w:cs="Arial"/>
          <w:lang w:val="sv-SE"/>
        </w:rPr>
      </w:pPr>
      <w:r w:rsidRPr="008379CA">
        <w:rPr>
          <w:rFonts w:ascii="Bookman Old Style" w:eastAsia="Calibri" w:hAnsi="Bookman Old Style" w:cs="Arial"/>
          <w:lang w:val="sv-SE"/>
        </w:rPr>
        <w:t>Literasi</w:t>
      </w:r>
      <w:r w:rsidR="00A954D0" w:rsidRPr="008379CA">
        <w:rPr>
          <w:rFonts w:ascii="Bookman Old Style" w:eastAsia="Calibri" w:hAnsi="Bookman Old Style" w:cs="Arial"/>
          <w:lang w:val="sv-SE"/>
        </w:rPr>
        <w:t xml:space="preserve"> </w:t>
      </w:r>
      <w:r w:rsidRPr="008379CA">
        <w:rPr>
          <w:rFonts w:ascii="Bookman Old Style" w:eastAsia="Calibri" w:hAnsi="Bookman Old Style" w:cs="Arial"/>
          <w:lang w:val="sv-SE"/>
        </w:rPr>
        <w:t>dan</w:t>
      </w:r>
      <w:r w:rsidR="00A954D0" w:rsidRPr="008379CA">
        <w:rPr>
          <w:rFonts w:ascii="Bookman Old Style" w:eastAsia="Calibri" w:hAnsi="Bookman Old Style" w:cs="Arial"/>
          <w:lang w:val="sv-SE"/>
        </w:rPr>
        <w:t xml:space="preserve"> </w:t>
      </w:r>
      <w:r w:rsidRPr="008379CA">
        <w:rPr>
          <w:rFonts w:ascii="Bookman Old Style" w:eastAsia="Calibri" w:hAnsi="Bookman Old Style" w:cs="Arial"/>
          <w:lang w:val="sv-SE"/>
        </w:rPr>
        <w:t>Numerasi</w:t>
      </w:r>
      <w:r w:rsidR="00A954D0" w:rsidRPr="008379CA">
        <w:rPr>
          <w:rFonts w:ascii="Bookman Old Style" w:eastAsia="Calibri" w:hAnsi="Bookman Old Style" w:cs="Arial"/>
          <w:lang w:val="sv-SE"/>
        </w:rPr>
        <w:t xml:space="preserve"> </w:t>
      </w:r>
      <w:r w:rsidRPr="008379CA">
        <w:rPr>
          <w:rFonts w:ascii="Bookman Old Style" w:eastAsia="Calibri" w:hAnsi="Bookman Old Style" w:cs="Arial"/>
          <w:lang w:val="sv-SE"/>
        </w:rPr>
        <w:t>Rp181.556.690.776,00;</w:t>
      </w:r>
    </w:p>
    <w:p w14:paraId="0F4433F6" w14:textId="048A6B3F" w:rsidR="00BB2062" w:rsidRPr="008379CA" w:rsidRDefault="00BB2062" w:rsidP="00CE715C">
      <w:pPr>
        <w:numPr>
          <w:ilvl w:val="0"/>
          <w:numId w:val="2"/>
        </w:numPr>
        <w:spacing w:before="60" w:line="276" w:lineRule="auto"/>
        <w:ind w:left="1701" w:hanging="425"/>
        <w:jc w:val="both"/>
        <w:rPr>
          <w:rFonts w:ascii="Bookman Old Style" w:eastAsia="Calibri" w:hAnsi="Bookman Old Style" w:cs="Arial"/>
          <w:lang w:val="sv-SE"/>
        </w:rPr>
      </w:pPr>
      <w:r w:rsidRPr="008379CA">
        <w:rPr>
          <w:rFonts w:ascii="Bookman Old Style" w:eastAsia="Calibri" w:hAnsi="Bookman Old Style" w:cs="Arial"/>
          <w:lang w:val="sv-SE"/>
        </w:rPr>
        <w:lastRenderedPageBreak/>
        <w:t>Keamanan,</w:t>
      </w:r>
      <w:r w:rsidR="00A954D0" w:rsidRPr="008379CA">
        <w:rPr>
          <w:rFonts w:ascii="Bookman Old Style" w:eastAsia="Calibri" w:hAnsi="Bookman Old Style" w:cs="Arial"/>
          <w:lang w:val="sv-SE"/>
        </w:rPr>
        <w:t xml:space="preserve"> </w:t>
      </w:r>
      <w:r w:rsidRPr="008379CA">
        <w:rPr>
          <w:rFonts w:ascii="Bookman Old Style" w:eastAsia="Calibri" w:hAnsi="Bookman Old Style" w:cs="Arial"/>
          <w:lang w:val="sv-SE"/>
        </w:rPr>
        <w:t>Kebhinekaan</w:t>
      </w:r>
      <w:r w:rsidR="00A954D0" w:rsidRPr="008379CA">
        <w:rPr>
          <w:rFonts w:ascii="Bookman Old Style" w:eastAsia="Calibri" w:hAnsi="Bookman Old Style" w:cs="Arial"/>
          <w:lang w:val="sv-SE"/>
        </w:rPr>
        <w:t xml:space="preserve"> </w:t>
      </w:r>
      <w:r w:rsidRPr="008379CA">
        <w:rPr>
          <w:rFonts w:ascii="Bookman Old Style" w:eastAsia="Calibri" w:hAnsi="Bookman Old Style" w:cs="Arial"/>
          <w:lang w:val="sv-SE"/>
        </w:rPr>
        <w:t>dan</w:t>
      </w:r>
      <w:r w:rsidR="00A954D0" w:rsidRPr="008379CA">
        <w:rPr>
          <w:rFonts w:ascii="Bookman Old Style" w:eastAsia="Calibri" w:hAnsi="Bookman Old Style" w:cs="Arial"/>
          <w:lang w:val="sv-SE"/>
        </w:rPr>
        <w:t xml:space="preserve"> </w:t>
      </w:r>
      <w:r w:rsidRPr="008379CA">
        <w:rPr>
          <w:rFonts w:ascii="Bookman Old Style" w:eastAsia="Calibri" w:hAnsi="Bookman Old Style" w:cs="Arial"/>
          <w:lang w:val="sv-SE"/>
        </w:rPr>
        <w:t>I</w:t>
      </w:r>
      <w:r w:rsidR="00026999" w:rsidRPr="008379CA">
        <w:rPr>
          <w:rFonts w:ascii="Bookman Old Style" w:eastAsia="Calibri" w:hAnsi="Bookman Old Style" w:cs="Arial"/>
          <w:lang w:val="sv-SE"/>
        </w:rPr>
        <w:t>n</w:t>
      </w:r>
      <w:r w:rsidRPr="008379CA">
        <w:rPr>
          <w:rFonts w:ascii="Bookman Old Style" w:eastAsia="Calibri" w:hAnsi="Bookman Old Style" w:cs="Arial"/>
          <w:lang w:val="sv-SE"/>
        </w:rPr>
        <w:t>klusivitas</w:t>
      </w:r>
      <w:r w:rsidR="00A954D0" w:rsidRPr="008379CA">
        <w:rPr>
          <w:rFonts w:ascii="Bookman Old Style" w:eastAsia="Calibri" w:hAnsi="Bookman Old Style" w:cs="Arial"/>
          <w:lang w:val="sv-SE"/>
        </w:rPr>
        <w:t xml:space="preserve"> </w:t>
      </w:r>
      <w:r w:rsidRPr="008379CA">
        <w:rPr>
          <w:rFonts w:ascii="Bookman Old Style" w:eastAsia="Calibri" w:hAnsi="Bookman Old Style" w:cs="Arial"/>
          <w:lang w:val="sv-SE"/>
        </w:rPr>
        <w:t>Rp9.355.621.000,00;</w:t>
      </w:r>
    </w:p>
    <w:p w14:paraId="240425F6" w14:textId="30BD6975" w:rsidR="00127869" w:rsidRPr="008379CA" w:rsidRDefault="00BB2062" w:rsidP="00CE715C">
      <w:pPr>
        <w:numPr>
          <w:ilvl w:val="0"/>
          <w:numId w:val="2"/>
        </w:numPr>
        <w:spacing w:before="60" w:line="276" w:lineRule="auto"/>
        <w:ind w:left="1701" w:hanging="425"/>
        <w:jc w:val="both"/>
        <w:rPr>
          <w:rFonts w:ascii="Bookman Old Style" w:hAnsi="Bookman Old Style" w:cs="Arial"/>
          <w:lang w:val="fi-FI"/>
        </w:rPr>
      </w:pPr>
      <w:r w:rsidRPr="008379CA">
        <w:rPr>
          <w:rFonts w:ascii="Bookman Old Style" w:eastAsia="Calibri" w:hAnsi="Bookman Old Style" w:cs="Arial"/>
          <w:lang w:val="sv-SE"/>
        </w:rPr>
        <w:t>Kekhususan</w:t>
      </w:r>
      <w:r w:rsidR="00A954D0" w:rsidRPr="008379CA">
        <w:rPr>
          <w:rFonts w:ascii="Bookman Old Style" w:eastAsia="Calibri" w:hAnsi="Bookman Old Style" w:cs="Arial"/>
          <w:lang w:val="sv-SE"/>
        </w:rPr>
        <w:t xml:space="preserve"> </w:t>
      </w:r>
      <w:r w:rsidRPr="008379CA">
        <w:rPr>
          <w:rFonts w:ascii="Bookman Old Style" w:eastAsia="Calibri" w:hAnsi="Bookman Old Style" w:cs="Arial"/>
          <w:lang w:val="sv-SE"/>
        </w:rPr>
        <w:t>PAUD</w:t>
      </w:r>
      <w:r w:rsidR="00A954D0" w:rsidRPr="008379CA">
        <w:rPr>
          <w:rFonts w:ascii="Bookman Old Style" w:eastAsia="Calibri" w:hAnsi="Bookman Old Style" w:cs="Arial"/>
          <w:lang w:val="sv-SE"/>
        </w:rPr>
        <w:t xml:space="preserve"> </w:t>
      </w:r>
      <w:r w:rsidRPr="008379CA">
        <w:rPr>
          <w:rFonts w:ascii="Bookman Old Style" w:eastAsia="Calibri" w:hAnsi="Bookman Old Style" w:cs="Arial"/>
          <w:lang w:val="sv-SE"/>
        </w:rPr>
        <w:t>Rp901.379.000,00</w:t>
      </w:r>
      <w:r w:rsidR="00CE715C" w:rsidRPr="008379CA">
        <w:rPr>
          <w:rFonts w:ascii="Bookman Old Style" w:eastAsia="Calibri" w:hAnsi="Bookman Old Style" w:cs="Arial"/>
          <w:lang w:val="sv-SE"/>
        </w:rPr>
        <w:t>.</w:t>
      </w:r>
    </w:p>
    <w:p w14:paraId="4E312296" w14:textId="4888327C" w:rsidR="00127869" w:rsidRPr="008379CA" w:rsidRDefault="00127869" w:rsidP="00CE715C">
      <w:pPr>
        <w:pStyle w:val="ListParagraph"/>
        <w:spacing w:before="60" w:after="0" w:line="276" w:lineRule="auto"/>
        <w:ind w:left="1276"/>
        <w:contextualSpacing w:val="0"/>
        <w:jc w:val="both"/>
        <w:rPr>
          <w:rFonts w:ascii="Bookman Old Style" w:eastAsia="Bookman Old Style" w:hAnsi="Bookman Old Style" w:cs="Bookman Old Style"/>
          <w:sz w:val="24"/>
          <w:szCs w:val="24"/>
          <w:lang w:val="sv-FI"/>
        </w:rPr>
      </w:pPr>
      <w:r w:rsidRPr="008379CA">
        <w:rPr>
          <w:rFonts w:ascii="Bookman Old Style" w:eastAsia="Bookman Old Style" w:hAnsi="Bookman Old Style" w:cs="Bookman Old Style"/>
          <w:sz w:val="24"/>
          <w:szCs w:val="24"/>
          <w:lang w:val="sv-FI"/>
        </w:rPr>
        <w:t>C</w:t>
      </w:r>
      <w:r w:rsidRPr="008379CA">
        <w:rPr>
          <w:rFonts w:ascii="Bookman Old Style" w:eastAsia="Bookman Old Style" w:hAnsi="Bookman Old Style" w:cs="Bookman Old Style"/>
          <w:sz w:val="24"/>
          <w:szCs w:val="24"/>
        </w:rPr>
        <w:t>apaian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SPM</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dalam</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Rapor</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Pendidikan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lang w:val="sv-FI"/>
        </w:rPr>
        <w:t>b</w:t>
      </w:r>
      <w:r w:rsidRPr="008379CA">
        <w:rPr>
          <w:rFonts w:ascii="Bookman Old Style" w:eastAsia="Bookman Old Style" w:hAnsi="Bookman Old Style" w:cs="Bookman Old Style"/>
          <w:sz w:val="24"/>
          <w:szCs w:val="24"/>
        </w:rPr>
        <w:t>erdasarkan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hasil</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evaluasi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Balai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Penjaminan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Mutu</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Pendidikan</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Provinsi</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Banten,</w:t>
      </w:r>
      <w:r w:rsidR="00A954D0" w:rsidRPr="008379CA">
        <w:rPr>
          <w:rFonts w:ascii="Bookman Old Style" w:eastAsia="Bookman Old Style" w:hAnsi="Bookman Old Style" w:cs="Bookman Old Style"/>
          <w:sz w:val="24"/>
          <w:szCs w:val="24"/>
          <w:lang w:val="sv-FI"/>
        </w:rPr>
        <w:t xml:space="preserve"> </w:t>
      </w:r>
      <w:r w:rsidRPr="008379CA">
        <w:rPr>
          <w:rFonts w:ascii="Bookman Old Style" w:hAnsi="Bookman Old Style" w:cs="Arial"/>
          <w:sz w:val="24"/>
          <w:szCs w:val="24"/>
        </w:rPr>
        <w:t>sebagaimana</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Tabel</w:t>
      </w:r>
      <w:r w:rsidR="00A954D0" w:rsidRPr="008379CA">
        <w:rPr>
          <w:rFonts w:ascii="Bookman Old Style" w:eastAsia="Bookman Old Style" w:hAnsi="Bookman Old Style" w:cs="Bookman Old Style"/>
          <w:sz w:val="24"/>
          <w:szCs w:val="24"/>
          <w:lang w:val="sv-FI"/>
        </w:rPr>
        <w:t xml:space="preserve"> </w:t>
      </w:r>
      <w:r w:rsidR="003F64EB" w:rsidRPr="008379CA">
        <w:rPr>
          <w:rFonts w:ascii="Bookman Old Style" w:eastAsia="Bookman Old Style" w:hAnsi="Bookman Old Style" w:cs="Bookman Old Style"/>
          <w:sz w:val="24"/>
          <w:szCs w:val="24"/>
          <w:lang w:val="sv-FI"/>
        </w:rPr>
        <w:t>10</w:t>
      </w:r>
      <w:r w:rsidR="00A954D0" w:rsidRPr="008379CA">
        <w:rPr>
          <w:rFonts w:ascii="Bookman Old Style" w:eastAsia="Bookman Old Style" w:hAnsi="Bookman Old Style" w:cs="Bookman Old Style"/>
          <w:sz w:val="24"/>
          <w:szCs w:val="24"/>
          <w:lang w:val="sv-FI"/>
        </w:rPr>
        <w:t xml:space="preserve"> </w:t>
      </w:r>
      <w:r w:rsidRPr="008379CA">
        <w:rPr>
          <w:rFonts w:ascii="Bookman Old Style" w:eastAsia="Bookman Old Style" w:hAnsi="Bookman Old Style" w:cs="Bookman Old Style"/>
          <w:sz w:val="24"/>
          <w:szCs w:val="24"/>
          <w:lang w:val="sv-FI"/>
        </w:rPr>
        <w:t>berikut:</w:t>
      </w:r>
    </w:p>
    <w:p w14:paraId="3F0639B0" w14:textId="14B24A8F" w:rsidR="00127869" w:rsidRPr="008379CA" w:rsidRDefault="00127869" w:rsidP="00727324">
      <w:pPr>
        <w:pStyle w:val="ListParagraph"/>
        <w:spacing w:before="60" w:after="0" w:line="276" w:lineRule="auto"/>
        <w:ind w:left="1701"/>
        <w:contextualSpacing w:val="0"/>
        <w:jc w:val="center"/>
        <w:rPr>
          <w:rFonts w:ascii="Bookman Old Style" w:eastAsia="Bookman Old Style" w:hAnsi="Bookman Old Style" w:cs="Bookman Old Style"/>
          <w:sz w:val="24"/>
          <w:szCs w:val="24"/>
          <w:lang w:val="en-US"/>
        </w:rPr>
      </w:pPr>
      <w:r w:rsidRPr="008379CA">
        <w:rPr>
          <w:rFonts w:ascii="Bookman Old Style" w:eastAsia="Bookman Old Style" w:hAnsi="Bookman Old Style" w:cs="Bookman Old Style"/>
          <w:sz w:val="24"/>
          <w:szCs w:val="24"/>
          <w:lang w:val="en-US"/>
        </w:rPr>
        <w:t>Tabel</w:t>
      </w:r>
      <w:r w:rsidR="00A954D0" w:rsidRPr="008379CA">
        <w:rPr>
          <w:rFonts w:ascii="Bookman Old Style" w:eastAsia="Bookman Old Style" w:hAnsi="Bookman Old Style" w:cs="Bookman Old Style"/>
          <w:sz w:val="24"/>
          <w:szCs w:val="24"/>
          <w:lang w:val="en-US"/>
        </w:rPr>
        <w:t xml:space="preserve"> </w:t>
      </w:r>
      <w:r w:rsidR="003F64EB" w:rsidRPr="008379CA">
        <w:rPr>
          <w:rFonts w:ascii="Bookman Old Style" w:eastAsia="Bookman Old Style" w:hAnsi="Bookman Old Style" w:cs="Bookman Old Style"/>
          <w:sz w:val="24"/>
          <w:szCs w:val="24"/>
          <w:lang w:val="en-US"/>
        </w:rPr>
        <w:t>10</w:t>
      </w:r>
    </w:p>
    <w:p w14:paraId="6CDFED6D" w14:textId="4315B185" w:rsidR="00127869" w:rsidRPr="008379CA" w:rsidRDefault="00127869" w:rsidP="007A390D">
      <w:pPr>
        <w:pStyle w:val="ListParagraph"/>
        <w:spacing w:before="60" w:after="120" w:line="276" w:lineRule="auto"/>
        <w:ind w:left="1701"/>
        <w:contextualSpacing w:val="0"/>
        <w:jc w:val="center"/>
        <w:rPr>
          <w:rFonts w:ascii="Bookman Old Style" w:eastAsia="Bookman Old Style" w:hAnsi="Bookman Old Style" w:cs="Bookman Old Style"/>
          <w:sz w:val="24"/>
          <w:szCs w:val="24"/>
          <w:lang w:val="en-US"/>
        </w:rPr>
      </w:pPr>
      <w:r w:rsidRPr="008379CA">
        <w:rPr>
          <w:rFonts w:ascii="Bookman Old Style" w:eastAsia="Bookman Old Style" w:hAnsi="Bookman Old Style" w:cs="Bookman Old Style"/>
          <w:sz w:val="24"/>
          <w:szCs w:val="24"/>
          <w:lang w:val="en-US"/>
        </w:rPr>
        <w:t>Capaian</w:t>
      </w:r>
      <w:r w:rsidR="00A954D0" w:rsidRPr="008379CA">
        <w:rPr>
          <w:rFonts w:ascii="Bookman Old Style" w:eastAsia="Bookman Old Style" w:hAnsi="Bookman Old Style" w:cs="Bookman Old Style"/>
          <w:sz w:val="24"/>
          <w:szCs w:val="24"/>
          <w:lang w:val="en-US"/>
        </w:rPr>
        <w:t xml:space="preserve"> </w:t>
      </w:r>
      <w:r w:rsidRPr="008379CA">
        <w:rPr>
          <w:rFonts w:ascii="Bookman Old Style" w:eastAsia="Bookman Old Style" w:hAnsi="Bookman Old Style" w:cs="Bookman Old Style"/>
          <w:sz w:val="24"/>
          <w:szCs w:val="24"/>
          <w:lang w:val="en-US"/>
        </w:rPr>
        <w:t>SPM</w:t>
      </w:r>
      <w:r w:rsidR="00A954D0" w:rsidRPr="008379CA">
        <w:rPr>
          <w:rFonts w:ascii="Bookman Old Style" w:eastAsia="Bookman Old Style" w:hAnsi="Bookman Old Style" w:cs="Bookman Old Style"/>
          <w:sz w:val="24"/>
          <w:szCs w:val="24"/>
          <w:lang w:val="en-US"/>
        </w:rPr>
        <w:t xml:space="preserve"> </w:t>
      </w:r>
      <w:r w:rsidRPr="008379CA">
        <w:rPr>
          <w:rFonts w:ascii="Bookman Old Style" w:eastAsia="Bookman Old Style" w:hAnsi="Bookman Old Style" w:cs="Bookman Old Style"/>
          <w:sz w:val="24"/>
          <w:szCs w:val="24"/>
          <w:lang w:val="en-US"/>
        </w:rPr>
        <w:t>Bidang</w:t>
      </w:r>
      <w:r w:rsidR="00A954D0" w:rsidRPr="008379CA">
        <w:rPr>
          <w:rFonts w:ascii="Bookman Old Style" w:eastAsia="Bookman Old Style" w:hAnsi="Bookman Old Style" w:cs="Bookman Old Style"/>
          <w:sz w:val="24"/>
          <w:szCs w:val="24"/>
          <w:lang w:val="en-US"/>
        </w:rPr>
        <w:t xml:space="preserve"> </w:t>
      </w:r>
      <w:r w:rsidRPr="008379CA">
        <w:rPr>
          <w:rFonts w:ascii="Bookman Old Style" w:eastAsia="Bookman Old Style" w:hAnsi="Bookman Old Style" w:cs="Bookman Old Style"/>
          <w:sz w:val="24"/>
          <w:szCs w:val="24"/>
          <w:lang w:val="en-US"/>
        </w:rPr>
        <w:t>Pendidikan</w:t>
      </w:r>
    </w:p>
    <w:tbl>
      <w:tblPr>
        <w:tblW w:w="10462"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
        <w:gridCol w:w="2516"/>
        <w:gridCol w:w="1207"/>
        <w:gridCol w:w="1192"/>
        <w:gridCol w:w="976"/>
        <w:gridCol w:w="1489"/>
        <w:gridCol w:w="1232"/>
        <w:gridCol w:w="7"/>
        <w:gridCol w:w="1313"/>
      </w:tblGrid>
      <w:tr w:rsidR="008379CA" w:rsidRPr="008379CA" w14:paraId="64FCA485" w14:textId="77777777" w:rsidTr="006A0033">
        <w:trPr>
          <w:tblHeader/>
        </w:trPr>
        <w:tc>
          <w:tcPr>
            <w:tcW w:w="530" w:type="dxa"/>
            <w:vMerge w:val="restart"/>
            <w:tcBorders>
              <w:top w:val="single" w:sz="4" w:space="0" w:color="000000"/>
              <w:left w:val="single" w:sz="4" w:space="0" w:color="000000"/>
              <w:bottom w:val="single" w:sz="4" w:space="0" w:color="000000"/>
              <w:right w:val="single" w:sz="4" w:space="0" w:color="000000"/>
            </w:tcBorders>
            <w:vAlign w:val="center"/>
            <w:hideMark/>
          </w:tcPr>
          <w:p w14:paraId="65A45C4A" w14:textId="77777777" w:rsidR="00127869" w:rsidRPr="008379CA" w:rsidRDefault="00127869" w:rsidP="00050B5E">
            <w:pPr>
              <w:widowControl w:val="0"/>
              <w:spacing w:line="276" w:lineRule="auto"/>
              <w:jc w:val="center"/>
              <w:rPr>
                <w:rFonts w:ascii="Bookman Old Style" w:eastAsia="Bookman Old Style" w:hAnsi="Bookman Old Style" w:cs="Bookman Old Style"/>
                <w:b/>
                <w:bCs/>
                <w:sz w:val="18"/>
                <w:szCs w:val="18"/>
              </w:rPr>
            </w:pPr>
            <w:r w:rsidRPr="008379CA">
              <w:rPr>
                <w:rFonts w:ascii="Bookman Old Style" w:eastAsia="Bookman Old Style" w:hAnsi="Bookman Old Style" w:cs="Bookman Old Style"/>
                <w:b/>
                <w:bCs/>
                <w:sz w:val="18"/>
                <w:szCs w:val="18"/>
              </w:rPr>
              <w:t>No</w:t>
            </w:r>
          </w:p>
        </w:tc>
        <w:tc>
          <w:tcPr>
            <w:tcW w:w="2516" w:type="dxa"/>
            <w:vMerge w:val="restart"/>
            <w:tcBorders>
              <w:top w:val="single" w:sz="4" w:space="0" w:color="000000"/>
              <w:left w:val="single" w:sz="4" w:space="0" w:color="000000"/>
              <w:bottom w:val="single" w:sz="4" w:space="0" w:color="000000"/>
              <w:right w:val="single" w:sz="4" w:space="0" w:color="000000"/>
            </w:tcBorders>
            <w:vAlign w:val="center"/>
            <w:hideMark/>
          </w:tcPr>
          <w:p w14:paraId="6D758016" w14:textId="1763D003" w:rsidR="00127869" w:rsidRPr="008379CA" w:rsidRDefault="00127869" w:rsidP="00050B5E">
            <w:pPr>
              <w:widowControl w:val="0"/>
              <w:spacing w:line="276" w:lineRule="auto"/>
              <w:jc w:val="center"/>
              <w:rPr>
                <w:rFonts w:ascii="Bookman Old Style" w:eastAsia="Bookman Old Style" w:hAnsi="Bookman Old Style" w:cs="Bookman Old Style"/>
                <w:b/>
                <w:bCs/>
                <w:sz w:val="18"/>
                <w:szCs w:val="18"/>
              </w:rPr>
            </w:pPr>
            <w:r w:rsidRPr="008379CA">
              <w:rPr>
                <w:rFonts w:ascii="Bookman Old Style" w:eastAsia="Bookman Old Style" w:hAnsi="Bookman Old Style" w:cs="Bookman Old Style"/>
                <w:b/>
                <w:bCs/>
                <w:sz w:val="18"/>
                <w:szCs w:val="18"/>
              </w:rPr>
              <w:t>Indikator</w:t>
            </w:r>
            <w:r w:rsidR="00A954D0" w:rsidRPr="008379CA">
              <w:rPr>
                <w:rFonts w:ascii="Bookman Old Style" w:eastAsia="Bookman Old Style" w:hAnsi="Bookman Old Style" w:cs="Bookman Old Style"/>
                <w:b/>
                <w:bCs/>
                <w:sz w:val="18"/>
                <w:szCs w:val="18"/>
              </w:rPr>
              <w:t xml:space="preserve"> </w:t>
            </w:r>
            <w:r w:rsidRPr="008379CA">
              <w:rPr>
                <w:rFonts w:ascii="Bookman Old Style" w:eastAsia="Bookman Old Style" w:hAnsi="Bookman Old Style" w:cs="Bookman Old Style"/>
                <w:b/>
                <w:bCs/>
                <w:sz w:val="18"/>
                <w:szCs w:val="18"/>
              </w:rPr>
              <w:t>SPM</w:t>
            </w:r>
            <w:r w:rsidR="00A954D0" w:rsidRPr="008379CA">
              <w:rPr>
                <w:rFonts w:ascii="Bookman Old Style" w:eastAsia="Bookman Old Style" w:hAnsi="Bookman Old Style" w:cs="Bookman Old Style"/>
                <w:b/>
                <w:bCs/>
                <w:sz w:val="18"/>
                <w:szCs w:val="18"/>
              </w:rPr>
              <w:t xml:space="preserve"> </w:t>
            </w:r>
            <w:r w:rsidRPr="008379CA">
              <w:rPr>
                <w:rFonts w:ascii="Bookman Old Style" w:eastAsia="Bookman Old Style" w:hAnsi="Bookman Old Style" w:cs="Bookman Old Style"/>
                <w:b/>
                <w:bCs/>
                <w:sz w:val="18"/>
                <w:szCs w:val="18"/>
              </w:rPr>
              <w:t>Pendidikan</w:t>
            </w:r>
          </w:p>
        </w:tc>
        <w:tc>
          <w:tcPr>
            <w:tcW w:w="1207" w:type="dxa"/>
            <w:vMerge w:val="restart"/>
            <w:tcBorders>
              <w:top w:val="single" w:sz="4" w:space="0" w:color="000000"/>
              <w:left w:val="single" w:sz="4" w:space="0" w:color="000000"/>
              <w:bottom w:val="single" w:sz="4" w:space="0" w:color="000000"/>
              <w:right w:val="single" w:sz="4" w:space="0" w:color="000000"/>
            </w:tcBorders>
            <w:vAlign w:val="center"/>
            <w:hideMark/>
          </w:tcPr>
          <w:p w14:paraId="4FBFB9D6" w14:textId="77777777" w:rsidR="00127869" w:rsidRPr="008379CA" w:rsidRDefault="00127869" w:rsidP="00050B5E">
            <w:pPr>
              <w:widowControl w:val="0"/>
              <w:spacing w:line="276" w:lineRule="auto"/>
              <w:jc w:val="center"/>
              <w:rPr>
                <w:rFonts w:ascii="Bookman Old Style" w:eastAsia="Bookman Old Style" w:hAnsi="Bookman Old Style" w:cs="Bookman Old Style"/>
                <w:b/>
                <w:bCs/>
                <w:sz w:val="18"/>
                <w:szCs w:val="18"/>
              </w:rPr>
            </w:pPr>
            <w:r w:rsidRPr="008379CA">
              <w:rPr>
                <w:rFonts w:ascii="Bookman Old Style" w:eastAsia="Bookman Old Style" w:hAnsi="Bookman Old Style" w:cs="Bookman Old Style"/>
                <w:b/>
                <w:bCs/>
                <w:sz w:val="18"/>
                <w:szCs w:val="18"/>
              </w:rPr>
              <w:t>Jenjang</w:t>
            </w:r>
          </w:p>
        </w:tc>
        <w:tc>
          <w:tcPr>
            <w:tcW w:w="1192" w:type="dxa"/>
            <w:vMerge w:val="restart"/>
            <w:tcBorders>
              <w:top w:val="single" w:sz="4" w:space="0" w:color="000000"/>
              <w:left w:val="single" w:sz="4" w:space="0" w:color="000000"/>
              <w:bottom w:val="single" w:sz="4" w:space="0" w:color="000000"/>
              <w:right w:val="single" w:sz="4" w:space="0" w:color="000000"/>
            </w:tcBorders>
            <w:vAlign w:val="center"/>
            <w:hideMark/>
          </w:tcPr>
          <w:p w14:paraId="09492BAD" w14:textId="77777777" w:rsidR="00127869" w:rsidRPr="008379CA" w:rsidRDefault="00127869" w:rsidP="00050B5E">
            <w:pPr>
              <w:widowControl w:val="0"/>
              <w:spacing w:line="276" w:lineRule="auto"/>
              <w:jc w:val="center"/>
              <w:rPr>
                <w:rFonts w:ascii="Bookman Old Style" w:eastAsia="Bookman Old Style" w:hAnsi="Bookman Old Style" w:cs="Bookman Old Style"/>
                <w:b/>
                <w:bCs/>
                <w:sz w:val="18"/>
                <w:szCs w:val="18"/>
              </w:rPr>
            </w:pPr>
            <w:r w:rsidRPr="008379CA">
              <w:rPr>
                <w:rFonts w:ascii="Bookman Old Style" w:eastAsia="Bookman Old Style" w:hAnsi="Bookman Old Style" w:cs="Bookman Old Style"/>
                <w:b/>
                <w:bCs/>
                <w:sz w:val="18"/>
                <w:szCs w:val="18"/>
              </w:rPr>
              <w:t>Capaian</w:t>
            </w:r>
          </w:p>
        </w:tc>
        <w:tc>
          <w:tcPr>
            <w:tcW w:w="976" w:type="dxa"/>
            <w:vMerge w:val="restart"/>
            <w:tcBorders>
              <w:top w:val="single" w:sz="4" w:space="0" w:color="000000"/>
              <w:left w:val="single" w:sz="4" w:space="0" w:color="000000"/>
              <w:bottom w:val="single" w:sz="4" w:space="0" w:color="000000"/>
              <w:right w:val="single" w:sz="4" w:space="0" w:color="000000"/>
            </w:tcBorders>
            <w:vAlign w:val="center"/>
            <w:hideMark/>
          </w:tcPr>
          <w:p w14:paraId="571D32A9" w14:textId="77777777" w:rsidR="00127869" w:rsidRPr="008379CA" w:rsidRDefault="00127869" w:rsidP="00050B5E">
            <w:pPr>
              <w:widowControl w:val="0"/>
              <w:spacing w:line="276" w:lineRule="auto"/>
              <w:jc w:val="center"/>
              <w:rPr>
                <w:rFonts w:ascii="Bookman Old Style" w:eastAsia="Bookman Old Style" w:hAnsi="Bookman Old Style" w:cs="Bookman Old Style"/>
                <w:b/>
                <w:bCs/>
                <w:sz w:val="18"/>
                <w:szCs w:val="18"/>
              </w:rPr>
            </w:pPr>
            <w:r w:rsidRPr="008379CA">
              <w:rPr>
                <w:rFonts w:ascii="Bookman Old Style" w:eastAsia="Bookman Old Style" w:hAnsi="Bookman Old Style" w:cs="Bookman Old Style"/>
                <w:b/>
                <w:bCs/>
                <w:sz w:val="18"/>
                <w:szCs w:val="18"/>
              </w:rPr>
              <w:t>Level</w:t>
            </w:r>
          </w:p>
        </w:tc>
        <w:tc>
          <w:tcPr>
            <w:tcW w:w="4041" w:type="dxa"/>
            <w:gridSpan w:val="4"/>
            <w:tcBorders>
              <w:top w:val="single" w:sz="4" w:space="0" w:color="000000"/>
              <w:left w:val="single" w:sz="4" w:space="0" w:color="000000"/>
              <w:bottom w:val="single" w:sz="4" w:space="0" w:color="000000"/>
              <w:right w:val="single" w:sz="4" w:space="0" w:color="000000"/>
            </w:tcBorders>
            <w:vAlign w:val="center"/>
            <w:hideMark/>
          </w:tcPr>
          <w:p w14:paraId="162D5AAF" w14:textId="3F6BF65D" w:rsidR="00127869" w:rsidRPr="008379CA" w:rsidRDefault="00127869" w:rsidP="00050B5E">
            <w:pPr>
              <w:widowControl w:val="0"/>
              <w:spacing w:line="276" w:lineRule="auto"/>
              <w:jc w:val="center"/>
              <w:rPr>
                <w:rFonts w:ascii="Bookman Old Style" w:eastAsia="Bookman Old Style" w:hAnsi="Bookman Old Style" w:cs="Bookman Old Style"/>
                <w:b/>
                <w:bCs/>
                <w:sz w:val="18"/>
                <w:szCs w:val="18"/>
              </w:rPr>
            </w:pPr>
            <w:r w:rsidRPr="008379CA">
              <w:rPr>
                <w:rFonts w:ascii="Bookman Old Style" w:eastAsia="Bookman Old Style" w:hAnsi="Bookman Old Style" w:cs="Bookman Old Style"/>
                <w:b/>
                <w:bCs/>
                <w:sz w:val="18"/>
                <w:szCs w:val="18"/>
              </w:rPr>
              <w:t>Alokasi</w:t>
            </w:r>
            <w:r w:rsidR="00A954D0" w:rsidRPr="008379CA">
              <w:rPr>
                <w:rFonts w:ascii="Bookman Old Style" w:eastAsia="Bookman Old Style" w:hAnsi="Bookman Old Style" w:cs="Bookman Old Style"/>
                <w:b/>
                <w:bCs/>
                <w:sz w:val="18"/>
                <w:szCs w:val="18"/>
              </w:rPr>
              <w:t xml:space="preserve"> </w:t>
            </w:r>
            <w:r w:rsidRPr="008379CA">
              <w:rPr>
                <w:rFonts w:ascii="Bookman Old Style" w:eastAsia="Bookman Old Style" w:hAnsi="Bookman Old Style" w:cs="Bookman Old Style"/>
                <w:b/>
                <w:bCs/>
                <w:sz w:val="18"/>
                <w:szCs w:val="18"/>
              </w:rPr>
              <w:t>Anggaran</w:t>
            </w:r>
            <w:r w:rsidR="00A954D0" w:rsidRPr="008379CA">
              <w:rPr>
                <w:rFonts w:ascii="Bookman Old Style" w:eastAsia="Bookman Old Style" w:hAnsi="Bookman Old Style" w:cs="Bookman Old Style"/>
                <w:b/>
                <w:bCs/>
                <w:sz w:val="18"/>
                <w:szCs w:val="18"/>
              </w:rPr>
              <w:t xml:space="preserve"> </w:t>
            </w:r>
            <w:r w:rsidRPr="008379CA">
              <w:rPr>
                <w:rFonts w:ascii="Bookman Old Style" w:eastAsia="Bookman Old Style" w:hAnsi="Bookman Old Style" w:cs="Bookman Old Style"/>
                <w:b/>
                <w:bCs/>
                <w:sz w:val="18"/>
                <w:szCs w:val="18"/>
              </w:rPr>
              <w:t>dalam</w:t>
            </w:r>
            <w:r w:rsidR="00A954D0" w:rsidRPr="008379CA">
              <w:rPr>
                <w:rFonts w:ascii="Bookman Old Style" w:eastAsia="Bookman Old Style" w:hAnsi="Bookman Old Style" w:cs="Bookman Old Style"/>
                <w:b/>
                <w:bCs/>
                <w:sz w:val="18"/>
                <w:szCs w:val="18"/>
              </w:rPr>
              <w:t xml:space="preserve"> </w:t>
            </w:r>
            <w:r w:rsidRPr="008379CA">
              <w:rPr>
                <w:rFonts w:ascii="Bookman Old Style" w:eastAsia="Bookman Old Style" w:hAnsi="Bookman Old Style" w:cs="Bookman Old Style"/>
                <w:b/>
                <w:bCs/>
                <w:sz w:val="18"/>
                <w:szCs w:val="18"/>
              </w:rPr>
              <w:t>RAPBD</w:t>
            </w:r>
          </w:p>
        </w:tc>
      </w:tr>
      <w:tr w:rsidR="008379CA" w:rsidRPr="008379CA" w14:paraId="7090B186" w14:textId="77777777" w:rsidTr="006A0033">
        <w:trPr>
          <w:tblHeader/>
        </w:trPr>
        <w:tc>
          <w:tcPr>
            <w:tcW w:w="530" w:type="dxa"/>
            <w:vMerge/>
            <w:tcBorders>
              <w:top w:val="single" w:sz="4" w:space="0" w:color="000000"/>
              <w:left w:val="single" w:sz="4" w:space="0" w:color="000000"/>
              <w:bottom w:val="single" w:sz="4" w:space="0" w:color="000000"/>
              <w:right w:val="single" w:sz="4" w:space="0" w:color="000000"/>
            </w:tcBorders>
            <w:vAlign w:val="center"/>
            <w:hideMark/>
          </w:tcPr>
          <w:p w14:paraId="4B405DF4" w14:textId="77777777" w:rsidR="00127869" w:rsidRPr="008379CA" w:rsidRDefault="00127869" w:rsidP="00050B5E">
            <w:pPr>
              <w:spacing w:line="276" w:lineRule="auto"/>
              <w:jc w:val="center"/>
              <w:rPr>
                <w:rFonts w:ascii="Bookman Old Style" w:eastAsia="Bookman Old Style" w:hAnsi="Bookman Old Style" w:cs="Bookman Old Style"/>
                <w:b/>
                <w:bCs/>
                <w:sz w:val="18"/>
                <w:szCs w:val="18"/>
                <w:lang w:val="en"/>
              </w:rPr>
            </w:pPr>
          </w:p>
        </w:tc>
        <w:tc>
          <w:tcPr>
            <w:tcW w:w="2516" w:type="dxa"/>
            <w:vMerge/>
            <w:tcBorders>
              <w:top w:val="single" w:sz="4" w:space="0" w:color="000000"/>
              <w:left w:val="single" w:sz="4" w:space="0" w:color="000000"/>
              <w:bottom w:val="single" w:sz="4" w:space="0" w:color="000000"/>
              <w:right w:val="single" w:sz="4" w:space="0" w:color="000000"/>
            </w:tcBorders>
            <w:vAlign w:val="center"/>
            <w:hideMark/>
          </w:tcPr>
          <w:p w14:paraId="7F613919" w14:textId="77777777" w:rsidR="00127869" w:rsidRPr="008379CA" w:rsidRDefault="00127869" w:rsidP="00050B5E">
            <w:pPr>
              <w:spacing w:line="276" w:lineRule="auto"/>
              <w:jc w:val="center"/>
              <w:rPr>
                <w:rFonts w:ascii="Bookman Old Style" w:eastAsia="Bookman Old Style" w:hAnsi="Bookman Old Style" w:cs="Bookman Old Style"/>
                <w:b/>
                <w:bCs/>
                <w:sz w:val="18"/>
                <w:szCs w:val="18"/>
                <w:lang w:val="en"/>
              </w:rPr>
            </w:pPr>
          </w:p>
        </w:tc>
        <w:tc>
          <w:tcPr>
            <w:tcW w:w="1207" w:type="dxa"/>
            <w:vMerge/>
            <w:tcBorders>
              <w:top w:val="single" w:sz="4" w:space="0" w:color="000000"/>
              <w:left w:val="single" w:sz="4" w:space="0" w:color="000000"/>
              <w:bottom w:val="single" w:sz="4" w:space="0" w:color="000000"/>
              <w:right w:val="single" w:sz="4" w:space="0" w:color="000000"/>
            </w:tcBorders>
            <w:vAlign w:val="center"/>
            <w:hideMark/>
          </w:tcPr>
          <w:p w14:paraId="4FD85DA8" w14:textId="77777777" w:rsidR="00127869" w:rsidRPr="008379CA" w:rsidRDefault="00127869" w:rsidP="00050B5E">
            <w:pPr>
              <w:spacing w:line="276" w:lineRule="auto"/>
              <w:jc w:val="center"/>
              <w:rPr>
                <w:rFonts w:ascii="Bookman Old Style" w:eastAsia="Bookman Old Style" w:hAnsi="Bookman Old Style" w:cs="Bookman Old Style"/>
                <w:b/>
                <w:bCs/>
                <w:sz w:val="18"/>
                <w:szCs w:val="18"/>
                <w:lang w:val="en"/>
              </w:rPr>
            </w:pPr>
          </w:p>
        </w:tc>
        <w:tc>
          <w:tcPr>
            <w:tcW w:w="1192" w:type="dxa"/>
            <w:vMerge/>
            <w:tcBorders>
              <w:top w:val="single" w:sz="4" w:space="0" w:color="000000"/>
              <w:left w:val="single" w:sz="4" w:space="0" w:color="000000"/>
              <w:bottom w:val="single" w:sz="4" w:space="0" w:color="000000"/>
              <w:right w:val="single" w:sz="4" w:space="0" w:color="000000"/>
            </w:tcBorders>
            <w:vAlign w:val="center"/>
            <w:hideMark/>
          </w:tcPr>
          <w:p w14:paraId="3A8DCD53" w14:textId="77777777" w:rsidR="00127869" w:rsidRPr="008379CA" w:rsidRDefault="00127869" w:rsidP="00050B5E">
            <w:pPr>
              <w:spacing w:line="276" w:lineRule="auto"/>
              <w:jc w:val="center"/>
              <w:rPr>
                <w:rFonts w:ascii="Bookman Old Style" w:eastAsia="Bookman Old Style" w:hAnsi="Bookman Old Style" w:cs="Bookman Old Style"/>
                <w:b/>
                <w:bCs/>
                <w:sz w:val="18"/>
                <w:szCs w:val="18"/>
                <w:lang w:val="en"/>
              </w:rPr>
            </w:pPr>
          </w:p>
        </w:tc>
        <w:tc>
          <w:tcPr>
            <w:tcW w:w="976" w:type="dxa"/>
            <w:vMerge/>
            <w:tcBorders>
              <w:top w:val="single" w:sz="4" w:space="0" w:color="000000"/>
              <w:left w:val="single" w:sz="4" w:space="0" w:color="000000"/>
              <w:bottom w:val="single" w:sz="4" w:space="0" w:color="000000"/>
              <w:right w:val="single" w:sz="4" w:space="0" w:color="000000"/>
            </w:tcBorders>
            <w:vAlign w:val="center"/>
            <w:hideMark/>
          </w:tcPr>
          <w:p w14:paraId="6D0AB414" w14:textId="77777777" w:rsidR="00127869" w:rsidRPr="008379CA" w:rsidRDefault="00127869" w:rsidP="00050B5E">
            <w:pPr>
              <w:spacing w:line="276" w:lineRule="auto"/>
              <w:jc w:val="center"/>
              <w:rPr>
                <w:rFonts w:ascii="Bookman Old Style" w:eastAsia="Bookman Old Style" w:hAnsi="Bookman Old Style" w:cs="Bookman Old Style"/>
                <w:b/>
                <w:bCs/>
                <w:sz w:val="18"/>
                <w:szCs w:val="18"/>
                <w:lang w:val="en"/>
              </w:rPr>
            </w:pPr>
          </w:p>
        </w:tc>
        <w:tc>
          <w:tcPr>
            <w:tcW w:w="1489" w:type="dxa"/>
            <w:tcBorders>
              <w:top w:val="single" w:sz="4" w:space="0" w:color="000000"/>
              <w:left w:val="single" w:sz="4" w:space="0" w:color="000000"/>
              <w:bottom w:val="single" w:sz="4" w:space="0" w:color="000000"/>
              <w:right w:val="single" w:sz="4" w:space="0" w:color="000000"/>
            </w:tcBorders>
            <w:vAlign w:val="center"/>
            <w:hideMark/>
          </w:tcPr>
          <w:p w14:paraId="4EAB55AE" w14:textId="77777777" w:rsidR="00127869" w:rsidRPr="008379CA" w:rsidRDefault="00127869" w:rsidP="00050B5E">
            <w:pPr>
              <w:widowControl w:val="0"/>
              <w:spacing w:line="276" w:lineRule="auto"/>
              <w:jc w:val="center"/>
              <w:rPr>
                <w:rFonts w:ascii="Bookman Old Style" w:eastAsia="Bookman Old Style" w:hAnsi="Bookman Old Style" w:cs="Bookman Old Style"/>
                <w:b/>
                <w:bCs/>
                <w:sz w:val="18"/>
                <w:szCs w:val="18"/>
              </w:rPr>
            </w:pPr>
            <w:r w:rsidRPr="008379CA">
              <w:rPr>
                <w:rFonts w:ascii="Bookman Old Style" w:eastAsia="Bookman Old Style" w:hAnsi="Bookman Old Style" w:cs="Bookman Old Style"/>
                <w:b/>
                <w:bCs/>
                <w:sz w:val="18"/>
                <w:szCs w:val="18"/>
              </w:rPr>
              <w:t>Anggaran</w:t>
            </w:r>
          </w:p>
        </w:tc>
        <w:tc>
          <w:tcPr>
            <w:tcW w:w="1239" w:type="dxa"/>
            <w:gridSpan w:val="2"/>
            <w:tcBorders>
              <w:top w:val="single" w:sz="4" w:space="0" w:color="000000"/>
              <w:left w:val="single" w:sz="4" w:space="0" w:color="000000"/>
              <w:bottom w:val="single" w:sz="4" w:space="0" w:color="000000"/>
              <w:right w:val="single" w:sz="4" w:space="0" w:color="000000"/>
            </w:tcBorders>
            <w:vAlign w:val="center"/>
            <w:hideMark/>
          </w:tcPr>
          <w:p w14:paraId="1E02DC24" w14:textId="781DB689" w:rsidR="00127869" w:rsidRPr="008379CA" w:rsidRDefault="00127869" w:rsidP="00050B5E">
            <w:pPr>
              <w:widowControl w:val="0"/>
              <w:spacing w:line="276" w:lineRule="auto"/>
              <w:jc w:val="center"/>
              <w:rPr>
                <w:rFonts w:ascii="Bookman Old Style" w:eastAsia="Bookman Old Style" w:hAnsi="Bookman Old Style" w:cs="Bookman Old Style"/>
                <w:b/>
                <w:bCs/>
                <w:sz w:val="18"/>
                <w:szCs w:val="18"/>
              </w:rPr>
            </w:pPr>
            <w:r w:rsidRPr="008379CA">
              <w:rPr>
                <w:rFonts w:ascii="Bookman Old Style" w:eastAsia="Bookman Old Style" w:hAnsi="Bookman Old Style" w:cs="Bookman Old Style"/>
                <w:b/>
                <w:bCs/>
                <w:sz w:val="18"/>
                <w:szCs w:val="18"/>
              </w:rPr>
              <w:t>Sub</w:t>
            </w:r>
            <w:r w:rsidR="00A954D0" w:rsidRPr="008379CA">
              <w:rPr>
                <w:rFonts w:ascii="Bookman Old Style" w:eastAsia="Bookman Old Style" w:hAnsi="Bookman Old Style" w:cs="Bookman Old Style"/>
                <w:b/>
                <w:bCs/>
                <w:sz w:val="18"/>
                <w:szCs w:val="18"/>
              </w:rPr>
              <w:t xml:space="preserve"> </w:t>
            </w:r>
            <w:r w:rsidRPr="008379CA">
              <w:rPr>
                <w:rFonts w:ascii="Bookman Old Style" w:eastAsia="Bookman Old Style" w:hAnsi="Bookman Old Style" w:cs="Bookman Old Style"/>
                <w:b/>
                <w:bCs/>
                <w:sz w:val="18"/>
                <w:szCs w:val="18"/>
              </w:rPr>
              <w:t>Kegiatan</w:t>
            </w:r>
          </w:p>
        </w:tc>
        <w:tc>
          <w:tcPr>
            <w:tcW w:w="1313" w:type="dxa"/>
            <w:tcBorders>
              <w:top w:val="single" w:sz="4" w:space="0" w:color="000000"/>
              <w:left w:val="single" w:sz="4" w:space="0" w:color="000000"/>
              <w:bottom w:val="single" w:sz="4" w:space="0" w:color="000000"/>
              <w:right w:val="single" w:sz="4" w:space="0" w:color="000000"/>
            </w:tcBorders>
            <w:vAlign w:val="center"/>
            <w:hideMark/>
          </w:tcPr>
          <w:p w14:paraId="6EC40214" w14:textId="027813FD" w:rsidR="00127869" w:rsidRPr="008379CA" w:rsidRDefault="00127869" w:rsidP="00050B5E">
            <w:pPr>
              <w:widowControl w:val="0"/>
              <w:spacing w:line="276" w:lineRule="auto"/>
              <w:jc w:val="center"/>
              <w:rPr>
                <w:rFonts w:ascii="Bookman Old Style" w:eastAsia="Bookman Old Style" w:hAnsi="Bookman Old Style" w:cs="Bookman Old Style"/>
                <w:b/>
                <w:bCs/>
                <w:sz w:val="18"/>
                <w:szCs w:val="18"/>
              </w:rPr>
            </w:pPr>
            <w:r w:rsidRPr="008379CA">
              <w:rPr>
                <w:rFonts w:ascii="Bookman Old Style" w:eastAsia="Bookman Old Style" w:hAnsi="Bookman Old Style" w:cs="Bookman Old Style"/>
                <w:b/>
                <w:bCs/>
                <w:sz w:val="18"/>
                <w:szCs w:val="18"/>
              </w:rPr>
              <w:t>%</w:t>
            </w:r>
            <w:r w:rsidR="00A954D0" w:rsidRPr="008379CA">
              <w:rPr>
                <w:rFonts w:ascii="Bookman Old Style" w:eastAsia="Bookman Old Style" w:hAnsi="Bookman Old Style" w:cs="Bookman Old Style"/>
                <w:b/>
                <w:bCs/>
                <w:sz w:val="18"/>
                <w:szCs w:val="18"/>
              </w:rPr>
              <w:t xml:space="preserve"> </w:t>
            </w:r>
            <w:r w:rsidRPr="008379CA">
              <w:rPr>
                <w:rFonts w:ascii="Bookman Old Style" w:eastAsia="Bookman Old Style" w:hAnsi="Bookman Old Style" w:cs="Bookman Old Style"/>
                <w:b/>
                <w:bCs/>
                <w:sz w:val="18"/>
                <w:szCs w:val="18"/>
              </w:rPr>
              <w:t>Sub</w:t>
            </w:r>
            <w:r w:rsidR="00A954D0" w:rsidRPr="008379CA">
              <w:rPr>
                <w:rFonts w:ascii="Bookman Old Style" w:eastAsia="Bookman Old Style" w:hAnsi="Bookman Old Style" w:cs="Bookman Old Style"/>
                <w:b/>
                <w:bCs/>
                <w:sz w:val="18"/>
                <w:szCs w:val="18"/>
              </w:rPr>
              <w:t xml:space="preserve"> </w:t>
            </w:r>
            <w:r w:rsidRPr="008379CA">
              <w:rPr>
                <w:rFonts w:ascii="Bookman Old Style" w:eastAsia="Bookman Old Style" w:hAnsi="Bookman Old Style" w:cs="Bookman Old Style"/>
                <w:b/>
                <w:bCs/>
                <w:sz w:val="18"/>
                <w:szCs w:val="18"/>
              </w:rPr>
              <w:t>kegiatan</w:t>
            </w:r>
          </w:p>
        </w:tc>
      </w:tr>
      <w:tr w:rsidR="008379CA" w:rsidRPr="008379CA" w14:paraId="628ECCC0" w14:textId="77777777" w:rsidTr="006A0033">
        <w:tc>
          <w:tcPr>
            <w:tcW w:w="530" w:type="dxa"/>
            <w:tcBorders>
              <w:top w:val="single" w:sz="4" w:space="0" w:color="000000"/>
              <w:left w:val="single" w:sz="4" w:space="0" w:color="000000"/>
              <w:bottom w:val="single" w:sz="4" w:space="0" w:color="000000"/>
              <w:right w:val="single" w:sz="4" w:space="0" w:color="000000"/>
            </w:tcBorders>
            <w:vAlign w:val="center"/>
            <w:hideMark/>
          </w:tcPr>
          <w:p w14:paraId="79F7500C" w14:textId="77777777"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eastAsia="Bookman Old Style" w:hAnsi="Bookman Old Style" w:cs="Bookman Old Style"/>
                <w:sz w:val="18"/>
                <w:szCs w:val="18"/>
              </w:rPr>
              <w:t>1</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6CBA1" w14:textId="65102477" w:rsidR="00483485" w:rsidRPr="008379CA" w:rsidRDefault="00483485" w:rsidP="00483485">
            <w:pPr>
              <w:widowControl w:val="0"/>
              <w:spacing w:line="276" w:lineRule="auto"/>
              <w:rPr>
                <w:rFonts w:ascii="Bookman Old Style" w:eastAsia="Bookman Old Style" w:hAnsi="Bookman Old Style" w:cs="Bookman Old Style"/>
                <w:sz w:val="18"/>
                <w:szCs w:val="18"/>
              </w:rPr>
            </w:pPr>
            <w:r w:rsidRPr="008379CA">
              <w:rPr>
                <w:rFonts w:ascii="Bookman Old Style" w:hAnsi="Bookman Old Style" w:cs="Calibri"/>
                <w:sz w:val="18"/>
                <w:szCs w:val="18"/>
              </w:rPr>
              <w:t>A.1</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Skor</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Kemampuan</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Literasi</w:t>
            </w:r>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287EAF4A" w14:textId="5E66F4CA"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SD</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14:paraId="1F176E85" w14:textId="0D30403D"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67</w:t>
            </w:r>
            <w:r w:rsidR="007B5F48" w:rsidRPr="008379CA">
              <w:rPr>
                <w:rFonts w:ascii="Bookman Old Style" w:hAnsi="Bookman Old Style" w:cs="Calibri"/>
                <w:sz w:val="18"/>
                <w:szCs w:val="18"/>
              </w:rPr>
              <w:t>,</w:t>
            </w:r>
            <w:r w:rsidRPr="008379CA">
              <w:rPr>
                <w:rFonts w:ascii="Bookman Old Style" w:hAnsi="Bookman Old Style" w:cs="Calibri"/>
                <w:sz w:val="18"/>
                <w:szCs w:val="18"/>
              </w:rPr>
              <w:t>14</w:t>
            </w:r>
          </w:p>
        </w:tc>
        <w:tc>
          <w:tcPr>
            <w:tcW w:w="976" w:type="dxa"/>
            <w:tcBorders>
              <w:top w:val="single" w:sz="4" w:space="0" w:color="auto"/>
              <w:left w:val="nil"/>
              <w:bottom w:val="single" w:sz="4" w:space="0" w:color="auto"/>
              <w:right w:val="single" w:sz="4" w:space="0" w:color="auto"/>
            </w:tcBorders>
            <w:shd w:val="clear" w:color="auto" w:fill="auto"/>
            <w:vAlign w:val="center"/>
            <w:hideMark/>
          </w:tcPr>
          <w:p w14:paraId="60F7A67A" w14:textId="41B93831"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Sedang</w:t>
            </w:r>
          </w:p>
        </w:tc>
        <w:tc>
          <w:tcPr>
            <w:tcW w:w="1489" w:type="dxa"/>
            <w:tcBorders>
              <w:top w:val="single" w:sz="4" w:space="0" w:color="auto"/>
              <w:left w:val="nil"/>
              <w:bottom w:val="single" w:sz="4" w:space="0" w:color="auto"/>
              <w:right w:val="single" w:sz="4" w:space="0" w:color="auto"/>
            </w:tcBorders>
            <w:shd w:val="clear" w:color="auto" w:fill="auto"/>
            <w:vAlign w:val="center"/>
            <w:hideMark/>
          </w:tcPr>
          <w:p w14:paraId="17BA7F13" w14:textId="2580436B"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Sudah</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Dianggarkan</w:t>
            </w:r>
          </w:p>
        </w:tc>
        <w:tc>
          <w:tcPr>
            <w:tcW w:w="1239" w:type="dxa"/>
            <w:gridSpan w:val="2"/>
            <w:tcBorders>
              <w:top w:val="single" w:sz="4" w:space="0" w:color="auto"/>
              <w:left w:val="nil"/>
              <w:bottom w:val="single" w:sz="4" w:space="0" w:color="auto"/>
              <w:right w:val="single" w:sz="4" w:space="0" w:color="auto"/>
            </w:tcBorders>
            <w:shd w:val="clear" w:color="auto" w:fill="auto"/>
            <w:vAlign w:val="center"/>
            <w:hideMark/>
          </w:tcPr>
          <w:p w14:paraId="68A9ACD4" w14:textId="4E6DE12F"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11</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5058324E" w14:textId="394955DB"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91,67</w:t>
            </w:r>
          </w:p>
        </w:tc>
      </w:tr>
      <w:tr w:rsidR="008379CA" w:rsidRPr="008379CA" w14:paraId="5F1402A8" w14:textId="77777777" w:rsidTr="006A0033">
        <w:tc>
          <w:tcPr>
            <w:tcW w:w="530" w:type="dxa"/>
            <w:tcBorders>
              <w:top w:val="single" w:sz="4" w:space="0" w:color="000000"/>
              <w:left w:val="single" w:sz="4" w:space="0" w:color="000000"/>
              <w:bottom w:val="single" w:sz="4" w:space="0" w:color="000000"/>
              <w:right w:val="single" w:sz="4" w:space="0" w:color="000000"/>
            </w:tcBorders>
            <w:vAlign w:val="center"/>
            <w:hideMark/>
          </w:tcPr>
          <w:p w14:paraId="1B51C99A" w14:textId="77777777"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eastAsia="Bookman Old Style" w:hAnsi="Bookman Old Style" w:cs="Bookman Old Style"/>
                <w:sz w:val="18"/>
                <w:szCs w:val="18"/>
              </w:rPr>
              <w:t>2</w:t>
            </w:r>
          </w:p>
        </w:tc>
        <w:tc>
          <w:tcPr>
            <w:tcW w:w="2516" w:type="dxa"/>
            <w:tcBorders>
              <w:top w:val="nil"/>
              <w:left w:val="single" w:sz="4" w:space="0" w:color="auto"/>
              <w:bottom w:val="single" w:sz="4" w:space="0" w:color="auto"/>
              <w:right w:val="single" w:sz="4" w:space="0" w:color="auto"/>
            </w:tcBorders>
            <w:shd w:val="clear" w:color="auto" w:fill="auto"/>
            <w:vAlign w:val="center"/>
            <w:hideMark/>
          </w:tcPr>
          <w:p w14:paraId="2BAFE958" w14:textId="1B4605BC" w:rsidR="00483485" w:rsidRPr="008379CA" w:rsidRDefault="00483485" w:rsidP="00483485">
            <w:pPr>
              <w:widowControl w:val="0"/>
              <w:spacing w:line="276" w:lineRule="auto"/>
              <w:rPr>
                <w:rFonts w:ascii="Bookman Old Style" w:eastAsia="Bookman Old Style" w:hAnsi="Bookman Old Style" w:cs="Bookman Old Style"/>
                <w:sz w:val="18"/>
                <w:szCs w:val="18"/>
              </w:rPr>
            </w:pPr>
            <w:r w:rsidRPr="008379CA">
              <w:rPr>
                <w:rFonts w:ascii="Bookman Old Style" w:hAnsi="Bookman Old Style" w:cs="Calibri"/>
                <w:sz w:val="18"/>
                <w:szCs w:val="18"/>
              </w:rPr>
              <w:t>A.1</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Skor</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Kemampuan</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Literasi</w:t>
            </w:r>
          </w:p>
        </w:tc>
        <w:tc>
          <w:tcPr>
            <w:tcW w:w="1207" w:type="dxa"/>
            <w:tcBorders>
              <w:top w:val="nil"/>
              <w:left w:val="nil"/>
              <w:bottom w:val="single" w:sz="4" w:space="0" w:color="auto"/>
              <w:right w:val="single" w:sz="4" w:space="0" w:color="auto"/>
            </w:tcBorders>
            <w:shd w:val="clear" w:color="auto" w:fill="auto"/>
            <w:vAlign w:val="center"/>
            <w:hideMark/>
          </w:tcPr>
          <w:p w14:paraId="1697AAFD" w14:textId="6DCCC4AB"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SMP</w:t>
            </w:r>
          </w:p>
        </w:tc>
        <w:tc>
          <w:tcPr>
            <w:tcW w:w="1192" w:type="dxa"/>
            <w:tcBorders>
              <w:top w:val="nil"/>
              <w:left w:val="nil"/>
              <w:bottom w:val="single" w:sz="4" w:space="0" w:color="auto"/>
              <w:right w:val="single" w:sz="4" w:space="0" w:color="auto"/>
            </w:tcBorders>
            <w:shd w:val="clear" w:color="auto" w:fill="auto"/>
            <w:vAlign w:val="center"/>
            <w:hideMark/>
          </w:tcPr>
          <w:p w14:paraId="53877377" w14:textId="6CE0DA33"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75</w:t>
            </w:r>
            <w:r w:rsidR="007B5F48" w:rsidRPr="008379CA">
              <w:rPr>
                <w:rFonts w:ascii="Bookman Old Style" w:hAnsi="Bookman Old Style" w:cs="Calibri"/>
                <w:sz w:val="18"/>
                <w:szCs w:val="18"/>
              </w:rPr>
              <w:t>,</w:t>
            </w:r>
            <w:r w:rsidRPr="008379CA">
              <w:rPr>
                <w:rFonts w:ascii="Bookman Old Style" w:hAnsi="Bookman Old Style" w:cs="Calibri"/>
                <w:sz w:val="18"/>
                <w:szCs w:val="18"/>
              </w:rPr>
              <w:t>48</w:t>
            </w:r>
          </w:p>
        </w:tc>
        <w:tc>
          <w:tcPr>
            <w:tcW w:w="976" w:type="dxa"/>
            <w:tcBorders>
              <w:top w:val="nil"/>
              <w:left w:val="nil"/>
              <w:bottom w:val="single" w:sz="4" w:space="0" w:color="auto"/>
              <w:right w:val="single" w:sz="4" w:space="0" w:color="auto"/>
            </w:tcBorders>
            <w:shd w:val="clear" w:color="auto" w:fill="auto"/>
            <w:vAlign w:val="center"/>
            <w:hideMark/>
          </w:tcPr>
          <w:p w14:paraId="0E6587FB" w14:textId="3B85A2C6"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Baik</w:t>
            </w:r>
          </w:p>
        </w:tc>
        <w:tc>
          <w:tcPr>
            <w:tcW w:w="1489" w:type="dxa"/>
            <w:tcBorders>
              <w:top w:val="nil"/>
              <w:left w:val="nil"/>
              <w:bottom w:val="single" w:sz="4" w:space="0" w:color="auto"/>
              <w:right w:val="single" w:sz="4" w:space="0" w:color="auto"/>
            </w:tcBorders>
            <w:shd w:val="clear" w:color="auto" w:fill="auto"/>
            <w:vAlign w:val="center"/>
            <w:hideMark/>
          </w:tcPr>
          <w:p w14:paraId="681E634D" w14:textId="65183BF0"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Sudah</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Dianggarkan</w:t>
            </w:r>
          </w:p>
        </w:tc>
        <w:tc>
          <w:tcPr>
            <w:tcW w:w="1239" w:type="dxa"/>
            <w:gridSpan w:val="2"/>
            <w:tcBorders>
              <w:top w:val="nil"/>
              <w:left w:val="nil"/>
              <w:bottom w:val="single" w:sz="4" w:space="0" w:color="auto"/>
              <w:right w:val="single" w:sz="4" w:space="0" w:color="auto"/>
            </w:tcBorders>
            <w:shd w:val="clear" w:color="auto" w:fill="auto"/>
            <w:vAlign w:val="center"/>
            <w:hideMark/>
          </w:tcPr>
          <w:p w14:paraId="70D466DF" w14:textId="67261EBE"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10</w:t>
            </w:r>
          </w:p>
        </w:tc>
        <w:tc>
          <w:tcPr>
            <w:tcW w:w="1313" w:type="dxa"/>
            <w:tcBorders>
              <w:top w:val="nil"/>
              <w:left w:val="nil"/>
              <w:bottom w:val="single" w:sz="4" w:space="0" w:color="auto"/>
              <w:right w:val="single" w:sz="4" w:space="0" w:color="auto"/>
            </w:tcBorders>
            <w:shd w:val="clear" w:color="auto" w:fill="auto"/>
            <w:vAlign w:val="center"/>
            <w:hideMark/>
          </w:tcPr>
          <w:p w14:paraId="1F7B7A6A" w14:textId="4D6F814F"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83,33</w:t>
            </w:r>
          </w:p>
        </w:tc>
      </w:tr>
      <w:tr w:rsidR="008379CA" w:rsidRPr="008379CA" w14:paraId="5B1093F8" w14:textId="77777777" w:rsidTr="006A0033">
        <w:tc>
          <w:tcPr>
            <w:tcW w:w="530" w:type="dxa"/>
            <w:tcBorders>
              <w:top w:val="single" w:sz="4" w:space="0" w:color="000000"/>
              <w:left w:val="single" w:sz="4" w:space="0" w:color="000000"/>
              <w:bottom w:val="single" w:sz="4" w:space="0" w:color="000000"/>
              <w:right w:val="single" w:sz="4" w:space="0" w:color="000000"/>
            </w:tcBorders>
            <w:vAlign w:val="center"/>
            <w:hideMark/>
          </w:tcPr>
          <w:p w14:paraId="1DB6D22E" w14:textId="77777777"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eastAsia="Bookman Old Style" w:hAnsi="Bookman Old Style" w:cs="Bookman Old Style"/>
                <w:sz w:val="18"/>
                <w:szCs w:val="18"/>
              </w:rPr>
              <w:t>3</w:t>
            </w:r>
          </w:p>
        </w:tc>
        <w:tc>
          <w:tcPr>
            <w:tcW w:w="2516" w:type="dxa"/>
            <w:tcBorders>
              <w:top w:val="nil"/>
              <w:left w:val="single" w:sz="4" w:space="0" w:color="auto"/>
              <w:bottom w:val="single" w:sz="4" w:space="0" w:color="auto"/>
              <w:right w:val="single" w:sz="4" w:space="0" w:color="auto"/>
            </w:tcBorders>
            <w:shd w:val="clear" w:color="auto" w:fill="auto"/>
            <w:vAlign w:val="center"/>
            <w:hideMark/>
          </w:tcPr>
          <w:p w14:paraId="09A9FED0" w14:textId="5A1D2A1E" w:rsidR="00483485" w:rsidRPr="008379CA" w:rsidRDefault="00483485" w:rsidP="00483485">
            <w:pPr>
              <w:widowControl w:val="0"/>
              <w:spacing w:line="276" w:lineRule="auto"/>
              <w:rPr>
                <w:rFonts w:ascii="Bookman Old Style" w:eastAsia="Bookman Old Style" w:hAnsi="Bookman Old Style" w:cs="Bookman Old Style"/>
                <w:sz w:val="18"/>
                <w:szCs w:val="18"/>
              </w:rPr>
            </w:pPr>
            <w:r w:rsidRPr="008379CA">
              <w:rPr>
                <w:rFonts w:ascii="Bookman Old Style" w:hAnsi="Bookman Old Style" w:cs="Calibri"/>
                <w:sz w:val="18"/>
                <w:szCs w:val="18"/>
              </w:rPr>
              <w:t>A.2</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Skor</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Kemampuan</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Numerasi</w:t>
            </w:r>
          </w:p>
        </w:tc>
        <w:tc>
          <w:tcPr>
            <w:tcW w:w="1207" w:type="dxa"/>
            <w:tcBorders>
              <w:top w:val="nil"/>
              <w:left w:val="nil"/>
              <w:bottom w:val="single" w:sz="4" w:space="0" w:color="auto"/>
              <w:right w:val="single" w:sz="4" w:space="0" w:color="auto"/>
            </w:tcBorders>
            <w:shd w:val="clear" w:color="auto" w:fill="auto"/>
            <w:vAlign w:val="center"/>
            <w:hideMark/>
          </w:tcPr>
          <w:p w14:paraId="59A12BB5" w14:textId="2490A58C"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SD</w:t>
            </w:r>
          </w:p>
        </w:tc>
        <w:tc>
          <w:tcPr>
            <w:tcW w:w="1192" w:type="dxa"/>
            <w:tcBorders>
              <w:top w:val="nil"/>
              <w:left w:val="nil"/>
              <w:bottom w:val="single" w:sz="4" w:space="0" w:color="auto"/>
              <w:right w:val="single" w:sz="4" w:space="0" w:color="auto"/>
            </w:tcBorders>
            <w:shd w:val="clear" w:color="auto" w:fill="auto"/>
            <w:vAlign w:val="center"/>
            <w:hideMark/>
          </w:tcPr>
          <w:p w14:paraId="171696CC" w14:textId="2397CB9D"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53</w:t>
            </w:r>
            <w:r w:rsidR="007B5F48" w:rsidRPr="008379CA">
              <w:rPr>
                <w:rFonts w:ascii="Bookman Old Style" w:hAnsi="Bookman Old Style" w:cs="Calibri"/>
                <w:sz w:val="18"/>
                <w:szCs w:val="18"/>
              </w:rPr>
              <w:t>,</w:t>
            </w:r>
            <w:r w:rsidRPr="008379CA">
              <w:rPr>
                <w:rFonts w:ascii="Bookman Old Style" w:hAnsi="Bookman Old Style" w:cs="Calibri"/>
                <w:sz w:val="18"/>
                <w:szCs w:val="18"/>
              </w:rPr>
              <w:t>02</w:t>
            </w:r>
          </w:p>
        </w:tc>
        <w:tc>
          <w:tcPr>
            <w:tcW w:w="976" w:type="dxa"/>
            <w:tcBorders>
              <w:top w:val="nil"/>
              <w:left w:val="nil"/>
              <w:bottom w:val="single" w:sz="4" w:space="0" w:color="auto"/>
              <w:right w:val="single" w:sz="4" w:space="0" w:color="auto"/>
            </w:tcBorders>
            <w:shd w:val="clear" w:color="auto" w:fill="auto"/>
            <w:vAlign w:val="center"/>
            <w:hideMark/>
          </w:tcPr>
          <w:p w14:paraId="58A3D3FE" w14:textId="46BDE30B"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Sedang</w:t>
            </w:r>
          </w:p>
        </w:tc>
        <w:tc>
          <w:tcPr>
            <w:tcW w:w="1489" w:type="dxa"/>
            <w:tcBorders>
              <w:top w:val="nil"/>
              <w:left w:val="nil"/>
              <w:bottom w:val="single" w:sz="4" w:space="0" w:color="auto"/>
              <w:right w:val="single" w:sz="4" w:space="0" w:color="auto"/>
            </w:tcBorders>
            <w:shd w:val="clear" w:color="auto" w:fill="auto"/>
            <w:vAlign w:val="center"/>
            <w:hideMark/>
          </w:tcPr>
          <w:p w14:paraId="2008A6D8" w14:textId="261CEBEA"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Sudah</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Dianggarkan</w:t>
            </w:r>
          </w:p>
        </w:tc>
        <w:tc>
          <w:tcPr>
            <w:tcW w:w="1239" w:type="dxa"/>
            <w:gridSpan w:val="2"/>
            <w:tcBorders>
              <w:top w:val="nil"/>
              <w:left w:val="nil"/>
              <w:bottom w:val="single" w:sz="4" w:space="0" w:color="auto"/>
              <w:right w:val="single" w:sz="4" w:space="0" w:color="auto"/>
            </w:tcBorders>
            <w:shd w:val="clear" w:color="auto" w:fill="auto"/>
            <w:vAlign w:val="center"/>
            <w:hideMark/>
          </w:tcPr>
          <w:p w14:paraId="06F571B5" w14:textId="04CAB30E"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11</w:t>
            </w:r>
          </w:p>
        </w:tc>
        <w:tc>
          <w:tcPr>
            <w:tcW w:w="1313" w:type="dxa"/>
            <w:tcBorders>
              <w:top w:val="nil"/>
              <w:left w:val="nil"/>
              <w:bottom w:val="single" w:sz="4" w:space="0" w:color="auto"/>
              <w:right w:val="single" w:sz="4" w:space="0" w:color="auto"/>
            </w:tcBorders>
            <w:shd w:val="clear" w:color="auto" w:fill="auto"/>
            <w:vAlign w:val="center"/>
            <w:hideMark/>
          </w:tcPr>
          <w:p w14:paraId="1117D9F0" w14:textId="49C089DE"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84,62</w:t>
            </w:r>
          </w:p>
        </w:tc>
      </w:tr>
      <w:tr w:rsidR="008379CA" w:rsidRPr="008379CA" w14:paraId="7C750FAB" w14:textId="77777777" w:rsidTr="006A0033">
        <w:tc>
          <w:tcPr>
            <w:tcW w:w="530" w:type="dxa"/>
            <w:tcBorders>
              <w:top w:val="single" w:sz="4" w:space="0" w:color="000000"/>
              <w:left w:val="single" w:sz="4" w:space="0" w:color="000000"/>
              <w:bottom w:val="single" w:sz="4" w:space="0" w:color="000000"/>
              <w:right w:val="single" w:sz="4" w:space="0" w:color="000000"/>
            </w:tcBorders>
            <w:vAlign w:val="center"/>
            <w:hideMark/>
          </w:tcPr>
          <w:p w14:paraId="26096B62" w14:textId="77777777"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eastAsia="Bookman Old Style" w:hAnsi="Bookman Old Style" w:cs="Bookman Old Style"/>
                <w:sz w:val="18"/>
                <w:szCs w:val="18"/>
              </w:rPr>
              <w:t>4</w:t>
            </w:r>
          </w:p>
        </w:tc>
        <w:tc>
          <w:tcPr>
            <w:tcW w:w="2516" w:type="dxa"/>
            <w:tcBorders>
              <w:top w:val="nil"/>
              <w:left w:val="single" w:sz="4" w:space="0" w:color="auto"/>
              <w:bottom w:val="single" w:sz="4" w:space="0" w:color="auto"/>
              <w:right w:val="single" w:sz="4" w:space="0" w:color="auto"/>
            </w:tcBorders>
            <w:shd w:val="clear" w:color="auto" w:fill="auto"/>
            <w:vAlign w:val="center"/>
            <w:hideMark/>
          </w:tcPr>
          <w:p w14:paraId="526963B8" w14:textId="1E1BC0B1" w:rsidR="00483485" w:rsidRPr="008379CA" w:rsidRDefault="00483485" w:rsidP="00483485">
            <w:pPr>
              <w:widowControl w:val="0"/>
              <w:spacing w:line="276" w:lineRule="auto"/>
              <w:rPr>
                <w:rFonts w:ascii="Bookman Old Style" w:eastAsia="Bookman Old Style" w:hAnsi="Bookman Old Style" w:cs="Bookman Old Style"/>
                <w:sz w:val="18"/>
                <w:szCs w:val="18"/>
              </w:rPr>
            </w:pPr>
            <w:r w:rsidRPr="008379CA">
              <w:rPr>
                <w:rFonts w:ascii="Bookman Old Style" w:hAnsi="Bookman Old Style" w:cs="Calibri"/>
                <w:sz w:val="18"/>
                <w:szCs w:val="18"/>
              </w:rPr>
              <w:t>A.2</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Skor</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Kemampuan</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Numerasi</w:t>
            </w:r>
          </w:p>
        </w:tc>
        <w:tc>
          <w:tcPr>
            <w:tcW w:w="1207" w:type="dxa"/>
            <w:tcBorders>
              <w:top w:val="nil"/>
              <w:left w:val="nil"/>
              <w:bottom w:val="single" w:sz="4" w:space="0" w:color="auto"/>
              <w:right w:val="single" w:sz="4" w:space="0" w:color="auto"/>
            </w:tcBorders>
            <w:shd w:val="clear" w:color="auto" w:fill="auto"/>
            <w:vAlign w:val="center"/>
            <w:hideMark/>
          </w:tcPr>
          <w:p w14:paraId="302370DF" w14:textId="1FF6E244"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SMP</w:t>
            </w:r>
          </w:p>
        </w:tc>
        <w:tc>
          <w:tcPr>
            <w:tcW w:w="1192" w:type="dxa"/>
            <w:tcBorders>
              <w:top w:val="nil"/>
              <w:left w:val="nil"/>
              <w:bottom w:val="single" w:sz="4" w:space="0" w:color="auto"/>
              <w:right w:val="single" w:sz="4" w:space="0" w:color="auto"/>
            </w:tcBorders>
            <w:shd w:val="clear" w:color="auto" w:fill="auto"/>
            <w:vAlign w:val="center"/>
            <w:hideMark/>
          </w:tcPr>
          <w:p w14:paraId="5AADEB7C" w14:textId="52DB66C4"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66</w:t>
            </w:r>
            <w:r w:rsidR="007B5F48" w:rsidRPr="008379CA">
              <w:rPr>
                <w:rFonts w:ascii="Bookman Old Style" w:hAnsi="Bookman Old Style" w:cs="Calibri"/>
                <w:sz w:val="18"/>
                <w:szCs w:val="18"/>
              </w:rPr>
              <w:t>,</w:t>
            </w:r>
            <w:r w:rsidRPr="008379CA">
              <w:rPr>
                <w:rFonts w:ascii="Bookman Old Style" w:hAnsi="Bookman Old Style" w:cs="Calibri"/>
                <w:sz w:val="18"/>
                <w:szCs w:val="18"/>
              </w:rPr>
              <w:t>26</w:t>
            </w:r>
          </w:p>
        </w:tc>
        <w:tc>
          <w:tcPr>
            <w:tcW w:w="976" w:type="dxa"/>
            <w:tcBorders>
              <w:top w:val="nil"/>
              <w:left w:val="nil"/>
              <w:bottom w:val="single" w:sz="4" w:space="0" w:color="auto"/>
              <w:right w:val="single" w:sz="4" w:space="0" w:color="auto"/>
            </w:tcBorders>
            <w:shd w:val="clear" w:color="auto" w:fill="auto"/>
            <w:vAlign w:val="center"/>
            <w:hideMark/>
          </w:tcPr>
          <w:p w14:paraId="5D2FD108" w14:textId="568BBC7D"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Sedang</w:t>
            </w:r>
          </w:p>
        </w:tc>
        <w:tc>
          <w:tcPr>
            <w:tcW w:w="1489" w:type="dxa"/>
            <w:tcBorders>
              <w:top w:val="nil"/>
              <w:left w:val="nil"/>
              <w:bottom w:val="single" w:sz="4" w:space="0" w:color="auto"/>
              <w:right w:val="single" w:sz="4" w:space="0" w:color="auto"/>
            </w:tcBorders>
            <w:shd w:val="clear" w:color="auto" w:fill="auto"/>
            <w:vAlign w:val="center"/>
            <w:hideMark/>
          </w:tcPr>
          <w:p w14:paraId="0E7309B5" w14:textId="2B9816E6"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Sudah</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Dianggarkan</w:t>
            </w:r>
          </w:p>
        </w:tc>
        <w:tc>
          <w:tcPr>
            <w:tcW w:w="1239" w:type="dxa"/>
            <w:gridSpan w:val="2"/>
            <w:tcBorders>
              <w:top w:val="nil"/>
              <w:left w:val="nil"/>
              <w:bottom w:val="single" w:sz="4" w:space="0" w:color="auto"/>
              <w:right w:val="single" w:sz="4" w:space="0" w:color="auto"/>
            </w:tcBorders>
            <w:shd w:val="clear" w:color="auto" w:fill="auto"/>
            <w:vAlign w:val="center"/>
            <w:hideMark/>
          </w:tcPr>
          <w:p w14:paraId="6E482A82" w14:textId="6EB2692F"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10</w:t>
            </w:r>
          </w:p>
        </w:tc>
        <w:tc>
          <w:tcPr>
            <w:tcW w:w="1313" w:type="dxa"/>
            <w:tcBorders>
              <w:top w:val="nil"/>
              <w:left w:val="nil"/>
              <w:bottom w:val="single" w:sz="4" w:space="0" w:color="auto"/>
              <w:right w:val="single" w:sz="4" w:space="0" w:color="auto"/>
            </w:tcBorders>
            <w:shd w:val="clear" w:color="auto" w:fill="auto"/>
            <w:vAlign w:val="center"/>
            <w:hideMark/>
          </w:tcPr>
          <w:p w14:paraId="6193C18C" w14:textId="7A75DF23"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76,92</w:t>
            </w:r>
          </w:p>
        </w:tc>
      </w:tr>
      <w:tr w:rsidR="008379CA" w:rsidRPr="008379CA" w14:paraId="044038D5" w14:textId="77777777" w:rsidTr="006A0033">
        <w:tc>
          <w:tcPr>
            <w:tcW w:w="530" w:type="dxa"/>
            <w:tcBorders>
              <w:top w:val="single" w:sz="4" w:space="0" w:color="000000"/>
              <w:left w:val="single" w:sz="4" w:space="0" w:color="000000"/>
              <w:bottom w:val="single" w:sz="4" w:space="0" w:color="000000"/>
              <w:right w:val="single" w:sz="4" w:space="0" w:color="000000"/>
            </w:tcBorders>
            <w:vAlign w:val="center"/>
            <w:hideMark/>
          </w:tcPr>
          <w:p w14:paraId="31E6FDF8" w14:textId="77777777"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eastAsia="Bookman Old Style" w:hAnsi="Bookman Old Style" w:cs="Bookman Old Style"/>
                <w:sz w:val="18"/>
                <w:szCs w:val="18"/>
              </w:rPr>
              <w:t>5</w:t>
            </w:r>
          </w:p>
        </w:tc>
        <w:tc>
          <w:tcPr>
            <w:tcW w:w="2516" w:type="dxa"/>
            <w:tcBorders>
              <w:top w:val="nil"/>
              <w:left w:val="single" w:sz="4" w:space="0" w:color="auto"/>
              <w:bottom w:val="single" w:sz="4" w:space="0" w:color="auto"/>
              <w:right w:val="single" w:sz="4" w:space="0" w:color="auto"/>
            </w:tcBorders>
            <w:shd w:val="clear" w:color="auto" w:fill="auto"/>
            <w:vAlign w:val="center"/>
            <w:hideMark/>
          </w:tcPr>
          <w:p w14:paraId="05A9EDD6" w14:textId="073036E3" w:rsidR="00483485" w:rsidRPr="008379CA" w:rsidRDefault="00483485" w:rsidP="00483485">
            <w:pPr>
              <w:widowControl w:val="0"/>
              <w:spacing w:line="276" w:lineRule="auto"/>
              <w:rPr>
                <w:rFonts w:ascii="Bookman Old Style" w:eastAsia="Bookman Old Style" w:hAnsi="Bookman Old Style" w:cs="Bookman Old Style"/>
                <w:sz w:val="18"/>
                <w:szCs w:val="18"/>
              </w:rPr>
            </w:pPr>
            <w:r w:rsidRPr="008379CA">
              <w:rPr>
                <w:rFonts w:ascii="Bookman Old Style" w:hAnsi="Bookman Old Style" w:cs="Calibri"/>
                <w:sz w:val="18"/>
                <w:szCs w:val="18"/>
              </w:rPr>
              <w:t>B.10</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Angka</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Partisipasi</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Sekolah</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(5-6)</w:t>
            </w:r>
          </w:p>
        </w:tc>
        <w:tc>
          <w:tcPr>
            <w:tcW w:w="1207" w:type="dxa"/>
            <w:tcBorders>
              <w:top w:val="nil"/>
              <w:left w:val="nil"/>
              <w:bottom w:val="single" w:sz="4" w:space="0" w:color="auto"/>
              <w:right w:val="single" w:sz="4" w:space="0" w:color="auto"/>
            </w:tcBorders>
            <w:shd w:val="clear" w:color="auto" w:fill="auto"/>
            <w:vAlign w:val="center"/>
            <w:hideMark/>
          </w:tcPr>
          <w:p w14:paraId="6315DCF1" w14:textId="4DAAA256"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PAUD</w:t>
            </w:r>
          </w:p>
        </w:tc>
        <w:tc>
          <w:tcPr>
            <w:tcW w:w="1192" w:type="dxa"/>
            <w:tcBorders>
              <w:top w:val="nil"/>
              <w:left w:val="nil"/>
              <w:bottom w:val="single" w:sz="4" w:space="0" w:color="auto"/>
              <w:right w:val="single" w:sz="4" w:space="0" w:color="auto"/>
            </w:tcBorders>
            <w:shd w:val="clear" w:color="auto" w:fill="auto"/>
            <w:vAlign w:val="center"/>
            <w:hideMark/>
          </w:tcPr>
          <w:p w14:paraId="58C9FE37" w14:textId="616097AC"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74</w:t>
            </w:r>
            <w:r w:rsidR="007B5F48" w:rsidRPr="008379CA">
              <w:rPr>
                <w:rFonts w:ascii="Bookman Old Style" w:hAnsi="Bookman Old Style" w:cs="Calibri"/>
                <w:sz w:val="18"/>
                <w:szCs w:val="18"/>
              </w:rPr>
              <w:t>,</w:t>
            </w:r>
            <w:r w:rsidRPr="008379CA">
              <w:rPr>
                <w:rFonts w:ascii="Bookman Old Style" w:hAnsi="Bookman Old Style" w:cs="Calibri"/>
                <w:sz w:val="18"/>
                <w:szCs w:val="18"/>
              </w:rPr>
              <w:t>8</w:t>
            </w:r>
          </w:p>
        </w:tc>
        <w:tc>
          <w:tcPr>
            <w:tcW w:w="976" w:type="dxa"/>
            <w:tcBorders>
              <w:top w:val="nil"/>
              <w:left w:val="nil"/>
              <w:bottom w:val="single" w:sz="4" w:space="0" w:color="auto"/>
              <w:right w:val="single" w:sz="4" w:space="0" w:color="auto"/>
            </w:tcBorders>
            <w:shd w:val="clear" w:color="auto" w:fill="auto"/>
            <w:vAlign w:val="center"/>
            <w:hideMark/>
          </w:tcPr>
          <w:p w14:paraId="582A56B3" w14:textId="6B8DAB4E"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Kurang</w:t>
            </w:r>
          </w:p>
        </w:tc>
        <w:tc>
          <w:tcPr>
            <w:tcW w:w="1489" w:type="dxa"/>
            <w:tcBorders>
              <w:top w:val="nil"/>
              <w:left w:val="nil"/>
              <w:bottom w:val="single" w:sz="4" w:space="0" w:color="auto"/>
              <w:right w:val="single" w:sz="4" w:space="0" w:color="auto"/>
            </w:tcBorders>
            <w:shd w:val="clear" w:color="auto" w:fill="auto"/>
            <w:vAlign w:val="center"/>
            <w:hideMark/>
          </w:tcPr>
          <w:p w14:paraId="6B4CFF3F" w14:textId="72AC9D78"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Sudah</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Dianggarkan</w:t>
            </w:r>
          </w:p>
        </w:tc>
        <w:tc>
          <w:tcPr>
            <w:tcW w:w="1239" w:type="dxa"/>
            <w:gridSpan w:val="2"/>
            <w:tcBorders>
              <w:top w:val="nil"/>
              <w:left w:val="nil"/>
              <w:bottom w:val="single" w:sz="4" w:space="0" w:color="auto"/>
              <w:right w:val="single" w:sz="4" w:space="0" w:color="auto"/>
            </w:tcBorders>
            <w:shd w:val="clear" w:color="auto" w:fill="auto"/>
            <w:vAlign w:val="center"/>
            <w:hideMark/>
          </w:tcPr>
          <w:p w14:paraId="03E8F526" w14:textId="6768CA25"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3</w:t>
            </w:r>
          </w:p>
        </w:tc>
        <w:tc>
          <w:tcPr>
            <w:tcW w:w="1313" w:type="dxa"/>
            <w:tcBorders>
              <w:top w:val="nil"/>
              <w:left w:val="nil"/>
              <w:bottom w:val="single" w:sz="4" w:space="0" w:color="auto"/>
              <w:right w:val="single" w:sz="4" w:space="0" w:color="auto"/>
            </w:tcBorders>
            <w:shd w:val="clear" w:color="auto" w:fill="auto"/>
            <w:vAlign w:val="center"/>
            <w:hideMark/>
          </w:tcPr>
          <w:p w14:paraId="1B115D97" w14:textId="16FE4B96"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42,86</w:t>
            </w:r>
          </w:p>
        </w:tc>
      </w:tr>
      <w:tr w:rsidR="008379CA" w:rsidRPr="008379CA" w14:paraId="6A5841A7" w14:textId="77777777" w:rsidTr="006A0033">
        <w:tc>
          <w:tcPr>
            <w:tcW w:w="530" w:type="dxa"/>
            <w:tcBorders>
              <w:top w:val="single" w:sz="4" w:space="0" w:color="000000"/>
              <w:left w:val="single" w:sz="4" w:space="0" w:color="000000"/>
              <w:bottom w:val="single" w:sz="4" w:space="0" w:color="000000"/>
              <w:right w:val="single" w:sz="4" w:space="0" w:color="000000"/>
            </w:tcBorders>
            <w:vAlign w:val="center"/>
            <w:hideMark/>
          </w:tcPr>
          <w:p w14:paraId="2ED10817" w14:textId="77777777"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eastAsia="Bookman Old Style" w:hAnsi="Bookman Old Style" w:cs="Bookman Old Style"/>
                <w:sz w:val="18"/>
                <w:szCs w:val="18"/>
              </w:rPr>
              <w:t>6</w:t>
            </w:r>
          </w:p>
        </w:tc>
        <w:tc>
          <w:tcPr>
            <w:tcW w:w="2516" w:type="dxa"/>
            <w:tcBorders>
              <w:top w:val="nil"/>
              <w:left w:val="single" w:sz="4" w:space="0" w:color="auto"/>
              <w:bottom w:val="single" w:sz="4" w:space="0" w:color="auto"/>
              <w:right w:val="single" w:sz="4" w:space="0" w:color="auto"/>
            </w:tcBorders>
            <w:shd w:val="clear" w:color="auto" w:fill="auto"/>
            <w:vAlign w:val="center"/>
            <w:hideMark/>
          </w:tcPr>
          <w:p w14:paraId="2430237D" w14:textId="1F7BC775" w:rsidR="00483485" w:rsidRPr="008379CA" w:rsidRDefault="00483485" w:rsidP="00483485">
            <w:pPr>
              <w:widowControl w:val="0"/>
              <w:spacing w:line="276" w:lineRule="auto"/>
              <w:rPr>
                <w:rFonts w:ascii="Bookman Old Style" w:eastAsia="Bookman Old Style" w:hAnsi="Bookman Old Style" w:cs="Bookman Old Style"/>
                <w:sz w:val="18"/>
                <w:szCs w:val="18"/>
                <w:lang w:val="sv-FI"/>
              </w:rPr>
            </w:pPr>
            <w:r w:rsidRPr="008379CA">
              <w:rPr>
                <w:rFonts w:ascii="Bookman Old Style" w:hAnsi="Bookman Old Style" w:cs="Calibri"/>
                <w:sz w:val="18"/>
                <w:szCs w:val="18"/>
                <w:lang w:val="sv-FI"/>
              </w:rPr>
              <w:t>B.13</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Angka</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Partisipasi</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Sekolah</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(APS)</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7</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15</w:t>
            </w:r>
          </w:p>
        </w:tc>
        <w:tc>
          <w:tcPr>
            <w:tcW w:w="1207" w:type="dxa"/>
            <w:tcBorders>
              <w:top w:val="nil"/>
              <w:left w:val="nil"/>
              <w:bottom w:val="single" w:sz="4" w:space="0" w:color="auto"/>
              <w:right w:val="single" w:sz="4" w:space="0" w:color="auto"/>
            </w:tcBorders>
            <w:shd w:val="clear" w:color="auto" w:fill="auto"/>
            <w:vAlign w:val="center"/>
            <w:hideMark/>
          </w:tcPr>
          <w:p w14:paraId="65CE30AC" w14:textId="2AF58BFF"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SD</w:t>
            </w:r>
          </w:p>
        </w:tc>
        <w:tc>
          <w:tcPr>
            <w:tcW w:w="1192" w:type="dxa"/>
            <w:tcBorders>
              <w:top w:val="nil"/>
              <w:left w:val="nil"/>
              <w:bottom w:val="single" w:sz="4" w:space="0" w:color="auto"/>
              <w:right w:val="single" w:sz="4" w:space="0" w:color="auto"/>
            </w:tcBorders>
            <w:shd w:val="clear" w:color="auto" w:fill="auto"/>
            <w:vAlign w:val="center"/>
            <w:hideMark/>
          </w:tcPr>
          <w:p w14:paraId="322E3484" w14:textId="2620D80D"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99</w:t>
            </w:r>
            <w:r w:rsidR="007B5F48" w:rsidRPr="008379CA">
              <w:rPr>
                <w:rFonts w:ascii="Bookman Old Style" w:hAnsi="Bookman Old Style" w:cs="Calibri"/>
                <w:sz w:val="18"/>
                <w:szCs w:val="18"/>
              </w:rPr>
              <w:t>,</w:t>
            </w:r>
            <w:r w:rsidRPr="008379CA">
              <w:rPr>
                <w:rFonts w:ascii="Bookman Old Style" w:hAnsi="Bookman Old Style" w:cs="Calibri"/>
                <w:sz w:val="18"/>
                <w:szCs w:val="18"/>
              </w:rPr>
              <w:t>37</w:t>
            </w:r>
          </w:p>
        </w:tc>
        <w:tc>
          <w:tcPr>
            <w:tcW w:w="976" w:type="dxa"/>
            <w:tcBorders>
              <w:top w:val="nil"/>
              <w:left w:val="nil"/>
              <w:bottom w:val="single" w:sz="4" w:space="0" w:color="auto"/>
              <w:right w:val="single" w:sz="4" w:space="0" w:color="auto"/>
            </w:tcBorders>
            <w:shd w:val="clear" w:color="auto" w:fill="auto"/>
            <w:vAlign w:val="center"/>
            <w:hideMark/>
          </w:tcPr>
          <w:p w14:paraId="31A1735C" w14:textId="17EE8F29"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Baik</w:t>
            </w:r>
          </w:p>
        </w:tc>
        <w:tc>
          <w:tcPr>
            <w:tcW w:w="1489" w:type="dxa"/>
            <w:tcBorders>
              <w:top w:val="nil"/>
              <w:left w:val="nil"/>
              <w:bottom w:val="single" w:sz="4" w:space="0" w:color="auto"/>
              <w:right w:val="single" w:sz="4" w:space="0" w:color="auto"/>
            </w:tcBorders>
            <w:shd w:val="clear" w:color="auto" w:fill="auto"/>
            <w:vAlign w:val="center"/>
            <w:hideMark/>
          </w:tcPr>
          <w:p w14:paraId="19D36E3C" w14:textId="066BACF4"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Sudah</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Dianggarkan</w:t>
            </w:r>
          </w:p>
        </w:tc>
        <w:tc>
          <w:tcPr>
            <w:tcW w:w="1239" w:type="dxa"/>
            <w:gridSpan w:val="2"/>
            <w:tcBorders>
              <w:top w:val="nil"/>
              <w:left w:val="nil"/>
              <w:bottom w:val="single" w:sz="4" w:space="0" w:color="auto"/>
              <w:right w:val="single" w:sz="4" w:space="0" w:color="auto"/>
            </w:tcBorders>
            <w:shd w:val="clear" w:color="auto" w:fill="auto"/>
            <w:vAlign w:val="center"/>
            <w:hideMark/>
          </w:tcPr>
          <w:p w14:paraId="5F38B728" w14:textId="4216ABAF"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2</w:t>
            </w:r>
          </w:p>
        </w:tc>
        <w:tc>
          <w:tcPr>
            <w:tcW w:w="1313" w:type="dxa"/>
            <w:tcBorders>
              <w:top w:val="nil"/>
              <w:left w:val="nil"/>
              <w:bottom w:val="single" w:sz="4" w:space="0" w:color="auto"/>
              <w:right w:val="single" w:sz="4" w:space="0" w:color="auto"/>
            </w:tcBorders>
            <w:shd w:val="clear" w:color="auto" w:fill="auto"/>
            <w:vAlign w:val="center"/>
            <w:hideMark/>
          </w:tcPr>
          <w:p w14:paraId="1DD75EB0" w14:textId="34A6755C"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33,33</w:t>
            </w:r>
          </w:p>
        </w:tc>
      </w:tr>
      <w:tr w:rsidR="008379CA" w:rsidRPr="008379CA" w14:paraId="06CEE979" w14:textId="77777777" w:rsidTr="006A0033">
        <w:tc>
          <w:tcPr>
            <w:tcW w:w="530" w:type="dxa"/>
            <w:tcBorders>
              <w:top w:val="single" w:sz="4" w:space="0" w:color="000000"/>
              <w:left w:val="single" w:sz="4" w:space="0" w:color="000000"/>
              <w:bottom w:val="single" w:sz="4" w:space="0" w:color="000000"/>
              <w:right w:val="single" w:sz="4" w:space="0" w:color="000000"/>
            </w:tcBorders>
            <w:vAlign w:val="center"/>
            <w:hideMark/>
          </w:tcPr>
          <w:p w14:paraId="56DB9AF4" w14:textId="77777777"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eastAsia="Bookman Old Style" w:hAnsi="Bookman Old Style" w:cs="Bookman Old Style"/>
                <w:sz w:val="18"/>
                <w:szCs w:val="18"/>
              </w:rPr>
              <w:t>7</w:t>
            </w:r>
          </w:p>
        </w:tc>
        <w:tc>
          <w:tcPr>
            <w:tcW w:w="2516" w:type="dxa"/>
            <w:tcBorders>
              <w:top w:val="nil"/>
              <w:left w:val="single" w:sz="4" w:space="0" w:color="auto"/>
              <w:bottom w:val="single" w:sz="4" w:space="0" w:color="auto"/>
              <w:right w:val="single" w:sz="4" w:space="0" w:color="auto"/>
            </w:tcBorders>
            <w:shd w:val="clear" w:color="auto" w:fill="auto"/>
            <w:vAlign w:val="center"/>
            <w:hideMark/>
          </w:tcPr>
          <w:p w14:paraId="41D46313" w14:textId="5941D4F1" w:rsidR="00483485" w:rsidRPr="008379CA" w:rsidRDefault="00483485" w:rsidP="00483485">
            <w:pPr>
              <w:widowControl w:val="0"/>
              <w:spacing w:line="276" w:lineRule="auto"/>
              <w:rPr>
                <w:rFonts w:ascii="Bookman Old Style" w:eastAsia="Bookman Old Style" w:hAnsi="Bookman Old Style" w:cs="Bookman Old Style"/>
                <w:sz w:val="18"/>
                <w:szCs w:val="18"/>
                <w:lang w:val="sv-FI"/>
              </w:rPr>
            </w:pPr>
            <w:r w:rsidRPr="008379CA">
              <w:rPr>
                <w:rFonts w:ascii="Bookman Old Style" w:hAnsi="Bookman Old Style" w:cs="Calibri"/>
                <w:sz w:val="18"/>
                <w:szCs w:val="18"/>
                <w:lang w:val="sv-FI"/>
              </w:rPr>
              <w:t>B.13</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Angka</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Partisipasi</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Sekolah</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(APS)</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7</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15</w:t>
            </w:r>
          </w:p>
        </w:tc>
        <w:tc>
          <w:tcPr>
            <w:tcW w:w="1207" w:type="dxa"/>
            <w:tcBorders>
              <w:top w:val="nil"/>
              <w:left w:val="nil"/>
              <w:bottom w:val="single" w:sz="4" w:space="0" w:color="auto"/>
              <w:right w:val="single" w:sz="4" w:space="0" w:color="auto"/>
            </w:tcBorders>
            <w:shd w:val="clear" w:color="auto" w:fill="auto"/>
            <w:vAlign w:val="center"/>
            <w:hideMark/>
          </w:tcPr>
          <w:p w14:paraId="0BE9A0FA" w14:textId="7C347550"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SMP</w:t>
            </w:r>
          </w:p>
        </w:tc>
        <w:tc>
          <w:tcPr>
            <w:tcW w:w="1192" w:type="dxa"/>
            <w:tcBorders>
              <w:top w:val="nil"/>
              <w:left w:val="nil"/>
              <w:bottom w:val="single" w:sz="4" w:space="0" w:color="auto"/>
              <w:right w:val="single" w:sz="4" w:space="0" w:color="auto"/>
            </w:tcBorders>
            <w:shd w:val="clear" w:color="auto" w:fill="auto"/>
            <w:vAlign w:val="center"/>
            <w:hideMark/>
          </w:tcPr>
          <w:p w14:paraId="1CD15ED4" w14:textId="7812053C"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99</w:t>
            </w:r>
            <w:r w:rsidR="007B5F48" w:rsidRPr="008379CA">
              <w:rPr>
                <w:rFonts w:ascii="Bookman Old Style" w:hAnsi="Bookman Old Style" w:cs="Calibri"/>
                <w:sz w:val="18"/>
                <w:szCs w:val="18"/>
              </w:rPr>
              <w:t>,</w:t>
            </w:r>
            <w:r w:rsidRPr="008379CA">
              <w:rPr>
                <w:rFonts w:ascii="Bookman Old Style" w:hAnsi="Bookman Old Style" w:cs="Calibri"/>
                <w:sz w:val="18"/>
                <w:szCs w:val="18"/>
              </w:rPr>
              <w:t>37</w:t>
            </w:r>
          </w:p>
        </w:tc>
        <w:tc>
          <w:tcPr>
            <w:tcW w:w="976" w:type="dxa"/>
            <w:tcBorders>
              <w:top w:val="nil"/>
              <w:left w:val="nil"/>
              <w:bottom w:val="single" w:sz="4" w:space="0" w:color="auto"/>
              <w:right w:val="single" w:sz="4" w:space="0" w:color="auto"/>
            </w:tcBorders>
            <w:shd w:val="clear" w:color="auto" w:fill="auto"/>
            <w:vAlign w:val="center"/>
            <w:hideMark/>
          </w:tcPr>
          <w:p w14:paraId="272FB3D9" w14:textId="20C9F8C4"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Baik</w:t>
            </w:r>
          </w:p>
        </w:tc>
        <w:tc>
          <w:tcPr>
            <w:tcW w:w="1489" w:type="dxa"/>
            <w:tcBorders>
              <w:top w:val="nil"/>
              <w:left w:val="nil"/>
              <w:bottom w:val="single" w:sz="4" w:space="0" w:color="auto"/>
              <w:right w:val="single" w:sz="4" w:space="0" w:color="auto"/>
            </w:tcBorders>
            <w:shd w:val="clear" w:color="auto" w:fill="auto"/>
            <w:vAlign w:val="center"/>
            <w:hideMark/>
          </w:tcPr>
          <w:p w14:paraId="6C135496" w14:textId="1B137962"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Sudah</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Dianggarkan</w:t>
            </w:r>
          </w:p>
        </w:tc>
        <w:tc>
          <w:tcPr>
            <w:tcW w:w="1239" w:type="dxa"/>
            <w:gridSpan w:val="2"/>
            <w:tcBorders>
              <w:top w:val="nil"/>
              <w:left w:val="nil"/>
              <w:bottom w:val="single" w:sz="4" w:space="0" w:color="auto"/>
              <w:right w:val="single" w:sz="4" w:space="0" w:color="auto"/>
            </w:tcBorders>
            <w:shd w:val="clear" w:color="auto" w:fill="auto"/>
            <w:vAlign w:val="center"/>
            <w:hideMark/>
          </w:tcPr>
          <w:p w14:paraId="3CA0E6A5" w14:textId="79B8A28B"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2</w:t>
            </w:r>
          </w:p>
        </w:tc>
        <w:tc>
          <w:tcPr>
            <w:tcW w:w="1313" w:type="dxa"/>
            <w:tcBorders>
              <w:top w:val="nil"/>
              <w:left w:val="nil"/>
              <w:bottom w:val="single" w:sz="4" w:space="0" w:color="auto"/>
              <w:right w:val="single" w:sz="4" w:space="0" w:color="auto"/>
            </w:tcBorders>
            <w:shd w:val="clear" w:color="auto" w:fill="auto"/>
            <w:vAlign w:val="center"/>
            <w:hideMark/>
          </w:tcPr>
          <w:p w14:paraId="03BD0E01" w14:textId="70F12947"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33,33</w:t>
            </w:r>
          </w:p>
        </w:tc>
      </w:tr>
      <w:tr w:rsidR="008379CA" w:rsidRPr="008379CA" w14:paraId="4E797727" w14:textId="77777777" w:rsidTr="006A0033">
        <w:tc>
          <w:tcPr>
            <w:tcW w:w="530" w:type="dxa"/>
            <w:tcBorders>
              <w:top w:val="single" w:sz="4" w:space="0" w:color="000000"/>
              <w:left w:val="single" w:sz="4" w:space="0" w:color="000000"/>
              <w:bottom w:val="single" w:sz="4" w:space="0" w:color="000000"/>
              <w:right w:val="single" w:sz="4" w:space="0" w:color="000000"/>
            </w:tcBorders>
            <w:vAlign w:val="center"/>
            <w:hideMark/>
          </w:tcPr>
          <w:p w14:paraId="4ADF87C5" w14:textId="77777777"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eastAsia="Bookman Old Style" w:hAnsi="Bookman Old Style" w:cs="Bookman Old Style"/>
                <w:sz w:val="18"/>
                <w:szCs w:val="18"/>
              </w:rPr>
              <w:t>8</w:t>
            </w:r>
          </w:p>
        </w:tc>
        <w:tc>
          <w:tcPr>
            <w:tcW w:w="2516" w:type="dxa"/>
            <w:tcBorders>
              <w:top w:val="nil"/>
              <w:left w:val="single" w:sz="4" w:space="0" w:color="auto"/>
              <w:bottom w:val="single" w:sz="4" w:space="0" w:color="auto"/>
              <w:right w:val="single" w:sz="4" w:space="0" w:color="auto"/>
            </w:tcBorders>
            <w:shd w:val="clear" w:color="auto" w:fill="auto"/>
            <w:vAlign w:val="center"/>
            <w:hideMark/>
          </w:tcPr>
          <w:p w14:paraId="7C686EF9" w14:textId="294B19A5" w:rsidR="00483485" w:rsidRPr="008379CA" w:rsidRDefault="00483485" w:rsidP="00483485">
            <w:pPr>
              <w:widowControl w:val="0"/>
              <w:spacing w:line="276" w:lineRule="auto"/>
              <w:rPr>
                <w:rFonts w:ascii="Bookman Old Style" w:eastAsia="Bookman Old Style" w:hAnsi="Bookman Old Style" w:cs="Bookman Old Style"/>
                <w:sz w:val="18"/>
                <w:szCs w:val="18"/>
                <w:lang w:val="sv-FI"/>
              </w:rPr>
            </w:pPr>
            <w:r w:rsidRPr="008379CA">
              <w:rPr>
                <w:rFonts w:ascii="Bookman Old Style" w:hAnsi="Bookman Old Style" w:cs="Calibri"/>
                <w:sz w:val="18"/>
                <w:szCs w:val="18"/>
                <w:lang w:val="sv-FI"/>
              </w:rPr>
              <w:t>B.15</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Angka</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Partisipasi</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Sekolah</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(APS)</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7</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18</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Kesetaraan</w:t>
            </w:r>
          </w:p>
        </w:tc>
        <w:tc>
          <w:tcPr>
            <w:tcW w:w="1207" w:type="dxa"/>
            <w:tcBorders>
              <w:top w:val="nil"/>
              <w:left w:val="nil"/>
              <w:bottom w:val="single" w:sz="4" w:space="0" w:color="auto"/>
              <w:right w:val="single" w:sz="4" w:space="0" w:color="auto"/>
            </w:tcBorders>
            <w:shd w:val="clear" w:color="auto" w:fill="auto"/>
            <w:vAlign w:val="center"/>
            <w:hideMark/>
          </w:tcPr>
          <w:p w14:paraId="4D764190" w14:textId="17D13638"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Kesetaraan</w:t>
            </w:r>
          </w:p>
        </w:tc>
        <w:tc>
          <w:tcPr>
            <w:tcW w:w="1192" w:type="dxa"/>
            <w:tcBorders>
              <w:top w:val="nil"/>
              <w:left w:val="nil"/>
              <w:bottom w:val="single" w:sz="4" w:space="0" w:color="auto"/>
              <w:right w:val="single" w:sz="4" w:space="0" w:color="auto"/>
            </w:tcBorders>
            <w:shd w:val="clear" w:color="auto" w:fill="auto"/>
            <w:vAlign w:val="center"/>
            <w:hideMark/>
          </w:tcPr>
          <w:p w14:paraId="4CBE1BEF" w14:textId="00C0D0ED"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9</w:t>
            </w:r>
            <w:r w:rsidR="007B5F48" w:rsidRPr="008379CA">
              <w:rPr>
                <w:rFonts w:ascii="Bookman Old Style" w:hAnsi="Bookman Old Style" w:cs="Calibri"/>
                <w:sz w:val="18"/>
                <w:szCs w:val="18"/>
              </w:rPr>
              <w:t>,</w:t>
            </w:r>
            <w:r w:rsidRPr="008379CA">
              <w:rPr>
                <w:rFonts w:ascii="Bookman Old Style" w:hAnsi="Bookman Old Style" w:cs="Calibri"/>
                <w:sz w:val="18"/>
                <w:szCs w:val="18"/>
              </w:rPr>
              <w:t>58</w:t>
            </w:r>
          </w:p>
        </w:tc>
        <w:tc>
          <w:tcPr>
            <w:tcW w:w="976" w:type="dxa"/>
            <w:tcBorders>
              <w:top w:val="nil"/>
              <w:left w:val="nil"/>
              <w:bottom w:val="single" w:sz="4" w:space="0" w:color="auto"/>
              <w:right w:val="single" w:sz="4" w:space="0" w:color="auto"/>
            </w:tcBorders>
            <w:shd w:val="clear" w:color="auto" w:fill="auto"/>
            <w:vAlign w:val="center"/>
            <w:hideMark/>
          </w:tcPr>
          <w:p w14:paraId="34428BDF" w14:textId="4CE7C962"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Kurang</w:t>
            </w:r>
          </w:p>
        </w:tc>
        <w:tc>
          <w:tcPr>
            <w:tcW w:w="1489" w:type="dxa"/>
            <w:tcBorders>
              <w:top w:val="nil"/>
              <w:left w:val="nil"/>
              <w:bottom w:val="single" w:sz="4" w:space="0" w:color="auto"/>
              <w:right w:val="single" w:sz="4" w:space="0" w:color="auto"/>
            </w:tcBorders>
            <w:shd w:val="clear" w:color="auto" w:fill="auto"/>
            <w:vAlign w:val="center"/>
            <w:hideMark/>
          </w:tcPr>
          <w:p w14:paraId="77FCC100" w14:textId="0FF7D35E"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Sudah</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Dianggarkan</w:t>
            </w:r>
          </w:p>
        </w:tc>
        <w:tc>
          <w:tcPr>
            <w:tcW w:w="1239" w:type="dxa"/>
            <w:gridSpan w:val="2"/>
            <w:tcBorders>
              <w:top w:val="nil"/>
              <w:left w:val="nil"/>
              <w:bottom w:val="single" w:sz="4" w:space="0" w:color="auto"/>
              <w:right w:val="single" w:sz="4" w:space="0" w:color="auto"/>
            </w:tcBorders>
            <w:shd w:val="clear" w:color="auto" w:fill="auto"/>
            <w:vAlign w:val="center"/>
            <w:hideMark/>
          </w:tcPr>
          <w:p w14:paraId="368518C8" w14:textId="6EB33FF8"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5</w:t>
            </w:r>
          </w:p>
        </w:tc>
        <w:tc>
          <w:tcPr>
            <w:tcW w:w="1313" w:type="dxa"/>
            <w:tcBorders>
              <w:top w:val="nil"/>
              <w:left w:val="nil"/>
              <w:bottom w:val="single" w:sz="4" w:space="0" w:color="auto"/>
              <w:right w:val="single" w:sz="4" w:space="0" w:color="auto"/>
            </w:tcBorders>
            <w:shd w:val="clear" w:color="auto" w:fill="auto"/>
            <w:vAlign w:val="center"/>
            <w:hideMark/>
          </w:tcPr>
          <w:p w14:paraId="2B148D32" w14:textId="6EC98758"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29,41</w:t>
            </w:r>
          </w:p>
        </w:tc>
      </w:tr>
      <w:tr w:rsidR="008379CA" w:rsidRPr="008379CA" w14:paraId="1C68D8E3" w14:textId="77777777" w:rsidTr="006A0033">
        <w:tc>
          <w:tcPr>
            <w:tcW w:w="530" w:type="dxa"/>
            <w:tcBorders>
              <w:top w:val="single" w:sz="4" w:space="0" w:color="000000"/>
              <w:left w:val="single" w:sz="4" w:space="0" w:color="000000"/>
              <w:bottom w:val="single" w:sz="4" w:space="0" w:color="000000"/>
              <w:right w:val="single" w:sz="4" w:space="0" w:color="000000"/>
            </w:tcBorders>
            <w:vAlign w:val="center"/>
            <w:hideMark/>
          </w:tcPr>
          <w:p w14:paraId="24DCF1A8" w14:textId="77777777"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eastAsia="Bookman Old Style" w:hAnsi="Bookman Old Style" w:cs="Bookman Old Style"/>
                <w:sz w:val="18"/>
                <w:szCs w:val="18"/>
              </w:rPr>
              <w:t>9</w:t>
            </w:r>
          </w:p>
        </w:tc>
        <w:tc>
          <w:tcPr>
            <w:tcW w:w="2516" w:type="dxa"/>
            <w:tcBorders>
              <w:top w:val="nil"/>
              <w:left w:val="single" w:sz="4" w:space="0" w:color="auto"/>
              <w:bottom w:val="single" w:sz="4" w:space="0" w:color="auto"/>
              <w:right w:val="single" w:sz="4" w:space="0" w:color="auto"/>
            </w:tcBorders>
            <w:shd w:val="clear" w:color="auto" w:fill="auto"/>
            <w:vAlign w:val="center"/>
            <w:hideMark/>
          </w:tcPr>
          <w:p w14:paraId="4B2F6F61" w14:textId="2D5EB298" w:rsidR="00483485" w:rsidRPr="008379CA" w:rsidRDefault="00483485" w:rsidP="00483485">
            <w:pPr>
              <w:widowControl w:val="0"/>
              <w:spacing w:line="276" w:lineRule="auto"/>
              <w:rPr>
                <w:rFonts w:ascii="Bookman Old Style" w:eastAsia="Bookman Old Style" w:hAnsi="Bookman Old Style" w:cs="Bookman Old Style"/>
                <w:sz w:val="18"/>
                <w:szCs w:val="18"/>
              </w:rPr>
            </w:pPr>
            <w:r w:rsidRPr="008379CA">
              <w:rPr>
                <w:rFonts w:ascii="Bookman Old Style" w:hAnsi="Bookman Old Style" w:cs="Calibri"/>
                <w:sz w:val="18"/>
                <w:szCs w:val="18"/>
              </w:rPr>
              <w:t>B.8</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Proporsi</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Jumlah</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Satuan</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PAUD</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Terakreditasi</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Minimal</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B</w:t>
            </w:r>
          </w:p>
        </w:tc>
        <w:tc>
          <w:tcPr>
            <w:tcW w:w="1207" w:type="dxa"/>
            <w:tcBorders>
              <w:top w:val="nil"/>
              <w:left w:val="nil"/>
              <w:bottom w:val="single" w:sz="4" w:space="0" w:color="auto"/>
              <w:right w:val="single" w:sz="4" w:space="0" w:color="auto"/>
            </w:tcBorders>
            <w:shd w:val="clear" w:color="auto" w:fill="auto"/>
            <w:vAlign w:val="center"/>
            <w:hideMark/>
          </w:tcPr>
          <w:p w14:paraId="75D0C2AA" w14:textId="384FC772"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PAUD</w:t>
            </w:r>
          </w:p>
        </w:tc>
        <w:tc>
          <w:tcPr>
            <w:tcW w:w="1192" w:type="dxa"/>
            <w:tcBorders>
              <w:top w:val="nil"/>
              <w:left w:val="nil"/>
              <w:bottom w:val="single" w:sz="4" w:space="0" w:color="auto"/>
              <w:right w:val="single" w:sz="4" w:space="0" w:color="auto"/>
            </w:tcBorders>
            <w:shd w:val="clear" w:color="auto" w:fill="auto"/>
            <w:vAlign w:val="center"/>
            <w:hideMark/>
          </w:tcPr>
          <w:p w14:paraId="64C8D935" w14:textId="44AA453D"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78</w:t>
            </w:r>
            <w:r w:rsidR="007B5F48" w:rsidRPr="008379CA">
              <w:rPr>
                <w:rFonts w:ascii="Bookman Old Style" w:hAnsi="Bookman Old Style" w:cs="Calibri"/>
                <w:sz w:val="18"/>
                <w:szCs w:val="18"/>
              </w:rPr>
              <w:t>,</w:t>
            </w:r>
            <w:r w:rsidRPr="008379CA">
              <w:rPr>
                <w:rFonts w:ascii="Bookman Old Style" w:hAnsi="Bookman Old Style" w:cs="Calibri"/>
                <w:sz w:val="18"/>
                <w:szCs w:val="18"/>
              </w:rPr>
              <w:t>18</w:t>
            </w:r>
          </w:p>
        </w:tc>
        <w:tc>
          <w:tcPr>
            <w:tcW w:w="976" w:type="dxa"/>
            <w:tcBorders>
              <w:top w:val="nil"/>
              <w:left w:val="nil"/>
              <w:bottom w:val="single" w:sz="4" w:space="0" w:color="auto"/>
              <w:right w:val="single" w:sz="4" w:space="0" w:color="auto"/>
            </w:tcBorders>
            <w:shd w:val="clear" w:color="auto" w:fill="auto"/>
            <w:vAlign w:val="center"/>
            <w:hideMark/>
          </w:tcPr>
          <w:p w14:paraId="0841C45D" w14:textId="45F2DC67"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Sedang</w:t>
            </w:r>
          </w:p>
        </w:tc>
        <w:tc>
          <w:tcPr>
            <w:tcW w:w="1489" w:type="dxa"/>
            <w:tcBorders>
              <w:top w:val="nil"/>
              <w:left w:val="nil"/>
              <w:bottom w:val="single" w:sz="4" w:space="0" w:color="auto"/>
              <w:right w:val="single" w:sz="4" w:space="0" w:color="auto"/>
            </w:tcBorders>
            <w:shd w:val="clear" w:color="auto" w:fill="auto"/>
            <w:vAlign w:val="center"/>
            <w:hideMark/>
          </w:tcPr>
          <w:p w14:paraId="5E16CBCC" w14:textId="12E1C738"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Sudah</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Dianggarkan</w:t>
            </w:r>
          </w:p>
        </w:tc>
        <w:tc>
          <w:tcPr>
            <w:tcW w:w="1239" w:type="dxa"/>
            <w:gridSpan w:val="2"/>
            <w:tcBorders>
              <w:top w:val="nil"/>
              <w:left w:val="nil"/>
              <w:bottom w:val="single" w:sz="4" w:space="0" w:color="auto"/>
              <w:right w:val="single" w:sz="4" w:space="0" w:color="auto"/>
            </w:tcBorders>
            <w:shd w:val="clear" w:color="auto" w:fill="auto"/>
            <w:vAlign w:val="center"/>
            <w:hideMark/>
          </w:tcPr>
          <w:p w14:paraId="2B952ACD" w14:textId="0A3FBB1C"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7</w:t>
            </w:r>
          </w:p>
        </w:tc>
        <w:tc>
          <w:tcPr>
            <w:tcW w:w="1313" w:type="dxa"/>
            <w:tcBorders>
              <w:top w:val="nil"/>
              <w:left w:val="nil"/>
              <w:bottom w:val="single" w:sz="4" w:space="0" w:color="auto"/>
              <w:right w:val="single" w:sz="4" w:space="0" w:color="auto"/>
            </w:tcBorders>
            <w:shd w:val="clear" w:color="auto" w:fill="auto"/>
            <w:vAlign w:val="center"/>
            <w:hideMark/>
          </w:tcPr>
          <w:p w14:paraId="1497BE36" w14:textId="445A333B"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87,50</w:t>
            </w:r>
          </w:p>
        </w:tc>
      </w:tr>
      <w:tr w:rsidR="008379CA" w:rsidRPr="008379CA" w14:paraId="7BDA7EFD" w14:textId="77777777" w:rsidTr="006A0033">
        <w:tc>
          <w:tcPr>
            <w:tcW w:w="530" w:type="dxa"/>
            <w:tcBorders>
              <w:top w:val="single" w:sz="4" w:space="0" w:color="000000"/>
              <w:left w:val="single" w:sz="4" w:space="0" w:color="000000"/>
              <w:bottom w:val="single" w:sz="4" w:space="0" w:color="000000"/>
              <w:right w:val="single" w:sz="4" w:space="0" w:color="000000"/>
            </w:tcBorders>
            <w:vAlign w:val="center"/>
            <w:hideMark/>
          </w:tcPr>
          <w:p w14:paraId="7D5549F0" w14:textId="77777777"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eastAsia="Bookman Old Style" w:hAnsi="Bookman Old Style" w:cs="Bookman Old Style"/>
                <w:sz w:val="18"/>
                <w:szCs w:val="18"/>
              </w:rPr>
              <w:t>10</w:t>
            </w:r>
          </w:p>
        </w:tc>
        <w:tc>
          <w:tcPr>
            <w:tcW w:w="2516" w:type="dxa"/>
            <w:tcBorders>
              <w:top w:val="nil"/>
              <w:left w:val="single" w:sz="4" w:space="0" w:color="auto"/>
              <w:bottom w:val="single" w:sz="4" w:space="0" w:color="auto"/>
              <w:right w:val="single" w:sz="4" w:space="0" w:color="auto"/>
            </w:tcBorders>
            <w:shd w:val="clear" w:color="auto" w:fill="auto"/>
            <w:vAlign w:val="center"/>
            <w:hideMark/>
          </w:tcPr>
          <w:p w14:paraId="4C027559" w14:textId="67F95969" w:rsidR="00483485" w:rsidRPr="008379CA" w:rsidRDefault="00483485" w:rsidP="00483485">
            <w:pPr>
              <w:widowControl w:val="0"/>
              <w:spacing w:line="276" w:lineRule="auto"/>
              <w:rPr>
                <w:rFonts w:ascii="Bookman Old Style" w:eastAsia="Bookman Old Style" w:hAnsi="Bookman Old Style" w:cs="Bookman Old Style"/>
                <w:sz w:val="18"/>
                <w:szCs w:val="18"/>
                <w:lang w:val="sv-FI"/>
              </w:rPr>
            </w:pPr>
            <w:r w:rsidRPr="008379CA">
              <w:rPr>
                <w:rFonts w:ascii="Bookman Old Style" w:hAnsi="Bookman Old Style" w:cs="Calibri"/>
                <w:sz w:val="18"/>
                <w:szCs w:val="18"/>
                <w:lang w:val="sv-FI"/>
              </w:rPr>
              <w:t>C.1</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Proporsi</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Guru</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PAUD</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dengan</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Kualifikasi</w:t>
            </w:r>
            <w:r w:rsidR="00A954D0" w:rsidRPr="008379CA">
              <w:rPr>
                <w:rFonts w:ascii="Bookman Old Style" w:hAnsi="Bookman Old Style" w:cs="Calibri"/>
                <w:sz w:val="18"/>
                <w:szCs w:val="18"/>
                <w:lang w:val="sv-FI"/>
              </w:rPr>
              <w:t xml:space="preserve"> </w:t>
            </w:r>
            <w:r w:rsidRPr="008379CA">
              <w:rPr>
                <w:rFonts w:ascii="Bookman Old Style" w:hAnsi="Bookman Old Style" w:cs="Calibri"/>
                <w:sz w:val="18"/>
                <w:szCs w:val="18"/>
                <w:lang w:val="sv-FI"/>
              </w:rPr>
              <w:t>S1/D4</w:t>
            </w:r>
          </w:p>
        </w:tc>
        <w:tc>
          <w:tcPr>
            <w:tcW w:w="1207" w:type="dxa"/>
            <w:tcBorders>
              <w:top w:val="nil"/>
              <w:left w:val="nil"/>
              <w:bottom w:val="single" w:sz="4" w:space="0" w:color="auto"/>
              <w:right w:val="single" w:sz="4" w:space="0" w:color="auto"/>
            </w:tcBorders>
            <w:shd w:val="clear" w:color="auto" w:fill="auto"/>
            <w:vAlign w:val="center"/>
            <w:hideMark/>
          </w:tcPr>
          <w:p w14:paraId="155CA63C" w14:textId="1EF48017"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PAUD</w:t>
            </w:r>
          </w:p>
        </w:tc>
        <w:tc>
          <w:tcPr>
            <w:tcW w:w="1192" w:type="dxa"/>
            <w:tcBorders>
              <w:top w:val="nil"/>
              <w:left w:val="nil"/>
              <w:bottom w:val="single" w:sz="4" w:space="0" w:color="auto"/>
              <w:right w:val="single" w:sz="4" w:space="0" w:color="auto"/>
            </w:tcBorders>
            <w:shd w:val="clear" w:color="auto" w:fill="auto"/>
            <w:vAlign w:val="center"/>
            <w:hideMark/>
          </w:tcPr>
          <w:p w14:paraId="1E62098A" w14:textId="50D64FAD"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82</w:t>
            </w:r>
            <w:r w:rsidR="007B5F48" w:rsidRPr="008379CA">
              <w:rPr>
                <w:rFonts w:ascii="Bookman Old Style" w:hAnsi="Bookman Old Style" w:cs="Calibri"/>
                <w:sz w:val="18"/>
                <w:szCs w:val="18"/>
              </w:rPr>
              <w:t>,</w:t>
            </w:r>
            <w:r w:rsidRPr="008379CA">
              <w:rPr>
                <w:rFonts w:ascii="Bookman Old Style" w:hAnsi="Bookman Old Style" w:cs="Calibri"/>
                <w:sz w:val="18"/>
                <w:szCs w:val="18"/>
              </w:rPr>
              <w:t>33</w:t>
            </w:r>
          </w:p>
        </w:tc>
        <w:tc>
          <w:tcPr>
            <w:tcW w:w="976" w:type="dxa"/>
            <w:tcBorders>
              <w:top w:val="nil"/>
              <w:left w:val="nil"/>
              <w:bottom w:val="single" w:sz="4" w:space="0" w:color="auto"/>
              <w:right w:val="single" w:sz="4" w:space="0" w:color="auto"/>
            </w:tcBorders>
            <w:shd w:val="clear" w:color="auto" w:fill="auto"/>
            <w:vAlign w:val="center"/>
            <w:hideMark/>
          </w:tcPr>
          <w:p w14:paraId="3214C063" w14:textId="12F053E6"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Baik</w:t>
            </w:r>
          </w:p>
        </w:tc>
        <w:tc>
          <w:tcPr>
            <w:tcW w:w="1489" w:type="dxa"/>
            <w:tcBorders>
              <w:top w:val="nil"/>
              <w:left w:val="nil"/>
              <w:bottom w:val="single" w:sz="4" w:space="0" w:color="auto"/>
              <w:right w:val="single" w:sz="4" w:space="0" w:color="auto"/>
            </w:tcBorders>
            <w:shd w:val="clear" w:color="auto" w:fill="auto"/>
            <w:vAlign w:val="center"/>
            <w:hideMark/>
          </w:tcPr>
          <w:p w14:paraId="612553DB" w14:textId="55761CF7"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Sudah</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Dianggarkan</w:t>
            </w:r>
          </w:p>
        </w:tc>
        <w:tc>
          <w:tcPr>
            <w:tcW w:w="1239" w:type="dxa"/>
            <w:gridSpan w:val="2"/>
            <w:tcBorders>
              <w:top w:val="nil"/>
              <w:left w:val="nil"/>
              <w:bottom w:val="single" w:sz="4" w:space="0" w:color="auto"/>
              <w:right w:val="single" w:sz="4" w:space="0" w:color="auto"/>
            </w:tcBorders>
            <w:shd w:val="clear" w:color="auto" w:fill="auto"/>
            <w:vAlign w:val="center"/>
            <w:hideMark/>
          </w:tcPr>
          <w:p w14:paraId="700ED3BE" w14:textId="104F755B"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1</w:t>
            </w:r>
          </w:p>
        </w:tc>
        <w:tc>
          <w:tcPr>
            <w:tcW w:w="1313" w:type="dxa"/>
            <w:tcBorders>
              <w:top w:val="nil"/>
              <w:left w:val="nil"/>
              <w:bottom w:val="single" w:sz="4" w:space="0" w:color="auto"/>
              <w:right w:val="single" w:sz="4" w:space="0" w:color="auto"/>
            </w:tcBorders>
            <w:shd w:val="clear" w:color="auto" w:fill="auto"/>
            <w:vAlign w:val="center"/>
            <w:hideMark/>
          </w:tcPr>
          <w:p w14:paraId="03DE2267" w14:textId="536C2670"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100,00</w:t>
            </w:r>
          </w:p>
        </w:tc>
      </w:tr>
      <w:tr w:rsidR="008379CA" w:rsidRPr="008379CA" w14:paraId="7156D704" w14:textId="77777777" w:rsidTr="006A0033">
        <w:tc>
          <w:tcPr>
            <w:tcW w:w="530" w:type="dxa"/>
            <w:tcBorders>
              <w:top w:val="single" w:sz="4" w:space="0" w:color="000000"/>
              <w:left w:val="single" w:sz="4" w:space="0" w:color="000000"/>
              <w:bottom w:val="single" w:sz="4" w:space="0" w:color="000000"/>
              <w:right w:val="single" w:sz="4" w:space="0" w:color="000000"/>
            </w:tcBorders>
            <w:vAlign w:val="center"/>
            <w:hideMark/>
          </w:tcPr>
          <w:p w14:paraId="0846AB3F" w14:textId="77777777"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eastAsia="Bookman Old Style" w:hAnsi="Bookman Old Style" w:cs="Bookman Old Style"/>
                <w:sz w:val="18"/>
                <w:szCs w:val="18"/>
              </w:rPr>
              <w:t>11</w:t>
            </w:r>
          </w:p>
        </w:tc>
        <w:tc>
          <w:tcPr>
            <w:tcW w:w="2516" w:type="dxa"/>
            <w:tcBorders>
              <w:top w:val="nil"/>
              <w:left w:val="single" w:sz="4" w:space="0" w:color="auto"/>
              <w:bottom w:val="single" w:sz="4" w:space="0" w:color="auto"/>
              <w:right w:val="single" w:sz="4" w:space="0" w:color="auto"/>
            </w:tcBorders>
            <w:shd w:val="clear" w:color="auto" w:fill="auto"/>
            <w:vAlign w:val="center"/>
            <w:hideMark/>
          </w:tcPr>
          <w:p w14:paraId="1A2442C4" w14:textId="48009E4F" w:rsidR="00483485" w:rsidRPr="008379CA" w:rsidRDefault="00483485" w:rsidP="00483485">
            <w:pPr>
              <w:widowControl w:val="0"/>
              <w:spacing w:line="276" w:lineRule="auto"/>
              <w:rPr>
                <w:rFonts w:ascii="Bookman Old Style" w:eastAsia="Bookman Old Style" w:hAnsi="Bookman Old Style" w:cs="Bookman Old Style"/>
                <w:sz w:val="18"/>
                <w:szCs w:val="18"/>
              </w:rPr>
            </w:pPr>
            <w:r w:rsidRPr="008379CA">
              <w:rPr>
                <w:rFonts w:ascii="Bookman Old Style" w:hAnsi="Bookman Old Style" w:cs="Calibri"/>
                <w:sz w:val="18"/>
                <w:szCs w:val="18"/>
              </w:rPr>
              <w:t>D.10</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Iklim</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Inklusivitas</w:t>
            </w:r>
          </w:p>
        </w:tc>
        <w:tc>
          <w:tcPr>
            <w:tcW w:w="1207" w:type="dxa"/>
            <w:tcBorders>
              <w:top w:val="nil"/>
              <w:left w:val="nil"/>
              <w:bottom w:val="single" w:sz="4" w:space="0" w:color="auto"/>
              <w:right w:val="single" w:sz="4" w:space="0" w:color="auto"/>
            </w:tcBorders>
            <w:shd w:val="clear" w:color="auto" w:fill="auto"/>
            <w:vAlign w:val="center"/>
            <w:hideMark/>
          </w:tcPr>
          <w:p w14:paraId="7C22197D" w14:textId="517B0F72"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SD</w:t>
            </w:r>
          </w:p>
        </w:tc>
        <w:tc>
          <w:tcPr>
            <w:tcW w:w="1192" w:type="dxa"/>
            <w:tcBorders>
              <w:top w:val="nil"/>
              <w:left w:val="nil"/>
              <w:bottom w:val="single" w:sz="4" w:space="0" w:color="auto"/>
              <w:right w:val="single" w:sz="4" w:space="0" w:color="auto"/>
            </w:tcBorders>
            <w:shd w:val="clear" w:color="auto" w:fill="auto"/>
            <w:vAlign w:val="center"/>
            <w:hideMark/>
          </w:tcPr>
          <w:p w14:paraId="4338CAC5" w14:textId="5C5D596B"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57</w:t>
            </w:r>
            <w:r w:rsidR="007B5F48" w:rsidRPr="008379CA">
              <w:rPr>
                <w:rFonts w:ascii="Bookman Old Style" w:hAnsi="Bookman Old Style" w:cs="Calibri"/>
                <w:sz w:val="18"/>
                <w:szCs w:val="18"/>
              </w:rPr>
              <w:t>,</w:t>
            </w:r>
            <w:r w:rsidRPr="008379CA">
              <w:rPr>
                <w:rFonts w:ascii="Bookman Old Style" w:hAnsi="Bookman Old Style" w:cs="Calibri"/>
                <w:sz w:val="18"/>
                <w:szCs w:val="18"/>
              </w:rPr>
              <w:t>96</w:t>
            </w:r>
          </w:p>
        </w:tc>
        <w:tc>
          <w:tcPr>
            <w:tcW w:w="976" w:type="dxa"/>
            <w:tcBorders>
              <w:top w:val="nil"/>
              <w:left w:val="nil"/>
              <w:bottom w:val="single" w:sz="4" w:space="0" w:color="auto"/>
              <w:right w:val="single" w:sz="4" w:space="0" w:color="auto"/>
            </w:tcBorders>
            <w:shd w:val="clear" w:color="auto" w:fill="auto"/>
            <w:vAlign w:val="center"/>
            <w:hideMark/>
          </w:tcPr>
          <w:p w14:paraId="74C7B2DE" w14:textId="5EA76ED5"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Baik</w:t>
            </w:r>
          </w:p>
        </w:tc>
        <w:tc>
          <w:tcPr>
            <w:tcW w:w="1489" w:type="dxa"/>
            <w:tcBorders>
              <w:top w:val="nil"/>
              <w:left w:val="nil"/>
              <w:bottom w:val="single" w:sz="4" w:space="0" w:color="auto"/>
              <w:right w:val="single" w:sz="4" w:space="0" w:color="auto"/>
            </w:tcBorders>
            <w:shd w:val="clear" w:color="auto" w:fill="auto"/>
            <w:vAlign w:val="center"/>
            <w:hideMark/>
          </w:tcPr>
          <w:p w14:paraId="2C25DD8B" w14:textId="7CE85777"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Sudah</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Dianggarkan</w:t>
            </w:r>
          </w:p>
        </w:tc>
        <w:tc>
          <w:tcPr>
            <w:tcW w:w="1239" w:type="dxa"/>
            <w:gridSpan w:val="2"/>
            <w:tcBorders>
              <w:top w:val="nil"/>
              <w:left w:val="nil"/>
              <w:bottom w:val="single" w:sz="4" w:space="0" w:color="auto"/>
              <w:right w:val="single" w:sz="4" w:space="0" w:color="auto"/>
            </w:tcBorders>
            <w:shd w:val="clear" w:color="auto" w:fill="auto"/>
            <w:vAlign w:val="center"/>
            <w:hideMark/>
          </w:tcPr>
          <w:p w14:paraId="43B0F0BE" w14:textId="501991E3"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4</w:t>
            </w:r>
          </w:p>
        </w:tc>
        <w:tc>
          <w:tcPr>
            <w:tcW w:w="1313" w:type="dxa"/>
            <w:tcBorders>
              <w:top w:val="nil"/>
              <w:left w:val="nil"/>
              <w:bottom w:val="single" w:sz="4" w:space="0" w:color="auto"/>
              <w:right w:val="single" w:sz="4" w:space="0" w:color="auto"/>
            </w:tcBorders>
            <w:shd w:val="clear" w:color="auto" w:fill="auto"/>
            <w:vAlign w:val="center"/>
            <w:hideMark/>
          </w:tcPr>
          <w:p w14:paraId="76107B4B" w14:textId="770B85E1"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100,00</w:t>
            </w:r>
          </w:p>
        </w:tc>
      </w:tr>
      <w:tr w:rsidR="008379CA" w:rsidRPr="008379CA" w14:paraId="16A40AF4" w14:textId="77777777" w:rsidTr="006A0033">
        <w:tc>
          <w:tcPr>
            <w:tcW w:w="530" w:type="dxa"/>
            <w:tcBorders>
              <w:top w:val="single" w:sz="4" w:space="0" w:color="000000"/>
              <w:left w:val="single" w:sz="4" w:space="0" w:color="000000"/>
              <w:bottom w:val="single" w:sz="4" w:space="0" w:color="000000"/>
              <w:right w:val="single" w:sz="4" w:space="0" w:color="000000"/>
            </w:tcBorders>
            <w:vAlign w:val="center"/>
            <w:hideMark/>
          </w:tcPr>
          <w:p w14:paraId="2B83AE83" w14:textId="77777777"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eastAsia="Bookman Old Style" w:hAnsi="Bookman Old Style" w:cs="Bookman Old Style"/>
                <w:sz w:val="18"/>
                <w:szCs w:val="18"/>
              </w:rPr>
              <w:t>12</w:t>
            </w:r>
          </w:p>
        </w:tc>
        <w:tc>
          <w:tcPr>
            <w:tcW w:w="2516" w:type="dxa"/>
            <w:tcBorders>
              <w:top w:val="nil"/>
              <w:left w:val="single" w:sz="4" w:space="0" w:color="auto"/>
              <w:bottom w:val="single" w:sz="4" w:space="0" w:color="auto"/>
              <w:right w:val="single" w:sz="4" w:space="0" w:color="auto"/>
            </w:tcBorders>
            <w:shd w:val="clear" w:color="auto" w:fill="auto"/>
            <w:vAlign w:val="center"/>
            <w:hideMark/>
          </w:tcPr>
          <w:p w14:paraId="75CAAD61" w14:textId="733AACD4" w:rsidR="00483485" w:rsidRPr="008379CA" w:rsidRDefault="00483485" w:rsidP="00483485">
            <w:pPr>
              <w:widowControl w:val="0"/>
              <w:spacing w:line="276" w:lineRule="auto"/>
              <w:rPr>
                <w:rFonts w:ascii="Bookman Old Style" w:eastAsia="Bookman Old Style" w:hAnsi="Bookman Old Style" w:cs="Bookman Old Style"/>
                <w:sz w:val="18"/>
                <w:szCs w:val="18"/>
              </w:rPr>
            </w:pPr>
            <w:r w:rsidRPr="008379CA">
              <w:rPr>
                <w:rFonts w:ascii="Bookman Old Style" w:hAnsi="Bookman Old Style" w:cs="Calibri"/>
                <w:sz w:val="18"/>
                <w:szCs w:val="18"/>
              </w:rPr>
              <w:t>D.10</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Iklim</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Inklusivitas</w:t>
            </w:r>
          </w:p>
        </w:tc>
        <w:tc>
          <w:tcPr>
            <w:tcW w:w="1207" w:type="dxa"/>
            <w:tcBorders>
              <w:top w:val="nil"/>
              <w:left w:val="nil"/>
              <w:bottom w:val="single" w:sz="4" w:space="0" w:color="auto"/>
              <w:right w:val="single" w:sz="4" w:space="0" w:color="auto"/>
            </w:tcBorders>
            <w:shd w:val="clear" w:color="auto" w:fill="auto"/>
            <w:vAlign w:val="center"/>
            <w:hideMark/>
          </w:tcPr>
          <w:p w14:paraId="7B6A619D" w14:textId="59110E84"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SMP</w:t>
            </w:r>
          </w:p>
        </w:tc>
        <w:tc>
          <w:tcPr>
            <w:tcW w:w="1192" w:type="dxa"/>
            <w:tcBorders>
              <w:top w:val="nil"/>
              <w:left w:val="nil"/>
              <w:bottom w:val="single" w:sz="4" w:space="0" w:color="auto"/>
              <w:right w:val="single" w:sz="4" w:space="0" w:color="auto"/>
            </w:tcBorders>
            <w:shd w:val="clear" w:color="auto" w:fill="auto"/>
            <w:vAlign w:val="center"/>
            <w:hideMark/>
          </w:tcPr>
          <w:p w14:paraId="3B2FBC25" w14:textId="156010B9"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58</w:t>
            </w:r>
            <w:r w:rsidR="007B5F48" w:rsidRPr="008379CA">
              <w:rPr>
                <w:rFonts w:ascii="Bookman Old Style" w:hAnsi="Bookman Old Style" w:cs="Calibri"/>
                <w:sz w:val="18"/>
                <w:szCs w:val="18"/>
              </w:rPr>
              <w:t>,</w:t>
            </w:r>
            <w:r w:rsidRPr="008379CA">
              <w:rPr>
                <w:rFonts w:ascii="Bookman Old Style" w:hAnsi="Bookman Old Style" w:cs="Calibri"/>
                <w:sz w:val="18"/>
                <w:szCs w:val="18"/>
              </w:rPr>
              <w:t>76</w:t>
            </w:r>
          </w:p>
        </w:tc>
        <w:tc>
          <w:tcPr>
            <w:tcW w:w="976" w:type="dxa"/>
            <w:tcBorders>
              <w:top w:val="nil"/>
              <w:left w:val="nil"/>
              <w:bottom w:val="single" w:sz="4" w:space="0" w:color="auto"/>
              <w:right w:val="single" w:sz="4" w:space="0" w:color="auto"/>
            </w:tcBorders>
            <w:shd w:val="clear" w:color="auto" w:fill="auto"/>
            <w:vAlign w:val="center"/>
            <w:hideMark/>
          </w:tcPr>
          <w:p w14:paraId="3151B7E0" w14:textId="5BD806B1"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Baik</w:t>
            </w:r>
          </w:p>
        </w:tc>
        <w:tc>
          <w:tcPr>
            <w:tcW w:w="1489" w:type="dxa"/>
            <w:tcBorders>
              <w:top w:val="nil"/>
              <w:left w:val="nil"/>
              <w:bottom w:val="single" w:sz="4" w:space="0" w:color="auto"/>
              <w:right w:val="single" w:sz="4" w:space="0" w:color="auto"/>
            </w:tcBorders>
            <w:shd w:val="clear" w:color="auto" w:fill="auto"/>
            <w:vAlign w:val="center"/>
            <w:hideMark/>
          </w:tcPr>
          <w:p w14:paraId="2707DD73" w14:textId="3AB2B4F9"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Sudah</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Dianggarkan</w:t>
            </w:r>
          </w:p>
        </w:tc>
        <w:tc>
          <w:tcPr>
            <w:tcW w:w="1239" w:type="dxa"/>
            <w:gridSpan w:val="2"/>
            <w:tcBorders>
              <w:top w:val="nil"/>
              <w:left w:val="nil"/>
              <w:bottom w:val="single" w:sz="4" w:space="0" w:color="auto"/>
              <w:right w:val="single" w:sz="4" w:space="0" w:color="auto"/>
            </w:tcBorders>
            <w:shd w:val="clear" w:color="auto" w:fill="auto"/>
            <w:vAlign w:val="center"/>
            <w:hideMark/>
          </w:tcPr>
          <w:p w14:paraId="73C74CC8" w14:textId="70F3FD1A"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4</w:t>
            </w:r>
          </w:p>
        </w:tc>
        <w:tc>
          <w:tcPr>
            <w:tcW w:w="1313" w:type="dxa"/>
            <w:tcBorders>
              <w:top w:val="nil"/>
              <w:left w:val="nil"/>
              <w:bottom w:val="single" w:sz="4" w:space="0" w:color="auto"/>
              <w:right w:val="single" w:sz="4" w:space="0" w:color="auto"/>
            </w:tcBorders>
            <w:shd w:val="clear" w:color="auto" w:fill="auto"/>
            <w:vAlign w:val="center"/>
            <w:hideMark/>
          </w:tcPr>
          <w:p w14:paraId="3FD983DA" w14:textId="101BF7DC"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100,00</w:t>
            </w:r>
          </w:p>
        </w:tc>
      </w:tr>
      <w:tr w:rsidR="008379CA" w:rsidRPr="008379CA" w14:paraId="794640C0" w14:textId="77777777" w:rsidTr="006A0033">
        <w:tc>
          <w:tcPr>
            <w:tcW w:w="530" w:type="dxa"/>
            <w:tcBorders>
              <w:top w:val="single" w:sz="4" w:space="0" w:color="000000"/>
              <w:left w:val="single" w:sz="4" w:space="0" w:color="000000"/>
              <w:bottom w:val="single" w:sz="4" w:space="0" w:color="000000"/>
              <w:right w:val="single" w:sz="4" w:space="0" w:color="000000"/>
            </w:tcBorders>
            <w:vAlign w:val="center"/>
            <w:hideMark/>
          </w:tcPr>
          <w:p w14:paraId="2E44F46E" w14:textId="77777777"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eastAsia="Bookman Old Style" w:hAnsi="Bookman Old Style" w:cs="Bookman Old Style"/>
                <w:sz w:val="18"/>
                <w:szCs w:val="18"/>
              </w:rPr>
              <w:t>13</w:t>
            </w:r>
          </w:p>
        </w:tc>
        <w:tc>
          <w:tcPr>
            <w:tcW w:w="2516" w:type="dxa"/>
            <w:tcBorders>
              <w:top w:val="nil"/>
              <w:left w:val="single" w:sz="4" w:space="0" w:color="auto"/>
              <w:bottom w:val="single" w:sz="4" w:space="0" w:color="auto"/>
              <w:right w:val="single" w:sz="4" w:space="0" w:color="auto"/>
            </w:tcBorders>
            <w:shd w:val="clear" w:color="auto" w:fill="auto"/>
            <w:vAlign w:val="center"/>
            <w:hideMark/>
          </w:tcPr>
          <w:p w14:paraId="2661E5DF" w14:textId="6129B399" w:rsidR="00483485" w:rsidRPr="008379CA" w:rsidRDefault="00483485" w:rsidP="00483485">
            <w:pPr>
              <w:widowControl w:val="0"/>
              <w:spacing w:line="276" w:lineRule="auto"/>
              <w:rPr>
                <w:rFonts w:ascii="Bookman Old Style" w:eastAsia="Bookman Old Style" w:hAnsi="Bookman Old Style" w:cs="Bookman Old Style"/>
                <w:sz w:val="18"/>
                <w:szCs w:val="18"/>
              </w:rPr>
            </w:pPr>
            <w:r w:rsidRPr="008379CA">
              <w:rPr>
                <w:rFonts w:ascii="Bookman Old Style" w:hAnsi="Bookman Old Style" w:cs="Calibri"/>
                <w:sz w:val="18"/>
                <w:szCs w:val="18"/>
              </w:rPr>
              <w:t>D.4</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Iklim</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Keamanan</w:t>
            </w:r>
          </w:p>
        </w:tc>
        <w:tc>
          <w:tcPr>
            <w:tcW w:w="1207" w:type="dxa"/>
            <w:tcBorders>
              <w:top w:val="nil"/>
              <w:left w:val="nil"/>
              <w:bottom w:val="single" w:sz="4" w:space="0" w:color="auto"/>
              <w:right w:val="single" w:sz="4" w:space="0" w:color="auto"/>
            </w:tcBorders>
            <w:shd w:val="clear" w:color="auto" w:fill="auto"/>
            <w:vAlign w:val="center"/>
            <w:hideMark/>
          </w:tcPr>
          <w:p w14:paraId="14BC618C" w14:textId="00E4957F"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SD</w:t>
            </w:r>
          </w:p>
        </w:tc>
        <w:tc>
          <w:tcPr>
            <w:tcW w:w="1192" w:type="dxa"/>
            <w:tcBorders>
              <w:top w:val="nil"/>
              <w:left w:val="nil"/>
              <w:bottom w:val="single" w:sz="4" w:space="0" w:color="auto"/>
              <w:right w:val="single" w:sz="4" w:space="0" w:color="auto"/>
            </w:tcBorders>
            <w:shd w:val="clear" w:color="auto" w:fill="auto"/>
            <w:vAlign w:val="center"/>
            <w:hideMark/>
          </w:tcPr>
          <w:p w14:paraId="19F700EB" w14:textId="1EA78567"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74</w:t>
            </w:r>
            <w:r w:rsidR="007B5F48" w:rsidRPr="008379CA">
              <w:rPr>
                <w:rFonts w:ascii="Bookman Old Style" w:hAnsi="Bookman Old Style" w:cs="Calibri"/>
                <w:sz w:val="18"/>
                <w:szCs w:val="18"/>
              </w:rPr>
              <w:t>,</w:t>
            </w:r>
            <w:r w:rsidRPr="008379CA">
              <w:rPr>
                <w:rFonts w:ascii="Bookman Old Style" w:hAnsi="Bookman Old Style" w:cs="Calibri"/>
                <w:sz w:val="18"/>
                <w:szCs w:val="18"/>
              </w:rPr>
              <w:t>82</w:t>
            </w:r>
          </w:p>
        </w:tc>
        <w:tc>
          <w:tcPr>
            <w:tcW w:w="976" w:type="dxa"/>
            <w:tcBorders>
              <w:top w:val="nil"/>
              <w:left w:val="nil"/>
              <w:bottom w:val="single" w:sz="4" w:space="0" w:color="auto"/>
              <w:right w:val="single" w:sz="4" w:space="0" w:color="auto"/>
            </w:tcBorders>
            <w:shd w:val="clear" w:color="auto" w:fill="auto"/>
            <w:vAlign w:val="center"/>
            <w:hideMark/>
          </w:tcPr>
          <w:p w14:paraId="33EAEEAB" w14:textId="181C98CD"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Baik</w:t>
            </w:r>
          </w:p>
        </w:tc>
        <w:tc>
          <w:tcPr>
            <w:tcW w:w="1489" w:type="dxa"/>
            <w:tcBorders>
              <w:top w:val="nil"/>
              <w:left w:val="nil"/>
              <w:bottom w:val="single" w:sz="4" w:space="0" w:color="auto"/>
              <w:right w:val="single" w:sz="4" w:space="0" w:color="auto"/>
            </w:tcBorders>
            <w:shd w:val="clear" w:color="auto" w:fill="auto"/>
            <w:vAlign w:val="center"/>
            <w:hideMark/>
          </w:tcPr>
          <w:p w14:paraId="56D2F1E8" w14:textId="6AD4E580"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Sudah</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Dianggarkan</w:t>
            </w:r>
          </w:p>
        </w:tc>
        <w:tc>
          <w:tcPr>
            <w:tcW w:w="1239" w:type="dxa"/>
            <w:gridSpan w:val="2"/>
            <w:tcBorders>
              <w:top w:val="nil"/>
              <w:left w:val="nil"/>
              <w:bottom w:val="single" w:sz="4" w:space="0" w:color="auto"/>
              <w:right w:val="single" w:sz="4" w:space="0" w:color="auto"/>
            </w:tcBorders>
            <w:shd w:val="clear" w:color="auto" w:fill="auto"/>
            <w:vAlign w:val="center"/>
            <w:hideMark/>
          </w:tcPr>
          <w:p w14:paraId="75973EAC" w14:textId="05B17248"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4</w:t>
            </w:r>
          </w:p>
        </w:tc>
        <w:tc>
          <w:tcPr>
            <w:tcW w:w="1313" w:type="dxa"/>
            <w:tcBorders>
              <w:top w:val="nil"/>
              <w:left w:val="nil"/>
              <w:bottom w:val="single" w:sz="4" w:space="0" w:color="auto"/>
              <w:right w:val="single" w:sz="4" w:space="0" w:color="auto"/>
            </w:tcBorders>
            <w:shd w:val="clear" w:color="auto" w:fill="auto"/>
            <w:vAlign w:val="center"/>
            <w:hideMark/>
          </w:tcPr>
          <w:p w14:paraId="464C542E" w14:textId="1C0074C9"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100,00</w:t>
            </w:r>
          </w:p>
        </w:tc>
      </w:tr>
      <w:tr w:rsidR="008379CA" w:rsidRPr="008379CA" w14:paraId="1C1B587A" w14:textId="77777777" w:rsidTr="006A0033">
        <w:tc>
          <w:tcPr>
            <w:tcW w:w="530" w:type="dxa"/>
            <w:tcBorders>
              <w:top w:val="single" w:sz="4" w:space="0" w:color="000000"/>
              <w:left w:val="single" w:sz="4" w:space="0" w:color="000000"/>
              <w:bottom w:val="single" w:sz="4" w:space="0" w:color="000000"/>
              <w:right w:val="single" w:sz="4" w:space="0" w:color="000000"/>
            </w:tcBorders>
            <w:vAlign w:val="center"/>
            <w:hideMark/>
          </w:tcPr>
          <w:p w14:paraId="172EF000" w14:textId="77777777"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eastAsia="Bookman Old Style" w:hAnsi="Bookman Old Style" w:cs="Bookman Old Style"/>
                <w:sz w:val="18"/>
                <w:szCs w:val="18"/>
              </w:rPr>
              <w:t>14</w:t>
            </w:r>
          </w:p>
        </w:tc>
        <w:tc>
          <w:tcPr>
            <w:tcW w:w="2516" w:type="dxa"/>
            <w:tcBorders>
              <w:top w:val="nil"/>
              <w:left w:val="single" w:sz="4" w:space="0" w:color="auto"/>
              <w:bottom w:val="single" w:sz="4" w:space="0" w:color="auto"/>
              <w:right w:val="single" w:sz="4" w:space="0" w:color="auto"/>
            </w:tcBorders>
            <w:shd w:val="clear" w:color="auto" w:fill="auto"/>
            <w:vAlign w:val="center"/>
            <w:hideMark/>
          </w:tcPr>
          <w:p w14:paraId="7EB9F95A" w14:textId="0FB79F25" w:rsidR="00483485" w:rsidRPr="008379CA" w:rsidRDefault="00483485" w:rsidP="00483485">
            <w:pPr>
              <w:widowControl w:val="0"/>
              <w:spacing w:line="276" w:lineRule="auto"/>
              <w:rPr>
                <w:rFonts w:ascii="Bookman Old Style" w:eastAsia="Bookman Old Style" w:hAnsi="Bookman Old Style" w:cs="Bookman Old Style"/>
                <w:sz w:val="18"/>
                <w:szCs w:val="18"/>
              </w:rPr>
            </w:pPr>
            <w:r w:rsidRPr="008379CA">
              <w:rPr>
                <w:rFonts w:ascii="Bookman Old Style" w:hAnsi="Bookman Old Style" w:cs="Calibri"/>
                <w:sz w:val="18"/>
                <w:szCs w:val="18"/>
              </w:rPr>
              <w:t>D.4</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Iklim</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Keamanan</w:t>
            </w:r>
          </w:p>
        </w:tc>
        <w:tc>
          <w:tcPr>
            <w:tcW w:w="1207" w:type="dxa"/>
            <w:tcBorders>
              <w:top w:val="nil"/>
              <w:left w:val="nil"/>
              <w:bottom w:val="single" w:sz="4" w:space="0" w:color="auto"/>
              <w:right w:val="single" w:sz="4" w:space="0" w:color="auto"/>
            </w:tcBorders>
            <w:shd w:val="clear" w:color="auto" w:fill="auto"/>
            <w:vAlign w:val="center"/>
            <w:hideMark/>
          </w:tcPr>
          <w:p w14:paraId="3F9FEB3B" w14:textId="36A6B272"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SMP</w:t>
            </w:r>
          </w:p>
        </w:tc>
        <w:tc>
          <w:tcPr>
            <w:tcW w:w="1192" w:type="dxa"/>
            <w:tcBorders>
              <w:top w:val="nil"/>
              <w:left w:val="nil"/>
              <w:bottom w:val="single" w:sz="4" w:space="0" w:color="auto"/>
              <w:right w:val="single" w:sz="4" w:space="0" w:color="auto"/>
            </w:tcBorders>
            <w:shd w:val="clear" w:color="auto" w:fill="auto"/>
            <w:vAlign w:val="center"/>
            <w:hideMark/>
          </w:tcPr>
          <w:p w14:paraId="751001E2" w14:textId="1C1D5F01"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70</w:t>
            </w:r>
            <w:r w:rsidR="007B5F48" w:rsidRPr="008379CA">
              <w:rPr>
                <w:rFonts w:ascii="Bookman Old Style" w:hAnsi="Bookman Old Style" w:cs="Calibri"/>
                <w:sz w:val="18"/>
                <w:szCs w:val="18"/>
              </w:rPr>
              <w:t>,</w:t>
            </w:r>
            <w:r w:rsidRPr="008379CA">
              <w:rPr>
                <w:rFonts w:ascii="Bookman Old Style" w:hAnsi="Bookman Old Style" w:cs="Calibri"/>
                <w:sz w:val="18"/>
                <w:szCs w:val="18"/>
              </w:rPr>
              <w:t>97</w:t>
            </w:r>
          </w:p>
        </w:tc>
        <w:tc>
          <w:tcPr>
            <w:tcW w:w="976" w:type="dxa"/>
            <w:tcBorders>
              <w:top w:val="nil"/>
              <w:left w:val="nil"/>
              <w:bottom w:val="single" w:sz="4" w:space="0" w:color="auto"/>
              <w:right w:val="single" w:sz="4" w:space="0" w:color="auto"/>
            </w:tcBorders>
            <w:shd w:val="clear" w:color="auto" w:fill="auto"/>
            <w:vAlign w:val="center"/>
            <w:hideMark/>
          </w:tcPr>
          <w:p w14:paraId="022537F0" w14:textId="114F0DA0"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Baik</w:t>
            </w:r>
          </w:p>
        </w:tc>
        <w:tc>
          <w:tcPr>
            <w:tcW w:w="1489" w:type="dxa"/>
            <w:tcBorders>
              <w:top w:val="nil"/>
              <w:left w:val="nil"/>
              <w:bottom w:val="single" w:sz="4" w:space="0" w:color="auto"/>
              <w:right w:val="single" w:sz="4" w:space="0" w:color="auto"/>
            </w:tcBorders>
            <w:shd w:val="clear" w:color="auto" w:fill="auto"/>
            <w:vAlign w:val="center"/>
            <w:hideMark/>
          </w:tcPr>
          <w:p w14:paraId="68DF96FA" w14:textId="2DB05043"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Sudah</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Dianggarkan</w:t>
            </w:r>
          </w:p>
        </w:tc>
        <w:tc>
          <w:tcPr>
            <w:tcW w:w="1239" w:type="dxa"/>
            <w:gridSpan w:val="2"/>
            <w:tcBorders>
              <w:top w:val="nil"/>
              <w:left w:val="nil"/>
              <w:bottom w:val="single" w:sz="4" w:space="0" w:color="auto"/>
              <w:right w:val="single" w:sz="4" w:space="0" w:color="auto"/>
            </w:tcBorders>
            <w:shd w:val="clear" w:color="auto" w:fill="auto"/>
            <w:vAlign w:val="center"/>
            <w:hideMark/>
          </w:tcPr>
          <w:p w14:paraId="64AFD5C7" w14:textId="5219C3AF"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4</w:t>
            </w:r>
          </w:p>
        </w:tc>
        <w:tc>
          <w:tcPr>
            <w:tcW w:w="1313" w:type="dxa"/>
            <w:tcBorders>
              <w:top w:val="nil"/>
              <w:left w:val="nil"/>
              <w:bottom w:val="single" w:sz="4" w:space="0" w:color="auto"/>
              <w:right w:val="single" w:sz="4" w:space="0" w:color="auto"/>
            </w:tcBorders>
            <w:shd w:val="clear" w:color="auto" w:fill="auto"/>
            <w:vAlign w:val="center"/>
            <w:hideMark/>
          </w:tcPr>
          <w:p w14:paraId="48A925C8" w14:textId="588D0FE5"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100,00</w:t>
            </w:r>
          </w:p>
        </w:tc>
      </w:tr>
      <w:tr w:rsidR="008379CA" w:rsidRPr="008379CA" w14:paraId="1C9E56CE" w14:textId="77777777" w:rsidTr="006A0033">
        <w:tc>
          <w:tcPr>
            <w:tcW w:w="530" w:type="dxa"/>
            <w:tcBorders>
              <w:top w:val="single" w:sz="4" w:space="0" w:color="000000"/>
              <w:left w:val="single" w:sz="4" w:space="0" w:color="000000"/>
              <w:bottom w:val="single" w:sz="4" w:space="0" w:color="000000"/>
              <w:right w:val="single" w:sz="4" w:space="0" w:color="000000"/>
            </w:tcBorders>
            <w:vAlign w:val="center"/>
            <w:hideMark/>
          </w:tcPr>
          <w:p w14:paraId="601E0C98" w14:textId="77777777"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eastAsia="Bookman Old Style" w:hAnsi="Bookman Old Style" w:cs="Bookman Old Style"/>
                <w:sz w:val="18"/>
                <w:szCs w:val="18"/>
              </w:rPr>
              <w:t>15</w:t>
            </w:r>
          </w:p>
        </w:tc>
        <w:tc>
          <w:tcPr>
            <w:tcW w:w="2516" w:type="dxa"/>
            <w:tcBorders>
              <w:top w:val="nil"/>
              <w:left w:val="single" w:sz="4" w:space="0" w:color="auto"/>
              <w:bottom w:val="single" w:sz="4" w:space="0" w:color="auto"/>
              <w:right w:val="single" w:sz="4" w:space="0" w:color="auto"/>
            </w:tcBorders>
            <w:shd w:val="clear" w:color="auto" w:fill="auto"/>
            <w:vAlign w:val="center"/>
            <w:hideMark/>
          </w:tcPr>
          <w:p w14:paraId="7BD61FF9" w14:textId="3FBEA9F4" w:rsidR="00483485" w:rsidRPr="008379CA" w:rsidRDefault="00483485" w:rsidP="00483485">
            <w:pPr>
              <w:widowControl w:val="0"/>
              <w:spacing w:line="276" w:lineRule="auto"/>
              <w:rPr>
                <w:rFonts w:ascii="Bookman Old Style" w:eastAsia="Bookman Old Style" w:hAnsi="Bookman Old Style" w:cs="Bookman Old Style"/>
                <w:sz w:val="18"/>
                <w:szCs w:val="18"/>
              </w:rPr>
            </w:pPr>
            <w:r w:rsidRPr="008379CA">
              <w:rPr>
                <w:rFonts w:ascii="Bookman Old Style" w:hAnsi="Bookman Old Style" w:cs="Calibri"/>
                <w:sz w:val="18"/>
                <w:szCs w:val="18"/>
              </w:rPr>
              <w:t>D.8</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Iklim</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Kebinekaan</w:t>
            </w:r>
          </w:p>
        </w:tc>
        <w:tc>
          <w:tcPr>
            <w:tcW w:w="1207" w:type="dxa"/>
            <w:tcBorders>
              <w:top w:val="nil"/>
              <w:left w:val="nil"/>
              <w:bottom w:val="single" w:sz="4" w:space="0" w:color="auto"/>
              <w:right w:val="single" w:sz="4" w:space="0" w:color="auto"/>
            </w:tcBorders>
            <w:shd w:val="clear" w:color="auto" w:fill="auto"/>
            <w:vAlign w:val="center"/>
            <w:hideMark/>
          </w:tcPr>
          <w:p w14:paraId="60957DDB" w14:textId="5A34B8F4"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SD</w:t>
            </w:r>
          </w:p>
        </w:tc>
        <w:tc>
          <w:tcPr>
            <w:tcW w:w="1192" w:type="dxa"/>
            <w:tcBorders>
              <w:top w:val="nil"/>
              <w:left w:val="nil"/>
              <w:bottom w:val="single" w:sz="4" w:space="0" w:color="auto"/>
              <w:right w:val="single" w:sz="4" w:space="0" w:color="auto"/>
            </w:tcBorders>
            <w:shd w:val="clear" w:color="auto" w:fill="auto"/>
            <w:vAlign w:val="center"/>
            <w:hideMark/>
          </w:tcPr>
          <w:p w14:paraId="620A11B3" w14:textId="7A0CB81A"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74</w:t>
            </w:r>
            <w:r w:rsidR="007B5F48" w:rsidRPr="008379CA">
              <w:rPr>
                <w:rFonts w:ascii="Bookman Old Style" w:hAnsi="Bookman Old Style" w:cs="Calibri"/>
                <w:sz w:val="18"/>
                <w:szCs w:val="18"/>
              </w:rPr>
              <w:t>,</w:t>
            </w:r>
            <w:r w:rsidRPr="008379CA">
              <w:rPr>
                <w:rFonts w:ascii="Bookman Old Style" w:hAnsi="Bookman Old Style" w:cs="Calibri"/>
                <w:sz w:val="18"/>
                <w:szCs w:val="18"/>
              </w:rPr>
              <w:t>44</w:t>
            </w:r>
          </w:p>
        </w:tc>
        <w:tc>
          <w:tcPr>
            <w:tcW w:w="976" w:type="dxa"/>
            <w:tcBorders>
              <w:top w:val="nil"/>
              <w:left w:val="nil"/>
              <w:bottom w:val="single" w:sz="4" w:space="0" w:color="auto"/>
              <w:right w:val="single" w:sz="4" w:space="0" w:color="auto"/>
            </w:tcBorders>
            <w:shd w:val="clear" w:color="auto" w:fill="auto"/>
            <w:vAlign w:val="center"/>
            <w:hideMark/>
          </w:tcPr>
          <w:p w14:paraId="3755E362" w14:textId="41651E61"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Baik</w:t>
            </w:r>
          </w:p>
        </w:tc>
        <w:tc>
          <w:tcPr>
            <w:tcW w:w="1489" w:type="dxa"/>
            <w:tcBorders>
              <w:top w:val="nil"/>
              <w:left w:val="nil"/>
              <w:bottom w:val="single" w:sz="4" w:space="0" w:color="auto"/>
              <w:right w:val="single" w:sz="4" w:space="0" w:color="auto"/>
            </w:tcBorders>
            <w:shd w:val="clear" w:color="auto" w:fill="auto"/>
            <w:vAlign w:val="center"/>
            <w:hideMark/>
          </w:tcPr>
          <w:p w14:paraId="7500FAE5" w14:textId="3A267DC2"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Sudah</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Dianggarkan</w:t>
            </w:r>
          </w:p>
        </w:tc>
        <w:tc>
          <w:tcPr>
            <w:tcW w:w="1239" w:type="dxa"/>
            <w:gridSpan w:val="2"/>
            <w:tcBorders>
              <w:top w:val="nil"/>
              <w:left w:val="nil"/>
              <w:bottom w:val="single" w:sz="4" w:space="0" w:color="auto"/>
              <w:right w:val="single" w:sz="4" w:space="0" w:color="auto"/>
            </w:tcBorders>
            <w:shd w:val="clear" w:color="auto" w:fill="auto"/>
            <w:vAlign w:val="center"/>
            <w:hideMark/>
          </w:tcPr>
          <w:p w14:paraId="41A60A4B" w14:textId="1B442F1D"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4</w:t>
            </w:r>
          </w:p>
        </w:tc>
        <w:tc>
          <w:tcPr>
            <w:tcW w:w="1313" w:type="dxa"/>
            <w:tcBorders>
              <w:top w:val="nil"/>
              <w:left w:val="nil"/>
              <w:bottom w:val="single" w:sz="4" w:space="0" w:color="auto"/>
              <w:right w:val="single" w:sz="4" w:space="0" w:color="auto"/>
            </w:tcBorders>
            <w:shd w:val="clear" w:color="auto" w:fill="auto"/>
            <w:vAlign w:val="center"/>
            <w:hideMark/>
          </w:tcPr>
          <w:p w14:paraId="19E5B6B1" w14:textId="36A7ABF8"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100,00</w:t>
            </w:r>
          </w:p>
        </w:tc>
      </w:tr>
      <w:tr w:rsidR="008379CA" w:rsidRPr="008379CA" w14:paraId="11138572" w14:textId="77777777" w:rsidTr="006A0033">
        <w:tc>
          <w:tcPr>
            <w:tcW w:w="530" w:type="dxa"/>
            <w:tcBorders>
              <w:top w:val="single" w:sz="4" w:space="0" w:color="000000"/>
              <w:left w:val="single" w:sz="4" w:space="0" w:color="000000"/>
              <w:bottom w:val="single" w:sz="4" w:space="0" w:color="000000"/>
              <w:right w:val="single" w:sz="4" w:space="0" w:color="000000"/>
            </w:tcBorders>
            <w:vAlign w:val="center"/>
          </w:tcPr>
          <w:p w14:paraId="1DC6AB16" w14:textId="74A8BC1E"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eastAsia="Bookman Old Style" w:hAnsi="Bookman Old Style" w:cs="Bookman Old Style"/>
                <w:sz w:val="18"/>
                <w:szCs w:val="18"/>
              </w:rPr>
              <w:t>16</w:t>
            </w:r>
          </w:p>
        </w:tc>
        <w:tc>
          <w:tcPr>
            <w:tcW w:w="2516" w:type="dxa"/>
            <w:tcBorders>
              <w:top w:val="nil"/>
              <w:left w:val="single" w:sz="4" w:space="0" w:color="auto"/>
              <w:bottom w:val="single" w:sz="4" w:space="0" w:color="auto"/>
              <w:right w:val="single" w:sz="4" w:space="0" w:color="auto"/>
            </w:tcBorders>
            <w:shd w:val="clear" w:color="auto" w:fill="auto"/>
            <w:vAlign w:val="center"/>
          </w:tcPr>
          <w:p w14:paraId="699E2F66" w14:textId="198EE320" w:rsidR="00483485" w:rsidRPr="008379CA" w:rsidRDefault="00483485" w:rsidP="00483485">
            <w:pPr>
              <w:widowControl w:val="0"/>
              <w:spacing w:line="276" w:lineRule="auto"/>
              <w:rPr>
                <w:rFonts w:ascii="Bookman Old Style" w:eastAsia="Bookman Old Style" w:hAnsi="Bookman Old Style" w:cs="Bookman Old Style"/>
                <w:sz w:val="18"/>
                <w:szCs w:val="18"/>
              </w:rPr>
            </w:pPr>
            <w:r w:rsidRPr="008379CA">
              <w:rPr>
                <w:rFonts w:ascii="Bookman Old Style" w:hAnsi="Bookman Old Style" w:cs="Calibri"/>
                <w:sz w:val="18"/>
                <w:szCs w:val="18"/>
              </w:rPr>
              <w:t>D.8</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Iklim</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Kebinekaan</w:t>
            </w:r>
          </w:p>
        </w:tc>
        <w:tc>
          <w:tcPr>
            <w:tcW w:w="1207" w:type="dxa"/>
            <w:tcBorders>
              <w:top w:val="nil"/>
              <w:left w:val="nil"/>
              <w:bottom w:val="single" w:sz="4" w:space="0" w:color="auto"/>
              <w:right w:val="single" w:sz="4" w:space="0" w:color="auto"/>
            </w:tcBorders>
            <w:shd w:val="clear" w:color="auto" w:fill="auto"/>
            <w:vAlign w:val="center"/>
          </w:tcPr>
          <w:p w14:paraId="748D5609" w14:textId="258B0CD2"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SMP</w:t>
            </w:r>
          </w:p>
        </w:tc>
        <w:tc>
          <w:tcPr>
            <w:tcW w:w="1192" w:type="dxa"/>
            <w:tcBorders>
              <w:top w:val="nil"/>
              <w:left w:val="nil"/>
              <w:bottom w:val="single" w:sz="4" w:space="0" w:color="auto"/>
              <w:right w:val="single" w:sz="4" w:space="0" w:color="auto"/>
            </w:tcBorders>
            <w:shd w:val="clear" w:color="auto" w:fill="auto"/>
            <w:vAlign w:val="center"/>
          </w:tcPr>
          <w:p w14:paraId="6D2A8C61" w14:textId="71A86039"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73</w:t>
            </w:r>
            <w:r w:rsidR="007B5F48" w:rsidRPr="008379CA">
              <w:rPr>
                <w:rFonts w:ascii="Bookman Old Style" w:hAnsi="Bookman Old Style" w:cs="Calibri"/>
                <w:sz w:val="18"/>
                <w:szCs w:val="18"/>
              </w:rPr>
              <w:t>,</w:t>
            </w:r>
            <w:r w:rsidRPr="008379CA">
              <w:rPr>
                <w:rFonts w:ascii="Bookman Old Style" w:hAnsi="Bookman Old Style" w:cs="Calibri"/>
                <w:sz w:val="18"/>
                <w:szCs w:val="18"/>
              </w:rPr>
              <w:t>93</w:t>
            </w:r>
          </w:p>
        </w:tc>
        <w:tc>
          <w:tcPr>
            <w:tcW w:w="976" w:type="dxa"/>
            <w:tcBorders>
              <w:top w:val="nil"/>
              <w:left w:val="nil"/>
              <w:bottom w:val="single" w:sz="4" w:space="0" w:color="auto"/>
              <w:right w:val="single" w:sz="4" w:space="0" w:color="auto"/>
            </w:tcBorders>
            <w:shd w:val="clear" w:color="auto" w:fill="auto"/>
            <w:vAlign w:val="center"/>
          </w:tcPr>
          <w:p w14:paraId="145861D9" w14:textId="6A619C6B"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Baik</w:t>
            </w:r>
          </w:p>
        </w:tc>
        <w:tc>
          <w:tcPr>
            <w:tcW w:w="1489" w:type="dxa"/>
            <w:tcBorders>
              <w:top w:val="nil"/>
              <w:left w:val="nil"/>
              <w:bottom w:val="single" w:sz="4" w:space="0" w:color="auto"/>
              <w:right w:val="single" w:sz="4" w:space="0" w:color="auto"/>
            </w:tcBorders>
            <w:shd w:val="clear" w:color="auto" w:fill="auto"/>
            <w:vAlign w:val="center"/>
          </w:tcPr>
          <w:p w14:paraId="1DAE7802" w14:textId="76605CDB"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Sudah</w:t>
            </w:r>
            <w:r w:rsidR="00A954D0" w:rsidRPr="008379CA">
              <w:rPr>
                <w:rFonts w:ascii="Bookman Old Style" w:hAnsi="Bookman Old Style" w:cs="Calibri"/>
                <w:sz w:val="18"/>
                <w:szCs w:val="18"/>
              </w:rPr>
              <w:t xml:space="preserve"> </w:t>
            </w:r>
            <w:r w:rsidRPr="008379CA">
              <w:rPr>
                <w:rFonts w:ascii="Bookman Old Style" w:hAnsi="Bookman Old Style" w:cs="Calibri"/>
                <w:sz w:val="18"/>
                <w:szCs w:val="18"/>
              </w:rPr>
              <w:t>Dianggarkan</w:t>
            </w:r>
          </w:p>
        </w:tc>
        <w:tc>
          <w:tcPr>
            <w:tcW w:w="1239" w:type="dxa"/>
            <w:gridSpan w:val="2"/>
            <w:tcBorders>
              <w:top w:val="nil"/>
              <w:left w:val="nil"/>
              <w:bottom w:val="single" w:sz="4" w:space="0" w:color="auto"/>
              <w:right w:val="single" w:sz="4" w:space="0" w:color="auto"/>
            </w:tcBorders>
            <w:shd w:val="clear" w:color="auto" w:fill="auto"/>
            <w:vAlign w:val="center"/>
          </w:tcPr>
          <w:p w14:paraId="493EA4B7" w14:textId="7226FC7D"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4</w:t>
            </w:r>
          </w:p>
        </w:tc>
        <w:tc>
          <w:tcPr>
            <w:tcW w:w="1313" w:type="dxa"/>
            <w:tcBorders>
              <w:top w:val="nil"/>
              <w:left w:val="nil"/>
              <w:bottom w:val="single" w:sz="4" w:space="0" w:color="auto"/>
              <w:right w:val="single" w:sz="4" w:space="0" w:color="auto"/>
            </w:tcBorders>
            <w:shd w:val="clear" w:color="auto" w:fill="auto"/>
            <w:vAlign w:val="center"/>
          </w:tcPr>
          <w:p w14:paraId="0341DEF8" w14:textId="597D1286" w:rsidR="00483485" w:rsidRPr="008379CA" w:rsidRDefault="00483485" w:rsidP="00483485">
            <w:pPr>
              <w:widowControl w:val="0"/>
              <w:spacing w:line="276" w:lineRule="auto"/>
              <w:jc w:val="center"/>
              <w:rPr>
                <w:rFonts w:ascii="Bookman Old Style" w:eastAsia="Bookman Old Style" w:hAnsi="Bookman Old Style" w:cs="Bookman Old Style"/>
                <w:sz w:val="18"/>
                <w:szCs w:val="18"/>
              </w:rPr>
            </w:pPr>
            <w:r w:rsidRPr="008379CA">
              <w:rPr>
                <w:rFonts w:ascii="Bookman Old Style" w:hAnsi="Bookman Old Style" w:cs="Calibri"/>
                <w:sz w:val="18"/>
                <w:szCs w:val="18"/>
              </w:rPr>
              <w:t>100,00</w:t>
            </w:r>
          </w:p>
        </w:tc>
      </w:tr>
      <w:tr w:rsidR="008379CA" w:rsidRPr="008379CA" w14:paraId="150D4A03" w14:textId="77777777" w:rsidTr="006A0033">
        <w:tc>
          <w:tcPr>
            <w:tcW w:w="7910" w:type="dxa"/>
            <w:gridSpan w:val="6"/>
            <w:tcBorders>
              <w:top w:val="single" w:sz="4" w:space="0" w:color="000000"/>
              <w:left w:val="single" w:sz="4" w:space="0" w:color="000000"/>
              <w:bottom w:val="single" w:sz="4" w:space="0" w:color="000000"/>
              <w:right w:val="single" w:sz="4" w:space="0" w:color="000000"/>
            </w:tcBorders>
            <w:vAlign w:val="center"/>
          </w:tcPr>
          <w:p w14:paraId="0735138E" w14:textId="01D94E9F" w:rsidR="0063184D" w:rsidRPr="008379CA" w:rsidRDefault="0063184D" w:rsidP="00050B5E">
            <w:pPr>
              <w:widowControl w:val="0"/>
              <w:spacing w:line="276" w:lineRule="auto"/>
              <w:jc w:val="center"/>
              <w:rPr>
                <w:rFonts w:ascii="Bookman Old Style" w:eastAsia="Bookman Old Style" w:hAnsi="Bookman Old Style" w:cs="Bookman Old Style"/>
                <w:sz w:val="18"/>
                <w:szCs w:val="18"/>
              </w:rPr>
            </w:pPr>
            <w:r w:rsidRPr="008379CA">
              <w:rPr>
                <w:rFonts w:ascii="Bookman Old Style" w:eastAsia="Bookman Old Style" w:hAnsi="Bookman Old Style" w:cs="Bookman Old Style"/>
                <w:sz w:val="18"/>
                <w:szCs w:val="18"/>
              </w:rPr>
              <w:t>Total</w:t>
            </w:r>
            <w:r w:rsidR="00A954D0" w:rsidRPr="008379CA">
              <w:rPr>
                <w:rFonts w:ascii="Bookman Old Style" w:eastAsia="Bookman Old Style" w:hAnsi="Bookman Old Style" w:cs="Bookman Old Style"/>
                <w:sz w:val="18"/>
                <w:szCs w:val="18"/>
              </w:rPr>
              <w:t xml:space="preserve"> </w:t>
            </w:r>
            <w:r w:rsidRPr="008379CA">
              <w:rPr>
                <w:rFonts w:ascii="Bookman Old Style" w:eastAsia="Bookman Old Style" w:hAnsi="Bookman Old Style" w:cs="Bookman Old Style"/>
                <w:sz w:val="18"/>
                <w:szCs w:val="18"/>
              </w:rPr>
              <w:t>Keseluruhan</w:t>
            </w:r>
            <w:r w:rsidR="002A0EB0" w:rsidRPr="008379CA">
              <w:rPr>
                <w:rFonts w:ascii="Bookman Old Style" w:eastAsia="Bookman Old Style" w:hAnsi="Bookman Old Style" w:cs="Bookman Old Style"/>
                <w:sz w:val="18"/>
                <w:szCs w:val="18"/>
              </w:rPr>
              <w:t>s</w:t>
            </w:r>
          </w:p>
        </w:tc>
        <w:tc>
          <w:tcPr>
            <w:tcW w:w="1232" w:type="dxa"/>
            <w:tcBorders>
              <w:top w:val="single" w:sz="4" w:space="0" w:color="000000"/>
              <w:left w:val="single" w:sz="4" w:space="0" w:color="000000"/>
              <w:bottom w:val="single" w:sz="4" w:space="0" w:color="000000"/>
              <w:right w:val="single" w:sz="4" w:space="0" w:color="000000"/>
            </w:tcBorders>
            <w:vAlign w:val="center"/>
          </w:tcPr>
          <w:p w14:paraId="1A3BD973" w14:textId="2844BE04" w:rsidR="0063184D" w:rsidRPr="008379CA" w:rsidRDefault="00483485" w:rsidP="00483485">
            <w:pPr>
              <w:jc w:val="center"/>
              <w:rPr>
                <w:rFonts w:ascii="Bookman Old Style" w:hAnsi="Bookman Old Style" w:cs="Calibri"/>
                <w:sz w:val="18"/>
                <w:szCs w:val="18"/>
              </w:rPr>
            </w:pPr>
            <w:r w:rsidRPr="008379CA">
              <w:rPr>
                <w:rFonts w:ascii="Bookman Old Style" w:hAnsi="Bookman Old Style" w:cs="Calibri"/>
                <w:sz w:val="18"/>
                <w:szCs w:val="18"/>
              </w:rPr>
              <w:t>86</w:t>
            </w:r>
          </w:p>
        </w:tc>
        <w:tc>
          <w:tcPr>
            <w:tcW w:w="1320" w:type="dxa"/>
            <w:gridSpan w:val="2"/>
            <w:tcBorders>
              <w:top w:val="single" w:sz="4" w:space="0" w:color="000000"/>
              <w:left w:val="single" w:sz="4" w:space="0" w:color="000000"/>
              <w:bottom w:val="single" w:sz="4" w:space="0" w:color="000000"/>
              <w:right w:val="single" w:sz="4" w:space="0" w:color="000000"/>
            </w:tcBorders>
            <w:vAlign w:val="center"/>
          </w:tcPr>
          <w:p w14:paraId="0511C05C" w14:textId="10620FF2" w:rsidR="0063184D" w:rsidRPr="008379CA" w:rsidRDefault="00483485" w:rsidP="00050B5E">
            <w:pPr>
              <w:widowControl w:val="0"/>
              <w:spacing w:line="276" w:lineRule="auto"/>
              <w:jc w:val="center"/>
              <w:rPr>
                <w:rFonts w:ascii="Bookman Old Style" w:eastAsia="Bookman Old Style" w:hAnsi="Bookman Old Style" w:cs="Bookman Old Style"/>
                <w:sz w:val="18"/>
                <w:szCs w:val="18"/>
              </w:rPr>
            </w:pPr>
            <w:r w:rsidRPr="008379CA">
              <w:rPr>
                <w:rFonts w:ascii="Bookman Old Style" w:eastAsia="Bookman Old Style" w:hAnsi="Bookman Old Style" w:cs="Bookman Old Style"/>
                <w:sz w:val="18"/>
                <w:szCs w:val="18"/>
              </w:rPr>
              <w:t>78,94</w:t>
            </w:r>
          </w:p>
        </w:tc>
      </w:tr>
    </w:tbl>
    <w:p w14:paraId="0174E0A6" w14:textId="34AC5FAF" w:rsidR="00127869" w:rsidRPr="008379CA" w:rsidRDefault="005A3CB6" w:rsidP="00CE715C">
      <w:pPr>
        <w:widowControl w:val="0"/>
        <w:spacing w:before="60" w:line="276" w:lineRule="auto"/>
        <w:ind w:left="-567"/>
        <w:rPr>
          <w:rFonts w:ascii="Bookman Old Style" w:eastAsia="Bookman Old Style" w:hAnsi="Bookman Old Style" w:cs="Bookman Old Style"/>
          <w:i/>
          <w:iCs/>
          <w:sz w:val="18"/>
          <w:szCs w:val="18"/>
          <w:lang w:val="en"/>
        </w:rPr>
      </w:pPr>
      <w:r w:rsidRPr="008379CA">
        <w:rPr>
          <w:rFonts w:ascii="Bookman Old Style" w:eastAsia="Bookman Old Style" w:hAnsi="Bookman Old Style" w:cs="Bookman Old Style"/>
          <w:i/>
          <w:iCs/>
          <w:sz w:val="18"/>
          <w:szCs w:val="18"/>
          <w:lang w:val="en"/>
        </w:rPr>
        <w:t>Sumber</w:t>
      </w:r>
      <w:r w:rsidR="00A954D0" w:rsidRPr="008379CA">
        <w:rPr>
          <w:rFonts w:ascii="Bookman Old Style" w:eastAsia="Bookman Old Style" w:hAnsi="Bookman Old Style" w:cs="Bookman Old Style"/>
          <w:i/>
          <w:iCs/>
          <w:sz w:val="18"/>
          <w:szCs w:val="18"/>
          <w:lang w:val="en"/>
        </w:rPr>
        <w:t xml:space="preserve"> </w:t>
      </w:r>
      <w:r w:rsidRPr="008379CA">
        <w:rPr>
          <w:rFonts w:ascii="Bookman Old Style" w:eastAsia="Bookman Old Style" w:hAnsi="Bookman Old Style" w:cs="Bookman Old Style"/>
          <w:i/>
          <w:iCs/>
          <w:sz w:val="18"/>
          <w:szCs w:val="18"/>
          <w:lang w:val="en"/>
        </w:rPr>
        <w:t>:</w:t>
      </w:r>
      <w:r w:rsidR="00A954D0" w:rsidRPr="008379CA">
        <w:rPr>
          <w:rFonts w:ascii="Bookman Old Style" w:eastAsia="Bookman Old Style" w:hAnsi="Bookman Old Style" w:cs="Bookman Old Style"/>
          <w:i/>
          <w:iCs/>
          <w:sz w:val="18"/>
          <w:szCs w:val="18"/>
          <w:lang w:val="en"/>
        </w:rPr>
        <w:t xml:space="preserve"> </w:t>
      </w:r>
      <w:r w:rsidRPr="008379CA">
        <w:rPr>
          <w:rFonts w:ascii="Bookman Old Style" w:eastAsia="Bookman Old Style" w:hAnsi="Bookman Old Style" w:cs="Bookman Old Style"/>
          <w:i/>
          <w:iCs/>
          <w:sz w:val="18"/>
          <w:szCs w:val="18"/>
          <w:lang w:val="en"/>
        </w:rPr>
        <w:t>Dashboard</w:t>
      </w:r>
      <w:r w:rsidR="00A954D0" w:rsidRPr="008379CA">
        <w:rPr>
          <w:rFonts w:ascii="Bookman Old Style" w:eastAsia="Bookman Old Style" w:hAnsi="Bookman Old Style" w:cs="Bookman Old Style"/>
          <w:i/>
          <w:iCs/>
          <w:sz w:val="18"/>
          <w:szCs w:val="18"/>
          <w:lang w:val="en"/>
        </w:rPr>
        <w:t xml:space="preserve"> </w:t>
      </w:r>
      <w:r w:rsidRPr="008379CA">
        <w:rPr>
          <w:rFonts w:ascii="Bookman Old Style" w:eastAsia="Bookman Old Style" w:hAnsi="Bookman Old Style" w:cs="Bookman Old Style"/>
          <w:i/>
          <w:iCs/>
          <w:sz w:val="18"/>
          <w:szCs w:val="18"/>
          <w:lang w:val="en"/>
        </w:rPr>
        <w:t>Evaluasi</w:t>
      </w:r>
      <w:r w:rsidR="00A954D0" w:rsidRPr="008379CA">
        <w:rPr>
          <w:rFonts w:ascii="Bookman Old Style" w:eastAsia="Bookman Old Style" w:hAnsi="Bookman Old Style" w:cs="Bookman Old Style"/>
          <w:i/>
          <w:iCs/>
          <w:sz w:val="18"/>
          <w:szCs w:val="18"/>
          <w:lang w:val="en"/>
        </w:rPr>
        <w:t xml:space="preserve"> </w:t>
      </w:r>
      <w:r w:rsidRPr="008379CA">
        <w:rPr>
          <w:rFonts w:ascii="Bookman Old Style" w:eastAsia="Bookman Old Style" w:hAnsi="Bookman Old Style" w:cs="Bookman Old Style"/>
          <w:i/>
          <w:iCs/>
          <w:sz w:val="18"/>
          <w:szCs w:val="18"/>
          <w:lang w:val="en"/>
        </w:rPr>
        <w:t>Penerapan</w:t>
      </w:r>
      <w:r w:rsidR="00A954D0" w:rsidRPr="008379CA">
        <w:rPr>
          <w:rFonts w:ascii="Bookman Old Style" w:eastAsia="Bookman Old Style" w:hAnsi="Bookman Old Style" w:cs="Bookman Old Style"/>
          <w:i/>
          <w:iCs/>
          <w:sz w:val="18"/>
          <w:szCs w:val="18"/>
          <w:lang w:val="en"/>
        </w:rPr>
        <w:t xml:space="preserve"> </w:t>
      </w:r>
      <w:r w:rsidRPr="008379CA">
        <w:rPr>
          <w:rFonts w:ascii="Bookman Old Style" w:eastAsia="Bookman Old Style" w:hAnsi="Bookman Old Style" w:cs="Bookman Old Style"/>
          <w:i/>
          <w:iCs/>
          <w:sz w:val="18"/>
          <w:szCs w:val="18"/>
          <w:lang w:val="en"/>
        </w:rPr>
        <w:t>Anggaran</w:t>
      </w:r>
      <w:r w:rsidR="00A954D0" w:rsidRPr="008379CA">
        <w:rPr>
          <w:rFonts w:ascii="Bookman Old Style" w:eastAsia="Bookman Old Style" w:hAnsi="Bookman Old Style" w:cs="Bookman Old Style"/>
          <w:i/>
          <w:iCs/>
          <w:sz w:val="18"/>
          <w:szCs w:val="18"/>
          <w:lang w:val="en"/>
        </w:rPr>
        <w:t xml:space="preserve"> </w:t>
      </w:r>
      <w:r w:rsidRPr="008379CA">
        <w:rPr>
          <w:rFonts w:ascii="Bookman Old Style" w:eastAsia="Bookman Old Style" w:hAnsi="Bookman Old Style" w:cs="Bookman Old Style"/>
          <w:i/>
          <w:iCs/>
          <w:sz w:val="18"/>
          <w:szCs w:val="18"/>
          <w:lang w:val="en"/>
        </w:rPr>
        <w:t>SPM</w:t>
      </w:r>
      <w:r w:rsidR="00A954D0" w:rsidRPr="008379CA">
        <w:rPr>
          <w:rFonts w:ascii="Bookman Old Style" w:eastAsia="Bookman Old Style" w:hAnsi="Bookman Old Style" w:cs="Bookman Old Style"/>
          <w:i/>
          <w:iCs/>
          <w:sz w:val="18"/>
          <w:szCs w:val="18"/>
          <w:lang w:val="en"/>
        </w:rPr>
        <w:t xml:space="preserve"> </w:t>
      </w:r>
      <w:r w:rsidRPr="008379CA">
        <w:rPr>
          <w:rFonts w:ascii="Bookman Old Style" w:eastAsia="Bookman Old Style" w:hAnsi="Bookman Old Style" w:cs="Bookman Old Style"/>
          <w:i/>
          <w:iCs/>
          <w:sz w:val="18"/>
          <w:szCs w:val="18"/>
          <w:lang w:val="en"/>
        </w:rPr>
        <w:t>Pendidikan</w:t>
      </w:r>
      <w:r w:rsidR="00A954D0" w:rsidRPr="008379CA">
        <w:rPr>
          <w:rFonts w:ascii="Bookman Old Style" w:eastAsia="Bookman Old Style" w:hAnsi="Bookman Old Style" w:cs="Bookman Old Style"/>
          <w:i/>
          <w:iCs/>
          <w:sz w:val="18"/>
          <w:szCs w:val="18"/>
          <w:lang w:val="en"/>
        </w:rPr>
        <w:t xml:space="preserve"> </w:t>
      </w:r>
      <w:r w:rsidRPr="008379CA">
        <w:rPr>
          <w:rFonts w:ascii="Bookman Old Style" w:eastAsia="Bookman Old Style" w:hAnsi="Bookman Old Style" w:cs="Bookman Old Style"/>
          <w:i/>
          <w:iCs/>
          <w:sz w:val="18"/>
          <w:szCs w:val="18"/>
          <w:lang w:val="en"/>
        </w:rPr>
        <w:t>-</w:t>
      </w:r>
      <w:r w:rsidR="00A954D0" w:rsidRPr="008379CA">
        <w:rPr>
          <w:rFonts w:ascii="Bookman Old Style" w:eastAsia="Bookman Old Style" w:hAnsi="Bookman Old Style" w:cs="Bookman Old Style"/>
          <w:i/>
          <w:iCs/>
          <w:sz w:val="18"/>
          <w:szCs w:val="18"/>
          <w:lang w:val="en"/>
        </w:rPr>
        <w:t xml:space="preserve"> </w:t>
      </w:r>
      <w:r w:rsidRPr="008379CA">
        <w:rPr>
          <w:rFonts w:ascii="Bookman Old Style" w:eastAsia="Bookman Old Style" w:hAnsi="Bookman Old Style" w:cs="Bookman Old Style"/>
          <w:i/>
          <w:iCs/>
          <w:sz w:val="18"/>
          <w:szCs w:val="18"/>
          <w:lang w:val="en"/>
        </w:rPr>
        <w:t>Data</w:t>
      </w:r>
      <w:r w:rsidR="00A954D0" w:rsidRPr="008379CA">
        <w:rPr>
          <w:rFonts w:ascii="Bookman Old Style" w:eastAsia="Bookman Old Style" w:hAnsi="Bookman Old Style" w:cs="Bookman Old Style"/>
          <w:i/>
          <w:iCs/>
          <w:sz w:val="18"/>
          <w:szCs w:val="18"/>
          <w:lang w:val="en"/>
        </w:rPr>
        <w:t xml:space="preserve"> </w:t>
      </w:r>
      <w:r w:rsidR="007D7967" w:rsidRPr="008379CA">
        <w:rPr>
          <w:rFonts w:ascii="Bookman Old Style" w:eastAsia="Bookman Old Style" w:hAnsi="Bookman Old Style" w:cs="Bookman Old Style"/>
          <w:i/>
          <w:iCs/>
          <w:sz w:val="18"/>
          <w:szCs w:val="18"/>
          <w:lang w:val="en"/>
        </w:rPr>
        <w:t>per</w:t>
      </w:r>
      <w:r w:rsidR="00A954D0" w:rsidRPr="008379CA">
        <w:rPr>
          <w:rFonts w:ascii="Bookman Old Style" w:eastAsia="Bookman Old Style" w:hAnsi="Bookman Old Style" w:cs="Bookman Old Style"/>
          <w:i/>
          <w:iCs/>
          <w:sz w:val="18"/>
          <w:szCs w:val="18"/>
          <w:lang w:val="en"/>
        </w:rPr>
        <w:t xml:space="preserve"> </w:t>
      </w:r>
      <w:r w:rsidR="007D7967" w:rsidRPr="008379CA">
        <w:rPr>
          <w:rFonts w:ascii="Bookman Old Style" w:eastAsia="Bookman Old Style" w:hAnsi="Bookman Old Style" w:cs="Bookman Old Style"/>
          <w:i/>
          <w:iCs/>
          <w:sz w:val="18"/>
          <w:szCs w:val="18"/>
          <w:lang w:val="en"/>
        </w:rPr>
        <w:t>tanggal</w:t>
      </w:r>
      <w:r w:rsidR="00A954D0" w:rsidRPr="008379CA">
        <w:rPr>
          <w:rFonts w:ascii="Bookman Old Style" w:eastAsia="Bookman Old Style" w:hAnsi="Bookman Old Style" w:cs="Bookman Old Style"/>
          <w:i/>
          <w:iCs/>
          <w:sz w:val="18"/>
          <w:szCs w:val="18"/>
          <w:lang w:val="en"/>
        </w:rPr>
        <w:t xml:space="preserve"> </w:t>
      </w:r>
      <w:r w:rsidRPr="008379CA">
        <w:rPr>
          <w:rFonts w:ascii="Bookman Old Style" w:eastAsia="Bookman Old Style" w:hAnsi="Bookman Old Style" w:cs="Bookman Old Style"/>
          <w:i/>
          <w:iCs/>
          <w:sz w:val="18"/>
          <w:szCs w:val="18"/>
          <w:lang w:val="en"/>
        </w:rPr>
        <w:t>09</w:t>
      </w:r>
      <w:r w:rsidR="00A954D0" w:rsidRPr="008379CA">
        <w:rPr>
          <w:rFonts w:ascii="Bookman Old Style" w:eastAsia="Bookman Old Style" w:hAnsi="Bookman Old Style" w:cs="Bookman Old Style"/>
          <w:i/>
          <w:iCs/>
          <w:sz w:val="18"/>
          <w:szCs w:val="18"/>
          <w:lang w:val="en"/>
        </w:rPr>
        <w:t xml:space="preserve"> </w:t>
      </w:r>
      <w:r w:rsidRPr="008379CA">
        <w:rPr>
          <w:rFonts w:ascii="Bookman Old Style" w:eastAsia="Bookman Old Style" w:hAnsi="Bookman Old Style" w:cs="Bookman Old Style"/>
          <w:i/>
          <w:iCs/>
          <w:sz w:val="18"/>
          <w:szCs w:val="18"/>
          <w:lang w:val="en"/>
        </w:rPr>
        <w:t>November</w:t>
      </w:r>
      <w:r w:rsidR="00A954D0" w:rsidRPr="008379CA">
        <w:rPr>
          <w:rFonts w:ascii="Bookman Old Style" w:eastAsia="Bookman Old Style" w:hAnsi="Bookman Old Style" w:cs="Bookman Old Style"/>
          <w:i/>
          <w:iCs/>
          <w:sz w:val="18"/>
          <w:szCs w:val="18"/>
          <w:lang w:val="en"/>
        </w:rPr>
        <w:t xml:space="preserve"> </w:t>
      </w:r>
      <w:r w:rsidRPr="008379CA">
        <w:rPr>
          <w:rFonts w:ascii="Bookman Old Style" w:eastAsia="Bookman Old Style" w:hAnsi="Bookman Old Style" w:cs="Bookman Old Style"/>
          <w:i/>
          <w:iCs/>
          <w:sz w:val="18"/>
          <w:szCs w:val="18"/>
          <w:lang w:val="en"/>
        </w:rPr>
        <w:t>2024</w:t>
      </w:r>
    </w:p>
    <w:p w14:paraId="2402086D" w14:textId="4263ED4F" w:rsidR="00D207E2" w:rsidRPr="008379CA" w:rsidRDefault="00127869" w:rsidP="00CE715C">
      <w:pPr>
        <w:pStyle w:val="ListParagraph"/>
        <w:spacing w:before="60" w:after="0" w:line="276" w:lineRule="auto"/>
        <w:ind w:left="1276"/>
        <w:contextualSpacing w:val="0"/>
        <w:jc w:val="both"/>
        <w:rPr>
          <w:rFonts w:ascii="Bookman Old Style" w:eastAsia="Bookman Old Style" w:hAnsi="Bookman Old Style" w:cs="Bookman Old Style"/>
          <w:sz w:val="24"/>
          <w:szCs w:val="24"/>
          <w:lang w:val="en"/>
        </w:rPr>
      </w:pPr>
      <w:r w:rsidRPr="008379CA">
        <w:rPr>
          <w:rFonts w:ascii="Bookman Old Style" w:eastAsia="Bookman Old Style" w:hAnsi="Bookman Old Style" w:cs="Bookman Old Style"/>
          <w:sz w:val="24"/>
          <w:szCs w:val="24"/>
          <w:lang w:val="en"/>
        </w:rPr>
        <w:t>Dari</w:t>
      </w:r>
      <w:r w:rsidR="00A954D0" w:rsidRPr="008379CA">
        <w:rPr>
          <w:rFonts w:ascii="Bookman Old Style" w:eastAsia="Bookman Old Style" w:hAnsi="Bookman Old Style" w:cs="Bookman Old Style"/>
          <w:sz w:val="24"/>
          <w:szCs w:val="24"/>
          <w:lang w:val="en"/>
        </w:rPr>
        <w:t xml:space="preserve"> </w:t>
      </w:r>
      <w:r w:rsidRPr="008379CA">
        <w:rPr>
          <w:rFonts w:ascii="Bookman Old Style" w:eastAsia="Bookman Old Style" w:hAnsi="Bookman Old Style" w:cs="Bookman Old Style"/>
          <w:sz w:val="24"/>
          <w:szCs w:val="24"/>
          <w:lang w:val="en"/>
        </w:rPr>
        <w:t>evaluasi</w:t>
      </w:r>
      <w:r w:rsidR="00A954D0" w:rsidRPr="008379CA">
        <w:rPr>
          <w:rFonts w:ascii="Bookman Old Style" w:eastAsia="Bookman Old Style" w:hAnsi="Bookman Old Style" w:cs="Bookman Old Style"/>
          <w:sz w:val="24"/>
          <w:szCs w:val="24"/>
          <w:lang w:val="en"/>
        </w:rPr>
        <w:t xml:space="preserve"> </w:t>
      </w:r>
      <w:r w:rsidRPr="008379CA">
        <w:rPr>
          <w:rFonts w:ascii="Bookman Old Style" w:eastAsia="Bookman Old Style" w:hAnsi="Bookman Old Style" w:cs="Bookman Old Style"/>
          <w:sz w:val="24"/>
          <w:szCs w:val="24"/>
          <w:lang w:val="en"/>
        </w:rPr>
        <w:t>sebagaimana</w:t>
      </w:r>
      <w:r w:rsidR="00A954D0" w:rsidRPr="008379CA">
        <w:rPr>
          <w:rFonts w:ascii="Bookman Old Style" w:eastAsia="Bookman Old Style" w:hAnsi="Bookman Old Style" w:cs="Bookman Old Style"/>
          <w:sz w:val="24"/>
          <w:szCs w:val="24"/>
          <w:lang w:val="en"/>
        </w:rPr>
        <w:t xml:space="preserve"> </w:t>
      </w:r>
      <w:r w:rsidRPr="008379CA">
        <w:rPr>
          <w:rFonts w:ascii="Bookman Old Style" w:eastAsia="Bookman Old Style" w:hAnsi="Bookman Old Style" w:cs="Bookman Old Style"/>
          <w:sz w:val="24"/>
          <w:szCs w:val="24"/>
          <w:lang w:val="en"/>
        </w:rPr>
        <w:t>tabel</w:t>
      </w:r>
      <w:r w:rsidR="00A954D0" w:rsidRPr="008379CA">
        <w:rPr>
          <w:rFonts w:ascii="Bookman Old Style" w:eastAsia="Bookman Old Style" w:hAnsi="Bookman Old Style" w:cs="Bookman Old Style"/>
          <w:sz w:val="24"/>
          <w:szCs w:val="24"/>
          <w:lang w:val="en"/>
        </w:rPr>
        <w:t xml:space="preserve"> </w:t>
      </w:r>
      <w:r w:rsidRPr="008379CA">
        <w:rPr>
          <w:rFonts w:ascii="Bookman Old Style" w:eastAsia="Bookman Old Style" w:hAnsi="Bookman Old Style" w:cs="Bookman Old Style"/>
          <w:sz w:val="24"/>
          <w:szCs w:val="24"/>
          <w:lang w:val="en"/>
        </w:rPr>
        <w:t>di</w:t>
      </w:r>
      <w:r w:rsidR="00A954D0" w:rsidRPr="008379CA">
        <w:rPr>
          <w:rFonts w:ascii="Bookman Old Style" w:eastAsia="Bookman Old Style" w:hAnsi="Bookman Old Style" w:cs="Bookman Old Style"/>
          <w:sz w:val="24"/>
          <w:szCs w:val="24"/>
          <w:lang w:val="en"/>
        </w:rPr>
        <w:t xml:space="preserve"> </w:t>
      </w:r>
      <w:r w:rsidRPr="008379CA">
        <w:rPr>
          <w:rFonts w:ascii="Bookman Old Style" w:eastAsia="Bookman Old Style" w:hAnsi="Bookman Old Style" w:cs="Bookman Old Style"/>
          <w:sz w:val="24"/>
          <w:szCs w:val="24"/>
          <w:lang w:val="en"/>
        </w:rPr>
        <w:t>atas,</w:t>
      </w:r>
      <w:r w:rsidR="00A954D0" w:rsidRPr="008379CA">
        <w:rPr>
          <w:rFonts w:ascii="Bookman Old Style" w:eastAsia="Bookman Old Style" w:hAnsi="Bookman Old Style" w:cs="Bookman Old Style"/>
          <w:sz w:val="24"/>
          <w:szCs w:val="24"/>
          <w:lang w:val="en"/>
        </w:rPr>
        <w:t xml:space="preserve"> </w:t>
      </w:r>
      <w:r w:rsidRPr="008379CA">
        <w:rPr>
          <w:rFonts w:ascii="Bookman Old Style" w:eastAsia="Bookman Old Style" w:hAnsi="Bookman Old Style" w:cs="Bookman Old Style"/>
          <w:sz w:val="24"/>
          <w:szCs w:val="24"/>
          <w:lang w:val="en"/>
        </w:rPr>
        <w:t>Pemerintah</w:t>
      </w:r>
      <w:r w:rsidR="00A954D0" w:rsidRPr="008379CA">
        <w:rPr>
          <w:rFonts w:ascii="Bookman Old Style" w:eastAsia="Bookman Old Style" w:hAnsi="Bookman Old Style" w:cs="Bookman Old Style"/>
          <w:sz w:val="24"/>
          <w:szCs w:val="24"/>
          <w:lang w:val="en"/>
        </w:rPr>
        <w:t xml:space="preserve"> </w:t>
      </w:r>
      <w:r w:rsidR="00046408" w:rsidRPr="008379CA">
        <w:rPr>
          <w:rFonts w:ascii="Bookman Old Style" w:eastAsia="Bookman Old Style" w:hAnsi="Bookman Old Style" w:cs="Bookman Old Style"/>
          <w:sz w:val="24"/>
          <w:szCs w:val="24"/>
          <w:lang w:val="en"/>
        </w:rPr>
        <w:t>Kota</w:t>
      </w:r>
      <w:r w:rsidR="00A954D0" w:rsidRPr="008379CA">
        <w:rPr>
          <w:rFonts w:ascii="Bookman Old Style" w:eastAsia="Bookman Old Style" w:hAnsi="Bookman Old Style" w:cs="Bookman Old Style"/>
          <w:sz w:val="24"/>
          <w:szCs w:val="24"/>
          <w:lang w:val="en"/>
        </w:rPr>
        <w:t xml:space="preserve"> </w:t>
      </w:r>
      <w:r w:rsidR="00770F22" w:rsidRPr="008379CA">
        <w:rPr>
          <w:rFonts w:ascii="Bookman Old Style" w:eastAsia="Bookman Old Style" w:hAnsi="Bookman Old Style" w:cs="Bookman Old Style"/>
          <w:sz w:val="24"/>
          <w:szCs w:val="24"/>
          <w:lang w:val="en"/>
        </w:rPr>
        <w:t>Tangerang</w:t>
      </w:r>
      <w:r w:rsidR="00A954D0" w:rsidRPr="008379CA">
        <w:rPr>
          <w:rFonts w:ascii="Bookman Old Style" w:eastAsia="Bookman Old Style" w:hAnsi="Bookman Old Style" w:cs="Bookman Old Style"/>
          <w:sz w:val="24"/>
          <w:szCs w:val="24"/>
          <w:lang w:val="en"/>
        </w:rPr>
        <w:t xml:space="preserve"> </w:t>
      </w:r>
      <w:r w:rsidRPr="008379CA">
        <w:rPr>
          <w:rFonts w:ascii="Bookman Old Style" w:eastAsia="Bookman Old Style" w:hAnsi="Bookman Old Style" w:cs="Bookman Old Style"/>
          <w:sz w:val="24"/>
          <w:szCs w:val="24"/>
          <w:lang w:val="en"/>
        </w:rPr>
        <w:t>agar</w:t>
      </w:r>
      <w:r w:rsidR="00A954D0" w:rsidRPr="008379CA">
        <w:rPr>
          <w:rFonts w:ascii="Bookman Old Style" w:eastAsia="Bookman Old Style" w:hAnsi="Bookman Old Style" w:cs="Bookman Old Style"/>
          <w:sz w:val="24"/>
          <w:szCs w:val="24"/>
          <w:lang w:val="en"/>
        </w:rPr>
        <w:t xml:space="preserve"> </w:t>
      </w:r>
      <w:r w:rsidRPr="008379CA">
        <w:rPr>
          <w:rFonts w:ascii="Bookman Old Style" w:eastAsia="Bookman Old Style" w:hAnsi="Bookman Old Style" w:cs="Bookman Old Style"/>
          <w:sz w:val="24"/>
          <w:szCs w:val="24"/>
          <w:lang w:val="en"/>
        </w:rPr>
        <w:t>memprioritaskan</w:t>
      </w:r>
      <w:r w:rsidR="00A954D0" w:rsidRPr="008379CA">
        <w:rPr>
          <w:rFonts w:ascii="Bookman Old Style" w:eastAsia="Bookman Old Style" w:hAnsi="Bookman Old Style" w:cs="Bookman Old Style"/>
          <w:sz w:val="24"/>
          <w:szCs w:val="24"/>
          <w:lang w:val="en"/>
        </w:rPr>
        <w:t xml:space="preserve"> </w:t>
      </w:r>
      <w:r w:rsidRPr="008379CA">
        <w:rPr>
          <w:rFonts w:ascii="Bookman Old Style" w:eastAsia="Bookman Old Style" w:hAnsi="Bookman Old Style" w:cs="Bookman Old Style"/>
          <w:sz w:val="24"/>
          <w:szCs w:val="24"/>
          <w:lang w:val="en"/>
        </w:rPr>
        <w:t>penganggaran</w:t>
      </w:r>
      <w:r w:rsidR="00A954D0" w:rsidRPr="008379CA">
        <w:rPr>
          <w:rFonts w:ascii="Bookman Old Style" w:eastAsia="Bookman Old Style" w:hAnsi="Bookman Old Style" w:cs="Bookman Old Style"/>
          <w:sz w:val="24"/>
          <w:szCs w:val="24"/>
          <w:lang w:val="en"/>
        </w:rPr>
        <w:t xml:space="preserve"> </w:t>
      </w:r>
      <w:r w:rsidRPr="008379CA">
        <w:rPr>
          <w:rFonts w:ascii="Bookman Old Style" w:eastAsia="Bookman Old Style" w:hAnsi="Bookman Old Style" w:cs="Bookman Old Style"/>
          <w:sz w:val="24"/>
          <w:szCs w:val="24"/>
          <w:lang w:val="en"/>
        </w:rPr>
        <w:t>sub-</w:t>
      </w:r>
      <w:r w:rsidRPr="008379CA">
        <w:rPr>
          <w:rFonts w:ascii="Bookman Old Style" w:hAnsi="Bookman Old Style" w:cs="Arial"/>
          <w:sz w:val="24"/>
          <w:szCs w:val="24"/>
          <w:lang w:val="fi-FI"/>
        </w:rPr>
        <w:t>kegiatan</w:t>
      </w:r>
      <w:r w:rsidR="00A954D0" w:rsidRPr="008379CA">
        <w:rPr>
          <w:rFonts w:ascii="Bookman Old Style" w:eastAsia="Bookman Old Style" w:hAnsi="Bookman Old Style" w:cs="Bookman Old Style"/>
          <w:sz w:val="24"/>
          <w:szCs w:val="24"/>
          <w:lang w:val="en"/>
        </w:rPr>
        <w:t xml:space="preserve"> </w:t>
      </w:r>
      <w:r w:rsidRPr="008379CA">
        <w:rPr>
          <w:rFonts w:ascii="Bookman Old Style" w:eastAsia="Bookman Old Style" w:hAnsi="Bookman Old Style" w:cs="Bookman Old Style"/>
          <w:sz w:val="24"/>
          <w:szCs w:val="24"/>
          <w:lang w:val="en"/>
        </w:rPr>
        <w:t>dalam</w:t>
      </w:r>
      <w:r w:rsidR="00A954D0" w:rsidRPr="008379CA">
        <w:rPr>
          <w:rFonts w:ascii="Bookman Old Style" w:eastAsia="Bookman Old Style" w:hAnsi="Bookman Old Style" w:cs="Bookman Old Style"/>
          <w:sz w:val="24"/>
          <w:szCs w:val="24"/>
          <w:lang w:val="en"/>
        </w:rPr>
        <w:t xml:space="preserve"> </w:t>
      </w:r>
      <w:r w:rsidRPr="008379CA">
        <w:rPr>
          <w:rFonts w:ascii="Bookman Old Style" w:eastAsia="Bookman Old Style" w:hAnsi="Bookman Old Style" w:cs="Bookman Old Style"/>
          <w:sz w:val="24"/>
          <w:szCs w:val="24"/>
          <w:lang w:val="en"/>
        </w:rPr>
        <w:t>pencapaian</w:t>
      </w:r>
      <w:r w:rsidR="00A954D0" w:rsidRPr="008379CA">
        <w:rPr>
          <w:rFonts w:ascii="Bookman Old Style" w:eastAsia="Bookman Old Style" w:hAnsi="Bookman Old Style" w:cs="Bookman Old Style"/>
          <w:sz w:val="24"/>
          <w:szCs w:val="24"/>
          <w:lang w:val="en"/>
        </w:rPr>
        <w:t xml:space="preserve"> </w:t>
      </w:r>
      <w:r w:rsidRPr="008379CA">
        <w:rPr>
          <w:rFonts w:ascii="Bookman Old Style" w:eastAsia="Bookman Old Style" w:hAnsi="Bookman Old Style" w:cs="Bookman Old Style"/>
          <w:sz w:val="24"/>
          <w:szCs w:val="24"/>
          <w:lang w:val="en"/>
        </w:rPr>
        <w:t>indikator</w:t>
      </w:r>
      <w:r w:rsidR="00A954D0" w:rsidRPr="008379CA">
        <w:rPr>
          <w:rFonts w:ascii="Bookman Old Style" w:eastAsia="Bookman Old Style" w:hAnsi="Bookman Old Style" w:cs="Bookman Old Style"/>
          <w:sz w:val="24"/>
          <w:szCs w:val="24"/>
          <w:lang w:val="en"/>
        </w:rPr>
        <w:t xml:space="preserve"> </w:t>
      </w:r>
      <w:r w:rsidRPr="008379CA">
        <w:rPr>
          <w:rFonts w:ascii="Bookman Old Style" w:eastAsia="Bookman Old Style" w:hAnsi="Bookman Old Style" w:cs="Bookman Old Style"/>
          <w:sz w:val="24"/>
          <w:szCs w:val="24"/>
          <w:lang w:val="en"/>
        </w:rPr>
        <w:t>SPM</w:t>
      </w:r>
      <w:r w:rsidR="00A954D0" w:rsidRPr="008379CA">
        <w:rPr>
          <w:rFonts w:ascii="Bookman Old Style" w:eastAsia="Bookman Old Style" w:hAnsi="Bookman Old Style" w:cs="Bookman Old Style"/>
          <w:sz w:val="24"/>
          <w:szCs w:val="24"/>
          <w:lang w:val="en"/>
        </w:rPr>
        <w:t xml:space="preserve"> </w:t>
      </w:r>
      <w:r w:rsidRPr="008379CA">
        <w:rPr>
          <w:rFonts w:ascii="Bookman Old Style" w:eastAsia="Bookman Old Style" w:hAnsi="Bookman Old Style" w:cs="Bookman Old Style"/>
          <w:sz w:val="24"/>
          <w:szCs w:val="24"/>
          <w:lang w:val="en"/>
        </w:rPr>
        <w:t>Pendidikan</w:t>
      </w:r>
      <w:r w:rsidR="00A954D0" w:rsidRPr="008379CA">
        <w:rPr>
          <w:rFonts w:ascii="Bookman Old Style" w:eastAsia="Bookman Old Style" w:hAnsi="Bookman Old Style" w:cs="Bookman Old Style"/>
          <w:sz w:val="24"/>
          <w:szCs w:val="24"/>
          <w:lang w:val="en"/>
        </w:rPr>
        <w:t xml:space="preserve"> </w:t>
      </w:r>
      <w:r w:rsidRPr="008379CA">
        <w:rPr>
          <w:rFonts w:ascii="Bookman Old Style" w:eastAsia="Bookman Old Style" w:hAnsi="Bookman Old Style" w:cs="Bookman Old Style"/>
          <w:sz w:val="24"/>
          <w:szCs w:val="24"/>
          <w:lang w:val="en"/>
        </w:rPr>
        <w:t>berdasarkan</w:t>
      </w:r>
      <w:r w:rsidR="00A954D0" w:rsidRPr="008379CA">
        <w:rPr>
          <w:rFonts w:ascii="Bookman Old Style" w:eastAsia="Bookman Old Style" w:hAnsi="Bookman Old Style" w:cs="Bookman Old Style"/>
          <w:sz w:val="24"/>
          <w:szCs w:val="24"/>
          <w:lang w:val="en"/>
        </w:rPr>
        <w:t xml:space="preserve"> </w:t>
      </w:r>
      <w:r w:rsidRPr="008379CA">
        <w:rPr>
          <w:rFonts w:ascii="Bookman Old Style" w:eastAsia="Bookman Old Style" w:hAnsi="Bookman Old Style" w:cs="Bookman Old Style"/>
          <w:sz w:val="24"/>
          <w:szCs w:val="24"/>
          <w:lang w:val="en"/>
        </w:rPr>
        <w:t>capaian</w:t>
      </w:r>
      <w:r w:rsidR="00A954D0" w:rsidRPr="008379CA">
        <w:rPr>
          <w:rFonts w:ascii="Bookman Old Style" w:eastAsia="Bookman Old Style" w:hAnsi="Bookman Old Style" w:cs="Bookman Old Style"/>
          <w:sz w:val="24"/>
          <w:szCs w:val="24"/>
          <w:lang w:val="en"/>
        </w:rPr>
        <w:t xml:space="preserve"> </w:t>
      </w:r>
      <w:r w:rsidRPr="008379CA">
        <w:rPr>
          <w:rFonts w:ascii="Bookman Old Style" w:eastAsia="Bookman Old Style" w:hAnsi="Bookman Old Style" w:cs="Bookman Old Style"/>
          <w:sz w:val="24"/>
          <w:szCs w:val="24"/>
          <w:lang w:val="en"/>
        </w:rPr>
        <w:t>indikator</w:t>
      </w:r>
      <w:r w:rsidR="00A954D0" w:rsidRPr="008379CA">
        <w:rPr>
          <w:rFonts w:ascii="Bookman Old Style" w:eastAsia="Bookman Old Style" w:hAnsi="Bookman Old Style" w:cs="Bookman Old Style"/>
          <w:sz w:val="24"/>
          <w:szCs w:val="24"/>
          <w:lang w:val="en"/>
        </w:rPr>
        <w:t xml:space="preserve"> </w:t>
      </w:r>
      <w:r w:rsidRPr="008379CA">
        <w:rPr>
          <w:rFonts w:ascii="Bookman Old Style" w:eastAsia="Bookman Old Style" w:hAnsi="Bookman Old Style" w:cs="Bookman Old Style"/>
          <w:sz w:val="24"/>
          <w:szCs w:val="24"/>
          <w:lang w:val="en"/>
        </w:rPr>
        <w:t>prioritas</w:t>
      </w:r>
      <w:r w:rsidR="00A954D0" w:rsidRPr="008379CA">
        <w:rPr>
          <w:rFonts w:ascii="Bookman Old Style" w:eastAsia="Bookman Old Style" w:hAnsi="Bookman Old Style" w:cs="Bookman Old Style"/>
          <w:sz w:val="24"/>
          <w:szCs w:val="24"/>
          <w:lang w:val="en"/>
        </w:rPr>
        <w:t xml:space="preserve"> </w:t>
      </w:r>
      <w:r w:rsidRPr="008379CA">
        <w:rPr>
          <w:rFonts w:ascii="Bookman Old Style" w:eastAsia="Bookman Old Style" w:hAnsi="Bookman Old Style" w:cs="Bookman Old Style"/>
          <w:sz w:val="24"/>
          <w:szCs w:val="24"/>
          <w:lang w:val="en"/>
        </w:rPr>
        <w:t>dalam</w:t>
      </w:r>
      <w:r w:rsidR="00A954D0" w:rsidRPr="008379CA">
        <w:rPr>
          <w:rFonts w:ascii="Bookman Old Style" w:eastAsia="Bookman Old Style" w:hAnsi="Bookman Old Style" w:cs="Bookman Old Style"/>
          <w:sz w:val="24"/>
          <w:szCs w:val="24"/>
          <w:lang w:val="en"/>
        </w:rPr>
        <w:t xml:space="preserve"> </w:t>
      </w:r>
      <w:r w:rsidRPr="008379CA">
        <w:rPr>
          <w:rFonts w:ascii="Bookman Old Style" w:eastAsia="Bookman Old Style" w:hAnsi="Bookman Old Style" w:cs="Bookman Old Style"/>
          <w:sz w:val="24"/>
          <w:szCs w:val="24"/>
          <w:lang w:val="en"/>
        </w:rPr>
        <w:t>Rapor</w:t>
      </w:r>
      <w:r w:rsidR="00A954D0" w:rsidRPr="008379CA">
        <w:rPr>
          <w:rFonts w:ascii="Bookman Old Style" w:eastAsia="Bookman Old Style" w:hAnsi="Bookman Old Style" w:cs="Bookman Old Style"/>
          <w:sz w:val="24"/>
          <w:szCs w:val="24"/>
          <w:lang w:val="en"/>
        </w:rPr>
        <w:t xml:space="preserve"> </w:t>
      </w:r>
      <w:r w:rsidRPr="008379CA">
        <w:rPr>
          <w:rFonts w:ascii="Bookman Old Style" w:eastAsia="Bookman Old Style" w:hAnsi="Bookman Old Style" w:cs="Bookman Old Style"/>
          <w:sz w:val="24"/>
          <w:szCs w:val="24"/>
          <w:lang w:val="en"/>
        </w:rPr>
        <w:t>Pendidikan,</w:t>
      </w:r>
      <w:r w:rsidR="00A954D0" w:rsidRPr="008379CA">
        <w:rPr>
          <w:rFonts w:ascii="Bookman Old Style" w:eastAsia="Bookman Old Style" w:hAnsi="Bookman Old Style" w:cs="Bookman Old Style"/>
          <w:sz w:val="24"/>
          <w:szCs w:val="24"/>
          <w:lang w:val="en"/>
        </w:rPr>
        <w:t xml:space="preserve"> </w:t>
      </w:r>
      <w:r w:rsidRPr="008379CA">
        <w:rPr>
          <w:rFonts w:ascii="Bookman Old Style" w:eastAsia="Bookman Old Style" w:hAnsi="Bookman Old Style" w:cs="Bookman Old Style"/>
          <w:sz w:val="24"/>
          <w:szCs w:val="24"/>
          <w:lang w:val="en"/>
        </w:rPr>
        <w:t>sebagai</w:t>
      </w:r>
      <w:r w:rsidR="00A954D0" w:rsidRPr="008379CA">
        <w:rPr>
          <w:rFonts w:ascii="Bookman Old Style" w:eastAsia="Bookman Old Style" w:hAnsi="Bookman Old Style" w:cs="Bookman Old Style"/>
          <w:sz w:val="24"/>
          <w:szCs w:val="24"/>
          <w:lang w:val="en"/>
        </w:rPr>
        <w:t xml:space="preserve"> </w:t>
      </w:r>
      <w:r w:rsidRPr="008379CA">
        <w:rPr>
          <w:rFonts w:ascii="Bookman Old Style" w:eastAsia="Bookman Old Style" w:hAnsi="Bookman Old Style" w:cs="Bookman Old Style"/>
          <w:sz w:val="24"/>
          <w:szCs w:val="24"/>
          <w:lang w:val="en"/>
        </w:rPr>
        <w:t>berikut:</w:t>
      </w:r>
    </w:p>
    <w:p w14:paraId="6C822BDF" w14:textId="77777777" w:rsidR="006A0033" w:rsidRDefault="006A0033" w:rsidP="009F3342">
      <w:pPr>
        <w:pStyle w:val="ListParagraph"/>
        <w:spacing w:line="276" w:lineRule="auto"/>
        <w:ind w:left="1701"/>
        <w:contextualSpacing w:val="0"/>
        <w:jc w:val="center"/>
        <w:rPr>
          <w:rFonts w:ascii="Bookman Old Style" w:eastAsia="Bookman Old Style" w:hAnsi="Bookman Old Style" w:cs="Bookman Old Style"/>
          <w:sz w:val="24"/>
          <w:szCs w:val="24"/>
          <w:lang w:val="id-ID"/>
        </w:rPr>
      </w:pPr>
    </w:p>
    <w:p w14:paraId="58D9FB4D" w14:textId="77777777" w:rsidR="006A0033" w:rsidRDefault="006A0033" w:rsidP="009F3342">
      <w:pPr>
        <w:pStyle w:val="ListParagraph"/>
        <w:spacing w:line="276" w:lineRule="auto"/>
        <w:ind w:left="1701"/>
        <w:contextualSpacing w:val="0"/>
        <w:jc w:val="center"/>
        <w:rPr>
          <w:rFonts w:ascii="Bookman Old Style" w:eastAsia="Bookman Old Style" w:hAnsi="Bookman Old Style" w:cs="Bookman Old Style"/>
          <w:sz w:val="24"/>
          <w:szCs w:val="24"/>
          <w:lang w:val="id-ID"/>
        </w:rPr>
      </w:pPr>
    </w:p>
    <w:p w14:paraId="1BFD57DB" w14:textId="19DE0CDC" w:rsidR="00127869" w:rsidRPr="008379CA" w:rsidRDefault="00127869" w:rsidP="009F3342">
      <w:pPr>
        <w:pStyle w:val="ListParagraph"/>
        <w:spacing w:line="276" w:lineRule="auto"/>
        <w:ind w:left="1701"/>
        <w:contextualSpacing w:val="0"/>
        <w:jc w:val="center"/>
        <w:rPr>
          <w:rFonts w:ascii="Bookman Old Style" w:eastAsia="Bookman Old Style" w:hAnsi="Bookman Old Style" w:cs="Bookman Old Style"/>
          <w:sz w:val="24"/>
          <w:szCs w:val="24"/>
          <w:lang w:val="en-US"/>
        </w:rPr>
      </w:pPr>
      <w:r w:rsidRPr="008379CA">
        <w:rPr>
          <w:rFonts w:ascii="Bookman Old Style" w:eastAsia="Bookman Old Style" w:hAnsi="Bookman Old Style" w:cs="Bookman Old Style"/>
          <w:sz w:val="24"/>
          <w:szCs w:val="24"/>
          <w:lang w:val="en-US"/>
        </w:rPr>
        <w:lastRenderedPageBreak/>
        <w:t>Tabel</w:t>
      </w:r>
      <w:r w:rsidR="00A954D0" w:rsidRPr="008379CA">
        <w:rPr>
          <w:rFonts w:ascii="Bookman Old Style" w:eastAsia="Bookman Old Style" w:hAnsi="Bookman Old Style" w:cs="Bookman Old Style"/>
          <w:sz w:val="24"/>
          <w:szCs w:val="24"/>
          <w:lang w:val="en-US"/>
        </w:rPr>
        <w:t xml:space="preserve"> </w:t>
      </w:r>
      <w:r w:rsidR="003F64EB" w:rsidRPr="008379CA">
        <w:rPr>
          <w:rFonts w:ascii="Bookman Old Style" w:eastAsia="Bookman Old Style" w:hAnsi="Bookman Old Style" w:cs="Bookman Old Style"/>
          <w:sz w:val="24"/>
          <w:szCs w:val="24"/>
          <w:lang w:val="en-US"/>
        </w:rPr>
        <w:t>11</w:t>
      </w:r>
    </w:p>
    <w:tbl>
      <w:tblPr>
        <w:tblW w:w="1054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84"/>
        <w:gridCol w:w="1886"/>
        <w:gridCol w:w="3373"/>
        <w:gridCol w:w="1251"/>
        <w:gridCol w:w="3450"/>
      </w:tblGrid>
      <w:tr w:rsidR="008379CA" w:rsidRPr="008379CA" w14:paraId="191B792B" w14:textId="77777777" w:rsidTr="00645FDE">
        <w:trPr>
          <w:tblHeader/>
          <w:jc w:val="center"/>
        </w:trPr>
        <w:tc>
          <w:tcPr>
            <w:tcW w:w="584" w:type="dxa"/>
            <w:tcMar>
              <w:top w:w="100" w:type="dxa"/>
              <w:left w:w="100" w:type="dxa"/>
              <w:bottom w:w="100" w:type="dxa"/>
              <w:right w:w="100" w:type="dxa"/>
            </w:tcMar>
            <w:vAlign w:val="center"/>
            <w:hideMark/>
          </w:tcPr>
          <w:p w14:paraId="612024FA" w14:textId="77777777" w:rsidR="00127869" w:rsidRPr="008379CA" w:rsidRDefault="00127869" w:rsidP="0085724C">
            <w:pPr>
              <w:widowControl w:val="0"/>
              <w:jc w:val="center"/>
              <w:rPr>
                <w:rFonts w:ascii="Bookman Old Style" w:eastAsia="Bookman Old Style" w:hAnsi="Bookman Old Style" w:cs="Bookman Old Style"/>
                <w:b/>
                <w:bCs/>
                <w:sz w:val="18"/>
                <w:szCs w:val="18"/>
              </w:rPr>
            </w:pPr>
            <w:r w:rsidRPr="008379CA">
              <w:rPr>
                <w:rFonts w:ascii="Bookman Old Style" w:eastAsia="Bookman Old Style" w:hAnsi="Bookman Old Style" w:cs="Bookman Old Style"/>
                <w:b/>
                <w:bCs/>
                <w:sz w:val="18"/>
                <w:szCs w:val="18"/>
              </w:rPr>
              <w:t>No</w:t>
            </w:r>
          </w:p>
        </w:tc>
        <w:tc>
          <w:tcPr>
            <w:tcW w:w="1886" w:type="dxa"/>
            <w:tcMar>
              <w:top w:w="100" w:type="dxa"/>
              <w:left w:w="100" w:type="dxa"/>
              <w:bottom w:w="100" w:type="dxa"/>
              <w:right w:w="100" w:type="dxa"/>
            </w:tcMar>
            <w:vAlign w:val="center"/>
            <w:hideMark/>
          </w:tcPr>
          <w:p w14:paraId="29378268" w14:textId="77777777" w:rsidR="00127869" w:rsidRPr="008379CA" w:rsidRDefault="00127869" w:rsidP="0085724C">
            <w:pPr>
              <w:widowControl w:val="0"/>
              <w:jc w:val="center"/>
              <w:rPr>
                <w:rFonts w:ascii="Bookman Old Style" w:eastAsia="Bookman Old Style" w:hAnsi="Bookman Old Style" w:cs="Bookman Old Style"/>
                <w:b/>
                <w:bCs/>
                <w:sz w:val="18"/>
                <w:szCs w:val="18"/>
              </w:rPr>
            </w:pPr>
            <w:r w:rsidRPr="008379CA">
              <w:rPr>
                <w:rFonts w:ascii="Bookman Old Style" w:eastAsia="Bookman Old Style" w:hAnsi="Bookman Old Style" w:cs="Bookman Old Style"/>
                <w:b/>
                <w:bCs/>
                <w:sz w:val="18"/>
                <w:szCs w:val="18"/>
              </w:rPr>
              <w:t>Kode</w:t>
            </w:r>
          </w:p>
        </w:tc>
        <w:tc>
          <w:tcPr>
            <w:tcW w:w="3373" w:type="dxa"/>
            <w:tcMar>
              <w:top w:w="100" w:type="dxa"/>
              <w:left w:w="100" w:type="dxa"/>
              <w:bottom w:w="100" w:type="dxa"/>
              <w:right w:w="100" w:type="dxa"/>
            </w:tcMar>
            <w:vAlign w:val="center"/>
            <w:hideMark/>
          </w:tcPr>
          <w:p w14:paraId="5192A5B9" w14:textId="77777777" w:rsidR="00127869" w:rsidRPr="008379CA" w:rsidRDefault="00127869" w:rsidP="0085724C">
            <w:pPr>
              <w:widowControl w:val="0"/>
              <w:jc w:val="center"/>
              <w:rPr>
                <w:rFonts w:ascii="Bookman Old Style" w:eastAsia="Bookman Old Style" w:hAnsi="Bookman Old Style" w:cs="Bookman Old Style"/>
                <w:b/>
                <w:bCs/>
                <w:sz w:val="18"/>
                <w:szCs w:val="18"/>
              </w:rPr>
            </w:pPr>
            <w:r w:rsidRPr="008379CA">
              <w:rPr>
                <w:rFonts w:ascii="Bookman Old Style" w:eastAsia="Bookman Old Style" w:hAnsi="Bookman Old Style" w:cs="Bookman Old Style"/>
                <w:b/>
                <w:bCs/>
                <w:sz w:val="18"/>
                <w:szCs w:val="18"/>
              </w:rPr>
              <w:t>Sub-kegiatan</w:t>
            </w:r>
          </w:p>
        </w:tc>
        <w:tc>
          <w:tcPr>
            <w:tcW w:w="1251" w:type="dxa"/>
            <w:tcMar>
              <w:top w:w="100" w:type="dxa"/>
              <w:left w:w="100" w:type="dxa"/>
              <w:bottom w:w="100" w:type="dxa"/>
              <w:right w:w="100" w:type="dxa"/>
            </w:tcMar>
            <w:vAlign w:val="center"/>
            <w:hideMark/>
          </w:tcPr>
          <w:p w14:paraId="01EC912A" w14:textId="77777777" w:rsidR="00127869" w:rsidRPr="008379CA" w:rsidRDefault="00127869" w:rsidP="0085724C">
            <w:pPr>
              <w:widowControl w:val="0"/>
              <w:jc w:val="center"/>
              <w:rPr>
                <w:rFonts w:ascii="Bookman Old Style" w:eastAsia="Bookman Old Style" w:hAnsi="Bookman Old Style" w:cs="Bookman Old Style"/>
                <w:b/>
                <w:bCs/>
                <w:sz w:val="18"/>
                <w:szCs w:val="18"/>
              </w:rPr>
            </w:pPr>
            <w:r w:rsidRPr="008379CA">
              <w:rPr>
                <w:rFonts w:ascii="Bookman Old Style" w:eastAsia="Bookman Old Style" w:hAnsi="Bookman Old Style" w:cs="Bookman Old Style"/>
                <w:b/>
                <w:bCs/>
                <w:sz w:val="18"/>
                <w:szCs w:val="18"/>
              </w:rPr>
              <w:t>Jenjang</w:t>
            </w:r>
          </w:p>
        </w:tc>
        <w:tc>
          <w:tcPr>
            <w:tcW w:w="3450" w:type="dxa"/>
            <w:tcMar>
              <w:top w:w="100" w:type="dxa"/>
              <w:left w:w="100" w:type="dxa"/>
              <w:bottom w:w="100" w:type="dxa"/>
              <w:right w:w="100" w:type="dxa"/>
            </w:tcMar>
            <w:vAlign w:val="center"/>
            <w:hideMark/>
          </w:tcPr>
          <w:p w14:paraId="6B899B66" w14:textId="77777777" w:rsidR="00127869" w:rsidRPr="008379CA" w:rsidRDefault="00127869" w:rsidP="0085724C">
            <w:pPr>
              <w:widowControl w:val="0"/>
              <w:jc w:val="center"/>
              <w:rPr>
                <w:rFonts w:ascii="Bookman Old Style" w:eastAsia="Bookman Old Style" w:hAnsi="Bookman Old Style" w:cs="Bookman Old Style"/>
                <w:b/>
                <w:bCs/>
                <w:sz w:val="18"/>
                <w:szCs w:val="18"/>
              </w:rPr>
            </w:pPr>
            <w:r w:rsidRPr="008379CA">
              <w:rPr>
                <w:rFonts w:ascii="Bookman Old Style" w:eastAsia="Bookman Old Style" w:hAnsi="Bookman Old Style" w:cs="Bookman Old Style"/>
                <w:b/>
                <w:bCs/>
                <w:sz w:val="18"/>
                <w:szCs w:val="18"/>
              </w:rPr>
              <w:t>Indikator</w:t>
            </w:r>
          </w:p>
        </w:tc>
      </w:tr>
      <w:tr w:rsidR="008379CA" w:rsidRPr="008379CA" w14:paraId="51E985C6" w14:textId="77777777" w:rsidTr="00645FDE">
        <w:trPr>
          <w:trHeight w:val="22"/>
          <w:jc w:val="center"/>
        </w:trPr>
        <w:tc>
          <w:tcPr>
            <w:tcW w:w="584" w:type="dxa"/>
            <w:tcMar>
              <w:top w:w="100" w:type="dxa"/>
              <w:left w:w="100" w:type="dxa"/>
              <w:bottom w:w="100" w:type="dxa"/>
              <w:right w:w="100" w:type="dxa"/>
            </w:tcMar>
            <w:vAlign w:val="center"/>
            <w:hideMark/>
          </w:tcPr>
          <w:p w14:paraId="4E041A65" w14:textId="77777777" w:rsidR="00BF3BC0" w:rsidRPr="008379CA" w:rsidRDefault="00BF3BC0" w:rsidP="0085724C">
            <w:pPr>
              <w:widowControl w:val="0"/>
              <w:jc w:val="center"/>
              <w:rPr>
                <w:rFonts w:ascii="Bookman Old Style" w:eastAsia="Bookman Old Style" w:hAnsi="Bookman Old Style" w:cs="Bookman Old Style"/>
                <w:sz w:val="18"/>
                <w:szCs w:val="18"/>
              </w:rPr>
            </w:pPr>
            <w:r w:rsidRPr="008379CA">
              <w:rPr>
                <w:rFonts w:ascii="Bookman Old Style" w:eastAsia="Bookman Old Style" w:hAnsi="Bookman Old Style" w:cs="Bookman Old Style"/>
                <w:sz w:val="18"/>
                <w:szCs w:val="18"/>
              </w:rPr>
              <w:t>1</w:t>
            </w:r>
          </w:p>
        </w:tc>
        <w:tc>
          <w:tcPr>
            <w:tcW w:w="1886" w:type="dxa"/>
            <w:tcMar>
              <w:top w:w="100" w:type="dxa"/>
              <w:left w:w="100" w:type="dxa"/>
              <w:bottom w:w="100" w:type="dxa"/>
              <w:right w:w="100" w:type="dxa"/>
            </w:tcMar>
            <w:vAlign w:val="center"/>
            <w:hideMark/>
          </w:tcPr>
          <w:p w14:paraId="0E75823D" w14:textId="1EFDFBFB" w:rsidR="00BF3BC0" w:rsidRPr="008379CA" w:rsidRDefault="00BF3BC0" w:rsidP="0085724C">
            <w:pPr>
              <w:widowControl w:val="0"/>
              <w:rPr>
                <w:rFonts w:ascii="Bookman Old Style" w:eastAsia="Bookman Old Style" w:hAnsi="Bookman Old Style" w:cs="Bookman Old Style"/>
                <w:sz w:val="18"/>
                <w:szCs w:val="18"/>
              </w:rPr>
            </w:pPr>
            <w:r w:rsidRPr="008379CA">
              <w:rPr>
                <w:rFonts w:ascii="Bookman Old Style" w:hAnsi="Bookman Old Style" w:cs="Arial"/>
                <w:sz w:val="18"/>
                <w:szCs w:val="18"/>
              </w:rPr>
              <w:t>1.01.02.2.01.0022</w:t>
            </w:r>
          </w:p>
        </w:tc>
        <w:tc>
          <w:tcPr>
            <w:tcW w:w="3373" w:type="dxa"/>
            <w:tcMar>
              <w:top w:w="100" w:type="dxa"/>
              <w:left w:w="100" w:type="dxa"/>
              <w:bottom w:w="100" w:type="dxa"/>
              <w:right w:w="100" w:type="dxa"/>
            </w:tcMar>
            <w:vAlign w:val="center"/>
            <w:hideMark/>
          </w:tcPr>
          <w:p w14:paraId="4D122711" w14:textId="47980E3D" w:rsidR="00BF3BC0" w:rsidRPr="008379CA" w:rsidRDefault="00BF3BC0" w:rsidP="0085724C">
            <w:pPr>
              <w:widowControl w:val="0"/>
              <w:jc w:val="both"/>
              <w:rPr>
                <w:rFonts w:ascii="Bookman Old Style" w:eastAsia="Bookman Old Style" w:hAnsi="Bookman Old Style" w:cs="Bookman Old Style"/>
                <w:sz w:val="18"/>
                <w:szCs w:val="18"/>
                <w:lang w:val="sv-FI"/>
              </w:rPr>
            </w:pPr>
            <w:r w:rsidRPr="008379CA">
              <w:rPr>
                <w:rFonts w:ascii="Bookman Old Style" w:hAnsi="Bookman Old Style" w:cs="Arial"/>
                <w:sz w:val="18"/>
                <w:szCs w:val="18"/>
                <w:lang w:val="sv-FI"/>
              </w:rPr>
              <w:t>Pengadaan</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Alat</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Praktik</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dan</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Peraga</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Peserta</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Didik</w:t>
            </w:r>
          </w:p>
        </w:tc>
        <w:tc>
          <w:tcPr>
            <w:tcW w:w="1251" w:type="dxa"/>
            <w:tcMar>
              <w:top w:w="100" w:type="dxa"/>
              <w:left w:w="100" w:type="dxa"/>
              <w:bottom w:w="100" w:type="dxa"/>
              <w:right w:w="100" w:type="dxa"/>
            </w:tcMar>
            <w:vAlign w:val="center"/>
            <w:hideMark/>
          </w:tcPr>
          <w:p w14:paraId="4C7186E6" w14:textId="088E81FF" w:rsidR="00BF3BC0" w:rsidRPr="008379CA" w:rsidRDefault="00BF3BC0" w:rsidP="0085724C">
            <w:pPr>
              <w:widowControl w:val="0"/>
              <w:jc w:val="center"/>
              <w:rPr>
                <w:rFonts w:ascii="Bookman Old Style" w:eastAsia="Bookman Old Style" w:hAnsi="Bookman Old Style" w:cs="Bookman Old Style"/>
                <w:sz w:val="18"/>
                <w:szCs w:val="18"/>
              </w:rPr>
            </w:pPr>
            <w:r w:rsidRPr="008379CA">
              <w:rPr>
                <w:rFonts w:ascii="Bookman Old Style" w:hAnsi="Bookman Old Style" w:cs="Arial"/>
                <w:sz w:val="18"/>
                <w:szCs w:val="18"/>
              </w:rPr>
              <w:t>SD</w:t>
            </w:r>
          </w:p>
        </w:tc>
        <w:tc>
          <w:tcPr>
            <w:tcW w:w="3450" w:type="dxa"/>
            <w:tcMar>
              <w:top w:w="100" w:type="dxa"/>
              <w:left w:w="100" w:type="dxa"/>
              <w:bottom w:w="100" w:type="dxa"/>
              <w:right w:w="100" w:type="dxa"/>
            </w:tcMar>
            <w:vAlign w:val="center"/>
            <w:hideMark/>
          </w:tcPr>
          <w:p w14:paraId="3A510996" w14:textId="008821D5" w:rsidR="00BF3BC0" w:rsidRPr="008379CA" w:rsidRDefault="00BF3BC0" w:rsidP="0085724C">
            <w:pPr>
              <w:widowControl w:val="0"/>
              <w:rPr>
                <w:rFonts w:ascii="Bookman Old Style" w:eastAsia="Bookman Old Style" w:hAnsi="Bookman Old Style" w:cs="Bookman Old Style"/>
                <w:sz w:val="18"/>
                <w:szCs w:val="18"/>
                <w:lang w:val="sv-FI"/>
              </w:rPr>
            </w:pPr>
            <w:r w:rsidRPr="008379CA">
              <w:rPr>
                <w:rFonts w:ascii="Bookman Old Style" w:hAnsi="Bookman Old Style" w:cs="Arial"/>
                <w:sz w:val="18"/>
                <w:szCs w:val="18"/>
              </w:rPr>
              <w:t>A.2</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Skor</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Kemampuan</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Numerasi</w:t>
            </w:r>
          </w:p>
        </w:tc>
      </w:tr>
      <w:tr w:rsidR="008379CA" w:rsidRPr="008379CA" w14:paraId="613EE8F9" w14:textId="77777777" w:rsidTr="00645FDE">
        <w:trPr>
          <w:trHeight w:val="25"/>
          <w:jc w:val="center"/>
        </w:trPr>
        <w:tc>
          <w:tcPr>
            <w:tcW w:w="584" w:type="dxa"/>
            <w:tcMar>
              <w:top w:w="100" w:type="dxa"/>
              <w:left w:w="100" w:type="dxa"/>
              <w:bottom w:w="100" w:type="dxa"/>
              <w:right w:w="100" w:type="dxa"/>
            </w:tcMar>
            <w:vAlign w:val="center"/>
            <w:hideMark/>
          </w:tcPr>
          <w:p w14:paraId="06BDE54F" w14:textId="77777777" w:rsidR="00BF3BC0" w:rsidRPr="008379CA" w:rsidRDefault="00BF3BC0" w:rsidP="0085724C">
            <w:pPr>
              <w:widowControl w:val="0"/>
              <w:jc w:val="center"/>
              <w:rPr>
                <w:rFonts w:ascii="Bookman Old Style" w:eastAsia="Bookman Old Style" w:hAnsi="Bookman Old Style" w:cs="Bookman Old Style"/>
                <w:sz w:val="18"/>
                <w:szCs w:val="18"/>
              </w:rPr>
            </w:pPr>
            <w:r w:rsidRPr="008379CA">
              <w:rPr>
                <w:rFonts w:ascii="Bookman Old Style" w:eastAsia="Bookman Old Style" w:hAnsi="Bookman Old Style" w:cs="Bookman Old Style"/>
                <w:sz w:val="18"/>
                <w:szCs w:val="18"/>
              </w:rPr>
              <w:t>2</w:t>
            </w:r>
          </w:p>
        </w:tc>
        <w:tc>
          <w:tcPr>
            <w:tcW w:w="1886" w:type="dxa"/>
            <w:tcMar>
              <w:top w:w="100" w:type="dxa"/>
              <w:left w:w="100" w:type="dxa"/>
              <w:bottom w:w="100" w:type="dxa"/>
              <w:right w:w="100" w:type="dxa"/>
            </w:tcMar>
            <w:vAlign w:val="center"/>
            <w:hideMark/>
          </w:tcPr>
          <w:p w14:paraId="3E12BC26" w14:textId="5F279DE5" w:rsidR="00BF3BC0" w:rsidRPr="008379CA" w:rsidRDefault="00BF3BC0" w:rsidP="0085724C">
            <w:pPr>
              <w:widowControl w:val="0"/>
              <w:rPr>
                <w:rFonts w:ascii="Bookman Old Style" w:eastAsia="Bookman Old Style" w:hAnsi="Bookman Old Style" w:cs="Bookman Old Style"/>
                <w:sz w:val="18"/>
                <w:szCs w:val="18"/>
              </w:rPr>
            </w:pPr>
            <w:r w:rsidRPr="008379CA">
              <w:rPr>
                <w:rFonts w:ascii="Bookman Old Style" w:hAnsi="Bookman Old Style" w:cs="Arial"/>
                <w:sz w:val="18"/>
                <w:szCs w:val="18"/>
              </w:rPr>
              <w:t>1.01.02.2.01.0045</w:t>
            </w:r>
          </w:p>
        </w:tc>
        <w:tc>
          <w:tcPr>
            <w:tcW w:w="3373" w:type="dxa"/>
            <w:tcMar>
              <w:top w:w="100" w:type="dxa"/>
              <w:left w:w="100" w:type="dxa"/>
              <w:bottom w:w="100" w:type="dxa"/>
              <w:right w:w="100" w:type="dxa"/>
            </w:tcMar>
            <w:vAlign w:val="center"/>
            <w:hideMark/>
          </w:tcPr>
          <w:p w14:paraId="6FC8DD56" w14:textId="0ACCADB9" w:rsidR="00BF3BC0" w:rsidRPr="008379CA" w:rsidRDefault="00BF3BC0" w:rsidP="0085724C">
            <w:pPr>
              <w:widowControl w:val="0"/>
              <w:jc w:val="both"/>
              <w:rPr>
                <w:rFonts w:ascii="Bookman Old Style" w:eastAsia="Bookman Old Style" w:hAnsi="Bookman Old Style" w:cs="Bookman Old Style"/>
                <w:sz w:val="18"/>
                <w:szCs w:val="18"/>
                <w:lang w:val="sv-FI"/>
              </w:rPr>
            </w:pPr>
            <w:r w:rsidRPr="008379CA">
              <w:rPr>
                <w:rFonts w:ascii="Bookman Old Style" w:hAnsi="Bookman Old Style" w:cs="Arial"/>
                <w:sz w:val="18"/>
                <w:szCs w:val="18"/>
                <w:lang w:val="sv-FI"/>
              </w:rPr>
              <w:t>Perlengkapan</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Dasar</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Buku</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Teks</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dan</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Non</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Teks</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Peserta</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Didik</w:t>
            </w:r>
          </w:p>
        </w:tc>
        <w:tc>
          <w:tcPr>
            <w:tcW w:w="1251" w:type="dxa"/>
            <w:tcMar>
              <w:top w:w="100" w:type="dxa"/>
              <w:left w:w="100" w:type="dxa"/>
              <w:bottom w:w="100" w:type="dxa"/>
              <w:right w:w="100" w:type="dxa"/>
            </w:tcMar>
            <w:vAlign w:val="center"/>
            <w:hideMark/>
          </w:tcPr>
          <w:p w14:paraId="07E01CCA" w14:textId="77057A18" w:rsidR="00BF3BC0" w:rsidRPr="008379CA" w:rsidRDefault="00BF3BC0" w:rsidP="0085724C">
            <w:pPr>
              <w:widowControl w:val="0"/>
              <w:jc w:val="center"/>
              <w:rPr>
                <w:rFonts w:ascii="Bookman Old Style" w:eastAsia="Bookman Old Style" w:hAnsi="Bookman Old Style" w:cs="Bookman Old Style"/>
                <w:sz w:val="18"/>
                <w:szCs w:val="18"/>
              </w:rPr>
            </w:pPr>
            <w:r w:rsidRPr="008379CA">
              <w:rPr>
                <w:rFonts w:ascii="Bookman Old Style" w:hAnsi="Bookman Old Style" w:cs="Arial"/>
                <w:sz w:val="18"/>
                <w:szCs w:val="18"/>
              </w:rPr>
              <w:t>SD</w:t>
            </w:r>
          </w:p>
        </w:tc>
        <w:tc>
          <w:tcPr>
            <w:tcW w:w="3450" w:type="dxa"/>
            <w:tcMar>
              <w:top w:w="100" w:type="dxa"/>
              <w:left w:w="100" w:type="dxa"/>
              <w:bottom w:w="100" w:type="dxa"/>
              <w:right w:w="100" w:type="dxa"/>
            </w:tcMar>
            <w:vAlign w:val="center"/>
            <w:hideMark/>
          </w:tcPr>
          <w:p w14:paraId="3BBD1E44" w14:textId="160CBA49" w:rsidR="00BF3BC0" w:rsidRPr="008379CA" w:rsidRDefault="00BF3BC0" w:rsidP="0085724C">
            <w:pPr>
              <w:widowControl w:val="0"/>
              <w:rPr>
                <w:rFonts w:ascii="Bookman Old Style" w:eastAsia="Bookman Old Style" w:hAnsi="Bookman Old Style" w:cs="Bookman Old Style"/>
                <w:sz w:val="18"/>
                <w:szCs w:val="18"/>
                <w:lang w:val="sv-FI"/>
              </w:rPr>
            </w:pPr>
            <w:r w:rsidRPr="008379CA">
              <w:rPr>
                <w:rFonts w:ascii="Bookman Old Style" w:hAnsi="Bookman Old Style" w:cs="Arial"/>
                <w:sz w:val="18"/>
                <w:szCs w:val="18"/>
                <w:lang w:val="sv-FI"/>
              </w:rPr>
              <w:t>A.1</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Skor</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Kemampuan</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Literasi</w:t>
            </w:r>
            <w:r w:rsidRPr="008379CA">
              <w:rPr>
                <w:rFonts w:ascii="Bookman Old Style" w:hAnsi="Bookman Old Style" w:cs="Arial"/>
                <w:sz w:val="18"/>
                <w:szCs w:val="18"/>
                <w:lang w:val="sv-FI"/>
              </w:rPr>
              <w:br/>
              <w:t>A.2</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Skor</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Kemampuan</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Numerasi</w:t>
            </w:r>
          </w:p>
        </w:tc>
      </w:tr>
      <w:tr w:rsidR="008379CA" w:rsidRPr="008379CA" w14:paraId="7B70A637" w14:textId="77777777" w:rsidTr="00645FDE">
        <w:trPr>
          <w:trHeight w:val="141"/>
          <w:jc w:val="center"/>
        </w:trPr>
        <w:tc>
          <w:tcPr>
            <w:tcW w:w="584" w:type="dxa"/>
            <w:tcMar>
              <w:top w:w="100" w:type="dxa"/>
              <w:left w:w="100" w:type="dxa"/>
              <w:bottom w:w="100" w:type="dxa"/>
              <w:right w:w="100" w:type="dxa"/>
            </w:tcMar>
            <w:vAlign w:val="center"/>
            <w:hideMark/>
          </w:tcPr>
          <w:p w14:paraId="457C833B" w14:textId="77777777" w:rsidR="00BF3BC0" w:rsidRPr="008379CA" w:rsidRDefault="00BF3BC0" w:rsidP="0085724C">
            <w:pPr>
              <w:widowControl w:val="0"/>
              <w:jc w:val="center"/>
              <w:rPr>
                <w:rFonts w:ascii="Bookman Old Style" w:eastAsia="Bookman Old Style" w:hAnsi="Bookman Old Style" w:cs="Bookman Old Style"/>
                <w:sz w:val="18"/>
                <w:szCs w:val="18"/>
              </w:rPr>
            </w:pPr>
            <w:r w:rsidRPr="008379CA">
              <w:rPr>
                <w:rFonts w:ascii="Bookman Old Style" w:eastAsia="Bookman Old Style" w:hAnsi="Bookman Old Style" w:cs="Bookman Old Style"/>
                <w:sz w:val="18"/>
                <w:szCs w:val="18"/>
              </w:rPr>
              <w:t>3</w:t>
            </w:r>
          </w:p>
        </w:tc>
        <w:tc>
          <w:tcPr>
            <w:tcW w:w="1886" w:type="dxa"/>
            <w:tcMar>
              <w:top w:w="100" w:type="dxa"/>
              <w:left w:w="100" w:type="dxa"/>
              <w:bottom w:w="100" w:type="dxa"/>
              <w:right w:w="100" w:type="dxa"/>
            </w:tcMar>
            <w:vAlign w:val="center"/>
            <w:hideMark/>
          </w:tcPr>
          <w:p w14:paraId="54C3420D" w14:textId="2E2A1763" w:rsidR="00BF3BC0" w:rsidRPr="008379CA" w:rsidRDefault="00BF3BC0" w:rsidP="0085724C">
            <w:pPr>
              <w:widowControl w:val="0"/>
              <w:rPr>
                <w:rFonts w:ascii="Bookman Old Style" w:eastAsia="Bookman Old Style" w:hAnsi="Bookman Old Style" w:cs="Bookman Old Style"/>
                <w:sz w:val="18"/>
                <w:szCs w:val="18"/>
              </w:rPr>
            </w:pPr>
            <w:r w:rsidRPr="008379CA">
              <w:rPr>
                <w:rFonts w:ascii="Bookman Old Style" w:hAnsi="Bookman Old Style" w:cs="Arial"/>
                <w:sz w:val="18"/>
                <w:szCs w:val="18"/>
              </w:rPr>
              <w:t>1.01.02.2.02.0035</w:t>
            </w:r>
          </w:p>
        </w:tc>
        <w:tc>
          <w:tcPr>
            <w:tcW w:w="3373" w:type="dxa"/>
            <w:tcMar>
              <w:top w:w="100" w:type="dxa"/>
              <w:left w:w="100" w:type="dxa"/>
              <w:bottom w:w="100" w:type="dxa"/>
              <w:right w:w="100" w:type="dxa"/>
            </w:tcMar>
            <w:vAlign w:val="center"/>
            <w:hideMark/>
          </w:tcPr>
          <w:p w14:paraId="61C9E1D5" w14:textId="63896130" w:rsidR="00BF3BC0" w:rsidRPr="008379CA" w:rsidRDefault="00BF3BC0" w:rsidP="0085724C">
            <w:pPr>
              <w:widowControl w:val="0"/>
              <w:jc w:val="both"/>
              <w:rPr>
                <w:rFonts w:ascii="Bookman Old Style" w:eastAsia="Bookman Old Style" w:hAnsi="Bookman Old Style" w:cs="Bookman Old Style"/>
                <w:sz w:val="18"/>
                <w:szCs w:val="18"/>
                <w:lang w:val="sv-FI"/>
              </w:rPr>
            </w:pPr>
            <w:r w:rsidRPr="008379CA">
              <w:rPr>
                <w:rFonts w:ascii="Bookman Old Style" w:hAnsi="Bookman Old Style" w:cs="Arial"/>
                <w:sz w:val="18"/>
                <w:szCs w:val="18"/>
                <w:lang w:val="sv-FI"/>
              </w:rPr>
              <w:t>Pengadaan</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Alat</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Praktik</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dan</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Peraga</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Peserta</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Didik</w:t>
            </w:r>
          </w:p>
        </w:tc>
        <w:tc>
          <w:tcPr>
            <w:tcW w:w="1251" w:type="dxa"/>
            <w:tcMar>
              <w:top w:w="100" w:type="dxa"/>
              <w:left w:w="100" w:type="dxa"/>
              <w:bottom w:w="100" w:type="dxa"/>
              <w:right w:w="100" w:type="dxa"/>
            </w:tcMar>
            <w:vAlign w:val="center"/>
            <w:hideMark/>
          </w:tcPr>
          <w:p w14:paraId="18E9A4EA" w14:textId="55BD7F81" w:rsidR="00BF3BC0" w:rsidRPr="008379CA" w:rsidRDefault="00BF3BC0" w:rsidP="0085724C">
            <w:pPr>
              <w:widowControl w:val="0"/>
              <w:jc w:val="center"/>
              <w:rPr>
                <w:rFonts w:ascii="Bookman Old Style" w:eastAsia="Bookman Old Style" w:hAnsi="Bookman Old Style" w:cs="Bookman Old Style"/>
                <w:sz w:val="18"/>
                <w:szCs w:val="18"/>
              </w:rPr>
            </w:pPr>
            <w:r w:rsidRPr="008379CA">
              <w:rPr>
                <w:rFonts w:ascii="Bookman Old Style" w:hAnsi="Bookman Old Style" w:cs="Arial"/>
                <w:sz w:val="18"/>
                <w:szCs w:val="18"/>
              </w:rPr>
              <w:t>SMP</w:t>
            </w:r>
          </w:p>
        </w:tc>
        <w:tc>
          <w:tcPr>
            <w:tcW w:w="3450" w:type="dxa"/>
            <w:tcMar>
              <w:top w:w="100" w:type="dxa"/>
              <w:left w:w="100" w:type="dxa"/>
              <w:bottom w:w="100" w:type="dxa"/>
              <w:right w:w="100" w:type="dxa"/>
            </w:tcMar>
            <w:vAlign w:val="center"/>
            <w:hideMark/>
          </w:tcPr>
          <w:p w14:paraId="56685423" w14:textId="589CFCA5" w:rsidR="00BF3BC0" w:rsidRPr="008379CA" w:rsidRDefault="00BF3BC0" w:rsidP="0085724C">
            <w:pPr>
              <w:widowControl w:val="0"/>
              <w:rPr>
                <w:rFonts w:ascii="Bookman Old Style" w:eastAsia="Bookman Old Style" w:hAnsi="Bookman Old Style" w:cs="Bookman Old Style"/>
                <w:sz w:val="18"/>
                <w:szCs w:val="18"/>
              </w:rPr>
            </w:pPr>
            <w:r w:rsidRPr="008379CA">
              <w:rPr>
                <w:rFonts w:ascii="Bookman Old Style" w:hAnsi="Bookman Old Style" w:cs="Arial"/>
                <w:sz w:val="18"/>
                <w:szCs w:val="18"/>
              </w:rPr>
              <w:t>A.2</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Skor</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Kemampuan</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Numerasi</w:t>
            </w:r>
          </w:p>
        </w:tc>
      </w:tr>
      <w:tr w:rsidR="008379CA" w:rsidRPr="008379CA" w14:paraId="42E15D68" w14:textId="77777777" w:rsidTr="00645FDE">
        <w:trPr>
          <w:trHeight w:val="165"/>
          <w:jc w:val="center"/>
        </w:trPr>
        <w:tc>
          <w:tcPr>
            <w:tcW w:w="584" w:type="dxa"/>
            <w:tcMar>
              <w:top w:w="100" w:type="dxa"/>
              <w:left w:w="100" w:type="dxa"/>
              <w:bottom w:w="100" w:type="dxa"/>
              <w:right w:w="100" w:type="dxa"/>
            </w:tcMar>
            <w:vAlign w:val="center"/>
            <w:hideMark/>
          </w:tcPr>
          <w:p w14:paraId="2BA59494" w14:textId="77777777" w:rsidR="00BF3BC0" w:rsidRPr="008379CA" w:rsidRDefault="00BF3BC0" w:rsidP="0085724C">
            <w:pPr>
              <w:widowControl w:val="0"/>
              <w:jc w:val="center"/>
              <w:rPr>
                <w:rFonts w:ascii="Bookman Old Style" w:eastAsia="Bookman Old Style" w:hAnsi="Bookman Old Style" w:cs="Bookman Old Style"/>
                <w:sz w:val="18"/>
                <w:szCs w:val="18"/>
              </w:rPr>
            </w:pPr>
            <w:r w:rsidRPr="008379CA">
              <w:rPr>
                <w:rFonts w:ascii="Bookman Old Style" w:eastAsia="Bookman Old Style" w:hAnsi="Bookman Old Style" w:cs="Bookman Old Style"/>
                <w:sz w:val="18"/>
                <w:szCs w:val="18"/>
              </w:rPr>
              <w:t>4</w:t>
            </w:r>
          </w:p>
        </w:tc>
        <w:tc>
          <w:tcPr>
            <w:tcW w:w="1886" w:type="dxa"/>
            <w:tcMar>
              <w:top w:w="100" w:type="dxa"/>
              <w:left w:w="100" w:type="dxa"/>
              <w:bottom w:w="100" w:type="dxa"/>
              <w:right w:w="100" w:type="dxa"/>
            </w:tcMar>
            <w:vAlign w:val="center"/>
            <w:hideMark/>
          </w:tcPr>
          <w:p w14:paraId="0A41AA57" w14:textId="4E8A1072" w:rsidR="00BF3BC0" w:rsidRPr="008379CA" w:rsidRDefault="00BF3BC0" w:rsidP="0085724C">
            <w:pPr>
              <w:widowControl w:val="0"/>
              <w:rPr>
                <w:rFonts w:ascii="Bookman Old Style" w:eastAsia="Bookman Old Style" w:hAnsi="Bookman Old Style" w:cs="Bookman Old Style"/>
                <w:sz w:val="18"/>
                <w:szCs w:val="18"/>
              </w:rPr>
            </w:pPr>
            <w:r w:rsidRPr="008379CA">
              <w:rPr>
                <w:rFonts w:ascii="Bookman Old Style" w:hAnsi="Bookman Old Style" w:cs="Arial"/>
                <w:sz w:val="18"/>
                <w:szCs w:val="18"/>
              </w:rPr>
              <w:t>1.01.02.2.02.0061</w:t>
            </w:r>
          </w:p>
        </w:tc>
        <w:tc>
          <w:tcPr>
            <w:tcW w:w="3373" w:type="dxa"/>
            <w:tcMar>
              <w:top w:w="100" w:type="dxa"/>
              <w:left w:w="100" w:type="dxa"/>
              <w:bottom w:w="100" w:type="dxa"/>
              <w:right w:w="100" w:type="dxa"/>
            </w:tcMar>
            <w:vAlign w:val="center"/>
            <w:hideMark/>
          </w:tcPr>
          <w:p w14:paraId="14308467" w14:textId="521BB050" w:rsidR="00BF3BC0" w:rsidRPr="008379CA" w:rsidRDefault="00BF3BC0" w:rsidP="0085724C">
            <w:pPr>
              <w:widowControl w:val="0"/>
              <w:jc w:val="both"/>
              <w:rPr>
                <w:rFonts w:ascii="Bookman Old Style" w:eastAsia="Bookman Old Style" w:hAnsi="Bookman Old Style" w:cs="Bookman Old Style"/>
                <w:sz w:val="18"/>
                <w:szCs w:val="18"/>
                <w:lang w:val="sv-FI"/>
              </w:rPr>
            </w:pPr>
            <w:r w:rsidRPr="008379CA">
              <w:rPr>
                <w:rFonts w:ascii="Bookman Old Style" w:hAnsi="Bookman Old Style" w:cs="Arial"/>
                <w:sz w:val="18"/>
                <w:szCs w:val="18"/>
                <w:lang w:val="sv-FI"/>
              </w:rPr>
              <w:t>Perlengkapan</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Dasar</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Buku</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Teks</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dan</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Non</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Teks</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Peserta</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Didik</w:t>
            </w:r>
          </w:p>
        </w:tc>
        <w:tc>
          <w:tcPr>
            <w:tcW w:w="1251" w:type="dxa"/>
            <w:tcMar>
              <w:top w:w="100" w:type="dxa"/>
              <w:left w:w="100" w:type="dxa"/>
              <w:bottom w:w="100" w:type="dxa"/>
              <w:right w:w="100" w:type="dxa"/>
            </w:tcMar>
            <w:vAlign w:val="center"/>
            <w:hideMark/>
          </w:tcPr>
          <w:p w14:paraId="2454311F" w14:textId="3561E7A2" w:rsidR="00BF3BC0" w:rsidRPr="008379CA" w:rsidRDefault="00BF3BC0" w:rsidP="0085724C">
            <w:pPr>
              <w:widowControl w:val="0"/>
              <w:jc w:val="center"/>
              <w:rPr>
                <w:rFonts w:ascii="Bookman Old Style" w:eastAsia="Bookman Old Style" w:hAnsi="Bookman Old Style" w:cs="Bookman Old Style"/>
                <w:sz w:val="18"/>
                <w:szCs w:val="18"/>
              </w:rPr>
            </w:pPr>
            <w:r w:rsidRPr="008379CA">
              <w:rPr>
                <w:rFonts w:ascii="Bookman Old Style" w:hAnsi="Bookman Old Style" w:cs="Arial"/>
                <w:sz w:val="18"/>
                <w:szCs w:val="18"/>
              </w:rPr>
              <w:t>SMP</w:t>
            </w:r>
          </w:p>
        </w:tc>
        <w:tc>
          <w:tcPr>
            <w:tcW w:w="3450" w:type="dxa"/>
            <w:tcMar>
              <w:top w:w="100" w:type="dxa"/>
              <w:left w:w="100" w:type="dxa"/>
              <w:bottom w:w="100" w:type="dxa"/>
              <w:right w:w="100" w:type="dxa"/>
            </w:tcMar>
            <w:vAlign w:val="center"/>
            <w:hideMark/>
          </w:tcPr>
          <w:p w14:paraId="4CED3399" w14:textId="6F98E817" w:rsidR="00BF3BC0" w:rsidRPr="008379CA" w:rsidRDefault="00BF3BC0" w:rsidP="0085724C">
            <w:pPr>
              <w:widowControl w:val="0"/>
              <w:rPr>
                <w:rFonts w:ascii="Bookman Old Style" w:eastAsia="Bookman Old Style" w:hAnsi="Bookman Old Style" w:cs="Bookman Old Style"/>
                <w:sz w:val="18"/>
                <w:szCs w:val="18"/>
                <w:lang w:val="sv-FI"/>
              </w:rPr>
            </w:pPr>
            <w:r w:rsidRPr="008379CA">
              <w:rPr>
                <w:rFonts w:ascii="Bookman Old Style" w:hAnsi="Bookman Old Style" w:cs="Arial"/>
                <w:sz w:val="18"/>
                <w:szCs w:val="18"/>
                <w:lang w:val="sv-FI"/>
              </w:rPr>
              <w:t>A.1</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Skor</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Kemampuan</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Literasi</w:t>
            </w:r>
            <w:r w:rsidRPr="008379CA">
              <w:rPr>
                <w:rFonts w:ascii="Bookman Old Style" w:hAnsi="Bookman Old Style" w:cs="Arial"/>
                <w:sz w:val="18"/>
                <w:szCs w:val="18"/>
                <w:lang w:val="sv-FI"/>
              </w:rPr>
              <w:br/>
              <w:t>A.2</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Skor</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Kemampuan</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Numerasi</w:t>
            </w:r>
          </w:p>
        </w:tc>
      </w:tr>
      <w:tr w:rsidR="008379CA" w:rsidRPr="008379CA" w14:paraId="39E06F8E" w14:textId="77777777" w:rsidTr="00645FDE">
        <w:trPr>
          <w:trHeight w:val="472"/>
          <w:jc w:val="center"/>
        </w:trPr>
        <w:tc>
          <w:tcPr>
            <w:tcW w:w="584" w:type="dxa"/>
            <w:tcMar>
              <w:top w:w="100" w:type="dxa"/>
              <w:left w:w="100" w:type="dxa"/>
              <w:bottom w:w="100" w:type="dxa"/>
              <w:right w:w="100" w:type="dxa"/>
            </w:tcMar>
            <w:vAlign w:val="center"/>
            <w:hideMark/>
          </w:tcPr>
          <w:p w14:paraId="5AC93D0A" w14:textId="77777777" w:rsidR="00BF3BC0" w:rsidRPr="008379CA" w:rsidRDefault="00BF3BC0" w:rsidP="0085724C">
            <w:pPr>
              <w:widowControl w:val="0"/>
              <w:jc w:val="center"/>
              <w:rPr>
                <w:rFonts w:ascii="Bookman Old Style" w:eastAsia="Bookman Old Style" w:hAnsi="Bookman Old Style" w:cs="Bookman Old Style"/>
                <w:sz w:val="18"/>
                <w:szCs w:val="18"/>
              </w:rPr>
            </w:pPr>
            <w:r w:rsidRPr="008379CA">
              <w:rPr>
                <w:rFonts w:ascii="Bookman Old Style" w:eastAsia="Bookman Old Style" w:hAnsi="Bookman Old Style" w:cs="Bookman Old Style"/>
                <w:sz w:val="18"/>
                <w:szCs w:val="18"/>
              </w:rPr>
              <w:t>5</w:t>
            </w:r>
          </w:p>
        </w:tc>
        <w:tc>
          <w:tcPr>
            <w:tcW w:w="1886" w:type="dxa"/>
            <w:tcMar>
              <w:top w:w="100" w:type="dxa"/>
              <w:left w:w="100" w:type="dxa"/>
              <w:bottom w:w="100" w:type="dxa"/>
              <w:right w:w="100" w:type="dxa"/>
            </w:tcMar>
            <w:vAlign w:val="center"/>
            <w:hideMark/>
          </w:tcPr>
          <w:p w14:paraId="753795CD" w14:textId="6DE4AE97" w:rsidR="00BF3BC0" w:rsidRPr="008379CA" w:rsidRDefault="00BF3BC0" w:rsidP="0085724C">
            <w:pPr>
              <w:widowControl w:val="0"/>
              <w:rPr>
                <w:rFonts w:ascii="Bookman Old Style" w:eastAsia="Bookman Old Style" w:hAnsi="Bookman Old Style" w:cs="Bookman Old Style"/>
                <w:sz w:val="18"/>
                <w:szCs w:val="18"/>
              </w:rPr>
            </w:pPr>
            <w:r w:rsidRPr="008379CA">
              <w:rPr>
                <w:rFonts w:ascii="Bookman Old Style" w:hAnsi="Bookman Old Style" w:cs="Arial"/>
                <w:sz w:val="18"/>
                <w:szCs w:val="18"/>
              </w:rPr>
              <w:t>1.01.02.2.03.0011</w:t>
            </w:r>
          </w:p>
        </w:tc>
        <w:tc>
          <w:tcPr>
            <w:tcW w:w="3373" w:type="dxa"/>
            <w:tcMar>
              <w:top w:w="100" w:type="dxa"/>
              <w:left w:w="100" w:type="dxa"/>
              <w:bottom w:w="100" w:type="dxa"/>
              <w:right w:w="100" w:type="dxa"/>
            </w:tcMar>
            <w:vAlign w:val="center"/>
            <w:hideMark/>
          </w:tcPr>
          <w:p w14:paraId="707ACC43" w14:textId="1D1C045D" w:rsidR="00BF3BC0" w:rsidRPr="008379CA" w:rsidRDefault="00BF3BC0" w:rsidP="0085724C">
            <w:pPr>
              <w:widowControl w:val="0"/>
              <w:jc w:val="both"/>
              <w:rPr>
                <w:rFonts w:ascii="Bookman Old Style" w:eastAsia="Bookman Old Style" w:hAnsi="Bookman Old Style" w:cs="Bookman Old Style"/>
                <w:sz w:val="18"/>
                <w:szCs w:val="18"/>
                <w:lang w:val="sv-FI"/>
              </w:rPr>
            </w:pPr>
            <w:r w:rsidRPr="008379CA">
              <w:rPr>
                <w:rFonts w:ascii="Bookman Old Style" w:hAnsi="Bookman Old Style" w:cs="Arial"/>
                <w:sz w:val="18"/>
                <w:szCs w:val="18"/>
                <w:lang w:val="sv-FI"/>
              </w:rPr>
              <w:t>Penyediaan</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Biaya</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Personil</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Peserta</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Didik</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PAUD/Sekolah</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Dasar/Sekolah</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Menengah</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Pertama/Nonformal/Kesetaraan</w:t>
            </w:r>
          </w:p>
        </w:tc>
        <w:tc>
          <w:tcPr>
            <w:tcW w:w="1251" w:type="dxa"/>
            <w:tcMar>
              <w:top w:w="100" w:type="dxa"/>
              <w:left w:w="100" w:type="dxa"/>
              <w:bottom w:w="100" w:type="dxa"/>
              <w:right w:w="100" w:type="dxa"/>
            </w:tcMar>
            <w:vAlign w:val="center"/>
            <w:hideMark/>
          </w:tcPr>
          <w:p w14:paraId="31FB0AAC" w14:textId="121FEE65" w:rsidR="00BF3BC0" w:rsidRPr="008379CA" w:rsidRDefault="00BF3BC0" w:rsidP="0085724C">
            <w:pPr>
              <w:widowControl w:val="0"/>
              <w:jc w:val="center"/>
              <w:rPr>
                <w:rFonts w:ascii="Bookman Old Style" w:eastAsia="Bookman Old Style" w:hAnsi="Bookman Old Style" w:cs="Bookman Old Style"/>
                <w:sz w:val="18"/>
                <w:szCs w:val="18"/>
              </w:rPr>
            </w:pPr>
            <w:r w:rsidRPr="008379CA">
              <w:rPr>
                <w:rFonts w:ascii="Bookman Old Style" w:hAnsi="Bookman Old Style" w:cs="Arial"/>
                <w:sz w:val="18"/>
                <w:szCs w:val="18"/>
              </w:rPr>
              <w:t>PAUD</w:t>
            </w:r>
          </w:p>
        </w:tc>
        <w:tc>
          <w:tcPr>
            <w:tcW w:w="3450" w:type="dxa"/>
            <w:tcMar>
              <w:top w:w="100" w:type="dxa"/>
              <w:left w:w="100" w:type="dxa"/>
              <w:bottom w:w="100" w:type="dxa"/>
              <w:right w:w="100" w:type="dxa"/>
            </w:tcMar>
            <w:vAlign w:val="center"/>
            <w:hideMark/>
          </w:tcPr>
          <w:p w14:paraId="06D5245B" w14:textId="6E581B82" w:rsidR="00BF3BC0" w:rsidRPr="008379CA" w:rsidRDefault="00BF3BC0" w:rsidP="0085724C">
            <w:pPr>
              <w:widowControl w:val="0"/>
              <w:rPr>
                <w:rFonts w:ascii="Bookman Old Style" w:eastAsia="Bookman Old Style" w:hAnsi="Bookman Old Style" w:cs="Bookman Old Style"/>
                <w:sz w:val="18"/>
                <w:szCs w:val="18"/>
              </w:rPr>
            </w:pPr>
            <w:r w:rsidRPr="008379CA">
              <w:rPr>
                <w:rFonts w:ascii="Bookman Old Style" w:hAnsi="Bookman Old Style" w:cs="Arial"/>
                <w:sz w:val="18"/>
                <w:szCs w:val="18"/>
              </w:rPr>
              <w:t>B.10</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Angka</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Partisipasi</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Sekolah</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(5-6)</w:t>
            </w:r>
          </w:p>
        </w:tc>
      </w:tr>
      <w:tr w:rsidR="008379CA" w:rsidRPr="008379CA" w14:paraId="532E73DD" w14:textId="77777777" w:rsidTr="00645FDE">
        <w:trPr>
          <w:trHeight w:val="25"/>
          <w:jc w:val="center"/>
        </w:trPr>
        <w:tc>
          <w:tcPr>
            <w:tcW w:w="584" w:type="dxa"/>
            <w:tcMar>
              <w:top w:w="100" w:type="dxa"/>
              <w:left w:w="100" w:type="dxa"/>
              <w:bottom w:w="100" w:type="dxa"/>
              <w:right w:w="100" w:type="dxa"/>
            </w:tcMar>
            <w:vAlign w:val="center"/>
            <w:hideMark/>
          </w:tcPr>
          <w:p w14:paraId="722472C6" w14:textId="77777777" w:rsidR="00BF3BC0" w:rsidRPr="008379CA" w:rsidRDefault="00BF3BC0" w:rsidP="0085724C">
            <w:pPr>
              <w:widowControl w:val="0"/>
              <w:jc w:val="center"/>
              <w:rPr>
                <w:rFonts w:ascii="Bookman Old Style" w:eastAsia="Bookman Old Style" w:hAnsi="Bookman Old Style" w:cs="Bookman Old Style"/>
                <w:sz w:val="18"/>
                <w:szCs w:val="18"/>
              </w:rPr>
            </w:pPr>
            <w:r w:rsidRPr="008379CA">
              <w:rPr>
                <w:rFonts w:ascii="Bookman Old Style" w:eastAsia="Bookman Old Style" w:hAnsi="Bookman Old Style" w:cs="Bookman Old Style"/>
                <w:sz w:val="18"/>
                <w:szCs w:val="18"/>
              </w:rPr>
              <w:t>6</w:t>
            </w:r>
          </w:p>
        </w:tc>
        <w:tc>
          <w:tcPr>
            <w:tcW w:w="1886" w:type="dxa"/>
            <w:tcMar>
              <w:top w:w="100" w:type="dxa"/>
              <w:left w:w="100" w:type="dxa"/>
              <w:bottom w:w="100" w:type="dxa"/>
              <w:right w:w="100" w:type="dxa"/>
            </w:tcMar>
            <w:vAlign w:val="center"/>
            <w:hideMark/>
          </w:tcPr>
          <w:p w14:paraId="7B540E1D" w14:textId="6CD40E1E" w:rsidR="00BF3BC0" w:rsidRPr="008379CA" w:rsidRDefault="00BF3BC0" w:rsidP="0085724C">
            <w:pPr>
              <w:widowControl w:val="0"/>
              <w:rPr>
                <w:rFonts w:ascii="Bookman Old Style" w:eastAsia="Bookman Old Style" w:hAnsi="Bookman Old Style" w:cs="Bookman Old Style"/>
                <w:sz w:val="18"/>
                <w:szCs w:val="18"/>
              </w:rPr>
            </w:pPr>
            <w:r w:rsidRPr="008379CA">
              <w:rPr>
                <w:rFonts w:ascii="Bookman Old Style" w:hAnsi="Bookman Old Style" w:cs="Arial"/>
                <w:sz w:val="18"/>
                <w:szCs w:val="18"/>
              </w:rPr>
              <w:t>1.01.02.2.03.0030</w:t>
            </w:r>
          </w:p>
        </w:tc>
        <w:tc>
          <w:tcPr>
            <w:tcW w:w="3373" w:type="dxa"/>
            <w:tcMar>
              <w:top w:w="100" w:type="dxa"/>
              <w:left w:w="100" w:type="dxa"/>
              <w:bottom w:w="100" w:type="dxa"/>
              <w:right w:w="100" w:type="dxa"/>
            </w:tcMar>
            <w:vAlign w:val="center"/>
            <w:hideMark/>
          </w:tcPr>
          <w:p w14:paraId="62AE55DC" w14:textId="4058E263" w:rsidR="00BF3BC0" w:rsidRPr="008379CA" w:rsidRDefault="00BF3BC0" w:rsidP="0085724C">
            <w:pPr>
              <w:widowControl w:val="0"/>
              <w:jc w:val="both"/>
              <w:rPr>
                <w:rFonts w:ascii="Bookman Old Style" w:eastAsia="Bookman Old Style" w:hAnsi="Bookman Old Style" w:cs="Bookman Old Style"/>
                <w:sz w:val="18"/>
                <w:szCs w:val="18"/>
              </w:rPr>
            </w:pPr>
            <w:r w:rsidRPr="008379CA">
              <w:rPr>
                <w:rFonts w:ascii="Bookman Old Style" w:hAnsi="Bookman Old Style" w:cs="Arial"/>
                <w:sz w:val="18"/>
                <w:szCs w:val="18"/>
              </w:rPr>
              <w:t>Pembangunan</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Ruang</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Kelas</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Baru</w:t>
            </w:r>
          </w:p>
        </w:tc>
        <w:tc>
          <w:tcPr>
            <w:tcW w:w="1251" w:type="dxa"/>
            <w:tcMar>
              <w:top w:w="100" w:type="dxa"/>
              <w:left w:w="100" w:type="dxa"/>
              <w:bottom w:w="100" w:type="dxa"/>
              <w:right w:w="100" w:type="dxa"/>
            </w:tcMar>
            <w:vAlign w:val="center"/>
            <w:hideMark/>
          </w:tcPr>
          <w:p w14:paraId="5520C558" w14:textId="69D2FC01" w:rsidR="00BF3BC0" w:rsidRPr="008379CA" w:rsidRDefault="00BF3BC0" w:rsidP="0085724C">
            <w:pPr>
              <w:widowControl w:val="0"/>
              <w:jc w:val="center"/>
              <w:rPr>
                <w:rFonts w:ascii="Bookman Old Style" w:eastAsia="Bookman Old Style" w:hAnsi="Bookman Old Style" w:cs="Bookman Old Style"/>
                <w:sz w:val="18"/>
                <w:szCs w:val="18"/>
              </w:rPr>
            </w:pPr>
            <w:r w:rsidRPr="008379CA">
              <w:rPr>
                <w:rFonts w:ascii="Bookman Old Style" w:hAnsi="Bookman Old Style" w:cs="Arial"/>
                <w:sz w:val="18"/>
                <w:szCs w:val="18"/>
              </w:rPr>
              <w:t>PAUD</w:t>
            </w:r>
          </w:p>
        </w:tc>
        <w:tc>
          <w:tcPr>
            <w:tcW w:w="3450" w:type="dxa"/>
            <w:tcMar>
              <w:top w:w="100" w:type="dxa"/>
              <w:left w:w="100" w:type="dxa"/>
              <w:bottom w:w="100" w:type="dxa"/>
              <w:right w:w="100" w:type="dxa"/>
            </w:tcMar>
            <w:vAlign w:val="center"/>
            <w:hideMark/>
          </w:tcPr>
          <w:p w14:paraId="653F9470" w14:textId="4628FAE3" w:rsidR="00BF3BC0" w:rsidRPr="008379CA" w:rsidRDefault="00BF3BC0" w:rsidP="0085724C">
            <w:pPr>
              <w:widowControl w:val="0"/>
              <w:rPr>
                <w:rFonts w:ascii="Bookman Old Style" w:eastAsia="Bookman Old Style" w:hAnsi="Bookman Old Style" w:cs="Bookman Old Style"/>
                <w:sz w:val="18"/>
                <w:szCs w:val="18"/>
              </w:rPr>
            </w:pPr>
            <w:r w:rsidRPr="008379CA">
              <w:rPr>
                <w:rFonts w:ascii="Bookman Old Style" w:hAnsi="Bookman Old Style" w:cs="Arial"/>
                <w:sz w:val="18"/>
                <w:szCs w:val="18"/>
              </w:rPr>
              <w:t>B.10</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Angka</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Partisipasi</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Sekolah</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(5-6)</w:t>
            </w:r>
          </w:p>
        </w:tc>
      </w:tr>
      <w:tr w:rsidR="008379CA" w:rsidRPr="008379CA" w14:paraId="6B3956EC" w14:textId="77777777" w:rsidTr="00645FDE">
        <w:trPr>
          <w:trHeight w:val="27"/>
          <w:jc w:val="center"/>
        </w:trPr>
        <w:tc>
          <w:tcPr>
            <w:tcW w:w="584" w:type="dxa"/>
            <w:tcMar>
              <w:top w:w="100" w:type="dxa"/>
              <w:left w:w="100" w:type="dxa"/>
              <w:bottom w:w="100" w:type="dxa"/>
              <w:right w:w="100" w:type="dxa"/>
            </w:tcMar>
            <w:vAlign w:val="center"/>
            <w:hideMark/>
          </w:tcPr>
          <w:p w14:paraId="381FC3B2" w14:textId="77777777" w:rsidR="00BF3BC0" w:rsidRPr="008379CA" w:rsidRDefault="00BF3BC0" w:rsidP="0085724C">
            <w:pPr>
              <w:widowControl w:val="0"/>
              <w:jc w:val="center"/>
              <w:rPr>
                <w:rFonts w:ascii="Bookman Old Style" w:eastAsia="Bookman Old Style" w:hAnsi="Bookman Old Style" w:cs="Bookman Old Style"/>
                <w:sz w:val="18"/>
                <w:szCs w:val="18"/>
              </w:rPr>
            </w:pPr>
            <w:r w:rsidRPr="008379CA">
              <w:rPr>
                <w:rFonts w:ascii="Bookman Old Style" w:eastAsia="Bookman Old Style" w:hAnsi="Bookman Old Style" w:cs="Bookman Old Style"/>
                <w:sz w:val="18"/>
                <w:szCs w:val="18"/>
              </w:rPr>
              <w:t>7</w:t>
            </w:r>
          </w:p>
        </w:tc>
        <w:tc>
          <w:tcPr>
            <w:tcW w:w="1886" w:type="dxa"/>
            <w:tcMar>
              <w:top w:w="100" w:type="dxa"/>
              <w:left w:w="100" w:type="dxa"/>
              <w:bottom w:w="100" w:type="dxa"/>
              <w:right w:w="100" w:type="dxa"/>
            </w:tcMar>
            <w:vAlign w:val="center"/>
            <w:hideMark/>
          </w:tcPr>
          <w:p w14:paraId="35A35869" w14:textId="2CC24BBC" w:rsidR="00BF3BC0" w:rsidRPr="008379CA" w:rsidRDefault="00BF3BC0" w:rsidP="0085724C">
            <w:pPr>
              <w:widowControl w:val="0"/>
              <w:rPr>
                <w:rFonts w:ascii="Bookman Old Style" w:eastAsia="Bookman Old Style" w:hAnsi="Bookman Old Style" w:cs="Bookman Old Style"/>
                <w:sz w:val="18"/>
                <w:szCs w:val="18"/>
              </w:rPr>
            </w:pPr>
            <w:r w:rsidRPr="008379CA">
              <w:rPr>
                <w:rFonts w:ascii="Bookman Old Style" w:hAnsi="Bookman Old Style" w:cs="Arial"/>
                <w:sz w:val="18"/>
                <w:szCs w:val="18"/>
              </w:rPr>
              <w:t>1.01.02.2.03.0040</w:t>
            </w:r>
          </w:p>
        </w:tc>
        <w:tc>
          <w:tcPr>
            <w:tcW w:w="3373" w:type="dxa"/>
            <w:tcMar>
              <w:top w:w="100" w:type="dxa"/>
              <w:left w:w="100" w:type="dxa"/>
              <w:bottom w:w="100" w:type="dxa"/>
              <w:right w:w="100" w:type="dxa"/>
            </w:tcMar>
            <w:vAlign w:val="center"/>
            <w:hideMark/>
          </w:tcPr>
          <w:p w14:paraId="56837854" w14:textId="3B9FE494" w:rsidR="00BF3BC0" w:rsidRPr="008379CA" w:rsidRDefault="00BF3BC0" w:rsidP="0085724C">
            <w:pPr>
              <w:widowControl w:val="0"/>
              <w:jc w:val="both"/>
              <w:rPr>
                <w:rFonts w:ascii="Bookman Old Style" w:eastAsia="Bookman Old Style" w:hAnsi="Bookman Old Style" w:cs="Bookman Old Style"/>
                <w:sz w:val="18"/>
                <w:szCs w:val="18"/>
                <w:lang w:val="sv-FI"/>
              </w:rPr>
            </w:pPr>
            <w:r w:rsidRPr="008379CA">
              <w:rPr>
                <w:rFonts w:ascii="Bookman Old Style" w:hAnsi="Bookman Old Style" w:cs="Arial"/>
                <w:sz w:val="18"/>
                <w:szCs w:val="18"/>
                <w:lang w:val="sv-FI"/>
              </w:rPr>
              <w:t>Pembangunan</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Unit</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Sekolah</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Baru</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(USB)</w:t>
            </w:r>
          </w:p>
        </w:tc>
        <w:tc>
          <w:tcPr>
            <w:tcW w:w="1251" w:type="dxa"/>
            <w:tcMar>
              <w:top w:w="100" w:type="dxa"/>
              <w:left w:w="100" w:type="dxa"/>
              <w:bottom w:w="100" w:type="dxa"/>
              <w:right w:w="100" w:type="dxa"/>
            </w:tcMar>
            <w:vAlign w:val="center"/>
            <w:hideMark/>
          </w:tcPr>
          <w:p w14:paraId="0CAC1399" w14:textId="3EA64F38" w:rsidR="00BF3BC0" w:rsidRPr="008379CA" w:rsidRDefault="00BF3BC0" w:rsidP="0085724C">
            <w:pPr>
              <w:widowControl w:val="0"/>
              <w:jc w:val="center"/>
              <w:rPr>
                <w:rFonts w:ascii="Bookman Old Style" w:eastAsia="Bookman Old Style" w:hAnsi="Bookman Old Style" w:cs="Bookman Old Style"/>
                <w:sz w:val="18"/>
                <w:szCs w:val="18"/>
              </w:rPr>
            </w:pPr>
            <w:r w:rsidRPr="008379CA">
              <w:rPr>
                <w:rFonts w:ascii="Bookman Old Style" w:hAnsi="Bookman Old Style" w:cs="Arial"/>
                <w:sz w:val="18"/>
                <w:szCs w:val="18"/>
              </w:rPr>
              <w:t>PAUD</w:t>
            </w:r>
          </w:p>
        </w:tc>
        <w:tc>
          <w:tcPr>
            <w:tcW w:w="3450" w:type="dxa"/>
            <w:tcMar>
              <w:top w:w="100" w:type="dxa"/>
              <w:left w:w="100" w:type="dxa"/>
              <w:bottom w:w="100" w:type="dxa"/>
              <w:right w:w="100" w:type="dxa"/>
            </w:tcMar>
            <w:vAlign w:val="center"/>
            <w:hideMark/>
          </w:tcPr>
          <w:p w14:paraId="40788955" w14:textId="61340846" w:rsidR="00BF3BC0" w:rsidRPr="008379CA" w:rsidRDefault="00BF3BC0" w:rsidP="0085724C">
            <w:pPr>
              <w:widowControl w:val="0"/>
              <w:rPr>
                <w:rFonts w:ascii="Bookman Old Style" w:eastAsia="Bookman Old Style" w:hAnsi="Bookman Old Style" w:cs="Bookman Old Style"/>
                <w:sz w:val="18"/>
                <w:szCs w:val="18"/>
              </w:rPr>
            </w:pPr>
            <w:r w:rsidRPr="008379CA">
              <w:rPr>
                <w:rFonts w:ascii="Bookman Old Style" w:hAnsi="Bookman Old Style" w:cs="Arial"/>
                <w:sz w:val="18"/>
                <w:szCs w:val="18"/>
              </w:rPr>
              <w:t>B.10</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Angka</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Partisipasi</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Sekolah</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(5-6)</w:t>
            </w:r>
          </w:p>
        </w:tc>
      </w:tr>
      <w:tr w:rsidR="008379CA" w:rsidRPr="008379CA" w14:paraId="69A99903" w14:textId="77777777" w:rsidTr="00645FDE">
        <w:trPr>
          <w:jc w:val="center"/>
        </w:trPr>
        <w:tc>
          <w:tcPr>
            <w:tcW w:w="584" w:type="dxa"/>
            <w:tcMar>
              <w:top w:w="100" w:type="dxa"/>
              <w:left w:w="100" w:type="dxa"/>
              <w:bottom w:w="100" w:type="dxa"/>
              <w:right w:w="100" w:type="dxa"/>
            </w:tcMar>
            <w:vAlign w:val="center"/>
            <w:hideMark/>
          </w:tcPr>
          <w:p w14:paraId="11C87BCC" w14:textId="77777777" w:rsidR="00BF3BC0" w:rsidRPr="008379CA" w:rsidRDefault="00BF3BC0" w:rsidP="0085724C">
            <w:pPr>
              <w:widowControl w:val="0"/>
              <w:jc w:val="center"/>
              <w:rPr>
                <w:rFonts w:ascii="Bookman Old Style" w:eastAsia="Bookman Old Style" w:hAnsi="Bookman Old Style" w:cs="Bookman Old Style"/>
                <w:sz w:val="18"/>
                <w:szCs w:val="18"/>
              </w:rPr>
            </w:pPr>
            <w:r w:rsidRPr="008379CA">
              <w:rPr>
                <w:rFonts w:ascii="Bookman Old Style" w:eastAsia="Bookman Old Style" w:hAnsi="Bookman Old Style" w:cs="Bookman Old Style"/>
                <w:sz w:val="18"/>
                <w:szCs w:val="18"/>
              </w:rPr>
              <w:t>8</w:t>
            </w:r>
          </w:p>
        </w:tc>
        <w:tc>
          <w:tcPr>
            <w:tcW w:w="1886" w:type="dxa"/>
            <w:tcMar>
              <w:top w:w="100" w:type="dxa"/>
              <w:left w:w="100" w:type="dxa"/>
              <w:bottom w:w="100" w:type="dxa"/>
              <w:right w:w="100" w:type="dxa"/>
            </w:tcMar>
            <w:vAlign w:val="center"/>
            <w:hideMark/>
          </w:tcPr>
          <w:p w14:paraId="5341EF7D" w14:textId="2F9896E3" w:rsidR="00BF3BC0" w:rsidRPr="008379CA" w:rsidRDefault="00BF3BC0" w:rsidP="0085724C">
            <w:pPr>
              <w:widowControl w:val="0"/>
              <w:rPr>
                <w:rFonts w:ascii="Bookman Old Style" w:eastAsia="Bookman Old Style" w:hAnsi="Bookman Old Style" w:cs="Bookman Old Style"/>
                <w:sz w:val="18"/>
                <w:szCs w:val="18"/>
              </w:rPr>
            </w:pPr>
            <w:r w:rsidRPr="008379CA">
              <w:rPr>
                <w:rFonts w:ascii="Bookman Old Style" w:hAnsi="Bookman Old Style" w:cs="Arial"/>
                <w:sz w:val="18"/>
                <w:szCs w:val="18"/>
              </w:rPr>
              <w:t>1.01.02.2.03.0045</w:t>
            </w:r>
          </w:p>
        </w:tc>
        <w:tc>
          <w:tcPr>
            <w:tcW w:w="3373" w:type="dxa"/>
            <w:tcMar>
              <w:top w:w="100" w:type="dxa"/>
              <w:left w:w="100" w:type="dxa"/>
              <w:bottom w:w="100" w:type="dxa"/>
              <w:right w:w="100" w:type="dxa"/>
            </w:tcMar>
            <w:vAlign w:val="center"/>
            <w:hideMark/>
          </w:tcPr>
          <w:p w14:paraId="238D78F6" w14:textId="599A10DB" w:rsidR="00BF3BC0" w:rsidRPr="008379CA" w:rsidRDefault="00BF3BC0" w:rsidP="0085724C">
            <w:pPr>
              <w:widowControl w:val="0"/>
              <w:jc w:val="both"/>
              <w:rPr>
                <w:rFonts w:ascii="Bookman Old Style" w:eastAsia="Bookman Old Style" w:hAnsi="Bookman Old Style" w:cs="Bookman Old Style"/>
                <w:sz w:val="18"/>
                <w:szCs w:val="18"/>
                <w:lang w:val="sv-FI"/>
              </w:rPr>
            </w:pPr>
            <w:r w:rsidRPr="008379CA">
              <w:rPr>
                <w:rFonts w:ascii="Bookman Old Style" w:hAnsi="Bookman Old Style" w:cs="Arial"/>
                <w:sz w:val="18"/>
                <w:szCs w:val="18"/>
                <w:lang w:val="sv-FI"/>
              </w:rPr>
              <w:t>Rehabilitasi</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Sedang/Berat</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Pembangunan</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Sarana,</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Prasarana</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dan</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Utilitas</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PAUD</w:t>
            </w:r>
          </w:p>
        </w:tc>
        <w:tc>
          <w:tcPr>
            <w:tcW w:w="1251" w:type="dxa"/>
            <w:tcMar>
              <w:top w:w="100" w:type="dxa"/>
              <w:left w:w="100" w:type="dxa"/>
              <w:bottom w:w="100" w:type="dxa"/>
              <w:right w:w="100" w:type="dxa"/>
            </w:tcMar>
            <w:vAlign w:val="center"/>
            <w:hideMark/>
          </w:tcPr>
          <w:p w14:paraId="05663416" w14:textId="1456DD83" w:rsidR="00BF3BC0" w:rsidRPr="008379CA" w:rsidRDefault="00BF3BC0" w:rsidP="0085724C">
            <w:pPr>
              <w:widowControl w:val="0"/>
              <w:jc w:val="center"/>
              <w:rPr>
                <w:rFonts w:ascii="Bookman Old Style" w:eastAsia="Bookman Old Style" w:hAnsi="Bookman Old Style" w:cs="Bookman Old Style"/>
                <w:sz w:val="18"/>
                <w:szCs w:val="18"/>
              </w:rPr>
            </w:pPr>
            <w:r w:rsidRPr="008379CA">
              <w:rPr>
                <w:rFonts w:ascii="Bookman Old Style" w:hAnsi="Bookman Old Style" w:cs="Arial"/>
                <w:sz w:val="18"/>
                <w:szCs w:val="18"/>
              </w:rPr>
              <w:t>PAUD</w:t>
            </w:r>
          </w:p>
        </w:tc>
        <w:tc>
          <w:tcPr>
            <w:tcW w:w="3450" w:type="dxa"/>
            <w:tcMar>
              <w:top w:w="100" w:type="dxa"/>
              <w:left w:w="100" w:type="dxa"/>
              <w:bottom w:w="100" w:type="dxa"/>
              <w:right w:w="100" w:type="dxa"/>
            </w:tcMar>
            <w:vAlign w:val="center"/>
            <w:hideMark/>
          </w:tcPr>
          <w:p w14:paraId="4C68C064" w14:textId="5F35D8DA" w:rsidR="00BF3BC0" w:rsidRPr="008379CA" w:rsidRDefault="00BF3BC0" w:rsidP="0085724C">
            <w:pPr>
              <w:widowControl w:val="0"/>
              <w:rPr>
                <w:rFonts w:ascii="Bookman Old Style" w:eastAsia="Bookman Old Style" w:hAnsi="Bookman Old Style" w:cs="Bookman Old Style"/>
                <w:sz w:val="18"/>
                <w:szCs w:val="18"/>
                <w:lang w:val="sv-FI"/>
              </w:rPr>
            </w:pPr>
            <w:r w:rsidRPr="008379CA">
              <w:rPr>
                <w:rFonts w:ascii="Bookman Old Style" w:hAnsi="Bookman Old Style" w:cs="Arial"/>
                <w:sz w:val="18"/>
                <w:szCs w:val="18"/>
              </w:rPr>
              <w:t>B.8</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Proporsi</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Jumlah</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Satuan</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PAUD</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Terakreditasi</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Minimal</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B</w:t>
            </w:r>
          </w:p>
        </w:tc>
      </w:tr>
      <w:tr w:rsidR="008379CA" w:rsidRPr="008379CA" w14:paraId="77046F15" w14:textId="77777777" w:rsidTr="00645FDE">
        <w:trPr>
          <w:trHeight w:val="25"/>
          <w:jc w:val="center"/>
        </w:trPr>
        <w:tc>
          <w:tcPr>
            <w:tcW w:w="584" w:type="dxa"/>
            <w:tcMar>
              <w:top w:w="100" w:type="dxa"/>
              <w:left w:w="100" w:type="dxa"/>
              <w:bottom w:w="100" w:type="dxa"/>
              <w:right w:w="100" w:type="dxa"/>
            </w:tcMar>
            <w:vAlign w:val="center"/>
            <w:hideMark/>
          </w:tcPr>
          <w:p w14:paraId="2A5FFC61" w14:textId="77777777" w:rsidR="00BF3BC0" w:rsidRPr="008379CA" w:rsidRDefault="00BF3BC0" w:rsidP="0085724C">
            <w:pPr>
              <w:widowControl w:val="0"/>
              <w:jc w:val="center"/>
              <w:rPr>
                <w:rFonts w:ascii="Bookman Old Style" w:eastAsia="Bookman Old Style" w:hAnsi="Bookman Old Style" w:cs="Bookman Old Style"/>
                <w:sz w:val="18"/>
                <w:szCs w:val="18"/>
              </w:rPr>
            </w:pPr>
            <w:r w:rsidRPr="008379CA">
              <w:rPr>
                <w:rFonts w:ascii="Bookman Old Style" w:eastAsia="Bookman Old Style" w:hAnsi="Bookman Old Style" w:cs="Bookman Old Style"/>
                <w:sz w:val="18"/>
                <w:szCs w:val="18"/>
              </w:rPr>
              <w:t>9</w:t>
            </w:r>
          </w:p>
        </w:tc>
        <w:tc>
          <w:tcPr>
            <w:tcW w:w="1886" w:type="dxa"/>
            <w:tcMar>
              <w:top w:w="100" w:type="dxa"/>
              <w:left w:w="100" w:type="dxa"/>
              <w:bottom w:w="100" w:type="dxa"/>
              <w:right w:w="100" w:type="dxa"/>
            </w:tcMar>
            <w:vAlign w:val="center"/>
            <w:hideMark/>
          </w:tcPr>
          <w:p w14:paraId="3F61EB7B" w14:textId="4FE83A69" w:rsidR="00BF3BC0" w:rsidRPr="008379CA" w:rsidRDefault="00BF3BC0" w:rsidP="0085724C">
            <w:pPr>
              <w:widowControl w:val="0"/>
              <w:rPr>
                <w:rFonts w:ascii="Bookman Old Style" w:eastAsia="Bookman Old Style" w:hAnsi="Bookman Old Style" w:cs="Bookman Old Style"/>
                <w:sz w:val="18"/>
                <w:szCs w:val="18"/>
              </w:rPr>
            </w:pPr>
            <w:r w:rsidRPr="008379CA">
              <w:rPr>
                <w:rFonts w:ascii="Bookman Old Style" w:hAnsi="Bookman Old Style" w:cs="Arial"/>
                <w:sz w:val="18"/>
                <w:szCs w:val="18"/>
              </w:rPr>
              <w:t>1.01.02.2.03.0051</w:t>
            </w:r>
          </w:p>
        </w:tc>
        <w:tc>
          <w:tcPr>
            <w:tcW w:w="3373" w:type="dxa"/>
            <w:tcMar>
              <w:top w:w="100" w:type="dxa"/>
              <w:left w:w="100" w:type="dxa"/>
              <w:bottom w:w="100" w:type="dxa"/>
              <w:right w:w="100" w:type="dxa"/>
            </w:tcMar>
            <w:vAlign w:val="center"/>
            <w:hideMark/>
          </w:tcPr>
          <w:p w14:paraId="2A93AA26" w14:textId="3AF8A89B" w:rsidR="00BF3BC0" w:rsidRPr="008379CA" w:rsidRDefault="00BF3BC0" w:rsidP="0085724C">
            <w:pPr>
              <w:widowControl w:val="0"/>
              <w:jc w:val="both"/>
              <w:rPr>
                <w:rFonts w:ascii="Bookman Old Style" w:eastAsia="Bookman Old Style" w:hAnsi="Bookman Old Style" w:cs="Bookman Old Style"/>
                <w:sz w:val="18"/>
                <w:szCs w:val="18"/>
                <w:lang w:val="sv-FI"/>
              </w:rPr>
            </w:pPr>
            <w:r w:rsidRPr="008379CA">
              <w:rPr>
                <w:rFonts w:ascii="Bookman Old Style" w:hAnsi="Bookman Old Style" w:cs="Arial"/>
                <w:sz w:val="18"/>
                <w:szCs w:val="18"/>
                <w:lang w:val="sv-FI"/>
              </w:rPr>
              <w:t>Rehabilitasi</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Sedang/Berat</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Ruang</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Kelas</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Sekolah</w:t>
            </w:r>
          </w:p>
        </w:tc>
        <w:tc>
          <w:tcPr>
            <w:tcW w:w="1251" w:type="dxa"/>
            <w:tcMar>
              <w:top w:w="100" w:type="dxa"/>
              <w:left w:w="100" w:type="dxa"/>
              <w:bottom w:w="100" w:type="dxa"/>
              <w:right w:w="100" w:type="dxa"/>
            </w:tcMar>
            <w:vAlign w:val="center"/>
            <w:hideMark/>
          </w:tcPr>
          <w:p w14:paraId="7DF32CD2" w14:textId="76E93158" w:rsidR="00BF3BC0" w:rsidRPr="008379CA" w:rsidRDefault="00BF3BC0" w:rsidP="0085724C">
            <w:pPr>
              <w:widowControl w:val="0"/>
              <w:jc w:val="center"/>
              <w:rPr>
                <w:rFonts w:ascii="Bookman Old Style" w:eastAsia="Bookman Old Style" w:hAnsi="Bookman Old Style" w:cs="Bookman Old Style"/>
                <w:sz w:val="18"/>
                <w:szCs w:val="18"/>
              </w:rPr>
            </w:pPr>
            <w:r w:rsidRPr="008379CA">
              <w:rPr>
                <w:rFonts w:ascii="Bookman Old Style" w:hAnsi="Bookman Old Style" w:cs="Arial"/>
                <w:sz w:val="18"/>
                <w:szCs w:val="18"/>
              </w:rPr>
              <w:t>PAUD</w:t>
            </w:r>
          </w:p>
        </w:tc>
        <w:tc>
          <w:tcPr>
            <w:tcW w:w="3450" w:type="dxa"/>
            <w:tcMar>
              <w:top w:w="100" w:type="dxa"/>
              <w:left w:w="100" w:type="dxa"/>
              <w:bottom w:w="100" w:type="dxa"/>
              <w:right w:w="100" w:type="dxa"/>
            </w:tcMar>
            <w:vAlign w:val="center"/>
            <w:hideMark/>
          </w:tcPr>
          <w:p w14:paraId="54D12850" w14:textId="415E9072" w:rsidR="00BF3BC0" w:rsidRPr="008379CA" w:rsidRDefault="00BF3BC0" w:rsidP="0085724C">
            <w:pPr>
              <w:widowControl w:val="0"/>
              <w:rPr>
                <w:rFonts w:ascii="Bookman Old Style" w:eastAsia="Bookman Old Style" w:hAnsi="Bookman Old Style" w:cs="Bookman Old Style"/>
                <w:sz w:val="18"/>
                <w:szCs w:val="18"/>
                <w:lang w:val="sv-FI"/>
              </w:rPr>
            </w:pPr>
            <w:r w:rsidRPr="008379CA">
              <w:rPr>
                <w:rFonts w:ascii="Bookman Old Style" w:hAnsi="Bookman Old Style" w:cs="Arial"/>
                <w:sz w:val="18"/>
                <w:szCs w:val="18"/>
              </w:rPr>
              <w:t>B.10</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Angka</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Partisipasi</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Sekolah</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(5-6)</w:t>
            </w:r>
          </w:p>
        </w:tc>
      </w:tr>
      <w:tr w:rsidR="008379CA" w:rsidRPr="008379CA" w14:paraId="380CE20B" w14:textId="77777777" w:rsidTr="00645FDE">
        <w:trPr>
          <w:jc w:val="center"/>
        </w:trPr>
        <w:tc>
          <w:tcPr>
            <w:tcW w:w="584" w:type="dxa"/>
            <w:tcMar>
              <w:top w:w="100" w:type="dxa"/>
              <w:left w:w="100" w:type="dxa"/>
              <w:bottom w:w="100" w:type="dxa"/>
              <w:right w:w="100" w:type="dxa"/>
            </w:tcMar>
            <w:vAlign w:val="center"/>
            <w:hideMark/>
          </w:tcPr>
          <w:p w14:paraId="002679A9" w14:textId="77777777" w:rsidR="00BF3BC0" w:rsidRPr="008379CA" w:rsidRDefault="00BF3BC0" w:rsidP="0085724C">
            <w:pPr>
              <w:widowControl w:val="0"/>
              <w:jc w:val="center"/>
              <w:rPr>
                <w:rFonts w:ascii="Bookman Old Style" w:eastAsia="Bookman Old Style" w:hAnsi="Bookman Old Style" w:cs="Bookman Old Style"/>
                <w:sz w:val="18"/>
                <w:szCs w:val="18"/>
              </w:rPr>
            </w:pPr>
            <w:r w:rsidRPr="008379CA">
              <w:rPr>
                <w:rFonts w:ascii="Bookman Old Style" w:eastAsia="Bookman Old Style" w:hAnsi="Bookman Old Style" w:cs="Bookman Old Style"/>
                <w:sz w:val="18"/>
                <w:szCs w:val="18"/>
              </w:rPr>
              <w:t>10</w:t>
            </w:r>
          </w:p>
        </w:tc>
        <w:tc>
          <w:tcPr>
            <w:tcW w:w="1886" w:type="dxa"/>
            <w:tcMar>
              <w:top w:w="100" w:type="dxa"/>
              <w:left w:w="100" w:type="dxa"/>
              <w:bottom w:w="100" w:type="dxa"/>
              <w:right w:w="100" w:type="dxa"/>
            </w:tcMar>
            <w:vAlign w:val="center"/>
            <w:hideMark/>
          </w:tcPr>
          <w:p w14:paraId="5F15F3C7" w14:textId="4DADAB89" w:rsidR="00BF3BC0" w:rsidRPr="008379CA" w:rsidRDefault="00BF3BC0" w:rsidP="0085724C">
            <w:pPr>
              <w:widowControl w:val="0"/>
              <w:rPr>
                <w:rFonts w:ascii="Bookman Old Style" w:eastAsia="Bookman Old Style" w:hAnsi="Bookman Old Style" w:cs="Bookman Old Style"/>
                <w:sz w:val="18"/>
                <w:szCs w:val="18"/>
              </w:rPr>
            </w:pPr>
            <w:r w:rsidRPr="008379CA">
              <w:rPr>
                <w:rFonts w:ascii="Bookman Old Style" w:hAnsi="Bookman Old Style" w:cs="Arial"/>
                <w:sz w:val="18"/>
                <w:szCs w:val="18"/>
              </w:rPr>
              <w:t>1.01.02.2.04.0010</w:t>
            </w:r>
          </w:p>
        </w:tc>
        <w:tc>
          <w:tcPr>
            <w:tcW w:w="3373" w:type="dxa"/>
            <w:tcMar>
              <w:top w:w="100" w:type="dxa"/>
              <w:left w:w="100" w:type="dxa"/>
              <w:bottom w:w="100" w:type="dxa"/>
              <w:right w:w="100" w:type="dxa"/>
            </w:tcMar>
            <w:vAlign w:val="center"/>
            <w:hideMark/>
          </w:tcPr>
          <w:p w14:paraId="6835F9A6" w14:textId="16B4A6CC" w:rsidR="00BF3BC0" w:rsidRPr="008379CA" w:rsidRDefault="00BF3BC0" w:rsidP="0085724C">
            <w:pPr>
              <w:widowControl w:val="0"/>
              <w:jc w:val="both"/>
              <w:rPr>
                <w:rFonts w:ascii="Bookman Old Style" w:eastAsia="Bookman Old Style" w:hAnsi="Bookman Old Style" w:cs="Bookman Old Style"/>
                <w:sz w:val="18"/>
                <w:szCs w:val="18"/>
                <w:lang w:val="sv-FI"/>
              </w:rPr>
            </w:pPr>
            <w:r w:rsidRPr="008379CA">
              <w:rPr>
                <w:rFonts w:ascii="Bookman Old Style" w:hAnsi="Bookman Old Style" w:cs="Arial"/>
                <w:sz w:val="18"/>
                <w:szCs w:val="18"/>
                <w:lang w:val="sv-FI"/>
              </w:rPr>
              <w:t>Penyediaan</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Biaya</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Personil</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Peserta</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Didik</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PAUD/Sekolah</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Dasar/Sekolah</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Menengah</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Pertama/Nonformal/Kesetaraan</w:t>
            </w:r>
          </w:p>
        </w:tc>
        <w:tc>
          <w:tcPr>
            <w:tcW w:w="1251" w:type="dxa"/>
            <w:tcMar>
              <w:top w:w="100" w:type="dxa"/>
              <w:left w:w="100" w:type="dxa"/>
              <w:bottom w:w="100" w:type="dxa"/>
              <w:right w:w="100" w:type="dxa"/>
            </w:tcMar>
            <w:vAlign w:val="center"/>
            <w:hideMark/>
          </w:tcPr>
          <w:p w14:paraId="79B75428" w14:textId="258232E8" w:rsidR="00BF3BC0" w:rsidRPr="008379CA" w:rsidRDefault="00BF3BC0" w:rsidP="0085724C">
            <w:pPr>
              <w:widowControl w:val="0"/>
              <w:jc w:val="center"/>
              <w:rPr>
                <w:rFonts w:ascii="Bookman Old Style" w:eastAsia="Bookman Old Style" w:hAnsi="Bookman Old Style" w:cs="Bookman Old Style"/>
                <w:sz w:val="18"/>
                <w:szCs w:val="18"/>
              </w:rPr>
            </w:pPr>
            <w:r w:rsidRPr="008379CA">
              <w:rPr>
                <w:rFonts w:ascii="Bookman Old Style" w:hAnsi="Bookman Old Style" w:cs="Arial"/>
                <w:sz w:val="18"/>
                <w:szCs w:val="18"/>
              </w:rPr>
              <w:t>Kesetaraan</w:t>
            </w:r>
          </w:p>
        </w:tc>
        <w:tc>
          <w:tcPr>
            <w:tcW w:w="3450" w:type="dxa"/>
            <w:tcMar>
              <w:top w:w="100" w:type="dxa"/>
              <w:left w:w="100" w:type="dxa"/>
              <w:bottom w:w="100" w:type="dxa"/>
              <w:right w:w="100" w:type="dxa"/>
            </w:tcMar>
            <w:vAlign w:val="center"/>
            <w:hideMark/>
          </w:tcPr>
          <w:p w14:paraId="6C594730" w14:textId="78F997A1" w:rsidR="00BF3BC0" w:rsidRPr="008379CA" w:rsidRDefault="00BF3BC0" w:rsidP="0085724C">
            <w:pPr>
              <w:widowControl w:val="0"/>
              <w:rPr>
                <w:rFonts w:ascii="Bookman Old Style" w:eastAsia="Bookman Old Style" w:hAnsi="Bookman Old Style" w:cs="Bookman Old Style"/>
                <w:sz w:val="18"/>
                <w:szCs w:val="18"/>
                <w:lang w:val="sv-FI"/>
              </w:rPr>
            </w:pPr>
            <w:r w:rsidRPr="008379CA">
              <w:rPr>
                <w:rFonts w:ascii="Bookman Old Style" w:hAnsi="Bookman Old Style" w:cs="Arial"/>
                <w:sz w:val="18"/>
                <w:szCs w:val="18"/>
                <w:lang w:val="sv-FI"/>
              </w:rPr>
              <w:t>B.15</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Angka</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Partisipasi</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Sekolah</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(APS)</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7</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18</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Kesetaraan</w:t>
            </w:r>
          </w:p>
        </w:tc>
      </w:tr>
      <w:tr w:rsidR="008379CA" w:rsidRPr="008379CA" w14:paraId="743AB728" w14:textId="77777777" w:rsidTr="00645FDE">
        <w:trPr>
          <w:jc w:val="center"/>
        </w:trPr>
        <w:tc>
          <w:tcPr>
            <w:tcW w:w="584" w:type="dxa"/>
            <w:tcMar>
              <w:top w:w="100" w:type="dxa"/>
              <w:left w:w="100" w:type="dxa"/>
              <w:bottom w:w="100" w:type="dxa"/>
              <w:right w:w="100" w:type="dxa"/>
            </w:tcMar>
            <w:vAlign w:val="center"/>
            <w:hideMark/>
          </w:tcPr>
          <w:p w14:paraId="61487F29" w14:textId="77777777" w:rsidR="00BF3BC0" w:rsidRPr="008379CA" w:rsidRDefault="00BF3BC0" w:rsidP="0085724C">
            <w:pPr>
              <w:widowControl w:val="0"/>
              <w:jc w:val="center"/>
              <w:rPr>
                <w:rFonts w:ascii="Bookman Old Style" w:eastAsia="Bookman Old Style" w:hAnsi="Bookman Old Style" w:cs="Bookman Old Style"/>
                <w:sz w:val="18"/>
                <w:szCs w:val="18"/>
              </w:rPr>
            </w:pPr>
            <w:r w:rsidRPr="008379CA">
              <w:rPr>
                <w:rFonts w:ascii="Bookman Old Style" w:eastAsia="Bookman Old Style" w:hAnsi="Bookman Old Style" w:cs="Bookman Old Style"/>
                <w:sz w:val="18"/>
                <w:szCs w:val="18"/>
              </w:rPr>
              <w:t>11</w:t>
            </w:r>
          </w:p>
        </w:tc>
        <w:tc>
          <w:tcPr>
            <w:tcW w:w="1886" w:type="dxa"/>
            <w:tcMar>
              <w:top w:w="100" w:type="dxa"/>
              <w:left w:w="100" w:type="dxa"/>
              <w:bottom w:w="100" w:type="dxa"/>
              <w:right w:w="100" w:type="dxa"/>
            </w:tcMar>
            <w:vAlign w:val="center"/>
            <w:hideMark/>
          </w:tcPr>
          <w:p w14:paraId="35432674" w14:textId="28960DBD" w:rsidR="00BF3BC0" w:rsidRPr="008379CA" w:rsidRDefault="00BF3BC0" w:rsidP="0085724C">
            <w:pPr>
              <w:widowControl w:val="0"/>
              <w:rPr>
                <w:rFonts w:ascii="Bookman Old Style" w:eastAsia="Bookman Old Style" w:hAnsi="Bookman Old Style" w:cs="Bookman Old Style"/>
                <w:sz w:val="18"/>
                <w:szCs w:val="18"/>
              </w:rPr>
            </w:pPr>
            <w:r w:rsidRPr="008379CA">
              <w:rPr>
                <w:rFonts w:ascii="Bookman Old Style" w:hAnsi="Bookman Old Style" w:cs="Arial"/>
                <w:sz w:val="18"/>
                <w:szCs w:val="18"/>
              </w:rPr>
              <w:t>1.01.02.2.04.0031</w:t>
            </w:r>
          </w:p>
        </w:tc>
        <w:tc>
          <w:tcPr>
            <w:tcW w:w="3373" w:type="dxa"/>
            <w:tcMar>
              <w:top w:w="100" w:type="dxa"/>
              <w:left w:w="100" w:type="dxa"/>
              <w:bottom w:w="100" w:type="dxa"/>
              <w:right w:w="100" w:type="dxa"/>
            </w:tcMar>
            <w:vAlign w:val="center"/>
            <w:hideMark/>
          </w:tcPr>
          <w:p w14:paraId="6C2712D2" w14:textId="54D766FE" w:rsidR="00BF3BC0" w:rsidRPr="008379CA" w:rsidRDefault="00BF3BC0" w:rsidP="0085724C">
            <w:pPr>
              <w:widowControl w:val="0"/>
              <w:jc w:val="both"/>
              <w:rPr>
                <w:rFonts w:ascii="Bookman Old Style" w:eastAsia="Bookman Old Style" w:hAnsi="Bookman Old Style" w:cs="Bookman Old Style"/>
                <w:sz w:val="18"/>
                <w:szCs w:val="18"/>
                <w:lang w:val="sv-FI"/>
              </w:rPr>
            </w:pPr>
            <w:r w:rsidRPr="008379CA">
              <w:rPr>
                <w:rFonts w:ascii="Bookman Old Style" w:hAnsi="Bookman Old Style" w:cs="Arial"/>
                <w:sz w:val="18"/>
                <w:szCs w:val="18"/>
                <w:lang w:val="sv-FI"/>
              </w:rPr>
              <w:t>Pemberian</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layanan</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pendampingan</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bagi</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satuan</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pendidikan</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untuk</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pencegahan</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perundungan,</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kekerasan,</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dan</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intoleransi</w:t>
            </w:r>
          </w:p>
        </w:tc>
        <w:tc>
          <w:tcPr>
            <w:tcW w:w="1251" w:type="dxa"/>
            <w:tcMar>
              <w:top w:w="100" w:type="dxa"/>
              <w:left w:w="100" w:type="dxa"/>
              <w:bottom w:w="100" w:type="dxa"/>
              <w:right w:w="100" w:type="dxa"/>
            </w:tcMar>
            <w:vAlign w:val="center"/>
            <w:hideMark/>
          </w:tcPr>
          <w:p w14:paraId="3209E499" w14:textId="6737D84C" w:rsidR="00BF3BC0" w:rsidRPr="008379CA" w:rsidRDefault="00BF3BC0" w:rsidP="0085724C">
            <w:pPr>
              <w:widowControl w:val="0"/>
              <w:jc w:val="center"/>
              <w:rPr>
                <w:rFonts w:ascii="Bookman Old Style" w:eastAsia="Bookman Old Style" w:hAnsi="Bookman Old Style" w:cs="Bookman Old Style"/>
                <w:sz w:val="18"/>
                <w:szCs w:val="18"/>
              </w:rPr>
            </w:pPr>
            <w:r w:rsidRPr="008379CA">
              <w:rPr>
                <w:rFonts w:ascii="Bookman Old Style" w:hAnsi="Bookman Old Style" w:cs="Arial"/>
                <w:sz w:val="18"/>
                <w:szCs w:val="18"/>
              </w:rPr>
              <w:t>Kesetaraan</w:t>
            </w:r>
          </w:p>
        </w:tc>
        <w:tc>
          <w:tcPr>
            <w:tcW w:w="3450" w:type="dxa"/>
            <w:tcMar>
              <w:top w:w="100" w:type="dxa"/>
              <w:left w:w="100" w:type="dxa"/>
              <w:bottom w:w="100" w:type="dxa"/>
              <w:right w:w="100" w:type="dxa"/>
            </w:tcMar>
            <w:vAlign w:val="center"/>
            <w:hideMark/>
          </w:tcPr>
          <w:p w14:paraId="75CA7D6D" w14:textId="52F89EE6" w:rsidR="00BF3BC0" w:rsidRPr="008379CA" w:rsidRDefault="00BF3BC0" w:rsidP="0085724C">
            <w:pPr>
              <w:widowControl w:val="0"/>
              <w:rPr>
                <w:rFonts w:ascii="Bookman Old Style" w:eastAsia="Bookman Old Style" w:hAnsi="Bookman Old Style" w:cs="Bookman Old Style"/>
                <w:sz w:val="18"/>
                <w:szCs w:val="18"/>
                <w:lang w:val="sv-FI"/>
              </w:rPr>
            </w:pPr>
            <w:r w:rsidRPr="008379CA">
              <w:rPr>
                <w:rFonts w:ascii="Bookman Old Style" w:hAnsi="Bookman Old Style" w:cs="Arial"/>
                <w:sz w:val="18"/>
                <w:szCs w:val="18"/>
                <w:lang w:val="sv-FI"/>
              </w:rPr>
              <w:t>B.15</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Angka</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Partisipasi</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Sekolah</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(APS)</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7</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18</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Kesetaraan</w:t>
            </w:r>
          </w:p>
        </w:tc>
      </w:tr>
      <w:tr w:rsidR="008379CA" w:rsidRPr="008379CA" w14:paraId="08A87DE4" w14:textId="77777777" w:rsidTr="00645FDE">
        <w:trPr>
          <w:trHeight w:val="25"/>
          <w:jc w:val="center"/>
        </w:trPr>
        <w:tc>
          <w:tcPr>
            <w:tcW w:w="584" w:type="dxa"/>
            <w:tcMar>
              <w:top w:w="100" w:type="dxa"/>
              <w:left w:w="100" w:type="dxa"/>
              <w:bottom w:w="100" w:type="dxa"/>
              <w:right w:w="100" w:type="dxa"/>
            </w:tcMar>
            <w:vAlign w:val="center"/>
            <w:hideMark/>
          </w:tcPr>
          <w:p w14:paraId="0B915D6A" w14:textId="77777777" w:rsidR="00BF3BC0" w:rsidRPr="008379CA" w:rsidRDefault="00BF3BC0" w:rsidP="0085724C">
            <w:pPr>
              <w:widowControl w:val="0"/>
              <w:jc w:val="center"/>
              <w:rPr>
                <w:rFonts w:ascii="Bookman Old Style" w:eastAsia="Bookman Old Style" w:hAnsi="Bookman Old Style" w:cs="Bookman Old Style"/>
                <w:sz w:val="18"/>
                <w:szCs w:val="18"/>
              </w:rPr>
            </w:pPr>
            <w:r w:rsidRPr="008379CA">
              <w:rPr>
                <w:rFonts w:ascii="Bookman Old Style" w:eastAsia="Bookman Old Style" w:hAnsi="Bookman Old Style" w:cs="Bookman Old Style"/>
                <w:sz w:val="18"/>
                <w:szCs w:val="18"/>
              </w:rPr>
              <w:t>12</w:t>
            </w:r>
          </w:p>
        </w:tc>
        <w:tc>
          <w:tcPr>
            <w:tcW w:w="1886" w:type="dxa"/>
            <w:tcMar>
              <w:top w:w="100" w:type="dxa"/>
              <w:left w:w="100" w:type="dxa"/>
              <w:bottom w:w="100" w:type="dxa"/>
              <w:right w:w="100" w:type="dxa"/>
            </w:tcMar>
            <w:vAlign w:val="center"/>
            <w:hideMark/>
          </w:tcPr>
          <w:p w14:paraId="62B963ED" w14:textId="47EA3185" w:rsidR="00BF3BC0" w:rsidRPr="008379CA" w:rsidRDefault="00BF3BC0" w:rsidP="0085724C">
            <w:pPr>
              <w:widowControl w:val="0"/>
              <w:rPr>
                <w:rFonts w:ascii="Bookman Old Style" w:eastAsia="Bookman Old Style" w:hAnsi="Bookman Old Style" w:cs="Bookman Old Style"/>
                <w:sz w:val="18"/>
                <w:szCs w:val="18"/>
              </w:rPr>
            </w:pPr>
            <w:r w:rsidRPr="008379CA">
              <w:rPr>
                <w:rFonts w:ascii="Bookman Old Style" w:hAnsi="Bookman Old Style" w:cs="Arial"/>
                <w:sz w:val="18"/>
                <w:szCs w:val="18"/>
              </w:rPr>
              <w:t>1.01.02.2.04.0036</w:t>
            </w:r>
          </w:p>
        </w:tc>
        <w:tc>
          <w:tcPr>
            <w:tcW w:w="3373" w:type="dxa"/>
            <w:tcMar>
              <w:top w:w="100" w:type="dxa"/>
              <w:left w:w="100" w:type="dxa"/>
              <w:bottom w:w="100" w:type="dxa"/>
              <w:right w:w="100" w:type="dxa"/>
            </w:tcMar>
            <w:vAlign w:val="center"/>
            <w:hideMark/>
          </w:tcPr>
          <w:p w14:paraId="7D3B72AE" w14:textId="32FEC05F" w:rsidR="00BF3BC0" w:rsidRPr="008379CA" w:rsidRDefault="00BF3BC0" w:rsidP="0085724C">
            <w:pPr>
              <w:widowControl w:val="0"/>
              <w:jc w:val="both"/>
              <w:rPr>
                <w:rFonts w:ascii="Bookman Old Style" w:eastAsia="Bookman Old Style" w:hAnsi="Bookman Old Style" w:cs="Bookman Old Style"/>
                <w:sz w:val="18"/>
                <w:szCs w:val="18"/>
                <w:lang w:val="sv-FI"/>
              </w:rPr>
            </w:pPr>
            <w:r w:rsidRPr="008379CA">
              <w:rPr>
                <w:rFonts w:ascii="Bookman Old Style" w:hAnsi="Bookman Old Style" w:cs="Arial"/>
                <w:sz w:val="18"/>
                <w:szCs w:val="18"/>
              </w:rPr>
              <w:t>Pengadaan</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Perlengkapan</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Peserta</w:t>
            </w:r>
            <w:r w:rsidR="00A954D0" w:rsidRPr="008379CA">
              <w:rPr>
                <w:rFonts w:ascii="Bookman Old Style" w:hAnsi="Bookman Old Style" w:cs="Arial"/>
                <w:sz w:val="18"/>
                <w:szCs w:val="18"/>
              </w:rPr>
              <w:t xml:space="preserve"> </w:t>
            </w:r>
            <w:r w:rsidRPr="008379CA">
              <w:rPr>
                <w:rFonts w:ascii="Bookman Old Style" w:hAnsi="Bookman Old Style" w:cs="Arial"/>
                <w:sz w:val="18"/>
                <w:szCs w:val="18"/>
              </w:rPr>
              <w:t>Didik</w:t>
            </w:r>
          </w:p>
        </w:tc>
        <w:tc>
          <w:tcPr>
            <w:tcW w:w="1251" w:type="dxa"/>
            <w:tcMar>
              <w:top w:w="100" w:type="dxa"/>
              <w:left w:w="100" w:type="dxa"/>
              <w:bottom w:w="100" w:type="dxa"/>
              <w:right w:w="100" w:type="dxa"/>
            </w:tcMar>
            <w:vAlign w:val="center"/>
            <w:hideMark/>
          </w:tcPr>
          <w:p w14:paraId="6CAB7984" w14:textId="798D1EA2" w:rsidR="00BF3BC0" w:rsidRPr="008379CA" w:rsidRDefault="00BF3BC0" w:rsidP="0085724C">
            <w:pPr>
              <w:widowControl w:val="0"/>
              <w:jc w:val="center"/>
              <w:rPr>
                <w:rFonts w:ascii="Bookman Old Style" w:eastAsia="Bookman Old Style" w:hAnsi="Bookman Old Style" w:cs="Bookman Old Style"/>
                <w:sz w:val="18"/>
                <w:szCs w:val="18"/>
              </w:rPr>
            </w:pPr>
            <w:r w:rsidRPr="008379CA">
              <w:rPr>
                <w:rFonts w:ascii="Bookman Old Style" w:hAnsi="Bookman Old Style" w:cs="Arial"/>
                <w:sz w:val="18"/>
                <w:szCs w:val="18"/>
              </w:rPr>
              <w:t>Kesetaraan</w:t>
            </w:r>
          </w:p>
        </w:tc>
        <w:tc>
          <w:tcPr>
            <w:tcW w:w="3450" w:type="dxa"/>
            <w:tcMar>
              <w:top w:w="100" w:type="dxa"/>
              <w:left w:w="100" w:type="dxa"/>
              <w:bottom w:w="100" w:type="dxa"/>
              <w:right w:w="100" w:type="dxa"/>
            </w:tcMar>
            <w:vAlign w:val="center"/>
            <w:hideMark/>
          </w:tcPr>
          <w:p w14:paraId="01DCA4BC" w14:textId="7F551D49" w:rsidR="00BF3BC0" w:rsidRPr="008379CA" w:rsidRDefault="00BF3BC0" w:rsidP="0085724C">
            <w:pPr>
              <w:widowControl w:val="0"/>
              <w:rPr>
                <w:rFonts w:ascii="Bookman Old Style" w:eastAsia="Bookman Old Style" w:hAnsi="Bookman Old Style" w:cs="Bookman Old Style"/>
                <w:sz w:val="18"/>
                <w:szCs w:val="18"/>
                <w:lang w:val="sv-FI"/>
              </w:rPr>
            </w:pPr>
            <w:r w:rsidRPr="008379CA">
              <w:rPr>
                <w:rFonts w:ascii="Bookman Old Style" w:hAnsi="Bookman Old Style" w:cs="Arial"/>
                <w:sz w:val="18"/>
                <w:szCs w:val="18"/>
                <w:lang w:val="sv-FI"/>
              </w:rPr>
              <w:t>B.15</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Angka</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Partisipasi</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Sekolah</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(APS)</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7</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18</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Kesetaraan</w:t>
            </w:r>
          </w:p>
        </w:tc>
      </w:tr>
      <w:tr w:rsidR="008379CA" w:rsidRPr="008379CA" w14:paraId="3C1A73D6" w14:textId="77777777" w:rsidTr="00645FDE">
        <w:trPr>
          <w:trHeight w:val="90"/>
          <w:jc w:val="center"/>
        </w:trPr>
        <w:tc>
          <w:tcPr>
            <w:tcW w:w="584" w:type="dxa"/>
            <w:tcMar>
              <w:top w:w="100" w:type="dxa"/>
              <w:left w:w="100" w:type="dxa"/>
              <w:bottom w:w="100" w:type="dxa"/>
              <w:right w:w="100" w:type="dxa"/>
            </w:tcMar>
            <w:vAlign w:val="center"/>
          </w:tcPr>
          <w:p w14:paraId="050FD273" w14:textId="767F31E8" w:rsidR="00BF3BC0" w:rsidRPr="008379CA" w:rsidRDefault="0085724C" w:rsidP="0085724C">
            <w:pPr>
              <w:widowControl w:val="0"/>
              <w:jc w:val="center"/>
              <w:rPr>
                <w:rFonts w:ascii="Bookman Old Style" w:eastAsia="Bookman Old Style" w:hAnsi="Bookman Old Style" w:cs="Bookman Old Style"/>
                <w:sz w:val="18"/>
                <w:szCs w:val="18"/>
              </w:rPr>
            </w:pPr>
            <w:r w:rsidRPr="008379CA">
              <w:rPr>
                <w:rFonts w:ascii="Bookman Old Style" w:eastAsia="Bookman Old Style" w:hAnsi="Bookman Old Style" w:cs="Bookman Old Style"/>
                <w:sz w:val="18"/>
                <w:szCs w:val="18"/>
              </w:rPr>
              <w:t>13</w:t>
            </w:r>
          </w:p>
        </w:tc>
        <w:tc>
          <w:tcPr>
            <w:tcW w:w="1886" w:type="dxa"/>
            <w:tcMar>
              <w:top w:w="100" w:type="dxa"/>
              <w:left w:w="100" w:type="dxa"/>
              <w:bottom w:w="100" w:type="dxa"/>
              <w:right w:w="100" w:type="dxa"/>
            </w:tcMar>
            <w:vAlign w:val="center"/>
          </w:tcPr>
          <w:p w14:paraId="4B092732" w14:textId="03FD769A" w:rsidR="00BF3BC0" w:rsidRPr="008379CA" w:rsidRDefault="00BF3BC0" w:rsidP="0085724C">
            <w:pPr>
              <w:widowControl w:val="0"/>
              <w:rPr>
                <w:rFonts w:ascii="Bookman Old Style" w:eastAsia="Bookman Old Style" w:hAnsi="Bookman Old Style" w:cs="Bookman Old Style"/>
                <w:sz w:val="18"/>
                <w:szCs w:val="18"/>
              </w:rPr>
            </w:pPr>
            <w:r w:rsidRPr="008379CA">
              <w:rPr>
                <w:rFonts w:ascii="Bookman Old Style" w:hAnsi="Bookman Old Style" w:cs="Arial"/>
                <w:sz w:val="18"/>
                <w:szCs w:val="18"/>
              </w:rPr>
              <w:t>1.01.02.2.04.0042</w:t>
            </w:r>
          </w:p>
        </w:tc>
        <w:tc>
          <w:tcPr>
            <w:tcW w:w="3373" w:type="dxa"/>
            <w:tcMar>
              <w:top w:w="100" w:type="dxa"/>
              <w:left w:w="100" w:type="dxa"/>
              <w:bottom w:w="100" w:type="dxa"/>
              <w:right w:w="100" w:type="dxa"/>
            </w:tcMar>
            <w:vAlign w:val="center"/>
          </w:tcPr>
          <w:p w14:paraId="39318374" w14:textId="5B9BEFB9" w:rsidR="00BF3BC0" w:rsidRPr="008379CA" w:rsidRDefault="00BF3BC0" w:rsidP="0085724C">
            <w:pPr>
              <w:widowControl w:val="0"/>
              <w:jc w:val="both"/>
              <w:rPr>
                <w:rFonts w:ascii="Bookman Old Style" w:eastAsia="Bookman Old Style" w:hAnsi="Bookman Old Style" w:cs="Bookman Old Style"/>
                <w:sz w:val="18"/>
                <w:szCs w:val="18"/>
                <w:lang w:val="sv-FI"/>
              </w:rPr>
            </w:pPr>
            <w:r w:rsidRPr="008379CA">
              <w:rPr>
                <w:rFonts w:ascii="Bookman Old Style" w:hAnsi="Bookman Old Style" w:cs="Arial"/>
                <w:sz w:val="18"/>
                <w:szCs w:val="18"/>
                <w:lang w:val="sv-FI"/>
              </w:rPr>
              <w:t>Bimbingan</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Teknis,</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Pelatihan,</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dan/atau</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Magang/PKL</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untuk</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Peningkatan</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Kapasitas</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Bidang</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Pendidikan</w:t>
            </w:r>
          </w:p>
        </w:tc>
        <w:tc>
          <w:tcPr>
            <w:tcW w:w="1251" w:type="dxa"/>
            <w:tcMar>
              <w:top w:w="100" w:type="dxa"/>
              <w:left w:w="100" w:type="dxa"/>
              <w:bottom w:w="100" w:type="dxa"/>
              <w:right w:w="100" w:type="dxa"/>
            </w:tcMar>
            <w:vAlign w:val="center"/>
          </w:tcPr>
          <w:p w14:paraId="3B8CCE42" w14:textId="1504D80B" w:rsidR="00BF3BC0" w:rsidRPr="008379CA" w:rsidRDefault="00BF3BC0" w:rsidP="0085724C">
            <w:pPr>
              <w:widowControl w:val="0"/>
              <w:jc w:val="center"/>
              <w:rPr>
                <w:rFonts w:ascii="Bookman Old Style" w:eastAsia="Bookman Old Style" w:hAnsi="Bookman Old Style" w:cs="Bookman Old Style"/>
                <w:sz w:val="18"/>
                <w:szCs w:val="18"/>
              </w:rPr>
            </w:pPr>
            <w:r w:rsidRPr="008379CA">
              <w:rPr>
                <w:rFonts w:ascii="Bookman Old Style" w:hAnsi="Bookman Old Style" w:cs="Arial"/>
                <w:sz w:val="18"/>
                <w:szCs w:val="18"/>
              </w:rPr>
              <w:t>Kesetaraan</w:t>
            </w:r>
          </w:p>
        </w:tc>
        <w:tc>
          <w:tcPr>
            <w:tcW w:w="3450" w:type="dxa"/>
            <w:tcMar>
              <w:top w:w="100" w:type="dxa"/>
              <w:left w:w="100" w:type="dxa"/>
              <w:bottom w:w="100" w:type="dxa"/>
              <w:right w:w="100" w:type="dxa"/>
            </w:tcMar>
            <w:vAlign w:val="center"/>
          </w:tcPr>
          <w:p w14:paraId="23D1A101" w14:textId="269A56CF" w:rsidR="00BF3BC0" w:rsidRPr="008379CA" w:rsidRDefault="00BF3BC0" w:rsidP="0085724C">
            <w:pPr>
              <w:widowControl w:val="0"/>
              <w:rPr>
                <w:rFonts w:ascii="Bookman Old Style" w:eastAsia="Bookman Old Style" w:hAnsi="Bookman Old Style" w:cs="Bookman Old Style"/>
                <w:sz w:val="18"/>
                <w:szCs w:val="18"/>
                <w:lang w:val="sv-FI"/>
              </w:rPr>
            </w:pPr>
            <w:r w:rsidRPr="008379CA">
              <w:rPr>
                <w:rFonts w:ascii="Bookman Old Style" w:hAnsi="Bookman Old Style" w:cs="Arial"/>
                <w:sz w:val="18"/>
                <w:szCs w:val="18"/>
                <w:lang w:val="sv-FI"/>
              </w:rPr>
              <w:t>B.15</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Angka</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Partisipasi</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Sekolah</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(APS)</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7</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18</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Kesetaraan</w:t>
            </w:r>
          </w:p>
        </w:tc>
      </w:tr>
      <w:tr w:rsidR="008379CA" w:rsidRPr="008379CA" w14:paraId="047E7421" w14:textId="77777777" w:rsidTr="00645FDE">
        <w:trPr>
          <w:trHeight w:val="25"/>
          <w:jc w:val="center"/>
        </w:trPr>
        <w:tc>
          <w:tcPr>
            <w:tcW w:w="584" w:type="dxa"/>
            <w:tcMar>
              <w:top w:w="100" w:type="dxa"/>
              <w:left w:w="100" w:type="dxa"/>
              <w:bottom w:w="100" w:type="dxa"/>
              <w:right w:w="100" w:type="dxa"/>
            </w:tcMar>
            <w:vAlign w:val="center"/>
          </w:tcPr>
          <w:p w14:paraId="778E7E16" w14:textId="1BA96D0B" w:rsidR="00BF3BC0" w:rsidRPr="008379CA" w:rsidRDefault="0085724C" w:rsidP="0085724C">
            <w:pPr>
              <w:widowControl w:val="0"/>
              <w:jc w:val="center"/>
              <w:rPr>
                <w:rFonts w:ascii="Bookman Old Style" w:eastAsia="Bookman Old Style" w:hAnsi="Bookman Old Style" w:cs="Bookman Old Style"/>
                <w:sz w:val="18"/>
                <w:szCs w:val="18"/>
              </w:rPr>
            </w:pPr>
            <w:r w:rsidRPr="008379CA">
              <w:rPr>
                <w:rFonts w:ascii="Bookman Old Style" w:eastAsia="Bookman Old Style" w:hAnsi="Bookman Old Style" w:cs="Bookman Old Style"/>
                <w:sz w:val="18"/>
                <w:szCs w:val="18"/>
              </w:rPr>
              <w:t>14</w:t>
            </w:r>
          </w:p>
        </w:tc>
        <w:tc>
          <w:tcPr>
            <w:tcW w:w="1886" w:type="dxa"/>
            <w:tcMar>
              <w:top w:w="100" w:type="dxa"/>
              <w:left w:w="100" w:type="dxa"/>
              <w:bottom w:w="100" w:type="dxa"/>
              <w:right w:w="100" w:type="dxa"/>
            </w:tcMar>
            <w:vAlign w:val="center"/>
          </w:tcPr>
          <w:p w14:paraId="30881664" w14:textId="4FB67F43" w:rsidR="00BF3BC0" w:rsidRPr="008379CA" w:rsidRDefault="00BF3BC0" w:rsidP="0085724C">
            <w:pPr>
              <w:widowControl w:val="0"/>
              <w:rPr>
                <w:rFonts w:ascii="Bookman Old Style" w:eastAsia="Bookman Old Style" w:hAnsi="Bookman Old Style" w:cs="Bookman Old Style"/>
                <w:sz w:val="18"/>
                <w:szCs w:val="18"/>
              </w:rPr>
            </w:pPr>
            <w:r w:rsidRPr="008379CA">
              <w:rPr>
                <w:rFonts w:ascii="Bookman Old Style" w:hAnsi="Bookman Old Style" w:cs="Arial"/>
                <w:sz w:val="18"/>
                <w:szCs w:val="18"/>
              </w:rPr>
              <w:t>1.01.02.2.04.0061</w:t>
            </w:r>
          </w:p>
        </w:tc>
        <w:tc>
          <w:tcPr>
            <w:tcW w:w="3373" w:type="dxa"/>
            <w:tcMar>
              <w:top w:w="100" w:type="dxa"/>
              <w:left w:w="100" w:type="dxa"/>
              <w:bottom w:w="100" w:type="dxa"/>
              <w:right w:w="100" w:type="dxa"/>
            </w:tcMar>
            <w:vAlign w:val="center"/>
          </w:tcPr>
          <w:p w14:paraId="6FCFD2AA" w14:textId="27E2E54B" w:rsidR="00BF3BC0" w:rsidRPr="008379CA" w:rsidRDefault="00BF3BC0" w:rsidP="0085724C">
            <w:pPr>
              <w:widowControl w:val="0"/>
              <w:jc w:val="both"/>
              <w:rPr>
                <w:rFonts w:ascii="Bookman Old Style" w:eastAsia="Bookman Old Style" w:hAnsi="Bookman Old Style" w:cs="Bookman Old Style"/>
                <w:sz w:val="18"/>
                <w:szCs w:val="18"/>
                <w:lang w:val="sv-FI"/>
              </w:rPr>
            </w:pPr>
            <w:r w:rsidRPr="008379CA">
              <w:rPr>
                <w:rFonts w:ascii="Bookman Old Style" w:hAnsi="Bookman Old Style" w:cs="Arial"/>
                <w:sz w:val="18"/>
                <w:szCs w:val="18"/>
                <w:lang w:val="sv-FI"/>
              </w:rPr>
              <w:t>Rehabilitasi</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Sedang/Berat</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Ruang</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Kelas</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Sekolah</w:t>
            </w:r>
          </w:p>
        </w:tc>
        <w:tc>
          <w:tcPr>
            <w:tcW w:w="1251" w:type="dxa"/>
            <w:tcMar>
              <w:top w:w="100" w:type="dxa"/>
              <w:left w:w="100" w:type="dxa"/>
              <w:bottom w:w="100" w:type="dxa"/>
              <w:right w:w="100" w:type="dxa"/>
            </w:tcMar>
            <w:vAlign w:val="center"/>
          </w:tcPr>
          <w:p w14:paraId="12D1C9E2" w14:textId="6CDBAF46" w:rsidR="00BF3BC0" w:rsidRPr="008379CA" w:rsidRDefault="00BF3BC0" w:rsidP="0085724C">
            <w:pPr>
              <w:widowControl w:val="0"/>
              <w:jc w:val="center"/>
              <w:rPr>
                <w:rFonts w:ascii="Bookman Old Style" w:eastAsia="Bookman Old Style" w:hAnsi="Bookman Old Style" w:cs="Bookman Old Style"/>
                <w:sz w:val="18"/>
                <w:szCs w:val="18"/>
              </w:rPr>
            </w:pPr>
            <w:r w:rsidRPr="008379CA">
              <w:rPr>
                <w:rFonts w:ascii="Bookman Old Style" w:hAnsi="Bookman Old Style" w:cs="Arial"/>
                <w:sz w:val="18"/>
                <w:szCs w:val="18"/>
              </w:rPr>
              <w:t>Kesetaraan</w:t>
            </w:r>
          </w:p>
        </w:tc>
        <w:tc>
          <w:tcPr>
            <w:tcW w:w="3450" w:type="dxa"/>
            <w:tcMar>
              <w:top w:w="100" w:type="dxa"/>
              <w:left w:w="100" w:type="dxa"/>
              <w:bottom w:w="100" w:type="dxa"/>
              <w:right w:w="100" w:type="dxa"/>
            </w:tcMar>
            <w:vAlign w:val="center"/>
          </w:tcPr>
          <w:p w14:paraId="153A9BFA" w14:textId="16D2EACD" w:rsidR="00BF3BC0" w:rsidRPr="008379CA" w:rsidRDefault="00BF3BC0" w:rsidP="0085724C">
            <w:pPr>
              <w:widowControl w:val="0"/>
              <w:rPr>
                <w:rFonts w:ascii="Bookman Old Style" w:eastAsia="Bookman Old Style" w:hAnsi="Bookman Old Style" w:cs="Bookman Old Style"/>
                <w:sz w:val="18"/>
                <w:szCs w:val="18"/>
                <w:lang w:val="sv-FI"/>
              </w:rPr>
            </w:pPr>
            <w:r w:rsidRPr="008379CA">
              <w:rPr>
                <w:rFonts w:ascii="Bookman Old Style" w:hAnsi="Bookman Old Style" w:cs="Arial"/>
                <w:sz w:val="18"/>
                <w:szCs w:val="18"/>
                <w:lang w:val="sv-FI"/>
              </w:rPr>
              <w:t>B.15</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Angka</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Partisipasi</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Sekolah</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(APS)</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7</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18</w:t>
            </w:r>
            <w:r w:rsidR="00A954D0" w:rsidRPr="008379CA">
              <w:rPr>
                <w:rFonts w:ascii="Bookman Old Style" w:hAnsi="Bookman Old Style" w:cs="Arial"/>
                <w:sz w:val="18"/>
                <w:szCs w:val="18"/>
                <w:lang w:val="sv-FI"/>
              </w:rPr>
              <w:t xml:space="preserve"> </w:t>
            </w:r>
            <w:r w:rsidRPr="008379CA">
              <w:rPr>
                <w:rFonts w:ascii="Bookman Old Style" w:hAnsi="Bookman Old Style" w:cs="Arial"/>
                <w:sz w:val="18"/>
                <w:szCs w:val="18"/>
                <w:lang w:val="sv-FI"/>
              </w:rPr>
              <w:t>Kesetaraan</w:t>
            </w:r>
          </w:p>
        </w:tc>
      </w:tr>
    </w:tbl>
    <w:p w14:paraId="490DF6C0" w14:textId="4BDCF8C1" w:rsidR="00127869" w:rsidRPr="008379CA" w:rsidRDefault="00127869" w:rsidP="00CE715C">
      <w:pPr>
        <w:pStyle w:val="ListParagraph"/>
        <w:spacing w:before="60" w:after="0" w:line="276" w:lineRule="auto"/>
        <w:ind w:left="1276"/>
        <w:contextualSpacing w:val="0"/>
        <w:jc w:val="both"/>
        <w:rPr>
          <w:rFonts w:ascii="Bookman Old Style" w:hAnsi="Bookman Old Style" w:cs="Arial"/>
          <w:sz w:val="24"/>
          <w:szCs w:val="24"/>
        </w:rPr>
      </w:pPr>
      <w:r w:rsidRPr="008379CA">
        <w:rPr>
          <w:rFonts w:ascii="Bookman Old Style" w:hAnsi="Bookman Old Style" w:cs="Arial"/>
          <w:sz w:val="24"/>
          <w:szCs w:val="24"/>
          <w:lang w:val="sv-FI"/>
        </w:rPr>
        <w:t>Penganggaran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sub</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kegiatan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dimaksud</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agar</w:t>
      </w:r>
      <w:r w:rsidR="00A954D0" w:rsidRPr="008379CA">
        <w:rPr>
          <w:rFonts w:ascii="Bookman Old Style" w:hAnsi="Bookman Old Style" w:cs="Arial"/>
          <w:sz w:val="24"/>
          <w:szCs w:val="24"/>
          <w:lang w:val="sv-FI"/>
        </w:rPr>
        <w:t xml:space="preserve"> </w:t>
      </w:r>
      <w:r w:rsidRPr="008379CA">
        <w:rPr>
          <w:rFonts w:ascii="Bookman Old Style" w:hAnsi="Bookman Old Style"/>
          <w:sz w:val="24"/>
          <w:szCs w:val="24"/>
        </w:rPr>
        <w:t>diprioritaskan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untuk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memenuhi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pencapaian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SPM</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Pendidikan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untuk</w:t>
      </w:r>
      <w:r w:rsidR="00A954D0" w:rsidRPr="008379CA">
        <w:rPr>
          <w:rFonts w:ascii="Bookman Old Style" w:hAnsi="Bookman Old Style" w:cs="Arial"/>
          <w:sz w:val="24"/>
          <w:szCs w:val="24"/>
        </w:rPr>
        <w:t xml:space="preserve"> </w:t>
      </w:r>
      <w:r w:rsidR="00172E1C" w:rsidRPr="008379CA">
        <w:rPr>
          <w:rFonts w:ascii="Bookman Old Style" w:hAnsi="Bookman Old Style"/>
          <w:sz w:val="24"/>
          <w:szCs w:val="24"/>
          <w:lang w:val="id-ID"/>
        </w:rPr>
        <w:t>Kabupaten/Kota</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sebagaimana</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diamanatkan</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dalam</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rPr>
        <w:t>Peraturan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Pemerintah</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Nomor</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2</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Tahun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2018</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tentang</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Standar</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Pelayanan</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Minimal</w:t>
      </w:r>
      <w:r w:rsidRPr="008379CA">
        <w:rPr>
          <w:rFonts w:ascii="Bookman Old Style" w:hAnsi="Bookman Old Style" w:cs="Arial"/>
          <w:sz w:val="24"/>
          <w:szCs w:val="24"/>
        </w:rPr>
        <w:t>,</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rPr>
        <w:t>Peraturan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Menteri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Dalam</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Negeri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Nomor</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lang w:val="fi-FI"/>
        </w:rPr>
        <w:t>59</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Tahun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20</w:t>
      </w:r>
      <w:r w:rsidRPr="008379CA">
        <w:rPr>
          <w:rFonts w:ascii="Bookman Old Style" w:hAnsi="Bookman Old Style" w:cs="Arial"/>
          <w:sz w:val="24"/>
          <w:szCs w:val="24"/>
          <w:lang w:val="fi-FI"/>
        </w:rPr>
        <w:t>21</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tentang</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Penerapan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Standar</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Pelayanan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Minimal</w:t>
      </w:r>
      <w:r w:rsidRPr="008379CA">
        <w:rPr>
          <w:rFonts w:ascii="Bookman Old Style" w:hAnsi="Bookman Old Style" w:cs="Arial"/>
          <w:sz w:val="24"/>
          <w:szCs w:val="24"/>
          <w:lang w:val="fi-FI"/>
        </w:rPr>
        <w:t>,</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Peraturan</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Menteri</w:t>
      </w:r>
      <w:r w:rsidR="00A954D0" w:rsidRPr="008379CA">
        <w:rPr>
          <w:rFonts w:ascii="Bookman Old Style" w:hAnsi="Bookman Old Style" w:cs="Arial"/>
          <w:sz w:val="24"/>
          <w:szCs w:val="24"/>
          <w:lang w:val="fi-FI"/>
        </w:rPr>
        <w:t xml:space="preserve"> </w:t>
      </w:r>
      <w:r w:rsidRPr="008379CA">
        <w:rPr>
          <w:rFonts w:ascii="Bookman Old Style" w:eastAsia="Bookman Old Style" w:hAnsi="Bookman Old Style" w:cs="Bookman Old Style"/>
          <w:sz w:val="24"/>
          <w:szCs w:val="24"/>
          <w:lang w:val="sv-FI"/>
        </w:rPr>
        <w:t>Pendidikan</w:t>
      </w:r>
      <w:r w:rsidRPr="008379CA">
        <w:rPr>
          <w:rFonts w:ascii="Bookman Old Style" w:hAnsi="Bookman Old Style" w:cs="Arial"/>
          <w:sz w:val="24"/>
          <w:szCs w:val="24"/>
          <w:lang w:val="fi-FI"/>
        </w:rPr>
        <w:t>,</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Kebudayaan,</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Riset,</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dan</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Teknologi</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Nomor</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32</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Tahun</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2022</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tentang</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Standar</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Teknis</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Pelayanan</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Minimal</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Pendidikan</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yang</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dirincikan</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secara</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spesifik</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dalam</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rapor</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pendidikan</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daerah</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masing-masing</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Pemerintah</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Daerah</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sebagaimana</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tertuang</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dalam</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Peraturan</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Menteri</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Pendidikan,</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lastRenderedPageBreak/>
        <w:t>Kebudayaan,</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Riset,</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dan</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Teknologi</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Nomor</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9</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tahun</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2022</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tentang</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Evaluasi</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Sistem</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Pendidikan</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oleh</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Pemerintah</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Pusat</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dan</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Pemerintah</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Daerah</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terhadap</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Pendidikan</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Anak</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Usia</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Dini,</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Pendidikan</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Dasar,</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dan</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Pendidikan</w:t>
      </w:r>
      <w:r w:rsidR="00A954D0" w:rsidRPr="008379CA">
        <w:rPr>
          <w:rFonts w:ascii="Bookman Old Style" w:hAnsi="Bookman Old Style" w:cs="Arial"/>
          <w:sz w:val="24"/>
          <w:szCs w:val="24"/>
          <w:lang w:val="fi-FI"/>
        </w:rPr>
        <w:t xml:space="preserve"> </w:t>
      </w:r>
      <w:r w:rsidRPr="008379CA">
        <w:rPr>
          <w:rFonts w:ascii="Bookman Old Style" w:hAnsi="Bookman Old Style" w:cs="Arial"/>
          <w:sz w:val="24"/>
          <w:szCs w:val="24"/>
          <w:lang w:val="fi-FI"/>
        </w:rPr>
        <w:t>Menengah,</w:t>
      </w:r>
      <w:r w:rsidR="00A954D0" w:rsidRPr="008379CA">
        <w:rPr>
          <w:rFonts w:ascii="Bookman Old Style" w:hAnsi="Bookman Old Style" w:cs="Arial"/>
          <w:sz w:val="24"/>
          <w:szCs w:val="24"/>
          <w:lang w:val="fi-FI"/>
        </w:rPr>
        <w:t xml:space="preserve"> </w:t>
      </w:r>
      <w:r w:rsidR="00225C0D" w:rsidRPr="008379CA">
        <w:rPr>
          <w:rFonts w:ascii="Bookman Old Style" w:hAnsi="Bookman Old Style" w:cs="Arial"/>
          <w:sz w:val="24"/>
          <w:szCs w:val="24"/>
          <w:lang w:val="fi-FI"/>
        </w:rPr>
        <w:t>serta</w:t>
      </w:r>
      <w:r w:rsidR="00A954D0" w:rsidRPr="008379CA">
        <w:rPr>
          <w:rFonts w:ascii="Bookman Old Style" w:hAnsi="Bookman Old Style" w:cs="Arial"/>
          <w:sz w:val="24"/>
          <w:szCs w:val="24"/>
          <w:lang w:val="fi-FI"/>
        </w:rPr>
        <w:t xml:space="preserve"> </w:t>
      </w:r>
      <w:r w:rsidR="00225C0D" w:rsidRPr="008379CA">
        <w:rPr>
          <w:rFonts w:ascii="Bookman Old Style" w:hAnsi="Bookman Old Style"/>
          <w:sz w:val="24"/>
          <w:szCs w:val="24"/>
        </w:rPr>
        <w:t>butir</w:t>
      </w:r>
      <w:r w:rsidR="00A954D0" w:rsidRPr="008379CA">
        <w:rPr>
          <w:rFonts w:ascii="Bookman Old Style" w:hAnsi="Bookman Old Style"/>
          <w:sz w:val="24"/>
          <w:szCs w:val="24"/>
        </w:rPr>
        <w:t xml:space="preserve"> </w:t>
      </w:r>
      <w:r w:rsidR="00225C0D" w:rsidRPr="008379CA">
        <w:rPr>
          <w:rFonts w:ascii="Bookman Old Style" w:hAnsi="Bookman Old Style"/>
          <w:sz w:val="24"/>
          <w:szCs w:val="24"/>
          <w:lang w:val="fi-FI"/>
        </w:rPr>
        <w:t>5.2.1.a.1)</w:t>
      </w:r>
      <w:r w:rsidR="00A954D0" w:rsidRPr="008379CA">
        <w:rPr>
          <w:rFonts w:ascii="Bookman Old Style" w:hAnsi="Bookman Old Style"/>
          <w:sz w:val="24"/>
          <w:szCs w:val="24"/>
        </w:rPr>
        <w:t xml:space="preserve"> </w:t>
      </w:r>
      <w:r w:rsidR="00225C0D" w:rsidRPr="008379CA">
        <w:rPr>
          <w:rFonts w:ascii="Bookman Old Style" w:hAnsi="Bookman Old Style"/>
          <w:sz w:val="24"/>
          <w:szCs w:val="24"/>
        </w:rPr>
        <w:t>Lampiran</w:t>
      </w:r>
      <w:r w:rsidR="00A954D0" w:rsidRPr="008379CA">
        <w:rPr>
          <w:rFonts w:ascii="Bookman Old Style" w:hAnsi="Bookman Old Style"/>
          <w:sz w:val="24"/>
          <w:szCs w:val="24"/>
        </w:rPr>
        <w:t xml:space="preserve"> </w:t>
      </w:r>
      <w:r w:rsidR="00225C0D" w:rsidRPr="008379CA">
        <w:rPr>
          <w:rFonts w:ascii="Bookman Old Style" w:hAnsi="Bookman Old Style"/>
          <w:sz w:val="24"/>
          <w:szCs w:val="24"/>
        </w:rPr>
        <w:t>Peraturan</w:t>
      </w:r>
      <w:r w:rsidR="00A954D0" w:rsidRPr="008379CA">
        <w:rPr>
          <w:rFonts w:ascii="Bookman Old Style" w:hAnsi="Bookman Old Style"/>
          <w:sz w:val="24"/>
          <w:szCs w:val="24"/>
        </w:rPr>
        <w:t xml:space="preserve"> </w:t>
      </w:r>
      <w:r w:rsidR="00225C0D" w:rsidRPr="008379CA">
        <w:rPr>
          <w:rFonts w:ascii="Bookman Old Style" w:hAnsi="Bookman Old Style"/>
          <w:sz w:val="24"/>
          <w:szCs w:val="24"/>
        </w:rPr>
        <w:t>Menteri</w:t>
      </w:r>
      <w:r w:rsidR="00A954D0" w:rsidRPr="008379CA">
        <w:rPr>
          <w:rFonts w:ascii="Bookman Old Style" w:hAnsi="Bookman Old Style"/>
          <w:sz w:val="24"/>
          <w:szCs w:val="24"/>
        </w:rPr>
        <w:t xml:space="preserve"> </w:t>
      </w:r>
      <w:r w:rsidR="00225C0D"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00225C0D" w:rsidRPr="008379CA">
        <w:rPr>
          <w:rFonts w:ascii="Bookman Old Style" w:hAnsi="Bookman Old Style"/>
          <w:sz w:val="24"/>
          <w:szCs w:val="24"/>
        </w:rPr>
        <w:t>Negeri</w:t>
      </w:r>
      <w:r w:rsidR="00A954D0" w:rsidRPr="008379CA">
        <w:rPr>
          <w:rFonts w:ascii="Bookman Old Style" w:hAnsi="Bookman Old Style"/>
          <w:sz w:val="24"/>
          <w:szCs w:val="24"/>
        </w:rPr>
        <w:t xml:space="preserve"> </w:t>
      </w:r>
      <w:r w:rsidR="00225C0D" w:rsidRPr="008379CA">
        <w:rPr>
          <w:rFonts w:ascii="Bookman Old Style" w:hAnsi="Bookman Old Style"/>
          <w:sz w:val="24"/>
          <w:szCs w:val="24"/>
        </w:rPr>
        <w:t>Nomor</w:t>
      </w:r>
      <w:r w:rsidR="00A954D0" w:rsidRPr="008379CA">
        <w:rPr>
          <w:rFonts w:ascii="Bookman Old Style" w:hAnsi="Bookman Old Style"/>
          <w:sz w:val="24"/>
          <w:szCs w:val="24"/>
        </w:rPr>
        <w:t xml:space="preserve"> </w:t>
      </w:r>
      <w:r w:rsidR="00225C0D" w:rsidRPr="008379CA">
        <w:rPr>
          <w:rFonts w:ascii="Bookman Old Style" w:hAnsi="Bookman Old Style"/>
          <w:sz w:val="24"/>
          <w:szCs w:val="24"/>
          <w:lang w:val="fi-FI"/>
        </w:rPr>
        <w:t>15</w:t>
      </w:r>
      <w:r w:rsidR="00A954D0" w:rsidRPr="008379CA">
        <w:rPr>
          <w:rFonts w:ascii="Bookman Old Style" w:hAnsi="Bookman Old Style"/>
          <w:sz w:val="24"/>
          <w:szCs w:val="24"/>
        </w:rPr>
        <w:t xml:space="preserve"> </w:t>
      </w:r>
      <w:r w:rsidR="00225C0D"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00225C0D" w:rsidRPr="008379CA">
        <w:rPr>
          <w:rFonts w:ascii="Bookman Old Style" w:hAnsi="Bookman Old Style"/>
          <w:sz w:val="24"/>
          <w:szCs w:val="24"/>
        </w:rPr>
        <w:t>202</w:t>
      </w:r>
      <w:r w:rsidR="00225C0D" w:rsidRPr="008379CA">
        <w:rPr>
          <w:rFonts w:ascii="Bookman Old Style" w:hAnsi="Bookman Old Style"/>
          <w:sz w:val="24"/>
          <w:szCs w:val="24"/>
          <w:lang w:val="fi-FI"/>
        </w:rPr>
        <w:t>4</w:t>
      </w:r>
      <w:r w:rsidRPr="008379CA">
        <w:rPr>
          <w:rFonts w:ascii="Bookman Old Style" w:hAnsi="Bookman Old Style" w:cs="Arial"/>
          <w:sz w:val="24"/>
          <w:szCs w:val="24"/>
        </w:rPr>
        <w:t>.</w:t>
      </w:r>
    </w:p>
    <w:p w14:paraId="5995E2D1" w14:textId="54BC09C3" w:rsidR="00BB2062" w:rsidRPr="008379CA" w:rsidRDefault="00BB2062" w:rsidP="00CE715C">
      <w:pPr>
        <w:pStyle w:val="ListParagraph"/>
        <w:numPr>
          <w:ilvl w:val="6"/>
          <w:numId w:val="107"/>
        </w:numPr>
        <w:spacing w:before="120" w:after="0" w:line="276" w:lineRule="auto"/>
        <w:ind w:left="1276" w:hanging="284"/>
        <w:contextualSpacing w:val="0"/>
        <w:jc w:val="both"/>
        <w:rPr>
          <w:rFonts w:ascii="Bookman Old Style" w:hAnsi="Bookman Old Style" w:cs="Arial"/>
          <w:sz w:val="24"/>
          <w:szCs w:val="24"/>
        </w:rPr>
      </w:pPr>
      <w:r w:rsidRPr="008379CA">
        <w:rPr>
          <w:rFonts w:ascii="Bookman Old Style" w:hAnsi="Bookman Old Style" w:cs="Arial"/>
          <w:sz w:val="24"/>
          <w:szCs w:val="24"/>
        </w:rPr>
        <w:t>SPM</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Bidang</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Kesehatan</w:t>
      </w:r>
      <w:r w:rsidR="00A954D0" w:rsidRPr="008379CA">
        <w:rPr>
          <w:rFonts w:ascii="Bookman Old Style" w:hAnsi="Bookman Old Style" w:cs="Arial"/>
          <w:sz w:val="24"/>
          <w:szCs w:val="24"/>
        </w:rPr>
        <w:t xml:space="preserve"> </w:t>
      </w:r>
    </w:p>
    <w:p w14:paraId="662B4A25" w14:textId="5FA9298F" w:rsidR="00BB2062" w:rsidRPr="008379CA" w:rsidRDefault="00BB2062" w:rsidP="00CE715C">
      <w:pPr>
        <w:pStyle w:val="ListParagraph"/>
        <w:spacing w:before="60" w:after="0" w:line="276" w:lineRule="auto"/>
        <w:ind w:left="1276"/>
        <w:contextualSpacing w:val="0"/>
        <w:jc w:val="both"/>
        <w:rPr>
          <w:rFonts w:ascii="Bookman Old Style" w:hAnsi="Bookman Old Style"/>
          <w:sz w:val="24"/>
          <w:szCs w:val="24"/>
          <w:lang w:val="id-ID"/>
        </w:rPr>
      </w:pPr>
      <w:r w:rsidRPr="008379CA">
        <w:rPr>
          <w:rFonts w:ascii="Bookman Old Style" w:hAnsi="Bookman Old Style" w:cs="Arial"/>
          <w:sz w:val="24"/>
          <w:szCs w:val="24"/>
          <w:lang w:val="fi-FI"/>
        </w:rPr>
        <w:t>Alokasi</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anggaran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untuk</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belanja</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SPM</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Kesehatan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Rp</w:t>
      </w:r>
      <w:r w:rsidRPr="008379CA">
        <w:rPr>
          <w:rFonts w:ascii="Bookman Old Style" w:hAnsi="Bookman Old Style"/>
          <w:sz w:val="24"/>
          <w:szCs w:val="24"/>
          <w:lang w:val="sv-FI"/>
        </w:rPr>
        <w:t>6.581.037.800,00</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atau</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0,62</w:t>
      </w:r>
      <w:r w:rsidRPr="008379CA">
        <w:rPr>
          <w:rFonts w:ascii="Bookman Old Style" w:hAnsi="Bookman Old Style"/>
          <w:sz w:val="24"/>
          <w:szCs w:val="24"/>
          <w:lang w:val="id-ID"/>
        </w:rPr>
        <w:t>%</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dari</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total</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belanja</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Urusan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Pemerintahan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Bidang</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Kesehatan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Rp</w:t>
      </w:r>
      <w:r w:rsidRPr="008379CA">
        <w:rPr>
          <w:rFonts w:ascii="Bookman Old Style" w:hAnsi="Bookman Old Style"/>
          <w:sz w:val="24"/>
          <w:szCs w:val="24"/>
          <w:lang w:val="sv-FI"/>
        </w:rPr>
        <w:t>1.048.862.637.795,00</w:t>
      </w:r>
      <w:r w:rsidRPr="008379CA">
        <w:rPr>
          <w:rFonts w:ascii="Bookman Old Style" w:hAnsi="Bookman Old Style"/>
          <w:sz w:val="24"/>
          <w:szCs w:val="24"/>
          <w:lang w:val="id-ID"/>
        </w:rPr>
        <w:t>.</w:t>
      </w:r>
      <w:r w:rsidR="00A954D0" w:rsidRPr="008379CA">
        <w:rPr>
          <w:rFonts w:ascii="Bookman Old Style" w:hAnsi="Bookman Old Style"/>
          <w:sz w:val="24"/>
          <w:szCs w:val="24"/>
          <w:lang w:val="id-ID"/>
        </w:rPr>
        <w:t xml:space="preserve"> </w:t>
      </w:r>
      <w:r w:rsidRPr="008379CA">
        <w:rPr>
          <w:rFonts w:ascii="Bookman Old Style" w:hAnsi="Bookman Old Style" w:cs="Arial"/>
          <w:sz w:val="24"/>
          <w:szCs w:val="24"/>
          <w:lang w:val="id-ID"/>
        </w:rPr>
        <w:t>Alokasi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anggaran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untuk</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belanja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SPM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tersebut</w:t>
      </w:r>
      <w:r w:rsidR="00A954D0" w:rsidRPr="008379CA">
        <w:rPr>
          <w:rFonts w:ascii="Bookman Old Style" w:hAnsi="Bookman Old Style" w:cs="Arial"/>
          <w:sz w:val="24"/>
          <w:szCs w:val="24"/>
          <w:lang w:val="id-ID"/>
        </w:rPr>
        <w:t xml:space="preserve"> </w:t>
      </w:r>
      <w:r w:rsidRPr="008379CA">
        <w:rPr>
          <w:rFonts w:ascii="Bookman Old Style" w:eastAsia="Calibri" w:hAnsi="Bookman Old Style" w:cs="Arial"/>
          <w:sz w:val="24"/>
          <w:szCs w:val="24"/>
          <w:lang w:val="sv-SE"/>
        </w:rPr>
        <w:t>diuraikan</w:t>
      </w:r>
      <w:r w:rsidR="00A954D0" w:rsidRPr="008379CA">
        <w:rPr>
          <w:rFonts w:ascii="Bookman Old Style" w:eastAsia="Calibri" w:hAnsi="Bookman Old Style" w:cs="Arial"/>
          <w:sz w:val="24"/>
          <w:szCs w:val="24"/>
          <w:lang w:val="sv-SE"/>
        </w:rPr>
        <w:t xml:space="preserve"> </w:t>
      </w:r>
      <w:r w:rsidRPr="008379CA">
        <w:rPr>
          <w:rFonts w:ascii="Bookman Old Style" w:eastAsia="Calibri" w:hAnsi="Bookman Old Style" w:cs="Arial"/>
          <w:sz w:val="24"/>
          <w:szCs w:val="24"/>
          <w:lang w:val="sv-SE"/>
        </w:rPr>
        <w:t>dalam</w:t>
      </w:r>
      <w:r w:rsidR="00A954D0" w:rsidRPr="008379CA">
        <w:rPr>
          <w:rFonts w:ascii="Bookman Old Style" w:eastAsia="Calibri" w:hAnsi="Bookman Old Style" w:cs="Arial"/>
          <w:sz w:val="24"/>
          <w:szCs w:val="24"/>
          <w:lang w:val="sv-SE"/>
        </w:rPr>
        <w:t xml:space="preserve"> </w:t>
      </w:r>
      <w:r w:rsidRPr="008379CA">
        <w:rPr>
          <w:rFonts w:ascii="Bookman Old Style" w:eastAsia="Calibri" w:hAnsi="Bookman Old Style" w:cs="Arial"/>
          <w:sz w:val="24"/>
          <w:szCs w:val="24"/>
          <w:lang w:val="sv-SE"/>
        </w:rPr>
        <w:t>jenis</w:t>
      </w:r>
      <w:r w:rsidR="00A954D0" w:rsidRPr="008379CA">
        <w:rPr>
          <w:rFonts w:ascii="Bookman Old Style" w:eastAsia="Calibri" w:hAnsi="Bookman Old Style" w:cs="Arial"/>
          <w:sz w:val="24"/>
          <w:szCs w:val="24"/>
          <w:lang w:val="sv-SE"/>
        </w:rPr>
        <w:t xml:space="preserve"> </w:t>
      </w:r>
      <w:r w:rsidRPr="008379CA">
        <w:rPr>
          <w:rFonts w:ascii="Bookman Old Style" w:eastAsia="Calibri" w:hAnsi="Bookman Old Style" w:cs="Arial"/>
          <w:sz w:val="24"/>
          <w:szCs w:val="24"/>
          <w:lang w:val="sv-SE"/>
        </w:rPr>
        <w:t>pelayanan</w:t>
      </w:r>
      <w:r w:rsidR="00A954D0" w:rsidRPr="008379CA">
        <w:rPr>
          <w:rFonts w:ascii="Bookman Old Style" w:eastAsia="Calibri" w:hAnsi="Bookman Old Style" w:cs="Arial"/>
          <w:sz w:val="24"/>
          <w:szCs w:val="24"/>
          <w:lang w:val="sv-SE"/>
        </w:rPr>
        <w:t xml:space="preserve"> </w:t>
      </w:r>
      <w:r w:rsidRPr="008379CA">
        <w:rPr>
          <w:rFonts w:ascii="Bookman Old Style" w:eastAsia="Calibri" w:hAnsi="Bookman Old Style" w:cs="Arial"/>
          <w:sz w:val="24"/>
          <w:szCs w:val="24"/>
          <w:lang w:val="sv-SE"/>
        </w:rPr>
        <w:t>dasar</w:t>
      </w:r>
      <w:r w:rsidR="00A954D0" w:rsidRPr="008379CA">
        <w:rPr>
          <w:rFonts w:ascii="Bookman Old Style" w:eastAsia="Calibri" w:hAnsi="Bookman Old Style" w:cs="Arial"/>
          <w:sz w:val="24"/>
          <w:szCs w:val="24"/>
          <w:lang w:val="sv-SE"/>
        </w:rPr>
        <w:t xml:space="preserve"> </w:t>
      </w:r>
      <w:r w:rsidRPr="008379CA">
        <w:rPr>
          <w:rFonts w:ascii="Bookman Old Style" w:eastAsia="Calibri" w:hAnsi="Bookman Old Style" w:cs="Arial"/>
          <w:sz w:val="24"/>
          <w:szCs w:val="24"/>
          <w:lang w:val="sv-SE"/>
        </w:rPr>
        <w:t>sebagai</w:t>
      </w:r>
      <w:r w:rsidR="00A954D0" w:rsidRPr="008379CA">
        <w:rPr>
          <w:rFonts w:ascii="Bookman Old Style" w:eastAsia="Calibri" w:hAnsi="Bookman Old Style" w:cs="Arial"/>
          <w:sz w:val="24"/>
          <w:szCs w:val="24"/>
          <w:lang w:val="sv-SE"/>
        </w:rPr>
        <w:t xml:space="preserve"> </w:t>
      </w:r>
      <w:r w:rsidRPr="008379CA">
        <w:rPr>
          <w:rFonts w:ascii="Bookman Old Style" w:eastAsia="Calibri" w:hAnsi="Bookman Old Style" w:cs="Arial"/>
          <w:sz w:val="24"/>
          <w:szCs w:val="24"/>
          <w:lang w:val="sv-SE"/>
        </w:rPr>
        <w:t>berikut</w:t>
      </w:r>
      <w:r w:rsidRPr="008379CA">
        <w:rPr>
          <w:rFonts w:ascii="Bookman Old Style" w:hAnsi="Bookman Old Style"/>
          <w:sz w:val="24"/>
          <w:szCs w:val="24"/>
          <w:lang w:val="id-ID"/>
        </w:rPr>
        <w:t>:</w:t>
      </w:r>
    </w:p>
    <w:p w14:paraId="25C86A46" w14:textId="6C926C1F" w:rsidR="00BB2062" w:rsidRPr="008379CA" w:rsidRDefault="00BB2062" w:rsidP="00CE715C">
      <w:pPr>
        <w:pStyle w:val="ListParagraph"/>
        <w:numPr>
          <w:ilvl w:val="0"/>
          <w:numId w:val="109"/>
        </w:numPr>
        <w:snapToGrid w:val="0"/>
        <w:spacing w:before="60" w:after="0" w:line="276" w:lineRule="auto"/>
        <w:ind w:left="1701" w:hanging="425"/>
        <w:contextualSpacing w:val="0"/>
        <w:jc w:val="both"/>
        <w:rPr>
          <w:rFonts w:ascii="Bookman Old Style" w:hAnsi="Bookman Old Style"/>
          <w:sz w:val="24"/>
          <w:szCs w:val="24"/>
          <w:lang w:val="id-ID"/>
        </w:rPr>
      </w:pPr>
      <w:r w:rsidRPr="008379CA">
        <w:rPr>
          <w:rFonts w:ascii="Bookman Old Style" w:hAnsi="Bookman Old Style"/>
          <w:sz w:val="24"/>
          <w:szCs w:val="24"/>
          <w:lang w:val="sv-FI"/>
        </w:rPr>
        <w:t>Pelayanan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Kesehatan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Ibu</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Hamil</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Rp1.858.262.000,00;</w:t>
      </w:r>
    </w:p>
    <w:p w14:paraId="14A1CA70" w14:textId="6D3CF2DB" w:rsidR="00BB2062" w:rsidRPr="008379CA" w:rsidRDefault="00BB2062" w:rsidP="00CE715C">
      <w:pPr>
        <w:pStyle w:val="ListParagraph"/>
        <w:numPr>
          <w:ilvl w:val="0"/>
          <w:numId w:val="109"/>
        </w:numPr>
        <w:snapToGrid w:val="0"/>
        <w:spacing w:before="60" w:after="0" w:line="276" w:lineRule="auto"/>
        <w:ind w:left="1701" w:hanging="425"/>
        <w:contextualSpacing w:val="0"/>
        <w:jc w:val="both"/>
        <w:rPr>
          <w:rFonts w:ascii="Bookman Old Style" w:hAnsi="Bookman Old Style"/>
          <w:sz w:val="24"/>
          <w:szCs w:val="24"/>
          <w:lang w:val="id-ID"/>
        </w:rPr>
      </w:pPr>
      <w:r w:rsidRPr="008379CA">
        <w:rPr>
          <w:rFonts w:ascii="Bookman Old Style" w:hAnsi="Bookman Old Style"/>
          <w:sz w:val="24"/>
          <w:szCs w:val="24"/>
          <w:lang w:val="sv-FI"/>
        </w:rPr>
        <w:t>Pelayanan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Kesehatan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Ibu</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Bersalin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Rp314.164.800,00;</w:t>
      </w:r>
    </w:p>
    <w:p w14:paraId="1DDFD759" w14:textId="5FB3A951" w:rsidR="00BB2062" w:rsidRPr="008379CA" w:rsidRDefault="00BB2062" w:rsidP="00CE715C">
      <w:pPr>
        <w:pStyle w:val="ListParagraph"/>
        <w:numPr>
          <w:ilvl w:val="0"/>
          <w:numId w:val="109"/>
        </w:numPr>
        <w:snapToGrid w:val="0"/>
        <w:spacing w:before="60" w:after="0" w:line="276" w:lineRule="auto"/>
        <w:ind w:left="1701" w:hanging="425"/>
        <w:contextualSpacing w:val="0"/>
        <w:jc w:val="both"/>
        <w:rPr>
          <w:rFonts w:ascii="Bookman Old Style" w:hAnsi="Bookman Old Style"/>
          <w:sz w:val="24"/>
          <w:szCs w:val="24"/>
          <w:lang w:val="id-ID"/>
        </w:rPr>
      </w:pPr>
      <w:r w:rsidRPr="008379CA">
        <w:rPr>
          <w:rFonts w:ascii="Bookman Old Style" w:hAnsi="Bookman Old Style"/>
          <w:sz w:val="24"/>
          <w:szCs w:val="24"/>
          <w:lang w:val="sv-FI"/>
        </w:rPr>
        <w:t>Pelayanan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Kesehatan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Bayi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Baru</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Lahir</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Rp1.055.000.000,00;</w:t>
      </w:r>
    </w:p>
    <w:p w14:paraId="2F552EB3" w14:textId="6C0854BF" w:rsidR="00BB2062" w:rsidRPr="008379CA" w:rsidRDefault="00BB2062" w:rsidP="00CE715C">
      <w:pPr>
        <w:pStyle w:val="ListParagraph"/>
        <w:numPr>
          <w:ilvl w:val="0"/>
          <w:numId w:val="109"/>
        </w:numPr>
        <w:snapToGrid w:val="0"/>
        <w:spacing w:before="60" w:after="0" w:line="276" w:lineRule="auto"/>
        <w:ind w:left="1701" w:hanging="425"/>
        <w:contextualSpacing w:val="0"/>
        <w:jc w:val="both"/>
        <w:rPr>
          <w:rFonts w:ascii="Bookman Old Style" w:hAnsi="Bookman Old Style"/>
          <w:sz w:val="24"/>
          <w:szCs w:val="24"/>
          <w:lang w:val="id-ID"/>
        </w:rPr>
      </w:pPr>
      <w:r w:rsidRPr="008379CA">
        <w:rPr>
          <w:rFonts w:ascii="Bookman Old Style" w:hAnsi="Bookman Old Style" w:cs="Arial"/>
          <w:sz w:val="24"/>
          <w:szCs w:val="24"/>
          <w:lang w:val="sv-FI"/>
        </w:rPr>
        <w:t>Pelayanan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Kesehatan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Balita</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Rp</w:t>
      </w:r>
      <w:r w:rsidRPr="008379CA">
        <w:rPr>
          <w:rFonts w:ascii="Bookman Old Style" w:hAnsi="Bookman Old Style"/>
          <w:sz w:val="24"/>
          <w:szCs w:val="24"/>
          <w:lang w:val="en-US"/>
        </w:rPr>
        <w:t>133.437.000,00</w:t>
      </w:r>
      <w:r w:rsidRPr="008379CA">
        <w:rPr>
          <w:rFonts w:ascii="Bookman Old Style" w:hAnsi="Bookman Old Style"/>
          <w:sz w:val="24"/>
          <w:szCs w:val="24"/>
          <w:lang w:val="id-ID"/>
        </w:rPr>
        <w:t>;</w:t>
      </w:r>
    </w:p>
    <w:p w14:paraId="71ED59CC" w14:textId="6855517B" w:rsidR="00BB2062" w:rsidRPr="008379CA" w:rsidRDefault="00BB2062" w:rsidP="00CE715C">
      <w:pPr>
        <w:pStyle w:val="ListParagraph"/>
        <w:numPr>
          <w:ilvl w:val="0"/>
          <w:numId w:val="109"/>
        </w:numPr>
        <w:snapToGrid w:val="0"/>
        <w:spacing w:before="60" w:after="0" w:line="276" w:lineRule="auto"/>
        <w:ind w:left="1701" w:hanging="425"/>
        <w:contextualSpacing w:val="0"/>
        <w:jc w:val="both"/>
        <w:rPr>
          <w:rFonts w:ascii="Bookman Old Style" w:hAnsi="Bookman Old Style"/>
          <w:sz w:val="24"/>
          <w:szCs w:val="24"/>
          <w:lang w:val="id-ID"/>
        </w:rPr>
      </w:pPr>
      <w:r w:rsidRPr="008379CA">
        <w:rPr>
          <w:rFonts w:ascii="Bookman Old Style" w:hAnsi="Bookman Old Style"/>
          <w:sz w:val="24"/>
          <w:szCs w:val="24"/>
          <w:lang w:val="sv-FI"/>
        </w:rPr>
        <w:t>Pelayanan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Kesehatan</w:t>
      </w:r>
      <w:r w:rsidR="00A954D0" w:rsidRPr="008379CA">
        <w:rPr>
          <w:rFonts w:ascii="Bookman Old Style" w:hAnsi="Bookman Old Style"/>
          <w:sz w:val="24"/>
          <w:szCs w:val="24"/>
          <w:lang w:val="sv-FI"/>
        </w:rPr>
        <w:t xml:space="preserve"> </w:t>
      </w:r>
      <w:r w:rsidR="00BC3F97" w:rsidRPr="008379CA">
        <w:rPr>
          <w:rFonts w:ascii="Bookman Old Style" w:hAnsi="Bookman Old Style"/>
          <w:sz w:val="24"/>
          <w:szCs w:val="24"/>
          <w:lang w:val="sv-FI"/>
        </w:rPr>
        <w:t>p</w:t>
      </w:r>
      <w:r w:rsidRPr="008379CA">
        <w:rPr>
          <w:rFonts w:ascii="Bookman Old Style" w:hAnsi="Bookman Old Style"/>
          <w:sz w:val="24"/>
          <w:szCs w:val="24"/>
          <w:lang w:val="sv-FI"/>
        </w:rPr>
        <w:t>ada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Usia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Pendidikan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Dasar</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Rp535.925.800,00;</w:t>
      </w:r>
    </w:p>
    <w:p w14:paraId="399ADFF8" w14:textId="373AE94E" w:rsidR="00BB2062" w:rsidRPr="008379CA" w:rsidRDefault="00BB2062" w:rsidP="00CE715C">
      <w:pPr>
        <w:pStyle w:val="ListParagraph"/>
        <w:numPr>
          <w:ilvl w:val="0"/>
          <w:numId w:val="109"/>
        </w:numPr>
        <w:snapToGrid w:val="0"/>
        <w:spacing w:before="60" w:after="0" w:line="276" w:lineRule="auto"/>
        <w:ind w:left="1701" w:hanging="425"/>
        <w:contextualSpacing w:val="0"/>
        <w:jc w:val="both"/>
        <w:rPr>
          <w:rFonts w:ascii="Bookman Old Style" w:hAnsi="Bookman Old Style"/>
          <w:sz w:val="24"/>
          <w:szCs w:val="24"/>
          <w:lang w:val="id-ID"/>
        </w:rPr>
      </w:pPr>
      <w:r w:rsidRPr="008379CA">
        <w:rPr>
          <w:rFonts w:ascii="Bookman Old Style" w:hAnsi="Bookman Old Style" w:cs="Arial"/>
          <w:sz w:val="24"/>
          <w:szCs w:val="24"/>
          <w:lang w:val="sv-FI"/>
        </w:rPr>
        <w:t>Pengelolaan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Pelayanan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Kesehatan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pada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Usia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Produktif</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Rp54.860.000,00;</w:t>
      </w:r>
    </w:p>
    <w:p w14:paraId="058F067D" w14:textId="1BFA28F7" w:rsidR="00BB2062" w:rsidRPr="008379CA" w:rsidRDefault="00BB2062" w:rsidP="00CE715C">
      <w:pPr>
        <w:pStyle w:val="ListParagraph"/>
        <w:numPr>
          <w:ilvl w:val="0"/>
          <w:numId w:val="109"/>
        </w:numPr>
        <w:snapToGrid w:val="0"/>
        <w:spacing w:before="60" w:after="0" w:line="276" w:lineRule="auto"/>
        <w:ind w:left="1701" w:hanging="425"/>
        <w:contextualSpacing w:val="0"/>
        <w:jc w:val="both"/>
        <w:rPr>
          <w:rFonts w:ascii="Bookman Old Style" w:hAnsi="Bookman Old Style"/>
          <w:sz w:val="24"/>
          <w:szCs w:val="24"/>
          <w:lang w:val="id-ID"/>
        </w:rPr>
      </w:pPr>
      <w:r w:rsidRPr="008379CA">
        <w:rPr>
          <w:rFonts w:ascii="Bookman Old Style" w:hAnsi="Bookman Old Style"/>
          <w:sz w:val="24"/>
          <w:szCs w:val="24"/>
          <w:lang w:val="sv-FI"/>
        </w:rPr>
        <w:t>Pelayanan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Kesehatan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Pada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Usia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Lanjut</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Rp137.384.200,00;</w:t>
      </w:r>
    </w:p>
    <w:p w14:paraId="5AF89145" w14:textId="358F22D7" w:rsidR="00BB2062" w:rsidRPr="008379CA" w:rsidRDefault="00BB2062" w:rsidP="00CE715C">
      <w:pPr>
        <w:pStyle w:val="ListParagraph"/>
        <w:numPr>
          <w:ilvl w:val="0"/>
          <w:numId w:val="109"/>
        </w:numPr>
        <w:snapToGrid w:val="0"/>
        <w:spacing w:before="60" w:after="0" w:line="276" w:lineRule="auto"/>
        <w:ind w:left="1701" w:hanging="425"/>
        <w:contextualSpacing w:val="0"/>
        <w:jc w:val="both"/>
        <w:rPr>
          <w:rFonts w:ascii="Bookman Old Style" w:hAnsi="Bookman Old Style"/>
          <w:sz w:val="24"/>
          <w:szCs w:val="24"/>
          <w:lang w:val="id-ID"/>
        </w:rPr>
      </w:pPr>
      <w:r w:rsidRPr="008379CA">
        <w:rPr>
          <w:rFonts w:ascii="Bookman Old Style" w:hAnsi="Bookman Old Style" w:cs="Arial"/>
          <w:sz w:val="24"/>
          <w:szCs w:val="24"/>
          <w:lang w:val="sv-FI"/>
        </w:rPr>
        <w:t>Pelayanan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Kesehatan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Penderita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Hipertensi</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Rp35.230.000,00;</w:t>
      </w:r>
    </w:p>
    <w:p w14:paraId="0CE9F630" w14:textId="6B248423" w:rsidR="00BB2062" w:rsidRPr="008379CA" w:rsidRDefault="00BB2062" w:rsidP="00CE715C">
      <w:pPr>
        <w:pStyle w:val="ListParagraph"/>
        <w:numPr>
          <w:ilvl w:val="0"/>
          <w:numId w:val="109"/>
        </w:numPr>
        <w:snapToGrid w:val="0"/>
        <w:spacing w:before="60" w:after="0" w:line="276" w:lineRule="auto"/>
        <w:ind w:left="1701" w:hanging="425"/>
        <w:contextualSpacing w:val="0"/>
        <w:jc w:val="both"/>
        <w:rPr>
          <w:rFonts w:ascii="Bookman Old Style" w:hAnsi="Bookman Old Style"/>
          <w:sz w:val="24"/>
          <w:szCs w:val="24"/>
          <w:lang w:val="id-ID"/>
        </w:rPr>
      </w:pPr>
      <w:r w:rsidRPr="008379CA">
        <w:rPr>
          <w:rFonts w:ascii="Bookman Old Style" w:hAnsi="Bookman Old Style" w:cs="Arial"/>
          <w:sz w:val="24"/>
          <w:szCs w:val="24"/>
          <w:lang w:val="sv-FI"/>
        </w:rPr>
        <w:t>Pengelolaan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Pelayanan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Kesehatan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Penderita</w:t>
      </w:r>
      <w:r w:rsidR="00A954D0" w:rsidRPr="008379CA">
        <w:rPr>
          <w:rFonts w:ascii="Bookman Old Style" w:hAnsi="Bookman Old Style" w:cs="Arial"/>
          <w:sz w:val="24"/>
          <w:szCs w:val="24"/>
          <w:lang w:val="sv-FI"/>
        </w:rPr>
        <w:t xml:space="preserve"> </w:t>
      </w:r>
      <w:r w:rsidRPr="008379CA">
        <w:rPr>
          <w:rFonts w:ascii="Bookman Old Style" w:hAnsi="Bookman Old Style" w:cs="Arial"/>
          <w:i/>
          <w:iCs/>
          <w:sz w:val="24"/>
          <w:szCs w:val="24"/>
          <w:lang w:val="sv-FI"/>
        </w:rPr>
        <w:t>Diabetes</w:t>
      </w:r>
      <w:r w:rsidR="00A954D0" w:rsidRPr="008379CA">
        <w:rPr>
          <w:rFonts w:ascii="Bookman Old Style" w:hAnsi="Bookman Old Style" w:cs="Arial"/>
          <w:i/>
          <w:iCs/>
          <w:sz w:val="24"/>
          <w:szCs w:val="24"/>
          <w:lang w:val="sv-FI"/>
        </w:rPr>
        <w:t xml:space="preserve"> </w:t>
      </w:r>
      <w:r w:rsidRPr="008379CA">
        <w:rPr>
          <w:rFonts w:ascii="Bookman Old Style" w:hAnsi="Bookman Old Style" w:cs="Arial"/>
          <w:i/>
          <w:iCs/>
          <w:sz w:val="24"/>
          <w:szCs w:val="24"/>
          <w:lang w:val="sv-FI"/>
        </w:rPr>
        <w:t>Melitus</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Rp35.230.000,00;</w:t>
      </w:r>
    </w:p>
    <w:p w14:paraId="0696350E" w14:textId="07588196" w:rsidR="00BB2062" w:rsidRPr="008379CA" w:rsidRDefault="00BB2062" w:rsidP="00CE715C">
      <w:pPr>
        <w:pStyle w:val="ListParagraph"/>
        <w:numPr>
          <w:ilvl w:val="0"/>
          <w:numId w:val="109"/>
        </w:numPr>
        <w:snapToGrid w:val="0"/>
        <w:spacing w:before="60" w:after="0" w:line="276" w:lineRule="auto"/>
        <w:ind w:left="1701" w:hanging="425"/>
        <w:contextualSpacing w:val="0"/>
        <w:jc w:val="both"/>
        <w:rPr>
          <w:rFonts w:ascii="Bookman Old Style" w:hAnsi="Bookman Old Style"/>
          <w:sz w:val="24"/>
          <w:szCs w:val="24"/>
          <w:lang w:val="id-ID"/>
        </w:rPr>
      </w:pPr>
      <w:r w:rsidRPr="008379CA">
        <w:rPr>
          <w:rFonts w:ascii="Bookman Old Style" w:hAnsi="Bookman Old Style"/>
          <w:sz w:val="24"/>
          <w:szCs w:val="24"/>
          <w:lang w:val="sv-FI"/>
        </w:rPr>
        <w:t>Pelayanan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Kesehatan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Orang</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Dengan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Gangguan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Jiwa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Berat</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Rp327.550.000,00;</w:t>
      </w:r>
    </w:p>
    <w:p w14:paraId="4B7E149B" w14:textId="138288C6" w:rsidR="00BB2062" w:rsidRPr="008379CA" w:rsidRDefault="00BB2062" w:rsidP="00CE715C">
      <w:pPr>
        <w:pStyle w:val="ListParagraph"/>
        <w:numPr>
          <w:ilvl w:val="0"/>
          <w:numId w:val="109"/>
        </w:numPr>
        <w:snapToGrid w:val="0"/>
        <w:spacing w:before="60" w:after="0" w:line="276" w:lineRule="auto"/>
        <w:ind w:left="1701" w:hanging="425"/>
        <w:contextualSpacing w:val="0"/>
        <w:jc w:val="both"/>
        <w:rPr>
          <w:rFonts w:ascii="Bookman Old Style" w:hAnsi="Bookman Old Style"/>
          <w:sz w:val="24"/>
          <w:szCs w:val="24"/>
          <w:lang w:val="id-ID"/>
        </w:rPr>
      </w:pPr>
      <w:r w:rsidRPr="008379CA">
        <w:rPr>
          <w:rFonts w:ascii="Bookman Old Style" w:hAnsi="Bookman Old Style"/>
          <w:sz w:val="24"/>
          <w:szCs w:val="24"/>
          <w:lang w:val="sv-FI"/>
        </w:rPr>
        <w:t>Pelayanan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Kesehatan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Orang</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Terduga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TBC</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Rp2.014.884.000,00;</w:t>
      </w:r>
    </w:p>
    <w:p w14:paraId="3EE952D4" w14:textId="03AB6937" w:rsidR="00BB2062" w:rsidRPr="008379CA" w:rsidRDefault="00BB2062" w:rsidP="00CE715C">
      <w:pPr>
        <w:pStyle w:val="ListParagraph"/>
        <w:numPr>
          <w:ilvl w:val="0"/>
          <w:numId w:val="109"/>
        </w:numPr>
        <w:snapToGrid w:val="0"/>
        <w:spacing w:before="60" w:after="0" w:line="276" w:lineRule="auto"/>
        <w:ind w:left="1701" w:hanging="425"/>
        <w:contextualSpacing w:val="0"/>
        <w:jc w:val="both"/>
        <w:rPr>
          <w:rFonts w:ascii="Bookman Old Style" w:hAnsi="Bookman Old Style"/>
          <w:sz w:val="24"/>
          <w:szCs w:val="24"/>
          <w:lang w:val="id-ID"/>
        </w:rPr>
      </w:pPr>
      <w:r w:rsidRPr="008379CA">
        <w:rPr>
          <w:rFonts w:ascii="Bookman Old Style" w:hAnsi="Bookman Old Style"/>
          <w:sz w:val="24"/>
          <w:szCs w:val="24"/>
          <w:lang w:val="sv-FI"/>
        </w:rPr>
        <w:t>Pelayanan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Kesehatan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Orang</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Dengan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Risiko</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Terinfeksi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Virus</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Yang</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Melemahkan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Daya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Tahan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Tubuh</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Manusia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(HIV)</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Rp79.110.000,00</w:t>
      </w:r>
      <w:r w:rsidR="00172E1C" w:rsidRPr="008379CA">
        <w:rPr>
          <w:rFonts w:ascii="Bookman Old Style" w:hAnsi="Bookman Old Style"/>
          <w:sz w:val="24"/>
          <w:szCs w:val="24"/>
          <w:lang w:val="sv-FI"/>
        </w:rPr>
        <w:t>.</w:t>
      </w:r>
    </w:p>
    <w:p w14:paraId="181B64A9" w14:textId="25AE0264" w:rsidR="00BB2062" w:rsidRPr="008379CA" w:rsidRDefault="00CE715C" w:rsidP="00CE715C">
      <w:pPr>
        <w:pStyle w:val="ListParagraph"/>
        <w:snapToGrid w:val="0"/>
        <w:spacing w:before="60" w:after="0" w:line="276" w:lineRule="auto"/>
        <w:ind w:left="1276"/>
        <w:contextualSpacing w:val="0"/>
        <w:jc w:val="both"/>
        <w:rPr>
          <w:rFonts w:ascii="Bookman Old Style" w:hAnsi="Bookman Old Style" w:cs="Arial"/>
          <w:sz w:val="24"/>
          <w:szCs w:val="24"/>
        </w:rPr>
      </w:pPr>
      <w:r w:rsidRPr="008379CA">
        <w:rPr>
          <w:rFonts w:ascii="Bookman Old Style" w:hAnsi="Bookman Old Style"/>
          <w:sz w:val="24"/>
          <w:szCs w:val="24"/>
          <w:lang w:val="sv-FI"/>
        </w:rPr>
        <w:t>H</w:t>
      </w:r>
      <w:r w:rsidR="00BB2062" w:rsidRPr="008379CA">
        <w:rPr>
          <w:rFonts w:ascii="Bookman Old Style" w:hAnsi="Bookman Old Style"/>
          <w:sz w:val="24"/>
          <w:szCs w:val="24"/>
          <w:lang w:val="fi-FI"/>
        </w:rPr>
        <w:t>arus</w:t>
      </w:r>
      <w:r w:rsidR="00A954D0" w:rsidRPr="008379CA">
        <w:rPr>
          <w:rFonts w:ascii="Bookman Old Style" w:hAnsi="Bookman Old Style"/>
          <w:sz w:val="24"/>
          <w:szCs w:val="24"/>
          <w:lang w:val="fi-FI"/>
        </w:rPr>
        <w:t xml:space="preserve"> </w:t>
      </w:r>
      <w:r w:rsidR="00BB2062" w:rsidRPr="008379CA">
        <w:rPr>
          <w:rFonts w:ascii="Bookman Old Style" w:hAnsi="Bookman Old Style"/>
          <w:sz w:val="24"/>
          <w:szCs w:val="24"/>
          <w:lang w:val="fi-FI"/>
        </w:rPr>
        <w:t>diprioritaskan</w:t>
      </w:r>
      <w:r w:rsidR="00A954D0" w:rsidRPr="008379CA">
        <w:rPr>
          <w:rFonts w:ascii="Bookman Old Style" w:hAnsi="Bookman Old Style"/>
          <w:sz w:val="24"/>
          <w:szCs w:val="24"/>
          <w:lang w:val="fi-FI"/>
        </w:rPr>
        <w:t xml:space="preserve"> </w:t>
      </w:r>
      <w:r w:rsidR="00BB2062" w:rsidRPr="008379CA">
        <w:rPr>
          <w:rFonts w:ascii="Bookman Old Style" w:hAnsi="Bookman Old Style"/>
          <w:sz w:val="24"/>
          <w:szCs w:val="24"/>
          <w:lang w:val="fi-FI"/>
        </w:rPr>
        <w:t>untuk</w:t>
      </w:r>
      <w:r w:rsidR="00A954D0" w:rsidRPr="008379CA">
        <w:rPr>
          <w:rFonts w:ascii="Bookman Old Style" w:hAnsi="Bookman Old Style"/>
          <w:sz w:val="24"/>
          <w:szCs w:val="24"/>
          <w:lang w:val="fi-FI"/>
        </w:rPr>
        <w:t xml:space="preserve"> </w:t>
      </w:r>
      <w:r w:rsidR="00BB2062" w:rsidRPr="008379CA">
        <w:rPr>
          <w:rFonts w:ascii="Bookman Old Style" w:hAnsi="Bookman Old Style"/>
          <w:sz w:val="24"/>
          <w:szCs w:val="24"/>
          <w:lang w:val="fi-FI"/>
        </w:rPr>
        <w:t>memenuhi</w:t>
      </w:r>
      <w:r w:rsidR="00A954D0" w:rsidRPr="008379CA">
        <w:rPr>
          <w:rFonts w:ascii="Bookman Old Style" w:hAnsi="Bookman Old Style"/>
          <w:sz w:val="24"/>
          <w:szCs w:val="24"/>
          <w:lang w:val="fi-FI"/>
        </w:rPr>
        <w:t xml:space="preserve"> </w:t>
      </w:r>
      <w:r w:rsidR="00BB2062" w:rsidRPr="008379CA">
        <w:rPr>
          <w:rFonts w:ascii="Bookman Old Style" w:hAnsi="Bookman Old Style"/>
          <w:sz w:val="24"/>
          <w:szCs w:val="24"/>
          <w:lang w:val="fi-FI"/>
        </w:rPr>
        <w:t>pencapaian</w:t>
      </w:r>
      <w:r w:rsidR="00A954D0" w:rsidRPr="008379CA">
        <w:rPr>
          <w:rFonts w:ascii="Bookman Old Style" w:hAnsi="Bookman Old Style"/>
          <w:sz w:val="24"/>
          <w:szCs w:val="24"/>
          <w:lang w:val="fi-FI"/>
        </w:rPr>
        <w:t xml:space="preserve"> </w:t>
      </w:r>
      <w:r w:rsidR="00BB2062" w:rsidRPr="008379CA">
        <w:rPr>
          <w:rFonts w:ascii="Bookman Old Style" w:hAnsi="Bookman Old Style"/>
          <w:sz w:val="24"/>
          <w:szCs w:val="24"/>
          <w:lang w:val="fi-FI"/>
        </w:rPr>
        <w:t>SPM</w:t>
      </w:r>
      <w:r w:rsidR="00A954D0" w:rsidRPr="008379CA">
        <w:rPr>
          <w:rFonts w:ascii="Bookman Old Style" w:hAnsi="Bookman Old Style"/>
          <w:sz w:val="24"/>
          <w:szCs w:val="24"/>
          <w:lang w:val="fi-FI"/>
        </w:rPr>
        <w:t xml:space="preserve"> </w:t>
      </w:r>
      <w:r w:rsidR="00BB2062" w:rsidRPr="008379CA">
        <w:rPr>
          <w:rFonts w:ascii="Bookman Old Style" w:hAnsi="Bookman Old Style"/>
          <w:sz w:val="24"/>
          <w:szCs w:val="24"/>
          <w:lang w:val="id-ID"/>
        </w:rPr>
        <w:t>Kesehatan</w:t>
      </w:r>
      <w:r w:rsidR="00A954D0" w:rsidRPr="008379CA">
        <w:rPr>
          <w:rFonts w:ascii="Bookman Old Style" w:hAnsi="Bookman Old Style"/>
          <w:sz w:val="24"/>
          <w:szCs w:val="24"/>
          <w:lang w:val="fi-FI"/>
        </w:rPr>
        <w:t xml:space="preserve"> </w:t>
      </w:r>
      <w:r w:rsidR="00BB2062" w:rsidRPr="008379CA">
        <w:rPr>
          <w:rFonts w:ascii="Bookman Old Style" w:hAnsi="Bookman Old Style"/>
          <w:sz w:val="24"/>
          <w:szCs w:val="24"/>
          <w:lang w:val="fi-FI"/>
        </w:rPr>
        <w:t>untuk</w:t>
      </w:r>
      <w:r w:rsidR="00A954D0" w:rsidRPr="008379CA">
        <w:rPr>
          <w:rFonts w:ascii="Bookman Old Style" w:hAnsi="Bookman Old Style"/>
          <w:sz w:val="24"/>
          <w:szCs w:val="24"/>
          <w:lang w:val="fi-FI"/>
        </w:rPr>
        <w:t xml:space="preserve"> </w:t>
      </w:r>
      <w:r w:rsidR="00172E1C" w:rsidRPr="008379CA">
        <w:rPr>
          <w:rFonts w:ascii="Bookman Old Style" w:hAnsi="Bookman Old Style"/>
          <w:sz w:val="24"/>
          <w:szCs w:val="24"/>
          <w:lang w:val="fi-FI"/>
        </w:rPr>
        <w:t>Kabupaten/Kota</w:t>
      </w:r>
      <w:r w:rsidR="00A954D0" w:rsidRPr="008379CA">
        <w:rPr>
          <w:rFonts w:ascii="Bookman Old Style" w:hAnsi="Bookman Old Style"/>
          <w:sz w:val="24"/>
          <w:szCs w:val="24"/>
          <w:lang w:val="fi-FI"/>
        </w:rPr>
        <w:t xml:space="preserve"> </w:t>
      </w:r>
      <w:r w:rsidR="00BB2062" w:rsidRPr="008379CA">
        <w:rPr>
          <w:rFonts w:ascii="Bookman Old Style" w:hAnsi="Bookman Old Style"/>
          <w:sz w:val="24"/>
          <w:szCs w:val="24"/>
          <w:lang w:val="fi-FI"/>
        </w:rPr>
        <w:t>sebagaimana</w:t>
      </w:r>
      <w:r w:rsidR="00A954D0" w:rsidRPr="008379CA">
        <w:rPr>
          <w:rFonts w:ascii="Bookman Old Style" w:hAnsi="Bookman Old Style"/>
          <w:sz w:val="24"/>
          <w:szCs w:val="24"/>
          <w:lang w:val="fi-FI"/>
        </w:rPr>
        <w:t xml:space="preserve"> </w:t>
      </w:r>
      <w:r w:rsidR="00BB2062" w:rsidRPr="008379CA">
        <w:rPr>
          <w:rFonts w:ascii="Bookman Old Style" w:hAnsi="Bookman Old Style"/>
          <w:sz w:val="24"/>
          <w:szCs w:val="24"/>
          <w:lang w:val="fi-FI"/>
        </w:rPr>
        <w:t>diamanatkan</w:t>
      </w:r>
      <w:r w:rsidR="00A954D0" w:rsidRPr="008379CA">
        <w:rPr>
          <w:rFonts w:ascii="Bookman Old Style" w:hAnsi="Bookman Old Style"/>
          <w:sz w:val="24"/>
          <w:szCs w:val="24"/>
          <w:lang w:val="fi-FI"/>
        </w:rPr>
        <w:t xml:space="preserve"> </w:t>
      </w:r>
      <w:r w:rsidR="00BB2062" w:rsidRPr="008379CA">
        <w:rPr>
          <w:rFonts w:ascii="Bookman Old Style" w:hAnsi="Bookman Old Style"/>
          <w:sz w:val="24"/>
          <w:szCs w:val="24"/>
          <w:lang w:val="fi-FI"/>
        </w:rPr>
        <w:t>dalam</w:t>
      </w:r>
      <w:r w:rsidR="00A954D0" w:rsidRPr="008379CA">
        <w:rPr>
          <w:rFonts w:ascii="Bookman Old Style" w:hAnsi="Bookman Old Style"/>
          <w:sz w:val="24"/>
          <w:szCs w:val="24"/>
          <w:lang w:val="fi-FI"/>
        </w:rPr>
        <w:t xml:space="preserve"> </w:t>
      </w:r>
      <w:r w:rsidR="00BB2062" w:rsidRPr="008379CA">
        <w:rPr>
          <w:rFonts w:ascii="Bookman Old Style" w:hAnsi="Bookman Old Style"/>
          <w:sz w:val="24"/>
          <w:szCs w:val="24"/>
          <w:lang w:val="id-ID"/>
        </w:rPr>
        <w:t>Peraturan</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Pemerintah</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Nomor</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2</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Tahun</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2018,</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Peraturan</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Menteri</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Dalam</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Negeri</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Nomor</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fi-FI"/>
        </w:rPr>
        <w:t>59</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Tahun</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fi-FI"/>
        </w:rPr>
        <w:t>2021,</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dan</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Peraturan</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Menteri</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Kesehatan</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Nomor</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sv-FI"/>
        </w:rPr>
        <w:t>6</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Tahun</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20</w:t>
      </w:r>
      <w:r w:rsidR="00BB2062" w:rsidRPr="008379CA">
        <w:rPr>
          <w:rFonts w:ascii="Bookman Old Style" w:hAnsi="Bookman Old Style"/>
          <w:sz w:val="24"/>
          <w:szCs w:val="24"/>
          <w:lang w:val="sv-FI"/>
        </w:rPr>
        <w:t>24</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tentang</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Standar</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Teknis</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Pemenuhan</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Standar</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Pelayanan</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Minimal</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Bidang</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Kesehatan</w:t>
      </w:r>
      <w:r w:rsidR="00A954D0" w:rsidRPr="008379CA">
        <w:rPr>
          <w:rFonts w:ascii="Bookman Old Style" w:hAnsi="Bookman Old Style" w:cs="Arial"/>
          <w:sz w:val="24"/>
          <w:szCs w:val="24"/>
          <w:lang w:val="id-ID"/>
        </w:rPr>
        <w:t xml:space="preserve"> </w:t>
      </w:r>
      <w:r w:rsidR="00BB2062" w:rsidRPr="008379CA">
        <w:rPr>
          <w:rFonts w:ascii="Bookman Old Style" w:hAnsi="Bookman Old Style" w:cs="Arial"/>
          <w:sz w:val="24"/>
          <w:szCs w:val="24"/>
          <w:lang w:val="id-ID"/>
        </w:rPr>
        <w:t>serta</w:t>
      </w:r>
      <w:r w:rsidR="00A954D0" w:rsidRPr="008379CA">
        <w:rPr>
          <w:rFonts w:ascii="Bookman Old Style" w:hAnsi="Bookman Old Style" w:cs="Arial"/>
          <w:sz w:val="24"/>
          <w:szCs w:val="24"/>
          <w:lang w:val="id-ID"/>
        </w:rPr>
        <w:t xml:space="preserve"> </w:t>
      </w:r>
      <w:r w:rsidR="00BB2062" w:rsidRPr="008379CA">
        <w:rPr>
          <w:rFonts w:ascii="Bookman Old Style" w:hAnsi="Bookman Old Style"/>
          <w:sz w:val="24"/>
          <w:szCs w:val="24"/>
          <w:lang w:val="fi-FI"/>
        </w:rPr>
        <w:t>butir</w:t>
      </w:r>
      <w:r w:rsidR="00A954D0" w:rsidRPr="008379CA">
        <w:rPr>
          <w:rFonts w:ascii="Bookman Old Style" w:hAnsi="Bookman Old Style"/>
          <w:sz w:val="24"/>
          <w:szCs w:val="24"/>
          <w:lang w:val="fi-FI"/>
        </w:rPr>
        <w:t xml:space="preserve"> </w:t>
      </w:r>
      <w:r w:rsidR="00BB2062" w:rsidRPr="008379CA">
        <w:rPr>
          <w:rFonts w:ascii="Bookman Old Style" w:hAnsi="Bookman Old Style"/>
          <w:sz w:val="24"/>
          <w:szCs w:val="24"/>
          <w:lang w:val="fi-FI"/>
        </w:rPr>
        <w:t>5.2.1.a.2)</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fi-FI"/>
        </w:rPr>
        <w:t>Lampiran</w:t>
      </w:r>
      <w:r w:rsidR="00A954D0" w:rsidRPr="008379CA">
        <w:rPr>
          <w:rFonts w:ascii="Bookman Old Style" w:hAnsi="Bookman Old Style"/>
          <w:sz w:val="24"/>
          <w:szCs w:val="24"/>
          <w:lang w:val="fi-FI"/>
        </w:rPr>
        <w:t xml:space="preserve"> </w:t>
      </w:r>
      <w:r w:rsidR="00BB2062" w:rsidRPr="008379CA">
        <w:rPr>
          <w:rFonts w:ascii="Bookman Old Style" w:hAnsi="Bookman Old Style"/>
          <w:sz w:val="24"/>
          <w:szCs w:val="24"/>
          <w:lang w:val="fi-FI"/>
        </w:rPr>
        <w:t>Peraturan</w:t>
      </w:r>
      <w:r w:rsidR="00A954D0" w:rsidRPr="008379CA">
        <w:rPr>
          <w:rFonts w:ascii="Bookman Old Style" w:hAnsi="Bookman Old Style"/>
          <w:sz w:val="24"/>
          <w:szCs w:val="24"/>
          <w:lang w:val="fi-FI"/>
        </w:rPr>
        <w:t xml:space="preserve"> </w:t>
      </w:r>
      <w:r w:rsidR="00BB2062" w:rsidRPr="008379CA">
        <w:rPr>
          <w:rFonts w:ascii="Bookman Old Style" w:hAnsi="Bookman Old Style"/>
          <w:sz w:val="24"/>
          <w:szCs w:val="24"/>
          <w:lang w:val="fi-FI"/>
        </w:rPr>
        <w:t>Menteri</w:t>
      </w:r>
      <w:r w:rsidR="00A954D0" w:rsidRPr="008379CA">
        <w:rPr>
          <w:rFonts w:ascii="Bookman Old Style" w:hAnsi="Bookman Old Style"/>
          <w:sz w:val="24"/>
          <w:szCs w:val="24"/>
          <w:lang w:val="fi-FI"/>
        </w:rPr>
        <w:t xml:space="preserve"> </w:t>
      </w:r>
      <w:r w:rsidR="00BB2062" w:rsidRPr="008379CA">
        <w:rPr>
          <w:rFonts w:ascii="Bookman Old Style" w:hAnsi="Bookman Old Style"/>
          <w:sz w:val="24"/>
          <w:szCs w:val="24"/>
          <w:lang w:val="fi-FI"/>
        </w:rPr>
        <w:t>Dalam</w:t>
      </w:r>
      <w:r w:rsidR="00A954D0" w:rsidRPr="008379CA">
        <w:rPr>
          <w:rFonts w:ascii="Bookman Old Style" w:hAnsi="Bookman Old Style"/>
          <w:sz w:val="24"/>
          <w:szCs w:val="24"/>
          <w:lang w:val="fi-FI"/>
        </w:rPr>
        <w:t xml:space="preserve"> </w:t>
      </w:r>
      <w:r w:rsidR="00BB2062" w:rsidRPr="008379CA">
        <w:rPr>
          <w:rFonts w:ascii="Bookman Old Style" w:hAnsi="Bookman Old Style"/>
          <w:sz w:val="24"/>
          <w:szCs w:val="24"/>
          <w:lang w:val="fi-FI"/>
        </w:rPr>
        <w:t>Negeri</w:t>
      </w:r>
      <w:r w:rsidR="00A954D0" w:rsidRPr="008379CA">
        <w:rPr>
          <w:rFonts w:ascii="Bookman Old Style" w:hAnsi="Bookman Old Style"/>
          <w:sz w:val="24"/>
          <w:szCs w:val="24"/>
          <w:lang w:val="fi-FI"/>
        </w:rPr>
        <w:t xml:space="preserve"> </w:t>
      </w:r>
      <w:r w:rsidR="00BB2062" w:rsidRPr="008379CA">
        <w:rPr>
          <w:rFonts w:ascii="Bookman Old Style" w:hAnsi="Bookman Old Style"/>
          <w:sz w:val="24"/>
          <w:szCs w:val="24"/>
          <w:lang w:val="fi-FI"/>
        </w:rPr>
        <w:t>Nomor</w:t>
      </w:r>
      <w:r w:rsidR="00A954D0" w:rsidRPr="008379CA">
        <w:rPr>
          <w:rFonts w:ascii="Bookman Old Style" w:hAnsi="Bookman Old Style"/>
          <w:sz w:val="24"/>
          <w:szCs w:val="24"/>
          <w:lang w:val="fi-FI"/>
        </w:rPr>
        <w:t xml:space="preserve"> </w:t>
      </w:r>
      <w:r w:rsidR="00BB2062" w:rsidRPr="008379CA">
        <w:rPr>
          <w:rFonts w:ascii="Bookman Old Style" w:hAnsi="Bookman Old Style"/>
          <w:sz w:val="24"/>
          <w:szCs w:val="24"/>
          <w:lang w:val="id-ID"/>
        </w:rPr>
        <w:t>15</w:t>
      </w:r>
      <w:r w:rsidR="00A954D0" w:rsidRPr="008379CA">
        <w:rPr>
          <w:rFonts w:ascii="Bookman Old Style" w:hAnsi="Bookman Old Style"/>
          <w:sz w:val="24"/>
          <w:szCs w:val="24"/>
          <w:lang w:val="fi-FI"/>
        </w:rPr>
        <w:t xml:space="preserve"> </w:t>
      </w:r>
      <w:r w:rsidR="00BB2062" w:rsidRPr="008379CA">
        <w:rPr>
          <w:rFonts w:ascii="Bookman Old Style" w:hAnsi="Bookman Old Style"/>
          <w:sz w:val="24"/>
          <w:szCs w:val="24"/>
          <w:lang w:val="fi-FI"/>
        </w:rPr>
        <w:t>Tahun</w:t>
      </w:r>
      <w:r w:rsidR="00A954D0" w:rsidRPr="008379CA">
        <w:rPr>
          <w:rFonts w:ascii="Bookman Old Style" w:hAnsi="Bookman Old Style"/>
          <w:sz w:val="24"/>
          <w:szCs w:val="24"/>
          <w:lang w:val="fi-FI"/>
        </w:rPr>
        <w:t xml:space="preserve"> </w:t>
      </w:r>
      <w:r w:rsidR="00BB2062" w:rsidRPr="008379CA">
        <w:rPr>
          <w:rFonts w:ascii="Bookman Old Style" w:hAnsi="Bookman Old Style"/>
          <w:sz w:val="24"/>
          <w:szCs w:val="24"/>
          <w:lang w:val="fi-FI"/>
        </w:rPr>
        <w:t>202</w:t>
      </w:r>
      <w:r w:rsidR="00BB2062" w:rsidRPr="008379CA">
        <w:rPr>
          <w:rFonts w:ascii="Bookman Old Style" w:hAnsi="Bookman Old Style"/>
          <w:sz w:val="24"/>
          <w:szCs w:val="24"/>
          <w:lang w:val="id-ID"/>
        </w:rPr>
        <w:t>4.</w:t>
      </w:r>
    </w:p>
    <w:p w14:paraId="6DF17278" w14:textId="342862C9" w:rsidR="00BB2062" w:rsidRPr="008379CA" w:rsidRDefault="00BB2062" w:rsidP="00CE715C">
      <w:pPr>
        <w:pStyle w:val="ListParagraph"/>
        <w:numPr>
          <w:ilvl w:val="6"/>
          <w:numId w:val="107"/>
        </w:numPr>
        <w:spacing w:before="120" w:after="0" w:line="276" w:lineRule="auto"/>
        <w:ind w:left="1276" w:hanging="284"/>
        <w:contextualSpacing w:val="0"/>
        <w:jc w:val="both"/>
        <w:rPr>
          <w:rFonts w:ascii="Bookman Old Style" w:hAnsi="Bookman Old Style" w:cs="Arial"/>
          <w:sz w:val="24"/>
          <w:szCs w:val="24"/>
        </w:rPr>
      </w:pPr>
      <w:r w:rsidRPr="008379CA">
        <w:rPr>
          <w:rFonts w:ascii="Bookman Old Style" w:hAnsi="Bookman Old Style" w:cs="Arial"/>
          <w:sz w:val="24"/>
          <w:szCs w:val="24"/>
        </w:rPr>
        <w:t>SPM</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Bidang</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Pekerjaan</w:t>
      </w:r>
      <w:r w:rsidR="00A954D0" w:rsidRPr="008379CA">
        <w:rPr>
          <w:rFonts w:ascii="Bookman Old Style" w:eastAsia="Calibri" w:hAnsi="Bookman Old Style" w:cs="Arial"/>
          <w:sz w:val="24"/>
          <w:szCs w:val="24"/>
          <w:lang w:val="sv-SE"/>
        </w:rPr>
        <w:t xml:space="preserve"> </w:t>
      </w:r>
      <w:r w:rsidRPr="008379CA">
        <w:rPr>
          <w:rFonts w:ascii="Bookman Old Style" w:eastAsia="Calibri" w:hAnsi="Bookman Old Style" w:cs="Arial"/>
          <w:sz w:val="24"/>
          <w:szCs w:val="24"/>
          <w:lang w:val="sv-SE"/>
        </w:rPr>
        <w:t>Umum</w:t>
      </w:r>
      <w:r w:rsidR="00A954D0" w:rsidRPr="008379CA">
        <w:rPr>
          <w:rFonts w:ascii="Bookman Old Style" w:eastAsia="Calibri" w:hAnsi="Bookman Old Style" w:cs="Arial"/>
          <w:sz w:val="24"/>
          <w:szCs w:val="24"/>
          <w:lang w:val="sv-SE"/>
        </w:rPr>
        <w:t xml:space="preserve"> </w:t>
      </w:r>
      <w:r w:rsidRPr="008379CA">
        <w:rPr>
          <w:rFonts w:ascii="Bookman Old Style" w:eastAsia="Calibri" w:hAnsi="Bookman Old Style" w:cs="Arial"/>
          <w:sz w:val="24"/>
          <w:szCs w:val="24"/>
          <w:lang w:val="sv-SE"/>
        </w:rPr>
        <w:t>dan</w:t>
      </w:r>
      <w:r w:rsidR="00A954D0" w:rsidRPr="008379CA">
        <w:rPr>
          <w:rFonts w:ascii="Bookman Old Style" w:eastAsia="Calibri" w:hAnsi="Bookman Old Style" w:cs="Arial"/>
          <w:sz w:val="24"/>
          <w:szCs w:val="24"/>
          <w:lang w:val="sv-SE"/>
        </w:rPr>
        <w:t xml:space="preserve"> </w:t>
      </w:r>
      <w:r w:rsidRPr="008379CA">
        <w:rPr>
          <w:rFonts w:ascii="Bookman Old Style" w:eastAsia="Calibri" w:hAnsi="Bookman Old Style" w:cs="Arial"/>
          <w:sz w:val="24"/>
          <w:szCs w:val="24"/>
          <w:lang w:val="sv-SE"/>
        </w:rPr>
        <w:t>Penataan</w:t>
      </w:r>
      <w:r w:rsidR="00A954D0" w:rsidRPr="008379CA">
        <w:rPr>
          <w:rFonts w:ascii="Bookman Old Style" w:eastAsia="Calibri" w:hAnsi="Bookman Old Style" w:cs="Arial"/>
          <w:sz w:val="24"/>
          <w:szCs w:val="24"/>
          <w:lang w:val="sv-SE"/>
        </w:rPr>
        <w:t xml:space="preserve"> </w:t>
      </w:r>
      <w:r w:rsidRPr="008379CA">
        <w:rPr>
          <w:rFonts w:ascii="Bookman Old Style" w:eastAsia="Calibri" w:hAnsi="Bookman Old Style" w:cs="Arial"/>
          <w:sz w:val="24"/>
          <w:szCs w:val="24"/>
          <w:lang w:val="sv-SE"/>
        </w:rPr>
        <w:t>Ruang</w:t>
      </w:r>
      <w:r w:rsidR="00A954D0" w:rsidRPr="008379CA">
        <w:rPr>
          <w:rFonts w:ascii="Bookman Old Style" w:hAnsi="Bookman Old Style" w:cs="Arial"/>
          <w:sz w:val="24"/>
          <w:szCs w:val="24"/>
        </w:rPr>
        <w:t xml:space="preserve"> </w:t>
      </w:r>
    </w:p>
    <w:p w14:paraId="62C165F2" w14:textId="163A02BD" w:rsidR="00BB2062" w:rsidRPr="008379CA" w:rsidRDefault="00BB2062" w:rsidP="00CE715C">
      <w:pPr>
        <w:pStyle w:val="ListParagraph"/>
        <w:spacing w:before="60" w:after="0" w:line="276" w:lineRule="auto"/>
        <w:ind w:left="1276"/>
        <w:contextualSpacing w:val="0"/>
        <w:jc w:val="both"/>
        <w:rPr>
          <w:rFonts w:ascii="Bookman Old Style" w:hAnsi="Bookman Old Style" w:cs="Arial"/>
          <w:sz w:val="24"/>
          <w:szCs w:val="24"/>
          <w:lang w:val="id-ID"/>
        </w:rPr>
      </w:pPr>
      <w:r w:rsidRPr="008379CA">
        <w:rPr>
          <w:rFonts w:ascii="Bookman Old Style" w:hAnsi="Bookman Old Style"/>
          <w:sz w:val="24"/>
          <w:szCs w:val="24"/>
        </w:rPr>
        <w:t>Alokasi</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untuk</w:t>
      </w:r>
      <w:r w:rsidR="00A954D0" w:rsidRPr="008379CA">
        <w:rPr>
          <w:rFonts w:ascii="Bookman Old Style" w:hAnsi="Bookman Old Style"/>
          <w:sz w:val="24"/>
          <w:szCs w:val="24"/>
        </w:rPr>
        <w:t xml:space="preserve"> </w:t>
      </w:r>
      <w:r w:rsidRPr="008379CA">
        <w:rPr>
          <w:rFonts w:ascii="Bookman Old Style" w:hAnsi="Bookman Old Style"/>
          <w:sz w:val="24"/>
          <w:szCs w:val="24"/>
        </w:rPr>
        <w:t>b</w:t>
      </w:r>
      <w:r w:rsidRPr="008379CA">
        <w:rPr>
          <w:rFonts w:ascii="Bookman Old Style" w:hAnsi="Bookman Old Style"/>
          <w:sz w:val="24"/>
          <w:szCs w:val="24"/>
          <w:lang w:val="id-ID"/>
        </w:rPr>
        <w:t>elanja</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SPM</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Bidang</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Pekerjaan</w:t>
      </w:r>
      <w:r w:rsidR="00A954D0" w:rsidRPr="008379CA">
        <w:rPr>
          <w:rFonts w:ascii="Bookman Old Style" w:hAnsi="Bookman Old Style"/>
          <w:sz w:val="24"/>
          <w:szCs w:val="24"/>
        </w:rPr>
        <w:t xml:space="preserve"> </w:t>
      </w:r>
      <w:r w:rsidRPr="008379CA">
        <w:rPr>
          <w:rFonts w:ascii="Bookman Old Style" w:hAnsi="Bookman Old Style"/>
          <w:sz w:val="24"/>
          <w:szCs w:val="24"/>
        </w:rPr>
        <w:t>Umum</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fi-FI"/>
        </w:rPr>
        <w:t>Penataan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Ruang</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Rp</w:t>
      </w:r>
      <w:r w:rsidRPr="008379CA">
        <w:rPr>
          <w:rFonts w:ascii="Bookman Old Style" w:hAnsi="Bookman Old Style"/>
          <w:sz w:val="24"/>
          <w:szCs w:val="24"/>
          <w:lang w:val="en-US"/>
        </w:rPr>
        <w:t>29.040.613.890,00</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atau</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3,91</w:t>
      </w:r>
      <w:r w:rsidRPr="008379CA">
        <w:rPr>
          <w:rFonts w:ascii="Bookman Old Style" w:hAnsi="Bookman Old Style"/>
          <w:sz w:val="24"/>
          <w:szCs w:val="24"/>
          <w:lang w:val="id-ID"/>
        </w:rPr>
        <w:t>%</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dari</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lastRenderedPageBreak/>
        <w:t>total</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belanja</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Urusan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Pemerintahan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Bidang</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Pekerjaan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Umum</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Penataan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Ruang</w:t>
      </w:r>
      <w:r w:rsidR="00A954D0" w:rsidRPr="008379CA">
        <w:rPr>
          <w:rFonts w:ascii="Bookman Old Style" w:hAnsi="Bookman Old Style"/>
          <w:sz w:val="24"/>
          <w:szCs w:val="24"/>
        </w:rPr>
        <w:t xml:space="preserve"> </w:t>
      </w:r>
      <w:r w:rsidRPr="008379CA">
        <w:rPr>
          <w:rFonts w:ascii="Bookman Old Style" w:hAnsi="Bookman Old Style"/>
          <w:sz w:val="24"/>
          <w:szCs w:val="24"/>
          <w:lang w:val="id-ID"/>
        </w:rPr>
        <w:t>Rp</w:t>
      </w:r>
      <w:r w:rsidRPr="008379CA">
        <w:rPr>
          <w:rFonts w:ascii="Bookman Old Style" w:hAnsi="Bookman Old Style"/>
          <w:sz w:val="24"/>
          <w:szCs w:val="24"/>
          <w:lang w:val="en-US"/>
        </w:rPr>
        <w:t>741.264.110.312,00</w:t>
      </w:r>
      <w:r w:rsidRPr="008379CA">
        <w:rPr>
          <w:rFonts w:ascii="Bookman Old Style" w:hAnsi="Bookman Old Style"/>
          <w:sz w:val="24"/>
          <w:szCs w:val="24"/>
          <w:lang w:val="id-ID"/>
        </w:rPr>
        <w:t>.</w:t>
      </w:r>
      <w:r w:rsidR="00A954D0" w:rsidRPr="008379CA">
        <w:rPr>
          <w:rFonts w:ascii="Bookman Old Style" w:hAnsi="Bookman Old Style"/>
          <w:sz w:val="24"/>
          <w:szCs w:val="24"/>
        </w:rPr>
        <w:t xml:space="preserve"> </w:t>
      </w:r>
      <w:r w:rsidRPr="008379CA">
        <w:rPr>
          <w:rFonts w:ascii="Bookman Old Style" w:hAnsi="Bookman Old Style" w:cs="Arial"/>
          <w:sz w:val="24"/>
          <w:szCs w:val="24"/>
        </w:rPr>
        <w:t>Alokasi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anggaran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untuk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belanja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SPM</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tersebut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diuraikan</w:t>
      </w:r>
      <w:r w:rsidR="00A954D0" w:rsidRPr="008379CA">
        <w:rPr>
          <w:rFonts w:ascii="Bookman Old Style" w:hAnsi="Bookman Old Style" w:cs="Arial"/>
          <w:sz w:val="24"/>
          <w:szCs w:val="24"/>
        </w:rPr>
        <w:t xml:space="preserve"> </w:t>
      </w:r>
      <w:r w:rsidRPr="008379CA">
        <w:rPr>
          <w:rFonts w:ascii="Bookman Old Style" w:hAnsi="Bookman Old Style"/>
          <w:sz w:val="24"/>
          <w:szCs w:val="24"/>
          <w:lang w:val="sv-FI"/>
        </w:rPr>
        <w:t>ke</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dalam</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jenis</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pelayanan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dasar</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sebagai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berikut:</w:t>
      </w:r>
    </w:p>
    <w:p w14:paraId="3070D499" w14:textId="4B2EBF88" w:rsidR="00BB2062" w:rsidRPr="008379CA" w:rsidRDefault="00BB2062" w:rsidP="00CE715C">
      <w:pPr>
        <w:pStyle w:val="ListParagraph"/>
        <w:numPr>
          <w:ilvl w:val="0"/>
          <w:numId w:val="110"/>
        </w:numPr>
        <w:snapToGrid w:val="0"/>
        <w:spacing w:before="60" w:after="0" w:line="276" w:lineRule="auto"/>
        <w:ind w:left="1701" w:hanging="425"/>
        <w:contextualSpacing w:val="0"/>
        <w:jc w:val="both"/>
        <w:rPr>
          <w:rFonts w:ascii="Bookman Old Style" w:hAnsi="Bookman Old Style"/>
          <w:sz w:val="24"/>
          <w:szCs w:val="24"/>
          <w:lang w:val="fi-FI"/>
        </w:rPr>
      </w:pPr>
      <w:r w:rsidRPr="008379CA">
        <w:rPr>
          <w:rFonts w:ascii="Bookman Old Style" w:hAnsi="Bookman Old Style"/>
          <w:sz w:val="24"/>
          <w:szCs w:val="24"/>
          <w:lang w:val="fi-FI"/>
        </w:rPr>
        <w:t>Pengelolaan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Pengembangan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Sistem</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Penyediaan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Air</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Minum</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(SPAM)</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di</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Daerah</w:t>
      </w:r>
      <w:r w:rsidR="00A954D0" w:rsidRPr="008379CA">
        <w:rPr>
          <w:rFonts w:ascii="Bookman Old Style" w:hAnsi="Bookman Old Style"/>
          <w:sz w:val="24"/>
          <w:szCs w:val="24"/>
          <w:lang w:val="fi-FI"/>
        </w:rPr>
        <w:t xml:space="preserve"> </w:t>
      </w:r>
      <w:r w:rsidR="00172E1C" w:rsidRPr="008379CA">
        <w:rPr>
          <w:rFonts w:ascii="Bookman Old Style" w:hAnsi="Bookman Old Style"/>
          <w:sz w:val="24"/>
          <w:szCs w:val="24"/>
          <w:lang w:val="fi-FI"/>
        </w:rPr>
        <w:t>Kabupaten/Kota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Rp2.464.904.580,00;</w:t>
      </w:r>
    </w:p>
    <w:p w14:paraId="7398C9B2" w14:textId="362F697C" w:rsidR="00BB2062" w:rsidRPr="008379CA" w:rsidRDefault="00BB2062" w:rsidP="00CE715C">
      <w:pPr>
        <w:pStyle w:val="ListParagraph"/>
        <w:numPr>
          <w:ilvl w:val="0"/>
          <w:numId w:val="110"/>
        </w:numPr>
        <w:snapToGrid w:val="0"/>
        <w:spacing w:before="60" w:after="0" w:line="276" w:lineRule="auto"/>
        <w:ind w:left="1701" w:hanging="425"/>
        <w:contextualSpacing w:val="0"/>
        <w:jc w:val="both"/>
        <w:rPr>
          <w:rFonts w:ascii="Bookman Old Style" w:hAnsi="Bookman Old Style"/>
          <w:sz w:val="24"/>
          <w:szCs w:val="24"/>
          <w:lang w:val="fi-FI"/>
        </w:rPr>
      </w:pPr>
      <w:r w:rsidRPr="008379CA">
        <w:rPr>
          <w:rFonts w:ascii="Bookman Old Style" w:hAnsi="Bookman Old Style"/>
          <w:sz w:val="24"/>
          <w:szCs w:val="24"/>
          <w:lang w:val="fi-FI"/>
        </w:rPr>
        <w:t>Pengelolaan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Pengembangan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Sistem</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Air</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Limbah</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Domestik</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dalam</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Daerah</w:t>
      </w:r>
      <w:r w:rsidR="00A954D0" w:rsidRPr="008379CA">
        <w:rPr>
          <w:rFonts w:ascii="Bookman Old Style" w:hAnsi="Bookman Old Style"/>
          <w:sz w:val="24"/>
          <w:szCs w:val="24"/>
          <w:lang w:val="fi-FI"/>
        </w:rPr>
        <w:t xml:space="preserve"> </w:t>
      </w:r>
      <w:r w:rsidR="00172E1C" w:rsidRPr="008379CA">
        <w:rPr>
          <w:rFonts w:ascii="Bookman Old Style" w:hAnsi="Bookman Old Style"/>
          <w:sz w:val="24"/>
          <w:szCs w:val="24"/>
          <w:lang w:val="fi-FI"/>
        </w:rPr>
        <w:t>Kabupaten/Kota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Rp26.575.709.310,00</w:t>
      </w:r>
      <w:r w:rsidR="00CE715C" w:rsidRPr="008379CA">
        <w:rPr>
          <w:rFonts w:ascii="Bookman Old Style" w:hAnsi="Bookman Old Style"/>
          <w:sz w:val="24"/>
          <w:szCs w:val="24"/>
          <w:lang w:val="fi-FI"/>
        </w:rPr>
        <w:t>.</w:t>
      </w:r>
    </w:p>
    <w:p w14:paraId="477EA2E1" w14:textId="06E5E8B6" w:rsidR="00BB2062" w:rsidRPr="008379CA" w:rsidRDefault="00BB2062" w:rsidP="00CE715C">
      <w:pPr>
        <w:snapToGrid w:val="0"/>
        <w:spacing w:before="60" w:line="276" w:lineRule="auto"/>
        <w:ind w:left="1276"/>
        <w:jc w:val="both"/>
        <w:rPr>
          <w:rFonts w:ascii="Bookman Old Style" w:hAnsi="Bookman Old Style"/>
          <w:lang w:val="id-ID"/>
        </w:rPr>
      </w:pPr>
      <w:r w:rsidRPr="008379CA">
        <w:rPr>
          <w:rFonts w:ascii="Bookman Old Style" w:hAnsi="Bookman Old Style"/>
          <w:lang w:val="id-ID"/>
        </w:rPr>
        <w:t>Harus</w:t>
      </w:r>
      <w:r w:rsidR="00A954D0" w:rsidRPr="008379CA">
        <w:rPr>
          <w:rFonts w:ascii="Bookman Old Style" w:hAnsi="Bookman Old Style"/>
          <w:lang w:val="id-ID"/>
        </w:rPr>
        <w:t xml:space="preserve"> </w:t>
      </w:r>
      <w:r w:rsidRPr="008379CA">
        <w:rPr>
          <w:rFonts w:ascii="Bookman Old Style" w:hAnsi="Bookman Old Style"/>
          <w:lang w:val="sv-FI"/>
        </w:rPr>
        <w:t>diprioritaskan</w:t>
      </w:r>
      <w:r w:rsidR="00A954D0" w:rsidRPr="008379CA">
        <w:rPr>
          <w:rFonts w:ascii="Bookman Old Style" w:hAnsi="Bookman Old Style"/>
          <w:lang w:val="id-ID"/>
        </w:rPr>
        <w:t xml:space="preserve"> </w:t>
      </w:r>
      <w:r w:rsidRPr="008379CA">
        <w:rPr>
          <w:rFonts w:ascii="Bookman Old Style" w:hAnsi="Bookman Old Style"/>
          <w:lang w:val="id-ID"/>
        </w:rPr>
        <w:t>untuk</w:t>
      </w:r>
      <w:r w:rsidR="00A954D0" w:rsidRPr="008379CA">
        <w:rPr>
          <w:rFonts w:ascii="Bookman Old Style" w:hAnsi="Bookman Old Style"/>
          <w:lang w:val="id-ID"/>
        </w:rPr>
        <w:t xml:space="preserve"> </w:t>
      </w:r>
      <w:r w:rsidRPr="008379CA">
        <w:rPr>
          <w:rFonts w:ascii="Bookman Old Style" w:hAnsi="Bookman Old Style"/>
          <w:lang w:val="id-ID"/>
        </w:rPr>
        <w:t>memenuhi</w:t>
      </w:r>
      <w:r w:rsidR="00A954D0" w:rsidRPr="008379CA">
        <w:rPr>
          <w:rFonts w:ascii="Bookman Old Style" w:hAnsi="Bookman Old Style"/>
          <w:lang w:val="id-ID"/>
        </w:rPr>
        <w:t xml:space="preserve"> </w:t>
      </w:r>
      <w:r w:rsidRPr="008379CA">
        <w:rPr>
          <w:rFonts w:ascii="Bookman Old Style" w:hAnsi="Bookman Old Style"/>
          <w:lang w:val="id-ID"/>
        </w:rPr>
        <w:t>pencapaian</w:t>
      </w:r>
      <w:r w:rsidR="00A954D0" w:rsidRPr="008379CA">
        <w:rPr>
          <w:rFonts w:ascii="Bookman Old Style" w:hAnsi="Bookman Old Style"/>
          <w:lang w:val="id-ID"/>
        </w:rPr>
        <w:t xml:space="preserve"> </w:t>
      </w:r>
      <w:r w:rsidRPr="008379CA">
        <w:rPr>
          <w:rFonts w:ascii="Bookman Old Style" w:hAnsi="Bookman Old Style"/>
          <w:lang w:val="id-ID"/>
        </w:rPr>
        <w:t>SPM</w:t>
      </w:r>
      <w:r w:rsidR="00A954D0" w:rsidRPr="008379CA">
        <w:rPr>
          <w:rFonts w:ascii="Bookman Old Style" w:hAnsi="Bookman Old Style"/>
          <w:lang w:val="id-ID"/>
        </w:rPr>
        <w:t xml:space="preserve"> </w:t>
      </w:r>
      <w:r w:rsidRPr="008379CA">
        <w:rPr>
          <w:rFonts w:ascii="Bookman Old Style" w:hAnsi="Bookman Old Style"/>
          <w:lang w:val="id-ID"/>
        </w:rPr>
        <w:t>Pekerjaan</w:t>
      </w:r>
      <w:r w:rsidR="00A954D0" w:rsidRPr="008379CA">
        <w:rPr>
          <w:rFonts w:ascii="Bookman Old Style" w:hAnsi="Bookman Old Style"/>
          <w:lang w:val="id-ID"/>
        </w:rPr>
        <w:t xml:space="preserve"> </w:t>
      </w:r>
      <w:r w:rsidRPr="008379CA">
        <w:rPr>
          <w:rFonts w:ascii="Bookman Old Style" w:hAnsi="Bookman Old Style"/>
          <w:lang w:val="id-ID"/>
        </w:rPr>
        <w:t>Umum</w:t>
      </w:r>
      <w:r w:rsidR="00A954D0" w:rsidRPr="008379CA">
        <w:rPr>
          <w:rFonts w:ascii="Bookman Old Style" w:hAnsi="Bookman Old Style"/>
          <w:lang w:val="id-ID"/>
        </w:rPr>
        <w:t xml:space="preserve"> </w:t>
      </w:r>
      <w:r w:rsidRPr="008379CA">
        <w:rPr>
          <w:rFonts w:ascii="Bookman Old Style" w:hAnsi="Bookman Old Style"/>
          <w:lang w:val="id-ID"/>
        </w:rPr>
        <w:t>dan</w:t>
      </w:r>
      <w:r w:rsidR="00A954D0" w:rsidRPr="008379CA">
        <w:rPr>
          <w:rFonts w:ascii="Bookman Old Style" w:hAnsi="Bookman Old Style"/>
          <w:lang w:val="id-ID"/>
        </w:rPr>
        <w:t xml:space="preserve"> </w:t>
      </w:r>
      <w:r w:rsidRPr="008379CA">
        <w:rPr>
          <w:rFonts w:ascii="Bookman Old Style" w:hAnsi="Bookman Old Style"/>
          <w:lang w:val="id-ID"/>
        </w:rPr>
        <w:t>Penataan</w:t>
      </w:r>
      <w:r w:rsidR="00A954D0" w:rsidRPr="008379CA">
        <w:rPr>
          <w:rFonts w:ascii="Bookman Old Style" w:hAnsi="Bookman Old Style"/>
          <w:lang w:val="id-ID"/>
        </w:rPr>
        <w:t xml:space="preserve"> </w:t>
      </w:r>
      <w:r w:rsidRPr="008379CA">
        <w:rPr>
          <w:rFonts w:ascii="Bookman Old Style" w:hAnsi="Bookman Old Style"/>
          <w:lang w:val="id-ID"/>
        </w:rPr>
        <w:t>Ruang</w:t>
      </w:r>
      <w:r w:rsidR="00A954D0" w:rsidRPr="008379CA">
        <w:rPr>
          <w:rFonts w:ascii="Bookman Old Style" w:hAnsi="Bookman Old Style"/>
          <w:lang w:val="id-ID"/>
        </w:rPr>
        <w:t xml:space="preserve"> </w:t>
      </w:r>
      <w:r w:rsidRPr="008379CA">
        <w:rPr>
          <w:rFonts w:ascii="Bookman Old Style" w:hAnsi="Bookman Old Style"/>
          <w:lang w:val="id-ID"/>
        </w:rPr>
        <w:t>untuk</w:t>
      </w:r>
      <w:r w:rsidR="00A954D0" w:rsidRPr="008379CA">
        <w:rPr>
          <w:rFonts w:ascii="Bookman Old Style" w:hAnsi="Bookman Old Style"/>
          <w:lang w:val="id-ID"/>
        </w:rPr>
        <w:t xml:space="preserve"> </w:t>
      </w:r>
      <w:r w:rsidR="00172E1C" w:rsidRPr="008379CA">
        <w:rPr>
          <w:rFonts w:ascii="Bookman Old Style" w:hAnsi="Bookman Old Style"/>
          <w:lang w:val="id-ID"/>
        </w:rPr>
        <w:t>Kabupaten/Kota</w:t>
      </w:r>
      <w:r w:rsidR="00A954D0" w:rsidRPr="008379CA">
        <w:rPr>
          <w:rFonts w:ascii="Bookman Old Style" w:hAnsi="Bookman Old Style"/>
          <w:lang w:val="sv-FI"/>
        </w:rPr>
        <w:t xml:space="preserve"> </w:t>
      </w:r>
      <w:r w:rsidRPr="008379CA">
        <w:rPr>
          <w:rFonts w:ascii="Bookman Old Style" w:hAnsi="Bookman Old Style"/>
          <w:lang w:val="id-ID"/>
        </w:rPr>
        <w:t>sebagaimana</w:t>
      </w:r>
      <w:r w:rsidR="00A954D0" w:rsidRPr="008379CA">
        <w:rPr>
          <w:rFonts w:ascii="Bookman Old Style" w:hAnsi="Bookman Old Style"/>
          <w:lang w:val="id-ID"/>
        </w:rPr>
        <w:t xml:space="preserve"> </w:t>
      </w:r>
      <w:r w:rsidRPr="008379CA">
        <w:rPr>
          <w:rFonts w:ascii="Bookman Old Style" w:hAnsi="Bookman Old Style"/>
          <w:lang w:val="id-ID"/>
        </w:rPr>
        <w:t>diamanatkan</w:t>
      </w:r>
      <w:r w:rsidR="00A954D0" w:rsidRPr="008379CA">
        <w:rPr>
          <w:rFonts w:ascii="Bookman Old Style" w:hAnsi="Bookman Old Style"/>
          <w:lang w:val="id-ID"/>
        </w:rPr>
        <w:t xml:space="preserve"> </w:t>
      </w:r>
      <w:r w:rsidRPr="008379CA">
        <w:rPr>
          <w:rFonts w:ascii="Bookman Old Style" w:hAnsi="Bookman Old Style"/>
          <w:lang w:val="id-ID"/>
        </w:rPr>
        <w:t>dalam</w:t>
      </w:r>
      <w:r w:rsidR="00A954D0" w:rsidRPr="008379CA">
        <w:rPr>
          <w:rFonts w:ascii="Bookman Old Style" w:hAnsi="Bookman Old Style"/>
          <w:lang w:val="id-ID"/>
        </w:rPr>
        <w:t xml:space="preserve"> </w:t>
      </w:r>
      <w:r w:rsidRPr="008379CA">
        <w:rPr>
          <w:rFonts w:ascii="Bookman Old Style" w:hAnsi="Bookman Old Style"/>
          <w:lang w:val="id-ID"/>
        </w:rPr>
        <w:t>Peraturan</w:t>
      </w:r>
      <w:r w:rsidR="00A954D0" w:rsidRPr="008379CA">
        <w:rPr>
          <w:rFonts w:ascii="Bookman Old Style" w:hAnsi="Bookman Old Style"/>
          <w:lang w:val="id-ID"/>
        </w:rPr>
        <w:t xml:space="preserve"> </w:t>
      </w:r>
      <w:r w:rsidRPr="008379CA">
        <w:rPr>
          <w:rFonts w:ascii="Bookman Old Style" w:hAnsi="Bookman Old Style"/>
          <w:lang w:val="id-ID"/>
        </w:rPr>
        <w:t>Pemerintah</w:t>
      </w:r>
      <w:r w:rsidR="00A954D0" w:rsidRPr="008379CA">
        <w:rPr>
          <w:rFonts w:ascii="Bookman Old Style" w:hAnsi="Bookman Old Style"/>
          <w:lang w:val="id-ID"/>
        </w:rPr>
        <w:t xml:space="preserve"> </w:t>
      </w:r>
      <w:r w:rsidRPr="008379CA">
        <w:rPr>
          <w:rFonts w:ascii="Bookman Old Style" w:hAnsi="Bookman Old Style"/>
          <w:lang w:val="id-ID"/>
        </w:rPr>
        <w:t>Nomor</w:t>
      </w:r>
      <w:r w:rsidR="00A954D0" w:rsidRPr="008379CA">
        <w:rPr>
          <w:rFonts w:ascii="Bookman Old Style" w:hAnsi="Bookman Old Style"/>
          <w:lang w:val="sv-FI"/>
        </w:rPr>
        <w:t xml:space="preserve"> </w:t>
      </w:r>
      <w:r w:rsidRPr="008379CA">
        <w:rPr>
          <w:rFonts w:ascii="Bookman Old Style" w:hAnsi="Bookman Old Style"/>
          <w:lang w:val="id-ID"/>
        </w:rPr>
        <w:t>2</w:t>
      </w:r>
      <w:r w:rsidR="00A954D0" w:rsidRPr="008379CA">
        <w:rPr>
          <w:rFonts w:ascii="Bookman Old Style" w:hAnsi="Bookman Old Style"/>
          <w:lang w:val="id-ID"/>
        </w:rPr>
        <w:t xml:space="preserve"> </w:t>
      </w:r>
      <w:r w:rsidRPr="008379CA">
        <w:rPr>
          <w:rFonts w:ascii="Bookman Old Style" w:hAnsi="Bookman Old Style"/>
          <w:lang w:val="id-ID"/>
        </w:rPr>
        <w:t>Tahun</w:t>
      </w:r>
      <w:r w:rsidR="00A954D0" w:rsidRPr="008379CA">
        <w:rPr>
          <w:rFonts w:ascii="Bookman Old Style" w:hAnsi="Bookman Old Style"/>
          <w:lang w:val="id-ID"/>
        </w:rPr>
        <w:t xml:space="preserve"> </w:t>
      </w:r>
      <w:r w:rsidRPr="008379CA">
        <w:rPr>
          <w:rFonts w:ascii="Bookman Old Style" w:hAnsi="Bookman Old Style"/>
          <w:lang w:val="id-ID"/>
        </w:rPr>
        <w:t>2018,</w:t>
      </w:r>
      <w:r w:rsidR="00A954D0" w:rsidRPr="008379CA">
        <w:rPr>
          <w:rFonts w:ascii="Bookman Old Style" w:hAnsi="Bookman Old Style"/>
          <w:lang w:val="id-ID"/>
        </w:rPr>
        <w:t xml:space="preserve"> </w:t>
      </w:r>
      <w:r w:rsidRPr="008379CA">
        <w:rPr>
          <w:rFonts w:ascii="Bookman Old Style" w:hAnsi="Bookman Old Style"/>
          <w:lang w:val="id-ID"/>
        </w:rPr>
        <w:t>Peraturan</w:t>
      </w:r>
      <w:r w:rsidR="00A954D0" w:rsidRPr="008379CA">
        <w:rPr>
          <w:rFonts w:ascii="Bookman Old Style" w:hAnsi="Bookman Old Style"/>
          <w:lang w:val="id-ID"/>
        </w:rPr>
        <w:t xml:space="preserve"> </w:t>
      </w:r>
      <w:r w:rsidRPr="008379CA">
        <w:rPr>
          <w:rFonts w:ascii="Bookman Old Style" w:hAnsi="Bookman Old Style"/>
          <w:lang w:val="id-ID"/>
        </w:rPr>
        <w:t>Menteri</w:t>
      </w:r>
      <w:r w:rsidR="00A954D0" w:rsidRPr="008379CA">
        <w:rPr>
          <w:rFonts w:ascii="Bookman Old Style" w:hAnsi="Bookman Old Style"/>
          <w:lang w:val="id-ID"/>
        </w:rPr>
        <w:t xml:space="preserve"> </w:t>
      </w:r>
      <w:r w:rsidRPr="008379CA">
        <w:rPr>
          <w:rFonts w:ascii="Bookman Old Style" w:hAnsi="Bookman Old Style"/>
          <w:lang w:val="id-ID"/>
        </w:rPr>
        <w:t>Dalam</w:t>
      </w:r>
      <w:r w:rsidR="00A954D0" w:rsidRPr="008379CA">
        <w:rPr>
          <w:rFonts w:ascii="Bookman Old Style" w:hAnsi="Bookman Old Style"/>
          <w:lang w:val="id-ID"/>
        </w:rPr>
        <w:t xml:space="preserve"> </w:t>
      </w:r>
      <w:r w:rsidRPr="008379CA">
        <w:rPr>
          <w:rFonts w:ascii="Bookman Old Style" w:hAnsi="Bookman Old Style"/>
          <w:lang w:val="id-ID"/>
        </w:rPr>
        <w:t>Negeri</w:t>
      </w:r>
      <w:r w:rsidR="00A954D0" w:rsidRPr="008379CA">
        <w:rPr>
          <w:rFonts w:ascii="Bookman Old Style" w:hAnsi="Bookman Old Style"/>
          <w:lang w:val="id-ID"/>
        </w:rPr>
        <w:t xml:space="preserve"> </w:t>
      </w:r>
      <w:r w:rsidRPr="008379CA">
        <w:rPr>
          <w:rFonts w:ascii="Bookman Old Style" w:hAnsi="Bookman Old Style"/>
          <w:lang w:val="id-ID"/>
        </w:rPr>
        <w:t>Nomor</w:t>
      </w:r>
      <w:r w:rsidR="00A954D0" w:rsidRPr="008379CA">
        <w:rPr>
          <w:rFonts w:ascii="Bookman Old Style" w:hAnsi="Bookman Old Style"/>
          <w:lang w:val="id-ID"/>
        </w:rPr>
        <w:t xml:space="preserve"> </w:t>
      </w:r>
      <w:r w:rsidRPr="008379CA">
        <w:rPr>
          <w:rFonts w:ascii="Bookman Old Style" w:hAnsi="Bookman Old Style"/>
          <w:lang w:val="id-ID"/>
        </w:rPr>
        <w:t>59</w:t>
      </w:r>
      <w:r w:rsidR="00A954D0" w:rsidRPr="008379CA">
        <w:rPr>
          <w:rFonts w:ascii="Bookman Old Style" w:hAnsi="Bookman Old Style"/>
          <w:lang w:val="id-ID"/>
        </w:rPr>
        <w:t xml:space="preserve"> </w:t>
      </w:r>
      <w:r w:rsidRPr="008379CA">
        <w:rPr>
          <w:rFonts w:ascii="Bookman Old Style" w:hAnsi="Bookman Old Style"/>
          <w:lang w:val="id-ID"/>
        </w:rPr>
        <w:t>Tahun</w:t>
      </w:r>
      <w:r w:rsidR="00A954D0" w:rsidRPr="008379CA">
        <w:rPr>
          <w:rFonts w:ascii="Bookman Old Style" w:hAnsi="Bookman Old Style"/>
          <w:lang w:val="id-ID"/>
        </w:rPr>
        <w:t xml:space="preserve"> </w:t>
      </w:r>
      <w:r w:rsidRPr="008379CA">
        <w:rPr>
          <w:rFonts w:ascii="Bookman Old Style" w:hAnsi="Bookman Old Style"/>
          <w:lang w:val="id-ID"/>
        </w:rPr>
        <w:t>2021,</w:t>
      </w:r>
      <w:r w:rsidR="00A954D0" w:rsidRPr="008379CA">
        <w:rPr>
          <w:rFonts w:ascii="Bookman Old Style" w:hAnsi="Bookman Old Style"/>
          <w:lang w:val="id-ID"/>
        </w:rPr>
        <w:t xml:space="preserve"> </w:t>
      </w:r>
      <w:r w:rsidRPr="008379CA">
        <w:rPr>
          <w:rFonts w:ascii="Bookman Old Style" w:hAnsi="Bookman Old Style"/>
          <w:lang w:val="id-ID"/>
        </w:rPr>
        <w:t>dan</w:t>
      </w:r>
      <w:r w:rsidR="00A954D0" w:rsidRPr="008379CA">
        <w:rPr>
          <w:rFonts w:ascii="Bookman Old Style" w:hAnsi="Bookman Old Style"/>
          <w:lang w:val="id-ID"/>
        </w:rPr>
        <w:t xml:space="preserve"> </w:t>
      </w:r>
      <w:r w:rsidRPr="008379CA">
        <w:rPr>
          <w:rFonts w:ascii="Bookman Old Style" w:hAnsi="Bookman Old Style"/>
          <w:lang w:val="id-ID"/>
        </w:rPr>
        <w:t>dan</w:t>
      </w:r>
      <w:r w:rsidR="00A954D0" w:rsidRPr="008379CA">
        <w:rPr>
          <w:rFonts w:ascii="Bookman Old Style" w:hAnsi="Bookman Old Style"/>
          <w:lang w:val="id-ID"/>
        </w:rPr>
        <w:t xml:space="preserve"> </w:t>
      </w:r>
      <w:r w:rsidRPr="008379CA">
        <w:rPr>
          <w:rFonts w:ascii="Bookman Old Style" w:hAnsi="Bookman Old Style"/>
          <w:lang w:val="id-ID"/>
        </w:rPr>
        <w:t>Peraturan</w:t>
      </w:r>
      <w:r w:rsidR="00A954D0" w:rsidRPr="008379CA">
        <w:rPr>
          <w:rFonts w:ascii="Bookman Old Style" w:hAnsi="Bookman Old Style"/>
          <w:lang w:val="id-ID"/>
        </w:rPr>
        <w:t xml:space="preserve"> </w:t>
      </w:r>
      <w:r w:rsidRPr="008379CA">
        <w:rPr>
          <w:rFonts w:ascii="Bookman Old Style" w:hAnsi="Bookman Old Style"/>
          <w:lang w:val="id-ID"/>
        </w:rPr>
        <w:t>Menteri</w:t>
      </w:r>
      <w:r w:rsidR="00A954D0" w:rsidRPr="008379CA">
        <w:rPr>
          <w:rFonts w:ascii="Bookman Old Style" w:hAnsi="Bookman Old Style"/>
          <w:lang w:val="id-ID"/>
        </w:rPr>
        <w:t xml:space="preserve"> </w:t>
      </w:r>
      <w:r w:rsidRPr="008379CA">
        <w:rPr>
          <w:rFonts w:ascii="Bookman Old Style" w:hAnsi="Bookman Old Style"/>
          <w:lang w:val="id-ID"/>
        </w:rPr>
        <w:t>Pekerjaan</w:t>
      </w:r>
      <w:r w:rsidR="00A954D0" w:rsidRPr="008379CA">
        <w:rPr>
          <w:rFonts w:ascii="Bookman Old Style" w:hAnsi="Bookman Old Style"/>
          <w:lang w:val="id-ID"/>
        </w:rPr>
        <w:t xml:space="preserve"> </w:t>
      </w:r>
      <w:r w:rsidRPr="008379CA">
        <w:rPr>
          <w:rFonts w:ascii="Bookman Old Style" w:hAnsi="Bookman Old Style"/>
          <w:lang w:val="id-ID"/>
        </w:rPr>
        <w:t>Umum</w:t>
      </w:r>
      <w:r w:rsidR="00A954D0" w:rsidRPr="008379CA">
        <w:rPr>
          <w:rFonts w:ascii="Bookman Old Style" w:hAnsi="Bookman Old Style"/>
          <w:lang w:val="id-ID"/>
        </w:rPr>
        <w:t xml:space="preserve"> </w:t>
      </w:r>
      <w:r w:rsidRPr="008379CA">
        <w:rPr>
          <w:rFonts w:ascii="Bookman Old Style" w:hAnsi="Bookman Old Style"/>
          <w:lang w:val="id-ID"/>
        </w:rPr>
        <w:t>dan</w:t>
      </w:r>
      <w:r w:rsidR="00A954D0" w:rsidRPr="008379CA">
        <w:rPr>
          <w:rFonts w:ascii="Bookman Old Style" w:hAnsi="Bookman Old Style"/>
          <w:lang w:val="id-ID"/>
        </w:rPr>
        <w:t xml:space="preserve"> </w:t>
      </w:r>
      <w:r w:rsidRPr="008379CA">
        <w:rPr>
          <w:rFonts w:ascii="Bookman Old Style" w:hAnsi="Bookman Old Style"/>
          <w:lang w:val="id-ID"/>
        </w:rPr>
        <w:t>Perumahan</w:t>
      </w:r>
      <w:r w:rsidR="00A954D0" w:rsidRPr="008379CA">
        <w:rPr>
          <w:rFonts w:ascii="Bookman Old Style" w:hAnsi="Bookman Old Style"/>
          <w:lang w:val="id-ID"/>
        </w:rPr>
        <w:t xml:space="preserve"> </w:t>
      </w:r>
      <w:r w:rsidRPr="008379CA">
        <w:rPr>
          <w:rFonts w:ascii="Bookman Old Style" w:hAnsi="Bookman Old Style"/>
          <w:lang w:val="id-ID"/>
        </w:rPr>
        <w:t>Rakyat</w:t>
      </w:r>
      <w:r w:rsidR="00A954D0" w:rsidRPr="008379CA">
        <w:rPr>
          <w:rFonts w:ascii="Bookman Old Style" w:hAnsi="Bookman Old Style"/>
          <w:lang w:val="id-ID"/>
        </w:rPr>
        <w:t xml:space="preserve"> </w:t>
      </w:r>
      <w:r w:rsidRPr="008379CA">
        <w:rPr>
          <w:rFonts w:ascii="Bookman Old Style" w:hAnsi="Bookman Old Style"/>
          <w:lang w:val="id-ID"/>
        </w:rPr>
        <w:t>Nomor</w:t>
      </w:r>
      <w:r w:rsidR="00A954D0" w:rsidRPr="008379CA">
        <w:rPr>
          <w:rFonts w:ascii="Bookman Old Style" w:hAnsi="Bookman Old Style"/>
          <w:lang w:val="id-ID"/>
        </w:rPr>
        <w:t xml:space="preserve"> </w:t>
      </w:r>
      <w:r w:rsidRPr="008379CA">
        <w:rPr>
          <w:rFonts w:ascii="Bookman Old Style" w:hAnsi="Bookman Old Style"/>
          <w:lang w:val="sv-FI"/>
        </w:rPr>
        <w:t>13</w:t>
      </w:r>
      <w:r w:rsidR="00A954D0" w:rsidRPr="008379CA">
        <w:rPr>
          <w:rFonts w:ascii="Bookman Old Style" w:hAnsi="Bookman Old Style"/>
          <w:lang w:val="sv-FI"/>
        </w:rPr>
        <w:t xml:space="preserve"> </w:t>
      </w:r>
      <w:r w:rsidRPr="008379CA">
        <w:rPr>
          <w:rFonts w:ascii="Bookman Old Style" w:hAnsi="Bookman Old Style"/>
          <w:lang w:val="sv-FI"/>
        </w:rPr>
        <w:t>Tahun</w:t>
      </w:r>
      <w:r w:rsidR="00A954D0" w:rsidRPr="008379CA">
        <w:rPr>
          <w:rFonts w:ascii="Bookman Old Style" w:hAnsi="Bookman Old Style"/>
          <w:lang w:val="sv-FI"/>
        </w:rPr>
        <w:t xml:space="preserve"> </w:t>
      </w:r>
      <w:r w:rsidRPr="008379CA">
        <w:rPr>
          <w:rFonts w:ascii="Bookman Old Style" w:hAnsi="Bookman Old Style"/>
          <w:lang w:val="sv-FI"/>
        </w:rPr>
        <w:t>2023</w:t>
      </w:r>
      <w:r w:rsidR="00A954D0" w:rsidRPr="008379CA">
        <w:rPr>
          <w:rFonts w:ascii="Bookman Old Style" w:hAnsi="Bookman Old Style"/>
          <w:lang w:val="id-ID"/>
        </w:rPr>
        <w:t xml:space="preserve"> </w:t>
      </w:r>
      <w:r w:rsidRPr="008379CA">
        <w:rPr>
          <w:rFonts w:ascii="Bookman Old Style" w:hAnsi="Bookman Old Style"/>
          <w:lang w:val="id-ID"/>
        </w:rPr>
        <w:t>tentang</w:t>
      </w:r>
      <w:r w:rsidR="00A954D0" w:rsidRPr="008379CA">
        <w:rPr>
          <w:rFonts w:ascii="Bookman Old Style" w:hAnsi="Bookman Old Style"/>
          <w:lang w:val="id-ID"/>
        </w:rPr>
        <w:t xml:space="preserve"> </w:t>
      </w:r>
      <w:r w:rsidRPr="008379CA">
        <w:rPr>
          <w:rFonts w:ascii="Bookman Old Style" w:hAnsi="Bookman Old Style"/>
          <w:lang w:val="id-ID"/>
        </w:rPr>
        <w:t>Standar</w:t>
      </w:r>
      <w:r w:rsidR="00A954D0" w:rsidRPr="008379CA">
        <w:rPr>
          <w:rFonts w:ascii="Bookman Old Style" w:hAnsi="Bookman Old Style"/>
          <w:lang w:val="id-ID"/>
        </w:rPr>
        <w:t xml:space="preserve"> </w:t>
      </w:r>
      <w:r w:rsidRPr="008379CA">
        <w:rPr>
          <w:rFonts w:ascii="Bookman Old Style" w:hAnsi="Bookman Old Style"/>
          <w:lang w:val="id-ID"/>
        </w:rPr>
        <w:t>Teknis</w:t>
      </w:r>
      <w:r w:rsidR="00A954D0" w:rsidRPr="008379CA">
        <w:rPr>
          <w:rFonts w:ascii="Bookman Old Style" w:hAnsi="Bookman Old Style"/>
          <w:lang w:val="id-ID"/>
        </w:rPr>
        <w:t xml:space="preserve"> </w:t>
      </w:r>
      <w:r w:rsidRPr="008379CA">
        <w:rPr>
          <w:rFonts w:ascii="Bookman Old Style" w:hAnsi="Bookman Old Style"/>
          <w:lang w:val="id-ID"/>
        </w:rPr>
        <w:t>Standar</w:t>
      </w:r>
      <w:r w:rsidR="00A954D0" w:rsidRPr="008379CA">
        <w:rPr>
          <w:rFonts w:ascii="Bookman Old Style" w:hAnsi="Bookman Old Style"/>
          <w:lang w:val="id-ID"/>
        </w:rPr>
        <w:t xml:space="preserve"> </w:t>
      </w:r>
      <w:r w:rsidRPr="008379CA">
        <w:rPr>
          <w:rFonts w:ascii="Bookman Old Style" w:hAnsi="Bookman Old Style"/>
          <w:lang w:val="id-ID"/>
        </w:rPr>
        <w:t>Pelayanan</w:t>
      </w:r>
      <w:r w:rsidR="00A954D0" w:rsidRPr="008379CA">
        <w:rPr>
          <w:rFonts w:ascii="Bookman Old Style" w:hAnsi="Bookman Old Style"/>
          <w:lang w:val="id-ID"/>
        </w:rPr>
        <w:t xml:space="preserve"> </w:t>
      </w:r>
      <w:r w:rsidRPr="008379CA">
        <w:rPr>
          <w:rFonts w:ascii="Bookman Old Style" w:hAnsi="Bookman Old Style"/>
          <w:lang w:val="id-ID"/>
        </w:rPr>
        <w:t>Minimal</w:t>
      </w:r>
      <w:r w:rsidR="00A954D0" w:rsidRPr="008379CA">
        <w:rPr>
          <w:rFonts w:ascii="Bookman Old Style" w:hAnsi="Bookman Old Style"/>
          <w:lang w:val="id-ID"/>
        </w:rPr>
        <w:t xml:space="preserve"> </w:t>
      </w:r>
      <w:r w:rsidRPr="008379CA">
        <w:rPr>
          <w:rFonts w:ascii="Bookman Old Style" w:hAnsi="Bookman Old Style"/>
          <w:lang w:val="sv-FI"/>
        </w:rPr>
        <w:t>Bidang</w:t>
      </w:r>
      <w:r w:rsidR="00A954D0" w:rsidRPr="008379CA">
        <w:rPr>
          <w:rFonts w:ascii="Bookman Old Style" w:hAnsi="Bookman Old Style"/>
          <w:lang w:val="sv-FI"/>
        </w:rPr>
        <w:t xml:space="preserve"> </w:t>
      </w:r>
      <w:r w:rsidRPr="008379CA">
        <w:rPr>
          <w:rFonts w:ascii="Bookman Old Style" w:hAnsi="Bookman Old Style"/>
          <w:lang w:val="id-ID"/>
        </w:rPr>
        <w:t>Pekerjaan</w:t>
      </w:r>
      <w:r w:rsidR="00A954D0" w:rsidRPr="008379CA">
        <w:rPr>
          <w:rFonts w:ascii="Bookman Old Style" w:hAnsi="Bookman Old Style"/>
          <w:lang w:val="id-ID"/>
        </w:rPr>
        <w:t xml:space="preserve"> </w:t>
      </w:r>
      <w:r w:rsidRPr="008379CA">
        <w:rPr>
          <w:rFonts w:ascii="Bookman Old Style" w:hAnsi="Bookman Old Style"/>
          <w:lang w:val="id-ID"/>
        </w:rPr>
        <w:t>Umum</w:t>
      </w:r>
      <w:r w:rsidR="00A954D0" w:rsidRPr="008379CA">
        <w:rPr>
          <w:rFonts w:ascii="Bookman Old Style" w:hAnsi="Bookman Old Style"/>
          <w:lang w:val="id-ID"/>
        </w:rPr>
        <w:t xml:space="preserve"> </w:t>
      </w:r>
      <w:r w:rsidRPr="008379CA">
        <w:rPr>
          <w:rFonts w:ascii="Bookman Old Style" w:hAnsi="Bookman Old Style"/>
          <w:lang w:val="id-ID"/>
        </w:rPr>
        <w:t>dan</w:t>
      </w:r>
      <w:r w:rsidR="00A954D0" w:rsidRPr="008379CA">
        <w:rPr>
          <w:rFonts w:ascii="Bookman Old Style" w:hAnsi="Bookman Old Style"/>
          <w:lang w:val="id-ID"/>
        </w:rPr>
        <w:t xml:space="preserve"> </w:t>
      </w:r>
      <w:r w:rsidRPr="008379CA">
        <w:rPr>
          <w:rFonts w:ascii="Bookman Old Style" w:hAnsi="Bookman Old Style"/>
          <w:lang w:val="id-ID"/>
        </w:rPr>
        <w:t>Perumahan</w:t>
      </w:r>
      <w:r w:rsidR="00A954D0" w:rsidRPr="008379CA">
        <w:rPr>
          <w:rFonts w:ascii="Bookman Old Style" w:hAnsi="Bookman Old Style"/>
          <w:lang w:val="id-ID"/>
        </w:rPr>
        <w:t xml:space="preserve"> </w:t>
      </w:r>
      <w:r w:rsidRPr="008379CA">
        <w:rPr>
          <w:rFonts w:ascii="Bookman Old Style" w:hAnsi="Bookman Old Style"/>
          <w:lang w:val="id-ID"/>
        </w:rPr>
        <w:t>Rakyat</w:t>
      </w:r>
      <w:r w:rsidR="00A954D0" w:rsidRPr="008379CA">
        <w:rPr>
          <w:rFonts w:ascii="Bookman Old Style" w:hAnsi="Bookman Old Style"/>
          <w:lang w:val="id-ID"/>
        </w:rPr>
        <w:t xml:space="preserve"> </w:t>
      </w:r>
      <w:r w:rsidRPr="008379CA">
        <w:rPr>
          <w:rFonts w:ascii="Bookman Old Style" w:hAnsi="Bookman Old Style" w:cs="Arial"/>
          <w:lang w:val="id-ID"/>
        </w:rPr>
        <w:t>serta</w:t>
      </w:r>
      <w:r w:rsidR="00A954D0" w:rsidRPr="008379CA">
        <w:rPr>
          <w:rFonts w:ascii="Bookman Old Style" w:hAnsi="Bookman Old Style" w:cs="Arial"/>
          <w:lang w:val="id-ID"/>
        </w:rPr>
        <w:t xml:space="preserve"> </w:t>
      </w:r>
      <w:r w:rsidRPr="008379CA">
        <w:rPr>
          <w:rFonts w:ascii="Bookman Old Style" w:hAnsi="Bookman Old Style"/>
          <w:lang w:val="fi-FI"/>
        </w:rPr>
        <w:t>butir</w:t>
      </w:r>
      <w:r w:rsidR="00A954D0" w:rsidRPr="008379CA">
        <w:rPr>
          <w:rFonts w:ascii="Bookman Old Style" w:hAnsi="Bookman Old Style"/>
          <w:lang w:val="fi-FI"/>
        </w:rPr>
        <w:t xml:space="preserve"> </w:t>
      </w:r>
      <w:r w:rsidRPr="008379CA">
        <w:rPr>
          <w:rFonts w:ascii="Bookman Old Style" w:hAnsi="Bookman Old Style"/>
          <w:lang w:val="fi-FI"/>
        </w:rPr>
        <w:t>5.2.1.a.3)</w:t>
      </w:r>
      <w:r w:rsidR="00A954D0" w:rsidRPr="008379CA">
        <w:rPr>
          <w:rFonts w:ascii="Bookman Old Style" w:hAnsi="Bookman Old Style"/>
          <w:lang w:val="id-ID"/>
        </w:rPr>
        <w:t xml:space="preserve"> </w:t>
      </w:r>
      <w:r w:rsidRPr="008379CA">
        <w:rPr>
          <w:rFonts w:ascii="Bookman Old Style" w:hAnsi="Bookman Old Style"/>
          <w:lang w:val="fi-FI"/>
        </w:rPr>
        <w:t>Lampiran</w:t>
      </w:r>
      <w:r w:rsidR="00A954D0" w:rsidRPr="008379CA">
        <w:rPr>
          <w:rFonts w:ascii="Bookman Old Style" w:hAnsi="Bookman Old Style"/>
          <w:lang w:val="fi-FI"/>
        </w:rPr>
        <w:t xml:space="preserve"> </w:t>
      </w:r>
      <w:r w:rsidRPr="008379CA">
        <w:rPr>
          <w:rFonts w:ascii="Bookman Old Style" w:hAnsi="Bookman Old Style"/>
          <w:lang w:val="fi-FI"/>
        </w:rPr>
        <w:t>Peraturan</w:t>
      </w:r>
      <w:r w:rsidR="00A954D0" w:rsidRPr="008379CA">
        <w:rPr>
          <w:rFonts w:ascii="Bookman Old Style" w:hAnsi="Bookman Old Style"/>
          <w:lang w:val="fi-FI"/>
        </w:rPr>
        <w:t xml:space="preserve"> </w:t>
      </w:r>
      <w:r w:rsidRPr="008379CA">
        <w:rPr>
          <w:rFonts w:ascii="Bookman Old Style" w:hAnsi="Bookman Old Style"/>
          <w:lang w:val="fi-FI"/>
        </w:rPr>
        <w:t>Menteri</w:t>
      </w:r>
      <w:r w:rsidR="00A954D0" w:rsidRPr="008379CA">
        <w:rPr>
          <w:rFonts w:ascii="Bookman Old Style" w:hAnsi="Bookman Old Style"/>
          <w:lang w:val="fi-FI"/>
        </w:rPr>
        <w:t xml:space="preserve"> </w:t>
      </w:r>
      <w:r w:rsidRPr="008379CA">
        <w:rPr>
          <w:rFonts w:ascii="Bookman Old Style" w:hAnsi="Bookman Old Style"/>
          <w:lang w:val="fi-FI"/>
        </w:rPr>
        <w:t>Dalam</w:t>
      </w:r>
      <w:r w:rsidR="00A954D0" w:rsidRPr="008379CA">
        <w:rPr>
          <w:rFonts w:ascii="Bookman Old Style" w:hAnsi="Bookman Old Style"/>
          <w:lang w:val="fi-FI"/>
        </w:rPr>
        <w:t xml:space="preserve"> </w:t>
      </w:r>
      <w:r w:rsidRPr="008379CA">
        <w:rPr>
          <w:rFonts w:ascii="Bookman Old Style" w:hAnsi="Bookman Old Style"/>
          <w:lang w:val="fi-FI"/>
        </w:rPr>
        <w:t>Negeri</w:t>
      </w:r>
      <w:r w:rsidR="00A954D0" w:rsidRPr="008379CA">
        <w:rPr>
          <w:rFonts w:ascii="Bookman Old Style" w:hAnsi="Bookman Old Style"/>
          <w:lang w:val="fi-FI"/>
        </w:rPr>
        <w:t xml:space="preserve"> </w:t>
      </w:r>
      <w:r w:rsidRPr="008379CA">
        <w:rPr>
          <w:rFonts w:ascii="Bookman Old Style" w:hAnsi="Bookman Old Style"/>
          <w:lang w:val="fi-FI"/>
        </w:rPr>
        <w:t>Nomor</w:t>
      </w:r>
      <w:r w:rsidR="00A954D0" w:rsidRPr="008379CA">
        <w:rPr>
          <w:rFonts w:ascii="Bookman Old Style" w:hAnsi="Bookman Old Style"/>
          <w:lang w:val="fi-FI"/>
        </w:rPr>
        <w:t xml:space="preserve"> </w:t>
      </w:r>
      <w:r w:rsidRPr="008379CA">
        <w:rPr>
          <w:rFonts w:ascii="Bookman Old Style" w:hAnsi="Bookman Old Style"/>
          <w:lang w:val="id-ID"/>
        </w:rPr>
        <w:t>15</w:t>
      </w:r>
      <w:r w:rsidR="00A954D0" w:rsidRPr="008379CA">
        <w:rPr>
          <w:rFonts w:ascii="Bookman Old Style" w:hAnsi="Bookman Old Style"/>
          <w:lang w:val="fi-FI"/>
        </w:rPr>
        <w:t xml:space="preserve"> </w:t>
      </w:r>
      <w:r w:rsidRPr="008379CA">
        <w:rPr>
          <w:rFonts w:ascii="Bookman Old Style" w:hAnsi="Bookman Old Style"/>
          <w:lang w:val="fi-FI"/>
        </w:rPr>
        <w:t>Tahun</w:t>
      </w:r>
      <w:r w:rsidR="00A954D0" w:rsidRPr="008379CA">
        <w:rPr>
          <w:rFonts w:ascii="Bookman Old Style" w:hAnsi="Bookman Old Style"/>
          <w:lang w:val="fi-FI"/>
        </w:rPr>
        <w:t xml:space="preserve"> </w:t>
      </w:r>
      <w:r w:rsidRPr="008379CA">
        <w:rPr>
          <w:rFonts w:ascii="Bookman Old Style" w:hAnsi="Bookman Old Style"/>
          <w:lang w:val="fi-FI"/>
        </w:rPr>
        <w:t>202</w:t>
      </w:r>
      <w:r w:rsidRPr="008379CA">
        <w:rPr>
          <w:rFonts w:ascii="Bookman Old Style" w:hAnsi="Bookman Old Style"/>
          <w:lang w:val="id-ID"/>
        </w:rPr>
        <w:t>4.</w:t>
      </w:r>
    </w:p>
    <w:p w14:paraId="603B7D42" w14:textId="38FDD116" w:rsidR="00BB2062" w:rsidRPr="008379CA" w:rsidRDefault="00BB2062" w:rsidP="00CE715C">
      <w:pPr>
        <w:pStyle w:val="ListParagraph"/>
        <w:numPr>
          <w:ilvl w:val="6"/>
          <w:numId w:val="107"/>
        </w:numPr>
        <w:spacing w:before="120" w:after="0" w:line="276" w:lineRule="auto"/>
        <w:ind w:left="1276" w:hanging="284"/>
        <w:contextualSpacing w:val="0"/>
        <w:jc w:val="both"/>
        <w:rPr>
          <w:rFonts w:ascii="Bookman Old Style" w:hAnsi="Bookman Old Style" w:cs="Arial"/>
          <w:sz w:val="24"/>
          <w:szCs w:val="24"/>
        </w:rPr>
      </w:pPr>
      <w:r w:rsidRPr="008379CA">
        <w:rPr>
          <w:rFonts w:ascii="Bookman Old Style" w:hAnsi="Bookman Old Style" w:cs="Arial"/>
          <w:sz w:val="24"/>
          <w:szCs w:val="24"/>
        </w:rPr>
        <w:t>SPM</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Bidang</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lang w:val="sv-SE"/>
        </w:rPr>
        <w:t>Perumahan</w:t>
      </w:r>
      <w:r w:rsidR="00A954D0" w:rsidRPr="008379CA">
        <w:rPr>
          <w:rFonts w:ascii="Bookman Old Style" w:hAnsi="Bookman Old Style" w:cs="Arial"/>
          <w:sz w:val="24"/>
          <w:szCs w:val="24"/>
          <w:lang w:val="sv-SE"/>
        </w:rPr>
        <w:t xml:space="preserve"> </w:t>
      </w:r>
      <w:r w:rsidRPr="008379CA">
        <w:rPr>
          <w:rFonts w:ascii="Bookman Old Style" w:hAnsi="Bookman Old Style" w:cs="Arial"/>
          <w:sz w:val="24"/>
          <w:szCs w:val="24"/>
          <w:lang w:val="sv-SE"/>
        </w:rPr>
        <w:t>Rakyat</w:t>
      </w:r>
      <w:r w:rsidR="00A954D0" w:rsidRPr="008379CA">
        <w:rPr>
          <w:rFonts w:ascii="Bookman Old Style" w:hAnsi="Bookman Old Style" w:cs="Arial"/>
          <w:sz w:val="24"/>
          <w:szCs w:val="24"/>
          <w:lang w:val="sv-SE"/>
        </w:rPr>
        <w:t xml:space="preserve"> </w:t>
      </w:r>
      <w:r w:rsidRPr="008379CA">
        <w:rPr>
          <w:rFonts w:ascii="Bookman Old Style" w:hAnsi="Bookman Old Style" w:cs="Arial"/>
          <w:sz w:val="24"/>
          <w:szCs w:val="24"/>
          <w:lang w:val="sv-SE"/>
        </w:rPr>
        <w:t>dan</w:t>
      </w:r>
      <w:r w:rsidR="00A954D0" w:rsidRPr="008379CA">
        <w:rPr>
          <w:rFonts w:ascii="Bookman Old Style" w:hAnsi="Bookman Old Style" w:cs="Arial"/>
          <w:sz w:val="24"/>
          <w:szCs w:val="24"/>
          <w:lang w:val="sv-SE"/>
        </w:rPr>
        <w:t xml:space="preserve"> </w:t>
      </w:r>
      <w:r w:rsidRPr="008379CA">
        <w:rPr>
          <w:rFonts w:ascii="Bookman Old Style" w:hAnsi="Bookman Old Style" w:cs="Arial"/>
          <w:sz w:val="24"/>
          <w:szCs w:val="24"/>
          <w:lang w:val="sv-SE"/>
        </w:rPr>
        <w:t>Kawasan</w:t>
      </w:r>
      <w:r w:rsidR="00A954D0" w:rsidRPr="008379CA">
        <w:rPr>
          <w:rFonts w:ascii="Bookman Old Style" w:hAnsi="Bookman Old Style" w:cs="Arial"/>
          <w:sz w:val="24"/>
          <w:szCs w:val="24"/>
          <w:lang w:val="sv-SE"/>
        </w:rPr>
        <w:t xml:space="preserve"> </w:t>
      </w:r>
      <w:r w:rsidRPr="008379CA">
        <w:rPr>
          <w:rFonts w:ascii="Bookman Old Style" w:hAnsi="Bookman Old Style" w:cs="Arial"/>
          <w:sz w:val="24"/>
          <w:szCs w:val="24"/>
          <w:lang w:val="sv-SE"/>
        </w:rPr>
        <w:t>Permukiman</w:t>
      </w:r>
      <w:r w:rsidR="00A954D0" w:rsidRPr="008379CA">
        <w:rPr>
          <w:rFonts w:ascii="Bookman Old Style" w:hAnsi="Bookman Old Style" w:cs="Arial"/>
          <w:sz w:val="24"/>
          <w:szCs w:val="24"/>
        </w:rPr>
        <w:t xml:space="preserve"> </w:t>
      </w:r>
    </w:p>
    <w:p w14:paraId="65413FEA" w14:textId="6D616CF1" w:rsidR="00BB2062" w:rsidRPr="008379CA" w:rsidRDefault="00BB2062" w:rsidP="00CE715C">
      <w:pPr>
        <w:pStyle w:val="ListParagraph"/>
        <w:spacing w:before="60" w:after="0" w:line="276" w:lineRule="auto"/>
        <w:ind w:left="1276"/>
        <w:contextualSpacing w:val="0"/>
        <w:jc w:val="both"/>
        <w:rPr>
          <w:rFonts w:ascii="Bookman Old Style" w:hAnsi="Bookman Old Style"/>
          <w:sz w:val="24"/>
          <w:szCs w:val="24"/>
          <w:lang w:val="id-ID"/>
        </w:rPr>
      </w:pPr>
      <w:r w:rsidRPr="008379CA">
        <w:rPr>
          <w:rFonts w:ascii="Bookman Old Style" w:hAnsi="Bookman Old Style"/>
          <w:sz w:val="24"/>
          <w:szCs w:val="24"/>
        </w:rPr>
        <w:t>Alokasi</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untuk</w:t>
      </w:r>
      <w:r w:rsidR="00A954D0" w:rsidRPr="008379CA">
        <w:rPr>
          <w:rFonts w:ascii="Bookman Old Style" w:hAnsi="Bookman Old Style"/>
          <w:sz w:val="24"/>
          <w:szCs w:val="24"/>
        </w:rPr>
        <w:t xml:space="preserve"> </w:t>
      </w:r>
      <w:r w:rsidRPr="008379CA">
        <w:rPr>
          <w:rFonts w:ascii="Bookman Old Style" w:hAnsi="Bookman Old Style"/>
          <w:sz w:val="24"/>
          <w:szCs w:val="24"/>
        </w:rPr>
        <w:t>b</w:t>
      </w:r>
      <w:r w:rsidRPr="008379CA">
        <w:rPr>
          <w:rFonts w:ascii="Bookman Old Style" w:hAnsi="Bookman Old Style"/>
          <w:sz w:val="24"/>
          <w:szCs w:val="24"/>
          <w:lang w:val="id-ID"/>
        </w:rPr>
        <w:t>elanja</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SPM</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Bidang</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Perumahan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Rakyat</w:t>
      </w:r>
      <w:r w:rsidR="00A954D0" w:rsidRPr="008379CA">
        <w:rPr>
          <w:rFonts w:ascii="Bookman Old Style" w:hAnsi="Bookman Old Style"/>
          <w:sz w:val="24"/>
          <w:szCs w:val="24"/>
        </w:rPr>
        <w:t xml:space="preserve"> </w:t>
      </w:r>
      <w:r w:rsidRPr="008379CA">
        <w:rPr>
          <w:rFonts w:ascii="Bookman Old Style" w:hAnsi="Bookman Old Style"/>
          <w:sz w:val="24"/>
          <w:szCs w:val="24"/>
          <w:lang w:val="id-ID"/>
        </w:rPr>
        <w:t>Rp</w:t>
      </w:r>
      <w:r w:rsidRPr="008379CA">
        <w:rPr>
          <w:rFonts w:ascii="Bookman Old Style" w:hAnsi="Bookman Old Style"/>
          <w:sz w:val="24"/>
          <w:szCs w:val="24"/>
          <w:lang w:val="sv-FI"/>
        </w:rPr>
        <w:t>230.624.900,00</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atau</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0,32</w:t>
      </w:r>
      <w:r w:rsidRPr="008379CA">
        <w:rPr>
          <w:rFonts w:ascii="Bookman Old Style" w:hAnsi="Bookman Old Style"/>
          <w:sz w:val="24"/>
          <w:szCs w:val="24"/>
          <w:lang w:val="id-ID"/>
        </w:rPr>
        <w:t>%</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dari</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total</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belanja</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Urusan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Pemerintahan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Bidang</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Perumahan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Kawasan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Permukiman</w:t>
      </w:r>
      <w:r w:rsidR="00A954D0" w:rsidRPr="008379CA">
        <w:rPr>
          <w:rFonts w:ascii="Bookman Old Style" w:hAnsi="Bookman Old Style"/>
          <w:sz w:val="24"/>
          <w:szCs w:val="24"/>
        </w:rPr>
        <w:t xml:space="preserve"> </w:t>
      </w:r>
      <w:r w:rsidRPr="008379CA">
        <w:rPr>
          <w:rFonts w:ascii="Bookman Old Style" w:hAnsi="Bookman Old Style"/>
          <w:sz w:val="24"/>
          <w:szCs w:val="24"/>
          <w:lang w:val="sv-FI"/>
        </w:rPr>
        <w:t>Rp70.725.710.905,00</w:t>
      </w:r>
      <w:r w:rsidRPr="008379CA">
        <w:rPr>
          <w:rFonts w:ascii="Bookman Old Style" w:hAnsi="Bookman Old Style"/>
          <w:sz w:val="24"/>
          <w:szCs w:val="24"/>
          <w:lang w:val="id-ID"/>
        </w:rPr>
        <w:t>.</w:t>
      </w:r>
      <w:r w:rsidR="00A954D0" w:rsidRPr="008379CA">
        <w:rPr>
          <w:rFonts w:ascii="Bookman Old Style" w:hAnsi="Bookman Old Style" w:cs="Arial"/>
          <w:sz w:val="24"/>
          <w:szCs w:val="24"/>
          <w:lang w:val="id-ID"/>
        </w:rPr>
        <w:t xml:space="preserve"> </w:t>
      </w:r>
      <w:r w:rsidRPr="008379CA">
        <w:rPr>
          <w:rFonts w:ascii="Bookman Old Style" w:hAnsi="Bookman Old Style"/>
          <w:sz w:val="24"/>
          <w:szCs w:val="24"/>
        </w:rPr>
        <w:t>Alokasi</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untuk</w:t>
      </w:r>
      <w:r w:rsidR="00A954D0" w:rsidRPr="008379CA">
        <w:rPr>
          <w:rFonts w:ascii="Bookman Old Style" w:hAnsi="Bookman Old Style"/>
          <w:sz w:val="24"/>
          <w:szCs w:val="24"/>
        </w:rPr>
        <w:t xml:space="preserve"> </w:t>
      </w:r>
      <w:r w:rsidRPr="008379CA">
        <w:rPr>
          <w:rFonts w:ascii="Bookman Old Style" w:hAnsi="Bookman Old Style"/>
          <w:sz w:val="24"/>
          <w:szCs w:val="24"/>
          <w:lang w:val="id-ID"/>
        </w:rPr>
        <w:t>belanja</w:t>
      </w:r>
      <w:r w:rsidR="00A954D0" w:rsidRPr="008379CA">
        <w:rPr>
          <w:rFonts w:ascii="Bookman Old Style" w:hAnsi="Bookman Old Style"/>
          <w:sz w:val="24"/>
          <w:szCs w:val="24"/>
        </w:rPr>
        <w:t xml:space="preserve"> </w:t>
      </w:r>
      <w:r w:rsidRPr="008379CA">
        <w:rPr>
          <w:rFonts w:ascii="Bookman Old Style" w:hAnsi="Bookman Old Style"/>
          <w:sz w:val="24"/>
          <w:szCs w:val="24"/>
        </w:rPr>
        <w:t>SPM</w:t>
      </w:r>
      <w:r w:rsidR="00A954D0" w:rsidRPr="008379CA">
        <w:rPr>
          <w:rFonts w:ascii="Bookman Old Style" w:hAnsi="Bookman Old Style"/>
          <w:sz w:val="24"/>
          <w:szCs w:val="24"/>
        </w:rPr>
        <w:t xml:space="preserve"> </w:t>
      </w:r>
      <w:r w:rsidRPr="008379CA">
        <w:rPr>
          <w:rFonts w:ascii="Bookman Old Style" w:hAnsi="Bookman Old Style"/>
          <w:sz w:val="24"/>
          <w:szCs w:val="24"/>
        </w:rPr>
        <w:t>tersebut</w:t>
      </w:r>
      <w:r w:rsidR="00A954D0" w:rsidRPr="008379CA">
        <w:rPr>
          <w:rFonts w:ascii="Bookman Old Style" w:hAnsi="Bookman Old Style"/>
          <w:sz w:val="24"/>
          <w:szCs w:val="24"/>
        </w:rPr>
        <w:t xml:space="preserve"> </w:t>
      </w:r>
      <w:r w:rsidRPr="008379CA">
        <w:rPr>
          <w:rFonts w:ascii="Bookman Old Style" w:hAnsi="Bookman Old Style"/>
          <w:sz w:val="24"/>
          <w:szCs w:val="24"/>
        </w:rPr>
        <w:t>diuraikan</w:t>
      </w:r>
      <w:r w:rsidR="00A954D0" w:rsidRPr="008379CA">
        <w:rPr>
          <w:rFonts w:ascii="Bookman Old Style" w:hAnsi="Bookman Old Style"/>
          <w:sz w:val="24"/>
          <w:szCs w:val="24"/>
        </w:rPr>
        <w:t xml:space="preserve"> </w:t>
      </w:r>
      <w:r w:rsidRPr="008379CA">
        <w:rPr>
          <w:rFonts w:ascii="Bookman Old Style" w:hAnsi="Bookman Old Style"/>
          <w:sz w:val="24"/>
          <w:szCs w:val="24"/>
        </w:rPr>
        <w:t>dalam</w:t>
      </w:r>
      <w:r w:rsidR="00A954D0" w:rsidRPr="008379CA">
        <w:rPr>
          <w:rFonts w:ascii="Bookman Old Style" w:hAnsi="Bookman Old Style"/>
          <w:sz w:val="24"/>
          <w:szCs w:val="24"/>
          <w:lang w:val="id-ID"/>
        </w:rPr>
        <w:t xml:space="preserve"> </w:t>
      </w:r>
      <w:r w:rsidRPr="008379CA">
        <w:rPr>
          <w:rFonts w:ascii="Bookman Old Style" w:eastAsia="Calibri" w:hAnsi="Bookman Old Style" w:cs="Arial"/>
          <w:sz w:val="24"/>
          <w:szCs w:val="24"/>
          <w:lang w:val="id-ID"/>
        </w:rPr>
        <w:t>jenis</w:t>
      </w:r>
      <w:r w:rsidR="00A954D0" w:rsidRPr="008379CA">
        <w:rPr>
          <w:rFonts w:ascii="Bookman Old Style" w:eastAsia="Calibri" w:hAnsi="Bookman Old Style" w:cs="Arial"/>
          <w:sz w:val="24"/>
          <w:szCs w:val="24"/>
          <w:lang w:val="id-ID"/>
        </w:rPr>
        <w:t xml:space="preserve"> </w:t>
      </w:r>
      <w:r w:rsidRPr="008379CA">
        <w:rPr>
          <w:rFonts w:ascii="Bookman Old Style" w:eastAsia="Calibri" w:hAnsi="Bookman Old Style" w:cs="Arial"/>
          <w:sz w:val="24"/>
          <w:szCs w:val="24"/>
          <w:lang w:val="id-ID"/>
        </w:rPr>
        <w:t>pelayanan</w:t>
      </w:r>
      <w:r w:rsidR="00A954D0" w:rsidRPr="008379CA">
        <w:rPr>
          <w:rFonts w:ascii="Bookman Old Style" w:eastAsia="Calibri" w:hAnsi="Bookman Old Style" w:cs="Arial"/>
          <w:sz w:val="24"/>
          <w:szCs w:val="24"/>
          <w:lang w:val="id-ID"/>
        </w:rPr>
        <w:t xml:space="preserve"> </w:t>
      </w:r>
      <w:r w:rsidRPr="008379CA">
        <w:rPr>
          <w:rFonts w:ascii="Bookman Old Style" w:eastAsia="Calibri" w:hAnsi="Bookman Old Style" w:cs="Arial"/>
          <w:sz w:val="24"/>
          <w:szCs w:val="24"/>
          <w:lang w:val="id-ID"/>
        </w:rPr>
        <w:t>dasar</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w:t>
      </w:r>
      <w:r w:rsidRPr="008379CA">
        <w:rPr>
          <w:rFonts w:ascii="Bookman Old Style" w:eastAsia="Calibri" w:hAnsi="Bookman Old Style" w:cs="Arial"/>
          <w:sz w:val="24"/>
          <w:szCs w:val="24"/>
          <w:lang w:val="id-ID"/>
        </w:rPr>
        <w:t>enyediaan</w:t>
      </w:r>
      <w:r w:rsidR="00A954D0" w:rsidRPr="008379CA">
        <w:rPr>
          <w:rFonts w:ascii="Bookman Old Style" w:eastAsia="Calibri" w:hAnsi="Bookman Old Style" w:cs="Arial"/>
          <w:sz w:val="24"/>
          <w:szCs w:val="24"/>
          <w:lang w:val="id-ID"/>
        </w:rPr>
        <w:t xml:space="preserve"> </w:t>
      </w:r>
      <w:r w:rsidRPr="008379CA">
        <w:rPr>
          <w:rFonts w:ascii="Bookman Old Style" w:eastAsia="Calibri" w:hAnsi="Bookman Old Style" w:cs="Arial"/>
          <w:sz w:val="24"/>
          <w:szCs w:val="24"/>
          <w:lang w:val="id-ID"/>
        </w:rPr>
        <w:t>dan</w:t>
      </w:r>
      <w:r w:rsidR="00A954D0" w:rsidRPr="008379CA">
        <w:rPr>
          <w:rFonts w:ascii="Bookman Old Style" w:eastAsia="Calibri" w:hAnsi="Bookman Old Style" w:cs="Arial"/>
          <w:sz w:val="24"/>
          <w:szCs w:val="24"/>
          <w:lang w:val="id-ID"/>
        </w:rPr>
        <w:t xml:space="preserve"> </w:t>
      </w:r>
      <w:r w:rsidRPr="008379CA">
        <w:rPr>
          <w:rFonts w:ascii="Bookman Old Style" w:eastAsia="Calibri" w:hAnsi="Bookman Old Style" w:cs="Arial"/>
          <w:sz w:val="24"/>
          <w:szCs w:val="24"/>
          <w:lang w:val="id-ID"/>
        </w:rPr>
        <w:t>rehabilitasi</w:t>
      </w:r>
      <w:r w:rsidR="00A954D0" w:rsidRPr="008379CA">
        <w:rPr>
          <w:rFonts w:ascii="Bookman Old Style" w:eastAsia="Calibri" w:hAnsi="Bookman Old Style" w:cs="Arial"/>
          <w:sz w:val="24"/>
          <w:szCs w:val="24"/>
          <w:lang w:val="id-ID"/>
        </w:rPr>
        <w:t xml:space="preserve"> </w:t>
      </w:r>
      <w:r w:rsidRPr="008379CA">
        <w:rPr>
          <w:rFonts w:ascii="Bookman Old Style" w:eastAsia="Calibri" w:hAnsi="Bookman Old Style" w:cs="Arial"/>
          <w:sz w:val="24"/>
          <w:szCs w:val="24"/>
          <w:lang w:val="id-ID"/>
        </w:rPr>
        <w:t>rumah</w:t>
      </w:r>
      <w:r w:rsidR="00A954D0" w:rsidRPr="008379CA">
        <w:rPr>
          <w:rFonts w:ascii="Bookman Old Style" w:eastAsia="Calibri" w:hAnsi="Bookman Old Style" w:cs="Arial"/>
          <w:sz w:val="24"/>
          <w:szCs w:val="24"/>
          <w:lang w:val="id-ID"/>
        </w:rPr>
        <w:t xml:space="preserve"> </w:t>
      </w:r>
      <w:r w:rsidRPr="008379CA">
        <w:rPr>
          <w:rFonts w:ascii="Bookman Old Style" w:eastAsia="Calibri" w:hAnsi="Bookman Old Style" w:cs="Arial"/>
          <w:sz w:val="24"/>
          <w:szCs w:val="24"/>
          <w:lang w:val="id-ID"/>
        </w:rPr>
        <w:t>yang</w:t>
      </w:r>
      <w:r w:rsidR="00A954D0" w:rsidRPr="008379CA">
        <w:rPr>
          <w:rFonts w:ascii="Bookman Old Style" w:eastAsia="Calibri" w:hAnsi="Bookman Old Style" w:cs="Arial"/>
          <w:sz w:val="24"/>
          <w:szCs w:val="24"/>
          <w:lang w:val="id-ID"/>
        </w:rPr>
        <w:t xml:space="preserve"> </w:t>
      </w:r>
      <w:r w:rsidRPr="008379CA">
        <w:rPr>
          <w:rFonts w:ascii="Bookman Old Style" w:eastAsia="Calibri" w:hAnsi="Bookman Old Style" w:cs="Arial"/>
          <w:sz w:val="24"/>
          <w:szCs w:val="24"/>
          <w:lang w:val="id-ID"/>
        </w:rPr>
        <w:t>layak</w:t>
      </w:r>
      <w:r w:rsidR="00A954D0" w:rsidRPr="008379CA">
        <w:rPr>
          <w:rFonts w:ascii="Bookman Old Style" w:eastAsia="Calibri" w:hAnsi="Bookman Old Style" w:cs="Arial"/>
          <w:sz w:val="24"/>
          <w:szCs w:val="24"/>
          <w:lang w:val="id-ID"/>
        </w:rPr>
        <w:t xml:space="preserve"> </w:t>
      </w:r>
      <w:r w:rsidRPr="008379CA">
        <w:rPr>
          <w:rFonts w:ascii="Bookman Old Style" w:eastAsia="Calibri" w:hAnsi="Bookman Old Style" w:cs="Arial"/>
          <w:sz w:val="24"/>
          <w:szCs w:val="24"/>
          <w:lang w:val="id-ID"/>
        </w:rPr>
        <w:t>huni</w:t>
      </w:r>
      <w:r w:rsidR="00A954D0" w:rsidRPr="008379CA">
        <w:rPr>
          <w:rFonts w:ascii="Bookman Old Style" w:eastAsia="Calibri" w:hAnsi="Bookman Old Style" w:cs="Arial"/>
          <w:sz w:val="24"/>
          <w:szCs w:val="24"/>
          <w:lang w:val="id-ID"/>
        </w:rPr>
        <w:t xml:space="preserve"> </w:t>
      </w:r>
      <w:r w:rsidRPr="008379CA">
        <w:rPr>
          <w:rFonts w:ascii="Bookman Old Style" w:eastAsia="Calibri" w:hAnsi="Bookman Old Style" w:cs="Arial"/>
          <w:sz w:val="24"/>
          <w:szCs w:val="24"/>
          <w:lang w:val="id-ID"/>
        </w:rPr>
        <w:t>bagi</w:t>
      </w:r>
      <w:r w:rsidR="00A954D0" w:rsidRPr="008379CA">
        <w:rPr>
          <w:rFonts w:ascii="Bookman Old Style" w:eastAsia="Calibri" w:hAnsi="Bookman Old Style" w:cs="Arial"/>
          <w:sz w:val="24"/>
          <w:szCs w:val="24"/>
          <w:lang w:val="id-ID"/>
        </w:rPr>
        <w:t xml:space="preserve"> </w:t>
      </w:r>
      <w:r w:rsidRPr="008379CA">
        <w:rPr>
          <w:rFonts w:ascii="Bookman Old Style" w:eastAsia="Calibri" w:hAnsi="Bookman Old Style" w:cs="Arial"/>
          <w:sz w:val="24"/>
          <w:szCs w:val="24"/>
          <w:lang w:val="id-ID"/>
        </w:rPr>
        <w:t>korban</w:t>
      </w:r>
      <w:r w:rsidR="00A954D0" w:rsidRPr="008379CA">
        <w:rPr>
          <w:rFonts w:ascii="Bookman Old Style" w:eastAsia="Calibri" w:hAnsi="Bookman Old Style" w:cs="Arial"/>
          <w:sz w:val="24"/>
          <w:szCs w:val="24"/>
          <w:lang w:val="id-ID"/>
        </w:rPr>
        <w:t xml:space="preserve"> </w:t>
      </w:r>
      <w:r w:rsidRPr="008379CA">
        <w:rPr>
          <w:rFonts w:ascii="Bookman Old Style" w:eastAsia="Calibri" w:hAnsi="Bookman Old Style" w:cs="Arial"/>
          <w:sz w:val="24"/>
          <w:szCs w:val="24"/>
          <w:lang w:val="id-ID"/>
        </w:rPr>
        <w:t>bencana</w:t>
      </w:r>
      <w:r w:rsidR="00A954D0" w:rsidRPr="008379CA">
        <w:rPr>
          <w:rFonts w:ascii="Bookman Old Style" w:eastAsia="Calibri" w:hAnsi="Bookman Old Style" w:cs="Arial"/>
          <w:sz w:val="24"/>
          <w:szCs w:val="24"/>
          <w:lang w:val="id-ID"/>
        </w:rPr>
        <w:t xml:space="preserve"> </w:t>
      </w:r>
      <w:r w:rsidR="00172E1C" w:rsidRPr="008379CA">
        <w:rPr>
          <w:rFonts w:ascii="Bookman Old Style" w:eastAsia="Calibri" w:hAnsi="Bookman Old Style" w:cs="Arial"/>
          <w:sz w:val="24"/>
          <w:szCs w:val="24"/>
          <w:lang w:val="id-ID"/>
        </w:rPr>
        <w:t>Kabupaten/Kota</w:t>
      </w:r>
      <w:r w:rsidR="003E0958" w:rsidRPr="008379CA">
        <w:rPr>
          <w:rFonts w:ascii="Bookman Old Style" w:eastAsia="Calibri" w:hAnsi="Bookman Old Style" w:cs="Arial"/>
          <w:sz w:val="24"/>
          <w:szCs w:val="24"/>
          <w:lang w:val="id-ID"/>
        </w:rPr>
        <w:t>.</w:t>
      </w:r>
    </w:p>
    <w:p w14:paraId="48B7E558" w14:textId="7F1E34C4" w:rsidR="00BB2062" w:rsidRPr="008379CA" w:rsidRDefault="00BB2062" w:rsidP="00CE715C">
      <w:pPr>
        <w:pStyle w:val="ListParagraph"/>
        <w:spacing w:before="60" w:after="0" w:line="276" w:lineRule="auto"/>
        <w:ind w:left="1276"/>
        <w:contextualSpacing w:val="0"/>
        <w:jc w:val="both"/>
        <w:rPr>
          <w:rFonts w:ascii="Bookman Old Style" w:hAnsi="Bookman Old Style" w:cs="Arial"/>
          <w:sz w:val="24"/>
          <w:szCs w:val="24"/>
          <w:lang w:val="id-ID"/>
        </w:rPr>
      </w:pPr>
      <w:r w:rsidRPr="008379CA">
        <w:rPr>
          <w:rFonts w:ascii="Bookman Old Style" w:hAnsi="Bookman Old Style"/>
          <w:sz w:val="24"/>
          <w:szCs w:val="24"/>
          <w:lang w:val="id-ID"/>
        </w:rPr>
        <w:t>Harus</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diprioritaskan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untuk</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memenuhi</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pencapaian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SPM</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Perumahan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Rakyat</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Kawasan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Pemukiman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untuk</w:t>
      </w:r>
      <w:r w:rsidR="00A954D0" w:rsidRPr="008379CA">
        <w:rPr>
          <w:rFonts w:ascii="Bookman Old Style" w:hAnsi="Bookman Old Style"/>
          <w:sz w:val="24"/>
          <w:szCs w:val="24"/>
          <w:lang w:val="id-ID"/>
        </w:rPr>
        <w:t xml:space="preserve"> </w:t>
      </w:r>
      <w:r w:rsidR="00172E1C" w:rsidRPr="008379CA">
        <w:rPr>
          <w:rFonts w:ascii="Bookman Old Style" w:hAnsi="Bookman Old Style"/>
          <w:sz w:val="24"/>
          <w:szCs w:val="24"/>
          <w:lang w:val="id-ID"/>
        </w:rPr>
        <w:t>Kabupaten/Kota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sebagaimana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diamanatkan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dalam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Peraturan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Pemerintah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Nomor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2</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Tahun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2018,</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Peraturan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Menteri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Dalam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Negeri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Nomor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59</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Tahun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2021,</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Peraturan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Menteri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Pekerjaan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Umum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Perumahan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Rakyat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Nomor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sv-FI"/>
        </w:rPr>
        <w:t>13</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Tahun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2023</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serta</w:t>
      </w:r>
      <w:r w:rsidR="00A954D0" w:rsidRPr="008379CA">
        <w:rPr>
          <w:rFonts w:ascii="Bookman Old Style" w:hAnsi="Bookman Old Style" w:cs="Arial"/>
          <w:sz w:val="24"/>
          <w:szCs w:val="24"/>
          <w:lang w:val="id-ID"/>
        </w:rPr>
        <w:t xml:space="preserve"> </w:t>
      </w:r>
      <w:r w:rsidRPr="008379CA">
        <w:rPr>
          <w:rFonts w:ascii="Bookman Old Style" w:hAnsi="Bookman Old Style"/>
          <w:sz w:val="24"/>
          <w:szCs w:val="24"/>
          <w:lang w:val="fi-FI"/>
        </w:rPr>
        <w:t>butir</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5.2.1.a.4)</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fi-FI"/>
        </w:rPr>
        <w:t>Lampiran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Peraturan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Menteri</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Dalam</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Negeri</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Nomor</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id-ID"/>
        </w:rPr>
        <w:t>15</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Tahun</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202</w:t>
      </w:r>
      <w:r w:rsidRPr="008379CA">
        <w:rPr>
          <w:rFonts w:ascii="Bookman Old Style" w:hAnsi="Bookman Old Style"/>
          <w:sz w:val="24"/>
          <w:szCs w:val="24"/>
          <w:lang w:val="id-ID"/>
        </w:rPr>
        <w:t>4</w:t>
      </w:r>
      <w:r w:rsidRPr="008379CA">
        <w:rPr>
          <w:rFonts w:ascii="Bookman Old Style" w:hAnsi="Bookman Old Style" w:cs="Arial"/>
          <w:sz w:val="24"/>
          <w:szCs w:val="24"/>
          <w:lang w:val="id-ID"/>
        </w:rPr>
        <w:t>.</w:t>
      </w:r>
    </w:p>
    <w:p w14:paraId="51E6399C" w14:textId="28656CBC" w:rsidR="00BB2062" w:rsidRPr="008379CA" w:rsidRDefault="00BB2062" w:rsidP="00CE715C">
      <w:pPr>
        <w:pStyle w:val="ListParagraph"/>
        <w:numPr>
          <w:ilvl w:val="6"/>
          <w:numId w:val="107"/>
        </w:numPr>
        <w:spacing w:before="120" w:after="0" w:line="276" w:lineRule="auto"/>
        <w:ind w:left="1276" w:hanging="283"/>
        <w:contextualSpacing w:val="0"/>
        <w:jc w:val="both"/>
        <w:rPr>
          <w:rFonts w:ascii="Bookman Old Style" w:hAnsi="Bookman Old Style" w:cs="Arial"/>
          <w:sz w:val="24"/>
          <w:szCs w:val="24"/>
          <w:lang w:val="id-ID"/>
        </w:rPr>
      </w:pPr>
      <w:r w:rsidRPr="008379CA">
        <w:rPr>
          <w:rFonts w:ascii="Bookman Old Style" w:hAnsi="Bookman Old Style"/>
          <w:sz w:val="24"/>
          <w:szCs w:val="24"/>
          <w:lang w:val="id-ID"/>
        </w:rPr>
        <w:t>SPM</w:t>
      </w:r>
      <w:r w:rsidR="00A954D0" w:rsidRPr="008379CA">
        <w:rPr>
          <w:rFonts w:ascii="Bookman Old Style" w:hAnsi="Bookman Old Style"/>
          <w:sz w:val="24"/>
          <w:szCs w:val="24"/>
          <w:lang w:val="id-ID"/>
        </w:rPr>
        <w:t xml:space="preserve"> </w:t>
      </w:r>
      <w:r w:rsidRPr="008379CA">
        <w:rPr>
          <w:rFonts w:ascii="Bookman Old Style" w:hAnsi="Bookman Old Style" w:cs="Arial"/>
          <w:sz w:val="24"/>
          <w:szCs w:val="24"/>
        </w:rPr>
        <w:t>Bidang</w:t>
      </w:r>
      <w:r w:rsidR="00A954D0" w:rsidRPr="008379CA">
        <w:rPr>
          <w:rFonts w:ascii="Bookman Old Style" w:hAnsi="Bookman Old Style"/>
          <w:sz w:val="24"/>
          <w:szCs w:val="24"/>
          <w:lang w:val="id-ID"/>
        </w:rPr>
        <w:t xml:space="preserve"> </w:t>
      </w:r>
      <w:r w:rsidRPr="008379CA">
        <w:rPr>
          <w:rFonts w:ascii="Bookman Old Style" w:hAnsi="Bookman Old Style" w:cs="Arial"/>
          <w:sz w:val="24"/>
          <w:szCs w:val="24"/>
        </w:rPr>
        <w:t>Ketenteraman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Ketertiban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Umum</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serta</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Perlindungan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Masyarakat</w:t>
      </w:r>
    </w:p>
    <w:p w14:paraId="083CEAF2" w14:textId="702B5FD1" w:rsidR="00BB2062" w:rsidRPr="008379CA" w:rsidRDefault="00BB2062" w:rsidP="00CE715C">
      <w:pPr>
        <w:pStyle w:val="ListParagraph"/>
        <w:spacing w:before="60" w:after="0" w:line="276" w:lineRule="auto"/>
        <w:ind w:left="1276"/>
        <w:contextualSpacing w:val="0"/>
        <w:jc w:val="both"/>
        <w:rPr>
          <w:rFonts w:ascii="Bookman Old Style" w:hAnsi="Bookman Old Style" w:cs="Arial"/>
          <w:sz w:val="24"/>
          <w:szCs w:val="24"/>
          <w:lang w:val="id-ID"/>
        </w:rPr>
      </w:pPr>
      <w:r w:rsidRPr="008379CA">
        <w:rPr>
          <w:rFonts w:ascii="Bookman Old Style" w:hAnsi="Bookman Old Style"/>
          <w:sz w:val="24"/>
          <w:szCs w:val="24"/>
          <w:lang w:val="id-ID"/>
        </w:rPr>
        <w:t>Alokasi</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anggaran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untuk</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belanja</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SPM</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Bidang</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Ketenteraman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Ketertiban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Umum</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serta</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Perlindungan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Masyarakat</w:t>
      </w:r>
      <w:r w:rsidR="00A954D0" w:rsidRPr="008379CA">
        <w:rPr>
          <w:rFonts w:ascii="Bookman Old Style" w:hAnsi="Bookman Old Style"/>
          <w:sz w:val="24"/>
          <w:szCs w:val="24"/>
        </w:rPr>
        <w:t xml:space="preserve"> </w:t>
      </w:r>
      <w:r w:rsidRPr="008379CA">
        <w:rPr>
          <w:rFonts w:ascii="Bookman Old Style" w:hAnsi="Bookman Old Style"/>
          <w:sz w:val="24"/>
          <w:szCs w:val="24"/>
          <w:lang w:val="id-ID"/>
        </w:rPr>
        <w:t>Rp4.040.079.100,00</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atau</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3,53%</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dari</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total</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belanja</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Urusan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Pemerintahan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Bidang</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Ketenteraman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Ketertiban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Umum</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Serta</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Perlindungan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Masyarakat</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Rp114.266.832.076,00.</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Alokasi</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anggaran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untuk</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belanja</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SPM</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tersebut</w:t>
      </w:r>
      <w:r w:rsidR="00A954D0" w:rsidRPr="008379CA">
        <w:rPr>
          <w:rFonts w:ascii="Bookman Old Style" w:hAnsi="Bookman Old Style"/>
          <w:sz w:val="24"/>
          <w:szCs w:val="24"/>
          <w:lang w:val="id-ID"/>
        </w:rPr>
        <w:t xml:space="preserve"> </w:t>
      </w:r>
      <w:r w:rsidRPr="008379CA">
        <w:rPr>
          <w:rFonts w:ascii="Bookman Old Style" w:hAnsi="Bookman Old Style" w:cs="Arial"/>
          <w:sz w:val="24"/>
          <w:szCs w:val="24"/>
          <w:lang w:val="id-ID"/>
        </w:rPr>
        <w:t>diuraikan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dalam</w:t>
      </w:r>
      <w:r w:rsidR="00A954D0" w:rsidRPr="008379CA">
        <w:rPr>
          <w:rFonts w:ascii="Bookman Old Style" w:hAnsi="Bookman Old Style"/>
          <w:sz w:val="24"/>
          <w:szCs w:val="24"/>
          <w:lang w:val="id-ID"/>
        </w:rPr>
        <w:t xml:space="preserve"> </w:t>
      </w:r>
      <w:r w:rsidRPr="008379CA">
        <w:rPr>
          <w:rFonts w:ascii="Bookman Old Style" w:hAnsi="Bookman Old Style" w:cs="Arial"/>
          <w:sz w:val="24"/>
          <w:szCs w:val="24"/>
          <w:lang w:val="id-ID"/>
        </w:rPr>
        <w:t>jenis</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pelayanan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dasar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sebagai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berikut</w:t>
      </w:r>
      <w:r w:rsidRPr="008379CA">
        <w:rPr>
          <w:rFonts w:ascii="Bookman Old Style" w:hAnsi="Bookman Old Style"/>
          <w:sz w:val="24"/>
          <w:szCs w:val="24"/>
          <w:lang w:val="id-ID"/>
        </w:rPr>
        <w:t>:</w:t>
      </w:r>
      <w:r w:rsidR="00A954D0" w:rsidRPr="008379CA">
        <w:rPr>
          <w:rFonts w:ascii="Bookman Old Style" w:hAnsi="Bookman Old Style" w:cs="Arial"/>
          <w:sz w:val="24"/>
          <w:szCs w:val="24"/>
          <w:lang w:val="id-ID"/>
        </w:rPr>
        <w:t xml:space="preserve"> </w:t>
      </w:r>
    </w:p>
    <w:p w14:paraId="240DEE27" w14:textId="032C33C3" w:rsidR="00BB2062" w:rsidRPr="008379CA" w:rsidRDefault="00BB2062" w:rsidP="00CE715C">
      <w:pPr>
        <w:pStyle w:val="ListParagraph"/>
        <w:numPr>
          <w:ilvl w:val="0"/>
          <w:numId w:val="111"/>
        </w:numPr>
        <w:spacing w:before="60" w:after="0" w:line="276" w:lineRule="auto"/>
        <w:ind w:left="1701" w:hanging="425"/>
        <w:contextualSpacing w:val="0"/>
        <w:jc w:val="both"/>
        <w:rPr>
          <w:rFonts w:ascii="Bookman Old Style" w:hAnsi="Bookman Old Style"/>
          <w:sz w:val="24"/>
          <w:szCs w:val="24"/>
          <w:lang w:val="id-ID"/>
        </w:rPr>
      </w:pPr>
      <w:r w:rsidRPr="008379CA">
        <w:rPr>
          <w:rFonts w:ascii="Bookman Old Style" w:hAnsi="Bookman Old Style"/>
          <w:sz w:val="24"/>
          <w:szCs w:val="24"/>
          <w:lang w:val="sv-FI"/>
        </w:rPr>
        <w:lastRenderedPageBreak/>
        <w:t>Pelayanan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Ketentraman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Ketertiban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Umum</w:t>
      </w:r>
      <w:r w:rsidR="00A954D0" w:rsidRPr="008379CA">
        <w:rPr>
          <w:rFonts w:ascii="Bookman Old Style" w:hAnsi="Bookman Old Style"/>
          <w:sz w:val="24"/>
          <w:szCs w:val="24"/>
          <w:lang w:val="sv-FI"/>
        </w:rPr>
        <w:t xml:space="preserve"> </w:t>
      </w:r>
      <w:r w:rsidR="00172E1C" w:rsidRPr="008379CA">
        <w:rPr>
          <w:rFonts w:ascii="Bookman Old Style" w:hAnsi="Bookman Old Style"/>
          <w:sz w:val="24"/>
          <w:szCs w:val="24"/>
          <w:lang w:val="sv-FI"/>
        </w:rPr>
        <w:t>Kabupaten/Kota</w:t>
      </w:r>
      <w:r w:rsidR="00A954D0" w:rsidRPr="008379CA">
        <w:rPr>
          <w:rFonts w:ascii="Bookman Old Style" w:hAnsi="Bookman Old Style"/>
          <w:sz w:val="24"/>
          <w:szCs w:val="24"/>
          <w:lang w:val="sv-FI"/>
        </w:rPr>
        <w:t xml:space="preserve"> </w:t>
      </w:r>
      <w:r w:rsidR="00172E1C" w:rsidRPr="008379CA">
        <w:rPr>
          <w:rFonts w:ascii="Bookman Old Style" w:hAnsi="Bookman Old Style"/>
          <w:sz w:val="24"/>
          <w:szCs w:val="24"/>
          <w:lang w:val="sv-FI"/>
        </w:rPr>
        <w:t>Rp</w:t>
      </w:r>
      <w:r w:rsidRPr="008379CA">
        <w:rPr>
          <w:rFonts w:ascii="Bookman Old Style" w:hAnsi="Bookman Old Style"/>
          <w:sz w:val="24"/>
          <w:szCs w:val="24"/>
          <w:lang w:val="sv-FI"/>
        </w:rPr>
        <w:t>380.195.200,00</w:t>
      </w:r>
      <w:r w:rsidRPr="008379CA">
        <w:rPr>
          <w:rFonts w:ascii="Bookman Old Style" w:hAnsi="Bookman Old Style"/>
          <w:sz w:val="24"/>
          <w:szCs w:val="24"/>
          <w:lang w:val="id-ID"/>
        </w:rPr>
        <w:t>;</w:t>
      </w:r>
      <w:r w:rsidR="00A954D0" w:rsidRPr="008379CA">
        <w:rPr>
          <w:rFonts w:ascii="Bookman Old Style" w:hAnsi="Bookman Old Style"/>
          <w:sz w:val="24"/>
          <w:szCs w:val="24"/>
          <w:lang w:val="id-ID"/>
        </w:rPr>
        <w:t xml:space="preserve"> </w:t>
      </w:r>
    </w:p>
    <w:p w14:paraId="45761666" w14:textId="73CBA82C" w:rsidR="00BB2062" w:rsidRPr="008379CA" w:rsidRDefault="00BB2062" w:rsidP="00CE715C">
      <w:pPr>
        <w:pStyle w:val="ListParagraph"/>
        <w:numPr>
          <w:ilvl w:val="0"/>
          <w:numId w:val="111"/>
        </w:numPr>
        <w:spacing w:before="60" w:after="0" w:line="276" w:lineRule="auto"/>
        <w:ind w:left="1701" w:hanging="425"/>
        <w:contextualSpacing w:val="0"/>
        <w:jc w:val="both"/>
        <w:rPr>
          <w:rFonts w:ascii="Bookman Old Style" w:hAnsi="Bookman Old Style"/>
          <w:sz w:val="24"/>
          <w:szCs w:val="24"/>
          <w:lang w:val="id-ID"/>
        </w:rPr>
      </w:pPr>
      <w:r w:rsidRPr="008379CA">
        <w:rPr>
          <w:rFonts w:ascii="Bookman Old Style" w:hAnsi="Bookman Old Style"/>
          <w:sz w:val="24"/>
          <w:szCs w:val="24"/>
          <w:lang w:val="sv-FI"/>
        </w:rPr>
        <w:t>Pelayanan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Informasi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Rawan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Bencana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Rp283.660.900,00;</w:t>
      </w:r>
    </w:p>
    <w:p w14:paraId="5E4624CA" w14:textId="071AC381" w:rsidR="00BB2062" w:rsidRPr="008379CA" w:rsidRDefault="00BB2062" w:rsidP="00CE715C">
      <w:pPr>
        <w:pStyle w:val="ListParagraph"/>
        <w:numPr>
          <w:ilvl w:val="0"/>
          <w:numId w:val="111"/>
        </w:numPr>
        <w:spacing w:before="60" w:after="0" w:line="276" w:lineRule="auto"/>
        <w:ind w:left="1701" w:hanging="425"/>
        <w:contextualSpacing w:val="0"/>
        <w:jc w:val="both"/>
        <w:rPr>
          <w:rFonts w:ascii="Bookman Old Style" w:hAnsi="Bookman Old Style"/>
          <w:sz w:val="24"/>
          <w:szCs w:val="24"/>
          <w:lang w:val="id-ID"/>
        </w:rPr>
      </w:pPr>
      <w:r w:rsidRPr="008379CA">
        <w:rPr>
          <w:rFonts w:ascii="Bookman Old Style" w:hAnsi="Bookman Old Style"/>
          <w:sz w:val="24"/>
          <w:szCs w:val="24"/>
          <w:lang w:val="en-US"/>
        </w:rPr>
        <w:t>Pelayanan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Pencegahan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dan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Kesiapsiagaan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Terhadap</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Bencana</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Rp913.421.000,00;</w:t>
      </w:r>
    </w:p>
    <w:p w14:paraId="43FE3C23" w14:textId="04FF8D22" w:rsidR="00BB2062" w:rsidRPr="008379CA" w:rsidRDefault="00BB2062" w:rsidP="00CE715C">
      <w:pPr>
        <w:pStyle w:val="ListParagraph"/>
        <w:numPr>
          <w:ilvl w:val="0"/>
          <w:numId w:val="111"/>
        </w:numPr>
        <w:spacing w:before="60" w:after="0" w:line="276" w:lineRule="auto"/>
        <w:ind w:left="1701" w:hanging="425"/>
        <w:contextualSpacing w:val="0"/>
        <w:jc w:val="both"/>
        <w:rPr>
          <w:rFonts w:ascii="Bookman Old Style" w:hAnsi="Bookman Old Style"/>
          <w:sz w:val="24"/>
          <w:szCs w:val="24"/>
          <w:lang w:val="id-ID"/>
        </w:rPr>
      </w:pPr>
      <w:r w:rsidRPr="008379CA">
        <w:rPr>
          <w:rFonts w:ascii="Bookman Old Style" w:hAnsi="Bookman Old Style"/>
          <w:sz w:val="24"/>
          <w:szCs w:val="24"/>
          <w:lang w:val="sv-FI"/>
        </w:rPr>
        <w:t>Pelayanan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Penyelematan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Evakuasi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Korban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Bencana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Rp401.030.000,00;</w:t>
      </w:r>
    </w:p>
    <w:p w14:paraId="0B55F3FE" w14:textId="77AED650" w:rsidR="00BB2062" w:rsidRPr="008379CA" w:rsidRDefault="00BB2062" w:rsidP="00CE715C">
      <w:pPr>
        <w:pStyle w:val="ListParagraph"/>
        <w:numPr>
          <w:ilvl w:val="0"/>
          <w:numId w:val="111"/>
        </w:numPr>
        <w:spacing w:before="60" w:after="0" w:line="276" w:lineRule="auto"/>
        <w:ind w:left="1701" w:hanging="425"/>
        <w:contextualSpacing w:val="0"/>
        <w:jc w:val="both"/>
        <w:rPr>
          <w:rFonts w:ascii="Bookman Old Style" w:hAnsi="Bookman Old Style"/>
          <w:sz w:val="24"/>
          <w:szCs w:val="24"/>
          <w:lang w:val="id-ID"/>
        </w:rPr>
      </w:pPr>
      <w:r w:rsidRPr="008379CA">
        <w:rPr>
          <w:rFonts w:ascii="Bookman Old Style" w:hAnsi="Bookman Old Style"/>
          <w:sz w:val="24"/>
          <w:szCs w:val="24"/>
          <w:lang w:val="sv-FI"/>
        </w:rPr>
        <w:t>Pelayanan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Penyelamatan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Evakuasi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Korban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Kebakaran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Rp2.061.772.000,00.</w:t>
      </w:r>
    </w:p>
    <w:p w14:paraId="7B7E129D" w14:textId="35312D22" w:rsidR="00BB2062" w:rsidRPr="008379CA" w:rsidRDefault="00BB2062" w:rsidP="00CB0BED">
      <w:pPr>
        <w:pStyle w:val="ListParagraph"/>
        <w:spacing w:before="60" w:after="0" w:line="276" w:lineRule="auto"/>
        <w:ind w:left="1276"/>
        <w:contextualSpacing w:val="0"/>
        <w:jc w:val="both"/>
        <w:rPr>
          <w:rFonts w:ascii="Bookman Old Style" w:hAnsi="Bookman Old Style" w:cs="Arial"/>
          <w:sz w:val="24"/>
          <w:szCs w:val="24"/>
          <w:lang w:val="id-ID"/>
        </w:rPr>
      </w:pPr>
      <w:r w:rsidRPr="008379CA">
        <w:rPr>
          <w:rFonts w:ascii="Bookman Old Style" w:hAnsi="Bookman Old Style"/>
          <w:sz w:val="24"/>
          <w:szCs w:val="24"/>
          <w:lang w:val="id-ID"/>
        </w:rPr>
        <w:t>Harus</w:t>
      </w:r>
      <w:r w:rsidR="00A954D0" w:rsidRPr="008379CA">
        <w:rPr>
          <w:rFonts w:ascii="Bookman Old Style" w:hAnsi="Bookman Old Style"/>
          <w:sz w:val="24"/>
          <w:szCs w:val="24"/>
          <w:lang w:val="id-ID"/>
        </w:rPr>
        <w:t xml:space="preserve"> </w:t>
      </w:r>
      <w:r w:rsidRPr="008379CA">
        <w:rPr>
          <w:rFonts w:ascii="Bookman Old Style" w:hAnsi="Bookman Old Style" w:cs="Arial"/>
          <w:sz w:val="24"/>
          <w:szCs w:val="24"/>
          <w:lang w:val="id-ID"/>
        </w:rPr>
        <w:t>diprioritaskan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untuk</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memenuhi</w:t>
      </w:r>
      <w:r w:rsidR="00A954D0" w:rsidRPr="008379CA">
        <w:rPr>
          <w:rFonts w:ascii="Bookman Old Style" w:hAnsi="Bookman Old Style"/>
          <w:sz w:val="24"/>
          <w:szCs w:val="24"/>
          <w:lang w:val="id-ID"/>
        </w:rPr>
        <w:t xml:space="preserve"> </w:t>
      </w:r>
      <w:r w:rsidRPr="008379CA">
        <w:rPr>
          <w:rFonts w:ascii="Bookman Old Style" w:hAnsi="Bookman Old Style" w:cs="Arial"/>
          <w:sz w:val="24"/>
          <w:szCs w:val="24"/>
          <w:lang w:val="id-ID"/>
        </w:rPr>
        <w:t>SPM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Trantibumlinmas</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untuk</w:t>
      </w:r>
      <w:r w:rsidR="00A954D0" w:rsidRPr="008379CA">
        <w:rPr>
          <w:rFonts w:ascii="Bookman Old Style" w:hAnsi="Bookman Old Style" w:cs="Arial"/>
          <w:sz w:val="24"/>
          <w:szCs w:val="24"/>
          <w:lang w:val="id-ID"/>
        </w:rPr>
        <w:t xml:space="preserve"> </w:t>
      </w:r>
      <w:r w:rsidR="00172E1C" w:rsidRPr="008379CA">
        <w:rPr>
          <w:rFonts w:ascii="Bookman Old Style" w:hAnsi="Bookman Old Style"/>
          <w:sz w:val="24"/>
          <w:szCs w:val="24"/>
          <w:lang w:val="id-ID"/>
        </w:rPr>
        <w:t>Kabupaten/Kota</w:t>
      </w:r>
      <w:r w:rsidRPr="008379CA">
        <w:rPr>
          <w:rFonts w:ascii="Bookman Old Style" w:hAnsi="Bookman Old Style" w:cs="Arial"/>
          <w:sz w:val="24"/>
          <w:szCs w:val="24"/>
          <w:lang w:val="id-ID"/>
        </w:rPr>
        <w: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sebagaimana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diamanatkan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dalam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Peraturan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Pemerintah</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Nomor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2</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Tahun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2018,</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Peraturan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Menteri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Dalam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Negeri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Nomor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59</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Tahun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2021,</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Peraturan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Menteri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Dalam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Negeri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Nomor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101</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Tahun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2018</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tentang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Standar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Teknis</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Pelayanan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Dasar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pada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Standar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Pelayanan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Minimal</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bidang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Urusan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Bencana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Daerah</w:t>
      </w:r>
      <w:r w:rsidR="00A954D0" w:rsidRPr="008379CA">
        <w:rPr>
          <w:rFonts w:ascii="Bookman Old Style" w:hAnsi="Bookman Old Style" w:cs="Arial"/>
          <w:sz w:val="24"/>
          <w:szCs w:val="24"/>
          <w:lang w:val="id-ID"/>
        </w:rPr>
        <w:t xml:space="preserve"> </w:t>
      </w:r>
      <w:r w:rsidR="00172E1C" w:rsidRPr="008379CA">
        <w:rPr>
          <w:rFonts w:ascii="Bookman Old Style" w:hAnsi="Bookman Old Style" w:cs="Arial"/>
          <w:sz w:val="24"/>
          <w:szCs w:val="24"/>
          <w:lang w:val="id-ID"/>
        </w:rPr>
        <w:t>Kabupaten/Kota</w:t>
      </w:r>
      <w:r w:rsidRPr="008379CA">
        <w:rPr>
          <w:rFonts w:ascii="Bookman Old Style" w:hAnsi="Bookman Old Style" w:cs="Arial"/>
          <w:sz w:val="24"/>
          <w:szCs w:val="24"/>
          <w:lang w:val="id-ID"/>
        </w:rPr>
        <w: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Peraturan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Menteri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Dalam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Negeri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Nomor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114</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Tahun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2018</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tentang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Standar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Teknis</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Pelayanan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Dasar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Pada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Standar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Pelayanan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Minimal</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bidang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Urusan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Kebakaran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Daerah</w:t>
      </w:r>
      <w:r w:rsidR="00A954D0" w:rsidRPr="008379CA">
        <w:rPr>
          <w:rFonts w:ascii="Bookman Old Style" w:hAnsi="Bookman Old Style" w:cs="Arial"/>
          <w:sz w:val="24"/>
          <w:szCs w:val="24"/>
          <w:lang w:val="id-ID"/>
        </w:rPr>
        <w:t xml:space="preserve"> </w:t>
      </w:r>
      <w:r w:rsidR="00172E1C" w:rsidRPr="008379CA">
        <w:rPr>
          <w:rFonts w:ascii="Bookman Old Style" w:hAnsi="Bookman Old Style" w:cs="Arial"/>
          <w:sz w:val="24"/>
          <w:szCs w:val="24"/>
          <w:lang w:val="id-ID"/>
        </w:rPr>
        <w:t>Kabupaten/Kota</w:t>
      </w:r>
      <w:r w:rsidRPr="008379CA">
        <w:rPr>
          <w:rFonts w:ascii="Bookman Old Style" w:hAnsi="Bookman Old Style" w:cs="Arial"/>
          <w:sz w:val="24"/>
          <w:szCs w:val="24"/>
          <w:lang w:val="id-ID"/>
        </w:rPr>
        <w: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Peraturan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Menteri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Dalam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Negeri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Nomor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121</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Tahun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2018</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tentang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Standar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Teknis</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Mutu</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Pelayanan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Dasar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Sub</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Urusan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Ketenteraman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Ketertiban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Umum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Provinsi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dan</w:t>
      </w:r>
      <w:r w:rsidR="00A954D0" w:rsidRPr="008379CA">
        <w:rPr>
          <w:rFonts w:ascii="Bookman Old Style" w:hAnsi="Bookman Old Style" w:cs="Arial"/>
          <w:sz w:val="24"/>
          <w:szCs w:val="24"/>
          <w:lang w:val="id-ID"/>
        </w:rPr>
        <w:t xml:space="preserve"> </w:t>
      </w:r>
      <w:r w:rsidR="00172E1C" w:rsidRPr="008379CA">
        <w:rPr>
          <w:rFonts w:ascii="Bookman Old Style" w:hAnsi="Bookman Old Style" w:cs="Arial"/>
          <w:sz w:val="24"/>
          <w:szCs w:val="24"/>
          <w:lang w:val="id-ID"/>
        </w:rPr>
        <w:t>Kabupaten/Kota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serta</w:t>
      </w:r>
      <w:r w:rsidR="00A954D0" w:rsidRPr="008379CA">
        <w:rPr>
          <w:rFonts w:ascii="Bookman Old Style" w:hAnsi="Bookman Old Style" w:cs="Arial"/>
          <w:sz w:val="24"/>
          <w:szCs w:val="24"/>
          <w:lang w:val="id-ID"/>
        </w:rPr>
        <w:t xml:space="preserve"> </w:t>
      </w:r>
      <w:r w:rsidRPr="008379CA">
        <w:rPr>
          <w:rFonts w:ascii="Bookman Old Style" w:hAnsi="Bookman Old Style"/>
          <w:sz w:val="24"/>
          <w:szCs w:val="24"/>
          <w:lang w:val="id-ID"/>
        </w:rPr>
        <w:t>butir</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5.2.1.a.6)</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Lampiran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Peraturan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Menteri</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Dalam</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Negeri</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Nomor</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15</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Tahun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2024</w:t>
      </w:r>
      <w:r w:rsidRPr="008379CA">
        <w:rPr>
          <w:rFonts w:ascii="Bookman Old Style" w:hAnsi="Bookman Old Style" w:cs="Arial"/>
          <w:sz w:val="24"/>
          <w:szCs w:val="24"/>
          <w:lang w:val="id-ID"/>
        </w:rPr>
        <w:t>.</w:t>
      </w:r>
    </w:p>
    <w:p w14:paraId="2E9D0BD8" w14:textId="09F5232C" w:rsidR="00BB2062" w:rsidRPr="008379CA" w:rsidRDefault="00BB2062" w:rsidP="00CB0BED">
      <w:pPr>
        <w:pStyle w:val="ListParagraph"/>
        <w:numPr>
          <w:ilvl w:val="6"/>
          <w:numId w:val="107"/>
        </w:numPr>
        <w:spacing w:before="120" w:after="0" w:line="276" w:lineRule="auto"/>
        <w:ind w:left="1276" w:hanging="283"/>
        <w:contextualSpacing w:val="0"/>
        <w:jc w:val="both"/>
        <w:rPr>
          <w:rFonts w:ascii="Bookman Old Style" w:hAnsi="Bookman Old Style"/>
          <w:sz w:val="24"/>
          <w:szCs w:val="24"/>
          <w:lang w:val="id-ID"/>
        </w:rPr>
      </w:pPr>
      <w:r w:rsidRPr="008379CA">
        <w:rPr>
          <w:rFonts w:ascii="Bookman Old Style" w:hAnsi="Bookman Old Style"/>
          <w:sz w:val="24"/>
          <w:szCs w:val="24"/>
          <w:lang w:val="id-ID"/>
        </w:rPr>
        <w:t>SPM</w:t>
      </w:r>
      <w:r w:rsidR="00A954D0" w:rsidRPr="008379CA">
        <w:rPr>
          <w:rFonts w:ascii="Bookman Old Style" w:hAnsi="Bookman Old Style"/>
          <w:sz w:val="24"/>
          <w:szCs w:val="24"/>
          <w:lang w:val="id-ID"/>
        </w:rPr>
        <w:t xml:space="preserve"> </w:t>
      </w:r>
      <w:r w:rsidRPr="008379CA">
        <w:rPr>
          <w:rFonts w:ascii="Bookman Old Style" w:hAnsi="Bookman Old Style" w:cs="Arial"/>
          <w:sz w:val="24"/>
          <w:szCs w:val="24"/>
        </w:rPr>
        <w:t>Bidang</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Sosial</w:t>
      </w:r>
    </w:p>
    <w:p w14:paraId="59DC2C38" w14:textId="10404C45" w:rsidR="00BB2062" w:rsidRPr="008379CA" w:rsidRDefault="00BB2062" w:rsidP="00CB0BED">
      <w:pPr>
        <w:pStyle w:val="ListParagraph"/>
        <w:spacing w:before="60" w:after="0" w:line="276" w:lineRule="auto"/>
        <w:ind w:left="1276"/>
        <w:contextualSpacing w:val="0"/>
        <w:jc w:val="both"/>
        <w:rPr>
          <w:rFonts w:ascii="Bookman Old Style" w:hAnsi="Bookman Old Style" w:cs="Arial"/>
          <w:sz w:val="24"/>
          <w:szCs w:val="24"/>
          <w:lang w:val="id-ID"/>
        </w:rPr>
      </w:pPr>
      <w:r w:rsidRPr="008379CA">
        <w:rPr>
          <w:rFonts w:ascii="Bookman Old Style" w:hAnsi="Bookman Old Style"/>
          <w:sz w:val="24"/>
          <w:szCs w:val="24"/>
        </w:rPr>
        <w:t>Alokasi</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untuk</w:t>
      </w:r>
      <w:r w:rsidR="00A954D0" w:rsidRPr="008379CA">
        <w:rPr>
          <w:rFonts w:ascii="Bookman Old Style" w:hAnsi="Bookman Old Style"/>
          <w:sz w:val="24"/>
          <w:szCs w:val="24"/>
        </w:rPr>
        <w:t xml:space="preserve"> </w:t>
      </w:r>
      <w:r w:rsidRPr="008379CA">
        <w:rPr>
          <w:rFonts w:ascii="Bookman Old Style" w:hAnsi="Bookman Old Style"/>
          <w:sz w:val="24"/>
          <w:szCs w:val="24"/>
        </w:rPr>
        <w:t>b</w:t>
      </w:r>
      <w:r w:rsidRPr="008379CA">
        <w:rPr>
          <w:rFonts w:ascii="Bookman Old Style" w:hAnsi="Bookman Old Style"/>
          <w:sz w:val="24"/>
          <w:szCs w:val="24"/>
          <w:lang w:val="id-ID"/>
        </w:rPr>
        <w:t>elanja</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SPM</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Bidang</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Sosial</w:t>
      </w:r>
      <w:r w:rsidR="00A954D0" w:rsidRPr="008379CA">
        <w:rPr>
          <w:rFonts w:ascii="Bookman Old Style" w:hAnsi="Bookman Old Style"/>
          <w:sz w:val="24"/>
          <w:szCs w:val="24"/>
          <w:lang w:val="id-ID"/>
        </w:rPr>
        <w:t xml:space="preserve"> </w:t>
      </w:r>
      <w:r w:rsidRPr="008379CA">
        <w:rPr>
          <w:rFonts w:ascii="Bookman Old Style" w:hAnsi="Bookman Old Style" w:cs="Arial"/>
          <w:sz w:val="24"/>
          <w:szCs w:val="24"/>
          <w:lang w:val="id-ID"/>
        </w:rPr>
        <w:t>Rp</w:t>
      </w:r>
      <w:r w:rsidRPr="008379CA">
        <w:rPr>
          <w:rFonts w:ascii="Bookman Old Style" w:hAnsi="Bookman Old Style"/>
          <w:sz w:val="24"/>
          <w:szCs w:val="24"/>
          <w:lang w:val="sv-FI"/>
        </w:rPr>
        <w:t>1.136.419.400,00</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id-ID"/>
        </w:rPr>
        <w:t>atau</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2,43</w:t>
      </w:r>
      <w:r w:rsidRPr="008379CA">
        <w:rPr>
          <w:rFonts w:ascii="Bookman Old Style" w:hAnsi="Bookman Old Style"/>
          <w:sz w:val="24"/>
          <w:szCs w:val="24"/>
          <w:lang w:val="id-ID"/>
        </w:rPr>
        <w:t>%</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total</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belanja</w:t>
      </w:r>
      <w:r w:rsidR="00A954D0" w:rsidRPr="008379CA">
        <w:rPr>
          <w:rFonts w:ascii="Bookman Old Style" w:hAnsi="Bookman Old Style" w:cs="Arial"/>
          <w:sz w:val="24"/>
          <w:szCs w:val="24"/>
          <w:lang w:val="id-ID"/>
        </w:rPr>
        <w:t xml:space="preserve"> </w:t>
      </w:r>
      <w:r w:rsidRPr="008379CA">
        <w:rPr>
          <w:rFonts w:ascii="Bookman Old Style" w:hAnsi="Bookman Old Style"/>
          <w:sz w:val="24"/>
          <w:szCs w:val="24"/>
          <w:lang w:val="id-ID"/>
        </w:rPr>
        <w:t>Urusan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Pemerintahan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Bidang</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Sosial</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sv-FI"/>
        </w:rPr>
        <w:t>Rp</w:t>
      </w:r>
      <w:r w:rsidRPr="008379CA">
        <w:rPr>
          <w:rFonts w:ascii="Bookman Old Style" w:hAnsi="Bookman Old Style"/>
          <w:sz w:val="24"/>
          <w:szCs w:val="24"/>
          <w:lang w:val="sv-FI"/>
        </w:rPr>
        <w:t>46.580.055.125,00</w:t>
      </w:r>
      <w:r w:rsidRPr="008379CA">
        <w:rPr>
          <w:rFonts w:ascii="Bookman Old Style" w:hAnsi="Bookman Old Style"/>
          <w:sz w:val="24"/>
          <w:szCs w:val="24"/>
          <w:lang w:val="id-ID"/>
        </w:rPr>
        <w:t>.</w:t>
      </w:r>
      <w:r w:rsidR="00A954D0" w:rsidRPr="008379CA">
        <w:rPr>
          <w:rFonts w:ascii="Bookman Old Style" w:hAnsi="Bookman Old Style" w:cs="Arial"/>
          <w:sz w:val="24"/>
          <w:szCs w:val="24"/>
          <w:lang w:val="id-ID"/>
        </w:rPr>
        <w:t xml:space="preserve"> </w:t>
      </w:r>
      <w:r w:rsidRPr="008379CA">
        <w:rPr>
          <w:rFonts w:ascii="Bookman Old Style" w:hAnsi="Bookman Old Style"/>
          <w:sz w:val="24"/>
          <w:szCs w:val="24"/>
        </w:rPr>
        <w:t>Alokasi</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untuk</w:t>
      </w:r>
      <w:r w:rsidR="00A954D0" w:rsidRPr="008379CA">
        <w:rPr>
          <w:rFonts w:ascii="Bookman Old Style" w:hAnsi="Bookman Old Style"/>
          <w:sz w:val="24"/>
          <w:szCs w:val="24"/>
        </w:rPr>
        <w:t xml:space="preserve"> </w:t>
      </w:r>
      <w:r w:rsidRPr="008379CA">
        <w:rPr>
          <w:rFonts w:ascii="Bookman Old Style" w:hAnsi="Bookman Old Style"/>
          <w:sz w:val="24"/>
          <w:szCs w:val="24"/>
        </w:rPr>
        <w:t>belanja</w:t>
      </w:r>
      <w:r w:rsidR="00A954D0" w:rsidRPr="008379CA">
        <w:rPr>
          <w:rFonts w:ascii="Bookman Old Style" w:hAnsi="Bookman Old Style"/>
          <w:sz w:val="24"/>
          <w:szCs w:val="24"/>
        </w:rPr>
        <w:t xml:space="preserve"> </w:t>
      </w:r>
      <w:r w:rsidRPr="008379CA">
        <w:rPr>
          <w:rFonts w:ascii="Bookman Old Style" w:hAnsi="Bookman Old Style"/>
          <w:sz w:val="24"/>
          <w:szCs w:val="24"/>
        </w:rPr>
        <w:t>SPM</w:t>
      </w:r>
      <w:r w:rsidR="00A954D0" w:rsidRPr="008379CA">
        <w:rPr>
          <w:rFonts w:ascii="Bookman Old Style" w:hAnsi="Bookman Old Style"/>
          <w:sz w:val="24"/>
          <w:szCs w:val="24"/>
        </w:rPr>
        <w:t xml:space="preserve"> </w:t>
      </w:r>
      <w:r w:rsidRPr="008379CA">
        <w:rPr>
          <w:rFonts w:ascii="Bookman Old Style" w:hAnsi="Bookman Old Style"/>
          <w:sz w:val="24"/>
          <w:szCs w:val="24"/>
        </w:rPr>
        <w:t>tersebut</w:t>
      </w:r>
      <w:r w:rsidR="00A954D0" w:rsidRPr="008379CA">
        <w:rPr>
          <w:rFonts w:ascii="Bookman Old Style" w:hAnsi="Bookman Old Style"/>
          <w:sz w:val="24"/>
          <w:szCs w:val="24"/>
        </w:rPr>
        <w:t xml:space="preserve"> </w:t>
      </w:r>
      <w:r w:rsidRPr="008379CA">
        <w:rPr>
          <w:rFonts w:ascii="Bookman Old Style" w:hAnsi="Bookman Old Style"/>
          <w:sz w:val="24"/>
          <w:szCs w:val="24"/>
        </w:rPr>
        <w:t>diuraikan</w:t>
      </w:r>
      <w:r w:rsidR="00A954D0" w:rsidRPr="008379CA">
        <w:rPr>
          <w:rFonts w:ascii="Bookman Old Style" w:hAnsi="Bookman Old Style"/>
          <w:sz w:val="24"/>
          <w:szCs w:val="24"/>
        </w:rPr>
        <w:t xml:space="preserve"> </w:t>
      </w:r>
      <w:r w:rsidRPr="008379CA">
        <w:rPr>
          <w:rFonts w:ascii="Bookman Old Style" w:hAnsi="Bookman Old Style" w:cs="Arial"/>
          <w:sz w:val="24"/>
          <w:szCs w:val="24"/>
        </w:rPr>
        <w:t>dalam</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lang w:val="id-ID"/>
        </w:rPr>
        <w:t>jenis</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pelayanan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dasar</w:t>
      </w:r>
      <w:r w:rsidR="00A954D0" w:rsidRPr="008379CA">
        <w:rPr>
          <w:rFonts w:ascii="Bookman Old Style" w:hAnsi="Bookman Old Style"/>
          <w:sz w:val="24"/>
          <w:szCs w:val="24"/>
        </w:rPr>
        <w:t xml:space="preserve"> </w:t>
      </w:r>
      <w:r w:rsidRPr="008379CA">
        <w:rPr>
          <w:rFonts w:ascii="Bookman Old Style" w:hAnsi="Bookman Old Style"/>
          <w:sz w:val="24"/>
          <w:szCs w:val="24"/>
        </w:rPr>
        <w:t>sebagai</w:t>
      </w:r>
      <w:r w:rsidR="00A954D0" w:rsidRPr="008379CA">
        <w:rPr>
          <w:rFonts w:ascii="Bookman Old Style" w:hAnsi="Bookman Old Style"/>
          <w:sz w:val="24"/>
          <w:szCs w:val="24"/>
        </w:rPr>
        <w:t xml:space="preserve"> </w:t>
      </w:r>
      <w:r w:rsidRPr="008379CA">
        <w:rPr>
          <w:rFonts w:ascii="Bookman Old Style" w:hAnsi="Bookman Old Style"/>
          <w:sz w:val="24"/>
          <w:szCs w:val="24"/>
        </w:rPr>
        <w:t>berikut</w:t>
      </w:r>
      <w:r w:rsidRPr="008379CA">
        <w:rPr>
          <w:rFonts w:ascii="Bookman Old Style" w:hAnsi="Bookman Old Style" w:cs="Arial"/>
          <w:sz w:val="24"/>
          <w:szCs w:val="24"/>
          <w:lang w:val="id-ID"/>
        </w:rPr>
        <w:t>:</w:t>
      </w:r>
    </w:p>
    <w:p w14:paraId="6E993682" w14:textId="23D7B37D" w:rsidR="00BB2062" w:rsidRPr="008379CA" w:rsidRDefault="00BB2062" w:rsidP="00CB0BED">
      <w:pPr>
        <w:numPr>
          <w:ilvl w:val="0"/>
          <w:numId w:val="112"/>
        </w:numPr>
        <w:spacing w:before="60" w:line="276" w:lineRule="auto"/>
        <w:ind w:left="1701" w:hanging="425"/>
        <w:jc w:val="both"/>
        <w:rPr>
          <w:rFonts w:ascii="Bookman Old Style" w:eastAsia="Calibri" w:hAnsi="Bookman Old Style" w:cs="Arial"/>
          <w:lang w:val="sv-SE"/>
        </w:rPr>
      </w:pPr>
      <w:r w:rsidRPr="008379CA">
        <w:rPr>
          <w:rFonts w:ascii="Bookman Old Style" w:eastAsia="Calibri" w:hAnsi="Bookman Old Style" w:cs="Arial"/>
          <w:lang w:val="sv-SE"/>
        </w:rPr>
        <w:t>Rehablitasi</w:t>
      </w:r>
      <w:r w:rsidR="00A954D0" w:rsidRPr="008379CA">
        <w:rPr>
          <w:rFonts w:ascii="Bookman Old Style" w:eastAsia="Calibri" w:hAnsi="Bookman Old Style" w:cs="Arial"/>
          <w:lang w:val="sv-SE"/>
        </w:rPr>
        <w:t xml:space="preserve"> </w:t>
      </w:r>
      <w:r w:rsidRPr="008379CA">
        <w:rPr>
          <w:rFonts w:ascii="Bookman Old Style" w:eastAsia="Calibri" w:hAnsi="Bookman Old Style" w:cs="Arial"/>
          <w:lang w:val="sv-SE"/>
        </w:rPr>
        <w:t>Sosial</w:t>
      </w:r>
      <w:r w:rsidR="00A954D0" w:rsidRPr="008379CA">
        <w:rPr>
          <w:rFonts w:ascii="Bookman Old Style" w:eastAsia="Calibri" w:hAnsi="Bookman Old Style" w:cs="Arial"/>
          <w:lang w:val="sv-SE"/>
        </w:rPr>
        <w:t xml:space="preserve"> </w:t>
      </w:r>
      <w:r w:rsidRPr="008379CA">
        <w:rPr>
          <w:rFonts w:ascii="Bookman Old Style" w:eastAsia="Calibri" w:hAnsi="Bookman Old Style" w:cs="Arial"/>
          <w:lang w:val="sv-SE"/>
        </w:rPr>
        <w:t>Dasar</w:t>
      </w:r>
      <w:r w:rsidR="00A954D0" w:rsidRPr="008379CA">
        <w:rPr>
          <w:rFonts w:ascii="Bookman Old Style" w:eastAsia="Calibri" w:hAnsi="Bookman Old Style" w:cs="Arial"/>
          <w:lang w:val="sv-SE"/>
        </w:rPr>
        <w:t xml:space="preserve"> </w:t>
      </w:r>
      <w:r w:rsidRPr="008379CA">
        <w:rPr>
          <w:rFonts w:ascii="Bookman Old Style" w:eastAsia="Calibri" w:hAnsi="Bookman Old Style" w:cs="Arial"/>
          <w:lang w:val="sv-SE"/>
        </w:rPr>
        <w:t>Penyandang</w:t>
      </w:r>
      <w:r w:rsidR="00A954D0" w:rsidRPr="008379CA">
        <w:rPr>
          <w:rFonts w:ascii="Bookman Old Style" w:eastAsia="Calibri" w:hAnsi="Bookman Old Style" w:cs="Arial"/>
          <w:lang w:val="sv-SE"/>
        </w:rPr>
        <w:t xml:space="preserve"> </w:t>
      </w:r>
      <w:r w:rsidRPr="008379CA">
        <w:rPr>
          <w:rFonts w:ascii="Bookman Old Style" w:eastAsia="Calibri" w:hAnsi="Bookman Old Style" w:cs="Arial"/>
          <w:lang w:val="sv-SE"/>
        </w:rPr>
        <w:t>Disabilitas</w:t>
      </w:r>
      <w:r w:rsidR="00A954D0" w:rsidRPr="008379CA">
        <w:rPr>
          <w:rFonts w:ascii="Bookman Old Style" w:eastAsia="Calibri" w:hAnsi="Bookman Old Style" w:cs="Arial"/>
          <w:lang w:val="sv-SE"/>
        </w:rPr>
        <w:t xml:space="preserve"> </w:t>
      </w:r>
      <w:r w:rsidRPr="008379CA">
        <w:rPr>
          <w:rFonts w:ascii="Bookman Old Style" w:eastAsia="Calibri" w:hAnsi="Bookman Old Style" w:cs="Arial"/>
          <w:lang w:val="sv-SE"/>
        </w:rPr>
        <w:t>Terlantar,</w:t>
      </w:r>
      <w:r w:rsidR="00A954D0" w:rsidRPr="008379CA">
        <w:rPr>
          <w:rFonts w:ascii="Bookman Old Style" w:eastAsia="Calibri" w:hAnsi="Bookman Old Style" w:cs="Arial"/>
          <w:lang w:val="sv-SE"/>
        </w:rPr>
        <w:t xml:space="preserve"> </w:t>
      </w:r>
      <w:r w:rsidRPr="008379CA">
        <w:rPr>
          <w:rFonts w:ascii="Bookman Old Style" w:eastAsia="Calibri" w:hAnsi="Bookman Old Style" w:cs="Arial"/>
          <w:lang w:val="sv-SE"/>
        </w:rPr>
        <w:t>Anak</w:t>
      </w:r>
      <w:r w:rsidR="00A954D0" w:rsidRPr="008379CA">
        <w:rPr>
          <w:rFonts w:ascii="Bookman Old Style" w:eastAsia="Calibri" w:hAnsi="Bookman Old Style" w:cs="Arial"/>
          <w:lang w:val="sv-SE"/>
        </w:rPr>
        <w:t xml:space="preserve"> </w:t>
      </w:r>
      <w:r w:rsidRPr="008379CA">
        <w:rPr>
          <w:rFonts w:ascii="Bookman Old Style" w:eastAsia="Calibri" w:hAnsi="Bookman Old Style" w:cs="Arial"/>
          <w:lang w:val="sv-SE"/>
        </w:rPr>
        <w:t>Terlantar,</w:t>
      </w:r>
      <w:r w:rsidR="00A954D0" w:rsidRPr="008379CA">
        <w:rPr>
          <w:rFonts w:ascii="Bookman Old Style" w:eastAsia="Calibri" w:hAnsi="Bookman Old Style" w:cs="Arial"/>
          <w:lang w:val="sv-SE"/>
        </w:rPr>
        <w:t xml:space="preserve"> </w:t>
      </w:r>
      <w:r w:rsidRPr="008379CA">
        <w:rPr>
          <w:rFonts w:ascii="Bookman Old Style" w:eastAsia="Calibri" w:hAnsi="Bookman Old Style" w:cs="Arial"/>
          <w:lang w:val="sv-SE"/>
        </w:rPr>
        <w:t>Lanjut</w:t>
      </w:r>
      <w:r w:rsidR="00A954D0" w:rsidRPr="008379CA">
        <w:rPr>
          <w:rFonts w:ascii="Bookman Old Style" w:eastAsia="Calibri" w:hAnsi="Bookman Old Style" w:cs="Arial"/>
          <w:lang w:val="sv-SE"/>
        </w:rPr>
        <w:t xml:space="preserve"> </w:t>
      </w:r>
      <w:r w:rsidRPr="008379CA">
        <w:rPr>
          <w:rFonts w:ascii="Bookman Old Style" w:eastAsia="Calibri" w:hAnsi="Bookman Old Style" w:cs="Arial"/>
          <w:lang w:val="sv-SE"/>
        </w:rPr>
        <w:t>Usia</w:t>
      </w:r>
      <w:r w:rsidR="00A954D0" w:rsidRPr="008379CA">
        <w:rPr>
          <w:rFonts w:ascii="Bookman Old Style" w:eastAsia="Calibri" w:hAnsi="Bookman Old Style" w:cs="Arial"/>
          <w:lang w:val="sv-SE"/>
        </w:rPr>
        <w:t xml:space="preserve"> </w:t>
      </w:r>
      <w:r w:rsidRPr="008379CA">
        <w:rPr>
          <w:rFonts w:ascii="Bookman Old Style" w:eastAsia="Calibri" w:hAnsi="Bookman Old Style" w:cs="Arial"/>
          <w:lang w:val="sv-SE"/>
        </w:rPr>
        <w:t>Terlantar</w:t>
      </w:r>
      <w:r w:rsidR="00A954D0" w:rsidRPr="008379CA">
        <w:rPr>
          <w:rFonts w:ascii="Bookman Old Style" w:eastAsia="Calibri" w:hAnsi="Bookman Old Style" w:cs="Arial"/>
          <w:lang w:val="sv-SE"/>
        </w:rPr>
        <w:t xml:space="preserve"> </w:t>
      </w:r>
      <w:r w:rsidRPr="008379CA">
        <w:rPr>
          <w:rFonts w:ascii="Bookman Old Style" w:eastAsia="Calibri" w:hAnsi="Bookman Old Style" w:cs="Arial"/>
          <w:lang w:val="sv-SE"/>
        </w:rPr>
        <w:t>serta</w:t>
      </w:r>
      <w:r w:rsidR="00A954D0" w:rsidRPr="008379CA">
        <w:rPr>
          <w:rFonts w:ascii="Bookman Old Style" w:eastAsia="Calibri" w:hAnsi="Bookman Old Style" w:cs="Arial"/>
          <w:lang w:val="sv-SE"/>
        </w:rPr>
        <w:t xml:space="preserve"> </w:t>
      </w:r>
      <w:r w:rsidRPr="008379CA">
        <w:rPr>
          <w:rFonts w:ascii="Bookman Old Style" w:eastAsia="Calibri" w:hAnsi="Bookman Old Style" w:cs="Arial"/>
          <w:lang w:val="sv-SE"/>
        </w:rPr>
        <w:t>Gelandangan</w:t>
      </w:r>
      <w:r w:rsidR="00A954D0" w:rsidRPr="008379CA">
        <w:rPr>
          <w:rFonts w:ascii="Bookman Old Style" w:eastAsia="Calibri" w:hAnsi="Bookman Old Style" w:cs="Arial"/>
          <w:lang w:val="sv-SE"/>
        </w:rPr>
        <w:t xml:space="preserve"> </w:t>
      </w:r>
      <w:r w:rsidRPr="008379CA">
        <w:rPr>
          <w:rFonts w:ascii="Bookman Old Style" w:eastAsia="Calibri" w:hAnsi="Bookman Old Style" w:cs="Arial"/>
          <w:lang w:val="sv-SE"/>
        </w:rPr>
        <w:t>dan</w:t>
      </w:r>
      <w:r w:rsidR="00A954D0" w:rsidRPr="008379CA">
        <w:rPr>
          <w:rFonts w:ascii="Bookman Old Style" w:eastAsia="Calibri" w:hAnsi="Bookman Old Style" w:cs="Arial"/>
          <w:lang w:val="sv-SE"/>
        </w:rPr>
        <w:t xml:space="preserve"> </w:t>
      </w:r>
      <w:r w:rsidRPr="008379CA">
        <w:rPr>
          <w:rFonts w:ascii="Bookman Old Style" w:eastAsia="Calibri" w:hAnsi="Bookman Old Style" w:cs="Arial"/>
          <w:lang w:val="sv-SE"/>
        </w:rPr>
        <w:t>Pengemis</w:t>
      </w:r>
      <w:r w:rsidR="00A954D0" w:rsidRPr="008379CA">
        <w:rPr>
          <w:rFonts w:ascii="Bookman Old Style" w:eastAsia="Calibri" w:hAnsi="Bookman Old Style" w:cs="Arial"/>
          <w:lang w:val="sv-SE"/>
        </w:rPr>
        <w:t xml:space="preserve"> </w:t>
      </w:r>
      <w:r w:rsidRPr="008379CA">
        <w:rPr>
          <w:rFonts w:ascii="Bookman Old Style" w:eastAsia="Calibri" w:hAnsi="Bookman Old Style" w:cs="Arial"/>
          <w:lang w:val="sv-SE"/>
        </w:rPr>
        <w:t>di</w:t>
      </w:r>
      <w:r w:rsidR="00A954D0" w:rsidRPr="008379CA">
        <w:rPr>
          <w:rFonts w:ascii="Bookman Old Style" w:eastAsia="Calibri" w:hAnsi="Bookman Old Style" w:cs="Arial"/>
          <w:lang w:val="sv-SE"/>
        </w:rPr>
        <w:t xml:space="preserve"> </w:t>
      </w:r>
      <w:r w:rsidRPr="008379CA">
        <w:rPr>
          <w:rFonts w:ascii="Bookman Old Style" w:eastAsia="Calibri" w:hAnsi="Bookman Old Style" w:cs="Arial"/>
          <w:lang w:val="sv-SE"/>
        </w:rPr>
        <w:t>Laur</w:t>
      </w:r>
      <w:r w:rsidR="00A954D0" w:rsidRPr="008379CA">
        <w:rPr>
          <w:rFonts w:ascii="Bookman Old Style" w:eastAsia="Calibri" w:hAnsi="Bookman Old Style" w:cs="Arial"/>
          <w:lang w:val="sv-SE"/>
        </w:rPr>
        <w:t xml:space="preserve"> </w:t>
      </w:r>
      <w:r w:rsidRPr="008379CA">
        <w:rPr>
          <w:rFonts w:ascii="Bookman Old Style" w:eastAsia="Calibri" w:hAnsi="Bookman Old Style" w:cs="Arial"/>
          <w:lang w:val="sv-SE"/>
        </w:rPr>
        <w:t>Panti</w:t>
      </w:r>
      <w:r w:rsidR="00A954D0" w:rsidRPr="008379CA">
        <w:rPr>
          <w:rFonts w:ascii="Bookman Old Style" w:eastAsia="Calibri" w:hAnsi="Bookman Old Style" w:cs="Arial"/>
          <w:lang w:val="sv-SE"/>
        </w:rPr>
        <w:t xml:space="preserve"> </w:t>
      </w:r>
      <w:r w:rsidRPr="008379CA">
        <w:rPr>
          <w:rFonts w:ascii="Bookman Old Style" w:eastAsia="Calibri" w:hAnsi="Bookman Old Style" w:cs="Arial"/>
          <w:lang w:val="sv-SE"/>
        </w:rPr>
        <w:t>Sosial</w:t>
      </w:r>
      <w:r w:rsidR="00A954D0" w:rsidRPr="008379CA">
        <w:rPr>
          <w:rFonts w:ascii="Bookman Old Style" w:eastAsia="Calibri" w:hAnsi="Bookman Old Style" w:cs="Arial"/>
          <w:lang w:val="sv-SE"/>
        </w:rPr>
        <w:t xml:space="preserve"> </w:t>
      </w:r>
      <w:r w:rsidRPr="008379CA">
        <w:rPr>
          <w:rFonts w:ascii="Bookman Old Style" w:eastAsia="Calibri" w:hAnsi="Bookman Old Style" w:cs="Arial"/>
          <w:lang w:val="sv-SE"/>
        </w:rPr>
        <w:t>Rp487.158.900,00;</w:t>
      </w:r>
    </w:p>
    <w:p w14:paraId="06CD1516" w14:textId="5CE5E63D" w:rsidR="00BB2062" w:rsidRPr="008379CA" w:rsidRDefault="00BB2062" w:rsidP="00CB0BED">
      <w:pPr>
        <w:pStyle w:val="ListParagraph"/>
        <w:numPr>
          <w:ilvl w:val="0"/>
          <w:numId w:val="112"/>
        </w:numPr>
        <w:spacing w:before="60" w:after="0" w:line="276" w:lineRule="auto"/>
        <w:ind w:left="1701" w:hanging="425"/>
        <w:contextualSpacing w:val="0"/>
        <w:jc w:val="both"/>
        <w:rPr>
          <w:rFonts w:ascii="Bookman Old Style" w:hAnsi="Bookman Old Style" w:cs="Arial"/>
          <w:sz w:val="24"/>
          <w:szCs w:val="24"/>
          <w:lang w:val="fi-FI"/>
        </w:rPr>
      </w:pPr>
      <w:r w:rsidRPr="008379CA">
        <w:rPr>
          <w:rFonts w:ascii="Bookman Old Style" w:eastAsia="Calibri" w:hAnsi="Bookman Old Style" w:cs="Arial"/>
          <w:sz w:val="24"/>
          <w:szCs w:val="24"/>
          <w:lang w:val="sv-SE"/>
        </w:rPr>
        <w:t>Perlindungan</w:t>
      </w:r>
      <w:r w:rsidR="00A954D0" w:rsidRPr="008379CA">
        <w:rPr>
          <w:rFonts w:ascii="Bookman Old Style" w:eastAsia="Calibri" w:hAnsi="Bookman Old Style" w:cs="Arial"/>
          <w:sz w:val="24"/>
          <w:szCs w:val="24"/>
          <w:lang w:val="sv-SE"/>
        </w:rPr>
        <w:t xml:space="preserve"> </w:t>
      </w:r>
      <w:r w:rsidRPr="008379CA">
        <w:rPr>
          <w:rFonts w:ascii="Bookman Old Style" w:eastAsia="Calibri" w:hAnsi="Bookman Old Style" w:cs="Arial"/>
          <w:sz w:val="24"/>
          <w:szCs w:val="24"/>
          <w:lang w:val="sv-SE"/>
        </w:rPr>
        <w:t>dan</w:t>
      </w:r>
      <w:r w:rsidR="00A954D0" w:rsidRPr="008379CA">
        <w:rPr>
          <w:rFonts w:ascii="Bookman Old Style" w:eastAsia="Calibri" w:hAnsi="Bookman Old Style" w:cs="Arial"/>
          <w:sz w:val="24"/>
          <w:szCs w:val="24"/>
          <w:lang w:val="sv-SE"/>
        </w:rPr>
        <w:t xml:space="preserve"> </w:t>
      </w:r>
      <w:r w:rsidRPr="008379CA">
        <w:rPr>
          <w:rFonts w:ascii="Bookman Old Style" w:eastAsia="Calibri" w:hAnsi="Bookman Old Style" w:cs="Arial"/>
          <w:sz w:val="24"/>
          <w:szCs w:val="24"/>
          <w:lang w:val="sv-SE"/>
        </w:rPr>
        <w:t>Jaminan</w:t>
      </w:r>
      <w:r w:rsidR="00A954D0" w:rsidRPr="008379CA">
        <w:rPr>
          <w:rFonts w:ascii="Bookman Old Style" w:eastAsia="Calibri" w:hAnsi="Bookman Old Style" w:cs="Arial"/>
          <w:sz w:val="24"/>
          <w:szCs w:val="24"/>
          <w:lang w:val="sv-SE"/>
        </w:rPr>
        <w:t xml:space="preserve"> </w:t>
      </w:r>
      <w:r w:rsidRPr="008379CA">
        <w:rPr>
          <w:rFonts w:ascii="Bookman Old Style" w:eastAsia="Calibri" w:hAnsi="Bookman Old Style" w:cs="Arial"/>
          <w:sz w:val="24"/>
          <w:szCs w:val="24"/>
          <w:lang w:val="sv-SE"/>
        </w:rPr>
        <w:t>Sosial</w:t>
      </w:r>
      <w:r w:rsidR="00A954D0" w:rsidRPr="008379CA">
        <w:rPr>
          <w:rFonts w:ascii="Bookman Old Style" w:eastAsia="Calibri" w:hAnsi="Bookman Old Style" w:cs="Arial"/>
          <w:sz w:val="24"/>
          <w:szCs w:val="24"/>
          <w:lang w:val="sv-SE"/>
        </w:rPr>
        <w:t xml:space="preserve"> </w:t>
      </w:r>
      <w:r w:rsidRPr="008379CA">
        <w:rPr>
          <w:rFonts w:ascii="Bookman Old Style" w:eastAsia="Calibri" w:hAnsi="Bookman Old Style" w:cs="Arial"/>
          <w:sz w:val="24"/>
          <w:szCs w:val="24"/>
          <w:lang w:val="sv-SE"/>
        </w:rPr>
        <w:t>Pada</w:t>
      </w:r>
      <w:r w:rsidR="00A954D0" w:rsidRPr="008379CA">
        <w:rPr>
          <w:rFonts w:ascii="Bookman Old Style" w:eastAsia="Calibri" w:hAnsi="Bookman Old Style" w:cs="Arial"/>
          <w:sz w:val="24"/>
          <w:szCs w:val="24"/>
          <w:lang w:val="sv-SE"/>
        </w:rPr>
        <w:t xml:space="preserve"> </w:t>
      </w:r>
      <w:r w:rsidRPr="008379CA">
        <w:rPr>
          <w:rFonts w:ascii="Bookman Old Style" w:eastAsia="Calibri" w:hAnsi="Bookman Old Style" w:cs="Arial"/>
          <w:sz w:val="24"/>
          <w:szCs w:val="24"/>
          <w:lang w:val="sv-SE"/>
        </w:rPr>
        <w:t>Saat</w:t>
      </w:r>
      <w:r w:rsidR="00A954D0" w:rsidRPr="008379CA">
        <w:rPr>
          <w:rFonts w:ascii="Bookman Old Style" w:eastAsia="Calibri" w:hAnsi="Bookman Old Style" w:cs="Arial"/>
          <w:sz w:val="24"/>
          <w:szCs w:val="24"/>
          <w:lang w:val="sv-SE"/>
        </w:rPr>
        <w:t xml:space="preserve"> </w:t>
      </w:r>
      <w:r w:rsidRPr="008379CA">
        <w:rPr>
          <w:rFonts w:ascii="Bookman Old Style" w:eastAsia="Calibri" w:hAnsi="Bookman Old Style" w:cs="Arial"/>
          <w:sz w:val="24"/>
          <w:szCs w:val="24"/>
          <w:lang w:val="sv-SE"/>
        </w:rPr>
        <w:t>dan</w:t>
      </w:r>
      <w:r w:rsidR="00A954D0" w:rsidRPr="008379CA">
        <w:rPr>
          <w:rFonts w:ascii="Bookman Old Style" w:eastAsia="Calibri" w:hAnsi="Bookman Old Style" w:cs="Arial"/>
          <w:sz w:val="24"/>
          <w:szCs w:val="24"/>
          <w:lang w:val="sv-SE"/>
        </w:rPr>
        <w:t xml:space="preserve"> </w:t>
      </w:r>
      <w:r w:rsidRPr="008379CA">
        <w:rPr>
          <w:rFonts w:ascii="Bookman Old Style" w:eastAsia="Calibri" w:hAnsi="Bookman Old Style" w:cs="Arial"/>
          <w:sz w:val="24"/>
          <w:szCs w:val="24"/>
          <w:lang w:val="sv-SE"/>
        </w:rPr>
        <w:t>Setelah</w:t>
      </w:r>
      <w:r w:rsidR="00A954D0" w:rsidRPr="008379CA">
        <w:rPr>
          <w:rFonts w:ascii="Bookman Old Style" w:eastAsia="Calibri" w:hAnsi="Bookman Old Style" w:cs="Arial"/>
          <w:sz w:val="24"/>
          <w:szCs w:val="24"/>
          <w:lang w:val="sv-SE"/>
        </w:rPr>
        <w:t xml:space="preserve"> </w:t>
      </w:r>
      <w:r w:rsidRPr="008379CA">
        <w:rPr>
          <w:rFonts w:ascii="Bookman Old Style" w:eastAsia="Calibri" w:hAnsi="Bookman Old Style" w:cs="Arial"/>
          <w:sz w:val="24"/>
          <w:szCs w:val="24"/>
          <w:lang w:val="sv-SE"/>
        </w:rPr>
        <w:t>Tanggap</w:t>
      </w:r>
      <w:r w:rsidR="00A954D0" w:rsidRPr="008379CA">
        <w:rPr>
          <w:rFonts w:ascii="Bookman Old Style" w:eastAsia="Calibri" w:hAnsi="Bookman Old Style" w:cs="Arial"/>
          <w:sz w:val="24"/>
          <w:szCs w:val="24"/>
          <w:lang w:val="sv-SE"/>
        </w:rPr>
        <w:t xml:space="preserve"> </w:t>
      </w:r>
      <w:r w:rsidRPr="008379CA">
        <w:rPr>
          <w:rFonts w:ascii="Bookman Old Style" w:eastAsia="Calibri" w:hAnsi="Bookman Old Style" w:cs="Arial"/>
          <w:sz w:val="24"/>
          <w:szCs w:val="24"/>
          <w:lang w:val="sv-SE"/>
        </w:rPr>
        <w:t>Darurat</w:t>
      </w:r>
      <w:r w:rsidR="00A954D0" w:rsidRPr="008379CA">
        <w:rPr>
          <w:rFonts w:ascii="Bookman Old Style" w:eastAsia="Calibri" w:hAnsi="Bookman Old Style" w:cs="Arial"/>
          <w:sz w:val="24"/>
          <w:szCs w:val="24"/>
          <w:lang w:val="sv-SE"/>
        </w:rPr>
        <w:t xml:space="preserve"> </w:t>
      </w:r>
      <w:r w:rsidRPr="008379CA">
        <w:rPr>
          <w:rFonts w:ascii="Bookman Old Style" w:eastAsia="Calibri" w:hAnsi="Bookman Old Style" w:cs="Arial"/>
          <w:sz w:val="24"/>
          <w:szCs w:val="24"/>
          <w:lang w:val="sv-SE"/>
        </w:rPr>
        <w:t>Bencana</w:t>
      </w:r>
      <w:r w:rsidR="00A954D0" w:rsidRPr="008379CA">
        <w:rPr>
          <w:rFonts w:ascii="Bookman Old Style" w:eastAsia="Calibri" w:hAnsi="Bookman Old Style" w:cs="Arial"/>
          <w:sz w:val="24"/>
          <w:szCs w:val="24"/>
          <w:lang w:val="sv-SE"/>
        </w:rPr>
        <w:t xml:space="preserve"> </w:t>
      </w:r>
      <w:r w:rsidRPr="008379CA">
        <w:rPr>
          <w:rFonts w:ascii="Bookman Old Style" w:eastAsia="Calibri" w:hAnsi="Bookman Old Style" w:cs="Arial"/>
          <w:sz w:val="24"/>
          <w:szCs w:val="24"/>
          <w:lang w:val="sv-SE"/>
        </w:rPr>
        <w:t>Bagi</w:t>
      </w:r>
      <w:r w:rsidR="00A954D0" w:rsidRPr="008379CA">
        <w:rPr>
          <w:rFonts w:ascii="Bookman Old Style" w:eastAsia="Calibri" w:hAnsi="Bookman Old Style" w:cs="Arial"/>
          <w:sz w:val="24"/>
          <w:szCs w:val="24"/>
          <w:lang w:val="sv-SE"/>
        </w:rPr>
        <w:t xml:space="preserve"> </w:t>
      </w:r>
      <w:r w:rsidRPr="008379CA">
        <w:rPr>
          <w:rFonts w:ascii="Bookman Old Style" w:eastAsia="Calibri" w:hAnsi="Bookman Old Style" w:cs="Arial"/>
          <w:sz w:val="24"/>
          <w:szCs w:val="24"/>
          <w:lang w:val="sv-SE"/>
        </w:rPr>
        <w:t>Korban</w:t>
      </w:r>
      <w:r w:rsidR="00A954D0" w:rsidRPr="008379CA">
        <w:rPr>
          <w:rFonts w:ascii="Bookman Old Style" w:eastAsia="Calibri" w:hAnsi="Bookman Old Style" w:cs="Arial"/>
          <w:sz w:val="24"/>
          <w:szCs w:val="24"/>
          <w:lang w:val="sv-SE"/>
        </w:rPr>
        <w:t xml:space="preserve"> </w:t>
      </w:r>
      <w:r w:rsidRPr="008379CA">
        <w:rPr>
          <w:rFonts w:ascii="Bookman Old Style" w:eastAsia="Calibri" w:hAnsi="Bookman Old Style" w:cs="Arial"/>
          <w:sz w:val="24"/>
          <w:szCs w:val="24"/>
          <w:lang w:val="sv-SE"/>
        </w:rPr>
        <w:t>Bencana</w:t>
      </w:r>
      <w:r w:rsidR="00A954D0" w:rsidRPr="008379CA">
        <w:rPr>
          <w:rFonts w:ascii="Bookman Old Style" w:eastAsia="Calibri" w:hAnsi="Bookman Old Style" w:cs="Arial"/>
          <w:sz w:val="24"/>
          <w:szCs w:val="24"/>
          <w:lang w:val="sv-SE"/>
        </w:rPr>
        <w:t xml:space="preserve"> </w:t>
      </w:r>
      <w:r w:rsidRPr="008379CA">
        <w:rPr>
          <w:rFonts w:ascii="Bookman Old Style" w:eastAsia="Calibri" w:hAnsi="Bookman Old Style" w:cs="Arial"/>
          <w:sz w:val="24"/>
          <w:szCs w:val="24"/>
          <w:lang w:val="sv-SE"/>
        </w:rPr>
        <w:t>Daerah</w:t>
      </w:r>
      <w:r w:rsidR="00A954D0" w:rsidRPr="008379CA">
        <w:rPr>
          <w:rFonts w:ascii="Bookman Old Style" w:eastAsia="Calibri" w:hAnsi="Bookman Old Style" w:cs="Arial"/>
          <w:sz w:val="24"/>
          <w:szCs w:val="24"/>
          <w:lang w:val="sv-SE"/>
        </w:rPr>
        <w:t xml:space="preserve"> </w:t>
      </w:r>
      <w:r w:rsidR="00172E1C" w:rsidRPr="008379CA">
        <w:rPr>
          <w:rFonts w:ascii="Bookman Old Style" w:eastAsia="Calibri" w:hAnsi="Bookman Old Style" w:cs="Arial"/>
          <w:sz w:val="24"/>
          <w:szCs w:val="24"/>
          <w:lang w:val="sv-SE"/>
        </w:rPr>
        <w:t>Kabupaten/Kota</w:t>
      </w:r>
      <w:r w:rsidR="00A954D0" w:rsidRPr="008379CA">
        <w:rPr>
          <w:rFonts w:ascii="Bookman Old Style" w:eastAsia="Calibri" w:hAnsi="Bookman Old Style" w:cs="Arial"/>
          <w:sz w:val="24"/>
          <w:szCs w:val="24"/>
          <w:lang w:val="sv-SE"/>
        </w:rPr>
        <w:t xml:space="preserve"> </w:t>
      </w:r>
      <w:r w:rsidRPr="008379CA">
        <w:rPr>
          <w:rFonts w:ascii="Bookman Old Style" w:eastAsia="Calibri" w:hAnsi="Bookman Old Style" w:cs="Arial"/>
          <w:sz w:val="24"/>
          <w:szCs w:val="24"/>
          <w:lang w:val="sv-SE"/>
        </w:rPr>
        <w:t>Rp649.260.500,00</w:t>
      </w:r>
      <w:r w:rsidRPr="008379CA">
        <w:rPr>
          <w:rFonts w:ascii="Bookman Old Style" w:hAnsi="Bookman Old Style" w:cs="Arial"/>
          <w:sz w:val="24"/>
          <w:szCs w:val="24"/>
          <w:lang w:val="id-ID"/>
        </w:rPr>
        <w:t>.</w:t>
      </w:r>
    </w:p>
    <w:p w14:paraId="5236FA97" w14:textId="5249A137" w:rsidR="00127869" w:rsidRPr="008379CA" w:rsidRDefault="00CB0BED" w:rsidP="00CB0BED">
      <w:pPr>
        <w:pStyle w:val="ListParagraph"/>
        <w:spacing w:before="60" w:after="0" w:line="276" w:lineRule="auto"/>
        <w:ind w:left="1276"/>
        <w:contextualSpacing w:val="0"/>
        <w:jc w:val="both"/>
        <w:rPr>
          <w:rFonts w:ascii="Bookman Old Style" w:hAnsi="Bookman Old Style" w:cs="Arial"/>
          <w:sz w:val="24"/>
          <w:szCs w:val="24"/>
        </w:rPr>
      </w:pPr>
      <w:r w:rsidRPr="008379CA">
        <w:rPr>
          <w:rFonts w:ascii="Bookman Old Style" w:hAnsi="Bookman Old Style"/>
          <w:sz w:val="24"/>
          <w:szCs w:val="24"/>
          <w:lang w:val="sv-FI"/>
        </w:rPr>
        <w:t>H</w:t>
      </w:r>
      <w:r w:rsidR="00BB2062" w:rsidRPr="008379CA">
        <w:rPr>
          <w:rFonts w:ascii="Bookman Old Style" w:hAnsi="Bookman Old Style"/>
          <w:sz w:val="24"/>
          <w:szCs w:val="24"/>
          <w:lang w:val="id-ID"/>
        </w:rPr>
        <w:t>arus</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rPr>
        <w:t>diprioritaskan</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untuk</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memenuhi</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pencapaian</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SPM</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Bidang</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Sosial</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untuk</w:t>
      </w:r>
      <w:r w:rsidR="00A954D0" w:rsidRPr="008379CA">
        <w:rPr>
          <w:rFonts w:ascii="Bookman Old Style" w:hAnsi="Bookman Old Style"/>
          <w:sz w:val="24"/>
          <w:szCs w:val="24"/>
          <w:lang w:val="id-ID"/>
        </w:rPr>
        <w:t xml:space="preserve"> </w:t>
      </w:r>
      <w:r w:rsidR="00172E1C" w:rsidRPr="008379CA">
        <w:rPr>
          <w:rFonts w:ascii="Bookman Old Style" w:hAnsi="Bookman Old Style"/>
          <w:sz w:val="24"/>
          <w:szCs w:val="24"/>
          <w:lang w:val="id-ID"/>
        </w:rPr>
        <w:t>Kabupaten/Kota</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sebagaimana</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diamanatkan</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dalam</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Peraturan</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Pemerintah</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Nomor</w:t>
      </w:r>
      <w:r w:rsidR="00A954D0" w:rsidRPr="008379CA">
        <w:rPr>
          <w:rFonts w:ascii="Bookman Old Style" w:hAnsi="Bookman Old Style"/>
          <w:sz w:val="24"/>
          <w:szCs w:val="24"/>
          <w:lang w:val="fi-FI"/>
        </w:rPr>
        <w:t xml:space="preserve"> </w:t>
      </w:r>
      <w:r w:rsidR="00BB2062" w:rsidRPr="008379CA">
        <w:rPr>
          <w:rFonts w:ascii="Bookman Old Style" w:hAnsi="Bookman Old Style"/>
          <w:sz w:val="24"/>
          <w:szCs w:val="24"/>
          <w:lang w:val="id-ID"/>
        </w:rPr>
        <w:t>2</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Tahun</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2018,</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Peraturan</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Menteri</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Dalam</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rPr>
        <w:t>Negeri</w:t>
      </w:r>
      <w:r w:rsidR="00A954D0" w:rsidRPr="008379CA">
        <w:rPr>
          <w:rFonts w:ascii="Bookman Old Style" w:hAnsi="Bookman Old Style"/>
          <w:sz w:val="24"/>
          <w:szCs w:val="24"/>
        </w:rPr>
        <w:t xml:space="preserve"> </w:t>
      </w:r>
      <w:r w:rsidR="00BB2062" w:rsidRPr="008379CA">
        <w:rPr>
          <w:rFonts w:ascii="Bookman Old Style" w:hAnsi="Bookman Old Style"/>
          <w:sz w:val="24"/>
          <w:szCs w:val="24"/>
        </w:rPr>
        <w:t>Nomor</w:t>
      </w:r>
      <w:r w:rsidR="00A954D0" w:rsidRPr="008379CA">
        <w:rPr>
          <w:rFonts w:ascii="Bookman Old Style" w:hAnsi="Bookman Old Style"/>
          <w:sz w:val="24"/>
          <w:szCs w:val="24"/>
        </w:rPr>
        <w:t xml:space="preserve"> </w:t>
      </w:r>
      <w:r w:rsidR="00BB2062" w:rsidRPr="008379CA">
        <w:rPr>
          <w:rFonts w:ascii="Bookman Old Style" w:hAnsi="Bookman Old Style"/>
          <w:sz w:val="24"/>
          <w:szCs w:val="24"/>
          <w:lang w:val="id-ID"/>
        </w:rPr>
        <w:t>59</w:t>
      </w:r>
      <w:r w:rsidR="00A954D0" w:rsidRPr="008379CA">
        <w:rPr>
          <w:rFonts w:ascii="Bookman Old Style" w:hAnsi="Bookman Old Style"/>
          <w:sz w:val="24"/>
          <w:szCs w:val="24"/>
        </w:rPr>
        <w:t xml:space="preserve"> </w:t>
      </w:r>
      <w:r w:rsidR="00BB2062"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00BB2062" w:rsidRPr="008379CA">
        <w:rPr>
          <w:rFonts w:ascii="Bookman Old Style" w:hAnsi="Bookman Old Style"/>
          <w:sz w:val="24"/>
          <w:szCs w:val="24"/>
        </w:rPr>
        <w:t>20</w:t>
      </w:r>
      <w:r w:rsidR="00BB2062" w:rsidRPr="008379CA">
        <w:rPr>
          <w:rFonts w:ascii="Bookman Old Style" w:hAnsi="Bookman Old Style"/>
          <w:sz w:val="24"/>
          <w:szCs w:val="24"/>
          <w:lang w:val="id-ID"/>
        </w:rPr>
        <w:t>21</w:t>
      </w:r>
      <w:r w:rsidR="00BB2062" w:rsidRPr="008379CA">
        <w:rPr>
          <w:rFonts w:ascii="Bookman Old Style" w:hAnsi="Bookman Old Style"/>
          <w:sz w:val="24"/>
          <w:szCs w:val="24"/>
        </w:rPr>
        <w:t>,</w:t>
      </w:r>
      <w:r w:rsidR="00A954D0" w:rsidRPr="008379CA">
        <w:rPr>
          <w:rFonts w:ascii="Bookman Old Style" w:hAnsi="Bookman Old Style"/>
          <w:sz w:val="24"/>
          <w:szCs w:val="24"/>
        </w:rPr>
        <w:t xml:space="preserve"> </w:t>
      </w:r>
      <w:r w:rsidR="00BB2062" w:rsidRPr="008379CA">
        <w:rPr>
          <w:rFonts w:ascii="Bookman Old Style" w:hAnsi="Bookman Old Style"/>
          <w:sz w:val="24"/>
          <w:szCs w:val="24"/>
        </w:rPr>
        <w:t>dan</w:t>
      </w:r>
      <w:r w:rsidR="00A954D0" w:rsidRPr="008379CA">
        <w:rPr>
          <w:rFonts w:ascii="Bookman Old Style" w:hAnsi="Bookman Old Style"/>
          <w:sz w:val="24"/>
          <w:szCs w:val="24"/>
        </w:rPr>
        <w:t xml:space="preserve"> </w:t>
      </w:r>
      <w:r w:rsidR="00BB2062" w:rsidRPr="008379CA">
        <w:rPr>
          <w:rFonts w:ascii="Bookman Old Style" w:hAnsi="Bookman Old Style"/>
          <w:sz w:val="24"/>
          <w:szCs w:val="24"/>
        </w:rPr>
        <w:t>Peraturan</w:t>
      </w:r>
      <w:r w:rsidR="00A954D0" w:rsidRPr="008379CA">
        <w:rPr>
          <w:rFonts w:ascii="Bookman Old Style" w:hAnsi="Bookman Old Style"/>
          <w:sz w:val="24"/>
          <w:szCs w:val="24"/>
        </w:rPr>
        <w:t xml:space="preserve"> </w:t>
      </w:r>
      <w:r w:rsidR="00BB2062" w:rsidRPr="008379CA">
        <w:rPr>
          <w:rFonts w:ascii="Bookman Old Style" w:hAnsi="Bookman Old Style"/>
          <w:sz w:val="24"/>
          <w:szCs w:val="24"/>
        </w:rPr>
        <w:t>Menteri</w:t>
      </w:r>
      <w:r w:rsidR="00A954D0" w:rsidRPr="008379CA">
        <w:rPr>
          <w:rFonts w:ascii="Bookman Old Style" w:hAnsi="Bookman Old Style"/>
          <w:sz w:val="24"/>
          <w:szCs w:val="24"/>
        </w:rPr>
        <w:t xml:space="preserve"> </w:t>
      </w:r>
      <w:r w:rsidR="00BB2062" w:rsidRPr="008379CA">
        <w:rPr>
          <w:rFonts w:ascii="Bookman Old Style" w:hAnsi="Bookman Old Style"/>
          <w:sz w:val="24"/>
          <w:szCs w:val="24"/>
        </w:rPr>
        <w:t>Sosial</w:t>
      </w:r>
      <w:r w:rsidR="00A954D0" w:rsidRPr="008379CA">
        <w:rPr>
          <w:rFonts w:ascii="Bookman Old Style" w:hAnsi="Bookman Old Style"/>
          <w:sz w:val="24"/>
          <w:szCs w:val="24"/>
        </w:rPr>
        <w:t xml:space="preserve"> </w:t>
      </w:r>
      <w:r w:rsidR="00BB2062" w:rsidRPr="008379CA">
        <w:rPr>
          <w:rFonts w:ascii="Bookman Old Style" w:hAnsi="Bookman Old Style"/>
          <w:sz w:val="24"/>
          <w:szCs w:val="24"/>
        </w:rPr>
        <w:t>Nomor</w:t>
      </w:r>
      <w:r w:rsidR="00A954D0" w:rsidRPr="008379CA">
        <w:rPr>
          <w:rFonts w:ascii="Bookman Old Style" w:hAnsi="Bookman Old Style"/>
          <w:sz w:val="24"/>
          <w:szCs w:val="24"/>
        </w:rPr>
        <w:t xml:space="preserve"> </w:t>
      </w:r>
      <w:r w:rsidR="00BB2062" w:rsidRPr="008379CA">
        <w:rPr>
          <w:rFonts w:ascii="Bookman Old Style" w:hAnsi="Bookman Old Style"/>
          <w:sz w:val="24"/>
          <w:szCs w:val="24"/>
        </w:rPr>
        <w:t>9</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Tahun</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2018</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tentang</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Standar</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Teknis</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Pelayanan</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Dasar</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Pada</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Standar</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Pelayanan</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Minimal</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Bidang</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Sosial</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di</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Daerah</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Provinsi</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dan</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di</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id-ID"/>
        </w:rPr>
        <w:t>Daerah</w:t>
      </w:r>
      <w:r w:rsidR="00A954D0" w:rsidRPr="008379CA">
        <w:rPr>
          <w:rFonts w:ascii="Bookman Old Style" w:hAnsi="Bookman Old Style"/>
          <w:sz w:val="24"/>
          <w:szCs w:val="24"/>
          <w:lang w:val="id-ID"/>
        </w:rPr>
        <w:t xml:space="preserve"> </w:t>
      </w:r>
      <w:r w:rsidR="00172E1C" w:rsidRPr="008379CA">
        <w:rPr>
          <w:rFonts w:ascii="Bookman Old Style" w:hAnsi="Bookman Old Style"/>
          <w:sz w:val="24"/>
          <w:szCs w:val="24"/>
          <w:lang w:val="id-ID"/>
        </w:rPr>
        <w:t>Kabupaten/Kota</w:t>
      </w:r>
      <w:r w:rsidR="00A954D0" w:rsidRPr="008379CA">
        <w:rPr>
          <w:rFonts w:ascii="Bookman Old Style" w:hAnsi="Bookman Old Style" w:cs="Arial"/>
          <w:sz w:val="24"/>
          <w:szCs w:val="24"/>
          <w:lang w:val="fi-FI"/>
        </w:rPr>
        <w:t xml:space="preserve"> </w:t>
      </w:r>
      <w:r w:rsidR="00BB2062" w:rsidRPr="008379CA">
        <w:rPr>
          <w:rFonts w:ascii="Bookman Old Style" w:hAnsi="Bookman Old Style" w:cs="Arial"/>
          <w:sz w:val="24"/>
          <w:szCs w:val="24"/>
          <w:lang w:val="fi-FI"/>
        </w:rPr>
        <w:t>serta</w:t>
      </w:r>
      <w:r w:rsidR="00A954D0" w:rsidRPr="008379CA">
        <w:rPr>
          <w:rFonts w:ascii="Bookman Old Style" w:hAnsi="Bookman Old Style" w:cs="Arial"/>
          <w:sz w:val="24"/>
          <w:szCs w:val="24"/>
          <w:lang w:val="fi-FI"/>
        </w:rPr>
        <w:t xml:space="preserve"> </w:t>
      </w:r>
      <w:r w:rsidR="00BB2062" w:rsidRPr="008379CA">
        <w:rPr>
          <w:rFonts w:ascii="Bookman Old Style" w:hAnsi="Bookman Old Style"/>
          <w:sz w:val="24"/>
          <w:szCs w:val="24"/>
          <w:lang w:val="fi-FI"/>
        </w:rPr>
        <w:t>butir</w:t>
      </w:r>
      <w:r w:rsidR="00A954D0" w:rsidRPr="008379CA">
        <w:rPr>
          <w:rFonts w:ascii="Bookman Old Style" w:hAnsi="Bookman Old Style"/>
          <w:sz w:val="24"/>
          <w:szCs w:val="24"/>
          <w:lang w:val="fi-FI"/>
        </w:rPr>
        <w:t xml:space="preserve"> </w:t>
      </w:r>
      <w:r w:rsidR="00BB2062" w:rsidRPr="008379CA">
        <w:rPr>
          <w:rFonts w:ascii="Bookman Old Style" w:hAnsi="Bookman Old Style"/>
          <w:sz w:val="24"/>
          <w:szCs w:val="24"/>
          <w:lang w:val="fi-FI"/>
        </w:rPr>
        <w:t>5.2.1.a.5)</w:t>
      </w:r>
      <w:r w:rsidR="00A954D0" w:rsidRPr="008379CA">
        <w:rPr>
          <w:rFonts w:ascii="Bookman Old Style" w:hAnsi="Bookman Old Style"/>
          <w:sz w:val="24"/>
          <w:szCs w:val="24"/>
          <w:lang w:val="id-ID"/>
        </w:rPr>
        <w:t xml:space="preserve"> </w:t>
      </w:r>
      <w:r w:rsidR="00BB2062" w:rsidRPr="008379CA">
        <w:rPr>
          <w:rFonts w:ascii="Bookman Old Style" w:hAnsi="Bookman Old Style"/>
          <w:sz w:val="24"/>
          <w:szCs w:val="24"/>
          <w:lang w:val="fi-FI"/>
        </w:rPr>
        <w:t>Lampiran</w:t>
      </w:r>
      <w:r w:rsidR="00A954D0" w:rsidRPr="008379CA">
        <w:rPr>
          <w:rFonts w:ascii="Bookman Old Style" w:hAnsi="Bookman Old Style"/>
          <w:sz w:val="24"/>
          <w:szCs w:val="24"/>
          <w:lang w:val="fi-FI"/>
        </w:rPr>
        <w:t xml:space="preserve"> </w:t>
      </w:r>
      <w:r w:rsidR="00BB2062" w:rsidRPr="008379CA">
        <w:rPr>
          <w:rFonts w:ascii="Bookman Old Style" w:hAnsi="Bookman Old Style"/>
          <w:sz w:val="24"/>
          <w:szCs w:val="24"/>
          <w:lang w:val="fi-FI"/>
        </w:rPr>
        <w:t>Peraturan</w:t>
      </w:r>
      <w:r w:rsidR="00A954D0" w:rsidRPr="008379CA">
        <w:rPr>
          <w:rFonts w:ascii="Bookman Old Style" w:hAnsi="Bookman Old Style"/>
          <w:sz w:val="24"/>
          <w:szCs w:val="24"/>
          <w:lang w:val="fi-FI"/>
        </w:rPr>
        <w:t xml:space="preserve"> </w:t>
      </w:r>
      <w:r w:rsidR="00BB2062" w:rsidRPr="008379CA">
        <w:rPr>
          <w:rFonts w:ascii="Bookman Old Style" w:hAnsi="Bookman Old Style"/>
          <w:sz w:val="24"/>
          <w:szCs w:val="24"/>
          <w:lang w:val="fi-FI"/>
        </w:rPr>
        <w:t>Menteri</w:t>
      </w:r>
      <w:r w:rsidR="00A954D0" w:rsidRPr="008379CA">
        <w:rPr>
          <w:rFonts w:ascii="Bookman Old Style" w:hAnsi="Bookman Old Style"/>
          <w:sz w:val="24"/>
          <w:szCs w:val="24"/>
          <w:lang w:val="fi-FI"/>
        </w:rPr>
        <w:t xml:space="preserve"> </w:t>
      </w:r>
      <w:r w:rsidR="00BB2062" w:rsidRPr="008379CA">
        <w:rPr>
          <w:rFonts w:ascii="Bookman Old Style" w:hAnsi="Bookman Old Style"/>
          <w:sz w:val="24"/>
          <w:szCs w:val="24"/>
          <w:lang w:val="fi-FI"/>
        </w:rPr>
        <w:t>Dalam</w:t>
      </w:r>
      <w:r w:rsidR="00A954D0" w:rsidRPr="008379CA">
        <w:rPr>
          <w:rFonts w:ascii="Bookman Old Style" w:hAnsi="Bookman Old Style"/>
          <w:sz w:val="24"/>
          <w:szCs w:val="24"/>
          <w:lang w:val="fi-FI"/>
        </w:rPr>
        <w:t xml:space="preserve"> </w:t>
      </w:r>
      <w:r w:rsidR="00BB2062" w:rsidRPr="008379CA">
        <w:rPr>
          <w:rFonts w:ascii="Bookman Old Style" w:hAnsi="Bookman Old Style"/>
          <w:sz w:val="24"/>
          <w:szCs w:val="24"/>
          <w:lang w:val="fi-FI"/>
        </w:rPr>
        <w:t>Negeri</w:t>
      </w:r>
      <w:r w:rsidR="00A954D0" w:rsidRPr="008379CA">
        <w:rPr>
          <w:rFonts w:ascii="Bookman Old Style" w:hAnsi="Bookman Old Style"/>
          <w:sz w:val="24"/>
          <w:szCs w:val="24"/>
          <w:lang w:val="fi-FI"/>
        </w:rPr>
        <w:t xml:space="preserve"> </w:t>
      </w:r>
      <w:r w:rsidR="00BB2062" w:rsidRPr="008379CA">
        <w:rPr>
          <w:rFonts w:ascii="Bookman Old Style" w:hAnsi="Bookman Old Style"/>
          <w:sz w:val="24"/>
          <w:szCs w:val="24"/>
          <w:lang w:val="fi-FI"/>
        </w:rPr>
        <w:t>Nomor</w:t>
      </w:r>
      <w:r w:rsidR="00A954D0" w:rsidRPr="008379CA">
        <w:rPr>
          <w:rFonts w:ascii="Bookman Old Style" w:hAnsi="Bookman Old Style"/>
          <w:sz w:val="24"/>
          <w:szCs w:val="24"/>
          <w:lang w:val="fi-FI"/>
        </w:rPr>
        <w:t xml:space="preserve"> </w:t>
      </w:r>
      <w:r w:rsidR="00BB2062" w:rsidRPr="008379CA">
        <w:rPr>
          <w:rFonts w:ascii="Bookman Old Style" w:hAnsi="Bookman Old Style"/>
          <w:sz w:val="24"/>
          <w:szCs w:val="24"/>
          <w:lang w:val="id-ID"/>
        </w:rPr>
        <w:t>15</w:t>
      </w:r>
      <w:r w:rsidR="00A954D0" w:rsidRPr="008379CA">
        <w:rPr>
          <w:rFonts w:ascii="Bookman Old Style" w:hAnsi="Bookman Old Style"/>
          <w:sz w:val="24"/>
          <w:szCs w:val="24"/>
          <w:lang w:val="fi-FI"/>
        </w:rPr>
        <w:t xml:space="preserve"> </w:t>
      </w:r>
      <w:r w:rsidR="00BB2062" w:rsidRPr="008379CA">
        <w:rPr>
          <w:rFonts w:ascii="Bookman Old Style" w:hAnsi="Bookman Old Style"/>
          <w:sz w:val="24"/>
          <w:szCs w:val="24"/>
          <w:lang w:val="fi-FI"/>
        </w:rPr>
        <w:t>Tahun</w:t>
      </w:r>
      <w:r w:rsidR="00A954D0" w:rsidRPr="008379CA">
        <w:rPr>
          <w:rFonts w:ascii="Bookman Old Style" w:hAnsi="Bookman Old Style"/>
          <w:sz w:val="24"/>
          <w:szCs w:val="24"/>
          <w:lang w:val="fi-FI"/>
        </w:rPr>
        <w:t xml:space="preserve"> </w:t>
      </w:r>
      <w:r w:rsidR="00BB2062" w:rsidRPr="008379CA">
        <w:rPr>
          <w:rFonts w:ascii="Bookman Old Style" w:hAnsi="Bookman Old Style"/>
          <w:sz w:val="24"/>
          <w:szCs w:val="24"/>
          <w:lang w:val="fi-FI"/>
        </w:rPr>
        <w:t>202</w:t>
      </w:r>
      <w:r w:rsidR="00BB2062" w:rsidRPr="008379CA">
        <w:rPr>
          <w:rFonts w:ascii="Bookman Old Style" w:hAnsi="Bookman Old Style"/>
          <w:sz w:val="24"/>
          <w:szCs w:val="24"/>
          <w:lang w:val="id-ID"/>
        </w:rPr>
        <w:t>4.</w:t>
      </w:r>
    </w:p>
    <w:p w14:paraId="7BCF2A13" w14:textId="4FE73CC2" w:rsidR="00FE2F41" w:rsidRPr="008379CA" w:rsidRDefault="00FE2F41" w:rsidP="00CC433B">
      <w:pPr>
        <w:spacing w:before="60" w:line="276" w:lineRule="auto"/>
        <w:ind w:left="993"/>
        <w:jc w:val="both"/>
        <w:rPr>
          <w:rFonts w:ascii="Bookman Old Style" w:hAnsi="Bookman Old Style"/>
          <w:lang w:val="id-ID"/>
        </w:rPr>
      </w:pPr>
      <w:r w:rsidRPr="008379CA">
        <w:rPr>
          <w:rFonts w:ascii="Bookman Old Style" w:hAnsi="Bookman Old Style"/>
          <w:lang w:val="id-ID"/>
        </w:rPr>
        <w:lastRenderedPageBreak/>
        <w:t>Berkaitan</w:t>
      </w:r>
      <w:r w:rsidR="00A954D0" w:rsidRPr="008379CA">
        <w:rPr>
          <w:rFonts w:ascii="Bookman Old Style" w:hAnsi="Bookman Old Style"/>
          <w:lang w:val="id-ID"/>
        </w:rPr>
        <w:t xml:space="preserve"> </w:t>
      </w:r>
      <w:r w:rsidRPr="008379CA">
        <w:rPr>
          <w:rFonts w:ascii="Bookman Old Style" w:hAnsi="Bookman Old Style"/>
          <w:lang w:val="id-ID"/>
        </w:rPr>
        <w:t>dengan</w:t>
      </w:r>
      <w:r w:rsidR="00A954D0" w:rsidRPr="008379CA">
        <w:rPr>
          <w:rFonts w:ascii="Bookman Old Style" w:hAnsi="Bookman Old Style"/>
          <w:lang w:val="id-ID"/>
        </w:rPr>
        <w:t xml:space="preserve"> </w:t>
      </w:r>
      <w:r w:rsidRPr="008379CA">
        <w:rPr>
          <w:rFonts w:ascii="Bookman Old Style" w:hAnsi="Bookman Old Style"/>
          <w:lang w:val="id-ID"/>
        </w:rPr>
        <w:t>hal</w:t>
      </w:r>
      <w:r w:rsidR="00A954D0" w:rsidRPr="008379CA">
        <w:rPr>
          <w:rFonts w:ascii="Bookman Old Style" w:hAnsi="Bookman Old Style"/>
          <w:lang w:val="id-ID"/>
        </w:rPr>
        <w:t xml:space="preserve"> </w:t>
      </w:r>
      <w:r w:rsidRPr="008379CA">
        <w:rPr>
          <w:rFonts w:ascii="Bookman Old Style" w:hAnsi="Bookman Old Style"/>
          <w:lang w:val="id-ID"/>
        </w:rPr>
        <w:t>tersebut,</w:t>
      </w:r>
      <w:r w:rsidR="00A954D0" w:rsidRPr="008379CA">
        <w:rPr>
          <w:rFonts w:ascii="Bookman Old Style" w:hAnsi="Bookman Old Style"/>
          <w:lang w:val="id-ID"/>
        </w:rPr>
        <w:t xml:space="preserve"> </w:t>
      </w:r>
      <w:r w:rsidRPr="008379CA">
        <w:rPr>
          <w:rFonts w:ascii="Bookman Old Style" w:hAnsi="Bookman Old Style"/>
          <w:lang w:val="id-ID"/>
        </w:rPr>
        <w:t>alokasi</w:t>
      </w:r>
      <w:r w:rsidR="00A954D0" w:rsidRPr="008379CA">
        <w:rPr>
          <w:rFonts w:ascii="Bookman Old Style" w:hAnsi="Bookman Old Style"/>
          <w:lang w:val="id-ID"/>
        </w:rPr>
        <w:t xml:space="preserve"> </w:t>
      </w:r>
      <w:r w:rsidRPr="008379CA">
        <w:rPr>
          <w:rFonts w:ascii="Bookman Old Style" w:hAnsi="Bookman Old Style"/>
          <w:lang w:val="id-ID"/>
        </w:rPr>
        <w:t>anggaran</w:t>
      </w:r>
      <w:r w:rsidR="00A954D0" w:rsidRPr="008379CA">
        <w:rPr>
          <w:rFonts w:ascii="Bookman Old Style" w:hAnsi="Bookman Old Style"/>
          <w:lang w:val="id-ID"/>
        </w:rPr>
        <w:t xml:space="preserve"> </w:t>
      </w:r>
      <w:r w:rsidRPr="008379CA">
        <w:rPr>
          <w:rFonts w:ascii="Bookman Old Style" w:hAnsi="Bookman Old Style"/>
          <w:lang w:val="id-ID"/>
        </w:rPr>
        <w:t>pendanaan</w:t>
      </w:r>
      <w:r w:rsidR="00A954D0" w:rsidRPr="008379CA">
        <w:rPr>
          <w:rFonts w:ascii="Bookman Old Style" w:hAnsi="Bookman Old Style"/>
          <w:lang w:val="id-ID"/>
        </w:rPr>
        <w:t xml:space="preserve"> </w:t>
      </w:r>
      <w:r w:rsidRPr="008379CA">
        <w:rPr>
          <w:rFonts w:ascii="Bookman Old Style" w:hAnsi="Bookman Old Style"/>
          <w:lang w:val="id-ID"/>
        </w:rPr>
        <w:t>pelaksanaan</w:t>
      </w:r>
      <w:r w:rsidR="00A954D0" w:rsidRPr="008379CA">
        <w:rPr>
          <w:rFonts w:ascii="Bookman Old Style" w:hAnsi="Bookman Old Style"/>
          <w:lang w:val="id-ID"/>
        </w:rPr>
        <w:t xml:space="preserve"> </w:t>
      </w:r>
      <w:r w:rsidRPr="008379CA">
        <w:rPr>
          <w:rFonts w:ascii="Bookman Old Style" w:hAnsi="Bookman Old Style"/>
          <w:lang w:val="id-ID"/>
        </w:rPr>
        <w:t>Urusan</w:t>
      </w:r>
      <w:r w:rsidR="00A954D0" w:rsidRPr="008379CA">
        <w:rPr>
          <w:rFonts w:ascii="Bookman Old Style" w:hAnsi="Bookman Old Style"/>
          <w:lang w:val="id-ID"/>
        </w:rPr>
        <w:t xml:space="preserve"> </w:t>
      </w:r>
      <w:r w:rsidRPr="008379CA">
        <w:rPr>
          <w:rFonts w:ascii="Bookman Old Style" w:hAnsi="Bookman Old Style"/>
          <w:lang w:val="id-ID"/>
        </w:rPr>
        <w:t>Pemerintahan</w:t>
      </w:r>
      <w:r w:rsidR="00A954D0" w:rsidRPr="008379CA">
        <w:rPr>
          <w:rFonts w:ascii="Bookman Old Style" w:hAnsi="Bookman Old Style"/>
          <w:lang w:val="id-ID"/>
        </w:rPr>
        <w:t xml:space="preserve"> </w:t>
      </w:r>
      <w:r w:rsidRPr="008379CA">
        <w:rPr>
          <w:rFonts w:ascii="Bookman Old Style" w:hAnsi="Bookman Old Style"/>
          <w:lang w:val="id-ID"/>
        </w:rPr>
        <w:t>Wajib</w:t>
      </w:r>
      <w:r w:rsidR="00A954D0" w:rsidRPr="008379CA">
        <w:rPr>
          <w:rFonts w:ascii="Bookman Old Style" w:hAnsi="Bookman Old Style"/>
          <w:lang w:val="id-ID"/>
        </w:rPr>
        <w:t xml:space="preserve"> </w:t>
      </w:r>
      <w:r w:rsidRPr="008379CA">
        <w:rPr>
          <w:rFonts w:ascii="Bookman Old Style" w:hAnsi="Bookman Old Style"/>
          <w:lang w:val="id-ID"/>
        </w:rPr>
        <w:t>terkait</w:t>
      </w:r>
      <w:r w:rsidR="00A954D0" w:rsidRPr="008379CA">
        <w:rPr>
          <w:rFonts w:ascii="Bookman Old Style" w:hAnsi="Bookman Old Style"/>
          <w:lang w:val="id-ID"/>
        </w:rPr>
        <w:t xml:space="preserve"> </w:t>
      </w:r>
      <w:r w:rsidRPr="008379CA">
        <w:rPr>
          <w:rFonts w:ascii="Bookman Old Style" w:hAnsi="Bookman Old Style"/>
          <w:lang w:val="id-ID"/>
        </w:rPr>
        <w:t>Pelayanan</w:t>
      </w:r>
      <w:r w:rsidR="00A954D0" w:rsidRPr="008379CA">
        <w:rPr>
          <w:rFonts w:ascii="Bookman Old Style" w:hAnsi="Bookman Old Style"/>
          <w:lang w:val="id-ID"/>
        </w:rPr>
        <w:t xml:space="preserve"> </w:t>
      </w:r>
      <w:r w:rsidRPr="008379CA">
        <w:rPr>
          <w:rFonts w:ascii="Bookman Old Style" w:hAnsi="Bookman Old Style"/>
          <w:lang w:val="id-ID"/>
        </w:rPr>
        <w:t>Dasar</w:t>
      </w:r>
      <w:r w:rsidR="00A954D0" w:rsidRPr="008379CA">
        <w:rPr>
          <w:rFonts w:ascii="Bookman Old Style" w:hAnsi="Bookman Old Style"/>
          <w:lang w:val="id-ID"/>
        </w:rPr>
        <w:t xml:space="preserve"> </w:t>
      </w:r>
      <w:r w:rsidRPr="008379CA">
        <w:rPr>
          <w:rFonts w:ascii="Bookman Old Style" w:hAnsi="Bookman Old Style"/>
        </w:rPr>
        <w:t>dalam</w:t>
      </w:r>
      <w:r w:rsidR="00A954D0" w:rsidRPr="008379CA">
        <w:rPr>
          <w:rFonts w:ascii="Bookman Old Style" w:hAnsi="Bookman Old Style"/>
        </w:rPr>
        <w:t xml:space="preserve"> </w:t>
      </w:r>
      <w:r w:rsidRPr="008379CA">
        <w:rPr>
          <w:rFonts w:ascii="Bookman Old Style" w:hAnsi="Bookman Old Style"/>
        </w:rPr>
        <w:t>Rancangan</w:t>
      </w:r>
      <w:r w:rsidR="00A954D0" w:rsidRPr="008379CA">
        <w:rPr>
          <w:rFonts w:ascii="Bookman Old Style" w:hAnsi="Bookman Old Style"/>
        </w:rPr>
        <w:t xml:space="preserve"> </w:t>
      </w:r>
      <w:r w:rsidRPr="008379CA">
        <w:rPr>
          <w:rFonts w:ascii="Bookman Old Style" w:hAnsi="Bookman Old Style"/>
        </w:rPr>
        <w:t>Peraturan</w:t>
      </w:r>
      <w:r w:rsidR="00A954D0" w:rsidRPr="008379CA">
        <w:rPr>
          <w:rFonts w:ascii="Bookman Old Style" w:hAnsi="Bookman Old Style"/>
        </w:rPr>
        <w:t xml:space="preserve"> </w:t>
      </w:r>
      <w:r w:rsidRPr="008379CA">
        <w:rPr>
          <w:rFonts w:ascii="Bookman Old Style" w:hAnsi="Bookman Old Style"/>
        </w:rPr>
        <w:t>Daerah</w:t>
      </w:r>
      <w:r w:rsidR="00A954D0" w:rsidRPr="008379CA">
        <w:rPr>
          <w:rFonts w:ascii="Bookman Old Style" w:hAnsi="Bookman Old Style"/>
        </w:rPr>
        <w:t xml:space="preserve"> </w:t>
      </w:r>
      <w:r w:rsidR="00B055C5" w:rsidRPr="008379CA">
        <w:rPr>
          <w:rFonts w:ascii="Bookman Old Style" w:hAnsi="Bookman Old Style"/>
          <w:lang w:val="fi-FI"/>
        </w:rPr>
        <w:t>Kota</w:t>
      </w:r>
      <w:r w:rsidR="00A954D0" w:rsidRPr="008379CA">
        <w:rPr>
          <w:rFonts w:ascii="Bookman Old Style" w:hAnsi="Bookman Old Style"/>
          <w:lang w:val="fi-FI"/>
        </w:rPr>
        <w:t xml:space="preserve"> </w:t>
      </w:r>
      <w:r w:rsidR="00770F22" w:rsidRPr="008379CA">
        <w:rPr>
          <w:rFonts w:ascii="Bookman Old Style" w:hAnsi="Bookman Old Style"/>
          <w:lang w:val="fi-FI"/>
        </w:rPr>
        <w:t>Tangerang</w:t>
      </w:r>
      <w:r w:rsidR="00A954D0" w:rsidRPr="008379CA">
        <w:rPr>
          <w:rFonts w:ascii="Bookman Old Style" w:hAnsi="Bookman Old Style"/>
          <w:lang w:val="fi-FI"/>
        </w:rPr>
        <w:t xml:space="preserve"> </w:t>
      </w:r>
      <w:r w:rsidRPr="008379CA">
        <w:rPr>
          <w:rFonts w:ascii="Bookman Old Style" w:hAnsi="Bookman Old Style"/>
        </w:rPr>
        <w:t>tentang</w:t>
      </w:r>
      <w:r w:rsidR="00A954D0" w:rsidRPr="008379CA">
        <w:rPr>
          <w:rFonts w:ascii="Bookman Old Style" w:hAnsi="Bookman Old Style"/>
        </w:rPr>
        <w:t xml:space="preserve"> </w:t>
      </w:r>
      <w:r w:rsidRPr="008379CA">
        <w:rPr>
          <w:rFonts w:ascii="Bookman Old Style" w:hAnsi="Bookman Old Style"/>
        </w:rPr>
        <w:t>APBD</w:t>
      </w:r>
      <w:r w:rsidR="00A954D0" w:rsidRPr="008379CA">
        <w:rPr>
          <w:rFonts w:ascii="Bookman Old Style" w:hAnsi="Bookman Old Style"/>
        </w:rPr>
        <w:t xml:space="preserve"> </w:t>
      </w:r>
      <w:r w:rsidRPr="008379CA">
        <w:rPr>
          <w:rFonts w:ascii="Bookman Old Style" w:hAnsi="Bookman Old Style"/>
        </w:rPr>
        <w:t>Tahun</w:t>
      </w:r>
      <w:r w:rsidR="00A954D0" w:rsidRPr="008379CA">
        <w:rPr>
          <w:rFonts w:ascii="Bookman Old Style" w:hAnsi="Bookman Old Style"/>
        </w:rPr>
        <w:t xml:space="preserve"> </w:t>
      </w:r>
      <w:r w:rsidRPr="008379CA">
        <w:rPr>
          <w:rFonts w:ascii="Bookman Old Style" w:hAnsi="Bookman Old Style"/>
        </w:rPr>
        <w:t>Anggaran</w:t>
      </w:r>
      <w:r w:rsidR="00A954D0" w:rsidRPr="008379CA">
        <w:rPr>
          <w:rFonts w:ascii="Bookman Old Style" w:hAnsi="Bookman Old Style"/>
        </w:rPr>
        <w:t xml:space="preserve"> </w:t>
      </w:r>
      <w:r w:rsidRPr="008379CA">
        <w:rPr>
          <w:rFonts w:ascii="Bookman Old Style" w:hAnsi="Bookman Old Style"/>
        </w:rPr>
        <w:t>2025</w:t>
      </w:r>
      <w:r w:rsidR="00A954D0" w:rsidRPr="008379CA">
        <w:rPr>
          <w:rFonts w:ascii="Bookman Old Style" w:hAnsi="Bookman Old Style"/>
        </w:rPr>
        <w:t xml:space="preserve"> </w:t>
      </w:r>
      <w:r w:rsidRPr="008379CA">
        <w:rPr>
          <w:rFonts w:ascii="Bookman Old Style" w:hAnsi="Bookman Old Style"/>
          <w:lang w:val="id-ID"/>
        </w:rPr>
        <w:t>dinilai</w:t>
      </w:r>
      <w:r w:rsidR="00A954D0" w:rsidRPr="008379CA">
        <w:rPr>
          <w:rFonts w:ascii="Bookman Old Style" w:hAnsi="Bookman Old Style"/>
          <w:lang w:val="id-ID"/>
        </w:rPr>
        <w:t xml:space="preserve"> </w:t>
      </w:r>
      <w:r w:rsidRPr="008379CA">
        <w:rPr>
          <w:rFonts w:ascii="Bookman Old Style" w:hAnsi="Bookman Old Style"/>
          <w:lang w:val="id-ID"/>
        </w:rPr>
        <w:t>belum</w:t>
      </w:r>
      <w:r w:rsidR="00A954D0" w:rsidRPr="008379CA">
        <w:rPr>
          <w:rFonts w:ascii="Bookman Old Style" w:hAnsi="Bookman Old Style"/>
          <w:lang w:val="id-ID"/>
        </w:rPr>
        <w:t xml:space="preserve"> </w:t>
      </w:r>
      <w:r w:rsidRPr="008379CA">
        <w:rPr>
          <w:rFonts w:ascii="Bookman Old Style" w:hAnsi="Bookman Old Style"/>
          <w:lang w:val="id-ID"/>
        </w:rPr>
        <w:t>cukup</w:t>
      </w:r>
      <w:r w:rsidR="00A954D0" w:rsidRPr="008379CA">
        <w:rPr>
          <w:rFonts w:ascii="Bookman Old Style" w:hAnsi="Bookman Old Style"/>
          <w:lang w:val="id-ID"/>
        </w:rPr>
        <w:t xml:space="preserve"> </w:t>
      </w:r>
      <w:r w:rsidRPr="008379CA">
        <w:rPr>
          <w:rFonts w:ascii="Bookman Old Style" w:hAnsi="Bookman Old Style"/>
          <w:lang w:val="id-ID"/>
        </w:rPr>
        <w:t>memadai</w:t>
      </w:r>
      <w:r w:rsidR="00A954D0" w:rsidRPr="008379CA">
        <w:rPr>
          <w:rFonts w:ascii="Bookman Old Style" w:hAnsi="Bookman Old Style"/>
          <w:lang w:val="id-ID"/>
        </w:rPr>
        <w:t xml:space="preserve"> </w:t>
      </w:r>
      <w:r w:rsidRPr="008379CA">
        <w:rPr>
          <w:rFonts w:ascii="Bookman Old Style" w:hAnsi="Bookman Old Style"/>
          <w:lang w:val="id-ID"/>
        </w:rPr>
        <w:t>dalam</w:t>
      </w:r>
      <w:r w:rsidR="00A954D0" w:rsidRPr="008379CA">
        <w:rPr>
          <w:rFonts w:ascii="Bookman Old Style" w:hAnsi="Bookman Old Style"/>
          <w:lang w:val="id-ID"/>
        </w:rPr>
        <w:t xml:space="preserve"> </w:t>
      </w:r>
      <w:r w:rsidRPr="008379CA">
        <w:rPr>
          <w:rFonts w:ascii="Bookman Old Style" w:hAnsi="Bookman Old Style"/>
          <w:lang w:val="id-ID"/>
        </w:rPr>
        <w:t>rangka</w:t>
      </w:r>
      <w:r w:rsidR="00A954D0" w:rsidRPr="008379CA">
        <w:rPr>
          <w:rFonts w:ascii="Bookman Old Style" w:hAnsi="Bookman Old Style"/>
          <w:lang w:val="id-ID"/>
        </w:rPr>
        <w:t xml:space="preserve"> </w:t>
      </w:r>
      <w:r w:rsidRPr="008379CA">
        <w:rPr>
          <w:rFonts w:ascii="Bookman Old Style" w:hAnsi="Bookman Old Style"/>
          <w:lang w:val="id-ID"/>
        </w:rPr>
        <w:t>pemenuhan</w:t>
      </w:r>
      <w:r w:rsidR="00A954D0" w:rsidRPr="008379CA">
        <w:rPr>
          <w:rFonts w:ascii="Bookman Old Style" w:hAnsi="Bookman Old Style"/>
          <w:lang w:val="id-ID"/>
        </w:rPr>
        <w:t xml:space="preserve"> </w:t>
      </w:r>
      <w:r w:rsidRPr="008379CA">
        <w:rPr>
          <w:rFonts w:ascii="Bookman Old Style" w:hAnsi="Bookman Old Style"/>
          <w:lang w:val="fi-FI"/>
        </w:rPr>
        <w:t>SPM</w:t>
      </w:r>
      <w:r w:rsidRPr="008379CA">
        <w:rPr>
          <w:rFonts w:ascii="Bookman Old Style" w:hAnsi="Bookman Old Style"/>
          <w:lang w:val="id-ID"/>
        </w:rPr>
        <w:t>.</w:t>
      </w:r>
    </w:p>
    <w:p w14:paraId="3198F65B" w14:textId="04BBFBB6" w:rsidR="00F6666B" w:rsidRPr="008379CA" w:rsidRDefault="00FE2F41" w:rsidP="00CC433B">
      <w:pPr>
        <w:spacing w:before="60" w:line="276" w:lineRule="auto"/>
        <w:ind w:left="993"/>
        <w:jc w:val="both"/>
        <w:rPr>
          <w:rFonts w:ascii="Bookman Old Style" w:hAnsi="Bookman Old Style"/>
          <w:lang w:val="id-ID"/>
        </w:rPr>
      </w:pPr>
      <w:r w:rsidRPr="008379CA">
        <w:rPr>
          <w:rFonts w:ascii="Bookman Old Style" w:hAnsi="Bookman Old Style"/>
          <w:lang w:val="id-ID"/>
        </w:rPr>
        <w:t>Untuk</w:t>
      </w:r>
      <w:r w:rsidR="00A954D0" w:rsidRPr="008379CA">
        <w:rPr>
          <w:rFonts w:ascii="Bookman Old Style" w:hAnsi="Bookman Old Style"/>
          <w:lang w:val="id-ID"/>
        </w:rPr>
        <w:t xml:space="preserve"> </w:t>
      </w:r>
      <w:r w:rsidRPr="008379CA">
        <w:rPr>
          <w:rFonts w:ascii="Bookman Old Style" w:hAnsi="Bookman Old Style"/>
          <w:lang w:val="id-ID"/>
        </w:rPr>
        <w:t>itu,</w:t>
      </w:r>
      <w:r w:rsidR="00A954D0" w:rsidRPr="008379CA">
        <w:rPr>
          <w:rFonts w:ascii="Bookman Old Style" w:hAnsi="Bookman Old Style"/>
          <w:lang w:val="id-ID"/>
        </w:rPr>
        <w:t xml:space="preserve"> </w:t>
      </w:r>
      <w:r w:rsidRPr="008379CA">
        <w:rPr>
          <w:rFonts w:ascii="Bookman Old Style" w:hAnsi="Bookman Old Style"/>
          <w:lang w:val="id-ID"/>
        </w:rPr>
        <w:t>Pemerintah</w:t>
      </w:r>
      <w:r w:rsidR="00A954D0" w:rsidRPr="008379CA">
        <w:rPr>
          <w:rFonts w:ascii="Bookman Old Style" w:hAnsi="Bookman Old Style"/>
          <w:lang w:val="id-ID"/>
        </w:rPr>
        <w:t xml:space="preserve"> </w:t>
      </w:r>
      <w:r w:rsidRPr="008379CA">
        <w:rPr>
          <w:rFonts w:ascii="Bookman Old Style" w:hAnsi="Bookman Old Style"/>
          <w:lang w:val="id-ID"/>
        </w:rPr>
        <w:t>Daerah</w:t>
      </w:r>
      <w:r w:rsidR="00A954D0" w:rsidRPr="008379CA">
        <w:rPr>
          <w:rFonts w:ascii="Bookman Old Style" w:hAnsi="Bookman Old Style"/>
          <w:lang w:val="id-ID"/>
        </w:rPr>
        <w:t xml:space="preserve"> </w:t>
      </w:r>
      <w:r w:rsidR="00B055C5" w:rsidRPr="008379CA">
        <w:rPr>
          <w:rFonts w:ascii="Bookman Old Style" w:hAnsi="Bookman Old Style"/>
          <w:lang w:val="fi-FI"/>
        </w:rPr>
        <w:t>Kota</w:t>
      </w:r>
      <w:r w:rsidR="00A954D0" w:rsidRPr="008379CA">
        <w:rPr>
          <w:rFonts w:ascii="Bookman Old Style" w:hAnsi="Bookman Old Style"/>
          <w:lang w:val="fi-FI"/>
        </w:rPr>
        <w:t xml:space="preserve"> </w:t>
      </w:r>
      <w:r w:rsidR="00770F22" w:rsidRPr="008379CA">
        <w:rPr>
          <w:rFonts w:ascii="Bookman Old Style" w:hAnsi="Bookman Old Style"/>
          <w:lang w:val="fi-FI"/>
        </w:rPr>
        <w:t>Tangerang</w:t>
      </w:r>
      <w:r w:rsidR="00A954D0" w:rsidRPr="008379CA">
        <w:rPr>
          <w:rFonts w:ascii="Bookman Old Style" w:hAnsi="Bookman Old Style"/>
          <w:lang w:val="fi-FI"/>
        </w:rPr>
        <w:t xml:space="preserve"> </w:t>
      </w:r>
      <w:r w:rsidRPr="008379CA">
        <w:rPr>
          <w:rFonts w:ascii="Bookman Old Style" w:hAnsi="Bookman Old Style"/>
          <w:lang w:val="id-ID"/>
        </w:rPr>
        <w:t>harus</w:t>
      </w:r>
      <w:r w:rsidR="00A954D0" w:rsidRPr="008379CA">
        <w:rPr>
          <w:rFonts w:ascii="Bookman Old Style" w:hAnsi="Bookman Old Style"/>
          <w:lang w:val="id-ID"/>
        </w:rPr>
        <w:t xml:space="preserve"> </w:t>
      </w:r>
      <w:r w:rsidRPr="008379CA">
        <w:rPr>
          <w:rFonts w:ascii="Bookman Old Style" w:hAnsi="Bookman Old Style"/>
          <w:lang w:val="id-ID"/>
        </w:rPr>
        <w:t>mengupayakan</w:t>
      </w:r>
      <w:r w:rsidR="00A954D0" w:rsidRPr="008379CA">
        <w:rPr>
          <w:rFonts w:ascii="Bookman Old Style" w:hAnsi="Bookman Old Style"/>
          <w:lang w:val="id-ID"/>
        </w:rPr>
        <w:t xml:space="preserve"> </w:t>
      </w:r>
      <w:r w:rsidRPr="008379CA">
        <w:rPr>
          <w:rFonts w:ascii="Bookman Old Style" w:hAnsi="Bookman Old Style"/>
          <w:lang w:val="id-ID"/>
        </w:rPr>
        <w:t>pemenuhan</w:t>
      </w:r>
      <w:r w:rsidR="00A954D0" w:rsidRPr="008379CA">
        <w:rPr>
          <w:rFonts w:ascii="Bookman Old Style" w:hAnsi="Bookman Old Style"/>
          <w:lang w:val="id-ID"/>
        </w:rPr>
        <w:t xml:space="preserve"> </w:t>
      </w:r>
      <w:r w:rsidRPr="008379CA">
        <w:rPr>
          <w:rFonts w:ascii="Bookman Old Style" w:hAnsi="Bookman Old Style"/>
          <w:lang w:val="id-ID"/>
        </w:rPr>
        <w:t>alokasi</w:t>
      </w:r>
      <w:r w:rsidR="00A954D0" w:rsidRPr="008379CA">
        <w:rPr>
          <w:rFonts w:ascii="Bookman Old Style" w:hAnsi="Bookman Old Style"/>
          <w:lang w:val="id-ID"/>
        </w:rPr>
        <w:t xml:space="preserve"> </w:t>
      </w:r>
      <w:r w:rsidRPr="008379CA">
        <w:rPr>
          <w:rFonts w:ascii="Bookman Old Style" w:hAnsi="Bookman Old Style"/>
          <w:lang w:val="id-ID"/>
        </w:rPr>
        <w:t>anggaran</w:t>
      </w:r>
      <w:r w:rsidR="00A954D0" w:rsidRPr="008379CA">
        <w:rPr>
          <w:rFonts w:ascii="Bookman Old Style" w:hAnsi="Bookman Old Style"/>
          <w:lang w:val="id-ID"/>
        </w:rPr>
        <w:t xml:space="preserve"> </w:t>
      </w:r>
      <w:r w:rsidRPr="008379CA">
        <w:rPr>
          <w:rFonts w:ascii="Bookman Old Style" w:hAnsi="Bookman Old Style"/>
          <w:lang w:val="id-ID"/>
        </w:rPr>
        <w:t>yang</w:t>
      </w:r>
      <w:r w:rsidR="00A954D0" w:rsidRPr="008379CA">
        <w:rPr>
          <w:rFonts w:ascii="Bookman Old Style" w:hAnsi="Bookman Old Style"/>
          <w:lang w:val="id-ID"/>
        </w:rPr>
        <w:t xml:space="preserve"> </w:t>
      </w:r>
      <w:r w:rsidRPr="008379CA">
        <w:rPr>
          <w:rFonts w:ascii="Bookman Old Style" w:hAnsi="Bookman Old Style"/>
          <w:lang w:val="id-ID"/>
        </w:rPr>
        <w:t>memadai</w:t>
      </w:r>
      <w:r w:rsidR="00A954D0" w:rsidRPr="008379CA">
        <w:rPr>
          <w:rFonts w:ascii="Bookman Old Style" w:hAnsi="Bookman Old Style"/>
          <w:lang w:val="id-ID"/>
        </w:rPr>
        <w:t xml:space="preserve"> </w:t>
      </w:r>
      <w:r w:rsidRPr="008379CA">
        <w:rPr>
          <w:rFonts w:ascii="Bookman Old Style" w:hAnsi="Bookman Old Style"/>
          <w:lang w:val="id-ID"/>
        </w:rPr>
        <w:t>dalam</w:t>
      </w:r>
      <w:r w:rsidR="00A954D0" w:rsidRPr="008379CA">
        <w:rPr>
          <w:rFonts w:ascii="Bookman Old Style" w:hAnsi="Bookman Old Style"/>
          <w:lang w:val="id-ID"/>
        </w:rPr>
        <w:t xml:space="preserve"> </w:t>
      </w:r>
      <w:r w:rsidRPr="008379CA">
        <w:rPr>
          <w:rFonts w:ascii="Bookman Old Style" w:hAnsi="Bookman Old Style"/>
          <w:lang w:val="id-ID"/>
        </w:rPr>
        <w:t>Rancangan</w:t>
      </w:r>
      <w:r w:rsidR="00A954D0" w:rsidRPr="008379CA">
        <w:rPr>
          <w:rFonts w:ascii="Bookman Old Style" w:hAnsi="Bookman Old Style"/>
          <w:lang w:val="id-ID"/>
        </w:rPr>
        <w:t xml:space="preserve"> </w:t>
      </w:r>
      <w:r w:rsidRPr="008379CA">
        <w:rPr>
          <w:rFonts w:ascii="Bookman Old Style" w:hAnsi="Bookman Old Style"/>
          <w:lang w:val="id-ID"/>
        </w:rPr>
        <w:t>Peraturan</w:t>
      </w:r>
      <w:r w:rsidR="00A954D0" w:rsidRPr="008379CA">
        <w:rPr>
          <w:rFonts w:ascii="Bookman Old Style" w:hAnsi="Bookman Old Style"/>
          <w:lang w:val="id-ID"/>
        </w:rPr>
        <w:t xml:space="preserve"> </w:t>
      </w:r>
      <w:r w:rsidRPr="008379CA">
        <w:rPr>
          <w:rFonts w:ascii="Bookman Old Style" w:hAnsi="Bookman Old Style"/>
          <w:lang w:val="id-ID"/>
        </w:rPr>
        <w:t>Daerah</w:t>
      </w:r>
      <w:r w:rsidR="00A954D0" w:rsidRPr="008379CA">
        <w:rPr>
          <w:rFonts w:ascii="Bookman Old Style" w:hAnsi="Bookman Old Style"/>
          <w:lang w:val="id-ID"/>
        </w:rPr>
        <w:t xml:space="preserve"> </w:t>
      </w:r>
      <w:r w:rsidR="00B055C5" w:rsidRPr="008379CA">
        <w:rPr>
          <w:rFonts w:ascii="Bookman Old Style" w:hAnsi="Bookman Old Style"/>
          <w:lang w:val="fi-FI"/>
        </w:rPr>
        <w:t>Kota</w:t>
      </w:r>
      <w:r w:rsidR="00A954D0" w:rsidRPr="008379CA">
        <w:rPr>
          <w:rFonts w:ascii="Bookman Old Style" w:hAnsi="Bookman Old Style"/>
          <w:lang w:val="fi-FI"/>
        </w:rPr>
        <w:t xml:space="preserve"> </w:t>
      </w:r>
      <w:r w:rsidR="00770F22" w:rsidRPr="008379CA">
        <w:rPr>
          <w:rFonts w:ascii="Bookman Old Style" w:hAnsi="Bookman Old Style"/>
          <w:lang w:val="fi-FI"/>
        </w:rPr>
        <w:t>Tangerang</w:t>
      </w:r>
      <w:r w:rsidR="00A954D0" w:rsidRPr="008379CA">
        <w:rPr>
          <w:rFonts w:ascii="Bookman Old Style" w:hAnsi="Bookman Old Style"/>
          <w:lang w:val="fi-FI"/>
        </w:rPr>
        <w:t xml:space="preserve"> </w:t>
      </w:r>
      <w:r w:rsidRPr="008379CA">
        <w:rPr>
          <w:rFonts w:ascii="Bookman Old Style" w:hAnsi="Bookman Old Style"/>
          <w:lang w:val="id-ID"/>
        </w:rPr>
        <w:t>tentang</w:t>
      </w:r>
      <w:r w:rsidR="00A954D0" w:rsidRPr="008379CA">
        <w:rPr>
          <w:rFonts w:ascii="Bookman Old Style" w:hAnsi="Bookman Old Style"/>
          <w:lang w:val="id-ID"/>
        </w:rPr>
        <w:t xml:space="preserve"> </w:t>
      </w:r>
      <w:r w:rsidRPr="008379CA">
        <w:rPr>
          <w:rFonts w:ascii="Bookman Old Style" w:hAnsi="Bookman Old Style"/>
          <w:lang w:val="id-ID"/>
        </w:rPr>
        <w:t>APBD</w:t>
      </w:r>
      <w:r w:rsidR="00A954D0" w:rsidRPr="008379CA">
        <w:rPr>
          <w:rFonts w:ascii="Bookman Old Style" w:hAnsi="Bookman Old Style"/>
          <w:lang w:val="id-ID"/>
        </w:rPr>
        <w:t xml:space="preserve"> </w:t>
      </w:r>
      <w:r w:rsidRPr="008379CA">
        <w:rPr>
          <w:rFonts w:ascii="Bookman Old Style" w:hAnsi="Bookman Old Style"/>
          <w:lang w:val="id-ID"/>
        </w:rPr>
        <w:t>Tahun</w:t>
      </w:r>
      <w:r w:rsidR="00A954D0" w:rsidRPr="008379CA">
        <w:rPr>
          <w:rFonts w:ascii="Bookman Old Style" w:hAnsi="Bookman Old Style"/>
          <w:lang w:val="id-ID"/>
        </w:rPr>
        <w:t xml:space="preserve"> </w:t>
      </w:r>
      <w:r w:rsidRPr="008379CA">
        <w:rPr>
          <w:rFonts w:ascii="Bookman Old Style" w:hAnsi="Bookman Old Style"/>
          <w:lang w:val="id-ID"/>
        </w:rPr>
        <w:t>Anggaran</w:t>
      </w:r>
      <w:r w:rsidR="00A954D0" w:rsidRPr="008379CA">
        <w:rPr>
          <w:rFonts w:ascii="Bookman Old Style" w:hAnsi="Bookman Old Style"/>
          <w:lang w:val="id-ID"/>
        </w:rPr>
        <w:t xml:space="preserve"> </w:t>
      </w:r>
      <w:r w:rsidRPr="008379CA">
        <w:rPr>
          <w:rFonts w:ascii="Bookman Old Style" w:hAnsi="Bookman Old Style"/>
          <w:lang w:val="id-ID"/>
        </w:rPr>
        <w:t>2025</w:t>
      </w:r>
      <w:r w:rsidR="00A954D0" w:rsidRPr="008379CA">
        <w:rPr>
          <w:rFonts w:ascii="Bookman Old Style" w:hAnsi="Bookman Old Style"/>
          <w:lang w:val="id-ID"/>
        </w:rPr>
        <w:t xml:space="preserve"> </w:t>
      </w:r>
      <w:r w:rsidRPr="008379CA">
        <w:rPr>
          <w:rFonts w:ascii="Bookman Old Style" w:hAnsi="Bookman Old Style"/>
          <w:lang w:val="id-ID"/>
        </w:rPr>
        <w:t>dengan</w:t>
      </w:r>
      <w:r w:rsidR="00A954D0" w:rsidRPr="008379CA">
        <w:rPr>
          <w:rFonts w:ascii="Bookman Old Style" w:hAnsi="Bookman Old Style"/>
          <w:lang w:val="id-ID"/>
        </w:rPr>
        <w:t xml:space="preserve"> </w:t>
      </w:r>
      <w:r w:rsidRPr="008379CA">
        <w:rPr>
          <w:rFonts w:ascii="Bookman Old Style" w:hAnsi="Bookman Old Style"/>
          <w:lang w:val="id-ID"/>
        </w:rPr>
        <w:t>memprioritaskan</w:t>
      </w:r>
      <w:r w:rsidR="00A954D0" w:rsidRPr="008379CA">
        <w:rPr>
          <w:rFonts w:ascii="Bookman Old Style" w:hAnsi="Bookman Old Style"/>
          <w:lang w:val="id-ID"/>
        </w:rPr>
        <w:t xml:space="preserve"> </w:t>
      </w:r>
      <w:r w:rsidRPr="008379CA">
        <w:rPr>
          <w:rFonts w:ascii="Bookman Old Style" w:hAnsi="Bookman Old Style"/>
          <w:lang w:val="id-ID"/>
        </w:rPr>
        <w:t>pendanaan</w:t>
      </w:r>
      <w:r w:rsidR="00A954D0" w:rsidRPr="008379CA">
        <w:rPr>
          <w:rFonts w:ascii="Bookman Old Style" w:hAnsi="Bookman Old Style"/>
          <w:lang w:val="id-ID"/>
        </w:rPr>
        <w:t xml:space="preserve"> </w:t>
      </w:r>
      <w:r w:rsidRPr="008379CA">
        <w:rPr>
          <w:rFonts w:ascii="Bookman Old Style" w:hAnsi="Bookman Old Style"/>
          <w:lang w:val="id-ID"/>
        </w:rPr>
        <w:t>Urusan</w:t>
      </w:r>
      <w:r w:rsidR="00A954D0" w:rsidRPr="008379CA">
        <w:rPr>
          <w:rFonts w:ascii="Bookman Old Style" w:hAnsi="Bookman Old Style"/>
          <w:lang w:val="id-ID"/>
        </w:rPr>
        <w:t xml:space="preserve"> </w:t>
      </w:r>
      <w:r w:rsidRPr="008379CA">
        <w:rPr>
          <w:rFonts w:ascii="Bookman Old Style" w:hAnsi="Bookman Old Style"/>
          <w:lang w:val="id-ID"/>
        </w:rPr>
        <w:t>Pemerintahan</w:t>
      </w:r>
      <w:r w:rsidR="00A954D0" w:rsidRPr="008379CA">
        <w:rPr>
          <w:rFonts w:ascii="Bookman Old Style" w:hAnsi="Bookman Old Style"/>
          <w:lang w:val="id-ID"/>
        </w:rPr>
        <w:t xml:space="preserve"> </w:t>
      </w:r>
      <w:r w:rsidRPr="008379CA">
        <w:rPr>
          <w:rFonts w:ascii="Bookman Old Style" w:hAnsi="Bookman Old Style"/>
          <w:lang w:val="id-ID"/>
        </w:rPr>
        <w:t>Wajib</w:t>
      </w:r>
      <w:r w:rsidR="00A954D0" w:rsidRPr="008379CA">
        <w:rPr>
          <w:rFonts w:ascii="Bookman Old Style" w:hAnsi="Bookman Old Style"/>
          <w:lang w:val="id-ID"/>
        </w:rPr>
        <w:t xml:space="preserve"> </w:t>
      </w:r>
      <w:r w:rsidRPr="008379CA">
        <w:rPr>
          <w:rFonts w:ascii="Bookman Old Style" w:hAnsi="Bookman Old Style"/>
          <w:lang w:val="id-ID"/>
        </w:rPr>
        <w:t>terkait</w:t>
      </w:r>
      <w:r w:rsidR="00A954D0" w:rsidRPr="008379CA">
        <w:rPr>
          <w:rFonts w:ascii="Bookman Old Style" w:hAnsi="Bookman Old Style"/>
          <w:lang w:val="id-ID"/>
        </w:rPr>
        <w:t xml:space="preserve"> </w:t>
      </w:r>
      <w:r w:rsidRPr="008379CA">
        <w:rPr>
          <w:rFonts w:ascii="Bookman Old Style" w:hAnsi="Bookman Old Style"/>
          <w:lang w:val="id-ID"/>
        </w:rPr>
        <w:t>pelayanan</w:t>
      </w:r>
      <w:r w:rsidR="00A954D0" w:rsidRPr="008379CA">
        <w:rPr>
          <w:rFonts w:ascii="Bookman Old Style" w:hAnsi="Bookman Old Style"/>
          <w:lang w:val="id-ID"/>
        </w:rPr>
        <w:t xml:space="preserve"> </w:t>
      </w:r>
      <w:r w:rsidRPr="008379CA">
        <w:rPr>
          <w:rFonts w:ascii="Bookman Old Style" w:hAnsi="Bookman Old Style"/>
          <w:lang w:val="id-ID"/>
        </w:rPr>
        <w:t>dasar</w:t>
      </w:r>
      <w:r w:rsidR="00A954D0" w:rsidRPr="008379CA">
        <w:rPr>
          <w:rFonts w:ascii="Bookman Old Style" w:hAnsi="Bookman Old Style"/>
          <w:lang w:val="id-ID"/>
        </w:rPr>
        <w:t xml:space="preserve"> </w:t>
      </w:r>
      <w:r w:rsidRPr="008379CA">
        <w:rPr>
          <w:rFonts w:ascii="Bookman Old Style" w:hAnsi="Bookman Old Style"/>
          <w:lang w:val="id-ID"/>
        </w:rPr>
        <w:t>dalam</w:t>
      </w:r>
      <w:r w:rsidR="00A954D0" w:rsidRPr="008379CA">
        <w:rPr>
          <w:rFonts w:ascii="Bookman Old Style" w:hAnsi="Bookman Old Style"/>
          <w:lang w:val="id-ID"/>
        </w:rPr>
        <w:t xml:space="preserve"> </w:t>
      </w:r>
      <w:r w:rsidRPr="008379CA">
        <w:rPr>
          <w:rFonts w:ascii="Bookman Old Style" w:hAnsi="Bookman Old Style"/>
          <w:lang w:val="id-ID"/>
        </w:rPr>
        <w:t>rangka</w:t>
      </w:r>
      <w:r w:rsidR="00A954D0" w:rsidRPr="008379CA">
        <w:rPr>
          <w:rFonts w:ascii="Bookman Old Style" w:hAnsi="Bookman Old Style"/>
          <w:lang w:val="id-ID"/>
        </w:rPr>
        <w:t xml:space="preserve"> </w:t>
      </w:r>
      <w:r w:rsidRPr="008379CA">
        <w:rPr>
          <w:rFonts w:ascii="Bookman Old Style" w:hAnsi="Bookman Old Style"/>
          <w:lang w:val="id-ID"/>
        </w:rPr>
        <w:t>pemenuhan</w:t>
      </w:r>
      <w:r w:rsidR="00A954D0" w:rsidRPr="008379CA">
        <w:rPr>
          <w:rFonts w:ascii="Bookman Old Style" w:hAnsi="Bookman Old Style"/>
          <w:lang w:val="id-ID"/>
        </w:rPr>
        <w:t xml:space="preserve"> </w:t>
      </w:r>
      <w:r w:rsidRPr="008379CA">
        <w:rPr>
          <w:rFonts w:ascii="Bookman Old Style" w:hAnsi="Bookman Old Style"/>
          <w:lang w:val="fi-FI"/>
        </w:rPr>
        <w:t>SPM</w:t>
      </w:r>
      <w:r w:rsidR="00A954D0" w:rsidRPr="008379CA">
        <w:rPr>
          <w:rFonts w:ascii="Bookman Old Style" w:hAnsi="Bookman Old Style"/>
          <w:lang w:val="id-ID"/>
        </w:rPr>
        <w:t xml:space="preserve"> </w:t>
      </w:r>
      <w:r w:rsidRPr="008379CA">
        <w:rPr>
          <w:rFonts w:ascii="Bookman Old Style" w:hAnsi="Bookman Old Style"/>
          <w:lang w:val="id-ID"/>
        </w:rPr>
        <w:t>sebagaimana</w:t>
      </w:r>
      <w:r w:rsidR="00A954D0" w:rsidRPr="008379CA">
        <w:rPr>
          <w:rFonts w:ascii="Bookman Old Style" w:hAnsi="Bookman Old Style"/>
          <w:lang w:val="id-ID"/>
        </w:rPr>
        <w:t xml:space="preserve"> </w:t>
      </w:r>
      <w:r w:rsidRPr="008379CA">
        <w:rPr>
          <w:rFonts w:ascii="Bookman Old Style" w:hAnsi="Bookman Old Style"/>
          <w:lang w:val="id-ID"/>
        </w:rPr>
        <w:t>maksud</w:t>
      </w:r>
      <w:r w:rsidR="00A954D0" w:rsidRPr="008379CA">
        <w:rPr>
          <w:rFonts w:ascii="Bookman Old Style" w:hAnsi="Bookman Old Style"/>
          <w:lang w:val="id-ID"/>
        </w:rPr>
        <w:t xml:space="preserve"> </w:t>
      </w:r>
      <w:r w:rsidRPr="008379CA">
        <w:rPr>
          <w:rFonts w:ascii="Bookman Old Style" w:hAnsi="Bookman Old Style"/>
          <w:lang w:val="id-ID"/>
        </w:rPr>
        <w:t>Pasal</w:t>
      </w:r>
      <w:r w:rsidR="00A954D0" w:rsidRPr="008379CA">
        <w:rPr>
          <w:rFonts w:ascii="Bookman Old Style" w:hAnsi="Bookman Old Style"/>
          <w:lang w:val="id-ID"/>
        </w:rPr>
        <w:t xml:space="preserve"> </w:t>
      </w:r>
      <w:r w:rsidRPr="008379CA">
        <w:rPr>
          <w:rFonts w:ascii="Bookman Old Style" w:hAnsi="Bookman Old Style"/>
          <w:lang w:val="id-ID"/>
        </w:rPr>
        <w:t>298</w:t>
      </w:r>
      <w:r w:rsidR="00A954D0" w:rsidRPr="008379CA">
        <w:rPr>
          <w:rFonts w:ascii="Bookman Old Style" w:hAnsi="Bookman Old Style"/>
          <w:lang w:val="id-ID"/>
        </w:rPr>
        <w:t xml:space="preserve"> </w:t>
      </w:r>
      <w:r w:rsidRPr="008379CA">
        <w:rPr>
          <w:rFonts w:ascii="Bookman Old Style" w:hAnsi="Bookman Old Style"/>
          <w:lang w:val="id-ID"/>
        </w:rPr>
        <w:t>ayat</w:t>
      </w:r>
      <w:r w:rsidR="00A954D0" w:rsidRPr="008379CA">
        <w:rPr>
          <w:rFonts w:ascii="Bookman Old Style" w:hAnsi="Bookman Old Style"/>
          <w:lang w:val="id-ID"/>
        </w:rPr>
        <w:t xml:space="preserve"> </w:t>
      </w:r>
      <w:r w:rsidRPr="008379CA">
        <w:rPr>
          <w:rFonts w:ascii="Bookman Old Style" w:hAnsi="Bookman Old Style"/>
          <w:lang w:val="id-ID"/>
        </w:rPr>
        <w:t>(1)</w:t>
      </w:r>
      <w:r w:rsidR="00A954D0" w:rsidRPr="008379CA">
        <w:rPr>
          <w:rFonts w:ascii="Bookman Old Style" w:hAnsi="Bookman Old Style"/>
          <w:lang w:val="id-ID"/>
        </w:rPr>
        <w:t xml:space="preserve"> </w:t>
      </w:r>
      <w:r w:rsidRPr="008379CA">
        <w:rPr>
          <w:rFonts w:ascii="Bookman Old Style" w:hAnsi="Bookman Old Style"/>
          <w:lang w:val="id-ID"/>
        </w:rPr>
        <w:t>Undang-Undang</w:t>
      </w:r>
      <w:r w:rsidR="00A954D0" w:rsidRPr="008379CA">
        <w:rPr>
          <w:rFonts w:ascii="Bookman Old Style" w:hAnsi="Bookman Old Style"/>
          <w:lang w:val="id-ID"/>
        </w:rPr>
        <w:t xml:space="preserve"> </w:t>
      </w:r>
      <w:r w:rsidRPr="008379CA">
        <w:rPr>
          <w:rFonts w:ascii="Bookman Old Style" w:hAnsi="Bookman Old Style"/>
          <w:lang w:val="id-ID"/>
        </w:rPr>
        <w:t>Nomor</w:t>
      </w:r>
      <w:r w:rsidR="00A954D0" w:rsidRPr="008379CA">
        <w:rPr>
          <w:rFonts w:ascii="Bookman Old Style" w:hAnsi="Bookman Old Style"/>
          <w:lang w:val="id-ID"/>
        </w:rPr>
        <w:t xml:space="preserve"> </w:t>
      </w:r>
      <w:r w:rsidRPr="008379CA">
        <w:rPr>
          <w:rFonts w:ascii="Bookman Old Style" w:hAnsi="Bookman Old Style"/>
          <w:lang w:val="id-ID"/>
        </w:rPr>
        <w:t>23</w:t>
      </w:r>
      <w:r w:rsidR="00A954D0" w:rsidRPr="008379CA">
        <w:rPr>
          <w:rFonts w:ascii="Bookman Old Style" w:hAnsi="Bookman Old Style"/>
          <w:lang w:val="id-ID"/>
        </w:rPr>
        <w:t xml:space="preserve"> </w:t>
      </w:r>
      <w:r w:rsidRPr="008379CA">
        <w:rPr>
          <w:rFonts w:ascii="Bookman Old Style" w:hAnsi="Bookman Old Style"/>
          <w:lang w:val="id-ID"/>
        </w:rPr>
        <w:t>Tahun</w:t>
      </w:r>
      <w:r w:rsidR="00A954D0" w:rsidRPr="008379CA">
        <w:rPr>
          <w:rFonts w:ascii="Bookman Old Style" w:hAnsi="Bookman Old Style"/>
          <w:lang w:val="id-ID"/>
        </w:rPr>
        <w:t xml:space="preserve"> </w:t>
      </w:r>
      <w:r w:rsidRPr="008379CA">
        <w:rPr>
          <w:rFonts w:ascii="Bookman Old Style" w:hAnsi="Bookman Old Style"/>
          <w:lang w:val="id-ID"/>
        </w:rPr>
        <w:t>2014</w:t>
      </w:r>
      <w:r w:rsidR="00A954D0" w:rsidRPr="008379CA">
        <w:rPr>
          <w:rFonts w:ascii="Bookman Old Style" w:hAnsi="Bookman Old Style"/>
          <w:lang w:val="id-ID"/>
        </w:rPr>
        <w:t xml:space="preserve"> </w:t>
      </w:r>
      <w:r w:rsidRPr="008379CA">
        <w:rPr>
          <w:rFonts w:ascii="Bookman Old Style" w:hAnsi="Bookman Old Style"/>
          <w:lang w:val="id-ID"/>
        </w:rPr>
        <w:t>sebagaimana</w:t>
      </w:r>
      <w:r w:rsidR="00A954D0" w:rsidRPr="008379CA">
        <w:rPr>
          <w:rFonts w:ascii="Bookman Old Style" w:hAnsi="Bookman Old Style"/>
          <w:lang w:val="id-ID"/>
        </w:rPr>
        <w:t xml:space="preserve"> </w:t>
      </w:r>
      <w:r w:rsidRPr="008379CA">
        <w:rPr>
          <w:rFonts w:ascii="Bookman Old Style" w:hAnsi="Bookman Old Style"/>
          <w:lang w:val="id-ID"/>
        </w:rPr>
        <w:t>telah</w:t>
      </w:r>
      <w:r w:rsidR="00A954D0" w:rsidRPr="008379CA">
        <w:rPr>
          <w:rFonts w:ascii="Bookman Old Style" w:hAnsi="Bookman Old Style"/>
          <w:lang w:val="id-ID"/>
        </w:rPr>
        <w:t xml:space="preserve"> </w:t>
      </w:r>
      <w:r w:rsidRPr="008379CA">
        <w:rPr>
          <w:rFonts w:ascii="Bookman Old Style" w:hAnsi="Bookman Old Style"/>
          <w:lang w:val="id-ID"/>
        </w:rPr>
        <w:t>diubah</w:t>
      </w:r>
      <w:r w:rsidR="00A954D0" w:rsidRPr="008379CA">
        <w:rPr>
          <w:rFonts w:ascii="Bookman Old Style" w:hAnsi="Bookman Old Style"/>
          <w:lang w:val="id-ID"/>
        </w:rPr>
        <w:t xml:space="preserve"> </w:t>
      </w:r>
      <w:r w:rsidRPr="008379CA">
        <w:rPr>
          <w:rFonts w:ascii="Bookman Old Style" w:hAnsi="Bookman Old Style"/>
          <w:lang w:val="id-ID"/>
        </w:rPr>
        <w:t>beberapa</w:t>
      </w:r>
      <w:r w:rsidR="00A954D0" w:rsidRPr="008379CA">
        <w:rPr>
          <w:rFonts w:ascii="Bookman Old Style" w:hAnsi="Bookman Old Style"/>
          <w:lang w:val="id-ID"/>
        </w:rPr>
        <w:t xml:space="preserve"> </w:t>
      </w:r>
      <w:r w:rsidRPr="008379CA">
        <w:rPr>
          <w:rFonts w:ascii="Bookman Old Style" w:hAnsi="Bookman Old Style"/>
          <w:lang w:val="id-ID"/>
        </w:rPr>
        <w:t>kali</w:t>
      </w:r>
      <w:r w:rsidR="00A954D0" w:rsidRPr="008379CA">
        <w:rPr>
          <w:rFonts w:ascii="Bookman Old Style" w:hAnsi="Bookman Old Style"/>
          <w:lang w:val="id-ID"/>
        </w:rPr>
        <w:t xml:space="preserve"> </w:t>
      </w:r>
      <w:r w:rsidRPr="008379CA">
        <w:rPr>
          <w:rFonts w:ascii="Bookman Old Style" w:hAnsi="Bookman Old Style"/>
          <w:lang w:val="id-ID"/>
        </w:rPr>
        <w:t>terakhir</w:t>
      </w:r>
      <w:r w:rsidR="00A954D0" w:rsidRPr="008379CA">
        <w:rPr>
          <w:rFonts w:ascii="Bookman Old Style" w:hAnsi="Bookman Old Style"/>
          <w:lang w:val="id-ID"/>
        </w:rPr>
        <w:t xml:space="preserve"> </w:t>
      </w:r>
      <w:r w:rsidRPr="008379CA">
        <w:rPr>
          <w:rFonts w:ascii="Bookman Old Style" w:hAnsi="Bookman Old Style"/>
          <w:lang w:val="id-ID"/>
        </w:rPr>
        <w:t>dengan</w:t>
      </w:r>
      <w:r w:rsidR="00A954D0" w:rsidRPr="008379CA">
        <w:rPr>
          <w:rFonts w:ascii="Bookman Old Style" w:hAnsi="Bookman Old Style"/>
          <w:lang w:val="id-ID"/>
        </w:rPr>
        <w:t xml:space="preserve"> </w:t>
      </w:r>
      <w:r w:rsidRPr="008379CA">
        <w:rPr>
          <w:rFonts w:ascii="Bookman Old Style" w:hAnsi="Bookman Old Style"/>
          <w:lang w:val="id-ID"/>
        </w:rPr>
        <w:t>Undang-Undang</w:t>
      </w:r>
      <w:r w:rsidR="00A954D0" w:rsidRPr="008379CA">
        <w:rPr>
          <w:rFonts w:ascii="Bookman Old Style" w:hAnsi="Bookman Old Style"/>
          <w:lang w:val="id-ID"/>
        </w:rPr>
        <w:t xml:space="preserve"> </w:t>
      </w:r>
      <w:r w:rsidRPr="008379CA">
        <w:rPr>
          <w:rFonts w:ascii="Bookman Old Style" w:hAnsi="Bookman Old Style"/>
          <w:lang w:val="id-ID"/>
        </w:rPr>
        <w:t>Nomor</w:t>
      </w:r>
      <w:r w:rsidR="00A954D0" w:rsidRPr="008379CA">
        <w:rPr>
          <w:rFonts w:ascii="Bookman Old Style" w:hAnsi="Bookman Old Style"/>
          <w:lang w:val="id-ID"/>
        </w:rPr>
        <w:t xml:space="preserve"> </w:t>
      </w:r>
      <w:r w:rsidRPr="008379CA">
        <w:rPr>
          <w:rFonts w:ascii="Bookman Old Style" w:hAnsi="Bookman Old Style"/>
          <w:lang w:val="id-ID"/>
        </w:rPr>
        <w:t>6</w:t>
      </w:r>
      <w:r w:rsidR="00A954D0" w:rsidRPr="008379CA">
        <w:rPr>
          <w:rFonts w:ascii="Bookman Old Style" w:hAnsi="Bookman Old Style"/>
          <w:lang w:val="id-ID"/>
        </w:rPr>
        <w:t xml:space="preserve"> </w:t>
      </w:r>
      <w:r w:rsidRPr="008379CA">
        <w:rPr>
          <w:rFonts w:ascii="Bookman Old Style" w:hAnsi="Bookman Old Style"/>
          <w:lang w:val="id-ID"/>
        </w:rPr>
        <w:t>Tahun</w:t>
      </w:r>
      <w:r w:rsidR="00A954D0" w:rsidRPr="008379CA">
        <w:rPr>
          <w:rFonts w:ascii="Bookman Old Style" w:hAnsi="Bookman Old Style"/>
          <w:lang w:val="id-ID"/>
        </w:rPr>
        <w:t xml:space="preserve"> </w:t>
      </w:r>
      <w:r w:rsidRPr="008379CA">
        <w:rPr>
          <w:rFonts w:ascii="Bookman Old Style" w:hAnsi="Bookman Old Style"/>
          <w:lang w:val="id-ID"/>
        </w:rPr>
        <w:t>2023</w:t>
      </w:r>
      <w:r w:rsidR="00A954D0" w:rsidRPr="008379CA">
        <w:rPr>
          <w:rFonts w:ascii="Bookman Old Style" w:hAnsi="Bookman Old Style"/>
          <w:lang w:val="id-ID"/>
        </w:rPr>
        <w:t xml:space="preserve"> </w:t>
      </w:r>
      <w:r w:rsidRPr="008379CA">
        <w:rPr>
          <w:rFonts w:ascii="Bookman Old Style" w:hAnsi="Bookman Old Style"/>
          <w:lang w:val="id-ID"/>
        </w:rPr>
        <w:t>dan</w:t>
      </w:r>
      <w:r w:rsidR="00A954D0" w:rsidRPr="008379CA">
        <w:rPr>
          <w:rFonts w:ascii="Bookman Old Style" w:hAnsi="Bookman Old Style"/>
          <w:lang w:val="id-ID"/>
        </w:rPr>
        <w:t xml:space="preserve"> </w:t>
      </w:r>
      <w:r w:rsidRPr="008379CA">
        <w:rPr>
          <w:rFonts w:ascii="Bookman Old Style" w:hAnsi="Bookman Old Style"/>
          <w:lang w:val="id-ID"/>
        </w:rPr>
        <w:t>Pasal</w:t>
      </w:r>
      <w:r w:rsidR="00A954D0" w:rsidRPr="008379CA">
        <w:rPr>
          <w:rFonts w:ascii="Bookman Old Style" w:hAnsi="Bookman Old Style"/>
          <w:lang w:val="id-ID"/>
        </w:rPr>
        <w:t xml:space="preserve"> </w:t>
      </w:r>
      <w:r w:rsidRPr="008379CA">
        <w:rPr>
          <w:rFonts w:ascii="Bookman Old Style" w:hAnsi="Bookman Old Style"/>
          <w:lang w:val="id-ID"/>
        </w:rPr>
        <w:t>49</w:t>
      </w:r>
      <w:r w:rsidR="00A954D0" w:rsidRPr="008379CA">
        <w:rPr>
          <w:rFonts w:ascii="Bookman Old Style" w:hAnsi="Bookman Old Style"/>
          <w:lang w:val="id-ID"/>
        </w:rPr>
        <w:t xml:space="preserve"> </w:t>
      </w:r>
      <w:r w:rsidRPr="008379CA">
        <w:rPr>
          <w:rFonts w:ascii="Bookman Old Style" w:hAnsi="Bookman Old Style"/>
          <w:lang w:val="id-ID"/>
        </w:rPr>
        <w:t>Peraturan</w:t>
      </w:r>
      <w:r w:rsidR="00A954D0" w:rsidRPr="008379CA">
        <w:rPr>
          <w:rFonts w:ascii="Bookman Old Style" w:hAnsi="Bookman Old Style"/>
          <w:lang w:val="id-ID"/>
        </w:rPr>
        <w:t xml:space="preserve"> </w:t>
      </w:r>
      <w:r w:rsidRPr="008379CA">
        <w:rPr>
          <w:rFonts w:ascii="Bookman Old Style" w:hAnsi="Bookman Old Style"/>
          <w:lang w:val="id-ID"/>
        </w:rPr>
        <w:t>Pemerintah</w:t>
      </w:r>
      <w:r w:rsidR="00A954D0" w:rsidRPr="008379CA">
        <w:rPr>
          <w:rFonts w:ascii="Bookman Old Style" w:hAnsi="Bookman Old Style"/>
          <w:lang w:val="id-ID"/>
        </w:rPr>
        <w:t xml:space="preserve"> </w:t>
      </w:r>
      <w:r w:rsidRPr="008379CA">
        <w:rPr>
          <w:rFonts w:ascii="Bookman Old Style" w:hAnsi="Bookman Old Style"/>
          <w:lang w:val="id-ID"/>
        </w:rPr>
        <w:t>Nomor</w:t>
      </w:r>
      <w:r w:rsidR="00A954D0" w:rsidRPr="008379CA">
        <w:rPr>
          <w:rFonts w:ascii="Bookman Old Style" w:hAnsi="Bookman Old Style"/>
          <w:lang w:val="fi-FI"/>
        </w:rPr>
        <w:t xml:space="preserve"> </w:t>
      </w:r>
      <w:r w:rsidRPr="008379CA">
        <w:rPr>
          <w:rFonts w:ascii="Bookman Old Style" w:hAnsi="Bookman Old Style"/>
          <w:lang w:val="fi-FI"/>
        </w:rPr>
        <w:t>1</w:t>
      </w:r>
      <w:r w:rsidRPr="008379CA">
        <w:rPr>
          <w:rFonts w:ascii="Bookman Old Style" w:hAnsi="Bookman Old Style"/>
          <w:lang w:val="id-ID"/>
        </w:rPr>
        <w:t>2</w:t>
      </w:r>
      <w:r w:rsidR="00A954D0" w:rsidRPr="008379CA">
        <w:rPr>
          <w:rFonts w:ascii="Bookman Old Style" w:hAnsi="Bookman Old Style"/>
          <w:lang w:val="id-ID"/>
        </w:rPr>
        <w:t xml:space="preserve"> </w:t>
      </w:r>
      <w:r w:rsidRPr="008379CA">
        <w:rPr>
          <w:rFonts w:ascii="Bookman Old Style" w:hAnsi="Bookman Old Style"/>
          <w:lang w:val="id-ID"/>
        </w:rPr>
        <w:t>Tahun</w:t>
      </w:r>
      <w:r w:rsidR="00A954D0" w:rsidRPr="008379CA">
        <w:rPr>
          <w:rFonts w:ascii="Bookman Old Style" w:hAnsi="Bookman Old Style"/>
          <w:lang w:val="id-ID"/>
        </w:rPr>
        <w:t xml:space="preserve"> </w:t>
      </w:r>
      <w:r w:rsidRPr="008379CA">
        <w:rPr>
          <w:rFonts w:ascii="Bookman Old Style" w:hAnsi="Bookman Old Style"/>
          <w:lang w:val="id-ID"/>
        </w:rPr>
        <w:t>2019.</w:t>
      </w:r>
    </w:p>
    <w:p w14:paraId="644A8104" w14:textId="250A8255" w:rsidR="00B10CC0" w:rsidRPr="008379CA" w:rsidRDefault="00A465E0" w:rsidP="00CC433B">
      <w:pPr>
        <w:spacing w:before="60" w:line="276" w:lineRule="auto"/>
        <w:ind w:left="993"/>
        <w:jc w:val="both"/>
        <w:rPr>
          <w:rFonts w:ascii="Bookman Old Style" w:hAnsi="Bookman Old Style"/>
          <w:lang w:val="id-ID"/>
        </w:rPr>
      </w:pPr>
      <w:r w:rsidRPr="008379CA">
        <w:rPr>
          <w:rFonts w:ascii="Bookman Old Style" w:hAnsi="Bookman Old Style"/>
          <w:lang w:val="id-ID"/>
        </w:rPr>
        <w:t>Dalam</w:t>
      </w:r>
      <w:r w:rsidR="00A954D0" w:rsidRPr="008379CA">
        <w:rPr>
          <w:rFonts w:ascii="Bookman Old Style" w:hAnsi="Bookman Old Style"/>
          <w:lang w:val="id-ID"/>
        </w:rPr>
        <w:t xml:space="preserve"> </w:t>
      </w:r>
      <w:r w:rsidRPr="008379CA">
        <w:rPr>
          <w:rFonts w:ascii="Bookman Old Style" w:hAnsi="Bookman Old Style"/>
          <w:lang w:val="id-ID"/>
        </w:rPr>
        <w:t>hal</w:t>
      </w:r>
      <w:r w:rsidR="00A954D0" w:rsidRPr="008379CA">
        <w:rPr>
          <w:rFonts w:ascii="Bookman Old Style" w:hAnsi="Bookman Old Style"/>
          <w:lang w:val="id-ID"/>
        </w:rPr>
        <w:t xml:space="preserve"> </w:t>
      </w:r>
      <w:r w:rsidRPr="008379CA">
        <w:rPr>
          <w:rFonts w:ascii="Bookman Old Style" w:hAnsi="Bookman Old Style"/>
          <w:lang w:val="id-ID"/>
        </w:rPr>
        <w:t>terdapat</w:t>
      </w:r>
      <w:r w:rsidR="00A954D0" w:rsidRPr="008379CA">
        <w:rPr>
          <w:rFonts w:ascii="Bookman Old Style" w:hAnsi="Bookman Old Style"/>
          <w:lang w:val="id-ID"/>
        </w:rPr>
        <w:t xml:space="preserve"> </w:t>
      </w:r>
      <w:r w:rsidRPr="008379CA">
        <w:rPr>
          <w:rFonts w:ascii="Bookman Old Style" w:hAnsi="Bookman Old Style"/>
          <w:lang w:val="id-ID"/>
        </w:rPr>
        <w:t>perubahan</w:t>
      </w:r>
      <w:r w:rsidR="00A954D0" w:rsidRPr="008379CA">
        <w:rPr>
          <w:rFonts w:ascii="Bookman Old Style" w:hAnsi="Bookman Old Style"/>
          <w:lang w:val="id-ID"/>
        </w:rPr>
        <w:t xml:space="preserve"> </w:t>
      </w:r>
      <w:r w:rsidRPr="008379CA">
        <w:rPr>
          <w:rFonts w:ascii="Bookman Old Style" w:hAnsi="Bookman Old Style"/>
          <w:lang w:val="id-ID"/>
        </w:rPr>
        <w:t>kebijakan</w:t>
      </w:r>
      <w:r w:rsidR="00A954D0" w:rsidRPr="008379CA">
        <w:rPr>
          <w:rFonts w:ascii="Bookman Old Style" w:hAnsi="Bookman Old Style"/>
          <w:lang w:val="id-ID"/>
        </w:rPr>
        <w:t xml:space="preserve"> </w:t>
      </w:r>
      <w:r w:rsidRPr="008379CA">
        <w:rPr>
          <w:rFonts w:ascii="Bookman Old Style" w:hAnsi="Bookman Old Style"/>
          <w:lang w:val="id-ID"/>
        </w:rPr>
        <w:t>terkait</w:t>
      </w:r>
      <w:r w:rsidR="00A954D0" w:rsidRPr="008379CA">
        <w:rPr>
          <w:rFonts w:ascii="Bookman Old Style" w:hAnsi="Bookman Old Style"/>
          <w:lang w:val="id-ID"/>
        </w:rPr>
        <w:t xml:space="preserve"> </w:t>
      </w:r>
      <w:r w:rsidRPr="008379CA">
        <w:rPr>
          <w:rFonts w:ascii="Bookman Old Style" w:hAnsi="Bookman Old Style"/>
          <w:lang w:val="id-ID"/>
        </w:rPr>
        <w:t>pemetaan</w:t>
      </w:r>
      <w:r w:rsidR="00A954D0" w:rsidRPr="008379CA">
        <w:rPr>
          <w:rFonts w:ascii="Bookman Old Style" w:hAnsi="Bookman Old Style"/>
          <w:lang w:val="id-ID"/>
        </w:rPr>
        <w:t xml:space="preserve"> </w:t>
      </w:r>
      <w:r w:rsidRPr="008379CA">
        <w:rPr>
          <w:rFonts w:ascii="Bookman Old Style" w:hAnsi="Bookman Old Style"/>
          <w:lang w:val="id-ID"/>
        </w:rPr>
        <w:t>penganggaran</w:t>
      </w:r>
      <w:r w:rsidR="00A954D0" w:rsidRPr="008379CA">
        <w:rPr>
          <w:rFonts w:ascii="Bookman Old Style" w:hAnsi="Bookman Old Style"/>
          <w:lang w:val="id-ID"/>
        </w:rPr>
        <w:t xml:space="preserve"> </w:t>
      </w:r>
      <w:r w:rsidRPr="008379CA">
        <w:rPr>
          <w:rFonts w:ascii="Bookman Old Style" w:hAnsi="Bookman Old Style"/>
          <w:lang w:val="id-ID"/>
        </w:rPr>
        <w:t>untuk</w:t>
      </w:r>
      <w:r w:rsidR="00A954D0" w:rsidRPr="008379CA">
        <w:rPr>
          <w:rFonts w:ascii="Bookman Old Style" w:hAnsi="Bookman Old Style"/>
          <w:lang w:val="id-ID"/>
        </w:rPr>
        <w:t xml:space="preserve"> </w:t>
      </w:r>
      <w:r w:rsidRPr="008379CA">
        <w:rPr>
          <w:rFonts w:ascii="Bookman Old Style" w:hAnsi="Bookman Old Style"/>
          <w:lang w:val="id-ID"/>
        </w:rPr>
        <w:t>pemenuhan</w:t>
      </w:r>
      <w:r w:rsidR="00A954D0" w:rsidRPr="008379CA">
        <w:rPr>
          <w:rFonts w:ascii="Bookman Old Style" w:hAnsi="Bookman Old Style"/>
          <w:lang w:val="id-ID"/>
        </w:rPr>
        <w:t xml:space="preserve"> </w:t>
      </w:r>
      <w:r w:rsidRPr="008379CA">
        <w:rPr>
          <w:rFonts w:ascii="Bookman Old Style" w:hAnsi="Bookman Old Style"/>
          <w:lang w:val="id-ID"/>
        </w:rPr>
        <w:t>belanja</w:t>
      </w:r>
      <w:r w:rsidR="00A954D0" w:rsidRPr="008379CA">
        <w:rPr>
          <w:rFonts w:ascii="Bookman Old Style" w:hAnsi="Bookman Old Style"/>
          <w:lang w:val="id-ID"/>
        </w:rPr>
        <w:t xml:space="preserve"> </w:t>
      </w:r>
      <w:r w:rsidRPr="008379CA">
        <w:rPr>
          <w:rFonts w:ascii="Bookman Old Style" w:hAnsi="Bookman Old Style"/>
          <w:lang w:val="id-ID"/>
        </w:rPr>
        <w:t>SPM,</w:t>
      </w:r>
      <w:r w:rsidR="00A954D0" w:rsidRPr="008379CA">
        <w:rPr>
          <w:rFonts w:ascii="Bookman Old Style" w:hAnsi="Bookman Old Style"/>
          <w:lang w:val="id-ID"/>
        </w:rPr>
        <w:t xml:space="preserve"> </w:t>
      </w:r>
      <w:r w:rsidRPr="008379CA">
        <w:rPr>
          <w:rFonts w:ascii="Bookman Old Style" w:hAnsi="Bookman Old Style"/>
          <w:lang w:val="id-ID"/>
        </w:rPr>
        <w:t>Pemerintah</w:t>
      </w:r>
      <w:r w:rsidR="00A954D0" w:rsidRPr="008379CA">
        <w:rPr>
          <w:rFonts w:ascii="Bookman Old Style" w:hAnsi="Bookman Old Style"/>
          <w:lang w:val="id-ID"/>
        </w:rPr>
        <w:t xml:space="preserve"> </w:t>
      </w:r>
      <w:r w:rsidRPr="008379CA">
        <w:rPr>
          <w:rFonts w:ascii="Bookman Old Style" w:hAnsi="Bookman Old Style"/>
          <w:lang w:val="id-ID"/>
        </w:rPr>
        <w:t>Daerah</w:t>
      </w:r>
      <w:r w:rsidR="00A954D0" w:rsidRPr="008379CA">
        <w:rPr>
          <w:rFonts w:ascii="Bookman Old Style" w:hAnsi="Bookman Old Style"/>
          <w:lang w:val="id-ID"/>
        </w:rPr>
        <w:t xml:space="preserve"> </w:t>
      </w:r>
      <w:r w:rsidRPr="008379CA">
        <w:rPr>
          <w:rFonts w:ascii="Bookman Old Style" w:hAnsi="Bookman Old Style"/>
          <w:lang w:val="id-ID"/>
        </w:rPr>
        <w:t>Kota</w:t>
      </w:r>
      <w:r w:rsidR="00A954D0" w:rsidRPr="008379CA">
        <w:rPr>
          <w:rFonts w:ascii="Bookman Old Style" w:hAnsi="Bookman Old Style"/>
          <w:lang w:val="id-ID"/>
        </w:rPr>
        <w:t xml:space="preserve"> </w:t>
      </w:r>
      <w:r w:rsidR="00770F22" w:rsidRPr="008379CA">
        <w:rPr>
          <w:rFonts w:ascii="Bookman Old Style" w:hAnsi="Bookman Old Style"/>
          <w:lang w:val="id-ID"/>
        </w:rPr>
        <w:t>Tangerang</w:t>
      </w:r>
      <w:r w:rsidR="00A954D0" w:rsidRPr="008379CA">
        <w:rPr>
          <w:rFonts w:ascii="Bookman Old Style" w:hAnsi="Bookman Old Style"/>
          <w:lang w:val="id-ID"/>
        </w:rPr>
        <w:t xml:space="preserve"> </w:t>
      </w:r>
      <w:r w:rsidRPr="008379CA">
        <w:rPr>
          <w:rFonts w:ascii="Bookman Old Style" w:hAnsi="Bookman Old Style"/>
          <w:lang w:val="id-ID"/>
        </w:rPr>
        <w:t>harus</w:t>
      </w:r>
      <w:r w:rsidR="00A954D0" w:rsidRPr="008379CA">
        <w:rPr>
          <w:rFonts w:ascii="Bookman Old Style" w:hAnsi="Bookman Old Style"/>
          <w:lang w:val="id-ID"/>
        </w:rPr>
        <w:t xml:space="preserve"> </w:t>
      </w:r>
      <w:r w:rsidRPr="008379CA">
        <w:rPr>
          <w:rFonts w:ascii="Bookman Old Style" w:hAnsi="Bookman Old Style"/>
          <w:lang w:val="id-ID"/>
        </w:rPr>
        <w:t>melakukan</w:t>
      </w:r>
      <w:r w:rsidR="00A954D0" w:rsidRPr="008379CA">
        <w:rPr>
          <w:rFonts w:ascii="Bookman Old Style" w:hAnsi="Bookman Old Style"/>
          <w:lang w:val="id-ID"/>
        </w:rPr>
        <w:t xml:space="preserve"> </w:t>
      </w:r>
      <w:r w:rsidRPr="008379CA">
        <w:rPr>
          <w:rFonts w:ascii="Bookman Old Style" w:hAnsi="Bookman Old Style"/>
          <w:lang w:val="id-ID"/>
        </w:rPr>
        <w:t>penyesuaian</w:t>
      </w:r>
      <w:r w:rsidR="00A954D0" w:rsidRPr="008379CA">
        <w:rPr>
          <w:rFonts w:ascii="Bookman Old Style" w:hAnsi="Bookman Old Style"/>
          <w:lang w:val="id-ID"/>
        </w:rPr>
        <w:t xml:space="preserve"> </w:t>
      </w:r>
      <w:r w:rsidRPr="008379CA">
        <w:rPr>
          <w:rFonts w:ascii="Bookman Old Style" w:hAnsi="Bookman Old Style"/>
          <w:lang w:val="id-ID"/>
        </w:rPr>
        <w:t>terhadap</w:t>
      </w:r>
      <w:r w:rsidR="00A954D0" w:rsidRPr="008379CA">
        <w:rPr>
          <w:rFonts w:ascii="Bookman Old Style" w:hAnsi="Bookman Old Style"/>
          <w:lang w:val="id-ID"/>
        </w:rPr>
        <w:t xml:space="preserve"> </w:t>
      </w:r>
      <w:r w:rsidRPr="008379CA">
        <w:rPr>
          <w:rFonts w:ascii="Bookman Old Style" w:hAnsi="Bookman Old Style"/>
          <w:lang w:val="id-ID"/>
        </w:rPr>
        <w:t>alokasi</w:t>
      </w:r>
      <w:r w:rsidR="00A954D0" w:rsidRPr="008379CA">
        <w:rPr>
          <w:rFonts w:ascii="Bookman Old Style" w:hAnsi="Bookman Old Style"/>
          <w:lang w:val="id-ID"/>
        </w:rPr>
        <w:t xml:space="preserve"> </w:t>
      </w:r>
      <w:r w:rsidRPr="008379CA">
        <w:rPr>
          <w:rFonts w:ascii="Bookman Old Style" w:hAnsi="Bookman Old Style"/>
          <w:lang w:val="id-ID"/>
        </w:rPr>
        <w:t>anggaran</w:t>
      </w:r>
      <w:r w:rsidR="00A954D0" w:rsidRPr="008379CA">
        <w:rPr>
          <w:rFonts w:ascii="Bookman Old Style" w:hAnsi="Bookman Old Style"/>
          <w:lang w:val="id-ID"/>
        </w:rPr>
        <w:t xml:space="preserve"> </w:t>
      </w:r>
      <w:r w:rsidRPr="008379CA">
        <w:rPr>
          <w:rFonts w:ascii="Bookman Old Style" w:hAnsi="Bookman Old Style"/>
          <w:lang w:val="id-ID"/>
        </w:rPr>
        <w:t>belanja</w:t>
      </w:r>
      <w:r w:rsidR="00A954D0" w:rsidRPr="008379CA">
        <w:rPr>
          <w:rFonts w:ascii="Bookman Old Style" w:hAnsi="Bookman Old Style"/>
          <w:lang w:val="id-ID"/>
        </w:rPr>
        <w:t xml:space="preserve"> </w:t>
      </w:r>
      <w:r w:rsidRPr="008379CA">
        <w:rPr>
          <w:rFonts w:ascii="Bookman Old Style" w:hAnsi="Bookman Old Style"/>
          <w:lang w:val="id-ID"/>
        </w:rPr>
        <w:t>SPM</w:t>
      </w:r>
      <w:r w:rsidR="00A954D0" w:rsidRPr="008379CA">
        <w:rPr>
          <w:rFonts w:ascii="Bookman Old Style" w:hAnsi="Bookman Old Style"/>
          <w:lang w:val="id-ID"/>
        </w:rPr>
        <w:t xml:space="preserve"> </w:t>
      </w:r>
      <w:r w:rsidRPr="008379CA">
        <w:rPr>
          <w:rFonts w:ascii="Bookman Old Style" w:hAnsi="Bookman Old Style"/>
          <w:lang w:val="id-ID"/>
        </w:rPr>
        <w:t>dimaksud</w:t>
      </w:r>
      <w:r w:rsidR="00A954D0" w:rsidRPr="008379CA">
        <w:rPr>
          <w:rFonts w:ascii="Bookman Old Style" w:hAnsi="Bookman Old Style"/>
          <w:lang w:val="id-ID"/>
        </w:rPr>
        <w:t xml:space="preserve"> </w:t>
      </w:r>
      <w:r w:rsidRPr="008379CA">
        <w:rPr>
          <w:rFonts w:ascii="Bookman Old Style" w:hAnsi="Bookman Old Style"/>
          <w:lang w:val="id-ID"/>
        </w:rPr>
        <w:t>dengan</w:t>
      </w:r>
      <w:r w:rsidR="00A954D0" w:rsidRPr="008379CA">
        <w:rPr>
          <w:rFonts w:ascii="Bookman Old Style" w:hAnsi="Bookman Old Style"/>
          <w:lang w:val="id-ID"/>
        </w:rPr>
        <w:t xml:space="preserve"> </w:t>
      </w:r>
      <w:r w:rsidRPr="008379CA">
        <w:rPr>
          <w:rFonts w:ascii="Bookman Old Style" w:hAnsi="Bookman Old Style"/>
          <w:lang w:val="id-ID"/>
        </w:rPr>
        <w:t>berpedoman</w:t>
      </w:r>
      <w:r w:rsidR="00A954D0" w:rsidRPr="008379CA">
        <w:rPr>
          <w:rFonts w:ascii="Bookman Old Style" w:hAnsi="Bookman Old Style"/>
          <w:lang w:val="id-ID"/>
        </w:rPr>
        <w:t xml:space="preserve"> </w:t>
      </w:r>
      <w:r w:rsidRPr="008379CA">
        <w:rPr>
          <w:rFonts w:ascii="Bookman Old Style" w:hAnsi="Bookman Old Style"/>
          <w:lang w:val="id-ID"/>
        </w:rPr>
        <w:t>pada</w:t>
      </w:r>
      <w:r w:rsidR="00A954D0" w:rsidRPr="008379CA">
        <w:rPr>
          <w:rFonts w:ascii="Bookman Old Style" w:hAnsi="Bookman Old Style"/>
          <w:lang w:val="id-ID"/>
        </w:rPr>
        <w:t xml:space="preserve"> </w:t>
      </w:r>
      <w:r w:rsidRPr="008379CA">
        <w:rPr>
          <w:rFonts w:ascii="Bookman Old Style" w:hAnsi="Bookman Old Style"/>
          <w:lang w:val="id-ID"/>
        </w:rPr>
        <w:t>Peraturan</w:t>
      </w:r>
      <w:r w:rsidR="00A954D0" w:rsidRPr="008379CA">
        <w:rPr>
          <w:rFonts w:ascii="Bookman Old Style" w:hAnsi="Bookman Old Style"/>
          <w:lang w:val="id-ID"/>
        </w:rPr>
        <w:t xml:space="preserve"> </w:t>
      </w:r>
      <w:r w:rsidRPr="008379CA">
        <w:rPr>
          <w:rFonts w:ascii="Bookman Old Style" w:hAnsi="Bookman Old Style"/>
          <w:lang w:val="id-ID"/>
        </w:rPr>
        <w:t>Menteri</w:t>
      </w:r>
      <w:r w:rsidR="00A954D0" w:rsidRPr="008379CA">
        <w:rPr>
          <w:rFonts w:ascii="Bookman Old Style" w:hAnsi="Bookman Old Style"/>
          <w:lang w:val="id-ID"/>
        </w:rPr>
        <w:t xml:space="preserve"> </w:t>
      </w:r>
      <w:r w:rsidRPr="008379CA">
        <w:rPr>
          <w:rFonts w:ascii="Bookman Old Style" w:hAnsi="Bookman Old Style"/>
          <w:lang w:val="id-ID"/>
        </w:rPr>
        <w:t>Dalam</w:t>
      </w:r>
      <w:r w:rsidR="00A954D0" w:rsidRPr="008379CA">
        <w:rPr>
          <w:rFonts w:ascii="Bookman Old Style" w:hAnsi="Bookman Old Style"/>
          <w:lang w:val="id-ID"/>
        </w:rPr>
        <w:t xml:space="preserve"> </w:t>
      </w:r>
      <w:r w:rsidRPr="008379CA">
        <w:rPr>
          <w:rFonts w:ascii="Bookman Old Style" w:hAnsi="Bookman Old Style"/>
          <w:lang w:val="id-ID"/>
        </w:rPr>
        <w:t>Negeri</w:t>
      </w:r>
      <w:r w:rsidR="00A954D0" w:rsidRPr="008379CA">
        <w:rPr>
          <w:rFonts w:ascii="Bookman Old Style" w:hAnsi="Bookman Old Style"/>
          <w:lang w:val="id-ID"/>
        </w:rPr>
        <w:t xml:space="preserve"> </w:t>
      </w:r>
      <w:r w:rsidRPr="008379CA">
        <w:rPr>
          <w:rFonts w:ascii="Bookman Old Style" w:hAnsi="Bookman Old Style"/>
          <w:lang w:val="id-ID"/>
        </w:rPr>
        <w:t>Nomor</w:t>
      </w:r>
      <w:r w:rsidR="00A954D0" w:rsidRPr="008379CA">
        <w:rPr>
          <w:rFonts w:ascii="Bookman Old Style" w:hAnsi="Bookman Old Style"/>
          <w:lang w:val="id-ID"/>
        </w:rPr>
        <w:t xml:space="preserve"> </w:t>
      </w:r>
      <w:r w:rsidRPr="008379CA">
        <w:rPr>
          <w:rFonts w:ascii="Bookman Old Style" w:hAnsi="Bookman Old Style"/>
          <w:lang w:val="id-ID"/>
        </w:rPr>
        <w:t>90</w:t>
      </w:r>
      <w:r w:rsidR="00A954D0" w:rsidRPr="008379CA">
        <w:rPr>
          <w:rFonts w:ascii="Bookman Old Style" w:hAnsi="Bookman Old Style"/>
          <w:lang w:val="id-ID"/>
        </w:rPr>
        <w:t xml:space="preserve"> </w:t>
      </w:r>
      <w:r w:rsidRPr="008379CA">
        <w:rPr>
          <w:rFonts w:ascii="Bookman Old Style" w:hAnsi="Bookman Old Style"/>
          <w:lang w:val="id-ID"/>
        </w:rPr>
        <w:t>Tahun</w:t>
      </w:r>
      <w:r w:rsidR="00A954D0" w:rsidRPr="008379CA">
        <w:rPr>
          <w:rFonts w:ascii="Bookman Old Style" w:hAnsi="Bookman Old Style"/>
          <w:lang w:val="id-ID"/>
        </w:rPr>
        <w:t xml:space="preserve"> </w:t>
      </w:r>
      <w:r w:rsidRPr="008379CA">
        <w:rPr>
          <w:rFonts w:ascii="Bookman Old Style" w:hAnsi="Bookman Old Style"/>
          <w:lang w:val="id-ID"/>
        </w:rPr>
        <w:t>2019,</w:t>
      </w:r>
      <w:r w:rsidR="00A954D0" w:rsidRPr="008379CA">
        <w:rPr>
          <w:rFonts w:ascii="Bookman Old Style" w:hAnsi="Bookman Old Style"/>
          <w:lang w:val="id-ID"/>
        </w:rPr>
        <w:t xml:space="preserve"> </w:t>
      </w:r>
      <w:r w:rsidRPr="008379CA">
        <w:rPr>
          <w:rFonts w:ascii="Bookman Old Style" w:hAnsi="Bookman Old Style"/>
          <w:lang w:val="id-ID"/>
        </w:rPr>
        <w:t>dan</w:t>
      </w:r>
      <w:r w:rsidR="00A954D0" w:rsidRPr="008379CA">
        <w:rPr>
          <w:rFonts w:ascii="Bookman Old Style" w:hAnsi="Bookman Old Style"/>
          <w:lang w:val="id-ID"/>
        </w:rPr>
        <w:t xml:space="preserve"> </w:t>
      </w:r>
      <w:r w:rsidRPr="008379CA">
        <w:rPr>
          <w:rFonts w:ascii="Bookman Old Style" w:hAnsi="Bookman Old Style"/>
          <w:lang w:val="id-ID"/>
        </w:rPr>
        <w:t>Keputusan</w:t>
      </w:r>
      <w:r w:rsidR="00A954D0" w:rsidRPr="008379CA">
        <w:rPr>
          <w:rFonts w:ascii="Bookman Old Style" w:hAnsi="Bookman Old Style"/>
          <w:lang w:val="id-ID"/>
        </w:rPr>
        <w:t xml:space="preserve"> </w:t>
      </w:r>
      <w:r w:rsidRPr="008379CA">
        <w:rPr>
          <w:rFonts w:ascii="Bookman Old Style" w:hAnsi="Bookman Old Style"/>
          <w:lang w:val="id-ID"/>
        </w:rPr>
        <w:t>Menteri</w:t>
      </w:r>
      <w:r w:rsidR="00A954D0" w:rsidRPr="008379CA">
        <w:rPr>
          <w:rFonts w:ascii="Bookman Old Style" w:hAnsi="Bookman Old Style"/>
          <w:lang w:val="id-ID"/>
        </w:rPr>
        <w:t xml:space="preserve"> </w:t>
      </w:r>
      <w:r w:rsidRPr="008379CA">
        <w:rPr>
          <w:rFonts w:ascii="Bookman Old Style" w:hAnsi="Bookman Old Style"/>
          <w:lang w:val="id-ID"/>
        </w:rPr>
        <w:t>Dalam</w:t>
      </w:r>
      <w:r w:rsidR="00A954D0" w:rsidRPr="008379CA">
        <w:rPr>
          <w:rFonts w:ascii="Bookman Old Style" w:hAnsi="Bookman Old Style"/>
          <w:lang w:val="id-ID"/>
        </w:rPr>
        <w:t xml:space="preserve"> </w:t>
      </w:r>
      <w:r w:rsidRPr="008379CA">
        <w:rPr>
          <w:rFonts w:ascii="Bookman Old Style" w:hAnsi="Bookman Old Style"/>
          <w:lang w:val="id-ID"/>
        </w:rPr>
        <w:t>Negeri</w:t>
      </w:r>
      <w:r w:rsidR="00A954D0" w:rsidRPr="008379CA">
        <w:rPr>
          <w:rFonts w:ascii="Bookman Old Style" w:hAnsi="Bookman Old Style"/>
          <w:lang w:val="id-ID"/>
        </w:rPr>
        <w:t xml:space="preserve"> </w:t>
      </w:r>
      <w:r w:rsidRPr="008379CA">
        <w:rPr>
          <w:rFonts w:ascii="Bookman Old Style" w:hAnsi="Bookman Old Style"/>
          <w:lang w:val="id-ID"/>
        </w:rPr>
        <w:t>Nomor</w:t>
      </w:r>
      <w:r w:rsidR="00A954D0" w:rsidRPr="008379CA">
        <w:rPr>
          <w:rFonts w:ascii="Bookman Old Style" w:hAnsi="Bookman Old Style"/>
          <w:lang w:val="id-ID"/>
        </w:rPr>
        <w:t xml:space="preserve"> </w:t>
      </w:r>
      <w:r w:rsidRPr="008379CA">
        <w:rPr>
          <w:rFonts w:ascii="Bookman Old Style" w:hAnsi="Bookman Old Style"/>
          <w:lang w:val="id-ID"/>
        </w:rPr>
        <w:t>050-5889</w:t>
      </w:r>
      <w:r w:rsidR="00A954D0" w:rsidRPr="008379CA">
        <w:rPr>
          <w:rFonts w:ascii="Bookman Old Style" w:hAnsi="Bookman Old Style"/>
          <w:lang w:val="id-ID"/>
        </w:rPr>
        <w:t xml:space="preserve"> </w:t>
      </w:r>
      <w:r w:rsidRPr="008379CA">
        <w:rPr>
          <w:rFonts w:ascii="Bookman Old Style" w:hAnsi="Bookman Old Style"/>
          <w:lang w:val="id-ID"/>
        </w:rPr>
        <w:t>Tahun</w:t>
      </w:r>
      <w:r w:rsidR="00A954D0" w:rsidRPr="008379CA">
        <w:rPr>
          <w:rFonts w:ascii="Bookman Old Style" w:hAnsi="Bookman Old Style"/>
          <w:lang w:val="id-ID"/>
        </w:rPr>
        <w:t xml:space="preserve"> </w:t>
      </w:r>
      <w:r w:rsidRPr="008379CA">
        <w:rPr>
          <w:rFonts w:ascii="Bookman Old Style" w:hAnsi="Bookman Old Style"/>
          <w:lang w:val="id-ID"/>
        </w:rPr>
        <w:t>2021</w:t>
      </w:r>
      <w:r w:rsidR="00A954D0" w:rsidRPr="008379CA">
        <w:rPr>
          <w:rFonts w:ascii="Bookman Old Style" w:hAnsi="Bookman Old Style"/>
          <w:lang w:val="id-ID"/>
        </w:rPr>
        <w:t xml:space="preserve"> </w:t>
      </w:r>
      <w:r w:rsidRPr="008379CA">
        <w:rPr>
          <w:rFonts w:ascii="Bookman Old Style" w:hAnsi="Bookman Old Style"/>
          <w:lang w:val="id-ID"/>
        </w:rPr>
        <w:t>sebagaimana</w:t>
      </w:r>
      <w:r w:rsidR="00A954D0" w:rsidRPr="008379CA">
        <w:rPr>
          <w:rFonts w:ascii="Bookman Old Style" w:hAnsi="Bookman Old Style"/>
          <w:lang w:val="id-ID"/>
        </w:rPr>
        <w:t xml:space="preserve"> </w:t>
      </w:r>
      <w:r w:rsidRPr="008379CA">
        <w:rPr>
          <w:rFonts w:ascii="Bookman Old Style" w:hAnsi="Bookman Old Style"/>
          <w:lang w:val="id-ID"/>
        </w:rPr>
        <w:t>telah</w:t>
      </w:r>
      <w:r w:rsidR="00A954D0" w:rsidRPr="008379CA">
        <w:rPr>
          <w:rFonts w:ascii="Bookman Old Style" w:hAnsi="Bookman Old Style"/>
          <w:lang w:val="id-ID"/>
        </w:rPr>
        <w:t xml:space="preserve"> </w:t>
      </w:r>
      <w:r w:rsidRPr="008379CA">
        <w:rPr>
          <w:rFonts w:ascii="Bookman Old Style" w:hAnsi="Bookman Old Style"/>
          <w:lang w:val="id-ID"/>
        </w:rPr>
        <w:t>diubah</w:t>
      </w:r>
      <w:r w:rsidR="00A954D0" w:rsidRPr="008379CA">
        <w:rPr>
          <w:rFonts w:ascii="Bookman Old Style" w:hAnsi="Bookman Old Style"/>
          <w:lang w:val="id-ID"/>
        </w:rPr>
        <w:t xml:space="preserve"> </w:t>
      </w:r>
      <w:r w:rsidRPr="008379CA">
        <w:rPr>
          <w:rFonts w:ascii="Bookman Old Style" w:hAnsi="Bookman Old Style"/>
          <w:lang w:val="id-ID"/>
        </w:rPr>
        <w:t>beberapa</w:t>
      </w:r>
      <w:r w:rsidR="00A954D0" w:rsidRPr="008379CA">
        <w:rPr>
          <w:rFonts w:ascii="Bookman Old Style" w:hAnsi="Bookman Old Style"/>
          <w:lang w:val="id-ID"/>
        </w:rPr>
        <w:t xml:space="preserve"> </w:t>
      </w:r>
      <w:r w:rsidRPr="008379CA">
        <w:rPr>
          <w:rFonts w:ascii="Bookman Old Style" w:hAnsi="Bookman Old Style"/>
          <w:lang w:val="id-ID"/>
        </w:rPr>
        <w:t>kali</w:t>
      </w:r>
      <w:r w:rsidR="00A954D0" w:rsidRPr="008379CA">
        <w:rPr>
          <w:rFonts w:ascii="Bookman Old Style" w:hAnsi="Bookman Old Style"/>
          <w:lang w:val="id-ID"/>
        </w:rPr>
        <w:t xml:space="preserve"> </w:t>
      </w:r>
      <w:r w:rsidRPr="008379CA">
        <w:rPr>
          <w:rFonts w:ascii="Bookman Old Style" w:hAnsi="Bookman Old Style"/>
          <w:lang w:val="id-ID"/>
        </w:rPr>
        <w:t>terakhir</w:t>
      </w:r>
      <w:r w:rsidR="00A954D0" w:rsidRPr="008379CA">
        <w:rPr>
          <w:rFonts w:ascii="Bookman Old Style" w:hAnsi="Bookman Old Style"/>
          <w:lang w:val="id-ID"/>
        </w:rPr>
        <w:t xml:space="preserve"> </w:t>
      </w:r>
      <w:r w:rsidRPr="008379CA">
        <w:rPr>
          <w:rFonts w:ascii="Bookman Old Style" w:hAnsi="Bookman Old Style"/>
          <w:lang w:val="id-ID"/>
        </w:rPr>
        <w:t>dengan</w:t>
      </w:r>
      <w:r w:rsidR="00A954D0" w:rsidRPr="008379CA">
        <w:rPr>
          <w:rFonts w:ascii="Bookman Old Style" w:hAnsi="Bookman Old Style"/>
          <w:lang w:val="id-ID"/>
        </w:rPr>
        <w:t xml:space="preserve"> </w:t>
      </w:r>
      <w:r w:rsidRPr="008379CA">
        <w:rPr>
          <w:rFonts w:ascii="Bookman Old Style" w:hAnsi="Bookman Old Style"/>
          <w:lang w:val="id-ID"/>
        </w:rPr>
        <w:t>Keputusan</w:t>
      </w:r>
      <w:r w:rsidR="00A954D0" w:rsidRPr="008379CA">
        <w:rPr>
          <w:rFonts w:ascii="Bookman Old Style" w:hAnsi="Bookman Old Style"/>
          <w:lang w:val="id-ID"/>
        </w:rPr>
        <w:t xml:space="preserve"> </w:t>
      </w:r>
      <w:r w:rsidRPr="008379CA">
        <w:rPr>
          <w:rFonts w:ascii="Bookman Old Style" w:hAnsi="Bookman Old Style"/>
          <w:lang w:val="id-ID"/>
        </w:rPr>
        <w:t>Menteri</w:t>
      </w:r>
      <w:r w:rsidR="00A954D0" w:rsidRPr="008379CA">
        <w:rPr>
          <w:rFonts w:ascii="Bookman Old Style" w:hAnsi="Bookman Old Style"/>
          <w:lang w:val="id-ID"/>
        </w:rPr>
        <w:t xml:space="preserve"> </w:t>
      </w:r>
      <w:r w:rsidRPr="008379CA">
        <w:rPr>
          <w:rFonts w:ascii="Bookman Old Style" w:hAnsi="Bookman Old Style"/>
          <w:lang w:val="id-ID"/>
        </w:rPr>
        <w:t>Dalam</w:t>
      </w:r>
      <w:r w:rsidR="00A954D0" w:rsidRPr="008379CA">
        <w:rPr>
          <w:rFonts w:ascii="Bookman Old Style" w:hAnsi="Bookman Old Style"/>
          <w:lang w:val="id-ID"/>
        </w:rPr>
        <w:t xml:space="preserve"> </w:t>
      </w:r>
      <w:r w:rsidRPr="008379CA">
        <w:rPr>
          <w:rFonts w:ascii="Bookman Old Style" w:hAnsi="Bookman Old Style"/>
          <w:lang w:val="id-ID"/>
        </w:rPr>
        <w:t>Negeri</w:t>
      </w:r>
      <w:r w:rsidR="00A954D0" w:rsidRPr="008379CA">
        <w:rPr>
          <w:rFonts w:ascii="Bookman Old Style" w:hAnsi="Bookman Old Style"/>
          <w:lang w:val="id-ID"/>
        </w:rPr>
        <w:t xml:space="preserve"> </w:t>
      </w:r>
      <w:r w:rsidRPr="008379CA">
        <w:rPr>
          <w:rFonts w:ascii="Bookman Old Style" w:hAnsi="Bookman Old Style"/>
          <w:lang w:val="id-ID"/>
        </w:rPr>
        <w:t>Nomor</w:t>
      </w:r>
      <w:r w:rsidR="00A954D0" w:rsidRPr="008379CA">
        <w:rPr>
          <w:rFonts w:ascii="Bookman Old Style" w:hAnsi="Bookman Old Style"/>
          <w:lang w:val="id-ID"/>
        </w:rPr>
        <w:t xml:space="preserve"> </w:t>
      </w:r>
      <w:r w:rsidRPr="008379CA">
        <w:rPr>
          <w:rFonts w:ascii="Bookman Old Style" w:hAnsi="Bookman Old Style"/>
          <w:lang w:val="id-ID"/>
        </w:rPr>
        <w:t>900.1.15.5</w:t>
      </w:r>
      <w:r w:rsidR="007D7967" w:rsidRPr="008379CA">
        <w:rPr>
          <w:rFonts w:ascii="Bookman Old Style" w:hAnsi="Bookman Old Style"/>
          <w:lang w:val="id-ID"/>
        </w:rPr>
        <w:t>-</w:t>
      </w:r>
      <w:r w:rsidRPr="008379CA">
        <w:rPr>
          <w:rFonts w:ascii="Bookman Old Style" w:hAnsi="Bookman Old Style"/>
          <w:lang w:val="id-ID"/>
        </w:rPr>
        <w:t>3406</w:t>
      </w:r>
      <w:r w:rsidR="00A954D0" w:rsidRPr="008379CA">
        <w:rPr>
          <w:rFonts w:ascii="Bookman Old Style" w:hAnsi="Bookman Old Style"/>
          <w:lang w:val="id-ID"/>
        </w:rPr>
        <w:t xml:space="preserve"> </w:t>
      </w:r>
      <w:r w:rsidRPr="008379CA">
        <w:rPr>
          <w:rFonts w:ascii="Bookman Old Style" w:hAnsi="Bookman Old Style"/>
          <w:lang w:val="id-ID"/>
        </w:rPr>
        <w:t>Tahun</w:t>
      </w:r>
      <w:r w:rsidR="00A954D0" w:rsidRPr="008379CA">
        <w:rPr>
          <w:rFonts w:ascii="Bookman Old Style" w:hAnsi="Bookman Old Style"/>
          <w:lang w:val="id-ID"/>
        </w:rPr>
        <w:t xml:space="preserve"> </w:t>
      </w:r>
      <w:r w:rsidRPr="008379CA">
        <w:rPr>
          <w:rFonts w:ascii="Bookman Old Style" w:hAnsi="Bookman Old Style"/>
          <w:lang w:val="id-ID"/>
        </w:rPr>
        <w:t>2024</w:t>
      </w:r>
      <w:r w:rsidR="00A954D0" w:rsidRPr="008379CA">
        <w:rPr>
          <w:rFonts w:ascii="Bookman Old Style" w:hAnsi="Bookman Old Style"/>
          <w:lang w:val="id-ID"/>
        </w:rPr>
        <w:t xml:space="preserve"> </w:t>
      </w:r>
      <w:r w:rsidRPr="008379CA">
        <w:rPr>
          <w:rFonts w:ascii="Bookman Old Style" w:hAnsi="Bookman Old Style"/>
          <w:lang w:val="id-ID"/>
        </w:rPr>
        <w:t>dan</w:t>
      </w:r>
      <w:r w:rsidR="00A954D0" w:rsidRPr="008379CA">
        <w:rPr>
          <w:rFonts w:ascii="Bookman Old Style" w:hAnsi="Bookman Old Style"/>
          <w:lang w:val="id-ID"/>
        </w:rPr>
        <w:t xml:space="preserve"> </w:t>
      </w:r>
      <w:r w:rsidRPr="008379CA">
        <w:rPr>
          <w:rFonts w:ascii="Bookman Old Style" w:hAnsi="Bookman Old Style"/>
          <w:lang w:val="id-ID"/>
        </w:rPr>
        <w:t>pemutakhirannya</w:t>
      </w:r>
      <w:r w:rsidR="00A954D0" w:rsidRPr="008379CA">
        <w:rPr>
          <w:rFonts w:ascii="Bookman Old Style" w:hAnsi="Bookman Old Style"/>
          <w:lang w:val="id-ID"/>
        </w:rPr>
        <w:t xml:space="preserve"> </w:t>
      </w:r>
      <w:r w:rsidRPr="008379CA">
        <w:rPr>
          <w:rFonts w:ascii="Bookman Old Style" w:hAnsi="Bookman Old Style"/>
          <w:lang w:val="id-ID"/>
        </w:rPr>
        <w:t>sebagaimana</w:t>
      </w:r>
      <w:r w:rsidR="00A954D0" w:rsidRPr="008379CA">
        <w:rPr>
          <w:rFonts w:ascii="Bookman Old Style" w:hAnsi="Bookman Old Style"/>
          <w:lang w:val="id-ID"/>
        </w:rPr>
        <w:t xml:space="preserve"> </w:t>
      </w:r>
      <w:r w:rsidRPr="008379CA">
        <w:rPr>
          <w:rFonts w:ascii="Bookman Old Style" w:hAnsi="Bookman Old Style"/>
          <w:lang w:val="id-ID"/>
        </w:rPr>
        <w:t>maksud</w:t>
      </w:r>
      <w:r w:rsidR="00A954D0" w:rsidRPr="008379CA">
        <w:rPr>
          <w:rFonts w:ascii="Bookman Old Style" w:hAnsi="Bookman Old Style"/>
          <w:lang w:val="id-ID"/>
        </w:rPr>
        <w:t xml:space="preserve"> </w:t>
      </w:r>
      <w:r w:rsidRPr="008379CA">
        <w:rPr>
          <w:rFonts w:ascii="Bookman Old Style" w:hAnsi="Bookman Old Style"/>
          <w:lang w:val="id-ID"/>
        </w:rPr>
        <w:t>butir</w:t>
      </w:r>
      <w:r w:rsidR="00A954D0" w:rsidRPr="008379CA">
        <w:rPr>
          <w:rFonts w:ascii="Bookman Old Style" w:hAnsi="Bookman Old Style"/>
          <w:lang w:val="id-ID"/>
        </w:rPr>
        <w:t xml:space="preserve"> </w:t>
      </w:r>
      <w:r w:rsidRPr="008379CA">
        <w:rPr>
          <w:rFonts w:ascii="Bookman Old Style" w:hAnsi="Bookman Old Style"/>
          <w:lang w:val="id-ID"/>
        </w:rPr>
        <w:t>5.2.1.b</w:t>
      </w:r>
      <w:r w:rsidR="00A954D0" w:rsidRPr="008379CA">
        <w:rPr>
          <w:rFonts w:ascii="Bookman Old Style" w:hAnsi="Bookman Old Style"/>
          <w:lang w:val="id-ID"/>
        </w:rPr>
        <w:t xml:space="preserve"> </w:t>
      </w:r>
      <w:r w:rsidRPr="008379CA">
        <w:rPr>
          <w:rFonts w:ascii="Bookman Old Style" w:hAnsi="Bookman Old Style"/>
          <w:lang w:val="id-ID"/>
        </w:rPr>
        <w:t>Lampiran</w:t>
      </w:r>
      <w:r w:rsidR="00A954D0" w:rsidRPr="008379CA">
        <w:rPr>
          <w:rFonts w:ascii="Bookman Old Style" w:hAnsi="Bookman Old Style"/>
          <w:lang w:val="id-ID"/>
        </w:rPr>
        <w:t xml:space="preserve"> </w:t>
      </w:r>
      <w:r w:rsidRPr="008379CA">
        <w:rPr>
          <w:rFonts w:ascii="Bookman Old Style" w:hAnsi="Bookman Old Style"/>
          <w:lang w:val="id-ID"/>
        </w:rPr>
        <w:t>Peraturan</w:t>
      </w:r>
      <w:r w:rsidR="00A954D0" w:rsidRPr="008379CA">
        <w:rPr>
          <w:rFonts w:ascii="Bookman Old Style" w:hAnsi="Bookman Old Style"/>
          <w:lang w:val="id-ID"/>
        </w:rPr>
        <w:t xml:space="preserve"> </w:t>
      </w:r>
      <w:r w:rsidRPr="008379CA">
        <w:rPr>
          <w:rFonts w:ascii="Bookman Old Style" w:hAnsi="Bookman Old Style"/>
          <w:lang w:val="id-ID"/>
        </w:rPr>
        <w:t>Menteri</w:t>
      </w:r>
      <w:r w:rsidR="00A954D0" w:rsidRPr="008379CA">
        <w:rPr>
          <w:rFonts w:ascii="Bookman Old Style" w:hAnsi="Bookman Old Style"/>
          <w:lang w:val="id-ID"/>
        </w:rPr>
        <w:t xml:space="preserve"> </w:t>
      </w:r>
      <w:r w:rsidRPr="008379CA">
        <w:rPr>
          <w:rFonts w:ascii="Bookman Old Style" w:hAnsi="Bookman Old Style"/>
          <w:lang w:val="id-ID"/>
        </w:rPr>
        <w:t>Dalam</w:t>
      </w:r>
      <w:r w:rsidR="00A954D0" w:rsidRPr="008379CA">
        <w:rPr>
          <w:rFonts w:ascii="Bookman Old Style" w:hAnsi="Bookman Old Style"/>
          <w:lang w:val="id-ID"/>
        </w:rPr>
        <w:t xml:space="preserve"> </w:t>
      </w:r>
      <w:r w:rsidRPr="008379CA">
        <w:rPr>
          <w:rFonts w:ascii="Bookman Old Style" w:hAnsi="Bookman Old Style"/>
          <w:lang w:val="id-ID"/>
        </w:rPr>
        <w:t>Negeri</w:t>
      </w:r>
      <w:r w:rsidR="00A954D0" w:rsidRPr="008379CA">
        <w:rPr>
          <w:rFonts w:ascii="Bookman Old Style" w:hAnsi="Bookman Old Style"/>
          <w:lang w:val="id-ID"/>
        </w:rPr>
        <w:t xml:space="preserve"> </w:t>
      </w:r>
      <w:r w:rsidRPr="008379CA">
        <w:rPr>
          <w:rFonts w:ascii="Bookman Old Style" w:hAnsi="Bookman Old Style"/>
          <w:lang w:val="id-ID"/>
        </w:rPr>
        <w:t>Nomor</w:t>
      </w:r>
      <w:r w:rsidR="00A954D0" w:rsidRPr="008379CA">
        <w:rPr>
          <w:rFonts w:ascii="Bookman Old Style" w:hAnsi="Bookman Old Style"/>
          <w:lang w:val="id-ID"/>
        </w:rPr>
        <w:t xml:space="preserve"> </w:t>
      </w:r>
      <w:r w:rsidRPr="008379CA">
        <w:rPr>
          <w:rFonts w:ascii="Bookman Old Style" w:hAnsi="Bookman Old Style"/>
          <w:lang w:val="id-ID"/>
        </w:rPr>
        <w:t>15</w:t>
      </w:r>
      <w:r w:rsidR="00A954D0" w:rsidRPr="008379CA">
        <w:rPr>
          <w:rFonts w:ascii="Bookman Old Style" w:hAnsi="Bookman Old Style"/>
          <w:lang w:val="id-ID"/>
        </w:rPr>
        <w:t xml:space="preserve"> </w:t>
      </w:r>
      <w:r w:rsidRPr="008379CA">
        <w:rPr>
          <w:rFonts w:ascii="Bookman Old Style" w:hAnsi="Bookman Old Style"/>
          <w:lang w:val="id-ID"/>
        </w:rPr>
        <w:t>Tahun</w:t>
      </w:r>
      <w:r w:rsidR="00A954D0" w:rsidRPr="008379CA">
        <w:rPr>
          <w:rFonts w:ascii="Bookman Old Style" w:hAnsi="Bookman Old Style"/>
          <w:lang w:val="id-ID"/>
        </w:rPr>
        <w:t xml:space="preserve"> </w:t>
      </w:r>
      <w:r w:rsidRPr="008379CA">
        <w:rPr>
          <w:rFonts w:ascii="Bookman Old Style" w:hAnsi="Bookman Old Style"/>
          <w:lang w:val="id-ID"/>
        </w:rPr>
        <w:t>2024.</w:t>
      </w:r>
    </w:p>
    <w:p w14:paraId="2C2B8F8B" w14:textId="0181EBF5" w:rsidR="001E3DC2" w:rsidRPr="008379CA" w:rsidRDefault="004E6BDC">
      <w:pPr>
        <w:pStyle w:val="ListParagraph"/>
        <w:numPr>
          <w:ilvl w:val="0"/>
          <w:numId w:val="96"/>
        </w:numPr>
        <w:spacing w:before="120" w:after="0" w:line="276" w:lineRule="auto"/>
        <w:ind w:left="993" w:hanging="426"/>
        <w:contextualSpacing w:val="0"/>
        <w:jc w:val="both"/>
        <w:rPr>
          <w:rFonts w:ascii="Bookman Old Style" w:hAnsi="Bookman Old Style" w:cs="Arial"/>
          <w:sz w:val="24"/>
          <w:szCs w:val="24"/>
          <w:lang w:val="sv-FI"/>
        </w:rPr>
      </w:pPr>
      <w:r w:rsidRPr="008379CA">
        <w:rPr>
          <w:rFonts w:ascii="Bookman Old Style" w:hAnsi="Bookman Old Style" w:cs="Arial"/>
          <w:sz w:val="24"/>
          <w:szCs w:val="24"/>
          <w:lang w:val="id-ID"/>
        </w:rPr>
        <w:t>Penyediaan</w:t>
      </w:r>
      <w:r w:rsidR="00A954D0" w:rsidRPr="008379CA">
        <w:rPr>
          <w:rFonts w:ascii="Bookman Old Style" w:hAnsi="Bookman Old Style"/>
          <w:sz w:val="24"/>
          <w:szCs w:val="24"/>
          <w:lang w:val="sv-SE"/>
        </w:rPr>
        <w:t xml:space="preserve"> </w:t>
      </w:r>
      <w:r w:rsidR="00EF6049" w:rsidRPr="008379CA">
        <w:rPr>
          <w:rFonts w:ascii="Bookman Old Style" w:hAnsi="Bookman Old Style"/>
          <w:sz w:val="24"/>
          <w:szCs w:val="24"/>
          <w:lang w:val="sv-SE"/>
        </w:rPr>
        <w:t>Alokasi</w:t>
      </w:r>
      <w:r w:rsidR="00A954D0" w:rsidRPr="008379CA">
        <w:rPr>
          <w:rFonts w:ascii="Bookman Old Style" w:hAnsi="Bookman Old Style"/>
          <w:sz w:val="24"/>
          <w:szCs w:val="24"/>
          <w:lang w:val="sv-SE"/>
        </w:rPr>
        <w:t xml:space="preserve"> </w:t>
      </w:r>
      <w:r w:rsidR="00EF6049" w:rsidRPr="008379CA">
        <w:rPr>
          <w:rFonts w:ascii="Bookman Old Style" w:hAnsi="Bookman Old Style"/>
          <w:sz w:val="24"/>
          <w:szCs w:val="24"/>
          <w:lang w:val="sv-SE"/>
        </w:rPr>
        <w:t>A</w:t>
      </w:r>
      <w:r w:rsidRPr="008379CA">
        <w:rPr>
          <w:rFonts w:ascii="Bookman Old Style" w:hAnsi="Bookman Old Style"/>
          <w:sz w:val="24"/>
          <w:szCs w:val="24"/>
          <w:lang w:val="sv-SE"/>
        </w:rPr>
        <w:t>nggaran</w:t>
      </w:r>
      <w:r w:rsidR="00A954D0" w:rsidRPr="008379CA">
        <w:rPr>
          <w:rFonts w:ascii="Bookman Old Style" w:hAnsi="Bookman Old Style"/>
          <w:sz w:val="24"/>
          <w:szCs w:val="24"/>
          <w:lang w:val="sv-SE"/>
        </w:rPr>
        <w:t xml:space="preserve"> </w:t>
      </w:r>
      <w:r w:rsidRPr="008379CA">
        <w:rPr>
          <w:rFonts w:ascii="Bookman Old Style" w:hAnsi="Bookman Old Style"/>
          <w:sz w:val="24"/>
          <w:szCs w:val="24"/>
          <w:lang w:val="id-ID"/>
        </w:rPr>
        <w:t>yang</w:t>
      </w:r>
      <w:r w:rsidR="00A954D0" w:rsidRPr="008379CA">
        <w:rPr>
          <w:rFonts w:ascii="Bookman Old Style" w:hAnsi="Bookman Old Style"/>
          <w:sz w:val="24"/>
          <w:szCs w:val="24"/>
          <w:lang w:val="id-ID"/>
        </w:rPr>
        <w:t xml:space="preserve"> </w:t>
      </w:r>
      <w:r w:rsidR="00A21710" w:rsidRPr="008379CA">
        <w:rPr>
          <w:rFonts w:ascii="Bookman Old Style" w:hAnsi="Bookman Old Style"/>
          <w:sz w:val="24"/>
          <w:szCs w:val="24"/>
          <w:lang w:val="id-ID"/>
        </w:rPr>
        <w:t>ditentukan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sesuai</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dengan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ketentuan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peraturan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perundang-undangan</w:t>
      </w:r>
      <w:r w:rsidR="00A954D0" w:rsidRPr="008379CA">
        <w:rPr>
          <w:rFonts w:ascii="Bookman Old Style" w:hAnsi="Bookman Old Style" w:cs="Arial"/>
          <w:sz w:val="24"/>
          <w:szCs w:val="24"/>
          <w:lang w:val="sv-FI"/>
        </w:rPr>
        <w:t xml:space="preserve"> </w:t>
      </w:r>
    </w:p>
    <w:p w14:paraId="43CD00A2" w14:textId="7C0801C1" w:rsidR="001E3DC2" w:rsidRPr="008379CA" w:rsidRDefault="001E3DC2" w:rsidP="00050B5E">
      <w:pPr>
        <w:spacing w:before="60" w:line="276" w:lineRule="auto"/>
        <w:ind w:left="993"/>
        <w:jc w:val="both"/>
        <w:rPr>
          <w:rFonts w:ascii="Bookman Old Style" w:hAnsi="Bookman Old Style"/>
          <w:lang w:val="sv-FI"/>
        </w:rPr>
      </w:pPr>
      <w:r w:rsidRPr="008379CA">
        <w:rPr>
          <w:rFonts w:ascii="Bookman Old Style" w:hAnsi="Bookman Old Style"/>
          <w:lang w:val="sv-FI"/>
        </w:rPr>
        <w:t>Penyediaan</w:t>
      </w:r>
      <w:r w:rsidR="00A954D0" w:rsidRPr="008379CA">
        <w:rPr>
          <w:rFonts w:ascii="Bookman Old Style" w:hAnsi="Bookman Old Style"/>
          <w:lang w:val="sv-FI"/>
        </w:rPr>
        <w:t xml:space="preserve"> </w:t>
      </w:r>
      <w:r w:rsidR="00050B5E" w:rsidRPr="008379CA">
        <w:rPr>
          <w:rFonts w:ascii="Bookman Old Style" w:hAnsi="Bookman Old Style"/>
          <w:lang w:val="sv-FI"/>
        </w:rPr>
        <w:t>alokasi</w:t>
      </w:r>
      <w:r w:rsidR="00A954D0" w:rsidRPr="008379CA">
        <w:rPr>
          <w:rFonts w:ascii="Bookman Old Style" w:hAnsi="Bookman Old Style"/>
          <w:lang w:val="sv-FI"/>
        </w:rPr>
        <w:t xml:space="preserve"> </w:t>
      </w:r>
      <w:r w:rsidRPr="008379CA">
        <w:rPr>
          <w:rFonts w:ascii="Bookman Old Style" w:hAnsi="Bookman Old Style"/>
          <w:lang w:val="sv-FI"/>
        </w:rPr>
        <w:t>anggaran</w:t>
      </w:r>
      <w:r w:rsidR="00A954D0" w:rsidRPr="008379CA">
        <w:rPr>
          <w:rFonts w:ascii="Bookman Old Style" w:hAnsi="Bookman Old Style"/>
          <w:lang w:val="sv-FI"/>
        </w:rPr>
        <w:t xml:space="preserve"> </w:t>
      </w:r>
      <w:r w:rsidRPr="008379CA">
        <w:rPr>
          <w:rFonts w:ascii="Bookman Old Style" w:hAnsi="Bookman Old Style"/>
          <w:lang w:val="sv-FI"/>
        </w:rPr>
        <w:t>dalam</w:t>
      </w:r>
      <w:r w:rsidR="00A954D0" w:rsidRPr="008379CA">
        <w:rPr>
          <w:rFonts w:ascii="Bookman Old Style" w:hAnsi="Bookman Old Style"/>
          <w:lang w:val="sv-FI"/>
        </w:rPr>
        <w:t xml:space="preserve"> </w:t>
      </w:r>
      <w:r w:rsidRPr="008379CA">
        <w:rPr>
          <w:rFonts w:ascii="Bookman Old Style" w:hAnsi="Bookman Old Style" w:cs="Arial"/>
          <w:lang w:val="sv-FI"/>
        </w:rPr>
        <w:t>Rancangan</w:t>
      </w:r>
      <w:r w:rsidR="00A954D0" w:rsidRPr="008379CA">
        <w:rPr>
          <w:rFonts w:ascii="Bookman Old Style" w:hAnsi="Bookman Old Style" w:cs="Arial"/>
          <w:lang w:val="sv-FI"/>
        </w:rPr>
        <w:t xml:space="preserve"> </w:t>
      </w:r>
      <w:r w:rsidRPr="008379CA">
        <w:rPr>
          <w:rFonts w:ascii="Bookman Old Style" w:hAnsi="Bookman Old Style" w:cs="Arial"/>
          <w:lang w:val="sv-FI"/>
        </w:rPr>
        <w:t>Peraturan</w:t>
      </w:r>
      <w:r w:rsidR="00A954D0" w:rsidRPr="008379CA">
        <w:rPr>
          <w:rFonts w:ascii="Bookman Old Style" w:hAnsi="Bookman Old Style" w:cs="Arial"/>
          <w:lang w:val="sv-FI"/>
        </w:rPr>
        <w:t xml:space="preserve"> </w:t>
      </w:r>
      <w:r w:rsidRPr="008379CA">
        <w:rPr>
          <w:rFonts w:ascii="Bookman Old Style" w:hAnsi="Bookman Old Style" w:cs="Arial"/>
          <w:lang w:val="sv-FI"/>
        </w:rPr>
        <w:t>Daerah</w:t>
      </w:r>
      <w:r w:rsidR="00A954D0" w:rsidRPr="008379CA">
        <w:rPr>
          <w:rFonts w:ascii="Bookman Old Style" w:hAnsi="Bookman Old Style"/>
          <w:lang w:val="id-ID"/>
        </w:rPr>
        <w:t xml:space="preserve"> </w:t>
      </w:r>
      <w:r w:rsidR="00B055C5" w:rsidRPr="008379CA">
        <w:rPr>
          <w:rFonts w:ascii="Bookman Old Style" w:hAnsi="Bookman Old Style"/>
          <w:lang w:val="fi-FI"/>
        </w:rPr>
        <w:t>Kota</w:t>
      </w:r>
      <w:r w:rsidR="00A954D0" w:rsidRPr="008379CA">
        <w:rPr>
          <w:rFonts w:ascii="Bookman Old Style" w:hAnsi="Bookman Old Style"/>
          <w:lang w:val="fi-FI"/>
        </w:rPr>
        <w:t xml:space="preserve"> </w:t>
      </w:r>
      <w:r w:rsidR="00770F22" w:rsidRPr="008379CA">
        <w:rPr>
          <w:rFonts w:ascii="Bookman Old Style" w:hAnsi="Bookman Old Style"/>
          <w:lang w:val="fi-FI"/>
        </w:rPr>
        <w:t>Tangerang</w:t>
      </w:r>
      <w:r w:rsidR="00A954D0" w:rsidRPr="008379CA">
        <w:rPr>
          <w:rFonts w:ascii="Bookman Old Style" w:hAnsi="Bookman Old Style"/>
          <w:lang w:val="fi-FI"/>
        </w:rPr>
        <w:t xml:space="preserve"> </w:t>
      </w:r>
      <w:r w:rsidRPr="008379CA">
        <w:rPr>
          <w:rFonts w:ascii="Bookman Old Style" w:hAnsi="Bookman Old Style" w:cs="Arial"/>
          <w:lang w:val="sv-FI"/>
        </w:rPr>
        <w:t>tentang</w:t>
      </w:r>
      <w:r w:rsidR="00A954D0" w:rsidRPr="008379CA">
        <w:rPr>
          <w:rFonts w:ascii="Bookman Old Style" w:hAnsi="Bookman Old Style" w:cs="Arial"/>
          <w:lang w:val="sv-FI"/>
        </w:rPr>
        <w:t xml:space="preserve"> </w:t>
      </w:r>
      <w:r w:rsidRPr="008379CA">
        <w:rPr>
          <w:rFonts w:ascii="Bookman Old Style" w:hAnsi="Bookman Old Style"/>
          <w:lang w:val="sv-FI"/>
        </w:rPr>
        <w:t>APBD</w:t>
      </w:r>
      <w:r w:rsidR="00A954D0" w:rsidRPr="008379CA">
        <w:rPr>
          <w:rFonts w:ascii="Bookman Old Style" w:hAnsi="Bookman Old Style" w:cs="Arial"/>
          <w:lang w:val="sv-FI"/>
        </w:rPr>
        <w:t xml:space="preserve"> </w:t>
      </w:r>
      <w:r w:rsidRPr="008379CA">
        <w:rPr>
          <w:rFonts w:ascii="Bookman Old Style" w:hAnsi="Bookman Old Style" w:cs="Arial"/>
          <w:lang w:val="sv-FI"/>
        </w:rPr>
        <w:t>Tahun</w:t>
      </w:r>
      <w:r w:rsidR="00A954D0" w:rsidRPr="008379CA">
        <w:rPr>
          <w:rFonts w:ascii="Bookman Old Style" w:hAnsi="Bookman Old Style" w:cs="Arial"/>
          <w:lang w:val="sv-FI"/>
        </w:rPr>
        <w:t xml:space="preserve"> </w:t>
      </w:r>
      <w:r w:rsidRPr="008379CA">
        <w:rPr>
          <w:rFonts w:ascii="Bookman Old Style" w:hAnsi="Bookman Old Style" w:cs="Arial"/>
          <w:lang w:val="sv-FI"/>
        </w:rPr>
        <w:t>Anggaran</w:t>
      </w:r>
      <w:r w:rsidR="00A954D0" w:rsidRPr="008379CA">
        <w:rPr>
          <w:rFonts w:ascii="Bookman Old Style" w:hAnsi="Bookman Old Style" w:cs="Arial"/>
          <w:lang w:val="sv-FI"/>
        </w:rPr>
        <w:t xml:space="preserve"> </w:t>
      </w:r>
      <w:r w:rsidRPr="008379CA">
        <w:rPr>
          <w:rFonts w:ascii="Bookman Old Style" w:hAnsi="Bookman Old Style" w:cs="Arial"/>
          <w:lang w:val="sv-FI"/>
        </w:rPr>
        <w:t>202</w:t>
      </w:r>
      <w:r w:rsidR="00EF6049" w:rsidRPr="008379CA">
        <w:rPr>
          <w:rFonts w:ascii="Bookman Old Style" w:hAnsi="Bookman Old Style" w:cs="Arial"/>
          <w:lang w:val="sv-FI"/>
        </w:rPr>
        <w:t>5</w:t>
      </w:r>
      <w:r w:rsidR="00A954D0" w:rsidRPr="008379CA">
        <w:rPr>
          <w:rFonts w:ascii="Bookman Old Style" w:hAnsi="Bookman Old Style"/>
          <w:lang w:val="id-ID"/>
        </w:rPr>
        <w:t xml:space="preserve"> </w:t>
      </w:r>
      <w:r w:rsidRPr="008379CA">
        <w:rPr>
          <w:rFonts w:ascii="Bookman Old Style" w:hAnsi="Bookman Old Style"/>
          <w:lang w:val="id-ID"/>
        </w:rPr>
        <w:t>yang</w:t>
      </w:r>
      <w:r w:rsidR="00A954D0" w:rsidRPr="008379CA">
        <w:rPr>
          <w:rFonts w:ascii="Bookman Old Style" w:hAnsi="Bookman Old Style"/>
          <w:lang w:val="id-ID"/>
        </w:rPr>
        <w:t xml:space="preserve"> </w:t>
      </w:r>
      <w:r w:rsidR="00050B5E" w:rsidRPr="008379CA">
        <w:rPr>
          <w:rFonts w:ascii="Bookman Old Style" w:hAnsi="Bookman Old Style"/>
          <w:lang w:val="id-ID"/>
        </w:rPr>
        <w:t>ditentukan</w:t>
      </w:r>
      <w:r w:rsidR="00A954D0" w:rsidRPr="008379CA">
        <w:rPr>
          <w:rFonts w:ascii="Bookman Old Style" w:hAnsi="Bookman Old Style"/>
          <w:lang w:val="id-ID"/>
        </w:rPr>
        <w:t xml:space="preserve"> </w:t>
      </w:r>
      <w:r w:rsidRPr="008379CA">
        <w:rPr>
          <w:rFonts w:ascii="Bookman Old Style" w:hAnsi="Bookman Old Style"/>
          <w:lang w:val="id-ID"/>
        </w:rPr>
        <w:t>sesuai</w:t>
      </w:r>
      <w:r w:rsidR="00A954D0" w:rsidRPr="008379CA">
        <w:rPr>
          <w:rFonts w:ascii="Bookman Old Style" w:hAnsi="Bookman Old Style"/>
          <w:lang w:val="id-ID"/>
        </w:rPr>
        <w:t xml:space="preserve"> </w:t>
      </w:r>
      <w:r w:rsidRPr="008379CA">
        <w:rPr>
          <w:rFonts w:ascii="Bookman Old Style" w:hAnsi="Bookman Old Style"/>
          <w:lang w:val="id-ID"/>
        </w:rPr>
        <w:t>dengan</w:t>
      </w:r>
      <w:r w:rsidR="00A954D0" w:rsidRPr="008379CA">
        <w:rPr>
          <w:rFonts w:ascii="Bookman Old Style" w:hAnsi="Bookman Old Style"/>
          <w:lang w:val="id-ID"/>
        </w:rPr>
        <w:t xml:space="preserve"> </w:t>
      </w:r>
      <w:r w:rsidRPr="008379CA">
        <w:rPr>
          <w:rFonts w:ascii="Bookman Old Style" w:hAnsi="Bookman Old Style"/>
          <w:lang w:val="id-ID"/>
        </w:rPr>
        <w:t>ketentuan</w:t>
      </w:r>
      <w:r w:rsidR="00A954D0" w:rsidRPr="008379CA">
        <w:rPr>
          <w:rFonts w:ascii="Bookman Old Style" w:hAnsi="Bookman Old Style"/>
          <w:lang w:val="id-ID"/>
        </w:rPr>
        <w:t xml:space="preserve"> </w:t>
      </w:r>
      <w:r w:rsidRPr="008379CA">
        <w:rPr>
          <w:rFonts w:ascii="Bookman Old Style" w:hAnsi="Bookman Old Style"/>
          <w:lang w:val="id-ID"/>
        </w:rPr>
        <w:t>peraturan</w:t>
      </w:r>
      <w:r w:rsidR="00A954D0" w:rsidRPr="008379CA">
        <w:rPr>
          <w:rFonts w:ascii="Bookman Old Style" w:hAnsi="Bookman Old Style"/>
          <w:lang w:val="id-ID"/>
        </w:rPr>
        <w:t xml:space="preserve"> </w:t>
      </w:r>
      <w:r w:rsidRPr="008379CA">
        <w:rPr>
          <w:rFonts w:ascii="Bookman Old Style" w:hAnsi="Bookman Old Style"/>
          <w:lang w:val="id-ID"/>
        </w:rPr>
        <w:t>perundang-undangan</w:t>
      </w:r>
      <w:r w:rsidRPr="008379CA">
        <w:rPr>
          <w:rFonts w:ascii="Bookman Old Style" w:hAnsi="Bookman Old Style"/>
          <w:lang w:val="sv-FI"/>
        </w:rPr>
        <w:t>,</w:t>
      </w:r>
      <w:r w:rsidR="00A954D0" w:rsidRPr="008379CA">
        <w:rPr>
          <w:rFonts w:ascii="Bookman Old Style" w:hAnsi="Bookman Old Style"/>
          <w:lang w:val="sv-FI"/>
        </w:rPr>
        <w:t xml:space="preserve"> </w:t>
      </w:r>
      <w:r w:rsidRPr="008379CA">
        <w:rPr>
          <w:rFonts w:ascii="Bookman Old Style" w:hAnsi="Bookman Old Style"/>
          <w:lang w:val="sv-FI"/>
        </w:rPr>
        <w:t>sebagai</w:t>
      </w:r>
      <w:r w:rsidR="00A954D0" w:rsidRPr="008379CA">
        <w:rPr>
          <w:rFonts w:ascii="Bookman Old Style" w:hAnsi="Bookman Old Style"/>
          <w:lang w:val="sv-FI"/>
        </w:rPr>
        <w:t xml:space="preserve"> </w:t>
      </w:r>
      <w:r w:rsidRPr="008379CA">
        <w:rPr>
          <w:rFonts w:ascii="Bookman Old Style" w:hAnsi="Bookman Old Style"/>
          <w:lang w:val="sv-FI"/>
        </w:rPr>
        <w:t>berikut:</w:t>
      </w:r>
    </w:p>
    <w:p w14:paraId="3D5E1274" w14:textId="4E613D4A" w:rsidR="009E4CA7" w:rsidRPr="008379CA" w:rsidRDefault="009E4CA7" w:rsidP="00CB0BED">
      <w:pPr>
        <w:pStyle w:val="ListParagraph"/>
        <w:numPr>
          <w:ilvl w:val="0"/>
          <w:numId w:val="99"/>
        </w:numPr>
        <w:spacing w:before="120" w:after="0" w:line="276" w:lineRule="auto"/>
        <w:ind w:left="1276" w:hanging="284"/>
        <w:contextualSpacing w:val="0"/>
        <w:jc w:val="both"/>
        <w:rPr>
          <w:rFonts w:ascii="Bookman Old Style" w:hAnsi="Bookman Old Style" w:cs="Arial"/>
          <w:sz w:val="24"/>
          <w:szCs w:val="24"/>
        </w:rPr>
      </w:pPr>
      <w:r w:rsidRPr="008379CA">
        <w:rPr>
          <w:rFonts w:ascii="Bookman Old Style" w:hAnsi="Bookman Old Style" w:cs="Arial"/>
          <w:sz w:val="24"/>
          <w:szCs w:val="24"/>
        </w:rPr>
        <w:t>Alokasi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Anggaran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Kesehatan</w:t>
      </w:r>
    </w:p>
    <w:p w14:paraId="7A23B7DC" w14:textId="03F9B499" w:rsidR="00770F22" w:rsidRPr="008379CA" w:rsidRDefault="00770F22" w:rsidP="00CB0BED">
      <w:pPr>
        <w:pStyle w:val="ListParagraph"/>
        <w:spacing w:before="60" w:after="0" w:line="276" w:lineRule="auto"/>
        <w:ind w:left="1276"/>
        <w:contextualSpacing w:val="0"/>
        <w:jc w:val="both"/>
        <w:rPr>
          <w:rFonts w:ascii="Bookman Old Style" w:hAnsi="Bookman Old Style"/>
          <w:sz w:val="24"/>
          <w:szCs w:val="24"/>
          <w:lang w:val="id-ID"/>
        </w:rPr>
      </w:pPr>
      <w:r w:rsidRPr="008379CA">
        <w:rPr>
          <w:rFonts w:ascii="Bookman Old Style" w:hAnsi="Bookman Old Style"/>
          <w:sz w:val="24"/>
          <w:szCs w:val="24"/>
        </w:rPr>
        <w:t>Penyediaan</w:t>
      </w:r>
      <w:r w:rsidR="00A954D0" w:rsidRPr="008379CA">
        <w:rPr>
          <w:rFonts w:ascii="Bookman Old Style" w:hAnsi="Bookman Old Style"/>
          <w:sz w:val="24"/>
          <w:szCs w:val="24"/>
        </w:rPr>
        <w:t xml:space="preserve"> </w:t>
      </w:r>
      <w:r w:rsidRPr="008379CA">
        <w:rPr>
          <w:rFonts w:ascii="Bookman Old Style" w:hAnsi="Bookman Old Style"/>
          <w:sz w:val="24"/>
          <w:szCs w:val="24"/>
          <w:lang w:val="id-ID"/>
        </w:rPr>
        <w:t>anggaran</w:t>
      </w:r>
      <w:r w:rsidR="00A954D0" w:rsidRPr="008379CA">
        <w:rPr>
          <w:rFonts w:ascii="Bookman Old Style" w:hAnsi="Bookman Old Style"/>
          <w:sz w:val="24"/>
          <w:szCs w:val="24"/>
        </w:rPr>
        <w:t xml:space="preserve"> </w:t>
      </w:r>
      <w:r w:rsidRPr="008379CA">
        <w:rPr>
          <w:rFonts w:ascii="Bookman Old Style" w:hAnsi="Bookman Old Style" w:cs="Arial"/>
          <w:sz w:val="24"/>
          <w:szCs w:val="24"/>
          <w:lang w:val="id-ID"/>
        </w:rPr>
        <w:t>yang</w:t>
      </w:r>
      <w:r w:rsidR="00A954D0" w:rsidRPr="008379CA">
        <w:rPr>
          <w:rFonts w:ascii="Bookman Old Style" w:hAnsi="Bookman Old Style"/>
          <w:sz w:val="24"/>
          <w:szCs w:val="24"/>
        </w:rPr>
        <w:t xml:space="preserve"> </w:t>
      </w:r>
      <w:r w:rsidRPr="008379CA">
        <w:rPr>
          <w:rFonts w:ascii="Bookman Old Style" w:hAnsi="Bookman Old Style"/>
          <w:sz w:val="24"/>
          <w:szCs w:val="24"/>
        </w:rPr>
        <w:t>tercantum</w:t>
      </w:r>
      <w:r w:rsidR="00A954D0" w:rsidRPr="008379CA">
        <w:rPr>
          <w:rFonts w:ascii="Bookman Old Style" w:hAnsi="Bookman Old Style"/>
          <w:sz w:val="24"/>
          <w:szCs w:val="24"/>
        </w:rPr>
        <w:t xml:space="preserve"> </w:t>
      </w:r>
      <w:r w:rsidRPr="008379CA">
        <w:rPr>
          <w:rFonts w:ascii="Bookman Old Style" w:hAnsi="Bookman Old Style"/>
          <w:sz w:val="24"/>
          <w:szCs w:val="24"/>
        </w:rPr>
        <w:t>pada</w:t>
      </w:r>
      <w:r w:rsidR="00A954D0" w:rsidRPr="008379CA">
        <w:rPr>
          <w:rFonts w:ascii="Bookman Old Style" w:hAnsi="Bookman Old Style"/>
          <w:sz w:val="24"/>
          <w:szCs w:val="24"/>
        </w:rPr>
        <w:t xml:space="preserve"> </w:t>
      </w:r>
      <w:r w:rsidRPr="008379CA">
        <w:rPr>
          <w:rFonts w:ascii="Bookman Old Style" w:hAnsi="Bookman Old Style"/>
          <w:sz w:val="24"/>
          <w:szCs w:val="24"/>
          <w:lang w:val="id-ID"/>
        </w:rPr>
        <w:t>Urusan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rPr>
        <w:t>Pemerintahan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Bidang</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Kesehatan</w:t>
      </w:r>
      <w:r w:rsidR="00A954D0" w:rsidRPr="008379CA">
        <w:rPr>
          <w:rFonts w:ascii="Bookman Old Style" w:hAnsi="Bookman Old Style"/>
          <w:sz w:val="24"/>
          <w:szCs w:val="24"/>
          <w:lang w:val="id-ID"/>
        </w:rPr>
        <w:t xml:space="preserve"> </w:t>
      </w:r>
      <w:r w:rsidRPr="008379CA">
        <w:rPr>
          <w:rFonts w:ascii="Bookman Old Style" w:hAnsi="Bookman Old Style" w:cs="Arial"/>
          <w:sz w:val="24"/>
          <w:szCs w:val="24"/>
          <w:lang w:val="de-DE"/>
        </w:rPr>
        <w:t>Rp1.048.862.637.795,00</w:t>
      </w:r>
      <w:r w:rsidR="00A954D0" w:rsidRPr="008379CA">
        <w:rPr>
          <w:rFonts w:ascii="Bookman Old Style" w:hAnsi="Bookman Old Style" w:cs="Arial"/>
          <w:sz w:val="24"/>
          <w:szCs w:val="24"/>
          <w:lang w:val="de-DE"/>
        </w:rPr>
        <w:t xml:space="preserve"> </w:t>
      </w:r>
      <w:r w:rsidRPr="008379CA">
        <w:rPr>
          <w:rFonts w:ascii="Bookman Old Style" w:hAnsi="Bookman Old Style"/>
          <w:sz w:val="24"/>
          <w:szCs w:val="24"/>
          <w:lang w:val="id-ID"/>
        </w:rPr>
        <w:t>atau</w:t>
      </w:r>
      <w:r w:rsidR="00A954D0" w:rsidRPr="008379CA">
        <w:rPr>
          <w:rFonts w:ascii="Bookman Old Style" w:hAnsi="Bookman Old Style"/>
          <w:sz w:val="24"/>
          <w:szCs w:val="24"/>
          <w:lang w:val="id-ID"/>
        </w:rPr>
        <w:t xml:space="preserve"> </w:t>
      </w:r>
      <w:r w:rsidRPr="008379CA">
        <w:rPr>
          <w:rFonts w:ascii="Bookman Old Style" w:hAnsi="Bookman Old Style" w:cs="Arial"/>
          <w:sz w:val="24"/>
          <w:szCs w:val="24"/>
          <w:lang w:val="id-ID"/>
        </w:rPr>
        <w:t>18</w:t>
      </w:r>
      <w:r w:rsidRPr="008379CA">
        <w:rPr>
          <w:rFonts w:ascii="Bookman Old Style" w:hAnsi="Bookman Old Style" w:cs="Arial"/>
          <w:sz w:val="24"/>
          <w:szCs w:val="24"/>
          <w:lang w:val="en-US"/>
        </w:rPr>
        <w:t>,</w:t>
      </w:r>
      <w:r w:rsidRPr="008379CA">
        <w:rPr>
          <w:rFonts w:ascii="Bookman Old Style" w:hAnsi="Bookman Old Style" w:cs="Arial"/>
          <w:sz w:val="24"/>
          <w:szCs w:val="24"/>
          <w:lang w:val="id-ID"/>
        </w:rPr>
        <w:t>38</w:t>
      </w:r>
      <w:r w:rsidRPr="008379CA">
        <w:rPr>
          <w:rFonts w:ascii="Bookman Old Style" w:hAnsi="Bookman Old Style" w:cs="Arial"/>
          <w:sz w:val="24"/>
          <w:szCs w:val="24"/>
          <w:lang w:val="en-US"/>
        </w:rPr>
        <w:t>%</w:t>
      </w:r>
      <w:r w:rsidR="00A954D0" w:rsidRPr="008379CA">
        <w:rPr>
          <w:rFonts w:ascii="Bookman Old Style" w:hAnsi="Bookman Old Style"/>
          <w:sz w:val="24"/>
          <w:szCs w:val="24"/>
          <w:lang w:val="id-ID"/>
        </w:rPr>
        <w:t xml:space="preserve"> </w:t>
      </w:r>
      <w:r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Pr="008379CA">
        <w:rPr>
          <w:rFonts w:ascii="Bookman Old Style" w:hAnsi="Bookman Old Style"/>
          <w:sz w:val="24"/>
          <w:szCs w:val="24"/>
        </w:rPr>
        <w:t>total</w:t>
      </w:r>
      <w:r w:rsidR="00A954D0" w:rsidRPr="008379CA">
        <w:rPr>
          <w:rFonts w:ascii="Bookman Old Style" w:hAnsi="Bookman Old Style"/>
          <w:sz w:val="24"/>
          <w:szCs w:val="24"/>
        </w:rPr>
        <w:t xml:space="preserve"> </w:t>
      </w:r>
      <w:r w:rsidRPr="008379CA">
        <w:rPr>
          <w:rFonts w:ascii="Bookman Old Style" w:hAnsi="Bookman Old Style"/>
          <w:sz w:val="24"/>
          <w:szCs w:val="24"/>
        </w:rPr>
        <w:t>belanja</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Pr="008379CA">
        <w:rPr>
          <w:rFonts w:ascii="Bookman Old Style" w:hAnsi="Bookman Old Style"/>
          <w:sz w:val="24"/>
          <w:szCs w:val="24"/>
        </w:rPr>
        <w:t>Rancangan</w:t>
      </w:r>
      <w:r w:rsidR="00A954D0" w:rsidRPr="008379CA">
        <w:rPr>
          <w:rFonts w:ascii="Bookman Old Style" w:hAnsi="Bookman Old Style"/>
          <w:sz w:val="24"/>
          <w:szCs w:val="24"/>
        </w:rPr>
        <w:t xml:space="preserve"> </w:t>
      </w:r>
      <w:r w:rsidRPr="008379CA">
        <w:rPr>
          <w:rFonts w:ascii="Bookman Old Style" w:hAnsi="Bookman Old Style"/>
          <w:sz w:val="24"/>
          <w:szCs w:val="24"/>
        </w:rPr>
        <w:t>Peraturan</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sz w:val="24"/>
          <w:szCs w:val="24"/>
        </w:rPr>
        <w:t>tentang</w:t>
      </w:r>
      <w:r w:rsidR="00A954D0" w:rsidRPr="008379CA">
        <w:rPr>
          <w:rFonts w:ascii="Bookman Old Style" w:hAnsi="Bookman Old Style"/>
          <w:sz w:val="24"/>
          <w:szCs w:val="24"/>
        </w:rPr>
        <w:t xml:space="preserve"> </w:t>
      </w:r>
      <w:r w:rsidRPr="008379CA">
        <w:rPr>
          <w:rFonts w:ascii="Bookman Old Style" w:hAnsi="Bookman Old Style"/>
          <w:sz w:val="24"/>
          <w:szCs w:val="24"/>
        </w:rPr>
        <w:t>APBD</w:t>
      </w:r>
      <w:r w:rsidR="00A954D0" w:rsidRPr="008379CA">
        <w:rPr>
          <w:rFonts w:ascii="Bookman Old Style" w:hAnsi="Bookman Old Style"/>
          <w:sz w:val="24"/>
          <w:szCs w:val="24"/>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202</w:t>
      </w:r>
      <w:r w:rsidRPr="008379CA">
        <w:rPr>
          <w:rFonts w:ascii="Bookman Old Style" w:hAnsi="Bookman Old Style"/>
          <w:sz w:val="24"/>
          <w:szCs w:val="24"/>
          <w:lang w:val="id-ID"/>
        </w:rPr>
        <w:t>5</w:t>
      </w:r>
      <w:r w:rsidRPr="008379CA">
        <w:rPr>
          <w:rFonts w:ascii="Bookman Old Style" w:hAnsi="Bookman Old Style"/>
          <w:sz w:val="24"/>
          <w:szCs w:val="24"/>
        </w:rPr>
        <w:t>,</w:t>
      </w:r>
      <w:r w:rsidR="00A954D0" w:rsidRPr="008379CA">
        <w:rPr>
          <w:rFonts w:ascii="Bookman Old Style" w:hAnsi="Bookman Old Style"/>
          <w:sz w:val="24"/>
          <w:szCs w:val="24"/>
        </w:rPr>
        <w:t xml:space="preserve"> </w:t>
      </w:r>
      <w:r w:rsidRPr="008379CA">
        <w:rPr>
          <w:rFonts w:ascii="Bookman Old Style" w:hAnsi="Bookman Old Style"/>
          <w:sz w:val="24"/>
          <w:szCs w:val="24"/>
        </w:rPr>
        <w:t>antara</w:t>
      </w:r>
      <w:r w:rsidR="00A954D0" w:rsidRPr="008379CA">
        <w:rPr>
          <w:rFonts w:ascii="Bookman Old Style" w:hAnsi="Bookman Old Style"/>
          <w:sz w:val="24"/>
          <w:szCs w:val="24"/>
        </w:rPr>
        <w:t xml:space="preserve"> </w:t>
      </w:r>
      <w:r w:rsidRPr="008379CA">
        <w:rPr>
          <w:rFonts w:ascii="Bookman Old Style" w:hAnsi="Bookman Old Style"/>
          <w:sz w:val="24"/>
          <w:szCs w:val="24"/>
        </w:rPr>
        <w:t>lain</w:t>
      </w:r>
      <w:r w:rsidR="00A954D0" w:rsidRPr="008379CA">
        <w:rPr>
          <w:rFonts w:ascii="Bookman Old Style" w:hAnsi="Bookman Old Style"/>
          <w:sz w:val="24"/>
          <w:szCs w:val="24"/>
        </w:rPr>
        <w:t xml:space="preserve"> </w:t>
      </w:r>
      <w:r w:rsidRPr="008379CA">
        <w:rPr>
          <w:rFonts w:ascii="Bookman Old Style" w:hAnsi="Bookman Old Style"/>
          <w:sz w:val="24"/>
          <w:szCs w:val="24"/>
        </w:rPr>
        <w:t>tercantum</w:t>
      </w:r>
      <w:r w:rsidR="00A954D0" w:rsidRPr="008379CA">
        <w:rPr>
          <w:rFonts w:ascii="Bookman Old Style" w:hAnsi="Bookman Old Style"/>
          <w:sz w:val="24"/>
          <w:szCs w:val="24"/>
        </w:rPr>
        <w:t xml:space="preserve"> </w:t>
      </w:r>
      <w:r w:rsidRPr="008379CA">
        <w:rPr>
          <w:rFonts w:ascii="Bookman Old Style" w:hAnsi="Bookman Old Style"/>
          <w:sz w:val="24"/>
          <w:szCs w:val="24"/>
        </w:rPr>
        <w:t>pada</w:t>
      </w:r>
      <w:r w:rsidRPr="008379CA">
        <w:rPr>
          <w:rFonts w:ascii="Bookman Old Style" w:hAnsi="Bookman Old Style"/>
          <w:sz w:val="24"/>
          <w:szCs w:val="24"/>
          <w:lang w:val="id-ID"/>
        </w:rPr>
        <w:t>:</w:t>
      </w:r>
    </w:p>
    <w:p w14:paraId="475165F0" w14:textId="4323B1C2" w:rsidR="00770F22" w:rsidRPr="008379CA" w:rsidRDefault="00770F22" w:rsidP="00CB0BED">
      <w:pPr>
        <w:pStyle w:val="ListParagraph"/>
        <w:numPr>
          <w:ilvl w:val="0"/>
          <w:numId w:val="11"/>
        </w:numPr>
        <w:spacing w:before="60" w:after="0" w:line="276" w:lineRule="auto"/>
        <w:ind w:left="1701" w:hanging="442"/>
        <w:contextualSpacing w:val="0"/>
        <w:jc w:val="both"/>
        <w:rPr>
          <w:rFonts w:ascii="Bookman Old Style" w:hAnsi="Bookman Old Style"/>
          <w:sz w:val="24"/>
          <w:szCs w:val="24"/>
        </w:rPr>
      </w:pPr>
      <w:r w:rsidRPr="008379CA">
        <w:rPr>
          <w:rFonts w:ascii="Bookman Old Style" w:hAnsi="Bookman Old Style"/>
          <w:sz w:val="24"/>
          <w:szCs w:val="24"/>
        </w:rPr>
        <w:t>Program</w:t>
      </w:r>
      <w:r w:rsidR="00A954D0" w:rsidRPr="008379CA">
        <w:rPr>
          <w:rFonts w:ascii="Bookman Old Style" w:hAnsi="Bookman Old Style"/>
          <w:sz w:val="24"/>
          <w:szCs w:val="24"/>
        </w:rPr>
        <w:t xml:space="preserve"> </w:t>
      </w:r>
      <w:r w:rsidRPr="008379CA">
        <w:rPr>
          <w:rFonts w:ascii="Bookman Old Style" w:hAnsi="Bookman Old Style"/>
          <w:sz w:val="24"/>
          <w:szCs w:val="24"/>
        </w:rPr>
        <w:t>Penunjang</w:t>
      </w:r>
      <w:r w:rsidR="00A954D0" w:rsidRPr="008379CA">
        <w:rPr>
          <w:rFonts w:ascii="Bookman Old Style" w:hAnsi="Bookman Old Style"/>
          <w:sz w:val="24"/>
          <w:szCs w:val="24"/>
        </w:rPr>
        <w:t xml:space="preserve"> </w:t>
      </w:r>
      <w:r w:rsidRPr="008379CA">
        <w:rPr>
          <w:rFonts w:ascii="Bookman Old Style" w:hAnsi="Bookman Old Style"/>
          <w:sz w:val="24"/>
          <w:szCs w:val="24"/>
        </w:rPr>
        <w:t>Urusan</w:t>
      </w:r>
      <w:r w:rsidR="00A954D0" w:rsidRPr="008379CA">
        <w:rPr>
          <w:rFonts w:ascii="Bookman Old Style" w:hAnsi="Bookman Old Style"/>
          <w:sz w:val="24"/>
          <w:szCs w:val="24"/>
        </w:rPr>
        <w:t xml:space="preserve"> </w:t>
      </w:r>
      <w:r w:rsidRPr="008379CA">
        <w:rPr>
          <w:rFonts w:ascii="Bookman Old Style" w:hAnsi="Bookman Old Style"/>
          <w:sz w:val="24"/>
          <w:szCs w:val="24"/>
        </w:rPr>
        <w:t>Pemerintahan</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00172E1C" w:rsidRPr="008379CA">
        <w:rPr>
          <w:rFonts w:ascii="Bookman Old Style" w:hAnsi="Bookman Old Style"/>
          <w:sz w:val="24"/>
          <w:szCs w:val="24"/>
          <w:lang w:val="id-ID"/>
        </w:rPr>
        <w:t>Kabupaten/Kota</w:t>
      </w:r>
      <w:r w:rsidR="00A954D0" w:rsidRPr="008379CA">
        <w:rPr>
          <w:rFonts w:ascii="Bookman Old Style" w:hAnsi="Bookman Old Style"/>
          <w:sz w:val="24"/>
          <w:szCs w:val="24"/>
        </w:rPr>
        <w:t xml:space="preserve"> </w:t>
      </w:r>
      <w:r w:rsidRPr="008379CA">
        <w:rPr>
          <w:rFonts w:ascii="Bookman Old Style" w:hAnsi="Bookman Old Style" w:cs="Arial"/>
          <w:sz w:val="24"/>
          <w:szCs w:val="24"/>
          <w:lang w:val="de-DE"/>
        </w:rPr>
        <w:t>Rp674.011.322.032,00</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atau</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64,26%</w:t>
      </w:r>
      <w:r w:rsidR="00A954D0" w:rsidRPr="008379CA">
        <w:rPr>
          <w:rFonts w:ascii="Bookman Old Style" w:hAnsi="Bookman Old Style"/>
          <w:sz w:val="24"/>
          <w:szCs w:val="24"/>
          <w:lang w:val="id-ID"/>
        </w:rPr>
        <w:t xml:space="preserve"> </w:t>
      </w:r>
      <w:r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Pr="008379CA">
        <w:rPr>
          <w:rFonts w:ascii="Bookman Old Style" w:hAnsi="Bookman Old Style"/>
          <w:sz w:val="24"/>
          <w:szCs w:val="24"/>
        </w:rPr>
        <w:t>total</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untuk</w:t>
      </w:r>
      <w:r w:rsidR="00A954D0" w:rsidRPr="008379CA">
        <w:rPr>
          <w:rFonts w:ascii="Bookman Old Style" w:hAnsi="Bookman Old Style"/>
          <w:sz w:val="24"/>
          <w:szCs w:val="24"/>
        </w:rPr>
        <w:t xml:space="preserve"> </w:t>
      </w:r>
      <w:r w:rsidRPr="008379CA">
        <w:rPr>
          <w:rFonts w:ascii="Bookman Old Style" w:hAnsi="Bookman Old Style"/>
          <w:sz w:val="24"/>
          <w:szCs w:val="24"/>
        </w:rPr>
        <w:t>kesehatan</w:t>
      </w:r>
      <w:r w:rsidRPr="008379CA">
        <w:rPr>
          <w:rFonts w:ascii="Bookman Old Style" w:hAnsi="Bookman Old Style"/>
          <w:sz w:val="24"/>
          <w:szCs w:val="24"/>
          <w:lang w:val="id-ID"/>
        </w:rPr>
        <w:t>,</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yang</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diuraikan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pada</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kegiatan:</w:t>
      </w:r>
    </w:p>
    <w:p w14:paraId="18C07B23" w14:textId="7D4A05E0" w:rsidR="00770F22" w:rsidRPr="008379CA" w:rsidRDefault="00770F22" w:rsidP="00CB0BED">
      <w:pPr>
        <w:pStyle w:val="ListParagraph"/>
        <w:numPr>
          <w:ilvl w:val="0"/>
          <w:numId w:val="89"/>
        </w:numPr>
        <w:spacing w:before="60" w:after="0" w:line="276" w:lineRule="auto"/>
        <w:ind w:left="2268" w:hanging="567"/>
        <w:contextualSpacing w:val="0"/>
        <w:jc w:val="both"/>
        <w:rPr>
          <w:rFonts w:ascii="Bookman Old Style" w:hAnsi="Bookman Old Style"/>
          <w:sz w:val="24"/>
          <w:szCs w:val="24"/>
        </w:rPr>
      </w:pPr>
      <w:r w:rsidRPr="008379CA">
        <w:rPr>
          <w:rFonts w:ascii="Bookman Old Style" w:hAnsi="Bookman Old Style"/>
          <w:sz w:val="24"/>
          <w:szCs w:val="24"/>
        </w:rPr>
        <w:t>Perencanaan,</w:t>
      </w:r>
      <w:r w:rsidR="00A954D0" w:rsidRPr="008379CA">
        <w:rPr>
          <w:rFonts w:ascii="Bookman Old Style" w:hAnsi="Bookman Old Style"/>
          <w:sz w:val="24"/>
          <w:szCs w:val="24"/>
        </w:rPr>
        <w:t xml:space="preserve"> </w:t>
      </w:r>
      <w:r w:rsidRPr="008379CA">
        <w:rPr>
          <w:rFonts w:ascii="Bookman Old Style" w:hAnsi="Bookman Old Style"/>
          <w:sz w:val="24"/>
          <w:szCs w:val="24"/>
        </w:rPr>
        <w:t>Penganggaran,</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Pr="008379CA">
        <w:rPr>
          <w:rFonts w:ascii="Bookman Old Style" w:hAnsi="Bookman Old Style"/>
          <w:sz w:val="24"/>
          <w:szCs w:val="24"/>
        </w:rPr>
        <w:t>Evaluasi</w:t>
      </w:r>
      <w:r w:rsidR="00A954D0" w:rsidRPr="008379CA">
        <w:rPr>
          <w:rFonts w:ascii="Bookman Old Style" w:hAnsi="Bookman Old Style"/>
          <w:sz w:val="24"/>
          <w:szCs w:val="24"/>
        </w:rPr>
        <w:t xml:space="preserve"> </w:t>
      </w:r>
      <w:r w:rsidRPr="008379CA">
        <w:rPr>
          <w:rFonts w:ascii="Bookman Old Style" w:hAnsi="Bookman Old Style"/>
          <w:sz w:val="24"/>
          <w:szCs w:val="24"/>
        </w:rPr>
        <w:t>Kinerja</w:t>
      </w:r>
      <w:r w:rsidR="00A954D0" w:rsidRPr="008379CA">
        <w:rPr>
          <w:rFonts w:ascii="Bookman Old Style" w:hAnsi="Bookman Old Style"/>
          <w:sz w:val="24"/>
          <w:szCs w:val="24"/>
        </w:rPr>
        <w:t xml:space="preserve"> </w:t>
      </w:r>
      <w:r w:rsidRPr="008379CA">
        <w:rPr>
          <w:rFonts w:ascii="Bookman Old Style" w:hAnsi="Bookman Old Style"/>
          <w:sz w:val="24"/>
          <w:szCs w:val="24"/>
        </w:rPr>
        <w:t>Perangkat</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Rp414.763.200,00</w:t>
      </w:r>
      <w:r w:rsidR="00A954D0" w:rsidRPr="008379CA">
        <w:rPr>
          <w:rFonts w:ascii="Bookman Old Style" w:hAnsi="Bookman Old Style"/>
          <w:sz w:val="24"/>
          <w:szCs w:val="24"/>
        </w:rPr>
        <w:t xml:space="preserve"> </w:t>
      </w:r>
      <w:r w:rsidRPr="008379CA">
        <w:rPr>
          <w:rFonts w:ascii="Bookman Old Style" w:hAnsi="Bookman Old Style"/>
          <w:sz w:val="24"/>
          <w:szCs w:val="24"/>
        </w:rPr>
        <w:t>atau</w:t>
      </w:r>
      <w:r w:rsidR="00A954D0" w:rsidRPr="008379CA">
        <w:rPr>
          <w:rFonts w:ascii="Bookman Old Style" w:hAnsi="Bookman Old Style"/>
          <w:sz w:val="24"/>
          <w:szCs w:val="24"/>
        </w:rPr>
        <w:t xml:space="preserve"> </w:t>
      </w:r>
      <w:r w:rsidRPr="008379CA">
        <w:rPr>
          <w:rFonts w:ascii="Bookman Old Style" w:hAnsi="Bookman Old Style"/>
          <w:sz w:val="24"/>
          <w:szCs w:val="24"/>
        </w:rPr>
        <w:t>0,04%</w:t>
      </w:r>
      <w:r w:rsidR="00A954D0" w:rsidRPr="008379CA">
        <w:rPr>
          <w:rFonts w:ascii="Bookman Old Style" w:hAnsi="Bookman Old Style"/>
          <w:sz w:val="24"/>
          <w:szCs w:val="24"/>
        </w:rPr>
        <w:t xml:space="preserve"> </w:t>
      </w:r>
      <w:r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Pr="008379CA">
        <w:rPr>
          <w:rFonts w:ascii="Bookman Old Style" w:hAnsi="Bookman Old Style"/>
          <w:sz w:val="24"/>
          <w:szCs w:val="24"/>
        </w:rPr>
        <w:t>total</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untuk</w:t>
      </w:r>
      <w:r w:rsidR="00A954D0" w:rsidRPr="008379CA">
        <w:rPr>
          <w:rFonts w:ascii="Bookman Old Style" w:hAnsi="Bookman Old Style"/>
          <w:sz w:val="24"/>
          <w:szCs w:val="24"/>
        </w:rPr>
        <w:t xml:space="preserve"> </w:t>
      </w:r>
      <w:r w:rsidRPr="008379CA">
        <w:rPr>
          <w:rFonts w:ascii="Bookman Old Style" w:hAnsi="Bookman Old Style"/>
          <w:sz w:val="24"/>
          <w:szCs w:val="24"/>
        </w:rPr>
        <w:t>kesehatan;</w:t>
      </w:r>
    </w:p>
    <w:p w14:paraId="2B40A41D" w14:textId="22E01541" w:rsidR="00770F22" w:rsidRPr="008379CA" w:rsidRDefault="00770F22" w:rsidP="00CB0BED">
      <w:pPr>
        <w:pStyle w:val="ListParagraph"/>
        <w:numPr>
          <w:ilvl w:val="0"/>
          <w:numId w:val="89"/>
        </w:numPr>
        <w:spacing w:before="60" w:after="0" w:line="276" w:lineRule="auto"/>
        <w:ind w:left="2268" w:hanging="567"/>
        <w:contextualSpacing w:val="0"/>
        <w:jc w:val="both"/>
        <w:rPr>
          <w:rFonts w:ascii="Bookman Old Style" w:hAnsi="Bookman Old Style"/>
          <w:sz w:val="24"/>
          <w:szCs w:val="24"/>
        </w:rPr>
      </w:pPr>
      <w:r w:rsidRPr="008379CA">
        <w:rPr>
          <w:rFonts w:ascii="Bookman Old Style" w:hAnsi="Bookman Old Style"/>
          <w:sz w:val="24"/>
          <w:szCs w:val="24"/>
        </w:rPr>
        <w:lastRenderedPageBreak/>
        <w:t>Administrasi</w:t>
      </w:r>
      <w:r w:rsidR="00A954D0" w:rsidRPr="008379CA">
        <w:rPr>
          <w:rFonts w:ascii="Bookman Old Style" w:hAnsi="Bookman Old Style"/>
          <w:sz w:val="24"/>
          <w:szCs w:val="24"/>
        </w:rPr>
        <w:t xml:space="preserve"> </w:t>
      </w:r>
      <w:r w:rsidRPr="008379CA">
        <w:rPr>
          <w:rFonts w:ascii="Bookman Old Style" w:hAnsi="Bookman Old Style"/>
          <w:sz w:val="24"/>
          <w:szCs w:val="24"/>
        </w:rPr>
        <w:t>Keuangan</w:t>
      </w:r>
      <w:r w:rsidR="00A954D0" w:rsidRPr="008379CA">
        <w:rPr>
          <w:rFonts w:ascii="Bookman Old Style" w:hAnsi="Bookman Old Style"/>
          <w:sz w:val="24"/>
          <w:szCs w:val="24"/>
        </w:rPr>
        <w:t xml:space="preserve"> </w:t>
      </w:r>
      <w:r w:rsidRPr="008379CA">
        <w:rPr>
          <w:rFonts w:ascii="Bookman Old Style" w:hAnsi="Bookman Old Style"/>
          <w:sz w:val="24"/>
          <w:szCs w:val="24"/>
        </w:rPr>
        <w:t>Perangkat</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Rp420.334.729.966,00</w:t>
      </w:r>
      <w:r w:rsidR="00A954D0" w:rsidRPr="008379CA">
        <w:rPr>
          <w:rFonts w:ascii="Bookman Old Style" w:hAnsi="Bookman Old Style"/>
          <w:sz w:val="24"/>
          <w:szCs w:val="24"/>
        </w:rPr>
        <w:t xml:space="preserve"> </w:t>
      </w:r>
      <w:r w:rsidRPr="008379CA">
        <w:rPr>
          <w:rFonts w:ascii="Bookman Old Style" w:hAnsi="Bookman Old Style"/>
          <w:sz w:val="24"/>
          <w:szCs w:val="24"/>
        </w:rPr>
        <w:t>atau</w:t>
      </w:r>
      <w:r w:rsidR="00A954D0" w:rsidRPr="008379CA">
        <w:rPr>
          <w:rFonts w:ascii="Bookman Old Style" w:hAnsi="Bookman Old Style"/>
          <w:sz w:val="24"/>
          <w:szCs w:val="24"/>
        </w:rPr>
        <w:t xml:space="preserve"> </w:t>
      </w:r>
      <w:r w:rsidRPr="008379CA">
        <w:rPr>
          <w:rFonts w:ascii="Bookman Old Style" w:hAnsi="Bookman Old Style"/>
          <w:sz w:val="24"/>
          <w:szCs w:val="24"/>
        </w:rPr>
        <w:t>40,08%</w:t>
      </w:r>
      <w:r w:rsidR="00A954D0" w:rsidRPr="008379CA">
        <w:rPr>
          <w:rFonts w:ascii="Bookman Old Style" w:hAnsi="Bookman Old Style"/>
          <w:sz w:val="24"/>
          <w:szCs w:val="24"/>
        </w:rPr>
        <w:t xml:space="preserve"> </w:t>
      </w:r>
      <w:r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Pr="008379CA">
        <w:rPr>
          <w:rFonts w:ascii="Bookman Old Style" w:hAnsi="Bookman Old Style"/>
          <w:sz w:val="24"/>
          <w:szCs w:val="24"/>
        </w:rPr>
        <w:t>total</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untuk</w:t>
      </w:r>
      <w:r w:rsidR="00A954D0" w:rsidRPr="008379CA">
        <w:rPr>
          <w:rFonts w:ascii="Bookman Old Style" w:hAnsi="Bookman Old Style"/>
          <w:sz w:val="24"/>
          <w:szCs w:val="24"/>
        </w:rPr>
        <w:t xml:space="preserve"> </w:t>
      </w:r>
      <w:r w:rsidRPr="008379CA">
        <w:rPr>
          <w:rFonts w:ascii="Bookman Old Style" w:hAnsi="Bookman Old Style"/>
          <w:sz w:val="24"/>
          <w:szCs w:val="24"/>
        </w:rPr>
        <w:t>kesehatan;</w:t>
      </w:r>
    </w:p>
    <w:p w14:paraId="69E4C16D" w14:textId="66E51BC1" w:rsidR="00770F22" w:rsidRPr="008379CA" w:rsidRDefault="00770F22" w:rsidP="00CB0BED">
      <w:pPr>
        <w:pStyle w:val="ListParagraph"/>
        <w:numPr>
          <w:ilvl w:val="0"/>
          <w:numId w:val="89"/>
        </w:numPr>
        <w:spacing w:before="60" w:after="0" w:line="276" w:lineRule="auto"/>
        <w:ind w:left="2268" w:hanging="567"/>
        <w:contextualSpacing w:val="0"/>
        <w:jc w:val="both"/>
        <w:rPr>
          <w:rFonts w:ascii="Bookman Old Style" w:hAnsi="Bookman Old Style"/>
          <w:sz w:val="24"/>
          <w:szCs w:val="24"/>
        </w:rPr>
      </w:pPr>
      <w:r w:rsidRPr="008379CA">
        <w:rPr>
          <w:rFonts w:ascii="Bookman Old Style" w:hAnsi="Bookman Old Style"/>
          <w:sz w:val="24"/>
          <w:szCs w:val="24"/>
        </w:rPr>
        <w:t>Administrasi</w:t>
      </w:r>
      <w:r w:rsidR="00A954D0" w:rsidRPr="008379CA">
        <w:rPr>
          <w:rFonts w:ascii="Bookman Old Style" w:hAnsi="Bookman Old Style"/>
          <w:sz w:val="24"/>
          <w:szCs w:val="24"/>
        </w:rPr>
        <w:t xml:space="preserve"> </w:t>
      </w:r>
      <w:r w:rsidRPr="008379CA">
        <w:rPr>
          <w:rFonts w:ascii="Bookman Old Style" w:hAnsi="Bookman Old Style"/>
          <w:sz w:val="24"/>
          <w:szCs w:val="24"/>
        </w:rPr>
        <w:t>Kepegawaian</w:t>
      </w:r>
      <w:r w:rsidR="00A954D0" w:rsidRPr="008379CA">
        <w:rPr>
          <w:rFonts w:ascii="Bookman Old Style" w:hAnsi="Bookman Old Style"/>
          <w:sz w:val="24"/>
          <w:szCs w:val="24"/>
        </w:rPr>
        <w:t xml:space="preserve"> </w:t>
      </w:r>
      <w:r w:rsidRPr="008379CA">
        <w:rPr>
          <w:rFonts w:ascii="Bookman Old Style" w:hAnsi="Bookman Old Style"/>
          <w:sz w:val="24"/>
          <w:szCs w:val="24"/>
        </w:rPr>
        <w:t>Perangkat</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Rp632.550.000,00</w:t>
      </w:r>
      <w:r w:rsidR="00A954D0" w:rsidRPr="008379CA">
        <w:rPr>
          <w:rFonts w:ascii="Bookman Old Style" w:hAnsi="Bookman Old Style"/>
          <w:sz w:val="24"/>
          <w:szCs w:val="24"/>
        </w:rPr>
        <w:t xml:space="preserve"> </w:t>
      </w:r>
      <w:r w:rsidRPr="008379CA">
        <w:rPr>
          <w:rFonts w:ascii="Bookman Old Style" w:hAnsi="Bookman Old Style"/>
          <w:sz w:val="24"/>
          <w:szCs w:val="24"/>
        </w:rPr>
        <w:t>atau</w:t>
      </w:r>
      <w:r w:rsidR="00A954D0" w:rsidRPr="008379CA">
        <w:rPr>
          <w:rFonts w:ascii="Bookman Old Style" w:hAnsi="Bookman Old Style"/>
          <w:sz w:val="24"/>
          <w:szCs w:val="24"/>
        </w:rPr>
        <w:t xml:space="preserve"> </w:t>
      </w:r>
      <w:r w:rsidRPr="008379CA">
        <w:rPr>
          <w:rFonts w:ascii="Bookman Old Style" w:hAnsi="Bookman Old Style"/>
          <w:sz w:val="24"/>
          <w:szCs w:val="24"/>
        </w:rPr>
        <w:t>0,06%</w:t>
      </w:r>
      <w:r w:rsidR="00A954D0" w:rsidRPr="008379CA">
        <w:rPr>
          <w:rFonts w:ascii="Bookman Old Style" w:hAnsi="Bookman Old Style"/>
          <w:sz w:val="24"/>
          <w:szCs w:val="24"/>
        </w:rPr>
        <w:t xml:space="preserve"> </w:t>
      </w:r>
      <w:r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Pr="008379CA">
        <w:rPr>
          <w:rFonts w:ascii="Bookman Old Style" w:hAnsi="Bookman Old Style"/>
          <w:sz w:val="24"/>
          <w:szCs w:val="24"/>
        </w:rPr>
        <w:t>total</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untuk</w:t>
      </w:r>
      <w:r w:rsidR="00A954D0" w:rsidRPr="008379CA">
        <w:rPr>
          <w:rFonts w:ascii="Bookman Old Style" w:hAnsi="Bookman Old Style"/>
          <w:sz w:val="24"/>
          <w:szCs w:val="24"/>
        </w:rPr>
        <w:t xml:space="preserve"> </w:t>
      </w:r>
      <w:r w:rsidRPr="008379CA">
        <w:rPr>
          <w:rFonts w:ascii="Bookman Old Style" w:hAnsi="Bookman Old Style"/>
          <w:sz w:val="24"/>
          <w:szCs w:val="24"/>
        </w:rPr>
        <w:t>kesehatan;</w:t>
      </w:r>
    </w:p>
    <w:p w14:paraId="07DD6B16" w14:textId="00543B5B" w:rsidR="00770F22" w:rsidRPr="008379CA" w:rsidRDefault="00770F22" w:rsidP="00CB0BED">
      <w:pPr>
        <w:pStyle w:val="ListParagraph"/>
        <w:numPr>
          <w:ilvl w:val="0"/>
          <w:numId w:val="89"/>
        </w:numPr>
        <w:spacing w:before="60" w:after="0" w:line="276" w:lineRule="auto"/>
        <w:ind w:left="2268" w:hanging="567"/>
        <w:contextualSpacing w:val="0"/>
        <w:jc w:val="both"/>
        <w:rPr>
          <w:rFonts w:ascii="Bookman Old Style" w:hAnsi="Bookman Old Style"/>
          <w:sz w:val="24"/>
          <w:szCs w:val="24"/>
        </w:rPr>
      </w:pPr>
      <w:r w:rsidRPr="008379CA">
        <w:rPr>
          <w:rFonts w:ascii="Bookman Old Style" w:hAnsi="Bookman Old Style"/>
          <w:sz w:val="24"/>
          <w:szCs w:val="24"/>
        </w:rPr>
        <w:t>Administrasi</w:t>
      </w:r>
      <w:r w:rsidR="00A954D0" w:rsidRPr="008379CA">
        <w:rPr>
          <w:rFonts w:ascii="Bookman Old Style" w:hAnsi="Bookman Old Style"/>
          <w:sz w:val="24"/>
          <w:szCs w:val="24"/>
        </w:rPr>
        <w:t xml:space="preserve"> </w:t>
      </w:r>
      <w:r w:rsidRPr="008379CA">
        <w:rPr>
          <w:rFonts w:ascii="Bookman Old Style" w:hAnsi="Bookman Old Style"/>
          <w:sz w:val="24"/>
          <w:szCs w:val="24"/>
        </w:rPr>
        <w:t>Umum</w:t>
      </w:r>
      <w:r w:rsidR="00A954D0" w:rsidRPr="008379CA">
        <w:rPr>
          <w:rFonts w:ascii="Bookman Old Style" w:hAnsi="Bookman Old Style"/>
          <w:sz w:val="24"/>
          <w:szCs w:val="24"/>
        </w:rPr>
        <w:t xml:space="preserve"> </w:t>
      </w:r>
      <w:r w:rsidRPr="008379CA">
        <w:rPr>
          <w:rFonts w:ascii="Bookman Old Style" w:hAnsi="Bookman Old Style"/>
          <w:sz w:val="24"/>
          <w:szCs w:val="24"/>
        </w:rPr>
        <w:t>Perangkat</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Rp4.798.923.685,00</w:t>
      </w:r>
      <w:r w:rsidR="00A954D0" w:rsidRPr="008379CA">
        <w:rPr>
          <w:rFonts w:ascii="Bookman Old Style" w:hAnsi="Bookman Old Style"/>
          <w:sz w:val="24"/>
          <w:szCs w:val="24"/>
        </w:rPr>
        <w:t xml:space="preserve"> </w:t>
      </w:r>
      <w:r w:rsidRPr="008379CA">
        <w:rPr>
          <w:rFonts w:ascii="Bookman Old Style" w:hAnsi="Bookman Old Style"/>
          <w:sz w:val="24"/>
          <w:szCs w:val="24"/>
        </w:rPr>
        <w:t>atau</w:t>
      </w:r>
      <w:r w:rsidR="00A954D0" w:rsidRPr="008379CA">
        <w:rPr>
          <w:rFonts w:ascii="Bookman Old Style" w:hAnsi="Bookman Old Style"/>
          <w:sz w:val="24"/>
          <w:szCs w:val="24"/>
        </w:rPr>
        <w:t xml:space="preserve"> </w:t>
      </w:r>
      <w:r w:rsidRPr="008379CA">
        <w:rPr>
          <w:rFonts w:ascii="Bookman Old Style" w:hAnsi="Bookman Old Style"/>
          <w:sz w:val="24"/>
          <w:szCs w:val="24"/>
        </w:rPr>
        <w:t>0,46%</w:t>
      </w:r>
      <w:r w:rsidR="00A954D0" w:rsidRPr="008379CA">
        <w:rPr>
          <w:rFonts w:ascii="Bookman Old Style" w:hAnsi="Bookman Old Style"/>
          <w:sz w:val="24"/>
          <w:szCs w:val="24"/>
        </w:rPr>
        <w:t xml:space="preserve"> </w:t>
      </w:r>
      <w:r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Pr="008379CA">
        <w:rPr>
          <w:rFonts w:ascii="Bookman Old Style" w:hAnsi="Bookman Old Style"/>
          <w:sz w:val="24"/>
          <w:szCs w:val="24"/>
        </w:rPr>
        <w:t>total</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untuk</w:t>
      </w:r>
      <w:r w:rsidR="00A954D0" w:rsidRPr="008379CA">
        <w:rPr>
          <w:rFonts w:ascii="Bookman Old Style" w:hAnsi="Bookman Old Style"/>
          <w:sz w:val="24"/>
          <w:szCs w:val="24"/>
        </w:rPr>
        <w:t xml:space="preserve"> </w:t>
      </w:r>
      <w:r w:rsidRPr="008379CA">
        <w:rPr>
          <w:rFonts w:ascii="Bookman Old Style" w:hAnsi="Bookman Old Style"/>
          <w:sz w:val="24"/>
          <w:szCs w:val="24"/>
        </w:rPr>
        <w:t>kesehatan;</w:t>
      </w:r>
    </w:p>
    <w:p w14:paraId="5461E177" w14:textId="3998C1C2" w:rsidR="00770F22" w:rsidRPr="008379CA" w:rsidRDefault="00770F22" w:rsidP="00CB0BED">
      <w:pPr>
        <w:pStyle w:val="ListParagraph"/>
        <w:numPr>
          <w:ilvl w:val="0"/>
          <w:numId w:val="89"/>
        </w:numPr>
        <w:spacing w:before="60" w:after="0" w:line="276" w:lineRule="auto"/>
        <w:ind w:left="2268" w:hanging="567"/>
        <w:contextualSpacing w:val="0"/>
        <w:jc w:val="both"/>
        <w:rPr>
          <w:rFonts w:ascii="Bookman Old Style" w:hAnsi="Bookman Old Style"/>
          <w:sz w:val="24"/>
          <w:szCs w:val="24"/>
        </w:rPr>
      </w:pPr>
      <w:r w:rsidRPr="008379CA">
        <w:rPr>
          <w:rFonts w:ascii="Bookman Old Style" w:hAnsi="Bookman Old Style"/>
          <w:sz w:val="24"/>
          <w:szCs w:val="24"/>
        </w:rPr>
        <w:t>Pengadaan</w:t>
      </w:r>
      <w:r w:rsidR="00A954D0" w:rsidRPr="008379CA">
        <w:rPr>
          <w:rFonts w:ascii="Bookman Old Style" w:hAnsi="Bookman Old Style"/>
          <w:sz w:val="24"/>
          <w:szCs w:val="24"/>
        </w:rPr>
        <w:t xml:space="preserve"> </w:t>
      </w:r>
      <w:r w:rsidRPr="008379CA">
        <w:rPr>
          <w:rFonts w:ascii="Bookman Old Style" w:hAnsi="Bookman Old Style"/>
          <w:sz w:val="24"/>
          <w:szCs w:val="24"/>
        </w:rPr>
        <w:t>Barang</w:t>
      </w:r>
      <w:r w:rsidR="00A954D0" w:rsidRPr="008379CA">
        <w:rPr>
          <w:rFonts w:ascii="Bookman Old Style" w:hAnsi="Bookman Old Style"/>
          <w:sz w:val="24"/>
          <w:szCs w:val="24"/>
        </w:rPr>
        <w:t xml:space="preserve"> </w:t>
      </w:r>
      <w:r w:rsidRPr="008379CA">
        <w:rPr>
          <w:rFonts w:ascii="Bookman Old Style" w:hAnsi="Bookman Old Style"/>
          <w:sz w:val="24"/>
          <w:szCs w:val="24"/>
        </w:rPr>
        <w:t>Milik</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Penunjang</w:t>
      </w:r>
      <w:r w:rsidR="00A954D0" w:rsidRPr="008379CA">
        <w:rPr>
          <w:rFonts w:ascii="Bookman Old Style" w:hAnsi="Bookman Old Style"/>
          <w:sz w:val="24"/>
          <w:szCs w:val="24"/>
        </w:rPr>
        <w:t xml:space="preserve"> </w:t>
      </w:r>
      <w:r w:rsidRPr="008379CA">
        <w:rPr>
          <w:rFonts w:ascii="Bookman Old Style" w:hAnsi="Bookman Old Style"/>
          <w:sz w:val="24"/>
          <w:szCs w:val="24"/>
        </w:rPr>
        <w:t>Urusan</w:t>
      </w:r>
      <w:r w:rsidR="00A954D0" w:rsidRPr="008379CA">
        <w:rPr>
          <w:rFonts w:ascii="Bookman Old Style" w:hAnsi="Bookman Old Style"/>
          <w:sz w:val="24"/>
          <w:szCs w:val="24"/>
        </w:rPr>
        <w:t xml:space="preserve"> </w:t>
      </w:r>
      <w:r w:rsidRPr="008379CA">
        <w:rPr>
          <w:rFonts w:ascii="Bookman Old Style" w:hAnsi="Bookman Old Style"/>
          <w:sz w:val="24"/>
          <w:szCs w:val="24"/>
        </w:rPr>
        <w:t>Pemerintah</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Rp10.235.170.852,00</w:t>
      </w:r>
      <w:r w:rsidR="00A954D0" w:rsidRPr="008379CA">
        <w:rPr>
          <w:rFonts w:ascii="Bookman Old Style" w:hAnsi="Bookman Old Style"/>
          <w:sz w:val="24"/>
          <w:szCs w:val="24"/>
        </w:rPr>
        <w:t xml:space="preserve"> </w:t>
      </w:r>
      <w:r w:rsidRPr="008379CA">
        <w:rPr>
          <w:rFonts w:ascii="Bookman Old Style" w:hAnsi="Bookman Old Style"/>
          <w:sz w:val="24"/>
          <w:szCs w:val="24"/>
        </w:rPr>
        <w:t>atau</w:t>
      </w:r>
      <w:r w:rsidR="00A954D0" w:rsidRPr="008379CA">
        <w:rPr>
          <w:rFonts w:ascii="Bookman Old Style" w:hAnsi="Bookman Old Style"/>
          <w:sz w:val="24"/>
          <w:szCs w:val="24"/>
        </w:rPr>
        <w:t xml:space="preserve"> </w:t>
      </w:r>
      <w:r w:rsidRPr="008379CA">
        <w:rPr>
          <w:rFonts w:ascii="Bookman Old Style" w:hAnsi="Bookman Old Style"/>
          <w:sz w:val="24"/>
          <w:szCs w:val="24"/>
        </w:rPr>
        <w:t>0,98%</w:t>
      </w:r>
      <w:r w:rsidR="00A954D0" w:rsidRPr="008379CA">
        <w:rPr>
          <w:rFonts w:ascii="Bookman Old Style" w:hAnsi="Bookman Old Style"/>
          <w:sz w:val="24"/>
          <w:szCs w:val="24"/>
        </w:rPr>
        <w:t xml:space="preserve"> </w:t>
      </w:r>
      <w:r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Pr="008379CA">
        <w:rPr>
          <w:rFonts w:ascii="Bookman Old Style" w:hAnsi="Bookman Old Style"/>
          <w:sz w:val="24"/>
          <w:szCs w:val="24"/>
        </w:rPr>
        <w:t>total</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untuk</w:t>
      </w:r>
      <w:r w:rsidR="00A954D0" w:rsidRPr="008379CA">
        <w:rPr>
          <w:rFonts w:ascii="Bookman Old Style" w:hAnsi="Bookman Old Style"/>
          <w:sz w:val="24"/>
          <w:szCs w:val="24"/>
        </w:rPr>
        <w:t xml:space="preserve"> </w:t>
      </w:r>
      <w:r w:rsidRPr="008379CA">
        <w:rPr>
          <w:rFonts w:ascii="Bookman Old Style" w:hAnsi="Bookman Old Style"/>
          <w:sz w:val="24"/>
          <w:szCs w:val="24"/>
        </w:rPr>
        <w:t>kesehatan;</w:t>
      </w:r>
    </w:p>
    <w:p w14:paraId="4A136E18" w14:textId="3696A5ED" w:rsidR="00770F22" w:rsidRPr="008379CA" w:rsidRDefault="00770F22" w:rsidP="00CB0BED">
      <w:pPr>
        <w:pStyle w:val="ListParagraph"/>
        <w:numPr>
          <w:ilvl w:val="0"/>
          <w:numId w:val="89"/>
        </w:numPr>
        <w:spacing w:before="60" w:after="0" w:line="276" w:lineRule="auto"/>
        <w:ind w:left="2268" w:hanging="567"/>
        <w:contextualSpacing w:val="0"/>
        <w:jc w:val="both"/>
        <w:rPr>
          <w:rFonts w:ascii="Bookman Old Style" w:hAnsi="Bookman Old Style"/>
          <w:sz w:val="24"/>
          <w:szCs w:val="24"/>
        </w:rPr>
      </w:pPr>
      <w:r w:rsidRPr="008379CA">
        <w:rPr>
          <w:rFonts w:ascii="Bookman Old Style" w:hAnsi="Bookman Old Style"/>
          <w:sz w:val="24"/>
          <w:szCs w:val="24"/>
        </w:rPr>
        <w:t>Penyediaan</w:t>
      </w:r>
      <w:r w:rsidR="00A954D0" w:rsidRPr="008379CA">
        <w:rPr>
          <w:rFonts w:ascii="Bookman Old Style" w:hAnsi="Bookman Old Style"/>
          <w:sz w:val="24"/>
          <w:szCs w:val="24"/>
        </w:rPr>
        <w:t xml:space="preserve"> </w:t>
      </w:r>
      <w:r w:rsidRPr="008379CA">
        <w:rPr>
          <w:rFonts w:ascii="Bookman Old Style" w:hAnsi="Bookman Old Style"/>
          <w:sz w:val="24"/>
          <w:szCs w:val="24"/>
        </w:rPr>
        <w:t>Jasa</w:t>
      </w:r>
      <w:r w:rsidR="00A954D0" w:rsidRPr="008379CA">
        <w:rPr>
          <w:rFonts w:ascii="Bookman Old Style" w:hAnsi="Bookman Old Style"/>
          <w:sz w:val="24"/>
          <w:szCs w:val="24"/>
        </w:rPr>
        <w:t xml:space="preserve"> </w:t>
      </w:r>
      <w:r w:rsidRPr="008379CA">
        <w:rPr>
          <w:rFonts w:ascii="Bookman Old Style" w:hAnsi="Bookman Old Style"/>
          <w:sz w:val="24"/>
          <w:szCs w:val="24"/>
        </w:rPr>
        <w:t>Penunjang</w:t>
      </w:r>
      <w:r w:rsidR="00A954D0" w:rsidRPr="008379CA">
        <w:rPr>
          <w:rFonts w:ascii="Bookman Old Style" w:hAnsi="Bookman Old Style"/>
          <w:sz w:val="24"/>
          <w:szCs w:val="24"/>
        </w:rPr>
        <w:t xml:space="preserve"> </w:t>
      </w:r>
      <w:r w:rsidRPr="008379CA">
        <w:rPr>
          <w:rFonts w:ascii="Bookman Old Style" w:hAnsi="Bookman Old Style"/>
          <w:sz w:val="24"/>
          <w:szCs w:val="24"/>
        </w:rPr>
        <w:t>Urusan</w:t>
      </w:r>
      <w:r w:rsidR="00A954D0" w:rsidRPr="008379CA">
        <w:rPr>
          <w:rFonts w:ascii="Bookman Old Style" w:hAnsi="Bookman Old Style"/>
          <w:sz w:val="24"/>
          <w:szCs w:val="24"/>
        </w:rPr>
        <w:t xml:space="preserve"> </w:t>
      </w:r>
      <w:r w:rsidRPr="008379CA">
        <w:rPr>
          <w:rFonts w:ascii="Bookman Old Style" w:hAnsi="Bookman Old Style"/>
          <w:sz w:val="24"/>
          <w:szCs w:val="24"/>
        </w:rPr>
        <w:t>Pemerintahan</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Rp29.868.518.560,00</w:t>
      </w:r>
      <w:r w:rsidR="00A954D0" w:rsidRPr="008379CA">
        <w:rPr>
          <w:rFonts w:ascii="Bookman Old Style" w:hAnsi="Bookman Old Style"/>
          <w:sz w:val="24"/>
          <w:szCs w:val="24"/>
        </w:rPr>
        <w:t xml:space="preserve"> </w:t>
      </w:r>
      <w:r w:rsidRPr="008379CA">
        <w:rPr>
          <w:rFonts w:ascii="Bookman Old Style" w:hAnsi="Bookman Old Style"/>
          <w:sz w:val="24"/>
          <w:szCs w:val="24"/>
        </w:rPr>
        <w:t>atau</w:t>
      </w:r>
      <w:r w:rsidR="00A954D0" w:rsidRPr="008379CA">
        <w:rPr>
          <w:rFonts w:ascii="Bookman Old Style" w:hAnsi="Bookman Old Style"/>
          <w:sz w:val="24"/>
          <w:szCs w:val="24"/>
        </w:rPr>
        <w:t xml:space="preserve"> </w:t>
      </w:r>
      <w:r w:rsidRPr="008379CA">
        <w:rPr>
          <w:rFonts w:ascii="Bookman Old Style" w:hAnsi="Bookman Old Style"/>
          <w:sz w:val="24"/>
          <w:szCs w:val="24"/>
        </w:rPr>
        <w:t>2,85%</w:t>
      </w:r>
      <w:r w:rsidR="00A954D0" w:rsidRPr="008379CA">
        <w:rPr>
          <w:rFonts w:ascii="Bookman Old Style" w:hAnsi="Bookman Old Style"/>
          <w:sz w:val="24"/>
          <w:szCs w:val="24"/>
        </w:rPr>
        <w:t xml:space="preserve"> </w:t>
      </w:r>
      <w:r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Pr="008379CA">
        <w:rPr>
          <w:rFonts w:ascii="Bookman Old Style" w:hAnsi="Bookman Old Style"/>
          <w:sz w:val="24"/>
          <w:szCs w:val="24"/>
        </w:rPr>
        <w:t>total</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untuk</w:t>
      </w:r>
      <w:r w:rsidR="00A954D0" w:rsidRPr="008379CA">
        <w:rPr>
          <w:rFonts w:ascii="Bookman Old Style" w:hAnsi="Bookman Old Style"/>
          <w:sz w:val="24"/>
          <w:szCs w:val="24"/>
        </w:rPr>
        <w:t xml:space="preserve"> </w:t>
      </w:r>
      <w:r w:rsidRPr="008379CA">
        <w:rPr>
          <w:rFonts w:ascii="Bookman Old Style" w:hAnsi="Bookman Old Style"/>
          <w:sz w:val="24"/>
          <w:szCs w:val="24"/>
        </w:rPr>
        <w:t>kesehatan;</w:t>
      </w:r>
    </w:p>
    <w:p w14:paraId="66735CB8" w14:textId="50EE7C0D" w:rsidR="00770F22" w:rsidRPr="008379CA" w:rsidRDefault="00770F22" w:rsidP="00CB0BED">
      <w:pPr>
        <w:pStyle w:val="ListParagraph"/>
        <w:numPr>
          <w:ilvl w:val="0"/>
          <w:numId w:val="89"/>
        </w:numPr>
        <w:spacing w:before="60" w:after="0" w:line="276" w:lineRule="auto"/>
        <w:ind w:left="2268" w:hanging="567"/>
        <w:contextualSpacing w:val="0"/>
        <w:jc w:val="both"/>
        <w:rPr>
          <w:rFonts w:ascii="Bookman Old Style" w:hAnsi="Bookman Old Style"/>
          <w:sz w:val="24"/>
          <w:szCs w:val="24"/>
        </w:rPr>
      </w:pPr>
      <w:r w:rsidRPr="008379CA">
        <w:rPr>
          <w:rFonts w:ascii="Bookman Old Style" w:hAnsi="Bookman Old Style"/>
          <w:sz w:val="24"/>
          <w:szCs w:val="24"/>
        </w:rPr>
        <w:t>Pemeliharaan</w:t>
      </w:r>
      <w:r w:rsidR="00A954D0" w:rsidRPr="008379CA">
        <w:rPr>
          <w:rFonts w:ascii="Bookman Old Style" w:hAnsi="Bookman Old Style"/>
          <w:sz w:val="24"/>
          <w:szCs w:val="24"/>
        </w:rPr>
        <w:t xml:space="preserve"> </w:t>
      </w:r>
      <w:r w:rsidRPr="008379CA">
        <w:rPr>
          <w:rFonts w:ascii="Bookman Old Style" w:hAnsi="Bookman Old Style"/>
          <w:sz w:val="24"/>
          <w:szCs w:val="24"/>
        </w:rPr>
        <w:t>Barang</w:t>
      </w:r>
      <w:r w:rsidR="00A954D0" w:rsidRPr="008379CA">
        <w:rPr>
          <w:rFonts w:ascii="Bookman Old Style" w:hAnsi="Bookman Old Style"/>
          <w:sz w:val="24"/>
          <w:szCs w:val="24"/>
        </w:rPr>
        <w:t xml:space="preserve"> </w:t>
      </w:r>
      <w:r w:rsidRPr="008379CA">
        <w:rPr>
          <w:rFonts w:ascii="Bookman Old Style" w:hAnsi="Bookman Old Style"/>
          <w:sz w:val="24"/>
          <w:szCs w:val="24"/>
        </w:rPr>
        <w:t>Milik</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Penunjang</w:t>
      </w:r>
      <w:r w:rsidR="00A954D0" w:rsidRPr="008379CA">
        <w:rPr>
          <w:rFonts w:ascii="Bookman Old Style" w:hAnsi="Bookman Old Style"/>
          <w:sz w:val="24"/>
          <w:szCs w:val="24"/>
        </w:rPr>
        <w:t xml:space="preserve"> </w:t>
      </w:r>
      <w:r w:rsidRPr="008379CA">
        <w:rPr>
          <w:rFonts w:ascii="Bookman Old Style" w:hAnsi="Bookman Old Style"/>
          <w:sz w:val="24"/>
          <w:szCs w:val="24"/>
        </w:rPr>
        <w:t>Urusan</w:t>
      </w:r>
      <w:r w:rsidR="00A954D0" w:rsidRPr="008379CA">
        <w:rPr>
          <w:rFonts w:ascii="Bookman Old Style" w:hAnsi="Bookman Old Style"/>
          <w:sz w:val="24"/>
          <w:szCs w:val="24"/>
        </w:rPr>
        <w:t xml:space="preserve"> </w:t>
      </w:r>
      <w:r w:rsidRPr="008379CA">
        <w:rPr>
          <w:rFonts w:ascii="Bookman Old Style" w:hAnsi="Bookman Old Style"/>
          <w:sz w:val="24"/>
          <w:szCs w:val="24"/>
        </w:rPr>
        <w:t>Pemerintahan</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Rp3.502.439.058,00</w:t>
      </w:r>
      <w:r w:rsidR="00A954D0" w:rsidRPr="008379CA">
        <w:rPr>
          <w:rFonts w:ascii="Bookman Old Style" w:hAnsi="Bookman Old Style"/>
          <w:sz w:val="24"/>
          <w:szCs w:val="24"/>
        </w:rPr>
        <w:t xml:space="preserve"> </w:t>
      </w:r>
      <w:r w:rsidRPr="008379CA">
        <w:rPr>
          <w:rFonts w:ascii="Bookman Old Style" w:hAnsi="Bookman Old Style"/>
          <w:sz w:val="24"/>
          <w:szCs w:val="24"/>
        </w:rPr>
        <w:t>atau</w:t>
      </w:r>
      <w:r w:rsidR="00A954D0" w:rsidRPr="008379CA">
        <w:rPr>
          <w:rFonts w:ascii="Bookman Old Style" w:hAnsi="Bookman Old Style"/>
          <w:sz w:val="24"/>
          <w:szCs w:val="24"/>
        </w:rPr>
        <w:t xml:space="preserve"> </w:t>
      </w:r>
      <w:r w:rsidRPr="008379CA">
        <w:rPr>
          <w:rFonts w:ascii="Bookman Old Style" w:hAnsi="Bookman Old Style"/>
          <w:sz w:val="24"/>
          <w:szCs w:val="24"/>
        </w:rPr>
        <w:t>0,33%</w:t>
      </w:r>
      <w:r w:rsidR="00A954D0" w:rsidRPr="008379CA">
        <w:rPr>
          <w:rFonts w:ascii="Bookman Old Style" w:hAnsi="Bookman Old Style"/>
          <w:sz w:val="24"/>
          <w:szCs w:val="24"/>
        </w:rPr>
        <w:t xml:space="preserve"> </w:t>
      </w:r>
      <w:r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Pr="008379CA">
        <w:rPr>
          <w:rFonts w:ascii="Bookman Old Style" w:hAnsi="Bookman Old Style"/>
          <w:sz w:val="24"/>
          <w:szCs w:val="24"/>
        </w:rPr>
        <w:t>total</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untuk</w:t>
      </w:r>
      <w:r w:rsidR="00A954D0" w:rsidRPr="008379CA">
        <w:rPr>
          <w:rFonts w:ascii="Bookman Old Style" w:hAnsi="Bookman Old Style"/>
          <w:sz w:val="24"/>
          <w:szCs w:val="24"/>
        </w:rPr>
        <w:t xml:space="preserve"> </w:t>
      </w:r>
      <w:r w:rsidRPr="008379CA">
        <w:rPr>
          <w:rFonts w:ascii="Bookman Old Style" w:hAnsi="Bookman Old Style"/>
          <w:sz w:val="24"/>
          <w:szCs w:val="24"/>
        </w:rPr>
        <w:t>kesehatan;</w:t>
      </w:r>
    </w:p>
    <w:p w14:paraId="72B8DC0D" w14:textId="1D16DC46" w:rsidR="00770F22" w:rsidRPr="008379CA" w:rsidRDefault="00770F22" w:rsidP="00CB0BED">
      <w:pPr>
        <w:pStyle w:val="ListParagraph"/>
        <w:numPr>
          <w:ilvl w:val="0"/>
          <w:numId w:val="89"/>
        </w:numPr>
        <w:spacing w:before="60" w:after="0" w:line="276" w:lineRule="auto"/>
        <w:ind w:left="2268" w:hanging="567"/>
        <w:contextualSpacing w:val="0"/>
        <w:jc w:val="both"/>
        <w:rPr>
          <w:rFonts w:ascii="Bookman Old Style" w:hAnsi="Bookman Old Style"/>
          <w:sz w:val="24"/>
          <w:szCs w:val="24"/>
        </w:rPr>
      </w:pPr>
      <w:r w:rsidRPr="008379CA">
        <w:rPr>
          <w:rFonts w:ascii="Bookman Old Style" w:hAnsi="Bookman Old Style"/>
          <w:sz w:val="24"/>
          <w:szCs w:val="24"/>
        </w:rPr>
        <w:t>Peningkatan</w:t>
      </w:r>
      <w:r w:rsidR="00A954D0" w:rsidRPr="008379CA">
        <w:rPr>
          <w:rFonts w:ascii="Bookman Old Style" w:hAnsi="Bookman Old Style"/>
          <w:sz w:val="24"/>
          <w:szCs w:val="24"/>
        </w:rPr>
        <w:t xml:space="preserve"> </w:t>
      </w:r>
      <w:r w:rsidRPr="008379CA">
        <w:rPr>
          <w:rFonts w:ascii="Bookman Old Style" w:hAnsi="Bookman Old Style"/>
          <w:sz w:val="24"/>
          <w:szCs w:val="24"/>
        </w:rPr>
        <w:t>Pelayanan</w:t>
      </w:r>
      <w:r w:rsidR="00A954D0" w:rsidRPr="008379CA">
        <w:rPr>
          <w:rFonts w:ascii="Bookman Old Style" w:hAnsi="Bookman Old Style"/>
          <w:sz w:val="24"/>
          <w:szCs w:val="24"/>
        </w:rPr>
        <w:t xml:space="preserve"> </w:t>
      </w:r>
      <w:r w:rsidRPr="008379CA">
        <w:rPr>
          <w:rFonts w:ascii="Bookman Old Style" w:hAnsi="Bookman Old Style"/>
          <w:sz w:val="24"/>
          <w:szCs w:val="24"/>
        </w:rPr>
        <w:t>BLUD</w:t>
      </w:r>
      <w:r w:rsidR="00A954D0" w:rsidRPr="008379CA">
        <w:rPr>
          <w:rFonts w:ascii="Bookman Old Style" w:hAnsi="Bookman Old Style"/>
          <w:sz w:val="24"/>
          <w:szCs w:val="24"/>
        </w:rPr>
        <w:t xml:space="preserve"> </w:t>
      </w:r>
      <w:r w:rsidRPr="008379CA">
        <w:rPr>
          <w:rFonts w:ascii="Bookman Old Style" w:hAnsi="Bookman Old Style"/>
          <w:sz w:val="24"/>
          <w:szCs w:val="24"/>
        </w:rPr>
        <w:t>Rp204.224.226.711,00</w:t>
      </w:r>
      <w:r w:rsidR="00A954D0" w:rsidRPr="008379CA">
        <w:rPr>
          <w:rFonts w:ascii="Bookman Old Style" w:hAnsi="Bookman Old Style"/>
          <w:sz w:val="24"/>
          <w:szCs w:val="24"/>
        </w:rPr>
        <w:t xml:space="preserve"> </w:t>
      </w:r>
      <w:r w:rsidRPr="008379CA">
        <w:rPr>
          <w:rFonts w:ascii="Bookman Old Style" w:hAnsi="Bookman Old Style"/>
          <w:sz w:val="24"/>
          <w:szCs w:val="24"/>
        </w:rPr>
        <w:t>atau</w:t>
      </w:r>
      <w:r w:rsidR="00A954D0" w:rsidRPr="008379CA">
        <w:rPr>
          <w:rFonts w:ascii="Bookman Old Style" w:hAnsi="Bookman Old Style"/>
          <w:sz w:val="24"/>
          <w:szCs w:val="24"/>
        </w:rPr>
        <w:t xml:space="preserve"> </w:t>
      </w:r>
      <w:r w:rsidRPr="008379CA">
        <w:rPr>
          <w:rFonts w:ascii="Bookman Old Style" w:hAnsi="Bookman Old Style"/>
          <w:sz w:val="24"/>
          <w:szCs w:val="24"/>
        </w:rPr>
        <w:t>19,47%</w:t>
      </w:r>
      <w:r w:rsidR="00A954D0" w:rsidRPr="008379CA">
        <w:rPr>
          <w:rFonts w:ascii="Bookman Old Style" w:hAnsi="Bookman Old Style"/>
          <w:sz w:val="24"/>
          <w:szCs w:val="24"/>
        </w:rPr>
        <w:t xml:space="preserve"> </w:t>
      </w:r>
      <w:r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Pr="008379CA">
        <w:rPr>
          <w:rFonts w:ascii="Bookman Old Style" w:hAnsi="Bookman Old Style"/>
          <w:sz w:val="24"/>
          <w:szCs w:val="24"/>
        </w:rPr>
        <w:t>total</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untuk</w:t>
      </w:r>
      <w:r w:rsidR="00A954D0" w:rsidRPr="008379CA">
        <w:rPr>
          <w:rFonts w:ascii="Bookman Old Style" w:hAnsi="Bookman Old Style"/>
          <w:sz w:val="24"/>
          <w:szCs w:val="24"/>
        </w:rPr>
        <w:t xml:space="preserve"> </w:t>
      </w:r>
      <w:r w:rsidRPr="008379CA">
        <w:rPr>
          <w:rFonts w:ascii="Bookman Old Style" w:hAnsi="Bookman Old Style"/>
          <w:sz w:val="24"/>
          <w:szCs w:val="24"/>
        </w:rPr>
        <w:t>kesehatan</w:t>
      </w:r>
      <w:r w:rsidR="00FB2E2D" w:rsidRPr="008379CA">
        <w:rPr>
          <w:rFonts w:ascii="Bookman Old Style" w:hAnsi="Bookman Old Style"/>
          <w:sz w:val="24"/>
          <w:szCs w:val="24"/>
        </w:rPr>
        <w:t>.</w:t>
      </w:r>
    </w:p>
    <w:p w14:paraId="38DEDD6D" w14:textId="6FD2A112" w:rsidR="00770F22" w:rsidRPr="008379CA" w:rsidRDefault="00770F22" w:rsidP="00CB0BED">
      <w:pPr>
        <w:pStyle w:val="ListParagraph"/>
        <w:numPr>
          <w:ilvl w:val="0"/>
          <w:numId w:val="11"/>
        </w:numPr>
        <w:spacing w:before="60" w:after="0" w:line="276" w:lineRule="auto"/>
        <w:ind w:left="1701" w:hanging="442"/>
        <w:contextualSpacing w:val="0"/>
        <w:jc w:val="both"/>
        <w:rPr>
          <w:rFonts w:ascii="Bookman Old Style" w:hAnsi="Bookman Old Style"/>
          <w:sz w:val="24"/>
          <w:szCs w:val="24"/>
        </w:rPr>
      </w:pPr>
      <w:r w:rsidRPr="008379CA">
        <w:rPr>
          <w:rFonts w:ascii="Bookman Old Style" w:hAnsi="Bookman Old Style"/>
          <w:sz w:val="24"/>
          <w:szCs w:val="24"/>
        </w:rPr>
        <w:t>Program</w:t>
      </w:r>
      <w:r w:rsidR="00A954D0" w:rsidRPr="008379CA">
        <w:rPr>
          <w:rFonts w:ascii="Bookman Old Style" w:hAnsi="Bookman Old Style"/>
          <w:sz w:val="24"/>
          <w:szCs w:val="24"/>
        </w:rPr>
        <w:t xml:space="preserve"> </w:t>
      </w:r>
      <w:r w:rsidRPr="008379CA">
        <w:rPr>
          <w:rFonts w:ascii="Bookman Old Style" w:hAnsi="Bookman Old Style"/>
          <w:sz w:val="24"/>
          <w:szCs w:val="24"/>
        </w:rPr>
        <w:t>Pemenuhan</w:t>
      </w:r>
      <w:r w:rsidR="00A954D0" w:rsidRPr="008379CA">
        <w:rPr>
          <w:rFonts w:ascii="Bookman Old Style" w:hAnsi="Bookman Old Style"/>
          <w:sz w:val="24"/>
          <w:szCs w:val="24"/>
        </w:rPr>
        <w:t xml:space="preserve"> </w:t>
      </w:r>
      <w:r w:rsidRPr="008379CA">
        <w:rPr>
          <w:rFonts w:ascii="Bookman Old Style" w:hAnsi="Bookman Old Style"/>
          <w:sz w:val="24"/>
          <w:szCs w:val="24"/>
        </w:rPr>
        <w:t>Upaya</w:t>
      </w:r>
      <w:r w:rsidR="00A954D0" w:rsidRPr="008379CA">
        <w:rPr>
          <w:rFonts w:ascii="Bookman Old Style" w:hAnsi="Bookman Old Style"/>
          <w:sz w:val="24"/>
          <w:szCs w:val="24"/>
        </w:rPr>
        <w:t xml:space="preserve"> </w:t>
      </w:r>
      <w:r w:rsidRPr="008379CA">
        <w:rPr>
          <w:rFonts w:ascii="Bookman Old Style" w:hAnsi="Bookman Old Style"/>
          <w:sz w:val="24"/>
          <w:szCs w:val="24"/>
        </w:rPr>
        <w:t>Kesehatan</w:t>
      </w:r>
      <w:r w:rsidR="00A954D0" w:rsidRPr="008379CA">
        <w:rPr>
          <w:rFonts w:ascii="Bookman Old Style" w:hAnsi="Bookman Old Style"/>
          <w:sz w:val="24"/>
          <w:szCs w:val="24"/>
        </w:rPr>
        <w:t xml:space="preserve"> </w:t>
      </w:r>
      <w:r w:rsidRPr="008379CA">
        <w:rPr>
          <w:rFonts w:ascii="Bookman Old Style" w:hAnsi="Bookman Old Style"/>
          <w:sz w:val="24"/>
          <w:szCs w:val="24"/>
        </w:rPr>
        <w:t>Perorangan</w:t>
      </w:r>
      <w:r w:rsidR="00A954D0" w:rsidRPr="008379CA">
        <w:rPr>
          <w:rFonts w:ascii="Bookman Old Style" w:hAnsi="Bookman Old Style"/>
          <w:sz w:val="24"/>
          <w:szCs w:val="24"/>
        </w:rPr>
        <w:t xml:space="preserve"> </w:t>
      </w:r>
      <w:r w:rsidRPr="008379CA">
        <w:rPr>
          <w:rFonts w:ascii="Bookman Old Style" w:hAnsi="Bookman Old Style"/>
          <w:sz w:val="24"/>
          <w:szCs w:val="24"/>
          <w:lang w:val="sv-FI"/>
        </w:rPr>
        <w:t>d</w:t>
      </w:r>
      <w:r w:rsidRPr="008379CA">
        <w:rPr>
          <w:rFonts w:ascii="Bookman Old Style" w:hAnsi="Bookman Old Style"/>
          <w:sz w:val="24"/>
          <w:szCs w:val="24"/>
        </w:rPr>
        <w:t>an</w:t>
      </w:r>
      <w:r w:rsidR="00A954D0" w:rsidRPr="008379CA">
        <w:rPr>
          <w:rFonts w:ascii="Bookman Old Style" w:hAnsi="Bookman Old Style"/>
          <w:sz w:val="24"/>
          <w:szCs w:val="24"/>
        </w:rPr>
        <w:t xml:space="preserve"> </w:t>
      </w:r>
      <w:r w:rsidRPr="008379CA">
        <w:rPr>
          <w:rFonts w:ascii="Bookman Old Style" w:hAnsi="Bookman Old Style"/>
          <w:sz w:val="24"/>
          <w:szCs w:val="24"/>
        </w:rPr>
        <w:t>Upaya</w:t>
      </w:r>
      <w:r w:rsidR="00A954D0" w:rsidRPr="008379CA">
        <w:rPr>
          <w:rFonts w:ascii="Bookman Old Style" w:hAnsi="Bookman Old Style"/>
          <w:sz w:val="24"/>
          <w:szCs w:val="24"/>
        </w:rPr>
        <w:t xml:space="preserve"> </w:t>
      </w:r>
      <w:r w:rsidRPr="008379CA">
        <w:rPr>
          <w:rFonts w:ascii="Bookman Old Style" w:hAnsi="Bookman Old Style"/>
          <w:sz w:val="24"/>
          <w:szCs w:val="24"/>
        </w:rPr>
        <w:t>Kesehatan</w:t>
      </w:r>
      <w:r w:rsidR="00A954D0" w:rsidRPr="008379CA">
        <w:rPr>
          <w:rFonts w:ascii="Bookman Old Style" w:hAnsi="Bookman Old Style"/>
          <w:sz w:val="24"/>
          <w:szCs w:val="24"/>
        </w:rPr>
        <w:t xml:space="preserve"> </w:t>
      </w:r>
      <w:r w:rsidRPr="008379CA">
        <w:rPr>
          <w:rFonts w:ascii="Bookman Old Style" w:hAnsi="Bookman Old Style"/>
          <w:sz w:val="24"/>
          <w:szCs w:val="24"/>
        </w:rPr>
        <w:t>Masyarakat</w:t>
      </w:r>
      <w:r w:rsidR="00A954D0" w:rsidRPr="008379CA">
        <w:rPr>
          <w:rFonts w:ascii="Bookman Old Style" w:hAnsi="Bookman Old Style"/>
          <w:sz w:val="24"/>
          <w:szCs w:val="24"/>
          <w:lang w:val="sv-FI"/>
        </w:rPr>
        <w:t xml:space="preserve"> </w:t>
      </w:r>
      <w:r w:rsidRPr="008379CA">
        <w:rPr>
          <w:rFonts w:ascii="Bookman Old Style" w:hAnsi="Bookman Old Style" w:cs="Arial"/>
          <w:sz w:val="24"/>
          <w:szCs w:val="24"/>
          <w:lang w:val="de-DE"/>
        </w:rPr>
        <w:t>Rp371.186.504.063,00</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atau</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de-DE"/>
        </w:rPr>
        <w:t>35,39%</w:t>
      </w:r>
      <w:r w:rsidR="00A954D0" w:rsidRPr="008379CA">
        <w:rPr>
          <w:rFonts w:ascii="Bookman Old Style" w:hAnsi="Bookman Old Style" w:cs="Arial"/>
          <w:sz w:val="24"/>
          <w:szCs w:val="24"/>
          <w:lang w:val="id-ID"/>
        </w:rPr>
        <w:t xml:space="preserve"> </w:t>
      </w:r>
      <w:r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Pr="008379CA">
        <w:rPr>
          <w:rFonts w:ascii="Bookman Old Style" w:hAnsi="Bookman Old Style"/>
          <w:sz w:val="24"/>
          <w:szCs w:val="24"/>
        </w:rPr>
        <w:t>total</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untuk</w:t>
      </w:r>
      <w:r w:rsidR="00A954D0" w:rsidRPr="008379CA">
        <w:rPr>
          <w:rFonts w:ascii="Bookman Old Style" w:hAnsi="Bookman Old Style"/>
          <w:sz w:val="24"/>
          <w:szCs w:val="24"/>
        </w:rPr>
        <w:t xml:space="preserve"> </w:t>
      </w:r>
      <w:r w:rsidRPr="008379CA">
        <w:rPr>
          <w:rFonts w:ascii="Bookman Old Style" w:hAnsi="Bookman Old Style"/>
          <w:sz w:val="24"/>
          <w:szCs w:val="24"/>
        </w:rPr>
        <w:t>kesehatan</w:t>
      </w:r>
      <w:r w:rsidRPr="008379CA">
        <w:rPr>
          <w:rFonts w:ascii="Bookman Old Style" w:hAnsi="Bookman Old Style"/>
          <w:sz w:val="24"/>
          <w:szCs w:val="24"/>
          <w:lang w:val="sv-FI"/>
        </w:rPr>
        <w:t>,</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yang</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diuraikan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pada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kegiatan:</w:t>
      </w:r>
    </w:p>
    <w:p w14:paraId="58E17E6E" w14:textId="0B9EF707" w:rsidR="00770F22" w:rsidRPr="008379CA" w:rsidRDefault="00770F22" w:rsidP="00CB0BED">
      <w:pPr>
        <w:pStyle w:val="ListParagraph"/>
        <w:numPr>
          <w:ilvl w:val="0"/>
          <w:numId w:val="90"/>
        </w:numPr>
        <w:spacing w:before="60" w:after="0" w:line="276" w:lineRule="auto"/>
        <w:ind w:left="2268" w:hanging="567"/>
        <w:contextualSpacing w:val="0"/>
        <w:jc w:val="both"/>
        <w:rPr>
          <w:rFonts w:ascii="Bookman Old Style" w:hAnsi="Bookman Old Style"/>
          <w:sz w:val="24"/>
          <w:szCs w:val="24"/>
        </w:rPr>
      </w:pPr>
      <w:r w:rsidRPr="008379CA">
        <w:rPr>
          <w:rFonts w:ascii="Bookman Old Style" w:hAnsi="Bookman Old Style"/>
          <w:sz w:val="24"/>
          <w:szCs w:val="24"/>
        </w:rPr>
        <w:t>Penyediaan</w:t>
      </w:r>
      <w:r w:rsidR="00A954D0" w:rsidRPr="008379CA">
        <w:rPr>
          <w:rFonts w:ascii="Bookman Old Style" w:hAnsi="Bookman Old Style"/>
          <w:sz w:val="24"/>
          <w:szCs w:val="24"/>
        </w:rPr>
        <w:t xml:space="preserve"> </w:t>
      </w:r>
      <w:r w:rsidRPr="008379CA">
        <w:rPr>
          <w:rFonts w:ascii="Bookman Old Style" w:hAnsi="Bookman Old Style"/>
          <w:sz w:val="24"/>
          <w:szCs w:val="24"/>
        </w:rPr>
        <w:t>Fasilitas</w:t>
      </w:r>
      <w:r w:rsidR="00A954D0" w:rsidRPr="008379CA">
        <w:rPr>
          <w:rFonts w:ascii="Bookman Old Style" w:hAnsi="Bookman Old Style"/>
          <w:sz w:val="24"/>
          <w:szCs w:val="24"/>
        </w:rPr>
        <w:t xml:space="preserve"> </w:t>
      </w:r>
      <w:r w:rsidRPr="008379CA">
        <w:rPr>
          <w:rFonts w:ascii="Bookman Old Style" w:hAnsi="Bookman Old Style"/>
          <w:sz w:val="24"/>
          <w:szCs w:val="24"/>
        </w:rPr>
        <w:t>Pelayanan</w:t>
      </w:r>
      <w:r w:rsidR="00A954D0" w:rsidRPr="008379CA">
        <w:rPr>
          <w:rFonts w:ascii="Bookman Old Style" w:hAnsi="Bookman Old Style"/>
          <w:sz w:val="24"/>
          <w:szCs w:val="24"/>
        </w:rPr>
        <w:t xml:space="preserve"> </w:t>
      </w:r>
      <w:r w:rsidRPr="008379CA">
        <w:rPr>
          <w:rFonts w:ascii="Bookman Old Style" w:hAnsi="Bookman Old Style"/>
          <w:sz w:val="24"/>
          <w:szCs w:val="24"/>
        </w:rPr>
        <w:t>Kesehatan</w:t>
      </w:r>
      <w:r w:rsidR="00A954D0" w:rsidRPr="008379CA">
        <w:rPr>
          <w:rFonts w:ascii="Bookman Old Style" w:hAnsi="Bookman Old Style"/>
          <w:sz w:val="24"/>
          <w:szCs w:val="24"/>
        </w:rPr>
        <w:t xml:space="preserve"> </w:t>
      </w:r>
      <w:r w:rsidRPr="008379CA">
        <w:rPr>
          <w:rFonts w:ascii="Bookman Old Style" w:hAnsi="Bookman Old Style"/>
          <w:sz w:val="24"/>
          <w:szCs w:val="24"/>
        </w:rPr>
        <w:t>untuk</w:t>
      </w:r>
      <w:r w:rsidR="00A954D0" w:rsidRPr="008379CA">
        <w:rPr>
          <w:rFonts w:ascii="Bookman Old Style" w:hAnsi="Bookman Old Style"/>
          <w:sz w:val="24"/>
          <w:szCs w:val="24"/>
        </w:rPr>
        <w:t xml:space="preserve"> </w:t>
      </w:r>
      <w:r w:rsidRPr="008379CA">
        <w:rPr>
          <w:rFonts w:ascii="Bookman Old Style" w:hAnsi="Bookman Old Style"/>
          <w:sz w:val="24"/>
          <w:szCs w:val="24"/>
        </w:rPr>
        <w:t>UKM</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Pr="008379CA">
        <w:rPr>
          <w:rFonts w:ascii="Bookman Old Style" w:hAnsi="Bookman Old Style"/>
          <w:sz w:val="24"/>
          <w:szCs w:val="24"/>
        </w:rPr>
        <w:t>UKP</w:t>
      </w:r>
      <w:r w:rsidR="00A954D0" w:rsidRPr="008379CA">
        <w:rPr>
          <w:rFonts w:ascii="Bookman Old Style" w:hAnsi="Bookman Old Style"/>
          <w:sz w:val="24"/>
          <w:szCs w:val="24"/>
        </w:rPr>
        <w:t xml:space="preserve"> </w:t>
      </w:r>
      <w:r w:rsidRPr="008379CA">
        <w:rPr>
          <w:rFonts w:ascii="Bookman Old Style" w:hAnsi="Bookman Old Style"/>
          <w:sz w:val="24"/>
          <w:szCs w:val="24"/>
        </w:rPr>
        <w:t>Kewenangan</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00172E1C" w:rsidRPr="008379CA">
        <w:rPr>
          <w:rFonts w:ascii="Bookman Old Style" w:hAnsi="Bookman Old Style"/>
          <w:sz w:val="24"/>
          <w:szCs w:val="24"/>
        </w:rPr>
        <w:t>Kabupaten/Kota</w:t>
      </w:r>
      <w:r w:rsidR="00A954D0" w:rsidRPr="008379CA">
        <w:rPr>
          <w:rFonts w:ascii="Bookman Old Style" w:hAnsi="Bookman Old Style"/>
          <w:sz w:val="24"/>
          <w:szCs w:val="24"/>
        </w:rPr>
        <w:t xml:space="preserve"> </w:t>
      </w:r>
      <w:r w:rsidRPr="008379CA">
        <w:rPr>
          <w:rFonts w:ascii="Bookman Old Style" w:hAnsi="Bookman Old Style"/>
          <w:sz w:val="24"/>
          <w:szCs w:val="24"/>
        </w:rPr>
        <w:t>Rp114.214.022.765,00</w:t>
      </w:r>
      <w:r w:rsidR="00A954D0" w:rsidRPr="008379CA">
        <w:rPr>
          <w:rFonts w:ascii="Bookman Old Style" w:hAnsi="Bookman Old Style"/>
          <w:sz w:val="24"/>
          <w:szCs w:val="24"/>
        </w:rPr>
        <w:t xml:space="preserve"> </w:t>
      </w:r>
      <w:r w:rsidRPr="008379CA">
        <w:rPr>
          <w:rFonts w:ascii="Bookman Old Style" w:hAnsi="Bookman Old Style"/>
          <w:sz w:val="24"/>
          <w:szCs w:val="24"/>
        </w:rPr>
        <w:t>atau</w:t>
      </w:r>
      <w:r w:rsidR="00A954D0" w:rsidRPr="008379CA">
        <w:rPr>
          <w:rFonts w:ascii="Bookman Old Style" w:hAnsi="Bookman Old Style"/>
          <w:sz w:val="24"/>
          <w:szCs w:val="24"/>
        </w:rPr>
        <w:t xml:space="preserve"> </w:t>
      </w:r>
      <w:r w:rsidRPr="008379CA">
        <w:rPr>
          <w:rFonts w:ascii="Bookman Old Style" w:hAnsi="Bookman Old Style"/>
          <w:sz w:val="24"/>
          <w:szCs w:val="24"/>
        </w:rPr>
        <w:t>10,89%</w:t>
      </w:r>
      <w:r w:rsidR="00A954D0" w:rsidRPr="008379CA">
        <w:rPr>
          <w:rFonts w:ascii="Bookman Old Style" w:hAnsi="Bookman Old Style"/>
          <w:sz w:val="24"/>
          <w:szCs w:val="24"/>
        </w:rPr>
        <w:t xml:space="preserve"> </w:t>
      </w:r>
      <w:r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Pr="008379CA">
        <w:rPr>
          <w:rFonts w:ascii="Bookman Old Style" w:hAnsi="Bookman Old Style"/>
          <w:sz w:val="24"/>
          <w:szCs w:val="24"/>
        </w:rPr>
        <w:t>total</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untuk</w:t>
      </w:r>
      <w:r w:rsidR="00A954D0" w:rsidRPr="008379CA">
        <w:rPr>
          <w:rFonts w:ascii="Bookman Old Style" w:hAnsi="Bookman Old Style"/>
          <w:sz w:val="24"/>
          <w:szCs w:val="24"/>
        </w:rPr>
        <w:t xml:space="preserve"> </w:t>
      </w:r>
      <w:r w:rsidRPr="008379CA">
        <w:rPr>
          <w:rFonts w:ascii="Bookman Old Style" w:hAnsi="Bookman Old Style"/>
          <w:sz w:val="24"/>
          <w:szCs w:val="24"/>
        </w:rPr>
        <w:t>kesehatan;</w:t>
      </w:r>
    </w:p>
    <w:p w14:paraId="5DBC2803" w14:textId="7C76C80D" w:rsidR="00770F22" w:rsidRPr="008379CA" w:rsidRDefault="00770F22" w:rsidP="00CB0BED">
      <w:pPr>
        <w:pStyle w:val="ListParagraph"/>
        <w:numPr>
          <w:ilvl w:val="0"/>
          <w:numId w:val="90"/>
        </w:numPr>
        <w:spacing w:before="60" w:after="0" w:line="276" w:lineRule="auto"/>
        <w:ind w:left="2268" w:hanging="567"/>
        <w:contextualSpacing w:val="0"/>
        <w:jc w:val="both"/>
        <w:rPr>
          <w:rFonts w:ascii="Bookman Old Style" w:hAnsi="Bookman Old Style"/>
          <w:sz w:val="24"/>
          <w:szCs w:val="24"/>
        </w:rPr>
      </w:pPr>
      <w:r w:rsidRPr="008379CA">
        <w:rPr>
          <w:rFonts w:ascii="Bookman Old Style" w:hAnsi="Bookman Old Style"/>
          <w:sz w:val="24"/>
          <w:szCs w:val="24"/>
        </w:rPr>
        <w:t>Penyediaan</w:t>
      </w:r>
      <w:r w:rsidR="00A954D0" w:rsidRPr="008379CA">
        <w:rPr>
          <w:rFonts w:ascii="Bookman Old Style" w:hAnsi="Bookman Old Style"/>
          <w:sz w:val="24"/>
          <w:szCs w:val="24"/>
        </w:rPr>
        <w:t xml:space="preserve"> </w:t>
      </w:r>
      <w:r w:rsidRPr="008379CA">
        <w:rPr>
          <w:rFonts w:ascii="Bookman Old Style" w:hAnsi="Bookman Old Style"/>
          <w:sz w:val="24"/>
          <w:szCs w:val="24"/>
        </w:rPr>
        <w:t>Layanan</w:t>
      </w:r>
      <w:r w:rsidR="00A954D0" w:rsidRPr="008379CA">
        <w:rPr>
          <w:rFonts w:ascii="Bookman Old Style" w:hAnsi="Bookman Old Style"/>
          <w:sz w:val="24"/>
          <w:szCs w:val="24"/>
        </w:rPr>
        <w:t xml:space="preserve"> </w:t>
      </w:r>
      <w:r w:rsidRPr="008379CA">
        <w:rPr>
          <w:rFonts w:ascii="Bookman Old Style" w:hAnsi="Bookman Old Style"/>
          <w:sz w:val="24"/>
          <w:szCs w:val="24"/>
        </w:rPr>
        <w:t>Kesehatan</w:t>
      </w:r>
      <w:r w:rsidR="00A954D0" w:rsidRPr="008379CA">
        <w:rPr>
          <w:rFonts w:ascii="Bookman Old Style" w:hAnsi="Bookman Old Style"/>
          <w:sz w:val="24"/>
          <w:szCs w:val="24"/>
        </w:rPr>
        <w:t xml:space="preserve"> </w:t>
      </w:r>
      <w:r w:rsidRPr="008379CA">
        <w:rPr>
          <w:rFonts w:ascii="Bookman Old Style" w:hAnsi="Bookman Old Style"/>
          <w:sz w:val="24"/>
          <w:szCs w:val="24"/>
        </w:rPr>
        <w:t>untuk</w:t>
      </w:r>
      <w:r w:rsidR="00A954D0" w:rsidRPr="008379CA">
        <w:rPr>
          <w:rFonts w:ascii="Bookman Old Style" w:hAnsi="Bookman Old Style"/>
          <w:sz w:val="24"/>
          <w:szCs w:val="24"/>
        </w:rPr>
        <w:t xml:space="preserve"> </w:t>
      </w:r>
      <w:r w:rsidRPr="008379CA">
        <w:rPr>
          <w:rFonts w:ascii="Bookman Old Style" w:hAnsi="Bookman Old Style"/>
          <w:sz w:val="24"/>
          <w:szCs w:val="24"/>
        </w:rPr>
        <w:t>UKM</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Pr="008379CA">
        <w:rPr>
          <w:rFonts w:ascii="Bookman Old Style" w:hAnsi="Bookman Old Style"/>
          <w:sz w:val="24"/>
          <w:szCs w:val="24"/>
        </w:rPr>
        <w:t>UKP</w:t>
      </w:r>
      <w:r w:rsidR="00A954D0" w:rsidRPr="008379CA">
        <w:rPr>
          <w:rFonts w:ascii="Bookman Old Style" w:hAnsi="Bookman Old Style"/>
          <w:sz w:val="24"/>
          <w:szCs w:val="24"/>
        </w:rPr>
        <w:t xml:space="preserve"> </w:t>
      </w:r>
      <w:r w:rsidRPr="008379CA">
        <w:rPr>
          <w:rFonts w:ascii="Bookman Old Style" w:hAnsi="Bookman Old Style"/>
          <w:sz w:val="24"/>
          <w:szCs w:val="24"/>
        </w:rPr>
        <w:t>Rujukan</w:t>
      </w:r>
      <w:r w:rsidR="00A954D0" w:rsidRPr="008379CA">
        <w:rPr>
          <w:rFonts w:ascii="Bookman Old Style" w:hAnsi="Bookman Old Style"/>
          <w:sz w:val="24"/>
          <w:szCs w:val="24"/>
        </w:rPr>
        <w:t xml:space="preserve"> </w:t>
      </w:r>
      <w:r w:rsidRPr="008379CA">
        <w:rPr>
          <w:rFonts w:ascii="Bookman Old Style" w:hAnsi="Bookman Old Style"/>
          <w:sz w:val="24"/>
          <w:szCs w:val="24"/>
        </w:rPr>
        <w:t>Tingkat</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00172E1C" w:rsidRPr="008379CA">
        <w:rPr>
          <w:rFonts w:ascii="Bookman Old Style" w:hAnsi="Bookman Old Style"/>
          <w:sz w:val="24"/>
          <w:szCs w:val="24"/>
        </w:rPr>
        <w:t>Kabupaten/Kota</w:t>
      </w:r>
      <w:r w:rsidR="00A954D0" w:rsidRPr="008379CA">
        <w:rPr>
          <w:rFonts w:ascii="Bookman Old Style" w:hAnsi="Bookman Old Style"/>
          <w:sz w:val="24"/>
          <w:szCs w:val="24"/>
        </w:rPr>
        <w:t xml:space="preserve"> </w:t>
      </w:r>
      <w:r w:rsidRPr="008379CA">
        <w:rPr>
          <w:rFonts w:ascii="Bookman Old Style" w:hAnsi="Bookman Old Style"/>
          <w:sz w:val="24"/>
          <w:szCs w:val="24"/>
        </w:rPr>
        <w:t>Rp256.518.963.298,00</w:t>
      </w:r>
      <w:r w:rsidR="00A954D0" w:rsidRPr="008379CA">
        <w:rPr>
          <w:rFonts w:ascii="Bookman Old Style" w:hAnsi="Bookman Old Style"/>
          <w:sz w:val="24"/>
          <w:szCs w:val="24"/>
        </w:rPr>
        <w:t xml:space="preserve"> </w:t>
      </w:r>
      <w:r w:rsidRPr="008379CA">
        <w:rPr>
          <w:rFonts w:ascii="Bookman Old Style" w:hAnsi="Bookman Old Style"/>
          <w:sz w:val="24"/>
          <w:szCs w:val="24"/>
        </w:rPr>
        <w:t>atau</w:t>
      </w:r>
      <w:r w:rsidR="00A954D0" w:rsidRPr="008379CA">
        <w:rPr>
          <w:rFonts w:ascii="Bookman Old Style" w:hAnsi="Bookman Old Style"/>
          <w:sz w:val="24"/>
          <w:szCs w:val="24"/>
        </w:rPr>
        <w:t xml:space="preserve"> </w:t>
      </w:r>
      <w:r w:rsidRPr="008379CA">
        <w:rPr>
          <w:rFonts w:ascii="Bookman Old Style" w:hAnsi="Bookman Old Style"/>
          <w:sz w:val="24"/>
          <w:szCs w:val="24"/>
        </w:rPr>
        <w:t>24,46%</w:t>
      </w:r>
      <w:r w:rsidR="00A954D0" w:rsidRPr="008379CA">
        <w:rPr>
          <w:rFonts w:ascii="Bookman Old Style" w:hAnsi="Bookman Old Style"/>
          <w:sz w:val="24"/>
          <w:szCs w:val="24"/>
        </w:rPr>
        <w:t xml:space="preserve"> </w:t>
      </w:r>
      <w:r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Pr="008379CA">
        <w:rPr>
          <w:rFonts w:ascii="Bookman Old Style" w:hAnsi="Bookman Old Style"/>
          <w:sz w:val="24"/>
          <w:szCs w:val="24"/>
        </w:rPr>
        <w:t>total</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untuk</w:t>
      </w:r>
      <w:r w:rsidR="00A954D0" w:rsidRPr="008379CA">
        <w:rPr>
          <w:rFonts w:ascii="Bookman Old Style" w:hAnsi="Bookman Old Style"/>
          <w:sz w:val="24"/>
          <w:szCs w:val="24"/>
        </w:rPr>
        <w:t xml:space="preserve"> </w:t>
      </w:r>
      <w:r w:rsidRPr="008379CA">
        <w:rPr>
          <w:rFonts w:ascii="Bookman Old Style" w:hAnsi="Bookman Old Style"/>
          <w:sz w:val="24"/>
          <w:szCs w:val="24"/>
        </w:rPr>
        <w:t>kesehatan;</w:t>
      </w:r>
    </w:p>
    <w:p w14:paraId="1657E411" w14:textId="5B71E6E3" w:rsidR="00770F22" w:rsidRPr="008379CA" w:rsidRDefault="00770F22" w:rsidP="00CB0BED">
      <w:pPr>
        <w:pStyle w:val="ListParagraph"/>
        <w:numPr>
          <w:ilvl w:val="0"/>
          <w:numId w:val="90"/>
        </w:numPr>
        <w:spacing w:before="60" w:after="0" w:line="276" w:lineRule="auto"/>
        <w:ind w:left="2268" w:hanging="567"/>
        <w:contextualSpacing w:val="0"/>
        <w:jc w:val="both"/>
        <w:rPr>
          <w:rFonts w:ascii="Bookman Old Style" w:hAnsi="Bookman Old Style"/>
          <w:sz w:val="24"/>
          <w:szCs w:val="24"/>
        </w:rPr>
      </w:pPr>
      <w:r w:rsidRPr="008379CA">
        <w:rPr>
          <w:rFonts w:ascii="Bookman Old Style" w:hAnsi="Bookman Old Style"/>
          <w:sz w:val="24"/>
          <w:szCs w:val="24"/>
        </w:rPr>
        <w:t>Penyelenggaraan</w:t>
      </w:r>
      <w:r w:rsidR="00A954D0" w:rsidRPr="008379CA">
        <w:rPr>
          <w:rFonts w:ascii="Bookman Old Style" w:hAnsi="Bookman Old Style"/>
          <w:sz w:val="24"/>
          <w:szCs w:val="24"/>
        </w:rPr>
        <w:t xml:space="preserve"> </w:t>
      </w:r>
      <w:r w:rsidRPr="008379CA">
        <w:rPr>
          <w:rFonts w:ascii="Bookman Old Style" w:hAnsi="Bookman Old Style"/>
          <w:sz w:val="24"/>
          <w:szCs w:val="24"/>
        </w:rPr>
        <w:t>Sistem</w:t>
      </w:r>
      <w:r w:rsidR="00A954D0" w:rsidRPr="008379CA">
        <w:rPr>
          <w:rFonts w:ascii="Bookman Old Style" w:hAnsi="Bookman Old Style"/>
          <w:sz w:val="24"/>
          <w:szCs w:val="24"/>
        </w:rPr>
        <w:t xml:space="preserve"> </w:t>
      </w:r>
      <w:r w:rsidRPr="008379CA">
        <w:rPr>
          <w:rFonts w:ascii="Bookman Old Style" w:hAnsi="Bookman Old Style"/>
          <w:sz w:val="24"/>
          <w:szCs w:val="24"/>
        </w:rPr>
        <w:t>Informasi</w:t>
      </w:r>
      <w:r w:rsidR="00A954D0" w:rsidRPr="008379CA">
        <w:rPr>
          <w:rFonts w:ascii="Bookman Old Style" w:hAnsi="Bookman Old Style"/>
          <w:sz w:val="24"/>
          <w:szCs w:val="24"/>
        </w:rPr>
        <w:t xml:space="preserve"> </w:t>
      </w:r>
      <w:r w:rsidRPr="008379CA">
        <w:rPr>
          <w:rFonts w:ascii="Bookman Old Style" w:hAnsi="Bookman Old Style"/>
          <w:sz w:val="24"/>
          <w:szCs w:val="24"/>
        </w:rPr>
        <w:t>Kesehatan</w:t>
      </w:r>
      <w:r w:rsidR="00A954D0" w:rsidRPr="008379CA">
        <w:rPr>
          <w:rFonts w:ascii="Bookman Old Style" w:hAnsi="Bookman Old Style"/>
          <w:sz w:val="24"/>
          <w:szCs w:val="24"/>
        </w:rPr>
        <w:t xml:space="preserve"> </w:t>
      </w:r>
      <w:r w:rsidRPr="008379CA">
        <w:rPr>
          <w:rFonts w:ascii="Bookman Old Style" w:hAnsi="Bookman Old Style"/>
          <w:sz w:val="24"/>
          <w:szCs w:val="24"/>
        </w:rPr>
        <w:t>Secara</w:t>
      </w:r>
      <w:r w:rsidR="00A954D0" w:rsidRPr="008379CA">
        <w:rPr>
          <w:rFonts w:ascii="Bookman Old Style" w:hAnsi="Bookman Old Style"/>
          <w:sz w:val="24"/>
          <w:szCs w:val="24"/>
        </w:rPr>
        <w:t xml:space="preserve"> </w:t>
      </w:r>
      <w:r w:rsidRPr="008379CA">
        <w:rPr>
          <w:rFonts w:ascii="Bookman Old Style" w:hAnsi="Bookman Old Style"/>
          <w:sz w:val="24"/>
          <w:szCs w:val="24"/>
        </w:rPr>
        <w:t>Terintegrasi</w:t>
      </w:r>
      <w:r w:rsidR="00A954D0" w:rsidRPr="008379CA">
        <w:rPr>
          <w:rFonts w:ascii="Bookman Old Style" w:hAnsi="Bookman Old Style"/>
          <w:sz w:val="24"/>
          <w:szCs w:val="24"/>
        </w:rPr>
        <w:t xml:space="preserve"> </w:t>
      </w:r>
      <w:r w:rsidRPr="008379CA">
        <w:rPr>
          <w:rFonts w:ascii="Bookman Old Style" w:hAnsi="Bookman Old Style"/>
          <w:sz w:val="24"/>
          <w:szCs w:val="24"/>
        </w:rPr>
        <w:t>Rp74.318.000,00</w:t>
      </w:r>
      <w:r w:rsidR="00A954D0" w:rsidRPr="008379CA">
        <w:rPr>
          <w:rFonts w:ascii="Bookman Old Style" w:hAnsi="Bookman Old Style"/>
          <w:sz w:val="24"/>
          <w:szCs w:val="24"/>
        </w:rPr>
        <w:t xml:space="preserve"> </w:t>
      </w:r>
      <w:r w:rsidRPr="008379CA">
        <w:rPr>
          <w:rFonts w:ascii="Bookman Old Style" w:hAnsi="Bookman Old Style"/>
          <w:sz w:val="24"/>
          <w:szCs w:val="24"/>
        </w:rPr>
        <w:t>atau</w:t>
      </w:r>
      <w:r w:rsidR="00A954D0" w:rsidRPr="008379CA">
        <w:rPr>
          <w:rFonts w:ascii="Bookman Old Style" w:hAnsi="Bookman Old Style"/>
          <w:sz w:val="24"/>
          <w:szCs w:val="24"/>
        </w:rPr>
        <w:t xml:space="preserve"> </w:t>
      </w:r>
      <w:r w:rsidRPr="008379CA">
        <w:rPr>
          <w:rFonts w:ascii="Bookman Old Style" w:hAnsi="Bookman Old Style"/>
          <w:sz w:val="24"/>
          <w:szCs w:val="24"/>
        </w:rPr>
        <w:t>0,01%</w:t>
      </w:r>
      <w:r w:rsidR="00A954D0" w:rsidRPr="008379CA">
        <w:rPr>
          <w:rFonts w:ascii="Bookman Old Style" w:hAnsi="Bookman Old Style"/>
          <w:sz w:val="24"/>
          <w:szCs w:val="24"/>
        </w:rPr>
        <w:t xml:space="preserve"> </w:t>
      </w:r>
      <w:r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Pr="008379CA">
        <w:rPr>
          <w:rFonts w:ascii="Bookman Old Style" w:hAnsi="Bookman Old Style"/>
          <w:sz w:val="24"/>
          <w:szCs w:val="24"/>
        </w:rPr>
        <w:t>total</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untuk</w:t>
      </w:r>
      <w:r w:rsidR="00A954D0" w:rsidRPr="008379CA">
        <w:rPr>
          <w:rFonts w:ascii="Bookman Old Style" w:hAnsi="Bookman Old Style"/>
          <w:sz w:val="24"/>
          <w:szCs w:val="24"/>
        </w:rPr>
        <w:t xml:space="preserve"> </w:t>
      </w:r>
      <w:r w:rsidRPr="008379CA">
        <w:rPr>
          <w:rFonts w:ascii="Bookman Old Style" w:hAnsi="Bookman Old Style"/>
          <w:sz w:val="24"/>
          <w:szCs w:val="24"/>
        </w:rPr>
        <w:t>kesehatan;</w:t>
      </w:r>
    </w:p>
    <w:p w14:paraId="44D52602" w14:textId="6F4D1DE3" w:rsidR="00770F22" w:rsidRPr="008379CA" w:rsidRDefault="00770F22" w:rsidP="00CB0BED">
      <w:pPr>
        <w:pStyle w:val="ListParagraph"/>
        <w:numPr>
          <w:ilvl w:val="0"/>
          <w:numId w:val="90"/>
        </w:numPr>
        <w:spacing w:before="60" w:after="0" w:line="276" w:lineRule="auto"/>
        <w:ind w:left="2268" w:hanging="567"/>
        <w:contextualSpacing w:val="0"/>
        <w:jc w:val="both"/>
        <w:rPr>
          <w:rFonts w:ascii="Bookman Old Style" w:hAnsi="Bookman Old Style"/>
          <w:sz w:val="24"/>
          <w:szCs w:val="24"/>
        </w:rPr>
      </w:pPr>
      <w:r w:rsidRPr="008379CA">
        <w:rPr>
          <w:rFonts w:ascii="Bookman Old Style" w:hAnsi="Bookman Old Style"/>
          <w:sz w:val="24"/>
          <w:szCs w:val="24"/>
        </w:rPr>
        <w:t>Penerbitan</w:t>
      </w:r>
      <w:r w:rsidR="00A954D0" w:rsidRPr="008379CA">
        <w:rPr>
          <w:rFonts w:ascii="Bookman Old Style" w:hAnsi="Bookman Old Style"/>
          <w:sz w:val="24"/>
          <w:szCs w:val="24"/>
        </w:rPr>
        <w:t xml:space="preserve"> </w:t>
      </w:r>
      <w:r w:rsidRPr="008379CA">
        <w:rPr>
          <w:rFonts w:ascii="Bookman Old Style" w:hAnsi="Bookman Old Style"/>
          <w:sz w:val="24"/>
          <w:szCs w:val="24"/>
        </w:rPr>
        <w:t>Izin</w:t>
      </w:r>
      <w:r w:rsidR="00A954D0" w:rsidRPr="008379CA">
        <w:rPr>
          <w:rFonts w:ascii="Bookman Old Style" w:hAnsi="Bookman Old Style"/>
          <w:sz w:val="24"/>
          <w:szCs w:val="24"/>
        </w:rPr>
        <w:t xml:space="preserve"> </w:t>
      </w:r>
      <w:r w:rsidRPr="008379CA">
        <w:rPr>
          <w:rFonts w:ascii="Bookman Old Style" w:hAnsi="Bookman Old Style"/>
          <w:sz w:val="24"/>
          <w:szCs w:val="24"/>
        </w:rPr>
        <w:t>Rumah</w:t>
      </w:r>
      <w:r w:rsidR="00A954D0" w:rsidRPr="008379CA">
        <w:rPr>
          <w:rFonts w:ascii="Bookman Old Style" w:hAnsi="Bookman Old Style"/>
          <w:sz w:val="24"/>
          <w:szCs w:val="24"/>
        </w:rPr>
        <w:t xml:space="preserve"> </w:t>
      </w:r>
      <w:r w:rsidRPr="008379CA">
        <w:rPr>
          <w:rFonts w:ascii="Bookman Old Style" w:hAnsi="Bookman Old Style"/>
          <w:sz w:val="24"/>
          <w:szCs w:val="24"/>
        </w:rPr>
        <w:t>Sakit</w:t>
      </w:r>
      <w:r w:rsidR="00A954D0" w:rsidRPr="008379CA">
        <w:rPr>
          <w:rFonts w:ascii="Bookman Old Style" w:hAnsi="Bookman Old Style"/>
          <w:sz w:val="24"/>
          <w:szCs w:val="24"/>
        </w:rPr>
        <w:t xml:space="preserve"> </w:t>
      </w:r>
      <w:r w:rsidRPr="008379CA">
        <w:rPr>
          <w:rFonts w:ascii="Bookman Old Style" w:hAnsi="Bookman Old Style"/>
          <w:sz w:val="24"/>
          <w:szCs w:val="24"/>
        </w:rPr>
        <w:t>Kelas</w:t>
      </w:r>
      <w:r w:rsidR="00A954D0" w:rsidRPr="008379CA">
        <w:rPr>
          <w:rFonts w:ascii="Bookman Old Style" w:hAnsi="Bookman Old Style"/>
          <w:sz w:val="24"/>
          <w:szCs w:val="24"/>
        </w:rPr>
        <w:t xml:space="preserve"> </w:t>
      </w:r>
      <w:r w:rsidRPr="008379CA">
        <w:rPr>
          <w:rFonts w:ascii="Bookman Old Style" w:hAnsi="Bookman Old Style"/>
          <w:sz w:val="24"/>
          <w:szCs w:val="24"/>
        </w:rPr>
        <w:t>C,</w:t>
      </w:r>
      <w:r w:rsidR="00A954D0" w:rsidRPr="008379CA">
        <w:rPr>
          <w:rFonts w:ascii="Bookman Old Style" w:hAnsi="Bookman Old Style"/>
          <w:sz w:val="24"/>
          <w:szCs w:val="24"/>
        </w:rPr>
        <w:t xml:space="preserve"> </w:t>
      </w:r>
      <w:r w:rsidRPr="008379CA">
        <w:rPr>
          <w:rFonts w:ascii="Bookman Old Style" w:hAnsi="Bookman Old Style"/>
          <w:sz w:val="24"/>
          <w:szCs w:val="24"/>
        </w:rPr>
        <w:t>D</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Pr="008379CA">
        <w:rPr>
          <w:rFonts w:ascii="Bookman Old Style" w:hAnsi="Bookman Old Style"/>
          <w:sz w:val="24"/>
          <w:szCs w:val="24"/>
        </w:rPr>
        <w:t>Fasilitas</w:t>
      </w:r>
      <w:r w:rsidR="00A954D0" w:rsidRPr="008379CA">
        <w:rPr>
          <w:rFonts w:ascii="Bookman Old Style" w:hAnsi="Bookman Old Style"/>
          <w:sz w:val="24"/>
          <w:szCs w:val="24"/>
        </w:rPr>
        <w:t xml:space="preserve"> </w:t>
      </w:r>
      <w:r w:rsidRPr="008379CA">
        <w:rPr>
          <w:rFonts w:ascii="Bookman Old Style" w:hAnsi="Bookman Old Style"/>
          <w:sz w:val="24"/>
          <w:szCs w:val="24"/>
        </w:rPr>
        <w:t>Pelayanan</w:t>
      </w:r>
      <w:r w:rsidR="00A954D0" w:rsidRPr="008379CA">
        <w:rPr>
          <w:rFonts w:ascii="Bookman Old Style" w:hAnsi="Bookman Old Style"/>
          <w:sz w:val="24"/>
          <w:szCs w:val="24"/>
        </w:rPr>
        <w:t xml:space="preserve"> </w:t>
      </w:r>
      <w:r w:rsidRPr="008379CA">
        <w:rPr>
          <w:rFonts w:ascii="Bookman Old Style" w:hAnsi="Bookman Old Style"/>
          <w:sz w:val="24"/>
          <w:szCs w:val="24"/>
        </w:rPr>
        <w:t>Kesehatan</w:t>
      </w:r>
      <w:r w:rsidR="00A954D0" w:rsidRPr="008379CA">
        <w:rPr>
          <w:rFonts w:ascii="Bookman Old Style" w:hAnsi="Bookman Old Style"/>
          <w:sz w:val="24"/>
          <w:szCs w:val="24"/>
        </w:rPr>
        <w:t xml:space="preserve"> </w:t>
      </w:r>
      <w:r w:rsidRPr="008379CA">
        <w:rPr>
          <w:rFonts w:ascii="Bookman Old Style" w:hAnsi="Bookman Old Style"/>
          <w:sz w:val="24"/>
          <w:szCs w:val="24"/>
        </w:rPr>
        <w:t>Tingkat</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00172E1C" w:rsidRPr="008379CA">
        <w:rPr>
          <w:rFonts w:ascii="Bookman Old Style" w:hAnsi="Bookman Old Style"/>
          <w:sz w:val="24"/>
          <w:szCs w:val="24"/>
        </w:rPr>
        <w:t>Kabupaten/Kota</w:t>
      </w:r>
      <w:r w:rsidR="00A954D0" w:rsidRPr="008379CA">
        <w:rPr>
          <w:rFonts w:ascii="Bookman Old Style" w:hAnsi="Bookman Old Style"/>
          <w:sz w:val="24"/>
          <w:szCs w:val="24"/>
        </w:rPr>
        <w:t xml:space="preserve"> </w:t>
      </w:r>
      <w:r w:rsidRPr="008379CA">
        <w:rPr>
          <w:rFonts w:ascii="Bookman Old Style" w:hAnsi="Bookman Old Style"/>
          <w:sz w:val="24"/>
          <w:szCs w:val="24"/>
        </w:rPr>
        <w:t>Rp379.200.000,00</w:t>
      </w:r>
      <w:r w:rsidR="00A954D0" w:rsidRPr="008379CA">
        <w:rPr>
          <w:rFonts w:ascii="Bookman Old Style" w:hAnsi="Bookman Old Style"/>
          <w:sz w:val="24"/>
          <w:szCs w:val="24"/>
        </w:rPr>
        <w:t xml:space="preserve"> </w:t>
      </w:r>
      <w:r w:rsidRPr="008379CA">
        <w:rPr>
          <w:rFonts w:ascii="Bookman Old Style" w:hAnsi="Bookman Old Style"/>
          <w:sz w:val="24"/>
          <w:szCs w:val="24"/>
        </w:rPr>
        <w:t>atau</w:t>
      </w:r>
      <w:r w:rsidR="00A954D0" w:rsidRPr="008379CA">
        <w:rPr>
          <w:rFonts w:ascii="Bookman Old Style" w:hAnsi="Bookman Old Style"/>
          <w:sz w:val="24"/>
          <w:szCs w:val="24"/>
        </w:rPr>
        <w:t xml:space="preserve"> </w:t>
      </w:r>
      <w:r w:rsidRPr="008379CA">
        <w:rPr>
          <w:rFonts w:ascii="Bookman Old Style" w:hAnsi="Bookman Old Style"/>
          <w:sz w:val="24"/>
          <w:szCs w:val="24"/>
        </w:rPr>
        <w:t>0,04%</w:t>
      </w:r>
      <w:r w:rsidR="00A954D0" w:rsidRPr="008379CA">
        <w:rPr>
          <w:rFonts w:ascii="Bookman Old Style" w:hAnsi="Bookman Old Style"/>
          <w:sz w:val="24"/>
          <w:szCs w:val="24"/>
        </w:rPr>
        <w:t xml:space="preserve"> </w:t>
      </w:r>
      <w:r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Pr="008379CA">
        <w:rPr>
          <w:rFonts w:ascii="Bookman Old Style" w:hAnsi="Bookman Old Style"/>
          <w:sz w:val="24"/>
          <w:szCs w:val="24"/>
        </w:rPr>
        <w:t>total</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untuk</w:t>
      </w:r>
      <w:r w:rsidR="00A954D0" w:rsidRPr="008379CA">
        <w:rPr>
          <w:rFonts w:ascii="Bookman Old Style" w:hAnsi="Bookman Old Style"/>
          <w:sz w:val="24"/>
          <w:szCs w:val="24"/>
        </w:rPr>
        <w:t xml:space="preserve"> </w:t>
      </w:r>
      <w:r w:rsidRPr="008379CA">
        <w:rPr>
          <w:rFonts w:ascii="Bookman Old Style" w:hAnsi="Bookman Old Style"/>
          <w:sz w:val="24"/>
          <w:szCs w:val="24"/>
        </w:rPr>
        <w:t>kesehatan</w:t>
      </w:r>
      <w:r w:rsidR="00FB2E2D" w:rsidRPr="008379CA">
        <w:rPr>
          <w:rFonts w:ascii="Bookman Old Style" w:hAnsi="Bookman Old Style"/>
          <w:sz w:val="24"/>
          <w:szCs w:val="24"/>
        </w:rPr>
        <w:t>.</w:t>
      </w:r>
    </w:p>
    <w:p w14:paraId="25B9F274" w14:textId="0F3334AE" w:rsidR="009A2D9B" w:rsidRPr="008379CA" w:rsidRDefault="003E5523" w:rsidP="00CB0BED">
      <w:pPr>
        <w:pStyle w:val="ListParagraph"/>
        <w:numPr>
          <w:ilvl w:val="0"/>
          <w:numId w:val="11"/>
        </w:numPr>
        <w:spacing w:before="60" w:after="0" w:line="276" w:lineRule="auto"/>
        <w:ind w:left="1701" w:hanging="442"/>
        <w:contextualSpacing w:val="0"/>
        <w:jc w:val="both"/>
        <w:rPr>
          <w:rFonts w:ascii="Bookman Old Style" w:hAnsi="Bookman Old Style"/>
          <w:sz w:val="24"/>
          <w:szCs w:val="24"/>
        </w:rPr>
      </w:pPr>
      <w:r w:rsidRPr="008379CA">
        <w:rPr>
          <w:rFonts w:ascii="Bookman Old Style" w:hAnsi="Bookman Old Style"/>
          <w:sz w:val="24"/>
          <w:szCs w:val="24"/>
        </w:rPr>
        <w:t>Program</w:t>
      </w:r>
      <w:r w:rsidR="00A954D0" w:rsidRPr="008379CA">
        <w:rPr>
          <w:rFonts w:ascii="Bookman Old Style" w:hAnsi="Bookman Old Style"/>
          <w:sz w:val="24"/>
          <w:szCs w:val="24"/>
        </w:rPr>
        <w:t xml:space="preserve"> </w:t>
      </w:r>
      <w:r w:rsidRPr="008379CA">
        <w:rPr>
          <w:rFonts w:ascii="Bookman Old Style" w:hAnsi="Bookman Old Style"/>
          <w:sz w:val="24"/>
          <w:szCs w:val="24"/>
        </w:rPr>
        <w:t>Peningkatan</w:t>
      </w:r>
      <w:r w:rsidR="00A954D0" w:rsidRPr="008379CA">
        <w:rPr>
          <w:rFonts w:ascii="Bookman Old Style" w:hAnsi="Bookman Old Style"/>
          <w:sz w:val="24"/>
          <w:szCs w:val="24"/>
        </w:rPr>
        <w:t xml:space="preserve"> </w:t>
      </w:r>
      <w:r w:rsidRPr="008379CA">
        <w:rPr>
          <w:rFonts w:ascii="Bookman Old Style" w:hAnsi="Bookman Old Style"/>
          <w:sz w:val="24"/>
          <w:szCs w:val="24"/>
        </w:rPr>
        <w:t>Kapasitas</w:t>
      </w:r>
      <w:r w:rsidR="00A954D0" w:rsidRPr="008379CA">
        <w:rPr>
          <w:rFonts w:ascii="Bookman Old Style" w:hAnsi="Bookman Old Style"/>
          <w:sz w:val="24"/>
          <w:szCs w:val="24"/>
        </w:rPr>
        <w:t xml:space="preserve"> </w:t>
      </w:r>
      <w:r w:rsidRPr="008379CA">
        <w:rPr>
          <w:rFonts w:ascii="Bookman Old Style" w:hAnsi="Bookman Old Style"/>
          <w:sz w:val="24"/>
          <w:szCs w:val="24"/>
        </w:rPr>
        <w:t>Sumber</w:t>
      </w:r>
      <w:r w:rsidR="00A954D0" w:rsidRPr="008379CA">
        <w:rPr>
          <w:rFonts w:ascii="Bookman Old Style" w:hAnsi="Bookman Old Style"/>
          <w:sz w:val="24"/>
          <w:szCs w:val="24"/>
        </w:rPr>
        <w:t xml:space="preserve"> </w:t>
      </w:r>
      <w:r w:rsidRPr="008379CA">
        <w:rPr>
          <w:rFonts w:ascii="Bookman Old Style" w:hAnsi="Bookman Old Style"/>
          <w:sz w:val="24"/>
          <w:szCs w:val="24"/>
        </w:rPr>
        <w:t>Daya</w:t>
      </w:r>
      <w:r w:rsidR="00A954D0" w:rsidRPr="008379CA">
        <w:rPr>
          <w:rFonts w:ascii="Bookman Old Style" w:hAnsi="Bookman Old Style"/>
          <w:sz w:val="24"/>
          <w:szCs w:val="24"/>
        </w:rPr>
        <w:t xml:space="preserve"> </w:t>
      </w:r>
      <w:r w:rsidRPr="008379CA">
        <w:rPr>
          <w:rFonts w:ascii="Bookman Old Style" w:hAnsi="Bookman Old Style"/>
          <w:sz w:val="24"/>
          <w:szCs w:val="24"/>
        </w:rPr>
        <w:t>Manusia</w:t>
      </w:r>
      <w:r w:rsidR="00A954D0" w:rsidRPr="008379CA">
        <w:rPr>
          <w:rFonts w:ascii="Bookman Old Style" w:hAnsi="Bookman Old Style"/>
          <w:sz w:val="24"/>
          <w:szCs w:val="24"/>
        </w:rPr>
        <w:t xml:space="preserve"> </w:t>
      </w:r>
      <w:r w:rsidRPr="008379CA">
        <w:rPr>
          <w:rFonts w:ascii="Bookman Old Style" w:hAnsi="Bookman Old Style"/>
          <w:sz w:val="24"/>
          <w:szCs w:val="24"/>
        </w:rPr>
        <w:t>Kesehatan</w:t>
      </w:r>
      <w:r w:rsidR="00A954D0" w:rsidRPr="008379CA">
        <w:rPr>
          <w:rFonts w:ascii="Bookman Old Style" w:hAnsi="Bookman Old Style"/>
          <w:sz w:val="24"/>
          <w:szCs w:val="24"/>
        </w:rPr>
        <w:t xml:space="preserve"> </w:t>
      </w:r>
      <w:r w:rsidR="009A2D9B" w:rsidRPr="008379CA">
        <w:rPr>
          <w:rFonts w:ascii="Bookman Old Style" w:hAnsi="Bookman Old Style"/>
          <w:sz w:val="24"/>
          <w:szCs w:val="24"/>
        </w:rPr>
        <w:t>Rp1.579.722.700,00</w:t>
      </w:r>
      <w:r w:rsidR="00A954D0" w:rsidRPr="008379CA">
        <w:rPr>
          <w:rFonts w:ascii="Bookman Old Style" w:hAnsi="Bookman Old Style"/>
          <w:sz w:val="24"/>
          <w:szCs w:val="24"/>
        </w:rPr>
        <w:t xml:space="preserve"> </w:t>
      </w:r>
      <w:r w:rsidR="009A2D9B" w:rsidRPr="008379CA">
        <w:rPr>
          <w:rFonts w:ascii="Bookman Old Style" w:hAnsi="Bookman Old Style"/>
          <w:sz w:val="24"/>
          <w:szCs w:val="24"/>
        </w:rPr>
        <w:t>atau</w:t>
      </w:r>
      <w:r w:rsidR="00A954D0" w:rsidRPr="008379CA">
        <w:rPr>
          <w:rFonts w:ascii="Bookman Old Style" w:hAnsi="Bookman Old Style"/>
          <w:sz w:val="24"/>
          <w:szCs w:val="24"/>
        </w:rPr>
        <w:t xml:space="preserve"> </w:t>
      </w:r>
      <w:r w:rsidR="009A2D9B" w:rsidRPr="008379CA">
        <w:rPr>
          <w:rFonts w:ascii="Bookman Old Style" w:hAnsi="Bookman Old Style"/>
          <w:sz w:val="24"/>
          <w:szCs w:val="24"/>
        </w:rPr>
        <w:t>0,15%</w:t>
      </w:r>
      <w:r w:rsidR="00A954D0" w:rsidRPr="008379CA">
        <w:rPr>
          <w:rFonts w:ascii="Bookman Old Style" w:hAnsi="Bookman Old Style"/>
          <w:sz w:val="24"/>
          <w:szCs w:val="24"/>
        </w:rPr>
        <w:t xml:space="preserve"> </w:t>
      </w:r>
      <w:r w:rsidR="009A2D9B"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009A2D9B" w:rsidRPr="008379CA">
        <w:rPr>
          <w:rFonts w:ascii="Bookman Old Style" w:hAnsi="Bookman Old Style"/>
          <w:sz w:val="24"/>
          <w:szCs w:val="24"/>
        </w:rPr>
        <w:t>total</w:t>
      </w:r>
      <w:r w:rsidR="00A954D0" w:rsidRPr="008379CA">
        <w:rPr>
          <w:rFonts w:ascii="Bookman Old Style" w:hAnsi="Bookman Old Style"/>
          <w:sz w:val="24"/>
          <w:szCs w:val="24"/>
        </w:rPr>
        <w:t xml:space="preserve"> </w:t>
      </w:r>
      <w:r w:rsidR="009A2D9B"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009A2D9B" w:rsidRPr="008379CA">
        <w:rPr>
          <w:rFonts w:ascii="Bookman Old Style" w:hAnsi="Bookman Old Style"/>
          <w:sz w:val="24"/>
          <w:szCs w:val="24"/>
        </w:rPr>
        <w:t>kesehatan</w:t>
      </w:r>
      <w:r w:rsidRPr="008379CA">
        <w:rPr>
          <w:rFonts w:ascii="Bookman Old Style" w:hAnsi="Bookman Old Style"/>
          <w:sz w:val="24"/>
          <w:szCs w:val="24"/>
          <w:lang w:val="sv-FI"/>
        </w:rPr>
        <w:t>,</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yang</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diuraikan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pada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kegiatan:</w:t>
      </w:r>
    </w:p>
    <w:p w14:paraId="69971AD0" w14:textId="1001CA9C" w:rsidR="009A2D9B" w:rsidRPr="008379CA" w:rsidRDefault="009A2D9B" w:rsidP="00CB0BED">
      <w:pPr>
        <w:pStyle w:val="ListParagraph"/>
        <w:numPr>
          <w:ilvl w:val="0"/>
          <w:numId w:val="251"/>
        </w:numPr>
        <w:spacing w:before="60" w:after="0" w:line="276" w:lineRule="auto"/>
        <w:ind w:left="2268" w:hanging="567"/>
        <w:contextualSpacing w:val="0"/>
        <w:jc w:val="both"/>
        <w:rPr>
          <w:rFonts w:ascii="Bookman Old Style" w:hAnsi="Bookman Old Style"/>
          <w:sz w:val="24"/>
          <w:szCs w:val="24"/>
        </w:rPr>
      </w:pPr>
      <w:r w:rsidRPr="008379CA">
        <w:rPr>
          <w:rFonts w:ascii="Bookman Old Style" w:hAnsi="Bookman Old Style"/>
          <w:sz w:val="24"/>
          <w:szCs w:val="24"/>
        </w:rPr>
        <w:t>Perencanaan</w:t>
      </w:r>
      <w:r w:rsidR="00A954D0" w:rsidRPr="008379CA">
        <w:rPr>
          <w:rFonts w:ascii="Bookman Old Style" w:hAnsi="Bookman Old Style"/>
          <w:sz w:val="24"/>
          <w:szCs w:val="24"/>
        </w:rPr>
        <w:t xml:space="preserve"> </w:t>
      </w:r>
      <w:r w:rsidRPr="008379CA">
        <w:rPr>
          <w:rFonts w:ascii="Bookman Old Style" w:hAnsi="Bookman Old Style"/>
          <w:sz w:val="24"/>
          <w:szCs w:val="24"/>
        </w:rPr>
        <w:t>Kebutuhan</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Pr="008379CA">
        <w:rPr>
          <w:rFonts w:ascii="Bookman Old Style" w:hAnsi="Bookman Old Style"/>
          <w:sz w:val="24"/>
          <w:szCs w:val="24"/>
        </w:rPr>
        <w:t>Pendayagunaan</w:t>
      </w:r>
      <w:r w:rsidR="00A954D0" w:rsidRPr="008379CA">
        <w:rPr>
          <w:rFonts w:ascii="Bookman Old Style" w:hAnsi="Bookman Old Style"/>
          <w:sz w:val="24"/>
          <w:szCs w:val="24"/>
        </w:rPr>
        <w:t xml:space="preserve"> </w:t>
      </w:r>
      <w:r w:rsidRPr="008379CA">
        <w:rPr>
          <w:rFonts w:ascii="Bookman Old Style" w:hAnsi="Bookman Old Style"/>
          <w:sz w:val="24"/>
          <w:szCs w:val="24"/>
        </w:rPr>
        <w:t>Sumber</w:t>
      </w:r>
      <w:r w:rsidR="00A954D0" w:rsidRPr="008379CA">
        <w:rPr>
          <w:rFonts w:ascii="Bookman Old Style" w:hAnsi="Bookman Old Style"/>
          <w:sz w:val="24"/>
          <w:szCs w:val="24"/>
        </w:rPr>
        <w:t xml:space="preserve"> </w:t>
      </w:r>
      <w:r w:rsidRPr="008379CA">
        <w:rPr>
          <w:rFonts w:ascii="Bookman Old Style" w:hAnsi="Bookman Old Style"/>
          <w:sz w:val="24"/>
          <w:szCs w:val="24"/>
        </w:rPr>
        <w:t>Daya</w:t>
      </w:r>
      <w:r w:rsidR="00A954D0" w:rsidRPr="008379CA">
        <w:rPr>
          <w:rFonts w:ascii="Bookman Old Style" w:hAnsi="Bookman Old Style"/>
          <w:sz w:val="24"/>
          <w:szCs w:val="24"/>
        </w:rPr>
        <w:t xml:space="preserve"> </w:t>
      </w:r>
      <w:r w:rsidRPr="008379CA">
        <w:rPr>
          <w:rFonts w:ascii="Bookman Old Style" w:hAnsi="Bookman Old Style"/>
          <w:sz w:val="24"/>
          <w:szCs w:val="24"/>
        </w:rPr>
        <w:t>Manusia</w:t>
      </w:r>
      <w:r w:rsidR="00A954D0" w:rsidRPr="008379CA">
        <w:rPr>
          <w:rFonts w:ascii="Bookman Old Style" w:hAnsi="Bookman Old Style"/>
          <w:sz w:val="24"/>
          <w:szCs w:val="24"/>
        </w:rPr>
        <w:t xml:space="preserve"> </w:t>
      </w:r>
      <w:r w:rsidRPr="008379CA">
        <w:rPr>
          <w:rFonts w:ascii="Bookman Old Style" w:hAnsi="Bookman Old Style"/>
          <w:sz w:val="24"/>
          <w:szCs w:val="24"/>
        </w:rPr>
        <w:t>Kesehatan</w:t>
      </w:r>
      <w:r w:rsidR="00A954D0" w:rsidRPr="008379CA">
        <w:rPr>
          <w:rFonts w:ascii="Bookman Old Style" w:hAnsi="Bookman Old Style"/>
          <w:sz w:val="24"/>
          <w:szCs w:val="24"/>
        </w:rPr>
        <w:t xml:space="preserve"> </w:t>
      </w:r>
      <w:r w:rsidRPr="008379CA">
        <w:rPr>
          <w:rFonts w:ascii="Bookman Old Style" w:hAnsi="Bookman Old Style"/>
          <w:sz w:val="24"/>
          <w:szCs w:val="24"/>
        </w:rPr>
        <w:t>untuk</w:t>
      </w:r>
      <w:r w:rsidR="00A954D0" w:rsidRPr="008379CA">
        <w:rPr>
          <w:rFonts w:ascii="Bookman Old Style" w:hAnsi="Bookman Old Style"/>
          <w:sz w:val="24"/>
          <w:szCs w:val="24"/>
        </w:rPr>
        <w:t xml:space="preserve"> </w:t>
      </w:r>
      <w:r w:rsidRPr="008379CA">
        <w:rPr>
          <w:rFonts w:ascii="Bookman Old Style" w:hAnsi="Bookman Old Style"/>
          <w:sz w:val="24"/>
          <w:szCs w:val="24"/>
        </w:rPr>
        <w:t>UKP</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Pr="008379CA">
        <w:rPr>
          <w:rFonts w:ascii="Bookman Old Style" w:hAnsi="Bookman Old Style"/>
          <w:sz w:val="24"/>
          <w:szCs w:val="24"/>
        </w:rPr>
        <w:t>UKM</w:t>
      </w:r>
      <w:r w:rsidR="00A954D0" w:rsidRPr="008379CA">
        <w:rPr>
          <w:rFonts w:ascii="Bookman Old Style" w:hAnsi="Bookman Old Style"/>
          <w:sz w:val="24"/>
          <w:szCs w:val="24"/>
        </w:rPr>
        <w:t xml:space="preserve"> </w:t>
      </w:r>
      <w:r w:rsidRPr="008379CA">
        <w:rPr>
          <w:rFonts w:ascii="Bookman Old Style" w:hAnsi="Bookman Old Style"/>
          <w:sz w:val="24"/>
          <w:szCs w:val="24"/>
        </w:rPr>
        <w:t>di</w:t>
      </w:r>
      <w:r w:rsidR="00A954D0" w:rsidRPr="008379CA">
        <w:rPr>
          <w:rFonts w:ascii="Bookman Old Style" w:hAnsi="Bookman Old Style"/>
          <w:sz w:val="24"/>
          <w:szCs w:val="24"/>
        </w:rPr>
        <w:t xml:space="preserve"> </w:t>
      </w:r>
      <w:r w:rsidRPr="008379CA">
        <w:rPr>
          <w:rFonts w:ascii="Bookman Old Style" w:hAnsi="Bookman Old Style"/>
          <w:sz w:val="24"/>
          <w:szCs w:val="24"/>
        </w:rPr>
        <w:lastRenderedPageBreak/>
        <w:t>Wilayah</w:t>
      </w:r>
      <w:r w:rsidR="00A954D0" w:rsidRPr="008379CA">
        <w:rPr>
          <w:rFonts w:ascii="Bookman Old Style" w:hAnsi="Bookman Old Style"/>
          <w:sz w:val="24"/>
          <w:szCs w:val="24"/>
        </w:rPr>
        <w:t xml:space="preserve"> </w:t>
      </w:r>
      <w:r w:rsidRPr="008379CA">
        <w:rPr>
          <w:rFonts w:ascii="Bookman Old Style" w:hAnsi="Bookman Old Style"/>
          <w:sz w:val="24"/>
          <w:szCs w:val="24"/>
        </w:rPr>
        <w:t>Kabupaten/Kota</w:t>
      </w:r>
      <w:r w:rsidR="00A954D0" w:rsidRPr="008379CA">
        <w:rPr>
          <w:rFonts w:ascii="Bookman Old Style" w:hAnsi="Bookman Old Style"/>
          <w:sz w:val="24"/>
          <w:szCs w:val="24"/>
        </w:rPr>
        <w:t xml:space="preserve"> </w:t>
      </w:r>
      <w:r w:rsidRPr="008379CA">
        <w:rPr>
          <w:rFonts w:ascii="Bookman Old Style" w:hAnsi="Bookman Old Style"/>
          <w:sz w:val="24"/>
          <w:szCs w:val="24"/>
        </w:rPr>
        <w:t>Rp66.866.000,00</w:t>
      </w:r>
      <w:r w:rsidR="00A954D0" w:rsidRPr="008379CA">
        <w:rPr>
          <w:rFonts w:ascii="Bookman Old Style" w:hAnsi="Bookman Old Style"/>
          <w:sz w:val="24"/>
          <w:szCs w:val="24"/>
        </w:rPr>
        <w:t xml:space="preserve"> </w:t>
      </w:r>
      <w:r w:rsidRPr="008379CA">
        <w:rPr>
          <w:rFonts w:ascii="Bookman Old Style" w:hAnsi="Bookman Old Style"/>
          <w:sz w:val="24"/>
          <w:szCs w:val="24"/>
        </w:rPr>
        <w:t>atau</w:t>
      </w:r>
      <w:r w:rsidR="00A954D0" w:rsidRPr="008379CA">
        <w:rPr>
          <w:rFonts w:ascii="Bookman Old Style" w:hAnsi="Bookman Old Style"/>
          <w:sz w:val="24"/>
          <w:szCs w:val="24"/>
        </w:rPr>
        <w:t xml:space="preserve"> </w:t>
      </w:r>
      <w:r w:rsidRPr="008379CA">
        <w:rPr>
          <w:rFonts w:ascii="Bookman Old Style" w:hAnsi="Bookman Old Style"/>
          <w:sz w:val="24"/>
          <w:szCs w:val="24"/>
        </w:rPr>
        <w:t>0,01%</w:t>
      </w:r>
      <w:r w:rsidR="00A954D0" w:rsidRPr="008379CA">
        <w:rPr>
          <w:rFonts w:ascii="Bookman Old Style" w:hAnsi="Bookman Old Style"/>
          <w:sz w:val="24"/>
          <w:szCs w:val="24"/>
        </w:rPr>
        <w:t xml:space="preserve"> </w:t>
      </w:r>
      <w:r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Pr="008379CA">
        <w:rPr>
          <w:rFonts w:ascii="Bookman Old Style" w:hAnsi="Bookman Old Style"/>
          <w:sz w:val="24"/>
          <w:szCs w:val="24"/>
        </w:rPr>
        <w:t>total</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kesehatan</w:t>
      </w:r>
      <w:r w:rsidR="00FB393D" w:rsidRPr="008379CA">
        <w:rPr>
          <w:rFonts w:ascii="Bookman Old Style" w:hAnsi="Bookman Old Style"/>
          <w:sz w:val="24"/>
          <w:szCs w:val="24"/>
        </w:rPr>
        <w:t>;</w:t>
      </w:r>
    </w:p>
    <w:p w14:paraId="64EC9320" w14:textId="013A6890" w:rsidR="009A2D9B" w:rsidRPr="008379CA" w:rsidRDefault="009A2D9B" w:rsidP="00CB0BED">
      <w:pPr>
        <w:pStyle w:val="ListParagraph"/>
        <w:numPr>
          <w:ilvl w:val="0"/>
          <w:numId w:val="251"/>
        </w:numPr>
        <w:spacing w:before="60" w:after="0" w:line="276" w:lineRule="auto"/>
        <w:ind w:left="2268" w:hanging="567"/>
        <w:contextualSpacing w:val="0"/>
        <w:jc w:val="both"/>
        <w:rPr>
          <w:rFonts w:ascii="Bookman Old Style" w:hAnsi="Bookman Old Style"/>
          <w:sz w:val="24"/>
          <w:szCs w:val="24"/>
        </w:rPr>
      </w:pPr>
      <w:r w:rsidRPr="008379CA">
        <w:rPr>
          <w:rFonts w:ascii="Bookman Old Style" w:hAnsi="Bookman Old Style"/>
          <w:sz w:val="24"/>
          <w:szCs w:val="24"/>
        </w:rPr>
        <w:t>Pengembangan</w:t>
      </w:r>
      <w:r w:rsidR="00A954D0" w:rsidRPr="008379CA">
        <w:rPr>
          <w:rFonts w:ascii="Bookman Old Style" w:hAnsi="Bookman Old Style"/>
          <w:sz w:val="24"/>
          <w:szCs w:val="24"/>
        </w:rPr>
        <w:t xml:space="preserve"> </w:t>
      </w:r>
      <w:r w:rsidRPr="008379CA">
        <w:rPr>
          <w:rFonts w:ascii="Bookman Old Style" w:hAnsi="Bookman Old Style"/>
          <w:sz w:val="24"/>
          <w:szCs w:val="24"/>
        </w:rPr>
        <w:t>Mutu</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Pr="008379CA">
        <w:rPr>
          <w:rFonts w:ascii="Bookman Old Style" w:hAnsi="Bookman Old Style"/>
          <w:sz w:val="24"/>
          <w:szCs w:val="24"/>
        </w:rPr>
        <w:t>Peningkatan</w:t>
      </w:r>
      <w:r w:rsidR="00A954D0" w:rsidRPr="008379CA">
        <w:rPr>
          <w:rFonts w:ascii="Bookman Old Style" w:hAnsi="Bookman Old Style"/>
          <w:sz w:val="24"/>
          <w:szCs w:val="24"/>
        </w:rPr>
        <w:t xml:space="preserve"> </w:t>
      </w:r>
      <w:r w:rsidRPr="008379CA">
        <w:rPr>
          <w:rFonts w:ascii="Bookman Old Style" w:hAnsi="Bookman Old Style"/>
          <w:sz w:val="24"/>
          <w:szCs w:val="24"/>
        </w:rPr>
        <w:t>Kompetensi</w:t>
      </w:r>
      <w:r w:rsidR="00A954D0" w:rsidRPr="008379CA">
        <w:rPr>
          <w:rFonts w:ascii="Bookman Old Style" w:hAnsi="Bookman Old Style"/>
          <w:sz w:val="24"/>
          <w:szCs w:val="24"/>
        </w:rPr>
        <w:t xml:space="preserve"> </w:t>
      </w:r>
      <w:r w:rsidRPr="008379CA">
        <w:rPr>
          <w:rFonts w:ascii="Bookman Old Style" w:hAnsi="Bookman Old Style"/>
          <w:sz w:val="24"/>
          <w:szCs w:val="24"/>
        </w:rPr>
        <w:t>Teknis</w:t>
      </w:r>
      <w:r w:rsidR="00A954D0" w:rsidRPr="008379CA">
        <w:rPr>
          <w:rFonts w:ascii="Bookman Old Style" w:hAnsi="Bookman Old Style"/>
          <w:sz w:val="24"/>
          <w:szCs w:val="24"/>
        </w:rPr>
        <w:t xml:space="preserve"> </w:t>
      </w:r>
      <w:r w:rsidRPr="008379CA">
        <w:rPr>
          <w:rFonts w:ascii="Bookman Old Style" w:hAnsi="Bookman Old Style"/>
          <w:sz w:val="24"/>
          <w:szCs w:val="24"/>
        </w:rPr>
        <w:t>Sumber</w:t>
      </w:r>
      <w:r w:rsidR="00A954D0" w:rsidRPr="008379CA">
        <w:rPr>
          <w:rFonts w:ascii="Bookman Old Style" w:hAnsi="Bookman Old Style"/>
          <w:sz w:val="24"/>
          <w:szCs w:val="24"/>
        </w:rPr>
        <w:t xml:space="preserve"> </w:t>
      </w:r>
      <w:r w:rsidRPr="008379CA">
        <w:rPr>
          <w:rFonts w:ascii="Bookman Old Style" w:hAnsi="Bookman Old Style"/>
          <w:sz w:val="24"/>
          <w:szCs w:val="24"/>
        </w:rPr>
        <w:t>Daya</w:t>
      </w:r>
      <w:r w:rsidR="00A954D0" w:rsidRPr="008379CA">
        <w:rPr>
          <w:rFonts w:ascii="Bookman Old Style" w:hAnsi="Bookman Old Style"/>
          <w:sz w:val="24"/>
          <w:szCs w:val="24"/>
        </w:rPr>
        <w:t xml:space="preserve"> </w:t>
      </w:r>
      <w:r w:rsidRPr="008379CA">
        <w:rPr>
          <w:rFonts w:ascii="Bookman Old Style" w:hAnsi="Bookman Old Style"/>
          <w:sz w:val="24"/>
          <w:szCs w:val="24"/>
        </w:rPr>
        <w:t>Manusia</w:t>
      </w:r>
      <w:r w:rsidR="00A954D0" w:rsidRPr="008379CA">
        <w:rPr>
          <w:rFonts w:ascii="Bookman Old Style" w:hAnsi="Bookman Old Style"/>
          <w:sz w:val="24"/>
          <w:szCs w:val="24"/>
        </w:rPr>
        <w:t xml:space="preserve"> </w:t>
      </w:r>
      <w:r w:rsidRPr="008379CA">
        <w:rPr>
          <w:rFonts w:ascii="Bookman Old Style" w:hAnsi="Bookman Old Style"/>
          <w:sz w:val="24"/>
          <w:szCs w:val="24"/>
        </w:rPr>
        <w:t>Kesehatan</w:t>
      </w:r>
      <w:r w:rsidR="00A954D0" w:rsidRPr="008379CA">
        <w:rPr>
          <w:rFonts w:ascii="Bookman Old Style" w:hAnsi="Bookman Old Style"/>
          <w:sz w:val="24"/>
          <w:szCs w:val="24"/>
        </w:rPr>
        <w:t xml:space="preserve"> </w:t>
      </w:r>
      <w:r w:rsidRPr="008379CA">
        <w:rPr>
          <w:rFonts w:ascii="Bookman Old Style" w:hAnsi="Bookman Old Style"/>
          <w:sz w:val="24"/>
          <w:szCs w:val="24"/>
        </w:rPr>
        <w:t>Tingkat</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Kabupaten/Kota</w:t>
      </w:r>
      <w:r w:rsidR="00A954D0" w:rsidRPr="008379CA">
        <w:rPr>
          <w:rFonts w:ascii="Bookman Old Style" w:hAnsi="Bookman Old Style"/>
          <w:sz w:val="24"/>
          <w:szCs w:val="24"/>
        </w:rPr>
        <w:t xml:space="preserve"> </w:t>
      </w:r>
      <w:r w:rsidRPr="008379CA">
        <w:rPr>
          <w:rFonts w:ascii="Bookman Old Style" w:hAnsi="Bookman Old Style"/>
          <w:sz w:val="24"/>
          <w:szCs w:val="24"/>
        </w:rPr>
        <w:t>Rp1.512.856.700,00</w:t>
      </w:r>
      <w:r w:rsidR="00A954D0" w:rsidRPr="008379CA">
        <w:rPr>
          <w:rFonts w:ascii="Bookman Old Style" w:hAnsi="Bookman Old Style"/>
          <w:sz w:val="24"/>
          <w:szCs w:val="24"/>
        </w:rPr>
        <w:t xml:space="preserve"> </w:t>
      </w:r>
      <w:r w:rsidRPr="008379CA">
        <w:rPr>
          <w:rFonts w:ascii="Bookman Old Style" w:hAnsi="Bookman Old Style"/>
          <w:sz w:val="24"/>
          <w:szCs w:val="24"/>
        </w:rPr>
        <w:t>atau</w:t>
      </w:r>
      <w:r w:rsidR="00A954D0" w:rsidRPr="008379CA">
        <w:rPr>
          <w:rFonts w:ascii="Bookman Old Style" w:hAnsi="Bookman Old Style"/>
          <w:sz w:val="24"/>
          <w:szCs w:val="24"/>
        </w:rPr>
        <w:t xml:space="preserve"> </w:t>
      </w:r>
      <w:r w:rsidRPr="008379CA">
        <w:rPr>
          <w:rFonts w:ascii="Bookman Old Style" w:hAnsi="Bookman Old Style"/>
          <w:sz w:val="24"/>
          <w:szCs w:val="24"/>
        </w:rPr>
        <w:t>0,14%</w:t>
      </w:r>
      <w:r w:rsidR="00A954D0" w:rsidRPr="008379CA">
        <w:rPr>
          <w:rFonts w:ascii="Bookman Old Style" w:hAnsi="Bookman Old Style"/>
          <w:sz w:val="24"/>
          <w:szCs w:val="24"/>
        </w:rPr>
        <w:t xml:space="preserve"> </w:t>
      </w:r>
      <w:r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Pr="008379CA">
        <w:rPr>
          <w:rFonts w:ascii="Bookman Old Style" w:hAnsi="Bookman Old Style"/>
          <w:sz w:val="24"/>
          <w:szCs w:val="24"/>
        </w:rPr>
        <w:t>total</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kesehatan</w:t>
      </w:r>
      <w:r w:rsidR="00FB393D" w:rsidRPr="008379CA">
        <w:rPr>
          <w:rFonts w:ascii="Bookman Old Style" w:hAnsi="Bookman Old Style"/>
          <w:sz w:val="24"/>
          <w:szCs w:val="24"/>
        </w:rPr>
        <w:t>.</w:t>
      </w:r>
    </w:p>
    <w:p w14:paraId="62D50C3D" w14:textId="5088CF79" w:rsidR="009A2D9B" w:rsidRPr="008379CA" w:rsidRDefault="00C74A2C" w:rsidP="00CB0BED">
      <w:pPr>
        <w:pStyle w:val="ListParagraph"/>
        <w:numPr>
          <w:ilvl w:val="0"/>
          <w:numId w:val="11"/>
        </w:numPr>
        <w:spacing w:before="60" w:after="0" w:line="276" w:lineRule="auto"/>
        <w:ind w:left="1701" w:hanging="425"/>
        <w:contextualSpacing w:val="0"/>
        <w:jc w:val="both"/>
        <w:rPr>
          <w:rFonts w:ascii="Bookman Old Style" w:hAnsi="Bookman Old Style"/>
          <w:sz w:val="24"/>
          <w:szCs w:val="24"/>
        </w:rPr>
      </w:pPr>
      <w:r w:rsidRPr="008379CA">
        <w:rPr>
          <w:rFonts w:ascii="Bookman Old Style" w:hAnsi="Bookman Old Style"/>
          <w:sz w:val="24"/>
          <w:szCs w:val="24"/>
        </w:rPr>
        <w:t>Program</w:t>
      </w:r>
      <w:r w:rsidR="00A954D0" w:rsidRPr="008379CA">
        <w:rPr>
          <w:rFonts w:ascii="Bookman Old Style" w:hAnsi="Bookman Old Style"/>
          <w:sz w:val="24"/>
          <w:szCs w:val="24"/>
        </w:rPr>
        <w:t xml:space="preserve"> </w:t>
      </w:r>
      <w:r w:rsidRPr="008379CA">
        <w:rPr>
          <w:rFonts w:ascii="Bookman Old Style" w:hAnsi="Bookman Old Style"/>
          <w:sz w:val="24"/>
          <w:szCs w:val="24"/>
        </w:rPr>
        <w:t>Sediaan</w:t>
      </w:r>
      <w:r w:rsidR="00A954D0" w:rsidRPr="008379CA">
        <w:rPr>
          <w:rFonts w:ascii="Bookman Old Style" w:hAnsi="Bookman Old Style"/>
          <w:sz w:val="24"/>
          <w:szCs w:val="24"/>
        </w:rPr>
        <w:t xml:space="preserve"> </w:t>
      </w:r>
      <w:r w:rsidRPr="008379CA">
        <w:rPr>
          <w:rFonts w:ascii="Bookman Old Style" w:hAnsi="Bookman Old Style"/>
          <w:sz w:val="24"/>
          <w:szCs w:val="24"/>
        </w:rPr>
        <w:t>Farmasi,</w:t>
      </w:r>
      <w:r w:rsidR="00A954D0" w:rsidRPr="008379CA">
        <w:rPr>
          <w:rFonts w:ascii="Bookman Old Style" w:hAnsi="Bookman Old Style"/>
          <w:sz w:val="24"/>
          <w:szCs w:val="24"/>
        </w:rPr>
        <w:t xml:space="preserve"> </w:t>
      </w:r>
      <w:r w:rsidRPr="008379CA">
        <w:rPr>
          <w:rFonts w:ascii="Bookman Old Style" w:hAnsi="Bookman Old Style"/>
          <w:sz w:val="24"/>
          <w:szCs w:val="24"/>
        </w:rPr>
        <w:t>Alat</w:t>
      </w:r>
      <w:r w:rsidR="00A954D0" w:rsidRPr="008379CA">
        <w:rPr>
          <w:rFonts w:ascii="Bookman Old Style" w:hAnsi="Bookman Old Style"/>
          <w:sz w:val="24"/>
          <w:szCs w:val="24"/>
        </w:rPr>
        <w:t xml:space="preserve"> </w:t>
      </w:r>
      <w:r w:rsidRPr="008379CA">
        <w:rPr>
          <w:rFonts w:ascii="Bookman Old Style" w:hAnsi="Bookman Old Style"/>
          <w:sz w:val="24"/>
          <w:szCs w:val="24"/>
        </w:rPr>
        <w:t>Kesehatan</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Pr="008379CA">
        <w:rPr>
          <w:rFonts w:ascii="Bookman Old Style" w:hAnsi="Bookman Old Style"/>
          <w:sz w:val="24"/>
          <w:szCs w:val="24"/>
        </w:rPr>
        <w:t>Makanan</w:t>
      </w:r>
      <w:r w:rsidR="00A954D0" w:rsidRPr="008379CA">
        <w:rPr>
          <w:rFonts w:ascii="Bookman Old Style" w:hAnsi="Bookman Old Style"/>
          <w:sz w:val="24"/>
          <w:szCs w:val="24"/>
        </w:rPr>
        <w:t xml:space="preserve"> </w:t>
      </w:r>
      <w:r w:rsidRPr="008379CA">
        <w:rPr>
          <w:rFonts w:ascii="Bookman Old Style" w:hAnsi="Bookman Old Style"/>
          <w:sz w:val="24"/>
          <w:szCs w:val="24"/>
        </w:rPr>
        <w:t>Minuman</w:t>
      </w:r>
      <w:r w:rsidR="00A954D0" w:rsidRPr="008379CA">
        <w:rPr>
          <w:rFonts w:ascii="Bookman Old Style" w:hAnsi="Bookman Old Style"/>
          <w:sz w:val="24"/>
          <w:szCs w:val="24"/>
        </w:rPr>
        <w:t xml:space="preserve"> </w:t>
      </w:r>
      <w:r w:rsidR="009A2D9B" w:rsidRPr="008379CA">
        <w:rPr>
          <w:rFonts w:ascii="Bookman Old Style" w:hAnsi="Bookman Old Style"/>
          <w:sz w:val="24"/>
          <w:szCs w:val="24"/>
        </w:rPr>
        <w:t>Rp179.876.400,00</w:t>
      </w:r>
      <w:r w:rsidR="00A954D0" w:rsidRPr="008379CA">
        <w:rPr>
          <w:rFonts w:ascii="Bookman Old Style" w:hAnsi="Bookman Old Style"/>
          <w:sz w:val="24"/>
          <w:szCs w:val="24"/>
        </w:rPr>
        <w:t xml:space="preserve"> </w:t>
      </w:r>
      <w:r w:rsidR="009A2D9B" w:rsidRPr="008379CA">
        <w:rPr>
          <w:rFonts w:ascii="Bookman Old Style" w:hAnsi="Bookman Old Style"/>
          <w:sz w:val="24"/>
          <w:szCs w:val="24"/>
        </w:rPr>
        <w:t>atau</w:t>
      </w:r>
      <w:r w:rsidR="00A954D0" w:rsidRPr="008379CA">
        <w:rPr>
          <w:rFonts w:ascii="Bookman Old Style" w:hAnsi="Bookman Old Style"/>
          <w:sz w:val="24"/>
          <w:szCs w:val="24"/>
        </w:rPr>
        <w:t xml:space="preserve"> </w:t>
      </w:r>
      <w:r w:rsidR="009A2D9B" w:rsidRPr="008379CA">
        <w:rPr>
          <w:rFonts w:ascii="Bookman Old Style" w:hAnsi="Bookman Old Style"/>
          <w:sz w:val="24"/>
          <w:szCs w:val="24"/>
        </w:rPr>
        <w:t>0,02%</w:t>
      </w:r>
      <w:r w:rsidR="00A954D0" w:rsidRPr="008379CA">
        <w:rPr>
          <w:rFonts w:ascii="Bookman Old Style" w:hAnsi="Bookman Old Style"/>
          <w:sz w:val="24"/>
          <w:szCs w:val="24"/>
        </w:rPr>
        <w:t xml:space="preserve"> </w:t>
      </w:r>
      <w:r w:rsidR="009A2D9B"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009A2D9B" w:rsidRPr="008379CA">
        <w:rPr>
          <w:rFonts w:ascii="Bookman Old Style" w:hAnsi="Bookman Old Style"/>
          <w:sz w:val="24"/>
          <w:szCs w:val="24"/>
        </w:rPr>
        <w:t>total</w:t>
      </w:r>
      <w:r w:rsidR="00A954D0" w:rsidRPr="008379CA">
        <w:rPr>
          <w:rFonts w:ascii="Bookman Old Style" w:hAnsi="Bookman Old Style"/>
          <w:sz w:val="24"/>
          <w:szCs w:val="24"/>
        </w:rPr>
        <w:t xml:space="preserve"> </w:t>
      </w:r>
      <w:r w:rsidR="009A2D9B"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009A2D9B" w:rsidRPr="008379CA">
        <w:rPr>
          <w:rFonts w:ascii="Bookman Old Style" w:hAnsi="Bookman Old Style"/>
          <w:sz w:val="24"/>
          <w:szCs w:val="24"/>
        </w:rPr>
        <w:t>kesehatan</w:t>
      </w:r>
      <w:r w:rsidR="003E5523" w:rsidRPr="008379CA">
        <w:rPr>
          <w:rFonts w:ascii="Bookman Old Style" w:hAnsi="Bookman Old Style"/>
          <w:sz w:val="24"/>
          <w:szCs w:val="24"/>
          <w:lang w:val="sv-FI"/>
        </w:rPr>
        <w:t>,</w:t>
      </w:r>
      <w:r w:rsidR="00A954D0" w:rsidRPr="008379CA">
        <w:rPr>
          <w:rFonts w:ascii="Bookman Old Style" w:hAnsi="Bookman Old Style"/>
          <w:sz w:val="24"/>
          <w:szCs w:val="24"/>
          <w:lang w:val="sv-FI"/>
        </w:rPr>
        <w:t xml:space="preserve"> </w:t>
      </w:r>
      <w:r w:rsidR="003E5523" w:rsidRPr="008379CA">
        <w:rPr>
          <w:rFonts w:ascii="Bookman Old Style" w:hAnsi="Bookman Old Style"/>
          <w:sz w:val="24"/>
          <w:szCs w:val="24"/>
          <w:lang w:val="sv-FI"/>
        </w:rPr>
        <w:t>yang</w:t>
      </w:r>
      <w:r w:rsidR="00A954D0" w:rsidRPr="008379CA">
        <w:rPr>
          <w:rFonts w:ascii="Bookman Old Style" w:hAnsi="Bookman Old Style"/>
          <w:sz w:val="24"/>
          <w:szCs w:val="24"/>
          <w:lang w:val="sv-FI"/>
        </w:rPr>
        <w:t xml:space="preserve"> </w:t>
      </w:r>
      <w:r w:rsidR="003E5523" w:rsidRPr="008379CA">
        <w:rPr>
          <w:rFonts w:ascii="Bookman Old Style" w:hAnsi="Bookman Old Style"/>
          <w:sz w:val="24"/>
          <w:szCs w:val="24"/>
          <w:lang w:val="sv-FI"/>
        </w:rPr>
        <w:t>diuraikan</w:t>
      </w:r>
      <w:r w:rsidR="00A954D0" w:rsidRPr="008379CA">
        <w:rPr>
          <w:rFonts w:ascii="Bookman Old Style" w:hAnsi="Bookman Old Style"/>
          <w:sz w:val="24"/>
          <w:szCs w:val="24"/>
          <w:lang w:val="sv-FI"/>
        </w:rPr>
        <w:t xml:space="preserve"> </w:t>
      </w:r>
      <w:r w:rsidR="003E5523" w:rsidRPr="008379CA">
        <w:rPr>
          <w:rFonts w:ascii="Bookman Old Style" w:hAnsi="Bookman Old Style"/>
          <w:sz w:val="24"/>
          <w:szCs w:val="24"/>
          <w:lang w:val="sv-FI"/>
        </w:rPr>
        <w:t>pada</w:t>
      </w:r>
      <w:r w:rsidR="00A954D0" w:rsidRPr="008379CA">
        <w:rPr>
          <w:rFonts w:ascii="Bookman Old Style" w:hAnsi="Bookman Old Style"/>
          <w:sz w:val="24"/>
          <w:szCs w:val="24"/>
          <w:lang w:val="sv-FI"/>
        </w:rPr>
        <w:t xml:space="preserve"> </w:t>
      </w:r>
      <w:r w:rsidR="003E5523" w:rsidRPr="008379CA">
        <w:rPr>
          <w:rFonts w:ascii="Bookman Old Style" w:hAnsi="Bookman Old Style"/>
          <w:sz w:val="24"/>
          <w:szCs w:val="24"/>
          <w:lang w:val="sv-FI"/>
        </w:rPr>
        <w:t>kegiatan:</w:t>
      </w:r>
    </w:p>
    <w:p w14:paraId="0E44F3A4" w14:textId="1A696D60" w:rsidR="009A2D9B" w:rsidRPr="008379CA" w:rsidRDefault="009A2D9B" w:rsidP="00C75943">
      <w:pPr>
        <w:pStyle w:val="ListParagraph"/>
        <w:numPr>
          <w:ilvl w:val="0"/>
          <w:numId w:val="252"/>
        </w:numPr>
        <w:spacing w:before="60" w:after="0" w:line="276" w:lineRule="auto"/>
        <w:ind w:left="2268" w:hanging="567"/>
        <w:contextualSpacing w:val="0"/>
        <w:jc w:val="both"/>
        <w:rPr>
          <w:rFonts w:ascii="Bookman Old Style" w:hAnsi="Bookman Old Style"/>
          <w:sz w:val="24"/>
          <w:szCs w:val="24"/>
        </w:rPr>
      </w:pPr>
      <w:r w:rsidRPr="008379CA">
        <w:rPr>
          <w:rFonts w:ascii="Bookman Old Style" w:hAnsi="Bookman Old Style"/>
          <w:sz w:val="24"/>
          <w:szCs w:val="24"/>
        </w:rPr>
        <w:t>Penerbitan</w:t>
      </w:r>
      <w:r w:rsidR="00A954D0" w:rsidRPr="008379CA">
        <w:rPr>
          <w:rFonts w:ascii="Bookman Old Style" w:hAnsi="Bookman Old Style"/>
          <w:sz w:val="24"/>
          <w:szCs w:val="24"/>
        </w:rPr>
        <w:t xml:space="preserve"> </w:t>
      </w:r>
      <w:r w:rsidRPr="008379CA">
        <w:rPr>
          <w:rFonts w:ascii="Bookman Old Style" w:hAnsi="Bookman Old Style"/>
          <w:sz w:val="24"/>
          <w:szCs w:val="24"/>
        </w:rPr>
        <w:t>Sertifikat</w:t>
      </w:r>
      <w:r w:rsidR="00A954D0" w:rsidRPr="008379CA">
        <w:rPr>
          <w:rFonts w:ascii="Bookman Old Style" w:hAnsi="Bookman Old Style"/>
          <w:sz w:val="24"/>
          <w:szCs w:val="24"/>
        </w:rPr>
        <w:t xml:space="preserve"> </w:t>
      </w:r>
      <w:r w:rsidRPr="008379CA">
        <w:rPr>
          <w:rFonts w:ascii="Bookman Old Style" w:hAnsi="Bookman Old Style"/>
          <w:sz w:val="24"/>
          <w:szCs w:val="24"/>
        </w:rPr>
        <w:t>Produksi</w:t>
      </w:r>
      <w:r w:rsidR="00A954D0" w:rsidRPr="008379CA">
        <w:rPr>
          <w:rFonts w:ascii="Bookman Old Style" w:hAnsi="Bookman Old Style"/>
          <w:sz w:val="24"/>
          <w:szCs w:val="24"/>
        </w:rPr>
        <w:t xml:space="preserve"> </w:t>
      </w:r>
      <w:r w:rsidRPr="008379CA">
        <w:rPr>
          <w:rFonts w:ascii="Bookman Old Style" w:hAnsi="Bookman Old Style"/>
          <w:sz w:val="24"/>
          <w:szCs w:val="24"/>
        </w:rPr>
        <w:t>Pangan</w:t>
      </w:r>
      <w:r w:rsidR="00A954D0" w:rsidRPr="008379CA">
        <w:rPr>
          <w:rFonts w:ascii="Bookman Old Style" w:hAnsi="Bookman Old Style"/>
          <w:sz w:val="24"/>
          <w:szCs w:val="24"/>
        </w:rPr>
        <w:t xml:space="preserve"> </w:t>
      </w:r>
      <w:r w:rsidRPr="008379CA">
        <w:rPr>
          <w:rFonts w:ascii="Bookman Old Style" w:hAnsi="Bookman Old Style"/>
          <w:sz w:val="24"/>
          <w:szCs w:val="24"/>
        </w:rPr>
        <w:t>Industri</w:t>
      </w:r>
      <w:r w:rsidR="00A954D0" w:rsidRPr="008379CA">
        <w:rPr>
          <w:rFonts w:ascii="Bookman Old Style" w:hAnsi="Bookman Old Style"/>
          <w:sz w:val="24"/>
          <w:szCs w:val="24"/>
        </w:rPr>
        <w:t xml:space="preserve"> </w:t>
      </w:r>
      <w:r w:rsidRPr="008379CA">
        <w:rPr>
          <w:rFonts w:ascii="Bookman Old Style" w:hAnsi="Bookman Old Style"/>
          <w:sz w:val="24"/>
          <w:szCs w:val="24"/>
        </w:rPr>
        <w:t>Rumah</w:t>
      </w:r>
      <w:r w:rsidR="00A954D0" w:rsidRPr="008379CA">
        <w:rPr>
          <w:rFonts w:ascii="Bookman Old Style" w:hAnsi="Bookman Old Style"/>
          <w:sz w:val="24"/>
          <w:szCs w:val="24"/>
        </w:rPr>
        <w:t xml:space="preserve"> </w:t>
      </w:r>
      <w:r w:rsidRPr="008379CA">
        <w:rPr>
          <w:rFonts w:ascii="Bookman Old Style" w:hAnsi="Bookman Old Style"/>
          <w:sz w:val="24"/>
          <w:szCs w:val="24"/>
        </w:rPr>
        <w:t>Tangga</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Pr="008379CA">
        <w:rPr>
          <w:rFonts w:ascii="Bookman Old Style" w:hAnsi="Bookman Old Style"/>
          <w:sz w:val="24"/>
          <w:szCs w:val="24"/>
        </w:rPr>
        <w:t>Nomor</w:t>
      </w:r>
      <w:r w:rsidR="00A954D0" w:rsidRPr="008379CA">
        <w:rPr>
          <w:rFonts w:ascii="Bookman Old Style" w:hAnsi="Bookman Old Style"/>
          <w:sz w:val="24"/>
          <w:szCs w:val="24"/>
        </w:rPr>
        <w:t xml:space="preserve"> </w:t>
      </w:r>
      <w:r w:rsidRPr="008379CA">
        <w:rPr>
          <w:rFonts w:ascii="Bookman Old Style" w:hAnsi="Bookman Old Style"/>
          <w:sz w:val="24"/>
          <w:szCs w:val="24"/>
        </w:rPr>
        <w:t>P-IRT</w:t>
      </w:r>
      <w:r w:rsidR="00A954D0" w:rsidRPr="008379CA">
        <w:rPr>
          <w:rFonts w:ascii="Bookman Old Style" w:hAnsi="Bookman Old Style"/>
          <w:sz w:val="24"/>
          <w:szCs w:val="24"/>
        </w:rPr>
        <w:t xml:space="preserve"> </w:t>
      </w:r>
      <w:r w:rsidRPr="008379CA">
        <w:rPr>
          <w:rFonts w:ascii="Bookman Old Style" w:hAnsi="Bookman Old Style"/>
          <w:sz w:val="24"/>
          <w:szCs w:val="24"/>
        </w:rPr>
        <w:t>sebagai</w:t>
      </w:r>
      <w:r w:rsidR="00A954D0" w:rsidRPr="008379CA">
        <w:rPr>
          <w:rFonts w:ascii="Bookman Old Style" w:hAnsi="Bookman Old Style"/>
          <w:sz w:val="24"/>
          <w:szCs w:val="24"/>
        </w:rPr>
        <w:t xml:space="preserve"> </w:t>
      </w:r>
      <w:r w:rsidRPr="008379CA">
        <w:rPr>
          <w:rFonts w:ascii="Bookman Old Style" w:hAnsi="Bookman Old Style"/>
          <w:sz w:val="24"/>
          <w:szCs w:val="24"/>
        </w:rPr>
        <w:t>Izin</w:t>
      </w:r>
      <w:r w:rsidR="00A954D0" w:rsidRPr="008379CA">
        <w:rPr>
          <w:rFonts w:ascii="Bookman Old Style" w:hAnsi="Bookman Old Style"/>
          <w:sz w:val="24"/>
          <w:szCs w:val="24"/>
        </w:rPr>
        <w:t xml:space="preserve"> </w:t>
      </w:r>
      <w:r w:rsidRPr="008379CA">
        <w:rPr>
          <w:rFonts w:ascii="Bookman Old Style" w:hAnsi="Bookman Old Style"/>
          <w:sz w:val="24"/>
          <w:szCs w:val="24"/>
        </w:rPr>
        <w:t>Produksi,</w:t>
      </w:r>
      <w:r w:rsidR="00A954D0" w:rsidRPr="008379CA">
        <w:rPr>
          <w:rFonts w:ascii="Bookman Old Style" w:hAnsi="Bookman Old Style"/>
          <w:sz w:val="24"/>
          <w:szCs w:val="24"/>
        </w:rPr>
        <w:t xml:space="preserve"> </w:t>
      </w:r>
      <w:r w:rsidRPr="008379CA">
        <w:rPr>
          <w:rFonts w:ascii="Bookman Old Style" w:hAnsi="Bookman Old Style"/>
          <w:sz w:val="24"/>
          <w:szCs w:val="24"/>
        </w:rPr>
        <w:t>untuk</w:t>
      </w:r>
      <w:r w:rsidR="00A954D0" w:rsidRPr="008379CA">
        <w:rPr>
          <w:rFonts w:ascii="Bookman Old Style" w:hAnsi="Bookman Old Style"/>
          <w:sz w:val="24"/>
          <w:szCs w:val="24"/>
        </w:rPr>
        <w:t xml:space="preserve"> </w:t>
      </w:r>
      <w:r w:rsidRPr="008379CA">
        <w:rPr>
          <w:rFonts w:ascii="Bookman Old Style" w:hAnsi="Bookman Old Style"/>
          <w:sz w:val="24"/>
          <w:szCs w:val="24"/>
        </w:rPr>
        <w:t>Produk</w:t>
      </w:r>
      <w:r w:rsidR="00A954D0" w:rsidRPr="008379CA">
        <w:rPr>
          <w:rFonts w:ascii="Bookman Old Style" w:hAnsi="Bookman Old Style"/>
          <w:sz w:val="24"/>
          <w:szCs w:val="24"/>
        </w:rPr>
        <w:t xml:space="preserve"> </w:t>
      </w:r>
      <w:r w:rsidRPr="008379CA">
        <w:rPr>
          <w:rFonts w:ascii="Bookman Old Style" w:hAnsi="Bookman Old Style"/>
          <w:sz w:val="24"/>
          <w:szCs w:val="24"/>
        </w:rPr>
        <w:t>Makanan</w:t>
      </w:r>
      <w:r w:rsidR="00A954D0" w:rsidRPr="008379CA">
        <w:rPr>
          <w:rFonts w:ascii="Bookman Old Style" w:hAnsi="Bookman Old Style"/>
          <w:sz w:val="24"/>
          <w:szCs w:val="24"/>
        </w:rPr>
        <w:t xml:space="preserve"> </w:t>
      </w:r>
      <w:r w:rsidRPr="008379CA">
        <w:rPr>
          <w:rFonts w:ascii="Bookman Old Style" w:hAnsi="Bookman Old Style"/>
          <w:sz w:val="24"/>
          <w:szCs w:val="24"/>
        </w:rPr>
        <w:t>Minuman</w:t>
      </w:r>
      <w:r w:rsidR="00A954D0" w:rsidRPr="008379CA">
        <w:rPr>
          <w:rFonts w:ascii="Bookman Old Style" w:hAnsi="Bookman Old Style"/>
          <w:sz w:val="24"/>
          <w:szCs w:val="24"/>
        </w:rPr>
        <w:t xml:space="preserve"> </w:t>
      </w:r>
      <w:r w:rsidRPr="008379CA">
        <w:rPr>
          <w:rFonts w:ascii="Bookman Old Style" w:hAnsi="Bookman Old Style"/>
          <w:sz w:val="24"/>
          <w:szCs w:val="24"/>
        </w:rPr>
        <w:t>Tertentu</w:t>
      </w:r>
      <w:r w:rsidR="00A954D0" w:rsidRPr="008379CA">
        <w:rPr>
          <w:rFonts w:ascii="Bookman Old Style" w:hAnsi="Bookman Old Style"/>
          <w:sz w:val="24"/>
          <w:szCs w:val="24"/>
        </w:rPr>
        <w:t xml:space="preserve"> </w:t>
      </w:r>
      <w:r w:rsidRPr="008379CA">
        <w:rPr>
          <w:rFonts w:ascii="Bookman Old Style" w:hAnsi="Bookman Old Style"/>
          <w:sz w:val="24"/>
          <w:szCs w:val="24"/>
        </w:rPr>
        <w:t>yang</w:t>
      </w:r>
      <w:r w:rsidR="00A954D0" w:rsidRPr="008379CA">
        <w:rPr>
          <w:rFonts w:ascii="Bookman Old Style" w:hAnsi="Bookman Old Style"/>
          <w:sz w:val="24"/>
          <w:szCs w:val="24"/>
        </w:rPr>
        <w:t xml:space="preserve"> </w:t>
      </w:r>
      <w:r w:rsidRPr="008379CA">
        <w:rPr>
          <w:rFonts w:ascii="Bookman Old Style" w:hAnsi="Bookman Old Style"/>
          <w:sz w:val="24"/>
          <w:szCs w:val="24"/>
        </w:rPr>
        <w:t>Dapat</w:t>
      </w:r>
      <w:r w:rsidR="00A954D0" w:rsidRPr="008379CA">
        <w:rPr>
          <w:rFonts w:ascii="Bookman Old Style" w:hAnsi="Bookman Old Style"/>
          <w:sz w:val="24"/>
          <w:szCs w:val="24"/>
        </w:rPr>
        <w:t xml:space="preserve"> </w:t>
      </w:r>
      <w:r w:rsidRPr="008379CA">
        <w:rPr>
          <w:rFonts w:ascii="Bookman Old Style" w:hAnsi="Bookman Old Style"/>
          <w:sz w:val="24"/>
          <w:szCs w:val="24"/>
        </w:rPr>
        <w:t>Diproduksi</w:t>
      </w:r>
      <w:r w:rsidR="00A954D0" w:rsidRPr="008379CA">
        <w:rPr>
          <w:rFonts w:ascii="Bookman Old Style" w:hAnsi="Bookman Old Style"/>
          <w:sz w:val="24"/>
          <w:szCs w:val="24"/>
        </w:rPr>
        <w:t xml:space="preserve"> </w:t>
      </w:r>
      <w:r w:rsidRPr="008379CA">
        <w:rPr>
          <w:rFonts w:ascii="Bookman Old Style" w:hAnsi="Bookman Old Style"/>
          <w:sz w:val="24"/>
          <w:szCs w:val="24"/>
        </w:rPr>
        <w:t>oleh</w:t>
      </w:r>
      <w:r w:rsidR="00A954D0" w:rsidRPr="008379CA">
        <w:rPr>
          <w:rFonts w:ascii="Bookman Old Style" w:hAnsi="Bookman Old Style"/>
          <w:sz w:val="24"/>
          <w:szCs w:val="24"/>
        </w:rPr>
        <w:t xml:space="preserve"> </w:t>
      </w:r>
      <w:r w:rsidRPr="008379CA">
        <w:rPr>
          <w:rFonts w:ascii="Bookman Old Style" w:hAnsi="Bookman Old Style"/>
          <w:sz w:val="24"/>
          <w:szCs w:val="24"/>
        </w:rPr>
        <w:t>Industri</w:t>
      </w:r>
      <w:r w:rsidR="00A954D0" w:rsidRPr="008379CA">
        <w:rPr>
          <w:rFonts w:ascii="Bookman Old Style" w:hAnsi="Bookman Old Style"/>
          <w:sz w:val="24"/>
          <w:szCs w:val="24"/>
        </w:rPr>
        <w:t xml:space="preserve"> </w:t>
      </w:r>
      <w:r w:rsidRPr="008379CA">
        <w:rPr>
          <w:rFonts w:ascii="Bookman Old Style" w:hAnsi="Bookman Old Style"/>
          <w:sz w:val="24"/>
          <w:szCs w:val="24"/>
        </w:rPr>
        <w:t>Rumah</w:t>
      </w:r>
      <w:r w:rsidR="00A954D0" w:rsidRPr="008379CA">
        <w:rPr>
          <w:rFonts w:ascii="Bookman Old Style" w:hAnsi="Bookman Old Style"/>
          <w:sz w:val="24"/>
          <w:szCs w:val="24"/>
        </w:rPr>
        <w:t xml:space="preserve"> </w:t>
      </w:r>
      <w:r w:rsidRPr="008379CA">
        <w:rPr>
          <w:rFonts w:ascii="Bookman Old Style" w:hAnsi="Bookman Old Style"/>
          <w:sz w:val="24"/>
          <w:szCs w:val="24"/>
        </w:rPr>
        <w:t>Tangga</w:t>
      </w:r>
      <w:r w:rsidR="00A954D0" w:rsidRPr="008379CA">
        <w:rPr>
          <w:rFonts w:ascii="Bookman Old Style" w:hAnsi="Bookman Old Style"/>
          <w:sz w:val="24"/>
          <w:szCs w:val="24"/>
        </w:rPr>
        <w:t xml:space="preserve"> </w:t>
      </w:r>
      <w:r w:rsidRPr="008379CA">
        <w:rPr>
          <w:rFonts w:ascii="Bookman Old Style" w:hAnsi="Bookman Old Style"/>
          <w:sz w:val="24"/>
          <w:szCs w:val="24"/>
        </w:rPr>
        <w:t>Rp120.696.000,00</w:t>
      </w:r>
      <w:r w:rsidR="00A954D0" w:rsidRPr="008379CA">
        <w:rPr>
          <w:rFonts w:ascii="Bookman Old Style" w:hAnsi="Bookman Old Style"/>
          <w:sz w:val="24"/>
          <w:szCs w:val="24"/>
        </w:rPr>
        <w:t xml:space="preserve"> </w:t>
      </w:r>
      <w:r w:rsidRPr="008379CA">
        <w:rPr>
          <w:rFonts w:ascii="Bookman Old Style" w:hAnsi="Bookman Old Style"/>
          <w:sz w:val="24"/>
          <w:szCs w:val="24"/>
        </w:rPr>
        <w:t>atau</w:t>
      </w:r>
      <w:r w:rsidR="00A954D0" w:rsidRPr="008379CA">
        <w:rPr>
          <w:rFonts w:ascii="Bookman Old Style" w:hAnsi="Bookman Old Style"/>
          <w:sz w:val="24"/>
          <w:szCs w:val="24"/>
        </w:rPr>
        <w:t xml:space="preserve"> </w:t>
      </w:r>
      <w:r w:rsidRPr="008379CA">
        <w:rPr>
          <w:rFonts w:ascii="Bookman Old Style" w:hAnsi="Bookman Old Style"/>
          <w:sz w:val="24"/>
          <w:szCs w:val="24"/>
        </w:rPr>
        <w:t>0,01%</w:t>
      </w:r>
      <w:r w:rsidR="00A954D0" w:rsidRPr="008379CA">
        <w:rPr>
          <w:rFonts w:ascii="Bookman Old Style" w:hAnsi="Bookman Old Style"/>
          <w:sz w:val="24"/>
          <w:szCs w:val="24"/>
        </w:rPr>
        <w:t xml:space="preserve"> </w:t>
      </w:r>
      <w:r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Pr="008379CA">
        <w:rPr>
          <w:rFonts w:ascii="Bookman Old Style" w:hAnsi="Bookman Old Style"/>
          <w:sz w:val="24"/>
          <w:szCs w:val="24"/>
        </w:rPr>
        <w:t>total</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kesehatan</w:t>
      </w:r>
      <w:r w:rsidR="003E5523" w:rsidRPr="008379CA">
        <w:rPr>
          <w:rFonts w:ascii="Bookman Old Style" w:hAnsi="Bookman Old Style"/>
          <w:sz w:val="24"/>
          <w:szCs w:val="24"/>
        </w:rPr>
        <w:t>;</w:t>
      </w:r>
    </w:p>
    <w:p w14:paraId="06438152" w14:textId="0D18D824" w:rsidR="009A2D9B" w:rsidRPr="008379CA" w:rsidRDefault="009A2D9B" w:rsidP="00C75943">
      <w:pPr>
        <w:pStyle w:val="ListParagraph"/>
        <w:numPr>
          <w:ilvl w:val="0"/>
          <w:numId w:val="252"/>
        </w:numPr>
        <w:spacing w:before="60" w:after="0" w:line="276" w:lineRule="auto"/>
        <w:ind w:left="2268" w:hanging="567"/>
        <w:contextualSpacing w:val="0"/>
        <w:jc w:val="both"/>
        <w:rPr>
          <w:rFonts w:ascii="Bookman Old Style" w:hAnsi="Bookman Old Style"/>
          <w:sz w:val="24"/>
          <w:szCs w:val="24"/>
        </w:rPr>
      </w:pPr>
      <w:r w:rsidRPr="008379CA">
        <w:rPr>
          <w:rFonts w:ascii="Bookman Old Style" w:hAnsi="Bookman Old Style"/>
          <w:sz w:val="24"/>
          <w:szCs w:val="24"/>
        </w:rPr>
        <w:t>Pemeriksaan</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Pr="008379CA">
        <w:rPr>
          <w:rFonts w:ascii="Bookman Old Style" w:hAnsi="Bookman Old Style"/>
          <w:sz w:val="24"/>
          <w:szCs w:val="24"/>
        </w:rPr>
        <w:t>Tindak</w:t>
      </w:r>
      <w:r w:rsidR="00A954D0" w:rsidRPr="008379CA">
        <w:rPr>
          <w:rFonts w:ascii="Bookman Old Style" w:hAnsi="Bookman Old Style"/>
          <w:sz w:val="24"/>
          <w:szCs w:val="24"/>
        </w:rPr>
        <w:t xml:space="preserve"> </w:t>
      </w:r>
      <w:r w:rsidRPr="008379CA">
        <w:rPr>
          <w:rFonts w:ascii="Bookman Old Style" w:hAnsi="Bookman Old Style"/>
          <w:sz w:val="24"/>
          <w:szCs w:val="24"/>
        </w:rPr>
        <w:t>Lanjut</w:t>
      </w:r>
      <w:r w:rsidR="00A954D0" w:rsidRPr="008379CA">
        <w:rPr>
          <w:rFonts w:ascii="Bookman Old Style" w:hAnsi="Bookman Old Style"/>
          <w:sz w:val="24"/>
          <w:szCs w:val="24"/>
        </w:rPr>
        <w:t xml:space="preserve"> </w:t>
      </w:r>
      <w:r w:rsidRPr="008379CA">
        <w:rPr>
          <w:rFonts w:ascii="Bookman Old Style" w:hAnsi="Bookman Old Style"/>
          <w:sz w:val="24"/>
          <w:szCs w:val="24"/>
        </w:rPr>
        <w:t>Hasil</w:t>
      </w:r>
      <w:r w:rsidR="00A954D0" w:rsidRPr="008379CA">
        <w:rPr>
          <w:rFonts w:ascii="Bookman Old Style" w:hAnsi="Bookman Old Style"/>
          <w:sz w:val="24"/>
          <w:szCs w:val="24"/>
        </w:rPr>
        <w:t xml:space="preserve"> </w:t>
      </w:r>
      <w:r w:rsidRPr="008379CA">
        <w:rPr>
          <w:rFonts w:ascii="Bookman Old Style" w:hAnsi="Bookman Old Style"/>
          <w:sz w:val="24"/>
          <w:szCs w:val="24"/>
        </w:rPr>
        <w:t>Pemeriksaan</w:t>
      </w:r>
      <w:r w:rsidR="00A954D0" w:rsidRPr="008379CA">
        <w:rPr>
          <w:rFonts w:ascii="Bookman Old Style" w:hAnsi="Bookman Old Style"/>
          <w:sz w:val="24"/>
          <w:szCs w:val="24"/>
        </w:rPr>
        <w:t xml:space="preserve"> </w:t>
      </w:r>
      <w:r w:rsidRPr="008379CA">
        <w:rPr>
          <w:rFonts w:ascii="Bookman Old Style" w:hAnsi="Bookman Old Style"/>
          <w:sz w:val="24"/>
          <w:szCs w:val="24"/>
        </w:rPr>
        <w:t>Post</w:t>
      </w:r>
      <w:r w:rsidR="00A954D0" w:rsidRPr="008379CA">
        <w:rPr>
          <w:rFonts w:ascii="Bookman Old Style" w:hAnsi="Bookman Old Style"/>
          <w:sz w:val="24"/>
          <w:szCs w:val="24"/>
        </w:rPr>
        <w:t xml:space="preserve"> </w:t>
      </w:r>
      <w:r w:rsidRPr="008379CA">
        <w:rPr>
          <w:rFonts w:ascii="Bookman Old Style" w:hAnsi="Bookman Old Style"/>
          <w:sz w:val="24"/>
          <w:szCs w:val="24"/>
        </w:rPr>
        <w:t>Market</w:t>
      </w:r>
      <w:r w:rsidR="00A954D0" w:rsidRPr="008379CA">
        <w:rPr>
          <w:rFonts w:ascii="Bookman Old Style" w:hAnsi="Bookman Old Style"/>
          <w:sz w:val="24"/>
          <w:szCs w:val="24"/>
        </w:rPr>
        <w:t xml:space="preserve"> </w:t>
      </w:r>
      <w:r w:rsidRPr="008379CA">
        <w:rPr>
          <w:rFonts w:ascii="Bookman Old Style" w:hAnsi="Bookman Old Style"/>
          <w:sz w:val="24"/>
          <w:szCs w:val="24"/>
        </w:rPr>
        <w:t>pada</w:t>
      </w:r>
      <w:r w:rsidR="00A954D0" w:rsidRPr="008379CA">
        <w:rPr>
          <w:rFonts w:ascii="Bookman Old Style" w:hAnsi="Bookman Old Style"/>
          <w:sz w:val="24"/>
          <w:szCs w:val="24"/>
        </w:rPr>
        <w:t xml:space="preserve"> </w:t>
      </w:r>
      <w:r w:rsidRPr="008379CA">
        <w:rPr>
          <w:rFonts w:ascii="Bookman Old Style" w:hAnsi="Bookman Old Style"/>
          <w:sz w:val="24"/>
          <w:szCs w:val="24"/>
        </w:rPr>
        <w:t>Produksi</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Pr="008379CA">
        <w:rPr>
          <w:rFonts w:ascii="Bookman Old Style" w:hAnsi="Bookman Old Style"/>
          <w:sz w:val="24"/>
          <w:szCs w:val="24"/>
        </w:rPr>
        <w:t>Produk</w:t>
      </w:r>
      <w:r w:rsidR="00A954D0" w:rsidRPr="008379CA">
        <w:rPr>
          <w:rFonts w:ascii="Bookman Old Style" w:hAnsi="Bookman Old Style"/>
          <w:sz w:val="24"/>
          <w:szCs w:val="24"/>
        </w:rPr>
        <w:t xml:space="preserve"> </w:t>
      </w:r>
      <w:r w:rsidRPr="008379CA">
        <w:rPr>
          <w:rFonts w:ascii="Bookman Old Style" w:hAnsi="Bookman Old Style"/>
          <w:sz w:val="24"/>
          <w:szCs w:val="24"/>
        </w:rPr>
        <w:t>Makanan</w:t>
      </w:r>
      <w:r w:rsidR="00A954D0" w:rsidRPr="008379CA">
        <w:rPr>
          <w:rFonts w:ascii="Bookman Old Style" w:hAnsi="Bookman Old Style"/>
          <w:sz w:val="24"/>
          <w:szCs w:val="24"/>
        </w:rPr>
        <w:t xml:space="preserve"> </w:t>
      </w:r>
      <w:r w:rsidRPr="008379CA">
        <w:rPr>
          <w:rFonts w:ascii="Bookman Old Style" w:hAnsi="Bookman Old Style"/>
          <w:sz w:val="24"/>
          <w:szCs w:val="24"/>
        </w:rPr>
        <w:t>Minuman</w:t>
      </w:r>
      <w:r w:rsidR="00A954D0" w:rsidRPr="008379CA">
        <w:rPr>
          <w:rFonts w:ascii="Bookman Old Style" w:hAnsi="Bookman Old Style"/>
          <w:sz w:val="24"/>
          <w:szCs w:val="24"/>
        </w:rPr>
        <w:t xml:space="preserve"> </w:t>
      </w:r>
      <w:r w:rsidRPr="008379CA">
        <w:rPr>
          <w:rFonts w:ascii="Bookman Old Style" w:hAnsi="Bookman Old Style"/>
          <w:sz w:val="24"/>
          <w:szCs w:val="24"/>
        </w:rPr>
        <w:t>Industri</w:t>
      </w:r>
      <w:r w:rsidR="00A954D0" w:rsidRPr="008379CA">
        <w:rPr>
          <w:rFonts w:ascii="Bookman Old Style" w:hAnsi="Bookman Old Style"/>
          <w:sz w:val="24"/>
          <w:szCs w:val="24"/>
        </w:rPr>
        <w:t xml:space="preserve"> </w:t>
      </w:r>
      <w:r w:rsidRPr="008379CA">
        <w:rPr>
          <w:rFonts w:ascii="Bookman Old Style" w:hAnsi="Bookman Old Style"/>
          <w:sz w:val="24"/>
          <w:szCs w:val="24"/>
        </w:rPr>
        <w:t>Rumah</w:t>
      </w:r>
      <w:r w:rsidR="00A954D0" w:rsidRPr="008379CA">
        <w:rPr>
          <w:rFonts w:ascii="Bookman Old Style" w:hAnsi="Bookman Old Style"/>
          <w:sz w:val="24"/>
          <w:szCs w:val="24"/>
        </w:rPr>
        <w:t xml:space="preserve"> </w:t>
      </w:r>
      <w:r w:rsidRPr="008379CA">
        <w:rPr>
          <w:rFonts w:ascii="Bookman Old Style" w:hAnsi="Bookman Old Style"/>
          <w:sz w:val="24"/>
          <w:szCs w:val="24"/>
        </w:rPr>
        <w:t>Tangga</w:t>
      </w:r>
      <w:r w:rsidR="00A954D0" w:rsidRPr="008379CA">
        <w:rPr>
          <w:rFonts w:ascii="Bookman Old Style" w:hAnsi="Bookman Old Style"/>
          <w:sz w:val="24"/>
          <w:szCs w:val="24"/>
        </w:rPr>
        <w:t xml:space="preserve"> </w:t>
      </w:r>
      <w:r w:rsidRPr="008379CA">
        <w:rPr>
          <w:rFonts w:ascii="Bookman Old Style" w:hAnsi="Bookman Old Style"/>
          <w:sz w:val="24"/>
          <w:szCs w:val="24"/>
        </w:rPr>
        <w:t>Rp49.980.400,00</w:t>
      </w:r>
      <w:r w:rsidR="00A954D0" w:rsidRPr="008379CA">
        <w:rPr>
          <w:rFonts w:ascii="Bookman Old Style" w:hAnsi="Bookman Old Style"/>
          <w:sz w:val="24"/>
          <w:szCs w:val="24"/>
        </w:rPr>
        <w:t xml:space="preserve"> </w:t>
      </w:r>
      <w:r w:rsidRPr="008379CA">
        <w:rPr>
          <w:rFonts w:ascii="Bookman Old Style" w:hAnsi="Bookman Old Style"/>
          <w:sz w:val="24"/>
          <w:szCs w:val="24"/>
        </w:rPr>
        <w:t>atau</w:t>
      </w:r>
      <w:r w:rsidR="00A954D0" w:rsidRPr="008379CA">
        <w:rPr>
          <w:rFonts w:ascii="Bookman Old Style" w:hAnsi="Bookman Old Style"/>
          <w:sz w:val="24"/>
          <w:szCs w:val="24"/>
        </w:rPr>
        <w:t xml:space="preserve"> </w:t>
      </w:r>
      <w:r w:rsidRPr="008379CA">
        <w:rPr>
          <w:rFonts w:ascii="Bookman Old Style" w:hAnsi="Bookman Old Style"/>
          <w:sz w:val="24"/>
          <w:szCs w:val="24"/>
        </w:rPr>
        <w:t>0,05%</w:t>
      </w:r>
      <w:r w:rsidR="00A954D0" w:rsidRPr="008379CA">
        <w:rPr>
          <w:rFonts w:ascii="Bookman Old Style" w:hAnsi="Bookman Old Style"/>
          <w:sz w:val="24"/>
          <w:szCs w:val="24"/>
        </w:rPr>
        <w:t xml:space="preserve"> </w:t>
      </w:r>
      <w:r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Pr="008379CA">
        <w:rPr>
          <w:rFonts w:ascii="Bookman Old Style" w:hAnsi="Bookman Old Style"/>
          <w:sz w:val="24"/>
          <w:szCs w:val="24"/>
        </w:rPr>
        <w:t>total</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kesehatan</w:t>
      </w:r>
      <w:r w:rsidR="00236E65" w:rsidRPr="008379CA">
        <w:rPr>
          <w:rFonts w:ascii="Bookman Old Style" w:hAnsi="Bookman Old Style"/>
          <w:sz w:val="24"/>
          <w:szCs w:val="24"/>
        </w:rPr>
        <w:t>.</w:t>
      </w:r>
    </w:p>
    <w:p w14:paraId="66C4D6BE" w14:textId="7061D295" w:rsidR="009A2D9B" w:rsidRPr="008379CA" w:rsidRDefault="00DE5080" w:rsidP="00C75943">
      <w:pPr>
        <w:pStyle w:val="ListParagraph"/>
        <w:numPr>
          <w:ilvl w:val="0"/>
          <w:numId w:val="11"/>
        </w:numPr>
        <w:spacing w:before="60" w:after="0" w:line="276" w:lineRule="auto"/>
        <w:ind w:left="1701" w:hanging="425"/>
        <w:contextualSpacing w:val="0"/>
        <w:jc w:val="both"/>
        <w:rPr>
          <w:rFonts w:ascii="Bookman Old Style" w:hAnsi="Bookman Old Style"/>
          <w:sz w:val="24"/>
          <w:szCs w:val="24"/>
        </w:rPr>
      </w:pPr>
      <w:r w:rsidRPr="008379CA">
        <w:rPr>
          <w:rFonts w:ascii="Bookman Old Style" w:hAnsi="Bookman Old Style"/>
          <w:sz w:val="24"/>
          <w:szCs w:val="24"/>
        </w:rPr>
        <w:t>Program</w:t>
      </w:r>
      <w:r w:rsidR="00A954D0" w:rsidRPr="008379CA">
        <w:rPr>
          <w:rFonts w:ascii="Bookman Old Style" w:hAnsi="Bookman Old Style"/>
          <w:sz w:val="24"/>
          <w:szCs w:val="24"/>
        </w:rPr>
        <w:t xml:space="preserve"> </w:t>
      </w:r>
      <w:r w:rsidRPr="008379CA">
        <w:rPr>
          <w:rFonts w:ascii="Bookman Old Style" w:hAnsi="Bookman Old Style"/>
          <w:sz w:val="24"/>
          <w:szCs w:val="24"/>
        </w:rPr>
        <w:t>Pemberdayaan</w:t>
      </w:r>
      <w:r w:rsidR="00A954D0" w:rsidRPr="008379CA">
        <w:rPr>
          <w:rFonts w:ascii="Bookman Old Style" w:hAnsi="Bookman Old Style"/>
          <w:sz w:val="24"/>
          <w:szCs w:val="24"/>
        </w:rPr>
        <w:t xml:space="preserve"> </w:t>
      </w:r>
      <w:r w:rsidRPr="008379CA">
        <w:rPr>
          <w:rFonts w:ascii="Bookman Old Style" w:hAnsi="Bookman Old Style"/>
          <w:sz w:val="24"/>
          <w:szCs w:val="24"/>
        </w:rPr>
        <w:t>Masyarakat</w:t>
      </w:r>
      <w:r w:rsidR="00A954D0" w:rsidRPr="008379CA">
        <w:rPr>
          <w:rFonts w:ascii="Bookman Old Style" w:hAnsi="Bookman Old Style"/>
          <w:sz w:val="24"/>
          <w:szCs w:val="24"/>
        </w:rPr>
        <w:t xml:space="preserve"> </w:t>
      </w:r>
      <w:r w:rsidRPr="008379CA">
        <w:rPr>
          <w:rFonts w:ascii="Bookman Old Style" w:hAnsi="Bookman Old Style"/>
          <w:sz w:val="24"/>
          <w:szCs w:val="24"/>
        </w:rPr>
        <w:t>Bidang</w:t>
      </w:r>
      <w:r w:rsidR="00A954D0" w:rsidRPr="008379CA">
        <w:rPr>
          <w:rFonts w:ascii="Bookman Old Style" w:hAnsi="Bookman Old Style"/>
          <w:sz w:val="24"/>
          <w:szCs w:val="24"/>
        </w:rPr>
        <w:t xml:space="preserve"> </w:t>
      </w:r>
      <w:r w:rsidRPr="008379CA">
        <w:rPr>
          <w:rFonts w:ascii="Bookman Old Style" w:hAnsi="Bookman Old Style"/>
          <w:sz w:val="24"/>
          <w:szCs w:val="24"/>
        </w:rPr>
        <w:t>Kesehatan</w:t>
      </w:r>
      <w:r w:rsidR="00A954D0" w:rsidRPr="008379CA">
        <w:rPr>
          <w:rFonts w:ascii="Bookman Old Style" w:hAnsi="Bookman Old Style"/>
          <w:sz w:val="24"/>
          <w:szCs w:val="24"/>
        </w:rPr>
        <w:t xml:space="preserve"> </w:t>
      </w:r>
      <w:r w:rsidR="009A2D9B" w:rsidRPr="008379CA">
        <w:rPr>
          <w:rFonts w:ascii="Bookman Old Style" w:hAnsi="Bookman Old Style"/>
          <w:sz w:val="24"/>
          <w:szCs w:val="24"/>
        </w:rPr>
        <w:t>Rp1.905.212.600,00</w:t>
      </w:r>
      <w:r w:rsidR="00A954D0" w:rsidRPr="008379CA">
        <w:rPr>
          <w:rFonts w:ascii="Bookman Old Style" w:hAnsi="Bookman Old Style"/>
          <w:sz w:val="24"/>
          <w:szCs w:val="24"/>
        </w:rPr>
        <w:t xml:space="preserve"> </w:t>
      </w:r>
      <w:r w:rsidR="009A2D9B" w:rsidRPr="008379CA">
        <w:rPr>
          <w:rFonts w:ascii="Bookman Old Style" w:hAnsi="Bookman Old Style"/>
          <w:sz w:val="24"/>
          <w:szCs w:val="24"/>
        </w:rPr>
        <w:t>atau</w:t>
      </w:r>
      <w:r w:rsidR="00A954D0" w:rsidRPr="008379CA">
        <w:rPr>
          <w:rFonts w:ascii="Bookman Old Style" w:hAnsi="Bookman Old Style"/>
          <w:sz w:val="24"/>
          <w:szCs w:val="24"/>
        </w:rPr>
        <w:t xml:space="preserve"> </w:t>
      </w:r>
      <w:r w:rsidR="009A2D9B" w:rsidRPr="008379CA">
        <w:rPr>
          <w:rFonts w:ascii="Bookman Old Style" w:hAnsi="Bookman Old Style"/>
          <w:sz w:val="24"/>
          <w:szCs w:val="24"/>
        </w:rPr>
        <w:t>0,18%</w:t>
      </w:r>
      <w:r w:rsidR="00A954D0" w:rsidRPr="008379CA">
        <w:rPr>
          <w:rFonts w:ascii="Bookman Old Style" w:hAnsi="Bookman Old Style"/>
          <w:sz w:val="24"/>
          <w:szCs w:val="24"/>
        </w:rPr>
        <w:t xml:space="preserve"> </w:t>
      </w:r>
      <w:r w:rsidR="009A2D9B"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009A2D9B" w:rsidRPr="008379CA">
        <w:rPr>
          <w:rFonts w:ascii="Bookman Old Style" w:hAnsi="Bookman Old Style"/>
          <w:sz w:val="24"/>
          <w:szCs w:val="24"/>
        </w:rPr>
        <w:t>total</w:t>
      </w:r>
      <w:r w:rsidR="00A954D0" w:rsidRPr="008379CA">
        <w:rPr>
          <w:rFonts w:ascii="Bookman Old Style" w:hAnsi="Bookman Old Style"/>
          <w:sz w:val="24"/>
          <w:szCs w:val="24"/>
        </w:rPr>
        <w:t xml:space="preserve"> </w:t>
      </w:r>
      <w:r w:rsidR="009A2D9B"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009A2D9B" w:rsidRPr="008379CA">
        <w:rPr>
          <w:rFonts w:ascii="Bookman Old Style" w:hAnsi="Bookman Old Style"/>
          <w:sz w:val="24"/>
          <w:szCs w:val="24"/>
        </w:rPr>
        <w:t>kesehatan</w:t>
      </w:r>
      <w:r w:rsidR="003E5523" w:rsidRPr="008379CA">
        <w:rPr>
          <w:rFonts w:ascii="Bookman Old Style" w:hAnsi="Bookman Old Style"/>
          <w:sz w:val="24"/>
          <w:szCs w:val="24"/>
          <w:lang w:val="sv-FI"/>
        </w:rPr>
        <w:t>,</w:t>
      </w:r>
      <w:r w:rsidR="00A954D0" w:rsidRPr="008379CA">
        <w:rPr>
          <w:rFonts w:ascii="Bookman Old Style" w:hAnsi="Bookman Old Style"/>
          <w:sz w:val="24"/>
          <w:szCs w:val="24"/>
          <w:lang w:val="sv-FI"/>
        </w:rPr>
        <w:t xml:space="preserve"> </w:t>
      </w:r>
      <w:r w:rsidR="003E5523" w:rsidRPr="008379CA">
        <w:rPr>
          <w:rFonts w:ascii="Bookman Old Style" w:hAnsi="Bookman Old Style"/>
          <w:sz w:val="24"/>
          <w:szCs w:val="24"/>
          <w:lang w:val="sv-FI"/>
        </w:rPr>
        <w:t>yang</w:t>
      </w:r>
      <w:r w:rsidR="00A954D0" w:rsidRPr="008379CA">
        <w:rPr>
          <w:rFonts w:ascii="Bookman Old Style" w:hAnsi="Bookman Old Style"/>
          <w:sz w:val="24"/>
          <w:szCs w:val="24"/>
          <w:lang w:val="sv-FI"/>
        </w:rPr>
        <w:t xml:space="preserve"> </w:t>
      </w:r>
      <w:r w:rsidR="003E5523" w:rsidRPr="008379CA">
        <w:rPr>
          <w:rFonts w:ascii="Bookman Old Style" w:hAnsi="Bookman Old Style"/>
          <w:sz w:val="24"/>
          <w:szCs w:val="24"/>
          <w:lang w:val="sv-FI"/>
        </w:rPr>
        <w:t>diuraikan</w:t>
      </w:r>
      <w:r w:rsidR="00A954D0" w:rsidRPr="008379CA">
        <w:rPr>
          <w:rFonts w:ascii="Bookman Old Style" w:hAnsi="Bookman Old Style"/>
          <w:sz w:val="24"/>
          <w:szCs w:val="24"/>
          <w:lang w:val="sv-FI"/>
        </w:rPr>
        <w:t xml:space="preserve"> </w:t>
      </w:r>
      <w:r w:rsidR="003E5523" w:rsidRPr="008379CA">
        <w:rPr>
          <w:rFonts w:ascii="Bookman Old Style" w:hAnsi="Bookman Old Style"/>
          <w:sz w:val="24"/>
          <w:szCs w:val="24"/>
          <w:lang w:val="sv-FI"/>
        </w:rPr>
        <w:t>pada</w:t>
      </w:r>
      <w:r w:rsidR="00A954D0" w:rsidRPr="008379CA">
        <w:rPr>
          <w:rFonts w:ascii="Bookman Old Style" w:hAnsi="Bookman Old Style"/>
          <w:sz w:val="24"/>
          <w:szCs w:val="24"/>
          <w:lang w:val="sv-FI"/>
        </w:rPr>
        <w:t xml:space="preserve"> </w:t>
      </w:r>
      <w:r w:rsidR="003E5523" w:rsidRPr="008379CA">
        <w:rPr>
          <w:rFonts w:ascii="Bookman Old Style" w:hAnsi="Bookman Old Style"/>
          <w:sz w:val="24"/>
          <w:szCs w:val="24"/>
          <w:lang w:val="sv-FI"/>
        </w:rPr>
        <w:t>kegiatan:</w:t>
      </w:r>
    </w:p>
    <w:p w14:paraId="286F1A74" w14:textId="7281ED73" w:rsidR="009A2D9B" w:rsidRPr="008379CA" w:rsidRDefault="009A2D9B" w:rsidP="00C75943">
      <w:pPr>
        <w:pStyle w:val="ListParagraph"/>
        <w:numPr>
          <w:ilvl w:val="0"/>
          <w:numId w:val="253"/>
        </w:numPr>
        <w:spacing w:before="60" w:after="0" w:line="276" w:lineRule="auto"/>
        <w:ind w:left="2268" w:hanging="567"/>
        <w:contextualSpacing w:val="0"/>
        <w:jc w:val="both"/>
        <w:rPr>
          <w:rFonts w:ascii="Bookman Old Style" w:hAnsi="Bookman Old Style"/>
          <w:sz w:val="24"/>
          <w:szCs w:val="24"/>
        </w:rPr>
      </w:pPr>
      <w:r w:rsidRPr="008379CA">
        <w:rPr>
          <w:rFonts w:ascii="Bookman Old Style" w:hAnsi="Bookman Old Style"/>
          <w:sz w:val="24"/>
          <w:szCs w:val="24"/>
        </w:rPr>
        <w:t>Advokasi,</w:t>
      </w:r>
      <w:r w:rsidR="00A954D0" w:rsidRPr="008379CA">
        <w:rPr>
          <w:rFonts w:ascii="Bookman Old Style" w:hAnsi="Bookman Old Style"/>
          <w:sz w:val="24"/>
          <w:szCs w:val="24"/>
        </w:rPr>
        <w:t xml:space="preserve"> </w:t>
      </w:r>
      <w:r w:rsidRPr="008379CA">
        <w:rPr>
          <w:rFonts w:ascii="Bookman Old Style" w:hAnsi="Bookman Old Style"/>
          <w:sz w:val="24"/>
          <w:szCs w:val="24"/>
        </w:rPr>
        <w:t>Pemberdayaan,</w:t>
      </w:r>
      <w:r w:rsidR="00A954D0" w:rsidRPr="008379CA">
        <w:rPr>
          <w:rFonts w:ascii="Bookman Old Style" w:hAnsi="Bookman Old Style"/>
          <w:sz w:val="24"/>
          <w:szCs w:val="24"/>
        </w:rPr>
        <w:t xml:space="preserve"> </w:t>
      </w:r>
      <w:r w:rsidRPr="008379CA">
        <w:rPr>
          <w:rFonts w:ascii="Bookman Old Style" w:hAnsi="Bookman Old Style"/>
          <w:sz w:val="24"/>
          <w:szCs w:val="24"/>
        </w:rPr>
        <w:t>Kemitraan,</w:t>
      </w:r>
      <w:r w:rsidR="00A954D0" w:rsidRPr="008379CA">
        <w:rPr>
          <w:rFonts w:ascii="Bookman Old Style" w:hAnsi="Bookman Old Style"/>
          <w:sz w:val="24"/>
          <w:szCs w:val="24"/>
        </w:rPr>
        <w:t xml:space="preserve"> </w:t>
      </w:r>
      <w:r w:rsidRPr="008379CA">
        <w:rPr>
          <w:rFonts w:ascii="Bookman Old Style" w:hAnsi="Bookman Old Style"/>
          <w:sz w:val="24"/>
          <w:szCs w:val="24"/>
        </w:rPr>
        <w:t>Peningkatan</w:t>
      </w:r>
      <w:r w:rsidR="00A954D0" w:rsidRPr="008379CA">
        <w:rPr>
          <w:rFonts w:ascii="Bookman Old Style" w:hAnsi="Bookman Old Style"/>
          <w:sz w:val="24"/>
          <w:szCs w:val="24"/>
        </w:rPr>
        <w:t xml:space="preserve"> </w:t>
      </w:r>
      <w:r w:rsidRPr="008379CA">
        <w:rPr>
          <w:rFonts w:ascii="Bookman Old Style" w:hAnsi="Bookman Old Style"/>
          <w:sz w:val="24"/>
          <w:szCs w:val="24"/>
        </w:rPr>
        <w:t>Peran</w:t>
      </w:r>
      <w:r w:rsidR="00A954D0" w:rsidRPr="008379CA">
        <w:rPr>
          <w:rFonts w:ascii="Bookman Old Style" w:hAnsi="Bookman Old Style"/>
          <w:sz w:val="24"/>
          <w:szCs w:val="24"/>
        </w:rPr>
        <w:t xml:space="preserve"> </w:t>
      </w:r>
      <w:r w:rsidRPr="008379CA">
        <w:rPr>
          <w:rFonts w:ascii="Bookman Old Style" w:hAnsi="Bookman Old Style"/>
          <w:sz w:val="24"/>
          <w:szCs w:val="24"/>
        </w:rPr>
        <w:t>serta</w:t>
      </w:r>
      <w:r w:rsidR="00A954D0" w:rsidRPr="008379CA">
        <w:rPr>
          <w:rFonts w:ascii="Bookman Old Style" w:hAnsi="Bookman Old Style"/>
          <w:sz w:val="24"/>
          <w:szCs w:val="24"/>
        </w:rPr>
        <w:t xml:space="preserve"> </w:t>
      </w:r>
      <w:r w:rsidRPr="008379CA">
        <w:rPr>
          <w:rFonts w:ascii="Bookman Old Style" w:hAnsi="Bookman Old Style"/>
          <w:sz w:val="24"/>
          <w:szCs w:val="24"/>
        </w:rPr>
        <w:t>Masyarakat</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Pr="008379CA">
        <w:rPr>
          <w:rFonts w:ascii="Bookman Old Style" w:hAnsi="Bookman Old Style"/>
          <w:sz w:val="24"/>
          <w:szCs w:val="24"/>
        </w:rPr>
        <w:t>Lintas</w:t>
      </w:r>
      <w:r w:rsidR="00A954D0" w:rsidRPr="008379CA">
        <w:rPr>
          <w:rFonts w:ascii="Bookman Old Style" w:hAnsi="Bookman Old Style"/>
          <w:sz w:val="24"/>
          <w:szCs w:val="24"/>
        </w:rPr>
        <w:t xml:space="preserve"> </w:t>
      </w:r>
      <w:r w:rsidRPr="008379CA">
        <w:rPr>
          <w:rFonts w:ascii="Bookman Old Style" w:hAnsi="Bookman Old Style"/>
          <w:sz w:val="24"/>
          <w:szCs w:val="24"/>
        </w:rPr>
        <w:t>Sektor</w:t>
      </w:r>
      <w:r w:rsidR="00A954D0" w:rsidRPr="008379CA">
        <w:rPr>
          <w:rFonts w:ascii="Bookman Old Style" w:hAnsi="Bookman Old Style"/>
          <w:sz w:val="24"/>
          <w:szCs w:val="24"/>
        </w:rPr>
        <w:t xml:space="preserve"> </w:t>
      </w:r>
      <w:r w:rsidRPr="008379CA">
        <w:rPr>
          <w:rFonts w:ascii="Bookman Old Style" w:hAnsi="Bookman Old Style"/>
          <w:sz w:val="24"/>
          <w:szCs w:val="24"/>
        </w:rPr>
        <w:t>Tingkat</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Kabupaten/Kota</w:t>
      </w:r>
      <w:r w:rsidR="00A954D0" w:rsidRPr="008379CA">
        <w:rPr>
          <w:rFonts w:ascii="Bookman Old Style" w:hAnsi="Bookman Old Style"/>
          <w:sz w:val="24"/>
          <w:szCs w:val="24"/>
        </w:rPr>
        <w:t xml:space="preserve"> </w:t>
      </w:r>
      <w:r w:rsidRPr="008379CA">
        <w:rPr>
          <w:rFonts w:ascii="Bookman Old Style" w:hAnsi="Bookman Old Style"/>
          <w:sz w:val="24"/>
          <w:szCs w:val="24"/>
        </w:rPr>
        <w:t>Rp1.249.922.000,00</w:t>
      </w:r>
      <w:r w:rsidR="00A954D0" w:rsidRPr="008379CA">
        <w:rPr>
          <w:rFonts w:ascii="Bookman Old Style" w:hAnsi="Bookman Old Style"/>
          <w:sz w:val="24"/>
          <w:szCs w:val="24"/>
        </w:rPr>
        <w:t xml:space="preserve"> </w:t>
      </w:r>
      <w:r w:rsidRPr="008379CA">
        <w:rPr>
          <w:rFonts w:ascii="Bookman Old Style" w:hAnsi="Bookman Old Style"/>
          <w:sz w:val="24"/>
          <w:szCs w:val="24"/>
        </w:rPr>
        <w:t>atau</w:t>
      </w:r>
      <w:r w:rsidR="00A954D0" w:rsidRPr="008379CA">
        <w:rPr>
          <w:rFonts w:ascii="Bookman Old Style" w:hAnsi="Bookman Old Style"/>
          <w:sz w:val="24"/>
          <w:szCs w:val="24"/>
        </w:rPr>
        <w:t xml:space="preserve"> </w:t>
      </w:r>
      <w:r w:rsidRPr="008379CA">
        <w:rPr>
          <w:rFonts w:ascii="Bookman Old Style" w:hAnsi="Bookman Old Style"/>
          <w:sz w:val="24"/>
          <w:szCs w:val="24"/>
        </w:rPr>
        <w:t>0,12%</w:t>
      </w:r>
      <w:r w:rsidR="00A954D0" w:rsidRPr="008379CA">
        <w:rPr>
          <w:rFonts w:ascii="Bookman Old Style" w:hAnsi="Bookman Old Style"/>
          <w:sz w:val="24"/>
          <w:szCs w:val="24"/>
        </w:rPr>
        <w:t xml:space="preserve"> </w:t>
      </w:r>
      <w:r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Pr="008379CA">
        <w:rPr>
          <w:rFonts w:ascii="Bookman Old Style" w:hAnsi="Bookman Old Style"/>
          <w:sz w:val="24"/>
          <w:szCs w:val="24"/>
        </w:rPr>
        <w:t>total</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kesehatan;</w:t>
      </w:r>
    </w:p>
    <w:p w14:paraId="4956AF67" w14:textId="1688360B" w:rsidR="009A2D9B" w:rsidRPr="008379CA" w:rsidRDefault="009A2D9B" w:rsidP="00C75943">
      <w:pPr>
        <w:pStyle w:val="ListParagraph"/>
        <w:numPr>
          <w:ilvl w:val="0"/>
          <w:numId w:val="253"/>
        </w:numPr>
        <w:spacing w:before="60" w:after="0" w:line="276" w:lineRule="auto"/>
        <w:ind w:left="2268" w:hanging="567"/>
        <w:contextualSpacing w:val="0"/>
        <w:jc w:val="both"/>
        <w:rPr>
          <w:rFonts w:ascii="Bookman Old Style" w:hAnsi="Bookman Old Style"/>
          <w:sz w:val="24"/>
          <w:szCs w:val="24"/>
        </w:rPr>
      </w:pPr>
      <w:r w:rsidRPr="008379CA">
        <w:rPr>
          <w:rFonts w:ascii="Bookman Old Style" w:hAnsi="Bookman Old Style"/>
          <w:sz w:val="24"/>
          <w:szCs w:val="24"/>
        </w:rPr>
        <w:t>Pelaksanaan</w:t>
      </w:r>
      <w:r w:rsidR="00A954D0" w:rsidRPr="008379CA">
        <w:rPr>
          <w:rFonts w:ascii="Bookman Old Style" w:hAnsi="Bookman Old Style"/>
          <w:sz w:val="24"/>
          <w:szCs w:val="24"/>
        </w:rPr>
        <w:t xml:space="preserve"> </w:t>
      </w:r>
      <w:r w:rsidRPr="008379CA">
        <w:rPr>
          <w:rFonts w:ascii="Bookman Old Style" w:hAnsi="Bookman Old Style"/>
          <w:sz w:val="24"/>
          <w:szCs w:val="24"/>
        </w:rPr>
        <w:t>Sehat</w:t>
      </w:r>
      <w:r w:rsidR="00A954D0" w:rsidRPr="008379CA">
        <w:rPr>
          <w:rFonts w:ascii="Bookman Old Style" w:hAnsi="Bookman Old Style"/>
          <w:sz w:val="24"/>
          <w:szCs w:val="24"/>
        </w:rPr>
        <w:t xml:space="preserve"> </w:t>
      </w:r>
      <w:r w:rsidRPr="008379CA">
        <w:rPr>
          <w:rFonts w:ascii="Bookman Old Style" w:hAnsi="Bookman Old Style"/>
          <w:sz w:val="24"/>
          <w:szCs w:val="24"/>
        </w:rPr>
        <w:t>dalam</w:t>
      </w:r>
      <w:r w:rsidR="00A954D0" w:rsidRPr="008379CA">
        <w:rPr>
          <w:rFonts w:ascii="Bookman Old Style" w:hAnsi="Bookman Old Style"/>
          <w:sz w:val="24"/>
          <w:szCs w:val="24"/>
        </w:rPr>
        <w:t xml:space="preserve"> </w:t>
      </w:r>
      <w:r w:rsidRPr="008379CA">
        <w:rPr>
          <w:rFonts w:ascii="Bookman Old Style" w:hAnsi="Bookman Old Style"/>
          <w:sz w:val="24"/>
          <w:szCs w:val="24"/>
        </w:rPr>
        <w:t>rangka</w:t>
      </w:r>
      <w:r w:rsidR="00A954D0" w:rsidRPr="008379CA">
        <w:rPr>
          <w:rFonts w:ascii="Bookman Old Style" w:hAnsi="Bookman Old Style"/>
          <w:sz w:val="24"/>
          <w:szCs w:val="24"/>
        </w:rPr>
        <w:t xml:space="preserve"> </w:t>
      </w:r>
      <w:r w:rsidRPr="008379CA">
        <w:rPr>
          <w:rFonts w:ascii="Bookman Old Style" w:hAnsi="Bookman Old Style"/>
          <w:sz w:val="24"/>
          <w:szCs w:val="24"/>
        </w:rPr>
        <w:t>Promotif</w:t>
      </w:r>
      <w:r w:rsidR="00A954D0" w:rsidRPr="008379CA">
        <w:rPr>
          <w:rFonts w:ascii="Bookman Old Style" w:hAnsi="Bookman Old Style"/>
          <w:sz w:val="24"/>
          <w:szCs w:val="24"/>
        </w:rPr>
        <w:t xml:space="preserve"> </w:t>
      </w:r>
      <w:r w:rsidRPr="008379CA">
        <w:rPr>
          <w:rFonts w:ascii="Bookman Old Style" w:hAnsi="Bookman Old Style"/>
          <w:sz w:val="24"/>
          <w:szCs w:val="24"/>
        </w:rPr>
        <w:t>Preventif</w:t>
      </w:r>
      <w:r w:rsidR="00A954D0" w:rsidRPr="008379CA">
        <w:rPr>
          <w:rFonts w:ascii="Bookman Old Style" w:hAnsi="Bookman Old Style"/>
          <w:sz w:val="24"/>
          <w:szCs w:val="24"/>
        </w:rPr>
        <w:t xml:space="preserve"> </w:t>
      </w:r>
      <w:r w:rsidRPr="008379CA">
        <w:rPr>
          <w:rFonts w:ascii="Bookman Old Style" w:hAnsi="Bookman Old Style"/>
          <w:sz w:val="24"/>
          <w:szCs w:val="24"/>
        </w:rPr>
        <w:t>Tingkat</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Kabupaten/Kota</w:t>
      </w:r>
      <w:r w:rsidR="00A954D0" w:rsidRPr="008379CA">
        <w:rPr>
          <w:rFonts w:ascii="Bookman Old Style" w:hAnsi="Bookman Old Style"/>
          <w:sz w:val="24"/>
          <w:szCs w:val="24"/>
        </w:rPr>
        <w:t xml:space="preserve"> </w:t>
      </w:r>
      <w:r w:rsidRPr="008379CA">
        <w:rPr>
          <w:rFonts w:ascii="Bookman Old Style" w:hAnsi="Bookman Old Style"/>
          <w:sz w:val="24"/>
          <w:szCs w:val="24"/>
        </w:rPr>
        <w:t>Rp272.738.000,00</w:t>
      </w:r>
      <w:r w:rsidR="00A954D0" w:rsidRPr="008379CA">
        <w:rPr>
          <w:rFonts w:ascii="Bookman Old Style" w:hAnsi="Bookman Old Style"/>
          <w:sz w:val="24"/>
          <w:szCs w:val="24"/>
        </w:rPr>
        <w:t xml:space="preserve"> </w:t>
      </w:r>
      <w:r w:rsidRPr="008379CA">
        <w:rPr>
          <w:rFonts w:ascii="Bookman Old Style" w:hAnsi="Bookman Old Style"/>
          <w:sz w:val="24"/>
          <w:szCs w:val="24"/>
        </w:rPr>
        <w:t>atau</w:t>
      </w:r>
      <w:r w:rsidR="00A954D0" w:rsidRPr="008379CA">
        <w:rPr>
          <w:rFonts w:ascii="Bookman Old Style" w:hAnsi="Bookman Old Style"/>
          <w:sz w:val="24"/>
          <w:szCs w:val="24"/>
        </w:rPr>
        <w:t xml:space="preserve"> </w:t>
      </w:r>
      <w:r w:rsidRPr="008379CA">
        <w:rPr>
          <w:rFonts w:ascii="Bookman Old Style" w:hAnsi="Bookman Old Style"/>
          <w:sz w:val="24"/>
          <w:szCs w:val="24"/>
        </w:rPr>
        <w:t>0,03%</w:t>
      </w:r>
      <w:r w:rsidR="00A954D0" w:rsidRPr="008379CA">
        <w:rPr>
          <w:rFonts w:ascii="Bookman Old Style" w:hAnsi="Bookman Old Style"/>
          <w:sz w:val="24"/>
          <w:szCs w:val="24"/>
        </w:rPr>
        <w:t xml:space="preserve"> </w:t>
      </w:r>
      <w:r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Pr="008379CA">
        <w:rPr>
          <w:rFonts w:ascii="Bookman Old Style" w:hAnsi="Bookman Old Style"/>
          <w:sz w:val="24"/>
          <w:szCs w:val="24"/>
        </w:rPr>
        <w:t>total</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kesehatan;</w:t>
      </w:r>
    </w:p>
    <w:p w14:paraId="05CB0346" w14:textId="48CD6CA5" w:rsidR="00172E1C" w:rsidRPr="008379CA" w:rsidRDefault="009A2D9B" w:rsidP="00C75943">
      <w:pPr>
        <w:pStyle w:val="ListParagraph"/>
        <w:numPr>
          <w:ilvl w:val="0"/>
          <w:numId w:val="253"/>
        </w:numPr>
        <w:spacing w:before="60" w:after="0" w:line="276" w:lineRule="auto"/>
        <w:ind w:left="2268" w:hanging="567"/>
        <w:contextualSpacing w:val="0"/>
        <w:jc w:val="both"/>
        <w:rPr>
          <w:rFonts w:ascii="Bookman Old Style" w:hAnsi="Bookman Old Style"/>
          <w:sz w:val="24"/>
          <w:szCs w:val="24"/>
        </w:rPr>
      </w:pPr>
      <w:r w:rsidRPr="008379CA">
        <w:rPr>
          <w:rFonts w:ascii="Bookman Old Style" w:hAnsi="Bookman Old Style"/>
          <w:sz w:val="24"/>
          <w:szCs w:val="24"/>
        </w:rPr>
        <w:t>Pengembangan</w:t>
      </w:r>
      <w:r w:rsidR="00A954D0" w:rsidRPr="008379CA">
        <w:rPr>
          <w:rFonts w:ascii="Bookman Old Style" w:hAnsi="Bookman Old Style"/>
          <w:sz w:val="24"/>
          <w:szCs w:val="24"/>
        </w:rPr>
        <w:t xml:space="preserve"> </w:t>
      </w:r>
      <w:r w:rsidRPr="008379CA">
        <w:rPr>
          <w:rFonts w:ascii="Bookman Old Style" w:hAnsi="Bookman Old Style"/>
          <w:sz w:val="24"/>
          <w:szCs w:val="24"/>
        </w:rPr>
        <w:t>dan</w:t>
      </w:r>
      <w:r w:rsidR="00A954D0" w:rsidRPr="008379CA">
        <w:rPr>
          <w:rFonts w:ascii="Bookman Old Style" w:hAnsi="Bookman Old Style"/>
          <w:sz w:val="24"/>
          <w:szCs w:val="24"/>
        </w:rPr>
        <w:t xml:space="preserve"> </w:t>
      </w:r>
      <w:r w:rsidRPr="008379CA">
        <w:rPr>
          <w:rFonts w:ascii="Bookman Old Style" w:hAnsi="Bookman Old Style"/>
          <w:sz w:val="24"/>
          <w:szCs w:val="24"/>
        </w:rPr>
        <w:t>Pelaksanaan</w:t>
      </w:r>
      <w:r w:rsidR="00A954D0" w:rsidRPr="008379CA">
        <w:rPr>
          <w:rFonts w:ascii="Bookman Old Style" w:hAnsi="Bookman Old Style"/>
          <w:sz w:val="24"/>
          <w:szCs w:val="24"/>
        </w:rPr>
        <w:t xml:space="preserve"> </w:t>
      </w:r>
      <w:r w:rsidRPr="008379CA">
        <w:rPr>
          <w:rFonts w:ascii="Bookman Old Style" w:hAnsi="Bookman Old Style"/>
          <w:sz w:val="24"/>
          <w:szCs w:val="24"/>
        </w:rPr>
        <w:t>Upaya</w:t>
      </w:r>
      <w:r w:rsidR="00A954D0" w:rsidRPr="008379CA">
        <w:rPr>
          <w:rFonts w:ascii="Bookman Old Style" w:hAnsi="Bookman Old Style"/>
          <w:sz w:val="24"/>
          <w:szCs w:val="24"/>
        </w:rPr>
        <w:t xml:space="preserve"> </w:t>
      </w:r>
      <w:r w:rsidRPr="008379CA">
        <w:rPr>
          <w:rFonts w:ascii="Bookman Old Style" w:hAnsi="Bookman Old Style"/>
          <w:sz w:val="24"/>
          <w:szCs w:val="24"/>
        </w:rPr>
        <w:t>Kesehatan</w:t>
      </w:r>
      <w:r w:rsidR="00A954D0" w:rsidRPr="008379CA">
        <w:rPr>
          <w:rFonts w:ascii="Bookman Old Style" w:hAnsi="Bookman Old Style"/>
          <w:sz w:val="24"/>
          <w:szCs w:val="24"/>
        </w:rPr>
        <w:t xml:space="preserve"> </w:t>
      </w:r>
      <w:r w:rsidRPr="008379CA">
        <w:rPr>
          <w:rFonts w:ascii="Bookman Old Style" w:hAnsi="Bookman Old Style"/>
          <w:sz w:val="24"/>
          <w:szCs w:val="24"/>
        </w:rPr>
        <w:t>Bersumber</w:t>
      </w:r>
      <w:r w:rsidR="00A954D0" w:rsidRPr="008379CA">
        <w:rPr>
          <w:rFonts w:ascii="Bookman Old Style" w:hAnsi="Bookman Old Style"/>
          <w:sz w:val="24"/>
          <w:szCs w:val="24"/>
        </w:rPr>
        <w:t xml:space="preserve"> </w:t>
      </w:r>
      <w:r w:rsidRPr="008379CA">
        <w:rPr>
          <w:rFonts w:ascii="Bookman Old Style" w:hAnsi="Bookman Old Style"/>
          <w:sz w:val="24"/>
          <w:szCs w:val="24"/>
        </w:rPr>
        <w:t>Daya</w:t>
      </w:r>
      <w:r w:rsidR="00A954D0" w:rsidRPr="008379CA">
        <w:rPr>
          <w:rFonts w:ascii="Bookman Old Style" w:hAnsi="Bookman Old Style"/>
          <w:sz w:val="24"/>
          <w:szCs w:val="24"/>
        </w:rPr>
        <w:t xml:space="preserve"> </w:t>
      </w:r>
      <w:r w:rsidRPr="008379CA">
        <w:rPr>
          <w:rFonts w:ascii="Bookman Old Style" w:hAnsi="Bookman Old Style"/>
          <w:sz w:val="24"/>
          <w:szCs w:val="24"/>
        </w:rPr>
        <w:t>Masyarakat</w:t>
      </w:r>
      <w:r w:rsidR="00A954D0" w:rsidRPr="008379CA">
        <w:rPr>
          <w:rFonts w:ascii="Bookman Old Style" w:hAnsi="Bookman Old Style"/>
          <w:sz w:val="24"/>
          <w:szCs w:val="24"/>
        </w:rPr>
        <w:t xml:space="preserve"> </w:t>
      </w:r>
      <w:r w:rsidRPr="008379CA">
        <w:rPr>
          <w:rFonts w:ascii="Bookman Old Style" w:hAnsi="Bookman Old Style"/>
          <w:sz w:val="24"/>
          <w:szCs w:val="24"/>
        </w:rPr>
        <w:t>(UKBM)</w:t>
      </w:r>
      <w:r w:rsidR="00A954D0" w:rsidRPr="008379CA">
        <w:rPr>
          <w:rFonts w:ascii="Bookman Old Style" w:hAnsi="Bookman Old Style"/>
          <w:sz w:val="24"/>
          <w:szCs w:val="24"/>
        </w:rPr>
        <w:t xml:space="preserve"> </w:t>
      </w:r>
      <w:r w:rsidRPr="008379CA">
        <w:rPr>
          <w:rFonts w:ascii="Bookman Old Style" w:hAnsi="Bookman Old Style"/>
          <w:sz w:val="24"/>
          <w:szCs w:val="24"/>
        </w:rPr>
        <w:t>Tingkat</w:t>
      </w:r>
      <w:r w:rsidR="00A954D0" w:rsidRPr="008379CA">
        <w:rPr>
          <w:rFonts w:ascii="Bookman Old Style" w:hAnsi="Bookman Old Style"/>
          <w:sz w:val="24"/>
          <w:szCs w:val="24"/>
        </w:rPr>
        <w:t xml:space="preserve"> </w:t>
      </w:r>
      <w:r w:rsidRPr="008379CA">
        <w:rPr>
          <w:rFonts w:ascii="Bookman Old Style" w:hAnsi="Bookman Old Style"/>
          <w:sz w:val="24"/>
          <w:szCs w:val="24"/>
        </w:rPr>
        <w:t>Daerah</w:t>
      </w:r>
      <w:r w:rsidR="00A954D0" w:rsidRPr="008379CA">
        <w:rPr>
          <w:rFonts w:ascii="Bookman Old Style" w:hAnsi="Bookman Old Style"/>
          <w:sz w:val="24"/>
          <w:szCs w:val="24"/>
        </w:rPr>
        <w:t xml:space="preserve"> </w:t>
      </w:r>
      <w:r w:rsidRPr="008379CA">
        <w:rPr>
          <w:rFonts w:ascii="Bookman Old Style" w:hAnsi="Bookman Old Style"/>
          <w:sz w:val="24"/>
          <w:szCs w:val="24"/>
        </w:rPr>
        <w:t>Kabupaten/Kota</w:t>
      </w:r>
      <w:r w:rsidR="00A954D0" w:rsidRPr="008379CA">
        <w:rPr>
          <w:rFonts w:ascii="Bookman Old Style" w:hAnsi="Bookman Old Style"/>
          <w:sz w:val="24"/>
          <w:szCs w:val="24"/>
        </w:rPr>
        <w:t xml:space="preserve"> </w:t>
      </w:r>
      <w:r w:rsidRPr="008379CA">
        <w:rPr>
          <w:rFonts w:ascii="Bookman Old Style" w:hAnsi="Bookman Old Style"/>
          <w:sz w:val="24"/>
          <w:szCs w:val="24"/>
        </w:rPr>
        <w:t>Rp382.552.600,00</w:t>
      </w:r>
      <w:r w:rsidR="00A954D0" w:rsidRPr="008379CA">
        <w:rPr>
          <w:rFonts w:ascii="Bookman Old Style" w:hAnsi="Bookman Old Style"/>
          <w:sz w:val="24"/>
          <w:szCs w:val="24"/>
        </w:rPr>
        <w:t xml:space="preserve"> </w:t>
      </w:r>
      <w:r w:rsidRPr="008379CA">
        <w:rPr>
          <w:rFonts w:ascii="Bookman Old Style" w:hAnsi="Bookman Old Style"/>
          <w:sz w:val="24"/>
          <w:szCs w:val="24"/>
        </w:rPr>
        <w:t>atau</w:t>
      </w:r>
      <w:r w:rsidR="00A954D0" w:rsidRPr="008379CA">
        <w:rPr>
          <w:rFonts w:ascii="Bookman Old Style" w:hAnsi="Bookman Old Style"/>
          <w:sz w:val="24"/>
          <w:szCs w:val="24"/>
        </w:rPr>
        <w:t xml:space="preserve"> </w:t>
      </w:r>
      <w:r w:rsidRPr="008379CA">
        <w:rPr>
          <w:rFonts w:ascii="Bookman Old Style" w:hAnsi="Bookman Old Style"/>
          <w:sz w:val="24"/>
          <w:szCs w:val="24"/>
        </w:rPr>
        <w:t>0,04%</w:t>
      </w:r>
      <w:r w:rsidR="00A954D0" w:rsidRPr="008379CA">
        <w:rPr>
          <w:rFonts w:ascii="Bookman Old Style" w:hAnsi="Bookman Old Style"/>
          <w:sz w:val="24"/>
          <w:szCs w:val="24"/>
        </w:rPr>
        <w:t xml:space="preserve"> </w:t>
      </w:r>
      <w:r w:rsidRPr="008379CA">
        <w:rPr>
          <w:rFonts w:ascii="Bookman Old Style" w:hAnsi="Bookman Old Style"/>
          <w:sz w:val="24"/>
          <w:szCs w:val="24"/>
        </w:rPr>
        <w:t>dari</w:t>
      </w:r>
      <w:r w:rsidR="00A954D0" w:rsidRPr="008379CA">
        <w:rPr>
          <w:rFonts w:ascii="Bookman Old Style" w:hAnsi="Bookman Old Style"/>
          <w:sz w:val="24"/>
          <w:szCs w:val="24"/>
        </w:rPr>
        <w:t xml:space="preserve"> </w:t>
      </w:r>
      <w:r w:rsidRPr="008379CA">
        <w:rPr>
          <w:rFonts w:ascii="Bookman Old Style" w:hAnsi="Bookman Old Style"/>
          <w:sz w:val="24"/>
          <w:szCs w:val="24"/>
        </w:rPr>
        <w:t>total</w:t>
      </w:r>
      <w:r w:rsidR="00A954D0" w:rsidRPr="008379CA">
        <w:rPr>
          <w:rFonts w:ascii="Bookman Old Style" w:hAnsi="Bookman Old Style"/>
          <w:sz w:val="24"/>
          <w:szCs w:val="24"/>
        </w:rPr>
        <w:t xml:space="preserve"> </w:t>
      </w:r>
      <w:r w:rsidRPr="008379CA">
        <w:rPr>
          <w:rFonts w:ascii="Bookman Old Style" w:hAnsi="Bookman Old Style"/>
          <w:sz w:val="24"/>
          <w:szCs w:val="24"/>
        </w:rPr>
        <w:t>anggaran</w:t>
      </w:r>
      <w:r w:rsidR="00A954D0" w:rsidRPr="008379CA">
        <w:rPr>
          <w:rFonts w:ascii="Bookman Old Style" w:hAnsi="Bookman Old Style"/>
          <w:sz w:val="24"/>
          <w:szCs w:val="24"/>
        </w:rPr>
        <w:t xml:space="preserve"> </w:t>
      </w:r>
      <w:r w:rsidRPr="008379CA">
        <w:rPr>
          <w:rFonts w:ascii="Bookman Old Style" w:hAnsi="Bookman Old Style"/>
          <w:sz w:val="24"/>
          <w:szCs w:val="24"/>
        </w:rPr>
        <w:t>kesehatan</w:t>
      </w:r>
      <w:r w:rsidR="00E53693" w:rsidRPr="008379CA">
        <w:rPr>
          <w:rFonts w:ascii="Bookman Old Style" w:hAnsi="Bookman Old Style"/>
          <w:sz w:val="24"/>
          <w:szCs w:val="24"/>
        </w:rPr>
        <w:t>.</w:t>
      </w:r>
    </w:p>
    <w:p w14:paraId="401FFFA8" w14:textId="1E7377D5" w:rsidR="00770F22" w:rsidRPr="008379CA" w:rsidRDefault="00770F22" w:rsidP="00C75943">
      <w:pPr>
        <w:pStyle w:val="ListParagraph"/>
        <w:spacing w:before="60" w:after="0" w:line="276" w:lineRule="auto"/>
        <w:ind w:left="1276"/>
        <w:contextualSpacing w:val="0"/>
        <w:jc w:val="both"/>
        <w:rPr>
          <w:rFonts w:ascii="Bookman Old Style" w:hAnsi="Bookman Old Style" w:cs="Gill Sans Light (Arabid)"/>
          <w:bCs/>
          <w:sz w:val="24"/>
          <w:szCs w:val="24"/>
          <w:lang w:val="sv-FI" w:eastAsia="id-ID"/>
        </w:rPr>
      </w:pPr>
      <w:r w:rsidRPr="008379CA">
        <w:rPr>
          <w:rFonts w:ascii="Bookman Old Style" w:hAnsi="Bookman Old Style"/>
          <w:sz w:val="24"/>
          <w:szCs w:val="24"/>
        </w:rPr>
        <w:t>Dianggarkan</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dalam</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Rancangan</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Peraturan</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Daerah</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cs="Gill Sans Light (Arabid)"/>
          <w:bCs/>
          <w:sz w:val="24"/>
          <w:szCs w:val="24"/>
          <w:lang w:val="sv-FI" w:eastAsia="id-ID"/>
        </w:rPr>
        <w:t>tentang</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APBD</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Tahun</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Anggaran</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2025</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secara</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konsisten</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dan</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berkesinambungan</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serta</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secara</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memadai</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dalam</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rangka</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peningkatan</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pelayanan</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di</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bidang</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kesehatan,</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sesuai</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dengan</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ketentuan</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peraturan</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perundang-undangan,</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de-DE" w:eastAsia="id-ID"/>
        </w:rPr>
        <w:t>sebagaimana</w:t>
      </w:r>
      <w:r w:rsidR="00A954D0" w:rsidRPr="008379CA">
        <w:rPr>
          <w:rFonts w:ascii="Bookman Old Style" w:hAnsi="Bookman Old Style" w:cs="Gill Sans Light (Arabid)"/>
          <w:bCs/>
          <w:sz w:val="24"/>
          <w:szCs w:val="24"/>
          <w:lang w:val="de-DE" w:eastAsia="id-ID"/>
        </w:rPr>
        <w:t xml:space="preserve"> </w:t>
      </w:r>
      <w:r w:rsidRPr="008379CA">
        <w:rPr>
          <w:rFonts w:ascii="Bookman Old Style" w:hAnsi="Bookman Old Style" w:cs="Gill Sans Light (Arabid)"/>
          <w:bCs/>
          <w:sz w:val="24"/>
          <w:szCs w:val="24"/>
          <w:lang w:val="de-DE" w:eastAsia="id-ID"/>
        </w:rPr>
        <w:t>maksud</w:t>
      </w:r>
      <w:r w:rsidR="00A954D0" w:rsidRPr="008379CA">
        <w:rPr>
          <w:rFonts w:ascii="Bookman Old Style" w:hAnsi="Bookman Old Style" w:cs="Gill Sans Light (Arabid)"/>
          <w:bCs/>
          <w:sz w:val="24"/>
          <w:szCs w:val="24"/>
          <w:lang w:val="de-DE" w:eastAsia="id-ID"/>
        </w:rPr>
        <w:t xml:space="preserve"> </w:t>
      </w:r>
      <w:r w:rsidRPr="008379CA">
        <w:rPr>
          <w:rFonts w:ascii="Bookman Old Style" w:hAnsi="Bookman Old Style" w:cs="Calibri"/>
          <w:sz w:val="24"/>
          <w:szCs w:val="24"/>
          <w:lang w:val="id-ID"/>
        </w:rPr>
        <w:t>butir</w:t>
      </w:r>
      <w:r w:rsidR="00A954D0" w:rsidRPr="008379CA">
        <w:rPr>
          <w:rFonts w:ascii="Bookman Old Style" w:hAnsi="Bookman Old Style" w:cs="Calibri"/>
          <w:sz w:val="24"/>
          <w:szCs w:val="24"/>
          <w:lang w:val="id-ID"/>
        </w:rPr>
        <w:t xml:space="preserve"> </w:t>
      </w:r>
      <w:r w:rsidRPr="008379CA">
        <w:rPr>
          <w:rFonts w:ascii="Bookman Old Style" w:hAnsi="Bookman Old Style"/>
          <w:sz w:val="24"/>
          <w:szCs w:val="24"/>
          <w:lang w:val="sv-FI"/>
        </w:rPr>
        <w:t>5.3.3</w:t>
      </w:r>
      <w:r w:rsidR="00A954D0" w:rsidRPr="008379CA">
        <w:rPr>
          <w:rFonts w:ascii="Bookman Old Style" w:hAnsi="Bookman Old Style" w:cs="Calibri"/>
          <w:sz w:val="24"/>
          <w:szCs w:val="24"/>
          <w:lang w:val="id-ID"/>
        </w:rPr>
        <w:t xml:space="preserve"> </w:t>
      </w:r>
      <w:r w:rsidRPr="008379CA">
        <w:rPr>
          <w:rFonts w:ascii="Bookman Old Style" w:hAnsi="Bookman Old Style" w:cs="Arial"/>
          <w:sz w:val="24"/>
          <w:szCs w:val="24"/>
          <w:lang w:val="de-DE"/>
        </w:rPr>
        <w:t>Lampiran</w:t>
      </w:r>
      <w:r w:rsidR="00A954D0" w:rsidRPr="008379CA">
        <w:rPr>
          <w:rFonts w:ascii="Bookman Old Style" w:hAnsi="Bookman Old Style" w:cs="Arial"/>
          <w:sz w:val="24"/>
          <w:szCs w:val="24"/>
          <w:lang w:val="de-DE"/>
        </w:rPr>
        <w:t xml:space="preserve"> </w:t>
      </w:r>
      <w:r w:rsidRPr="008379CA">
        <w:rPr>
          <w:rFonts w:ascii="Bookman Old Style" w:hAnsi="Bookman Old Style" w:cs="Arial"/>
          <w:sz w:val="24"/>
          <w:szCs w:val="24"/>
          <w:lang w:val="id-ID"/>
        </w:rPr>
        <w:t>Peraturan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Menteri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Dalam</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Negeri</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Nomor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15</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Tahun</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2024</w:t>
      </w:r>
      <w:r w:rsidRPr="008379CA">
        <w:rPr>
          <w:rFonts w:ascii="Bookman Old Style" w:hAnsi="Bookman Old Style" w:cs="Gill Sans Light (Arabid)"/>
          <w:bCs/>
          <w:sz w:val="24"/>
          <w:szCs w:val="24"/>
          <w:lang w:val="sv-FI" w:eastAsia="id-ID"/>
        </w:rPr>
        <w:t>.</w:t>
      </w:r>
    </w:p>
    <w:p w14:paraId="3F914972" w14:textId="1245E433" w:rsidR="009E4CA7" w:rsidRPr="008379CA" w:rsidRDefault="00770F22" w:rsidP="00C75943">
      <w:pPr>
        <w:pStyle w:val="ListParagraph"/>
        <w:spacing w:before="60" w:after="0" w:line="276" w:lineRule="auto"/>
        <w:ind w:left="1276"/>
        <w:contextualSpacing w:val="0"/>
        <w:jc w:val="both"/>
        <w:rPr>
          <w:rFonts w:ascii="Bookman Old Style" w:hAnsi="Bookman Old Style" w:cs="Gill Sans Light (Arabid)"/>
          <w:bCs/>
          <w:sz w:val="24"/>
          <w:szCs w:val="24"/>
          <w:lang w:val="sv-FI" w:eastAsia="id-ID"/>
        </w:rPr>
      </w:pPr>
      <w:r w:rsidRPr="008379CA">
        <w:rPr>
          <w:rFonts w:ascii="Bookman Old Style" w:hAnsi="Bookman Old Style" w:cs="Gill Sans Light (Arabid)"/>
          <w:bCs/>
          <w:sz w:val="24"/>
          <w:szCs w:val="24"/>
          <w:lang w:val="sv-FI" w:eastAsia="id-ID"/>
        </w:rPr>
        <w:t>Selanjutnya,</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alokasi</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anggaran</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kesehatan</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dimaksud</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diarahkan</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untuk</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mendukung</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transformasi</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kesehatan</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dan</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sz w:val="24"/>
          <w:szCs w:val="24"/>
        </w:rPr>
        <w:t>pencapaian</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indikator</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SPM</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bidang</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kesehatan,</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Gill Sans Light (Arabid)"/>
          <w:bCs/>
          <w:sz w:val="24"/>
          <w:szCs w:val="24"/>
          <w:lang w:val="sv-FI" w:eastAsia="id-ID"/>
        </w:rPr>
        <w:t>yang</w:t>
      </w:r>
      <w:r w:rsidR="00A954D0" w:rsidRPr="008379CA">
        <w:rPr>
          <w:rFonts w:ascii="Bookman Old Style" w:hAnsi="Bookman Old Style" w:cs="Gill Sans Light (Arabid)"/>
          <w:bCs/>
          <w:sz w:val="24"/>
          <w:szCs w:val="24"/>
          <w:lang w:val="sv-FI" w:eastAsia="id-ID"/>
        </w:rPr>
        <w:t xml:space="preserve"> </w:t>
      </w:r>
      <w:r w:rsidRPr="008379CA">
        <w:rPr>
          <w:rFonts w:ascii="Bookman Old Style" w:hAnsi="Bookman Old Style" w:cs="Arial"/>
          <w:sz w:val="24"/>
          <w:szCs w:val="24"/>
          <w:lang w:val="sv-FI"/>
        </w:rPr>
        <w:t>diarahkan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untuk</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mempercepat</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capaian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keberhasilan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pembangunan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kesehatan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lastRenderedPageBreak/>
        <w:t>dan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mewujudkan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derajat</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kesehatan</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masyarakat</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yang</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setinggi-tingginya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antara</w:t>
      </w:r>
      <w:r w:rsidR="00A954D0" w:rsidRPr="008379CA">
        <w:rPr>
          <w:rFonts w:ascii="Bookman Old Style" w:hAnsi="Bookman Old Style" w:cs="Arial"/>
          <w:sz w:val="24"/>
          <w:szCs w:val="24"/>
          <w:lang w:val="sv-FI"/>
        </w:rPr>
        <w:t xml:space="preserve"> </w:t>
      </w:r>
      <w:r w:rsidRPr="008379CA">
        <w:rPr>
          <w:rFonts w:ascii="Bookman Old Style" w:hAnsi="Bookman Old Style" w:cs="Arial"/>
          <w:sz w:val="24"/>
          <w:szCs w:val="24"/>
          <w:lang w:val="sv-FI"/>
        </w:rPr>
        <w:t>lain:</w:t>
      </w:r>
    </w:p>
    <w:p w14:paraId="43BB7B39" w14:textId="241450BB" w:rsidR="009E4CA7" w:rsidRPr="008379CA" w:rsidRDefault="009E4CA7" w:rsidP="00C75943">
      <w:pPr>
        <w:pStyle w:val="ListParagraph"/>
        <w:numPr>
          <w:ilvl w:val="0"/>
          <w:numId w:val="63"/>
        </w:numPr>
        <w:shd w:val="clear" w:color="auto" w:fill="FFFFFF" w:themeFill="background1"/>
        <w:spacing w:before="60" w:after="0" w:line="276" w:lineRule="auto"/>
        <w:ind w:left="1701" w:hanging="414"/>
        <w:contextualSpacing w:val="0"/>
        <w:jc w:val="both"/>
        <w:rPr>
          <w:rFonts w:ascii="Bookman Old Style" w:hAnsi="Bookman Old Style" w:cs="Arial"/>
          <w:sz w:val="24"/>
          <w:szCs w:val="24"/>
        </w:rPr>
      </w:pPr>
      <w:r w:rsidRPr="008379CA">
        <w:rPr>
          <w:rFonts w:ascii="Bookman Old Style" w:hAnsi="Bookman Old Style" w:cs="Arial"/>
          <w:sz w:val="24"/>
          <w:szCs w:val="24"/>
        </w:rPr>
        <w:t>penguatan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promosi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kesehatan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deteksi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dini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penyakit;</w:t>
      </w:r>
    </w:p>
    <w:p w14:paraId="0A730743" w14:textId="35128442" w:rsidR="009E4CA7" w:rsidRPr="008379CA" w:rsidRDefault="009E4CA7" w:rsidP="00C75943">
      <w:pPr>
        <w:pStyle w:val="ListParagraph"/>
        <w:numPr>
          <w:ilvl w:val="0"/>
          <w:numId w:val="63"/>
        </w:numPr>
        <w:shd w:val="clear" w:color="auto" w:fill="FFFFFF" w:themeFill="background1"/>
        <w:spacing w:before="60" w:after="0" w:line="276" w:lineRule="auto"/>
        <w:ind w:left="1701" w:hanging="414"/>
        <w:contextualSpacing w:val="0"/>
        <w:jc w:val="both"/>
        <w:rPr>
          <w:rFonts w:ascii="Bookman Old Style" w:hAnsi="Bookman Old Style" w:cs="Arial"/>
          <w:sz w:val="24"/>
          <w:szCs w:val="24"/>
        </w:rPr>
      </w:pPr>
      <w:r w:rsidRPr="008379CA">
        <w:rPr>
          <w:rFonts w:ascii="Bookman Old Style" w:hAnsi="Bookman Old Style" w:cs="Arial"/>
          <w:sz w:val="24"/>
          <w:szCs w:val="24"/>
        </w:rPr>
        <w:t>peningkatan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kesehatan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ibu,</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anak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penurunan</w:t>
      </w:r>
      <w:r w:rsidR="00A954D0" w:rsidRPr="008379CA">
        <w:rPr>
          <w:rFonts w:ascii="Bookman Old Style" w:hAnsi="Bookman Old Style" w:cs="Arial"/>
          <w:sz w:val="24"/>
          <w:szCs w:val="24"/>
        </w:rPr>
        <w:t xml:space="preserve"> </w:t>
      </w:r>
      <w:r w:rsidRPr="008379CA">
        <w:rPr>
          <w:rFonts w:ascii="Bookman Old Style" w:hAnsi="Bookman Old Style" w:cs="Arial"/>
          <w:i/>
          <w:iCs/>
          <w:sz w:val="24"/>
          <w:szCs w:val="24"/>
        </w:rPr>
        <w:t>stunting</w:t>
      </w:r>
      <w:r w:rsidRPr="008379CA">
        <w:rPr>
          <w:rFonts w:ascii="Bookman Old Style" w:hAnsi="Bookman Old Style" w:cs="Arial"/>
          <w:sz w:val="24"/>
          <w:szCs w:val="24"/>
        </w:rPr>
        <w:t>:</w:t>
      </w:r>
    </w:p>
    <w:p w14:paraId="79EA48BD" w14:textId="21F32E70" w:rsidR="009E4CA7" w:rsidRPr="008379CA" w:rsidRDefault="009E4CA7" w:rsidP="00C75943">
      <w:pPr>
        <w:pStyle w:val="ListParagraph"/>
        <w:numPr>
          <w:ilvl w:val="0"/>
          <w:numId w:val="64"/>
        </w:numPr>
        <w:shd w:val="clear" w:color="auto" w:fill="FFFFFF" w:themeFill="background1"/>
        <w:spacing w:before="60" w:after="0" w:line="276" w:lineRule="auto"/>
        <w:ind w:left="2268" w:hanging="567"/>
        <w:contextualSpacing w:val="0"/>
        <w:jc w:val="both"/>
        <w:rPr>
          <w:rFonts w:ascii="Bookman Old Style" w:hAnsi="Bookman Old Style" w:cs="Arial"/>
          <w:sz w:val="24"/>
          <w:szCs w:val="24"/>
        </w:rPr>
      </w:pPr>
      <w:r w:rsidRPr="008379CA">
        <w:rPr>
          <w:rFonts w:ascii="Bookman Old Style" w:hAnsi="Bookman Old Style" w:cs="Arial"/>
          <w:sz w:val="24"/>
          <w:szCs w:val="24"/>
        </w:rPr>
        <w:t>peningkatan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skrining</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anemia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remaja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putri;</w:t>
      </w:r>
    </w:p>
    <w:p w14:paraId="2BF56BBA" w14:textId="39A884BF" w:rsidR="009E4CA7" w:rsidRPr="008379CA" w:rsidRDefault="009E4CA7" w:rsidP="00C75943">
      <w:pPr>
        <w:pStyle w:val="ListParagraph"/>
        <w:numPr>
          <w:ilvl w:val="0"/>
          <w:numId w:val="64"/>
        </w:numPr>
        <w:shd w:val="clear" w:color="auto" w:fill="FFFFFF" w:themeFill="background1"/>
        <w:spacing w:before="60" w:after="0" w:line="276" w:lineRule="auto"/>
        <w:ind w:left="2268" w:hanging="567"/>
        <w:contextualSpacing w:val="0"/>
        <w:jc w:val="both"/>
        <w:rPr>
          <w:rFonts w:ascii="Bookman Old Style" w:hAnsi="Bookman Old Style" w:cs="Arial"/>
          <w:sz w:val="24"/>
          <w:szCs w:val="24"/>
        </w:rPr>
      </w:pPr>
      <w:r w:rsidRPr="008379CA">
        <w:rPr>
          <w:rFonts w:ascii="Bookman Old Style" w:hAnsi="Bookman Old Style" w:cs="Arial"/>
          <w:sz w:val="24"/>
          <w:szCs w:val="24"/>
        </w:rPr>
        <w:t>konsumsi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Tablet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Tambah</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Darah</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(TTD)</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remaja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putri;</w:t>
      </w:r>
    </w:p>
    <w:p w14:paraId="01329C29" w14:textId="0CC1EEE7" w:rsidR="009E4CA7" w:rsidRPr="008379CA" w:rsidRDefault="009E4CA7" w:rsidP="00C75943">
      <w:pPr>
        <w:pStyle w:val="ListParagraph"/>
        <w:numPr>
          <w:ilvl w:val="0"/>
          <w:numId w:val="64"/>
        </w:numPr>
        <w:shd w:val="clear" w:color="auto" w:fill="FFFFFF" w:themeFill="background1"/>
        <w:spacing w:before="60" w:after="0" w:line="276" w:lineRule="auto"/>
        <w:ind w:left="2268" w:hanging="567"/>
        <w:contextualSpacing w:val="0"/>
        <w:jc w:val="both"/>
        <w:rPr>
          <w:rFonts w:ascii="Bookman Old Style" w:hAnsi="Bookman Old Style" w:cs="Arial"/>
          <w:sz w:val="24"/>
          <w:szCs w:val="24"/>
        </w:rPr>
      </w:pPr>
      <w:r w:rsidRPr="008379CA">
        <w:rPr>
          <w:rFonts w:ascii="Bookman Old Style" w:hAnsi="Bookman Old Style" w:cs="Arial"/>
          <w:sz w:val="24"/>
          <w:szCs w:val="24"/>
        </w:rPr>
        <w:t>pemeriksaan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kehamilan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w:t>
      </w:r>
      <w:r w:rsidRPr="008379CA">
        <w:rPr>
          <w:rFonts w:ascii="Bookman Old Style" w:hAnsi="Bookman Old Style" w:cs="Arial"/>
          <w:i/>
          <w:sz w:val="24"/>
          <w:szCs w:val="24"/>
        </w:rPr>
        <w:t>Antenatal</w:t>
      </w:r>
      <w:r w:rsidR="00A954D0" w:rsidRPr="008379CA">
        <w:rPr>
          <w:rFonts w:ascii="Bookman Old Style" w:hAnsi="Bookman Old Style" w:cs="Arial"/>
          <w:i/>
          <w:sz w:val="24"/>
          <w:szCs w:val="24"/>
        </w:rPr>
        <w:t xml:space="preserve"> </w:t>
      </w:r>
      <w:r w:rsidRPr="008379CA">
        <w:rPr>
          <w:rFonts w:ascii="Bookman Old Style" w:hAnsi="Bookman Old Style" w:cs="Arial"/>
          <w:i/>
          <w:sz w:val="24"/>
          <w:szCs w:val="24"/>
        </w:rPr>
        <w:t>Care</w:t>
      </w:r>
      <w:r w:rsidRPr="008379CA">
        <w:rPr>
          <w:rFonts w:ascii="Bookman Old Style" w:hAnsi="Bookman Old Style" w:cs="Arial"/>
          <w:sz w:val="24"/>
          <w:szCs w:val="24"/>
        </w:rPr>
        <w:t>);</w:t>
      </w:r>
    </w:p>
    <w:p w14:paraId="0D9D7F5A" w14:textId="04F8ED3F" w:rsidR="009E4CA7" w:rsidRPr="008379CA" w:rsidRDefault="009E4CA7" w:rsidP="00C75943">
      <w:pPr>
        <w:pStyle w:val="ListParagraph"/>
        <w:numPr>
          <w:ilvl w:val="0"/>
          <w:numId w:val="64"/>
        </w:numPr>
        <w:shd w:val="clear" w:color="auto" w:fill="FFFFFF" w:themeFill="background1"/>
        <w:spacing w:before="60" w:after="0" w:line="276" w:lineRule="auto"/>
        <w:ind w:left="2268" w:hanging="567"/>
        <w:contextualSpacing w:val="0"/>
        <w:jc w:val="both"/>
        <w:rPr>
          <w:rFonts w:ascii="Bookman Old Style" w:hAnsi="Bookman Old Style" w:cs="Arial"/>
          <w:sz w:val="24"/>
          <w:szCs w:val="24"/>
        </w:rPr>
      </w:pPr>
      <w:r w:rsidRPr="008379CA">
        <w:rPr>
          <w:rFonts w:ascii="Bookman Old Style" w:hAnsi="Bookman Old Style" w:cs="Arial"/>
          <w:sz w:val="24"/>
          <w:szCs w:val="24"/>
        </w:rPr>
        <w:t>konsumsi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TTD</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ibu</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hamil;</w:t>
      </w:r>
    </w:p>
    <w:p w14:paraId="6E2B6AD9" w14:textId="6C8535A9" w:rsidR="009E4CA7" w:rsidRPr="008379CA" w:rsidRDefault="009E4CA7" w:rsidP="00C75943">
      <w:pPr>
        <w:pStyle w:val="ListParagraph"/>
        <w:numPr>
          <w:ilvl w:val="0"/>
          <w:numId w:val="64"/>
        </w:numPr>
        <w:shd w:val="clear" w:color="auto" w:fill="FFFFFF" w:themeFill="background1"/>
        <w:spacing w:before="60" w:after="0" w:line="276" w:lineRule="auto"/>
        <w:ind w:left="2268" w:hanging="567"/>
        <w:contextualSpacing w:val="0"/>
        <w:jc w:val="both"/>
        <w:rPr>
          <w:rFonts w:ascii="Bookman Old Style" w:hAnsi="Bookman Old Style" w:cs="Arial"/>
          <w:sz w:val="24"/>
          <w:szCs w:val="24"/>
        </w:rPr>
      </w:pPr>
      <w:r w:rsidRPr="008379CA">
        <w:rPr>
          <w:rFonts w:ascii="Bookman Old Style" w:hAnsi="Bookman Old Style" w:cs="Arial"/>
          <w:sz w:val="24"/>
          <w:szCs w:val="24"/>
        </w:rPr>
        <w:t>pemberian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makanan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tambahan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bagi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ibu</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hamil</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Kurang</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Energi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Kronik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(KEK);</w:t>
      </w:r>
    </w:p>
    <w:p w14:paraId="12AEF34B" w14:textId="60437955" w:rsidR="009E4CA7" w:rsidRPr="008379CA" w:rsidRDefault="009E4CA7" w:rsidP="00C75943">
      <w:pPr>
        <w:pStyle w:val="ListParagraph"/>
        <w:numPr>
          <w:ilvl w:val="0"/>
          <w:numId w:val="64"/>
        </w:numPr>
        <w:shd w:val="clear" w:color="auto" w:fill="FFFFFF" w:themeFill="background1"/>
        <w:spacing w:before="60" w:after="0" w:line="276" w:lineRule="auto"/>
        <w:ind w:left="2268" w:hanging="567"/>
        <w:contextualSpacing w:val="0"/>
        <w:jc w:val="both"/>
        <w:rPr>
          <w:rFonts w:ascii="Bookman Old Style" w:hAnsi="Bookman Old Style" w:cs="Arial"/>
          <w:sz w:val="24"/>
          <w:szCs w:val="24"/>
        </w:rPr>
      </w:pPr>
      <w:r w:rsidRPr="008379CA">
        <w:rPr>
          <w:rFonts w:ascii="Bookman Old Style" w:hAnsi="Bookman Old Style" w:cs="Arial"/>
          <w:sz w:val="24"/>
          <w:szCs w:val="24"/>
        </w:rPr>
        <w:t>pemantauan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tumbuh</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kembang</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balita,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termasuk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penyediaan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antropometri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set;</w:t>
      </w:r>
    </w:p>
    <w:p w14:paraId="5CB8480E" w14:textId="23AF61CE" w:rsidR="009E4CA7" w:rsidRPr="008379CA" w:rsidRDefault="009E4CA7" w:rsidP="00C75943">
      <w:pPr>
        <w:pStyle w:val="ListParagraph"/>
        <w:numPr>
          <w:ilvl w:val="0"/>
          <w:numId w:val="64"/>
        </w:numPr>
        <w:shd w:val="clear" w:color="auto" w:fill="FFFFFF" w:themeFill="background1"/>
        <w:spacing w:before="60" w:after="0" w:line="276" w:lineRule="auto"/>
        <w:ind w:left="2268" w:hanging="567"/>
        <w:contextualSpacing w:val="0"/>
        <w:jc w:val="both"/>
        <w:rPr>
          <w:rFonts w:ascii="Bookman Old Style" w:hAnsi="Bookman Old Style" w:cs="Arial"/>
          <w:sz w:val="24"/>
          <w:szCs w:val="24"/>
        </w:rPr>
      </w:pPr>
      <w:r w:rsidRPr="008379CA">
        <w:rPr>
          <w:rFonts w:ascii="Bookman Old Style" w:hAnsi="Bookman Old Style" w:cs="Arial"/>
          <w:sz w:val="24"/>
          <w:szCs w:val="24"/>
        </w:rPr>
        <w:t>pemberian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ASI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eksklusif</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sejak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lahir</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sampai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bayi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berusia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6</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(enam)</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bulan;</w:t>
      </w:r>
    </w:p>
    <w:p w14:paraId="24B129B0" w14:textId="3D5EF44F" w:rsidR="009E4CA7" w:rsidRPr="008379CA" w:rsidRDefault="009E4CA7" w:rsidP="00C75943">
      <w:pPr>
        <w:pStyle w:val="ListParagraph"/>
        <w:numPr>
          <w:ilvl w:val="0"/>
          <w:numId w:val="64"/>
        </w:numPr>
        <w:shd w:val="clear" w:color="auto" w:fill="FFFFFF" w:themeFill="background1"/>
        <w:spacing w:before="60" w:after="0" w:line="276" w:lineRule="auto"/>
        <w:ind w:left="2268" w:hanging="567"/>
        <w:contextualSpacing w:val="0"/>
        <w:jc w:val="both"/>
        <w:rPr>
          <w:rFonts w:ascii="Bookman Old Style" w:hAnsi="Bookman Old Style" w:cs="Arial"/>
          <w:sz w:val="24"/>
          <w:szCs w:val="24"/>
        </w:rPr>
      </w:pPr>
      <w:r w:rsidRPr="008379CA">
        <w:rPr>
          <w:rFonts w:ascii="Bookman Old Style" w:hAnsi="Bookman Old Style" w:cs="Arial"/>
          <w:sz w:val="24"/>
          <w:szCs w:val="24"/>
        </w:rPr>
        <w:t>pemberian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makanan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tambahan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protein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hewani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bagi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bayi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yang</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berusia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bawah</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2</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(dua)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tahun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(baduta);</w:t>
      </w:r>
    </w:p>
    <w:p w14:paraId="3B990E4B" w14:textId="2C3944E7" w:rsidR="009E4CA7" w:rsidRPr="008379CA" w:rsidRDefault="009E4CA7" w:rsidP="00C75943">
      <w:pPr>
        <w:pStyle w:val="ListParagraph"/>
        <w:numPr>
          <w:ilvl w:val="0"/>
          <w:numId w:val="64"/>
        </w:numPr>
        <w:shd w:val="clear" w:color="auto" w:fill="FFFFFF" w:themeFill="background1"/>
        <w:spacing w:before="60" w:after="0" w:line="276" w:lineRule="auto"/>
        <w:ind w:left="2268" w:hanging="567"/>
        <w:contextualSpacing w:val="0"/>
        <w:jc w:val="both"/>
        <w:rPr>
          <w:rFonts w:ascii="Bookman Old Style" w:hAnsi="Bookman Old Style" w:cs="Arial"/>
          <w:sz w:val="24"/>
          <w:szCs w:val="24"/>
        </w:rPr>
      </w:pPr>
      <w:r w:rsidRPr="008379CA">
        <w:rPr>
          <w:rFonts w:ascii="Bookman Old Style" w:hAnsi="Bookman Old Style" w:cs="Arial"/>
          <w:sz w:val="24"/>
          <w:szCs w:val="24"/>
        </w:rPr>
        <w:t>tatalaksana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rujukan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balita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dengan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masalah</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gizi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w:t>
      </w:r>
      <w:r w:rsidRPr="008379CA">
        <w:rPr>
          <w:rFonts w:ascii="Bookman Old Style" w:hAnsi="Bookman Old Style" w:cs="Arial"/>
          <w:i/>
          <w:sz w:val="24"/>
          <w:szCs w:val="24"/>
        </w:rPr>
        <w:t>weight</w:t>
      </w:r>
      <w:r w:rsidR="00A954D0" w:rsidRPr="008379CA">
        <w:rPr>
          <w:rFonts w:ascii="Bookman Old Style" w:hAnsi="Bookman Old Style" w:cs="Arial"/>
          <w:i/>
          <w:sz w:val="24"/>
          <w:szCs w:val="24"/>
        </w:rPr>
        <w:t xml:space="preserve"> </w:t>
      </w:r>
      <w:r w:rsidRPr="008379CA">
        <w:rPr>
          <w:rFonts w:ascii="Bookman Old Style" w:hAnsi="Bookman Old Style" w:cs="Arial"/>
          <w:i/>
          <w:sz w:val="24"/>
          <w:szCs w:val="24"/>
          <w:lang w:val="sv-FI"/>
        </w:rPr>
        <w:t>faltering</w:t>
      </w:r>
      <w:r w:rsidRPr="008379CA">
        <w:rPr>
          <w:rFonts w:ascii="Bookman Old Style" w:hAnsi="Bookman Old Style" w:cs="Arial"/>
          <w:i/>
          <w:sz w:val="24"/>
          <w:szCs w:val="24"/>
        </w:rPr>
        <w:t>,</w:t>
      </w:r>
      <w:r w:rsidR="00A954D0" w:rsidRPr="008379CA">
        <w:rPr>
          <w:rFonts w:ascii="Bookman Old Style" w:hAnsi="Bookman Old Style" w:cs="Arial"/>
          <w:i/>
          <w:sz w:val="24"/>
          <w:szCs w:val="24"/>
        </w:rPr>
        <w:t xml:space="preserve"> </w:t>
      </w:r>
      <w:r w:rsidRPr="008379CA">
        <w:rPr>
          <w:rFonts w:ascii="Bookman Old Style" w:hAnsi="Bookman Old Style" w:cs="Arial"/>
          <w:i/>
          <w:sz w:val="24"/>
          <w:szCs w:val="24"/>
        </w:rPr>
        <w:t>wasting,</w:t>
      </w:r>
      <w:r w:rsidR="00A954D0" w:rsidRPr="008379CA">
        <w:rPr>
          <w:rFonts w:ascii="Bookman Old Style" w:hAnsi="Bookman Old Style" w:cs="Arial"/>
          <w:i/>
          <w:sz w:val="24"/>
          <w:szCs w:val="24"/>
        </w:rPr>
        <w:t xml:space="preserve"> </w:t>
      </w:r>
      <w:r w:rsidRPr="008379CA">
        <w:rPr>
          <w:rFonts w:ascii="Bookman Old Style" w:hAnsi="Bookman Old Style" w:cs="Arial"/>
          <w:sz w:val="24"/>
          <w:szCs w:val="24"/>
        </w:rPr>
        <w:t>dan</w:t>
      </w:r>
      <w:r w:rsidR="00A954D0" w:rsidRPr="008379CA">
        <w:rPr>
          <w:rFonts w:ascii="Bookman Old Style" w:hAnsi="Bookman Old Style" w:cs="Arial"/>
          <w:i/>
          <w:sz w:val="24"/>
          <w:szCs w:val="24"/>
        </w:rPr>
        <w:t xml:space="preserve"> </w:t>
      </w:r>
      <w:r w:rsidRPr="008379CA">
        <w:rPr>
          <w:rFonts w:ascii="Bookman Old Style" w:hAnsi="Bookman Old Style" w:cs="Arial"/>
          <w:i/>
          <w:iCs/>
          <w:sz w:val="24"/>
          <w:szCs w:val="24"/>
        </w:rPr>
        <w:t>stunting</w:t>
      </w:r>
      <w:r w:rsidRPr="008379CA">
        <w:rPr>
          <w:rFonts w:ascii="Bookman Old Style" w:hAnsi="Bookman Old Style" w:cs="Arial"/>
          <w:sz w:val="24"/>
          <w:szCs w:val="24"/>
        </w:rPr>
        <w:t>);</w:t>
      </w:r>
    </w:p>
    <w:p w14:paraId="79C6266A" w14:textId="48BE9FC7" w:rsidR="009E4CA7" w:rsidRPr="008379CA" w:rsidRDefault="009E4CA7" w:rsidP="00C75943">
      <w:pPr>
        <w:pStyle w:val="ListParagraph"/>
        <w:numPr>
          <w:ilvl w:val="0"/>
          <w:numId w:val="64"/>
        </w:numPr>
        <w:shd w:val="clear" w:color="auto" w:fill="FFFFFF" w:themeFill="background1"/>
        <w:spacing w:before="60" w:after="0" w:line="276" w:lineRule="auto"/>
        <w:ind w:left="2268" w:hanging="567"/>
        <w:contextualSpacing w:val="0"/>
        <w:jc w:val="both"/>
        <w:rPr>
          <w:rFonts w:ascii="Bookman Old Style" w:hAnsi="Bookman Old Style" w:cs="Arial"/>
          <w:sz w:val="24"/>
          <w:szCs w:val="24"/>
        </w:rPr>
      </w:pPr>
      <w:r w:rsidRPr="008379CA">
        <w:rPr>
          <w:rFonts w:ascii="Bookman Old Style" w:hAnsi="Bookman Old Style" w:cs="Arial"/>
          <w:sz w:val="24"/>
          <w:szCs w:val="24"/>
        </w:rPr>
        <w:t>peningkatan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cakupan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perluasan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jenis</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imunisasi;</w:t>
      </w:r>
    </w:p>
    <w:p w14:paraId="41BCA22D" w14:textId="6829E6F4" w:rsidR="009E4CA7" w:rsidRPr="008379CA" w:rsidRDefault="009E4CA7" w:rsidP="00C75943">
      <w:pPr>
        <w:pStyle w:val="ListParagraph"/>
        <w:numPr>
          <w:ilvl w:val="0"/>
          <w:numId w:val="64"/>
        </w:numPr>
        <w:shd w:val="clear" w:color="auto" w:fill="FFFFFF" w:themeFill="background1"/>
        <w:spacing w:before="60" w:after="0" w:line="276" w:lineRule="auto"/>
        <w:ind w:left="2268" w:hanging="567"/>
        <w:contextualSpacing w:val="0"/>
        <w:jc w:val="both"/>
        <w:rPr>
          <w:rFonts w:ascii="Bookman Old Style" w:hAnsi="Bookman Old Style" w:cs="Arial"/>
          <w:sz w:val="24"/>
          <w:szCs w:val="24"/>
        </w:rPr>
      </w:pPr>
      <w:r w:rsidRPr="008379CA">
        <w:rPr>
          <w:rFonts w:ascii="Bookman Old Style" w:hAnsi="Bookman Old Style" w:cs="Arial"/>
          <w:sz w:val="24"/>
          <w:szCs w:val="24"/>
        </w:rPr>
        <w:t>edukasi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remaja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putri,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ibu</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hamil,</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keluarga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balita</w:t>
      </w:r>
      <w:r w:rsidRPr="008379CA">
        <w:rPr>
          <w:rFonts w:ascii="Bookman Old Style" w:hAnsi="Bookman Old Style" w:cs="Arial"/>
          <w:sz w:val="24"/>
          <w:szCs w:val="24"/>
          <w:lang w:val="id-ID"/>
        </w:rPr>
        <w:t>.</w:t>
      </w:r>
    </w:p>
    <w:p w14:paraId="7CA660F3" w14:textId="5C4512A6" w:rsidR="009E4CA7" w:rsidRPr="008379CA" w:rsidRDefault="009E4CA7" w:rsidP="00C75943">
      <w:pPr>
        <w:pStyle w:val="ListParagraph"/>
        <w:numPr>
          <w:ilvl w:val="0"/>
          <w:numId w:val="63"/>
        </w:numPr>
        <w:shd w:val="clear" w:color="auto" w:fill="FFFFFF" w:themeFill="background1"/>
        <w:spacing w:before="60" w:after="0" w:line="276" w:lineRule="auto"/>
        <w:ind w:left="1701" w:hanging="425"/>
        <w:contextualSpacing w:val="0"/>
        <w:jc w:val="both"/>
        <w:rPr>
          <w:rFonts w:ascii="Bookman Old Style" w:hAnsi="Bookman Old Style" w:cs="Arial"/>
          <w:sz w:val="24"/>
          <w:szCs w:val="24"/>
        </w:rPr>
      </w:pPr>
      <w:r w:rsidRPr="008379CA">
        <w:rPr>
          <w:rFonts w:ascii="Bookman Old Style" w:hAnsi="Bookman Old Style" w:cs="Arial"/>
          <w:sz w:val="24"/>
          <w:szCs w:val="24"/>
        </w:rPr>
        <w:t>pencegahan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pengendalian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penyakit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menular,</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terutama:</w:t>
      </w:r>
    </w:p>
    <w:p w14:paraId="15E24ADB" w14:textId="6FE8111C" w:rsidR="009E4CA7" w:rsidRPr="008379CA" w:rsidRDefault="009E4CA7" w:rsidP="00C75943">
      <w:pPr>
        <w:pStyle w:val="ListParagraph"/>
        <w:numPr>
          <w:ilvl w:val="0"/>
          <w:numId w:val="65"/>
        </w:numPr>
        <w:shd w:val="clear" w:color="auto" w:fill="FFFFFF" w:themeFill="background1"/>
        <w:spacing w:before="60" w:after="0" w:line="276" w:lineRule="auto"/>
        <w:ind w:left="2268" w:hanging="567"/>
        <w:contextualSpacing w:val="0"/>
        <w:jc w:val="both"/>
        <w:rPr>
          <w:rFonts w:ascii="Bookman Old Style" w:hAnsi="Bookman Old Style" w:cs="Arial"/>
          <w:sz w:val="24"/>
          <w:szCs w:val="24"/>
        </w:rPr>
      </w:pPr>
      <w:r w:rsidRPr="008379CA">
        <w:rPr>
          <w:rFonts w:ascii="Bookman Old Style" w:hAnsi="Bookman Old Style" w:cs="Arial"/>
          <w:i/>
          <w:iCs/>
          <w:sz w:val="24"/>
          <w:szCs w:val="24"/>
        </w:rPr>
        <w:t>Tuber</w:t>
      </w:r>
      <w:r w:rsidRPr="008379CA">
        <w:rPr>
          <w:rFonts w:ascii="Bookman Old Style" w:hAnsi="Bookman Old Style" w:cs="Arial"/>
          <w:i/>
          <w:iCs/>
          <w:sz w:val="24"/>
          <w:szCs w:val="24"/>
          <w:lang w:val="en-US"/>
        </w:rPr>
        <w:t>c</w:t>
      </w:r>
      <w:r w:rsidRPr="008379CA">
        <w:rPr>
          <w:rFonts w:ascii="Bookman Old Style" w:hAnsi="Bookman Old Style" w:cs="Arial"/>
          <w:i/>
          <w:iCs/>
          <w:sz w:val="24"/>
          <w:szCs w:val="24"/>
        </w:rPr>
        <w:t>ulosis</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(TBC);</w:t>
      </w:r>
    </w:p>
    <w:p w14:paraId="255E81B6" w14:textId="4F3B06CF" w:rsidR="009E4CA7" w:rsidRPr="008379CA" w:rsidRDefault="009E4CA7" w:rsidP="00C75943">
      <w:pPr>
        <w:pStyle w:val="ListParagraph"/>
        <w:numPr>
          <w:ilvl w:val="0"/>
          <w:numId w:val="65"/>
        </w:numPr>
        <w:shd w:val="clear" w:color="auto" w:fill="FFFFFF" w:themeFill="background1"/>
        <w:spacing w:before="60" w:after="0" w:line="276" w:lineRule="auto"/>
        <w:ind w:left="2268" w:hanging="567"/>
        <w:contextualSpacing w:val="0"/>
        <w:jc w:val="both"/>
        <w:rPr>
          <w:rFonts w:ascii="Bookman Old Style" w:hAnsi="Bookman Old Style" w:cs="Arial"/>
          <w:sz w:val="24"/>
          <w:szCs w:val="24"/>
        </w:rPr>
      </w:pPr>
      <w:r w:rsidRPr="008379CA">
        <w:rPr>
          <w:rFonts w:ascii="Bookman Old Style" w:hAnsi="Bookman Old Style" w:cs="Arial"/>
          <w:i/>
          <w:sz w:val="24"/>
          <w:szCs w:val="24"/>
        </w:rPr>
        <w:t>Human</w:t>
      </w:r>
      <w:r w:rsidR="00A954D0" w:rsidRPr="008379CA">
        <w:rPr>
          <w:rFonts w:ascii="Bookman Old Style" w:hAnsi="Bookman Old Style" w:cs="Arial"/>
          <w:i/>
          <w:sz w:val="24"/>
          <w:szCs w:val="24"/>
        </w:rPr>
        <w:t xml:space="preserve"> </w:t>
      </w:r>
      <w:r w:rsidRPr="008379CA">
        <w:rPr>
          <w:rFonts w:ascii="Bookman Old Style" w:hAnsi="Bookman Old Style" w:cs="Arial"/>
          <w:i/>
          <w:sz w:val="24"/>
          <w:szCs w:val="24"/>
        </w:rPr>
        <w:t>lmmunodeficiency</w:t>
      </w:r>
      <w:r w:rsidR="00A954D0" w:rsidRPr="008379CA">
        <w:rPr>
          <w:rFonts w:ascii="Bookman Old Style" w:hAnsi="Bookman Old Style" w:cs="Arial"/>
          <w:i/>
          <w:sz w:val="24"/>
          <w:szCs w:val="24"/>
        </w:rPr>
        <w:t xml:space="preserve"> </w:t>
      </w:r>
      <w:r w:rsidRPr="008379CA">
        <w:rPr>
          <w:rFonts w:ascii="Bookman Old Style" w:hAnsi="Bookman Old Style" w:cs="Arial"/>
          <w:i/>
          <w:sz w:val="24"/>
          <w:szCs w:val="24"/>
        </w:rPr>
        <w:t>Virus</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(HIV);</w:t>
      </w:r>
    </w:p>
    <w:p w14:paraId="35A2E7E7" w14:textId="77777777" w:rsidR="009E4CA7" w:rsidRPr="008379CA" w:rsidRDefault="009E4CA7" w:rsidP="00C75943">
      <w:pPr>
        <w:pStyle w:val="ListParagraph"/>
        <w:numPr>
          <w:ilvl w:val="0"/>
          <w:numId w:val="65"/>
        </w:numPr>
        <w:shd w:val="clear" w:color="auto" w:fill="FFFFFF" w:themeFill="background1"/>
        <w:spacing w:before="60" w:after="0" w:line="276" w:lineRule="auto"/>
        <w:ind w:left="2268" w:hanging="567"/>
        <w:contextualSpacing w:val="0"/>
        <w:jc w:val="both"/>
        <w:rPr>
          <w:rFonts w:ascii="Bookman Old Style" w:hAnsi="Bookman Old Style" w:cs="Arial"/>
          <w:sz w:val="24"/>
          <w:szCs w:val="24"/>
        </w:rPr>
      </w:pPr>
      <w:r w:rsidRPr="008379CA">
        <w:rPr>
          <w:rFonts w:ascii="Bookman Old Style" w:hAnsi="Bookman Old Style" w:cs="Arial"/>
          <w:sz w:val="24"/>
          <w:szCs w:val="24"/>
          <w:lang w:val="en-US"/>
        </w:rPr>
        <w:t>M</w:t>
      </w:r>
      <w:r w:rsidRPr="008379CA">
        <w:rPr>
          <w:rFonts w:ascii="Bookman Old Style" w:hAnsi="Bookman Old Style" w:cs="Arial"/>
          <w:sz w:val="24"/>
          <w:szCs w:val="24"/>
        </w:rPr>
        <w:t>alaria;</w:t>
      </w:r>
    </w:p>
    <w:p w14:paraId="45A75904" w14:textId="7515017E" w:rsidR="009E4CA7" w:rsidRPr="008379CA" w:rsidRDefault="009E4CA7" w:rsidP="00C75943">
      <w:pPr>
        <w:pStyle w:val="ListParagraph"/>
        <w:numPr>
          <w:ilvl w:val="0"/>
          <w:numId w:val="65"/>
        </w:numPr>
        <w:shd w:val="clear" w:color="auto" w:fill="FFFFFF" w:themeFill="background1"/>
        <w:spacing w:before="60" w:after="0" w:line="276" w:lineRule="auto"/>
        <w:ind w:left="2268" w:hanging="567"/>
        <w:contextualSpacing w:val="0"/>
        <w:jc w:val="both"/>
        <w:rPr>
          <w:rFonts w:ascii="Bookman Old Style" w:hAnsi="Bookman Old Style" w:cs="Arial"/>
          <w:sz w:val="24"/>
          <w:szCs w:val="24"/>
        </w:rPr>
      </w:pPr>
      <w:r w:rsidRPr="008379CA">
        <w:rPr>
          <w:rFonts w:ascii="Bookman Old Style" w:hAnsi="Bookman Old Style" w:cs="Arial"/>
          <w:sz w:val="24"/>
          <w:szCs w:val="24"/>
        </w:rPr>
        <w:t>Penyakit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menular</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lainnya</w:t>
      </w:r>
      <w:r w:rsidRPr="008379CA">
        <w:rPr>
          <w:rFonts w:ascii="Bookman Old Style" w:hAnsi="Bookman Old Style" w:cs="Arial"/>
          <w:sz w:val="24"/>
          <w:szCs w:val="24"/>
          <w:lang w:val="id-ID"/>
        </w:rPr>
        <w:t>.</w:t>
      </w:r>
    </w:p>
    <w:p w14:paraId="400ECEF6" w14:textId="2616B8E5" w:rsidR="009E4CA7" w:rsidRPr="008379CA" w:rsidRDefault="009E4CA7" w:rsidP="00C75943">
      <w:pPr>
        <w:pStyle w:val="ListParagraph"/>
        <w:numPr>
          <w:ilvl w:val="0"/>
          <w:numId w:val="63"/>
        </w:numPr>
        <w:shd w:val="clear" w:color="auto" w:fill="FFFFFF" w:themeFill="background1"/>
        <w:spacing w:before="60" w:after="0" w:line="276" w:lineRule="auto"/>
        <w:ind w:left="1701" w:hanging="425"/>
        <w:contextualSpacing w:val="0"/>
        <w:jc w:val="both"/>
        <w:rPr>
          <w:rFonts w:ascii="Bookman Old Style" w:hAnsi="Bookman Old Style" w:cs="Arial"/>
          <w:sz w:val="24"/>
          <w:szCs w:val="24"/>
        </w:rPr>
      </w:pPr>
      <w:r w:rsidRPr="008379CA">
        <w:rPr>
          <w:rFonts w:ascii="Bookman Old Style" w:hAnsi="Bookman Old Style" w:cs="Arial"/>
          <w:sz w:val="24"/>
          <w:szCs w:val="24"/>
        </w:rPr>
        <w:t>pencegahan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pengendalian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penyakit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tidak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menular,</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terutama:</w:t>
      </w:r>
    </w:p>
    <w:p w14:paraId="13268B69" w14:textId="6F24B3E4" w:rsidR="009E4CA7" w:rsidRPr="008379CA" w:rsidRDefault="009E4CA7" w:rsidP="00C75943">
      <w:pPr>
        <w:pStyle w:val="ListParagraph"/>
        <w:numPr>
          <w:ilvl w:val="0"/>
          <w:numId w:val="66"/>
        </w:numPr>
        <w:shd w:val="clear" w:color="auto" w:fill="FFFFFF" w:themeFill="background1"/>
        <w:spacing w:before="60" w:after="0" w:line="276" w:lineRule="auto"/>
        <w:ind w:left="2268" w:hanging="567"/>
        <w:contextualSpacing w:val="0"/>
        <w:jc w:val="both"/>
        <w:rPr>
          <w:rFonts w:ascii="Bookman Old Style" w:hAnsi="Bookman Old Style" w:cs="Arial"/>
          <w:sz w:val="24"/>
          <w:szCs w:val="24"/>
        </w:rPr>
      </w:pPr>
      <w:r w:rsidRPr="008379CA">
        <w:rPr>
          <w:rFonts w:ascii="Bookman Old Style" w:hAnsi="Bookman Old Style" w:cs="Arial"/>
          <w:i/>
          <w:iCs/>
          <w:sz w:val="24"/>
          <w:szCs w:val="24"/>
        </w:rPr>
        <w:t>Diabetes</w:t>
      </w:r>
      <w:r w:rsidR="00A954D0" w:rsidRPr="008379CA">
        <w:rPr>
          <w:rFonts w:ascii="Bookman Old Style" w:hAnsi="Bookman Old Style" w:cs="Arial"/>
          <w:i/>
          <w:iCs/>
          <w:sz w:val="24"/>
          <w:szCs w:val="24"/>
        </w:rPr>
        <w:t xml:space="preserve"> </w:t>
      </w:r>
      <w:r w:rsidRPr="008379CA">
        <w:rPr>
          <w:rFonts w:ascii="Bookman Old Style" w:hAnsi="Bookman Old Style" w:cs="Arial"/>
          <w:i/>
          <w:iCs/>
          <w:sz w:val="24"/>
          <w:szCs w:val="24"/>
        </w:rPr>
        <w:t>Melitus</w:t>
      </w:r>
      <w:r w:rsidRPr="008379CA">
        <w:rPr>
          <w:rFonts w:ascii="Bookman Old Style" w:hAnsi="Bookman Old Style" w:cs="Arial"/>
          <w:sz w:val="24"/>
          <w:szCs w:val="24"/>
        </w:rPr>
        <w:t>;</w:t>
      </w:r>
    </w:p>
    <w:p w14:paraId="48BEFF08" w14:textId="77777777" w:rsidR="009E4CA7" w:rsidRPr="008379CA" w:rsidRDefault="009E4CA7" w:rsidP="00C75943">
      <w:pPr>
        <w:pStyle w:val="ListParagraph"/>
        <w:numPr>
          <w:ilvl w:val="0"/>
          <w:numId w:val="66"/>
        </w:numPr>
        <w:shd w:val="clear" w:color="auto" w:fill="FFFFFF" w:themeFill="background1"/>
        <w:spacing w:before="60" w:after="0" w:line="276" w:lineRule="auto"/>
        <w:ind w:left="2268" w:hanging="567"/>
        <w:contextualSpacing w:val="0"/>
        <w:jc w:val="both"/>
        <w:rPr>
          <w:rFonts w:ascii="Bookman Old Style" w:hAnsi="Bookman Old Style" w:cs="Arial"/>
          <w:sz w:val="24"/>
          <w:szCs w:val="24"/>
        </w:rPr>
      </w:pPr>
      <w:r w:rsidRPr="008379CA">
        <w:rPr>
          <w:rFonts w:ascii="Bookman Old Style" w:hAnsi="Bookman Old Style" w:cs="Arial"/>
          <w:i/>
          <w:iCs/>
          <w:sz w:val="24"/>
          <w:szCs w:val="24"/>
        </w:rPr>
        <w:t>Hipertensi</w:t>
      </w:r>
      <w:r w:rsidRPr="008379CA">
        <w:rPr>
          <w:rFonts w:ascii="Bookman Old Style" w:hAnsi="Bookman Old Style" w:cs="Arial"/>
          <w:sz w:val="24"/>
          <w:szCs w:val="24"/>
        </w:rPr>
        <w:t>;</w:t>
      </w:r>
    </w:p>
    <w:p w14:paraId="624A9F1C" w14:textId="710A0F2A" w:rsidR="009E4CA7" w:rsidRPr="008379CA" w:rsidRDefault="009E4CA7" w:rsidP="00C75943">
      <w:pPr>
        <w:pStyle w:val="ListParagraph"/>
        <w:numPr>
          <w:ilvl w:val="0"/>
          <w:numId w:val="66"/>
        </w:numPr>
        <w:shd w:val="clear" w:color="auto" w:fill="FFFFFF" w:themeFill="background1"/>
        <w:spacing w:before="60" w:after="0" w:line="276" w:lineRule="auto"/>
        <w:ind w:left="2268" w:hanging="567"/>
        <w:contextualSpacing w:val="0"/>
        <w:jc w:val="both"/>
        <w:rPr>
          <w:rFonts w:ascii="Bookman Old Style" w:hAnsi="Bookman Old Style" w:cs="Arial"/>
          <w:sz w:val="24"/>
          <w:szCs w:val="24"/>
        </w:rPr>
      </w:pPr>
      <w:r w:rsidRPr="008379CA">
        <w:rPr>
          <w:rFonts w:ascii="Bookman Old Style" w:hAnsi="Bookman Old Style" w:cs="Arial"/>
          <w:sz w:val="24"/>
          <w:szCs w:val="24"/>
        </w:rPr>
        <w:t>Penyakit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tidak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menular</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lainnya</w:t>
      </w:r>
      <w:r w:rsidRPr="008379CA">
        <w:rPr>
          <w:rFonts w:ascii="Bookman Old Style" w:hAnsi="Bookman Old Style" w:cs="Arial"/>
          <w:sz w:val="24"/>
          <w:szCs w:val="24"/>
          <w:lang w:val="id-ID"/>
        </w:rPr>
        <w:t>.</w:t>
      </w:r>
    </w:p>
    <w:p w14:paraId="63C6E0C4" w14:textId="26CA9FE0" w:rsidR="009E4CA7" w:rsidRPr="008379CA" w:rsidRDefault="009E4CA7" w:rsidP="00C75943">
      <w:pPr>
        <w:pStyle w:val="ListParagraph"/>
        <w:numPr>
          <w:ilvl w:val="0"/>
          <w:numId w:val="63"/>
        </w:numPr>
        <w:shd w:val="clear" w:color="auto" w:fill="FFFFFF" w:themeFill="background1"/>
        <w:spacing w:before="60" w:after="0" w:line="276" w:lineRule="auto"/>
        <w:ind w:left="1701" w:hanging="425"/>
        <w:contextualSpacing w:val="0"/>
        <w:jc w:val="both"/>
        <w:rPr>
          <w:rFonts w:ascii="Bookman Old Style" w:hAnsi="Bookman Old Style" w:cs="Arial"/>
          <w:sz w:val="24"/>
          <w:szCs w:val="24"/>
        </w:rPr>
      </w:pPr>
      <w:r w:rsidRPr="008379CA">
        <w:rPr>
          <w:rFonts w:ascii="Bookman Old Style" w:hAnsi="Bookman Old Style" w:cs="Arial"/>
          <w:sz w:val="24"/>
          <w:szCs w:val="24"/>
        </w:rPr>
        <w:t>penguatan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jejaring</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layanan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primer,</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melalui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pemenuhan:</w:t>
      </w:r>
    </w:p>
    <w:p w14:paraId="5FA9B91C" w14:textId="1BB5FDFC" w:rsidR="009E4CA7" w:rsidRPr="008379CA" w:rsidRDefault="009E4CA7" w:rsidP="00C75943">
      <w:pPr>
        <w:pStyle w:val="ListParagraph"/>
        <w:numPr>
          <w:ilvl w:val="0"/>
          <w:numId w:val="67"/>
        </w:numPr>
        <w:shd w:val="clear" w:color="auto" w:fill="FFFFFF" w:themeFill="background1"/>
        <w:spacing w:before="60" w:after="0" w:line="276" w:lineRule="auto"/>
        <w:ind w:left="2268" w:hanging="567"/>
        <w:contextualSpacing w:val="0"/>
        <w:jc w:val="both"/>
        <w:rPr>
          <w:rFonts w:ascii="Bookman Old Style" w:hAnsi="Bookman Old Style" w:cs="Arial"/>
          <w:sz w:val="24"/>
          <w:szCs w:val="24"/>
        </w:rPr>
      </w:pPr>
      <w:r w:rsidRPr="008379CA">
        <w:rPr>
          <w:rFonts w:ascii="Bookman Old Style" w:hAnsi="Bookman Old Style" w:cs="Arial"/>
          <w:sz w:val="24"/>
          <w:szCs w:val="24"/>
        </w:rPr>
        <w:t>sarana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prasarana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Pusat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Kesehatan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Masyarakat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(Puskesmas)</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sesuai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Peraturan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Menteri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Kesehatan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Nomor</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43</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Tahun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2019</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tentang</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Pusat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Kesehatan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Masyarakat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termasuk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prasarana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Pelayanan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Obstetri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Neonatal</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Emergensi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Dasar</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(PONED);</w:t>
      </w:r>
    </w:p>
    <w:p w14:paraId="0D2F5552" w14:textId="077D09BE" w:rsidR="009E4CA7" w:rsidRPr="008379CA" w:rsidRDefault="009E4CA7" w:rsidP="00C75943">
      <w:pPr>
        <w:pStyle w:val="ListParagraph"/>
        <w:numPr>
          <w:ilvl w:val="0"/>
          <w:numId w:val="67"/>
        </w:numPr>
        <w:shd w:val="clear" w:color="auto" w:fill="FFFFFF" w:themeFill="background1"/>
        <w:spacing w:before="60" w:after="0" w:line="276" w:lineRule="auto"/>
        <w:ind w:left="2268" w:hanging="567"/>
        <w:contextualSpacing w:val="0"/>
        <w:jc w:val="both"/>
        <w:rPr>
          <w:rFonts w:ascii="Bookman Old Style" w:hAnsi="Bookman Old Style" w:cs="Arial"/>
          <w:sz w:val="24"/>
          <w:szCs w:val="24"/>
        </w:rPr>
      </w:pPr>
      <w:r w:rsidRPr="008379CA">
        <w:rPr>
          <w:rFonts w:ascii="Bookman Old Style" w:hAnsi="Bookman Old Style" w:cs="Arial"/>
          <w:sz w:val="24"/>
          <w:szCs w:val="24"/>
        </w:rPr>
        <w:t>sarana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prasarana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posyandu</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prima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posyandu;</w:t>
      </w:r>
    </w:p>
    <w:p w14:paraId="6BE8DEB6" w14:textId="41FBBD09" w:rsidR="009E4CA7" w:rsidRDefault="009E4CA7" w:rsidP="00C75943">
      <w:pPr>
        <w:pStyle w:val="ListParagraph"/>
        <w:numPr>
          <w:ilvl w:val="0"/>
          <w:numId w:val="67"/>
        </w:numPr>
        <w:shd w:val="clear" w:color="auto" w:fill="FFFFFF" w:themeFill="background1"/>
        <w:spacing w:before="60" w:after="0" w:line="276" w:lineRule="auto"/>
        <w:ind w:left="2268" w:hanging="567"/>
        <w:contextualSpacing w:val="0"/>
        <w:jc w:val="both"/>
        <w:rPr>
          <w:rFonts w:ascii="Bookman Old Style" w:hAnsi="Bookman Old Style" w:cs="Arial"/>
          <w:sz w:val="24"/>
          <w:szCs w:val="24"/>
        </w:rPr>
      </w:pPr>
      <w:r w:rsidRPr="008379CA">
        <w:rPr>
          <w:rFonts w:ascii="Bookman Old Style" w:hAnsi="Bookman Old Style" w:cs="Arial"/>
          <w:sz w:val="24"/>
          <w:szCs w:val="24"/>
        </w:rPr>
        <w:t>obat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esensial,</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obat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gizi,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obat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kesehatan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ibu</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anak,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obat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program</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lainnya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Bahan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Medis</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Habis</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Pakai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(BMHP);</w:t>
      </w:r>
    </w:p>
    <w:p w14:paraId="22E79627" w14:textId="77777777" w:rsidR="000D1CC2" w:rsidRPr="008379CA" w:rsidRDefault="000D1CC2" w:rsidP="000D1CC2">
      <w:pPr>
        <w:pStyle w:val="ListParagraph"/>
        <w:shd w:val="clear" w:color="auto" w:fill="FFFFFF" w:themeFill="background1"/>
        <w:spacing w:before="60" w:after="0" w:line="276" w:lineRule="auto"/>
        <w:ind w:left="2268"/>
        <w:contextualSpacing w:val="0"/>
        <w:jc w:val="both"/>
        <w:rPr>
          <w:rFonts w:ascii="Bookman Old Style" w:hAnsi="Bookman Old Style" w:cs="Arial"/>
          <w:sz w:val="24"/>
          <w:szCs w:val="24"/>
        </w:rPr>
      </w:pPr>
    </w:p>
    <w:p w14:paraId="5FB4E799" w14:textId="173DEC9A" w:rsidR="009E4CA7" w:rsidRPr="008379CA" w:rsidRDefault="009E4CA7" w:rsidP="00C75943">
      <w:pPr>
        <w:pStyle w:val="ListParagraph"/>
        <w:numPr>
          <w:ilvl w:val="0"/>
          <w:numId w:val="67"/>
        </w:numPr>
        <w:shd w:val="clear" w:color="auto" w:fill="FFFFFF" w:themeFill="background1"/>
        <w:spacing w:before="60" w:after="0" w:line="276" w:lineRule="auto"/>
        <w:ind w:left="2268" w:hanging="567"/>
        <w:contextualSpacing w:val="0"/>
        <w:jc w:val="both"/>
        <w:rPr>
          <w:rFonts w:ascii="Bookman Old Style" w:hAnsi="Bookman Old Style" w:cs="Arial"/>
          <w:sz w:val="24"/>
          <w:szCs w:val="24"/>
        </w:rPr>
      </w:pPr>
      <w:r w:rsidRPr="008379CA">
        <w:rPr>
          <w:rFonts w:ascii="Bookman Old Style" w:hAnsi="Bookman Old Style" w:cs="Arial"/>
          <w:sz w:val="24"/>
          <w:szCs w:val="24"/>
        </w:rPr>
        <w:lastRenderedPageBreak/>
        <w:t>penguatan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jejaring</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layanan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rujukan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dengan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pemenuhan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sarana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prasarana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rumah</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sakit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untuk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layanan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4</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(empat)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jenis</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penyakit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tidak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menular</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(kanker,</w:t>
      </w:r>
      <w:r w:rsidR="00A954D0" w:rsidRPr="008379CA">
        <w:rPr>
          <w:rFonts w:ascii="Bookman Old Style" w:hAnsi="Bookman Old Style" w:cs="Arial"/>
          <w:sz w:val="24"/>
          <w:szCs w:val="24"/>
        </w:rPr>
        <w:t xml:space="preserve"> </w:t>
      </w:r>
      <w:r w:rsidRPr="008379CA">
        <w:rPr>
          <w:rFonts w:ascii="Bookman Old Style" w:hAnsi="Bookman Old Style" w:cs="Arial"/>
          <w:i/>
          <w:sz w:val="24"/>
          <w:szCs w:val="24"/>
        </w:rPr>
        <w:t>stroke</w:t>
      </w:r>
      <w:r w:rsidRPr="008379CA">
        <w:rPr>
          <w:rFonts w:ascii="Bookman Old Style" w:hAnsi="Bookman Old Style" w:cs="Arial"/>
          <w:sz w:val="24"/>
          <w:szCs w:val="24"/>
        </w:rPr>
        <w: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jantung,</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Pr="008379CA">
        <w:rPr>
          <w:rFonts w:ascii="Bookman Old Style" w:hAnsi="Bookman Old Style" w:cs="Arial"/>
          <w:i/>
          <w:iCs/>
          <w:sz w:val="24"/>
          <w:szCs w:val="24"/>
        </w:rPr>
        <w:t>uronefrology</w:t>
      </w:r>
      <w:r w:rsidRPr="008379CA">
        <w:rPr>
          <w:rFonts w:ascii="Bookman Old Style" w:hAnsi="Bookman Old Style" w:cs="Arial"/>
          <w:sz w:val="24"/>
          <w:szCs w:val="24"/>
        </w:rPr>
        <w: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sarana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rumah</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sakit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mampu</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Pelayanan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Obstetri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Neonatal</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Emergensi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Komprehensif</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(PONEK);</w:t>
      </w:r>
    </w:p>
    <w:p w14:paraId="3A25BF9C" w14:textId="5319E091" w:rsidR="009E4CA7" w:rsidRPr="008379CA" w:rsidRDefault="009E4CA7" w:rsidP="00C75943">
      <w:pPr>
        <w:pStyle w:val="ListParagraph"/>
        <w:numPr>
          <w:ilvl w:val="0"/>
          <w:numId w:val="67"/>
        </w:numPr>
        <w:shd w:val="clear" w:color="auto" w:fill="FFFFFF" w:themeFill="background1"/>
        <w:spacing w:before="60" w:after="0" w:line="276" w:lineRule="auto"/>
        <w:ind w:left="2268" w:hanging="567"/>
        <w:contextualSpacing w:val="0"/>
        <w:jc w:val="both"/>
        <w:rPr>
          <w:rFonts w:ascii="Bookman Old Style" w:hAnsi="Bookman Old Style" w:cs="Arial"/>
          <w:sz w:val="24"/>
          <w:szCs w:val="24"/>
        </w:rPr>
      </w:pPr>
      <w:r w:rsidRPr="008379CA">
        <w:rPr>
          <w:rFonts w:ascii="Bookman Old Style" w:hAnsi="Bookman Old Style" w:cs="Arial"/>
          <w:sz w:val="24"/>
          <w:szCs w:val="24"/>
        </w:rPr>
        <w:t>penguatan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ketahanan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kesehatan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melalui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pemenuhan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sarana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prasarana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laboratorium</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kesehatan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masyarakat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(labkesmas)</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laboratorium</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kesehatan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daerah</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(labkesda)</w:t>
      </w:r>
      <w:r w:rsidR="00C75943" w:rsidRPr="008379CA">
        <w:rPr>
          <w:rFonts w:ascii="Bookman Old Style" w:hAnsi="Bookman Old Style" w:cs="Arial"/>
          <w:sz w:val="24"/>
          <w:szCs w:val="24"/>
          <w:lang w:val="sv-FI"/>
        </w:rPr>
        <w:t>.</w:t>
      </w:r>
    </w:p>
    <w:p w14:paraId="55349425" w14:textId="355C8AB4" w:rsidR="009E4CA7" w:rsidRPr="008379CA" w:rsidRDefault="009E4CA7" w:rsidP="00C75943">
      <w:pPr>
        <w:pStyle w:val="ListParagraph"/>
        <w:numPr>
          <w:ilvl w:val="0"/>
          <w:numId w:val="63"/>
        </w:numPr>
        <w:shd w:val="clear" w:color="auto" w:fill="FFFFFF" w:themeFill="background1"/>
        <w:spacing w:before="60" w:after="0" w:line="276" w:lineRule="auto"/>
        <w:ind w:left="1701" w:hanging="414"/>
        <w:contextualSpacing w:val="0"/>
        <w:jc w:val="both"/>
        <w:rPr>
          <w:rFonts w:ascii="Bookman Old Style" w:hAnsi="Bookman Old Style" w:cs="Arial"/>
          <w:sz w:val="24"/>
          <w:szCs w:val="24"/>
        </w:rPr>
      </w:pPr>
      <w:r w:rsidRPr="008379CA">
        <w:rPr>
          <w:rFonts w:ascii="Bookman Old Style" w:hAnsi="Bookman Old Style" w:cs="Arial"/>
          <w:sz w:val="24"/>
          <w:szCs w:val="24"/>
        </w:rPr>
        <w:t>penguatan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Sumber</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Daya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Manusia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(SDM)</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Kesehatan,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dengan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pemenuhan:</w:t>
      </w:r>
    </w:p>
    <w:p w14:paraId="5D242C6D" w14:textId="2301818D" w:rsidR="009E4CA7" w:rsidRPr="008379CA" w:rsidRDefault="009E4CA7" w:rsidP="00C75943">
      <w:pPr>
        <w:pStyle w:val="ListParagraph"/>
        <w:numPr>
          <w:ilvl w:val="0"/>
          <w:numId w:val="68"/>
        </w:numPr>
        <w:shd w:val="clear" w:color="auto" w:fill="FFFFFF" w:themeFill="background1"/>
        <w:spacing w:before="60" w:after="0" w:line="276" w:lineRule="auto"/>
        <w:ind w:left="2268" w:hanging="567"/>
        <w:contextualSpacing w:val="0"/>
        <w:jc w:val="both"/>
        <w:rPr>
          <w:rFonts w:ascii="Bookman Old Style" w:hAnsi="Bookman Old Style" w:cs="Arial"/>
          <w:sz w:val="24"/>
          <w:szCs w:val="24"/>
        </w:rPr>
      </w:pPr>
      <w:r w:rsidRPr="008379CA">
        <w:rPr>
          <w:rFonts w:ascii="Bookman Old Style" w:hAnsi="Bookman Old Style" w:cs="Arial"/>
          <w:sz w:val="24"/>
          <w:szCs w:val="24"/>
        </w:rPr>
        <w:t>9</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(sembilan)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tenaga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kesehatan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puskesmas</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sesuai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Peraturan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Menteri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Kesehatan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Nomor</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43</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Tahun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2019</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2</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(dua)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orang</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tenaga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penunjang</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dengan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kapasitas</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pengelola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keuangan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manajemen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informasi;</w:t>
      </w:r>
    </w:p>
    <w:p w14:paraId="4FC93B65" w14:textId="20CDAC64" w:rsidR="009E4CA7" w:rsidRPr="008379CA" w:rsidRDefault="009E4CA7" w:rsidP="00C75943">
      <w:pPr>
        <w:pStyle w:val="ListParagraph"/>
        <w:numPr>
          <w:ilvl w:val="0"/>
          <w:numId w:val="68"/>
        </w:numPr>
        <w:shd w:val="clear" w:color="auto" w:fill="FFFFFF" w:themeFill="background1"/>
        <w:spacing w:before="60" w:after="0" w:line="276" w:lineRule="auto"/>
        <w:ind w:left="2268" w:hanging="567"/>
        <w:contextualSpacing w:val="0"/>
        <w:jc w:val="both"/>
        <w:rPr>
          <w:rFonts w:ascii="Bookman Old Style" w:hAnsi="Bookman Old Style" w:cs="Arial"/>
          <w:sz w:val="24"/>
          <w:szCs w:val="24"/>
        </w:rPr>
      </w:pPr>
      <w:r w:rsidRPr="008379CA">
        <w:rPr>
          <w:rFonts w:ascii="Bookman Old Style" w:hAnsi="Bookman Old Style" w:cs="Arial"/>
          <w:sz w:val="24"/>
          <w:szCs w:val="24"/>
        </w:rPr>
        <w:t>perawat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bidan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pada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entitas</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puskesmas</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pembantu;</w:t>
      </w:r>
    </w:p>
    <w:p w14:paraId="75F87DCF" w14:textId="133B54B7" w:rsidR="009E4CA7" w:rsidRPr="008379CA" w:rsidRDefault="009E4CA7" w:rsidP="00C75943">
      <w:pPr>
        <w:pStyle w:val="ListParagraph"/>
        <w:numPr>
          <w:ilvl w:val="0"/>
          <w:numId w:val="68"/>
        </w:numPr>
        <w:shd w:val="clear" w:color="auto" w:fill="FFFFFF" w:themeFill="background1"/>
        <w:spacing w:before="60" w:after="0" w:line="276" w:lineRule="auto"/>
        <w:ind w:left="2268" w:hanging="567"/>
        <w:contextualSpacing w:val="0"/>
        <w:jc w:val="both"/>
        <w:rPr>
          <w:rFonts w:ascii="Bookman Old Style" w:hAnsi="Bookman Old Style" w:cs="Arial"/>
          <w:sz w:val="24"/>
          <w:szCs w:val="24"/>
        </w:rPr>
      </w:pPr>
      <w:r w:rsidRPr="008379CA">
        <w:rPr>
          <w:rFonts w:ascii="Bookman Old Style" w:hAnsi="Bookman Old Style" w:cs="Arial"/>
          <w:sz w:val="24"/>
          <w:szCs w:val="24"/>
        </w:rPr>
        <w:t>7</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(tujuh)</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jenis</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dokter</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spesialis</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Rumah</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Sakit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Umum</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Daerah</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(RSUD)</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sesuai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Peraturan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Menteri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Kesehatan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Nomor</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30</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Tahun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2019</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tentang</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Klasifikasi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Perizinan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Rumah</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Sakit,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termasuk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dokter</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spesialis</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untuk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4</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(empat)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jenis</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penyakit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tidak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menular</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(kanker,</w:t>
      </w:r>
      <w:r w:rsidR="00A954D0" w:rsidRPr="008379CA">
        <w:rPr>
          <w:rFonts w:ascii="Bookman Old Style" w:hAnsi="Bookman Old Style" w:cs="Arial"/>
          <w:sz w:val="24"/>
          <w:szCs w:val="24"/>
        </w:rPr>
        <w:t xml:space="preserve"> </w:t>
      </w:r>
      <w:r w:rsidRPr="008379CA">
        <w:rPr>
          <w:rFonts w:ascii="Bookman Old Style" w:hAnsi="Bookman Old Style" w:cs="Arial"/>
          <w:i/>
          <w:sz w:val="24"/>
          <w:szCs w:val="24"/>
        </w:rPr>
        <w:t>stroke</w:t>
      </w:r>
      <w:r w:rsidRPr="008379CA">
        <w:rPr>
          <w:rFonts w:ascii="Bookman Old Style" w:hAnsi="Bookman Old Style" w:cs="Arial"/>
          <w:sz w:val="24"/>
          <w:szCs w:val="24"/>
        </w:rPr>
        <w: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jantung,</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Pr="008379CA">
        <w:rPr>
          <w:rFonts w:ascii="Bookman Old Style" w:hAnsi="Bookman Old Style" w:cs="Arial"/>
          <w:i/>
          <w:iCs/>
          <w:sz w:val="24"/>
          <w:szCs w:val="24"/>
        </w:rPr>
        <w:t>uronefrology</w:t>
      </w:r>
      <w:r w:rsidRPr="008379CA">
        <w:rPr>
          <w:rFonts w:ascii="Bookman Old Style" w:hAnsi="Bookman Old Style" w:cs="Arial"/>
          <w:sz w:val="24"/>
          <w:szCs w:val="24"/>
        </w:rPr>
        <w:t>);</w:t>
      </w:r>
    </w:p>
    <w:p w14:paraId="58FF7285" w14:textId="74DA226D" w:rsidR="009E4CA7" w:rsidRPr="008379CA" w:rsidRDefault="009E4CA7" w:rsidP="00C75943">
      <w:pPr>
        <w:pStyle w:val="ListParagraph"/>
        <w:numPr>
          <w:ilvl w:val="0"/>
          <w:numId w:val="68"/>
        </w:numPr>
        <w:shd w:val="clear" w:color="auto" w:fill="FFFFFF" w:themeFill="background1"/>
        <w:spacing w:before="60" w:after="0" w:line="276" w:lineRule="auto"/>
        <w:ind w:left="2268" w:hanging="567"/>
        <w:contextualSpacing w:val="0"/>
        <w:jc w:val="both"/>
        <w:rPr>
          <w:rFonts w:ascii="Bookman Old Style" w:hAnsi="Bookman Old Style" w:cs="Arial"/>
          <w:sz w:val="24"/>
          <w:szCs w:val="24"/>
        </w:rPr>
      </w:pPr>
      <w:r w:rsidRPr="008379CA">
        <w:rPr>
          <w:rFonts w:ascii="Bookman Old Style" w:hAnsi="Bookman Old Style" w:cs="Arial"/>
          <w:sz w:val="24"/>
          <w:szCs w:val="24"/>
        </w:rPr>
        <w:t>tenaga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kesehatan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laboratorium</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kesehatan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daerah;</w:t>
      </w:r>
    </w:p>
    <w:p w14:paraId="5AD95020" w14:textId="79011851" w:rsidR="009E4CA7" w:rsidRPr="008379CA" w:rsidRDefault="009E4CA7" w:rsidP="00C75943">
      <w:pPr>
        <w:pStyle w:val="ListParagraph"/>
        <w:numPr>
          <w:ilvl w:val="0"/>
          <w:numId w:val="68"/>
        </w:numPr>
        <w:shd w:val="clear" w:color="auto" w:fill="FFFFFF" w:themeFill="background1"/>
        <w:spacing w:before="60" w:after="0" w:line="276" w:lineRule="auto"/>
        <w:ind w:left="2268" w:hanging="567"/>
        <w:contextualSpacing w:val="0"/>
        <w:jc w:val="both"/>
        <w:rPr>
          <w:rFonts w:ascii="Bookman Old Style" w:hAnsi="Bookman Old Style" w:cs="Arial"/>
          <w:sz w:val="24"/>
          <w:szCs w:val="24"/>
        </w:rPr>
      </w:pPr>
      <w:r w:rsidRPr="008379CA">
        <w:rPr>
          <w:rFonts w:ascii="Bookman Old Style" w:hAnsi="Bookman Old Style" w:cs="Arial"/>
          <w:sz w:val="24"/>
          <w:szCs w:val="24"/>
        </w:rPr>
        <w:t>insentif</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upaya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kesehatan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masyarakat</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untuk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tenaga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kesehatan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puskesmas;</w:t>
      </w:r>
    </w:p>
    <w:p w14:paraId="5DE3C679" w14:textId="41BB63AC" w:rsidR="009E4CA7" w:rsidRPr="008379CA" w:rsidRDefault="009E4CA7" w:rsidP="00C75943">
      <w:pPr>
        <w:pStyle w:val="ListParagraph"/>
        <w:numPr>
          <w:ilvl w:val="0"/>
          <w:numId w:val="68"/>
        </w:numPr>
        <w:shd w:val="clear" w:color="auto" w:fill="FFFFFF" w:themeFill="background1"/>
        <w:spacing w:before="60" w:after="0" w:line="276" w:lineRule="auto"/>
        <w:ind w:left="2268" w:hanging="567"/>
        <w:contextualSpacing w:val="0"/>
        <w:jc w:val="both"/>
        <w:rPr>
          <w:rFonts w:ascii="Bookman Old Style" w:hAnsi="Bookman Old Style"/>
          <w:sz w:val="24"/>
          <w:szCs w:val="24"/>
          <w:lang w:val="id-ID"/>
        </w:rPr>
      </w:pPr>
      <w:r w:rsidRPr="008379CA">
        <w:rPr>
          <w:rFonts w:ascii="Bookman Old Style" w:hAnsi="Bookman Old Style" w:cs="Arial"/>
          <w:sz w:val="24"/>
          <w:szCs w:val="24"/>
        </w:rPr>
        <w:t>peningkatan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kapasitas</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insentif</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kader</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posyandu.</w:t>
      </w:r>
    </w:p>
    <w:p w14:paraId="0641EA8D" w14:textId="7FCF0501" w:rsidR="009E4CA7" w:rsidRPr="008379CA" w:rsidRDefault="009E4CA7" w:rsidP="00C75943">
      <w:pPr>
        <w:pStyle w:val="ListParagraph"/>
        <w:spacing w:before="60" w:after="0" w:line="276" w:lineRule="auto"/>
        <w:ind w:left="1276"/>
        <w:contextualSpacing w:val="0"/>
        <w:jc w:val="both"/>
        <w:rPr>
          <w:rFonts w:ascii="Bookman Old Style" w:hAnsi="Bookman Old Style" w:cs="Arial"/>
          <w:sz w:val="24"/>
          <w:szCs w:val="24"/>
        </w:rPr>
      </w:pPr>
      <w:r w:rsidRPr="008379CA">
        <w:rPr>
          <w:rFonts w:ascii="Bookman Old Style" w:hAnsi="Bookman Old Style" w:cs="Arial"/>
          <w:sz w:val="24"/>
          <w:szCs w:val="24"/>
        </w:rPr>
        <w:t>Selanjutnya,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penetapan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besaran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standar</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satuan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harga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untuk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tenaga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kesehatan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berpedoman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pada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upah</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minimum</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yang</w:t>
      </w:r>
      <w:r w:rsidR="00A954D0" w:rsidRPr="008379CA">
        <w:rPr>
          <w:rFonts w:ascii="Bookman Old Style" w:hAnsi="Bookman Old Style" w:cs="Arial"/>
          <w:sz w:val="24"/>
          <w:szCs w:val="24"/>
        </w:rPr>
        <w:t xml:space="preserve"> </w:t>
      </w:r>
      <w:r w:rsidRPr="008379CA">
        <w:rPr>
          <w:rFonts w:ascii="Bookman Old Style" w:hAnsi="Bookman Old Style" w:cs="Gill Sans Light (Arabid)"/>
          <w:bCs/>
          <w:sz w:val="24"/>
          <w:szCs w:val="24"/>
          <w:lang w:val="id-ID" w:eastAsia="id-ID"/>
        </w:rPr>
        <w:t>ditetapkan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oleh</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lang w:val="id-ID"/>
        </w:rPr>
        <w:t>Gubernur</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sebagaimana</w:t>
      </w:r>
      <w:r w:rsidR="00A954D0" w:rsidRPr="008379CA">
        <w:rPr>
          <w:rFonts w:ascii="Bookman Old Style" w:hAnsi="Bookman Old Style" w:cs="Arial"/>
          <w:sz w:val="24"/>
          <w:szCs w:val="24"/>
          <w:lang w:val="id-ID"/>
        </w:rPr>
        <w:t xml:space="preserve"> </w:t>
      </w:r>
      <w:r w:rsidRPr="008379CA">
        <w:rPr>
          <w:rFonts w:ascii="Bookman Old Style" w:hAnsi="Bookman Old Style" w:cs="Arial"/>
          <w:sz w:val="24"/>
          <w:szCs w:val="24"/>
          <w:lang w:val="id-ID"/>
        </w:rPr>
        <w:t>maksud</w:t>
      </w:r>
      <w:r w:rsidR="00A954D0" w:rsidRPr="008379CA">
        <w:rPr>
          <w:rFonts w:ascii="Bookman Old Style" w:hAnsi="Bookman Old Style" w:cs="Arial"/>
          <w:sz w:val="24"/>
          <w:szCs w:val="24"/>
          <w:lang w:val="id-ID"/>
        </w:rPr>
        <w:t xml:space="preserve"> </w:t>
      </w:r>
      <w:r w:rsidRPr="008379CA">
        <w:rPr>
          <w:rFonts w:ascii="Bookman Old Style" w:hAnsi="Bookman Old Style"/>
          <w:sz w:val="24"/>
          <w:szCs w:val="24"/>
        </w:rPr>
        <w:t>Peraturan</w:t>
      </w:r>
      <w:r w:rsidR="00A954D0" w:rsidRPr="008379CA">
        <w:rPr>
          <w:rFonts w:ascii="Bookman Old Style" w:hAnsi="Bookman Old Style"/>
          <w:sz w:val="24"/>
          <w:szCs w:val="24"/>
        </w:rPr>
        <w:t xml:space="preserve"> </w:t>
      </w:r>
      <w:r w:rsidRPr="008379CA">
        <w:rPr>
          <w:rFonts w:ascii="Bookman Old Style" w:hAnsi="Bookman Old Style"/>
          <w:sz w:val="24"/>
          <w:szCs w:val="24"/>
        </w:rPr>
        <w:t>Pemerintah</w:t>
      </w:r>
      <w:r w:rsidR="00A954D0" w:rsidRPr="008379CA">
        <w:rPr>
          <w:rFonts w:ascii="Bookman Old Style" w:hAnsi="Bookman Old Style"/>
          <w:sz w:val="24"/>
          <w:szCs w:val="24"/>
        </w:rPr>
        <w:t xml:space="preserve"> </w:t>
      </w:r>
      <w:r w:rsidRPr="008379CA">
        <w:rPr>
          <w:rFonts w:ascii="Bookman Old Style" w:hAnsi="Bookman Old Style"/>
          <w:sz w:val="24"/>
          <w:szCs w:val="24"/>
        </w:rPr>
        <w:t>Nomor</w:t>
      </w:r>
      <w:r w:rsidR="00A954D0" w:rsidRPr="008379CA">
        <w:rPr>
          <w:rFonts w:ascii="Bookman Old Style" w:hAnsi="Bookman Old Style"/>
          <w:sz w:val="24"/>
          <w:szCs w:val="24"/>
        </w:rPr>
        <w:t xml:space="preserve"> </w:t>
      </w:r>
      <w:r w:rsidRPr="008379CA">
        <w:rPr>
          <w:rFonts w:ascii="Bookman Old Style" w:hAnsi="Bookman Old Style"/>
          <w:sz w:val="24"/>
          <w:szCs w:val="24"/>
        </w:rPr>
        <w:t>36</w:t>
      </w:r>
      <w:r w:rsidR="00A954D0" w:rsidRPr="008379CA">
        <w:rPr>
          <w:rFonts w:ascii="Bookman Old Style" w:hAnsi="Bookman Old Style"/>
          <w:sz w:val="24"/>
          <w:szCs w:val="24"/>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rPr>
        <w:t>2021</w:t>
      </w:r>
      <w:r w:rsidR="00A954D0" w:rsidRPr="008379CA">
        <w:rPr>
          <w:rFonts w:ascii="Bookman Old Style" w:hAnsi="Bookman Old Style"/>
          <w:sz w:val="24"/>
          <w:szCs w:val="24"/>
        </w:rPr>
        <w:t xml:space="preserve"> </w:t>
      </w:r>
      <w:r w:rsidRPr="008379CA">
        <w:rPr>
          <w:rFonts w:ascii="Bookman Old Style" w:hAnsi="Bookman Old Style"/>
          <w:sz w:val="24"/>
          <w:szCs w:val="24"/>
        </w:rPr>
        <w:t>tentang</w:t>
      </w:r>
      <w:r w:rsidR="00A954D0" w:rsidRPr="008379CA">
        <w:rPr>
          <w:rFonts w:ascii="Bookman Old Style" w:hAnsi="Bookman Old Style"/>
          <w:sz w:val="24"/>
          <w:szCs w:val="24"/>
        </w:rPr>
        <w:t xml:space="preserve"> </w:t>
      </w:r>
      <w:r w:rsidRPr="008379CA">
        <w:rPr>
          <w:rFonts w:ascii="Bookman Old Style" w:hAnsi="Bookman Old Style"/>
          <w:sz w:val="24"/>
          <w:szCs w:val="24"/>
        </w:rPr>
        <w:t>Pengupahan</w:t>
      </w:r>
      <w:r w:rsidR="00A954D0" w:rsidRPr="008379CA">
        <w:rPr>
          <w:rFonts w:ascii="Bookman Old Style" w:hAnsi="Bookman Old Style"/>
          <w:sz w:val="24"/>
          <w:szCs w:val="24"/>
        </w:rPr>
        <w:t xml:space="preserve"> </w:t>
      </w:r>
      <w:r w:rsidRPr="008379CA">
        <w:rPr>
          <w:rFonts w:ascii="Bookman Old Style" w:hAnsi="Bookman Old Style"/>
          <w:sz w:val="24"/>
          <w:szCs w:val="24"/>
          <w:lang w:val="id-ID"/>
        </w:rPr>
        <w:t>sebagaimana</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telah</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diubah</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dengan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rPr>
        <w:t>Peraturan</w:t>
      </w:r>
      <w:r w:rsidR="00A954D0" w:rsidRPr="008379CA">
        <w:rPr>
          <w:rFonts w:ascii="Bookman Old Style" w:hAnsi="Bookman Old Style"/>
          <w:sz w:val="24"/>
          <w:szCs w:val="24"/>
        </w:rPr>
        <w:t xml:space="preserve"> </w:t>
      </w:r>
      <w:r w:rsidRPr="008379CA">
        <w:rPr>
          <w:rFonts w:ascii="Bookman Old Style" w:hAnsi="Bookman Old Style"/>
          <w:sz w:val="24"/>
          <w:szCs w:val="24"/>
        </w:rPr>
        <w:t>Pemerintah</w:t>
      </w:r>
      <w:r w:rsidR="00A954D0" w:rsidRPr="008379CA">
        <w:rPr>
          <w:rFonts w:ascii="Bookman Old Style" w:hAnsi="Bookman Old Style"/>
          <w:sz w:val="24"/>
          <w:szCs w:val="24"/>
        </w:rPr>
        <w:t xml:space="preserve"> </w:t>
      </w:r>
      <w:r w:rsidRPr="008379CA">
        <w:rPr>
          <w:rFonts w:ascii="Bookman Old Style" w:hAnsi="Bookman Old Style"/>
          <w:sz w:val="24"/>
          <w:szCs w:val="24"/>
        </w:rPr>
        <w:t>Nomor</w:t>
      </w:r>
      <w:r w:rsidR="00A954D0" w:rsidRPr="008379CA">
        <w:rPr>
          <w:rFonts w:ascii="Bookman Old Style" w:hAnsi="Bookman Old Style"/>
          <w:sz w:val="24"/>
          <w:szCs w:val="24"/>
        </w:rPr>
        <w:t xml:space="preserve"> </w:t>
      </w:r>
      <w:r w:rsidRPr="008379CA">
        <w:rPr>
          <w:rFonts w:ascii="Bookman Old Style" w:hAnsi="Bookman Old Style"/>
          <w:sz w:val="24"/>
          <w:szCs w:val="24"/>
          <w:lang w:val="id-ID"/>
        </w:rPr>
        <w:t>51</w:t>
      </w:r>
      <w:r w:rsidR="00A954D0" w:rsidRPr="008379CA">
        <w:rPr>
          <w:rFonts w:ascii="Bookman Old Style" w:hAnsi="Bookman Old Style"/>
          <w:sz w:val="24"/>
          <w:szCs w:val="24"/>
          <w:lang w:val="id-ID"/>
        </w:rPr>
        <w:t xml:space="preserve"> </w:t>
      </w:r>
      <w:r w:rsidRPr="008379CA">
        <w:rPr>
          <w:rFonts w:ascii="Bookman Old Style" w:hAnsi="Bookman Old Style"/>
          <w:sz w:val="24"/>
          <w:szCs w:val="24"/>
        </w:rPr>
        <w:t>Tahun</w:t>
      </w:r>
      <w:r w:rsidR="00A954D0" w:rsidRPr="008379CA">
        <w:rPr>
          <w:rFonts w:ascii="Bookman Old Style" w:hAnsi="Bookman Old Style"/>
          <w:sz w:val="24"/>
          <w:szCs w:val="24"/>
        </w:rPr>
        <w:t xml:space="preserve"> </w:t>
      </w:r>
      <w:r w:rsidRPr="008379CA">
        <w:rPr>
          <w:rFonts w:ascii="Bookman Old Style" w:hAnsi="Bookman Old Style"/>
          <w:sz w:val="24"/>
          <w:szCs w:val="24"/>
        </w:rPr>
        <w:t>202</w:t>
      </w:r>
      <w:r w:rsidRPr="008379CA">
        <w:rPr>
          <w:rFonts w:ascii="Bookman Old Style" w:hAnsi="Bookman Old Style"/>
          <w:sz w:val="24"/>
          <w:szCs w:val="24"/>
          <w:lang w:val="id-ID"/>
        </w:rPr>
        <w:t>3</w:t>
      </w:r>
      <w:r w:rsidR="00A954D0" w:rsidRPr="008379CA">
        <w:rPr>
          <w:rFonts w:ascii="Bookman Old Style" w:hAnsi="Bookman Old Style"/>
          <w:sz w:val="24"/>
          <w:szCs w:val="24"/>
        </w:rPr>
        <w:t xml:space="preserve"> </w:t>
      </w:r>
      <w:r w:rsidRPr="008379CA">
        <w:rPr>
          <w:rFonts w:ascii="Bookman Old Style" w:hAnsi="Bookman Old Style"/>
          <w:sz w:val="24"/>
          <w:szCs w:val="24"/>
        </w:rPr>
        <w:t>tentang</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Perubahan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atas</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Peraturan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Pemerintah</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Nomor</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36</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Tahun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2021</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tentang</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Pengupahan</w:t>
      </w:r>
      <w:r w:rsidRPr="008379CA">
        <w:rPr>
          <w:rFonts w:ascii="Bookman Old Style" w:hAnsi="Bookman Old Style" w:cs="Arial"/>
          <w:sz w:val="24"/>
          <w:szCs w:val="24"/>
          <w:lang w:val="id-ID"/>
        </w:rPr>
        <w:t>.</w:t>
      </w:r>
    </w:p>
    <w:p w14:paraId="1E2E931A" w14:textId="055FD8FF" w:rsidR="001E3DC2" w:rsidRPr="008379CA" w:rsidRDefault="001E3DC2" w:rsidP="00C75943">
      <w:pPr>
        <w:pStyle w:val="ListParagraph"/>
        <w:numPr>
          <w:ilvl w:val="0"/>
          <w:numId w:val="99"/>
        </w:numPr>
        <w:spacing w:before="120" w:after="0" w:line="276" w:lineRule="auto"/>
        <w:ind w:left="1276" w:hanging="284"/>
        <w:contextualSpacing w:val="0"/>
        <w:jc w:val="both"/>
        <w:rPr>
          <w:rFonts w:ascii="Bookman Old Style" w:hAnsi="Bookman Old Style" w:cs="Arial"/>
          <w:sz w:val="24"/>
          <w:szCs w:val="24"/>
        </w:rPr>
      </w:pPr>
      <w:r w:rsidRPr="008379CA">
        <w:rPr>
          <w:rFonts w:ascii="Bookman Old Style" w:hAnsi="Bookman Old Style" w:cs="Arial"/>
          <w:sz w:val="24"/>
          <w:szCs w:val="24"/>
        </w:rPr>
        <w:t>Alokasi</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Anggaran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untuk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Tim</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Penggerak</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Pemberdayaan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dan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Kesejahteraan</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Keluarga</w:t>
      </w:r>
      <w:r w:rsidR="00A954D0" w:rsidRPr="008379CA">
        <w:rPr>
          <w:rFonts w:ascii="Bookman Old Style" w:hAnsi="Bookman Old Style" w:cs="Arial"/>
          <w:sz w:val="24"/>
          <w:szCs w:val="24"/>
        </w:rPr>
        <w:t xml:space="preserve"> </w:t>
      </w:r>
      <w:r w:rsidRPr="008379CA">
        <w:rPr>
          <w:rFonts w:ascii="Bookman Old Style" w:hAnsi="Bookman Old Style" w:cs="Arial"/>
          <w:sz w:val="24"/>
          <w:szCs w:val="24"/>
        </w:rPr>
        <w:t>(TP-PKK)</w:t>
      </w:r>
      <w:r w:rsidR="00A954D0" w:rsidRPr="008379CA">
        <w:rPr>
          <w:rFonts w:ascii="Bookman Old Style" w:hAnsi="Bookman Old Style" w:cs="Arial"/>
          <w:sz w:val="24"/>
          <w:szCs w:val="24"/>
        </w:rPr>
        <w:t xml:space="preserve"> </w:t>
      </w:r>
    </w:p>
    <w:p w14:paraId="36296A66" w14:textId="6315C4BC" w:rsidR="00BA28DE" w:rsidRDefault="00BA28DE" w:rsidP="008379CA">
      <w:pPr>
        <w:pStyle w:val="ListParagraph"/>
        <w:spacing w:before="60" w:after="0" w:line="276" w:lineRule="auto"/>
        <w:ind w:left="1276"/>
        <w:contextualSpacing w:val="0"/>
        <w:jc w:val="both"/>
        <w:rPr>
          <w:rFonts w:ascii="Bookman Old Style" w:hAnsi="Bookman Old Style"/>
          <w:sz w:val="24"/>
          <w:szCs w:val="24"/>
          <w:lang w:val="en-US"/>
        </w:rPr>
      </w:pPr>
      <w:r w:rsidRPr="008379CA">
        <w:rPr>
          <w:rFonts w:ascii="Bookman Old Style" w:hAnsi="Bookman Old Style"/>
          <w:sz w:val="24"/>
          <w:szCs w:val="24"/>
          <w:lang w:val="id-ID"/>
        </w:rPr>
        <w:t>Penyediaan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anggaran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untuk</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mendukung</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pelaksanaan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tugas</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dan</w:t>
      </w:r>
      <w:r w:rsidR="00A954D0" w:rsidRPr="008379CA">
        <w:rPr>
          <w:rFonts w:ascii="Bookman Old Style" w:hAnsi="Bookman Old Style"/>
          <w:sz w:val="24"/>
          <w:szCs w:val="24"/>
          <w:lang w:val="id-ID"/>
        </w:rPr>
        <w:t xml:space="preserve"> </w:t>
      </w:r>
      <w:r w:rsidRPr="008379CA">
        <w:rPr>
          <w:rFonts w:ascii="Bookman Old Style" w:hAnsi="Bookman Old Style" w:cs="Arial"/>
          <w:sz w:val="24"/>
          <w:szCs w:val="24"/>
        </w:rPr>
        <w:t>fungsi</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Tim</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Penggerak</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Pemberdayaan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Kesejahteraan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Keluarga</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(TP-PKK)</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en-US"/>
        </w:rPr>
        <w:t>Rp9.244.462.600,00</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atau</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0,16</w:t>
      </w:r>
      <w:r w:rsidRPr="008379CA">
        <w:rPr>
          <w:rFonts w:ascii="Bookman Old Style" w:hAnsi="Bookman Old Style"/>
          <w:sz w:val="24"/>
          <w:szCs w:val="24"/>
          <w:lang w:val="id-ID"/>
        </w:rPr>
        <w:t>%</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dari</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total</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belanja</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daerah</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dalam</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Rancangan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Peraturan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Daerah</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fi-FI"/>
        </w:rPr>
        <w:t>Kota</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fi-FI"/>
        </w:rPr>
        <w:t>Tangerang</w:t>
      </w:r>
      <w:r w:rsidR="00A954D0" w:rsidRPr="008379CA">
        <w:rPr>
          <w:rFonts w:ascii="Bookman Old Style" w:hAnsi="Bookman Old Style"/>
          <w:sz w:val="24"/>
          <w:szCs w:val="24"/>
          <w:lang w:val="fi-FI"/>
        </w:rPr>
        <w:t xml:space="preserve"> </w:t>
      </w:r>
      <w:r w:rsidRPr="008379CA">
        <w:rPr>
          <w:rFonts w:ascii="Bookman Old Style" w:hAnsi="Bookman Old Style"/>
          <w:sz w:val="24"/>
          <w:szCs w:val="24"/>
          <w:lang w:val="id-ID"/>
        </w:rPr>
        <w:t>tentang</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APBD</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Tahun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Anggaran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2025,</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yang</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tercantum</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pada</w:t>
      </w:r>
      <w:r w:rsidRPr="008379CA">
        <w:rPr>
          <w:rFonts w:ascii="Bookman Old Style" w:hAnsi="Bookman Old Style"/>
          <w:sz w:val="24"/>
          <w:szCs w:val="24"/>
          <w:lang w:val="en-US"/>
        </w:rPr>
        <w:t>:</w:t>
      </w:r>
    </w:p>
    <w:p w14:paraId="011BE252" w14:textId="77777777" w:rsidR="000D1CC2" w:rsidRDefault="000D1CC2" w:rsidP="008379CA">
      <w:pPr>
        <w:pStyle w:val="ListParagraph"/>
        <w:spacing w:before="60" w:after="0" w:line="276" w:lineRule="auto"/>
        <w:ind w:left="1276"/>
        <w:contextualSpacing w:val="0"/>
        <w:jc w:val="both"/>
        <w:rPr>
          <w:rFonts w:ascii="Bookman Old Style" w:hAnsi="Bookman Old Style"/>
          <w:sz w:val="24"/>
          <w:szCs w:val="24"/>
          <w:lang w:val="en-US"/>
        </w:rPr>
      </w:pPr>
    </w:p>
    <w:p w14:paraId="38C57C6A" w14:textId="77777777" w:rsidR="000D1CC2" w:rsidRPr="008379CA" w:rsidRDefault="000D1CC2" w:rsidP="008379CA">
      <w:pPr>
        <w:pStyle w:val="ListParagraph"/>
        <w:spacing w:before="60" w:after="0" w:line="276" w:lineRule="auto"/>
        <w:ind w:left="1276"/>
        <w:contextualSpacing w:val="0"/>
        <w:jc w:val="both"/>
        <w:rPr>
          <w:rFonts w:ascii="Bookman Old Style" w:hAnsi="Bookman Old Style"/>
          <w:sz w:val="24"/>
          <w:szCs w:val="24"/>
          <w:lang w:val="en-US"/>
        </w:rPr>
      </w:pPr>
    </w:p>
    <w:p w14:paraId="6DE39B60" w14:textId="1AFBEC07" w:rsidR="00BA28DE" w:rsidRPr="008379CA" w:rsidRDefault="00BA28DE" w:rsidP="008379CA">
      <w:pPr>
        <w:pStyle w:val="ListParagraph"/>
        <w:numPr>
          <w:ilvl w:val="0"/>
          <w:numId w:val="240"/>
        </w:numPr>
        <w:spacing w:before="60" w:line="276" w:lineRule="auto"/>
        <w:ind w:left="1701" w:hanging="425"/>
        <w:jc w:val="both"/>
        <w:rPr>
          <w:rFonts w:ascii="Bookman Old Style" w:hAnsi="Bookman Old Style"/>
          <w:sz w:val="24"/>
          <w:szCs w:val="24"/>
          <w:lang w:val="en-US"/>
        </w:rPr>
      </w:pPr>
      <w:r w:rsidRPr="008379CA">
        <w:rPr>
          <w:rFonts w:ascii="Bookman Old Style" w:hAnsi="Bookman Old Style"/>
          <w:sz w:val="24"/>
          <w:szCs w:val="24"/>
          <w:lang w:val="en-US"/>
        </w:rPr>
        <w:lastRenderedPageBreak/>
        <w:t>Kecamatan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Benda,</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Program</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Penunjang</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Urusan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Pemerintahan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Daerah</w:t>
      </w:r>
      <w:r w:rsidR="00A954D0" w:rsidRPr="008379CA">
        <w:rPr>
          <w:rFonts w:ascii="Bookman Old Style" w:hAnsi="Bookman Old Style"/>
          <w:sz w:val="24"/>
          <w:szCs w:val="24"/>
          <w:lang w:val="en-US"/>
        </w:rPr>
        <w:t xml:space="preserve"> </w:t>
      </w:r>
      <w:r w:rsidR="00172E1C" w:rsidRPr="008379CA">
        <w:rPr>
          <w:rFonts w:ascii="Bookman Old Style" w:hAnsi="Bookman Old Style"/>
          <w:sz w:val="24"/>
          <w:szCs w:val="24"/>
          <w:lang w:val="en-US"/>
        </w:rPr>
        <w:t>Kabupaten/Kota</w:t>
      </w:r>
      <w:r w:rsidRPr="008379CA">
        <w:rPr>
          <w:rFonts w:ascii="Bookman Old Style" w:hAnsi="Bookman Old Style"/>
          <w:sz w:val="24"/>
          <w:szCs w:val="24"/>
          <w:lang w:val="en-US"/>
        </w:rPr>
        <w:t>,</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Kegiatan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Administrasi</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Umum</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Perangkat</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Daerah,</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Sub</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Kegiatan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Penyediaan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Bahan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Logistik</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Kantor</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Rp68.280.000,00;</w:t>
      </w:r>
    </w:p>
    <w:p w14:paraId="509692DA" w14:textId="339F4E4B" w:rsidR="00BA28DE" w:rsidRPr="008379CA" w:rsidRDefault="00BA28DE" w:rsidP="008379CA">
      <w:pPr>
        <w:pStyle w:val="ListParagraph"/>
        <w:numPr>
          <w:ilvl w:val="0"/>
          <w:numId w:val="240"/>
        </w:numPr>
        <w:spacing w:before="60" w:line="276" w:lineRule="auto"/>
        <w:ind w:left="1701" w:hanging="425"/>
        <w:jc w:val="both"/>
        <w:rPr>
          <w:rFonts w:ascii="Bookman Old Style" w:hAnsi="Bookman Old Style"/>
          <w:sz w:val="24"/>
          <w:szCs w:val="24"/>
          <w:lang w:val="sv-FI"/>
        </w:rPr>
      </w:pPr>
      <w:r w:rsidRPr="008379CA">
        <w:rPr>
          <w:rFonts w:ascii="Bookman Old Style" w:hAnsi="Bookman Old Style"/>
          <w:sz w:val="24"/>
          <w:szCs w:val="24"/>
          <w:lang w:val="sv-FI"/>
        </w:rPr>
        <w:t>Kecamatan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Cibodas,</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yang</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dialokasikan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pada:</w:t>
      </w:r>
    </w:p>
    <w:p w14:paraId="3B8C8A17" w14:textId="16C3FEE8" w:rsidR="00BA28DE" w:rsidRPr="008379CA" w:rsidRDefault="00BA28DE" w:rsidP="008379CA">
      <w:pPr>
        <w:pStyle w:val="ListParagraph"/>
        <w:numPr>
          <w:ilvl w:val="0"/>
          <w:numId w:val="243"/>
        </w:numPr>
        <w:spacing w:before="60" w:line="276" w:lineRule="auto"/>
        <w:ind w:hanging="579"/>
        <w:jc w:val="both"/>
        <w:rPr>
          <w:rFonts w:ascii="Bookman Old Style" w:hAnsi="Bookman Old Style"/>
          <w:sz w:val="24"/>
          <w:szCs w:val="24"/>
          <w:lang w:val="sv-FI"/>
        </w:rPr>
      </w:pPr>
      <w:r w:rsidRPr="008379CA">
        <w:rPr>
          <w:rFonts w:ascii="Bookman Old Style" w:hAnsi="Bookman Old Style"/>
          <w:sz w:val="24"/>
          <w:szCs w:val="24"/>
          <w:lang w:val="sv-FI"/>
        </w:rPr>
        <w:t>Program</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Pemberdayaan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Lembaga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Kemasyarakatan,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Lembaga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Adat</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Masyarakat</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Hukum</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Adat,</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Kegiatan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Pemberdayaan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Lembaga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Kemasyarakatan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yang</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Bergerak</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Bidang</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Pemberdayaan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Desa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Lembaga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Adat</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Tingkat</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Daerah</w:t>
      </w:r>
      <w:r w:rsidR="00A954D0" w:rsidRPr="008379CA">
        <w:rPr>
          <w:rFonts w:ascii="Bookman Old Style" w:hAnsi="Bookman Old Style"/>
          <w:sz w:val="24"/>
          <w:szCs w:val="24"/>
          <w:lang w:val="sv-FI"/>
        </w:rPr>
        <w:t xml:space="preserve"> </w:t>
      </w:r>
      <w:r w:rsidR="00172E1C" w:rsidRPr="008379CA">
        <w:rPr>
          <w:rFonts w:ascii="Bookman Old Style" w:hAnsi="Bookman Old Style"/>
          <w:sz w:val="24"/>
          <w:szCs w:val="24"/>
          <w:lang w:val="sv-FI"/>
        </w:rPr>
        <w:t>Kabupaten/Kota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serta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Pemberdayaan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Masyarakat</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Hukum</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Adat</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yang</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Masyarakat</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Pelakunya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Hukum</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Adat</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yang</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Sama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dalam</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Daerah</w:t>
      </w:r>
      <w:r w:rsidR="00A954D0" w:rsidRPr="008379CA">
        <w:rPr>
          <w:rFonts w:ascii="Bookman Old Style" w:hAnsi="Bookman Old Style"/>
          <w:sz w:val="24"/>
          <w:szCs w:val="24"/>
          <w:lang w:val="sv-FI"/>
        </w:rPr>
        <w:t xml:space="preserve"> </w:t>
      </w:r>
      <w:r w:rsidR="00172E1C" w:rsidRPr="008379CA">
        <w:rPr>
          <w:rFonts w:ascii="Bookman Old Style" w:hAnsi="Bookman Old Style"/>
          <w:sz w:val="24"/>
          <w:szCs w:val="24"/>
          <w:lang w:val="sv-FI"/>
        </w:rPr>
        <w:t>Kabupaten/Kota</w:t>
      </w:r>
      <w:r w:rsidRPr="008379CA">
        <w:rPr>
          <w:rFonts w:ascii="Bookman Old Style" w:hAnsi="Bookman Old Style"/>
          <w:sz w:val="24"/>
          <w:szCs w:val="24"/>
          <w:lang w:val="sv-FI"/>
        </w:rPr>
        <w:t>,</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Sub</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Kegiatan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Fasilitasi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Penataan,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Pemberdayaan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Pendayagunaan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Kelembagaan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Lembaga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Kemasyarakatan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Desa/Kelurahan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(RT,</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RW,</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PKK,</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Posyandu,</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LPM,</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Karang</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Taruna),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Lembaga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Adat</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Desa/Kelurahan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Masyarakat</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Hukum</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Adat</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Rp2.884.292.400,00;</w:t>
      </w:r>
    </w:p>
    <w:p w14:paraId="199A667B" w14:textId="2570524B" w:rsidR="00BA28DE" w:rsidRPr="008379CA" w:rsidRDefault="00BA28DE" w:rsidP="008379CA">
      <w:pPr>
        <w:pStyle w:val="ListParagraph"/>
        <w:numPr>
          <w:ilvl w:val="0"/>
          <w:numId w:val="243"/>
        </w:numPr>
        <w:spacing w:before="60" w:line="276" w:lineRule="auto"/>
        <w:ind w:hanging="579"/>
        <w:jc w:val="both"/>
        <w:rPr>
          <w:rFonts w:ascii="Bookman Old Style" w:hAnsi="Bookman Old Style"/>
          <w:sz w:val="24"/>
          <w:szCs w:val="24"/>
          <w:lang w:val="en-US"/>
        </w:rPr>
      </w:pPr>
      <w:r w:rsidRPr="008379CA">
        <w:rPr>
          <w:rFonts w:ascii="Bookman Old Style" w:hAnsi="Bookman Old Style"/>
          <w:sz w:val="24"/>
          <w:szCs w:val="24"/>
          <w:lang w:val="en-US"/>
        </w:rPr>
        <w:t>Program</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Pemberdayaan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Masyarakat</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Desa</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dan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Kelurahan,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Kegiatan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Pemberdayaan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Kelurahan,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Sub</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Kegiatan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Pemberdayaan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Masyarakat</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di</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Kelurahan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Rp4.309.038.600,00;</w:t>
      </w:r>
    </w:p>
    <w:p w14:paraId="535A3328" w14:textId="7725FA49" w:rsidR="00BA28DE" w:rsidRPr="008379CA" w:rsidRDefault="00BA28DE" w:rsidP="008379CA">
      <w:pPr>
        <w:pStyle w:val="ListParagraph"/>
        <w:numPr>
          <w:ilvl w:val="0"/>
          <w:numId w:val="243"/>
        </w:numPr>
        <w:spacing w:before="60" w:line="276" w:lineRule="auto"/>
        <w:ind w:hanging="579"/>
        <w:jc w:val="both"/>
        <w:rPr>
          <w:rFonts w:ascii="Bookman Old Style" w:hAnsi="Bookman Old Style"/>
          <w:sz w:val="24"/>
          <w:szCs w:val="24"/>
          <w:lang w:val="sv-FI"/>
        </w:rPr>
      </w:pPr>
      <w:r w:rsidRPr="008379CA">
        <w:rPr>
          <w:rFonts w:ascii="Bookman Old Style" w:hAnsi="Bookman Old Style"/>
          <w:sz w:val="24"/>
          <w:szCs w:val="24"/>
          <w:lang w:val="sv-FI"/>
        </w:rPr>
        <w:t>Program</w:t>
      </w:r>
      <w:r w:rsidR="00A954D0" w:rsidRPr="008379CA">
        <w:rPr>
          <w:rFonts w:ascii="Bookman Old Style" w:hAnsi="Bookman Old Style"/>
          <w:sz w:val="24"/>
          <w:szCs w:val="24"/>
          <w:lang w:val="sv-FI"/>
        </w:rPr>
        <w:t xml:space="preserve"> </w:t>
      </w:r>
      <w:r w:rsidR="0048529C" w:rsidRPr="008379CA">
        <w:rPr>
          <w:rFonts w:ascii="Bookman Old Style" w:hAnsi="Bookman Old Style"/>
          <w:sz w:val="24"/>
          <w:szCs w:val="24"/>
          <w:lang w:val="sv-FI"/>
        </w:rPr>
        <w:t>Penunjang</w:t>
      </w:r>
      <w:r w:rsidR="00A954D0" w:rsidRPr="008379CA">
        <w:rPr>
          <w:rFonts w:ascii="Bookman Old Style" w:hAnsi="Bookman Old Style"/>
          <w:sz w:val="24"/>
          <w:szCs w:val="24"/>
          <w:lang w:val="sv-FI"/>
        </w:rPr>
        <w:t xml:space="preserve"> </w:t>
      </w:r>
      <w:r w:rsidR="0048529C" w:rsidRPr="008379CA">
        <w:rPr>
          <w:rFonts w:ascii="Bookman Old Style" w:hAnsi="Bookman Old Style"/>
          <w:sz w:val="24"/>
          <w:szCs w:val="24"/>
          <w:lang w:val="sv-FI"/>
        </w:rPr>
        <w:t>Urusan</w:t>
      </w:r>
      <w:r w:rsidR="00A954D0" w:rsidRPr="008379CA">
        <w:rPr>
          <w:rFonts w:ascii="Bookman Old Style" w:hAnsi="Bookman Old Style"/>
          <w:sz w:val="24"/>
          <w:szCs w:val="24"/>
          <w:lang w:val="sv-FI"/>
        </w:rPr>
        <w:t xml:space="preserve"> </w:t>
      </w:r>
      <w:r w:rsidR="0048529C" w:rsidRPr="008379CA">
        <w:rPr>
          <w:rFonts w:ascii="Bookman Old Style" w:hAnsi="Bookman Old Style"/>
          <w:sz w:val="24"/>
          <w:szCs w:val="24"/>
          <w:lang w:val="sv-FI"/>
        </w:rPr>
        <w:t>Pemerintahan</w:t>
      </w:r>
      <w:r w:rsidR="00A954D0" w:rsidRPr="008379CA">
        <w:rPr>
          <w:rFonts w:ascii="Bookman Old Style" w:hAnsi="Bookman Old Style"/>
          <w:sz w:val="24"/>
          <w:szCs w:val="24"/>
          <w:lang w:val="sv-FI"/>
        </w:rPr>
        <w:t xml:space="preserve"> </w:t>
      </w:r>
      <w:r w:rsidR="0048529C" w:rsidRPr="008379CA">
        <w:rPr>
          <w:rFonts w:ascii="Bookman Old Style" w:hAnsi="Bookman Old Style"/>
          <w:sz w:val="24"/>
          <w:szCs w:val="24"/>
          <w:lang w:val="sv-FI"/>
        </w:rPr>
        <w:t>Daerah</w:t>
      </w:r>
      <w:r w:rsidR="00A954D0" w:rsidRPr="008379CA">
        <w:rPr>
          <w:rFonts w:ascii="Bookman Old Style" w:hAnsi="Bookman Old Style"/>
          <w:sz w:val="24"/>
          <w:szCs w:val="24"/>
          <w:lang w:val="sv-FI"/>
        </w:rPr>
        <w:t xml:space="preserve"> </w:t>
      </w:r>
      <w:r w:rsidR="0048529C" w:rsidRPr="008379CA">
        <w:rPr>
          <w:rFonts w:ascii="Bookman Old Style" w:hAnsi="Bookman Old Style"/>
          <w:sz w:val="24"/>
          <w:szCs w:val="24"/>
          <w:lang w:val="sv-FI"/>
        </w:rPr>
        <w:t>Kabupaten/Kota,</w:t>
      </w:r>
      <w:r w:rsidR="00A954D0" w:rsidRPr="008379CA">
        <w:rPr>
          <w:rFonts w:ascii="Bookman Old Style" w:hAnsi="Bookman Old Style"/>
          <w:sz w:val="24"/>
          <w:szCs w:val="24"/>
          <w:lang w:val="sv-FI"/>
        </w:rPr>
        <w:t xml:space="preserve"> </w:t>
      </w:r>
      <w:r w:rsidR="0048529C" w:rsidRPr="008379CA">
        <w:rPr>
          <w:rFonts w:ascii="Bookman Old Style" w:hAnsi="Bookman Old Style"/>
          <w:sz w:val="24"/>
          <w:szCs w:val="24"/>
          <w:lang w:val="sv-FI"/>
        </w:rPr>
        <w:t>Kegiatan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Administrasi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Umum</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Perangkat</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Daerah,</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Sub</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Kegiatan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Penyediaan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Bahan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Logistik</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Kantor,</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Rp10.500.000,00</w:t>
      </w:r>
      <w:r w:rsidR="008379CA" w:rsidRPr="008379CA">
        <w:rPr>
          <w:rFonts w:ascii="Bookman Old Style" w:hAnsi="Bookman Old Style"/>
          <w:sz w:val="24"/>
          <w:szCs w:val="24"/>
          <w:lang w:val="sv-FI"/>
        </w:rPr>
        <w:t>.</w:t>
      </w:r>
    </w:p>
    <w:p w14:paraId="034E1295" w14:textId="0A052042" w:rsidR="00BA28DE" w:rsidRPr="008379CA" w:rsidRDefault="00BA28DE" w:rsidP="008379CA">
      <w:pPr>
        <w:pStyle w:val="ListParagraph"/>
        <w:numPr>
          <w:ilvl w:val="0"/>
          <w:numId w:val="240"/>
        </w:numPr>
        <w:spacing w:before="60" w:line="276" w:lineRule="auto"/>
        <w:ind w:left="1701" w:hanging="425"/>
        <w:jc w:val="both"/>
        <w:rPr>
          <w:rFonts w:ascii="Bookman Old Style" w:hAnsi="Bookman Old Style"/>
          <w:sz w:val="24"/>
          <w:szCs w:val="24"/>
          <w:lang w:val="sv-FI"/>
        </w:rPr>
      </w:pPr>
      <w:r w:rsidRPr="008379CA">
        <w:rPr>
          <w:rFonts w:ascii="Bookman Old Style" w:hAnsi="Bookman Old Style"/>
          <w:sz w:val="24"/>
          <w:szCs w:val="24"/>
          <w:lang w:val="sv-FI"/>
        </w:rPr>
        <w:t>Dinas</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Pemberdayaan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Perempuan,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Perlindungan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Anak,</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Pengendalian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Penduduk</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Keluarga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Berencana,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Program</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Pengarusutamaan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Gender</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Pemberdayaan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Perempuan,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Kegiatan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Penguatan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Pengembangan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Lembaga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Penyedia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Layanan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Pemberdayaan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Perempuan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Kewenangan</w:t>
      </w:r>
      <w:r w:rsidR="00A954D0" w:rsidRPr="008379CA">
        <w:rPr>
          <w:rFonts w:ascii="Bookman Old Style" w:hAnsi="Bookman Old Style"/>
          <w:sz w:val="24"/>
          <w:szCs w:val="24"/>
          <w:lang w:val="sv-FI"/>
        </w:rPr>
        <w:t xml:space="preserve"> </w:t>
      </w:r>
      <w:r w:rsidR="00172E1C" w:rsidRPr="008379CA">
        <w:rPr>
          <w:rFonts w:ascii="Bookman Old Style" w:hAnsi="Bookman Old Style"/>
          <w:sz w:val="24"/>
          <w:szCs w:val="24"/>
          <w:lang w:val="sv-FI"/>
        </w:rPr>
        <w:t>Kabupaten/Kota</w:t>
      </w:r>
      <w:r w:rsidRPr="008379CA">
        <w:rPr>
          <w:rFonts w:ascii="Bookman Old Style" w:hAnsi="Bookman Old Style"/>
          <w:sz w:val="24"/>
          <w:szCs w:val="24"/>
          <w:lang w:val="sv-FI"/>
        </w:rPr>
        <w:t>,</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Sub</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Kegiatan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Advokasi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Kebijakan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Pendampingan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kepada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Lembaga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Penyedia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Layanan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Pemberdayaan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Perempuan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Kewenangan</w:t>
      </w:r>
      <w:r w:rsidR="00A954D0" w:rsidRPr="008379CA">
        <w:rPr>
          <w:rFonts w:ascii="Bookman Old Style" w:hAnsi="Bookman Old Style"/>
          <w:sz w:val="24"/>
          <w:szCs w:val="24"/>
          <w:lang w:val="sv-FI"/>
        </w:rPr>
        <w:t xml:space="preserve"> </w:t>
      </w:r>
      <w:r w:rsidR="00172E1C" w:rsidRPr="008379CA">
        <w:rPr>
          <w:rFonts w:ascii="Bookman Old Style" w:hAnsi="Bookman Old Style"/>
          <w:sz w:val="24"/>
          <w:szCs w:val="24"/>
          <w:lang w:val="sv-FI"/>
        </w:rPr>
        <w:t>Kabupaten/Kota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Rp1.972.351.600,00</w:t>
      </w:r>
      <w:r w:rsidR="00421885" w:rsidRPr="008379CA">
        <w:rPr>
          <w:rFonts w:ascii="Bookman Old Style" w:hAnsi="Bookman Old Style"/>
          <w:sz w:val="24"/>
          <w:szCs w:val="24"/>
          <w:lang w:val="sv-FI"/>
        </w:rPr>
        <w:t xml:space="preserve">, </w:t>
      </w:r>
      <w:r w:rsidR="00645FDE" w:rsidRPr="008379CA">
        <w:rPr>
          <w:rFonts w:ascii="Bookman Old Style" w:hAnsi="Bookman Old Style"/>
          <w:sz w:val="24"/>
          <w:szCs w:val="24"/>
          <w:lang w:val="sv-FI"/>
        </w:rPr>
        <w:t xml:space="preserve">Yang antara lain </w:t>
      </w:r>
      <w:r w:rsidR="00421885" w:rsidRPr="008379CA">
        <w:rPr>
          <w:rFonts w:ascii="Bookman Old Style" w:hAnsi="Bookman Old Style"/>
          <w:sz w:val="24"/>
          <w:szCs w:val="24"/>
          <w:lang w:val="sv-FI"/>
        </w:rPr>
        <w:t xml:space="preserve">diuraikan dalam </w:t>
      </w:r>
      <w:r w:rsidRPr="008379CA">
        <w:rPr>
          <w:rFonts w:ascii="Bookman Old Style" w:hAnsi="Bookman Old Style"/>
          <w:sz w:val="24"/>
          <w:szCs w:val="24"/>
          <w:lang w:val="sv-FI"/>
        </w:rPr>
        <w:t>Sub</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Rincian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Objek</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Belanja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sebagai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berikut:</w:t>
      </w:r>
    </w:p>
    <w:p w14:paraId="652B8C6F" w14:textId="71BA381B" w:rsidR="00BA28DE" w:rsidRPr="008379CA" w:rsidRDefault="00BA28DE" w:rsidP="008379CA">
      <w:pPr>
        <w:pStyle w:val="ListParagraph"/>
        <w:numPr>
          <w:ilvl w:val="0"/>
          <w:numId w:val="242"/>
        </w:numPr>
        <w:spacing w:before="60" w:line="276" w:lineRule="auto"/>
        <w:ind w:left="2268" w:hanging="567"/>
        <w:jc w:val="both"/>
        <w:rPr>
          <w:rFonts w:ascii="Bookman Old Style" w:hAnsi="Bookman Old Style"/>
          <w:sz w:val="24"/>
          <w:szCs w:val="24"/>
          <w:lang w:val="sv-FI"/>
        </w:rPr>
      </w:pPr>
      <w:r w:rsidRPr="008379CA">
        <w:rPr>
          <w:rFonts w:ascii="Bookman Old Style" w:hAnsi="Bookman Old Style"/>
          <w:sz w:val="24"/>
          <w:szCs w:val="24"/>
          <w:lang w:val="sv-FI"/>
        </w:rPr>
        <w:t>Belanja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Alat/Bahan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untuk</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Kegiatan</w:t>
      </w:r>
      <w:r w:rsidR="00A954D0" w:rsidRPr="008379CA">
        <w:rPr>
          <w:rFonts w:ascii="Bookman Old Style" w:hAnsi="Bookman Old Style"/>
          <w:sz w:val="24"/>
          <w:szCs w:val="24"/>
          <w:lang w:val="sv-FI"/>
        </w:rPr>
        <w:t xml:space="preserve"> </w:t>
      </w:r>
      <w:r w:rsidR="00877A06" w:rsidRPr="008379CA">
        <w:rPr>
          <w:rFonts w:ascii="Bookman Old Style" w:hAnsi="Bookman Old Style"/>
          <w:sz w:val="24"/>
          <w:szCs w:val="24"/>
          <w:lang w:val="sv-FI"/>
        </w:rPr>
        <w:t>Kantor-Bahan</w:t>
      </w:r>
      <w:r w:rsidR="00A954D0" w:rsidRPr="008379CA">
        <w:rPr>
          <w:rFonts w:ascii="Bookman Old Style" w:hAnsi="Bookman Old Style"/>
          <w:sz w:val="24"/>
          <w:szCs w:val="24"/>
          <w:lang w:val="sv-FI"/>
        </w:rPr>
        <w:t xml:space="preserve"> </w:t>
      </w:r>
      <w:r w:rsidR="00877A06" w:rsidRPr="008379CA">
        <w:rPr>
          <w:rFonts w:ascii="Bookman Old Style" w:hAnsi="Bookman Old Style"/>
          <w:sz w:val="24"/>
          <w:szCs w:val="24"/>
          <w:lang w:val="sv-FI"/>
        </w:rPr>
        <w:t>Cetak</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Rp52.138.400,00;</w:t>
      </w:r>
    </w:p>
    <w:p w14:paraId="52B761E8" w14:textId="57D9EBC2" w:rsidR="00BA28DE" w:rsidRPr="008379CA" w:rsidRDefault="00BA28DE" w:rsidP="008379CA">
      <w:pPr>
        <w:pStyle w:val="ListParagraph"/>
        <w:numPr>
          <w:ilvl w:val="0"/>
          <w:numId w:val="242"/>
        </w:numPr>
        <w:spacing w:before="60" w:line="276" w:lineRule="auto"/>
        <w:ind w:left="2268" w:hanging="567"/>
        <w:jc w:val="both"/>
        <w:rPr>
          <w:rFonts w:ascii="Bookman Old Style" w:hAnsi="Bookman Old Style"/>
          <w:sz w:val="24"/>
          <w:szCs w:val="24"/>
          <w:lang w:val="sv-FI"/>
        </w:rPr>
      </w:pPr>
      <w:r w:rsidRPr="008379CA">
        <w:rPr>
          <w:rFonts w:ascii="Bookman Old Style" w:hAnsi="Bookman Old Style"/>
          <w:sz w:val="24"/>
          <w:szCs w:val="24"/>
          <w:lang w:val="sv-FI"/>
        </w:rPr>
        <w:t>Belanja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Alat/Bahan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untuk</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Kegiatan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Kantor-</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Suvenir/Cendera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Mata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Rp169.280.000,00;</w:t>
      </w:r>
    </w:p>
    <w:p w14:paraId="6033DB1E" w14:textId="76FEF4E0" w:rsidR="00BA28DE" w:rsidRPr="008379CA" w:rsidRDefault="00BA28DE" w:rsidP="008379CA">
      <w:pPr>
        <w:pStyle w:val="ListParagraph"/>
        <w:numPr>
          <w:ilvl w:val="0"/>
          <w:numId w:val="242"/>
        </w:numPr>
        <w:spacing w:before="60" w:line="276" w:lineRule="auto"/>
        <w:ind w:left="2268" w:hanging="567"/>
        <w:jc w:val="both"/>
        <w:rPr>
          <w:rFonts w:ascii="Bookman Old Style" w:hAnsi="Bookman Old Style"/>
          <w:sz w:val="24"/>
          <w:szCs w:val="24"/>
          <w:lang w:val="en-US"/>
        </w:rPr>
      </w:pPr>
      <w:r w:rsidRPr="008379CA">
        <w:rPr>
          <w:rFonts w:ascii="Bookman Old Style" w:hAnsi="Bookman Old Style"/>
          <w:sz w:val="24"/>
          <w:szCs w:val="24"/>
          <w:lang w:val="en-US"/>
        </w:rPr>
        <w:t>Belanja</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Pakaian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Batik</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Tradisional</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Rp96.824.000,00;</w:t>
      </w:r>
    </w:p>
    <w:p w14:paraId="406A05EF" w14:textId="1E85C674" w:rsidR="00BA28DE" w:rsidRPr="008379CA" w:rsidRDefault="00BA28DE" w:rsidP="008379CA">
      <w:pPr>
        <w:pStyle w:val="ListParagraph"/>
        <w:numPr>
          <w:ilvl w:val="0"/>
          <w:numId w:val="242"/>
        </w:numPr>
        <w:spacing w:before="60" w:line="276" w:lineRule="auto"/>
        <w:ind w:left="2268" w:hanging="567"/>
        <w:jc w:val="both"/>
        <w:rPr>
          <w:rFonts w:ascii="Bookman Old Style" w:hAnsi="Bookman Old Style"/>
          <w:sz w:val="24"/>
          <w:szCs w:val="24"/>
          <w:lang w:val="en-US"/>
        </w:rPr>
      </w:pPr>
      <w:r w:rsidRPr="008379CA">
        <w:rPr>
          <w:rFonts w:ascii="Bookman Old Style" w:hAnsi="Bookman Old Style"/>
          <w:sz w:val="24"/>
          <w:szCs w:val="24"/>
          <w:lang w:val="en-US"/>
        </w:rPr>
        <w:t>Honorarium</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Narasumber</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atau</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Pembahas,</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Moderator,</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Pembawa</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Acara,</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dan</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Panitia</w:t>
      </w:r>
      <w:r w:rsidR="00A954D0" w:rsidRPr="008379CA">
        <w:rPr>
          <w:rFonts w:ascii="Bookman Old Style" w:hAnsi="Bookman Old Style"/>
          <w:sz w:val="24"/>
          <w:szCs w:val="24"/>
          <w:lang w:val="en-US"/>
        </w:rPr>
        <w:t xml:space="preserve"> </w:t>
      </w:r>
      <w:r w:rsidRPr="008379CA">
        <w:rPr>
          <w:rFonts w:ascii="Bookman Old Style" w:hAnsi="Bookman Old Style"/>
          <w:sz w:val="24"/>
          <w:szCs w:val="24"/>
          <w:lang w:val="en-US"/>
        </w:rPr>
        <w:t>Rp253.100.000,00;</w:t>
      </w:r>
    </w:p>
    <w:p w14:paraId="3E727B37" w14:textId="5089FF55" w:rsidR="00BA28DE" w:rsidRPr="008379CA" w:rsidRDefault="00BA28DE" w:rsidP="008379CA">
      <w:pPr>
        <w:pStyle w:val="ListParagraph"/>
        <w:numPr>
          <w:ilvl w:val="0"/>
          <w:numId w:val="242"/>
        </w:numPr>
        <w:spacing w:before="60" w:line="276" w:lineRule="auto"/>
        <w:ind w:left="2268" w:hanging="567"/>
        <w:jc w:val="both"/>
        <w:rPr>
          <w:rFonts w:ascii="Bookman Old Style" w:hAnsi="Bookman Old Style"/>
          <w:sz w:val="24"/>
          <w:szCs w:val="24"/>
          <w:lang w:val="sv-FI"/>
        </w:rPr>
      </w:pPr>
      <w:r w:rsidRPr="008379CA">
        <w:rPr>
          <w:rFonts w:ascii="Bookman Old Style" w:hAnsi="Bookman Old Style"/>
          <w:sz w:val="24"/>
          <w:szCs w:val="24"/>
          <w:lang w:val="sv-FI"/>
        </w:rPr>
        <w:t>Honorarium</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Tim</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Pelaksana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Kegiatan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Sekretariat</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Tim</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Pelaksana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Kegiatan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Rp75.000.000,00;</w:t>
      </w:r>
    </w:p>
    <w:p w14:paraId="48EDBB35" w14:textId="66146103" w:rsidR="00BA28DE" w:rsidRPr="008379CA" w:rsidRDefault="00BA28DE" w:rsidP="008379CA">
      <w:pPr>
        <w:pStyle w:val="ListParagraph"/>
        <w:numPr>
          <w:ilvl w:val="0"/>
          <w:numId w:val="242"/>
        </w:numPr>
        <w:spacing w:before="60" w:line="276" w:lineRule="auto"/>
        <w:ind w:left="2268" w:hanging="567"/>
        <w:jc w:val="both"/>
        <w:rPr>
          <w:rFonts w:ascii="Bookman Old Style" w:hAnsi="Bookman Old Style"/>
          <w:sz w:val="24"/>
          <w:szCs w:val="24"/>
          <w:lang w:val="sv-FI"/>
        </w:rPr>
      </w:pPr>
      <w:r w:rsidRPr="008379CA">
        <w:rPr>
          <w:rFonts w:ascii="Bookman Old Style" w:hAnsi="Bookman Old Style"/>
          <w:sz w:val="24"/>
          <w:szCs w:val="24"/>
          <w:lang w:val="sv-FI"/>
        </w:rPr>
        <w:t>Belanja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Jasa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Tenaga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Kesenian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Kebudayaan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Rp20.000.000,00;</w:t>
      </w:r>
    </w:p>
    <w:p w14:paraId="6333AC01" w14:textId="271FBA33" w:rsidR="00BA28DE" w:rsidRPr="008379CA" w:rsidRDefault="00BA28DE" w:rsidP="008379CA">
      <w:pPr>
        <w:pStyle w:val="ListParagraph"/>
        <w:numPr>
          <w:ilvl w:val="0"/>
          <w:numId w:val="242"/>
        </w:numPr>
        <w:spacing w:before="60" w:line="276" w:lineRule="auto"/>
        <w:ind w:left="2268" w:hanging="567"/>
        <w:jc w:val="both"/>
        <w:rPr>
          <w:rFonts w:ascii="Bookman Old Style" w:hAnsi="Bookman Old Style"/>
          <w:sz w:val="24"/>
          <w:szCs w:val="24"/>
          <w:lang w:val="sv-FI"/>
        </w:rPr>
      </w:pPr>
      <w:r w:rsidRPr="008379CA">
        <w:rPr>
          <w:rFonts w:ascii="Bookman Old Style" w:hAnsi="Bookman Old Style"/>
          <w:sz w:val="24"/>
          <w:szCs w:val="24"/>
          <w:lang w:val="sv-FI"/>
        </w:rPr>
        <w:lastRenderedPageBreak/>
        <w:t>Belanja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Jasa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Juri</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Perlombaan/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Pertandingan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Rp62.000.000,00;</w:t>
      </w:r>
    </w:p>
    <w:p w14:paraId="505A94B4" w14:textId="1281837D" w:rsidR="00BA28DE" w:rsidRPr="008379CA" w:rsidRDefault="00BA28DE" w:rsidP="008379CA">
      <w:pPr>
        <w:pStyle w:val="ListParagraph"/>
        <w:numPr>
          <w:ilvl w:val="0"/>
          <w:numId w:val="242"/>
        </w:numPr>
        <w:spacing w:before="60" w:line="276" w:lineRule="auto"/>
        <w:ind w:left="2268" w:hanging="567"/>
        <w:jc w:val="both"/>
        <w:rPr>
          <w:rFonts w:ascii="Bookman Old Style" w:hAnsi="Bookman Old Style"/>
          <w:sz w:val="24"/>
          <w:szCs w:val="24"/>
          <w:lang w:val="sv-FI"/>
        </w:rPr>
      </w:pPr>
      <w:r w:rsidRPr="008379CA">
        <w:rPr>
          <w:rFonts w:ascii="Bookman Old Style" w:hAnsi="Bookman Old Style"/>
          <w:sz w:val="24"/>
          <w:szCs w:val="24"/>
          <w:lang w:val="sv-FI"/>
        </w:rPr>
        <w:t>Belanja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Sewa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Alat</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Kantor</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Lainnya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Rp131.759.200,00;</w:t>
      </w:r>
    </w:p>
    <w:p w14:paraId="3E079E46" w14:textId="34913004" w:rsidR="00BA28DE" w:rsidRPr="008379CA" w:rsidRDefault="00BA28DE" w:rsidP="008379CA">
      <w:pPr>
        <w:pStyle w:val="ListParagraph"/>
        <w:numPr>
          <w:ilvl w:val="0"/>
          <w:numId w:val="242"/>
        </w:numPr>
        <w:spacing w:before="60" w:line="276" w:lineRule="auto"/>
        <w:ind w:left="2268" w:hanging="567"/>
        <w:jc w:val="both"/>
        <w:rPr>
          <w:rFonts w:ascii="Bookman Old Style" w:hAnsi="Bookman Old Style"/>
          <w:sz w:val="24"/>
          <w:szCs w:val="24"/>
          <w:lang w:val="sv-FI"/>
        </w:rPr>
      </w:pPr>
      <w:r w:rsidRPr="008379CA">
        <w:rPr>
          <w:rFonts w:ascii="Bookman Old Style" w:hAnsi="Bookman Old Style"/>
          <w:sz w:val="24"/>
          <w:szCs w:val="24"/>
          <w:lang w:val="sv-FI"/>
        </w:rPr>
        <w:t>Belanja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Perjalanan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Dinas</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Dalam</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Kota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Rp809.250.000,00;</w:t>
      </w:r>
    </w:p>
    <w:p w14:paraId="64B12B2F" w14:textId="4A6AA10B" w:rsidR="005D28F5" w:rsidRPr="008379CA" w:rsidRDefault="00BA28DE" w:rsidP="008379CA">
      <w:pPr>
        <w:pStyle w:val="ListParagraph"/>
        <w:numPr>
          <w:ilvl w:val="0"/>
          <w:numId w:val="242"/>
        </w:numPr>
        <w:spacing w:before="60" w:line="276" w:lineRule="auto"/>
        <w:ind w:left="2268" w:hanging="567"/>
        <w:jc w:val="both"/>
        <w:rPr>
          <w:rFonts w:ascii="Bookman Old Style" w:hAnsi="Bookman Old Style"/>
          <w:sz w:val="24"/>
          <w:szCs w:val="24"/>
          <w:lang w:val="id-ID"/>
        </w:rPr>
      </w:pPr>
      <w:r w:rsidRPr="008379CA">
        <w:rPr>
          <w:rFonts w:ascii="Bookman Old Style" w:hAnsi="Bookman Old Style"/>
          <w:sz w:val="24"/>
          <w:szCs w:val="24"/>
          <w:lang w:val="sv-FI"/>
        </w:rPr>
        <w:t>Belanja</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Hadiah</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yang</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Bersifat</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Perlombaan</w:t>
      </w:r>
      <w:r w:rsidR="00A954D0" w:rsidRPr="008379CA">
        <w:rPr>
          <w:rFonts w:ascii="Bookman Old Style" w:hAnsi="Bookman Old Style"/>
          <w:sz w:val="24"/>
          <w:szCs w:val="24"/>
          <w:lang w:val="sv-FI"/>
        </w:rPr>
        <w:t xml:space="preserve"> </w:t>
      </w:r>
      <w:r w:rsidRPr="008379CA">
        <w:rPr>
          <w:rFonts w:ascii="Bookman Old Style" w:hAnsi="Bookman Old Style"/>
          <w:sz w:val="24"/>
          <w:szCs w:val="24"/>
          <w:lang w:val="sv-FI"/>
        </w:rPr>
        <w:t>Rp303.000.000,00.</w:t>
      </w:r>
    </w:p>
    <w:p w14:paraId="16D9EA5C" w14:textId="4ABCDBD5" w:rsidR="001E3DC2" w:rsidRPr="008379CA" w:rsidRDefault="001E3DC2" w:rsidP="008379CA">
      <w:pPr>
        <w:pStyle w:val="ListParagraph"/>
        <w:spacing w:before="60" w:after="0" w:line="276" w:lineRule="auto"/>
        <w:ind w:left="1276"/>
        <w:contextualSpacing w:val="0"/>
        <w:jc w:val="both"/>
        <w:rPr>
          <w:rFonts w:ascii="Bookman Old Style" w:hAnsi="Bookman Old Style" w:cs="Calibri"/>
          <w:sz w:val="24"/>
          <w:szCs w:val="24"/>
          <w:lang w:val="id-ID"/>
        </w:rPr>
      </w:pPr>
      <w:r w:rsidRPr="008379CA">
        <w:rPr>
          <w:rFonts w:ascii="Bookman Old Style" w:hAnsi="Bookman Old Style"/>
          <w:sz w:val="24"/>
          <w:szCs w:val="24"/>
          <w:lang w:val="id-ID"/>
        </w:rPr>
        <w:t>Dianggarkan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untuk</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mendukung</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pelaksanaan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tugas</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dan</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fungsi</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TP-PKK</w:t>
      </w:r>
      <w:r w:rsidR="00A954D0" w:rsidRPr="008379CA">
        <w:rPr>
          <w:rFonts w:ascii="Bookman Old Style" w:hAnsi="Bookman Old Style"/>
          <w:sz w:val="24"/>
          <w:szCs w:val="24"/>
          <w:lang w:val="id-ID"/>
        </w:rPr>
        <w:t xml:space="preserve"> </w:t>
      </w:r>
      <w:r w:rsidR="00172E1C" w:rsidRPr="008379CA">
        <w:rPr>
          <w:rFonts w:ascii="Bookman Old Style" w:hAnsi="Bookman Old Style"/>
          <w:sz w:val="24"/>
          <w:szCs w:val="24"/>
          <w:lang w:val="id-ID"/>
        </w:rPr>
        <w:t>Kabupaten/Kota</w:t>
      </w:r>
      <w:r w:rsidR="00A954D0" w:rsidRPr="008379CA">
        <w:rPr>
          <w:rFonts w:ascii="Bookman Old Style" w:hAnsi="Bookman Old Style"/>
          <w:sz w:val="24"/>
          <w:szCs w:val="24"/>
          <w:lang w:val="id-ID"/>
        </w:rPr>
        <w:t xml:space="preserve"> </w:t>
      </w:r>
      <w:r w:rsidRPr="008379CA">
        <w:rPr>
          <w:rFonts w:ascii="Bookman Old Style" w:hAnsi="Bookman Old Style"/>
          <w:sz w:val="24"/>
          <w:szCs w:val="24"/>
          <w:lang w:val="id-ID"/>
        </w:rPr>
        <w:t>melalui:</w:t>
      </w:r>
    </w:p>
    <w:p w14:paraId="5D582EC5" w14:textId="19EE9D3D" w:rsidR="009F5DEE" w:rsidRPr="00636C44" w:rsidRDefault="009F5DEE" w:rsidP="008379CA">
      <w:pPr>
        <w:pStyle w:val="ListParagraph"/>
        <w:numPr>
          <w:ilvl w:val="0"/>
          <w:numId w:val="34"/>
        </w:numPr>
        <w:spacing w:before="60" w:after="0" w:line="276" w:lineRule="auto"/>
        <w:ind w:left="1701" w:hanging="425"/>
        <w:contextualSpacing w:val="0"/>
        <w:jc w:val="both"/>
        <w:rPr>
          <w:rFonts w:ascii="Bookman Old Style" w:eastAsia="Bookman Old Style" w:hAnsi="Bookman Old Style" w:cs="Bookman Old Style"/>
          <w:sz w:val="24"/>
          <w:szCs w:val="24"/>
        </w:rPr>
      </w:pPr>
      <w:r w:rsidRPr="008379CA">
        <w:rPr>
          <w:rFonts w:ascii="Bookman Old Style" w:eastAsia="Bookman Old Style" w:hAnsi="Bookman Old Style" w:cs="Bookman Old Style"/>
          <w:sz w:val="24"/>
          <w:szCs w:val="24"/>
          <w:lang w:val="id-ID"/>
        </w:rPr>
        <w:t>U</w:t>
      </w:r>
      <w:r w:rsidRPr="008379CA">
        <w:rPr>
          <w:rFonts w:ascii="Bookman Old Style" w:eastAsia="Bookman Old Style" w:hAnsi="Bookman Old Style" w:cs="Bookman Old Style"/>
          <w:sz w:val="24"/>
          <w:szCs w:val="24"/>
        </w:rPr>
        <w:t>paya</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percepatan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penurunan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i/>
          <w:iCs/>
          <w:sz w:val="24"/>
          <w:szCs w:val="24"/>
        </w:rPr>
        <w:t>stunting</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melalui</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pendampingan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keluarga</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dengan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Pemberian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Makanan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Tambahan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(PMT)</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yang</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dianggarkan</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pada</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SKPD</w:t>
      </w:r>
      <w:r w:rsidR="00A954D0" w:rsidRPr="008379CA">
        <w:rPr>
          <w:rFonts w:ascii="Bookman Old Style" w:eastAsia="Bookman Old Style" w:hAnsi="Bookman Old Style" w:cs="Bookman Old Style"/>
          <w:sz w:val="24"/>
          <w:szCs w:val="24"/>
        </w:rPr>
        <w:t xml:space="preserve"> </w:t>
      </w:r>
      <w:r w:rsidRPr="008379CA">
        <w:rPr>
          <w:rFonts w:ascii="Bookman Old Style" w:eastAsia="Bookman Old Style" w:hAnsi="Bookman Old Style" w:cs="Bookman Old Style"/>
          <w:sz w:val="24"/>
          <w:szCs w:val="24"/>
        </w:rPr>
        <w:t>yang</w:t>
      </w:r>
      <w:r w:rsidR="00A954D0" w:rsidRPr="008379CA">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secara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fungsional</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terkait</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dengan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penanganan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pelayanan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sosial</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dasar</w:t>
      </w:r>
      <w:r w:rsidR="008379CA" w:rsidRPr="008379CA">
        <w:rPr>
          <w:rFonts w:ascii="Bookman Old Style" w:eastAsia="Bookman Old Style" w:hAnsi="Bookman Old Style" w:cs="Bookman Old Style"/>
          <w:sz w:val="24"/>
          <w:szCs w:val="24"/>
          <w:lang w:val="sv-FI"/>
        </w:rPr>
        <w:t>;</w:t>
      </w:r>
    </w:p>
    <w:p w14:paraId="1B07127C" w14:textId="616A2170" w:rsidR="009F5DEE" w:rsidRPr="00636C44" w:rsidRDefault="009F5DEE" w:rsidP="008379CA">
      <w:pPr>
        <w:pStyle w:val="ListParagraph"/>
        <w:numPr>
          <w:ilvl w:val="0"/>
          <w:numId w:val="34"/>
        </w:numPr>
        <w:spacing w:before="60" w:after="0" w:line="276" w:lineRule="auto"/>
        <w:ind w:left="1701" w:hanging="425"/>
        <w:contextualSpacing w:val="0"/>
        <w:jc w:val="both"/>
        <w:rPr>
          <w:rFonts w:ascii="Bookman Old Style" w:eastAsia="Bookman Old Style" w:hAnsi="Bookman Old Style" w:cs="Bookman Old Style"/>
          <w:sz w:val="24"/>
          <w:szCs w:val="24"/>
        </w:rPr>
      </w:pPr>
      <w:r w:rsidRPr="00636C44">
        <w:rPr>
          <w:rFonts w:ascii="Bookman Old Style" w:eastAsia="Bookman Old Style" w:hAnsi="Bookman Old Style" w:cs="Bookman Old Style"/>
          <w:sz w:val="24"/>
          <w:szCs w:val="24"/>
          <w:lang w:val="en-US"/>
        </w:rPr>
        <w:t>D</w:t>
      </w:r>
      <w:r w:rsidRPr="00636C44">
        <w:rPr>
          <w:rFonts w:ascii="Bookman Old Style" w:eastAsia="Bookman Old Style" w:hAnsi="Bookman Old Style" w:cs="Bookman Old Style"/>
          <w:sz w:val="24"/>
          <w:szCs w:val="24"/>
        </w:rPr>
        <w:t>ukungan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terhadap</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upaya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pembinaan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karakter</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keluarga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melalui</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Pola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Asuh</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Anak</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Remaja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di</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Era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i/>
          <w:iCs/>
          <w:sz w:val="24"/>
          <w:szCs w:val="24"/>
        </w:rPr>
        <w:t>Digital</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yang</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meliputi</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peningkatan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kualitas</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keluarga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sejahtera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harmonis,</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keluarga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bersih</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narkoba,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keluarga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anti</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i/>
          <w:iCs/>
          <w:sz w:val="24"/>
          <w:szCs w:val="24"/>
        </w:rPr>
        <w:t>traffic</w:t>
      </w:r>
      <w:r w:rsidRPr="00636C44">
        <w:rPr>
          <w:rFonts w:ascii="Bookman Old Style" w:eastAsia="Bookman Old Style" w:hAnsi="Bookman Old Style" w:cs="Bookman Old Style"/>
          <w:i/>
          <w:iCs/>
          <w:sz w:val="24"/>
          <w:szCs w:val="24"/>
          <w:lang w:val="en-US"/>
        </w:rPr>
        <w:t>k</w:t>
      </w:r>
      <w:r w:rsidRPr="00636C44">
        <w:rPr>
          <w:rFonts w:ascii="Bookman Old Style" w:eastAsia="Bookman Old Style" w:hAnsi="Bookman Old Style" w:cs="Bookman Old Style"/>
          <w:i/>
          <w:iCs/>
          <w:sz w:val="24"/>
          <w:szCs w:val="24"/>
        </w:rPr>
        <w:t>ing</w:t>
      </w:r>
      <w:r w:rsidRPr="00636C44">
        <w:rPr>
          <w:rFonts w:ascii="Bookman Old Style" w:eastAsia="Bookman Old Style" w:hAnsi="Bookman Old Style" w:cs="Bookman Old Style"/>
          <w:sz w:val="24"/>
          <w:szCs w:val="24"/>
        </w:rPr>
        <w:t>,</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keluarga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yang</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melindungi</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anak</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dari</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kekerasan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seksual</w:t>
      </w:r>
      <w:r w:rsidR="008379CA">
        <w:rPr>
          <w:rFonts w:ascii="Bookman Old Style" w:eastAsia="Bookman Old Style" w:hAnsi="Bookman Old Style" w:cs="Bookman Old Style"/>
          <w:sz w:val="24"/>
          <w:szCs w:val="24"/>
          <w:lang w:val="en-US"/>
        </w:rPr>
        <w:t>;</w:t>
      </w:r>
    </w:p>
    <w:p w14:paraId="795CED7E" w14:textId="50FAEBB4" w:rsidR="009F5DEE" w:rsidRPr="00636C44" w:rsidRDefault="009F5DEE" w:rsidP="008379CA">
      <w:pPr>
        <w:pStyle w:val="ListParagraph"/>
        <w:numPr>
          <w:ilvl w:val="0"/>
          <w:numId w:val="34"/>
        </w:numPr>
        <w:spacing w:before="60" w:after="0" w:line="276" w:lineRule="auto"/>
        <w:ind w:left="1701" w:hanging="425"/>
        <w:contextualSpacing w:val="0"/>
        <w:jc w:val="both"/>
        <w:rPr>
          <w:rFonts w:ascii="Bookman Old Style" w:eastAsia="Bookman Old Style" w:hAnsi="Bookman Old Style" w:cs="Bookman Old Style"/>
          <w:sz w:val="24"/>
          <w:szCs w:val="24"/>
        </w:rPr>
      </w:pPr>
      <w:r w:rsidRPr="00636C44">
        <w:rPr>
          <w:rFonts w:ascii="Bookman Old Style" w:eastAsia="Bookman Old Style" w:hAnsi="Bookman Old Style" w:cs="Bookman Old Style"/>
          <w:sz w:val="24"/>
          <w:szCs w:val="24"/>
          <w:lang w:val="en-US"/>
        </w:rPr>
        <w:t>M</w:t>
      </w:r>
      <w:r w:rsidRPr="00636C44">
        <w:rPr>
          <w:rFonts w:ascii="Bookman Old Style" w:eastAsia="Bookman Old Style" w:hAnsi="Bookman Old Style" w:cs="Bookman Old Style"/>
          <w:sz w:val="24"/>
          <w:szCs w:val="24"/>
        </w:rPr>
        <w:t>endorong</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upaya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Gerakan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Keluarga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Indonesia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dalam</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Peningkatan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Kualitas</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Pendidikan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Pengelolaan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Ekonomi</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melalui</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peningkatan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kualitas</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lang w:val="en-US"/>
        </w:rPr>
        <w:t>SDM</w:t>
      </w:r>
      <w:r w:rsidRPr="00636C44">
        <w:rPr>
          <w:rFonts w:ascii="Bookman Old Style" w:eastAsia="Bookman Old Style" w:hAnsi="Bookman Old Style" w:cs="Bookman Old Style"/>
          <w:sz w:val="24"/>
          <w:szCs w:val="24"/>
        </w:rPr>
        <w:t>,</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peningkatan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perekonomian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berbasis</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keluarga,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serta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upaya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peningkatan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pendapatan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keluarga,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kewirausahaan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rumah</w:t>
      </w:r>
      <w:r w:rsidR="00A954D0">
        <w:rPr>
          <w:rFonts w:ascii="Bookman Old Style" w:eastAsia="Bookman Old Style" w:hAnsi="Bookman Old Style" w:cs="Bookman Old Style"/>
          <w:sz w:val="24"/>
          <w:szCs w:val="24"/>
          <w:lang w:val="en-US"/>
        </w:rPr>
        <w:t xml:space="preserve"> </w:t>
      </w:r>
      <w:r w:rsidRPr="00636C44">
        <w:rPr>
          <w:rFonts w:ascii="Bookman Old Style" w:eastAsia="Bookman Old Style" w:hAnsi="Bookman Old Style" w:cs="Bookman Old Style"/>
          <w:sz w:val="24"/>
          <w:szCs w:val="24"/>
        </w:rPr>
        <w:t>tangga,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perkoperasian</w:t>
      </w:r>
      <w:r w:rsidR="008379CA">
        <w:rPr>
          <w:rFonts w:ascii="Bookman Old Style" w:eastAsia="Bookman Old Style" w:hAnsi="Bookman Old Style" w:cs="Bookman Old Style"/>
          <w:sz w:val="24"/>
          <w:szCs w:val="24"/>
          <w:lang w:val="en-US"/>
        </w:rPr>
        <w:t>;</w:t>
      </w:r>
    </w:p>
    <w:p w14:paraId="7D1001CA" w14:textId="0F298787" w:rsidR="009F5DEE" w:rsidRPr="00636C44" w:rsidRDefault="009F5DEE" w:rsidP="008379CA">
      <w:pPr>
        <w:pStyle w:val="ListParagraph"/>
        <w:numPr>
          <w:ilvl w:val="0"/>
          <w:numId w:val="34"/>
        </w:numPr>
        <w:spacing w:before="60" w:after="0" w:line="276" w:lineRule="auto"/>
        <w:ind w:left="1701" w:hanging="425"/>
        <w:contextualSpacing w:val="0"/>
        <w:jc w:val="both"/>
        <w:rPr>
          <w:rFonts w:ascii="Bookman Old Style" w:hAnsi="Bookman Old Style" w:cs="Arial"/>
          <w:sz w:val="24"/>
          <w:szCs w:val="24"/>
          <w:lang w:val="it-IT"/>
        </w:rPr>
      </w:pPr>
      <w:r w:rsidRPr="003255BC">
        <w:rPr>
          <w:rFonts w:ascii="Bookman Old Style" w:eastAsia="Bookman Old Style" w:hAnsi="Bookman Old Style" w:cs="Bookman Old Style"/>
          <w:sz w:val="24"/>
          <w:szCs w:val="24"/>
          <w:lang w:val="sv-FI"/>
        </w:rPr>
        <w:t>M</w:t>
      </w:r>
      <w:r w:rsidRPr="00636C44">
        <w:rPr>
          <w:rFonts w:ascii="Bookman Old Style" w:eastAsia="Bookman Old Style" w:hAnsi="Bookman Old Style" w:cs="Bookman Old Style"/>
          <w:sz w:val="24"/>
          <w:szCs w:val="24"/>
        </w:rPr>
        <w:t>endorong</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upaya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penguatan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ketahanan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keluarga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melalui</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Gerakan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Amalkan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Kukuhkan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Halaman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Asri,</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Teratur,</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Indah,</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Nyaman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dengan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mendayagunakan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lahan/pekarangan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dengan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tanaman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produktif</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bernilai</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ekonomi</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tinggi,</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melakukan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kampanye</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program</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diversifikasi</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pangan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pemanfaatan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pangan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lokal</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sebagai</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upaya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mengurangi</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angka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i/>
          <w:iCs/>
          <w:sz w:val="24"/>
          <w:szCs w:val="24"/>
        </w:rPr>
        <w:t>stunting</w:t>
      </w:r>
      <w:r w:rsidRPr="00636C44">
        <w:rPr>
          <w:rFonts w:ascii="Bookman Old Style" w:eastAsia="Bookman Old Style" w:hAnsi="Bookman Old Style" w:cs="Bookman Old Style"/>
          <w:sz w:val="24"/>
          <w:szCs w:val="24"/>
        </w:rPr>
        <w:t>,</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pencapaian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pola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pangan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harapan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antisipasi</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rawan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pangan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serta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mendorong</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pengembangan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rumah</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sehat</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layak</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huni/tata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laksana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rumah</w:t>
      </w:r>
      <w:r w:rsidR="00A954D0" w:rsidRPr="003255BC">
        <w:rPr>
          <w:rFonts w:ascii="Bookman Old Style" w:eastAsia="Bookman Old Style" w:hAnsi="Bookman Old Style" w:cs="Bookman Old Style"/>
          <w:sz w:val="24"/>
          <w:szCs w:val="24"/>
          <w:lang w:val="sv-FI"/>
        </w:rPr>
        <w:t xml:space="preserve"> </w:t>
      </w:r>
      <w:r w:rsidRPr="00636C44">
        <w:rPr>
          <w:rFonts w:ascii="Bookman Old Style" w:eastAsia="Bookman Old Style" w:hAnsi="Bookman Old Style" w:cs="Bookman Old Style"/>
          <w:sz w:val="24"/>
          <w:szCs w:val="24"/>
        </w:rPr>
        <w:t>tangga</w:t>
      </w:r>
      <w:r w:rsidR="008379CA">
        <w:rPr>
          <w:rFonts w:ascii="Bookman Old Style" w:eastAsia="Bookman Old Style" w:hAnsi="Bookman Old Style" w:cs="Bookman Old Style"/>
          <w:sz w:val="24"/>
          <w:szCs w:val="24"/>
          <w:lang w:val="sv-FI"/>
        </w:rPr>
        <w:t>;</w:t>
      </w:r>
    </w:p>
    <w:p w14:paraId="6A21AEDF" w14:textId="2177E316" w:rsidR="009F5DEE" w:rsidRPr="00636C44" w:rsidRDefault="009F5DEE" w:rsidP="008379CA">
      <w:pPr>
        <w:pStyle w:val="ListParagraph"/>
        <w:numPr>
          <w:ilvl w:val="0"/>
          <w:numId w:val="34"/>
        </w:numPr>
        <w:spacing w:before="60" w:after="0" w:line="276" w:lineRule="auto"/>
        <w:ind w:left="1701" w:hanging="425"/>
        <w:contextualSpacing w:val="0"/>
        <w:jc w:val="both"/>
        <w:rPr>
          <w:rFonts w:ascii="Bookman Old Style" w:eastAsia="Bookman Old Style" w:hAnsi="Bookman Old Style" w:cs="Bookman Old Style"/>
          <w:sz w:val="24"/>
          <w:szCs w:val="24"/>
        </w:rPr>
      </w:pPr>
      <w:r w:rsidRPr="00636C44">
        <w:rPr>
          <w:rFonts w:ascii="Bookman Old Style" w:eastAsia="Bookman Old Style" w:hAnsi="Bookman Old Style" w:cs="Bookman Old Style"/>
          <w:sz w:val="24"/>
          <w:szCs w:val="24"/>
          <w:lang w:val="it-IT"/>
        </w:rPr>
        <w:t>D</w:t>
      </w:r>
      <w:r w:rsidRPr="00636C44">
        <w:rPr>
          <w:rFonts w:ascii="Bookman Old Style" w:eastAsia="Bookman Old Style" w:hAnsi="Bookman Old Style" w:cs="Bookman Old Style"/>
          <w:sz w:val="24"/>
          <w:szCs w:val="24"/>
        </w:rPr>
        <w:t>ukungan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terhadap</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upaya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Gerakan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Keluarga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Sehat</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Tanggap</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Tangguh</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Bencana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melalui</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peningkatan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pengelolaan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pada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Posyandu</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di</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tingkat</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Desa/Kelurahan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antara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lain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pengadaan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alat</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kesehatan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dasar</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seperti</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timbangan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i/>
          <w:iCs/>
          <w:sz w:val="24"/>
          <w:szCs w:val="24"/>
        </w:rPr>
        <w:t>digital</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untuk</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ibu/anak,</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Antropometri</w:t>
      </w:r>
      <w:r w:rsidRPr="00636C44">
        <w:rPr>
          <w:rFonts w:ascii="Bookman Old Style" w:eastAsia="Bookman Old Style" w:hAnsi="Bookman Old Style" w:cs="Bookman Old Style"/>
          <w:i/>
          <w:iCs/>
          <w:sz w:val="24"/>
          <w:szCs w:val="24"/>
        </w:rPr>
        <w:t>,</w:t>
      </w:r>
      <w:r w:rsidR="00A954D0">
        <w:rPr>
          <w:rFonts w:ascii="Bookman Old Style" w:eastAsia="Bookman Old Style" w:hAnsi="Bookman Old Style" w:cs="Bookman Old Style"/>
          <w:i/>
          <w:iCs/>
          <w:sz w:val="24"/>
          <w:szCs w:val="24"/>
        </w:rPr>
        <w:t xml:space="preserve"> </w:t>
      </w:r>
      <w:r w:rsidRPr="00636C44">
        <w:rPr>
          <w:rFonts w:ascii="Bookman Old Style" w:eastAsia="Bookman Old Style" w:hAnsi="Bookman Old Style" w:cs="Bookman Old Style"/>
          <w:i/>
          <w:iCs/>
          <w:sz w:val="24"/>
          <w:szCs w:val="24"/>
        </w:rPr>
        <w:t>Thermometer</w:t>
      </w:r>
      <w:r w:rsidRPr="00636C44">
        <w:rPr>
          <w:rFonts w:ascii="Bookman Old Style" w:eastAsia="Bookman Old Style" w:hAnsi="Bookman Old Style" w:cs="Bookman Old Style"/>
          <w:sz w:val="24"/>
          <w:szCs w:val="24"/>
        </w:rPr>
        <w:t>,</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insentif</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bagi</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Kader</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PKK,</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Kader</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Dasawisma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Kader</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Posyandu,</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serta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kegiatan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lain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yang</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berdampak</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langsung</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pada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penurunan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Angka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Kematian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Bayi</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(AKB),</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angka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kematian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ibu</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(ibu</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hamil),</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melahirkan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nifas,</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pembudayaan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Norma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Keluarga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Kecil</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Bahagia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Sejahtera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lastRenderedPageBreak/>
        <w:t>(NKKBS),</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peningkatan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peran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serta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masyarakat</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dalam</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mewujudkan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keluarga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yang</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tanggap</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tangguh</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bencana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rumah</w:t>
      </w:r>
      <w:r w:rsidR="00A954D0">
        <w:rPr>
          <w:rFonts w:ascii="Bookman Old Style" w:eastAsia="Bookman Old Style" w:hAnsi="Bookman Old Style" w:cs="Bookman Old Style"/>
          <w:sz w:val="24"/>
          <w:szCs w:val="24"/>
          <w:lang w:val="it-IT"/>
        </w:rPr>
        <w:t xml:space="preserve"> </w:t>
      </w:r>
      <w:r w:rsidRPr="00636C44">
        <w:rPr>
          <w:rFonts w:ascii="Bookman Old Style" w:eastAsia="Bookman Old Style" w:hAnsi="Bookman Old Style" w:cs="Bookman Old Style"/>
          <w:sz w:val="24"/>
          <w:szCs w:val="24"/>
        </w:rPr>
        <w:t>tangga,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peningkatan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peran</w:t>
      </w:r>
      <w:r w:rsidR="00A954D0">
        <w:rPr>
          <w:rFonts w:ascii="Bookman Old Style" w:eastAsia="Bookman Old Style" w:hAnsi="Bookman Old Style" w:cs="Bookman Old Style"/>
          <w:sz w:val="24"/>
          <w:szCs w:val="24"/>
          <w:lang w:val="it-IT"/>
        </w:rPr>
        <w:t xml:space="preserve"> </w:t>
      </w:r>
      <w:r w:rsidRPr="00636C44">
        <w:rPr>
          <w:rFonts w:ascii="Bookman Old Style" w:eastAsia="Bookman Old Style" w:hAnsi="Bookman Old Style" w:cs="Bookman Old Style"/>
          <w:sz w:val="24"/>
          <w:szCs w:val="24"/>
        </w:rPr>
        <w:t>serta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masyarakat</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untuk</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mengembangkan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kegiatan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kesehatan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dasar</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keluarga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w:t>
      </w:r>
      <w:r w:rsidRPr="003255BC">
        <w:rPr>
          <w:rFonts w:ascii="Bookman Old Style" w:eastAsia="Bookman Old Style" w:hAnsi="Bookman Old Style" w:cs="Bookman Old Style"/>
          <w:sz w:val="24"/>
          <w:szCs w:val="24"/>
          <w:lang w:val="it-IT"/>
        </w:rPr>
        <w:t>eluarga</w:t>
      </w:r>
      <w:r w:rsidR="00A954D0" w:rsidRPr="003255BC">
        <w:rPr>
          <w:rFonts w:ascii="Bookman Old Style" w:eastAsia="Bookman Old Style" w:hAnsi="Bookman Old Style" w:cs="Bookman Old Style"/>
          <w:sz w:val="24"/>
          <w:szCs w:val="24"/>
          <w:lang w:val="it-IT"/>
        </w:rPr>
        <w:t xml:space="preserve"> </w:t>
      </w:r>
      <w:r w:rsidRPr="00636C44">
        <w:rPr>
          <w:rFonts w:ascii="Bookman Old Style" w:eastAsia="Bookman Old Style" w:hAnsi="Bookman Old Style" w:cs="Bookman Old Style"/>
          <w:sz w:val="24"/>
          <w:szCs w:val="24"/>
        </w:rPr>
        <w:t>B</w:t>
      </w:r>
      <w:r w:rsidRPr="003255BC">
        <w:rPr>
          <w:rFonts w:ascii="Bookman Old Style" w:eastAsia="Bookman Old Style" w:hAnsi="Bookman Old Style" w:cs="Bookman Old Style"/>
          <w:sz w:val="24"/>
          <w:szCs w:val="24"/>
          <w:lang w:val="it-IT"/>
        </w:rPr>
        <w:t>erencana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untuk</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tercapainya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keluarga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yang</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tangguh</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dalam</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perencanaan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keuangan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sehat</w:t>
      </w:r>
      <w:r w:rsidR="008379CA">
        <w:rPr>
          <w:rFonts w:ascii="Bookman Old Style" w:eastAsia="Bookman Old Style" w:hAnsi="Bookman Old Style" w:cs="Bookman Old Style"/>
          <w:sz w:val="24"/>
          <w:szCs w:val="24"/>
          <w:lang w:val="it-IT"/>
        </w:rPr>
        <w:t>;</w:t>
      </w:r>
    </w:p>
    <w:p w14:paraId="293E9108" w14:textId="38EEAC68" w:rsidR="009F5DEE" w:rsidRPr="00636C44" w:rsidRDefault="009F5DEE" w:rsidP="008379CA">
      <w:pPr>
        <w:pStyle w:val="ListParagraph"/>
        <w:numPr>
          <w:ilvl w:val="0"/>
          <w:numId w:val="34"/>
        </w:numPr>
        <w:spacing w:before="60" w:after="0" w:line="276" w:lineRule="auto"/>
        <w:ind w:left="1701" w:hanging="425"/>
        <w:contextualSpacing w:val="0"/>
        <w:jc w:val="both"/>
        <w:rPr>
          <w:rFonts w:ascii="Bookman Old Style" w:hAnsi="Bookman Old Style" w:cs="Arial"/>
          <w:sz w:val="24"/>
          <w:szCs w:val="24"/>
          <w:lang w:val="it-IT"/>
        </w:rPr>
      </w:pPr>
      <w:r w:rsidRPr="003255BC">
        <w:rPr>
          <w:rFonts w:ascii="Bookman Old Style" w:eastAsia="Bookman Old Style" w:hAnsi="Bookman Old Style" w:cs="Bookman Old Style"/>
          <w:sz w:val="24"/>
          <w:szCs w:val="24"/>
          <w:lang w:val="sv-FI"/>
        </w:rPr>
        <w:t>P</w:t>
      </w:r>
      <w:r w:rsidRPr="00636C44">
        <w:rPr>
          <w:rFonts w:ascii="Bookman Old Style" w:eastAsia="Bookman Old Style" w:hAnsi="Bookman Old Style" w:cs="Bookman Old Style"/>
          <w:sz w:val="24"/>
          <w:szCs w:val="24"/>
        </w:rPr>
        <w:t>emberdayaan</w:t>
      </w:r>
      <w:r w:rsidR="00A954D0">
        <w:rPr>
          <w:rFonts w:ascii="Bookman Old Style" w:hAnsi="Bookman Old Style" w:cs="Arial"/>
          <w:sz w:val="24"/>
          <w:szCs w:val="24"/>
          <w:lang w:val="it-IT"/>
        </w:rPr>
        <w:t xml:space="preserve"> </w:t>
      </w:r>
      <w:r w:rsidRPr="00636C44">
        <w:rPr>
          <w:rFonts w:ascii="Bookman Old Style" w:eastAsia="Bookman Old Style" w:hAnsi="Bookman Old Style" w:cs="Bookman Old Style"/>
          <w:sz w:val="24"/>
          <w:szCs w:val="24"/>
        </w:rPr>
        <w:t>Kader</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PKK</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Kader</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Dasawisma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dalam</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pengelolaan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10</w:t>
      </w:r>
      <w:r w:rsidR="00A954D0">
        <w:rPr>
          <w:rFonts w:ascii="Bookman Old Style" w:eastAsia="Bookman Old Style" w:hAnsi="Bookman Old Style" w:cs="Bookman Old Style"/>
          <w:sz w:val="24"/>
          <w:szCs w:val="24"/>
        </w:rPr>
        <w:t xml:space="preserve"> </w:t>
      </w:r>
      <w:r w:rsidRPr="003255BC">
        <w:rPr>
          <w:rFonts w:ascii="Bookman Old Style" w:eastAsia="Bookman Old Style" w:hAnsi="Bookman Old Style" w:cs="Bookman Old Style"/>
          <w:sz w:val="24"/>
          <w:szCs w:val="24"/>
          <w:lang w:val="sv-FI"/>
        </w:rPr>
        <w:t>(sepuluh)</w:t>
      </w:r>
      <w:r w:rsidR="00A954D0" w:rsidRPr="003255BC">
        <w:rPr>
          <w:rFonts w:ascii="Bookman Old Style" w:eastAsia="Bookman Old Style" w:hAnsi="Bookman Old Style" w:cs="Bookman Old Style"/>
          <w:sz w:val="24"/>
          <w:szCs w:val="24"/>
          <w:lang w:val="sv-FI"/>
        </w:rPr>
        <w:t xml:space="preserve"> </w:t>
      </w:r>
      <w:r w:rsidRPr="00636C44">
        <w:rPr>
          <w:rFonts w:ascii="Bookman Old Style" w:eastAsia="Bookman Old Style" w:hAnsi="Bookman Old Style" w:cs="Bookman Old Style"/>
          <w:sz w:val="24"/>
          <w:szCs w:val="24"/>
        </w:rPr>
        <w:t>Program</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Pokok</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PKK,</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yang</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meliputi:</w:t>
      </w:r>
    </w:p>
    <w:p w14:paraId="604EA896" w14:textId="48CFC9E2" w:rsidR="009F5DEE" w:rsidRPr="00636C44" w:rsidRDefault="009F5DEE" w:rsidP="008379CA">
      <w:pPr>
        <w:pStyle w:val="ListParagraph"/>
        <w:numPr>
          <w:ilvl w:val="0"/>
          <w:numId w:val="46"/>
        </w:numPr>
        <w:snapToGrid w:val="0"/>
        <w:spacing w:before="60" w:after="0" w:line="276" w:lineRule="auto"/>
        <w:ind w:left="2268" w:hanging="567"/>
        <w:contextualSpacing w:val="0"/>
        <w:jc w:val="both"/>
        <w:rPr>
          <w:rFonts w:ascii="Bookman Old Style" w:hAnsi="Bookman Old Style" w:cs="Arial"/>
          <w:sz w:val="24"/>
          <w:szCs w:val="24"/>
          <w:lang w:val="it-IT"/>
        </w:rPr>
      </w:pPr>
      <w:r w:rsidRPr="00636C44">
        <w:rPr>
          <w:rFonts w:ascii="Bookman Old Style" w:hAnsi="Bookman Old Style" w:cs="Arial"/>
          <w:sz w:val="24"/>
          <w:szCs w:val="24"/>
          <w:lang w:val="it-IT"/>
        </w:rPr>
        <w:t>penghayatan</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dan</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pengamalan</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Pancasila;</w:t>
      </w:r>
    </w:p>
    <w:p w14:paraId="44A663AD" w14:textId="7261CC4A" w:rsidR="009F5DEE" w:rsidRPr="00636C44" w:rsidRDefault="009F5DEE" w:rsidP="008379CA">
      <w:pPr>
        <w:pStyle w:val="ListParagraph"/>
        <w:numPr>
          <w:ilvl w:val="0"/>
          <w:numId w:val="46"/>
        </w:numPr>
        <w:snapToGrid w:val="0"/>
        <w:spacing w:before="60" w:after="0" w:line="276" w:lineRule="auto"/>
        <w:ind w:left="2268" w:hanging="567"/>
        <w:contextualSpacing w:val="0"/>
        <w:jc w:val="both"/>
        <w:rPr>
          <w:rFonts w:ascii="Bookman Old Style" w:hAnsi="Bookman Old Style" w:cs="Arial"/>
          <w:sz w:val="24"/>
          <w:szCs w:val="24"/>
          <w:lang w:val="it-IT"/>
        </w:rPr>
      </w:pPr>
      <w:r w:rsidRPr="00636C44">
        <w:rPr>
          <w:rFonts w:ascii="Bookman Old Style" w:hAnsi="Bookman Old Style" w:cs="Arial"/>
          <w:sz w:val="24"/>
          <w:szCs w:val="24"/>
          <w:lang w:val="it-IT"/>
        </w:rPr>
        <w:t>gotong</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royong;</w:t>
      </w:r>
    </w:p>
    <w:p w14:paraId="3E4AADE1" w14:textId="77777777" w:rsidR="009F5DEE" w:rsidRPr="00636C44" w:rsidRDefault="009F5DEE" w:rsidP="008379CA">
      <w:pPr>
        <w:pStyle w:val="ListParagraph"/>
        <w:numPr>
          <w:ilvl w:val="0"/>
          <w:numId w:val="46"/>
        </w:numPr>
        <w:snapToGrid w:val="0"/>
        <w:spacing w:before="60" w:after="0" w:line="276" w:lineRule="auto"/>
        <w:ind w:left="2268" w:hanging="567"/>
        <w:contextualSpacing w:val="0"/>
        <w:jc w:val="both"/>
        <w:rPr>
          <w:rFonts w:ascii="Bookman Old Style" w:hAnsi="Bookman Old Style" w:cs="Arial"/>
          <w:sz w:val="24"/>
          <w:szCs w:val="24"/>
          <w:lang w:val="it-IT"/>
        </w:rPr>
      </w:pPr>
      <w:r w:rsidRPr="00636C44">
        <w:rPr>
          <w:rFonts w:ascii="Bookman Old Style" w:hAnsi="Bookman Old Style" w:cs="Arial"/>
          <w:sz w:val="24"/>
          <w:szCs w:val="24"/>
          <w:lang w:val="it-IT"/>
        </w:rPr>
        <w:t>pangan;</w:t>
      </w:r>
    </w:p>
    <w:p w14:paraId="51FD55E5" w14:textId="77777777" w:rsidR="009F5DEE" w:rsidRPr="00636C44" w:rsidRDefault="009F5DEE" w:rsidP="008379CA">
      <w:pPr>
        <w:pStyle w:val="ListParagraph"/>
        <w:numPr>
          <w:ilvl w:val="0"/>
          <w:numId w:val="46"/>
        </w:numPr>
        <w:snapToGrid w:val="0"/>
        <w:spacing w:before="60" w:after="0" w:line="276" w:lineRule="auto"/>
        <w:ind w:left="2268" w:hanging="567"/>
        <w:contextualSpacing w:val="0"/>
        <w:jc w:val="both"/>
        <w:rPr>
          <w:rFonts w:ascii="Bookman Old Style" w:hAnsi="Bookman Old Style" w:cs="Arial"/>
          <w:sz w:val="24"/>
          <w:szCs w:val="24"/>
          <w:lang w:val="it-IT"/>
        </w:rPr>
      </w:pPr>
      <w:r w:rsidRPr="00636C44">
        <w:rPr>
          <w:rFonts w:ascii="Bookman Old Style" w:hAnsi="Bookman Old Style" w:cs="Arial"/>
          <w:sz w:val="24"/>
          <w:szCs w:val="24"/>
          <w:lang w:val="it-IT"/>
        </w:rPr>
        <w:t>sandang;</w:t>
      </w:r>
    </w:p>
    <w:p w14:paraId="7ED52521" w14:textId="6DFCED19" w:rsidR="009F5DEE" w:rsidRPr="00636C44" w:rsidRDefault="009F5DEE" w:rsidP="008379CA">
      <w:pPr>
        <w:pStyle w:val="ListParagraph"/>
        <w:numPr>
          <w:ilvl w:val="0"/>
          <w:numId w:val="46"/>
        </w:numPr>
        <w:snapToGrid w:val="0"/>
        <w:spacing w:before="60" w:after="0" w:line="276" w:lineRule="auto"/>
        <w:ind w:left="2268" w:hanging="567"/>
        <w:contextualSpacing w:val="0"/>
        <w:jc w:val="both"/>
        <w:rPr>
          <w:rFonts w:ascii="Bookman Old Style" w:hAnsi="Bookman Old Style" w:cs="Arial"/>
          <w:sz w:val="24"/>
          <w:szCs w:val="24"/>
          <w:lang w:val="it-IT"/>
        </w:rPr>
      </w:pPr>
      <w:r w:rsidRPr="00636C44">
        <w:rPr>
          <w:rFonts w:ascii="Bookman Old Style" w:hAnsi="Bookman Old Style" w:cs="Arial"/>
          <w:sz w:val="24"/>
          <w:szCs w:val="24"/>
          <w:lang w:val="it-IT"/>
        </w:rPr>
        <w:t>perumahan</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dan</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tata</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laksana</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rumah</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tangga;</w:t>
      </w:r>
    </w:p>
    <w:p w14:paraId="51FE5541" w14:textId="745F010F" w:rsidR="009F5DEE" w:rsidRPr="00636C44" w:rsidRDefault="009F5DEE" w:rsidP="008379CA">
      <w:pPr>
        <w:pStyle w:val="ListParagraph"/>
        <w:numPr>
          <w:ilvl w:val="0"/>
          <w:numId w:val="46"/>
        </w:numPr>
        <w:snapToGrid w:val="0"/>
        <w:spacing w:before="60" w:after="0" w:line="276" w:lineRule="auto"/>
        <w:ind w:left="2268" w:hanging="567"/>
        <w:contextualSpacing w:val="0"/>
        <w:jc w:val="both"/>
        <w:rPr>
          <w:rFonts w:ascii="Bookman Old Style" w:hAnsi="Bookman Old Style" w:cs="Arial"/>
          <w:sz w:val="24"/>
          <w:szCs w:val="24"/>
          <w:lang w:val="it-IT"/>
        </w:rPr>
      </w:pPr>
      <w:r w:rsidRPr="00636C44">
        <w:rPr>
          <w:rFonts w:ascii="Bookman Old Style" w:hAnsi="Bookman Old Style" w:cs="Arial"/>
          <w:sz w:val="24"/>
          <w:szCs w:val="24"/>
          <w:lang w:val="it-IT"/>
        </w:rPr>
        <w:t>pendidikan</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dan</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keterampilan;</w:t>
      </w:r>
    </w:p>
    <w:p w14:paraId="2519789B" w14:textId="77777777" w:rsidR="009F5DEE" w:rsidRPr="00636C44" w:rsidRDefault="009F5DEE" w:rsidP="008379CA">
      <w:pPr>
        <w:pStyle w:val="ListParagraph"/>
        <w:numPr>
          <w:ilvl w:val="0"/>
          <w:numId w:val="46"/>
        </w:numPr>
        <w:snapToGrid w:val="0"/>
        <w:spacing w:before="60" w:after="0" w:line="276" w:lineRule="auto"/>
        <w:ind w:left="2268" w:hanging="567"/>
        <w:contextualSpacing w:val="0"/>
        <w:jc w:val="both"/>
        <w:rPr>
          <w:rFonts w:ascii="Bookman Old Style" w:hAnsi="Bookman Old Style" w:cs="Arial"/>
          <w:sz w:val="24"/>
          <w:szCs w:val="24"/>
          <w:lang w:val="it-IT"/>
        </w:rPr>
      </w:pPr>
      <w:r w:rsidRPr="00636C44">
        <w:rPr>
          <w:rFonts w:ascii="Bookman Old Style" w:hAnsi="Bookman Old Style" w:cs="Arial"/>
          <w:sz w:val="24"/>
          <w:szCs w:val="24"/>
          <w:lang w:val="it-IT"/>
        </w:rPr>
        <w:t>kesehatan;</w:t>
      </w:r>
    </w:p>
    <w:p w14:paraId="5D348B8D" w14:textId="3F4677E1" w:rsidR="009F5DEE" w:rsidRPr="00636C44" w:rsidRDefault="009F5DEE" w:rsidP="008379CA">
      <w:pPr>
        <w:pStyle w:val="ListParagraph"/>
        <w:numPr>
          <w:ilvl w:val="0"/>
          <w:numId w:val="46"/>
        </w:numPr>
        <w:snapToGrid w:val="0"/>
        <w:spacing w:before="60" w:after="0" w:line="276" w:lineRule="auto"/>
        <w:ind w:left="2268" w:hanging="567"/>
        <w:contextualSpacing w:val="0"/>
        <w:jc w:val="both"/>
        <w:rPr>
          <w:rFonts w:ascii="Bookman Old Style" w:hAnsi="Bookman Old Style" w:cs="Arial"/>
          <w:sz w:val="24"/>
          <w:szCs w:val="24"/>
          <w:lang w:val="it-IT"/>
        </w:rPr>
      </w:pPr>
      <w:r w:rsidRPr="00636C44">
        <w:rPr>
          <w:rFonts w:ascii="Bookman Old Style" w:hAnsi="Bookman Old Style" w:cs="Arial"/>
          <w:sz w:val="24"/>
          <w:szCs w:val="24"/>
          <w:lang w:val="it-IT"/>
        </w:rPr>
        <w:t>pengembangan</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kehidupan</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berkoperasi;</w:t>
      </w:r>
    </w:p>
    <w:p w14:paraId="43DA97BC" w14:textId="624E5F2E" w:rsidR="009F5DEE" w:rsidRPr="00636C44" w:rsidRDefault="009F5DEE" w:rsidP="008379CA">
      <w:pPr>
        <w:pStyle w:val="ListParagraph"/>
        <w:numPr>
          <w:ilvl w:val="0"/>
          <w:numId w:val="46"/>
        </w:numPr>
        <w:snapToGrid w:val="0"/>
        <w:spacing w:before="60" w:after="0" w:line="276" w:lineRule="auto"/>
        <w:ind w:left="2268" w:hanging="567"/>
        <w:contextualSpacing w:val="0"/>
        <w:jc w:val="both"/>
        <w:rPr>
          <w:rFonts w:ascii="Bookman Old Style" w:hAnsi="Bookman Old Style" w:cs="Arial"/>
          <w:sz w:val="24"/>
          <w:szCs w:val="24"/>
          <w:lang w:val="it-IT"/>
        </w:rPr>
      </w:pPr>
      <w:r w:rsidRPr="00636C44">
        <w:rPr>
          <w:rFonts w:ascii="Bookman Old Style" w:hAnsi="Bookman Old Style" w:cs="Arial"/>
          <w:sz w:val="24"/>
          <w:szCs w:val="24"/>
          <w:lang w:val="it-IT"/>
        </w:rPr>
        <w:t>kelestarian</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lingkungan</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hidup;</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dan</w:t>
      </w:r>
    </w:p>
    <w:p w14:paraId="33FBD646" w14:textId="4EF94FB1" w:rsidR="009F5DEE" w:rsidRPr="00636C44" w:rsidRDefault="009F5DEE" w:rsidP="008379CA">
      <w:pPr>
        <w:pStyle w:val="ListParagraph"/>
        <w:numPr>
          <w:ilvl w:val="0"/>
          <w:numId w:val="46"/>
        </w:numPr>
        <w:snapToGrid w:val="0"/>
        <w:spacing w:before="60" w:after="0" w:line="276" w:lineRule="auto"/>
        <w:ind w:left="2268" w:hanging="567"/>
        <w:contextualSpacing w:val="0"/>
        <w:jc w:val="both"/>
        <w:rPr>
          <w:rFonts w:ascii="Bookman Old Style" w:hAnsi="Bookman Old Style" w:cs="Arial"/>
          <w:sz w:val="24"/>
          <w:szCs w:val="24"/>
          <w:lang w:val="it-IT"/>
        </w:rPr>
      </w:pPr>
      <w:r w:rsidRPr="00636C44">
        <w:rPr>
          <w:rFonts w:ascii="Bookman Old Style" w:hAnsi="Bookman Old Style" w:cs="Arial"/>
          <w:sz w:val="24"/>
          <w:szCs w:val="24"/>
          <w:lang w:val="it-IT"/>
        </w:rPr>
        <w:t>perencanaan</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sehat.</w:t>
      </w:r>
    </w:p>
    <w:p w14:paraId="5F580023" w14:textId="609C6CE7" w:rsidR="009F5DEE" w:rsidRPr="00636C44" w:rsidRDefault="009F5DEE" w:rsidP="008379CA">
      <w:pPr>
        <w:pStyle w:val="ListParagraph"/>
        <w:numPr>
          <w:ilvl w:val="0"/>
          <w:numId w:val="34"/>
        </w:numPr>
        <w:spacing w:before="60" w:after="0" w:line="276" w:lineRule="auto"/>
        <w:ind w:left="1701" w:hanging="425"/>
        <w:contextualSpacing w:val="0"/>
        <w:jc w:val="both"/>
        <w:rPr>
          <w:rFonts w:ascii="Bookman Old Style" w:eastAsia="Bookman Old Style" w:hAnsi="Bookman Old Style" w:cs="Bookman Old Style"/>
          <w:sz w:val="24"/>
          <w:szCs w:val="24"/>
        </w:rPr>
      </w:pPr>
      <w:r w:rsidRPr="00636C44">
        <w:rPr>
          <w:rFonts w:ascii="Bookman Old Style" w:eastAsia="Bookman Old Style" w:hAnsi="Bookman Old Style" w:cs="Bookman Old Style"/>
          <w:sz w:val="24"/>
          <w:szCs w:val="24"/>
        </w:rPr>
        <w:t>Dukungan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pelaksanaan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tugas</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fungsi</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TP-PKK</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Provinsi/</w:t>
      </w:r>
      <w:r w:rsidR="00172E1C" w:rsidRPr="00636C44">
        <w:rPr>
          <w:rFonts w:ascii="Bookman Old Style" w:eastAsia="Bookman Old Style" w:hAnsi="Bookman Old Style" w:cs="Bookman Old Style"/>
          <w:sz w:val="24"/>
          <w:szCs w:val="24"/>
        </w:rPr>
        <w:t>Kabupaten/Kota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dianggarkan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dalam</w:t>
      </w:r>
      <w:r w:rsidR="00A954D0">
        <w:rPr>
          <w:rFonts w:ascii="Bookman Old Style" w:eastAsia="Bookman Old Style" w:hAnsi="Bookman Old Style" w:cs="Bookman Old Style"/>
          <w:sz w:val="24"/>
          <w:szCs w:val="24"/>
        </w:rPr>
        <w:t xml:space="preserve"> </w:t>
      </w:r>
      <w:r w:rsidRPr="00636C44">
        <w:rPr>
          <w:rFonts w:ascii="Bookman Old Style" w:hAnsi="Bookman Old Style"/>
          <w:sz w:val="24"/>
          <w:szCs w:val="24"/>
        </w:rPr>
        <w:t>Rancangan</w:t>
      </w:r>
      <w:r w:rsidR="00A954D0">
        <w:rPr>
          <w:rFonts w:ascii="Bookman Old Style" w:hAnsi="Bookman Old Style"/>
          <w:sz w:val="24"/>
          <w:szCs w:val="24"/>
        </w:rPr>
        <w:t xml:space="preserve"> </w:t>
      </w:r>
      <w:r w:rsidRPr="00636C44">
        <w:rPr>
          <w:rFonts w:ascii="Bookman Old Style" w:hAnsi="Bookman Old Style"/>
          <w:sz w:val="24"/>
          <w:szCs w:val="24"/>
        </w:rPr>
        <w:t>Peraturan</w:t>
      </w:r>
      <w:r w:rsidR="00A954D0">
        <w:rPr>
          <w:rFonts w:ascii="Bookman Old Style" w:hAnsi="Bookman Old Style"/>
          <w:sz w:val="24"/>
          <w:szCs w:val="24"/>
        </w:rPr>
        <w:t xml:space="preserve"> </w:t>
      </w:r>
      <w:r w:rsidRPr="00636C44">
        <w:rPr>
          <w:rFonts w:ascii="Bookman Old Style" w:hAnsi="Bookman Old Style"/>
          <w:sz w:val="24"/>
          <w:szCs w:val="24"/>
        </w:rPr>
        <w:t>Daerah</w:t>
      </w:r>
      <w:r w:rsidR="00A954D0">
        <w:rPr>
          <w:rFonts w:ascii="Bookman Old Style" w:hAnsi="Bookman Old Style"/>
          <w:sz w:val="24"/>
          <w:szCs w:val="24"/>
        </w:rPr>
        <w:t xml:space="preserve"> </w:t>
      </w:r>
      <w:r w:rsidR="00B055C5" w:rsidRPr="00636C44">
        <w:rPr>
          <w:rFonts w:ascii="Bookman Old Style" w:hAnsi="Bookman Old Style"/>
          <w:sz w:val="24"/>
          <w:szCs w:val="24"/>
          <w:lang w:val="fi-FI"/>
        </w:rPr>
        <w:t>Kota</w:t>
      </w:r>
      <w:r w:rsidR="00A954D0">
        <w:rPr>
          <w:rFonts w:ascii="Bookman Old Style" w:hAnsi="Bookman Old Style"/>
          <w:sz w:val="24"/>
          <w:szCs w:val="24"/>
          <w:lang w:val="fi-FI"/>
        </w:rPr>
        <w:t xml:space="preserve"> </w:t>
      </w:r>
      <w:r w:rsidR="00770F22" w:rsidRPr="00636C44">
        <w:rPr>
          <w:rFonts w:ascii="Bookman Old Style" w:hAnsi="Bookman Old Style"/>
          <w:sz w:val="24"/>
          <w:szCs w:val="24"/>
          <w:lang w:val="fi-FI"/>
        </w:rPr>
        <w:t>Tangerang</w:t>
      </w:r>
      <w:r w:rsidR="00A954D0">
        <w:rPr>
          <w:rFonts w:ascii="Bookman Old Style" w:hAnsi="Bookman Old Style"/>
          <w:sz w:val="24"/>
          <w:szCs w:val="24"/>
          <w:lang w:val="fi-FI"/>
        </w:rPr>
        <w:t xml:space="preserve"> </w:t>
      </w:r>
      <w:r w:rsidRPr="00636C44">
        <w:rPr>
          <w:rFonts w:ascii="Bookman Old Style" w:hAnsi="Bookman Old Style"/>
          <w:sz w:val="24"/>
          <w:szCs w:val="24"/>
        </w:rPr>
        <w:t>tentang</w:t>
      </w:r>
      <w:r w:rsidR="00A954D0">
        <w:rPr>
          <w:rFonts w:ascii="Bookman Old Style" w:hAnsi="Bookman Old Style"/>
          <w:sz w:val="24"/>
          <w:szCs w:val="24"/>
        </w:rPr>
        <w:t xml:space="preserve"> </w:t>
      </w:r>
      <w:r w:rsidRPr="00636C44">
        <w:rPr>
          <w:rFonts w:ascii="Bookman Old Style" w:hAnsi="Bookman Old Style"/>
          <w:sz w:val="24"/>
          <w:szCs w:val="24"/>
        </w:rPr>
        <w:t>Perubahan</w:t>
      </w:r>
      <w:r w:rsidR="00A954D0">
        <w:rPr>
          <w:rFonts w:ascii="Bookman Old Style" w:hAnsi="Bookman Old Style"/>
          <w:sz w:val="24"/>
          <w:szCs w:val="24"/>
        </w:rPr>
        <w:t xml:space="preserve"> </w:t>
      </w:r>
      <w:r w:rsidRPr="00636C44">
        <w:rPr>
          <w:rFonts w:ascii="Bookman Old Style" w:hAnsi="Bookman Old Style"/>
          <w:sz w:val="24"/>
          <w:szCs w:val="24"/>
        </w:rPr>
        <w:t>APBD</w:t>
      </w:r>
      <w:r w:rsidR="00A954D0">
        <w:rPr>
          <w:rFonts w:ascii="Bookman Old Style" w:hAnsi="Bookman Old Style"/>
          <w:sz w:val="24"/>
          <w:szCs w:val="24"/>
        </w:rPr>
        <w:t xml:space="preserve"> </w:t>
      </w:r>
      <w:r w:rsidRPr="00636C44">
        <w:rPr>
          <w:rFonts w:ascii="Bookman Old Style" w:hAnsi="Bookman Old Style"/>
          <w:sz w:val="24"/>
          <w:szCs w:val="24"/>
        </w:rPr>
        <w:t>Tahun</w:t>
      </w:r>
      <w:r w:rsidR="00A954D0">
        <w:rPr>
          <w:rFonts w:ascii="Bookman Old Style" w:hAnsi="Bookman Old Style"/>
          <w:sz w:val="24"/>
          <w:szCs w:val="24"/>
        </w:rPr>
        <w:t xml:space="preserve"> </w:t>
      </w:r>
      <w:r w:rsidRPr="00636C44">
        <w:rPr>
          <w:rFonts w:ascii="Bookman Old Style" w:hAnsi="Bookman Old Style"/>
          <w:sz w:val="24"/>
          <w:szCs w:val="24"/>
        </w:rPr>
        <w:t>Anggaran</w:t>
      </w:r>
      <w:r w:rsidR="00A954D0">
        <w:rPr>
          <w:rFonts w:ascii="Bookman Old Style" w:hAnsi="Bookman Old Style"/>
          <w:sz w:val="24"/>
          <w:szCs w:val="24"/>
        </w:rPr>
        <w:t xml:space="preserve"> </w:t>
      </w:r>
      <w:r w:rsidRPr="00636C44">
        <w:rPr>
          <w:rFonts w:ascii="Bookman Old Style" w:hAnsi="Bookman Old Style"/>
          <w:sz w:val="24"/>
          <w:szCs w:val="24"/>
        </w:rPr>
        <w:t>2025</w:t>
      </w:r>
      <w:r w:rsidR="00A954D0">
        <w:rPr>
          <w:rFonts w:ascii="Bookman Old Style" w:hAnsi="Bookman Old Style"/>
          <w:sz w:val="24"/>
          <w:szCs w:val="24"/>
          <w:lang w:val="it-IT"/>
        </w:rPr>
        <w:t xml:space="preserve"> </w:t>
      </w:r>
      <w:r w:rsidRPr="00636C44">
        <w:rPr>
          <w:rFonts w:ascii="Bookman Old Style" w:eastAsia="Bookman Old Style" w:hAnsi="Bookman Old Style" w:cs="Bookman Old Style"/>
          <w:sz w:val="24"/>
          <w:szCs w:val="24"/>
        </w:rPr>
        <w:t>dengan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memprioritaskan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melalui</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program,</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kegiatan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sub</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kegiatan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pada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SKPD</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dengan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lang w:val="it-IT"/>
        </w:rPr>
        <w:t>berpedoman</w:t>
      </w:r>
      <w:r w:rsidR="00A954D0">
        <w:rPr>
          <w:rFonts w:ascii="Bookman Old Style" w:eastAsia="Bookman Old Style" w:hAnsi="Bookman Old Style" w:cs="Bookman Old Style"/>
          <w:sz w:val="24"/>
          <w:szCs w:val="24"/>
          <w:lang w:val="it-IT"/>
        </w:rPr>
        <w:t xml:space="preserve"> </w:t>
      </w:r>
      <w:r w:rsidRPr="00636C44">
        <w:rPr>
          <w:rFonts w:ascii="Bookman Old Style" w:eastAsia="Bookman Old Style" w:hAnsi="Bookman Old Style" w:cs="Bookman Old Style"/>
          <w:sz w:val="24"/>
          <w:szCs w:val="24"/>
          <w:lang w:val="it-IT"/>
        </w:rPr>
        <w:t>pada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klasifikasi</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kodefikasi</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nomenklatur</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perencanaan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pembangunan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keuangan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daerah</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sesuai</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dengan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ketentuan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peraturan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perundang-undangan</w:t>
      </w:r>
      <w:r w:rsidR="008379CA" w:rsidRPr="008379CA">
        <w:rPr>
          <w:rFonts w:ascii="Bookman Old Style" w:eastAsia="Bookman Old Style" w:hAnsi="Bookman Old Style" w:cs="Bookman Old Style"/>
          <w:sz w:val="24"/>
          <w:szCs w:val="24"/>
          <w:lang w:val="it-IT"/>
        </w:rPr>
        <w:t>;</w:t>
      </w:r>
    </w:p>
    <w:p w14:paraId="4E0A2E35" w14:textId="7481A9E9" w:rsidR="009F5DEE" w:rsidRPr="00636C44" w:rsidRDefault="009F5DEE" w:rsidP="008379CA">
      <w:pPr>
        <w:pStyle w:val="ListParagraph"/>
        <w:numPr>
          <w:ilvl w:val="0"/>
          <w:numId w:val="34"/>
        </w:numPr>
        <w:spacing w:before="60" w:after="0" w:line="276" w:lineRule="auto"/>
        <w:ind w:left="1701" w:hanging="425"/>
        <w:contextualSpacing w:val="0"/>
        <w:jc w:val="both"/>
        <w:rPr>
          <w:rFonts w:ascii="Bookman Old Style" w:hAnsi="Bookman Old Style" w:cs="Arial"/>
          <w:sz w:val="24"/>
          <w:szCs w:val="24"/>
          <w:lang w:val="it-IT"/>
        </w:rPr>
      </w:pPr>
      <w:r w:rsidRPr="00636C44">
        <w:rPr>
          <w:rFonts w:ascii="Bookman Old Style" w:hAnsi="Bookman Old Style" w:cs="Arial"/>
          <w:sz w:val="24"/>
          <w:szCs w:val="24"/>
          <w:lang w:val="it-IT"/>
        </w:rPr>
        <w:t>Pemerintah</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Daerah</w:t>
      </w:r>
      <w:r w:rsidR="00A954D0">
        <w:rPr>
          <w:rFonts w:ascii="Bookman Old Style" w:hAnsi="Bookman Old Style" w:cs="Arial"/>
          <w:sz w:val="24"/>
          <w:szCs w:val="24"/>
          <w:lang w:val="de-DE"/>
        </w:rPr>
        <w:t xml:space="preserve"> </w:t>
      </w:r>
      <w:r w:rsidR="00B055C5" w:rsidRPr="00636C44">
        <w:rPr>
          <w:rFonts w:ascii="Bookman Old Style" w:hAnsi="Bookman Old Style"/>
          <w:sz w:val="24"/>
          <w:szCs w:val="24"/>
          <w:lang w:val="fi-FI"/>
        </w:rPr>
        <w:t>Kota</w:t>
      </w:r>
      <w:r w:rsidR="00A954D0">
        <w:rPr>
          <w:rFonts w:ascii="Bookman Old Style" w:hAnsi="Bookman Old Style"/>
          <w:sz w:val="24"/>
          <w:szCs w:val="24"/>
          <w:lang w:val="fi-FI"/>
        </w:rPr>
        <w:t xml:space="preserve"> </w:t>
      </w:r>
      <w:r w:rsidR="00770F22" w:rsidRPr="00636C44">
        <w:rPr>
          <w:rFonts w:ascii="Bookman Old Style" w:hAnsi="Bookman Old Style"/>
          <w:sz w:val="24"/>
          <w:szCs w:val="24"/>
          <w:lang w:val="fi-FI"/>
        </w:rPr>
        <w:t>Tangerang</w:t>
      </w:r>
      <w:r w:rsidR="00A954D0">
        <w:rPr>
          <w:rFonts w:ascii="Bookman Old Style" w:hAnsi="Bookman Old Style"/>
          <w:sz w:val="24"/>
          <w:szCs w:val="24"/>
          <w:lang w:val="fi-FI"/>
        </w:rPr>
        <w:t xml:space="preserve"> </w:t>
      </w:r>
      <w:r w:rsidRPr="00636C44">
        <w:rPr>
          <w:rFonts w:ascii="Bookman Old Style" w:hAnsi="Bookman Old Style" w:cs="Arial"/>
          <w:sz w:val="24"/>
          <w:szCs w:val="24"/>
          <w:lang w:val="it-IT"/>
        </w:rPr>
        <w:t>juga</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dapat</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menganggarkan</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dalam</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bentuk</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Belanja</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Hibah</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yang</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dianggarkan</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pada</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SKPD</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berkenaan</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dan</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dirinci</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menurut</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objek,</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rincian</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objek</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dan</w:t>
      </w:r>
      <w:r w:rsidR="00A954D0">
        <w:rPr>
          <w:rFonts w:ascii="Bookman Old Style" w:hAnsi="Bookman Old Style" w:cs="Arial"/>
          <w:sz w:val="24"/>
          <w:szCs w:val="24"/>
          <w:lang w:val="it-IT"/>
        </w:rPr>
        <w:t xml:space="preserve"> </w:t>
      </w:r>
      <w:r w:rsidRPr="00636C44">
        <w:rPr>
          <w:rFonts w:ascii="Bookman Old Style" w:eastAsia="Bookman Old Style" w:hAnsi="Bookman Old Style" w:cs="Bookman Old Style"/>
          <w:sz w:val="24"/>
          <w:szCs w:val="24"/>
        </w:rPr>
        <w:t>sub</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rincian</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objek</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pada</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program,</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kegiatan</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dan</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sub</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kegiatan</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sesuai</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dengan</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tugas</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dan</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fungsi</w:t>
      </w:r>
      <w:r w:rsidR="00A954D0">
        <w:rPr>
          <w:rFonts w:ascii="Bookman Old Style" w:hAnsi="Bookman Old Style" w:cs="Arial"/>
          <w:sz w:val="24"/>
          <w:szCs w:val="24"/>
          <w:lang w:val="it-IT"/>
        </w:rPr>
        <w:t xml:space="preserve"> </w:t>
      </w:r>
      <w:r w:rsidRPr="00636C44">
        <w:rPr>
          <w:rFonts w:ascii="Bookman Old Style" w:hAnsi="Bookman Old Style" w:cs="Arial"/>
          <w:sz w:val="24"/>
          <w:szCs w:val="24"/>
          <w:lang w:val="it-IT"/>
        </w:rPr>
        <w:t>TP-PKK</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dengan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prioritas</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penggunaan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untuk</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mendukung</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upaya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pendampingan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keluarga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dalam</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percepatan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penurunan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i/>
          <w:iCs/>
          <w:sz w:val="24"/>
          <w:szCs w:val="24"/>
        </w:rPr>
        <w:t>Stunting</w:t>
      </w:r>
      <w:r w:rsidRPr="00636C44">
        <w:rPr>
          <w:rFonts w:ascii="Bookman Old Style" w:eastAsia="Bookman Old Style" w:hAnsi="Bookman Old Style" w:cs="Bookman Old Style"/>
          <w:sz w:val="24"/>
          <w:szCs w:val="24"/>
        </w:rPr>
        <w:t>,</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pengelolaan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Posyandu,</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pengelolaan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10</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(sepuluh)</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Program</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Pokok</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PKK,</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kegiatan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bakti</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sosial,</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peningkatan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kapasitas</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Kader</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PKK</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Kader</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Dasawisma,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dukungan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perekonomian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berbasis</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keluarga,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peningkatan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ketahanan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keluarga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di</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bidang</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pangan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sandang,</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dukungan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pengembangan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kewirausahaan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di</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bidang</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usaha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kerajinan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rumah</w:t>
      </w:r>
      <w:r w:rsidR="00A954D0">
        <w:rPr>
          <w:rFonts w:ascii="Bookman Old Style" w:eastAsia="Bookman Old Style" w:hAnsi="Bookman Old Style" w:cs="Bookman Old Style"/>
          <w:sz w:val="24"/>
          <w:szCs w:val="24"/>
          <w:lang w:val="en-US"/>
        </w:rPr>
        <w:t xml:space="preserve"> </w:t>
      </w:r>
      <w:r w:rsidRPr="00636C44">
        <w:rPr>
          <w:rFonts w:ascii="Bookman Old Style" w:eastAsia="Bookman Old Style" w:hAnsi="Bookman Old Style" w:cs="Bookman Old Style"/>
          <w:sz w:val="24"/>
          <w:szCs w:val="24"/>
        </w:rPr>
        <w:t>tangga,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dukungan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kegiatan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rutin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dan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operasional</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Sekretariat</w:t>
      </w:r>
      <w:r w:rsidR="00A954D0">
        <w:rPr>
          <w:rFonts w:ascii="Bookman Old Style" w:eastAsia="Bookman Old Style" w:hAnsi="Bookman Old Style" w:cs="Bookman Old Style"/>
          <w:sz w:val="24"/>
          <w:szCs w:val="24"/>
        </w:rPr>
        <w:t xml:space="preserve"> </w:t>
      </w:r>
      <w:r w:rsidRPr="00636C44">
        <w:rPr>
          <w:rFonts w:ascii="Bookman Old Style" w:hAnsi="Bookman Old Style" w:cs="Arial"/>
          <w:sz w:val="24"/>
          <w:szCs w:val="24"/>
          <w:lang w:val="it-IT"/>
        </w:rPr>
        <w:t>TP-PKK</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Provinsi/</w:t>
      </w:r>
      <w:r w:rsidR="00172E1C" w:rsidRPr="00636C44">
        <w:rPr>
          <w:rFonts w:ascii="Bookman Old Style" w:eastAsia="Bookman Old Style" w:hAnsi="Bookman Old Style" w:cs="Bookman Old Style"/>
          <w:sz w:val="24"/>
          <w:szCs w:val="24"/>
        </w:rPr>
        <w:t>Kabupaten/Kota</w:t>
      </w:r>
      <w:r w:rsidRPr="00636C44">
        <w:rPr>
          <w:rFonts w:ascii="Bookman Old Style" w:eastAsia="Bookman Old Style" w:hAnsi="Bookman Old Style" w:cs="Bookman Old Style"/>
          <w:sz w:val="24"/>
          <w:szCs w:val="24"/>
        </w:rPr>
        <w:t>,</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serta</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kegiatan</w:t>
      </w:r>
      <w:r w:rsidR="00A954D0">
        <w:rPr>
          <w:rFonts w:ascii="Bookman Old Style" w:eastAsia="Bookman Old Style" w:hAnsi="Bookman Old Style" w:cs="Bookman Old Style"/>
          <w:sz w:val="24"/>
          <w:szCs w:val="24"/>
        </w:rPr>
        <w:t xml:space="preserve"> </w:t>
      </w:r>
      <w:r w:rsidRPr="00636C44">
        <w:rPr>
          <w:rFonts w:ascii="Bookman Old Style" w:eastAsia="Bookman Old Style" w:hAnsi="Bookman Old Style" w:cs="Bookman Old Style"/>
          <w:sz w:val="24"/>
          <w:szCs w:val="24"/>
        </w:rPr>
        <w:t>lainnya</w:t>
      </w:r>
      <w:r w:rsidR="008379CA">
        <w:rPr>
          <w:rFonts w:ascii="Bookman Old Style" w:eastAsia="Bookman Old Style" w:hAnsi="Bookman Old Style" w:cs="Bookman Old Style"/>
          <w:sz w:val="24"/>
          <w:szCs w:val="24"/>
          <w:lang w:val="en-US"/>
        </w:rPr>
        <w:t>;</w:t>
      </w:r>
    </w:p>
    <w:p w14:paraId="779B8BE1" w14:textId="3C066CAF" w:rsidR="009F5DEE" w:rsidRPr="00636C44" w:rsidRDefault="009F5DEE" w:rsidP="008379CA">
      <w:pPr>
        <w:pStyle w:val="ListParagraph"/>
        <w:numPr>
          <w:ilvl w:val="0"/>
          <w:numId w:val="34"/>
        </w:numPr>
        <w:spacing w:before="60" w:after="0" w:line="276" w:lineRule="auto"/>
        <w:ind w:left="1701" w:hanging="425"/>
        <w:contextualSpacing w:val="0"/>
        <w:jc w:val="both"/>
        <w:rPr>
          <w:rFonts w:ascii="Bookman Old Style" w:hAnsi="Bookman Old Style" w:cs="Arial"/>
          <w:sz w:val="24"/>
          <w:szCs w:val="24"/>
        </w:rPr>
      </w:pPr>
      <w:r w:rsidRPr="00636C44">
        <w:rPr>
          <w:rFonts w:ascii="Bookman Old Style" w:eastAsia="Bookman Old Style" w:hAnsi="Bookman Old Style" w:cs="Bookman Old Style"/>
          <w:sz w:val="24"/>
          <w:szCs w:val="24"/>
        </w:rPr>
        <w:lastRenderedPageBreak/>
        <w:t>Penganggaran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dalam</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bentuk</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hibah</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harus</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memperhatikan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kapasitas</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SDM</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penerima</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hibah.</w:t>
      </w:r>
    </w:p>
    <w:p w14:paraId="7A147CCF" w14:textId="0686EAA5" w:rsidR="001E3DC2" w:rsidRPr="00636C44" w:rsidRDefault="009F5DEE" w:rsidP="00D543A7">
      <w:pPr>
        <w:spacing w:before="60" w:line="276" w:lineRule="auto"/>
        <w:ind w:left="1276"/>
        <w:jc w:val="both"/>
        <w:rPr>
          <w:rFonts w:ascii="Bookman Old Style" w:hAnsi="Bookman Old Style" w:cs="Arial"/>
          <w:lang w:val="sv-FI"/>
        </w:rPr>
      </w:pPr>
      <w:r w:rsidRPr="00636C44">
        <w:rPr>
          <w:rFonts w:ascii="Bookman Old Style" w:hAnsi="Bookman Old Style"/>
          <w:lang w:val="id-ID"/>
        </w:rPr>
        <w:t>Selanjutnya,</w:t>
      </w:r>
      <w:r w:rsidR="00A954D0">
        <w:rPr>
          <w:rFonts w:ascii="Bookman Old Style" w:hAnsi="Bookman Old Style"/>
          <w:lang w:val="id-ID"/>
        </w:rPr>
        <w:t xml:space="preserve"> </w:t>
      </w:r>
      <w:r w:rsidRPr="00636C44">
        <w:rPr>
          <w:rFonts w:ascii="Bookman Old Style" w:hAnsi="Bookman Old Style"/>
          <w:lang w:val="id-ID"/>
        </w:rPr>
        <w:t>dalam</w:t>
      </w:r>
      <w:r w:rsidR="00A954D0">
        <w:rPr>
          <w:rFonts w:ascii="Bookman Old Style" w:hAnsi="Bookman Old Style"/>
          <w:lang w:val="id-ID"/>
        </w:rPr>
        <w:t xml:space="preserve"> </w:t>
      </w:r>
      <w:r w:rsidRPr="00636C44">
        <w:rPr>
          <w:rFonts w:ascii="Bookman Old Style" w:hAnsi="Bookman Old Style"/>
          <w:lang w:val="id-ID"/>
        </w:rPr>
        <w:t>men</w:t>
      </w:r>
      <w:r w:rsidRPr="00636C44">
        <w:rPr>
          <w:rFonts w:ascii="Bookman Old Style" w:hAnsi="Bookman Old Style"/>
        </w:rPr>
        <w:t>dukung</w:t>
      </w:r>
      <w:r w:rsidR="00A954D0">
        <w:rPr>
          <w:rFonts w:ascii="Bookman Old Style" w:hAnsi="Bookman Old Style"/>
        </w:rPr>
        <w:t xml:space="preserve"> </w:t>
      </w:r>
      <w:r w:rsidRPr="00636C44">
        <w:rPr>
          <w:rFonts w:ascii="Bookman Old Style" w:hAnsi="Bookman Old Style"/>
        </w:rPr>
        <w:t>pelaksanaan</w:t>
      </w:r>
      <w:r w:rsidR="00A954D0">
        <w:rPr>
          <w:rFonts w:ascii="Bookman Old Style" w:hAnsi="Bookman Old Style"/>
        </w:rPr>
        <w:t xml:space="preserve"> </w:t>
      </w:r>
      <w:r w:rsidRPr="00636C44">
        <w:rPr>
          <w:rFonts w:ascii="Bookman Old Style" w:hAnsi="Bookman Old Style"/>
        </w:rPr>
        <w:t>tugas</w:t>
      </w:r>
      <w:r w:rsidR="00A954D0">
        <w:rPr>
          <w:rFonts w:ascii="Bookman Old Style" w:hAnsi="Bookman Old Style"/>
        </w:rPr>
        <w:t xml:space="preserve"> </w:t>
      </w:r>
      <w:r w:rsidRPr="00636C44">
        <w:rPr>
          <w:rFonts w:ascii="Bookman Old Style" w:hAnsi="Bookman Old Style"/>
        </w:rPr>
        <w:t>dan</w:t>
      </w:r>
      <w:r w:rsidR="00A954D0">
        <w:rPr>
          <w:rFonts w:ascii="Bookman Old Style" w:hAnsi="Bookman Old Style"/>
        </w:rPr>
        <w:t xml:space="preserve"> </w:t>
      </w:r>
      <w:r w:rsidRPr="00636C44">
        <w:rPr>
          <w:rFonts w:ascii="Bookman Old Style" w:hAnsi="Bookman Old Style"/>
        </w:rPr>
        <w:t>fungsi</w:t>
      </w:r>
      <w:r w:rsidR="00A954D0">
        <w:rPr>
          <w:rFonts w:ascii="Bookman Old Style" w:hAnsi="Bookman Old Style"/>
        </w:rPr>
        <w:t xml:space="preserve"> </w:t>
      </w:r>
      <w:r w:rsidRPr="00636C44">
        <w:rPr>
          <w:rFonts w:ascii="Bookman Old Style" w:hAnsi="Bookman Old Style"/>
        </w:rPr>
        <w:t>TP-PKK</w:t>
      </w:r>
      <w:r w:rsidR="00A954D0">
        <w:rPr>
          <w:rFonts w:ascii="Bookman Old Style" w:hAnsi="Bookman Old Style"/>
        </w:rPr>
        <w:t xml:space="preserve"> </w:t>
      </w:r>
      <w:r w:rsidR="00B055C5" w:rsidRPr="00636C44">
        <w:rPr>
          <w:rFonts w:ascii="Bookman Old Style" w:hAnsi="Bookman Old Style"/>
          <w:lang w:val="fi-FI"/>
        </w:rPr>
        <w:t>Kota</w:t>
      </w:r>
      <w:r w:rsidR="00A954D0">
        <w:rPr>
          <w:rFonts w:ascii="Bookman Old Style" w:hAnsi="Bookman Old Style"/>
          <w:lang w:val="fi-FI"/>
        </w:rPr>
        <w:t xml:space="preserve"> </w:t>
      </w:r>
      <w:r w:rsidR="00770F22" w:rsidRPr="00636C44">
        <w:rPr>
          <w:rFonts w:ascii="Bookman Old Style" w:hAnsi="Bookman Old Style"/>
          <w:lang w:val="fi-FI"/>
        </w:rPr>
        <w:t>Tangerang</w:t>
      </w:r>
      <w:r w:rsidR="00A954D0">
        <w:rPr>
          <w:rFonts w:ascii="Bookman Old Style" w:hAnsi="Bookman Old Style"/>
          <w:lang w:val="fi-FI"/>
        </w:rPr>
        <w:t xml:space="preserve"> </w:t>
      </w:r>
      <w:r w:rsidRPr="00636C44">
        <w:rPr>
          <w:rFonts w:ascii="Bookman Old Style" w:hAnsi="Bookman Old Style"/>
          <w:lang w:val="id-ID"/>
        </w:rPr>
        <w:t>tersebut</w:t>
      </w:r>
      <w:r w:rsidR="00A954D0">
        <w:rPr>
          <w:rFonts w:ascii="Bookman Old Style" w:hAnsi="Bookman Old Style"/>
          <w:lang w:val="id-ID"/>
        </w:rPr>
        <w:t xml:space="preserve"> </w:t>
      </w:r>
      <w:r w:rsidRPr="00636C44">
        <w:rPr>
          <w:rFonts w:ascii="Bookman Old Style" w:hAnsi="Bookman Old Style"/>
          <w:lang w:val="id-ID"/>
        </w:rPr>
        <w:t>diprioritaskan</w:t>
      </w:r>
      <w:r w:rsidR="00A954D0">
        <w:rPr>
          <w:rFonts w:ascii="Bookman Old Style" w:hAnsi="Bookman Old Style"/>
          <w:lang w:val="id-ID"/>
        </w:rPr>
        <w:t xml:space="preserve"> </w:t>
      </w:r>
      <w:r w:rsidRPr="00636C44">
        <w:rPr>
          <w:rFonts w:ascii="Bookman Old Style" w:hAnsi="Bookman Old Style"/>
          <w:lang w:val="id-ID"/>
        </w:rPr>
        <w:t>untuk</w:t>
      </w:r>
      <w:r w:rsidR="00A954D0">
        <w:rPr>
          <w:rFonts w:ascii="Bookman Old Style" w:hAnsi="Bookman Old Style"/>
          <w:lang w:val="id-ID"/>
        </w:rPr>
        <w:t xml:space="preserve"> </w:t>
      </w:r>
      <w:r w:rsidRPr="00636C44">
        <w:rPr>
          <w:rFonts w:ascii="Bookman Old Style" w:hAnsi="Bookman Old Style"/>
        </w:rPr>
        <w:t>dianggarkan</w:t>
      </w:r>
      <w:r w:rsidR="00A954D0">
        <w:rPr>
          <w:rFonts w:ascii="Bookman Old Style" w:hAnsi="Bookman Old Style"/>
        </w:rPr>
        <w:t xml:space="preserve"> </w:t>
      </w:r>
      <w:r w:rsidRPr="00636C44">
        <w:rPr>
          <w:rFonts w:ascii="Bookman Old Style" w:hAnsi="Bookman Old Style"/>
        </w:rPr>
        <w:t>dalam</w:t>
      </w:r>
      <w:r w:rsidR="00A954D0">
        <w:rPr>
          <w:rFonts w:ascii="Bookman Old Style" w:hAnsi="Bookman Old Style"/>
        </w:rPr>
        <w:t xml:space="preserve"> </w:t>
      </w:r>
      <w:r w:rsidRPr="00636C44">
        <w:rPr>
          <w:rFonts w:ascii="Bookman Old Style" w:hAnsi="Bookman Old Style"/>
        </w:rPr>
        <w:t>Rancangan</w:t>
      </w:r>
      <w:r w:rsidR="00A954D0">
        <w:rPr>
          <w:rFonts w:ascii="Bookman Old Style" w:hAnsi="Bookman Old Style"/>
        </w:rPr>
        <w:t xml:space="preserve"> </w:t>
      </w:r>
      <w:r w:rsidRPr="00636C44">
        <w:rPr>
          <w:rFonts w:ascii="Bookman Old Style" w:hAnsi="Bookman Old Style"/>
        </w:rPr>
        <w:t>Peraturan</w:t>
      </w:r>
      <w:r w:rsidR="00A954D0">
        <w:rPr>
          <w:rFonts w:ascii="Bookman Old Style" w:hAnsi="Bookman Old Style"/>
        </w:rPr>
        <w:t xml:space="preserve"> </w:t>
      </w:r>
      <w:r w:rsidRPr="00636C44">
        <w:rPr>
          <w:rFonts w:ascii="Bookman Old Style" w:hAnsi="Bookman Old Style"/>
        </w:rPr>
        <w:t>Daerah</w:t>
      </w:r>
      <w:r w:rsidR="00A954D0">
        <w:rPr>
          <w:rFonts w:ascii="Bookman Old Style" w:hAnsi="Bookman Old Style"/>
        </w:rPr>
        <w:t xml:space="preserve"> </w:t>
      </w:r>
      <w:r w:rsidR="00B055C5" w:rsidRPr="00636C44">
        <w:rPr>
          <w:rFonts w:ascii="Bookman Old Style" w:hAnsi="Bookman Old Style"/>
          <w:lang w:val="fi-FI"/>
        </w:rPr>
        <w:t>Kota</w:t>
      </w:r>
      <w:r w:rsidR="00A954D0">
        <w:rPr>
          <w:rFonts w:ascii="Bookman Old Style" w:hAnsi="Bookman Old Style"/>
          <w:lang w:val="fi-FI"/>
        </w:rPr>
        <w:t xml:space="preserve"> </w:t>
      </w:r>
      <w:r w:rsidR="00770F22" w:rsidRPr="00636C44">
        <w:rPr>
          <w:rFonts w:ascii="Bookman Old Style" w:hAnsi="Bookman Old Style"/>
          <w:lang w:val="fi-FI"/>
        </w:rPr>
        <w:t>Tangerang</w:t>
      </w:r>
      <w:r w:rsidR="00A954D0">
        <w:rPr>
          <w:rFonts w:ascii="Bookman Old Style" w:hAnsi="Bookman Old Style"/>
          <w:lang w:val="fi-FI"/>
        </w:rPr>
        <w:t xml:space="preserve"> </w:t>
      </w:r>
      <w:r w:rsidRPr="00636C44">
        <w:rPr>
          <w:rFonts w:ascii="Bookman Old Style" w:hAnsi="Bookman Old Style"/>
        </w:rPr>
        <w:t>tentang</w:t>
      </w:r>
      <w:r w:rsidR="00A954D0">
        <w:rPr>
          <w:rFonts w:ascii="Bookman Old Style" w:hAnsi="Bookman Old Style"/>
        </w:rPr>
        <w:t xml:space="preserve"> </w:t>
      </w:r>
      <w:r w:rsidRPr="00636C44">
        <w:rPr>
          <w:rFonts w:ascii="Bookman Old Style" w:hAnsi="Bookman Old Style"/>
        </w:rPr>
        <w:t>APBD</w:t>
      </w:r>
      <w:r w:rsidR="00A954D0">
        <w:rPr>
          <w:rFonts w:ascii="Bookman Old Style" w:hAnsi="Bookman Old Style"/>
        </w:rPr>
        <w:t xml:space="preserve"> </w:t>
      </w:r>
      <w:r w:rsidRPr="00636C44">
        <w:rPr>
          <w:rFonts w:ascii="Bookman Old Style" w:hAnsi="Bookman Old Style"/>
        </w:rPr>
        <w:t>Tahun</w:t>
      </w:r>
      <w:r w:rsidR="00A954D0">
        <w:rPr>
          <w:rFonts w:ascii="Bookman Old Style" w:hAnsi="Bookman Old Style"/>
        </w:rPr>
        <w:t xml:space="preserve"> </w:t>
      </w:r>
      <w:r w:rsidRPr="00636C44">
        <w:rPr>
          <w:rFonts w:ascii="Bookman Old Style" w:hAnsi="Bookman Old Style"/>
        </w:rPr>
        <w:t>Anggaran</w:t>
      </w:r>
      <w:r w:rsidR="00A954D0">
        <w:rPr>
          <w:rFonts w:ascii="Bookman Old Style" w:hAnsi="Bookman Old Style"/>
        </w:rPr>
        <w:t xml:space="preserve"> </w:t>
      </w:r>
      <w:r w:rsidRPr="00636C44">
        <w:rPr>
          <w:rFonts w:ascii="Bookman Old Style" w:hAnsi="Bookman Old Style"/>
        </w:rPr>
        <w:t>2025</w:t>
      </w:r>
      <w:r w:rsidR="00A954D0">
        <w:rPr>
          <w:rFonts w:ascii="Bookman Old Style" w:hAnsi="Bookman Old Style"/>
        </w:rPr>
        <w:t xml:space="preserve"> </w:t>
      </w:r>
      <w:r w:rsidRPr="00636C44">
        <w:rPr>
          <w:rFonts w:ascii="Bookman Old Style" w:hAnsi="Bookman Old Style"/>
        </w:rPr>
        <w:t>melalui</w:t>
      </w:r>
      <w:r w:rsidR="00A954D0">
        <w:rPr>
          <w:rFonts w:ascii="Bookman Old Style" w:hAnsi="Bookman Old Style"/>
        </w:rPr>
        <w:t xml:space="preserve"> </w:t>
      </w:r>
      <w:r w:rsidRPr="00636C44">
        <w:rPr>
          <w:rFonts w:ascii="Bookman Old Style" w:hAnsi="Bookman Old Style"/>
        </w:rPr>
        <w:t>program,</w:t>
      </w:r>
      <w:r w:rsidR="00A954D0">
        <w:rPr>
          <w:rFonts w:ascii="Bookman Old Style" w:hAnsi="Bookman Old Style"/>
        </w:rPr>
        <w:t xml:space="preserve"> </w:t>
      </w:r>
      <w:r w:rsidRPr="00636C44">
        <w:rPr>
          <w:rFonts w:ascii="Bookman Old Style" w:hAnsi="Bookman Old Style"/>
        </w:rPr>
        <w:t>kegiatan</w:t>
      </w:r>
      <w:r w:rsidR="00A954D0">
        <w:rPr>
          <w:rFonts w:ascii="Bookman Old Style" w:hAnsi="Bookman Old Style"/>
        </w:rPr>
        <w:t xml:space="preserve"> </w:t>
      </w:r>
      <w:r w:rsidRPr="00636C44">
        <w:rPr>
          <w:rFonts w:ascii="Bookman Old Style" w:hAnsi="Bookman Old Style"/>
        </w:rPr>
        <w:t>dan</w:t>
      </w:r>
      <w:r w:rsidR="00A954D0">
        <w:rPr>
          <w:rFonts w:ascii="Bookman Old Style" w:hAnsi="Bookman Old Style"/>
        </w:rPr>
        <w:t xml:space="preserve"> </w:t>
      </w:r>
      <w:r w:rsidRPr="00636C44">
        <w:rPr>
          <w:rFonts w:ascii="Bookman Old Style" w:hAnsi="Bookman Old Style"/>
        </w:rPr>
        <w:t>sub</w:t>
      </w:r>
      <w:r w:rsidR="00A954D0">
        <w:rPr>
          <w:rFonts w:ascii="Bookman Old Style" w:hAnsi="Bookman Old Style"/>
        </w:rPr>
        <w:t xml:space="preserve"> </w:t>
      </w:r>
      <w:r w:rsidRPr="00636C44">
        <w:rPr>
          <w:rFonts w:ascii="Bookman Old Style" w:hAnsi="Bookman Old Style"/>
        </w:rPr>
        <w:t>kegiatan</w:t>
      </w:r>
      <w:r w:rsidR="00A954D0">
        <w:rPr>
          <w:rFonts w:ascii="Bookman Old Style" w:hAnsi="Bookman Old Style"/>
        </w:rPr>
        <w:t xml:space="preserve"> </w:t>
      </w:r>
      <w:r w:rsidRPr="00636C44">
        <w:rPr>
          <w:rFonts w:ascii="Bookman Old Style" w:hAnsi="Bookman Old Style"/>
        </w:rPr>
        <w:t>pada</w:t>
      </w:r>
      <w:r w:rsidR="00A954D0">
        <w:rPr>
          <w:rFonts w:ascii="Bookman Old Style" w:hAnsi="Bookman Old Style"/>
        </w:rPr>
        <w:t xml:space="preserve"> </w:t>
      </w:r>
      <w:r w:rsidRPr="00636C44">
        <w:rPr>
          <w:rFonts w:ascii="Bookman Old Style" w:hAnsi="Bookman Old Style"/>
        </w:rPr>
        <w:t>SKPD</w:t>
      </w:r>
      <w:r w:rsidR="00A954D0">
        <w:rPr>
          <w:rFonts w:ascii="Bookman Old Style" w:hAnsi="Bookman Old Style"/>
        </w:rPr>
        <w:t xml:space="preserve"> </w:t>
      </w:r>
      <w:r w:rsidRPr="00636C44">
        <w:rPr>
          <w:rFonts w:ascii="Bookman Old Style" w:hAnsi="Bookman Old Style"/>
          <w:lang w:val="en-US"/>
        </w:rPr>
        <w:t>sebagaimana</w:t>
      </w:r>
      <w:r w:rsidR="00A954D0">
        <w:rPr>
          <w:rFonts w:ascii="Bookman Old Style" w:hAnsi="Bookman Old Style"/>
          <w:lang w:val="en-US"/>
        </w:rPr>
        <w:t xml:space="preserve"> </w:t>
      </w:r>
      <w:r w:rsidRPr="00636C44">
        <w:rPr>
          <w:rFonts w:ascii="Bookman Old Style" w:hAnsi="Bookman Old Style"/>
          <w:lang w:val="en-US"/>
        </w:rPr>
        <w:t>maksud</w:t>
      </w:r>
      <w:r w:rsidR="00A954D0">
        <w:rPr>
          <w:rFonts w:ascii="Bookman Old Style" w:hAnsi="Bookman Old Style"/>
          <w:lang w:val="en-US"/>
        </w:rPr>
        <w:t xml:space="preserve"> </w:t>
      </w:r>
      <w:r w:rsidRPr="00636C44">
        <w:rPr>
          <w:rFonts w:ascii="Bookman Old Style" w:hAnsi="Bookman Old Style"/>
          <w:lang w:val="en-US"/>
        </w:rPr>
        <w:t>butir</w:t>
      </w:r>
      <w:r w:rsidR="00A954D0">
        <w:rPr>
          <w:rFonts w:ascii="Bookman Old Style" w:hAnsi="Bookman Old Style"/>
          <w:lang w:val="en-US"/>
        </w:rPr>
        <w:t xml:space="preserve"> </w:t>
      </w:r>
      <w:r w:rsidRPr="00636C44">
        <w:rPr>
          <w:rFonts w:ascii="Bookman Old Style" w:hAnsi="Bookman Old Style"/>
          <w:lang w:val="en-US"/>
        </w:rPr>
        <w:t>5.3.12.b</w:t>
      </w:r>
      <w:r w:rsidR="00A954D0">
        <w:rPr>
          <w:rFonts w:ascii="Bookman Old Style" w:hAnsi="Bookman Old Style"/>
        </w:rPr>
        <w:t xml:space="preserve"> </w:t>
      </w:r>
      <w:r w:rsidRPr="00636C44">
        <w:rPr>
          <w:rFonts w:ascii="Bookman Old Style" w:hAnsi="Bookman Old Style"/>
        </w:rPr>
        <w:t>Lampiran</w:t>
      </w:r>
      <w:r w:rsidR="00A954D0">
        <w:rPr>
          <w:rFonts w:ascii="Bookman Old Style" w:hAnsi="Bookman Old Style"/>
        </w:rPr>
        <w:t xml:space="preserve"> </w:t>
      </w:r>
      <w:r w:rsidRPr="00636C44">
        <w:rPr>
          <w:rFonts w:ascii="Bookman Old Style" w:hAnsi="Bookman Old Style"/>
        </w:rPr>
        <w:t>Peraturan</w:t>
      </w:r>
      <w:r w:rsidR="00A954D0">
        <w:rPr>
          <w:rFonts w:ascii="Bookman Old Style" w:hAnsi="Bookman Old Style"/>
        </w:rPr>
        <w:t xml:space="preserve"> </w:t>
      </w:r>
      <w:r w:rsidRPr="00636C44">
        <w:rPr>
          <w:rFonts w:ascii="Bookman Old Style" w:hAnsi="Bookman Old Style"/>
        </w:rPr>
        <w:t>Menteri</w:t>
      </w:r>
      <w:r w:rsidR="00A954D0">
        <w:rPr>
          <w:rFonts w:ascii="Bookman Old Style" w:hAnsi="Bookman Old Style"/>
        </w:rPr>
        <w:t xml:space="preserve"> </w:t>
      </w:r>
      <w:r w:rsidRPr="00636C44">
        <w:rPr>
          <w:rFonts w:ascii="Bookman Old Style" w:hAnsi="Bookman Old Style"/>
        </w:rPr>
        <w:t>Dalam</w:t>
      </w:r>
      <w:r w:rsidR="00A954D0">
        <w:rPr>
          <w:rFonts w:ascii="Bookman Old Style" w:hAnsi="Bookman Old Style"/>
        </w:rPr>
        <w:t xml:space="preserve"> </w:t>
      </w:r>
      <w:r w:rsidRPr="00636C44">
        <w:rPr>
          <w:rFonts w:ascii="Bookman Old Style" w:hAnsi="Bookman Old Style"/>
        </w:rPr>
        <w:t>Negeri</w:t>
      </w:r>
      <w:r w:rsidR="00A954D0">
        <w:rPr>
          <w:rFonts w:ascii="Bookman Old Style" w:hAnsi="Bookman Old Style"/>
        </w:rPr>
        <w:t xml:space="preserve"> </w:t>
      </w:r>
      <w:r w:rsidRPr="00636C44">
        <w:rPr>
          <w:rFonts w:ascii="Bookman Old Style" w:hAnsi="Bookman Old Style"/>
        </w:rPr>
        <w:t>Nomor</w:t>
      </w:r>
      <w:r w:rsidR="00A954D0">
        <w:rPr>
          <w:rFonts w:ascii="Bookman Old Style" w:hAnsi="Bookman Old Style"/>
        </w:rPr>
        <w:t xml:space="preserve"> </w:t>
      </w:r>
      <w:r w:rsidRPr="00636C44">
        <w:rPr>
          <w:rFonts w:ascii="Bookman Old Style" w:hAnsi="Bookman Old Style"/>
          <w:lang w:val="en-US"/>
        </w:rPr>
        <w:t>15</w:t>
      </w:r>
      <w:r w:rsidR="00A954D0">
        <w:rPr>
          <w:rFonts w:ascii="Bookman Old Style" w:hAnsi="Bookman Old Style"/>
        </w:rPr>
        <w:t xml:space="preserve"> </w:t>
      </w:r>
      <w:r w:rsidRPr="00636C44">
        <w:rPr>
          <w:rFonts w:ascii="Bookman Old Style" w:hAnsi="Bookman Old Style"/>
        </w:rPr>
        <w:t>Tahun</w:t>
      </w:r>
      <w:r w:rsidR="00A954D0">
        <w:rPr>
          <w:rFonts w:ascii="Bookman Old Style" w:hAnsi="Bookman Old Style"/>
        </w:rPr>
        <w:t xml:space="preserve"> </w:t>
      </w:r>
      <w:r w:rsidRPr="00636C44">
        <w:rPr>
          <w:rFonts w:ascii="Bookman Old Style" w:hAnsi="Bookman Old Style"/>
        </w:rPr>
        <w:t>202</w:t>
      </w:r>
      <w:r w:rsidRPr="00636C44">
        <w:rPr>
          <w:rFonts w:ascii="Bookman Old Style" w:hAnsi="Bookman Old Style"/>
          <w:lang w:val="en-US"/>
        </w:rPr>
        <w:t>4.</w:t>
      </w:r>
    </w:p>
    <w:p w14:paraId="7BCE0A7C" w14:textId="2B1FC7B3" w:rsidR="001E3DC2" w:rsidRPr="00636C44" w:rsidRDefault="001E3DC2" w:rsidP="00196996">
      <w:pPr>
        <w:pStyle w:val="ListParagraph"/>
        <w:numPr>
          <w:ilvl w:val="0"/>
          <w:numId w:val="99"/>
        </w:numPr>
        <w:spacing w:before="120" w:after="120" w:line="276" w:lineRule="auto"/>
        <w:ind w:left="1276" w:hanging="284"/>
        <w:contextualSpacing w:val="0"/>
        <w:jc w:val="both"/>
        <w:rPr>
          <w:rFonts w:ascii="Bookman Old Style" w:hAnsi="Bookman Old Style" w:cs="Arial"/>
          <w:sz w:val="24"/>
          <w:szCs w:val="24"/>
        </w:rPr>
      </w:pPr>
      <w:r w:rsidRPr="00636C44">
        <w:rPr>
          <w:rFonts w:ascii="Bookman Old Style" w:hAnsi="Bookman Old Style" w:cs="Arial"/>
          <w:sz w:val="24"/>
          <w:szCs w:val="24"/>
        </w:rPr>
        <w:t>Alokasi</w:t>
      </w:r>
      <w:r w:rsidR="00A954D0">
        <w:rPr>
          <w:rFonts w:ascii="Bookman Old Style" w:hAnsi="Bookman Old Style" w:cs="Arial"/>
          <w:sz w:val="24"/>
          <w:szCs w:val="24"/>
        </w:rPr>
        <w:t xml:space="preserve"> </w:t>
      </w:r>
      <w:r w:rsidRPr="00636C44">
        <w:rPr>
          <w:rFonts w:ascii="Bookman Old Style" w:hAnsi="Bookman Old Style" w:cs="Arial"/>
          <w:sz w:val="24"/>
          <w:szCs w:val="24"/>
        </w:rPr>
        <w:t>Anggaran</w:t>
      </w:r>
      <w:r w:rsidR="00A954D0">
        <w:rPr>
          <w:rFonts w:ascii="Bookman Old Style" w:hAnsi="Bookman Old Style" w:cs="Arial"/>
          <w:sz w:val="24"/>
          <w:szCs w:val="24"/>
        </w:rPr>
        <w:t xml:space="preserve"> </w:t>
      </w:r>
      <w:r w:rsidRPr="00636C44">
        <w:rPr>
          <w:rFonts w:ascii="Bookman Old Style" w:hAnsi="Bookman Old Style" w:cs="Arial"/>
          <w:sz w:val="24"/>
          <w:szCs w:val="24"/>
        </w:rPr>
        <w:t>untuk</w:t>
      </w:r>
      <w:r w:rsidR="00A954D0">
        <w:rPr>
          <w:rFonts w:ascii="Bookman Old Style" w:hAnsi="Bookman Old Style" w:cs="Arial"/>
          <w:sz w:val="24"/>
          <w:szCs w:val="24"/>
        </w:rPr>
        <w:t xml:space="preserve"> </w:t>
      </w:r>
      <w:r w:rsidRPr="00636C44">
        <w:rPr>
          <w:rFonts w:ascii="Bookman Old Style" w:hAnsi="Bookman Old Style" w:cs="Arial"/>
          <w:sz w:val="24"/>
          <w:szCs w:val="24"/>
        </w:rPr>
        <w:t>Pelaksanaan</w:t>
      </w:r>
      <w:r w:rsidR="00A954D0">
        <w:rPr>
          <w:rFonts w:ascii="Bookman Old Style" w:hAnsi="Bookman Old Style" w:cs="Arial"/>
          <w:sz w:val="24"/>
          <w:szCs w:val="24"/>
        </w:rPr>
        <w:t xml:space="preserve"> </w:t>
      </w:r>
      <w:r w:rsidRPr="00636C44">
        <w:rPr>
          <w:rFonts w:ascii="Bookman Old Style" w:hAnsi="Bookman Old Style" w:cs="Arial"/>
          <w:sz w:val="24"/>
          <w:szCs w:val="24"/>
        </w:rPr>
        <w:t>Forum</w:t>
      </w:r>
      <w:r w:rsidR="00A954D0">
        <w:rPr>
          <w:rFonts w:ascii="Bookman Old Style" w:hAnsi="Bookman Old Style" w:cs="Arial"/>
          <w:sz w:val="24"/>
          <w:szCs w:val="24"/>
        </w:rPr>
        <w:t xml:space="preserve"> </w:t>
      </w:r>
      <w:r w:rsidRPr="00636C44">
        <w:rPr>
          <w:rFonts w:ascii="Bookman Old Style" w:hAnsi="Bookman Old Style" w:cs="Arial"/>
          <w:sz w:val="24"/>
          <w:szCs w:val="24"/>
        </w:rPr>
        <w:t>Koordinasi</w:t>
      </w:r>
      <w:r w:rsidR="00A954D0">
        <w:rPr>
          <w:rFonts w:ascii="Bookman Old Style" w:hAnsi="Bookman Old Style" w:cs="Arial"/>
          <w:sz w:val="24"/>
          <w:szCs w:val="24"/>
        </w:rPr>
        <w:t xml:space="preserve"> </w:t>
      </w:r>
      <w:r w:rsidRPr="00636C44">
        <w:rPr>
          <w:rFonts w:ascii="Bookman Old Style" w:hAnsi="Bookman Old Style" w:cs="Arial"/>
          <w:sz w:val="24"/>
          <w:szCs w:val="24"/>
        </w:rPr>
        <w:t>Pimpinan</w:t>
      </w:r>
      <w:r w:rsidR="00A954D0">
        <w:rPr>
          <w:rFonts w:ascii="Bookman Old Style" w:hAnsi="Bookman Old Style" w:cs="Arial"/>
          <w:sz w:val="24"/>
          <w:szCs w:val="24"/>
        </w:rPr>
        <w:t xml:space="preserve"> </w:t>
      </w:r>
      <w:r w:rsidRPr="00636C44">
        <w:rPr>
          <w:rFonts w:ascii="Bookman Old Style" w:hAnsi="Bookman Old Style" w:cs="Arial"/>
          <w:sz w:val="24"/>
          <w:szCs w:val="24"/>
        </w:rPr>
        <w:t>Daerah</w:t>
      </w:r>
      <w:r w:rsidR="00A954D0">
        <w:rPr>
          <w:rFonts w:ascii="Bookman Old Style" w:hAnsi="Bookman Old Style" w:cs="Arial"/>
          <w:sz w:val="24"/>
          <w:szCs w:val="24"/>
        </w:rPr>
        <w:t xml:space="preserve"> </w:t>
      </w:r>
      <w:r w:rsidRPr="00636C44">
        <w:rPr>
          <w:rFonts w:ascii="Bookman Old Style" w:hAnsi="Bookman Old Style" w:cs="Arial"/>
          <w:sz w:val="24"/>
          <w:szCs w:val="24"/>
        </w:rPr>
        <w:t>(FORKOPIMDA)</w:t>
      </w:r>
    </w:p>
    <w:p w14:paraId="4403F512" w14:textId="3F12D482" w:rsidR="00C054B8" w:rsidRPr="00C054B8" w:rsidRDefault="00C054B8" w:rsidP="00196996">
      <w:pPr>
        <w:pStyle w:val="ListParagraph"/>
        <w:spacing w:before="60" w:after="120" w:line="276" w:lineRule="auto"/>
        <w:ind w:left="1276"/>
        <w:contextualSpacing w:val="0"/>
        <w:jc w:val="both"/>
        <w:rPr>
          <w:rFonts w:ascii="Bookman Old Style" w:hAnsi="Bookman Old Style" w:cs="Arial"/>
          <w:sz w:val="24"/>
          <w:szCs w:val="24"/>
          <w:lang w:val="id-ID"/>
        </w:rPr>
      </w:pPr>
      <w:r w:rsidRPr="00C054B8">
        <w:rPr>
          <w:rFonts w:ascii="Bookman Old Style" w:hAnsi="Bookman Old Style" w:cs="Arial"/>
          <w:sz w:val="24"/>
          <w:szCs w:val="24"/>
          <w:lang w:val="id-ID"/>
        </w:rPr>
        <w:t>Penyediaan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Anggaran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untuk</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Pelaksanaan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FORKOPIMDA</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Rp727.200.000,00</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atau</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0,01%</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dari</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total</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belanja</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daerah</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dalam</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Rancangan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Peraturan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Daerah</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Kota</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Tangerang</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tentang</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APBD</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Anggaran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2025</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yang</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antara</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lain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tercantum</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pada</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Program</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Peningkatan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Kewaspadaan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Nasional</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Peningkatan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Kualitas</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Fasilitas</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Penanganan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Konflik</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Sosial,</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Kegiatan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Perumusan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Kebijakan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Teknis</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Pelaksanaan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Pemantapan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Kewaspadaan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Nasional</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Penanganan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Konflik</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Sosial,</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Sub</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Kegiatan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Pelaksanaan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Forum</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Koordinasi</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Pimpinan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Daerah</w:t>
      </w:r>
      <w:r w:rsidR="00A954D0">
        <w:rPr>
          <w:rFonts w:ascii="Bookman Old Style" w:hAnsi="Bookman Old Style" w:cs="Arial"/>
          <w:sz w:val="24"/>
          <w:szCs w:val="24"/>
          <w:lang w:val="id-ID"/>
        </w:rPr>
        <w:t xml:space="preserve"> </w:t>
      </w:r>
      <w:r w:rsidR="00172E1C">
        <w:rPr>
          <w:rFonts w:ascii="Bookman Old Style" w:hAnsi="Bookman Old Style" w:cs="Arial"/>
          <w:sz w:val="24"/>
          <w:szCs w:val="24"/>
          <w:lang w:val="id-ID"/>
        </w:rPr>
        <w:t>Kabupaten/Kota</w:t>
      </w:r>
      <w:r w:rsidRPr="00C054B8">
        <w:rPr>
          <w:rFonts w:ascii="Bookman Old Style" w:hAnsi="Bookman Old Style" w:cs="Arial"/>
          <w:sz w:val="24"/>
          <w:szCs w:val="24"/>
          <w:lang w:val="id-ID"/>
        </w:rPr>
        <w:t>,</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yang</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hanya</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dialokasikan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pada</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Sub</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Rincian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Objek</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Belanja</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Honorarium</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Narasumber</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atau</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Pembahas,</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Moderator,</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Pembawa</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Acara,</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Panitia</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Rp727.200.000,00.</w:t>
      </w:r>
    </w:p>
    <w:p w14:paraId="3472CBD8" w14:textId="42E5E9D6" w:rsidR="001E3DC2" w:rsidRPr="00636C44" w:rsidRDefault="005D28F5" w:rsidP="008379CA">
      <w:pPr>
        <w:pStyle w:val="ListParagraph"/>
        <w:spacing w:before="60" w:after="0" w:line="276" w:lineRule="auto"/>
        <w:ind w:left="1276"/>
        <w:contextualSpacing w:val="0"/>
        <w:jc w:val="both"/>
        <w:rPr>
          <w:rFonts w:ascii="Bookman Old Style" w:hAnsi="Bookman Old Style" w:cs="Arial"/>
          <w:sz w:val="24"/>
          <w:szCs w:val="24"/>
        </w:rPr>
      </w:pPr>
      <w:r w:rsidRPr="00C054B8">
        <w:rPr>
          <w:rFonts w:ascii="Bookman Old Style" w:hAnsi="Bookman Old Style" w:cs="Arial"/>
          <w:sz w:val="24"/>
          <w:szCs w:val="24"/>
          <w:lang w:val="id-ID"/>
        </w:rPr>
        <w:t>Penyediaan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alokasi</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anggaran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dimaksud</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guna</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mendukung</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Peningkatan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efektivitas</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FORKOPIMDA</w:t>
      </w:r>
      <w:r w:rsidR="00A954D0">
        <w:rPr>
          <w:rFonts w:ascii="Bookman Old Style" w:hAnsi="Bookman Old Style" w:cs="Arial"/>
          <w:sz w:val="24"/>
          <w:szCs w:val="24"/>
          <w:lang w:val="id-ID"/>
        </w:rPr>
        <w:t xml:space="preserve"> </w:t>
      </w:r>
      <w:r w:rsidR="00172E1C">
        <w:rPr>
          <w:rFonts w:ascii="Bookman Old Style" w:hAnsi="Bookman Old Style" w:cs="Arial"/>
          <w:sz w:val="24"/>
          <w:szCs w:val="24"/>
          <w:lang w:val="id-ID"/>
        </w:rPr>
        <w:t>Kabupaten/Kota</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Forum</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Koordinasi</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Pimpinan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di</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Kecamatan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sebagai</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pelaksanaan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urusan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pemerintahan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umum</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yang</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menjadi</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kewenangan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Presiden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sebagai</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kepala</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pemerintahan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dilaksanakan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oleh</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Gubernur,</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Bupati/Wali</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Kota,</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Camat</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di</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wilayah</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kerja</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masing-masing</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sebagaimana</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diatur</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dalam</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Peraturan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Pemerintah</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Nomor</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12</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2022</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tentang</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Forum</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Koordinasi</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Pimpinan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di</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Daerah</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butir</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5.3.1.a.4).i)</w:t>
      </w:r>
      <w:r w:rsidR="00A954D0">
        <w:rPr>
          <w:rFonts w:ascii="Bookman Old Style" w:hAnsi="Bookman Old Style" w:cs="Arial"/>
          <w:sz w:val="24"/>
          <w:szCs w:val="24"/>
          <w:lang w:val="id-ID"/>
        </w:rPr>
        <w:t xml:space="preserve"> </w:t>
      </w:r>
      <w:r w:rsidRPr="00C054B8">
        <w:rPr>
          <w:rFonts w:ascii="Bookman Old Style" w:hAnsi="Bookman Old Style" w:cs="Arial"/>
          <w:sz w:val="24"/>
          <w:szCs w:val="24"/>
          <w:lang w:val="id-ID"/>
        </w:rPr>
        <w:t>Lampiran</w:t>
      </w:r>
      <w:r w:rsidR="00A954D0">
        <w:rPr>
          <w:rFonts w:ascii="Bookman Old Style" w:hAnsi="Bookman Old Style" w:cs="Arial"/>
          <w:sz w:val="24"/>
          <w:szCs w:val="24"/>
          <w:lang w:val="id-ID"/>
        </w:rPr>
        <w:t xml:space="preserve"> </w:t>
      </w:r>
      <w:r w:rsidRPr="00636C44">
        <w:rPr>
          <w:rFonts w:ascii="Bookman Old Style" w:hAnsi="Bookman Old Style" w:cs="Arial"/>
          <w:sz w:val="24"/>
          <w:szCs w:val="24"/>
          <w:lang w:val="id-ID"/>
        </w:rPr>
        <w:t>Peraturan</w:t>
      </w:r>
      <w:r w:rsidR="00A954D0">
        <w:rPr>
          <w:rFonts w:ascii="Bookman Old Style" w:hAnsi="Bookman Old Style" w:cs="Arial"/>
          <w:sz w:val="24"/>
          <w:szCs w:val="24"/>
          <w:lang w:val="id-ID"/>
        </w:rPr>
        <w:t xml:space="preserve"> </w:t>
      </w:r>
      <w:r w:rsidRPr="00636C44">
        <w:rPr>
          <w:rFonts w:ascii="Bookman Old Style" w:hAnsi="Bookman Old Style" w:cs="Arial"/>
          <w:sz w:val="24"/>
          <w:szCs w:val="24"/>
          <w:lang w:val="id-ID"/>
        </w:rPr>
        <w:t>Menteri</w:t>
      </w:r>
      <w:r w:rsidR="00A954D0">
        <w:rPr>
          <w:rFonts w:ascii="Bookman Old Style" w:hAnsi="Bookman Old Style" w:cs="Arial"/>
          <w:sz w:val="24"/>
          <w:szCs w:val="24"/>
          <w:lang w:val="id-ID"/>
        </w:rPr>
        <w:t xml:space="preserve"> </w:t>
      </w:r>
      <w:r w:rsidRPr="00636C44">
        <w:rPr>
          <w:rFonts w:ascii="Bookman Old Style" w:hAnsi="Bookman Old Style" w:cs="Arial"/>
          <w:sz w:val="24"/>
          <w:szCs w:val="24"/>
          <w:lang w:val="id-ID"/>
        </w:rPr>
        <w:t>Dalam</w:t>
      </w:r>
      <w:r w:rsidR="00A954D0">
        <w:rPr>
          <w:rFonts w:ascii="Bookman Old Style" w:hAnsi="Bookman Old Style" w:cs="Arial"/>
          <w:sz w:val="24"/>
          <w:szCs w:val="24"/>
          <w:lang w:val="id-ID"/>
        </w:rPr>
        <w:t xml:space="preserve"> </w:t>
      </w:r>
      <w:r w:rsidRPr="00636C44">
        <w:rPr>
          <w:rFonts w:ascii="Bookman Old Style" w:hAnsi="Bookman Old Style" w:cs="Arial"/>
          <w:sz w:val="24"/>
          <w:szCs w:val="24"/>
          <w:lang w:val="id-ID"/>
        </w:rPr>
        <w:t>Negeri</w:t>
      </w:r>
      <w:r w:rsidR="00A954D0">
        <w:rPr>
          <w:rFonts w:ascii="Bookman Old Style" w:hAnsi="Bookman Old Style" w:cs="Arial"/>
          <w:sz w:val="24"/>
          <w:szCs w:val="24"/>
          <w:lang w:val="id-ID"/>
        </w:rPr>
        <w:t xml:space="preserve"> </w:t>
      </w:r>
      <w:r w:rsidRPr="00636C44">
        <w:rPr>
          <w:rFonts w:ascii="Bookman Old Style" w:hAnsi="Bookman Old Style" w:cs="Arial"/>
          <w:sz w:val="24"/>
          <w:szCs w:val="24"/>
          <w:lang w:val="id-ID"/>
        </w:rPr>
        <w:t>Nomor</w:t>
      </w:r>
      <w:r w:rsidR="00A954D0">
        <w:rPr>
          <w:rFonts w:ascii="Bookman Old Style" w:hAnsi="Bookman Old Style" w:cs="Arial"/>
          <w:sz w:val="24"/>
          <w:szCs w:val="24"/>
          <w:lang w:val="id-ID"/>
        </w:rPr>
        <w:t xml:space="preserve"> </w:t>
      </w:r>
      <w:r w:rsidRPr="00636C44">
        <w:rPr>
          <w:rFonts w:ascii="Bookman Old Style" w:hAnsi="Bookman Old Style" w:cs="Arial"/>
          <w:sz w:val="24"/>
          <w:szCs w:val="24"/>
          <w:lang w:val="id-ID"/>
        </w:rPr>
        <w:t>15</w:t>
      </w:r>
      <w:r w:rsidR="00A954D0">
        <w:rPr>
          <w:rFonts w:ascii="Bookman Old Style" w:hAnsi="Bookman Old Style" w:cs="Arial"/>
          <w:sz w:val="24"/>
          <w:szCs w:val="24"/>
          <w:lang w:val="id-ID"/>
        </w:rPr>
        <w:t xml:space="preserve"> </w:t>
      </w:r>
      <w:r w:rsidRPr="00636C44">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Pr="00636C44">
        <w:rPr>
          <w:rFonts w:ascii="Bookman Old Style" w:hAnsi="Bookman Old Style" w:cs="Arial"/>
          <w:sz w:val="24"/>
          <w:szCs w:val="24"/>
          <w:lang w:val="id-ID"/>
        </w:rPr>
        <w:t>2024.</w:t>
      </w:r>
    </w:p>
    <w:p w14:paraId="2A75202C" w14:textId="0B88305C" w:rsidR="001E3DC2" w:rsidRPr="00636C44" w:rsidRDefault="001E3DC2" w:rsidP="00196996">
      <w:pPr>
        <w:pStyle w:val="ListParagraph"/>
        <w:numPr>
          <w:ilvl w:val="0"/>
          <w:numId w:val="99"/>
        </w:numPr>
        <w:spacing w:before="120" w:after="120" w:line="276" w:lineRule="auto"/>
        <w:ind w:left="1276" w:hanging="284"/>
        <w:contextualSpacing w:val="0"/>
        <w:jc w:val="both"/>
        <w:rPr>
          <w:rFonts w:ascii="Bookman Old Style" w:hAnsi="Bookman Old Style" w:cs="Arial"/>
          <w:sz w:val="24"/>
          <w:szCs w:val="24"/>
        </w:rPr>
      </w:pPr>
      <w:r w:rsidRPr="00636C44">
        <w:rPr>
          <w:rFonts w:ascii="Bookman Old Style" w:hAnsi="Bookman Old Style" w:cs="Arial"/>
          <w:sz w:val="24"/>
          <w:szCs w:val="24"/>
        </w:rPr>
        <w:t>Alokasi</w:t>
      </w:r>
      <w:r w:rsidR="00A954D0">
        <w:rPr>
          <w:rFonts w:ascii="Bookman Old Style" w:hAnsi="Bookman Old Style" w:cs="Arial"/>
          <w:sz w:val="24"/>
          <w:szCs w:val="24"/>
        </w:rPr>
        <w:t xml:space="preserve"> </w:t>
      </w:r>
      <w:r w:rsidRPr="00636C44">
        <w:rPr>
          <w:rFonts w:ascii="Bookman Old Style" w:hAnsi="Bookman Old Style" w:cs="Arial"/>
          <w:sz w:val="24"/>
          <w:szCs w:val="24"/>
        </w:rPr>
        <w:t>Anggaran</w:t>
      </w:r>
      <w:r w:rsidR="00A954D0">
        <w:rPr>
          <w:rFonts w:ascii="Bookman Old Style" w:hAnsi="Bookman Old Style" w:cs="Arial"/>
          <w:sz w:val="24"/>
          <w:szCs w:val="24"/>
        </w:rPr>
        <w:t xml:space="preserve"> </w:t>
      </w:r>
      <w:r w:rsidRPr="00636C44">
        <w:rPr>
          <w:rFonts w:ascii="Bookman Old Style" w:hAnsi="Bookman Old Style" w:cs="Arial"/>
          <w:sz w:val="24"/>
          <w:szCs w:val="24"/>
        </w:rPr>
        <w:t>untuk</w:t>
      </w:r>
      <w:r w:rsidR="00A954D0">
        <w:rPr>
          <w:rFonts w:ascii="Bookman Old Style" w:hAnsi="Bookman Old Style" w:cs="Arial"/>
          <w:sz w:val="24"/>
          <w:szCs w:val="24"/>
        </w:rPr>
        <w:t xml:space="preserve"> </w:t>
      </w:r>
      <w:r w:rsidRPr="00636C44">
        <w:rPr>
          <w:rFonts w:ascii="Bookman Old Style" w:hAnsi="Bookman Old Style" w:cs="Arial"/>
          <w:sz w:val="24"/>
          <w:szCs w:val="24"/>
        </w:rPr>
        <w:t>Forum</w:t>
      </w:r>
      <w:r w:rsidR="00A954D0">
        <w:rPr>
          <w:rFonts w:ascii="Bookman Old Style" w:hAnsi="Bookman Old Style" w:cs="Arial"/>
          <w:sz w:val="24"/>
          <w:szCs w:val="24"/>
        </w:rPr>
        <w:t xml:space="preserve"> </w:t>
      </w:r>
      <w:r w:rsidRPr="00636C44">
        <w:rPr>
          <w:rFonts w:ascii="Bookman Old Style" w:hAnsi="Bookman Old Style" w:cs="Arial"/>
          <w:sz w:val="24"/>
          <w:szCs w:val="24"/>
        </w:rPr>
        <w:t>Kerukunan</w:t>
      </w:r>
      <w:r w:rsidR="00A954D0">
        <w:rPr>
          <w:rFonts w:ascii="Bookman Old Style" w:hAnsi="Bookman Old Style" w:cs="Arial"/>
          <w:sz w:val="24"/>
          <w:szCs w:val="24"/>
        </w:rPr>
        <w:t xml:space="preserve"> </w:t>
      </w:r>
      <w:r w:rsidRPr="00636C44">
        <w:rPr>
          <w:rFonts w:ascii="Bookman Old Style" w:hAnsi="Bookman Old Style" w:cs="Arial"/>
          <w:sz w:val="24"/>
          <w:szCs w:val="24"/>
        </w:rPr>
        <w:t>Umat</w:t>
      </w:r>
      <w:r w:rsidR="00A954D0">
        <w:rPr>
          <w:rFonts w:ascii="Bookman Old Style" w:hAnsi="Bookman Old Style" w:cs="Arial"/>
          <w:sz w:val="24"/>
          <w:szCs w:val="24"/>
        </w:rPr>
        <w:t xml:space="preserve"> </w:t>
      </w:r>
      <w:r w:rsidRPr="00636C44">
        <w:rPr>
          <w:rFonts w:ascii="Bookman Old Style" w:hAnsi="Bookman Old Style" w:cs="Arial"/>
          <w:sz w:val="24"/>
          <w:szCs w:val="24"/>
        </w:rPr>
        <w:t>Beragama</w:t>
      </w:r>
      <w:r w:rsidR="00A954D0">
        <w:rPr>
          <w:rFonts w:ascii="Bookman Old Style" w:hAnsi="Bookman Old Style" w:cs="Arial"/>
          <w:sz w:val="24"/>
          <w:szCs w:val="24"/>
        </w:rPr>
        <w:t xml:space="preserve"> </w:t>
      </w:r>
      <w:r w:rsidRPr="00636C44">
        <w:rPr>
          <w:rFonts w:ascii="Bookman Old Style" w:hAnsi="Bookman Old Style" w:cs="Arial"/>
          <w:sz w:val="24"/>
          <w:szCs w:val="24"/>
        </w:rPr>
        <w:t>(FKUB)</w:t>
      </w:r>
    </w:p>
    <w:p w14:paraId="4A7376D4" w14:textId="45E1925A" w:rsidR="005D28F5" w:rsidRPr="00770F22" w:rsidRDefault="008F46CC" w:rsidP="008379CA">
      <w:pPr>
        <w:pStyle w:val="ListParagraph"/>
        <w:spacing w:before="60" w:line="276" w:lineRule="auto"/>
        <w:ind w:left="1276"/>
        <w:jc w:val="both"/>
        <w:rPr>
          <w:rFonts w:ascii="Bookman Old Style" w:hAnsi="Bookman Old Style" w:cs="Arial"/>
          <w:sz w:val="24"/>
          <w:szCs w:val="24"/>
          <w:highlight w:val="yellow"/>
          <w:lang w:val="fi-FI"/>
        </w:rPr>
      </w:pPr>
      <w:r w:rsidRPr="00636C44">
        <w:rPr>
          <w:rFonts w:ascii="Bookman Old Style" w:hAnsi="Bookman Old Style" w:cs="Arial"/>
          <w:sz w:val="24"/>
          <w:szCs w:val="24"/>
          <w:lang w:val="fi-FI"/>
        </w:rPr>
        <w:t>Penyediaan</w:t>
      </w:r>
      <w:r w:rsidR="00A954D0">
        <w:rPr>
          <w:rFonts w:ascii="Bookman Old Style" w:hAnsi="Bookman Old Style" w:cs="Arial"/>
          <w:sz w:val="24"/>
          <w:szCs w:val="24"/>
          <w:lang w:val="fi-FI"/>
        </w:rPr>
        <w:t xml:space="preserve"> </w:t>
      </w:r>
      <w:r w:rsidRPr="00636C44">
        <w:rPr>
          <w:rFonts w:ascii="Bookman Old Style" w:hAnsi="Bookman Old Style" w:cs="Arial"/>
          <w:sz w:val="24"/>
          <w:szCs w:val="24"/>
          <w:lang w:val="fi-FI"/>
        </w:rPr>
        <w:t>anggaran</w:t>
      </w:r>
      <w:r w:rsidR="00A954D0">
        <w:rPr>
          <w:rFonts w:ascii="Bookman Old Style" w:hAnsi="Bookman Old Style" w:cs="Arial"/>
          <w:sz w:val="24"/>
          <w:szCs w:val="24"/>
          <w:lang w:val="fi-FI"/>
        </w:rPr>
        <w:t xml:space="preserve"> </w:t>
      </w:r>
      <w:r w:rsidRPr="00636C44">
        <w:rPr>
          <w:rFonts w:ascii="Bookman Old Style" w:hAnsi="Bookman Old Style" w:cs="Arial"/>
          <w:sz w:val="24"/>
          <w:szCs w:val="24"/>
          <w:lang w:val="fi-FI"/>
        </w:rPr>
        <w:t>untuk</w:t>
      </w:r>
      <w:r w:rsidR="00A954D0">
        <w:rPr>
          <w:rFonts w:ascii="Bookman Old Style" w:hAnsi="Bookman Old Style" w:cs="Arial"/>
          <w:sz w:val="24"/>
          <w:szCs w:val="24"/>
          <w:lang w:val="fi-FI"/>
        </w:rPr>
        <w:t xml:space="preserve"> </w:t>
      </w:r>
      <w:r w:rsidRPr="00636C44">
        <w:rPr>
          <w:rFonts w:ascii="Bookman Old Style" w:hAnsi="Bookman Old Style" w:cs="Arial"/>
          <w:sz w:val="24"/>
          <w:szCs w:val="24"/>
          <w:lang w:val="fi-FI"/>
        </w:rPr>
        <w:t>Forum</w:t>
      </w:r>
      <w:r w:rsidR="00A954D0">
        <w:rPr>
          <w:rFonts w:ascii="Bookman Old Style" w:hAnsi="Bookman Old Style" w:cs="Arial"/>
          <w:sz w:val="24"/>
          <w:szCs w:val="24"/>
          <w:lang w:val="fi-FI"/>
        </w:rPr>
        <w:t xml:space="preserve"> </w:t>
      </w:r>
      <w:r w:rsidRPr="00636C44">
        <w:rPr>
          <w:rFonts w:ascii="Bookman Old Style" w:hAnsi="Bookman Old Style" w:cs="Arial"/>
          <w:sz w:val="24"/>
          <w:szCs w:val="24"/>
          <w:lang w:val="fi-FI"/>
        </w:rPr>
        <w:t>Kerukunan</w:t>
      </w:r>
      <w:r w:rsidR="00A954D0">
        <w:rPr>
          <w:rFonts w:ascii="Bookman Old Style" w:hAnsi="Bookman Old Style" w:cs="Arial"/>
          <w:sz w:val="24"/>
          <w:szCs w:val="24"/>
          <w:lang w:val="fi-FI"/>
        </w:rPr>
        <w:t xml:space="preserve"> </w:t>
      </w:r>
      <w:r w:rsidRPr="00636C44">
        <w:rPr>
          <w:rFonts w:ascii="Bookman Old Style" w:hAnsi="Bookman Old Style" w:cs="Arial"/>
          <w:sz w:val="24"/>
          <w:szCs w:val="24"/>
          <w:lang w:val="fi-FI"/>
        </w:rPr>
        <w:t>Umat</w:t>
      </w:r>
      <w:r w:rsidR="00A954D0">
        <w:rPr>
          <w:rFonts w:ascii="Bookman Old Style" w:hAnsi="Bookman Old Style" w:cs="Arial"/>
          <w:sz w:val="24"/>
          <w:szCs w:val="24"/>
          <w:lang w:val="fi-FI"/>
        </w:rPr>
        <w:t xml:space="preserve"> </w:t>
      </w:r>
      <w:r w:rsidRPr="00636C44">
        <w:rPr>
          <w:rFonts w:ascii="Bookman Old Style" w:hAnsi="Bookman Old Style" w:cs="Arial"/>
          <w:sz w:val="24"/>
          <w:szCs w:val="24"/>
          <w:lang w:val="fi-FI"/>
        </w:rPr>
        <w:t>Beragama</w:t>
      </w:r>
      <w:r w:rsidR="00A954D0">
        <w:rPr>
          <w:rFonts w:ascii="Bookman Old Style" w:hAnsi="Bookman Old Style" w:cs="Arial"/>
          <w:sz w:val="24"/>
          <w:szCs w:val="24"/>
          <w:lang w:val="fi-FI"/>
        </w:rPr>
        <w:t xml:space="preserve"> </w:t>
      </w:r>
      <w:r w:rsidRPr="00636C44">
        <w:rPr>
          <w:rFonts w:ascii="Bookman Old Style" w:hAnsi="Bookman Old Style" w:cs="Arial"/>
          <w:sz w:val="24"/>
          <w:szCs w:val="24"/>
          <w:lang w:val="fi-FI"/>
        </w:rPr>
        <w:t>(FKUB)</w:t>
      </w:r>
      <w:r w:rsidR="00A954D0">
        <w:rPr>
          <w:rFonts w:ascii="Bookman Old Style" w:hAnsi="Bookman Old Style" w:cs="Arial"/>
          <w:sz w:val="24"/>
          <w:szCs w:val="24"/>
          <w:lang w:val="fi-FI"/>
        </w:rPr>
        <w:t xml:space="preserve"> </w:t>
      </w:r>
      <w:r w:rsidRPr="00636C44">
        <w:rPr>
          <w:rFonts w:ascii="Bookman Old Style" w:hAnsi="Bookman Old Style" w:cs="Arial"/>
          <w:sz w:val="24"/>
          <w:szCs w:val="24"/>
          <w:lang w:val="fi-FI"/>
        </w:rPr>
        <w:t>Rp550.000.000,00</w:t>
      </w:r>
      <w:r w:rsidR="00A954D0">
        <w:rPr>
          <w:rFonts w:ascii="Bookman Old Style" w:hAnsi="Bookman Old Style" w:cs="Arial"/>
          <w:sz w:val="24"/>
          <w:szCs w:val="24"/>
          <w:lang w:val="fi-FI"/>
        </w:rPr>
        <w:t xml:space="preserve"> </w:t>
      </w:r>
      <w:r w:rsidRPr="00636C44">
        <w:rPr>
          <w:rFonts w:ascii="Bookman Old Style" w:hAnsi="Bookman Old Style" w:cs="Arial"/>
          <w:sz w:val="24"/>
          <w:szCs w:val="24"/>
          <w:lang w:val="fi-FI"/>
        </w:rPr>
        <w:t>atau</w:t>
      </w:r>
      <w:r w:rsidR="00A954D0">
        <w:rPr>
          <w:rFonts w:ascii="Bookman Old Style" w:hAnsi="Bookman Old Style" w:cs="Arial"/>
          <w:sz w:val="24"/>
          <w:szCs w:val="24"/>
          <w:lang w:val="fi-FI"/>
        </w:rPr>
        <w:t xml:space="preserve"> </w:t>
      </w:r>
      <w:r w:rsidRPr="00636C44">
        <w:rPr>
          <w:rFonts w:ascii="Bookman Old Style" w:hAnsi="Bookman Old Style" w:cs="Arial"/>
          <w:sz w:val="24"/>
          <w:szCs w:val="24"/>
          <w:lang w:val="fi-FI"/>
        </w:rPr>
        <w:t>0,01%</w:t>
      </w:r>
      <w:r w:rsidR="00A954D0">
        <w:rPr>
          <w:rFonts w:ascii="Bookman Old Style" w:hAnsi="Bookman Old Style" w:cs="Arial"/>
          <w:sz w:val="24"/>
          <w:szCs w:val="24"/>
          <w:lang w:val="fi-FI"/>
        </w:rPr>
        <w:t xml:space="preserve"> </w:t>
      </w:r>
      <w:r w:rsidRPr="00636C44">
        <w:rPr>
          <w:rFonts w:ascii="Bookman Old Style" w:hAnsi="Bookman Old Style" w:cs="Arial"/>
          <w:sz w:val="24"/>
          <w:szCs w:val="24"/>
          <w:lang w:val="fi-FI"/>
        </w:rPr>
        <w:t>dari</w:t>
      </w:r>
      <w:r w:rsidR="00A954D0">
        <w:rPr>
          <w:rFonts w:ascii="Bookman Old Style" w:hAnsi="Bookman Old Style" w:cs="Arial"/>
          <w:sz w:val="24"/>
          <w:szCs w:val="24"/>
          <w:lang w:val="fi-FI"/>
        </w:rPr>
        <w:t xml:space="preserve"> </w:t>
      </w:r>
      <w:r w:rsidRPr="00636C44">
        <w:rPr>
          <w:rFonts w:ascii="Bookman Old Style" w:hAnsi="Bookman Old Style" w:cs="Arial"/>
          <w:sz w:val="24"/>
          <w:szCs w:val="24"/>
          <w:lang w:val="fi-FI"/>
        </w:rPr>
        <w:t>total</w:t>
      </w:r>
      <w:r w:rsidR="00A954D0">
        <w:rPr>
          <w:rFonts w:ascii="Bookman Old Style" w:hAnsi="Bookman Old Style" w:cs="Arial"/>
          <w:sz w:val="24"/>
          <w:szCs w:val="24"/>
          <w:lang w:val="fi-FI"/>
        </w:rPr>
        <w:t xml:space="preserve"> </w:t>
      </w:r>
      <w:r w:rsidRPr="00636C44">
        <w:rPr>
          <w:rFonts w:ascii="Bookman Old Style" w:hAnsi="Bookman Old Style" w:cs="Arial"/>
          <w:sz w:val="24"/>
          <w:szCs w:val="24"/>
          <w:lang w:val="fi-FI"/>
        </w:rPr>
        <w:t>belanja</w:t>
      </w:r>
      <w:r w:rsidR="00A954D0">
        <w:rPr>
          <w:rFonts w:ascii="Bookman Old Style" w:hAnsi="Bookman Old Style" w:cs="Arial"/>
          <w:sz w:val="24"/>
          <w:szCs w:val="24"/>
          <w:lang w:val="fi-FI"/>
        </w:rPr>
        <w:t xml:space="preserve"> </w:t>
      </w:r>
      <w:r w:rsidRPr="00636C44">
        <w:rPr>
          <w:rFonts w:ascii="Bookman Old Style" w:hAnsi="Bookman Old Style" w:cs="Arial"/>
          <w:sz w:val="24"/>
          <w:szCs w:val="24"/>
          <w:lang w:val="fi-FI"/>
        </w:rPr>
        <w:t>daerah</w:t>
      </w:r>
      <w:r w:rsidR="00A954D0">
        <w:rPr>
          <w:rFonts w:ascii="Bookman Old Style" w:hAnsi="Bookman Old Style" w:cs="Arial"/>
          <w:sz w:val="24"/>
          <w:szCs w:val="24"/>
          <w:lang w:val="fi-FI"/>
        </w:rPr>
        <w:t xml:space="preserve"> </w:t>
      </w:r>
      <w:r w:rsidRPr="00636C44">
        <w:rPr>
          <w:rFonts w:ascii="Bookman Old Style" w:hAnsi="Bookman Old Style" w:cs="Arial"/>
          <w:sz w:val="24"/>
          <w:szCs w:val="24"/>
          <w:lang w:val="fi-FI"/>
        </w:rPr>
        <w:t>dalam</w:t>
      </w:r>
      <w:r w:rsidR="00A954D0">
        <w:rPr>
          <w:rFonts w:ascii="Bookman Old Style" w:hAnsi="Bookman Old Style" w:cs="Arial"/>
          <w:sz w:val="24"/>
          <w:szCs w:val="24"/>
          <w:lang w:val="fi-FI"/>
        </w:rPr>
        <w:t xml:space="preserve"> </w:t>
      </w:r>
      <w:r w:rsidRPr="00636C44">
        <w:rPr>
          <w:rFonts w:ascii="Bookman Old Style" w:hAnsi="Bookman Old Style" w:cs="Arial"/>
          <w:sz w:val="24"/>
          <w:szCs w:val="24"/>
          <w:lang w:val="fi-FI"/>
        </w:rPr>
        <w:t>Rancangan</w:t>
      </w:r>
      <w:r w:rsidR="00A954D0">
        <w:rPr>
          <w:rFonts w:ascii="Bookman Old Style" w:hAnsi="Bookman Old Style" w:cs="Arial"/>
          <w:sz w:val="24"/>
          <w:szCs w:val="24"/>
          <w:lang w:val="fi-FI"/>
        </w:rPr>
        <w:t xml:space="preserve"> </w:t>
      </w:r>
      <w:r w:rsidRPr="00636C44">
        <w:rPr>
          <w:rFonts w:ascii="Bookman Old Style" w:hAnsi="Bookman Old Style" w:cs="Arial"/>
          <w:sz w:val="24"/>
          <w:szCs w:val="24"/>
          <w:lang w:val="fi-FI"/>
        </w:rPr>
        <w:t>Peraturan</w:t>
      </w:r>
      <w:r w:rsidR="00A954D0">
        <w:rPr>
          <w:rFonts w:ascii="Bookman Old Style" w:hAnsi="Bookman Old Style" w:cs="Arial"/>
          <w:sz w:val="24"/>
          <w:szCs w:val="24"/>
          <w:lang w:val="fi-FI"/>
        </w:rPr>
        <w:t xml:space="preserve"> </w:t>
      </w:r>
      <w:r w:rsidRPr="00636C44">
        <w:rPr>
          <w:rFonts w:ascii="Bookman Old Style" w:hAnsi="Bookman Old Style" w:cs="Arial"/>
          <w:sz w:val="24"/>
          <w:szCs w:val="24"/>
          <w:lang w:val="fi-FI"/>
        </w:rPr>
        <w:t>Daerah</w:t>
      </w:r>
      <w:r w:rsidR="00A954D0">
        <w:rPr>
          <w:rFonts w:ascii="Bookman Old Style" w:hAnsi="Bookman Old Style" w:cs="Arial"/>
          <w:sz w:val="24"/>
          <w:szCs w:val="24"/>
          <w:lang w:val="fi-FI"/>
        </w:rPr>
        <w:t xml:space="preserve"> </w:t>
      </w:r>
      <w:r w:rsidRPr="00636C44">
        <w:rPr>
          <w:rFonts w:ascii="Bookman Old Style" w:hAnsi="Bookman Old Style" w:cs="Arial"/>
          <w:sz w:val="24"/>
          <w:szCs w:val="24"/>
          <w:lang w:val="fi-FI"/>
        </w:rPr>
        <w:t>Kota</w:t>
      </w:r>
      <w:r w:rsidR="00A954D0">
        <w:rPr>
          <w:rFonts w:ascii="Bookman Old Style" w:hAnsi="Bookman Old Style" w:cs="Arial"/>
          <w:sz w:val="24"/>
          <w:szCs w:val="24"/>
          <w:lang w:val="fi-FI"/>
        </w:rPr>
        <w:t xml:space="preserve"> </w:t>
      </w:r>
      <w:r w:rsidRPr="00636C44">
        <w:rPr>
          <w:rFonts w:ascii="Bookman Old Style" w:hAnsi="Bookman Old Style" w:cs="Arial"/>
          <w:sz w:val="24"/>
          <w:szCs w:val="24"/>
          <w:lang w:val="fi-FI"/>
        </w:rPr>
        <w:t>Tangerang</w:t>
      </w:r>
      <w:r w:rsidR="00A954D0">
        <w:rPr>
          <w:rFonts w:ascii="Bookman Old Style" w:hAnsi="Bookman Old Style" w:cs="Arial"/>
          <w:sz w:val="24"/>
          <w:szCs w:val="24"/>
          <w:lang w:val="fi-FI"/>
        </w:rPr>
        <w:t xml:space="preserve"> </w:t>
      </w:r>
      <w:r w:rsidRPr="00636C44">
        <w:rPr>
          <w:rFonts w:ascii="Bookman Old Style" w:hAnsi="Bookman Old Style" w:cs="Arial"/>
          <w:sz w:val="24"/>
          <w:szCs w:val="24"/>
          <w:lang w:val="fi-FI"/>
        </w:rPr>
        <w:t>tentang</w:t>
      </w:r>
      <w:r w:rsidR="00A954D0">
        <w:rPr>
          <w:rFonts w:ascii="Bookman Old Style" w:hAnsi="Bookman Old Style" w:cs="Arial"/>
          <w:sz w:val="24"/>
          <w:szCs w:val="24"/>
          <w:lang w:val="fi-FI"/>
        </w:rPr>
        <w:t xml:space="preserve"> </w:t>
      </w:r>
      <w:r w:rsidRPr="00636C44">
        <w:rPr>
          <w:rFonts w:ascii="Bookman Old Style" w:hAnsi="Bookman Old Style" w:cs="Arial"/>
          <w:sz w:val="24"/>
          <w:szCs w:val="24"/>
          <w:lang w:val="fi-FI"/>
        </w:rPr>
        <w:t>APBD</w:t>
      </w:r>
      <w:r w:rsidR="00A954D0">
        <w:rPr>
          <w:rFonts w:ascii="Bookman Old Style" w:hAnsi="Bookman Old Style" w:cs="Arial"/>
          <w:sz w:val="24"/>
          <w:szCs w:val="24"/>
          <w:lang w:val="fi-FI"/>
        </w:rPr>
        <w:t xml:space="preserve"> </w:t>
      </w:r>
      <w:r w:rsidRPr="00636C44">
        <w:rPr>
          <w:rFonts w:ascii="Bookman Old Style" w:hAnsi="Bookman Old Style" w:cs="Arial"/>
          <w:sz w:val="24"/>
          <w:szCs w:val="24"/>
          <w:lang w:val="fi-FI"/>
        </w:rPr>
        <w:t>Tahun</w:t>
      </w:r>
      <w:r w:rsidR="00A954D0">
        <w:rPr>
          <w:rFonts w:ascii="Bookman Old Style" w:hAnsi="Bookman Old Style" w:cs="Arial"/>
          <w:sz w:val="24"/>
          <w:szCs w:val="24"/>
          <w:lang w:val="fi-FI"/>
        </w:rPr>
        <w:t xml:space="preserve"> </w:t>
      </w:r>
      <w:r w:rsidRPr="00636C44">
        <w:rPr>
          <w:rFonts w:ascii="Bookman Old Style" w:hAnsi="Bookman Old Style" w:cs="Arial"/>
          <w:sz w:val="24"/>
          <w:szCs w:val="24"/>
          <w:lang w:val="fi-FI"/>
        </w:rPr>
        <w:t>Anggaran</w:t>
      </w:r>
      <w:r w:rsidR="00A954D0">
        <w:rPr>
          <w:rFonts w:ascii="Bookman Old Style" w:hAnsi="Bookman Old Style" w:cs="Arial"/>
          <w:sz w:val="24"/>
          <w:szCs w:val="24"/>
          <w:lang w:val="fi-FI"/>
        </w:rPr>
        <w:t xml:space="preserve"> </w:t>
      </w:r>
      <w:r w:rsidRPr="00636C44">
        <w:rPr>
          <w:rFonts w:ascii="Bookman Old Style" w:hAnsi="Bookman Old Style" w:cs="Arial"/>
          <w:sz w:val="24"/>
          <w:szCs w:val="24"/>
          <w:lang w:val="fi-FI"/>
        </w:rPr>
        <w:t>2025</w:t>
      </w:r>
      <w:r w:rsidR="00A954D0">
        <w:rPr>
          <w:rFonts w:ascii="Bookman Old Style" w:hAnsi="Bookman Old Style" w:cs="Arial"/>
          <w:sz w:val="24"/>
          <w:szCs w:val="24"/>
          <w:lang w:val="fi-FI"/>
        </w:rPr>
        <w:t xml:space="preserve"> </w:t>
      </w:r>
      <w:r w:rsidRPr="00636C44">
        <w:rPr>
          <w:rFonts w:ascii="Bookman Old Style" w:hAnsi="Bookman Old Style" w:cs="Arial"/>
          <w:sz w:val="24"/>
          <w:szCs w:val="24"/>
          <w:lang w:val="fi-FI"/>
        </w:rPr>
        <w:t>yang</w:t>
      </w:r>
      <w:r w:rsidR="00A954D0">
        <w:rPr>
          <w:rFonts w:ascii="Bookman Old Style" w:hAnsi="Bookman Old Style" w:cs="Arial"/>
          <w:sz w:val="24"/>
          <w:szCs w:val="24"/>
          <w:lang w:val="fi-FI"/>
        </w:rPr>
        <w:t xml:space="preserve"> </w:t>
      </w:r>
      <w:r w:rsidRPr="00636C44">
        <w:rPr>
          <w:rFonts w:ascii="Bookman Old Style" w:hAnsi="Bookman Old Style" w:cs="Arial"/>
          <w:sz w:val="24"/>
          <w:szCs w:val="24"/>
          <w:lang w:val="fi-FI"/>
        </w:rPr>
        <w:t>dianggarkan</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pada</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Program</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Pembinaan</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dan</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Pengembangan</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Ketahanan</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Ekonomi,</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Sosial,</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dan</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Budaya,</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Kegiatan</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Perumusan</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Kebijakan</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Teknis</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dan</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Pemantapan</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Pelaksanaan</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Bidang</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Ketahanan</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Ekonomi,</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Sosial</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dan</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Budaya,</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Sub</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Kegiatan</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Pelaksanaan</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Koordinasi</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di</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Bidang</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Ketahanan</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Ekonomi,</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Sosial,</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Budaya</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dan</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Fasilitasi</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Pencegahan</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Penyalagunaan</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Narkotika,</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lastRenderedPageBreak/>
        <w:t>Fasilitasi</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Kerukunan</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Umat</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Beragama</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dan</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Penghayat</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Kepercayaan</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di</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Daerah,</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dengan</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mekanisme</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pemberian</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hibah</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berupa</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uang</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kepada</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Forum</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Kerukunan</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Umat</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Beragama</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Kota</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Tangerang,</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Alamat:</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Jl.</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Sinar</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Hati</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1</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No.</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22</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Rt</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02/02</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Kel.</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Sukajadi</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Kec.</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Karawaci</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Tangerang</w:t>
      </w:r>
      <w:r w:rsidR="00A954D0">
        <w:rPr>
          <w:rFonts w:ascii="Bookman Old Style" w:hAnsi="Bookman Old Style" w:cs="Arial"/>
          <w:sz w:val="24"/>
          <w:szCs w:val="24"/>
          <w:lang w:val="fi-FI"/>
        </w:rPr>
        <w:t xml:space="preserve"> </w:t>
      </w:r>
      <w:r w:rsidRPr="008F46CC">
        <w:rPr>
          <w:rFonts w:ascii="Bookman Old Style" w:hAnsi="Bookman Old Style" w:cs="Arial"/>
          <w:sz w:val="24"/>
          <w:szCs w:val="24"/>
          <w:lang w:val="fi-FI"/>
        </w:rPr>
        <w:t>Rp550.000.000,00.</w:t>
      </w:r>
    </w:p>
    <w:p w14:paraId="4AA281A6" w14:textId="1004E999" w:rsidR="005D28F5" w:rsidRPr="0089332A" w:rsidRDefault="005D28F5" w:rsidP="00196996">
      <w:pPr>
        <w:pStyle w:val="ListParagraph"/>
        <w:spacing w:before="60" w:after="120" w:line="276" w:lineRule="auto"/>
        <w:ind w:left="1276"/>
        <w:contextualSpacing w:val="0"/>
        <w:jc w:val="both"/>
        <w:rPr>
          <w:rFonts w:ascii="Bookman Old Style" w:hAnsi="Bookman Old Style" w:cs="Arial"/>
          <w:sz w:val="24"/>
          <w:szCs w:val="24"/>
          <w:lang w:val="fi-FI"/>
        </w:rPr>
      </w:pPr>
      <w:r w:rsidRPr="0089332A">
        <w:rPr>
          <w:rFonts w:ascii="Bookman Old Style" w:hAnsi="Bookman Old Style" w:cs="Arial"/>
          <w:sz w:val="24"/>
          <w:szCs w:val="24"/>
          <w:lang w:val="fi-FI"/>
        </w:rPr>
        <w:t>Untuk</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itu,</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Pemerintah</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Kota</w:t>
      </w:r>
      <w:r w:rsidR="00A954D0">
        <w:rPr>
          <w:rFonts w:ascii="Bookman Old Style" w:hAnsi="Bookman Old Style" w:cs="Arial"/>
          <w:sz w:val="24"/>
          <w:szCs w:val="24"/>
          <w:lang w:val="fi-FI"/>
        </w:rPr>
        <w:t xml:space="preserve"> </w:t>
      </w:r>
      <w:r w:rsidR="00770F22" w:rsidRPr="0089332A">
        <w:rPr>
          <w:rFonts w:ascii="Bookman Old Style" w:hAnsi="Bookman Old Style" w:cs="Arial"/>
          <w:sz w:val="24"/>
          <w:szCs w:val="24"/>
          <w:lang w:val="fi-FI"/>
        </w:rPr>
        <w:t>Tangerang</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telah</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memenuhi</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amanat</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Peraturan</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Bersama</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Menteri</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Agama</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dan</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Menteri</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Dalam</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Negeri</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Nomor</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9</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Tahun</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2006</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dan</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Nomor</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8</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Tahun</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2006</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tentang</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Pedoman</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Pelaksanaan</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Tugas</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Kepala</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Daerah/Wakil</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Kepala</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Daerah</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Dalam</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Pemeliharaan</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Kerukunan</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Umat</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Beragama,</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Pemberdayaan</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Forum</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Kerukunan</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Umat</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Beragama</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dan</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Pendirian</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Rumah</w:t>
      </w:r>
      <w:r w:rsidR="00A954D0">
        <w:rPr>
          <w:rFonts w:ascii="Bookman Old Style" w:hAnsi="Bookman Old Style" w:cs="Arial"/>
          <w:sz w:val="24"/>
          <w:szCs w:val="24"/>
          <w:lang w:val="fi-FI"/>
        </w:rPr>
        <w:t xml:space="preserve"> </w:t>
      </w:r>
      <w:r w:rsidRPr="0089332A">
        <w:rPr>
          <w:rFonts w:ascii="Bookman Old Style" w:hAnsi="Bookman Old Style" w:cs="Arial"/>
          <w:sz w:val="24"/>
          <w:szCs w:val="24"/>
          <w:lang w:val="fi-FI"/>
        </w:rPr>
        <w:t>Ibadah.</w:t>
      </w:r>
    </w:p>
    <w:p w14:paraId="6770470F" w14:textId="42A9293E" w:rsidR="001E3DC2" w:rsidRPr="0089332A" w:rsidRDefault="00A12BC8" w:rsidP="008379CA">
      <w:pPr>
        <w:pStyle w:val="ListParagraph"/>
        <w:spacing w:before="60" w:after="0" w:line="276" w:lineRule="auto"/>
        <w:ind w:left="1276"/>
        <w:contextualSpacing w:val="0"/>
        <w:jc w:val="both"/>
        <w:rPr>
          <w:rFonts w:ascii="Bookman Old Style" w:hAnsi="Bookman Old Style" w:cs="Arial"/>
          <w:sz w:val="24"/>
          <w:szCs w:val="24"/>
        </w:rPr>
      </w:pPr>
      <w:r w:rsidRPr="0089332A">
        <w:rPr>
          <w:rFonts w:ascii="Bookman Old Style" w:hAnsi="Bookman Old Style" w:cs="Arial"/>
          <w:sz w:val="24"/>
          <w:szCs w:val="24"/>
          <w:lang w:val="fi-FI"/>
        </w:rPr>
        <w:t>Selanjutnya</w:t>
      </w:r>
      <w:r w:rsidR="005D28F5" w:rsidRPr="0089332A">
        <w:rPr>
          <w:rFonts w:ascii="Bookman Old Style" w:hAnsi="Bookman Old Style" w:cs="Arial"/>
          <w:sz w:val="24"/>
          <w:szCs w:val="24"/>
          <w:lang w:val="fi-FI"/>
        </w:rPr>
        <w:t>,</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Pemerintah</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Daerah</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Kota</w:t>
      </w:r>
      <w:r w:rsidR="00A954D0">
        <w:rPr>
          <w:rFonts w:ascii="Bookman Old Style" w:hAnsi="Bookman Old Style" w:cs="Arial"/>
          <w:sz w:val="24"/>
          <w:szCs w:val="24"/>
          <w:lang w:val="fi-FI"/>
        </w:rPr>
        <w:t xml:space="preserve"> </w:t>
      </w:r>
      <w:r w:rsidR="00770F22" w:rsidRPr="0089332A">
        <w:rPr>
          <w:rFonts w:ascii="Bookman Old Style" w:hAnsi="Bookman Old Style" w:cs="Arial"/>
          <w:sz w:val="24"/>
          <w:szCs w:val="24"/>
          <w:lang w:val="fi-FI"/>
        </w:rPr>
        <w:t>Tangerang</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agar</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terus</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mengupayakan</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penyediaan</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alokasi</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anggaran</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yang</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memadai</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guna</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mendukung</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pelaksanaan</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tugas</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kepala</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daerah/wakil</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kepala</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daerah</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dalam</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pemeliharaan</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kerukunan</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umat</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beragama,</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pemberdayaan</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forum</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kerukunan</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umat</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beragama</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dan</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pendirian</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rumah</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ibadah</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yang</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dianggarkan</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pada</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perangkat</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daerah</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yang</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melaksanakan</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urusan</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pemerintahan</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di</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bidang</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kesatuan</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bangsa</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dan</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politik</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melalui</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hibah</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sebagaimana</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diamanatkan</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dalam</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butir</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5.3.1.a.3).d)</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Lampiran</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Peraturan</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Menteri</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Dalam</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Negeri</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Nomor</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15</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Tahun</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2024.</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dan</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Surat</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Edaran</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Menteri</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Dalam</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Negeri</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Nomor</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903/6397/SJ</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tanggal</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25</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November</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2020</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tentang</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Penyediaan</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Anggaran</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Forum</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Kerukunan</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Umat</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Beragama</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Dalam</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Anggaran</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Pendapatan</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dan</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Belanja</w:t>
      </w:r>
      <w:r w:rsidR="00A954D0">
        <w:rPr>
          <w:rFonts w:ascii="Bookman Old Style" w:hAnsi="Bookman Old Style" w:cs="Arial"/>
          <w:sz w:val="24"/>
          <w:szCs w:val="24"/>
          <w:lang w:val="fi-FI"/>
        </w:rPr>
        <w:t xml:space="preserve"> </w:t>
      </w:r>
      <w:r w:rsidR="005D28F5" w:rsidRPr="0089332A">
        <w:rPr>
          <w:rFonts w:ascii="Bookman Old Style" w:hAnsi="Bookman Old Style" w:cs="Arial"/>
          <w:sz w:val="24"/>
          <w:szCs w:val="24"/>
          <w:lang w:val="fi-FI"/>
        </w:rPr>
        <w:t>Daerah.</w:t>
      </w:r>
    </w:p>
    <w:p w14:paraId="01B2A7AD" w14:textId="29DA106B" w:rsidR="001E3DC2" w:rsidRPr="0089332A" w:rsidRDefault="001E3DC2" w:rsidP="008379CA">
      <w:pPr>
        <w:pStyle w:val="ListParagraph"/>
        <w:numPr>
          <w:ilvl w:val="0"/>
          <w:numId w:val="99"/>
        </w:numPr>
        <w:spacing w:before="120" w:after="0" w:line="276" w:lineRule="auto"/>
        <w:ind w:left="1276" w:hanging="284"/>
        <w:contextualSpacing w:val="0"/>
        <w:jc w:val="both"/>
        <w:rPr>
          <w:rFonts w:ascii="Bookman Old Style" w:hAnsi="Bookman Old Style" w:cs="Arial"/>
          <w:sz w:val="24"/>
          <w:szCs w:val="24"/>
        </w:rPr>
      </w:pPr>
      <w:r w:rsidRPr="0089332A">
        <w:rPr>
          <w:rFonts w:ascii="Bookman Old Style" w:hAnsi="Bookman Old Style" w:cs="Arial"/>
          <w:sz w:val="24"/>
          <w:szCs w:val="24"/>
        </w:rPr>
        <w:t>Alokasi</w:t>
      </w:r>
      <w:r w:rsidR="00A954D0">
        <w:rPr>
          <w:rFonts w:ascii="Bookman Old Style" w:hAnsi="Bookman Old Style" w:cs="Arial"/>
          <w:sz w:val="24"/>
          <w:szCs w:val="24"/>
        </w:rPr>
        <w:t xml:space="preserve"> </w:t>
      </w:r>
      <w:r w:rsidRPr="0089332A">
        <w:rPr>
          <w:rFonts w:ascii="Bookman Old Style" w:hAnsi="Bookman Old Style" w:cs="Arial"/>
          <w:sz w:val="24"/>
          <w:szCs w:val="24"/>
        </w:rPr>
        <w:t>Anggaran</w:t>
      </w:r>
      <w:r w:rsidR="00A954D0">
        <w:rPr>
          <w:rFonts w:ascii="Bookman Old Style" w:hAnsi="Bookman Old Style" w:cs="Arial"/>
          <w:sz w:val="24"/>
          <w:szCs w:val="24"/>
        </w:rPr>
        <w:t xml:space="preserve"> </w:t>
      </w:r>
      <w:r w:rsidRPr="0089332A">
        <w:rPr>
          <w:rFonts w:ascii="Bookman Old Style" w:hAnsi="Bookman Old Style" w:cs="Arial"/>
          <w:sz w:val="24"/>
          <w:szCs w:val="24"/>
        </w:rPr>
        <w:t>untuk</w:t>
      </w:r>
      <w:r w:rsidR="00A954D0">
        <w:rPr>
          <w:rFonts w:ascii="Bookman Old Style" w:hAnsi="Bookman Old Style" w:cs="Arial"/>
          <w:sz w:val="24"/>
          <w:szCs w:val="24"/>
        </w:rPr>
        <w:t xml:space="preserve"> </w:t>
      </w:r>
      <w:r w:rsidRPr="0089332A">
        <w:rPr>
          <w:rFonts w:ascii="Bookman Old Style" w:hAnsi="Bookman Old Style" w:cs="Arial"/>
          <w:sz w:val="24"/>
          <w:szCs w:val="24"/>
        </w:rPr>
        <w:t>Posyandu</w:t>
      </w:r>
    </w:p>
    <w:p w14:paraId="692553D0" w14:textId="5E666BEA" w:rsidR="002709A5" w:rsidRPr="00CC71E0" w:rsidRDefault="002709A5" w:rsidP="008379CA">
      <w:pPr>
        <w:pStyle w:val="ListParagraph"/>
        <w:spacing w:before="60" w:after="0" w:line="276" w:lineRule="auto"/>
        <w:ind w:left="1276"/>
        <w:contextualSpacing w:val="0"/>
        <w:jc w:val="both"/>
        <w:rPr>
          <w:rFonts w:ascii="Bookman Old Style" w:hAnsi="Bookman Old Style"/>
          <w:sz w:val="24"/>
          <w:szCs w:val="24"/>
          <w:lang w:val="it-IT"/>
        </w:rPr>
      </w:pPr>
      <w:r w:rsidRPr="0089332A">
        <w:rPr>
          <w:rFonts w:ascii="Bookman Old Style" w:hAnsi="Bookman Old Style" w:cs="Arial"/>
          <w:sz w:val="24"/>
          <w:szCs w:val="24"/>
          <w:lang w:val="de-DE"/>
        </w:rPr>
        <w:t>Pemerintah</w:t>
      </w:r>
      <w:r w:rsidR="00A954D0">
        <w:rPr>
          <w:rFonts w:ascii="Bookman Old Style" w:hAnsi="Bookman Old Style"/>
          <w:sz w:val="24"/>
          <w:szCs w:val="24"/>
          <w:lang w:val="it-IT"/>
        </w:rPr>
        <w:t xml:space="preserve"> </w:t>
      </w:r>
      <w:r w:rsidRPr="0089332A">
        <w:rPr>
          <w:rFonts w:ascii="Bookman Old Style" w:hAnsi="Bookman Old Style"/>
          <w:sz w:val="24"/>
          <w:szCs w:val="24"/>
          <w:lang w:val="it-IT"/>
        </w:rPr>
        <w:t>Daerah</w:t>
      </w:r>
      <w:r w:rsidR="00A954D0">
        <w:rPr>
          <w:rFonts w:ascii="Bookman Old Style" w:hAnsi="Bookman Old Style"/>
          <w:sz w:val="24"/>
          <w:szCs w:val="24"/>
          <w:lang w:val="it-IT"/>
        </w:rPr>
        <w:t xml:space="preserve"> </w:t>
      </w:r>
      <w:r w:rsidRPr="0089332A">
        <w:rPr>
          <w:rFonts w:ascii="Bookman Old Style" w:hAnsi="Bookman Old Style"/>
          <w:sz w:val="24"/>
          <w:szCs w:val="24"/>
          <w:lang w:val="fi-FI"/>
        </w:rPr>
        <w:t>Kota</w:t>
      </w:r>
      <w:r w:rsidR="00A954D0">
        <w:rPr>
          <w:rFonts w:ascii="Bookman Old Style" w:hAnsi="Bookman Old Style"/>
          <w:sz w:val="24"/>
          <w:szCs w:val="24"/>
          <w:lang w:val="fi-FI"/>
        </w:rPr>
        <w:t xml:space="preserve"> </w:t>
      </w:r>
      <w:r w:rsidRPr="0089332A">
        <w:rPr>
          <w:rFonts w:ascii="Bookman Old Style" w:hAnsi="Bookman Old Style"/>
          <w:sz w:val="24"/>
          <w:szCs w:val="24"/>
          <w:lang w:val="fi-FI"/>
        </w:rPr>
        <w:t>Tangerang</w:t>
      </w:r>
      <w:r w:rsidR="00A954D0">
        <w:rPr>
          <w:rFonts w:ascii="Bookman Old Style" w:hAnsi="Bookman Old Style"/>
          <w:sz w:val="24"/>
          <w:szCs w:val="24"/>
          <w:lang w:val="fi-FI"/>
        </w:rPr>
        <w:t xml:space="preserve"> </w:t>
      </w:r>
      <w:r w:rsidRPr="0089332A">
        <w:rPr>
          <w:rFonts w:ascii="Bookman Old Style" w:hAnsi="Bookman Old Style"/>
          <w:sz w:val="24"/>
          <w:szCs w:val="24"/>
          <w:lang w:val="it-IT"/>
        </w:rPr>
        <w:t>menyediakan</w:t>
      </w:r>
      <w:r w:rsidR="00A954D0">
        <w:rPr>
          <w:rFonts w:ascii="Bookman Old Style" w:hAnsi="Bookman Old Style"/>
          <w:sz w:val="24"/>
          <w:szCs w:val="24"/>
          <w:lang w:val="it-IT"/>
        </w:rPr>
        <w:t xml:space="preserve"> </w:t>
      </w:r>
      <w:r w:rsidRPr="0089332A">
        <w:rPr>
          <w:rFonts w:ascii="Bookman Old Style" w:hAnsi="Bookman Old Style"/>
          <w:sz w:val="24"/>
          <w:szCs w:val="24"/>
          <w:lang w:val="it-IT"/>
        </w:rPr>
        <w:t>alokasi</w:t>
      </w:r>
      <w:r w:rsidR="00A954D0">
        <w:rPr>
          <w:rFonts w:ascii="Bookman Old Style" w:hAnsi="Bookman Old Style"/>
          <w:sz w:val="24"/>
          <w:szCs w:val="24"/>
          <w:lang w:val="it-IT"/>
        </w:rPr>
        <w:t xml:space="preserve"> </w:t>
      </w:r>
      <w:r w:rsidRPr="0089332A">
        <w:rPr>
          <w:rFonts w:ascii="Bookman Old Style" w:hAnsi="Bookman Old Style"/>
          <w:sz w:val="24"/>
          <w:szCs w:val="24"/>
          <w:lang w:val="it-IT"/>
        </w:rPr>
        <w:t>anggaran</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Rp9.710.250.000,00</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atau</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0,17%</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dari</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total</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belanja</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daerah</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dalam</w:t>
      </w:r>
      <w:r w:rsidR="00A954D0">
        <w:rPr>
          <w:rFonts w:ascii="Bookman Old Style" w:hAnsi="Bookman Old Style"/>
          <w:sz w:val="24"/>
          <w:szCs w:val="24"/>
          <w:lang w:val="it-IT"/>
        </w:rPr>
        <w:t xml:space="preserve"> </w:t>
      </w:r>
      <w:r w:rsidRPr="00CC71E0">
        <w:rPr>
          <w:rFonts w:ascii="Bookman Old Style" w:hAnsi="Bookman Old Style" w:cs="Arial"/>
          <w:sz w:val="24"/>
          <w:szCs w:val="24"/>
          <w:lang w:val="it-IT"/>
        </w:rPr>
        <w:t>Rancangan</w:t>
      </w:r>
      <w:r w:rsidR="00A954D0">
        <w:rPr>
          <w:rFonts w:ascii="Bookman Old Style" w:hAnsi="Bookman Old Style" w:cs="Arial"/>
          <w:sz w:val="24"/>
          <w:szCs w:val="24"/>
          <w:lang w:val="it-IT"/>
        </w:rPr>
        <w:t xml:space="preserve"> </w:t>
      </w:r>
      <w:r w:rsidRPr="00CC71E0">
        <w:rPr>
          <w:rFonts w:ascii="Bookman Old Style" w:hAnsi="Bookman Old Style" w:cs="Arial"/>
          <w:sz w:val="24"/>
          <w:szCs w:val="24"/>
          <w:lang w:val="it-IT"/>
        </w:rPr>
        <w:t>Peraturan</w:t>
      </w:r>
      <w:r w:rsidR="00A954D0">
        <w:rPr>
          <w:rFonts w:ascii="Bookman Old Style" w:hAnsi="Bookman Old Style" w:cs="Arial"/>
          <w:sz w:val="24"/>
          <w:szCs w:val="24"/>
          <w:lang w:val="it-IT"/>
        </w:rPr>
        <w:t xml:space="preserve"> </w:t>
      </w:r>
      <w:r w:rsidRPr="00CC71E0">
        <w:rPr>
          <w:rFonts w:ascii="Bookman Old Style" w:hAnsi="Bookman Old Style" w:cs="Arial"/>
          <w:sz w:val="24"/>
          <w:szCs w:val="24"/>
          <w:lang w:val="it-IT"/>
        </w:rPr>
        <w:t>Daerah</w:t>
      </w:r>
      <w:r w:rsidR="00A954D0">
        <w:rPr>
          <w:rFonts w:ascii="Bookman Old Style" w:hAnsi="Bookman Old Style" w:cs="Arial"/>
          <w:sz w:val="24"/>
          <w:szCs w:val="24"/>
          <w:lang w:val="it-IT"/>
        </w:rPr>
        <w:t xml:space="preserve"> </w:t>
      </w:r>
      <w:r w:rsidRPr="00CC71E0">
        <w:rPr>
          <w:rFonts w:ascii="Bookman Old Style" w:hAnsi="Bookman Old Style"/>
          <w:sz w:val="24"/>
          <w:szCs w:val="24"/>
          <w:lang w:val="fi-FI"/>
        </w:rPr>
        <w:t>Kota</w:t>
      </w:r>
      <w:r w:rsidR="00A954D0">
        <w:rPr>
          <w:rFonts w:ascii="Bookman Old Style" w:hAnsi="Bookman Old Style"/>
          <w:sz w:val="24"/>
          <w:szCs w:val="24"/>
          <w:lang w:val="fi-FI"/>
        </w:rPr>
        <w:t xml:space="preserve"> </w:t>
      </w:r>
      <w:r w:rsidRPr="00CC71E0">
        <w:rPr>
          <w:rFonts w:ascii="Bookman Old Style" w:hAnsi="Bookman Old Style"/>
          <w:sz w:val="24"/>
          <w:szCs w:val="24"/>
          <w:lang w:val="fi-FI"/>
        </w:rPr>
        <w:t>Tangerang</w:t>
      </w:r>
      <w:r w:rsidR="00A954D0">
        <w:rPr>
          <w:rFonts w:ascii="Bookman Old Style" w:hAnsi="Bookman Old Style"/>
          <w:sz w:val="24"/>
          <w:szCs w:val="24"/>
          <w:lang w:val="it-IT"/>
        </w:rPr>
        <w:t xml:space="preserve"> </w:t>
      </w:r>
      <w:r w:rsidRPr="00CC71E0">
        <w:rPr>
          <w:rFonts w:ascii="Bookman Old Style" w:hAnsi="Bookman Old Style" w:cs="Arial"/>
          <w:sz w:val="24"/>
          <w:szCs w:val="24"/>
          <w:lang w:val="it-IT"/>
        </w:rPr>
        <w:t>tentang</w:t>
      </w:r>
      <w:r w:rsidR="00A954D0">
        <w:rPr>
          <w:rFonts w:ascii="Bookman Old Style" w:hAnsi="Bookman Old Style" w:cs="Arial"/>
          <w:sz w:val="24"/>
          <w:szCs w:val="24"/>
          <w:lang w:val="it-IT"/>
        </w:rPr>
        <w:t xml:space="preserve"> </w:t>
      </w:r>
      <w:r w:rsidRPr="00CC71E0">
        <w:rPr>
          <w:rFonts w:ascii="Bookman Old Style" w:hAnsi="Bookman Old Style" w:cs="Arial"/>
          <w:sz w:val="24"/>
          <w:szCs w:val="24"/>
        </w:rPr>
        <w:t>APBD</w:t>
      </w:r>
      <w:r w:rsidR="00A954D0">
        <w:rPr>
          <w:rFonts w:ascii="Bookman Old Style" w:hAnsi="Bookman Old Style" w:cs="Arial"/>
          <w:sz w:val="24"/>
          <w:szCs w:val="24"/>
        </w:rPr>
        <w:t xml:space="preserve"> </w:t>
      </w:r>
      <w:r w:rsidRPr="00CC71E0">
        <w:rPr>
          <w:rFonts w:ascii="Bookman Old Style" w:hAnsi="Bookman Old Style" w:cs="Arial"/>
          <w:sz w:val="24"/>
          <w:szCs w:val="24"/>
        </w:rPr>
        <w:t>Tahun</w:t>
      </w:r>
      <w:r w:rsidR="00A954D0">
        <w:rPr>
          <w:rFonts w:ascii="Bookman Old Style" w:hAnsi="Bookman Old Style" w:cs="Arial"/>
          <w:sz w:val="24"/>
          <w:szCs w:val="24"/>
        </w:rPr>
        <w:t xml:space="preserve"> </w:t>
      </w:r>
      <w:r w:rsidRPr="00CC71E0">
        <w:rPr>
          <w:rFonts w:ascii="Bookman Old Style" w:hAnsi="Bookman Old Style" w:cs="Arial"/>
          <w:sz w:val="24"/>
          <w:szCs w:val="24"/>
        </w:rPr>
        <w:t>Anggaran</w:t>
      </w:r>
      <w:r w:rsidR="00A954D0">
        <w:rPr>
          <w:rFonts w:ascii="Bookman Old Style" w:hAnsi="Bookman Old Style" w:cs="Arial"/>
          <w:sz w:val="24"/>
          <w:szCs w:val="24"/>
        </w:rPr>
        <w:t xml:space="preserve"> </w:t>
      </w:r>
      <w:r w:rsidRPr="00CC71E0">
        <w:rPr>
          <w:rFonts w:ascii="Bookman Old Style" w:hAnsi="Bookman Old Style" w:cs="Arial"/>
          <w:sz w:val="24"/>
          <w:szCs w:val="24"/>
        </w:rPr>
        <w:t>2025,</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sebagai</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bentuk</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dukungan</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pelaksanaan</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tugas</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dan</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fungsi</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Posyandu</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sesuai</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kewenangannya</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dan</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dianggarkan</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melalui</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Program</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Pemberdayaan</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Masyarakat</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Desa</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dan</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Kelurahan,</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Kegiatan</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Pemberdayaan</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Kelurahan,</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Sub</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Kegiatan</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Pemberdayaan</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Masyarakat</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di</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Kelurahan,</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pada:</w:t>
      </w:r>
    </w:p>
    <w:p w14:paraId="580D4DE5" w14:textId="0891492D" w:rsidR="002709A5" w:rsidRPr="00CC71E0" w:rsidRDefault="002709A5" w:rsidP="008379CA">
      <w:pPr>
        <w:pStyle w:val="ListParagraph"/>
        <w:numPr>
          <w:ilvl w:val="0"/>
          <w:numId w:val="244"/>
        </w:numPr>
        <w:spacing w:before="60" w:line="276" w:lineRule="auto"/>
        <w:ind w:left="1701" w:hanging="425"/>
        <w:jc w:val="both"/>
        <w:rPr>
          <w:rFonts w:ascii="Bookman Old Style" w:hAnsi="Bookman Old Style"/>
          <w:sz w:val="24"/>
          <w:szCs w:val="24"/>
          <w:lang w:val="it-IT"/>
        </w:rPr>
      </w:pPr>
      <w:r w:rsidRPr="00CC71E0">
        <w:rPr>
          <w:rFonts w:ascii="Bookman Old Style" w:hAnsi="Bookman Old Style"/>
          <w:sz w:val="24"/>
          <w:szCs w:val="24"/>
          <w:lang w:val="it-IT"/>
        </w:rPr>
        <w:t>Kecamatan</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Benda</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Rp414.000.000,00;</w:t>
      </w:r>
    </w:p>
    <w:p w14:paraId="11722349" w14:textId="572B564B" w:rsidR="002709A5" w:rsidRPr="00CC71E0" w:rsidRDefault="002709A5" w:rsidP="008379CA">
      <w:pPr>
        <w:pStyle w:val="ListParagraph"/>
        <w:numPr>
          <w:ilvl w:val="0"/>
          <w:numId w:val="244"/>
        </w:numPr>
        <w:spacing w:before="60" w:line="276" w:lineRule="auto"/>
        <w:ind w:left="1701" w:hanging="425"/>
        <w:jc w:val="both"/>
        <w:rPr>
          <w:rFonts w:ascii="Bookman Old Style" w:hAnsi="Bookman Old Style"/>
          <w:sz w:val="24"/>
          <w:szCs w:val="24"/>
          <w:lang w:val="it-IT"/>
        </w:rPr>
      </w:pPr>
      <w:r w:rsidRPr="00CC71E0">
        <w:rPr>
          <w:rFonts w:ascii="Bookman Old Style" w:hAnsi="Bookman Old Style"/>
          <w:sz w:val="24"/>
          <w:szCs w:val="24"/>
          <w:lang w:val="it-IT"/>
        </w:rPr>
        <w:t>Kecamatan</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Cipondoh</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Rp972.000.000,00;</w:t>
      </w:r>
    </w:p>
    <w:p w14:paraId="62C059DF" w14:textId="2EA1D6A3" w:rsidR="002709A5" w:rsidRPr="00CC71E0" w:rsidRDefault="002709A5" w:rsidP="008379CA">
      <w:pPr>
        <w:pStyle w:val="ListParagraph"/>
        <w:numPr>
          <w:ilvl w:val="0"/>
          <w:numId w:val="244"/>
        </w:numPr>
        <w:spacing w:before="60" w:line="276" w:lineRule="auto"/>
        <w:ind w:left="1701" w:hanging="425"/>
        <w:jc w:val="both"/>
        <w:rPr>
          <w:rFonts w:ascii="Bookman Old Style" w:hAnsi="Bookman Old Style"/>
          <w:sz w:val="24"/>
          <w:szCs w:val="24"/>
          <w:lang w:val="it-IT"/>
        </w:rPr>
      </w:pPr>
      <w:r w:rsidRPr="00CC71E0">
        <w:rPr>
          <w:rFonts w:ascii="Bookman Old Style" w:hAnsi="Bookman Old Style"/>
          <w:sz w:val="24"/>
          <w:szCs w:val="24"/>
          <w:lang w:val="it-IT"/>
        </w:rPr>
        <w:t>Kecamatan</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Batuceper</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Rp513.000.000,00;</w:t>
      </w:r>
    </w:p>
    <w:p w14:paraId="08449C41" w14:textId="0A81FCAC" w:rsidR="002709A5" w:rsidRPr="00CC71E0" w:rsidRDefault="002709A5" w:rsidP="008379CA">
      <w:pPr>
        <w:pStyle w:val="ListParagraph"/>
        <w:numPr>
          <w:ilvl w:val="0"/>
          <w:numId w:val="244"/>
        </w:numPr>
        <w:spacing w:before="60" w:line="276" w:lineRule="auto"/>
        <w:ind w:left="1701" w:hanging="425"/>
        <w:jc w:val="both"/>
        <w:rPr>
          <w:rFonts w:ascii="Bookman Old Style" w:hAnsi="Bookman Old Style"/>
          <w:sz w:val="24"/>
          <w:szCs w:val="24"/>
          <w:lang w:val="it-IT"/>
        </w:rPr>
      </w:pPr>
      <w:r w:rsidRPr="00CC71E0">
        <w:rPr>
          <w:rFonts w:ascii="Bookman Old Style" w:hAnsi="Bookman Old Style"/>
          <w:sz w:val="24"/>
          <w:szCs w:val="24"/>
          <w:lang w:val="it-IT"/>
        </w:rPr>
        <w:t>Kecamatan</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Periuk</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Rp684.000.000,00;</w:t>
      </w:r>
    </w:p>
    <w:p w14:paraId="4B2B0DBA" w14:textId="14A11428" w:rsidR="002709A5" w:rsidRPr="00CC71E0" w:rsidRDefault="002709A5" w:rsidP="008379CA">
      <w:pPr>
        <w:pStyle w:val="ListParagraph"/>
        <w:numPr>
          <w:ilvl w:val="0"/>
          <w:numId w:val="244"/>
        </w:numPr>
        <w:spacing w:before="60" w:line="276" w:lineRule="auto"/>
        <w:ind w:left="1701" w:hanging="425"/>
        <w:jc w:val="both"/>
        <w:rPr>
          <w:rFonts w:ascii="Bookman Old Style" w:hAnsi="Bookman Old Style"/>
          <w:sz w:val="24"/>
          <w:szCs w:val="24"/>
          <w:lang w:val="it-IT"/>
        </w:rPr>
      </w:pPr>
      <w:r w:rsidRPr="00CC71E0">
        <w:rPr>
          <w:rFonts w:ascii="Bookman Old Style" w:hAnsi="Bookman Old Style"/>
          <w:sz w:val="24"/>
          <w:szCs w:val="24"/>
          <w:lang w:val="it-IT"/>
        </w:rPr>
        <w:t>Kecamatan</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Cibodas</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Rp735.000.000,00;</w:t>
      </w:r>
    </w:p>
    <w:p w14:paraId="4DBA878A" w14:textId="030E911B" w:rsidR="002709A5" w:rsidRPr="00CC71E0" w:rsidRDefault="002709A5" w:rsidP="008379CA">
      <w:pPr>
        <w:pStyle w:val="ListParagraph"/>
        <w:numPr>
          <w:ilvl w:val="0"/>
          <w:numId w:val="244"/>
        </w:numPr>
        <w:spacing w:before="60" w:line="276" w:lineRule="auto"/>
        <w:ind w:left="1701" w:hanging="425"/>
        <w:jc w:val="both"/>
        <w:rPr>
          <w:rFonts w:ascii="Bookman Old Style" w:hAnsi="Bookman Old Style"/>
          <w:sz w:val="24"/>
          <w:szCs w:val="24"/>
          <w:lang w:val="it-IT"/>
        </w:rPr>
      </w:pPr>
      <w:r w:rsidRPr="00CC71E0">
        <w:rPr>
          <w:rFonts w:ascii="Bookman Old Style" w:hAnsi="Bookman Old Style"/>
          <w:sz w:val="24"/>
          <w:szCs w:val="24"/>
          <w:lang w:val="it-IT"/>
        </w:rPr>
        <w:t>Kecamatan</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Tangerang</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Rp684.000.000,00;</w:t>
      </w:r>
    </w:p>
    <w:p w14:paraId="07EE935A" w14:textId="1124C92E" w:rsidR="002709A5" w:rsidRPr="00CC71E0" w:rsidRDefault="002709A5" w:rsidP="008379CA">
      <w:pPr>
        <w:pStyle w:val="ListParagraph"/>
        <w:numPr>
          <w:ilvl w:val="0"/>
          <w:numId w:val="244"/>
        </w:numPr>
        <w:spacing w:before="60" w:line="276" w:lineRule="auto"/>
        <w:ind w:left="1701" w:hanging="425"/>
        <w:jc w:val="both"/>
        <w:rPr>
          <w:rFonts w:ascii="Bookman Old Style" w:hAnsi="Bookman Old Style"/>
          <w:sz w:val="24"/>
          <w:szCs w:val="24"/>
          <w:lang w:val="it-IT"/>
        </w:rPr>
      </w:pPr>
      <w:r w:rsidRPr="00CC71E0">
        <w:rPr>
          <w:rFonts w:ascii="Bookman Old Style" w:hAnsi="Bookman Old Style"/>
          <w:sz w:val="24"/>
          <w:szCs w:val="24"/>
          <w:lang w:val="it-IT"/>
        </w:rPr>
        <w:t>Kecamatan</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Pinang</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Rp873.000.000,00;</w:t>
      </w:r>
    </w:p>
    <w:p w14:paraId="66978B7B" w14:textId="376E3C86" w:rsidR="002709A5" w:rsidRPr="00CC71E0" w:rsidRDefault="002709A5" w:rsidP="008379CA">
      <w:pPr>
        <w:pStyle w:val="ListParagraph"/>
        <w:numPr>
          <w:ilvl w:val="0"/>
          <w:numId w:val="244"/>
        </w:numPr>
        <w:spacing w:before="60" w:line="276" w:lineRule="auto"/>
        <w:ind w:left="1701" w:hanging="425"/>
        <w:jc w:val="both"/>
        <w:rPr>
          <w:rFonts w:ascii="Bookman Old Style" w:hAnsi="Bookman Old Style"/>
          <w:sz w:val="24"/>
          <w:szCs w:val="24"/>
          <w:lang w:val="it-IT"/>
        </w:rPr>
      </w:pPr>
      <w:r w:rsidRPr="00CC71E0">
        <w:rPr>
          <w:rFonts w:ascii="Bookman Old Style" w:hAnsi="Bookman Old Style"/>
          <w:sz w:val="24"/>
          <w:szCs w:val="24"/>
          <w:lang w:val="it-IT"/>
        </w:rPr>
        <w:t>Kecamatan</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Larangan</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Rp866.250.000,00;</w:t>
      </w:r>
    </w:p>
    <w:p w14:paraId="5ECED8D4" w14:textId="21EE81BB" w:rsidR="002709A5" w:rsidRPr="00CC71E0" w:rsidRDefault="002709A5" w:rsidP="008379CA">
      <w:pPr>
        <w:pStyle w:val="ListParagraph"/>
        <w:numPr>
          <w:ilvl w:val="0"/>
          <w:numId w:val="244"/>
        </w:numPr>
        <w:spacing w:before="60" w:line="276" w:lineRule="auto"/>
        <w:ind w:left="1701" w:hanging="425"/>
        <w:jc w:val="both"/>
        <w:rPr>
          <w:rFonts w:ascii="Bookman Old Style" w:hAnsi="Bookman Old Style"/>
          <w:sz w:val="24"/>
          <w:szCs w:val="24"/>
          <w:lang w:val="it-IT"/>
        </w:rPr>
      </w:pPr>
      <w:r w:rsidRPr="00CC71E0">
        <w:rPr>
          <w:rFonts w:ascii="Bookman Old Style" w:hAnsi="Bookman Old Style"/>
          <w:sz w:val="24"/>
          <w:szCs w:val="24"/>
          <w:lang w:val="it-IT"/>
        </w:rPr>
        <w:t>Kecamatan</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Neglasari</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Rp540.000.000,00;</w:t>
      </w:r>
    </w:p>
    <w:p w14:paraId="4061337A" w14:textId="4F9344B4" w:rsidR="002709A5" w:rsidRPr="00CC71E0" w:rsidRDefault="002709A5" w:rsidP="008379CA">
      <w:pPr>
        <w:pStyle w:val="ListParagraph"/>
        <w:numPr>
          <w:ilvl w:val="0"/>
          <w:numId w:val="244"/>
        </w:numPr>
        <w:spacing w:before="60" w:line="276" w:lineRule="auto"/>
        <w:ind w:left="1701" w:hanging="425"/>
        <w:jc w:val="both"/>
        <w:rPr>
          <w:rFonts w:ascii="Bookman Old Style" w:hAnsi="Bookman Old Style"/>
          <w:sz w:val="24"/>
          <w:szCs w:val="24"/>
          <w:lang w:val="it-IT"/>
        </w:rPr>
      </w:pPr>
      <w:r w:rsidRPr="00CC71E0">
        <w:rPr>
          <w:rFonts w:ascii="Bookman Old Style" w:hAnsi="Bookman Old Style"/>
          <w:sz w:val="24"/>
          <w:szCs w:val="24"/>
          <w:lang w:val="it-IT"/>
        </w:rPr>
        <w:t>Kecamatan</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Jatiuwung</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Rp549.000.000,00;</w:t>
      </w:r>
    </w:p>
    <w:p w14:paraId="6C00AFD3" w14:textId="62D1057C" w:rsidR="002709A5" w:rsidRPr="00CC71E0" w:rsidRDefault="002709A5" w:rsidP="008379CA">
      <w:pPr>
        <w:pStyle w:val="ListParagraph"/>
        <w:numPr>
          <w:ilvl w:val="0"/>
          <w:numId w:val="244"/>
        </w:numPr>
        <w:spacing w:before="60" w:line="276" w:lineRule="auto"/>
        <w:ind w:left="1701" w:hanging="425"/>
        <w:jc w:val="both"/>
        <w:rPr>
          <w:rFonts w:ascii="Bookman Old Style" w:hAnsi="Bookman Old Style"/>
          <w:sz w:val="24"/>
          <w:szCs w:val="24"/>
          <w:lang w:val="it-IT"/>
        </w:rPr>
      </w:pPr>
      <w:r w:rsidRPr="00CC71E0">
        <w:rPr>
          <w:rFonts w:ascii="Bookman Old Style" w:hAnsi="Bookman Old Style"/>
          <w:sz w:val="24"/>
          <w:szCs w:val="24"/>
          <w:lang w:val="it-IT"/>
        </w:rPr>
        <w:t>Kecamatan</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Ciledug</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Rp1.017.000.000,00;</w:t>
      </w:r>
    </w:p>
    <w:p w14:paraId="7166300E" w14:textId="599D6824" w:rsidR="002709A5" w:rsidRPr="00CC71E0" w:rsidRDefault="002709A5" w:rsidP="008379CA">
      <w:pPr>
        <w:pStyle w:val="ListParagraph"/>
        <w:numPr>
          <w:ilvl w:val="0"/>
          <w:numId w:val="244"/>
        </w:numPr>
        <w:spacing w:before="60" w:line="276" w:lineRule="auto"/>
        <w:ind w:left="1701" w:hanging="425"/>
        <w:jc w:val="both"/>
        <w:rPr>
          <w:rFonts w:ascii="Bookman Old Style" w:hAnsi="Bookman Old Style"/>
          <w:sz w:val="24"/>
          <w:szCs w:val="24"/>
          <w:lang w:val="it-IT"/>
        </w:rPr>
      </w:pPr>
      <w:r w:rsidRPr="00CC71E0">
        <w:rPr>
          <w:rFonts w:ascii="Bookman Old Style" w:hAnsi="Bookman Old Style"/>
          <w:sz w:val="24"/>
          <w:szCs w:val="24"/>
          <w:lang w:val="it-IT"/>
        </w:rPr>
        <w:lastRenderedPageBreak/>
        <w:t>Kecamatan</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Karang</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Tengah</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Rp639.000.000,00;</w:t>
      </w:r>
    </w:p>
    <w:p w14:paraId="784E7368" w14:textId="455FF248" w:rsidR="002709A5" w:rsidRPr="00CC71E0" w:rsidRDefault="002709A5" w:rsidP="00196996">
      <w:pPr>
        <w:pStyle w:val="ListParagraph"/>
        <w:numPr>
          <w:ilvl w:val="0"/>
          <w:numId w:val="244"/>
        </w:numPr>
        <w:spacing w:before="60" w:after="120" w:line="276" w:lineRule="auto"/>
        <w:ind w:left="1701" w:hanging="425"/>
        <w:contextualSpacing w:val="0"/>
        <w:jc w:val="both"/>
        <w:rPr>
          <w:rFonts w:ascii="Bookman Old Style" w:hAnsi="Bookman Old Style"/>
          <w:sz w:val="24"/>
          <w:szCs w:val="24"/>
          <w:lang w:val="it-IT"/>
        </w:rPr>
      </w:pPr>
      <w:r w:rsidRPr="00CC71E0">
        <w:rPr>
          <w:rFonts w:ascii="Bookman Old Style" w:hAnsi="Bookman Old Style"/>
          <w:sz w:val="24"/>
          <w:szCs w:val="24"/>
          <w:lang w:val="it-IT"/>
        </w:rPr>
        <w:t>Kecamatan</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Karawaci</w:t>
      </w:r>
      <w:r w:rsidR="00A954D0">
        <w:rPr>
          <w:rFonts w:ascii="Bookman Old Style" w:hAnsi="Bookman Old Style"/>
          <w:sz w:val="24"/>
          <w:szCs w:val="24"/>
          <w:lang w:val="it-IT"/>
        </w:rPr>
        <w:t xml:space="preserve"> </w:t>
      </w:r>
      <w:r w:rsidRPr="00CC71E0">
        <w:rPr>
          <w:rFonts w:ascii="Bookman Old Style" w:hAnsi="Bookman Old Style"/>
          <w:sz w:val="24"/>
          <w:szCs w:val="24"/>
          <w:lang w:val="it-IT"/>
        </w:rPr>
        <w:t>Rp1.224.000.000,00</w:t>
      </w:r>
      <w:r w:rsidR="008379CA">
        <w:rPr>
          <w:rFonts w:ascii="Bookman Old Style" w:hAnsi="Bookman Old Style"/>
          <w:sz w:val="24"/>
          <w:szCs w:val="24"/>
          <w:lang w:val="it-IT"/>
        </w:rPr>
        <w:t>.</w:t>
      </w:r>
    </w:p>
    <w:p w14:paraId="0BDAA229" w14:textId="13EC3489" w:rsidR="00D934FD" w:rsidRPr="002709A5" w:rsidRDefault="008379CA" w:rsidP="00196996">
      <w:pPr>
        <w:pStyle w:val="ListParagraph"/>
        <w:spacing w:before="120" w:after="0" w:line="276" w:lineRule="auto"/>
        <w:ind w:left="1276"/>
        <w:contextualSpacing w:val="0"/>
        <w:jc w:val="both"/>
        <w:rPr>
          <w:rFonts w:ascii="Bookman Old Style" w:hAnsi="Bookman Old Style"/>
          <w:sz w:val="24"/>
          <w:szCs w:val="24"/>
          <w:highlight w:val="yellow"/>
          <w:lang w:val="it-IT"/>
        </w:rPr>
      </w:pPr>
      <w:r>
        <w:rPr>
          <w:rFonts w:ascii="Bookman Old Style" w:hAnsi="Bookman Old Style"/>
          <w:sz w:val="24"/>
          <w:szCs w:val="24"/>
          <w:lang w:val="it-IT"/>
        </w:rPr>
        <w:t>D</w:t>
      </w:r>
      <w:r w:rsidR="002709A5" w:rsidRPr="002709A5">
        <w:rPr>
          <w:rFonts w:ascii="Bookman Old Style" w:hAnsi="Bookman Old Style"/>
          <w:sz w:val="24"/>
          <w:szCs w:val="24"/>
          <w:lang w:val="it-IT"/>
        </w:rPr>
        <w:t>engan</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berpedoman</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pada</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Peraturan</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Menteri</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Dalam</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Negeri</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Nomor</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13</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Tahun</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2024</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tentang</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Pos</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Pelayanan</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Terpadu</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dan</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Butir</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5.3.12.d</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Lampiran</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Peraturan</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Menteri</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Dalam</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Negeri</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Nomor</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15</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Tahun</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2024</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serta</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Keputusan</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Menteri</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Dalam</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Negeri</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Nomor</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050-5889</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Tahun</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2021</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tentang</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Hasil</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Verifikasi,</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Validasi</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dan</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Inventarisasi</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Pemutakhiran</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Klasifikasi,</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Kodefikasi</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dan</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Nomenklatur</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Perencanaan</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Pembangunan</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dan</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Keuangan</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Daerah</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sebagaimana</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telah</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diubah</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beberapa</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kali</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terakhir</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dengan</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Keputusan</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Menteri</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Dalam</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Negeri</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Nomor</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900.1.15.5-3406</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Tahun</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2024</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tentang</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Perubahan</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Kedua</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atas</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Keputusan</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Menteri</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Dalam</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Negeri</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Nomor</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050-5889</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Tahun</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2021</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tentang</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Hasil</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Verifikasi,</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Validasi</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dan</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Inventarisasi</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Pemutakhiran</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Klasifikasi,</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Kodefikasi</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dan</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Nomenklatur</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Perencanaan</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Pembangunan</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dan</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Keuangan</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Daerah</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serta</w:t>
      </w:r>
      <w:r w:rsidR="00A954D0">
        <w:rPr>
          <w:rFonts w:ascii="Bookman Old Style" w:hAnsi="Bookman Old Style"/>
          <w:sz w:val="24"/>
          <w:szCs w:val="24"/>
          <w:lang w:val="it-IT"/>
        </w:rPr>
        <w:t xml:space="preserve"> </w:t>
      </w:r>
      <w:r w:rsidR="002709A5" w:rsidRPr="002709A5">
        <w:rPr>
          <w:rFonts w:ascii="Bookman Old Style" w:hAnsi="Bookman Old Style"/>
          <w:sz w:val="24"/>
          <w:szCs w:val="24"/>
          <w:lang w:val="it-IT"/>
        </w:rPr>
        <w:t>pemutakhirannya.</w:t>
      </w:r>
    </w:p>
    <w:p w14:paraId="5D8BB12C" w14:textId="3F9E52BB" w:rsidR="00D934FD" w:rsidRPr="00B96F43" w:rsidRDefault="00D934FD" w:rsidP="008379CA">
      <w:pPr>
        <w:pStyle w:val="ListParagraph"/>
        <w:spacing w:before="60" w:after="0" w:line="276" w:lineRule="auto"/>
        <w:ind w:left="1276"/>
        <w:contextualSpacing w:val="0"/>
        <w:jc w:val="both"/>
        <w:rPr>
          <w:rFonts w:ascii="Bookman Old Style" w:hAnsi="Bookman Old Style" w:cs="Arial"/>
          <w:sz w:val="24"/>
          <w:szCs w:val="24"/>
          <w:lang w:val="de-DE"/>
        </w:rPr>
      </w:pPr>
      <w:r w:rsidRPr="00B96F43">
        <w:rPr>
          <w:rFonts w:ascii="Bookman Old Style" w:hAnsi="Bookman Old Style"/>
          <w:sz w:val="24"/>
          <w:szCs w:val="24"/>
          <w:lang w:val="it-IT"/>
        </w:rPr>
        <w:t>Selanjutnya,</w:t>
      </w:r>
      <w:r w:rsidR="00A954D0">
        <w:rPr>
          <w:rFonts w:ascii="Bookman Old Style" w:hAnsi="Bookman Old Style"/>
          <w:sz w:val="24"/>
          <w:szCs w:val="24"/>
          <w:lang w:val="it-IT"/>
        </w:rPr>
        <w:t xml:space="preserve"> </w:t>
      </w:r>
      <w:r w:rsidRPr="003255BC">
        <w:rPr>
          <w:rFonts w:ascii="Bookman Old Style" w:hAnsi="Bookman Old Style"/>
          <w:sz w:val="24"/>
          <w:szCs w:val="24"/>
          <w:lang w:val="sv-FI"/>
        </w:rPr>
        <w:t>untuk</w:t>
      </w:r>
      <w:r w:rsidR="00A954D0" w:rsidRPr="003255BC">
        <w:rPr>
          <w:rFonts w:ascii="Bookman Old Style" w:hAnsi="Bookman Old Style"/>
          <w:sz w:val="24"/>
          <w:szCs w:val="24"/>
          <w:lang w:val="sv-FI"/>
        </w:rPr>
        <w:t xml:space="preserve"> </w:t>
      </w:r>
      <w:r w:rsidRPr="00B96F43">
        <w:rPr>
          <w:rFonts w:ascii="Bookman Old Style" w:hAnsi="Bookman Old Style" w:cs="Arial"/>
          <w:sz w:val="24"/>
          <w:szCs w:val="24"/>
          <w:lang w:val="de-DE"/>
        </w:rPr>
        <w:t>penguatan</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Posyandu</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dengan</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langkah-langkah</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sebagai</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berikut:</w:t>
      </w:r>
    </w:p>
    <w:p w14:paraId="5318BA40" w14:textId="1BBCEA7F" w:rsidR="00D934FD" w:rsidRPr="00B96F43" w:rsidRDefault="00D934FD" w:rsidP="008379CA">
      <w:pPr>
        <w:pStyle w:val="ListParagraph"/>
        <w:numPr>
          <w:ilvl w:val="0"/>
          <w:numId w:val="113"/>
        </w:numPr>
        <w:spacing w:before="60" w:after="0" w:line="276" w:lineRule="auto"/>
        <w:ind w:left="1701" w:hanging="425"/>
        <w:contextualSpacing w:val="0"/>
        <w:jc w:val="both"/>
        <w:rPr>
          <w:rFonts w:ascii="Bookman Old Style" w:hAnsi="Bookman Old Style" w:cs="Arial"/>
          <w:color w:val="000000" w:themeColor="text1"/>
          <w:sz w:val="24"/>
          <w:szCs w:val="24"/>
          <w:lang w:val="de-DE"/>
        </w:rPr>
      </w:pPr>
      <w:r w:rsidRPr="00B96F43">
        <w:rPr>
          <w:rFonts w:ascii="Bookman Old Style" w:hAnsi="Bookman Old Style" w:cs="Arial"/>
          <w:sz w:val="24"/>
          <w:szCs w:val="24"/>
          <w:lang w:val="de-DE"/>
        </w:rPr>
        <w:t>optimalisasi</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perangkat</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daerah</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yang</w:t>
      </w:r>
      <w:r w:rsidR="00A954D0">
        <w:rPr>
          <w:rFonts w:ascii="Bookman Old Style" w:hAnsi="Bookman Old Style" w:cs="Arial"/>
          <w:sz w:val="24"/>
          <w:szCs w:val="24"/>
          <w:lang w:val="de-DE"/>
        </w:rPr>
        <w:t xml:space="preserve"> </w:t>
      </w:r>
      <w:r w:rsidRPr="00B96F43">
        <w:rPr>
          <w:rFonts w:ascii="Bookman Old Style" w:hAnsi="Bookman Old Style" w:cs="Arial"/>
          <w:color w:val="000000" w:themeColor="text1"/>
          <w:sz w:val="24"/>
          <w:szCs w:val="24"/>
          <w:lang w:val="de-DE"/>
        </w:rPr>
        <w:t>membidangi</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pemberdayaan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masyarakat</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dan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desa</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untuk</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mendukung</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posyandu</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sebagai</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bagian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dari</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LKD</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dalam</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melaksanakan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tugas:</w:t>
      </w:r>
      <w:r w:rsidR="00A954D0">
        <w:rPr>
          <w:rFonts w:ascii="Bookman Old Style" w:hAnsi="Bookman Old Style" w:cs="Arial"/>
          <w:color w:val="000000" w:themeColor="text1"/>
          <w:sz w:val="24"/>
          <w:szCs w:val="24"/>
          <w:lang w:val="de-DE"/>
        </w:rPr>
        <w:t xml:space="preserve"> </w:t>
      </w:r>
    </w:p>
    <w:p w14:paraId="76AE1E36" w14:textId="2E369CE5" w:rsidR="00D934FD" w:rsidRPr="00B96F43" w:rsidRDefault="00D934FD" w:rsidP="008379CA">
      <w:pPr>
        <w:pStyle w:val="ListParagraph"/>
        <w:numPr>
          <w:ilvl w:val="0"/>
          <w:numId w:val="114"/>
        </w:numPr>
        <w:spacing w:before="60" w:after="0" w:line="276" w:lineRule="auto"/>
        <w:ind w:left="2268" w:hanging="567"/>
        <w:contextualSpacing w:val="0"/>
        <w:jc w:val="both"/>
        <w:rPr>
          <w:rFonts w:ascii="Bookman Old Style" w:hAnsi="Bookman Old Style" w:cs="Arial"/>
          <w:color w:val="000000" w:themeColor="text1"/>
          <w:sz w:val="24"/>
          <w:szCs w:val="24"/>
          <w:lang w:val="de-DE"/>
        </w:rPr>
      </w:pPr>
      <w:r w:rsidRPr="00B96F43">
        <w:rPr>
          <w:rFonts w:ascii="Bookman Old Style" w:hAnsi="Bookman Old Style" w:cs="Arial"/>
          <w:color w:val="000000" w:themeColor="text1"/>
          <w:sz w:val="24"/>
          <w:szCs w:val="24"/>
          <w:lang w:val="de-DE"/>
        </w:rPr>
        <w:t>melakukan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pemberdayaan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masyarakat</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desa;</w:t>
      </w:r>
      <w:r w:rsidR="00A954D0">
        <w:rPr>
          <w:rFonts w:ascii="Bookman Old Style" w:hAnsi="Bookman Old Style" w:cs="Arial"/>
          <w:color w:val="000000" w:themeColor="text1"/>
          <w:sz w:val="24"/>
          <w:szCs w:val="24"/>
          <w:lang w:val="de-DE"/>
        </w:rPr>
        <w:t xml:space="preserve"> </w:t>
      </w:r>
    </w:p>
    <w:p w14:paraId="10C9EC37" w14:textId="5637A449" w:rsidR="00D934FD" w:rsidRPr="00B96F43" w:rsidRDefault="00D934FD" w:rsidP="008379CA">
      <w:pPr>
        <w:pStyle w:val="ListParagraph"/>
        <w:numPr>
          <w:ilvl w:val="0"/>
          <w:numId w:val="114"/>
        </w:numPr>
        <w:spacing w:before="60" w:after="0" w:line="276" w:lineRule="auto"/>
        <w:ind w:left="2268" w:hanging="567"/>
        <w:contextualSpacing w:val="0"/>
        <w:jc w:val="both"/>
        <w:rPr>
          <w:rFonts w:ascii="Bookman Old Style" w:hAnsi="Bookman Old Style" w:cs="Arial"/>
          <w:color w:val="000000" w:themeColor="text1"/>
          <w:sz w:val="24"/>
          <w:szCs w:val="24"/>
          <w:lang w:val="de-DE"/>
        </w:rPr>
      </w:pPr>
      <w:r w:rsidRPr="00B96F43">
        <w:rPr>
          <w:rFonts w:ascii="Bookman Old Style" w:hAnsi="Bookman Old Style" w:cs="Arial"/>
          <w:color w:val="000000" w:themeColor="text1"/>
          <w:sz w:val="24"/>
          <w:szCs w:val="24"/>
          <w:lang w:val="de-DE"/>
        </w:rPr>
        <w:t>ikut</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serta</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dalam</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perencanaan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dan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pelaksanaan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pembangunan;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dan</w:t>
      </w:r>
      <w:r w:rsidR="00A954D0">
        <w:rPr>
          <w:rFonts w:ascii="Bookman Old Style" w:hAnsi="Bookman Old Style" w:cs="Arial"/>
          <w:color w:val="000000" w:themeColor="text1"/>
          <w:sz w:val="24"/>
          <w:szCs w:val="24"/>
          <w:lang w:val="de-DE"/>
        </w:rPr>
        <w:t xml:space="preserve"> </w:t>
      </w:r>
    </w:p>
    <w:p w14:paraId="2D77B15B" w14:textId="0C3005E8" w:rsidR="00D934FD" w:rsidRPr="00B96F43" w:rsidRDefault="00D934FD" w:rsidP="008379CA">
      <w:pPr>
        <w:pStyle w:val="ListParagraph"/>
        <w:numPr>
          <w:ilvl w:val="0"/>
          <w:numId w:val="114"/>
        </w:numPr>
        <w:spacing w:before="60" w:after="0" w:line="276" w:lineRule="auto"/>
        <w:ind w:left="2268" w:hanging="567"/>
        <w:contextualSpacing w:val="0"/>
        <w:jc w:val="both"/>
        <w:rPr>
          <w:rFonts w:ascii="Bookman Old Style" w:hAnsi="Bookman Old Style" w:cs="Arial"/>
          <w:color w:val="000000" w:themeColor="text1"/>
          <w:sz w:val="24"/>
          <w:szCs w:val="24"/>
          <w:lang w:val="de-DE"/>
        </w:rPr>
      </w:pPr>
      <w:r w:rsidRPr="00B96F43">
        <w:rPr>
          <w:rFonts w:ascii="Bookman Old Style" w:hAnsi="Bookman Old Style" w:cs="Arial"/>
          <w:color w:val="000000" w:themeColor="text1"/>
          <w:sz w:val="24"/>
          <w:szCs w:val="24"/>
          <w:lang w:val="de-DE"/>
        </w:rPr>
        <w:t>meningkatkan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pelayanan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masyarakat</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desa.</w:t>
      </w:r>
    </w:p>
    <w:p w14:paraId="63DBAC73" w14:textId="49864439" w:rsidR="00D934FD" w:rsidRPr="00B96F43" w:rsidRDefault="00D934FD" w:rsidP="008379CA">
      <w:pPr>
        <w:pStyle w:val="ListParagraph"/>
        <w:numPr>
          <w:ilvl w:val="0"/>
          <w:numId w:val="113"/>
        </w:numPr>
        <w:spacing w:before="60" w:after="0" w:line="276" w:lineRule="auto"/>
        <w:ind w:left="1701" w:hanging="425"/>
        <w:contextualSpacing w:val="0"/>
        <w:jc w:val="both"/>
        <w:rPr>
          <w:rFonts w:ascii="Bookman Old Style" w:hAnsi="Bookman Old Style" w:cs="Arial"/>
          <w:color w:val="000000" w:themeColor="text1"/>
          <w:sz w:val="24"/>
          <w:szCs w:val="24"/>
          <w:lang w:val="de-DE"/>
        </w:rPr>
      </w:pPr>
      <w:r w:rsidRPr="008379CA">
        <w:rPr>
          <w:rFonts w:ascii="Bookman Old Style" w:hAnsi="Bookman Old Style" w:cs="Arial"/>
          <w:sz w:val="24"/>
          <w:szCs w:val="24"/>
          <w:lang w:val="de-DE"/>
        </w:rPr>
        <w:t>penyelarasan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program/kegiatan/</w:t>
      </w:r>
      <w:r w:rsidR="00D112D3" w:rsidRPr="00B96F43">
        <w:rPr>
          <w:rFonts w:ascii="Bookman Old Style" w:hAnsi="Bookman Old Style" w:cs="Arial"/>
          <w:color w:val="000000" w:themeColor="text1"/>
          <w:sz w:val="24"/>
          <w:szCs w:val="24"/>
          <w:lang w:val="de-DE"/>
        </w:rPr>
        <w:t>sub</w:t>
      </w:r>
      <w:r w:rsidR="00A954D0">
        <w:rPr>
          <w:rFonts w:ascii="Bookman Old Style" w:hAnsi="Bookman Old Style" w:cs="Arial"/>
          <w:color w:val="000000" w:themeColor="text1"/>
          <w:sz w:val="24"/>
          <w:szCs w:val="24"/>
          <w:lang w:val="de-DE"/>
        </w:rPr>
        <w:t xml:space="preserve"> </w:t>
      </w:r>
      <w:r w:rsidR="00D112D3" w:rsidRPr="00B96F43">
        <w:rPr>
          <w:rFonts w:ascii="Bookman Old Style" w:hAnsi="Bookman Old Style" w:cs="Arial"/>
          <w:color w:val="000000" w:themeColor="text1"/>
          <w:sz w:val="24"/>
          <w:szCs w:val="24"/>
          <w:lang w:val="de-DE"/>
        </w:rPr>
        <w:t>kegiatan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pada</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perangkat</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daerah</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yang</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membidangi</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pemberdayaan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masyarakat</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dan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pemerintah</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desa</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dengan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6</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bidang</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Standar</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Pelayanan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Minimal</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(SPM),</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meliputi</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pendidikan,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kesehatan,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pekerjaan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umum,</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perumahan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rakyat,</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ketenteraman,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ketertiban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umum,</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perlindungan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masyarakat,</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dan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sosial</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melalui</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i/>
          <w:iCs/>
          <w:color w:val="000000" w:themeColor="text1"/>
          <w:sz w:val="24"/>
          <w:szCs w:val="24"/>
          <w:lang w:val="de-DE"/>
        </w:rPr>
        <w:t>tagging</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di</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tematik</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pembangunan;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dan</w:t>
      </w:r>
    </w:p>
    <w:p w14:paraId="7D73A10C" w14:textId="3CA8BD4C" w:rsidR="00D934FD" w:rsidRPr="00B96F43" w:rsidRDefault="00D934FD" w:rsidP="008379CA">
      <w:pPr>
        <w:pStyle w:val="ListParagraph"/>
        <w:numPr>
          <w:ilvl w:val="0"/>
          <w:numId w:val="113"/>
        </w:numPr>
        <w:spacing w:before="60" w:after="0" w:line="276" w:lineRule="auto"/>
        <w:ind w:left="1701" w:hanging="425"/>
        <w:contextualSpacing w:val="0"/>
        <w:jc w:val="both"/>
        <w:rPr>
          <w:rFonts w:ascii="Bookman Old Style" w:hAnsi="Bookman Old Style" w:cs="Arial"/>
          <w:color w:val="000000" w:themeColor="text1"/>
          <w:sz w:val="24"/>
          <w:szCs w:val="24"/>
          <w:lang w:val="de-DE"/>
        </w:rPr>
      </w:pPr>
      <w:r w:rsidRPr="00B96F43">
        <w:rPr>
          <w:rFonts w:ascii="Bookman Old Style" w:hAnsi="Bookman Old Style" w:cs="Arial"/>
          <w:color w:val="000000" w:themeColor="text1"/>
          <w:sz w:val="24"/>
          <w:szCs w:val="24"/>
          <w:lang w:val="de-DE"/>
        </w:rPr>
        <w:t>memberikan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dukungan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operasional,</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insentif,</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peningkatan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kapasitas</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dan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sarana</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prasarana</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sesuai</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dengan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kemampuan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keuangan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daerah</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berdasarkan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ketentuan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perundang-undangan.</w:t>
      </w:r>
    </w:p>
    <w:p w14:paraId="61E693F8" w14:textId="5602D9E8" w:rsidR="009653F6" w:rsidRPr="00B96F43" w:rsidRDefault="008379CA" w:rsidP="008379CA">
      <w:pPr>
        <w:pStyle w:val="ListParagraph"/>
        <w:spacing w:before="60" w:after="0" w:line="276" w:lineRule="auto"/>
        <w:ind w:left="1276"/>
        <w:contextualSpacing w:val="0"/>
        <w:jc w:val="both"/>
        <w:rPr>
          <w:rFonts w:ascii="Bookman Old Style" w:hAnsi="Bookman Old Style"/>
          <w:sz w:val="24"/>
          <w:szCs w:val="24"/>
          <w:lang w:val="it-IT"/>
        </w:rPr>
      </w:pPr>
      <w:r>
        <w:rPr>
          <w:rFonts w:ascii="Bookman Old Style" w:hAnsi="Bookman Old Style" w:cs="Arial"/>
          <w:color w:val="000000" w:themeColor="text1"/>
          <w:sz w:val="24"/>
          <w:szCs w:val="24"/>
          <w:lang w:val="de-DE"/>
        </w:rPr>
        <w:t>S</w:t>
      </w:r>
      <w:r w:rsidR="00D934FD" w:rsidRPr="00B96F43">
        <w:rPr>
          <w:rFonts w:ascii="Bookman Old Style" w:hAnsi="Bookman Old Style" w:cs="Arial"/>
          <w:color w:val="000000" w:themeColor="text1"/>
          <w:sz w:val="24"/>
          <w:szCs w:val="24"/>
          <w:lang w:val="de-DE"/>
        </w:rPr>
        <w:t>ebagaimana</w:t>
      </w:r>
      <w:r w:rsidR="00A954D0">
        <w:rPr>
          <w:rFonts w:ascii="Bookman Old Style" w:hAnsi="Bookman Old Style" w:cs="Arial"/>
          <w:color w:val="000000" w:themeColor="text1"/>
          <w:sz w:val="24"/>
          <w:szCs w:val="24"/>
          <w:lang w:val="de-DE"/>
        </w:rPr>
        <w:t xml:space="preserve"> </w:t>
      </w:r>
      <w:r w:rsidR="00D934FD" w:rsidRPr="00B96F43">
        <w:rPr>
          <w:rFonts w:ascii="Bookman Old Style" w:hAnsi="Bookman Old Style" w:cs="Arial"/>
          <w:color w:val="000000" w:themeColor="text1"/>
          <w:sz w:val="24"/>
          <w:szCs w:val="24"/>
          <w:lang w:val="de-DE"/>
        </w:rPr>
        <w:t>maksud</w:t>
      </w:r>
      <w:r w:rsidR="00A954D0">
        <w:rPr>
          <w:rFonts w:ascii="Bookman Old Style" w:hAnsi="Bookman Old Style" w:cs="Arial"/>
          <w:color w:val="000000" w:themeColor="text1"/>
          <w:sz w:val="24"/>
          <w:szCs w:val="24"/>
          <w:lang w:val="de-DE"/>
        </w:rPr>
        <w:t xml:space="preserve"> </w:t>
      </w:r>
      <w:r w:rsidR="00D934FD" w:rsidRPr="003255BC">
        <w:rPr>
          <w:rFonts w:ascii="Bookman Old Style" w:hAnsi="Bookman Old Style"/>
          <w:color w:val="000000" w:themeColor="text1"/>
          <w:sz w:val="24"/>
          <w:szCs w:val="24"/>
          <w:lang w:val="sv-FI"/>
        </w:rPr>
        <w:t>butir</w:t>
      </w:r>
      <w:r w:rsidR="00A954D0" w:rsidRPr="003255BC">
        <w:rPr>
          <w:rFonts w:ascii="Bookman Old Style" w:hAnsi="Bookman Old Style"/>
          <w:color w:val="000000" w:themeColor="text1"/>
          <w:sz w:val="24"/>
          <w:szCs w:val="24"/>
          <w:lang w:val="sv-FI"/>
        </w:rPr>
        <w:t xml:space="preserve"> </w:t>
      </w:r>
      <w:r w:rsidR="00D934FD" w:rsidRPr="003255BC">
        <w:rPr>
          <w:rFonts w:ascii="Bookman Old Style" w:hAnsi="Bookman Old Style"/>
          <w:color w:val="000000" w:themeColor="text1"/>
          <w:sz w:val="24"/>
          <w:szCs w:val="24"/>
          <w:lang w:val="sv-FI"/>
        </w:rPr>
        <w:t>5.3.12.d</w:t>
      </w:r>
      <w:r w:rsidR="00A954D0">
        <w:rPr>
          <w:rFonts w:ascii="Bookman Old Style" w:hAnsi="Bookman Old Style"/>
          <w:color w:val="000000" w:themeColor="text1"/>
          <w:sz w:val="24"/>
          <w:szCs w:val="24"/>
        </w:rPr>
        <w:t xml:space="preserve"> </w:t>
      </w:r>
      <w:r w:rsidR="00D934FD" w:rsidRPr="00B96F43">
        <w:rPr>
          <w:rFonts w:ascii="Bookman Old Style" w:hAnsi="Bookman Old Style"/>
          <w:color w:val="000000" w:themeColor="text1"/>
          <w:sz w:val="24"/>
          <w:szCs w:val="24"/>
        </w:rPr>
        <w:t>Lampiran</w:t>
      </w:r>
      <w:r w:rsidR="00A954D0">
        <w:rPr>
          <w:rFonts w:ascii="Bookman Old Style" w:hAnsi="Bookman Old Style"/>
          <w:color w:val="000000" w:themeColor="text1"/>
          <w:sz w:val="24"/>
          <w:szCs w:val="24"/>
        </w:rPr>
        <w:t xml:space="preserve"> </w:t>
      </w:r>
      <w:r w:rsidR="00D934FD" w:rsidRPr="00B96F43">
        <w:rPr>
          <w:rFonts w:ascii="Bookman Old Style" w:hAnsi="Bookman Old Style"/>
          <w:color w:val="000000" w:themeColor="text1"/>
          <w:sz w:val="24"/>
          <w:szCs w:val="24"/>
        </w:rPr>
        <w:t>Peraturan</w:t>
      </w:r>
      <w:r w:rsidR="00A954D0">
        <w:rPr>
          <w:rFonts w:ascii="Bookman Old Style" w:hAnsi="Bookman Old Style"/>
          <w:color w:val="000000" w:themeColor="text1"/>
          <w:sz w:val="24"/>
          <w:szCs w:val="24"/>
        </w:rPr>
        <w:t xml:space="preserve"> </w:t>
      </w:r>
      <w:r w:rsidR="00D934FD" w:rsidRPr="00B96F43">
        <w:rPr>
          <w:rFonts w:ascii="Bookman Old Style" w:hAnsi="Bookman Old Style"/>
          <w:color w:val="000000" w:themeColor="text1"/>
          <w:sz w:val="24"/>
          <w:szCs w:val="24"/>
        </w:rPr>
        <w:t>Menteri</w:t>
      </w:r>
      <w:r w:rsidR="00A954D0">
        <w:rPr>
          <w:rFonts w:ascii="Bookman Old Style" w:hAnsi="Bookman Old Style"/>
          <w:color w:val="000000" w:themeColor="text1"/>
          <w:sz w:val="24"/>
          <w:szCs w:val="24"/>
        </w:rPr>
        <w:t xml:space="preserve"> </w:t>
      </w:r>
      <w:r w:rsidR="00D934FD" w:rsidRPr="00B96F43">
        <w:rPr>
          <w:rFonts w:ascii="Bookman Old Style" w:hAnsi="Bookman Old Style"/>
          <w:color w:val="000000" w:themeColor="text1"/>
          <w:sz w:val="24"/>
          <w:szCs w:val="24"/>
        </w:rPr>
        <w:t>Dalam</w:t>
      </w:r>
      <w:r w:rsidR="00A954D0">
        <w:rPr>
          <w:rFonts w:ascii="Bookman Old Style" w:hAnsi="Bookman Old Style"/>
          <w:color w:val="000000" w:themeColor="text1"/>
          <w:sz w:val="24"/>
          <w:szCs w:val="24"/>
        </w:rPr>
        <w:t xml:space="preserve"> </w:t>
      </w:r>
      <w:r w:rsidR="00D934FD" w:rsidRPr="00B96F43">
        <w:rPr>
          <w:rFonts w:ascii="Bookman Old Style" w:hAnsi="Bookman Old Style"/>
          <w:color w:val="000000" w:themeColor="text1"/>
          <w:sz w:val="24"/>
          <w:szCs w:val="24"/>
        </w:rPr>
        <w:t>Negeri</w:t>
      </w:r>
      <w:r w:rsidR="00A954D0">
        <w:rPr>
          <w:rFonts w:ascii="Bookman Old Style" w:hAnsi="Bookman Old Style"/>
          <w:color w:val="000000" w:themeColor="text1"/>
          <w:sz w:val="24"/>
          <w:szCs w:val="24"/>
        </w:rPr>
        <w:t xml:space="preserve"> </w:t>
      </w:r>
      <w:r w:rsidR="00D934FD" w:rsidRPr="00B96F43">
        <w:rPr>
          <w:rFonts w:ascii="Bookman Old Style" w:hAnsi="Bookman Old Style"/>
          <w:color w:val="000000" w:themeColor="text1"/>
          <w:sz w:val="24"/>
          <w:szCs w:val="24"/>
        </w:rPr>
        <w:t>Nomor</w:t>
      </w:r>
      <w:r w:rsidR="00A954D0">
        <w:rPr>
          <w:rFonts w:ascii="Bookman Old Style" w:hAnsi="Bookman Old Style"/>
          <w:color w:val="000000" w:themeColor="text1"/>
          <w:sz w:val="24"/>
          <w:szCs w:val="24"/>
        </w:rPr>
        <w:t xml:space="preserve"> </w:t>
      </w:r>
      <w:r w:rsidR="00D934FD" w:rsidRPr="003255BC">
        <w:rPr>
          <w:rFonts w:ascii="Bookman Old Style" w:hAnsi="Bookman Old Style"/>
          <w:color w:val="000000" w:themeColor="text1"/>
          <w:sz w:val="24"/>
          <w:szCs w:val="24"/>
          <w:lang w:val="sv-FI"/>
        </w:rPr>
        <w:t>15</w:t>
      </w:r>
      <w:r w:rsidR="00A954D0">
        <w:rPr>
          <w:rFonts w:ascii="Bookman Old Style" w:hAnsi="Bookman Old Style"/>
          <w:color w:val="000000" w:themeColor="text1"/>
          <w:sz w:val="24"/>
          <w:szCs w:val="24"/>
        </w:rPr>
        <w:t xml:space="preserve"> </w:t>
      </w:r>
      <w:r w:rsidR="00D934FD" w:rsidRPr="00B96F43">
        <w:rPr>
          <w:rFonts w:ascii="Bookman Old Style" w:hAnsi="Bookman Old Style"/>
          <w:color w:val="000000" w:themeColor="text1"/>
          <w:sz w:val="24"/>
          <w:szCs w:val="24"/>
        </w:rPr>
        <w:t>Tahun</w:t>
      </w:r>
      <w:r w:rsidR="00A954D0">
        <w:rPr>
          <w:rFonts w:ascii="Bookman Old Style" w:hAnsi="Bookman Old Style"/>
          <w:color w:val="000000" w:themeColor="text1"/>
          <w:sz w:val="24"/>
          <w:szCs w:val="24"/>
        </w:rPr>
        <w:t xml:space="preserve"> </w:t>
      </w:r>
      <w:r w:rsidR="00D934FD" w:rsidRPr="00B96F43">
        <w:rPr>
          <w:rFonts w:ascii="Bookman Old Style" w:hAnsi="Bookman Old Style"/>
          <w:color w:val="000000" w:themeColor="text1"/>
          <w:sz w:val="24"/>
          <w:szCs w:val="24"/>
        </w:rPr>
        <w:t>202</w:t>
      </w:r>
      <w:r w:rsidR="00D934FD" w:rsidRPr="003255BC">
        <w:rPr>
          <w:rFonts w:ascii="Bookman Old Style" w:hAnsi="Bookman Old Style"/>
          <w:color w:val="000000" w:themeColor="text1"/>
          <w:sz w:val="24"/>
          <w:szCs w:val="24"/>
          <w:lang w:val="sv-FI"/>
        </w:rPr>
        <w:t>4</w:t>
      </w:r>
      <w:r w:rsidR="009653F6" w:rsidRPr="00B96F43">
        <w:rPr>
          <w:rFonts w:ascii="Bookman Old Style" w:hAnsi="Bookman Old Style"/>
          <w:sz w:val="24"/>
          <w:szCs w:val="24"/>
          <w:lang w:val="it-IT"/>
        </w:rPr>
        <w:t>.</w:t>
      </w:r>
    </w:p>
    <w:p w14:paraId="6D33919F" w14:textId="1F19E82D" w:rsidR="00A12BC8" w:rsidRPr="00B96F43" w:rsidRDefault="00A12BC8" w:rsidP="008379CA">
      <w:pPr>
        <w:pStyle w:val="ListParagraph"/>
        <w:spacing w:before="60" w:after="0" w:line="276" w:lineRule="auto"/>
        <w:ind w:left="1276"/>
        <w:contextualSpacing w:val="0"/>
        <w:jc w:val="both"/>
        <w:rPr>
          <w:rFonts w:ascii="Bookman Old Style" w:hAnsi="Bookman Old Style" w:cs="Arial"/>
          <w:sz w:val="24"/>
          <w:szCs w:val="24"/>
          <w:lang w:val="de-DE"/>
        </w:rPr>
      </w:pPr>
      <w:r w:rsidRPr="00B96F43">
        <w:rPr>
          <w:rFonts w:ascii="Bookman Old Style" w:hAnsi="Bookman Old Style" w:cs="Arial"/>
          <w:sz w:val="24"/>
          <w:szCs w:val="24"/>
          <w:lang w:val="de-DE"/>
        </w:rPr>
        <w:t>Selanjutnya</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penyediaan</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alokasi</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anggaran</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untuk</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posyandu</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yang</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dianggarkan</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pada</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Program</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Pemberdayaan</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Masyarakat</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Bidang</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Kesehatan,</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Kegiatan</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Pengembangan</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dan</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Pelaksanaan</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Upaya</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Kesehatan</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Bersumber</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Daya</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Masyarakat</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(UKBM)</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Tingkat</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Daerah</w:t>
      </w:r>
      <w:r w:rsidR="00A954D0">
        <w:rPr>
          <w:rFonts w:ascii="Bookman Old Style" w:hAnsi="Bookman Old Style" w:cs="Arial"/>
          <w:sz w:val="24"/>
          <w:szCs w:val="24"/>
          <w:lang w:val="de-DE"/>
        </w:rPr>
        <w:t xml:space="preserve"> </w:t>
      </w:r>
      <w:r w:rsidR="00172E1C">
        <w:rPr>
          <w:rFonts w:ascii="Bookman Old Style" w:hAnsi="Bookman Old Style" w:cs="Arial"/>
          <w:sz w:val="24"/>
          <w:szCs w:val="24"/>
          <w:lang w:val="de-DE"/>
        </w:rPr>
        <w:t>Kabupaten/Kota</w:t>
      </w:r>
      <w:r w:rsidRPr="00B96F43">
        <w:rPr>
          <w:rFonts w:ascii="Bookman Old Style" w:hAnsi="Bookman Old Style" w:cs="Arial"/>
          <w:sz w:val="24"/>
          <w:szCs w:val="24"/>
          <w:lang w:val="de-DE"/>
        </w:rPr>
        <w:t>,</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dan</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Sub</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Kegiatan</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Bimbingan</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Teknis</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dan</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Supervisi</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Pengembangan</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dan</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Pelaksanaan</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Upaya</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lastRenderedPageBreak/>
        <w:t>Kesehatan</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Bersumber</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Daya</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Masyarakat</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(UKBM)</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yang</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antara</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lain</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diuraikan</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ke</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dalam</w:t>
      </w:r>
      <w:r w:rsidR="00A954D0">
        <w:rPr>
          <w:rFonts w:ascii="Bookman Old Style" w:hAnsi="Bookman Old Style" w:cs="Arial"/>
          <w:sz w:val="24"/>
          <w:szCs w:val="24"/>
          <w:lang w:val="de-DE"/>
        </w:rPr>
        <w:t xml:space="preserve"> </w:t>
      </w:r>
      <w:r w:rsidRPr="00B96F43">
        <w:rPr>
          <w:rFonts w:ascii="Bookman Old Style" w:hAnsi="Bookman Old Style" w:cs="Arial"/>
          <w:sz w:val="24"/>
          <w:szCs w:val="24"/>
          <w:lang w:val="de-DE"/>
        </w:rPr>
        <w:t>:</w:t>
      </w:r>
    </w:p>
    <w:p w14:paraId="22121CB5" w14:textId="40860CD1" w:rsidR="00A12BC8" w:rsidRPr="00B96F43" w:rsidRDefault="00A12BC8" w:rsidP="008379CA">
      <w:pPr>
        <w:pStyle w:val="ListParagraph"/>
        <w:numPr>
          <w:ilvl w:val="0"/>
          <w:numId w:val="199"/>
        </w:numPr>
        <w:spacing w:before="60" w:after="0" w:line="276" w:lineRule="auto"/>
        <w:ind w:left="1701" w:hanging="425"/>
        <w:contextualSpacing w:val="0"/>
        <w:jc w:val="both"/>
        <w:rPr>
          <w:rFonts w:ascii="Bookman Old Style" w:hAnsi="Bookman Old Style" w:cs="Arial"/>
          <w:color w:val="000000" w:themeColor="text1"/>
          <w:sz w:val="24"/>
          <w:szCs w:val="24"/>
          <w:lang w:val="de-DE"/>
        </w:rPr>
      </w:pPr>
      <w:r w:rsidRPr="00B96F43">
        <w:rPr>
          <w:rFonts w:ascii="Bookman Old Style" w:hAnsi="Bookman Old Style" w:cs="Arial"/>
          <w:sz w:val="24"/>
          <w:szCs w:val="24"/>
        </w:rPr>
        <w:t>Belanja</w:t>
      </w:r>
      <w:r w:rsidR="00A954D0">
        <w:rPr>
          <w:rFonts w:ascii="Bookman Old Style" w:hAnsi="Bookman Old Style" w:cs="Arial"/>
          <w:sz w:val="24"/>
          <w:szCs w:val="24"/>
        </w:rPr>
        <w:t xml:space="preserve"> </w:t>
      </w:r>
      <w:r w:rsidRPr="00B96F43">
        <w:rPr>
          <w:rFonts w:ascii="Bookman Old Style" w:hAnsi="Bookman Old Style" w:cs="Arial"/>
          <w:color w:val="000000" w:themeColor="text1"/>
          <w:sz w:val="24"/>
          <w:szCs w:val="24"/>
          <w:lang w:val="de-DE"/>
        </w:rPr>
        <w:t>Makanan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dan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Minuman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Rapat</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Rp431.494.000,00;</w:t>
      </w:r>
    </w:p>
    <w:p w14:paraId="08C7D7F1" w14:textId="0EE36A17" w:rsidR="00A12BC8" w:rsidRPr="00B96F43" w:rsidRDefault="00A12BC8" w:rsidP="008379CA">
      <w:pPr>
        <w:pStyle w:val="ListParagraph"/>
        <w:numPr>
          <w:ilvl w:val="0"/>
          <w:numId w:val="199"/>
        </w:numPr>
        <w:spacing w:before="60" w:after="0" w:line="276" w:lineRule="auto"/>
        <w:ind w:left="1701" w:hanging="425"/>
        <w:contextualSpacing w:val="0"/>
        <w:jc w:val="both"/>
        <w:rPr>
          <w:rFonts w:ascii="Bookman Old Style" w:hAnsi="Bookman Old Style" w:cs="Arial"/>
          <w:color w:val="000000" w:themeColor="text1"/>
          <w:sz w:val="24"/>
          <w:szCs w:val="24"/>
          <w:lang w:val="de-DE"/>
        </w:rPr>
      </w:pPr>
      <w:r w:rsidRPr="00B96F43">
        <w:rPr>
          <w:rFonts w:ascii="Bookman Old Style" w:hAnsi="Bookman Old Style" w:cs="Arial"/>
          <w:color w:val="000000" w:themeColor="text1"/>
          <w:sz w:val="24"/>
          <w:szCs w:val="24"/>
          <w:lang w:val="de-DE"/>
        </w:rPr>
        <w:t>Belanja</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Jasa</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Pelayanan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Kesehatan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bagi</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Non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ASN</w:t>
      </w:r>
      <w:r w:rsidR="00A954D0">
        <w:rPr>
          <w:rFonts w:ascii="Bookman Old Style" w:hAnsi="Bookman Old Style" w:cs="Arial"/>
          <w:color w:val="000000" w:themeColor="text1"/>
          <w:sz w:val="24"/>
          <w:szCs w:val="24"/>
          <w:lang w:val="de-DE"/>
        </w:rPr>
        <w:t xml:space="preserve"> </w:t>
      </w:r>
      <w:r w:rsidR="005D3E1E" w:rsidRPr="00B96F43">
        <w:rPr>
          <w:rFonts w:ascii="Bookman Old Style" w:hAnsi="Bookman Old Style" w:cs="Arial"/>
          <w:color w:val="000000" w:themeColor="text1"/>
          <w:sz w:val="24"/>
          <w:szCs w:val="24"/>
          <w:lang w:val="de-DE"/>
        </w:rPr>
        <w:t>Rp</w:t>
      </w:r>
      <w:r w:rsidRPr="00B96F43">
        <w:rPr>
          <w:rFonts w:ascii="Bookman Old Style" w:hAnsi="Bookman Old Style" w:cs="Arial"/>
          <w:color w:val="000000" w:themeColor="text1"/>
          <w:sz w:val="24"/>
          <w:szCs w:val="24"/>
          <w:lang w:val="de-DE"/>
        </w:rPr>
        <w:t>5.911.675.000,00</w:t>
      </w:r>
      <w:r w:rsidR="005D3E1E" w:rsidRPr="00B96F43">
        <w:rPr>
          <w:rFonts w:ascii="Bookman Old Style" w:hAnsi="Bookman Old Style" w:cs="Arial"/>
          <w:color w:val="000000" w:themeColor="text1"/>
          <w:sz w:val="24"/>
          <w:szCs w:val="24"/>
          <w:lang w:val="de-DE"/>
        </w:rPr>
        <w:t>;</w:t>
      </w:r>
    </w:p>
    <w:p w14:paraId="75B3EA3A" w14:textId="46C95691" w:rsidR="00A12BC8" w:rsidRPr="00B96F43" w:rsidRDefault="00A12BC8" w:rsidP="008379CA">
      <w:pPr>
        <w:pStyle w:val="ListParagraph"/>
        <w:numPr>
          <w:ilvl w:val="0"/>
          <w:numId w:val="199"/>
        </w:numPr>
        <w:spacing w:before="60" w:after="0" w:line="276" w:lineRule="auto"/>
        <w:ind w:left="1701" w:hanging="425"/>
        <w:contextualSpacing w:val="0"/>
        <w:jc w:val="both"/>
        <w:rPr>
          <w:rFonts w:ascii="Bookman Old Style" w:hAnsi="Bookman Old Style" w:cs="Arial"/>
          <w:color w:val="000000" w:themeColor="text1"/>
          <w:sz w:val="24"/>
          <w:szCs w:val="24"/>
          <w:lang w:val="de-DE"/>
        </w:rPr>
      </w:pPr>
      <w:r w:rsidRPr="00B96F43">
        <w:rPr>
          <w:rFonts w:ascii="Bookman Old Style" w:hAnsi="Bookman Old Style" w:cs="Arial"/>
          <w:color w:val="000000" w:themeColor="text1"/>
          <w:sz w:val="24"/>
          <w:szCs w:val="24"/>
          <w:lang w:val="de-DE"/>
        </w:rPr>
        <w:t>Belanja</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Iuran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Jaminan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Kecelakaan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Kerja</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bagi</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Non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ASN</w:t>
      </w:r>
      <w:r w:rsidR="00A954D0">
        <w:rPr>
          <w:rFonts w:ascii="Bookman Old Style" w:hAnsi="Bookman Old Style" w:cs="Arial"/>
          <w:color w:val="000000" w:themeColor="text1"/>
          <w:sz w:val="24"/>
          <w:szCs w:val="24"/>
          <w:lang w:val="de-DE"/>
        </w:rPr>
        <w:t xml:space="preserve"> </w:t>
      </w:r>
      <w:r w:rsidR="005D3E1E" w:rsidRPr="00B96F43">
        <w:rPr>
          <w:rFonts w:ascii="Bookman Old Style" w:hAnsi="Bookman Old Style" w:cs="Arial"/>
          <w:color w:val="000000" w:themeColor="text1"/>
          <w:sz w:val="24"/>
          <w:szCs w:val="24"/>
          <w:lang w:val="de-DE"/>
        </w:rPr>
        <w:t>Rp</w:t>
      </w:r>
      <w:r w:rsidRPr="00B96F43">
        <w:rPr>
          <w:rFonts w:ascii="Bookman Old Style" w:hAnsi="Bookman Old Style" w:cs="Arial"/>
          <w:color w:val="000000" w:themeColor="text1"/>
          <w:sz w:val="24"/>
          <w:szCs w:val="24"/>
          <w:lang w:val="de-DE"/>
        </w:rPr>
        <w:t>345.600.000,00</w:t>
      </w:r>
      <w:r w:rsidR="005D3E1E" w:rsidRPr="00B96F43">
        <w:rPr>
          <w:rFonts w:ascii="Bookman Old Style" w:hAnsi="Bookman Old Style" w:cs="Arial"/>
          <w:color w:val="000000" w:themeColor="text1"/>
          <w:sz w:val="24"/>
          <w:szCs w:val="24"/>
          <w:lang w:val="de-DE"/>
        </w:rPr>
        <w:t>;</w:t>
      </w:r>
    </w:p>
    <w:p w14:paraId="122D9D52" w14:textId="1FB100D9" w:rsidR="00A12BC8" w:rsidRPr="00B96F43" w:rsidRDefault="00A12BC8" w:rsidP="008379CA">
      <w:pPr>
        <w:pStyle w:val="ListParagraph"/>
        <w:numPr>
          <w:ilvl w:val="0"/>
          <w:numId w:val="199"/>
        </w:numPr>
        <w:spacing w:before="60" w:after="0" w:line="276" w:lineRule="auto"/>
        <w:ind w:left="1701" w:hanging="425"/>
        <w:contextualSpacing w:val="0"/>
        <w:jc w:val="both"/>
        <w:rPr>
          <w:rFonts w:ascii="Bookman Old Style" w:hAnsi="Bookman Old Style" w:cs="Arial"/>
          <w:color w:val="000000" w:themeColor="text1"/>
          <w:sz w:val="24"/>
          <w:szCs w:val="24"/>
          <w:lang w:val="de-DE"/>
        </w:rPr>
      </w:pPr>
      <w:r w:rsidRPr="00B96F43">
        <w:rPr>
          <w:rFonts w:ascii="Bookman Old Style" w:hAnsi="Bookman Old Style" w:cs="Arial"/>
          <w:color w:val="000000" w:themeColor="text1"/>
          <w:sz w:val="24"/>
          <w:szCs w:val="24"/>
          <w:lang w:val="de-DE"/>
        </w:rPr>
        <w:t>Belanja</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Iuran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Jaminan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Kematian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bagi</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Non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ASN</w:t>
      </w:r>
      <w:r w:rsidR="00A954D0">
        <w:rPr>
          <w:rFonts w:ascii="Bookman Old Style" w:hAnsi="Bookman Old Style" w:cs="Arial"/>
          <w:color w:val="000000" w:themeColor="text1"/>
          <w:sz w:val="24"/>
          <w:szCs w:val="24"/>
          <w:lang w:val="de-DE"/>
        </w:rPr>
        <w:t xml:space="preserve"> </w:t>
      </w:r>
      <w:r w:rsidR="005D3E1E" w:rsidRPr="00B96F43">
        <w:rPr>
          <w:rFonts w:ascii="Bookman Old Style" w:hAnsi="Bookman Old Style" w:cs="Arial"/>
          <w:color w:val="000000" w:themeColor="text1"/>
          <w:sz w:val="24"/>
          <w:szCs w:val="24"/>
          <w:lang w:val="de-DE"/>
        </w:rPr>
        <w:t>Rp</w:t>
      </w:r>
      <w:r w:rsidRPr="00B96F43">
        <w:rPr>
          <w:rFonts w:ascii="Bookman Old Style" w:hAnsi="Bookman Old Style" w:cs="Arial"/>
          <w:color w:val="000000" w:themeColor="text1"/>
          <w:sz w:val="24"/>
          <w:szCs w:val="24"/>
          <w:lang w:val="de-DE"/>
        </w:rPr>
        <w:t>432.000.000,00</w:t>
      </w:r>
      <w:r w:rsidR="005D3E1E" w:rsidRPr="00B96F43">
        <w:rPr>
          <w:rFonts w:ascii="Bookman Old Style" w:hAnsi="Bookman Old Style" w:cs="Arial"/>
          <w:color w:val="000000" w:themeColor="text1"/>
          <w:sz w:val="24"/>
          <w:szCs w:val="24"/>
          <w:lang w:val="de-DE"/>
        </w:rPr>
        <w:t>;</w:t>
      </w:r>
    </w:p>
    <w:p w14:paraId="41B98A9D" w14:textId="7E549CBF" w:rsidR="00A12BC8" w:rsidRPr="00B96F43" w:rsidRDefault="00A12BC8" w:rsidP="008379CA">
      <w:pPr>
        <w:pStyle w:val="ListParagraph"/>
        <w:numPr>
          <w:ilvl w:val="0"/>
          <w:numId w:val="199"/>
        </w:numPr>
        <w:spacing w:before="60" w:after="0" w:line="276" w:lineRule="auto"/>
        <w:ind w:left="1701" w:hanging="425"/>
        <w:contextualSpacing w:val="0"/>
        <w:jc w:val="both"/>
        <w:rPr>
          <w:rFonts w:ascii="Bookman Old Style" w:hAnsi="Bookman Old Style" w:cs="Arial"/>
          <w:color w:val="000000" w:themeColor="text1"/>
          <w:sz w:val="24"/>
          <w:szCs w:val="24"/>
          <w:lang w:val="de-DE"/>
        </w:rPr>
      </w:pPr>
      <w:r w:rsidRPr="00B96F43">
        <w:rPr>
          <w:rFonts w:ascii="Bookman Old Style" w:hAnsi="Bookman Old Style" w:cs="Arial"/>
          <w:color w:val="000000" w:themeColor="text1"/>
          <w:sz w:val="24"/>
          <w:szCs w:val="24"/>
          <w:lang w:val="de-DE"/>
        </w:rPr>
        <w:t>Belanja</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Perjalanan</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Dinas</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Dalam</w:t>
      </w:r>
      <w:r w:rsidR="00A954D0">
        <w:rPr>
          <w:rFonts w:ascii="Bookman Old Style" w:hAnsi="Bookman Old Style" w:cs="Arial"/>
          <w:color w:val="000000" w:themeColor="text1"/>
          <w:sz w:val="24"/>
          <w:szCs w:val="24"/>
          <w:lang w:val="de-DE"/>
        </w:rPr>
        <w:t xml:space="preserve"> </w:t>
      </w:r>
      <w:r w:rsidRPr="00B96F43">
        <w:rPr>
          <w:rFonts w:ascii="Bookman Old Style" w:hAnsi="Bookman Old Style" w:cs="Arial"/>
          <w:color w:val="000000" w:themeColor="text1"/>
          <w:sz w:val="24"/>
          <w:szCs w:val="24"/>
          <w:lang w:val="de-DE"/>
        </w:rPr>
        <w:t>Kota</w:t>
      </w:r>
      <w:r w:rsidR="00A954D0">
        <w:rPr>
          <w:rFonts w:ascii="Bookman Old Style" w:hAnsi="Bookman Old Style" w:cs="Arial"/>
          <w:color w:val="000000" w:themeColor="text1"/>
          <w:sz w:val="24"/>
          <w:szCs w:val="24"/>
          <w:lang w:val="de-DE"/>
        </w:rPr>
        <w:t xml:space="preserve"> </w:t>
      </w:r>
      <w:r w:rsidR="005D3E1E" w:rsidRPr="00B96F43">
        <w:rPr>
          <w:rFonts w:ascii="Bookman Old Style" w:hAnsi="Bookman Old Style" w:cs="Arial"/>
          <w:color w:val="000000" w:themeColor="text1"/>
          <w:sz w:val="24"/>
          <w:szCs w:val="24"/>
          <w:lang w:val="de-DE"/>
        </w:rPr>
        <w:t>Rp</w:t>
      </w:r>
      <w:r w:rsidRPr="00B96F43">
        <w:rPr>
          <w:rFonts w:ascii="Bookman Old Style" w:hAnsi="Bookman Old Style" w:cs="Arial"/>
          <w:color w:val="000000" w:themeColor="text1"/>
          <w:sz w:val="24"/>
          <w:szCs w:val="24"/>
          <w:lang w:val="de-DE"/>
        </w:rPr>
        <w:t>456.400.000,00</w:t>
      </w:r>
      <w:r w:rsidR="008379CA">
        <w:rPr>
          <w:rFonts w:ascii="Bookman Old Style" w:hAnsi="Bookman Old Style" w:cs="Arial"/>
          <w:color w:val="000000" w:themeColor="text1"/>
          <w:sz w:val="24"/>
          <w:szCs w:val="24"/>
          <w:lang w:val="de-DE"/>
        </w:rPr>
        <w:t>.</w:t>
      </w:r>
    </w:p>
    <w:p w14:paraId="5632F09B" w14:textId="6C3CAA38" w:rsidR="005D3E1E" w:rsidRPr="00B96F43" w:rsidRDefault="00421885" w:rsidP="008379CA">
      <w:pPr>
        <w:pStyle w:val="ListParagraph"/>
        <w:spacing w:before="60" w:after="0" w:line="276" w:lineRule="auto"/>
        <w:ind w:left="1276"/>
        <w:contextualSpacing w:val="0"/>
        <w:jc w:val="both"/>
        <w:rPr>
          <w:rFonts w:ascii="Bookman Old Style" w:hAnsi="Bookman Old Style" w:cs="Arial"/>
          <w:color w:val="000000" w:themeColor="text1"/>
          <w:sz w:val="24"/>
          <w:szCs w:val="24"/>
          <w:lang w:val="de-DE"/>
        </w:rPr>
      </w:pPr>
      <w:r w:rsidRPr="003255BC">
        <w:rPr>
          <w:rFonts w:ascii="Bookman Old Style" w:hAnsi="Bookman Old Style" w:cs="Arial"/>
          <w:color w:val="000000" w:themeColor="text1"/>
          <w:sz w:val="24"/>
          <w:szCs w:val="24"/>
          <w:lang w:val="de-DE"/>
        </w:rPr>
        <w:t xml:space="preserve">Untuk itu, </w:t>
      </w:r>
      <w:r w:rsidR="005D3E1E" w:rsidRPr="003255BC">
        <w:rPr>
          <w:rFonts w:ascii="Bookman Old Style" w:hAnsi="Bookman Old Style" w:cs="Arial"/>
          <w:color w:val="000000" w:themeColor="text1"/>
          <w:sz w:val="24"/>
          <w:szCs w:val="24"/>
          <w:lang w:val="de-DE"/>
        </w:rPr>
        <w:t>Pemerintah</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Daerah</w:t>
      </w:r>
      <w:r w:rsidR="00A954D0" w:rsidRPr="003255BC">
        <w:rPr>
          <w:rFonts w:ascii="Bookman Old Style" w:hAnsi="Bookman Old Style" w:cs="Arial"/>
          <w:color w:val="000000" w:themeColor="text1"/>
          <w:sz w:val="24"/>
          <w:szCs w:val="24"/>
          <w:lang w:val="de-DE"/>
        </w:rPr>
        <w:t xml:space="preserve"> </w:t>
      </w:r>
      <w:r w:rsidR="005D3E1E" w:rsidRPr="00B96F43">
        <w:rPr>
          <w:rFonts w:ascii="Bookman Old Style" w:hAnsi="Bookman Old Style"/>
          <w:sz w:val="24"/>
          <w:szCs w:val="24"/>
          <w:lang w:val="fi-FI"/>
        </w:rPr>
        <w:t>Kota</w:t>
      </w:r>
      <w:r w:rsidR="00A954D0">
        <w:rPr>
          <w:rFonts w:ascii="Bookman Old Style" w:hAnsi="Bookman Old Style"/>
          <w:sz w:val="24"/>
          <w:szCs w:val="24"/>
          <w:lang w:val="fi-FI"/>
        </w:rPr>
        <w:t xml:space="preserve"> </w:t>
      </w:r>
      <w:r w:rsidR="00770F22" w:rsidRPr="00B96F43">
        <w:rPr>
          <w:rFonts w:ascii="Bookman Old Style" w:hAnsi="Bookman Old Style"/>
          <w:sz w:val="24"/>
          <w:szCs w:val="24"/>
          <w:lang w:val="fi-FI"/>
        </w:rPr>
        <w:t>Tangerang</w:t>
      </w:r>
      <w:r w:rsidR="00A954D0">
        <w:rPr>
          <w:rFonts w:ascii="Bookman Old Style" w:hAnsi="Bookman Old Style"/>
          <w:sz w:val="24"/>
          <w:szCs w:val="24"/>
          <w:lang w:val="fi-FI"/>
        </w:rPr>
        <w:t xml:space="preserve"> </w:t>
      </w:r>
      <w:r w:rsidRPr="003255BC">
        <w:rPr>
          <w:rFonts w:ascii="Bookman Old Style" w:hAnsi="Bookman Old Style" w:cs="Arial"/>
          <w:color w:val="000000" w:themeColor="text1"/>
          <w:sz w:val="24"/>
          <w:szCs w:val="24"/>
          <w:lang w:val="de-DE"/>
        </w:rPr>
        <w:t xml:space="preserve">agar </w:t>
      </w:r>
      <w:r w:rsidR="005D3E1E" w:rsidRPr="003255BC">
        <w:rPr>
          <w:rFonts w:ascii="Bookman Old Style" w:hAnsi="Bookman Old Style" w:cs="Arial"/>
          <w:color w:val="000000" w:themeColor="text1"/>
          <w:sz w:val="24"/>
          <w:szCs w:val="24"/>
          <w:lang w:val="de-DE"/>
        </w:rPr>
        <w:t>memformulasikan</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kembali</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uraian</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belanja</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pada</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sub</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kegiatan</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tersebut</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dengan</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memprioritaskan</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alokasi</w:t>
      </w:r>
      <w:r w:rsidR="00A954D0" w:rsidRPr="003255BC">
        <w:rPr>
          <w:rFonts w:ascii="Bookman Old Style" w:hAnsi="Bookman Old Style" w:cs="Arial"/>
          <w:color w:val="000000" w:themeColor="text1"/>
          <w:sz w:val="24"/>
          <w:szCs w:val="24"/>
          <w:lang w:val="de-DE"/>
        </w:rPr>
        <w:t xml:space="preserve"> </w:t>
      </w:r>
      <w:r w:rsidR="005D3E1E" w:rsidRPr="00B96F43">
        <w:rPr>
          <w:rFonts w:ascii="Bookman Old Style" w:hAnsi="Bookman Old Style" w:cs="Arial"/>
          <w:sz w:val="24"/>
          <w:szCs w:val="24"/>
        </w:rPr>
        <w:t>anggaran</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belanja</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pokok</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dibandingkan</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dengan</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alokasi</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anggaran</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belanja</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penunjang</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guna</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mendukung</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capaian</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target</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kinerja</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program,</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kegiatan</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dan</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sub</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kegiatan</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sesuai</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dengan</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target</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capaian</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kinerja</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yang</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diharapkan</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dari</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sub</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kegiatan</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dimaksud</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apabila</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ditinjau</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dari</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aspek</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indikator,</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tolok</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ukur,</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dan</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target</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kinerja</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kegiatan,</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sebagaimana</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maksud</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Pasal</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54</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ayat</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(3)</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dan</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Pasal</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97</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Peraturan</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Pemerintah</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Nomor</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12</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Tahun</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2019</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dan</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butir</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4.1.3.c</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Lampiran</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Peraturan</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Menteri</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Dalam</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Negeri</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Nomor</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15</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Tahun</w:t>
      </w:r>
      <w:r w:rsidR="00A954D0" w:rsidRPr="003255BC">
        <w:rPr>
          <w:rFonts w:ascii="Bookman Old Style" w:hAnsi="Bookman Old Style" w:cs="Arial"/>
          <w:color w:val="000000" w:themeColor="text1"/>
          <w:sz w:val="24"/>
          <w:szCs w:val="24"/>
          <w:lang w:val="de-DE"/>
        </w:rPr>
        <w:t xml:space="preserve"> </w:t>
      </w:r>
      <w:r w:rsidR="005D3E1E" w:rsidRPr="003255BC">
        <w:rPr>
          <w:rFonts w:ascii="Bookman Old Style" w:hAnsi="Bookman Old Style" w:cs="Arial"/>
          <w:color w:val="000000" w:themeColor="text1"/>
          <w:sz w:val="24"/>
          <w:szCs w:val="24"/>
          <w:lang w:val="de-DE"/>
        </w:rPr>
        <w:t>2024.</w:t>
      </w:r>
    </w:p>
    <w:p w14:paraId="4957EE1B" w14:textId="7C072083" w:rsidR="009E7D10" w:rsidRPr="00B96F43" w:rsidRDefault="009E7D10" w:rsidP="008379CA">
      <w:pPr>
        <w:pStyle w:val="ListParagraph"/>
        <w:numPr>
          <w:ilvl w:val="0"/>
          <w:numId w:val="99"/>
        </w:numPr>
        <w:spacing w:before="120" w:after="0" w:line="276" w:lineRule="auto"/>
        <w:ind w:left="1276" w:hanging="284"/>
        <w:contextualSpacing w:val="0"/>
        <w:jc w:val="both"/>
        <w:rPr>
          <w:rFonts w:ascii="Bookman Old Style" w:hAnsi="Bookman Old Style" w:cs="Arial"/>
          <w:sz w:val="24"/>
          <w:szCs w:val="24"/>
        </w:rPr>
      </w:pPr>
      <w:r w:rsidRPr="00B96F43">
        <w:rPr>
          <w:rFonts w:ascii="Bookman Old Style" w:hAnsi="Bookman Old Style" w:cs="Arial"/>
          <w:sz w:val="24"/>
          <w:szCs w:val="24"/>
        </w:rPr>
        <w:t>Alokasi</w:t>
      </w:r>
      <w:r w:rsidR="00A954D0">
        <w:rPr>
          <w:rFonts w:ascii="Bookman Old Style" w:hAnsi="Bookman Old Style" w:cs="Arial"/>
          <w:sz w:val="24"/>
          <w:szCs w:val="24"/>
        </w:rPr>
        <w:t xml:space="preserve"> </w:t>
      </w:r>
      <w:r w:rsidRPr="00B96F43">
        <w:rPr>
          <w:rFonts w:ascii="Bookman Old Style" w:hAnsi="Bookman Old Style" w:cs="Arial"/>
          <w:sz w:val="24"/>
          <w:szCs w:val="24"/>
        </w:rPr>
        <w:t>Anggaran</w:t>
      </w:r>
      <w:r w:rsidR="00A954D0">
        <w:rPr>
          <w:rFonts w:ascii="Bookman Old Style" w:hAnsi="Bookman Old Style" w:cs="Arial"/>
          <w:sz w:val="24"/>
          <w:szCs w:val="24"/>
        </w:rPr>
        <w:t xml:space="preserve"> </w:t>
      </w:r>
      <w:r w:rsidRPr="00B96F43">
        <w:rPr>
          <w:rFonts w:ascii="Bookman Old Style" w:hAnsi="Bookman Old Style" w:cs="Arial"/>
          <w:sz w:val="24"/>
          <w:szCs w:val="24"/>
        </w:rPr>
        <w:t>untuk</w:t>
      </w:r>
      <w:r w:rsidR="00A954D0">
        <w:rPr>
          <w:rFonts w:ascii="Bookman Old Style" w:hAnsi="Bookman Old Style" w:cs="Arial"/>
          <w:sz w:val="24"/>
          <w:szCs w:val="24"/>
        </w:rPr>
        <w:t xml:space="preserve"> </w:t>
      </w:r>
      <w:r w:rsidRPr="00B96F43">
        <w:rPr>
          <w:rFonts w:ascii="Bookman Old Style" w:hAnsi="Bookman Old Style" w:cs="Arial"/>
          <w:sz w:val="24"/>
          <w:szCs w:val="24"/>
        </w:rPr>
        <w:t>Bantuan</w:t>
      </w:r>
      <w:r w:rsidR="00A954D0">
        <w:rPr>
          <w:rFonts w:ascii="Bookman Old Style" w:hAnsi="Bookman Old Style" w:cs="Arial"/>
          <w:sz w:val="24"/>
          <w:szCs w:val="24"/>
        </w:rPr>
        <w:t xml:space="preserve"> </w:t>
      </w:r>
      <w:r w:rsidRPr="00B96F43">
        <w:rPr>
          <w:rFonts w:ascii="Bookman Old Style" w:hAnsi="Bookman Old Style" w:cs="Arial"/>
          <w:sz w:val="24"/>
          <w:szCs w:val="24"/>
        </w:rPr>
        <w:t>Hukum</w:t>
      </w:r>
    </w:p>
    <w:p w14:paraId="1726AFBF" w14:textId="76DC3C6C" w:rsidR="009E7D10" w:rsidRPr="00B96F43" w:rsidRDefault="00B96F43" w:rsidP="008379CA">
      <w:pPr>
        <w:pStyle w:val="ListParagraph"/>
        <w:spacing w:before="60" w:after="0" w:line="276" w:lineRule="auto"/>
        <w:ind w:left="1276"/>
        <w:contextualSpacing w:val="0"/>
        <w:jc w:val="both"/>
        <w:rPr>
          <w:rFonts w:ascii="Bookman Old Style" w:hAnsi="Bookman Old Style" w:cs="Arial"/>
          <w:sz w:val="24"/>
          <w:szCs w:val="24"/>
        </w:rPr>
      </w:pPr>
      <w:r w:rsidRPr="00B96F43">
        <w:rPr>
          <w:rFonts w:ascii="Bookman Old Style" w:hAnsi="Bookman Old Style" w:cs="Arial"/>
          <w:sz w:val="24"/>
          <w:szCs w:val="24"/>
        </w:rPr>
        <w:t>Penyediaan</w:t>
      </w:r>
      <w:r w:rsidR="00A954D0">
        <w:rPr>
          <w:rFonts w:ascii="Bookman Old Style" w:hAnsi="Bookman Old Style" w:cs="Arial"/>
          <w:sz w:val="24"/>
          <w:szCs w:val="24"/>
        </w:rPr>
        <w:t xml:space="preserve"> </w:t>
      </w:r>
      <w:r w:rsidRPr="00B96F43">
        <w:rPr>
          <w:rFonts w:ascii="Bookman Old Style" w:hAnsi="Bookman Old Style" w:cs="Arial"/>
          <w:sz w:val="24"/>
          <w:szCs w:val="24"/>
        </w:rPr>
        <w:t>anggaran</w:t>
      </w:r>
      <w:r w:rsidR="00A954D0">
        <w:rPr>
          <w:rFonts w:ascii="Bookman Old Style" w:hAnsi="Bookman Old Style" w:cs="Arial"/>
          <w:sz w:val="24"/>
          <w:szCs w:val="24"/>
        </w:rPr>
        <w:t xml:space="preserve"> </w:t>
      </w:r>
      <w:r w:rsidRPr="00B96F43">
        <w:rPr>
          <w:rFonts w:ascii="Bookman Old Style" w:hAnsi="Bookman Old Style" w:cs="Arial"/>
          <w:sz w:val="24"/>
          <w:szCs w:val="24"/>
        </w:rPr>
        <w:t>yang</w:t>
      </w:r>
      <w:r w:rsidR="00A954D0">
        <w:rPr>
          <w:rFonts w:ascii="Bookman Old Style" w:hAnsi="Bookman Old Style" w:cs="Arial"/>
          <w:sz w:val="24"/>
          <w:szCs w:val="24"/>
        </w:rPr>
        <w:t xml:space="preserve"> </w:t>
      </w:r>
      <w:r w:rsidRPr="00B96F43">
        <w:rPr>
          <w:rFonts w:ascii="Bookman Old Style" w:hAnsi="Bookman Old Style" w:cs="Arial"/>
          <w:sz w:val="24"/>
          <w:szCs w:val="24"/>
        </w:rPr>
        <w:t>tercantum</w:t>
      </w:r>
      <w:r w:rsidR="00A954D0">
        <w:rPr>
          <w:rFonts w:ascii="Bookman Old Style" w:hAnsi="Bookman Old Style" w:cs="Arial"/>
          <w:sz w:val="24"/>
          <w:szCs w:val="24"/>
        </w:rPr>
        <w:t xml:space="preserve"> </w:t>
      </w:r>
      <w:r w:rsidRPr="00B96F43">
        <w:rPr>
          <w:rFonts w:ascii="Bookman Old Style" w:hAnsi="Bookman Old Style" w:cs="Arial"/>
          <w:sz w:val="24"/>
          <w:szCs w:val="24"/>
        </w:rPr>
        <w:t>pada</w:t>
      </w:r>
      <w:r w:rsidR="00A954D0">
        <w:rPr>
          <w:rFonts w:ascii="Bookman Old Style" w:hAnsi="Bookman Old Style" w:cs="Arial"/>
          <w:sz w:val="24"/>
          <w:szCs w:val="24"/>
        </w:rPr>
        <w:t xml:space="preserve"> </w:t>
      </w:r>
      <w:r w:rsidR="00CF570F">
        <w:rPr>
          <w:rFonts w:ascii="Bookman Old Style" w:hAnsi="Bookman Old Style" w:cs="Arial"/>
          <w:sz w:val="24"/>
          <w:szCs w:val="24"/>
        </w:rPr>
        <w:t>Sub</w:t>
      </w:r>
      <w:r w:rsidR="00A954D0">
        <w:rPr>
          <w:rFonts w:ascii="Bookman Old Style" w:hAnsi="Bookman Old Style" w:cs="Arial"/>
          <w:sz w:val="24"/>
          <w:szCs w:val="24"/>
        </w:rPr>
        <w:t xml:space="preserve"> </w:t>
      </w:r>
      <w:r w:rsidRPr="00B96F43">
        <w:rPr>
          <w:rFonts w:ascii="Bookman Old Style" w:hAnsi="Bookman Old Style" w:cs="Arial"/>
          <w:sz w:val="24"/>
          <w:szCs w:val="24"/>
        </w:rPr>
        <w:t>Kegiatan</w:t>
      </w:r>
      <w:r w:rsidR="00A954D0">
        <w:rPr>
          <w:rFonts w:ascii="Bookman Old Style" w:hAnsi="Bookman Old Style" w:cs="Arial"/>
          <w:sz w:val="24"/>
          <w:szCs w:val="24"/>
        </w:rPr>
        <w:t xml:space="preserve"> </w:t>
      </w:r>
      <w:r w:rsidRPr="00B96F43">
        <w:rPr>
          <w:rFonts w:ascii="Bookman Old Style" w:hAnsi="Bookman Old Style" w:cs="Arial"/>
          <w:sz w:val="24"/>
          <w:szCs w:val="24"/>
        </w:rPr>
        <w:t>Fasilitasi</w:t>
      </w:r>
      <w:r w:rsidR="00A954D0">
        <w:rPr>
          <w:rFonts w:ascii="Bookman Old Style" w:hAnsi="Bookman Old Style" w:cs="Arial"/>
          <w:sz w:val="24"/>
          <w:szCs w:val="24"/>
        </w:rPr>
        <w:t xml:space="preserve"> </w:t>
      </w:r>
      <w:r w:rsidR="00CF570F">
        <w:rPr>
          <w:rFonts w:ascii="Bookman Old Style" w:hAnsi="Bookman Old Style" w:cs="Arial"/>
          <w:sz w:val="24"/>
          <w:szCs w:val="24"/>
        </w:rPr>
        <w:t>Bantuan</w:t>
      </w:r>
      <w:r w:rsidR="00A954D0">
        <w:rPr>
          <w:rFonts w:ascii="Bookman Old Style" w:hAnsi="Bookman Old Style" w:cs="Arial"/>
          <w:sz w:val="24"/>
          <w:szCs w:val="24"/>
        </w:rPr>
        <w:t xml:space="preserve"> </w:t>
      </w:r>
      <w:r w:rsidR="00CF570F">
        <w:rPr>
          <w:rFonts w:ascii="Bookman Old Style" w:hAnsi="Bookman Old Style" w:cs="Arial"/>
          <w:sz w:val="24"/>
          <w:szCs w:val="24"/>
        </w:rPr>
        <w:t>Hukum</w:t>
      </w:r>
      <w:r w:rsidR="00A954D0">
        <w:rPr>
          <w:rFonts w:ascii="Bookman Old Style" w:hAnsi="Bookman Old Style" w:cs="Arial"/>
          <w:sz w:val="24"/>
          <w:szCs w:val="24"/>
        </w:rPr>
        <w:t xml:space="preserve"> </w:t>
      </w:r>
      <w:r w:rsidRPr="00B96F43">
        <w:rPr>
          <w:rFonts w:ascii="Bookman Old Style" w:hAnsi="Bookman Old Style" w:cs="Arial"/>
          <w:sz w:val="24"/>
          <w:szCs w:val="24"/>
        </w:rPr>
        <w:t>Rp</w:t>
      </w:r>
      <w:r w:rsidRPr="00B96F43">
        <w:rPr>
          <w:rFonts w:ascii="Bookman Old Style" w:hAnsi="Bookman Old Style" w:cs="Arial"/>
          <w:sz w:val="24"/>
          <w:szCs w:val="24"/>
          <w:lang w:val="en-US"/>
        </w:rPr>
        <w:t>4.922.014.200,00</w:t>
      </w:r>
      <w:r w:rsidR="00A954D0">
        <w:rPr>
          <w:rFonts w:ascii="Bookman Old Style" w:hAnsi="Bookman Old Style" w:cs="Arial"/>
          <w:sz w:val="24"/>
          <w:szCs w:val="24"/>
          <w:lang w:val="id-ID"/>
        </w:rPr>
        <w:t xml:space="preserve"> </w:t>
      </w:r>
      <w:r w:rsidRPr="00B96F43">
        <w:rPr>
          <w:rFonts w:ascii="Bookman Old Style" w:hAnsi="Bookman Old Style" w:cs="Arial"/>
          <w:sz w:val="24"/>
          <w:szCs w:val="24"/>
          <w:lang w:val="id-ID"/>
        </w:rPr>
        <w:t>atau</w:t>
      </w:r>
      <w:r w:rsidR="00A954D0">
        <w:rPr>
          <w:rFonts w:ascii="Bookman Old Style" w:hAnsi="Bookman Old Style" w:cs="Arial"/>
          <w:sz w:val="24"/>
          <w:szCs w:val="24"/>
          <w:lang w:val="id-ID"/>
        </w:rPr>
        <w:t xml:space="preserve"> </w:t>
      </w:r>
      <w:r w:rsidR="004425D7">
        <w:rPr>
          <w:rFonts w:ascii="Bookman Old Style" w:hAnsi="Bookman Old Style" w:cs="Arial"/>
          <w:sz w:val="24"/>
          <w:szCs w:val="24"/>
          <w:lang w:val="en-US"/>
        </w:rPr>
        <w:t>0</w:t>
      </w:r>
      <w:r w:rsidRPr="00B96F43">
        <w:rPr>
          <w:rFonts w:ascii="Bookman Old Style" w:hAnsi="Bookman Old Style" w:cs="Arial"/>
          <w:sz w:val="24"/>
          <w:szCs w:val="24"/>
          <w:lang w:val="en-US"/>
        </w:rPr>
        <w:t>,</w:t>
      </w:r>
      <w:r w:rsidR="004425D7">
        <w:rPr>
          <w:rFonts w:ascii="Bookman Old Style" w:hAnsi="Bookman Old Style" w:cs="Arial"/>
          <w:sz w:val="24"/>
          <w:szCs w:val="24"/>
          <w:lang w:val="en-US"/>
        </w:rPr>
        <w:t>09</w:t>
      </w:r>
      <w:r w:rsidRPr="00B96F43">
        <w:rPr>
          <w:rFonts w:ascii="Bookman Old Style" w:hAnsi="Bookman Old Style" w:cs="Arial"/>
          <w:sz w:val="24"/>
          <w:szCs w:val="24"/>
          <w:lang w:val="id-ID"/>
        </w:rPr>
        <w:t>%</w:t>
      </w:r>
      <w:r w:rsidR="00A954D0">
        <w:rPr>
          <w:rFonts w:ascii="Bookman Old Style" w:hAnsi="Bookman Old Style" w:cs="Arial"/>
          <w:sz w:val="24"/>
          <w:szCs w:val="24"/>
          <w:lang w:val="id-ID"/>
        </w:rPr>
        <w:t xml:space="preserve"> </w:t>
      </w:r>
      <w:r w:rsidRPr="00B96F43">
        <w:rPr>
          <w:rFonts w:ascii="Bookman Old Style" w:hAnsi="Bookman Old Style" w:cs="Arial"/>
          <w:sz w:val="24"/>
          <w:szCs w:val="24"/>
          <w:lang w:val="id-ID"/>
        </w:rPr>
        <w:t>dari</w:t>
      </w:r>
      <w:r w:rsidR="00A954D0">
        <w:rPr>
          <w:rFonts w:ascii="Bookman Old Style" w:hAnsi="Bookman Old Style" w:cs="Arial"/>
          <w:sz w:val="24"/>
          <w:szCs w:val="24"/>
          <w:lang w:val="id-ID"/>
        </w:rPr>
        <w:t xml:space="preserve"> </w:t>
      </w:r>
      <w:r w:rsidRPr="00B96F43">
        <w:rPr>
          <w:rFonts w:ascii="Bookman Old Style" w:hAnsi="Bookman Old Style" w:cs="Arial"/>
          <w:sz w:val="24"/>
          <w:szCs w:val="24"/>
          <w:lang w:val="id-ID"/>
        </w:rPr>
        <w:t>total</w:t>
      </w:r>
      <w:r w:rsidR="00A954D0">
        <w:rPr>
          <w:rFonts w:ascii="Bookman Old Style" w:hAnsi="Bookman Old Style" w:cs="Arial"/>
          <w:sz w:val="24"/>
          <w:szCs w:val="24"/>
          <w:lang w:val="id-ID"/>
        </w:rPr>
        <w:t xml:space="preserve"> </w:t>
      </w:r>
      <w:r w:rsidRPr="00B96F43">
        <w:rPr>
          <w:rFonts w:ascii="Bookman Old Style" w:hAnsi="Bookman Old Style" w:cs="Arial"/>
          <w:sz w:val="24"/>
          <w:szCs w:val="24"/>
          <w:lang w:val="id-ID"/>
        </w:rPr>
        <w:t>belanja</w:t>
      </w:r>
      <w:r w:rsidR="00A954D0">
        <w:rPr>
          <w:rFonts w:ascii="Bookman Old Style" w:hAnsi="Bookman Old Style" w:cs="Arial"/>
          <w:sz w:val="24"/>
          <w:szCs w:val="24"/>
          <w:lang w:val="id-ID"/>
        </w:rPr>
        <w:t xml:space="preserve"> </w:t>
      </w:r>
      <w:r w:rsidRPr="00B96F43">
        <w:rPr>
          <w:rFonts w:ascii="Bookman Old Style" w:hAnsi="Bookman Old Style" w:cs="Arial"/>
          <w:sz w:val="24"/>
          <w:szCs w:val="24"/>
          <w:lang w:val="id-ID"/>
        </w:rPr>
        <w:t>daerah</w:t>
      </w:r>
      <w:r w:rsidR="00A954D0">
        <w:rPr>
          <w:rFonts w:ascii="Bookman Old Style" w:hAnsi="Bookman Old Style" w:cs="Arial"/>
          <w:sz w:val="24"/>
          <w:szCs w:val="24"/>
        </w:rPr>
        <w:t xml:space="preserve"> </w:t>
      </w:r>
      <w:r w:rsidRPr="00B96F43">
        <w:rPr>
          <w:rFonts w:ascii="Bookman Old Style" w:hAnsi="Bookman Old Style" w:cs="Arial"/>
          <w:sz w:val="24"/>
          <w:szCs w:val="24"/>
        </w:rPr>
        <w:t>dalam</w:t>
      </w:r>
      <w:r w:rsidR="00A954D0">
        <w:rPr>
          <w:rFonts w:ascii="Bookman Old Style" w:hAnsi="Bookman Old Style" w:cs="Arial"/>
          <w:sz w:val="24"/>
          <w:szCs w:val="24"/>
        </w:rPr>
        <w:t xml:space="preserve"> </w:t>
      </w:r>
      <w:r w:rsidRPr="00B96F43">
        <w:rPr>
          <w:rFonts w:ascii="Bookman Old Style" w:hAnsi="Bookman Old Style" w:cs="Arial"/>
          <w:sz w:val="24"/>
          <w:szCs w:val="24"/>
        </w:rPr>
        <w:t>Rancangan</w:t>
      </w:r>
      <w:r w:rsidR="00A954D0">
        <w:rPr>
          <w:rFonts w:ascii="Bookman Old Style" w:hAnsi="Bookman Old Style" w:cs="Arial"/>
          <w:sz w:val="24"/>
          <w:szCs w:val="24"/>
        </w:rPr>
        <w:t xml:space="preserve"> </w:t>
      </w:r>
      <w:r w:rsidRPr="00B96F43">
        <w:rPr>
          <w:rFonts w:ascii="Bookman Old Style" w:hAnsi="Bookman Old Style" w:cs="Arial"/>
          <w:sz w:val="24"/>
          <w:szCs w:val="24"/>
        </w:rPr>
        <w:t>Peraturan</w:t>
      </w:r>
      <w:r w:rsidR="00A954D0">
        <w:rPr>
          <w:rFonts w:ascii="Bookman Old Style" w:hAnsi="Bookman Old Style" w:cs="Arial"/>
          <w:sz w:val="24"/>
          <w:szCs w:val="24"/>
        </w:rPr>
        <w:t xml:space="preserve"> </w:t>
      </w:r>
      <w:r w:rsidRPr="00B96F43">
        <w:rPr>
          <w:rFonts w:ascii="Bookman Old Style" w:hAnsi="Bookman Old Style" w:cs="Arial"/>
          <w:sz w:val="24"/>
          <w:szCs w:val="24"/>
        </w:rPr>
        <w:t>Daerah</w:t>
      </w:r>
      <w:r w:rsidR="00A954D0">
        <w:rPr>
          <w:rFonts w:ascii="Bookman Old Style" w:hAnsi="Bookman Old Style" w:cs="Arial"/>
          <w:sz w:val="24"/>
          <w:szCs w:val="24"/>
        </w:rPr>
        <w:t xml:space="preserve"> </w:t>
      </w:r>
      <w:r w:rsidRPr="00B96F43">
        <w:rPr>
          <w:rFonts w:ascii="Bookman Old Style" w:hAnsi="Bookman Old Style"/>
          <w:sz w:val="24"/>
          <w:szCs w:val="24"/>
          <w:lang w:val="fi-FI"/>
        </w:rPr>
        <w:t>Kota</w:t>
      </w:r>
      <w:r w:rsidR="00A954D0">
        <w:rPr>
          <w:rFonts w:ascii="Bookman Old Style" w:hAnsi="Bookman Old Style"/>
          <w:sz w:val="24"/>
          <w:szCs w:val="24"/>
          <w:lang w:val="fi-FI"/>
        </w:rPr>
        <w:t xml:space="preserve"> </w:t>
      </w:r>
      <w:r w:rsidRPr="00B96F43">
        <w:rPr>
          <w:rFonts w:ascii="Bookman Old Style" w:hAnsi="Bookman Old Style"/>
          <w:sz w:val="24"/>
          <w:szCs w:val="24"/>
          <w:lang w:val="fi-FI"/>
        </w:rPr>
        <w:t>Tangerang</w:t>
      </w:r>
      <w:r w:rsidR="00A954D0">
        <w:rPr>
          <w:rFonts w:ascii="Bookman Old Style" w:hAnsi="Bookman Old Style"/>
          <w:sz w:val="24"/>
          <w:szCs w:val="24"/>
          <w:lang w:val="fi-FI"/>
        </w:rPr>
        <w:t xml:space="preserve"> </w:t>
      </w:r>
      <w:r w:rsidRPr="00B96F43">
        <w:rPr>
          <w:rFonts w:ascii="Bookman Old Style" w:hAnsi="Bookman Old Style" w:cs="Arial"/>
          <w:sz w:val="24"/>
          <w:szCs w:val="24"/>
        </w:rPr>
        <w:t>tentang</w:t>
      </w:r>
      <w:r w:rsidR="00A954D0">
        <w:rPr>
          <w:rFonts w:ascii="Bookman Old Style" w:hAnsi="Bookman Old Style" w:cs="Arial"/>
          <w:sz w:val="24"/>
          <w:szCs w:val="24"/>
        </w:rPr>
        <w:t xml:space="preserve"> </w:t>
      </w:r>
      <w:r w:rsidRPr="00B96F43">
        <w:rPr>
          <w:rFonts w:ascii="Bookman Old Style" w:hAnsi="Bookman Old Style" w:cs="Arial"/>
          <w:sz w:val="24"/>
          <w:szCs w:val="24"/>
        </w:rPr>
        <w:t>APBD</w:t>
      </w:r>
      <w:r w:rsidR="00A954D0">
        <w:rPr>
          <w:rFonts w:ascii="Bookman Old Style" w:hAnsi="Bookman Old Style" w:cs="Arial"/>
          <w:sz w:val="24"/>
          <w:szCs w:val="24"/>
        </w:rPr>
        <w:t xml:space="preserve"> </w:t>
      </w:r>
      <w:r w:rsidRPr="00B96F43">
        <w:rPr>
          <w:rFonts w:ascii="Bookman Old Style" w:hAnsi="Bookman Old Style" w:cs="Arial"/>
          <w:sz w:val="24"/>
          <w:szCs w:val="24"/>
        </w:rPr>
        <w:t>Tahun</w:t>
      </w:r>
      <w:r w:rsidR="00A954D0">
        <w:rPr>
          <w:rFonts w:ascii="Bookman Old Style" w:hAnsi="Bookman Old Style" w:cs="Arial"/>
          <w:sz w:val="24"/>
          <w:szCs w:val="24"/>
        </w:rPr>
        <w:t xml:space="preserve"> </w:t>
      </w:r>
      <w:r w:rsidRPr="00B96F43">
        <w:rPr>
          <w:rFonts w:ascii="Bookman Old Style" w:hAnsi="Bookman Old Style" w:cs="Arial"/>
          <w:sz w:val="24"/>
          <w:szCs w:val="24"/>
        </w:rPr>
        <w:t>Anggaran</w:t>
      </w:r>
      <w:r w:rsidR="00A954D0">
        <w:rPr>
          <w:rFonts w:ascii="Bookman Old Style" w:hAnsi="Bookman Old Style" w:cs="Arial"/>
          <w:sz w:val="24"/>
          <w:szCs w:val="24"/>
        </w:rPr>
        <w:t xml:space="preserve"> </w:t>
      </w:r>
      <w:r w:rsidRPr="00B96F43">
        <w:rPr>
          <w:rFonts w:ascii="Bookman Old Style" w:hAnsi="Bookman Old Style" w:cs="Arial"/>
          <w:sz w:val="24"/>
          <w:szCs w:val="24"/>
        </w:rPr>
        <w:t>2025,</w:t>
      </w:r>
      <w:r w:rsidR="00A954D0">
        <w:rPr>
          <w:rFonts w:ascii="Bookman Old Style" w:hAnsi="Bookman Old Style" w:cs="Arial"/>
          <w:sz w:val="24"/>
          <w:szCs w:val="24"/>
        </w:rPr>
        <w:t xml:space="preserve"> </w:t>
      </w:r>
      <w:r w:rsidRPr="00B96F43">
        <w:rPr>
          <w:rFonts w:ascii="Bookman Old Style" w:hAnsi="Bookman Old Style" w:cs="Arial"/>
          <w:sz w:val="24"/>
          <w:szCs w:val="24"/>
        </w:rPr>
        <w:t>Alokasi</w:t>
      </w:r>
      <w:r w:rsidR="00A954D0">
        <w:rPr>
          <w:rFonts w:ascii="Bookman Old Style" w:hAnsi="Bookman Old Style" w:cs="Arial"/>
          <w:sz w:val="24"/>
          <w:szCs w:val="24"/>
        </w:rPr>
        <w:t xml:space="preserve"> </w:t>
      </w:r>
      <w:r w:rsidRPr="00B96F43">
        <w:rPr>
          <w:rFonts w:ascii="Bookman Old Style" w:hAnsi="Bookman Old Style" w:cs="Arial"/>
          <w:sz w:val="24"/>
          <w:szCs w:val="24"/>
        </w:rPr>
        <w:t>anggaran</w:t>
      </w:r>
      <w:r w:rsidR="00A954D0">
        <w:rPr>
          <w:rFonts w:ascii="Bookman Old Style" w:hAnsi="Bookman Old Style" w:cs="Arial"/>
          <w:sz w:val="24"/>
          <w:szCs w:val="24"/>
        </w:rPr>
        <w:t xml:space="preserve"> </w:t>
      </w:r>
      <w:r w:rsidRPr="00B96F43">
        <w:rPr>
          <w:rFonts w:ascii="Bookman Old Style" w:hAnsi="Bookman Old Style" w:cs="Arial"/>
          <w:sz w:val="24"/>
          <w:szCs w:val="24"/>
        </w:rPr>
        <w:t>penyelenggaraan</w:t>
      </w:r>
      <w:r w:rsidR="00A954D0">
        <w:rPr>
          <w:rFonts w:ascii="Bookman Old Style" w:hAnsi="Bookman Old Style" w:cs="Arial"/>
          <w:sz w:val="24"/>
          <w:szCs w:val="24"/>
        </w:rPr>
        <w:t xml:space="preserve"> </w:t>
      </w:r>
      <w:r w:rsidRPr="00B96F43">
        <w:rPr>
          <w:rFonts w:ascii="Bookman Old Style" w:hAnsi="Bookman Old Style" w:cs="Arial"/>
          <w:sz w:val="24"/>
          <w:szCs w:val="24"/>
        </w:rPr>
        <w:t>bantuan</w:t>
      </w:r>
      <w:r w:rsidR="00A954D0">
        <w:rPr>
          <w:rFonts w:ascii="Bookman Old Style" w:hAnsi="Bookman Old Style" w:cs="Arial"/>
          <w:sz w:val="24"/>
          <w:szCs w:val="24"/>
        </w:rPr>
        <w:t xml:space="preserve"> </w:t>
      </w:r>
      <w:r w:rsidRPr="00B96F43">
        <w:rPr>
          <w:rFonts w:ascii="Bookman Old Style" w:hAnsi="Bookman Old Style" w:cs="Arial"/>
          <w:sz w:val="24"/>
          <w:szCs w:val="24"/>
        </w:rPr>
        <w:t>hukum</w:t>
      </w:r>
      <w:r w:rsidR="00A954D0">
        <w:rPr>
          <w:rFonts w:ascii="Bookman Old Style" w:hAnsi="Bookman Old Style" w:cs="Arial"/>
          <w:sz w:val="24"/>
          <w:szCs w:val="24"/>
        </w:rPr>
        <w:t xml:space="preserve"> </w:t>
      </w:r>
      <w:r w:rsidRPr="00B96F43">
        <w:rPr>
          <w:rFonts w:ascii="Bookman Old Style" w:hAnsi="Bookman Old Style" w:cs="Arial"/>
          <w:sz w:val="24"/>
          <w:szCs w:val="24"/>
        </w:rPr>
        <w:t>kepada</w:t>
      </w:r>
      <w:r w:rsidR="00A954D0">
        <w:rPr>
          <w:rFonts w:ascii="Bookman Old Style" w:hAnsi="Bookman Old Style" w:cs="Arial"/>
          <w:sz w:val="24"/>
          <w:szCs w:val="24"/>
        </w:rPr>
        <w:t xml:space="preserve"> </w:t>
      </w:r>
      <w:r w:rsidRPr="00B96F43">
        <w:rPr>
          <w:rFonts w:ascii="Bookman Old Style" w:hAnsi="Bookman Old Style" w:cs="Arial"/>
          <w:sz w:val="24"/>
          <w:szCs w:val="24"/>
        </w:rPr>
        <w:t>masyarakat</w:t>
      </w:r>
      <w:r w:rsidR="00A954D0">
        <w:rPr>
          <w:rFonts w:ascii="Bookman Old Style" w:hAnsi="Bookman Old Style" w:cs="Arial"/>
          <w:sz w:val="24"/>
          <w:szCs w:val="24"/>
        </w:rPr>
        <w:t xml:space="preserve"> </w:t>
      </w:r>
      <w:r w:rsidRPr="00B96F43">
        <w:rPr>
          <w:rFonts w:ascii="Bookman Old Style" w:hAnsi="Bookman Old Style" w:cs="Arial"/>
          <w:sz w:val="24"/>
          <w:szCs w:val="24"/>
        </w:rPr>
        <w:t>sesuai</w:t>
      </w:r>
      <w:r w:rsidR="00A954D0">
        <w:rPr>
          <w:rFonts w:ascii="Bookman Old Style" w:hAnsi="Bookman Old Style" w:cs="Arial"/>
          <w:sz w:val="24"/>
          <w:szCs w:val="24"/>
        </w:rPr>
        <w:t xml:space="preserve"> </w:t>
      </w:r>
      <w:r w:rsidRPr="00B96F43">
        <w:rPr>
          <w:rFonts w:ascii="Bookman Old Style" w:hAnsi="Bookman Old Style" w:cs="Arial"/>
          <w:sz w:val="24"/>
          <w:szCs w:val="24"/>
        </w:rPr>
        <w:t>ketentuan</w:t>
      </w:r>
      <w:r w:rsidR="00A954D0">
        <w:rPr>
          <w:rFonts w:ascii="Bookman Old Style" w:hAnsi="Bookman Old Style" w:cs="Arial"/>
          <w:sz w:val="24"/>
          <w:szCs w:val="24"/>
        </w:rPr>
        <w:t xml:space="preserve"> </w:t>
      </w:r>
      <w:r w:rsidRPr="00B96F43">
        <w:rPr>
          <w:rFonts w:ascii="Bookman Old Style" w:hAnsi="Bookman Old Style" w:cs="Arial"/>
          <w:sz w:val="24"/>
          <w:szCs w:val="24"/>
        </w:rPr>
        <w:t>peraturan</w:t>
      </w:r>
      <w:r w:rsidR="00A954D0">
        <w:rPr>
          <w:rFonts w:ascii="Bookman Old Style" w:hAnsi="Bookman Old Style" w:cs="Arial"/>
          <w:sz w:val="24"/>
          <w:szCs w:val="24"/>
        </w:rPr>
        <w:t xml:space="preserve"> </w:t>
      </w:r>
      <w:r w:rsidRPr="00B96F43">
        <w:rPr>
          <w:rFonts w:ascii="Bookman Old Style" w:hAnsi="Bookman Old Style" w:cs="Arial"/>
          <w:sz w:val="24"/>
          <w:szCs w:val="24"/>
        </w:rPr>
        <w:t>perundang-undangan</w:t>
      </w:r>
      <w:r w:rsidR="00A954D0">
        <w:rPr>
          <w:rFonts w:ascii="Bookman Old Style" w:hAnsi="Bookman Old Style" w:cs="Arial"/>
          <w:sz w:val="24"/>
          <w:szCs w:val="24"/>
        </w:rPr>
        <w:t xml:space="preserve"> </w:t>
      </w:r>
      <w:r w:rsidRPr="00B96F43">
        <w:rPr>
          <w:rFonts w:ascii="Bookman Old Style" w:hAnsi="Bookman Old Style" w:cs="Arial"/>
          <w:sz w:val="24"/>
          <w:szCs w:val="24"/>
        </w:rPr>
        <w:t>termasuk</w:t>
      </w:r>
      <w:r w:rsidR="00A954D0">
        <w:rPr>
          <w:rFonts w:ascii="Bookman Old Style" w:hAnsi="Bookman Old Style" w:cs="Arial"/>
          <w:sz w:val="24"/>
          <w:szCs w:val="24"/>
        </w:rPr>
        <w:t xml:space="preserve"> </w:t>
      </w:r>
      <w:r w:rsidRPr="00B96F43">
        <w:rPr>
          <w:rFonts w:ascii="Bookman Old Style" w:hAnsi="Bookman Old Style" w:cs="Arial"/>
          <w:sz w:val="24"/>
          <w:szCs w:val="24"/>
        </w:rPr>
        <w:t>diprioritaskan</w:t>
      </w:r>
      <w:r w:rsidR="00A954D0">
        <w:rPr>
          <w:rFonts w:ascii="Bookman Old Style" w:hAnsi="Bookman Old Style" w:cs="Arial"/>
          <w:sz w:val="24"/>
          <w:szCs w:val="24"/>
        </w:rPr>
        <w:t xml:space="preserve"> </w:t>
      </w:r>
      <w:r w:rsidRPr="00B96F43">
        <w:rPr>
          <w:rFonts w:ascii="Bookman Old Style" w:hAnsi="Bookman Old Style" w:cs="Arial"/>
          <w:sz w:val="24"/>
          <w:szCs w:val="24"/>
        </w:rPr>
        <w:t>untuk</w:t>
      </w:r>
      <w:r w:rsidR="00A954D0">
        <w:rPr>
          <w:rFonts w:ascii="Bookman Old Style" w:hAnsi="Bookman Old Style" w:cs="Arial"/>
          <w:sz w:val="24"/>
          <w:szCs w:val="24"/>
        </w:rPr>
        <w:t xml:space="preserve"> </w:t>
      </w:r>
      <w:r w:rsidRPr="00B96F43">
        <w:rPr>
          <w:rFonts w:ascii="Bookman Old Style" w:hAnsi="Bookman Old Style" w:cs="Arial"/>
          <w:sz w:val="24"/>
          <w:szCs w:val="24"/>
        </w:rPr>
        <w:t>penyandang</w:t>
      </w:r>
      <w:r w:rsidR="00A954D0">
        <w:rPr>
          <w:rFonts w:ascii="Bookman Old Style" w:hAnsi="Bookman Old Style" w:cs="Arial"/>
          <w:sz w:val="24"/>
          <w:szCs w:val="24"/>
        </w:rPr>
        <w:t xml:space="preserve"> </w:t>
      </w:r>
      <w:r w:rsidRPr="00B96F43">
        <w:rPr>
          <w:rFonts w:ascii="Bookman Old Style" w:hAnsi="Bookman Old Style" w:cs="Arial"/>
          <w:sz w:val="24"/>
          <w:szCs w:val="24"/>
        </w:rPr>
        <w:t>disabilitas/difabel</w:t>
      </w:r>
      <w:r w:rsidR="00A954D0">
        <w:rPr>
          <w:rFonts w:ascii="Bookman Old Style" w:hAnsi="Bookman Old Style" w:cs="Arial"/>
          <w:sz w:val="24"/>
          <w:szCs w:val="24"/>
        </w:rPr>
        <w:t xml:space="preserve"> </w:t>
      </w:r>
      <w:r w:rsidRPr="00B96F43">
        <w:rPr>
          <w:rFonts w:ascii="Bookman Old Style" w:hAnsi="Bookman Old Style" w:cs="Arial"/>
          <w:sz w:val="24"/>
          <w:szCs w:val="24"/>
        </w:rPr>
        <w:t>sebagai</w:t>
      </w:r>
      <w:r w:rsidR="00A954D0">
        <w:rPr>
          <w:rFonts w:ascii="Bookman Old Style" w:hAnsi="Bookman Old Style" w:cs="Arial"/>
          <w:sz w:val="24"/>
          <w:szCs w:val="24"/>
        </w:rPr>
        <w:t xml:space="preserve"> </w:t>
      </w:r>
      <w:r w:rsidRPr="00B96F43">
        <w:rPr>
          <w:rFonts w:ascii="Bookman Old Style" w:hAnsi="Bookman Old Style" w:cs="Arial"/>
          <w:sz w:val="24"/>
          <w:szCs w:val="24"/>
        </w:rPr>
        <w:t>salah</w:t>
      </w:r>
      <w:r w:rsidR="00A954D0">
        <w:rPr>
          <w:rFonts w:ascii="Bookman Old Style" w:hAnsi="Bookman Old Style" w:cs="Arial"/>
          <w:sz w:val="24"/>
          <w:szCs w:val="24"/>
        </w:rPr>
        <w:t xml:space="preserve"> </w:t>
      </w:r>
      <w:r w:rsidRPr="00B96F43">
        <w:rPr>
          <w:rFonts w:ascii="Bookman Old Style" w:hAnsi="Bookman Old Style" w:cs="Arial"/>
          <w:sz w:val="24"/>
          <w:szCs w:val="24"/>
        </w:rPr>
        <w:t>satu</w:t>
      </w:r>
      <w:r w:rsidR="00A954D0">
        <w:rPr>
          <w:rFonts w:ascii="Bookman Old Style" w:hAnsi="Bookman Old Style" w:cs="Arial"/>
          <w:sz w:val="24"/>
          <w:szCs w:val="24"/>
        </w:rPr>
        <w:t xml:space="preserve"> </w:t>
      </w:r>
      <w:r w:rsidRPr="00B96F43">
        <w:rPr>
          <w:rFonts w:ascii="Bookman Old Style" w:hAnsi="Bookman Old Style" w:cs="Arial"/>
          <w:sz w:val="24"/>
          <w:szCs w:val="24"/>
        </w:rPr>
        <w:t>pihak</w:t>
      </w:r>
      <w:r w:rsidR="00A954D0">
        <w:rPr>
          <w:rFonts w:ascii="Bookman Old Style" w:hAnsi="Bookman Old Style" w:cs="Arial"/>
          <w:sz w:val="24"/>
          <w:szCs w:val="24"/>
        </w:rPr>
        <w:t xml:space="preserve"> </w:t>
      </w:r>
      <w:r w:rsidRPr="00B96F43">
        <w:rPr>
          <w:rFonts w:ascii="Bookman Old Style" w:hAnsi="Bookman Old Style" w:cs="Arial"/>
          <w:sz w:val="24"/>
          <w:szCs w:val="24"/>
        </w:rPr>
        <w:t>yang</w:t>
      </w:r>
      <w:r w:rsidR="00A954D0">
        <w:rPr>
          <w:rFonts w:ascii="Bookman Old Style" w:hAnsi="Bookman Old Style" w:cs="Arial"/>
          <w:sz w:val="24"/>
          <w:szCs w:val="24"/>
        </w:rPr>
        <w:t xml:space="preserve"> </w:t>
      </w:r>
      <w:r w:rsidRPr="00B96F43">
        <w:rPr>
          <w:rFonts w:ascii="Bookman Old Style" w:hAnsi="Bookman Old Style" w:cs="Arial"/>
          <w:sz w:val="24"/>
          <w:szCs w:val="24"/>
        </w:rPr>
        <w:t>berhak</w:t>
      </w:r>
      <w:r w:rsidR="00A954D0">
        <w:rPr>
          <w:rFonts w:ascii="Bookman Old Style" w:hAnsi="Bookman Old Style" w:cs="Arial"/>
          <w:sz w:val="24"/>
          <w:szCs w:val="24"/>
        </w:rPr>
        <w:t xml:space="preserve"> </w:t>
      </w:r>
      <w:r w:rsidRPr="00B96F43">
        <w:rPr>
          <w:rFonts w:ascii="Bookman Old Style" w:hAnsi="Bookman Old Style" w:cs="Arial"/>
          <w:sz w:val="24"/>
          <w:szCs w:val="24"/>
        </w:rPr>
        <w:t>menerima</w:t>
      </w:r>
      <w:r w:rsidR="00A954D0">
        <w:rPr>
          <w:rFonts w:ascii="Bookman Old Style" w:hAnsi="Bookman Old Style" w:cs="Arial"/>
          <w:sz w:val="24"/>
          <w:szCs w:val="24"/>
        </w:rPr>
        <w:t xml:space="preserve"> </w:t>
      </w:r>
      <w:r w:rsidRPr="00B96F43">
        <w:rPr>
          <w:rFonts w:ascii="Bookman Old Style" w:hAnsi="Bookman Old Style" w:cs="Arial"/>
          <w:sz w:val="24"/>
          <w:szCs w:val="24"/>
        </w:rPr>
        <w:t>bantuan</w:t>
      </w:r>
      <w:r w:rsidR="00A954D0">
        <w:rPr>
          <w:rFonts w:ascii="Bookman Old Style" w:hAnsi="Bookman Old Style" w:cs="Arial"/>
          <w:sz w:val="24"/>
          <w:szCs w:val="24"/>
        </w:rPr>
        <w:t xml:space="preserve"> </w:t>
      </w:r>
      <w:r w:rsidRPr="00B96F43">
        <w:rPr>
          <w:rFonts w:ascii="Bookman Old Style" w:hAnsi="Bookman Old Style" w:cs="Arial"/>
          <w:sz w:val="24"/>
          <w:szCs w:val="24"/>
        </w:rPr>
        <w:t>hukum,</w:t>
      </w:r>
      <w:r w:rsidR="00A954D0">
        <w:rPr>
          <w:rFonts w:ascii="Bookman Old Style" w:hAnsi="Bookman Old Style" w:cs="Arial"/>
          <w:sz w:val="24"/>
          <w:szCs w:val="24"/>
        </w:rPr>
        <w:t xml:space="preserve"> </w:t>
      </w:r>
      <w:r w:rsidRPr="00B96F43">
        <w:rPr>
          <w:rFonts w:ascii="Bookman Old Style" w:hAnsi="Bookman Old Style" w:cs="Arial"/>
          <w:sz w:val="24"/>
          <w:szCs w:val="24"/>
        </w:rPr>
        <w:t>sebagaimana</w:t>
      </w:r>
      <w:r w:rsidR="00A954D0">
        <w:rPr>
          <w:rFonts w:ascii="Bookman Old Style" w:hAnsi="Bookman Old Style" w:cs="Arial"/>
          <w:sz w:val="24"/>
          <w:szCs w:val="24"/>
        </w:rPr>
        <w:t xml:space="preserve"> </w:t>
      </w:r>
      <w:r w:rsidRPr="00B96F43">
        <w:rPr>
          <w:rFonts w:ascii="Bookman Old Style" w:hAnsi="Bookman Old Style" w:cs="Arial"/>
          <w:sz w:val="24"/>
          <w:szCs w:val="24"/>
        </w:rPr>
        <w:t>maksud</w:t>
      </w:r>
      <w:r w:rsidR="00A954D0">
        <w:rPr>
          <w:rFonts w:ascii="Bookman Old Style" w:hAnsi="Bookman Old Style" w:cs="Arial"/>
          <w:sz w:val="24"/>
          <w:szCs w:val="24"/>
        </w:rPr>
        <w:t xml:space="preserve"> </w:t>
      </w:r>
      <w:r w:rsidRPr="00B96F43">
        <w:rPr>
          <w:rFonts w:ascii="Bookman Old Style" w:hAnsi="Bookman Old Style" w:cs="Arial"/>
          <w:sz w:val="24"/>
          <w:szCs w:val="24"/>
        </w:rPr>
        <w:t>butir</w:t>
      </w:r>
      <w:r w:rsidR="00A954D0">
        <w:rPr>
          <w:rFonts w:ascii="Bookman Old Style" w:hAnsi="Bookman Old Style" w:cs="Arial"/>
          <w:sz w:val="24"/>
          <w:szCs w:val="24"/>
        </w:rPr>
        <w:t xml:space="preserve"> </w:t>
      </w:r>
      <w:r w:rsidRPr="00B96F43">
        <w:rPr>
          <w:rFonts w:ascii="Bookman Old Style" w:hAnsi="Bookman Old Style" w:cs="Arial"/>
          <w:sz w:val="24"/>
          <w:szCs w:val="24"/>
        </w:rPr>
        <w:t>5.3.30.d</w:t>
      </w:r>
      <w:r w:rsidR="00A954D0">
        <w:rPr>
          <w:rFonts w:ascii="Bookman Old Style" w:hAnsi="Bookman Old Style" w:cs="Arial"/>
          <w:sz w:val="24"/>
          <w:szCs w:val="24"/>
        </w:rPr>
        <w:t xml:space="preserve"> </w:t>
      </w:r>
      <w:r w:rsidRPr="00B96F43">
        <w:rPr>
          <w:rFonts w:ascii="Bookman Old Style" w:hAnsi="Bookman Old Style" w:cs="Arial"/>
          <w:sz w:val="24"/>
          <w:szCs w:val="24"/>
        </w:rPr>
        <w:t>Lampiran</w:t>
      </w:r>
      <w:r w:rsidR="00A954D0">
        <w:rPr>
          <w:rFonts w:ascii="Bookman Old Style" w:hAnsi="Bookman Old Style" w:cs="Arial"/>
          <w:sz w:val="24"/>
          <w:szCs w:val="24"/>
        </w:rPr>
        <w:t xml:space="preserve"> </w:t>
      </w:r>
      <w:r w:rsidRPr="00B96F43">
        <w:rPr>
          <w:rFonts w:ascii="Bookman Old Style" w:hAnsi="Bookman Old Style" w:cs="Arial"/>
          <w:sz w:val="24"/>
          <w:szCs w:val="24"/>
        </w:rPr>
        <w:t>Peraturan</w:t>
      </w:r>
      <w:r w:rsidR="00A954D0">
        <w:rPr>
          <w:rFonts w:ascii="Bookman Old Style" w:hAnsi="Bookman Old Style" w:cs="Arial"/>
          <w:sz w:val="24"/>
          <w:szCs w:val="24"/>
        </w:rPr>
        <w:t xml:space="preserve"> </w:t>
      </w:r>
      <w:r w:rsidRPr="00B96F43">
        <w:rPr>
          <w:rFonts w:ascii="Bookman Old Style" w:hAnsi="Bookman Old Style" w:cs="Arial"/>
          <w:sz w:val="24"/>
          <w:szCs w:val="24"/>
        </w:rPr>
        <w:t>Menteri</w:t>
      </w:r>
      <w:r w:rsidR="00A954D0">
        <w:rPr>
          <w:rFonts w:ascii="Bookman Old Style" w:hAnsi="Bookman Old Style" w:cs="Arial"/>
          <w:sz w:val="24"/>
          <w:szCs w:val="24"/>
        </w:rPr>
        <w:t xml:space="preserve"> </w:t>
      </w:r>
      <w:r w:rsidRPr="00B96F43">
        <w:rPr>
          <w:rFonts w:ascii="Bookman Old Style" w:hAnsi="Bookman Old Style" w:cs="Arial"/>
          <w:sz w:val="24"/>
          <w:szCs w:val="24"/>
        </w:rPr>
        <w:t>Dalam</w:t>
      </w:r>
      <w:r w:rsidR="00A954D0">
        <w:rPr>
          <w:rFonts w:ascii="Bookman Old Style" w:hAnsi="Bookman Old Style" w:cs="Arial"/>
          <w:sz w:val="24"/>
          <w:szCs w:val="24"/>
        </w:rPr>
        <w:t xml:space="preserve"> </w:t>
      </w:r>
      <w:r w:rsidRPr="00B96F43">
        <w:rPr>
          <w:rFonts w:ascii="Bookman Old Style" w:hAnsi="Bookman Old Style" w:cs="Arial"/>
          <w:sz w:val="24"/>
          <w:szCs w:val="24"/>
        </w:rPr>
        <w:t>Negeri</w:t>
      </w:r>
      <w:r w:rsidR="00A954D0">
        <w:rPr>
          <w:rFonts w:ascii="Bookman Old Style" w:hAnsi="Bookman Old Style" w:cs="Arial"/>
          <w:sz w:val="24"/>
          <w:szCs w:val="24"/>
        </w:rPr>
        <w:t xml:space="preserve"> </w:t>
      </w:r>
      <w:r w:rsidRPr="00B96F43">
        <w:rPr>
          <w:rFonts w:ascii="Bookman Old Style" w:hAnsi="Bookman Old Style" w:cs="Arial"/>
          <w:sz w:val="24"/>
          <w:szCs w:val="24"/>
        </w:rPr>
        <w:t>Nomor</w:t>
      </w:r>
      <w:r w:rsidR="00A954D0">
        <w:rPr>
          <w:rFonts w:ascii="Bookman Old Style" w:hAnsi="Bookman Old Style" w:cs="Arial"/>
          <w:sz w:val="24"/>
          <w:szCs w:val="24"/>
        </w:rPr>
        <w:t xml:space="preserve"> </w:t>
      </w:r>
      <w:r w:rsidRPr="00B96F43">
        <w:rPr>
          <w:rFonts w:ascii="Bookman Old Style" w:hAnsi="Bookman Old Style" w:cs="Arial"/>
          <w:sz w:val="24"/>
          <w:szCs w:val="24"/>
        </w:rPr>
        <w:t>15</w:t>
      </w:r>
      <w:r w:rsidR="00A954D0">
        <w:rPr>
          <w:rFonts w:ascii="Bookman Old Style" w:hAnsi="Bookman Old Style" w:cs="Arial"/>
          <w:sz w:val="24"/>
          <w:szCs w:val="24"/>
        </w:rPr>
        <w:t xml:space="preserve"> </w:t>
      </w:r>
      <w:r w:rsidRPr="00B96F43">
        <w:rPr>
          <w:rFonts w:ascii="Bookman Old Style" w:hAnsi="Bookman Old Style" w:cs="Arial"/>
          <w:sz w:val="24"/>
          <w:szCs w:val="24"/>
        </w:rPr>
        <w:t>Tahun</w:t>
      </w:r>
      <w:r w:rsidR="00A954D0">
        <w:rPr>
          <w:rFonts w:ascii="Bookman Old Style" w:hAnsi="Bookman Old Style" w:cs="Arial"/>
          <w:sz w:val="24"/>
          <w:szCs w:val="24"/>
        </w:rPr>
        <w:t xml:space="preserve"> </w:t>
      </w:r>
      <w:r w:rsidRPr="00B96F43">
        <w:rPr>
          <w:rFonts w:ascii="Bookman Old Style" w:hAnsi="Bookman Old Style" w:cs="Arial"/>
          <w:sz w:val="24"/>
          <w:szCs w:val="24"/>
        </w:rPr>
        <w:t>2024</w:t>
      </w:r>
      <w:r w:rsidR="00592206" w:rsidRPr="00B96F43">
        <w:rPr>
          <w:rFonts w:ascii="Bookman Old Style" w:hAnsi="Bookman Old Style" w:cs="Arial"/>
          <w:sz w:val="24"/>
          <w:szCs w:val="24"/>
        </w:rPr>
        <w:t>.</w:t>
      </w:r>
    </w:p>
    <w:p w14:paraId="059D2946" w14:textId="3A5C46AC" w:rsidR="009E7D10" w:rsidRPr="00B96F43" w:rsidRDefault="009E7D10" w:rsidP="008379CA">
      <w:pPr>
        <w:pStyle w:val="ListParagraph"/>
        <w:numPr>
          <w:ilvl w:val="0"/>
          <w:numId w:val="99"/>
        </w:numPr>
        <w:spacing w:before="120" w:after="0" w:line="276" w:lineRule="auto"/>
        <w:ind w:left="1276" w:hanging="284"/>
        <w:contextualSpacing w:val="0"/>
        <w:jc w:val="both"/>
        <w:rPr>
          <w:rFonts w:ascii="Bookman Old Style" w:hAnsi="Bookman Old Style" w:cs="Arial"/>
          <w:sz w:val="24"/>
          <w:szCs w:val="24"/>
        </w:rPr>
      </w:pPr>
      <w:bookmarkStart w:id="16" w:name="_Hlk181519779"/>
      <w:r w:rsidRPr="00B96F43">
        <w:rPr>
          <w:rFonts w:ascii="Bookman Old Style" w:hAnsi="Bookman Old Style" w:cs="Arial"/>
          <w:sz w:val="24"/>
          <w:szCs w:val="24"/>
        </w:rPr>
        <w:t>Alokasi</w:t>
      </w:r>
      <w:r w:rsidR="00A954D0">
        <w:rPr>
          <w:rFonts w:ascii="Bookman Old Style" w:hAnsi="Bookman Old Style" w:cs="Arial"/>
          <w:sz w:val="24"/>
          <w:szCs w:val="24"/>
        </w:rPr>
        <w:t xml:space="preserve"> </w:t>
      </w:r>
      <w:r w:rsidRPr="00B96F43">
        <w:rPr>
          <w:rFonts w:ascii="Bookman Old Style" w:hAnsi="Bookman Old Style" w:cs="Arial"/>
          <w:sz w:val="24"/>
          <w:szCs w:val="24"/>
        </w:rPr>
        <w:t>Anggaran</w:t>
      </w:r>
      <w:r w:rsidR="00A954D0">
        <w:rPr>
          <w:rFonts w:ascii="Bookman Old Style" w:hAnsi="Bookman Old Style" w:cs="Arial"/>
          <w:sz w:val="24"/>
          <w:szCs w:val="24"/>
        </w:rPr>
        <w:t xml:space="preserve"> </w:t>
      </w:r>
      <w:r w:rsidRPr="00B96F43">
        <w:rPr>
          <w:rFonts w:ascii="Bookman Old Style" w:hAnsi="Bookman Old Style" w:cs="Arial"/>
          <w:sz w:val="24"/>
          <w:szCs w:val="24"/>
        </w:rPr>
        <w:t>Dukungan</w:t>
      </w:r>
      <w:r w:rsidR="00A954D0">
        <w:rPr>
          <w:rFonts w:ascii="Bookman Old Style" w:hAnsi="Bookman Old Style" w:cs="Arial"/>
          <w:sz w:val="24"/>
          <w:szCs w:val="24"/>
        </w:rPr>
        <w:t xml:space="preserve"> </w:t>
      </w:r>
      <w:r w:rsidRPr="00B96F43">
        <w:rPr>
          <w:rFonts w:ascii="Bookman Old Style" w:hAnsi="Bookman Old Style" w:cs="Arial"/>
          <w:sz w:val="24"/>
          <w:szCs w:val="24"/>
        </w:rPr>
        <w:t>Pendanaan</w:t>
      </w:r>
      <w:r w:rsidR="00A954D0">
        <w:rPr>
          <w:rFonts w:ascii="Bookman Old Style" w:hAnsi="Bookman Old Style" w:cs="Arial"/>
          <w:sz w:val="24"/>
          <w:szCs w:val="24"/>
        </w:rPr>
        <w:t xml:space="preserve"> </w:t>
      </w:r>
      <w:r w:rsidRPr="00B96F43">
        <w:rPr>
          <w:rFonts w:ascii="Bookman Old Style" w:hAnsi="Bookman Old Style" w:cs="Arial"/>
          <w:sz w:val="24"/>
          <w:szCs w:val="24"/>
        </w:rPr>
        <w:t>Program</w:t>
      </w:r>
      <w:r w:rsidR="00A954D0">
        <w:rPr>
          <w:rFonts w:ascii="Bookman Old Style" w:hAnsi="Bookman Old Style" w:cs="Arial"/>
          <w:sz w:val="24"/>
          <w:szCs w:val="24"/>
        </w:rPr>
        <w:t xml:space="preserve"> </w:t>
      </w:r>
      <w:bookmarkEnd w:id="16"/>
      <w:r w:rsidRPr="00B96F43">
        <w:rPr>
          <w:rFonts w:ascii="Bookman Old Style" w:hAnsi="Bookman Old Style" w:cs="Arial"/>
          <w:sz w:val="24"/>
          <w:szCs w:val="24"/>
        </w:rPr>
        <w:t>Pasukan</w:t>
      </w:r>
      <w:r w:rsidR="00A954D0">
        <w:rPr>
          <w:rFonts w:ascii="Bookman Old Style" w:hAnsi="Bookman Old Style" w:cs="Arial"/>
          <w:sz w:val="24"/>
          <w:szCs w:val="24"/>
        </w:rPr>
        <w:t xml:space="preserve"> </w:t>
      </w:r>
      <w:r w:rsidRPr="00B96F43">
        <w:rPr>
          <w:rFonts w:ascii="Bookman Old Style" w:hAnsi="Bookman Old Style" w:cs="Arial"/>
          <w:sz w:val="24"/>
          <w:szCs w:val="24"/>
        </w:rPr>
        <w:t>Pengibar</w:t>
      </w:r>
      <w:r w:rsidR="00A954D0">
        <w:rPr>
          <w:rFonts w:ascii="Bookman Old Style" w:hAnsi="Bookman Old Style" w:cs="Arial"/>
          <w:sz w:val="24"/>
          <w:szCs w:val="24"/>
        </w:rPr>
        <w:t xml:space="preserve"> </w:t>
      </w:r>
      <w:r w:rsidRPr="00B96F43">
        <w:rPr>
          <w:rFonts w:ascii="Bookman Old Style" w:hAnsi="Bookman Old Style" w:cs="Arial"/>
          <w:sz w:val="24"/>
          <w:szCs w:val="24"/>
        </w:rPr>
        <w:t>Bendera</w:t>
      </w:r>
      <w:r w:rsidR="00A954D0">
        <w:rPr>
          <w:rFonts w:ascii="Bookman Old Style" w:hAnsi="Bookman Old Style" w:cs="Arial"/>
          <w:sz w:val="24"/>
          <w:szCs w:val="24"/>
        </w:rPr>
        <w:t xml:space="preserve"> </w:t>
      </w:r>
      <w:r w:rsidRPr="00B96F43">
        <w:rPr>
          <w:rFonts w:ascii="Bookman Old Style" w:hAnsi="Bookman Old Style" w:cs="Arial"/>
          <w:sz w:val="24"/>
          <w:szCs w:val="24"/>
        </w:rPr>
        <w:t>Pusaka</w:t>
      </w:r>
      <w:r w:rsidR="00A954D0">
        <w:rPr>
          <w:rFonts w:ascii="Bookman Old Style" w:hAnsi="Bookman Old Style" w:cs="Arial"/>
          <w:sz w:val="24"/>
          <w:szCs w:val="24"/>
        </w:rPr>
        <w:t xml:space="preserve"> </w:t>
      </w:r>
      <w:r w:rsidRPr="00B96F43">
        <w:rPr>
          <w:rFonts w:ascii="Bookman Old Style" w:hAnsi="Bookman Old Style" w:cs="Arial"/>
          <w:sz w:val="24"/>
          <w:szCs w:val="24"/>
        </w:rPr>
        <w:t>(Paskibraka)</w:t>
      </w:r>
    </w:p>
    <w:p w14:paraId="30EA9B6A" w14:textId="7A92DC03" w:rsidR="00924A58" w:rsidRPr="003255BC" w:rsidRDefault="00924A58" w:rsidP="008379CA">
      <w:pPr>
        <w:pStyle w:val="ListParagraph"/>
        <w:spacing w:before="60" w:line="276" w:lineRule="auto"/>
        <w:ind w:left="1276"/>
        <w:jc w:val="both"/>
        <w:rPr>
          <w:rFonts w:ascii="Bookman Old Style" w:hAnsi="Bookman Old Style"/>
          <w:sz w:val="24"/>
          <w:szCs w:val="24"/>
          <w:lang w:val="sv-FI"/>
        </w:rPr>
      </w:pPr>
      <w:r w:rsidRPr="00C03803">
        <w:rPr>
          <w:rFonts w:ascii="Bookman Old Style" w:hAnsi="Bookman Old Style"/>
          <w:sz w:val="24"/>
          <w:szCs w:val="24"/>
          <w:lang w:val="id-ID"/>
        </w:rPr>
        <w:t>Alokasi</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anggaran</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dalam</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rangka</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mendukung</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Program</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Paskibraka</w:t>
      </w:r>
      <w:r w:rsidR="00A954D0">
        <w:rPr>
          <w:rFonts w:ascii="Bookman Old Style" w:hAnsi="Bookman Old Style"/>
          <w:sz w:val="24"/>
          <w:szCs w:val="24"/>
          <w:lang w:val="id-ID"/>
        </w:rPr>
        <w:t xml:space="preserve"> </w:t>
      </w:r>
      <w:r w:rsidRPr="003255BC">
        <w:rPr>
          <w:rFonts w:ascii="Bookman Old Style" w:hAnsi="Bookman Old Style"/>
          <w:sz w:val="24"/>
          <w:szCs w:val="24"/>
          <w:lang w:val="sv-FI"/>
        </w:rPr>
        <w:t>Rp</w:t>
      </w:r>
      <w:r w:rsidRPr="00C03803">
        <w:rPr>
          <w:rFonts w:ascii="Bookman Old Style" w:hAnsi="Bookman Old Style"/>
          <w:sz w:val="24"/>
          <w:szCs w:val="24"/>
          <w:lang w:val="id-ID"/>
        </w:rPr>
        <w:t>8.991.358.800,00</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atau</w:t>
      </w:r>
      <w:r w:rsidR="00A954D0" w:rsidRPr="003255BC">
        <w:rPr>
          <w:rFonts w:ascii="Bookman Old Style" w:hAnsi="Bookman Old Style"/>
          <w:sz w:val="24"/>
          <w:szCs w:val="24"/>
          <w:lang w:val="sv-FI"/>
        </w:rPr>
        <w:t xml:space="preserve"> </w:t>
      </w:r>
      <w:r w:rsidRPr="00C03803">
        <w:rPr>
          <w:rFonts w:ascii="Bookman Old Style" w:hAnsi="Bookman Old Style"/>
          <w:sz w:val="24"/>
          <w:szCs w:val="24"/>
          <w:lang w:val="id-ID"/>
        </w:rPr>
        <w:t>0,16%</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dari</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total</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belanja</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daerah</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dalam</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Rancangan</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Peraturan</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Daerah</w:t>
      </w:r>
      <w:r w:rsidR="00A954D0">
        <w:rPr>
          <w:rFonts w:ascii="Bookman Old Style" w:hAnsi="Bookman Old Style"/>
          <w:sz w:val="24"/>
          <w:szCs w:val="24"/>
          <w:lang w:val="id-ID"/>
        </w:rPr>
        <w:t xml:space="preserve"> </w:t>
      </w:r>
      <w:r w:rsidRPr="003255BC">
        <w:rPr>
          <w:rFonts w:ascii="Bookman Old Style" w:hAnsi="Bookman Old Style"/>
          <w:sz w:val="24"/>
          <w:szCs w:val="24"/>
          <w:lang w:val="sv-FI"/>
        </w:rPr>
        <w:t>Kota</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Tangerang</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tentang</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APBD</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Tahun</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2025</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yang</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diuraikan</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pada</w:t>
      </w:r>
      <w:r w:rsidRPr="003255BC">
        <w:rPr>
          <w:rFonts w:ascii="Bookman Old Style" w:hAnsi="Bookman Old Style"/>
          <w:sz w:val="24"/>
          <w:szCs w:val="24"/>
          <w:lang w:val="sv-FI"/>
        </w:rPr>
        <w:t>:</w:t>
      </w:r>
    </w:p>
    <w:p w14:paraId="3358F4B8" w14:textId="59C314D5" w:rsidR="00924A58" w:rsidRPr="002A1C6A" w:rsidRDefault="00924A58" w:rsidP="008379CA">
      <w:pPr>
        <w:pStyle w:val="ListParagraph"/>
        <w:numPr>
          <w:ilvl w:val="1"/>
          <w:numId w:val="99"/>
        </w:numPr>
        <w:spacing w:before="60" w:line="276" w:lineRule="auto"/>
        <w:ind w:left="1701" w:hanging="425"/>
        <w:jc w:val="both"/>
        <w:rPr>
          <w:rFonts w:ascii="Bookman Old Style" w:hAnsi="Bookman Old Style"/>
          <w:sz w:val="24"/>
          <w:szCs w:val="24"/>
          <w:lang w:val="id-ID"/>
        </w:rPr>
      </w:pPr>
      <w:r w:rsidRPr="00C03803">
        <w:rPr>
          <w:rFonts w:ascii="Bookman Old Style" w:hAnsi="Bookman Old Style"/>
          <w:sz w:val="24"/>
          <w:szCs w:val="24"/>
          <w:lang w:val="id-ID"/>
        </w:rPr>
        <w:t>Badan</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Kesatuan</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Bangsa</w:t>
      </w:r>
      <w:r w:rsidR="00A954D0">
        <w:rPr>
          <w:rFonts w:ascii="Bookman Old Style" w:hAnsi="Bookman Old Style"/>
          <w:sz w:val="24"/>
          <w:szCs w:val="24"/>
          <w:lang w:val="id-ID"/>
        </w:rPr>
        <w:t xml:space="preserve"> </w:t>
      </w:r>
      <w:r w:rsidRPr="003255BC">
        <w:rPr>
          <w:rFonts w:ascii="Bookman Old Style" w:hAnsi="Bookman Old Style"/>
          <w:sz w:val="24"/>
          <w:szCs w:val="24"/>
          <w:lang w:val="sv-FI"/>
        </w:rPr>
        <w:t>d</w:t>
      </w:r>
      <w:r w:rsidRPr="00C03803">
        <w:rPr>
          <w:rFonts w:ascii="Bookman Old Style" w:hAnsi="Bookman Old Style"/>
          <w:sz w:val="24"/>
          <w:szCs w:val="24"/>
          <w:lang w:val="id-ID"/>
        </w:rPr>
        <w:t>an</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Politik</w:t>
      </w:r>
      <w:r w:rsidRPr="003255BC">
        <w:rPr>
          <w:rFonts w:ascii="Bookman Old Style" w:hAnsi="Bookman Old Style"/>
          <w:sz w:val="24"/>
          <w:szCs w:val="24"/>
          <w:lang w:val="sv-FI"/>
        </w:rPr>
        <w:t>,</w:t>
      </w:r>
      <w:r w:rsidR="00A954D0" w:rsidRPr="003255BC">
        <w:rPr>
          <w:rFonts w:ascii="Bookman Old Style" w:hAnsi="Bookman Old Style"/>
          <w:sz w:val="24"/>
          <w:szCs w:val="24"/>
          <w:lang w:val="sv-FI"/>
        </w:rPr>
        <w:t xml:space="preserve"> </w:t>
      </w:r>
      <w:r w:rsidRPr="00C03803">
        <w:rPr>
          <w:rFonts w:ascii="Bookman Old Style" w:hAnsi="Bookman Old Style"/>
          <w:sz w:val="24"/>
          <w:szCs w:val="24"/>
          <w:lang w:val="id-ID"/>
        </w:rPr>
        <w:t>Program</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Penguatan</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Ideologi</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Pancasila</w:t>
      </w:r>
      <w:r w:rsidR="00A954D0">
        <w:rPr>
          <w:rFonts w:ascii="Bookman Old Style" w:hAnsi="Bookman Old Style"/>
          <w:sz w:val="24"/>
          <w:szCs w:val="24"/>
          <w:lang w:val="id-ID"/>
        </w:rPr>
        <w:t xml:space="preserve"> </w:t>
      </w:r>
      <w:r w:rsidRPr="003255BC">
        <w:rPr>
          <w:rFonts w:ascii="Bookman Old Style" w:hAnsi="Bookman Old Style"/>
          <w:sz w:val="24"/>
          <w:szCs w:val="24"/>
          <w:lang w:val="sv-FI"/>
        </w:rPr>
        <w:t>d</w:t>
      </w:r>
      <w:r w:rsidRPr="00C03803">
        <w:rPr>
          <w:rFonts w:ascii="Bookman Old Style" w:hAnsi="Bookman Old Style"/>
          <w:sz w:val="24"/>
          <w:szCs w:val="24"/>
          <w:lang w:val="id-ID"/>
        </w:rPr>
        <w:t>an</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Karakter</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Kebangsaan</w:t>
      </w:r>
      <w:r w:rsidRPr="003255BC">
        <w:rPr>
          <w:rFonts w:ascii="Bookman Old Style" w:hAnsi="Bookman Old Style"/>
          <w:sz w:val="24"/>
          <w:szCs w:val="24"/>
          <w:lang w:val="sv-FI"/>
        </w:rPr>
        <w:t>,</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Kegiatan</w:t>
      </w:r>
      <w:r w:rsidR="00A954D0" w:rsidRPr="003255BC">
        <w:rPr>
          <w:rFonts w:ascii="Bookman Old Style" w:hAnsi="Bookman Old Style"/>
          <w:sz w:val="24"/>
          <w:szCs w:val="24"/>
          <w:lang w:val="sv-FI"/>
        </w:rPr>
        <w:t xml:space="preserve"> </w:t>
      </w:r>
      <w:r w:rsidRPr="00C03803">
        <w:rPr>
          <w:rFonts w:ascii="Bookman Old Style" w:hAnsi="Bookman Old Style"/>
          <w:sz w:val="24"/>
          <w:szCs w:val="24"/>
          <w:lang w:val="id-ID"/>
        </w:rPr>
        <w:t>Perumusan</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Kebijakan</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Teknis</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dan</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Pemantapan</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Pelaksanaan</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Bidang</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Ideologi</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Pancasila</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dan</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Karakter</w:t>
      </w:r>
      <w:r w:rsidR="00A954D0">
        <w:rPr>
          <w:rFonts w:ascii="Bookman Old Style" w:hAnsi="Bookman Old Style"/>
          <w:sz w:val="24"/>
          <w:szCs w:val="24"/>
          <w:lang w:val="id-ID"/>
        </w:rPr>
        <w:t xml:space="preserve"> </w:t>
      </w:r>
      <w:r w:rsidRPr="002A1C6A">
        <w:rPr>
          <w:rFonts w:ascii="Bookman Old Style" w:hAnsi="Bookman Old Style"/>
          <w:sz w:val="24"/>
          <w:szCs w:val="24"/>
          <w:lang w:val="id-ID"/>
        </w:rPr>
        <w:t>Kebangsaan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Rp</w:t>
      </w:r>
      <w:r w:rsidRPr="002A1C6A">
        <w:rPr>
          <w:rFonts w:ascii="Bookman Old Style" w:hAnsi="Bookman Old Style"/>
          <w:sz w:val="24"/>
          <w:szCs w:val="24"/>
          <w:lang w:val="id-ID"/>
        </w:rPr>
        <w:t>3.592.575.000,00</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atau</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0,06%</w:t>
      </w:r>
      <w:r w:rsidR="00A954D0" w:rsidRPr="003255BC">
        <w:rPr>
          <w:rFonts w:ascii="Bookman Old Style" w:hAnsi="Bookman Old Style"/>
          <w:sz w:val="24"/>
          <w:szCs w:val="24"/>
          <w:lang w:val="sv-FI"/>
        </w:rPr>
        <w:t xml:space="preserve"> </w:t>
      </w:r>
      <w:r w:rsidRPr="002A1C6A">
        <w:rPr>
          <w:rFonts w:ascii="Bookman Old Style" w:hAnsi="Bookman Old Style"/>
          <w:sz w:val="24"/>
          <w:szCs w:val="24"/>
          <w:lang w:val="id-ID"/>
        </w:rPr>
        <w:t>dari</w:t>
      </w:r>
      <w:r w:rsidR="00A954D0">
        <w:rPr>
          <w:rFonts w:ascii="Bookman Old Style" w:hAnsi="Bookman Old Style"/>
          <w:sz w:val="24"/>
          <w:szCs w:val="24"/>
          <w:lang w:val="id-ID"/>
        </w:rPr>
        <w:t xml:space="preserve"> </w:t>
      </w:r>
      <w:r w:rsidRPr="002A1C6A">
        <w:rPr>
          <w:rFonts w:ascii="Bookman Old Style" w:hAnsi="Bookman Old Style"/>
          <w:sz w:val="24"/>
          <w:szCs w:val="24"/>
          <w:lang w:val="id-ID"/>
        </w:rPr>
        <w:t>total</w:t>
      </w:r>
      <w:r w:rsidR="00A954D0">
        <w:rPr>
          <w:rFonts w:ascii="Bookman Old Style" w:hAnsi="Bookman Old Style"/>
          <w:sz w:val="24"/>
          <w:szCs w:val="24"/>
          <w:lang w:val="id-ID"/>
        </w:rPr>
        <w:t xml:space="preserve"> </w:t>
      </w:r>
      <w:r w:rsidRPr="002A1C6A">
        <w:rPr>
          <w:rFonts w:ascii="Bookman Old Style" w:hAnsi="Bookman Old Style"/>
          <w:sz w:val="24"/>
          <w:szCs w:val="24"/>
          <w:lang w:val="id-ID"/>
        </w:rPr>
        <w:t>belanja</w:t>
      </w:r>
      <w:r w:rsidR="00A954D0">
        <w:rPr>
          <w:rFonts w:ascii="Bookman Old Style" w:hAnsi="Bookman Old Style"/>
          <w:sz w:val="24"/>
          <w:szCs w:val="24"/>
          <w:lang w:val="id-ID"/>
        </w:rPr>
        <w:t xml:space="preserve"> </w:t>
      </w:r>
      <w:r w:rsidRPr="002A1C6A">
        <w:rPr>
          <w:rFonts w:ascii="Bookman Old Style" w:hAnsi="Bookman Old Style"/>
          <w:sz w:val="24"/>
          <w:szCs w:val="24"/>
          <w:lang w:val="id-ID"/>
        </w:rPr>
        <w:t>daerah</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yang</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dialokasikan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pada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Sub</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Kegiatan:</w:t>
      </w:r>
    </w:p>
    <w:p w14:paraId="76B10E0F" w14:textId="6E724D0B" w:rsidR="00924A58" w:rsidRPr="003255BC" w:rsidRDefault="00924A58" w:rsidP="008379CA">
      <w:pPr>
        <w:pStyle w:val="ListParagraph"/>
        <w:numPr>
          <w:ilvl w:val="2"/>
          <w:numId w:val="99"/>
        </w:numPr>
        <w:spacing w:before="60" w:line="276" w:lineRule="auto"/>
        <w:ind w:left="2268" w:hanging="567"/>
        <w:jc w:val="both"/>
        <w:rPr>
          <w:rFonts w:ascii="Bookman Old Style" w:hAnsi="Bookman Old Style"/>
          <w:sz w:val="24"/>
          <w:szCs w:val="24"/>
          <w:lang w:val="id-ID"/>
        </w:rPr>
      </w:pPr>
      <w:r w:rsidRPr="00C03803">
        <w:rPr>
          <w:rFonts w:ascii="Bookman Old Style" w:hAnsi="Bookman Old Style"/>
          <w:sz w:val="24"/>
          <w:szCs w:val="24"/>
          <w:lang w:val="id-ID"/>
        </w:rPr>
        <w:lastRenderedPageBreak/>
        <w:t>Pelaksanaan</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Kebijakan</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di</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Bidang</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Ideologi</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Wawasan</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Kebangsaan,</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Bela</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Negara,</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Karakter</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Bangsa,</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Pembauran</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Kebangsaan,</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Bineka</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Tunggal</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Ika</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dan</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Sejarah</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Kebangsaan</w:t>
      </w:r>
      <w:r w:rsidR="00A954D0" w:rsidRPr="003255BC">
        <w:rPr>
          <w:rFonts w:ascii="Bookman Old Style" w:hAnsi="Bookman Old Style"/>
          <w:sz w:val="24"/>
          <w:szCs w:val="24"/>
          <w:lang w:val="id-ID"/>
        </w:rPr>
        <w:t xml:space="preserve"> </w:t>
      </w:r>
      <w:r w:rsidRPr="003255BC">
        <w:rPr>
          <w:rFonts w:ascii="Bookman Old Style" w:hAnsi="Bookman Old Style"/>
          <w:sz w:val="24"/>
          <w:szCs w:val="24"/>
          <w:lang w:val="id-ID"/>
        </w:rPr>
        <w:t>Rp</w:t>
      </w:r>
      <w:r w:rsidRPr="00977171">
        <w:rPr>
          <w:rFonts w:ascii="Bookman Old Style" w:hAnsi="Bookman Old Style"/>
          <w:sz w:val="24"/>
          <w:szCs w:val="24"/>
          <w:lang w:val="id-ID"/>
        </w:rPr>
        <w:t>2.492.714.200,00</w:t>
      </w:r>
      <w:r w:rsidR="00A954D0" w:rsidRPr="003255BC">
        <w:rPr>
          <w:rFonts w:ascii="Bookman Old Style" w:hAnsi="Bookman Old Style"/>
          <w:sz w:val="24"/>
          <w:szCs w:val="24"/>
          <w:lang w:val="id-ID"/>
        </w:rPr>
        <w:t xml:space="preserve"> </w:t>
      </w:r>
      <w:r w:rsidRPr="003255BC">
        <w:rPr>
          <w:rFonts w:ascii="Bookman Old Style" w:hAnsi="Bookman Old Style"/>
          <w:sz w:val="24"/>
          <w:szCs w:val="24"/>
          <w:lang w:val="id-ID"/>
        </w:rPr>
        <w:t>atau</w:t>
      </w:r>
      <w:r w:rsidR="00A954D0" w:rsidRPr="003255BC">
        <w:rPr>
          <w:rFonts w:ascii="Bookman Old Style" w:hAnsi="Bookman Old Style"/>
          <w:sz w:val="24"/>
          <w:szCs w:val="24"/>
          <w:lang w:val="id-ID"/>
        </w:rPr>
        <w:t xml:space="preserve"> </w:t>
      </w:r>
      <w:r w:rsidRPr="003255BC">
        <w:rPr>
          <w:rFonts w:ascii="Bookman Old Style" w:hAnsi="Bookman Old Style"/>
          <w:sz w:val="24"/>
          <w:szCs w:val="24"/>
          <w:lang w:val="id-ID"/>
        </w:rPr>
        <w:t>0,04%</w:t>
      </w:r>
      <w:r w:rsidR="00A954D0" w:rsidRPr="003255BC">
        <w:rPr>
          <w:rFonts w:ascii="Bookman Old Style" w:hAnsi="Bookman Old Style"/>
          <w:sz w:val="24"/>
          <w:szCs w:val="24"/>
          <w:lang w:val="id-ID"/>
        </w:rPr>
        <w:t xml:space="preserve"> </w:t>
      </w:r>
      <w:r w:rsidRPr="00977171">
        <w:rPr>
          <w:rFonts w:ascii="Bookman Old Style" w:hAnsi="Bookman Old Style"/>
          <w:sz w:val="24"/>
          <w:szCs w:val="24"/>
          <w:lang w:val="id-ID"/>
        </w:rPr>
        <w:t>dari</w:t>
      </w:r>
      <w:r w:rsidR="00A954D0">
        <w:rPr>
          <w:rFonts w:ascii="Bookman Old Style" w:hAnsi="Bookman Old Style"/>
          <w:sz w:val="24"/>
          <w:szCs w:val="24"/>
          <w:lang w:val="id-ID"/>
        </w:rPr>
        <w:t xml:space="preserve"> </w:t>
      </w:r>
      <w:r w:rsidRPr="00977171">
        <w:rPr>
          <w:rFonts w:ascii="Bookman Old Style" w:hAnsi="Bookman Old Style"/>
          <w:sz w:val="24"/>
          <w:szCs w:val="24"/>
          <w:lang w:val="id-ID"/>
        </w:rPr>
        <w:t>total</w:t>
      </w:r>
      <w:r w:rsidR="00A954D0">
        <w:rPr>
          <w:rFonts w:ascii="Bookman Old Style" w:hAnsi="Bookman Old Style"/>
          <w:sz w:val="24"/>
          <w:szCs w:val="24"/>
          <w:lang w:val="id-ID"/>
        </w:rPr>
        <w:t xml:space="preserve"> </w:t>
      </w:r>
      <w:r w:rsidRPr="00977171">
        <w:rPr>
          <w:rFonts w:ascii="Bookman Old Style" w:hAnsi="Bookman Old Style"/>
          <w:sz w:val="24"/>
          <w:szCs w:val="24"/>
          <w:lang w:val="id-ID"/>
        </w:rPr>
        <w:t>belanja</w:t>
      </w:r>
      <w:r w:rsidR="00A954D0">
        <w:rPr>
          <w:rFonts w:ascii="Bookman Old Style" w:hAnsi="Bookman Old Style"/>
          <w:sz w:val="24"/>
          <w:szCs w:val="24"/>
          <w:lang w:val="id-ID"/>
        </w:rPr>
        <w:t xml:space="preserve"> </w:t>
      </w:r>
      <w:r w:rsidRPr="00977171">
        <w:rPr>
          <w:rFonts w:ascii="Bookman Old Style" w:hAnsi="Bookman Old Style"/>
          <w:sz w:val="24"/>
          <w:szCs w:val="24"/>
          <w:lang w:val="id-ID"/>
        </w:rPr>
        <w:t>daerah</w:t>
      </w:r>
      <w:r w:rsidRPr="003255BC">
        <w:rPr>
          <w:rFonts w:ascii="Bookman Old Style" w:hAnsi="Bookman Old Style"/>
          <w:sz w:val="24"/>
          <w:szCs w:val="24"/>
          <w:lang w:val="id-ID"/>
        </w:rPr>
        <w:t>;</w:t>
      </w:r>
    </w:p>
    <w:p w14:paraId="01753FC7" w14:textId="0DDA6A0C" w:rsidR="00924A58" w:rsidRPr="003255BC" w:rsidRDefault="00924A58" w:rsidP="008379CA">
      <w:pPr>
        <w:pStyle w:val="ListParagraph"/>
        <w:numPr>
          <w:ilvl w:val="2"/>
          <w:numId w:val="99"/>
        </w:numPr>
        <w:spacing w:before="60" w:line="276" w:lineRule="auto"/>
        <w:ind w:left="2268" w:hanging="567"/>
        <w:jc w:val="both"/>
        <w:rPr>
          <w:rFonts w:ascii="Bookman Old Style" w:hAnsi="Bookman Old Style"/>
          <w:sz w:val="24"/>
          <w:szCs w:val="24"/>
          <w:lang w:val="id-ID"/>
        </w:rPr>
      </w:pPr>
      <w:r w:rsidRPr="00010302">
        <w:rPr>
          <w:rFonts w:ascii="Bookman Old Style" w:hAnsi="Bookman Old Style"/>
          <w:sz w:val="24"/>
          <w:szCs w:val="24"/>
          <w:lang w:val="id-ID"/>
        </w:rPr>
        <w:t>Pelaksanaan</w:t>
      </w:r>
      <w:r w:rsidR="00A954D0">
        <w:rPr>
          <w:rFonts w:ascii="Bookman Old Style" w:hAnsi="Bookman Old Style"/>
          <w:sz w:val="24"/>
          <w:szCs w:val="24"/>
          <w:lang w:val="id-ID"/>
        </w:rPr>
        <w:t xml:space="preserve"> </w:t>
      </w:r>
      <w:r w:rsidRPr="00010302">
        <w:rPr>
          <w:rFonts w:ascii="Bookman Old Style" w:hAnsi="Bookman Old Style"/>
          <w:sz w:val="24"/>
          <w:szCs w:val="24"/>
          <w:lang w:val="id-ID"/>
        </w:rPr>
        <w:t>Koordinasi</w:t>
      </w:r>
      <w:r w:rsidR="00A954D0">
        <w:rPr>
          <w:rFonts w:ascii="Bookman Old Style" w:hAnsi="Bookman Old Style"/>
          <w:sz w:val="24"/>
          <w:szCs w:val="24"/>
          <w:lang w:val="id-ID"/>
        </w:rPr>
        <w:t xml:space="preserve"> </w:t>
      </w:r>
      <w:r w:rsidRPr="00010302">
        <w:rPr>
          <w:rFonts w:ascii="Bookman Old Style" w:hAnsi="Bookman Old Style"/>
          <w:sz w:val="24"/>
          <w:szCs w:val="24"/>
          <w:lang w:val="id-ID"/>
        </w:rPr>
        <w:t>di</w:t>
      </w:r>
      <w:r w:rsidR="00A954D0">
        <w:rPr>
          <w:rFonts w:ascii="Bookman Old Style" w:hAnsi="Bookman Old Style"/>
          <w:sz w:val="24"/>
          <w:szCs w:val="24"/>
          <w:lang w:val="id-ID"/>
        </w:rPr>
        <w:t xml:space="preserve"> </w:t>
      </w:r>
      <w:r w:rsidRPr="00010302">
        <w:rPr>
          <w:rFonts w:ascii="Bookman Old Style" w:hAnsi="Bookman Old Style"/>
          <w:sz w:val="24"/>
          <w:szCs w:val="24"/>
          <w:lang w:val="id-ID"/>
        </w:rPr>
        <w:t>Bidang</w:t>
      </w:r>
      <w:r w:rsidR="00A954D0">
        <w:rPr>
          <w:rFonts w:ascii="Bookman Old Style" w:hAnsi="Bookman Old Style"/>
          <w:sz w:val="24"/>
          <w:szCs w:val="24"/>
          <w:lang w:val="id-ID"/>
        </w:rPr>
        <w:t xml:space="preserve"> </w:t>
      </w:r>
      <w:r w:rsidRPr="00010302">
        <w:rPr>
          <w:rFonts w:ascii="Bookman Old Style" w:hAnsi="Bookman Old Style"/>
          <w:sz w:val="24"/>
          <w:szCs w:val="24"/>
          <w:lang w:val="id-ID"/>
        </w:rPr>
        <w:t>Ideologi</w:t>
      </w:r>
      <w:r w:rsidR="00A954D0">
        <w:rPr>
          <w:rFonts w:ascii="Bookman Old Style" w:hAnsi="Bookman Old Style"/>
          <w:sz w:val="24"/>
          <w:szCs w:val="24"/>
          <w:lang w:val="id-ID"/>
        </w:rPr>
        <w:t xml:space="preserve"> </w:t>
      </w:r>
      <w:r w:rsidRPr="00010302">
        <w:rPr>
          <w:rFonts w:ascii="Bookman Old Style" w:hAnsi="Bookman Old Style"/>
          <w:sz w:val="24"/>
          <w:szCs w:val="24"/>
          <w:lang w:val="id-ID"/>
        </w:rPr>
        <w:t>Wawasan</w:t>
      </w:r>
      <w:r w:rsidR="00A954D0">
        <w:rPr>
          <w:rFonts w:ascii="Bookman Old Style" w:hAnsi="Bookman Old Style"/>
          <w:sz w:val="24"/>
          <w:szCs w:val="24"/>
          <w:lang w:val="id-ID"/>
        </w:rPr>
        <w:t xml:space="preserve"> </w:t>
      </w:r>
      <w:r w:rsidRPr="00010302">
        <w:rPr>
          <w:rFonts w:ascii="Bookman Old Style" w:hAnsi="Bookman Old Style"/>
          <w:sz w:val="24"/>
          <w:szCs w:val="24"/>
          <w:lang w:val="id-ID"/>
        </w:rPr>
        <w:t>Kebangsaan,</w:t>
      </w:r>
      <w:r w:rsidR="00A954D0">
        <w:rPr>
          <w:rFonts w:ascii="Bookman Old Style" w:hAnsi="Bookman Old Style"/>
          <w:sz w:val="24"/>
          <w:szCs w:val="24"/>
          <w:lang w:val="id-ID"/>
        </w:rPr>
        <w:t xml:space="preserve"> </w:t>
      </w:r>
      <w:r w:rsidRPr="00010302">
        <w:rPr>
          <w:rFonts w:ascii="Bookman Old Style" w:hAnsi="Bookman Old Style"/>
          <w:sz w:val="24"/>
          <w:szCs w:val="24"/>
          <w:lang w:val="id-ID"/>
        </w:rPr>
        <w:t>Bela</w:t>
      </w:r>
      <w:r w:rsidR="00A954D0">
        <w:rPr>
          <w:rFonts w:ascii="Bookman Old Style" w:hAnsi="Bookman Old Style"/>
          <w:sz w:val="24"/>
          <w:szCs w:val="24"/>
          <w:lang w:val="id-ID"/>
        </w:rPr>
        <w:t xml:space="preserve"> </w:t>
      </w:r>
      <w:r w:rsidRPr="00010302">
        <w:rPr>
          <w:rFonts w:ascii="Bookman Old Style" w:hAnsi="Bookman Old Style"/>
          <w:sz w:val="24"/>
          <w:szCs w:val="24"/>
          <w:lang w:val="id-ID"/>
        </w:rPr>
        <w:t>Negara,</w:t>
      </w:r>
      <w:r w:rsidR="00A954D0">
        <w:rPr>
          <w:rFonts w:ascii="Bookman Old Style" w:hAnsi="Bookman Old Style"/>
          <w:sz w:val="24"/>
          <w:szCs w:val="24"/>
          <w:lang w:val="id-ID"/>
        </w:rPr>
        <w:t xml:space="preserve"> </w:t>
      </w:r>
      <w:r w:rsidRPr="00010302">
        <w:rPr>
          <w:rFonts w:ascii="Bookman Old Style" w:hAnsi="Bookman Old Style"/>
          <w:sz w:val="24"/>
          <w:szCs w:val="24"/>
          <w:lang w:val="id-ID"/>
        </w:rPr>
        <w:t>Karakter</w:t>
      </w:r>
      <w:r w:rsidR="00A954D0">
        <w:rPr>
          <w:rFonts w:ascii="Bookman Old Style" w:hAnsi="Bookman Old Style"/>
          <w:sz w:val="24"/>
          <w:szCs w:val="24"/>
          <w:lang w:val="id-ID"/>
        </w:rPr>
        <w:t xml:space="preserve"> </w:t>
      </w:r>
      <w:r w:rsidRPr="00010302">
        <w:rPr>
          <w:rFonts w:ascii="Bookman Old Style" w:hAnsi="Bookman Old Style"/>
          <w:sz w:val="24"/>
          <w:szCs w:val="24"/>
          <w:lang w:val="id-ID"/>
        </w:rPr>
        <w:t>Bangsa,</w:t>
      </w:r>
      <w:r w:rsidR="00A954D0">
        <w:rPr>
          <w:rFonts w:ascii="Bookman Old Style" w:hAnsi="Bookman Old Style"/>
          <w:sz w:val="24"/>
          <w:szCs w:val="24"/>
          <w:lang w:val="id-ID"/>
        </w:rPr>
        <w:t xml:space="preserve"> </w:t>
      </w:r>
      <w:r w:rsidRPr="00010302">
        <w:rPr>
          <w:rFonts w:ascii="Bookman Old Style" w:hAnsi="Bookman Old Style"/>
          <w:sz w:val="24"/>
          <w:szCs w:val="24"/>
          <w:lang w:val="id-ID"/>
        </w:rPr>
        <w:t>Pembauran</w:t>
      </w:r>
      <w:r w:rsidR="00A954D0">
        <w:rPr>
          <w:rFonts w:ascii="Bookman Old Style" w:hAnsi="Bookman Old Style"/>
          <w:sz w:val="24"/>
          <w:szCs w:val="24"/>
          <w:lang w:val="id-ID"/>
        </w:rPr>
        <w:t xml:space="preserve"> </w:t>
      </w:r>
      <w:r w:rsidRPr="00010302">
        <w:rPr>
          <w:rFonts w:ascii="Bookman Old Style" w:hAnsi="Bookman Old Style"/>
          <w:sz w:val="24"/>
          <w:szCs w:val="24"/>
          <w:lang w:val="id-ID"/>
        </w:rPr>
        <w:t>Kebangsaan,</w:t>
      </w:r>
      <w:r w:rsidR="00A954D0">
        <w:rPr>
          <w:rFonts w:ascii="Bookman Old Style" w:hAnsi="Bookman Old Style"/>
          <w:sz w:val="24"/>
          <w:szCs w:val="24"/>
          <w:lang w:val="id-ID"/>
        </w:rPr>
        <w:t xml:space="preserve"> </w:t>
      </w:r>
      <w:r w:rsidRPr="00010302">
        <w:rPr>
          <w:rFonts w:ascii="Bookman Old Style" w:hAnsi="Bookman Old Style"/>
          <w:sz w:val="24"/>
          <w:szCs w:val="24"/>
          <w:lang w:val="id-ID"/>
        </w:rPr>
        <w:t>Bineka</w:t>
      </w:r>
      <w:r w:rsidR="00A954D0">
        <w:rPr>
          <w:rFonts w:ascii="Bookman Old Style" w:hAnsi="Bookman Old Style"/>
          <w:sz w:val="24"/>
          <w:szCs w:val="24"/>
          <w:lang w:val="id-ID"/>
        </w:rPr>
        <w:t xml:space="preserve"> </w:t>
      </w:r>
      <w:r w:rsidRPr="00010302">
        <w:rPr>
          <w:rFonts w:ascii="Bookman Old Style" w:hAnsi="Bookman Old Style"/>
          <w:sz w:val="24"/>
          <w:szCs w:val="24"/>
          <w:lang w:val="id-ID"/>
        </w:rPr>
        <w:t>Tunggal</w:t>
      </w:r>
      <w:r w:rsidR="00A954D0">
        <w:rPr>
          <w:rFonts w:ascii="Bookman Old Style" w:hAnsi="Bookman Old Style"/>
          <w:sz w:val="24"/>
          <w:szCs w:val="24"/>
          <w:lang w:val="id-ID"/>
        </w:rPr>
        <w:t xml:space="preserve"> </w:t>
      </w:r>
      <w:r w:rsidRPr="00010302">
        <w:rPr>
          <w:rFonts w:ascii="Bookman Old Style" w:hAnsi="Bookman Old Style"/>
          <w:sz w:val="24"/>
          <w:szCs w:val="24"/>
          <w:lang w:val="id-ID"/>
        </w:rPr>
        <w:t>Ika</w:t>
      </w:r>
      <w:r w:rsidR="00A954D0">
        <w:rPr>
          <w:rFonts w:ascii="Bookman Old Style" w:hAnsi="Bookman Old Style"/>
          <w:sz w:val="24"/>
          <w:szCs w:val="24"/>
          <w:lang w:val="id-ID"/>
        </w:rPr>
        <w:t xml:space="preserve"> </w:t>
      </w:r>
      <w:r w:rsidRPr="00010302">
        <w:rPr>
          <w:rFonts w:ascii="Bookman Old Style" w:hAnsi="Bookman Old Style"/>
          <w:sz w:val="24"/>
          <w:szCs w:val="24"/>
          <w:lang w:val="id-ID"/>
        </w:rPr>
        <w:t>dan</w:t>
      </w:r>
      <w:r w:rsidR="00A954D0">
        <w:rPr>
          <w:rFonts w:ascii="Bookman Old Style" w:hAnsi="Bookman Old Style"/>
          <w:sz w:val="24"/>
          <w:szCs w:val="24"/>
          <w:lang w:val="id-ID"/>
        </w:rPr>
        <w:t xml:space="preserve"> </w:t>
      </w:r>
      <w:r w:rsidRPr="00010302">
        <w:rPr>
          <w:rFonts w:ascii="Bookman Old Style" w:hAnsi="Bookman Old Style"/>
          <w:sz w:val="24"/>
          <w:szCs w:val="24"/>
          <w:lang w:val="id-ID"/>
        </w:rPr>
        <w:t>Sejarah</w:t>
      </w:r>
      <w:r w:rsidR="00A954D0">
        <w:rPr>
          <w:rFonts w:ascii="Bookman Old Style" w:hAnsi="Bookman Old Style"/>
          <w:sz w:val="24"/>
          <w:szCs w:val="24"/>
          <w:lang w:val="id-ID"/>
        </w:rPr>
        <w:t xml:space="preserve"> </w:t>
      </w:r>
      <w:r w:rsidRPr="00010302">
        <w:rPr>
          <w:rFonts w:ascii="Bookman Old Style" w:hAnsi="Bookman Old Style"/>
          <w:sz w:val="24"/>
          <w:szCs w:val="24"/>
          <w:lang w:val="id-ID"/>
        </w:rPr>
        <w:t>Kebangsaan</w:t>
      </w:r>
      <w:r w:rsidR="00A954D0" w:rsidRPr="003255BC">
        <w:rPr>
          <w:rFonts w:ascii="Bookman Old Style" w:hAnsi="Bookman Old Style"/>
          <w:sz w:val="24"/>
          <w:szCs w:val="24"/>
          <w:lang w:val="id-ID"/>
        </w:rPr>
        <w:t xml:space="preserve"> </w:t>
      </w:r>
      <w:r w:rsidRPr="003255BC">
        <w:rPr>
          <w:rFonts w:ascii="Bookman Old Style" w:hAnsi="Bookman Old Style"/>
          <w:sz w:val="24"/>
          <w:szCs w:val="24"/>
          <w:lang w:val="id-ID"/>
        </w:rPr>
        <w:t>Rp</w:t>
      </w:r>
      <w:r w:rsidRPr="00010302">
        <w:rPr>
          <w:rFonts w:ascii="Bookman Old Style" w:hAnsi="Bookman Old Style"/>
          <w:sz w:val="24"/>
          <w:szCs w:val="24"/>
          <w:lang w:val="id-ID"/>
        </w:rPr>
        <w:t>1.099.860.800,00</w:t>
      </w:r>
      <w:r w:rsidR="00A954D0" w:rsidRPr="003255BC">
        <w:rPr>
          <w:rFonts w:ascii="Bookman Old Style" w:hAnsi="Bookman Old Style"/>
          <w:sz w:val="24"/>
          <w:szCs w:val="24"/>
          <w:lang w:val="id-ID"/>
        </w:rPr>
        <w:t xml:space="preserve"> </w:t>
      </w:r>
      <w:r w:rsidRPr="003255BC">
        <w:rPr>
          <w:rFonts w:ascii="Bookman Old Style" w:hAnsi="Bookman Old Style"/>
          <w:sz w:val="24"/>
          <w:szCs w:val="24"/>
          <w:lang w:val="id-ID"/>
        </w:rPr>
        <w:t>atau</w:t>
      </w:r>
      <w:r w:rsidR="00A954D0" w:rsidRPr="003255BC">
        <w:rPr>
          <w:rFonts w:ascii="Bookman Old Style" w:hAnsi="Bookman Old Style"/>
          <w:sz w:val="24"/>
          <w:szCs w:val="24"/>
          <w:lang w:val="id-ID"/>
        </w:rPr>
        <w:t xml:space="preserve"> </w:t>
      </w:r>
      <w:r w:rsidRPr="003255BC">
        <w:rPr>
          <w:rFonts w:ascii="Bookman Old Style" w:hAnsi="Bookman Old Style"/>
          <w:sz w:val="24"/>
          <w:szCs w:val="24"/>
          <w:lang w:val="id-ID"/>
        </w:rPr>
        <w:t>0,02%</w:t>
      </w:r>
      <w:r w:rsidR="00A954D0" w:rsidRPr="003255BC">
        <w:rPr>
          <w:rFonts w:ascii="Bookman Old Style" w:hAnsi="Bookman Old Style"/>
          <w:sz w:val="24"/>
          <w:szCs w:val="24"/>
          <w:lang w:val="id-ID"/>
        </w:rPr>
        <w:t xml:space="preserve"> </w:t>
      </w:r>
      <w:r w:rsidRPr="00010302">
        <w:rPr>
          <w:rFonts w:ascii="Bookman Old Style" w:hAnsi="Bookman Old Style"/>
          <w:sz w:val="24"/>
          <w:szCs w:val="24"/>
          <w:lang w:val="id-ID"/>
        </w:rPr>
        <w:t>dari</w:t>
      </w:r>
      <w:r w:rsidR="00A954D0">
        <w:rPr>
          <w:rFonts w:ascii="Bookman Old Style" w:hAnsi="Bookman Old Style"/>
          <w:sz w:val="24"/>
          <w:szCs w:val="24"/>
          <w:lang w:val="id-ID"/>
        </w:rPr>
        <w:t xml:space="preserve"> </w:t>
      </w:r>
      <w:r w:rsidRPr="00010302">
        <w:rPr>
          <w:rFonts w:ascii="Bookman Old Style" w:hAnsi="Bookman Old Style"/>
          <w:sz w:val="24"/>
          <w:szCs w:val="24"/>
          <w:lang w:val="id-ID"/>
        </w:rPr>
        <w:t>total</w:t>
      </w:r>
      <w:r w:rsidR="00A954D0">
        <w:rPr>
          <w:rFonts w:ascii="Bookman Old Style" w:hAnsi="Bookman Old Style"/>
          <w:sz w:val="24"/>
          <w:szCs w:val="24"/>
          <w:lang w:val="id-ID"/>
        </w:rPr>
        <w:t xml:space="preserve"> </w:t>
      </w:r>
      <w:r w:rsidRPr="00010302">
        <w:rPr>
          <w:rFonts w:ascii="Bookman Old Style" w:hAnsi="Bookman Old Style"/>
          <w:sz w:val="24"/>
          <w:szCs w:val="24"/>
          <w:lang w:val="id-ID"/>
        </w:rPr>
        <w:t>belanja</w:t>
      </w:r>
      <w:r w:rsidR="00A954D0">
        <w:rPr>
          <w:rFonts w:ascii="Bookman Old Style" w:hAnsi="Bookman Old Style"/>
          <w:sz w:val="24"/>
          <w:szCs w:val="24"/>
          <w:lang w:val="id-ID"/>
        </w:rPr>
        <w:t xml:space="preserve"> </w:t>
      </w:r>
      <w:r w:rsidRPr="00010302">
        <w:rPr>
          <w:rFonts w:ascii="Bookman Old Style" w:hAnsi="Bookman Old Style"/>
          <w:sz w:val="24"/>
          <w:szCs w:val="24"/>
          <w:lang w:val="id-ID"/>
        </w:rPr>
        <w:t>daerah</w:t>
      </w:r>
      <w:r w:rsidR="008379CA" w:rsidRPr="008379CA">
        <w:rPr>
          <w:rFonts w:ascii="Bookman Old Style" w:hAnsi="Bookman Old Style"/>
          <w:sz w:val="24"/>
          <w:szCs w:val="24"/>
          <w:lang w:val="id-ID"/>
        </w:rPr>
        <w:t>.</w:t>
      </w:r>
    </w:p>
    <w:p w14:paraId="0A1C5F2E" w14:textId="01170784" w:rsidR="00924A58" w:rsidRPr="00B87134" w:rsidRDefault="00924A58" w:rsidP="008379CA">
      <w:pPr>
        <w:pStyle w:val="ListParagraph"/>
        <w:numPr>
          <w:ilvl w:val="1"/>
          <w:numId w:val="99"/>
        </w:numPr>
        <w:spacing w:before="60" w:line="276" w:lineRule="auto"/>
        <w:ind w:left="1701" w:hanging="425"/>
        <w:jc w:val="both"/>
        <w:rPr>
          <w:rFonts w:ascii="Bookman Old Style" w:hAnsi="Bookman Old Style"/>
          <w:sz w:val="24"/>
          <w:szCs w:val="24"/>
          <w:lang w:val="id-ID"/>
        </w:rPr>
      </w:pPr>
      <w:r w:rsidRPr="00C03803">
        <w:rPr>
          <w:rFonts w:ascii="Bookman Old Style" w:hAnsi="Bookman Old Style"/>
          <w:sz w:val="24"/>
          <w:szCs w:val="24"/>
          <w:lang w:val="id-ID"/>
        </w:rPr>
        <w:t>Program</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Penyelenggaraan</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Pemerintahan</w:t>
      </w:r>
      <w:r w:rsidR="00A954D0">
        <w:rPr>
          <w:rFonts w:ascii="Bookman Old Style" w:hAnsi="Bookman Old Style"/>
          <w:sz w:val="24"/>
          <w:szCs w:val="24"/>
          <w:lang w:val="id-ID"/>
        </w:rPr>
        <w:t xml:space="preserve"> </w:t>
      </w:r>
      <w:r w:rsidRPr="003255BC">
        <w:rPr>
          <w:rFonts w:ascii="Bookman Old Style" w:hAnsi="Bookman Old Style"/>
          <w:sz w:val="24"/>
          <w:szCs w:val="24"/>
          <w:lang w:val="id-ID"/>
        </w:rPr>
        <w:t>d</w:t>
      </w:r>
      <w:r w:rsidRPr="00C03803">
        <w:rPr>
          <w:rFonts w:ascii="Bookman Old Style" w:hAnsi="Bookman Old Style"/>
          <w:sz w:val="24"/>
          <w:szCs w:val="24"/>
          <w:lang w:val="id-ID"/>
        </w:rPr>
        <w:t>an</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Pelayanan</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Publik</w:t>
      </w:r>
      <w:r w:rsidRPr="003255BC">
        <w:rPr>
          <w:rFonts w:ascii="Bookman Old Style" w:hAnsi="Bookman Old Style"/>
          <w:sz w:val="24"/>
          <w:szCs w:val="24"/>
          <w:lang w:val="id-ID"/>
        </w:rPr>
        <w:t>,</w:t>
      </w:r>
      <w:r w:rsidR="00A954D0" w:rsidRPr="003255BC">
        <w:rPr>
          <w:rFonts w:ascii="Bookman Old Style" w:hAnsi="Bookman Old Style"/>
          <w:sz w:val="24"/>
          <w:szCs w:val="24"/>
          <w:lang w:val="id-ID"/>
        </w:rPr>
        <w:t xml:space="preserve"> </w:t>
      </w:r>
      <w:r w:rsidRPr="003255BC">
        <w:rPr>
          <w:rFonts w:ascii="Bookman Old Style" w:hAnsi="Bookman Old Style"/>
          <w:sz w:val="24"/>
          <w:szCs w:val="24"/>
          <w:lang w:val="id-ID"/>
        </w:rPr>
        <w:t>Kegiatan</w:t>
      </w:r>
      <w:r w:rsidR="00A954D0" w:rsidRPr="003255BC">
        <w:rPr>
          <w:rFonts w:ascii="Bookman Old Style" w:hAnsi="Bookman Old Style"/>
          <w:sz w:val="24"/>
          <w:szCs w:val="24"/>
          <w:lang w:val="id-ID"/>
        </w:rPr>
        <w:t xml:space="preserve"> </w:t>
      </w:r>
      <w:r w:rsidRPr="00C03803">
        <w:rPr>
          <w:rFonts w:ascii="Bookman Old Style" w:hAnsi="Bookman Old Style"/>
          <w:sz w:val="24"/>
          <w:szCs w:val="24"/>
          <w:lang w:val="id-ID"/>
        </w:rPr>
        <w:t>Penyelenggaraan</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Urusan</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Pemerintahan</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yang</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Tidak</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Dilaksanakan</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oleh</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Unit</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Kerja</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Perangkat</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Daerah</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yang</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Ada</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di</w:t>
      </w:r>
      <w:r w:rsidR="00A954D0">
        <w:rPr>
          <w:rFonts w:ascii="Bookman Old Style" w:hAnsi="Bookman Old Style"/>
          <w:sz w:val="24"/>
          <w:szCs w:val="24"/>
          <w:lang w:val="id-ID"/>
        </w:rPr>
        <w:t xml:space="preserve"> </w:t>
      </w:r>
      <w:r w:rsidRPr="00C03803">
        <w:rPr>
          <w:rFonts w:ascii="Bookman Old Style" w:hAnsi="Bookman Old Style"/>
          <w:sz w:val="24"/>
          <w:szCs w:val="24"/>
          <w:lang w:val="id-ID"/>
        </w:rPr>
        <w:t>Kecamatan</w:t>
      </w:r>
      <w:r w:rsidRPr="003255BC">
        <w:rPr>
          <w:rFonts w:ascii="Bookman Old Style" w:hAnsi="Bookman Old Style"/>
          <w:sz w:val="24"/>
          <w:szCs w:val="24"/>
          <w:lang w:val="id-ID"/>
        </w:rPr>
        <w:t>,</w:t>
      </w:r>
      <w:r w:rsidR="00A954D0" w:rsidRPr="003255BC">
        <w:rPr>
          <w:rFonts w:ascii="Bookman Old Style" w:hAnsi="Bookman Old Style"/>
          <w:sz w:val="24"/>
          <w:szCs w:val="24"/>
          <w:lang w:val="id-ID"/>
        </w:rPr>
        <w:t xml:space="preserve"> </w:t>
      </w:r>
      <w:r w:rsidRPr="003255BC">
        <w:rPr>
          <w:rFonts w:ascii="Bookman Old Style" w:hAnsi="Bookman Old Style"/>
          <w:sz w:val="24"/>
          <w:szCs w:val="24"/>
          <w:lang w:val="id-ID"/>
        </w:rPr>
        <w:t>Sub</w:t>
      </w:r>
      <w:r w:rsidR="00A954D0" w:rsidRPr="003255BC">
        <w:rPr>
          <w:rFonts w:ascii="Bookman Old Style" w:hAnsi="Bookman Old Style"/>
          <w:sz w:val="24"/>
          <w:szCs w:val="24"/>
          <w:lang w:val="id-ID"/>
        </w:rPr>
        <w:t xml:space="preserve"> </w:t>
      </w:r>
      <w:r w:rsidRPr="003255BC">
        <w:rPr>
          <w:rFonts w:ascii="Bookman Old Style" w:hAnsi="Bookman Old Style"/>
          <w:sz w:val="24"/>
          <w:szCs w:val="24"/>
          <w:lang w:val="id-ID"/>
        </w:rPr>
        <w:t>Kegiatan</w:t>
      </w:r>
      <w:r w:rsidR="00A954D0" w:rsidRPr="003255BC">
        <w:rPr>
          <w:rFonts w:ascii="Bookman Old Style" w:hAnsi="Bookman Old Style"/>
          <w:sz w:val="24"/>
          <w:szCs w:val="24"/>
          <w:lang w:val="id-ID"/>
        </w:rPr>
        <w:t xml:space="preserve"> </w:t>
      </w:r>
      <w:r w:rsidRPr="00C03803">
        <w:rPr>
          <w:rFonts w:ascii="Bookman Old Style" w:hAnsi="Bookman Old Style"/>
          <w:sz w:val="24"/>
          <w:szCs w:val="24"/>
          <w:lang w:val="id-ID"/>
        </w:rPr>
        <w:t>Peningkatan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Efektifitas</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Pelaksanaan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Pelayanan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kepada</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Masyarakat</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di</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Wilayah</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Kecamatan</w:t>
      </w:r>
      <w:r w:rsidRPr="003255BC">
        <w:rPr>
          <w:rFonts w:ascii="Bookman Old Style" w:hAnsi="Bookman Old Style"/>
          <w:sz w:val="24"/>
          <w:szCs w:val="24"/>
          <w:lang w:val="id-ID"/>
        </w:rPr>
        <w:t>,</w:t>
      </w:r>
      <w:r w:rsidR="00A954D0" w:rsidRPr="003255BC">
        <w:rPr>
          <w:rFonts w:ascii="Bookman Old Style" w:hAnsi="Bookman Old Style"/>
          <w:sz w:val="24"/>
          <w:szCs w:val="24"/>
          <w:lang w:val="id-ID"/>
        </w:rPr>
        <w:t xml:space="preserve"> </w:t>
      </w:r>
      <w:r w:rsidRPr="003255BC">
        <w:rPr>
          <w:rFonts w:ascii="Bookman Old Style" w:hAnsi="Bookman Old Style"/>
          <w:sz w:val="24"/>
          <w:szCs w:val="24"/>
          <w:lang w:val="id-ID"/>
        </w:rPr>
        <w:t>pada:</w:t>
      </w:r>
    </w:p>
    <w:p w14:paraId="7D7C2FCA" w14:textId="0B240649" w:rsidR="00924A58" w:rsidRPr="00B87134" w:rsidRDefault="00924A58" w:rsidP="00600C12">
      <w:pPr>
        <w:pStyle w:val="ListParagraph"/>
        <w:numPr>
          <w:ilvl w:val="2"/>
          <w:numId w:val="99"/>
        </w:numPr>
        <w:spacing w:before="60" w:line="276" w:lineRule="auto"/>
        <w:ind w:left="2268" w:hanging="567"/>
        <w:jc w:val="both"/>
        <w:rPr>
          <w:rFonts w:ascii="Bookman Old Style" w:hAnsi="Bookman Old Style"/>
          <w:sz w:val="24"/>
          <w:szCs w:val="24"/>
          <w:lang w:val="en-US"/>
        </w:rPr>
      </w:pPr>
      <w:r w:rsidRPr="00B87134">
        <w:rPr>
          <w:rFonts w:ascii="Bookman Old Style" w:hAnsi="Bookman Old Style"/>
          <w:sz w:val="24"/>
          <w:szCs w:val="24"/>
          <w:lang w:val="id-ID"/>
        </w:rPr>
        <w:t>Kecamatan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Ciledug</w:t>
      </w:r>
      <w:r w:rsidR="00A954D0">
        <w:rPr>
          <w:rFonts w:ascii="Bookman Old Style" w:hAnsi="Bookman Old Style"/>
          <w:sz w:val="24"/>
          <w:szCs w:val="24"/>
          <w:lang w:val="en-US"/>
        </w:rPr>
        <w:t xml:space="preserve"> </w:t>
      </w:r>
      <w:r w:rsidRPr="00B87134">
        <w:rPr>
          <w:rFonts w:ascii="Bookman Old Style" w:hAnsi="Bookman Old Style"/>
          <w:sz w:val="24"/>
          <w:szCs w:val="24"/>
          <w:lang w:val="en-US"/>
        </w:rPr>
        <w:t>Rp</w:t>
      </w:r>
      <w:r w:rsidRPr="00B87134">
        <w:rPr>
          <w:rFonts w:ascii="Bookman Old Style" w:hAnsi="Bookman Old Style"/>
          <w:sz w:val="24"/>
          <w:szCs w:val="24"/>
          <w:lang w:val="id-ID"/>
        </w:rPr>
        <w:t>257.416.500,00</w:t>
      </w:r>
      <w:r w:rsidR="00A954D0">
        <w:rPr>
          <w:rFonts w:ascii="Bookman Old Style" w:hAnsi="Bookman Old Style"/>
          <w:sz w:val="24"/>
          <w:szCs w:val="24"/>
          <w:lang w:val="en-US"/>
        </w:rPr>
        <w:t xml:space="preserve"> </w:t>
      </w:r>
      <w:r w:rsidRPr="00B87134">
        <w:rPr>
          <w:rFonts w:ascii="Bookman Old Style" w:hAnsi="Bookman Old Style"/>
          <w:sz w:val="24"/>
          <w:szCs w:val="24"/>
          <w:lang w:val="en-US"/>
        </w:rPr>
        <w:t>atau</w:t>
      </w:r>
      <w:r w:rsidR="00A954D0">
        <w:rPr>
          <w:rFonts w:ascii="Bookman Old Style" w:hAnsi="Bookman Old Style"/>
          <w:sz w:val="24"/>
          <w:szCs w:val="24"/>
          <w:lang w:val="en-US"/>
        </w:rPr>
        <w:t xml:space="preserve"> </w:t>
      </w:r>
      <w:r w:rsidRPr="00B87134">
        <w:rPr>
          <w:rFonts w:ascii="Bookman Old Style" w:hAnsi="Bookman Old Style"/>
          <w:sz w:val="24"/>
          <w:szCs w:val="24"/>
          <w:lang w:val="en-US"/>
        </w:rPr>
        <w:t>0,005%</w:t>
      </w:r>
      <w:r w:rsidR="00A954D0">
        <w:rPr>
          <w:rFonts w:ascii="Bookman Old Style" w:hAnsi="Bookman Old Style"/>
          <w:sz w:val="24"/>
          <w:szCs w:val="24"/>
          <w:lang w:val="en-US"/>
        </w:rPr>
        <w:t xml:space="preserve"> </w:t>
      </w:r>
      <w:r w:rsidRPr="00B87134">
        <w:rPr>
          <w:rFonts w:ascii="Bookman Old Style" w:hAnsi="Bookman Old Style"/>
          <w:sz w:val="24"/>
          <w:szCs w:val="24"/>
          <w:lang w:val="id-ID"/>
        </w:rPr>
        <w:t>dari</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total</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belanja</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daerah</w:t>
      </w:r>
      <w:r w:rsidRPr="00B87134">
        <w:rPr>
          <w:rFonts w:ascii="Bookman Old Style" w:hAnsi="Bookman Old Style"/>
          <w:sz w:val="24"/>
          <w:szCs w:val="24"/>
          <w:lang w:val="en-US"/>
        </w:rPr>
        <w:t>;</w:t>
      </w:r>
    </w:p>
    <w:p w14:paraId="20425A0C" w14:textId="015AD6BB" w:rsidR="00924A58" w:rsidRPr="003255BC" w:rsidRDefault="00924A58" w:rsidP="00600C12">
      <w:pPr>
        <w:pStyle w:val="ListParagraph"/>
        <w:numPr>
          <w:ilvl w:val="2"/>
          <w:numId w:val="99"/>
        </w:numPr>
        <w:spacing w:before="60" w:line="276" w:lineRule="auto"/>
        <w:ind w:left="2268" w:hanging="567"/>
        <w:jc w:val="both"/>
        <w:rPr>
          <w:rFonts w:ascii="Bookman Old Style" w:hAnsi="Bookman Old Style"/>
          <w:sz w:val="24"/>
          <w:szCs w:val="24"/>
          <w:lang w:val="sv-FI"/>
        </w:rPr>
      </w:pPr>
      <w:r w:rsidRPr="00B87134">
        <w:rPr>
          <w:rFonts w:ascii="Bookman Old Style" w:hAnsi="Bookman Old Style"/>
          <w:sz w:val="24"/>
          <w:szCs w:val="24"/>
          <w:lang w:val="id-ID"/>
        </w:rPr>
        <w:t>Kecamatan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Batuceper</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Rp</w:t>
      </w:r>
      <w:r w:rsidRPr="00B87134">
        <w:rPr>
          <w:rFonts w:ascii="Bookman Old Style" w:hAnsi="Bookman Old Style"/>
          <w:sz w:val="24"/>
          <w:szCs w:val="24"/>
          <w:lang w:val="id-ID"/>
        </w:rPr>
        <w:t>415.779.100,00</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atau</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0,01%</w:t>
      </w:r>
      <w:r w:rsidR="00A954D0" w:rsidRPr="003255BC">
        <w:rPr>
          <w:rFonts w:ascii="Bookman Old Style" w:hAnsi="Bookman Old Style"/>
          <w:sz w:val="24"/>
          <w:szCs w:val="24"/>
          <w:lang w:val="sv-FI"/>
        </w:rPr>
        <w:t xml:space="preserve"> </w:t>
      </w:r>
      <w:r w:rsidRPr="00B87134">
        <w:rPr>
          <w:rFonts w:ascii="Bookman Old Style" w:hAnsi="Bookman Old Style"/>
          <w:sz w:val="24"/>
          <w:szCs w:val="24"/>
          <w:lang w:val="id-ID"/>
        </w:rPr>
        <w:t>dari</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total</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belanja</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daerah</w:t>
      </w:r>
      <w:r w:rsidRPr="003255BC">
        <w:rPr>
          <w:rFonts w:ascii="Bookman Old Style" w:hAnsi="Bookman Old Style"/>
          <w:sz w:val="24"/>
          <w:szCs w:val="24"/>
          <w:lang w:val="sv-FI"/>
        </w:rPr>
        <w:t>;</w:t>
      </w:r>
    </w:p>
    <w:p w14:paraId="2C8551C2" w14:textId="46EC0EBE" w:rsidR="00924A58" w:rsidRPr="003255BC" w:rsidRDefault="00924A58" w:rsidP="00600C12">
      <w:pPr>
        <w:pStyle w:val="ListParagraph"/>
        <w:numPr>
          <w:ilvl w:val="2"/>
          <w:numId w:val="99"/>
        </w:numPr>
        <w:spacing w:before="60" w:line="276" w:lineRule="auto"/>
        <w:ind w:left="2268" w:hanging="567"/>
        <w:jc w:val="both"/>
        <w:rPr>
          <w:rFonts w:ascii="Bookman Old Style" w:hAnsi="Bookman Old Style"/>
          <w:sz w:val="24"/>
          <w:szCs w:val="24"/>
          <w:lang w:val="sv-FI"/>
        </w:rPr>
      </w:pPr>
      <w:r w:rsidRPr="00B87134">
        <w:rPr>
          <w:rFonts w:ascii="Bookman Old Style" w:hAnsi="Bookman Old Style"/>
          <w:sz w:val="24"/>
          <w:szCs w:val="24"/>
          <w:lang w:val="id-ID"/>
        </w:rPr>
        <w:t>Kecamatan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Benda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Rp</w:t>
      </w:r>
      <w:r w:rsidRPr="00B87134">
        <w:rPr>
          <w:rFonts w:ascii="Bookman Old Style" w:hAnsi="Bookman Old Style"/>
          <w:sz w:val="24"/>
          <w:szCs w:val="24"/>
          <w:lang w:val="id-ID"/>
        </w:rPr>
        <w:t>506.036.300,00</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atau</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0,01%</w:t>
      </w:r>
      <w:r w:rsidR="00A954D0" w:rsidRPr="003255BC">
        <w:rPr>
          <w:rFonts w:ascii="Bookman Old Style" w:hAnsi="Bookman Old Style"/>
          <w:sz w:val="24"/>
          <w:szCs w:val="24"/>
          <w:lang w:val="sv-FI"/>
        </w:rPr>
        <w:t xml:space="preserve"> </w:t>
      </w:r>
      <w:r w:rsidRPr="00B87134">
        <w:rPr>
          <w:rFonts w:ascii="Bookman Old Style" w:hAnsi="Bookman Old Style"/>
          <w:sz w:val="24"/>
          <w:szCs w:val="24"/>
          <w:lang w:val="id-ID"/>
        </w:rPr>
        <w:t>dari</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total</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belanja</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daerah</w:t>
      </w:r>
      <w:r w:rsidRPr="003255BC">
        <w:rPr>
          <w:rFonts w:ascii="Bookman Old Style" w:hAnsi="Bookman Old Style"/>
          <w:sz w:val="24"/>
          <w:szCs w:val="24"/>
          <w:lang w:val="sv-FI"/>
        </w:rPr>
        <w:t>;</w:t>
      </w:r>
    </w:p>
    <w:p w14:paraId="119E3953" w14:textId="2B7AB6C7" w:rsidR="00924A58" w:rsidRPr="003255BC" w:rsidRDefault="00924A58" w:rsidP="00600C12">
      <w:pPr>
        <w:pStyle w:val="ListParagraph"/>
        <w:numPr>
          <w:ilvl w:val="2"/>
          <w:numId w:val="99"/>
        </w:numPr>
        <w:spacing w:before="60" w:line="276" w:lineRule="auto"/>
        <w:ind w:left="2268" w:hanging="567"/>
        <w:jc w:val="both"/>
        <w:rPr>
          <w:rFonts w:ascii="Bookman Old Style" w:hAnsi="Bookman Old Style"/>
          <w:sz w:val="24"/>
          <w:szCs w:val="24"/>
          <w:lang w:val="sv-FI"/>
        </w:rPr>
      </w:pPr>
      <w:r w:rsidRPr="00B87134">
        <w:rPr>
          <w:rFonts w:ascii="Bookman Old Style" w:hAnsi="Bookman Old Style"/>
          <w:sz w:val="24"/>
          <w:szCs w:val="24"/>
          <w:lang w:val="id-ID"/>
        </w:rPr>
        <w:t>Kecamatan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Tangerang</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Rp</w:t>
      </w:r>
      <w:r w:rsidRPr="00B87134">
        <w:rPr>
          <w:rFonts w:ascii="Bookman Old Style" w:hAnsi="Bookman Old Style"/>
          <w:sz w:val="24"/>
          <w:szCs w:val="24"/>
          <w:lang w:val="id-ID"/>
        </w:rPr>
        <w:t>325.403.200,00</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atau</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0,01%</w:t>
      </w:r>
      <w:r w:rsidR="00A954D0" w:rsidRPr="003255BC">
        <w:rPr>
          <w:rFonts w:ascii="Bookman Old Style" w:hAnsi="Bookman Old Style"/>
          <w:sz w:val="24"/>
          <w:szCs w:val="24"/>
          <w:lang w:val="sv-FI"/>
        </w:rPr>
        <w:t xml:space="preserve"> </w:t>
      </w:r>
      <w:r w:rsidRPr="00B87134">
        <w:rPr>
          <w:rFonts w:ascii="Bookman Old Style" w:hAnsi="Bookman Old Style"/>
          <w:sz w:val="24"/>
          <w:szCs w:val="24"/>
          <w:lang w:val="id-ID"/>
        </w:rPr>
        <w:t>dari</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total</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belanja</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daerah</w:t>
      </w:r>
      <w:r w:rsidRPr="003255BC">
        <w:rPr>
          <w:rFonts w:ascii="Bookman Old Style" w:hAnsi="Bookman Old Style"/>
          <w:sz w:val="24"/>
          <w:szCs w:val="24"/>
          <w:lang w:val="sv-FI"/>
        </w:rPr>
        <w:t>;</w:t>
      </w:r>
    </w:p>
    <w:p w14:paraId="7E09E151" w14:textId="6CC94E58" w:rsidR="00924A58" w:rsidRPr="00B87134" w:rsidRDefault="00924A58" w:rsidP="00600C12">
      <w:pPr>
        <w:pStyle w:val="ListParagraph"/>
        <w:numPr>
          <w:ilvl w:val="2"/>
          <w:numId w:val="99"/>
        </w:numPr>
        <w:spacing w:before="60" w:line="276" w:lineRule="auto"/>
        <w:ind w:left="2268" w:hanging="567"/>
        <w:jc w:val="both"/>
        <w:rPr>
          <w:rFonts w:ascii="Bookman Old Style" w:hAnsi="Bookman Old Style"/>
          <w:sz w:val="24"/>
          <w:szCs w:val="24"/>
          <w:lang w:val="en-US"/>
        </w:rPr>
      </w:pPr>
      <w:r w:rsidRPr="00B87134">
        <w:rPr>
          <w:rFonts w:ascii="Bookman Old Style" w:hAnsi="Bookman Old Style"/>
          <w:sz w:val="24"/>
          <w:szCs w:val="24"/>
          <w:lang w:val="id-ID"/>
        </w:rPr>
        <w:t>Kecamatan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Cipondoh</w:t>
      </w:r>
      <w:r w:rsidR="00A954D0">
        <w:rPr>
          <w:rFonts w:ascii="Bookman Old Style" w:hAnsi="Bookman Old Style"/>
          <w:sz w:val="24"/>
          <w:szCs w:val="24"/>
          <w:lang w:val="en-US"/>
        </w:rPr>
        <w:t xml:space="preserve"> </w:t>
      </w:r>
      <w:r w:rsidRPr="00B87134">
        <w:rPr>
          <w:rFonts w:ascii="Bookman Old Style" w:hAnsi="Bookman Old Style"/>
          <w:sz w:val="24"/>
          <w:szCs w:val="24"/>
          <w:lang w:val="en-US"/>
        </w:rPr>
        <w:t>Rp</w:t>
      </w:r>
      <w:r w:rsidRPr="00B87134">
        <w:rPr>
          <w:rFonts w:ascii="Bookman Old Style" w:hAnsi="Bookman Old Style"/>
          <w:sz w:val="24"/>
          <w:szCs w:val="24"/>
          <w:lang w:val="id-ID"/>
        </w:rPr>
        <w:t>368.398.700,00</w:t>
      </w:r>
      <w:r w:rsidR="00A954D0">
        <w:rPr>
          <w:rFonts w:ascii="Bookman Old Style" w:hAnsi="Bookman Old Style"/>
          <w:sz w:val="24"/>
          <w:szCs w:val="24"/>
          <w:lang w:val="en-US"/>
        </w:rPr>
        <w:t xml:space="preserve"> </w:t>
      </w:r>
      <w:r w:rsidRPr="00B87134">
        <w:rPr>
          <w:rFonts w:ascii="Bookman Old Style" w:hAnsi="Bookman Old Style"/>
          <w:sz w:val="24"/>
          <w:szCs w:val="24"/>
          <w:lang w:val="en-US"/>
        </w:rPr>
        <w:t>atau</w:t>
      </w:r>
      <w:r w:rsidR="00A954D0">
        <w:rPr>
          <w:rFonts w:ascii="Bookman Old Style" w:hAnsi="Bookman Old Style"/>
          <w:sz w:val="24"/>
          <w:szCs w:val="24"/>
          <w:lang w:val="en-US"/>
        </w:rPr>
        <w:t xml:space="preserve"> </w:t>
      </w:r>
      <w:r w:rsidRPr="00B87134">
        <w:rPr>
          <w:rFonts w:ascii="Bookman Old Style" w:hAnsi="Bookman Old Style"/>
          <w:sz w:val="24"/>
          <w:szCs w:val="24"/>
          <w:lang w:val="en-US"/>
        </w:rPr>
        <w:t>0,01%</w:t>
      </w:r>
      <w:r w:rsidR="00A954D0">
        <w:rPr>
          <w:rFonts w:ascii="Bookman Old Style" w:hAnsi="Bookman Old Style"/>
          <w:sz w:val="24"/>
          <w:szCs w:val="24"/>
          <w:lang w:val="en-US"/>
        </w:rPr>
        <w:t xml:space="preserve"> </w:t>
      </w:r>
      <w:r w:rsidRPr="00B87134">
        <w:rPr>
          <w:rFonts w:ascii="Bookman Old Style" w:hAnsi="Bookman Old Style"/>
          <w:sz w:val="24"/>
          <w:szCs w:val="24"/>
          <w:lang w:val="id-ID"/>
        </w:rPr>
        <w:t>dari</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total</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belanja</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daerah</w:t>
      </w:r>
      <w:r w:rsidRPr="00B87134">
        <w:rPr>
          <w:rFonts w:ascii="Bookman Old Style" w:hAnsi="Bookman Old Style"/>
          <w:sz w:val="24"/>
          <w:szCs w:val="24"/>
          <w:lang w:val="en-US"/>
        </w:rPr>
        <w:t>;</w:t>
      </w:r>
    </w:p>
    <w:p w14:paraId="5C15DB28" w14:textId="04AF7804" w:rsidR="00924A58" w:rsidRPr="003255BC" w:rsidRDefault="00924A58" w:rsidP="00600C12">
      <w:pPr>
        <w:pStyle w:val="ListParagraph"/>
        <w:numPr>
          <w:ilvl w:val="2"/>
          <w:numId w:val="99"/>
        </w:numPr>
        <w:spacing w:before="60" w:line="276" w:lineRule="auto"/>
        <w:ind w:left="2268" w:hanging="567"/>
        <w:jc w:val="both"/>
        <w:rPr>
          <w:rFonts w:ascii="Bookman Old Style" w:hAnsi="Bookman Old Style"/>
          <w:sz w:val="24"/>
          <w:szCs w:val="24"/>
          <w:lang w:val="sv-FI"/>
        </w:rPr>
      </w:pPr>
      <w:r w:rsidRPr="00B87134">
        <w:rPr>
          <w:rFonts w:ascii="Bookman Old Style" w:hAnsi="Bookman Old Style"/>
          <w:sz w:val="24"/>
          <w:szCs w:val="24"/>
          <w:lang w:val="id-ID"/>
        </w:rPr>
        <w:t>Kecamatan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Cibodas</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Rp</w:t>
      </w:r>
      <w:r w:rsidRPr="00B87134">
        <w:rPr>
          <w:rFonts w:ascii="Bookman Old Style" w:hAnsi="Bookman Old Style"/>
          <w:sz w:val="24"/>
          <w:szCs w:val="24"/>
          <w:lang w:val="id-ID"/>
        </w:rPr>
        <w:t>417.177.300,00</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atau</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0,01%</w:t>
      </w:r>
      <w:r w:rsidR="00A954D0" w:rsidRPr="003255BC">
        <w:rPr>
          <w:rFonts w:ascii="Bookman Old Style" w:hAnsi="Bookman Old Style"/>
          <w:sz w:val="24"/>
          <w:szCs w:val="24"/>
          <w:lang w:val="sv-FI"/>
        </w:rPr>
        <w:t xml:space="preserve"> </w:t>
      </w:r>
      <w:r w:rsidRPr="00B87134">
        <w:rPr>
          <w:rFonts w:ascii="Bookman Old Style" w:hAnsi="Bookman Old Style"/>
          <w:sz w:val="24"/>
          <w:szCs w:val="24"/>
          <w:lang w:val="id-ID"/>
        </w:rPr>
        <w:t>dari</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total</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belanja</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daerah</w:t>
      </w:r>
      <w:r w:rsidRPr="003255BC">
        <w:rPr>
          <w:rFonts w:ascii="Bookman Old Style" w:hAnsi="Bookman Old Style"/>
          <w:sz w:val="24"/>
          <w:szCs w:val="24"/>
          <w:lang w:val="sv-FI"/>
        </w:rPr>
        <w:t>;</w:t>
      </w:r>
    </w:p>
    <w:p w14:paraId="4D857BC0" w14:textId="7BC8050B" w:rsidR="00924A58" w:rsidRPr="003255BC" w:rsidRDefault="00924A58" w:rsidP="00600C12">
      <w:pPr>
        <w:pStyle w:val="ListParagraph"/>
        <w:numPr>
          <w:ilvl w:val="2"/>
          <w:numId w:val="99"/>
        </w:numPr>
        <w:spacing w:before="60" w:line="276" w:lineRule="auto"/>
        <w:ind w:left="2268" w:hanging="567"/>
        <w:jc w:val="both"/>
        <w:rPr>
          <w:rFonts w:ascii="Bookman Old Style" w:hAnsi="Bookman Old Style"/>
          <w:sz w:val="24"/>
          <w:szCs w:val="24"/>
          <w:lang w:val="sv-FI"/>
        </w:rPr>
      </w:pPr>
      <w:r w:rsidRPr="00B87134">
        <w:rPr>
          <w:rFonts w:ascii="Bookman Old Style" w:hAnsi="Bookman Old Style"/>
          <w:sz w:val="24"/>
          <w:szCs w:val="24"/>
          <w:lang w:val="id-ID"/>
        </w:rPr>
        <w:t>Kecamatan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Larangan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Rp</w:t>
      </w:r>
      <w:r w:rsidRPr="00B87134">
        <w:rPr>
          <w:rFonts w:ascii="Bookman Old Style" w:hAnsi="Bookman Old Style"/>
          <w:sz w:val="24"/>
          <w:szCs w:val="24"/>
          <w:lang w:val="id-ID"/>
        </w:rPr>
        <w:t>279.088.200,00</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atau</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0,005%</w:t>
      </w:r>
      <w:r w:rsidR="00A954D0" w:rsidRPr="003255BC">
        <w:rPr>
          <w:rFonts w:ascii="Bookman Old Style" w:hAnsi="Bookman Old Style"/>
          <w:sz w:val="24"/>
          <w:szCs w:val="24"/>
          <w:lang w:val="sv-FI"/>
        </w:rPr>
        <w:t xml:space="preserve"> </w:t>
      </w:r>
      <w:r w:rsidRPr="00B87134">
        <w:rPr>
          <w:rFonts w:ascii="Bookman Old Style" w:hAnsi="Bookman Old Style"/>
          <w:sz w:val="24"/>
          <w:szCs w:val="24"/>
          <w:lang w:val="id-ID"/>
        </w:rPr>
        <w:t>dari</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total</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belanja</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daerah</w:t>
      </w:r>
      <w:r w:rsidRPr="003255BC">
        <w:rPr>
          <w:rFonts w:ascii="Bookman Old Style" w:hAnsi="Bookman Old Style"/>
          <w:sz w:val="24"/>
          <w:szCs w:val="24"/>
          <w:lang w:val="sv-FI"/>
        </w:rPr>
        <w:t>;</w:t>
      </w:r>
    </w:p>
    <w:p w14:paraId="14E95603" w14:textId="361217BE" w:rsidR="00924A58" w:rsidRPr="003255BC" w:rsidRDefault="00924A58" w:rsidP="00600C12">
      <w:pPr>
        <w:pStyle w:val="ListParagraph"/>
        <w:numPr>
          <w:ilvl w:val="2"/>
          <w:numId w:val="99"/>
        </w:numPr>
        <w:spacing w:before="60" w:line="276" w:lineRule="auto"/>
        <w:ind w:left="2268" w:hanging="567"/>
        <w:jc w:val="both"/>
        <w:rPr>
          <w:rFonts w:ascii="Bookman Old Style" w:hAnsi="Bookman Old Style"/>
          <w:sz w:val="24"/>
          <w:szCs w:val="24"/>
          <w:lang w:val="sv-FI"/>
        </w:rPr>
      </w:pPr>
      <w:r w:rsidRPr="00B87134">
        <w:rPr>
          <w:rFonts w:ascii="Bookman Old Style" w:hAnsi="Bookman Old Style"/>
          <w:sz w:val="24"/>
          <w:szCs w:val="24"/>
          <w:lang w:val="id-ID"/>
        </w:rPr>
        <w:t>Kecamatan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Karang</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Tengah</w:t>
      </w:r>
      <w:r w:rsidR="00A954D0">
        <w:rPr>
          <w:rFonts w:ascii="Bookman Old Style" w:hAnsi="Bookman Old Style"/>
          <w:sz w:val="24"/>
          <w:szCs w:val="24"/>
          <w:lang w:val="id-ID"/>
        </w:rPr>
        <w:t xml:space="preserve"> </w:t>
      </w:r>
      <w:r w:rsidRPr="003255BC">
        <w:rPr>
          <w:rFonts w:ascii="Bookman Old Style" w:hAnsi="Bookman Old Style"/>
          <w:sz w:val="24"/>
          <w:szCs w:val="24"/>
          <w:lang w:val="sv-FI"/>
        </w:rPr>
        <w:t>Rp</w:t>
      </w:r>
      <w:r w:rsidRPr="00B87134">
        <w:rPr>
          <w:rFonts w:ascii="Bookman Old Style" w:hAnsi="Bookman Old Style"/>
          <w:sz w:val="24"/>
          <w:szCs w:val="24"/>
          <w:lang w:val="id-ID"/>
        </w:rPr>
        <w:t>205.965.000,00</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atau</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0,004%</w:t>
      </w:r>
      <w:r w:rsidR="00A954D0" w:rsidRPr="003255BC">
        <w:rPr>
          <w:rFonts w:ascii="Bookman Old Style" w:hAnsi="Bookman Old Style"/>
          <w:sz w:val="24"/>
          <w:szCs w:val="24"/>
          <w:lang w:val="sv-FI"/>
        </w:rPr>
        <w:t xml:space="preserve"> </w:t>
      </w:r>
      <w:r w:rsidRPr="00B87134">
        <w:rPr>
          <w:rFonts w:ascii="Bookman Old Style" w:hAnsi="Bookman Old Style"/>
          <w:sz w:val="24"/>
          <w:szCs w:val="24"/>
          <w:lang w:val="id-ID"/>
        </w:rPr>
        <w:t>dari</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total</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belanja</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daerah</w:t>
      </w:r>
      <w:r w:rsidRPr="003255BC">
        <w:rPr>
          <w:rFonts w:ascii="Bookman Old Style" w:hAnsi="Bookman Old Style"/>
          <w:sz w:val="24"/>
          <w:szCs w:val="24"/>
          <w:lang w:val="sv-FI"/>
        </w:rPr>
        <w:t>;</w:t>
      </w:r>
    </w:p>
    <w:p w14:paraId="56955BB9" w14:textId="35A8904E" w:rsidR="00924A58" w:rsidRPr="003255BC" w:rsidRDefault="00924A58" w:rsidP="00600C12">
      <w:pPr>
        <w:pStyle w:val="ListParagraph"/>
        <w:numPr>
          <w:ilvl w:val="2"/>
          <w:numId w:val="99"/>
        </w:numPr>
        <w:spacing w:before="60" w:line="276" w:lineRule="auto"/>
        <w:ind w:left="2268" w:hanging="567"/>
        <w:jc w:val="both"/>
        <w:rPr>
          <w:rFonts w:ascii="Bookman Old Style" w:hAnsi="Bookman Old Style"/>
          <w:sz w:val="24"/>
          <w:szCs w:val="24"/>
          <w:lang w:val="sv-FI"/>
        </w:rPr>
      </w:pPr>
      <w:r w:rsidRPr="00B87134">
        <w:rPr>
          <w:rFonts w:ascii="Bookman Old Style" w:hAnsi="Bookman Old Style"/>
          <w:sz w:val="24"/>
          <w:szCs w:val="24"/>
          <w:lang w:val="id-ID"/>
        </w:rPr>
        <w:t>Kecamatan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Neglasari</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Rp</w:t>
      </w:r>
      <w:r w:rsidRPr="00B87134">
        <w:rPr>
          <w:rFonts w:ascii="Bookman Old Style" w:hAnsi="Bookman Old Style"/>
          <w:sz w:val="24"/>
          <w:szCs w:val="24"/>
          <w:lang w:val="id-ID"/>
        </w:rPr>
        <w:t>423.282.100,00</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atau</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0,01%</w:t>
      </w:r>
      <w:r w:rsidR="00A954D0" w:rsidRPr="003255BC">
        <w:rPr>
          <w:rFonts w:ascii="Bookman Old Style" w:hAnsi="Bookman Old Style"/>
          <w:sz w:val="24"/>
          <w:szCs w:val="24"/>
          <w:lang w:val="sv-FI"/>
        </w:rPr>
        <w:t xml:space="preserve"> </w:t>
      </w:r>
      <w:r w:rsidRPr="00B87134">
        <w:rPr>
          <w:rFonts w:ascii="Bookman Old Style" w:hAnsi="Bookman Old Style"/>
          <w:sz w:val="24"/>
          <w:szCs w:val="24"/>
          <w:lang w:val="id-ID"/>
        </w:rPr>
        <w:t>dari</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total</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belanja</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daerah</w:t>
      </w:r>
      <w:r w:rsidRPr="003255BC">
        <w:rPr>
          <w:rFonts w:ascii="Bookman Old Style" w:hAnsi="Bookman Old Style"/>
          <w:sz w:val="24"/>
          <w:szCs w:val="24"/>
          <w:lang w:val="sv-FI"/>
        </w:rPr>
        <w:t>;</w:t>
      </w:r>
    </w:p>
    <w:p w14:paraId="3AECAF9C" w14:textId="63E46C20" w:rsidR="00924A58" w:rsidRPr="003255BC" w:rsidRDefault="00924A58" w:rsidP="00600C12">
      <w:pPr>
        <w:pStyle w:val="ListParagraph"/>
        <w:numPr>
          <w:ilvl w:val="2"/>
          <w:numId w:val="99"/>
        </w:numPr>
        <w:spacing w:before="60" w:line="276" w:lineRule="auto"/>
        <w:ind w:left="2268" w:hanging="567"/>
        <w:jc w:val="both"/>
        <w:rPr>
          <w:rFonts w:ascii="Bookman Old Style" w:hAnsi="Bookman Old Style"/>
          <w:sz w:val="24"/>
          <w:szCs w:val="24"/>
          <w:lang w:val="sv-FI"/>
        </w:rPr>
      </w:pPr>
      <w:r w:rsidRPr="00B87134">
        <w:rPr>
          <w:rFonts w:ascii="Bookman Old Style" w:hAnsi="Bookman Old Style"/>
          <w:sz w:val="24"/>
          <w:szCs w:val="24"/>
          <w:lang w:val="id-ID"/>
        </w:rPr>
        <w:t>Kecamatan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Karawaci</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Rp</w:t>
      </w:r>
      <w:r w:rsidRPr="00B87134">
        <w:rPr>
          <w:rFonts w:ascii="Bookman Old Style" w:hAnsi="Bookman Old Style"/>
          <w:sz w:val="24"/>
          <w:szCs w:val="24"/>
          <w:lang w:val="id-ID"/>
        </w:rPr>
        <w:t>630.154.200,00</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atau</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0,01%</w:t>
      </w:r>
      <w:r w:rsidR="00A954D0" w:rsidRPr="003255BC">
        <w:rPr>
          <w:rFonts w:ascii="Bookman Old Style" w:hAnsi="Bookman Old Style"/>
          <w:sz w:val="24"/>
          <w:szCs w:val="24"/>
          <w:lang w:val="sv-FI"/>
        </w:rPr>
        <w:t xml:space="preserve"> </w:t>
      </w:r>
      <w:r w:rsidRPr="00B87134">
        <w:rPr>
          <w:rFonts w:ascii="Bookman Old Style" w:hAnsi="Bookman Old Style"/>
          <w:sz w:val="24"/>
          <w:szCs w:val="24"/>
          <w:lang w:val="id-ID"/>
        </w:rPr>
        <w:t>dari</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total</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belanja</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daerah</w:t>
      </w:r>
      <w:r w:rsidRPr="003255BC">
        <w:rPr>
          <w:rFonts w:ascii="Bookman Old Style" w:hAnsi="Bookman Old Style"/>
          <w:sz w:val="24"/>
          <w:szCs w:val="24"/>
          <w:lang w:val="sv-FI"/>
        </w:rPr>
        <w:t>;</w:t>
      </w:r>
    </w:p>
    <w:p w14:paraId="2519C0A0" w14:textId="7A1C6C5C" w:rsidR="00924A58" w:rsidRPr="003255BC" w:rsidRDefault="00924A58" w:rsidP="00600C12">
      <w:pPr>
        <w:pStyle w:val="ListParagraph"/>
        <w:numPr>
          <w:ilvl w:val="2"/>
          <w:numId w:val="99"/>
        </w:numPr>
        <w:spacing w:before="60" w:line="276" w:lineRule="auto"/>
        <w:ind w:left="2268" w:hanging="567"/>
        <w:jc w:val="both"/>
        <w:rPr>
          <w:rFonts w:ascii="Bookman Old Style" w:hAnsi="Bookman Old Style"/>
          <w:sz w:val="24"/>
          <w:szCs w:val="24"/>
          <w:lang w:val="sv-FI"/>
        </w:rPr>
      </w:pPr>
      <w:r w:rsidRPr="00B87134">
        <w:rPr>
          <w:rFonts w:ascii="Bookman Old Style" w:hAnsi="Bookman Old Style"/>
          <w:sz w:val="24"/>
          <w:szCs w:val="24"/>
          <w:lang w:val="id-ID"/>
        </w:rPr>
        <w:t>Kecamatan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Jatiuwun</w:t>
      </w:r>
      <w:r w:rsidRPr="003255BC">
        <w:rPr>
          <w:rFonts w:ascii="Bookman Old Style" w:hAnsi="Bookman Old Style"/>
          <w:sz w:val="24"/>
          <w:szCs w:val="24"/>
          <w:lang w:val="sv-FI"/>
        </w:rPr>
        <w:t>g</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Rp</w:t>
      </w:r>
      <w:r w:rsidRPr="00B87134">
        <w:rPr>
          <w:rFonts w:ascii="Bookman Old Style" w:hAnsi="Bookman Old Style"/>
          <w:sz w:val="24"/>
          <w:szCs w:val="24"/>
          <w:lang w:val="id-ID"/>
        </w:rPr>
        <w:t>865.387.400,00</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atau</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0,02%</w:t>
      </w:r>
      <w:r w:rsidR="00A954D0" w:rsidRPr="003255BC">
        <w:rPr>
          <w:rFonts w:ascii="Bookman Old Style" w:hAnsi="Bookman Old Style"/>
          <w:sz w:val="24"/>
          <w:szCs w:val="24"/>
          <w:lang w:val="sv-FI"/>
        </w:rPr>
        <w:t xml:space="preserve"> </w:t>
      </w:r>
      <w:r w:rsidRPr="00B87134">
        <w:rPr>
          <w:rFonts w:ascii="Bookman Old Style" w:hAnsi="Bookman Old Style"/>
          <w:sz w:val="24"/>
          <w:szCs w:val="24"/>
          <w:lang w:val="id-ID"/>
        </w:rPr>
        <w:t>dari</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total</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belanja</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daerah</w:t>
      </w:r>
      <w:r w:rsidRPr="003255BC">
        <w:rPr>
          <w:rFonts w:ascii="Bookman Old Style" w:hAnsi="Bookman Old Style"/>
          <w:sz w:val="24"/>
          <w:szCs w:val="24"/>
          <w:lang w:val="sv-FI"/>
        </w:rPr>
        <w:t>;</w:t>
      </w:r>
    </w:p>
    <w:p w14:paraId="67FF8281" w14:textId="4C0CBD5C" w:rsidR="00924A58" w:rsidRPr="003255BC" w:rsidRDefault="00924A58" w:rsidP="00600C12">
      <w:pPr>
        <w:pStyle w:val="ListParagraph"/>
        <w:numPr>
          <w:ilvl w:val="2"/>
          <w:numId w:val="99"/>
        </w:numPr>
        <w:spacing w:before="60" w:line="276" w:lineRule="auto"/>
        <w:ind w:left="2268" w:hanging="567"/>
        <w:jc w:val="both"/>
        <w:rPr>
          <w:rFonts w:ascii="Bookman Old Style" w:hAnsi="Bookman Old Style"/>
          <w:sz w:val="24"/>
          <w:szCs w:val="24"/>
          <w:lang w:val="sv-FI"/>
        </w:rPr>
      </w:pPr>
      <w:r w:rsidRPr="00B87134">
        <w:rPr>
          <w:rFonts w:ascii="Bookman Old Style" w:hAnsi="Bookman Old Style"/>
          <w:sz w:val="24"/>
          <w:szCs w:val="24"/>
          <w:lang w:val="id-ID"/>
        </w:rPr>
        <w:t>Kecamatan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Periuk</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Rp</w:t>
      </w:r>
      <w:r w:rsidRPr="00B87134">
        <w:rPr>
          <w:rFonts w:ascii="Bookman Old Style" w:hAnsi="Bookman Old Style"/>
          <w:sz w:val="24"/>
          <w:szCs w:val="24"/>
          <w:lang w:val="id-ID"/>
        </w:rPr>
        <w:t>288.086.900,00</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atau</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0,01%</w:t>
      </w:r>
      <w:r w:rsidR="00A954D0" w:rsidRPr="003255BC">
        <w:rPr>
          <w:rFonts w:ascii="Bookman Old Style" w:hAnsi="Bookman Old Style"/>
          <w:sz w:val="24"/>
          <w:szCs w:val="24"/>
          <w:lang w:val="sv-FI"/>
        </w:rPr>
        <w:t xml:space="preserve"> </w:t>
      </w:r>
      <w:r w:rsidRPr="00B87134">
        <w:rPr>
          <w:rFonts w:ascii="Bookman Old Style" w:hAnsi="Bookman Old Style"/>
          <w:sz w:val="24"/>
          <w:szCs w:val="24"/>
          <w:lang w:val="id-ID"/>
        </w:rPr>
        <w:t>dari</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total</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belanja</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daerah</w:t>
      </w:r>
      <w:r w:rsidRPr="003255BC">
        <w:rPr>
          <w:rFonts w:ascii="Bookman Old Style" w:hAnsi="Bookman Old Style"/>
          <w:sz w:val="24"/>
          <w:szCs w:val="24"/>
          <w:lang w:val="sv-FI"/>
        </w:rPr>
        <w:t>;</w:t>
      </w:r>
    </w:p>
    <w:p w14:paraId="503E7A89" w14:textId="6051B844" w:rsidR="00924A58" w:rsidRPr="003255BC" w:rsidRDefault="00924A58" w:rsidP="00600C12">
      <w:pPr>
        <w:pStyle w:val="ListParagraph"/>
        <w:numPr>
          <w:ilvl w:val="2"/>
          <w:numId w:val="99"/>
        </w:numPr>
        <w:spacing w:before="60" w:line="276" w:lineRule="auto"/>
        <w:ind w:left="2268" w:hanging="567"/>
        <w:jc w:val="both"/>
        <w:rPr>
          <w:rFonts w:ascii="Bookman Old Style" w:hAnsi="Bookman Old Style"/>
          <w:sz w:val="24"/>
          <w:szCs w:val="24"/>
          <w:lang w:val="sv-FI"/>
        </w:rPr>
      </w:pPr>
      <w:r w:rsidRPr="00B87134">
        <w:rPr>
          <w:rFonts w:ascii="Bookman Old Style" w:hAnsi="Bookman Old Style"/>
          <w:sz w:val="24"/>
          <w:szCs w:val="24"/>
          <w:lang w:val="id-ID"/>
        </w:rPr>
        <w:t>Kecamatan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Pinang</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Rp</w:t>
      </w:r>
      <w:r w:rsidRPr="00B87134">
        <w:rPr>
          <w:rFonts w:ascii="Bookman Old Style" w:hAnsi="Bookman Old Style"/>
          <w:sz w:val="24"/>
          <w:szCs w:val="24"/>
          <w:lang w:val="id-ID"/>
        </w:rPr>
        <w:t>416.608.900,00</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atau</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0,01%</w:t>
      </w:r>
      <w:r w:rsidR="00A954D0" w:rsidRPr="003255BC">
        <w:rPr>
          <w:rFonts w:ascii="Bookman Old Style" w:hAnsi="Bookman Old Style"/>
          <w:sz w:val="24"/>
          <w:szCs w:val="24"/>
          <w:lang w:val="sv-FI"/>
        </w:rPr>
        <w:t xml:space="preserve"> </w:t>
      </w:r>
      <w:r w:rsidRPr="00B87134">
        <w:rPr>
          <w:rFonts w:ascii="Bookman Old Style" w:hAnsi="Bookman Old Style"/>
          <w:sz w:val="24"/>
          <w:szCs w:val="24"/>
          <w:lang w:val="id-ID"/>
        </w:rPr>
        <w:t>dari</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total</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belanja</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daerah</w:t>
      </w:r>
      <w:r w:rsidRPr="003255BC">
        <w:rPr>
          <w:rFonts w:ascii="Bookman Old Style" w:hAnsi="Bookman Old Style"/>
          <w:sz w:val="24"/>
          <w:szCs w:val="24"/>
          <w:lang w:val="sv-FI"/>
        </w:rPr>
        <w:t>.</w:t>
      </w:r>
    </w:p>
    <w:p w14:paraId="69666276" w14:textId="6FEF21AE" w:rsidR="009E7D10" w:rsidRPr="00B87134" w:rsidRDefault="00307645" w:rsidP="00600C12">
      <w:pPr>
        <w:pStyle w:val="ListParagraph"/>
        <w:spacing w:before="60" w:after="0" w:line="276" w:lineRule="auto"/>
        <w:ind w:left="1276"/>
        <w:contextualSpacing w:val="0"/>
        <w:jc w:val="both"/>
        <w:rPr>
          <w:rFonts w:ascii="Bookman Old Style" w:hAnsi="Bookman Old Style" w:cs="Arial"/>
          <w:sz w:val="24"/>
          <w:szCs w:val="24"/>
          <w:lang w:val="id-ID"/>
        </w:rPr>
      </w:pPr>
      <w:r w:rsidRPr="00B87134">
        <w:rPr>
          <w:rFonts w:ascii="Bookman Old Style" w:hAnsi="Bookman Old Style"/>
          <w:sz w:val="24"/>
          <w:szCs w:val="24"/>
          <w:lang w:val="id-ID"/>
        </w:rPr>
        <w:t>Sehubungan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dengan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hal</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tersebut,</w:t>
      </w:r>
      <w:r w:rsidR="00A954D0">
        <w:rPr>
          <w:rFonts w:ascii="Bookman Old Style" w:hAnsi="Bookman Old Style"/>
          <w:sz w:val="24"/>
          <w:szCs w:val="24"/>
          <w:lang w:val="id-ID"/>
        </w:rPr>
        <w:t xml:space="preserve"> </w:t>
      </w:r>
      <w:r w:rsidR="00D332AD" w:rsidRPr="00B87134">
        <w:rPr>
          <w:rFonts w:ascii="Bookman Old Style" w:hAnsi="Bookman Old Style"/>
          <w:sz w:val="24"/>
          <w:szCs w:val="24"/>
          <w:lang w:val="id-ID"/>
        </w:rPr>
        <w:t>Pemerintah</w:t>
      </w:r>
      <w:r w:rsidR="00A954D0">
        <w:rPr>
          <w:rFonts w:ascii="Bookman Old Style" w:hAnsi="Bookman Old Style"/>
          <w:sz w:val="24"/>
          <w:szCs w:val="24"/>
          <w:lang w:val="id-ID"/>
        </w:rPr>
        <w:t xml:space="preserve"> </w:t>
      </w:r>
      <w:r w:rsidR="00D332AD" w:rsidRPr="00B87134">
        <w:rPr>
          <w:rFonts w:ascii="Bookman Old Style" w:hAnsi="Bookman Old Style"/>
          <w:sz w:val="24"/>
          <w:szCs w:val="24"/>
          <w:lang w:val="id-ID"/>
        </w:rPr>
        <w:t>Daerah</w:t>
      </w:r>
      <w:r w:rsidR="00A954D0">
        <w:rPr>
          <w:rFonts w:ascii="Bookman Old Style" w:hAnsi="Bookman Old Style"/>
          <w:sz w:val="24"/>
          <w:szCs w:val="24"/>
          <w:lang w:val="id-ID"/>
        </w:rPr>
        <w:t xml:space="preserve"> </w:t>
      </w:r>
      <w:r w:rsidR="00D332AD" w:rsidRPr="00B87134">
        <w:rPr>
          <w:rFonts w:ascii="Bookman Old Style" w:hAnsi="Bookman Old Style"/>
          <w:sz w:val="24"/>
          <w:szCs w:val="24"/>
          <w:lang w:val="fi-FI"/>
        </w:rPr>
        <w:t>Kota</w:t>
      </w:r>
      <w:r w:rsidR="00A954D0">
        <w:rPr>
          <w:rFonts w:ascii="Bookman Old Style" w:hAnsi="Bookman Old Style"/>
          <w:sz w:val="24"/>
          <w:szCs w:val="24"/>
          <w:lang w:val="fi-FI"/>
        </w:rPr>
        <w:t xml:space="preserve"> </w:t>
      </w:r>
      <w:r w:rsidR="00770F22" w:rsidRPr="00B87134">
        <w:rPr>
          <w:rFonts w:ascii="Bookman Old Style" w:hAnsi="Bookman Old Style"/>
          <w:sz w:val="24"/>
          <w:szCs w:val="24"/>
          <w:lang w:val="fi-FI"/>
        </w:rPr>
        <w:t>Tangerang</w:t>
      </w:r>
      <w:r w:rsidR="00A954D0">
        <w:rPr>
          <w:rFonts w:ascii="Bookman Old Style" w:hAnsi="Bookman Old Style"/>
          <w:sz w:val="24"/>
          <w:szCs w:val="24"/>
          <w:lang w:val="fi-FI"/>
        </w:rPr>
        <w:t xml:space="preserve"> </w:t>
      </w:r>
      <w:r w:rsidRPr="00B87134">
        <w:rPr>
          <w:rFonts w:ascii="Bookman Old Style" w:hAnsi="Bookman Old Style"/>
          <w:sz w:val="24"/>
          <w:szCs w:val="24"/>
          <w:lang w:val="fi-FI"/>
        </w:rPr>
        <w:t>agar</w:t>
      </w:r>
      <w:r w:rsidR="00A954D0">
        <w:rPr>
          <w:rFonts w:ascii="Bookman Old Style" w:hAnsi="Bookman Old Style"/>
          <w:sz w:val="24"/>
          <w:szCs w:val="24"/>
          <w:lang w:val="fi-FI"/>
        </w:rPr>
        <w:t xml:space="preserve"> </w:t>
      </w:r>
      <w:r w:rsidR="00D332AD" w:rsidRPr="00B87134">
        <w:rPr>
          <w:rFonts w:ascii="Bookman Old Style" w:hAnsi="Bookman Old Style"/>
          <w:sz w:val="24"/>
          <w:szCs w:val="24"/>
          <w:lang w:val="id-ID"/>
        </w:rPr>
        <w:t>menyediakan</w:t>
      </w:r>
      <w:r w:rsidR="00A954D0">
        <w:rPr>
          <w:rFonts w:ascii="Bookman Old Style" w:hAnsi="Bookman Old Style"/>
          <w:sz w:val="24"/>
          <w:szCs w:val="24"/>
          <w:lang w:val="id-ID"/>
        </w:rPr>
        <w:t xml:space="preserve"> </w:t>
      </w:r>
      <w:r w:rsidR="00D332AD" w:rsidRPr="00B87134">
        <w:rPr>
          <w:rFonts w:ascii="Bookman Old Style" w:hAnsi="Bookman Old Style"/>
          <w:sz w:val="24"/>
          <w:szCs w:val="24"/>
          <w:lang w:val="id-ID"/>
        </w:rPr>
        <w:t>alokasi</w:t>
      </w:r>
      <w:r w:rsidR="00A954D0">
        <w:rPr>
          <w:rFonts w:ascii="Bookman Old Style" w:hAnsi="Bookman Old Style"/>
          <w:sz w:val="24"/>
          <w:szCs w:val="24"/>
          <w:lang w:val="id-ID"/>
        </w:rPr>
        <w:t xml:space="preserve"> </w:t>
      </w:r>
      <w:r w:rsidR="00D332AD" w:rsidRPr="00B87134">
        <w:rPr>
          <w:rFonts w:ascii="Bookman Old Style" w:hAnsi="Bookman Old Style"/>
          <w:sz w:val="24"/>
          <w:szCs w:val="24"/>
          <w:lang w:val="id-ID"/>
        </w:rPr>
        <w:t>anggaran</w:t>
      </w:r>
      <w:r w:rsidR="00A954D0">
        <w:rPr>
          <w:rFonts w:ascii="Bookman Old Style" w:hAnsi="Bookman Old Style"/>
          <w:sz w:val="24"/>
          <w:szCs w:val="24"/>
          <w:lang w:val="id-ID"/>
        </w:rPr>
        <w:t xml:space="preserve"> </w:t>
      </w:r>
      <w:r w:rsidR="00D332AD" w:rsidRPr="00B87134">
        <w:rPr>
          <w:rFonts w:ascii="Bookman Old Style" w:hAnsi="Bookman Old Style"/>
          <w:sz w:val="24"/>
          <w:szCs w:val="24"/>
          <w:lang w:val="id-ID"/>
        </w:rPr>
        <w:t>yang</w:t>
      </w:r>
      <w:r w:rsidR="00A954D0">
        <w:rPr>
          <w:rFonts w:ascii="Bookman Old Style" w:hAnsi="Bookman Old Style"/>
          <w:sz w:val="24"/>
          <w:szCs w:val="24"/>
          <w:lang w:val="id-ID"/>
        </w:rPr>
        <w:t xml:space="preserve"> </w:t>
      </w:r>
      <w:r w:rsidR="00D332AD" w:rsidRPr="00B87134">
        <w:rPr>
          <w:rFonts w:ascii="Bookman Old Style" w:hAnsi="Bookman Old Style"/>
          <w:sz w:val="24"/>
          <w:szCs w:val="24"/>
          <w:lang w:val="id-ID"/>
        </w:rPr>
        <w:t>memadai</w:t>
      </w:r>
      <w:r w:rsidR="00A954D0">
        <w:rPr>
          <w:rFonts w:ascii="Bookman Old Style" w:hAnsi="Bookman Old Style"/>
          <w:sz w:val="24"/>
          <w:szCs w:val="24"/>
          <w:lang w:val="id-ID"/>
        </w:rPr>
        <w:t xml:space="preserve"> </w:t>
      </w:r>
      <w:r w:rsidR="00D332AD" w:rsidRPr="00B87134">
        <w:rPr>
          <w:rFonts w:ascii="Bookman Old Style" w:hAnsi="Bookman Old Style" w:cs="Arial"/>
          <w:sz w:val="24"/>
          <w:szCs w:val="24"/>
          <w:lang w:val="id-ID"/>
        </w:rPr>
        <w:t>dalam</w:t>
      </w:r>
      <w:r w:rsidR="00A954D0">
        <w:rPr>
          <w:rFonts w:ascii="Bookman Old Style" w:hAnsi="Bookman Old Style" w:cs="Arial"/>
          <w:sz w:val="24"/>
          <w:szCs w:val="24"/>
          <w:lang w:val="id-ID"/>
        </w:rPr>
        <w:t xml:space="preserve"> </w:t>
      </w:r>
      <w:r w:rsidR="00D332AD" w:rsidRPr="00B87134">
        <w:rPr>
          <w:rFonts w:ascii="Bookman Old Style" w:hAnsi="Bookman Old Style"/>
          <w:sz w:val="24"/>
          <w:szCs w:val="24"/>
        </w:rPr>
        <w:t>Rancangan</w:t>
      </w:r>
      <w:r w:rsidR="00A954D0">
        <w:rPr>
          <w:rFonts w:ascii="Bookman Old Style" w:hAnsi="Bookman Old Style"/>
          <w:sz w:val="24"/>
          <w:szCs w:val="24"/>
        </w:rPr>
        <w:t xml:space="preserve"> </w:t>
      </w:r>
      <w:r w:rsidR="00D332AD" w:rsidRPr="00B87134">
        <w:rPr>
          <w:rFonts w:ascii="Bookman Old Style" w:hAnsi="Bookman Old Style"/>
          <w:sz w:val="24"/>
          <w:szCs w:val="24"/>
        </w:rPr>
        <w:t>Peraturan</w:t>
      </w:r>
      <w:r w:rsidR="00A954D0">
        <w:rPr>
          <w:rFonts w:ascii="Bookman Old Style" w:hAnsi="Bookman Old Style"/>
          <w:sz w:val="24"/>
          <w:szCs w:val="24"/>
        </w:rPr>
        <w:t xml:space="preserve"> </w:t>
      </w:r>
      <w:r w:rsidR="00D332AD" w:rsidRPr="00B87134">
        <w:rPr>
          <w:rFonts w:ascii="Bookman Old Style" w:hAnsi="Bookman Old Style"/>
          <w:sz w:val="24"/>
          <w:szCs w:val="24"/>
        </w:rPr>
        <w:t>Daerah</w:t>
      </w:r>
      <w:r w:rsidR="00A954D0">
        <w:rPr>
          <w:rFonts w:ascii="Bookman Old Style" w:hAnsi="Bookman Old Style"/>
          <w:sz w:val="24"/>
          <w:szCs w:val="24"/>
        </w:rPr>
        <w:t xml:space="preserve"> </w:t>
      </w:r>
      <w:r w:rsidR="00D332AD" w:rsidRPr="00B87134">
        <w:rPr>
          <w:rFonts w:ascii="Bookman Old Style" w:hAnsi="Bookman Old Style"/>
          <w:sz w:val="24"/>
          <w:szCs w:val="24"/>
          <w:lang w:val="fi-FI"/>
        </w:rPr>
        <w:t>Kota</w:t>
      </w:r>
      <w:r w:rsidR="00A954D0">
        <w:rPr>
          <w:rFonts w:ascii="Bookman Old Style" w:hAnsi="Bookman Old Style"/>
          <w:sz w:val="24"/>
          <w:szCs w:val="24"/>
          <w:lang w:val="fi-FI"/>
        </w:rPr>
        <w:t xml:space="preserve"> </w:t>
      </w:r>
      <w:r w:rsidR="00770F22" w:rsidRPr="00B87134">
        <w:rPr>
          <w:rFonts w:ascii="Bookman Old Style" w:hAnsi="Bookman Old Style"/>
          <w:sz w:val="24"/>
          <w:szCs w:val="24"/>
          <w:lang w:val="fi-FI"/>
        </w:rPr>
        <w:t>Tangerang</w:t>
      </w:r>
      <w:r w:rsidR="00A954D0">
        <w:rPr>
          <w:rFonts w:ascii="Bookman Old Style" w:hAnsi="Bookman Old Style"/>
          <w:sz w:val="24"/>
          <w:szCs w:val="24"/>
          <w:lang w:val="fi-FI"/>
        </w:rPr>
        <w:t xml:space="preserve"> </w:t>
      </w:r>
      <w:r w:rsidR="00D332AD" w:rsidRPr="00B87134">
        <w:rPr>
          <w:rFonts w:ascii="Bookman Old Style" w:hAnsi="Bookman Old Style" w:cs="Arial"/>
          <w:sz w:val="24"/>
          <w:szCs w:val="24"/>
          <w:lang w:val="id-ID"/>
        </w:rPr>
        <w:t>tentang</w:t>
      </w:r>
      <w:r w:rsidR="00A954D0">
        <w:rPr>
          <w:rFonts w:ascii="Bookman Old Style" w:hAnsi="Bookman Old Style" w:cs="Arial"/>
          <w:sz w:val="24"/>
          <w:szCs w:val="24"/>
          <w:lang w:val="id-ID"/>
        </w:rPr>
        <w:t xml:space="preserve"> </w:t>
      </w:r>
      <w:r w:rsidR="00D332AD" w:rsidRPr="00B87134">
        <w:rPr>
          <w:rFonts w:ascii="Bookman Old Style" w:hAnsi="Bookman Old Style"/>
          <w:sz w:val="24"/>
          <w:szCs w:val="24"/>
          <w:lang w:val="id-ID"/>
        </w:rPr>
        <w:t>APBD</w:t>
      </w:r>
      <w:r w:rsidR="00A954D0">
        <w:rPr>
          <w:rFonts w:ascii="Bookman Old Style" w:hAnsi="Bookman Old Style"/>
          <w:sz w:val="24"/>
          <w:szCs w:val="24"/>
          <w:lang w:val="id-ID"/>
        </w:rPr>
        <w:t xml:space="preserve"> </w:t>
      </w:r>
      <w:r w:rsidR="00D332AD" w:rsidRPr="00B87134">
        <w:rPr>
          <w:rFonts w:ascii="Bookman Old Style" w:hAnsi="Bookman Old Style"/>
          <w:sz w:val="24"/>
          <w:szCs w:val="24"/>
          <w:lang w:val="id-ID"/>
        </w:rPr>
        <w:t>Tahun</w:t>
      </w:r>
      <w:r w:rsidR="00A954D0">
        <w:rPr>
          <w:rFonts w:ascii="Bookman Old Style" w:hAnsi="Bookman Old Style"/>
          <w:sz w:val="24"/>
          <w:szCs w:val="24"/>
          <w:lang w:val="id-ID"/>
        </w:rPr>
        <w:t xml:space="preserve"> </w:t>
      </w:r>
      <w:r w:rsidR="00D332AD" w:rsidRPr="00B87134">
        <w:rPr>
          <w:rFonts w:ascii="Bookman Old Style" w:hAnsi="Bookman Old Style"/>
          <w:sz w:val="24"/>
          <w:szCs w:val="24"/>
          <w:lang w:val="id-ID"/>
        </w:rPr>
        <w:t>Anggaran</w:t>
      </w:r>
      <w:r w:rsidR="00A954D0">
        <w:rPr>
          <w:rFonts w:ascii="Bookman Old Style" w:hAnsi="Bookman Old Style"/>
          <w:sz w:val="24"/>
          <w:szCs w:val="24"/>
          <w:lang w:val="id-ID"/>
        </w:rPr>
        <w:t xml:space="preserve"> </w:t>
      </w:r>
      <w:r w:rsidR="00D332AD" w:rsidRPr="00B87134">
        <w:rPr>
          <w:rFonts w:ascii="Bookman Old Style" w:hAnsi="Bookman Old Style"/>
          <w:sz w:val="24"/>
          <w:szCs w:val="24"/>
          <w:lang w:val="id-ID"/>
        </w:rPr>
        <w:t>202</w:t>
      </w:r>
      <w:r w:rsidR="00D332AD" w:rsidRPr="00B87134">
        <w:rPr>
          <w:rFonts w:ascii="Bookman Old Style" w:hAnsi="Bookman Old Style"/>
          <w:sz w:val="24"/>
          <w:szCs w:val="24"/>
          <w:lang w:val="sv-FI"/>
        </w:rPr>
        <w:t>5</w:t>
      </w:r>
      <w:r w:rsidR="00A954D0">
        <w:rPr>
          <w:rFonts w:ascii="Bookman Old Style" w:hAnsi="Bookman Old Style"/>
          <w:sz w:val="24"/>
          <w:szCs w:val="24"/>
          <w:lang w:val="id-ID"/>
        </w:rPr>
        <w:t xml:space="preserve"> </w:t>
      </w:r>
      <w:r w:rsidR="00D332AD" w:rsidRPr="00B87134">
        <w:rPr>
          <w:rFonts w:ascii="Bookman Old Style" w:hAnsi="Bookman Old Style"/>
          <w:sz w:val="24"/>
          <w:szCs w:val="24"/>
          <w:lang w:val="id-ID"/>
        </w:rPr>
        <w:t>guna</w:t>
      </w:r>
      <w:r w:rsidR="00A954D0">
        <w:rPr>
          <w:rFonts w:ascii="Bookman Old Style" w:hAnsi="Bookman Old Style"/>
          <w:sz w:val="24"/>
          <w:szCs w:val="24"/>
          <w:lang w:val="id-ID"/>
        </w:rPr>
        <w:t xml:space="preserve"> </w:t>
      </w:r>
      <w:r w:rsidR="00D332AD" w:rsidRPr="00B87134">
        <w:rPr>
          <w:rFonts w:ascii="Bookman Old Style" w:hAnsi="Bookman Old Style"/>
          <w:sz w:val="24"/>
          <w:szCs w:val="24"/>
          <w:lang w:val="id-ID"/>
        </w:rPr>
        <w:t>mendukung</w:t>
      </w:r>
      <w:r w:rsidR="00A954D0">
        <w:rPr>
          <w:rFonts w:ascii="Bookman Old Style" w:hAnsi="Bookman Old Style"/>
          <w:sz w:val="24"/>
          <w:szCs w:val="24"/>
          <w:lang w:val="id-ID"/>
        </w:rPr>
        <w:t xml:space="preserve"> </w:t>
      </w:r>
      <w:r w:rsidR="00D332AD" w:rsidRPr="00B87134">
        <w:rPr>
          <w:rFonts w:ascii="Bookman Old Style" w:hAnsi="Bookman Old Style"/>
          <w:sz w:val="24"/>
          <w:szCs w:val="24"/>
          <w:lang w:val="id-ID"/>
        </w:rPr>
        <w:t>pembinaan</w:t>
      </w:r>
      <w:r w:rsidR="00A954D0">
        <w:rPr>
          <w:rFonts w:ascii="Bookman Old Style" w:hAnsi="Bookman Old Style"/>
          <w:sz w:val="24"/>
          <w:szCs w:val="24"/>
          <w:lang w:val="id-ID"/>
        </w:rPr>
        <w:t xml:space="preserve"> </w:t>
      </w:r>
      <w:r w:rsidR="00D332AD" w:rsidRPr="00B87134">
        <w:rPr>
          <w:rFonts w:ascii="Bookman Old Style" w:hAnsi="Bookman Old Style"/>
          <w:sz w:val="24"/>
          <w:szCs w:val="24"/>
          <w:lang w:val="id-ID"/>
        </w:rPr>
        <w:t>ideologi</w:t>
      </w:r>
      <w:r w:rsidR="00A954D0">
        <w:rPr>
          <w:rFonts w:ascii="Bookman Old Style" w:hAnsi="Bookman Old Style"/>
          <w:sz w:val="24"/>
          <w:szCs w:val="24"/>
          <w:lang w:val="id-ID"/>
        </w:rPr>
        <w:t xml:space="preserve"> </w:t>
      </w:r>
      <w:r w:rsidR="00D332AD" w:rsidRPr="00B87134">
        <w:rPr>
          <w:rFonts w:ascii="Bookman Old Style" w:hAnsi="Bookman Old Style"/>
          <w:sz w:val="24"/>
          <w:szCs w:val="24"/>
          <w:lang w:val="id-ID"/>
        </w:rPr>
        <w:t>pancasila</w:t>
      </w:r>
      <w:r w:rsidR="00A954D0">
        <w:rPr>
          <w:rFonts w:ascii="Bookman Old Style" w:hAnsi="Bookman Old Style"/>
          <w:sz w:val="24"/>
          <w:szCs w:val="24"/>
          <w:lang w:val="id-ID"/>
        </w:rPr>
        <w:t xml:space="preserve"> </w:t>
      </w:r>
      <w:r w:rsidR="00D332AD" w:rsidRPr="00B87134">
        <w:rPr>
          <w:rFonts w:ascii="Bookman Old Style" w:hAnsi="Bookman Old Style"/>
          <w:sz w:val="24"/>
          <w:szCs w:val="24"/>
          <w:lang w:val="id-ID"/>
        </w:rPr>
        <w:t>pada</w:t>
      </w:r>
      <w:r w:rsidR="00A954D0">
        <w:rPr>
          <w:rFonts w:ascii="Bookman Old Style" w:hAnsi="Bookman Old Style"/>
          <w:sz w:val="24"/>
          <w:szCs w:val="24"/>
          <w:lang w:val="id-ID"/>
        </w:rPr>
        <w:t xml:space="preserve"> </w:t>
      </w:r>
      <w:r w:rsidR="00D332AD" w:rsidRPr="00B87134">
        <w:rPr>
          <w:rFonts w:ascii="Bookman Old Style" w:hAnsi="Bookman Old Style"/>
          <w:sz w:val="24"/>
          <w:szCs w:val="24"/>
          <w:lang w:val="id-ID"/>
        </w:rPr>
        <w:t>generasi</w:t>
      </w:r>
      <w:r w:rsidR="00A954D0">
        <w:rPr>
          <w:rFonts w:ascii="Bookman Old Style" w:hAnsi="Bookman Old Style"/>
          <w:sz w:val="24"/>
          <w:szCs w:val="24"/>
          <w:lang w:val="id-ID"/>
        </w:rPr>
        <w:t xml:space="preserve"> </w:t>
      </w:r>
      <w:r w:rsidR="00D332AD" w:rsidRPr="00B87134">
        <w:rPr>
          <w:rFonts w:ascii="Bookman Old Style" w:hAnsi="Bookman Old Style"/>
          <w:sz w:val="24"/>
          <w:szCs w:val="24"/>
          <w:lang w:val="id-ID"/>
        </w:rPr>
        <w:t>muda</w:t>
      </w:r>
      <w:r w:rsidR="00A954D0">
        <w:rPr>
          <w:rFonts w:ascii="Bookman Old Style" w:hAnsi="Bookman Old Style"/>
          <w:sz w:val="24"/>
          <w:szCs w:val="24"/>
          <w:lang w:val="id-ID"/>
        </w:rPr>
        <w:t xml:space="preserve"> </w:t>
      </w:r>
      <w:r w:rsidR="00D332AD" w:rsidRPr="00B87134">
        <w:rPr>
          <w:rFonts w:ascii="Bookman Old Style" w:hAnsi="Bookman Old Style"/>
          <w:sz w:val="24"/>
          <w:szCs w:val="24"/>
          <w:lang w:val="id-ID"/>
        </w:rPr>
        <w:t>dengan</w:t>
      </w:r>
      <w:r w:rsidR="00A954D0">
        <w:rPr>
          <w:rFonts w:ascii="Bookman Old Style" w:hAnsi="Bookman Old Style"/>
          <w:sz w:val="24"/>
          <w:szCs w:val="24"/>
          <w:lang w:val="id-ID"/>
        </w:rPr>
        <w:t xml:space="preserve"> </w:t>
      </w:r>
      <w:r w:rsidR="00D332AD" w:rsidRPr="00B87134">
        <w:rPr>
          <w:rFonts w:ascii="Bookman Old Style" w:hAnsi="Bookman Old Style"/>
          <w:sz w:val="24"/>
          <w:szCs w:val="24"/>
          <w:lang w:val="id-ID"/>
        </w:rPr>
        <w:t>memastikan</w:t>
      </w:r>
      <w:r w:rsidR="00A954D0">
        <w:rPr>
          <w:rFonts w:ascii="Bookman Old Style" w:hAnsi="Bookman Old Style"/>
          <w:sz w:val="24"/>
          <w:szCs w:val="24"/>
          <w:lang w:val="id-ID"/>
        </w:rPr>
        <w:t xml:space="preserve"> </w:t>
      </w:r>
      <w:r w:rsidR="00D332AD" w:rsidRPr="00B87134">
        <w:rPr>
          <w:rFonts w:ascii="Bookman Old Style" w:hAnsi="Bookman Old Style"/>
          <w:sz w:val="24"/>
          <w:szCs w:val="24"/>
          <w:lang w:val="id-ID"/>
        </w:rPr>
        <w:lastRenderedPageBreak/>
        <w:t>tercapainya</w:t>
      </w:r>
      <w:r w:rsidR="00A954D0">
        <w:rPr>
          <w:rFonts w:ascii="Bookman Old Style" w:hAnsi="Bookman Old Style"/>
          <w:sz w:val="24"/>
          <w:szCs w:val="24"/>
          <w:lang w:val="id-ID"/>
        </w:rPr>
        <w:t xml:space="preserve"> </w:t>
      </w:r>
      <w:r w:rsidR="00D332AD" w:rsidRPr="00B87134">
        <w:rPr>
          <w:rFonts w:ascii="Bookman Old Style" w:hAnsi="Bookman Old Style"/>
          <w:sz w:val="24"/>
          <w:szCs w:val="24"/>
          <w:lang w:val="id-ID"/>
        </w:rPr>
        <w:t>keluaran</w:t>
      </w:r>
      <w:r w:rsidR="00A954D0">
        <w:rPr>
          <w:rFonts w:ascii="Bookman Old Style" w:hAnsi="Bookman Old Style"/>
          <w:sz w:val="24"/>
          <w:szCs w:val="24"/>
          <w:lang w:val="id-ID"/>
        </w:rPr>
        <w:t xml:space="preserve"> </w:t>
      </w:r>
      <w:r w:rsidR="00D332AD" w:rsidRPr="00B87134">
        <w:rPr>
          <w:rFonts w:ascii="Bookman Old Style" w:hAnsi="Bookman Old Style"/>
          <w:sz w:val="24"/>
          <w:szCs w:val="24"/>
          <w:lang w:val="id-ID"/>
        </w:rPr>
        <w:t>dari</w:t>
      </w:r>
      <w:r w:rsidR="00A954D0">
        <w:rPr>
          <w:rFonts w:ascii="Bookman Old Style" w:hAnsi="Bookman Old Style"/>
          <w:sz w:val="24"/>
          <w:szCs w:val="24"/>
          <w:lang w:val="id-ID"/>
        </w:rPr>
        <w:t xml:space="preserve"> </w:t>
      </w:r>
      <w:r w:rsidR="00D332AD" w:rsidRPr="00B87134">
        <w:rPr>
          <w:rFonts w:ascii="Bookman Old Style" w:hAnsi="Bookman Old Style"/>
          <w:sz w:val="24"/>
          <w:szCs w:val="24"/>
          <w:lang w:val="id-ID"/>
        </w:rPr>
        <w:t>aktivitas</w:t>
      </w:r>
      <w:r w:rsidR="00A954D0">
        <w:rPr>
          <w:rFonts w:ascii="Bookman Old Style" w:hAnsi="Bookman Old Style"/>
          <w:sz w:val="24"/>
          <w:szCs w:val="24"/>
          <w:lang w:val="id-ID"/>
        </w:rPr>
        <w:t xml:space="preserve"> </w:t>
      </w:r>
      <w:r w:rsidR="00D332AD" w:rsidRPr="00B87134">
        <w:rPr>
          <w:rFonts w:ascii="Bookman Old Style" w:hAnsi="Bookman Old Style"/>
          <w:sz w:val="24"/>
          <w:szCs w:val="24"/>
          <w:lang w:val="id-ID"/>
        </w:rPr>
        <w:t>sub</w:t>
      </w:r>
      <w:r w:rsidR="00A954D0">
        <w:rPr>
          <w:rFonts w:ascii="Bookman Old Style" w:hAnsi="Bookman Old Style"/>
          <w:sz w:val="24"/>
          <w:szCs w:val="24"/>
          <w:lang w:val="id-ID"/>
        </w:rPr>
        <w:t xml:space="preserve"> </w:t>
      </w:r>
      <w:r w:rsidR="00D332AD" w:rsidRPr="00B87134">
        <w:rPr>
          <w:rFonts w:ascii="Bookman Old Style" w:hAnsi="Bookman Old Style"/>
          <w:sz w:val="24"/>
          <w:szCs w:val="24"/>
          <w:lang w:val="id-ID"/>
        </w:rPr>
        <w:t>kegiatan</w:t>
      </w:r>
      <w:r w:rsidR="00A954D0">
        <w:rPr>
          <w:rFonts w:ascii="Bookman Old Style" w:hAnsi="Bookman Old Style"/>
          <w:sz w:val="24"/>
          <w:szCs w:val="24"/>
          <w:lang w:val="sv-FI"/>
        </w:rPr>
        <w:t xml:space="preserve"> </w:t>
      </w:r>
      <w:r w:rsidR="00D332AD" w:rsidRPr="00B87134">
        <w:rPr>
          <w:rFonts w:ascii="Bookman Old Style" w:hAnsi="Bookman Old Style"/>
          <w:sz w:val="24"/>
          <w:szCs w:val="24"/>
          <w:lang w:val="sv-FI"/>
        </w:rPr>
        <w:t>dimaksud</w:t>
      </w:r>
      <w:r w:rsidR="00D332AD" w:rsidRPr="00B87134">
        <w:rPr>
          <w:rFonts w:ascii="Bookman Old Style" w:hAnsi="Bookman Old Style"/>
          <w:sz w:val="24"/>
          <w:szCs w:val="24"/>
          <w:lang w:val="id-ID"/>
        </w:rPr>
        <w:t>,</w:t>
      </w:r>
      <w:r w:rsidR="00A954D0">
        <w:rPr>
          <w:rFonts w:ascii="Bookman Old Style" w:hAnsi="Bookman Old Style"/>
          <w:sz w:val="24"/>
          <w:szCs w:val="24"/>
          <w:lang w:val="id-ID"/>
        </w:rPr>
        <w:t xml:space="preserve"> </w:t>
      </w:r>
      <w:r w:rsidR="00D332AD" w:rsidRPr="00B87134">
        <w:rPr>
          <w:rFonts w:ascii="Bookman Old Style" w:hAnsi="Bookman Old Style"/>
          <w:sz w:val="24"/>
          <w:szCs w:val="24"/>
          <w:lang w:val="id-ID"/>
        </w:rPr>
        <w:t>sebagaimana</w:t>
      </w:r>
      <w:r w:rsidR="00A954D0">
        <w:rPr>
          <w:rFonts w:ascii="Bookman Old Style" w:hAnsi="Bookman Old Style"/>
          <w:sz w:val="24"/>
          <w:szCs w:val="24"/>
          <w:lang w:val="id-ID"/>
        </w:rPr>
        <w:t xml:space="preserve"> </w:t>
      </w:r>
      <w:r w:rsidR="00D332AD" w:rsidRPr="00B87134">
        <w:rPr>
          <w:rFonts w:ascii="Bookman Old Style" w:hAnsi="Bookman Old Style"/>
          <w:sz w:val="24"/>
          <w:szCs w:val="24"/>
          <w:lang w:val="id-ID"/>
        </w:rPr>
        <w:t>amanat</w:t>
      </w:r>
      <w:r w:rsidR="00A954D0">
        <w:rPr>
          <w:rFonts w:ascii="Bookman Old Style" w:hAnsi="Bookman Old Style"/>
          <w:sz w:val="24"/>
          <w:szCs w:val="24"/>
          <w:lang w:val="id-ID"/>
        </w:rPr>
        <w:t xml:space="preserve"> </w:t>
      </w:r>
      <w:r w:rsidR="00D332AD" w:rsidRPr="00B87134">
        <w:rPr>
          <w:rFonts w:ascii="Bookman Old Style" w:hAnsi="Bookman Old Style"/>
          <w:sz w:val="24"/>
          <w:szCs w:val="24"/>
          <w:lang w:val="id-ID"/>
        </w:rPr>
        <w:t>Peraturan</w:t>
      </w:r>
      <w:r w:rsidR="00A954D0">
        <w:rPr>
          <w:rFonts w:ascii="Bookman Old Style" w:hAnsi="Bookman Old Style"/>
          <w:sz w:val="24"/>
          <w:szCs w:val="24"/>
          <w:lang w:val="id-ID"/>
        </w:rPr>
        <w:t xml:space="preserve"> </w:t>
      </w:r>
      <w:r w:rsidR="00D332AD" w:rsidRPr="00B87134">
        <w:rPr>
          <w:rFonts w:ascii="Bookman Old Style" w:hAnsi="Bookman Old Style"/>
          <w:sz w:val="24"/>
          <w:szCs w:val="24"/>
          <w:lang w:val="id-ID"/>
        </w:rPr>
        <w:t>Presiden</w:t>
      </w:r>
      <w:r w:rsidR="00A954D0">
        <w:rPr>
          <w:rFonts w:ascii="Bookman Old Style" w:hAnsi="Bookman Old Style"/>
          <w:sz w:val="24"/>
          <w:szCs w:val="24"/>
          <w:lang w:val="id-ID"/>
        </w:rPr>
        <w:t xml:space="preserve"> </w:t>
      </w:r>
      <w:r w:rsidR="00D332AD" w:rsidRPr="00B87134">
        <w:rPr>
          <w:rFonts w:ascii="Bookman Old Style" w:hAnsi="Bookman Old Style"/>
          <w:sz w:val="24"/>
          <w:szCs w:val="24"/>
          <w:lang w:val="id-ID"/>
        </w:rPr>
        <w:t>Nomor</w:t>
      </w:r>
      <w:r w:rsidR="00A954D0">
        <w:rPr>
          <w:rFonts w:ascii="Bookman Old Style" w:hAnsi="Bookman Old Style"/>
          <w:sz w:val="24"/>
          <w:szCs w:val="24"/>
          <w:lang w:val="id-ID"/>
        </w:rPr>
        <w:t xml:space="preserve"> </w:t>
      </w:r>
      <w:r w:rsidR="00D332AD" w:rsidRPr="00B87134">
        <w:rPr>
          <w:rFonts w:ascii="Bookman Old Style" w:hAnsi="Bookman Old Style"/>
          <w:sz w:val="24"/>
          <w:szCs w:val="24"/>
          <w:lang w:val="id-ID"/>
        </w:rPr>
        <w:t>51</w:t>
      </w:r>
      <w:r w:rsidR="00A954D0">
        <w:rPr>
          <w:rFonts w:ascii="Bookman Old Style" w:hAnsi="Bookman Old Style"/>
          <w:sz w:val="24"/>
          <w:szCs w:val="24"/>
          <w:lang w:val="id-ID"/>
        </w:rPr>
        <w:t xml:space="preserve"> </w:t>
      </w:r>
      <w:r w:rsidR="00D332AD" w:rsidRPr="00B87134">
        <w:rPr>
          <w:rFonts w:ascii="Bookman Old Style" w:hAnsi="Bookman Old Style"/>
          <w:sz w:val="24"/>
          <w:szCs w:val="24"/>
          <w:lang w:val="id-ID"/>
        </w:rPr>
        <w:t>Tahun</w:t>
      </w:r>
      <w:r w:rsidR="00A954D0">
        <w:rPr>
          <w:rFonts w:ascii="Bookman Old Style" w:hAnsi="Bookman Old Style"/>
          <w:sz w:val="24"/>
          <w:szCs w:val="24"/>
          <w:lang w:val="id-ID"/>
        </w:rPr>
        <w:t xml:space="preserve"> </w:t>
      </w:r>
      <w:r w:rsidR="00D332AD" w:rsidRPr="00B87134">
        <w:rPr>
          <w:rFonts w:ascii="Bookman Old Style" w:hAnsi="Bookman Old Style"/>
          <w:sz w:val="24"/>
          <w:szCs w:val="24"/>
          <w:lang w:val="id-ID"/>
        </w:rPr>
        <w:t>2022</w:t>
      </w:r>
      <w:r w:rsidR="00A954D0">
        <w:rPr>
          <w:rFonts w:ascii="Bookman Old Style" w:hAnsi="Bookman Old Style"/>
          <w:sz w:val="24"/>
          <w:szCs w:val="24"/>
          <w:lang w:val="id-ID"/>
        </w:rPr>
        <w:t xml:space="preserve"> </w:t>
      </w:r>
      <w:r w:rsidR="00D332AD" w:rsidRPr="00B87134">
        <w:rPr>
          <w:rFonts w:ascii="Bookman Old Style" w:hAnsi="Bookman Old Style"/>
          <w:sz w:val="24"/>
          <w:szCs w:val="24"/>
          <w:lang w:val="id-ID"/>
        </w:rPr>
        <w:t>dan</w:t>
      </w:r>
      <w:r w:rsidR="00A954D0">
        <w:rPr>
          <w:rFonts w:ascii="Bookman Old Style" w:hAnsi="Bookman Old Style"/>
          <w:sz w:val="24"/>
          <w:szCs w:val="24"/>
          <w:lang w:val="id-ID"/>
        </w:rPr>
        <w:t xml:space="preserve"> </w:t>
      </w:r>
      <w:r w:rsidR="00D332AD" w:rsidRPr="00B87134">
        <w:rPr>
          <w:rFonts w:ascii="Bookman Old Style" w:hAnsi="Bookman Old Style"/>
          <w:sz w:val="24"/>
          <w:szCs w:val="24"/>
        </w:rPr>
        <w:t>butir</w:t>
      </w:r>
      <w:r w:rsidR="00A954D0">
        <w:rPr>
          <w:rFonts w:ascii="Bookman Old Style" w:hAnsi="Bookman Old Style"/>
          <w:sz w:val="24"/>
          <w:szCs w:val="24"/>
          <w:lang w:val="sv-FI"/>
        </w:rPr>
        <w:t xml:space="preserve"> </w:t>
      </w:r>
      <w:r w:rsidR="00D332AD" w:rsidRPr="00B87134">
        <w:rPr>
          <w:rFonts w:ascii="Bookman Old Style" w:hAnsi="Bookman Old Style"/>
          <w:sz w:val="24"/>
          <w:szCs w:val="24"/>
          <w:lang w:val="sv-FI"/>
        </w:rPr>
        <w:t>5.3.1.a.4).b</w:t>
      </w:r>
      <w:r w:rsidR="00A954D0">
        <w:rPr>
          <w:rFonts w:ascii="Bookman Old Style" w:hAnsi="Bookman Old Style"/>
          <w:sz w:val="24"/>
          <w:szCs w:val="24"/>
          <w:lang w:val="sv-FI"/>
        </w:rPr>
        <w:t xml:space="preserve"> </w:t>
      </w:r>
      <w:r w:rsidR="00D332AD" w:rsidRPr="00B87134">
        <w:rPr>
          <w:rFonts w:ascii="Bookman Old Style" w:hAnsi="Bookman Old Style"/>
          <w:sz w:val="24"/>
          <w:szCs w:val="24"/>
        </w:rPr>
        <w:t>Lampiran</w:t>
      </w:r>
      <w:r w:rsidR="00A954D0">
        <w:rPr>
          <w:rFonts w:ascii="Bookman Old Style" w:hAnsi="Bookman Old Style"/>
          <w:sz w:val="24"/>
          <w:szCs w:val="24"/>
        </w:rPr>
        <w:t xml:space="preserve"> </w:t>
      </w:r>
      <w:r w:rsidR="00D332AD" w:rsidRPr="00B87134">
        <w:rPr>
          <w:rFonts w:ascii="Bookman Old Style" w:hAnsi="Bookman Old Style"/>
          <w:sz w:val="24"/>
          <w:szCs w:val="24"/>
        </w:rPr>
        <w:t>Peraturan</w:t>
      </w:r>
      <w:r w:rsidR="00A954D0">
        <w:rPr>
          <w:rFonts w:ascii="Bookman Old Style" w:hAnsi="Bookman Old Style"/>
          <w:sz w:val="24"/>
          <w:szCs w:val="24"/>
        </w:rPr>
        <w:t xml:space="preserve"> </w:t>
      </w:r>
      <w:r w:rsidR="00D332AD" w:rsidRPr="00B87134">
        <w:rPr>
          <w:rFonts w:ascii="Bookman Old Style" w:hAnsi="Bookman Old Style"/>
          <w:sz w:val="24"/>
          <w:szCs w:val="24"/>
        </w:rPr>
        <w:t>Menteri</w:t>
      </w:r>
      <w:r w:rsidR="00A954D0">
        <w:rPr>
          <w:rFonts w:ascii="Bookman Old Style" w:hAnsi="Bookman Old Style"/>
          <w:sz w:val="24"/>
          <w:szCs w:val="24"/>
        </w:rPr>
        <w:t xml:space="preserve"> </w:t>
      </w:r>
      <w:r w:rsidR="00D332AD" w:rsidRPr="00B87134">
        <w:rPr>
          <w:rFonts w:ascii="Bookman Old Style" w:hAnsi="Bookman Old Style"/>
          <w:sz w:val="24"/>
          <w:szCs w:val="24"/>
        </w:rPr>
        <w:t>Dalam</w:t>
      </w:r>
      <w:r w:rsidR="00A954D0">
        <w:rPr>
          <w:rFonts w:ascii="Bookman Old Style" w:hAnsi="Bookman Old Style"/>
          <w:sz w:val="24"/>
          <w:szCs w:val="24"/>
        </w:rPr>
        <w:t xml:space="preserve"> </w:t>
      </w:r>
      <w:r w:rsidR="00D332AD" w:rsidRPr="00B87134">
        <w:rPr>
          <w:rFonts w:ascii="Bookman Old Style" w:hAnsi="Bookman Old Style"/>
          <w:sz w:val="24"/>
          <w:szCs w:val="24"/>
        </w:rPr>
        <w:t>Negeri</w:t>
      </w:r>
      <w:r w:rsidR="00A954D0">
        <w:rPr>
          <w:rFonts w:ascii="Bookman Old Style" w:hAnsi="Bookman Old Style"/>
          <w:sz w:val="24"/>
          <w:szCs w:val="24"/>
        </w:rPr>
        <w:t xml:space="preserve"> </w:t>
      </w:r>
      <w:r w:rsidR="00D332AD" w:rsidRPr="00B87134">
        <w:rPr>
          <w:rFonts w:ascii="Bookman Old Style" w:hAnsi="Bookman Old Style"/>
          <w:sz w:val="24"/>
          <w:szCs w:val="24"/>
        </w:rPr>
        <w:t>Nomor</w:t>
      </w:r>
      <w:r w:rsidR="00A954D0">
        <w:rPr>
          <w:rFonts w:ascii="Bookman Old Style" w:hAnsi="Bookman Old Style"/>
          <w:sz w:val="24"/>
          <w:szCs w:val="24"/>
        </w:rPr>
        <w:t xml:space="preserve"> </w:t>
      </w:r>
      <w:r w:rsidR="00D332AD" w:rsidRPr="00B87134">
        <w:rPr>
          <w:rFonts w:ascii="Bookman Old Style" w:hAnsi="Bookman Old Style"/>
          <w:sz w:val="24"/>
          <w:szCs w:val="24"/>
          <w:lang w:val="sv-FI"/>
        </w:rPr>
        <w:t>15</w:t>
      </w:r>
      <w:r w:rsidR="00A954D0">
        <w:rPr>
          <w:rFonts w:ascii="Bookman Old Style" w:hAnsi="Bookman Old Style"/>
          <w:sz w:val="24"/>
          <w:szCs w:val="24"/>
        </w:rPr>
        <w:t xml:space="preserve"> </w:t>
      </w:r>
      <w:r w:rsidR="00D332AD" w:rsidRPr="00B87134">
        <w:rPr>
          <w:rFonts w:ascii="Bookman Old Style" w:hAnsi="Bookman Old Style"/>
          <w:sz w:val="24"/>
          <w:szCs w:val="24"/>
        </w:rPr>
        <w:t>Tahun</w:t>
      </w:r>
      <w:r w:rsidR="00A954D0">
        <w:rPr>
          <w:rFonts w:ascii="Bookman Old Style" w:hAnsi="Bookman Old Style"/>
          <w:sz w:val="24"/>
          <w:szCs w:val="24"/>
        </w:rPr>
        <w:t xml:space="preserve"> </w:t>
      </w:r>
      <w:r w:rsidR="00D332AD" w:rsidRPr="00B87134">
        <w:rPr>
          <w:rFonts w:ascii="Bookman Old Style" w:hAnsi="Bookman Old Style"/>
          <w:sz w:val="24"/>
          <w:szCs w:val="24"/>
        </w:rPr>
        <w:t>202</w:t>
      </w:r>
      <w:r w:rsidR="00D332AD" w:rsidRPr="00B87134">
        <w:rPr>
          <w:rFonts w:ascii="Bookman Old Style" w:hAnsi="Bookman Old Style"/>
          <w:sz w:val="24"/>
          <w:szCs w:val="24"/>
          <w:lang w:val="sv-FI"/>
        </w:rPr>
        <w:t>4</w:t>
      </w:r>
      <w:r w:rsidR="00D332AD" w:rsidRPr="00B87134">
        <w:rPr>
          <w:rFonts w:ascii="Bookman Old Style" w:hAnsi="Bookman Old Style"/>
          <w:sz w:val="24"/>
          <w:szCs w:val="24"/>
          <w:lang w:val="id-ID"/>
        </w:rPr>
        <w:t>.</w:t>
      </w:r>
    </w:p>
    <w:p w14:paraId="17DC37D7" w14:textId="752750CC" w:rsidR="009E7D10" w:rsidRPr="00B87134" w:rsidRDefault="009E7D10" w:rsidP="00600C12">
      <w:pPr>
        <w:pStyle w:val="ListParagraph"/>
        <w:spacing w:before="60" w:after="0" w:line="276" w:lineRule="auto"/>
        <w:ind w:left="1276"/>
        <w:contextualSpacing w:val="0"/>
        <w:jc w:val="both"/>
        <w:rPr>
          <w:rFonts w:ascii="Bookman Old Style" w:hAnsi="Bookman Old Style"/>
          <w:sz w:val="24"/>
          <w:szCs w:val="24"/>
          <w:lang w:val="id-ID"/>
        </w:rPr>
      </w:pPr>
      <w:r w:rsidRPr="00B87134">
        <w:rPr>
          <w:rFonts w:ascii="Bookman Old Style" w:hAnsi="Bookman Old Style"/>
          <w:sz w:val="24"/>
          <w:szCs w:val="24"/>
        </w:rPr>
        <w:t>Selanjutnya,</w:t>
      </w:r>
      <w:r w:rsidR="00A954D0">
        <w:rPr>
          <w:rFonts w:ascii="Bookman Old Style" w:hAnsi="Bookman Old Style"/>
          <w:sz w:val="24"/>
          <w:szCs w:val="24"/>
        </w:rPr>
        <w:t xml:space="preserve"> </w:t>
      </w:r>
      <w:r w:rsidRPr="00B87134">
        <w:rPr>
          <w:rFonts w:ascii="Bookman Old Style" w:hAnsi="Bookman Old Style"/>
          <w:sz w:val="24"/>
          <w:szCs w:val="24"/>
          <w:lang w:val="id-ID"/>
        </w:rPr>
        <w:t>dalam</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rangka</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pembinaan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ideologi</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Pancasila</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pada</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generasi</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muda</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sebagaimana</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diamanatkan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dalam</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Peraturan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Presiden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Nomor</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51</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Tahun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2022</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tentang</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Program</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Pasukan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Pengibar</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Bendera</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Pusaka</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dan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berdasarkan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Program</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Prioritas</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Nasional</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IV</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Revolusi</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Mental</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dan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Pembangunan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Kebudayaan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dalam</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RPJMN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2020-2024,</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Pemerintah</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Daerah</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menganggarkan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dukungan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pendanaan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program</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Pasukan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Pengibar</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Bendera</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Pusaka</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(Paskibraka),</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meliputi:</w:t>
      </w:r>
    </w:p>
    <w:p w14:paraId="7656E6F4" w14:textId="229AF36B" w:rsidR="009E7D10" w:rsidRPr="00B87134" w:rsidRDefault="009E7D10" w:rsidP="00600C12">
      <w:pPr>
        <w:pStyle w:val="ListParagraph"/>
        <w:numPr>
          <w:ilvl w:val="0"/>
          <w:numId w:val="83"/>
        </w:numPr>
        <w:spacing w:before="60" w:after="0" w:line="276" w:lineRule="auto"/>
        <w:ind w:left="1701" w:hanging="426"/>
        <w:contextualSpacing w:val="0"/>
        <w:jc w:val="both"/>
        <w:rPr>
          <w:rFonts w:ascii="Bookman Old Style" w:hAnsi="Bookman Old Style"/>
          <w:sz w:val="24"/>
          <w:szCs w:val="24"/>
        </w:rPr>
      </w:pPr>
      <w:r w:rsidRPr="00B87134">
        <w:rPr>
          <w:rFonts w:ascii="Bookman Old Style" w:hAnsi="Bookman Old Style"/>
          <w:sz w:val="24"/>
          <w:szCs w:val="24"/>
          <w:lang w:val="en-US"/>
        </w:rPr>
        <w:t>P</w:t>
      </w:r>
      <w:r w:rsidRPr="00B87134">
        <w:rPr>
          <w:rFonts w:ascii="Bookman Old Style" w:hAnsi="Bookman Old Style"/>
          <w:sz w:val="24"/>
          <w:szCs w:val="24"/>
          <w:lang w:val="id-ID"/>
        </w:rPr>
        <w:t>embentukan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Paskibraka;</w:t>
      </w:r>
    </w:p>
    <w:p w14:paraId="7EE71327" w14:textId="430ACD1E" w:rsidR="009E7D10" w:rsidRPr="00B87134" w:rsidRDefault="009E7D10" w:rsidP="00600C12">
      <w:pPr>
        <w:pStyle w:val="ListParagraph"/>
        <w:numPr>
          <w:ilvl w:val="0"/>
          <w:numId w:val="83"/>
        </w:numPr>
        <w:spacing w:before="60" w:after="0" w:line="276" w:lineRule="auto"/>
        <w:ind w:left="1701" w:hanging="426"/>
        <w:contextualSpacing w:val="0"/>
        <w:jc w:val="both"/>
        <w:rPr>
          <w:rFonts w:ascii="Bookman Old Style" w:hAnsi="Bookman Old Style"/>
          <w:sz w:val="24"/>
          <w:szCs w:val="24"/>
        </w:rPr>
      </w:pPr>
      <w:r w:rsidRPr="00B87134">
        <w:rPr>
          <w:rFonts w:ascii="Bookman Old Style" w:hAnsi="Bookman Old Style"/>
          <w:sz w:val="24"/>
          <w:szCs w:val="24"/>
          <w:lang w:val="en-US"/>
        </w:rPr>
        <w:t>P</w:t>
      </w:r>
      <w:r w:rsidRPr="00B87134">
        <w:rPr>
          <w:rFonts w:ascii="Bookman Old Style" w:hAnsi="Bookman Old Style"/>
          <w:sz w:val="24"/>
          <w:szCs w:val="24"/>
          <w:lang w:val="id-ID"/>
        </w:rPr>
        <w:t>elaksanaan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tugas</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Paskibraka</w:t>
      </w:r>
      <w:r w:rsidRPr="00B87134">
        <w:rPr>
          <w:rFonts w:ascii="Bookman Old Style" w:hAnsi="Bookman Old Style"/>
          <w:sz w:val="24"/>
          <w:szCs w:val="24"/>
          <w:lang w:val="en-US"/>
        </w:rPr>
        <w:t>;</w:t>
      </w:r>
    </w:p>
    <w:p w14:paraId="01D6AA65" w14:textId="6FFF5F15" w:rsidR="009E7D10" w:rsidRPr="00B87134" w:rsidRDefault="009E7D10" w:rsidP="00600C12">
      <w:pPr>
        <w:pStyle w:val="ListParagraph"/>
        <w:numPr>
          <w:ilvl w:val="0"/>
          <w:numId w:val="83"/>
        </w:numPr>
        <w:spacing w:before="60" w:after="0" w:line="276" w:lineRule="auto"/>
        <w:ind w:left="1701" w:hanging="426"/>
        <w:contextualSpacing w:val="0"/>
        <w:jc w:val="both"/>
        <w:rPr>
          <w:rFonts w:ascii="Bookman Old Style" w:hAnsi="Bookman Old Style"/>
          <w:sz w:val="24"/>
          <w:szCs w:val="24"/>
        </w:rPr>
      </w:pPr>
      <w:r w:rsidRPr="00B87134">
        <w:rPr>
          <w:rFonts w:ascii="Bookman Old Style" w:hAnsi="Bookman Old Style"/>
          <w:sz w:val="24"/>
          <w:szCs w:val="24"/>
          <w:lang w:val="en-US"/>
        </w:rPr>
        <w:t>P</w:t>
      </w:r>
      <w:r w:rsidRPr="00B87134">
        <w:rPr>
          <w:rFonts w:ascii="Bookman Old Style" w:hAnsi="Bookman Old Style"/>
          <w:sz w:val="24"/>
          <w:szCs w:val="24"/>
          <w:lang w:val="id-ID"/>
        </w:rPr>
        <w:t>engangkatan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Purnapaskibraka</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Duta</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Pancasila</w:t>
      </w:r>
      <w:r w:rsidRPr="00B87134">
        <w:rPr>
          <w:rFonts w:ascii="Bookman Old Style" w:hAnsi="Bookman Old Style"/>
          <w:sz w:val="24"/>
          <w:szCs w:val="24"/>
          <w:lang w:val="en-US"/>
        </w:rPr>
        <w:t>;</w:t>
      </w:r>
    </w:p>
    <w:p w14:paraId="23539579" w14:textId="7337D057" w:rsidR="009E7D10" w:rsidRPr="00B87134" w:rsidRDefault="009E7D10" w:rsidP="00600C12">
      <w:pPr>
        <w:pStyle w:val="ListParagraph"/>
        <w:numPr>
          <w:ilvl w:val="0"/>
          <w:numId w:val="83"/>
        </w:numPr>
        <w:spacing w:before="60" w:after="0" w:line="276" w:lineRule="auto"/>
        <w:ind w:left="1701" w:hanging="426"/>
        <w:contextualSpacing w:val="0"/>
        <w:jc w:val="both"/>
        <w:rPr>
          <w:rFonts w:ascii="Bookman Old Style" w:hAnsi="Bookman Old Style"/>
          <w:sz w:val="24"/>
          <w:szCs w:val="24"/>
        </w:rPr>
      </w:pPr>
      <w:r w:rsidRPr="00B87134">
        <w:rPr>
          <w:rFonts w:ascii="Bookman Old Style" w:hAnsi="Bookman Old Style"/>
          <w:sz w:val="24"/>
          <w:szCs w:val="24"/>
          <w:lang w:val="fi-FI"/>
        </w:rPr>
        <w:t>P</w:t>
      </w:r>
      <w:r w:rsidRPr="00B87134">
        <w:rPr>
          <w:rFonts w:ascii="Bookman Old Style" w:hAnsi="Bookman Old Style"/>
          <w:sz w:val="24"/>
          <w:szCs w:val="24"/>
          <w:lang w:val="id-ID"/>
        </w:rPr>
        <w:t>elaksanaan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tugas</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Pu</w:t>
      </w:r>
      <w:r w:rsidRPr="00B87134">
        <w:rPr>
          <w:rFonts w:ascii="Bookman Old Style" w:hAnsi="Bookman Old Style"/>
          <w:sz w:val="24"/>
          <w:szCs w:val="24"/>
          <w:lang w:val="fi-FI"/>
        </w:rPr>
        <w:t>rn</w:t>
      </w:r>
      <w:r w:rsidRPr="00B87134">
        <w:rPr>
          <w:rFonts w:ascii="Bookman Old Style" w:hAnsi="Bookman Old Style"/>
          <w:sz w:val="24"/>
          <w:szCs w:val="24"/>
          <w:lang w:val="id-ID"/>
        </w:rPr>
        <w:t>apaskibraka</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Duta</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Pancasi</w:t>
      </w:r>
      <w:r w:rsidRPr="00B87134">
        <w:rPr>
          <w:rFonts w:ascii="Bookman Old Style" w:hAnsi="Bookman Old Style"/>
          <w:sz w:val="24"/>
          <w:szCs w:val="24"/>
          <w:lang w:val="fi-FI"/>
        </w:rPr>
        <w:t>l</w:t>
      </w:r>
      <w:r w:rsidRPr="00B87134">
        <w:rPr>
          <w:rFonts w:ascii="Bookman Old Style" w:hAnsi="Bookman Old Style"/>
          <w:sz w:val="24"/>
          <w:szCs w:val="24"/>
          <w:lang w:val="id-ID"/>
        </w:rPr>
        <w:t>a</w:t>
      </w:r>
      <w:r w:rsidRPr="00B87134">
        <w:rPr>
          <w:rFonts w:ascii="Bookman Old Style" w:hAnsi="Bookman Old Style"/>
          <w:sz w:val="24"/>
          <w:szCs w:val="24"/>
          <w:lang w:val="fi-FI"/>
        </w:rPr>
        <w:t>;</w:t>
      </w:r>
    </w:p>
    <w:p w14:paraId="5899FFF3" w14:textId="442725D9" w:rsidR="009E7D10" w:rsidRPr="00B87134" w:rsidRDefault="009E7D10" w:rsidP="00600C12">
      <w:pPr>
        <w:pStyle w:val="ListParagraph"/>
        <w:numPr>
          <w:ilvl w:val="0"/>
          <w:numId w:val="83"/>
        </w:numPr>
        <w:spacing w:before="60" w:after="0" w:line="276" w:lineRule="auto"/>
        <w:ind w:left="1701" w:hanging="426"/>
        <w:contextualSpacing w:val="0"/>
        <w:jc w:val="both"/>
        <w:rPr>
          <w:rFonts w:ascii="Bookman Old Style" w:hAnsi="Bookman Old Style"/>
          <w:sz w:val="24"/>
          <w:szCs w:val="24"/>
        </w:rPr>
      </w:pPr>
      <w:r w:rsidRPr="00B87134">
        <w:rPr>
          <w:rFonts w:ascii="Bookman Old Style" w:hAnsi="Bookman Old Style"/>
          <w:sz w:val="24"/>
          <w:szCs w:val="24"/>
          <w:lang w:val="fi-FI"/>
        </w:rPr>
        <w:t>P</w:t>
      </w:r>
      <w:r w:rsidRPr="00B87134">
        <w:rPr>
          <w:rFonts w:ascii="Bookman Old Style" w:hAnsi="Bookman Old Style"/>
          <w:sz w:val="24"/>
          <w:szCs w:val="24"/>
          <w:lang w:val="id-ID"/>
        </w:rPr>
        <w:t>embinaan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lanjutan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kepada</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Pu</w:t>
      </w:r>
      <w:r w:rsidRPr="00B87134">
        <w:rPr>
          <w:rFonts w:ascii="Bookman Old Style" w:hAnsi="Bookman Old Style"/>
          <w:sz w:val="24"/>
          <w:szCs w:val="24"/>
          <w:lang w:val="fi-FI"/>
        </w:rPr>
        <w:t>rn</w:t>
      </w:r>
      <w:r w:rsidRPr="00B87134">
        <w:rPr>
          <w:rFonts w:ascii="Bookman Old Style" w:hAnsi="Bookman Old Style"/>
          <w:sz w:val="24"/>
          <w:szCs w:val="24"/>
          <w:lang w:val="id-ID"/>
        </w:rPr>
        <w:t>apaskibraka</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Duta</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Pancasila</w:t>
      </w:r>
      <w:r w:rsidRPr="00B87134">
        <w:rPr>
          <w:rFonts w:ascii="Bookman Old Style" w:hAnsi="Bookman Old Style"/>
          <w:sz w:val="24"/>
          <w:szCs w:val="24"/>
          <w:lang w:val="fi-FI"/>
        </w:rPr>
        <w:t>;</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dan</w:t>
      </w:r>
    </w:p>
    <w:p w14:paraId="26FCF894" w14:textId="6DBA3D6E" w:rsidR="009E7D10" w:rsidRPr="00B87134" w:rsidRDefault="009E7D10" w:rsidP="00600C12">
      <w:pPr>
        <w:pStyle w:val="ListParagraph"/>
        <w:numPr>
          <w:ilvl w:val="0"/>
          <w:numId w:val="83"/>
        </w:numPr>
        <w:spacing w:before="60" w:after="0" w:line="276" w:lineRule="auto"/>
        <w:ind w:left="1701" w:hanging="426"/>
        <w:contextualSpacing w:val="0"/>
        <w:jc w:val="both"/>
        <w:rPr>
          <w:rFonts w:ascii="Bookman Old Style" w:hAnsi="Bookman Old Style" w:cs="Arial"/>
          <w:sz w:val="24"/>
          <w:szCs w:val="24"/>
          <w:lang w:val="sv-FI"/>
        </w:rPr>
      </w:pPr>
      <w:r w:rsidRPr="00B87134">
        <w:rPr>
          <w:rFonts w:ascii="Bookman Old Style" w:hAnsi="Bookman Old Style"/>
          <w:sz w:val="24"/>
          <w:szCs w:val="24"/>
          <w:lang w:val="fi-FI"/>
        </w:rPr>
        <w:t>P</w:t>
      </w:r>
      <w:r w:rsidRPr="00B87134">
        <w:rPr>
          <w:rFonts w:ascii="Bookman Old Style" w:hAnsi="Bookman Old Style"/>
          <w:sz w:val="24"/>
          <w:szCs w:val="24"/>
          <w:lang w:val="id-ID"/>
        </w:rPr>
        <w:t>embinaan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terhadap</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aktivitas</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kepaskibrakaan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dan</w:t>
      </w:r>
      <w:r w:rsidR="00A954D0">
        <w:rPr>
          <w:rFonts w:ascii="Bookman Old Style" w:hAnsi="Bookman Old Style"/>
          <w:sz w:val="24"/>
          <w:szCs w:val="24"/>
          <w:lang w:val="id-ID"/>
        </w:rPr>
        <w:t xml:space="preserve"> </w:t>
      </w:r>
      <w:r w:rsidRPr="00B87134">
        <w:rPr>
          <w:rFonts w:ascii="Bookman Old Style" w:hAnsi="Bookman Old Style"/>
          <w:sz w:val="24"/>
          <w:szCs w:val="24"/>
          <w:lang w:val="id-ID"/>
        </w:rPr>
        <w:t>Purnapaskibraka</w:t>
      </w:r>
      <w:r w:rsidR="00D332AD" w:rsidRPr="00B87134">
        <w:rPr>
          <w:rFonts w:ascii="Bookman Old Style" w:hAnsi="Bookman Old Style"/>
          <w:sz w:val="24"/>
          <w:szCs w:val="24"/>
          <w:lang w:val="id-ID"/>
        </w:rPr>
        <w:t>.</w:t>
      </w:r>
    </w:p>
    <w:p w14:paraId="4645D36A" w14:textId="5823FAC1" w:rsidR="009E7D10" w:rsidRPr="0085724C" w:rsidRDefault="009E7D10" w:rsidP="00600C12">
      <w:pPr>
        <w:pStyle w:val="ListParagraph"/>
        <w:numPr>
          <w:ilvl w:val="0"/>
          <w:numId w:val="99"/>
        </w:numPr>
        <w:spacing w:before="60" w:after="0" w:line="276" w:lineRule="auto"/>
        <w:ind w:left="1276" w:hanging="283"/>
        <w:contextualSpacing w:val="0"/>
        <w:jc w:val="both"/>
        <w:rPr>
          <w:rFonts w:ascii="Bookman Old Style" w:hAnsi="Bookman Old Style" w:cs="Arial"/>
          <w:sz w:val="24"/>
          <w:szCs w:val="24"/>
        </w:rPr>
      </w:pPr>
      <w:r w:rsidRPr="0085724C">
        <w:rPr>
          <w:rFonts w:ascii="Bookman Old Style" w:hAnsi="Bookman Old Style" w:cs="Arial"/>
          <w:sz w:val="24"/>
          <w:szCs w:val="24"/>
        </w:rPr>
        <w:t>Anggaran</w:t>
      </w:r>
      <w:r w:rsidR="00A954D0">
        <w:rPr>
          <w:rFonts w:ascii="Bookman Old Style" w:hAnsi="Bookman Old Style" w:cs="Arial"/>
          <w:sz w:val="24"/>
          <w:szCs w:val="24"/>
        </w:rPr>
        <w:t xml:space="preserve"> </w:t>
      </w:r>
      <w:r w:rsidRPr="0085724C">
        <w:rPr>
          <w:rFonts w:ascii="Bookman Old Style" w:hAnsi="Bookman Old Style" w:cs="Arial"/>
          <w:sz w:val="24"/>
          <w:szCs w:val="24"/>
        </w:rPr>
        <w:t>yang</w:t>
      </w:r>
      <w:r w:rsidR="00A954D0">
        <w:rPr>
          <w:rFonts w:ascii="Bookman Old Style" w:hAnsi="Bookman Old Style" w:cs="Arial"/>
          <w:sz w:val="24"/>
          <w:szCs w:val="24"/>
        </w:rPr>
        <w:t xml:space="preserve"> </w:t>
      </w:r>
      <w:r w:rsidRPr="0085724C">
        <w:rPr>
          <w:rFonts w:ascii="Bookman Old Style" w:hAnsi="Bookman Old Style" w:cs="Arial"/>
          <w:sz w:val="24"/>
          <w:szCs w:val="24"/>
        </w:rPr>
        <w:t>bersumber</w:t>
      </w:r>
      <w:r w:rsidR="00A954D0">
        <w:rPr>
          <w:rFonts w:ascii="Bookman Old Style" w:hAnsi="Bookman Old Style" w:cs="Arial"/>
          <w:sz w:val="24"/>
          <w:szCs w:val="24"/>
        </w:rPr>
        <w:t xml:space="preserve"> </w:t>
      </w:r>
      <w:r w:rsidRPr="0085724C">
        <w:rPr>
          <w:rFonts w:ascii="Bookman Old Style" w:hAnsi="Bookman Old Style" w:cs="Arial"/>
          <w:sz w:val="24"/>
          <w:szCs w:val="24"/>
        </w:rPr>
        <w:t>dari</w:t>
      </w:r>
      <w:r w:rsidR="00A954D0">
        <w:rPr>
          <w:rFonts w:ascii="Bookman Old Style" w:hAnsi="Bookman Old Style" w:cs="Arial"/>
          <w:sz w:val="24"/>
          <w:szCs w:val="24"/>
        </w:rPr>
        <w:t xml:space="preserve"> </w:t>
      </w:r>
      <w:r w:rsidRPr="0085724C">
        <w:rPr>
          <w:rFonts w:ascii="Bookman Old Style" w:hAnsi="Bookman Old Style" w:cs="Arial"/>
          <w:sz w:val="24"/>
          <w:szCs w:val="24"/>
        </w:rPr>
        <w:t>BLUD</w:t>
      </w:r>
    </w:p>
    <w:p w14:paraId="462C86A2" w14:textId="7256BD14" w:rsidR="009D7946" w:rsidRPr="003255BC" w:rsidRDefault="009D7946" w:rsidP="00600C12">
      <w:pPr>
        <w:pStyle w:val="NormalWeb"/>
        <w:snapToGrid w:val="0"/>
        <w:spacing w:before="60" w:beforeAutospacing="0" w:after="0" w:afterAutospacing="0" w:line="276" w:lineRule="auto"/>
        <w:ind w:left="1276"/>
        <w:jc w:val="both"/>
        <w:rPr>
          <w:rFonts w:ascii="Bookman Old Style" w:hAnsi="Bookman Old Style" w:cs="Arial"/>
          <w:lang w:val="sv-FI"/>
        </w:rPr>
      </w:pPr>
      <w:r w:rsidRPr="00727324">
        <w:rPr>
          <w:rFonts w:ascii="Bookman Old Style" w:hAnsi="Bookman Old Style"/>
          <w:lang w:val="fi-FI"/>
        </w:rPr>
        <w:t>Penyediaan</w:t>
      </w:r>
      <w:r w:rsidR="00A954D0" w:rsidRPr="003255BC">
        <w:rPr>
          <w:rFonts w:ascii="Bookman Old Style" w:hAnsi="Bookman Old Style" w:cs="Arial"/>
          <w:lang w:val="sv-FI"/>
        </w:rPr>
        <w:t xml:space="preserve"> </w:t>
      </w:r>
      <w:r w:rsidRPr="003255BC">
        <w:rPr>
          <w:rFonts w:ascii="Bookman Old Style" w:hAnsi="Bookman Old Style" w:cs="Arial"/>
          <w:lang w:val="sv-FI"/>
        </w:rPr>
        <w:t>anggaran</w:t>
      </w:r>
      <w:r w:rsidR="00A954D0" w:rsidRPr="003255BC">
        <w:rPr>
          <w:rFonts w:ascii="Bookman Old Style" w:hAnsi="Bookman Old Style" w:cs="Arial"/>
          <w:lang w:val="sv-FI"/>
        </w:rPr>
        <w:t xml:space="preserve"> </w:t>
      </w:r>
      <w:r w:rsidRPr="003255BC">
        <w:rPr>
          <w:rFonts w:ascii="Bookman Old Style" w:hAnsi="Bookman Old Style" w:cs="Arial"/>
          <w:lang w:val="sv-FI"/>
        </w:rPr>
        <w:t>yang</w:t>
      </w:r>
      <w:r w:rsidR="00A954D0" w:rsidRPr="003255BC">
        <w:rPr>
          <w:rFonts w:ascii="Bookman Old Style" w:hAnsi="Bookman Old Style" w:cs="Arial"/>
          <w:lang w:val="sv-FI"/>
        </w:rPr>
        <w:t xml:space="preserve"> </w:t>
      </w:r>
      <w:r w:rsidRPr="003255BC">
        <w:rPr>
          <w:rFonts w:ascii="Bookman Old Style" w:hAnsi="Bookman Old Style" w:cs="Arial"/>
          <w:lang w:val="sv-FI"/>
        </w:rPr>
        <w:t>bersumber</w:t>
      </w:r>
      <w:r w:rsidR="00A954D0" w:rsidRPr="003255BC">
        <w:rPr>
          <w:rFonts w:ascii="Bookman Old Style" w:hAnsi="Bookman Old Style" w:cs="Arial"/>
          <w:lang w:val="sv-FI"/>
        </w:rPr>
        <w:t xml:space="preserve"> </w:t>
      </w:r>
      <w:r w:rsidRPr="003255BC">
        <w:rPr>
          <w:rFonts w:ascii="Bookman Old Style" w:hAnsi="Bookman Old Style" w:cs="Arial"/>
          <w:lang w:val="sv-FI"/>
        </w:rPr>
        <w:t>dari</w:t>
      </w:r>
      <w:r w:rsidR="00A954D0" w:rsidRPr="003255BC">
        <w:rPr>
          <w:rFonts w:ascii="Bookman Old Style" w:hAnsi="Bookman Old Style" w:cs="Arial"/>
          <w:lang w:val="sv-FI"/>
        </w:rPr>
        <w:t xml:space="preserve"> </w:t>
      </w:r>
      <w:r w:rsidRPr="003255BC">
        <w:rPr>
          <w:rFonts w:ascii="Bookman Old Style" w:hAnsi="Bookman Old Style" w:cs="Arial"/>
          <w:lang w:val="sv-FI"/>
        </w:rPr>
        <w:t>BLUD</w:t>
      </w:r>
      <w:r w:rsidR="00A954D0" w:rsidRPr="003255BC">
        <w:rPr>
          <w:rFonts w:ascii="Bookman Old Style" w:hAnsi="Bookman Old Style" w:cs="Arial"/>
          <w:lang w:val="sv-FI"/>
        </w:rPr>
        <w:t xml:space="preserve"> </w:t>
      </w:r>
      <w:r w:rsidRPr="003255BC">
        <w:rPr>
          <w:rFonts w:ascii="Bookman Old Style" w:hAnsi="Bookman Old Style" w:cs="Arial"/>
          <w:lang w:val="sv-FI"/>
        </w:rPr>
        <w:t>Rp204.224.226.711,00,</w:t>
      </w:r>
      <w:r w:rsidR="00A954D0" w:rsidRPr="003255BC">
        <w:rPr>
          <w:rFonts w:ascii="Bookman Old Style" w:hAnsi="Bookman Old Style" w:cs="Arial"/>
          <w:lang w:val="sv-FI"/>
        </w:rPr>
        <w:t xml:space="preserve"> </w:t>
      </w:r>
      <w:r w:rsidRPr="003255BC">
        <w:rPr>
          <w:rFonts w:ascii="Bookman Old Style" w:hAnsi="Bookman Old Style" w:cs="Arial"/>
          <w:lang w:val="sv-FI"/>
        </w:rPr>
        <w:t>antara</w:t>
      </w:r>
      <w:r w:rsidR="00A954D0" w:rsidRPr="003255BC">
        <w:rPr>
          <w:rFonts w:ascii="Bookman Old Style" w:hAnsi="Bookman Old Style" w:cs="Arial"/>
          <w:lang w:val="sv-FI"/>
        </w:rPr>
        <w:t xml:space="preserve"> </w:t>
      </w:r>
      <w:r w:rsidRPr="003255BC">
        <w:rPr>
          <w:rFonts w:ascii="Bookman Old Style" w:hAnsi="Bookman Old Style" w:cs="Arial"/>
          <w:lang w:val="sv-FI"/>
        </w:rPr>
        <w:t>lain</w:t>
      </w:r>
      <w:r w:rsidR="00A954D0" w:rsidRPr="003255BC">
        <w:rPr>
          <w:rFonts w:ascii="Bookman Old Style" w:hAnsi="Bookman Old Style" w:cs="Arial"/>
          <w:lang w:val="sv-FI"/>
        </w:rPr>
        <w:t xml:space="preserve"> </w:t>
      </w:r>
      <w:r w:rsidRPr="003255BC">
        <w:rPr>
          <w:rFonts w:ascii="Bookman Old Style" w:hAnsi="Bookman Old Style" w:cs="Arial"/>
          <w:lang w:val="sv-FI"/>
        </w:rPr>
        <w:t>tercantum</w:t>
      </w:r>
      <w:r w:rsidR="00A954D0" w:rsidRPr="003255BC">
        <w:rPr>
          <w:rFonts w:ascii="Bookman Old Style" w:hAnsi="Bookman Old Style" w:cs="Arial"/>
          <w:lang w:val="sv-FI"/>
        </w:rPr>
        <w:t xml:space="preserve"> </w:t>
      </w:r>
      <w:r w:rsidRPr="003255BC">
        <w:rPr>
          <w:rFonts w:ascii="Bookman Old Style" w:hAnsi="Bookman Old Style" w:cs="Arial"/>
          <w:lang w:val="sv-FI"/>
        </w:rPr>
        <w:t>pada:</w:t>
      </w:r>
    </w:p>
    <w:p w14:paraId="3535CBEB" w14:textId="06E65CC2" w:rsidR="009D7946" w:rsidRPr="00256727" w:rsidRDefault="009D7946" w:rsidP="00600C12">
      <w:pPr>
        <w:pStyle w:val="NormalWeb"/>
        <w:numPr>
          <w:ilvl w:val="0"/>
          <w:numId w:val="160"/>
        </w:numPr>
        <w:snapToGrid w:val="0"/>
        <w:spacing w:before="60" w:beforeAutospacing="0" w:after="0" w:afterAutospacing="0" w:line="276" w:lineRule="auto"/>
        <w:ind w:left="1701" w:hanging="425"/>
        <w:jc w:val="both"/>
        <w:rPr>
          <w:rFonts w:ascii="Bookman Old Style" w:hAnsi="Bookman Old Style" w:cs="Tahoma"/>
          <w:lang w:val="sv-FI"/>
        </w:rPr>
      </w:pPr>
      <w:r w:rsidRPr="00256727">
        <w:rPr>
          <w:rFonts w:ascii="Bookman Old Style" w:hAnsi="Bookman Old Style" w:cs="Tahoma"/>
          <w:lang w:val="sv-FI"/>
        </w:rPr>
        <w:t>Belanja</w:t>
      </w:r>
      <w:r w:rsidR="00A954D0" w:rsidRPr="00256727">
        <w:rPr>
          <w:rFonts w:ascii="Bookman Old Style" w:hAnsi="Bookman Old Style" w:cs="Tahoma"/>
          <w:lang w:val="sv-FI"/>
        </w:rPr>
        <w:t xml:space="preserve"> </w:t>
      </w:r>
      <w:r w:rsidRPr="00256727">
        <w:rPr>
          <w:rFonts w:ascii="Bookman Old Style" w:hAnsi="Bookman Old Style" w:cs="Tahoma"/>
          <w:lang w:val="sv-FI"/>
        </w:rPr>
        <w:t>Barang</w:t>
      </w:r>
      <w:r w:rsidR="00A954D0" w:rsidRPr="00256727">
        <w:rPr>
          <w:rFonts w:ascii="Bookman Old Style" w:hAnsi="Bookman Old Style" w:cs="Tahoma"/>
          <w:lang w:val="sv-FI"/>
        </w:rPr>
        <w:t xml:space="preserve"> </w:t>
      </w:r>
      <w:r w:rsidRPr="00256727">
        <w:rPr>
          <w:rFonts w:ascii="Bookman Old Style" w:hAnsi="Bookman Old Style" w:cs="Tahoma"/>
          <w:lang w:val="sv-FI"/>
        </w:rPr>
        <w:t>dan</w:t>
      </w:r>
      <w:r w:rsidR="00A954D0" w:rsidRPr="00256727">
        <w:rPr>
          <w:rFonts w:ascii="Bookman Old Style" w:hAnsi="Bookman Old Style" w:cs="Tahoma"/>
          <w:lang w:val="sv-FI"/>
        </w:rPr>
        <w:t xml:space="preserve"> </w:t>
      </w:r>
      <w:r w:rsidRPr="00256727">
        <w:rPr>
          <w:rFonts w:ascii="Bookman Old Style" w:hAnsi="Bookman Old Style" w:cs="Tahoma"/>
          <w:lang w:val="sv-FI"/>
        </w:rPr>
        <w:t>Jasa</w:t>
      </w:r>
      <w:r w:rsidR="00A954D0" w:rsidRPr="00256727">
        <w:rPr>
          <w:rFonts w:ascii="Bookman Old Style" w:hAnsi="Bookman Old Style" w:cs="Tahoma"/>
          <w:lang w:val="sv-FI"/>
        </w:rPr>
        <w:t xml:space="preserve"> </w:t>
      </w:r>
      <w:r w:rsidRPr="00256727">
        <w:rPr>
          <w:rFonts w:ascii="Bookman Old Style" w:hAnsi="Bookman Old Style" w:cs="Tahoma"/>
          <w:lang w:val="sv-FI"/>
        </w:rPr>
        <w:t>BLUD</w:t>
      </w:r>
      <w:r w:rsidR="00A954D0" w:rsidRPr="00256727">
        <w:rPr>
          <w:rFonts w:ascii="Bookman Old Style" w:hAnsi="Bookman Old Style" w:cs="Tahoma"/>
          <w:lang w:val="sv-FI"/>
        </w:rPr>
        <w:t xml:space="preserve"> </w:t>
      </w:r>
      <w:r w:rsidRPr="00727324">
        <w:rPr>
          <w:rFonts w:ascii="Bookman Old Style" w:hAnsi="Bookman Old Style"/>
          <w:lang w:val="it-IT"/>
        </w:rPr>
        <w:t>Rp</w:t>
      </w:r>
      <w:r w:rsidRPr="009338DD">
        <w:rPr>
          <w:rFonts w:ascii="Bookman Old Style" w:hAnsi="Bookman Old Style"/>
          <w:lang w:val="it-IT"/>
        </w:rPr>
        <w:t>194.778.507.091,00</w:t>
      </w:r>
      <w:r w:rsidRPr="00256727">
        <w:rPr>
          <w:rFonts w:ascii="Bookman Old Style" w:hAnsi="Bookman Old Style" w:cs="Tahoma"/>
          <w:lang w:val="sv-FI"/>
        </w:rPr>
        <w:t>;</w:t>
      </w:r>
      <w:r w:rsidR="00A954D0">
        <w:rPr>
          <w:rFonts w:ascii="Bookman Old Style" w:hAnsi="Bookman Old Style" w:cs="Tahoma"/>
          <w:lang w:val="sv-FI"/>
        </w:rPr>
        <w:t xml:space="preserve"> </w:t>
      </w:r>
    </w:p>
    <w:p w14:paraId="6BDCD2C1" w14:textId="0EF55D45" w:rsidR="009D7946" w:rsidRPr="00727324" w:rsidRDefault="009D7946" w:rsidP="00600C12">
      <w:pPr>
        <w:pStyle w:val="NormalWeb"/>
        <w:numPr>
          <w:ilvl w:val="0"/>
          <w:numId w:val="160"/>
        </w:numPr>
        <w:snapToGrid w:val="0"/>
        <w:spacing w:before="60" w:beforeAutospacing="0" w:after="0" w:afterAutospacing="0" w:line="276" w:lineRule="auto"/>
        <w:ind w:left="1701" w:hanging="425"/>
        <w:jc w:val="both"/>
        <w:rPr>
          <w:rFonts w:ascii="Bookman Old Style" w:hAnsi="Bookman Old Style" w:cs="Tahoma"/>
        </w:rPr>
      </w:pPr>
      <w:r w:rsidRPr="00727324">
        <w:rPr>
          <w:rFonts w:ascii="Bookman Old Style" w:hAnsi="Bookman Old Style" w:cs="Tahoma"/>
        </w:rPr>
        <w:t>Belanja</w:t>
      </w:r>
      <w:r w:rsidR="00A954D0">
        <w:rPr>
          <w:rFonts w:ascii="Bookman Old Style" w:hAnsi="Bookman Old Style" w:cs="Tahoma"/>
        </w:rPr>
        <w:t xml:space="preserve"> </w:t>
      </w:r>
      <w:r w:rsidRPr="00727324">
        <w:rPr>
          <w:rFonts w:ascii="Bookman Old Style" w:hAnsi="Bookman Old Style" w:cs="Tahoma"/>
        </w:rPr>
        <w:t>Modal</w:t>
      </w:r>
      <w:r w:rsidR="00A954D0">
        <w:rPr>
          <w:rFonts w:ascii="Bookman Old Style" w:hAnsi="Bookman Old Style" w:cs="Tahoma"/>
        </w:rPr>
        <w:t xml:space="preserve"> </w:t>
      </w:r>
      <w:r w:rsidRPr="009338DD">
        <w:rPr>
          <w:rFonts w:ascii="Bookman Old Style" w:hAnsi="Bookman Old Style" w:cs="Tahoma"/>
        </w:rPr>
        <w:t>Aset</w:t>
      </w:r>
      <w:r w:rsidR="00A954D0">
        <w:rPr>
          <w:rFonts w:ascii="Bookman Old Style" w:hAnsi="Bookman Old Style" w:cs="Tahoma"/>
        </w:rPr>
        <w:t xml:space="preserve"> </w:t>
      </w:r>
      <w:r w:rsidRPr="009338DD">
        <w:rPr>
          <w:rFonts w:ascii="Bookman Old Style" w:hAnsi="Bookman Old Style" w:cs="Tahoma"/>
        </w:rPr>
        <w:t>Tetap</w:t>
      </w:r>
      <w:r w:rsidR="00A954D0">
        <w:rPr>
          <w:rFonts w:ascii="Bookman Old Style" w:hAnsi="Bookman Old Style" w:cs="Tahoma"/>
        </w:rPr>
        <w:t xml:space="preserve"> </w:t>
      </w:r>
      <w:r w:rsidRPr="009338DD">
        <w:rPr>
          <w:rFonts w:ascii="Bookman Old Style" w:hAnsi="Bookman Old Style" w:cs="Tahoma"/>
        </w:rPr>
        <w:t>Lainnya</w:t>
      </w:r>
      <w:r w:rsidR="00A954D0">
        <w:rPr>
          <w:rFonts w:ascii="Bookman Old Style" w:hAnsi="Bookman Old Style" w:cs="Tahoma"/>
        </w:rPr>
        <w:t xml:space="preserve"> </w:t>
      </w:r>
      <w:r w:rsidRPr="009338DD">
        <w:rPr>
          <w:rFonts w:ascii="Bookman Old Style" w:hAnsi="Bookman Old Style" w:cs="Tahoma"/>
        </w:rPr>
        <w:t>BLUD</w:t>
      </w:r>
      <w:r w:rsidR="00A954D0">
        <w:rPr>
          <w:rFonts w:ascii="Bookman Old Style" w:hAnsi="Bookman Old Style" w:cs="Tahoma"/>
        </w:rPr>
        <w:t xml:space="preserve"> </w:t>
      </w:r>
      <w:r w:rsidRPr="00730BE9">
        <w:rPr>
          <w:rFonts w:ascii="Bookman Old Style" w:hAnsi="Bookman Old Style" w:cs="Tahoma"/>
          <w:lang w:val="x-none"/>
        </w:rPr>
        <w:t>Rp</w:t>
      </w:r>
      <w:r w:rsidRPr="00385830">
        <w:rPr>
          <w:rFonts w:ascii="Bookman Old Style" w:hAnsi="Bookman Old Style" w:cs="Tahoma"/>
          <w:lang w:val="x-none"/>
        </w:rPr>
        <w:t>6.250.444.258,00</w:t>
      </w:r>
      <w:r w:rsidRPr="00727324">
        <w:rPr>
          <w:rFonts w:ascii="Bookman Old Style" w:hAnsi="Bookman Old Style" w:cs="Tahoma"/>
        </w:rPr>
        <w:t>;</w:t>
      </w:r>
      <w:r w:rsidR="00A954D0">
        <w:rPr>
          <w:rFonts w:ascii="Bookman Old Style" w:hAnsi="Bookman Old Style" w:cs="Tahoma"/>
        </w:rPr>
        <w:t xml:space="preserve"> </w:t>
      </w:r>
    </w:p>
    <w:p w14:paraId="118E34E5" w14:textId="33654F28" w:rsidR="009D7946" w:rsidRPr="00727324" w:rsidRDefault="009D7946" w:rsidP="00600C12">
      <w:pPr>
        <w:pStyle w:val="NormalWeb"/>
        <w:numPr>
          <w:ilvl w:val="0"/>
          <w:numId w:val="160"/>
        </w:numPr>
        <w:snapToGrid w:val="0"/>
        <w:spacing w:before="60" w:beforeAutospacing="0" w:after="0" w:afterAutospacing="0" w:line="276" w:lineRule="auto"/>
        <w:ind w:left="1701" w:hanging="425"/>
        <w:jc w:val="both"/>
        <w:rPr>
          <w:rFonts w:ascii="Bookman Old Style" w:hAnsi="Bookman Old Style" w:cs="Tahoma"/>
        </w:rPr>
      </w:pPr>
      <w:r w:rsidRPr="00727324">
        <w:rPr>
          <w:rFonts w:ascii="Bookman Old Style" w:hAnsi="Bookman Old Style" w:cs="Tahoma"/>
        </w:rPr>
        <w:t>Belanja</w:t>
      </w:r>
      <w:r w:rsidR="00A954D0">
        <w:rPr>
          <w:rFonts w:ascii="Bookman Old Style" w:hAnsi="Bookman Old Style" w:cs="Tahoma"/>
        </w:rPr>
        <w:t xml:space="preserve"> </w:t>
      </w:r>
      <w:r w:rsidRPr="00727324">
        <w:rPr>
          <w:rFonts w:ascii="Bookman Old Style" w:hAnsi="Bookman Old Style" w:cs="Tahoma"/>
        </w:rPr>
        <w:t>Modal</w:t>
      </w:r>
      <w:r w:rsidR="00A954D0">
        <w:rPr>
          <w:rFonts w:ascii="Bookman Old Style" w:hAnsi="Bookman Old Style" w:cs="Tahoma"/>
        </w:rPr>
        <w:t xml:space="preserve"> </w:t>
      </w:r>
      <w:r w:rsidRPr="00385830">
        <w:rPr>
          <w:rFonts w:ascii="Bookman Old Style" w:hAnsi="Bookman Old Style" w:cs="Tahoma"/>
        </w:rPr>
        <w:t>Aset</w:t>
      </w:r>
      <w:r w:rsidR="00A954D0">
        <w:rPr>
          <w:rFonts w:ascii="Bookman Old Style" w:hAnsi="Bookman Old Style" w:cs="Tahoma"/>
        </w:rPr>
        <w:t xml:space="preserve"> </w:t>
      </w:r>
      <w:r w:rsidRPr="00385830">
        <w:rPr>
          <w:rFonts w:ascii="Bookman Old Style" w:hAnsi="Bookman Old Style" w:cs="Tahoma"/>
        </w:rPr>
        <w:t>Lainnya</w:t>
      </w:r>
      <w:r w:rsidR="00A954D0">
        <w:rPr>
          <w:rFonts w:ascii="Bookman Old Style" w:hAnsi="Bookman Old Style" w:cs="Tahoma"/>
        </w:rPr>
        <w:t xml:space="preserve"> </w:t>
      </w:r>
      <w:r w:rsidRPr="00385830">
        <w:rPr>
          <w:rFonts w:ascii="Bookman Old Style" w:hAnsi="Bookman Old Style" w:cs="Tahoma"/>
        </w:rPr>
        <w:t>BLUD</w:t>
      </w:r>
      <w:r w:rsidR="00A954D0">
        <w:rPr>
          <w:rFonts w:ascii="Bookman Old Style" w:hAnsi="Bookman Old Style" w:cs="Tahoma"/>
        </w:rPr>
        <w:t xml:space="preserve"> </w:t>
      </w:r>
      <w:r w:rsidRPr="00727324">
        <w:rPr>
          <w:rFonts w:ascii="Bookman Old Style" w:hAnsi="Bookman Old Style"/>
          <w:lang w:val="it-IT"/>
        </w:rPr>
        <w:t>Rp</w:t>
      </w:r>
      <w:r w:rsidRPr="00385830">
        <w:rPr>
          <w:rFonts w:ascii="Bookman Old Style" w:hAnsi="Bookman Old Style"/>
          <w:lang w:val="it-IT"/>
        </w:rPr>
        <w:t>3.195.275.362,00</w:t>
      </w:r>
      <w:r>
        <w:rPr>
          <w:rFonts w:ascii="Bookman Old Style" w:hAnsi="Bookman Old Style"/>
          <w:lang w:val="id-ID"/>
        </w:rPr>
        <w:t>.</w:t>
      </w:r>
    </w:p>
    <w:p w14:paraId="178FF58F" w14:textId="1814D371" w:rsidR="009D7946" w:rsidRPr="00385830" w:rsidRDefault="00421885" w:rsidP="00600C12">
      <w:pPr>
        <w:pStyle w:val="ListParagraph"/>
        <w:spacing w:before="60" w:after="0" w:line="276" w:lineRule="auto"/>
        <w:ind w:left="1276"/>
        <w:contextualSpacing w:val="0"/>
        <w:jc w:val="both"/>
        <w:rPr>
          <w:rFonts w:ascii="Bookman Old Style" w:hAnsi="Bookman Old Style" w:cs="Arial"/>
          <w:sz w:val="24"/>
          <w:szCs w:val="24"/>
          <w:lang w:val="en-GB"/>
        </w:rPr>
      </w:pPr>
      <w:r w:rsidRPr="00727324">
        <w:rPr>
          <w:rFonts w:ascii="Bookman Old Style" w:hAnsi="Bookman Old Style"/>
          <w:lang w:val="fi-FI"/>
        </w:rPr>
        <w:t>Penyediaan</w:t>
      </w:r>
      <w:r>
        <w:rPr>
          <w:rFonts w:ascii="Bookman Old Style" w:hAnsi="Bookman Old Style" w:cs="Arial"/>
        </w:rPr>
        <w:t xml:space="preserve"> </w:t>
      </w:r>
      <w:r w:rsidRPr="00727324">
        <w:rPr>
          <w:rFonts w:ascii="Bookman Old Style" w:hAnsi="Bookman Old Style" w:cs="Arial"/>
        </w:rPr>
        <w:t>anggaran</w:t>
      </w:r>
      <w:r>
        <w:rPr>
          <w:rFonts w:ascii="Bookman Old Style" w:hAnsi="Bookman Old Style" w:cs="Arial"/>
        </w:rPr>
        <w:t xml:space="preserve"> </w:t>
      </w:r>
      <w:r w:rsidRPr="00727324">
        <w:rPr>
          <w:rFonts w:ascii="Bookman Old Style" w:hAnsi="Bookman Old Style" w:cs="Arial"/>
        </w:rPr>
        <w:t>yang</w:t>
      </w:r>
      <w:r>
        <w:rPr>
          <w:rFonts w:ascii="Bookman Old Style" w:hAnsi="Bookman Old Style" w:cs="Arial"/>
        </w:rPr>
        <w:t xml:space="preserve"> </w:t>
      </w:r>
      <w:r w:rsidRPr="00727324">
        <w:rPr>
          <w:rFonts w:ascii="Bookman Old Style" w:hAnsi="Bookman Old Style" w:cs="Arial"/>
        </w:rPr>
        <w:t>bersumber</w:t>
      </w:r>
      <w:r>
        <w:rPr>
          <w:rFonts w:ascii="Bookman Old Style" w:hAnsi="Bookman Old Style" w:cs="Arial"/>
        </w:rPr>
        <w:t xml:space="preserve"> </w:t>
      </w:r>
      <w:r w:rsidRPr="00727324">
        <w:rPr>
          <w:rFonts w:ascii="Bookman Old Style" w:hAnsi="Bookman Old Style" w:cs="Arial"/>
        </w:rPr>
        <w:t>dari</w:t>
      </w:r>
      <w:r>
        <w:rPr>
          <w:rFonts w:ascii="Bookman Old Style" w:hAnsi="Bookman Old Style" w:cs="Arial"/>
        </w:rPr>
        <w:t xml:space="preserve"> </w:t>
      </w:r>
      <w:r w:rsidRPr="00727324">
        <w:rPr>
          <w:rFonts w:ascii="Bookman Old Style" w:hAnsi="Bookman Old Style" w:cs="Arial"/>
        </w:rPr>
        <w:t>BLUD</w:t>
      </w:r>
      <w:r w:rsidRPr="00385830">
        <w:rPr>
          <w:rFonts w:ascii="Bookman Old Style" w:hAnsi="Bookman Old Style" w:cs="Arial"/>
          <w:b/>
          <w:bCs/>
          <w:sz w:val="24"/>
          <w:szCs w:val="24"/>
          <w:lang w:val="en-GB"/>
        </w:rPr>
        <w:t xml:space="preserve"> </w:t>
      </w:r>
      <w:r>
        <w:rPr>
          <w:rFonts w:ascii="Bookman Old Style" w:hAnsi="Bookman Old Style" w:cs="Arial"/>
          <w:b/>
          <w:bCs/>
          <w:sz w:val="24"/>
          <w:szCs w:val="24"/>
          <w:lang w:val="en-GB"/>
        </w:rPr>
        <w:t>agar di</w:t>
      </w:r>
      <w:r w:rsidR="009D7946" w:rsidRPr="00385830">
        <w:rPr>
          <w:rFonts w:ascii="Bookman Old Style" w:hAnsi="Bookman Old Style" w:cs="Arial"/>
          <w:b/>
          <w:bCs/>
          <w:sz w:val="24"/>
          <w:szCs w:val="24"/>
          <w:lang w:val="en-GB"/>
        </w:rPr>
        <w:t>sesuai</w:t>
      </w:r>
      <w:r>
        <w:rPr>
          <w:rFonts w:ascii="Bookman Old Style" w:hAnsi="Bookman Old Style" w:cs="Arial"/>
          <w:b/>
          <w:bCs/>
          <w:sz w:val="24"/>
          <w:szCs w:val="24"/>
          <w:lang w:val="en-GB"/>
        </w:rPr>
        <w:t>kan</w:t>
      </w:r>
      <w:r w:rsidR="00A954D0">
        <w:rPr>
          <w:rFonts w:ascii="Bookman Old Style" w:hAnsi="Bookman Old Style" w:cs="Arial"/>
          <w:sz w:val="24"/>
          <w:szCs w:val="24"/>
          <w:lang w:val="en-GB"/>
        </w:rPr>
        <w:t xml:space="preserve"> </w:t>
      </w:r>
      <w:r w:rsidR="009D7946" w:rsidRPr="00385830">
        <w:rPr>
          <w:rFonts w:ascii="Bookman Old Style" w:hAnsi="Bookman Old Style" w:cs="Arial"/>
          <w:sz w:val="24"/>
          <w:szCs w:val="24"/>
          <w:lang w:val="en-GB"/>
        </w:rPr>
        <w:t>dengan</w:t>
      </w:r>
      <w:r w:rsidR="00A954D0">
        <w:rPr>
          <w:rFonts w:ascii="Bookman Old Style" w:hAnsi="Bookman Old Style" w:cs="Arial"/>
          <w:sz w:val="24"/>
          <w:szCs w:val="24"/>
          <w:lang w:val="en-GB"/>
        </w:rPr>
        <w:t xml:space="preserve"> </w:t>
      </w:r>
      <w:r w:rsidR="009D7946" w:rsidRPr="00385830">
        <w:rPr>
          <w:rFonts w:ascii="Bookman Old Style" w:hAnsi="Bookman Old Style" w:cs="Arial"/>
          <w:sz w:val="24"/>
          <w:szCs w:val="24"/>
          <w:lang w:val="en-GB"/>
        </w:rPr>
        <w:t>jumlah</w:t>
      </w:r>
      <w:r w:rsidR="00A954D0">
        <w:rPr>
          <w:rFonts w:ascii="Bookman Old Style" w:hAnsi="Bookman Old Style" w:cs="Arial"/>
          <w:sz w:val="24"/>
          <w:szCs w:val="24"/>
          <w:lang w:val="en-GB"/>
        </w:rPr>
        <w:t xml:space="preserve"> </w:t>
      </w:r>
      <w:r w:rsidR="009D7946" w:rsidRPr="00385830">
        <w:rPr>
          <w:rFonts w:ascii="Bookman Old Style" w:hAnsi="Bookman Old Style" w:cs="Arial"/>
          <w:sz w:val="24"/>
          <w:szCs w:val="24"/>
          <w:lang w:val="en-GB"/>
        </w:rPr>
        <w:t>Pendapatan</w:t>
      </w:r>
      <w:r w:rsidR="00A954D0">
        <w:rPr>
          <w:rFonts w:ascii="Bookman Old Style" w:hAnsi="Bookman Old Style" w:cs="Arial"/>
          <w:sz w:val="24"/>
          <w:szCs w:val="24"/>
          <w:lang w:val="en-GB"/>
        </w:rPr>
        <w:t xml:space="preserve"> </w:t>
      </w:r>
      <w:r w:rsidR="009D7946" w:rsidRPr="00385830">
        <w:rPr>
          <w:rFonts w:ascii="Bookman Old Style" w:hAnsi="Bookman Old Style" w:cs="Arial"/>
          <w:sz w:val="24"/>
          <w:szCs w:val="24"/>
          <w:lang w:val="en-GB"/>
        </w:rPr>
        <w:t>yang</w:t>
      </w:r>
      <w:r w:rsidR="00A954D0">
        <w:rPr>
          <w:rFonts w:ascii="Bookman Old Style" w:hAnsi="Bookman Old Style" w:cs="Arial"/>
          <w:sz w:val="24"/>
          <w:szCs w:val="24"/>
          <w:lang w:val="en-GB"/>
        </w:rPr>
        <w:t xml:space="preserve"> </w:t>
      </w:r>
      <w:r w:rsidR="009D7946" w:rsidRPr="00385830">
        <w:rPr>
          <w:rFonts w:ascii="Bookman Old Style" w:hAnsi="Bookman Old Style" w:cs="Arial"/>
          <w:sz w:val="24"/>
          <w:szCs w:val="24"/>
          <w:lang w:val="en-GB"/>
        </w:rPr>
        <w:t>bersumber</w:t>
      </w:r>
      <w:r w:rsidR="00A954D0">
        <w:rPr>
          <w:rFonts w:ascii="Bookman Old Style" w:hAnsi="Bookman Old Style" w:cs="Arial"/>
          <w:sz w:val="24"/>
          <w:szCs w:val="24"/>
          <w:lang w:val="en-GB"/>
        </w:rPr>
        <w:t xml:space="preserve"> </w:t>
      </w:r>
      <w:r w:rsidR="009D7946" w:rsidRPr="00385830">
        <w:rPr>
          <w:rFonts w:ascii="Bookman Old Style" w:hAnsi="Bookman Old Style" w:cs="Arial"/>
          <w:sz w:val="24"/>
          <w:szCs w:val="24"/>
          <w:lang w:val="en-GB"/>
        </w:rPr>
        <w:t>dari</w:t>
      </w:r>
      <w:r w:rsidR="00A954D0">
        <w:rPr>
          <w:rFonts w:ascii="Bookman Old Style" w:hAnsi="Bookman Old Style" w:cs="Arial"/>
          <w:sz w:val="24"/>
          <w:szCs w:val="24"/>
          <w:lang w:val="en-GB"/>
        </w:rPr>
        <w:t xml:space="preserve"> </w:t>
      </w:r>
      <w:r w:rsidR="009D7946" w:rsidRPr="00385830">
        <w:rPr>
          <w:rFonts w:ascii="Bookman Old Style" w:hAnsi="Bookman Old Style" w:cs="Arial"/>
          <w:sz w:val="24"/>
          <w:szCs w:val="24"/>
          <w:lang w:val="en-GB"/>
        </w:rPr>
        <w:t>Jenis</w:t>
      </w:r>
      <w:r w:rsidR="00A954D0">
        <w:rPr>
          <w:rFonts w:ascii="Bookman Old Style" w:hAnsi="Bookman Old Style" w:cs="Arial"/>
          <w:sz w:val="24"/>
          <w:szCs w:val="24"/>
          <w:lang w:val="en-GB"/>
        </w:rPr>
        <w:t xml:space="preserve"> </w:t>
      </w:r>
      <w:r w:rsidR="009D7946" w:rsidRPr="003255BC">
        <w:rPr>
          <w:rFonts w:ascii="Bookman Old Style" w:hAnsi="Bookman Old Style" w:cs="Arial"/>
          <w:sz w:val="24"/>
          <w:szCs w:val="24"/>
          <w:lang w:val="en-ID"/>
        </w:rPr>
        <w:t>Pendapatan</w:t>
      </w:r>
      <w:r w:rsidR="00A954D0">
        <w:rPr>
          <w:rFonts w:ascii="Bookman Old Style" w:hAnsi="Bookman Old Style" w:cs="Arial"/>
          <w:sz w:val="24"/>
          <w:szCs w:val="24"/>
          <w:lang w:val="en-GB"/>
        </w:rPr>
        <w:t xml:space="preserve"> </w:t>
      </w:r>
      <w:r w:rsidR="00DD498F">
        <w:rPr>
          <w:rFonts w:ascii="Bookman Old Style" w:hAnsi="Bookman Old Style" w:cs="Arial"/>
          <w:sz w:val="24"/>
          <w:szCs w:val="24"/>
          <w:lang w:val="en-GB"/>
        </w:rPr>
        <w:t>Retribusi</w:t>
      </w:r>
      <w:r w:rsidR="00A954D0">
        <w:rPr>
          <w:rFonts w:ascii="Bookman Old Style" w:hAnsi="Bookman Old Style" w:cs="Arial"/>
          <w:sz w:val="24"/>
          <w:szCs w:val="24"/>
          <w:lang w:val="en-GB"/>
        </w:rPr>
        <w:t xml:space="preserve"> </w:t>
      </w:r>
      <w:r w:rsidR="00DD498F">
        <w:rPr>
          <w:rFonts w:ascii="Bookman Old Style" w:hAnsi="Bookman Old Style" w:cs="Arial"/>
          <w:sz w:val="24"/>
          <w:szCs w:val="24"/>
          <w:lang w:val="en-GB"/>
        </w:rPr>
        <w:t>Daerah</w:t>
      </w:r>
      <w:r w:rsidR="009D7946" w:rsidRPr="00385830">
        <w:rPr>
          <w:rFonts w:ascii="Bookman Old Style" w:hAnsi="Bookman Old Style" w:cs="Arial"/>
          <w:sz w:val="24"/>
          <w:szCs w:val="24"/>
          <w:lang w:val="en-GB"/>
        </w:rPr>
        <w:t>,</w:t>
      </w:r>
      <w:r w:rsidR="00A954D0">
        <w:rPr>
          <w:rFonts w:ascii="Bookman Old Style" w:hAnsi="Bookman Old Style" w:cs="Arial"/>
          <w:sz w:val="24"/>
          <w:szCs w:val="24"/>
          <w:lang w:val="en-GB"/>
        </w:rPr>
        <w:t xml:space="preserve"> </w:t>
      </w:r>
      <w:r w:rsidR="009D7946" w:rsidRPr="00385830">
        <w:rPr>
          <w:rFonts w:ascii="Bookman Old Style" w:hAnsi="Bookman Old Style" w:cs="Arial"/>
          <w:sz w:val="24"/>
          <w:szCs w:val="24"/>
          <w:lang w:val="en-GB"/>
        </w:rPr>
        <w:t>Objek</w:t>
      </w:r>
      <w:r w:rsidR="00A954D0">
        <w:rPr>
          <w:rFonts w:ascii="Bookman Old Style" w:hAnsi="Bookman Old Style" w:cs="Arial"/>
          <w:sz w:val="24"/>
          <w:szCs w:val="24"/>
          <w:lang w:val="en-GB"/>
        </w:rPr>
        <w:t xml:space="preserve"> </w:t>
      </w:r>
      <w:r w:rsidR="009D7946" w:rsidRPr="00385830">
        <w:rPr>
          <w:rFonts w:ascii="Bookman Old Style" w:hAnsi="Bookman Old Style" w:cs="Arial"/>
          <w:sz w:val="24"/>
          <w:szCs w:val="24"/>
          <w:lang w:val="en-GB"/>
        </w:rPr>
        <w:t>Pendapatan</w:t>
      </w:r>
      <w:r w:rsidR="00A954D0">
        <w:rPr>
          <w:rFonts w:ascii="Bookman Old Style" w:hAnsi="Bookman Old Style" w:cs="Arial"/>
          <w:sz w:val="24"/>
          <w:szCs w:val="24"/>
          <w:lang w:val="en-GB"/>
        </w:rPr>
        <w:t xml:space="preserve"> </w:t>
      </w:r>
      <w:r w:rsidR="00DD498F">
        <w:rPr>
          <w:rFonts w:ascii="Bookman Old Style" w:hAnsi="Bookman Old Style" w:cs="Arial"/>
          <w:sz w:val="24"/>
          <w:szCs w:val="24"/>
          <w:lang w:val="en-GB"/>
        </w:rPr>
        <w:t>Retribusi</w:t>
      </w:r>
      <w:r w:rsidR="00A954D0">
        <w:rPr>
          <w:rFonts w:ascii="Bookman Old Style" w:hAnsi="Bookman Old Style" w:cs="Arial"/>
          <w:sz w:val="24"/>
          <w:szCs w:val="24"/>
          <w:lang w:val="en-GB"/>
        </w:rPr>
        <w:t xml:space="preserve"> </w:t>
      </w:r>
      <w:r w:rsidR="00DD498F">
        <w:rPr>
          <w:rFonts w:ascii="Bookman Old Style" w:hAnsi="Bookman Old Style" w:cs="Arial"/>
          <w:sz w:val="24"/>
          <w:szCs w:val="24"/>
          <w:lang w:val="en-GB"/>
        </w:rPr>
        <w:t>Pendapatan</w:t>
      </w:r>
      <w:r w:rsidR="00A954D0">
        <w:rPr>
          <w:rFonts w:ascii="Bookman Old Style" w:hAnsi="Bookman Old Style" w:cs="Arial"/>
          <w:sz w:val="24"/>
          <w:szCs w:val="24"/>
          <w:lang w:val="en-GB"/>
        </w:rPr>
        <w:t xml:space="preserve"> </w:t>
      </w:r>
      <w:r w:rsidR="00DD498F">
        <w:rPr>
          <w:rFonts w:ascii="Bookman Old Style" w:hAnsi="Bookman Old Style" w:cs="Arial"/>
          <w:sz w:val="24"/>
          <w:szCs w:val="24"/>
          <w:lang w:val="en-GB"/>
        </w:rPr>
        <w:t>Jasa</w:t>
      </w:r>
      <w:r w:rsidR="00A954D0">
        <w:rPr>
          <w:rFonts w:ascii="Bookman Old Style" w:hAnsi="Bookman Old Style" w:cs="Arial"/>
          <w:sz w:val="24"/>
          <w:szCs w:val="24"/>
          <w:lang w:val="en-GB"/>
        </w:rPr>
        <w:t xml:space="preserve"> </w:t>
      </w:r>
      <w:r w:rsidR="00DD498F">
        <w:rPr>
          <w:rFonts w:ascii="Bookman Old Style" w:hAnsi="Bookman Old Style" w:cs="Arial"/>
          <w:sz w:val="24"/>
          <w:szCs w:val="24"/>
          <w:lang w:val="en-GB"/>
        </w:rPr>
        <w:t>Umum,</w:t>
      </w:r>
      <w:r w:rsidR="00A954D0">
        <w:rPr>
          <w:rFonts w:ascii="Bookman Old Style" w:hAnsi="Bookman Old Style" w:cs="Arial"/>
          <w:sz w:val="24"/>
          <w:szCs w:val="24"/>
          <w:lang w:val="en-GB"/>
        </w:rPr>
        <w:t xml:space="preserve"> </w:t>
      </w:r>
      <w:r w:rsidR="00DD498F">
        <w:rPr>
          <w:rFonts w:ascii="Bookman Old Style" w:hAnsi="Bookman Old Style" w:cs="Arial"/>
          <w:sz w:val="24"/>
          <w:szCs w:val="24"/>
          <w:lang w:val="en-GB"/>
        </w:rPr>
        <w:t>Rincian</w:t>
      </w:r>
      <w:r w:rsidR="00A954D0">
        <w:rPr>
          <w:rFonts w:ascii="Bookman Old Style" w:hAnsi="Bookman Old Style" w:cs="Arial"/>
          <w:sz w:val="24"/>
          <w:szCs w:val="24"/>
          <w:lang w:val="en-GB"/>
        </w:rPr>
        <w:t xml:space="preserve"> </w:t>
      </w:r>
      <w:r w:rsidR="00DD498F">
        <w:rPr>
          <w:rFonts w:ascii="Bookman Old Style" w:hAnsi="Bookman Old Style" w:cs="Arial"/>
          <w:sz w:val="24"/>
          <w:szCs w:val="24"/>
          <w:lang w:val="en-GB"/>
        </w:rPr>
        <w:t>Objek</w:t>
      </w:r>
      <w:r w:rsidR="00A954D0">
        <w:rPr>
          <w:rFonts w:ascii="Bookman Old Style" w:hAnsi="Bookman Old Style" w:cs="Arial"/>
          <w:sz w:val="24"/>
          <w:szCs w:val="24"/>
          <w:lang w:val="en-GB"/>
        </w:rPr>
        <w:t xml:space="preserve"> </w:t>
      </w:r>
      <w:r w:rsidR="00DD498F">
        <w:rPr>
          <w:rFonts w:ascii="Bookman Old Style" w:hAnsi="Bookman Old Style" w:cs="Arial"/>
          <w:sz w:val="24"/>
          <w:szCs w:val="24"/>
          <w:lang w:val="en-GB"/>
        </w:rPr>
        <w:t>Retribusi</w:t>
      </w:r>
      <w:r w:rsidR="00A954D0">
        <w:rPr>
          <w:rFonts w:ascii="Bookman Old Style" w:hAnsi="Bookman Old Style" w:cs="Arial"/>
          <w:sz w:val="24"/>
          <w:szCs w:val="24"/>
          <w:lang w:val="en-GB"/>
        </w:rPr>
        <w:t xml:space="preserve"> </w:t>
      </w:r>
      <w:r w:rsidR="00DD498F">
        <w:rPr>
          <w:rFonts w:ascii="Bookman Old Style" w:hAnsi="Bookman Old Style" w:cs="Arial"/>
          <w:sz w:val="24"/>
          <w:szCs w:val="24"/>
          <w:lang w:val="en-GB"/>
        </w:rPr>
        <w:t>Pelayanan</w:t>
      </w:r>
      <w:r w:rsidR="00A954D0">
        <w:rPr>
          <w:rFonts w:ascii="Bookman Old Style" w:hAnsi="Bookman Old Style" w:cs="Arial"/>
          <w:sz w:val="24"/>
          <w:szCs w:val="24"/>
          <w:lang w:val="en-GB"/>
        </w:rPr>
        <w:t xml:space="preserve"> </w:t>
      </w:r>
      <w:r w:rsidR="00DD498F">
        <w:rPr>
          <w:rFonts w:ascii="Bookman Old Style" w:hAnsi="Bookman Old Style" w:cs="Arial"/>
          <w:sz w:val="24"/>
          <w:szCs w:val="24"/>
          <w:lang w:val="en-GB"/>
        </w:rPr>
        <w:t>Kesehatan</w:t>
      </w:r>
      <w:r w:rsidR="00A954D0">
        <w:rPr>
          <w:rFonts w:ascii="Bookman Old Style" w:hAnsi="Bookman Old Style" w:cs="Arial"/>
          <w:sz w:val="24"/>
          <w:szCs w:val="24"/>
          <w:lang w:val="en-GB"/>
        </w:rPr>
        <w:t xml:space="preserve"> </w:t>
      </w:r>
      <w:r w:rsidR="009D7946" w:rsidRPr="00385830">
        <w:rPr>
          <w:rFonts w:ascii="Bookman Old Style" w:hAnsi="Bookman Old Style" w:cs="Arial"/>
          <w:sz w:val="24"/>
          <w:szCs w:val="24"/>
          <w:lang w:val="en-GB"/>
        </w:rPr>
        <w:t>sebesar</w:t>
      </w:r>
      <w:r w:rsidR="00A954D0">
        <w:rPr>
          <w:rFonts w:ascii="Bookman Old Style" w:hAnsi="Bookman Old Style" w:cs="Arial"/>
          <w:sz w:val="24"/>
          <w:szCs w:val="24"/>
          <w:lang w:val="en-GB"/>
        </w:rPr>
        <w:t xml:space="preserve"> </w:t>
      </w:r>
      <w:r w:rsidR="009D7946" w:rsidRPr="00385830">
        <w:rPr>
          <w:rFonts w:ascii="Bookman Old Style" w:hAnsi="Bookman Old Style"/>
          <w:sz w:val="24"/>
          <w:szCs w:val="24"/>
          <w:lang w:val="it-IT"/>
        </w:rPr>
        <w:t>Rp</w:t>
      </w:r>
      <w:r w:rsidR="009D7946" w:rsidRPr="00385830">
        <w:rPr>
          <w:rFonts w:ascii="Bookman Old Style" w:hAnsi="Bookman Old Style" w:cs="Arial"/>
          <w:sz w:val="24"/>
          <w:szCs w:val="24"/>
          <w:lang w:val="en-GB"/>
        </w:rPr>
        <w:t>204.224.226.71</w:t>
      </w:r>
      <w:r w:rsidR="00DD498F">
        <w:rPr>
          <w:rFonts w:ascii="Bookman Old Style" w:hAnsi="Bookman Old Style" w:cs="Arial"/>
          <w:sz w:val="24"/>
          <w:szCs w:val="24"/>
          <w:lang w:val="en-GB"/>
        </w:rPr>
        <w:t>4</w:t>
      </w:r>
      <w:r w:rsidR="009D7946" w:rsidRPr="00385830">
        <w:rPr>
          <w:rFonts w:ascii="Bookman Old Style" w:hAnsi="Bookman Old Style" w:cs="Arial"/>
          <w:sz w:val="24"/>
          <w:szCs w:val="24"/>
          <w:lang w:val="en-GB"/>
        </w:rPr>
        <w:t>,00.</w:t>
      </w:r>
    </w:p>
    <w:p w14:paraId="5D311A5D" w14:textId="34B5F4EB" w:rsidR="009E7D10" w:rsidRDefault="009D7946" w:rsidP="00600C12">
      <w:pPr>
        <w:pStyle w:val="ListParagraph"/>
        <w:spacing w:before="60" w:after="0" w:line="276" w:lineRule="auto"/>
        <w:ind w:left="1276"/>
        <w:contextualSpacing w:val="0"/>
        <w:jc w:val="both"/>
        <w:rPr>
          <w:rFonts w:ascii="Bookman Old Style" w:hAnsi="Bookman Old Style" w:cs="Arial"/>
          <w:sz w:val="24"/>
          <w:szCs w:val="24"/>
        </w:rPr>
      </w:pPr>
      <w:r w:rsidRPr="00B443F4">
        <w:rPr>
          <w:rFonts w:ascii="Bookman Old Style" w:hAnsi="Bookman Old Style" w:cs="Arial"/>
          <w:sz w:val="24"/>
          <w:szCs w:val="24"/>
          <w:lang w:val="sv-FI"/>
        </w:rPr>
        <w:t>A</w:t>
      </w:r>
      <w:r w:rsidRPr="00B443F4">
        <w:rPr>
          <w:rFonts w:ascii="Bookman Old Style" w:hAnsi="Bookman Old Style" w:cs="Arial"/>
          <w:sz w:val="24"/>
          <w:szCs w:val="24"/>
          <w:lang w:val="id-ID"/>
        </w:rPr>
        <w:t>l</w:t>
      </w:r>
      <w:r w:rsidRPr="00B443F4">
        <w:rPr>
          <w:rFonts w:ascii="Bookman Old Style" w:hAnsi="Bookman Old Style" w:cs="Arial"/>
          <w:sz w:val="24"/>
          <w:szCs w:val="24"/>
          <w:lang w:val="sv-FI"/>
        </w:rPr>
        <w:t>okasi</w:t>
      </w:r>
      <w:r w:rsidR="00A954D0">
        <w:rPr>
          <w:rFonts w:ascii="Bookman Old Style" w:hAnsi="Bookman Old Style" w:cs="Arial"/>
          <w:sz w:val="24"/>
          <w:szCs w:val="24"/>
        </w:rPr>
        <w:t xml:space="preserve"> </w:t>
      </w:r>
      <w:r w:rsidRPr="00B443F4">
        <w:rPr>
          <w:rFonts w:ascii="Bookman Old Style" w:hAnsi="Bookman Old Style" w:cs="Arial"/>
          <w:sz w:val="24"/>
          <w:szCs w:val="24"/>
        </w:rPr>
        <w:t>anggaran</w:t>
      </w:r>
      <w:r w:rsidR="00A954D0">
        <w:rPr>
          <w:rFonts w:ascii="Bookman Old Style" w:hAnsi="Bookman Old Style" w:cs="Arial"/>
          <w:sz w:val="24"/>
          <w:szCs w:val="24"/>
        </w:rPr>
        <w:t xml:space="preserve"> </w:t>
      </w:r>
      <w:r w:rsidRPr="00B443F4">
        <w:rPr>
          <w:rFonts w:ascii="Bookman Old Style" w:hAnsi="Bookman Old Style" w:cs="Arial"/>
          <w:sz w:val="24"/>
          <w:szCs w:val="24"/>
          <w:lang w:val="sv-FI"/>
        </w:rPr>
        <w:t>belanja</w:t>
      </w:r>
      <w:r w:rsidR="00A954D0">
        <w:rPr>
          <w:rFonts w:ascii="Bookman Old Style" w:hAnsi="Bookman Old Style" w:cs="Arial"/>
          <w:sz w:val="24"/>
          <w:szCs w:val="24"/>
          <w:lang w:val="sv-FI"/>
        </w:rPr>
        <w:t xml:space="preserve"> </w:t>
      </w:r>
      <w:r w:rsidRPr="00B443F4">
        <w:rPr>
          <w:rFonts w:ascii="Bookman Old Style" w:hAnsi="Bookman Old Style" w:cs="Arial"/>
          <w:sz w:val="24"/>
          <w:szCs w:val="24"/>
        </w:rPr>
        <w:t>yang</w:t>
      </w:r>
      <w:r w:rsidR="00A954D0">
        <w:rPr>
          <w:rFonts w:ascii="Bookman Old Style" w:hAnsi="Bookman Old Style" w:cs="Arial"/>
          <w:sz w:val="24"/>
          <w:szCs w:val="24"/>
        </w:rPr>
        <w:t xml:space="preserve"> </w:t>
      </w:r>
      <w:r w:rsidRPr="00B443F4">
        <w:rPr>
          <w:rFonts w:ascii="Bookman Old Style" w:hAnsi="Bookman Old Style" w:cs="Arial"/>
          <w:sz w:val="24"/>
          <w:szCs w:val="24"/>
        </w:rPr>
        <w:t>bersumber</w:t>
      </w:r>
      <w:r w:rsidR="00A954D0">
        <w:rPr>
          <w:rFonts w:ascii="Bookman Old Style" w:hAnsi="Bookman Old Style" w:cs="Arial"/>
          <w:sz w:val="24"/>
          <w:szCs w:val="24"/>
        </w:rPr>
        <w:t xml:space="preserve"> </w:t>
      </w:r>
      <w:r w:rsidRPr="00B443F4">
        <w:rPr>
          <w:rFonts w:ascii="Bookman Old Style" w:hAnsi="Bookman Old Style" w:cs="Arial"/>
          <w:sz w:val="24"/>
          <w:szCs w:val="24"/>
        </w:rPr>
        <w:t>dari</w:t>
      </w:r>
      <w:r w:rsidR="00A954D0">
        <w:rPr>
          <w:rFonts w:ascii="Bookman Old Style" w:hAnsi="Bookman Old Style" w:cs="Arial"/>
          <w:sz w:val="24"/>
          <w:szCs w:val="24"/>
        </w:rPr>
        <w:t xml:space="preserve"> </w:t>
      </w:r>
      <w:r w:rsidRPr="00B443F4">
        <w:rPr>
          <w:rFonts w:ascii="Bookman Old Style" w:hAnsi="Bookman Old Style" w:cs="Arial"/>
          <w:sz w:val="24"/>
          <w:szCs w:val="24"/>
        </w:rPr>
        <w:t>BLUD</w:t>
      </w:r>
      <w:r w:rsidR="00A954D0">
        <w:rPr>
          <w:rFonts w:ascii="Bookman Old Style" w:hAnsi="Bookman Old Style" w:cs="Arial"/>
          <w:sz w:val="24"/>
          <w:szCs w:val="24"/>
        </w:rPr>
        <w:t xml:space="preserve"> </w:t>
      </w:r>
      <w:r w:rsidRPr="00B443F4">
        <w:rPr>
          <w:rFonts w:ascii="Bookman Old Style" w:hAnsi="Bookman Old Style" w:cs="Arial"/>
          <w:sz w:val="24"/>
          <w:szCs w:val="24"/>
        </w:rPr>
        <w:t>dianggarkan</w:t>
      </w:r>
      <w:r w:rsidR="00A954D0">
        <w:rPr>
          <w:rFonts w:ascii="Bookman Old Style" w:hAnsi="Bookman Old Style" w:cs="Arial"/>
          <w:sz w:val="24"/>
          <w:szCs w:val="24"/>
        </w:rPr>
        <w:t xml:space="preserve"> </w:t>
      </w:r>
      <w:r w:rsidRPr="00B443F4">
        <w:rPr>
          <w:rFonts w:ascii="Bookman Old Style" w:hAnsi="Bookman Old Style" w:cs="Arial"/>
          <w:sz w:val="24"/>
          <w:szCs w:val="24"/>
        </w:rPr>
        <w:t>dalam</w:t>
      </w:r>
      <w:r w:rsidR="00A954D0">
        <w:rPr>
          <w:rFonts w:ascii="Bookman Old Style" w:hAnsi="Bookman Old Style" w:cs="Arial"/>
          <w:sz w:val="24"/>
          <w:szCs w:val="24"/>
        </w:rPr>
        <w:t xml:space="preserve"> </w:t>
      </w:r>
      <w:r w:rsidRPr="00B443F4">
        <w:rPr>
          <w:rFonts w:ascii="Bookman Old Style" w:hAnsi="Bookman Old Style" w:cs="Arial"/>
          <w:sz w:val="24"/>
          <w:szCs w:val="24"/>
        </w:rPr>
        <w:t>Rancangan</w:t>
      </w:r>
      <w:r w:rsidR="00A954D0">
        <w:rPr>
          <w:rFonts w:ascii="Bookman Old Style" w:hAnsi="Bookman Old Style" w:cs="Arial"/>
          <w:sz w:val="24"/>
          <w:szCs w:val="24"/>
        </w:rPr>
        <w:t xml:space="preserve"> </w:t>
      </w:r>
      <w:r w:rsidRPr="00B443F4">
        <w:rPr>
          <w:rFonts w:ascii="Bookman Old Style" w:hAnsi="Bookman Old Style" w:cs="Arial"/>
          <w:sz w:val="24"/>
          <w:szCs w:val="24"/>
        </w:rPr>
        <w:t>Peraturan</w:t>
      </w:r>
      <w:r w:rsidR="00A954D0">
        <w:rPr>
          <w:rFonts w:ascii="Bookman Old Style" w:hAnsi="Bookman Old Style" w:cs="Arial"/>
          <w:sz w:val="24"/>
          <w:szCs w:val="24"/>
        </w:rPr>
        <w:t xml:space="preserve"> </w:t>
      </w:r>
      <w:r w:rsidRPr="00B443F4">
        <w:rPr>
          <w:rFonts w:ascii="Bookman Old Style" w:hAnsi="Bookman Old Style" w:cs="Arial"/>
          <w:sz w:val="24"/>
          <w:szCs w:val="24"/>
        </w:rPr>
        <w:t>Daerah</w:t>
      </w:r>
      <w:r w:rsidR="00A954D0">
        <w:rPr>
          <w:rFonts w:ascii="Bookman Old Style" w:hAnsi="Bookman Old Style" w:cs="Arial"/>
          <w:sz w:val="24"/>
          <w:szCs w:val="24"/>
        </w:rPr>
        <w:t xml:space="preserve"> </w:t>
      </w:r>
      <w:r>
        <w:rPr>
          <w:rFonts w:ascii="Bookman Old Style" w:hAnsi="Bookman Old Style"/>
          <w:sz w:val="24"/>
          <w:szCs w:val="24"/>
          <w:lang w:val="fi-FI"/>
        </w:rPr>
        <w:t>Kota</w:t>
      </w:r>
      <w:r w:rsidR="00A954D0">
        <w:rPr>
          <w:rFonts w:ascii="Bookman Old Style" w:hAnsi="Bookman Old Style"/>
          <w:sz w:val="24"/>
          <w:szCs w:val="24"/>
          <w:lang w:val="fi-FI"/>
        </w:rPr>
        <w:t xml:space="preserve"> </w:t>
      </w:r>
      <w:r>
        <w:rPr>
          <w:rFonts w:ascii="Bookman Old Style" w:hAnsi="Bookman Old Style"/>
          <w:sz w:val="24"/>
          <w:szCs w:val="24"/>
          <w:lang w:val="fi-FI"/>
        </w:rPr>
        <w:t>Tangerang</w:t>
      </w:r>
      <w:r w:rsidR="00A954D0">
        <w:rPr>
          <w:rFonts w:ascii="Bookman Old Style" w:hAnsi="Bookman Old Style"/>
          <w:sz w:val="24"/>
          <w:szCs w:val="24"/>
          <w:lang w:val="fi-FI"/>
        </w:rPr>
        <w:t xml:space="preserve"> </w:t>
      </w:r>
      <w:r w:rsidRPr="00B443F4">
        <w:rPr>
          <w:rFonts w:ascii="Bookman Old Style" w:hAnsi="Bookman Old Style" w:cs="Arial"/>
          <w:sz w:val="24"/>
          <w:szCs w:val="24"/>
        </w:rPr>
        <w:t>tentang</w:t>
      </w:r>
      <w:r w:rsidR="00A954D0">
        <w:rPr>
          <w:rFonts w:ascii="Bookman Old Style" w:hAnsi="Bookman Old Style" w:cs="Arial"/>
          <w:sz w:val="24"/>
          <w:szCs w:val="24"/>
        </w:rPr>
        <w:t xml:space="preserve"> </w:t>
      </w:r>
      <w:r w:rsidRPr="00B443F4">
        <w:rPr>
          <w:rFonts w:ascii="Bookman Old Style" w:hAnsi="Bookman Old Style" w:cs="Arial"/>
          <w:sz w:val="24"/>
          <w:szCs w:val="24"/>
        </w:rPr>
        <w:t>APBD</w:t>
      </w:r>
      <w:r w:rsidR="00A954D0">
        <w:rPr>
          <w:rFonts w:ascii="Bookman Old Style" w:hAnsi="Bookman Old Style" w:cs="Arial"/>
          <w:sz w:val="24"/>
          <w:szCs w:val="24"/>
        </w:rPr>
        <w:t xml:space="preserve"> </w:t>
      </w:r>
      <w:r w:rsidRPr="00B443F4">
        <w:rPr>
          <w:rFonts w:ascii="Bookman Old Style" w:hAnsi="Bookman Old Style" w:cs="Arial"/>
          <w:sz w:val="24"/>
          <w:szCs w:val="24"/>
        </w:rPr>
        <w:t>Tahun</w:t>
      </w:r>
      <w:r w:rsidR="00A954D0">
        <w:rPr>
          <w:rFonts w:ascii="Bookman Old Style" w:hAnsi="Bookman Old Style" w:cs="Arial"/>
          <w:sz w:val="24"/>
          <w:szCs w:val="24"/>
        </w:rPr>
        <w:t xml:space="preserve"> </w:t>
      </w:r>
      <w:r w:rsidRPr="00B443F4">
        <w:rPr>
          <w:rFonts w:ascii="Bookman Old Style" w:hAnsi="Bookman Old Style" w:cs="Arial"/>
          <w:sz w:val="24"/>
          <w:szCs w:val="24"/>
        </w:rPr>
        <w:t>Anggaran</w:t>
      </w:r>
      <w:r w:rsidR="00A954D0">
        <w:rPr>
          <w:rFonts w:ascii="Bookman Old Style" w:hAnsi="Bookman Old Style" w:cs="Arial"/>
          <w:sz w:val="24"/>
          <w:szCs w:val="24"/>
        </w:rPr>
        <w:t xml:space="preserve"> </w:t>
      </w:r>
      <w:r w:rsidRPr="00B443F4">
        <w:rPr>
          <w:rFonts w:ascii="Bookman Old Style" w:hAnsi="Bookman Old Style" w:cs="Arial"/>
          <w:sz w:val="24"/>
          <w:szCs w:val="24"/>
        </w:rPr>
        <w:t>202</w:t>
      </w:r>
      <w:r w:rsidRPr="00B443F4">
        <w:rPr>
          <w:rFonts w:ascii="Bookman Old Style" w:hAnsi="Bookman Old Style" w:cs="Arial"/>
          <w:sz w:val="24"/>
          <w:szCs w:val="24"/>
          <w:lang w:val="sv-FI"/>
        </w:rPr>
        <w:t>5</w:t>
      </w:r>
      <w:r w:rsidR="00A954D0">
        <w:rPr>
          <w:rFonts w:ascii="Bookman Old Style" w:hAnsi="Bookman Old Style" w:cs="Arial"/>
          <w:sz w:val="24"/>
          <w:szCs w:val="24"/>
        </w:rPr>
        <w:t xml:space="preserve"> </w:t>
      </w:r>
      <w:r w:rsidRPr="00B443F4">
        <w:rPr>
          <w:rFonts w:ascii="Bookman Old Style" w:hAnsi="Bookman Old Style" w:cs="Arial"/>
          <w:sz w:val="24"/>
          <w:szCs w:val="24"/>
          <w:lang w:val="sv-FI"/>
        </w:rPr>
        <w:t>sebagaimana</w:t>
      </w:r>
      <w:r w:rsidR="00A954D0">
        <w:rPr>
          <w:rFonts w:ascii="Bookman Old Style" w:hAnsi="Bookman Old Style" w:cs="Arial"/>
          <w:sz w:val="24"/>
          <w:szCs w:val="24"/>
          <w:lang w:val="sv-FI"/>
        </w:rPr>
        <w:t xml:space="preserve"> </w:t>
      </w:r>
      <w:r w:rsidRPr="00B443F4">
        <w:rPr>
          <w:rFonts w:ascii="Bookman Old Style" w:hAnsi="Bookman Old Style" w:cs="Arial"/>
          <w:sz w:val="24"/>
          <w:szCs w:val="24"/>
          <w:lang w:val="sv-FI"/>
        </w:rPr>
        <w:t>diamanatkan</w:t>
      </w:r>
      <w:r w:rsidR="00A954D0">
        <w:rPr>
          <w:rFonts w:ascii="Bookman Old Style" w:hAnsi="Bookman Old Style" w:cs="Arial"/>
          <w:sz w:val="24"/>
          <w:szCs w:val="24"/>
          <w:lang w:val="sv-FI"/>
        </w:rPr>
        <w:t xml:space="preserve"> </w:t>
      </w:r>
      <w:r w:rsidRPr="00B443F4">
        <w:rPr>
          <w:rFonts w:ascii="Bookman Old Style" w:hAnsi="Bookman Old Style" w:cs="Arial"/>
          <w:sz w:val="24"/>
          <w:szCs w:val="24"/>
          <w:lang w:val="sv-FI"/>
        </w:rPr>
        <w:t>dalam</w:t>
      </w:r>
      <w:r w:rsidR="00A954D0">
        <w:rPr>
          <w:rFonts w:ascii="Bookman Old Style" w:hAnsi="Bookman Old Style"/>
          <w:sz w:val="24"/>
          <w:szCs w:val="24"/>
        </w:rPr>
        <w:t xml:space="preserve"> </w:t>
      </w:r>
      <w:r w:rsidRPr="00B443F4">
        <w:rPr>
          <w:rFonts w:ascii="Bookman Old Style" w:hAnsi="Bookman Old Style"/>
          <w:sz w:val="24"/>
          <w:szCs w:val="24"/>
        </w:rPr>
        <w:t>Undang-Undang</w:t>
      </w:r>
      <w:r w:rsidR="00A954D0">
        <w:rPr>
          <w:rFonts w:ascii="Bookman Old Style" w:hAnsi="Bookman Old Style"/>
          <w:sz w:val="24"/>
          <w:szCs w:val="24"/>
        </w:rPr>
        <w:t xml:space="preserve"> </w:t>
      </w:r>
      <w:r w:rsidRPr="00B443F4">
        <w:rPr>
          <w:rFonts w:ascii="Bookman Old Style" w:hAnsi="Bookman Old Style"/>
          <w:sz w:val="24"/>
          <w:szCs w:val="24"/>
        </w:rPr>
        <w:t>Nomor</w:t>
      </w:r>
      <w:r w:rsidR="00A954D0">
        <w:rPr>
          <w:rFonts w:ascii="Bookman Old Style" w:hAnsi="Bookman Old Style"/>
          <w:sz w:val="24"/>
          <w:szCs w:val="24"/>
        </w:rPr>
        <w:t xml:space="preserve"> </w:t>
      </w:r>
      <w:r w:rsidRPr="00B443F4">
        <w:rPr>
          <w:rFonts w:ascii="Bookman Old Style" w:hAnsi="Bookman Old Style"/>
          <w:sz w:val="24"/>
          <w:szCs w:val="24"/>
        </w:rPr>
        <w:t>23</w:t>
      </w:r>
      <w:r w:rsidR="00A954D0">
        <w:rPr>
          <w:rFonts w:ascii="Bookman Old Style" w:hAnsi="Bookman Old Style"/>
          <w:sz w:val="24"/>
          <w:szCs w:val="24"/>
        </w:rPr>
        <w:t xml:space="preserve"> </w:t>
      </w:r>
      <w:r w:rsidRPr="003255BC">
        <w:rPr>
          <w:rFonts w:ascii="Bookman Old Style" w:hAnsi="Bookman Old Style" w:cs="Arial"/>
          <w:sz w:val="24"/>
          <w:szCs w:val="24"/>
          <w:lang w:val="sv-FI"/>
        </w:rPr>
        <w:t>Tahun</w:t>
      </w:r>
      <w:r w:rsidR="00A954D0">
        <w:rPr>
          <w:rFonts w:ascii="Bookman Old Style" w:hAnsi="Bookman Old Style"/>
          <w:sz w:val="24"/>
          <w:szCs w:val="24"/>
        </w:rPr>
        <w:t xml:space="preserve"> </w:t>
      </w:r>
      <w:r w:rsidRPr="00B443F4">
        <w:rPr>
          <w:rFonts w:ascii="Bookman Old Style" w:hAnsi="Bookman Old Style"/>
          <w:sz w:val="24"/>
          <w:szCs w:val="24"/>
        </w:rPr>
        <w:t>2014</w:t>
      </w:r>
      <w:r w:rsidRPr="00B443F4">
        <w:rPr>
          <w:rFonts w:ascii="Bookman Old Style" w:hAnsi="Bookman Old Style"/>
          <w:sz w:val="24"/>
          <w:szCs w:val="24"/>
          <w:lang w:val="sv-FI"/>
        </w:rPr>
        <w:t>,</w:t>
      </w:r>
      <w:r w:rsidR="00A954D0">
        <w:rPr>
          <w:rFonts w:ascii="Bookman Old Style" w:hAnsi="Bookman Old Style"/>
          <w:sz w:val="24"/>
          <w:szCs w:val="24"/>
        </w:rPr>
        <w:t xml:space="preserve"> </w:t>
      </w:r>
      <w:r w:rsidRPr="00B443F4">
        <w:rPr>
          <w:rFonts w:ascii="Bookman Old Style" w:hAnsi="Bookman Old Style"/>
          <w:sz w:val="24"/>
          <w:szCs w:val="24"/>
        </w:rPr>
        <w:t>sebagaimana</w:t>
      </w:r>
      <w:r w:rsidR="00A954D0">
        <w:rPr>
          <w:rFonts w:ascii="Bookman Old Style" w:hAnsi="Bookman Old Style"/>
          <w:sz w:val="24"/>
          <w:szCs w:val="24"/>
        </w:rPr>
        <w:t xml:space="preserve"> </w:t>
      </w:r>
      <w:r w:rsidRPr="00B443F4">
        <w:rPr>
          <w:rFonts w:ascii="Bookman Old Style" w:hAnsi="Bookman Old Style"/>
          <w:sz w:val="24"/>
          <w:szCs w:val="24"/>
        </w:rPr>
        <w:t>telah</w:t>
      </w:r>
      <w:r w:rsidR="00A954D0">
        <w:rPr>
          <w:rFonts w:ascii="Bookman Old Style" w:hAnsi="Bookman Old Style"/>
          <w:sz w:val="24"/>
          <w:szCs w:val="24"/>
        </w:rPr>
        <w:t xml:space="preserve"> </w:t>
      </w:r>
      <w:r w:rsidRPr="00B443F4">
        <w:rPr>
          <w:rFonts w:ascii="Bookman Old Style" w:hAnsi="Bookman Old Style"/>
          <w:sz w:val="24"/>
          <w:szCs w:val="24"/>
        </w:rPr>
        <w:t>beberapa</w:t>
      </w:r>
      <w:r w:rsidR="00A954D0">
        <w:rPr>
          <w:rFonts w:ascii="Bookman Old Style" w:hAnsi="Bookman Old Style"/>
          <w:sz w:val="24"/>
          <w:szCs w:val="24"/>
        </w:rPr>
        <w:t xml:space="preserve"> </w:t>
      </w:r>
      <w:r w:rsidRPr="00B443F4">
        <w:rPr>
          <w:rFonts w:ascii="Bookman Old Style" w:hAnsi="Bookman Old Style"/>
          <w:sz w:val="24"/>
          <w:szCs w:val="24"/>
        </w:rPr>
        <w:t>kali</w:t>
      </w:r>
      <w:r w:rsidR="00A954D0">
        <w:rPr>
          <w:rFonts w:ascii="Bookman Old Style" w:hAnsi="Bookman Old Style"/>
          <w:sz w:val="24"/>
          <w:szCs w:val="24"/>
        </w:rPr>
        <w:t xml:space="preserve"> </w:t>
      </w:r>
      <w:r w:rsidRPr="00B443F4">
        <w:rPr>
          <w:rFonts w:ascii="Bookman Old Style" w:hAnsi="Bookman Old Style"/>
          <w:sz w:val="24"/>
          <w:szCs w:val="24"/>
        </w:rPr>
        <w:t>diubah</w:t>
      </w:r>
      <w:r w:rsidR="00A954D0">
        <w:rPr>
          <w:rFonts w:ascii="Bookman Old Style" w:hAnsi="Bookman Old Style"/>
          <w:sz w:val="24"/>
          <w:szCs w:val="24"/>
        </w:rPr>
        <w:t xml:space="preserve"> </w:t>
      </w:r>
      <w:r w:rsidRPr="00B443F4">
        <w:rPr>
          <w:rFonts w:ascii="Bookman Old Style" w:hAnsi="Bookman Old Style"/>
          <w:sz w:val="24"/>
          <w:szCs w:val="24"/>
        </w:rPr>
        <w:t>terakhir</w:t>
      </w:r>
      <w:r w:rsidR="00A954D0">
        <w:rPr>
          <w:rFonts w:ascii="Bookman Old Style" w:hAnsi="Bookman Old Style"/>
          <w:sz w:val="24"/>
          <w:szCs w:val="24"/>
        </w:rPr>
        <w:t xml:space="preserve"> </w:t>
      </w:r>
      <w:r w:rsidRPr="00B443F4">
        <w:rPr>
          <w:rFonts w:ascii="Bookman Old Style" w:hAnsi="Bookman Old Style"/>
          <w:sz w:val="24"/>
          <w:szCs w:val="24"/>
        </w:rPr>
        <w:t>dengan</w:t>
      </w:r>
      <w:r w:rsidR="00A954D0">
        <w:rPr>
          <w:rFonts w:ascii="Bookman Old Style" w:hAnsi="Bookman Old Style"/>
          <w:sz w:val="24"/>
          <w:szCs w:val="24"/>
        </w:rPr>
        <w:t xml:space="preserve"> </w:t>
      </w:r>
      <w:r w:rsidRPr="00B443F4">
        <w:rPr>
          <w:rFonts w:ascii="Bookman Old Style" w:hAnsi="Bookman Old Style"/>
          <w:sz w:val="24"/>
          <w:szCs w:val="24"/>
        </w:rPr>
        <w:t>Undang-Undang</w:t>
      </w:r>
      <w:r w:rsidR="00A954D0">
        <w:rPr>
          <w:rFonts w:ascii="Bookman Old Style" w:hAnsi="Bookman Old Style"/>
          <w:sz w:val="24"/>
          <w:szCs w:val="24"/>
        </w:rPr>
        <w:t xml:space="preserve"> </w:t>
      </w:r>
      <w:r w:rsidRPr="00B443F4">
        <w:rPr>
          <w:rFonts w:ascii="Bookman Old Style" w:hAnsi="Bookman Old Style"/>
          <w:sz w:val="24"/>
          <w:szCs w:val="24"/>
        </w:rPr>
        <w:t>Nomor</w:t>
      </w:r>
      <w:r w:rsidR="00A954D0">
        <w:rPr>
          <w:rFonts w:ascii="Bookman Old Style" w:hAnsi="Bookman Old Style"/>
          <w:sz w:val="24"/>
          <w:szCs w:val="24"/>
        </w:rPr>
        <w:t xml:space="preserve"> </w:t>
      </w:r>
      <w:r w:rsidRPr="00B443F4">
        <w:rPr>
          <w:rFonts w:ascii="Bookman Old Style" w:hAnsi="Bookman Old Style"/>
          <w:sz w:val="24"/>
          <w:szCs w:val="24"/>
        </w:rPr>
        <w:t>6</w:t>
      </w:r>
      <w:r w:rsidR="00A954D0">
        <w:rPr>
          <w:rFonts w:ascii="Bookman Old Style" w:hAnsi="Bookman Old Style"/>
          <w:sz w:val="24"/>
          <w:szCs w:val="24"/>
        </w:rPr>
        <w:t xml:space="preserve"> </w:t>
      </w:r>
      <w:r w:rsidRPr="00B443F4">
        <w:rPr>
          <w:rFonts w:ascii="Bookman Old Style" w:hAnsi="Bookman Old Style"/>
          <w:sz w:val="24"/>
          <w:szCs w:val="24"/>
        </w:rPr>
        <w:t>Tahun</w:t>
      </w:r>
      <w:r w:rsidR="00A954D0">
        <w:rPr>
          <w:rFonts w:ascii="Bookman Old Style" w:hAnsi="Bookman Old Style"/>
          <w:sz w:val="24"/>
          <w:szCs w:val="24"/>
        </w:rPr>
        <w:t xml:space="preserve"> </w:t>
      </w:r>
      <w:r w:rsidRPr="00B443F4">
        <w:rPr>
          <w:rFonts w:ascii="Bookman Old Style" w:hAnsi="Bookman Old Style"/>
          <w:sz w:val="24"/>
          <w:szCs w:val="24"/>
        </w:rPr>
        <w:t>2023</w:t>
      </w:r>
      <w:r w:rsidRPr="00B443F4">
        <w:rPr>
          <w:rFonts w:ascii="Bookman Old Style" w:hAnsi="Bookman Old Style"/>
          <w:sz w:val="24"/>
          <w:szCs w:val="24"/>
          <w:lang w:val="sv-FI"/>
        </w:rPr>
        <w:t>,</w:t>
      </w:r>
      <w:r w:rsidR="00A954D0">
        <w:rPr>
          <w:rFonts w:ascii="Bookman Old Style" w:hAnsi="Bookman Old Style"/>
          <w:sz w:val="24"/>
          <w:szCs w:val="24"/>
          <w:lang w:val="sv-FI"/>
        </w:rPr>
        <w:t xml:space="preserve"> </w:t>
      </w:r>
      <w:r w:rsidRPr="00B443F4">
        <w:rPr>
          <w:rFonts w:ascii="Bookman Old Style" w:hAnsi="Bookman Old Style"/>
          <w:sz w:val="24"/>
          <w:szCs w:val="24"/>
        </w:rPr>
        <w:t>Peraturan</w:t>
      </w:r>
      <w:r w:rsidR="00A954D0">
        <w:rPr>
          <w:rFonts w:ascii="Bookman Old Style" w:hAnsi="Bookman Old Style"/>
          <w:sz w:val="24"/>
          <w:szCs w:val="24"/>
        </w:rPr>
        <w:t xml:space="preserve"> </w:t>
      </w:r>
      <w:r w:rsidRPr="00727324">
        <w:rPr>
          <w:rFonts w:ascii="Bookman Old Style" w:hAnsi="Bookman Old Style"/>
          <w:sz w:val="24"/>
          <w:szCs w:val="24"/>
        </w:rPr>
        <w:t>Menteri</w:t>
      </w:r>
      <w:r w:rsidR="00A954D0">
        <w:rPr>
          <w:rFonts w:ascii="Bookman Old Style" w:hAnsi="Bookman Old Style"/>
          <w:sz w:val="24"/>
          <w:szCs w:val="24"/>
        </w:rPr>
        <w:t xml:space="preserve"> </w:t>
      </w:r>
      <w:r w:rsidRPr="00727324">
        <w:rPr>
          <w:rFonts w:ascii="Bookman Old Style" w:hAnsi="Bookman Old Style"/>
          <w:sz w:val="24"/>
          <w:szCs w:val="24"/>
        </w:rPr>
        <w:t>Dalam</w:t>
      </w:r>
      <w:r w:rsidR="00A954D0">
        <w:rPr>
          <w:rFonts w:ascii="Bookman Old Style" w:hAnsi="Bookman Old Style"/>
          <w:sz w:val="24"/>
          <w:szCs w:val="24"/>
        </w:rPr>
        <w:t xml:space="preserve"> </w:t>
      </w:r>
      <w:r w:rsidRPr="00727324">
        <w:rPr>
          <w:rFonts w:ascii="Bookman Old Style" w:hAnsi="Bookman Old Style"/>
          <w:sz w:val="24"/>
          <w:szCs w:val="24"/>
        </w:rPr>
        <w:t>Negeri</w:t>
      </w:r>
      <w:r w:rsidR="00A954D0">
        <w:rPr>
          <w:rFonts w:ascii="Bookman Old Style" w:hAnsi="Bookman Old Style"/>
          <w:sz w:val="24"/>
          <w:szCs w:val="24"/>
        </w:rPr>
        <w:t xml:space="preserve"> </w:t>
      </w:r>
      <w:r w:rsidRPr="00727324">
        <w:rPr>
          <w:rFonts w:ascii="Bookman Old Style" w:hAnsi="Bookman Old Style"/>
          <w:sz w:val="24"/>
          <w:szCs w:val="24"/>
        </w:rPr>
        <w:t>Nomor</w:t>
      </w:r>
      <w:r w:rsidR="00A954D0">
        <w:rPr>
          <w:rFonts w:ascii="Bookman Old Style" w:hAnsi="Bookman Old Style"/>
          <w:sz w:val="24"/>
          <w:szCs w:val="24"/>
        </w:rPr>
        <w:t xml:space="preserve"> </w:t>
      </w:r>
      <w:r w:rsidRPr="00727324">
        <w:rPr>
          <w:rFonts w:ascii="Bookman Old Style" w:hAnsi="Bookman Old Style"/>
          <w:sz w:val="24"/>
          <w:szCs w:val="24"/>
        </w:rPr>
        <w:t>79</w:t>
      </w:r>
      <w:r w:rsidR="00A954D0">
        <w:rPr>
          <w:rFonts w:ascii="Bookman Old Style" w:hAnsi="Bookman Old Style"/>
          <w:sz w:val="24"/>
          <w:szCs w:val="24"/>
        </w:rPr>
        <w:t xml:space="preserve"> </w:t>
      </w:r>
      <w:r w:rsidRPr="00727324">
        <w:rPr>
          <w:rFonts w:ascii="Bookman Old Style" w:hAnsi="Bookman Old Style"/>
          <w:sz w:val="24"/>
          <w:szCs w:val="24"/>
        </w:rPr>
        <w:t>Tahun</w:t>
      </w:r>
      <w:r w:rsidR="00A954D0">
        <w:rPr>
          <w:rFonts w:ascii="Bookman Old Style" w:hAnsi="Bookman Old Style"/>
          <w:sz w:val="24"/>
          <w:szCs w:val="24"/>
        </w:rPr>
        <w:t xml:space="preserve"> </w:t>
      </w:r>
      <w:r w:rsidRPr="00727324">
        <w:rPr>
          <w:rFonts w:ascii="Bookman Old Style" w:hAnsi="Bookman Old Style"/>
          <w:sz w:val="24"/>
          <w:szCs w:val="24"/>
        </w:rPr>
        <w:t>2018</w:t>
      </w:r>
      <w:r w:rsidR="00A954D0">
        <w:rPr>
          <w:rFonts w:ascii="Bookman Old Style" w:hAnsi="Bookman Old Style"/>
          <w:sz w:val="24"/>
          <w:szCs w:val="24"/>
        </w:rPr>
        <w:t xml:space="preserve"> </w:t>
      </w:r>
      <w:r w:rsidRPr="00727324">
        <w:rPr>
          <w:rFonts w:ascii="Bookman Old Style" w:hAnsi="Bookman Old Style"/>
          <w:sz w:val="24"/>
          <w:szCs w:val="24"/>
          <w:lang w:val="sv-FI"/>
        </w:rPr>
        <w:t>dan</w:t>
      </w:r>
      <w:r w:rsidR="00A954D0">
        <w:rPr>
          <w:rFonts w:ascii="Bookman Old Style" w:hAnsi="Bookman Old Style"/>
          <w:sz w:val="24"/>
          <w:szCs w:val="24"/>
          <w:lang w:val="sv-FI"/>
        </w:rPr>
        <w:t xml:space="preserve"> </w:t>
      </w:r>
      <w:r w:rsidRPr="00727324">
        <w:rPr>
          <w:rFonts w:ascii="Bookman Old Style" w:hAnsi="Bookman Old Style"/>
          <w:sz w:val="24"/>
          <w:szCs w:val="24"/>
        </w:rPr>
        <w:t>butir</w:t>
      </w:r>
      <w:r w:rsidR="00A954D0">
        <w:rPr>
          <w:rFonts w:ascii="Bookman Old Style" w:hAnsi="Bookman Old Style"/>
          <w:sz w:val="24"/>
          <w:szCs w:val="24"/>
        </w:rPr>
        <w:t xml:space="preserve"> </w:t>
      </w:r>
      <w:r w:rsidRPr="00727324">
        <w:rPr>
          <w:rFonts w:ascii="Bookman Old Style" w:hAnsi="Bookman Old Style"/>
          <w:sz w:val="24"/>
          <w:szCs w:val="24"/>
          <w:lang w:val="sv-FI"/>
        </w:rPr>
        <w:t>5.2.7</w:t>
      </w:r>
      <w:r w:rsidR="00A954D0">
        <w:rPr>
          <w:rFonts w:ascii="Bookman Old Style" w:hAnsi="Bookman Old Style"/>
          <w:sz w:val="24"/>
          <w:szCs w:val="24"/>
        </w:rPr>
        <w:t xml:space="preserve"> </w:t>
      </w:r>
      <w:r w:rsidRPr="00727324">
        <w:rPr>
          <w:rFonts w:ascii="Bookman Old Style" w:hAnsi="Bookman Old Style" w:cs="Arial"/>
          <w:sz w:val="24"/>
          <w:szCs w:val="24"/>
        </w:rPr>
        <w:t>Lampiran</w:t>
      </w:r>
      <w:r w:rsidR="00A954D0">
        <w:rPr>
          <w:rFonts w:ascii="Bookman Old Style" w:hAnsi="Bookman Old Style" w:cs="Arial"/>
          <w:sz w:val="24"/>
          <w:szCs w:val="24"/>
        </w:rPr>
        <w:t xml:space="preserve"> </w:t>
      </w:r>
      <w:r w:rsidRPr="00727324">
        <w:rPr>
          <w:rFonts w:ascii="Bookman Old Style" w:hAnsi="Bookman Old Style" w:cs="Arial"/>
          <w:sz w:val="24"/>
          <w:szCs w:val="24"/>
        </w:rPr>
        <w:t>Per</w:t>
      </w:r>
      <w:r w:rsidRPr="00DA7567">
        <w:rPr>
          <w:rFonts w:ascii="Bookman Old Style" w:hAnsi="Bookman Old Style" w:cs="Arial"/>
          <w:sz w:val="24"/>
          <w:szCs w:val="24"/>
        </w:rPr>
        <w:t>aturan</w:t>
      </w:r>
      <w:r w:rsidR="00A954D0">
        <w:rPr>
          <w:rFonts w:ascii="Bookman Old Style" w:hAnsi="Bookman Old Style" w:cs="Arial"/>
          <w:sz w:val="24"/>
          <w:szCs w:val="24"/>
        </w:rPr>
        <w:t xml:space="preserve"> </w:t>
      </w:r>
      <w:r w:rsidRPr="00DA7567">
        <w:rPr>
          <w:rFonts w:ascii="Bookman Old Style" w:hAnsi="Bookman Old Style" w:cs="Arial"/>
          <w:sz w:val="24"/>
          <w:szCs w:val="24"/>
        </w:rPr>
        <w:t>Menteri</w:t>
      </w:r>
      <w:r w:rsidR="00A954D0">
        <w:rPr>
          <w:rFonts w:ascii="Bookman Old Style" w:hAnsi="Bookman Old Style" w:cs="Arial"/>
          <w:sz w:val="24"/>
          <w:szCs w:val="24"/>
        </w:rPr>
        <w:t xml:space="preserve"> </w:t>
      </w:r>
      <w:r w:rsidRPr="00DA7567">
        <w:rPr>
          <w:rFonts w:ascii="Bookman Old Style" w:hAnsi="Bookman Old Style" w:cs="Arial"/>
          <w:sz w:val="24"/>
          <w:szCs w:val="24"/>
        </w:rPr>
        <w:t>Dalam</w:t>
      </w:r>
      <w:r w:rsidR="00A954D0">
        <w:rPr>
          <w:rFonts w:ascii="Bookman Old Style" w:hAnsi="Bookman Old Style" w:cs="Arial"/>
          <w:sz w:val="24"/>
          <w:szCs w:val="24"/>
        </w:rPr>
        <w:t xml:space="preserve"> </w:t>
      </w:r>
      <w:r w:rsidRPr="00DA7567">
        <w:rPr>
          <w:rFonts w:ascii="Bookman Old Style" w:hAnsi="Bookman Old Style" w:cs="Arial"/>
          <w:sz w:val="24"/>
          <w:szCs w:val="24"/>
        </w:rPr>
        <w:t>Negeri</w:t>
      </w:r>
      <w:r w:rsidR="00A954D0">
        <w:rPr>
          <w:rFonts w:ascii="Bookman Old Style" w:hAnsi="Bookman Old Style" w:cs="Arial"/>
          <w:sz w:val="24"/>
          <w:szCs w:val="24"/>
        </w:rPr>
        <w:t xml:space="preserve"> </w:t>
      </w:r>
      <w:r w:rsidRPr="00DA7567">
        <w:rPr>
          <w:rFonts w:ascii="Bookman Old Style" w:hAnsi="Bookman Old Style" w:cs="Arial"/>
          <w:sz w:val="24"/>
          <w:szCs w:val="24"/>
        </w:rPr>
        <w:t>Nomor</w:t>
      </w:r>
      <w:r w:rsidR="00A954D0">
        <w:rPr>
          <w:rFonts w:ascii="Bookman Old Style" w:hAnsi="Bookman Old Style" w:cs="Arial"/>
          <w:sz w:val="24"/>
          <w:szCs w:val="24"/>
        </w:rPr>
        <w:t xml:space="preserve"> </w:t>
      </w:r>
      <w:r w:rsidRPr="00DA7567">
        <w:rPr>
          <w:rFonts w:ascii="Bookman Old Style" w:hAnsi="Bookman Old Style" w:cs="Arial"/>
          <w:sz w:val="24"/>
          <w:szCs w:val="24"/>
          <w:lang w:val="sv-FI"/>
        </w:rPr>
        <w:t>15</w:t>
      </w:r>
      <w:r w:rsidR="00A954D0">
        <w:rPr>
          <w:rFonts w:ascii="Bookman Old Style" w:hAnsi="Bookman Old Style" w:cs="Arial"/>
          <w:sz w:val="24"/>
          <w:szCs w:val="24"/>
        </w:rPr>
        <w:t xml:space="preserve"> </w:t>
      </w:r>
      <w:r w:rsidRPr="00DA7567">
        <w:rPr>
          <w:rFonts w:ascii="Bookman Old Style" w:hAnsi="Bookman Old Style" w:cs="Arial"/>
          <w:sz w:val="24"/>
          <w:szCs w:val="24"/>
        </w:rPr>
        <w:t>Tahun</w:t>
      </w:r>
      <w:r w:rsidR="00A954D0">
        <w:rPr>
          <w:rFonts w:ascii="Bookman Old Style" w:hAnsi="Bookman Old Style" w:cs="Arial"/>
          <w:sz w:val="24"/>
          <w:szCs w:val="24"/>
        </w:rPr>
        <w:t xml:space="preserve"> </w:t>
      </w:r>
      <w:r w:rsidRPr="00DA7567">
        <w:rPr>
          <w:rFonts w:ascii="Bookman Old Style" w:hAnsi="Bookman Old Style" w:cs="Arial"/>
          <w:sz w:val="24"/>
          <w:szCs w:val="24"/>
        </w:rPr>
        <w:t>202</w:t>
      </w:r>
      <w:r w:rsidRPr="00DA7567">
        <w:rPr>
          <w:rFonts w:ascii="Bookman Old Style" w:hAnsi="Bookman Old Style" w:cs="Arial"/>
          <w:sz w:val="24"/>
          <w:szCs w:val="24"/>
          <w:lang w:val="sv-FI"/>
        </w:rPr>
        <w:t>4</w:t>
      </w:r>
      <w:r w:rsidRPr="00DA7567">
        <w:rPr>
          <w:rFonts w:ascii="Bookman Old Style" w:hAnsi="Bookman Old Style" w:cs="Arial"/>
          <w:sz w:val="24"/>
          <w:szCs w:val="24"/>
        </w:rPr>
        <w:t>.</w:t>
      </w:r>
    </w:p>
    <w:p w14:paraId="2363BF86" w14:textId="77777777" w:rsidR="00881362" w:rsidRDefault="00881362" w:rsidP="00600C12">
      <w:pPr>
        <w:pStyle w:val="ListParagraph"/>
        <w:spacing w:before="60" w:after="0" w:line="276" w:lineRule="auto"/>
        <w:ind w:left="1276"/>
        <w:contextualSpacing w:val="0"/>
        <w:jc w:val="both"/>
        <w:rPr>
          <w:rFonts w:ascii="Bookman Old Style" w:hAnsi="Bookman Old Style" w:cs="Arial"/>
          <w:sz w:val="24"/>
          <w:szCs w:val="24"/>
        </w:rPr>
      </w:pPr>
    </w:p>
    <w:p w14:paraId="46663C82" w14:textId="77777777" w:rsidR="00881362" w:rsidRDefault="00881362" w:rsidP="00600C12">
      <w:pPr>
        <w:pStyle w:val="ListParagraph"/>
        <w:spacing w:before="60" w:after="0" w:line="276" w:lineRule="auto"/>
        <w:ind w:left="1276"/>
        <w:contextualSpacing w:val="0"/>
        <w:jc w:val="both"/>
        <w:rPr>
          <w:rFonts w:ascii="Bookman Old Style" w:hAnsi="Bookman Old Style" w:cs="Arial"/>
          <w:sz w:val="24"/>
          <w:szCs w:val="24"/>
        </w:rPr>
      </w:pPr>
    </w:p>
    <w:p w14:paraId="464B22DE" w14:textId="77777777" w:rsidR="00881362" w:rsidRDefault="00881362" w:rsidP="00600C12">
      <w:pPr>
        <w:pStyle w:val="ListParagraph"/>
        <w:spacing w:before="60" w:after="0" w:line="276" w:lineRule="auto"/>
        <w:ind w:left="1276"/>
        <w:contextualSpacing w:val="0"/>
        <w:jc w:val="both"/>
        <w:rPr>
          <w:rFonts w:ascii="Bookman Old Style" w:hAnsi="Bookman Old Style" w:cs="Arial"/>
          <w:sz w:val="24"/>
          <w:szCs w:val="24"/>
        </w:rPr>
      </w:pPr>
    </w:p>
    <w:p w14:paraId="41FEDD92" w14:textId="69580219" w:rsidR="009E7D10" w:rsidRPr="00DA7567" w:rsidRDefault="009E7D10" w:rsidP="00600C12">
      <w:pPr>
        <w:pStyle w:val="ListParagraph"/>
        <w:numPr>
          <w:ilvl w:val="0"/>
          <w:numId w:val="99"/>
        </w:numPr>
        <w:spacing w:before="120" w:after="0" w:line="276" w:lineRule="auto"/>
        <w:ind w:left="1276" w:hanging="284"/>
        <w:contextualSpacing w:val="0"/>
        <w:jc w:val="both"/>
        <w:rPr>
          <w:rFonts w:ascii="Bookman Old Style" w:hAnsi="Bookman Old Style" w:cs="Arial"/>
          <w:sz w:val="24"/>
          <w:szCs w:val="24"/>
        </w:rPr>
      </w:pPr>
      <w:r w:rsidRPr="00DA7567">
        <w:rPr>
          <w:rFonts w:ascii="Bookman Old Style" w:hAnsi="Bookman Old Style" w:cs="Arial"/>
          <w:sz w:val="24"/>
          <w:szCs w:val="24"/>
        </w:rPr>
        <w:lastRenderedPageBreak/>
        <w:t>Anggaran</w:t>
      </w:r>
      <w:r w:rsidR="00A954D0">
        <w:rPr>
          <w:rFonts w:ascii="Bookman Old Style" w:hAnsi="Bookman Old Style" w:cs="Arial"/>
          <w:sz w:val="24"/>
          <w:szCs w:val="24"/>
        </w:rPr>
        <w:t xml:space="preserve"> </w:t>
      </w:r>
      <w:r w:rsidRPr="00DA7567">
        <w:rPr>
          <w:rFonts w:ascii="Bookman Old Style" w:hAnsi="Bookman Old Style" w:cs="Arial"/>
          <w:sz w:val="24"/>
          <w:szCs w:val="24"/>
        </w:rPr>
        <w:t>yang</w:t>
      </w:r>
      <w:r w:rsidR="00A954D0">
        <w:rPr>
          <w:rFonts w:ascii="Bookman Old Style" w:hAnsi="Bookman Old Style" w:cs="Arial"/>
          <w:sz w:val="24"/>
          <w:szCs w:val="24"/>
        </w:rPr>
        <w:t xml:space="preserve"> </w:t>
      </w:r>
      <w:r w:rsidRPr="00DA7567">
        <w:rPr>
          <w:rFonts w:ascii="Bookman Old Style" w:hAnsi="Bookman Old Style" w:cs="Arial"/>
          <w:sz w:val="24"/>
          <w:szCs w:val="24"/>
        </w:rPr>
        <w:t>bersumber</w:t>
      </w:r>
      <w:r w:rsidR="00A954D0">
        <w:rPr>
          <w:rFonts w:ascii="Bookman Old Style" w:hAnsi="Bookman Old Style" w:cs="Arial"/>
          <w:sz w:val="24"/>
          <w:szCs w:val="24"/>
        </w:rPr>
        <w:t xml:space="preserve"> </w:t>
      </w:r>
      <w:r w:rsidRPr="00DA7567">
        <w:rPr>
          <w:rFonts w:ascii="Bookman Old Style" w:hAnsi="Bookman Old Style" w:cs="Arial"/>
          <w:sz w:val="24"/>
          <w:szCs w:val="24"/>
        </w:rPr>
        <w:t>dari</w:t>
      </w:r>
      <w:r w:rsidR="00A954D0">
        <w:rPr>
          <w:rFonts w:ascii="Bookman Old Style" w:hAnsi="Bookman Old Style" w:cs="Arial"/>
          <w:sz w:val="24"/>
          <w:szCs w:val="24"/>
        </w:rPr>
        <w:t xml:space="preserve"> </w:t>
      </w:r>
      <w:r w:rsidRPr="00DA7567">
        <w:rPr>
          <w:rFonts w:ascii="Bookman Old Style" w:hAnsi="Bookman Old Style" w:cs="Arial"/>
          <w:sz w:val="24"/>
          <w:szCs w:val="24"/>
        </w:rPr>
        <w:t>Dana</w:t>
      </w:r>
      <w:r w:rsidR="00A954D0">
        <w:rPr>
          <w:rFonts w:ascii="Bookman Old Style" w:hAnsi="Bookman Old Style" w:cs="Arial"/>
          <w:sz w:val="24"/>
          <w:szCs w:val="24"/>
        </w:rPr>
        <w:t xml:space="preserve"> </w:t>
      </w:r>
      <w:r w:rsidRPr="00DA7567">
        <w:rPr>
          <w:rFonts w:ascii="Bookman Old Style" w:hAnsi="Bookman Old Style" w:cs="Arial"/>
          <w:sz w:val="24"/>
          <w:szCs w:val="24"/>
        </w:rPr>
        <w:t>Bantuan</w:t>
      </w:r>
      <w:r w:rsidR="00A954D0">
        <w:rPr>
          <w:rFonts w:ascii="Bookman Old Style" w:hAnsi="Bookman Old Style" w:cs="Arial"/>
          <w:sz w:val="24"/>
          <w:szCs w:val="24"/>
        </w:rPr>
        <w:t xml:space="preserve"> </w:t>
      </w:r>
      <w:r w:rsidRPr="00DA7567">
        <w:rPr>
          <w:rFonts w:ascii="Bookman Old Style" w:hAnsi="Bookman Old Style" w:cs="Arial"/>
          <w:sz w:val="24"/>
          <w:szCs w:val="24"/>
        </w:rPr>
        <w:t>Operasional</w:t>
      </w:r>
      <w:r w:rsidR="00A954D0">
        <w:rPr>
          <w:rFonts w:ascii="Bookman Old Style" w:hAnsi="Bookman Old Style" w:cs="Arial"/>
          <w:sz w:val="24"/>
          <w:szCs w:val="24"/>
        </w:rPr>
        <w:t xml:space="preserve"> </w:t>
      </w:r>
      <w:r w:rsidRPr="00DA7567">
        <w:rPr>
          <w:rFonts w:ascii="Bookman Old Style" w:hAnsi="Bookman Old Style" w:cs="Arial"/>
          <w:sz w:val="24"/>
          <w:szCs w:val="24"/>
        </w:rPr>
        <w:t>Satuan</w:t>
      </w:r>
      <w:r w:rsidR="00A954D0">
        <w:rPr>
          <w:rFonts w:ascii="Bookman Old Style" w:hAnsi="Bookman Old Style" w:cs="Arial"/>
          <w:sz w:val="24"/>
          <w:szCs w:val="24"/>
        </w:rPr>
        <w:t xml:space="preserve"> </w:t>
      </w:r>
      <w:r w:rsidRPr="00DA7567">
        <w:rPr>
          <w:rFonts w:ascii="Bookman Old Style" w:hAnsi="Bookman Old Style" w:cs="Arial"/>
          <w:sz w:val="24"/>
          <w:szCs w:val="24"/>
        </w:rPr>
        <w:t>Pendidikan</w:t>
      </w:r>
      <w:r w:rsidR="00A954D0">
        <w:rPr>
          <w:rFonts w:ascii="Bookman Old Style" w:hAnsi="Bookman Old Style" w:cs="Arial"/>
          <w:sz w:val="24"/>
          <w:szCs w:val="24"/>
        </w:rPr>
        <w:t xml:space="preserve"> </w:t>
      </w:r>
      <w:r w:rsidRPr="00DA7567">
        <w:rPr>
          <w:rFonts w:ascii="Bookman Old Style" w:hAnsi="Bookman Old Style" w:cs="Arial"/>
          <w:sz w:val="24"/>
          <w:szCs w:val="24"/>
        </w:rPr>
        <w:t>(BOSP)</w:t>
      </w:r>
    </w:p>
    <w:p w14:paraId="725FC768" w14:textId="46DEA160" w:rsidR="00FE1A35" w:rsidRDefault="00FE1A35" w:rsidP="00600C12">
      <w:pPr>
        <w:pStyle w:val="ListParagraph"/>
        <w:spacing w:before="60" w:after="0" w:line="276" w:lineRule="auto"/>
        <w:ind w:left="1276"/>
        <w:contextualSpacing w:val="0"/>
        <w:jc w:val="both"/>
        <w:rPr>
          <w:rFonts w:ascii="Bookman Old Style" w:hAnsi="Bookman Old Style" w:cs="Arial"/>
          <w:sz w:val="24"/>
          <w:szCs w:val="24"/>
          <w:lang w:val="sv-FI"/>
        </w:rPr>
      </w:pPr>
      <w:r w:rsidRPr="00727324">
        <w:rPr>
          <w:rFonts w:ascii="Bookman Old Style" w:hAnsi="Bookman Old Style" w:cs="Arial"/>
          <w:sz w:val="24"/>
          <w:szCs w:val="24"/>
        </w:rPr>
        <w:t>Penyediaan</w:t>
      </w:r>
      <w:r w:rsidR="00A954D0">
        <w:rPr>
          <w:rFonts w:ascii="Bookman Old Style" w:hAnsi="Bookman Old Style" w:cs="Arial"/>
          <w:sz w:val="24"/>
          <w:szCs w:val="24"/>
          <w:lang w:val="sv-FI"/>
        </w:rPr>
        <w:t xml:space="preserve"> </w:t>
      </w:r>
      <w:r w:rsidRPr="00727324">
        <w:rPr>
          <w:rFonts w:ascii="Bookman Old Style" w:hAnsi="Bookman Old Style" w:cs="Arial"/>
          <w:sz w:val="24"/>
          <w:szCs w:val="24"/>
          <w:lang w:val="sv-FI"/>
        </w:rPr>
        <w:t>anggaran</w:t>
      </w:r>
      <w:r w:rsidR="00A954D0">
        <w:rPr>
          <w:rFonts w:ascii="Bookman Old Style" w:hAnsi="Bookman Old Style" w:cs="Arial"/>
          <w:sz w:val="24"/>
          <w:szCs w:val="24"/>
          <w:lang w:val="sv-FI"/>
        </w:rPr>
        <w:t xml:space="preserve"> </w:t>
      </w:r>
      <w:r w:rsidRPr="00727324">
        <w:rPr>
          <w:rFonts w:ascii="Bookman Old Style" w:hAnsi="Bookman Old Style" w:cs="Arial"/>
          <w:sz w:val="24"/>
          <w:szCs w:val="24"/>
          <w:lang w:val="sv-FI"/>
        </w:rPr>
        <w:t>yang</w:t>
      </w:r>
      <w:r w:rsidR="00A954D0">
        <w:rPr>
          <w:rFonts w:ascii="Bookman Old Style" w:hAnsi="Bookman Old Style" w:cs="Arial"/>
          <w:sz w:val="24"/>
          <w:szCs w:val="24"/>
          <w:lang w:val="sv-FI"/>
        </w:rPr>
        <w:t xml:space="preserve"> </w:t>
      </w:r>
      <w:r w:rsidRPr="00727324">
        <w:rPr>
          <w:rFonts w:ascii="Bookman Old Style" w:hAnsi="Bookman Old Style" w:cs="Arial"/>
          <w:sz w:val="24"/>
          <w:szCs w:val="24"/>
          <w:lang w:val="sv-FI"/>
        </w:rPr>
        <w:t>bersumber</w:t>
      </w:r>
      <w:r w:rsidR="00A954D0">
        <w:rPr>
          <w:rFonts w:ascii="Bookman Old Style" w:hAnsi="Bookman Old Style" w:cs="Arial"/>
          <w:sz w:val="24"/>
          <w:szCs w:val="24"/>
          <w:lang w:val="sv-FI"/>
        </w:rPr>
        <w:t xml:space="preserve"> </w:t>
      </w:r>
      <w:r w:rsidRPr="00727324">
        <w:rPr>
          <w:rFonts w:ascii="Bookman Old Style" w:hAnsi="Bookman Old Style" w:cs="Arial"/>
          <w:sz w:val="24"/>
          <w:szCs w:val="24"/>
          <w:lang w:val="sv-FI"/>
        </w:rPr>
        <w:t>dari</w:t>
      </w:r>
      <w:r w:rsidR="00A954D0">
        <w:rPr>
          <w:rFonts w:ascii="Bookman Old Style" w:hAnsi="Bookman Old Style" w:cs="Arial"/>
          <w:sz w:val="24"/>
          <w:szCs w:val="24"/>
          <w:lang w:val="sv-FI"/>
        </w:rPr>
        <w:t xml:space="preserve"> </w:t>
      </w:r>
      <w:r w:rsidRPr="00727324">
        <w:rPr>
          <w:rFonts w:ascii="Bookman Old Style" w:hAnsi="Bookman Old Style" w:cs="Arial"/>
          <w:sz w:val="24"/>
          <w:szCs w:val="24"/>
          <w:lang w:val="sv-FI"/>
        </w:rPr>
        <w:t>Dana</w:t>
      </w:r>
      <w:r w:rsidR="00A954D0">
        <w:rPr>
          <w:rFonts w:ascii="Bookman Old Style" w:hAnsi="Bookman Old Style" w:cs="Arial"/>
          <w:sz w:val="24"/>
          <w:szCs w:val="24"/>
          <w:lang w:val="sv-FI"/>
        </w:rPr>
        <w:t xml:space="preserve"> </w:t>
      </w:r>
      <w:r w:rsidRPr="00727324">
        <w:rPr>
          <w:rFonts w:ascii="Bookman Old Style" w:hAnsi="Bookman Old Style" w:cs="Arial"/>
          <w:sz w:val="24"/>
          <w:szCs w:val="24"/>
          <w:lang w:val="sv-FI"/>
        </w:rPr>
        <w:t>Bantuan</w:t>
      </w:r>
      <w:r w:rsidR="00A954D0">
        <w:rPr>
          <w:rFonts w:ascii="Bookman Old Style" w:hAnsi="Bookman Old Style" w:cs="Arial"/>
          <w:sz w:val="24"/>
          <w:szCs w:val="24"/>
          <w:lang w:val="sv-FI"/>
        </w:rPr>
        <w:t xml:space="preserve"> </w:t>
      </w:r>
      <w:r w:rsidRPr="00727324">
        <w:rPr>
          <w:rFonts w:ascii="Bookman Old Style" w:hAnsi="Bookman Old Style" w:cs="Arial"/>
          <w:sz w:val="24"/>
          <w:szCs w:val="24"/>
          <w:lang w:val="sv-FI"/>
        </w:rPr>
        <w:t>Operasional</w:t>
      </w:r>
      <w:r w:rsidR="00A954D0">
        <w:rPr>
          <w:rFonts w:ascii="Bookman Old Style" w:hAnsi="Bookman Old Style" w:cs="Arial"/>
          <w:sz w:val="24"/>
          <w:szCs w:val="24"/>
          <w:lang w:val="sv-FI"/>
        </w:rPr>
        <w:t xml:space="preserve"> </w:t>
      </w:r>
      <w:r w:rsidRPr="00727324">
        <w:rPr>
          <w:rFonts w:ascii="Bookman Old Style" w:hAnsi="Bookman Old Style" w:cs="Arial"/>
          <w:sz w:val="24"/>
          <w:szCs w:val="24"/>
          <w:lang w:val="sv-FI"/>
        </w:rPr>
        <w:t>Satuan</w:t>
      </w:r>
      <w:r w:rsidR="00A954D0">
        <w:rPr>
          <w:rFonts w:ascii="Bookman Old Style" w:hAnsi="Bookman Old Style" w:cs="Arial"/>
          <w:sz w:val="24"/>
          <w:szCs w:val="24"/>
          <w:lang w:val="sv-FI"/>
        </w:rPr>
        <w:t xml:space="preserve"> </w:t>
      </w:r>
      <w:r w:rsidRPr="00727324">
        <w:rPr>
          <w:rFonts w:ascii="Bookman Old Style" w:hAnsi="Bookman Old Style" w:cs="Arial"/>
          <w:sz w:val="24"/>
          <w:szCs w:val="24"/>
          <w:lang w:val="sv-FI"/>
        </w:rPr>
        <w:t>Pendidikan</w:t>
      </w:r>
      <w:r w:rsidR="00A954D0">
        <w:rPr>
          <w:rFonts w:ascii="Bookman Old Style" w:hAnsi="Bookman Old Style" w:cs="Arial"/>
          <w:sz w:val="24"/>
          <w:szCs w:val="24"/>
          <w:lang w:val="sv-FI"/>
        </w:rPr>
        <w:t xml:space="preserve"> </w:t>
      </w:r>
      <w:r w:rsidRPr="00727324">
        <w:rPr>
          <w:rFonts w:ascii="Bookman Old Style" w:hAnsi="Bookman Old Style" w:cs="Arial"/>
          <w:sz w:val="24"/>
          <w:szCs w:val="24"/>
          <w:lang w:val="sv-FI"/>
        </w:rPr>
        <w:t>(BOSP),</w:t>
      </w:r>
      <w:r w:rsidR="00A954D0">
        <w:rPr>
          <w:rFonts w:ascii="Bookman Old Style" w:hAnsi="Bookman Old Style" w:cs="Arial"/>
          <w:sz w:val="24"/>
          <w:szCs w:val="24"/>
          <w:lang w:val="sv-FI"/>
        </w:rPr>
        <w:t xml:space="preserve"> </w:t>
      </w:r>
      <w:r w:rsidRPr="00727324">
        <w:rPr>
          <w:rFonts w:ascii="Bookman Old Style" w:hAnsi="Bookman Old Style" w:cs="Arial"/>
          <w:sz w:val="24"/>
          <w:szCs w:val="24"/>
          <w:lang w:val="sv-FI"/>
        </w:rPr>
        <w:t>antara</w:t>
      </w:r>
      <w:r w:rsidR="00A954D0">
        <w:rPr>
          <w:rFonts w:ascii="Bookman Old Style" w:hAnsi="Bookman Old Style" w:cs="Arial"/>
          <w:sz w:val="24"/>
          <w:szCs w:val="24"/>
          <w:lang w:val="sv-FI"/>
        </w:rPr>
        <w:t xml:space="preserve"> </w:t>
      </w:r>
      <w:r w:rsidRPr="00727324">
        <w:rPr>
          <w:rFonts w:ascii="Bookman Old Style" w:hAnsi="Bookman Old Style" w:cs="Arial"/>
          <w:sz w:val="24"/>
          <w:szCs w:val="24"/>
          <w:lang w:val="sv-FI"/>
        </w:rPr>
        <w:t>lain</w:t>
      </w:r>
      <w:r w:rsidR="00A954D0">
        <w:rPr>
          <w:rFonts w:ascii="Bookman Old Style" w:hAnsi="Bookman Old Style" w:cs="Arial"/>
          <w:sz w:val="24"/>
          <w:szCs w:val="24"/>
          <w:lang w:val="sv-FI"/>
        </w:rPr>
        <w:t xml:space="preserve"> </w:t>
      </w:r>
      <w:r w:rsidRPr="00727324">
        <w:rPr>
          <w:rFonts w:ascii="Bookman Old Style" w:hAnsi="Bookman Old Style" w:cs="Arial"/>
          <w:sz w:val="24"/>
          <w:szCs w:val="24"/>
          <w:lang w:val="sv-FI"/>
        </w:rPr>
        <w:t>tercantum</w:t>
      </w:r>
      <w:r w:rsidR="00A954D0">
        <w:rPr>
          <w:rFonts w:ascii="Bookman Old Style" w:hAnsi="Bookman Old Style" w:cs="Arial"/>
          <w:sz w:val="24"/>
          <w:szCs w:val="24"/>
          <w:lang w:val="sv-FI"/>
        </w:rPr>
        <w:t xml:space="preserve"> </w:t>
      </w:r>
      <w:r w:rsidRPr="00727324">
        <w:rPr>
          <w:rFonts w:ascii="Bookman Old Style" w:hAnsi="Bookman Old Style" w:cs="Arial"/>
          <w:sz w:val="24"/>
          <w:szCs w:val="24"/>
          <w:lang w:val="sv-FI"/>
        </w:rPr>
        <w:t>pada:</w:t>
      </w:r>
      <w:r w:rsidR="00A954D0">
        <w:rPr>
          <w:rFonts w:ascii="Bookman Old Style" w:hAnsi="Bookman Old Style" w:cs="Arial"/>
          <w:sz w:val="24"/>
          <w:szCs w:val="24"/>
          <w:lang w:val="sv-FI"/>
        </w:rPr>
        <w:t xml:space="preserve"> </w:t>
      </w:r>
    </w:p>
    <w:p w14:paraId="5F71DFC8" w14:textId="01206395" w:rsidR="00FE1A35" w:rsidRDefault="00FE1A35" w:rsidP="00600C12">
      <w:pPr>
        <w:pStyle w:val="ListParagraph"/>
        <w:numPr>
          <w:ilvl w:val="0"/>
          <w:numId w:val="202"/>
        </w:numPr>
        <w:spacing w:before="60" w:after="0" w:line="276" w:lineRule="auto"/>
        <w:ind w:left="1701" w:hanging="425"/>
        <w:contextualSpacing w:val="0"/>
        <w:jc w:val="both"/>
        <w:rPr>
          <w:rFonts w:ascii="Bookman Old Style" w:hAnsi="Bookman Old Style" w:cs="Arial"/>
          <w:sz w:val="24"/>
          <w:szCs w:val="24"/>
          <w:lang w:val="sv-FI"/>
        </w:rPr>
      </w:pPr>
      <w:r w:rsidRPr="00B443F4">
        <w:rPr>
          <w:rFonts w:ascii="Bookman Old Style" w:hAnsi="Bookman Old Style" w:cs="Arial"/>
          <w:sz w:val="24"/>
          <w:szCs w:val="24"/>
          <w:lang w:val="sv-FI"/>
        </w:rPr>
        <w:t>Belanja</w:t>
      </w:r>
      <w:r w:rsidR="00A954D0">
        <w:rPr>
          <w:rFonts w:ascii="Bookman Old Style" w:hAnsi="Bookman Old Style" w:cs="Arial"/>
          <w:sz w:val="24"/>
          <w:szCs w:val="24"/>
          <w:lang w:val="sv-FI"/>
        </w:rPr>
        <w:t xml:space="preserve"> </w:t>
      </w:r>
      <w:r w:rsidRPr="00B443F4">
        <w:rPr>
          <w:rFonts w:ascii="Bookman Old Style" w:hAnsi="Bookman Old Style" w:cs="Arial"/>
          <w:sz w:val="24"/>
          <w:szCs w:val="24"/>
          <w:lang w:val="sv-FI"/>
        </w:rPr>
        <w:t>Barang</w:t>
      </w:r>
      <w:r w:rsidR="00A954D0">
        <w:rPr>
          <w:rFonts w:ascii="Bookman Old Style" w:hAnsi="Bookman Old Style" w:cs="Arial"/>
          <w:sz w:val="24"/>
          <w:szCs w:val="24"/>
          <w:lang w:val="sv-FI"/>
        </w:rPr>
        <w:t xml:space="preserve"> </w:t>
      </w:r>
      <w:r w:rsidRPr="00B443F4">
        <w:rPr>
          <w:rFonts w:ascii="Bookman Old Style" w:hAnsi="Bookman Old Style" w:cs="Arial"/>
          <w:sz w:val="24"/>
          <w:szCs w:val="24"/>
          <w:lang w:val="sv-FI"/>
        </w:rPr>
        <w:t>dan</w:t>
      </w:r>
      <w:r w:rsidR="00A954D0">
        <w:rPr>
          <w:rFonts w:ascii="Bookman Old Style" w:hAnsi="Bookman Old Style" w:cs="Arial"/>
          <w:sz w:val="24"/>
          <w:szCs w:val="24"/>
          <w:lang w:val="sv-FI"/>
        </w:rPr>
        <w:t xml:space="preserve"> </w:t>
      </w:r>
      <w:r w:rsidRPr="00B443F4">
        <w:rPr>
          <w:rFonts w:ascii="Bookman Old Style" w:hAnsi="Bookman Old Style" w:cs="Arial"/>
          <w:sz w:val="24"/>
          <w:szCs w:val="24"/>
          <w:lang w:val="sv-FI"/>
        </w:rPr>
        <w:t>Jasa</w:t>
      </w:r>
      <w:r w:rsidR="00A954D0">
        <w:rPr>
          <w:rFonts w:ascii="Bookman Old Style" w:hAnsi="Bookman Old Style" w:cs="Arial"/>
          <w:sz w:val="24"/>
          <w:szCs w:val="24"/>
          <w:lang w:val="sv-FI"/>
        </w:rPr>
        <w:t xml:space="preserve"> </w:t>
      </w:r>
      <w:r w:rsidRPr="00B443F4">
        <w:rPr>
          <w:rFonts w:ascii="Bookman Old Style" w:hAnsi="Bookman Old Style" w:cs="Arial"/>
          <w:sz w:val="24"/>
          <w:szCs w:val="24"/>
          <w:lang w:val="sv-FI"/>
        </w:rPr>
        <w:t>BOSP</w:t>
      </w:r>
      <w:r w:rsidR="00A954D0">
        <w:rPr>
          <w:rFonts w:ascii="Bookman Old Style" w:hAnsi="Bookman Old Style" w:cs="Arial"/>
          <w:sz w:val="24"/>
          <w:szCs w:val="24"/>
          <w:lang w:val="sv-FI"/>
        </w:rPr>
        <w:t xml:space="preserve"> </w:t>
      </w:r>
      <w:r w:rsidRPr="00B443F4">
        <w:rPr>
          <w:rFonts w:ascii="Bookman Old Style" w:hAnsi="Bookman Old Style"/>
          <w:sz w:val="24"/>
          <w:szCs w:val="24"/>
          <w:lang w:val="sv-FI"/>
        </w:rPr>
        <w:t>Rp</w:t>
      </w:r>
      <w:r w:rsidRPr="00385830">
        <w:rPr>
          <w:rFonts w:ascii="Bookman Old Style" w:hAnsi="Bookman Old Style"/>
          <w:sz w:val="24"/>
          <w:szCs w:val="24"/>
          <w:lang w:val="sv-FI"/>
        </w:rPr>
        <w:t>119.987.779.531,00</w:t>
      </w:r>
      <w:r w:rsidRPr="00B443F4">
        <w:rPr>
          <w:rFonts w:ascii="Bookman Old Style" w:hAnsi="Bookman Old Style" w:cs="Arial"/>
          <w:sz w:val="24"/>
          <w:szCs w:val="24"/>
          <w:lang w:val="sv-FI"/>
        </w:rPr>
        <w:t>;</w:t>
      </w:r>
      <w:r w:rsidR="00A954D0">
        <w:rPr>
          <w:rFonts w:ascii="Bookman Old Style" w:hAnsi="Bookman Old Style" w:cs="Arial"/>
          <w:sz w:val="24"/>
          <w:szCs w:val="24"/>
          <w:lang w:val="sv-FI"/>
        </w:rPr>
        <w:t xml:space="preserve"> </w:t>
      </w:r>
    </w:p>
    <w:p w14:paraId="68256815" w14:textId="7FEB05F3" w:rsidR="00B7032E" w:rsidRPr="00B443F4" w:rsidRDefault="00B7032E" w:rsidP="00600C12">
      <w:pPr>
        <w:pStyle w:val="ListParagraph"/>
        <w:numPr>
          <w:ilvl w:val="0"/>
          <w:numId w:val="202"/>
        </w:numPr>
        <w:spacing w:before="60" w:after="0" w:line="276" w:lineRule="auto"/>
        <w:ind w:left="1701" w:hanging="425"/>
        <w:contextualSpacing w:val="0"/>
        <w:jc w:val="both"/>
        <w:rPr>
          <w:rFonts w:ascii="Bookman Old Style" w:hAnsi="Bookman Old Style" w:cs="Arial"/>
          <w:sz w:val="24"/>
          <w:szCs w:val="24"/>
          <w:lang w:val="sv-FI"/>
        </w:rPr>
      </w:pPr>
      <w:r>
        <w:rPr>
          <w:rFonts w:ascii="Bookman Old Style" w:hAnsi="Bookman Old Style" w:cs="Arial"/>
          <w:sz w:val="24"/>
          <w:szCs w:val="24"/>
          <w:lang w:val="sv-FI"/>
        </w:rPr>
        <w:t>Belanja</w:t>
      </w:r>
      <w:r w:rsidR="00A954D0">
        <w:rPr>
          <w:rFonts w:ascii="Bookman Old Style" w:hAnsi="Bookman Old Style" w:cs="Arial"/>
          <w:sz w:val="24"/>
          <w:szCs w:val="24"/>
          <w:lang w:val="sv-FI"/>
        </w:rPr>
        <w:t xml:space="preserve"> </w:t>
      </w:r>
      <w:r>
        <w:rPr>
          <w:rFonts w:ascii="Bookman Old Style" w:hAnsi="Bookman Old Style" w:cs="Arial"/>
          <w:sz w:val="24"/>
          <w:szCs w:val="24"/>
          <w:lang w:val="sv-FI"/>
        </w:rPr>
        <w:t>Hibah</w:t>
      </w:r>
      <w:r w:rsidR="00A954D0">
        <w:rPr>
          <w:rFonts w:ascii="Bookman Old Style" w:hAnsi="Bookman Old Style" w:cs="Arial"/>
          <w:sz w:val="24"/>
          <w:szCs w:val="24"/>
          <w:lang w:val="sv-FI"/>
        </w:rPr>
        <w:t xml:space="preserve"> </w:t>
      </w:r>
      <w:r>
        <w:rPr>
          <w:rFonts w:ascii="Bookman Old Style" w:hAnsi="Bookman Old Style" w:cs="Arial"/>
          <w:sz w:val="24"/>
          <w:szCs w:val="24"/>
          <w:lang w:val="sv-FI"/>
        </w:rPr>
        <w:t>Uang</w:t>
      </w:r>
      <w:r w:rsidR="00A954D0">
        <w:rPr>
          <w:rFonts w:ascii="Bookman Old Style" w:hAnsi="Bookman Old Style" w:cs="Arial"/>
          <w:sz w:val="24"/>
          <w:szCs w:val="24"/>
          <w:lang w:val="sv-FI"/>
        </w:rPr>
        <w:t xml:space="preserve"> </w:t>
      </w:r>
      <w:r>
        <w:rPr>
          <w:rFonts w:ascii="Bookman Old Style" w:hAnsi="Bookman Old Style" w:cs="Arial"/>
          <w:sz w:val="24"/>
          <w:szCs w:val="24"/>
          <w:lang w:val="sv-FI"/>
        </w:rPr>
        <w:t>Dana</w:t>
      </w:r>
      <w:r w:rsidR="00A954D0">
        <w:rPr>
          <w:rFonts w:ascii="Bookman Old Style" w:hAnsi="Bookman Old Style" w:cs="Arial"/>
          <w:sz w:val="24"/>
          <w:szCs w:val="24"/>
          <w:lang w:val="sv-FI"/>
        </w:rPr>
        <w:t xml:space="preserve"> </w:t>
      </w:r>
      <w:r>
        <w:rPr>
          <w:rFonts w:ascii="Bookman Old Style" w:hAnsi="Bookman Old Style" w:cs="Arial"/>
          <w:sz w:val="24"/>
          <w:szCs w:val="24"/>
          <w:lang w:val="sv-FI"/>
        </w:rPr>
        <w:t>BOS</w:t>
      </w:r>
      <w:r w:rsidR="00A954D0">
        <w:rPr>
          <w:rFonts w:ascii="Bookman Old Style" w:hAnsi="Bookman Old Style" w:cs="Arial"/>
          <w:sz w:val="24"/>
          <w:szCs w:val="24"/>
          <w:lang w:val="sv-FI"/>
        </w:rPr>
        <w:t xml:space="preserve"> </w:t>
      </w:r>
      <w:r>
        <w:rPr>
          <w:rFonts w:ascii="Bookman Old Style" w:hAnsi="Bookman Old Style" w:cs="Arial"/>
          <w:sz w:val="24"/>
          <w:szCs w:val="24"/>
          <w:lang w:val="sv-FI"/>
        </w:rPr>
        <w:t>yang</w:t>
      </w:r>
      <w:r w:rsidR="00A954D0">
        <w:rPr>
          <w:rFonts w:ascii="Bookman Old Style" w:hAnsi="Bookman Old Style" w:cs="Arial"/>
          <w:sz w:val="24"/>
          <w:szCs w:val="24"/>
          <w:lang w:val="sv-FI"/>
        </w:rPr>
        <w:t xml:space="preserve"> </w:t>
      </w:r>
      <w:r>
        <w:rPr>
          <w:rFonts w:ascii="Bookman Old Style" w:hAnsi="Bookman Old Style" w:cs="Arial"/>
          <w:sz w:val="24"/>
          <w:szCs w:val="24"/>
          <w:lang w:val="sv-FI"/>
        </w:rPr>
        <w:t>diterima</w:t>
      </w:r>
      <w:r w:rsidR="00A954D0">
        <w:rPr>
          <w:rFonts w:ascii="Bookman Old Style" w:hAnsi="Bookman Old Style" w:cs="Arial"/>
          <w:sz w:val="24"/>
          <w:szCs w:val="24"/>
          <w:lang w:val="sv-FI"/>
        </w:rPr>
        <w:t xml:space="preserve"> </w:t>
      </w:r>
      <w:r>
        <w:rPr>
          <w:rFonts w:ascii="Bookman Old Style" w:hAnsi="Bookman Old Style" w:cs="Arial"/>
          <w:sz w:val="24"/>
          <w:szCs w:val="24"/>
          <w:lang w:val="sv-FI"/>
        </w:rPr>
        <w:t>oleh</w:t>
      </w:r>
      <w:r w:rsidR="00A954D0">
        <w:rPr>
          <w:rFonts w:ascii="Bookman Old Style" w:hAnsi="Bookman Old Style" w:cs="Arial"/>
          <w:sz w:val="24"/>
          <w:szCs w:val="24"/>
          <w:lang w:val="sv-FI"/>
        </w:rPr>
        <w:t xml:space="preserve"> </w:t>
      </w:r>
      <w:r>
        <w:rPr>
          <w:rFonts w:ascii="Bookman Old Style" w:hAnsi="Bookman Old Style" w:cs="Arial"/>
          <w:sz w:val="24"/>
          <w:szCs w:val="24"/>
          <w:lang w:val="sv-FI"/>
        </w:rPr>
        <w:t>Satuan</w:t>
      </w:r>
      <w:r w:rsidR="00A954D0">
        <w:rPr>
          <w:rFonts w:ascii="Bookman Old Style" w:hAnsi="Bookman Old Style" w:cs="Arial"/>
          <w:sz w:val="24"/>
          <w:szCs w:val="24"/>
          <w:lang w:val="sv-FI"/>
        </w:rPr>
        <w:t xml:space="preserve"> </w:t>
      </w:r>
      <w:r>
        <w:rPr>
          <w:rFonts w:ascii="Bookman Old Style" w:hAnsi="Bookman Old Style" w:cs="Arial"/>
          <w:sz w:val="24"/>
          <w:szCs w:val="24"/>
          <w:lang w:val="sv-FI"/>
        </w:rPr>
        <w:t>Pendidikan</w:t>
      </w:r>
      <w:r w:rsidR="00A954D0">
        <w:rPr>
          <w:rFonts w:ascii="Bookman Old Style" w:hAnsi="Bookman Old Style" w:cs="Arial"/>
          <w:sz w:val="24"/>
          <w:szCs w:val="24"/>
          <w:lang w:val="sv-FI"/>
        </w:rPr>
        <w:t xml:space="preserve"> </w:t>
      </w:r>
      <w:r>
        <w:rPr>
          <w:rFonts w:ascii="Bookman Old Style" w:hAnsi="Bookman Old Style" w:cs="Arial"/>
          <w:sz w:val="24"/>
          <w:szCs w:val="24"/>
          <w:lang w:val="sv-FI"/>
        </w:rPr>
        <w:t>Dasar</w:t>
      </w:r>
      <w:r w:rsidR="00A954D0">
        <w:rPr>
          <w:rFonts w:ascii="Bookman Old Style" w:hAnsi="Bookman Old Style" w:cs="Arial"/>
          <w:sz w:val="24"/>
          <w:szCs w:val="24"/>
          <w:lang w:val="sv-FI"/>
        </w:rPr>
        <w:t xml:space="preserve"> </w:t>
      </w:r>
      <w:r>
        <w:rPr>
          <w:rFonts w:ascii="Bookman Old Style" w:hAnsi="Bookman Old Style" w:cs="Arial"/>
          <w:sz w:val="24"/>
          <w:szCs w:val="24"/>
          <w:lang w:val="sv-FI"/>
        </w:rPr>
        <w:t>Swasta</w:t>
      </w:r>
      <w:r w:rsidR="00A954D0">
        <w:rPr>
          <w:rFonts w:ascii="Bookman Old Style" w:hAnsi="Bookman Old Style" w:cs="Arial"/>
          <w:sz w:val="24"/>
          <w:szCs w:val="24"/>
          <w:lang w:val="sv-FI"/>
        </w:rPr>
        <w:t xml:space="preserve"> </w:t>
      </w:r>
      <w:r>
        <w:rPr>
          <w:rFonts w:ascii="Bookman Old Style" w:hAnsi="Bookman Old Style" w:cs="Arial"/>
          <w:sz w:val="24"/>
          <w:szCs w:val="24"/>
          <w:lang w:val="sv-FI"/>
        </w:rPr>
        <w:t>Rp66.568.640.000,00;</w:t>
      </w:r>
    </w:p>
    <w:p w14:paraId="2EA2F75D" w14:textId="1A2F585E" w:rsidR="00FE1A35" w:rsidRPr="00727324" w:rsidRDefault="00FE1A35" w:rsidP="00600C12">
      <w:pPr>
        <w:pStyle w:val="ListParagraph"/>
        <w:numPr>
          <w:ilvl w:val="0"/>
          <w:numId w:val="202"/>
        </w:numPr>
        <w:spacing w:before="60" w:after="0" w:line="276" w:lineRule="auto"/>
        <w:ind w:left="1701" w:hanging="425"/>
        <w:contextualSpacing w:val="0"/>
        <w:jc w:val="both"/>
        <w:rPr>
          <w:rFonts w:ascii="Bookman Old Style" w:hAnsi="Bookman Old Style" w:cs="Arial"/>
          <w:sz w:val="24"/>
          <w:szCs w:val="24"/>
          <w:lang w:val="sv-FI"/>
        </w:rPr>
      </w:pPr>
      <w:r w:rsidRPr="00727324">
        <w:rPr>
          <w:rFonts w:ascii="Bookman Old Style" w:hAnsi="Bookman Old Style" w:cs="Arial"/>
          <w:sz w:val="24"/>
          <w:szCs w:val="24"/>
          <w:lang w:val="sv-FI"/>
        </w:rPr>
        <w:t>Belanja</w:t>
      </w:r>
      <w:r w:rsidR="00A954D0">
        <w:rPr>
          <w:rFonts w:ascii="Bookman Old Style" w:hAnsi="Bookman Old Style" w:cs="Arial"/>
          <w:sz w:val="24"/>
          <w:szCs w:val="24"/>
          <w:lang w:val="sv-FI"/>
        </w:rPr>
        <w:t xml:space="preserve"> </w:t>
      </w:r>
      <w:r w:rsidRPr="00727324">
        <w:rPr>
          <w:rFonts w:ascii="Bookman Old Style" w:hAnsi="Bookman Old Style" w:cs="Arial"/>
          <w:sz w:val="24"/>
          <w:szCs w:val="24"/>
          <w:lang w:val="sv-FI"/>
        </w:rPr>
        <w:t>Modal</w:t>
      </w:r>
      <w:r w:rsidR="00A954D0">
        <w:rPr>
          <w:rFonts w:ascii="Bookman Old Style" w:hAnsi="Bookman Old Style" w:cs="Arial"/>
          <w:sz w:val="24"/>
          <w:szCs w:val="24"/>
          <w:lang w:val="sv-FI"/>
        </w:rPr>
        <w:t xml:space="preserve"> </w:t>
      </w:r>
      <w:r w:rsidRPr="00727324">
        <w:rPr>
          <w:rFonts w:ascii="Bookman Old Style" w:hAnsi="Bookman Old Style" w:cs="Arial"/>
          <w:sz w:val="24"/>
          <w:szCs w:val="24"/>
          <w:lang w:val="sv-FI"/>
        </w:rPr>
        <w:t>Peralatan</w:t>
      </w:r>
      <w:r w:rsidR="00A954D0">
        <w:rPr>
          <w:rFonts w:ascii="Bookman Old Style" w:hAnsi="Bookman Old Style" w:cs="Arial"/>
          <w:sz w:val="24"/>
          <w:szCs w:val="24"/>
          <w:lang w:val="sv-FI"/>
        </w:rPr>
        <w:t xml:space="preserve"> </w:t>
      </w:r>
      <w:r w:rsidRPr="00727324">
        <w:rPr>
          <w:rFonts w:ascii="Bookman Old Style" w:hAnsi="Bookman Old Style" w:cs="Arial"/>
          <w:sz w:val="24"/>
          <w:szCs w:val="24"/>
          <w:lang w:val="sv-FI"/>
        </w:rPr>
        <w:t>dan</w:t>
      </w:r>
      <w:r w:rsidR="00A954D0">
        <w:rPr>
          <w:rFonts w:ascii="Bookman Old Style" w:hAnsi="Bookman Old Style" w:cs="Arial"/>
          <w:sz w:val="24"/>
          <w:szCs w:val="24"/>
          <w:lang w:val="sv-FI"/>
        </w:rPr>
        <w:t xml:space="preserve"> </w:t>
      </w:r>
      <w:r w:rsidRPr="00727324">
        <w:rPr>
          <w:rFonts w:ascii="Bookman Old Style" w:hAnsi="Bookman Old Style" w:cs="Arial"/>
          <w:sz w:val="24"/>
          <w:szCs w:val="24"/>
          <w:lang w:val="sv-FI"/>
        </w:rPr>
        <w:t>Mesin</w:t>
      </w:r>
      <w:r w:rsidR="00A954D0">
        <w:rPr>
          <w:rFonts w:ascii="Bookman Old Style" w:hAnsi="Bookman Old Style" w:cs="Arial"/>
          <w:sz w:val="24"/>
          <w:szCs w:val="24"/>
          <w:lang w:val="sv-FI"/>
        </w:rPr>
        <w:t xml:space="preserve"> </w:t>
      </w:r>
      <w:r w:rsidRPr="00727324">
        <w:rPr>
          <w:rFonts w:ascii="Bookman Old Style" w:hAnsi="Bookman Old Style" w:cs="Arial"/>
          <w:sz w:val="24"/>
          <w:szCs w:val="24"/>
          <w:lang w:val="sv-FI"/>
        </w:rPr>
        <w:t>BOSP</w:t>
      </w:r>
      <w:r w:rsidR="00A954D0">
        <w:rPr>
          <w:rFonts w:ascii="Bookman Old Style" w:hAnsi="Bookman Old Style" w:cs="Arial"/>
          <w:sz w:val="24"/>
          <w:szCs w:val="24"/>
          <w:lang w:val="sv-FI"/>
        </w:rPr>
        <w:t xml:space="preserve"> </w:t>
      </w:r>
      <w:r w:rsidRPr="00727324">
        <w:rPr>
          <w:rFonts w:ascii="Bookman Old Style" w:hAnsi="Bookman Old Style"/>
          <w:sz w:val="24"/>
          <w:szCs w:val="24"/>
          <w:lang w:val="it-IT"/>
        </w:rPr>
        <w:t>Rp</w:t>
      </w:r>
      <w:r w:rsidRPr="00385830">
        <w:rPr>
          <w:rFonts w:ascii="Bookman Old Style" w:hAnsi="Bookman Old Style"/>
          <w:sz w:val="24"/>
          <w:szCs w:val="24"/>
          <w:lang w:val="it-IT"/>
        </w:rPr>
        <w:t>22.467.868.969,00</w:t>
      </w:r>
      <w:r w:rsidRPr="00727324">
        <w:rPr>
          <w:rFonts w:ascii="Bookman Old Style" w:hAnsi="Bookman Old Style" w:cs="Arial"/>
          <w:sz w:val="24"/>
          <w:szCs w:val="24"/>
          <w:lang w:val="sv-FI"/>
        </w:rPr>
        <w:t>;</w:t>
      </w:r>
      <w:r w:rsidR="00A954D0">
        <w:rPr>
          <w:rFonts w:ascii="Bookman Old Style" w:hAnsi="Bookman Old Style" w:cs="Arial"/>
          <w:sz w:val="24"/>
          <w:szCs w:val="24"/>
          <w:lang w:val="sv-FI"/>
        </w:rPr>
        <w:t xml:space="preserve"> </w:t>
      </w:r>
    </w:p>
    <w:p w14:paraId="3CF8805B" w14:textId="21308FD8" w:rsidR="00FE1A35" w:rsidRPr="00727324" w:rsidRDefault="00FE1A35" w:rsidP="00600C12">
      <w:pPr>
        <w:pStyle w:val="ListParagraph"/>
        <w:numPr>
          <w:ilvl w:val="0"/>
          <w:numId w:val="202"/>
        </w:numPr>
        <w:spacing w:before="60" w:after="0" w:line="276" w:lineRule="auto"/>
        <w:ind w:left="1701" w:hanging="425"/>
        <w:contextualSpacing w:val="0"/>
        <w:jc w:val="both"/>
        <w:rPr>
          <w:rFonts w:ascii="Bookman Old Style" w:hAnsi="Bookman Old Style" w:cs="Arial"/>
          <w:sz w:val="24"/>
          <w:szCs w:val="24"/>
          <w:lang w:val="de-DE"/>
        </w:rPr>
      </w:pPr>
      <w:r w:rsidRPr="00B443F4">
        <w:rPr>
          <w:rFonts w:ascii="Bookman Old Style" w:hAnsi="Bookman Old Style" w:cs="Arial"/>
          <w:sz w:val="24"/>
          <w:szCs w:val="24"/>
          <w:lang w:val="sv-FI"/>
        </w:rPr>
        <w:t>Belanja</w:t>
      </w:r>
      <w:r w:rsidR="00A954D0">
        <w:rPr>
          <w:rFonts w:ascii="Bookman Old Style" w:hAnsi="Bookman Old Style" w:cs="Arial"/>
          <w:sz w:val="24"/>
          <w:szCs w:val="24"/>
          <w:lang w:val="de-DE"/>
        </w:rPr>
        <w:t xml:space="preserve"> </w:t>
      </w:r>
      <w:r w:rsidRPr="00727324">
        <w:rPr>
          <w:rFonts w:ascii="Bookman Old Style" w:hAnsi="Bookman Old Style" w:cs="Arial"/>
          <w:sz w:val="24"/>
          <w:szCs w:val="24"/>
          <w:lang w:val="de-DE"/>
        </w:rPr>
        <w:t>Modal</w:t>
      </w:r>
      <w:r w:rsidR="00A954D0">
        <w:rPr>
          <w:rFonts w:ascii="Bookman Old Style" w:hAnsi="Bookman Old Style" w:cs="Arial"/>
          <w:sz w:val="24"/>
          <w:szCs w:val="24"/>
          <w:lang w:val="de-DE"/>
        </w:rPr>
        <w:t xml:space="preserve"> </w:t>
      </w:r>
      <w:r w:rsidRPr="00727324">
        <w:rPr>
          <w:rFonts w:ascii="Bookman Old Style" w:hAnsi="Bookman Old Style" w:cs="Arial"/>
          <w:sz w:val="24"/>
          <w:szCs w:val="24"/>
          <w:lang w:val="de-DE"/>
        </w:rPr>
        <w:t>Aset</w:t>
      </w:r>
      <w:r w:rsidR="00A954D0">
        <w:rPr>
          <w:rFonts w:ascii="Bookman Old Style" w:hAnsi="Bookman Old Style" w:cs="Arial"/>
          <w:sz w:val="24"/>
          <w:szCs w:val="24"/>
          <w:lang w:val="de-DE"/>
        </w:rPr>
        <w:t xml:space="preserve"> </w:t>
      </w:r>
      <w:r w:rsidRPr="00727324">
        <w:rPr>
          <w:rFonts w:ascii="Bookman Old Style" w:hAnsi="Bookman Old Style" w:cs="Arial"/>
          <w:sz w:val="24"/>
          <w:szCs w:val="24"/>
          <w:lang w:val="de-DE"/>
        </w:rPr>
        <w:t>Tetap</w:t>
      </w:r>
      <w:r w:rsidR="00A954D0">
        <w:rPr>
          <w:rFonts w:ascii="Bookman Old Style" w:hAnsi="Bookman Old Style" w:cs="Arial"/>
          <w:sz w:val="24"/>
          <w:szCs w:val="24"/>
          <w:lang w:val="de-DE"/>
        </w:rPr>
        <w:t xml:space="preserve"> </w:t>
      </w:r>
      <w:r w:rsidRPr="00727324">
        <w:rPr>
          <w:rFonts w:ascii="Bookman Old Style" w:hAnsi="Bookman Old Style" w:cs="Arial"/>
          <w:sz w:val="24"/>
          <w:szCs w:val="24"/>
          <w:lang w:val="de-DE"/>
        </w:rPr>
        <w:t>Lainnya</w:t>
      </w:r>
      <w:r w:rsidR="00A954D0">
        <w:rPr>
          <w:rFonts w:ascii="Bookman Old Style" w:hAnsi="Bookman Old Style" w:cs="Arial"/>
          <w:sz w:val="24"/>
          <w:szCs w:val="24"/>
          <w:lang w:val="de-DE"/>
        </w:rPr>
        <w:t xml:space="preserve"> </w:t>
      </w:r>
      <w:r w:rsidRPr="00727324">
        <w:rPr>
          <w:rFonts w:ascii="Bookman Old Style" w:hAnsi="Bookman Old Style" w:cs="Arial"/>
          <w:sz w:val="24"/>
          <w:szCs w:val="24"/>
          <w:lang w:val="de-DE"/>
        </w:rPr>
        <w:t>BOSP</w:t>
      </w:r>
      <w:r w:rsidR="00A954D0">
        <w:rPr>
          <w:rFonts w:ascii="Bookman Old Style" w:hAnsi="Bookman Old Style" w:cs="Arial"/>
          <w:sz w:val="24"/>
          <w:szCs w:val="24"/>
          <w:lang w:val="de-DE"/>
        </w:rPr>
        <w:t xml:space="preserve"> </w:t>
      </w:r>
      <w:r w:rsidRPr="00727324">
        <w:rPr>
          <w:rFonts w:ascii="Bookman Old Style" w:hAnsi="Bookman Old Style"/>
          <w:sz w:val="24"/>
          <w:szCs w:val="24"/>
          <w:lang w:val="en-ID"/>
        </w:rPr>
        <w:t>Rp</w:t>
      </w:r>
      <w:r w:rsidRPr="00385830">
        <w:rPr>
          <w:rFonts w:ascii="Bookman Old Style" w:hAnsi="Bookman Old Style"/>
          <w:sz w:val="24"/>
          <w:szCs w:val="24"/>
          <w:lang w:val="en-ID"/>
        </w:rPr>
        <w:t>18.969.801.500,00</w:t>
      </w:r>
      <w:r w:rsidRPr="00727324">
        <w:rPr>
          <w:rFonts w:ascii="Bookman Old Style" w:hAnsi="Bookman Old Style" w:cs="Arial"/>
          <w:sz w:val="24"/>
          <w:szCs w:val="24"/>
          <w:lang w:val="id-ID"/>
        </w:rPr>
        <w:t>.</w:t>
      </w:r>
    </w:p>
    <w:p w14:paraId="49C45DA6" w14:textId="4384A2B3" w:rsidR="009E7D10" w:rsidRPr="00770F22" w:rsidRDefault="00FE1A35" w:rsidP="00600C12">
      <w:pPr>
        <w:pStyle w:val="ListParagraph"/>
        <w:spacing w:before="60" w:after="0" w:line="276" w:lineRule="auto"/>
        <w:ind w:left="1276"/>
        <w:contextualSpacing w:val="0"/>
        <w:jc w:val="both"/>
        <w:rPr>
          <w:rFonts w:ascii="Bookman Old Style" w:hAnsi="Bookman Old Style" w:cs="Arial"/>
          <w:sz w:val="24"/>
          <w:szCs w:val="24"/>
          <w:highlight w:val="yellow"/>
        </w:rPr>
      </w:pPr>
      <w:r w:rsidRPr="00727324">
        <w:rPr>
          <w:rFonts w:ascii="Bookman Old Style" w:hAnsi="Bookman Old Style" w:cs="Arial"/>
          <w:sz w:val="24"/>
          <w:szCs w:val="24"/>
          <w:lang w:val="id-ID"/>
        </w:rPr>
        <w:t>D</w:t>
      </w:r>
      <w:r w:rsidRPr="00727324">
        <w:rPr>
          <w:rFonts w:ascii="Bookman Old Style" w:hAnsi="Bookman Old Style" w:cs="Arial"/>
          <w:sz w:val="24"/>
          <w:szCs w:val="24"/>
          <w:lang w:val="sv-FI"/>
        </w:rPr>
        <w:t>ianggarkan</w:t>
      </w:r>
      <w:r w:rsidR="00A954D0">
        <w:rPr>
          <w:rFonts w:ascii="Bookman Old Style" w:hAnsi="Bookman Old Style" w:cs="Arial"/>
          <w:sz w:val="24"/>
          <w:szCs w:val="24"/>
          <w:lang w:val="sv-FI"/>
        </w:rPr>
        <w:t xml:space="preserve"> </w:t>
      </w:r>
      <w:r w:rsidRPr="00727324">
        <w:rPr>
          <w:rFonts w:ascii="Bookman Old Style" w:hAnsi="Bookman Old Style" w:cs="Arial"/>
          <w:sz w:val="24"/>
          <w:szCs w:val="24"/>
          <w:lang w:val="sv-FI"/>
        </w:rPr>
        <w:t>dalam</w:t>
      </w:r>
      <w:r w:rsidR="00A954D0">
        <w:rPr>
          <w:rFonts w:ascii="Bookman Old Style" w:hAnsi="Bookman Old Style" w:cs="Arial"/>
          <w:sz w:val="24"/>
          <w:szCs w:val="24"/>
          <w:lang w:val="sv-FI"/>
        </w:rPr>
        <w:t xml:space="preserve"> </w:t>
      </w:r>
      <w:r w:rsidRPr="00727324">
        <w:rPr>
          <w:rFonts w:ascii="Bookman Old Style" w:hAnsi="Bookman Old Style" w:cs="Arial"/>
          <w:sz w:val="24"/>
          <w:szCs w:val="24"/>
          <w:lang w:val="sv-FI"/>
        </w:rPr>
        <w:t>Rancangan</w:t>
      </w:r>
      <w:r w:rsidR="00A954D0">
        <w:rPr>
          <w:rFonts w:ascii="Bookman Old Style" w:hAnsi="Bookman Old Style" w:cs="Arial"/>
          <w:sz w:val="24"/>
          <w:szCs w:val="24"/>
          <w:lang w:val="sv-FI"/>
        </w:rPr>
        <w:t xml:space="preserve"> </w:t>
      </w:r>
      <w:r w:rsidRPr="00727324">
        <w:rPr>
          <w:rFonts w:ascii="Bookman Old Style" w:hAnsi="Bookman Old Style" w:cs="Arial"/>
          <w:sz w:val="24"/>
          <w:szCs w:val="24"/>
          <w:lang w:val="sv-FI"/>
        </w:rPr>
        <w:t>Peraturan</w:t>
      </w:r>
      <w:r w:rsidR="00A954D0">
        <w:rPr>
          <w:rFonts w:ascii="Bookman Old Style" w:hAnsi="Bookman Old Style" w:cs="Arial"/>
          <w:sz w:val="24"/>
          <w:szCs w:val="24"/>
          <w:lang w:val="sv-FI"/>
        </w:rPr>
        <w:t xml:space="preserve"> </w:t>
      </w:r>
      <w:r w:rsidRPr="00727324">
        <w:rPr>
          <w:rFonts w:ascii="Bookman Old Style" w:hAnsi="Bookman Old Style" w:cs="Arial"/>
          <w:sz w:val="24"/>
          <w:szCs w:val="24"/>
          <w:lang w:val="sv-FI"/>
        </w:rPr>
        <w:t>Daerah</w:t>
      </w:r>
      <w:r w:rsidR="00A954D0">
        <w:rPr>
          <w:rFonts w:ascii="Bookman Old Style" w:hAnsi="Bookman Old Style"/>
          <w:sz w:val="24"/>
          <w:szCs w:val="24"/>
          <w:lang w:val="id-ID"/>
        </w:rPr>
        <w:t xml:space="preserve"> </w:t>
      </w:r>
      <w:r>
        <w:rPr>
          <w:rFonts w:ascii="Bookman Old Style" w:hAnsi="Bookman Old Style"/>
          <w:sz w:val="24"/>
          <w:szCs w:val="24"/>
          <w:lang w:val="id-ID"/>
        </w:rPr>
        <w:t>Kota</w:t>
      </w:r>
      <w:r w:rsidR="00A954D0">
        <w:rPr>
          <w:rFonts w:ascii="Bookman Old Style" w:hAnsi="Bookman Old Style"/>
          <w:sz w:val="24"/>
          <w:szCs w:val="24"/>
          <w:lang w:val="id-ID"/>
        </w:rPr>
        <w:t xml:space="preserve"> </w:t>
      </w:r>
      <w:r>
        <w:rPr>
          <w:rFonts w:ascii="Bookman Old Style" w:hAnsi="Bookman Old Style"/>
          <w:sz w:val="24"/>
          <w:szCs w:val="24"/>
          <w:lang w:val="id-ID"/>
        </w:rPr>
        <w:t>Tangerang</w:t>
      </w:r>
      <w:r w:rsidR="00A954D0">
        <w:rPr>
          <w:rFonts w:ascii="Bookman Old Style" w:hAnsi="Bookman Old Style"/>
          <w:sz w:val="24"/>
          <w:szCs w:val="24"/>
          <w:lang w:val="id-ID"/>
        </w:rPr>
        <w:t xml:space="preserve"> </w:t>
      </w:r>
      <w:r w:rsidRPr="00727324">
        <w:rPr>
          <w:rFonts w:ascii="Bookman Old Style" w:hAnsi="Bookman Old Style" w:cs="Arial"/>
          <w:sz w:val="24"/>
          <w:szCs w:val="24"/>
          <w:lang w:val="de-DE"/>
        </w:rPr>
        <w:t>tentang</w:t>
      </w:r>
      <w:r w:rsidR="00A954D0">
        <w:rPr>
          <w:rFonts w:ascii="Bookman Old Style" w:hAnsi="Bookman Old Style" w:cs="Arial"/>
          <w:sz w:val="24"/>
          <w:szCs w:val="24"/>
          <w:lang w:val="de-DE"/>
        </w:rPr>
        <w:t xml:space="preserve"> </w:t>
      </w:r>
      <w:r w:rsidRPr="00727324">
        <w:rPr>
          <w:rFonts w:ascii="Bookman Old Style" w:hAnsi="Bookman Old Style" w:cs="Arial"/>
          <w:sz w:val="24"/>
          <w:szCs w:val="24"/>
          <w:lang w:val="de-DE"/>
        </w:rPr>
        <w:t>APBD</w:t>
      </w:r>
      <w:r w:rsidR="00A954D0">
        <w:rPr>
          <w:rFonts w:ascii="Bookman Old Style" w:hAnsi="Bookman Old Style" w:cs="Arial"/>
          <w:sz w:val="24"/>
          <w:szCs w:val="24"/>
          <w:lang w:val="de-DE"/>
        </w:rPr>
        <w:t xml:space="preserve"> </w:t>
      </w:r>
      <w:r w:rsidRPr="00727324">
        <w:rPr>
          <w:rFonts w:ascii="Bookman Old Style" w:hAnsi="Bookman Old Style" w:cs="Arial"/>
          <w:sz w:val="24"/>
          <w:szCs w:val="24"/>
          <w:lang w:val="de-DE"/>
        </w:rPr>
        <w:t>Tahun</w:t>
      </w:r>
      <w:r w:rsidR="00A954D0">
        <w:rPr>
          <w:rFonts w:ascii="Bookman Old Style" w:hAnsi="Bookman Old Style" w:cs="Arial"/>
          <w:sz w:val="24"/>
          <w:szCs w:val="24"/>
          <w:lang w:val="de-DE"/>
        </w:rPr>
        <w:t xml:space="preserve"> </w:t>
      </w:r>
      <w:r w:rsidRPr="00727324">
        <w:rPr>
          <w:rFonts w:ascii="Bookman Old Style" w:hAnsi="Bookman Old Style" w:cs="Arial"/>
          <w:sz w:val="24"/>
          <w:szCs w:val="24"/>
          <w:lang w:val="de-DE"/>
        </w:rPr>
        <w:t>Anggaran</w:t>
      </w:r>
      <w:r w:rsidR="00A954D0">
        <w:rPr>
          <w:rFonts w:ascii="Bookman Old Style" w:hAnsi="Bookman Old Style" w:cs="Arial"/>
          <w:sz w:val="24"/>
          <w:szCs w:val="24"/>
          <w:lang w:val="de-DE"/>
        </w:rPr>
        <w:t xml:space="preserve"> </w:t>
      </w:r>
      <w:r>
        <w:rPr>
          <w:rFonts w:ascii="Bookman Old Style" w:hAnsi="Bookman Old Style" w:cs="Arial"/>
          <w:sz w:val="24"/>
          <w:szCs w:val="24"/>
          <w:lang w:val="de-DE"/>
        </w:rPr>
        <w:t>2025</w:t>
      </w:r>
      <w:r w:rsidR="00A954D0">
        <w:rPr>
          <w:rFonts w:ascii="Bookman Old Style" w:hAnsi="Bookman Old Style" w:cs="Arial"/>
          <w:sz w:val="24"/>
          <w:szCs w:val="24"/>
          <w:lang w:val="de-DE"/>
        </w:rPr>
        <w:t xml:space="preserve"> </w:t>
      </w:r>
      <w:r w:rsidRPr="00727324">
        <w:rPr>
          <w:rFonts w:ascii="Bookman Old Style" w:hAnsi="Bookman Old Style" w:cs="Arial"/>
          <w:sz w:val="24"/>
          <w:szCs w:val="24"/>
          <w:lang w:val="de-DE"/>
        </w:rPr>
        <w:t>dengan</w:t>
      </w:r>
      <w:r w:rsidR="00A954D0">
        <w:rPr>
          <w:rFonts w:ascii="Bookman Old Style" w:hAnsi="Bookman Old Style" w:cs="Arial"/>
          <w:sz w:val="24"/>
          <w:szCs w:val="24"/>
          <w:lang w:val="de-DE"/>
        </w:rPr>
        <w:t xml:space="preserve"> </w:t>
      </w:r>
      <w:r w:rsidRPr="00727324">
        <w:rPr>
          <w:rFonts w:ascii="Bookman Old Style" w:hAnsi="Bookman Old Style" w:cs="Arial"/>
          <w:sz w:val="24"/>
          <w:szCs w:val="24"/>
          <w:lang w:val="de-DE"/>
        </w:rPr>
        <w:t>berpedoman</w:t>
      </w:r>
      <w:r w:rsidR="00A954D0">
        <w:rPr>
          <w:rFonts w:ascii="Bookman Old Style" w:hAnsi="Bookman Old Style" w:cs="Arial"/>
          <w:sz w:val="24"/>
          <w:szCs w:val="24"/>
          <w:lang w:val="de-DE"/>
        </w:rPr>
        <w:t xml:space="preserve"> </w:t>
      </w:r>
      <w:r w:rsidRPr="00727324">
        <w:rPr>
          <w:rFonts w:ascii="Bookman Old Style" w:hAnsi="Bookman Old Style" w:cs="Arial"/>
          <w:sz w:val="24"/>
          <w:szCs w:val="24"/>
          <w:lang w:val="de-DE"/>
        </w:rPr>
        <w:t>pada</w:t>
      </w:r>
      <w:r w:rsidR="00A954D0">
        <w:rPr>
          <w:rFonts w:ascii="Bookman Old Style" w:hAnsi="Bookman Old Style" w:cs="Arial"/>
          <w:sz w:val="24"/>
          <w:szCs w:val="24"/>
          <w:lang w:val="de-DE"/>
        </w:rPr>
        <w:t xml:space="preserve"> </w:t>
      </w:r>
      <w:r w:rsidRPr="00727324">
        <w:rPr>
          <w:rFonts w:ascii="Bookman Old Style" w:hAnsi="Bookman Old Style" w:cs="Arial"/>
          <w:sz w:val="24"/>
          <w:szCs w:val="24"/>
          <w:lang w:val="de-DE"/>
        </w:rPr>
        <w:t>Peraturan</w:t>
      </w:r>
      <w:r w:rsidR="00A954D0">
        <w:rPr>
          <w:rFonts w:ascii="Bookman Old Style" w:hAnsi="Bookman Old Style" w:cs="Arial"/>
          <w:sz w:val="24"/>
          <w:szCs w:val="24"/>
          <w:lang w:val="de-DE"/>
        </w:rPr>
        <w:t xml:space="preserve"> </w:t>
      </w:r>
      <w:r w:rsidRPr="00727324">
        <w:rPr>
          <w:rFonts w:ascii="Bookman Old Style" w:hAnsi="Bookman Old Style" w:cs="Arial"/>
          <w:sz w:val="24"/>
          <w:szCs w:val="24"/>
          <w:lang w:val="de-DE"/>
        </w:rPr>
        <w:t>Menteri</w:t>
      </w:r>
      <w:r w:rsidR="00A954D0">
        <w:rPr>
          <w:rFonts w:ascii="Bookman Old Style" w:hAnsi="Bookman Old Style" w:cs="Arial"/>
          <w:sz w:val="24"/>
          <w:szCs w:val="24"/>
          <w:lang w:val="de-DE"/>
        </w:rPr>
        <w:t xml:space="preserve"> </w:t>
      </w:r>
      <w:r w:rsidRPr="00727324">
        <w:rPr>
          <w:rFonts w:ascii="Bookman Old Style" w:hAnsi="Bookman Old Style" w:cs="Arial"/>
          <w:sz w:val="24"/>
          <w:szCs w:val="24"/>
          <w:lang w:val="de-DE"/>
        </w:rPr>
        <w:t>Dalam</w:t>
      </w:r>
      <w:r w:rsidR="00A954D0">
        <w:rPr>
          <w:rFonts w:ascii="Bookman Old Style" w:hAnsi="Bookman Old Style" w:cs="Arial"/>
          <w:sz w:val="24"/>
          <w:szCs w:val="24"/>
          <w:lang w:val="de-DE"/>
        </w:rPr>
        <w:t xml:space="preserve"> </w:t>
      </w:r>
      <w:r w:rsidRPr="00727324">
        <w:rPr>
          <w:rFonts w:ascii="Bookman Old Style" w:hAnsi="Bookman Old Style" w:cs="Arial"/>
          <w:sz w:val="24"/>
          <w:szCs w:val="24"/>
          <w:lang w:val="de-DE"/>
        </w:rPr>
        <w:t>Negeri</w:t>
      </w:r>
      <w:r w:rsidR="00A954D0">
        <w:rPr>
          <w:rFonts w:ascii="Bookman Old Style" w:hAnsi="Bookman Old Style" w:cs="Arial"/>
          <w:sz w:val="24"/>
          <w:szCs w:val="24"/>
          <w:lang w:val="de-DE"/>
        </w:rPr>
        <w:t xml:space="preserve"> </w:t>
      </w:r>
      <w:r w:rsidRPr="00727324">
        <w:rPr>
          <w:rFonts w:ascii="Bookman Old Style" w:hAnsi="Bookman Old Style" w:cs="Arial"/>
          <w:sz w:val="24"/>
          <w:szCs w:val="24"/>
          <w:lang w:val="de-DE"/>
        </w:rPr>
        <w:t>Nomor</w:t>
      </w:r>
      <w:r w:rsidR="00A954D0">
        <w:rPr>
          <w:rFonts w:ascii="Bookman Old Style" w:hAnsi="Bookman Old Style" w:cs="Arial"/>
          <w:sz w:val="24"/>
          <w:szCs w:val="24"/>
          <w:lang w:val="de-DE"/>
        </w:rPr>
        <w:t xml:space="preserve"> </w:t>
      </w:r>
      <w:r w:rsidRPr="00727324">
        <w:rPr>
          <w:rFonts w:ascii="Bookman Old Style" w:hAnsi="Bookman Old Style" w:cs="Arial"/>
          <w:sz w:val="24"/>
          <w:szCs w:val="24"/>
          <w:lang w:val="de-DE"/>
        </w:rPr>
        <w:t>3</w:t>
      </w:r>
      <w:r w:rsidR="00A954D0">
        <w:rPr>
          <w:rFonts w:ascii="Bookman Old Style" w:hAnsi="Bookman Old Style" w:cs="Arial"/>
          <w:sz w:val="24"/>
          <w:szCs w:val="24"/>
          <w:lang w:val="de-DE"/>
        </w:rPr>
        <w:t xml:space="preserve"> </w:t>
      </w:r>
      <w:r w:rsidRPr="00727324">
        <w:rPr>
          <w:rFonts w:ascii="Bookman Old Style" w:hAnsi="Bookman Old Style" w:cs="Arial"/>
          <w:sz w:val="24"/>
          <w:szCs w:val="24"/>
          <w:lang w:val="de-DE"/>
        </w:rPr>
        <w:t>Tahun</w:t>
      </w:r>
      <w:r w:rsidR="00A954D0">
        <w:rPr>
          <w:rFonts w:ascii="Bookman Old Style" w:hAnsi="Bookman Old Style" w:cs="Arial"/>
          <w:sz w:val="24"/>
          <w:szCs w:val="24"/>
          <w:lang w:val="de-DE"/>
        </w:rPr>
        <w:t xml:space="preserve"> </w:t>
      </w:r>
      <w:r w:rsidRPr="00727324">
        <w:rPr>
          <w:rFonts w:ascii="Bookman Old Style" w:hAnsi="Bookman Old Style" w:cs="Arial"/>
          <w:sz w:val="24"/>
          <w:szCs w:val="24"/>
          <w:lang w:val="de-DE"/>
        </w:rPr>
        <w:t>2023</w:t>
      </w:r>
      <w:r w:rsidR="00A954D0">
        <w:rPr>
          <w:rFonts w:ascii="Bookman Old Style" w:hAnsi="Bookman Old Style" w:cs="Arial"/>
          <w:sz w:val="24"/>
          <w:szCs w:val="24"/>
          <w:lang w:val="de-DE"/>
        </w:rPr>
        <w:t xml:space="preserve"> </w:t>
      </w:r>
      <w:r w:rsidRPr="00727324">
        <w:rPr>
          <w:rFonts w:ascii="Bookman Old Style" w:hAnsi="Bookman Old Style" w:cs="Arial"/>
          <w:sz w:val="24"/>
          <w:szCs w:val="24"/>
          <w:lang w:val="de-DE"/>
        </w:rPr>
        <w:t>tentang</w:t>
      </w:r>
      <w:r w:rsidR="00A954D0">
        <w:rPr>
          <w:rFonts w:ascii="Bookman Old Style" w:hAnsi="Bookman Old Style" w:cs="Arial"/>
          <w:sz w:val="24"/>
          <w:szCs w:val="24"/>
          <w:lang w:val="de-DE"/>
        </w:rPr>
        <w:t xml:space="preserve"> </w:t>
      </w:r>
      <w:r w:rsidRPr="00727324">
        <w:rPr>
          <w:rFonts w:ascii="Bookman Old Style" w:hAnsi="Bookman Old Style" w:cs="Arial"/>
          <w:sz w:val="24"/>
          <w:szCs w:val="24"/>
          <w:lang w:val="de-DE"/>
        </w:rPr>
        <w:t>Pengelolaan</w:t>
      </w:r>
      <w:r w:rsidR="00A954D0">
        <w:rPr>
          <w:rFonts w:ascii="Bookman Old Style" w:hAnsi="Bookman Old Style" w:cs="Arial"/>
          <w:sz w:val="24"/>
          <w:szCs w:val="24"/>
          <w:lang w:val="de-DE"/>
        </w:rPr>
        <w:t xml:space="preserve"> </w:t>
      </w:r>
      <w:r w:rsidRPr="00727324">
        <w:rPr>
          <w:rFonts w:ascii="Bookman Old Style" w:hAnsi="Bookman Old Style" w:cs="Arial"/>
          <w:sz w:val="24"/>
          <w:szCs w:val="24"/>
          <w:lang w:val="de-DE"/>
        </w:rPr>
        <w:t>Dana</w:t>
      </w:r>
      <w:r w:rsidR="00A954D0">
        <w:rPr>
          <w:rFonts w:ascii="Bookman Old Style" w:hAnsi="Bookman Old Style" w:cs="Arial"/>
          <w:sz w:val="24"/>
          <w:szCs w:val="24"/>
          <w:lang w:val="de-DE"/>
        </w:rPr>
        <w:t xml:space="preserve"> </w:t>
      </w:r>
      <w:r w:rsidRPr="00727324">
        <w:rPr>
          <w:rFonts w:ascii="Bookman Old Style" w:hAnsi="Bookman Old Style" w:cs="Arial"/>
          <w:sz w:val="24"/>
          <w:szCs w:val="24"/>
          <w:lang w:val="de-DE"/>
        </w:rPr>
        <w:t>Bantuan</w:t>
      </w:r>
      <w:r w:rsidR="00A954D0">
        <w:rPr>
          <w:rFonts w:ascii="Bookman Old Style" w:hAnsi="Bookman Old Style" w:cs="Arial"/>
          <w:sz w:val="24"/>
          <w:szCs w:val="24"/>
          <w:lang w:val="de-DE"/>
        </w:rPr>
        <w:t xml:space="preserve"> </w:t>
      </w:r>
      <w:r w:rsidRPr="00727324">
        <w:rPr>
          <w:rFonts w:ascii="Bookman Old Style" w:hAnsi="Bookman Old Style" w:cs="Arial"/>
          <w:sz w:val="24"/>
          <w:szCs w:val="24"/>
          <w:lang w:val="de-DE"/>
        </w:rPr>
        <w:t>Operasional</w:t>
      </w:r>
      <w:r w:rsidR="00A954D0">
        <w:rPr>
          <w:rFonts w:ascii="Bookman Old Style" w:hAnsi="Bookman Old Style" w:cs="Arial"/>
          <w:sz w:val="24"/>
          <w:szCs w:val="24"/>
          <w:lang w:val="de-DE"/>
        </w:rPr>
        <w:t xml:space="preserve"> </w:t>
      </w:r>
      <w:r w:rsidRPr="00727324">
        <w:rPr>
          <w:rFonts w:ascii="Bookman Old Style" w:hAnsi="Bookman Old Style" w:cs="Arial"/>
          <w:sz w:val="24"/>
          <w:szCs w:val="24"/>
          <w:lang w:val="de-DE"/>
        </w:rPr>
        <w:t>Satuan</w:t>
      </w:r>
      <w:r w:rsidR="00A954D0">
        <w:rPr>
          <w:rFonts w:ascii="Bookman Old Style" w:hAnsi="Bookman Old Style" w:cs="Arial"/>
          <w:sz w:val="24"/>
          <w:szCs w:val="24"/>
          <w:lang w:val="de-DE"/>
        </w:rPr>
        <w:t xml:space="preserve"> </w:t>
      </w:r>
      <w:r w:rsidRPr="00727324">
        <w:rPr>
          <w:rFonts w:ascii="Bookman Old Style" w:hAnsi="Bookman Old Style" w:cs="Arial"/>
          <w:sz w:val="24"/>
          <w:szCs w:val="24"/>
          <w:lang w:val="de-DE"/>
        </w:rPr>
        <w:t>Pendidikan</w:t>
      </w:r>
      <w:r w:rsidR="00A954D0">
        <w:rPr>
          <w:rFonts w:ascii="Bookman Old Style" w:hAnsi="Bookman Old Style" w:cs="Arial"/>
          <w:sz w:val="24"/>
          <w:szCs w:val="24"/>
          <w:lang w:val="de-DE"/>
        </w:rPr>
        <w:t xml:space="preserve"> </w:t>
      </w:r>
      <w:r w:rsidRPr="00727324">
        <w:rPr>
          <w:rFonts w:ascii="Bookman Old Style" w:hAnsi="Bookman Old Style" w:cs="Arial"/>
          <w:sz w:val="24"/>
          <w:szCs w:val="24"/>
          <w:lang w:val="de-DE"/>
        </w:rPr>
        <w:t>pada</w:t>
      </w:r>
      <w:r w:rsidR="00A954D0">
        <w:rPr>
          <w:rFonts w:ascii="Bookman Old Style" w:hAnsi="Bookman Old Style" w:cs="Arial"/>
          <w:sz w:val="24"/>
          <w:szCs w:val="24"/>
          <w:lang w:val="de-DE"/>
        </w:rPr>
        <w:t xml:space="preserve"> </w:t>
      </w:r>
      <w:r w:rsidRPr="00727324">
        <w:rPr>
          <w:rFonts w:ascii="Bookman Old Style" w:hAnsi="Bookman Old Style" w:cs="Arial"/>
          <w:sz w:val="24"/>
          <w:szCs w:val="24"/>
          <w:lang w:val="de-DE"/>
        </w:rPr>
        <w:t>Pemerintah</w:t>
      </w:r>
      <w:r w:rsidR="00A954D0">
        <w:rPr>
          <w:rFonts w:ascii="Bookman Old Style" w:hAnsi="Bookman Old Style" w:cs="Arial"/>
          <w:sz w:val="24"/>
          <w:szCs w:val="24"/>
          <w:lang w:val="de-DE"/>
        </w:rPr>
        <w:t xml:space="preserve"> </w:t>
      </w:r>
      <w:r w:rsidRPr="00727324">
        <w:rPr>
          <w:rFonts w:ascii="Bookman Old Style" w:hAnsi="Bookman Old Style" w:cs="Arial"/>
          <w:sz w:val="24"/>
          <w:szCs w:val="24"/>
          <w:lang w:val="de-DE"/>
        </w:rPr>
        <w:t>Daerah</w:t>
      </w:r>
      <w:r w:rsidR="00A954D0">
        <w:rPr>
          <w:rFonts w:ascii="Bookman Old Style" w:hAnsi="Bookman Old Style" w:cs="Arial"/>
          <w:sz w:val="24"/>
          <w:szCs w:val="24"/>
          <w:lang w:val="de-DE"/>
        </w:rPr>
        <w:t xml:space="preserve"> </w:t>
      </w:r>
      <w:r w:rsidRPr="00727324">
        <w:rPr>
          <w:rFonts w:ascii="Bookman Old Style" w:hAnsi="Bookman Old Style" w:cs="Arial"/>
          <w:sz w:val="24"/>
          <w:szCs w:val="24"/>
          <w:lang w:val="de-DE"/>
        </w:rPr>
        <w:t>sebagaimana</w:t>
      </w:r>
      <w:r w:rsidR="00A954D0">
        <w:rPr>
          <w:rFonts w:ascii="Bookman Old Style" w:hAnsi="Bookman Old Style" w:cs="Arial"/>
          <w:sz w:val="24"/>
          <w:szCs w:val="24"/>
          <w:lang w:val="de-DE"/>
        </w:rPr>
        <w:t xml:space="preserve"> </w:t>
      </w:r>
      <w:r w:rsidRPr="00727324">
        <w:rPr>
          <w:rFonts w:ascii="Bookman Old Style" w:hAnsi="Bookman Old Style" w:cs="Arial"/>
          <w:sz w:val="24"/>
          <w:szCs w:val="24"/>
          <w:lang w:val="de-DE"/>
        </w:rPr>
        <w:t>maksud</w:t>
      </w:r>
      <w:r w:rsidR="00A954D0">
        <w:rPr>
          <w:rFonts w:ascii="Bookman Old Style" w:hAnsi="Bookman Old Style" w:cs="Arial"/>
          <w:sz w:val="24"/>
          <w:szCs w:val="24"/>
          <w:lang w:val="de-DE"/>
        </w:rPr>
        <w:t xml:space="preserve"> </w:t>
      </w:r>
      <w:r w:rsidRPr="00727324">
        <w:rPr>
          <w:rFonts w:ascii="Bookman Old Style" w:hAnsi="Bookman Old Style"/>
          <w:sz w:val="24"/>
          <w:szCs w:val="24"/>
        </w:rPr>
        <w:t>butir</w:t>
      </w:r>
      <w:r w:rsidR="00A954D0">
        <w:rPr>
          <w:rFonts w:ascii="Bookman Old Style" w:hAnsi="Bookman Old Style"/>
          <w:sz w:val="24"/>
          <w:szCs w:val="24"/>
        </w:rPr>
        <w:t xml:space="preserve"> </w:t>
      </w:r>
      <w:r w:rsidRPr="00727324">
        <w:rPr>
          <w:rFonts w:ascii="Bookman Old Style" w:hAnsi="Bookman Old Style"/>
          <w:sz w:val="24"/>
          <w:szCs w:val="24"/>
        </w:rPr>
        <w:t>3.3.2.1.3.2.</w:t>
      </w:r>
      <w:r w:rsidRPr="00727324">
        <w:rPr>
          <w:rFonts w:ascii="Bookman Old Style" w:hAnsi="Bookman Old Style"/>
          <w:sz w:val="24"/>
          <w:szCs w:val="24"/>
          <w:lang w:val="de-DE"/>
        </w:rPr>
        <w:t>g</w:t>
      </w:r>
      <w:r w:rsidR="00A954D0">
        <w:rPr>
          <w:rFonts w:ascii="Bookman Old Style" w:hAnsi="Bookman Old Style"/>
          <w:sz w:val="24"/>
          <w:szCs w:val="24"/>
          <w:lang w:val="de-DE"/>
        </w:rPr>
        <w:t xml:space="preserve"> </w:t>
      </w:r>
      <w:r w:rsidRPr="00727324">
        <w:rPr>
          <w:rFonts w:ascii="Bookman Old Style" w:hAnsi="Bookman Old Style"/>
          <w:sz w:val="24"/>
          <w:szCs w:val="24"/>
        </w:rPr>
        <w:t>Lampiran</w:t>
      </w:r>
      <w:r w:rsidR="00A954D0">
        <w:rPr>
          <w:rFonts w:ascii="Bookman Old Style" w:hAnsi="Bookman Old Style"/>
          <w:sz w:val="24"/>
          <w:szCs w:val="24"/>
        </w:rPr>
        <w:t xml:space="preserve"> </w:t>
      </w:r>
      <w:r w:rsidRPr="00727324">
        <w:rPr>
          <w:rFonts w:ascii="Bookman Old Style" w:hAnsi="Bookman Old Style"/>
          <w:sz w:val="24"/>
          <w:szCs w:val="24"/>
        </w:rPr>
        <w:t>Peraturan</w:t>
      </w:r>
      <w:r w:rsidR="00A954D0">
        <w:rPr>
          <w:rFonts w:ascii="Bookman Old Style" w:hAnsi="Bookman Old Style"/>
          <w:sz w:val="24"/>
          <w:szCs w:val="24"/>
        </w:rPr>
        <w:t xml:space="preserve"> </w:t>
      </w:r>
      <w:r w:rsidRPr="00727324">
        <w:rPr>
          <w:rFonts w:ascii="Bookman Old Style" w:hAnsi="Bookman Old Style"/>
          <w:sz w:val="24"/>
          <w:szCs w:val="24"/>
        </w:rPr>
        <w:t>Menteri</w:t>
      </w:r>
      <w:r w:rsidR="00A954D0">
        <w:rPr>
          <w:rFonts w:ascii="Bookman Old Style" w:hAnsi="Bookman Old Style"/>
          <w:sz w:val="24"/>
          <w:szCs w:val="24"/>
        </w:rPr>
        <w:t xml:space="preserve"> </w:t>
      </w:r>
      <w:r w:rsidRPr="00727324">
        <w:rPr>
          <w:rFonts w:ascii="Bookman Old Style" w:hAnsi="Bookman Old Style"/>
          <w:sz w:val="24"/>
          <w:szCs w:val="24"/>
        </w:rPr>
        <w:t>Dalam</w:t>
      </w:r>
      <w:r w:rsidR="00A954D0">
        <w:rPr>
          <w:rFonts w:ascii="Bookman Old Style" w:hAnsi="Bookman Old Style"/>
          <w:sz w:val="24"/>
          <w:szCs w:val="24"/>
        </w:rPr>
        <w:t xml:space="preserve"> </w:t>
      </w:r>
      <w:r w:rsidRPr="00727324">
        <w:rPr>
          <w:rFonts w:ascii="Bookman Old Style" w:hAnsi="Bookman Old Style"/>
          <w:sz w:val="24"/>
          <w:szCs w:val="24"/>
        </w:rPr>
        <w:t>Negeri</w:t>
      </w:r>
      <w:r w:rsidR="00A954D0">
        <w:rPr>
          <w:rFonts w:ascii="Bookman Old Style" w:hAnsi="Bookman Old Style"/>
          <w:sz w:val="24"/>
          <w:szCs w:val="24"/>
        </w:rPr>
        <w:t xml:space="preserve"> </w:t>
      </w:r>
      <w:r w:rsidRPr="00727324">
        <w:rPr>
          <w:rFonts w:ascii="Bookman Old Style" w:hAnsi="Bookman Old Style"/>
          <w:sz w:val="24"/>
          <w:szCs w:val="24"/>
        </w:rPr>
        <w:t>Nomor</w:t>
      </w:r>
      <w:r w:rsidR="00A954D0">
        <w:rPr>
          <w:rFonts w:ascii="Bookman Old Style" w:hAnsi="Bookman Old Style"/>
          <w:sz w:val="24"/>
          <w:szCs w:val="24"/>
        </w:rPr>
        <w:t xml:space="preserve"> </w:t>
      </w:r>
      <w:r w:rsidRPr="00727324">
        <w:rPr>
          <w:rFonts w:ascii="Bookman Old Style" w:hAnsi="Bookman Old Style"/>
          <w:sz w:val="24"/>
          <w:szCs w:val="24"/>
          <w:lang w:val="de-DE"/>
        </w:rPr>
        <w:t>15</w:t>
      </w:r>
      <w:r w:rsidR="00A954D0">
        <w:rPr>
          <w:rFonts w:ascii="Bookman Old Style" w:hAnsi="Bookman Old Style"/>
          <w:sz w:val="24"/>
          <w:szCs w:val="24"/>
        </w:rPr>
        <w:t xml:space="preserve"> </w:t>
      </w:r>
      <w:r w:rsidRPr="00727324">
        <w:rPr>
          <w:rFonts w:ascii="Bookman Old Style" w:hAnsi="Bookman Old Style"/>
          <w:sz w:val="24"/>
          <w:szCs w:val="24"/>
        </w:rPr>
        <w:t>Tahun</w:t>
      </w:r>
      <w:r w:rsidR="00A954D0">
        <w:rPr>
          <w:rFonts w:ascii="Bookman Old Style" w:hAnsi="Bookman Old Style"/>
          <w:sz w:val="24"/>
          <w:szCs w:val="24"/>
        </w:rPr>
        <w:t xml:space="preserve"> </w:t>
      </w:r>
      <w:r w:rsidRPr="00727324">
        <w:rPr>
          <w:rFonts w:ascii="Bookman Old Style" w:hAnsi="Bookman Old Style"/>
          <w:sz w:val="24"/>
          <w:szCs w:val="24"/>
        </w:rPr>
        <w:t>202</w:t>
      </w:r>
      <w:r w:rsidRPr="00727324">
        <w:rPr>
          <w:rFonts w:ascii="Bookman Old Style" w:hAnsi="Bookman Old Style"/>
          <w:sz w:val="24"/>
          <w:szCs w:val="24"/>
          <w:lang w:val="de-DE"/>
        </w:rPr>
        <w:t>4</w:t>
      </w:r>
      <w:r w:rsidRPr="00727324">
        <w:rPr>
          <w:rFonts w:ascii="Bookman Old Style" w:hAnsi="Bookman Old Style"/>
          <w:sz w:val="24"/>
          <w:szCs w:val="24"/>
        </w:rPr>
        <w:t>.</w:t>
      </w:r>
    </w:p>
    <w:p w14:paraId="07E66786" w14:textId="77777777" w:rsidR="00727EC3" w:rsidRPr="00770F22" w:rsidRDefault="00727EC3" w:rsidP="00727324">
      <w:pPr>
        <w:spacing w:before="60" w:line="276" w:lineRule="auto"/>
        <w:ind w:left="993"/>
        <w:jc w:val="both"/>
        <w:rPr>
          <w:rFonts w:ascii="Bookman Old Style" w:hAnsi="Bookman Old Style" w:cs="Arial"/>
          <w:bCs/>
          <w:highlight w:val="yellow"/>
          <w:lang w:val="sv-FI"/>
        </w:rPr>
      </w:pPr>
    </w:p>
    <w:p w14:paraId="145FFE9B" w14:textId="2F25C4A9" w:rsidR="002C507D" w:rsidRPr="003255BC" w:rsidRDefault="002C507D" w:rsidP="00704FD6">
      <w:pPr>
        <w:numPr>
          <w:ilvl w:val="0"/>
          <w:numId w:val="1"/>
        </w:numPr>
        <w:spacing w:before="60" w:line="276" w:lineRule="auto"/>
        <w:ind w:left="567" w:hanging="567"/>
        <w:jc w:val="both"/>
        <w:rPr>
          <w:rFonts w:ascii="Bookman Old Style" w:hAnsi="Bookman Old Style" w:cs="Arial"/>
          <w:lang w:val="sv-FI"/>
        </w:rPr>
      </w:pPr>
      <w:r w:rsidRPr="003255BC">
        <w:rPr>
          <w:rFonts w:ascii="Bookman Old Style" w:hAnsi="Bookman Old Style" w:cs="Arial"/>
          <w:lang w:val="sv-FI"/>
        </w:rPr>
        <w:t>KESESUAIAN</w:t>
      </w:r>
      <w:r w:rsidR="00A954D0" w:rsidRPr="003255BC">
        <w:rPr>
          <w:rFonts w:ascii="Bookman Old Style" w:hAnsi="Bookman Old Style" w:cs="Arial"/>
          <w:lang w:val="sv-FI"/>
        </w:rPr>
        <w:t xml:space="preserve"> </w:t>
      </w:r>
      <w:r w:rsidRPr="003255BC">
        <w:rPr>
          <w:rFonts w:ascii="Bookman Old Style" w:hAnsi="Bookman Old Style" w:cs="Arial"/>
          <w:lang w:val="sv-FI"/>
        </w:rPr>
        <w:t>RANCANGAN</w:t>
      </w:r>
      <w:r w:rsidR="00A954D0" w:rsidRPr="003255BC">
        <w:rPr>
          <w:rFonts w:ascii="Bookman Old Style" w:hAnsi="Bookman Old Style" w:cs="Arial"/>
          <w:lang w:val="sv-FI"/>
        </w:rPr>
        <w:t xml:space="preserve"> </w:t>
      </w:r>
      <w:r w:rsidRPr="003255BC">
        <w:rPr>
          <w:rFonts w:ascii="Bookman Old Style" w:hAnsi="Bookman Old Style" w:cs="Arial"/>
          <w:lang w:val="sv-FI"/>
        </w:rPr>
        <w:t>PERATURAN</w:t>
      </w:r>
      <w:r w:rsidR="00A954D0" w:rsidRPr="003255BC">
        <w:rPr>
          <w:rFonts w:ascii="Bookman Old Style" w:hAnsi="Bookman Old Style" w:cs="Arial"/>
          <w:lang w:val="sv-FI"/>
        </w:rPr>
        <w:t xml:space="preserve"> </w:t>
      </w:r>
      <w:r w:rsidRPr="003255BC">
        <w:rPr>
          <w:rFonts w:ascii="Bookman Old Style" w:hAnsi="Bookman Old Style" w:cs="Arial"/>
          <w:lang w:val="sv-FI"/>
        </w:rPr>
        <w:t>DAERAH</w:t>
      </w:r>
      <w:r w:rsidR="00A954D0" w:rsidRPr="003255BC">
        <w:rPr>
          <w:rFonts w:ascii="Bookman Old Style" w:hAnsi="Bookman Old Style" w:cs="Arial"/>
          <w:lang w:val="sv-FI"/>
        </w:rPr>
        <w:t xml:space="preserve"> </w:t>
      </w:r>
      <w:r w:rsidRPr="003255BC">
        <w:rPr>
          <w:rFonts w:ascii="Bookman Old Style" w:hAnsi="Bookman Old Style" w:cs="Arial"/>
          <w:lang w:val="sv-FI"/>
        </w:rPr>
        <w:t>TENTANG</w:t>
      </w:r>
      <w:r w:rsidR="00A954D0" w:rsidRPr="003255BC">
        <w:rPr>
          <w:rFonts w:ascii="Bookman Old Style" w:hAnsi="Bookman Old Style" w:cs="Arial"/>
          <w:lang w:val="sv-FI"/>
        </w:rPr>
        <w:t xml:space="preserve"> </w:t>
      </w:r>
      <w:r w:rsidRPr="003255BC">
        <w:rPr>
          <w:rFonts w:ascii="Bookman Old Style" w:hAnsi="Bookman Old Style" w:cs="Arial"/>
          <w:lang w:val="sv-FI"/>
        </w:rPr>
        <w:t>APBD</w:t>
      </w:r>
      <w:r w:rsidR="00A954D0" w:rsidRPr="003255BC">
        <w:rPr>
          <w:rFonts w:ascii="Bookman Old Style" w:hAnsi="Bookman Old Style" w:cs="Arial"/>
          <w:lang w:val="sv-FI"/>
        </w:rPr>
        <w:t xml:space="preserve"> </w:t>
      </w:r>
      <w:r w:rsidRPr="003255BC">
        <w:rPr>
          <w:rFonts w:ascii="Bookman Old Style" w:hAnsi="Bookman Old Style" w:cs="Arial"/>
          <w:lang w:val="sv-FI"/>
        </w:rPr>
        <w:t>DAN</w:t>
      </w:r>
      <w:r w:rsidR="00A954D0" w:rsidRPr="003255BC">
        <w:rPr>
          <w:rFonts w:ascii="Bookman Old Style" w:hAnsi="Bookman Old Style" w:cs="Arial"/>
          <w:lang w:val="sv-FI"/>
        </w:rPr>
        <w:t xml:space="preserve"> </w:t>
      </w:r>
      <w:r w:rsidRPr="003255BC">
        <w:rPr>
          <w:rFonts w:ascii="Bookman Old Style" w:hAnsi="Bookman Old Style" w:cs="Arial"/>
          <w:lang w:val="sv-FI"/>
        </w:rPr>
        <w:t>RANCANGAN</w:t>
      </w:r>
      <w:r w:rsidR="00A954D0" w:rsidRPr="003255BC">
        <w:rPr>
          <w:rFonts w:ascii="Bookman Old Style" w:hAnsi="Bookman Old Style" w:cs="Arial"/>
          <w:lang w:val="sv-FI"/>
        </w:rPr>
        <w:t xml:space="preserve"> </w:t>
      </w:r>
      <w:r w:rsidRPr="003255BC">
        <w:rPr>
          <w:rFonts w:ascii="Bookman Old Style" w:hAnsi="Bookman Old Style" w:cs="Arial"/>
          <w:lang w:val="sv-FI"/>
        </w:rPr>
        <w:t>PERATURAN</w:t>
      </w:r>
      <w:r w:rsidR="00A954D0" w:rsidRPr="003255BC">
        <w:rPr>
          <w:rFonts w:ascii="Bookman Old Style" w:hAnsi="Bookman Old Style" w:cs="Arial"/>
          <w:lang w:val="sv-FI"/>
        </w:rPr>
        <w:t xml:space="preserve"> </w:t>
      </w:r>
      <w:r w:rsidRPr="003255BC">
        <w:rPr>
          <w:rFonts w:ascii="Bookman Old Style" w:hAnsi="Bookman Old Style" w:cs="Arial"/>
          <w:lang w:val="sv-FI"/>
        </w:rPr>
        <w:t>BUPATI/WALI</w:t>
      </w:r>
      <w:r w:rsidR="00A954D0" w:rsidRPr="003255BC">
        <w:rPr>
          <w:rFonts w:ascii="Bookman Old Style" w:hAnsi="Bookman Old Style" w:cs="Arial"/>
          <w:lang w:val="sv-FI"/>
        </w:rPr>
        <w:t xml:space="preserve"> </w:t>
      </w:r>
      <w:r w:rsidRPr="003255BC">
        <w:rPr>
          <w:rFonts w:ascii="Bookman Old Style" w:hAnsi="Bookman Old Style" w:cs="Arial"/>
          <w:lang w:val="sv-FI"/>
        </w:rPr>
        <w:t>KOTA</w:t>
      </w:r>
      <w:r w:rsidR="00A954D0" w:rsidRPr="003255BC">
        <w:rPr>
          <w:rFonts w:ascii="Bookman Old Style" w:hAnsi="Bookman Old Style" w:cs="Arial"/>
          <w:lang w:val="sv-FI"/>
        </w:rPr>
        <w:t xml:space="preserve"> </w:t>
      </w:r>
      <w:r w:rsidRPr="003255BC">
        <w:rPr>
          <w:rFonts w:ascii="Bookman Old Style" w:hAnsi="Bookman Old Style" w:cs="Arial"/>
          <w:lang w:val="sv-FI"/>
        </w:rPr>
        <w:t>TENTANG</w:t>
      </w:r>
      <w:r w:rsidR="00A954D0" w:rsidRPr="003255BC">
        <w:rPr>
          <w:rFonts w:ascii="Bookman Old Style" w:hAnsi="Bookman Old Style" w:cs="Arial"/>
          <w:lang w:val="sv-FI"/>
        </w:rPr>
        <w:t xml:space="preserve"> </w:t>
      </w:r>
      <w:r w:rsidRPr="003255BC">
        <w:rPr>
          <w:rFonts w:ascii="Bookman Old Style" w:hAnsi="Bookman Old Style" w:cs="Arial"/>
          <w:lang w:val="sv-FI"/>
        </w:rPr>
        <w:t>PENJABARAN</w:t>
      </w:r>
      <w:r w:rsidR="00A954D0" w:rsidRPr="003255BC">
        <w:rPr>
          <w:rFonts w:ascii="Bookman Old Style" w:hAnsi="Bookman Old Style" w:cs="Arial"/>
          <w:lang w:val="sv-FI"/>
        </w:rPr>
        <w:t xml:space="preserve"> </w:t>
      </w:r>
      <w:r w:rsidRPr="003255BC">
        <w:rPr>
          <w:rFonts w:ascii="Bookman Old Style" w:hAnsi="Bookman Old Style" w:cs="Arial"/>
          <w:lang w:val="sv-FI"/>
        </w:rPr>
        <w:t>APBD</w:t>
      </w:r>
      <w:r w:rsidR="00A954D0" w:rsidRPr="003255BC">
        <w:rPr>
          <w:rFonts w:ascii="Bookman Old Style" w:hAnsi="Bookman Old Style" w:cs="Arial"/>
          <w:lang w:val="sv-FI"/>
        </w:rPr>
        <w:t xml:space="preserve"> </w:t>
      </w:r>
      <w:r w:rsidRPr="003255BC">
        <w:rPr>
          <w:rFonts w:ascii="Bookman Old Style" w:hAnsi="Bookman Old Style" w:cs="Arial"/>
          <w:lang w:val="sv-FI"/>
        </w:rPr>
        <w:t>DENGAN</w:t>
      </w:r>
      <w:r w:rsidR="00A954D0" w:rsidRPr="003255BC">
        <w:rPr>
          <w:rFonts w:ascii="Bookman Old Style" w:hAnsi="Bookman Old Style" w:cs="Arial"/>
          <w:lang w:val="sv-FI"/>
        </w:rPr>
        <w:t xml:space="preserve"> </w:t>
      </w:r>
      <w:r w:rsidRPr="003255BC">
        <w:rPr>
          <w:rFonts w:ascii="Bookman Old Style" w:hAnsi="Bookman Old Style" w:cs="Arial"/>
          <w:lang w:val="sv-FI"/>
        </w:rPr>
        <w:t>RKPD</w:t>
      </w:r>
      <w:r w:rsidR="00A954D0" w:rsidRPr="003255BC">
        <w:rPr>
          <w:rFonts w:ascii="Bookman Old Style" w:hAnsi="Bookman Old Style" w:cs="Arial"/>
          <w:lang w:val="sv-FI"/>
        </w:rPr>
        <w:t xml:space="preserve"> </w:t>
      </w:r>
      <w:r w:rsidRPr="003255BC">
        <w:rPr>
          <w:rFonts w:ascii="Bookman Old Style" w:hAnsi="Bookman Old Style" w:cs="Arial"/>
          <w:lang w:val="sv-FI"/>
        </w:rPr>
        <w:t>SERTA</w:t>
      </w:r>
      <w:r w:rsidR="00A954D0" w:rsidRPr="003255BC">
        <w:rPr>
          <w:rFonts w:ascii="Bookman Old Style" w:hAnsi="Bookman Old Style" w:cs="Arial"/>
          <w:lang w:val="sv-FI"/>
        </w:rPr>
        <w:t xml:space="preserve"> </w:t>
      </w:r>
      <w:r w:rsidRPr="003255BC">
        <w:rPr>
          <w:rFonts w:ascii="Bookman Old Style" w:hAnsi="Bookman Old Style" w:cs="Arial"/>
          <w:lang w:val="sv-FI"/>
        </w:rPr>
        <w:t>KUA</w:t>
      </w:r>
      <w:r w:rsidR="00A954D0" w:rsidRPr="003255BC">
        <w:rPr>
          <w:rFonts w:ascii="Bookman Old Style" w:hAnsi="Bookman Old Style" w:cs="Arial"/>
          <w:lang w:val="sv-FI"/>
        </w:rPr>
        <w:t xml:space="preserve"> </w:t>
      </w:r>
      <w:r w:rsidRPr="003255BC">
        <w:rPr>
          <w:rFonts w:ascii="Bookman Old Style" w:hAnsi="Bookman Old Style" w:cs="Arial"/>
          <w:lang w:val="sv-FI"/>
        </w:rPr>
        <w:t>DAN</w:t>
      </w:r>
      <w:r w:rsidR="00A954D0" w:rsidRPr="003255BC">
        <w:rPr>
          <w:rFonts w:ascii="Bookman Old Style" w:hAnsi="Bookman Old Style" w:cs="Arial"/>
          <w:lang w:val="sv-FI"/>
        </w:rPr>
        <w:t xml:space="preserve"> </w:t>
      </w:r>
      <w:r w:rsidRPr="003255BC">
        <w:rPr>
          <w:rFonts w:ascii="Bookman Old Style" w:hAnsi="Bookman Old Style" w:cs="Arial"/>
          <w:lang w:val="sv-FI"/>
        </w:rPr>
        <w:t>PPA</w:t>
      </w:r>
      <w:r w:rsidRPr="0056064B">
        <w:rPr>
          <w:rFonts w:ascii="Bookman Old Style" w:hAnsi="Bookman Old Style" w:cs="Arial"/>
          <w:lang w:val="sv-SE"/>
        </w:rPr>
        <w:t>S</w:t>
      </w:r>
      <w:r w:rsidR="00A954D0">
        <w:rPr>
          <w:rFonts w:ascii="Bookman Old Style" w:hAnsi="Bookman Old Style" w:cs="Arial"/>
          <w:lang w:val="sv-SE"/>
        </w:rPr>
        <w:t xml:space="preserve"> </w:t>
      </w:r>
    </w:p>
    <w:p w14:paraId="2D784A1D" w14:textId="5B75A4F4" w:rsidR="002C507D" w:rsidRPr="0056064B" w:rsidRDefault="002C507D">
      <w:pPr>
        <w:pStyle w:val="ListParagraph"/>
        <w:numPr>
          <w:ilvl w:val="0"/>
          <w:numId w:val="100"/>
        </w:numPr>
        <w:spacing w:before="60" w:after="0" w:line="276" w:lineRule="auto"/>
        <w:ind w:left="993" w:hanging="426"/>
        <w:contextualSpacing w:val="0"/>
        <w:jc w:val="both"/>
        <w:rPr>
          <w:rFonts w:ascii="Bookman Old Style" w:hAnsi="Bookman Old Style" w:cs="Arial"/>
          <w:sz w:val="24"/>
          <w:szCs w:val="24"/>
          <w:lang w:val="id-ID"/>
        </w:rPr>
      </w:pPr>
      <w:r w:rsidRPr="0056064B">
        <w:rPr>
          <w:rFonts w:ascii="Bookman Old Style" w:hAnsi="Bookman Old Style" w:cs="Arial"/>
          <w:sz w:val="24"/>
          <w:szCs w:val="24"/>
          <w:lang w:val="id-ID"/>
        </w:rPr>
        <w:t>Kesesuaian</w:t>
      </w:r>
      <w:r w:rsidR="00A954D0">
        <w:rPr>
          <w:rFonts w:ascii="Bookman Old Style" w:hAnsi="Bookman Old Style" w:cs="Arial"/>
          <w:sz w:val="24"/>
          <w:szCs w:val="24"/>
          <w:lang w:val="id-ID"/>
        </w:rPr>
        <w:t xml:space="preserve"> </w:t>
      </w:r>
      <w:r w:rsidRPr="0056064B">
        <w:rPr>
          <w:rFonts w:ascii="Bookman Old Style" w:hAnsi="Bookman Old Style" w:cs="Arial"/>
          <w:sz w:val="24"/>
          <w:szCs w:val="24"/>
          <w:lang w:val="id-ID"/>
        </w:rPr>
        <w:t>Program,</w:t>
      </w:r>
      <w:r w:rsidR="00A954D0">
        <w:rPr>
          <w:rFonts w:ascii="Bookman Old Style" w:hAnsi="Bookman Old Style" w:cs="Arial"/>
          <w:sz w:val="24"/>
          <w:szCs w:val="24"/>
          <w:lang w:val="id-ID"/>
        </w:rPr>
        <w:t xml:space="preserve"> </w:t>
      </w:r>
      <w:r w:rsidRPr="0056064B">
        <w:rPr>
          <w:rFonts w:ascii="Bookman Old Style" w:hAnsi="Bookman Old Style" w:cs="Arial"/>
          <w:sz w:val="24"/>
          <w:szCs w:val="24"/>
          <w:lang w:val="id-ID"/>
        </w:rPr>
        <w:t>Kegiatan,</w:t>
      </w:r>
      <w:r w:rsidR="00A954D0">
        <w:rPr>
          <w:rFonts w:ascii="Bookman Old Style" w:hAnsi="Bookman Old Style" w:cs="Arial"/>
          <w:sz w:val="24"/>
          <w:szCs w:val="24"/>
          <w:lang w:val="id-ID"/>
        </w:rPr>
        <w:t xml:space="preserve"> </w:t>
      </w:r>
      <w:r w:rsidRPr="0056064B">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56064B">
        <w:rPr>
          <w:rFonts w:ascii="Bookman Old Style" w:hAnsi="Bookman Old Style" w:cs="Arial"/>
          <w:sz w:val="24"/>
          <w:szCs w:val="24"/>
          <w:lang w:val="id-ID"/>
        </w:rPr>
        <w:t>Sub</w:t>
      </w:r>
      <w:r w:rsidR="00A954D0">
        <w:rPr>
          <w:rFonts w:ascii="Bookman Old Style" w:hAnsi="Bookman Old Style" w:cs="Arial"/>
          <w:sz w:val="24"/>
          <w:szCs w:val="24"/>
          <w:lang w:val="id-ID"/>
        </w:rPr>
        <w:t xml:space="preserve"> </w:t>
      </w:r>
      <w:r w:rsidRPr="0056064B">
        <w:rPr>
          <w:rFonts w:ascii="Bookman Old Style" w:hAnsi="Bookman Old Style" w:cs="Arial"/>
          <w:sz w:val="24"/>
          <w:szCs w:val="24"/>
          <w:lang w:val="id-ID"/>
        </w:rPr>
        <w:t>Kegiatan</w:t>
      </w:r>
      <w:r w:rsidR="00A954D0">
        <w:rPr>
          <w:rFonts w:ascii="Bookman Old Style" w:hAnsi="Bookman Old Style" w:cs="Arial"/>
          <w:sz w:val="24"/>
          <w:szCs w:val="24"/>
          <w:lang w:val="id-ID"/>
        </w:rPr>
        <w:t xml:space="preserve"> </w:t>
      </w:r>
      <w:r w:rsidRPr="0056064B">
        <w:rPr>
          <w:rFonts w:ascii="Bookman Old Style" w:hAnsi="Bookman Old Style" w:cs="Arial"/>
          <w:sz w:val="24"/>
          <w:szCs w:val="24"/>
        </w:rPr>
        <w:t>Rancangan</w:t>
      </w:r>
      <w:r w:rsidR="00A954D0">
        <w:rPr>
          <w:rFonts w:ascii="Bookman Old Style" w:hAnsi="Bookman Old Style" w:cs="Arial"/>
          <w:sz w:val="24"/>
          <w:szCs w:val="24"/>
        </w:rPr>
        <w:t xml:space="preserve"> </w:t>
      </w:r>
      <w:r w:rsidRPr="0056064B">
        <w:rPr>
          <w:rFonts w:ascii="Bookman Old Style" w:hAnsi="Bookman Old Style" w:cs="Arial"/>
          <w:sz w:val="24"/>
          <w:szCs w:val="24"/>
        </w:rPr>
        <w:t>Peraturan</w:t>
      </w:r>
      <w:r w:rsidR="00A954D0">
        <w:rPr>
          <w:rFonts w:ascii="Bookman Old Style" w:hAnsi="Bookman Old Style" w:cs="Arial"/>
          <w:sz w:val="24"/>
          <w:szCs w:val="24"/>
        </w:rPr>
        <w:t xml:space="preserve"> </w:t>
      </w:r>
      <w:r w:rsidRPr="0056064B">
        <w:rPr>
          <w:rFonts w:ascii="Bookman Old Style" w:hAnsi="Bookman Old Style" w:cs="Arial"/>
          <w:sz w:val="24"/>
          <w:szCs w:val="24"/>
        </w:rPr>
        <w:t>Daerah</w:t>
      </w:r>
      <w:r w:rsidR="00A954D0">
        <w:rPr>
          <w:rFonts w:ascii="Bookman Old Style" w:hAnsi="Bookman Old Style" w:cs="Arial"/>
          <w:sz w:val="24"/>
          <w:szCs w:val="24"/>
          <w:lang w:val="id-ID"/>
        </w:rPr>
        <w:t xml:space="preserve"> </w:t>
      </w:r>
      <w:r w:rsidRPr="003255BC">
        <w:rPr>
          <w:rFonts w:ascii="Bookman Old Style" w:hAnsi="Bookman Old Style" w:cs="Arial"/>
          <w:sz w:val="24"/>
          <w:szCs w:val="24"/>
          <w:lang w:val="sv-FI"/>
        </w:rPr>
        <w:t>tentang</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APBD</w:t>
      </w:r>
      <w:r w:rsidR="00A954D0" w:rsidRPr="003255BC">
        <w:rPr>
          <w:rFonts w:ascii="Bookman Old Style" w:hAnsi="Bookman Old Style" w:cs="Arial"/>
          <w:sz w:val="24"/>
          <w:szCs w:val="24"/>
          <w:lang w:val="sv-FI"/>
        </w:rPr>
        <w:t xml:space="preserve"> </w:t>
      </w:r>
      <w:r w:rsidRPr="0056064B">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56064B">
        <w:rPr>
          <w:rFonts w:ascii="Bookman Old Style" w:hAnsi="Bookman Old Style" w:cs="Arial"/>
          <w:sz w:val="24"/>
          <w:szCs w:val="24"/>
        </w:rPr>
        <w:t>Rancangan</w:t>
      </w:r>
      <w:r w:rsidR="00A954D0">
        <w:rPr>
          <w:rFonts w:ascii="Bookman Old Style" w:hAnsi="Bookman Old Style" w:cs="Arial"/>
          <w:sz w:val="24"/>
          <w:szCs w:val="24"/>
        </w:rPr>
        <w:t xml:space="preserve"> </w:t>
      </w:r>
      <w:r w:rsidRPr="0056064B">
        <w:rPr>
          <w:rFonts w:ascii="Bookman Old Style" w:hAnsi="Bookman Old Style" w:cs="Arial"/>
          <w:sz w:val="24"/>
          <w:szCs w:val="24"/>
        </w:rPr>
        <w:t>Peraturan</w:t>
      </w:r>
      <w:r w:rsidR="00A954D0">
        <w:rPr>
          <w:rFonts w:ascii="Bookman Old Style" w:hAnsi="Bookman Old Style" w:cs="Arial"/>
          <w:sz w:val="24"/>
          <w:szCs w:val="24"/>
        </w:rPr>
        <w:t xml:space="preserve"> </w:t>
      </w:r>
      <w:r w:rsidRPr="0056064B">
        <w:rPr>
          <w:rFonts w:ascii="Bookman Old Style" w:hAnsi="Bookman Old Style" w:cs="Arial"/>
          <w:sz w:val="24"/>
          <w:szCs w:val="24"/>
          <w:lang w:val="sv-FI"/>
        </w:rPr>
        <w:t>Wali</w:t>
      </w:r>
      <w:r w:rsidR="00A954D0">
        <w:rPr>
          <w:rFonts w:ascii="Bookman Old Style" w:hAnsi="Bookman Old Style" w:cs="Arial"/>
          <w:sz w:val="24"/>
          <w:szCs w:val="24"/>
          <w:lang w:val="sv-FI"/>
        </w:rPr>
        <w:t xml:space="preserve"> </w:t>
      </w:r>
      <w:r w:rsidRPr="0056064B">
        <w:rPr>
          <w:rFonts w:ascii="Bookman Old Style" w:hAnsi="Bookman Old Style" w:cs="Arial"/>
          <w:sz w:val="24"/>
          <w:szCs w:val="24"/>
          <w:lang w:val="sv-FI"/>
        </w:rPr>
        <w:t>Kota</w:t>
      </w:r>
      <w:r w:rsidR="00A954D0">
        <w:rPr>
          <w:rFonts w:ascii="Bookman Old Style" w:hAnsi="Bookman Old Style" w:cs="Arial"/>
          <w:sz w:val="24"/>
          <w:szCs w:val="24"/>
          <w:lang w:val="sv-FI"/>
        </w:rPr>
        <w:t xml:space="preserve"> </w:t>
      </w:r>
      <w:r w:rsidRPr="003255BC">
        <w:rPr>
          <w:rFonts w:ascii="Bookman Old Style" w:hAnsi="Bookman Old Style" w:cs="Arial"/>
          <w:sz w:val="24"/>
          <w:szCs w:val="24"/>
          <w:lang w:val="sv-FI"/>
        </w:rPr>
        <w:t>tentang</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Penjabaran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APBD</w:t>
      </w:r>
      <w:r w:rsidR="00A954D0">
        <w:rPr>
          <w:rFonts w:ascii="Bookman Old Style" w:hAnsi="Bookman Old Style" w:cs="Arial"/>
          <w:sz w:val="24"/>
          <w:szCs w:val="24"/>
          <w:lang w:val="id-ID"/>
        </w:rPr>
        <w:t xml:space="preserve"> </w:t>
      </w:r>
      <w:r w:rsidRPr="0056064B">
        <w:rPr>
          <w:rFonts w:ascii="Bookman Old Style" w:hAnsi="Bookman Old Style" w:cs="Arial"/>
          <w:sz w:val="24"/>
          <w:szCs w:val="24"/>
          <w:lang w:val="id-ID"/>
        </w:rPr>
        <w:t>dengan</w:t>
      </w:r>
      <w:r w:rsidR="00A954D0">
        <w:rPr>
          <w:rFonts w:ascii="Bookman Old Style" w:hAnsi="Bookman Old Style" w:cs="Arial"/>
          <w:sz w:val="24"/>
          <w:szCs w:val="24"/>
          <w:lang w:val="id-ID"/>
        </w:rPr>
        <w:t xml:space="preserve"> </w:t>
      </w:r>
      <w:r w:rsidRPr="0056064B">
        <w:rPr>
          <w:rFonts w:ascii="Bookman Old Style" w:hAnsi="Bookman Old Style" w:cs="Arial"/>
          <w:sz w:val="24"/>
          <w:szCs w:val="24"/>
          <w:lang w:val="id-ID"/>
        </w:rPr>
        <w:t>RKPD</w:t>
      </w:r>
      <w:r w:rsidRPr="0056064B">
        <w:rPr>
          <w:rFonts w:ascii="Bookman Old Style" w:hAnsi="Bookman Old Style" w:cs="Arial"/>
          <w:sz w:val="24"/>
          <w:szCs w:val="24"/>
          <w:lang w:val="sv-FI"/>
        </w:rPr>
        <w:t>,</w:t>
      </w:r>
      <w:r w:rsidR="00A954D0">
        <w:rPr>
          <w:rFonts w:ascii="Bookman Old Style" w:hAnsi="Bookman Old Style" w:cs="Arial"/>
          <w:sz w:val="24"/>
          <w:szCs w:val="24"/>
          <w:lang w:val="sv-FI"/>
        </w:rPr>
        <w:t xml:space="preserve"> </w:t>
      </w:r>
      <w:r w:rsidRPr="0056064B">
        <w:rPr>
          <w:rFonts w:ascii="Bookman Old Style" w:hAnsi="Bookman Old Style" w:cs="Arial"/>
          <w:sz w:val="24"/>
          <w:szCs w:val="24"/>
          <w:lang w:val="id-ID"/>
        </w:rPr>
        <w:t>KUA</w:t>
      </w:r>
      <w:r w:rsidR="00A954D0">
        <w:rPr>
          <w:rFonts w:ascii="Bookman Old Style" w:hAnsi="Bookman Old Style" w:cs="Arial"/>
          <w:sz w:val="24"/>
          <w:szCs w:val="24"/>
          <w:lang w:val="id-ID"/>
        </w:rPr>
        <w:t xml:space="preserve"> </w:t>
      </w:r>
      <w:r w:rsidRPr="0056064B">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56064B">
        <w:rPr>
          <w:rFonts w:ascii="Bookman Old Style" w:hAnsi="Bookman Old Style" w:cs="Arial"/>
          <w:sz w:val="24"/>
          <w:szCs w:val="24"/>
          <w:lang w:val="id-ID"/>
        </w:rPr>
        <w:t>PPAS</w:t>
      </w:r>
      <w:r w:rsidR="00A954D0">
        <w:rPr>
          <w:rFonts w:ascii="Bookman Old Style" w:hAnsi="Bookman Old Style" w:cs="Arial"/>
          <w:sz w:val="24"/>
          <w:szCs w:val="24"/>
          <w:lang w:val="id-ID"/>
        </w:rPr>
        <w:t xml:space="preserve"> </w:t>
      </w:r>
    </w:p>
    <w:p w14:paraId="3EC79413" w14:textId="229994E0" w:rsidR="00790105" w:rsidRPr="00790105" w:rsidRDefault="00790105" w:rsidP="004E4435">
      <w:pPr>
        <w:spacing w:before="60" w:after="120" w:line="276" w:lineRule="auto"/>
        <w:ind w:left="992"/>
        <w:jc w:val="both"/>
        <w:rPr>
          <w:rFonts w:ascii="Bookman Old Style" w:hAnsi="Bookman Old Style"/>
          <w:lang w:val="id-ID"/>
        </w:rPr>
      </w:pPr>
      <w:bookmarkStart w:id="17" w:name="_Hlk183458734"/>
      <w:r w:rsidRPr="0056064B">
        <w:rPr>
          <w:rFonts w:ascii="Bookman Old Style" w:hAnsi="Bookman Old Style"/>
          <w:lang w:val="id-ID"/>
        </w:rPr>
        <w:t>Jumlah</w:t>
      </w:r>
      <w:r w:rsidR="00A954D0">
        <w:rPr>
          <w:rFonts w:ascii="Bookman Old Style" w:hAnsi="Bookman Old Style"/>
          <w:lang w:val="it-IT"/>
        </w:rPr>
        <w:t xml:space="preserve"> </w:t>
      </w:r>
      <w:r w:rsidRPr="0056064B">
        <w:rPr>
          <w:rFonts w:ascii="Bookman Old Style" w:hAnsi="Bookman Old Style"/>
          <w:lang w:val="id-ID"/>
        </w:rPr>
        <w:t>program</w:t>
      </w:r>
      <w:r w:rsidR="00A954D0">
        <w:rPr>
          <w:rFonts w:ascii="Bookman Old Style" w:hAnsi="Bookman Old Style"/>
          <w:lang w:val="it-IT"/>
        </w:rPr>
        <w:t xml:space="preserve"> </w:t>
      </w:r>
      <w:r w:rsidRPr="0056064B">
        <w:rPr>
          <w:rFonts w:ascii="Bookman Old Style" w:hAnsi="Bookman Old Style"/>
          <w:lang w:val="it-IT"/>
        </w:rPr>
        <w:t>dan</w:t>
      </w:r>
      <w:r w:rsidR="00A954D0">
        <w:rPr>
          <w:rFonts w:ascii="Bookman Old Style" w:hAnsi="Bookman Old Style"/>
          <w:lang w:val="it-IT"/>
        </w:rPr>
        <w:t xml:space="preserve"> </w:t>
      </w:r>
      <w:r w:rsidRPr="0056064B">
        <w:rPr>
          <w:rFonts w:ascii="Bookman Old Style" w:hAnsi="Bookman Old Style"/>
          <w:lang w:val="it-IT"/>
        </w:rPr>
        <w:t>kegiatan</w:t>
      </w:r>
      <w:r w:rsidR="00A954D0">
        <w:rPr>
          <w:rFonts w:ascii="Bookman Old Style" w:hAnsi="Bookman Old Style"/>
          <w:lang w:val="it-IT"/>
        </w:rPr>
        <w:t xml:space="preserve"> </w:t>
      </w:r>
      <w:r w:rsidRPr="0056064B">
        <w:rPr>
          <w:rFonts w:ascii="Bookman Old Style" w:hAnsi="Bookman Old Style"/>
          <w:lang w:val="it-IT"/>
        </w:rPr>
        <w:t>dalam</w:t>
      </w:r>
      <w:r w:rsidR="00A954D0">
        <w:rPr>
          <w:rFonts w:ascii="Bookman Old Style" w:hAnsi="Bookman Old Style"/>
          <w:lang w:val="it-IT"/>
        </w:rPr>
        <w:t xml:space="preserve"> </w:t>
      </w:r>
      <w:r w:rsidRPr="0056064B">
        <w:rPr>
          <w:rFonts w:ascii="Bookman Old Style" w:hAnsi="Bookman Old Style"/>
          <w:lang w:val="it-IT"/>
        </w:rPr>
        <w:t>RKPD,</w:t>
      </w:r>
      <w:r w:rsidR="00A954D0">
        <w:rPr>
          <w:rFonts w:ascii="Bookman Old Style" w:hAnsi="Bookman Old Style"/>
          <w:lang w:val="it-IT"/>
        </w:rPr>
        <w:t xml:space="preserve"> </w:t>
      </w:r>
      <w:r w:rsidRPr="0056064B">
        <w:rPr>
          <w:rFonts w:ascii="Bookman Old Style" w:hAnsi="Bookman Old Style"/>
          <w:lang w:val="it-IT"/>
        </w:rPr>
        <w:t>KUA</w:t>
      </w:r>
      <w:r w:rsidR="00A954D0">
        <w:rPr>
          <w:rFonts w:ascii="Bookman Old Style" w:hAnsi="Bookman Old Style"/>
          <w:lang w:val="id-ID"/>
        </w:rPr>
        <w:t xml:space="preserve"> </w:t>
      </w:r>
      <w:r w:rsidRPr="0056064B">
        <w:rPr>
          <w:rFonts w:ascii="Bookman Old Style" w:hAnsi="Bookman Old Style"/>
          <w:lang w:val="id-ID"/>
        </w:rPr>
        <w:t>dan</w:t>
      </w:r>
      <w:r w:rsidR="00A954D0">
        <w:rPr>
          <w:rFonts w:ascii="Bookman Old Style" w:hAnsi="Bookman Old Style"/>
          <w:lang w:val="id-ID"/>
        </w:rPr>
        <w:t xml:space="preserve"> </w:t>
      </w:r>
      <w:r w:rsidRPr="00790105">
        <w:rPr>
          <w:rFonts w:ascii="Bookman Old Style" w:hAnsi="Bookman Old Style"/>
          <w:lang w:val="it-IT"/>
        </w:rPr>
        <w:t>PPAS</w:t>
      </w:r>
      <w:r w:rsidRPr="00790105">
        <w:rPr>
          <w:rFonts w:ascii="Bookman Old Style" w:hAnsi="Bookman Old Style"/>
          <w:lang w:val="id-ID"/>
        </w:rPr>
        <w:t>,</w:t>
      </w:r>
      <w:r w:rsidR="00A954D0">
        <w:rPr>
          <w:rFonts w:ascii="Bookman Old Style" w:hAnsi="Bookman Old Style"/>
          <w:lang w:val="it-IT"/>
        </w:rPr>
        <w:t xml:space="preserve"> </w:t>
      </w:r>
      <w:r w:rsidRPr="00790105">
        <w:rPr>
          <w:rFonts w:ascii="Bookman Old Style" w:hAnsi="Bookman Old Style"/>
          <w:lang w:val="id-ID"/>
        </w:rPr>
        <w:t>serta</w:t>
      </w:r>
      <w:r w:rsidR="00A954D0">
        <w:rPr>
          <w:rFonts w:ascii="Bookman Old Style" w:hAnsi="Bookman Old Style"/>
          <w:lang w:val="it-IT"/>
        </w:rPr>
        <w:t xml:space="preserve"> </w:t>
      </w:r>
      <w:r w:rsidRPr="003255BC">
        <w:rPr>
          <w:rFonts w:ascii="Bookman Old Style" w:hAnsi="Bookman Old Style"/>
          <w:lang w:val="sv-FI"/>
        </w:rPr>
        <w:t>Rancangan</w:t>
      </w:r>
      <w:r w:rsidR="00A954D0" w:rsidRPr="003255BC">
        <w:rPr>
          <w:rFonts w:ascii="Bookman Old Style" w:hAnsi="Bookman Old Style"/>
          <w:lang w:val="sv-FI"/>
        </w:rPr>
        <w:t xml:space="preserve"> </w:t>
      </w:r>
      <w:r w:rsidRPr="003255BC">
        <w:rPr>
          <w:rFonts w:ascii="Bookman Old Style" w:hAnsi="Bookman Old Style"/>
          <w:lang w:val="sv-FI"/>
        </w:rPr>
        <w:t>Peraturan</w:t>
      </w:r>
      <w:r w:rsidR="00A954D0" w:rsidRPr="003255BC">
        <w:rPr>
          <w:rFonts w:ascii="Bookman Old Style" w:hAnsi="Bookman Old Style"/>
          <w:lang w:val="sv-FI"/>
        </w:rPr>
        <w:t xml:space="preserve"> </w:t>
      </w:r>
      <w:r w:rsidRPr="003255BC">
        <w:rPr>
          <w:rFonts w:ascii="Bookman Old Style" w:hAnsi="Bookman Old Style"/>
          <w:lang w:val="sv-FI"/>
        </w:rPr>
        <w:t>Daerah</w:t>
      </w:r>
      <w:r w:rsidR="00A954D0">
        <w:rPr>
          <w:rFonts w:ascii="Bookman Old Style" w:hAnsi="Bookman Old Style"/>
          <w:lang w:val="id-ID"/>
        </w:rPr>
        <w:t xml:space="preserve"> </w:t>
      </w:r>
      <w:r w:rsidRPr="00790105">
        <w:rPr>
          <w:rFonts w:ascii="Bookman Old Style" w:hAnsi="Bookman Old Style"/>
          <w:lang w:val="fi-FI"/>
        </w:rPr>
        <w:t>Kota</w:t>
      </w:r>
      <w:r w:rsidR="00A954D0">
        <w:rPr>
          <w:rFonts w:ascii="Bookman Old Style" w:hAnsi="Bookman Old Style"/>
          <w:lang w:val="fi-FI"/>
        </w:rPr>
        <w:t xml:space="preserve"> </w:t>
      </w:r>
      <w:r w:rsidRPr="00790105">
        <w:rPr>
          <w:rFonts w:ascii="Bookman Old Style" w:hAnsi="Bookman Old Style"/>
          <w:lang w:val="fi-FI"/>
        </w:rPr>
        <w:t>Tangerang</w:t>
      </w:r>
      <w:r w:rsidR="00A954D0">
        <w:rPr>
          <w:rFonts w:ascii="Bookman Old Style" w:hAnsi="Bookman Old Style"/>
          <w:lang w:val="fi-FI"/>
        </w:rPr>
        <w:t xml:space="preserve"> </w:t>
      </w:r>
      <w:r w:rsidRPr="003255BC">
        <w:rPr>
          <w:rFonts w:ascii="Bookman Old Style" w:hAnsi="Bookman Old Style"/>
          <w:lang w:val="sv-FI"/>
        </w:rPr>
        <w:t>tentang</w:t>
      </w:r>
      <w:r w:rsidR="00A954D0" w:rsidRPr="003255BC">
        <w:rPr>
          <w:rFonts w:ascii="Bookman Old Style" w:hAnsi="Bookman Old Style"/>
          <w:lang w:val="sv-FI"/>
        </w:rPr>
        <w:t xml:space="preserve"> </w:t>
      </w:r>
      <w:r w:rsidRPr="003255BC">
        <w:rPr>
          <w:rFonts w:ascii="Bookman Old Style" w:hAnsi="Bookman Old Style"/>
          <w:lang w:val="sv-FI"/>
        </w:rPr>
        <w:t>APBD</w:t>
      </w:r>
      <w:r w:rsidR="00A954D0" w:rsidRPr="003255BC">
        <w:rPr>
          <w:rFonts w:ascii="Bookman Old Style" w:hAnsi="Bookman Old Style"/>
          <w:lang w:val="sv-FI"/>
        </w:rPr>
        <w:t xml:space="preserve"> </w:t>
      </w:r>
      <w:r w:rsidRPr="003255BC">
        <w:rPr>
          <w:rFonts w:ascii="Bookman Old Style" w:hAnsi="Bookman Old Style"/>
          <w:lang w:val="sv-FI"/>
        </w:rPr>
        <w:t>Tahun</w:t>
      </w:r>
      <w:r w:rsidR="00A954D0" w:rsidRPr="003255BC">
        <w:rPr>
          <w:rFonts w:ascii="Bookman Old Style" w:hAnsi="Bookman Old Style"/>
          <w:lang w:val="sv-FI"/>
        </w:rPr>
        <w:t xml:space="preserve"> </w:t>
      </w:r>
      <w:r w:rsidRPr="003255BC">
        <w:rPr>
          <w:rFonts w:ascii="Bookman Old Style" w:hAnsi="Bookman Old Style"/>
          <w:lang w:val="sv-FI"/>
        </w:rPr>
        <w:t>Anggaran</w:t>
      </w:r>
      <w:r w:rsidR="00A954D0" w:rsidRPr="003255BC">
        <w:rPr>
          <w:rFonts w:ascii="Bookman Old Style" w:hAnsi="Bookman Old Style"/>
          <w:lang w:val="sv-FI"/>
        </w:rPr>
        <w:t xml:space="preserve"> </w:t>
      </w:r>
      <w:r w:rsidRPr="003255BC">
        <w:rPr>
          <w:rFonts w:ascii="Bookman Old Style" w:hAnsi="Bookman Old Style"/>
          <w:lang w:val="sv-FI"/>
        </w:rPr>
        <w:t>202</w:t>
      </w:r>
      <w:r w:rsidRPr="00790105">
        <w:rPr>
          <w:rFonts w:ascii="Bookman Old Style" w:hAnsi="Bookman Old Style"/>
          <w:lang w:val="it-IT"/>
        </w:rPr>
        <w:t>4</w:t>
      </w:r>
      <w:r w:rsidR="00A954D0" w:rsidRPr="003255BC">
        <w:rPr>
          <w:rFonts w:ascii="Bookman Old Style" w:hAnsi="Bookman Old Style"/>
          <w:lang w:val="sv-FI"/>
        </w:rPr>
        <w:t xml:space="preserve"> </w:t>
      </w:r>
      <w:r w:rsidRPr="00790105">
        <w:rPr>
          <w:rFonts w:ascii="Bookman Old Style" w:hAnsi="Bookman Old Style"/>
          <w:lang w:val="it-IT"/>
        </w:rPr>
        <w:t>sebagaimana</w:t>
      </w:r>
      <w:r w:rsidR="00A954D0">
        <w:rPr>
          <w:rFonts w:ascii="Bookman Old Style" w:hAnsi="Bookman Old Style"/>
          <w:lang w:val="it-IT"/>
        </w:rPr>
        <w:t xml:space="preserve"> </w:t>
      </w:r>
      <w:r w:rsidRPr="00790105">
        <w:rPr>
          <w:rFonts w:ascii="Bookman Old Style" w:hAnsi="Bookman Old Style"/>
          <w:lang w:val="it-IT"/>
        </w:rPr>
        <w:t>Tabel</w:t>
      </w:r>
      <w:r w:rsidR="00A954D0">
        <w:rPr>
          <w:rFonts w:ascii="Bookman Old Style" w:hAnsi="Bookman Old Style"/>
          <w:lang w:val="it-IT"/>
        </w:rPr>
        <w:t xml:space="preserve"> </w:t>
      </w:r>
      <w:r w:rsidR="004E4435">
        <w:rPr>
          <w:rFonts w:ascii="Bookman Old Style" w:hAnsi="Bookman Old Style"/>
          <w:lang w:val="it-IT"/>
        </w:rPr>
        <w:t>12</w:t>
      </w:r>
      <w:r w:rsidR="00A954D0">
        <w:rPr>
          <w:rFonts w:ascii="Bookman Old Style" w:hAnsi="Bookman Old Style"/>
          <w:lang w:val="it-IT"/>
        </w:rPr>
        <w:t xml:space="preserve"> </w:t>
      </w:r>
      <w:r w:rsidRPr="00790105">
        <w:rPr>
          <w:rFonts w:ascii="Bookman Old Style" w:hAnsi="Bookman Old Style"/>
          <w:lang w:val="it-IT"/>
        </w:rPr>
        <w:t>sebagai</w:t>
      </w:r>
      <w:r w:rsidR="00A954D0">
        <w:rPr>
          <w:rFonts w:ascii="Bookman Old Style" w:hAnsi="Bookman Old Style"/>
          <w:lang w:val="it-IT"/>
        </w:rPr>
        <w:t xml:space="preserve"> </w:t>
      </w:r>
      <w:r w:rsidRPr="00790105">
        <w:rPr>
          <w:rFonts w:ascii="Bookman Old Style" w:hAnsi="Bookman Old Style"/>
          <w:lang w:val="it-IT"/>
        </w:rPr>
        <w:t>berikut:</w:t>
      </w:r>
    </w:p>
    <w:p w14:paraId="09888073" w14:textId="22FE1F7A" w:rsidR="00790105" w:rsidRPr="00790105" w:rsidRDefault="00790105" w:rsidP="00790105">
      <w:pPr>
        <w:pStyle w:val="ListParagraph"/>
        <w:spacing w:after="0" w:line="276" w:lineRule="auto"/>
        <w:ind w:left="993"/>
        <w:contextualSpacing w:val="0"/>
        <w:jc w:val="center"/>
        <w:rPr>
          <w:rFonts w:ascii="Bookman Old Style" w:hAnsi="Bookman Old Style"/>
          <w:lang w:val="it-IT"/>
        </w:rPr>
      </w:pPr>
      <w:r w:rsidRPr="00790105">
        <w:rPr>
          <w:rFonts w:ascii="Bookman Old Style" w:hAnsi="Bookman Old Style"/>
          <w:sz w:val="24"/>
          <w:szCs w:val="24"/>
        </w:rPr>
        <w:t>Tabel</w:t>
      </w:r>
      <w:r w:rsidR="00A954D0">
        <w:rPr>
          <w:rFonts w:ascii="Bookman Old Style" w:hAnsi="Bookman Old Style"/>
          <w:lang w:val="it-IT"/>
        </w:rPr>
        <w:t xml:space="preserve"> </w:t>
      </w:r>
      <w:r w:rsidR="004E4435">
        <w:rPr>
          <w:rFonts w:ascii="Bookman Old Style" w:hAnsi="Bookman Old Style"/>
          <w:lang w:val="it-IT"/>
        </w:rPr>
        <w:t>12</w:t>
      </w:r>
    </w:p>
    <w:p w14:paraId="54B467FC" w14:textId="450149AE" w:rsidR="00790105" w:rsidRPr="00727324" w:rsidRDefault="00790105" w:rsidP="00790105">
      <w:pPr>
        <w:pStyle w:val="ListParagraph"/>
        <w:spacing w:after="120" w:line="276" w:lineRule="auto"/>
        <w:ind w:left="993"/>
        <w:contextualSpacing w:val="0"/>
        <w:jc w:val="center"/>
        <w:rPr>
          <w:rFonts w:ascii="Bookman Old Style" w:hAnsi="Bookman Old Style"/>
          <w:sz w:val="24"/>
          <w:szCs w:val="24"/>
          <w:lang w:val="id-ID"/>
        </w:rPr>
      </w:pPr>
      <w:r w:rsidRPr="00727324">
        <w:rPr>
          <w:rFonts w:ascii="Bookman Old Style" w:hAnsi="Bookman Old Style"/>
          <w:sz w:val="24"/>
          <w:szCs w:val="24"/>
        </w:rPr>
        <w:t>Kesesuaian</w:t>
      </w:r>
      <w:r w:rsidR="00A954D0">
        <w:rPr>
          <w:rFonts w:ascii="Bookman Old Style" w:hAnsi="Bookman Old Style"/>
          <w:sz w:val="24"/>
          <w:szCs w:val="24"/>
        </w:rPr>
        <w:t xml:space="preserve"> </w:t>
      </w:r>
      <w:r w:rsidRPr="00727324">
        <w:rPr>
          <w:rFonts w:ascii="Bookman Old Style" w:hAnsi="Bookman Old Style"/>
          <w:sz w:val="24"/>
          <w:szCs w:val="24"/>
        </w:rPr>
        <w:t>Program,</w:t>
      </w:r>
      <w:r w:rsidR="00A954D0">
        <w:rPr>
          <w:rFonts w:ascii="Bookman Old Style" w:hAnsi="Bookman Old Style"/>
          <w:sz w:val="24"/>
          <w:szCs w:val="24"/>
        </w:rPr>
        <w:t xml:space="preserve"> </w:t>
      </w:r>
      <w:r w:rsidRPr="00727324">
        <w:rPr>
          <w:rFonts w:ascii="Bookman Old Style" w:hAnsi="Bookman Old Style"/>
          <w:sz w:val="24"/>
          <w:szCs w:val="24"/>
        </w:rPr>
        <w:t>Kegiatan,</w:t>
      </w:r>
      <w:r w:rsidR="00A954D0">
        <w:rPr>
          <w:rFonts w:ascii="Bookman Old Style" w:hAnsi="Bookman Old Style"/>
          <w:sz w:val="24"/>
          <w:szCs w:val="24"/>
        </w:rPr>
        <w:t xml:space="preserve"> </w:t>
      </w:r>
      <w:r w:rsidRPr="00727324">
        <w:rPr>
          <w:rFonts w:ascii="Bookman Old Style" w:hAnsi="Bookman Old Style"/>
          <w:sz w:val="24"/>
          <w:szCs w:val="24"/>
        </w:rPr>
        <w:t>dan</w:t>
      </w:r>
      <w:r w:rsidR="00A954D0">
        <w:rPr>
          <w:rFonts w:ascii="Bookman Old Style" w:hAnsi="Bookman Old Style"/>
          <w:sz w:val="24"/>
          <w:szCs w:val="24"/>
        </w:rPr>
        <w:t xml:space="preserve"> </w:t>
      </w:r>
      <w:r w:rsidRPr="00727324">
        <w:rPr>
          <w:rFonts w:ascii="Bookman Old Style" w:hAnsi="Bookman Old Style"/>
          <w:sz w:val="24"/>
          <w:szCs w:val="24"/>
        </w:rPr>
        <w:t>Sub</w:t>
      </w:r>
      <w:r w:rsidR="00A954D0">
        <w:rPr>
          <w:rFonts w:ascii="Bookman Old Style" w:hAnsi="Bookman Old Style"/>
          <w:sz w:val="24"/>
          <w:szCs w:val="24"/>
        </w:rPr>
        <w:t xml:space="preserve"> </w:t>
      </w:r>
      <w:r w:rsidRPr="00727324">
        <w:rPr>
          <w:rFonts w:ascii="Bookman Old Style" w:hAnsi="Bookman Old Style"/>
          <w:sz w:val="24"/>
          <w:szCs w:val="24"/>
        </w:rPr>
        <w:t>Kegiatan</w:t>
      </w:r>
      <w:r w:rsidR="00A954D0">
        <w:rPr>
          <w:rFonts w:ascii="Bookman Old Style" w:hAnsi="Bookman Old Style"/>
          <w:sz w:val="24"/>
          <w:szCs w:val="24"/>
        </w:rPr>
        <w:t xml:space="preserve"> </w:t>
      </w:r>
      <w:r w:rsidRPr="00727324">
        <w:rPr>
          <w:rFonts w:ascii="Bookman Old Style" w:hAnsi="Bookman Old Style"/>
          <w:sz w:val="24"/>
          <w:szCs w:val="24"/>
        </w:rPr>
        <w:t>Rancangan</w:t>
      </w:r>
      <w:r w:rsidR="00A954D0">
        <w:rPr>
          <w:rFonts w:ascii="Bookman Old Style" w:hAnsi="Bookman Old Style"/>
          <w:sz w:val="24"/>
          <w:szCs w:val="24"/>
        </w:rPr>
        <w:t xml:space="preserve"> </w:t>
      </w:r>
      <w:r w:rsidRPr="00727324">
        <w:rPr>
          <w:rFonts w:ascii="Bookman Old Style" w:hAnsi="Bookman Old Style"/>
          <w:sz w:val="24"/>
          <w:szCs w:val="24"/>
        </w:rPr>
        <w:t>Peraturan</w:t>
      </w:r>
      <w:r w:rsidR="00A954D0">
        <w:rPr>
          <w:rFonts w:ascii="Bookman Old Style" w:hAnsi="Bookman Old Style"/>
          <w:sz w:val="24"/>
          <w:szCs w:val="24"/>
        </w:rPr>
        <w:t xml:space="preserve"> </w:t>
      </w:r>
      <w:r w:rsidRPr="00727324">
        <w:rPr>
          <w:rFonts w:ascii="Bookman Old Style" w:hAnsi="Bookman Old Style"/>
          <w:sz w:val="24"/>
          <w:szCs w:val="24"/>
        </w:rPr>
        <w:t>Daerah</w:t>
      </w:r>
      <w:r w:rsidR="00A954D0">
        <w:rPr>
          <w:rFonts w:ascii="Bookman Old Style" w:hAnsi="Bookman Old Style"/>
          <w:sz w:val="24"/>
          <w:szCs w:val="24"/>
        </w:rPr>
        <w:t xml:space="preserve"> </w:t>
      </w:r>
      <w:r w:rsidRPr="00727324">
        <w:rPr>
          <w:rFonts w:ascii="Bookman Old Style" w:hAnsi="Bookman Old Style"/>
          <w:sz w:val="24"/>
          <w:szCs w:val="24"/>
        </w:rPr>
        <w:t>dan</w:t>
      </w:r>
      <w:r w:rsidR="00A954D0">
        <w:rPr>
          <w:rFonts w:ascii="Bookman Old Style" w:hAnsi="Bookman Old Style"/>
          <w:sz w:val="24"/>
          <w:szCs w:val="24"/>
        </w:rPr>
        <w:t xml:space="preserve"> </w:t>
      </w:r>
      <w:r w:rsidRPr="00727324">
        <w:rPr>
          <w:rFonts w:ascii="Bookman Old Style" w:hAnsi="Bookman Old Style"/>
          <w:sz w:val="24"/>
          <w:szCs w:val="24"/>
        </w:rPr>
        <w:t>Rancangan</w:t>
      </w:r>
      <w:r w:rsidR="00A954D0">
        <w:rPr>
          <w:rFonts w:ascii="Bookman Old Style" w:hAnsi="Bookman Old Style"/>
          <w:sz w:val="24"/>
          <w:szCs w:val="24"/>
        </w:rPr>
        <w:t xml:space="preserve"> </w:t>
      </w:r>
      <w:r w:rsidRPr="00727324">
        <w:rPr>
          <w:rFonts w:ascii="Bookman Old Style" w:hAnsi="Bookman Old Style"/>
          <w:sz w:val="24"/>
          <w:szCs w:val="24"/>
        </w:rPr>
        <w:t>Peraturan</w:t>
      </w:r>
      <w:r w:rsidR="00A954D0">
        <w:rPr>
          <w:rFonts w:ascii="Bookman Old Style" w:hAnsi="Bookman Old Style"/>
          <w:sz w:val="24"/>
          <w:szCs w:val="24"/>
        </w:rPr>
        <w:t xml:space="preserve"> </w:t>
      </w:r>
      <w:r w:rsidRPr="00727324">
        <w:rPr>
          <w:rFonts w:ascii="Bookman Old Style" w:hAnsi="Bookman Old Style"/>
          <w:sz w:val="24"/>
          <w:szCs w:val="24"/>
        </w:rPr>
        <w:t>Kepala</w:t>
      </w:r>
      <w:r w:rsidR="00A954D0">
        <w:rPr>
          <w:rFonts w:ascii="Bookman Old Style" w:hAnsi="Bookman Old Style"/>
          <w:sz w:val="24"/>
          <w:szCs w:val="24"/>
        </w:rPr>
        <w:t xml:space="preserve"> </w:t>
      </w:r>
      <w:r w:rsidRPr="00727324">
        <w:rPr>
          <w:rFonts w:ascii="Bookman Old Style" w:hAnsi="Bookman Old Style"/>
          <w:sz w:val="24"/>
          <w:szCs w:val="24"/>
        </w:rPr>
        <w:t>Daerah</w:t>
      </w:r>
      <w:r w:rsidR="00A954D0">
        <w:rPr>
          <w:rFonts w:ascii="Bookman Old Style" w:hAnsi="Bookman Old Style"/>
          <w:sz w:val="24"/>
          <w:szCs w:val="24"/>
        </w:rPr>
        <w:t xml:space="preserve"> </w:t>
      </w:r>
      <w:r w:rsidRPr="00727324">
        <w:rPr>
          <w:rFonts w:ascii="Bookman Old Style" w:hAnsi="Bookman Old Style"/>
          <w:sz w:val="24"/>
          <w:szCs w:val="24"/>
        </w:rPr>
        <w:t>dengan</w:t>
      </w:r>
      <w:r w:rsidR="00A954D0">
        <w:rPr>
          <w:rFonts w:ascii="Bookman Old Style" w:hAnsi="Bookman Old Style"/>
          <w:sz w:val="24"/>
          <w:szCs w:val="24"/>
        </w:rPr>
        <w:t xml:space="preserve"> </w:t>
      </w:r>
      <w:r w:rsidRPr="00727324">
        <w:rPr>
          <w:rFonts w:ascii="Bookman Old Style" w:hAnsi="Bookman Old Style"/>
          <w:sz w:val="24"/>
          <w:szCs w:val="24"/>
        </w:rPr>
        <w:t>RKPD</w:t>
      </w:r>
      <w:r w:rsidRPr="00727324">
        <w:rPr>
          <w:rFonts w:ascii="Bookman Old Style" w:hAnsi="Bookman Old Style"/>
          <w:sz w:val="24"/>
          <w:szCs w:val="24"/>
          <w:lang w:val="id-ID"/>
        </w:rPr>
        <w:t>,</w:t>
      </w:r>
      <w:r w:rsidR="00A954D0">
        <w:rPr>
          <w:rFonts w:ascii="Bookman Old Style" w:hAnsi="Bookman Old Style"/>
          <w:sz w:val="24"/>
          <w:szCs w:val="24"/>
          <w:lang w:val="id-ID"/>
        </w:rPr>
        <w:t xml:space="preserve"> </w:t>
      </w:r>
      <w:r w:rsidRPr="00727324">
        <w:rPr>
          <w:rFonts w:ascii="Bookman Old Style" w:hAnsi="Bookman Old Style"/>
          <w:sz w:val="24"/>
          <w:szCs w:val="24"/>
          <w:lang w:val="id-ID"/>
        </w:rPr>
        <w:t>KUA</w:t>
      </w:r>
      <w:r w:rsidR="00A954D0">
        <w:rPr>
          <w:rFonts w:ascii="Bookman Old Style" w:hAnsi="Bookman Old Style"/>
          <w:sz w:val="24"/>
          <w:szCs w:val="24"/>
          <w:lang w:val="id-ID"/>
        </w:rPr>
        <w:t xml:space="preserve"> </w:t>
      </w:r>
      <w:r w:rsidRPr="00727324">
        <w:rPr>
          <w:rFonts w:ascii="Bookman Old Style" w:hAnsi="Bookman Old Style"/>
          <w:sz w:val="24"/>
          <w:szCs w:val="24"/>
          <w:lang w:val="id-ID"/>
        </w:rPr>
        <w:t>dan</w:t>
      </w:r>
      <w:r w:rsidR="00A954D0">
        <w:rPr>
          <w:rFonts w:ascii="Bookman Old Style" w:hAnsi="Bookman Old Style"/>
          <w:sz w:val="24"/>
          <w:szCs w:val="24"/>
          <w:lang w:val="id-ID"/>
        </w:rPr>
        <w:t xml:space="preserve"> </w:t>
      </w:r>
      <w:r w:rsidRPr="00727324">
        <w:rPr>
          <w:rFonts w:ascii="Bookman Old Style" w:hAnsi="Bookman Old Style"/>
          <w:sz w:val="24"/>
          <w:szCs w:val="24"/>
          <w:lang w:val="id-ID"/>
        </w:rPr>
        <w:t>PPAS</w:t>
      </w:r>
    </w:p>
    <w:tbl>
      <w:tblPr>
        <w:tblW w:w="0" w:type="auto"/>
        <w:jc w:val="center"/>
        <w:tblCellMar>
          <w:top w:w="15" w:type="dxa"/>
          <w:left w:w="15" w:type="dxa"/>
          <w:bottom w:w="15" w:type="dxa"/>
          <w:right w:w="15" w:type="dxa"/>
        </w:tblCellMar>
        <w:tblLook w:val="04A0" w:firstRow="1" w:lastRow="0" w:firstColumn="1" w:lastColumn="0" w:noHBand="0" w:noVBand="1"/>
      </w:tblPr>
      <w:tblGrid>
        <w:gridCol w:w="489"/>
        <w:gridCol w:w="1540"/>
        <w:gridCol w:w="2242"/>
        <w:gridCol w:w="2243"/>
        <w:gridCol w:w="2316"/>
      </w:tblGrid>
      <w:tr w:rsidR="00790105" w:rsidRPr="008A21EF" w14:paraId="7E14AEF8" w14:textId="77777777" w:rsidTr="0023341C">
        <w:trPr>
          <w:trHeight w:val="254"/>
          <w:tblHeader/>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28060ED5" w14:textId="77777777" w:rsidR="00790105" w:rsidRPr="008A21EF" w:rsidRDefault="00790105" w:rsidP="002C136C">
            <w:pPr>
              <w:pStyle w:val="NormalWeb"/>
              <w:spacing w:before="0" w:beforeAutospacing="0" w:after="0" w:afterAutospacing="0"/>
              <w:ind w:left="119"/>
              <w:rPr>
                <w:rFonts w:ascii="Bookman Old Style" w:hAnsi="Bookman Old Style"/>
                <w:sz w:val="20"/>
                <w:szCs w:val="20"/>
              </w:rPr>
            </w:pPr>
            <w:r w:rsidRPr="008A21EF">
              <w:rPr>
                <w:rFonts w:ascii="Bookman Old Style" w:hAnsi="Bookman Old Style"/>
                <w:b/>
                <w:bCs/>
                <w:sz w:val="20"/>
                <w:szCs w:val="20"/>
              </w:rPr>
              <w:t>NO</w:t>
            </w:r>
          </w:p>
        </w:tc>
        <w:tc>
          <w:tcPr>
            <w:tcW w:w="1540" w:type="dxa"/>
            <w:vMerge w:val="restart"/>
            <w:tcBorders>
              <w:top w:val="single" w:sz="4" w:space="0" w:color="000000"/>
              <w:left w:val="single" w:sz="4" w:space="0" w:color="000000"/>
              <w:bottom w:val="single" w:sz="4" w:space="0" w:color="000000"/>
              <w:right w:val="single" w:sz="4" w:space="0" w:color="000000"/>
            </w:tcBorders>
            <w:vAlign w:val="center"/>
            <w:hideMark/>
          </w:tcPr>
          <w:p w14:paraId="0B73C485" w14:textId="77777777" w:rsidR="00790105" w:rsidRPr="008A21EF" w:rsidRDefault="00790105" w:rsidP="002C136C">
            <w:pPr>
              <w:pStyle w:val="NormalWeb"/>
              <w:spacing w:before="0" w:beforeAutospacing="0" w:after="0" w:afterAutospacing="0"/>
              <w:ind w:left="287"/>
              <w:rPr>
                <w:rFonts w:ascii="Bookman Old Style" w:hAnsi="Bookman Old Style"/>
                <w:sz w:val="20"/>
                <w:szCs w:val="20"/>
              </w:rPr>
            </w:pPr>
            <w:r w:rsidRPr="008A21EF">
              <w:rPr>
                <w:rFonts w:ascii="Bookman Old Style" w:hAnsi="Bookman Old Style"/>
                <w:b/>
                <w:bCs/>
                <w:sz w:val="20"/>
                <w:szCs w:val="20"/>
              </w:rPr>
              <w:t>URAIAN</w:t>
            </w:r>
          </w:p>
        </w:tc>
        <w:tc>
          <w:tcPr>
            <w:tcW w:w="6801" w:type="dxa"/>
            <w:gridSpan w:val="3"/>
            <w:tcBorders>
              <w:top w:val="single" w:sz="4" w:space="0" w:color="000000"/>
              <w:left w:val="single" w:sz="4" w:space="0" w:color="000000"/>
              <w:bottom w:val="single" w:sz="4" w:space="0" w:color="000000"/>
              <w:right w:val="single" w:sz="4" w:space="0" w:color="000000"/>
            </w:tcBorders>
            <w:vAlign w:val="center"/>
            <w:hideMark/>
          </w:tcPr>
          <w:p w14:paraId="7346CC33" w14:textId="77777777" w:rsidR="00790105" w:rsidRPr="008A21EF" w:rsidRDefault="00790105" w:rsidP="002C136C">
            <w:pPr>
              <w:pStyle w:val="NormalWeb"/>
              <w:spacing w:before="0" w:beforeAutospacing="0" w:after="0" w:afterAutospacing="0"/>
              <w:ind w:left="2597" w:right="2588"/>
              <w:jc w:val="center"/>
              <w:rPr>
                <w:rFonts w:ascii="Bookman Old Style" w:hAnsi="Bookman Old Style"/>
                <w:sz w:val="20"/>
                <w:szCs w:val="20"/>
              </w:rPr>
            </w:pPr>
            <w:r w:rsidRPr="008A21EF">
              <w:rPr>
                <w:rFonts w:ascii="Bookman Old Style" w:hAnsi="Bookman Old Style"/>
                <w:b/>
                <w:bCs/>
                <w:sz w:val="20"/>
                <w:szCs w:val="20"/>
              </w:rPr>
              <w:t>TAHAPAN</w:t>
            </w:r>
          </w:p>
        </w:tc>
      </w:tr>
      <w:tr w:rsidR="00790105" w:rsidRPr="008A21EF" w14:paraId="2991EB74" w14:textId="77777777" w:rsidTr="0023341C">
        <w:trPr>
          <w:trHeight w:val="499"/>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895667" w14:textId="77777777" w:rsidR="00790105" w:rsidRPr="008A21EF" w:rsidRDefault="00790105" w:rsidP="002C136C">
            <w:pPr>
              <w:rPr>
                <w:rFonts w:ascii="Bookman Old Style" w:hAnsi="Bookman Old Style"/>
                <w:sz w:val="20"/>
                <w:szCs w:val="20"/>
              </w:rPr>
            </w:pPr>
          </w:p>
        </w:tc>
        <w:tc>
          <w:tcPr>
            <w:tcW w:w="1540" w:type="dxa"/>
            <w:vMerge/>
            <w:tcBorders>
              <w:top w:val="single" w:sz="4" w:space="0" w:color="000000"/>
              <w:left w:val="single" w:sz="4" w:space="0" w:color="000000"/>
              <w:bottom w:val="single" w:sz="4" w:space="0" w:color="000000"/>
              <w:right w:val="single" w:sz="4" w:space="0" w:color="000000"/>
            </w:tcBorders>
            <w:vAlign w:val="center"/>
            <w:hideMark/>
          </w:tcPr>
          <w:p w14:paraId="01C4A66E" w14:textId="77777777" w:rsidR="00790105" w:rsidRPr="008A21EF" w:rsidRDefault="00790105" w:rsidP="002C136C">
            <w:pPr>
              <w:rPr>
                <w:rFonts w:ascii="Bookman Old Style" w:hAnsi="Bookman Old Style"/>
                <w:sz w:val="20"/>
                <w:szCs w:val="20"/>
              </w:rPr>
            </w:pPr>
          </w:p>
        </w:tc>
        <w:tc>
          <w:tcPr>
            <w:tcW w:w="2242" w:type="dxa"/>
            <w:tcBorders>
              <w:top w:val="single" w:sz="4" w:space="0" w:color="000000"/>
              <w:left w:val="single" w:sz="4" w:space="0" w:color="000000"/>
              <w:bottom w:val="single" w:sz="4" w:space="0" w:color="000000"/>
              <w:right w:val="single" w:sz="4" w:space="0" w:color="000000"/>
            </w:tcBorders>
            <w:vAlign w:val="center"/>
            <w:hideMark/>
          </w:tcPr>
          <w:p w14:paraId="70318AEC" w14:textId="77777777" w:rsidR="00790105" w:rsidRPr="008A21EF" w:rsidRDefault="00790105" w:rsidP="002C136C">
            <w:pPr>
              <w:pStyle w:val="NormalWeb"/>
              <w:spacing w:before="0" w:beforeAutospacing="0" w:after="0" w:afterAutospacing="0"/>
              <w:ind w:left="253"/>
              <w:jc w:val="center"/>
              <w:rPr>
                <w:rFonts w:ascii="Bookman Old Style" w:hAnsi="Bookman Old Style"/>
                <w:sz w:val="20"/>
                <w:szCs w:val="20"/>
              </w:rPr>
            </w:pPr>
            <w:r w:rsidRPr="008A21EF">
              <w:rPr>
                <w:rFonts w:ascii="Bookman Old Style" w:hAnsi="Bookman Old Style"/>
                <w:b/>
                <w:bCs/>
                <w:sz w:val="20"/>
                <w:szCs w:val="20"/>
              </w:rPr>
              <w:t>RKPD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7AB6C15" w14:textId="58AC9E5B" w:rsidR="00790105" w:rsidRPr="008A21EF" w:rsidRDefault="00790105" w:rsidP="002C136C">
            <w:pPr>
              <w:pStyle w:val="NormalWeb"/>
              <w:spacing w:before="0" w:beforeAutospacing="0" w:after="0" w:afterAutospacing="0"/>
              <w:ind w:left="5"/>
              <w:jc w:val="center"/>
              <w:rPr>
                <w:rFonts w:ascii="Bookman Old Style" w:hAnsi="Bookman Old Style"/>
                <w:sz w:val="20"/>
                <w:szCs w:val="20"/>
              </w:rPr>
            </w:pPr>
            <w:r w:rsidRPr="008A21EF">
              <w:rPr>
                <w:rFonts w:ascii="Bookman Old Style" w:hAnsi="Bookman Old Style"/>
                <w:b/>
                <w:bCs/>
                <w:sz w:val="20"/>
                <w:szCs w:val="20"/>
              </w:rPr>
              <w:t>KUA</w:t>
            </w:r>
            <w:r w:rsidR="00A954D0">
              <w:rPr>
                <w:rFonts w:ascii="Bookman Old Style" w:hAnsi="Bookman Old Style"/>
                <w:b/>
                <w:bCs/>
                <w:sz w:val="20"/>
                <w:szCs w:val="20"/>
              </w:rPr>
              <w:t xml:space="preserve"> </w:t>
            </w:r>
            <w:r w:rsidRPr="008A21EF">
              <w:rPr>
                <w:rFonts w:ascii="Bookman Old Style" w:hAnsi="Bookman Old Style"/>
                <w:b/>
                <w:bCs/>
                <w:sz w:val="20"/>
                <w:szCs w:val="20"/>
              </w:rPr>
              <w:t>PPAS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5E4535" w14:textId="583B76FF" w:rsidR="00790105" w:rsidRPr="008A21EF" w:rsidRDefault="00790105" w:rsidP="002C136C">
            <w:pPr>
              <w:pStyle w:val="NormalWeb"/>
              <w:spacing w:before="0" w:beforeAutospacing="0" w:after="0" w:afterAutospacing="0"/>
              <w:jc w:val="center"/>
              <w:rPr>
                <w:rFonts w:ascii="Bookman Old Style" w:hAnsi="Bookman Old Style"/>
                <w:sz w:val="20"/>
                <w:szCs w:val="20"/>
              </w:rPr>
            </w:pPr>
            <w:r w:rsidRPr="008A21EF">
              <w:rPr>
                <w:rFonts w:ascii="Bookman Old Style" w:hAnsi="Bookman Old Style"/>
                <w:b/>
                <w:bCs/>
                <w:sz w:val="20"/>
                <w:szCs w:val="20"/>
              </w:rPr>
              <w:t>Rancangan</w:t>
            </w:r>
            <w:r w:rsidR="00A954D0">
              <w:rPr>
                <w:rFonts w:ascii="Bookman Old Style" w:hAnsi="Bookman Old Style"/>
                <w:b/>
                <w:bCs/>
                <w:sz w:val="20"/>
                <w:szCs w:val="20"/>
              </w:rPr>
              <w:t xml:space="preserve"> </w:t>
            </w:r>
            <w:r w:rsidRPr="008A21EF">
              <w:rPr>
                <w:rFonts w:ascii="Bookman Old Style" w:hAnsi="Bookman Old Style"/>
                <w:b/>
                <w:bCs/>
                <w:sz w:val="20"/>
                <w:szCs w:val="20"/>
              </w:rPr>
              <w:br/>
              <w:t>APBD</w:t>
            </w:r>
          </w:p>
        </w:tc>
      </w:tr>
      <w:tr w:rsidR="00790105" w:rsidRPr="008A21EF" w14:paraId="45FAE641" w14:textId="77777777" w:rsidTr="0023341C">
        <w:trPr>
          <w:trHeight w:val="250"/>
          <w:tblHeader/>
          <w:jc w:val="center"/>
        </w:trPr>
        <w:tc>
          <w:tcPr>
            <w:tcW w:w="0" w:type="auto"/>
            <w:tcBorders>
              <w:top w:val="single" w:sz="4" w:space="0" w:color="000000"/>
              <w:left w:val="single" w:sz="4" w:space="0" w:color="000000"/>
              <w:bottom w:val="single" w:sz="4" w:space="0" w:color="000000"/>
              <w:right w:val="single" w:sz="4" w:space="0" w:color="000000"/>
            </w:tcBorders>
            <w:hideMark/>
          </w:tcPr>
          <w:p w14:paraId="5E029BE1" w14:textId="77777777" w:rsidR="00790105" w:rsidRPr="008A21EF" w:rsidRDefault="00790105" w:rsidP="002C136C">
            <w:pPr>
              <w:pStyle w:val="NormalWeb"/>
              <w:spacing w:before="0" w:beforeAutospacing="0" w:after="0" w:afterAutospacing="0"/>
              <w:ind w:left="172" w:right="162"/>
              <w:jc w:val="center"/>
              <w:rPr>
                <w:rFonts w:ascii="Bookman Old Style" w:hAnsi="Bookman Old Style"/>
                <w:sz w:val="20"/>
                <w:szCs w:val="20"/>
              </w:rPr>
            </w:pPr>
            <w:r w:rsidRPr="008A21EF">
              <w:rPr>
                <w:rFonts w:ascii="Bookman Old Style" w:hAnsi="Bookman Old Style"/>
                <w:i/>
                <w:iCs/>
                <w:sz w:val="20"/>
                <w:szCs w:val="20"/>
              </w:rPr>
              <w:t>1</w:t>
            </w:r>
          </w:p>
        </w:tc>
        <w:tc>
          <w:tcPr>
            <w:tcW w:w="1540" w:type="dxa"/>
            <w:tcBorders>
              <w:top w:val="single" w:sz="4" w:space="0" w:color="000000"/>
              <w:left w:val="single" w:sz="4" w:space="0" w:color="000000"/>
              <w:bottom w:val="single" w:sz="4" w:space="0" w:color="000000"/>
              <w:right w:val="single" w:sz="4" w:space="0" w:color="000000"/>
            </w:tcBorders>
            <w:hideMark/>
          </w:tcPr>
          <w:p w14:paraId="2522DF4E" w14:textId="77777777" w:rsidR="00790105" w:rsidRPr="008A21EF" w:rsidRDefault="00790105" w:rsidP="002C136C">
            <w:pPr>
              <w:pStyle w:val="NormalWeb"/>
              <w:spacing w:before="0" w:beforeAutospacing="0" w:after="0" w:afterAutospacing="0"/>
              <w:ind w:left="551" w:right="553"/>
              <w:jc w:val="center"/>
              <w:rPr>
                <w:rFonts w:ascii="Bookman Old Style" w:hAnsi="Bookman Old Style"/>
                <w:sz w:val="20"/>
                <w:szCs w:val="20"/>
              </w:rPr>
            </w:pPr>
            <w:r w:rsidRPr="008A21EF">
              <w:rPr>
                <w:rFonts w:ascii="Bookman Old Style" w:hAnsi="Bookman Old Style"/>
                <w:i/>
                <w:iCs/>
                <w:sz w:val="20"/>
                <w:szCs w:val="20"/>
              </w:rPr>
              <w:t>2</w:t>
            </w:r>
          </w:p>
        </w:tc>
        <w:tc>
          <w:tcPr>
            <w:tcW w:w="2242" w:type="dxa"/>
            <w:tcBorders>
              <w:top w:val="single" w:sz="4" w:space="0" w:color="000000"/>
              <w:left w:val="single" w:sz="4" w:space="0" w:color="000000"/>
              <w:bottom w:val="single" w:sz="4" w:space="0" w:color="000000"/>
              <w:right w:val="single" w:sz="4" w:space="0" w:color="000000"/>
            </w:tcBorders>
            <w:hideMark/>
          </w:tcPr>
          <w:p w14:paraId="45DD81A3" w14:textId="77777777" w:rsidR="00790105" w:rsidRPr="008A21EF" w:rsidRDefault="00790105" w:rsidP="002C136C">
            <w:pPr>
              <w:pStyle w:val="NormalWeb"/>
              <w:spacing w:before="0" w:beforeAutospacing="0" w:after="0" w:afterAutospacing="0"/>
              <w:ind w:left="1046" w:right="1037"/>
              <w:jc w:val="center"/>
              <w:rPr>
                <w:rFonts w:ascii="Bookman Old Style" w:hAnsi="Bookman Old Style"/>
                <w:sz w:val="20"/>
                <w:szCs w:val="20"/>
              </w:rPr>
            </w:pPr>
            <w:r w:rsidRPr="008A21EF">
              <w:rPr>
                <w:rFonts w:ascii="Bookman Old Style" w:hAnsi="Bookman Old Style"/>
                <w:i/>
                <w:iCs/>
                <w:sz w:val="20"/>
                <w:szCs w:val="20"/>
              </w:rPr>
              <w:t>3</w:t>
            </w:r>
          </w:p>
        </w:tc>
        <w:tc>
          <w:tcPr>
            <w:tcW w:w="0" w:type="auto"/>
            <w:tcBorders>
              <w:top w:val="single" w:sz="4" w:space="0" w:color="000000"/>
              <w:left w:val="single" w:sz="4" w:space="0" w:color="000000"/>
              <w:bottom w:val="single" w:sz="4" w:space="0" w:color="000000"/>
              <w:right w:val="single" w:sz="4" w:space="0" w:color="000000"/>
            </w:tcBorders>
            <w:hideMark/>
          </w:tcPr>
          <w:p w14:paraId="5DC31CEF" w14:textId="77777777" w:rsidR="00790105" w:rsidRPr="008A21EF" w:rsidRDefault="00790105" w:rsidP="002C136C">
            <w:pPr>
              <w:pStyle w:val="NormalWeb"/>
              <w:spacing w:before="0" w:beforeAutospacing="0" w:after="0" w:afterAutospacing="0"/>
              <w:ind w:left="1017" w:right="1015"/>
              <w:jc w:val="center"/>
              <w:rPr>
                <w:rFonts w:ascii="Bookman Old Style" w:hAnsi="Bookman Old Style"/>
                <w:sz w:val="20"/>
                <w:szCs w:val="20"/>
              </w:rPr>
            </w:pPr>
            <w:r w:rsidRPr="008A21EF">
              <w:rPr>
                <w:rFonts w:ascii="Bookman Old Style" w:hAnsi="Bookman Old Style"/>
                <w:i/>
                <w:iCs/>
                <w:sz w:val="20"/>
                <w:szCs w:val="20"/>
              </w:rPr>
              <w:t>4</w:t>
            </w:r>
          </w:p>
        </w:tc>
        <w:tc>
          <w:tcPr>
            <w:tcW w:w="0" w:type="auto"/>
            <w:tcBorders>
              <w:top w:val="single" w:sz="4" w:space="0" w:color="000000"/>
              <w:left w:val="single" w:sz="4" w:space="0" w:color="000000"/>
              <w:bottom w:val="single" w:sz="4" w:space="0" w:color="000000"/>
              <w:right w:val="single" w:sz="4" w:space="0" w:color="000000"/>
            </w:tcBorders>
            <w:hideMark/>
          </w:tcPr>
          <w:p w14:paraId="2139EB0C" w14:textId="77777777" w:rsidR="00790105" w:rsidRPr="008A21EF" w:rsidRDefault="00790105" w:rsidP="002C136C">
            <w:pPr>
              <w:pStyle w:val="NormalWeb"/>
              <w:spacing w:before="0" w:beforeAutospacing="0" w:after="0" w:afterAutospacing="0"/>
              <w:ind w:left="1007" w:right="999"/>
              <w:jc w:val="center"/>
              <w:rPr>
                <w:rFonts w:ascii="Bookman Old Style" w:hAnsi="Bookman Old Style"/>
                <w:sz w:val="20"/>
                <w:szCs w:val="20"/>
              </w:rPr>
            </w:pPr>
            <w:r w:rsidRPr="008A21EF">
              <w:rPr>
                <w:rFonts w:ascii="Bookman Old Style" w:hAnsi="Bookman Old Style"/>
                <w:i/>
                <w:iCs/>
                <w:sz w:val="20"/>
                <w:szCs w:val="20"/>
              </w:rPr>
              <w:t>5</w:t>
            </w:r>
          </w:p>
        </w:tc>
      </w:tr>
      <w:tr w:rsidR="00790105" w:rsidRPr="008A21EF" w14:paraId="3C94FA70" w14:textId="77777777" w:rsidTr="0023341C">
        <w:trPr>
          <w:trHeight w:val="172"/>
          <w:jc w:val="center"/>
        </w:trPr>
        <w:tc>
          <w:tcPr>
            <w:tcW w:w="0" w:type="auto"/>
            <w:tcBorders>
              <w:top w:val="single" w:sz="4" w:space="0" w:color="000000"/>
              <w:left w:val="single" w:sz="4" w:space="0" w:color="000000"/>
              <w:bottom w:val="single" w:sz="4" w:space="0" w:color="000000"/>
              <w:right w:val="single" w:sz="4" w:space="0" w:color="000000"/>
            </w:tcBorders>
            <w:hideMark/>
          </w:tcPr>
          <w:p w14:paraId="45601C9C" w14:textId="77777777" w:rsidR="00790105" w:rsidRPr="008A21EF" w:rsidRDefault="00790105" w:rsidP="002C136C">
            <w:pPr>
              <w:pStyle w:val="NormalWeb"/>
              <w:spacing w:before="0" w:beforeAutospacing="0" w:after="0" w:afterAutospacing="0"/>
              <w:ind w:left="167" w:right="159"/>
              <w:jc w:val="center"/>
              <w:rPr>
                <w:rFonts w:ascii="Bookman Old Style" w:hAnsi="Bookman Old Style"/>
                <w:sz w:val="20"/>
                <w:szCs w:val="20"/>
              </w:rPr>
            </w:pPr>
            <w:r w:rsidRPr="008A21EF">
              <w:rPr>
                <w:rFonts w:ascii="Bookman Old Style" w:hAnsi="Bookman Old Style"/>
                <w:sz w:val="20"/>
                <w:szCs w:val="20"/>
              </w:rPr>
              <w:t>1</w:t>
            </w:r>
          </w:p>
        </w:tc>
        <w:tc>
          <w:tcPr>
            <w:tcW w:w="1540" w:type="dxa"/>
            <w:tcBorders>
              <w:top w:val="single" w:sz="4" w:space="0" w:color="000000"/>
              <w:left w:val="single" w:sz="4" w:space="0" w:color="000000"/>
              <w:right w:val="single" w:sz="4" w:space="0" w:color="000000"/>
            </w:tcBorders>
            <w:hideMark/>
          </w:tcPr>
          <w:p w14:paraId="13367413" w14:textId="49497F70" w:rsidR="00790105" w:rsidRPr="008A21EF" w:rsidRDefault="00790105" w:rsidP="002C136C">
            <w:pPr>
              <w:pStyle w:val="NormalWeb"/>
              <w:spacing w:before="0" w:beforeAutospacing="0" w:after="0" w:afterAutospacing="0"/>
              <w:jc w:val="center"/>
              <w:rPr>
                <w:rFonts w:ascii="Bookman Old Style" w:hAnsi="Bookman Old Style"/>
                <w:sz w:val="20"/>
                <w:szCs w:val="20"/>
              </w:rPr>
            </w:pPr>
            <w:r w:rsidRPr="008A21EF">
              <w:rPr>
                <w:rFonts w:ascii="Bookman Old Style" w:hAnsi="Bookman Old Style"/>
                <w:sz w:val="20"/>
                <w:szCs w:val="20"/>
              </w:rPr>
              <w:t>Jumlah</w:t>
            </w:r>
            <w:r w:rsidR="00A954D0">
              <w:rPr>
                <w:rFonts w:ascii="Bookman Old Style" w:hAnsi="Bookman Old Style"/>
                <w:sz w:val="20"/>
                <w:szCs w:val="20"/>
              </w:rPr>
              <w:t xml:space="preserve"> </w:t>
            </w:r>
            <w:r w:rsidRPr="008A21EF">
              <w:rPr>
                <w:rFonts w:ascii="Bookman Old Style" w:hAnsi="Bookman Old Style"/>
                <w:sz w:val="20"/>
                <w:szCs w:val="20"/>
              </w:rPr>
              <w:t>Program</w:t>
            </w:r>
          </w:p>
        </w:tc>
        <w:tc>
          <w:tcPr>
            <w:tcW w:w="2242" w:type="dxa"/>
            <w:tcBorders>
              <w:top w:val="single" w:sz="4" w:space="0" w:color="000000"/>
              <w:left w:val="single" w:sz="4" w:space="0" w:color="000000"/>
              <w:bottom w:val="single" w:sz="4" w:space="0" w:color="000000"/>
              <w:right w:val="single" w:sz="4" w:space="0" w:color="000000"/>
            </w:tcBorders>
            <w:vAlign w:val="center"/>
          </w:tcPr>
          <w:p w14:paraId="2B0FC9DB" w14:textId="77777777" w:rsidR="00790105" w:rsidRPr="003F63DC" w:rsidRDefault="00790105" w:rsidP="002C136C">
            <w:pPr>
              <w:pStyle w:val="NormalWeb"/>
              <w:spacing w:before="0" w:beforeAutospacing="0" w:after="0" w:afterAutospacing="0"/>
              <w:ind w:left="921" w:right="918"/>
              <w:jc w:val="center"/>
              <w:rPr>
                <w:rFonts w:ascii="Bookman Old Style" w:hAnsi="Bookman Old Style"/>
                <w:sz w:val="20"/>
                <w:szCs w:val="20"/>
                <w:lang w:val="id-ID"/>
              </w:rPr>
            </w:pPr>
            <w:r>
              <w:rPr>
                <w:rFonts w:ascii="Bookman Old Style" w:hAnsi="Bookman Old Style"/>
                <w:sz w:val="20"/>
                <w:szCs w:val="20"/>
              </w:rPr>
              <w:t>1</w:t>
            </w:r>
            <w:r>
              <w:rPr>
                <w:rFonts w:ascii="Bookman Old Style" w:hAnsi="Bookman Old Style"/>
                <w:sz w:val="20"/>
                <w:szCs w:val="20"/>
                <w:lang w:val="id-ID"/>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17BF9EF1" w14:textId="77777777" w:rsidR="00790105" w:rsidRPr="008A21EF" w:rsidRDefault="00790105" w:rsidP="002C136C">
            <w:pPr>
              <w:pStyle w:val="NormalWeb"/>
              <w:spacing w:before="0" w:beforeAutospacing="0" w:after="0" w:afterAutospacing="0"/>
              <w:ind w:left="921" w:right="919"/>
              <w:jc w:val="center"/>
              <w:rPr>
                <w:rFonts w:ascii="Bookman Old Style" w:hAnsi="Bookman Old Style"/>
                <w:sz w:val="20"/>
                <w:szCs w:val="20"/>
              </w:rPr>
            </w:pPr>
            <w:r>
              <w:rPr>
                <w:rFonts w:ascii="Bookman Old Style" w:hAnsi="Bookman Old Style"/>
                <w:sz w:val="20"/>
                <w:szCs w:val="20"/>
              </w:rPr>
              <w:t>1</w:t>
            </w:r>
            <w:r>
              <w:rPr>
                <w:rFonts w:ascii="Bookman Old Style" w:hAnsi="Bookman Old Style"/>
                <w:sz w:val="20"/>
                <w:szCs w:val="20"/>
                <w:lang w:val="id-ID"/>
              </w:rPr>
              <w:t>15</w:t>
            </w:r>
          </w:p>
        </w:tc>
        <w:tc>
          <w:tcPr>
            <w:tcW w:w="0" w:type="auto"/>
            <w:tcBorders>
              <w:top w:val="single" w:sz="4" w:space="0" w:color="000000"/>
              <w:left w:val="single" w:sz="4" w:space="0" w:color="000000"/>
              <w:bottom w:val="single" w:sz="4" w:space="0" w:color="000000"/>
              <w:right w:val="single" w:sz="4" w:space="0" w:color="000000"/>
            </w:tcBorders>
            <w:vAlign w:val="center"/>
          </w:tcPr>
          <w:p w14:paraId="2D4148DC" w14:textId="6ACD0DAD" w:rsidR="00790105" w:rsidRPr="008A21EF" w:rsidRDefault="00A954D0" w:rsidP="002C136C">
            <w:pPr>
              <w:pStyle w:val="NormalWeb"/>
              <w:spacing w:before="0" w:beforeAutospacing="0" w:after="0" w:afterAutospacing="0"/>
              <w:ind w:left="906" w:right="411"/>
              <w:rPr>
                <w:rFonts w:ascii="Bookman Old Style" w:hAnsi="Bookman Old Style"/>
                <w:sz w:val="20"/>
                <w:szCs w:val="20"/>
              </w:rPr>
            </w:pPr>
            <w:r>
              <w:rPr>
                <w:rFonts w:ascii="Bookman Old Style" w:hAnsi="Bookman Old Style"/>
                <w:sz w:val="20"/>
                <w:szCs w:val="20"/>
              </w:rPr>
              <w:t xml:space="preserve"> </w:t>
            </w:r>
            <w:r w:rsidR="00790105">
              <w:rPr>
                <w:rFonts w:ascii="Bookman Old Style" w:hAnsi="Bookman Old Style"/>
                <w:sz w:val="20"/>
                <w:szCs w:val="20"/>
              </w:rPr>
              <w:t>1</w:t>
            </w:r>
            <w:r w:rsidR="00790105">
              <w:rPr>
                <w:rFonts w:ascii="Bookman Old Style" w:hAnsi="Bookman Old Style"/>
                <w:sz w:val="20"/>
                <w:szCs w:val="20"/>
                <w:lang w:val="id-ID"/>
              </w:rPr>
              <w:t>15</w:t>
            </w:r>
          </w:p>
        </w:tc>
      </w:tr>
      <w:tr w:rsidR="00790105" w:rsidRPr="008A21EF" w14:paraId="099E0793" w14:textId="77777777" w:rsidTr="0023341C">
        <w:trPr>
          <w:trHeight w:val="205"/>
          <w:jc w:val="center"/>
        </w:trPr>
        <w:tc>
          <w:tcPr>
            <w:tcW w:w="0" w:type="auto"/>
            <w:tcBorders>
              <w:top w:val="single" w:sz="4" w:space="0" w:color="000000"/>
              <w:left w:val="single" w:sz="4" w:space="0" w:color="000000"/>
              <w:bottom w:val="single" w:sz="4" w:space="0" w:color="000000"/>
              <w:right w:val="single" w:sz="4" w:space="0" w:color="000000"/>
            </w:tcBorders>
            <w:hideMark/>
          </w:tcPr>
          <w:p w14:paraId="3A585E59" w14:textId="77777777" w:rsidR="00790105" w:rsidRPr="008A21EF" w:rsidRDefault="00790105" w:rsidP="002C136C">
            <w:pPr>
              <w:pStyle w:val="NormalWeb"/>
              <w:spacing w:before="0" w:beforeAutospacing="0" w:after="0" w:afterAutospacing="0"/>
              <w:ind w:left="167" w:right="159"/>
              <w:jc w:val="center"/>
              <w:rPr>
                <w:rFonts w:ascii="Bookman Old Style" w:hAnsi="Bookman Old Style"/>
                <w:sz w:val="20"/>
                <w:szCs w:val="20"/>
              </w:rPr>
            </w:pPr>
            <w:r w:rsidRPr="008A21EF">
              <w:rPr>
                <w:rFonts w:ascii="Bookman Old Style" w:hAnsi="Bookman Old Style"/>
                <w:sz w:val="20"/>
                <w:szCs w:val="20"/>
              </w:rPr>
              <w:t>2</w:t>
            </w:r>
          </w:p>
        </w:tc>
        <w:tc>
          <w:tcPr>
            <w:tcW w:w="1540" w:type="dxa"/>
            <w:tcBorders>
              <w:top w:val="single" w:sz="4" w:space="0" w:color="000000"/>
              <w:left w:val="single" w:sz="4" w:space="0" w:color="000000"/>
              <w:right w:val="single" w:sz="4" w:space="0" w:color="000000"/>
            </w:tcBorders>
            <w:hideMark/>
          </w:tcPr>
          <w:p w14:paraId="6B2856FE" w14:textId="2E106875" w:rsidR="00790105" w:rsidRPr="008A21EF" w:rsidRDefault="00790105" w:rsidP="002C136C">
            <w:pPr>
              <w:pStyle w:val="NormalWeb"/>
              <w:spacing w:before="0" w:beforeAutospacing="0" w:after="0" w:afterAutospacing="0"/>
              <w:jc w:val="center"/>
              <w:rPr>
                <w:rFonts w:ascii="Bookman Old Style" w:hAnsi="Bookman Old Style"/>
                <w:sz w:val="20"/>
                <w:szCs w:val="20"/>
              </w:rPr>
            </w:pPr>
            <w:r w:rsidRPr="008A21EF">
              <w:rPr>
                <w:rFonts w:ascii="Bookman Old Style" w:hAnsi="Bookman Old Style"/>
                <w:sz w:val="20"/>
                <w:szCs w:val="20"/>
              </w:rPr>
              <w:t>Jumlah</w:t>
            </w:r>
            <w:r w:rsidR="00A954D0">
              <w:rPr>
                <w:rFonts w:ascii="Bookman Old Style" w:hAnsi="Bookman Old Style"/>
                <w:sz w:val="20"/>
                <w:szCs w:val="20"/>
              </w:rPr>
              <w:t xml:space="preserve"> </w:t>
            </w:r>
            <w:r w:rsidRPr="008A21EF">
              <w:rPr>
                <w:rFonts w:ascii="Bookman Old Style" w:hAnsi="Bookman Old Style"/>
                <w:sz w:val="20"/>
                <w:szCs w:val="20"/>
              </w:rPr>
              <w:t>Kegiatan</w:t>
            </w:r>
          </w:p>
        </w:tc>
        <w:tc>
          <w:tcPr>
            <w:tcW w:w="2242" w:type="dxa"/>
            <w:tcBorders>
              <w:top w:val="single" w:sz="4" w:space="0" w:color="000000"/>
              <w:left w:val="single" w:sz="4" w:space="0" w:color="000000"/>
              <w:bottom w:val="single" w:sz="4" w:space="0" w:color="000000"/>
              <w:right w:val="single" w:sz="4" w:space="0" w:color="000000"/>
            </w:tcBorders>
            <w:vAlign w:val="center"/>
          </w:tcPr>
          <w:p w14:paraId="059E463D" w14:textId="77777777" w:rsidR="00790105" w:rsidRPr="008A21EF" w:rsidRDefault="00790105" w:rsidP="002C136C">
            <w:pPr>
              <w:pStyle w:val="NormalWeb"/>
              <w:spacing w:before="0" w:beforeAutospacing="0" w:after="0" w:afterAutospacing="0"/>
              <w:ind w:left="921" w:right="918"/>
              <w:jc w:val="center"/>
              <w:rPr>
                <w:rFonts w:ascii="Bookman Old Style" w:hAnsi="Bookman Old Style"/>
                <w:sz w:val="20"/>
                <w:szCs w:val="20"/>
              </w:rPr>
            </w:pPr>
            <w:r w:rsidRPr="003F63DC">
              <w:rPr>
                <w:rFonts w:ascii="Bookman Old Style" w:hAnsi="Bookman Old Style"/>
                <w:sz w:val="20"/>
                <w:szCs w:val="20"/>
              </w:rPr>
              <w:t>228</w:t>
            </w:r>
          </w:p>
        </w:tc>
        <w:tc>
          <w:tcPr>
            <w:tcW w:w="0" w:type="auto"/>
            <w:tcBorders>
              <w:top w:val="single" w:sz="4" w:space="0" w:color="000000"/>
              <w:left w:val="single" w:sz="4" w:space="0" w:color="000000"/>
              <w:bottom w:val="single" w:sz="4" w:space="0" w:color="000000"/>
              <w:right w:val="single" w:sz="4" w:space="0" w:color="000000"/>
            </w:tcBorders>
            <w:vAlign w:val="center"/>
          </w:tcPr>
          <w:p w14:paraId="23F93E4C" w14:textId="77777777" w:rsidR="00790105" w:rsidRPr="008A21EF" w:rsidRDefault="00790105" w:rsidP="002C136C">
            <w:pPr>
              <w:pStyle w:val="NormalWeb"/>
              <w:spacing w:before="0" w:beforeAutospacing="0" w:after="0" w:afterAutospacing="0"/>
              <w:ind w:left="921" w:right="919"/>
              <w:jc w:val="center"/>
              <w:rPr>
                <w:rFonts w:ascii="Bookman Old Style" w:hAnsi="Bookman Old Style"/>
                <w:sz w:val="20"/>
                <w:szCs w:val="20"/>
              </w:rPr>
            </w:pPr>
            <w:r w:rsidRPr="003F63DC">
              <w:rPr>
                <w:rFonts w:ascii="Bookman Old Style" w:hAnsi="Bookman Old Style"/>
                <w:sz w:val="20"/>
                <w:szCs w:val="20"/>
              </w:rPr>
              <w:t>228</w:t>
            </w:r>
          </w:p>
        </w:tc>
        <w:tc>
          <w:tcPr>
            <w:tcW w:w="0" w:type="auto"/>
            <w:tcBorders>
              <w:top w:val="single" w:sz="4" w:space="0" w:color="000000"/>
              <w:left w:val="single" w:sz="4" w:space="0" w:color="000000"/>
              <w:bottom w:val="single" w:sz="4" w:space="0" w:color="000000"/>
              <w:right w:val="single" w:sz="4" w:space="0" w:color="000000"/>
            </w:tcBorders>
            <w:vAlign w:val="center"/>
          </w:tcPr>
          <w:p w14:paraId="2BD79C90" w14:textId="77777777" w:rsidR="00790105" w:rsidRPr="003F63DC" w:rsidRDefault="00790105" w:rsidP="002C136C">
            <w:pPr>
              <w:pStyle w:val="NormalWeb"/>
              <w:spacing w:before="0" w:beforeAutospacing="0" w:after="0" w:afterAutospacing="0"/>
              <w:ind w:left="481" w:right="411"/>
              <w:jc w:val="center"/>
              <w:rPr>
                <w:rFonts w:ascii="Bookman Old Style" w:hAnsi="Bookman Old Style"/>
                <w:sz w:val="20"/>
                <w:szCs w:val="20"/>
                <w:lang w:val="id-ID"/>
              </w:rPr>
            </w:pPr>
            <w:r w:rsidRPr="003F63DC">
              <w:rPr>
                <w:rFonts w:ascii="Bookman Old Style" w:hAnsi="Bookman Old Style"/>
                <w:sz w:val="20"/>
                <w:szCs w:val="20"/>
              </w:rPr>
              <w:t>22</w:t>
            </w:r>
            <w:r>
              <w:rPr>
                <w:rFonts w:ascii="Bookman Old Style" w:hAnsi="Bookman Old Style"/>
                <w:sz w:val="20"/>
                <w:szCs w:val="20"/>
                <w:lang w:val="id-ID"/>
              </w:rPr>
              <w:t>9</w:t>
            </w:r>
          </w:p>
        </w:tc>
      </w:tr>
      <w:tr w:rsidR="00790105" w:rsidRPr="008A21EF" w14:paraId="7FAC1FBF" w14:textId="77777777" w:rsidTr="0023341C">
        <w:trPr>
          <w:trHeight w:val="288"/>
          <w:jc w:val="center"/>
        </w:trPr>
        <w:tc>
          <w:tcPr>
            <w:tcW w:w="0" w:type="auto"/>
            <w:tcBorders>
              <w:top w:val="single" w:sz="4" w:space="0" w:color="000000"/>
              <w:left w:val="single" w:sz="4" w:space="0" w:color="000000"/>
              <w:bottom w:val="single" w:sz="4" w:space="0" w:color="000000"/>
              <w:right w:val="single" w:sz="4" w:space="0" w:color="000000"/>
            </w:tcBorders>
            <w:hideMark/>
          </w:tcPr>
          <w:p w14:paraId="0E953BEA" w14:textId="77777777" w:rsidR="00790105" w:rsidRPr="008A21EF" w:rsidRDefault="00790105" w:rsidP="002C136C">
            <w:pPr>
              <w:pStyle w:val="NormalWeb"/>
              <w:spacing w:before="0" w:beforeAutospacing="0" w:after="0" w:afterAutospacing="0"/>
              <w:ind w:left="167" w:right="159"/>
              <w:jc w:val="center"/>
              <w:rPr>
                <w:rFonts w:ascii="Bookman Old Style" w:hAnsi="Bookman Old Style"/>
                <w:sz w:val="20"/>
                <w:szCs w:val="20"/>
              </w:rPr>
            </w:pPr>
            <w:r w:rsidRPr="008A21EF">
              <w:rPr>
                <w:rFonts w:ascii="Bookman Old Style" w:hAnsi="Bookman Old Style"/>
                <w:sz w:val="20"/>
                <w:szCs w:val="20"/>
              </w:rPr>
              <w:t>3</w:t>
            </w:r>
          </w:p>
        </w:tc>
        <w:tc>
          <w:tcPr>
            <w:tcW w:w="1540" w:type="dxa"/>
            <w:tcBorders>
              <w:top w:val="single" w:sz="4" w:space="0" w:color="000000"/>
              <w:left w:val="single" w:sz="4" w:space="0" w:color="000000"/>
              <w:bottom w:val="single" w:sz="4" w:space="0" w:color="000000"/>
              <w:right w:val="single" w:sz="4" w:space="0" w:color="000000"/>
            </w:tcBorders>
            <w:hideMark/>
          </w:tcPr>
          <w:p w14:paraId="0E284B9D" w14:textId="3E9FA450" w:rsidR="00790105" w:rsidRPr="008A21EF" w:rsidRDefault="00790105" w:rsidP="002C136C">
            <w:pPr>
              <w:pStyle w:val="NormalWeb"/>
              <w:spacing w:before="0" w:beforeAutospacing="0" w:after="0" w:afterAutospacing="0"/>
              <w:jc w:val="center"/>
              <w:rPr>
                <w:rFonts w:ascii="Bookman Old Style" w:hAnsi="Bookman Old Style"/>
                <w:sz w:val="20"/>
                <w:szCs w:val="20"/>
              </w:rPr>
            </w:pPr>
            <w:r w:rsidRPr="008A21EF">
              <w:rPr>
                <w:rFonts w:ascii="Bookman Old Style" w:hAnsi="Bookman Old Style"/>
                <w:sz w:val="20"/>
                <w:szCs w:val="20"/>
              </w:rPr>
              <w:t>Jumlah</w:t>
            </w:r>
            <w:r w:rsidR="00A954D0">
              <w:rPr>
                <w:rFonts w:ascii="Bookman Old Style" w:hAnsi="Bookman Old Style"/>
                <w:sz w:val="20"/>
                <w:szCs w:val="20"/>
              </w:rPr>
              <w:t xml:space="preserve"> </w:t>
            </w:r>
            <w:r w:rsidRPr="008A21EF">
              <w:rPr>
                <w:rFonts w:ascii="Bookman Old Style" w:hAnsi="Bookman Old Style"/>
                <w:sz w:val="20"/>
                <w:szCs w:val="20"/>
              </w:rPr>
              <w:t>Sub</w:t>
            </w:r>
            <w:r w:rsidR="00A954D0">
              <w:rPr>
                <w:rFonts w:ascii="Bookman Old Style" w:hAnsi="Bookman Old Style"/>
                <w:sz w:val="20"/>
                <w:szCs w:val="20"/>
              </w:rPr>
              <w:t xml:space="preserve"> </w:t>
            </w:r>
            <w:r w:rsidRPr="008A21EF">
              <w:rPr>
                <w:rFonts w:ascii="Bookman Old Style" w:hAnsi="Bookman Old Style"/>
                <w:sz w:val="20"/>
                <w:szCs w:val="20"/>
              </w:rPr>
              <w:t>Kegiatan</w:t>
            </w:r>
          </w:p>
        </w:tc>
        <w:tc>
          <w:tcPr>
            <w:tcW w:w="2242" w:type="dxa"/>
            <w:tcBorders>
              <w:top w:val="single" w:sz="4" w:space="0" w:color="000000"/>
              <w:left w:val="single" w:sz="4" w:space="0" w:color="000000"/>
              <w:bottom w:val="single" w:sz="4" w:space="0" w:color="000000"/>
              <w:right w:val="single" w:sz="4" w:space="0" w:color="000000"/>
            </w:tcBorders>
            <w:vAlign w:val="center"/>
          </w:tcPr>
          <w:p w14:paraId="3AE98414" w14:textId="77777777" w:rsidR="00790105" w:rsidRPr="003F63DC" w:rsidRDefault="00790105" w:rsidP="002C136C">
            <w:pPr>
              <w:pStyle w:val="NormalWeb"/>
              <w:spacing w:before="0" w:beforeAutospacing="0" w:after="0" w:afterAutospacing="0"/>
              <w:ind w:left="840" w:right="832"/>
              <w:jc w:val="center"/>
              <w:rPr>
                <w:rFonts w:ascii="Bookman Old Style" w:hAnsi="Bookman Old Style"/>
                <w:sz w:val="20"/>
                <w:szCs w:val="20"/>
                <w:lang w:val="id-ID"/>
              </w:rPr>
            </w:pPr>
            <w:r>
              <w:rPr>
                <w:rFonts w:ascii="Bookman Old Style" w:hAnsi="Bookman Old Style"/>
                <w:sz w:val="20"/>
                <w:szCs w:val="20"/>
                <w:lang w:val="id-ID"/>
              </w:rPr>
              <w:t>656</w:t>
            </w:r>
          </w:p>
        </w:tc>
        <w:tc>
          <w:tcPr>
            <w:tcW w:w="0" w:type="auto"/>
            <w:tcBorders>
              <w:top w:val="single" w:sz="4" w:space="0" w:color="000000"/>
              <w:left w:val="single" w:sz="4" w:space="0" w:color="000000"/>
              <w:bottom w:val="single" w:sz="4" w:space="0" w:color="000000"/>
              <w:right w:val="single" w:sz="4" w:space="0" w:color="000000"/>
            </w:tcBorders>
            <w:vAlign w:val="center"/>
          </w:tcPr>
          <w:p w14:paraId="2B7CB607" w14:textId="77777777" w:rsidR="00790105" w:rsidRPr="008A21EF" w:rsidRDefault="00790105" w:rsidP="002C136C">
            <w:pPr>
              <w:pStyle w:val="NormalWeb"/>
              <w:spacing w:before="0" w:beforeAutospacing="0" w:after="0" w:afterAutospacing="0"/>
              <w:ind w:left="839" w:right="832"/>
              <w:jc w:val="center"/>
              <w:rPr>
                <w:rFonts w:ascii="Bookman Old Style" w:hAnsi="Bookman Old Style"/>
                <w:sz w:val="20"/>
                <w:szCs w:val="20"/>
              </w:rPr>
            </w:pPr>
            <w:r>
              <w:rPr>
                <w:rFonts w:ascii="Bookman Old Style" w:hAnsi="Bookman Old Style"/>
                <w:sz w:val="20"/>
                <w:szCs w:val="20"/>
                <w:lang w:val="id-ID"/>
              </w:rPr>
              <w:t>656</w:t>
            </w:r>
          </w:p>
        </w:tc>
        <w:tc>
          <w:tcPr>
            <w:tcW w:w="0" w:type="auto"/>
            <w:tcBorders>
              <w:top w:val="single" w:sz="4" w:space="0" w:color="000000"/>
              <w:left w:val="single" w:sz="4" w:space="0" w:color="000000"/>
              <w:bottom w:val="single" w:sz="4" w:space="0" w:color="000000"/>
              <w:right w:val="single" w:sz="4" w:space="0" w:color="000000"/>
            </w:tcBorders>
            <w:vAlign w:val="center"/>
          </w:tcPr>
          <w:p w14:paraId="6A5FFE4F" w14:textId="77777777" w:rsidR="00790105" w:rsidRPr="00D26D54" w:rsidRDefault="00790105" w:rsidP="002C136C">
            <w:pPr>
              <w:pStyle w:val="NormalWeb"/>
              <w:spacing w:before="0" w:beforeAutospacing="0" w:after="0" w:afterAutospacing="0"/>
              <w:ind w:left="481" w:right="411"/>
              <w:jc w:val="center"/>
              <w:rPr>
                <w:rFonts w:ascii="Bookman Old Style" w:hAnsi="Bookman Old Style"/>
                <w:sz w:val="20"/>
                <w:szCs w:val="20"/>
                <w:lang w:val="id-ID"/>
              </w:rPr>
            </w:pPr>
            <w:r>
              <w:rPr>
                <w:rFonts w:ascii="Bookman Old Style" w:hAnsi="Bookman Old Style"/>
                <w:sz w:val="20"/>
                <w:szCs w:val="20"/>
                <w:lang w:val="id-ID"/>
              </w:rPr>
              <w:t>664</w:t>
            </w:r>
          </w:p>
        </w:tc>
      </w:tr>
      <w:tr w:rsidR="00790105" w:rsidRPr="008A21EF" w14:paraId="5837F08B" w14:textId="77777777" w:rsidTr="0023341C">
        <w:trPr>
          <w:trHeight w:val="342"/>
          <w:jc w:val="center"/>
        </w:trPr>
        <w:tc>
          <w:tcPr>
            <w:tcW w:w="0" w:type="auto"/>
            <w:tcBorders>
              <w:top w:val="single" w:sz="4" w:space="0" w:color="000000"/>
              <w:left w:val="single" w:sz="4" w:space="0" w:color="000000"/>
              <w:bottom w:val="single" w:sz="4" w:space="0" w:color="000000"/>
              <w:right w:val="single" w:sz="4" w:space="0" w:color="000000"/>
            </w:tcBorders>
            <w:hideMark/>
          </w:tcPr>
          <w:p w14:paraId="094AD6AE" w14:textId="77777777" w:rsidR="00790105" w:rsidRPr="008A21EF" w:rsidRDefault="00790105" w:rsidP="002C136C">
            <w:pPr>
              <w:pStyle w:val="NormalWeb"/>
              <w:spacing w:before="0" w:beforeAutospacing="0" w:after="0" w:afterAutospacing="0"/>
              <w:ind w:left="167" w:right="159"/>
              <w:jc w:val="center"/>
              <w:rPr>
                <w:rFonts w:ascii="Bookman Old Style" w:hAnsi="Bookman Old Style"/>
                <w:sz w:val="20"/>
                <w:szCs w:val="20"/>
              </w:rPr>
            </w:pPr>
            <w:r w:rsidRPr="008A21EF">
              <w:rPr>
                <w:rFonts w:ascii="Bookman Old Style" w:hAnsi="Bookman Old Style"/>
                <w:sz w:val="20"/>
                <w:szCs w:val="20"/>
              </w:rPr>
              <w:t>4</w:t>
            </w:r>
          </w:p>
        </w:tc>
        <w:tc>
          <w:tcPr>
            <w:tcW w:w="1540" w:type="dxa"/>
            <w:tcBorders>
              <w:top w:val="single" w:sz="4" w:space="0" w:color="000000"/>
              <w:left w:val="single" w:sz="4" w:space="0" w:color="000000"/>
              <w:bottom w:val="single" w:sz="4" w:space="0" w:color="auto"/>
              <w:right w:val="single" w:sz="4" w:space="0" w:color="000000"/>
            </w:tcBorders>
            <w:hideMark/>
          </w:tcPr>
          <w:p w14:paraId="171A8118" w14:textId="5D073E00" w:rsidR="00790105" w:rsidRPr="008A21EF" w:rsidRDefault="00790105" w:rsidP="002C136C">
            <w:pPr>
              <w:pStyle w:val="NormalWeb"/>
              <w:spacing w:before="0" w:beforeAutospacing="0" w:after="0" w:afterAutospacing="0"/>
              <w:jc w:val="center"/>
              <w:rPr>
                <w:rFonts w:ascii="Bookman Old Style" w:hAnsi="Bookman Old Style"/>
                <w:sz w:val="20"/>
                <w:szCs w:val="20"/>
              </w:rPr>
            </w:pPr>
            <w:r w:rsidRPr="008A21EF">
              <w:rPr>
                <w:rFonts w:ascii="Bookman Old Style" w:hAnsi="Bookman Old Style"/>
                <w:sz w:val="20"/>
                <w:szCs w:val="20"/>
              </w:rPr>
              <w:t>Alokasi</w:t>
            </w:r>
            <w:r w:rsidR="00A954D0">
              <w:rPr>
                <w:rFonts w:ascii="Bookman Old Style" w:hAnsi="Bookman Old Style"/>
                <w:sz w:val="20"/>
                <w:szCs w:val="20"/>
              </w:rPr>
              <w:t xml:space="preserve"> </w:t>
            </w:r>
            <w:r w:rsidRPr="008A21EF">
              <w:rPr>
                <w:rFonts w:ascii="Bookman Old Style" w:hAnsi="Bookman Old Style"/>
                <w:sz w:val="20"/>
                <w:szCs w:val="20"/>
              </w:rPr>
              <w:t>Anggaran</w:t>
            </w:r>
            <w:r w:rsidR="00A954D0">
              <w:rPr>
                <w:rFonts w:ascii="Bookman Old Style" w:hAnsi="Bookman Old Style"/>
                <w:sz w:val="20"/>
                <w:szCs w:val="20"/>
              </w:rPr>
              <w:t xml:space="preserve"> </w:t>
            </w:r>
            <w:r w:rsidRPr="008A21EF">
              <w:rPr>
                <w:rFonts w:ascii="Bookman Old Style" w:hAnsi="Bookman Old Style"/>
                <w:sz w:val="20"/>
                <w:szCs w:val="20"/>
              </w:rPr>
              <w:t>(Rp)</w:t>
            </w:r>
          </w:p>
        </w:tc>
        <w:tc>
          <w:tcPr>
            <w:tcW w:w="2242" w:type="dxa"/>
            <w:tcBorders>
              <w:top w:val="single" w:sz="4" w:space="0" w:color="000000"/>
              <w:left w:val="single" w:sz="4" w:space="0" w:color="000000"/>
              <w:bottom w:val="single" w:sz="4" w:space="0" w:color="000000"/>
              <w:right w:val="single" w:sz="4" w:space="0" w:color="000000"/>
            </w:tcBorders>
            <w:vAlign w:val="center"/>
          </w:tcPr>
          <w:p w14:paraId="6ED72BD0" w14:textId="77777777" w:rsidR="00790105" w:rsidRPr="008A21EF" w:rsidRDefault="00790105" w:rsidP="002C136C">
            <w:pPr>
              <w:pStyle w:val="NormalWeb"/>
              <w:spacing w:before="0" w:beforeAutospacing="0" w:after="0" w:afterAutospacing="0"/>
              <w:jc w:val="right"/>
              <w:rPr>
                <w:rFonts w:ascii="Bookman Old Style" w:hAnsi="Bookman Old Style"/>
                <w:sz w:val="20"/>
                <w:szCs w:val="20"/>
              </w:rPr>
            </w:pPr>
            <w:r w:rsidRPr="003F63DC">
              <w:rPr>
                <w:rFonts w:ascii="Bookman Old Style" w:hAnsi="Bookman Old Style"/>
                <w:sz w:val="20"/>
                <w:szCs w:val="20"/>
              </w:rPr>
              <w:t>5.321.859.644.143,00</w:t>
            </w:r>
          </w:p>
        </w:tc>
        <w:tc>
          <w:tcPr>
            <w:tcW w:w="0" w:type="auto"/>
            <w:tcBorders>
              <w:top w:val="single" w:sz="4" w:space="0" w:color="000000"/>
              <w:left w:val="single" w:sz="4" w:space="0" w:color="000000"/>
              <w:bottom w:val="single" w:sz="4" w:space="0" w:color="000000"/>
              <w:right w:val="single" w:sz="4" w:space="0" w:color="000000"/>
            </w:tcBorders>
            <w:vAlign w:val="center"/>
          </w:tcPr>
          <w:p w14:paraId="4FB8D04F" w14:textId="77777777" w:rsidR="00790105" w:rsidRPr="008A21EF" w:rsidRDefault="00790105" w:rsidP="002C136C">
            <w:pPr>
              <w:pStyle w:val="NormalWeb"/>
              <w:spacing w:before="0" w:beforeAutospacing="0" w:after="0" w:afterAutospacing="0"/>
              <w:jc w:val="right"/>
              <w:rPr>
                <w:rFonts w:ascii="Bookman Old Style" w:hAnsi="Bookman Old Style"/>
                <w:sz w:val="20"/>
                <w:szCs w:val="20"/>
              </w:rPr>
            </w:pPr>
            <w:r w:rsidRPr="003F63DC">
              <w:rPr>
                <w:rFonts w:ascii="Bookman Old Style" w:hAnsi="Bookman Old Style"/>
                <w:sz w:val="20"/>
                <w:szCs w:val="20"/>
              </w:rPr>
              <w:t>5.321.859.644.143,00</w:t>
            </w:r>
          </w:p>
        </w:tc>
        <w:tc>
          <w:tcPr>
            <w:tcW w:w="0" w:type="auto"/>
            <w:tcBorders>
              <w:top w:val="single" w:sz="4" w:space="0" w:color="000000"/>
              <w:left w:val="single" w:sz="4" w:space="0" w:color="000000"/>
              <w:bottom w:val="single" w:sz="4" w:space="0" w:color="000000"/>
              <w:right w:val="single" w:sz="4" w:space="0" w:color="000000"/>
            </w:tcBorders>
            <w:vAlign w:val="center"/>
          </w:tcPr>
          <w:p w14:paraId="001C4962" w14:textId="77777777" w:rsidR="00790105" w:rsidRPr="008A21EF" w:rsidRDefault="00790105" w:rsidP="002C136C">
            <w:pPr>
              <w:pStyle w:val="NormalWeb"/>
              <w:spacing w:before="0" w:beforeAutospacing="0" w:after="0" w:afterAutospacing="0"/>
              <w:ind w:left="105"/>
              <w:jc w:val="right"/>
              <w:rPr>
                <w:rFonts w:ascii="Bookman Old Style" w:hAnsi="Bookman Old Style"/>
                <w:sz w:val="20"/>
                <w:szCs w:val="20"/>
              </w:rPr>
            </w:pPr>
            <w:r w:rsidRPr="003F63DC">
              <w:rPr>
                <w:rFonts w:ascii="Bookman Old Style" w:hAnsi="Bookman Old Style"/>
                <w:sz w:val="20"/>
                <w:szCs w:val="20"/>
                <w:lang w:val="id-ID"/>
              </w:rPr>
              <w:t>5.706.600.538.955,00</w:t>
            </w:r>
          </w:p>
        </w:tc>
      </w:tr>
    </w:tbl>
    <w:p w14:paraId="5C2711B3" w14:textId="4089D364" w:rsidR="00F079FF" w:rsidRPr="008B2DAE" w:rsidRDefault="00F079FF">
      <w:pPr>
        <w:pStyle w:val="ListParagraph"/>
        <w:numPr>
          <w:ilvl w:val="0"/>
          <w:numId w:val="100"/>
        </w:numPr>
        <w:spacing w:before="120" w:after="0" w:line="276" w:lineRule="auto"/>
        <w:ind w:left="992" w:hanging="425"/>
        <w:contextualSpacing w:val="0"/>
        <w:jc w:val="both"/>
        <w:rPr>
          <w:rFonts w:ascii="Bookman Old Style" w:hAnsi="Bookman Old Style" w:cs="Arial"/>
          <w:sz w:val="24"/>
          <w:szCs w:val="24"/>
        </w:rPr>
      </w:pPr>
      <w:r w:rsidRPr="008B2DAE">
        <w:rPr>
          <w:rFonts w:ascii="Bookman Old Style" w:hAnsi="Bookman Old Style" w:cs="Arial"/>
          <w:sz w:val="24"/>
          <w:szCs w:val="24"/>
          <w:lang w:val="sv-FI"/>
        </w:rPr>
        <w:lastRenderedPageBreak/>
        <w:t>K</w:t>
      </w:r>
      <w:r w:rsidRPr="008B2DAE">
        <w:rPr>
          <w:rFonts w:ascii="Bookman Old Style" w:hAnsi="Bookman Old Style"/>
          <w:sz w:val="24"/>
          <w:szCs w:val="24"/>
        </w:rPr>
        <w:t>esesuaian</w:t>
      </w:r>
      <w:r w:rsidR="00A954D0">
        <w:rPr>
          <w:rFonts w:ascii="Bookman Old Style" w:hAnsi="Bookman Old Style"/>
          <w:sz w:val="24"/>
          <w:szCs w:val="24"/>
        </w:rPr>
        <w:t xml:space="preserve"> </w:t>
      </w:r>
      <w:r w:rsidRPr="008B2DAE">
        <w:rPr>
          <w:rFonts w:ascii="Bookman Old Style" w:hAnsi="Bookman Old Style"/>
          <w:sz w:val="24"/>
          <w:szCs w:val="24"/>
        </w:rPr>
        <w:t>Rancangan</w:t>
      </w:r>
      <w:r w:rsidR="00A954D0">
        <w:rPr>
          <w:rFonts w:ascii="Bookman Old Style" w:hAnsi="Bookman Old Style"/>
          <w:sz w:val="24"/>
          <w:szCs w:val="24"/>
        </w:rPr>
        <w:t xml:space="preserve"> </w:t>
      </w:r>
      <w:r w:rsidRPr="008B2DAE">
        <w:rPr>
          <w:rFonts w:ascii="Bookman Old Style" w:hAnsi="Bookman Old Style"/>
          <w:sz w:val="24"/>
          <w:szCs w:val="24"/>
        </w:rPr>
        <w:t>Peraturan</w:t>
      </w:r>
      <w:r w:rsidR="00A954D0">
        <w:rPr>
          <w:rFonts w:ascii="Bookman Old Style" w:hAnsi="Bookman Old Style"/>
          <w:sz w:val="24"/>
          <w:szCs w:val="24"/>
        </w:rPr>
        <w:t xml:space="preserve"> </w:t>
      </w:r>
      <w:r w:rsidRPr="008B2DAE">
        <w:rPr>
          <w:rFonts w:ascii="Bookman Old Style" w:hAnsi="Bookman Old Style"/>
          <w:sz w:val="24"/>
          <w:szCs w:val="24"/>
        </w:rPr>
        <w:t>Daerah</w:t>
      </w:r>
      <w:r w:rsidR="00A954D0">
        <w:rPr>
          <w:rFonts w:ascii="Bookman Old Style" w:hAnsi="Bookman Old Style"/>
          <w:sz w:val="24"/>
          <w:szCs w:val="24"/>
          <w:lang w:val="id-ID"/>
        </w:rPr>
        <w:t xml:space="preserve"> </w:t>
      </w:r>
      <w:r w:rsidRPr="008B2DAE">
        <w:rPr>
          <w:rFonts w:ascii="Bookman Old Style" w:hAnsi="Bookman Old Style" w:cs="Arial"/>
          <w:sz w:val="24"/>
          <w:szCs w:val="24"/>
          <w:lang w:val="sv-FI"/>
        </w:rPr>
        <w:t>Kota</w:t>
      </w:r>
      <w:r w:rsidR="00A954D0">
        <w:rPr>
          <w:rFonts w:ascii="Bookman Old Style" w:hAnsi="Bookman Old Style" w:cs="Arial"/>
          <w:sz w:val="24"/>
          <w:szCs w:val="24"/>
          <w:lang w:val="sv-FI"/>
        </w:rPr>
        <w:t xml:space="preserve"> </w:t>
      </w:r>
      <w:r w:rsidR="00770F22" w:rsidRPr="008B2DAE">
        <w:rPr>
          <w:rFonts w:ascii="Bookman Old Style" w:hAnsi="Bookman Old Style"/>
          <w:sz w:val="24"/>
          <w:szCs w:val="24"/>
          <w:lang w:val="fi-FI"/>
        </w:rPr>
        <w:t>Tangerang</w:t>
      </w:r>
      <w:r w:rsidR="00A954D0">
        <w:rPr>
          <w:rFonts w:ascii="Bookman Old Style" w:hAnsi="Bookman Old Style"/>
          <w:sz w:val="24"/>
          <w:szCs w:val="24"/>
          <w:lang w:val="fi-FI"/>
        </w:rPr>
        <w:t xml:space="preserve"> </w:t>
      </w:r>
      <w:r w:rsidRPr="008B2DAE">
        <w:rPr>
          <w:rFonts w:ascii="Bookman Old Style" w:hAnsi="Bookman Old Style"/>
          <w:sz w:val="24"/>
          <w:szCs w:val="24"/>
        </w:rPr>
        <w:t>tentang</w:t>
      </w:r>
      <w:r w:rsidR="00A954D0">
        <w:rPr>
          <w:rFonts w:ascii="Bookman Old Style" w:hAnsi="Bookman Old Style"/>
          <w:sz w:val="24"/>
          <w:szCs w:val="24"/>
        </w:rPr>
        <w:t xml:space="preserve"> </w:t>
      </w:r>
      <w:bookmarkEnd w:id="17"/>
      <w:r w:rsidRPr="008B2DAE">
        <w:rPr>
          <w:rFonts w:ascii="Bookman Old Style" w:hAnsi="Bookman Old Style" w:cs="Arial"/>
          <w:sz w:val="24"/>
          <w:szCs w:val="24"/>
          <w:lang w:val="id-ID"/>
        </w:rPr>
        <w:t>APBD</w:t>
      </w:r>
      <w:r w:rsidR="00A954D0" w:rsidRPr="003255BC">
        <w:rPr>
          <w:rFonts w:ascii="Bookman Old Style" w:hAnsi="Bookman Old Style"/>
          <w:sz w:val="24"/>
          <w:szCs w:val="24"/>
          <w:lang w:val="sv-FI"/>
        </w:rPr>
        <w:t xml:space="preserve"> </w:t>
      </w:r>
      <w:r w:rsidRPr="008B2DAE">
        <w:rPr>
          <w:rFonts w:ascii="Bookman Old Style" w:hAnsi="Bookman Old Style"/>
          <w:sz w:val="24"/>
          <w:szCs w:val="24"/>
        </w:rPr>
        <w:t>Tahun</w:t>
      </w:r>
      <w:r w:rsidR="00A954D0">
        <w:rPr>
          <w:rFonts w:ascii="Bookman Old Style" w:hAnsi="Bookman Old Style"/>
          <w:sz w:val="24"/>
          <w:szCs w:val="24"/>
        </w:rPr>
        <w:t xml:space="preserve"> </w:t>
      </w:r>
      <w:r w:rsidRPr="008B2DAE">
        <w:rPr>
          <w:rFonts w:ascii="Bookman Old Style" w:hAnsi="Bookman Old Style"/>
          <w:sz w:val="24"/>
          <w:szCs w:val="24"/>
        </w:rPr>
        <w:t>Anggaran</w:t>
      </w:r>
      <w:r w:rsidR="00A954D0">
        <w:rPr>
          <w:rFonts w:ascii="Bookman Old Style" w:hAnsi="Bookman Old Style"/>
          <w:sz w:val="24"/>
          <w:szCs w:val="24"/>
        </w:rPr>
        <w:t xml:space="preserve"> </w:t>
      </w:r>
      <w:r w:rsidRPr="008B2DAE">
        <w:rPr>
          <w:rFonts w:ascii="Bookman Old Style" w:hAnsi="Bookman Old Style"/>
          <w:sz w:val="24"/>
          <w:szCs w:val="24"/>
        </w:rPr>
        <w:t>2025</w:t>
      </w:r>
      <w:r w:rsidR="00A954D0" w:rsidRPr="003255BC">
        <w:rPr>
          <w:rFonts w:ascii="Bookman Old Style" w:hAnsi="Bookman Old Style"/>
          <w:sz w:val="24"/>
          <w:szCs w:val="24"/>
          <w:lang w:val="sv-FI"/>
        </w:rPr>
        <w:t xml:space="preserve"> </w:t>
      </w:r>
      <w:r w:rsidRPr="008B2DAE">
        <w:rPr>
          <w:rFonts w:ascii="Bookman Old Style" w:hAnsi="Bookman Old Style"/>
          <w:sz w:val="24"/>
          <w:szCs w:val="24"/>
        </w:rPr>
        <w:t>dan</w:t>
      </w:r>
      <w:r w:rsidR="00A954D0">
        <w:rPr>
          <w:rFonts w:ascii="Bookman Old Style" w:hAnsi="Bookman Old Style"/>
          <w:sz w:val="24"/>
          <w:szCs w:val="24"/>
        </w:rPr>
        <w:t xml:space="preserve"> </w:t>
      </w:r>
      <w:r w:rsidRPr="003255BC">
        <w:rPr>
          <w:rFonts w:ascii="Bookman Old Style" w:hAnsi="Bookman Old Style"/>
          <w:sz w:val="24"/>
          <w:szCs w:val="24"/>
          <w:lang w:val="sv-FI"/>
        </w:rPr>
        <w:t>R</w:t>
      </w:r>
      <w:r w:rsidRPr="008B2DAE">
        <w:rPr>
          <w:rFonts w:ascii="Bookman Old Style" w:hAnsi="Bookman Old Style"/>
          <w:sz w:val="24"/>
          <w:szCs w:val="24"/>
        </w:rPr>
        <w:t>ancangan</w:t>
      </w:r>
      <w:r w:rsidR="00A954D0">
        <w:rPr>
          <w:rFonts w:ascii="Bookman Old Style" w:hAnsi="Bookman Old Style"/>
          <w:sz w:val="24"/>
          <w:szCs w:val="24"/>
        </w:rPr>
        <w:t xml:space="preserve"> </w:t>
      </w:r>
      <w:r w:rsidRPr="008B2DAE">
        <w:rPr>
          <w:rFonts w:ascii="Bookman Old Style" w:hAnsi="Bookman Old Style"/>
          <w:sz w:val="24"/>
          <w:szCs w:val="24"/>
        </w:rPr>
        <w:t>Peraturan</w:t>
      </w:r>
      <w:r w:rsidR="00A954D0">
        <w:rPr>
          <w:rFonts w:ascii="Bookman Old Style" w:hAnsi="Bookman Old Style"/>
          <w:sz w:val="24"/>
          <w:szCs w:val="24"/>
        </w:rPr>
        <w:t xml:space="preserve"> </w:t>
      </w:r>
      <w:r w:rsidRPr="008B2DAE">
        <w:rPr>
          <w:rFonts w:ascii="Bookman Old Style" w:hAnsi="Bookman Old Style" w:cs="Arial"/>
          <w:sz w:val="24"/>
          <w:szCs w:val="24"/>
          <w:lang w:val="sv-FI"/>
        </w:rPr>
        <w:t>Wali</w:t>
      </w:r>
      <w:r w:rsidR="00A954D0">
        <w:rPr>
          <w:rFonts w:ascii="Bookman Old Style" w:hAnsi="Bookman Old Style" w:cs="Arial"/>
          <w:sz w:val="24"/>
          <w:szCs w:val="24"/>
          <w:lang w:val="sv-FI"/>
        </w:rPr>
        <w:t xml:space="preserve"> </w:t>
      </w:r>
      <w:r w:rsidRPr="008B2DAE">
        <w:rPr>
          <w:rFonts w:ascii="Bookman Old Style" w:hAnsi="Bookman Old Style" w:cs="Arial"/>
          <w:sz w:val="24"/>
          <w:szCs w:val="24"/>
          <w:lang w:val="sv-FI"/>
        </w:rPr>
        <w:t>Kota</w:t>
      </w:r>
      <w:r w:rsidR="00A954D0">
        <w:rPr>
          <w:rFonts w:ascii="Bookman Old Style" w:hAnsi="Bookman Old Style" w:cs="Arial"/>
          <w:sz w:val="24"/>
          <w:szCs w:val="24"/>
          <w:lang w:val="sv-FI"/>
        </w:rPr>
        <w:t xml:space="preserve"> </w:t>
      </w:r>
      <w:r w:rsidR="00770F22" w:rsidRPr="008B2DAE">
        <w:rPr>
          <w:rFonts w:ascii="Bookman Old Style" w:hAnsi="Bookman Old Style"/>
          <w:sz w:val="24"/>
          <w:szCs w:val="24"/>
          <w:lang w:val="fi-FI"/>
        </w:rPr>
        <w:t>Tangerang</w:t>
      </w:r>
      <w:r w:rsidR="00A954D0">
        <w:rPr>
          <w:rFonts w:ascii="Bookman Old Style" w:hAnsi="Bookman Old Style"/>
          <w:sz w:val="24"/>
          <w:szCs w:val="24"/>
        </w:rPr>
        <w:t xml:space="preserve"> </w:t>
      </w:r>
      <w:r w:rsidRPr="008B2DAE">
        <w:rPr>
          <w:rFonts w:ascii="Bookman Old Style" w:hAnsi="Bookman Old Style"/>
          <w:sz w:val="24"/>
          <w:szCs w:val="24"/>
        </w:rPr>
        <w:t>tentang</w:t>
      </w:r>
      <w:r w:rsidR="00A954D0">
        <w:rPr>
          <w:rFonts w:ascii="Bookman Old Style" w:hAnsi="Bookman Old Style"/>
          <w:sz w:val="24"/>
          <w:szCs w:val="24"/>
        </w:rPr>
        <w:t xml:space="preserve"> </w:t>
      </w:r>
      <w:r w:rsidRPr="008B2DAE">
        <w:rPr>
          <w:rFonts w:ascii="Bookman Old Style" w:hAnsi="Bookman Old Style"/>
          <w:sz w:val="24"/>
          <w:szCs w:val="24"/>
        </w:rPr>
        <w:t>Penjabaran</w:t>
      </w:r>
      <w:r w:rsidR="00A954D0">
        <w:rPr>
          <w:rFonts w:ascii="Bookman Old Style" w:hAnsi="Bookman Old Style"/>
          <w:sz w:val="24"/>
          <w:szCs w:val="24"/>
        </w:rPr>
        <w:t xml:space="preserve"> </w:t>
      </w:r>
      <w:r w:rsidRPr="008B2DAE">
        <w:rPr>
          <w:rFonts w:ascii="Bookman Old Style" w:hAnsi="Bookman Old Style"/>
          <w:sz w:val="24"/>
          <w:szCs w:val="24"/>
        </w:rPr>
        <w:t>APBD</w:t>
      </w:r>
      <w:r w:rsidR="00A954D0">
        <w:rPr>
          <w:rFonts w:ascii="Bookman Old Style" w:hAnsi="Bookman Old Style"/>
          <w:sz w:val="24"/>
          <w:szCs w:val="24"/>
        </w:rPr>
        <w:t xml:space="preserve"> </w:t>
      </w:r>
      <w:r w:rsidRPr="008B2DAE">
        <w:rPr>
          <w:rFonts w:ascii="Bookman Old Style" w:hAnsi="Bookman Old Style"/>
          <w:sz w:val="24"/>
          <w:szCs w:val="24"/>
        </w:rPr>
        <w:t>Tahun</w:t>
      </w:r>
      <w:r w:rsidR="00A954D0">
        <w:rPr>
          <w:rFonts w:ascii="Bookman Old Style" w:hAnsi="Bookman Old Style"/>
          <w:sz w:val="24"/>
          <w:szCs w:val="24"/>
        </w:rPr>
        <w:t xml:space="preserve"> </w:t>
      </w:r>
      <w:r w:rsidRPr="008B2DAE">
        <w:rPr>
          <w:rFonts w:ascii="Bookman Old Style" w:hAnsi="Bookman Old Style"/>
          <w:sz w:val="24"/>
          <w:szCs w:val="24"/>
        </w:rPr>
        <w:t>Anggaran</w:t>
      </w:r>
      <w:r w:rsidR="00A954D0">
        <w:rPr>
          <w:rFonts w:ascii="Bookman Old Style" w:hAnsi="Bookman Old Style"/>
          <w:sz w:val="24"/>
          <w:szCs w:val="24"/>
        </w:rPr>
        <w:t xml:space="preserve"> </w:t>
      </w:r>
      <w:r w:rsidRPr="008B2DAE">
        <w:rPr>
          <w:rFonts w:ascii="Bookman Old Style" w:hAnsi="Bookman Old Style"/>
          <w:sz w:val="24"/>
          <w:szCs w:val="24"/>
        </w:rPr>
        <w:t>202</w:t>
      </w:r>
      <w:r w:rsidRPr="003255BC">
        <w:rPr>
          <w:rFonts w:ascii="Bookman Old Style" w:hAnsi="Bookman Old Style"/>
          <w:sz w:val="24"/>
          <w:szCs w:val="24"/>
          <w:lang w:val="sv-FI"/>
        </w:rPr>
        <w:t>5</w:t>
      </w:r>
      <w:r w:rsidR="00A954D0">
        <w:rPr>
          <w:rFonts w:ascii="Bookman Old Style" w:hAnsi="Bookman Old Style"/>
          <w:sz w:val="24"/>
          <w:szCs w:val="24"/>
        </w:rPr>
        <w:t xml:space="preserve"> </w:t>
      </w:r>
      <w:r w:rsidRPr="008B2DAE">
        <w:rPr>
          <w:rFonts w:ascii="Bookman Old Style" w:hAnsi="Bookman Old Style"/>
          <w:sz w:val="24"/>
          <w:szCs w:val="24"/>
        </w:rPr>
        <w:t>dengan</w:t>
      </w:r>
      <w:r w:rsidR="00A954D0">
        <w:rPr>
          <w:rFonts w:ascii="Bookman Old Style" w:hAnsi="Bookman Old Style"/>
          <w:sz w:val="24"/>
          <w:szCs w:val="24"/>
        </w:rPr>
        <w:t xml:space="preserve"> </w:t>
      </w:r>
      <w:r w:rsidRPr="008B2DAE">
        <w:rPr>
          <w:rFonts w:ascii="Bookman Old Style" w:hAnsi="Bookman Old Style"/>
          <w:sz w:val="24"/>
          <w:szCs w:val="24"/>
        </w:rPr>
        <w:t>RKPD</w:t>
      </w:r>
      <w:r w:rsidR="00A954D0">
        <w:rPr>
          <w:rFonts w:ascii="Bookman Old Style" w:hAnsi="Bookman Old Style"/>
          <w:sz w:val="24"/>
          <w:szCs w:val="24"/>
        </w:rPr>
        <w:t xml:space="preserve"> </w:t>
      </w:r>
      <w:r w:rsidRPr="008B2DAE">
        <w:rPr>
          <w:rFonts w:ascii="Bookman Old Style" w:hAnsi="Bookman Old Style"/>
          <w:sz w:val="24"/>
          <w:szCs w:val="24"/>
        </w:rPr>
        <w:t>serta</w:t>
      </w:r>
      <w:r w:rsidR="00A954D0">
        <w:rPr>
          <w:rFonts w:ascii="Bookman Old Style" w:hAnsi="Bookman Old Style"/>
          <w:sz w:val="24"/>
          <w:szCs w:val="24"/>
        </w:rPr>
        <w:t xml:space="preserve"> </w:t>
      </w:r>
      <w:r w:rsidRPr="008B2DAE">
        <w:rPr>
          <w:rFonts w:ascii="Bookman Old Style" w:hAnsi="Bookman Old Style"/>
          <w:sz w:val="24"/>
          <w:szCs w:val="24"/>
        </w:rPr>
        <w:t>KUA</w:t>
      </w:r>
      <w:r w:rsidR="00A954D0">
        <w:rPr>
          <w:rFonts w:ascii="Bookman Old Style" w:hAnsi="Bookman Old Style"/>
          <w:sz w:val="24"/>
          <w:szCs w:val="24"/>
        </w:rPr>
        <w:t xml:space="preserve"> </w:t>
      </w:r>
      <w:r w:rsidRPr="008B2DAE">
        <w:rPr>
          <w:rFonts w:ascii="Bookman Old Style" w:hAnsi="Bookman Old Style"/>
          <w:sz w:val="24"/>
          <w:szCs w:val="24"/>
        </w:rPr>
        <w:t>dan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PPAS</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diuraikan</w:t>
      </w:r>
      <w:r w:rsidR="00A954D0" w:rsidRPr="003255BC">
        <w:rPr>
          <w:rFonts w:ascii="Bookman Old Style" w:hAnsi="Bookman Old Style"/>
          <w:sz w:val="24"/>
          <w:szCs w:val="24"/>
          <w:lang w:val="sv-FI"/>
        </w:rPr>
        <w:t xml:space="preserve"> </w:t>
      </w:r>
      <w:r w:rsidR="009950A5" w:rsidRPr="003255BC">
        <w:rPr>
          <w:rFonts w:ascii="Bookman Old Style" w:hAnsi="Bookman Old Style"/>
          <w:sz w:val="24"/>
          <w:szCs w:val="24"/>
          <w:lang w:val="sv-FI"/>
        </w:rPr>
        <w:t>sebagai</w:t>
      </w:r>
      <w:r w:rsidR="00A954D0" w:rsidRPr="003255BC">
        <w:rPr>
          <w:rFonts w:ascii="Bookman Old Style" w:hAnsi="Bookman Old Style"/>
          <w:sz w:val="24"/>
          <w:szCs w:val="24"/>
          <w:lang w:val="sv-FI"/>
        </w:rPr>
        <w:t xml:space="preserve"> </w:t>
      </w:r>
      <w:r w:rsidR="009950A5" w:rsidRPr="003255BC">
        <w:rPr>
          <w:rFonts w:ascii="Bookman Old Style" w:hAnsi="Bookman Old Style"/>
          <w:sz w:val="24"/>
          <w:szCs w:val="24"/>
          <w:lang w:val="sv-FI"/>
        </w:rPr>
        <w:t>berikut</w:t>
      </w:r>
      <w:r w:rsidRPr="003255BC">
        <w:rPr>
          <w:rFonts w:ascii="Bookman Old Style" w:hAnsi="Bookman Old Style"/>
          <w:sz w:val="24"/>
          <w:szCs w:val="24"/>
          <w:lang w:val="sv-FI"/>
        </w:rPr>
        <w:t>:</w:t>
      </w:r>
    </w:p>
    <w:p w14:paraId="6B91F00F" w14:textId="267F40F3" w:rsidR="002C136C" w:rsidRPr="008B2DAE" w:rsidRDefault="002C136C">
      <w:pPr>
        <w:pStyle w:val="ListParagraph"/>
        <w:numPr>
          <w:ilvl w:val="0"/>
          <w:numId w:val="91"/>
        </w:numPr>
        <w:snapToGrid w:val="0"/>
        <w:spacing w:before="60" w:after="0" w:line="276" w:lineRule="auto"/>
        <w:ind w:left="1276" w:hanging="283"/>
        <w:contextualSpacing w:val="0"/>
        <w:jc w:val="both"/>
        <w:rPr>
          <w:rFonts w:ascii="Bookman Old Style" w:hAnsi="Bookman Old Style" w:cs="Arial"/>
          <w:sz w:val="24"/>
          <w:szCs w:val="24"/>
        </w:rPr>
      </w:pPr>
      <w:r w:rsidRPr="008B2DAE">
        <w:rPr>
          <w:rFonts w:ascii="Bookman Old Style" w:hAnsi="Bookman Old Style" w:cs="Arial"/>
          <w:sz w:val="24"/>
          <w:szCs w:val="24"/>
          <w:lang w:val="id-ID"/>
        </w:rPr>
        <w:t>Kegiatan/sub</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kegiatan</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yang</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tidak</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tercantum</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dalam</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RKPD</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serta</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KUA</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PPAS</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tetapi</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tercantum</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dalam</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Rancangan</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Peraturan</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Daerah</w:t>
      </w:r>
      <w:r w:rsidR="00A954D0">
        <w:rPr>
          <w:rFonts w:ascii="Bookman Old Style" w:hAnsi="Bookman Old Style"/>
          <w:sz w:val="24"/>
          <w:szCs w:val="24"/>
          <w:lang w:val="id-ID"/>
        </w:rPr>
        <w:t xml:space="preserve"> </w:t>
      </w:r>
      <w:r w:rsidRPr="008B2DAE">
        <w:rPr>
          <w:rFonts w:ascii="Bookman Old Style" w:hAnsi="Bookman Old Style" w:cs="Arial"/>
          <w:sz w:val="24"/>
          <w:szCs w:val="24"/>
          <w:lang w:val="sv-FI"/>
        </w:rPr>
        <w:t>Kota</w:t>
      </w:r>
      <w:r w:rsidR="00A954D0">
        <w:rPr>
          <w:rFonts w:ascii="Bookman Old Style" w:hAnsi="Bookman Old Style" w:cs="Arial"/>
          <w:sz w:val="24"/>
          <w:szCs w:val="24"/>
          <w:lang w:val="sv-FI"/>
        </w:rPr>
        <w:t xml:space="preserve"> </w:t>
      </w:r>
      <w:r w:rsidRPr="008B2DAE">
        <w:rPr>
          <w:rFonts w:ascii="Bookman Old Style" w:hAnsi="Bookman Old Style"/>
          <w:sz w:val="24"/>
          <w:szCs w:val="24"/>
          <w:lang w:val="fi-FI"/>
        </w:rPr>
        <w:t>Tangerang</w:t>
      </w:r>
      <w:r w:rsidR="00A954D0">
        <w:rPr>
          <w:rFonts w:ascii="Bookman Old Style" w:hAnsi="Bookman Old Style"/>
          <w:sz w:val="24"/>
          <w:szCs w:val="24"/>
        </w:rPr>
        <w:t xml:space="preserve"> </w:t>
      </w:r>
      <w:r w:rsidRPr="008B2DAE">
        <w:rPr>
          <w:rFonts w:ascii="Bookman Old Style" w:hAnsi="Bookman Old Style" w:cs="Arial"/>
          <w:sz w:val="24"/>
          <w:szCs w:val="24"/>
          <w:lang w:val="id-ID"/>
        </w:rPr>
        <w:t>tentang</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APBD</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Anggaran</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2025,</w:t>
      </w:r>
      <w:r w:rsidR="00A954D0">
        <w:rPr>
          <w:rFonts w:ascii="Bookman Old Style" w:hAnsi="Bookman Old Style" w:cs="Arial"/>
          <w:sz w:val="24"/>
          <w:szCs w:val="24"/>
          <w:lang w:val="id-ID"/>
        </w:rPr>
        <w:t xml:space="preserve"> </w:t>
      </w:r>
      <w:r w:rsidR="00E20D9B">
        <w:rPr>
          <w:rFonts w:ascii="Bookman Old Style" w:hAnsi="Bookman Old Style" w:cs="Arial"/>
          <w:sz w:val="24"/>
          <w:szCs w:val="24"/>
          <w:lang w:val="id-ID"/>
        </w:rPr>
        <w:t>yang</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antara</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lain</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tercantum</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pada:</w:t>
      </w:r>
      <w:r w:rsidR="00A954D0">
        <w:rPr>
          <w:rFonts w:ascii="Bookman Old Style" w:hAnsi="Bookman Old Style" w:cs="Arial"/>
          <w:sz w:val="24"/>
          <w:szCs w:val="24"/>
          <w:lang w:val="id-ID"/>
        </w:rPr>
        <w:t xml:space="preserve"> </w:t>
      </w:r>
    </w:p>
    <w:p w14:paraId="794DFA36" w14:textId="778700C3" w:rsidR="00190831" w:rsidRPr="008B2DAE" w:rsidRDefault="002C136C" w:rsidP="00D021B4">
      <w:pPr>
        <w:pStyle w:val="ListParagraph"/>
        <w:numPr>
          <w:ilvl w:val="0"/>
          <w:numId w:val="115"/>
        </w:numPr>
        <w:snapToGrid w:val="0"/>
        <w:spacing w:before="60" w:line="276" w:lineRule="auto"/>
        <w:ind w:left="1701" w:hanging="425"/>
        <w:jc w:val="both"/>
        <w:rPr>
          <w:rFonts w:ascii="Bookman Old Style" w:hAnsi="Bookman Old Style" w:cs="Arial"/>
          <w:sz w:val="24"/>
          <w:szCs w:val="24"/>
          <w:lang w:val="id-ID"/>
        </w:rPr>
      </w:pPr>
      <w:r w:rsidRPr="008B2DAE">
        <w:rPr>
          <w:rFonts w:ascii="Bookman Old Style" w:hAnsi="Bookman Old Style" w:cs="Arial"/>
          <w:sz w:val="24"/>
          <w:szCs w:val="24"/>
          <w:lang w:val="id-ID"/>
        </w:rPr>
        <w:t>Dinas</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Kesehatan</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yang</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tercantum</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pada</w:t>
      </w:r>
      <w:r w:rsidR="00190831" w:rsidRPr="008B2DAE">
        <w:rPr>
          <w:rFonts w:ascii="Bookman Old Style" w:hAnsi="Bookman Old Style" w:cs="Arial"/>
          <w:sz w:val="24"/>
          <w:szCs w:val="24"/>
          <w:lang w:val="id-ID"/>
        </w:rPr>
        <w:t>:</w:t>
      </w:r>
    </w:p>
    <w:p w14:paraId="0877C060" w14:textId="29A806A3" w:rsidR="00190831" w:rsidRPr="008B2DAE" w:rsidRDefault="00190831" w:rsidP="00D021B4">
      <w:pPr>
        <w:pStyle w:val="ListParagraph"/>
        <w:numPr>
          <w:ilvl w:val="0"/>
          <w:numId w:val="236"/>
        </w:numPr>
        <w:snapToGrid w:val="0"/>
        <w:spacing w:before="60" w:line="276" w:lineRule="auto"/>
        <w:ind w:left="2268" w:hanging="567"/>
        <w:jc w:val="both"/>
        <w:rPr>
          <w:rFonts w:ascii="Bookman Old Style" w:hAnsi="Bookman Old Style" w:cs="Arial"/>
          <w:sz w:val="24"/>
          <w:szCs w:val="24"/>
          <w:lang w:val="id-ID"/>
        </w:rPr>
      </w:pPr>
      <w:r w:rsidRPr="008B2DAE">
        <w:rPr>
          <w:rFonts w:ascii="Bookman Old Style" w:hAnsi="Bookman Old Style" w:cs="Arial"/>
          <w:sz w:val="24"/>
          <w:szCs w:val="24"/>
          <w:lang w:val="id-ID"/>
        </w:rPr>
        <w:t>K</w:t>
      </w:r>
      <w:r w:rsidR="002C136C" w:rsidRPr="008B2DAE">
        <w:rPr>
          <w:rFonts w:ascii="Bookman Old Style" w:hAnsi="Bookman Old Style" w:cs="Arial"/>
          <w:sz w:val="24"/>
          <w:szCs w:val="24"/>
          <w:lang w:val="id-ID"/>
        </w:rPr>
        <w:t>egiatan</w:t>
      </w:r>
      <w:r w:rsidR="00A954D0">
        <w:rPr>
          <w:rFonts w:ascii="Bookman Old Style" w:hAnsi="Bookman Old Style" w:cs="Arial"/>
          <w:sz w:val="24"/>
          <w:szCs w:val="24"/>
          <w:lang w:val="id-ID"/>
        </w:rPr>
        <w:t xml:space="preserve"> </w:t>
      </w:r>
      <w:r w:rsidR="002C136C" w:rsidRPr="008B2DAE">
        <w:rPr>
          <w:rFonts w:ascii="Bookman Old Style" w:hAnsi="Bookman Old Style" w:cs="Arial"/>
          <w:sz w:val="24"/>
          <w:szCs w:val="24"/>
          <w:lang w:val="id-ID"/>
        </w:rPr>
        <w:t>Penyediaan</w:t>
      </w:r>
      <w:r w:rsidR="00A954D0">
        <w:rPr>
          <w:rFonts w:ascii="Bookman Old Style" w:hAnsi="Bookman Old Style" w:cs="Arial"/>
          <w:sz w:val="24"/>
          <w:szCs w:val="24"/>
          <w:lang w:val="id-ID"/>
        </w:rPr>
        <w:t xml:space="preserve"> </w:t>
      </w:r>
      <w:r w:rsidR="002C136C" w:rsidRPr="008B2DAE">
        <w:rPr>
          <w:rFonts w:ascii="Bookman Old Style" w:hAnsi="Bookman Old Style" w:cs="Arial"/>
          <w:sz w:val="24"/>
          <w:szCs w:val="24"/>
          <w:lang w:val="id-ID"/>
        </w:rPr>
        <w:t>Layanan</w:t>
      </w:r>
      <w:r w:rsidR="00A954D0">
        <w:rPr>
          <w:rFonts w:ascii="Bookman Old Style" w:hAnsi="Bookman Old Style" w:cs="Arial"/>
          <w:sz w:val="24"/>
          <w:szCs w:val="24"/>
          <w:lang w:val="id-ID"/>
        </w:rPr>
        <w:t xml:space="preserve"> </w:t>
      </w:r>
      <w:r w:rsidR="002C136C" w:rsidRPr="008B2DAE">
        <w:rPr>
          <w:rFonts w:ascii="Bookman Old Style" w:hAnsi="Bookman Old Style" w:cs="Arial"/>
          <w:sz w:val="24"/>
          <w:szCs w:val="24"/>
          <w:lang w:val="id-ID"/>
        </w:rPr>
        <w:t>Kesehatan</w:t>
      </w:r>
      <w:r w:rsidR="00A954D0">
        <w:rPr>
          <w:rFonts w:ascii="Bookman Old Style" w:hAnsi="Bookman Old Style" w:cs="Arial"/>
          <w:sz w:val="24"/>
          <w:szCs w:val="24"/>
          <w:lang w:val="id-ID"/>
        </w:rPr>
        <w:t xml:space="preserve"> </w:t>
      </w:r>
      <w:r w:rsidR="002C136C" w:rsidRPr="008B2DAE">
        <w:rPr>
          <w:rFonts w:ascii="Bookman Old Style" w:hAnsi="Bookman Old Style" w:cs="Arial"/>
          <w:sz w:val="24"/>
          <w:szCs w:val="24"/>
          <w:lang w:val="id-ID"/>
        </w:rPr>
        <w:t>untuk</w:t>
      </w:r>
      <w:r w:rsidR="00A954D0">
        <w:rPr>
          <w:rFonts w:ascii="Bookman Old Style" w:hAnsi="Bookman Old Style" w:cs="Arial"/>
          <w:sz w:val="24"/>
          <w:szCs w:val="24"/>
          <w:lang w:val="id-ID"/>
        </w:rPr>
        <w:t xml:space="preserve"> </w:t>
      </w:r>
      <w:r w:rsidR="002C136C" w:rsidRPr="008B2DAE">
        <w:rPr>
          <w:rFonts w:ascii="Bookman Old Style" w:hAnsi="Bookman Old Style" w:cs="Arial"/>
          <w:sz w:val="24"/>
          <w:szCs w:val="24"/>
          <w:lang w:val="id-ID"/>
        </w:rPr>
        <w:t>UKM</w:t>
      </w:r>
      <w:r w:rsidR="00A954D0">
        <w:rPr>
          <w:rFonts w:ascii="Bookman Old Style" w:hAnsi="Bookman Old Style" w:cs="Arial"/>
          <w:sz w:val="24"/>
          <w:szCs w:val="24"/>
          <w:lang w:val="id-ID"/>
        </w:rPr>
        <w:t xml:space="preserve"> </w:t>
      </w:r>
      <w:r w:rsidR="002C136C" w:rsidRPr="008B2DAE">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002C136C" w:rsidRPr="008B2DAE">
        <w:rPr>
          <w:rFonts w:ascii="Bookman Old Style" w:hAnsi="Bookman Old Style" w:cs="Arial"/>
          <w:sz w:val="24"/>
          <w:szCs w:val="24"/>
          <w:lang w:val="id-ID"/>
        </w:rPr>
        <w:t>UKP</w:t>
      </w:r>
      <w:r w:rsidR="00A954D0">
        <w:rPr>
          <w:rFonts w:ascii="Bookman Old Style" w:hAnsi="Bookman Old Style" w:cs="Arial"/>
          <w:sz w:val="24"/>
          <w:szCs w:val="24"/>
          <w:lang w:val="id-ID"/>
        </w:rPr>
        <w:t xml:space="preserve"> </w:t>
      </w:r>
      <w:r w:rsidR="002C136C" w:rsidRPr="008B2DAE">
        <w:rPr>
          <w:rFonts w:ascii="Bookman Old Style" w:hAnsi="Bookman Old Style" w:cs="Arial"/>
          <w:sz w:val="24"/>
          <w:szCs w:val="24"/>
          <w:lang w:val="id-ID"/>
        </w:rPr>
        <w:t>Rujukan</w:t>
      </w:r>
      <w:r w:rsidR="00A954D0">
        <w:rPr>
          <w:rFonts w:ascii="Bookman Old Style" w:hAnsi="Bookman Old Style" w:cs="Arial"/>
          <w:sz w:val="24"/>
          <w:szCs w:val="24"/>
          <w:lang w:val="id-ID"/>
        </w:rPr>
        <w:t xml:space="preserve"> </w:t>
      </w:r>
      <w:r w:rsidR="002C136C" w:rsidRPr="008B2DAE">
        <w:rPr>
          <w:rFonts w:ascii="Bookman Old Style" w:hAnsi="Bookman Old Style" w:cs="Arial"/>
          <w:sz w:val="24"/>
          <w:szCs w:val="24"/>
          <w:lang w:val="id-ID"/>
        </w:rPr>
        <w:t>Tingkat</w:t>
      </w:r>
      <w:r w:rsidR="00A954D0">
        <w:rPr>
          <w:rFonts w:ascii="Bookman Old Style" w:hAnsi="Bookman Old Style" w:cs="Arial"/>
          <w:sz w:val="24"/>
          <w:szCs w:val="24"/>
          <w:lang w:val="id-ID"/>
        </w:rPr>
        <w:t xml:space="preserve"> </w:t>
      </w:r>
      <w:r w:rsidR="002C136C" w:rsidRPr="008B2DAE">
        <w:rPr>
          <w:rFonts w:ascii="Bookman Old Style" w:hAnsi="Bookman Old Style" w:cs="Arial"/>
          <w:sz w:val="24"/>
          <w:szCs w:val="24"/>
          <w:lang w:val="id-ID"/>
        </w:rPr>
        <w:t>Daerah</w:t>
      </w:r>
      <w:r w:rsidR="00A954D0">
        <w:rPr>
          <w:rFonts w:ascii="Bookman Old Style" w:hAnsi="Bookman Old Style" w:cs="Arial"/>
          <w:sz w:val="24"/>
          <w:szCs w:val="24"/>
          <w:lang w:val="id-ID"/>
        </w:rPr>
        <w:t xml:space="preserve"> </w:t>
      </w:r>
      <w:r w:rsidR="00172E1C">
        <w:rPr>
          <w:rFonts w:ascii="Bookman Old Style" w:hAnsi="Bookman Old Style" w:cs="Arial"/>
          <w:sz w:val="24"/>
          <w:szCs w:val="24"/>
          <w:lang w:val="id-ID"/>
        </w:rPr>
        <w:t>Kabupaten/Kota</w:t>
      </w:r>
      <w:r w:rsidR="00A954D0">
        <w:rPr>
          <w:rFonts w:ascii="Bookman Old Style" w:hAnsi="Bookman Old Style" w:cs="Arial"/>
          <w:sz w:val="24"/>
          <w:szCs w:val="24"/>
          <w:lang w:val="id-ID"/>
        </w:rPr>
        <w:t xml:space="preserve"> </w:t>
      </w:r>
      <w:r w:rsidR="002C136C" w:rsidRPr="008B2DAE">
        <w:rPr>
          <w:rFonts w:ascii="Bookman Old Style" w:hAnsi="Bookman Old Style" w:cs="Arial"/>
          <w:sz w:val="24"/>
          <w:szCs w:val="24"/>
          <w:lang w:val="id-ID"/>
        </w:rPr>
        <w:t>pada</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s</w:t>
      </w:r>
      <w:r w:rsidR="002C136C" w:rsidRPr="008B2DAE">
        <w:rPr>
          <w:rFonts w:ascii="Bookman Old Style" w:hAnsi="Bookman Old Style" w:cs="Arial"/>
          <w:sz w:val="24"/>
          <w:szCs w:val="24"/>
          <w:lang w:val="id-ID"/>
        </w:rPr>
        <w:t>ub</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k</w:t>
      </w:r>
      <w:r w:rsidR="002C136C" w:rsidRPr="008B2DAE">
        <w:rPr>
          <w:rFonts w:ascii="Bookman Old Style" w:hAnsi="Bookman Old Style" w:cs="Arial"/>
          <w:sz w:val="24"/>
          <w:szCs w:val="24"/>
          <w:lang w:val="id-ID"/>
        </w:rPr>
        <w:t>egiatan</w:t>
      </w:r>
      <w:r w:rsidRPr="008B2DAE">
        <w:rPr>
          <w:rFonts w:ascii="Bookman Old Style" w:hAnsi="Bookman Old Style" w:cs="Arial"/>
          <w:sz w:val="24"/>
          <w:szCs w:val="24"/>
          <w:lang w:val="id-ID"/>
        </w:rPr>
        <w:t>:</w:t>
      </w:r>
    </w:p>
    <w:p w14:paraId="60DD668E" w14:textId="560315E7" w:rsidR="00190831" w:rsidRPr="008B2DAE" w:rsidRDefault="002C136C" w:rsidP="00D021B4">
      <w:pPr>
        <w:pStyle w:val="ListParagraph"/>
        <w:numPr>
          <w:ilvl w:val="0"/>
          <w:numId w:val="237"/>
        </w:numPr>
        <w:snapToGrid w:val="0"/>
        <w:spacing w:before="60" w:line="276" w:lineRule="auto"/>
        <w:ind w:left="2694" w:hanging="425"/>
        <w:jc w:val="both"/>
        <w:rPr>
          <w:rFonts w:ascii="Bookman Old Style" w:hAnsi="Bookman Old Style" w:cs="Arial"/>
          <w:sz w:val="24"/>
          <w:szCs w:val="24"/>
          <w:lang w:val="id-ID"/>
        </w:rPr>
      </w:pPr>
      <w:r w:rsidRPr="008B2DAE">
        <w:rPr>
          <w:rFonts w:ascii="Bookman Old Style" w:hAnsi="Bookman Old Style" w:cs="Arial"/>
          <w:sz w:val="24"/>
          <w:szCs w:val="24"/>
          <w:lang w:val="id-ID"/>
        </w:rPr>
        <w:t>Pengelolaan</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Pelayanan</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Promosi</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Kesehatan</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Rp278.377.000,00</w:t>
      </w:r>
      <w:r w:rsidR="00190831" w:rsidRPr="008B2DAE">
        <w:rPr>
          <w:rFonts w:ascii="Bookman Old Style" w:hAnsi="Bookman Old Style" w:cs="Arial"/>
          <w:sz w:val="24"/>
          <w:szCs w:val="24"/>
          <w:lang w:val="id-ID"/>
        </w:rPr>
        <w:t>;</w:t>
      </w:r>
    </w:p>
    <w:p w14:paraId="27B5B911" w14:textId="74EFE78A" w:rsidR="00190831" w:rsidRPr="008B2DAE" w:rsidRDefault="002C136C" w:rsidP="00D021B4">
      <w:pPr>
        <w:pStyle w:val="ListParagraph"/>
        <w:numPr>
          <w:ilvl w:val="0"/>
          <w:numId w:val="237"/>
        </w:numPr>
        <w:snapToGrid w:val="0"/>
        <w:spacing w:before="60" w:line="276" w:lineRule="auto"/>
        <w:ind w:left="2694" w:hanging="425"/>
        <w:jc w:val="both"/>
        <w:rPr>
          <w:rFonts w:ascii="Bookman Old Style" w:hAnsi="Bookman Old Style" w:cs="Arial"/>
          <w:sz w:val="24"/>
          <w:szCs w:val="24"/>
          <w:lang w:val="id-ID"/>
        </w:rPr>
      </w:pPr>
      <w:r w:rsidRPr="008B2DAE">
        <w:rPr>
          <w:rFonts w:ascii="Bookman Old Style" w:hAnsi="Bookman Old Style" w:cs="Arial"/>
          <w:sz w:val="24"/>
          <w:szCs w:val="24"/>
          <w:lang w:val="id-ID"/>
        </w:rPr>
        <w:t>Pengambilan</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Pengiriman</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Spesimen</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Penyakit</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Potensial</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KLB</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ke</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Laboratorium</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Rujukan/Nasional</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Rp142.112.000,00</w:t>
      </w:r>
      <w:r w:rsidR="00190831" w:rsidRPr="008B2DAE">
        <w:rPr>
          <w:rFonts w:ascii="Bookman Old Style" w:hAnsi="Bookman Old Style" w:cs="Arial"/>
          <w:sz w:val="24"/>
          <w:szCs w:val="24"/>
          <w:lang w:val="id-ID"/>
        </w:rPr>
        <w:t>;</w:t>
      </w:r>
    </w:p>
    <w:p w14:paraId="58B35713" w14:textId="194F3694" w:rsidR="002C136C" w:rsidRPr="008B2DAE" w:rsidRDefault="002C136C" w:rsidP="00D021B4">
      <w:pPr>
        <w:pStyle w:val="ListParagraph"/>
        <w:numPr>
          <w:ilvl w:val="0"/>
          <w:numId w:val="237"/>
        </w:numPr>
        <w:snapToGrid w:val="0"/>
        <w:spacing w:before="60" w:line="276" w:lineRule="auto"/>
        <w:ind w:left="2694" w:hanging="425"/>
        <w:jc w:val="both"/>
        <w:rPr>
          <w:rFonts w:ascii="Bookman Old Style" w:hAnsi="Bookman Old Style" w:cs="Arial"/>
          <w:sz w:val="24"/>
          <w:szCs w:val="24"/>
          <w:lang w:val="id-ID"/>
        </w:rPr>
      </w:pPr>
      <w:r w:rsidRPr="008B2DAE">
        <w:rPr>
          <w:rFonts w:ascii="Bookman Old Style" w:hAnsi="Bookman Old Style" w:cs="Arial"/>
          <w:sz w:val="24"/>
          <w:szCs w:val="24"/>
          <w:lang w:val="id-ID"/>
        </w:rPr>
        <w:t>Operasional</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Pelayanan</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Fasilitas</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Kesehatan</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Lainnya</w:t>
      </w:r>
      <w:r w:rsidR="00A954D0" w:rsidRPr="003255BC">
        <w:rPr>
          <w:rFonts w:ascii="Bookman Old Style" w:hAnsi="Bookman Old Style" w:cs="Arial"/>
          <w:sz w:val="24"/>
          <w:szCs w:val="24"/>
          <w:lang w:val="sv-FI"/>
        </w:rPr>
        <w:t xml:space="preserve"> </w:t>
      </w:r>
      <w:r w:rsidRPr="008B2DAE">
        <w:rPr>
          <w:rFonts w:ascii="Bookman Old Style" w:hAnsi="Bookman Old Style" w:cs="Arial"/>
          <w:sz w:val="24"/>
          <w:szCs w:val="24"/>
          <w:lang w:val="id-ID"/>
        </w:rPr>
        <w:t>Rp21.819.000,00</w:t>
      </w:r>
      <w:r w:rsidR="00D021B4" w:rsidRPr="00D021B4">
        <w:rPr>
          <w:rFonts w:ascii="Bookman Old Style" w:hAnsi="Bookman Old Style" w:cs="Arial"/>
          <w:sz w:val="24"/>
          <w:szCs w:val="24"/>
          <w:lang w:val="sv-FI"/>
        </w:rPr>
        <w:t>.</w:t>
      </w:r>
    </w:p>
    <w:p w14:paraId="732055D5" w14:textId="1EA733BF" w:rsidR="002C136C" w:rsidRPr="003255BC" w:rsidRDefault="002C136C" w:rsidP="00D021B4">
      <w:pPr>
        <w:pStyle w:val="ListParagraph"/>
        <w:numPr>
          <w:ilvl w:val="0"/>
          <w:numId w:val="236"/>
        </w:numPr>
        <w:snapToGrid w:val="0"/>
        <w:spacing w:before="60" w:line="276" w:lineRule="auto"/>
        <w:ind w:left="2268" w:hanging="567"/>
        <w:jc w:val="both"/>
        <w:rPr>
          <w:rFonts w:ascii="Bookman Old Style" w:hAnsi="Bookman Old Style" w:cs="Arial"/>
          <w:sz w:val="24"/>
          <w:szCs w:val="24"/>
          <w:lang w:val="id-ID"/>
        </w:rPr>
      </w:pPr>
      <w:r w:rsidRPr="008B2DAE">
        <w:rPr>
          <w:rFonts w:ascii="Bookman Old Style" w:hAnsi="Bookman Old Style" w:cs="Arial"/>
          <w:sz w:val="24"/>
          <w:szCs w:val="24"/>
          <w:lang w:val="id-ID"/>
        </w:rPr>
        <w:t>UPT</w:t>
      </w:r>
      <w:r w:rsidR="00A954D0">
        <w:rPr>
          <w:rFonts w:ascii="Bookman Old Style" w:hAnsi="Bookman Old Style" w:cs="Arial"/>
          <w:sz w:val="24"/>
          <w:szCs w:val="24"/>
          <w:lang w:val="id-ID"/>
        </w:rPr>
        <w:t xml:space="preserve"> </w:t>
      </w:r>
      <w:r w:rsidR="00303FBC" w:rsidRPr="008B2DAE">
        <w:rPr>
          <w:rFonts w:ascii="Bookman Old Style" w:hAnsi="Bookman Old Style" w:cs="Arial"/>
          <w:sz w:val="24"/>
          <w:szCs w:val="24"/>
          <w:lang w:val="id-ID"/>
        </w:rPr>
        <w:t>Rumah</w:t>
      </w:r>
      <w:r w:rsidR="00A954D0">
        <w:rPr>
          <w:rFonts w:ascii="Bookman Old Style" w:hAnsi="Bookman Old Style" w:cs="Arial"/>
          <w:sz w:val="24"/>
          <w:szCs w:val="24"/>
          <w:lang w:val="id-ID"/>
        </w:rPr>
        <w:t xml:space="preserve"> </w:t>
      </w:r>
      <w:r w:rsidR="00303FBC" w:rsidRPr="008B2DAE">
        <w:rPr>
          <w:rFonts w:ascii="Bookman Old Style" w:hAnsi="Bookman Old Style" w:cs="Arial"/>
          <w:sz w:val="24"/>
          <w:szCs w:val="24"/>
          <w:lang w:val="id-ID"/>
        </w:rPr>
        <w:t>Sakit</w:t>
      </w:r>
      <w:r w:rsidR="00A954D0">
        <w:rPr>
          <w:rFonts w:ascii="Bookman Old Style" w:hAnsi="Bookman Old Style" w:cs="Arial"/>
          <w:sz w:val="24"/>
          <w:szCs w:val="24"/>
          <w:lang w:val="id-ID"/>
        </w:rPr>
        <w:t xml:space="preserve"> </w:t>
      </w:r>
      <w:r w:rsidR="00303FBC" w:rsidRPr="008B2DAE">
        <w:rPr>
          <w:rFonts w:ascii="Bookman Old Style" w:hAnsi="Bookman Old Style" w:cs="Arial"/>
          <w:sz w:val="24"/>
          <w:szCs w:val="24"/>
          <w:lang w:val="id-ID"/>
        </w:rPr>
        <w:t>Umum</w:t>
      </w:r>
      <w:r w:rsidR="00A954D0">
        <w:rPr>
          <w:rFonts w:ascii="Bookman Old Style" w:hAnsi="Bookman Old Style" w:cs="Arial"/>
          <w:sz w:val="24"/>
          <w:szCs w:val="24"/>
          <w:lang w:val="id-ID"/>
        </w:rPr>
        <w:t xml:space="preserve"> </w:t>
      </w:r>
      <w:r w:rsidR="00303FBC" w:rsidRPr="008B2DAE">
        <w:rPr>
          <w:rFonts w:ascii="Bookman Old Style" w:hAnsi="Bookman Old Style" w:cs="Arial"/>
          <w:sz w:val="24"/>
          <w:szCs w:val="24"/>
          <w:lang w:val="id-ID"/>
        </w:rPr>
        <w:t>Daerah</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yang</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tercantum</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pada</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Kegiatan</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Pengadaan</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Barang</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Milik</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Daerah</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Penunjang</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Urusan</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Pemerintah</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Daerah</w:t>
      </w:r>
      <w:r w:rsidR="0077232D" w:rsidRPr="003255BC">
        <w:rPr>
          <w:rFonts w:ascii="Bookman Old Style" w:hAnsi="Bookman Old Style" w:cs="Arial"/>
          <w:sz w:val="24"/>
          <w:szCs w:val="24"/>
          <w:lang w:val="id-ID"/>
        </w:rPr>
        <w:t>,</w:t>
      </w:r>
      <w:r w:rsidR="00A954D0" w:rsidRPr="003255BC">
        <w:rPr>
          <w:rFonts w:ascii="Bookman Old Style" w:hAnsi="Bookman Old Style" w:cs="Arial"/>
          <w:sz w:val="24"/>
          <w:szCs w:val="24"/>
          <w:lang w:val="id-ID"/>
        </w:rPr>
        <w:t xml:space="preserve"> </w:t>
      </w:r>
      <w:r w:rsidR="001E3ED7" w:rsidRPr="003255BC">
        <w:rPr>
          <w:rFonts w:ascii="Bookman Old Style" w:hAnsi="Bookman Old Style" w:cs="Arial"/>
          <w:sz w:val="24"/>
          <w:szCs w:val="24"/>
          <w:lang w:val="id-ID"/>
        </w:rPr>
        <w:t>s</w:t>
      </w:r>
      <w:r w:rsidRPr="003255BC">
        <w:rPr>
          <w:rFonts w:ascii="Bookman Old Style" w:hAnsi="Bookman Old Style" w:cs="Arial"/>
          <w:sz w:val="24"/>
          <w:szCs w:val="24"/>
          <w:lang w:val="id-ID"/>
        </w:rPr>
        <w:t>ub</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kegiatan</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Pengadaan</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Sarana</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dan</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Prasarana</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Gedung</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Kantor</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atau</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Bangunan</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Lainnya</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Rp5.161.923.737,00</w:t>
      </w:r>
      <w:r w:rsidR="00D225FC" w:rsidRPr="003255BC">
        <w:rPr>
          <w:rFonts w:ascii="Bookman Old Style" w:hAnsi="Bookman Old Style" w:cs="Arial"/>
          <w:sz w:val="24"/>
          <w:szCs w:val="24"/>
          <w:lang w:val="id-ID"/>
        </w:rPr>
        <w:t>;</w:t>
      </w:r>
    </w:p>
    <w:p w14:paraId="5EA7FAF3" w14:textId="5D45F673" w:rsidR="004D1399" w:rsidRPr="003255BC" w:rsidRDefault="002C136C" w:rsidP="00684B45">
      <w:pPr>
        <w:pStyle w:val="ListParagraph"/>
        <w:numPr>
          <w:ilvl w:val="0"/>
          <w:numId w:val="236"/>
        </w:numPr>
        <w:snapToGrid w:val="0"/>
        <w:spacing w:before="60" w:line="276" w:lineRule="auto"/>
        <w:ind w:left="2268" w:hanging="567"/>
        <w:jc w:val="both"/>
        <w:rPr>
          <w:rFonts w:ascii="Bookman Old Style" w:hAnsi="Bookman Old Style" w:cs="Arial"/>
          <w:sz w:val="24"/>
          <w:szCs w:val="24"/>
          <w:lang w:val="id-ID"/>
        </w:rPr>
      </w:pPr>
      <w:r w:rsidRPr="003255BC">
        <w:rPr>
          <w:rFonts w:ascii="Bookman Old Style" w:hAnsi="Bookman Old Style" w:cs="Arial"/>
          <w:sz w:val="24"/>
          <w:szCs w:val="24"/>
          <w:lang w:val="id-ID"/>
        </w:rPr>
        <w:t>UPT</w:t>
      </w:r>
      <w:r w:rsidR="00A954D0" w:rsidRPr="003255BC">
        <w:rPr>
          <w:rFonts w:ascii="Bookman Old Style" w:hAnsi="Bookman Old Style" w:cs="Arial"/>
          <w:sz w:val="24"/>
          <w:szCs w:val="24"/>
          <w:lang w:val="id-ID"/>
        </w:rPr>
        <w:t xml:space="preserve"> </w:t>
      </w:r>
      <w:r w:rsidR="00AE32A2" w:rsidRPr="003255BC">
        <w:rPr>
          <w:rFonts w:ascii="Bookman Old Style" w:hAnsi="Bookman Old Style" w:cs="Arial"/>
          <w:sz w:val="24"/>
          <w:szCs w:val="24"/>
          <w:lang w:val="id-ID"/>
        </w:rPr>
        <w:t>Puskesmas</w:t>
      </w:r>
      <w:r w:rsidR="00A954D0" w:rsidRPr="003255BC">
        <w:rPr>
          <w:rFonts w:ascii="Bookman Old Style" w:hAnsi="Bookman Old Style" w:cs="Arial"/>
          <w:sz w:val="24"/>
          <w:szCs w:val="24"/>
          <w:lang w:val="id-ID"/>
        </w:rPr>
        <w:t xml:space="preserve"> </w:t>
      </w:r>
      <w:r w:rsidR="00AE32A2" w:rsidRPr="003255BC">
        <w:rPr>
          <w:rFonts w:ascii="Bookman Old Style" w:hAnsi="Bookman Old Style" w:cs="Arial"/>
          <w:sz w:val="24"/>
          <w:szCs w:val="24"/>
          <w:lang w:val="id-ID"/>
        </w:rPr>
        <w:t>Sukasari</w:t>
      </w:r>
      <w:r w:rsidR="00751307" w:rsidRPr="003255BC">
        <w:rPr>
          <w:rFonts w:ascii="Bookman Old Style" w:hAnsi="Bookman Old Style" w:cs="Arial"/>
          <w:sz w:val="24"/>
          <w:szCs w:val="24"/>
          <w:lang w:val="id-ID"/>
        </w:rPr>
        <w:t>,</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pada</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Kegiatan</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Penyediaan</w:t>
      </w:r>
      <w:r w:rsidR="00A954D0" w:rsidRPr="003255BC">
        <w:rPr>
          <w:rFonts w:ascii="Bookman Old Style" w:hAnsi="Bookman Old Style" w:cs="Arial"/>
          <w:sz w:val="24"/>
          <w:szCs w:val="24"/>
          <w:lang w:val="id-ID"/>
        </w:rPr>
        <w:t xml:space="preserve"> </w:t>
      </w:r>
      <w:r w:rsidRPr="008B2DAE">
        <w:rPr>
          <w:rFonts w:ascii="Bookman Old Style" w:hAnsi="Bookman Old Style" w:cs="Arial"/>
          <w:sz w:val="24"/>
          <w:szCs w:val="24"/>
          <w:lang w:val="id-ID"/>
        </w:rPr>
        <w:t>Layanan</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Kesehatan</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untuk</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UKM</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dan</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UKP</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Rujukan</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Tingkat</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Daerah</w:t>
      </w:r>
      <w:r w:rsidR="00A954D0" w:rsidRPr="003255BC">
        <w:rPr>
          <w:rFonts w:ascii="Bookman Old Style" w:hAnsi="Bookman Old Style" w:cs="Arial"/>
          <w:sz w:val="24"/>
          <w:szCs w:val="24"/>
          <w:lang w:val="id-ID"/>
        </w:rPr>
        <w:t xml:space="preserve"> </w:t>
      </w:r>
      <w:r w:rsidR="00172E1C" w:rsidRPr="003255BC">
        <w:rPr>
          <w:rFonts w:ascii="Bookman Old Style" w:hAnsi="Bookman Old Style" w:cs="Arial"/>
          <w:sz w:val="24"/>
          <w:szCs w:val="24"/>
          <w:lang w:val="id-ID"/>
        </w:rPr>
        <w:t>Kabupaten/Kota</w:t>
      </w:r>
      <w:r w:rsidR="00B0046A" w:rsidRPr="003255BC">
        <w:rPr>
          <w:rFonts w:ascii="Bookman Old Style" w:hAnsi="Bookman Old Style" w:cs="Arial"/>
          <w:sz w:val="24"/>
          <w:szCs w:val="24"/>
          <w:lang w:val="id-ID"/>
        </w:rPr>
        <w:t>,</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pada</w:t>
      </w:r>
      <w:r w:rsidR="00A954D0" w:rsidRPr="003255BC">
        <w:rPr>
          <w:rFonts w:ascii="Bookman Old Style" w:hAnsi="Bookman Old Style" w:cs="Arial"/>
          <w:sz w:val="24"/>
          <w:szCs w:val="24"/>
          <w:lang w:val="id-ID"/>
        </w:rPr>
        <w:t xml:space="preserve"> </w:t>
      </w:r>
      <w:r w:rsidR="004D1399" w:rsidRPr="003255BC">
        <w:rPr>
          <w:rFonts w:ascii="Bookman Old Style" w:hAnsi="Bookman Old Style" w:cs="Arial"/>
          <w:sz w:val="24"/>
          <w:szCs w:val="24"/>
          <w:lang w:val="id-ID"/>
        </w:rPr>
        <w:t>s</w:t>
      </w:r>
      <w:r w:rsidRPr="003255BC">
        <w:rPr>
          <w:rFonts w:ascii="Bookman Old Style" w:hAnsi="Bookman Old Style" w:cs="Arial"/>
          <w:sz w:val="24"/>
          <w:szCs w:val="24"/>
          <w:lang w:val="id-ID"/>
        </w:rPr>
        <w:t>ub</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kegiatan</w:t>
      </w:r>
      <w:r w:rsidR="004D1399" w:rsidRPr="003255BC">
        <w:rPr>
          <w:rFonts w:ascii="Bookman Old Style" w:hAnsi="Bookman Old Style" w:cs="Arial"/>
          <w:sz w:val="24"/>
          <w:szCs w:val="24"/>
          <w:lang w:val="id-ID"/>
        </w:rPr>
        <w:t>:</w:t>
      </w:r>
    </w:p>
    <w:p w14:paraId="21054971" w14:textId="3E8264E4" w:rsidR="004D1399" w:rsidRPr="00256727" w:rsidRDefault="002C136C" w:rsidP="00684B45">
      <w:pPr>
        <w:pStyle w:val="ListParagraph"/>
        <w:numPr>
          <w:ilvl w:val="0"/>
          <w:numId w:val="238"/>
        </w:numPr>
        <w:snapToGrid w:val="0"/>
        <w:spacing w:before="60" w:line="276" w:lineRule="auto"/>
        <w:ind w:left="2694" w:hanging="425"/>
        <w:jc w:val="both"/>
        <w:rPr>
          <w:rFonts w:ascii="Bookman Old Style" w:hAnsi="Bookman Old Style" w:cs="Arial"/>
          <w:sz w:val="24"/>
          <w:szCs w:val="24"/>
          <w:lang w:val="sv-FI"/>
        </w:rPr>
      </w:pPr>
      <w:r w:rsidRPr="00256727">
        <w:rPr>
          <w:rFonts w:ascii="Bookman Old Style" w:hAnsi="Bookman Old Style" w:cs="Arial"/>
          <w:sz w:val="24"/>
          <w:szCs w:val="24"/>
          <w:lang w:val="sv-FI"/>
        </w:rPr>
        <w:t>Pengelolaan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Pelayanan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Kesehatan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Ibu</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Hamil</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Rp48.720.000,00</w:t>
      </w:r>
      <w:r w:rsidR="004D1399" w:rsidRPr="00256727">
        <w:rPr>
          <w:rFonts w:ascii="Bookman Old Style" w:hAnsi="Bookman Old Style" w:cs="Arial"/>
          <w:sz w:val="24"/>
          <w:szCs w:val="24"/>
          <w:lang w:val="sv-FI"/>
        </w:rPr>
        <w:t>;</w:t>
      </w:r>
    </w:p>
    <w:p w14:paraId="20A06044" w14:textId="5BE164A5" w:rsidR="004D1399" w:rsidRPr="00256727" w:rsidRDefault="002C136C" w:rsidP="00684B45">
      <w:pPr>
        <w:pStyle w:val="ListParagraph"/>
        <w:numPr>
          <w:ilvl w:val="0"/>
          <w:numId w:val="238"/>
        </w:numPr>
        <w:snapToGrid w:val="0"/>
        <w:spacing w:before="60" w:line="276" w:lineRule="auto"/>
        <w:ind w:left="2694" w:hanging="425"/>
        <w:jc w:val="both"/>
        <w:rPr>
          <w:rFonts w:ascii="Bookman Old Style" w:hAnsi="Bookman Old Style" w:cs="Arial"/>
          <w:sz w:val="24"/>
          <w:szCs w:val="24"/>
          <w:lang w:val="sv-FI"/>
        </w:rPr>
      </w:pPr>
      <w:r w:rsidRPr="00256727">
        <w:rPr>
          <w:rFonts w:ascii="Bookman Old Style" w:hAnsi="Bookman Old Style" w:cs="Arial"/>
          <w:sz w:val="24"/>
          <w:szCs w:val="24"/>
          <w:lang w:val="sv-FI"/>
        </w:rPr>
        <w:t>Pengelolaan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Pelayanan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Kesehatan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pada</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Usia</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Pendidikan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Dasar</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Rp29.700.000,00</w:t>
      </w:r>
      <w:r w:rsidR="004D1399" w:rsidRPr="00256727">
        <w:rPr>
          <w:rFonts w:ascii="Bookman Old Style" w:hAnsi="Bookman Old Style" w:cs="Arial"/>
          <w:sz w:val="24"/>
          <w:szCs w:val="24"/>
          <w:lang w:val="sv-FI"/>
        </w:rPr>
        <w:t>;</w:t>
      </w:r>
    </w:p>
    <w:p w14:paraId="3A89B5BB" w14:textId="0EDE39F3" w:rsidR="002C136C" w:rsidRPr="00256727" w:rsidRDefault="002C136C" w:rsidP="00684B45">
      <w:pPr>
        <w:pStyle w:val="ListParagraph"/>
        <w:numPr>
          <w:ilvl w:val="0"/>
          <w:numId w:val="238"/>
        </w:numPr>
        <w:snapToGrid w:val="0"/>
        <w:spacing w:before="60" w:line="276" w:lineRule="auto"/>
        <w:ind w:left="2694" w:hanging="425"/>
        <w:jc w:val="both"/>
        <w:rPr>
          <w:rFonts w:ascii="Bookman Old Style" w:hAnsi="Bookman Old Style" w:cs="Arial"/>
          <w:sz w:val="24"/>
          <w:szCs w:val="24"/>
          <w:lang w:val="sv-FI"/>
        </w:rPr>
      </w:pPr>
      <w:r w:rsidRPr="00256727">
        <w:rPr>
          <w:rFonts w:ascii="Bookman Old Style" w:hAnsi="Bookman Old Style" w:cs="Arial"/>
          <w:sz w:val="24"/>
          <w:szCs w:val="24"/>
          <w:lang w:val="sv-FI"/>
        </w:rPr>
        <w:t>Pengelolaan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Pelayanan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Kesehatan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Orang</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Terduga</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Tuberkulosis</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Rp21.600.000,00</w:t>
      </w:r>
      <w:r w:rsidR="00684B45">
        <w:rPr>
          <w:rFonts w:ascii="Bookman Old Style" w:hAnsi="Bookman Old Style" w:cs="Arial"/>
          <w:sz w:val="24"/>
          <w:szCs w:val="24"/>
          <w:lang w:val="sv-FI"/>
        </w:rPr>
        <w:t>.</w:t>
      </w:r>
    </w:p>
    <w:p w14:paraId="500D8965" w14:textId="63E3E463" w:rsidR="002C136C" w:rsidRPr="00256727" w:rsidRDefault="002C136C" w:rsidP="00684B45">
      <w:pPr>
        <w:pStyle w:val="ListParagraph"/>
        <w:numPr>
          <w:ilvl w:val="0"/>
          <w:numId w:val="236"/>
        </w:numPr>
        <w:snapToGrid w:val="0"/>
        <w:spacing w:before="60" w:line="276" w:lineRule="auto"/>
        <w:ind w:left="2268" w:hanging="567"/>
        <w:jc w:val="both"/>
        <w:rPr>
          <w:rFonts w:ascii="Bookman Old Style" w:hAnsi="Bookman Old Style" w:cs="Arial"/>
          <w:sz w:val="24"/>
          <w:szCs w:val="24"/>
          <w:lang w:val="sv-FI"/>
        </w:rPr>
      </w:pPr>
      <w:r w:rsidRPr="00256727">
        <w:rPr>
          <w:rFonts w:ascii="Bookman Old Style" w:hAnsi="Bookman Old Style" w:cs="Arial"/>
          <w:sz w:val="24"/>
          <w:szCs w:val="24"/>
          <w:lang w:val="sv-FI"/>
        </w:rPr>
        <w:t>UPT</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Rumah</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Sakit</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Umum</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Daerah</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Benda</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yang</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tercantum</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pada</w:t>
      </w:r>
      <w:r w:rsidR="00A954D0" w:rsidRPr="00256727">
        <w:rPr>
          <w:rFonts w:ascii="Bookman Old Style" w:hAnsi="Bookman Old Style" w:cs="Arial"/>
          <w:sz w:val="24"/>
          <w:szCs w:val="24"/>
          <w:lang w:val="sv-FI"/>
        </w:rPr>
        <w:t xml:space="preserve"> </w:t>
      </w:r>
      <w:r w:rsidRPr="008B2DAE">
        <w:rPr>
          <w:rFonts w:ascii="Bookman Old Style" w:hAnsi="Bookman Old Style" w:cs="Arial"/>
          <w:sz w:val="24"/>
          <w:szCs w:val="24"/>
          <w:lang w:val="id-ID"/>
        </w:rPr>
        <w:t>kegiatan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Penyediaan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Layanan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Kesehatan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untuk</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UKM</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dan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UKP</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Rujukan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Tingkat</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Daerah</w:t>
      </w:r>
      <w:r w:rsidR="00A954D0" w:rsidRPr="00256727">
        <w:rPr>
          <w:rFonts w:ascii="Bookman Old Style" w:hAnsi="Bookman Old Style" w:cs="Arial"/>
          <w:sz w:val="24"/>
          <w:szCs w:val="24"/>
          <w:lang w:val="sv-FI"/>
        </w:rPr>
        <w:t xml:space="preserve"> </w:t>
      </w:r>
      <w:r w:rsidR="00172E1C" w:rsidRPr="00256727">
        <w:rPr>
          <w:rFonts w:ascii="Bookman Old Style" w:hAnsi="Bookman Old Style" w:cs="Arial"/>
          <w:sz w:val="24"/>
          <w:szCs w:val="24"/>
          <w:lang w:val="sv-FI"/>
        </w:rPr>
        <w:t>Kabupaten/Kota</w:t>
      </w:r>
      <w:r w:rsidR="00142CDE" w:rsidRPr="00256727">
        <w:rPr>
          <w:rFonts w:ascii="Bookman Old Style" w:hAnsi="Bookman Old Style" w:cs="Arial"/>
          <w:sz w:val="24"/>
          <w:szCs w:val="24"/>
          <w:lang w:val="sv-FI"/>
        </w:rPr>
        <w:t>,</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pada</w:t>
      </w:r>
      <w:r w:rsidR="00A954D0" w:rsidRPr="00256727">
        <w:rPr>
          <w:rFonts w:ascii="Bookman Old Style" w:hAnsi="Bookman Old Style" w:cs="Arial"/>
          <w:sz w:val="24"/>
          <w:szCs w:val="24"/>
          <w:lang w:val="sv-FI"/>
        </w:rPr>
        <w:t xml:space="preserve"> </w:t>
      </w:r>
      <w:r w:rsidR="008650D9" w:rsidRPr="00256727">
        <w:rPr>
          <w:rFonts w:ascii="Bookman Old Style" w:hAnsi="Bookman Old Style" w:cs="Arial"/>
          <w:sz w:val="24"/>
          <w:szCs w:val="24"/>
          <w:lang w:val="sv-FI"/>
        </w:rPr>
        <w:t>Sub</w:t>
      </w:r>
      <w:r w:rsidR="00A954D0" w:rsidRPr="00256727">
        <w:rPr>
          <w:rFonts w:ascii="Bookman Old Style" w:hAnsi="Bookman Old Style" w:cs="Arial"/>
          <w:sz w:val="24"/>
          <w:szCs w:val="24"/>
          <w:lang w:val="sv-FI"/>
        </w:rPr>
        <w:t xml:space="preserve"> </w:t>
      </w:r>
      <w:r w:rsidR="008650D9" w:rsidRPr="00256727">
        <w:rPr>
          <w:rFonts w:ascii="Bookman Old Style" w:hAnsi="Bookman Old Style" w:cs="Arial"/>
          <w:sz w:val="24"/>
          <w:szCs w:val="24"/>
          <w:lang w:val="sv-FI"/>
        </w:rPr>
        <w:t>kegiatan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Operasional</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Pelayanan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Rumah</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Sakit</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Rp12.094.325.515,00</w:t>
      </w:r>
      <w:r w:rsidR="00F30241" w:rsidRPr="00256727">
        <w:rPr>
          <w:rFonts w:ascii="Bookman Old Style" w:hAnsi="Bookman Old Style" w:cs="Arial"/>
          <w:sz w:val="24"/>
          <w:szCs w:val="24"/>
          <w:lang w:val="sv-FI"/>
        </w:rPr>
        <w:t>;</w:t>
      </w:r>
    </w:p>
    <w:p w14:paraId="325CC5F4" w14:textId="4EAD96D2" w:rsidR="002C136C" w:rsidRPr="00256727" w:rsidRDefault="002C136C" w:rsidP="00F53446">
      <w:pPr>
        <w:pStyle w:val="ListParagraph"/>
        <w:numPr>
          <w:ilvl w:val="0"/>
          <w:numId w:val="115"/>
        </w:numPr>
        <w:snapToGrid w:val="0"/>
        <w:spacing w:before="60" w:line="276" w:lineRule="auto"/>
        <w:ind w:left="1701" w:hanging="425"/>
        <w:jc w:val="both"/>
        <w:rPr>
          <w:rFonts w:ascii="Bookman Old Style" w:hAnsi="Bookman Old Style" w:cs="Arial"/>
          <w:sz w:val="24"/>
          <w:szCs w:val="24"/>
          <w:lang w:val="sv-FI"/>
        </w:rPr>
      </w:pPr>
      <w:r w:rsidRPr="00256727">
        <w:rPr>
          <w:rFonts w:ascii="Bookman Old Style" w:hAnsi="Bookman Old Style" w:cs="Arial"/>
          <w:sz w:val="24"/>
          <w:szCs w:val="24"/>
          <w:lang w:val="sv-FI"/>
        </w:rPr>
        <w:t>Dinas</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Pemberdayaan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Perempuan,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Perlindungan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Anak,</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Pengendalian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Penduduk</w:t>
      </w:r>
      <w:r w:rsidR="00A954D0" w:rsidRPr="00256727">
        <w:rPr>
          <w:rFonts w:ascii="Bookman Old Style" w:hAnsi="Bookman Old Style" w:cs="Arial"/>
          <w:sz w:val="24"/>
          <w:szCs w:val="24"/>
          <w:lang w:val="sv-FI"/>
        </w:rPr>
        <w:t xml:space="preserve"> </w:t>
      </w:r>
      <w:r w:rsidR="00142CDE" w:rsidRPr="00256727">
        <w:rPr>
          <w:rFonts w:ascii="Bookman Old Style" w:hAnsi="Bookman Old Style" w:cs="Arial"/>
          <w:sz w:val="24"/>
          <w:szCs w:val="24"/>
          <w:lang w:val="sv-FI"/>
        </w:rPr>
        <w:t>d</w:t>
      </w:r>
      <w:r w:rsidRPr="00256727">
        <w:rPr>
          <w:rFonts w:ascii="Bookman Old Style" w:hAnsi="Bookman Old Style" w:cs="Arial"/>
          <w:sz w:val="24"/>
          <w:szCs w:val="24"/>
          <w:lang w:val="sv-FI"/>
        </w:rPr>
        <w:t>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Keluarga</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Berencana</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yang</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tercantum</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pada</w:t>
      </w:r>
      <w:r w:rsidR="00A954D0" w:rsidRPr="00256727">
        <w:rPr>
          <w:rFonts w:ascii="Bookman Old Style" w:hAnsi="Bookman Old Style" w:cs="Arial"/>
          <w:sz w:val="24"/>
          <w:szCs w:val="24"/>
          <w:lang w:val="sv-FI"/>
        </w:rPr>
        <w:t xml:space="preserve"> </w:t>
      </w:r>
      <w:r w:rsidR="00A71C7E" w:rsidRPr="00256727">
        <w:rPr>
          <w:rFonts w:ascii="Bookman Old Style" w:hAnsi="Bookman Old Style" w:cs="Arial"/>
          <w:sz w:val="24"/>
          <w:szCs w:val="24"/>
          <w:lang w:val="sv-FI"/>
        </w:rPr>
        <w:t>K</w:t>
      </w:r>
      <w:r w:rsidRPr="00256727">
        <w:rPr>
          <w:rFonts w:ascii="Bookman Old Style" w:hAnsi="Bookman Old Style" w:cs="Arial"/>
          <w:sz w:val="24"/>
          <w:szCs w:val="24"/>
          <w:lang w:val="sv-FI"/>
        </w:rPr>
        <w:t>egiatan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Penyediaan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Layanan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bagi</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Anak</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yang</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Memerlukan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Perlindungan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Khusus</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yang</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Memerlukan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Koordinasi</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Tingkat</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Daerah</w:t>
      </w:r>
      <w:r w:rsidR="00A954D0" w:rsidRPr="00256727">
        <w:rPr>
          <w:rFonts w:ascii="Bookman Old Style" w:hAnsi="Bookman Old Style" w:cs="Arial"/>
          <w:sz w:val="24"/>
          <w:szCs w:val="24"/>
          <w:lang w:val="sv-FI"/>
        </w:rPr>
        <w:t xml:space="preserve"> </w:t>
      </w:r>
      <w:r w:rsidR="00172E1C" w:rsidRPr="00256727">
        <w:rPr>
          <w:rFonts w:ascii="Bookman Old Style" w:hAnsi="Bookman Old Style" w:cs="Arial"/>
          <w:sz w:val="24"/>
          <w:szCs w:val="24"/>
          <w:lang w:val="sv-FI"/>
        </w:rPr>
        <w:t>Kabupaten/Kota</w:t>
      </w:r>
      <w:r w:rsidR="00CE33B1" w:rsidRPr="00256727">
        <w:rPr>
          <w:rFonts w:ascii="Bookman Old Style" w:hAnsi="Bookman Old Style" w:cs="Arial"/>
          <w:sz w:val="24"/>
          <w:szCs w:val="24"/>
          <w:lang w:val="sv-FI"/>
        </w:rPr>
        <w:t>,</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pada</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sub</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kegiatan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Koordinasi</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Pelaksanaan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Layanan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AMPK</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Rp81.445.000,00</w:t>
      </w:r>
      <w:r w:rsidR="00F30241" w:rsidRPr="00256727">
        <w:rPr>
          <w:rFonts w:ascii="Bookman Old Style" w:hAnsi="Bookman Old Style" w:cs="Arial"/>
          <w:sz w:val="24"/>
          <w:szCs w:val="24"/>
          <w:lang w:val="sv-FI"/>
        </w:rPr>
        <w:t>;</w:t>
      </w:r>
    </w:p>
    <w:p w14:paraId="53CFB69F" w14:textId="4DC24C72" w:rsidR="00673CE1" w:rsidRPr="00256727" w:rsidRDefault="002C136C" w:rsidP="00F53446">
      <w:pPr>
        <w:pStyle w:val="ListParagraph"/>
        <w:numPr>
          <w:ilvl w:val="0"/>
          <w:numId w:val="115"/>
        </w:numPr>
        <w:snapToGrid w:val="0"/>
        <w:spacing w:before="60" w:line="276" w:lineRule="auto"/>
        <w:ind w:left="1701" w:hanging="425"/>
        <w:jc w:val="both"/>
        <w:rPr>
          <w:rFonts w:ascii="Bookman Old Style" w:hAnsi="Bookman Old Style" w:cs="Arial"/>
          <w:sz w:val="24"/>
          <w:szCs w:val="24"/>
          <w:lang w:val="sv-FI"/>
        </w:rPr>
      </w:pPr>
      <w:r w:rsidRPr="00256727">
        <w:rPr>
          <w:rFonts w:ascii="Bookman Old Style" w:hAnsi="Bookman Old Style" w:cs="Arial"/>
          <w:sz w:val="24"/>
          <w:szCs w:val="24"/>
          <w:lang w:val="sv-FI"/>
        </w:rPr>
        <w:lastRenderedPageBreak/>
        <w:t>Dinas</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Ketahanan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Pangan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yang</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tercantum</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pada</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Kegiatan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Pengadaan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Barang</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Milik</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Daerah</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Penunjang</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Urusan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Pemerintah</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Daerah</w:t>
      </w:r>
      <w:r w:rsidR="00B17319" w:rsidRPr="00256727">
        <w:rPr>
          <w:rFonts w:ascii="Bookman Old Style" w:hAnsi="Bookman Old Style" w:cs="Arial"/>
          <w:sz w:val="24"/>
          <w:szCs w:val="24"/>
          <w:lang w:val="sv-FI"/>
        </w:rPr>
        <w:t>,</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pada</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sub</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kegiatan</w:t>
      </w:r>
      <w:r w:rsidR="00673CE1" w:rsidRPr="00256727">
        <w:rPr>
          <w:rFonts w:ascii="Bookman Old Style" w:hAnsi="Bookman Old Style" w:cs="Arial"/>
          <w:sz w:val="24"/>
          <w:szCs w:val="24"/>
          <w:lang w:val="sv-FI"/>
        </w:rPr>
        <w:t>:</w:t>
      </w:r>
    </w:p>
    <w:p w14:paraId="5C9E0D56" w14:textId="7589D3B2" w:rsidR="00673CE1" w:rsidRPr="00256727" w:rsidRDefault="002C136C" w:rsidP="00F53446">
      <w:pPr>
        <w:pStyle w:val="ListParagraph"/>
        <w:numPr>
          <w:ilvl w:val="0"/>
          <w:numId w:val="239"/>
        </w:numPr>
        <w:snapToGrid w:val="0"/>
        <w:spacing w:before="60" w:line="276" w:lineRule="auto"/>
        <w:ind w:left="2268" w:hanging="567"/>
        <w:jc w:val="both"/>
        <w:rPr>
          <w:rFonts w:ascii="Bookman Old Style" w:hAnsi="Bookman Old Style" w:cs="Arial"/>
          <w:sz w:val="24"/>
          <w:szCs w:val="24"/>
          <w:lang w:val="sv-FI"/>
        </w:rPr>
      </w:pPr>
      <w:r w:rsidRPr="00256727">
        <w:rPr>
          <w:rFonts w:ascii="Bookman Old Style" w:hAnsi="Bookman Old Style" w:cs="Arial"/>
          <w:sz w:val="24"/>
          <w:szCs w:val="24"/>
          <w:lang w:val="sv-FI"/>
        </w:rPr>
        <w:t>Pengadaan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Kendaraan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Dinas</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Operasional</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atau</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Lapangan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Rp101.286.600,00</w:t>
      </w:r>
      <w:r w:rsidR="00673CE1" w:rsidRPr="00256727">
        <w:rPr>
          <w:rFonts w:ascii="Bookman Old Style" w:hAnsi="Bookman Old Style" w:cs="Arial"/>
          <w:sz w:val="24"/>
          <w:szCs w:val="24"/>
          <w:lang w:val="sv-FI"/>
        </w:rPr>
        <w:t>;</w:t>
      </w:r>
    </w:p>
    <w:p w14:paraId="2C22E873" w14:textId="2E91B942" w:rsidR="002C136C" w:rsidRPr="008B2DAE" w:rsidRDefault="002C136C" w:rsidP="00F53446">
      <w:pPr>
        <w:pStyle w:val="ListParagraph"/>
        <w:numPr>
          <w:ilvl w:val="0"/>
          <w:numId w:val="239"/>
        </w:numPr>
        <w:snapToGrid w:val="0"/>
        <w:spacing w:before="60" w:line="276" w:lineRule="auto"/>
        <w:ind w:left="2268" w:hanging="567"/>
        <w:jc w:val="both"/>
        <w:rPr>
          <w:rFonts w:ascii="Bookman Old Style" w:hAnsi="Bookman Old Style" w:cs="Arial"/>
          <w:sz w:val="24"/>
          <w:szCs w:val="24"/>
          <w:lang w:val="en-US"/>
        </w:rPr>
      </w:pPr>
      <w:r w:rsidRPr="008B2DAE">
        <w:rPr>
          <w:rFonts w:ascii="Bookman Old Style" w:hAnsi="Bookman Old Style" w:cs="Arial"/>
          <w:sz w:val="24"/>
          <w:szCs w:val="24"/>
          <w:lang w:val="en-US"/>
        </w:rPr>
        <w:t>Pengadaan</w:t>
      </w:r>
      <w:r w:rsidR="00A954D0">
        <w:rPr>
          <w:rFonts w:ascii="Bookman Old Style" w:hAnsi="Bookman Old Style" w:cs="Arial"/>
          <w:sz w:val="24"/>
          <w:szCs w:val="24"/>
          <w:lang w:val="en-US"/>
        </w:rPr>
        <w:t xml:space="preserve"> </w:t>
      </w:r>
      <w:r w:rsidRPr="008B2DAE">
        <w:rPr>
          <w:rFonts w:ascii="Bookman Old Style" w:hAnsi="Bookman Old Style" w:cs="Arial"/>
          <w:sz w:val="24"/>
          <w:szCs w:val="24"/>
          <w:lang w:val="en-US"/>
        </w:rPr>
        <w:t>Mebel</w:t>
      </w:r>
      <w:r w:rsidR="00A954D0">
        <w:rPr>
          <w:rFonts w:ascii="Bookman Old Style" w:hAnsi="Bookman Old Style" w:cs="Arial"/>
          <w:sz w:val="24"/>
          <w:szCs w:val="24"/>
          <w:lang w:val="en-US"/>
        </w:rPr>
        <w:t xml:space="preserve"> </w:t>
      </w:r>
      <w:r w:rsidRPr="008B2DAE">
        <w:rPr>
          <w:rFonts w:ascii="Bookman Old Style" w:hAnsi="Bookman Old Style" w:cs="Arial"/>
          <w:sz w:val="24"/>
          <w:szCs w:val="24"/>
          <w:lang w:val="en-US"/>
        </w:rPr>
        <w:t>Rp100.579.100,00</w:t>
      </w:r>
      <w:r w:rsidR="00F53446">
        <w:rPr>
          <w:rFonts w:ascii="Bookman Old Style" w:hAnsi="Bookman Old Style" w:cs="Arial"/>
          <w:sz w:val="24"/>
          <w:szCs w:val="24"/>
          <w:lang w:val="en-US"/>
        </w:rPr>
        <w:t>.</w:t>
      </w:r>
    </w:p>
    <w:p w14:paraId="6EDDBF38" w14:textId="29B8F723" w:rsidR="002C136C" w:rsidRPr="008B2DAE" w:rsidRDefault="002C136C">
      <w:pPr>
        <w:pStyle w:val="ListParagraph"/>
        <w:numPr>
          <w:ilvl w:val="0"/>
          <w:numId w:val="91"/>
        </w:numPr>
        <w:snapToGrid w:val="0"/>
        <w:spacing w:before="60" w:after="0" w:line="276" w:lineRule="auto"/>
        <w:ind w:left="1276" w:hanging="283"/>
        <w:contextualSpacing w:val="0"/>
        <w:jc w:val="both"/>
        <w:rPr>
          <w:rFonts w:ascii="Bookman Old Style" w:hAnsi="Bookman Old Style" w:cs="Arial"/>
          <w:sz w:val="24"/>
          <w:szCs w:val="24"/>
        </w:rPr>
      </w:pPr>
      <w:r w:rsidRPr="008B2DAE">
        <w:rPr>
          <w:rFonts w:ascii="Bookman Old Style" w:hAnsi="Bookman Old Style" w:cs="Arial"/>
          <w:sz w:val="24"/>
          <w:szCs w:val="24"/>
          <w:lang w:val="id-ID"/>
        </w:rPr>
        <w:t>Kegiatan/sub</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kegiatan</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yang</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tercantum</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dalam</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RKPD</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en-US"/>
        </w:rPr>
        <w:t>dan</w:t>
      </w:r>
      <w:r w:rsidR="00A954D0">
        <w:rPr>
          <w:rFonts w:ascii="Bookman Old Style" w:hAnsi="Bookman Old Style" w:cs="Arial"/>
          <w:sz w:val="24"/>
          <w:szCs w:val="24"/>
          <w:lang w:val="en-US"/>
        </w:rPr>
        <w:t xml:space="preserve"> </w:t>
      </w:r>
      <w:r w:rsidRPr="008B2DAE">
        <w:rPr>
          <w:rFonts w:ascii="Bookman Old Style" w:hAnsi="Bookman Old Style" w:cs="Arial"/>
          <w:sz w:val="24"/>
          <w:szCs w:val="24"/>
          <w:lang w:val="id-ID"/>
        </w:rPr>
        <w:t>KUA</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PPAS</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en-US"/>
        </w:rPr>
        <w:t>tetapi</w:t>
      </w:r>
      <w:r w:rsidR="00A954D0">
        <w:rPr>
          <w:rFonts w:ascii="Bookman Old Style" w:hAnsi="Bookman Old Style" w:cs="Arial"/>
          <w:sz w:val="24"/>
          <w:szCs w:val="24"/>
          <w:lang w:val="en-US"/>
        </w:rPr>
        <w:t xml:space="preserve"> </w:t>
      </w:r>
      <w:r w:rsidRPr="008B2DAE">
        <w:rPr>
          <w:rFonts w:ascii="Bookman Old Style" w:hAnsi="Bookman Old Style" w:cs="Arial"/>
          <w:sz w:val="24"/>
          <w:szCs w:val="24"/>
          <w:lang w:val="en-US"/>
        </w:rPr>
        <w:t>tidak</w:t>
      </w:r>
      <w:r w:rsidR="00A954D0">
        <w:rPr>
          <w:rFonts w:ascii="Bookman Old Style" w:hAnsi="Bookman Old Style" w:cs="Arial"/>
          <w:sz w:val="24"/>
          <w:szCs w:val="24"/>
          <w:lang w:val="en-US"/>
        </w:rPr>
        <w:t xml:space="preserve"> </w:t>
      </w:r>
      <w:r w:rsidRPr="008B2DAE">
        <w:rPr>
          <w:rFonts w:ascii="Bookman Old Style" w:hAnsi="Bookman Old Style" w:cs="Arial"/>
          <w:sz w:val="24"/>
          <w:szCs w:val="24"/>
          <w:lang w:val="en-US"/>
        </w:rPr>
        <w:t>tercantum</w:t>
      </w:r>
      <w:r w:rsidR="00A954D0">
        <w:rPr>
          <w:rFonts w:ascii="Bookman Old Style" w:hAnsi="Bookman Old Style" w:cs="Arial"/>
          <w:sz w:val="24"/>
          <w:szCs w:val="24"/>
          <w:lang w:val="en-US"/>
        </w:rPr>
        <w:t xml:space="preserve"> </w:t>
      </w:r>
      <w:r w:rsidRPr="008B2DAE">
        <w:rPr>
          <w:rFonts w:ascii="Bookman Old Style" w:hAnsi="Bookman Old Style" w:cs="Arial"/>
          <w:sz w:val="24"/>
          <w:szCs w:val="24"/>
          <w:lang w:val="en-US"/>
        </w:rPr>
        <w:t>dalam</w:t>
      </w:r>
      <w:r w:rsidR="00A954D0">
        <w:rPr>
          <w:rFonts w:ascii="Bookman Old Style" w:hAnsi="Bookman Old Style" w:cs="Arial"/>
          <w:sz w:val="24"/>
          <w:szCs w:val="24"/>
          <w:lang w:val="en-US"/>
        </w:rPr>
        <w:t xml:space="preserve"> </w:t>
      </w:r>
      <w:r w:rsidRPr="008B2DAE">
        <w:rPr>
          <w:rFonts w:ascii="Bookman Old Style" w:hAnsi="Bookman Old Style" w:cs="Arial"/>
          <w:sz w:val="24"/>
          <w:szCs w:val="24"/>
          <w:lang w:val="id-ID"/>
        </w:rPr>
        <w:t>Rancangan</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Peraturan</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Daerah</w:t>
      </w:r>
      <w:r w:rsidR="00A954D0">
        <w:rPr>
          <w:rFonts w:ascii="Bookman Old Style" w:hAnsi="Bookman Old Style" w:cs="Arial"/>
          <w:sz w:val="24"/>
          <w:szCs w:val="24"/>
          <w:lang w:val="en-US"/>
        </w:rPr>
        <w:t xml:space="preserve"> </w:t>
      </w:r>
      <w:r w:rsidRPr="008B2DAE">
        <w:rPr>
          <w:rFonts w:ascii="Bookman Old Style" w:hAnsi="Bookman Old Style" w:cs="Arial"/>
          <w:sz w:val="24"/>
          <w:szCs w:val="24"/>
          <w:lang w:val="en-US"/>
        </w:rPr>
        <w:t>tentang</w:t>
      </w:r>
      <w:r w:rsidR="00A954D0">
        <w:rPr>
          <w:rFonts w:ascii="Bookman Old Style" w:hAnsi="Bookman Old Style" w:cs="Arial"/>
          <w:sz w:val="24"/>
          <w:szCs w:val="24"/>
          <w:lang w:val="en-US"/>
        </w:rPr>
        <w:t xml:space="preserve"> </w:t>
      </w:r>
      <w:r w:rsidRPr="008B2DAE">
        <w:rPr>
          <w:rFonts w:ascii="Bookman Old Style" w:hAnsi="Bookman Old Style" w:cs="Arial"/>
          <w:sz w:val="24"/>
          <w:szCs w:val="24"/>
          <w:lang w:val="en-US"/>
        </w:rPr>
        <w:t>APBD</w:t>
      </w:r>
      <w:r w:rsidR="00A954D0">
        <w:rPr>
          <w:rFonts w:ascii="Bookman Old Style" w:hAnsi="Bookman Old Style" w:cs="Arial"/>
          <w:sz w:val="24"/>
          <w:szCs w:val="24"/>
          <w:lang w:val="en-US"/>
        </w:rPr>
        <w:t xml:space="preserve"> </w:t>
      </w:r>
      <w:r w:rsidRPr="008B2DAE">
        <w:rPr>
          <w:rFonts w:ascii="Bookman Old Style" w:hAnsi="Bookman Old Style" w:cs="Arial"/>
          <w:sz w:val="24"/>
          <w:szCs w:val="24"/>
          <w:lang w:val="en-US"/>
        </w:rPr>
        <w:t>Tahun</w:t>
      </w:r>
      <w:r w:rsidR="00A954D0">
        <w:rPr>
          <w:rFonts w:ascii="Bookman Old Style" w:hAnsi="Bookman Old Style" w:cs="Arial"/>
          <w:sz w:val="24"/>
          <w:szCs w:val="24"/>
          <w:lang w:val="en-US"/>
        </w:rPr>
        <w:t xml:space="preserve"> </w:t>
      </w:r>
      <w:r w:rsidRPr="008B2DAE">
        <w:rPr>
          <w:rFonts w:ascii="Bookman Old Style" w:hAnsi="Bookman Old Style" w:cs="Arial"/>
          <w:sz w:val="24"/>
          <w:szCs w:val="24"/>
          <w:lang w:val="en-US"/>
        </w:rPr>
        <w:t>Anggaran</w:t>
      </w:r>
      <w:r w:rsidR="00A954D0">
        <w:rPr>
          <w:rFonts w:ascii="Bookman Old Style" w:hAnsi="Bookman Old Style" w:cs="Arial"/>
          <w:sz w:val="24"/>
          <w:szCs w:val="24"/>
          <w:lang w:val="en-US"/>
        </w:rPr>
        <w:t xml:space="preserve"> </w:t>
      </w:r>
      <w:r w:rsidRPr="008B2DAE">
        <w:rPr>
          <w:rFonts w:ascii="Bookman Old Style" w:hAnsi="Bookman Old Style" w:cs="Arial"/>
          <w:sz w:val="24"/>
          <w:szCs w:val="24"/>
          <w:lang w:val="en-US"/>
        </w:rPr>
        <w:t>2025</w:t>
      </w:r>
      <w:r w:rsidR="00A954D0">
        <w:rPr>
          <w:rFonts w:ascii="Bookman Old Style" w:hAnsi="Bookman Old Style" w:cs="Arial"/>
          <w:sz w:val="24"/>
          <w:szCs w:val="24"/>
          <w:lang w:val="id-ID"/>
        </w:rPr>
        <w:t xml:space="preserve"> </w:t>
      </w:r>
      <w:r w:rsidRPr="008B2DAE">
        <w:rPr>
          <w:rFonts w:ascii="Bookman Old Style" w:hAnsi="Bookman Old Style"/>
          <w:sz w:val="24"/>
          <w:szCs w:val="24"/>
          <w:lang w:val="fi-FI"/>
        </w:rPr>
        <w:t>Kota</w:t>
      </w:r>
      <w:r w:rsidR="00A954D0">
        <w:rPr>
          <w:rFonts w:ascii="Bookman Old Style" w:hAnsi="Bookman Old Style"/>
          <w:sz w:val="24"/>
          <w:szCs w:val="24"/>
          <w:lang w:val="fi-FI"/>
        </w:rPr>
        <w:t xml:space="preserve"> </w:t>
      </w:r>
      <w:r w:rsidRPr="008B2DAE">
        <w:rPr>
          <w:rFonts w:ascii="Bookman Old Style" w:hAnsi="Bookman Old Style"/>
          <w:sz w:val="24"/>
          <w:szCs w:val="24"/>
          <w:lang w:val="fi-FI"/>
        </w:rPr>
        <w:t>Tangerang</w:t>
      </w:r>
      <w:r w:rsidRPr="008B2DAE">
        <w:rPr>
          <w:rFonts w:ascii="Bookman Old Style" w:hAnsi="Bookman Old Style" w:cs="Arial"/>
          <w:sz w:val="24"/>
          <w:szCs w:val="24"/>
          <w:lang w:val="id-ID"/>
        </w:rPr>
        <w:t>,</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antara</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lain</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tercantum</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pada</w:t>
      </w:r>
      <w:r w:rsidR="0085776E" w:rsidRPr="008B2DAE">
        <w:rPr>
          <w:rFonts w:ascii="Bookman Old Style" w:hAnsi="Bookman Old Style" w:cs="Arial"/>
          <w:sz w:val="24"/>
          <w:szCs w:val="24"/>
          <w:lang w:val="id-ID"/>
        </w:rPr>
        <w:t>:</w:t>
      </w:r>
    </w:p>
    <w:p w14:paraId="4BFDA980" w14:textId="767EE399" w:rsidR="002C136C" w:rsidRPr="008B2DAE" w:rsidRDefault="002C136C" w:rsidP="00F53446">
      <w:pPr>
        <w:pStyle w:val="ListParagraph"/>
        <w:numPr>
          <w:ilvl w:val="0"/>
          <w:numId w:val="182"/>
        </w:numPr>
        <w:snapToGrid w:val="0"/>
        <w:spacing w:before="60" w:after="0" w:line="276" w:lineRule="auto"/>
        <w:ind w:left="1701" w:hanging="425"/>
        <w:contextualSpacing w:val="0"/>
        <w:jc w:val="both"/>
        <w:rPr>
          <w:rFonts w:ascii="Bookman Old Style" w:hAnsi="Bookman Old Style" w:cs="Arial"/>
          <w:sz w:val="24"/>
          <w:szCs w:val="24"/>
        </w:rPr>
      </w:pPr>
      <w:r w:rsidRPr="008B2DAE">
        <w:rPr>
          <w:rFonts w:ascii="Bookman Old Style" w:hAnsi="Bookman Old Style" w:cs="Arial"/>
          <w:sz w:val="24"/>
          <w:szCs w:val="24"/>
        </w:rPr>
        <w:t>Dinas</w:t>
      </w:r>
      <w:r w:rsidR="00A954D0">
        <w:rPr>
          <w:rFonts w:ascii="Bookman Old Style" w:hAnsi="Bookman Old Style" w:cs="Arial"/>
          <w:sz w:val="24"/>
          <w:szCs w:val="24"/>
        </w:rPr>
        <w:t xml:space="preserve"> </w:t>
      </w:r>
      <w:r w:rsidRPr="008B2DAE">
        <w:rPr>
          <w:rFonts w:ascii="Bookman Old Style" w:hAnsi="Bookman Old Style" w:cs="Arial"/>
          <w:sz w:val="24"/>
          <w:szCs w:val="24"/>
        </w:rPr>
        <w:t>Pendidikan</w:t>
      </w:r>
      <w:r w:rsidR="00F85D4A" w:rsidRPr="008B2DAE">
        <w:rPr>
          <w:rFonts w:ascii="Bookman Old Style" w:hAnsi="Bookman Old Style" w:cs="Arial"/>
          <w:sz w:val="24"/>
          <w:szCs w:val="24"/>
        </w:rPr>
        <w:t>,</w:t>
      </w:r>
      <w:r w:rsidR="00A954D0">
        <w:rPr>
          <w:rFonts w:ascii="Bookman Old Style" w:hAnsi="Bookman Old Style" w:cs="Arial"/>
          <w:sz w:val="24"/>
          <w:szCs w:val="24"/>
        </w:rPr>
        <w:t xml:space="preserve"> </w:t>
      </w:r>
      <w:r w:rsidRPr="003255BC">
        <w:rPr>
          <w:rFonts w:ascii="Bookman Old Style" w:hAnsi="Bookman Old Style" w:cs="Arial"/>
          <w:sz w:val="24"/>
          <w:szCs w:val="24"/>
          <w:lang w:val="sv-FI"/>
        </w:rPr>
        <w:t>Kegiatan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Administrasi</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Kepegawaian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Perangkat</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Daerah</w:t>
      </w:r>
      <w:r w:rsidR="00F85D4A" w:rsidRPr="003255BC">
        <w:rPr>
          <w:rFonts w:ascii="Bookman Old Style" w:hAnsi="Bookman Old Style" w:cs="Arial"/>
          <w:sz w:val="24"/>
          <w:szCs w:val="24"/>
          <w:lang w:val="sv-FI"/>
        </w:rPr>
        <w:t>,</w:t>
      </w:r>
      <w:r w:rsidR="00A954D0">
        <w:rPr>
          <w:rFonts w:ascii="Bookman Old Style" w:hAnsi="Bookman Old Style" w:cs="Arial"/>
          <w:sz w:val="24"/>
          <w:szCs w:val="24"/>
          <w:lang w:val="id-ID"/>
        </w:rPr>
        <w:t xml:space="preserve"> </w:t>
      </w:r>
      <w:r w:rsidRPr="003255BC">
        <w:rPr>
          <w:rFonts w:ascii="Bookman Old Style" w:hAnsi="Bookman Old Style" w:cs="Arial"/>
          <w:sz w:val="24"/>
          <w:szCs w:val="24"/>
          <w:lang w:val="sv-FI"/>
        </w:rPr>
        <w:t>Sub</w:t>
      </w:r>
      <w:r w:rsidR="00A954D0" w:rsidRPr="003255BC">
        <w:rPr>
          <w:rFonts w:ascii="Bookman Old Style" w:hAnsi="Bookman Old Style" w:cs="Arial"/>
          <w:sz w:val="24"/>
          <w:szCs w:val="24"/>
          <w:lang w:val="sv-FI"/>
        </w:rPr>
        <w:t xml:space="preserve"> </w:t>
      </w:r>
      <w:r w:rsidR="001177DF" w:rsidRPr="003255BC">
        <w:rPr>
          <w:rFonts w:ascii="Bookman Old Style" w:hAnsi="Bookman Old Style" w:cs="Arial"/>
          <w:sz w:val="24"/>
          <w:szCs w:val="24"/>
          <w:lang w:val="sv-FI"/>
        </w:rPr>
        <w:t>K</w:t>
      </w:r>
      <w:r w:rsidRPr="003255BC">
        <w:rPr>
          <w:rFonts w:ascii="Bookman Old Style" w:hAnsi="Bookman Old Style" w:cs="Arial"/>
          <w:sz w:val="24"/>
          <w:szCs w:val="24"/>
          <w:lang w:val="sv-FI"/>
        </w:rPr>
        <w:t>egiatan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Pendidikan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dan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Pelatihan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Pegawai</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Berdasarkan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Tugas</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dan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Fungsi</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Rp15.600.000,00</w:t>
      </w:r>
      <w:r w:rsidR="00C84C5D" w:rsidRPr="003255BC">
        <w:rPr>
          <w:rFonts w:ascii="Bookman Old Style" w:hAnsi="Bookman Old Style" w:cs="Arial"/>
          <w:sz w:val="24"/>
          <w:szCs w:val="24"/>
          <w:lang w:val="sv-FI"/>
        </w:rPr>
        <w:t>;</w:t>
      </w:r>
    </w:p>
    <w:p w14:paraId="5D5C6B8A" w14:textId="3C4955C2" w:rsidR="002C136C" w:rsidRPr="008B2DAE" w:rsidRDefault="002C136C" w:rsidP="00F53446">
      <w:pPr>
        <w:pStyle w:val="ListParagraph"/>
        <w:numPr>
          <w:ilvl w:val="0"/>
          <w:numId w:val="182"/>
        </w:numPr>
        <w:snapToGrid w:val="0"/>
        <w:spacing w:before="60" w:after="0" w:line="276" w:lineRule="auto"/>
        <w:ind w:left="1701" w:hanging="425"/>
        <w:contextualSpacing w:val="0"/>
        <w:jc w:val="both"/>
        <w:rPr>
          <w:rFonts w:ascii="Bookman Old Style" w:hAnsi="Bookman Old Style" w:cs="Arial"/>
          <w:sz w:val="24"/>
          <w:szCs w:val="24"/>
        </w:rPr>
      </w:pPr>
      <w:r w:rsidRPr="008B2DAE">
        <w:rPr>
          <w:rFonts w:ascii="Bookman Old Style" w:hAnsi="Bookman Old Style" w:cs="Arial"/>
          <w:sz w:val="24"/>
          <w:szCs w:val="24"/>
        </w:rPr>
        <w:t>Dinas</w:t>
      </w:r>
      <w:r w:rsidR="00A954D0">
        <w:rPr>
          <w:rFonts w:ascii="Bookman Old Style" w:hAnsi="Bookman Old Style" w:cs="Arial"/>
          <w:sz w:val="24"/>
          <w:szCs w:val="24"/>
        </w:rPr>
        <w:t xml:space="preserve"> </w:t>
      </w:r>
      <w:r w:rsidRPr="008B2DAE">
        <w:rPr>
          <w:rFonts w:ascii="Bookman Old Style" w:hAnsi="Bookman Old Style" w:cs="Arial"/>
          <w:sz w:val="24"/>
          <w:szCs w:val="24"/>
        </w:rPr>
        <w:t>Perumahan,</w:t>
      </w:r>
      <w:r w:rsidR="00A954D0">
        <w:rPr>
          <w:rFonts w:ascii="Bookman Old Style" w:hAnsi="Bookman Old Style" w:cs="Arial"/>
          <w:sz w:val="24"/>
          <w:szCs w:val="24"/>
        </w:rPr>
        <w:t xml:space="preserve"> </w:t>
      </w:r>
      <w:r w:rsidRPr="008B2DAE">
        <w:rPr>
          <w:rFonts w:ascii="Bookman Old Style" w:hAnsi="Bookman Old Style" w:cs="Arial"/>
          <w:sz w:val="24"/>
          <w:szCs w:val="24"/>
        </w:rPr>
        <w:t>Permukiman</w:t>
      </w:r>
      <w:r w:rsidR="00A954D0">
        <w:rPr>
          <w:rFonts w:ascii="Bookman Old Style" w:hAnsi="Bookman Old Style" w:cs="Arial"/>
          <w:sz w:val="24"/>
          <w:szCs w:val="24"/>
        </w:rPr>
        <w:t xml:space="preserve"> </w:t>
      </w:r>
      <w:r w:rsidR="004C62AF">
        <w:rPr>
          <w:rFonts w:ascii="Bookman Old Style" w:hAnsi="Bookman Old Style" w:cs="Arial"/>
          <w:sz w:val="24"/>
          <w:szCs w:val="24"/>
        </w:rPr>
        <w:t>d</w:t>
      </w:r>
      <w:r w:rsidRPr="008B2DAE">
        <w:rPr>
          <w:rFonts w:ascii="Bookman Old Style" w:hAnsi="Bookman Old Style" w:cs="Arial"/>
          <w:sz w:val="24"/>
          <w:szCs w:val="24"/>
        </w:rPr>
        <w:t>an</w:t>
      </w:r>
      <w:r w:rsidR="00A954D0">
        <w:rPr>
          <w:rFonts w:ascii="Bookman Old Style" w:hAnsi="Bookman Old Style" w:cs="Arial"/>
          <w:sz w:val="24"/>
          <w:szCs w:val="24"/>
        </w:rPr>
        <w:t xml:space="preserve"> </w:t>
      </w:r>
      <w:r w:rsidRPr="008B2DAE">
        <w:rPr>
          <w:rFonts w:ascii="Bookman Old Style" w:hAnsi="Bookman Old Style" w:cs="Arial"/>
          <w:sz w:val="24"/>
          <w:szCs w:val="24"/>
        </w:rPr>
        <w:t>Pertanahan</w:t>
      </w:r>
      <w:r w:rsidR="005D4B05">
        <w:rPr>
          <w:rFonts w:ascii="Bookman Old Style" w:hAnsi="Bookman Old Style" w:cs="Arial"/>
          <w:sz w:val="24"/>
          <w:szCs w:val="24"/>
        </w:rPr>
        <w:t>,</w:t>
      </w:r>
      <w:r w:rsidR="00A954D0">
        <w:rPr>
          <w:rFonts w:ascii="Bookman Old Style" w:hAnsi="Bookman Old Style" w:cs="Arial"/>
          <w:sz w:val="24"/>
          <w:szCs w:val="24"/>
        </w:rPr>
        <w:t xml:space="preserve"> </w:t>
      </w:r>
      <w:r w:rsidRPr="008B2DAE">
        <w:rPr>
          <w:rFonts w:ascii="Bookman Old Style" w:hAnsi="Bookman Old Style" w:cs="Arial"/>
          <w:sz w:val="24"/>
          <w:szCs w:val="24"/>
          <w:lang w:val="id-ID"/>
        </w:rPr>
        <w:t>pada</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Kegiatan</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Pengelolaan</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Pengembangan</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Sistem</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Air</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Limbah</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Domestik</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dalam</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Daerah</w:t>
      </w:r>
      <w:r w:rsidR="00A954D0">
        <w:rPr>
          <w:rFonts w:ascii="Bookman Old Style" w:hAnsi="Bookman Old Style" w:cs="Arial"/>
          <w:sz w:val="24"/>
          <w:szCs w:val="24"/>
          <w:lang w:val="id-ID"/>
        </w:rPr>
        <w:t xml:space="preserve"> </w:t>
      </w:r>
      <w:r w:rsidR="00172E1C">
        <w:rPr>
          <w:rFonts w:ascii="Bookman Old Style" w:hAnsi="Bookman Old Style" w:cs="Arial"/>
          <w:sz w:val="24"/>
          <w:szCs w:val="24"/>
          <w:lang w:val="id-ID"/>
        </w:rPr>
        <w:t>Kabupaten/Kota</w:t>
      </w:r>
      <w:r w:rsidR="00074748">
        <w:rPr>
          <w:rFonts w:ascii="Bookman Old Style" w:hAnsi="Bookman Old Style" w:cs="Arial"/>
          <w:sz w:val="24"/>
          <w:szCs w:val="24"/>
          <w:lang w:val="id-ID"/>
        </w:rPr>
        <w:t>,</w:t>
      </w:r>
      <w:r w:rsidR="00A954D0">
        <w:rPr>
          <w:rFonts w:ascii="Bookman Old Style" w:hAnsi="Bookman Old Style" w:cs="Arial"/>
          <w:sz w:val="24"/>
          <w:szCs w:val="24"/>
          <w:lang w:val="id-ID"/>
        </w:rPr>
        <w:t xml:space="preserve"> </w:t>
      </w:r>
      <w:r w:rsidR="00074748">
        <w:rPr>
          <w:rFonts w:ascii="Bookman Old Style" w:hAnsi="Bookman Old Style" w:cs="Arial"/>
          <w:sz w:val="24"/>
          <w:szCs w:val="24"/>
          <w:lang w:val="id-ID"/>
        </w:rPr>
        <w:t>s</w:t>
      </w:r>
      <w:r w:rsidRPr="008B2DAE">
        <w:rPr>
          <w:rFonts w:ascii="Bookman Old Style" w:hAnsi="Bookman Old Style" w:cs="Arial"/>
          <w:sz w:val="24"/>
          <w:szCs w:val="24"/>
          <w:lang w:val="id-ID"/>
        </w:rPr>
        <w:t>ub</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kegiatan</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Penyediaan</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Sarana</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Pengangkutan</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Lumpur</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Tinja</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Rp2.036.392.000,00</w:t>
      </w:r>
      <w:r w:rsidR="008B2DAE" w:rsidRPr="008B2DAE">
        <w:rPr>
          <w:rFonts w:ascii="Bookman Old Style" w:hAnsi="Bookman Old Style" w:cs="Arial"/>
          <w:sz w:val="24"/>
          <w:szCs w:val="24"/>
          <w:lang w:val="id-ID"/>
        </w:rPr>
        <w:t>;</w:t>
      </w:r>
    </w:p>
    <w:p w14:paraId="3D967762" w14:textId="5BA821A9" w:rsidR="002C136C" w:rsidRPr="008B2DAE" w:rsidRDefault="002C136C" w:rsidP="00F53446">
      <w:pPr>
        <w:pStyle w:val="ListParagraph"/>
        <w:numPr>
          <w:ilvl w:val="0"/>
          <w:numId w:val="182"/>
        </w:numPr>
        <w:snapToGrid w:val="0"/>
        <w:spacing w:before="60" w:after="0" w:line="276" w:lineRule="auto"/>
        <w:ind w:left="1701" w:hanging="425"/>
        <w:contextualSpacing w:val="0"/>
        <w:jc w:val="both"/>
        <w:rPr>
          <w:rFonts w:ascii="Bookman Old Style" w:hAnsi="Bookman Old Style" w:cs="Arial"/>
          <w:sz w:val="24"/>
          <w:szCs w:val="24"/>
        </w:rPr>
      </w:pPr>
      <w:r w:rsidRPr="008B2DAE">
        <w:rPr>
          <w:rFonts w:ascii="Bookman Old Style" w:hAnsi="Bookman Old Style" w:cs="Arial"/>
          <w:sz w:val="24"/>
          <w:szCs w:val="24"/>
        </w:rPr>
        <w:t>Dinas</w:t>
      </w:r>
      <w:r w:rsidR="00A954D0">
        <w:rPr>
          <w:rFonts w:ascii="Bookman Old Style" w:hAnsi="Bookman Old Style" w:cs="Arial"/>
          <w:sz w:val="24"/>
          <w:szCs w:val="24"/>
        </w:rPr>
        <w:t xml:space="preserve"> </w:t>
      </w:r>
      <w:r w:rsidRPr="008B2DAE">
        <w:rPr>
          <w:rFonts w:ascii="Bookman Old Style" w:hAnsi="Bookman Old Style" w:cs="Arial"/>
          <w:sz w:val="24"/>
          <w:szCs w:val="24"/>
        </w:rPr>
        <w:t>Kepemudaan</w:t>
      </w:r>
      <w:r w:rsidR="00A954D0">
        <w:rPr>
          <w:rFonts w:ascii="Bookman Old Style" w:hAnsi="Bookman Old Style" w:cs="Arial"/>
          <w:sz w:val="24"/>
          <w:szCs w:val="24"/>
        </w:rPr>
        <w:t xml:space="preserve"> </w:t>
      </w:r>
      <w:r w:rsidR="00F858D6">
        <w:rPr>
          <w:rFonts w:ascii="Bookman Old Style" w:hAnsi="Bookman Old Style" w:cs="Arial"/>
          <w:sz w:val="24"/>
          <w:szCs w:val="24"/>
        </w:rPr>
        <w:t>d</w:t>
      </w:r>
      <w:r w:rsidRPr="008B2DAE">
        <w:rPr>
          <w:rFonts w:ascii="Bookman Old Style" w:hAnsi="Bookman Old Style" w:cs="Arial"/>
          <w:sz w:val="24"/>
          <w:szCs w:val="24"/>
        </w:rPr>
        <w:t>an</w:t>
      </w:r>
      <w:r w:rsidR="00A954D0">
        <w:rPr>
          <w:rFonts w:ascii="Bookman Old Style" w:hAnsi="Bookman Old Style" w:cs="Arial"/>
          <w:sz w:val="24"/>
          <w:szCs w:val="24"/>
        </w:rPr>
        <w:t xml:space="preserve"> </w:t>
      </w:r>
      <w:r w:rsidRPr="008B2DAE">
        <w:rPr>
          <w:rFonts w:ascii="Bookman Old Style" w:hAnsi="Bookman Old Style" w:cs="Arial"/>
          <w:sz w:val="24"/>
          <w:szCs w:val="24"/>
        </w:rPr>
        <w:t>Olahraga</w:t>
      </w:r>
      <w:r w:rsidR="00A954D0">
        <w:rPr>
          <w:rFonts w:ascii="Bookman Old Style" w:hAnsi="Bookman Old Style" w:cs="Arial"/>
          <w:sz w:val="24"/>
          <w:szCs w:val="24"/>
        </w:rPr>
        <w:t xml:space="preserve"> </w:t>
      </w:r>
      <w:r w:rsidRPr="008B2DAE">
        <w:rPr>
          <w:rFonts w:ascii="Bookman Old Style" w:hAnsi="Bookman Old Style" w:cs="Arial"/>
          <w:sz w:val="24"/>
          <w:szCs w:val="24"/>
          <w:lang w:val="en-US"/>
        </w:rPr>
        <w:t>yang</w:t>
      </w:r>
      <w:r w:rsidR="00A954D0">
        <w:rPr>
          <w:rFonts w:ascii="Bookman Old Style" w:hAnsi="Bookman Old Style" w:cs="Arial"/>
          <w:sz w:val="24"/>
          <w:szCs w:val="24"/>
          <w:lang w:val="en-US"/>
        </w:rPr>
        <w:t xml:space="preserve"> </w:t>
      </w:r>
      <w:r w:rsidRPr="008B2DAE">
        <w:rPr>
          <w:rFonts w:ascii="Bookman Old Style" w:hAnsi="Bookman Old Style" w:cs="Arial"/>
          <w:sz w:val="24"/>
          <w:szCs w:val="24"/>
          <w:lang w:val="en-US"/>
        </w:rPr>
        <w:t>tercantum</w:t>
      </w:r>
      <w:r w:rsidR="00A954D0">
        <w:rPr>
          <w:rFonts w:ascii="Bookman Old Style" w:hAnsi="Bookman Old Style" w:cs="Arial"/>
          <w:sz w:val="24"/>
          <w:szCs w:val="24"/>
          <w:lang w:val="en-US"/>
        </w:rPr>
        <w:t xml:space="preserve"> </w:t>
      </w:r>
      <w:r w:rsidRPr="008B2DAE">
        <w:rPr>
          <w:rFonts w:ascii="Bookman Old Style" w:hAnsi="Bookman Old Style" w:cs="Arial"/>
          <w:sz w:val="24"/>
          <w:szCs w:val="24"/>
          <w:lang w:val="en-US"/>
        </w:rPr>
        <w:t>pada</w:t>
      </w:r>
      <w:r w:rsidR="00A954D0">
        <w:rPr>
          <w:rFonts w:ascii="Bookman Old Style" w:hAnsi="Bookman Old Style" w:cs="Arial"/>
          <w:sz w:val="24"/>
          <w:szCs w:val="24"/>
          <w:lang w:val="en-US"/>
        </w:rPr>
        <w:t xml:space="preserve"> </w:t>
      </w:r>
      <w:r w:rsidRPr="008B2DAE">
        <w:rPr>
          <w:rFonts w:ascii="Bookman Old Style" w:hAnsi="Bookman Old Style" w:cs="Arial"/>
          <w:sz w:val="24"/>
          <w:szCs w:val="24"/>
          <w:lang w:val="id-ID"/>
        </w:rPr>
        <w:t>Kegiatan</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Penyediaan</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Jasa</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Penunjang</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Urusan</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Pemerintahan</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Daerah</w:t>
      </w:r>
      <w:r w:rsidR="00946CBB">
        <w:rPr>
          <w:rFonts w:ascii="Bookman Old Style" w:hAnsi="Bookman Old Style" w:cs="Arial"/>
          <w:sz w:val="24"/>
          <w:szCs w:val="24"/>
          <w:lang w:val="id-ID"/>
        </w:rPr>
        <w:t>,</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en-US"/>
        </w:rPr>
        <w:t>pada</w:t>
      </w:r>
      <w:r w:rsidR="00A954D0">
        <w:rPr>
          <w:rFonts w:ascii="Bookman Old Style" w:hAnsi="Bookman Old Style" w:cs="Arial"/>
          <w:sz w:val="24"/>
          <w:szCs w:val="24"/>
          <w:lang w:val="en-US"/>
        </w:rPr>
        <w:t xml:space="preserve"> </w:t>
      </w:r>
      <w:r w:rsidR="00946CBB">
        <w:rPr>
          <w:rFonts w:ascii="Bookman Old Style" w:hAnsi="Bookman Old Style" w:cs="Arial"/>
          <w:sz w:val="24"/>
          <w:szCs w:val="24"/>
          <w:lang w:val="en-US"/>
        </w:rPr>
        <w:t>s</w:t>
      </w:r>
      <w:r w:rsidRPr="008B2DAE">
        <w:rPr>
          <w:rFonts w:ascii="Bookman Old Style" w:hAnsi="Bookman Old Style" w:cs="Arial"/>
          <w:sz w:val="24"/>
          <w:szCs w:val="24"/>
          <w:lang w:val="en-US"/>
        </w:rPr>
        <w:t>ub</w:t>
      </w:r>
      <w:r w:rsidR="00A954D0">
        <w:rPr>
          <w:rFonts w:ascii="Bookman Old Style" w:hAnsi="Bookman Old Style" w:cs="Arial"/>
          <w:sz w:val="24"/>
          <w:szCs w:val="24"/>
          <w:lang w:val="en-US"/>
        </w:rPr>
        <w:t xml:space="preserve"> </w:t>
      </w:r>
      <w:r w:rsidRPr="008B2DAE">
        <w:rPr>
          <w:rFonts w:ascii="Bookman Old Style" w:hAnsi="Bookman Old Style" w:cs="Arial"/>
          <w:sz w:val="24"/>
          <w:szCs w:val="24"/>
          <w:lang w:val="en-US"/>
        </w:rPr>
        <w:t>kegiatan</w:t>
      </w:r>
      <w:r w:rsidR="00A954D0">
        <w:rPr>
          <w:rFonts w:ascii="Bookman Old Style" w:hAnsi="Bookman Old Style" w:cs="Arial"/>
          <w:sz w:val="24"/>
          <w:szCs w:val="24"/>
          <w:lang w:val="en-US"/>
        </w:rPr>
        <w:t xml:space="preserve"> </w:t>
      </w:r>
      <w:r w:rsidRPr="008B2DAE">
        <w:rPr>
          <w:rFonts w:ascii="Bookman Old Style" w:hAnsi="Bookman Old Style" w:cs="Arial"/>
          <w:sz w:val="24"/>
          <w:szCs w:val="24"/>
          <w:lang w:val="en-US"/>
        </w:rPr>
        <w:t>Penyediaan</w:t>
      </w:r>
      <w:r w:rsidR="00A954D0">
        <w:rPr>
          <w:rFonts w:ascii="Bookman Old Style" w:hAnsi="Bookman Old Style" w:cs="Arial"/>
          <w:sz w:val="24"/>
          <w:szCs w:val="24"/>
          <w:lang w:val="en-US"/>
        </w:rPr>
        <w:t xml:space="preserve"> </w:t>
      </w:r>
      <w:r w:rsidRPr="008B2DAE">
        <w:rPr>
          <w:rFonts w:ascii="Bookman Old Style" w:hAnsi="Bookman Old Style" w:cs="Arial"/>
          <w:sz w:val="24"/>
          <w:szCs w:val="24"/>
          <w:lang w:val="en-US"/>
        </w:rPr>
        <w:t>Jasa</w:t>
      </w:r>
      <w:r w:rsidR="00A954D0">
        <w:rPr>
          <w:rFonts w:ascii="Bookman Old Style" w:hAnsi="Bookman Old Style" w:cs="Arial"/>
          <w:sz w:val="24"/>
          <w:szCs w:val="24"/>
          <w:lang w:val="en-US"/>
        </w:rPr>
        <w:t xml:space="preserve"> </w:t>
      </w:r>
      <w:r w:rsidRPr="008B2DAE">
        <w:rPr>
          <w:rFonts w:ascii="Bookman Old Style" w:hAnsi="Bookman Old Style" w:cs="Arial"/>
          <w:sz w:val="24"/>
          <w:szCs w:val="24"/>
          <w:lang w:val="en-US"/>
        </w:rPr>
        <w:t>Peralatan</w:t>
      </w:r>
      <w:r w:rsidR="00A954D0">
        <w:rPr>
          <w:rFonts w:ascii="Bookman Old Style" w:hAnsi="Bookman Old Style" w:cs="Arial"/>
          <w:sz w:val="24"/>
          <w:szCs w:val="24"/>
          <w:lang w:val="en-US"/>
        </w:rPr>
        <w:t xml:space="preserve"> </w:t>
      </w:r>
      <w:r w:rsidRPr="008B2DAE">
        <w:rPr>
          <w:rFonts w:ascii="Bookman Old Style" w:hAnsi="Bookman Old Style" w:cs="Arial"/>
          <w:sz w:val="24"/>
          <w:szCs w:val="24"/>
          <w:lang w:val="en-US"/>
        </w:rPr>
        <w:t>dan</w:t>
      </w:r>
      <w:r w:rsidR="00A954D0">
        <w:rPr>
          <w:rFonts w:ascii="Bookman Old Style" w:hAnsi="Bookman Old Style" w:cs="Arial"/>
          <w:sz w:val="24"/>
          <w:szCs w:val="24"/>
          <w:lang w:val="en-US"/>
        </w:rPr>
        <w:t xml:space="preserve"> </w:t>
      </w:r>
      <w:r w:rsidRPr="008B2DAE">
        <w:rPr>
          <w:rFonts w:ascii="Bookman Old Style" w:hAnsi="Bookman Old Style" w:cs="Arial"/>
          <w:sz w:val="24"/>
          <w:szCs w:val="24"/>
          <w:lang w:val="en-US"/>
        </w:rPr>
        <w:t>Perlengkapan</w:t>
      </w:r>
      <w:r w:rsidR="00A954D0">
        <w:rPr>
          <w:rFonts w:ascii="Bookman Old Style" w:hAnsi="Bookman Old Style" w:cs="Arial"/>
          <w:sz w:val="24"/>
          <w:szCs w:val="24"/>
          <w:lang w:val="en-US"/>
        </w:rPr>
        <w:t xml:space="preserve"> </w:t>
      </w:r>
      <w:r w:rsidRPr="008B2DAE">
        <w:rPr>
          <w:rFonts w:ascii="Bookman Old Style" w:hAnsi="Bookman Old Style" w:cs="Arial"/>
          <w:sz w:val="24"/>
          <w:szCs w:val="24"/>
          <w:lang w:val="en-US"/>
        </w:rPr>
        <w:t>Kantor</w:t>
      </w:r>
      <w:r w:rsidR="00A954D0">
        <w:rPr>
          <w:rFonts w:ascii="Bookman Old Style" w:hAnsi="Bookman Old Style" w:cs="Arial"/>
          <w:sz w:val="24"/>
          <w:szCs w:val="24"/>
          <w:lang w:val="en-US"/>
        </w:rPr>
        <w:t xml:space="preserve"> </w:t>
      </w:r>
      <w:r w:rsidRPr="008B2DAE">
        <w:rPr>
          <w:rFonts w:ascii="Bookman Old Style" w:hAnsi="Bookman Old Style" w:cs="Arial"/>
          <w:sz w:val="24"/>
          <w:szCs w:val="24"/>
          <w:lang w:val="en-US"/>
        </w:rPr>
        <w:t>Rp400.000.000,00</w:t>
      </w:r>
      <w:r w:rsidR="008B2DAE" w:rsidRPr="008B2DAE">
        <w:rPr>
          <w:rFonts w:ascii="Bookman Old Style" w:hAnsi="Bookman Old Style" w:cs="Arial"/>
          <w:sz w:val="24"/>
          <w:szCs w:val="24"/>
          <w:lang w:val="en-US"/>
        </w:rPr>
        <w:t>;</w:t>
      </w:r>
      <w:r w:rsidR="00A954D0">
        <w:rPr>
          <w:rFonts w:ascii="Bookman Old Style" w:hAnsi="Bookman Old Style" w:cs="Arial"/>
          <w:sz w:val="24"/>
          <w:szCs w:val="24"/>
          <w:lang w:val="en-US"/>
        </w:rPr>
        <w:t xml:space="preserve"> </w:t>
      </w:r>
    </w:p>
    <w:p w14:paraId="506EB3CE" w14:textId="7883C2E1" w:rsidR="002C136C" w:rsidRPr="008B2DAE" w:rsidRDefault="002C136C" w:rsidP="00F53446">
      <w:pPr>
        <w:pStyle w:val="ListParagraph"/>
        <w:numPr>
          <w:ilvl w:val="0"/>
          <w:numId w:val="182"/>
        </w:numPr>
        <w:snapToGrid w:val="0"/>
        <w:spacing w:before="60" w:after="0" w:line="276" w:lineRule="auto"/>
        <w:ind w:left="1701" w:hanging="425"/>
        <w:contextualSpacing w:val="0"/>
        <w:jc w:val="both"/>
        <w:rPr>
          <w:rFonts w:ascii="Bookman Old Style" w:hAnsi="Bookman Old Style" w:cs="Arial"/>
          <w:sz w:val="24"/>
          <w:szCs w:val="24"/>
        </w:rPr>
      </w:pPr>
      <w:r w:rsidRPr="008B2DAE">
        <w:rPr>
          <w:rFonts w:ascii="Bookman Old Style" w:hAnsi="Bookman Old Style" w:cs="Arial"/>
          <w:sz w:val="24"/>
          <w:szCs w:val="24"/>
        </w:rPr>
        <w:t>Dinas</w:t>
      </w:r>
      <w:r w:rsidR="00A954D0">
        <w:rPr>
          <w:rFonts w:ascii="Bookman Old Style" w:hAnsi="Bookman Old Style" w:cs="Arial"/>
          <w:sz w:val="24"/>
          <w:szCs w:val="24"/>
        </w:rPr>
        <w:t xml:space="preserve"> </w:t>
      </w:r>
      <w:r w:rsidRPr="008B2DAE">
        <w:rPr>
          <w:rFonts w:ascii="Bookman Old Style" w:hAnsi="Bookman Old Style" w:cs="Arial"/>
          <w:sz w:val="24"/>
          <w:szCs w:val="24"/>
        </w:rPr>
        <w:t>Kebudayaan</w:t>
      </w:r>
      <w:r w:rsidR="00A954D0">
        <w:rPr>
          <w:rFonts w:ascii="Bookman Old Style" w:hAnsi="Bookman Old Style" w:cs="Arial"/>
          <w:sz w:val="24"/>
          <w:szCs w:val="24"/>
        </w:rPr>
        <w:t xml:space="preserve"> </w:t>
      </w:r>
      <w:r w:rsidR="00576B33">
        <w:rPr>
          <w:rFonts w:ascii="Bookman Old Style" w:hAnsi="Bookman Old Style" w:cs="Arial"/>
          <w:sz w:val="24"/>
          <w:szCs w:val="24"/>
        </w:rPr>
        <w:t>d</w:t>
      </w:r>
      <w:r w:rsidRPr="008B2DAE">
        <w:rPr>
          <w:rFonts w:ascii="Bookman Old Style" w:hAnsi="Bookman Old Style" w:cs="Arial"/>
          <w:sz w:val="24"/>
          <w:szCs w:val="24"/>
        </w:rPr>
        <w:t>an</w:t>
      </w:r>
      <w:r w:rsidR="00A954D0">
        <w:rPr>
          <w:rFonts w:ascii="Bookman Old Style" w:hAnsi="Bookman Old Style" w:cs="Arial"/>
          <w:sz w:val="24"/>
          <w:szCs w:val="24"/>
        </w:rPr>
        <w:t xml:space="preserve"> </w:t>
      </w:r>
      <w:r w:rsidRPr="008B2DAE">
        <w:rPr>
          <w:rFonts w:ascii="Bookman Old Style" w:hAnsi="Bookman Old Style" w:cs="Arial"/>
          <w:sz w:val="24"/>
          <w:szCs w:val="24"/>
        </w:rPr>
        <w:t>Pariwisata</w:t>
      </w:r>
      <w:r w:rsidR="00A954D0">
        <w:rPr>
          <w:rFonts w:ascii="Bookman Old Style" w:hAnsi="Bookman Old Style" w:cs="Arial"/>
          <w:sz w:val="24"/>
          <w:szCs w:val="24"/>
          <w:lang w:val="en-US"/>
        </w:rPr>
        <w:t xml:space="preserve"> </w:t>
      </w:r>
      <w:r w:rsidRPr="008B2DAE">
        <w:rPr>
          <w:rFonts w:ascii="Bookman Old Style" w:hAnsi="Bookman Old Style" w:cs="Arial"/>
          <w:sz w:val="24"/>
          <w:szCs w:val="24"/>
          <w:lang w:val="en-US"/>
        </w:rPr>
        <w:t>yang</w:t>
      </w:r>
      <w:r w:rsidR="00A954D0">
        <w:rPr>
          <w:rFonts w:ascii="Bookman Old Style" w:hAnsi="Bookman Old Style" w:cs="Arial"/>
          <w:sz w:val="24"/>
          <w:szCs w:val="24"/>
          <w:lang w:val="en-US"/>
        </w:rPr>
        <w:t xml:space="preserve"> </w:t>
      </w:r>
      <w:r w:rsidRPr="008B2DAE">
        <w:rPr>
          <w:rFonts w:ascii="Bookman Old Style" w:hAnsi="Bookman Old Style" w:cs="Arial"/>
          <w:sz w:val="24"/>
          <w:szCs w:val="24"/>
          <w:lang w:val="en-US"/>
        </w:rPr>
        <w:t>tercantum</w:t>
      </w:r>
      <w:r w:rsidR="00A954D0">
        <w:rPr>
          <w:rFonts w:ascii="Bookman Old Style" w:hAnsi="Bookman Old Style" w:cs="Arial"/>
          <w:sz w:val="24"/>
          <w:szCs w:val="24"/>
          <w:lang w:val="en-US"/>
        </w:rPr>
        <w:t xml:space="preserve"> </w:t>
      </w:r>
      <w:r w:rsidRPr="008B2DAE">
        <w:rPr>
          <w:rFonts w:ascii="Bookman Old Style" w:hAnsi="Bookman Old Style" w:cs="Arial"/>
          <w:sz w:val="24"/>
          <w:szCs w:val="24"/>
          <w:lang w:val="en-US"/>
        </w:rPr>
        <w:t>pada</w:t>
      </w:r>
      <w:r w:rsidR="00A954D0">
        <w:rPr>
          <w:rFonts w:ascii="Bookman Old Style" w:hAnsi="Bookman Old Style" w:cs="Arial"/>
          <w:sz w:val="24"/>
          <w:szCs w:val="24"/>
          <w:lang w:val="en-US"/>
        </w:rPr>
        <w:t xml:space="preserve"> </w:t>
      </w:r>
      <w:r w:rsidRPr="008B2DAE">
        <w:rPr>
          <w:rFonts w:ascii="Bookman Old Style" w:hAnsi="Bookman Old Style" w:cs="Arial"/>
          <w:sz w:val="24"/>
          <w:szCs w:val="24"/>
          <w:lang w:val="id-ID"/>
        </w:rPr>
        <w:t>Kegiatan</w:t>
      </w:r>
      <w:r w:rsidR="00A954D0">
        <w:rPr>
          <w:sz w:val="24"/>
          <w:szCs w:val="24"/>
        </w:rPr>
        <w:t xml:space="preserve"> </w:t>
      </w:r>
      <w:r w:rsidRPr="008B2DAE">
        <w:rPr>
          <w:rFonts w:ascii="Bookman Old Style" w:hAnsi="Bookman Old Style" w:cs="Arial"/>
          <w:sz w:val="24"/>
          <w:szCs w:val="24"/>
          <w:lang w:val="id-ID"/>
        </w:rPr>
        <w:t>Pengadaan</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Barang</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Milik</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Daerah</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Penunjang</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Urusan</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Pemerintah</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Daerah</w:t>
      </w:r>
      <w:r w:rsidR="00A954D0">
        <w:rPr>
          <w:rFonts w:ascii="Bookman Old Style" w:hAnsi="Bookman Old Style" w:cs="Arial"/>
          <w:sz w:val="24"/>
          <w:szCs w:val="24"/>
          <w:lang w:val="en-US"/>
        </w:rPr>
        <w:t xml:space="preserve"> </w:t>
      </w:r>
      <w:r w:rsidRPr="008B2DAE">
        <w:rPr>
          <w:rFonts w:ascii="Bookman Old Style" w:hAnsi="Bookman Old Style" w:cs="Arial"/>
          <w:sz w:val="24"/>
          <w:szCs w:val="24"/>
          <w:lang w:val="en-US"/>
        </w:rPr>
        <w:t>pada</w:t>
      </w:r>
      <w:r w:rsidR="00A954D0">
        <w:rPr>
          <w:rFonts w:ascii="Bookman Old Style" w:hAnsi="Bookman Old Style" w:cs="Arial"/>
          <w:sz w:val="24"/>
          <w:szCs w:val="24"/>
          <w:lang w:val="en-US"/>
        </w:rPr>
        <w:t xml:space="preserve"> </w:t>
      </w:r>
      <w:r w:rsidRPr="008B2DAE">
        <w:rPr>
          <w:rFonts w:ascii="Bookman Old Style" w:hAnsi="Bookman Old Style" w:cs="Arial"/>
          <w:sz w:val="24"/>
          <w:szCs w:val="24"/>
          <w:lang w:val="en-US"/>
        </w:rPr>
        <w:t>sub</w:t>
      </w:r>
      <w:r w:rsidR="00A954D0">
        <w:rPr>
          <w:rFonts w:ascii="Bookman Old Style" w:hAnsi="Bookman Old Style" w:cs="Arial"/>
          <w:sz w:val="24"/>
          <w:szCs w:val="24"/>
          <w:lang w:val="en-US"/>
        </w:rPr>
        <w:t xml:space="preserve"> </w:t>
      </w:r>
      <w:r w:rsidRPr="008B2DAE">
        <w:rPr>
          <w:rFonts w:ascii="Bookman Old Style" w:hAnsi="Bookman Old Style" w:cs="Arial"/>
          <w:sz w:val="24"/>
          <w:szCs w:val="24"/>
          <w:lang w:val="en-US"/>
        </w:rPr>
        <w:t>kegiatan</w:t>
      </w:r>
      <w:r w:rsidR="00A954D0">
        <w:rPr>
          <w:rFonts w:ascii="Bookman Old Style" w:hAnsi="Bookman Old Style" w:cs="Arial"/>
          <w:sz w:val="24"/>
          <w:szCs w:val="24"/>
          <w:lang w:val="en-US"/>
        </w:rPr>
        <w:t xml:space="preserve"> </w:t>
      </w:r>
      <w:r w:rsidRPr="008B2DAE">
        <w:rPr>
          <w:rFonts w:ascii="Bookman Old Style" w:hAnsi="Bookman Old Style" w:cs="Arial"/>
          <w:sz w:val="24"/>
          <w:szCs w:val="24"/>
          <w:lang w:val="en-US"/>
        </w:rPr>
        <w:t>Pengadaan</w:t>
      </w:r>
      <w:r w:rsidR="00A954D0">
        <w:rPr>
          <w:rFonts w:ascii="Bookman Old Style" w:hAnsi="Bookman Old Style" w:cs="Arial"/>
          <w:sz w:val="24"/>
          <w:szCs w:val="24"/>
          <w:lang w:val="en-US"/>
        </w:rPr>
        <w:t xml:space="preserve"> </w:t>
      </w:r>
      <w:r w:rsidRPr="008B2DAE">
        <w:rPr>
          <w:rFonts w:ascii="Bookman Old Style" w:hAnsi="Bookman Old Style" w:cs="Arial"/>
          <w:sz w:val="24"/>
          <w:szCs w:val="24"/>
          <w:lang w:val="en-US"/>
        </w:rPr>
        <w:t>Kendaraan</w:t>
      </w:r>
      <w:r w:rsidR="00A954D0">
        <w:rPr>
          <w:rFonts w:ascii="Bookman Old Style" w:hAnsi="Bookman Old Style" w:cs="Arial"/>
          <w:sz w:val="24"/>
          <w:szCs w:val="24"/>
          <w:lang w:val="en-US"/>
        </w:rPr>
        <w:t xml:space="preserve"> </w:t>
      </w:r>
      <w:r w:rsidRPr="008B2DAE">
        <w:rPr>
          <w:rFonts w:ascii="Bookman Old Style" w:hAnsi="Bookman Old Style" w:cs="Arial"/>
          <w:sz w:val="24"/>
          <w:szCs w:val="24"/>
          <w:lang w:val="en-US"/>
        </w:rPr>
        <w:t>Perorangan</w:t>
      </w:r>
      <w:r w:rsidR="00A954D0">
        <w:rPr>
          <w:rFonts w:ascii="Bookman Old Style" w:hAnsi="Bookman Old Style" w:cs="Arial"/>
          <w:sz w:val="24"/>
          <w:szCs w:val="24"/>
          <w:lang w:val="en-US"/>
        </w:rPr>
        <w:t xml:space="preserve"> </w:t>
      </w:r>
      <w:r w:rsidRPr="008B2DAE">
        <w:rPr>
          <w:rFonts w:ascii="Bookman Old Style" w:hAnsi="Bookman Old Style" w:cs="Arial"/>
          <w:sz w:val="24"/>
          <w:szCs w:val="24"/>
          <w:lang w:val="en-US"/>
        </w:rPr>
        <w:t>Dinas</w:t>
      </w:r>
      <w:r w:rsidR="00A954D0">
        <w:rPr>
          <w:rFonts w:ascii="Bookman Old Style" w:hAnsi="Bookman Old Style" w:cs="Arial"/>
          <w:sz w:val="24"/>
          <w:szCs w:val="24"/>
          <w:lang w:val="en-US"/>
        </w:rPr>
        <w:t xml:space="preserve"> </w:t>
      </w:r>
      <w:r w:rsidRPr="008B2DAE">
        <w:rPr>
          <w:rFonts w:ascii="Bookman Old Style" w:hAnsi="Bookman Old Style" w:cs="Arial"/>
          <w:sz w:val="24"/>
          <w:szCs w:val="24"/>
          <w:lang w:val="en-US"/>
        </w:rPr>
        <w:t>atau</w:t>
      </w:r>
      <w:r w:rsidR="00A954D0">
        <w:rPr>
          <w:rFonts w:ascii="Bookman Old Style" w:hAnsi="Bookman Old Style" w:cs="Arial"/>
          <w:sz w:val="24"/>
          <w:szCs w:val="24"/>
          <w:lang w:val="en-US"/>
        </w:rPr>
        <w:t xml:space="preserve"> </w:t>
      </w:r>
      <w:r w:rsidRPr="008B2DAE">
        <w:rPr>
          <w:rFonts w:ascii="Bookman Old Style" w:hAnsi="Bookman Old Style" w:cs="Arial"/>
          <w:sz w:val="24"/>
          <w:szCs w:val="24"/>
          <w:lang w:val="en-US"/>
        </w:rPr>
        <w:t>Kendaraan</w:t>
      </w:r>
      <w:r w:rsidR="00A954D0">
        <w:rPr>
          <w:rFonts w:ascii="Bookman Old Style" w:hAnsi="Bookman Old Style" w:cs="Arial"/>
          <w:sz w:val="24"/>
          <w:szCs w:val="24"/>
          <w:lang w:val="en-US"/>
        </w:rPr>
        <w:t xml:space="preserve"> </w:t>
      </w:r>
      <w:r w:rsidRPr="008B2DAE">
        <w:rPr>
          <w:rFonts w:ascii="Bookman Old Style" w:hAnsi="Bookman Old Style" w:cs="Arial"/>
          <w:sz w:val="24"/>
          <w:szCs w:val="24"/>
          <w:lang w:val="en-US"/>
        </w:rPr>
        <w:t>Dinas</w:t>
      </w:r>
      <w:r w:rsidR="00A954D0">
        <w:rPr>
          <w:rFonts w:ascii="Bookman Old Style" w:hAnsi="Bookman Old Style" w:cs="Arial"/>
          <w:sz w:val="24"/>
          <w:szCs w:val="24"/>
          <w:lang w:val="en-US"/>
        </w:rPr>
        <w:t xml:space="preserve"> </w:t>
      </w:r>
      <w:r w:rsidRPr="008B2DAE">
        <w:rPr>
          <w:rFonts w:ascii="Bookman Old Style" w:hAnsi="Bookman Old Style" w:cs="Arial"/>
          <w:sz w:val="24"/>
          <w:szCs w:val="24"/>
          <w:lang w:val="en-US"/>
        </w:rPr>
        <w:t>Jabatan</w:t>
      </w:r>
      <w:r w:rsidR="00A954D0">
        <w:rPr>
          <w:rFonts w:ascii="Bookman Old Style" w:hAnsi="Bookman Old Style" w:cs="Arial"/>
          <w:sz w:val="24"/>
          <w:szCs w:val="24"/>
          <w:lang w:val="en-US"/>
        </w:rPr>
        <w:t xml:space="preserve"> </w:t>
      </w:r>
      <w:r w:rsidRPr="008B2DAE">
        <w:rPr>
          <w:rFonts w:ascii="Bookman Old Style" w:hAnsi="Bookman Old Style" w:cs="Arial"/>
          <w:sz w:val="24"/>
          <w:szCs w:val="24"/>
          <w:lang w:val="en-US"/>
        </w:rPr>
        <w:t>Rp136.080.000,00</w:t>
      </w:r>
      <w:r w:rsidR="008B2DAE" w:rsidRPr="008B2DAE">
        <w:rPr>
          <w:rFonts w:ascii="Bookman Old Style" w:hAnsi="Bookman Old Style" w:cs="Arial"/>
          <w:sz w:val="24"/>
          <w:szCs w:val="24"/>
          <w:lang w:val="en-US"/>
        </w:rPr>
        <w:t>;</w:t>
      </w:r>
    </w:p>
    <w:p w14:paraId="637126E3" w14:textId="2B9612B8" w:rsidR="008650D9" w:rsidRPr="003255BC" w:rsidRDefault="002C136C" w:rsidP="00F53446">
      <w:pPr>
        <w:pStyle w:val="ListParagraph"/>
        <w:numPr>
          <w:ilvl w:val="0"/>
          <w:numId w:val="182"/>
        </w:numPr>
        <w:snapToGrid w:val="0"/>
        <w:spacing w:before="60" w:line="276" w:lineRule="auto"/>
        <w:ind w:left="1701" w:hanging="425"/>
        <w:jc w:val="both"/>
        <w:rPr>
          <w:rFonts w:ascii="Bookman Old Style" w:hAnsi="Bookman Old Style" w:cs="Arial"/>
          <w:sz w:val="24"/>
          <w:szCs w:val="24"/>
          <w:lang w:val="sv-FI"/>
        </w:rPr>
      </w:pPr>
      <w:r w:rsidRPr="008B2DAE">
        <w:rPr>
          <w:rFonts w:ascii="Bookman Old Style" w:hAnsi="Bookman Old Style" w:cs="Arial"/>
          <w:sz w:val="24"/>
          <w:szCs w:val="24"/>
        </w:rPr>
        <w:t>Inspektorat</w:t>
      </w:r>
      <w:r w:rsidR="00A954D0">
        <w:rPr>
          <w:rFonts w:ascii="Bookman Old Style" w:hAnsi="Bookman Old Style" w:cs="Arial"/>
          <w:sz w:val="24"/>
          <w:szCs w:val="24"/>
        </w:rPr>
        <w:t xml:space="preserve"> </w:t>
      </w:r>
      <w:r w:rsidRPr="003255BC">
        <w:rPr>
          <w:rFonts w:ascii="Bookman Old Style" w:hAnsi="Bookman Old Style" w:cs="Arial"/>
          <w:sz w:val="24"/>
          <w:szCs w:val="24"/>
          <w:lang w:val="sv-FI"/>
        </w:rPr>
        <w:t>Pada</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kegiatan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Perencanaan,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Penganggaran,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dan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Evaluasi</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Kinerja</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Perangkat</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Daerah</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pada</w:t>
      </w:r>
      <w:r w:rsidR="00A954D0" w:rsidRPr="003255BC">
        <w:rPr>
          <w:rFonts w:ascii="Bookman Old Style" w:hAnsi="Bookman Old Style" w:cs="Arial"/>
          <w:sz w:val="24"/>
          <w:szCs w:val="24"/>
          <w:lang w:val="sv-FI"/>
        </w:rPr>
        <w:t xml:space="preserve"> </w:t>
      </w:r>
      <w:r w:rsidR="008650D9" w:rsidRPr="003255BC">
        <w:rPr>
          <w:rFonts w:ascii="Bookman Old Style" w:hAnsi="Bookman Old Style" w:cs="Arial"/>
          <w:sz w:val="24"/>
          <w:szCs w:val="24"/>
          <w:lang w:val="sv-FI"/>
        </w:rPr>
        <w:t>sub</w:t>
      </w:r>
      <w:r w:rsidR="00A954D0" w:rsidRPr="003255BC">
        <w:rPr>
          <w:rFonts w:ascii="Bookman Old Style" w:hAnsi="Bookman Old Style" w:cs="Arial"/>
          <w:sz w:val="24"/>
          <w:szCs w:val="24"/>
          <w:lang w:val="sv-FI"/>
        </w:rPr>
        <w:t xml:space="preserve"> </w:t>
      </w:r>
      <w:r w:rsidR="008650D9" w:rsidRPr="003255BC">
        <w:rPr>
          <w:rFonts w:ascii="Bookman Old Style" w:hAnsi="Bookman Old Style" w:cs="Arial"/>
          <w:sz w:val="24"/>
          <w:szCs w:val="24"/>
          <w:lang w:val="sv-FI"/>
        </w:rPr>
        <w:t>kegiatan:</w:t>
      </w:r>
    </w:p>
    <w:p w14:paraId="6C446301" w14:textId="5BAA00DC" w:rsidR="008650D9" w:rsidRPr="00256727" w:rsidRDefault="002C136C" w:rsidP="00F53446">
      <w:pPr>
        <w:pStyle w:val="ListParagraph"/>
        <w:numPr>
          <w:ilvl w:val="0"/>
          <w:numId w:val="263"/>
        </w:numPr>
        <w:snapToGrid w:val="0"/>
        <w:spacing w:before="60" w:line="276" w:lineRule="auto"/>
        <w:ind w:left="2268" w:hanging="567"/>
        <w:jc w:val="both"/>
        <w:rPr>
          <w:rFonts w:ascii="Bookman Old Style" w:hAnsi="Bookman Old Style" w:cs="Arial"/>
          <w:sz w:val="24"/>
          <w:szCs w:val="24"/>
          <w:lang w:val="sv-FI"/>
        </w:rPr>
      </w:pPr>
      <w:r w:rsidRPr="00256727">
        <w:rPr>
          <w:rFonts w:ascii="Bookman Old Style" w:hAnsi="Bookman Old Style" w:cs="Arial"/>
          <w:sz w:val="24"/>
          <w:szCs w:val="24"/>
          <w:lang w:val="sv-FI"/>
        </w:rPr>
        <w:t>Koordinasi</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dan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Penyusunan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Dokumen</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RKA-SKPD</w:t>
      </w:r>
      <w:r w:rsidR="00A954D0" w:rsidRPr="00256727">
        <w:rPr>
          <w:rFonts w:ascii="Bookman Old Style" w:hAnsi="Bookman Old Style" w:cs="Arial"/>
          <w:sz w:val="24"/>
          <w:szCs w:val="24"/>
          <w:lang w:val="sv-FI"/>
        </w:rPr>
        <w:t xml:space="preserve"> </w:t>
      </w:r>
      <w:r w:rsidRPr="00256727">
        <w:rPr>
          <w:rFonts w:ascii="Bookman Old Style" w:hAnsi="Bookman Old Style" w:cs="Arial"/>
          <w:sz w:val="24"/>
          <w:szCs w:val="24"/>
          <w:lang w:val="sv-FI"/>
        </w:rPr>
        <w:t>Rp249.000,00</w:t>
      </w:r>
      <w:r w:rsidR="008650D9" w:rsidRPr="00256727">
        <w:rPr>
          <w:rFonts w:ascii="Bookman Old Style" w:hAnsi="Bookman Old Style" w:cs="Arial"/>
          <w:sz w:val="24"/>
          <w:szCs w:val="24"/>
          <w:lang w:val="sv-FI"/>
        </w:rPr>
        <w:t>;</w:t>
      </w:r>
    </w:p>
    <w:p w14:paraId="3552FCC0" w14:textId="23C6D87F" w:rsidR="008650D9" w:rsidRPr="00256727" w:rsidRDefault="002C136C" w:rsidP="00F53446">
      <w:pPr>
        <w:pStyle w:val="ListParagraph"/>
        <w:numPr>
          <w:ilvl w:val="0"/>
          <w:numId w:val="263"/>
        </w:numPr>
        <w:snapToGrid w:val="0"/>
        <w:spacing w:before="60" w:line="276" w:lineRule="auto"/>
        <w:ind w:left="2268" w:hanging="567"/>
        <w:jc w:val="both"/>
        <w:rPr>
          <w:rFonts w:ascii="Bookman Old Style" w:hAnsi="Bookman Old Style" w:cs="Arial"/>
          <w:sz w:val="24"/>
          <w:szCs w:val="24"/>
          <w:lang w:val="sv-FI"/>
        </w:rPr>
      </w:pPr>
      <w:r w:rsidRPr="008B2DAE">
        <w:rPr>
          <w:rFonts w:ascii="Bookman Old Style" w:hAnsi="Bookman Old Style" w:cs="Arial"/>
          <w:sz w:val="24"/>
          <w:szCs w:val="24"/>
          <w:lang w:val="id-ID"/>
        </w:rPr>
        <w:t>Koordinasi</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Penyusunan</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Dokumen</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Perubahan</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RKA-SKPD</w:t>
      </w:r>
      <w:r w:rsidR="00A954D0">
        <w:rPr>
          <w:rFonts w:ascii="Bookman Old Style" w:hAnsi="Bookman Old Style" w:cs="Arial"/>
          <w:sz w:val="24"/>
          <w:szCs w:val="24"/>
          <w:lang w:val="id-ID"/>
        </w:rPr>
        <w:t xml:space="preserve"> </w:t>
      </w:r>
      <w:r w:rsidRPr="008B2DAE">
        <w:rPr>
          <w:rFonts w:ascii="Bookman Old Style" w:hAnsi="Bookman Old Style" w:cs="Arial"/>
          <w:sz w:val="24"/>
          <w:szCs w:val="24"/>
          <w:lang w:val="id-ID"/>
        </w:rPr>
        <w:t>Rp</w:t>
      </w:r>
      <w:r w:rsidRPr="00256727">
        <w:rPr>
          <w:rFonts w:ascii="Bookman Old Style" w:hAnsi="Bookman Old Style" w:cs="Arial"/>
          <w:sz w:val="24"/>
          <w:szCs w:val="24"/>
          <w:lang w:val="sv-FI"/>
        </w:rPr>
        <w:t>249.000,00</w:t>
      </w:r>
      <w:r w:rsidR="008650D9" w:rsidRPr="00256727">
        <w:rPr>
          <w:rFonts w:ascii="Bookman Old Style" w:hAnsi="Bookman Old Style" w:cs="Arial"/>
          <w:sz w:val="24"/>
          <w:szCs w:val="24"/>
          <w:lang w:val="sv-FI"/>
        </w:rPr>
        <w:t>;</w:t>
      </w:r>
    </w:p>
    <w:p w14:paraId="41F4D16F" w14:textId="64939B71" w:rsidR="002C136C" w:rsidRPr="00F53446" w:rsidRDefault="002C136C" w:rsidP="00F53446">
      <w:pPr>
        <w:pStyle w:val="ListParagraph"/>
        <w:numPr>
          <w:ilvl w:val="0"/>
          <w:numId w:val="263"/>
        </w:numPr>
        <w:snapToGrid w:val="0"/>
        <w:spacing w:before="60" w:line="276" w:lineRule="auto"/>
        <w:ind w:left="2268" w:hanging="567"/>
        <w:jc w:val="both"/>
        <w:rPr>
          <w:rFonts w:ascii="Bookman Old Style" w:hAnsi="Bookman Old Style" w:cs="Arial"/>
          <w:sz w:val="24"/>
          <w:szCs w:val="24"/>
          <w:lang w:val="sv-FI"/>
        </w:rPr>
      </w:pPr>
      <w:r w:rsidRPr="00F53446">
        <w:rPr>
          <w:rFonts w:ascii="Bookman Old Style" w:hAnsi="Bookman Old Style" w:cs="Arial"/>
          <w:sz w:val="24"/>
          <w:szCs w:val="24"/>
          <w:lang w:val="sv-FI"/>
        </w:rPr>
        <w:t>Koordinasi</w:t>
      </w:r>
      <w:r w:rsidR="00A954D0" w:rsidRPr="00F53446">
        <w:rPr>
          <w:rFonts w:ascii="Bookman Old Style" w:hAnsi="Bookman Old Style" w:cs="Arial"/>
          <w:sz w:val="24"/>
          <w:szCs w:val="24"/>
          <w:lang w:val="sv-FI"/>
        </w:rPr>
        <w:t xml:space="preserve"> </w:t>
      </w:r>
      <w:r w:rsidRPr="00F53446">
        <w:rPr>
          <w:rFonts w:ascii="Bookman Old Style" w:hAnsi="Bookman Old Style" w:cs="Arial"/>
          <w:sz w:val="24"/>
          <w:szCs w:val="24"/>
          <w:lang w:val="sv-FI"/>
        </w:rPr>
        <w:t>dan</w:t>
      </w:r>
      <w:r w:rsidR="00A954D0" w:rsidRPr="00F53446">
        <w:rPr>
          <w:rFonts w:ascii="Bookman Old Style" w:hAnsi="Bookman Old Style" w:cs="Arial"/>
          <w:sz w:val="24"/>
          <w:szCs w:val="24"/>
          <w:lang w:val="sv-FI"/>
        </w:rPr>
        <w:t xml:space="preserve"> </w:t>
      </w:r>
      <w:r w:rsidRPr="00F53446">
        <w:rPr>
          <w:rFonts w:ascii="Bookman Old Style" w:hAnsi="Bookman Old Style" w:cs="Arial"/>
          <w:sz w:val="24"/>
          <w:szCs w:val="24"/>
          <w:lang w:val="sv-FI"/>
        </w:rPr>
        <w:t>Penyusunan</w:t>
      </w:r>
      <w:r w:rsidR="00A954D0" w:rsidRPr="00F53446">
        <w:rPr>
          <w:rFonts w:ascii="Bookman Old Style" w:hAnsi="Bookman Old Style" w:cs="Arial"/>
          <w:sz w:val="24"/>
          <w:szCs w:val="24"/>
          <w:lang w:val="sv-FI"/>
        </w:rPr>
        <w:t xml:space="preserve"> </w:t>
      </w:r>
      <w:r w:rsidRPr="00F53446">
        <w:rPr>
          <w:rFonts w:ascii="Bookman Old Style" w:hAnsi="Bookman Old Style" w:cs="Arial"/>
          <w:sz w:val="24"/>
          <w:szCs w:val="24"/>
          <w:lang w:val="sv-FI"/>
        </w:rPr>
        <w:t>DPA-SKPD</w:t>
      </w:r>
      <w:r w:rsidR="00A954D0" w:rsidRPr="00F53446">
        <w:rPr>
          <w:rFonts w:ascii="Bookman Old Style" w:hAnsi="Bookman Old Style" w:cs="Arial"/>
          <w:sz w:val="24"/>
          <w:szCs w:val="24"/>
          <w:lang w:val="sv-FI"/>
        </w:rPr>
        <w:t xml:space="preserve"> </w:t>
      </w:r>
      <w:r w:rsidRPr="00F53446">
        <w:rPr>
          <w:rFonts w:ascii="Bookman Old Style" w:hAnsi="Bookman Old Style" w:cs="Arial"/>
          <w:sz w:val="24"/>
          <w:szCs w:val="24"/>
          <w:lang w:val="sv-FI"/>
        </w:rPr>
        <w:t>Rp249.000,00</w:t>
      </w:r>
      <w:r w:rsidR="00A954D0" w:rsidRPr="00F53446">
        <w:rPr>
          <w:rFonts w:ascii="Bookman Old Style" w:hAnsi="Bookman Old Style" w:cs="Arial"/>
          <w:sz w:val="24"/>
          <w:szCs w:val="24"/>
          <w:lang w:val="sv-FI"/>
        </w:rPr>
        <w:t xml:space="preserve"> </w:t>
      </w:r>
      <w:r w:rsidR="008650D9" w:rsidRPr="00F53446">
        <w:rPr>
          <w:rFonts w:ascii="Bookman Old Style" w:hAnsi="Bookman Old Style" w:cs="Arial"/>
          <w:sz w:val="24"/>
          <w:szCs w:val="24"/>
          <w:lang w:val="sv-FI"/>
        </w:rPr>
        <w:t>sub</w:t>
      </w:r>
      <w:r w:rsidR="00A954D0" w:rsidRPr="00F53446">
        <w:rPr>
          <w:rFonts w:ascii="Bookman Old Style" w:hAnsi="Bookman Old Style" w:cs="Arial"/>
          <w:sz w:val="24"/>
          <w:szCs w:val="24"/>
          <w:lang w:val="sv-FI"/>
        </w:rPr>
        <w:t xml:space="preserve"> </w:t>
      </w:r>
      <w:r w:rsidR="008650D9" w:rsidRPr="00F53446">
        <w:rPr>
          <w:rFonts w:ascii="Bookman Old Style" w:hAnsi="Bookman Old Style" w:cs="Arial"/>
          <w:sz w:val="24"/>
          <w:szCs w:val="24"/>
          <w:lang w:val="sv-FI"/>
        </w:rPr>
        <w:t>kegiatan</w:t>
      </w:r>
      <w:r w:rsidR="00A954D0" w:rsidRPr="00F53446">
        <w:rPr>
          <w:rFonts w:ascii="Bookman Old Style" w:hAnsi="Bookman Old Style" w:cs="Arial"/>
          <w:sz w:val="24"/>
          <w:szCs w:val="24"/>
          <w:lang w:val="sv-FI"/>
        </w:rPr>
        <w:t xml:space="preserve"> </w:t>
      </w:r>
      <w:r w:rsidRPr="00F53446">
        <w:rPr>
          <w:rFonts w:ascii="Bookman Old Style" w:hAnsi="Bookman Old Style" w:cs="Arial"/>
          <w:sz w:val="24"/>
          <w:szCs w:val="24"/>
          <w:lang w:val="sv-FI"/>
        </w:rPr>
        <w:t>Koordinasi</w:t>
      </w:r>
      <w:r w:rsidR="00A954D0" w:rsidRPr="00F53446">
        <w:rPr>
          <w:rFonts w:ascii="Bookman Old Style" w:hAnsi="Bookman Old Style" w:cs="Arial"/>
          <w:sz w:val="24"/>
          <w:szCs w:val="24"/>
          <w:lang w:val="sv-FI"/>
        </w:rPr>
        <w:t xml:space="preserve"> </w:t>
      </w:r>
      <w:r w:rsidRPr="00F53446">
        <w:rPr>
          <w:rFonts w:ascii="Bookman Old Style" w:hAnsi="Bookman Old Style" w:cs="Arial"/>
          <w:sz w:val="24"/>
          <w:szCs w:val="24"/>
          <w:lang w:val="sv-FI"/>
        </w:rPr>
        <w:t>dan</w:t>
      </w:r>
      <w:r w:rsidR="00A954D0" w:rsidRPr="00F53446">
        <w:rPr>
          <w:rFonts w:ascii="Bookman Old Style" w:hAnsi="Bookman Old Style" w:cs="Arial"/>
          <w:sz w:val="24"/>
          <w:szCs w:val="24"/>
          <w:lang w:val="sv-FI"/>
        </w:rPr>
        <w:t xml:space="preserve"> </w:t>
      </w:r>
      <w:r w:rsidRPr="00F53446">
        <w:rPr>
          <w:rFonts w:ascii="Bookman Old Style" w:hAnsi="Bookman Old Style" w:cs="Arial"/>
          <w:sz w:val="24"/>
          <w:szCs w:val="24"/>
          <w:lang w:val="sv-FI"/>
        </w:rPr>
        <w:t>Penyusunan</w:t>
      </w:r>
      <w:r w:rsidR="00A954D0" w:rsidRPr="00F53446">
        <w:rPr>
          <w:rFonts w:ascii="Bookman Old Style" w:hAnsi="Bookman Old Style" w:cs="Arial"/>
          <w:sz w:val="24"/>
          <w:szCs w:val="24"/>
          <w:lang w:val="sv-FI"/>
        </w:rPr>
        <w:t xml:space="preserve"> </w:t>
      </w:r>
      <w:r w:rsidRPr="00F53446">
        <w:rPr>
          <w:rFonts w:ascii="Bookman Old Style" w:hAnsi="Bookman Old Style" w:cs="Arial"/>
          <w:sz w:val="24"/>
          <w:szCs w:val="24"/>
          <w:lang w:val="sv-FI"/>
        </w:rPr>
        <w:t>Perubahan</w:t>
      </w:r>
      <w:r w:rsidR="00A954D0" w:rsidRPr="00F53446">
        <w:rPr>
          <w:rFonts w:ascii="Bookman Old Style" w:hAnsi="Bookman Old Style" w:cs="Arial"/>
          <w:sz w:val="24"/>
          <w:szCs w:val="24"/>
          <w:lang w:val="sv-FI"/>
        </w:rPr>
        <w:t xml:space="preserve"> </w:t>
      </w:r>
      <w:r w:rsidRPr="00F53446">
        <w:rPr>
          <w:rFonts w:ascii="Bookman Old Style" w:hAnsi="Bookman Old Style" w:cs="Arial"/>
          <w:sz w:val="24"/>
          <w:szCs w:val="24"/>
          <w:lang w:val="sv-FI"/>
        </w:rPr>
        <w:t>DPA-</w:t>
      </w:r>
      <w:r w:rsidR="00A954D0" w:rsidRPr="00F53446">
        <w:rPr>
          <w:rFonts w:ascii="Bookman Old Style" w:hAnsi="Bookman Old Style" w:cs="Arial"/>
          <w:sz w:val="24"/>
          <w:szCs w:val="24"/>
          <w:lang w:val="sv-FI"/>
        </w:rPr>
        <w:t xml:space="preserve"> </w:t>
      </w:r>
      <w:r w:rsidRPr="00F53446">
        <w:rPr>
          <w:rFonts w:ascii="Bookman Old Style" w:hAnsi="Bookman Old Style" w:cs="Arial"/>
          <w:sz w:val="24"/>
          <w:szCs w:val="24"/>
          <w:lang w:val="sv-FI"/>
        </w:rPr>
        <w:t>SKPD</w:t>
      </w:r>
      <w:r w:rsidR="00A954D0" w:rsidRPr="00F53446">
        <w:rPr>
          <w:rFonts w:ascii="Bookman Old Style" w:hAnsi="Bookman Old Style" w:cs="Arial"/>
          <w:sz w:val="24"/>
          <w:szCs w:val="24"/>
          <w:lang w:val="sv-FI"/>
        </w:rPr>
        <w:t xml:space="preserve"> </w:t>
      </w:r>
      <w:r w:rsidRPr="008B2DAE">
        <w:rPr>
          <w:rFonts w:ascii="Bookman Old Style" w:hAnsi="Bookman Old Style" w:cs="Arial"/>
          <w:sz w:val="24"/>
          <w:szCs w:val="24"/>
          <w:lang w:val="id-ID"/>
        </w:rPr>
        <w:t>Rp</w:t>
      </w:r>
      <w:r w:rsidRPr="00F53446">
        <w:rPr>
          <w:rFonts w:ascii="Bookman Old Style" w:hAnsi="Bookman Old Style" w:cs="Arial"/>
          <w:sz w:val="24"/>
          <w:szCs w:val="24"/>
          <w:lang w:val="sv-FI"/>
        </w:rPr>
        <w:t>249.000,00</w:t>
      </w:r>
      <w:r w:rsidR="00F53446" w:rsidRPr="00F53446">
        <w:rPr>
          <w:rFonts w:ascii="Bookman Old Style" w:hAnsi="Bookman Old Style" w:cs="Arial"/>
          <w:sz w:val="24"/>
          <w:szCs w:val="24"/>
          <w:lang w:val="sv-FI"/>
        </w:rPr>
        <w:t>.</w:t>
      </w:r>
    </w:p>
    <w:p w14:paraId="127BFB67" w14:textId="794116D8" w:rsidR="00201203" w:rsidRPr="00F53446" w:rsidRDefault="002C136C" w:rsidP="00861E03">
      <w:pPr>
        <w:pStyle w:val="ListParagraph"/>
        <w:numPr>
          <w:ilvl w:val="0"/>
          <w:numId w:val="182"/>
        </w:numPr>
        <w:snapToGrid w:val="0"/>
        <w:spacing w:before="60" w:after="0" w:line="276" w:lineRule="auto"/>
        <w:ind w:left="1701" w:hanging="425"/>
        <w:jc w:val="both"/>
        <w:rPr>
          <w:rFonts w:ascii="Bookman Old Style" w:hAnsi="Bookman Old Style" w:cs="Arial"/>
          <w:sz w:val="24"/>
          <w:szCs w:val="24"/>
          <w:lang w:val="sv-FI"/>
        </w:rPr>
      </w:pPr>
      <w:r w:rsidRPr="00F53446">
        <w:rPr>
          <w:rFonts w:ascii="Bookman Old Style" w:hAnsi="Bookman Old Style" w:cs="Arial"/>
          <w:sz w:val="24"/>
          <w:szCs w:val="24"/>
          <w:lang w:val="sv-FI"/>
        </w:rPr>
        <w:t>Kecamatan</w:t>
      </w:r>
      <w:r w:rsidR="00A954D0" w:rsidRPr="00F53446">
        <w:rPr>
          <w:rFonts w:ascii="Bookman Old Style" w:hAnsi="Bookman Old Style" w:cs="Arial"/>
          <w:sz w:val="24"/>
          <w:szCs w:val="24"/>
          <w:lang w:val="sv-FI"/>
        </w:rPr>
        <w:t xml:space="preserve"> </w:t>
      </w:r>
      <w:r w:rsidRPr="00F53446">
        <w:rPr>
          <w:rFonts w:ascii="Bookman Old Style" w:hAnsi="Bookman Old Style" w:cs="Arial"/>
          <w:sz w:val="24"/>
          <w:szCs w:val="24"/>
          <w:lang w:val="sv-FI"/>
        </w:rPr>
        <w:t>Jatiuwung</w:t>
      </w:r>
      <w:r w:rsidR="00A954D0" w:rsidRPr="00F53446">
        <w:rPr>
          <w:rFonts w:ascii="Bookman Old Style" w:hAnsi="Bookman Old Style" w:cs="Arial"/>
          <w:sz w:val="24"/>
          <w:szCs w:val="24"/>
          <w:lang w:val="sv-FI"/>
        </w:rPr>
        <w:t xml:space="preserve"> </w:t>
      </w:r>
      <w:r w:rsidRPr="00F53446">
        <w:rPr>
          <w:rFonts w:ascii="Bookman Old Style" w:hAnsi="Bookman Old Style" w:cs="Arial"/>
          <w:sz w:val="24"/>
          <w:szCs w:val="24"/>
          <w:lang w:val="sv-FI"/>
        </w:rPr>
        <w:t>pada</w:t>
      </w:r>
      <w:r w:rsidR="00A954D0" w:rsidRPr="00F53446">
        <w:rPr>
          <w:rFonts w:ascii="Bookman Old Style" w:hAnsi="Bookman Old Style" w:cs="Arial"/>
          <w:sz w:val="24"/>
          <w:szCs w:val="24"/>
          <w:lang w:val="sv-FI"/>
        </w:rPr>
        <w:t xml:space="preserve"> </w:t>
      </w:r>
      <w:r w:rsidRPr="00F53446">
        <w:rPr>
          <w:rFonts w:ascii="Bookman Old Style" w:hAnsi="Bookman Old Style" w:cs="Arial"/>
          <w:sz w:val="24"/>
          <w:szCs w:val="24"/>
          <w:lang w:val="sv-FI"/>
        </w:rPr>
        <w:t>Kegiatan</w:t>
      </w:r>
      <w:r w:rsidR="00A954D0" w:rsidRPr="00F53446">
        <w:rPr>
          <w:rFonts w:ascii="Bookman Old Style" w:hAnsi="Bookman Old Style" w:cs="Arial"/>
          <w:sz w:val="24"/>
          <w:szCs w:val="24"/>
          <w:lang w:val="sv-FI"/>
        </w:rPr>
        <w:t xml:space="preserve"> </w:t>
      </w:r>
      <w:r w:rsidRPr="00F53446">
        <w:rPr>
          <w:rFonts w:ascii="Bookman Old Style" w:hAnsi="Bookman Old Style" w:cs="Arial"/>
          <w:sz w:val="24"/>
          <w:szCs w:val="24"/>
          <w:lang w:val="sv-FI"/>
        </w:rPr>
        <w:t>Pengadaan</w:t>
      </w:r>
      <w:r w:rsidR="00A954D0" w:rsidRPr="00F53446">
        <w:rPr>
          <w:rFonts w:ascii="Bookman Old Style" w:hAnsi="Bookman Old Style" w:cs="Arial"/>
          <w:sz w:val="24"/>
          <w:szCs w:val="24"/>
          <w:lang w:val="sv-FI"/>
        </w:rPr>
        <w:t xml:space="preserve"> </w:t>
      </w:r>
      <w:r w:rsidRPr="00F53446">
        <w:rPr>
          <w:rFonts w:ascii="Bookman Old Style" w:hAnsi="Bookman Old Style" w:cs="Arial"/>
          <w:sz w:val="24"/>
          <w:szCs w:val="24"/>
          <w:lang w:val="sv-FI"/>
        </w:rPr>
        <w:t>Barang</w:t>
      </w:r>
      <w:r w:rsidR="00A954D0" w:rsidRPr="00F53446">
        <w:rPr>
          <w:rFonts w:ascii="Bookman Old Style" w:hAnsi="Bookman Old Style" w:cs="Arial"/>
          <w:sz w:val="24"/>
          <w:szCs w:val="24"/>
          <w:lang w:val="sv-FI"/>
        </w:rPr>
        <w:t xml:space="preserve"> </w:t>
      </w:r>
      <w:r w:rsidRPr="00F53446">
        <w:rPr>
          <w:rFonts w:ascii="Bookman Old Style" w:hAnsi="Bookman Old Style" w:cs="Arial"/>
          <w:sz w:val="24"/>
          <w:szCs w:val="24"/>
          <w:lang w:val="sv-FI"/>
        </w:rPr>
        <w:t>Milik</w:t>
      </w:r>
      <w:r w:rsidR="00A954D0" w:rsidRPr="00F53446">
        <w:rPr>
          <w:rFonts w:ascii="Bookman Old Style" w:hAnsi="Bookman Old Style" w:cs="Arial"/>
          <w:sz w:val="24"/>
          <w:szCs w:val="24"/>
          <w:lang w:val="sv-FI"/>
        </w:rPr>
        <w:t xml:space="preserve"> </w:t>
      </w:r>
      <w:r w:rsidRPr="00F53446">
        <w:rPr>
          <w:rFonts w:ascii="Bookman Old Style" w:hAnsi="Bookman Old Style" w:cs="Arial"/>
          <w:sz w:val="24"/>
          <w:szCs w:val="24"/>
          <w:lang w:val="sv-FI"/>
        </w:rPr>
        <w:t>Daerah</w:t>
      </w:r>
      <w:r w:rsidR="00A954D0" w:rsidRPr="00F53446">
        <w:rPr>
          <w:rFonts w:ascii="Bookman Old Style" w:hAnsi="Bookman Old Style" w:cs="Arial"/>
          <w:sz w:val="24"/>
          <w:szCs w:val="24"/>
          <w:lang w:val="sv-FI"/>
        </w:rPr>
        <w:t xml:space="preserve"> </w:t>
      </w:r>
      <w:r w:rsidRPr="00F53446">
        <w:rPr>
          <w:rFonts w:ascii="Bookman Old Style" w:hAnsi="Bookman Old Style" w:cs="Arial"/>
          <w:sz w:val="24"/>
          <w:szCs w:val="24"/>
          <w:lang w:val="sv-FI"/>
        </w:rPr>
        <w:t>Penunjang</w:t>
      </w:r>
      <w:r w:rsidR="00A954D0" w:rsidRPr="00F53446">
        <w:rPr>
          <w:rFonts w:ascii="Bookman Old Style" w:hAnsi="Bookman Old Style" w:cs="Arial"/>
          <w:sz w:val="24"/>
          <w:szCs w:val="24"/>
          <w:lang w:val="sv-FI"/>
        </w:rPr>
        <w:t xml:space="preserve"> </w:t>
      </w:r>
      <w:r w:rsidRPr="00F53446">
        <w:rPr>
          <w:rFonts w:ascii="Bookman Old Style" w:hAnsi="Bookman Old Style" w:cs="Arial"/>
          <w:sz w:val="24"/>
          <w:szCs w:val="24"/>
          <w:lang w:val="sv-FI"/>
        </w:rPr>
        <w:t>Urusan</w:t>
      </w:r>
      <w:r w:rsidR="00A954D0" w:rsidRPr="00F53446">
        <w:rPr>
          <w:rFonts w:ascii="Bookman Old Style" w:hAnsi="Bookman Old Style" w:cs="Arial"/>
          <w:sz w:val="24"/>
          <w:szCs w:val="24"/>
          <w:lang w:val="sv-FI"/>
        </w:rPr>
        <w:t xml:space="preserve"> </w:t>
      </w:r>
      <w:r w:rsidRPr="00F53446">
        <w:rPr>
          <w:rFonts w:ascii="Bookman Old Style" w:hAnsi="Bookman Old Style" w:cs="Arial"/>
          <w:sz w:val="24"/>
          <w:szCs w:val="24"/>
          <w:lang w:val="sv-FI"/>
        </w:rPr>
        <w:t>Pemerintah</w:t>
      </w:r>
      <w:r w:rsidR="00A954D0" w:rsidRPr="00F53446">
        <w:rPr>
          <w:rFonts w:ascii="Bookman Old Style" w:hAnsi="Bookman Old Style" w:cs="Arial"/>
          <w:sz w:val="24"/>
          <w:szCs w:val="24"/>
          <w:lang w:val="sv-FI"/>
        </w:rPr>
        <w:t xml:space="preserve"> </w:t>
      </w:r>
      <w:r w:rsidRPr="00F53446">
        <w:rPr>
          <w:rFonts w:ascii="Bookman Old Style" w:hAnsi="Bookman Old Style" w:cs="Arial"/>
          <w:sz w:val="24"/>
          <w:szCs w:val="24"/>
          <w:lang w:val="sv-FI"/>
        </w:rPr>
        <w:t>Daerah</w:t>
      </w:r>
      <w:r w:rsidR="00A954D0" w:rsidRPr="00F53446">
        <w:rPr>
          <w:rFonts w:ascii="Bookman Old Style" w:hAnsi="Bookman Old Style" w:cs="Arial"/>
          <w:sz w:val="24"/>
          <w:szCs w:val="24"/>
          <w:lang w:val="sv-FI"/>
        </w:rPr>
        <w:t xml:space="preserve"> </w:t>
      </w:r>
      <w:r w:rsidR="008650D9" w:rsidRPr="00F53446">
        <w:rPr>
          <w:rFonts w:ascii="Bookman Old Style" w:hAnsi="Bookman Old Style" w:cs="Arial"/>
          <w:sz w:val="24"/>
          <w:szCs w:val="24"/>
          <w:lang w:val="sv-FI"/>
        </w:rPr>
        <w:t>sub</w:t>
      </w:r>
      <w:r w:rsidR="00A954D0" w:rsidRPr="00F53446">
        <w:rPr>
          <w:rFonts w:ascii="Bookman Old Style" w:hAnsi="Bookman Old Style" w:cs="Arial"/>
          <w:sz w:val="24"/>
          <w:szCs w:val="24"/>
          <w:lang w:val="sv-FI"/>
        </w:rPr>
        <w:t xml:space="preserve"> </w:t>
      </w:r>
      <w:r w:rsidR="008650D9" w:rsidRPr="00F53446">
        <w:rPr>
          <w:rFonts w:ascii="Bookman Old Style" w:hAnsi="Bookman Old Style" w:cs="Arial"/>
          <w:sz w:val="24"/>
          <w:szCs w:val="24"/>
          <w:lang w:val="sv-FI"/>
        </w:rPr>
        <w:t>kegiatan</w:t>
      </w:r>
      <w:r w:rsidR="00A954D0" w:rsidRPr="00F53446">
        <w:rPr>
          <w:rFonts w:ascii="Bookman Old Style" w:hAnsi="Bookman Old Style" w:cs="Arial"/>
          <w:sz w:val="24"/>
          <w:szCs w:val="24"/>
          <w:lang w:val="sv-FI"/>
        </w:rPr>
        <w:t xml:space="preserve"> </w:t>
      </w:r>
      <w:r w:rsidRPr="00F53446">
        <w:rPr>
          <w:rFonts w:ascii="Bookman Old Style" w:hAnsi="Bookman Old Style" w:cs="Arial"/>
          <w:sz w:val="24"/>
          <w:szCs w:val="24"/>
          <w:lang w:val="sv-FI"/>
        </w:rPr>
        <w:t>Pengadaan</w:t>
      </w:r>
      <w:r w:rsidR="00A954D0" w:rsidRPr="00F53446">
        <w:rPr>
          <w:rFonts w:ascii="Bookman Old Style" w:hAnsi="Bookman Old Style" w:cs="Arial"/>
          <w:sz w:val="24"/>
          <w:szCs w:val="24"/>
          <w:lang w:val="sv-FI"/>
        </w:rPr>
        <w:t xml:space="preserve"> </w:t>
      </w:r>
      <w:r w:rsidRPr="00F53446">
        <w:rPr>
          <w:rFonts w:ascii="Bookman Old Style" w:hAnsi="Bookman Old Style" w:cs="Arial"/>
          <w:sz w:val="24"/>
          <w:szCs w:val="24"/>
          <w:lang w:val="sv-FI"/>
        </w:rPr>
        <w:t>Kendaraan</w:t>
      </w:r>
      <w:r w:rsidR="00A954D0" w:rsidRPr="00F53446">
        <w:rPr>
          <w:rFonts w:ascii="Bookman Old Style" w:hAnsi="Bookman Old Style" w:cs="Arial"/>
          <w:sz w:val="24"/>
          <w:szCs w:val="24"/>
          <w:lang w:val="sv-FI"/>
        </w:rPr>
        <w:t xml:space="preserve"> </w:t>
      </w:r>
      <w:r w:rsidRPr="00F53446">
        <w:rPr>
          <w:rFonts w:ascii="Bookman Old Style" w:hAnsi="Bookman Old Style" w:cs="Arial"/>
          <w:sz w:val="24"/>
          <w:szCs w:val="24"/>
          <w:lang w:val="sv-FI"/>
        </w:rPr>
        <w:t>Dinas</w:t>
      </w:r>
      <w:r w:rsidR="00A954D0" w:rsidRPr="00F53446">
        <w:rPr>
          <w:rFonts w:ascii="Bookman Old Style" w:hAnsi="Bookman Old Style" w:cs="Arial"/>
          <w:sz w:val="24"/>
          <w:szCs w:val="24"/>
          <w:lang w:val="sv-FI"/>
        </w:rPr>
        <w:t xml:space="preserve"> </w:t>
      </w:r>
      <w:r w:rsidRPr="00F53446">
        <w:rPr>
          <w:rFonts w:ascii="Bookman Old Style" w:hAnsi="Bookman Old Style" w:cs="Arial"/>
          <w:sz w:val="24"/>
          <w:szCs w:val="24"/>
          <w:lang w:val="sv-FI"/>
        </w:rPr>
        <w:t>Operasional</w:t>
      </w:r>
      <w:r w:rsidR="00A954D0" w:rsidRPr="00F53446">
        <w:rPr>
          <w:rFonts w:ascii="Bookman Old Style" w:hAnsi="Bookman Old Style" w:cs="Arial"/>
          <w:sz w:val="24"/>
          <w:szCs w:val="24"/>
          <w:lang w:val="sv-FI"/>
        </w:rPr>
        <w:t xml:space="preserve"> </w:t>
      </w:r>
      <w:r w:rsidRPr="00F53446">
        <w:rPr>
          <w:rFonts w:ascii="Bookman Old Style" w:hAnsi="Bookman Old Style" w:cs="Arial"/>
          <w:sz w:val="24"/>
          <w:szCs w:val="24"/>
          <w:lang w:val="sv-FI"/>
        </w:rPr>
        <w:t>atau</w:t>
      </w:r>
      <w:r w:rsidR="00A954D0" w:rsidRPr="00F53446">
        <w:rPr>
          <w:rFonts w:ascii="Bookman Old Style" w:hAnsi="Bookman Old Style" w:cs="Arial"/>
          <w:sz w:val="24"/>
          <w:szCs w:val="24"/>
          <w:lang w:val="sv-FI"/>
        </w:rPr>
        <w:t xml:space="preserve"> </w:t>
      </w:r>
      <w:r w:rsidRPr="00F53446">
        <w:rPr>
          <w:rFonts w:ascii="Bookman Old Style" w:hAnsi="Bookman Old Style" w:cs="Arial"/>
          <w:sz w:val="24"/>
          <w:szCs w:val="24"/>
          <w:lang w:val="sv-FI"/>
        </w:rPr>
        <w:t>Lapangan</w:t>
      </w:r>
      <w:r w:rsidR="00A954D0" w:rsidRPr="00F53446">
        <w:rPr>
          <w:rFonts w:ascii="Bookman Old Style" w:hAnsi="Bookman Old Style" w:cs="Arial"/>
          <w:sz w:val="24"/>
          <w:szCs w:val="24"/>
          <w:lang w:val="sv-FI"/>
        </w:rPr>
        <w:t xml:space="preserve"> </w:t>
      </w:r>
      <w:r w:rsidRPr="00F53446">
        <w:rPr>
          <w:rFonts w:ascii="Bookman Old Style" w:hAnsi="Bookman Old Style" w:cs="Arial"/>
          <w:sz w:val="24"/>
          <w:szCs w:val="24"/>
          <w:lang w:val="sv-FI"/>
        </w:rPr>
        <w:t>Rp25.417.300,00;</w:t>
      </w:r>
    </w:p>
    <w:p w14:paraId="4AC4CCCB" w14:textId="37258BB5" w:rsidR="002C136C" w:rsidRPr="00727324" w:rsidRDefault="002C136C" w:rsidP="00A97B96">
      <w:pPr>
        <w:spacing w:line="276" w:lineRule="auto"/>
        <w:ind w:left="993"/>
        <w:jc w:val="both"/>
        <w:rPr>
          <w:rFonts w:ascii="Bookman Old Style" w:hAnsi="Bookman Old Style"/>
          <w:lang w:val="id-ID"/>
        </w:rPr>
      </w:pPr>
      <w:r w:rsidRPr="00AB3D54">
        <w:rPr>
          <w:rFonts w:ascii="Bookman Old Style" w:hAnsi="Bookman Old Style"/>
          <w:lang w:val="id-ID"/>
        </w:rPr>
        <w:t>Selanjutnya,</w:t>
      </w:r>
      <w:r w:rsidR="00A954D0">
        <w:rPr>
          <w:rFonts w:ascii="Bookman Old Style" w:hAnsi="Bookman Old Style"/>
          <w:lang w:val="id-ID"/>
        </w:rPr>
        <w:t xml:space="preserve"> </w:t>
      </w:r>
      <w:r w:rsidRPr="00AB3D54">
        <w:rPr>
          <w:rFonts w:ascii="Bookman Old Style" w:hAnsi="Bookman Old Style"/>
          <w:lang w:val="id-ID"/>
        </w:rPr>
        <w:t>Program,</w:t>
      </w:r>
      <w:r w:rsidR="00A954D0">
        <w:rPr>
          <w:rFonts w:ascii="Bookman Old Style" w:hAnsi="Bookman Old Style"/>
          <w:lang w:val="id-ID"/>
        </w:rPr>
        <w:t xml:space="preserve"> </w:t>
      </w:r>
      <w:r w:rsidRPr="00AB3D54">
        <w:rPr>
          <w:rFonts w:ascii="Bookman Old Style" w:hAnsi="Bookman Old Style"/>
          <w:lang w:val="id-ID"/>
        </w:rPr>
        <w:t>Kegiatan,</w:t>
      </w:r>
      <w:r w:rsidR="00A954D0">
        <w:rPr>
          <w:rFonts w:ascii="Bookman Old Style" w:hAnsi="Bookman Old Style"/>
          <w:lang w:val="id-ID"/>
        </w:rPr>
        <w:t xml:space="preserve"> </w:t>
      </w:r>
      <w:r w:rsidRPr="00AB3D54">
        <w:rPr>
          <w:rFonts w:ascii="Bookman Old Style" w:hAnsi="Bookman Old Style"/>
          <w:lang w:val="id-ID"/>
        </w:rPr>
        <w:t>dan</w:t>
      </w:r>
      <w:r w:rsidR="00A954D0">
        <w:rPr>
          <w:rFonts w:ascii="Bookman Old Style" w:hAnsi="Bookman Old Style"/>
          <w:lang w:val="id-ID"/>
        </w:rPr>
        <w:t xml:space="preserve"> </w:t>
      </w:r>
      <w:r w:rsidRPr="00AB3D54">
        <w:rPr>
          <w:rFonts w:ascii="Bookman Old Style" w:hAnsi="Bookman Old Style"/>
          <w:lang w:val="id-ID"/>
        </w:rPr>
        <w:t>Sub</w:t>
      </w:r>
      <w:r w:rsidR="00A954D0">
        <w:rPr>
          <w:rFonts w:ascii="Bookman Old Style" w:hAnsi="Bookman Old Style"/>
          <w:lang w:val="id-ID"/>
        </w:rPr>
        <w:t xml:space="preserve"> </w:t>
      </w:r>
      <w:r w:rsidRPr="00AB3D54">
        <w:rPr>
          <w:rFonts w:ascii="Bookman Old Style" w:hAnsi="Bookman Old Style"/>
          <w:lang w:val="id-ID"/>
        </w:rPr>
        <w:t>Kegiatan</w:t>
      </w:r>
      <w:r w:rsidR="00A954D0">
        <w:rPr>
          <w:rFonts w:ascii="Bookman Old Style" w:hAnsi="Bookman Old Style"/>
          <w:lang w:val="id-ID"/>
        </w:rPr>
        <w:t xml:space="preserve"> </w:t>
      </w:r>
      <w:r w:rsidRPr="00AB3D54">
        <w:rPr>
          <w:rFonts w:ascii="Bookman Old Style" w:hAnsi="Bookman Old Style"/>
          <w:lang w:val="id-ID"/>
        </w:rPr>
        <w:t>dalam</w:t>
      </w:r>
      <w:r w:rsidR="00A954D0">
        <w:rPr>
          <w:rFonts w:ascii="Bookman Old Style" w:hAnsi="Bookman Old Style"/>
          <w:lang w:val="id-ID"/>
        </w:rPr>
        <w:t xml:space="preserve"> </w:t>
      </w:r>
      <w:r w:rsidRPr="00AB3D54">
        <w:rPr>
          <w:rFonts w:ascii="Bookman Old Style" w:hAnsi="Bookman Old Style"/>
          <w:lang w:val="id-ID"/>
        </w:rPr>
        <w:t>Rancangan</w:t>
      </w:r>
      <w:r w:rsidR="00A954D0">
        <w:rPr>
          <w:rFonts w:ascii="Bookman Old Style" w:hAnsi="Bookman Old Style"/>
          <w:lang w:val="id-ID"/>
        </w:rPr>
        <w:t xml:space="preserve"> </w:t>
      </w:r>
      <w:r w:rsidRPr="00AB3D54">
        <w:rPr>
          <w:rFonts w:ascii="Bookman Old Style" w:hAnsi="Bookman Old Style"/>
          <w:lang w:val="id-ID"/>
        </w:rPr>
        <w:t>Peraturan</w:t>
      </w:r>
      <w:r w:rsidR="00A954D0">
        <w:rPr>
          <w:rFonts w:ascii="Bookman Old Style" w:hAnsi="Bookman Old Style"/>
          <w:lang w:val="id-ID"/>
        </w:rPr>
        <w:t xml:space="preserve"> </w:t>
      </w:r>
      <w:r w:rsidRPr="00AB3D54">
        <w:rPr>
          <w:rFonts w:ascii="Bookman Old Style" w:hAnsi="Bookman Old Style"/>
          <w:lang w:val="id-ID"/>
        </w:rPr>
        <w:t>Daerah</w:t>
      </w:r>
      <w:r w:rsidR="00A954D0">
        <w:rPr>
          <w:rFonts w:ascii="Bookman Old Style" w:hAnsi="Bookman Old Style"/>
          <w:lang w:val="id-ID"/>
        </w:rPr>
        <w:t xml:space="preserve"> </w:t>
      </w:r>
      <w:r w:rsidRPr="00AB3D54">
        <w:rPr>
          <w:rFonts w:ascii="Bookman Old Style" w:hAnsi="Bookman Old Style"/>
          <w:lang w:val="fi-FI"/>
        </w:rPr>
        <w:t>Kota</w:t>
      </w:r>
      <w:r w:rsidR="00A954D0">
        <w:rPr>
          <w:rFonts w:ascii="Bookman Old Style" w:hAnsi="Bookman Old Style"/>
          <w:lang w:val="fi-FI"/>
        </w:rPr>
        <w:t xml:space="preserve"> </w:t>
      </w:r>
      <w:r w:rsidRPr="00AB3D54">
        <w:rPr>
          <w:rFonts w:ascii="Bookman Old Style" w:hAnsi="Bookman Old Style"/>
          <w:lang w:val="fi-FI"/>
        </w:rPr>
        <w:t>Tangerang</w:t>
      </w:r>
      <w:r w:rsidR="00A954D0">
        <w:rPr>
          <w:rFonts w:ascii="Bookman Old Style" w:hAnsi="Bookman Old Style"/>
          <w:lang w:val="fi-FI"/>
        </w:rPr>
        <w:t xml:space="preserve"> </w:t>
      </w:r>
      <w:r w:rsidRPr="00AB3D54">
        <w:rPr>
          <w:rFonts w:ascii="Bookman Old Style" w:hAnsi="Bookman Old Style"/>
          <w:lang w:val="id-ID"/>
        </w:rPr>
        <w:t>tentang</w:t>
      </w:r>
      <w:r w:rsidR="00A954D0">
        <w:rPr>
          <w:rFonts w:ascii="Bookman Old Style" w:hAnsi="Bookman Old Style"/>
          <w:lang w:val="id-ID"/>
        </w:rPr>
        <w:t xml:space="preserve"> </w:t>
      </w:r>
      <w:r w:rsidRPr="00AB3D54">
        <w:rPr>
          <w:rFonts w:ascii="Bookman Old Style" w:hAnsi="Bookman Old Style"/>
          <w:bCs/>
          <w:lang w:val="id-ID" w:eastAsia="id-ID"/>
        </w:rPr>
        <w:t>APBD</w:t>
      </w:r>
      <w:r w:rsidR="00A954D0">
        <w:rPr>
          <w:rFonts w:ascii="Bookman Old Style" w:hAnsi="Bookman Old Style"/>
          <w:bCs/>
          <w:lang w:val="id-ID" w:eastAsia="id-ID"/>
        </w:rPr>
        <w:t xml:space="preserve"> </w:t>
      </w:r>
      <w:r w:rsidRPr="00AB3D54">
        <w:rPr>
          <w:rFonts w:ascii="Bookman Old Style" w:hAnsi="Bookman Old Style"/>
          <w:bCs/>
          <w:lang w:val="id-ID" w:eastAsia="id-ID"/>
        </w:rPr>
        <w:t>Tahun</w:t>
      </w:r>
      <w:r w:rsidR="00A954D0">
        <w:rPr>
          <w:rFonts w:ascii="Bookman Old Style" w:hAnsi="Bookman Old Style"/>
          <w:bCs/>
          <w:lang w:val="id-ID" w:eastAsia="id-ID"/>
        </w:rPr>
        <w:t xml:space="preserve"> </w:t>
      </w:r>
      <w:r w:rsidRPr="00AB3D54">
        <w:rPr>
          <w:rFonts w:ascii="Bookman Old Style" w:hAnsi="Bookman Old Style"/>
          <w:bCs/>
          <w:lang w:val="id-ID" w:eastAsia="id-ID"/>
        </w:rPr>
        <w:t>Anggaran</w:t>
      </w:r>
      <w:r w:rsidR="00A954D0">
        <w:rPr>
          <w:rFonts w:ascii="Bookman Old Style" w:hAnsi="Bookman Old Style"/>
          <w:bCs/>
          <w:lang w:val="id-ID" w:eastAsia="id-ID"/>
        </w:rPr>
        <w:t xml:space="preserve"> </w:t>
      </w:r>
      <w:r w:rsidRPr="008B2DAE">
        <w:rPr>
          <w:rFonts w:ascii="Bookman Old Style" w:hAnsi="Bookman Old Style"/>
          <w:bCs/>
          <w:lang w:val="id-ID" w:eastAsia="id-ID"/>
        </w:rPr>
        <w:t>2025</w:t>
      </w:r>
      <w:r w:rsidR="00A954D0">
        <w:rPr>
          <w:rFonts w:ascii="Bookman Old Style" w:hAnsi="Bookman Old Style"/>
          <w:bCs/>
          <w:lang w:val="id-ID" w:eastAsia="id-ID"/>
        </w:rPr>
        <w:t xml:space="preserve"> </w:t>
      </w:r>
      <w:r w:rsidRPr="008B2DAE">
        <w:rPr>
          <w:rFonts w:ascii="Bookman Old Style" w:hAnsi="Bookman Old Style"/>
          <w:bCs/>
          <w:lang w:val="id-ID" w:eastAsia="id-ID"/>
        </w:rPr>
        <w:t>dan</w:t>
      </w:r>
      <w:r w:rsidR="00A954D0">
        <w:rPr>
          <w:rFonts w:ascii="Bookman Old Style" w:hAnsi="Bookman Old Style"/>
          <w:bCs/>
          <w:lang w:val="id-ID" w:eastAsia="id-ID"/>
        </w:rPr>
        <w:t xml:space="preserve"> </w:t>
      </w:r>
      <w:r w:rsidRPr="008B2DAE">
        <w:rPr>
          <w:rFonts w:ascii="Bookman Old Style" w:hAnsi="Bookman Old Style"/>
          <w:lang w:val="id-ID"/>
        </w:rPr>
        <w:t>Rancangan</w:t>
      </w:r>
      <w:r w:rsidR="00A954D0">
        <w:rPr>
          <w:rFonts w:ascii="Bookman Old Style" w:hAnsi="Bookman Old Style"/>
          <w:lang w:val="id-ID"/>
        </w:rPr>
        <w:t xml:space="preserve"> </w:t>
      </w:r>
      <w:r w:rsidRPr="008B2DAE">
        <w:rPr>
          <w:rFonts w:ascii="Bookman Old Style" w:hAnsi="Bookman Old Style"/>
          <w:lang w:val="id-ID"/>
        </w:rPr>
        <w:t>Peraturan</w:t>
      </w:r>
      <w:r w:rsidR="00A954D0">
        <w:rPr>
          <w:rFonts w:ascii="Bookman Old Style" w:hAnsi="Bookman Old Style"/>
          <w:lang w:val="id-ID"/>
        </w:rPr>
        <w:t xml:space="preserve"> </w:t>
      </w:r>
      <w:r w:rsidR="001C092E">
        <w:rPr>
          <w:rFonts w:ascii="Bookman Old Style" w:hAnsi="Bookman Old Style"/>
          <w:lang w:val="id-ID"/>
        </w:rPr>
        <w:t>Wali</w:t>
      </w:r>
      <w:r w:rsidR="00A954D0">
        <w:rPr>
          <w:rFonts w:ascii="Bookman Old Style" w:hAnsi="Bookman Old Style"/>
          <w:lang w:val="id-ID"/>
        </w:rPr>
        <w:t xml:space="preserve"> </w:t>
      </w:r>
      <w:r w:rsidR="001C092E">
        <w:rPr>
          <w:rFonts w:ascii="Bookman Old Style" w:hAnsi="Bookman Old Style"/>
          <w:lang w:val="id-ID"/>
        </w:rPr>
        <w:t>Kota</w:t>
      </w:r>
      <w:r w:rsidR="00A954D0">
        <w:rPr>
          <w:rFonts w:ascii="Bookman Old Style" w:hAnsi="Bookman Old Style"/>
          <w:lang w:val="id-ID"/>
        </w:rPr>
        <w:t xml:space="preserve"> </w:t>
      </w:r>
      <w:r w:rsidRPr="008B2DAE">
        <w:rPr>
          <w:rFonts w:ascii="Bookman Old Style" w:hAnsi="Bookman Old Style"/>
          <w:lang w:val="fi-FI"/>
        </w:rPr>
        <w:t>Tangerang</w:t>
      </w:r>
      <w:r w:rsidR="00A954D0">
        <w:rPr>
          <w:rFonts w:ascii="Bookman Old Style" w:hAnsi="Bookman Old Style"/>
          <w:lang w:val="id-ID"/>
        </w:rPr>
        <w:t xml:space="preserve"> </w:t>
      </w:r>
      <w:r w:rsidRPr="008B2DAE">
        <w:rPr>
          <w:rFonts w:ascii="Bookman Old Style" w:hAnsi="Bookman Old Style"/>
          <w:lang w:val="id-ID"/>
        </w:rPr>
        <w:t>tentang</w:t>
      </w:r>
      <w:r w:rsidR="00A954D0">
        <w:rPr>
          <w:rFonts w:ascii="Bookman Old Style" w:hAnsi="Bookman Old Style"/>
          <w:lang w:val="id-ID"/>
        </w:rPr>
        <w:t xml:space="preserve"> </w:t>
      </w:r>
      <w:r w:rsidRPr="008B2DAE">
        <w:rPr>
          <w:rFonts w:ascii="Bookman Old Style" w:hAnsi="Bookman Old Style"/>
          <w:lang w:val="id-ID"/>
        </w:rPr>
        <w:t>Penjabaran</w:t>
      </w:r>
      <w:r w:rsidR="00A954D0">
        <w:rPr>
          <w:rFonts w:ascii="Bookman Old Style" w:hAnsi="Bookman Old Style"/>
          <w:lang w:val="id-ID"/>
        </w:rPr>
        <w:t xml:space="preserve"> </w:t>
      </w:r>
      <w:r w:rsidRPr="008B2DAE">
        <w:rPr>
          <w:rFonts w:ascii="Bookman Old Style" w:hAnsi="Bookman Old Style"/>
          <w:lang w:val="id-ID"/>
        </w:rPr>
        <w:t>APBD</w:t>
      </w:r>
      <w:r w:rsidR="00A954D0">
        <w:rPr>
          <w:rFonts w:ascii="Bookman Old Style" w:hAnsi="Bookman Old Style"/>
          <w:lang w:val="id-ID"/>
        </w:rPr>
        <w:t xml:space="preserve"> </w:t>
      </w:r>
      <w:r w:rsidRPr="008B2DAE">
        <w:rPr>
          <w:rFonts w:ascii="Bookman Old Style" w:hAnsi="Bookman Old Style"/>
          <w:lang w:val="id-ID"/>
        </w:rPr>
        <w:t>Tahun</w:t>
      </w:r>
      <w:r w:rsidR="00A954D0">
        <w:rPr>
          <w:rFonts w:ascii="Bookman Old Style" w:hAnsi="Bookman Old Style"/>
          <w:lang w:val="id-ID"/>
        </w:rPr>
        <w:t xml:space="preserve"> </w:t>
      </w:r>
      <w:r w:rsidRPr="008B2DAE">
        <w:rPr>
          <w:rFonts w:ascii="Bookman Old Style" w:hAnsi="Bookman Old Style"/>
          <w:lang w:val="id-ID"/>
        </w:rPr>
        <w:t>Anggaran</w:t>
      </w:r>
      <w:r w:rsidR="00A954D0">
        <w:rPr>
          <w:rFonts w:ascii="Bookman Old Style" w:hAnsi="Bookman Old Style"/>
          <w:lang w:val="id-ID"/>
        </w:rPr>
        <w:t xml:space="preserve"> </w:t>
      </w:r>
      <w:r w:rsidRPr="008B2DAE">
        <w:rPr>
          <w:rFonts w:ascii="Bookman Old Style" w:hAnsi="Bookman Old Style"/>
          <w:lang w:val="id-ID"/>
        </w:rPr>
        <w:t>2025</w:t>
      </w:r>
      <w:r w:rsidR="00A954D0">
        <w:rPr>
          <w:rFonts w:ascii="Bookman Old Style" w:hAnsi="Bookman Old Style"/>
          <w:lang w:val="id-ID"/>
        </w:rPr>
        <w:t xml:space="preserve"> </w:t>
      </w:r>
      <w:r w:rsidRPr="008B2DAE">
        <w:rPr>
          <w:rFonts w:ascii="Bookman Old Style" w:hAnsi="Bookman Old Style"/>
          <w:b/>
          <w:bCs/>
          <w:lang w:val="id-ID"/>
        </w:rPr>
        <w:t>belum</w:t>
      </w:r>
      <w:r w:rsidR="00A954D0">
        <w:rPr>
          <w:rFonts w:ascii="Bookman Old Style" w:hAnsi="Bookman Old Style"/>
          <w:b/>
          <w:bCs/>
          <w:lang w:val="id-ID"/>
        </w:rPr>
        <w:t xml:space="preserve"> </w:t>
      </w:r>
      <w:r w:rsidRPr="008B2DAE">
        <w:rPr>
          <w:rFonts w:ascii="Bookman Old Style" w:hAnsi="Bookman Old Style"/>
          <w:b/>
          <w:bCs/>
          <w:lang w:val="en-US"/>
        </w:rPr>
        <w:t>seluruhnya</w:t>
      </w:r>
      <w:r w:rsidR="00A954D0">
        <w:rPr>
          <w:rFonts w:ascii="Bookman Old Style" w:hAnsi="Bookman Old Style"/>
          <w:b/>
          <w:bCs/>
          <w:lang w:val="en-US"/>
        </w:rPr>
        <w:t xml:space="preserve"> </w:t>
      </w:r>
      <w:r w:rsidRPr="008B2DAE">
        <w:rPr>
          <w:rFonts w:ascii="Bookman Old Style" w:hAnsi="Bookman Old Style"/>
          <w:b/>
          <w:bCs/>
          <w:lang w:val="id-ID"/>
        </w:rPr>
        <w:t>berpedoman</w:t>
      </w:r>
      <w:r w:rsidR="00A954D0">
        <w:rPr>
          <w:rFonts w:ascii="Bookman Old Style" w:hAnsi="Bookman Old Style"/>
          <w:lang w:val="id-ID"/>
        </w:rPr>
        <w:t xml:space="preserve"> </w:t>
      </w:r>
      <w:r w:rsidRPr="008B2DAE">
        <w:rPr>
          <w:rFonts w:ascii="Bookman Old Style" w:hAnsi="Bookman Old Style"/>
          <w:lang w:val="id-ID"/>
        </w:rPr>
        <w:t>pada</w:t>
      </w:r>
      <w:r w:rsidR="00A954D0">
        <w:rPr>
          <w:rFonts w:ascii="Bookman Old Style" w:hAnsi="Bookman Old Style"/>
          <w:lang w:val="id-ID"/>
        </w:rPr>
        <w:t xml:space="preserve"> </w:t>
      </w:r>
      <w:r w:rsidRPr="008B2DAE">
        <w:rPr>
          <w:rFonts w:ascii="Bookman Old Style" w:hAnsi="Bookman Old Style"/>
          <w:lang w:val="id-ID"/>
        </w:rPr>
        <w:t>RKPD,</w:t>
      </w:r>
      <w:r w:rsidR="00A954D0">
        <w:rPr>
          <w:rFonts w:ascii="Bookman Old Style" w:hAnsi="Bookman Old Style"/>
          <w:lang w:val="id-ID"/>
        </w:rPr>
        <w:t xml:space="preserve"> </w:t>
      </w:r>
      <w:r w:rsidRPr="008B2DAE">
        <w:rPr>
          <w:rFonts w:ascii="Bookman Old Style" w:hAnsi="Bookman Old Style"/>
          <w:lang w:val="id-ID"/>
        </w:rPr>
        <w:t>KUA,</w:t>
      </w:r>
      <w:r w:rsidR="00A954D0">
        <w:rPr>
          <w:rFonts w:ascii="Bookman Old Style" w:hAnsi="Bookman Old Style"/>
          <w:lang w:val="id-ID"/>
        </w:rPr>
        <w:t xml:space="preserve"> </w:t>
      </w:r>
      <w:r w:rsidRPr="008B2DAE">
        <w:rPr>
          <w:rFonts w:ascii="Bookman Old Style" w:hAnsi="Bookman Old Style"/>
          <w:lang w:val="id-ID"/>
        </w:rPr>
        <w:t>PPAS</w:t>
      </w:r>
      <w:r w:rsidR="00A954D0">
        <w:rPr>
          <w:rFonts w:ascii="Bookman Old Style" w:hAnsi="Bookman Old Style"/>
          <w:lang w:val="id-ID"/>
        </w:rPr>
        <w:t xml:space="preserve"> </w:t>
      </w:r>
      <w:r w:rsidRPr="008B2DAE">
        <w:rPr>
          <w:rFonts w:ascii="Bookman Old Style" w:hAnsi="Bookman Old Style"/>
          <w:lang w:val="id-ID"/>
        </w:rPr>
        <w:t>sebagaimana</w:t>
      </w:r>
      <w:r w:rsidR="00A954D0">
        <w:rPr>
          <w:rFonts w:ascii="Bookman Old Style" w:hAnsi="Bookman Old Style"/>
          <w:lang w:val="id-ID"/>
        </w:rPr>
        <w:t xml:space="preserve"> </w:t>
      </w:r>
      <w:r w:rsidRPr="008B2DAE">
        <w:rPr>
          <w:rFonts w:ascii="Bookman Old Style" w:hAnsi="Bookman Old Style"/>
          <w:lang w:val="id-ID"/>
        </w:rPr>
        <w:t>maksud</w:t>
      </w:r>
      <w:r w:rsidR="00A954D0">
        <w:rPr>
          <w:rFonts w:ascii="Bookman Old Style" w:hAnsi="Bookman Old Style"/>
          <w:lang w:val="id-ID"/>
        </w:rPr>
        <w:t xml:space="preserve"> </w:t>
      </w:r>
      <w:r w:rsidRPr="008B2DAE">
        <w:rPr>
          <w:rFonts w:ascii="Bookman Old Style" w:hAnsi="Bookman Old Style"/>
          <w:lang w:val="id-ID"/>
        </w:rPr>
        <w:t>Pasal</w:t>
      </w:r>
      <w:r w:rsidR="00A954D0">
        <w:rPr>
          <w:rFonts w:ascii="Bookman Old Style" w:hAnsi="Bookman Old Style"/>
          <w:lang w:val="id-ID"/>
        </w:rPr>
        <w:t xml:space="preserve"> </w:t>
      </w:r>
      <w:r w:rsidRPr="008B2DAE">
        <w:rPr>
          <w:rFonts w:ascii="Bookman Old Style" w:hAnsi="Bookman Old Style"/>
          <w:lang w:val="id-ID"/>
        </w:rPr>
        <w:t>310</w:t>
      </w:r>
      <w:r w:rsidR="00A954D0">
        <w:rPr>
          <w:rFonts w:ascii="Bookman Old Style" w:hAnsi="Bookman Old Style"/>
          <w:lang w:val="id-ID"/>
        </w:rPr>
        <w:t xml:space="preserve"> </w:t>
      </w:r>
      <w:r w:rsidRPr="008B2DAE">
        <w:rPr>
          <w:rFonts w:ascii="Bookman Old Style" w:hAnsi="Bookman Old Style"/>
          <w:lang w:val="id-ID"/>
        </w:rPr>
        <w:t>Undang-Undang</w:t>
      </w:r>
      <w:r w:rsidR="00A954D0">
        <w:rPr>
          <w:rFonts w:ascii="Bookman Old Style" w:hAnsi="Bookman Old Style"/>
          <w:lang w:val="id-ID"/>
        </w:rPr>
        <w:t xml:space="preserve"> </w:t>
      </w:r>
      <w:r w:rsidRPr="008B2DAE">
        <w:rPr>
          <w:rFonts w:ascii="Bookman Old Style" w:hAnsi="Bookman Old Style"/>
          <w:lang w:val="id-ID"/>
        </w:rPr>
        <w:t>Nomor</w:t>
      </w:r>
      <w:r w:rsidR="00A954D0">
        <w:rPr>
          <w:rFonts w:ascii="Bookman Old Style" w:hAnsi="Bookman Old Style"/>
          <w:lang w:val="id-ID"/>
        </w:rPr>
        <w:t xml:space="preserve"> </w:t>
      </w:r>
      <w:r w:rsidRPr="008B2DAE">
        <w:rPr>
          <w:rFonts w:ascii="Bookman Old Style" w:hAnsi="Bookman Old Style"/>
          <w:lang w:val="id-ID"/>
        </w:rPr>
        <w:t>23</w:t>
      </w:r>
      <w:r w:rsidR="00A954D0">
        <w:rPr>
          <w:rFonts w:ascii="Bookman Old Style" w:hAnsi="Bookman Old Style"/>
          <w:lang w:val="id-ID"/>
        </w:rPr>
        <w:t xml:space="preserve"> </w:t>
      </w:r>
      <w:r w:rsidRPr="008B2DAE">
        <w:rPr>
          <w:rFonts w:ascii="Bookman Old Style" w:hAnsi="Bookman Old Style"/>
          <w:lang w:val="id-ID"/>
        </w:rPr>
        <w:lastRenderedPageBreak/>
        <w:t>Tahun</w:t>
      </w:r>
      <w:r w:rsidR="00A954D0">
        <w:rPr>
          <w:rFonts w:ascii="Bookman Old Style" w:hAnsi="Bookman Old Style"/>
          <w:lang w:val="id-ID"/>
        </w:rPr>
        <w:t xml:space="preserve"> </w:t>
      </w:r>
      <w:r w:rsidRPr="008B2DAE">
        <w:rPr>
          <w:rFonts w:ascii="Bookman Old Style" w:hAnsi="Bookman Old Style"/>
          <w:lang w:val="id-ID"/>
        </w:rPr>
        <w:t>2014</w:t>
      </w:r>
      <w:r w:rsidRPr="008B2DAE">
        <w:rPr>
          <w:rFonts w:ascii="Bookman Old Style" w:hAnsi="Bookman Old Style" w:cs="Arial"/>
          <w:lang w:val="id-ID"/>
        </w:rPr>
        <w:t>,</w:t>
      </w:r>
      <w:r w:rsidR="00A954D0">
        <w:rPr>
          <w:rFonts w:ascii="Bookman Old Style" w:hAnsi="Bookman Old Style" w:cs="Arial"/>
          <w:lang w:val="id-ID"/>
        </w:rPr>
        <w:t xml:space="preserve"> </w:t>
      </w:r>
      <w:r w:rsidRPr="008B2DAE">
        <w:rPr>
          <w:rFonts w:ascii="Bookman Old Style" w:hAnsi="Bookman Old Style"/>
          <w:spacing w:val="-4"/>
          <w:lang w:val="id-ID"/>
        </w:rPr>
        <w:t>sebagaimana</w:t>
      </w:r>
      <w:r w:rsidR="00A954D0">
        <w:rPr>
          <w:rFonts w:ascii="Bookman Old Style" w:hAnsi="Bookman Old Style"/>
          <w:spacing w:val="-4"/>
          <w:lang w:val="id-ID"/>
        </w:rPr>
        <w:t xml:space="preserve"> </w:t>
      </w:r>
      <w:r w:rsidRPr="008B2DAE">
        <w:rPr>
          <w:rFonts w:ascii="Bookman Old Style" w:hAnsi="Bookman Old Style" w:cs="Arial"/>
          <w:spacing w:val="-6"/>
          <w:lang w:val="id-ID"/>
        </w:rPr>
        <w:t>telah</w:t>
      </w:r>
      <w:r w:rsidR="00A954D0">
        <w:rPr>
          <w:rFonts w:ascii="Bookman Old Style" w:hAnsi="Bookman Old Style" w:cs="Arial"/>
          <w:spacing w:val="-6"/>
          <w:lang w:val="id-ID"/>
        </w:rPr>
        <w:t xml:space="preserve"> </w:t>
      </w:r>
      <w:r w:rsidRPr="008B2DAE">
        <w:rPr>
          <w:rFonts w:ascii="Bookman Old Style" w:hAnsi="Bookman Old Style" w:cs="Arial"/>
          <w:spacing w:val="-6"/>
          <w:lang w:val="id-ID"/>
        </w:rPr>
        <w:t>beberapa</w:t>
      </w:r>
      <w:r w:rsidR="00A954D0">
        <w:rPr>
          <w:rFonts w:ascii="Bookman Old Style" w:hAnsi="Bookman Old Style" w:cs="Arial"/>
          <w:spacing w:val="-6"/>
          <w:lang w:val="id-ID"/>
        </w:rPr>
        <w:t xml:space="preserve"> </w:t>
      </w:r>
      <w:r w:rsidRPr="008B2DAE">
        <w:rPr>
          <w:rFonts w:ascii="Bookman Old Style" w:hAnsi="Bookman Old Style" w:cs="Arial"/>
          <w:spacing w:val="-6"/>
          <w:lang w:val="id-ID"/>
        </w:rPr>
        <w:t>kali</w:t>
      </w:r>
      <w:r w:rsidR="00A954D0">
        <w:rPr>
          <w:rFonts w:ascii="Bookman Old Style" w:hAnsi="Bookman Old Style" w:cs="Arial"/>
          <w:spacing w:val="-6"/>
          <w:lang w:val="id-ID"/>
        </w:rPr>
        <w:t xml:space="preserve"> </w:t>
      </w:r>
      <w:r w:rsidRPr="008B2DAE">
        <w:rPr>
          <w:rFonts w:ascii="Bookman Old Style" w:hAnsi="Bookman Old Style" w:cs="Arial"/>
          <w:spacing w:val="-6"/>
          <w:lang w:val="id-ID"/>
        </w:rPr>
        <w:t>diubah</w:t>
      </w:r>
      <w:r w:rsidR="00A954D0">
        <w:rPr>
          <w:rFonts w:ascii="Bookman Old Style" w:hAnsi="Bookman Old Style" w:cs="Arial"/>
          <w:spacing w:val="-6"/>
          <w:lang w:val="id-ID"/>
        </w:rPr>
        <w:t xml:space="preserve"> </w:t>
      </w:r>
      <w:r w:rsidRPr="008B2DAE">
        <w:rPr>
          <w:rFonts w:ascii="Bookman Old Style" w:hAnsi="Bookman Old Style" w:cs="Arial"/>
          <w:spacing w:val="-6"/>
          <w:lang w:val="id-ID"/>
        </w:rPr>
        <w:t>terakhir</w:t>
      </w:r>
      <w:r w:rsidR="00A954D0">
        <w:rPr>
          <w:rFonts w:ascii="Bookman Old Style" w:hAnsi="Bookman Old Style" w:cs="Arial"/>
          <w:spacing w:val="-6"/>
          <w:lang w:val="id-ID"/>
        </w:rPr>
        <w:t xml:space="preserve"> </w:t>
      </w:r>
      <w:r w:rsidRPr="008B2DAE">
        <w:rPr>
          <w:rFonts w:ascii="Bookman Old Style" w:hAnsi="Bookman Old Style"/>
          <w:spacing w:val="-4"/>
          <w:lang w:val="id-ID"/>
        </w:rPr>
        <w:t>dengan</w:t>
      </w:r>
      <w:r w:rsidR="00A954D0">
        <w:rPr>
          <w:rFonts w:ascii="Bookman Old Style" w:hAnsi="Bookman Old Style"/>
          <w:spacing w:val="-4"/>
          <w:lang w:val="id-ID"/>
        </w:rPr>
        <w:t xml:space="preserve"> </w:t>
      </w:r>
      <w:r w:rsidRPr="008B2DAE">
        <w:rPr>
          <w:rFonts w:ascii="Bookman Old Style" w:hAnsi="Bookman Old Style"/>
          <w:spacing w:val="-4"/>
          <w:lang w:val="id-ID"/>
        </w:rPr>
        <w:t>Undang-Undang</w:t>
      </w:r>
      <w:r w:rsidR="00A954D0">
        <w:rPr>
          <w:rFonts w:ascii="Bookman Old Style" w:hAnsi="Bookman Old Style"/>
          <w:spacing w:val="-4"/>
          <w:lang w:val="id-ID"/>
        </w:rPr>
        <w:t xml:space="preserve"> </w:t>
      </w:r>
      <w:r w:rsidRPr="008B2DAE">
        <w:rPr>
          <w:rFonts w:ascii="Bookman Old Style" w:hAnsi="Bookman Old Style"/>
          <w:spacing w:val="-4"/>
          <w:lang w:val="id-ID"/>
        </w:rPr>
        <w:t>Nomor</w:t>
      </w:r>
      <w:r w:rsidR="00A954D0">
        <w:rPr>
          <w:rFonts w:ascii="Bookman Old Style" w:hAnsi="Bookman Old Style"/>
          <w:spacing w:val="-4"/>
          <w:lang w:val="id-ID"/>
        </w:rPr>
        <w:t xml:space="preserve"> </w:t>
      </w:r>
      <w:r w:rsidRPr="008B2DAE">
        <w:rPr>
          <w:rFonts w:ascii="Bookman Old Style" w:hAnsi="Bookman Old Style"/>
          <w:spacing w:val="-4"/>
          <w:lang w:val="id-ID"/>
        </w:rPr>
        <w:t>6</w:t>
      </w:r>
      <w:r w:rsidR="00A954D0">
        <w:rPr>
          <w:rFonts w:ascii="Bookman Old Style" w:hAnsi="Bookman Old Style"/>
          <w:spacing w:val="-4"/>
          <w:lang w:val="id-ID"/>
        </w:rPr>
        <w:t xml:space="preserve"> </w:t>
      </w:r>
      <w:r w:rsidRPr="008B2DAE">
        <w:rPr>
          <w:rFonts w:ascii="Bookman Old Style" w:hAnsi="Bookman Old Style"/>
          <w:spacing w:val="-4"/>
          <w:lang w:val="id-ID"/>
        </w:rPr>
        <w:t>Tahun</w:t>
      </w:r>
      <w:r w:rsidR="00A954D0">
        <w:rPr>
          <w:rFonts w:ascii="Bookman Old Style" w:hAnsi="Bookman Old Style"/>
          <w:spacing w:val="-4"/>
          <w:lang w:val="id-ID"/>
        </w:rPr>
        <w:t xml:space="preserve"> </w:t>
      </w:r>
      <w:r w:rsidRPr="008B2DAE">
        <w:rPr>
          <w:rFonts w:ascii="Bookman Old Style" w:hAnsi="Bookman Old Style"/>
          <w:spacing w:val="-4"/>
          <w:lang w:val="id-ID"/>
        </w:rPr>
        <w:t>2023</w:t>
      </w:r>
      <w:r w:rsidRPr="008B2DAE">
        <w:rPr>
          <w:rFonts w:ascii="Bookman Old Style" w:hAnsi="Bookman Old Style"/>
          <w:lang w:val="id-ID"/>
        </w:rPr>
        <w:t>.</w:t>
      </w:r>
    </w:p>
    <w:p w14:paraId="7AF16208" w14:textId="4DE167A5" w:rsidR="002C136C" w:rsidRPr="006D569B" w:rsidRDefault="002C136C" w:rsidP="00A97B96">
      <w:pPr>
        <w:spacing w:before="60" w:line="276" w:lineRule="auto"/>
        <w:ind w:left="993"/>
        <w:jc w:val="both"/>
        <w:rPr>
          <w:rFonts w:ascii="Bookman Old Style" w:hAnsi="Bookman Old Style"/>
          <w:lang w:val="id-ID"/>
        </w:rPr>
      </w:pPr>
      <w:r w:rsidRPr="006D569B">
        <w:rPr>
          <w:rFonts w:ascii="Bookman Old Style" w:hAnsi="Bookman Old Style"/>
          <w:lang w:val="id-ID"/>
        </w:rPr>
        <w:t>Untuk</w:t>
      </w:r>
      <w:r w:rsidR="00A954D0">
        <w:rPr>
          <w:rFonts w:ascii="Bookman Old Style" w:hAnsi="Bookman Old Style"/>
          <w:lang w:val="id-ID"/>
        </w:rPr>
        <w:t xml:space="preserve"> </w:t>
      </w:r>
      <w:r w:rsidRPr="006D569B">
        <w:rPr>
          <w:rFonts w:ascii="Bookman Old Style" w:hAnsi="Bookman Old Style"/>
          <w:lang w:val="id-ID"/>
        </w:rPr>
        <w:t>itu,</w:t>
      </w:r>
      <w:r w:rsidR="00A954D0">
        <w:rPr>
          <w:rFonts w:ascii="Bookman Old Style" w:hAnsi="Bookman Old Style"/>
          <w:lang w:val="id-ID"/>
        </w:rPr>
        <w:t xml:space="preserve"> </w:t>
      </w:r>
      <w:r w:rsidRPr="006D569B">
        <w:rPr>
          <w:rFonts w:ascii="Bookman Old Style" w:hAnsi="Bookman Old Style"/>
          <w:lang w:val="id-ID"/>
        </w:rPr>
        <w:t>Pemerintah</w:t>
      </w:r>
      <w:r w:rsidR="00A954D0">
        <w:rPr>
          <w:rFonts w:ascii="Bookman Old Style" w:hAnsi="Bookman Old Style"/>
          <w:lang w:val="id-ID"/>
        </w:rPr>
        <w:t xml:space="preserve"> </w:t>
      </w:r>
      <w:r w:rsidRPr="006D569B">
        <w:rPr>
          <w:rFonts w:ascii="Bookman Old Style" w:hAnsi="Bookman Old Style"/>
          <w:lang w:val="id-ID"/>
        </w:rPr>
        <w:t>Daerah</w:t>
      </w:r>
      <w:r w:rsidR="00A954D0">
        <w:rPr>
          <w:rFonts w:ascii="Bookman Old Style" w:hAnsi="Bookman Old Style"/>
          <w:lang w:val="id-ID"/>
        </w:rPr>
        <w:t xml:space="preserve"> </w:t>
      </w:r>
      <w:r w:rsidRPr="006D569B">
        <w:rPr>
          <w:rFonts w:ascii="Bookman Old Style" w:hAnsi="Bookman Old Style"/>
          <w:lang w:val="fi-FI"/>
        </w:rPr>
        <w:t>Kota</w:t>
      </w:r>
      <w:r w:rsidR="00A954D0">
        <w:rPr>
          <w:rFonts w:ascii="Bookman Old Style" w:hAnsi="Bookman Old Style"/>
          <w:lang w:val="fi-FI"/>
        </w:rPr>
        <w:t xml:space="preserve"> </w:t>
      </w:r>
      <w:r w:rsidRPr="006D569B">
        <w:rPr>
          <w:rFonts w:ascii="Bookman Old Style" w:hAnsi="Bookman Old Style"/>
          <w:lang w:val="fi-FI"/>
        </w:rPr>
        <w:t>Tangerang</w:t>
      </w:r>
      <w:r w:rsidR="00A954D0">
        <w:rPr>
          <w:rFonts w:ascii="Bookman Old Style" w:hAnsi="Bookman Old Style"/>
          <w:lang w:val="fi-FI"/>
        </w:rPr>
        <w:t xml:space="preserve"> </w:t>
      </w:r>
      <w:r w:rsidRPr="006D569B">
        <w:rPr>
          <w:rFonts w:ascii="Bookman Old Style" w:hAnsi="Bookman Old Style"/>
          <w:lang w:val="id-ID"/>
        </w:rPr>
        <w:t>harus</w:t>
      </w:r>
      <w:r w:rsidR="00A954D0">
        <w:rPr>
          <w:rFonts w:ascii="Bookman Old Style" w:hAnsi="Bookman Old Style"/>
          <w:lang w:val="id-ID"/>
        </w:rPr>
        <w:t xml:space="preserve"> </w:t>
      </w:r>
      <w:r w:rsidRPr="006D569B">
        <w:rPr>
          <w:rFonts w:ascii="Bookman Old Style" w:hAnsi="Bookman Old Style"/>
          <w:lang w:val="id-ID"/>
        </w:rPr>
        <w:t>mengupayakan</w:t>
      </w:r>
      <w:r w:rsidR="00A954D0">
        <w:rPr>
          <w:rFonts w:ascii="Bookman Old Style" w:hAnsi="Bookman Old Style"/>
          <w:lang w:val="id-ID"/>
        </w:rPr>
        <w:t xml:space="preserve"> </w:t>
      </w:r>
      <w:r w:rsidRPr="006D569B">
        <w:rPr>
          <w:rFonts w:ascii="Bookman Old Style" w:hAnsi="Bookman Old Style"/>
          <w:lang w:val="id-ID"/>
        </w:rPr>
        <w:t>konsistensi</w:t>
      </w:r>
      <w:r w:rsidR="00A954D0">
        <w:rPr>
          <w:rFonts w:ascii="Bookman Old Style" w:hAnsi="Bookman Old Style"/>
          <w:lang w:val="id-ID"/>
        </w:rPr>
        <w:t xml:space="preserve"> </w:t>
      </w:r>
      <w:r w:rsidRPr="006D569B">
        <w:rPr>
          <w:rFonts w:ascii="Bookman Old Style" w:hAnsi="Bookman Old Style"/>
          <w:lang w:val="id-ID"/>
        </w:rPr>
        <w:t>pada</w:t>
      </w:r>
      <w:r w:rsidR="00A954D0">
        <w:rPr>
          <w:rFonts w:ascii="Bookman Old Style" w:hAnsi="Bookman Old Style"/>
          <w:lang w:val="id-ID"/>
        </w:rPr>
        <w:t xml:space="preserve"> </w:t>
      </w:r>
      <w:r w:rsidRPr="006D569B">
        <w:rPr>
          <w:rFonts w:ascii="Bookman Old Style" w:hAnsi="Bookman Old Style"/>
          <w:lang w:val="id-ID"/>
        </w:rPr>
        <w:t>setiap</w:t>
      </w:r>
      <w:r w:rsidR="00A954D0">
        <w:rPr>
          <w:rFonts w:ascii="Bookman Old Style" w:hAnsi="Bookman Old Style"/>
          <w:lang w:val="id-ID"/>
        </w:rPr>
        <w:t xml:space="preserve"> </w:t>
      </w:r>
      <w:r w:rsidRPr="006D569B">
        <w:rPr>
          <w:rFonts w:ascii="Bookman Old Style" w:hAnsi="Bookman Old Style"/>
          <w:lang w:val="id-ID"/>
        </w:rPr>
        <w:t>tahapan</w:t>
      </w:r>
      <w:r w:rsidR="00A954D0">
        <w:rPr>
          <w:rFonts w:ascii="Bookman Old Style" w:hAnsi="Bookman Old Style"/>
          <w:lang w:val="id-ID"/>
        </w:rPr>
        <w:t xml:space="preserve"> </w:t>
      </w:r>
      <w:r w:rsidRPr="006D569B">
        <w:rPr>
          <w:rFonts w:ascii="Bookman Old Style" w:hAnsi="Bookman Old Style"/>
          <w:lang w:val="id-ID"/>
        </w:rPr>
        <w:t>perencanaan</w:t>
      </w:r>
      <w:r w:rsidR="00A954D0">
        <w:rPr>
          <w:rFonts w:ascii="Bookman Old Style" w:hAnsi="Bookman Old Style"/>
          <w:lang w:val="id-ID"/>
        </w:rPr>
        <w:t xml:space="preserve"> </w:t>
      </w:r>
      <w:r w:rsidRPr="006D569B">
        <w:rPr>
          <w:rFonts w:ascii="Bookman Old Style" w:hAnsi="Bookman Old Style"/>
          <w:lang w:val="id-ID"/>
        </w:rPr>
        <w:t>anggaran</w:t>
      </w:r>
      <w:r w:rsidR="00A954D0">
        <w:rPr>
          <w:rFonts w:ascii="Bookman Old Style" w:hAnsi="Bookman Old Style"/>
          <w:lang w:val="id-ID"/>
        </w:rPr>
        <w:t xml:space="preserve"> </w:t>
      </w:r>
      <w:r w:rsidRPr="006D569B">
        <w:rPr>
          <w:rFonts w:ascii="Bookman Old Style" w:hAnsi="Bookman Old Style"/>
          <w:lang w:val="id-ID"/>
        </w:rPr>
        <w:t>daerah,</w:t>
      </w:r>
      <w:r w:rsidR="00A954D0">
        <w:rPr>
          <w:rFonts w:ascii="Bookman Old Style" w:hAnsi="Bookman Old Style"/>
          <w:lang w:val="id-ID"/>
        </w:rPr>
        <w:t xml:space="preserve"> </w:t>
      </w:r>
      <w:r w:rsidRPr="006D569B">
        <w:rPr>
          <w:rFonts w:ascii="Bookman Old Style" w:hAnsi="Bookman Old Style"/>
          <w:lang w:val="id-ID"/>
        </w:rPr>
        <w:t>mulai</w:t>
      </w:r>
      <w:r w:rsidR="00A954D0">
        <w:rPr>
          <w:rFonts w:ascii="Bookman Old Style" w:hAnsi="Bookman Old Style"/>
          <w:lang w:val="id-ID"/>
        </w:rPr>
        <w:t xml:space="preserve"> </w:t>
      </w:r>
      <w:r w:rsidRPr="006D569B">
        <w:rPr>
          <w:rFonts w:ascii="Bookman Old Style" w:hAnsi="Bookman Old Style"/>
          <w:lang w:val="id-ID"/>
        </w:rPr>
        <w:t>dari</w:t>
      </w:r>
      <w:r w:rsidR="00A954D0">
        <w:rPr>
          <w:rFonts w:ascii="Bookman Old Style" w:hAnsi="Bookman Old Style"/>
          <w:lang w:val="id-ID"/>
        </w:rPr>
        <w:t xml:space="preserve"> </w:t>
      </w:r>
      <w:r w:rsidRPr="006D569B">
        <w:rPr>
          <w:rFonts w:ascii="Bookman Old Style" w:hAnsi="Bookman Old Style"/>
          <w:lang w:val="id-ID"/>
        </w:rPr>
        <w:t>RKPD,</w:t>
      </w:r>
      <w:r w:rsidR="00A954D0">
        <w:rPr>
          <w:rFonts w:ascii="Bookman Old Style" w:hAnsi="Bookman Old Style"/>
          <w:lang w:val="id-ID"/>
        </w:rPr>
        <w:t xml:space="preserve"> </w:t>
      </w:r>
      <w:r w:rsidRPr="006D569B">
        <w:rPr>
          <w:rFonts w:ascii="Bookman Old Style" w:hAnsi="Bookman Old Style"/>
          <w:lang w:val="id-ID"/>
        </w:rPr>
        <w:t>KUA,</w:t>
      </w:r>
      <w:r w:rsidR="00A954D0">
        <w:rPr>
          <w:rFonts w:ascii="Bookman Old Style" w:hAnsi="Bookman Old Style"/>
          <w:lang w:val="id-ID"/>
        </w:rPr>
        <w:t xml:space="preserve"> </w:t>
      </w:r>
      <w:r w:rsidRPr="006D569B">
        <w:rPr>
          <w:rFonts w:ascii="Bookman Old Style" w:hAnsi="Bookman Old Style"/>
          <w:lang w:val="id-ID"/>
        </w:rPr>
        <w:t>PPAS</w:t>
      </w:r>
      <w:r w:rsidR="00A954D0">
        <w:rPr>
          <w:rFonts w:ascii="Bookman Old Style" w:hAnsi="Bookman Old Style"/>
          <w:lang w:val="id-ID"/>
        </w:rPr>
        <w:t xml:space="preserve"> </w:t>
      </w:r>
      <w:r w:rsidRPr="006D569B">
        <w:rPr>
          <w:rFonts w:ascii="Bookman Old Style" w:hAnsi="Bookman Old Style"/>
          <w:lang w:val="id-ID"/>
        </w:rPr>
        <w:t>dan</w:t>
      </w:r>
      <w:r w:rsidR="00A954D0">
        <w:rPr>
          <w:rFonts w:ascii="Bookman Old Style" w:hAnsi="Bookman Old Style"/>
          <w:lang w:val="id-ID"/>
        </w:rPr>
        <w:t xml:space="preserve"> </w:t>
      </w:r>
      <w:r w:rsidRPr="006D569B">
        <w:rPr>
          <w:rFonts w:ascii="Bookman Old Style" w:hAnsi="Bookman Old Style"/>
          <w:lang w:val="id-ID"/>
        </w:rPr>
        <w:t>Rancangan</w:t>
      </w:r>
      <w:r w:rsidR="00A954D0">
        <w:rPr>
          <w:rFonts w:ascii="Bookman Old Style" w:hAnsi="Bookman Old Style"/>
          <w:lang w:val="id-ID"/>
        </w:rPr>
        <w:t xml:space="preserve"> </w:t>
      </w:r>
      <w:r w:rsidRPr="006D569B">
        <w:rPr>
          <w:rFonts w:ascii="Bookman Old Style" w:hAnsi="Bookman Old Style"/>
          <w:lang w:val="id-ID"/>
        </w:rPr>
        <w:t>Peraturan</w:t>
      </w:r>
      <w:r w:rsidR="00A954D0">
        <w:rPr>
          <w:rFonts w:ascii="Bookman Old Style" w:hAnsi="Bookman Old Style"/>
          <w:lang w:val="id-ID"/>
        </w:rPr>
        <w:t xml:space="preserve"> </w:t>
      </w:r>
      <w:r w:rsidRPr="006D569B">
        <w:rPr>
          <w:rFonts w:ascii="Bookman Old Style" w:hAnsi="Bookman Old Style"/>
          <w:lang w:val="id-ID"/>
        </w:rPr>
        <w:t>Daerah</w:t>
      </w:r>
      <w:r w:rsidR="00A954D0">
        <w:rPr>
          <w:rFonts w:ascii="Bookman Old Style" w:hAnsi="Bookman Old Style"/>
          <w:lang w:val="id-ID"/>
        </w:rPr>
        <w:t xml:space="preserve"> </w:t>
      </w:r>
      <w:r w:rsidRPr="006D569B">
        <w:rPr>
          <w:rFonts w:ascii="Bookman Old Style" w:hAnsi="Bookman Old Style"/>
          <w:lang w:val="fi-FI"/>
        </w:rPr>
        <w:t>Kota</w:t>
      </w:r>
      <w:r w:rsidR="00A954D0">
        <w:rPr>
          <w:rFonts w:ascii="Bookman Old Style" w:hAnsi="Bookman Old Style"/>
          <w:lang w:val="fi-FI"/>
        </w:rPr>
        <w:t xml:space="preserve"> </w:t>
      </w:r>
      <w:r w:rsidRPr="006D569B">
        <w:rPr>
          <w:rFonts w:ascii="Bookman Old Style" w:hAnsi="Bookman Old Style"/>
          <w:lang w:val="fi-FI"/>
        </w:rPr>
        <w:t>Tangerang</w:t>
      </w:r>
      <w:r w:rsidR="00A954D0">
        <w:rPr>
          <w:rFonts w:ascii="Bookman Old Style" w:hAnsi="Bookman Old Style"/>
          <w:lang w:val="fi-FI"/>
        </w:rPr>
        <w:t xml:space="preserve"> </w:t>
      </w:r>
      <w:r w:rsidRPr="006D569B">
        <w:rPr>
          <w:rFonts w:ascii="Bookman Old Style" w:hAnsi="Bookman Old Style"/>
          <w:lang w:val="id-ID"/>
        </w:rPr>
        <w:t>tentang</w:t>
      </w:r>
      <w:r w:rsidR="00A954D0">
        <w:rPr>
          <w:rFonts w:ascii="Bookman Old Style" w:hAnsi="Bookman Old Style"/>
          <w:lang w:val="id-ID"/>
        </w:rPr>
        <w:t xml:space="preserve"> </w:t>
      </w:r>
      <w:r w:rsidRPr="006D569B">
        <w:rPr>
          <w:rFonts w:ascii="Bookman Old Style" w:hAnsi="Bookman Old Style"/>
          <w:bCs/>
          <w:lang w:val="id-ID" w:eastAsia="id-ID"/>
        </w:rPr>
        <w:t>APBD</w:t>
      </w:r>
      <w:r w:rsidR="00A954D0">
        <w:rPr>
          <w:rFonts w:ascii="Bookman Old Style" w:hAnsi="Bookman Old Style"/>
          <w:bCs/>
          <w:lang w:val="id-ID" w:eastAsia="id-ID"/>
        </w:rPr>
        <w:t xml:space="preserve"> </w:t>
      </w:r>
      <w:r w:rsidRPr="006D569B">
        <w:rPr>
          <w:rFonts w:ascii="Bookman Old Style" w:hAnsi="Bookman Old Style"/>
          <w:bCs/>
          <w:lang w:val="id-ID" w:eastAsia="id-ID"/>
        </w:rPr>
        <w:t>Tahun</w:t>
      </w:r>
      <w:r w:rsidR="00A954D0">
        <w:rPr>
          <w:rFonts w:ascii="Bookman Old Style" w:hAnsi="Bookman Old Style"/>
          <w:bCs/>
          <w:lang w:val="id-ID" w:eastAsia="id-ID"/>
        </w:rPr>
        <w:t xml:space="preserve"> </w:t>
      </w:r>
      <w:r w:rsidRPr="006D569B">
        <w:rPr>
          <w:rFonts w:ascii="Bookman Old Style" w:hAnsi="Bookman Old Style"/>
          <w:bCs/>
          <w:lang w:val="id-ID" w:eastAsia="id-ID"/>
        </w:rPr>
        <w:t>Anggaran</w:t>
      </w:r>
      <w:r w:rsidR="00A954D0">
        <w:rPr>
          <w:rFonts w:ascii="Bookman Old Style" w:hAnsi="Bookman Old Style"/>
          <w:bCs/>
          <w:lang w:val="id-ID" w:eastAsia="id-ID"/>
        </w:rPr>
        <w:t xml:space="preserve"> </w:t>
      </w:r>
      <w:r w:rsidRPr="006D569B">
        <w:rPr>
          <w:rFonts w:ascii="Bookman Old Style" w:hAnsi="Bookman Old Style"/>
          <w:bCs/>
          <w:lang w:val="id-ID" w:eastAsia="id-ID"/>
        </w:rPr>
        <w:t>2025</w:t>
      </w:r>
      <w:r w:rsidR="00A954D0">
        <w:rPr>
          <w:rFonts w:ascii="Bookman Old Style" w:hAnsi="Bookman Old Style"/>
          <w:lang w:val="id-ID"/>
        </w:rPr>
        <w:t xml:space="preserve"> </w:t>
      </w:r>
      <w:r w:rsidRPr="006D569B">
        <w:rPr>
          <w:rFonts w:ascii="Bookman Old Style" w:hAnsi="Bookman Old Style"/>
          <w:lang w:val="id-ID"/>
        </w:rPr>
        <w:t>sebagaimana</w:t>
      </w:r>
      <w:r w:rsidR="00A954D0">
        <w:rPr>
          <w:rFonts w:ascii="Bookman Old Style" w:hAnsi="Bookman Old Style"/>
          <w:lang w:val="id-ID"/>
        </w:rPr>
        <w:t xml:space="preserve"> </w:t>
      </w:r>
      <w:r w:rsidRPr="006D569B">
        <w:rPr>
          <w:rFonts w:ascii="Bookman Old Style" w:hAnsi="Bookman Old Style"/>
          <w:lang w:val="id-ID"/>
        </w:rPr>
        <w:t>maksud</w:t>
      </w:r>
      <w:r w:rsidR="00A954D0">
        <w:rPr>
          <w:rFonts w:ascii="Bookman Old Style" w:hAnsi="Bookman Old Style"/>
          <w:lang w:val="id-ID"/>
        </w:rPr>
        <w:t xml:space="preserve"> </w:t>
      </w:r>
      <w:r w:rsidRPr="006D569B">
        <w:rPr>
          <w:rFonts w:ascii="Bookman Old Style" w:hAnsi="Bookman Old Style"/>
          <w:lang w:val="id-ID"/>
        </w:rPr>
        <w:t>Pasal</w:t>
      </w:r>
      <w:r w:rsidR="00A954D0">
        <w:rPr>
          <w:rFonts w:ascii="Bookman Old Style" w:hAnsi="Bookman Old Style"/>
          <w:lang w:val="id-ID"/>
        </w:rPr>
        <w:t xml:space="preserve"> </w:t>
      </w:r>
      <w:r w:rsidRPr="006D569B">
        <w:rPr>
          <w:rFonts w:ascii="Bookman Old Style" w:hAnsi="Bookman Old Style"/>
          <w:lang w:val="id-ID"/>
        </w:rPr>
        <w:t>265</w:t>
      </w:r>
      <w:r w:rsidR="00A954D0">
        <w:rPr>
          <w:rFonts w:ascii="Bookman Old Style" w:hAnsi="Bookman Old Style"/>
          <w:lang w:val="id-ID"/>
        </w:rPr>
        <w:t xml:space="preserve"> </w:t>
      </w:r>
      <w:r w:rsidRPr="006D569B">
        <w:rPr>
          <w:rFonts w:ascii="Bookman Old Style" w:hAnsi="Bookman Old Style"/>
          <w:lang w:val="id-ID"/>
        </w:rPr>
        <w:t>ayat</w:t>
      </w:r>
      <w:r w:rsidR="00A954D0">
        <w:rPr>
          <w:rFonts w:ascii="Bookman Old Style" w:hAnsi="Bookman Old Style"/>
          <w:lang w:val="id-ID"/>
        </w:rPr>
        <w:t xml:space="preserve"> </w:t>
      </w:r>
      <w:r w:rsidRPr="006D569B">
        <w:rPr>
          <w:rFonts w:ascii="Bookman Old Style" w:hAnsi="Bookman Old Style"/>
          <w:lang w:val="id-ID"/>
        </w:rPr>
        <w:t>(3),</w:t>
      </w:r>
      <w:r w:rsidR="00A954D0">
        <w:rPr>
          <w:rFonts w:ascii="Bookman Old Style" w:hAnsi="Bookman Old Style"/>
          <w:lang w:val="id-ID"/>
        </w:rPr>
        <w:t xml:space="preserve"> </w:t>
      </w:r>
      <w:r w:rsidRPr="006D569B">
        <w:rPr>
          <w:rFonts w:ascii="Bookman Old Style" w:hAnsi="Bookman Old Style"/>
          <w:lang w:val="id-ID"/>
        </w:rPr>
        <w:t>Pasal</w:t>
      </w:r>
      <w:r w:rsidR="00A954D0">
        <w:rPr>
          <w:rFonts w:ascii="Bookman Old Style" w:hAnsi="Bookman Old Style"/>
          <w:lang w:val="id-ID"/>
        </w:rPr>
        <w:t xml:space="preserve"> </w:t>
      </w:r>
      <w:r w:rsidRPr="006D569B">
        <w:rPr>
          <w:rFonts w:ascii="Bookman Old Style" w:hAnsi="Bookman Old Style"/>
          <w:lang w:val="id-ID"/>
        </w:rPr>
        <w:t>310</w:t>
      </w:r>
      <w:r w:rsidR="00A954D0">
        <w:rPr>
          <w:rFonts w:ascii="Bookman Old Style" w:hAnsi="Bookman Old Style"/>
          <w:lang w:val="id-ID"/>
        </w:rPr>
        <w:t xml:space="preserve"> </w:t>
      </w:r>
      <w:r w:rsidRPr="006D569B">
        <w:rPr>
          <w:rFonts w:ascii="Bookman Old Style" w:hAnsi="Bookman Old Style"/>
          <w:lang w:val="id-ID"/>
        </w:rPr>
        <w:t>ayat</w:t>
      </w:r>
      <w:r w:rsidR="00A954D0">
        <w:rPr>
          <w:rFonts w:ascii="Bookman Old Style" w:hAnsi="Bookman Old Style"/>
          <w:lang w:val="id-ID"/>
        </w:rPr>
        <w:t xml:space="preserve"> </w:t>
      </w:r>
      <w:r w:rsidRPr="006D569B">
        <w:rPr>
          <w:rFonts w:ascii="Bookman Old Style" w:hAnsi="Bookman Old Style"/>
          <w:lang w:val="id-ID"/>
        </w:rPr>
        <w:t>(1),</w:t>
      </w:r>
      <w:r w:rsidR="00A954D0">
        <w:rPr>
          <w:rFonts w:ascii="Bookman Old Style" w:hAnsi="Bookman Old Style"/>
          <w:lang w:val="id-ID"/>
        </w:rPr>
        <w:t xml:space="preserve"> </w:t>
      </w:r>
      <w:r w:rsidRPr="006D569B">
        <w:rPr>
          <w:rFonts w:ascii="Bookman Old Style" w:hAnsi="Bookman Old Style"/>
          <w:lang w:val="id-ID"/>
        </w:rPr>
        <w:t>ayat</w:t>
      </w:r>
      <w:r w:rsidR="00A954D0">
        <w:rPr>
          <w:rFonts w:ascii="Bookman Old Style" w:hAnsi="Bookman Old Style"/>
          <w:lang w:val="id-ID"/>
        </w:rPr>
        <w:t xml:space="preserve"> </w:t>
      </w:r>
      <w:r w:rsidRPr="006D569B">
        <w:rPr>
          <w:rFonts w:ascii="Bookman Old Style" w:hAnsi="Bookman Old Style"/>
          <w:lang w:val="id-ID"/>
        </w:rPr>
        <w:t>(2)</w:t>
      </w:r>
      <w:r w:rsidR="00A954D0">
        <w:rPr>
          <w:rFonts w:ascii="Bookman Old Style" w:hAnsi="Bookman Old Style"/>
          <w:lang w:val="id-ID"/>
        </w:rPr>
        <w:t xml:space="preserve"> </w:t>
      </w:r>
      <w:r w:rsidRPr="006D569B">
        <w:rPr>
          <w:rFonts w:ascii="Bookman Old Style" w:hAnsi="Bookman Old Style"/>
          <w:lang w:val="id-ID"/>
        </w:rPr>
        <w:t>dan</w:t>
      </w:r>
      <w:r w:rsidR="00A954D0">
        <w:rPr>
          <w:rFonts w:ascii="Bookman Old Style" w:hAnsi="Bookman Old Style"/>
          <w:lang w:val="id-ID"/>
        </w:rPr>
        <w:t xml:space="preserve"> </w:t>
      </w:r>
      <w:r w:rsidRPr="006D569B">
        <w:rPr>
          <w:rFonts w:ascii="Bookman Old Style" w:hAnsi="Bookman Old Style"/>
          <w:lang w:val="id-ID"/>
        </w:rPr>
        <w:t>ayat</w:t>
      </w:r>
      <w:r w:rsidR="00A954D0">
        <w:rPr>
          <w:rFonts w:ascii="Bookman Old Style" w:hAnsi="Bookman Old Style"/>
          <w:lang w:val="id-ID"/>
        </w:rPr>
        <w:t xml:space="preserve"> </w:t>
      </w:r>
      <w:r w:rsidRPr="006D569B">
        <w:rPr>
          <w:rFonts w:ascii="Bookman Old Style" w:hAnsi="Bookman Old Style"/>
          <w:lang w:val="id-ID"/>
        </w:rPr>
        <w:t>(3)</w:t>
      </w:r>
      <w:r w:rsidR="00A954D0">
        <w:rPr>
          <w:rFonts w:ascii="Bookman Old Style" w:hAnsi="Bookman Old Style"/>
          <w:lang w:val="id-ID"/>
        </w:rPr>
        <w:t xml:space="preserve"> </w:t>
      </w:r>
      <w:r w:rsidRPr="006D569B">
        <w:rPr>
          <w:rFonts w:ascii="Bookman Old Style" w:hAnsi="Bookman Old Style"/>
          <w:lang w:val="id-ID"/>
        </w:rPr>
        <w:t>Undang-Undang</w:t>
      </w:r>
      <w:r w:rsidR="00A954D0">
        <w:rPr>
          <w:rFonts w:ascii="Bookman Old Style" w:hAnsi="Bookman Old Style"/>
          <w:lang w:val="id-ID"/>
        </w:rPr>
        <w:t xml:space="preserve"> </w:t>
      </w:r>
      <w:r w:rsidRPr="006D569B">
        <w:rPr>
          <w:rFonts w:ascii="Bookman Old Style" w:hAnsi="Bookman Old Style"/>
          <w:lang w:val="id-ID"/>
        </w:rPr>
        <w:t>Nomor</w:t>
      </w:r>
      <w:r w:rsidR="00A954D0">
        <w:rPr>
          <w:rFonts w:ascii="Bookman Old Style" w:hAnsi="Bookman Old Style"/>
          <w:lang w:val="id-ID"/>
        </w:rPr>
        <w:t xml:space="preserve"> </w:t>
      </w:r>
      <w:r w:rsidRPr="006D569B">
        <w:rPr>
          <w:rFonts w:ascii="Bookman Old Style" w:hAnsi="Bookman Old Style"/>
          <w:lang w:val="id-ID"/>
        </w:rPr>
        <w:t>23</w:t>
      </w:r>
      <w:r w:rsidR="00A954D0">
        <w:rPr>
          <w:rFonts w:ascii="Bookman Old Style" w:hAnsi="Bookman Old Style"/>
          <w:lang w:val="id-ID"/>
        </w:rPr>
        <w:t xml:space="preserve"> </w:t>
      </w:r>
      <w:r w:rsidRPr="006D569B">
        <w:rPr>
          <w:rFonts w:ascii="Bookman Old Style" w:hAnsi="Bookman Old Style"/>
          <w:lang w:val="id-ID"/>
        </w:rPr>
        <w:t>Tahun</w:t>
      </w:r>
      <w:r w:rsidR="00A954D0">
        <w:rPr>
          <w:rFonts w:ascii="Bookman Old Style" w:hAnsi="Bookman Old Style"/>
          <w:lang w:val="id-ID"/>
        </w:rPr>
        <w:t xml:space="preserve"> </w:t>
      </w:r>
      <w:r w:rsidRPr="006D569B">
        <w:rPr>
          <w:rFonts w:ascii="Bookman Old Style" w:hAnsi="Bookman Old Style"/>
          <w:lang w:val="id-ID"/>
        </w:rPr>
        <w:t>2014</w:t>
      </w:r>
      <w:r w:rsidRPr="006D569B">
        <w:rPr>
          <w:rFonts w:ascii="Bookman Old Style" w:hAnsi="Bookman Old Style" w:cs="Arial"/>
          <w:lang w:val="id-ID"/>
        </w:rPr>
        <w:t>,</w:t>
      </w:r>
      <w:r w:rsidR="00A954D0">
        <w:rPr>
          <w:rFonts w:ascii="Bookman Old Style" w:hAnsi="Bookman Old Style" w:cs="Arial"/>
          <w:lang w:val="id-ID"/>
        </w:rPr>
        <w:t xml:space="preserve"> </w:t>
      </w:r>
      <w:r w:rsidRPr="006D569B">
        <w:rPr>
          <w:rFonts w:ascii="Bookman Old Style" w:hAnsi="Bookman Old Style"/>
          <w:spacing w:val="-4"/>
          <w:lang w:val="id-ID"/>
        </w:rPr>
        <w:t>sebagaimana</w:t>
      </w:r>
      <w:r w:rsidR="00A954D0">
        <w:rPr>
          <w:rFonts w:ascii="Bookman Old Style" w:hAnsi="Bookman Old Style"/>
          <w:spacing w:val="-4"/>
          <w:lang w:val="id-ID"/>
        </w:rPr>
        <w:t xml:space="preserve"> </w:t>
      </w:r>
      <w:r w:rsidRPr="006D569B">
        <w:rPr>
          <w:rFonts w:ascii="Bookman Old Style" w:hAnsi="Bookman Old Style" w:cs="Arial"/>
          <w:spacing w:val="-6"/>
          <w:lang w:val="id-ID"/>
        </w:rPr>
        <w:t>telah</w:t>
      </w:r>
      <w:r w:rsidR="00A954D0">
        <w:rPr>
          <w:rFonts w:ascii="Bookman Old Style" w:hAnsi="Bookman Old Style" w:cs="Arial"/>
          <w:spacing w:val="-6"/>
          <w:lang w:val="id-ID"/>
        </w:rPr>
        <w:t xml:space="preserve"> </w:t>
      </w:r>
      <w:r w:rsidRPr="006D569B">
        <w:rPr>
          <w:rFonts w:ascii="Bookman Old Style" w:hAnsi="Bookman Old Style" w:cs="Arial"/>
          <w:spacing w:val="-6"/>
          <w:lang w:val="id-ID"/>
        </w:rPr>
        <w:t>beberapa</w:t>
      </w:r>
      <w:r w:rsidR="00A954D0">
        <w:rPr>
          <w:rFonts w:ascii="Bookman Old Style" w:hAnsi="Bookman Old Style" w:cs="Arial"/>
          <w:spacing w:val="-6"/>
          <w:lang w:val="id-ID"/>
        </w:rPr>
        <w:t xml:space="preserve"> </w:t>
      </w:r>
      <w:r w:rsidRPr="006D569B">
        <w:rPr>
          <w:rFonts w:ascii="Bookman Old Style" w:hAnsi="Bookman Old Style" w:cs="Arial"/>
          <w:spacing w:val="-6"/>
          <w:lang w:val="id-ID"/>
        </w:rPr>
        <w:t>kali</w:t>
      </w:r>
      <w:r w:rsidR="00A954D0">
        <w:rPr>
          <w:rFonts w:ascii="Bookman Old Style" w:hAnsi="Bookman Old Style" w:cs="Arial"/>
          <w:spacing w:val="-6"/>
          <w:lang w:val="id-ID"/>
        </w:rPr>
        <w:t xml:space="preserve"> </w:t>
      </w:r>
      <w:r w:rsidRPr="006D569B">
        <w:rPr>
          <w:rFonts w:ascii="Bookman Old Style" w:hAnsi="Bookman Old Style" w:cs="Arial"/>
          <w:spacing w:val="-6"/>
          <w:lang w:val="id-ID"/>
        </w:rPr>
        <w:t>diubah</w:t>
      </w:r>
      <w:r w:rsidR="00A954D0">
        <w:rPr>
          <w:rFonts w:ascii="Bookman Old Style" w:hAnsi="Bookman Old Style" w:cs="Arial"/>
          <w:spacing w:val="-6"/>
          <w:lang w:val="id-ID"/>
        </w:rPr>
        <w:t xml:space="preserve"> </w:t>
      </w:r>
      <w:r w:rsidRPr="006D569B">
        <w:rPr>
          <w:rFonts w:ascii="Bookman Old Style" w:hAnsi="Bookman Old Style" w:cs="Arial"/>
          <w:spacing w:val="-6"/>
          <w:lang w:val="id-ID"/>
        </w:rPr>
        <w:t>terakhir</w:t>
      </w:r>
      <w:r w:rsidR="00A954D0">
        <w:rPr>
          <w:rFonts w:ascii="Bookman Old Style" w:hAnsi="Bookman Old Style" w:cs="Arial"/>
          <w:spacing w:val="-6"/>
          <w:lang w:val="id-ID"/>
        </w:rPr>
        <w:t xml:space="preserve"> </w:t>
      </w:r>
      <w:r w:rsidRPr="006D569B">
        <w:rPr>
          <w:rFonts w:ascii="Bookman Old Style" w:hAnsi="Bookman Old Style"/>
          <w:spacing w:val="-4"/>
          <w:lang w:val="id-ID"/>
        </w:rPr>
        <w:t>dengan</w:t>
      </w:r>
      <w:r w:rsidR="00A954D0">
        <w:rPr>
          <w:rFonts w:ascii="Bookman Old Style" w:hAnsi="Bookman Old Style"/>
          <w:spacing w:val="-4"/>
          <w:lang w:val="id-ID"/>
        </w:rPr>
        <w:t xml:space="preserve"> </w:t>
      </w:r>
      <w:r w:rsidRPr="006D569B">
        <w:rPr>
          <w:rFonts w:ascii="Bookman Old Style" w:hAnsi="Bookman Old Style"/>
          <w:spacing w:val="-4"/>
          <w:lang w:val="id-ID"/>
        </w:rPr>
        <w:t>Undang-Undang</w:t>
      </w:r>
      <w:r w:rsidR="00A954D0">
        <w:rPr>
          <w:rFonts w:ascii="Bookman Old Style" w:hAnsi="Bookman Old Style"/>
          <w:spacing w:val="-4"/>
          <w:lang w:val="id-ID"/>
        </w:rPr>
        <w:t xml:space="preserve"> </w:t>
      </w:r>
      <w:r w:rsidRPr="006D569B">
        <w:rPr>
          <w:rFonts w:ascii="Bookman Old Style" w:hAnsi="Bookman Old Style"/>
          <w:spacing w:val="-4"/>
          <w:lang w:val="id-ID"/>
        </w:rPr>
        <w:t>Nomor</w:t>
      </w:r>
      <w:r w:rsidR="00A954D0">
        <w:rPr>
          <w:rFonts w:ascii="Bookman Old Style" w:hAnsi="Bookman Old Style"/>
          <w:spacing w:val="-4"/>
          <w:lang w:val="id-ID"/>
        </w:rPr>
        <w:t xml:space="preserve"> </w:t>
      </w:r>
      <w:r w:rsidRPr="006D569B">
        <w:rPr>
          <w:rFonts w:ascii="Bookman Old Style" w:hAnsi="Bookman Old Style"/>
          <w:spacing w:val="-4"/>
          <w:lang w:val="id-ID"/>
        </w:rPr>
        <w:t>6</w:t>
      </w:r>
      <w:r w:rsidR="00A954D0">
        <w:rPr>
          <w:rFonts w:ascii="Bookman Old Style" w:hAnsi="Bookman Old Style"/>
          <w:spacing w:val="-4"/>
          <w:lang w:val="id-ID"/>
        </w:rPr>
        <w:t xml:space="preserve"> </w:t>
      </w:r>
      <w:r w:rsidRPr="006D569B">
        <w:rPr>
          <w:rFonts w:ascii="Bookman Old Style" w:hAnsi="Bookman Old Style"/>
          <w:spacing w:val="-4"/>
          <w:lang w:val="id-ID"/>
        </w:rPr>
        <w:t>Tahun</w:t>
      </w:r>
      <w:r w:rsidR="00A954D0">
        <w:rPr>
          <w:rFonts w:ascii="Bookman Old Style" w:hAnsi="Bookman Old Style"/>
          <w:spacing w:val="-4"/>
          <w:lang w:val="id-ID"/>
        </w:rPr>
        <w:t xml:space="preserve"> </w:t>
      </w:r>
      <w:r w:rsidRPr="006D569B">
        <w:rPr>
          <w:rFonts w:ascii="Bookman Old Style" w:hAnsi="Bookman Old Style"/>
          <w:spacing w:val="-4"/>
          <w:lang w:val="id-ID"/>
        </w:rPr>
        <w:t>2023</w:t>
      </w:r>
      <w:r w:rsidRPr="006D569B">
        <w:rPr>
          <w:rFonts w:ascii="Bookman Old Style" w:hAnsi="Bookman Old Style"/>
          <w:lang w:val="id-ID"/>
        </w:rPr>
        <w:t>,</w:t>
      </w:r>
      <w:r w:rsidR="00A954D0">
        <w:rPr>
          <w:rFonts w:ascii="Bookman Old Style" w:hAnsi="Bookman Old Style"/>
          <w:lang w:val="id-ID"/>
        </w:rPr>
        <w:t xml:space="preserve"> </w:t>
      </w:r>
      <w:r w:rsidRPr="006D569B">
        <w:rPr>
          <w:rFonts w:ascii="Bookman Old Style" w:hAnsi="Bookman Old Style"/>
          <w:lang w:val="id-ID"/>
        </w:rPr>
        <w:t>Pasal</w:t>
      </w:r>
      <w:r w:rsidR="00A954D0">
        <w:rPr>
          <w:rFonts w:ascii="Bookman Old Style" w:hAnsi="Bookman Old Style"/>
          <w:lang w:val="id-ID"/>
        </w:rPr>
        <w:t xml:space="preserve"> </w:t>
      </w:r>
      <w:r w:rsidRPr="006D569B">
        <w:rPr>
          <w:rFonts w:ascii="Bookman Old Style" w:hAnsi="Bookman Old Style"/>
          <w:lang w:val="id-ID"/>
        </w:rPr>
        <w:t>17</w:t>
      </w:r>
      <w:r w:rsidR="00A954D0">
        <w:rPr>
          <w:rFonts w:ascii="Bookman Old Style" w:hAnsi="Bookman Old Style"/>
          <w:lang w:val="id-ID"/>
        </w:rPr>
        <w:t xml:space="preserve"> </w:t>
      </w:r>
      <w:r w:rsidRPr="006D569B">
        <w:rPr>
          <w:rFonts w:ascii="Bookman Old Style" w:hAnsi="Bookman Old Style"/>
          <w:lang w:val="id-ID"/>
        </w:rPr>
        <w:t>ayat</w:t>
      </w:r>
      <w:r w:rsidR="00A954D0">
        <w:rPr>
          <w:rFonts w:ascii="Bookman Old Style" w:hAnsi="Bookman Old Style"/>
          <w:lang w:val="id-ID"/>
        </w:rPr>
        <w:t xml:space="preserve"> </w:t>
      </w:r>
      <w:r w:rsidRPr="006D569B">
        <w:rPr>
          <w:rFonts w:ascii="Bookman Old Style" w:hAnsi="Bookman Old Style"/>
          <w:lang w:val="id-ID"/>
        </w:rPr>
        <w:t>(2)</w:t>
      </w:r>
      <w:r w:rsidR="00A954D0">
        <w:rPr>
          <w:rFonts w:ascii="Bookman Old Style" w:hAnsi="Bookman Old Style"/>
          <w:lang w:val="id-ID"/>
        </w:rPr>
        <w:t xml:space="preserve"> </w:t>
      </w:r>
      <w:r w:rsidRPr="006D569B">
        <w:rPr>
          <w:rFonts w:ascii="Bookman Old Style" w:hAnsi="Bookman Old Style"/>
          <w:lang w:val="id-ID"/>
        </w:rPr>
        <w:t>Undang-Undang</w:t>
      </w:r>
      <w:r w:rsidR="00A954D0">
        <w:rPr>
          <w:rFonts w:ascii="Bookman Old Style" w:hAnsi="Bookman Old Style"/>
          <w:lang w:val="id-ID"/>
        </w:rPr>
        <w:t xml:space="preserve"> </w:t>
      </w:r>
      <w:r w:rsidRPr="006D569B">
        <w:rPr>
          <w:rFonts w:ascii="Bookman Old Style" w:hAnsi="Bookman Old Style"/>
          <w:lang w:val="id-ID"/>
        </w:rPr>
        <w:t>Nomor</w:t>
      </w:r>
      <w:r w:rsidR="00A954D0">
        <w:rPr>
          <w:rFonts w:ascii="Bookman Old Style" w:hAnsi="Bookman Old Style"/>
          <w:lang w:val="id-ID"/>
        </w:rPr>
        <w:t xml:space="preserve"> </w:t>
      </w:r>
      <w:r w:rsidRPr="006D569B">
        <w:rPr>
          <w:rFonts w:ascii="Bookman Old Style" w:hAnsi="Bookman Old Style"/>
          <w:lang w:val="id-ID"/>
        </w:rPr>
        <w:t>17</w:t>
      </w:r>
      <w:r w:rsidR="00A954D0">
        <w:rPr>
          <w:rFonts w:ascii="Bookman Old Style" w:hAnsi="Bookman Old Style"/>
          <w:lang w:val="id-ID"/>
        </w:rPr>
        <w:t xml:space="preserve"> </w:t>
      </w:r>
      <w:r w:rsidRPr="006D569B">
        <w:rPr>
          <w:rFonts w:ascii="Bookman Old Style" w:hAnsi="Bookman Old Style"/>
          <w:lang w:val="id-ID"/>
        </w:rPr>
        <w:t>Tahun</w:t>
      </w:r>
      <w:r w:rsidR="00A954D0">
        <w:rPr>
          <w:rFonts w:ascii="Bookman Old Style" w:hAnsi="Bookman Old Style"/>
          <w:lang w:val="id-ID"/>
        </w:rPr>
        <w:t xml:space="preserve"> </w:t>
      </w:r>
      <w:r w:rsidRPr="006D569B">
        <w:rPr>
          <w:rFonts w:ascii="Bookman Old Style" w:hAnsi="Bookman Old Style"/>
          <w:lang w:val="id-ID"/>
        </w:rPr>
        <w:t>2003</w:t>
      </w:r>
      <w:r w:rsidR="00A954D0">
        <w:rPr>
          <w:rFonts w:ascii="Bookman Old Style" w:hAnsi="Bookman Old Style"/>
          <w:lang w:val="id-ID"/>
        </w:rPr>
        <w:t xml:space="preserve"> </w:t>
      </w:r>
      <w:r w:rsidRPr="006D569B">
        <w:rPr>
          <w:rFonts w:ascii="Bookman Old Style" w:hAnsi="Bookman Old Style"/>
          <w:lang w:val="id-ID"/>
        </w:rPr>
        <w:t>tentang</w:t>
      </w:r>
      <w:r w:rsidR="00A954D0">
        <w:rPr>
          <w:rFonts w:ascii="Bookman Old Style" w:hAnsi="Bookman Old Style"/>
          <w:lang w:val="id-ID"/>
        </w:rPr>
        <w:t xml:space="preserve"> </w:t>
      </w:r>
      <w:r w:rsidRPr="006D569B">
        <w:rPr>
          <w:rFonts w:ascii="Bookman Old Style" w:hAnsi="Bookman Old Style"/>
          <w:lang w:val="id-ID"/>
        </w:rPr>
        <w:t>Pengelolaan</w:t>
      </w:r>
      <w:r w:rsidR="00A954D0">
        <w:rPr>
          <w:rFonts w:ascii="Bookman Old Style" w:hAnsi="Bookman Old Style"/>
          <w:lang w:val="id-ID"/>
        </w:rPr>
        <w:t xml:space="preserve"> </w:t>
      </w:r>
      <w:r w:rsidRPr="006D569B">
        <w:rPr>
          <w:rFonts w:ascii="Bookman Old Style" w:hAnsi="Bookman Old Style"/>
          <w:lang w:val="id-ID"/>
        </w:rPr>
        <w:t>Keuangan</w:t>
      </w:r>
      <w:r w:rsidR="00A954D0">
        <w:rPr>
          <w:rFonts w:ascii="Bookman Old Style" w:hAnsi="Bookman Old Style"/>
          <w:lang w:val="id-ID"/>
        </w:rPr>
        <w:t xml:space="preserve"> </w:t>
      </w:r>
      <w:r w:rsidRPr="006D569B">
        <w:rPr>
          <w:rFonts w:ascii="Bookman Old Style" w:hAnsi="Bookman Old Style"/>
          <w:lang w:val="id-ID"/>
        </w:rPr>
        <w:t>Negara,</w:t>
      </w:r>
      <w:r w:rsidR="00A954D0">
        <w:rPr>
          <w:rFonts w:ascii="Bookman Old Style" w:hAnsi="Bookman Old Style"/>
          <w:lang w:val="id-ID"/>
        </w:rPr>
        <w:t xml:space="preserve"> </w:t>
      </w:r>
      <w:r w:rsidRPr="006D569B">
        <w:rPr>
          <w:rFonts w:ascii="Bookman Old Style" w:hAnsi="Bookman Old Style"/>
          <w:lang w:val="id-ID"/>
        </w:rPr>
        <w:t>Pasal</w:t>
      </w:r>
      <w:r w:rsidR="00A954D0">
        <w:rPr>
          <w:rFonts w:ascii="Bookman Old Style" w:hAnsi="Bookman Old Style"/>
          <w:lang w:val="id-ID"/>
        </w:rPr>
        <w:t xml:space="preserve"> </w:t>
      </w:r>
      <w:r w:rsidRPr="006D569B">
        <w:rPr>
          <w:rFonts w:ascii="Bookman Old Style" w:hAnsi="Bookman Old Style"/>
          <w:lang w:val="id-ID"/>
        </w:rPr>
        <w:t>23</w:t>
      </w:r>
      <w:r w:rsidR="00A954D0">
        <w:rPr>
          <w:rFonts w:ascii="Bookman Old Style" w:hAnsi="Bookman Old Style"/>
          <w:lang w:val="id-ID"/>
        </w:rPr>
        <w:t xml:space="preserve"> </w:t>
      </w:r>
      <w:r w:rsidRPr="006D569B">
        <w:rPr>
          <w:rFonts w:ascii="Bookman Old Style" w:hAnsi="Bookman Old Style"/>
          <w:lang w:val="id-ID"/>
        </w:rPr>
        <w:t>ayat</w:t>
      </w:r>
      <w:r w:rsidR="00A954D0">
        <w:rPr>
          <w:rFonts w:ascii="Bookman Old Style" w:hAnsi="Bookman Old Style"/>
          <w:lang w:val="id-ID"/>
        </w:rPr>
        <w:t xml:space="preserve"> </w:t>
      </w:r>
      <w:r w:rsidRPr="006D569B">
        <w:rPr>
          <w:rFonts w:ascii="Bookman Old Style" w:hAnsi="Bookman Old Style"/>
          <w:lang w:val="id-ID"/>
        </w:rPr>
        <w:t>(4)</w:t>
      </w:r>
      <w:r w:rsidR="00A954D0">
        <w:rPr>
          <w:rFonts w:ascii="Bookman Old Style" w:hAnsi="Bookman Old Style"/>
          <w:lang w:val="id-ID"/>
        </w:rPr>
        <w:t xml:space="preserve"> </w:t>
      </w:r>
      <w:r w:rsidRPr="006D569B">
        <w:rPr>
          <w:rFonts w:ascii="Bookman Old Style" w:hAnsi="Bookman Old Style"/>
          <w:lang w:val="id-ID"/>
        </w:rPr>
        <w:t>Peraturan</w:t>
      </w:r>
      <w:r w:rsidR="00A954D0">
        <w:rPr>
          <w:rFonts w:ascii="Bookman Old Style" w:hAnsi="Bookman Old Style"/>
          <w:lang w:val="id-ID"/>
        </w:rPr>
        <w:t xml:space="preserve"> </w:t>
      </w:r>
      <w:r w:rsidRPr="006D569B">
        <w:rPr>
          <w:rFonts w:ascii="Bookman Old Style" w:hAnsi="Bookman Old Style"/>
          <w:lang w:val="id-ID"/>
        </w:rPr>
        <w:t>Pemerintah</w:t>
      </w:r>
      <w:r w:rsidR="00A954D0">
        <w:rPr>
          <w:rFonts w:ascii="Bookman Old Style" w:hAnsi="Bookman Old Style"/>
          <w:lang w:val="id-ID"/>
        </w:rPr>
        <w:t xml:space="preserve"> </w:t>
      </w:r>
      <w:r w:rsidRPr="006D569B">
        <w:rPr>
          <w:rFonts w:ascii="Bookman Old Style" w:hAnsi="Bookman Old Style"/>
          <w:lang w:val="id-ID"/>
        </w:rPr>
        <w:t>Nomor</w:t>
      </w:r>
      <w:r w:rsidR="00A954D0">
        <w:rPr>
          <w:rFonts w:ascii="Bookman Old Style" w:hAnsi="Bookman Old Style"/>
          <w:lang w:val="id-ID"/>
        </w:rPr>
        <w:t xml:space="preserve"> </w:t>
      </w:r>
      <w:r w:rsidRPr="006D569B">
        <w:rPr>
          <w:rFonts w:ascii="Bookman Old Style" w:hAnsi="Bookman Old Style"/>
          <w:lang w:val="id-ID"/>
        </w:rPr>
        <w:t>8</w:t>
      </w:r>
      <w:r w:rsidR="00A954D0">
        <w:rPr>
          <w:rFonts w:ascii="Bookman Old Style" w:hAnsi="Bookman Old Style"/>
          <w:lang w:val="id-ID"/>
        </w:rPr>
        <w:t xml:space="preserve"> </w:t>
      </w:r>
      <w:r w:rsidRPr="006D569B">
        <w:rPr>
          <w:rFonts w:ascii="Bookman Old Style" w:hAnsi="Bookman Old Style"/>
          <w:lang w:val="id-ID"/>
        </w:rPr>
        <w:t>Tahun</w:t>
      </w:r>
      <w:r w:rsidR="00A954D0">
        <w:rPr>
          <w:rFonts w:ascii="Bookman Old Style" w:hAnsi="Bookman Old Style"/>
          <w:lang w:val="id-ID"/>
        </w:rPr>
        <w:t xml:space="preserve"> </w:t>
      </w:r>
      <w:r w:rsidRPr="006D569B">
        <w:rPr>
          <w:rFonts w:ascii="Bookman Old Style" w:hAnsi="Bookman Old Style"/>
          <w:lang w:val="id-ID"/>
        </w:rPr>
        <w:t>2008</w:t>
      </w:r>
      <w:r w:rsidR="00A954D0">
        <w:rPr>
          <w:rFonts w:ascii="Bookman Old Style" w:hAnsi="Bookman Old Style"/>
          <w:lang w:val="id-ID"/>
        </w:rPr>
        <w:t xml:space="preserve"> </w:t>
      </w:r>
      <w:r w:rsidRPr="006D569B">
        <w:rPr>
          <w:rFonts w:ascii="Bookman Old Style" w:hAnsi="Bookman Old Style"/>
          <w:lang w:val="id-ID"/>
        </w:rPr>
        <w:t>tentang</w:t>
      </w:r>
      <w:r w:rsidR="00A954D0">
        <w:rPr>
          <w:rFonts w:ascii="Bookman Old Style" w:hAnsi="Bookman Old Style"/>
          <w:lang w:val="id-ID"/>
        </w:rPr>
        <w:t xml:space="preserve"> </w:t>
      </w:r>
      <w:r w:rsidRPr="006D569B">
        <w:rPr>
          <w:rFonts w:ascii="Bookman Old Style" w:hAnsi="Bookman Old Style"/>
          <w:lang w:val="id-ID"/>
        </w:rPr>
        <w:t>Tahapan,</w:t>
      </w:r>
      <w:r w:rsidR="00A954D0">
        <w:rPr>
          <w:rFonts w:ascii="Bookman Old Style" w:hAnsi="Bookman Old Style"/>
          <w:lang w:val="id-ID"/>
        </w:rPr>
        <w:t xml:space="preserve"> </w:t>
      </w:r>
      <w:r w:rsidRPr="006D569B">
        <w:rPr>
          <w:rFonts w:ascii="Bookman Old Style" w:hAnsi="Bookman Old Style"/>
          <w:lang w:val="id-ID"/>
        </w:rPr>
        <w:t>Tata</w:t>
      </w:r>
      <w:r w:rsidR="00A954D0">
        <w:rPr>
          <w:rFonts w:ascii="Bookman Old Style" w:hAnsi="Bookman Old Style"/>
          <w:lang w:val="id-ID"/>
        </w:rPr>
        <w:t xml:space="preserve"> </w:t>
      </w:r>
      <w:r w:rsidRPr="006D569B">
        <w:rPr>
          <w:rFonts w:ascii="Bookman Old Style" w:hAnsi="Bookman Old Style"/>
          <w:lang w:val="id-ID"/>
        </w:rPr>
        <w:t>Cara</w:t>
      </w:r>
      <w:r w:rsidR="00A954D0">
        <w:rPr>
          <w:rFonts w:ascii="Bookman Old Style" w:hAnsi="Bookman Old Style"/>
          <w:lang w:val="id-ID"/>
        </w:rPr>
        <w:t xml:space="preserve"> </w:t>
      </w:r>
      <w:r w:rsidRPr="006D569B">
        <w:rPr>
          <w:rFonts w:ascii="Bookman Old Style" w:hAnsi="Bookman Old Style"/>
          <w:lang w:val="id-ID"/>
        </w:rPr>
        <w:t>Penyusunan,</w:t>
      </w:r>
      <w:r w:rsidR="00A954D0">
        <w:rPr>
          <w:rFonts w:ascii="Bookman Old Style" w:hAnsi="Bookman Old Style"/>
          <w:lang w:val="id-ID"/>
        </w:rPr>
        <w:t xml:space="preserve"> </w:t>
      </w:r>
      <w:r w:rsidRPr="006D569B">
        <w:rPr>
          <w:rFonts w:ascii="Bookman Old Style" w:hAnsi="Bookman Old Style"/>
          <w:lang w:val="id-ID"/>
        </w:rPr>
        <w:t>Pengendalian</w:t>
      </w:r>
      <w:r w:rsidR="00A954D0">
        <w:rPr>
          <w:rFonts w:ascii="Bookman Old Style" w:hAnsi="Bookman Old Style"/>
          <w:lang w:val="id-ID"/>
        </w:rPr>
        <w:t xml:space="preserve"> </w:t>
      </w:r>
      <w:r w:rsidRPr="006D569B">
        <w:rPr>
          <w:rFonts w:ascii="Bookman Old Style" w:hAnsi="Bookman Old Style"/>
          <w:lang w:val="id-ID"/>
        </w:rPr>
        <w:t>dan</w:t>
      </w:r>
      <w:r w:rsidR="00A954D0">
        <w:rPr>
          <w:rFonts w:ascii="Bookman Old Style" w:hAnsi="Bookman Old Style"/>
          <w:lang w:val="id-ID"/>
        </w:rPr>
        <w:t xml:space="preserve"> </w:t>
      </w:r>
      <w:r w:rsidRPr="006D569B">
        <w:rPr>
          <w:rFonts w:ascii="Bookman Old Style" w:hAnsi="Bookman Old Style"/>
          <w:lang w:val="id-ID"/>
        </w:rPr>
        <w:t>Evaluasi</w:t>
      </w:r>
      <w:r w:rsidR="00A954D0">
        <w:rPr>
          <w:rFonts w:ascii="Bookman Old Style" w:hAnsi="Bookman Old Style"/>
          <w:lang w:val="id-ID"/>
        </w:rPr>
        <w:t xml:space="preserve"> </w:t>
      </w:r>
      <w:r w:rsidRPr="006D569B">
        <w:rPr>
          <w:rFonts w:ascii="Bookman Old Style" w:hAnsi="Bookman Old Style"/>
          <w:lang w:val="id-ID"/>
        </w:rPr>
        <w:t>Pelaksanaan</w:t>
      </w:r>
      <w:r w:rsidR="00A954D0">
        <w:rPr>
          <w:rFonts w:ascii="Bookman Old Style" w:hAnsi="Bookman Old Style"/>
          <w:lang w:val="id-ID"/>
        </w:rPr>
        <w:t xml:space="preserve"> </w:t>
      </w:r>
      <w:r w:rsidRPr="006D569B">
        <w:rPr>
          <w:rFonts w:ascii="Bookman Old Style" w:hAnsi="Bookman Old Style"/>
          <w:lang w:val="id-ID"/>
        </w:rPr>
        <w:t>Rencana</w:t>
      </w:r>
      <w:r w:rsidR="00A954D0">
        <w:rPr>
          <w:rFonts w:ascii="Bookman Old Style" w:hAnsi="Bookman Old Style"/>
          <w:lang w:val="id-ID"/>
        </w:rPr>
        <w:t xml:space="preserve"> </w:t>
      </w:r>
      <w:r w:rsidRPr="006D569B">
        <w:rPr>
          <w:rFonts w:ascii="Bookman Old Style" w:hAnsi="Bookman Old Style"/>
          <w:lang w:val="id-ID"/>
        </w:rPr>
        <w:t>Pembangunan</w:t>
      </w:r>
      <w:r w:rsidR="00A954D0">
        <w:rPr>
          <w:rFonts w:ascii="Bookman Old Style" w:hAnsi="Bookman Old Style"/>
          <w:lang w:val="id-ID"/>
        </w:rPr>
        <w:t xml:space="preserve"> </w:t>
      </w:r>
      <w:r w:rsidRPr="006D569B">
        <w:rPr>
          <w:rFonts w:ascii="Bookman Old Style" w:hAnsi="Bookman Old Style"/>
          <w:lang w:val="id-ID"/>
        </w:rPr>
        <w:t>Daerah,</w:t>
      </w:r>
      <w:r w:rsidR="00A954D0">
        <w:rPr>
          <w:rFonts w:ascii="Bookman Old Style" w:hAnsi="Bookman Old Style"/>
          <w:lang w:val="id-ID"/>
        </w:rPr>
        <w:t xml:space="preserve"> </w:t>
      </w:r>
      <w:r w:rsidRPr="006D569B">
        <w:rPr>
          <w:rFonts w:ascii="Bookman Old Style" w:hAnsi="Bookman Old Style"/>
          <w:lang w:val="id-ID"/>
        </w:rPr>
        <w:t>dan</w:t>
      </w:r>
      <w:r w:rsidR="00A954D0">
        <w:rPr>
          <w:rFonts w:ascii="Bookman Old Style" w:hAnsi="Bookman Old Style"/>
          <w:lang w:val="id-ID"/>
        </w:rPr>
        <w:t xml:space="preserve"> </w:t>
      </w:r>
      <w:r w:rsidRPr="006D569B">
        <w:rPr>
          <w:rFonts w:ascii="Bookman Old Style" w:hAnsi="Bookman Old Style"/>
          <w:lang w:val="id-ID"/>
        </w:rPr>
        <w:t>Pasal</w:t>
      </w:r>
      <w:r w:rsidR="00A954D0">
        <w:rPr>
          <w:rFonts w:ascii="Bookman Old Style" w:hAnsi="Bookman Old Style"/>
          <w:lang w:val="id-ID"/>
        </w:rPr>
        <w:t xml:space="preserve"> </w:t>
      </w:r>
      <w:r w:rsidRPr="006D569B">
        <w:rPr>
          <w:rFonts w:ascii="Bookman Old Style" w:hAnsi="Bookman Old Style"/>
          <w:lang w:val="id-ID"/>
        </w:rPr>
        <w:t>23</w:t>
      </w:r>
      <w:r w:rsidR="00A954D0">
        <w:rPr>
          <w:rFonts w:ascii="Bookman Old Style" w:hAnsi="Bookman Old Style"/>
          <w:lang w:val="id-ID"/>
        </w:rPr>
        <w:t xml:space="preserve"> </w:t>
      </w:r>
      <w:r w:rsidRPr="006D569B">
        <w:rPr>
          <w:rFonts w:ascii="Bookman Old Style" w:hAnsi="Bookman Old Style"/>
          <w:lang w:val="id-ID"/>
        </w:rPr>
        <w:t>ayat</w:t>
      </w:r>
      <w:r w:rsidR="00A954D0">
        <w:rPr>
          <w:rFonts w:ascii="Bookman Old Style" w:hAnsi="Bookman Old Style"/>
          <w:lang w:val="id-ID"/>
        </w:rPr>
        <w:t xml:space="preserve"> </w:t>
      </w:r>
      <w:r w:rsidRPr="006D569B">
        <w:rPr>
          <w:rFonts w:ascii="Bookman Old Style" w:hAnsi="Bookman Old Style"/>
          <w:lang w:val="id-ID"/>
        </w:rPr>
        <w:t>(2),</w:t>
      </w:r>
      <w:r w:rsidR="00A954D0">
        <w:rPr>
          <w:rFonts w:ascii="Bookman Old Style" w:hAnsi="Bookman Old Style"/>
          <w:lang w:val="id-ID"/>
        </w:rPr>
        <w:t xml:space="preserve"> </w:t>
      </w:r>
      <w:r w:rsidRPr="006D569B">
        <w:rPr>
          <w:rFonts w:ascii="Bookman Old Style" w:hAnsi="Bookman Old Style"/>
          <w:lang w:val="id-ID"/>
        </w:rPr>
        <w:t>Pasal</w:t>
      </w:r>
      <w:r w:rsidR="00A954D0">
        <w:rPr>
          <w:rFonts w:ascii="Bookman Old Style" w:hAnsi="Bookman Old Style"/>
          <w:lang w:val="id-ID"/>
        </w:rPr>
        <w:t xml:space="preserve"> </w:t>
      </w:r>
      <w:r w:rsidRPr="006D569B">
        <w:rPr>
          <w:rFonts w:ascii="Bookman Old Style" w:hAnsi="Bookman Old Style"/>
          <w:lang w:val="id-ID"/>
        </w:rPr>
        <w:t>89</w:t>
      </w:r>
      <w:r w:rsidR="00A954D0">
        <w:rPr>
          <w:rFonts w:ascii="Bookman Old Style" w:hAnsi="Bookman Old Style"/>
          <w:lang w:val="id-ID"/>
        </w:rPr>
        <w:t xml:space="preserve"> </w:t>
      </w:r>
      <w:r w:rsidRPr="006D569B">
        <w:rPr>
          <w:rFonts w:ascii="Bookman Old Style" w:hAnsi="Bookman Old Style"/>
          <w:lang w:val="id-ID"/>
        </w:rPr>
        <w:t>ayat</w:t>
      </w:r>
      <w:r w:rsidR="00A954D0">
        <w:rPr>
          <w:rFonts w:ascii="Bookman Old Style" w:hAnsi="Bookman Old Style"/>
          <w:lang w:val="id-ID"/>
        </w:rPr>
        <w:t xml:space="preserve"> </w:t>
      </w:r>
      <w:r w:rsidRPr="006D569B">
        <w:rPr>
          <w:rFonts w:ascii="Bookman Old Style" w:hAnsi="Bookman Old Style"/>
          <w:lang w:val="id-ID"/>
        </w:rPr>
        <w:t>(1)</w:t>
      </w:r>
      <w:r w:rsidR="00A954D0">
        <w:rPr>
          <w:rFonts w:ascii="Bookman Old Style" w:hAnsi="Bookman Old Style"/>
          <w:lang w:val="id-ID"/>
        </w:rPr>
        <w:t xml:space="preserve"> </w:t>
      </w:r>
      <w:r w:rsidRPr="006D569B">
        <w:rPr>
          <w:rFonts w:ascii="Bookman Old Style" w:hAnsi="Bookman Old Style"/>
          <w:lang w:val="id-ID"/>
        </w:rPr>
        <w:t>dan</w:t>
      </w:r>
      <w:r w:rsidR="00A954D0">
        <w:rPr>
          <w:rFonts w:ascii="Bookman Old Style" w:hAnsi="Bookman Old Style"/>
          <w:lang w:val="id-ID"/>
        </w:rPr>
        <w:t xml:space="preserve"> </w:t>
      </w:r>
      <w:r w:rsidRPr="006D569B">
        <w:rPr>
          <w:rFonts w:ascii="Bookman Old Style" w:hAnsi="Bookman Old Style"/>
          <w:lang w:val="id-ID"/>
        </w:rPr>
        <w:t>Pasal</w:t>
      </w:r>
      <w:r w:rsidR="00A954D0">
        <w:rPr>
          <w:rFonts w:ascii="Bookman Old Style" w:hAnsi="Bookman Old Style"/>
          <w:lang w:val="id-ID"/>
        </w:rPr>
        <w:t xml:space="preserve"> </w:t>
      </w:r>
      <w:r w:rsidRPr="006D569B">
        <w:rPr>
          <w:rFonts w:ascii="Bookman Old Style" w:hAnsi="Bookman Old Style"/>
          <w:lang w:val="id-ID"/>
        </w:rPr>
        <w:t>90</w:t>
      </w:r>
      <w:r w:rsidR="00A954D0">
        <w:rPr>
          <w:rFonts w:ascii="Bookman Old Style" w:hAnsi="Bookman Old Style"/>
          <w:lang w:val="id-ID"/>
        </w:rPr>
        <w:t xml:space="preserve"> </w:t>
      </w:r>
      <w:r w:rsidRPr="006D569B">
        <w:rPr>
          <w:rFonts w:ascii="Bookman Old Style" w:hAnsi="Bookman Old Style"/>
          <w:lang w:val="id-ID"/>
        </w:rPr>
        <w:t>ayat</w:t>
      </w:r>
      <w:r w:rsidR="00A954D0">
        <w:rPr>
          <w:rFonts w:ascii="Bookman Old Style" w:hAnsi="Bookman Old Style"/>
          <w:lang w:val="id-ID"/>
        </w:rPr>
        <w:t xml:space="preserve"> </w:t>
      </w:r>
      <w:r w:rsidRPr="006D569B">
        <w:rPr>
          <w:rFonts w:ascii="Bookman Old Style" w:hAnsi="Bookman Old Style"/>
          <w:lang w:val="id-ID"/>
        </w:rPr>
        <w:t>(3)</w:t>
      </w:r>
      <w:r w:rsidR="00A954D0">
        <w:rPr>
          <w:rFonts w:ascii="Bookman Old Style" w:hAnsi="Bookman Old Style"/>
          <w:lang w:val="id-ID"/>
        </w:rPr>
        <w:t xml:space="preserve"> </w:t>
      </w:r>
      <w:r w:rsidRPr="006D569B">
        <w:rPr>
          <w:rFonts w:ascii="Bookman Old Style" w:hAnsi="Bookman Old Style"/>
          <w:lang w:val="id-ID"/>
        </w:rPr>
        <w:t>Peraturan</w:t>
      </w:r>
      <w:r w:rsidR="00A954D0">
        <w:rPr>
          <w:rFonts w:ascii="Bookman Old Style" w:hAnsi="Bookman Old Style"/>
          <w:lang w:val="id-ID"/>
        </w:rPr>
        <w:t xml:space="preserve"> </w:t>
      </w:r>
      <w:r w:rsidRPr="006D569B">
        <w:rPr>
          <w:rFonts w:ascii="Bookman Old Style" w:hAnsi="Bookman Old Style"/>
          <w:lang w:val="id-ID"/>
        </w:rPr>
        <w:t>Pemerintah</w:t>
      </w:r>
      <w:r w:rsidR="00A954D0">
        <w:rPr>
          <w:rFonts w:ascii="Bookman Old Style" w:hAnsi="Bookman Old Style"/>
          <w:lang w:val="id-ID"/>
        </w:rPr>
        <w:t xml:space="preserve"> </w:t>
      </w:r>
      <w:r w:rsidRPr="006D569B">
        <w:rPr>
          <w:rFonts w:ascii="Bookman Old Style" w:hAnsi="Bookman Old Style"/>
          <w:lang w:val="id-ID"/>
        </w:rPr>
        <w:t>Nomor</w:t>
      </w:r>
      <w:r w:rsidR="00A954D0">
        <w:rPr>
          <w:rFonts w:ascii="Bookman Old Style" w:hAnsi="Bookman Old Style"/>
          <w:lang w:val="id-ID"/>
        </w:rPr>
        <w:t xml:space="preserve"> </w:t>
      </w:r>
      <w:r w:rsidRPr="006D569B">
        <w:rPr>
          <w:rFonts w:ascii="Bookman Old Style" w:hAnsi="Bookman Old Style"/>
          <w:lang w:val="id-ID"/>
        </w:rPr>
        <w:t>12</w:t>
      </w:r>
      <w:r w:rsidR="00A954D0">
        <w:rPr>
          <w:rFonts w:ascii="Bookman Old Style" w:hAnsi="Bookman Old Style"/>
          <w:lang w:val="id-ID"/>
        </w:rPr>
        <w:t xml:space="preserve"> </w:t>
      </w:r>
      <w:r w:rsidRPr="006D569B">
        <w:rPr>
          <w:rFonts w:ascii="Bookman Old Style" w:hAnsi="Bookman Old Style"/>
          <w:lang w:val="id-ID"/>
        </w:rPr>
        <w:t>Tahun</w:t>
      </w:r>
      <w:r w:rsidR="00A954D0">
        <w:rPr>
          <w:rFonts w:ascii="Bookman Old Style" w:hAnsi="Bookman Old Style"/>
          <w:lang w:val="id-ID"/>
        </w:rPr>
        <w:t xml:space="preserve"> </w:t>
      </w:r>
      <w:r w:rsidRPr="006D569B">
        <w:rPr>
          <w:rFonts w:ascii="Bookman Old Style" w:hAnsi="Bookman Old Style"/>
          <w:lang w:val="id-ID"/>
        </w:rPr>
        <w:t>2019</w:t>
      </w:r>
      <w:r w:rsidR="00A954D0">
        <w:rPr>
          <w:rFonts w:ascii="Bookman Old Style" w:hAnsi="Bookman Old Style"/>
          <w:lang w:val="id-ID"/>
        </w:rPr>
        <w:t xml:space="preserve"> </w:t>
      </w:r>
      <w:r w:rsidRPr="006D569B">
        <w:rPr>
          <w:rFonts w:ascii="Bookman Old Style" w:hAnsi="Bookman Old Style"/>
          <w:lang w:val="id-ID"/>
        </w:rPr>
        <w:t>serta</w:t>
      </w:r>
      <w:r w:rsidR="00A954D0">
        <w:rPr>
          <w:rFonts w:ascii="Bookman Old Style" w:hAnsi="Bookman Old Style"/>
          <w:lang w:val="id-ID"/>
        </w:rPr>
        <w:t xml:space="preserve"> </w:t>
      </w:r>
      <w:r w:rsidRPr="006D569B">
        <w:rPr>
          <w:rFonts w:ascii="Bookman Old Style" w:hAnsi="Bookman Old Style"/>
          <w:lang w:val="id-ID"/>
        </w:rPr>
        <w:t>Peraturan</w:t>
      </w:r>
      <w:r w:rsidR="00A954D0">
        <w:rPr>
          <w:rFonts w:ascii="Bookman Old Style" w:hAnsi="Bookman Old Style"/>
          <w:lang w:val="id-ID"/>
        </w:rPr>
        <w:t xml:space="preserve"> </w:t>
      </w:r>
      <w:r w:rsidRPr="006D569B">
        <w:rPr>
          <w:rFonts w:ascii="Bookman Old Style" w:hAnsi="Bookman Old Style"/>
          <w:lang w:val="id-ID"/>
        </w:rPr>
        <w:t>Menteri</w:t>
      </w:r>
      <w:r w:rsidR="00A954D0">
        <w:rPr>
          <w:rFonts w:ascii="Bookman Old Style" w:hAnsi="Bookman Old Style"/>
          <w:lang w:val="id-ID"/>
        </w:rPr>
        <w:t xml:space="preserve"> </w:t>
      </w:r>
      <w:r w:rsidRPr="006D569B">
        <w:rPr>
          <w:rFonts w:ascii="Bookman Old Style" w:hAnsi="Bookman Old Style"/>
          <w:lang w:val="id-ID"/>
        </w:rPr>
        <w:t>Dalam</w:t>
      </w:r>
      <w:r w:rsidR="00A954D0">
        <w:rPr>
          <w:rFonts w:ascii="Bookman Old Style" w:hAnsi="Bookman Old Style"/>
          <w:lang w:val="id-ID"/>
        </w:rPr>
        <w:t xml:space="preserve"> </w:t>
      </w:r>
      <w:r w:rsidRPr="006D569B">
        <w:rPr>
          <w:rFonts w:ascii="Bookman Old Style" w:hAnsi="Bookman Old Style"/>
          <w:lang w:val="id-ID"/>
        </w:rPr>
        <w:t>Negeri</w:t>
      </w:r>
      <w:r w:rsidR="00A954D0">
        <w:rPr>
          <w:rFonts w:ascii="Bookman Old Style" w:hAnsi="Bookman Old Style"/>
          <w:lang w:val="id-ID"/>
        </w:rPr>
        <w:t xml:space="preserve"> </w:t>
      </w:r>
      <w:r w:rsidRPr="006D569B">
        <w:rPr>
          <w:rFonts w:ascii="Bookman Old Style" w:hAnsi="Bookman Old Style"/>
          <w:lang w:val="id-ID"/>
        </w:rPr>
        <w:t>Nomor</w:t>
      </w:r>
      <w:r w:rsidR="00A954D0">
        <w:rPr>
          <w:rFonts w:ascii="Bookman Old Style" w:hAnsi="Bookman Old Style"/>
          <w:lang w:val="id-ID"/>
        </w:rPr>
        <w:t xml:space="preserve"> </w:t>
      </w:r>
      <w:r w:rsidRPr="006D569B">
        <w:rPr>
          <w:rFonts w:ascii="Bookman Old Style" w:hAnsi="Bookman Old Style"/>
          <w:lang w:val="id-ID"/>
        </w:rPr>
        <w:t>86</w:t>
      </w:r>
      <w:r w:rsidR="00A954D0">
        <w:rPr>
          <w:rFonts w:ascii="Bookman Old Style" w:hAnsi="Bookman Old Style"/>
          <w:lang w:val="id-ID"/>
        </w:rPr>
        <w:t xml:space="preserve"> </w:t>
      </w:r>
      <w:r w:rsidRPr="006D569B">
        <w:rPr>
          <w:rFonts w:ascii="Bookman Old Style" w:hAnsi="Bookman Old Style"/>
          <w:lang w:val="id-ID"/>
        </w:rPr>
        <w:t>Tahun</w:t>
      </w:r>
      <w:r w:rsidR="00A954D0">
        <w:rPr>
          <w:rFonts w:ascii="Bookman Old Style" w:hAnsi="Bookman Old Style"/>
          <w:lang w:val="id-ID"/>
        </w:rPr>
        <w:t xml:space="preserve"> </w:t>
      </w:r>
      <w:r w:rsidRPr="006D569B">
        <w:rPr>
          <w:rFonts w:ascii="Bookman Old Style" w:hAnsi="Bookman Old Style"/>
          <w:lang w:val="id-ID"/>
        </w:rPr>
        <w:t>2017</w:t>
      </w:r>
      <w:r w:rsidR="00A954D0">
        <w:rPr>
          <w:rFonts w:ascii="Bookman Old Style" w:hAnsi="Bookman Old Style"/>
          <w:lang w:val="id-ID"/>
        </w:rPr>
        <w:t xml:space="preserve"> </w:t>
      </w:r>
      <w:r w:rsidRPr="006D569B">
        <w:rPr>
          <w:rFonts w:ascii="Bookman Old Style" w:hAnsi="Bookman Old Style"/>
          <w:lang w:val="id-ID"/>
        </w:rPr>
        <w:t>tentang</w:t>
      </w:r>
      <w:r w:rsidR="00A954D0">
        <w:rPr>
          <w:rFonts w:ascii="Bookman Old Style" w:hAnsi="Bookman Old Style"/>
          <w:lang w:val="id-ID"/>
        </w:rPr>
        <w:t xml:space="preserve"> </w:t>
      </w:r>
      <w:r w:rsidRPr="006D569B">
        <w:rPr>
          <w:rFonts w:ascii="Bookman Old Style" w:hAnsi="Bookman Old Style"/>
          <w:lang w:val="id-ID"/>
        </w:rPr>
        <w:t>Tata</w:t>
      </w:r>
      <w:r w:rsidR="00A954D0">
        <w:rPr>
          <w:rFonts w:ascii="Bookman Old Style" w:hAnsi="Bookman Old Style"/>
          <w:lang w:val="id-ID"/>
        </w:rPr>
        <w:t xml:space="preserve"> </w:t>
      </w:r>
      <w:r w:rsidRPr="006D569B">
        <w:rPr>
          <w:rFonts w:ascii="Bookman Old Style" w:hAnsi="Bookman Old Style"/>
          <w:lang w:val="id-ID"/>
        </w:rPr>
        <w:t>Cara</w:t>
      </w:r>
      <w:r w:rsidR="00A954D0">
        <w:rPr>
          <w:rFonts w:ascii="Bookman Old Style" w:hAnsi="Bookman Old Style"/>
          <w:lang w:val="id-ID"/>
        </w:rPr>
        <w:t xml:space="preserve"> </w:t>
      </w:r>
      <w:r w:rsidRPr="006D569B">
        <w:rPr>
          <w:rFonts w:ascii="Bookman Old Style" w:hAnsi="Bookman Old Style"/>
          <w:lang w:val="id-ID"/>
        </w:rPr>
        <w:t>Perencanaan,</w:t>
      </w:r>
      <w:r w:rsidR="00A954D0">
        <w:rPr>
          <w:rFonts w:ascii="Bookman Old Style" w:hAnsi="Bookman Old Style"/>
          <w:lang w:val="id-ID"/>
        </w:rPr>
        <w:t xml:space="preserve"> </w:t>
      </w:r>
      <w:r w:rsidRPr="006D569B">
        <w:rPr>
          <w:rFonts w:ascii="Bookman Old Style" w:hAnsi="Bookman Old Style"/>
          <w:lang w:val="id-ID"/>
        </w:rPr>
        <w:t>Pengendalian</w:t>
      </w:r>
      <w:r w:rsidR="00A954D0">
        <w:rPr>
          <w:rFonts w:ascii="Bookman Old Style" w:hAnsi="Bookman Old Style"/>
          <w:lang w:val="id-ID"/>
        </w:rPr>
        <w:t xml:space="preserve"> </w:t>
      </w:r>
      <w:r w:rsidRPr="006D569B">
        <w:rPr>
          <w:rFonts w:ascii="Bookman Old Style" w:hAnsi="Bookman Old Style"/>
          <w:lang w:val="id-ID"/>
        </w:rPr>
        <w:t>dan</w:t>
      </w:r>
      <w:r w:rsidR="00A954D0">
        <w:rPr>
          <w:rFonts w:ascii="Bookman Old Style" w:hAnsi="Bookman Old Style"/>
          <w:lang w:val="id-ID"/>
        </w:rPr>
        <w:t xml:space="preserve"> </w:t>
      </w:r>
      <w:r w:rsidRPr="006D569B">
        <w:rPr>
          <w:rFonts w:ascii="Bookman Old Style" w:hAnsi="Bookman Old Style"/>
          <w:lang w:val="id-ID"/>
        </w:rPr>
        <w:t>Evaluasi</w:t>
      </w:r>
      <w:r w:rsidR="00A954D0">
        <w:rPr>
          <w:rFonts w:ascii="Bookman Old Style" w:hAnsi="Bookman Old Style"/>
          <w:lang w:val="id-ID"/>
        </w:rPr>
        <w:t xml:space="preserve"> </w:t>
      </w:r>
      <w:r w:rsidRPr="006D569B">
        <w:rPr>
          <w:rFonts w:ascii="Bookman Old Style" w:hAnsi="Bookman Old Style"/>
          <w:lang w:val="id-ID"/>
        </w:rPr>
        <w:t>Pembangunan</w:t>
      </w:r>
      <w:r w:rsidR="00A954D0">
        <w:rPr>
          <w:rFonts w:ascii="Bookman Old Style" w:hAnsi="Bookman Old Style"/>
          <w:lang w:val="id-ID"/>
        </w:rPr>
        <w:t xml:space="preserve"> </w:t>
      </w:r>
      <w:r w:rsidRPr="006D569B">
        <w:rPr>
          <w:rFonts w:ascii="Bookman Old Style" w:hAnsi="Bookman Old Style"/>
          <w:lang w:val="id-ID"/>
        </w:rPr>
        <w:t>Daerah,</w:t>
      </w:r>
      <w:r w:rsidR="00A954D0">
        <w:rPr>
          <w:rFonts w:ascii="Bookman Old Style" w:hAnsi="Bookman Old Style"/>
          <w:lang w:val="id-ID"/>
        </w:rPr>
        <w:t xml:space="preserve"> </w:t>
      </w:r>
      <w:r w:rsidRPr="006D569B">
        <w:rPr>
          <w:rFonts w:ascii="Bookman Old Style" w:hAnsi="Bookman Old Style"/>
          <w:lang w:val="id-ID"/>
        </w:rPr>
        <w:t>Tata</w:t>
      </w:r>
      <w:r w:rsidR="00A954D0">
        <w:rPr>
          <w:rFonts w:ascii="Bookman Old Style" w:hAnsi="Bookman Old Style"/>
          <w:lang w:val="id-ID"/>
        </w:rPr>
        <w:t xml:space="preserve"> </w:t>
      </w:r>
      <w:r w:rsidRPr="006D569B">
        <w:rPr>
          <w:rFonts w:ascii="Bookman Old Style" w:hAnsi="Bookman Old Style"/>
          <w:lang w:val="id-ID"/>
        </w:rPr>
        <w:t>Cara</w:t>
      </w:r>
      <w:r w:rsidR="00A954D0">
        <w:rPr>
          <w:rFonts w:ascii="Bookman Old Style" w:hAnsi="Bookman Old Style"/>
          <w:lang w:val="id-ID"/>
        </w:rPr>
        <w:t xml:space="preserve"> </w:t>
      </w:r>
      <w:r w:rsidRPr="006D569B">
        <w:rPr>
          <w:rFonts w:ascii="Bookman Old Style" w:hAnsi="Bookman Old Style"/>
          <w:lang w:val="id-ID"/>
        </w:rPr>
        <w:t>Evaluasi</w:t>
      </w:r>
      <w:r w:rsidR="00A954D0">
        <w:rPr>
          <w:rFonts w:ascii="Bookman Old Style" w:hAnsi="Bookman Old Style"/>
          <w:lang w:val="id-ID"/>
        </w:rPr>
        <w:t xml:space="preserve"> </w:t>
      </w:r>
      <w:r w:rsidRPr="006D569B">
        <w:rPr>
          <w:rFonts w:ascii="Bookman Old Style" w:hAnsi="Bookman Old Style"/>
          <w:lang w:val="id-ID"/>
        </w:rPr>
        <w:t>Rancangan</w:t>
      </w:r>
      <w:r w:rsidR="00A954D0">
        <w:rPr>
          <w:rFonts w:ascii="Bookman Old Style" w:hAnsi="Bookman Old Style"/>
          <w:lang w:val="id-ID"/>
        </w:rPr>
        <w:t xml:space="preserve"> </w:t>
      </w:r>
      <w:r w:rsidRPr="006D569B">
        <w:rPr>
          <w:rFonts w:ascii="Bookman Old Style" w:hAnsi="Bookman Old Style"/>
          <w:lang w:val="id-ID"/>
        </w:rPr>
        <w:t>Peraturan</w:t>
      </w:r>
      <w:r w:rsidR="00A954D0">
        <w:rPr>
          <w:rFonts w:ascii="Bookman Old Style" w:hAnsi="Bookman Old Style"/>
          <w:lang w:val="id-ID"/>
        </w:rPr>
        <w:t xml:space="preserve"> </w:t>
      </w:r>
      <w:r w:rsidRPr="006D569B">
        <w:rPr>
          <w:rFonts w:ascii="Bookman Old Style" w:hAnsi="Bookman Old Style"/>
          <w:lang w:val="id-ID"/>
        </w:rPr>
        <w:t>Daerah</w:t>
      </w:r>
      <w:r w:rsidR="00A954D0">
        <w:rPr>
          <w:rFonts w:ascii="Bookman Old Style" w:hAnsi="Bookman Old Style"/>
          <w:lang w:val="id-ID"/>
        </w:rPr>
        <w:t xml:space="preserve"> </w:t>
      </w:r>
      <w:r w:rsidRPr="006D569B">
        <w:rPr>
          <w:rFonts w:ascii="Bookman Old Style" w:hAnsi="Bookman Old Style"/>
          <w:lang w:val="id-ID"/>
        </w:rPr>
        <w:t>tentang</w:t>
      </w:r>
      <w:r w:rsidR="00A954D0">
        <w:rPr>
          <w:rFonts w:ascii="Bookman Old Style" w:hAnsi="Bookman Old Style"/>
          <w:lang w:val="id-ID"/>
        </w:rPr>
        <w:t xml:space="preserve"> </w:t>
      </w:r>
      <w:r w:rsidRPr="006D569B">
        <w:rPr>
          <w:rFonts w:ascii="Bookman Old Style" w:hAnsi="Bookman Old Style"/>
          <w:lang w:val="id-ID"/>
        </w:rPr>
        <w:t>Rencana</w:t>
      </w:r>
      <w:r w:rsidR="00A954D0">
        <w:rPr>
          <w:rFonts w:ascii="Bookman Old Style" w:hAnsi="Bookman Old Style"/>
          <w:lang w:val="id-ID"/>
        </w:rPr>
        <w:t xml:space="preserve"> </w:t>
      </w:r>
      <w:r w:rsidRPr="006D569B">
        <w:rPr>
          <w:rFonts w:ascii="Bookman Old Style" w:hAnsi="Bookman Old Style"/>
          <w:lang w:val="id-ID"/>
        </w:rPr>
        <w:t>Pembangunan</w:t>
      </w:r>
      <w:r w:rsidR="00A954D0">
        <w:rPr>
          <w:rFonts w:ascii="Bookman Old Style" w:hAnsi="Bookman Old Style"/>
          <w:lang w:val="id-ID"/>
        </w:rPr>
        <w:t xml:space="preserve"> </w:t>
      </w:r>
      <w:r w:rsidRPr="006D569B">
        <w:rPr>
          <w:rFonts w:ascii="Bookman Old Style" w:hAnsi="Bookman Old Style"/>
          <w:lang w:val="id-ID"/>
        </w:rPr>
        <w:t>Jangka</w:t>
      </w:r>
      <w:r w:rsidR="00A954D0">
        <w:rPr>
          <w:rFonts w:ascii="Bookman Old Style" w:hAnsi="Bookman Old Style"/>
          <w:lang w:val="id-ID"/>
        </w:rPr>
        <w:t xml:space="preserve"> </w:t>
      </w:r>
      <w:r w:rsidRPr="006D569B">
        <w:rPr>
          <w:rFonts w:ascii="Bookman Old Style" w:hAnsi="Bookman Old Style"/>
          <w:lang w:val="id-ID"/>
        </w:rPr>
        <w:t>Panjang</w:t>
      </w:r>
      <w:r w:rsidR="00A954D0">
        <w:rPr>
          <w:rFonts w:ascii="Bookman Old Style" w:hAnsi="Bookman Old Style"/>
          <w:lang w:val="id-ID"/>
        </w:rPr>
        <w:t xml:space="preserve"> </w:t>
      </w:r>
      <w:r w:rsidRPr="006D569B">
        <w:rPr>
          <w:rFonts w:ascii="Bookman Old Style" w:hAnsi="Bookman Old Style"/>
          <w:lang w:val="id-ID"/>
        </w:rPr>
        <w:t>Daerah</w:t>
      </w:r>
      <w:r w:rsidR="00A954D0">
        <w:rPr>
          <w:rFonts w:ascii="Bookman Old Style" w:hAnsi="Bookman Old Style"/>
          <w:lang w:val="id-ID"/>
        </w:rPr>
        <w:t xml:space="preserve"> </w:t>
      </w:r>
      <w:r w:rsidRPr="006D569B">
        <w:rPr>
          <w:rFonts w:ascii="Bookman Old Style" w:hAnsi="Bookman Old Style"/>
          <w:lang w:val="id-ID"/>
        </w:rPr>
        <w:t>dan</w:t>
      </w:r>
      <w:r w:rsidR="00A954D0">
        <w:rPr>
          <w:rFonts w:ascii="Bookman Old Style" w:hAnsi="Bookman Old Style"/>
          <w:lang w:val="id-ID"/>
        </w:rPr>
        <w:t xml:space="preserve"> </w:t>
      </w:r>
      <w:r w:rsidRPr="006D569B">
        <w:rPr>
          <w:rFonts w:ascii="Bookman Old Style" w:hAnsi="Bookman Old Style"/>
          <w:lang w:val="id-ID"/>
        </w:rPr>
        <w:t>Rencana</w:t>
      </w:r>
      <w:r w:rsidR="00A954D0">
        <w:rPr>
          <w:rFonts w:ascii="Bookman Old Style" w:hAnsi="Bookman Old Style"/>
          <w:lang w:val="id-ID"/>
        </w:rPr>
        <w:t xml:space="preserve"> </w:t>
      </w:r>
      <w:r w:rsidRPr="006D569B">
        <w:rPr>
          <w:rFonts w:ascii="Bookman Old Style" w:hAnsi="Bookman Old Style"/>
          <w:lang w:val="id-ID"/>
        </w:rPr>
        <w:t>Pembangunan</w:t>
      </w:r>
      <w:r w:rsidR="00A954D0">
        <w:rPr>
          <w:rFonts w:ascii="Bookman Old Style" w:hAnsi="Bookman Old Style"/>
          <w:lang w:val="id-ID"/>
        </w:rPr>
        <w:t xml:space="preserve"> </w:t>
      </w:r>
      <w:r w:rsidRPr="006D569B">
        <w:rPr>
          <w:rFonts w:ascii="Bookman Old Style" w:hAnsi="Bookman Old Style"/>
          <w:lang w:val="id-ID"/>
        </w:rPr>
        <w:t>Jangka</w:t>
      </w:r>
      <w:r w:rsidR="00A954D0">
        <w:rPr>
          <w:rFonts w:ascii="Bookman Old Style" w:hAnsi="Bookman Old Style"/>
          <w:lang w:val="id-ID"/>
        </w:rPr>
        <w:t xml:space="preserve"> </w:t>
      </w:r>
      <w:r w:rsidRPr="006D569B">
        <w:rPr>
          <w:rFonts w:ascii="Bookman Old Style" w:hAnsi="Bookman Old Style"/>
          <w:lang w:val="id-ID"/>
        </w:rPr>
        <w:t>Menengah</w:t>
      </w:r>
      <w:r w:rsidR="00A954D0">
        <w:rPr>
          <w:rFonts w:ascii="Bookman Old Style" w:hAnsi="Bookman Old Style"/>
          <w:lang w:val="id-ID"/>
        </w:rPr>
        <w:t xml:space="preserve"> </w:t>
      </w:r>
      <w:r w:rsidRPr="006D569B">
        <w:rPr>
          <w:rFonts w:ascii="Bookman Old Style" w:hAnsi="Bookman Old Style"/>
          <w:lang w:val="id-ID"/>
        </w:rPr>
        <w:t>Daerah,</w:t>
      </w:r>
      <w:r w:rsidR="00A954D0">
        <w:rPr>
          <w:rFonts w:ascii="Bookman Old Style" w:hAnsi="Bookman Old Style"/>
          <w:lang w:val="id-ID"/>
        </w:rPr>
        <w:t xml:space="preserve"> </w:t>
      </w:r>
      <w:r w:rsidRPr="006D569B">
        <w:rPr>
          <w:rFonts w:ascii="Bookman Old Style" w:hAnsi="Bookman Old Style"/>
          <w:lang w:val="id-ID"/>
        </w:rPr>
        <w:t>Serta</w:t>
      </w:r>
      <w:r w:rsidR="00A954D0">
        <w:rPr>
          <w:rFonts w:ascii="Bookman Old Style" w:hAnsi="Bookman Old Style"/>
          <w:lang w:val="id-ID"/>
        </w:rPr>
        <w:t xml:space="preserve"> </w:t>
      </w:r>
      <w:r w:rsidRPr="006D569B">
        <w:rPr>
          <w:rFonts w:ascii="Bookman Old Style" w:hAnsi="Bookman Old Style"/>
          <w:lang w:val="id-ID"/>
        </w:rPr>
        <w:t>Tata</w:t>
      </w:r>
      <w:r w:rsidR="00A954D0">
        <w:rPr>
          <w:rFonts w:ascii="Bookman Old Style" w:hAnsi="Bookman Old Style"/>
          <w:lang w:val="id-ID"/>
        </w:rPr>
        <w:t xml:space="preserve"> </w:t>
      </w:r>
      <w:r w:rsidRPr="006D569B">
        <w:rPr>
          <w:rFonts w:ascii="Bookman Old Style" w:hAnsi="Bookman Old Style"/>
          <w:lang w:val="id-ID"/>
        </w:rPr>
        <w:t>Cara</w:t>
      </w:r>
      <w:r w:rsidR="00A954D0">
        <w:rPr>
          <w:rFonts w:ascii="Bookman Old Style" w:hAnsi="Bookman Old Style"/>
          <w:lang w:val="id-ID"/>
        </w:rPr>
        <w:t xml:space="preserve"> </w:t>
      </w:r>
      <w:r w:rsidRPr="006D569B">
        <w:rPr>
          <w:rFonts w:ascii="Bookman Old Style" w:hAnsi="Bookman Old Style"/>
          <w:lang w:val="id-ID"/>
        </w:rPr>
        <w:t>Perubahan</w:t>
      </w:r>
      <w:r w:rsidR="00A954D0">
        <w:rPr>
          <w:rFonts w:ascii="Bookman Old Style" w:hAnsi="Bookman Old Style"/>
          <w:lang w:val="id-ID"/>
        </w:rPr>
        <w:t xml:space="preserve"> </w:t>
      </w:r>
      <w:r w:rsidRPr="006D569B">
        <w:rPr>
          <w:rFonts w:ascii="Bookman Old Style" w:hAnsi="Bookman Old Style"/>
          <w:lang w:val="id-ID"/>
        </w:rPr>
        <w:t>Rencana</w:t>
      </w:r>
      <w:r w:rsidR="00A954D0">
        <w:rPr>
          <w:rFonts w:ascii="Bookman Old Style" w:hAnsi="Bookman Old Style"/>
          <w:lang w:val="id-ID"/>
        </w:rPr>
        <w:t xml:space="preserve"> </w:t>
      </w:r>
      <w:r w:rsidRPr="006D569B">
        <w:rPr>
          <w:rFonts w:ascii="Bookman Old Style" w:hAnsi="Bookman Old Style"/>
          <w:lang w:val="id-ID"/>
        </w:rPr>
        <w:t>Pembangunan</w:t>
      </w:r>
      <w:r w:rsidR="00A954D0">
        <w:rPr>
          <w:rFonts w:ascii="Bookman Old Style" w:hAnsi="Bookman Old Style"/>
          <w:lang w:val="id-ID"/>
        </w:rPr>
        <w:t xml:space="preserve"> </w:t>
      </w:r>
      <w:r w:rsidRPr="006D569B">
        <w:rPr>
          <w:rFonts w:ascii="Bookman Old Style" w:hAnsi="Bookman Old Style"/>
          <w:lang w:val="id-ID"/>
        </w:rPr>
        <w:t>Jangka</w:t>
      </w:r>
      <w:r w:rsidR="00A954D0">
        <w:rPr>
          <w:rFonts w:ascii="Bookman Old Style" w:hAnsi="Bookman Old Style"/>
          <w:lang w:val="id-ID"/>
        </w:rPr>
        <w:t xml:space="preserve"> </w:t>
      </w:r>
      <w:r w:rsidRPr="006D569B">
        <w:rPr>
          <w:rFonts w:ascii="Bookman Old Style" w:hAnsi="Bookman Old Style"/>
          <w:lang w:val="id-ID"/>
        </w:rPr>
        <w:t>Panjang</w:t>
      </w:r>
      <w:r w:rsidR="00A954D0">
        <w:rPr>
          <w:rFonts w:ascii="Bookman Old Style" w:hAnsi="Bookman Old Style"/>
          <w:lang w:val="id-ID"/>
        </w:rPr>
        <w:t xml:space="preserve"> </w:t>
      </w:r>
      <w:r w:rsidRPr="006D569B">
        <w:rPr>
          <w:rFonts w:ascii="Bookman Old Style" w:hAnsi="Bookman Old Style"/>
          <w:lang w:val="id-ID"/>
        </w:rPr>
        <w:t>Daerah,</w:t>
      </w:r>
      <w:r w:rsidR="00A954D0">
        <w:rPr>
          <w:rFonts w:ascii="Bookman Old Style" w:hAnsi="Bookman Old Style"/>
          <w:lang w:val="id-ID"/>
        </w:rPr>
        <w:t xml:space="preserve"> </w:t>
      </w:r>
      <w:r w:rsidRPr="006D569B">
        <w:rPr>
          <w:rFonts w:ascii="Bookman Old Style" w:hAnsi="Bookman Old Style"/>
          <w:lang w:val="id-ID"/>
        </w:rPr>
        <w:t>Rencana</w:t>
      </w:r>
      <w:r w:rsidR="00A954D0">
        <w:rPr>
          <w:rFonts w:ascii="Bookman Old Style" w:hAnsi="Bookman Old Style"/>
          <w:lang w:val="id-ID"/>
        </w:rPr>
        <w:t xml:space="preserve"> </w:t>
      </w:r>
      <w:r w:rsidRPr="006D569B">
        <w:rPr>
          <w:rFonts w:ascii="Bookman Old Style" w:hAnsi="Bookman Old Style"/>
          <w:lang w:val="id-ID"/>
        </w:rPr>
        <w:t>Pembangunan</w:t>
      </w:r>
      <w:r w:rsidR="00A954D0">
        <w:rPr>
          <w:rFonts w:ascii="Bookman Old Style" w:hAnsi="Bookman Old Style"/>
          <w:lang w:val="id-ID"/>
        </w:rPr>
        <w:t xml:space="preserve"> </w:t>
      </w:r>
      <w:r w:rsidRPr="006D569B">
        <w:rPr>
          <w:rFonts w:ascii="Bookman Old Style" w:hAnsi="Bookman Old Style"/>
          <w:lang w:val="id-ID"/>
        </w:rPr>
        <w:t>Jangka</w:t>
      </w:r>
      <w:r w:rsidR="00A954D0">
        <w:rPr>
          <w:rFonts w:ascii="Bookman Old Style" w:hAnsi="Bookman Old Style"/>
          <w:lang w:val="id-ID"/>
        </w:rPr>
        <w:t xml:space="preserve"> </w:t>
      </w:r>
      <w:r w:rsidRPr="006D569B">
        <w:rPr>
          <w:rFonts w:ascii="Bookman Old Style" w:hAnsi="Bookman Old Style"/>
          <w:lang w:val="id-ID"/>
        </w:rPr>
        <w:t>Menengah</w:t>
      </w:r>
      <w:r w:rsidR="00A954D0">
        <w:rPr>
          <w:rFonts w:ascii="Bookman Old Style" w:hAnsi="Bookman Old Style"/>
          <w:lang w:val="id-ID"/>
        </w:rPr>
        <w:t xml:space="preserve"> </w:t>
      </w:r>
      <w:r w:rsidRPr="006D569B">
        <w:rPr>
          <w:rFonts w:ascii="Bookman Old Style" w:hAnsi="Bookman Old Style"/>
          <w:lang w:val="id-ID"/>
        </w:rPr>
        <w:t>Daerah,</w:t>
      </w:r>
      <w:r w:rsidR="00A954D0">
        <w:rPr>
          <w:rFonts w:ascii="Bookman Old Style" w:hAnsi="Bookman Old Style"/>
          <w:lang w:val="id-ID"/>
        </w:rPr>
        <w:t xml:space="preserve"> </w:t>
      </w:r>
      <w:r w:rsidRPr="006D569B">
        <w:rPr>
          <w:rFonts w:ascii="Bookman Old Style" w:hAnsi="Bookman Old Style"/>
          <w:lang w:val="id-ID"/>
        </w:rPr>
        <w:t>dan</w:t>
      </w:r>
      <w:r w:rsidR="00A954D0">
        <w:rPr>
          <w:rFonts w:ascii="Bookman Old Style" w:hAnsi="Bookman Old Style"/>
          <w:lang w:val="id-ID"/>
        </w:rPr>
        <w:t xml:space="preserve"> </w:t>
      </w:r>
      <w:r w:rsidRPr="006D569B">
        <w:rPr>
          <w:rFonts w:ascii="Bookman Old Style" w:hAnsi="Bookman Old Style"/>
          <w:lang w:val="id-ID"/>
        </w:rPr>
        <w:t>Rencana</w:t>
      </w:r>
      <w:r w:rsidR="00A954D0">
        <w:rPr>
          <w:rFonts w:ascii="Bookman Old Style" w:hAnsi="Bookman Old Style"/>
          <w:lang w:val="id-ID"/>
        </w:rPr>
        <w:t xml:space="preserve"> </w:t>
      </w:r>
      <w:r w:rsidRPr="006D569B">
        <w:rPr>
          <w:rFonts w:ascii="Bookman Old Style" w:hAnsi="Bookman Old Style"/>
          <w:lang w:val="id-ID"/>
        </w:rPr>
        <w:t>Kerja</w:t>
      </w:r>
      <w:r w:rsidR="00A954D0">
        <w:rPr>
          <w:rFonts w:ascii="Bookman Old Style" w:hAnsi="Bookman Old Style"/>
          <w:lang w:val="id-ID"/>
        </w:rPr>
        <w:t xml:space="preserve"> </w:t>
      </w:r>
      <w:r w:rsidRPr="006D569B">
        <w:rPr>
          <w:rFonts w:ascii="Bookman Old Style" w:hAnsi="Bookman Old Style"/>
          <w:lang w:val="id-ID"/>
        </w:rPr>
        <w:t>Pemerintah</w:t>
      </w:r>
      <w:r w:rsidR="00A954D0">
        <w:rPr>
          <w:rFonts w:ascii="Bookman Old Style" w:hAnsi="Bookman Old Style"/>
          <w:lang w:val="id-ID"/>
        </w:rPr>
        <w:t xml:space="preserve"> </w:t>
      </w:r>
      <w:r w:rsidRPr="006D569B">
        <w:rPr>
          <w:rFonts w:ascii="Bookman Old Style" w:hAnsi="Bookman Old Style"/>
          <w:lang w:val="id-ID"/>
        </w:rPr>
        <w:t>Daerah.</w:t>
      </w:r>
    </w:p>
    <w:p w14:paraId="194AC864" w14:textId="74909E87" w:rsidR="002C136C" w:rsidRPr="00727324" w:rsidRDefault="002C136C" w:rsidP="00A97B96">
      <w:pPr>
        <w:spacing w:before="60" w:line="276" w:lineRule="auto"/>
        <w:ind w:left="993"/>
        <w:jc w:val="both"/>
        <w:rPr>
          <w:rFonts w:ascii="Bookman Old Style" w:hAnsi="Bookman Old Style"/>
          <w:lang w:val="id-ID"/>
        </w:rPr>
      </w:pPr>
      <w:r w:rsidRPr="006D569B">
        <w:rPr>
          <w:rFonts w:ascii="Bookman Old Style" w:hAnsi="Bookman Old Style"/>
          <w:lang w:val="id-ID"/>
        </w:rPr>
        <w:t>Berkaitan</w:t>
      </w:r>
      <w:r w:rsidR="00A954D0">
        <w:rPr>
          <w:rFonts w:ascii="Bookman Old Style" w:hAnsi="Bookman Old Style"/>
          <w:lang w:val="id-ID"/>
        </w:rPr>
        <w:t xml:space="preserve"> </w:t>
      </w:r>
      <w:r w:rsidRPr="006D569B">
        <w:rPr>
          <w:rFonts w:ascii="Bookman Old Style" w:hAnsi="Bookman Old Style"/>
          <w:lang w:val="id-ID"/>
        </w:rPr>
        <w:t>dengan</w:t>
      </w:r>
      <w:r w:rsidR="00A954D0">
        <w:rPr>
          <w:rFonts w:ascii="Bookman Old Style" w:hAnsi="Bookman Old Style"/>
          <w:lang w:val="id-ID"/>
        </w:rPr>
        <w:t xml:space="preserve"> </w:t>
      </w:r>
      <w:r w:rsidRPr="006D569B">
        <w:rPr>
          <w:rFonts w:ascii="Bookman Old Style" w:hAnsi="Bookman Old Style"/>
          <w:lang w:val="id-ID"/>
        </w:rPr>
        <w:t>itu,</w:t>
      </w:r>
      <w:r w:rsidR="00A954D0">
        <w:rPr>
          <w:rFonts w:ascii="Bookman Old Style" w:hAnsi="Bookman Old Style"/>
          <w:lang w:val="id-ID"/>
        </w:rPr>
        <w:t xml:space="preserve"> </w:t>
      </w:r>
      <w:r w:rsidRPr="006D569B">
        <w:rPr>
          <w:rFonts w:ascii="Bookman Old Style" w:hAnsi="Bookman Old Style"/>
          <w:lang w:val="id-ID"/>
        </w:rPr>
        <w:t>terhadap</w:t>
      </w:r>
      <w:r w:rsidR="00A954D0">
        <w:rPr>
          <w:rFonts w:ascii="Bookman Old Style" w:hAnsi="Bookman Old Style"/>
          <w:lang w:val="id-ID"/>
        </w:rPr>
        <w:t xml:space="preserve"> </w:t>
      </w:r>
      <w:r w:rsidRPr="006D569B">
        <w:rPr>
          <w:rFonts w:ascii="Bookman Old Style" w:hAnsi="Bookman Old Style"/>
          <w:lang w:val="id-ID"/>
        </w:rPr>
        <w:t>Program,</w:t>
      </w:r>
      <w:r w:rsidR="00A954D0">
        <w:rPr>
          <w:rFonts w:ascii="Bookman Old Style" w:hAnsi="Bookman Old Style"/>
          <w:lang w:val="id-ID"/>
        </w:rPr>
        <w:t xml:space="preserve"> </w:t>
      </w:r>
      <w:r w:rsidRPr="006D569B">
        <w:rPr>
          <w:rFonts w:ascii="Bookman Old Style" w:hAnsi="Bookman Old Style"/>
          <w:lang w:val="id-ID"/>
        </w:rPr>
        <w:t>Kegiatan</w:t>
      </w:r>
      <w:r w:rsidR="00A954D0">
        <w:rPr>
          <w:rFonts w:ascii="Bookman Old Style" w:hAnsi="Bookman Old Style"/>
          <w:lang w:val="id-ID"/>
        </w:rPr>
        <w:t xml:space="preserve"> </w:t>
      </w:r>
      <w:r w:rsidRPr="006D569B">
        <w:rPr>
          <w:rFonts w:ascii="Bookman Old Style" w:hAnsi="Bookman Old Style"/>
          <w:lang w:val="id-ID"/>
        </w:rPr>
        <w:t>dan</w:t>
      </w:r>
      <w:r w:rsidR="00A954D0">
        <w:rPr>
          <w:rFonts w:ascii="Bookman Old Style" w:hAnsi="Bookman Old Style"/>
          <w:lang w:val="id-ID"/>
        </w:rPr>
        <w:t xml:space="preserve"> </w:t>
      </w:r>
      <w:r w:rsidRPr="006D569B">
        <w:rPr>
          <w:rFonts w:ascii="Bookman Old Style" w:hAnsi="Bookman Old Style"/>
          <w:lang w:val="id-ID"/>
        </w:rPr>
        <w:t>Sub</w:t>
      </w:r>
      <w:r w:rsidR="00A954D0">
        <w:rPr>
          <w:rFonts w:ascii="Bookman Old Style" w:hAnsi="Bookman Old Style"/>
          <w:lang w:val="id-ID"/>
        </w:rPr>
        <w:t xml:space="preserve"> </w:t>
      </w:r>
      <w:r w:rsidRPr="006D569B">
        <w:rPr>
          <w:rFonts w:ascii="Bookman Old Style" w:hAnsi="Bookman Old Style"/>
          <w:lang w:val="id-ID"/>
        </w:rPr>
        <w:t>Kegiatan</w:t>
      </w:r>
      <w:r w:rsidR="00A954D0">
        <w:rPr>
          <w:rFonts w:ascii="Bookman Old Style" w:hAnsi="Bookman Old Style"/>
          <w:lang w:val="id-ID"/>
        </w:rPr>
        <w:t xml:space="preserve"> </w:t>
      </w:r>
      <w:r w:rsidRPr="006D569B">
        <w:rPr>
          <w:rFonts w:ascii="Bookman Old Style" w:hAnsi="Bookman Old Style"/>
          <w:lang w:val="id-ID"/>
        </w:rPr>
        <w:t>yang</w:t>
      </w:r>
      <w:r w:rsidR="00A954D0">
        <w:rPr>
          <w:rFonts w:ascii="Bookman Old Style" w:hAnsi="Bookman Old Style"/>
          <w:lang w:val="id-ID"/>
        </w:rPr>
        <w:t xml:space="preserve"> </w:t>
      </w:r>
      <w:r w:rsidRPr="006D569B">
        <w:rPr>
          <w:rFonts w:ascii="Bookman Old Style" w:hAnsi="Bookman Old Style"/>
          <w:lang w:val="id-ID"/>
        </w:rPr>
        <w:t>belum</w:t>
      </w:r>
      <w:r w:rsidR="00A954D0">
        <w:rPr>
          <w:rFonts w:ascii="Bookman Old Style" w:hAnsi="Bookman Old Style"/>
          <w:lang w:val="id-ID"/>
        </w:rPr>
        <w:t xml:space="preserve"> </w:t>
      </w:r>
      <w:r w:rsidRPr="006D569B">
        <w:rPr>
          <w:rFonts w:ascii="Bookman Old Style" w:hAnsi="Bookman Old Style"/>
          <w:lang w:val="id-ID"/>
        </w:rPr>
        <w:t>tercantum</w:t>
      </w:r>
      <w:r w:rsidR="00A954D0">
        <w:rPr>
          <w:rFonts w:ascii="Bookman Old Style" w:hAnsi="Bookman Old Style"/>
          <w:lang w:val="id-ID"/>
        </w:rPr>
        <w:t xml:space="preserve"> </w:t>
      </w:r>
      <w:r w:rsidRPr="006D569B">
        <w:rPr>
          <w:rFonts w:ascii="Bookman Old Style" w:hAnsi="Bookman Old Style"/>
          <w:lang w:val="id-ID"/>
        </w:rPr>
        <w:t>dalam</w:t>
      </w:r>
      <w:r w:rsidR="00A954D0">
        <w:rPr>
          <w:rFonts w:ascii="Bookman Old Style" w:hAnsi="Bookman Old Style"/>
          <w:lang w:val="id-ID"/>
        </w:rPr>
        <w:t xml:space="preserve"> </w:t>
      </w:r>
      <w:r w:rsidRPr="006D569B">
        <w:rPr>
          <w:rFonts w:ascii="Bookman Old Style" w:hAnsi="Bookman Old Style"/>
          <w:lang w:val="id-ID"/>
        </w:rPr>
        <w:t>RKPD</w:t>
      </w:r>
      <w:r w:rsidR="00A954D0">
        <w:rPr>
          <w:rFonts w:ascii="Bookman Old Style" w:hAnsi="Bookman Old Style"/>
          <w:lang w:val="id-ID"/>
        </w:rPr>
        <w:t xml:space="preserve"> </w:t>
      </w:r>
      <w:r w:rsidRPr="006D569B">
        <w:rPr>
          <w:rFonts w:ascii="Bookman Old Style" w:hAnsi="Bookman Old Style"/>
          <w:lang w:val="id-ID"/>
        </w:rPr>
        <w:t>dan</w:t>
      </w:r>
      <w:r w:rsidR="00A954D0">
        <w:rPr>
          <w:rFonts w:ascii="Bookman Old Style" w:hAnsi="Bookman Old Style"/>
          <w:lang w:val="id-ID"/>
        </w:rPr>
        <w:t xml:space="preserve"> </w:t>
      </w:r>
      <w:r w:rsidRPr="006D569B">
        <w:rPr>
          <w:rFonts w:ascii="Bookman Old Style" w:hAnsi="Bookman Old Style"/>
          <w:lang w:val="id-ID"/>
        </w:rPr>
        <w:t>KUA-</w:t>
      </w:r>
      <w:r w:rsidRPr="006D569B">
        <w:rPr>
          <w:rFonts w:ascii="Bookman Old Style" w:hAnsi="Bookman Old Style" w:cs="Arial"/>
          <w:lang w:val="id-ID"/>
        </w:rPr>
        <w:t>P</w:t>
      </w:r>
      <w:r w:rsidRPr="006D569B">
        <w:rPr>
          <w:rFonts w:ascii="Bookman Old Style" w:hAnsi="Bookman Old Style"/>
          <w:lang w:val="id-ID"/>
        </w:rPr>
        <w:t>PAS</w:t>
      </w:r>
      <w:r w:rsidR="00A954D0">
        <w:rPr>
          <w:rFonts w:ascii="Bookman Old Style" w:hAnsi="Bookman Old Style"/>
          <w:lang w:val="id-ID"/>
        </w:rPr>
        <w:t xml:space="preserve"> </w:t>
      </w:r>
      <w:r w:rsidRPr="006D569B">
        <w:rPr>
          <w:rFonts w:ascii="Bookman Old Style" w:hAnsi="Bookman Old Style"/>
          <w:lang w:val="id-ID"/>
        </w:rPr>
        <w:t>tidak</w:t>
      </w:r>
      <w:r w:rsidR="00A954D0">
        <w:rPr>
          <w:rFonts w:ascii="Bookman Old Style" w:hAnsi="Bookman Old Style"/>
          <w:lang w:val="id-ID"/>
        </w:rPr>
        <w:t xml:space="preserve"> </w:t>
      </w:r>
      <w:r w:rsidRPr="006D569B">
        <w:rPr>
          <w:rFonts w:ascii="Bookman Old Style" w:hAnsi="Bookman Old Style"/>
          <w:lang w:val="id-ID"/>
        </w:rPr>
        <w:t>diperkenankan</w:t>
      </w:r>
      <w:r w:rsidR="00A954D0">
        <w:rPr>
          <w:rFonts w:ascii="Bookman Old Style" w:hAnsi="Bookman Old Style"/>
          <w:lang w:val="id-ID"/>
        </w:rPr>
        <w:t xml:space="preserve"> </w:t>
      </w:r>
      <w:r w:rsidRPr="006D569B">
        <w:rPr>
          <w:rFonts w:ascii="Bookman Old Style" w:hAnsi="Bookman Old Style"/>
          <w:lang w:val="id-ID"/>
        </w:rPr>
        <w:t>untuk</w:t>
      </w:r>
      <w:r w:rsidR="00A954D0">
        <w:rPr>
          <w:rFonts w:ascii="Bookman Old Style" w:hAnsi="Bookman Old Style"/>
          <w:lang w:val="id-ID"/>
        </w:rPr>
        <w:t xml:space="preserve"> </w:t>
      </w:r>
      <w:r w:rsidRPr="006D569B">
        <w:rPr>
          <w:rFonts w:ascii="Bookman Old Style" w:hAnsi="Bookman Old Style"/>
          <w:lang w:val="id-ID"/>
        </w:rPr>
        <w:t>dianggarkan</w:t>
      </w:r>
      <w:r w:rsidR="00A954D0">
        <w:rPr>
          <w:rFonts w:ascii="Bookman Old Style" w:hAnsi="Bookman Old Style"/>
          <w:lang w:val="id-ID"/>
        </w:rPr>
        <w:t xml:space="preserve"> </w:t>
      </w:r>
      <w:r w:rsidRPr="006D569B">
        <w:rPr>
          <w:rFonts w:ascii="Bookman Old Style" w:hAnsi="Bookman Old Style"/>
          <w:lang w:val="id-ID"/>
        </w:rPr>
        <w:t>dalam</w:t>
      </w:r>
      <w:r w:rsidR="00A954D0">
        <w:rPr>
          <w:rFonts w:ascii="Bookman Old Style" w:hAnsi="Bookman Old Style"/>
          <w:lang w:val="id-ID"/>
        </w:rPr>
        <w:t xml:space="preserve"> </w:t>
      </w:r>
      <w:r w:rsidRPr="006D569B">
        <w:rPr>
          <w:rFonts w:ascii="Bookman Old Style" w:hAnsi="Bookman Old Style"/>
          <w:lang w:val="id-ID"/>
        </w:rPr>
        <w:t>Rancangan</w:t>
      </w:r>
      <w:r w:rsidR="00A954D0">
        <w:rPr>
          <w:rFonts w:ascii="Bookman Old Style" w:hAnsi="Bookman Old Style"/>
          <w:lang w:val="id-ID"/>
        </w:rPr>
        <w:t xml:space="preserve"> </w:t>
      </w:r>
      <w:r w:rsidRPr="006D569B">
        <w:rPr>
          <w:rFonts w:ascii="Bookman Old Style" w:hAnsi="Bookman Old Style"/>
          <w:lang w:val="id-ID"/>
        </w:rPr>
        <w:t>Peraturan</w:t>
      </w:r>
      <w:r w:rsidR="00A954D0">
        <w:rPr>
          <w:rFonts w:ascii="Bookman Old Style" w:hAnsi="Bookman Old Style"/>
          <w:lang w:val="id-ID"/>
        </w:rPr>
        <w:t xml:space="preserve"> </w:t>
      </w:r>
      <w:r w:rsidRPr="006D569B">
        <w:rPr>
          <w:rFonts w:ascii="Bookman Old Style" w:hAnsi="Bookman Old Style"/>
          <w:lang w:val="id-ID"/>
        </w:rPr>
        <w:t>Daerah</w:t>
      </w:r>
      <w:r w:rsidR="00A954D0">
        <w:rPr>
          <w:rFonts w:ascii="Bookman Old Style" w:hAnsi="Bookman Old Style"/>
          <w:lang w:val="id-ID"/>
        </w:rPr>
        <w:t xml:space="preserve"> </w:t>
      </w:r>
      <w:r w:rsidRPr="006D569B">
        <w:rPr>
          <w:rFonts w:ascii="Bookman Old Style" w:hAnsi="Bookman Old Style"/>
          <w:lang w:val="fi-FI"/>
        </w:rPr>
        <w:t>Kota</w:t>
      </w:r>
      <w:r w:rsidR="00A954D0">
        <w:rPr>
          <w:rFonts w:ascii="Bookman Old Style" w:hAnsi="Bookman Old Style"/>
          <w:lang w:val="fi-FI"/>
        </w:rPr>
        <w:t xml:space="preserve"> </w:t>
      </w:r>
      <w:r w:rsidRPr="006D569B">
        <w:rPr>
          <w:rFonts w:ascii="Bookman Old Style" w:hAnsi="Bookman Old Style"/>
          <w:lang w:val="fi-FI"/>
        </w:rPr>
        <w:t>Tangerang</w:t>
      </w:r>
      <w:r w:rsidR="00A954D0">
        <w:rPr>
          <w:rFonts w:ascii="Bookman Old Style" w:hAnsi="Bookman Old Style"/>
          <w:lang w:val="fi-FI"/>
        </w:rPr>
        <w:t xml:space="preserve"> </w:t>
      </w:r>
      <w:r w:rsidRPr="006D569B">
        <w:rPr>
          <w:rFonts w:ascii="Bookman Old Style" w:hAnsi="Bookman Old Style"/>
          <w:lang w:val="id-ID"/>
        </w:rPr>
        <w:t>tentang</w:t>
      </w:r>
      <w:r w:rsidR="00A954D0">
        <w:rPr>
          <w:rFonts w:ascii="Bookman Old Style" w:hAnsi="Bookman Old Style"/>
          <w:lang w:val="id-ID"/>
        </w:rPr>
        <w:t xml:space="preserve"> </w:t>
      </w:r>
      <w:r w:rsidRPr="006D569B">
        <w:rPr>
          <w:rFonts w:ascii="Bookman Old Style" w:hAnsi="Bookman Old Style"/>
          <w:bCs/>
          <w:lang w:val="id-ID" w:eastAsia="id-ID"/>
        </w:rPr>
        <w:t>APBD</w:t>
      </w:r>
      <w:r w:rsidR="00A954D0">
        <w:rPr>
          <w:rFonts w:ascii="Bookman Old Style" w:hAnsi="Bookman Old Style"/>
          <w:bCs/>
          <w:lang w:val="id-ID" w:eastAsia="id-ID"/>
        </w:rPr>
        <w:t xml:space="preserve"> </w:t>
      </w:r>
      <w:r w:rsidRPr="006D569B">
        <w:rPr>
          <w:rFonts w:ascii="Bookman Old Style" w:hAnsi="Bookman Old Style"/>
          <w:bCs/>
          <w:lang w:val="id-ID" w:eastAsia="id-ID"/>
        </w:rPr>
        <w:t>Tahun</w:t>
      </w:r>
      <w:r w:rsidR="00A954D0">
        <w:rPr>
          <w:rFonts w:ascii="Bookman Old Style" w:hAnsi="Bookman Old Style"/>
          <w:bCs/>
          <w:lang w:val="id-ID" w:eastAsia="id-ID"/>
        </w:rPr>
        <w:t xml:space="preserve"> </w:t>
      </w:r>
      <w:r w:rsidRPr="006D569B">
        <w:rPr>
          <w:rFonts w:ascii="Bookman Old Style" w:hAnsi="Bookman Old Style"/>
          <w:bCs/>
          <w:lang w:val="id-ID" w:eastAsia="id-ID"/>
        </w:rPr>
        <w:t>Anggaran</w:t>
      </w:r>
      <w:r w:rsidR="00A954D0">
        <w:rPr>
          <w:rFonts w:ascii="Bookman Old Style" w:hAnsi="Bookman Old Style"/>
          <w:bCs/>
          <w:lang w:val="id-ID" w:eastAsia="id-ID"/>
        </w:rPr>
        <w:t xml:space="preserve"> </w:t>
      </w:r>
      <w:r w:rsidRPr="006D569B">
        <w:rPr>
          <w:rFonts w:ascii="Bookman Old Style" w:hAnsi="Bookman Old Style"/>
          <w:bCs/>
          <w:lang w:val="id-ID" w:eastAsia="id-ID"/>
        </w:rPr>
        <w:t>2025</w:t>
      </w:r>
      <w:r w:rsidR="00A954D0">
        <w:rPr>
          <w:rFonts w:ascii="Bookman Old Style" w:hAnsi="Bookman Old Style"/>
          <w:bCs/>
          <w:lang w:val="id-ID" w:eastAsia="id-ID"/>
        </w:rPr>
        <w:t xml:space="preserve"> </w:t>
      </w:r>
      <w:r w:rsidRPr="006D569B">
        <w:rPr>
          <w:rFonts w:ascii="Bookman Old Style" w:hAnsi="Bookman Old Style"/>
          <w:bCs/>
          <w:lang w:val="id-ID" w:eastAsia="id-ID"/>
        </w:rPr>
        <w:t>dan</w:t>
      </w:r>
      <w:r w:rsidR="00A954D0">
        <w:rPr>
          <w:rFonts w:ascii="Bookman Old Style" w:hAnsi="Bookman Old Style"/>
          <w:bCs/>
          <w:lang w:val="id-ID" w:eastAsia="id-ID"/>
        </w:rPr>
        <w:t xml:space="preserve"> </w:t>
      </w:r>
      <w:r w:rsidRPr="006D569B">
        <w:rPr>
          <w:rFonts w:ascii="Bookman Old Style" w:hAnsi="Bookman Old Style"/>
          <w:lang w:val="id-ID"/>
        </w:rPr>
        <w:t>Rancangan</w:t>
      </w:r>
      <w:r w:rsidR="00A954D0">
        <w:rPr>
          <w:rFonts w:ascii="Bookman Old Style" w:hAnsi="Bookman Old Style"/>
          <w:lang w:val="id-ID"/>
        </w:rPr>
        <w:t xml:space="preserve"> </w:t>
      </w:r>
      <w:r w:rsidRPr="006D569B">
        <w:rPr>
          <w:rFonts w:ascii="Bookman Old Style" w:hAnsi="Bookman Old Style"/>
          <w:lang w:val="id-ID"/>
        </w:rPr>
        <w:t>Peraturan</w:t>
      </w:r>
      <w:r w:rsidR="00A954D0">
        <w:rPr>
          <w:rFonts w:ascii="Bookman Old Style" w:hAnsi="Bookman Old Style"/>
          <w:lang w:val="id-ID"/>
        </w:rPr>
        <w:t xml:space="preserve"> </w:t>
      </w:r>
      <w:r w:rsidR="001C092E">
        <w:rPr>
          <w:rFonts w:ascii="Bookman Old Style" w:hAnsi="Bookman Old Style"/>
          <w:lang w:val="id-ID"/>
        </w:rPr>
        <w:t>Wali</w:t>
      </w:r>
      <w:r w:rsidR="00A954D0">
        <w:rPr>
          <w:rFonts w:ascii="Bookman Old Style" w:hAnsi="Bookman Old Style"/>
          <w:lang w:val="id-ID"/>
        </w:rPr>
        <w:t xml:space="preserve"> </w:t>
      </w:r>
      <w:r w:rsidR="001C092E">
        <w:rPr>
          <w:rFonts w:ascii="Bookman Old Style" w:hAnsi="Bookman Old Style"/>
          <w:lang w:val="id-ID"/>
        </w:rPr>
        <w:t>Kota</w:t>
      </w:r>
      <w:r w:rsidR="00A954D0">
        <w:rPr>
          <w:rFonts w:ascii="Bookman Old Style" w:hAnsi="Bookman Old Style"/>
          <w:lang w:val="id-ID"/>
        </w:rPr>
        <w:t xml:space="preserve"> </w:t>
      </w:r>
      <w:r w:rsidRPr="006D569B">
        <w:rPr>
          <w:rFonts w:ascii="Bookman Old Style" w:hAnsi="Bookman Old Style"/>
          <w:lang w:val="fi-FI"/>
        </w:rPr>
        <w:t>Tangerang</w:t>
      </w:r>
      <w:r w:rsidR="00A954D0">
        <w:rPr>
          <w:rFonts w:ascii="Bookman Old Style" w:hAnsi="Bookman Old Style"/>
          <w:lang w:val="fi-FI"/>
        </w:rPr>
        <w:t xml:space="preserve"> </w:t>
      </w:r>
      <w:r w:rsidRPr="006D569B">
        <w:rPr>
          <w:rFonts w:ascii="Bookman Old Style" w:hAnsi="Bookman Old Style"/>
          <w:bCs/>
          <w:lang w:val="id-ID" w:eastAsia="id-ID"/>
        </w:rPr>
        <w:t>tentang</w:t>
      </w:r>
      <w:r w:rsidR="00A954D0">
        <w:rPr>
          <w:rFonts w:ascii="Bookman Old Style" w:hAnsi="Bookman Old Style"/>
          <w:bCs/>
          <w:lang w:val="id-ID" w:eastAsia="id-ID"/>
        </w:rPr>
        <w:t xml:space="preserve"> </w:t>
      </w:r>
      <w:r w:rsidRPr="006D569B">
        <w:rPr>
          <w:rFonts w:ascii="Bookman Old Style" w:hAnsi="Bookman Old Style"/>
          <w:bCs/>
          <w:lang w:val="id-ID" w:eastAsia="id-ID"/>
        </w:rPr>
        <w:t>Penjabaran</w:t>
      </w:r>
      <w:r w:rsidR="00A954D0">
        <w:rPr>
          <w:rFonts w:ascii="Bookman Old Style" w:hAnsi="Bookman Old Style"/>
          <w:bCs/>
          <w:lang w:val="id-ID" w:eastAsia="id-ID"/>
        </w:rPr>
        <w:t xml:space="preserve"> </w:t>
      </w:r>
      <w:r w:rsidRPr="006D569B">
        <w:rPr>
          <w:rFonts w:ascii="Bookman Old Style" w:hAnsi="Bookman Old Style"/>
          <w:bCs/>
          <w:lang w:val="id-ID" w:eastAsia="id-ID"/>
        </w:rPr>
        <w:t>APBD</w:t>
      </w:r>
      <w:r w:rsidR="00A954D0">
        <w:rPr>
          <w:rFonts w:ascii="Bookman Old Style" w:hAnsi="Bookman Old Style"/>
          <w:bCs/>
          <w:lang w:val="id-ID" w:eastAsia="id-ID"/>
        </w:rPr>
        <w:t xml:space="preserve"> </w:t>
      </w:r>
      <w:r w:rsidRPr="006D569B">
        <w:rPr>
          <w:rFonts w:ascii="Bookman Old Style" w:hAnsi="Bookman Old Style"/>
          <w:bCs/>
          <w:lang w:val="id-ID" w:eastAsia="id-ID"/>
        </w:rPr>
        <w:t>Tahun</w:t>
      </w:r>
      <w:r w:rsidR="00A954D0">
        <w:rPr>
          <w:rFonts w:ascii="Bookman Old Style" w:hAnsi="Bookman Old Style"/>
          <w:bCs/>
          <w:lang w:val="id-ID" w:eastAsia="id-ID"/>
        </w:rPr>
        <w:t xml:space="preserve"> </w:t>
      </w:r>
      <w:r w:rsidRPr="006D569B">
        <w:rPr>
          <w:rFonts w:ascii="Bookman Old Style" w:hAnsi="Bookman Old Style"/>
          <w:bCs/>
          <w:lang w:val="id-ID" w:eastAsia="id-ID"/>
        </w:rPr>
        <w:t>Anggaran</w:t>
      </w:r>
      <w:r w:rsidR="00A954D0">
        <w:rPr>
          <w:rFonts w:ascii="Bookman Old Style" w:hAnsi="Bookman Old Style"/>
          <w:bCs/>
          <w:lang w:val="id-ID" w:eastAsia="id-ID"/>
        </w:rPr>
        <w:t xml:space="preserve"> </w:t>
      </w:r>
      <w:r w:rsidRPr="006D569B">
        <w:rPr>
          <w:rFonts w:ascii="Bookman Old Style" w:hAnsi="Bookman Old Style"/>
          <w:bCs/>
          <w:lang w:val="id-ID" w:eastAsia="id-ID"/>
        </w:rPr>
        <w:t>2025</w:t>
      </w:r>
      <w:r w:rsidR="00A954D0">
        <w:rPr>
          <w:rFonts w:ascii="Bookman Old Style" w:hAnsi="Bookman Old Style"/>
          <w:bCs/>
          <w:lang w:val="id-ID" w:eastAsia="id-ID"/>
        </w:rPr>
        <w:t xml:space="preserve"> </w:t>
      </w:r>
      <w:r w:rsidRPr="006D569B">
        <w:rPr>
          <w:rFonts w:ascii="Bookman Old Style" w:hAnsi="Bookman Old Style"/>
          <w:bCs/>
          <w:lang w:val="id-ID" w:eastAsia="id-ID"/>
        </w:rPr>
        <w:t>dan</w:t>
      </w:r>
      <w:r w:rsidR="00A954D0">
        <w:rPr>
          <w:rFonts w:ascii="Bookman Old Style" w:hAnsi="Bookman Old Style"/>
          <w:bCs/>
          <w:lang w:val="id-ID" w:eastAsia="id-ID"/>
        </w:rPr>
        <w:t xml:space="preserve"> </w:t>
      </w:r>
      <w:r w:rsidRPr="006D569B">
        <w:rPr>
          <w:rFonts w:ascii="Bookman Old Style" w:hAnsi="Bookman Old Style"/>
          <w:b/>
          <w:lang w:val="id-ID" w:eastAsia="id-ID"/>
        </w:rPr>
        <w:t>harus</w:t>
      </w:r>
      <w:r w:rsidR="00A954D0">
        <w:rPr>
          <w:rFonts w:ascii="Bookman Old Style" w:hAnsi="Bookman Old Style"/>
          <w:b/>
          <w:lang w:val="id-ID" w:eastAsia="id-ID"/>
        </w:rPr>
        <w:t xml:space="preserve"> </w:t>
      </w:r>
      <w:r w:rsidRPr="006D569B">
        <w:rPr>
          <w:rFonts w:ascii="Bookman Old Style" w:hAnsi="Bookman Old Style"/>
          <w:b/>
          <w:lang w:val="id-ID"/>
        </w:rPr>
        <w:t>dialihkan</w:t>
      </w:r>
      <w:r w:rsidR="00A954D0">
        <w:rPr>
          <w:rFonts w:ascii="Bookman Old Style" w:hAnsi="Bookman Old Style"/>
          <w:lang w:val="id-ID"/>
        </w:rPr>
        <w:t xml:space="preserve"> </w:t>
      </w:r>
      <w:r w:rsidRPr="006D569B">
        <w:rPr>
          <w:rFonts w:ascii="Bookman Old Style" w:hAnsi="Bookman Old Style"/>
          <w:lang w:val="id-ID"/>
        </w:rPr>
        <w:t>untuk</w:t>
      </w:r>
      <w:r w:rsidR="00A954D0">
        <w:rPr>
          <w:rFonts w:ascii="Bookman Old Style" w:hAnsi="Bookman Old Style"/>
          <w:lang w:val="id-ID"/>
        </w:rPr>
        <w:t xml:space="preserve"> </w:t>
      </w:r>
      <w:r w:rsidRPr="006D569B">
        <w:rPr>
          <w:rFonts w:ascii="Bookman Old Style" w:hAnsi="Bookman Old Style"/>
          <w:lang w:val="id-ID"/>
        </w:rPr>
        <w:t>mendanai</w:t>
      </w:r>
      <w:r w:rsidR="00A954D0">
        <w:rPr>
          <w:rFonts w:ascii="Bookman Old Style" w:hAnsi="Bookman Old Style"/>
          <w:lang w:val="id-ID"/>
        </w:rPr>
        <w:t xml:space="preserve"> </w:t>
      </w:r>
      <w:r w:rsidRPr="006D569B">
        <w:rPr>
          <w:rFonts w:ascii="Bookman Old Style" w:hAnsi="Bookman Old Style"/>
          <w:lang w:val="id-ID"/>
        </w:rPr>
        <w:t>Kegiatan</w:t>
      </w:r>
      <w:r w:rsidR="00A954D0">
        <w:rPr>
          <w:rFonts w:ascii="Bookman Old Style" w:hAnsi="Bookman Old Style"/>
          <w:lang w:val="id-ID"/>
        </w:rPr>
        <w:t xml:space="preserve"> </w:t>
      </w:r>
      <w:r w:rsidRPr="006D569B">
        <w:rPr>
          <w:rFonts w:ascii="Bookman Old Style" w:hAnsi="Bookman Old Style"/>
          <w:lang w:val="id-ID"/>
        </w:rPr>
        <w:t>dan</w:t>
      </w:r>
      <w:r w:rsidR="00A954D0">
        <w:rPr>
          <w:rFonts w:ascii="Bookman Old Style" w:hAnsi="Bookman Old Style"/>
          <w:lang w:val="id-ID"/>
        </w:rPr>
        <w:t xml:space="preserve"> </w:t>
      </w:r>
      <w:r w:rsidRPr="006D569B">
        <w:rPr>
          <w:rFonts w:ascii="Bookman Old Style" w:hAnsi="Bookman Old Style"/>
          <w:lang w:val="id-ID"/>
        </w:rPr>
        <w:t>Sub</w:t>
      </w:r>
      <w:r w:rsidR="00A954D0">
        <w:rPr>
          <w:rFonts w:ascii="Bookman Old Style" w:hAnsi="Bookman Old Style"/>
          <w:lang w:val="id-ID"/>
        </w:rPr>
        <w:t xml:space="preserve"> </w:t>
      </w:r>
      <w:r w:rsidRPr="006D569B">
        <w:rPr>
          <w:rFonts w:ascii="Bookman Old Style" w:hAnsi="Bookman Old Style"/>
          <w:lang w:val="id-ID"/>
        </w:rPr>
        <w:t>Kegiatan</w:t>
      </w:r>
      <w:r w:rsidR="00A954D0">
        <w:rPr>
          <w:rFonts w:ascii="Bookman Old Style" w:hAnsi="Bookman Old Style"/>
          <w:lang w:val="id-ID"/>
        </w:rPr>
        <w:t xml:space="preserve"> </w:t>
      </w:r>
      <w:r w:rsidRPr="006D569B">
        <w:rPr>
          <w:rFonts w:ascii="Bookman Old Style" w:hAnsi="Bookman Old Style"/>
          <w:lang w:val="id-ID"/>
        </w:rPr>
        <w:t>prio</w:t>
      </w:r>
      <w:r w:rsidRPr="00727324">
        <w:rPr>
          <w:rFonts w:ascii="Bookman Old Style" w:hAnsi="Bookman Old Style"/>
          <w:lang w:val="id-ID"/>
        </w:rPr>
        <w:t>ritas</w:t>
      </w:r>
      <w:r w:rsidR="00A954D0">
        <w:rPr>
          <w:rFonts w:ascii="Bookman Old Style" w:hAnsi="Bookman Old Style"/>
          <w:lang w:val="id-ID"/>
        </w:rPr>
        <w:t xml:space="preserve"> </w:t>
      </w:r>
      <w:r w:rsidRPr="00727324">
        <w:rPr>
          <w:rFonts w:ascii="Bookman Old Style" w:hAnsi="Bookman Old Style"/>
          <w:lang w:val="id-ID"/>
        </w:rPr>
        <w:t>sebagaimana</w:t>
      </w:r>
      <w:r w:rsidR="00A954D0">
        <w:rPr>
          <w:rFonts w:ascii="Bookman Old Style" w:hAnsi="Bookman Old Style"/>
          <w:lang w:val="id-ID"/>
        </w:rPr>
        <w:t xml:space="preserve"> </w:t>
      </w:r>
      <w:r w:rsidRPr="00727324">
        <w:rPr>
          <w:rFonts w:ascii="Bookman Old Style" w:hAnsi="Bookman Old Style"/>
          <w:lang w:val="id-ID"/>
        </w:rPr>
        <w:t>tercantum</w:t>
      </w:r>
      <w:r w:rsidR="00A954D0">
        <w:rPr>
          <w:rFonts w:ascii="Bookman Old Style" w:hAnsi="Bookman Old Style"/>
          <w:lang w:val="id-ID"/>
        </w:rPr>
        <w:t xml:space="preserve"> </w:t>
      </w:r>
      <w:r w:rsidRPr="00727324">
        <w:rPr>
          <w:rFonts w:ascii="Bookman Old Style" w:hAnsi="Bookman Old Style"/>
          <w:lang w:val="id-ID"/>
        </w:rPr>
        <w:t>dalam</w:t>
      </w:r>
      <w:r w:rsidR="00A954D0">
        <w:rPr>
          <w:rFonts w:ascii="Bookman Old Style" w:hAnsi="Bookman Old Style"/>
          <w:lang w:val="id-ID"/>
        </w:rPr>
        <w:t xml:space="preserve"> </w:t>
      </w:r>
      <w:r w:rsidRPr="00727324">
        <w:rPr>
          <w:rFonts w:ascii="Bookman Old Style" w:hAnsi="Bookman Old Style"/>
          <w:lang w:val="id-ID"/>
        </w:rPr>
        <w:t>RKPD,</w:t>
      </w:r>
      <w:r w:rsidR="00A954D0">
        <w:rPr>
          <w:rFonts w:ascii="Bookman Old Style" w:hAnsi="Bookman Old Style"/>
          <w:lang w:val="id-ID"/>
        </w:rPr>
        <w:t xml:space="preserve"> </w:t>
      </w:r>
      <w:r w:rsidRPr="00727324">
        <w:rPr>
          <w:rFonts w:ascii="Bookman Old Style" w:hAnsi="Bookman Old Style"/>
          <w:lang w:val="id-ID"/>
        </w:rPr>
        <w:t>KUA</w:t>
      </w:r>
      <w:r w:rsidR="00A954D0">
        <w:rPr>
          <w:rFonts w:ascii="Bookman Old Style" w:hAnsi="Bookman Old Style"/>
          <w:lang w:val="id-ID"/>
        </w:rPr>
        <w:t xml:space="preserve"> </w:t>
      </w:r>
      <w:r w:rsidRPr="00727324">
        <w:rPr>
          <w:rFonts w:ascii="Bookman Old Style" w:hAnsi="Bookman Old Style"/>
          <w:lang w:val="id-ID"/>
        </w:rPr>
        <w:t>dan</w:t>
      </w:r>
      <w:r w:rsidR="00A954D0">
        <w:rPr>
          <w:rFonts w:ascii="Bookman Old Style" w:hAnsi="Bookman Old Style"/>
          <w:lang w:val="id-ID"/>
        </w:rPr>
        <w:t xml:space="preserve"> </w:t>
      </w:r>
      <w:r w:rsidRPr="00727324">
        <w:rPr>
          <w:rFonts w:ascii="Bookman Old Style" w:hAnsi="Bookman Old Style"/>
          <w:lang w:val="id-ID"/>
        </w:rPr>
        <w:t>PPAS</w:t>
      </w:r>
      <w:r w:rsidR="00A954D0">
        <w:rPr>
          <w:rFonts w:ascii="Bookman Old Style" w:hAnsi="Bookman Old Style"/>
          <w:lang w:val="id-ID"/>
        </w:rPr>
        <w:t xml:space="preserve"> </w:t>
      </w:r>
      <w:r w:rsidRPr="00727324">
        <w:rPr>
          <w:rFonts w:ascii="Bookman Old Style" w:hAnsi="Bookman Old Style"/>
          <w:lang w:val="id-ID"/>
        </w:rPr>
        <w:t>yang</w:t>
      </w:r>
      <w:r w:rsidR="00A954D0">
        <w:rPr>
          <w:rFonts w:ascii="Bookman Old Style" w:hAnsi="Bookman Old Style"/>
          <w:lang w:val="id-ID"/>
        </w:rPr>
        <w:t xml:space="preserve"> </w:t>
      </w:r>
      <w:r w:rsidRPr="00727324">
        <w:rPr>
          <w:rFonts w:ascii="Bookman Old Style" w:hAnsi="Bookman Old Style"/>
          <w:lang w:val="id-ID"/>
        </w:rPr>
        <w:t>menunjang</w:t>
      </w:r>
      <w:r w:rsidR="00A954D0">
        <w:rPr>
          <w:rFonts w:ascii="Bookman Old Style" w:hAnsi="Bookman Old Style"/>
          <w:lang w:val="id-ID"/>
        </w:rPr>
        <w:t xml:space="preserve"> </w:t>
      </w:r>
      <w:r w:rsidRPr="00727324">
        <w:rPr>
          <w:rFonts w:ascii="Bookman Old Style" w:hAnsi="Bookman Old Style"/>
          <w:lang w:val="id-ID"/>
        </w:rPr>
        <w:t>pencapaian</w:t>
      </w:r>
      <w:r w:rsidR="00A954D0">
        <w:rPr>
          <w:rFonts w:ascii="Bookman Old Style" w:hAnsi="Bookman Old Style"/>
          <w:lang w:val="id-ID"/>
        </w:rPr>
        <w:t xml:space="preserve"> </w:t>
      </w:r>
      <w:r w:rsidRPr="00727324">
        <w:rPr>
          <w:rFonts w:ascii="Bookman Old Style" w:hAnsi="Bookman Old Style"/>
          <w:lang w:val="id-ID"/>
        </w:rPr>
        <w:t>Prioritas</w:t>
      </w:r>
      <w:r w:rsidR="00A954D0">
        <w:rPr>
          <w:rFonts w:ascii="Bookman Old Style" w:hAnsi="Bookman Old Style"/>
          <w:lang w:val="id-ID"/>
        </w:rPr>
        <w:t xml:space="preserve"> </w:t>
      </w:r>
      <w:r w:rsidRPr="00727324">
        <w:rPr>
          <w:rFonts w:ascii="Bookman Old Style" w:hAnsi="Bookman Old Style"/>
          <w:lang w:val="id-ID"/>
        </w:rPr>
        <w:t>Pembangunan</w:t>
      </w:r>
      <w:r w:rsidR="00A954D0">
        <w:rPr>
          <w:rFonts w:ascii="Bookman Old Style" w:hAnsi="Bookman Old Style"/>
          <w:lang w:val="id-ID"/>
        </w:rPr>
        <w:t xml:space="preserve"> </w:t>
      </w:r>
      <w:r w:rsidRPr="00727324">
        <w:rPr>
          <w:rFonts w:ascii="Bookman Old Style" w:hAnsi="Bookman Old Style"/>
          <w:lang w:val="id-ID"/>
        </w:rPr>
        <w:t>Nasional</w:t>
      </w:r>
      <w:r w:rsidR="00A954D0">
        <w:rPr>
          <w:rFonts w:ascii="Bookman Old Style" w:hAnsi="Bookman Old Style"/>
          <w:lang w:val="id-ID"/>
        </w:rPr>
        <w:t xml:space="preserve"> </w:t>
      </w:r>
      <w:r w:rsidRPr="00727324">
        <w:rPr>
          <w:rFonts w:ascii="Bookman Old Style" w:hAnsi="Bookman Old Style"/>
          <w:lang w:val="id-ID"/>
        </w:rPr>
        <w:t>Tahun</w:t>
      </w:r>
      <w:r w:rsidR="00A954D0">
        <w:rPr>
          <w:rFonts w:ascii="Bookman Old Style" w:hAnsi="Bookman Old Style"/>
          <w:lang w:val="id-ID"/>
        </w:rPr>
        <w:t xml:space="preserve"> </w:t>
      </w:r>
      <w:r w:rsidRPr="00727324">
        <w:rPr>
          <w:rFonts w:ascii="Bookman Old Style" w:hAnsi="Bookman Old Style"/>
          <w:lang w:val="id-ID"/>
        </w:rPr>
        <w:t>2025</w:t>
      </w:r>
      <w:r w:rsidR="00A954D0">
        <w:rPr>
          <w:rFonts w:ascii="Bookman Old Style" w:hAnsi="Bookman Old Style"/>
          <w:lang w:val="id-ID"/>
        </w:rPr>
        <w:t xml:space="preserve"> </w:t>
      </w:r>
      <w:r w:rsidRPr="00727324">
        <w:rPr>
          <w:rFonts w:ascii="Bookman Old Style" w:hAnsi="Bookman Old Style"/>
          <w:lang w:val="id-ID"/>
        </w:rPr>
        <w:t>sesuai</w:t>
      </w:r>
      <w:r w:rsidR="00A954D0">
        <w:rPr>
          <w:rFonts w:ascii="Bookman Old Style" w:hAnsi="Bookman Old Style"/>
          <w:lang w:val="id-ID"/>
        </w:rPr>
        <w:t xml:space="preserve"> </w:t>
      </w:r>
      <w:r w:rsidRPr="00727324">
        <w:rPr>
          <w:rFonts w:ascii="Bookman Old Style" w:hAnsi="Bookman Old Style"/>
          <w:lang w:val="id-ID"/>
        </w:rPr>
        <w:t>dengan</w:t>
      </w:r>
      <w:r w:rsidR="00A954D0">
        <w:rPr>
          <w:rFonts w:ascii="Bookman Old Style" w:hAnsi="Bookman Old Style"/>
          <w:lang w:val="id-ID"/>
        </w:rPr>
        <w:t xml:space="preserve"> </w:t>
      </w:r>
      <w:r w:rsidRPr="00727324">
        <w:rPr>
          <w:rFonts w:ascii="Bookman Old Style" w:hAnsi="Bookman Old Style"/>
          <w:lang w:val="id-ID"/>
        </w:rPr>
        <w:t>kewenangan</w:t>
      </w:r>
      <w:r w:rsidR="00A954D0">
        <w:rPr>
          <w:rFonts w:ascii="Bookman Old Style" w:hAnsi="Bookman Old Style"/>
          <w:lang w:val="id-ID"/>
        </w:rPr>
        <w:t xml:space="preserve"> </w:t>
      </w:r>
      <w:r w:rsidRPr="00727324">
        <w:rPr>
          <w:rFonts w:ascii="Bookman Old Style" w:hAnsi="Bookman Old Style"/>
          <w:lang w:val="id-ID"/>
        </w:rPr>
        <w:t>Pemerintah</w:t>
      </w:r>
      <w:r w:rsidR="00A954D0">
        <w:rPr>
          <w:rFonts w:ascii="Bookman Old Style" w:hAnsi="Bookman Old Style"/>
          <w:lang w:val="id-ID"/>
        </w:rPr>
        <w:t xml:space="preserve"> </w:t>
      </w:r>
      <w:r w:rsidRPr="00727324">
        <w:rPr>
          <w:rFonts w:ascii="Bookman Old Style" w:hAnsi="Bookman Old Style"/>
          <w:lang w:val="id-ID"/>
        </w:rPr>
        <w:t>Daerah</w:t>
      </w:r>
      <w:r w:rsidR="00A954D0">
        <w:rPr>
          <w:rFonts w:ascii="Bookman Old Style" w:hAnsi="Bookman Old Style"/>
          <w:lang w:val="id-ID"/>
        </w:rPr>
        <w:t xml:space="preserve"> </w:t>
      </w:r>
      <w:r>
        <w:rPr>
          <w:rFonts w:ascii="Bookman Old Style" w:hAnsi="Bookman Old Style"/>
          <w:lang w:val="fi-FI"/>
        </w:rPr>
        <w:t>Kota</w:t>
      </w:r>
      <w:r w:rsidR="00A954D0">
        <w:rPr>
          <w:rFonts w:ascii="Bookman Old Style" w:hAnsi="Bookman Old Style"/>
          <w:lang w:val="fi-FI"/>
        </w:rPr>
        <w:t xml:space="preserve"> </w:t>
      </w:r>
      <w:r>
        <w:rPr>
          <w:rFonts w:ascii="Bookman Old Style" w:hAnsi="Bookman Old Style"/>
          <w:lang w:val="fi-FI"/>
        </w:rPr>
        <w:t>Tangerang</w:t>
      </w:r>
      <w:r w:rsidR="00A954D0">
        <w:rPr>
          <w:rFonts w:ascii="Bookman Old Style" w:hAnsi="Bookman Old Style"/>
          <w:lang w:val="fi-FI"/>
        </w:rPr>
        <w:t xml:space="preserve"> </w:t>
      </w:r>
      <w:r w:rsidRPr="00727324">
        <w:rPr>
          <w:rFonts w:ascii="Bookman Old Style" w:hAnsi="Bookman Old Style"/>
          <w:lang w:val="id-ID"/>
        </w:rPr>
        <w:t>dan/atau</w:t>
      </w:r>
      <w:r w:rsidR="00A954D0">
        <w:rPr>
          <w:rFonts w:ascii="Bookman Old Style" w:hAnsi="Bookman Old Style"/>
          <w:lang w:val="id-ID"/>
        </w:rPr>
        <w:t xml:space="preserve"> </w:t>
      </w:r>
      <w:r w:rsidRPr="00727324">
        <w:rPr>
          <w:rFonts w:ascii="Bookman Old Style" w:hAnsi="Bookman Old Style"/>
          <w:lang w:val="id-ID"/>
        </w:rPr>
        <w:t>dalam</w:t>
      </w:r>
      <w:r w:rsidR="00A954D0">
        <w:rPr>
          <w:rFonts w:ascii="Bookman Old Style" w:hAnsi="Bookman Old Style"/>
          <w:lang w:val="id-ID"/>
        </w:rPr>
        <w:t xml:space="preserve"> </w:t>
      </w:r>
      <w:r w:rsidRPr="00727324">
        <w:rPr>
          <w:rFonts w:ascii="Bookman Old Style" w:hAnsi="Bookman Old Style"/>
          <w:lang w:val="id-ID"/>
        </w:rPr>
        <w:t>rangka</w:t>
      </w:r>
      <w:r w:rsidR="00A954D0">
        <w:rPr>
          <w:rFonts w:ascii="Bookman Old Style" w:hAnsi="Bookman Old Style"/>
          <w:lang w:val="id-ID"/>
        </w:rPr>
        <w:t xml:space="preserve"> </w:t>
      </w:r>
      <w:r w:rsidRPr="00727324">
        <w:rPr>
          <w:rFonts w:ascii="Bookman Old Style" w:hAnsi="Bookman Old Style"/>
          <w:lang w:val="id-ID"/>
        </w:rPr>
        <w:t>pemenuhan</w:t>
      </w:r>
      <w:r w:rsidR="00A954D0">
        <w:rPr>
          <w:rFonts w:ascii="Bookman Old Style" w:hAnsi="Bookman Old Style"/>
          <w:lang w:val="id-ID"/>
        </w:rPr>
        <w:t xml:space="preserve"> </w:t>
      </w:r>
      <w:r w:rsidRPr="00727324">
        <w:rPr>
          <w:rFonts w:ascii="Bookman Old Style" w:hAnsi="Bookman Old Style"/>
          <w:lang w:val="id-ID"/>
        </w:rPr>
        <w:t>alokasi</w:t>
      </w:r>
      <w:r w:rsidR="00A954D0">
        <w:rPr>
          <w:rFonts w:ascii="Bookman Old Style" w:hAnsi="Bookman Old Style"/>
          <w:lang w:val="id-ID"/>
        </w:rPr>
        <w:t xml:space="preserve"> </w:t>
      </w:r>
      <w:r w:rsidRPr="00727324">
        <w:rPr>
          <w:rFonts w:ascii="Bookman Old Style" w:hAnsi="Bookman Old Style"/>
          <w:lang w:val="id-ID"/>
        </w:rPr>
        <w:t>belanja</w:t>
      </w:r>
      <w:r w:rsidR="00A954D0">
        <w:rPr>
          <w:rFonts w:ascii="Bookman Old Style" w:hAnsi="Bookman Old Style"/>
          <w:lang w:val="id-ID"/>
        </w:rPr>
        <w:t xml:space="preserve"> </w:t>
      </w:r>
      <w:r w:rsidRPr="00727324">
        <w:rPr>
          <w:rFonts w:ascii="Bookman Old Style" w:hAnsi="Bookman Old Style"/>
          <w:lang w:val="id-ID"/>
        </w:rPr>
        <w:t>di</w:t>
      </w:r>
      <w:r w:rsidR="00A954D0">
        <w:rPr>
          <w:rFonts w:ascii="Bookman Old Style" w:hAnsi="Bookman Old Style"/>
          <w:lang w:val="id-ID"/>
        </w:rPr>
        <w:t xml:space="preserve"> </w:t>
      </w:r>
      <w:r w:rsidRPr="00727324">
        <w:rPr>
          <w:rFonts w:ascii="Bookman Old Style" w:hAnsi="Bookman Old Style"/>
          <w:lang w:val="id-ID"/>
        </w:rPr>
        <w:t>berbagai</w:t>
      </w:r>
      <w:r w:rsidR="00A954D0">
        <w:rPr>
          <w:rFonts w:ascii="Bookman Old Style" w:hAnsi="Bookman Old Style"/>
          <w:lang w:val="id-ID"/>
        </w:rPr>
        <w:t xml:space="preserve"> </w:t>
      </w:r>
      <w:r w:rsidRPr="00727324">
        <w:rPr>
          <w:rFonts w:ascii="Bookman Old Style" w:hAnsi="Bookman Old Style"/>
          <w:lang w:val="id-ID"/>
        </w:rPr>
        <w:t>aspek</w:t>
      </w:r>
      <w:r w:rsidR="00A954D0">
        <w:rPr>
          <w:rFonts w:ascii="Bookman Old Style" w:hAnsi="Bookman Old Style"/>
          <w:lang w:val="id-ID"/>
        </w:rPr>
        <w:t xml:space="preserve"> </w:t>
      </w:r>
      <w:r w:rsidRPr="00727324">
        <w:rPr>
          <w:rFonts w:ascii="Bookman Old Style" w:hAnsi="Bookman Old Style"/>
          <w:lang w:val="id-ID"/>
        </w:rPr>
        <w:t>kehidupan,</w:t>
      </w:r>
      <w:r w:rsidR="00A954D0">
        <w:rPr>
          <w:rFonts w:ascii="Bookman Old Style" w:hAnsi="Bookman Old Style"/>
          <w:lang w:val="id-ID"/>
        </w:rPr>
        <w:t xml:space="preserve"> </w:t>
      </w:r>
      <w:r w:rsidRPr="00727324">
        <w:rPr>
          <w:rFonts w:ascii="Bookman Old Style" w:hAnsi="Bookman Old Style"/>
          <w:lang w:val="id-ID"/>
        </w:rPr>
        <w:t>baik</w:t>
      </w:r>
      <w:r w:rsidR="00A954D0">
        <w:rPr>
          <w:rFonts w:ascii="Bookman Old Style" w:hAnsi="Bookman Old Style"/>
          <w:lang w:val="id-ID"/>
        </w:rPr>
        <w:t xml:space="preserve"> </w:t>
      </w:r>
      <w:r w:rsidRPr="00727324">
        <w:rPr>
          <w:rFonts w:ascii="Bookman Old Style" w:hAnsi="Bookman Old Style"/>
          <w:lang w:val="id-ID"/>
        </w:rPr>
        <w:t>aspek</w:t>
      </w:r>
      <w:r w:rsidR="00A954D0">
        <w:rPr>
          <w:rFonts w:ascii="Bookman Old Style" w:hAnsi="Bookman Old Style"/>
          <w:lang w:val="id-ID"/>
        </w:rPr>
        <w:t xml:space="preserve"> </w:t>
      </w:r>
      <w:r w:rsidRPr="00727324">
        <w:rPr>
          <w:rFonts w:ascii="Bookman Old Style" w:hAnsi="Bookman Old Style"/>
          <w:lang w:val="id-ID"/>
        </w:rPr>
        <w:t>pemerintahan,</w:t>
      </w:r>
      <w:r w:rsidR="00A954D0">
        <w:rPr>
          <w:rFonts w:ascii="Bookman Old Style" w:hAnsi="Bookman Old Style"/>
          <w:lang w:val="id-ID"/>
        </w:rPr>
        <w:t xml:space="preserve"> </w:t>
      </w:r>
      <w:r w:rsidRPr="00727324">
        <w:rPr>
          <w:rFonts w:ascii="Bookman Old Style" w:hAnsi="Bookman Old Style"/>
          <w:lang w:val="id-ID"/>
        </w:rPr>
        <w:t>kesehatan,</w:t>
      </w:r>
      <w:r w:rsidR="00A954D0">
        <w:rPr>
          <w:rFonts w:ascii="Bookman Old Style" w:hAnsi="Bookman Old Style"/>
          <w:lang w:val="id-ID"/>
        </w:rPr>
        <w:t xml:space="preserve"> </w:t>
      </w:r>
      <w:r w:rsidRPr="00727324">
        <w:rPr>
          <w:rFonts w:ascii="Bookman Old Style" w:hAnsi="Bookman Old Style"/>
          <w:lang w:val="id-ID"/>
        </w:rPr>
        <w:t>sosial,</w:t>
      </w:r>
      <w:r w:rsidR="00A954D0">
        <w:rPr>
          <w:rFonts w:ascii="Bookman Old Style" w:hAnsi="Bookman Old Style"/>
          <w:lang w:val="id-ID"/>
        </w:rPr>
        <w:t xml:space="preserve"> </w:t>
      </w:r>
      <w:r w:rsidRPr="00727324">
        <w:rPr>
          <w:rFonts w:ascii="Bookman Old Style" w:hAnsi="Bookman Old Style"/>
          <w:lang w:val="id-ID"/>
        </w:rPr>
        <w:t>ekonomi</w:t>
      </w:r>
      <w:r w:rsidR="00A954D0">
        <w:rPr>
          <w:rFonts w:ascii="Bookman Old Style" w:hAnsi="Bookman Old Style"/>
          <w:lang w:val="id-ID"/>
        </w:rPr>
        <w:t xml:space="preserve"> </w:t>
      </w:r>
      <w:r w:rsidRPr="00727324">
        <w:rPr>
          <w:rFonts w:ascii="Bookman Old Style" w:hAnsi="Bookman Old Style"/>
          <w:lang w:val="id-ID"/>
        </w:rPr>
        <w:t>dan</w:t>
      </w:r>
      <w:r w:rsidR="00A954D0">
        <w:rPr>
          <w:rFonts w:ascii="Bookman Old Style" w:hAnsi="Bookman Old Style"/>
          <w:lang w:val="id-ID"/>
        </w:rPr>
        <w:t xml:space="preserve"> </w:t>
      </w:r>
      <w:r w:rsidRPr="00727324">
        <w:rPr>
          <w:rFonts w:ascii="Bookman Old Style" w:hAnsi="Bookman Old Style"/>
          <w:lang w:val="id-ID"/>
        </w:rPr>
        <w:t>penganggaran</w:t>
      </w:r>
      <w:r w:rsidR="00A954D0">
        <w:rPr>
          <w:rFonts w:ascii="Bookman Old Style" w:hAnsi="Bookman Old Style"/>
          <w:lang w:val="id-ID"/>
        </w:rPr>
        <w:t xml:space="preserve"> </w:t>
      </w:r>
      <w:r w:rsidRPr="00727324">
        <w:rPr>
          <w:rFonts w:ascii="Bookman Old Style" w:hAnsi="Bookman Old Style"/>
          <w:lang w:val="id-ID"/>
        </w:rPr>
        <w:t>belanja</w:t>
      </w:r>
      <w:r w:rsidR="00A954D0">
        <w:rPr>
          <w:rFonts w:ascii="Bookman Old Style" w:hAnsi="Bookman Old Style"/>
          <w:lang w:val="id-ID"/>
        </w:rPr>
        <w:t xml:space="preserve"> </w:t>
      </w:r>
      <w:r w:rsidRPr="00727324">
        <w:rPr>
          <w:rFonts w:ascii="Bookman Old Style" w:hAnsi="Bookman Old Style"/>
          <w:lang w:val="id-ID"/>
        </w:rPr>
        <w:t>wajib</w:t>
      </w:r>
      <w:r w:rsidR="00A954D0">
        <w:rPr>
          <w:rFonts w:ascii="Bookman Old Style" w:hAnsi="Bookman Old Style"/>
          <w:lang w:val="id-ID"/>
        </w:rPr>
        <w:t xml:space="preserve"> </w:t>
      </w:r>
      <w:r w:rsidRPr="00727324">
        <w:rPr>
          <w:rFonts w:ascii="Bookman Old Style" w:hAnsi="Bookman Old Style"/>
          <w:lang w:val="id-ID"/>
        </w:rPr>
        <w:t>dalam</w:t>
      </w:r>
      <w:r w:rsidR="00A954D0">
        <w:rPr>
          <w:rFonts w:ascii="Bookman Old Style" w:hAnsi="Bookman Old Style"/>
          <w:lang w:val="id-ID"/>
        </w:rPr>
        <w:t xml:space="preserve"> </w:t>
      </w:r>
      <w:r w:rsidRPr="00727324">
        <w:rPr>
          <w:rFonts w:ascii="Bookman Old Style" w:hAnsi="Bookman Old Style"/>
          <w:lang w:val="id-ID"/>
        </w:rPr>
        <w:t>rangka</w:t>
      </w:r>
      <w:r w:rsidR="00A954D0">
        <w:rPr>
          <w:rFonts w:ascii="Bookman Old Style" w:hAnsi="Bookman Old Style"/>
          <w:lang w:val="id-ID"/>
        </w:rPr>
        <w:t xml:space="preserve"> </w:t>
      </w:r>
      <w:r w:rsidRPr="00727324">
        <w:rPr>
          <w:rFonts w:ascii="Bookman Old Style" w:hAnsi="Bookman Old Style"/>
          <w:lang w:val="id-ID"/>
        </w:rPr>
        <w:t>penanganan</w:t>
      </w:r>
      <w:r w:rsidR="00A954D0">
        <w:rPr>
          <w:rFonts w:ascii="Bookman Old Style" w:hAnsi="Bookman Old Style"/>
          <w:lang w:val="id-ID"/>
        </w:rPr>
        <w:t xml:space="preserve"> </w:t>
      </w:r>
      <w:r w:rsidRPr="00727324">
        <w:rPr>
          <w:rFonts w:ascii="Bookman Old Style" w:hAnsi="Bookman Old Style"/>
          <w:lang w:val="id-ID"/>
        </w:rPr>
        <w:t>dampak</w:t>
      </w:r>
      <w:r w:rsidR="00A954D0">
        <w:rPr>
          <w:rFonts w:ascii="Bookman Old Style" w:hAnsi="Bookman Old Style"/>
          <w:lang w:val="id-ID"/>
        </w:rPr>
        <w:t xml:space="preserve"> </w:t>
      </w:r>
      <w:r w:rsidRPr="00727324">
        <w:rPr>
          <w:rFonts w:ascii="Bookman Old Style" w:hAnsi="Bookman Old Style"/>
          <w:lang w:val="id-ID"/>
        </w:rPr>
        <w:t>inflasi,</w:t>
      </w:r>
      <w:r w:rsidR="00A954D0">
        <w:rPr>
          <w:rFonts w:ascii="Bookman Old Style" w:hAnsi="Bookman Old Style"/>
          <w:lang w:val="id-ID"/>
        </w:rPr>
        <w:t xml:space="preserve"> </w:t>
      </w:r>
      <w:r w:rsidRPr="00727324">
        <w:rPr>
          <w:rFonts w:ascii="Bookman Old Style" w:hAnsi="Bookman Old Style"/>
          <w:lang w:val="id-ID"/>
        </w:rPr>
        <w:t>pemenuhan</w:t>
      </w:r>
      <w:r w:rsidR="00A954D0">
        <w:rPr>
          <w:rFonts w:ascii="Bookman Old Style" w:hAnsi="Bookman Old Style"/>
          <w:lang w:val="id-ID"/>
        </w:rPr>
        <w:t xml:space="preserve"> </w:t>
      </w:r>
      <w:r w:rsidRPr="00727324">
        <w:rPr>
          <w:rFonts w:ascii="Bookman Old Style" w:hAnsi="Bookman Old Style"/>
          <w:lang w:val="id-ID"/>
        </w:rPr>
        <w:t>alokasi</w:t>
      </w:r>
      <w:r w:rsidR="00A954D0">
        <w:rPr>
          <w:rFonts w:ascii="Bookman Old Style" w:hAnsi="Bookman Old Style"/>
          <w:lang w:val="id-ID"/>
        </w:rPr>
        <w:t xml:space="preserve"> </w:t>
      </w:r>
      <w:r w:rsidRPr="00727324">
        <w:rPr>
          <w:rFonts w:ascii="Bookman Old Style" w:hAnsi="Bookman Old Style"/>
          <w:lang w:val="id-ID"/>
        </w:rPr>
        <w:t>belanja</w:t>
      </w:r>
      <w:r w:rsidR="00A954D0">
        <w:rPr>
          <w:rFonts w:ascii="Bookman Old Style" w:hAnsi="Bookman Old Style"/>
          <w:lang w:val="id-ID"/>
        </w:rPr>
        <w:t xml:space="preserve"> </w:t>
      </w:r>
      <w:r w:rsidRPr="00727324">
        <w:rPr>
          <w:rFonts w:ascii="Bookman Old Style" w:hAnsi="Bookman Old Style"/>
          <w:lang w:val="id-ID"/>
        </w:rPr>
        <w:t>infrastruktur</w:t>
      </w:r>
      <w:r w:rsidR="00A954D0">
        <w:rPr>
          <w:rFonts w:ascii="Bookman Old Style" w:hAnsi="Bookman Old Style"/>
          <w:lang w:val="id-ID"/>
        </w:rPr>
        <w:t xml:space="preserve"> </w:t>
      </w:r>
      <w:r w:rsidRPr="00727324">
        <w:rPr>
          <w:rFonts w:ascii="Bookman Old Style" w:hAnsi="Bookman Old Style"/>
          <w:lang w:val="id-ID"/>
        </w:rPr>
        <w:t>pelayanan</w:t>
      </w:r>
      <w:r w:rsidR="00A954D0">
        <w:rPr>
          <w:rFonts w:ascii="Bookman Old Style" w:hAnsi="Bookman Old Style"/>
          <w:lang w:val="id-ID"/>
        </w:rPr>
        <w:t xml:space="preserve"> </w:t>
      </w:r>
      <w:r w:rsidRPr="00727324">
        <w:rPr>
          <w:rFonts w:ascii="Bookman Old Style" w:hAnsi="Bookman Old Style"/>
          <w:lang w:val="id-ID"/>
        </w:rPr>
        <w:t>publik</w:t>
      </w:r>
      <w:r w:rsidR="00A954D0">
        <w:rPr>
          <w:rFonts w:ascii="Bookman Old Style" w:hAnsi="Bookman Old Style"/>
          <w:lang w:val="id-ID"/>
        </w:rPr>
        <w:t xml:space="preserve"> </w:t>
      </w:r>
      <w:r w:rsidRPr="00727324">
        <w:rPr>
          <w:rFonts w:ascii="Bookman Old Style" w:hAnsi="Bookman Old Style"/>
          <w:lang w:val="id-ID"/>
        </w:rPr>
        <w:t>paling</w:t>
      </w:r>
      <w:r w:rsidR="00A954D0">
        <w:rPr>
          <w:rFonts w:ascii="Bookman Old Style" w:hAnsi="Bookman Old Style"/>
          <w:lang w:val="id-ID"/>
        </w:rPr>
        <w:t xml:space="preserve"> </w:t>
      </w:r>
      <w:r w:rsidRPr="00727324">
        <w:rPr>
          <w:rFonts w:ascii="Bookman Old Style" w:hAnsi="Bookman Old Style"/>
          <w:lang w:val="id-ID"/>
        </w:rPr>
        <w:t>rendah</w:t>
      </w:r>
      <w:r w:rsidR="00A954D0">
        <w:rPr>
          <w:rFonts w:ascii="Bookman Old Style" w:hAnsi="Bookman Old Style"/>
          <w:lang w:val="id-ID"/>
        </w:rPr>
        <w:t xml:space="preserve"> </w:t>
      </w:r>
      <w:r w:rsidRPr="00727324">
        <w:rPr>
          <w:rFonts w:ascii="Bookman Old Style" w:hAnsi="Bookman Old Style"/>
          <w:lang w:val="id-ID"/>
        </w:rPr>
        <w:t>40%</w:t>
      </w:r>
      <w:r w:rsidR="00A954D0">
        <w:rPr>
          <w:rFonts w:ascii="Bookman Old Style" w:hAnsi="Bookman Old Style"/>
          <w:lang w:val="id-ID"/>
        </w:rPr>
        <w:t xml:space="preserve"> </w:t>
      </w:r>
      <w:r w:rsidRPr="00727324">
        <w:rPr>
          <w:rFonts w:ascii="Bookman Old Style" w:hAnsi="Bookman Old Style"/>
          <w:lang w:val="id-ID"/>
        </w:rPr>
        <w:t>(empat</w:t>
      </w:r>
      <w:r w:rsidR="00A954D0">
        <w:rPr>
          <w:rFonts w:ascii="Bookman Old Style" w:hAnsi="Bookman Old Style"/>
          <w:lang w:val="id-ID"/>
        </w:rPr>
        <w:t xml:space="preserve"> </w:t>
      </w:r>
      <w:r w:rsidRPr="00727324">
        <w:rPr>
          <w:rFonts w:ascii="Bookman Old Style" w:hAnsi="Bookman Old Style"/>
          <w:lang w:val="id-ID"/>
        </w:rPr>
        <w:t>puluh</w:t>
      </w:r>
      <w:r w:rsidR="00A954D0">
        <w:rPr>
          <w:rFonts w:ascii="Bookman Old Style" w:hAnsi="Bookman Old Style"/>
          <w:lang w:val="id-ID"/>
        </w:rPr>
        <w:t xml:space="preserve"> </w:t>
      </w:r>
      <w:r w:rsidRPr="00727324">
        <w:rPr>
          <w:rFonts w:ascii="Bookman Old Style" w:hAnsi="Bookman Old Style"/>
          <w:lang w:val="id-ID"/>
        </w:rPr>
        <w:t>persen)</w:t>
      </w:r>
      <w:r w:rsidR="00A954D0">
        <w:rPr>
          <w:rFonts w:ascii="Bookman Old Style" w:hAnsi="Bookman Old Style"/>
          <w:lang w:val="id-ID"/>
        </w:rPr>
        <w:t xml:space="preserve"> </w:t>
      </w:r>
      <w:r w:rsidRPr="00727324">
        <w:rPr>
          <w:rFonts w:ascii="Bookman Old Style" w:hAnsi="Bookman Old Style"/>
          <w:lang w:val="id-ID"/>
        </w:rPr>
        <w:t>dari</w:t>
      </w:r>
      <w:r w:rsidR="00A954D0">
        <w:rPr>
          <w:rFonts w:ascii="Bookman Old Style" w:hAnsi="Bookman Old Style"/>
          <w:lang w:val="id-ID"/>
        </w:rPr>
        <w:t xml:space="preserve"> </w:t>
      </w:r>
      <w:r w:rsidRPr="00727324">
        <w:rPr>
          <w:rFonts w:ascii="Bookman Old Style" w:hAnsi="Bookman Old Style"/>
          <w:lang w:val="id-ID"/>
        </w:rPr>
        <w:t>total</w:t>
      </w:r>
      <w:r w:rsidR="00A954D0">
        <w:rPr>
          <w:rFonts w:ascii="Bookman Old Style" w:hAnsi="Bookman Old Style"/>
          <w:lang w:val="id-ID"/>
        </w:rPr>
        <w:t xml:space="preserve"> </w:t>
      </w:r>
      <w:r w:rsidRPr="00727324">
        <w:rPr>
          <w:rFonts w:ascii="Bookman Old Style" w:hAnsi="Bookman Old Style"/>
          <w:lang w:val="id-ID"/>
        </w:rPr>
        <w:t>belanja</w:t>
      </w:r>
      <w:r w:rsidR="00A954D0">
        <w:rPr>
          <w:rFonts w:ascii="Bookman Old Style" w:hAnsi="Bookman Old Style"/>
          <w:lang w:val="id-ID"/>
        </w:rPr>
        <w:t xml:space="preserve"> </w:t>
      </w:r>
      <w:r w:rsidRPr="00727324">
        <w:rPr>
          <w:rFonts w:ascii="Bookman Old Style" w:hAnsi="Bookman Old Style"/>
          <w:lang w:val="id-ID"/>
        </w:rPr>
        <w:t>daerah</w:t>
      </w:r>
      <w:r w:rsidR="00A954D0">
        <w:rPr>
          <w:rFonts w:ascii="Bookman Old Style" w:hAnsi="Bookman Old Style"/>
          <w:lang w:val="id-ID"/>
        </w:rPr>
        <w:t xml:space="preserve"> </w:t>
      </w:r>
      <w:r w:rsidRPr="00727324">
        <w:rPr>
          <w:rFonts w:ascii="Bookman Old Style" w:hAnsi="Bookman Old Style"/>
          <w:lang w:val="id-ID"/>
        </w:rPr>
        <w:t>diluar</w:t>
      </w:r>
      <w:r w:rsidR="00A954D0">
        <w:rPr>
          <w:rFonts w:ascii="Bookman Old Style" w:hAnsi="Bookman Old Style"/>
          <w:lang w:val="id-ID"/>
        </w:rPr>
        <w:t xml:space="preserve"> </w:t>
      </w:r>
      <w:r w:rsidRPr="00727324">
        <w:rPr>
          <w:rFonts w:ascii="Bookman Old Style" w:hAnsi="Bookman Old Style"/>
          <w:lang w:val="id-ID"/>
        </w:rPr>
        <w:t>belanja</w:t>
      </w:r>
      <w:r w:rsidR="00A954D0">
        <w:rPr>
          <w:rFonts w:ascii="Bookman Old Style" w:hAnsi="Bookman Old Style"/>
          <w:lang w:val="id-ID"/>
        </w:rPr>
        <w:t xml:space="preserve"> </w:t>
      </w:r>
      <w:r w:rsidRPr="00727324">
        <w:rPr>
          <w:rFonts w:ascii="Bookman Old Style" w:hAnsi="Bookman Old Style"/>
          <w:lang w:val="id-ID"/>
        </w:rPr>
        <w:t>bagi</w:t>
      </w:r>
      <w:r w:rsidR="00A954D0">
        <w:rPr>
          <w:rFonts w:ascii="Bookman Old Style" w:hAnsi="Bookman Old Style"/>
          <w:lang w:val="id-ID"/>
        </w:rPr>
        <w:t xml:space="preserve"> </w:t>
      </w:r>
      <w:r w:rsidRPr="00727324">
        <w:rPr>
          <w:rFonts w:ascii="Bookman Old Style" w:hAnsi="Bookman Old Style"/>
          <w:lang w:val="id-ID"/>
        </w:rPr>
        <w:t>hasil</w:t>
      </w:r>
      <w:r w:rsidR="00A954D0">
        <w:rPr>
          <w:rFonts w:ascii="Bookman Old Style" w:hAnsi="Bookman Old Style"/>
          <w:lang w:val="id-ID"/>
        </w:rPr>
        <w:t xml:space="preserve"> </w:t>
      </w:r>
      <w:r w:rsidRPr="00727324">
        <w:rPr>
          <w:rFonts w:ascii="Bookman Old Style" w:hAnsi="Bookman Old Style"/>
          <w:lang w:val="id-ID"/>
        </w:rPr>
        <w:t>dan/atau</w:t>
      </w:r>
      <w:r w:rsidR="00A954D0">
        <w:rPr>
          <w:rFonts w:ascii="Bookman Old Style" w:hAnsi="Bookman Old Style"/>
          <w:lang w:val="id-ID"/>
        </w:rPr>
        <w:t xml:space="preserve"> </w:t>
      </w:r>
      <w:r w:rsidRPr="00727324">
        <w:rPr>
          <w:rFonts w:ascii="Bookman Old Style" w:hAnsi="Bookman Old Style"/>
          <w:lang w:val="id-ID"/>
        </w:rPr>
        <w:t>transfer</w:t>
      </w:r>
      <w:r w:rsidR="00A954D0">
        <w:rPr>
          <w:rFonts w:ascii="Bookman Old Style" w:hAnsi="Bookman Old Style"/>
          <w:lang w:val="id-ID"/>
        </w:rPr>
        <w:t xml:space="preserve"> </w:t>
      </w:r>
      <w:r w:rsidRPr="00727324">
        <w:rPr>
          <w:rFonts w:ascii="Bookman Old Style" w:hAnsi="Bookman Old Style"/>
          <w:lang w:val="id-ID"/>
        </w:rPr>
        <w:t>kepada</w:t>
      </w:r>
      <w:r w:rsidR="00A954D0">
        <w:rPr>
          <w:rFonts w:ascii="Bookman Old Style" w:hAnsi="Bookman Old Style"/>
          <w:lang w:val="id-ID"/>
        </w:rPr>
        <w:t xml:space="preserve"> </w:t>
      </w:r>
      <w:r w:rsidRPr="00727324">
        <w:rPr>
          <w:rFonts w:ascii="Bookman Old Style" w:hAnsi="Bookman Old Style"/>
          <w:lang w:val="id-ID"/>
        </w:rPr>
        <w:t>daerah</w:t>
      </w:r>
      <w:r w:rsidR="00A954D0">
        <w:rPr>
          <w:rFonts w:ascii="Bookman Old Style" w:hAnsi="Bookman Old Style"/>
          <w:lang w:val="id-ID"/>
        </w:rPr>
        <w:t xml:space="preserve"> </w:t>
      </w:r>
      <w:r w:rsidRPr="00727324">
        <w:rPr>
          <w:rFonts w:ascii="Bookman Old Style" w:hAnsi="Bookman Old Style"/>
          <w:lang w:val="id-ID"/>
        </w:rPr>
        <w:t>dan/atau</w:t>
      </w:r>
      <w:r w:rsidR="00A954D0">
        <w:rPr>
          <w:rFonts w:ascii="Bookman Old Style" w:hAnsi="Bookman Old Style"/>
          <w:lang w:val="id-ID"/>
        </w:rPr>
        <w:t xml:space="preserve"> </w:t>
      </w:r>
      <w:r w:rsidRPr="00727324">
        <w:rPr>
          <w:rFonts w:ascii="Bookman Old Style" w:hAnsi="Bookman Old Style"/>
          <w:lang w:val="id-ID"/>
        </w:rPr>
        <w:t>desa,</w:t>
      </w:r>
      <w:r w:rsidR="00A954D0">
        <w:rPr>
          <w:rFonts w:ascii="Bookman Old Style" w:hAnsi="Bookman Old Style"/>
          <w:lang w:val="id-ID"/>
        </w:rPr>
        <w:t xml:space="preserve"> </w:t>
      </w:r>
      <w:r w:rsidRPr="00727324">
        <w:rPr>
          <w:rFonts w:ascii="Bookman Old Style" w:hAnsi="Bookman Old Style"/>
          <w:lang w:val="id-ID"/>
        </w:rPr>
        <w:t>alokasi</w:t>
      </w:r>
      <w:r w:rsidR="00A954D0">
        <w:rPr>
          <w:rFonts w:ascii="Bookman Old Style" w:hAnsi="Bookman Old Style"/>
          <w:lang w:val="id-ID"/>
        </w:rPr>
        <w:t xml:space="preserve"> </w:t>
      </w:r>
      <w:r w:rsidRPr="00727324">
        <w:rPr>
          <w:rFonts w:ascii="Bookman Old Style" w:hAnsi="Bookman Old Style"/>
          <w:lang w:val="id-ID"/>
        </w:rPr>
        <w:t>anggaran</w:t>
      </w:r>
      <w:r w:rsidR="00A954D0">
        <w:rPr>
          <w:rFonts w:ascii="Bookman Old Style" w:hAnsi="Bookman Old Style"/>
          <w:lang w:val="id-ID"/>
        </w:rPr>
        <w:t xml:space="preserve"> </w:t>
      </w:r>
      <w:r w:rsidRPr="00727324">
        <w:rPr>
          <w:rFonts w:ascii="Bookman Old Style" w:hAnsi="Bookman Old Style"/>
          <w:lang w:val="id-ID"/>
        </w:rPr>
        <w:t>penguatan</w:t>
      </w:r>
      <w:r w:rsidR="00A954D0">
        <w:rPr>
          <w:rFonts w:ascii="Bookman Old Style" w:hAnsi="Bookman Old Style"/>
          <w:lang w:val="id-ID"/>
        </w:rPr>
        <w:t xml:space="preserve"> </w:t>
      </w:r>
      <w:r w:rsidRPr="00727324">
        <w:rPr>
          <w:rFonts w:ascii="Bookman Old Style" w:hAnsi="Bookman Old Style"/>
          <w:lang w:val="id-ID"/>
        </w:rPr>
        <w:t>pembinaan</w:t>
      </w:r>
      <w:r w:rsidR="00A954D0">
        <w:rPr>
          <w:rFonts w:ascii="Bookman Old Style" w:hAnsi="Bookman Old Style"/>
          <w:lang w:val="id-ID"/>
        </w:rPr>
        <w:t xml:space="preserve"> </w:t>
      </w:r>
      <w:r w:rsidRPr="00727324">
        <w:rPr>
          <w:rFonts w:ascii="Bookman Old Style" w:hAnsi="Bookman Old Style"/>
          <w:lang w:val="id-ID"/>
        </w:rPr>
        <w:t>dan</w:t>
      </w:r>
      <w:r w:rsidR="00A954D0">
        <w:rPr>
          <w:rFonts w:ascii="Bookman Old Style" w:hAnsi="Bookman Old Style"/>
          <w:lang w:val="id-ID"/>
        </w:rPr>
        <w:t xml:space="preserve"> </w:t>
      </w:r>
      <w:r w:rsidRPr="00727324">
        <w:rPr>
          <w:rFonts w:ascii="Bookman Old Style" w:hAnsi="Bookman Old Style"/>
          <w:lang w:val="id-ID"/>
        </w:rPr>
        <w:t>pengawasan</w:t>
      </w:r>
      <w:r w:rsidR="00A954D0">
        <w:rPr>
          <w:rFonts w:ascii="Bookman Old Style" w:hAnsi="Bookman Old Style"/>
          <w:lang w:val="id-ID"/>
        </w:rPr>
        <w:t xml:space="preserve"> </w:t>
      </w:r>
      <w:r w:rsidRPr="00727324">
        <w:rPr>
          <w:rFonts w:ascii="Bookman Old Style" w:hAnsi="Bookman Old Style"/>
          <w:lang w:val="id-ID"/>
        </w:rPr>
        <w:t>pada</w:t>
      </w:r>
      <w:r w:rsidR="00A954D0">
        <w:rPr>
          <w:rFonts w:ascii="Bookman Old Style" w:hAnsi="Bookman Old Style"/>
          <w:lang w:val="id-ID"/>
        </w:rPr>
        <w:t xml:space="preserve"> </w:t>
      </w:r>
      <w:r w:rsidRPr="00727324">
        <w:rPr>
          <w:rFonts w:ascii="Bookman Old Style" w:hAnsi="Bookman Old Style"/>
          <w:lang w:val="id-ID"/>
        </w:rPr>
        <w:t>Inspektorat</w:t>
      </w:r>
      <w:r w:rsidR="00A954D0">
        <w:rPr>
          <w:rFonts w:ascii="Bookman Old Style" w:hAnsi="Bookman Old Style"/>
          <w:lang w:val="id-ID"/>
        </w:rPr>
        <w:t xml:space="preserve"> </w:t>
      </w:r>
      <w:r w:rsidRPr="00727324">
        <w:rPr>
          <w:rFonts w:ascii="Bookman Old Style" w:hAnsi="Bookman Old Style"/>
          <w:lang w:val="id-ID"/>
        </w:rPr>
        <w:t>Pemerintah</w:t>
      </w:r>
      <w:r w:rsidR="00A954D0">
        <w:rPr>
          <w:rFonts w:ascii="Bookman Old Style" w:hAnsi="Bookman Old Style"/>
          <w:lang w:val="id-ID"/>
        </w:rPr>
        <w:t xml:space="preserve"> </w:t>
      </w:r>
      <w:r w:rsidRPr="00727324">
        <w:rPr>
          <w:rFonts w:ascii="Bookman Old Style" w:hAnsi="Bookman Old Style"/>
          <w:lang w:val="id-ID"/>
        </w:rPr>
        <w:t>Daerah</w:t>
      </w:r>
      <w:r w:rsidR="00A954D0">
        <w:rPr>
          <w:rFonts w:ascii="Bookman Old Style" w:hAnsi="Bookman Old Style"/>
          <w:lang w:val="id-ID"/>
        </w:rPr>
        <w:t xml:space="preserve"> </w:t>
      </w:r>
      <w:r>
        <w:rPr>
          <w:rFonts w:ascii="Bookman Old Style" w:hAnsi="Bookman Old Style"/>
          <w:lang w:val="fi-FI"/>
        </w:rPr>
        <w:t>Kota</w:t>
      </w:r>
      <w:r w:rsidR="00A954D0">
        <w:rPr>
          <w:rFonts w:ascii="Bookman Old Style" w:hAnsi="Bookman Old Style"/>
          <w:lang w:val="fi-FI"/>
        </w:rPr>
        <w:t xml:space="preserve"> </w:t>
      </w:r>
      <w:r>
        <w:rPr>
          <w:rFonts w:ascii="Bookman Old Style" w:hAnsi="Bookman Old Style"/>
          <w:lang w:val="fi-FI"/>
        </w:rPr>
        <w:t>Tangerang</w:t>
      </w:r>
      <w:r w:rsidR="00A954D0">
        <w:rPr>
          <w:rFonts w:ascii="Bookman Old Style" w:hAnsi="Bookman Old Style"/>
          <w:lang w:val="fi-FI"/>
        </w:rPr>
        <w:t xml:space="preserve"> </w:t>
      </w:r>
      <w:r w:rsidRPr="00727324">
        <w:rPr>
          <w:rFonts w:ascii="Bookman Old Style" w:hAnsi="Bookman Old Style"/>
          <w:lang w:val="id-ID"/>
        </w:rPr>
        <w:t>sekurang-kurangnya</w:t>
      </w:r>
      <w:r w:rsidR="00A954D0">
        <w:rPr>
          <w:rFonts w:ascii="Bookman Old Style" w:hAnsi="Bookman Old Style"/>
          <w:lang w:val="id-ID"/>
        </w:rPr>
        <w:t xml:space="preserve"> </w:t>
      </w:r>
      <w:r w:rsidRPr="00727324">
        <w:rPr>
          <w:rFonts w:ascii="Bookman Old Style" w:hAnsi="Bookman Old Style"/>
          <w:lang w:val="id-ID"/>
        </w:rPr>
        <w:t>0,50%</w:t>
      </w:r>
      <w:r w:rsidR="00A954D0">
        <w:rPr>
          <w:rFonts w:ascii="Bookman Old Style" w:hAnsi="Bookman Old Style"/>
          <w:lang w:val="id-ID"/>
        </w:rPr>
        <w:t xml:space="preserve"> </w:t>
      </w:r>
      <w:r w:rsidRPr="00727324">
        <w:rPr>
          <w:rFonts w:ascii="Bookman Old Style" w:hAnsi="Bookman Old Style"/>
          <w:lang w:val="id-ID"/>
        </w:rPr>
        <w:t>(nol</w:t>
      </w:r>
      <w:r w:rsidR="00A954D0">
        <w:rPr>
          <w:rFonts w:ascii="Bookman Old Style" w:hAnsi="Bookman Old Style"/>
          <w:lang w:val="id-ID"/>
        </w:rPr>
        <w:t xml:space="preserve"> </w:t>
      </w:r>
      <w:r w:rsidRPr="00727324">
        <w:rPr>
          <w:rFonts w:ascii="Bookman Old Style" w:hAnsi="Bookman Old Style"/>
          <w:lang w:val="id-ID"/>
        </w:rPr>
        <w:t>koma</w:t>
      </w:r>
      <w:r w:rsidR="00A954D0">
        <w:rPr>
          <w:rFonts w:ascii="Bookman Old Style" w:hAnsi="Bookman Old Style"/>
          <w:lang w:val="id-ID"/>
        </w:rPr>
        <w:t xml:space="preserve"> </w:t>
      </w:r>
      <w:r w:rsidRPr="00727324">
        <w:rPr>
          <w:rFonts w:ascii="Bookman Old Style" w:hAnsi="Bookman Old Style"/>
          <w:lang w:val="id-ID"/>
        </w:rPr>
        <w:t>lima</w:t>
      </w:r>
      <w:r w:rsidR="00A954D0">
        <w:rPr>
          <w:rFonts w:ascii="Bookman Old Style" w:hAnsi="Bookman Old Style"/>
          <w:lang w:val="id-ID"/>
        </w:rPr>
        <w:t xml:space="preserve"> </w:t>
      </w:r>
      <w:r w:rsidRPr="00727324">
        <w:rPr>
          <w:rFonts w:ascii="Bookman Old Style" w:hAnsi="Bookman Old Style"/>
          <w:lang w:val="id-ID"/>
        </w:rPr>
        <w:t>puluh</w:t>
      </w:r>
      <w:r w:rsidR="00A954D0">
        <w:rPr>
          <w:rFonts w:ascii="Bookman Old Style" w:hAnsi="Bookman Old Style"/>
          <w:lang w:val="id-ID"/>
        </w:rPr>
        <w:t xml:space="preserve"> </w:t>
      </w:r>
      <w:r w:rsidRPr="00727324">
        <w:rPr>
          <w:rFonts w:ascii="Bookman Old Style" w:hAnsi="Bookman Old Style"/>
          <w:lang w:val="id-ID"/>
        </w:rPr>
        <w:t>persen)</w:t>
      </w:r>
      <w:r w:rsidR="00A954D0">
        <w:rPr>
          <w:rFonts w:ascii="Bookman Old Style" w:hAnsi="Bookman Old Style"/>
          <w:lang w:val="id-ID"/>
        </w:rPr>
        <w:t xml:space="preserve"> </w:t>
      </w:r>
      <w:r w:rsidRPr="00727324">
        <w:rPr>
          <w:rFonts w:ascii="Bookman Old Style" w:hAnsi="Bookman Old Style"/>
          <w:lang w:val="id-ID"/>
        </w:rPr>
        <w:t>dari</w:t>
      </w:r>
      <w:r w:rsidR="00A954D0">
        <w:rPr>
          <w:rFonts w:ascii="Bookman Old Style" w:hAnsi="Bookman Old Style"/>
          <w:lang w:val="id-ID"/>
        </w:rPr>
        <w:t xml:space="preserve"> </w:t>
      </w:r>
      <w:r w:rsidRPr="00727324">
        <w:rPr>
          <w:rFonts w:ascii="Bookman Old Style" w:hAnsi="Bookman Old Style"/>
          <w:lang w:val="id-ID"/>
        </w:rPr>
        <w:t>total</w:t>
      </w:r>
      <w:r w:rsidR="00A954D0">
        <w:rPr>
          <w:rFonts w:ascii="Bookman Old Style" w:hAnsi="Bookman Old Style"/>
          <w:lang w:val="id-ID"/>
        </w:rPr>
        <w:t xml:space="preserve"> </w:t>
      </w:r>
      <w:r w:rsidRPr="00727324">
        <w:rPr>
          <w:rFonts w:ascii="Bookman Old Style" w:hAnsi="Bookman Old Style"/>
          <w:lang w:val="id-ID"/>
        </w:rPr>
        <w:t>belanja</w:t>
      </w:r>
      <w:r w:rsidR="00A954D0">
        <w:rPr>
          <w:rFonts w:ascii="Bookman Old Style" w:hAnsi="Bookman Old Style"/>
          <w:lang w:val="id-ID"/>
        </w:rPr>
        <w:t xml:space="preserve"> </w:t>
      </w:r>
      <w:r w:rsidRPr="00727324">
        <w:rPr>
          <w:rFonts w:ascii="Bookman Old Style" w:hAnsi="Bookman Old Style"/>
          <w:lang w:val="id-ID"/>
        </w:rPr>
        <w:t>daerah</w:t>
      </w:r>
      <w:r w:rsidR="00A954D0">
        <w:rPr>
          <w:rFonts w:ascii="Bookman Old Style" w:hAnsi="Bookman Old Style"/>
          <w:lang w:val="id-ID"/>
        </w:rPr>
        <w:t xml:space="preserve"> </w:t>
      </w:r>
      <w:r w:rsidRPr="00727324">
        <w:rPr>
          <w:rFonts w:ascii="Bookman Old Style" w:hAnsi="Bookman Old Style"/>
          <w:lang w:val="id-ID"/>
        </w:rPr>
        <w:t>dan</w:t>
      </w:r>
      <w:r w:rsidR="00A954D0">
        <w:rPr>
          <w:rFonts w:ascii="Bookman Old Style" w:hAnsi="Bookman Old Style"/>
          <w:lang w:val="id-ID"/>
        </w:rPr>
        <w:t xml:space="preserve"> </w:t>
      </w:r>
      <w:r w:rsidRPr="00727324">
        <w:rPr>
          <w:rFonts w:ascii="Bookman Old Style" w:hAnsi="Bookman Old Style"/>
          <w:lang w:val="id-ID"/>
        </w:rPr>
        <w:t>di</w:t>
      </w:r>
      <w:r w:rsidR="00A954D0">
        <w:rPr>
          <w:rFonts w:ascii="Bookman Old Style" w:hAnsi="Bookman Old Style"/>
          <w:lang w:val="id-ID"/>
        </w:rPr>
        <w:t xml:space="preserve"> </w:t>
      </w:r>
      <w:r w:rsidRPr="00727324">
        <w:rPr>
          <w:rFonts w:ascii="Bookman Old Style" w:hAnsi="Bookman Old Style"/>
          <w:lang w:val="id-ID"/>
        </w:rPr>
        <w:t>atas</w:t>
      </w:r>
      <w:r w:rsidR="00A954D0">
        <w:rPr>
          <w:rFonts w:ascii="Bookman Old Style" w:hAnsi="Bookman Old Style"/>
          <w:lang w:val="id-ID"/>
        </w:rPr>
        <w:t xml:space="preserve"> </w:t>
      </w:r>
      <w:r w:rsidRPr="00727324">
        <w:rPr>
          <w:rFonts w:ascii="Bookman Old Style" w:hAnsi="Bookman Old Style"/>
          <w:lang w:val="id-ID"/>
        </w:rPr>
        <w:t>Rp15.000.000.000,00</w:t>
      </w:r>
      <w:r w:rsidR="00A954D0">
        <w:rPr>
          <w:rFonts w:ascii="Bookman Old Style" w:hAnsi="Bookman Old Style"/>
          <w:lang w:val="id-ID"/>
        </w:rPr>
        <w:t xml:space="preserve"> </w:t>
      </w:r>
      <w:r w:rsidRPr="00727324">
        <w:rPr>
          <w:rFonts w:ascii="Bookman Old Style" w:hAnsi="Bookman Old Style"/>
          <w:lang w:val="id-ID"/>
        </w:rPr>
        <w:t>(lima</w:t>
      </w:r>
      <w:r w:rsidR="00A954D0">
        <w:rPr>
          <w:rFonts w:ascii="Bookman Old Style" w:hAnsi="Bookman Old Style"/>
          <w:lang w:val="id-ID"/>
        </w:rPr>
        <w:t xml:space="preserve"> </w:t>
      </w:r>
      <w:r w:rsidRPr="00727324">
        <w:rPr>
          <w:rFonts w:ascii="Bookman Old Style" w:hAnsi="Bookman Old Style"/>
          <w:lang w:val="id-ID"/>
        </w:rPr>
        <w:t>belas</w:t>
      </w:r>
      <w:r w:rsidR="00A954D0">
        <w:rPr>
          <w:rFonts w:ascii="Bookman Old Style" w:hAnsi="Bookman Old Style"/>
          <w:lang w:val="id-ID"/>
        </w:rPr>
        <w:t xml:space="preserve"> </w:t>
      </w:r>
      <w:r w:rsidRPr="00727324">
        <w:rPr>
          <w:rFonts w:ascii="Bookman Old Style" w:hAnsi="Bookman Old Style"/>
          <w:lang w:val="id-ID"/>
        </w:rPr>
        <w:t>miliar</w:t>
      </w:r>
      <w:r w:rsidR="00A954D0">
        <w:rPr>
          <w:rFonts w:ascii="Bookman Old Style" w:hAnsi="Bookman Old Style"/>
          <w:lang w:val="id-ID"/>
        </w:rPr>
        <w:t xml:space="preserve"> </w:t>
      </w:r>
      <w:r w:rsidRPr="00727324">
        <w:rPr>
          <w:rFonts w:ascii="Bookman Old Style" w:hAnsi="Bookman Old Style"/>
          <w:lang w:val="id-ID"/>
        </w:rPr>
        <w:t>rupiah)</w:t>
      </w:r>
      <w:r w:rsidR="00A954D0">
        <w:rPr>
          <w:rFonts w:ascii="Bookman Old Style" w:hAnsi="Bookman Old Style"/>
          <w:lang w:val="id-ID"/>
        </w:rPr>
        <w:t xml:space="preserve"> </w:t>
      </w:r>
      <w:r w:rsidRPr="00727324">
        <w:rPr>
          <w:rFonts w:ascii="Bookman Old Style" w:hAnsi="Bookman Old Style"/>
          <w:lang w:val="id-ID"/>
        </w:rPr>
        <w:t>dari</w:t>
      </w:r>
      <w:r w:rsidR="00A954D0">
        <w:rPr>
          <w:rFonts w:ascii="Bookman Old Style" w:hAnsi="Bookman Old Style"/>
          <w:lang w:val="id-ID"/>
        </w:rPr>
        <w:t xml:space="preserve"> </w:t>
      </w:r>
      <w:r w:rsidRPr="00727324">
        <w:rPr>
          <w:rFonts w:ascii="Bookman Old Style" w:hAnsi="Bookman Old Style"/>
          <w:lang w:val="id-ID"/>
        </w:rPr>
        <w:t>total</w:t>
      </w:r>
      <w:r w:rsidR="00A954D0">
        <w:rPr>
          <w:rFonts w:ascii="Bookman Old Style" w:hAnsi="Bookman Old Style"/>
          <w:lang w:val="id-ID"/>
        </w:rPr>
        <w:t xml:space="preserve"> </w:t>
      </w:r>
      <w:r w:rsidRPr="00727324">
        <w:rPr>
          <w:rFonts w:ascii="Bookman Old Style" w:hAnsi="Bookman Old Style"/>
          <w:lang w:val="id-ID"/>
        </w:rPr>
        <w:t>belanja</w:t>
      </w:r>
      <w:r w:rsidR="00A954D0">
        <w:rPr>
          <w:rFonts w:ascii="Bookman Old Style" w:hAnsi="Bookman Old Style"/>
          <w:lang w:val="id-ID"/>
        </w:rPr>
        <w:t xml:space="preserve"> </w:t>
      </w:r>
      <w:r w:rsidRPr="00727324">
        <w:rPr>
          <w:rFonts w:ascii="Bookman Old Style" w:hAnsi="Bookman Old Style"/>
          <w:lang w:val="id-ID"/>
        </w:rPr>
        <w:t>daerah</w:t>
      </w:r>
      <w:r w:rsidR="00A954D0">
        <w:rPr>
          <w:rFonts w:ascii="Bookman Old Style" w:hAnsi="Bookman Old Style"/>
          <w:lang w:val="id-ID"/>
        </w:rPr>
        <w:t xml:space="preserve"> </w:t>
      </w:r>
      <w:r w:rsidRPr="00727324">
        <w:rPr>
          <w:rFonts w:ascii="Bookman Old Style" w:hAnsi="Bookman Old Style"/>
          <w:lang w:val="id-ID"/>
        </w:rPr>
        <w:t>tidak</w:t>
      </w:r>
      <w:r w:rsidR="00A954D0">
        <w:rPr>
          <w:rFonts w:ascii="Bookman Old Style" w:hAnsi="Bookman Old Style"/>
          <w:lang w:val="id-ID"/>
        </w:rPr>
        <w:t xml:space="preserve"> </w:t>
      </w:r>
      <w:r w:rsidRPr="00727324">
        <w:rPr>
          <w:rFonts w:ascii="Bookman Old Style" w:hAnsi="Bookman Old Style"/>
          <w:lang w:val="id-ID"/>
        </w:rPr>
        <w:t>termasuk</w:t>
      </w:r>
      <w:r w:rsidR="00A954D0">
        <w:rPr>
          <w:rFonts w:ascii="Bookman Old Style" w:hAnsi="Bookman Old Style"/>
          <w:lang w:val="id-ID"/>
        </w:rPr>
        <w:t xml:space="preserve"> </w:t>
      </w:r>
      <w:r w:rsidRPr="00727324">
        <w:rPr>
          <w:rFonts w:ascii="Bookman Old Style" w:hAnsi="Bookman Old Style" w:cs="Arial"/>
          <w:lang w:val="id-ID"/>
        </w:rPr>
        <w:t>belanja</w:t>
      </w:r>
      <w:r w:rsidR="00A954D0">
        <w:rPr>
          <w:rFonts w:ascii="Bookman Old Style" w:hAnsi="Bookman Old Style" w:cs="Arial"/>
          <w:lang w:val="id-ID"/>
        </w:rPr>
        <w:t xml:space="preserve"> </w:t>
      </w:r>
      <w:r w:rsidRPr="00727324">
        <w:rPr>
          <w:rFonts w:ascii="Bookman Old Style" w:hAnsi="Bookman Old Style" w:cs="Arial"/>
          <w:lang w:val="id-ID"/>
        </w:rPr>
        <w:t>gaji</w:t>
      </w:r>
      <w:r w:rsidR="00A954D0">
        <w:rPr>
          <w:rFonts w:ascii="Bookman Old Style" w:hAnsi="Bookman Old Style" w:cs="Arial"/>
          <w:lang w:val="id-ID"/>
        </w:rPr>
        <w:t xml:space="preserve"> </w:t>
      </w:r>
      <w:r w:rsidRPr="00727324">
        <w:rPr>
          <w:rFonts w:ascii="Bookman Old Style" w:hAnsi="Bookman Old Style" w:cs="Arial"/>
          <w:lang w:val="id-ID"/>
        </w:rPr>
        <w:t>dan</w:t>
      </w:r>
      <w:r w:rsidR="00A954D0">
        <w:rPr>
          <w:rFonts w:ascii="Bookman Old Style" w:hAnsi="Bookman Old Style" w:cs="Arial"/>
          <w:lang w:val="id-ID"/>
        </w:rPr>
        <w:t xml:space="preserve"> </w:t>
      </w:r>
      <w:r w:rsidRPr="00727324">
        <w:rPr>
          <w:rFonts w:ascii="Bookman Old Style" w:hAnsi="Bookman Old Style" w:cs="Arial"/>
          <w:lang w:val="id-ID"/>
        </w:rPr>
        <w:t>tunjangan</w:t>
      </w:r>
      <w:r w:rsidR="00A954D0">
        <w:rPr>
          <w:rFonts w:ascii="Bookman Old Style" w:hAnsi="Bookman Old Style" w:cs="Arial"/>
          <w:lang w:val="id-ID"/>
        </w:rPr>
        <w:t xml:space="preserve"> </w:t>
      </w:r>
      <w:r w:rsidRPr="00727324">
        <w:rPr>
          <w:rFonts w:ascii="Bookman Old Style" w:hAnsi="Bookman Old Style" w:cs="Arial"/>
          <w:lang w:val="id-ID"/>
        </w:rPr>
        <w:t>pada</w:t>
      </w:r>
      <w:r w:rsidR="00A954D0">
        <w:rPr>
          <w:rFonts w:ascii="Bookman Old Style" w:hAnsi="Bookman Old Style" w:cs="Arial"/>
          <w:lang w:val="id-ID"/>
        </w:rPr>
        <w:t xml:space="preserve"> </w:t>
      </w:r>
      <w:r w:rsidRPr="00727324">
        <w:rPr>
          <w:rFonts w:ascii="Bookman Old Style" w:hAnsi="Bookman Old Style" w:cs="Arial"/>
          <w:lang w:val="id-ID"/>
        </w:rPr>
        <w:t>SKPD</w:t>
      </w:r>
      <w:r w:rsidR="00A954D0">
        <w:rPr>
          <w:rFonts w:ascii="Bookman Old Style" w:hAnsi="Bookman Old Style" w:cs="Arial"/>
          <w:lang w:val="id-ID"/>
        </w:rPr>
        <w:t xml:space="preserve"> </w:t>
      </w:r>
      <w:r w:rsidRPr="00727324">
        <w:rPr>
          <w:rFonts w:ascii="Bookman Old Style" w:hAnsi="Bookman Old Style" w:cs="Arial"/>
          <w:lang w:val="id-ID"/>
        </w:rPr>
        <w:t>Inspektorat</w:t>
      </w:r>
      <w:r w:rsidRPr="00727324">
        <w:rPr>
          <w:rFonts w:ascii="Bookman Old Style" w:hAnsi="Bookman Old Style"/>
          <w:lang w:val="id-ID"/>
        </w:rPr>
        <w:t>,</w:t>
      </w:r>
      <w:r w:rsidR="00A954D0">
        <w:rPr>
          <w:rFonts w:ascii="Bookman Old Style" w:hAnsi="Bookman Old Style"/>
          <w:lang w:val="id-ID"/>
        </w:rPr>
        <w:t xml:space="preserve"> </w:t>
      </w:r>
      <w:r w:rsidRPr="00727324">
        <w:rPr>
          <w:rFonts w:ascii="Bookman Old Style" w:hAnsi="Bookman Old Style"/>
          <w:lang w:val="id-ID"/>
        </w:rPr>
        <w:t>dan</w:t>
      </w:r>
      <w:r w:rsidR="00A954D0">
        <w:rPr>
          <w:rFonts w:ascii="Bookman Old Style" w:hAnsi="Bookman Old Style"/>
          <w:lang w:val="id-ID"/>
        </w:rPr>
        <w:t xml:space="preserve"> </w:t>
      </w:r>
      <w:r w:rsidRPr="00727324">
        <w:rPr>
          <w:rFonts w:ascii="Bookman Old Style" w:hAnsi="Bookman Old Style"/>
          <w:lang w:val="id-ID"/>
        </w:rPr>
        <w:t>alokasi</w:t>
      </w:r>
      <w:r w:rsidR="00A954D0">
        <w:rPr>
          <w:rFonts w:ascii="Bookman Old Style" w:hAnsi="Bookman Old Style"/>
          <w:lang w:val="id-ID"/>
        </w:rPr>
        <w:t xml:space="preserve"> </w:t>
      </w:r>
      <w:r w:rsidRPr="00727324">
        <w:rPr>
          <w:rFonts w:ascii="Bookman Old Style" w:hAnsi="Bookman Old Style"/>
          <w:lang w:val="id-ID"/>
        </w:rPr>
        <w:t>anggaran</w:t>
      </w:r>
      <w:r w:rsidR="00A954D0">
        <w:rPr>
          <w:rFonts w:ascii="Bookman Old Style" w:hAnsi="Bookman Old Style"/>
          <w:lang w:val="id-ID"/>
        </w:rPr>
        <w:t xml:space="preserve"> </w:t>
      </w:r>
      <w:r w:rsidRPr="00727324">
        <w:rPr>
          <w:rFonts w:ascii="Bookman Old Style" w:hAnsi="Bookman Old Style"/>
          <w:lang w:val="id-ID"/>
        </w:rPr>
        <w:t>untuk</w:t>
      </w:r>
      <w:r w:rsidR="00A954D0">
        <w:rPr>
          <w:rFonts w:ascii="Bookman Old Style" w:hAnsi="Bookman Old Style"/>
          <w:lang w:val="id-ID"/>
        </w:rPr>
        <w:t xml:space="preserve"> </w:t>
      </w:r>
      <w:r w:rsidRPr="00727324">
        <w:rPr>
          <w:rFonts w:ascii="Bookman Old Style" w:hAnsi="Bookman Old Style"/>
          <w:lang w:val="id-ID"/>
        </w:rPr>
        <w:lastRenderedPageBreak/>
        <w:t>pendidikan</w:t>
      </w:r>
      <w:r w:rsidR="00A954D0">
        <w:rPr>
          <w:rFonts w:ascii="Bookman Old Style" w:hAnsi="Bookman Old Style"/>
          <w:lang w:val="id-ID"/>
        </w:rPr>
        <w:t xml:space="preserve"> </w:t>
      </w:r>
      <w:r w:rsidRPr="00727324">
        <w:rPr>
          <w:rFonts w:ascii="Bookman Old Style" w:hAnsi="Bookman Old Style"/>
          <w:lang w:val="id-ID"/>
        </w:rPr>
        <w:t>dan</w:t>
      </w:r>
      <w:r w:rsidR="00A954D0">
        <w:rPr>
          <w:rFonts w:ascii="Bookman Old Style" w:hAnsi="Bookman Old Style"/>
          <w:lang w:val="id-ID"/>
        </w:rPr>
        <w:t xml:space="preserve"> </w:t>
      </w:r>
      <w:r w:rsidRPr="00727324">
        <w:rPr>
          <w:rFonts w:ascii="Bookman Old Style" w:hAnsi="Bookman Old Style"/>
          <w:lang w:val="id-ID"/>
        </w:rPr>
        <w:t>pelatihan</w:t>
      </w:r>
      <w:r w:rsidR="00A954D0">
        <w:rPr>
          <w:rFonts w:ascii="Bookman Old Style" w:hAnsi="Bookman Old Style"/>
          <w:lang w:val="id-ID"/>
        </w:rPr>
        <w:t xml:space="preserve"> </w:t>
      </w:r>
      <w:r w:rsidRPr="00727324">
        <w:rPr>
          <w:rFonts w:ascii="Bookman Old Style" w:hAnsi="Bookman Old Style"/>
          <w:lang w:val="id-ID"/>
        </w:rPr>
        <w:t>bagi</w:t>
      </w:r>
      <w:r w:rsidR="00A954D0">
        <w:rPr>
          <w:rFonts w:ascii="Bookman Old Style" w:hAnsi="Bookman Old Style"/>
          <w:lang w:val="id-ID"/>
        </w:rPr>
        <w:t xml:space="preserve"> </w:t>
      </w:r>
      <w:r w:rsidRPr="00727324">
        <w:rPr>
          <w:rFonts w:ascii="Bookman Old Style" w:hAnsi="Bookman Old Style"/>
          <w:lang w:val="id-ID"/>
        </w:rPr>
        <w:t>ASN</w:t>
      </w:r>
      <w:r w:rsidR="00A954D0">
        <w:rPr>
          <w:rFonts w:ascii="Bookman Old Style" w:hAnsi="Bookman Old Style"/>
          <w:lang w:val="id-ID"/>
        </w:rPr>
        <w:t xml:space="preserve"> </w:t>
      </w:r>
      <w:r w:rsidRPr="00727324">
        <w:rPr>
          <w:rFonts w:ascii="Bookman Old Style" w:hAnsi="Bookman Old Style"/>
          <w:lang w:val="id-ID"/>
        </w:rPr>
        <w:t>dalam</w:t>
      </w:r>
      <w:r w:rsidR="00A954D0">
        <w:rPr>
          <w:rFonts w:ascii="Bookman Old Style" w:hAnsi="Bookman Old Style"/>
          <w:lang w:val="id-ID"/>
        </w:rPr>
        <w:t xml:space="preserve"> </w:t>
      </w:r>
      <w:r w:rsidRPr="00727324">
        <w:rPr>
          <w:rFonts w:ascii="Bookman Old Style" w:hAnsi="Bookman Old Style"/>
          <w:lang w:val="id-ID"/>
        </w:rPr>
        <w:t>rangka</w:t>
      </w:r>
      <w:r w:rsidR="00A954D0">
        <w:rPr>
          <w:rFonts w:ascii="Bookman Old Style" w:hAnsi="Bookman Old Style"/>
          <w:lang w:val="id-ID"/>
        </w:rPr>
        <w:t xml:space="preserve"> </w:t>
      </w:r>
      <w:r w:rsidRPr="00727324">
        <w:rPr>
          <w:rFonts w:ascii="Bookman Old Style" w:hAnsi="Bookman Old Style"/>
          <w:lang w:val="id-ID"/>
        </w:rPr>
        <w:t>pengembangan</w:t>
      </w:r>
      <w:r w:rsidR="00A954D0">
        <w:rPr>
          <w:rFonts w:ascii="Bookman Old Style" w:hAnsi="Bookman Old Style"/>
          <w:lang w:val="id-ID"/>
        </w:rPr>
        <w:t xml:space="preserve"> </w:t>
      </w:r>
      <w:r w:rsidRPr="00727324">
        <w:rPr>
          <w:rFonts w:ascii="Bookman Old Style" w:hAnsi="Bookman Old Style"/>
          <w:lang w:val="id-ID"/>
        </w:rPr>
        <w:t>kompetensi</w:t>
      </w:r>
      <w:r w:rsidR="00A954D0">
        <w:rPr>
          <w:rFonts w:ascii="Bookman Old Style" w:hAnsi="Bookman Old Style"/>
          <w:lang w:val="id-ID"/>
        </w:rPr>
        <w:t xml:space="preserve"> </w:t>
      </w:r>
      <w:r w:rsidRPr="00727324">
        <w:rPr>
          <w:rFonts w:ascii="Bookman Old Style" w:hAnsi="Bookman Old Style"/>
          <w:lang w:val="id-ID"/>
        </w:rPr>
        <w:t>penyelenggara</w:t>
      </w:r>
      <w:r w:rsidR="00A954D0">
        <w:rPr>
          <w:rFonts w:ascii="Bookman Old Style" w:hAnsi="Bookman Old Style"/>
          <w:lang w:val="id-ID"/>
        </w:rPr>
        <w:t xml:space="preserve"> </w:t>
      </w:r>
      <w:r w:rsidRPr="00727324">
        <w:rPr>
          <w:rFonts w:ascii="Bookman Old Style" w:hAnsi="Bookman Old Style"/>
          <w:lang w:val="id-ID"/>
        </w:rPr>
        <w:t>Pemerintah</w:t>
      </w:r>
      <w:r w:rsidR="00A954D0">
        <w:rPr>
          <w:rFonts w:ascii="Bookman Old Style" w:hAnsi="Bookman Old Style"/>
          <w:lang w:val="id-ID"/>
        </w:rPr>
        <w:t xml:space="preserve"> </w:t>
      </w:r>
      <w:r w:rsidRPr="00727324">
        <w:rPr>
          <w:rFonts w:ascii="Bookman Old Style" w:hAnsi="Bookman Old Style"/>
          <w:lang w:val="id-ID"/>
        </w:rPr>
        <w:t>Daerah,</w:t>
      </w:r>
      <w:r w:rsidR="00A954D0">
        <w:rPr>
          <w:rFonts w:ascii="Bookman Old Style" w:hAnsi="Bookman Old Style"/>
          <w:lang w:val="id-ID"/>
        </w:rPr>
        <w:t xml:space="preserve"> </w:t>
      </w:r>
      <w:r w:rsidRPr="00727324">
        <w:rPr>
          <w:rFonts w:ascii="Bookman Old Style" w:hAnsi="Bookman Old Style"/>
          <w:lang w:val="id-ID"/>
        </w:rPr>
        <w:t>paling</w:t>
      </w:r>
      <w:r w:rsidR="00A954D0">
        <w:rPr>
          <w:rFonts w:ascii="Bookman Old Style" w:hAnsi="Bookman Old Style"/>
          <w:lang w:val="id-ID"/>
        </w:rPr>
        <w:t xml:space="preserve"> </w:t>
      </w:r>
      <w:r w:rsidRPr="00727324">
        <w:rPr>
          <w:rFonts w:ascii="Bookman Old Style" w:hAnsi="Bookman Old Style"/>
          <w:lang w:val="id-ID"/>
        </w:rPr>
        <w:t>sedikit</w:t>
      </w:r>
      <w:r w:rsidR="00A954D0">
        <w:rPr>
          <w:rFonts w:ascii="Bookman Old Style" w:hAnsi="Bookman Old Style"/>
          <w:lang w:val="id-ID"/>
        </w:rPr>
        <w:t xml:space="preserve"> </w:t>
      </w:r>
      <w:r w:rsidRPr="00727324">
        <w:rPr>
          <w:rFonts w:ascii="Bookman Old Style" w:hAnsi="Bookman Old Style"/>
          <w:lang w:val="id-ID"/>
        </w:rPr>
        <w:t>0,16%</w:t>
      </w:r>
      <w:r w:rsidR="00A954D0">
        <w:rPr>
          <w:rFonts w:ascii="Bookman Old Style" w:hAnsi="Bookman Old Style"/>
          <w:lang w:val="id-ID"/>
        </w:rPr>
        <w:t xml:space="preserve"> </w:t>
      </w:r>
      <w:r w:rsidRPr="00727324">
        <w:rPr>
          <w:rFonts w:ascii="Bookman Old Style" w:hAnsi="Bookman Old Style"/>
          <w:lang w:val="id-ID"/>
        </w:rPr>
        <w:t>(nol</w:t>
      </w:r>
      <w:r w:rsidR="00A954D0">
        <w:rPr>
          <w:rFonts w:ascii="Bookman Old Style" w:hAnsi="Bookman Old Style"/>
          <w:lang w:val="id-ID"/>
        </w:rPr>
        <w:t xml:space="preserve"> </w:t>
      </w:r>
      <w:r w:rsidRPr="00727324">
        <w:rPr>
          <w:rFonts w:ascii="Bookman Old Style" w:hAnsi="Bookman Old Style"/>
          <w:lang w:val="id-ID"/>
        </w:rPr>
        <w:t>koma</w:t>
      </w:r>
      <w:r w:rsidR="00A954D0">
        <w:rPr>
          <w:rFonts w:ascii="Bookman Old Style" w:hAnsi="Bookman Old Style"/>
          <w:lang w:val="id-ID"/>
        </w:rPr>
        <w:t xml:space="preserve"> </w:t>
      </w:r>
      <w:r w:rsidRPr="00727324">
        <w:rPr>
          <w:rFonts w:ascii="Bookman Old Style" w:hAnsi="Bookman Old Style"/>
          <w:lang w:val="id-ID"/>
        </w:rPr>
        <w:t>enam</w:t>
      </w:r>
      <w:r w:rsidR="00A954D0">
        <w:rPr>
          <w:rFonts w:ascii="Bookman Old Style" w:hAnsi="Bookman Old Style"/>
          <w:lang w:val="id-ID"/>
        </w:rPr>
        <w:t xml:space="preserve"> </w:t>
      </w:r>
      <w:r w:rsidRPr="00727324">
        <w:rPr>
          <w:rFonts w:ascii="Bookman Old Style" w:hAnsi="Bookman Old Style"/>
          <w:lang w:val="id-ID"/>
        </w:rPr>
        <w:t>belas</w:t>
      </w:r>
      <w:r w:rsidR="00A954D0">
        <w:rPr>
          <w:rFonts w:ascii="Bookman Old Style" w:hAnsi="Bookman Old Style"/>
          <w:lang w:val="id-ID"/>
        </w:rPr>
        <w:t xml:space="preserve"> </w:t>
      </w:r>
      <w:r w:rsidRPr="00727324">
        <w:rPr>
          <w:rFonts w:ascii="Bookman Old Style" w:hAnsi="Bookman Old Style"/>
          <w:lang w:val="id-ID"/>
        </w:rPr>
        <w:t>persen)</w:t>
      </w:r>
      <w:r w:rsidR="00A954D0">
        <w:rPr>
          <w:rFonts w:ascii="Bookman Old Style" w:hAnsi="Bookman Old Style"/>
          <w:lang w:val="id-ID"/>
        </w:rPr>
        <w:t xml:space="preserve"> </w:t>
      </w:r>
      <w:r w:rsidRPr="00727324">
        <w:rPr>
          <w:rFonts w:ascii="Bookman Old Style" w:hAnsi="Bookman Old Style"/>
          <w:lang w:val="id-ID"/>
        </w:rPr>
        <w:t>dari</w:t>
      </w:r>
      <w:r w:rsidR="00A954D0">
        <w:rPr>
          <w:rFonts w:ascii="Bookman Old Style" w:hAnsi="Bookman Old Style"/>
          <w:lang w:val="id-ID"/>
        </w:rPr>
        <w:t xml:space="preserve"> </w:t>
      </w:r>
      <w:r w:rsidRPr="00727324">
        <w:rPr>
          <w:rFonts w:ascii="Bookman Old Style" w:hAnsi="Bookman Old Style"/>
          <w:lang w:val="id-ID"/>
        </w:rPr>
        <w:t>total</w:t>
      </w:r>
      <w:r w:rsidR="00A954D0">
        <w:rPr>
          <w:rFonts w:ascii="Bookman Old Style" w:hAnsi="Bookman Old Style"/>
          <w:lang w:val="id-ID"/>
        </w:rPr>
        <w:t xml:space="preserve"> </w:t>
      </w:r>
      <w:r w:rsidRPr="00727324">
        <w:rPr>
          <w:rFonts w:ascii="Bookman Old Style" w:hAnsi="Bookman Old Style"/>
          <w:lang w:val="id-ID"/>
        </w:rPr>
        <w:t>belanja</w:t>
      </w:r>
      <w:r w:rsidR="00A954D0">
        <w:rPr>
          <w:rFonts w:ascii="Bookman Old Style" w:hAnsi="Bookman Old Style"/>
          <w:lang w:val="id-ID"/>
        </w:rPr>
        <w:t xml:space="preserve"> </w:t>
      </w:r>
      <w:r w:rsidRPr="00727324">
        <w:rPr>
          <w:rFonts w:ascii="Bookman Old Style" w:hAnsi="Bookman Old Style"/>
          <w:lang w:val="id-ID"/>
        </w:rPr>
        <w:t>daerah</w:t>
      </w:r>
      <w:r w:rsidR="00A954D0">
        <w:rPr>
          <w:rFonts w:ascii="Bookman Old Style" w:hAnsi="Bookman Old Style" w:cs="Arial"/>
          <w:lang w:val="id-ID"/>
        </w:rPr>
        <w:t xml:space="preserve"> </w:t>
      </w:r>
      <w:r w:rsidRPr="00727324">
        <w:rPr>
          <w:rFonts w:ascii="Bookman Old Style" w:hAnsi="Bookman Old Style" w:cs="Arial"/>
          <w:lang w:val="id-ID"/>
        </w:rPr>
        <w:t>diluar</w:t>
      </w:r>
      <w:r w:rsidR="00A954D0">
        <w:rPr>
          <w:rFonts w:ascii="Bookman Old Style" w:hAnsi="Bookman Old Style" w:cs="Arial"/>
          <w:lang w:val="id-ID"/>
        </w:rPr>
        <w:t xml:space="preserve"> </w:t>
      </w:r>
      <w:r w:rsidRPr="00727324">
        <w:rPr>
          <w:rFonts w:ascii="Bookman Old Style" w:hAnsi="Bookman Old Style" w:cs="Arial"/>
          <w:lang w:val="id-ID"/>
        </w:rPr>
        <w:t>belanja</w:t>
      </w:r>
      <w:r w:rsidR="00A954D0">
        <w:rPr>
          <w:rFonts w:ascii="Bookman Old Style" w:hAnsi="Bookman Old Style" w:cs="Arial"/>
          <w:lang w:val="id-ID"/>
        </w:rPr>
        <w:t xml:space="preserve"> </w:t>
      </w:r>
      <w:r w:rsidRPr="00727324">
        <w:rPr>
          <w:rFonts w:ascii="Bookman Old Style" w:hAnsi="Bookman Old Style" w:cs="Arial"/>
          <w:lang w:val="id-ID"/>
        </w:rPr>
        <w:t>pegawai</w:t>
      </w:r>
      <w:r w:rsidR="00A954D0">
        <w:rPr>
          <w:rFonts w:ascii="Bookman Old Style" w:hAnsi="Bookman Old Style" w:cs="Arial"/>
          <w:lang w:val="id-ID"/>
        </w:rPr>
        <w:t xml:space="preserve"> </w:t>
      </w:r>
      <w:r w:rsidRPr="00727324">
        <w:rPr>
          <w:rFonts w:ascii="Bookman Old Style" w:hAnsi="Bookman Old Style" w:cs="Arial"/>
          <w:lang w:val="id-ID"/>
        </w:rPr>
        <w:t>dan</w:t>
      </w:r>
      <w:r w:rsidR="00A954D0">
        <w:rPr>
          <w:rFonts w:ascii="Bookman Old Style" w:hAnsi="Bookman Old Style" w:cs="Arial"/>
          <w:lang w:val="id-ID"/>
        </w:rPr>
        <w:t xml:space="preserve"> </w:t>
      </w:r>
      <w:r w:rsidRPr="00727324">
        <w:rPr>
          <w:rFonts w:ascii="Bookman Old Style" w:hAnsi="Bookman Old Style" w:cs="Arial"/>
          <w:lang w:val="id-ID"/>
        </w:rPr>
        <w:t>belanja</w:t>
      </w:r>
      <w:r w:rsidR="00A954D0">
        <w:rPr>
          <w:rFonts w:ascii="Bookman Old Style" w:hAnsi="Bookman Old Style" w:cs="Arial"/>
          <w:lang w:val="id-ID"/>
        </w:rPr>
        <w:t xml:space="preserve"> </w:t>
      </w:r>
      <w:r w:rsidRPr="00727324">
        <w:rPr>
          <w:rFonts w:ascii="Bookman Old Style" w:hAnsi="Bookman Old Style" w:cs="Arial"/>
          <w:lang w:val="id-ID"/>
        </w:rPr>
        <w:t>pemeliharaan</w:t>
      </w:r>
      <w:r w:rsidR="00A954D0" w:rsidRPr="003255BC">
        <w:rPr>
          <w:rFonts w:ascii="Bookman Old Style" w:hAnsi="Bookman Old Style" w:cs="Arial"/>
          <w:lang w:val="id-ID"/>
        </w:rPr>
        <w:t xml:space="preserve"> </w:t>
      </w:r>
      <w:r w:rsidRPr="003255BC">
        <w:rPr>
          <w:rFonts w:ascii="Bookman Old Style" w:hAnsi="Bookman Old Style" w:cs="Arial"/>
          <w:lang w:val="id-ID"/>
        </w:rPr>
        <w:t>pada</w:t>
      </w:r>
      <w:r w:rsidR="00A954D0" w:rsidRPr="003255BC">
        <w:rPr>
          <w:rFonts w:ascii="Bookman Old Style" w:hAnsi="Bookman Old Style" w:cs="Arial"/>
          <w:lang w:val="id-ID"/>
        </w:rPr>
        <w:t xml:space="preserve"> </w:t>
      </w:r>
      <w:r w:rsidRPr="003255BC">
        <w:rPr>
          <w:rFonts w:ascii="Bookman Old Style" w:hAnsi="Bookman Old Style" w:cs="Arial"/>
          <w:lang w:val="id-ID"/>
        </w:rPr>
        <w:t>SKPD</w:t>
      </w:r>
      <w:r w:rsidR="00A954D0" w:rsidRPr="003255BC">
        <w:rPr>
          <w:rFonts w:ascii="Bookman Old Style" w:hAnsi="Bookman Old Style" w:cs="Arial"/>
          <w:lang w:val="id-ID"/>
        </w:rPr>
        <w:t xml:space="preserve"> </w:t>
      </w:r>
      <w:r w:rsidRPr="003255BC">
        <w:rPr>
          <w:rFonts w:ascii="Bookman Old Style" w:hAnsi="Bookman Old Style" w:cs="Arial"/>
          <w:lang w:val="id-ID"/>
        </w:rPr>
        <w:t>yang</w:t>
      </w:r>
      <w:r w:rsidR="00A954D0" w:rsidRPr="003255BC">
        <w:rPr>
          <w:rFonts w:ascii="Bookman Old Style" w:hAnsi="Bookman Old Style" w:cs="Arial"/>
          <w:lang w:val="id-ID"/>
        </w:rPr>
        <w:t xml:space="preserve"> </w:t>
      </w:r>
      <w:r w:rsidRPr="003255BC">
        <w:rPr>
          <w:rFonts w:ascii="Bookman Old Style" w:hAnsi="Bookman Old Style" w:cs="Arial"/>
          <w:lang w:val="id-ID"/>
        </w:rPr>
        <w:t>menyelenggarakan</w:t>
      </w:r>
      <w:r w:rsidR="00A954D0" w:rsidRPr="003255BC">
        <w:rPr>
          <w:rFonts w:ascii="Bookman Old Style" w:hAnsi="Bookman Old Style" w:cs="Arial"/>
          <w:lang w:val="id-ID"/>
        </w:rPr>
        <w:t xml:space="preserve"> </w:t>
      </w:r>
      <w:r w:rsidRPr="003255BC">
        <w:rPr>
          <w:rFonts w:ascii="Bookman Old Style" w:hAnsi="Bookman Old Style" w:cs="Arial"/>
          <w:lang w:val="id-ID"/>
        </w:rPr>
        <w:t>unsur</w:t>
      </w:r>
      <w:r w:rsidR="00A954D0" w:rsidRPr="003255BC">
        <w:rPr>
          <w:rFonts w:ascii="Bookman Old Style" w:hAnsi="Bookman Old Style" w:cs="Arial"/>
          <w:lang w:val="id-ID"/>
        </w:rPr>
        <w:t xml:space="preserve"> </w:t>
      </w:r>
      <w:r w:rsidRPr="003255BC">
        <w:rPr>
          <w:rFonts w:ascii="Bookman Old Style" w:hAnsi="Bookman Old Style" w:cs="Arial"/>
          <w:lang w:val="id-ID"/>
        </w:rPr>
        <w:t>penunjang</w:t>
      </w:r>
      <w:r w:rsidR="00A954D0" w:rsidRPr="003255BC">
        <w:rPr>
          <w:rFonts w:ascii="Bookman Old Style" w:hAnsi="Bookman Old Style" w:cs="Arial"/>
          <w:lang w:val="id-ID"/>
        </w:rPr>
        <w:t xml:space="preserve"> </w:t>
      </w:r>
      <w:r w:rsidRPr="003255BC">
        <w:rPr>
          <w:rFonts w:ascii="Bookman Old Style" w:hAnsi="Bookman Old Style" w:cs="Arial"/>
          <w:lang w:val="id-ID"/>
        </w:rPr>
        <w:t>di</w:t>
      </w:r>
      <w:r w:rsidR="00A954D0" w:rsidRPr="003255BC">
        <w:rPr>
          <w:rFonts w:ascii="Bookman Old Style" w:hAnsi="Bookman Old Style" w:cs="Arial"/>
          <w:lang w:val="id-ID"/>
        </w:rPr>
        <w:t xml:space="preserve"> </w:t>
      </w:r>
      <w:r w:rsidRPr="003255BC">
        <w:rPr>
          <w:rFonts w:ascii="Bookman Old Style" w:hAnsi="Bookman Old Style" w:cs="Arial"/>
          <w:lang w:val="id-ID"/>
        </w:rPr>
        <w:t>bidang</w:t>
      </w:r>
      <w:r w:rsidR="00A954D0" w:rsidRPr="003255BC">
        <w:rPr>
          <w:rFonts w:ascii="Bookman Old Style" w:hAnsi="Bookman Old Style" w:cs="Arial"/>
          <w:lang w:val="id-ID"/>
        </w:rPr>
        <w:t xml:space="preserve"> </w:t>
      </w:r>
      <w:r w:rsidRPr="003255BC">
        <w:rPr>
          <w:rFonts w:ascii="Bookman Old Style" w:hAnsi="Bookman Old Style" w:cs="Arial"/>
          <w:lang w:val="id-ID"/>
        </w:rPr>
        <w:t>pendidikan</w:t>
      </w:r>
      <w:r w:rsidR="00A954D0" w:rsidRPr="003255BC">
        <w:rPr>
          <w:rFonts w:ascii="Bookman Old Style" w:hAnsi="Bookman Old Style" w:cs="Arial"/>
          <w:lang w:val="id-ID"/>
        </w:rPr>
        <w:t xml:space="preserve"> </w:t>
      </w:r>
      <w:r w:rsidRPr="003255BC">
        <w:rPr>
          <w:rFonts w:ascii="Bookman Old Style" w:hAnsi="Bookman Old Style" w:cs="Arial"/>
          <w:lang w:val="id-ID"/>
        </w:rPr>
        <w:t>dan</w:t>
      </w:r>
      <w:r w:rsidR="00A954D0" w:rsidRPr="003255BC">
        <w:rPr>
          <w:rFonts w:ascii="Bookman Old Style" w:hAnsi="Bookman Old Style" w:cs="Arial"/>
          <w:lang w:val="id-ID"/>
        </w:rPr>
        <w:t xml:space="preserve"> </w:t>
      </w:r>
      <w:r w:rsidRPr="003255BC">
        <w:rPr>
          <w:rFonts w:ascii="Bookman Old Style" w:hAnsi="Bookman Old Style" w:cs="Arial"/>
          <w:lang w:val="id-ID"/>
        </w:rPr>
        <w:t>pelatihan</w:t>
      </w:r>
      <w:r w:rsidRPr="00727324">
        <w:rPr>
          <w:rFonts w:ascii="Bookman Old Style" w:hAnsi="Bookman Old Style" w:cs="Arial"/>
          <w:lang w:val="id-ID"/>
        </w:rPr>
        <w:t>,</w:t>
      </w:r>
      <w:r w:rsidR="00A954D0">
        <w:rPr>
          <w:rFonts w:ascii="Bookman Old Style" w:hAnsi="Bookman Old Style" w:cs="Arial"/>
          <w:lang w:val="id-ID"/>
        </w:rPr>
        <w:t xml:space="preserve"> </w:t>
      </w:r>
      <w:r w:rsidRPr="00727324">
        <w:rPr>
          <w:rFonts w:ascii="Bookman Old Style" w:hAnsi="Bookman Old Style" w:cs="Arial"/>
          <w:lang w:val="de-DE"/>
        </w:rPr>
        <w:t>memenuhi</w:t>
      </w:r>
      <w:r w:rsidR="00A954D0">
        <w:rPr>
          <w:rFonts w:ascii="Bookman Old Style" w:hAnsi="Bookman Old Style" w:cs="Arial"/>
          <w:lang w:val="de-DE"/>
        </w:rPr>
        <w:t xml:space="preserve"> </w:t>
      </w:r>
      <w:r w:rsidRPr="00727324">
        <w:rPr>
          <w:rFonts w:ascii="Bookman Old Style" w:hAnsi="Bookman Old Style" w:cs="Arial"/>
          <w:lang w:val="de-DE"/>
        </w:rPr>
        <w:t>alokasi</w:t>
      </w:r>
      <w:r w:rsidR="00A954D0">
        <w:rPr>
          <w:rFonts w:ascii="Bookman Old Style" w:hAnsi="Bookman Old Style" w:cs="Arial"/>
          <w:lang w:val="id-ID"/>
        </w:rPr>
        <w:t xml:space="preserve"> </w:t>
      </w:r>
      <w:r w:rsidRPr="00727324">
        <w:rPr>
          <w:rFonts w:ascii="Bookman Old Style" w:hAnsi="Bookman Old Style" w:cs="Arial"/>
          <w:lang w:val="id-ID"/>
        </w:rPr>
        <w:t>anggaran</w:t>
      </w:r>
      <w:r w:rsidR="00A954D0">
        <w:rPr>
          <w:rFonts w:ascii="Bookman Old Style" w:hAnsi="Bookman Old Style" w:cs="Arial"/>
          <w:lang w:val="id-ID"/>
        </w:rPr>
        <w:t xml:space="preserve"> </w:t>
      </w:r>
      <w:r w:rsidRPr="003255BC">
        <w:rPr>
          <w:rFonts w:ascii="Bookman Old Style" w:hAnsi="Bookman Old Style"/>
          <w:lang w:val="id-ID"/>
        </w:rPr>
        <w:t>untuk</w:t>
      </w:r>
      <w:r w:rsidR="00A954D0" w:rsidRPr="003255BC">
        <w:rPr>
          <w:rFonts w:ascii="Bookman Old Style" w:hAnsi="Bookman Old Style"/>
          <w:lang w:val="id-ID"/>
        </w:rPr>
        <w:t xml:space="preserve"> </w:t>
      </w:r>
      <w:r w:rsidRPr="00727324">
        <w:rPr>
          <w:rFonts w:ascii="Bookman Old Style" w:hAnsi="Bookman Old Style"/>
          <w:lang w:val="id-ID"/>
        </w:rPr>
        <w:t>Penggunaan</w:t>
      </w:r>
      <w:r w:rsidR="00A954D0">
        <w:rPr>
          <w:rFonts w:ascii="Bookman Old Style" w:hAnsi="Bookman Old Style"/>
          <w:lang w:val="id-ID"/>
        </w:rPr>
        <w:t xml:space="preserve"> </w:t>
      </w:r>
      <w:r w:rsidRPr="00727324">
        <w:rPr>
          <w:rFonts w:ascii="Bookman Old Style" w:hAnsi="Bookman Old Style"/>
          <w:lang w:val="id-ID"/>
        </w:rPr>
        <w:t>Produk</w:t>
      </w:r>
      <w:r w:rsidR="00A954D0">
        <w:rPr>
          <w:rFonts w:ascii="Bookman Old Style" w:hAnsi="Bookman Old Style"/>
          <w:lang w:val="id-ID"/>
        </w:rPr>
        <w:t xml:space="preserve"> </w:t>
      </w:r>
      <w:r w:rsidRPr="00727324">
        <w:rPr>
          <w:rFonts w:ascii="Bookman Old Style" w:hAnsi="Bookman Old Style"/>
          <w:lang w:val="id-ID"/>
        </w:rPr>
        <w:t>Dalam</w:t>
      </w:r>
      <w:r w:rsidR="00A954D0">
        <w:rPr>
          <w:rFonts w:ascii="Bookman Old Style" w:hAnsi="Bookman Old Style"/>
          <w:lang w:val="id-ID"/>
        </w:rPr>
        <w:t xml:space="preserve"> </w:t>
      </w:r>
      <w:r w:rsidRPr="00727324">
        <w:rPr>
          <w:rFonts w:ascii="Bookman Old Style" w:hAnsi="Bookman Old Style"/>
          <w:lang w:val="id-ID"/>
        </w:rPr>
        <w:t>Negeri</w:t>
      </w:r>
      <w:r w:rsidR="00A954D0">
        <w:rPr>
          <w:rFonts w:ascii="Bookman Old Style" w:hAnsi="Bookman Old Style"/>
          <w:lang w:val="id-ID"/>
        </w:rPr>
        <w:t xml:space="preserve"> </w:t>
      </w:r>
      <w:r w:rsidRPr="00727324">
        <w:rPr>
          <w:rFonts w:ascii="Bookman Old Style" w:hAnsi="Bookman Old Style"/>
          <w:lang w:val="id-ID"/>
        </w:rPr>
        <w:t>dan</w:t>
      </w:r>
      <w:r w:rsidR="00A954D0">
        <w:rPr>
          <w:rFonts w:ascii="Bookman Old Style" w:hAnsi="Bookman Old Style"/>
          <w:lang w:val="id-ID"/>
        </w:rPr>
        <w:t xml:space="preserve"> </w:t>
      </w:r>
      <w:r w:rsidRPr="00727324">
        <w:rPr>
          <w:rFonts w:ascii="Bookman Old Style" w:hAnsi="Bookman Old Style"/>
          <w:lang w:val="id-ID"/>
        </w:rPr>
        <w:t>Produk</w:t>
      </w:r>
      <w:r w:rsidR="00A954D0">
        <w:rPr>
          <w:rFonts w:ascii="Bookman Old Style" w:hAnsi="Bookman Old Style"/>
          <w:lang w:val="id-ID"/>
        </w:rPr>
        <w:t xml:space="preserve"> </w:t>
      </w:r>
      <w:r w:rsidRPr="00727324">
        <w:rPr>
          <w:rFonts w:ascii="Bookman Old Style" w:hAnsi="Bookman Old Style"/>
          <w:lang w:val="id-ID"/>
        </w:rPr>
        <w:t>Usaha</w:t>
      </w:r>
      <w:r w:rsidR="00A954D0">
        <w:rPr>
          <w:rFonts w:ascii="Bookman Old Style" w:hAnsi="Bookman Old Style"/>
          <w:lang w:val="id-ID"/>
        </w:rPr>
        <w:t xml:space="preserve"> </w:t>
      </w:r>
      <w:r w:rsidRPr="00727324">
        <w:rPr>
          <w:rFonts w:ascii="Bookman Old Style" w:hAnsi="Bookman Old Style"/>
          <w:lang w:val="id-ID"/>
        </w:rPr>
        <w:t>Mikro,</w:t>
      </w:r>
      <w:r w:rsidR="00A954D0">
        <w:rPr>
          <w:rFonts w:ascii="Bookman Old Style" w:hAnsi="Bookman Old Style"/>
          <w:lang w:val="id-ID"/>
        </w:rPr>
        <w:t xml:space="preserve"> </w:t>
      </w:r>
      <w:r w:rsidRPr="00727324">
        <w:rPr>
          <w:rFonts w:ascii="Bookman Old Style" w:hAnsi="Bookman Old Style"/>
          <w:lang w:val="id-ID"/>
        </w:rPr>
        <w:t>Usaha</w:t>
      </w:r>
      <w:r w:rsidR="00A954D0">
        <w:rPr>
          <w:rFonts w:ascii="Bookman Old Style" w:hAnsi="Bookman Old Style"/>
          <w:lang w:val="id-ID"/>
        </w:rPr>
        <w:t xml:space="preserve"> </w:t>
      </w:r>
      <w:r w:rsidRPr="00727324">
        <w:rPr>
          <w:rFonts w:ascii="Bookman Old Style" w:hAnsi="Bookman Old Style"/>
          <w:lang w:val="id-ID"/>
        </w:rPr>
        <w:t>Kecil</w:t>
      </w:r>
      <w:r w:rsidR="00A954D0">
        <w:rPr>
          <w:rFonts w:ascii="Bookman Old Style" w:hAnsi="Bookman Old Style"/>
          <w:lang w:val="id-ID"/>
        </w:rPr>
        <w:t xml:space="preserve"> </w:t>
      </w:r>
      <w:r w:rsidRPr="00727324">
        <w:rPr>
          <w:rFonts w:ascii="Bookman Old Style" w:hAnsi="Bookman Old Style"/>
          <w:lang w:val="id-ID"/>
        </w:rPr>
        <w:t>dan</w:t>
      </w:r>
      <w:r w:rsidR="00A954D0">
        <w:rPr>
          <w:rFonts w:ascii="Bookman Old Style" w:hAnsi="Bookman Old Style"/>
          <w:lang w:val="id-ID"/>
        </w:rPr>
        <w:t xml:space="preserve"> </w:t>
      </w:r>
      <w:r w:rsidRPr="00727324">
        <w:rPr>
          <w:rFonts w:ascii="Bookman Old Style" w:hAnsi="Bookman Old Style"/>
          <w:lang w:val="id-ID"/>
        </w:rPr>
        <w:t>Menengah</w:t>
      </w:r>
      <w:r w:rsidR="00A954D0">
        <w:rPr>
          <w:rFonts w:ascii="Bookman Old Style" w:hAnsi="Bookman Old Style" w:cs="Arial"/>
          <w:lang w:val="de-DE"/>
        </w:rPr>
        <w:t xml:space="preserve"> </w:t>
      </w:r>
      <w:r w:rsidRPr="00727324">
        <w:rPr>
          <w:rFonts w:ascii="Bookman Old Style" w:hAnsi="Bookman Old Style" w:cs="Arial"/>
          <w:lang w:val="de-DE"/>
        </w:rPr>
        <w:t>sekurang-kurangnya</w:t>
      </w:r>
      <w:r w:rsidR="00A954D0">
        <w:rPr>
          <w:rFonts w:ascii="Bookman Old Style" w:hAnsi="Bookman Old Style" w:cs="Arial"/>
          <w:lang w:val="de-DE"/>
        </w:rPr>
        <w:t xml:space="preserve"> </w:t>
      </w:r>
      <w:r w:rsidRPr="00727324">
        <w:rPr>
          <w:rFonts w:ascii="Bookman Old Style" w:hAnsi="Bookman Old Style" w:cs="Arial"/>
          <w:lang w:val="id-ID"/>
        </w:rPr>
        <w:t>4</w:t>
      </w:r>
      <w:r w:rsidRPr="00727324">
        <w:rPr>
          <w:rFonts w:ascii="Bookman Old Style" w:hAnsi="Bookman Old Style" w:cs="Arial"/>
          <w:lang w:val="de-DE"/>
        </w:rPr>
        <w:t>0%</w:t>
      </w:r>
      <w:r w:rsidR="00A954D0">
        <w:rPr>
          <w:rFonts w:ascii="Bookman Old Style" w:hAnsi="Bookman Old Style" w:cs="Arial"/>
          <w:lang w:val="de-DE"/>
        </w:rPr>
        <w:t xml:space="preserve"> </w:t>
      </w:r>
      <w:r w:rsidRPr="00727324">
        <w:rPr>
          <w:rFonts w:ascii="Bookman Old Style" w:hAnsi="Bookman Old Style" w:cs="Arial"/>
          <w:lang w:val="de-DE"/>
        </w:rPr>
        <w:t>(</w:t>
      </w:r>
      <w:r w:rsidRPr="00727324">
        <w:rPr>
          <w:rFonts w:ascii="Bookman Old Style" w:hAnsi="Bookman Old Style" w:cs="Arial"/>
          <w:lang w:val="id-ID"/>
        </w:rPr>
        <w:t>empat</w:t>
      </w:r>
      <w:r w:rsidR="00A954D0">
        <w:rPr>
          <w:rFonts w:ascii="Bookman Old Style" w:hAnsi="Bookman Old Style" w:cs="Arial"/>
          <w:lang w:val="de-DE"/>
        </w:rPr>
        <w:t xml:space="preserve"> </w:t>
      </w:r>
      <w:r w:rsidRPr="00727324">
        <w:rPr>
          <w:rFonts w:ascii="Bookman Old Style" w:hAnsi="Bookman Old Style" w:cs="Arial"/>
          <w:lang w:val="de-DE"/>
        </w:rPr>
        <w:t>puluh</w:t>
      </w:r>
      <w:r w:rsidR="00A954D0">
        <w:rPr>
          <w:rFonts w:ascii="Bookman Old Style" w:hAnsi="Bookman Old Style" w:cs="Arial"/>
          <w:lang w:val="de-DE"/>
        </w:rPr>
        <w:t xml:space="preserve"> </w:t>
      </w:r>
      <w:r w:rsidRPr="00727324">
        <w:rPr>
          <w:rFonts w:ascii="Bookman Old Style" w:hAnsi="Bookman Old Style" w:cs="Arial"/>
          <w:lang w:val="de-DE"/>
        </w:rPr>
        <w:t>persen)</w:t>
      </w:r>
      <w:r w:rsidR="00A954D0">
        <w:rPr>
          <w:rFonts w:ascii="Bookman Old Style" w:hAnsi="Bookman Old Style" w:cs="Arial"/>
          <w:lang w:val="de-DE"/>
        </w:rPr>
        <w:t xml:space="preserve"> </w:t>
      </w:r>
      <w:r w:rsidRPr="00727324">
        <w:rPr>
          <w:rFonts w:ascii="Bookman Old Style" w:hAnsi="Bookman Old Style" w:cs="Arial"/>
          <w:lang w:val="id-ID"/>
        </w:rPr>
        <w:t>dari</w:t>
      </w:r>
      <w:r w:rsidR="00A954D0">
        <w:rPr>
          <w:rFonts w:ascii="Bookman Old Style" w:hAnsi="Bookman Old Style" w:cs="Arial"/>
          <w:lang w:val="id-ID"/>
        </w:rPr>
        <w:t xml:space="preserve"> </w:t>
      </w:r>
      <w:r w:rsidRPr="00727324">
        <w:rPr>
          <w:rFonts w:ascii="Bookman Old Style" w:hAnsi="Bookman Old Style" w:cs="Arial"/>
          <w:lang w:val="id-ID"/>
        </w:rPr>
        <w:t>total</w:t>
      </w:r>
      <w:r w:rsidR="00A954D0">
        <w:rPr>
          <w:rFonts w:ascii="Bookman Old Style" w:hAnsi="Bookman Old Style" w:cs="Arial"/>
          <w:lang w:val="id-ID"/>
        </w:rPr>
        <w:t xml:space="preserve"> </w:t>
      </w:r>
      <w:r w:rsidRPr="00727324">
        <w:rPr>
          <w:rFonts w:ascii="Bookman Old Style" w:hAnsi="Bookman Old Style" w:cs="Arial"/>
          <w:lang w:val="id-ID"/>
        </w:rPr>
        <w:t>Belanja</w:t>
      </w:r>
      <w:r w:rsidR="00A954D0">
        <w:rPr>
          <w:rFonts w:ascii="Bookman Old Style" w:hAnsi="Bookman Old Style" w:cs="Arial"/>
          <w:lang w:val="id-ID"/>
        </w:rPr>
        <w:t xml:space="preserve"> </w:t>
      </w:r>
      <w:r w:rsidRPr="00727324">
        <w:rPr>
          <w:rFonts w:ascii="Bookman Old Style" w:hAnsi="Bookman Old Style" w:cs="Arial"/>
          <w:lang w:val="id-ID"/>
        </w:rPr>
        <w:t>Barang</w:t>
      </w:r>
      <w:r w:rsidR="00A954D0">
        <w:rPr>
          <w:rFonts w:ascii="Bookman Old Style" w:hAnsi="Bookman Old Style" w:cs="Arial"/>
          <w:lang w:val="id-ID"/>
        </w:rPr>
        <w:t xml:space="preserve"> </w:t>
      </w:r>
      <w:r w:rsidRPr="00727324">
        <w:rPr>
          <w:rFonts w:ascii="Bookman Old Style" w:hAnsi="Bookman Old Style" w:cs="Arial"/>
          <w:lang w:val="id-ID"/>
        </w:rPr>
        <w:t>dan</w:t>
      </w:r>
      <w:r w:rsidR="00A954D0">
        <w:rPr>
          <w:rFonts w:ascii="Bookman Old Style" w:hAnsi="Bookman Old Style" w:cs="Arial"/>
          <w:lang w:val="id-ID"/>
        </w:rPr>
        <w:t xml:space="preserve"> </w:t>
      </w:r>
      <w:r w:rsidRPr="00727324">
        <w:rPr>
          <w:rFonts w:ascii="Bookman Old Style" w:hAnsi="Bookman Old Style" w:cs="Arial"/>
          <w:lang w:val="id-ID"/>
        </w:rPr>
        <w:t>Jasa</w:t>
      </w:r>
      <w:r w:rsidR="00A954D0">
        <w:rPr>
          <w:rFonts w:ascii="Bookman Old Style" w:hAnsi="Bookman Old Style" w:cs="Arial"/>
          <w:lang w:val="id-ID"/>
        </w:rPr>
        <w:t xml:space="preserve"> </w:t>
      </w:r>
      <w:r w:rsidRPr="00727324">
        <w:rPr>
          <w:rFonts w:ascii="Bookman Old Style" w:hAnsi="Bookman Old Style" w:cs="Arial"/>
          <w:lang w:val="id-ID"/>
        </w:rPr>
        <w:t>dan</w:t>
      </w:r>
      <w:r w:rsidR="00A954D0">
        <w:rPr>
          <w:rFonts w:ascii="Bookman Old Style" w:hAnsi="Bookman Old Style" w:cs="Arial"/>
          <w:lang w:val="id-ID"/>
        </w:rPr>
        <w:t xml:space="preserve"> </w:t>
      </w:r>
      <w:r w:rsidRPr="00727324">
        <w:rPr>
          <w:rFonts w:ascii="Bookman Old Style" w:hAnsi="Bookman Old Style" w:cs="Arial"/>
          <w:lang w:val="id-ID"/>
        </w:rPr>
        <w:t>Belanja</w:t>
      </w:r>
      <w:r w:rsidR="00A954D0">
        <w:rPr>
          <w:rFonts w:ascii="Bookman Old Style" w:hAnsi="Bookman Old Style" w:cs="Arial"/>
          <w:lang w:val="id-ID"/>
        </w:rPr>
        <w:t xml:space="preserve"> </w:t>
      </w:r>
      <w:r w:rsidRPr="00727324">
        <w:rPr>
          <w:rFonts w:ascii="Bookman Old Style" w:hAnsi="Bookman Old Style" w:cs="Arial"/>
          <w:lang w:val="id-ID"/>
        </w:rPr>
        <w:t>Modal</w:t>
      </w:r>
      <w:r w:rsidR="00A954D0">
        <w:rPr>
          <w:rFonts w:ascii="Bookman Old Style" w:hAnsi="Bookman Old Style" w:cs="Arial"/>
          <w:lang w:val="id-ID"/>
        </w:rPr>
        <w:t xml:space="preserve"> </w:t>
      </w:r>
      <w:r w:rsidRPr="00727324">
        <w:rPr>
          <w:rFonts w:ascii="Bookman Old Style" w:hAnsi="Bookman Old Style" w:cs="Arial"/>
          <w:lang w:val="id-ID"/>
        </w:rPr>
        <w:t>di</w:t>
      </w:r>
      <w:r w:rsidR="00A954D0" w:rsidRPr="003255BC">
        <w:rPr>
          <w:rFonts w:ascii="Bookman Old Style" w:hAnsi="Bookman Old Style" w:cs="Arial"/>
          <w:lang w:val="id-ID"/>
        </w:rPr>
        <w:t xml:space="preserve"> </w:t>
      </w:r>
      <w:r w:rsidRPr="00727324">
        <w:rPr>
          <w:rFonts w:ascii="Bookman Old Style" w:hAnsi="Bookman Old Style" w:cs="Arial"/>
          <w:lang w:val="id-ID"/>
        </w:rPr>
        <w:t>luar</w:t>
      </w:r>
      <w:r w:rsidR="00A954D0">
        <w:rPr>
          <w:rFonts w:ascii="Bookman Old Style" w:hAnsi="Bookman Old Style" w:cs="Arial"/>
          <w:lang w:val="id-ID"/>
        </w:rPr>
        <w:t xml:space="preserve"> </w:t>
      </w:r>
      <w:r w:rsidRPr="00727324">
        <w:rPr>
          <w:rFonts w:ascii="Bookman Old Style" w:hAnsi="Bookman Old Style" w:cs="Arial"/>
          <w:lang w:val="id-ID"/>
        </w:rPr>
        <w:t>Belanja</w:t>
      </w:r>
      <w:r w:rsidR="00A954D0">
        <w:rPr>
          <w:rFonts w:ascii="Bookman Old Style" w:hAnsi="Bookman Old Style" w:cs="Arial"/>
          <w:lang w:val="id-ID"/>
        </w:rPr>
        <w:t xml:space="preserve"> </w:t>
      </w:r>
      <w:r w:rsidRPr="00727324">
        <w:rPr>
          <w:rFonts w:ascii="Bookman Old Style" w:hAnsi="Bookman Old Style" w:cs="Arial"/>
          <w:lang w:val="id-ID"/>
        </w:rPr>
        <w:t>Modal</w:t>
      </w:r>
      <w:r w:rsidR="00A954D0">
        <w:rPr>
          <w:rFonts w:ascii="Bookman Old Style" w:hAnsi="Bookman Old Style" w:cs="Arial"/>
          <w:lang w:val="id-ID"/>
        </w:rPr>
        <w:t xml:space="preserve"> </w:t>
      </w:r>
      <w:r w:rsidRPr="00727324">
        <w:rPr>
          <w:rFonts w:ascii="Bookman Old Style" w:hAnsi="Bookman Old Style" w:cs="Arial"/>
          <w:lang w:val="id-ID"/>
        </w:rPr>
        <w:t>Tanah</w:t>
      </w:r>
      <w:r w:rsidR="00A954D0" w:rsidRPr="003255BC">
        <w:rPr>
          <w:rFonts w:ascii="Bookman Old Style" w:hAnsi="Bookman Old Style" w:cs="Arial"/>
          <w:lang w:val="id-ID"/>
        </w:rPr>
        <w:t xml:space="preserve"> </w:t>
      </w:r>
      <w:r w:rsidRPr="00727324">
        <w:rPr>
          <w:rFonts w:ascii="Bookman Old Style" w:hAnsi="Bookman Old Style" w:cs="Arial"/>
          <w:lang w:val="it-IT"/>
        </w:rPr>
        <w:t>sesuai</w:t>
      </w:r>
      <w:r w:rsidR="00A954D0">
        <w:rPr>
          <w:rFonts w:ascii="Bookman Old Style" w:hAnsi="Bookman Old Style" w:cs="Arial"/>
          <w:lang w:val="it-IT"/>
        </w:rPr>
        <w:t xml:space="preserve"> </w:t>
      </w:r>
      <w:r w:rsidRPr="00727324">
        <w:rPr>
          <w:rFonts w:ascii="Bookman Old Style" w:hAnsi="Bookman Old Style" w:cs="Arial"/>
          <w:lang w:val="it-IT"/>
        </w:rPr>
        <w:t>dengan</w:t>
      </w:r>
      <w:r w:rsidR="00A954D0">
        <w:rPr>
          <w:rFonts w:ascii="Bookman Old Style" w:hAnsi="Bookman Old Style" w:cs="Arial"/>
          <w:lang w:val="it-IT"/>
        </w:rPr>
        <w:t xml:space="preserve"> </w:t>
      </w:r>
      <w:r w:rsidRPr="00727324">
        <w:rPr>
          <w:rFonts w:ascii="Bookman Old Style" w:hAnsi="Bookman Old Style" w:cs="Arial"/>
          <w:lang w:val="it-IT"/>
        </w:rPr>
        <w:t>ketentuan</w:t>
      </w:r>
      <w:r w:rsidR="00A954D0">
        <w:rPr>
          <w:rFonts w:ascii="Bookman Old Style" w:hAnsi="Bookman Old Style" w:cs="Arial"/>
          <w:lang w:val="it-IT"/>
        </w:rPr>
        <w:t xml:space="preserve"> </w:t>
      </w:r>
      <w:r w:rsidRPr="00727324">
        <w:rPr>
          <w:rFonts w:ascii="Bookman Old Style" w:hAnsi="Bookman Old Style" w:cs="Arial"/>
          <w:lang w:val="it-IT"/>
        </w:rPr>
        <w:t>peraturan</w:t>
      </w:r>
      <w:r w:rsidR="00A954D0">
        <w:rPr>
          <w:rFonts w:ascii="Bookman Old Style" w:hAnsi="Bookman Old Style" w:cs="Arial"/>
          <w:lang w:val="it-IT"/>
        </w:rPr>
        <w:t xml:space="preserve"> </w:t>
      </w:r>
      <w:r w:rsidRPr="00727324">
        <w:rPr>
          <w:rFonts w:ascii="Bookman Old Style" w:hAnsi="Bookman Old Style" w:cs="Arial"/>
          <w:lang w:val="it-IT"/>
        </w:rPr>
        <w:t>perundang-undangan</w:t>
      </w:r>
      <w:r w:rsidRPr="00727324">
        <w:rPr>
          <w:rFonts w:ascii="Bookman Old Style" w:hAnsi="Bookman Old Style"/>
          <w:lang w:val="id-ID"/>
        </w:rPr>
        <w:t>.</w:t>
      </w:r>
    </w:p>
    <w:p w14:paraId="5B53DB56" w14:textId="77B99B29" w:rsidR="00093B4F" w:rsidRDefault="002C136C" w:rsidP="00A97B96">
      <w:pPr>
        <w:spacing w:before="60" w:line="276" w:lineRule="auto"/>
        <w:ind w:left="993"/>
        <w:jc w:val="both"/>
        <w:rPr>
          <w:rFonts w:ascii="Bookman Old Style" w:hAnsi="Bookman Old Style"/>
          <w:bCs/>
          <w:lang w:val="id-ID" w:eastAsia="id-ID"/>
        </w:rPr>
      </w:pPr>
      <w:r w:rsidRPr="00C66002">
        <w:rPr>
          <w:rFonts w:ascii="Bookman Old Style" w:hAnsi="Bookman Old Style"/>
          <w:lang w:val="id-ID"/>
        </w:rPr>
        <w:t>Dalam</w:t>
      </w:r>
      <w:r w:rsidR="00A954D0">
        <w:rPr>
          <w:rFonts w:ascii="Bookman Old Style" w:hAnsi="Bookman Old Style"/>
          <w:lang w:val="id-ID"/>
        </w:rPr>
        <w:t xml:space="preserve"> </w:t>
      </w:r>
      <w:r w:rsidRPr="00C66002">
        <w:rPr>
          <w:rFonts w:ascii="Bookman Old Style" w:hAnsi="Bookman Old Style"/>
          <w:lang w:val="id-ID"/>
        </w:rPr>
        <w:t>hal</w:t>
      </w:r>
      <w:r w:rsidR="00A954D0">
        <w:rPr>
          <w:rFonts w:ascii="Bookman Old Style" w:hAnsi="Bookman Old Style"/>
          <w:lang w:val="id-ID"/>
        </w:rPr>
        <w:t xml:space="preserve"> </w:t>
      </w:r>
      <w:r w:rsidRPr="00C66002">
        <w:rPr>
          <w:rFonts w:ascii="Bookman Old Style" w:hAnsi="Bookman Old Style"/>
          <w:lang w:val="id-ID"/>
        </w:rPr>
        <w:t>kegiatan</w:t>
      </w:r>
      <w:r w:rsidR="00A954D0">
        <w:rPr>
          <w:rFonts w:ascii="Bookman Old Style" w:hAnsi="Bookman Old Style"/>
          <w:lang w:val="id-ID"/>
        </w:rPr>
        <w:t xml:space="preserve"> </w:t>
      </w:r>
      <w:r w:rsidRPr="00C66002">
        <w:rPr>
          <w:rFonts w:ascii="Bookman Old Style" w:hAnsi="Bookman Old Style"/>
          <w:lang w:val="id-ID"/>
        </w:rPr>
        <w:t>dimaksud</w:t>
      </w:r>
      <w:r w:rsidR="00A954D0">
        <w:rPr>
          <w:rFonts w:ascii="Bookman Old Style" w:hAnsi="Bookman Old Style"/>
          <w:lang w:val="id-ID"/>
        </w:rPr>
        <w:t xml:space="preserve"> </w:t>
      </w:r>
      <w:r w:rsidRPr="00C66002">
        <w:rPr>
          <w:rFonts w:ascii="Bookman Old Style" w:hAnsi="Bookman Old Style"/>
          <w:lang w:val="id-ID"/>
        </w:rPr>
        <w:t>merupakan</w:t>
      </w:r>
      <w:r w:rsidR="00A954D0">
        <w:rPr>
          <w:rFonts w:ascii="Bookman Old Style" w:hAnsi="Bookman Old Style"/>
          <w:lang w:val="id-ID"/>
        </w:rPr>
        <w:t xml:space="preserve"> </w:t>
      </w:r>
      <w:r w:rsidRPr="00C66002">
        <w:rPr>
          <w:rFonts w:ascii="Bookman Old Style" w:hAnsi="Bookman Old Style"/>
          <w:lang w:val="id-ID"/>
        </w:rPr>
        <w:t>kebijakan</w:t>
      </w:r>
      <w:r w:rsidR="00A954D0">
        <w:rPr>
          <w:rFonts w:ascii="Bookman Old Style" w:hAnsi="Bookman Old Style"/>
          <w:lang w:val="id-ID"/>
        </w:rPr>
        <w:t xml:space="preserve"> </w:t>
      </w:r>
      <w:r w:rsidRPr="00C66002">
        <w:rPr>
          <w:rFonts w:ascii="Bookman Old Style" w:hAnsi="Bookman Old Style"/>
          <w:lang w:val="id-ID"/>
        </w:rPr>
        <w:t>nasional,</w:t>
      </w:r>
      <w:r w:rsidR="00A954D0">
        <w:rPr>
          <w:rFonts w:ascii="Bookman Old Style" w:hAnsi="Bookman Old Style"/>
          <w:lang w:val="id-ID"/>
        </w:rPr>
        <w:t xml:space="preserve"> </w:t>
      </w:r>
      <w:r w:rsidRPr="00C66002">
        <w:rPr>
          <w:rFonts w:ascii="Bookman Old Style" w:hAnsi="Bookman Old Style"/>
          <w:lang w:val="id-ID"/>
        </w:rPr>
        <w:t>keadaan</w:t>
      </w:r>
      <w:r w:rsidR="00A954D0">
        <w:rPr>
          <w:rFonts w:ascii="Bookman Old Style" w:hAnsi="Bookman Old Style"/>
          <w:lang w:val="id-ID"/>
        </w:rPr>
        <w:t xml:space="preserve"> </w:t>
      </w:r>
      <w:r w:rsidRPr="00C66002">
        <w:rPr>
          <w:rFonts w:ascii="Bookman Old Style" w:hAnsi="Bookman Old Style"/>
          <w:lang w:val="id-ID"/>
        </w:rPr>
        <w:t>darurat,</w:t>
      </w:r>
      <w:r w:rsidR="00A954D0">
        <w:rPr>
          <w:rFonts w:ascii="Bookman Old Style" w:hAnsi="Bookman Old Style"/>
          <w:lang w:val="id-ID"/>
        </w:rPr>
        <w:t xml:space="preserve"> </w:t>
      </w:r>
      <w:r w:rsidRPr="00C66002">
        <w:rPr>
          <w:rFonts w:ascii="Bookman Old Style" w:hAnsi="Bookman Old Style"/>
          <w:lang w:val="id-ID"/>
        </w:rPr>
        <w:t>keadaan</w:t>
      </w:r>
      <w:r w:rsidR="00A954D0">
        <w:rPr>
          <w:rFonts w:ascii="Bookman Old Style" w:hAnsi="Bookman Old Style"/>
          <w:lang w:val="id-ID"/>
        </w:rPr>
        <w:t xml:space="preserve"> </w:t>
      </w:r>
      <w:r w:rsidRPr="00C66002">
        <w:rPr>
          <w:rFonts w:ascii="Bookman Old Style" w:hAnsi="Bookman Old Style"/>
          <w:lang w:val="id-ID"/>
        </w:rPr>
        <w:t>luar</w:t>
      </w:r>
      <w:r w:rsidR="00A954D0">
        <w:rPr>
          <w:rFonts w:ascii="Bookman Old Style" w:hAnsi="Bookman Old Style"/>
          <w:lang w:val="id-ID"/>
        </w:rPr>
        <w:t xml:space="preserve"> </w:t>
      </w:r>
      <w:r w:rsidRPr="00C66002">
        <w:rPr>
          <w:rFonts w:ascii="Bookman Old Style" w:hAnsi="Bookman Old Style"/>
          <w:lang w:val="id-ID"/>
        </w:rPr>
        <w:t>biasa,</w:t>
      </w:r>
      <w:r w:rsidR="00A954D0">
        <w:rPr>
          <w:rFonts w:ascii="Bookman Old Style" w:hAnsi="Bookman Old Style"/>
          <w:lang w:val="id-ID"/>
        </w:rPr>
        <w:t xml:space="preserve"> </w:t>
      </w:r>
      <w:r w:rsidRPr="00C66002">
        <w:rPr>
          <w:rFonts w:ascii="Bookman Old Style" w:hAnsi="Bookman Old Style"/>
          <w:lang w:val="id-ID"/>
        </w:rPr>
        <w:t>dan</w:t>
      </w:r>
      <w:r w:rsidR="00A954D0">
        <w:rPr>
          <w:rFonts w:ascii="Bookman Old Style" w:hAnsi="Bookman Old Style"/>
          <w:lang w:val="id-ID"/>
        </w:rPr>
        <w:t xml:space="preserve"> </w:t>
      </w:r>
      <w:r w:rsidRPr="00C66002">
        <w:rPr>
          <w:rFonts w:ascii="Bookman Old Style" w:hAnsi="Bookman Old Style"/>
          <w:lang w:val="id-ID"/>
        </w:rPr>
        <w:t>amanat</w:t>
      </w:r>
      <w:r w:rsidR="00A954D0">
        <w:rPr>
          <w:rFonts w:ascii="Bookman Old Style" w:hAnsi="Bookman Old Style"/>
          <w:lang w:val="id-ID"/>
        </w:rPr>
        <w:t xml:space="preserve"> </w:t>
      </w:r>
      <w:r w:rsidRPr="00C66002">
        <w:rPr>
          <w:rFonts w:ascii="Bookman Old Style" w:hAnsi="Bookman Old Style"/>
          <w:lang w:val="id-ID"/>
        </w:rPr>
        <w:t>dari</w:t>
      </w:r>
      <w:r w:rsidR="00A954D0">
        <w:rPr>
          <w:rFonts w:ascii="Bookman Old Style" w:hAnsi="Bookman Old Style"/>
          <w:lang w:val="id-ID"/>
        </w:rPr>
        <w:t xml:space="preserve"> </w:t>
      </w:r>
      <w:r w:rsidRPr="00C66002">
        <w:rPr>
          <w:rFonts w:ascii="Bookman Old Style" w:hAnsi="Bookman Old Style"/>
          <w:lang w:val="id-ID"/>
        </w:rPr>
        <w:t>peraturan</w:t>
      </w:r>
      <w:r w:rsidR="00A954D0">
        <w:rPr>
          <w:rFonts w:ascii="Bookman Old Style" w:hAnsi="Bookman Old Style"/>
          <w:lang w:val="id-ID"/>
        </w:rPr>
        <w:t xml:space="preserve"> </w:t>
      </w:r>
      <w:r w:rsidRPr="00C66002">
        <w:rPr>
          <w:rFonts w:ascii="Bookman Old Style" w:hAnsi="Bookman Old Style"/>
          <w:lang w:val="id-ID"/>
        </w:rPr>
        <w:t>perundang-undangan</w:t>
      </w:r>
      <w:r w:rsidR="00A954D0">
        <w:rPr>
          <w:rFonts w:ascii="Bookman Old Style" w:hAnsi="Bookman Old Style"/>
          <w:lang w:val="id-ID"/>
        </w:rPr>
        <w:t xml:space="preserve"> </w:t>
      </w:r>
      <w:r w:rsidRPr="00C66002">
        <w:rPr>
          <w:rFonts w:ascii="Bookman Old Style" w:hAnsi="Bookman Old Style"/>
          <w:lang w:val="id-ID"/>
        </w:rPr>
        <w:t>yang</w:t>
      </w:r>
      <w:r w:rsidR="00A954D0">
        <w:rPr>
          <w:rFonts w:ascii="Bookman Old Style" w:hAnsi="Bookman Old Style"/>
          <w:lang w:val="id-ID"/>
        </w:rPr>
        <w:t xml:space="preserve"> </w:t>
      </w:r>
      <w:r w:rsidRPr="00C66002">
        <w:rPr>
          <w:rFonts w:ascii="Bookman Old Style" w:hAnsi="Bookman Old Style"/>
          <w:lang w:val="id-ID"/>
        </w:rPr>
        <w:t>lebih</w:t>
      </w:r>
      <w:r w:rsidR="00A954D0">
        <w:rPr>
          <w:rFonts w:ascii="Bookman Old Style" w:hAnsi="Bookman Old Style"/>
          <w:lang w:val="id-ID"/>
        </w:rPr>
        <w:t xml:space="preserve"> </w:t>
      </w:r>
      <w:r w:rsidRPr="00C66002">
        <w:rPr>
          <w:rFonts w:ascii="Bookman Old Style" w:hAnsi="Bookman Old Style"/>
          <w:lang w:val="id-ID"/>
        </w:rPr>
        <w:t>tinggi</w:t>
      </w:r>
      <w:r w:rsidR="00A954D0">
        <w:rPr>
          <w:rFonts w:ascii="Bookman Old Style" w:hAnsi="Bookman Old Style"/>
          <w:lang w:val="id-ID"/>
        </w:rPr>
        <w:t xml:space="preserve"> </w:t>
      </w:r>
      <w:r w:rsidRPr="00C66002">
        <w:rPr>
          <w:rFonts w:ascii="Bookman Old Style" w:hAnsi="Bookman Old Style"/>
          <w:lang w:val="id-ID"/>
        </w:rPr>
        <w:t>setelah</w:t>
      </w:r>
      <w:r w:rsidR="00A954D0">
        <w:rPr>
          <w:rFonts w:ascii="Bookman Old Style" w:hAnsi="Bookman Old Style" w:cs="Arial"/>
          <w:lang w:val="id-ID"/>
        </w:rPr>
        <w:t xml:space="preserve"> </w:t>
      </w:r>
      <w:r w:rsidRPr="00C66002">
        <w:rPr>
          <w:rFonts w:ascii="Bookman Old Style" w:hAnsi="Bookman Old Style"/>
          <w:lang w:val="id-ID"/>
        </w:rPr>
        <w:t>RKPD</w:t>
      </w:r>
      <w:r w:rsidR="00A954D0">
        <w:rPr>
          <w:rFonts w:ascii="Bookman Old Style" w:hAnsi="Bookman Old Style"/>
          <w:lang w:val="id-ID"/>
        </w:rPr>
        <w:t xml:space="preserve"> </w:t>
      </w:r>
      <w:r w:rsidRPr="00C66002">
        <w:rPr>
          <w:rFonts w:ascii="Bookman Old Style" w:hAnsi="Bookman Old Style"/>
          <w:lang w:val="id-ID"/>
        </w:rPr>
        <w:t>ditetapkan,</w:t>
      </w:r>
      <w:r w:rsidR="00A954D0">
        <w:rPr>
          <w:rFonts w:ascii="Bookman Old Style" w:hAnsi="Bookman Old Style"/>
          <w:lang w:val="id-ID"/>
        </w:rPr>
        <w:t xml:space="preserve"> </w:t>
      </w:r>
      <w:r w:rsidRPr="00C66002">
        <w:rPr>
          <w:rFonts w:ascii="Bookman Old Style" w:hAnsi="Bookman Old Style"/>
          <w:lang w:val="id-ID"/>
        </w:rPr>
        <w:t>KUA</w:t>
      </w:r>
      <w:r w:rsidR="00A954D0">
        <w:rPr>
          <w:rFonts w:ascii="Bookman Old Style" w:hAnsi="Bookman Old Style"/>
          <w:lang w:val="id-ID"/>
        </w:rPr>
        <w:t xml:space="preserve"> </w:t>
      </w:r>
      <w:r w:rsidRPr="00C66002">
        <w:rPr>
          <w:rFonts w:ascii="Bookman Old Style" w:hAnsi="Bookman Old Style"/>
          <w:lang w:val="id-ID"/>
        </w:rPr>
        <w:t>dan</w:t>
      </w:r>
      <w:r w:rsidR="00A954D0">
        <w:rPr>
          <w:rFonts w:ascii="Bookman Old Style" w:hAnsi="Bookman Old Style"/>
          <w:lang w:val="id-ID"/>
        </w:rPr>
        <w:t xml:space="preserve"> </w:t>
      </w:r>
      <w:r w:rsidRPr="00C66002">
        <w:rPr>
          <w:rFonts w:ascii="Bookman Old Style" w:hAnsi="Bookman Old Style"/>
          <w:lang w:val="id-ID"/>
        </w:rPr>
        <w:t>PPAS</w:t>
      </w:r>
      <w:r w:rsidR="00A954D0">
        <w:rPr>
          <w:rFonts w:ascii="Bookman Old Style" w:hAnsi="Bookman Old Style"/>
          <w:lang w:val="id-ID"/>
        </w:rPr>
        <w:t xml:space="preserve"> </w:t>
      </w:r>
      <w:r w:rsidRPr="00C66002">
        <w:rPr>
          <w:rFonts w:ascii="Bookman Old Style" w:hAnsi="Bookman Old Style"/>
          <w:lang w:val="id-ID"/>
        </w:rPr>
        <w:t>disepakati</w:t>
      </w:r>
      <w:r w:rsidR="00A954D0">
        <w:rPr>
          <w:rFonts w:ascii="Bookman Old Style" w:hAnsi="Bookman Old Style"/>
          <w:lang w:val="id-ID"/>
        </w:rPr>
        <w:t xml:space="preserve"> </w:t>
      </w:r>
      <w:r w:rsidRPr="00C66002">
        <w:rPr>
          <w:rFonts w:ascii="Bookman Old Style" w:hAnsi="Bookman Old Style"/>
          <w:lang w:val="id-ID"/>
        </w:rPr>
        <w:t>dan</w:t>
      </w:r>
      <w:r w:rsidR="00A954D0">
        <w:rPr>
          <w:rFonts w:ascii="Bookman Old Style" w:hAnsi="Bookman Old Style"/>
          <w:lang w:val="id-ID"/>
        </w:rPr>
        <w:t xml:space="preserve"> </w:t>
      </w:r>
      <w:r w:rsidRPr="00C66002">
        <w:rPr>
          <w:rFonts w:ascii="Bookman Old Style" w:hAnsi="Bookman Old Style"/>
          <w:lang w:val="id-ID"/>
        </w:rPr>
        <w:t>Rancangan</w:t>
      </w:r>
      <w:r w:rsidR="00A954D0">
        <w:rPr>
          <w:rFonts w:ascii="Bookman Old Style" w:hAnsi="Bookman Old Style"/>
          <w:lang w:val="id-ID"/>
        </w:rPr>
        <w:t xml:space="preserve"> </w:t>
      </w:r>
      <w:r w:rsidRPr="00C66002">
        <w:rPr>
          <w:rFonts w:ascii="Bookman Old Style" w:hAnsi="Bookman Old Style"/>
          <w:lang w:val="id-ID"/>
        </w:rPr>
        <w:t>Peraturan</w:t>
      </w:r>
      <w:r w:rsidR="00A954D0">
        <w:rPr>
          <w:rFonts w:ascii="Bookman Old Style" w:hAnsi="Bookman Old Style"/>
          <w:lang w:val="id-ID"/>
        </w:rPr>
        <w:t xml:space="preserve"> </w:t>
      </w:r>
      <w:r w:rsidRPr="00C66002">
        <w:rPr>
          <w:rFonts w:ascii="Bookman Old Style" w:hAnsi="Bookman Old Style"/>
          <w:lang w:val="id-ID"/>
        </w:rPr>
        <w:t>Daerah</w:t>
      </w:r>
      <w:r w:rsidR="00A954D0">
        <w:rPr>
          <w:rFonts w:ascii="Bookman Old Style" w:hAnsi="Bookman Old Style"/>
          <w:lang w:val="id-ID"/>
        </w:rPr>
        <w:t xml:space="preserve"> </w:t>
      </w:r>
      <w:r w:rsidRPr="00C66002">
        <w:rPr>
          <w:rFonts w:ascii="Bookman Old Style" w:hAnsi="Bookman Old Style"/>
          <w:lang w:val="fi-FI"/>
        </w:rPr>
        <w:t>Kota</w:t>
      </w:r>
      <w:r w:rsidR="00A954D0">
        <w:rPr>
          <w:rFonts w:ascii="Bookman Old Style" w:hAnsi="Bookman Old Style"/>
          <w:lang w:val="fi-FI"/>
        </w:rPr>
        <w:t xml:space="preserve"> </w:t>
      </w:r>
      <w:r w:rsidRPr="00C66002">
        <w:rPr>
          <w:rFonts w:ascii="Bookman Old Style" w:hAnsi="Bookman Old Style"/>
          <w:lang w:val="fi-FI"/>
        </w:rPr>
        <w:t>Tangerang</w:t>
      </w:r>
      <w:r w:rsidR="00A954D0">
        <w:rPr>
          <w:rFonts w:ascii="Bookman Old Style" w:hAnsi="Bookman Old Style"/>
          <w:lang w:val="fi-FI"/>
        </w:rPr>
        <w:t xml:space="preserve"> </w:t>
      </w:r>
      <w:r w:rsidRPr="00C66002">
        <w:rPr>
          <w:rFonts w:ascii="Bookman Old Style" w:hAnsi="Bookman Old Style"/>
          <w:lang w:val="id-ID"/>
        </w:rPr>
        <w:t>tentang</w:t>
      </w:r>
      <w:r w:rsidR="00A954D0">
        <w:rPr>
          <w:rFonts w:ascii="Bookman Old Style" w:hAnsi="Bookman Old Style"/>
          <w:lang w:val="id-ID"/>
        </w:rPr>
        <w:t xml:space="preserve"> </w:t>
      </w:r>
      <w:r w:rsidRPr="00C66002">
        <w:rPr>
          <w:rFonts w:ascii="Bookman Old Style" w:hAnsi="Bookman Old Style"/>
          <w:bCs/>
          <w:lang w:val="id-ID" w:eastAsia="id-ID"/>
        </w:rPr>
        <w:t>APBD</w:t>
      </w:r>
      <w:r w:rsidR="00A954D0">
        <w:rPr>
          <w:rFonts w:ascii="Bookman Old Style" w:hAnsi="Bookman Old Style"/>
          <w:bCs/>
          <w:lang w:val="id-ID" w:eastAsia="id-ID"/>
        </w:rPr>
        <w:t xml:space="preserve"> </w:t>
      </w:r>
      <w:r w:rsidRPr="00C66002">
        <w:rPr>
          <w:rFonts w:ascii="Bookman Old Style" w:hAnsi="Bookman Old Style"/>
          <w:bCs/>
          <w:lang w:val="id-ID" w:eastAsia="id-ID"/>
        </w:rPr>
        <w:t>Tahun</w:t>
      </w:r>
      <w:r w:rsidR="00A954D0">
        <w:rPr>
          <w:rFonts w:ascii="Bookman Old Style" w:hAnsi="Bookman Old Style"/>
          <w:bCs/>
          <w:lang w:val="id-ID" w:eastAsia="id-ID"/>
        </w:rPr>
        <w:t xml:space="preserve"> </w:t>
      </w:r>
      <w:r w:rsidRPr="00C66002">
        <w:rPr>
          <w:rFonts w:ascii="Bookman Old Style" w:hAnsi="Bookman Old Style"/>
          <w:bCs/>
          <w:lang w:val="id-ID" w:eastAsia="id-ID"/>
        </w:rPr>
        <w:t>Anggaran</w:t>
      </w:r>
      <w:r w:rsidR="00A954D0">
        <w:rPr>
          <w:rFonts w:ascii="Bookman Old Style" w:hAnsi="Bookman Old Style"/>
          <w:bCs/>
          <w:lang w:val="id-ID" w:eastAsia="id-ID"/>
        </w:rPr>
        <w:t xml:space="preserve"> </w:t>
      </w:r>
      <w:r w:rsidRPr="00C66002">
        <w:rPr>
          <w:rFonts w:ascii="Bookman Old Style" w:hAnsi="Bookman Old Style"/>
          <w:bCs/>
          <w:lang w:val="id-ID" w:eastAsia="id-ID"/>
        </w:rPr>
        <w:t>2025</w:t>
      </w:r>
      <w:r w:rsidR="00A954D0">
        <w:rPr>
          <w:rFonts w:ascii="Bookman Old Style" w:hAnsi="Bookman Old Style"/>
          <w:bCs/>
          <w:lang w:val="id-ID" w:eastAsia="id-ID"/>
        </w:rPr>
        <w:t xml:space="preserve"> </w:t>
      </w:r>
      <w:r w:rsidRPr="00C66002">
        <w:rPr>
          <w:rFonts w:ascii="Bookman Old Style" w:hAnsi="Bookman Old Style"/>
          <w:bCs/>
          <w:lang w:val="id-ID" w:eastAsia="id-ID"/>
        </w:rPr>
        <w:t>disetujui</w:t>
      </w:r>
      <w:r w:rsidR="00A954D0">
        <w:rPr>
          <w:rFonts w:ascii="Bookman Old Style" w:hAnsi="Bookman Old Style"/>
          <w:bCs/>
          <w:lang w:val="id-ID" w:eastAsia="id-ID"/>
        </w:rPr>
        <w:t xml:space="preserve"> </w:t>
      </w:r>
      <w:r w:rsidRPr="00C66002">
        <w:rPr>
          <w:rFonts w:ascii="Bookman Old Style" w:hAnsi="Bookman Old Style"/>
          <w:bCs/>
          <w:lang w:val="id-ID" w:eastAsia="id-ID"/>
        </w:rPr>
        <w:t>bersama</w:t>
      </w:r>
      <w:r w:rsidRPr="00C66002">
        <w:rPr>
          <w:rFonts w:ascii="Bookman Old Style" w:hAnsi="Bookman Old Style"/>
          <w:lang w:val="id-ID"/>
        </w:rPr>
        <w:t>,</w:t>
      </w:r>
      <w:r w:rsidR="00A954D0">
        <w:rPr>
          <w:rFonts w:ascii="Bookman Old Style" w:hAnsi="Bookman Old Style"/>
          <w:lang w:val="id-ID"/>
        </w:rPr>
        <w:t xml:space="preserve"> </w:t>
      </w:r>
      <w:r w:rsidRPr="00C66002">
        <w:rPr>
          <w:rFonts w:ascii="Bookman Old Style" w:hAnsi="Bookman Old Style"/>
          <w:lang w:val="id-ID"/>
        </w:rPr>
        <w:t>Pemerintah</w:t>
      </w:r>
      <w:r w:rsidR="00A954D0">
        <w:rPr>
          <w:rFonts w:ascii="Bookman Old Style" w:hAnsi="Bookman Old Style"/>
          <w:lang w:val="id-ID"/>
        </w:rPr>
        <w:t xml:space="preserve"> </w:t>
      </w:r>
      <w:r w:rsidRPr="00C66002">
        <w:rPr>
          <w:rFonts w:ascii="Bookman Old Style" w:hAnsi="Bookman Old Style"/>
          <w:lang w:val="id-ID"/>
        </w:rPr>
        <w:t>Daerah</w:t>
      </w:r>
      <w:r w:rsidR="00A954D0">
        <w:rPr>
          <w:rFonts w:ascii="Bookman Old Style" w:hAnsi="Bookman Old Style"/>
          <w:lang w:val="id-ID"/>
        </w:rPr>
        <w:t xml:space="preserve"> </w:t>
      </w:r>
      <w:r w:rsidRPr="00C66002">
        <w:rPr>
          <w:rFonts w:ascii="Bookman Old Style" w:hAnsi="Bookman Old Style"/>
          <w:lang w:val="fi-FI"/>
        </w:rPr>
        <w:t>Kota</w:t>
      </w:r>
      <w:r w:rsidR="00A954D0">
        <w:rPr>
          <w:rFonts w:ascii="Bookman Old Style" w:hAnsi="Bookman Old Style"/>
          <w:lang w:val="fi-FI"/>
        </w:rPr>
        <w:t xml:space="preserve"> </w:t>
      </w:r>
      <w:r w:rsidRPr="00C66002">
        <w:rPr>
          <w:rFonts w:ascii="Bookman Old Style" w:hAnsi="Bookman Old Style"/>
          <w:lang w:val="fi-FI"/>
        </w:rPr>
        <w:t>Tangerang</w:t>
      </w:r>
      <w:r w:rsidR="00A954D0">
        <w:rPr>
          <w:rFonts w:ascii="Bookman Old Style" w:hAnsi="Bookman Old Style"/>
          <w:lang w:val="fi-FI"/>
        </w:rPr>
        <w:t xml:space="preserve"> </w:t>
      </w:r>
      <w:r w:rsidRPr="00C66002">
        <w:rPr>
          <w:rFonts w:ascii="Bookman Old Style" w:hAnsi="Bookman Old Style"/>
          <w:lang w:val="id-ID"/>
        </w:rPr>
        <w:t>dapat</w:t>
      </w:r>
      <w:r w:rsidR="00A954D0">
        <w:rPr>
          <w:rFonts w:ascii="Bookman Old Style" w:hAnsi="Bookman Old Style"/>
          <w:lang w:val="id-ID"/>
        </w:rPr>
        <w:t xml:space="preserve"> </w:t>
      </w:r>
      <w:r w:rsidRPr="00C66002">
        <w:rPr>
          <w:rFonts w:ascii="Bookman Old Style" w:hAnsi="Bookman Old Style"/>
          <w:lang w:val="id-ID"/>
        </w:rPr>
        <w:t>menyesuaikan</w:t>
      </w:r>
      <w:r w:rsidR="00A954D0">
        <w:rPr>
          <w:rFonts w:ascii="Bookman Old Style" w:hAnsi="Bookman Old Style"/>
          <w:lang w:val="id-ID"/>
        </w:rPr>
        <w:t xml:space="preserve"> </w:t>
      </w:r>
      <w:r w:rsidRPr="00C66002">
        <w:rPr>
          <w:rFonts w:ascii="Bookman Old Style" w:hAnsi="Bookman Old Style"/>
          <w:lang w:val="id-ID"/>
        </w:rPr>
        <w:t>program,</w:t>
      </w:r>
      <w:r w:rsidR="00A954D0">
        <w:rPr>
          <w:rFonts w:ascii="Bookman Old Style" w:hAnsi="Bookman Old Style"/>
          <w:lang w:val="id-ID"/>
        </w:rPr>
        <w:t xml:space="preserve"> </w:t>
      </w:r>
      <w:r w:rsidRPr="00C66002">
        <w:rPr>
          <w:rFonts w:ascii="Bookman Old Style" w:hAnsi="Bookman Old Style"/>
          <w:lang w:val="id-ID"/>
        </w:rPr>
        <w:t>kegiatan</w:t>
      </w:r>
      <w:r w:rsidR="00A954D0">
        <w:rPr>
          <w:rFonts w:ascii="Bookman Old Style" w:hAnsi="Bookman Old Style"/>
          <w:lang w:val="id-ID"/>
        </w:rPr>
        <w:t xml:space="preserve"> </w:t>
      </w:r>
      <w:r w:rsidRPr="00C66002">
        <w:rPr>
          <w:rFonts w:ascii="Bookman Old Style" w:hAnsi="Bookman Old Style"/>
          <w:lang w:val="id-ID"/>
        </w:rPr>
        <w:t>dan</w:t>
      </w:r>
      <w:r w:rsidR="00A954D0">
        <w:rPr>
          <w:rFonts w:ascii="Bookman Old Style" w:hAnsi="Bookman Old Style"/>
          <w:lang w:val="id-ID"/>
        </w:rPr>
        <w:t xml:space="preserve"> </w:t>
      </w:r>
      <w:r w:rsidRPr="00C66002">
        <w:rPr>
          <w:rFonts w:ascii="Bookman Old Style" w:hAnsi="Bookman Old Style"/>
          <w:lang w:val="id-ID"/>
        </w:rPr>
        <w:t>sub</w:t>
      </w:r>
      <w:r w:rsidR="00A954D0">
        <w:rPr>
          <w:rFonts w:ascii="Bookman Old Style" w:hAnsi="Bookman Old Style"/>
          <w:lang w:val="id-ID"/>
        </w:rPr>
        <w:t xml:space="preserve"> </w:t>
      </w:r>
      <w:r w:rsidRPr="00C66002">
        <w:rPr>
          <w:rFonts w:ascii="Bookman Old Style" w:hAnsi="Bookman Old Style"/>
          <w:lang w:val="id-ID"/>
        </w:rPr>
        <w:t>kegiatan</w:t>
      </w:r>
      <w:r w:rsidR="00A954D0">
        <w:rPr>
          <w:rFonts w:ascii="Bookman Old Style" w:hAnsi="Bookman Old Style"/>
          <w:lang w:val="id-ID"/>
        </w:rPr>
        <w:t xml:space="preserve"> </w:t>
      </w:r>
      <w:r w:rsidRPr="00C66002">
        <w:rPr>
          <w:rFonts w:ascii="Bookman Old Style" w:hAnsi="Bookman Old Style"/>
          <w:lang w:val="id-ID"/>
        </w:rPr>
        <w:t>baru</w:t>
      </w:r>
      <w:r w:rsidR="00A954D0">
        <w:rPr>
          <w:rFonts w:ascii="Bookman Old Style" w:hAnsi="Bookman Old Style"/>
          <w:lang w:val="id-ID"/>
        </w:rPr>
        <w:t xml:space="preserve"> </w:t>
      </w:r>
      <w:r w:rsidRPr="00C66002">
        <w:rPr>
          <w:rFonts w:ascii="Bookman Old Style" w:hAnsi="Bookman Old Style"/>
          <w:lang w:val="id-ID"/>
        </w:rPr>
        <w:t>untuk</w:t>
      </w:r>
      <w:r w:rsidR="00A954D0">
        <w:rPr>
          <w:rFonts w:ascii="Bookman Old Style" w:hAnsi="Bookman Old Style"/>
          <w:lang w:val="id-ID"/>
        </w:rPr>
        <w:t xml:space="preserve"> </w:t>
      </w:r>
      <w:r w:rsidRPr="00C66002">
        <w:rPr>
          <w:rFonts w:ascii="Bookman Old Style" w:hAnsi="Bookman Old Style"/>
          <w:lang w:val="id-ID"/>
        </w:rPr>
        <w:t>selanjutnya</w:t>
      </w:r>
      <w:r w:rsidR="00A954D0">
        <w:rPr>
          <w:rFonts w:ascii="Bookman Old Style" w:hAnsi="Bookman Old Style"/>
          <w:lang w:val="id-ID"/>
        </w:rPr>
        <w:t xml:space="preserve"> </w:t>
      </w:r>
      <w:r w:rsidRPr="00C66002">
        <w:rPr>
          <w:rFonts w:ascii="Bookman Old Style" w:hAnsi="Bookman Old Style"/>
          <w:lang w:val="id-ID"/>
        </w:rPr>
        <w:t>ditampung</w:t>
      </w:r>
      <w:r w:rsidR="00A954D0">
        <w:rPr>
          <w:rFonts w:ascii="Bookman Old Style" w:hAnsi="Bookman Old Style"/>
          <w:lang w:val="id-ID"/>
        </w:rPr>
        <w:t xml:space="preserve"> </w:t>
      </w:r>
      <w:r w:rsidRPr="00C66002">
        <w:rPr>
          <w:rFonts w:ascii="Bookman Old Style" w:hAnsi="Bookman Old Style"/>
          <w:lang w:val="id-ID"/>
        </w:rPr>
        <w:t>dalam</w:t>
      </w:r>
      <w:r w:rsidR="00A954D0">
        <w:rPr>
          <w:rFonts w:ascii="Bookman Old Style" w:hAnsi="Bookman Old Style"/>
          <w:lang w:val="id-ID"/>
        </w:rPr>
        <w:t xml:space="preserve"> </w:t>
      </w:r>
      <w:r w:rsidRPr="00C66002">
        <w:rPr>
          <w:rFonts w:ascii="Bookman Old Style" w:hAnsi="Bookman Old Style"/>
          <w:lang w:val="id-ID"/>
        </w:rPr>
        <w:t>Peraturan</w:t>
      </w:r>
      <w:r w:rsidR="00A954D0">
        <w:rPr>
          <w:rFonts w:ascii="Bookman Old Style" w:hAnsi="Bookman Old Style"/>
          <w:lang w:val="id-ID"/>
        </w:rPr>
        <w:t xml:space="preserve"> </w:t>
      </w:r>
      <w:r w:rsidRPr="00C66002">
        <w:rPr>
          <w:rFonts w:ascii="Bookman Old Style" w:hAnsi="Bookman Old Style"/>
          <w:lang w:val="id-ID"/>
        </w:rPr>
        <w:t>Daerah</w:t>
      </w:r>
      <w:r w:rsidR="00A954D0">
        <w:rPr>
          <w:rFonts w:ascii="Bookman Old Style" w:hAnsi="Bookman Old Style"/>
          <w:lang w:val="id-ID"/>
        </w:rPr>
        <w:t xml:space="preserve"> </w:t>
      </w:r>
      <w:r w:rsidRPr="00C66002">
        <w:rPr>
          <w:rFonts w:ascii="Bookman Old Style" w:hAnsi="Bookman Old Style"/>
          <w:lang w:val="fi-FI"/>
        </w:rPr>
        <w:t>Kota</w:t>
      </w:r>
      <w:r w:rsidR="00A954D0">
        <w:rPr>
          <w:rFonts w:ascii="Bookman Old Style" w:hAnsi="Bookman Old Style"/>
          <w:lang w:val="fi-FI"/>
        </w:rPr>
        <w:t xml:space="preserve"> </w:t>
      </w:r>
      <w:r w:rsidRPr="00C66002">
        <w:rPr>
          <w:rFonts w:ascii="Bookman Old Style" w:hAnsi="Bookman Old Style"/>
          <w:lang w:val="fi-FI"/>
        </w:rPr>
        <w:t>Tangerang</w:t>
      </w:r>
      <w:r w:rsidR="00A954D0">
        <w:rPr>
          <w:rFonts w:ascii="Bookman Old Style" w:hAnsi="Bookman Old Style"/>
          <w:lang w:val="fi-FI"/>
        </w:rPr>
        <w:t xml:space="preserve"> </w:t>
      </w:r>
      <w:r w:rsidRPr="00C66002">
        <w:rPr>
          <w:rFonts w:ascii="Bookman Old Style" w:hAnsi="Bookman Old Style"/>
          <w:lang w:val="id-ID"/>
        </w:rPr>
        <w:t>tentang</w:t>
      </w:r>
      <w:r w:rsidR="00A954D0">
        <w:rPr>
          <w:rFonts w:ascii="Bookman Old Style" w:hAnsi="Bookman Old Style"/>
          <w:lang w:val="id-ID"/>
        </w:rPr>
        <w:t xml:space="preserve"> </w:t>
      </w:r>
      <w:r w:rsidRPr="00C66002">
        <w:rPr>
          <w:rFonts w:ascii="Bookman Old Style" w:hAnsi="Bookman Old Style"/>
          <w:lang w:val="id-ID"/>
        </w:rPr>
        <w:t>APBD</w:t>
      </w:r>
      <w:r w:rsidR="00A954D0">
        <w:rPr>
          <w:rFonts w:ascii="Bookman Old Style" w:hAnsi="Bookman Old Style"/>
          <w:lang w:val="id-ID"/>
        </w:rPr>
        <w:t xml:space="preserve"> </w:t>
      </w:r>
      <w:r w:rsidRPr="00C66002">
        <w:rPr>
          <w:rFonts w:ascii="Bookman Old Style" w:hAnsi="Bookman Old Style"/>
          <w:bCs/>
          <w:lang w:val="id-ID" w:eastAsia="id-ID"/>
        </w:rPr>
        <w:t>Tahun</w:t>
      </w:r>
      <w:r w:rsidR="00A954D0">
        <w:rPr>
          <w:rFonts w:ascii="Bookman Old Style" w:hAnsi="Bookman Old Style"/>
          <w:bCs/>
          <w:lang w:val="id-ID" w:eastAsia="id-ID"/>
        </w:rPr>
        <w:t xml:space="preserve"> </w:t>
      </w:r>
      <w:r w:rsidRPr="00C66002">
        <w:rPr>
          <w:rFonts w:ascii="Bookman Old Style" w:hAnsi="Bookman Old Style"/>
          <w:bCs/>
          <w:lang w:val="id-ID" w:eastAsia="id-ID"/>
        </w:rPr>
        <w:t>Anggaran</w:t>
      </w:r>
      <w:r w:rsidR="00A954D0">
        <w:rPr>
          <w:rFonts w:ascii="Bookman Old Style" w:hAnsi="Bookman Old Style"/>
          <w:bCs/>
          <w:lang w:val="id-ID" w:eastAsia="id-ID"/>
        </w:rPr>
        <w:t xml:space="preserve"> </w:t>
      </w:r>
      <w:r w:rsidRPr="00C66002">
        <w:rPr>
          <w:rFonts w:ascii="Bookman Old Style" w:hAnsi="Bookman Old Style"/>
          <w:bCs/>
          <w:lang w:val="id-ID" w:eastAsia="id-ID"/>
        </w:rPr>
        <w:t>2025</w:t>
      </w:r>
      <w:r w:rsidR="00A954D0">
        <w:rPr>
          <w:rFonts w:ascii="Bookman Old Style" w:hAnsi="Bookman Old Style"/>
          <w:bCs/>
          <w:lang w:val="id-ID" w:eastAsia="id-ID"/>
        </w:rPr>
        <w:t xml:space="preserve"> </w:t>
      </w:r>
      <w:r w:rsidRPr="00C66002">
        <w:rPr>
          <w:rFonts w:ascii="Bookman Old Style" w:hAnsi="Bookman Old Style"/>
          <w:bCs/>
          <w:lang w:val="id-ID" w:eastAsia="id-ID"/>
        </w:rPr>
        <w:t>sesuai</w:t>
      </w:r>
      <w:r w:rsidR="00A954D0">
        <w:rPr>
          <w:rFonts w:ascii="Bookman Old Style" w:hAnsi="Bookman Old Style"/>
          <w:bCs/>
          <w:lang w:val="id-ID" w:eastAsia="id-ID"/>
        </w:rPr>
        <w:t xml:space="preserve"> </w:t>
      </w:r>
      <w:r w:rsidRPr="00C66002">
        <w:rPr>
          <w:rFonts w:ascii="Bookman Old Style" w:hAnsi="Bookman Old Style"/>
          <w:bCs/>
          <w:lang w:val="id-ID" w:eastAsia="id-ID"/>
        </w:rPr>
        <w:t>dengan</w:t>
      </w:r>
      <w:r w:rsidR="00A954D0">
        <w:rPr>
          <w:rFonts w:ascii="Bookman Old Style" w:hAnsi="Bookman Old Style"/>
          <w:bCs/>
          <w:lang w:val="id-ID" w:eastAsia="id-ID"/>
        </w:rPr>
        <w:t xml:space="preserve"> </w:t>
      </w:r>
      <w:r w:rsidRPr="00C66002">
        <w:rPr>
          <w:rFonts w:ascii="Bookman Old Style" w:hAnsi="Bookman Old Style"/>
          <w:bCs/>
          <w:lang w:val="id-ID" w:eastAsia="id-ID"/>
        </w:rPr>
        <w:t>ketentuan</w:t>
      </w:r>
      <w:r w:rsidR="00A954D0">
        <w:rPr>
          <w:rFonts w:ascii="Bookman Old Style" w:hAnsi="Bookman Old Style"/>
          <w:bCs/>
          <w:lang w:val="id-ID" w:eastAsia="id-ID"/>
        </w:rPr>
        <w:t xml:space="preserve"> </w:t>
      </w:r>
      <w:r w:rsidRPr="00C66002">
        <w:rPr>
          <w:rFonts w:ascii="Bookman Old Style" w:hAnsi="Bookman Old Style"/>
          <w:bCs/>
          <w:lang w:val="id-ID" w:eastAsia="id-ID"/>
        </w:rPr>
        <w:t>peraturan</w:t>
      </w:r>
      <w:r w:rsidR="00A954D0">
        <w:rPr>
          <w:rFonts w:ascii="Bookman Old Style" w:hAnsi="Bookman Old Style"/>
          <w:bCs/>
          <w:lang w:val="id-ID" w:eastAsia="id-ID"/>
        </w:rPr>
        <w:t xml:space="preserve"> </w:t>
      </w:r>
      <w:r w:rsidRPr="00C66002">
        <w:rPr>
          <w:rFonts w:ascii="Bookman Old Style" w:hAnsi="Bookman Old Style"/>
          <w:bCs/>
          <w:lang w:val="id-ID" w:eastAsia="id-ID"/>
        </w:rPr>
        <w:t>perundang-undangan.</w:t>
      </w:r>
    </w:p>
    <w:p w14:paraId="1AFE5BBF" w14:textId="77777777" w:rsidR="0085724C" w:rsidRPr="00C66002" w:rsidRDefault="0085724C" w:rsidP="002C136C">
      <w:pPr>
        <w:spacing w:before="60" w:line="276" w:lineRule="auto"/>
        <w:ind w:left="930"/>
        <w:jc w:val="both"/>
        <w:rPr>
          <w:rFonts w:ascii="Bookman Old Style" w:hAnsi="Bookman Old Style" w:cs="Arial"/>
          <w:lang w:val="id-ID"/>
        </w:rPr>
      </w:pPr>
    </w:p>
    <w:p w14:paraId="3114608F" w14:textId="158B4318" w:rsidR="002C507D" w:rsidRPr="003255BC" w:rsidRDefault="002C507D" w:rsidP="00704FD6">
      <w:pPr>
        <w:numPr>
          <w:ilvl w:val="0"/>
          <w:numId w:val="1"/>
        </w:numPr>
        <w:spacing w:before="60" w:line="276" w:lineRule="auto"/>
        <w:ind w:left="567" w:hanging="567"/>
        <w:jc w:val="both"/>
        <w:rPr>
          <w:rFonts w:ascii="Bookman Old Style" w:hAnsi="Bookman Old Style" w:cs="Arial"/>
          <w:lang w:val="sv-FI"/>
        </w:rPr>
      </w:pPr>
      <w:r w:rsidRPr="003255BC">
        <w:rPr>
          <w:rFonts w:ascii="Bookman Old Style" w:hAnsi="Bookman Old Style" w:cs="Arial"/>
          <w:lang w:val="sv-FI"/>
        </w:rPr>
        <w:t>KESESUAIAN</w:t>
      </w:r>
      <w:r w:rsidR="00A954D0" w:rsidRPr="003255BC">
        <w:rPr>
          <w:rFonts w:ascii="Bookman Old Style" w:hAnsi="Bookman Old Style" w:cs="Arial"/>
          <w:lang w:val="sv-FI"/>
        </w:rPr>
        <w:t xml:space="preserve"> </w:t>
      </w:r>
      <w:r w:rsidRPr="003255BC">
        <w:rPr>
          <w:rFonts w:ascii="Bookman Old Style" w:hAnsi="Bookman Old Style" w:cs="Arial"/>
          <w:lang w:val="sv-FI"/>
        </w:rPr>
        <w:t>RANCANGAN</w:t>
      </w:r>
      <w:r w:rsidR="00A954D0" w:rsidRPr="003255BC">
        <w:rPr>
          <w:rFonts w:ascii="Bookman Old Style" w:hAnsi="Bookman Old Style" w:cs="Arial"/>
          <w:lang w:val="sv-FI"/>
        </w:rPr>
        <w:t xml:space="preserve"> </w:t>
      </w:r>
      <w:r w:rsidRPr="003255BC">
        <w:rPr>
          <w:rFonts w:ascii="Bookman Old Style" w:hAnsi="Bookman Old Style" w:cs="Arial"/>
          <w:lang w:val="sv-FI"/>
        </w:rPr>
        <w:t>PERATURAN</w:t>
      </w:r>
      <w:r w:rsidR="00A954D0" w:rsidRPr="003255BC">
        <w:rPr>
          <w:rFonts w:ascii="Bookman Old Style" w:hAnsi="Bookman Old Style" w:cs="Arial"/>
          <w:lang w:val="sv-FI"/>
        </w:rPr>
        <w:t xml:space="preserve"> </w:t>
      </w:r>
      <w:r w:rsidRPr="003255BC">
        <w:rPr>
          <w:rFonts w:ascii="Bookman Old Style" w:hAnsi="Bookman Old Style" w:cs="Arial"/>
          <w:lang w:val="sv-FI"/>
        </w:rPr>
        <w:t>DAERAH</w:t>
      </w:r>
      <w:r w:rsidR="00A954D0" w:rsidRPr="003255BC">
        <w:rPr>
          <w:rFonts w:ascii="Bookman Old Style" w:hAnsi="Bookman Old Style" w:cs="Arial"/>
          <w:lang w:val="sv-FI"/>
        </w:rPr>
        <w:t xml:space="preserve"> </w:t>
      </w:r>
      <w:r w:rsidRPr="003255BC">
        <w:rPr>
          <w:rFonts w:ascii="Bookman Old Style" w:hAnsi="Bookman Old Style" w:cs="Arial"/>
          <w:lang w:val="sv-FI"/>
        </w:rPr>
        <w:t>TENTANG</w:t>
      </w:r>
      <w:r w:rsidR="00A954D0" w:rsidRPr="003255BC">
        <w:rPr>
          <w:rFonts w:ascii="Bookman Old Style" w:hAnsi="Bookman Old Style" w:cs="Arial"/>
          <w:lang w:val="sv-FI"/>
        </w:rPr>
        <w:t xml:space="preserve"> </w:t>
      </w:r>
      <w:r w:rsidRPr="003255BC">
        <w:rPr>
          <w:rFonts w:ascii="Bookman Old Style" w:hAnsi="Bookman Old Style" w:cs="Arial"/>
          <w:lang w:val="sv-FI"/>
        </w:rPr>
        <w:t>APBD</w:t>
      </w:r>
      <w:r w:rsidR="00A954D0" w:rsidRPr="003255BC">
        <w:rPr>
          <w:rFonts w:ascii="Bookman Old Style" w:hAnsi="Bookman Old Style" w:cs="Arial"/>
          <w:lang w:val="sv-FI"/>
        </w:rPr>
        <w:t xml:space="preserve"> </w:t>
      </w:r>
      <w:r w:rsidRPr="003255BC">
        <w:rPr>
          <w:rFonts w:ascii="Bookman Old Style" w:hAnsi="Bookman Old Style"/>
          <w:color w:val="000000" w:themeColor="text1"/>
          <w:lang w:val="sv-FI"/>
        </w:rPr>
        <w:t>DAN</w:t>
      </w:r>
      <w:r w:rsidR="00A954D0" w:rsidRPr="003255BC">
        <w:rPr>
          <w:rFonts w:ascii="Bookman Old Style" w:hAnsi="Bookman Old Style" w:cs="Arial"/>
          <w:lang w:val="sv-FI"/>
        </w:rPr>
        <w:t xml:space="preserve"> </w:t>
      </w:r>
      <w:r w:rsidRPr="003255BC">
        <w:rPr>
          <w:rFonts w:ascii="Bookman Old Style" w:hAnsi="Bookman Old Style" w:cs="Arial"/>
          <w:lang w:val="sv-FI"/>
        </w:rPr>
        <w:t>RANCANGAN</w:t>
      </w:r>
      <w:r w:rsidR="00A954D0" w:rsidRPr="003255BC">
        <w:rPr>
          <w:rFonts w:ascii="Bookman Old Style" w:hAnsi="Bookman Old Style" w:cs="Arial"/>
          <w:lang w:val="sv-FI"/>
        </w:rPr>
        <w:t xml:space="preserve"> </w:t>
      </w:r>
      <w:r w:rsidRPr="003255BC">
        <w:rPr>
          <w:rFonts w:ascii="Bookman Old Style" w:hAnsi="Bookman Old Style" w:cs="Arial"/>
          <w:lang w:val="sv-FI"/>
        </w:rPr>
        <w:t>PERATURAN</w:t>
      </w:r>
      <w:r w:rsidR="00A954D0" w:rsidRPr="003255BC">
        <w:rPr>
          <w:rFonts w:ascii="Bookman Old Style" w:hAnsi="Bookman Old Style" w:cs="Arial"/>
          <w:lang w:val="sv-FI"/>
        </w:rPr>
        <w:t xml:space="preserve"> </w:t>
      </w:r>
      <w:r w:rsidRPr="003255BC">
        <w:rPr>
          <w:rFonts w:ascii="Bookman Old Style" w:hAnsi="Bookman Old Style" w:cs="Arial"/>
          <w:lang w:val="sv-FI"/>
        </w:rPr>
        <w:t>BUPATI/WALI</w:t>
      </w:r>
      <w:r w:rsidR="00A954D0" w:rsidRPr="003255BC">
        <w:rPr>
          <w:rFonts w:ascii="Bookman Old Style" w:hAnsi="Bookman Old Style" w:cs="Arial"/>
          <w:lang w:val="sv-FI"/>
        </w:rPr>
        <w:t xml:space="preserve"> </w:t>
      </w:r>
      <w:r w:rsidRPr="003255BC">
        <w:rPr>
          <w:rFonts w:ascii="Bookman Old Style" w:hAnsi="Bookman Old Style" w:cs="Arial"/>
          <w:lang w:val="sv-FI"/>
        </w:rPr>
        <w:t>KOTA</w:t>
      </w:r>
      <w:r w:rsidR="00A954D0" w:rsidRPr="003255BC">
        <w:rPr>
          <w:rFonts w:ascii="Bookman Old Style" w:hAnsi="Bookman Old Style" w:cs="Arial"/>
          <w:lang w:val="sv-FI"/>
        </w:rPr>
        <w:t xml:space="preserve"> </w:t>
      </w:r>
      <w:r w:rsidRPr="003255BC">
        <w:rPr>
          <w:rFonts w:ascii="Bookman Old Style" w:hAnsi="Bookman Old Style" w:cs="Arial"/>
          <w:lang w:val="sv-FI"/>
        </w:rPr>
        <w:t>TENTANG</w:t>
      </w:r>
      <w:r w:rsidR="00A954D0" w:rsidRPr="003255BC">
        <w:rPr>
          <w:rFonts w:ascii="Bookman Old Style" w:hAnsi="Bookman Old Style" w:cs="Arial"/>
          <w:lang w:val="sv-FI"/>
        </w:rPr>
        <w:t xml:space="preserve"> </w:t>
      </w:r>
      <w:r w:rsidRPr="003255BC">
        <w:rPr>
          <w:rFonts w:ascii="Bookman Old Style" w:hAnsi="Bookman Old Style" w:cs="Arial"/>
          <w:lang w:val="sv-FI"/>
        </w:rPr>
        <w:t>PENJABARAN</w:t>
      </w:r>
      <w:r w:rsidR="00A954D0" w:rsidRPr="003255BC">
        <w:rPr>
          <w:rFonts w:ascii="Bookman Old Style" w:hAnsi="Bookman Old Style" w:cs="Arial"/>
          <w:lang w:val="sv-FI"/>
        </w:rPr>
        <w:t xml:space="preserve"> </w:t>
      </w:r>
      <w:r w:rsidRPr="003255BC">
        <w:rPr>
          <w:rFonts w:ascii="Bookman Old Style" w:hAnsi="Bookman Old Style" w:cs="Arial"/>
          <w:lang w:val="sv-FI"/>
        </w:rPr>
        <w:t>APBD</w:t>
      </w:r>
      <w:r w:rsidR="00A954D0" w:rsidRPr="003255BC">
        <w:rPr>
          <w:rFonts w:ascii="Bookman Old Style" w:hAnsi="Bookman Old Style" w:cs="Arial"/>
          <w:lang w:val="sv-FI"/>
        </w:rPr>
        <w:t xml:space="preserve"> </w:t>
      </w:r>
      <w:r w:rsidRPr="003255BC">
        <w:rPr>
          <w:rFonts w:ascii="Bookman Old Style" w:hAnsi="Bookman Old Style" w:cs="Arial"/>
          <w:lang w:val="sv-FI"/>
        </w:rPr>
        <w:t>DENGAN</w:t>
      </w:r>
      <w:r w:rsidR="00A954D0" w:rsidRPr="003255BC">
        <w:rPr>
          <w:rFonts w:ascii="Bookman Old Style" w:hAnsi="Bookman Old Style" w:cs="Arial"/>
          <w:lang w:val="sv-FI"/>
        </w:rPr>
        <w:t xml:space="preserve"> </w:t>
      </w:r>
      <w:r w:rsidRPr="003255BC">
        <w:rPr>
          <w:rFonts w:ascii="Bookman Old Style" w:hAnsi="Bookman Old Style" w:cs="Arial"/>
          <w:lang w:val="sv-FI"/>
        </w:rPr>
        <w:t>RPJMD</w:t>
      </w:r>
    </w:p>
    <w:p w14:paraId="3B8AF1BE" w14:textId="4EB77061" w:rsidR="00C66002" w:rsidRPr="00727324" w:rsidRDefault="00C66002" w:rsidP="00C66002">
      <w:pPr>
        <w:spacing w:before="60" w:line="276" w:lineRule="auto"/>
        <w:ind w:left="567"/>
        <w:jc w:val="both"/>
        <w:rPr>
          <w:rFonts w:ascii="Bookman Old Style" w:hAnsi="Bookman Old Style" w:cs="Arial"/>
          <w:lang w:val="sv-FI"/>
        </w:rPr>
      </w:pPr>
      <w:r w:rsidRPr="00C66002">
        <w:rPr>
          <w:rFonts w:ascii="Bookman Old Style" w:hAnsi="Bookman Old Style"/>
          <w:lang w:val="sv-FI"/>
        </w:rPr>
        <w:t>Kesesuaian</w:t>
      </w:r>
      <w:r w:rsidR="00A954D0">
        <w:rPr>
          <w:rFonts w:ascii="Bookman Old Style" w:hAnsi="Bookman Old Style"/>
          <w:lang w:val="sv-FI"/>
        </w:rPr>
        <w:t xml:space="preserve"> </w:t>
      </w:r>
      <w:r w:rsidRPr="00C66002">
        <w:rPr>
          <w:rFonts w:ascii="Bookman Old Style" w:hAnsi="Bookman Old Style"/>
          <w:lang w:val="sv-FI"/>
        </w:rPr>
        <w:t>program</w:t>
      </w:r>
      <w:r w:rsidR="00A954D0">
        <w:rPr>
          <w:rFonts w:ascii="Bookman Old Style" w:hAnsi="Bookman Old Style"/>
          <w:lang w:val="sv-FI"/>
        </w:rPr>
        <w:t xml:space="preserve"> </w:t>
      </w:r>
      <w:r w:rsidRPr="00C66002">
        <w:rPr>
          <w:rFonts w:ascii="Bookman Old Style" w:hAnsi="Bookman Old Style"/>
          <w:lang w:val="sv-FI"/>
        </w:rPr>
        <w:t>dalam</w:t>
      </w:r>
      <w:r w:rsidR="00A954D0">
        <w:rPr>
          <w:rFonts w:ascii="Bookman Old Style" w:hAnsi="Bookman Old Style"/>
          <w:lang w:val="sv-FI"/>
        </w:rPr>
        <w:t xml:space="preserve"> </w:t>
      </w:r>
      <w:r w:rsidRPr="00C66002">
        <w:rPr>
          <w:rFonts w:ascii="Bookman Old Style" w:hAnsi="Bookman Old Style"/>
          <w:lang w:val="sv-FI"/>
        </w:rPr>
        <w:t>Rancangan</w:t>
      </w:r>
      <w:r w:rsidR="00A954D0">
        <w:rPr>
          <w:rFonts w:ascii="Bookman Old Style" w:hAnsi="Bookman Old Style"/>
          <w:lang w:val="sv-FI"/>
        </w:rPr>
        <w:t xml:space="preserve"> </w:t>
      </w:r>
      <w:r w:rsidRPr="00C66002">
        <w:rPr>
          <w:rFonts w:ascii="Bookman Old Style" w:hAnsi="Bookman Old Style"/>
          <w:lang w:val="sv-FI"/>
        </w:rPr>
        <w:t>Peraturan</w:t>
      </w:r>
      <w:r w:rsidR="00A954D0">
        <w:rPr>
          <w:rFonts w:ascii="Bookman Old Style" w:hAnsi="Bookman Old Style"/>
          <w:lang w:val="sv-FI"/>
        </w:rPr>
        <w:t xml:space="preserve"> </w:t>
      </w:r>
      <w:r w:rsidRPr="00C66002">
        <w:rPr>
          <w:rFonts w:ascii="Bookman Old Style" w:hAnsi="Bookman Old Style"/>
          <w:lang w:val="sv-FI"/>
        </w:rPr>
        <w:t>Daerah</w:t>
      </w:r>
      <w:r w:rsidR="00A954D0">
        <w:rPr>
          <w:rFonts w:ascii="Bookman Old Style" w:hAnsi="Bookman Old Style"/>
          <w:lang w:val="id-ID"/>
        </w:rPr>
        <w:t xml:space="preserve"> </w:t>
      </w:r>
      <w:r w:rsidRPr="00C66002">
        <w:rPr>
          <w:rFonts w:ascii="Bookman Old Style" w:hAnsi="Bookman Old Style"/>
          <w:lang w:val="fi-FI"/>
        </w:rPr>
        <w:t>Kota</w:t>
      </w:r>
      <w:r w:rsidR="00A954D0">
        <w:rPr>
          <w:rFonts w:ascii="Bookman Old Style" w:hAnsi="Bookman Old Style"/>
          <w:lang w:val="fi-FI"/>
        </w:rPr>
        <w:t xml:space="preserve"> </w:t>
      </w:r>
      <w:r w:rsidRPr="00C66002">
        <w:rPr>
          <w:rFonts w:ascii="Bookman Old Style" w:hAnsi="Bookman Old Style"/>
          <w:lang w:val="fi-FI"/>
        </w:rPr>
        <w:t>Tangerang</w:t>
      </w:r>
      <w:r w:rsidR="00A954D0">
        <w:rPr>
          <w:rFonts w:ascii="Bookman Old Style" w:hAnsi="Bookman Old Style"/>
          <w:lang w:val="fi-FI"/>
        </w:rPr>
        <w:t xml:space="preserve"> </w:t>
      </w:r>
      <w:r w:rsidRPr="00C66002">
        <w:rPr>
          <w:rFonts w:ascii="Bookman Old Style" w:hAnsi="Bookman Old Style"/>
          <w:lang w:val="sv-FI"/>
        </w:rPr>
        <w:t>tentang</w:t>
      </w:r>
      <w:r w:rsidR="00A954D0">
        <w:rPr>
          <w:rFonts w:ascii="Bookman Old Style" w:hAnsi="Bookman Old Style"/>
          <w:lang w:val="sv-FI"/>
        </w:rPr>
        <w:t xml:space="preserve"> </w:t>
      </w:r>
      <w:r w:rsidRPr="00C66002">
        <w:rPr>
          <w:rFonts w:ascii="Bookman Old Style" w:hAnsi="Bookman Old Style"/>
          <w:bCs/>
          <w:lang w:val="sv-FI" w:eastAsia="id-ID"/>
        </w:rPr>
        <w:t>APBD</w:t>
      </w:r>
      <w:r w:rsidR="00A954D0">
        <w:rPr>
          <w:rFonts w:ascii="Bookman Old Style" w:hAnsi="Bookman Old Style"/>
          <w:bCs/>
          <w:lang w:val="sv-FI" w:eastAsia="id-ID"/>
        </w:rPr>
        <w:t xml:space="preserve"> </w:t>
      </w:r>
      <w:r w:rsidRPr="00C66002">
        <w:rPr>
          <w:rFonts w:ascii="Bookman Old Style" w:hAnsi="Bookman Old Style"/>
          <w:bCs/>
          <w:lang w:val="sv-FI" w:eastAsia="id-ID"/>
        </w:rPr>
        <w:t>Tahun</w:t>
      </w:r>
      <w:r w:rsidR="00A954D0">
        <w:rPr>
          <w:rFonts w:ascii="Bookman Old Style" w:hAnsi="Bookman Old Style"/>
          <w:bCs/>
          <w:lang w:val="sv-FI" w:eastAsia="id-ID"/>
        </w:rPr>
        <w:t xml:space="preserve"> </w:t>
      </w:r>
      <w:r w:rsidRPr="00C66002">
        <w:rPr>
          <w:rFonts w:ascii="Bookman Old Style" w:hAnsi="Bookman Old Style"/>
          <w:bCs/>
          <w:lang w:val="sv-FI" w:eastAsia="id-ID"/>
        </w:rPr>
        <w:t>Anggaran</w:t>
      </w:r>
      <w:r w:rsidR="00A954D0">
        <w:rPr>
          <w:rFonts w:ascii="Bookman Old Style" w:hAnsi="Bookman Old Style"/>
          <w:bCs/>
          <w:lang w:val="sv-FI" w:eastAsia="id-ID"/>
        </w:rPr>
        <w:t xml:space="preserve"> </w:t>
      </w:r>
      <w:r w:rsidRPr="00C66002">
        <w:rPr>
          <w:rFonts w:ascii="Bookman Old Style" w:hAnsi="Bookman Old Style"/>
          <w:bCs/>
          <w:lang w:val="sv-FI" w:eastAsia="id-ID"/>
        </w:rPr>
        <w:t>2025</w:t>
      </w:r>
      <w:r w:rsidR="00A954D0">
        <w:rPr>
          <w:rFonts w:ascii="Bookman Old Style" w:hAnsi="Bookman Old Style"/>
          <w:bCs/>
          <w:lang w:val="id-ID" w:eastAsia="id-ID"/>
        </w:rPr>
        <w:t xml:space="preserve"> </w:t>
      </w:r>
      <w:r w:rsidRPr="00C66002">
        <w:rPr>
          <w:rFonts w:ascii="Bookman Old Style" w:hAnsi="Bookman Old Style"/>
          <w:lang w:val="sv-FI"/>
        </w:rPr>
        <w:t>dan</w:t>
      </w:r>
      <w:r w:rsidR="00A954D0">
        <w:rPr>
          <w:rFonts w:ascii="Bookman Old Style" w:hAnsi="Bookman Old Style"/>
          <w:lang w:val="sv-FI"/>
        </w:rPr>
        <w:t xml:space="preserve"> </w:t>
      </w:r>
      <w:r w:rsidRPr="00C66002">
        <w:rPr>
          <w:rFonts w:ascii="Bookman Old Style" w:hAnsi="Bookman Old Style"/>
          <w:lang w:val="sv-FI"/>
        </w:rPr>
        <w:t>Rancangan</w:t>
      </w:r>
      <w:r w:rsidR="00A954D0">
        <w:rPr>
          <w:rFonts w:ascii="Bookman Old Style" w:hAnsi="Bookman Old Style"/>
          <w:lang w:val="sv-FI"/>
        </w:rPr>
        <w:t xml:space="preserve"> </w:t>
      </w:r>
      <w:r w:rsidRPr="00C66002">
        <w:rPr>
          <w:rFonts w:ascii="Bookman Old Style" w:hAnsi="Bookman Old Style"/>
          <w:lang w:val="sv-FI"/>
        </w:rPr>
        <w:t>Peraturan</w:t>
      </w:r>
      <w:r w:rsidR="00A954D0">
        <w:rPr>
          <w:rFonts w:ascii="Bookman Old Style" w:hAnsi="Bookman Old Style"/>
          <w:lang w:val="sv-FI"/>
        </w:rPr>
        <w:t xml:space="preserve"> </w:t>
      </w:r>
      <w:r w:rsidR="001C092E">
        <w:rPr>
          <w:rFonts w:ascii="Bookman Old Style" w:hAnsi="Bookman Old Style"/>
          <w:lang w:val="sv-FI"/>
        </w:rPr>
        <w:t>Wali</w:t>
      </w:r>
      <w:r w:rsidR="00A954D0">
        <w:rPr>
          <w:rFonts w:ascii="Bookman Old Style" w:hAnsi="Bookman Old Style"/>
          <w:lang w:val="sv-FI"/>
        </w:rPr>
        <w:t xml:space="preserve"> </w:t>
      </w:r>
      <w:r w:rsidR="001C092E">
        <w:rPr>
          <w:rFonts w:ascii="Bookman Old Style" w:hAnsi="Bookman Old Style"/>
          <w:lang w:val="sv-FI"/>
        </w:rPr>
        <w:t>Kota</w:t>
      </w:r>
      <w:r w:rsidR="00A954D0">
        <w:rPr>
          <w:rFonts w:ascii="Bookman Old Style" w:hAnsi="Bookman Old Style"/>
          <w:lang w:val="fi-FI"/>
        </w:rPr>
        <w:t xml:space="preserve"> </w:t>
      </w:r>
      <w:r>
        <w:rPr>
          <w:rFonts w:ascii="Bookman Old Style" w:hAnsi="Bookman Old Style"/>
          <w:lang w:val="fi-FI"/>
        </w:rPr>
        <w:t>Tangerang</w:t>
      </w:r>
      <w:r w:rsidR="00A954D0">
        <w:rPr>
          <w:rFonts w:ascii="Bookman Old Style" w:hAnsi="Bookman Old Style"/>
          <w:lang w:val="sv-FI"/>
        </w:rPr>
        <w:t xml:space="preserve"> </w:t>
      </w:r>
      <w:r w:rsidRPr="00727324">
        <w:rPr>
          <w:rFonts w:ascii="Bookman Old Style" w:hAnsi="Bookman Old Style"/>
          <w:lang w:val="sv-FI"/>
        </w:rPr>
        <w:t>tentang</w:t>
      </w:r>
      <w:r w:rsidR="00A954D0">
        <w:rPr>
          <w:rFonts w:ascii="Bookman Old Style" w:hAnsi="Bookman Old Style"/>
          <w:lang w:val="sv-FI"/>
        </w:rPr>
        <w:t xml:space="preserve"> </w:t>
      </w:r>
      <w:r w:rsidRPr="00727324">
        <w:rPr>
          <w:rFonts w:ascii="Bookman Old Style" w:hAnsi="Bookman Old Style"/>
          <w:lang w:val="sv-FI"/>
        </w:rPr>
        <w:t>Penjabaran</w:t>
      </w:r>
      <w:r w:rsidR="00A954D0">
        <w:rPr>
          <w:rFonts w:ascii="Bookman Old Style" w:hAnsi="Bookman Old Style" w:cs="Arial"/>
          <w:lang w:val="sv-FI"/>
        </w:rPr>
        <w:t xml:space="preserve"> </w:t>
      </w:r>
      <w:r w:rsidRPr="00727324">
        <w:rPr>
          <w:rFonts w:ascii="Bookman Old Style" w:hAnsi="Bookman Old Style"/>
          <w:bCs/>
          <w:lang w:val="sv-FI" w:eastAsia="id-ID"/>
        </w:rPr>
        <w:t>APBD</w:t>
      </w:r>
      <w:r w:rsidR="00A954D0">
        <w:rPr>
          <w:rFonts w:ascii="Bookman Old Style" w:hAnsi="Bookman Old Style"/>
          <w:bCs/>
          <w:lang w:val="sv-FI" w:eastAsia="id-ID"/>
        </w:rPr>
        <w:t xml:space="preserve"> </w:t>
      </w:r>
      <w:r w:rsidRPr="00727324">
        <w:rPr>
          <w:rFonts w:ascii="Bookman Old Style" w:hAnsi="Bookman Old Style"/>
          <w:bCs/>
          <w:lang w:val="sv-FI" w:eastAsia="id-ID"/>
        </w:rPr>
        <w:t>Tahun</w:t>
      </w:r>
      <w:r w:rsidR="00A954D0">
        <w:rPr>
          <w:rFonts w:ascii="Bookman Old Style" w:hAnsi="Bookman Old Style"/>
          <w:bCs/>
          <w:lang w:val="sv-FI" w:eastAsia="id-ID"/>
        </w:rPr>
        <w:t xml:space="preserve"> </w:t>
      </w:r>
      <w:r w:rsidRPr="00727324">
        <w:rPr>
          <w:rFonts w:ascii="Bookman Old Style" w:hAnsi="Bookman Old Style"/>
          <w:bCs/>
          <w:lang w:val="sv-FI" w:eastAsia="id-ID"/>
        </w:rPr>
        <w:t>Anggaran</w:t>
      </w:r>
      <w:r w:rsidR="00A954D0">
        <w:rPr>
          <w:rFonts w:ascii="Bookman Old Style" w:hAnsi="Bookman Old Style"/>
          <w:bCs/>
          <w:lang w:val="sv-FI" w:eastAsia="id-ID"/>
        </w:rPr>
        <w:t xml:space="preserve"> </w:t>
      </w:r>
      <w:r w:rsidRPr="00727324">
        <w:rPr>
          <w:rFonts w:ascii="Bookman Old Style" w:hAnsi="Bookman Old Style"/>
          <w:bCs/>
          <w:lang w:val="sv-FI" w:eastAsia="id-ID"/>
        </w:rPr>
        <w:t>2025</w:t>
      </w:r>
      <w:r w:rsidR="00A954D0">
        <w:rPr>
          <w:rFonts w:ascii="Bookman Old Style" w:hAnsi="Bookman Old Style"/>
          <w:bCs/>
          <w:lang w:val="id-ID" w:eastAsia="id-ID"/>
        </w:rPr>
        <w:t xml:space="preserve"> </w:t>
      </w:r>
      <w:r w:rsidRPr="00727324">
        <w:rPr>
          <w:rFonts w:ascii="Bookman Old Style" w:hAnsi="Bookman Old Style"/>
          <w:lang w:val="sv-FI"/>
        </w:rPr>
        <w:t>dengan</w:t>
      </w:r>
      <w:r w:rsidR="00A954D0">
        <w:rPr>
          <w:rFonts w:ascii="Bookman Old Style" w:hAnsi="Bookman Old Style"/>
          <w:lang w:val="sv-FI"/>
        </w:rPr>
        <w:t xml:space="preserve"> </w:t>
      </w:r>
      <w:r>
        <w:rPr>
          <w:rFonts w:ascii="Bookman Old Style" w:hAnsi="Bookman Old Style"/>
          <w:lang w:val="id-ID"/>
        </w:rPr>
        <w:t>RPD</w:t>
      </w:r>
      <w:r w:rsidR="00A954D0">
        <w:rPr>
          <w:rFonts w:ascii="Bookman Old Style" w:hAnsi="Bookman Old Style"/>
          <w:lang w:val="sv-FI"/>
        </w:rPr>
        <w:t xml:space="preserve"> </w:t>
      </w:r>
      <w:r w:rsidRPr="00727324">
        <w:rPr>
          <w:rFonts w:ascii="Bookman Old Style" w:hAnsi="Bookman Old Style"/>
          <w:lang w:val="sv-FI"/>
        </w:rPr>
        <w:t>sebagaimana</w:t>
      </w:r>
      <w:r w:rsidR="00A954D0">
        <w:rPr>
          <w:rFonts w:ascii="Bookman Old Style" w:hAnsi="Bookman Old Style"/>
          <w:lang w:val="sv-FI"/>
        </w:rPr>
        <w:t xml:space="preserve"> </w:t>
      </w:r>
      <w:r w:rsidRPr="00727324">
        <w:rPr>
          <w:rFonts w:ascii="Bookman Old Style" w:hAnsi="Bookman Old Style"/>
          <w:lang w:val="sv-FI"/>
        </w:rPr>
        <w:t>dimaksud</w:t>
      </w:r>
      <w:r w:rsidR="00A954D0">
        <w:rPr>
          <w:rFonts w:ascii="Bookman Old Style" w:hAnsi="Bookman Old Style"/>
          <w:lang w:val="sv-FI"/>
        </w:rPr>
        <w:t xml:space="preserve"> </w:t>
      </w:r>
      <w:r w:rsidRPr="00727324">
        <w:rPr>
          <w:rFonts w:ascii="Bookman Old Style" w:hAnsi="Bookman Old Style"/>
          <w:lang w:val="sv-FI"/>
        </w:rPr>
        <w:t>pada</w:t>
      </w:r>
      <w:r w:rsidR="00A954D0">
        <w:rPr>
          <w:rFonts w:ascii="Bookman Old Style" w:hAnsi="Bookman Old Style"/>
          <w:lang w:val="sv-FI"/>
        </w:rPr>
        <w:t xml:space="preserve"> </w:t>
      </w:r>
      <w:r w:rsidRPr="00727324">
        <w:rPr>
          <w:rFonts w:ascii="Bookman Old Style" w:hAnsi="Bookman Old Style"/>
          <w:lang w:val="sv-FI"/>
        </w:rPr>
        <w:t>Lampiran</w:t>
      </w:r>
      <w:r w:rsidR="00A954D0">
        <w:rPr>
          <w:rFonts w:ascii="Bookman Old Style" w:hAnsi="Bookman Old Style"/>
          <w:lang w:val="sv-FI"/>
        </w:rPr>
        <w:t xml:space="preserve"> </w:t>
      </w:r>
      <w:r w:rsidRPr="00727324">
        <w:rPr>
          <w:rFonts w:ascii="Bookman Old Style" w:hAnsi="Bookman Old Style"/>
          <w:lang w:val="sv-FI"/>
        </w:rPr>
        <w:t>VII</w:t>
      </w:r>
      <w:r w:rsidR="00A954D0">
        <w:rPr>
          <w:rFonts w:ascii="Bookman Old Style" w:hAnsi="Bookman Old Style"/>
          <w:lang w:val="sv-FI"/>
        </w:rPr>
        <w:t xml:space="preserve"> </w:t>
      </w:r>
      <w:r w:rsidRPr="00727324">
        <w:rPr>
          <w:rFonts w:ascii="Bookman Old Style" w:hAnsi="Bookman Old Style"/>
          <w:lang w:val="sv-FI"/>
        </w:rPr>
        <w:t>Rancangan</w:t>
      </w:r>
      <w:r w:rsidR="00A954D0">
        <w:rPr>
          <w:rFonts w:ascii="Bookman Old Style" w:hAnsi="Bookman Old Style"/>
          <w:lang w:val="sv-FI"/>
        </w:rPr>
        <w:t xml:space="preserve"> </w:t>
      </w:r>
      <w:r w:rsidRPr="00727324">
        <w:rPr>
          <w:rFonts w:ascii="Bookman Old Style" w:hAnsi="Bookman Old Style"/>
          <w:lang w:val="sv-FI"/>
        </w:rPr>
        <w:t>Peraturan</w:t>
      </w:r>
      <w:r w:rsidR="00A954D0">
        <w:rPr>
          <w:rFonts w:ascii="Bookman Old Style" w:hAnsi="Bookman Old Style"/>
          <w:lang w:val="sv-FI"/>
        </w:rPr>
        <w:t xml:space="preserve"> </w:t>
      </w:r>
      <w:r w:rsidRPr="00727324">
        <w:rPr>
          <w:rFonts w:ascii="Bookman Old Style" w:hAnsi="Bookman Old Style"/>
          <w:lang w:val="sv-FI"/>
        </w:rPr>
        <w:t>Daerah</w:t>
      </w:r>
      <w:r w:rsidR="00A954D0">
        <w:rPr>
          <w:rFonts w:ascii="Bookman Old Style" w:hAnsi="Bookman Old Style"/>
          <w:lang w:val="id-ID"/>
        </w:rPr>
        <w:t xml:space="preserve"> </w:t>
      </w:r>
      <w:r>
        <w:rPr>
          <w:rFonts w:ascii="Bookman Old Style" w:hAnsi="Bookman Old Style"/>
          <w:lang w:val="fi-FI"/>
        </w:rPr>
        <w:t>Kota</w:t>
      </w:r>
      <w:r w:rsidR="00A954D0">
        <w:rPr>
          <w:rFonts w:ascii="Bookman Old Style" w:hAnsi="Bookman Old Style"/>
          <w:lang w:val="fi-FI"/>
        </w:rPr>
        <w:t xml:space="preserve"> </w:t>
      </w:r>
      <w:r>
        <w:rPr>
          <w:rFonts w:ascii="Bookman Old Style" w:hAnsi="Bookman Old Style"/>
          <w:lang w:val="fi-FI"/>
        </w:rPr>
        <w:t>Tangerang</w:t>
      </w:r>
      <w:r w:rsidR="00A954D0">
        <w:rPr>
          <w:rFonts w:ascii="Bookman Old Style" w:hAnsi="Bookman Old Style"/>
          <w:lang w:val="fi-FI"/>
        </w:rPr>
        <w:t xml:space="preserve"> </w:t>
      </w:r>
      <w:r w:rsidRPr="00727324">
        <w:rPr>
          <w:rFonts w:ascii="Bookman Old Style" w:hAnsi="Bookman Old Style"/>
          <w:lang w:val="sv-FI"/>
        </w:rPr>
        <w:t>tentang</w:t>
      </w:r>
      <w:r w:rsidR="00A954D0">
        <w:rPr>
          <w:rFonts w:ascii="Bookman Old Style" w:hAnsi="Bookman Old Style"/>
          <w:lang w:val="sv-FI"/>
        </w:rPr>
        <w:t xml:space="preserve"> </w:t>
      </w:r>
      <w:r w:rsidRPr="00727324">
        <w:rPr>
          <w:rFonts w:ascii="Bookman Old Style" w:hAnsi="Bookman Old Style"/>
          <w:bCs/>
          <w:lang w:val="sv-FI" w:eastAsia="id-ID"/>
        </w:rPr>
        <w:t>APBD</w:t>
      </w:r>
      <w:r w:rsidR="00A954D0">
        <w:rPr>
          <w:rFonts w:ascii="Bookman Old Style" w:hAnsi="Bookman Old Style"/>
          <w:bCs/>
          <w:lang w:val="sv-FI" w:eastAsia="id-ID"/>
        </w:rPr>
        <w:t xml:space="preserve"> </w:t>
      </w:r>
      <w:r w:rsidRPr="00727324">
        <w:rPr>
          <w:rFonts w:ascii="Bookman Old Style" w:hAnsi="Bookman Old Style"/>
          <w:bCs/>
          <w:lang w:val="sv-FI" w:eastAsia="id-ID"/>
        </w:rPr>
        <w:t>Tahun</w:t>
      </w:r>
      <w:r w:rsidR="00A954D0">
        <w:rPr>
          <w:rFonts w:ascii="Bookman Old Style" w:hAnsi="Bookman Old Style"/>
          <w:bCs/>
          <w:lang w:val="sv-FI" w:eastAsia="id-ID"/>
        </w:rPr>
        <w:t xml:space="preserve"> </w:t>
      </w:r>
      <w:r w:rsidRPr="00727324">
        <w:rPr>
          <w:rFonts w:ascii="Bookman Old Style" w:hAnsi="Bookman Old Style"/>
          <w:bCs/>
          <w:lang w:val="sv-FI" w:eastAsia="id-ID"/>
        </w:rPr>
        <w:t>Anggaran</w:t>
      </w:r>
      <w:r w:rsidR="00A954D0">
        <w:rPr>
          <w:rFonts w:ascii="Bookman Old Style" w:hAnsi="Bookman Old Style"/>
          <w:bCs/>
          <w:lang w:val="sv-FI" w:eastAsia="id-ID"/>
        </w:rPr>
        <w:t xml:space="preserve"> </w:t>
      </w:r>
      <w:r w:rsidRPr="00727324">
        <w:rPr>
          <w:rFonts w:ascii="Bookman Old Style" w:hAnsi="Bookman Old Style"/>
          <w:bCs/>
          <w:lang w:val="sv-FI" w:eastAsia="id-ID"/>
        </w:rPr>
        <w:t>2025</w:t>
      </w:r>
      <w:r w:rsidRPr="00727324">
        <w:rPr>
          <w:rFonts w:ascii="Bookman Old Style" w:hAnsi="Bookman Old Style"/>
          <w:bCs/>
          <w:lang w:val="id-ID" w:eastAsia="id-ID"/>
        </w:rPr>
        <w:t>,</w:t>
      </w:r>
      <w:r w:rsidR="00A954D0">
        <w:rPr>
          <w:rFonts w:ascii="Bookman Old Style" w:hAnsi="Bookman Old Style"/>
          <w:lang w:val="sv-FI"/>
        </w:rPr>
        <w:t xml:space="preserve"> </w:t>
      </w:r>
      <w:r w:rsidRPr="00727324">
        <w:rPr>
          <w:rFonts w:ascii="Bookman Old Style" w:hAnsi="Bookman Old Style"/>
          <w:lang w:val="sv-FI"/>
        </w:rPr>
        <w:t>sebagai</w:t>
      </w:r>
      <w:r w:rsidR="00A954D0">
        <w:rPr>
          <w:rFonts w:ascii="Bookman Old Style" w:hAnsi="Bookman Old Style"/>
          <w:lang w:val="sv-FI"/>
        </w:rPr>
        <w:t xml:space="preserve"> </w:t>
      </w:r>
      <w:r w:rsidRPr="00727324">
        <w:rPr>
          <w:rFonts w:ascii="Bookman Old Style" w:hAnsi="Bookman Old Style"/>
          <w:lang w:val="sv-FI"/>
        </w:rPr>
        <w:t>berikut:</w:t>
      </w:r>
      <w:r w:rsidR="00A954D0">
        <w:rPr>
          <w:rFonts w:ascii="Bookman Old Style" w:hAnsi="Bookman Old Style"/>
          <w:lang w:val="sv-FI"/>
        </w:rPr>
        <w:t xml:space="preserve"> </w:t>
      </w:r>
    </w:p>
    <w:p w14:paraId="5C68CF9A" w14:textId="07D2016F" w:rsidR="00C66002" w:rsidRPr="003255BC" w:rsidRDefault="00C66002" w:rsidP="00A97B96">
      <w:pPr>
        <w:pStyle w:val="ListParagraph"/>
        <w:numPr>
          <w:ilvl w:val="0"/>
          <w:numId w:val="31"/>
        </w:numPr>
        <w:spacing w:before="60" w:after="0" w:line="276" w:lineRule="auto"/>
        <w:ind w:left="993" w:hanging="426"/>
        <w:contextualSpacing w:val="0"/>
        <w:jc w:val="both"/>
        <w:rPr>
          <w:rFonts w:ascii="Bookman Old Style" w:hAnsi="Bookman Old Style"/>
          <w:sz w:val="24"/>
          <w:szCs w:val="24"/>
          <w:lang w:val="sv-FI"/>
        </w:rPr>
      </w:pPr>
      <w:r w:rsidRPr="00727324">
        <w:rPr>
          <w:rFonts w:ascii="Bookman Old Style" w:hAnsi="Bookman Old Style"/>
          <w:sz w:val="24"/>
          <w:szCs w:val="24"/>
        </w:rPr>
        <w:t>Terdapat</w:t>
      </w:r>
      <w:r w:rsidR="00A954D0">
        <w:rPr>
          <w:rFonts w:ascii="Bookman Old Style" w:hAnsi="Bookman Old Style"/>
          <w:sz w:val="24"/>
          <w:szCs w:val="24"/>
        </w:rPr>
        <w:t xml:space="preserve"> </w:t>
      </w:r>
      <w:r w:rsidRPr="00727324">
        <w:rPr>
          <w:rFonts w:ascii="Bookman Old Style" w:hAnsi="Bookman Old Style"/>
          <w:sz w:val="24"/>
          <w:szCs w:val="24"/>
        </w:rPr>
        <w:t>perbedaan</w:t>
      </w:r>
      <w:r w:rsidR="00A954D0">
        <w:rPr>
          <w:rFonts w:ascii="Bookman Old Style" w:hAnsi="Bookman Old Style"/>
          <w:sz w:val="24"/>
          <w:szCs w:val="24"/>
        </w:rPr>
        <w:t xml:space="preserve"> </w:t>
      </w:r>
      <w:r w:rsidRPr="00727324">
        <w:rPr>
          <w:rFonts w:ascii="Bookman Old Style" w:hAnsi="Bookman Old Style"/>
          <w:sz w:val="24"/>
          <w:szCs w:val="24"/>
        </w:rPr>
        <w:t>jumlah</w:t>
      </w:r>
      <w:r w:rsidR="00A954D0">
        <w:rPr>
          <w:rFonts w:ascii="Bookman Old Style" w:hAnsi="Bookman Old Style"/>
          <w:sz w:val="24"/>
          <w:szCs w:val="24"/>
        </w:rPr>
        <w:t xml:space="preserve"> </w:t>
      </w:r>
      <w:r w:rsidRPr="00727324">
        <w:rPr>
          <w:rFonts w:ascii="Bookman Old Style" w:hAnsi="Bookman Old Style"/>
          <w:sz w:val="24"/>
          <w:szCs w:val="24"/>
        </w:rPr>
        <w:t>anggaran,</w:t>
      </w:r>
      <w:r w:rsidR="00A954D0">
        <w:rPr>
          <w:rFonts w:ascii="Bookman Old Style" w:hAnsi="Bookman Old Style"/>
          <w:sz w:val="24"/>
          <w:szCs w:val="24"/>
        </w:rPr>
        <w:t xml:space="preserve"> </w:t>
      </w:r>
      <w:r w:rsidRPr="00727324">
        <w:rPr>
          <w:rFonts w:ascii="Bookman Old Style" w:hAnsi="Bookman Old Style"/>
          <w:sz w:val="24"/>
          <w:szCs w:val="24"/>
        </w:rPr>
        <w:t>yang</w:t>
      </w:r>
      <w:r w:rsidR="00A954D0">
        <w:rPr>
          <w:rFonts w:ascii="Bookman Old Style" w:hAnsi="Bookman Old Style"/>
          <w:sz w:val="24"/>
          <w:szCs w:val="24"/>
        </w:rPr>
        <w:t xml:space="preserve"> </w:t>
      </w:r>
      <w:r w:rsidRPr="00727324">
        <w:rPr>
          <w:rFonts w:ascii="Bookman Old Style" w:hAnsi="Bookman Old Style"/>
          <w:sz w:val="24"/>
          <w:szCs w:val="24"/>
          <w:lang w:val="sv-FI"/>
        </w:rPr>
        <w:t>dialokasikan</w:t>
      </w:r>
      <w:r w:rsidR="00A954D0">
        <w:rPr>
          <w:rFonts w:ascii="Bookman Old Style" w:hAnsi="Bookman Old Style"/>
          <w:sz w:val="24"/>
          <w:szCs w:val="24"/>
        </w:rPr>
        <w:t xml:space="preserve"> </w:t>
      </w:r>
      <w:r w:rsidRPr="00727324">
        <w:rPr>
          <w:rFonts w:ascii="Bookman Old Style" w:hAnsi="Bookman Old Style"/>
          <w:sz w:val="24"/>
          <w:szCs w:val="24"/>
        </w:rPr>
        <w:t>dalam</w:t>
      </w:r>
      <w:r w:rsidR="00A954D0">
        <w:rPr>
          <w:rFonts w:ascii="Bookman Old Style" w:hAnsi="Bookman Old Style"/>
          <w:sz w:val="24"/>
          <w:szCs w:val="24"/>
        </w:rPr>
        <w:t xml:space="preserve"> </w:t>
      </w:r>
      <w:r w:rsidRPr="00727324">
        <w:rPr>
          <w:rFonts w:ascii="Bookman Old Style" w:hAnsi="Bookman Old Style"/>
          <w:sz w:val="24"/>
          <w:szCs w:val="24"/>
          <w:lang w:val="sv-FI"/>
        </w:rPr>
        <w:t>capaian</w:t>
      </w:r>
      <w:r w:rsidR="00A954D0">
        <w:rPr>
          <w:rFonts w:ascii="Bookman Old Style" w:hAnsi="Bookman Old Style"/>
          <w:sz w:val="24"/>
          <w:szCs w:val="24"/>
          <w:lang w:val="sv-FI"/>
        </w:rPr>
        <w:t xml:space="preserve"> </w:t>
      </w:r>
      <w:r>
        <w:rPr>
          <w:rFonts w:ascii="Bookman Old Style" w:hAnsi="Bookman Old Style"/>
          <w:sz w:val="24"/>
          <w:szCs w:val="24"/>
        </w:rPr>
        <w:t>RPD</w:t>
      </w:r>
      <w:r w:rsidR="00A954D0">
        <w:rPr>
          <w:rFonts w:ascii="Bookman Old Style" w:hAnsi="Bookman Old Style"/>
          <w:sz w:val="24"/>
          <w:szCs w:val="24"/>
        </w:rPr>
        <w:t xml:space="preserve"> </w:t>
      </w:r>
      <w:r w:rsidRPr="00727324">
        <w:rPr>
          <w:rFonts w:ascii="Bookman Old Style" w:hAnsi="Bookman Old Style"/>
          <w:sz w:val="24"/>
          <w:szCs w:val="24"/>
          <w:lang w:val="sv-FI"/>
        </w:rPr>
        <w:t>pada</w:t>
      </w:r>
      <w:r w:rsidR="00A954D0">
        <w:rPr>
          <w:rFonts w:ascii="Bookman Old Style" w:hAnsi="Bookman Old Style"/>
          <w:sz w:val="24"/>
          <w:szCs w:val="24"/>
          <w:lang w:val="sv-FI"/>
        </w:rPr>
        <w:t xml:space="preserve"> </w:t>
      </w:r>
      <w:r w:rsidRPr="00727324">
        <w:rPr>
          <w:rFonts w:ascii="Bookman Old Style" w:hAnsi="Bookman Old Style"/>
          <w:sz w:val="24"/>
          <w:szCs w:val="24"/>
          <w:lang w:val="sv-FI"/>
        </w:rPr>
        <w:t>Tahun</w:t>
      </w:r>
      <w:r w:rsidR="00A954D0">
        <w:rPr>
          <w:rFonts w:ascii="Bookman Old Style" w:hAnsi="Bookman Old Style"/>
          <w:sz w:val="24"/>
          <w:szCs w:val="24"/>
          <w:lang w:val="sv-FI"/>
        </w:rPr>
        <w:t xml:space="preserve"> </w:t>
      </w:r>
      <w:r w:rsidRPr="00727324">
        <w:rPr>
          <w:rFonts w:ascii="Bookman Old Style" w:hAnsi="Bookman Old Style"/>
          <w:sz w:val="24"/>
          <w:szCs w:val="24"/>
          <w:lang w:val="sv-FI"/>
        </w:rPr>
        <w:t>2025</w:t>
      </w:r>
      <w:r w:rsidR="00A954D0">
        <w:rPr>
          <w:rFonts w:ascii="Bookman Old Style" w:hAnsi="Bookman Old Style"/>
          <w:sz w:val="24"/>
          <w:szCs w:val="24"/>
          <w:lang w:val="sv-FI"/>
        </w:rPr>
        <w:t xml:space="preserve"> </w:t>
      </w:r>
      <w:r w:rsidRPr="003255BC">
        <w:rPr>
          <w:rFonts w:ascii="Bookman Old Style" w:hAnsi="Bookman Old Style"/>
          <w:sz w:val="24"/>
          <w:szCs w:val="24"/>
          <w:lang w:val="sv-FI"/>
        </w:rPr>
        <w:t>Rp</w:t>
      </w:r>
      <w:r w:rsidRPr="003F63DC">
        <w:rPr>
          <w:rFonts w:ascii="Bookman Old Style" w:hAnsi="Bookman Old Style" w:cs="Arial"/>
          <w:sz w:val="24"/>
          <w:szCs w:val="24"/>
          <w:lang w:val="id-ID"/>
        </w:rPr>
        <w:t>5.420.432.705.429</w:t>
      </w:r>
      <w:r w:rsidRPr="004205F3">
        <w:rPr>
          <w:rFonts w:ascii="Bookman Old Style" w:hAnsi="Bookman Old Style" w:cs="Arial"/>
          <w:sz w:val="24"/>
          <w:szCs w:val="24"/>
          <w:lang w:val="id-ID"/>
        </w:rPr>
        <w:t>,00</w:t>
      </w:r>
      <w:r w:rsidR="00A954D0">
        <w:rPr>
          <w:rFonts w:ascii="Bookman Old Style" w:hAnsi="Bookman Old Style"/>
          <w:sz w:val="24"/>
          <w:szCs w:val="24"/>
          <w:lang w:val="sv-FI"/>
        </w:rPr>
        <w:t xml:space="preserve"> </w:t>
      </w:r>
      <w:r w:rsidRPr="00727324">
        <w:rPr>
          <w:rFonts w:ascii="Bookman Old Style" w:hAnsi="Bookman Old Style"/>
          <w:sz w:val="24"/>
          <w:szCs w:val="24"/>
        </w:rPr>
        <w:t>sedangkan</w:t>
      </w:r>
      <w:r w:rsidR="00A954D0">
        <w:rPr>
          <w:rFonts w:ascii="Bookman Old Style" w:hAnsi="Bookman Old Style"/>
          <w:sz w:val="24"/>
          <w:szCs w:val="24"/>
        </w:rPr>
        <w:t xml:space="preserve"> </w:t>
      </w:r>
      <w:r w:rsidRPr="00727324">
        <w:rPr>
          <w:rFonts w:ascii="Bookman Old Style" w:hAnsi="Bookman Old Style"/>
          <w:sz w:val="24"/>
          <w:szCs w:val="24"/>
        </w:rPr>
        <w:t>yang</w:t>
      </w:r>
      <w:r w:rsidR="00A954D0">
        <w:rPr>
          <w:rFonts w:ascii="Bookman Old Style" w:hAnsi="Bookman Old Style"/>
          <w:sz w:val="24"/>
          <w:szCs w:val="24"/>
        </w:rPr>
        <w:t xml:space="preserve"> </w:t>
      </w:r>
      <w:r w:rsidRPr="00727324">
        <w:rPr>
          <w:rFonts w:ascii="Bookman Old Style" w:hAnsi="Bookman Old Style"/>
          <w:sz w:val="24"/>
          <w:szCs w:val="24"/>
        </w:rPr>
        <w:t>tercantum</w:t>
      </w:r>
      <w:r w:rsidR="00A954D0">
        <w:rPr>
          <w:rFonts w:ascii="Bookman Old Style" w:hAnsi="Bookman Old Style"/>
          <w:sz w:val="24"/>
          <w:szCs w:val="24"/>
        </w:rPr>
        <w:t xml:space="preserve"> </w:t>
      </w:r>
      <w:r w:rsidRPr="00727324">
        <w:rPr>
          <w:rFonts w:ascii="Bookman Old Style" w:hAnsi="Bookman Old Style"/>
          <w:sz w:val="24"/>
          <w:szCs w:val="24"/>
        </w:rPr>
        <w:t>dalam</w:t>
      </w:r>
      <w:r w:rsidR="00A954D0">
        <w:rPr>
          <w:rFonts w:ascii="Bookman Old Style" w:hAnsi="Bookman Old Style"/>
          <w:sz w:val="24"/>
          <w:szCs w:val="24"/>
        </w:rPr>
        <w:t xml:space="preserve"> </w:t>
      </w:r>
      <w:r w:rsidRPr="00727324">
        <w:rPr>
          <w:rFonts w:ascii="Bookman Old Style" w:hAnsi="Bookman Old Style"/>
          <w:sz w:val="24"/>
          <w:szCs w:val="24"/>
        </w:rPr>
        <w:t>Rancangan</w:t>
      </w:r>
      <w:r w:rsidR="00A954D0">
        <w:rPr>
          <w:rFonts w:ascii="Bookman Old Style" w:hAnsi="Bookman Old Style"/>
          <w:sz w:val="24"/>
          <w:szCs w:val="24"/>
        </w:rPr>
        <w:t xml:space="preserve"> </w:t>
      </w:r>
      <w:r w:rsidRPr="00727324">
        <w:rPr>
          <w:rFonts w:ascii="Bookman Old Style" w:hAnsi="Bookman Old Style"/>
          <w:sz w:val="24"/>
          <w:szCs w:val="24"/>
        </w:rPr>
        <w:t>Peraturan</w:t>
      </w:r>
      <w:r w:rsidR="00A954D0">
        <w:rPr>
          <w:rFonts w:ascii="Bookman Old Style" w:hAnsi="Bookman Old Style"/>
          <w:sz w:val="24"/>
          <w:szCs w:val="24"/>
        </w:rPr>
        <w:t xml:space="preserve"> </w:t>
      </w:r>
      <w:r w:rsidRPr="00727324">
        <w:rPr>
          <w:rFonts w:ascii="Bookman Old Style" w:hAnsi="Bookman Old Style"/>
          <w:sz w:val="24"/>
          <w:szCs w:val="24"/>
        </w:rPr>
        <w:t>Daerah</w:t>
      </w:r>
      <w:r w:rsidR="00A954D0">
        <w:rPr>
          <w:rFonts w:ascii="Bookman Old Style" w:hAnsi="Bookman Old Style"/>
          <w:sz w:val="24"/>
          <w:szCs w:val="24"/>
          <w:lang w:val="id-ID"/>
        </w:rPr>
        <w:t xml:space="preserve"> </w:t>
      </w:r>
      <w:r w:rsidRPr="002A49B8">
        <w:rPr>
          <w:rFonts w:ascii="Bookman Old Style" w:hAnsi="Bookman Old Style"/>
          <w:sz w:val="24"/>
          <w:szCs w:val="24"/>
          <w:lang w:val="fi-FI"/>
        </w:rPr>
        <w:t>Kota</w:t>
      </w:r>
      <w:r w:rsidR="00A954D0">
        <w:rPr>
          <w:rFonts w:ascii="Bookman Old Style" w:hAnsi="Bookman Old Style"/>
          <w:sz w:val="24"/>
          <w:szCs w:val="24"/>
          <w:lang w:val="fi-FI"/>
        </w:rPr>
        <w:t xml:space="preserve"> </w:t>
      </w:r>
      <w:r>
        <w:rPr>
          <w:rFonts w:ascii="Bookman Old Style" w:hAnsi="Bookman Old Style"/>
          <w:sz w:val="24"/>
          <w:szCs w:val="24"/>
          <w:lang w:val="fi-FI"/>
        </w:rPr>
        <w:t>Tangerang</w:t>
      </w:r>
      <w:r w:rsidR="00A954D0">
        <w:rPr>
          <w:rFonts w:ascii="Bookman Old Style" w:hAnsi="Bookman Old Style"/>
          <w:sz w:val="24"/>
          <w:szCs w:val="24"/>
          <w:lang w:val="fi-FI"/>
        </w:rPr>
        <w:t xml:space="preserve"> </w:t>
      </w:r>
      <w:r w:rsidRPr="00727324">
        <w:rPr>
          <w:rFonts w:ascii="Bookman Old Style" w:hAnsi="Bookman Old Style"/>
          <w:sz w:val="24"/>
          <w:szCs w:val="24"/>
        </w:rPr>
        <w:t>tentang</w:t>
      </w:r>
      <w:r w:rsidR="00A954D0">
        <w:rPr>
          <w:rFonts w:ascii="Bookman Old Style" w:hAnsi="Bookman Old Style"/>
          <w:sz w:val="24"/>
          <w:szCs w:val="24"/>
        </w:rPr>
        <w:t xml:space="preserve"> </w:t>
      </w:r>
      <w:r w:rsidRPr="00727324">
        <w:rPr>
          <w:rFonts w:ascii="Bookman Old Style" w:hAnsi="Bookman Old Style"/>
          <w:sz w:val="24"/>
          <w:szCs w:val="24"/>
        </w:rPr>
        <w:t>APBD</w:t>
      </w:r>
      <w:r w:rsidR="00A954D0">
        <w:rPr>
          <w:rFonts w:ascii="Bookman Old Style" w:hAnsi="Bookman Old Style"/>
          <w:sz w:val="24"/>
          <w:szCs w:val="24"/>
        </w:rPr>
        <w:t xml:space="preserve"> </w:t>
      </w:r>
      <w:r w:rsidRPr="00727324">
        <w:rPr>
          <w:rFonts w:ascii="Bookman Old Style" w:hAnsi="Bookman Old Style"/>
          <w:sz w:val="24"/>
          <w:szCs w:val="24"/>
        </w:rPr>
        <w:t>Tahun</w:t>
      </w:r>
      <w:r w:rsidR="00A954D0">
        <w:rPr>
          <w:rFonts w:ascii="Bookman Old Style" w:hAnsi="Bookman Old Style"/>
          <w:sz w:val="24"/>
          <w:szCs w:val="24"/>
        </w:rPr>
        <w:t xml:space="preserve"> </w:t>
      </w:r>
      <w:r w:rsidRPr="00727324">
        <w:rPr>
          <w:rFonts w:ascii="Bookman Old Style" w:hAnsi="Bookman Old Style"/>
          <w:sz w:val="24"/>
          <w:szCs w:val="24"/>
        </w:rPr>
        <w:t>Anggaran</w:t>
      </w:r>
      <w:r w:rsidR="00A954D0">
        <w:rPr>
          <w:rFonts w:ascii="Bookman Old Style" w:hAnsi="Bookman Old Style"/>
          <w:sz w:val="24"/>
          <w:szCs w:val="24"/>
        </w:rPr>
        <w:t xml:space="preserve"> </w:t>
      </w:r>
      <w:r w:rsidRPr="00727324">
        <w:rPr>
          <w:rFonts w:ascii="Bookman Old Style" w:hAnsi="Bookman Old Style"/>
          <w:sz w:val="24"/>
          <w:szCs w:val="24"/>
        </w:rPr>
        <w:t>202</w:t>
      </w:r>
      <w:r w:rsidRPr="003255BC">
        <w:rPr>
          <w:rFonts w:ascii="Bookman Old Style" w:hAnsi="Bookman Old Style"/>
          <w:sz w:val="24"/>
          <w:szCs w:val="24"/>
          <w:lang w:val="sv-FI"/>
        </w:rPr>
        <w:t>5</w:t>
      </w:r>
      <w:r w:rsidR="00A954D0">
        <w:rPr>
          <w:rFonts w:ascii="Bookman Old Style" w:hAnsi="Bookman Old Style"/>
          <w:sz w:val="24"/>
          <w:szCs w:val="24"/>
        </w:rPr>
        <w:t xml:space="preserve"> </w:t>
      </w:r>
      <w:r w:rsidRPr="003255BC">
        <w:rPr>
          <w:rFonts w:ascii="Bookman Old Style" w:hAnsi="Bookman Old Style"/>
          <w:sz w:val="24"/>
          <w:szCs w:val="24"/>
          <w:lang w:val="sv-FI"/>
        </w:rPr>
        <w:t>Rp</w:t>
      </w:r>
      <w:r w:rsidRPr="003F63DC">
        <w:rPr>
          <w:rFonts w:ascii="Bookman Old Style" w:hAnsi="Bookman Old Style" w:cs="Arial"/>
          <w:sz w:val="24"/>
          <w:szCs w:val="24"/>
          <w:lang w:val="id-ID"/>
        </w:rPr>
        <w:t>5.706.600.538.955,00</w:t>
      </w:r>
      <w:r w:rsidRPr="00727324">
        <w:rPr>
          <w:rFonts w:ascii="Bookman Old Style" w:hAnsi="Bookman Old Style"/>
          <w:sz w:val="24"/>
          <w:szCs w:val="24"/>
        </w:rPr>
        <w:t>;</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dan</w:t>
      </w:r>
    </w:p>
    <w:p w14:paraId="3BF12F05" w14:textId="1A2855F6" w:rsidR="00C66002" w:rsidRPr="00727324" w:rsidRDefault="00C66002" w:rsidP="00C66002">
      <w:pPr>
        <w:pStyle w:val="ListParagraph"/>
        <w:numPr>
          <w:ilvl w:val="0"/>
          <w:numId w:val="31"/>
        </w:numPr>
        <w:spacing w:before="60" w:after="0" w:line="276" w:lineRule="auto"/>
        <w:ind w:left="993" w:hanging="426"/>
        <w:contextualSpacing w:val="0"/>
        <w:jc w:val="both"/>
        <w:rPr>
          <w:rFonts w:ascii="Bookman Old Style" w:hAnsi="Bookman Old Style"/>
          <w:sz w:val="24"/>
          <w:szCs w:val="24"/>
        </w:rPr>
      </w:pPr>
      <w:r w:rsidRPr="00727324">
        <w:rPr>
          <w:rFonts w:ascii="Bookman Old Style" w:hAnsi="Bookman Old Style"/>
          <w:sz w:val="24"/>
          <w:szCs w:val="24"/>
        </w:rPr>
        <w:t>Jumlah</w:t>
      </w:r>
      <w:r w:rsidR="00A954D0">
        <w:rPr>
          <w:rFonts w:ascii="Bookman Old Style" w:hAnsi="Bookman Old Style"/>
          <w:sz w:val="24"/>
          <w:szCs w:val="24"/>
        </w:rPr>
        <w:t xml:space="preserve"> </w:t>
      </w:r>
      <w:r w:rsidRPr="00727324">
        <w:rPr>
          <w:rFonts w:ascii="Bookman Old Style" w:hAnsi="Bookman Old Style"/>
          <w:sz w:val="24"/>
          <w:szCs w:val="24"/>
        </w:rPr>
        <w:t>program</w:t>
      </w:r>
      <w:r w:rsidR="00A954D0">
        <w:rPr>
          <w:rFonts w:ascii="Bookman Old Style" w:hAnsi="Bookman Old Style"/>
          <w:sz w:val="24"/>
          <w:szCs w:val="24"/>
        </w:rPr>
        <w:t xml:space="preserve"> </w:t>
      </w:r>
      <w:r w:rsidRPr="00727324">
        <w:rPr>
          <w:rFonts w:ascii="Bookman Old Style" w:hAnsi="Bookman Old Style"/>
          <w:sz w:val="24"/>
          <w:szCs w:val="24"/>
        </w:rPr>
        <w:t>yang</w:t>
      </w:r>
      <w:r w:rsidR="00A954D0">
        <w:rPr>
          <w:rFonts w:ascii="Bookman Old Style" w:hAnsi="Bookman Old Style"/>
          <w:sz w:val="24"/>
          <w:szCs w:val="24"/>
        </w:rPr>
        <w:t xml:space="preserve"> </w:t>
      </w:r>
      <w:r w:rsidRPr="00727324">
        <w:rPr>
          <w:rFonts w:ascii="Bookman Old Style" w:hAnsi="Bookman Old Style"/>
          <w:sz w:val="24"/>
          <w:szCs w:val="24"/>
        </w:rPr>
        <w:t>tercantum</w:t>
      </w:r>
      <w:r w:rsidR="00A954D0">
        <w:rPr>
          <w:rFonts w:ascii="Bookman Old Style" w:hAnsi="Bookman Old Style"/>
          <w:sz w:val="24"/>
          <w:szCs w:val="24"/>
        </w:rPr>
        <w:t xml:space="preserve"> </w:t>
      </w:r>
      <w:r w:rsidRPr="00727324">
        <w:rPr>
          <w:rFonts w:ascii="Bookman Old Style" w:hAnsi="Bookman Old Style"/>
          <w:sz w:val="24"/>
          <w:szCs w:val="24"/>
        </w:rPr>
        <w:t>dalam</w:t>
      </w:r>
      <w:r w:rsidR="00A954D0">
        <w:rPr>
          <w:rFonts w:ascii="Bookman Old Style" w:hAnsi="Bookman Old Style"/>
          <w:sz w:val="24"/>
          <w:szCs w:val="24"/>
        </w:rPr>
        <w:t xml:space="preserve"> </w:t>
      </w:r>
      <w:r>
        <w:rPr>
          <w:rFonts w:ascii="Bookman Old Style" w:hAnsi="Bookman Old Style"/>
          <w:sz w:val="24"/>
          <w:szCs w:val="24"/>
          <w:lang w:val="id-ID"/>
        </w:rPr>
        <w:t>RPD</w:t>
      </w:r>
      <w:r w:rsidR="00A954D0">
        <w:rPr>
          <w:rFonts w:ascii="Bookman Old Style" w:hAnsi="Bookman Old Style"/>
          <w:sz w:val="24"/>
          <w:szCs w:val="24"/>
        </w:rPr>
        <w:t xml:space="preserve"> </w:t>
      </w:r>
      <w:r w:rsidRPr="003255BC">
        <w:rPr>
          <w:rFonts w:ascii="Bookman Old Style" w:hAnsi="Bookman Old Style"/>
          <w:sz w:val="24"/>
          <w:szCs w:val="24"/>
          <w:lang w:val="sv-FI"/>
        </w:rPr>
        <w:t>pada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Tahun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2025</w:t>
      </w:r>
      <w:r w:rsidR="00A954D0" w:rsidRPr="003255BC">
        <w:rPr>
          <w:rFonts w:ascii="Bookman Old Style" w:hAnsi="Bookman Old Style"/>
          <w:sz w:val="24"/>
          <w:szCs w:val="24"/>
          <w:lang w:val="sv-FI"/>
        </w:rPr>
        <w:t xml:space="preserve"> </w:t>
      </w:r>
      <w:r w:rsidRPr="00727324">
        <w:rPr>
          <w:rFonts w:ascii="Bookman Old Style" w:hAnsi="Bookman Old Style"/>
          <w:sz w:val="24"/>
          <w:szCs w:val="24"/>
        </w:rPr>
        <w:t>sejumlah</w:t>
      </w:r>
      <w:r w:rsidR="00A954D0" w:rsidRPr="003255BC">
        <w:rPr>
          <w:rFonts w:ascii="Bookman Old Style" w:hAnsi="Bookman Old Style"/>
          <w:sz w:val="24"/>
          <w:szCs w:val="24"/>
          <w:lang w:val="sv-FI"/>
        </w:rPr>
        <w:t xml:space="preserve"> </w:t>
      </w:r>
      <w:r>
        <w:rPr>
          <w:rFonts w:ascii="Bookman Old Style" w:hAnsi="Bookman Old Style"/>
          <w:sz w:val="24"/>
          <w:szCs w:val="24"/>
          <w:lang w:val="id-ID"/>
        </w:rPr>
        <w:t>140</w:t>
      </w:r>
      <w:r w:rsidR="00A954D0">
        <w:rPr>
          <w:rFonts w:ascii="Bookman Old Style" w:hAnsi="Bookman Old Style"/>
          <w:sz w:val="24"/>
          <w:szCs w:val="24"/>
          <w:lang w:val="id-ID"/>
        </w:rPr>
        <w:t xml:space="preserve"> </w:t>
      </w:r>
      <w:r w:rsidRPr="00727324">
        <w:rPr>
          <w:rFonts w:ascii="Bookman Old Style" w:hAnsi="Bookman Old Style"/>
          <w:sz w:val="24"/>
          <w:szCs w:val="24"/>
          <w:lang w:val="id-ID"/>
        </w:rPr>
        <w:t>program</w:t>
      </w:r>
      <w:r w:rsidR="00A954D0" w:rsidRPr="003255BC">
        <w:rPr>
          <w:rFonts w:ascii="Bookman Old Style" w:hAnsi="Bookman Old Style"/>
          <w:sz w:val="24"/>
          <w:szCs w:val="24"/>
          <w:lang w:val="sv-FI"/>
        </w:rPr>
        <w:t xml:space="preserve"> </w:t>
      </w:r>
      <w:r>
        <w:rPr>
          <w:rFonts w:ascii="Bookman Old Style" w:hAnsi="Bookman Old Style"/>
          <w:sz w:val="24"/>
          <w:szCs w:val="24"/>
          <w:lang w:val="id-ID"/>
        </w:rPr>
        <w:t>dan</w:t>
      </w:r>
      <w:r w:rsidR="00A954D0">
        <w:rPr>
          <w:rFonts w:ascii="Bookman Old Style" w:hAnsi="Bookman Old Style"/>
          <w:sz w:val="24"/>
          <w:szCs w:val="24"/>
          <w:lang w:val="id-ID"/>
        </w:rPr>
        <w:t xml:space="preserve"> </w:t>
      </w:r>
      <w:r w:rsidRPr="00727324">
        <w:rPr>
          <w:rFonts w:ascii="Bookman Old Style" w:hAnsi="Bookman Old Style"/>
          <w:sz w:val="24"/>
          <w:szCs w:val="24"/>
        </w:rPr>
        <w:t>yang</w:t>
      </w:r>
      <w:r w:rsidR="00A954D0">
        <w:rPr>
          <w:rFonts w:ascii="Bookman Old Style" w:hAnsi="Bookman Old Style"/>
          <w:sz w:val="24"/>
          <w:szCs w:val="24"/>
        </w:rPr>
        <w:t xml:space="preserve"> </w:t>
      </w:r>
      <w:r w:rsidRPr="00727324">
        <w:rPr>
          <w:rFonts w:ascii="Bookman Old Style" w:hAnsi="Bookman Old Style"/>
          <w:sz w:val="24"/>
          <w:szCs w:val="24"/>
        </w:rPr>
        <w:t>tercantum</w:t>
      </w:r>
      <w:r w:rsidR="00A954D0">
        <w:rPr>
          <w:rFonts w:ascii="Bookman Old Style" w:hAnsi="Bookman Old Style"/>
          <w:sz w:val="24"/>
          <w:szCs w:val="24"/>
        </w:rPr>
        <w:t xml:space="preserve"> </w:t>
      </w:r>
      <w:r w:rsidRPr="00727324">
        <w:rPr>
          <w:rFonts w:ascii="Bookman Old Style" w:hAnsi="Bookman Old Style"/>
          <w:sz w:val="24"/>
          <w:szCs w:val="24"/>
        </w:rPr>
        <w:t>dalam</w:t>
      </w:r>
      <w:r w:rsidR="00A954D0">
        <w:rPr>
          <w:rFonts w:ascii="Bookman Old Style" w:hAnsi="Bookman Old Style"/>
          <w:sz w:val="24"/>
          <w:szCs w:val="24"/>
        </w:rPr>
        <w:t xml:space="preserve"> </w:t>
      </w:r>
      <w:r w:rsidRPr="00727324">
        <w:rPr>
          <w:rFonts w:ascii="Bookman Old Style" w:hAnsi="Bookman Old Style"/>
          <w:sz w:val="24"/>
          <w:szCs w:val="24"/>
        </w:rPr>
        <w:t>Rancangan</w:t>
      </w:r>
      <w:r w:rsidR="00A954D0">
        <w:rPr>
          <w:rFonts w:ascii="Bookman Old Style" w:hAnsi="Bookman Old Style"/>
          <w:sz w:val="24"/>
          <w:szCs w:val="24"/>
        </w:rPr>
        <w:t xml:space="preserve"> </w:t>
      </w:r>
      <w:r w:rsidRPr="00727324">
        <w:rPr>
          <w:rFonts w:ascii="Bookman Old Style" w:hAnsi="Bookman Old Style"/>
          <w:sz w:val="24"/>
          <w:szCs w:val="24"/>
        </w:rPr>
        <w:t>Peraturan</w:t>
      </w:r>
      <w:r w:rsidR="00A954D0">
        <w:rPr>
          <w:rFonts w:ascii="Bookman Old Style" w:hAnsi="Bookman Old Style"/>
          <w:sz w:val="24"/>
          <w:szCs w:val="24"/>
        </w:rPr>
        <w:t xml:space="preserve"> </w:t>
      </w:r>
      <w:r w:rsidRPr="00727324">
        <w:rPr>
          <w:rFonts w:ascii="Bookman Old Style" w:hAnsi="Bookman Old Style"/>
          <w:sz w:val="24"/>
          <w:szCs w:val="24"/>
        </w:rPr>
        <w:t>Daerah</w:t>
      </w:r>
      <w:r w:rsidR="00A954D0">
        <w:rPr>
          <w:rFonts w:ascii="Bookman Old Style" w:hAnsi="Bookman Old Style"/>
          <w:sz w:val="24"/>
          <w:szCs w:val="24"/>
          <w:lang w:val="id-ID"/>
        </w:rPr>
        <w:t xml:space="preserve"> </w:t>
      </w:r>
      <w:r w:rsidRPr="002A49B8">
        <w:rPr>
          <w:rFonts w:ascii="Bookman Old Style" w:hAnsi="Bookman Old Style"/>
          <w:sz w:val="24"/>
          <w:szCs w:val="24"/>
          <w:lang w:val="fi-FI"/>
        </w:rPr>
        <w:t>Kota</w:t>
      </w:r>
      <w:r w:rsidR="00A954D0">
        <w:rPr>
          <w:rFonts w:ascii="Bookman Old Style" w:hAnsi="Bookman Old Style"/>
          <w:sz w:val="24"/>
          <w:szCs w:val="24"/>
          <w:lang w:val="fi-FI"/>
        </w:rPr>
        <w:t xml:space="preserve"> </w:t>
      </w:r>
      <w:r>
        <w:rPr>
          <w:rFonts w:ascii="Bookman Old Style" w:hAnsi="Bookman Old Style"/>
          <w:sz w:val="24"/>
          <w:szCs w:val="24"/>
          <w:lang w:val="fi-FI"/>
        </w:rPr>
        <w:t>Tangerang</w:t>
      </w:r>
      <w:r w:rsidR="00A954D0">
        <w:rPr>
          <w:rFonts w:ascii="Bookman Old Style" w:hAnsi="Bookman Old Style"/>
          <w:sz w:val="24"/>
          <w:szCs w:val="24"/>
          <w:lang w:val="fi-FI"/>
        </w:rPr>
        <w:t xml:space="preserve"> </w:t>
      </w:r>
      <w:r w:rsidRPr="00727324">
        <w:rPr>
          <w:rFonts w:ascii="Bookman Old Style" w:hAnsi="Bookman Old Style"/>
          <w:sz w:val="24"/>
          <w:szCs w:val="24"/>
        </w:rPr>
        <w:t>tentang</w:t>
      </w:r>
      <w:r w:rsidR="00A954D0">
        <w:rPr>
          <w:rFonts w:ascii="Bookman Old Style" w:hAnsi="Bookman Old Style"/>
          <w:sz w:val="24"/>
          <w:szCs w:val="24"/>
        </w:rPr>
        <w:t xml:space="preserve"> </w:t>
      </w:r>
      <w:r w:rsidRPr="00727324">
        <w:rPr>
          <w:rFonts w:ascii="Bookman Old Style" w:hAnsi="Bookman Old Style"/>
          <w:sz w:val="24"/>
          <w:szCs w:val="24"/>
        </w:rPr>
        <w:t>APBD</w:t>
      </w:r>
      <w:r w:rsidR="00A954D0">
        <w:rPr>
          <w:rFonts w:ascii="Bookman Old Style" w:hAnsi="Bookman Old Style"/>
          <w:sz w:val="24"/>
          <w:szCs w:val="24"/>
        </w:rPr>
        <w:t xml:space="preserve"> </w:t>
      </w:r>
      <w:r w:rsidRPr="00727324">
        <w:rPr>
          <w:rFonts w:ascii="Bookman Old Style" w:hAnsi="Bookman Old Style"/>
          <w:sz w:val="24"/>
          <w:szCs w:val="24"/>
        </w:rPr>
        <w:t>Tahun</w:t>
      </w:r>
      <w:r w:rsidR="00A954D0">
        <w:rPr>
          <w:rFonts w:ascii="Bookman Old Style" w:hAnsi="Bookman Old Style"/>
          <w:sz w:val="24"/>
          <w:szCs w:val="24"/>
        </w:rPr>
        <w:t xml:space="preserve"> </w:t>
      </w:r>
      <w:r w:rsidRPr="00727324">
        <w:rPr>
          <w:rFonts w:ascii="Bookman Old Style" w:hAnsi="Bookman Old Style"/>
          <w:sz w:val="24"/>
          <w:szCs w:val="24"/>
        </w:rPr>
        <w:t>Anggaran</w:t>
      </w:r>
      <w:r w:rsidR="00A954D0">
        <w:rPr>
          <w:rFonts w:ascii="Bookman Old Style" w:hAnsi="Bookman Old Style"/>
          <w:sz w:val="24"/>
          <w:szCs w:val="24"/>
        </w:rPr>
        <w:t xml:space="preserve"> </w:t>
      </w:r>
      <w:r w:rsidRPr="00727324">
        <w:rPr>
          <w:rFonts w:ascii="Bookman Old Style" w:hAnsi="Bookman Old Style"/>
          <w:sz w:val="24"/>
          <w:szCs w:val="24"/>
        </w:rPr>
        <w:t>202</w:t>
      </w:r>
      <w:r w:rsidRPr="003255BC">
        <w:rPr>
          <w:rFonts w:ascii="Bookman Old Style" w:hAnsi="Bookman Old Style"/>
          <w:sz w:val="24"/>
          <w:szCs w:val="24"/>
          <w:lang w:val="sv-FI"/>
        </w:rPr>
        <w:t>5</w:t>
      </w:r>
      <w:r w:rsidR="00A954D0">
        <w:rPr>
          <w:rFonts w:ascii="Bookman Old Style" w:hAnsi="Bookman Old Style"/>
          <w:sz w:val="24"/>
          <w:szCs w:val="24"/>
        </w:rPr>
        <w:t xml:space="preserve"> </w:t>
      </w:r>
      <w:r w:rsidRPr="00727324">
        <w:rPr>
          <w:rFonts w:ascii="Bookman Old Style" w:hAnsi="Bookman Old Style"/>
          <w:sz w:val="24"/>
          <w:szCs w:val="24"/>
        </w:rPr>
        <w:t>sejumlah</w:t>
      </w:r>
      <w:r w:rsidR="00A954D0" w:rsidRPr="003255BC">
        <w:rPr>
          <w:rFonts w:ascii="Bookman Old Style" w:hAnsi="Bookman Old Style"/>
          <w:sz w:val="24"/>
          <w:szCs w:val="24"/>
          <w:lang w:val="sv-FI"/>
        </w:rPr>
        <w:t xml:space="preserve"> </w:t>
      </w:r>
      <w:r w:rsidRPr="00727324">
        <w:rPr>
          <w:rFonts w:ascii="Bookman Old Style" w:hAnsi="Bookman Old Style"/>
          <w:sz w:val="24"/>
          <w:szCs w:val="24"/>
          <w:lang w:val="id-ID"/>
        </w:rPr>
        <w:t>1</w:t>
      </w:r>
      <w:r>
        <w:rPr>
          <w:rFonts w:ascii="Bookman Old Style" w:hAnsi="Bookman Old Style"/>
          <w:sz w:val="24"/>
          <w:szCs w:val="24"/>
          <w:lang w:val="id-ID"/>
        </w:rPr>
        <w:t>15</w:t>
      </w:r>
      <w:r w:rsidR="00A954D0">
        <w:rPr>
          <w:rFonts w:ascii="Bookman Old Style" w:hAnsi="Bookman Old Style"/>
          <w:sz w:val="24"/>
          <w:szCs w:val="24"/>
          <w:lang w:val="id-ID"/>
        </w:rPr>
        <w:t xml:space="preserve"> </w:t>
      </w:r>
      <w:r w:rsidRPr="00727324">
        <w:rPr>
          <w:rFonts w:ascii="Bookman Old Style" w:hAnsi="Bookman Old Style"/>
          <w:sz w:val="24"/>
          <w:szCs w:val="24"/>
          <w:lang w:val="id-ID"/>
        </w:rPr>
        <w:t>p</w:t>
      </w:r>
      <w:r w:rsidRPr="00727324">
        <w:rPr>
          <w:rFonts w:ascii="Bookman Old Style" w:hAnsi="Bookman Old Style"/>
          <w:sz w:val="24"/>
          <w:szCs w:val="24"/>
        </w:rPr>
        <w:t>rogram</w:t>
      </w:r>
      <w:r w:rsidRPr="003255BC">
        <w:rPr>
          <w:rFonts w:ascii="Bookman Old Style" w:hAnsi="Bookman Old Style"/>
          <w:sz w:val="24"/>
          <w:szCs w:val="24"/>
          <w:lang w:val="sv-FI"/>
        </w:rPr>
        <w:t>.</w:t>
      </w:r>
    </w:p>
    <w:p w14:paraId="2EA5B81F" w14:textId="05CB7BFB" w:rsidR="00C66002" w:rsidRPr="00727324" w:rsidRDefault="00C66002" w:rsidP="00C66002">
      <w:pPr>
        <w:spacing w:before="60" w:line="276" w:lineRule="auto"/>
        <w:ind w:left="567"/>
        <w:jc w:val="both"/>
        <w:rPr>
          <w:rFonts w:ascii="Bookman Old Style" w:hAnsi="Bookman Old Style"/>
          <w:lang w:val="fi-FI"/>
        </w:rPr>
      </w:pPr>
      <w:r w:rsidRPr="00727324">
        <w:rPr>
          <w:rFonts w:ascii="Bookman Old Style" w:hAnsi="Bookman Old Style"/>
          <w:lang w:val="fi-FI"/>
        </w:rPr>
        <w:t>Sehubungan</w:t>
      </w:r>
      <w:r w:rsidR="00A954D0">
        <w:rPr>
          <w:rFonts w:ascii="Bookman Old Style" w:hAnsi="Bookman Old Style"/>
          <w:lang w:val="fi-FI"/>
        </w:rPr>
        <w:t xml:space="preserve"> </w:t>
      </w:r>
      <w:r w:rsidRPr="00727324">
        <w:rPr>
          <w:rFonts w:ascii="Bookman Old Style" w:hAnsi="Bookman Old Style"/>
          <w:lang w:val="fi-FI"/>
        </w:rPr>
        <w:t>hal</w:t>
      </w:r>
      <w:r w:rsidR="00A954D0">
        <w:rPr>
          <w:rFonts w:ascii="Bookman Old Style" w:hAnsi="Bookman Old Style"/>
          <w:lang w:val="fi-FI"/>
        </w:rPr>
        <w:t xml:space="preserve"> </w:t>
      </w:r>
      <w:r w:rsidRPr="00727324">
        <w:rPr>
          <w:rFonts w:ascii="Bookman Old Style" w:hAnsi="Bookman Old Style"/>
          <w:lang w:val="fi-FI"/>
        </w:rPr>
        <w:t>tersebut,</w:t>
      </w:r>
      <w:r w:rsidR="00A954D0">
        <w:rPr>
          <w:rFonts w:ascii="Bookman Old Style" w:hAnsi="Bookman Old Style"/>
          <w:lang w:val="fi-FI"/>
        </w:rPr>
        <w:t xml:space="preserve"> </w:t>
      </w:r>
      <w:r w:rsidRPr="00727324">
        <w:rPr>
          <w:rFonts w:ascii="Bookman Old Style" w:hAnsi="Bookman Old Style"/>
          <w:lang w:val="fi-FI"/>
        </w:rPr>
        <w:t>Pemerintah</w:t>
      </w:r>
      <w:r w:rsidR="00A954D0">
        <w:rPr>
          <w:rFonts w:ascii="Bookman Old Style" w:hAnsi="Bookman Old Style"/>
          <w:lang w:val="fi-FI"/>
        </w:rPr>
        <w:t xml:space="preserve"> </w:t>
      </w:r>
      <w:r w:rsidRPr="00727324">
        <w:rPr>
          <w:rFonts w:ascii="Bookman Old Style" w:hAnsi="Bookman Old Style"/>
          <w:lang w:val="fi-FI"/>
        </w:rPr>
        <w:t>Daerah</w:t>
      </w:r>
      <w:r w:rsidR="00A954D0">
        <w:rPr>
          <w:rFonts w:ascii="Bookman Old Style" w:hAnsi="Bookman Old Style"/>
          <w:lang w:val="id-ID"/>
        </w:rPr>
        <w:t xml:space="preserve"> </w:t>
      </w:r>
      <w:r w:rsidRPr="002A49B8">
        <w:rPr>
          <w:rFonts w:ascii="Bookman Old Style" w:hAnsi="Bookman Old Style"/>
          <w:lang w:val="fi-FI"/>
        </w:rPr>
        <w:t>Kota</w:t>
      </w:r>
      <w:r w:rsidR="00A954D0">
        <w:rPr>
          <w:rFonts w:ascii="Bookman Old Style" w:hAnsi="Bookman Old Style"/>
          <w:lang w:val="fi-FI"/>
        </w:rPr>
        <w:t xml:space="preserve"> </w:t>
      </w:r>
      <w:r>
        <w:rPr>
          <w:rFonts w:ascii="Bookman Old Style" w:hAnsi="Bookman Old Style"/>
          <w:lang w:val="fi-FI"/>
        </w:rPr>
        <w:t>Tangerang</w:t>
      </w:r>
      <w:r w:rsidR="00A954D0">
        <w:rPr>
          <w:rFonts w:ascii="Bookman Old Style" w:hAnsi="Bookman Old Style"/>
          <w:lang w:val="fi-FI"/>
        </w:rPr>
        <w:t xml:space="preserve"> </w:t>
      </w:r>
      <w:r w:rsidRPr="00727324">
        <w:rPr>
          <w:rFonts w:ascii="Bookman Old Style" w:hAnsi="Bookman Old Style"/>
          <w:lang w:val="id-ID"/>
        </w:rPr>
        <w:t>memperhatikan:</w:t>
      </w:r>
      <w:r w:rsidR="00A954D0">
        <w:rPr>
          <w:rFonts w:ascii="Bookman Old Style" w:hAnsi="Bookman Old Style"/>
          <w:lang w:val="id-ID"/>
        </w:rPr>
        <w:t xml:space="preserve"> </w:t>
      </w:r>
    </w:p>
    <w:p w14:paraId="269546EB" w14:textId="6562320C" w:rsidR="00C66002" w:rsidRPr="00C66002" w:rsidRDefault="00C66002">
      <w:pPr>
        <w:pStyle w:val="ListParagraph"/>
        <w:numPr>
          <w:ilvl w:val="0"/>
          <w:numId w:val="95"/>
        </w:numPr>
        <w:spacing w:before="60" w:after="0" w:line="276" w:lineRule="auto"/>
        <w:ind w:left="993" w:hanging="426"/>
        <w:contextualSpacing w:val="0"/>
        <w:jc w:val="both"/>
        <w:rPr>
          <w:rFonts w:ascii="Bookman Old Style" w:hAnsi="Bookman Old Style"/>
          <w:sz w:val="24"/>
          <w:szCs w:val="24"/>
          <w:lang w:val="fi-FI" w:eastAsia="en-US"/>
        </w:rPr>
      </w:pPr>
      <w:r w:rsidRPr="00727324">
        <w:rPr>
          <w:rFonts w:ascii="Bookman Old Style" w:hAnsi="Bookman Old Style"/>
          <w:sz w:val="24"/>
          <w:szCs w:val="24"/>
          <w:lang w:val="fi-FI" w:eastAsia="en-US"/>
        </w:rPr>
        <w:t>Jumlah</w:t>
      </w:r>
      <w:r w:rsidR="00A954D0">
        <w:rPr>
          <w:rFonts w:ascii="Bookman Old Style" w:hAnsi="Bookman Old Style"/>
          <w:sz w:val="24"/>
          <w:szCs w:val="24"/>
          <w:lang w:val="fi-FI" w:eastAsia="en-US"/>
        </w:rPr>
        <w:t xml:space="preserve"> </w:t>
      </w:r>
      <w:r w:rsidRPr="00727324">
        <w:rPr>
          <w:rFonts w:ascii="Bookman Old Style" w:hAnsi="Bookman Old Style"/>
          <w:sz w:val="24"/>
          <w:szCs w:val="24"/>
          <w:lang w:val="fi-FI" w:eastAsia="en-US"/>
        </w:rPr>
        <w:t>anggaran</w:t>
      </w:r>
      <w:r w:rsidR="00A954D0">
        <w:rPr>
          <w:rFonts w:ascii="Bookman Old Style" w:hAnsi="Bookman Old Style"/>
          <w:sz w:val="24"/>
          <w:szCs w:val="24"/>
          <w:lang w:val="fi-FI" w:eastAsia="en-US"/>
        </w:rPr>
        <w:t xml:space="preserve"> </w:t>
      </w:r>
      <w:r w:rsidRPr="00727324">
        <w:rPr>
          <w:rFonts w:ascii="Bookman Old Style" w:hAnsi="Bookman Old Style"/>
          <w:sz w:val="24"/>
          <w:szCs w:val="24"/>
          <w:lang w:val="fi-FI" w:eastAsia="en-US"/>
        </w:rPr>
        <w:t>dalam</w:t>
      </w:r>
      <w:r w:rsidR="00A954D0">
        <w:rPr>
          <w:rFonts w:ascii="Bookman Old Style" w:hAnsi="Bookman Old Style"/>
          <w:sz w:val="24"/>
          <w:szCs w:val="24"/>
          <w:lang w:val="fi-FI" w:eastAsia="en-US"/>
        </w:rPr>
        <w:t xml:space="preserve"> </w:t>
      </w:r>
      <w:r>
        <w:rPr>
          <w:rFonts w:ascii="Bookman Old Style" w:hAnsi="Bookman Old Style"/>
          <w:sz w:val="24"/>
          <w:szCs w:val="24"/>
          <w:lang w:val="id-ID" w:eastAsia="en-US"/>
        </w:rPr>
        <w:t>RPD</w:t>
      </w:r>
      <w:r w:rsidR="00A954D0">
        <w:rPr>
          <w:rFonts w:ascii="Bookman Old Style" w:hAnsi="Bookman Old Style"/>
          <w:sz w:val="24"/>
          <w:szCs w:val="24"/>
          <w:lang w:val="fi-FI" w:eastAsia="en-US"/>
        </w:rPr>
        <w:t xml:space="preserve"> </w:t>
      </w:r>
      <w:r w:rsidRPr="00727324">
        <w:rPr>
          <w:rFonts w:ascii="Bookman Old Style" w:hAnsi="Bookman Old Style"/>
          <w:sz w:val="24"/>
          <w:szCs w:val="24"/>
          <w:lang w:val="fi-FI" w:eastAsia="en-US"/>
        </w:rPr>
        <w:t>bersifat</w:t>
      </w:r>
      <w:r w:rsidR="00A954D0">
        <w:rPr>
          <w:rFonts w:ascii="Bookman Old Style" w:hAnsi="Bookman Old Style"/>
          <w:sz w:val="24"/>
          <w:szCs w:val="24"/>
          <w:lang w:val="fi-FI" w:eastAsia="en-US"/>
        </w:rPr>
        <w:t xml:space="preserve"> </w:t>
      </w:r>
      <w:r w:rsidRPr="00727324">
        <w:rPr>
          <w:rFonts w:ascii="Bookman Old Style" w:hAnsi="Bookman Old Style"/>
          <w:sz w:val="24"/>
          <w:szCs w:val="24"/>
          <w:lang w:val="fi-FI" w:eastAsia="en-US"/>
        </w:rPr>
        <w:t>indikatif,</w:t>
      </w:r>
      <w:r w:rsidR="00A954D0">
        <w:rPr>
          <w:rFonts w:ascii="Bookman Old Style" w:hAnsi="Bookman Old Style"/>
          <w:sz w:val="24"/>
          <w:szCs w:val="24"/>
          <w:lang w:val="fi-FI" w:eastAsia="en-US"/>
        </w:rPr>
        <w:t xml:space="preserve"> </w:t>
      </w:r>
      <w:r w:rsidRPr="00727324">
        <w:rPr>
          <w:rFonts w:ascii="Bookman Old Style" w:hAnsi="Bookman Old Style"/>
          <w:sz w:val="24"/>
          <w:szCs w:val="24"/>
          <w:lang w:val="fi-FI" w:eastAsia="en-US"/>
        </w:rPr>
        <w:t>agar</w:t>
      </w:r>
      <w:r w:rsidR="00A954D0">
        <w:rPr>
          <w:rFonts w:ascii="Bookman Old Style" w:hAnsi="Bookman Old Style"/>
          <w:sz w:val="24"/>
          <w:szCs w:val="24"/>
          <w:lang w:val="fi-FI" w:eastAsia="en-US"/>
        </w:rPr>
        <w:t xml:space="preserve"> </w:t>
      </w:r>
      <w:r w:rsidRPr="00727324">
        <w:rPr>
          <w:rFonts w:ascii="Bookman Old Style" w:hAnsi="Bookman Old Style"/>
          <w:sz w:val="24"/>
          <w:szCs w:val="24"/>
          <w:lang w:val="fi-FI" w:eastAsia="en-US"/>
        </w:rPr>
        <w:t>dipastikan</w:t>
      </w:r>
      <w:r w:rsidR="00A954D0">
        <w:rPr>
          <w:rFonts w:ascii="Bookman Old Style" w:hAnsi="Bookman Old Style"/>
          <w:sz w:val="24"/>
          <w:szCs w:val="24"/>
          <w:lang w:val="fi-FI" w:eastAsia="en-US"/>
        </w:rPr>
        <w:t xml:space="preserve"> </w:t>
      </w:r>
      <w:r w:rsidRPr="00727324">
        <w:rPr>
          <w:rFonts w:ascii="Bookman Old Style" w:hAnsi="Bookman Old Style"/>
          <w:sz w:val="24"/>
          <w:szCs w:val="24"/>
          <w:lang w:val="fi-FI" w:eastAsia="en-US"/>
        </w:rPr>
        <w:t>belanja</w:t>
      </w:r>
      <w:r w:rsidR="00A954D0">
        <w:rPr>
          <w:rFonts w:ascii="Bookman Old Style" w:hAnsi="Bookman Old Style"/>
          <w:sz w:val="24"/>
          <w:szCs w:val="24"/>
          <w:lang w:val="fi-FI" w:eastAsia="en-US"/>
        </w:rPr>
        <w:t xml:space="preserve"> </w:t>
      </w:r>
      <w:r w:rsidRPr="00727324">
        <w:rPr>
          <w:rFonts w:ascii="Bookman Old Style" w:hAnsi="Bookman Old Style"/>
          <w:sz w:val="24"/>
          <w:szCs w:val="24"/>
          <w:lang w:val="fi-FI" w:eastAsia="en-US"/>
        </w:rPr>
        <w:t>daerah</w:t>
      </w:r>
      <w:r w:rsidR="00A954D0">
        <w:rPr>
          <w:rFonts w:ascii="Bookman Old Style" w:hAnsi="Bookman Old Style"/>
          <w:sz w:val="24"/>
          <w:szCs w:val="24"/>
          <w:lang w:val="fi-FI" w:eastAsia="en-US"/>
        </w:rPr>
        <w:t xml:space="preserve"> </w:t>
      </w:r>
      <w:r w:rsidRPr="00727324">
        <w:rPr>
          <w:rFonts w:ascii="Bookman Old Style" w:hAnsi="Bookman Old Style"/>
          <w:sz w:val="24"/>
          <w:szCs w:val="24"/>
          <w:lang w:val="fi-FI" w:eastAsia="en-US"/>
        </w:rPr>
        <w:t>setiap</w:t>
      </w:r>
      <w:r w:rsidR="00A954D0">
        <w:rPr>
          <w:rFonts w:ascii="Bookman Old Style" w:hAnsi="Bookman Old Style"/>
          <w:sz w:val="24"/>
          <w:szCs w:val="24"/>
          <w:lang w:val="fi-FI" w:eastAsia="en-US"/>
        </w:rPr>
        <w:t xml:space="preserve"> </w:t>
      </w:r>
      <w:r w:rsidRPr="00727324">
        <w:rPr>
          <w:rFonts w:ascii="Bookman Old Style" w:hAnsi="Bookman Old Style"/>
          <w:sz w:val="24"/>
          <w:szCs w:val="24"/>
          <w:lang w:val="fi-FI" w:eastAsia="en-US"/>
        </w:rPr>
        <w:t>tahun</w:t>
      </w:r>
      <w:r w:rsidR="00A954D0">
        <w:rPr>
          <w:rFonts w:ascii="Bookman Old Style" w:hAnsi="Bookman Old Style"/>
          <w:sz w:val="24"/>
          <w:szCs w:val="24"/>
          <w:lang w:val="fi-FI" w:eastAsia="en-US"/>
        </w:rPr>
        <w:t xml:space="preserve"> </w:t>
      </w:r>
      <w:r w:rsidRPr="00727324">
        <w:rPr>
          <w:rFonts w:ascii="Bookman Old Style" w:hAnsi="Bookman Old Style"/>
          <w:sz w:val="24"/>
          <w:szCs w:val="24"/>
          <w:lang w:val="fi-FI" w:eastAsia="en-US"/>
        </w:rPr>
        <w:t>dianggarkan</w:t>
      </w:r>
      <w:r w:rsidR="00A954D0">
        <w:rPr>
          <w:rFonts w:ascii="Bookman Old Style" w:hAnsi="Bookman Old Style"/>
          <w:sz w:val="24"/>
          <w:szCs w:val="24"/>
          <w:lang w:val="fi-FI" w:eastAsia="en-US"/>
        </w:rPr>
        <w:t xml:space="preserve"> </w:t>
      </w:r>
      <w:r w:rsidRPr="00727324">
        <w:rPr>
          <w:rFonts w:ascii="Bookman Old Style" w:hAnsi="Bookman Old Style"/>
          <w:sz w:val="24"/>
          <w:szCs w:val="24"/>
          <w:lang w:val="fi-FI" w:eastAsia="en-US"/>
        </w:rPr>
        <w:t>sesuai</w:t>
      </w:r>
      <w:r w:rsidR="00A954D0">
        <w:rPr>
          <w:rFonts w:ascii="Bookman Old Style" w:hAnsi="Bookman Old Style"/>
          <w:sz w:val="24"/>
          <w:szCs w:val="24"/>
          <w:lang w:val="fi-FI" w:eastAsia="en-US"/>
        </w:rPr>
        <w:t xml:space="preserve"> </w:t>
      </w:r>
      <w:r w:rsidRPr="00727324">
        <w:rPr>
          <w:rFonts w:ascii="Bookman Old Style" w:hAnsi="Bookman Old Style"/>
          <w:sz w:val="24"/>
          <w:szCs w:val="24"/>
          <w:lang w:val="fi-FI" w:eastAsia="en-US"/>
        </w:rPr>
        <w:t>dengan</w:t>
      </w:r>
      <w:r w:rsidR="00A954D0">
        <w:rPr>
          <w:rFonts w:ascii="Bookman Old Style" w:hAnsi="Bookman Old Style"/>
          <w:sz w:val="24"/>
          <w:szCs w:val="24"/>
          <w:lang w:val="fi-FI" w:eastAsia="en-US"/>
        </w:rPr>
        <w:t xml:space="preserve"> </w:t>
      </w:r>
      <w:r w:rsidRPr="00727324">
        <w:rPr>
          <w:rFonts w:ascii="Bookman Old Style" w:hAnsi="Bookman Old Style"/>
          <w:sz w:val="24"/>
          <w:szCs w:val="24"/>
          <w:lang w:val="fi-FI" w:eastAsia="en-US"/>
        </w:rPr>
        <w:t>ketentuan</w:t>
      </w:r>
      <w:r w:rsidR="00A954D0">
        <w:rPr>
          <w:rFonts w:ascii="Bookman Old Style" w:hAnsi="Bookman Old Style"/>
          <w:sz w:val="24"/>
          <w:szCs w:val="24"/>
          <w:lang w:val="fi-FI" w:eastAsia="en-US"/>
        </w:rPr>
        <w:t xml:space="preserve"> </w:t>
      </w:r>
      <w:r w:rsidRPr="00727324">
        <w:rPr>
          <w:rFonts w:ascii="Bookman Old Style" w:hAnsi="Bookman Old Style"/>
          <w:sz w:val="24"/>
          <w:szCs w:val="24"/>
          <w:lang w:val="fi-FI" w:eastAsia="en-US"/>
        </w:rPr>
        <w:t>peraturan</w:t>
      </w:r>
      <w:r w:rsidR="00A954D0">
        <w:rPr>
          <w:rFonts w:ascii="Bookman Old Style" w:hAnsi="Bookman Old Style"/>
          <w:sz w:val="24"/>
          <w:szCs w:val="24"/>
          <w:lang w:val="fi-FI" w:eastAsia="en-US"/>
        </w:rPr>
        <w:t xml:space="preserve"> </w:t>
      </w:r>
      <w:r w:rsidRPr="00C66002">
        <w:rPr>
          <w:rFonts w:ascii="Bookman Old Style" w:hAnsi="Bookman Old Style"/>
          <w:sz w:val="24"/>
          <w:szCs w:val="24"/>
          <w:lang w:val="fi-FI" w:eastAsia="en-US"/>
        </w:rPr>
        <w:t>perundang-undangan</w:t>
      </w:r>
      <w:r w:rsidRPr="00C66002">
        <w:rPr>
          <w:rFonts w:ascii="Bookman Old Style" w:hAnsi="Bookman Old Style"/>
          <w:sz w:val="24"/>
          <w:szCs w:val="24"/>
          <w:lang w:val="id-ID" w:eastAsia="en-US"/>
        </w:rPr>
        <w:t>,</w:t>
      </w:r>
      <w:r w:rsidR="00A954D0">
        <w:rPr>
          <w:rFonts w:ascii="Bookman Old Style" w:hAnsi="Bookman Old Style"/>
          <w:sz w:val="24"/>
          <w:szCs w:val="24"/>
          <w:lang w:val="fi-FI" w:eastAsia="en-US"/>
        </w:rPr>
        <w:t xml:space="preserve"> </w:t>
      </w:r>
      <w:r w:rsidRPr="00C66002">
        <w:rPr>
          <w:rFonts w:ascii="Bookman Old Style" w:hAnsi="Bookman Old Style"/>
          <w:sz w:val="24"/>
          <w:szCs w:val="24"/>
          <w:lang w:val="fi-FI" w:eastAsia="en-US"/>
        </w:rPr>
        <w:t>terutama</w:t>
      </w:r>
      <w:r w:rsidR="00A954D0">
        <w:rPr>
          <w:rFonts w:ascii="Bookman Old Style" w:hAnsi="Bookman Old Style"/>
          <w:sz w:val="24"/>
          <w:szCs w:val="24"/>
          <w:lang w:val="fi-FI" w:eastAsia="en-US"/>
        </w:rPr>
        <w:t xml:space="preserve"> </w:t>
      </w:r>
      <w:r w:rsidRPr="00C66002">
        <w:rPr>
          <w:rFonts w:ascii="Bookman Old Style" w:hAnsi="Bookman Old Style"/>
          <w:sz w:val="24"/>
          <w:szCs w:val="24"/>
          <w:lang w:val="fi-FI" w:eastAsia="en-US"/>
        </w:rPr>
        <w:lastRenderedPageBreak/>
        <w:t>menyangkut</w:t>
      </w:r>
      <w:r w:rsidR="00A954D0">
        <w:rPr>
          <w:rFonts w:ascii="Bookman Old Style" w:hAnsi="Bookman Old Style"/>
          <w:sz w:val="24"/>
          <w:szCs w:val="24"/>
          <w:lang w:val="fi-FI" w:eastAsia="en-US"/>
        </w:rPr>
        <w:t xml:space="preserve"> </w:t>
      </w:r>
      <w:r w:rsidRPr="00C66002">
        <w:rPr>
          <w:rFonts w:ascii="Bookman Old Style" w:hAnsi="Bookman Old Style"/>
          <w:sz w:val="24"/>
          <w:szCs w:val="24"/>
          <w:lang w:val="fi-FI" w:eastAsia="en-US"/>
        </w:rPr>
        <w:t>pelaksanaan</w:t>
      </w:r>
      <w:r w:rsidR="00A954D0">
        <w:rPr>
          <w:rFonts w:ascii="Bookman Old Style" w:hAnsi="Bookman Old Style"/>
          <w:sz w:val="24"/>
          <w:szCs w:val="24"/>
          <w:lang w:val="fi-FI" w:eastAsia="en-US"/>
        </w:rPr>
        <w:t xml:space="preserve"> </w:t>
      </w:r>
      <w:r w:rsidRPr="00C66002">
        <w:rPr>
          <w:rFonts w:ascii="Bookman Old Style" w:hAnsi="Bookman Old Style"/>
          <w:sz w:val="24"/>
          <w:szCs w:val="24"/>
          <w:lang w:val="fi-FI" w:eastAsia="en-US"/>
        </w:rPr>
        <w:t>Program</w:t>
      </w:r>
      <w:r w:rsidR="00A954D0">
        <w:rPr>
          <w:rFonts w:ascii="Bookman Old Style" w:hAnsi="Bookman Old Style"/>
          <w:sz w:val="24"/>
          <w:szCs w:val="24"/>
          <w:lang w:val="fi-FI" w:eastAsia="en-US"/>
        </w:rPr>
        <w:t xml:space="preserve"> </w:t>
      </w:r>
      <w:r w:rsidRPr="00C66002">
        <w:rPr>
          <w:rFonts w:ascii="Bookman Old Style" w:hAnsi="Bookman Old Style"/>
          <w:sz w:val="24"/>
          <w:szCs w:val="24"/>
          <w:lang w:val="fi-FI" w:eastAsia="en-US"/>
        </w:rPr>
        <w:t>Prioritas</w:t>
      </w:r>
      <w:r w:rsidR="00A954D0">
        <w:rPr>
          <w:rFonts w:ascii="Bookman Old Style" w:hAnsi="Bookman Old Style"/>
          <w:sz w:val="24"/>
          <w:szCs w:val="24"/>
          <w:lang w:val="fi-FI" w:eastAsia="en-US"/>
        </w:rPr>
        <w:t xml:space="preserve"> </w:t>
      </w:r>
      <w:r w:rsidRPr="00C66002">
        <w:rPr>
          <w:rFonts w:ascii="Bookman Old Style" w:hAnsi="Bookman Old Style"/>
          <w:sz w:val="24"/>
          <w:szCs w:val="24"/>
          <w:lang w:val="fi-FI" w:eastAsia="en-US"/>
        </w:rPr>
        <w:t>Daerah</w:t>
      </w:r>
      <w:r w:rsidR="00A954D0">
        <w:rPr>
          <w:rFonts w:ascii="Bookman Old Style" w:hAnsi="Bookman Old Style"/>
          <w:sz w:val="24"/>
          <w:szCs w:val="24"/>
          <w:lang w:val="fi-FI" w:eastAsia="en-US"/>
        </w:rPr>
        <w:t xml:space="preserve"> </w:t>
      </w:r>
      <w:r w:rsidRPr="00C66002">
        <w:rPr>
          <w:rFonts w:ascii="Bookman Old Style" w:hAnsi="Bookman Old Style"/>
          <w:sz w:val="24"/>
          <w:szCs w:val="24"/>
          <w:lang w:val="fi-FI" w:eastAsia="en-US"/>
        </w:rPr>
        <w:t>dan</w:t>
      </w:r>
      <w:r w:rsidR="00A954D0">
        <w:rPr>
          <w:rFonts w:ascii="Bookman Old Style" w:hAnsi="Bookman Old Style"/>
          <w:sz w:val="24"/>
          <w:szCs w:val="24"/>
          <w:lang w:val="fi-FI" w:eastAsia="en-US"/>
        </w:rPr>
        <w:t xml:space="preserve"> </w:t>
      </w:r>
      <w:r w:rsidRPr="00C66002">
        <w:rPr>
          <w:rFonts w:ascii="Bookman Old Style" w:hAnsi="Bookman Old Style"/>
          <w:sz w:val="24"/>
          <w:szCs w:val="24"/>
          <w:lang w:val="fi-FI" w:eastAsia="en-US"/>
        </w:rPr>
        <w:t>dukungan</w:t>
      </w:r>
      <w:r w:rsidR="00A954D0">
        <w:rPr>
          <w:rFonts w:ascii="Bookman Old Style" w:hAnsi="Bookman Old Style"/>
          <w:sz w:val="24"/>
          <w:szCs w:val="24"/>
          <w:lang w:val="fi-FI" w:eastAsia="en-US"/>
        </w:rPr>
        <w:t xml:space="preserve"> </w:t>
      </w:r>
      <w:r w:rsidRPr="00C66002">
        <w:rPr>
          <w:rFonts w:ascii="Bookman Old Style" w:hAnsi="Bookman Old Style"/>
          <w:sz w:val="24"/>
          <w:szCs w:val="24"/>
          <w:lang w:val="fi-FI" w:eastAsia="en-US"/>
        </w:rPr>
        <w:t>terhadap</w:t>
      </w:r>
      <w:r w:rsidR="00A954D0">
        <w:rPr>
          <w:rFonts w:ascii="Bookman Old Style" w:hAnsi="Bookman Old Style"/>
          <w:sz w:val="24"/>
          <w:szCs w:val="24"/>
          <w:lang w:val="fi-FI" w:eastAsia="en-US"/>
        </w:rPr>
        <w:t xml:space="preserve"> </w:t>
      </w:r>
      <w:r w:rsidRPr="00C66002">
        <w:rPr>
          <w:rFonts w:ascii="Bookman Old Style" w:hAnsi="Bookman Old Style"/>
          <w:sz w:val="24"/>
          <w:szCs w:val="24"/>
          <w:lang w:val="fi-FI" w:eastAsia="en-US"/>
        </w:rPr>
        <w:t>Prioritas</w:t>
      </w:r>
      <w:r w:rsidR="00A954D0">
        <w:rPr>
          <w:rFonts w:ascii="Bookman Old Style" w:hAnsi="Bookman Old Style"/>
          <w:sz w:val="24"/>
          <w:szCs w:val="24"/>
          <w:lang w:val="fi-FI" w:eastAsia="en-US"/>
        </w:rPr>
        <w:t xml:space="preserve"> </w:t>
      </w:r>
      <w:r w:rsidRPr="00C66002">
        <w:rPr>
          <w:rFonts w:ascii="Bookman Old Style" w:hAnsi="Bookman Old Style"/>
          <w:sz w:val="24"/>
          <w:szCs w:val="24"/>
          <w:lang w:val="fi-FI" w:eastAsia="en-US"/>
        </w:rPr>
        <w:t>Nasional;</w:t>
      </w:r>
      <w:r w:rsidR="00A954D0">
        <w:rPr>
          <w:rFonts w:ascii="Bookman Old Style" w:hAnsi="Bookman Old Style"/>
          <w:sz w:val="24"/>
          <w:szCs w:val="24"/>
          <w:lang w:val="fi-FI" w:eastAsia="en-US"/>
        </w:rPr>
        <w:t xml:space="preserve"> </w:t>
      </w:r>
      <w:r w:rsidRPr="00C66002">
        <w:rPr>
          <w:rFonts w:ascii="Bookman Old Style" w:hAnsi="Bookman Old Style"/>
          <w:sz w:val="24"/>
          <w:szCs w:val="24"/>
          <w:lang w:val="fi-FI" w:eastAsia="en-US"/>
        </w:rPr>
        <w:t>dan</w:t>
      </w:r>
    </w:p>
    <w:p w14:paraId="7BA8D884" w14:textId="48A52821" w:rsidR="00093B4F" w:rsidRPr="00AC321A" w:rsidRDefault="00C66002">
      <w:pPr>
        <w:pStyle w:val="ListParagraph"/>
        <w:numPr>
          <w:ilvl w:val="0"/>
          <w:numId w:val="95"/>
        </w:numPr>
        <w:spacing w:before="60" w:after="0" w:line="276" w:lineRule="auto"/>
        <w:ind w:left="993" w:hanging="426"/>
        <w:contextualSpacing w:val="0"/>
        <w:jc w:val="both"/>
        <w:rPr>
          <w:rFonts w:ascii="Bookman Old Style" w:hAnsi="Bookman Old Style" w:cs="Arial"/>
          <w:bCs/>
          <w:sz w:val="24"/>
          <w:szCs w:val="24"/>
          <w:lang w:val="id-ID"/>
        </w:rPr>
      </w:pPr>
      <w:r w:rsidRPr="00C66002">
        <w:rPr>
          <w:rFonts w:ascii="Bookman Old Style" w:hAnsi="Bookman Old Style"/>
          <w:sz w:val="24"/>
          <w:szCs w:val="24"/>
          <w:lang w:val="fi-FI"/>
        </w:rPr>
        <w:t>Jumlah</w:t>
      </w:r>
      <w:r w:rsidR="00A954D0">
        <w:rPr>
          <w:rFonts w:ascii="Bookman Old Style" w:hAnsi="Bookman Old Style"/>
          <w:sz w:val="24"/>
          <w:szCs w:val="24"/>
          <w:lang w:val="fi-FI"/>
        </w:rPr>
        <w:t xml:space="preserve"> </w:t>
      </w:r>
      <w:r w:rsidRPr="00C66002">
        <w:rPr>
          <w:rFonts w:ascii="Bookman Old Style" w:hAnsi="Bookman Old Style"/>
          <w:sz w:val="24"/>
          <w:szCs w:val="24"/>
          <w:lang w:val="fi-FI"/>
        </w:rPr>
        <w:t>program,</w:t>
      </w:r>
      <w:r w:rsidR="00A954D0">
        <w:rPr>
          <w:rFonts w:ascii="Bookman Old Style" w:hAnsi="Bookman Old Style"/>
          <w:sz w:val="24"/>
          <w:szCs w:val="24"/>
          <w:lang w:val="fi-FI"/>
        </w:rPr>
        <w:t xml:space="preserve"> </w:t>
      </w:r>
      <w:r w:rsidRPr="00C66002">
        <w:rPr>
          <w:rFonts w:ascii="Bookman Old Style" w:hAnsi="Bookman Old Style"/>
          <w:sz w:val="24"/>
          <w:szCs w:val="24"/>
          <w:lang w:val="fi-FI"/>
        </w:rPr>
        <w:t>kegiatan,</w:t>
      </w:r>
      <w:r w:rsidR="00A954D0">
        <w:rPr>
          <w:rFonts w:ascii="Bookman Old Style" w:hAnsi="Bookman Old Style"/>
          <w:sz w:val="24"/>
          <w:szCs w:val="24"/>
          <w:lang w:val="fi-FI"/>
        </w:rPr>
        <w:t xml:space="preserve"> </w:t>
      </w:r>
      <w:r w:rsidRPr="00C66002">
        <w:rPr>
          <w:rFonts w:ascii="Bookman Old Style" w:hAnsi="Bookman Old Style"/>
          <w:sz w:val="24"/>
          <w:szCs w:val="24"/>
          <w:lang w:val="fi-FI"/>
        </w:rPr>
        <w:t>dan</w:t>
      </w:r>
      <w:r w:rsidR="00A954D0">
        <w:rPr>
          <w:rFonts w:ascii="Bookman Old Style" w:hAnsi="Bookman Old Style"/>
          <w:sz w:val="24"/>
          <w:szCs w:val="24"/>
          <w:lang w:val="fi-FI"/>
        </w:rPr>
        <w:t xml:space="preserve"> </w:t>
      </w:r>
      <w:r w:rsidRPr="00C66002">
        <w:rPr>
          <w:rFonts w:ascii="Bookman Old Style" w:hAnsi="Bookman Old Style"/>
          <w:sz w:val="24"/>
          <w:szCs w:val="24"/>
          <w:lang w:val="fi-FI"/>
        </w:rPr>
        <w:t>sub</w:t>
      </w:r>
      <w:r w:rsidR="00A954D0">
        <w:rPr>
          <w:rFonts w:ascii="Bookman Old Style" w:hAnsi="Bookman Old Style"/>
          <w:sz w:val="24"/>
          <w:szCs w:val="24"/>
          <w:lang w:val="fi-FI"/>
        </w:rPr>
        <w:t xml:space="preserve"> </w:t>
      </w:r>
      <w:r w:rsidRPr="00C66002">
        <w:rPr>
          <w:rFonts w:ascii="Bookman Old Style" w:hAnsi="Bookman Old Style"/>
          <w:sz w:val="24"/>
          <w:szCs w:val="24"/>
          <w:lang w:val="fi-FI"/>
        </w:rPr>
        <w:t>kegiatan</w:t>
      </w:r>
      <w:r w:rsidR="00A954D0">
        <w:rPr>
          <w:rFonts w:ascii="Bookman Old Style" w:hAnsi="Bookman Old Style"/>
          <w:sz w:val="24"/>
          <w:szCs w:val="24"/>
          <w:lang w:val="fi-FI"/>
        </w:rPr>
        <w:t xml:space="preserve"> </w:t>
      </w:r>
      <w:r w:rsidRPr="00C66002">
        <w:rPr>
          <w:rFonts w:ascii="Bookman Old Style" w:hAnsi="Bookman Old Style"/>
          <w:sz w:val="24"/>
          <w:szCs w:val="24"/>
          <w:lang w:val="fi-FI"/>
        </w:rPr>
        <w:t>agar</w:t>
      </w:r>
      <w:r w:rsidR="00A954D0">
        <w:rPr>
          <w:rFonts w:ascii="Bookman Old Style" w:hAnsi="Bookman Old Style"/>
          <w:sz w:val="24"/>
          <w:szCs w:val="24"/>
          <w:lang w:val="fi-FI"/>
        </w:rPr>
        <w:t xml:space="preserve"> </w:t>
      </w:r>
      <w:r w:rsidRPr="00C66002">
        <w:rPr>
          <w:rFonts w:ascii="Bookman Old Style" w:hAnsi="Bookman Old Style"/>
          <w:sz w:val="24"/>
          <w:szCs w:val="24"/>
          <w:lang w:val="fi-FI"/>
        </w:rPr>
        <w:t>didasarkan</w:t>
      </w:r>
      <w:r w:rsidR="00A954D0">
        <w:rPr>
          <w:rFonts w:ascii="Bookman Old Style" w:hAnsi="Bookman Old Style"/>
          <w:sz w:val="24"/>
          <w:szCs w:val="24"/>
          <w:lang w:val="fi-FI"/>
        </w:rPr>
        <w:t xml:space="preserve"> </w:t>
      </w:r>
      <w:r w:rsidRPr="00C66002">
        <w:rPr>
          <w:rFonts w:ascii="Bookman Old Style" w:hAnsi="Bookman Old Style"/>
          <w:sz w:val="24"/>
          <w:szCs w:val="24"/>
          <w:lang w:val="fi-FI"/>
        </w:rPr>
        <w:t>pada</w:t>
      </w:r>
      <w:r w:rsidR="00A954D0">
        <w:rPr>
          <w:rFonts w:ascii="Bookman Old Style" w:hAnsi="Bookman Old Style"/>
          <w:sz w:val="24"/>
          <w:szCs w:val="24"/>
          <w:lang w:val="fi-FI"/>
        </w:rPr>
        <w:t xml:space="preserve"> </w:t>
      </w:r>
      <w:r w:rsidRPr="00C66002">
        <w:rPr>
          <w:rFonts w:ascii="Bookman Old Style" w:hAnsi="Bookman Old Style"/>
          <w:sz w:val="24"/>
          <w:szCs w:val="24"/>
          <w:lang w:val="fi-FI"/>
        </w:rPr>
        <w:t>hasil</w:t>
      </w:r>
      <w:r w:rsidR="00A954D0">
        <w:rPr>
          <w:rFonts w:ascii="Bookman Old Style" w:hAnsi="Bookman Old Style"/>
          <w:sz w:val="24"/>
          <w:szCs w:val="24"/>
          <w:lang w:val="fi-FI"/>
        </w:rPr>
        <w:t xml:space="preserve"> </w:t>
      </w:r>
      <w:r w:rsidRPr="00C66002">
        <w:rPr>
          <w:rFonts w:ascii="Bookman Old Style" w:hAnsi="Bookman Old Style"/>
          <w:sz w:val="24"/>
          <w:szCs w:val="24"/>
          <w:lang w:val="fi-FI" w:eastAsia="en-US"/>
        </w:rPr>
        <w:t>fasilitasi</w:t>
      </w:r>
      <w:r w:rsidR="00A954D0">
        <w:rPr>
          <w:rFonts w:ascii="Bookman Old Style" w:hAnsi="Bookman Old Style"/>
          <w:sz w:val="24"/>
          <w:szCs w:val="24"/>
          <w:lang w:val="fi-FI"/>
        </w:rPr>
        <w:t xml:space="preserve"> </w:t>
      </w:r>
      <w:r w:rsidRPr="00C66002">
        <w:rPr>
          <w:rFonts w:ascii="Bookman Old Style" w:hAnsi="Bookman Old Style"/>
          <w:sz w:val="24"/>
          <w:szCs w:val="24"/>
          <w:lang w:val="fi-FI"/>
        </w:rPr>
        <w:t>RKPD</w:t>
      </w:r>
      <w:r w:rsidR="00A954D0">
        <w:rPr>
          <w:rFonts w:ascii="Bookman Old Style" w:hAnsi="Bookman Old Style"/>
          <w:sz w:val="24"/>
          <w:szCs w:val="24"/>
          <w:lang w:val="fi-FI"/>
        </w:rPr>
        <w:t xml:space="preserve"> </w:t>
      </w:r>
      <w:r w:rsidRPr="00C66002">
        <w:rPr>
          <w:rFonts w:ascii="Bookman Old Style" w:hAnsi="Bookman Old Style"/>
          <w:sz w:val="24"/>
          <w:szCs w:val="24"/>
          <w:lang w:val="fi-FI"/>
        </w:rPr>
        <w:t>Tahun</w:t>
      </w:r>
      <w:r w:rsidR="00A954D0">
        <w:rPr>
          <w:rFonts w:ascii="Bookman Old Style" w:hAnsi="Bookman Old Style"/>
          <w:sz w:val="24"/>
          <w:szCs w:val="24"/>
          <w:lang w:val="fi-FI"/>
        </w:rPr>
        <w:t xml:space="preserve"> </w:t>
      </w:r>
      <w:r w:rsidRPr="00C66002">
        <w:rPr>
          <w:rFonts w:ascii="Bookman Old Style" w:hAnsi="Bookman Old Style"/>
          <w:sz w:val="24"/>
          <w:szCs w:val="24"/>
          <w:lang w:val="fi-FI"/>
        </w:rPr>
        <w:t>2024</w:t>
      </w:r>
      <w:r w:rsidR="00A954D0">
        <w:rPr>
          <w:rFonts w:ascii="Bookman Old Style" w:hAnsi="Bookman Old Style"/>
          <w:sz w:val="24"/>
          <w:szCs w:val="24"/>
          <w:lang w:val="fi-FI"/>
        </w:rPr>
        <w:t xml:space="preserve"> </w:t>
      </w:r>
      <w:r w:rsidRPr="00C66002">
        <w:rPr>
          <w:rFonts w:ascii="Bookman Old Style" w:hAnsi="Bookman Old Style"/>
          <w:sz w:val="24"/>
          <w:szCs w:val="24"/>
          <w:lang w:val="fi-FI"/>
        </w:rPr>
        <w:t>serta</w:t>
      </w:r>
      <w:r w:rsidR="00A954D0">
        <w:rPr>
          <w:rFonts w:ascii="Bookman Old Style" w:hAnsi="Bookman Old Style"/>
          <w:sz w:val="24"/>
          <w:szCs w:val="24"/>
          <w:lang w:val="fi-FI"/>
        </w:rPr>
        <w:t xml:space="preserve"> </w:t>
      </w:r>
      <w:r w:rsidRPr="00C66002">
        <w:rPr>
          <w:rFonts w:ascii="Bookman Old Style" w:hAnsi="Bookman Old Style"/>
          <w:sz w:val="24"/>
          <w:szCs w:val="24"/>
          <w:lang w:val="fi-FI"/>
        </w:rPr>
        <w:t>Berita</w:t>
      </w:r>
      <w:r w:rsidR="00A954D0">
        <w:rPr>
          <w:rFonts w:ascii="Bookman Old Style" w:hAnsi="Bookman Old Style"/>
          <w:sz w:val="24"/>
          <w:szCs w:val="24"/>
          <w:lang w:val="fi-FI"/>
        </w:rPr>
        <w:t xml:space="preserve"> </w:t>
      </w:r>
      <w:r w:rsidRPr="00C66002">
        <w:rPr>
          <w:rFonts w:ascii="Bookman Old Style" w:hAnsi="Bookman Old Style"/>
          <w:sz w:val="24"/>
          <w:szCs w:val="24"/>
          <w:lang w:val="fi-FI"/>
        </w:rPr>
        <w:t>Acara</w:t>
      </w:r>
      <w:r w:rsidR="00A954D0">
        <w:rPr>
          <w:rFonts w:ascii="Bookman Old Style" w:hAnsi="Bookman Old Style"/>
          <w:sz w:val="24"/>
          <w:szCs w:val="24"/>
          <w:lang w:val="fi-FI"/>
        </w:rPr>
        <w:t xml:space="preserve"> </w:t>
      </w:r>
      <w:r w:rsidRPr="00C66002">
        <w:rPr>
          <w:rFonts w:ascii="Bookman Old Style" w:hAnsi="Bookman Old Style"/>
          <w:sz w:val="24"/>
          <w:szCs w:val="24"/>
          <w:lang w:val="fi-FI"/>
        </w:rPr>
        <w:t>Pembahasan</w:t>
      </w:r>
      <w:r w:rsidR="00A954D0">
        <w:rPr>
          <w:rFonts w:ascii="Bookman Old Style" w:hAnsi="Bookman Old Style"/>
          <w:sz w:val="24"/>
          <w:szCs w:val="24"/>
          <w:lang w:val="fi-FI"/>
        </w:rPr>
        <w:t xml:space="preserve"> </w:t>
      </w:r>
      <w:r w:rsidRPr="00C66002">
        <w:rPr>
          <w:rFonts w:ascii="Bookman Old Style" w:hAnsi="Bookman Old Style"/>
          <w:sz w:val="24"/>
          <w:szCs w:val="24"/>
          <w:lang w:val="fi-FI"/>
        </w:rPr>
        <w:t>KUA</w:t>
      </w:r>
      <w:r w:rsidR="00A954D0">
        <w:rPr>
          <w:rFonts w:ascii="Bookman Old Style" w:hAnsi="Bookman Old Style"/>
          <w:sz w:val="24"/>
          <w:szCs w:val="24"/>
          <w:lang w:val="fi-FI"/>
        </w:rPr>
        <w:t xml:space="preserve"> </w:t>
      </w:r>
      <w:r w:rsidRPr="00C66002">
        <w:rPr>
          <w:rFonts w:ascii="Bookman Old Style" w:hAnsi="Bookman Old Style"/>
          <w:sz w:val="24"/>
          <w:szCs w:val="24"/>
          <w:lang w:val="fi-FI"/>
        </w:rPr>
        <w:t>dan</w:t>
      </w:r>
      <w:r w:rsidR="00A954D0">
        <w:rPr>
          <w:rFonts w:ascii="Bookman Old Style" w:hAnsi="Bookman Old Style"/>
          <w:sz w:val="24"/>
          <w:szCs w:val="24"/>
          <w:lang w:val="fi-FI"/>
        </w:rPr>
        <w:t xml:space="preserve"> </w:t>
      </w:r>
      <w:r w:rsidRPr="00C66002">
        <w:rPr>
          <w:rFonts w:ascii="Bookman Old Style" w:hAnsi="Bookman Old Style"/>
          <w:sz w:val="24"/>
          <w:szCs w:val="24"/>
          <w:lang w:val="fi-FI"/>
        </w:rPr>
        <w:t>PPAS</w:t>
      </w:r>
      <w:r w:rsidR="00A954D0">
        <w:rPr>
          <w:rFonts w:ascii="Bookman Old Style" w:hAnsi="Bookman Old Style"/>
          <w:sz w:val="24"/>
          <w:szCs w:val="24"/>
          <w:lang w:val="fi-FI"/>
        </w:rPr>
        <w:t xml:space="preserve"> </w:t>
      </w:r>
      <w:r w:rsidRPr="00C66002">
        <w:rPr>
          <w:rFonts w:ascii="Bookman Old Style" w:hAnsi="Bookman Old Style"/>
          <w:sz w:val="24"/>
          <w:szCs w:val="24"/>
          <w:lang w:val="fi-FI"/>
        </w:rPr>
        <w:t>Tahun</w:t>
      </w:r>
      <w:r w:rsidR="00A954D0">
        <w:rPr>
          <w:rFonts w:ascii="Bookman Old Style" w:hAnsi="Bookman Old Style"/>
          <w:sz w:val="24"/>
          <w:szCs w:val="24"/>
          <w:lang w:val="fi-FI"/>
        </w:rPr>
        <w:t xml:space="preserve"> </w:t>
      </w:r>
      <w:r w:rsidRPr="00C66002">
        <w:rPr>
          <w:rFonts w:ascii="Bookman Old Style" w:hAnsi="Bookman Old Style"/>
          <w:sz w:val="24"/>
          <w:szCs w:val="24"/>
          <w:lang w:val="fi-FI"/>
        </w:rPr>
        <w:t>Anggaran</w:t>
      </w:r>
      <w:r w:rsidR="00A954D0">
        <w:rPr>
          <w:rFonts w:ascii="Bookman Old Style" w:hAnsi="Bookman Old Style"/>
          <w:sz w:val="24"/>
          <w:szCs w:val="24"/>
          <w:lang w:val="fi-FI"/>
        </w:rPr>
        <w:t xml:space="preserve"> </w:t>
      </w:r>
      <w:r w:rsidRPr="00C66002">
        <w:rPr>
          <w:rFonts w:ascii="Bookman Old Style" w:hAnsi="Bookman Old Style"/>
          <w:sz w:val="24"/>
          <w:szCs w:val="24"/>
          <w:lang w:val="fi-FI"/>
        </w:rPr>
        <w:t>2024.</w:t>
      </w:r>
      <w:r w:rsidR="00A954D0">
        <w:rPr>
          <w:rFonts w:ascii="Bookman Old Style" w:hAnsi="Bookman Old Style"/>
          <w:sz w:val="24"/>
          <w:szCs w:val="24"/>
          <w:lang w:val="fi-FI"/>
        </w:rPr>
        <w:t xml:space="preserve"> </w:t>
      </w:r>
      <w:r w:rsidRPr="00C66002">
        <w:rPr>
          <w:rFonts w:ascii="Bookman Old Style" w:hAnsi="Bookman Old Style"/>
          <w:sz w:val="24"/>
          <w:szCs w:val="24"/>
          <w:lang w:val="fi-FI"/>
        </w:rPr>
        <w:t>Selanjutnya,</w:t>
      </w:r>
      <w:r w:rsidR="00A954D0">
        <w:rPr>
          <w:rFonts w:ascii="Bookman Old Style" w:hAnsi="Bookman Old Style"/>
          <w:sz w:val="24"/>
          <w:szCs w:val="24"/>
          <w:lang w:val="fi-FI"/>
        </w:rPr>
        <w:t xml:space="preserve"> </w:t>
      </w:r>
      <w:r w:rsidRPr="00C66002">
        <w:rPr>
          <w:rFonts w:ascii="Bookman Old Style" w:hAnsi="Bookman Old Style"/>
          <w:sz w:val="24"/>
          <w:szCs w:val="24"/>
          <w:lang w:val="fi-FI"/>
        </w:rPr>
        <w:t>agar</w:t>
      </w:r>
      <w:r w:rsidR="00A954D0">
        <w:rPr>
          <w:rFonts w:ascii="Bookman Old Style" w:hAnsi="Bookman Old Style"/>
          <w:sz w:val="24"/>
          <w:szCs w:val="24"/>
          <w:lang w:val="fi-FI"/>
        </w:rPr>
        <w:t xml:space="preserve"> </w:t>
      </w:r>
      <w:r w:rsidRPr="00C66002">
        <w:rPr>
          <w:rFonts w:ascii="Bookman Old Style" w:hAnsi="Bookman Old Style"/>
          <w:sz w:val="24"/>
          <w:szCs w:val="24"/>
          <w:lang w:val="fi-FI"/>
        </w:rPr>
        <w:t>penyesuaian</w:t>
      </w:r>
      <w:r w:rsidR="00A954D0">
        <w:rPr>
          <w:rFonts w:ascii="Bookman Old Style" w:hAnsi="Bookman Old Style"/>
          <w:sz w:val="24"/>
          <w:szCs w:val="24"/>
          <w:lang w:val="fi-FI"/>
        </w:rPr>
        <w:t xml:space="preserve"> </w:t>
      </w:r>
      <w:r w:rsidRPr="00C66002">
        <w:rPr>
          <w:rFonts w:ascii="Bookman Old Style" w:hAnsi="Bookman Old Style"/>
          <w:sz w:val="24"/>
          <w:szCs w:val="24"/>
          <w:lang w:val="fi-FI"/>
        </w:rPr>
        <w:t>program</w:t>
      </w:r>
      <w:r w:rsidR="00A954D0">
        <w:rPr>
          <w:rFonts w:ascii="Bookman Old Style" w:hAnsi="Bookman Old Style"/>
          <w:sz w:val="24"/>
          <w:szCs w:val="24"/>
          <w:lang w:val="fi-FI"/>
        </w:rPr>
        <w:t xml:space="preserve"> </w:t>
      </w:r>
      <w:r w:rsidRPr="00C66002">
        <w:rPr>
          <w:rFonts w:ascii="Bookman Old Style" w:hAnsi="Bookman Old Style"/>
          <w:sz w:val="24"/>
          <w:szCs w:val="24"/>
          <w:lang w:val="fi-FI"/>
        </w:rPr>
        <w:t>mempertimbangkan</w:t>
      </w:r>
      <w:r w:rsidR="00A954D0">
        <w:rPr>
          <w:rFonts w:ascii="Bookman Old Style" w:hAnsi="Bookman Old Style"/>
          <w:sz w:val="24"/>
          <w:szCs w:val="24"/>
          <w:lang w:val="fi-FI"/>
        </w:rPr>
        <w:t xml:space="preserve"> </w:t>
      </w:r>
      <w:r w:rsidRPr="00C66002">
        <w:rPr>
          <w:rFonts w:ascii="Bookman Old Style" w:hAnsi="Bookman Old Style"/>
          <w:sz w:val="24"/>
          <w:szCs w:val="24"/>
          <w:lang w:val="fi-FI"/>
        </w:rPr>
        <w:t>pencapaian</w:t>
      </w:r>
      <w:r w:rsidR="00A954D0">
        <w:rPr>
          <w:rFonts w:ascii="Bookman Old Style" w:hAnsi="Bookman Old Style"/>
          <w:sz w:val="24"/>
          <w:szCs w:val="24"/>
          <w:lang w:val="fi-FI"/>
        </w:rPr>
        <w:t xml:space="preserve"> </w:t>
      </w:r>
      <w:r w:rsidRPr="00C66002">
        <w:rPr>
          <w:rFonts w:ascii="Bookman Old Style" w:hAnsi="Bookman Old Style"/>
          <w:sz w:val="24"/>
          <w:szCs w:val="24"/>
          <w:lang w:val="fi-FI"/>
        </w:rPr>
        <w:t>target</w:t>
      </w:r>
      <w:r w:rsidR="00A954D0">
        <w:rPr>
          <w:rFonts w:ascii="Bookman Old Style" w:hAnsi="Bookman Old Style"/>
          <w:sz w:val="24"/>
          <w:szCs w:val="24"/>
          <w:lang w:val="fi-FI"/>
        </w:rPr>
        <w:t xml:space="preserve"> </w:t>
      </w:r>
      <w:r w:rsidRPr="00C66002">
        <w:rPr>
          <w:rFonts w:ascii="Bookman Old Style" w:hAnsi="Bookman Old Style"/>
          <w:sz w:val="24"/>
          <w:szCs w:val="24"/>
          <w:lang w:val="fi-FI"/>
        </w:rPr>
        <w:t>akhir</w:t>
      </w:r>
      <w:r w:rsidR="00A954D0">
        <w:rPr>
          <w:rFonts w:ascii="Bookman Old Style" w:hAnsi="Bookman Old Style"/>
          <w:sz w:val="24"/>
          <w:szCs w:val="24"/>
          <w:lang w:val="fi-FI"/>
        </w:rPr>
        <w:t xml:space="preserve"> </w:t>
      </w:r>
      <w:r w:rsidRPr="00C66002">
        <w:rPr>
          <w:rFonts w:ascii="Bookman Old Style" w:hAnsi="Bookman Old Style"/>
          <w:sz w:val="24"/>
          <w:szCs w:val="24"/>
          <w:lang w:val="fi-FI"/>
        </w:rPr>
        <w:t>Indikator</w:t>
      </w:r>
      <w:r w:rsidR="00A954D0">
        <w:rPr>
          <w:rFonts w:ascii="Bookman Old Style" w:hAnsi="Bookman Old Style"/>
          <w:sz w:val="24"/>
          <w:szCs w:val="24"/>
          <w:lang w:val="fi-FI"/>
        </w:rPr>
        <w:t xml:space="preserve"> </w:t>
      </w:r>
      <w:r w:rsidRPr="00AC321A">
        <w:rPr>
          <w:rFonts w:ascii="Bookman Old Style" w:hAnsi="Bookman Old Style"/>
          <w:sz w:val="24"/>
          <w:szCs w:val="24"/>
          <w:lang w:val="fi-FI"/>
        </w:rPr>
        <w:t>Kinerja</w:t>
      </w:r>
      <w:r w:rsidR="00A954D0">
        <w:rPr>
          <w:rFonts w:ascii="Bookman Old Style" w:hAnsi="Bookman Old Style"/>
          <w:sz w:val="24"/>
          <w:szCs w:val="24"/>
          <w:lang w:val="fi-FI"/>
        </w:rPr>
        <w:t xml:space="preserve"> </w:t>
      </w:r>
      <w:r w:rsidRPr="00AC321A">
        <w:rPr>
          <w:rFonts w:ascii="Bookman Old Style" w:hAnsi="Bookman Old Style"/>
          <w:sz w:val="24"/>
          <w:szCs w:val="24"/>
          <w:lang w:val="fi-FI"/>
        </w:rPr>
        <w:t>Makro</w:t>
      </w:r>
      <w:r w:rsidR="00A954D0">
        <w:rPr>
          <w:rFonts w:ascii="Bookman Old Style" w:hAnsi="Bookman Old Style"/>
          <w:sz w:val="24"/>
          <w:szCs w:val="24"/>
          <w:lang w:val="fi-FI"/>
        </w:rPr>
        <w:t xml:space="preserve"> </w:t>
      </w:r>
      <w:r w:rsidRPr="00AC321A">
        <w:rPr>
          <w:rFonts w:ascii="Bookman Old Style" w:hAnsi="Bookman Old Style"/>
          <w:sz w:val="24"/>
          <w:szCs w:val="24"/>
          <w:lang w:val="fi-FI"/>
        </w:rPr>
        <w:t>(IKM),</w:t>
      </w:r>
      <w:r w:rsidR="00A954D0">
        <w:rPr>
          <w:rFonts w:ascii="Bookman Old Style" w:hAnsi="Bookman Old Style"/>
          <w:sz w:val="24"/>
          <w:szCs w:val="24"/>
          <w:lang w:val="fi-FI"/>
        </w:rPr>
        <w:t xml:space="preserve"> </w:t>
      </w:r>
      <w:r w:rsidRPr="00AC321A">
        <w:rPr>
          <w:rFonts w:ascii="Bookman Old Style" w:hAnsi="Bookman Old Style"/>
          <w:sz w:val="24"/>
          <w:szCs w:val="24"/>
          <w:lang w:val="fi-FI"/>
        </w:rPr>
        <w:t>I</w:t>
      </w:r>
      <w:r w:rsidRPr="00AC321A">
        <w:rPr>
          <w:rFonts w:ascii="Bookman Old Style" w:hAnsi="Bookman Old Style"/>
          <w:sz w:val="24"/>
          <w:szCs w:val="24"/>
          <w:lang w:val="id-ID"/>
        </w:rPr>
        <w:t>ndikator</w:t>
      </w:r>
      <w:r w:rsidR="00A954D0">
        <w:rPr>
          <w:rFonts w:ascii="Bookman Old Style" w:hAnsi="Bookman Old Style"/>
          <w:sz w:val="24"/>
          <w:szCs w:val="24"/>
          <w:lang w:val="id-ID"/>
        </w:rPr>
        <w:t xml:space="preserve"> </w:t>
      </w:r>
      <w:r w:rsidRPr="00AC321A">
        <w:rPr>
          <w:rFonts w:ascii="Bookman Old Style" w:hAnsi="Bookman Old Style"/>
          <w:sz w:val="24"/>
          <w:szCs w:val="24"/>
          <w:lang w:val="fi-FI"/>
        </w:rPr>
        <w:t>K</w:t>
      </w:r>
      <w:r w:rsidRPr="00AC321A">
        <w:rPr>
          <w:rFonts w:ascii="Bookman Old Style" w:hAnsi="Bookman Old Style"/>
          <w:sz w:val="24"/>
          <w:szCs w:val="24"/>
          <w:lang w:val="id-ID"/>
        </w:rPr>
        <w:t>inerja</w:t>
      </w:r>
      <w:r w:rsidR="00A954D0">
        <w:rPr>
          <w:rFonts w:ascii="Bookman Old Style" w:hAnsi="Bookman Old Style"/>
          <w:sz w:val="24"/>
          <w:szCs w:val="24"/>
          <w:lang w:val="id-ID"/>
        </w:rPr>
        <w:t xml:space="preserve"> </w:t>
      </w:r>
      <w:r w:rsidRPr="00AC321A">
        <w:rPr>
          <w:rFonts w:ascii="Bookman Old Style" w:hAnsi="Bookman Old Style"/>
          <w:sz w:val="24"/>
          <w:szCs w:val="24"/>
          <w:lang w:val="fi-FI"/>
        </w:rPr>
        <w:t>U</w:t>
      </w:r>
      <w:r w:rsidRPr="00AC321A">
        <w:rPr>
          <w:rFonts w:ascii="Bookman Old Style" w:hAnsi="Bookman Old Style"/>
          <w:sz w:val="24"/>
          <w:szCs w:val="24"/>
          <w:lang w:val="id-ID"/>
        </w:rPr>
        <w:t>tama</w:t>
      </w:r>
      <w:r w:rsidR="00A954D0">
        <w:rPr>
          <w:rFonts w:ascii="Bookman Old Style" w:hAnsi="Bookman Old Style"/>
          <w:sz w:val="24"/>
          <w:szCs w:val="24"/>
          <w:lang w:val="id-ID"/>
        </w:rPr>
        <w:t xml:space="preserve"> </w:t>
      </w:r>
      <w:r w:rsidRPr="00AC321A">
        <w:rPr>
          <w:rFonts w:ascii="Bookman Old Style" w:hAnsi="Bookman Old Style"/>
          <w:sz w:val="24"/>
          <w:szCs w:val="24"/>
          <w:lang w:val="id-ID"/>
        </w:rPr>
        <w:t>(IKU)</w:t>
      </w:r>
      <w:r w:rsidR="00A954D0">
        <w:rPr>
          <w:rFonts w:ascii="Bookman Old Style" w:hAnsi="Bookman Old Style"/>
          <w:sz w:val="24"/>
          <w:szCs w:val="24"/>
          <w:lang w:val="fi-FI"/>
        </w:rPr>
        <w:t xml:space="preserve"> </w:t>
      </w:r>
      <w:r w:rsidRPr="00AC321A">
        <w:rPr>
          <w:rFonts w:ascii="Bookman Old Style" w:hAnsi="Bookman Old Style"/>
          <w:sz w:val="24"/>
          <w:szCs w:val="24"/>
          <w:lang w:val="fi-FI"/>
        </w:rPr>
        <w:t>dan</w:t>
      </w:r>
      <w:r w:rsidR="00A954D0">
        <w:rPr>
          <w:rFonts w:ascii="Bookman Old Style" w:hAnsi="Bookman Old Style"/>
          <w:sz w:val="24"/>
          <w:szCs w:val="24"/>
          <w:lang w:val="fi-FI"/>
        </w:rPr>
        <w:t xml:space="preserve"> </w:t>
      </w:r>
      <w:r w:rsidRPr="00AC321A">
        <w:rPr>
          <w:rFonts w:ascii="Bookman Old Style" w:hAnsi="Bookman Old Style"/>
          <w:sz w:val="24"/>
          <w:szCs w:val="24"/>
          <w:lang w:val="fi-FI"/>
        </w:rPr>
        <w:t>I</w:t>
      </w:r>
      <w:r w:rsidRPr="00AC321A">
        <w:rPr>
          <w:rFonts w:ascii="Bookman Old Style" w:hAnsi="Bookman Old Style"/>
          <w:sz w:val="24"/>
          <w:szCs w:val="24"/>
          <w:lang w:val="id-ID"/>
        </w:rPr>
        <w:t>ndikator</w:t>
      </w:r>
      <w:r w:rsidR="00A954D0">
        <w:rPr>
          <w:rFonts w:ascii="Bookman Old Style" w:hAnsi="Bookman Old Style"/>
          <w:sz w:val="24"/>
          <w:szCs w:val="24"/>
          <w:lang w:val="id-ID"/>
        </w:rPr>
        <w:t xml:space="preserve"> </w:t>
      </w:r>
      <w:r w:rsidRPr="00AC321A">
        <w:rPr>
          <w:rFonts w:ascii="Bookman Old Style" w:hAnsi="Bookman Old Style"/>
          <w:sz w:val="24"/>
          <w:szCs w:val="24"/>
          <w:lang w:val="fi-FI"/>
        </w:rPr>
        <w:t>K</w:t>
      </w:r>
      <w:r w:rsidRPr="00AC321A">
        <w:rPr>
          <w:rFonts w:ascii="Bookman Old Style" w:hAnsi="Bookman Old Style"/>
          <w:sz w:val="24"/>
          <w:szCs w:val="24"/>
          <w:lang w:val="id-ID"/>
        </w:rPr>
        <w:t>inerja</w:t>
      </w:r>
      <w:r w:rsidR="00A954D0">
        <w:rPr>
          <w:rFonts w:ascii="Bookman Old Style" w:hAnsi="Bookman Old Style"/>
          <w:sz w:val="24"/>
          <w:szCs w:val="24"/>
          <w:lang w:val="id-ID"/>
        </w:rPr>
        <w:t xml:space="preserve"> </w:t>
      </w:r>
      <w:r w:rsidRPr="00AC321A">
        <w:rPr>
          <w:rFonts w:ascii="Bookman Old Style" w:hAnsi="Bookman Old Style"/>
          <w:sz w:val="24"/>
          <w:szCs w:val="24"/>
          <w:lang w:val="fi-FI"/>
        </w:rPr>
        <w:t>Daerah</w:t>
      </w:r>
      <w:r w:rsidR="00A954D0">
        <w:rPr>
          <w:rFonts w:ascii="Bookman Old Style" w:hAnsi="Bookman Old Style"/>
          <w:sz w:val="24"/>
          <w:szCs w:val="24"/>
          <w:lang w:val="id-ID"/>
        </w:rPr>
        <w:t xml:space="preserve"> </w:t>
      </w:r>
      <w:r w:rsidRPr="00AC321A">
        <w:rPr>
          <w:rFonts w:ascii="Bookman Old Style" w:hAnsi="Bookman Old Style"/>
          <w:sz w:val="24"/>
          <w:szCs w:val="24"/>
          <w:lang w:val="id-ID"/>
        </w:rPr>
        <w:t>(IKD)</w:t>
      </w:r>
      <w:r w:rsidR="00A954D0">
        <w:rPr>
          <w:rFonts w:ascii="Bookman Old Style" w:hAnsi="Bookman Old Style"/>
          <w:sz w:val="24"/>
          <w:szCs w:val="24"/>
          <w:lang w:val="fi-FI"/>
        </w:rPr>
        <w:t xml:space="preserve"> </w:t>
      </w:r>
      <w:r w:rsidRPr="00AC321A">
        <w:rPr>
          <w:rFonts w:ascii="Bookman Old Style" w:hAnsi="Bookman Old Style"/>
          <w:sz w:val="24"/>
          <w:szCs w:val="24"/>
          <w:lang w:val="fi-FI"/>
        </w:rPr>
        <w:t>sebagaimana</w:t>
      </w:r>
      <w:r w:rsidR="00A954D0">
        <w:rPr>
          <w:rFonts w:ascii="Bookman Old Style" w:hAnsi="Bookman Old Style"/>
          <w:sz w:val="24"/>
          <w:szCs w:val="24"/>
          <w:lang w:val="fi-FI"/>
        </w:rPr>
        <w:t xml:space="preserve"> </w:t>
      </w:r>
      <w:r w:rsidRPr="00AC321A">
        <w:rPr>
          <w:rFonts w:ascii="Bookman Old Style" w:hAnsi="Bookman Old Style"/>
          <w:sz w:val="24"/>
          <w:szCs w:val="24"/>
          <w:lang w:val="fi-FI"/>
        </w:rPr>
        <w:t>tertuang</w:t>
      </w:r>
      <w:r w:rsidR="00A954D0">
        <w:rPr>
          <w:rFonts w:ascii="Bookman Old Style" w:hAnsi="Bookman Old Style"/>
          <w:sz w:val="24"/>
          <w:szCs w:val="24"/>
          <w:lang w:val="fi-FI"/>
        </w:rPr>
        <w:t xml:space="preserve"> </w:t>
      </w:r>
      <w:r w:rsidRPr="00AC321A">
        <w:rPr>
          <w:rFonts w:ascii="Bookman Old Style" w:hAnsi="Bookman Old Style"/>
          <w:sz w:val="24"/>
          <w:szCs w:val="24"/>
          <w:lang w:val="fi-FI"/>
        </w:rPr>
        <w:t>dalam</w:t>
      </w:r>
      <w:r w:rsidR="00A954D0">
        <w:rPr>
          <w:rFonts w:ascii="Bookman Old Style" w:hAnsi="Bookman Old Style"/>
          <w:sz w:val="24"/>
          <w:szCs w:val="24"/>
          <w:lang w:val="fi-FI"/>
        </w:rPr>
        <w:t xml:space="preserve"> </w:t>
      </w:r>
      <w:r w:rsidRPr="00AC321A">
        <w:rPr>
          <w:rFonts w:ascii="Bookman Old Style" w:hAnsi="Bookman Old Style"/>
          <w:sz w:val="24"/>
          <w:szCs w:val="24"/>
          <w:lang w:val="fi-FI"/>
        </w:rPr>
        <w:t>Rencana</w:t>
      </w:r>
      <w:r w:rsidR="00A954D0">
        <w:rPr>
          <w:rFonts w:ascii="Bookman Old Style" w:hAnsi="Bookman Old Style"/>
          <w:sz w:val="24"/>
          <w:szCs w:val="24"/>
          <w:lang w:val="fi-FI"/>
        </w:rPr>
        <w:t xml:space="preserve"> </w:t>
      </w:r>
      <w:r w:rsidRPr="00AC321A">
        <w:rPr>
          <w:rFonts w:ascii="Bookman Old Style" w:hAnsi="Bookman Old Style"/>
          <w:sz w:val="24"/>
          <w:szCs w:val="24"/>
          <w:lang w:val="fi-FI"/>
        </w:rPr>
        <w:t>Pembangunan</w:t>
      </w:r>
      <w:r w:rsidR="00A954D0">
        <w:rPr>
          <w:rFonts w:ascii="Bookman Old Style" w:hAnsi="Bookman Old Style"/>
          <w:sz w:val="24"/>
          <w:szCs w:val="24"/>
          <w:lang w:val="fi-FI"/>
        </w:rPr>
        <w:t xml:space="preserve"> </w:t>
      </w:r>
      <w:r w:rsidRPr="00AC321A">
        <w:rPr>
          <w:rFonts w:ascii="Bookman Old Style" w:hAnsi="Bookman Old Style"/>
          <w:sz w:val="24"/>
          <w:szCs w:val="24"/>
          <w:lang w:val="fi-FI"/>
        </w:rPr>
        <w:t>Daerah</w:t>
      </w:r>
      <w:r w:rsidR="00A954D0">
        <w:rPr>
          <w:rFonts w:ascii="Bookman Old Style" w:hAnsi="Bookman Old Style"/>
          <w:sz w:val="24"/>
          <w:szCs w:val="24"/>
          <w:lang w:val="fi-FI"/>
        </w:rPr>
        <w:t xml:space="preserve"> </w:t>
      </w:r>
      <w:r w:rsidRPr="00AC321A">
        <w:rPr>
          <w:rFonts w:ascii="Bookman Old Style" w:hAnsi="Bookman Old Style"/>
          <w:sz w:val="24"/>
          <w:szCs w:val="24"/>
          <w:lang w:val="fi-FI"/>
        </w:rPr>
        <w:t>(RPD)</w:t>
      </w:r>
      <w:r w:rsidR="00A954D0">
        <w:rPr>
          <w:rFonts w:ascii="Bookman Old Style" w:hAnsi="Bookman Old Style"/>
          <w:sz w:val="24"/>
          <w:szCs w:val="24"/>
          <w:lang w:val="fi-FI"/>
        </w:rPr>
        <w:t xml:space="preserve"> </w:t>
      </w:r>
      <w:r w:rsidRPr="00AC321A">
        <w:rPr>
          <w:rFonts w:ascii="Bookman Old Style" w:hAnsi="Bookman Old Style"/>
          <w:sz w:val="24"/>
          <w:szCs w:val="24"/>
          <w:lang w:val="fi-FI"/>
        </w:rPr>
        <w:t>Kota</w:t>
      </w:r>
      <w:r w:rsidR="00A954D0">
        <w:rPr>
          <w:rFonts w:ascii="Bookman Old Style" w:hAnsi="Bookman Old Style"/>
          <w:sz w:val="24"/>
          <w:szCs w:val="24"/>
          <w:lang w:val="fi-FI"/>
        </w:rPr>
        <w:t xml:space="preserve"> </w:t>
      </w:r>
      <w:r w:rsidRPr="00AC321A">
        <w:rPr>
          <w:rFonts w:ascii="Bookman Old Style" w:hAnsi="Bookman Old Style"/>
          <w:sz w:val="24"/>
          <w:szCs w:val="24"/>
          <w:lang w:val="fi-FI"/>
        </w:rPr>
        <w:t>Tangerang</w:t>
      </w:r>
      <w:r w:rsidR="00A954D0">
        <w:rPr>
          <w:rFonts w:ascii="Bookman Old Style" w:hAnsi="Bookman Old Style"/>
          <w:sz w:val="24"/>
          <w:szCs w:val="24"/>
          <w:lang w:val="fi-FI"/>
        </w:rPr>
        <w:t xml:space="preserve"> </w:t>
      </w:r>
      <w:r w:rsidRPr="00AC321A">
        <w:rPr>
          <w:rFonts w:ascii="Bookman Old Style" w:hAnsi="Bookman Old Style"/>
          <w:sz w:val="24"/>
          <w:szCs w:val="24"/>
          <w:lang w:val="fi-FI"/>
        </w:rPr>
        <w:t>Tahun</w:t>
      </w:r>
      <w:r w:rsidR="00A954D0">
        <w:rPr>
          <w:rFonts w:ascii="Bookman Old Style" w:hAnsi="Bookman Old Style"/>
          <w:sz w:val="24"/>
          <w:szCs w:val="24"/>
          <w:lang w:val="fi-FI"/>
        </w:rPr>
        <w:t xml:space="preserve"> </w:t>
      </w:r>
      <w:r w:rsidRPr="00AC321A">
        <w:rPr>
          <w:rFonts w:ascii="Bookman Old Style" w:hAnsi="Bookman Old Style"/>
          <w:sz w:val="24"/>
          <w:szCs w:val="24"/>
          <w:lang w:val="fi-FI"/>
        </w:rPr>
        <w:t>2024-2026.</w:t>
      </w:r>
    </w:p>
    <w:p w14:paraId="443CB918" w14:textId="77777777" w:rsidR="00F14F4D" w:rsidRPr="00AC321A" w:rsidRDefault="00F14F4D" w:rsidP="00727324">
      <w:pPr>
        <w:spacing w:before="60" w:line="276" w:lineRule="auto"/>
        <w:ind w:left="993"/>
        <w:jc w:val="both"/>
        <w:rPr>
          <w:rFonts w:ascii="Bookman Old Style" w:hAnsi="Bookman Old Style" w:cs="Arial"/>
          <w:color w:val="000000" w:themeColor="text1"/>
          <w:lang w:val="id-ID"/>
        </w:rPr>
      </w:pPr>
    </w:p>
    <w:p w14:paraId="4C653B96" w14:textId="2E09E9F3" w:rsidR="00633C8E" w:rsidRPr="00AC321A" w:rsidRDefault="001632F8" w:rsidP="00704FD6">
      <w:pPr>
        <w:numPr>
          <w:ilvl w:val="0"/>
          <w:numId w:val="1"/>
        </w:numPr>
        <w:spacing w:before="60" w:line="276" w:lineRule="auto"/>
        <w:ind w:left="567" w:hanging="567"/>
        <w:jc w:val="both"/>
        <w:rPr>
          <w:rFonts w:ascii="Bookman Old Style" w:hAnsi="Bookman Old Style" w:cs="Arial"/>
          <w:color w:val="000000" w:themeColor="text1"/>
          <w:lang w:val="id-ID"/>
        </w:rPr>
      </w:pPr>
      <w:r w:rsidRPr="00AC321A">
        <w:rPr>
          <w:rFonts w:ascii="Bookman Old Style" w:hAnsi="Bookman Old Style"/>
          <w:color w:val="000000" w:themeColor="text1"/>
        </w:rPr>
        <w:t>KEBIJAKAN</w:t>
      </w:r>
      <w:r w:rsidR="00A954D0">
        <w:rPr>
          <w:rFonts w:ascii="Bookman Old Style" w:hAnsi="Bookman Old Style" w:cs="Arial"/>
          <w:color w:val="000000" w:themeColor="text1"/>
        </w:rPr>
        <w:t xml:space="preserve"> </w:t>
      </w:r>
      <w:r w:rsidRPr="00AC321A">
        <w:rPr>
          <w:rFonts w:ascii="Bookman Old Style" w:hAnsi="Bookman Old Style" w:cs="Arial"/>
          <w:color w:val="000000" w:themeColor="text1"/>
        </w:rPr>
        <w:t>PENDAPATAN</w:t>
      </w:r>
      <w:r w:rsidR="00A954D0">
        <w:rPr>
          <w:rFonts w:ascii="Bookman Old Style" w:hAnsi="Bookman Old Style" w:cs="Arial"/>
          <w:color w:val="000000" w:themeColor="text1"/>
        </w:rPr>
        <w:t xml:space="preserve"> </w:t>
      </w:r>
      <w:r w:rsidRPr="00AC321A">
        <w:rPr>
          <w:rFonts w:ascii="Bookman Old Style" w:hAnsi="Bookman Old Style" w:cs="Arial"/>
          <w:color w:val="000000" w:themeColor="text1"/>
        </w:rPr>
        <w:t>DAERAH</w:t>
      </w:r>
    </w:p>
    <w:p w14:paraId="731DFC71" w14:textId="75140C11" w:rsidR="005A49D7" w:rsidRPr="00AC321A" w:rsidRDefault="00995367">
      <w:pPr>
        <w:pStyle w:val="ListParagraph"/>
        <w:numPr>
          <w:ilvl w:val="0"/>
          <w:numId w:val="33"/>
        </w:numPr>
        <w:spacing w:before="120" w:after="0" w:line="276" w:lineRule="auto"/>
        <w:ind w:left="992" w:hanging="425"/>
        <w:contextualSpacing w:val="0"/>
        <w:jc w:val="both"/>
        <w:rPr>
          <w:rFonts w:ascii="Bookman Old Style" w:hAnsi="Bookman Old Style" w:cs="Arial"/>
          <w:color w:val="000000" w:themeColor="text1"/>
          <w:sz w:val="24"/>
          <w:szCs w:val="24"/>
        </w:rPr>
      </w:pPr>
      <w:r w:rsidRPr="00AC321A">
        <w:rPr>
          <w:rFonts w:ascii="Bookman Old Style" w:hAnsi="Bookman Old Style" w:cs="Arial"/>
          <w:color w:val="000000" w:themeColor="text1"/>
          <w:sz w:val="24"/>
          <w:szCs w:val="24"/>
        </w:rPr>
        <w:t>Kebijakan</w:t>
      </w:r>
      <w:r w:rsidR="00A954D0">
        <w:rPr>
          <w:rFonts w:ascii="Bookman Old Style" w:hAnsi="Bookman Old Style" w:cs="Arial"/>
          <w:color w:val="000000" w:themeColor="text1"/>
          <w:sz w:val="24"/>
          <w:szCs w:val="24"/>
        </w:rPr>
        <w:t xml:space="preserve"> </w:t>
      </w:r>
      <w:r w:rsidR="001632F8" w:rsidRPr="00AC321A">
        <w:rPr>
          <w:rFonts w:ascii="Bookman Old Style" w:hAnsi="Bookman Old Style" w:cs="Arial"/>
          <w:color w:val="000000" w:themeColor="text1"/>
          <w:sz w:val="24"/>
          <w:szCs w:val="24"/>
        </w:rPr>
        <w:t>Umum</w:t>
      </w:r>
      <w:r w:rsidR="00A954D0">
        <w:rPr>
          <w:rFonts w:ascii="Bookman Old Style" w:hAnsi="Bookman Old Style" w:cs="Arial"/>
          <w:color w:val="000000" w:themeColor="text1"/>
          <w:sz w:val="24"/>
          <w:szCs w:val="24"/>
        </w:rPr>
        <w:t xml:space="preserve"> </w:t>
      </w:r>
      <w:r w:rsidRPr="00AC321A">
        <w:rPr>
          <w:rFonts w:ascii="Bookman Old Style" w:hAnsi="Bookman Old Style" w:cs="Arial"/>
          <w:color w:val="000000" w:themeColor="text1"/>
          <w:sz w:val="24"/>
          <w:szCs w:val="24"/>
        </w:rPr>
        <w:t>Pendapatan</w:t>
      </w:r>
      <w:r w:rsidR="00A954D0">
        <w:rPr>
          <w:rFonts w:ascii="Bookman Old Style" w:hAnsi="Bookman Old Style" w:cs="Arial"/>
          <w:color w:val="000000" w:themeColor="text1"/>
          <w:sz w:val="24"/>
          <w:szCs w:val="24"/>
        </w:rPr>
        <w:t xml:space="preserve"> </w:t>
      </w:r>
      <w:r w:rsidRPr="00AC321A">
        <w:rPr>
          <w:rFonts w:ascii="Bookman Old Style" w:hAnsi="Bookman Old Style" w:cs="Arial"/>
          <w:color w:val="000000" w:themeColor="text1"/>
          <w:sz w:val="24"/>
          <w:szCs w:val="24"/>
        </w:rPr>
        <w:t>Daerah</w:t>
      </w:r>
    </w:p>
    <w:p w14:paraId="5A969D4D" w14:textId="57D5F00D" w:rsidR="00D1236C" w:rsidRPr="00AC321A" w:rsidRDefault="00D1236C" w:rsidP="00A97B96">
      <w:pPr>
        <w:pStyle w:val="ListParagraph"/>
        <w:numPr>
          <w:ilvl w:val="0"/>
          <w:numId w:val="116"/>
        </w:numPr>
        <w:spacing w:before="60" w:after="0" w:line="276" w:lineRule="auto"/>
        <w:ind w:left="1276" w:hanging="283"/>
        <w:contextualSpacing w:val="0"/>
        <w:jc w:val="both"/>
        <w:rPr>
          <w:rFonts w:ascii="Bookman Old Style" w:hAnsi="Bookman Old Style" w:cs="Arial"/>
          <w:color w:val="000000" w:themeColor="text1"/>
          <w:sz w:val="24"/>
          <w:szCs w:val="24"/>
          <w:lang w:val="id-ID"/>
        </w:rPr>
      </w:pPr>
      <w:r w:rsidRPr="00AC321A">
        <w:rPr>
          <w:rFonts w:ascii="Bookman Old Style" w:hAnsi="Bookman Old Style" w:cs="Arial"/>
          <w:color w:val="000000" w:themeColor="text1"/>
          <w:sz w:val="24"/>
          <w:szCs w:val="24"/>
          <w:lang w:val="id-ID"/>
        </w:rPr>
        <w:t>Penganggaran</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target</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pendapatan</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daerah</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dalam</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Rancangan</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Peraturan</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Daerah</w:t>
      </w:r>
      <w:r w:rsidR="00A954D0">
        <w:rPr>
          <w:rFonts w:ascii="Bookman Old Style" w:hAnsi="Bookman Old Style" w:cs="Arial"/>
          <w:color w:val="000000" w:themeColor="text1"/>
          <w:sz w:val="24"/>
          <w:szCs w:val="24"/>
          <w:lang w:val="id-ID"/>
        </w:rPr>
        <w:t xml:space="preserve"> </w:t>
      </w:r>
      <w:r w:rsidR="00B055C5" w:rsidRPr="00AC321A">
        <w:rPr>
          <w:rFonts w:ascii="Bookman Old Style" w:hAnsi="Bookman Old Style"/>
          <w:sz w:val="24"/>
          <w:szCs w:val="24"/>
          <w:lang w:val="fi-FI"/>
        </w:rPr>
        <w:t>Kota</w:t>
      </w:r>
      <w:r w:rsidR="00A954D0">
        <w:rPr>
          <w:rFonts w:ascii="Bookman Old Style" w:hAnsi="Bookman Old Style"/>
          <w:sz w:val="24"/>
          <w:szCs w:val="24"/>
          <w:lang w:val="fi-FI"/>
        </w:rPr>
        <w:t xml:space="preserve"> </w:t>
      </w:r>
      <w:r w:rsidR="00770F22" w:rsidRPr="00AC321A">
        <w:rPr>
          <w:rFonts w:ascii="Bookman Old Style" w:hAnsi="Bookman Old Style"/>
          <w:sz w:val="24"/>
          <w:szCs w:val="24"/>
          <w:lang w:val="fi-FI"/>
        </w:rPr>
        <w:t>Tangerang</w:t>
      </w:r>
      <w:r w:rsidR="00A954D0">
        <w:rPr>
          <w:rFonts w:ascii="Bookman Old Style" w:hAnsi="Bookman Old Style"/>
          <w:sz w:val="24"/>
          <w:szCs w:val="24"/>
          <w:lang w:val="fi-FI"/>
        </w:rPr>
        <w:t xml:space="preserve"> </w:t>
      </w:r>
      <w:r w:rsidRPr="00AC321A">
        <w:rPr>
          <w:rFonts w:ascii="Bookman Old Style" w:hAnsi="Bookman Old Style" w:cs="Arial"/>
          <w:color w:val="000000" w:themeColor="text1"/>
          <w:sz w:val="24"/>
          <w:szCs w:val="24"/>
          <w:lang w:val="id-ID"/>
        </w:rPr>
        <w:t>tentang</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APBD</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Tahun</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Anggaran</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2025,</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harus</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berdasarkan</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pada</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perkiraan</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yang</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terukur</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secara</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rasional</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yang</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dapat</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dicapai</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untuk</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setiap</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sumber</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pendapatan</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daerah</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dan</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memiliki</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kepastian</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serta</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sesuai</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dengan</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ketentuan</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peraturan</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perundang-undangan</w:t>
      </w:r>
      <w:r w:rsidRPr="00AC321A">
        <w:rPr>
          <w:rFonts w:ascii="Bookman Old Style" w:hAnsi="Bookman Old Style" w:cs="Arial"/>
          <w:color w:val="000000" w:themeColor="text1"/>
          <w:sz w:val="24"/>
          <w:szCs w:val="24"/>
          <w:lang w:val="en-US"/>
        </w:rPr>
        <w:t>,</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sebagaimana</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en-US"/>
        </w:rPr>
        <w:t>maksud</w:t>
      </w:r>
      <w:r w:rsidR="00A954D0">
        <w:rPr>
          <w:rFonts w:ascii="Bookman Old Style" w:hAnsi="Bookman Old Style" w:cs="Arial"/>
          <w:color w:val="000000" w:themeColor="text1"/>
          <w:sz w:val="24"/>
          <w:szCs w:val="24"/>
          <w:lang w:val="en-US"/>
        </w:rPr>
        <w:t xml:space="preserve"> </w:t>
      </w:r>
      <w:r w:rsidRPr="00AC321A">
        <w:rPr>
          <w:rFonts w:ascii="Bookman Old Style" w:hAnsi="Bookman Old Style" w:cs="Arial"/>
          <w:color w:val="000000" w:themeColor="text1"/>
          <w:sz w:val="24"/>
          <w:szCs w:val="24"/>
          <w:lang w:val="id-ID"/>
        </w:rPr>
        <w:t>Pasal</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24</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ayat</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(4)</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Peraturan</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Pemerintah</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Nomor</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12</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Tahun</w:t>
      </w:r>
      <w:r w:rsidR="00A954D0">
        <w:rPr>
          <w:rFonts w:ascii="Bookman Old Style" w:hAnsi="Bookman Old Style" w:cs="Arial"/>
          <w:color w:val="000000" w:themeColor="text1"/>
          <w:sz w:val="24"/>
          <w:szCs w:val="24"/>
          <w:lang w:val="id-ID"/>
        </w:rPr>
        <w:t xml:space="preserve"> </w:t>
      </w:r>
      <w:r w:rsidRPr="00AC321A">
        <w:rPr>
          <w:rFonts w:ascii="Bookman Old Style" w:hAnsi="Bookman Old Style" w:cs="Arial"/>
          <w:color w:val="000000" w:themeColor="text1"/>
          <w:sz w:val="24"/>
          <w:szCs w:val="24"/>
          <w:lang w:val="id-ID"/>
        </w:rPr>
        <w:t>2019</w:t>
      </w:r>
      <w:r w:rsidR="00861E03">
        <w:rPr>
          <w:rFonts w:ascii="Bookman Old Style" w:hAnsi="Bookman Old Style" w:cs="Arial"/>
          <w:color w:val="000000" w:themeColor="text1"/>
          <w:sz w:val="24"/>
          <w:szCs w:val="24"/>
          <w:lang w:val="en-US"/>
        </w:rPr>
        <w:t>;</w:t>
      </w:r>
    </w:p>
    <w:p w14:paraId="5F1D708E" w14:textId="1DB7122C" w:rsidR="00D1236C" w:rsidRPr="00AC321A" w:rsidRDefault="00D1236C" w:rsidP="00A97B96">
      <w:pPr>
        <w:pStyle w:val="ListParagraph"/>
        <w:numPr>
          <w:ilvl w:val="0"/>
          <w:numId w:val="116"/>
        </w:numPr>
        <w:spacing w:before="60" w:after="0" w:line="276" w:lineRule="auto"/>
        <w:ind w:left="1276" w:hanging="283"/>
        <w:contextualSpacing w:val="0"/>
        <w:jc w:val="both"/>
        <w:rPr>
          <w:rFonts w:ascii="Bookman Old Style" w:hAnsi="Bookman Old Style"/>
          <w:sz w:val="24"/>
          <w:szCs w:val="24"/>
        </w:rPr>
      </w:pPr>
      <w:r w:rsidRPr="00AC321A">
        <w:rPr>
          <w:rFonts w:ascii="Bookman Old Style" w:hAnsi="Bookman Old Style" w:cs="Arial"/>
          <w:color w:val="000000" w:themeColor="text1"/>
          <w:sz w:val="24"/>
          <w:szCs w:val="24"/>
          <w:lang w:val="id-ID"/>
        </w:rPr>
        <w:t>Penganggaran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target</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pendapatan</w:t>
      </w:r>
      <w:r w:rsidR="00A954D0">
        <w:rPr>
          <w:rFonts w:ascii="Bookman Old Style" w:hAnsi="Bookman Old Style" w:cs="Arial"/>
          <w:sz w:val="24"/>
          <w:szCs w:val="24"/>
        </w:rPr>
        <w:t xml:space="preserve"> </w:t>
      </w:r>
      <w:r w:rsidRPr="00AC321A">
        <w:rPr>
          <w:rFonts w:ascii="Bookman Old Style" w:hAnsi="Bookman Old Style" w:cs="Arial"/>
          <w:sz w:val="24"/>
          <w:szCs w:val="24"/>
        </w:rPr>
        <w:t>daerah</w:t>
      </w:r>
      <w:r w:rsidR="00A954D0">
        <w:rPr>
          <w:rFonts w:ascii="Bookman Old Style" w:hAnsi="Bookman Old Style" w:cs="Arial"/>
          <w:sz w:val="24"/>
          <w:szCs w:val="24"/>
        </w:rPr>
        <w:t xml:space="preserve"> </w:t>
      </w:r>
      <w:r w:rsidRPr="00AC321A">
        <w:rPr>
          <w:rFonts w:ascii="Bookman Old Style" w:hAnsi="Bookman Old Style" w:cs="Arial"/>
          <w:sz w:val="24"/>
          <w:szCs w:val="24"/>
        </w:rPr>
        <w:t>dalam</w:t>
      </w:r>
      <w:r w:rsidR="00A954D0">
        <w:rPr>
          <w:rFonts w:ascii="Bookman Old Style" w:hAnsi="Bookman Old Style" w:cs="Arial"/>
          <w:sz w:val="24"/>
          <w:szCs w:val="24"/>
        </w:rPr>
        <w:t xml:space="preserve"> </w:t>
      </w:r>
      <w:r w:rsidRPr="00AC321A">
        <w:rPr>
          <w:rFonts w:ascii="Bookman Old Style" w:hAnsi="Bookman Old Style" w:cs="Arial"/>
          <w:sz w:val="24"/>
          <w:szCs w:val="24"/>
          <w:lang w:val="id-ID"/>
        </w:rPr>
        <w:t>Rancangan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Peraturan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Daerah</w:t>
      </w:r>
      <w:r w:rsidR="00A954D0">
        <w:rPr>
          <w:rFonts w:ascii="Bookman Old Style" w:hAnsi="Bookman Old Style" w:cs="Arial"/>
          <w:sz w:val="24"/>
          <w:szCs w:val="24"/>
          <w:lang w:val="id-ID"/>
        </w:rPr>
        <w:t xml:space="preserve"> </w:t>
      </w:r>
      <w:r w:rsidR="00B055C5" w:rsidRPr="00AC321A">
        <w:rPr>
          <w:rFonts w:ascii="Bookman Old Style" w:hAnsi="Bookman Old Style"/>
          <w:sz w:val="24"/>
          <w:szCs w:val="24"/>
          <w:lang w:val="fi-FI"/>
        </w:rPr>
        <w:t>Kota</w:t>
      </w:r>
      <w:r w:rsidR="00A954D0">
        <w:rPr>
          <w:rFonts w:ascii="Bookman Old Style" w:hAnsi="Bookman Old Style"/>
          <w:sz w:val="24"/>
          <w:szCs w:val="24"/>
          <w:lang w:val="fi-FI"/>
        </w:rPr>
        <w:t xml:space="preserve"> </w:t>
      </w:r>
      <w:r w:rsidR="00770F22" w:rsidRPr="00AC321A">
        <w:rPr>
          <w:rFonts w:ascii="Bookman Old Style" w:hAnsi="Bookman Old Style"/>
          <w:sz w:val="24"/>
          <w:szCs w:val="24"/>
          <w:lang w:val="fi-FI"/>
        </w:rPr>
        <w:t>Tangerang</w:t>
      </w:r>
      <w:r w:rsidR="00A954D0">
        <w:rPr>
          <w:rFonts w:ascii="Bookman Old Style" w:hAnsi="Bookman Old Style"/>
          <w:sz w:val="24"/>
          <w:szCs w:val="24"/>
          <w:lang w:val="fi-FI"/>
        </w:rPr>
        <w:t xml:space="preserve"> </w:t>
      </w:r>
      <w:r w:rsidRPr="00AC321A">
        <w:rPr>
          <w:rFonts w:ascii="Bookman Old Style" w:hAnsi="Bookman Old Style" w:cs="Arial"/>
          <w:sz w:val="24"/>
          <w:szCs w:val="24"/>
          <w:lang w:val="id-ID"/>
        </w:rPr>
        <w:t>tentang</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APBD</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Anggaran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2025</w:t>
      </w:r>
      <w:r w:rsidR="00A954D0">
        <w:rPr>
          <w:rFonts w:ascii="Bookman Old Style" w:hAnsi="Bookman Old Style" w:cs="Arial"/>
          <w:sz w:val="24"/>
          <w:szCs w:val="24"/>
        </w:rPr>
        <w:t xml:space="preserve"> </w:t>
      </w:r>
      <w:r w:rsidRPr="00AC321A">
        <w:rPr>
          <w:rFonts w:ascii="Bookman Old Style" w:hAnsi="Bookman Old Style" w:cs="Arial"/>
          <w:sz w:val="24"/>
          <w:szCs w:val="24"/>
        </w:rPr>
        <w:t>meliputi</w:t>
      </w:r>
      <w:r w:rsidR="00A954D0">
        <w:rPr>
          <w:rFonts w:ascii="Bookman Old Style" w:hAnsi="Bookman Old Style" w:cs="Arial"/>
          <w:sz w:val="24"/>
          <w:szCs w:val="24"/>
        </w:rPr>
        <w:t xml:space="preserve"> </w:t>
      </w:r>
      <w:r w:rsidRPr="00AC321A">
        <w:rPr>
          <w:rFonts w:ascii="Bookman Old Style" w:hAnsi="Bookman Old Style" w:cs="Arial"/>
          <w:sz w:val="24"/>
          <w:szCs w:val="24"/>
        </w:rPr>
        <w:t>semua</w:t>
      </w:r>
      <w:r w:rsidR="00A954D0">
        <w:rPr>
          <w:rFonts w:ascii="Bookman Old Style" w:hAnsi="Bookman Old Style" w:cs="Arial"/>
          <w:sz w:val="24"/>
          <w:szCs w:val="24"/>
        </w:rPr>
        <w:t xml:space="preserve"> </w:t>
      </w:r>
      <w:r w:rsidRPr="00AC321A">
        <w:rPr>
          <w:rFonts w:ascii="Bookman Old Style" w:hAnsi="Bookman Old Style" w:cs="Arial"/>
          <w:sz w:val="24"/>
          <w:szCs w:val="24"/>
        </w:rPr>
        <w:t>penerimaan</w:t>
      </w:r>
      <w:r w:rsidR="00A954D0">
        <w:rPr>
          <w:rFonts w:ascii="Bookman Old Style" w:hAnsi="Bookman Old Style" w:cs="Arial"/>
          <w:sz w:val="24"/>
          <w:szCs w:val="24"/>
        </w:rPr>
        <w:t xml:space="preserve"> </w:t>
      </w:r>
      <w:r w:rsidRPr="00AC321A">
        <w:rPr>
          <w:rFonts w:ascii="Bookman Old Style" w:hAnsi="Bookman Old Style" w:cs="Arial"/>
          <w:sz w:val="24"/>
          <w:szCs w:val="24"/>
        </w:rPr>
        <w:t>uang</w:t>
      </w:r>
      <w:r w:rsidR="00A954D0">
        <w:rPr>
          <w:rFonts w:ascii="Bookman Old Style" w:hAnsi="Bookman Old Style" w:cs="Arial"/>
          <w:sz w:val="24"/>
          <w:szCs w:val="24"/>
        </w:rPr>
        <w:t xml:space="preserve"> </w:t>
      </w:r>
      <w:r w:rsidRPr="00AC321A">
        <w:rPr>
          <w:rFonts w:ascii="Bookman Old Style" w:hAnsi="Bookman Old Style" w:cs="Arial"/>
          <w:sz w:val="24"/>
          <w:szCs w:val="24"/>
        </w:rPr>
        <w:t>melalui</w:t>
      </w:r>
      <w:r w:rsidR="00A954D0">
        <w:rPr>
          <w:rFonts w:ascii="Bookman Old Style" w:hAnsi="Bookman Old Style" w:cs="Arial"/>
          <w:sz w:val="24"/>
          <w:szCs w:val="24"/>
        </w:rPr>
        <w:t xml:space="preserve"> </w:t>
      </w:r>
      <w:r w:rsidRPr="00AC321A">
        <w:rPr>
          <w:rFonts w:ascii="Bookman Old Style" w:hAnsi="Bookman Old Style" w:cs="Arial"/>
          <w:sz w:val="24"/>
          <w:szCs w:val="24"/>
        </w:rPr>
        <w:t>Rekening</w:t>
      </w:r>
      <w:r w:rsidR="00A954D0">
        <w:rPr>
          <w:rFonts w:ascii="Bookman Old Style" w:hAnsi="Bookman Old Style" w:cs="Arial"/>
          <w:sz w:val="24"/>
          <w:szCs w:val="24"/>
        </w:rPr>
        <w:t xml:space="preserve"> </w:t>
      </w:r>
      <w:r w:rsidRPr="00AC321A">
        <w:rPr>
          <w:rFonts w:ascii="Bookman Old Style" w:hAnsi="Bookman Old Style" w:cs="Arial"/>
          <w:sz w:val="24"/>
          <w:szCs w:val="24"/>
        </w:rPr>
        <w:t>Kas</w:t>
      </w:r>
      <w:r w:rsidR="00A954D0">
        <w:rPr>
          <w:rFonts w:ascii="Bookman Old Style" w:hAnsi="Bookman Old Style" w:cs="Arial"/>
          <w:sz w:val="24"/>
          <w:szCs w:val="24"/>
        </w:rPr>
        <w:t xml:space="preserve"> </w:t>
      </w:r>
      <w:r w:rsidRPr="00AC321A">
        <w:rPr>
          <w:rFonts w:ascii="Bookman Old Style" w:hAnsi="Bookman Old Style" w:cs="Arial"/>
          <w:sz w:val="24"/>
          <w:szCs w:val="24"/>
        </w:rPr>
        <w:t>Umum</w:t>
      </w:r>
      <w:r w:rsidR="00A954D0">
        <w:rPr>
          <w:rFonts w:ascii="Bookman Old Style" w:hAnsi="Bookman Old Style" w:cs="Arial"/>
          <w:sz w:val="24"/>
          <w:szCs w:val="24"/>
        </w:rPr>
        <w:t xml:space="preserve"> </w:t>
      </w:r>
      <w:r w:rsidRPr="00AC321A">
        <w:rPr>
          <w:rFonts w:ascii="Bookman Old Style" w:hAnsi="Bookman Old Style" w:cs="Arial"/>
          <w:sz w:val="24"/>
          <w:szCs w:val="24"/>
        </w:rPr>
        <w:t>Daerah</w:t>
      </w:r>
      <w:r w:rsidR="00A954D0">
        <w:rPr>
          <w:rFonts w:ascii="Bookman Old Style" w:hAnsi="Bookman Old Style" w:cs="Arial"/>
          <w:sz w:val="24"/>
          <w:szCs w:val="24"/>
        </w:rPr>
        <w:t xml:space="preserve"> </w:t>
      </w:r>
      <w:r w:rsidRPr="00AC321A">
        <w:rPr>
          <w:rFonts w:ascii="Bookman Old Style" w:hAnsi="Bookman Old Style" w:cs="Arial"/>
          <w:sz w:val="24"/>
          <w:szCs w:val="24"/>
          <w:lang w:val="id-ID"/>
        </w:rPr>
        <w:t>(RKUD)</w:t>
      </w:r>
      <w:r w:rsidR="00A954D0">
        <w:rPr>
          <w:rFonts w:ascii="Bookman Old Style" w:hAnsi="Bookman Old Style" w:cs="Arial"/>
          <w:sz w:val="24"/>
          <w:szCs w:val="24"/>
          <w:lang w:val="id-ID"/>
        </w:rPr>
        <w:t xml:space="preserve"> </w:t>
      </w:r>
      <w:r w:rsidRPr="00AC321A">
        <w:rPr>
          <w:rFonts w:ascii="Bookman Old Style" w:hAnsi="Bookman Old Style" w:cs="Arial"/>
          <w:sz w:val="24"/>
          <w:szCs w:val="24"/>
        </w:rPr>
        <w:t>yang</w:t>
      </w:r>
      <w:r w:rsidR="00A954D0">
        <w:rPr>
          <w:rFonts w:ascii="Bookman Old Style" w:hAnsi="Bookman Old Style" w:cs="Arial"/>
          <w:sz w:val="24"/>
          <w:szCs w:val="24"/>
        </w:rPr>
        <w:t xml:space="preserve"> </w:t>
      </w:r>
      <w:r w:rsidRPr="00AC321A">
        <w:rPr>
          <w:rFonts w:ascii="Bookman Old Style" w:hAnsi="Bookman Old Style" w:cs="Arial"/>
          <w:sz w:val="24"/>
          <w:szCs w:val="24"/>
        </w:rPr>
        <w:t>tidak</w:t>
      </w:r>
      <w:r w:rsidR="00A954D0">
        <w:rPr>
          <w:rFonts w:ascii="Bookman Old Style" w:hAnsi="Bookman Old Style" w:cs="Arial"/>
          <w:sz w:val="24"/>
          <w:szCs w:val="24"/>
        </w:rPr>
        <w:t xml:space="preserve"> </w:t>
      </w:r>
      <w:r w:rsidRPr="00AC321A">
        <w:rPr>
          <w:rFonts w:ascii="Bookman Old Style" w:hAnsi="Bookman Old Style" w:cs="Arial"/>
          <w:sz w:val="24"/>
          <w:szCs w:val="24"/>
        </w:rPr>
        <w:t>perlu</w:t>
      </w:r>
      <w:r w:rsidR="00A954D0">
        <w:rPr>
          <w:rFonts w:ascii="Bookman Old Style" w:hAnsi="Bookman Old Style" w:cs="Arial"/>
          <w:sz w:val="24"/>
          <w:szCs w:val="24"/>
        </w:rPr>
        <w:t xml:space="preserve"> </w:t>
      </w:r>
      <w:r w:rsidRPr="00AC321A">
        <w:rPr>
          <w:rFonts w:ascii="Bookman Old Style" w:hAnsi="Bookman Old Style" w:cs="Arial"/>
          <w:sz w:val="24"/>
          <w:szCs w:val="24"/>
        </w:rPr>
        <w:t>dibayar</w:t>
      </w:r>
      <w:r w:rsidR="00A954D0">
        <w:rPr>
          <w:rFonts w:ascii="Bookman Old Style" w:hAnsi="Bookman Old Style" w:cs="Arial"/>
          <w:sz w:val="24"/>
          <w:szCs w:val="24"/>
        </w:rPr>
        <w:t xml:space="preserve"> </w:t>
      </w:r>
      <w:r w:rsidRPr="00AC321A">
        <w:rPr>
          <w:rFonts w:ascii="Bookman Old Style" w:hAnsi="Bookman Old Style" w:cs="Arial"/>
          <w:sz w:val="24"/>
          <w:szCs w:val="24"/>
        </w:rPr>
        <w:t>kembali</w:t>
      </w:r>
      <w:r w:rsidR="00A954D0">
        <w:rPr>
          <w:rFonts w:ascii="Bookman Old Style" w:hAnsi="Bookman Old Style" w:cs="Arial"/>
          <w:sz w:val="24"/>
          <w:szCs w:val="24"/>
        </w:rPr>
        <w:t xml:space="preserve"> </w:t>
      </w:r>
      <w:r w:rsidRPr="00AC321A">
        <w:rPr>
          <w:rFonts w:ascii="Bookman Old Style" w:hAnsi="Bookman Old Style" w:cs="Arial"/>
          <w:sz w:val="24"/>
          <w:szCs w:val="24"/>
        </w:rPr>
        <w:t>oleh</w:t>
      </w:r>
      <w:r w:rsidR="00A954D0">
        <w:rPr>
          <w:rFonts w:ascii="Bookman Old Style" w:hAnsi="Bookman Old Style" w:cs="Arial"/>
          <w:sz w:val="24"/>
          <w:szCs w:val="24"/>
        </w:rPr>
        <w:t xml:space="preserve"> </w:t>
      </w:r>
      <w:r w:rsidRPr="00AC321A">
        <w:rPr>
          <w:rFonts w:ascii="Bookman Old Style" w:hAnsi="Bookman Old Style" w:cs="Arial"/>
          <w:sz w:val="24"/>
          <w:szCs w:val="24"/>
        </w:rPr>
        <w:t>daerah</w:t>
      </w:r>
      <w:r w:rsidR="00A954D0">
        <w:rPr>
          <w:rFonts w:ascii="Bookman Old Style" w:hAnsi="Bookman Old Style" w:cs="Arial"/>
          <w:sz w:val="24"/>
          <w:szCs w:val="24"/>
        </w:rPr>
        <w:t xml:space="preserve"> </w:t>
      </w:r>
      <w:r w:rsidRPr="00AC321A">
        <w:rPr>
          <w:rFonts w:ascii="Bookman Old Style" w:hAnsi="Bookman Old Style" w:cs="Arial"/>
          <w:sz w:val="24"/>
          <w:szCs w:val="24"/>
        </w:rPr>
        <w:t>dan</w:t>
      </w:r>
      <w:r w:rsidR="00A954D0">
        <w:rPr>
          <w:rFonts w:ascii="Bookman Old Style" w:hAnsi="Bookman Old Style" w:cs="Arial"/>
          <w:sz w:val="24"/>
          <w:szCs w:val="24"/>
        </w:rPr>
        <w:t xml:space="preserve"> </w:t>
      </w:r>
      <w:r w:rsidRPr="00AC321A">
        <w:rPr>
          <w:rFonts w:ascii="Bookman Old Style" w:hAnsi="Bookman Old Style" w:cs="Arial"/>
          <w:sz w:val="24"/>
          <w:szCs w:val="24"/>
        </w:rPr>
        <w:t>penerimaan</w:t>
      </w:r>
      <w:r w:rsidR="00A954D0">
        <w:rPr>
          <w:rFonts w:ascii="Bookman Old Style" w:hAnsi="Bookman Old Style" w:cs="Arial"/>
          <w:sz w:val="24"/>
          <w:szCs w:val="24"/>
        </w:rPr>
        <w:t xml:space="preserve"> </w:t>
      </w:r>
      <w:r w:rsidRPr="00AC321A">
        <w:rPr>
          <w:rFonts w:ascii="Bookman Old Style" w:hAnsi="Bookman Old Style" w:cs="Arial"/>
          <w:sz w:val="24"/>
          <w:szCs w:val="24"/>
        </w:rPr>
        <w:t>lainnya</w:t>
      </w:r>
      <w:r w:rsidR="00A954D0">
        <w:rPr>
          <w:rFonts w:ascii="Bookman Old Style" w:hAnsi="Bookman Old Style" w:cs="Arial"/>
          <w:sz w:val="24"/>
          <w:szCs w:val="24"/>
        </w:rPr>
        <w:t xml:space="preserve"> </w:t>
      </w:r>
      <w:r w:rsidRPr="00AC321A">
        <w:rPr>
          <w:rFonts w:ascii="Bookman Old Style" w:hAnsi="Bookman Old Style" w:cs="Arial"/>
          <w:sz w:val="24"/>
          <w:szCs w:val="24"/>
        </w:rPr>
        <w:t>yang</w:t>
      </w:r>
      <w:r w:rsidR="00A954D0">
        <w:rPr>
          <w:rFonts w:ascii="Bookman Old Style" w:hAnsi="Bookman Old Style" w:cs="Arial"/>
          <w:sz w:val="24"/>
          <w:szCs w:val="24"/>
        </w:rPr>
        <w:t xml:space="preserve"> </w:t>
      </w:r>
      <w:r w:rsidRPr="00AC321A">
        <w:rPr>
          <w:rFonts w:ascii="Bookman Old Style" w:hAnsi="Bookman Old Style" w:cs="Arial"/>
          <w:sz w:val="24"/>
          <w:szCs w:val="24"/>
        </w:rPr>
        <w:t>sesuai</w:t>
      </w:r>
      <w:r w:rsidR="00A954D0">
        <w:rPr>
          <w:rFonts w:ascii="Bookman Old Style" w:hAnsi="Bookman Old Style" w:cs="Arial"/>
          <w:sz w:val="24"/>
          <w:szCs w:val="24"/>
        </w:rPr>
        <w:t xml:space="preserve"> </w:t>
      </w:r>
      <w:r w:rsidRPr="00AC321A">
        <w:rPr>
          <w:rFonts w:ascii="Bookman Old Style" w:hAnsi="Bookman Old Style" w:cs="Arial"/>
          <w:sz w:val="24"/>
          <w:szCs w:val="24"/>
        </w:rPr>
        <w:t>dengan</w:t>
      </w:r>
      <w:r w:rsidR="00A954D0">
        <w:rPr>
          <w:rFonts w:ascii="Bookman Old Style" w:hAnsi="Bookman Old Style" w:cs="Arial"/>
          <w:sz w:val="24"/>
          <w:szCs w:val="24"/>
        </w:rPr>
        <w:t xml:space="preserve"> </w:t>
      </w:r>
      <w:r w:rsidRPr="00AC321A">
        <w:rPr>
          <w:rFonts w:ascii="Bookman Old Style" w:hAnsi="Bookman Old Style" w:cs="Arial"/>
          <w:sz w:val="24"/>
          <w:szCs w:val="24"/>
        </w:rPr>
        <w:t>ketentuan</w:t>
      </w:r>
      <w:r w:rsidR="00A954D0">
        <w:rPr>
          <w:rFonts w:ascii="Bookman Old Style" w:hAnsi="Bookman Old Style" w:cs="Arial"/>
          <w:sz w:val="24"/>
          <w:szCs w:val="24"/>
        </w:rPr>
        <w:t xml:space="preserve"> </w:t>
      </w:r>
      <w:r w:rsidRPr="00AC321A">
        <w:rPr>
          <w:rFonts w:ascii="Bookman Old Style" w:hAnsi="Bookman Old Style" w:cs="Arial"/>
          <w:sz w:val="24"/>
          <w:szCs w:val="24"/>
        </w:rPr>
        <w:t>peraturan</w:t>
      </w:r>
      <w:r w:rsidR="00A954D0">
        <w:rPr>
          <w:rFonts w:ascii="Bookman Old Style" w:hAnsi="Bookman Old Style" w:cs="Arial"/>
          <w:sz w:val="24"/>
          <w:szCs w:val="24"/>
        </w:rPr>
        <w:t xml:space="preserve"> </w:t>
      </w:r>
      <w:r w:rsidRPr="00AC321A">
        <w:rPr>
          <w:rFonts w:ascii="Bookman Old Style" w:hAnsi="Bookman Old Style" w:cs="Arial"/>
          <w:sz w:val="24"/>
          <w:szCs w:val="24"/>
        </w:rPr>
        <w:t>perundang-undangan</w:t>
      </w:r>
      <w:r w:rsidR="00A954D0">
        <w:rPr>
          <w:rFonts w:ascii="Bookman Old Style" w:hAnsi="Bookman Old Style" w:cs="Arial"/>
          <w:sz w:val="24"/>
          <w:szCs w:val="24"/>
        </w:rPr>
        <w:t xml:space="preserve"> </w:t>
      </w:r>
      <w:r w:rsidRPr="00AC321A">
        <w:rPr>
          <w:rFonts w:ascii="Bookman Old Style" w:hAnsi="Bookman Old Style" w:cs="Arial"/>
          <w:sz w:val="24"/>
          <w:szCs w:val="24"/>
        </w:rPr>
        <w:t>diakui</w:t>
      </w:r>
      <w:r w:rsidR="00A954D0">
        <w:rPr>
          <w:rFonts w:ascii="Bookman Old Style" w:hAnsi="Bookman Old Style" w:cs="Arial"/>
          <w:sz w:val="24"/>
          <w:szCs w:val="24"/>
        </w:rPr>
        <w:t xml:space="preserve"> </w:t>
      </w:r>
      <w:r w:rsidRPr="00AC321A">
        <w:rPr>
          <w:rFonts w:ascii="Bookman Old Style" w:hAnsi="Bookman Old Style" w:cs="Arial"/>
          <w:sz w:val="24"/>
          <w:szCs w:val="24"/>
        </w:rPr>
        <w:t>sebagai</w:t>
      </w:r>
      <w:r w:rsidR="00A954D0">
        <w:rPr>
          <w:rFonts w:ascii="Bookman Old Style" w:hAnsi="Bookman Old Style" w:cs="Arial"/>
          <w:sz w:val="24"/>
          <w:szCs w:val="24"/>
        </w:rPr>
        <w:t xml:space="preserve"> </w:t>
      </w:r>
      <w:r w:rsidRPr="00AC321A">
        <w:rPr>
          <w:rFonts w:ascii="Bookman Old Style" w:hAnsi="Bookman Old Style" w:cs="Arial"/>
          <w:sz w:val="24"/>
          <w:szCs w:val="24"/>
        </w:rPr>
        <w:t>penambah</w:t>
      </w:r>
      <w:r w:rsidR="00A954D0">
        <w:rPr>
          <w:rFonts w:ascii="Bookman Old Style" w:hAnsi="Bookman Old Style" w:cs="Arial"/>
          <w:sz w:val="24"/>
          <w:szCs w:val="24"/>
        </w:rPr>
        <w:t xml:space="preserve"> </w:t>
      </w:r>
      <w:r w:rsidRPr="00AC321A">
        <w:rPr>
          <w:rFonts w:ascii="Bookman Old Style" w:hAnsi="Bookman Old Style" w:cs="Arial"/>
          <w:sz w:val="24"/>
          <w:szCs w:val="24"/>
        </w:rPr>
        <w:t>ekuitas</w:t>
      </w:r>
      <w:r w:rsidR="00A954D0">
        <w:rPr>
          <w:rFonts w:ascii="Bookman Old Style" w:hAnsi="Bookman Old Style" w:cs="Arial"/>
          <w:sz w:val="24"/>
          <w:szCs w:val="24"/>
        </w:rPr>
        <w:t xml:space="preserve"> </w:t>
      </w:r>
      <w:r w:rsidRPr="00AC321A">
        <w:rPr>
          <w:rFonts w:ascii="Bookman Old Style" w:hAnsi="Bookman Old Style" w:cs="Arial"/>
          <w:sz w:val="24"/>
          <w:szCs w:val="24"/>
        </w:rPr>
        <w:t>yang</w:t>
      </w:r>
      <w:r w:rsidR="00A954D0">
        <w:rPr>
          <w:rFonts w:ascii="Bookman Old Style" w:hAnsi="Bookman Old Style" w:cs="Arial"/>
          <w:sz w:val="24"/>
          <w:szCs w:val="24"/>
        </w:rPr>
        <w:t xml:space="preserve"> </w:t>
      </w:r>
      <w:r w:rsidRPr="00AC321A">
        <w:rPr>
          <w:rFonts w:ascii="Bookman Old Style" w:hAnsi="Bookman Old Style" w:cs="Arial"/>
          <w:sz w:val="24"/>
          <w:szCs w:val="24"/>
        </w:rPr>
        <w:t>merupakan</w:t>
      </w:r>
      <w:r w:rsidR="00A954D0">
        <w:rPr>
          <w:rFonts w:ascii="Bookman Old Style" w:hAnsi="Bookman Old Style" w:cs="Arial"/>
          <w:sz w:val="24"/>
          <w:szCs w:val="24"/>
        </w:rPr>
        <w:t xml:space="preserve"> </w:t>
      </w:r>
      <w:r w:rsidRPr="00AC321A">
        <w:rPr>
          <w:rFonts w:ascii="Bookman Old Style" w:hAnsi="Bookman Old Style" w:cs="Arial"/>
          <w:sz w:val="24"/>
          <w:szCs w:val="24"/>
        </w:rPr>
        <w:t>hak</w:t>
      </w:r>
      <w:r w:rsidR="00A954D0">
        <w:rPr>
          <w:rFonts w:ascii="Bookman Old Style" w:hAnsi="Bookman Old Style" w:cs="Arial"/>
          <w:sz w:val="24"/>
          <w:szCs w:val="24"/>
        </w:rPr>
        <w:t xml:space="preserve"> </w:t>
      </w:r>
      <w:r w:rsidRPr="00AC321A">
        <w:rPr>
          <w:rFonts w:ascii="Bookman Old Style" w:hAnsi="Bookman Old Style" w:cs="Arial"/>
          <w:sz w:val="24"/>
          <w:szCs w:val="24"/>
        </w:rPr>
        <w:t>daerah</w:t>
      </w:r>
      <w:r w:rsidR="00A954D0">
        <w:rPr>
          <w:rFonts w:ascii="Bookman Old Style" w:hAnsi="Bookman Old Style" w:cs="Arial"/>
          <w:sz w:val="24"/>
          <w:szCs w:val="24"/>
        </w:rPr>
        <w:t xml:space="preserve"> </w:t>
      </w:r>
      <w:r w:rsidRPr="00AC321A">
        <w:rPr>
          <w:rFonts w:ascii="Bookman Old Style" w:hAnsi="Bookman Old Style" w:cs="Arial"/>
          <w:sz w:val="24"/>
          <w:szCs w:val="24"/>
        </w:rPr>
        <w:t>dalam</w:t>
      </w:r>
      <w:r w:rsidR="00A954D0">
        <w:rPr>
          <w:rFonts w:ascii="Bookman Old Style" w:hAnsi="Bookman Old Style" w:cs="Arial"/>
          <w:sz w:val="24"/>
          <w:szCs w:val="24"/>
        </w:rPr>
        <w:t xml:space="preserve"> </w:t>
      </w:r>
      <w:r w:rsidRPr="00AC321A">
        <w:rPr>
          <w:rFonts w:ascii="Bookman Old Style" w:hAnsi="Bookman Old Style" w:cs="Arial"/>
          <w:sz w:val="24"/>
          <w:szCs w:val="24"/>
        </w:rPr>
        <w:t>1</w:t>
      </w:r>
      <w:r w:rsidR="00A954D0">
        <w:rPr>
          <w:rFonts w:ascii="Bookman Old Style" w:hAnsi="Bookman Old Style" w:cs="Arial"/>
          <w:sz w:val="24"/>
          <w:szCs w:val="24"/>
        </w:rPr>
        <w:t xml:space="preserve"> </w:t>
      </w:r>
      <w:r w:rsidRPr="00AC321A">
        <w:rPr>
          <w:rFonts w:ascii="Bookman Old Style" w:hAnsi="Bookman Old Style" w:cs="Arial"/>
          <w:sz w:val="24"/>
          <w:szCs w:val="24"/>
        </w:rPr>
        <w:t>(satu)</w:t>
      </w:r>
      <w:r w:rsidR="00A954D0">
        <w:rPr>
          <w:rFonts w:ascii="Bookman Old Style" w:hAnsi="Bookman Old Style" w:cs="Arial"/>
          <w:sz w:val="24"/>
          <w:szCs w:val="24"/>
        </w:rPr>
        <w:t xml:space="preserve"> </w:t>
      </w:r>
      <w:r w:rsidRPr="00AC321A">
        <w:rPr>
          <w:rFonts w:ascii="Bookman Old Style" w:hAnsi="Bookman Old Style" w:cs="Arial"/>
          <w:sz w:val="24"/>
          <w:szCs w:val="24"/>
        </w:rPr>
        <w:t>tahun</w:t>
      </w:r>
      <w:r w:rsidR="00A954D0">
        <w:rPr>
          <w:rFonts w:ascii="Bookman Old Style" w:hAnsi="Bookman Old Style" w:cs="Arial"/>
          <w:sz w:val="24"/>
          <w:szCs w:val="24"/>
        </w:rPr>
        <w:t xml:space="preserve"> </w:t>
      </w:r>
      <w:r w:rsidRPr="00AC321A">
        <w:rPr>
          <w:rFonts w:ascii="Bookman Old Style" w:hAnsi="Bookman Old Style" w:cs="Arial"/>
          <w:sz w:val="24"/>
          <w:szCs w:val="24"/>
        </w:rPr>
        <w:t>anggaran</w:t>
      </w:r>
      <w:r w:rsidRPr="00AC321A">
        <w:rPr>
          <w:rFonts w:ascii="Bookman Old Style" w:hAnsi="Bookman Old Style"/>
          <w:sz w:val="24"/>
          <w:szCs w:val="24"/>
          <w:lang w:val="id-ID"/>
        </w:rPr>
        <w:t>,</w:t>
      </w:r>
      <w:r w:rsidR="00A954D0">
        <w:rPr>
          <w:rFonts w:ascii="Bookman Old Style" w:hAnsi="Bookman Old Style"/>
          <w:sz w:val="24"/>
          <w:szCs w:val="24"/>
          <w:lang w:val="id-ID"/>
        </w:rPr>
        <w:t xml:space="preserve"> </w:t>
      </w:r>
      <w:r w:rsidRPr="00AC321A">
        <w:rPr>
          <w:rFonts w:ascii="Bookman Old Style" w:hAnsi="Bookman Old Style"/>
          <w:sz w:val="24"/>
          <w:szCs w:val="24"/>
          <w:lang w:val="id-ID"/>
        </w:rPr>
        <w:t>sebagaimana</w:t>
      </w:r>
      <w:r w:rsidR="00A954D0">
        <w:rPr>
          <w:rFonts w:ascii="Bookman Old Style" w:hAnsi="Bookman Old Style"/>
          <w:sz w:val="24"/>
          <w:szCs w:val="24"/>
          <w:lang w:val="id-ID"/>
        </w:rPr>
        <w:t xml:space="preserve"> </w:t>
      </w:r>
      <w:r w:rsidRPr="00AC321A">
        <w:rPr>
          <w:rFonts w:ascii="Bookman Old Style" w:hAnsi="Bookman Old Style"/>
          <w:sz w:val="24"/>
          <w:szCs w:val="24"/>
          <w:lang w:val="id-ID"/>
        </w:rPr>
        <w:t>maksud</w:t>
      </w:r>
      <w:r w:rsidR="00A954D0">
        <w:rPr>
          <w:rFonts w:ascii="Bookman Old Style" w:hAnsi="Bookman Old Style"/>
          <w:sz w:val="24"/>
          <w:szCs w:val="24"/>
          <w:lang w:val="id-ID"/>
        </w:rPr>
        <w:t xml:space="preserve"> </w:t>
      </w:r>
      <w:r w:rsidRPr="00AC321A">
        <w:rPr>
          <w:rFonts w:ascii="Bookman Old Style" w:hAnsi="Bookman Old Style"/>
          <w:sz w:val="24"/>
          <w:szCs w:val="24"/>
          <w:lang w:val="id-ID"/>
        </w:rPr>
        <w:t>Pasal</w:t>
      </w:r>
      <w:r w:rsidR="00A954D0">
        <w:rPr>
          <w:rFonts w:ascii="Bookman Old Style" w:hAnsi="Bookman Old Style"/>
          <w:sz w:val="24"/>
          <w:szCs w:val="24"/>
          <w:lang w:val="id-ID"/>
        </w:rPr>
        <w:t xml:space="preserve"> </w:t>
      </w:r>
      <w:r w:rsidRPr="00AC321A">
        <w:rPr>
          <w:rFonts w:ascii="Bookman Old Style" w:hAnsi="Bookman Old Style"/>
          <w:sz w:val="24"/>
          <w:szCs w:val="24"/>
          <w:lang w:val="id-ID"/>
        </w:rPr>
        <w:t>28</w:t>
      </w:r>
      <w:r w:rsidR="00A954D0">
        <w:rPr>
          <w:rFonts w:ascii="Bookman Old Style" w:hAnsi="Bookman Old Style"/>
          <w:sz w:val="24"/>
          <w:szCs w:val="24"/>
          <w:lang w:val="id-ID"/>
        </w:rPr>
        <w:t xml:space="preserve"> </w:t>
      </w:r>
      <w:r w:rsidRPr="00AC321A">
        <w:rPr>
          <w:rFonts w:ascii="Bookman Old Style" w:hAnsi="Bookman Old Style"/>
          <w:sz w:val="24"/>
          <w:szCs w:val="24"/>
          <w:lang w:val="id-ID"/>
        </w:rPr>
        <w:t>ayat</w:t>
      </w:r>
      <w:r w:rsidR="00A954D0">
        <w:rPr>
          <w:rFonts w:ascii="Bookman Old Style" w:hAnsi="Bookman Old Style"/>
          <w:sz w:val="24"/>
          <w:szCs w:val="24"/>
          <w:lang w:val="id-ID"/>
        </w:rPr>
        <w:t xml:space="preserve"> </w:t>
      </w:r>
      <w:r w:rsidRPr="00AC321A">
        <w:rPr>
          <w:rFonts w:ascii="Bookman Old Style" w:hAnsi="Bookman Old Style"/>
          <w:sz w:val="24"/>
          <w:szCs w:val="24"/>
          <w:lang w:val="id-ID"/>
        </w:rPr>
        <w:t>(1)</w:t>
      </w:r>
      <w:r w:rsidR="00A954D0">
        <w:rPr>
          <w:rFonts w:ascii="Bookman Old Style" w:hAnsi="Bookman Old Style"/>
          <w:sz w:val="24"/>
          <w:szCs w:val="24"/>
          <w:lang w:val="id-ID"/>
        </w:rPr>
        <w:t xml:space="preserve"> </w:t>
      </w:r>
      <w:r w:rsidRPr="00AC321A">
        <w:rPr>
          <w:rFonts w:ascii="Bookman Old Style" w:hAnsi="Bookman Old Style"/>
          <w:sz w:val="24"/>
          <w:szCs w:val="24"/>
          <w:lang w:val="id-ID"/>
        </w:rPr>
        <w:t>Peraturan</w:t>
      </w:r>
      <w:r w:rsidR="00A954D0">
        <w:rPr>
          <w:rFonts w:ascii="Bookman Old Style" w:hAnsi="Bookman Old Style"/>
          <w:sz w:val="24"/>
          <w:szCs w:val="24"/>
          <w:lang w:val="id-ID"/>
        </w:rPr>
        <w:t xml:space="preserve"> </w:t>
      </w:r>
      <w:r w:rsidRPr="00AC321A">
        <w:rPr>
          <w:rFonts w:ascii="Bookman Old Style" w:hAnsi="Bookman Old Style"/>
          <w:sz w:val="24"/>
          <w:szCs w:val="24"/>
          <w:lang w:val="id-ID"/>
        </w:rPr>
        <w:t>Pemerintah</w:t>
      </w:r>
      <w:r w:rsidR="00A954D0">
        <w:rPr>
          <w:rFonts w:ascii="Bookman Old Style" w:hAnsi="Bookman Old Style"/>
          <w:sz w:val="24"/>
          <w:szCs w:val="24"/>
          <w:lang w:val="id-ID"/>
        </w:rPr>
        <w:t xml:space="preserve"> </w:t>
      </w:r>
      <w:r w:rsidRPr="00AC321A">
        <w:rPr>
          <w:rFonts w:ascii="Bookman Old Style" w:hAnsi="Bookman Old Style"/>
          <w:sz w:val="24"/>
          <w:szCs w:val="24"/>
          <w:lang w:val="id-ID"/>
        </w:rPr>
        <w:t>Nomor</w:t>
      </w:r>
      <w:r w:rsidR="00A954D0">
        <w:rPr>
          <w:rFonts w:ascii="Bookman Old Style" w:hAnsi="Bookman Old Style"/>
          <w:sz w:val="24"/>
          <w:szCs w:val="24"/>
          <w:lang w:val="id-ID"/>
        </w:rPr>
        <w:t xml:space="preserve"> </w:t>
      </w:r>
      <w:r w:rsidRPr="00AC321A">
        <w:rPr>
          <w:rFonts w:ascii="Bookman Old Style" w:hAnsi="Bookman Old Style"/>
          <w:sz w:val="24"/>
          <w:szCs w:val="24"/>
          <w:lang w:val="id-ID"/>
        </w:rPr>
        <w:t>12</w:t>
      </w:r>
      <w:r w:rsidR="00A954D0">
        <w:rPr>
          <w:rFonts w:ascii="Bookman Old Style" w:hAnsi="Bookman Old Style"/>
          <w:sz w:val="24"/>
          <w:szCs w:val="24"/>
          <w:lang w:val="id-ID"/>
        </w:rPr>
        <w:t xml:space="preserve"> </w:t>
      </w:r>
      <w:r w:rsidRPr="00AC321A">
        <w:rPr>
          <w:rFonts w:ascii="Bookman Old Style" w:hAnsi="Bookman Old Style"/>
          <w:sz w:val="24"/>
          <w:szCs w:val="24"/>
          <w:lang w:val="id-ID"/>
        </w:rPr>
        <w:t>Tahun</w:t>
      </w:r>
      <w:r w:rsidR="00A954D0">
        <w:rPr>
          <w:rFonts w:ascii="Bookman Old Style" w:hAnsi="Bookman Old Style"/>
          <w:sz w:val="24"/>
          <w:szCs w:val="24"/>
          <w:lang w:val="id-ID"/>
        </w:rPr>
        <w:t xml:space="preserve"> </w:t>
      </w:r>
      <w:r w:rsidRPr="00AC321A">
        <w:rPr>
          <w:rFonts w:ascii="Bookman Old Style" w:hAnsi="Bookman Old Style"/>
          <w:sz w:val="24"/>
          <w:szCs w:val="24"/>
          <w:lang w:val="id-ID"/>
        </w:rPr>
        <w:t>2019</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butir</w:t>
      </w:r>
      <w:r w:rsidR="00A954D0">
        <w:rPr>
          <w:rFonts w:ascii="Bookman Old Style" w:hAnsi="Bookman Old Style" w:cs="Arial"/>
          <w:sz w:val="24"/>
          <w:szCs w:val="24"/>
          <w:lang w:val="id-ID"/>
        </w:rPr>
        <w:t xml:space="preserve"> </w:t>
      </w:r>
      <w:r w:rsidRPr="003255BC">
        <w:rPr>
          <w:rFonts w:ascii="Bookman Old Style" w:hAnsi="Bookman Old Style" w:cs="Arial"/>
          <w:sz w:val="24"/>
          <w:szCs w:val="24"/>
          <w:lang w:val="id-ID"/>
        </w:rPr>
        <w:t>3.2.1.a</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Lampiran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Peraturan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Menteri</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Dalam</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Negeri</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Nomor</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15</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2024</w:t>
      </w:r>
      <w:r w:rsidR="00861E03" w:rsidRPr="00861E03">
        <w:rPr>
          <w:rFonts w:ascii="Bookman Old Style" w:hAnsi="Bookman Old Style"/>
          <w:sz w:val="24"/>
          <w:szCs w:val="24"/>
          <w:lang w:val="id-ID"/>
        </w:rPr>
        <w:t>;</w:t>
      </w:r>
    </w:p>
    <w:p w14:paraId="54E672E9" w14:textId="3C85BC4B" w:rsidR="00D1236C" w:rsidRPr="00AC321A" w:rsidRDefault="00D1236C" w:rsidP="00A97B96">
      <w:pPr>
        <w:pStyle w:val="ListParagraph"/>
        <w:numPr>
          <w:ilvl w:val="0"/>
          <w:numId w:val="116"/>
        </w:numPr>
        <w:spacing w:before="60" w:after="0" w:line="276" w:lineRule="auto"/>
        <w:ind w:left="1276" w:hanging="283"/>
        <w:contextualSpacing w:val="0"/>
        <w:jc w:val="both"/>
        <w:rPr>
          <w:rFonts w:ascii="Bookman Old Style" w:hAnsi="Bookman Old Style" w:cs="Arial"/>
          <w:sz w:val="24"/>
          <w:szCs w:val="24"/>
          <w:lang w:val="id-ID"/>
        </w:rPr>
      </w:pPr>
      <w:r w:rsidRPr="00AC321A">
        <w:rPr>
          <w:rFonts w:ascii="Bookman Old Style" w:hAnsi="Bookman Old Style" w:cs="Arial"/>
          <w:sz w:val="24"/>
          <w:szCs w:val="24"/>
          <w:lang w:val="id-ID"/>
        </w:rPr>
        <w:t>Penetapan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target</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pajak</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daerah</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retribusi</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daerah</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dalam</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APBD</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mempertimbangkan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paling</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sedikit</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kebijakan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makro</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ekonomi</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daerah,</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potensi</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pajak</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daerah</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retribusi</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daerah</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sesuai</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maksud</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Pasal</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102</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Undang-Undang</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Nomor</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1</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2022</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tentang</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Hubungan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Keuangan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antara</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Pemerintah</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Pusat</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Pemerintahan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Daerah</w:t>
      </w:r>
      <w:r w:rsidR="00861E03">
        <w:rPr>
          <w:rFonts w:ascii="Bookman Old Style" w:hAnsi="Bookman Old Style" w:cs="Arial"/>
          <w:sz w:val="24"/>
          <w:szCs w:val="24"/>
          <w:lang w:val="en-US"/>
        </w:rPr>
        <w:t>;</w:t>
      </w:r>
    </w:p>
    <w:p w14:paraId="5BCAF1A3" w14:textId="0B51D14E" w:rsidR="00053117" w:rsidRPr="00AC321A" w:rsidRDefault="00053117" w:rsidP="00A97B96">
      <w:pPr>
        <w:pStyle w:val="ListParagraph"/>
        <w:numPr>
          <w:ilvl w:val="0"/>
          <w:numId w:val="116"/>
        </w:numPr>
        <w:spacing w:before="60" w:after="0" w:line="276" w:lineRule="auto"/>
        <w:ind w:left="1276" w:hanging="283"/>
        <w:contextualSpacing w:val="0"/>
        <w:jc w:val="both"/>
        <w:rPr>
          <w:rFonts w:ascii="Bookman Old Style" w:hAnsi="Bookman Old Style" w:cs="Arial"/>
          <w:sz w:val="24"/>
          <w:szCs w:val="24"/>
          <w:lang w:val="id-ID"/>
        </w:rPr>
      </w:pPr>
      <w:r w:rsidRPr="003255BC">
        <w:rPr>
          <w:rFonts w:ascii="Bookman Old Style" w:hAnsi="Bookman Old Style" w:cs="Arial"/>
          <w:sz w:val="24"/>
          <w:szCs w:val="24"/>
          <w:lang w:val="id-ID"/>
        </w:rPr>
        <w:t>Penganggaran</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atas</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potensi</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pajak</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daerah</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dan</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retribusi</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daerah</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dihitung</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dengan</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memperhatikan</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hasil</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pendataan</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potensi</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pajak</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daerah</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dan</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retribusi</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daerah,</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serta</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tarif</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yang</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telah</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ditetapkan</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dalam</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Perda</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tentang</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pajak</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daerah</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dan</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retribusi</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daerah</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dengan</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berpedoman</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pada</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Undang-Undang</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Nomor</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1</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Tahun</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2022</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dan</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Peraturan</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Pemerintah</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Nomor</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35</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Tahun</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2024,</w:t>
      </w:r>
      <w:r w:rsidR="00A954D0" w:rsidRPr="003255BC">
        <w:rPr>
          <w:rFonts w:ascii="Bookman Old Style" w:hAnsi="Bookman Old Style" w:cs="Arial"/>
          <w:sz w:val="24"/>
          <w:szCs w:val="24"/>
          <w:lang w:val="id-ID"/>
        </w:rPr>
        <w:t xml:space="preserve"> </w:t>
      </w:r>
      <w:r w:rsidRPr="00AC321A">
        <w:rPr>
          <w:rFonts w:ascii="Bookman Old Style" w:hAnsi="Bookman Old Style"/>
          <w:sz w:val="24"/>
          <w:szCs w:val="24"/>
          <w:lang w:val="id-ID"/>
        </w:rPr>
        <w:t>sebagaimana</w:t>
      </w:r>
      <w:r w:rsidR="00A954D0">
        <w:rPr>
          <w:rFonts w:ascii="Bookman Old Style" w:hAnsi="Bookman Old Style"/>
          <w:sz w:val="24"/>
          <w:szCs w:val="24"/>
          <w:lang w:val="id-ID"/>
        </w:rPr>
        <w:t xml:space="preserve"> </w:t>
      </w:r>
      <w:r w:rsidRPr="00AC321A">
        <w:rPr>
          <w:rFonts w:ascii="Bookman Old Style" w:hAnsi="Bookman Old Style"/>
          <w:sz w:val="24"/>
          <w:szCs w:val="24"/>
          <w:lang w:val="id-ID"/>
        </w:rPr>
        <w:t>maksud</w:t>
      </w:r>
      <w:r w:rsidR="00A954D0">
        <w:rPr>
          <w:rFonts w:ascii="Bookman Old Style" w:hAnsi="Bookman Old Style"/>
          <w:sz w:val="24"/>
          <w:szCs w:val="24"/>
          <w:lang w:val="id-ID"/>
        </w:rPr>
        <w:t xml:space="preserve"> </w:t>
      </w:r>
      <w:r w:rsidRPr="00AC321A">
        <w:rPr>
          <w:rFonts w:ascii="Bookman Old Style" w:hAnsi="Bookman Old Style"/>
          <w:sz w:val="24"/>
          <w:szCs w:val="24"/>
          <w:lang w:val="id-ID"/>
        </w:rPr>
        <w:t>Pasal</w:t>
      </w:r>
      <w:r w:rsidR="00A954D0">
        <w:rPr>
          <w:rFonts w:ascii="Bookman Old Style" w:hAnsi="Bookman Old Style"/>
          <w:sz w:val="24"/>
          <w:szCs w:val="24"/>
          <w:lang w:val="id-ID"/>
        </w:rPr>
        <w:t xml:space="preserve"> </w:t>
      </w:r>
      <w:r w:rsidRPr="00AC321A">
        <w:rPr>
          <w:rFonts w:ascii="Bookman Old Style" w:hAnsi="Bookman Old Style"/>
          <w:sz w:val="24"/>
          <w:szCs w:val="24"/>
          <w:lang w:val="id-ID"/>
        </w:rPr>
        <w:t>28</w:t>
      </w:r>
      <w:r w:rsidR="00A954D0">
        <w:rPr>
          <w:rFonts w:ascii="Bookman Old Style" w:hAnsi="Bookman Old Style"/>
          <w:sz w:val="24"/>
          <w:szCs w:val="24"/>
          <w:lang w:val="id-ID"/>
        </w:rPr>
        <w:t xml:space="preserve"> </w:t>
      </w:r>
      <w:r w:rsidRPr="00AC321A">
        <w:rPr>
          <w:rFonts w:ascii="Bookman Old Style" w:hAnsi="Bookman Old Style"/>
          <w:sz w:val="24"/>
          <w:szCs w:val="24"/>
          <w:lang w:val="id-ID"/>
        </w:rPr>
        <w:t>ayat</w:t>
      </w:r>
      <w:r w:rsidR="00A954D0">
        <w:rPr>
          <w:rFonts w:ascii="Bookman Old Style" w:hAnsi="Bookman Old Style"/>
          <w:sz w:val="24"/>
          <w:szCs w:val="24"/>
          <w:lang w:val="id-ID"/>
        </w:rPr>
        <w:t xml:space="preserve"> </w:t>
      </w:r>
      <w:r w:rsidRPr="00AC321A">
        <w:rPr>
          <w:rFonts w:ascii="Bookman Old Style" w:hAnsi="Bookman Old Style"/>
          <w:sz w:val="24"/>
          <w:szCs w:val="24"/>
          <w:lang w:val="id-ID"/>
        </w:rPr>
        <w:t>(1)</w:t>
      </w:r>
      <w:r w:rsidR="00A954D0">
        <w:rPr>
          <w:rFonts w:ascii="Bookman Old Style" w:hAnsi="Bookman Old Style"/>
          <w:sz w:val="24"/>
          <w:szCs w:val="24"/>
          <w:lang w:val="id-ID"/>
        </w:rPr>
        <w:t xml:space="preserve"> </w:t>
      </w:r>
      <w:r w:rsidRPr="00AC321A">
        <w:rPr>
          <w:rFonts w:ascii="Bookman Old Style" w:hAnsi="Bookman Old Style"/>
          <w:sz w:val="24"/>
          <w:szCs w:val="24"/>
          <w:lang w:val="id-ID"/>
        </w:rPr>
        <w:t>Peraturan</w:t>
      </w:r>
      <w:r w:rsidR="00A954D0">
        <w:rPr>
          <w:rFonts w:ascii="Bookman Old Style" w:hAnsi="Bookman Old Style"/>
          <w:sz w:val="24"/>
          <w:szCs w:val="24"/>
          <w:lang w:val="id-ID"/>
        </w:rPr>
        <w:t xml:space="preserve"> </w:t>
      </w:r>
      <w:r w:rsidRPr="00AC321A">
        <w:rPr>
          <w:rFonts w:ascii="Bookman Old Style" w:hAnsi="Bookman Old Style"/>
          <w:sz w:val="24"/>
          <w:szCs w:val="24"/>
          <w:lang w:val="id-ID"/>
        </w:rPr>
        <w:t>Pemerintah</w:t>
      </w:r>
      <w:r w:rsidR="00A954D0">
        <w:rPr>
          <w:rFonts w:ascii="Bookman Old Style" w:hAnsi="Bookman Old Style"/>
          <w:sz w:val="24"/>
          <w:szCs w:val="24"/>
          <w:lang w:val="id-ID"/>
        </w:rPr>
        <w:t xml:space="preserve"> </w:t>
      </w:r>
      <w:r w:rsidRPr="00AC321A">
        <w:rPr>
          <w:rFonts w:ascii="Bookman Old Style" w:hAnsi="Bookman Old Style"/>
          <w:sz w:val="24"/>
          <w:szCs w:val="24"/>
          <w:lang w:val="id-ID"/>
        </w:rPr>
        <w:t>Nomor</w:t>
      </w:r>
      <w:r w:rsidR="00A954D0">
        <w:rPr>
          <w:rFonts w:ascii="Bookman Old Style" w:hAnsi="Bookman Old Style"/>
          <w:sz w:val="24"/>
          <w:szCs w:val="24"/>
          <w:lang w:val="id-ID"/>
        </w:rPr>
        <w:t xml:space="preserve"> </w:t>
      </w:r>
      <w:r w:rsidRPr="00AC321A">
        <w:rPr>
          <w:rFonts w:ascii="Bookman Old Style" w:hAnsi="Bookman Old Style"/>
          <w:sz w:val="24"/>
          <w:szCs w:val="24"/>
          <w:lang w:val="id-ID"/>
        </w:rPr>
        <w:t>12</w:t>
      </w:r>
      <w:r w:rsidR="00A954D0">
        <w:rPr>
          <w:rFonts w:ascii="Bookman Old Style" w:hAnsi="Bookman Old Style"/>
          <w:sz w:val="24"/>
          <w:szCs w:val="24"/>
          <w:lang w:val="id-ID"/>
        </w:rPr>
        <w:t xml:space="preserve"> </w:t>
      </w:r>
      <w:r w:rsidRPr="00AC321A">
        <w:rPr>
          <w:rFonts w:ascii="Bookman Old Style" w:hAnsi="Bookman Old Style"/>
          <w:sz w:val="24"/>
          <w:szCs w:val="24"/>
          <w:lang w:val="id-ID"/>
        </w:rPr>
        <w:lastRenderedPageBreak/>
        <w:t>Tahun</w:t>
      </w:r>
      <w:r w:rsidR="00A954D0">
        <w:rPr>
          <w:rFonts w:ascii="Bookman Old Style" w:hAnsi="Bookman Old Style"/>
          <w:sz w:val="24"/>
          <w:szCs w:val="24"/>
          <w:lang w:val="id-ID"/>
        </w:rPr>
        <w:t xml:space="preserve"> </w:t>
      </w:r>
      <w:r w:rsidRPr="00AC321A">
        <w:rPr>
          <w:rFonts w:ascii="Bookman Old Style" w:hAnsi="Bookman Old Style"/>
          <w:sz w:val="24"/>
          <w:szCs w:val="24"/>
          <w:lang w:val="id-ID"/>
        </w:rPr>
        <w:t>2019</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butir</w:t>
      </w:r>
      <w:r w:rsidR="00A954D0">
        <w:rPr>
          <w:rFonts w:ascii="Bookman Old Style" w:hAnsi="Bookman Old Style" w:cs="Arial"/>
          <w:sz w:val="24"/>
          <w:szCs w:val="24"/>
          <w:lang w:val="id-ID"/>
        </w:rPr>
        <w:t xml:space="preserve"> </w:t>
      </w:r>
      <w:r w:rsidRPr="003255BC">
        <w:rPr>
          <w:rFonts w:ascii="Bookman Old Style" w:hAnsi="Bookman Old Style" w:cs="Arial"/>
          <w:sz w:val="24"/>
          <w:szCs w:val="24"/>
          <w:lang w:val="id-ID"/>
        </w:rPr>
        <w:t>3.3.1.1.1.a.1).d</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Lampiran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Peraturan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Menteri</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Dalam</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Negeri</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Nomor</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15</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2024</w:t>
      </w:r>
      <w:r w:rsidR="00861E03" w:rsidRPr="00861E03">
        <w:rPr>
          <w:rFonts w:ascii="Bookman Old Style" w:hAnsi="Bookman Old Style" w:cs="Arial"/>
          <w:sz w:val="24"/>
          <w:szCs w:val="24"/>
          <w:lang w:val="id-ID"/>
        </w:rPr>
        <w:t>;</w:t>
      </w:r>
    </w:p>
    <w:p w14:paraId="0773F2C6" w14:textId="4C63804D" w:rsidR="00D1236C" w:rsidRPr="00AC321A" w:rsidRDefault="00D1236C" w:rsidP="00A97B96">
      <w:pPr>
        <w:pStyle w:val="ListParagraph"/>
        <w:numPr>
          <w:ilvl w:val="0"/>
          <w:numId w:val="116"/>
        </w:numPr>
        <w:spacing w:before="60" w:after="0" w:line="276" w:lineRule="auto"/>
        <w:ind w:left="1276" w:hanging="283"/>
        <w:contextualSpacing w:val="0"/>
        <w:jc w:val="both"/>
        <w:rPr>
          <w:rFonts w:ascii="Bookman Old Style" w:hAnsi="Bookman Old Style" w:cs="Arial"/>
          <w:sz w:val="24"/>
          <w:szCs w:val="24"/>
          <w:lang w:val="id-ID"/>
        </w:rPr>
      </w:pPr>
      <w:r w:rsidRPr="00AC321A">
        <w:rPr>
          <w:rFonts w:ascii="Bookman Old Style" w:hAnsi="Bookman Old Style" w:cs="Arial"/>
          <w:sz w:val="24"/>
          <w:szCs w:val="24"/>
          <w:lang w:val="id-ID"/>
        </w:rPr>
        <w:t>Penganggaran</w:t>
      </w:r>
      <w:r w:rsidR="00A954D0">
        <w:rPr>
          <w:rFonts w:ascii="Bookman Old Style" w:hAnsi="Bookman Old Style" w:cs="Arial"/>
          <w:sz w:val="24"/>
          <w:szCs w:val="24"/>
        </w:rPr>
        <w:t xml:space="preserve"> </w:t>
      </w:r>
      <w:r w:rsidRPr="00AC321A">
        <w:rPr>
          <w:rFonts w:ascii="Bookman Old Style" w:hAnsi="Bookman Old Style" w:cs="Arial"/>
          <w:sz w:val="24"/>
          <w:szCs w:val="24"/>
        </w:rPr>
        <w:t>pelaksanaan</w:t>
      </w:r>
      <w:r w:rsidR="00A954D0">
        <w:rPr>
          <w:rFonts w:ascii="Bookman Old Style" w:hAnsi="Bookman Old Style" w:cs="Arial"/>
          <w:sz w:val="24"/>
          <w:szCs w:val="24"/>
        </w:rPr>
        <w:t xml:space="preserve"> </w:t>
      </w:r>
      <w:r w:rsidRPr="00AC321A">
        <w:rPr>
          <w:rFonts w:ascii="Bookman Old Style" w:hAnsi="Bookman Old Style" w:cs="Arial"/>
          <w:sz w:val="24"/>
          <w:szCs w:val="24"/>
        </w:rPr>
        <w:t>elektronifikasi</w:t>
      </w:r>
      <w:r w:rsidR="00A954D0">
        <w:rPr>
          <w:rFonts w:ascii="Bookman Old Style" w:hAnsi="Bookman Old Style" w:cs="Arial"/>
          <w:sz w:val="24"/>
          <w:szCs w:val="24"/>
        </w:rPr>
        <w:t xml:space="preserve"> </w:t>
      </w:r>
      <w:r w:rsidRPr="00AC321A">
        <w:rPr>
          <w:rFonts w:ascii="Bookman Old Style" w:hAnsi="Bookman Old Style" w:cs="Arial"/>
          <w:sz w:val="24"/>
          <w:szCs w:val="24"/>
        </w:rPr>
        <w:t>transaksi</w:t>
      </w:r>
      <w:r w:rsidR="00A954D0">
        <w:rPr>
          <w:rFonts w:ascii="Bookman Old Style" w:hAnsi="Bookman Old Style" w:cs="Arial"/>
          <w:sz w:val="24"/>
          <w:szCs w:val="24"/>
        </w:rPr>
        <w:t xml:space="preserve"> </w:t>
      </w:r>
      <w:r w:rsidRPr="00AC321A">
        <w:rPr>
          <w:rFonts w:ascii="Bookman Old Style" w:hAnsi="Bookman Old Style" w:cs="Arial"/>
          <w:sz w:val="24"/>
          <w:szCs w:val="24"/>
        </w:rPr>
        <w:t>Pemerintah</w:t>
      </w:r>
      <w:r w:rsidR="00A954D0">
        <w:rPr>
          <w:rFonts w:ascii="Bookman Old Style" w:hAnsi="Bookman Old Style" w:cs="Arial"/>
          <w:sz w:val="24"/>
          <w:szCs w:val="24"/>
        </w:rPr>
        <w:t xml:space="preserve"> </w:t>
      </w:r>
      <w:r w:rsidRPr="00AC321A">
        <w:rPr>
          <w:rFonts w:ascii="Bookman Old Style" w:hAnsi="Bookman Old Style" w:cs="Arial"/>
          <w:sz w:val="24"/>
          <w:szCs w:val="24"/>
        </w:rPr>
        <w:t>Daerah</w:t>
      </w:r>
      <w:r w:rsidR="00A954D0">
        <w:rPr>
          <w:rFonts w:ascii="Bookman Old Style" w:hAnsi="Bookman Old Style" w:cs="Arial"/>
          <w:sz w:val="24"/>
          <w:szCs w:val="24"/>
        </w:rPr>
        <w:t xml:space="preserve"> </w:t>
      </w:r>
      <w:r w:rsidR="00B055C5" w:rsidRPr="00AC321A">
        <w:rPr>
          <w:rFonts w:ascii="Bookman Old Style" w:hAnsi="Bookman Old Style"/>
          <w:sz w:val="24"/>
          <w:szCs w:val="24"/>
          <w:lang w:val="fi-FI"/>
        </w:rPr>
        <w:t>Kota</w:t>
      </w:r>
      <w:r w:rsidR="00A954D0">
        <w:rPr>
          <w:rFonts w:ascii="Bookman Old Style" w:hAnsi="Bookman Old Style"/>
          <w:sz w:val="24"/>
          <w:szCs w:val="24"/>
          <w:lang w:val="fi-FI"/>
        </w:rPr>
        <w:t xml:space="preserve"> </w:t>
      </w:r>
      <w:r w:rsidR="00770F22" w:rsidRPr="00AC321A">
        <w:rPr>
          <w:rFonts w:ascii="Bookman Old Style" w:hAnsi="Bookman Old Style"/>
          <w:sz w:val="24"/>
          <w:szCs w:val="24"/>
          <w:lang w:val="fi-FI"/>
        </w:rPr>
        <w:t>Tangerang</w:t>
      </w:r>
      <w:r w:rsidR="00A954D0">
        <w:rPr>
          <w:rFonts w:ascii="Bookman Old Style" w:hAnsi="Bookman Old Style"/>
          <w:sz w:val="24"/>
          <w:szCs w:val="24"/>
          <w:lang w:val="fi-FI"/>
        </w:rPr>
        <w:t xml:space="preserve"> </w:t>
      </w:r>
      <w:r w:rsidRPr="003255BC">
        <w:rPr>
          <w:rFonts w:ascii="Bookman Old Style" w:hAnsi="Bookman Old Style" w:cs="Arial"/>
          <w:sz w:val="24"/>
          <w:szCs w:val="24"/>
          <w:lang w:val="sv-FI"/>
        </w:rPr>
        <w:t>berpedoman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pada</w:t>
      </w:r>
      <w:r w:rsidR="00A954D0">
        <w:rPr>
          <w:rFonts w:ascii="Bookman Old Style" w:hAnsi="Bookman Old Style" w:cs="Arial"/>
          <w:sz w:val="24"/>
          <w:szCs w:val="24"/>
        </w:rPr>
        <w:t xml:space="preserve"> </w:t>
      </w:r>
      <w:r w:rsidRPr="00AC321A">
        <w:rPr>
          <w:rFonts w:ascii="Bookman Old Style" w:hAnsi="Bookman Old Style" w:cs="Arial"/>
          <w:sz w:val="24"/>
          <w:szCs w:val="24"/>
        </w:rPr>
        <w:t>Peraturan</w:t>
      </w:r>
      <w:r w:rsidR="00A954D0">
        <w:rPr>
          <w:rFonts w:ascii="Bookman Old Style" w:hAnsi="Bookman Old Style" w:cs="Arial"/>
          <w:sz w:val="24"/>
          <w:szCs w:val="24"/>
        </w:rPr>
        <w:t xml:space="preserve"> </w:t>
      </w:r>
      <w:r w:rsidRPr="00AC321A">
        <w:rPr>
          <w:rFonts w:ascii="Bookman Old Style" w:hAnsi="Bookman Old Style" w:cs="Arial"/>
          <w:sz w:val="24"/>
          <w:szCs w:val="24"/>
        </w:rPr>
        <w:t>Menteri</w:t>
      </w:r>
      <w:r w:rsidR="00A954D0">
        <w:rPr>
          <w:rFonts w:ascii="Bookman Old Style" w:hAnsi="Bookman Old Style" w:cs="Arial"/>
          <w:sz w:val="24"/>
          <w:szCs w:val="24"/>
        </w:rPr>
        <w:t xml:space="preserve"> </w:t>
      </w:r>
      <w:r w:rsidRPr="00AC321A">
        <w:rPr>
          <w:rFonts w:ascii="Bookman Old Style" w:hAnsi="Bookman Old Style" w:cs="Arial"/>
          <w:sz w:val="24"/>
          <w:szCs w:val="24"/>
        </w:rPr>
        <w:t>Dalam</w:t>
      </w:r>
      <w:r w:rsidR="00A954D0">
        <w:rPr>
          <w:rFonts w:ascii="Bookman Old Style" w:hAnsi="Bookman Old Style" w:cs="Arial"/>
          <w:sz w:val="24"/>
          <w:szCs w:val="24"/>
        </w:rPr>
        <w:t xml:space="preserve"> </w:t>
      </w:r>
      <w:r w:rsidRPr="00AC321A">
        <w:rPr>
          <w:rFonts w:ascii="Bookman Old Style" w:hAnsi="Bookman Old Style" w:cs="Arial"/>
          <w:sz w:val="24"/>
          <w:szCs w:val="24"/>
        </w:rPr>
        <w:t>Negeri</w:t>
      </w:r>
      <w:r w:rsidR="00A954D0">
        <w:rPr>
          <w:rFonts w:ascii="Bookman Old Style" w:hAnsi="Bookman Old Style" w:cs="Arial"/>
          <w:sz w:val="24"/>
          <w:szCs w:val="24"/>
        </w:rPr>
        <w:t xml:space="preserve"> </w:t>
      </w:r>
      <w:r w:rsidRPr="00AC321A">
        <w:rPr>
          <w:rFonts w:ascii="Bookman Old Style" w:hAnsi="Bookman Old Style" w:cs="Arial"/>
          <w:sz w:val="24"/>
          <w:szCs w:val="24"/>
        </w:rPr>
        <w:t>Nomor</w:t>
      </w:r>
      <w:r w:rsidR="00A954D0">
        <w:rPr>
          <w:rFonts w:ascii="Bookman Old Style" w:hAnsi="Bookman Old Style" w:cs="Arial"/>
          <w:sz w:val="24"/>
          <w:szCs w:val="24"/>
        </w:rPr>
        <w:t xml:space="preserve"> </w:t>
      </w:r>
      <w:r w:rsidRPr="00AC321A">
        <w:rPr>
          <w:rFonts w:ascii="Bookman Old Style" w:hAnsi="Bookman Old Style" w:cs="Arial"/>
          <w:sz w:val="24"/>
          <w:szCs w:val="24"/>
        </w:rPr>
        <w:t>56</w:t>
      </w:r>
      <w:r w:rsidR="00A954D0">
        <w:rPr>
          <w:rFonts w:ascii="Bookman Old Style" w:hAnsi="Bookman Old Style" w:cs="Arial"/>
          <w:sz w:val="24"/>
          <w:szCs w:val="24"/>
        </w:rPr>
        <w:t xml:space="preserve"> </w:t>
      </w:r>
      <w:r w:rsidRPr="00AC321A">
        <w:rPr>
          <w:rFonts w:ascii="Bookman Old Style" w:hAnsi="Bookman Old Style" w:cs="Arial"/>
          <w:sz w:val="24"/>
          <w:szCs w:val="24"/>
        </w:rPr>
        <w:t>Tahun</w:t>
      </w:r>
      <w:r w:rsidR="00A954D0">
        <w:rPr>
          <w:rFonts w:ascii="Bookman Old Style" w:hAnsi="Bookman Old Style" w:cs="Arial"/>
          <w:sz w:val="24"/>
          <w:szCs w:val="24"/>
        </w:rPr>
        <w:t xml:space="preserve"> </w:t>
      </w:r>
      <w:r w:rsidRPr="00AC321A">
        <w:rPr>
          <w:rFonts w:ascii="Bookman Old Style" w:hAnsi="Bookman Old Style" w:cs="Arial"/>
          <w:sz w:val="24"/>
          <w:szCs w:val="24"/>
        </w:rPr>
        <w:t>2</w:t>
      </w:r>
      <w:r w:rsidRPr="00AC321A">
        <w:rPr>
          <w:rFonts w:ascii="Bookman Old Style" w:hAnsi="Bookman Old Style" w:cs="Arial"/>
          <w:sz w:val="24"/>
          <w:szCs w:val="24"/>
          <w:lang w:val="id-ID"/>
        </w:rPr>
        <w:t>0</w:t>
      </w:r>
      <w:r w:rsidRPr="00AC321A">
        <w:rPr>
          <w:rFonts w:ascii="Bookman Old Style" w:hAnsi="Bookman Old Style" w:cs="Arial"/>
          <w:sz w:val="24"/>
          <w:szCs w:val="24"/>
        </w:rPr>
        <w:t>2</w:t>
      </w:r>
      <w:r w:rsidR="00F76D1F" w:rsidRPr="00AC321A">
        <w:rPr>
          <w:rFonts w:ascii="Bookman Old Style" w:hAnsi="Bookman Old Style" w:cs="Arial"/>
          <w:sz w:val="24"/>
          <w:szCs w:val="24"/>
        </w:rPr>
        <w:t>1</w:t>
      </w:r>
      <w:r w:rsidR="00A954D0">
        <w:rPr>
          <w:rFonts w:ascii="Bookman Old Style" w:hAnsi="Bookman Old Style" w:cs="Arial"/>
          <w:sz w:val="24"/>
          <w:szCs w:val="24"/>
        </w:rPr>
        <w:t xml:space="preserve"> </w:t>
      </w:r>
      <w:r w:rsidRPr="00AC321A">
        <w:rPr>
          <w:rFonts w:ascii="Bookman Old Style" w:hAnsi="Bookman Old Style" w:cs="Arial"/>
          <w:sz w:val="24"/>
          <w:szCs w:val="24"/>
        </w:rPr>
        <w:t>tentang</w:t>
      </w:r>
      <w:r w:rsidR="00A954D0">
        <w:rPr>
          <w:rFonts w:ascii="Bookman Old Style" w:hAnsi="Bookman Old Style" w:cs="Arial"/>
          <w:sz w:val="24"/>
          <w:szCs w:val="24"/>
        </w:rPr>
        <w:t xml:space="preserve"> </w:t>
      </w:r>
      <w:r w:rsidRPr="00AC321A">
        <w:rPr>
          <w:rFonts w:ascii="Bookman Old Style" w:hAnsi="Bookman Old Style" w:cs="Arial"/>
          <w:sz w:val="24"/>
          <w:szCs w:val="24"/>
        </w:rPr>
        <w:t>Tim</w:t>
      </w:r>
      <w:r w:rsidR="00A954D0">
        <w:rPr>
          <w:rFonts w:ascii="Bookman Old Style" w:hAnsi="Bookman Old Style" w:cs="Arial"/>
          <w:sz w:val="24"/>
          <w:szCs w:val="24"/>
        </w:rPr>
        <w:t xml:space="preserve"> </w:t>
      </w:r>
      <w:r w:rsidRPr="00AC321A">
        <w:rPr>
          <w:rFonts w:ascii="Bookman Old Style" w:hAnsi="Bookman Old Style" w:cs="Arial"/>
          <w:sz w:val="24"/>
          <w:szCs w:val="24"/>
        </w:rPr>
        <w:t>Percepatan</w:t>
      </w:r>
      <w:r w:rsidR="00A954D0">
        <w:rPr>
          <w:rFonts w:ascii="Bookman Old Style" w:hAnsi="Bookman Old Style" w:cs="Arial"/>
          <w:sz w:val="24"/>
          <w:szCs w:val="24"/>
        </w:rPr>
        <w:t xml:space="preserve"> </w:t>
      </w:r>
      <w:r w:rsidRPr="00AC321A">
        <w:rPr>
          <w:rFonts w:ascii="Bookman Old Style" w:hAnsi="Bookman Old Style" w:cs="Arial"/>
          <w:sz w:val="24"/>
          <w:szCs w:val="24"/>
          <w:lang w:val="id-ID"/>
        </w:rPr>
        <w:t>dan</w:t>
      </w:r>
      <w:r w:rsidR="00A954D0">
        <w:rPr>
          <w:rFonts w:ascii="Bookman Old Style" w:hAnsi="Bookman Old Style" w:cs="Arial"/>
          <w:sz w:val="24"/>
          <w:szCs w:val="24"/>
        </w:rPr>
        <w:t xml:space="preserve"> </w:t>
      </w:r>
      <w:r w:rsidRPr="00AC321A">
        <w:rPr>
          <w:rFonts w:ascii="Bookman Old Style" w:hAnsi="Bookman Old Style" w:cs="Arial"/>
          <w:sz w:val="24"/>
          <w:szCs w:val="24"/>
        </w:rPr>
        <w:t>Perluasan</w:t>
      </w:r>
      <w:r w:rsidR="00A954D0">
        <w:rPr>
          <w:rFonts w:ascii="Bookman Old Style" w:hAnsi="Bookman Old Style" w:cs="Arial"/>
          <w:sz w:val="24"/>
          <w:szCs w:val="24"/>
        </w:rPr>
        <w:t xml:space="preserve"> </w:t>
      </w:r>
      <w:r w:rsidRPr="00AC321A">
        <w:rPr>
          <w:rFonts w:ascii="Bookman Old Style" w:hAnsi="Bookman Old Style" w:cs="Arial"/>
          <w:sz w:val="24"/>
          <w:szCs w:val="24"/>
        </w:rPr>
        <w:t>Digitalisasi</w:t>
      </w:r>
      <w:r w:rsidR="00A954D0">
        <w:rPr>
          <w:rFonts w:ascii="Bookman Old Style" w:hAnsi="Bookman Old Style" w:cs="Arial"/>
          <w:sz w:val="24"/>
          <w:szCs w:val="24"/>
        </w:rPr>
        <w:t xml:space="preserve"> </w:t>
      </w:r>
      <w:r w:rsidRPr="00AC321A">
        <w:rPr>
          <w:rFonts w:ascii="Bookman Old Style" w:hAnsi="Bookman Old Style" w:cs="Arial"/>
          <w:sz w:val="24"/>
          <w:szCs w:val="24"/>
        </w:rPr>
        <w:t>Daerah</w:t>
      </w:r>
      <w:r w:rsidR="00A954D0">
        <w:rPr>
          <w:rFonts w:ascii="Bookman Old Style" w:hAnsi="Bookman Old Style" w:cs="Arial"/>
          <w:sz w:val="24"/>
          <w:szCs w:val="24"/>
        </w:rPr>
        <w:t xml:space="preserve"> </w:t>
      </w:r>
      <w:r w:rsidRPr="00AC321A">
        <w:rPr>
          <w:rFonts w:ascii="Bookman Old Style" w:hAnsi="Bookman Old Style" w:cs="Arial"/>
          <w:sz w:val="24"/>
          <w:szCs w:val="24"/>
        </w:rPr>
        <w:t>Provinsi</w:t>
      </w:r>
      <w:r w:rsidR="00A954D0">
        <w:rPr>
          <w:rFonts w:ascii="Bookman Old Style" w:hAnsi="Bookman Old Style" w:cs="Arial"/>
          <w:sz w:val="24"/>
          <w:szCs w:val="24"/>
        </w:rPr>
        <w:t xml:space="preserve"> </w:t>
      </w:r>
      <w:r w:rsidRPr="00AC321A">
        <w:rPr>
          <w:rFonts w:ascii="Bookman Old Style" w:hAnsi="Bookman Old Style" w:cs="Arial"/>
          <w:sz w:val="24"/>
          <w:szCs w:val="24"/>
        </w:rPr>
        <w:t>dan</w:t>
      </w:r>
      <w:r w:rsidR="00A954D0">
        <w:rPr>
          <w:rFonts w:ascii="Bookman Old Style" w:hAnsi="Bookman Old Style" w:cs="Arial"/>
          <w:sz w:val="24"/>
          <w:szCs w:val="24"/>
        </w:rPr>
        <w:t xml:space="preserve"> </w:t>
      </w:r>
      <w:r w:rsidR="00172E1C" w:rsidRPr="00AC321A">
        <w:rPr>
          <w:rFonts w:ascii="Bookman Old Style" w:hAnsi="Bookman Old Style" w:cs="Arial"/>
          <w:sz w:val="24"/>
          <w:szCs w:val="24"/>
        </w:rPr>
        <w:t>Kabupaten/Kota</w:t>
      </w:r>
      <w:r w:rsidR="00A954D0">
        <w:rPr>
          <w:rFonts w:ascii="Bookman Old Style" w:hAnsi="Bookman Old Style" w:cs="Arial"/>
          <w:sz w:val="24"/>
          <w:szCs w:val="24"/>
        </w:rPr>
        <w:t xml:space="preserve"> </w:t>
      </w:r>
      <w:r w:rsidRPr="00AC321A">
        <w:rPr>
          <w:rFonts w:ascii="Bookman Old Style" w:hAnsi="Bookman Old Style" w:cs="Arial"/>
          <w:sz w:val="24"/>
          <w:szCs w:val="24"/>
        </w:rPr>
        <w:t>serta</w:t>
      </w:r>
      <w:r w:rsidR="00A954D0">
        <w:rPr>
          <w:rFonts w:ascii="Bookman Old Style" w:hAnsi="Bookman Old Style" w:cs="Arial"/>
          <w:sz w:val="24"/>
          <w:szCs w:val="24"/>
        </w:rPr>
        <w:t xml:space="preserve"> </w:t>
      </w:r>
      <w:r w:rsidRPr="00AC321A">
        <w:rPr>
          <w:rFonts w:ascii="Bookman Old Style" w:hAnsi="Bookman Old Style" w:cs="Arial"/>
          <w:sz w:val="24"/>
          <w:szCs w:val="24"/>
        </w:rPr>
        <w:t>Tata</w:t>
      </w:r>
      <w:r w:rsidR="00A954D0">
        <w:rPr>
          <w:rFonts w:ascii="Bookman Old Style" w:hAnsi="Bookman Old Style" w:cs="Arial"/>
          <w:sz w:val="24"/>
          <w:szCs w:val="24"/>
        </w:rPr>
        <w:t xml:space="preserve"> </w:t>
      </w:r>
      <w:r w:rsidRPr="00AC321A">
        <w:rPr>
          <w:rFonts w:ascii="Bookman Old Style" w:hAnsi="Bookman Old Style" w:cs="Arial"/>
          <w:sz w:val="24"/>
          <w:szCs w:val="24"/>
        </w:rPr>
        <w:t>Cara</w:t>
      </w:r>
      <w:r w:rsidR="00A954D0">
        <w:rPr>
          <w:rFonts w:ascii="Bookman Old Style" w:hAnsi="Bookman Old Style" w:cs="Arial"/>
          <w:sz w:val="24"/>
          <w:szCs w:val="24"/>
        </w:rPr>
        <w:t xml:space="preserve"> </w:t>
      </w:r>
      <w:r w:rsidRPr="00AC321A">
        <w:rPr>
          <w:rFonts w:ascii="Bookman Old Style" w:hAnsi="Bookman Old Style" w:cs="Arial"/>
          <w:sz w:val="24"/>
          <w:szCs w:val="24"/>
        </w:rPr>
        <w:t>Implementasi</w:t>
      </w:r>
      <w:r w:rsidR="00A954D0">
        <w:rPr>
          <w:rFonts w:ascii="Bookman Old Style" w:hAnsi="Bookman Old Style" w:cs="Arial"/>
          <w:sz w:val="24"/>
          <w:szCs w:val="24"/>
        </w:rPr>
        <w:t xml:space="preserve"> </w:t>
      </w:r>
      <w:r w:rsidRPr="00AC321A">
        <w:rPr>
          <w:rFonts w:ascii="Bookman Old Style" w:hAnsi="Bookman Old Style" w:cs="Arial"/>
          <w:sz w:val="24"/>
          <w:szCs w:val="24"/>
        </w:rPr>
        <w:t>Elektronifikasi</w:t>
      </w:r>
      <w:r w:rsidR="00A954D0">
        <w:rPr>
          <w:rFonts w:ascii="Bookman Old Style" w:hAnsi="Bookman Old Style" w:cs="Arial"/>
          <w:sz w:val="24"/>
          <w:szCs w:val="24"/>
        </w:rPr>
        <w:t xml:space="preserve"> </w:t>
      </w:r>
      <w:r w:rsidRPr="00AC321A">
        <w:rPr>
          <w:rFonts w:ascii="Bookman Old Style" w:hAnsi="Bookman Old Style" w:cs="Arial"/>
          <w:sz w:val="24"/>
          <w:szCs w:val="24"/>
        </w:rPr>
        <w:t>Transaksi</w:t>
      </w:r>
      <w:r w:rsidR="00A954D0">
        <w:rPr>
          <w:rFonts w:ascii="Bookman Old Style" w:hAnsi="Bookman Old Style" w:cs="Arial"/>
          <w:sz w:val="24"/>
          <w:szCs w:val="24"/>
        </w:rPr>
        <w:t xml:space="preserve"> </w:t>
      </w:r>
      <w:r w:rsidRPr="00AC321A">
        <w:rPr>
          <w:rFonts w:ascii="Bookman Old Style" w:hAnsi="Bookman Old Style" w:cs="Arial"/>
          <w:sz w:val="24"/>
          <w:szCs w:val="24"/>
        </w:rPr>
        <w:t>Pemerintah</w:t>
      </w:r>
      <w:r w:rsidR="00A954D0">
        <w:rPr>
          <w:rFonts w:ascii="Bookman Old Style" w:hAnsi="Bookman Old Style" w:cs="Arial"/>
          <w:sz w:val="24"/>
          <w:szCs w:val="24"/>
        </w:rPr>
        <w:t xml:space="preserve"> </w:t>
      </w:r>
      <w:r w:rsidRPr="00AC321A">
        <w:rPr>
          <w:rFonts w:ascii="Bookman Old Style" w:hAnsi="Bookman Old Style" w:cs="Arial"/>
          <w:sz w:val="24"/>
          <w:szCs w:val="24"/>
        </w:rPr>
        <w:t>Daerah,</w:t>
      </w:r>
      <w:r w:rsidR="00A954D0">
        <w:rPr>
          <w:rFonts w:ascii="Bookman Old Style" w:hAnsi="Bookman Old Style" w:cs="Arial"/>
          <w:sz w:val="24"/>
          <w:szCs w:val="24"/>
        </w:rPr>
        <w:t xml:space="preserve"> </w:t>
      </w:r>
      <w:r w:rsidRPr="003255BC">
        <w:rPr>
          <w:rFonts w:ascii="Bookman Old Style" w:hAnsi="Bookman Old Style" w:cs="Arial"/>
          <w:sz w:val="24"/>
          <w:szCs w:val="24"/>
          <w:lang w:val="sv-FI"/>
        </w:rPr>
        <w:t>sebagaimana</w:t>
      </w:r>
      <w:r w:rsidR="00A954D0">
        <w:rPr>
          <w:rFonts w:ascii="Bookman Old Style" w:hAnsi="Bookman Old Style" w:cs="Arial"/>
          <w:sz w:val="24"/>
          <w:szCs w:val="24"/>
        </w:rPr>
        <w:t xml:space="preserve"> </w:t>
      </w:r>
      <w:r w:rsidRPr="00AC321A">
        <w:rPr>
          <w:rFonts w:ascii="Bookman Old Style" w:hAnsi="Bookman Old Style" w:cs="Arial"/>
          <w:sz w:val="24"/>
          <w:szCs w:val="24"/>
        </w:rPr>
        <w:t>maksud</w:t>
      </w:r>
      <w:r w:rsidR="00A954D0">
        <w:rPr>
          <w:rFonts w:ascii="Bookman Old Style" w:hAnsi="Bookman Old Style" w:cs="Arial"/>
          <w:sz w:val="24"/>
          <w:szCs w:val="24"/>
        </w:rPr>
        <w:t xml:space="preserve"> </w:t>
      </w:r>
      <w:r w:rsidRPr="00AC321A">
        <w:rPr>
          <w:rFonts w:ascii="Bookman Old Style" w:hAnsi="Bookman Old Style" w:cs="Arial"/>
          <w:sz w:val="24"/>
          <w:szCs w:val="24"/>
        </w:rPr>
        <w:t>butir</w:t>
      </w:r>
      <w:r w:rsidR="00A954D0">
        <w:rPr>
          <w:rFonts w:ascii="Bookman Old Style" w:hAnsi="Bookman Old Style" w:cs="Arial"/>
          <w:sz w:val="24"/>
          <w:szCs w:val="24"/>
        </w:rPr>
        <w:t xml:space="preserve"> </w:t>
      </w:r>
      <w:r w:rsidRPr="003255BC">
        <w:rPr>
          <w:rFonts w:ascii="Bookman Old Style" w:hAnsi="Bookman Old Style" w:cs="Arial"/>
          <w:sz w:val="24"/>
          <w:szCs w:val="24"/>
          <w:lang w:val="sv-FI"/>
        </w:rPr>
        <w:t>5.2.11.a.2)</w:t>
      </w:r>
      <w:r w:rsidR="00A954D0">
        <w:rPr>
          <w:rFonts w:ascii="Bookman Old Style" w:hAnsi="Bookman Old Style" w:cs="Arial"/>
          <w:sz w:val="24"/>
          <w:szCs w:val="24"/>
        </w:rPr>
        <w:t xml:space="preserve"> </w:t>
      </w:r>
      <w:r w:rsidRPr="00AC321A">
        <w:rPr>
          <w:rFonts w:ascii="Bookman Old Style" w:hAnsi="Bookman Old Style" w:cs="Arial"/>
          <w:sz w:val="24"/>
          <w:szCs w:val="24"/>
        </w:rPr>
        <w:t>Lampiran</w:t>
      </w:r>
      <w:r w:rsidR="00A954D0">
        <w:rPr>
          <w:rFonts w:ascii="Bookman Old Style" w:hAnsi="Bookman Old Style" w:cs="Arial"/>
          <w:sz w:val="24"/>
          <w:szCs w:val="24"/>
        </w:rPr>
        <w:t xml:space="preserve"> </w:t>
      </w:r>
      <w:r w:rsidRPr="00AC321A">
        <w:rPr>
          <w:rFonts w:ascii="Bookman Old Style" w:hAnsi="Bookman Old Style" w:cs="Arial"/>
          <w:sz w:val="24"/>
          <w:szCs w:val="24"/>
        </w:rPr>
        <w:t>Peraturan</w:t>
      </w:r>
      <w:r w:rsidR="00A954D0">
        <w:rPr>
          <w:rFonts w:ascii="Bookman Old Style" w:hAnsi="Bookman Old Style" w:cs="Arial"/>
          <w:sz w:val="24"/>
          <w:szCs w:val="24"/>
        </w:rPr>
        <w:t xml:space="preserve"> </w:t>
      </w:r>
      <w:r w:rsidRPr="00AC321A">
        <w:rPr>
          <w:rFonts w:ascii="Bookman Old Style" w:hAnsi="Bookman Old Style" w:cs="Arial"/>
          <w:sz w:val="24"/>
          <w:szCs w:val="24"/>
        </w:rPr>
        <w:t>Menteri</w:t>
      </w:r>
      <w:r w:rsidR="00A954D0">
        <w:rPr>
          <w:rFonts w:ascii="Bookman Old Style" w:hAnsi="Bookman Old Style" w:cs="Arial"/>
          <w:sz w:val="24"/>
          <w:szCs w:val="24"/>
        </w:rPr>
        <w:t xml:space="preserve"> </w:t>
      </w:r>
      <w:r w:rsidRPr="00AC321A">
        <w:rPr>
          <w:rFonts w:ascii="Bookman Old Style" w:hAnsi="Bookman Old Style" w:cs="Arial"/>
          <w:sz w:val="24"/>
          <w:szCs w:val="24"/>
        </w:rPr>
        <w:t>Dalam</w:t>
      </w:r>
      <w:r w:rsidR="00A954D0">
        <w:rPr>
          <w:rFonts w:ascii="Bookman Old Style" w:hAnsi="Bookman Old Style" w:cs="Arial"/>
          <w:sz w:val="24"/>
          <w:szCs w:val="24"/>
        </w:rPr>
        <w:t xml:space="preserve"> </w:t>
      </w:r>
      <w:r w:rsidRPr="00AC321A">
        <w:rPr>
          <w:rFonts w:ascii="Bookman Old Style" w:hAnsi="Bookman Old Style" w:cs="Arial"/>
          <w:sz w:val="24"/>
          <w:szCs w:val="24"/>
        </w:rPr>
        <w:t>Negeri</w:t>
      </w:r>
      <w:r w:rsidR="00A954D0">
        <w:rPr>
          <w:rFonts w:ascii="Bookman Old Style" w:hAnsi="Bookman Old Style" w:cs="Arial"/>
          <w:sz w:val="24"/>
          <w:szCs w:val="24"/>
        </w:rPr>
        <w:t xml:space="preserve"> </w:t>
      </w:r>
      <w:r w:rsidRPr="00AC321A">
        <w:rPr>
          <w:rFonts w:ascii="Bookman Old Style" w:hAnsi="Bookman Old Style" w:cs="Arial"/>
          <w:sz w:val="24"/>
          <w:szCs w:val="24"/>
        </w:rPr>
        <w:t>Nomor</w:t>
      </w:r>
      <w:r w:rsidR="00A954D0">
        <w:rPr>
          <w:rFonts w:ascii="Bookman Old Style" w:hAnsi="Bookman Old Style" w:cs="Arial"/>
          <w:sz w:val="24"/>
          <w:szCs w:val="24"/>
        </w:rPr>
        <w:t xml:space="preserve"> </w:t>
      </w:r>
      <w:r w:rsidRPr="00AC321A">
        <w:rPr>
          <w:rFonts w:ascii="Bookman Old Style" w:hAnsi="Bookman Old Style" w:cs="Arial"/>
          <w:sz w:val="24"/>
          <w:szCs w:val="24"/>
          <w:lang w:val="id-ID"/>
        </w:rPr>
        <w:t>15</w:t>
      </w:r>
      <w:r w:rsidR="00A954D0">
        <w:rPr>
          <w:rFonts w:ascii="Bookman Old Style" w:hAnsi="Bookman Old Style" w:cs="Arial"/>
          <w:sz w:val="24"/>
          <w:szCs w:val="24"/>
        </w:rPr>
        <w:t xml:space="preserve"> </w:t>
      </w:r>
      <w:r w:rsidRPr="00AC321A">
        <w:rPr>
          <w:rFonts w:ascii="Bookman Old Style" w:hAnsi="Bookman Old Style" w:cs="Arial"/>
          <w:sz w:val="24"/>
          <w:szCs w:val="24"/>
        </w:rPr>
        <w:t>Tahun</w:t>
      </w:r>
      <w:r w:rsidR="00A954D0">
        <w:rPr>
          <w:rFonts w:ascii="Bookman Old Style" w:hAnsi="Bookman Old Style" w:cs="Arial"/>
          <w:sz w:val="24"/>
          <w:szCs w:val="24"/>
        </w:rPr>
        <w:t xml:space="preserve"> </w:t>
      </w:r>
      <w:r w:rsidRPr="00AC321A">
        <w:rPr>
          <w:rFonts w:ascii="Bookman Old Style" w:hAnsi="Bookman Old Style" w:cs="Arial"/>
          <w:sz w:val="24"/>
          <w:szCs w:val="24"/>
        </w:rPr>
        <w:t>202</w:t>
      </w:r>
      <w:r w:rsidRPr="00AC321A">
        <w:rPr>
          <w:rFonts w:ascii="Bookman Old Style" w:hAnsi="Bookman Old Style" w:cs="Arial"/>
          <w:sz w:val="24"/>
          <w:szCs w:val="24"/>
          <w:lang w:val="id-ID"/>
        </w:rPr>
        <w:t>4</w:t>
      </w:r>
      <w:r w:rsidR="00861E03" w:rsidRPr="00861E03">
        <w:rPr>
          <w:rFonts w:ascii="Bookman Old Style" w:hAnsi="Bookman Old Style" w:cs="Arial"/>
          <w:sz w:val="24"/>
          <w:szCs w:val="24"/>
          <w:lang w:val="sv-FI"/>
        </w:rPr>
        <w:t>;</w:t>
      </w:r>
    </w:p>
    <w:p w14:paraId="06353AB9" w14:textId="15ED2CBC" w:rsidR="00D1236C" w:rsidRPr="00AC321A" w:rsidRDefault="00D1236C" w:rsidP="00A97B96">
      <w:pPr>
        <w:pStyle w:val="ListParagraph"/>
        <w:numPr>
          <w:ilvl w:val="0"/>
          <w:numId w:val="116"/>
        </w:numPr>
        <w:spacing w:before="60" w:after="0" w:line="276" w:lineRule="auto"/>
        <w:ind w:left="1276" w:hanging="283"/>
        <w:contextualSpacing w:val="0"/>
        <w:jc w:val="both"/>
        <w:rPr>
          <w:rFonts w:ascii="Bookman Old Style" w:hAnsi="Bookman Old Style" w:cs="Arial"/>
          <w:color w:val="000000" w:themeColor="text1"/>
          <w:sz w:val="24"/>
          <w:szCs w:val="24"/>
          <w:lang w:val="id-ID"/>
        </w:rPr>
      </w:pPr>
      <w:r w:rsidRPr="00AC321A">
        <w:rPr>
          <w:rFonts w:ascii="Bookman Old Style" w:hAnsi="Bookman Old Style" w:cs="Arial"/>
          <w:color w:val="000000" w:themeColor="text1"/>
          <w:sz w:val="24"/>
          <w:szCs w:val="24"/>
          <w:lang w:val="id-ID"/>
        </w:rPr>
        <w:t>Pendirian</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Arial"/>
          <w:color w:val="000000" w:themeColor="text1"/>
          <w:sz w:val="24"/>
          <w:szCs w:val="24"/>
        </w:rPr>
        <w:t>Badan</w:t>
      </w:r>
      <w:r w:rsidR="00A954D0">
        <w:rPr>
          <w:rFonts w:ascii="Bookman Old Style" w:hAnsi="Bookman Old Style" w:cs="Arial"/>
          <w:color w:val="000000" w:themeColor="text1"/>
          <w:sz w:val="24"/>
          <w:szCs w:val="24"/>
        </w:rPr>
        <w:t xml:space="preserve"> </w:t>
      </w:r>
      <w:r w:rsidRPr="00AC321A">
        <w:rPr>
          <w:rFonts w:ascii="Bookman Old Style" w:hAnsi="Bookman Old Style" w:cs="Arial"/>
          <w:color w:val="000000" w:themeColor="text1"/>
          <w:sz w:val="24"/>
          <w:szCs w:val="24"/>
        </w:rPr>
        <w:t>Usaha</w:t>
      </w:r>
      <w:r w:rsidR="00A954D0">
        <w:rPr>
          <w:rFonts w:ascii="Bookman Old Style" w:hAnsi="Bookman Old Style" w:cs="Arial"/>
          <w:color w:val="000000" w:themeColor="text1"/>
          <w:sz w:val="24"/>
          <w:szCs w:val="24"/>
        </w:rPr>
        <w:t xml:space="preserve"> </w:t>
      </w:r>
      <w:r w:rsidRPr="00AC321A">
        <w:rPr>
          <w:rFonts w:ascii="Bookman Old Style" w:hAnsi="Bookman Old Style" w:cs="Arial"/>
          <w:color w:val="000000" w:themeColor="text1"/>
          <w:sz w:val="24"/>
          <w:szCs w:val="24"/>
        </w:rPr>
        <w:t>Milik</w:t>
      </w:r>
      <w:r w:rsidR="00A954D0">
        <w:rPr>
          <w:rFonts w:ascii="Bookman Old Style" w:hAnsi="Bookman Old Style" w:cs="Arial"/>
          <w:color w:val="000000" w:themeColor="text1"/>
          <w:sz w:val="24"/>
          <w:szCs w:val="24"/>
        </w:rPr>
        <w:t xml:space="preserve"> </w:t>
      </w:r>
      <w:r w:rsidRPr="00AC321A">
        <w:rPr>
          <w:rFonts w:ascii="Bookman Old Style" w:hAnsi="Bookman Old Style" w:cs="Arial"/>
          <w:color w:val="000000" w:themeColor="text1"/>
          <w:sz w:val="24"/>
          <w:szCs w:val="24"/>
        </w:rPr>
        <w:t>Daerah</w:t>
      </w:r>
      <w:r w:rsidR="00A954D0">
        <w:rPr>
          <w:rFonts w:ascii="Bookman Old Style" w:hAnsi="Bookman Old Style" w:cs="Arial"/>
          <w:color w:val="000000" w:themeColor="text1"/>
          <w:sz w:val="24"/>
          <w:szCs w:val="24"/>
        </w:rPr>
        <w:t xml:space="preserve"> </w:t>
      </w:r>
      <w:r w:rsidRPr="00AC321A">
        <w:rPr>
          <w:rFonts w:ascii="Bookman Old Style" w:hAnsi="Bookman Old Style" w:cs="Arial"/>
          <w:color w:val="000000" w:themeColor="text1"/>
          <w:sz w:val="24"/>
          <w:szCs w:val="24"/>
          <w:lang w:val="id-ID"/>
        </w:rPr>
        <w:t>(</w:t>
      </w:r>
      <w:r w:rsidRPr="00AC321A">
        <w:rPr>
          <w:rFonts w:ascii="Bookman Old Style" w:hAnsi="Bookman Old Style" w:cs="Gill Sans Light (Arabid)"/>
          <w:color w:val="000000" w:themeColor="text1"/>
          <w:sz w:val="24"/>
          <w:szCs w:val="24"/>
          <w:lang w:val="id-ID"/>
        </w:rPr>
        <w:t>BUMD)</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bertujuan</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untuk</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memberikan</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manfaat</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bagi</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perkembangan</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perekonomian</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Daerah,</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menyelenggarakan</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kemanfaatan</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umum</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berupa</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penyediaan</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barang</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dan/atau</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jasa</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yang</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bermutu</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bagi</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pemenuhan</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hajat</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hidup</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masyarakat</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sesuai</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kondisi,</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karakteristik</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dan</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potensi</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daerah</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yang</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bersangkutan</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berdasarkan</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tata</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kelola</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perusahaan</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yang</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baik</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dan</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memperoleh</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laba</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dan/atau</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keuntungan,</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sebagaimana</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diamanatkan</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dalam</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Peraturan</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Pemerintah</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Nomor</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54</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Tahun</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2017</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Gill Sans Light (Arabid)"/>
          <w:color w:val="000000" w:themeColor="text1"/>
          <w:sz w:val="24"/>
          <w:szCs w:val="24"/>
          <w:lang w:val="id-ID"/>
        </w:rPr>
        <w:t>tentang</w:t>
      </w:r>
      <w:r w:rsidR="00A954D0">
        <w:rPr>
          <w:rFonts w:ascii="Bookman Old Style" w:hAnsi="Bookman Old Style" w:cs="Gill Sans Light (Arabid)"/>
          <w:color w:val="000000" w:themeColor="text1"/>
          <w:sz w:val="24"/>
          <w:szCs w:val="24"/>
          <w:lang w:val="id-ID"/>
        </w:rPr>
        <w:t xml:space="preserve"> </w:t>
      </w:r>
      <w:r w:rsidRPr="00AC321A">
        <w:rPr>
          <w:rFonts w:ascii="Bookman Old Style" w:hAnsi="Bookman Old Style" w:cs="Arial"/>
          <w:color w:val="000000" w:themeColor="text1"/>
          <w:sz w:val="24"/>
          <w:szCs w:val="24"/>
        </w:rPr>
        <w:t>Badan</w:t>
      </w:r>
      <w:r w:rsidR="00A954D0">
        <w:rPr>
          <w:rFonts w:ascii="Bookman Old Style" w:hAnsi="Bookman Old Style" w:cs="Arial"/>
          <w:color w:val="000000" w:themeColor="text1"/>
          <w:sz w:val="24"/>
          <w:szCs w:val="24"/>
        </w:rPr>
        <w:t xml:space="preserve"> </w:t>
      </w:r>
      <w:r w:rsidRPr="00AC321A">
        <w:rPr>
          <w:rFonts w:ascii="Bookman Old Style" w:hAnsi="Bookman Old Style" w:cs="Arial"/>
          <w:color w:val="000000" w:themeColor="text1"/>
          <w:sz w:val="24"/>
          <w:szCs w:val="24"/>
        </w:rPr>
        <w:t>Usaha</w:t>
      </w:r>
      <w:r w:rsidR="00A954D0">
        <w:rPr>
          <w:rFonts w:ascii="Bookman Old Style" w:hAnsi="Bookman Old Style" w:cs="Arial"/>
          <w:color w:val="000000" w:themeColor="text1"/>
          <w:sz w:val="24"/>
          <w:szCs w:val="24"/>
        </w:rPr>
        <w:t xml:space="preserve"> </w:t>
      </w:r>
      <w:r w:rsidRPr="00AC321A">
        <w:rPr>
          <w:rFonts w:ascii="Bookman Old Style" w:hAnsi="Bookman Old Style" w:cs="Arial"/>
          <w:color w:val="000000" w:themeColor="text1"/>
          <w:sz w:val="24"/>
          <w:szCs w:val="24"/>
        </w:rPr>
        <w:t>Milik</w:t>
      </w:r>
      <w:r w:rsidR="00A954D0">
        <w:rPr>
          <w:rFonts w:ascii="Bookman Old Style" w:hAnsi="Bookman Old Style" w:cs="Arial"/>
          <w:color w:val="000000" w:themeColor="text1"/>
          <w:sz w:val="24"/>
          <w:szCs w:val="24"/>
        </w:rPr>
        <w:t xml:space="preserve"> </w:t>
      </w:r>
      <w:r w:rsidRPr="00AC321A">
        <w:rPr>
          <w:rFonts w:ascii="Bookman Old Style" w:hAnsi="Bookman Old Style" w:cs="Arial"/>
          <w:color w:val="000000" w:themeColor="text1"/>
          <w:sz w:val="24"/>
          <w:szCs w:val="24"/>
        </w:rPr>
        <w:t>Daerah</w:t>
      </w:r>
      <w:r w:rsidR="00861E03" w:rsidRPr="00861E03">
        <w:rPr>
          <w:rFonts w:ascii="Bookman Old Style" w:hAnsi="Bookman Old Style" w:cs="Gill Sans Light (Arabid)"/>
          <w:color w:val="000000" w:themeColor="text1"/>
          <w:sz w:val="24"/>
          <w:szCs w:val="24"/>
          <w:lang w:val="id-ID"/>
        </w:rPr>
        <w:t>;</w:t>
      </w:r>
    </w:p>
    <w:p w14:paraId="431A85CD" w14:textId="576EEC14" w:rsidR="00D1236C" w:rsidRPr="00AC321A" w:rsidRDefault="00D1236C" w:rsidP="00861E03">
      <w:pPr>
        <w:pStyle w:val="ListParagraph"/>
        <w:spacing w:before="60" w:after="0" w:line="276" w:lineRule="auto"/>
        <w:ind w:left="1276"/>
        <w:contextualSpacing w:val="0"/>
        <w:jc w:val="both"/>
        <w:rPr>
          <w:rFonts w:ascii="Bookman Old Style" w:hAnsi="Bookman Old Style"/>
          <w:sz w:val="24"/>
          <w:szCs w:val="24"/>
        </w:rPr>
      </w:pPr>
      <w:r w:rsidRPr="00AC321A">
        <w:rPr>
          <w:rFonts w:ascii="Bookman Old Style" w:hAnsi="Bookman Old Style" w:cs="Arial"/>
          <w:sz w:val="24"/>
          <w:szCs w:val="24"/>
          <w:lang w:val="id-ID"/>
        </w:rPr>
        <w:t>Berkaitan</w:t>
      </w:r>
      <w:r w:rsidR="00A954D0">
        <w:rPr>
          <w:rFonts w:ascii="Bookman Old Style" w:hAnsi="Bookman Old Style" w:cs="Arial"/>
          <w:sz w:val="24"/>
          <w:szCs w:val="24"/>
          <w:lang w:val="id-ID"/>
        </w:rPr>
        <w:t xml:space="preserve"> </w:t>
      </w:r>
      <w:r w:rsidRPr="00AC321A">
        <w:rPr>
          <w:rFonts w:ascii="Bookman Old Style" w:hAnsi="Bookman Old Style" w:cs="Gill Sans Light (Arabid)"/>
          <w:color w:val="000000" w:themeColor="text1"/>
          <w:sz w:val="24"/>
          <w:szCs w:val="24"/>
          <w:lang w:val="id-ID"/>
        </w:rPr>
        <w:t>dengan</w:t>
      </w:r>
      <w:r w:rsidR="00A954D0">
        <w:rPr>
          <w:rFonts w:ascii="Bookman Old Style" w:hAnsi="Bookman Old Style" w:cs="Arial"/>
          <w:sz w:val="24"/>
          <w:szCs w:val="24"/>
          <w:lang w:val="id-ID"/>
        </w:rPr>
        <w:t xml:space="preserve"> </w:t>
      </w:r>
      <w:r w:rsidRPr="003255BC">
        <w:rPr>
          <w:rFonts w:ascii="Bookman Old Style" w:hAnsi="Bookman Old Style" w:cs="Arial"/>
          <w:sz w:val="24"/>
          <w:szCs w:val="24"/>
          <w:lang w:val="sv-FI"/>
        </w:rPr>
        <w:t>hal</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tersebut</w:t>
      </w:r>
      <w:r w:rsidRPr="00AC321A">
        <w:rPr>
          <w:rFonts w:ascii="Bookman Old Style" w:hAnsi="Bookman Old Style" w:cs="Arial"/>
          <w:sz w:val="24"/>
          <w:szCs w:val="24"/>
          <w:lang w:val="id-ID"/>
        </w:rPr>
        <w:t>,</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penganggaran</w:t>
      </w:r>
      <w:r w:rsidR="00A954D0">
        <w:rPr>
          <w:rFonts w:ascii="Bookman Old Style" w:hAnsi="Bookman Old Style"/>
          <w:sz w:val="24"/>
          <w:szCs w:val="24"/>
          <w:lang w:val="id-ID"/>
        </w:rPr>
        <w:t xml:space="preserve"> </w:t>
      </w:r>
      <w:r w:rsidRPr="00AC321A">
        <w:rPr>
          <w:rFonts w:ascii="Bookman Old Style" w:hAnsi="Bookman Old Style" w:cs="Arial"/>
          <w:sz w:val="24"/>
          <w:szCs w:val="24"/>
          <w:lang w:val="id-ID"/>
        </w:rPr>
        <w:t>pendapatan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Bagian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Laba</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atas</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Penyertaan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Modal</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dalam</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Rancangan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Peraturan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Daerah</w:t>
      </w:r>
      <w:r w:rsidR="00A954D0">
        <w:rPr>
          <w:rFonts w:ascii="Bookman Old Style" w:hAnsi="Bookman Old Style" w:cs="Arial"/>
          <w:sz w:val="24"/>
          <w:szCs w:val="24"/>
          <w:lang w:val="id-ID"/>
        </w:rPr>
        <w:t xml:space="preserve"> </w:t>
      </w:r>
      <w:r w:rsidR="00B055C5" w:rsidRPr="00AC321A">
        <w:rPr>
          <w:rFonts w:ascii="Bookman Old Style" w:hAnsi="Bookman Old Style"/>
          <w:sz w:val="24"/>
          <w:szCs w:val="24"/>
          <w:lang w:val="fi-FI"/>
        </w:rPr>
        <w:t>Kota</w:t>
      </w:r>
      <w:r w:rsidR="00A954D0">
        <w:rPr>
          <w:rFonts w:ascii="Bookman Old Style" w:hAnsi="Bookman Old Style"/>
          <w:sz w:val="24"/>
          <w:szCs w:val="24"/>
          <w:lang w:val="fi-FI"/>
        </w:rPr>
        <w:t xml:space="preserve"> </w:t>
      </w:r>
      <w:r w:rsidR="00770F22" w:rsidRPr="00AC321A">
        <w:rPr>
          <w:rFonts w:ascii="Bookman Old Style" w:hAnsi="Bookman Old Style"/>
          <w:sz w:val="24"/>
          <w:szCs w:val="24"/>
          <w:lang w:val="fi-FI"/>
        </w:rPr>
        <w:t>Tangerang</w:t>
      </w:r>
      <w:r w:rsidR="00A954D0">
        <w:rPr>
          <w:rFonts w:ascii="Bookman Old Style" w:hAnsi="Bookman Old Style"/>
          <w:sz w:val="24"/>
          <w:szCs w:val="24"/>
          <w:lang w:val="fi-FI"/>
        </w:rPr>
        <w:t xml:space="preserve"> </w:t>
      </w:r>
      <w:r w:rsidRPr="00AC321A">
        <w:rPr>
          <w:rFonts w:ascii="Bookman Old Style" w:hAnsi="Bookman Old Style" w:cs="Arial"/>
          <w:sz w:val="24"/>
          <w:szCs w:val="24"/>
          <w:lang w:val="id-ID"/>
        </w:rPr>
        <w:t>tentang</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APBD</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Anggaran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2025</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memperhatikan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tingkat</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rasionalitas</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bagian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laba</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atas</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penyertaan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modal</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dengan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jumlah</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total</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penyertaan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modal</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Pemerintah</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Daerah</w:t>
      </w:r>
      <w:r w:rsidR="00A954D0">
        <w:rPr>
          <w:rFonts w:ascii="Bookman Old Style" w:hAnsi="Bookman Old Style" w:cs="Arial"/>
          <w:sz w:val="24"/>
          <w:szCs w:val="24"/>
          <w:lang w:val="id-ID"/>
        </w:rPr>
        <w:t xml:space="preserve"> </w:t>
      </w:r>
      <w:r w:rsidR="00B055C5" w:rsidRPr="00AC321A">
        <w:rPr>
          <w:rFonts w:ascii="Bookman Old Style" w:hAnsi="Bookman Old Style"/>
          <w:sz w:val="24"/>
          <w:szCs w:val="24"/>
          <w:lang w:val="fi-FI"/>
        </w:rPr>
        <w:t>Kota</w:t>
      </w:r>
      <w:r w:rsidR="00A954D0">
        <w:rPr>
          <w:rFonts w:ascii="Bookman Old Style" w:hAnsi="Bookman Old Style"/>
          <w:sz w:val="24"/>
          <w:szCs w:val="24"/>
          <w:lang w:val="fi-FI"/>
        </w:rPr>
        <w:t xml:space="preserve"> </w:t>
      </w:r>
      <w:r w:rsidR="00770F22" w:rsidRPr="00AC321A">
        <w:rPr>
          <w:rFonts w:ascii="Bookman Old Style" w:hAnsi="Bookman Old Style"/>
          <w:sz w:val="24"/>
          <w:szCs w:val="24"/>
          <w:lang w:val="fi-FI"/>
        </w:rPr>
        <w:t>Tangerang</w:t>
      </w:r>
      <w:r w:rsidR="00A954D0">
        <w:rPr>
          <w:rFonts w:ascii="Bookman Old Style" w:hAnsi="Bookman Old Style"/>
          <w:sz w:val="24"/>
          <w:szCs w:val="24"/>
          <w:lang w:val="fi-FI"/>
        </w:rPr>
        <w:t xml:space="preserve"> </w:t>
      </w:r>
      <w:r w:rsidRPr="00AC321A">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memperhatikan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perolehan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manfaat</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ekonomi,</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sosial</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dan/atau</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manfaat</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lainnya</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dalam</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jangka</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waktu</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tertentu,</w:t>
      </w:r>
      <w:r w:rsidR="00A954D0">
        <w:rPr>
          <w:rFonts w:ascii="Bookman Old Style" w:hAnsi="Bookman Old Style" w:cs="Arial"/>
          <w:sz w:val="24"/>
          <w:szCs w:val="24"/>
          <w:lang w:val="id-ID"/>
        </w:rPr>
        <w:t xml:space="preserve"> </w:t>
      </w:r>
      <w:r w:rsidRPr="00AC321A">
        <w:rPr>
          <w:rFonts w:ascii="Bookman Old Style" w:hAnsi="Bookman Old Style"/>
          <w:sz w:val="24"/>
          <w:szCs w:val="24"/>
          <w:lang w:val="id-ID"/>
        </w:rPr>
        <w:t>sebagaimana</w:t>
      </w:r>
      <w:r w:rsidR="00A954D0">
        <w:rPr>
          <w:rFonts w:ascii="Bookman Old Style" w:hAnsi="Bookman Old Style"/>
          <w:sz w:val="24"/>
          <w:szCs w:val="24"/>
          <w:lang w:val="id-ID"/>
        </w:rPr>
        <w:t xml:space="preserve"> </w:t>
      </w:r>
      <w:r w:rsidRPr="00AC321A">
        <w:rPr>
          <w:rFonts w:ascii="Bookman Old Style" w:hAnsi="Bookman Old Style"/>
          <w:sz w:val="24"/>
          <w:szCs w:val="24"/>
          <w:lang w:val="id-ID"/>
        </w:rPr>
        <w:t>diamanatkan</w:t>
      </w:r>
      <w:r w:rsidR="00A954D0">
        <w:rPr>
          <w:rFonts w:ascii="Bookman Old Style" w:hAnsi="Bookman Old Style"/>
          <w:sz w:val="24"/>
          <w:szCs w:val="24"/>
          <w:lang w:val="id-ID"/>
        </w:rPr>
        <w:t xml:space="preserve"> </w:t>
      </w:r>
      <w:r w:rsidRPr="00AC321A">
        <w:rPr>
          <w:rFonts w:ascii="Bookman Old Style" w:hAnsi="Bookman Old Style"/>
          <w:sz w:val="24"/>
          <w:szCs w:val="24"/>
          <w:lang w:val="id-ID"/>
        </w:rPr>
        <w:t>dalam</w:t>
      </w:r>
      <w:r w:rsidR="00A954D0">
        <w:rPr>
          <w:rFonts w:ascii="Bookman Old Style" w:hAnsi="Bookman Old Style"/>
          <w:sz w:val="24"/>
          <w:szCs w:val="24"/>
        </w:rPr>
        <w:t xml:space="preserve"> </w:t>
      </w:r>
      <w:r w:rsidRPr="00AC321A">
        <w:rPr>
          <w:rFonts w:ascii="Bookman Old Style" w:hAnsi="Bookman Old Style"/>
          <w:sz w:val="24"/>
          <w:szCs w:val="24"/>
        </w:rPr>
        <w:t>Peraturan</w:t>
      </w:r>
      <w:r w:rsidR="00A954D0">
        <w:rPr>
          <w:rFonts w:ascii="Bookman Old Style" w:hAnsi="Bookman Old Style"/>
          <w:sz w:val="24"/>
          <w:szCs w:val="24"/>
        </w:rPr>
        <w:t xml:space="preserve"> </w:t>
      </w:r>
      <w:r w:rsidRPr="00AC321A">
        <w:rPr>
          <w:rFonts w:ascii="Bookman Old Style" w:hAnsi="Bookman Old Style"/>
          <w:sz w:val="24"/>
          <w:szCs w:val="24"/>
        </w:rPr>
        <w:t>Menteri</w:t>
      </w:r>
      <w:r w:rsidR="00A954D0">
        <w:rPr>
          <w:rFonts w:ascii="Bookman Old Style" w:hAnsi="Bookman Old Style"/>
          <w:sz w:val="24"/>
          <w:szCs w:val="24"/>
        </w:rPr>
        <w:t xml:space="preserve"> </w:t>
      </w:r>
      <w:r w:rsidRPr="00AC321A">
        <w:rPr>
          <w:rFonts w:ascii="Bookman Old Style" w:hAnsi="Bookman Old Style"/>
          <w:sz w:val="24"/>
          <w:szCs w:val="24"/>
        </w:rPr>
        <w:t>Dalam</w:t>
      </w:r>
      <w:r w:rsidR="00A954D0">
        <w:rPr>
          <w:rFonts w:ascii="Bookman Old Style" w:hAnsi="Bookman Old Style"/>
          <w:sz w:val="24"/>
          <w:szCs w:val="24"/>
        </w:rPr>
        <w:t xml:space="preserve"> </w:t>
      </w:r>
      <w:r w:rsidRPr="00AC321A">
        <w:rPr>
          <w:rFonts w:ascii="Bookman Old Style" w:hAnsi="Bookman Old Style"/>
          <w:sz w:val="24"/>
          <w:szCs w:val="24"/>
        </w:rPr>
        <w:t>Negeri</w:t>
      </w:r>
      <w:r w:rsidR="00A954D0">
        <w:rPr>
          <w:rFonts w:ascii="Bookman Old Style" w:hAnsi="Bookman Old Style"/>
          <w:sz w:val="24"/>
          <w:szCs w:val="24"/>
        </w:rPr>
        <w:t xml:space="preserve"> </w:t>
      </w:r>
      <w:r w:rsidRPr="00AC321A">
        <w:rPr>
          <w:rFonts w:ascii="Bookman Old Style" w:hAnsi="Bookman Old Style"/>
          <w:sz w:val="24"/>
          <w:szCs w:val="24"/>
        </w:rPr>
        <w:t>Nomor</w:t>
      </w:r>
      <w:r w:rsidR="00A954D0">
        <w:rPr>
          <w:rFonts w:ascii="Bookman Old Style" w:hAnsi="Bookman Old Style"/>
          <w:sz w:val="24"/>
          <w:szCs w:val="24"/>
        </w:rPr>
        <w:t xml:space="preserve"> </w:t>
      </w:r>
      <w:r w:rsidRPr="00AC321A">
        <w:rPr>
          <w:rFonts w:ascii="Bookman Old Style" w:hAnsi="Bookman Old Style"/>
          <w:sz w:val="24"/>
          <w:szCs w:val="24"/>
        </w:rPr>
        <w:t>52</w:t>
      </w:r>
      <w:r w:rsidR="00A954D0">
        <w:rPr>
          <w:rFonts w:ascii="Bookman Old Style" w:hAnsi="Bookman Old Style"/>
          <w:sz w:val="24"/>
          <w:szCs w:val="24"/>
        </w:rPr>
        <w:t xml:space="preserve"> </w:t>
      </w:r>
      <w:r w:rsidRPr="00AC321A">
        <w:rPr>
          <w:rFonts w:ascii="Bookman Old Style" w:hAnsi="Bookman Old Style"/>
          <w:sz w:val="24"/>
          <w:szCs w:val="24"/>
        </w:rPr>
        <w:t>Tahun</w:t>
      </w:r>
      <w:r w:rsidR="00A954D0">
        <w:rPr>
          <w:rFonts w:ascii="Bookman Old Style" w:hAnsi="Bookman Old Style"/>
          <w:sz w:val="24"/>
          <w:szCs w:val="24"/>
        </w:rPr>
        <w:t xml:space="preserve"> </w:t>
      </w:r>
      <w:r w:rsidRPr="00AC321A">
        <w:rPr>
          <w:rFonts w:ascii="Bookman Old Style" w:hAnsi="Bookman Old Style"/>
          <w:sz w:val="24"/>
          <w:szCs w:val="24"/>
        </w:rPr>
        <w:t>2012</w:t>
      </w:r>
      <w:r w:rsidR="00A954D0">
        <w:rPr>
          <w:rFonts w:ascii="Bookman Old Style" w:hAnsi="Bookman Old Style"/>
          <w:sz w:val="24"/>
          <w:szCs w:val="24"/>
        </w:rPr>
        <w:t xml:space="preserve"> </w:t>
      </w:r>
      <w:r w:rsidRPr="00AC321A">
        <w:rPr>
          <w:rFonts w:ascii="Bookman Old Style" w:hAnsi="Bookman Old Style"/>
          <w:sz w:val="24"/>
          <w:szCs w:val="24"/>
        </w:rPr>
        <w:t>tentang</w:t>
      </w:r>
      <w:r w:rsidR="00A954D0">
        <w:rPr>
          <w:rFonts w:ascii="Bookman Old Style" w:hAnsi="Bookman Old Style"/>
          <w:sz w:val="24"/>
          <w:szCs w:val="24"/>
        </w:rPr>
        <w:t xml:space="preserve"> </w:t>
      </w:r>
      <w:r w:rsidRPr="00AC321A">
        <w:rPr>
          <w:rFonts w:ascii="Bookman Old Style" w:hAnsi="Bookman Old Style"/>
          <w:sz w:val="24"/>
          <w:szCs w:val="24"/>
        </w:rPr>
        <w:t>Pedoman</w:t>
      </w:r>
      <w:r w:rsidR="00A954D0">
        <w:rPr>
          <w:rFonts w:ascii="Bookman Old Style" w:hAnsi="Bookman Old Style"/>
          <w:sz w:val="24"/>
          <w:szCs w:val="24"/>
        </w:rPr>
        <w:t xml:space="preserve"> </w:t>
      </w:r>
      <w:r w:rsidRPr="00AC321A">
        <w:rPr>
          <w:rFonts w:ascii="Bookman Old Style" w:hAnsi="Bookman Old Style"/>
          <w:sz w:val="24"/>
          <w:szCs w:val="24"/>
        </w:rPr>
        <w:t>Pengelolaan</w:t>
      </w:r>
      <w:r w:rsidR="00A954D0">
        <w:rPr>
          <w:rFonts w:ascii="Bookman Old Style" w:hAnsi="Bookman Old Style"/>
          <w:sz w:val="24"/>
          <w:szCs w:val="24"/>
        </w:rPr>
        <w:t xml:space="preserve"> </w:t>
      </w:r>
      <w:r w:rsidRPr="00AC321A">
        <w:rPr>
          <w:rFonts w:ascii="Bookman Old Style" w:hAnsi="Bookman Old Style"/>
          <w:sz w:val="24"/>
          <w:szCs w:val="24"/>
        </w:rPr>
        <w:t>Investasi</w:t>
      </w:r>
      <w:r w:rsidR="00A954D0">
        <w:rPr>
          <w:rFonts w:ascii="Bookman Old Style" w:hAnsi="Bookman Old Style"/>
          <w:sz w:val="24"/>
          <w:szCs w:val="24"/>
        </w:rPr>
        <w:t xml:space="preserve"> </w:t>
      </w:r>
      <w:r w:rsidRPr="00AC321A">
        <w:rPr>
          <w:rFonts w:ascii="Bookman Old Style" w:hAnsi="Bookman Old Style"/>
          <w:sz w:val="24"/>
          <w:szCs w:val="24"/>
        </w:rPr>
        <w:t>Daerah.</w:t>
      </w:r>
    </w:p>
    <w:p w14:paraId="6B8BE4F5" w14:textId="0D76D68F" w:rsidR="00D1236C" w:rsidRPr="00AC321A" w:rsidRDefault="00D1236C" w:rsidP="00861E03">
      <w:pPr>
        <w:pStyle w:val="ListParagraph"/>
        <w:spacing w:before="60" w:after="0" w:line="276" w:lineRule="auto"/>
        <w:ind w:left="1276"/>
        <w:contextualSpacing w:val="0"/>
        <w:jc w:val="both"/>
        <w:rPr>
          <w:rFonts w:ascii="Bookman Old Style" w:hAnsi="Bookman Old Style" w:cs="Arial"/>
          <w:sz w:val="24"/>
          <w:szCs w:val="24"/>
          <w:lang w:val="id-ID"/>
        </w:rPr>
      </w:pPr>
      <w:r w:rsidRPr="00AC321A">
        <w:rPr>
          <w:rFonts w:ascii="Bookman Old Style" w:hAnsi="Bookman Old Style"/>
          <w:sz w:val="24"/>
          <w:szCs w:val="24"/>
          <w:lang w:val="id-ID"/>
        </w:rPr>
        <w:t>Selanjutnya</w:t>
      </w:r>
      <w:r w:rsidRPr="00AC321A">
        <w:rPr>
          <w:rFonts w:ascii="Bookman Old Style" w:hAnsi="Bookman Old Style"/>
          <w:sz w:val="24"/>
          <w:szCs w:val="24"/>
          <w:lang w:val="en-US"/>
        </w:rPr>
        <w:t>,</w:t>
      </w:r>
      <w:r w:rsidR="00A954D0">
        <w:rPr>
          <w:rFonts w:ascii="Bookman Old Style" w:hAnsi="Bookman Old Style"/>
          <w:sz w:val="24"/>
          <w:szCs w:val="24"/>
          <w:lang w:val="en-US"/>
        </w:rPr>
        <w:t xml:space="preserve"> </w:t>
      </w:r>
      <w:r w:rsidRPr="00AC321A">
        <w:rPr>
          <w:rFonts w:ascii="Bookman Old Style" w:hAnsi="Bookman Old Style"/>
          <w:sz w:val="24"/>
          <w:szCs w:val="24"/>
          <w:lang w:val="en-US"/>
        </w:rPr>
        <w:t>terhadap</w:t>
      </w:r>
      <w:r w:rsidR="00A954D0">
        <w:rPr>
          <w:rFonts w:ascii="Bookman Old Style" w:hAnsi="Bookman Old Style"/>
          <w:sz w:val="24"/>
          <w:szCs w:val="24"/>
          <w:lang w:val="en-US"/>
        </w:rPr>
        <w:t xml:space="preserve"> </w:t>
      </w:r>
      <w:r w:rsidRPr="00AC321A">
        <w:rPr>
          <w:rFonts w:ascii="Bookman Old Style" w:hAnsi="Bookman Old Style"/>
          <w:sz w:val="24"/>
          <w:szCs w:val="24"/>
          <w:lang w:val="id-ID"/>
        </w:rPr>
        <w:t>penyertaan</w:t>
      </w:r>
      <w:r w:rsidR="00A954D0">
        <w:rPr>
          <w:rFonts w:ascii="Bookman Old Style" w:hAnsi="Bookman Old Style"/>
          <w:sz w:val="24"/>
          <w:szCs w:val="24"/>
          <w:lang w:val="id-ID"/>
        </w:rPr>
        <w:t xml:space="preserve"> </w:t>
      </w:r>
      <w:r w:rsidRPr="00AC321A">
        <w:rPr>
          <w:rFonts w:ascii="Bookman Old Style" w:hAnsi="Bookman Old Style"/>
          <w:sz w:val="24"/>
          <w:szCs w:val="24"/>
          <w:lang w:val="id-ID"/>
        </w:rPr>
        <w:t>modal</w:t>
      </w:r>
      <w:r w:rsidR="00A954D0">
        <w:rPr>
          <w:rFonts w:ascii="Bookman Old Style" w:hAnsi="Bookman Old Style"/>
          <w:sz w:val="24"/>
          <w:szCs w:val="24"/>
          <w:lang w:val="id-ID"/>
        </w:rPr>
        <w:t xml:space="preserve"> </w:t>
      </w:r>
      <w:r w:rsidRPr="00AC321A">
        <w:rPr>
          <w:rFonts w:ascii="Bookman Old Style" w:hAnsi="Bookman Old Style"/>
          <w:sz w:val="24"/>
          <w:szCs w:val="24"/>
          <w:lang w:val="id-ID"/>
        </w:rPr>
        <w:t>Pemerintah</w:t>
      </w:r>
      <w:r w:rsidR="00A954D0">
        <w:rPr>
          <w:rFonts w:ascii="Bookman Old Style" w:hAnsi="Bookman Old Style"/>
          <w:sz w:val="24"/>
          <w:szCs w:val="24"/>
          <w:lang w:val="id-ID"/>
        </w:rPr>
        <w:t xml:space="preserve"> </w:t>
      </w:r>
      <w:r w:rsidRPr="00AC321A">
        <w:rPr>
          <w:rFonts w:ascii="Bookman Old Style" w:hAnsi="Bookman Old Style"/>
          <w:sz w:val="24"/>
          <w:szCs w:val="24"/>
          <w:lang w:val="en-US"/>
        </w:rPr>
        <w:t>Daerah</w:t>
      </w:r>
      <w:r w:rsidR="00A954D0">
        <w:rPr>
          <w:rFonts w:ascii="Bookman Old Style" w:hAnsi="Bookman Old Style"/>
          <w:sz w:val="24"/>
          <w:szCs w:val="24"/>
          <w:lang w:val="en-US"/>
        </w:rPr>
        <w:t xml:space="preserve"> </w:t>
      </w:r>
      <w:r w:rsidR="00B055C5" w:rsidRPr="00AC321A">
        <w:rPr>
          <w:rFonts w:ascii="Bookman Old Style" w:hAnsi="Bookman Old Style"/>
          <w:sz w:val="24"/>
          <w:szCs w:val="24"/>
          <w:lang w:val="fi-FI"/>
        </w:rPr>
        <w:t>Kota</w:t>
      </w:r>
      <w:r w:rsidR="00A954D0">
        <w:rPr>
          <w:rFonts w:ascii="Bookman Old Style" w:hAnsi="Bookman Old Style"/>
          <w:sz w:val="24"/>
          <w:szCs w:val="24"/>
          <w:lang w:val="fi-FI"/>
        </w:rPr>
        <w:t xml:space="preserve"> </w:t>
      </w:r>
      <w:r w:rsidR="00770F22" w:rsidRPr="00AC321A">
        <w:rPr>
          <w:rFonts w:ascii="Bookman Old Style" w:hAnsi="Bookman Old Style"/>
          <w:sz w:val="24"/>
          <w:szCs w:val="24"/>
          <w:lang w:val="fi-FI"/>
        </w:rPr>
        <w:t>Tangerang</w:t>
      </w:r>
      <w:r w:rsidR="00A954D0">
        <w:rPr>
          <w:rFonts w:ascii="Bookman Old Style" w:hAnsi="Bookman Old Style"/>
          <w:sz w:val="24"/>
          <w:szCs w:val="24"/>
          <w:lang w:val="fi-FI"/>
        </w:rPr>
        <w:t xml:space="preserve"> </w:t>
      </w:r>
      <w:r w:rsidRPr="00AC321A">
        <w:rPr>
          <w:rFonts w:ascii="Bookman Old Style" w:hAnsi="Bookman Old Style"/>
          <w:sz w:val="24"/>
          <w:szCs w:val="24"/>
          <w:lang w:val="en-US"/>
        </w:rPr>
        <w:t>kepada</w:t>
      </w:r>
      <w:r w:rsidR="00A954D0">
        <w:rPr>
          <w:rFonts w:ascii="Bookman Old Style" w:hAnsi="Bookman Old Style"/>
          <w:sz w:val="24"/>
          <w:szCs w:val="24"/>
          <w:lang w:val="en-US"/>
        </w:rPr>
        <w:t xml:space="preserve"> </w:t>
      </w:r>
      <w:r w:rsidRPr="00AC321A">
        <w:rPr>
          <w:rFonts w:ascii="Bookman Old Style" w:hAnsi="Bookman Old Style"/>
          <w:sz w:val="24"/>
          <w:szCs w:val="24"/>
          <w:lang w:val="en-US"/>
        </w:rPr>
        <w:t>BUMD</w:t>
      </w:r>
      <w:r w:rsidR="00A954D0">
        <w:rPr>
          <w:rFonts w:ascii="Bookman Old Style" w:hAnsi="Bookman Old Style"/>
          <w:sz w:val="24"/>
          <w:szCs w:val="24"/>
          <w:lang w:val="en-US"/>
        </w:rPr>
        <w:t xml:space="preserve"> </w:t>
      </w:r>
      <w:r w:rsidRPr="00AC321A">
        <w:rPr>
          <w:rFonts w:ascii="Bookman Old Style" w:hAnsi="Bookman Old Style"/>
          <w:sz w:val="24"/>
          <w:szCs w:val="24"/>
        </w:rPr>
        <w:t>yang</w:t>
      </w:r>
      <w:r w:rsidR="00A954D0">
        <w:rPr>
          <w:rFonts w:ascii="Bookman Old Style" w:hAnsi="Bookman Old Style"/>
          <w:sz w:val="24"/>
          <w:szCs w:val="24"/>
        </w:rPr>
        <w:t xml:space="preserve"> </w:t>
      </w:r>
      <w:r w:rsidRPr="00AC321A">
        <w:rPr>
          <w:rFonts w:ascii="Bookman Old Style" w:hAnsi="Bookman Old Style"/>
          <w:sz w:val="24"/>
          <w:szCs w:val="24"/>
          <w:lang w:val="id-ID"/>
        </w:rPr>
        <w:t>kinerj</w:t>
      </w:r>
      <w:r w:rsidRPr="00AC321A">
        <w:rPr>
          <w:rFonts w:ascii="Bookman Old Style" w:hAnsi="Bookman Old Style"/>
          <w:sz w:val="24"/>
          <w:szCs w:val="24"/>
          <w:lang w:val="en-US"/>
        </w:rPr>
        <w:t>anya</w:t>
      </w:r>
      <w:r w:rsidR="00A954D0">
        <w:rPr>
          <w:rFonts w:ascii="Bookman Old Style" w:hAnsi="Bookman Old Style"/>
          <w:sz w:val="24"/>
          <w:szCs w:val="24"/>
          <w:lang w:val="en-US"/>
        </w:rPr>
        <w:t xml:space="preserve"> </w:t>
      </w:r>
      <w:r w:rsidRPr="00AC321A">
        <w:rPr>
          <w:rFonts w:ascii="Bookman Old Style" w:hAnsi="Bookman Old Style"/>
          <w:sz w:val="24"/>
          <w:szCs w:val="24"/>
          <w:lang w:val="en-US"/>
        </w:rPr>
        <w:t>belum</w:t>
      </w:r>
      <w:r w:rsidR="00A954D0">
        <w:rPr>
          <w:rFonts w:ascii="Bookman Old Style" w:hAnsi="Bookman Old Style" w:cs="Gill Sans Light (Arabid)"/>
          <w:sz w:val="24"/>
          <w:szCs w:val="24"/>
          <w:lang w:val="id-ID"/>
        </w:rPr>
        <w:t xml:space="preserve"> </w:t>
      </w:r>
      <w:r w:rsidRPr="00AC321A">
        <w:rPr>
          <w:rFonts w:ascii="Bookman Old Style" w:hAnsi="Bookman Old Style" w:cs="Gill Sans Light (Arabid)"/>
          <w:sz w:val="24"/>
          <w:szCs w:val="24"/>
          <w:lang w:val="id-ID"/>
        </w:rPr>
        <w:t>memadai</w:t>
      </w:r>
      <w:r w:rsidR="00A954D0">
        <w:rPr>
          <w:rFonts w:ascii="Bookman Old Style" w:hAnsi="Bookman Old Style" w:cs="Gill Sans Light (Arabid)"/>
          <w:sz w:val="24"/>
          <w:szCs w:val="24"/>
          <w:lang w:val="id-ID"/>
        </w:rPr>
        <w:t xml:space="preserve"> </w:t>
      </w:r>
      <w:r w:rsidRPr="00AC321A">
        <w:rPr>
          <w:rFonts w:ascii="Bookman Old Style" w:hAnsi="Bookman Old Style" w:cs="Gill Sans Light (Arabid)"/>
          <w:i/>
          <w:sz w:val="24"/>
          <w:szCs w:val="24"/>
          <w:lang w:val="id-ID"/>
        </w:rPr>
        <w:t>(</w:t>
      </w:r>
      <w:r w:rsidRPr="00AC321A">
        <w:rPr>
          <w:rFonts w:ascii="Bookman Old Style" w:hAnsi="Bookman Old Style" w:cs="Arial"/>
          <w:i/>
          <w:iCs/>
          <w:sz w:val="24"/>
          <w:szCs w:val="24"/>
          <w:lang w:val="id-ID"/>
        </w:rPr>
        <w:t>performance</w:t>
      </w:r>
      <w:r w:rsidR="00A954D0">
        <w:rPr>
          <w:rFonts w:ascii="Bookman Old Style" w:hAnsi="Bookman Old Style" w:cs="Gill Sans Light (Arabid)"/>
          <w:i/>
          <w:sz w:val="24"/>
          <w:szCs w:val="24"/>
          <w:lang w:val="id-ID"/>
        </w:rPr>
        <w:t xml:space="preserve"> </w:t>
      </w:r>
      <w:r w:rsidRPr="00AC321A">
        <w:rPr>
          <w:rFonts w:ascii="Bookman Old Style" w:hAnsi="Bookman Old Style" w:cs="Gill Sans Light (Arabid)"/>
          <w:i/>
          <w:sz w:val="24"/>
          <w:szCs w:val="24"/>
          <w:lang w:val="id-ID"/>
        </w:rPr>
        <w:t>based)</w:t>
      </w:r>
      <w:r w:rsidRPr="00AC321A">
        <w:rPr>
          <w:rFonts w:ascii="Bookman Old Style" w:hAnsi="Bookman Old Style" w:cs="Gill Sans Light (Arabid)"/>
          <w:sz w:val="24"/>
          <w:szCs w:val="24"/>
          <w:lang w:val="en-US"/>
        </w:rPr>
        <w:t>,</w:t>
      </w:r>
      <w:r w:rsidR="00A954D0">
        <w:rPr>
          <w:rFonts w:ascii="Bookman Old Style" w:hAnsi="Bookman Old Style" w:cs="Gill Sans Light (Arabid)"/>
          <w:sz w:val="24"/>
          <w:szCs w:val="24"/>
          <w:lang w:val="en-US"/>
        </w:rPr>
        <w:t xml:space="preserve"> </w:t>
      </w:r>
      <w:r w:rsidRPr="00AC321A">
        <w:rPr>
          <w:rFonts w:ascii="Bookman Old Style" w:hAnsi="Bookman Old Style" w:cs="Gill Sans Light (Arabid)"/>
          <w:sz w:val="24"/>
          <w:szCs w:val="24"/>
          <w:lang w:val="id-ID"/>
        </w:rPr>
        <w:t>harus</w:t>
      </w:r>
      <w:r w:rsidR="00A954D0">
        <w:rPr>
          <w:rFonts w:ascii="Bookman Old Style" w:hAnsi="Bookman Old Style" w:cs="Gill Sans Light (Arabid)"/>
          <w:sz w:val="24"/>
          <w:szCs w:val="24"/>
          <w:lang w:val="id-ID"/>
        </w:rPr>
        <w:t xml:space="preserve"> </w:t>
      </w:r>
      <w:r w:rsidRPr="00AC321A">
        <w:rPr>
          <w:rFonts w:ascii="Bookman Old Style" w:hAnsi="Bookman Old Style" w:cs="Gill Sans Light (Arabid)"/>
          <w:sz w:val="24"/>
          <w:szCs w:val="24"/>
          <w:lang w:val="en-US"/>
        </w:rPr>
        <w:t>di</w:t>
      </w:r>
      <w:r w:rsidRPr="00AC321A">
        <w:rPr>
          <w:rFonts w:ascii="Bookman Old Style" w:hAnsi="Bookman Old Style" w:cs="Gill Sans Light (Arabid)"/>
          <w:sz w:val="24"/>
          <w:szCs w:val="24"/>
          <w:lang w:val="id-ID"/>
        </w:rPr>
        <w:t>lakukan</w:t>
      </w:r>
      <w:r w:rsidR="00A954D0">
        <w:rPr>
          <w:rFonts w:ascii="Bookman Old Style" w:hAnsi="Bookman Old Style" w:cs="Gill Sans Light (Arabid)"/>
          <w:sz w:val="24"/>
          <w:szCs w:val="24"/>
          <w:lang w:val="id-ID"/>
        </w:rPr>
        <w:t xml:space="preserve"> </w:t>
      </w:r>
      <w:r w:rsidRPr="00AC321A">
        <w:rPr>
          <w:rFonts w:ascii="Bookman Old Style" w:hAnsi="Bookman Old Style" w:cs="Gill Sans Light (Arabid)"/>
          <w:sz w:val="24"/>
          <w:szCs w:val="24"/>
          <w:lang w:val="id-ID"/>
        </w:rPr>
        <w:t>antara</w:t>
      </w:r>
      <w:r w:rsidR="00A954D0">
        <w:rPr>
          <w:rFonts w:ascii="Bookman Old Style" w:hAnsi="Bookman Old Style" w:cs="Gill Sans Light (Arabid)"/>
          <w:sz w:val="24"/>
          <w:szCs w:val="24"/>
          <w:lang w:val="id-ID"/>
        </w:rPr>
        <w:t xml:space="preserve"> </w:t>
      </w:r>
      <w:r w:rsidRPr="00AC321A">
        <w:rPr>
          <w:rFonts w:ascii="Bookman Old Style" w:hAnsi="Bookman Old Style" w:cs="Gill Sans Light (Arabid)"/>
          <w:sz w:val="24"/>
          <w:szCs w:val="24"/>
          <w:lang w:val="id-ID"/>
        </w:rPr>
        <w:t>lain</w:t>
      </w:r>
      <w:r w:rsidR="00A954D0">
        <w:rPr>
          <w:rFonts w:ascii="Bookman Old Style" w:hAnsi="Bookman Old Style" w:cs="Gill Sans Light (Arabid)"/>
          <w:sz w:val="24"/>
          <w:szCs w:val="24"/>
          <w:lang w:val="id-ID"/>
        </w:rPr>
        <w:t xml:space="preserve"> </w:t>
      </w:r>
      <w:r w:rsidRPr="00AC321A">
        <w:rPr>
          <w:rFonts w:ascii="Bookman Old Style" w:hAnsi="Bookman Old Style" w:cs="Gill Sans Light (Arabid)"/>
          <w:sz w:val="24"/>
          <w:szCs w:val="24"/>
          <w:lang w:val="id-ID"/>
        </w:rPr>
        <w:t>langka</w:t>
      </w:r>
      <w:r w:rsidRPr="00AC321A">
        <w:rPr>
          <w:rFonts w:ascii="Bookman Old Style" w:hAnsi="Bookman Old Style" w:cs="Gill Sans Light (Arabid)"/>
          <w:sz w:val="24"/>
          <w:szCs w:val="24"/>
        </w:rPr>
        <w:t>h</w:t>
      </w:r>
      <w:r w:rsidRPr="00AC321A">
        <w:rPr>
          <w:rFonts w:ascii="Bookman Old Style" w:hAnsi="Bookman Old Style" w:cs="Gill Sans Light (Arabid)"/>
          <w:sz w:val="24"/>
          <w:szCs w:val="24"/>
          <w:lang w:val="id-ID"/>
        </w:rPr>
        <w:t>-langkah</w:t>
      </w:r>
      <w:r w:rsidR="00A954D0">
        <w:rPr>
          <w:rFonts w:ascii="Bookman Old Style" w:hAnsi="Bookman Old Style" w:cs="Gill Sans Light (Arabid)"/>
          <w:sz w:val="24"/>
          <w:szCs w:val="24"/>
        </w:rPr>
        <w:t xml:space="preserve"> </w:t>
      </w:r>
      <w:r w:rsidRPr="00AC321A">
        <w:rPr>
          <w:rFonts w:ascii="Bookman Old Style" w:hAnsi="Bookman Old Style" w:cs="Gill Sans Light (Arabid)"/>
          <w:sz w:val="24"/>
          <w:szCs w:val="24"/>
        </w:rPr>
        <w:t>optimalisasi</w:t>
      </w:r>
      <w:r w:rsidR="00A954D0">
        <w:rPr>
          <w:rFonts w:ascii="Bookman Old Style" w:hAnsi="Bookman Old Style" w:cs="Gill Sans Light (Arabid)"/>
          <w:sz w:val="24"/>
          <w:szCs w:val="24"/>
        </w:rPr>
        <w:t xml:space="preserve"> </w:t>
      </w:r>
      <w:r w:rsidRPr="00AC321A">
        <w:rPr>
          <w:rFonts w:ascii="Bookman Old Style" w:hAnsi="Bookman Old Style" w:cs="Gill Sans Light (Arabid)"/>
          <w:sz w:val="24"/>
          <w:szCs w:val="24"/>
        </w:rPr>
        <w:t>kinerja</w:t>
      </w:r>
      <w:r w:rsidR="00A954D0">
        <w:rPr>
          <w:rFonts w:ascii="Bookman Old Style" w:hAnsi="Bookman Old Style" w:cs="Gill Sans Light (Arabid)"/>
          <w:sz w:val="24"/>
          <w:szCs w:val="24"/>
          <w:lang w:val="en-US"/>
        </w:rPr>
        <w:t xml:space="preserve"> </w:t>
      </w:r>
      <w:r w:rsidRPr="00AC321A">
        <w:rPr>
          <w:rFonts w:ascii="Bookman Old Style" w:hAnsi="Bookman Old Style" w:cs="Gill Sans Light (Arabid)"/>
          <w:sz w:val="24"/>
          <w:szCs w:val="24"/>
          <w:lang w:val="id-ID"/>
        </w:rPr>
        <w:t>sesuai</w:t>
      </w:r>
      <w:r w:rsidR="00A954D0">
        <w:rPr>
          <w:rFonts w:ascii="Bookman Old Style" w:hAnsi="Bookman Old Style" w:cs="Gill Sans Light (Arabid)"/>
          <w:sz w:val="24"/>
          <w:szCs w:val="24"/>
          <w:lang w:val="id-ID"/>
        </w:rPr>
        <w:t xml:space="preserve"> </w:t>
      </w:r>
      <w:r w:rsidRPr="00AC321A">
        <w:rPr>
          <w:rFonts w:ascii="Bookman Old Style" w:hAnsi="Bookman Old Style" w:cs="Gill Sans Light (Arabid)"/>
          <w:sz w:val="24"/>
          <w:szCs w:val="24"/>
          <w:lang w:val="en-US"/>
        </w:rPr>
        <w:t>dengan</w:t>
      </w:r>
      <w:r w:rsidR="00A954D0">
        <w:rPr>
          <w:rFonts w:ascii="Bookman Old Style" w:hAnsi="Bookman Old Style" w:cs="Gill Sans Light (Arabid)"/>
          <w:sz w:val="24"/>
          <w:szCs w:val="24"/>
          <w:lang w:val="en-US"/>
        </w:rPr>
        <w:t xml:space="preserve"> </w:t>
      </w:r>
      <w:r w:rsidRPr="00AC321A">
        <w:rPr>
          <w:rFonts w:ascii="Bookman Old Style" w:hAnsi="Bookman Old Style" w:cs="Gill Sans Light (Arabid)"/>
          <w:sz w:val="24"/>
          <w:szCs w:val="24"/>
          <w:lang w:val="id-ID"/>
        </w:rPr>
        <w:t>ketentuan</w:t>
      </w:r>
      <w:r w:rsidR="00A954D0">
        <w:rPr>
          <w:rFonts w:ascii="Bookman Old Style" w:hAnsi="Bookman Old Style" w:cs="Gill Sans Light (Arabid)"/>
          <w:sz w:val="24"/>
          <w:szCs w:val="24"/>
          <w:lang w:val="id-ID"/>
        </w:rPr>
        <w:t xml:space="preserve"> </w:t>
      </w:r>
      <w:r w:rsidRPr="00AC321A">
        <w:rPr>
          <w:rFonts w:ascii="Bookman Old Style" w:hAnsi="Bookman Old Style" w:cs="Gill Sans Light (Arabid)"/>
          <w:sz w:val="24"/>
          <w:szCs w:val="24"/>
        </w:rPr>
        <w:t>peraturan</w:t>
      </w:r>
      <w:r w:rsidR="00A954D0">
        <w:rPr>
          <w:rFonts w:ascii="Bookman Old Style" w:hAnsi="Bookman Old Style" w:cs="Gill Sans Light (Arabid)"/>
          <w:sz w:val="24"/>
          <w:szCs w:val="24"/>
        </w:rPr>
        <w:t xml:space="preserve"> </w:t>
      </w:r>
      <w:r w:rsidRPr="00AC321A">
        <w:rPr>
          <w:rFonts w:ascii="Bookman Old Style" w:hAnsi="Bookman Old Style" w:cs="Gill Sans Light (Arabid)"/>
          <w:sz w:val="24"/>
          <w:szCs w:val="24"/>
          <w:lang w:val="id-ID"/>
        </w:rPr>
        <w:t>perundang</w:t>
      </w:r>
      <w:r w:rsidRPr="00AC321A">
        <w:rPr>
          <w:rFonts w:ascii="Bookman Old Style" w:hAnsi="Bookman Old Style" w:cs="Gill Sans Light (Arabid)"/>
          <w:sz w:val="24"/>
          <w:szCs w:val="24"/>
        </w:rPr>
        <w:t>-undangan</w:t>
      </w:r>
      <w:r w:rsidRPr="00AC321A">
        <w:rPr>
          <w:rFonts w:ascii="Bookman Old Style" w:hAnsi="Bookman Old Style" w:cs="Gill Sans Light (Arabid)"/>
          <w:sz w:val="24"/>
          <w:szCs w:val="24"/>
          <w:lang w:val="id-ID"/>
        </w:rPr>
        <w:t>,</w:t>
      </w:r>
      <w:r w:rsidR="00A954D0">
        <w:rPr>
          <w:rFonts w:ascii="Bookman Old Style" w:hAnsi="Bookman Old Style" w:cs="Gill Sans Light (Arabid)"/>
          <w:sz w:val="24"/>
          <w:szCs w:val="24"/>
          <w:lang w:val="id-ID"/>
        </w:rPr>
        <w:t xml:space="preserve"> </w:t>
      </w:r>
      <w:r w:rsidRPr="00AC321A">
        <w:rPr>
          <w:rFonts w:ascii="Bookman Old Style" w:hAnsi="Bookman Old Style" w:cs="Gill Sans Light (Arabid)"/>
          <w:sz w:val="24"/>
          <w:szCs w:val="24"/>
        </w:rPr>
        <w:t>mengingat</w:t>
      </w:r>
      <w:r w:rsidR="00A954D0">
        <w:rPr>
          <w:rFonts w:ascii="Bookman Old Style" w:hAnsi="Bookman Old Style" w:cs="Gill Sans Light (Arabid)"/>
          <w:sz w:val="24"/>
          <w:szCs w:val="24"/>
        </w:rPr>
        <w:t xml:space="preserve"> </w:t>
      </w:r>
      <w:r w:rsidRPr="00AC321A">
        <w:rPr>
          <w:rFonts w:ascii="Bookman Old Style" w:hAnsi="Bookman Old Style" w:cs="Gill Sans Light (Arabid)"/>
          <w:sz w:val="24"/>
          <w:szCs w:val="24"/>
          <w:lang w:val="id-ID"/>
        </w:rPr>
        <w:t>seluruh/sebagian</w:t>
      </w:r>
      <w:r w:rsidR="00A954D0">
        <w:rPr>
          <w:rFonts w:ascii="Bookman Old Style" w:hAnsi="Bookman Old Style" w:cs="Gill Sans Light (Arabid)"/>
          <w:sz w:val="24"/>
          <w:szCs w:val="24"/>
          <w:lang w:val="id-ID"/>
        </w:rPr>
        <w:t xml:space="preserve"> </w:t>
      </w:r>
      <w:r w:rsidRPr="00AC321A">
        <w:rPr>
          <w:rFonts w:ascii="Bookman Old Style" w:hAnsi="Bookman Old Style" w:cs="Gill Sans Light (Arabid)"/>
          <w:sz w:val="24"/>
          <w:szCs w:val="24"/>
          <w:lang w:val="id-ID"/>
        </w:rPr>
        <w:t>aset</w:t>
      </w:r>
      <w:r w:rsidR="00A954D0">
        <w:rPr>
          <w:rFonts w:ascii="Bookman Old Style" w:hAnsi="Bookman Old Style" w:cs="Gill Sans Light (Arabid)"/>
          <w:sz w:val="24"/>
          <w:szCs w:val="24"/>
          <w:lang w:val="id-ID"/>
        </w:rPr>
        <w:t xml:space="preserve"> </w:t>
      </w:r>
      <w:r w:rsidRPr="00AC321A">
        <w:rPr>
          <w:rFonts w:ascii="Bookman Old Style" w:hAnsi="Bookman Old Style" w:cs="Gill Sans Light (Arabid)"/>
          <w:sz w:val="24"/>
          <w:szCs w:val="24"/>
          <w:lang w:val="id-ID"/>
        </w:rPr>
        <w:t>dan</w:t>
      </w:r>
      <w:r w:rsidR="00A954D0">
        <w:rPr>
          <w:rFonts w:ascii="Bookman Old Style" w:hAnsi="Bookman Old Style" w:cs="Gill Sans Light (Arabid)"/>
          <w:sz w:val="24"/>
          <w:szCs w:val="24"/>
          <w:lang w:val="id-ID"/>
        </w:rPr>
        <w:t xml:space="preserve"> </w:t>
      </w:r>
      <w:r w:rsidRPr="00AC321A">
        <w:rPr>
          <w:rFonts w:ascii="Bookman Old Style" w:hAnsi="Bookman Old Style" w:cs="Gill Sans Light (Arabid)"/>
          <w:sz w:val="24"/>
          <w:szCs w:val="24"/>
          <w:lang w:val="id-ID"/>
        </w:rPr>
        <w:t>kekayaan</w:t>
      </w:r>
      <w:r w:rsidR="00A954D0">
        <w:rPr>
          <w:rFonts w:ascii="Bookman Old Style" w:hAnsi="Bookman Old Style" w:cs="Gill Sans Light (Arabid)"/>
          <w:sz w:val="24"/>
          <w:szCs w:val="24"/>
          <w:lang w:val="id-ID"/>
        </w:rPr>
        <w:t xml:space="preserve"> </w:t>
      </w:r>
      <w:r w:rsidRPr="00AC321A">
        <w:rPr>
          <w:rFonts w:ascii="Bookman Old Style" w:hAnsi="Bookman Old Style" w:cs="Gill Sans Light (Arabid)"/>
          <w:sz w:val="24"/>
          <w:szCs w:val="24"/>
          <w:lang w:val="id-ID"/>
        </w:rPr>
        <w:t>perusahaan</w:t>
      </w:r>
      <w:r w:rsidR="00A954D0">
        <w:rPr>
          <w:rFonts w:ascii="Bookman Old Style" w:hAnsi="Bookman Old Style" w:cs="Gill Sans Light (Arabid)"/>
          <w:sz w:val="24"/>
          <w:szCs w:val="24"/>
          <w:lang w:val="id-ID"/>
        </w:rPr>
        <w:t xml:space="preserve"> </w:t>
      </w:r>
      <w:r w:rsidRPr="00AC321A">
        <w:rPr>
          <w:rFonts w:ascii="Bookman Old Style" w:hAnsi="Bookman Old Style" w:cs="Gill Sans Light (Arabid)"/>
          <w:sz w:val="24"/>
          <w:szCs w:val="24"/>
          <w:lang w:val="id-ID"/>
        </w:rPr>
        <w:t>dimaksud</w:t>
      </w:r>
      <w:r w:rsidR="00A954D0">
        <w:rPr>
          <w:rFonts w:ascii="Bookman Old Style" w:hAnsi="Bookman Old Style" w:cs="Gill Sans Light (Arabid)"/>
          <w:sz w:val="24"/>
          <w:szCs w:val="24"/>
          <w:lang w:val="id-ID"/>
        </w:rPr>
        <w:t xml:space="preserve"> </w:t>
      </w:r>
      <w:r w:rsidRPr="00AC321A">
        <w:rPr>
          <w:rFonts w:ascii="Bookman Old Style" w:hAnsi="Bookman Old Style" w:cs="Gill Sans Light (Arabid)"/>
          <w:sz w:val="24"/>
          <w:szCs w:val="24"/>
        </w:rPr>
        <w:t>tetap</w:t>
      </w:r>
      <w:r w:rsidR="00A954D0">
        <w:rPr>
          <w:rFonts w:ascii="Bookman Old Style" w:hAnsi="Bookman Old Style" w:cs="Gill Sans Light (Arabid)"/>
          <w:sz w:val="24"/>
          <w:szCs w:val="24"/>
        </w:rPr>
        <w:t xml:space="preserve"> </w:t>
      </w:r>
      <w:r w:rsidRPr="00AC321A">
        <w:rPr>
          <w:rFonts w:ascii="Bookman Old Style" w:hAnsi="Bookman Old Style" w:cs="Gill Sans Light (Arabid)"/>
          <w:sz w:val="24"/>
          <w:szCs w:val="24"/>
          <w:lang w:val="id-ID"/>
        </w:rPr>
        <w:t>merupakan</w:t>
      </w:r>
      <w:r w:rsidR="00A954D0">
        <w:rPr>
          <w:rFonts w:ascii="Bookman Old Style" w:hAnsi="Bookman Old Style" w:cs="Gill Sans Light (Arabid)"/>
          <w:sz w:val="24"/>
          <w:szCs w:val="24"/>
          <w:lang w:val="id-ID"/>
        </w:rPr>
        <w:t xml:space="preserve"> </w:t>
      </w:r>
      <w:r w:rsidRPr="00AC321A">
        <w:rPr>
          <w:rFonts w:ascii="Bookman Old Style" w:hAnsi="Bookman Old Style" w:cs="Gill Sans Light (Arabid)"/>
          <w:sz w:val="24"/>
          <w:szCs w:val="24"/>
          <w:lang w:val="id-ID"/>
        </w:rPr>
        <w:t>kekayaan</w:t>
      </w:r>
      <w:r w:rsidR="00A954D0">
        <w:rPr>
          <w:rFonts w:ascii="Bookman Old Style" w:hAnsi="Bookman Old Style" w:cs="Gill Sans Light (Arabid)"/>
          <w:sz w:val="24"/>
          <w:szCs w:val="24"/>
          <w:lang w:val="id-ID"/>
        </w:rPr>
        <w:t xml:space="preserve"> </w:t>
      </w:r>
      <w:r w:rsidRPr="00AC321A">
        <w:rPr>
          <w:rFonts w:ascii="Bookman Old Style" w:hAnsi="Bookman Old Style" w:cs="Gill Sans Light (Arabid)"/>
          <w:sz w:val="24"/>
          <w:szCs w:val="24"/>
          <w:lang w:val="id-ID"/>
        </w:rPr>
        <w:t>Pemerintah</w:t>
      </w:r>
      <w:r w:rsidR="00A954D0">
        <w:rPr>
          <w:rFonts w:ascii="Bookman Old Style" w:hAnsi="Bookman Old Style" w:cs="Gill Sans Light (Arabid)"/>
          <w:sz w:val="24"/>
          <w:szCs w:val="24"/>
          <w:lang w:val="id-ID"/>
        </w:rPr>
        <w:t xml:space="preserve"> </w:t>
      </w:r>
      <w:r w:rsidRPr="00AC321A">
        <w:rPr>
          <w:rFonts w:ascii="Bookman Old Style" w:hAnsi="Bookman Old Style" w:cs="Gill Sans Light (Arabid)"/>
          <w:sz w:val="24"/>
          <w:szCs w:val="24"/>
          <w:lang w:val="en-US"/>
        </w:rPr>
        <w:t>Daerah</w:t>
      </w:r>
      <w:r w:rsidR="00A954D0">
        <w:rPr>
          <w:rFonts w:ascii="Bookman Old Style" w:hAnsi="Bookman Old Style" w:cs="Gill Sans Light (Arabid)"/>
          <w:sz w:val="24"/>
          <w:szCs w:val="24"/>
          <w:lang w:val="en-US"/>
        </w:rPr>
        <w:t xml:space="preserve"> </w:t>
      </w:r>
      <w:r w:rsidR="00B055C5" w:rsidRPr="00AC321A">
        <w:rPr>
          <w:rFonts w:ascii="Bookman Old Style" w:hAnsi="Bookman Old Style"/>
          <w:sz w:val="24"/>
          <w:szCs w:val="24"/>
          <w:lang w:val="fi-FI"/>
        </w:rPr>
        <w:t>Kota</w:t>
      </w:r>
      <w:r w:rsidR="00A954D0">
        <w:rPr>
          <w:rFonts w:ascii="Bookman Old Style" w:hAnsi="Bookman Old Style"/>
          <w:sz w:val="24"/>
          <w:szCs w:val="24"/>
          <w:lang w:val="fi-FI"/>
        </w:rPr>
        <w:t xml:space="preserve"> </w:t>
      </w:r>
      <w:r w:rsidR="00770F22" w:rsidRPr="00AC321A">
        <w:rPr>
          <w:rFonts w:ascii="Bookman Old Style" w:hAnsi="Bookman Old Style"/>
          <w:sz w:val="24"/>
          <w:szCs w:val="24"/>
          <w:lang w:val="fi-FI"/>
        </w:rPr>
        <w:t>Tangerang</w:t>
      </w:r>
      <w:r w:rsidR="00A954D0">
        <w:rPr>
          <w:rFonts w:ascii="Bookman Old Style" w:hAnsi="Bookman Old Style"/>
          <w:sz w:val="24"/>
          <w:szCs w:val="24"/>
          <w:lang w:val="fi-FI"/>
        </w:rPr>
        <w:t xml:space="preserve"> </w:t>
      </w:r>
      <w:r w:rsidRPr="00AC321A">
        <w:rPr>
          <w:rFonts w:ascii="Bookman Old Style" w:hAnsi="Bookman Old Style" w:cs="Gill Sans Light (Arabid)"/>
          <w:sz w:val="24"/>
          <w:szCs w:val="24"/>
        </w:rPr>
        <w:t>yang</w:t>
      </w:r>
      <w:r w:rsidR="00A954D0">
        <w:rPr>
          <w:rFonts w:ascii="Bookman Old Style" w:hAnsi="Bookman Old Style" w:cs="Gill Sans Light (Arabid)"/>
          <w:sz w:val="24"/>
          <w:szCs w:val="24"/>
        </w:rPr>
        <w:t xml:space="preserve"> </w:t>
      </w:r>
      <w:r w:rsidRPr="00AC321A">
        <w:rPr>
          <w:rFonts w:ascii="Bookman Old Style" w:hAnsi="Bookman Old Style" w:cs="Gill Sans Light (Arabid)"/>
          <w:sz w:val="24"/>
          <w:szCs w:val="24"/>
          <w:lang w:val="id-ID"/>
        </w:rPr>
        <w:t>tercatat</w:t>
      </w:r>
      <w:r w:rsidR="00A954D0">
        <w:rPr>
          <w:rFonts w:ascii="Bookman Old Style" w:hAnsi="Bookman Old Style" w:cs="Gill Sans Light (Arabid)"/>
          <w:sz w:val="24"/>
          <w:szCs w:val="24"/>
          <w:lang w:val="id-ID"/>
        </w:rPr>
        <w:t xml:space="preserve"> </w:t>
      </w:r>
      <w:r w:rsidRPr="00AC321A">
        <w:rPr>
          <w:rFonts w:ascii="Bookman Old Style" w:hAnsi="Bookman Old Style" w:cs="Gill Sans Light (Arabid)"/>
          <w:sz w:val="24"/>
          <w:szCs w:val="24"/>
        </w:rPr>
        <w:t>dalam</w:t>
      </w:r>
      <w:r w:rsidR="00A954D0">
        <w:rPr>
          <w:rFonts w:ascii="Bookman Old Style" w:hAnsi="Bookman Old Style" w:cs="Gill Sans Light (Arabid)"/>
          <w:sz w:val="24"/>
          <w:szCs w:val="24"/>
        </w:rPr>
        <w:t xml:space="preserve"> </w:t>
      </w:r>
      <w:r w:rsidRPr="00AC321A">
        <w:rPr>
          <w:rFonts w:ascii="Bookman Old Style" w:hAnsi="Bookman Old Style" w:cs="Gill Sans Light (Arabid)"/>
          <w:sz w:val="24"/>
          <w:szCs w:val="24"/>
        </w:rPr>
        <w:t>ikhtisar</w:t>
      </w:r>
      <w:r w:rsidR="00A954D0">
        <w:rPr>
          <w:rFonts w:ascii="Bookman Old Style" w:hAnsi="Bookman Old Style" w:cs="Gill Sans Light (Arabid)"/>
          <w:sz w:val="24"/>
          <w:szCs w:val="24"/>
        </w:rPr>
        <w:t xml:space="preserve"> </w:t>
      </w:r>
      <w:r w:rsidRPr="00AC321A">
        <w:rPr>
          <w:rFonts w:ascii="Bookman Old Style" w:hAnsi="Bookman Old Style" w:cs="Gill Sans Light (Arabid)"/>
          <w:sz w:val="24"/>
          <w:szCs w:val="24"/>
        </w:rPr>
        <w:t>laporan</w:t>
      </w:r>
      <w:r w:rsidR="00A954D0">
        <w:rPr>
          <w:rFonts w:ascii="Bookman Old Style" w:hAnsi="Bookman Old Style" w:cs="Gill Sans Light (Arabid)"/>
          <w:sz w:val="24"/>
          <w:szCs w:val="24"/>
        </w:rPr>
        <w:t xml:space="preserve"> </w:t>
      </w:r>
      <w:r w:rsidRPr="00AC321A">
        <w:rPr>
          <w:rFonts w:ascii="Bookman Old Style" w:hAnsi="Bookman Old Style" w:cs="Gill Sans Light (Arabid)"/>
          <w:sz w:val="24"/>
          <w:szCs w:val="24"/>
        </w:rPr>
        <w:t>keuangan</w:t>
      </w:r>
      <w:r w:rsidR="00A954D0">
        <w:rPr>
          <w:rFonts w:ascii="Bookman Old Style" w:hAnsi="Bookman Old Style" w:cs="Gill Sans Light (Arabid)"/>
          <w:sz w:val="24"/>
          <w:szCs w:val="24"/>
        </w:rPr>
        <w:t xml:space="preserve"> </w:t>
      </w:r>
      <w:r w:rsidRPr="00AC321A">
        <w:rPr>
          <w:rFonts w:ascii="Bookman Old Style" w:hAnsi="Bookman Old Style" w:cs="Gill Sans Light (Arabid)"/>
          <w:sz w:val="24"/>
          <w:szCs w:val="24"/>
        </w:rPr>
        <w:t>perusahaan</w:t>
      </w:r>
      <w:r w:rsidR="00A954D0">
        <w:rPr>
          <w:rFonts w:ascii="Bookman Old Style" w:hAnsi="Bookman Old Style" w:cs="Gill Sans Light (Arabid)"/>
          <w:sz w:val="24"/>
          <w:szCs w:val="24"/>
        </w:rPr>
        <w:t xml:space="preserve"> </w:t>
      </w:r>
      <w:r w:rsidRPr="00AC321A">
        <w:rPr>
          <w:rFonts w:ascii="Bookman Old Style" w:hAnsi="Bookman Old Style" w:cs="Gill Sans Light (Arabid)"/>
          <w:sz w:val="24"/>
          <w:szCs w:val="24"/>
        </w:rPr>
        <w:t>dimaksud</w:t>
      </w:r>
      <w:r w:rsidR="00A954D0">
        <w:rPr>
          <w:rFonts w:ascii="Bookman Old Style" w:hAnsi="Bookman Old Style" w:cs="Gill Sans Light (Arabid)"/>
          <w:sz w:val="24"/>
          <w:szCs w:val="24"/>
        </w:rPr>
        <w:t xml:space="preserve"> </w:t>
      </w:r>
      <w:r w:rsidRPr="00AC321A">
        <w:rPr>
          <w:rFonts w:ascii="Bookman Old Style" w:hAnsi="Bookman Old Style" w:cs="Gill Sans Light (Arabid)"/>
          <w:sz w:val="24"/>
          <w:szCs w:val="24"/>
        </w:rPr>
        <w:t>sebagai</w:t>
      </w:r>
      <w:r w:rsidR="00A954D0">
        <w:rPr>
          <w:rFonts w:ascii="Bookman Old Style" w:hAnsi="Bookman Old Style" w:cs="Gill Sans Light (Arabid)"/>
          <w:sz w:val="24"/>
          <w:szCs w:val="24"/>
        </w:rPr>
        <w:t xml:space="preserve"> </w:t>
      </w:r>
      <w:r w:rsidRPr="00AC321A">
        <w:rPr>
          <w:rFonts w:ascii="Bookman Old Style" w:hAnsi="Bookman Old Style" w:cs="Gill Sans Light (Arabid)"/>
          <w:sz w:val="24"/>
          <w:szCs w:val="24"/>
        </w:rPr>
        <w:t>salah</w:t>
      </w:r>
      <w:r w:rsidR="00A954D0">
        <w:rPr>
          <w:rFonts w:ascii="Bookman Old Style" w:hAnsi="Bookman Old Style" w:cs="Gill Sans Light (Arabid)"/>
          <w:sz w:val="24"/>
          <w:szCs w:val="24"/>
        </w:rPr>
        <w:t xml:space="preserve"> </w:t>
      </w:r>
      <w:r w:rsidRPr="00AC321A">
        <w:rPr>
          <w:rFonts w:ascii="Bookman Old Style" w:hAnsi="Bookman Old Style" w:cs="Gill Sans Light (Arabid)"/>
          <w:sz w:val="24"/>
          <w:szCs w:val="24"/>
        </w:rPr>
        <w:t>satu</w:t>
      </w:r>
      <w:r w:rsidR="00A954D0">
        <w:rPr>
          <w:rFonts w:ascii="Bookman Old Style" w:hAnsi="Bookman Old Style" w:cs="Gill Sans Light (Arabid)"/>
          <w:sz w:val="24"/>
          <w:szCs w:val="24"/>
        </w:rPr>
        <w:t xml:space="preserve"> </w:t>
      </w:r>
      <w:r w:rsidRPr="00AC321A">
        <w:rPr>
          <w:rFonts w:ascii="Bookman Old Style" w:hAnsi="Bookman Old Style" w:cs="Gill Sans Light (Arabid)"/>
          <w:sz w:val="24"/>
          <w:szCs w:val="24"/>
        </w:rPr>
        <w:t>lampiran</w:t>
      </w:r>
      <w:r w:rsidR="00A954D0">
        <w:rPr>
          <w:rFonts w:ascii="Bookman Old Style" w:hAnsi="Bookman Old Style" w:cs="Gill Sans Light (Arabid)"/>
          <w:sz w:val="24"/>
          <w:szCs w:val="24"/>
        </w:rPr>
        <w:t xml:space="preserve"> </w:t>
      </w:r>
      <w:r w:rsidRPr="00AC321A">
        <w:rPr>
          <w:rFonts w:ascii="Bookman Old Style" w:hAnsi="Bookman Old Style" w:cs="Gill Sans Light (Arabid)"/>
          <w:sz w:val="24"/>
          <w:szCs w:val="24"/>
          <w:lang w:val="id-ID"/>
        </w:rPr>
        <w:t>Laporan</w:t>
      </w:r>
      <w:r w:rsidR="00A954D0">
        <w:rPr>
          <w:rFonts w:ascii="Bookman Old Style" w:hAnsi="Bookman Old Style" w:cs="Gill Sans Light (Arabid)"/>
          <w:sz w:val="24"/>
          <w:szCs w:val="24"/>
          <w:lang w:val="id-ID"/>
        </w:rPr>
        <w:t xml:space="preserve"> </w:t>
      </w:r>
      <w:r w:rsidRPr="00AC321A">
        <w:rPr>
          <w:rFonts w:ascii="Bookman Old Style" w:hAnsi="Bookman Old Style" w:cs="Gill Sans Light (Arabid)"/>
          <w:sz w:val="24"/>
          <w:szCs w:val="24"/>
          <w:lang w:val="id-ID"/>
        </w:rPr>
        <w:t>Keuangan</w:t>
      </w:r>
      <w:r w:rsidR="00A954D0">
        <w:rPr>
          <w:rFonts w:ascii="Bookman Old Style" w:hAnsi="Bookman Old Style" w:cs="Gill Sans Light (Arabid)"/>
          <w:sz w:val="24"/>
          <w:szCs w:val="24"/>
          <w:lang w:val="id-ID"/>
        </w:rPr>
        <w:t xml:space="preserve"> </w:t>
      </w:r>
      <w:r w:rsidRPr="00AC321A">
        <w:rPr>
          <w:rFonts w:ascii="Bookman Old Style" w:hAnsi="Bookman Old Style" w:cs="Gill Sans Light (Arabid)"/>
          <w:sz w:val="24"/>
          <w:szCs w:val="24"/>
          <w:lang w:val="id-ID"/>
        </w:rPr>
        <w:t>Pemerintah</w:t>
      </w:r>
      <w:r w:rsidR="00A954D0">
        <w:rPr>
          <w:rFonts w:ascii="Bookman Old Style" w:hAnsi="Bookman Old Style" w:cs="Gill Sans Light (Arabid)"/>
          <w:sz w:val="24"/>
          <w:szCs w:val="24"/>
          <w:lang w:val="en-US"/>
        </w:rPr>
        <w:t xml:space="preserve"> </w:t>
      </w:r>
      <w:r w:rsidRPr="00AC321A">
        <w:rPr>
          <w:rFonts w:ascii="Bookman Old Style" w:hAnsi="Bookman Old Style" w:cs="Gill Sans Light (Arabid)"/>
          <w:sz w:val="24"/>
          <w:szCs w:val="24"/>
          <w:lang w:val="en-US"/>
        </w:rPr>
        <w:t>Daerah</w:t>
      </w:r>
      <w:r w:rsidR="00A954D0">
        <w:rPr>
          <w:rFonts w:ascii="Bookman Old Style" w:hAnsi="Bookman Old Style" w:cs="Arial"/>
          <w:sz w:val="24"/>
          <w:szCs w:val="24"/>
          <w:lang w:val="id-ID"/>
        </w:rPr>
        <w:t xml:space="preserve"> </w:t>
      </w:r>
      <w:r w:rsidR="00046408" w:rsidRPr="00AC321A">
        <w:rPr>
          <w:rFonts w:ascii="Bookman Old Style" w:hAnsi="Bookman Old Style"/>
          <w:sz w:val="24"/>
          <w:szCs w:val="24"/>
          <w:lang w:val="fi-FI"/>
        </w:rPr>
        <w:t>Kota</w:t>
      </w:r>
      <w:r w:rsidR="00A954D0">
        <w:rPr>
          <w:rFonts w:ascii="Bookman Old Style" w:hAnsi="Bookman Old Style"/>
          <w:sz w:val="24"/>
          <w:szCs w:val="24"/>
          <w:lang w:val="fi-FI"/>
        </w:rPr>
        <w:t xml:space="preserve"> </w:t>
      </w:r>
      <w:r w:rsidR="00770F22" w:rsidRPr="00AC321A">
        <w:rPr>
          <w:rFonts w:ascii="Bookman Old Style" w:hAnsi="Bookman Old Style"/>
          <w:sz w:val="24"/>
          <w:szCs w:val="24"/>
          <w:lang w:val="fi-FI"/>
        </w:rPr>
        <w:t>Tangerang</w:t>
      </w:r>
      <w:r w:rsidR="00AC2DB6">
        <w:rPr>
          <w:rFonts w:ascii="Bookman Old Style" w:hAnsi="Bookman Old Style"/>
          <w:sz w:val="24"/>
          <w:szCs w:val="24"/>
          <w:lang w:val="fi-FI"/>
        </w:rPr>
        <w:t>.</w:t>
      </w:r>
      <w:r w:rsidR="00A954D0">
        <w:rPr>
          <w:rFonts w:ascii="Bookman Old Style" w:hAnsi="Bookman Old Style"/>
          <w:sz w:val="24"/>
          <w:szCs w:val="24"/>
          <w:lang w:val="fi-FI"/>
        </w:rPr>
        <w:t xml:space="preserve"> </w:t>
      </w:r>
    </w:p>
    <w:p w14:paraId="70DB82E3" w14:textId="2E809039" w:rsidR="00D1236C" w:rsidRPr="00AC321A" w:rsidRDefault="00D1236C" w:rsidP="00861E03">
      <w:pPr>
        <w:pStyle w:val="ListParagraph"/>
        <w:numPr>
          <w:ilvl w:val="0"/>
          <w:numId w:val="116"/>
        </w:numPr>
        <w:spacing w:before="60" w:after="0" w:line="276" w:lineRule="auto"/>
        <w:ind w:left="1276" w:hanging="283"/>
        <w:contextualSpacing w:val="0"/>
        <w:jc w:val="both"/>
        <w:rPr>
          <w:rFonts w:ascii="Bookman Old Style" w:hAnsi="Bookman Old Style" w:cs="Arial"/>
          <w:sz w:val="24"/>
          <w:szCs w:val="24"/>
          <w:lang w:val="id-ID"/>
        </w:rPr>
      </w:pPr>
      <w:r w:rsidRPr="00AC321A">
        <w:rPr>
          <w:rFonts w:ascii="Bookman Old Style" w:hAnsi="Bookman Old Style" w:cs="Arial"/>
          <w:sz w:val="24"/>
          <w:szCs w:val="24"/>
          <w:lang w:val="id-ID"/>
        </w:rPr>
        <w:t>M</w:t>
      </w:r>
      <w:r w:rsidRPr="00AC321A">
        <w:rPr>
          <w:rFonts w:ascii="Bookman Old Style" w:hAnsi="Bookman Old Style" w:cs="Arial"/>
          <w:sz w:val="24"/>
          <w:szCs w:val="24"/>
        </w:rPr>
        <w:t>elakukan</w:t>
      </w:r>
      <w:r w:rsidR="00A954D0">
        <w:rPr>
          <w:rFonts w:ascii="Bookman Old Style" w:hAnsi="Bookman Old Style"/>
          <w:sz w:val="24"/>
          <w:szCs w:val="24"/>
          <w:lang w:val="id-ID"/>
        </w:rPr>
        <w:t xml:space="preserve"> </w:t>
      </w:r>
      <w:r w:rsidRPr="00AC321A">
        <w:rPr>
          <w:rFonts w:ascii="Bookman Old Style" w:hAnsi="Bookman Old Style"/>
          <w:sz w:val="24"/>
          <w:szCs w:val="24"/>
          <w:lang w:val="id-ID"/>
        </w:rPr>
        <w:t>r</w:t>
      </w:r>
      <w:r w:rsidRPr="00AC321A">
        <w:rPr>
          <w:rFonts w:ascii="Bookman Old Style" w:hAnsi="Bookman Old Style"/>
          <w:sz w:val="24"/>
          <w:szCs w:val="24"/>
        </w:rPr>
        <w:t>eformasi</w:t>
      </w:r>
      <w:r w:rsidR="00A954D0">
        <w:rPr>
          <w:rFonts w:ascii="Bookman Old Style" w:hAnsi="Bookman Old Style"/>
          <w:sz w:val="24"/>
          <w:szCs w:val="24"/>
        </w:rPr>
        <w:t xml:space="preserve"> </w:t>
      </w:r>
      <w:r w:rsidRPr="00AC321A">
        <w:rPr>
          <w:rFonts w:ascii="Bookman Old Style" w:hAnsi="Bookman Old Style"/>
          <w:sz w:val="24"/>
          <w:szCs w:val="24"/>
        </w:rPr>
        <w:t>kebijakan</w:t>
      </w:r>
      <w:r w:rsidR="00A954D0">
        <w:rPr>
          <w:rFonts w:ascii="Bookman Old Style" w:hAnsi="Bookman Old Style"/>
          <w:sz w:val="24"/>
          <w:szCs w:val="24"/>
        </w:rPr>
        <w:t xml:space="preserve"> </w:t>
      </w:r>
      <w:r w:rsidRPr="00AC321A">
        <w:rPr>
          <w:rFonts w:ascii="Bookman Old Style" w:hAnsi="Bookman Old Style"/>
          <w:sz w:val="24"/>
          <w:szCs w:val="24"/>
        </w:rPr>
        <w:t>di</w:t>
      </w:r>
      <w:r w:rsidR="00A954D0">
        <w:rPr>
          <w:rFonts w:ascii="Bookman Old Style" w:hAnsi="Bookman Old Style"/>
          <w:sz w:val="24"/>
          <w:szCs w:val="24"/>
        </w:rPr>
        <w:t xml:space="preserve"> </w:t>
      </w:r>
      <w:r w:rsidRPr="00AC321A">
        <w:rPr>
          <w:rFonts w:ascii="Bookman Old Style" w:hAnsi="Bookman Old Style"/>
          <w:sz w:val="24"/>
          <w:szCs w:val="24"/>
        </w:rPr>
        <w:t>bidang</w:t>
      </w:r>
      <w:r w:rsidR="00A954D0">
        <w:rPr>
          <w:rFonts w:ascii="Bookman Old Style" w:hAnsi="Bookman Old Style"/>
          <w:sz w:val="24"/>
          <w:szCs w:val="24"/>
        </w:rPr>
        <w:t xml:space="preserve"> </w:t>
      </w:r>
      <w:r w:rsidRPr="00AC321A">
        <w:rPr>
          <w:rFonts w:ascii="Bookman Old Style" w:hAnsi="Bookman Old Style"/>
          <w:sz w:val="24"/>
          <w:szCs w:val="24"/>
        </w:rPr>
        <w:t>pendapatan</w:t>
      </w:r>
      <w:r w:rsidR="00A954D0">
        <w:rPr>
          <w:rFonts w:ascii="Bookman Old Style" w:hAnsi="Bookman Old Style"/>
          <w:sz w:val="24"/>
          <w:szCs w:val="24"/>
        </w:rPr>
        <w:t xml:space="preserve"> </w:t>
      </w:r>
      <w:r w:rsidRPr="00AC321A">
        <w:rPr>
          <w:rFonts w:ascii="Bookman Old Style" w:hAnsi="Bookman Old Style"/>
          <w:sz w:val="24"/>
          <w:szCs w:val="24"/>
        </w:rPr>
        <w:t>antara</w:t>
      </w:r>
      <w:r w:rsidR="00A954D0">
        <w:rPr>
          <w:rFonts w:ascii="Bookman Old Style" w:hAnsi="Bookman Old Style"/>
          <w:sz w:val="24"/>
          <w:szCs w:val="24"/>
        </w:rPr>
        <w:t xml:space="preserve"> </w:t>
      </w:r>
      <w:r w:rsidRPr="00AC321A">
        <w:rPr>
          <w:rFonts w:ascii="Bookman Old Style" w:hAnsi="Bookman Old Style"/>
          <w:sz w:val="24"/>
          <w:szCs w:val="24"/>
        </w:rPr>
        <w:t>lain</w:t>
      </w:r>
      <w:r w:rsidR="00A954D0">
        <w:rPr>
          <w:rFonts w:ascii="Bookman Old Style" w:hAnsi="Bookman Old Style"/>
          <w:sz w:val="24"/>
          <w:szCs w:val="24"/>
        </w:rPr>
        <w:t xml:space="preserve"> </w:t>
      </w:r>
      <w:r w:rsidRPr="00AC321A">
        <w:rPr>
          <w:rFonts w:ascii="Bookman Old Style" w:hAnsi="Bookman Old Style"/>
          <w:sz w:val="24"/>
          <w:szCs w:val="24"/>
          <w:lang w:val="id-ID"/>
        </w:rPr>
        <w:t>adalah</w:t>
      </w:r>
      <w:r w:rsidR="00A954D0">
        <w:rPr>
          <w:rFonts w:ascii="Bookman Old Style" w:hAnsi="Bookman Old Style"/>
          <w:sz w:val="24"/>
          <w:szCs w:val="24"/>
          <w:lang w:val="id-ID"/>
        </w:rPr>
        <w:t xml:space="preserve"> </w:t>
      </w:r>
      <w:r w:rsidRPr="00AC321A">
        <w:rPr>
          <w:rFonts w:ascii="Bookman Old Style" w:hAnsi="Bookman Old Style"/>
          <w:sz w:val="24"/>
          <w:szCs w:val="24"/>
        </w:rPr>
        <w:t>mendukung</w:t>
      </w:r>
      <w:r w:rsidR="00A954D0">
        <w:rPr>
          <w:rFonts w:ascii="Bookman Old Style" w:hAnsi="Bookman Old Style"/>
          <w:sz w:val="24"/>
          <w:szCs w:val="24"/>
        </w:rPr>
        <w:t xml:space="preserve"> </w:t>
      </w:r>
      <w:r w:rsidRPr="00AC321A">
        <w:rPr>
          <w:rFonts w:ascii="Bookman Old Style" w:hAnsi="Bookman Old Style"/>
          <w:sz w:val="24"/>
          <w:szCs w:val="24"/>
          <w:lang w:val="id-ID"/>
        </w:rPr>
        <w:t>pemulihan</w:t>
      </w:r>
      <w:r w:rsidR="00A954D0">
        <w:rPr>
          <w:rFonts w:ascii="Bookman Old Style" w:hAnsi="Bookman Old Style"/>
          <w:sz w:val="24"/>
          <w:szCs w:val="24"/>
        </w:rPr>
        <w:t xml:space="preserve"> </w:t>
      </w:r>
      <w:r w:rsidRPr="00AC321A">
        <w:rPr>
          <w:rFonts w:ascii="Bookman Old Style" w:hAnsi="Bookman Old Style"/>
          <w:sz w:val="24"/>
          <w:szCs w:val="24"/>
        </w:rPr>
        <w:t>dunia</w:t>
      </w:r>
      <w:r w:rsidR="00A954D0">
        <w:rPr>
          <w:rFonts w:ascii="Bookman Old Style" w:hAnsi="Bookman Old Style"/>
          <w:sz w:val="24"/>
          <w:szCs w:val="24"/>
        </w:rPr>
        <w:t xml:space="preserve"> </w:t>
      </w:r>
      <w:r w:rsidRPr="00AC321A">
        <w:rPr>
          <w:rFonts w:ascii="Bookman Old Style" w:hAnsi="Bookman Old Style"/>
          <w:sz w:val="24"/>
          <w:szCs w:val="24"/>
        </w:rPr>
        <w:t>usaha</w:t>
      </w:r>
      <w:r w:rsidR="00A954D0">
        <w:rPr>
          <w:rFonts w:ascii="Bookman Old Style" w:hAnsi="Bookman Old Style"/>
          <w:sz w:val="24"/>
          <w:szCs w:val="24"/>
        </w:rPr>
        <w:t xml:space="preserve"> </w:t>
      </w:r>
      <w:r w:rsidRPr="00AC321A">
        <w:rPr>
          <w:rFonts w:ascii="Bookman Old Style" w:hAnsi="Bookman Old Style"/>
          <w:sz w:val="24"/>
          <w:szCs w:val="24"/>
        </w:rPr>
        <w:t>dan</w:t>
      </w:r>
      <w:r w:rsidR="00A954D0">
        <w:rPr>
          <w:rFonts w:ascii="Bookman Old Style" w:hAnsi="Bookman Old Style"/>
          <w:sz w:val="24"/>
          <w:szCs w:val="24"/>
        </w:rPr>
        <w:t xml:space="preserve"> </w:t>
      </w:r>
      <w:r w:rsidRPr="00AC321A">
        <w:rPr>
          <w:rFonts w:ascii="Bookman Old Style" w:hAnsi="Bookman Old Style"/>
          <w:sz w:val="24"/>
          <w:szCs w:val="24"/>
        </w:rPr>
        <w:t>optimalisasi</w:t>
      </w:r>
      <w:r w:rsidR="00A954D0">
        <w:rPr>
          <w:rFonts w:ascii="Bookman Old Style" w:hAnsi="Bookman Old Style"/>
          <w:sz w:val="24"/>
          <w:szCs w:val="24"/>
        </w:rPr>
        <w:t xml:space="preserve"> </w:t>
      </w:r>
      <w:r w:rsidRPr="00AC321A">
        <w:rPr>
          <w:rFonts w:ascii="Bookman Old Style" w:hAnsi="Bookman Old Style"/>
          <w:sz w:val="24"/>
          <w:szCs w:val="24"/>
        </w:rPr>
        <w:t>melalui</w:t>
      </w:r>
      <w:r w:rsidR="00A954D0">
        <w:rPr>
          <w:rFonts w:ascii="Bookman Old Style" w:hAnsi="Bookman Old Style"/>
          <w:sz w:val="24"/>
          <w:szCs w:val="24"/>
        </w:rPr>
        <w:t xml:space="preserve"> </w:t>
      </w:r>
      <w:r w:rsidRPr="00AC321A">
        <w:rPr>
          <w:rFonts w:ascii="Bookman Old Style" w:hAnsi="Bookman Old Style"/>
          <w:sz w:val="24"/>
          <w:szCs w:val="24"/>
        </w:rPr>
        <w:t>inovasi</w:t>
      </w:r>
      <w:r w:rsidR="00A954D0">
        <w:rPr>
          <w:rFonts w:ascii="Bookman Old Style" w:hAnsi="Bookman Old Style"/>
          <w:sz w:val="24"/>
          <w:szCs w:val="24"/>
        </w:rPr>
        <w:t xml:space="preserve"> </w:t>
      </w:r>
      <w:r w:rsidRPr="00AC321A">
        <w:rPr>
          <w:rFonts w:ascii="Bookman Old Style" w:hAnsi="Bookman Old Style"/>
          <w:sz w:val="24"/>
          <w:szCs w:val="24"/>
        </w:rPr>
        <w:t>kebijakan</w:t>
      </w:r>
      <w:r w:rsidR="00A954D0">
        <w:rPr>
          <w:rFonts w:ascii="Bookman Old Style" w:hAnsi="Bookman Old Style"/>
          <w:sz w:val="24"/>
          <w:szCs w:val="24"/>
        </w:rPr>
        <w:t xml:space="preserve"> </w:t>
      </w:r>
      <w:r w:rsidRPr="00AC321A">
        <w:rPr>
          <w:rFonts w:ascii="Bookman Old Style" w:hAnsi="Bookman Old Style"/>
          <w:sz w:val="24"/>
          <w:szCs w:val="24"/>
        </w:rPr>
        <w:t>serta</w:t>
      </w:r>
      <w:r w:rsidR="00A954D0">
        <w:rPr>
          <w:rFonts w:ascii="Bookman Old Style" w:hAnsi="Bookman Old Style"/>
          <w:sz w:val="24"/>
          <w:szCs w:val="24"/>
        </w:rPr>
        <w:t xml:space="preserve"> </w:t>
      </w:r>
      <w:r w:rsidRPr="00AC321A">
        <w:rPr>
          <w:rFonts w:ascii="Bookman Old Style" w:hAnsi="Bookman Old Style"/>
          <w:sz w:val="24"/>
          <w:szCs w:val="24"/>
        </w:rPr>
        <w:t>mitigasi</w:t>
      </w:r>
      <w:r w:rsidR="00A954D0">
        <w:rPr>
          <w:rFonts w:ascii="Bookman Old Style" w:hAnsi="Bookman Old Style"/>
          <w:sz w:val="24"/>
          <w:szCs w:val="24"/>
        </w:rPr>
        <w:t xml:space="preserve"> </w:t>
      </w:r>
      <w:r w:rsidRPr="00AC321A">
        <w:rPr>
          <w:rFonts w:ascii="Bookman Old Style" w:hAnsi="Bookman Old Style"/>
          <w:sz w:val="24"/>
          <w:szCs w:val="24"/>
        </w:rPr>
        <w:t>dampak</w:t>
      </w:r>
      <w:r w:rsidR="00A954D0">
        <w:rPr>
          <w:rFonts w:ascii="Bookman Old Style" w:hAnsi="Bookman Old Style"/>
          <w:sz w:val="24"/>
          <w:szCs w:val="24"/>
        </w:rPr>
        <w:t xml:space="preserve"> </w:t>
      </w:r>
      <w:r w:rsidRPr="00AC321A">
        <w:rPr>
          <w:rFonts w:ascii="Bookman Old Style" w:hAnsi="Bookman Old Style"/>
          <w:sz w:val="24"/>
          <w:szCs w:val="24"/>
        </w:rPr>
        <w:t>untuk</w:t>
      </w:r>
      <w:r w:rsidR="00A954D0">
        <w:rPr>
          <w:rFonts w:ascii="Bookman Old Style" w:hAnsi="Bookman Old Style"/>
          <w:sz w:val="24"/>
          <w:szCs w:val="24"/>
        </w:rPr>
        <w:t xml:space="preserve"> </w:t>
      </w:r>
      <w:r w:rsidRPr="00AC321A">
        <w:rPr>
          <w:rFonts w:ascii="Bookman Old Style" w:hAnsi="Bookman Old Style"/>
          <w:sz w:val="24"/>
          <w:szCs w:val="24"/>
        </w:rPr>
        <w:t>percepatan</w:t>
      </w:r>
      <w:r w:rsidR="00A954D0">
        <w:rPr>
          <w:rFonts w:ascii="Bookman Old Style" w:hAnsi="Bookman Old Style"/>
          <w:sz w:val="24"/>
          <w:szCs w:val="24"/>
        </w:rPr>
        <w:t xml:space="preserve"> </w:t>
      </w:r>
      <w:r w:rsidRPr="00AC321A">
        <w:rPr>
          <w:rFonts w:ascii="Bookman Old Style" w:hAnsi="Bookman Old Style"/>
          <w:sz w:val="24"/>
          <w:szCs w:val="24"/>
        </w:rPr>
        <w:t>pemulihan</w:t>
      </w:r>
      <w:r w:rsidR="00A954D0">
        <w:rPr>
          <w:rFonts w:ascii="Bookman Old Style" w:hAnsi="Bookman Old Style"/>
          <w:sz w:val="24"/>
          <w:szCs w:val="24"/>
        </w:rPr>
        <w:t xml:space="preserve"> </w:t>
      </w:r>
      <w:r w:rsidRPr="00AC321A">
        <w:rPr>
          <w:rFonts w:ascii="Bookman Old Style" w:hAnsi="Bookman Old Style"/>
          <w:sz w:val="24"/>
          <w:szCs w:val="24"/>
        </w:rPr>
        <w:t>ekonomi</w:t>
      </w:r>
      <w:r w:rsidR="00A954D0">
        <w:rPr>
          <w:rFonts w:ascii="Bookman Old Style" w:hAnsi="Bookman Old Style"/>
          <w:sz w:val="24"/>
          <w:szCs w:val="24"/>
        </w:rPr>
        <w:t xml:space="preserve"> </w:t>
      </w:r>
      <w:r w:rsidRPr="00AC321A">
        <w:rPr>
          <w:rFonts w:ascii="Bookman Old Style" w:hAnsi="Bookman Old Style"/>
          <w:sz w:val="24"/>
          <w:szCs w:val="24"/>
        </w:rPr>
        <w:t>dan</w:t>
      </w:r>
      <w:r w:rsidR="00A954D0">
        <w:rPr>
          <w:rFonts w:ascii="Bookman Old Style" w:hAnsi="Bookman Old Style"/>
          <w:sz w:val="24"/>
          <w:szCs w:val="24"/>
        </w:rPr>
        <w:t xml:space="preserve"> </w:t>
      </w:r>
      <w:r w:rsidRPr="00AC321A">
        <w:rPr>
          <w:rFonts w:ascii="Bookman Old Style" w:hAnsi="Bookman Old Style"/>
          <w:sz w:val="24"/>
          <w:szCs w:val="24"/>
        </w:rPr>
        <w:t>restrukturisasi</w:t>
      </w:r>
      <w:r w:rsidR="00A954D0">
        <w:rPr>
          <w:rFonts w:ascii="Bookman Old Style" w:hAnsi="Bookman Old Style"/>
          <w:sz w:val="24"/>
          <w:szCs w:val="24"/>
        </w:rPr>
        <w:t xml:space="preserve"> </w:t>
      </w:r>
      <w:r w:rsidRPr="00AC321A">
        <w:rPr>
          <w:rFonts w:ascii="Bookman Old Style" w:hAnsi="Bookman Old Style"/>
          <w:sz w:val="24"/>
          <w:szCs w:val="24"/>
        </w:rPr>
        <w:t>transformasi</w:t>
      </w:r>
      <w:r w:rsidR="00A954D0">
        <w:rPr>
          <w:rFonts w:ascii="Bookman Old Style" w:hAnsi="Bookman Old Style"/>
          <w:sz w:val="24"/>
          <w:szCs w:val="24"/>
        </w:rPr>
        <w:t xml:space="preserve"> </w:t>
      </w:r>
      <w:r w:rsidRPr="00AC321A">
        <w:rPr>
          <w:rFonts w:ascii="Bookman Old Style" w:hAnsi="Bookman Old Style"/>
          <w:sz w:val="24"/>
          <w:szCs w:val="24"/>
        </w:rPr>
        <w:t>ekonomi</w:t>
      </w:r>
      <w:r w:rsidR="00861E03" w:rsidRPr="00861E03">
        <w:rPr>
          <w:rFonts w:ascii="Bookman Old Style" w:hAnsi="Bookman Old Style"/>
          <w:sz w:val="24"/>
          <w:szCs w:val="24"/>
          <w:lang w:val="sv-FI"/>
        </w:rPr>
        <w:t>;</w:t>
      </w:r>
    </w:p>
    <w:p w14:paraId="30393048" w14:textId="7BFA70C9" w:rsidR="00D1236C" w:rsidRPr="00AC321A" w:rsidRDefault="00D1236C" w:rsidP="00861E03">
      <w:pPr>
        <w:pStyle w:val="ListParagraph"/>
        <w:numPr>
          <w:ilvl w:val="0"/>
          <w:numId w:val="116"/>
        </w:numPr>
        <w:spacing w:before="60" w:after="0" w:line="276" w:lineRule="auto"/>
        <w:ind w:left="1276" w:hanging="283"/>
        <w:contextualSpacing w:val="0"/>
        <w:jc w:val="both"/>
        <w:rPr>
          <w:rFonts w:ascii="Bookman Old Style" w:hAnsi="Bookman Old Style" w:cs="Arial"/>
          <w:sz w:val="24"/>
          <w:szCs w:val="24"/>
          <w:lang w:val="id-ID"/>
        </w:rPr>
      </w:pPr>
      <w:r w:rsidRPr="00AC321A">
        <w:rPr>
          <w:rFonts w:ascii="Bookman Old Style" w:hAnsi="Bookman Old Style" w:cs="Arial"/>
          <w:sz w:val="24"/>
          <w:szCs w:val="24"/>
          <w:lang w:val="id-ID"/>
        </w:rPr>
        <w:lastRenderedPageBreak/>
        <w:t>Penganggaran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pendapatan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daerah</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yang</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memiliki</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karakteristik</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khusus,</w:t>
      </w:r>
      <w:r w:rsidR="00A954D0" w:rsidRPr="003255BC">
        <w:rPr>
          <w:rFonts w:ascii="Bookman Old Style" w:hAnsi="Bookman Old Style" w:cs="Arial"/>
          <w:sz w:val="24"/>
          <w:szCs w:val="24"/>
          <w:lang w:val="sv-FI"/>
        </w:rPr>
        <w:t xml:space="preserve"> </w:t>
      </w:r>
      <w:r w:rsidRPr="00AC321A">
        <w:rPr>
          <w:rFonts w:ascii="Bookman Old Style" w:hAnsi="Bookman Old Style" w:cs="Arial"/>
          <w:sz w:val="24"/>
          <w:szCs w:val="24"/>
          <w:lang w:val="id-ID"/>
        </w:rPr>
        <w:t>antara</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lain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Bantuan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Operasional</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Satuan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Pendidikan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(BOSP),</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Bantuan</w:t>
      </w:r>
      <w:r w:rsidR="00A954D0" w:rsidRPr="003255BC">
        <w:rPr>
          <w:rFonts w:ascii="Bookman Old Style" w:hAnsi="Bookman Old Style" w:cs="Arial"/>
          <w:sz w:val="24"/>
          <w:szCs w:val="24"/>
          <w:lang w:val="sv-FI"/>
        </w:rPr>
        <w:t xml:space="preserve"> </w:t>
      </w:r>
      <w:r w:rsidRPr="00AC321A">
        <w:rPr>
          <w:rFonts w:ascii="Bookman Old Style" w:hAnsi="Bookman Old Style" w:cs="Arial"/>
          <w:sz w:val="24"/>
          <w:szCs w:val="24"/>
          <w:lang w:val="id-ID"/>
        </w:rPr>
        <w:t>Operasional</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Kesehatan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(BOK)</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Puskesmas,</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Dana</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Desa</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(DD),</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Dana</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Kapitasi,</w:t>
      </w:r>
      <w:r w:rsidR="00A954D0" w:rsidRPr="003255BC">
        <w:rPr>
          <w:rFonts w:ascii="Bookman Old Style" w:hAnsi="Bookman Old Style" w:cs="Arial"/>
          <w:sz w:val="24"/>
          <w:szCs w:val="24"/>
          <w:lang w:val="sv-FI"/>
        </w:rPr>
        <w:t xml:space="preserve"> </w:t>
      </w:r>
      <w:r w:rsidRPr="00AC321A">
        <w:rPr>
          <w:rFonts w:ascii="Bookman Old Style" w:hAnsi="Bookman Old Style" w:cs="Arial"/>
          <w:sz w:val="24"/>
          <w:szCs w:val="24"/>
          <w:lang w:val="id-ID"/>
        </w:rPr>
        <w:t>Bantuan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Pemerintah</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dari</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K/L</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yang</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diterima</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perangkat</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daerah</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dan</w:t>
      </w:r>
      <w:r w:rsidR="00A954D0" w:rsidRPr="003255BC">
        <w:rPr>
          <w:rFonts w:ascii="Bookman Old Style" w:hAnsi="Bookman Old Style" w:cs="Arial"/>
          <w:sz w:val="24"/>
          <w:szCs w:val="24"/>
          <w:lang w:val="sv-FI"/>
        </w:rPr>
        <w:t xml:space="preserve"> </w:t>
      </w:r>
      <w:r w:rsidRPr="00AC321A">
        <w:rPr>
          <w:rFonts w:ascii="Bookman Old Style" w:hAnsi="Bookman Old Style" w:cs="Arial"/>
          <w:sz w:val="24"/>
          <w:szCs w:val="24"/>
          <w:lang w:val="id-ID"/>
        </w:rPr>
        <w:t>pendapatan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lainnya</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yang</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penerimaan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pendapatannya</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tidak</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melalui</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Rekening</w:t>
      </w:r>
      <w:r w:rsidR="00A954D0" w:rsidRPr="003255BC">
        <w:rPr>
          <w:rFonts w:ascii="Bookman Old Style" w:hAnsi="Bookman Old Style" w:cs="Arial"/>
          <w:sz w:val="24"/>
          <w:szCs w:val="24"/>
          <w:lang w:val="sv-FI"/>
        </w:rPr>
        <w:t xml:space="preserve"> </w:t>
      </w:r>
      <w:r w:rsidRPr="00AC321A">
        <w:rPr>
          <w:rFonts w:ascii="Bookman Old Style" w:hAnsi="Bookman Old Style" w:cs="Arial"/>
          <w:sz w:val="24"/>
          <w:szCs w:val="24"/>
          <w:lang w:val="id-ID"/>
        </w:rPr>
        <w:t>Kas</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Umum</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Daerah</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(RKUD),</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penerimaan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pendapatannya</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dilakukan</w:t>
      </w:r>
      <w:r w:rsidR="00A954D0" w:rsidRPr="003255BC">
        <w:rPr>
          <w:rFonts w:ascii="Bookman Old Style" w:hAnsi="Bookman Old Style" w:cs="Arial"/>
          <w:sz w:val="24"/>
          <w:szCs w:val="24"/>
          <w:lang w:val="sv-FI"/>
        </w:rPr>
        <w:t xml:space="preserve"> </w:t>
      </w:r>
      <w:r w:rsidRPr="00AC321A">
        <w:rPr>
          <w:rFonts w:ascii="Bookman Old Style" w:hAnsi="Bookman Old Style" w:cs="Arial"/>
          <w:sz w:val="24"/>
          <w:szCs w:val="24"/>
          <w:lang w:val="id-ID"/>
        </w:rPr>
        <w:t>berdasarkan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pencatatan/notifikasi</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atau</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pengesahan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pendapatan,</w:t>
      </w:r>
      <w:r w:rsidR="00A954D0" w:rsidRPr="003255BC">
        <w:rPr>
          <w:rFonts w:ascii="Bookman Old Style" w:hAnsi="Bookman Old Style" w:cs="Arial"/>
          <w:sz w:val="24"/>
          <w:szCs w:val="24"/>
          <w:lang w:val="sv-FI"/>
        </w:rPr>
        <w:t xml:space="preserve"> </w:t>
      </w:r>
      <w:r w:rsidRPr="00AC321A">
        <w:rPr>
          <w:rFonts w:ascii="Bookman Old Style" w:hAnsi="Bookman Old Style" w:cs="Arial"/>
          <w:sz w:val="24"/>
          <w:szCs w:val="24"/>
          <w:lang w:val="id-ID"/>
        </w:rPr>
        <w:t>mekanisme</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intersep,</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pemotongan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langsung</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atau</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mekanisme</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lainnya</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sesuai</w:t>
      </w:r>
      <w:r w:rsidR="00A954D0" w:rsidRPr="003255BC">
        <w:rPr>
          <w:rFonts w:ascii="Bookman Old Style" w:hAnsi="Bookman Old Style" w:cs="Arial"/>
          <w:sz w:val="24"/>
          <w:szCs w:val="24"/>
          <w:lang w:val="sv-FI"/>
        </w:rPr>
        <w:t xml:space="preserve"> </w:t>
      </w:r>
      <w:r w:rsidRPr="00AC321A">
        <w:rPr>
          <w:rFonts w:ascii="Bookman Old Style" w:hAnsi="Bookman Old Style" w:cs="Arial"/>
          <w:sz w:val="24"/>
          <w:szCs w:val="24"/>
          <w:lang w:val="id-ID"/>
        </w:rPr>
        <w:t>dengan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ketentuan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peraturan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perundang-undangan</w:t>
      </w:r>
      <w:r w:rsidR="00861E03" w:rsidRPr="00861E03">
        <w:rPr>
          <w:rFonts w:ascii="Bookman Old Style" w:hAnsi="Bookman Old Style" w:cs="Arial"/>
          <w:sz w:val="24"/>
          <w:szCs w:val="24"/>
          <w:lang w:val="sv-FI"/>
        </w:rPr>
        <w:t>;</w:t>
      </w:r>
    </w:p>
    <w:p w14:paraId="1CFE10B3" w14:textId="2DD68201" w:rsidR="00D1236C" w:rsidRPr="00AC321A" w:rsidRDefault="00D1236C" w:rsidP="00861E03">
      <w:pPr>
        <w:pStyle w:val="ListParagraph"/>
        <w:numPr>
          <w:ilvl w:val="0"/>
          <w:numId w:val="116"/>
        </w:numPr>
        <w:spacing w:before="60" w:after="0" w:line="276" w:lineRule="auto"/>
        <w:ind w:left="1276" w:hanging="283"/>
        <w:contextualSpacing w:val="0"/>
        <w:jc w:val="both"/>
        <w:rPr>
          <w:rFonts w:ascii="Bookman Old Style" w:hAnsi="Bookman Old Style" w:cs="Arial"/>
          <w:sz w:val="24"/>
          <w:szCs w:val="24"/>
          <w:lang w:val="id-ID"/>
        </w:rPr>
      </w:pPr>
      <w:r w:rsidRPr="00AC321A">
        <w:rPr>
          <w:rFonts w:ascii="Bookman Old Style" w:hAnsi="Bookman Old Style" w:cs="Arial"/>
          <w:sz w:val="24"/>
          <w:szCs w:val="24"/>
          <w:lang w:val="id-ID"/>
        </w:rPr>
        <w:t>Penganggaran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pendapatan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daerah</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yang</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memiliki</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karakteristik</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khusus</w:t>
      </w:r>
      <w:r w:rsidR="00A954D0" w:rsidRPr="003255BC">
        <w:rPr>
          <w:rFonts w:ascii="Bookman Old Style" w:hAnsi="Bookman Old Style" w:cs="Arial"/>
          <w:sz w:val="24"/>
          <w:szCs w:val="24"/>
          <w:lang w:val="sv-FI"/>
        </w:rPr>
        <w:t xml:space="preserve"> </w:t>
      </w:r>
      <w:r w:rsidRPr="00AC321A">
        <w:rPr>
          <w:rFonts w:ascii="Bookman Old Style" w:hAnsi="Bookman Old Style" w:cs="Arial"/>
          <w:sz w:val="24"/>
          <w:szCs w:val="24"/>
          <w:lang w:val="id-ID"/>
        </w:rPr>
        <w:t>termasuk</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Alokasi</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Dana</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Desa</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(ADD)</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yang</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pembayaran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penghasilan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tetapnya</w:t>
      </w:r>
      <w:r w:rsidR="00A954D0" w:rsidRPr="003255BC">
        <w:rPr>
          <w:rFonts w:ascii="Bookman Old Style" w:hAnsi="Bookman Old Style" w:cs="Arial"/>
          <w:sz w:val="24"/>
          <w:szCs w:val="24"/>
          <w:lang w:val="sv-FI"/>
        </w:rPr>
        <w:t xml:space="preserve"> </w:t>
      </w:r>
      <w:r w:rsidRPr="00AC321A">
        <w:rPr>
          <w:rFonts w:ascii="Bookman Old Style" w:hAnsi="Bookman Old Style" w:cs="Arial"/>
          <w:sz w:val="24"/>
          <w:szCs w:val="24"/>
          <w:lang w:val="id-ID"/>
        </w:rPr>
        <w:t>diteruskan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dari</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rekening</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pemerintah</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kepada</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rekening</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desa</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sesuai</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ketentuan</w:t>
      </w:r>
      <w:r w:rsidR="00A954D0" w:rsidRPr="003255BC">
        <w:rPr>
          <w:rFonts w:ascii="Bookman Old Style" w:hAnsi="Bookman Old Style" w:cs="Arial"/>
          <w:sz w:val="24"/>
          <w:szCs w:val="24"/>
          <w:lang w:val="sv-FI"/>
        </w:rPr>
        <w:t xml:space="preserve"> </w:t>
      </w:r>
      <w:r w:rsidRPr="00AC321A">
        <w:rPr>
          <w:rFonts w:ascii="Bookman Old Style" w:hAnsi="Bookman Old Style" w:cs="Arial"/>
          <w:sz w:val="24"/>
          <w:szCs w:val="24"/>
          <w:lang w:val="id-ID"/>
        </w:rPr>
        <w:t>Pasal</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72</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ayat</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(5)</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Undang-Undang</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Nomor</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6</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2014</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tentang</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Desa</w:t>
      </w:r>
      <w:r w:rsidR="00A954D0" w:rsidRPr="003255BC">
        <w:rPr>
          <w:rFonts w:ascii="Bookman Old Style" w:hAnsi="Bookman Old Style" w:cs="Arial"/>
          <w:sz w:val="24"/>
          <w:szCs w:val="24"/>
          <w:lang w:val="sv-FI"/>
        </w:rPr>
        <w:t xml:space="preserve"> </w:t>
      </w:r>
      <w:r w:rsidRPr="00AC321A">
        <w:rPr>
          <w:rFonts w:ascii="Bookman Old Style" w:hAnsi="Bookman Old Style" w:cs="Arial"/>
          <w:sz w:val="24"/>
          <w:szCs w:val="24"/>
          <w:lang w:val="id-ID"/>
        </w:rPr>
        <w:t>sebagaimana</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telah</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beberapa</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kali</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diubah</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terakhir</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dengan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Undang-Undang</w:t>
      </w:r>
      <w:r w:rsidR="00A954D0" w:rsidRPr="003255BC">
        <w:rPr>
          <w:rFonts w:ascii="Bookman Old Style" w:hAnsi="Bookman Old Style" w:cs="Arial"/>
          <w:sz w:val="24"/>
          <w:szCs w:val="24"/>
          <w:lang w:val="sv-FI"/>
        </w:rPr>
        <w:t xml:space="preserve"> </w:t>
      </w:r>
      <w:r w:rsidRPr="00AC321A">
        <w:rPr>
          <w:rFonts w:ascii="Bookman Old Style" w:hAnsi="Bookman Old Style" w:cs="Arial"/>
          <w:sz w:val="24"/>
          <w:szCs w:val="24"/>
          <w:lang w:val="id-ID"/>
        </w:rPr>
        <w:t>Nomor</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3</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2024</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tentang</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Perubahan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Kedua</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Atas</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Undang-Undang</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Nomor</w:t>
      </w:r>
      <w:r w:rsidR="00A954D0" w:rsidRPr="003255BC">
        <w:rPr>
          <w:rFonts w:ascii="Bookman Old Style" w:hAnsi="Bookman Old Style" w:cs="Arial"/>
          <w:sz w:val="24"/>
          <w:szCs w:val="24"/>
          <w:lang w:val="sv-FI"/>
        </w:rPr>
        <w:t xml:space="preserve"> </w:t>
      </w:r>
      <w:r w:rsidRPr="00AC321A">
        <w:rPr>
          <w:rFonts w:ascii="Bookman Old Style" w:hAnsi="Bookman Old Style" w:cs="Arial"/>
          <w:sz w:val="24"/>
          <w:szCs w:val="24"/>
          <w:lang w:val="id-ID"/>
        </w:rPr>
        <w:t>6</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2014</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tentang</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Desa</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yang</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pelaksanaannya</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diatur</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dalam</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peraturan</w:t>
      </w:r>
      <w:r w:rsidR="00A954D0" w:rsidRPr="003255BC">
        <w:rPr>
          <w:rFonts w:ascii="Bookman Old Style" w:hAnsi="Bookman Old Style" w:cs="Arial"/>
          <w:sz w:val="24"/>
          <w:szCs w:val="24"/>
          <w:lang w:val="sv-FI"/>
        </w:rPr>
        <w:t xml:space="preserve"> </w:t>
      </w:r>
      <w:r w:rsidRPr="00AC321A">
        <w:rPr>
          <w:rFonts w:ascii="Bookman Old Style" w:hAnsi="Bookman Old Style" w:cs="Arial"/>
          <w:sz w:val="24"/>
          <w:szCs w:val="24"/>
          <w:lang w:val="id-ID"/>
        </w:rPr>
        <w:t>pemerintah</w:t>
      </w:r>
      <w:r w:rsidR="00861E03" w:rsidRPr="00861E03">
        <w:rPr>
          <w:rFonts w:ascii="Bookman Old Style" w:hAnsi="Bookman Old Style" w:cs="Arial"/>
          <w:sz w:val="24"/>
          <w:szCs w:val="24"/>
          <w:lang w:val="sv-FI"/>
        </w:rPr>
        <w:t>;</w:t>
      </w:r>
    </w:p>
    <w:p w14:paraId="59D374FF" w14:textId="048FA13A" w:rsidR="00D1236C" w:rsidRPr="00AC321A" w:rsidRDefault="00D1236C" w:rsidP="00861E03">
      <w:pPr>
        <w:pStyle w:val="ListParagraph"/>
        <w:numPr>
          <w:ilvl w:val="0"/>
          <w:numId w:val="116"/>
        </w:numPr>
        <w:spacing w:before="60" w:after="0" w:line="276" w:lineRule="auto"/>
        <w:ind w:left="1276" w:hanging="425"/>
        <w:contextualSpacing w:val="0"/>
        <w:jc w:val="both"/>
        <w:rPr>
          <w:rFonts w:ascii="Bookman Old Style" w:hAnsi="Bookman Old Style" w:cs="Arial"/>
          <w:sz w:val="24"/>
          <w:szCs w:val="24"/>
          <w:lang w:val="id-ID"/>
        </w:rPr>
      </w:pPr>
      <w:r w:rsidRPr="00AC321A">
        <w:rPr>
          <w:rFonts w:ascii="Bookman Old Style" w:hAnsi="Bookman Old Style" w:cs="Arial"/>
          <w:sz w:val="24"/>
          <w:szCs w:val="24"/>
          <w:lang w:val="id-ID"/>
        </w:rPr>
        <w:t>Klasifikasi</w:t>
      </w:r>
      <w:r w:rsidR="00A954D0">
        <w:rPr>
          <w:rFonts w:ascii="Bookman Old Style" w:hAnsi="Bookman Old Style" w:cs="Arial"/>
          <w:sz w:val="24"/>
          <w:szCs w:val="24"/>
        </w:rPr>
        <w:t xml:space="preserve"> </w:t>
      </w:r>
      <w:r w:rsidRPr="00AC321A">
        <w:rPr>
          <w:rFonts w:ascii="Bookman Old Style" w:hAnsi="Bookman Old Style" w:cs="Arial"/>
          <w:sz w:val="24"/>
          <w:szCs w:val="24"/>
        </w:rPr>
        <w:t>kelompok</w:t>
      </w:r>
      <w:r w:rsidR="00A954D0">
        <w:rPr>
          <w:rFonts w:ascii="Bookman Old Style" w:hAnsi="Bookman Old Style" w:cs="Arial"/>
          <w:sz w:val="24"/>
          <w:szCs w:val="24"/>
        </w:rPr>
        <w:t xml:space="preserve"> </w:t>
      </w:r>
      <w:r w:rsidRPr="00AC321A">
        <w:rPr>
          <w:rFonts w:ascii="Bookman Old Style" w:hAnsi="Bookman Old Style" w:cs="Arial"/>
          <w:sz w:val="24"/>
          <w:szCs w:val="24"/>
        </w:rPr>
        <w:t>Pendapatan</w:t>
      </w:r>
      <w:r w:rsidR="00A954D0">
        <w:rPr>
          <w:rFonts w:ascii="Bookman Old Style" w:hAnsi="Bookman Old Style" w:cs="Arial"/>
          <w:sz w:val="24"/>
          <w:szCs w:val="24"/>
        </w:rPr>
        <w:t xml:space="preserve"> </w:t>
      </w:r>
      <w:r w:rsidRPr="00AC321A">
        <w:rPr>
          <w:rFonts w:ascii="Bookman Old Style" w:hAnsi="Bookman Old Style" w:cs="Arial"/>
          <w:sz w:val="24"/>
          <w:szCs w:val="24"/>
        </w:rPr>
        <w:t>Asli</w:t>
      </w:r>
      <w:r w:rsidR="00A954D0">
        <w:rPr>
          <w:rFonts w:ascii="Bookman Old Style" w:hAnsi="Bookman Old Style" w:cs="Arial"/>
          <w:sz w:val="24"/>
          <w:szCs w:val="24"/>
        </w:rPr>
        <w:t xml:space="preserve"> </w:t>
      </w:r>
      <w:r w:rsidRPr="00AC321A">
        <w:rPr>
          <w:rFonts w:ascii="Bookman Old Style" w:hAnsi="Bookman Old Style" w:cs="Arial"/>
          <w:sz w:val="24"/>
          <w:szCs w:val="24"/>
        </w:rPr>
        <w:t>Daerah</w:t>
      </w:r>
      <w:r w:rsidR="00A954D0">
        <w:rPr>
          <w:rFonts w:ascii="Bookman Old Style" w:hAnsi="Bookman Old Style" w:cs="Arial"/>
          <w:sz w:val="24"/>
          <w:szCs w:val="24"/>
        </w:rPr>
        <w:t xml:space="preserve"> </w:t>
      </w:r>
      <w:r w:rsidRPr="00AC321A">
        <w:rPr>
          <w:rFonts w:ascii="Bookman Old Style" w:hAnsi="Bookman Old Style" w:cs="Arial"/>
          <w:sz w:val="24"/>
          <w:szCs w:val="24"/>
        </w:rPr>
        <w:t>diuraikan</w:t>
      </w:r>
      <w:r w:rsidR="00A954D0">
        <w:rPr>
          <w:rFonts w:ascii="Bookman Old Style" w:hAnsi="Bookman Old Style" w:cs="Arial"/>
          <w:sz w:val="24"/>
          <w:szCs w:val="24"/>
        </w:rPr>
        <w:t xml:space="preserve"> </w:t>
      </w:r>
      <w:r w:rsidRPr="00AC321A">
        <w:rPr>
          <w:rFonts w:ascii="Bookman Old Style" w:hAnsi="Bookman Old Style" w:cs="Arial"/>
          <w:sz w:val="24"/>
          <w:szCs w:val="24"/>
        </w:rPr>
        <w:t>menurut</w:t>
      </w:r>
      <w:r w:rsidR="00A954D0">
        <w:rPr>
          <w:rFonts w:ascii="Bookman Old Style" w:hAnsi="Bookman Old Style" w:cs="Arial"/>
          <w:sz w:val="24"/>
          <w:szCs w:val="24"/>
        </w:rPr>
        <w:t xml:space="preserve"> </w:t>
      </w:r>
      <w:r w:rsidRPr="00AC321A">
        <w:rPr>
          <w:rFonts w:ascii="Bookman Old Style" w:hAnsi="Bookman Old Style" w:cs="Arial"/>
          <w:sz w:val="24"/>
          <w:szCs w:val="24"/>
        </w:rPr>
        <w:t>jenis,</w:t>
      </w:r>
      <w:r w:rsidR="00A954D0">
        <w:rPr>
          <w:rFonts w:ascii="Bookman Old Style" w:hAnsi="Bookman Old Style" w:cs="Arial"/>
          <w:sz w:val="24"/>
          <w:szCs w:val="24"/>
        </w:rPr>
        <w:t xml:space="preserve"> </w:t>
      </w:r>
      <w:r w:rsidRPr="00AC321A">
        <w:rPr>
          <w:rFonts w:ascii="Bookman Old Style" w:hAnsi="Bookman Old Style" w:cs="Arial"/>
          <w:sz w:val="24"/>
          <w:szCs w:val="24"/>
        </w:rPr>
        <w:t>objek,</w:t>
      </w:r>
      <w:r w:rsidR="00A954D0">
        <w:rPr>
          <w:rFonts w:ascii="Bookman Old Style" w:hAnsi="Bookman Old Style" w:cs="Arial"/>
          <w:sz w:val="24"/>
          <w:szCs w:val="24"/>
        </w:rPr>
        <w:t xml:space="preserve"> </w:t>
      </w:r>
      <w:r w:rsidRPr="00AC321A">
        <w:rPr>
          <w:rFonts w:ascii="Bookman Old Style" w:hAnsi="Bookman Old Style" w:cs="Arial"/>
          <w:sz w:val="24"/>
          <w:szCs w:val="24"/>
        </w:rPr>
        <w:t>rincian</w:t>
      </w:r>
      <w:r w:rsidR="00A954D0">
        <w:rPr>
          <w:rFonts w:ascii="Bookman Old Style" w:hAnsi="Bookman Old Style" w:cs="Arial"/>
          <w:sz w:val="24"/>
          <w:szCs w:val="24"/>
        </w:rPr>
        <w:t xml:space="preserve"> </w:t>
      </w:r>
      <w:r w:rsidRPr="00AC321A">
        <w:rPr>
          <w:rFonts w:ascii="Bookman Old Style" w:hAnsi="Bookman Old Style" w:cs="Arial"/>
          <w:sz w:val="24"/>
          <w:szCs w:val="24"/>
        </w:rPr>
        <w:t>objek,</w:t>
      </w:r>
      <w:r w:rsidR="00A954D0">
        <w:rPr>
          <w:rFonts w:ascii="Bookman Old Style" w:hAnsi="Bookman Old Style" w:cs="Arial"/>
          <w:sz w:val="24"/>
          <w:szCs w:val="24"/>
        </w:rPr>
        <w:t xml:space="preserve"> </w:t>
      </w:r>
      <w:r w:rsidRPr="00AC321A">
        <w:rPr>
          <w:rFonts w:ascii="Bookman Old Style" w:hAnsi="Bookman Old Style" w:cs="Arial"/>
          <w:sz w:val="24"/>
          <w:szCs w:val="24"/>
        </w:rPr>
        <w:t>sub</w:t>
      </w:r>
      <w:r w:rsidR="00A954D0">
        <w:rPr>
          <w:rFonts w:ascii="Bookman Old Style" w:hAnsi="Bookman Old Style" w:cs="Arial"/>
          <w:sz w:val="24"/>
          <w:szCs w:val="24"/>
        </w:rPr>
        <w:t xml:space="preserve"> </w:t>
      </w:r>
      <w:r w:rsidRPr="00AC321A">
        <w:rPr>
          <w:rFonts w:ascii="Bookman Old Style" w:hAnsi="Bookman Old Style" w:cs="Arial"/>
          <w:sz w:val="24"/>
          <w:szCs w:val="24"/>
        </w:rPr>
        <w:t>rincian</w:t>
      </w:r>
      <w:r w:rsidR="00A954D0">
        <w:rPr>
          <w:rFonts w:ascii="Bookman Old Style" w:hAnsi="Bookman Old Style" w:cs="Arial"/>
          <w:sz w:val="24"/>
          <w:szCs w:val="24"/>
        </w:rPr>
        <w:t xml:space="preserve"> </w:t>
      </w:r>
      <w:r w:rsidRPr="00AC321A">
        <w:rPr>
          <w:rFonts w:ascii="Bookman Old Style" w:hAnsi="Bookman Old Style" w:cs="Arial"/>
          <w:sz w:val="24"/>
          <w:szCs w:val="24"/>
        </w:rPr>
        <w:t>objek</w:t>
      </w:r>
      <w:r w:rsidR="00A954D0">
        <w:rPr>
          <w:rFonts w:ascii="Bookman Old Style" w:hAnsi="Bookman Old Style" w:cs="Arial"/>
          <w:sz w:val="24"/>
          <w:szCs w:val="24"/>
        </w:rPr>
        <w:t xml:space="preserve"> </w:t>
      </w:r>
      <w:r w:rsidRPr="00AC321A">
        <w:rPr>
          <w:rFonts w:ascii="Bookman Old Style" w:hAnsi="Bookman Old Style" w:cs="Arial"/>
          <w:sz w:val="24"/>
          <w:szCs w:val="24"/>
        </w:rPr>
        <w:t>dikelola</w:t>
      </w:r>
      <w:r w:rsidR="00A954D0">
        <w:rPr>
          <w:rFonts w:ascii="Bookman Old Style" w:hAnsi="Bookman Old Style" w:cs="Arial"/>
          <w:sz w:val="24"/>
          <w:szCs w:val="24"/>
        </w:rPr>
        <w:t xml:space="preserve"> </w:t>
      </w:r>
      <w:r w:rsidRPr="00AC321A">
        <w:rPr>
          <w:rFonts w:ascii="Bookman Old Style" w:hAnsi="Bookman Old Style" w:cs="Arial"/>
          <w:sz w:val="24"/>
          <w:szCs w:val="24"/>
        </w:rPr>
        <w:t>berdasarkan</w:t>
      </w:r>
      <w:r w:rsidR="00A954D0">
        <w:rPr>
          <w:rFonts w:ascii="Bookman Old Style" w:hAnsi="Bookman Old Style" w:cs="Arial"/>
          <w:sz w:val="24"/>
          <w:szCs w:val="24"/>
        </w:rPr>
        <w:t xml:space="preserve"> </w:t>
      </w:r>
      <w:r w:rsidRPr="00AC321A">
        <w:rPr>
          <w:rFonts w:ascii="Bookman Old Style" w:hAnsi="Bookman Old Style" w:cs="Arial"/>
          <w:sz w:val="24"/>
          <w:szCs w:val="24"/>
        </w:rPr>
        <w:t>kewenangan</w:t>
      </w:r>
      <w:r w:rsidR="00A954D0">
        <w:rPr>
          <w:rFonts w:ascii="Bookman Old Style" w:hAnsi="Bookman Old Style" w:cs="Arial"/>
          <w:sz w:val="24"/>
          <w:szCs w:val="24"/>
        </w:rPr>
        <w:t xml:space="preserve"> </w:t>
      </w:r>
      <w:r w:rsidRPr="00AC321A">
        <w:rPr>
          <w:rFonts w:ascii="Bookman Old Style" w:hAnsi="Bookman Old Style" w:cs="Arial"/>
          <w:sz w:val="24"/>
          <w:szCs w:val="24"/>
        </w:rPr>
        <w:t>pengelolaan</w:t>
      </w:r>
      <w:r w:rsidR="00A954D0">
        <w:rPr>
          <w:rFonts w:ascii="Bookman Old Style" w:hAnsi="Bookman Old Style" w:cs="Arial"/>
          <w:sz w:val="24"/>
          <w:szCs w:val="24"/>
        </w:rPr>
        <w:t xml:space="preserve"> </w:t>
      </w:r>
      <w:r w:rsidRPr="00AC321A">
        <w:rPr>
          <w:rFonts w:ascii="Bookman Old Style" w:hAnsi="Bookman Old Style" w:cs="Arial"/>
          <w:sz w:val="24"/>
          <w:szCs w:val="24"/>
        </w:rPr>
        <w:t>keuangan</w:t>
      </w:r>
      <w:r w:rsidR="00A954D0">
        <w:rPr>
          <w:rFonts w:ascii="Bookman Old Style" w:hAnsi="Bookman Old Style" w:cs="Arial"/>
          <w:sz w:val="24"/>
          <w:szCs w:val="24"/>
        </w:rPr>
        <w:t xml:space="preserve"> </w:t>
      </w:r>
      <w:r w:rsidRPr="00AC321A">
        <w:rPr>
          <w:rFonts w:ascii="Bookman Old Style" w:hAnsi="Bookman Old Style" w:cs="Arial"/>
          <w:sz w:val="24"/>
          <w:szCs w:val="24"/>
        </w:rPr>
        <w:t>pada</w:t>
      </w:r>
      <w:r w:rsidR="00A954D0">
        <w:rPr>
          <w:rFonts w:ascii="Bookman Old Style" w:hAnsi="Bookman Old Style" w:cs="Arial"/>
          <w:sz w:val="24"/>
          <w:szCs w:val="24"/>
        </w:rPr>
        <w:t xml:space="preserve"> </w:t>
      </w:r>
      <w:r w:rsidRPr="00AC321A">
        <w:rPr>
          <w:rFonts w:ascii="Bookman Old Style" w:hAnsi="Bookman Old Style" w:cs="Arial"/>
          <w:sz w:val="24"/>
          <w:szCs w:val="24"/>
          <w:lang w:val="id-ID"/>
        </w:rPr>
        <w:t>Satuan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Kerja</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Pengelola</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Keuangan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Daerah</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w:t>
      </w:r>
      <w:r w:rsidRPr="00AC321A">
        <w:rPr>
          <w:rFonts w:ascii="Bookman Old Style" w:hAnsi="Bookman Old Style" w:cs="Arial"/>
          <w:sz w:val="24"/>
          <w:szCs w:val="24"/>
        </w:rPr>
        <w:t>SKPKD),</w:t>
      </w:r>
      <w:r w:rsidR="00A954D0">
        <w:rPr>
          <w:rFonts w:ascii="Bookman Old Style" w:hAnsi="Bookman Old Style" w:cs="Arial"/>
          <w:sz w:val="24"/>
          <w:szCs w:val="24"/>
        </w:rPr>
        <w:t xml:space="preserve"> </w:t>
      </w:r>
      <w:r w:rsidRPr="00AC321A">
        <w:rPr>
          <w:rFonts w:ascii="Bookman Old Style" w:hAnsi="Bookman Old Style" w:cs="Arial"/>
          <w:sz w:val="24"/>
          <w:szCs w:val="24"/>
          <w:lang w:val="id-ID"/>
        </w:rPr>
        <w:t>Satuan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Kerja</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Perangkat</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Daerah</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w:t>
      </w:r>
      <w:r w:rsidRPr="00AC321A">
        <w:rPr>
          <w:rFonts w:ascii="Bookman Old Style" w:hAnsi="Bookman Old Style" w:cs="Arial"/>
          <w:sz w:val="24"/>
          <w:szCs w:val="24"/>
        </w:rPr>
        <w:t>SKPD)</w:t>
      </w:r>
      <w:r w:rsidR="00A954D0">
        <w:rPr>
          <w:rFonts w:ascii="Bookman Old Style" w:hAnsi="Bookman Old Style" w:cs="Arial"/>
          <w:sz w:val="24"/>
          <w:szCs w:val="24"/>
        </w:rPr>
        <w:t xml:space="preserve"> </w:t>
      </w:r>
      <w:r w:rsidRPr="00AC321A">
        <w:rPr>
          <w:rFonts w:ascii="Bookman Old Style" w:hAnsi="Bookman Old Style" w:cs="Arial"/>
          <w:sz w:val="24"/>
          <w:szCs w:val="24"/>
        </w:rPr>
        <w:t>dan/atau</w:t>
      </w:r>
      <w:r w:rsidR="00A954D0">
        <w:rPr>
          <w:rFonts w:ascii="Bookman Old Style" w:hAnsi="Bookman Old Style" w:cs="Arial"/>
          <w:sz w:val="24"/>
          <w:szCs w:val="24"/>
        </w:rPr>
        <w:t xml:space="preserve"> </w:t>
      </w:r>
      <w:r w:rsidRPr="00AC321A">
        <w:rPr>
          <w:rFonts w:ascii="Bookman Old Style" w:hAnsi="Bookman Old Style" w:cs="Arial"/>
          <w:sz w:val="24"/>
          <w:szCs w:val="24"/>
          <w:lang w:val="id-ID"/>
        </w:rPr>
        <w:t>Badan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Layanan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Umum</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Daerah</w:t>
      </w:r>
      <w:r w:rsidR="00A954D0">
        <w:rPr>
          <w:rFonts w:ascii="Bookman Old Style" w:hAnsi="Bookman Old Style" w:cs="Arial"/>
          <w:sz w:val="24"/>
          <w:szCs w:val="24"/>
          <w:lang w:val="id-ID"/>
        </w:rPr>
        <w:t xml:space="preserve"> </w:t>
      </w:r>
      <w:r w:rsidRPr="00AC321A">
        <w:rPr>
          <w:rFonts w:ascii="Bookman Old Style" w:hAnsi="Bookman Old Style" w:cs="Arial"/>
          <w:sz w:val="24"/>
          <w:szCs w:val="24"/>
          <w:lang w:val="id-ID"/>
        </w:rPr>
        <w:t>(</w:t>
      </w:r>
      <w:r w:rsidRPr="00AC321A">
        <w:rPr>
          <w:rFonts w:ascii="Bookman Old Style" w:hAnsi="Bookman Old Style" w:cs="Arial"/>
          <w:sz w:val="24"/>
          <w:szCs w:val="24"/>
        </w:rPr>
        <w:t>BLUD)</w:t>
      </w:r>
      <w:r w:rsidR="00A954D0">
        <w:rPr>
          <w:rFonts w:ascii="Bookman Old Style" w:hAnsi="Bookman Old Style" w:cs="Arial"/>
          <w:sz w:val="24"/>
          <w:szCs w:val="24"/>
        </w:rPr>
        <w:t xml:space="preserve"> </w:t>
      </w:r>
      <w:r w:rsidRPr="00AC321A">
        <w:rPr>
          <w:rFonts w:ascii="Bookman Old Style" w:hAnsi="Bookman Old Style" w:cs="Arial"/>
          <w:sz w:val="24"/>
          <w:szCs w:val="24"/>
        </w:rPr>
        <w:t>sesuai</w:t>
      </w:r>
      <w:r w:rsidR="00A954D0">
        <w:rPr>
          <w:rFonts w:ascii="Bookman Old Style" w:hAnsi="Bookman Old Style" w:cs="Arial"/>
          <w:sz w:val="24"/>
          <w:szCs w:val="24"/>
        </w:rPr>
        <w:t xml:space="preserve"> </w:t>
      </w:r>
      <w:r w:rsidRPr="00AC321A">
        <w:rPr>
          <w:rFonts w:ascii="Bookman Old Style" w:hAnsi="Bookman Old Style" w:cs="Arial"/>
          <w:sz w:val="24"/>
          <w:szCs w:val="24"/>
          <w:lang w:val="id-ID"/>
        </w:rPr>
        <w:t>dengan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rPr>
        <w:t>ketentuan</w:t>
      </w:r>
      <w:r w:rsidR="00A954D0">
        <w:rPr>
          <w:rFonts w:ascii="Bookman Old Style" w:hAnsi="Bookman Old Style" w:cs="Arial"/>
          <w:sz w:val="24"/>
          <w:szCs w:val="24"/>
        </w:rPr>
        <w:t xml:space="preserve"> </w:t>
      </w:r>
      <w:r w:rsidRPr="00AC321A">
        <w:rPr>
          <w:rFonts w:ascii="Bookman Old Style" w:hAnsi="Bookman Old Style" w:cs="Arial"/>
          <w:sz w:val="24"/>
          <w:szCs w:val="24"/>
        </w:rPr>
        <w:t>peraturan</w:t>
      </w:r>
      <w:r w:rsidR="00A954D0">
        <w:rPr>
          <w:rFonts w:ascii="Bookman Old Style" w:hAnsi="Bookman Old Style" w:cs="Arial"/>
          <w:sz w:val="24"/>
          <w:szCs w:val="24"/>
        </w:rPr>
        <w:t xml:space="preserve"> </w:t>
      </w:r>
      <w:r w:rsidRPr="00AC321A">
        <w:rPr>
          <w:rFonts w:ascii="Bookman Old Style" w:hAnsi="Bookman Old Style" w:cs="Arial"/>
          <w:sz w:val="24"/>
          <w:szCs w:val="24"/>
        </w:rPr>
        <w:t>perundang-undangan</w:t>
      </w:r>
      <w:r w:rsidR="00861E03" w:rsidRPr="00861E03">
        <w:rPr>
          <w:rFonts w:ascii="Bookman Old Style" w:hAnsi="Bookman Old Style" w:cs="Arial"/>
          <w:sz w:val="24"/>
          <w:szCs w:val="24"/>
          <w:lang w:val="id-ID"/>
        </w:rPr>
        <w:t>;</w:t>
      </w:r>
    </w:p>
    <w:p w14:paraId="203C4FE7" w14:textId="02DCA188" w:rsidR="00D1236C" w:rsidRPr="00AC321A" w:rsidRDefault="00D1236C" w:rsidP="00861E03">
      <w:pPr>
        <w:pStyle w:val="ListParagraph"/>
        <w:numPr>
          <w:ilvl w:val="0"/>
          <w:numId w:val="116"/>
        </w:numPr>
        <w:spacing w:before="60" w:after="0" w:line="276" w:lineRule="auto"/>
        <w:ind w:left="1276" w:hanging="425"/>
        <w:contextualSpacing w:val="0"/>
        <w:jc w:val="both"/>
        <w:rPr>
          <w:rFonts w:ascii="Bookman Old Style" w:hAnsi="Bookman Old Style"/>
          <w:sz w:val="24"/>
          <w:szCs w:val="24"/>
        </w:rPr>
      </w:pPr>
      <w:r w:rsidRPr="00AC321A">
        <w:rPr>
          <w:rFonts w:ascii="Bookman Old Style" w:hAnsi="Bookman Old Style" w:cs="Arial"/>
          <w:sz w:val="24"/>
          <w:szCs w:val="24"/>
          <w:lang w:val="id-ID"/>
        </w:rPr>
        <w:t>Klasifikasi</w:t>
      </w:r>
      <w:r w:rsidR="00A954D0">
        <w:rPr>
          <w:rFonts w:ascii="Bookman Old Style" w:hAnsi="Bookman Old Style" w:cs="Arial"/>
          <w:sz w:val="24"/>
          <w:szCs w:val="24"/>
        </w:rPr>
        <w:t xml:space="preserve"> </w:t>
      </w:r>
      <w:r w:rsidRPr="00AC321A">
        <w:rPr>
          <w:rFonts w:ascii="Bookman Old Style" w:hAnsi="Bookman Old Style" w:cs="Arial"/>
          <w:sz w:val="24"/>
          <w:szCs w:val="24"/>
        </w:rPr>
        <w:t>kelompok</w:t>
      </w:r>
      <w:r w:rsidR="00A954D0">
        <w:rPr>
          <w:rFonts w:ascii="Bookman Old Style" w:hAnsi="Bookman Old Style" w:cs="Arial"/>
          <w:sz w:val="24"/>
          <w:szCs w:val="24"/>
        </w:rPr>
        <w:t xml:space="preserve"> </w:t>
      </w:r>
      <w:r w:rsidRPr="00AC321A">
        <w:rPr>
          <w:rFonts w:ascii="Bookman Old Style" w:hAnsi="Bookman Old Style" w:cs="Arial"/>
          <w:sz w:val="24"/>
          <w:szCs w:val="24"/>
        </w:rPr>
        <w:t>Pendapatan</w:t>
      </w:r>
      <w:r w:rsidR="00A954D0">
        <w:rPr>
          <w:rFonts w:ascii="Bookman Old Style" w:hAnsi="Bookman Old Style" w:cs="Arial"/>
          <w:sz w:val="24"/>
          <w:szCs w:val="24"/>
        </w:rPr>
        <w:t xml:space="preserve"> </w:t>
      </w:r>
      <w:r w:rsidRPr="00AC321A">
        <w:rPr>
          <w:rFonts w:ascii="Bookman Old Style" w:hAnsi="Bookman Old Style" w:cs="Arial"/>
          <w:sz w:val="24"/>
          <w:szCs w:val="24"/>
        </w:rPr>
        <w:t>Transfer</w:t>
      </w:r>
      <w:r w:rsidR="00A954D0">
        <w:rPr>
          <w:rFonts w:ascii="Bookman Old Style" w:hAnsi="Bookman Old Style" w:cs="Arial"/>
          <w:sz w:val="24"/>
          <w:szCs w:val="24"/>
        </w:rPr>
        <w:t xml:space="preserve"> </w:t>
      </w:r>
      <w:r w:rsidRPr="00AC321A">
        <w:rPr>
          <w:rFonts w:ascii="Bookman Old Style" w:hAnsi="Bookman Old Style" w:cs="Arial"/>
          <w:sz w:val="24"/>
          <w:szCs w:val="24"/>
        </w:rPr>
        <w:t>dan</w:t>
      </w:r>
      <w:r w:rsidR="00A954D0">
        <w:rPr>
          <w:rFonts w:ascii="Bookman Old Style" w:hAnsi="Bookman Old Style" w:cs="Arial"/>
          <w:sz w:val="24"/>
          <w:szCs w:val="24"/>
        </w:rPr>
        <w:t xml:space="preserve"> </w:t>
      </w:r>
      <w:r w:rsidRPr="00AC321A">
        <w:rPr>
          <w:rFonts w:ascii="Bookman Old Style" w:hAnsi="Bookman Old Style" w:cs="Arial"/>
          <w:sz w:val="24"/>
          <w:szCs w:val="24"/>
        </w:rPr>
        <w:t>Lain-lain</w:t>
      </w:r>
      <w:r w:rsidR="00A954D0">
        <w:rPr>
          <w:rFonts w:ascii="Bookman Old Style" w:hAnsi="Bookman Old Style" w:cs="Arial"/>
          <w:sz w:val="24"/>
          <w:szCs w:val="24"/>
        </w:rPr>
        <w:t xml:space="preserve"> </w:t>
      </w:r>
      <w:r w:rsidRPr="00AC321A">
        <w:rPr>
          <w:rFonts w:ascii="Bookman Old Style" w:hAnsi="Bookman Old Style" w:cs="Arial"/>
          <w:sz w:val="24"/>
          <w:szCs w:val="24"/>
        </w:rPr>
        <w:t>Pendapatan</w:t>
      </w:r>
      <w:r w:rsidR="00A954D0">
        <w:rPr>
          <w:rFonts w:ascii="Bookman Old Style" w:hAnsi="Bookman Old Style" w:cs="Arial"/>
          <w:sz w:val="24"/>
          <w:szCs w:val="24"/>
        </w:rPr>
        <w:t xml:space="preserve"> </w:t>
      </w:r>
      <w:r w:rsidRPr="00AC321A">
        <w:rPr>
          <w:rFonts w:ascii="Bookman Old Style" w:hAnsi="Bookman Old Style" w:cs="Arial"/>
          <w:sz w:val="24"/>
          <w:szCs w:val="24"/>
          <w:lang w:val="id-ID"/>
        </w:rPr>
        <w:t>daerah</w:t>
      </w:r>
      <w:r w:rsidR="00A954D0">
        <w:rPr>
          <w:rFonts w:ascii="Bookman Old Style" w:hAnsi="Bookman Old Style" w:cs="Arial"/>
          <w:sz w:val="24"/>
          <w:szCs w:val="24"/>
        </w:rPr>
        <w:t xml:space="preserve"> </w:t>
      </w:r>
      <w:r w:rsidRPr="00AC321A">
        <w:rPr>
          <w:rFonts w:ascii="Bookman Old Style" w:hAnsi="Bookman Old Style" w:cs="Arial"/>
          <w:sz w:val="24"/>
          <w:szCs w:val="24"/>
        </w:rPr>
        <w:t>yang</w:t>
      </w:r>
      <w:r w:rsidR="00A954D0">
        <w:rPr>
          <w:rFonts w:ascii="Bookman Old Style" w:hAnsi="Bookman Old Style" w:cs="Arial"/>
          <w:sz w:val="24"/>
          <w:szCs w:val="24"/>
        </w:rPr>
        <w:t xml:space="preserve"> </w:t>
      </w:r>
      <w:r w:rsidRPr="00AC321A">
        <w:rPr>
          <w:rFonts w:ascii="Bookman Old Style" w:hAnsi="Bookman Old Style" w:cs="Arial"/>
          <w:sz w:val="24"/>
          <w:szCs w:val="24"/>
        </w:rPr>
        <w:t>sah</w:t>
      </w:r>
      <w:r w:rsidR="00A954D0">
        <w:rPr>
          <w:rFonts w:ascii="Bookman Old Style" w:hAnsi="Bookman Old Style" w:cs="Arial"/>
          <w:sz w:val="24"/>
          <w:szCs w:val="24"/>
        </w:rPr>
        <w:t xml:space="preserve"> </w:t>
      </w:r>
      <w:r w:rsidRPr="00AC321A">
        <w:rPr>
          <w:rFonts w:ascii="Bookman Old Style" w:hAnsi="Bookman Old Style" w:cs="Arial"/>
          <w:sz w:val="24"/>
          <w:szCs w:val="24"/>
        </w:rPr>
        <w:t>yang</w:t>
      </w:r>
      <w:r w:rsidR="00A954D0">
        <w:rPr>
          <w:rFonts w:ascii="Bookman Old Style" w:hAnsi="Bookman Old Style" w:cs="Arial"/>
          <w:sz w:val="24"/>
          <w:szCs w:val="24"/>
        </w:rPr>
        <w:t xml:space="preserve"> </w:t>
      </w:r>
      <w:r w:rsidRPr="00AC321A">
        <w:rPr>
          <w:rFonts w:ascii="Bookman Old Style" w:hAnsi="Bookman Old Style" w:cs="Arial"/>
          <w:sz w:val="24"/>
          <w:szCs w:val="24"/>
        </w:rPr>
        <w:t>diuraikan</w:t>
      </w:r>
      <w:r w:rsidR="00A954D0">
        <w:rPr>
          <w:rFonts w:ascii="Bookman Old Style" w:hAnsi="Bookman Old Style" w:cs="Arial"/>
          <w:sz w:val="24"/>
          <w:szCs w:val="24"/>
        </w:rPr>
        <w:t xml:space="preserve"> </w:t>
      </w:r>
      <w:r w:rsidRPr="00AC321A">
        <w:rPr>
          <w:rFonts w:ascii="Bookman Old Style" w:hAnsi="Bookman Old Style" w:cs="Arial"/>
          <w:sz w:val="24"/>
          <w:szCs w:val="24"/>
        </w:rPr>
        <w:t>menurut</w:t>
      </w:r>
      <w:r w:rsidR="00A954D0">
        <w:rPr>
          <w:rFonts w:ascii="Bookman Old Style" w:hAnsi="Bookman Old Style" w:cs="Arial"/>
          <w:sz w:val="24"/>
          <w:szCs w:val="24"/>
        </w:rPr>
        <w:t xml:space="preserve"> </w:t>
      </w:r>
      <w:r w:rsidRPr="00AC321A">
        <w:rPr>
          <w:rFonts w:ascii="Bookman Old Style" w:hAnsi="Bookman Old Style" w:cs="Arial"/>
          <w:sz w:val="24"/>
          <w:szCs w:val="24"/>
        </w:rPr>
        <w:t>jenis,</w:t>
      </w:r>
      <w:r w:rsidR="00A954D0">
        <w:rPr>
          <w:rFonts w:ascii="Bookman Old Style" w:hAnsi="Bookman Old Style" w:cs="Arial"/>
          <w:sz w:val="24"/>
          <w:szCs w:val="24"/>
        </w:rPr>
        <w:t xml:space="preserve"> </w:t>
      </w:r>
      <w:r w:rsidRPr="00AC321A">
        <w:rPr>
          <w:rFonts w:ascii="Bookman Old Style" w:hAnsi="Bookman Old Style" w:cs="Arial"/>
          <w:sz w:val="24"/>
          <w:szCs w:val="24"/>
        </w:rPr>
        <w:t>objek,</w:t>
      </w:r>
      <w:r w:rsidR="00A954D0">
        <w:rPr>
          <w:rFonts w:ascii="Bookman Old Style" w:hAnsi="Bookman Old Style" w:cs="Arial"/>
          <w:sz w:val="24"/>
          <w:szCs w:val="24"/>
        </w:rPr>
        <w:t xml:space="preserve"> </w:t>
      </w:r>
      <w:r w:rsidRPr="00AC321A">
        <w:rPr>
          <w:rFonts w:ascii="Bookman Old Style" w:hAnsi="Bookman Old Style" w:cs="Arial"/>
          <w:sz w:val="24"/>
          <w:szCs w:val="24"/>
        </w:rPr>
        <w:t>rincian</w:t>
      </w:r>
      <w:r w:rsidR="00A954D0">
        <w:rPr>
          <w:rFonts w:ascii="Bookman Old Style" w:hAnsi="Bookman Old Style" w:cs="Arial"/>
          <w:sz w:val="24"/>
          <w:szCs w:val="24"/>
        </w:rPr>
        <w:t xml:space="preserve"> </w:t>
      </w:r>
      <w:r w:rsidRPr="00AC321A">
        <w:rPr>
          <w:rFonts w:ascii="Bookman Old Style" w:hAnsi="Bookman Old Style" w:cs="Arial"/>
          <w:sz w:val="24"/>
          <w:szCs w:val="24"/>
        </w:rPr>
        <w:t>objek,</w:t>
      </w:r>
      <w:r w:rsidR="00A954D0">
        <w:rPr>
          <w:rFonts w:ascii="Bookman Old Style" w:hAnsi="Bookman Old Style" w:cs="Arial"/>
          <w:sz w:val="24"/>
          <w:szCs w:val="24"/>
        </w:rPr>
        <w:t xml:space="preserve"> </w:t>
      </w:r>
      <w:r w:rsidRPr="00AC321A">
        <w:rPr>
          <w:rFonts w:ascii="Bookman Old Style" w:hAnsi="Bookman Old Style" w:cs="Arial"/>
          <w:sz w:val="24"/>
          <w:szCs w:val="24"/>
        </w:rPr>
        <w:t>sub</w:t>
      </w:r>
      <w:r w:rsidR="00A954D0">
        <w:rPr>
          <w:rFonts w:ascii="Bookman Old Style" w:hAnsi="Bookman Old Style" w:cs="Arial"/>
          <w:sz w:val="24"/>
          <w:szCs w:val="24"/>
        </w:rPr>
        <w:t xml:space="preserve"> </w:t>
      </w:r>
      <w:r w:rsidRPr="00AC321A">
        <w:rPr>
          <w:rFonts w:ascii="Bookman Old Style" w:hAnsi="Bookman Old Style" w:cs="Arial"/>
          <w:sz w:val="24"/>
          <w:szCs w:val="24"/>
        </w:rPr>
        <w:t>rincian</w:t>
      </w:r>
      <w:r w:rsidR="00A954D0">
        <w:rPr>
          <w:rFonts w:ascii="Bookman Old Style" w:hAnsi="Bookman Old Style" w:cs="Arial"/>
          <w:sz w:val="24"/>
          <w:szCs w:val="24"/>
        </w:rPr>
        <w:t xml:space="preserve"> </w:t>
      </w:r>
      <w:r w:rsidRPr="00AC321A">
        <w:rPr>
          <w:rFonts w:ascii="Bookman Old Style" w:hAnsi="Bookman Old Style" w:cs="Arial"/>
          <w:sz w:val="24"/>
          <w:szCs w:val="24"/>
        </w:rPr>
        <w:t>objek</w:t>
      </w:r>
      <w:r w:rsidR="00A954D0">
        <w:rPr>
          <w:rFonts w:ascii="Bookman Old Style" w:hAnsi="Bookman Old Style" w:cs="Arial"/>
          <w:sz w:val="24"/>
          <w:szCs w:val="24"/>
        </w:rPr>
        <w:t xml:space="preserve"> </w:t>
      </w:r>
      <w:r w:rsidRPr="00AC321A">
        <w:rPr>
          <w:rFonts w:ascii="Bookman Old Style" w:hAnsi="Bookman Old Style" w:cs="Arial"/>
          <w:sz w:val="24"/>
          <w:szCs w:val="24"/>
        </w:rPr>
        <w:t>dikelola</w:t>
      </w:r>
      <w:r w:rsidR="00A954D0">
        <w:rPr>
          <w:rFonts w:ascii="Bookman Old Style" w:hAnsi="Bookman Old Style" w:cs="Arial"/>
          <w:sz w:val="24"/>
          <w:szCs w:val="24"/>
        </w:rPr>
        <w:t xml:space="preserve"> </w:t>
      </w:r>
      <w:r w:rsidRPr="00AC321A">
        <w:rPr>
          <w:rFonts w:ascii="Bookman Old Style" w:hAnsi="Bookman Old Style" w:cs="Arial"/>
          <w:sz w:val="24"/>
          <w:szCs w:val="24"/>
        </w:rPr>
        <w:t>berdasarkan</w:t>
      </w:r>
      <w:r w:rsidR="00A954D0">
        <w:rPr>
          <w:rFonts w:ascii="Bookman Old Style" w:hAnsi="Bookman Old Style" w:cs="Arial"/>
          <w:sz w:val="24"/>
          <w:szCs w:val="24"/>
        </w:rPr>
        <w:t xml:space="preserve"> </w:t>
      </w:r>
      <w:r w:rsidRPr="00AC321A">
        <w:rPr>
          <w:rFonts w:ascii="Bookman Old Style" w:hAnsi="Bookman Old Style" w:cs="Arial"/>
          <w:sz w:val="24"/>
          <w:szCs w:val="24"/>
        </w:rPr>
        <w:t>kewenangan</w:t>
      </w:r>
      <w:r w:rsidR="00A954D0">
        <w:rPr>
          <w:rFonts w:ascii="Bookman Old Style" w:hAnsi="Bookman Old Style" w:cs="Arial"/>
          <w:sz w:val="24"/>
          <w:szCs w:val="24"/>
        </w:rPr>
        <w:t xml:space="preserve"> </w:t>
      </w:r>
      <w:r w:rsidRPr="00AC321A">
        <w:rPr>
          <w:rFonts w:ascii="Bookman Old Style" w:hAnsi="Bookman Old Style" w:cs="Arial"/>
          <w:sz w:val="24"/>
          <w:szCs w:val="24"/>
        </w:rPr>
        <w:t>pengelolaan</w:t>
      </w:r>
      <w:r w:rsidR="00A954D0">
        <w:rPr>
          <w:rFonts w:ascii="Bookman Old Style" w:hAnsi="Bookman Old Style" w:cs="Arial"/>
          <w:sz w:val="24"/>
          <w:szCs w:val="24"/>
        </w:rPr>
        <w:t xml:space="preserve"> </w:t>
      </w:r>
      <w:r w:rsidRPr="00AC321A">
        <w:rPr>
          <w:rFonts w:ascii="Bookman Old Style" w:hAnsi="Bookman Old Style" w:cs="Arial"/>
          <w:sz w:val="24"/>
          <w:szCs w:val="24"/>
        </w:rPr>
        <w:t>keuangan</w:t>
      </w:r>
      <w:r w:rsidR="00A954D0">
        <w:rPr>
          <w:rFonts w:ascii="Bookman Old Style" w:hAnsi="Bookman Old Style" w:cs="Arial"/>
          <w:sz w:val="24"/>
          <w:szCs w:val="24"/>
        </w:rPr>
        <w:t xml:space="preserve"> </w:t>
      </w:r>
      <w:r w:rsidRPr="00AC321A">
        <w:rPr>
          <w:rFonts w:ascii="Bookman Old Style" w:hAnsi="Bookman Old Style" w:cs="Arial"/>
          <w:sz w:val="24"/>
          <w:szCs w:val="24"/>
        </w:rPr>
        <w:t>pada</w:t>
      </w:r>
      <w:r w:rsidR="00A954D0">
        <w:rPr>
          <w:rFonts w:ascii="Bookman Old Style" w:hAnsi="Bookman Old Style" w:cs="Arial"/>
          <w:sz w:val="24"/>
          <w:szCs w:val="24"/>
        </w:rPr>
        <w:t xml:space="preserve"> </w:t>
      </w:r>
      <w:r w:rsidRPr="00AC321A">
        <w:rPr>
          <w:rFonts w:ascii="Bookman Old Style" w:hAnsi="Bookman Old Style" w:cs="Arial"/>
          <w:sz w:val="24"/>
          <w:szCs w:val="24"/>
        </w:rPr>
        <w:t>SKPKD</w:t>
      </w:r>
      <w:r w:rsidR="00A954D0">
        <w:rPr>
          <w:rFonts w:ascii="Bookman Old Style" w:hAnsi="Bookman Old Style" w:cs="Arial"/>
          <w:sz w:val="24"/>
          <w:szCs w:val="24"/>
        </w:rPr>
        <w:t xml:space="preserve"> </w:t>
      </w:r>
      <w:r w:rsidRPr="00AC321A">
        <w:rPr>
          <w:rFonts w:ascii="Bookman Old Style" w:hAnsi="Bookman Old Style" w:cs="Arial"/>
          <w:sz w:val="24"/>
          <w:szCs w:val="24"/>
        </w:rPr>
        <w:t>sesuai</w:t>
      </w:r>
      <w:r w:rsidR="00A954D0">
        <w:rPr>
          <w:rFonts w:ascii="Bookman Old Style" w:hAnsi="Bookman Old Style" w:cs="Arial"/>
          <w:sz w:val="24"/>
          <w:szCs w:val="24"/>
        </w:rPr>
        <w:t xml:space="preserve"> </w:t>
      </w:r>
      <w:r w:rsidRPr="00AC321A">
        <w:rPr>
          <w:rFonts w:ascii="Bookman Old Style" w:hAnsi="Bookman Old Style" w:cs="Arial"/>
          <w:sz w:val="24"/>
          <w:szCs w:val="24"/>
          <w:lang w:val="id-ID"/>
        </w:rPr>
        <w:t>dengan</w:t>
      </w:r>
      <w:r w:rsidR="00A954D0">
        <w:rPr>
          <w:rFonts w:ascii="Bookman Old Style" w:hAnsi="Bookman Old Style" w:cs="Arial"/>
          <w:sz w:val="24"/>
          <w:szCs w:val="24"/>
          <w:lang w:val="id-ID"/>
        </w:rPr>
        <w:t xml:space="preserve"> </w:t>
      </w:r>
      <w:r w:rsidRPr="00AC321A">
        <w:rPr>
          <w:rFonts w:ascii="Bookman Old Style" w:hAnsi="Bookman Old Style" w:cs="Arial"/>
          <w:sz w:val="24"/>
          <w:szCs w:val="24"/>
        </w:rPr>
        <w:t>ketentuan</w:t>
      </w:r>
      <w:r w:rsidR="00A954D0">
        <w:rPr>
          <w:rFonts w:ascii="Bookman Old Style" w:hAnsi="Bookman Old Style" w:cs="Arial"/>
          <w:sz w:val="24"/>
          <w:szCs w:val="24"/>
        </w:rPr>
        <w:t xml:space="preserve"> </w:t>
      </w:r>
      <w:r w:rsidRPr="00AC321A">
        <w:rPr>
          <w:rFonts w:ascii="Bookman Old Style" w:hAnsi="Bookman Old Style" w:cs="Arial"/>
          <w:sz w:val="24"/>
          <w:szCs w:val="24"/>
        </w:rPr>
        <w:t>peraturan</w:t>
      </w:r>
      <w:r w:rsidR="00A954D0">
        <w:rPr>
          <w:rFonts w:ascii="Bookman Old Style" w:hAnsi="Bookman Old Style" w:cs="Arial"/>
          <w:sz w:val="24"/>
          <w:szCs w:val="24"/>
        </w:rPr>
        <w:t xml:space="preserve"> </w:t>
      </w:r>
      <w:r w:rsidRPr="00AC321A">
        <w:rPr>
          <w:rFonts w:ascii="Bookman Old Style" w:hAnsi="Bookman Old Style" w:cs="Arial"/>
          <w:sz w:val="24"/>
          <w:szCs w:val="24"/>
        </w:rPr>
        <w:t>perundang-undangan</w:t>
      </w:r>
      <w:r w:rsidRPr="00AC321A">
        <w:rPr>
          <w:rFonts w:ascii="Bookman Old Style" w:hAnsi="Bookman Old Style" w:cs="Arial"/>
          <w:sz w:val="24"/>
          <w:szCs w:val="24"/>
          <w:lang w:val="id-ID"/>
        </w:rPr>
        <w:t>.</w:t>
      </w:r>
    </w:p>
    <w:p w14:paraId="2057925C" w14:textId="5DD940F7" w:rsidR="00D1236C" w:rsidRPr="000E42D9" w:rsidRDefault="00053117">
      <w:pPr>
        <w:pStyle w:val="ListParagraph"/>
        <w:numPr>
          <w:ilvl w:val="0"/>
          <w:numId w:val="33"/>
        </w:numPr>
        <w:spacing w:before="120" w:after="0" w:line="276" w:lineRule="auto"/>
        <w:ind w:left="992" w:hanging="425"/>
        <w:contextualSpacing w:val="0"/>
        <w:jc w:val="both"/>
        <w:rPr>
          <w:rFonts w:ascii="Bookman Old Style" w:hAnsi="Bookman Old Style" w:cs="Arial"/>
          <w:sz w:val="24"/>
          <w:szCs w:val="24"/>
          <w:lang w:val="id-ID"/>
        </w:rPr>
      </w:pPr>
      <w:r w:rsidRPr="000E42D9">
        <w:rPr>
          <w:rFonts w:ascii="Bookman Old Style" w:hAnsi="Bookman Old Style" w:cs="Arial"/>
          <w:sz w:val="24"/>
          <w:szCs w:val="24"/>
          <w:lang w:val="id-ID"/>
        </w:rPr>
        <w:t>Analisis</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Target</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Pendapatan</w:t>
      </w:r>
      <w:r w:rsidR="00A954D0">
        <w:rPr>
          <w:rFonts w:ascii="Bookman Old Style" w:hAnsi="Bookman Old Style" w:cs="Arial"/>
          <w:sz w:val="24"/>
          <w:szCs w:val="24"/>
          <w:lang w:val="id-ID"/>
        </w:rPr>
        <w:t xml:space="preserve"> </w:t>
      </w:r>
      <w:r w:rsidRPr="000E42D9">
        <w:rPr>
          <w:rFonts w:ascii="Bookman Old Style" w:hAnsi="Bookman Old Style" w:cs="Arial"/>
          <w:color w:val="000000" w:themeColor="text1"/>
          <w:sz w:val="24"/>
          <w:szCs w:val="24"/>
        </w:rPr>
        <w:t>Daerah</w:t>
      </w:r>
    </w:p>
    <w:p w14:paraId="13E44540" w14:textId="357B3B66" w:rsidR="00C81715" w:rsidRPr="000E42D9" w:rsidRDefault="00D40744" w:rsidP="00727324">
      <w:pPr>
        <w:pStyle w:val="ListParagraph"/>
        <w:spacing w:before="60" w:after="0" w:line="276" w:lineRule="auto"/>
        <w:ind w:left="993"/>
        <w:contextualSpacing w:val="0"/>
        <w:jc w:val="both"/>
        <w:rPr>
          <w:rFonts w:ascii="Bookman Old Style" w:hAnsi="Bookman Old Style"/>
          <w:sz w:val="24"/>
          <w:szCs w:val="24"/>
          <w:lang w:val="it-IT"/>
        </w:rPr>
      </w:pPr>
      <w:r w:rsidRPr="000E42D9">
        <w:rPr>
          <w:rFonts w:ascii="Bookman Old Style" w:hAnsi="Bookman Old Style" w:cs="Arial"/>
          <w:sz w:val="24"/>
          <w:szCs w:val="24"/>
          <w:lang w:val="id-ID"/>
        </w:rPr>
        <w:t>Penganggaran</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t</w:t>
      </w:r>
      <w:r w:rsidRPr="000E42D9">
        <w:rPr>
          <w:rFonts w:ascii="Bookman Old Style" w:hAnsi="Bookman Old Style" w:cs="Arial"/>
          <w:sz w:val="24"/>
          <w:szCs w:val="24"/>
          <w:lang w:val="sv-FI"/>
        </w:rPr>
        <w:t>arget</w:t>
      </w:r>
      <w:r w:rsidR="00A954D0">
        <w:rPr>
          <w:rFonts w:ascii="Bookman Old Style" w:hAnsi="Bookman Old Style" w:cs="Arial"/>
          <w:sz w:val="24"/>
          <w:szCs w:val="24"/>
          <w:lang w:val="sv-FI"/>
        </w:rPr>
        <w:t xml:space="preserve"> </w:t>
      </w:r>
      <w:r w:rsidRPr="000E42D9">
        <w:rPr>
          <w:rFonts w:ascii="Bookman Old Style" w:hAnsi="Bookman Old Style" w:cs="Arial"/>
          <w:sz w:val="24"/>
          <w:szCs w:val="24"/>
          <w:lang w:val="sv-FI"/>
        </w:rPr>
        <w:t>pendapatan</w:t>
      </w:r>
      <w:r w:rsidR="00A954D0">
        <w:rPr>
          <w:rFonts w:ascii="Bookman Old Style" w:hAnsi="Bookman Old Style" w:cs="Arial"/>
          <w:sz w:val="24"/>
          <w:szCs w:val="24"/>
          <w:lang w:val="sv-FI"/>
        </w:rPr>
        <w:t xml:space="preserve"> </w:t>
      </w:r>
      <w:r w:rsidRPr="000E42D9">
        <w:rPr>
          <w:rFonts w:ascii="Bookman Old Style" w:hAnsi="Bookman Old Style" w:cs="Arial"/>
          <w:sz w:val="24"/>
          <w:szCs w:val="24"/>
          <w:lang w:val="sv-FI"/>
        </w:rPr>
        <w:t>daerah</w:t>
      </w:r>
      <w:r w:rsidR="00A954D0">
        <w:rPr>
          <w:rFonts w:ascii="Bookman Old Style" w:hAnsi="Bookman Old Style" w:cs="Arial"/>
          <w:sz w:val="24"/>
          <w:szCs w:val="24"/>
          <w:lang w:val="sv-FI"/>
        </w:rPr>
        <w:t xml:space="preserve"> </w:t>
      </w:r>
      <w:r w:rsidRPr="000E42D9">
        <w:rPr>
          <w:rFonts w:ascii="Bookman Old Style" w:hAnsi="Bookman Old Style"/>
          <w:sz w:val="24"/>
          <w:szCs w:val="24"/>
        </w:rPr>
        <w:t>dalam</w:t>
      </w:r>
      <w:r w:rsidR="00A954D0">
        <w:rPr>
          <w:rFonts w:ascii="Bookman Old Style" w:hAnsi="Bookman Old Style"/>
          <w:sz w:val="24"/>
          <w:szCs w:val="24"/>
        </w:rPr>
        <w:t xml:space="preserve"> </w:t>
      </w:r>
      <w:r w:rsidRPr="000E42D9">
        <w:rPr>
          <w:rFonts w:ascii="Bookman Old Style" w:hAnsi="Bookman Old Style"/>
          <w:sz w:val="24"/>
          <w:szCs w:val="24"/>
        </w:rPr>
        <w:t>Rancangan</w:t>
      </w:r>
      <w:r w:rsidR="00A954D0">
        <w:rPr>
          <w:rFonts w:ascii="Bookman Old Style" w:hAnsi="Bookman Old Style"/>
          <w:sz w:val="24"/>
          <w:szCs w:val="24"/>
        </w:rPr>
        <w:t xml:space="preserve"> </w:t>
      </w:r>
      <w:r w:rsidRPr="000E42D9">
        <w:rPr>
          <w:rFonts w:ascii="Bookman Old Style" w:hAnsi="Bookman Old Style"/>
          <w:sz w:val="24"/>
          <w:szCs w:val="24"/>
        </w:rPr>
        <w:t>Peraturan</w:t>
      </w:r>
      <w:r w:rsidR="00A954D0">
        <w:rPr>
          <w:rFonts w:ascii="Bookman Old Style" w:hAnsi="Bookman Old Style"/>
          <w:sz w:val="24"/>
          <w:szCs w:val="24"/>
        </w:rPr>
        <w:t xml:space="preserve"> </w:t>
      </w:r>
      <w:r w:rsidRPr="000E42D9">
        <w:rPr>
          <w:rFonts w:ascii="Bookman Old Style" w:hAnsi="Bookman Old Style"/>
          <w:sz w:val="24"/>
          <w:szCs w:val="24"/>
        </w:rPr>
        <w:t>Daerah</w:t>
      </w:r>
      <w:r w:rsidR="00A954D0">
        <w:rPr>
          <w:rFonts w:ascii="Bookman Old Style" w:hAnsi="Bookman Old Style"/>
          <w:sz w:val="24"/>
          <w:szCs w:val="24"/>
          <w:lang w:val="sv-FI"/>
        </w:rPr>
        <w:t xml:space="preserve"> </w:t>
      </w:r>
      <w:r w:rsidRPr="000E42D9">
        <w:rPr>
          <w:rFonts w:ascii="Bookman Old Style" w:hAnsi="Bookman Old Style"/>
          <w:sz w:val="24"/>
          <w:szCs w:val="24"/>
          <w:lang w:val="fi-FI"/>
        </w:rPr>
        <w:t>Kota</w:t>
      </w:r>
      <w:r w:rsidR="00A954D0">
        <w:rPr>
          <w:rFonts w:ascii="Bookman Old Style" w:hAnsi="Bookman Old Style"/>
          <w:sz w:val="24"/>
          <w:szCs w:val="24"/>
          <w:lang w:val="fi-FI"/>
        </w:rPr>
        <w:t xml:space="preserve"> </w:t>
      </w:r>
      <w:r w:rsidRPr="000E42D9">
        <w:rPr>
          <w:rFonts w:ascii="Bookman Old Style" w:hAnsi="Bookman Old Style"/>
          <w:sz w:val="24"/>
          <w:szCs w:val="24"/>
          <w:lang w:val="fi-FI"/>
        </w:rPr>
        <w:t>Tangerang</w:t>
      </w:r>
      <w:r w:rsidR="00A954D0">
        <w:rPr>
          <w:rFonts w:ascii="Bookman Old Style" w:hAnsi="Bookman Old Style"/>
          <w:sz w:val="24"/>
          <w:szCs w:val="24"/>
          <w:lang w:val="fi-FI"/>
        </w:rPr>
        <w:t xml:space="preserve"> </w:t>
      </w:r>
      <w:r w:rsidRPr="000E42D9">
        <w:rPr>
          <w:rFonts w:ascii="Bookman Old Style" w:hAnsi="Bookman Old Style"/>
          <w:sz w:val="24"/>
          <w:szCs w:val="24"/>
        </w:rPr>
        <w:t>tentang</w:t>
      </w:r>
      <w:r w:rsidR="00A954D0">
        <w:rPr>
          <w:rFonts w:ascii="Bookman Old Style" w:hAnsi="Bookman Old Style"/>
          <w:sz w:val="24"/>
          <w:szCs w:val="24"/>
        </w:rPr>
        <w:t xml:space="preserve"> </w:t>
      </w:r>
      <w:r w:rsidRPr="000E42D9">
        <w:rPr>
          <w:rFonts w:ascii="Bookman Old Style" w:hAnsi="Bookman Old Style"/>
          <w:sz w:val="24"/>
          <w:szCs w:val="24"/>
        </w:rPr>
        <w:t>APBD</w:t>
      </w:r>
      <w:r w:rsidR="00A954D0">
        <w:rPr>
          <w:rFonts w:ascii="Bookman Old Style" w:hAnsi="Bookman Old Style"/>
          <w:sz w:val="24"/>
          <w:szCs w:val="24"/>
        </w:rPr>
        <w:t xml:space="preserve"> </w:t>
      </w:r>
      <w:r w:rsidRPr="000E42D9">
        <w:rPr>
          <w:rFonts w:ascii="Bookman Old Style" w:hAnsi="Bookman Old Style"/>
          <w:sz w:val="24"/>
          <w:szCs w:val="24"/>
        </w:rPr>
        <w:t>Tahun</w:t>
      </w:r>
      <w:r w:rsidR="00A954D0">
        <w:rPr>
          <w:rFonts w:ascii="Bookman Old Style" w:hAnsi="Bookman Old Style"/>
          <w:sz w:val="24"/>
          <w:szCs w:val="24"/>
        </w:rPr>
        <w:t xml:space="preserve"> </w:t>
      </w:r>
      <w:r w:rsidRPr="000E42D9">
        <w:rPr>
          <w:rFonts w:ascii="Bookman Old Style" w:hAnsi="Bookman Old Style"/>
          <w:sz w:val="24"/>
          <w:szCs w:val="24"/>
        </w:rPr>
        <w:t>Anggaran</w:t>
      </w:r>
      <w:r w:rsidR="00A954D0">
        <w:rPr>
          <w:rFonts w:ascii="Bookman Old Style" w:hAnsi="Bookman Old Style"/>
          <w:sz w:val="24"/>
          <w:szCs w:val="24"/>
        </w:rPr>
        <w:t xml:space="preserve"> </w:t>
      </w:r>
      <w:r w:rsidRPr="000E42D9">
        <w:rPr>
          <w:rFonts w:ascii="Bookman Old Style" w:hAnsi="Bookman Old Style"/>
          <w:sz w:val="24"/>
          <w:szCs w:val="24"/>
        </w:rPr>
        <w:t>202</w:t>
      </w:r>
      <w:r w:rsidRPr="000E42D9">
        <w:rPr>
          <w:rFonts w:ascii="Bookman Old Style" w:hAnsi="Bookman Old Style"/>
          <w:sz w:val="24"/>
          <w:szCs w:val="24"/>
          <w:lang w:val="it-IT"/>
        </w:rPr>
        <w:t>5</w:t>
      </w:r>
      <w:r w:rsidR="00A954D0">
        <w:rPr>
          <w:rFonts w:ascii="Bookman Old Style" w:hAnsi="Bookman Old Style"/>
          <w:sz w:val="24"/>
          <w:szCs w:val="24"/>
          <w:lang w:val="it-IT"/>
        </w:rPr>
        <w:t xml:space="preserve"> </w:t>
      </w:r>
      <w:r w:rsidRPr="000E42D9">
        <w:rPr>
          <w:rFonts w:ascii="Bookman Old Style" w:hAnsi="Bookman Old Style"/>
          <w:sz w:val="24"/>
          <w:szCs w:val="24"/>
          <w:lang w:val="it-IT"/>
        </w:rPr>
        <w:t>Rp5.305.810.729.910,00.</w:t>
      </w:r>
    </w:p>
    <w:p w14:paraId="774087A1" w14:textId="4A957D86" w:rsidR="00AC3F97" w:rsidRDefault="00053117" w:rsidP="00727324">
      <w:pPr>
        <w:pStyle w:val="ListParagraph"/>
        <w:spacing w:before="60" w:after="0" w:line="276" w:lineRule="auto"/>
        <w:ind w:left="993"/>
        <w:contextualSpacing w:val="0"/>
        <w:jc w:val="both"/>
        <w:rPr>
          <w:rFonts w:ascii="Bookman Old Style" w:hAnsi="Bookman Old Style" w:cs="Arial"/>
          <w:sz w:val="24"/>
          <w:szCs w:val="24"/>
          <w:lang w:val="id-ID"/>
        </w:rPr>
      </w:pPr>
      <w:r w:rsidRPr="000E42D9">
        <w:rPr>
          <w:rFonts w:ascii="Bookman Old Style" w:hAnsi="Bookman Old Style"/>
          <w:sz w:val="24"/>
          <w:szCs w:val="24"/>
          <w:lang w:val="it-IT"/>
        </w:rPr>
        <w:t>Tren</w:t>
      </w:r>
      <w:r w:rsidR="00A954D0">
        <w:rPr>
          <w:rFonts w:ascii="Bookman Old Style" w:hAnsi="Bookman Old Style"/>
          <w:sz w:val="24"/>
          <w:szCs w:val="24"/>
          <w:lang w:val="it-IT"/>
        </w:rPr>
        <w:t xml:space="preserve"> </w:t>
      </w:r>
      <w:r w:rsidR="00F52203" w:rsidRPr="000E42D9">
        <w:rPr>
          <w:rFonts w:ascii="Bookman Old Style" w:hAnsi="Bookman Old Style"/>
          <w:sz w:val="24"/>
          <w:szCs w:val="24"/>
          <w:lang w:val="it-IT"/>
        </w:rPr>
        <w:t>Anggaran</w:t>
      </w:r>
      <w:r w:rsidR="00A954D0">
        <w:rPr>
          <w:rFonts w:ascii="Bookman Old Style" w:hAnsi="Bookman Old Style"/>
          <w:sz w:val="24"/>
          <w:szCs w:val="24"/>
          <w:lang w:val="it-IT"/>
        </w:rPr>
        <w:t xml:space="preserve"> </w:t>
      </w:r>
      <w:r w:rsidR="00F52203" w:rsidRPr="000E42D9">
        <w:rPr>
          <w:rFonts w:ascii="Bookman Old Style" w:hAnsi="Bookman Old Style"/>
          <w:sz w:val="24"/>
          <w:szCs w:val="24"/>
          <w:lang w:val="it-IT"/>
        </w:rPr>
        <w:t>dan</w:t>
      </w:r>
      <w:r w:rsidR="00A954D0">
        <w:rPr>
          <w:rFonts w:ascii="Bookman Old Style" w:hAnsi="Bookman Old Style"/>
          <w:sz w:val="24"/>
          <w:szCs w:val="24"/>
          <w:lang w:val="it-IT"/>
        </w:rPr>
        <w:t xml:space="preserve"> </w:t>
      </w:r>
      <w:r w:rsidR="00F52203" w:rsidRPr="000E42D9">
        <w:rPr>
          <w:rFonts w:ascii="Bookman Old Style" w:hAnsi="Bookman Old Style"/>
          <w:sz w:val="24"/>
          <w:szCs w:val="24"/>
          <w:lang w:val="it-IT"/>
        </w:rPr>
        <w:t>Realisasi</w:t>
      </w:r>
      <w:r w:rsidR="00A954D0">
        <w:rPr>
          <w:rFonts w:ascii="Bookman Old Style" w:hAnsi="Bookman Old Style"/>
          <w:sz w:val="24"/>
          <w:szCs w:val="24"/>
          <w:lang w:val="it-IT"/>
        </w:rPr>
        <w:t xml:space="preserve"> </w:t>
      </w:r>
      <w:r w:rsidR="00F52203" w:rsidRPr="000E42D9">
        <w:rPr>
          <w:rFonts w:ascii="Bookman Old Style" w:hAnsi="Bookman Old Style"/>
          <w:sz w:val="24"/>
          <w:szCs w:val="24"/>
          <w:lang w:val="it-IT"/>
        </w:rPr>
        <w:t>Pendapatan</w:t>
      </w:r>
      <w:r w:rsidR="00A954D0">
        <w:rPr>
          <w:rFonts w:ascii="Bookman Old Style" w:hAnsi="Bookman Old Style"/>
          <w:sz w:val="24"/>
          <w:szCs w:val="24"/>
          <w:lang w:val="it-IT"/>
        </w:rPr>
        <w:t xml:space="preserve"> </w:t>
      </w:r>
      <w:r w:rsidR="00F52203" w:rsidRPr="000E42D9">
        <w:rPr>
          <w:rFonts w:ascii="Bookman Old Style" w:hAnsi="Bookman Old Style"/>
          <w:sz w:val="24"/>
          <w:szCs w:val="24"/>
          <w:lang w:val="it-IT"/>
        </w:rPr>
        <w:t>Daerah</w:t>
      </w:r>
      <w:r w:rsidR="00A954D0">
        <w:rPr>
          <w:rFonts w:ascii="Bookman Old Style" w:hAnsi="Bookman Old Style"/>
          <w:sz w:val="24"/>
          <w:szCs w:val="24"/>
          <w:lang w:val="it-IT"/>
        </w:rPr>
        <w:t xml:space="preserve"> </w:t>
      </w:r>
      <w:r w:rsidR="00046408" w:rsidRPr="000E42D9">
        <w:rPr>
          <w:rFonts w:ascii="Bookman Old Style" w:hAnsi="Bookman Old Style"/>
          <w:sz w:val="24"/>
          <w:szCs w:val="24"/>
          <w:lang w:val="fi-FI"/>
        </w:rPr>
        <w:t>Kota</w:t>
      </w:r>
      <w:r w:rsidR="00A954D0">
        <w:rPr>
          <w:rFonts w:ascii="Bookman Old Style" w:hAnsi="Bookman Old Style"/>
          <w:sz w:val="24"/>
          <w:szCs w:val="24"/>
          <w:lang w:val="fi-FI"/>
        </w:rPr>
        <w:t xml:space="preserve"> </w:t>
      </w:r>
      <w:r w:rsidR="00770F22" w:rsidRPr="000E42D9">
        <w:rPr>
          <w:rFonts w:ascii="Bookman Old Style" w:hAnsi="Bookman Old Style"/>
          <w:sz w:val="24"/>
          <w:szCs w:val="24"/>
          <w:lang w:val="fi-FI"/>
        </w:rPr>
        <w:t>Tangerang</w:t>
      </w:r>
      <w:r w:rsidR="00A954D0">
        <w:rPr>
          <w:rFonts w:ascii="Bookman Old Style" w:hAnsi="Bookman Old Style"/>
          <w:sz w:val="24"/>
          <w:szCs w:val="24"/>
          <w:lang w:val="fi-FI"/>
        </w:rPr>
        <w:t xml:space="preserve"> </w:t>
      </w:r>
      <w:r w:rsidR="00F52203" w:rsidRPr="000E42D9">
        <w:rPr>
          <w:rFonts w:ascii="Bookman Old Style" w:hAnsi="Bookman Old Style"/>
          <w:sz w:val="24"/>
          <w:szCs w:val="24"/>
          <w:lang w:val="it-IT"/>
        </w:rPr>
        <w:t>5</w:t>
      </w:r>
      <w:r w:rsidR="00A954D0">
        <w:rPr>
          <w:rFonts w:ascii="Bookman Old Style" w:hAnsi="Bookman Old Style"/>
          <w:sz w:val="24"/>
          <w:szCs w:val="24"/>
          <w:lang w:val="it-IT"/>
        </w:rPr>
        <w:t xml:space="preserve"> </w:t>
      </w:r>
      <w:r w:rsidR="00F52203" w:rsidRPr="000E42D9">
        <w:rPr>
          <w:rFonts w:ascii="Bookman Old Style" w:hAnsi="Bookman Old Style"/>
          <w:sz w:val="24"/>
          <w:szCs w:val="24"/>
          <w:lang w:val="it-IT"/>
        </w:rPr>
        <w:t>(lima)</w:t>
      </w:r>
      <w:r w:rsidR="00A954D0">
        <w:rPr>
          <w:rFonts w:ascii="Bookman Old Style" w:hAnsi="Bookman Old Style"/>
          <w:sz w:val="24"/>
          <w:szCs w:val="24"/>
          <w:lang w:val="it-IT"/>
        </w:rPr>
        <w:t xml:space="preserve"> </w:t>
      </w:r>
      <w:r w:rsidR="00F52203" w:rsidRPr="000E42D9">
        <w:rPr>
          <w:rFonts w:ascii="Bookman Old Style" w:hAnsi="Bookman Old Style"/>
          <w:sz w:val="24"/>
          <w:szCs w:val="24"/>
          <w:lang w:val="it-IT"/>
        </w:rPr>
        <w:t>tahun</w:t>
      </w:r>
      <w:r w:rsidR="00A954D0">
        <w:rPr>
          <w:rFonts w:ascii="Bookman Old Style" w:hAnsi="Bookman Old Style"/>
          <w:sz w:val="24"/>
          <w:szCs w:val="24"/>
          <w:lang w:val="it-IT"/>
        </w:rPr>
        <w:t xml:space="preserve"> </w:t>
      </w:r>
      <w:r w:rsidR="00F52203" w:rsidRPr="000E42D9">
        <w:rPr>
          <w:rFonts w:ascii="Bookman Old Style" w:hAnsi="Bookman Old Style"/>
          <w:sz w:val="24"/>
          <w:szCs w:val="24"/>
          <w:lang w:val="it-IT"/>
        </w:rPr>
        <w:t>terakhir,</w:t>
      </w:r>
      <w:r w:rsidR="00A954D0">
        <w:rPr>
          <w:rFonts w:ascii="Bookman Old Style" w:hAnsi="Bookman Old Style"/>
          <w:sz w:val="24"/>
          <w:szCs w:val="24"/>
          <w:lang w:val="it-IT"/>
        </w:rPr>
        <w:t xml:space="preserve"> </w:t>
      </w:r>
      <w:r w:rsidR="00F52203" w:rsidRPr="000E42D9">
        <w:rPr>
          <w:rFonts w:ascii="Bookman Old Style" w:hAnsi="Bookman Old Style" w:cs="Arial"/>
          <w:sz w:val="24"/>
          <w:szCs w:val="24"/>
        </w:rPr>
        <w:t>sebagaimana</w:t>
      </w:r>
      <w:r w:rsidR="00A954D0">
        <w:rPr>
          <w:rFonts w:ascii="Bookman Old Style" w:hAnsi="Bookman Old Style" w:cs="Arial"/>
          <w:sz w:val="24"/>
          <w:szCs w:val="24"/>
        </w:rPr>
        <w:t xml:space="preserve"> </w:t>
      </w:r>
      <w:r w:rsidR="00F52203" w:rsidRPr="000E42D9">
        <w:rPr>
          <w:rFonts w:ascii="Bookman Old Style" w:hAnsi="Bookman Old Style" w:cs="Arial"/>
          <w:sz w:val="24"/>
          <w:szCs w:val="24"/>
        </w:rPr>
        <w:t>Tabel</w:t>
      </w:r>
      <w:r w:rsidR="00A954D0">
        <w:rPr>
          <w:rFonts w:ascii="Bookman Old Style" w:hAnsi="Bookman Old Style" w:cs="Arial"/>
          <w:sz w:val="24"/>
          <w:szCs w:val="24"/>
        </w:rPr>
        <w:t xml:space="preserve"> </w:t>
      </w:r>
      <w:r w:rsidR="003F64EB" w:rsidRPr="000E42D9">
        <w:rPr>
          <w:rFonts w:ascii="Bookman Old Style" w:hAnsi="Bookman Old Style" w:cs="Arial"/>
          <w:sz w:val="24"/>
          <w:szCs w:val="24"/>
        </w:rPr>
        <w:t>13</w:t>
      </w:r>
      <w:r w:rsidR="00A954D0">
        <w:rPr>
          <w:rFonts w:ascii="Bookman Old Style" w:hAnsi="Bookman Old Style" w:cs="Arial"/>
          <w:sz w:val="24"/>
          <w:szCs w:val="24"/>
        </w:rPr>
        <w:t xml:space="preserve"> </w:t>
      </w:r>
      <w:r w:rsidR="00F52203" w:rsidRPr="000E42D9">
        <w:rPr>
          <w:rFonts w:ascii="Bookman Old Style" w:hAnsi="Bookman Old Style" w:cs="Arial"/>
          <w:sz w:val="24"/>
          <w:szCs w:val="24"/>
        </w:rPr>
        <w:t>sebagai</w:t>
      </w:r>
      <w:r w:rsidR="00A954D0">
        <w:rPr>
          <w:rFonts w:ascii="Bookman Old Style" w:hAnsi="Bookman Old Style" w:cs="Arial"/>
          <w:sz w:val="24"/>
          <w:szCs w:val="24"/>
        </w:rPr>
        <w:t xml:space="preserve"> </w:t>
      </w:r>
      <w:r w:rsidR="00F52203" w:rsidRPr="000E42D9">
        <w:rPr>
          <w:rFonts w:ascii="Bookman Old Style" w:hAnsi="Bookman Old Style" w:cs="Arial"/>
          <w:sz w:val="24"/>
          <w:szCs w:val="24"/>
        </w:rPr>
        <w:t>berikut</w:t>
      </w:r>
      <w:r w:rsidR="00F52203" w:rsidRPr="000E42D9">
        <w:rPr>
          <w:rFonts w:ascii="Bookman Old Style" w:hAnsi="Bookman Old Style" w:cs="Arial"/>
          <w:sz w:val="24"/>
          <w:szCs w:val="24"/>
          <w:lang w:val="id-ID"/>
        </w:rPr>
        <w:t>:</w:t>
      </w:r>
    </w:p>
    <w:p w14:paraId="5866BC5C" w14:textId="77777777" w:rsidR="00881362" w:rsidRDefault="00881362" w:rsidP="00727324">
      <w:pPr>
        <w:pStyle w:val="ListParagraph"/>
        <w:spacing w:before="60" w:after="0" w:line="276" w:lineRule="auto"/>
        <w:ind w:left="993"/>
        <w:contextualSpacing w:val="0"/>
        <w:jc w:val="both"/>
        <w:rPr>
          <w:rFonts w:ascii="Bookman Old Style" w:hAnsi="Bookman Old Style" w:cs="Arial"/>
          <w:sz w:val="24"/>
          <w:szCs w:val="24"/>
          <w:lang w:val="id-ID"/>
        </w:rPr>
      </w:pPr>
    </w:p>
    <w:p w14:paraId="6F48D98B" w14:textId="77777777" w:rsidR="00881362" w:rsidRDefault="00881362" w:rsidP="00727324">
      <w:pPr>
        <w:pStyle w:val="ListParagraph"/>
        <w:spacing w:before="60" w:after="0" w:line="276" w:lineRule="auto"/>
        <w:ind w:left="993"/>
        <w:contextualSpacing w:val="0"/>
        <w:jc w:val="both"/>
        <w:rPr>
          <w:rFonts w:ascii="Bookman Old Style" w:hAnsi="Bookman Old Style" w:cs="Arial"/>
          <w:sz w:val="24"/>
          <w:szCs w:val="24"/>
          <w:lang w:val="id-ID"/>
        </w:rPr>
      </w:pPr>
    </w:p>
    <w:p w14:paraId="067741A6" w14:textId="77777777" w:rsidR="00881362" w:rsidRDefault="00881362" w:rsidP="00727324">
      <w:pPr>
        <w:pStyle w:val="ListParagraph"/>
        <w:spacing w:before="60" w:after="0" w:line="276" w:lineRule="auto"/>
        <w:ind w:left="993"/>
        <w:contextualSpacing w:val="0"/>
        <w:jc w:val="both"/>
        <w:rPr>
          <w:rFonts w:ascii="Bookman Old Style" w:hAnsi="Bookman Old Style" w:cs="Arial"/>
          <w:sz w:val="24"/>
          <w:szCs w:val="24"/>
          <w:lang w:val="id-ID"/>
        </w:rPr>
      </w:pPr>
    </w:p>
    <w:p w14:paraId="26D27665" w14:textId="77777777" w:rsidR="00881362" w:rsidRDefault="00881362" w:rsidP="00727324">
      <w:pPr>
        <w:pStyle w:val="ListParagraph"/>
        <w:spacing w:before="60" w:after="0" w:line="276" w:lineRule="auto"/>
        <w:ind w:left="993"/>
        <w:contextualSpacing w:val="0"/>
        <w:jc w:val="both"/>
        <w:rPr>
          <w:rFonts w:ascii="Bookman Old Style" w:hAnsi="Bookman Old Style" w:cs="Arial"/>
          <w:sz w:val="24"/>
          <w:szCs w:val="24"/>
          <w:lang w:val="id-ID"/>
        </w:rPr>
      </w:pPr>
    </w:p>
    <w:p w14:paraId="7E087381" w14:textId="77777777" w:rsidR="00881362" w:rsidRDefault="00881362" w:rsidP="00727324">
      <w:pPr>
        <w:pStyle w:val="ListParagraph"/>
        <w:spacing w:before="60" w:after="0" w:line="276" w:lineRule="auto"/>
        <w:ind w:left="993"/>
        <w:contextualSpacing w:val="0"/>
        <w:jc w:val="both"/>
        <w:rPr>
          <w:rFonts w:ascii="Bookman Old Style" w:hAnsi="Bookman Old Style" w:cs="Arial"/>
          <w:sz w:val="24"/>
          <w:szCs w:val="24"/>
          <w:lang w:val="id-ID"/>
        </w:rPr>
      </w:pPr>
    </w:p>
    <w:p w14:paraId="3E662769" w14:textId="77777777" w:rsidR="00881362" w:rsidRPr="000E42D9" w:rsidRDefault="00881362" w:rsidP="00727324">
      <w:pPr>
        <w:pStyle w:val="ListParagraph"/>
        <w:spacing w:before="60" w:after="0" w:line="276" w:lineRule="auto"/>
        <w:ind w:left="993"/>
        <w:contextualSpacing w:val="0"/>
        <w:jc w:val="both"/>
        <w:rPr>
          <w:rFonts w:ascii="Bookman Old Style" w:hAnsi="Bookman Old Style" w:cs="Arial"/>
          <w:sz w:val="24"/>
          <w:szCs w:val="24"/>
          <w:lang w:val="id-ID"/>
        </w:rPr>
      </w:pPr>
    </w:p>
    <w:p w14:paraId="646DFD74" w14:textId="0AB7081C" w:rsidR="008448F1" w:rsidRPr="000E42D9" w:rsidRDefault="00AC3F97" w:rsidP="00CB4E17">
      <w:pPr>
        <w:spacing w:before="60" w:line="276" w:lineRule="auto"/>
        <w:ind w:left="993"/>
        <w:jc w:val="center"/>
        <w:rPr>
          <w:rFonts w:ascii="Bookman Old Style" w:hAnsi="Bookman Old Style" w:cs="Arial"/>
          <w:color w:val="000000" w:themeColor="text1"/>
          <w:lang w:val="sv-FI" w:eastAsia="x-none"/>
        </w:rPr>
      </w:pPr>
      <w:r w:rsidRPr="000E42D9">
        <w:rPr>
          <w:rFonts w:ascii="Bookman Old Style" w:hAnsi="Bookman Old Style" w:cs="Arial"/>
          <w:color w:val="000000" w:themeColor="text1"/>
          <w:lang w:val="sv-FI"/>
        </w:rPr>
        <w:lastRenderedPageBreak/>
        <w:t>Tabel</w:t>
      </w:r>
      <w:r w:rsidR="00A954D0">
        <w:rPr>
          <w:rFonts w:ascii="Bookman Old Style" w:hAnsi="Bookman Old Style" w:cs="Arial"/>
          <w:color w:val="000000" w:themeColor="text1"/>
          <w:lang w:val="sv-FI"/>
        </w:rPr>
        <w:t xml:space="preserve"> </w:t>
      </w:r>
      <w:r w:rsidR="003F64EB" w:rsidRPr="000E42D9">
        <w:rPr>
          <w:rFonts w:ascii="Bookman Old Style" w:hAnsi="Bookman Old Style" w:cs="Arial"/>
          <w:color w:val="000000" w:themeColor="text1"/>
          <w:lang w:val="sv-FI"/>
        </w:rPr>
        <w:t>13</w:t>
      </w:r>
    </w:p>
    <w:p w14:paraId="2FEFE3DE" w14:textId="33487682" w:rsidR="00AC3F97" w:rsidRPr="000E42D9" w:rsidRDefault="00AC3F97" w:rsidP="00CB4E17">
      <w:pPr>
        <w:pStyle w:val="ListParagraph"/>
        <w:spacing w:after="120" w:line="276" w:lineRule="auto"/>
        <w:ind w:left="993"/>
        <w:contextualSpacing w:val="0"/>
        <w:jc w:val="center"/>
        <w:rPr>
          <w:rFonts w:ascii="Bookman Old Style" w:hAnsi="Bookman Old Style" w:cs="Tahoma"/>
          <w:noProof/>
          <w:sz w:val="24"/>
          <w:szCs w:val="24"/>
        </w:rPr>
      </w:pPr>
      <w:r w:rsidRPr="000E42D9">
        <w:rPr>
          <w:rFonts w:ascii="Bookman Old Style" w:hAnsi="Bookman Old Style" w:cs="Tahoma"/>
          <w:noProof/>
          <w:sz w:val="24"/>
          <w:szCs w:val="24"/>
        </w:rPr>
        <w:t>Anggaran</w:t>
      </w:r>
      <w:r w:rsidR="00A954D0">
        <w:rPr>
          <w:rFonts w:ascii="Bookman Old Style" w:hAnsi="Bookman Old Style" w:cs="Tahoma"/>
          <w:noProof/>
          <w:sz w:val="24"/>
          <w:szCs w:val="24"/>
        </w:rPr>
        <w:t xml:space="preserve"> </w:t>
      </w:r>
      <w:r w:rsidRPr="000E42D9">
        <w:rPr>
          <w:rFonts w:ascii="Bookman Old Style" w:hAnsi="Bookman Old Style" w:cs="Tahoma"/>
          <w:noProof/>
          <w:sz w:val="24"/>
          <w:szCs w:val="24"/>
        </w:rPr>
        <w:t>dan</w:t>
      </w:r>
      <w:r w:rsidR="00A954D0">
        <w:rPr>
          <w:rFonts w:ascii="Bookman Old Style" w:hAnsi="Bookman Old Style" w:cs="Tahoma"/>
          <w:noProof/>
          <w:sz w:val="24"/>
          <w:szCs w:val="24"/>
        </w:rPr>
        <w:t xml:space="preserve"> </w:t>
      </w:r>
      <w:r w:rsidRPr="000E42D9">
        <w:rPr>
          <w:rFonts w:ascii="Bookman Old Style" w:hAnsi="Bookman Old Style" w:cs="Tahoma"/>
          <w:noProof/>
          <w:sz w:val="24"/>
          <w:szCs w:val="24"/>
        </w:rPr>
        <w:t>Realisasi</w:t>
      </w:r>
      <w:r w:rsidR="00A954D0">
        <w:rPr>
          <w:rFonts w:ascii="Bookman Old Style" w:hAnsi="Bookman Old Style" w:cs="Tahoma"/>
          <w:noProof/>
          <w:sz w:val="24"/>
          <w:szCs w:val="24"/>
        </w:rPr>
        <w:t xml:space="preserve"> </w:t>
      </w:r>
      <w:r w:rsidRPr="000E42D9">
        <w:rPr>
          <w:rFonts w:ascii="Bookman Old Style" w:hAnsi="Bookman Old Style" w:cs="Tahoma"/>
          <w:noProof/>
          <w:sz w:val="24"/>
          <w:szCs w:val="24"/>
        </w:rPr>
        <w:t>Pendapatan</w:t>
      </w:r>
      <w:r w:rsidR="00A954D0">
        <w:rPr>
          <w:rFonts w:ascii="Bookman Old Style" w:hAnsi="Bookman Old Style" w:cs="Tahoma"/>
          <w:noProof/>
          <w:sz w:val="24"/>
          <w:szCs w:val="24"/>
        </w:rPr>
        <w:t xml:space="preserve"> </w:t>
      </w:r>
      <w:r w:rsidRPr="000E42D9">
        <w:rPr>
          <w:rFonts w:ascii="Bookman Old Style" w:hAnsi="Bookman Old Style" w:cs="Tahoma"/>
          <w:noProof/>
          <w:sz w:val="24"/>
          <w:szCs w:val="24"/>
        </w:rPr>
        <w:t>5</w:t>
      </w:r>
      <w:r w:rsidR="00A954D0">
        <w:rPr>
          <w:rFonts w:ascii="Bookman Old Style" w:hAnsi="Bookman Old Style" w:cs="Tahoma"/>
          <w:noProof/>
          <w:sz w:val="24"/>
          <w:szCs w:val="24"/>
        </w:rPr>
        <w:t xml:space="preserve"> </w:t>
      </w:r>
      <w:r w:rsidRPr="000E42D9">
        <w:rPr>
          <w:rFonts w:ascii="Bookman Old Style" w:hAnsi="Bookman Old Style" w:cs="Tahoma"/>
          <w:noProof/>
          <w:sz w:val="24"/>
          <w:szCs w:val="24"/>
        </w:rPr>
        <w:t>(Lima)</w:t>
      </w:r>
      <w:r w:rsidR="00A954D0">
        <w:rPr>
          <w:rFonts w:ascii="Bookman Old Style" w:hAnsi="Bookman Old Style" w:cs="Tahoma"/>
          <w:noProof/>
          <w:sz w:val="24"/>
          <w:szCs w:val="24"/>
        </w:rPr>
        <w:t xml:space="preserve"> </w:t>
      </w:r>
      <w:r w:rsidRPr="000E42D9">
        <w:rPr>
          <w:rFonts w:ascii="Bookman Old Style" w:hAnsi="Bookman Old Style" w:cs="Tahoma"/>
          <w:noProof/>
          <w:sz w:val="24"/>
          <w:szCs w:val="24"/>
        </w:rPr>
        <w:t>Tahun</w:t>
      </w:r>
      <w:r w:rsidR="00A954D0">
        <w:rPr>
          <w:rFonts w:ascii="Bookman Old Style" w:hAnsi="Bookman Old Style" w:cs="Tahoma"/>
          <w:noProof/>
          <w:sz w:val="24"/>
          <w:szCs w:val="24"/>
        </w:rPr>
        <w:t xml:space="preserve"> </w:t>
      </w:r>
      <w:r w:rsidRPr="000E42D9">
        <w:rPr>
          <w:rFonts w:ascii="Bookman Old Style" w:hAnsi="Bookman Old Style" w:cs="Tahoma"/>
          <w:noProof/>
          <w:sz w:val="24"/>
          <w:szCs w:val="24"/>
        </w:rPr>
        <w:t>Terakhir</w:t>
      </w:r>
    </w:p>
    <w:tbl>
      <w:tblPr>
        <w:tblStyle w:val="TableGrid4"/>
        <w:tblW w:w="7654" w:type="dxa"/>
        <w:tblInd w:w="1129" w:type="dxa"/>
        <w:tblLook w:val="04A0" w:firstRow="1" w:lastRow="0" w:firstColumn="1" w:lastColumn="0" w:noHBand="0" w:noVBand="1"/>
      </w:tblPr>
      <w:tblGrid>
        <w:gridCol w:w="1271"/>
        <w:gridCol w:w="2556"/>
        <w:gridCol w:w="2551"/>
        <w:gridCol w:w="1276"/>
      </w:tblGrid>
      <w:tr w:rsidR="006B1BE1" w:rsidRPr="00E6609B" w14:paraId="41D886EC" w14:textId="77777777" w:rsidTr="004838C6">
        <w:tc>
          <w:tcPr>
            <w:tcW w:w="1271" w:type="dxa"/>
            <w:shd w:val="clear" w:color="auto" w:fill="auto"/>
            <w:vAlign w:val="center"/>
          </w:tcPr>
          <w:p w14:paraId="1AD3599D" w14:textId="77777777" w:rsidR="006B1BE1" w:rsidRPr="00E6609B" w:rsidRDefault="006B1BE1" w:rsidP="00672D8A">
            <w:pPr>
              <w:pStyle w:val="ListParagraph"/>
              <w:spacing w:after="0" w:line="240" w:lineRule="auto"/>
              <w:ind w:left="0"/>
              <w:contextualSpacing w:val="0"/>
              <w:jc w:val="center"/>
              <w:rPr>
                <w:rFonts w:ascii="Bookman Old Style" w:eastAsia="Bookman Old Style" w:hAnsi="Bookman Old Style" w:cs="Bookman Old Style"/>
                <w:b/>
                <w:bCs/>
                <w:sz w:val="20"/>
                <w:szCs w:val="20"/>
                <w:lang w:val="id-ID"/>
              </w:rPr>
            </w:pPr>
            <w:r w:rsidRPr="00E6609B">
              <w:rPr>
                <w:rFonts w:ascii="Bookman Old Style" w:eastAsia="Bookman Old Style" w:hAnsi="Bookman Old Style" w:cs="Bookman Old Style"/>
                <w:b/>
                <w:bCs/>
                <w:sz w:val="20"/>
                <w:szCs w:val="20"/>
                <w:lang w:val="id-ID"/>
              </w:rPr>
              <w:t>Tahun</w:t>
            </w:r>
          </w:p>
        </w:tc>
        <w:tc>
          <w:tcPr>
            <w:tcW w:w="2556" w:type="dxa"/>
            <w:shd w:val="clear" w:color="auto" w:fill="auto"/>
            <w:vAlign w:val="center"/>
          </w:tcPr>
          <w:p w14:paraId="392193A2" w14:textId="0C94C5B3" w:rsidR="006B1BE1" w:rsidRPr="00E6609B" w:rsidRDefault="006B1BE1" w:rsidP="00672D8A">
            <w:pPr>
              <w:pStyle w:val="ListParagraph"/>
              <w:spacing w:after="0" w:line="240" w:lineRule="auto"/>
              <w:ind w:left="0"/>
              <w:contextualSpacing w:val="0"/>
              <w:jc w:val="center"/>
              <w:rPr>
                <w:rFonts w:ascii="Bookman Old Style" w:eastAsia="Bookman Old Style" w:hAnsi="Bookman Old Style" w:cs="Bookman Old Style"/>
                <w:b/>
                <w:bCs/>
                <w:sz w:val="20"/>
                <w:szCs w:val="20"/>
                <w:lang w:val="id-ID"/>
              </w:rPr>
            </w:pPr>
            <w:r w:rsidRPr="00E6609B">
              <w:rPr>
                <w:rFonts w:ascii="Bookman Old Style" w:eastAsia="Bookman Old Style" w:hAnsi="Bookman Old Style" w:cs="Bookman Old Style"/>
                <w:b/>
                <w:bCs/>
                <w:sz w:val="20"/>
                <w:szCs w:val="20"/>
                <w:lang w:val="id-ID"/>
              </w:rPr>
              <w:t>Anggaran</w:t>
            </w:r>
            <w:r w:rsidR="00A954D0">
              <w:rPr>
                <w:rFonts w:ascii="Bookman Old Style" w:eastAsia="Bookman Old Style" w:hAnsi="Bookman Old Style" w:cs="Bookman Old Style"/>
                <w:b/>
                <w:bCs/>
                <w:sz w:val="20"/>
                <w:szCs w:val="20"/>
                <w:lang w:val="id-ID"/>
              </w:rPr>
              <w:t xml:space="preserve"> </w:t>
            </w:r>
            <w:r w:rsidRPr="00E6609B">
              <w:rPr>
                <w:rFonts w:ascii="Bookman Old Style" w:eastAsia="Bookman Old Style" w:hAnsi="Bookman Old Style" w:cs="Bookman Old Style"/>
                <w:b/>
                <w:bCs/>
                <w:sz w:val="20"/>
                <w:szCs w:val="20"/>
                <w:lang w:val="id-ID"/>
              </w:rPr>
              <w:t>Pendapatan</w:t>
            </w:r>
          </w:p>
          <w:p w14:paraId="58297F26" w14:textId="77777777" w:rsidR="006B1BE1" w:rsidRPr="00E6609B" w:rsidRDefault="006B1BE1" w:rsidP="00672D8A">
            <w:pPr>
              <w:pStyle w:val="ListParagraph"/>
              <w:spacing w:after="0" w:line="240" w:lineRule="auto"/>
              <w:ind w:left="0"/>
              <w:contextualSpacing w:val="0"/>
              <w:jc w:val="center"/>
              <w:rPr>
                <w:rFonts w:ascii="Bookman Old Style" w:eastAsia="Bookman Old Style" w:hAnsi="Bookman Old Style" w:cs="Bookman Old Style"/>
                <w:b/>
                <w:bCs/>
                <w:sz w:val="20"/>
                <w:szCs w:val="20"/>
                <w:lang w:val="id-ID"/>
              </w:rPr>
            </w:pPr>
            <w:r w:rsidRPr="00E6609B">
              <w:rPr>
                <w:rFonts w:ascii="Bookman Old Style" w:eastAsia="Bookman Old Style" w:hAnsi="Bookman Old Style" w:cs="Bookman Old Style"/>
                <w:b/>
                <w:bCs/>
                <w:sz w:val="20"/>
                <w:szCs w:val="20"/>
                <w:lang w:val="id-ID"/>
              </w:rPr>
              <w:t>(Rp)</w:t>
            </w:r>
          </w:p>
        </w:tc>
        <w:tc>
          <w:tcPr>
            <w:tcW w:w="2551" w:type="dxa"/>
            <w:shd w:val="clear" w:color="auto" w:fill="auto"/>
            <w:vAlign w:val="center"/>
          </w:tcPr>
          <w:p w14:paraId="4AFFB1B7" w14:textId="0931EF6F" w:rsidR="006B1BE1" w:rsidRPr="00E6609B" w:rsidRDefault="006B1BE1" w:rsidP="00672D8A">
            <w:pPr>
              <w:pStyle w:val="ListParagraph"/>
              <w:spacing w:after="0" w:line="240" w:lineRule="auto"/>
              <w:ind w:left="0"/>
              <w:contextualSpacing w:val="0"/>
              <w:jc w:val="center"/>
              <w:rPr>
                <w:rFonts w:ascii="Bookman Old Style" w:eastAsia="Bookman Old Style" w:hAnsi="Bookman Old Style" w:cs="Bookman Old Style"/>
                <w:b/>
                <w:bCs/>
                <w:sz w:val="20"/>
                <w:szCs w:val="20"/>
                <w:lang w:val="id-ID"/>
              </w:rPr>
            </w:pPr>
            <w:r w:rsidRPr="00E6609B">
              <w:rPr>
                <w:rFonts w:ascii="Bookman Old Style" w:eastAsia="Bookman Old Style" w:hAnsi="Bookman Old Style" w:cs="Bookman Old Style"/>
                <w:b/>
                <w:bCs/>
                <w:sz w:val="20"/>
                <w:szCs w:val="20"/>
                <w:lang w:val="id-ID"/>
              </w:rPr>
              <w:t>Realisasi</w:t>
            </w:r>
            <w:r w:rsidR="00A954D0">
              <w:rPr>
                <w:rFonts w:ascii="Bookman Old Style" w:eastAsia="Bookman Old Style" w:hAnsi="Bookman Old Style" w:cs="Bookman Old Style"/>
                <w:b/>
                <w:bCs/>
                <w:sz w:val="20"/>
                <w:szCs w:val="20"/>
                <w:lang w:val="id-ID"/>
              </w:rPr>
              <w:t xml:space="preserve"> </w:t>
            </w:r>
            <w:r w:rsidRPr="00E6609B">
              <w:rPr>
                <w:rFonts w:ascii="Bookman Old Style" w:eastAsia="Bookman Old Style" w:hAnsi="Bookman Old Style" w:cs="Bookman Old Style"/>
                <w:b/>
                <w:bCs/>
                <w:sz w:val="20"/>
                <w:szCs w:val="20"/>
                <w:lang w:val="id-ID"/>
              </w:rPr>
              <w:t>Pendapatan</w:t>
            </w:r>
          </w:p>
          <w:p w14:paraId="4E519C4F" w14:textId="35CE5582" w:rsidR="006B1BE1" w:rsidRPr="00E6609B" w:rsidRDefault="00A954D0" w:rsidP="00672D8A">
            <w:pPr>
              <w:pStyle w:val="ListParagraph"/>
              <w:spacing w:after="0" w:line="240" w:lineRule="auto"/>
              <w:ind w:left="0"/>
              <w:contextualSpacing w:val="0"/>
              <w:jc w:val="center"/>
              <w:rPr>
                <w:rFonts w:ascii="Bookman Old Style" w:eastAsia="Bookman Old Style" w:hAnsi="Bookman Old Style" w:cs="Bookman Old Style"/>
                <w:b/>
                <w:bCs/>
                <w:sz w:val="20"/>
                <w:szCs w:val="20"/>
                <w:lang w:val="id-ID"/>
              </w:rPr>
            </w:pPr>
            <w:r>
              <w:rPr>
                <w:rFonts w:ascii="Bookman Old Style" w:eastAsia="Bookman Old Style" w:hAnsi="Bookman Old Style" w:cs="Bookman Old Style"/>
                <w:b/>
                <w:bCs/>
                <w:sz w:val="20"/>
                <w:szCs w:val="20"/>
                <w:lang w:val="id-ID"/>
              </w:rPr>
              <w:t xml:space="preserve"> </w:t>
            </w:r>
            <w:r w:rsidR="006B1BE1" w:rsidRPr="00E6609B">
              <w:rPr>
                <w:rFonts w:ascii="Bookman Old Style" w:eastAsia="Bookman Old Style" w:hAnsi="Bookman Old Style" w:cs="Bookman Old Style"/>
                <w:b/>
                <w:bCs/>
                <w:sz w:val="20"/>
                <w:szCs w:val="20"/>
                <w:lang w:val="id-ID"/>
              </w:rPr>
              <w:t>(Rp)</w:t>
            </w:r>
          </w:p>
        </w:tc>
        <w:tc>
          <w:tcPr>
            <w:tcW w:w="1276" w:type="dxa"/>
            <w:shd w:val="clear" w:color="auto" w:fill="auto"/>
            <w:vAlign w:val="center"/>
          </w:tcPr>
          <w:p w14:paraId="6938C488" w14:textId="77777777" w:rsidR="006B1BE1" w:rsidRPr="00E6609B" w:rsidRDefault="006B1BE1" w:rsidP="00672D8A">
            <w:pPr>
              <w:pStyle w:val="ListParagraph"/>
              <w:spacing w:after="0" w:line="240" w:lineRule="auto"/>
              <w:ind w:left="0"/>
              <w:contextualSpacing w:val="0"/>
              <w:jc w:val="center"/>
              <w:rPr>
                <w:rFonts w:ascii="Bookman Old Style" w:eastAsia="Bookman Old Style" w:hAnsi="Bookman Old Style" w:cs="Bookman Old Style"/>
                <w:b/>
                <w:bCs/>
                <w:sz w:val="20"/>
                <w:szCs w:val="20"/>
                <w:lang w:val="id-ID"/>
              </w:rPr>
            </w:pPr>
            <w:r w:rsidRPr="00E6609B">
              <w:rPr>
                <w:rFonts w:ascii="Bookman Old Style" w:eastAsia="Bookman Old Style" w:hAnsi="Bookman Old Style" w:cs="Bookman Old Style"/>
                <w:b/>
                <w:bCs/>
                <w:sz w:val="20"/>
                <w:szCs w:val="20"/>
                <w:lang w:val="id-ID"/>
              </w:rPr>
              <w:t>%</w:t>
            </w:r>
          </w:p>
        </w:tc>
      </w:tr>
      <w:tr w:rsidR="006B1BE1" w:rsidRPr="00E6609B" w14:paraId="61B42613" w14:textId="77777777" w:rsidTr="004838C6">
        <w:trPr>
          <w:trHeight w:val="98"/>
        </w:trPr>
        <w:tc>
          <w:tcPr>
            <w:tcW w:w="1271" w:type="dxa"/>
            <w:shd w:val="clear" w:color="auto" w:fill="auto"/>
            <w:vAlign w:val="center"/>
          </w:tcPr>
          <w:p w14:paraId="2ABCECB1" w14:textId="77777777" w:rsidR="006B1BE1" w:rsidRPr="00E6609B" w:rsidRDefault="006B1BE1" w:rsidP="00672D8A">
            <w:pPr>
              <w:pStyle w:val="ListParagraph"/>
              <w:spacing w:after="0" w:line="240" w:lineRule="auto"/>
              <w:ind w:left="0"/>
              <w:contextualSpacing w:val="0"/>
              <w:jc w:val="center"/>
              <w:rPr>
                <w:rFonts w:ascii="Bookman Old Style" w:eastAsia="Bookman Old Style" w:hAnsi="Bookman Old Style" w:cs="Bookman Old Style"/>
                <w:b/>
                <w:bCs/>
                <w:i/>
                <w:sz w:val="20"/>
                <w:szCs w:val="20"/>
                <w:lang w:val="id-ID"/>
              </w:rPr>
            </w:pPr>
            <w:r w:rsidRPr="00E6609B">
              <w:rPr>
                <w:rFonts w:ascii="Bookman Old Style" w:eastAsia="Bookman Old Style" w:hAnsi="Bookman Old Style" w:cs="Bookman Old Style"/>
                <w:b/>
                <w:bCs/>
                <w:i/>
                <w:sz w:val="20"/>
                <w:szCs w:val="20"/>
                <w:lang w:val="id-ID"/>
              </w:rPr>
              <w:t>1</w:t>
            </w:r>
          </w:p>
        </w:tc>
        <w:tc>
          <w:tcPr>
            <w:tcW w:w="2556" w:type="dxa"/>
            <w:shd w:val="clear" w:color="auto" w:fill="auto"/>
            <w:vAlign w:val="center"/>
          </w:tcPr>
          <w:p w14:paraId="2CD11DCA" w14:textId="77777777" w:rsidR="006B1BE1" w:rsidRPr="00E6609B" w:rsidRDefault="006B1BE1" w:rsidP="00672D8A">
            <w:pPr>
              <w:pStyle w:val="ListParagraph"/>
              <w:spacing w:after="0" w:line="240" w:lineRule="auto"/>
              <w:ind w:left="0"/>
              <w:contextualSpacing w:val="0"/>
              <w:jc w:val="center"/>
              <w:rPr>
                <w:rFonts w:ascii="Bookman Old Style" w:eastAsia="Bookman Old Style" w:hAnsi="Bookman Old Style" w:cs="Bookman Old Style"/>
                <w:b/>
                <w:bCs/>
                <w:i/>
                <w:sz w:val="20"/>
                <w:szCs w:val="20"/>
                <w:lang w:val="id-ID"/>
              </w:rPr>
            </w:pPr>
            <w:r w:rsidRPr="00E6609B">
              <w:rPr>
                <w:rFonts w:ascii="Bookman Old Style" w:eastAsia="Bookman Old Style" w:hAnsi="Bookman Old Style" w:cs="Bookman Old Style"/>
                <w:b/>
                <w:bCs/>
                <w:i/>
                <w:sz w:val="20"/>
                <w:szCs w:val="20"/>
                <w:lang w:val="id-ID"/>
              </w:rPr>
              <w:t>2</w:t>
            </w:r>
          </w:p>
        </w:tc>
        <w:tc>
          <w:tcPr>
            <w:tcW w:w="2551" w:type="dxa"/>
            <w:shd w:val="clear" w:color="auto" w:fill="auto"/>
            <w:vAlign w:val="center"/>
          </w:tcPr>
          <w:p w14:paraId="6D709FE7" w14:textId="77777777" w:rsidR="006B1BE1" w:rsidRPr="00E6609B" w:rsidRDefault="006B1BE1" w:rsidP="00672D8A">
            <w:pPr>
              <w:pStyle w:val="ListParagraph"/>
              <w:spacing w:after="0" w:line="240" w:lineRule="auto"/>
              <w:ind w:left="0"/>
              <w:contextualSpacing w:val="0"/>
              <w:jc w:val="center"/>
              <w:rPr>
                <w:rFonts w:ascii="Bookman Old Style" w:eastAsia="Bookman Old Style" w:hAnsi="Bookman Old Style" w:cs="Bookman Old Style"/>
                <w:b/>
                <w:bCs/>
                <w:iCs/>
                <w:sz w:val="20"/>
                <w:szCs w:val="20"/>
                <w:lang w:val="id-ID"/>
              </w:rPr>
            </w:pPr>
            <w:r w:rsidRPr="00E6609B">
              <w:rPr>
                <w:rFonts w:ascii="Bookman Old Style" w:eastAsia="Bookman Old Style" w:hAnsi="Bookman Old Style" w:cs="Bookman Old Style"/>
                <w:b/>
                <w:bCs/>
                <w:iCs/>
                <w:sz w:val="20"/>
                <w:szCs w:val="20"/>
                <w:lang w:val="id-ID"/>
              </w:rPr>
              <w:t>3</w:t>
            </w:r>
          </w:p>
        </w:tc>
        <w:tc>
          <w:tcPr>
            <w:tcW w:w="1276" w:type="dxa"/>
            <w:shd w:val="clear" w:color="auto" w:fill="auto"/>
            <w:vAlign w:val="center"/>
          </w:tcPr>
          <w:p w14:paraId="3E79CCD7" w14:textId="5F715B8B" w:rsidR="006B1BE1" w:rsidRPr="00E6609B" w:rsidRDefault="00CF622A" w:rsidP="00672D8A">
            <w:pPr>
              <w:pStyle w:val="ListParagraph"/>
              <w:spacing w:after="0" w:line="240" w:lineRule="auto"/>
              <w:ind w:left="0"/>
              <w:contextualSpacing w:val="0"/>
              <w:jc w:val="center"/>
              <w:rPr>
                <w:rFonts w:ascii="Bookman Old Style" w:eastAsia="Bookman Old Style" w:hAnsi="Bookman Old Style" w:cs="Bookman Old Style"/>
                <w:b/>
                <w:bCs/>
                <w:i/>
                <w:sz w:val="20"/>
                <w:szCs w:val="20"/>
                <w:lang w:val="id-ID"/>
              </w:rPr>
            </w:pPr>
            <w:r w:rsidRPr="00E6609B">
              <w:rPr>
                <w:rFonts w:ascii="Bookman Old Style" w:eastAsia="Bookman Old Style" w:hAnsi="Bookman Old Style" w:cs="Bookman Old Style"/>
                <w:b/>
                <w:bCs/>
                <w:i/>
                <w:sz w:val="20"/>
                <w:szCs w:val="20"/>
                <w:lang w:val="id-ID"/>
              </w:rPr>
              <w:t>4</w:t>
            </w:r>
          </w:p>
        </w:tc>
      </w:tr>
      <w:tr w:rsidR="00D40744" w:rsidRPr="00E6609B" w14:paraId="56F754A9" w14:textId="77777777" w:rsidTr="004838C6">
        <w:tc>
          <w:tcPr>
            <w:tcW w:w="1271" w:type="dxa"/>
            <w:shd w:val="clear" w:color="auto" w:fill="auto"/>
            <w:vAlign w:val="center"/>
          </w:tcPr>
          <w:p w14:paraId="57259C2A" w14:textId="77777777" w:rsidR="00D40744" w:rsidRPr="00E6609B" w:rsidRDefault="00D40744" w:rsidP="00672D8A">
            <w:pPr>
              <w:pStyle w:val="ListParagraph"/>
              <w:spacing w:after="0" w:line="240" w:lineRule="auto"/>
              <w:ind w:left="0"/>
              <w:contextualSpacing w:val="0"/>
              <w:jc w:val="center"/>
              <w:rPr>
                <w:rFonts w:ascii="Bookman Old Style" w:eastAsia="Bookman Old Style" w:hAnsi="Bookman Old Style" w:cs="Bookman Old Style"/>
                <w:sz w:val="20"/>
                <w:szCs w:val="20"/>
                <w:lang w:val="id-ID"/>
              </w:rPr>
            </w:pPr>
            <w:r w:rsidRPr="00E6609B">
              <w:rPr>
                <w:rFonts w:ascii="Bookman Old Style" w:eastAsia="Bookman Old Style" w:hAnsi="Bookman Old Style" w:cs="Bookman Old Style"/>
                <w:sz w:val="20"/>
                <w:szCs w:val="20"/>
                <w:lang w:val="id-ID"/>
              </w:rPr>
              <w:t>2020</w:t>
            </w:r>
          </w:p>
        </w:tc>
        <w:tc>
          <w:tcPr>
            <w:tcW w:w="2556" w:type="dxa"/>
            <w:shd w:val="clear" w:color="auto" w:fill="auto"/>
            <w:vAlign w:val="center"/>
          </w:tcPr>
          <w:p w14:paraId="58E4DB5C" w14:textId="4FA77211" w:rsidR="00D40744" w:rsidRPr="00E6609B" w:rsidRDefault="00D40744" w:rsidP="00672D8A">
            <w:pPr>
              <w:pStyle w:val="ListParagraph"/>
              <w:spacing w:after="0" w:line="240" w:lineRule="auto"/>
              <w:ind w:left="0"/>
              <w:contextualSpacing w:val="0"/>
              <w:jc w:val="center"/>
              <w:rPr>
                <w:rFonts w:ascii="Bookman Old Style" w:eastAsia="Bookman Old Style" w:hAnsi="Bookman Old Style" w:cs="Bookman Old Style"/>
                <w:sz w:val="20"/>
                <w:szCs w:val="20"/>
                <w:lang w:val="en-GB"/>
              </w:rPr>
            </w:pPr>
            <w:r w:rsidRPr="00E6609B">
              <w:rPr>
                <w:rFonts w:ascii="Bookman Old Style" w:eastAsia="Bookman Old Style" w:hAnsi="Bookman Old Style" w:cs="Bookman Old Style"/>
                <w:sz w:val="20"/>
                <w:szCs w:val="20"/>
                <w:lang w:val="en-GB"/>
              </w:rPr>
              <w:t>3.609.275.478.525,00</w:t>
            </w:r>
          </w:p>
        </w:tc>
        <w:tc>
          <w:tcPr>
            <w:tcW w:w="2551" w:type="dxa"/>
            <w:shd w:val="clear" w:color="auto" w:fill="auto"/>
            <w:vAlign w:val="center"/>
          </w:tcPr>
          <w:p w14:paraId="5EC04C09" w14:textId="715D7042" w:rsidR="00D40744" w:rsidRPr="00E6609B" w:rsidRDefault="00D40744" w:rsidP="00672D8A">
            <w:pPr>
              <w:pStyle w:val="ListParagraph"/>
              <w:spacing w:after="0" w:line="240" w:lineRule="auto"/>
              <w:ind w:left="0"/>
              <w:contextualSpacing w:val="0"/>
              <w:jc w:val="center"/>
              <w:rPr>
                <w:rFonts w:ascii="Bookman Old Style" w:eastAsia="Bookman Old Style" w:hAnsi="Bookman Old Style" w:cs="Bookman Old Style"/>
                <w:sz w:val="20"/>
                <w:szCs w:val="20"/>
                <w:lang w:val="en-GB"/>
              </w:rPr>
            </w:pPr>
            <w:r w:rsidRPr="00E6609B">
              <w:rPr>
                <w:rFonts w:ascii="Bookman Old Style" w:eastAsia="Bookman Old Style" w:hAnsi="Bookman Old Style" w:cs="Bookman Old Style"/>
                <w:sz w:val="20"/>
                <w:szCs w:val="20"/>
                <w:lang w:val="en-GB"/>
              </w:rPr>
              <w:t>3.648.663.446.803,00</w:t>
            </w:r>
          </w:p>
        </w:tc>
        <w:tc>
          <w:tcPr>
            <w:tcW w:w="1276" w:type="dxa"/>
            <w:shd w:val="clear" w:color="auto" w:fill="auto"/>
          </w:tcPr>
          <w:p w14:paraId="1D72C4DF" w14:textId="03D44179" w:rsidR="00D40744" w:rsidRPr="00E6609B" w:rsidRDefault="00D40744" w:rsidP="00672D8A">
            <w:pPr>
              <w:pStyle w:val="ListParagraph"/>
              <w:spacing w:after="0" w:line="240" w:lineRule="auto"/>
              <w:ind w:left="0"/>
              <w:contextualSpacing w:val="0"/>
              <w:jc w:val="center"/>
              <w:rPr>
                <w:rFonts w:ascii="Bookman Old Style" w:eastAsia="Bookman Old Style" w:hAnsi="Bookman Old Style" w:cs="Bookman Old Style"/>
                <w:sz w:val="20"/>
                <w:szCs w:val="20"/>
                <w:lang w:val="en-GB"/>
              </w:rPr>
            </w:pPr>
            <w:r w:rsidRPr="00E6609B">
              <w:rPr>
                <w:rFonts w:ascii="Bookman Old Style" w:eastAsia="Bookman Old Style" w:hAnsi="Bookman Old Style" w:cs="Bookman Old Style"/>
                <w:sz w:val="20"/>
                <w:szCs w:val="20"/>
                <w:lang w:val="en-GB"/>
              </w:rPr>
              <w:t>101,09</w:t>
            </w:r>
          </w:p>
        </w:tc>
      </w:tr>
      <w:tr w:rsidR="00D40744" w:rsidRPr="00E6609B" w14:paraId="054A6AF0" w14:textId="77777777" w:rsidTr="004838C6">
        <w:tc>
          <w:tcPr>
            <w:tcW w:w="1271" w:type="dxa"/>
            <w:shd w:val="clear" w:color="auto" w:fill="auto"/>
            <w:vAlign w:val="center"/>
          </w:tcPr>
          <w:p w14:paraId="6977B354" w14:textId="77777777" w:rsidR="00D40744" w:rsidRPr="00E6609B" w:rsidRDefault="00D40744" w:rsidP="00672D8A">
            <w:pPr>
              <w:pStyle w:val="ListParagraph"/>
              <w:spacing w:after="0" w:line="240" w:lineRule="auto"/>
              <w:ind w:left="0"/>
              <w:contextualSpacing w:val="0"/>
              <w:jc w:val="center"/>
              <w:rPr>
                <w:rFonts w:ascii="Bookman Old Style" w:eastAsia="Bookman Old Style" w:hAnsi="Bookman Old Style" w:cs="Bookman Old Style"/>
                <w:sz w:val="20"/>
                <w:szCs w:val="20"/>
                <w:lang w:val="id-ID"/>
              </w:rPr>
            </w:pPr>
            <w:r w:rsidRPr="00E6609B">
              <w:rPr>
                <w:rFonts w:ascii="Bookman Old Style" w:eastAsia="Bookman Old Style" w:hAnsi="Bookman Old Style" w:cs="Bookman Old Style"/>
                <w:sz w:val="20"/>
                <w:szCs w:val="20"/>
                <w:lang w:val="id-ID"/>
              </w:rPr>
              <w:t>2021</w:t>
            </w:r>
          </w:p>
        </w:tc>
        <w:tc>
          <w:tcPr>
            <w:tcW w:w="2556" w:type="dxa"/>
            <w:shd w:val="clear" w:color="auto" w:fill="auto"/>
            <w:vAlign w:val="center"/>
          </w:tcPr>
          <w:p w14:paraId="302798D9" w14:textId="6615BCC9" w:rsidR="00D40744" w:rsidRPr="00E6609B" w:rsidRDefault="00D40744" w:rsidP="00672D8A">
            <w:pPr>
              <w:pStyle w:val="ListParagraph"/>
              <w:spacing w:after="0" w:line="240" w:lineRule="auto"/>
              <w:ind w:left="0"/>
              <w:contextualSpacing w:val="0"/>
              <w:jc w:val="center"/>
              <w:rPr>
                <w:rFonts w:ascii="Bookman Old Style" w:eastAsia="Bookman Old Style" w:hAnsi="Bookman Old Style" w:cs="Bookman Old Style"/>
                <w:sz w:val="20"/>
                <w:szCs w:val="20"/>
                <w:lang w:val="en-GB"/>
              </w:rPr>
            </w:pPr>
            <w:r w:rsidRPr="00E6609B">
              <w:rPr>
                <w:rFonts w:ascii="Bookman Old Style" w:eastAsia="Bookman Old Style" w:hAnsi="Bookman Old Style" w:cs="Bookman Old Style"/>
                <w:sz w:val="20"/>
                <w:szCs w:val="20"/>
                <w:lang w:val="en-GB"/>
              </w:rPr>
              <w:t>4.168.381.644.532,00</w:t>
            </w:r>
          </w:p>
        </w:tc>
        <w:tc>
          <w:tcPr>
            <w:tcW w:w="2551" w:type="dxa"/>
            <w:shd w:val="clear" w:color="auto" w:fill="auto"/>
            <w:vAlign w:val="center"/>
          </w:tcPr>
          <w:p w14:paraId="7A1F95EB" w14:textId="520ED6BD" w:rsidR="00D40744" w:rsidRPr="00E6609B" w:rsidRDefault="00D40744" w:rsidP="00672D8A">
            <w:pPr>
              <w:pStyle w:val="ListParagraph"/>
              <w:spacing w:after="0" w:line="240" w:lineRule="auto"/>
              <w:ind w:left="0"/>
              <w:contextualSpacing w:val="0"/>
              <w:jc w:val="center"/>
              <w:rPr>
                <w:rFonts w:ascii="Bookman Old Style" w:eastAsia="Bookman Old Style" w:hAnsi="Bookman Old Style" w:cs="Bookman Old Style"/>
                <w:sz w:val="20"/>
                <w:szCs w:val="20"/>
                <w:lang w:val="en-GB"/>
              </w:rPr>
            </w:pPr>
            <w:r w:rsidRPr="00E6609B">
              <w:rPr>
                <w:rFonts w:ascii="Bookman Old Style" w:eastAsia="Bookman Old Style" w:hAnsi="Bookman Old Style" w:cs="Bookman Old Style"/>
                <w:sz w:val="20"/>
                <w:szCs w:val="20"/>
                <w:lang w:val="en-GB"/>
              </w:rPr>
              <w:t>4.213.054.524.429,90</w:t>
            </w:r>
          </w:p>
        </w:tc>
        <w:tc>
          <w:tcPr>
            <w:tcW w:w="1276" w:type="dxa"/>
            <w:shd w:val="clear" w:color="auto" w:fill="auto"/>
          </w:tcPr>
          <w:p w14:paraId="0272B305" w14:textId="3DB55C72" w:rsidR="00D40744" w:rsidRPr="00E6609B" w:rsidRDefault="00D40744" w:rsidP="00672D8A">
            <w:pPr>
              <w:pStyle w:val="ListParagraph"/>
              <w:spacing w:after="0" w:line="240" w:lineRule="auto"/>
              <w:ind w:left="0"/>
              <w:contextualSpacing w:val="0"/>
              <w:jc w:val="center"/>
              <w:rPr>
                <w:rFonts w:ascii="Bookman Old Style" w:eastAsia="Bookman Old Style" w:hAnsi="Bookman Old Style" w:cs="Bookman Old Style"/>
                <w:sz w:val="20"/>
                <w:szCs w:val="20"/>
                <w:lang w:val="en-GB"/>
              </w:rPr>
            </w:pPr>
            <w:r w:rsidRPr="00E6609B">
              <w:rPr>
                <w:rFonts w:ascii="Bookman Old Style" w:eastAsia="Bookman Old Style" w:hAnsi="Bookman Old Style" w:cs="Bookman Old Style"/>
                <w:sz w:val="20"/>
                <w:szCs w:val="20"/>
                <w:lang w:val="en-GB"/>
              </w:rPr>
              <w:t>101,07</w:t>
            </w:r>
          </w:p>
        </w:tc>
      </w:tr>
      <w:tr w:rsidR="00D40744" w:rsidRPr="00E6609B" w14:paraId="0A69F43E" w14:textId="77777777" w:rsidTr="004838C6">
        <w:tc>
          <w:tcPr>
            <w:tcW w:w="1271" w:type="dxa"/>
            <w:shd w:val="clear" w:color="auto" w:fill="auto"/>
            <w:vAlign w:val="center"/>
          </w:tcPr>
          <w:p w14:paraId="12F51B6F" w14:textId="77777777" w:rsidR="00D40744" w:rsidRPr="00E6609B" w:rsidRDefault="00D40744" w:rsidP="00672D8A">
            <w:pPr>
              <w:pStyle w:val="ListParagraph"/>
              <w:spacing w:after="0" w:line="240" w:lineRule="auto"/>
              <w:ind w:left="0"/>
              <w:contextualSpacing w:val="0"/>
              <w:jc w:val="center"/>
              <w:rPr>
                <w:rFonts w:ascii="Bookman Old Style" w:eastAsia="Bookman Old Style" w:hAnsi="Bookman Old Style" w:cs="Bookman Old Style"/>
                <w:sz w:val="20"/>
                <w:szCs w:val="20"/>
                <w:lang w:val="id-ID"/>
              </w:rPr>
            </w:pPr>
            <w:r w:rsidRPr="00E6609B">
              <w:rPr>
                <w:rFonts w:ascii="Bookman Old Style" w:eastAsia="Bookman Old Style" w:hAnsi="Bookman Old Style" w:cs="Bookman Old Style"/>
                <w:sz w:val="20"/>
                <w:szCs w:val="20"/>
                <w:lang w:val="id-ID"/>
              </w:rPr>
              <w:t>2022</w:t>
            </w:r>
          </w:p>
        </w:tc>
        <w:tc>
          <w:tcPr>
            <w:tcW w:w="2556" w:type="dxa"/>
            <w:shd w:val="clear" w:color="auto" w:fill="auto"/>
          </w:tcPr>
          <w:p w14:paraId="602A3C2B" w14:textId="22F5EE84" w:rsidR="00D40744" w:rsidRPr="00E6609B" w:rsidRDefault="00D40744" w:rsidP="00672D8A">
            <w:pPr>
              <w:pStyle w:val="ListParagraph"/>
              <w:spacing w:after="0" w:line="240" w:lineRule="auto"/>
              <w:ind w:left="0"/>
              <w:contextualSpacing w:val="0"/>
              <w:jc w:val="center"/>
              <w:rPr>
                <w:rFonts w:ascii="Bookman Old Style" w:eastAsia="Bookman Old Style" w:hAnsi="Bookman Old Style" w:cs="Bookman Old Style"/>
                <w:sz w:val="20"/>
                <w:szCs w:val="20"/>
                <w:lang w:val="en-GB"/>
              </w:rPr>
            </w:pPr>
            <w:r w:rsidRPr="00E6609B">
              <w:rPr>
                <w:rFonts w:ascii="Bookman Old Style" w:eastAsia="Bookman Old Style" w:hAnsi="Bookman Old Style" w:cs="Bookman Old Style"/>
                <w:sz w:val="20"/>
                <w:szCs w:val="20"/>
                <w:lang w:val="en-GB"/>
              </w:rPr>
              <w:t>4.247.762.351.884,00</w:t>
            </w:r>
          </w:p>
        </w:tc>
        <w:tc>
          <w:tcPr>
            <w:tcW w:w="2551" w:type="dxa"/>
            <w:shd w:val="clear" w:color="auto" w:fill="auto"/>
          </w:tcPr>
          <w:p w14:paraId="4F5319D2" w14:textId="61C56EEB" w:rsidR="00D40744" w:rsidRPr="00E6609B" w:rsidRDefault="00D40744" w:rsidP="00672D8A">
            <w:pPr>
              <w:pStyle w:val="ListParagraph"/>
              <w:spacing w:after="0" w:line="240" w:lineRule="auto"/>
              <w:ind w:left="0"/>
              <w:contextualSpacing w:val="0"/>
              <w:jc w:val="center"/>
              <w:rPr>
                <w:rFonts w:ascii="Bookman Old Style" w:eastAsia="Bookman Old Style" w:hAnsi="Bookman Old Style" w:cs="Bookman Old Style"/>
                <w:sz w:val="20"/>
                <w:szCs w:val="20"/>
                <w:lang w:val="en-GB"/>
              </w:rPr>
            </w:pPr>
            <w:r w:rsidRPr="00E6609B">
              <w:rPr>
                <w:rFonts w:ascii="Bookman Old Style" w:eastAsia="Bookman Old Style" w:hAnsi="Bookman Old Style" w:cs="Bookman Old Style"/>
                <w:sz w:val="20"/>
                <w:szCs w:val="20"/>
                <w:lang w:val="en-GB"/>
              </w:rPr>
              <w:t>4.274.452.905.169,00</w:t>
            </w:r>
          </w:p>
        </w:tc>
        <w:tc>
          <w:tcPr>
            <w:tcW w:w="1276" w:type="dxa"/>
            <w:shd w:val="clear" w:color="auto" w:fill="auto"/>
          </w:tcPr>
          <w:p w14:paraId="57198E03" w14:textId="6106FDAA" w:rsidR="00D40744" w:rsidRPr="00E6609B" w:rsidRDefault="00D40744" w:rsidP="00672D8A">
            <w:pPr>
              <w:pStyle w:val="ListParagraph"/>
              <w:spacing w:after="0" w:line="240" w:lineRule="auto"/>
              <w:ind w:left="0"/>
              <w:contextualSpacing w:val="0"/>
              <w:jc w:val="center"/>
              <w:rPr>
                <w:rFonts w:ascii="Bookman Old Style" w:eastAsia="Bookman Old Style" w:hAnsi="Bookman Old Style" w:cs="Bookman Old Style"/>
                <w:sz w:val="20"/>
                <w:szCs w:val="20"/>
                <w:lang w:val="en-GB"/>
              </w:rPr>
            </w:pPr>
            <w:r w:rsidRPr="00E6609B">
              <w:rPr>
                <w:rFonts w:ascii="Bookman Old Style" w:eastAsia="Bookman Old Style" w:hAnsi="Bookman Old Style" w:cs="Bookman Old Style"/>
                <w:sz w:val="20"/>
                <w:szCs w:val="20"/>
                <w:lang w:val="en-GB"/>
              </w:rPr>
              <w:t>100,63</w:t>
            </w:r>
          </w:p>
        </w:tc>
      </w:tr>
      <w:tr w:rsidR="00D40744" w:rsidRPr="00E6609B" w14:paraId="55F0B4E8" w14:textId="77777777" w:rsidTr="004838C6">
        <w:tc>
          <w:tcPr>
            <w:tcW w:w="1271" w:type="dxa"/>
            <w:shd w:val="clear" w:color="auto" w:fill="auto"/>
            <w:vAlign w:val="center"/>
          </w:tcPr>
          <w:p w14:paraId="1DCB9843" w14:textId="77777777" w:rsidR="00D40744" w:rsidRPr="00E6609B" w:rsidRDefault="00D40744" w:rsidP="00672D8A">
            <w:pPr>
              <w:pStyle w:val="ListParagraph"/>
              <w:spacing w:after="0" w:line="240" w:lineRule="auto"/>
              <w:ind w:left="0"/>
              <w:contextualSpacing w:val="0"/>
              <w:jc w:val="center"/>
              <w:rPr>
                <w:rFonts w:ascii="Bookman Old Style" w:eastAsia="Bookman Old Style" w:hAnsi="Bookman Old Style" w:cs="Bookman Old Style"/>
                <w:sz w:val="20"/>
                <w:szCs w:val="20"/>
                <w:lang w:val="id-ID"/>
              </w:rPr>
            </w:pPr>
            <w:r w:rsidRPr="00E6609B">
              <w:rPr>
                <w:rFonts w:ascii="Bookman Old Style" w:eastAsia="Bookman Old Style" w:hAnsi="Bookman Old Style" w:cs="Bookman Old Style"/>
                <w:sz w:val="20"/>
                <w:szCs w:val="20"/>
                <w:lang w:val="id-ID"/>
              </w:rPr>
              <w:t>2023</w:t>
            </w:r>
          </w:p>
        </w:tc>
        <w:tc>
          <w:tcPr>
            <w:tcW w:w="2556" w:type="dxa"/>
            <w:shd w:val="clear" w:color="auto" w:fill="auto"/>
          </w:tcPr>
          <w:p w14:paraId="269CFC7C" w14:textId="3A32C749" w:rsidR="00D40744" w:rsidRPr="00E6609B" w:rsidRDefault="00D40744" w:rsidP="00672D8A">
            <w:pPr>
              <w:pStyle w:val="ListParagraph"/>
              <w:spacing w:after="0" w:line="240" w:lineRule="auto"/>
              <w:ind w:left="0"/>
              <w:contextualSpacing w:val="0"/>
              <w:jc w:val="center"/>
              <w:rPr>
                <w:rFonts w:ascii="Bookman Old Style" w:eastAsia="Bookman Old Style" w:hAnsi="Bookman Old Style" w:cs="Bookman Old Style"/>
                <w:sz w:val="20"/>
                <w:szCs w:val="20"/>
                <w:lang w:val="en-GB"/>
              </w:rPr>
            </w:pPr>
            <w:r w:rsidRPr="00E6609B">
              <w:rPr>
                <w:rFonts w:ascii="Bookman Old Style" w:eastAsia="Bookman Old Style" w:hAnsi="Bookman Old Style" w:cs="Bookman Old Style"/>
                <w:sz w:val="20"/>
                <w:szCs w:val="20"/>
                <w:lang w:val="en-GB"/>
              </w:rPr>
              <w:t>4.558.269.432.595,00</w:t>
            </w:r>
          </w:p>
        </w:tc>
        <w:tc>
          <w:tcPr>
            <w:tcW w:w="2551" w:type="dxa"/>
            <w:shd w:val="clear" w:color="auto" w:fill="auto"/>
          </w:tcPr>
          <w:p w14:paraId="6F8EF916" w14:textId="204555F6" w:rsidR="00D40744" w:rsidRPr="00E6609B" w:rsidRDefault="00D40744" w:rsidP="00672D8A">
            <w:pPr>
              <w:pStyle w:val="ListParagraph"/>
              <w:spacing w:after="0" w:line="240" w:lineRule="auto"/>
              <w:ind w:left="0"/>
              <w:contextualSpacing w:val="0"/>
              <w:jc w:val="center"/>
              <w:rPr>
                <w:rFonts w:ascii="Bookman Old Style" w:eastAsia="Bookman Old Style" w:hAnsi="Bookman Old Style" w:cs="Bookman Old Style"/>
                <w:sz w:val="20"/>
                <w:szCs w:val="20"/>
                <w:lang w:val="en-GB"/>
              </w:rPr>
            </w:pPr>
            <w:r w:rsidRPr="00E6609B">
              <w:rPr>
                <w:rFonts w:ascii="Bookman Old Style" w:eastAsia="Bookman Old Style" w:hAnsi="Bookman Old Style" w:cs="Bookman Old Style"/>
                <w:sz w:val="20"/>
                <w:szCs w:val="20"/>
                <w:lang w:val="en-GB"/>
              </w:rPr>
              <w:t>4.691.252.495.432,00</w:t>
            </w:r>
          </w:p>
        </w:tc>
        <w:tc>
          <w:tcPr>
            <w:tcW w:w="1276" w:type="dxa"/>
            <w:shd w:val="clear" w:color="auto" w:fill="auto"/>
          </w:tcPr>
          <w:p w14:paraId="441432E1" w14:textId="4484B5C9" w:rsidR="00D40744" w:rsidRPr="00E6609B" w:rsidRDefault="00D40744" w:rsidP="00672D8A">
            <w:pPr>
              <w:pStyle w:val="ListParagraph"/>
              <w:spacing w:after="0" w:line="240" w:lineRule="auto"/>
              <w:ind w:left="0"/>
              <w:contextualSpacing w:val="0"/>
              <w:jc w:val="center"/>
              <w:rPr>
                <w:rFonts w:ascii="Bookman Old Style" w:eastAsia="Bookman Old Style" w:hAnsi="Bookman Old Style" w:cs="Bookman Old Style"/>
                <w:sz w:val="20"/>
                <w:szCs w:val="20"/>
                <w:lang w:val="en-GB"/>
              </w:rPr>
            </w:pPr>
            <w:r w:rsidRPr="00E6609B">
              <w:rPr>
                <w:rFonts w:ascii="Bookman Old Style" w:eastAsia="Bookman Old Style" w:hAnsi="Bookman Old Style" w:cs="Bookman Old Style"/>
                <w:sz w:val="20"/>
                <w:szCs w:val="20"/>
                <w:lang w:val="en-GB"/>
              </w:rPr>
              <w:t>102,92</w:t>
            </w:r>
          </w:p>
        </w:tc>
      </w:tr>
      <w:tr w:rsidR="00E6609B" w:rsidRPr="00E6609B" w14:paraId="42708BC5" w14:textId="77777777" w:rsidTr="004838C6">
        <w:tc>
          <w:tcPr>
            <w:tcW w:w="1271" w:type="dxa"/>
            <w:shd w:val="clear" w:color="auto" w:fill="auto"/>
            <w:vAlign w:val="center"/>
          </w:tcPr>
          <w:p w14:paraId="0E5919F3" w14:textId="77777777" w:rsidR="00E6609B" w:rsidRPr="00E6609B" w:rsidRDefault="00E6609B" w:rsidP="00E6609B">
            <w:pPr>
              <w:pStyle w:val="ListParagraph"/>
              <w:spacing w:after="0" w:line="240" w:lineRule="auto"/>
              <w:ind w:left="0"/>
              <w:contextualSpacing w:val="0"/>
              <w:jc w:val="center"/>
              <w:rPr>
                <w:rFonts w:ascii="Bookman Old Style" w:eastAsia="Bookman Old Style" w:hAnsi="Bookman Old Style" w:cs="Bookman Old Style"/>
                <w:sz w:val="20"/>
                <w:szCs w:val="20"/>
                <w:lang w:val="en-GB"/>
              </w:rPr>
            </w:pPr>
            <w:r w:rsidRPr="00E6609B">
              <w:rPr>
                <w:rFonts w:ascii="Bookman Old Style" w:eastAsia="Bookman Old Style" w:hAnsi="Bookman Old Style" w:cs="Bookman Old Style"/>
                <w:sz w:val="20"/>
                <w:szCs w:val="20"/>
                <w:lang w:val="en-GB"/>
              </w:rPr>
              <w:t>2024*)</w:t>
            </w:r>
          </w:p>
        </w:tc>
        <w:tc>
          <w:tcPr>
            <w:tcW w:w="2556" w:type="dxa"/>
            <w:shd w:val="clear" w:color="auto" w:fill="auto"/>
          </w:tcPr>
          <w:p w14:paraId="0B4547D0" w14:textId="4B76DDD8" w:rsidR="00E6609B" w:rsidRPr="00E6609B" w:rsidRDefault="00E6609B" w:rsidP="00E6609B">
            <w:pPr>
              <w:pStyle w:val="ListParagraph"/>
              <w:spacing w:after="0" w:line="240" w:lineRule="auto"/>
              <w:ind w:left="0"/>
              <w:contextualSpacing w:val="0"/>
              <w:jc w:val="center"/>
              <w:rPr>
                <w:rFonts w:ascii="Bookman Old Style" w:eastAsia="Bookman Old Style" w:hAnsi="Bookman Old Style" w:cs="Bookman Old Style"/>
                <w:sz w:val="20"/>
                <w:szCs w:val="20"/>
                <w:lang w:val="en-GB"/>
              </w:rPr>
            </w:pPr>
            <w:r w:rsidRPr="00E6609B">
              <w:rPr>
                <w:rFonts w:ascii="Bookman Old Style" w:eastAsia="Bookman Old Style" w:hAnsi="Bookman Old Style" w:cs="Bookman Old Style"/>
                <w:sz w:val="20"/>
                <w:szCs w:val="20"/>
                <w:lang w:val="en-GB"/>
              </w:rPr>
              <w:t>4.867.331.379.086,00</w:t>
            </w:r>
          </w:p>
        </w:tc>
        <w:tc>
          <w:tcPr>
            <w:tcW w:w="2551" w:type="dxa"/>
            <w:shd w:val="clear" w:color="auto" w:fill="auto"/>
          </w:tcPr>
          <w:p w14:paraId="7BE0A371" w14:textId="6F5F73CD" w:rsidR="00E6609B" w:rsidRPr="00E6609B" w:rsidRDefault="00E6609B" w:rsidP="00E6609B">
            <w:pPr>
              <w:pStyle w:val="ListParagraph"/>
              <w:spacing w:after="0" w:line="240" w:lineRule="auto"/>
              <w:ind w:left="0"/>
              <w:contextualSpacing w:val="0"/>
              <w:jc w:val="center"/>
              <w:rPr>
                <w:rFonts w:ascii="Bookman Old Style" w:eastAsia="Bookman Old Style" w:hAnsi="Bookman Old Style" w:cs="Bookman Old Style"/>
                <w:sz w:val="20"/>
                <w:szCs w:val="20"/>
                <w:lang w:val="en-GB"/>
              </w:rPr>
            </w:pPr>
            <w:r w:rsidRPr="00E6609B">
              <w:rPr>
                <w:rFonts w:ascii="Bookman Old Style" w:hAnsi="Bookman Old Style"/>
                <w:sz w:val="20"/>
                <w:szCs w:val="20"/>
              </w:rPr>
              <w:t>4.400.662.243.514,00</w:t>
            </w:r>
          </w:p>
        </w:tc>
        <w:tc>
          <w:tcPr>
            <w:tcW w:w="1276" w:type="dxa"/>
            <w:shd w:val="clear" w:color="auto" w:fill="auto"/>
          </w:tcPr>
          <w:p w14:paraId="1E050A80" w14:textId="298A7B39" w:rsidR="00E6609B" w:rsidRPr="00E6609B" w:rsidRDefault="00A954D0" w:rsidP="00E6609B">
            <w:pPr>
              <w:jc w:val="center"/>
              <w:rPr>
                <w:rFonts w:ascii="Bookman Old Style" w:hAnsi="Bookman Old Style" w:cs="Arial"/>
                <w:color w:val="000000"/>
                <w:sz w:val="20"/>
                <w:szCs w:val="20"/>
              </w:rPr>
            </w:pPr>
            <w:r>
              <w:rPr>
                <w:rFonts w:ascii="Bookman Old Style" w:hAnsi="Bookman Old Style"/>
                <w:sz w:val="20"/>
                <w:szCs w:val="20"/>
              </w:rPr>
              <w:t xml:space="preserve"> </w:t>
            </w:r>
            <w:r w:rsidR="00E6609B" w:rsidRPr="00E6609B">
              <w:rPr>
                <w:rFonts w:ascii="Bookman Old Style" w:hAnsi="Bookman Old Style"/>
                <w:sz w:val="20"/>
                <w:szCs w:val="20"/>
              </w:rPr>
              <w:t>90,41</w:t>
            </w:r>
            <w:r>
              <w:rPr>
                <w:rFonts w:ascii="Bookman Old Style" w:hAnsi="Bookman Old Style"/>
                <w:sz w:val="20"/>
                <w:szCs w:val="20"/>
              </w:rPr>
              <w:t xml:space="preserve"> </w:t>
            </w:r>
          </w:p>
        </w:tc>
      </w:tr>
      <w:tr w:rsidR="00D40744" w:rsidRPr="00E6609B" w14:paraId="60A76BED" w14:textId="77777777" w:rsidTr="004838C6">
        <w:tc>
          <w:tcPr>
            <w:tcW w:w="1271" w:type="dxa"/>
            <w:shd w:val="clear" w:color="auto" w:fill="auto"/>
            <w:vAlign w:val="center"/>
          </w:tcPr>
          <w:p w14:paraId="72AED20A" w14:textId="77777777" w:rsidR="00D40744" w:rsidRPr="00E6609B" w:rsidRDefault="00D40744" w:rsidP="00672D8A">
            <w:pPr>
              <w:pStyle w:val="ListParagraph"/>
              <w:spacing w:after="0" w:line="240" w:lineRule="auto"/>
              <w:ind w:left="0"/>
              <w:contextualSpacing w:val="0"/>
              <w:jc w:val="center"/>
              <w:rPr>
                <w:rFonts w:ascii="Bookman Old Style" w:eastAsia="Bookman Old Style" w:hAnsi="Bookman Old Style" w:cs="Bookman Old Style"/>
                <w:sz w:val="20"/>
                <w:szCs w:val="20"/>
                <w:lang w:val="en-GB"/>
              </w:rPr>
            </w:pPr>
            <w:r w:rsidRPr="00E6609B">
              <w:rPr>
                <w:rFonts w:ascii="Bookman Old Style" w:eastAsia="Bookman Old Style" w:hAnsi="Bookman Old Style" w:cs="Bookman Old Style"/>
                <w:sz w:val="20"/>
                <w:szCs w:val="20"/>
                <w:lang w:val="en-GB"/>
              </w:rPr>
              <w:t>2025</w:t>
            </w:r>
          </w:p>
        </w:tc>
        <w:tc>
          <w:tcPr>
            <w:tcW w:w="2556" w:type="dxa"/>
            <w:shd w:val="clear" w:color="auto" w:fill="auto"/>
            <w:vAlign w:val="center"/>
          </w:tcPr>
          <w:p w14:paraId="37BCC2CB" w14:textId="50EE3955" w:rsidR="00D40744" w:rsidRPr="00E6609B" w:rsidRDefault="00D40744" w:rsidP="00672D8A">
            <w:pPr>
              <w:pStyle w:val="ListParagraph"/>
              <w:spacing w:after="0" w:line="240" w:lineRule="auto"/>
              <w:ind w:left="0"/>
              <w:contextualSpacing w:val="0"/>
              <w:jc w:val="center"/>
              <w:rPr>
                <w:rFonts w:ascii="Bookman Old Style" w:eastAsia="Bookman Old Style" w:hAnsi="Bookman Old Style" w:cs="Bookman Old Style"/>
                <w:sz w:val="20"/>
                <w:szCs w:val="20"/>
                <w:lang w:val="en-GB"/>
              </w:rPr>
            </w:pPr>
            <w:r w:rsidRPr="00E6609B">
              <w:rPr>
                <w:rFonts w:ascii="Bookman Old Style" w:eastAsia="Bookman Old Style" w:hAnsi="Bookman Old Style" w:cs="Bookman Old Style"/>
                <w:sz w:val="20"/>
                <w:szCs w:val="20"/>
                <w:lang w:val="en-GB"/>
              </w:rPr>
              <w:t>5.305.810.729.910,00</w:t>
            </w:r>
          </w:p>
        </w:tc>
        <w:tc>
          <w:tcPr>
            <w:tcW w:w="2551" w:type="dxa"/>
            <w:shd w:val="clear" w:color="auto" w:fill="auto"/>
            <w:vAlign w:val="center"/>
          </w:tcPr>
          <w:p w14:paraId="5F89B4A5" w14:textId="49E77F8B" w:rsidR="00D40744" w:rsidRPr="00E6609B" w:rsidRDefault="005D7410" w:rsidP="00672D8A">
            <w:pPr>
              <w:pStyle w:val="ListParagraph"/>
              <w:spacing w:after="0" w:line="240" w:lineRule="auto"/>
              <w:ind w:left="0"/>
              <w:contextualSpacing w:val="0"/>
              <w:jc w:val="center"/>
              <w:rPr>
                <w:rFonts w:ascii="Bookman Old Style" w:eastAsia="Bookman Old Style" w:hAnsi="Bookman Old Style" w:cs="Bookman Old Style"/>
                <w:sz w:val="20"/>
                <w:szCs w:val="20"/>
                <w:lang w:val="en-GB"/>
              </w:rPr>
            </w:pPr>
            <w:r w:rsidRPr="00E6609B">
              <w:rPr>
                <w:rFonts w:ascii="Bookman Old Style" w:eastAsia="Bookman Old Style" w:hAnsi="Bookman Old Style" w:cs="Bookman Old Style"/>
                <w:sz w:val="20"/>
                <w:szCs w:val="20"/>
                <w:lang w:val="en-GB"/>
              </w:rPr>
              <w:t>-</w:t>
            </w:r>
          </w:p>
        </w:tc>
        <w:tc>
          <w:tcPr>
            <w:tcW w:w="1276" w:type="dxa"/>
            <w:shd w:val="clear" w:color="auto" w:fill="auto"/>
            <w:vAlign w:val="center"/>
          </w:tcPr>
          <w:p w14:paraId="062F539D" w14:textId="5114DD9F" w:rsidR="00D40744" w:rsidRPr="00E6609B" w:rsidRDefault="005D7410" w:rsidP="00672D8A">
            <w:pPr>
              <w:pStyle w:val="ListParagraph"/>
              <w:spacing w:after="0" w:line="240" w:lineRule="auto"/>
              <w:ind w:left="0"/>
              <w:contextualSpacing w:val="0"/>
              <w:jc w:val="center"/>
              <w:rPr>
                <w:rFonts w:ascii="Bookman Old Style" w:eastAsia="Bookman Old Style" w:hAnsi="Bookman Old Style" w:cs="Bookman Old Style"/>
                <w:sz w:val="20"/>
                <w:szCs w:val="20"/>
                <w:lang w:val="en-GB"/>
              </w:rPr>
            </w:pPr>
            <w:r w:rsidRPr="00E6609B">
              <w:rPr>
                <w:rFonts w:ascii="Bookman Old Style" w:eastAsia="Bookman Old Style" w:hAnsi="Bookman Old Style" w:cs="Bookman Old Style"/>
                <w:sz w:val="20"/>
                <w:szCs w:val="20"/>
                <w:lang w:val="en-GB"/>
              </w:rPr>
              <w:t>-</w:t>
            </w:r>
          </w:p>
        </w:tc>
      </w:tr>
    </w:tbl>
    <w:p w14:paraId="1842CF33" w14:textId="2C75FD54" w:rsidR="00487F81" w:rsidRPr="004838C6" w:rsidRDefault="00053117" w:rsidP="004838C6">
      <w:pPr>
        <w:spacing w:before="60" w:line="276" w:lineRule="auto"/>
        <w:ind w:left="1418" w:hanging="283"/>
        <w:jc w:val="both"/>
        <w:rPr>
          <w:rFonts w:ascii="Bookman Old Style" w:hAnsi="Bookman Old Style" w:cs="Arial"/>
          <w:i/>
          <w:sz w:val="18"/>
          <w:szCs w:val="18"/>
          <w:lang w:val="sv-FI"/>
        </w:rPr>
      </w:pPr>
      <w:r w:rsidRPr="004838C6">
        <w:rPr>
          <w:rFonts w:ascii="Bookman Old Style" w:hAnsi="Bookman Old Style" w:cs="Arial"/>
          <w:i/>
          <w:sz w:val="18"/>
          <w:szCs w:val="18"/>
          <w:lang w:val="sv-FI"/>
        </w:rPr>
        <w:t>*)</w:t>
      </w:r>
      <w:r w:rsidR="00A954D0" w:rsidRPr="004838C6">
        <w:rPr>
          <w:rFonts w:ascii="Bookman Old Style" w:hAnsi="Bookman Old Style" w:cs="Arial"/>
          <w:i/>
          <w:sz w:val="18"/>
          <w:szCs w:val="18"/>
          <w:lang w:val="sv-FI"/>
        </w:rPr>
        <w:t xml:space="preserve"> </w:t>
      </w:r>
      <w:r w:rsidR="004838C6">
        <w:rPr>
          <w:rFonts w:ascii="Bookman Old Style" w:hAnsi="Bookman Old Style" w:cs="Arial"/>
          <w:i/>
          <w:sz w:val="18"/>
          <w:szCs w:val="18"/>
          <w:lang w:val="sv-FI"/>
        </w:rPr>
        <w:tab/>
      </w:r>
      <w:r w:rsidR="002A1A8D" w:rsidRPr="004838C6">
        <w:rPr>
          <w:rFonts w:ascii="Bookman Old Style" w:hAnsi="Bookman Old Style" w:cs="Arial"/>
          <w:i/>
          <w:sz w:val="18"/>
          <w:szCs w:val="18"/>
          <w:lang w:val="sv-FI"/>
        </w:rPr>
        <w:t>Anggaran</w:t>
      </w:r>
      <w:r w:rsidR="00A954D0" w:rsidRPr="004838C6">
        <w:rPr>
          <w:rFonts w:ascii="Bookman Old Style" w:hAnsi="Bookman Old Style" w:cs="Arial"/>
          <w:i/>
          <w:sz w:val="18"/>
          <w:szCs w:val="18"/>
          <w:lang w:val="sv-FI"/>
        </w:rPr>
        <w:t xml:space="preserve"> </w:t>
      </w:r>
      <w:r w:rsidR="002A1A8D" w:rsidRPr="004838C6">
        <w:rPr>
          <w:rFonts w:ascii="Bookman Old Style" w:hAnsi="Bookman Old Style" w:cs="Arial"/>
          <w:i/>
          <w:sz w:val="18"/>
          <w:szCs w:val="18"/>
          <w:lang w:val="sv-FI"/>
        </w:rPr>
        <w:t>dan</w:t>
      </w:r>
      <w:r w:rsidR="00A954D0" w:rsidRPr="004838C6">
        <w:rPr>
          <w:rFonts w:ascii="Bookman Old Style" w:hAnsi="Bookman Old Style" w:cs="Arial"/>
          <w:i/>
          <w:sz w:val="18"/>
          <w:szCs w:val="18"/>
          <w:lang w:val="sv-FI"/>
        </w:rPr>
        <w:t xml:space="preserve"> </w:t>
      </w:r>
      <w:r w:rsidR="002A1A8D" w:rsidRPr="004838C6">
        <w:rPr>
          <w:rFonts w:ascii="Bookman Old Style" w:hAnsi="Bookman Old Style" w:cs="Arial"/>
          <w:i/>
          <w:sz w:val="18"/>
          <w:szCs w:val="18"/>
          <w:lang w:val="sv-FI"/>
        </w:rPr>
        <w:t>Realisasi</w:t>
      </w:r>
      <w:r w:rsidR="00A954D0" w:rsidRPr="004838C6">
        <w:rPr>
          <w:rFonts w:ascii="Bookman Old Style" w:hAnsi="Bookman Old Style" w:cs="Arial"/>
          <w:i/>
          <w:sz w:val="18"/>
          <w:szCs w:val="18"/>
          <w:lang w:val="sv-FI"/>
        </w:rPr>
        <w:t xml:space="preserve"> </w:t>
      </w:r>
      <w:r w:rsidR="002A1A8D" w:rsidRPr="004838C6">
        <w:rPr>
          <w:rFonts w:ascii="Bookman Old Style" w:hAnsi="Bookman Old Style" w:cs="Arial"/>
          <w:i/>
          <w:sz w:val="18"/>
          <w:szCs w:val="18"/>
          <w:lang w:val="sv-FI"/>
        </w:rPr>
        <w:t>Tahun</w:t>
      </w:r>
      <w:r w:rsidR="00A954D0" w:rsidRPr="004838C6">
        <w:rPr>
          <w:rFonts w:ascii="Bookman Old Style" w:hAnsi="Bookman Old Style" w:cs="Arial"/>
          <w:i/>
          <w:sz w:val="18"/>
          <w:szCs w:val="18"/>
          <w:lang w:val="sv-FI"/>
        </w:rPr>
        <w:t xml:space="preserve"> </w:t>
      </w:r>
      <w:r w:rsidR="002A1A8D" w:rsidRPr="004838C6">
        <w:rPr>
          <w:rFonts w:ascii="Bookman Old Style" w:hAnsi="Bookman Old Style" w:cs="Arial"/>
          <w:i/>
          <w:sz w:val="18"/>
          <w:szCs w:val="18"/>
          <w:lang w:val="sv-FI"/>
        </w:rPr>
        <w:t>2024</w:t>
      </w:r>
      <w:r w:rsidR="00A954D0" w:rsidRPr="004838C6">
        <w:rPr>
          <w:rFonts w:ascii="Bookman Old Style" w:hAnsi="Bookman Old Style" w:cs="Arial"/>
          <w:i/>
          <w:sz w:val="18"/>
          <w:szCs w:val="18"/>
          <w:lang w:val="sv-FI"/>
        </w:rPr>
        <w:t xml:space="preserve"> </w:t>
      </w:r>
      <w:r w:rsidR="002A1A8D" w:rsidRPr="004838C6">
        <w:rPr>
          <w:rFonts w:ascii="Bookman Old Style" w:hAnsi="Bookman Old Style" w:cs="Arial"/>
          <w:i/>
          <w:sz w:val="18"/>
          <w:szCs w:val="18"/>
          <w:lang w:val="sv-FI"/>
        </w:rPr>
        <w:t>berdasarkan</w:t>
      </w:r>
      <w:r w:rsidR="00A954D0" w:rsidRPr="004838C6">
        <w:rPr>
          <w:rFonts w:ascii="Bookman Old Style" w:hAnsi="Bookman Old Style" w:cs="Arial"/>
          <w:i/>
          <w:sz w:val="18"/>
          <w:szCs w:val="18"/>
          <w:lang w:val="sv-FI"/>
        </w:rPr>
        <w:t xml:space="preserve"> </w:t>
      </w:r>
      <w:r w:rsidR="002A1A8D" w:rsidRPr="004838C6">
        <w:rPr>
          <w:rFonts w:ascii="Bookman Old Style" w:hAnsi="Bookman Old Style" w:cs="Arial"/>
          <w:i/>
          <w:sz w:val="18"/>
          <w:szCs w:val="18"/>
          <w:lang w:val="sv-FI"/>
        </w:rPr>
        <w:t>Laporan</w:t>
      </w:r>
      <w:r w:rsidR="00A954D0" w:rsidRPr="004838C6">
        <w:rPr>
          <w:rFonts w:ascii="Bookman Old Style" w:hAnsi="Bookman Old Style" w:cs="Arial"/>
          <w:i/>
          <w:sz w:val="18"/>
          <w:szCs w:val="18"/>
          <w:lang w:val="sv-FI"/>
        </w:rPr>
        <w:t xml:space="preserve"> </w:t>
      </w:r>
      <w:r w:rsidR="002A1A8D" w:rsidRPr="004838C6">
        <w:rPr>
          <w:rFonts w:ascii="Bookman Old Style" w:hAnsi="Bookman Old Style" w:cs="Arial"/>
          <w:i/>
          <w:sz w:val="18"/>
          <w:szCs w:val="18"/>
          <w:lang w:val="sv-FI"/>
        </w:rPr>
        <w:t>Realisasi</w:t>
      </w:r>
      <w:r w:rsidR="00A954D0" w:rsidRPr="004838C6">
        <w:rPr>
          <w:rFonts w:ascii="Bookman Old Style" w:hAnsi="Bookman Old Style" w:cs="Arial"/>
          <w:i/>
          <w:sz w:val="18"/>
          <w:szCs w:val="18"/>
          <w:lang w:val="sv-FI"/>
        </w:rPr>
        <w:t xml:space="preserve"> </w:t>
      </w:r>
      <w:r w:rsidR="002A1A8D" w:rsidRPr="004838C6">
        <w:rPr>
          <w:rFonts w:ascii="Bookman Old Style" w:hAnsi="Bookman Old Style" w:cs="Arial"/>
          <w:i/>
          <w:sz w:val="18"/>
          <w:szCs w:val="18"/>
          <w:lang w:val="sv-FI"/>
        </w:rPr>
        <w:t>Anggaran</w:t>
      </w:r>
      <w:r w:rsidR="00A954D0" w:rsidRPr="004838C6">
        <w:rPr>
          <w:rFonts w:ascii="Bookman Old Style" w:hAnsi="Bookman Old Style" w:cs="Arial"/>
          <w:i/>
          <w:sz w:val="18"/>
          <w:szCs w:val="18"/>
          <w:lang w:val="sv-FI"/>
        </w:rPr>
        <w:t xml:space="preserve"> </w:t>
      </w:r>
      <w:r w:rsidR="002A1A8D" w:rsidRPr="004838C6">
        <w:rPr>
          <w:rFonts w:ascii="Bookman Old Style" w:hAnsi="Bookman Old Style" w:cs="Arial"/>
          <w:i/>
          <w:sz w:val="18"/>
          <w:szCs w:val="18"/>
          <w:lang w:val="sv-FI"/>
        </w:rPr>
        <w:t>s.d.</w:t>
      </w:r>
      <w:r w:rsidR="00A954D0" w:rsidRPr="004838C6">
        <w:rPr>
          <w:rFonts w:ascii="Bookman Old Style" w:hAnsi="Bookman Old Style" w:cs="Arial"/>
          <w:i/>
          <w:sz w:val="18"/>
          <w:szCs w:val="18"/>
          <w:lang w:val="sv-FI"/>
        </w:rPr>
        <w:t xml:space="preserve"> </w:t>
      </w:r>
      <w:r w:rsidR="002A1A8D" w:rsidRPr="004838C6">
        <w:rPr>
          <w:rFonts w:ascii="Bookman Old Style" w:hAnsi="Bookman Old Style" w:cs="Arial"/>
          <w:i/>
          <w:sz w:val="18"/>
          <w:szCs w:val="18"/>
          <w:lang w:val="sv-FI"/>
        </w:rPr>
        <w:t>31</w:t>
      </w:r>
      <w:r w:rsidR="00A954D0" w:rsidRPr="004838C6">
        <w:rPr>
          <w:rFonts w:ascii="Bookman Old Style" w:hAnsi="Bookman Old Style" w:cs="Arial"/>
          <w:i/>
          <w:sz w:val="18"/>
          <w:szCs w:val="18"/>
          <w:lang w:val="sv-FI"/>
        </w:rPr>
        <w:t xml:space="preserve"> </w:t>
      </w:r>
      <w:r w:rsidR="002A1A8D" w:rsidRPr="004838C6">
        <w:rPr>
          <w:rFonts w:ascii="Bookman Old Style" w:hAnsi="Bookman Old Style" w:cs="Arial"/>
          <w:i/>
          <w:sz w:val="18"/>
          <w:szCs w:val="18"/>
          <w:lang w:val="sv-FI"/>
        </w:rPr>
        <w:t>Oktober</w:t>
      </w:r>
      <w:r w:rsidR="00A954D0" w:rsidRPr="004838C6">
        <w:rPr>
          <w:rFonts w:ascii="Bookman Old Style" w:hAnsi="Bookman Old Style" w:cs="Arial"/>
          <w:i/>
          <w:sz w:val="18"/>
          <w:szCs w:val="18"/>
          <w:lang w:val="sv-FI"/>
        </w:rPr>
        <w:t xml:space="preserve"> </w:t>
      </w:r>
      <w:r w:rsidR="002A1A8D" w:rsidRPr="004838C6">
        <w:rPr>
          <w:rFonts w:ascii="Bookman Old Style" w:hAnsi="Bookman Old Style" w:cs="Arial"/>
          <w:i/>
          <w:sz w:val="18"/>
          <w:szCs w:val="18"/>
          <w:lang w:val="sv-FI"/>
        </w:rPr>
        <w:t>2024</w:t>
      </w:r>
    </w:p>
    <w:p w14:paraId="3D8B8A26" w14:textId="3E7AEA68" w:rsidR="00A00E28" w:rsidRPr="000E42D9" w:rsidRDefault="00FD1F10" w:rsidP="00B47576">
      <w:pPr>
        <w:pStyle w:val="ListParagraph"/>
        <w:spacing w:before="120" w:after="0" w:line="276" w:lineRule="auto"/>
        <w:ind w:left="992"/>
        <w:contextualSpacing w:val="0"/>
        <w:jc w:val="both"/>
        <w:rPr>
          <w:rFonts w:ascii="Bookman Old Style" w:hAnsi="Bookman Old Style"/>
          <w:sz w:val="24"/>
          <w:szCs w:val="24"/>
          <w:lang w:val="it-IT"/>
        </w:rPr>
      </w:pPr>
      <w:r w:rsidRPr="000E42D9">
        <w:rPr>
          <w:rFonts w:ascii="Bookman Old Style" w:hAnsi="Bookman Old Style"/>
          <w:sz w:val="24"/>
          <w:szCs w:val="24"/>
          <w:lang w:val="it-IT"/>
        </w:rPr>
        <w:t>Penganggaran</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t</w:t>
      </w:r>
      <w:r w:rsidRPr="000E42D9">
        <w:rPr>
          <w:rFonts w:ascii="Bookman Old Style" w:hAnsi="Bookman Old Style" w:cs="Arial"/>
          <w:sz w:val="24"/>
          <w:szCs w:val="24"/>
          <w:lang w:val="sv-FI"/>
        </w:rPr>
        <w:t>arget</w:t>
      </w:r>
      <w:r w:rsidR="00A954D0">
        <w:rPr>
          <w:rFonts w:ascii="Bookman Old Style" w:hAnsi="Bookman Old Style" w:cs="Arial"/>
          <w:sz w:val="24"/>
          <w:szCs w:val="24"/>
          <w:lang w:val="sv-FI"/>
        </w:rPr>
        <w:t xml:space="preserve"> </w:t>
      </w:r>
      <w:r w:rsidRPr="000E42D9">
        <w:rPr>
          <w:rFonts w:ascii="Bookman Old Style" w:hAnsi="Bookman Old Style" w:cs="Arial"/>
          <w:sz w:val="24"/>
          <w:szCs w:val="24"/>
          <w:lang w:val="sv-FI"/>
        </w:rPr>
        <w:t>pendapatan</w:t>
      </w:r>
      <w:r w:rsidR="00A954D0">
        <w:rPr>
          <w:rFonts w:ascii="Bookman Old Style" w:hAnsi="Bookman Old Style" w:cs="Arial"/>
          <w:sz w:val="24"/>
          <w:szCs w:val="24"/>
          <w:lang w:val="sv-FI"/>
        </w:rPr>
        <w:t xml:space="preserve"> </w:t>
      </w:r>
      <w:r w:rsidRPr="000E42D9">
        <w:rPr>
          <w:rFonts w:ascii="Bookman Old Style" w:hAnsi="Bookman Old Style" w:cs="Arial"/>
          <w:sz w:val="24"/>
          <w:szCs w:val="24"/>
          <w:lang w:val="sv-FI"/>
        </w:rPr>
        <w:t>daerah</w:t>
      </w:r>
      <w:r w:rsidR="00A954D0">
        <w:rPr>
          <w:rFonts w:ascii="Bookman Old Style" w:hAnsi="Bookman Old Style" w:cs="Arial"/>
          <w:sz w:val="24"/>
          <w:szCs w:val="24"/>
          <w:lang w:val="sv-FI"/>
        </w:rPr>
        <w:t xml:space="preserve"> </w:t>
      </w:r>
      <w:r w:rsidRPr="000E42D9">
        <w:rPr>
          <w:rFonts w:ascii="Bookman Old Style" w:hAnsi="Bookman Old Style"/>
          <w:sz w:val="24"/>
          <w:szCs w:val="24"/>
        </w:rPr>
        <w:t>dalam</w:t>
      </w:r>
      <w:r w:rsidR="00A954D0">
        <w:rPr>
          <w:rFonts w:ascii="Bookman Old Style" w:hAnsi="Bookman Old Style"/>
          <w:sz w:val="24"/>
          <w:szCs w:val="24"/>
        </w:rPr>
        <w:t xml:space="preserve"> </w:t>
      </w:r>
      <w:r w:rsidRPr="000E42D9">
        <w:rPr>
          <w:rFonts w:ascii="Bookman Old Style" w:hAnsi="Bookman Old Style"/>
          <w:sz w:val="24"/>
          <w:szCs w:val="24"/>
        </w:rPr>
        <w:t>Rancangan</w:t>
      </w:r>
      <w:r w:rsidR="00A954D0">
        <w:rPr>
          <w:rFonts w:ascii="Bookman Old Style" w:hAnsi="Bookman Old Style"/>
          <w:sz w:val="24"/>
          <w:szCs w:val="24"/>
        </w:rPr>
        <w:t xml:space="preserve"> </w:t>
      </w:r>
      <w:r w:rsidRPr="000E42D9">
        <w:rPr>
          <w:rFonts w:ascii="Bookman Old Style" w:hAnsi="Bookman Old Style"/>
          <w:sz w:val="24"/>
          <w:szCs w:val="24"/>
        </w:rPr>
        <w:t>Peraturan</w:t>
      </w:r>
      <w:r w:rsidR="00A954D0">
        <w:rPr>
          <w:rFonts w:ascii="Bookman Old Style" w:hAnsi="Bookman Old Style"/>
          <w:sz w:val="24"/>
          <w:szCs w:val="24"/>
        </w:rPr>
        <w:t xml:space="preserve"> </w:t>
      </w:r>
      <w:r w:rsidRPr="000E42D9">
        <w:rPr>
          <w:rFonts w:ascii="Bookman Old Style" w:hAnsi="Bookman Old Style"/>
          <w:sz w:val="24"/>
          <w:szCs w:val="24"/>
        </w:rPr>
        <w:t>Daerah</w:t>
      </w:r>
      <w:r w:rsidR="00A954D0">
        <w:rPr>
          <w:rFonts w:ascii="Bookman Old Style" w:hAnsi="Bookman Old Style"/>
          <w:sz w:val="24"/>
          <w:szCs w:val="24"/>
          <w:lang w:val="fi-FI"/>
        </w:rPr>
        <w:t xml:space="preserve"> </w:t>
      </w:r>
      <w:r w:rsidR="00B055C5" w:rsidRPr="000E42D9">
        <w:rPr>
          <w:rFonts w:ascii="Bookman Old Style" w:hAnsi="Bookman Old Style"/>
          <w:sz w:val="24"/>
          <w:szCs w:val="24"/>
          <w:lang w:val="fi-FI"/>
        </w:rPr>
        <w:t>Kota</w:t>
      </w:r>
      <w:r w:rsidR="00A954D0">
        <w:rPr>
          <w:rFonts w:ascii="Bookman Old Style" w:hAnsi="Bookman Old Style"/>
          <w:sz w:val="24"/>
          <w:szCs w:val="24"/>
          <w:lang w:val="fi-FI"/>
        </w:rPr>
        <w:t xml:space="preserve"> </w:t>
      </w:r>
      <w:r w:rsidR="00770F22" w:rsidRPr="000E42D9">
        <w:rPr>
          <w:rFonts w:ascii="Bookman Old Style" w:hAnsi="Bookman Old Style"/>
          <w:sz w:val="24"/>
          <w:szCs w:val="24"/>
          <w:lang w:val="fi-FI"/>
        </w:rPr>
        <w:t>Tangerang</w:t>
      </w:r>
      <w:r w:rsidR="00A954D0">
        <w:rPr>
          <w:rFonts w:ascii="Bookman Old Style" w:hAnsi="Bookman Old Style"/>
          <w:sz w:val="24"/>
          <w:szCs w:val="24"/>
          <w:lang w:val="fi-FI"/>
        </w:rPr>
        <w:t xml:space="preserve"> </w:t>
      </w:r>
      <w:r w:rsidR="00BE6ED9" w:rsidRPr="000E42D9">
        <w:rPr>
          <w:rFonts w:ascii="Bookman Old Style" w:hAnsi="Bookman Old Style"/>
          <w:sz w:val="24"/>
          <w:szCs w:val="24"/>
          <w:lang w:val="fi-FI"/>
        </w:rPr>
        <w:t>tentang</w:t>
      </w:r>
      <w:r w:rsidR="00A954D0">
        <w:rPr>
          <w:rFonts w:ascii="Bookman Old Style" w:hAnsi="Bookman Old Style"/>
          <w:sz w:val="24"/>
          <w:szCs w:val="24"/>
          <w:lang w:val="fi-FI"/>
        </w:rPr>
        <w:t xml:space="preserve"> </w:t>
      </w:r>
      <w:r w:rsidR="00BE6ED9" w:rsidRPr="000E42D9">
        <w:rPr>
          <w:rFonts w:ascii="Bookman Old Style" w:hAnsi="Bookman Old Style"/>
          <w:sz w:val="24"/>
          <w:szCs w:val="24"/>
          <w:lang w:val="fi-FI"/>
        </w:rPr>
        <w:t>APBD</w:t>
      </w:r>
      <w:r w:rsidR="00A954D0">
        <w:rPr>
          <w:rFonts w:ascii="Bookman Old Style" w:hAnsi="Bookman Old Style"/>
          <w:sz w:val="24"/>
          <w:szCs w:val="24"/>
        </w:rPr>
        <w:t xml:space="preserve"> </w:t>
      </w:r>
      <w:r w:rsidRPr="000E42D9">
        <w:rPr>
          <w:rFonts w:ascii="Bookman Old Style" w:hAnsi="Bookman Old Style"/>
          <w:sz w:val="24"/>
          <w:szCs w:val="24"/>
        </w:rPr>
        <w:t>Tahun</w:t>
      </w:r>
      <w:r w:rsidR="00A954D0">
        <w:rPr>
          <w:rFonts w:ascii="Bookman Old Style" w:hAnsi="Bookman Old Style"/>
          <w:sz w:val="24"/>
          <w:szCs w:val="24"/>
        </w:rPr>
        <w:t xml:space="preserve"> </w:t>
      </w:r>
      <w:r w:rsidRPr="000E42D9">
        <w:rPr>
          <w:rFonts w:ascii="Bookman Old Style" w:hAnsi="Bookman Old Style"/>
          <w:sz w:val="24"/>
          <w:szCs w:val="24"/>
        </w:rPr>
        <w:t>Anggaran</w:t>
      </w:r>
      <w:r w:rsidR="00A954D0">
        <w:rPr>
          <w:rFonts w:ascii="Bookman Old Style" w:hAnsi="Bookman Old Style"/>
          <w:sz w:val="24"/>
          <w:szCs w:val="24"/>
        </w:rPr>
        <w:t xml:space="preserve"> </w:t>
      </w:r>
      <w:r w:rsidRPr="000E42D9">
        <w:rPr>
          <w:rFonts w:ascii="Bookman Old Style" w:hAnsi="Bookman Old Style"/>
          <w:sz w:val="24"/>
          <w:szCs w:val="24"/>
        </w:rPr>
        <w:t>202</w:t>
      </w:r>
      <w:r w:rsidR="009C4428" w:rsidRPr="000E42D9">
        <w:rPr>
          <w:rFonts w:ascii="Bookman Old Style" w:hAnsi="Bookman Old Style"/>
          <w:sz w:val="24"/>
          <w:szCs w:val="24"/>
          <w:lang w:val="it-IT"/>
        </w:rPr>
        <w:t>5</w:t>
      </w:r>
      <w:r w:rsidR="00A954D0">
        <w:rPr>
          <w:rFonts w:ascii="Bookman Old Style" w:hAnsi="Bookman Old Style"/>
          <w:sz w:val="24"/>
          <w:szCs w:val="24"/>
          <w:lang w:val="it-IT"/>
        </w:rPr>
        <w:t xml:space="preserve"> </w:t>
      </w:r>
      <w:r w:rsidRPr="000E42D9">
        <w:rPr>
          <w:rFonts w:ascii="Bookman Old Style" w:hAnsi="Bookman Old Style"/>
          <w:sz w:val="24"/>
          <w:szCs w:val="24"/>
          <w:lang w:val="it-IT"/>
        </w:rPr>
        <w:t>sebagaimana</w:t>
      </w:r>
      <w:r w:rsidR="00A954D0">
        <w:rPr>
          <w:rFonts w:ascii="Bookman Old Style" w:hAnsi="Bookman Old Style"/>
          <w:sz w:val="24"/>
          <w:szCs w:val="24"/>
          <w:lang w:val="it-IT"/>
        </w:rPr>
        <w:t xml:space="preserve"> </w:t>
      </w:r>
      <w:r w:rsidR="00ED5870" w:rsidRPr="000E42D9">
        <w:rPr>
          <w:rFonts w:ascii="Bookman Old Style" w:hAnsi="Bookman Old Style"/>
          <w:sz w:val="24"/>
          <w:szCs w:val="24"/>
          <w:lang w:val="id-ID"/>
        </w:rPr>
        <w:t>T</w:t>
      </w:r>
      <w:r w:rsidRPr="000E42D9">
        <w:rPr>
          <w:rFonts w:ascii="Bookman Old Style" w:hAnsi="Bookman Old Style"/>
          <w:sz w:val="24"/>
          <w:szCs w:val="24"/>
          <w:lang w:val="it-IT"/>
        </w:rPr>
        <w:t>abel</w:t>
      </w:r>
      <w:r w:rsidR="00A954D0">
        <w:rPr>
          <w:rFonts w:ascii="Bookman Old Style" w:hAnsi="Bookman Old Style"/>
          <w:sz w:val="24"/>
          <w:szCs w:val="24"/>
          <w:lang w:val="id-ID"/>
        </w:rPr>
        <w:t xml:space="preserve"> </w:t>
      </w:r>
      <w:r w:rsidR="003F64EB" w:rsidRPr="000E42D9">
        <w:rPr>
          <w:rFonts w:ascii="Bookman Old Style" w:hAnsi="Bookman Old Style"/>
          <w:sz w:val="24"/>
          <w:szCs w:val="24"/>
          <w:lang w:val="id-ID"/>
        </w:rPr>
        <w:t>14</w:t>
      </w:r>
      <w:r w:rsidR="00A954D0">
        <w:rPr>
          <w:rFonts w:ascii="Bookman Old Style" w:hAnsi="Bookman Old Style"/>
          <w:sz w:val="24"/>
          <w:szCs w:val="24"/>
          <w:lang w:val="it-IT"/>
        </w:rPr>
        <w:t xml:space="preserve"> </w:t>
      </w:r>
      <w:r w:rsidRPr="000E42D9">
        <w:rPr>
          <w:rFonts w:ascii="Bookman Old Style" w:hAnsi="Bookman Old Style"/>
          <w:sz w:val="24"/>
          <w:szCs w:val="24"/>
          <w:lang w:val="it-IT"/>
        </w:rPr>
        <w:t>berikut:</w:t>
      </w:r>
    </w:p>
    <w:p w14:paraId="03E43884" w14:textId="77777777" w:rsidR="00CB4E17" w:rsidRDefault="00CB4E17" w:rsidP="00727324">
      <w:pPr>
        <w:pStyle w:val="ListParagraph"/>
        <w:spacing w:before="60" w:after="0" w:line="276" w:lineRule="auto"/>
        <w:ind w:left="-270"/>
        <w:contextualSpacing w:val="0"/>
        <w:jc w:val="center"/>
        <w:rPr>
          <w:rFonts w:ascii="Bookman Old Style" w:hAnsi="Bookman Old Style" w:cs="Arial"/>
          <w:color w:val="000000" w:themeColor="text1"/>
          <w:sz w:val="24"/>
          <w:szCs w:val="24"/>
          <w:lang w:val="id-ID"/>
        </w:rPr>
      </w:pPr>
    </w:p>
    <w:p w14:paraId="2117F0EF" w14:textId="0EF7A0CB" w:rsidR="00487F81" w:rsidRPr="003255BC" w:rsidRDefault="00B16404" w:rsidP="007978B4">
      <w:pPr>
        <w:pStyle w:val="ListParagraph"/>
        <w:spacing w:before="60" w:after="0" w:line="276" w:lineRule="auto"/>
        <w:ind w:left="284"/>
        <w:contextualSpacing w:val="0"/>
        <w:jc w:val="center"/>
        <w:rPr>
          <w:rFonts w:ascii="Bookman Old Style" w:hAnsi="Bookman Old Style" w:cs="Arial"/>
          <w:color w:val="000000" w:themeColor="text1"/>
          <w:sz w:val="24"/>
          <w:szCs w:val="24"/>
          <w:lang w:val="sv-FI"/>
        </w:rPr>
      </w:pPr>
      <w:r w:rsidRPr="003255BC">
        <w:rPr>
          <w:rFonts w:ascii="Bookman Old Style" w:hAnsi="Bookman Old Style" w:cs="Arial"/>
          <w:color w:val="000000" w:themeColor="text1"/>
          <w:sz w:val="24"/>
          <w:szCs w:val="24"/>
          <w:lang w:val="sv-FI"/>
        </w:rPr>
        <w:t>Tabel</w:t>
      </w:r>
      <w:r w:rsidR="00A954D0" w:rsidRPr="003255BC">
        <w:rPr>
          <w:rFonts w:ascii="Bookman Old Style" w:hAnsi="Bookman Old Style" w:cs="Arial"/>
          <w:color w:val="000000" w:themeColor="text1"/>
          <w:sz w:val="24"/>
          <w:szCs w:val="24"/>
          <w:lang w:val="sv-FI"/>
        </w:rPr>
        <w:t xml:space="preserve"> </w:t>
      </w:r>
      <w:r w:rsidR="003F64EB" w:rsidRPr="003255BC">
        <w:rPr>
          <w:rFonts w:ascii="Bookman Old Style" w:hAnsi="Bookman Old Style" w:cs="Arial"/>
          <w:color w:val="000000" w:themeColor="text1"/>
          <w:sz w:val="24"/>
          <w:szCs w:val="24"/>
          <w:lang w:val="sv-FI"/>
        </w:rPr>
        <w:t>14</w:t>
      </w:r>
    </w:p>
    <w:p w14:paraId="5C1F4EC6" w14:textId="62B7311E" w:rsidR="00B16404" w:rsidRPr="003255BC" w:rsidRDefault="00B16404" w:rsidP="007978B4">
      <w:pPr>
        <w:pStyle w:val="ListParagraph"/>
        <w:spacing w:after="120" w:line="276" w:lineRule="auto"/>
        <w:ind w:left="284"/>
        <w:contextualSpacing w:val="0"/>
        <w:jc w:val="center"/>
        <w:rPr>
          <w:rFonts w:ascii="Bookman Old Style" w:hAnsi="Bookman Old Style" w:cs="Arial"/>
          <w:color w:val="000000" w:themeColor="text1"/>
          <w:sz w:val="24"/>
          <w:szCs w:val="24"/>
          <w:lang w:val="sv-FI"/>
        </w:rPr>
      </w:pPr>
      <w:r w:rsidRPr="003255BC">
        <w:rPr>
          <w:rFonts w:ascii="Bookman Old Style" w:hAnsi="Bookman Old Style" w:cs="Arial"/>
          <w:color w:val="000000" w:themeColor="text1"/>
          <w:sz w:val="24"/>
          <w:szCs w:val="24"/>
          <w:lang w:val="sv-FI"/>
        </w:rPr>
        <w:t>Target</w:t>
      </w:r>
      <w:r w:rsidR="00A954D0" w:rsidRPr="003255BC">
        <w:rPr>
          <w:rFonts w:ascii="Bookman Old Style" w:hAnsi="Bookman Old Style" w:cs="Arial"/>
          <w:color w:val="000000" w:themeColor="text1"/>
          <w:sz w:val="24"/>
          <w:szCs w:val="24"/>
          <w:lang w:val="sv-FI"/>
        </w:rPr>
        <w:t xml:space="preserve"> </w:t>
      </w:r>
      <w:r w:rsidRPr="003255BC">
        <w:rPr>
          <w:rFonts w:ascii="Bookman Old Style" w:hAnsi="Bookman Old Style" w:cs="Arial"/>
          <w:color w:val="000000" w:themeColor="text1"/>
          <w:sz w:val="24"/>
          <w:szCs w:val="24"/>
          <w:lang w:val="sv-FI"/>
        </w:rPr>
        <w:t>Pendapatan</w:t>
      </w:r>
      <w:r w:rsidR="00A954D0" w:rsidRPr="003255BC">
        <w:rPr>
          <w:rFonts w:ascii="Bookman Old Style" w:hAnsi="Bookman Old Style" w:cs="Arial"/>
          <w:color w:val="000000" w:themeColor="text1"/>
          <w:sz w:val="24"/>
          <w:szCs w:val="24"/>
          <w:lang w:val="sv-FI"/>
        </w:rPr>
        <w:t xml:space="preserve"> </w:t>
      </w:r>
      <w:r w:rsidRPr="003255BC">
        <w:rPr>
          <w:rFonts w:ascii="Bookman Old Style" w:hAnsi="Bookman Old Style" w:cs="Arial"/>
          <w:color w:val="000000" w:themeColor="text1"/>
          <w:sz w:val="24"/>
          <w:szCs w:val="24"/>
          <w:lang w:val="sv-FI"/>
        </w:rPr>
        <w:t>Daerah</w:t>
      </w:r>
      <w:r w:rsidR="00A954D0" w:rsidRPr="003255BC">
        <w:rPr>
          <w:rFonts w:ascii="Bookman Old Style" w:hAnsi="Bookman Old Style" w:cs="Arial"/>
          <w:color w:val="000000" w:themeColor="text1"/>
          <w:sz w:val="24"/>
          <w:szCs w:val="24"/>
          <w:lang w:val="sv-FI"/>
        </w:rPr>
        <w:t xml:space="preserve"> </w:t>
      </w:r>
      <w:r w:rsidRPr="000E42D9">
        <w:rPr>
          <w:rFonts w:ascii="Bookman Old Style" w:hAnsi="Bookman Old Style" w:cs="Tahoma"/>
          <w:noProof/>
          <w:sz w:val="24"/>
          <w:szCs w:val="24"/>
        </w:rPr>
        <w:t>Tahun</w:t>
      </w:r>
      <w:r w:rsidR="00A954D0" w:rsidRPr="003255BC">
        <w:rPr>
          <w:rFonts w:ascii="Bookman Old Style" w:hAnsi="Bookman Old Style" w:cs="Arial"/>
          <w:color w:val="000000" w:themeColor="text1"/>
          <w:sz w:val="24"/>
          <w:szCs w:val="24"/>
          <w:lang w:val="sv-FI"/>
        </w:rPr>
        <w:t xml:space="preserve"> </w:t>
      </w:r>
      <w:r w:rsidRPr="003255BC">
        <w:rPr>
          <w:rFonts w:ascii="Bookman Old Style" w:hAnsi="Bookman Old Style" w:cs="Arial"/>
          <w:color w:val="000000" w:themeColor="text1"/>
          <w:sz w:val="24"/>
          <w:szCs w:val="24"/>
          <w:lang w:val="sv-FI"/>
        </w:rPr>
        <w:t>Anggaran</w:t>
      </w:r>
      <w:r w:rsidR="00A954D0" w:rsidRPr="003255BC">
        <w:rPr>
          <w:rFonts w:ascii="Bookman Old Style" w:hAnsi="Bookman Old Style" w:cs="Arial"/>
          <w:color w:val="000000" w:themeColor="text1"/>
          <w:sz w:val="24"/>
          <w:szCs w:val="24"/>
          <w:lang w:val="sv-FI"/>
        </w:rPr>
        <w:t xml:space="preserve"> </w:t>
      </w:r>
      <w:r w:rsidRPr="003255BC">
        <w:rPr>
          <w:rFonts w:ascii="Bookman Old Style" w:hAnsi="Bookman Old Style" w:cs="Arial"/>
          <w:color w:val="000000" w:themeColor="text1"/>
          <w:sz w:val="24"/>
          <w:szCs w:val="24"/>
          <w:lang w:val="sv-FI"/>
        </w:rPr>
        <w:t>2025</w:t>
      </w:r>
    </w:p>
    <w:tbl>
      <w:tblPr>
        <w:tblW w:w="4788" w:type="pct"/>
        <w:tblInd w:w="421" w:type="dxa"/>
        <w:tblLayout w:type="fixed"/>
        <w:tblLook w:val="04A0" w:firstRow="1" w:lastRow="0" w:firstColumn="1" w:lastColumn="0" w:noHBand="0" w:noVBand="1"/>
      </w:tblPr>
      <w:tblGrid>
        <w:gridCol w:w="4252"/>
        <w:gridCol w:w="2550"/>
        <w:gridCol w:w="1654"/>
      </w:tblGrid>
      <w:tr w:rsidR="0070102B" w:rsidRPr="00421885" w14:paraId="2F1377EC" w14:textId="77777777" w:rsidTr="004838C6">
        <w:trPr>
          <w:trHeight w:val="920"/>
        </w:trPr>
        <w:tc>
          <w:tcPr>
            <w:tcW w:w="251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7566F1" w14:textId="77777777" w:rsidR="0070102B" w:rsidRPr="00421885" w:rsidRDefault="0070102B" w:rsidP="003E2CA9">
            <w:pPr>
              <w:jc w:val="center"/>
              <w:rPr>
                <w:rFonts w:ascii="Bookman Old Style" w:hAnsi="Bookman Old Style" w:cs="Calibri"/>
                <w:b/>
                <w:bCs/>
                <w:color w:val="000000"/>
                <w:sz w:val="20"/>
                <w:szCs w:val="20"/>
              </w:rPr>
            </w:pPr>
            <w:r w:rsidRPr="00421885">
              <w:rPr>
                <w:rFonts w:ascii="Bookman Old Style" w:hAnsi="Bookman Old Style" w:cs="Arial"/>
                <w:b/>
                <w:bCs/>
                <w:color w:val="000000"/>
                <w:sz w:val="20"/>
                <w:szCs w:val="20"/>
              </w:rPr>
              <w:t>Uraian</w:t>
            </w:r>
          </w:p>
        </w:tc>
        <w:tc>
          <w:tcPr>
            <w:tcW w:w="15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FAE9E4" w14:textId="53C212BF" w:rsidR="0070102B" w:rsidRPr="00421885" w:rsidRDefault="0070102B" w:rsidP="003E2CA9">
            <w:pPr>
              <w:jc w:val="center"/>
              <w:rPr>
                <w:rFonts w:ascii="Bookman Old Style" w:hAnsi="Bookman Old Style" w:cs="Calibri"/>
                <w:b/>
                <w:bCs/>
                <w:color w:val="000000"/>
                <w:sz w:val="20"/>
                <w:szCs w:val="20"/>
                <w:lang w:val="sv-FI"/>
              </w:rPr>
            </w:pPr>
            <w:r w:rsidRPr="00421885">
              <w:rPr>
                <w:rFonts w:ascii="Bookman Old Style" w:hAnsi="Bookman Old Style" w:cs="Calibri"/>
                <w:b/>
                <w:bCs/>
                <w:color w:val="000000"/>
                <w:sz w:val="20"/>
                <w:szCs w:val="20"/>
                <w:lang w:val="sv-FI"/>
              </w:rPr>
              <w:t>Target</w:t>
            </w:r>
            <w:r w:rsidR="00A954D0" w:rsidRPr="00421885">
              <w:rPr>
                <w:rFonts w:ascii="Bookman Old Style" w:hAnsi="Bookman Old Style" w:cs="Calibri"/>
                <w:b/>
                <w:bCs/>
                <w:color w:val="000000"/>
                <w:sz w:val="20"/>
                <w:szCs w:val="20"/>
                <w:lang w:val="sv-FI"/>
              </w:rPr>
              <w:t xml:space="preserve"> </w:t>
            </w:r>
          </w:p>
          <w:p w14:paraId="66A7EDE9" w14:textId="0FBCEB1C" w:rsidR="003E2CA9" w:rsidRPr="00421885" w:rsidRDefault="0070102B" w:rsidP="003E2CA9">
            <w:pPr>
              <w:jc w:val="center"/>
              <w:rPr>
                <w:rFonts w:ascii="Bookman Old Style" w:hAnsi="Bookman Old Style" w:cs="Calibri"/>
                <w:b/>
                <w:bCs/>
                <w:color w:val="000000"/>
                <w:sz w:val="20"/>
                <w:szCs w:val="20"/>
                <w:lang w:val="sv-FI"/>
              </w:rPr>
            </w:pPr>
            <w:r w:rsidRPr="00421885">
              <w:rPr>
                <w:rFonts w:ascii="Bookman Old Style" w:hAnsi="Bookman Old Style" w:cs="Calibri"/>
                <w:b/>
                <w:bCs/>
                <w:color w:val="000000"/>
                <w:sz w:val="20"/>
                <w:szCs w:val="20"/>
                <w:lang w:val="sv-FI"/>
              </w:rPr>
              <w:t>Rancangan</w:t>
            </w:r>
            <w:r w:rsidR="00A954D0" w:rsidRPr="00421885">
              <w:rPr>
                <w:rFonts w:ascii="Bookman Old Style" w:hAnsi="Bookman Old Style" w:cs="Calibri"/>
                <w:b/>
                <w:bCs/>
                <w:color w:val="000000"/>
                <w:sz w:val="20"/>
                <w:szCs w:val="20"/>
                <w:lang w:val="sv-FI"/>
              </w:rPr>
              <w:t xml:space="preserve"> </w:t>
            </w:r>
            <w:r w:rsidRPr="00421885">
              <w:rPr>
                <w:rFonts w:ascii="Bookman Old Style" w:hAnsi="Bookman Old Style" w:cs="Calibri"/>
                <w:b/>
                <w:bCs/>
                <w:color w:val="000000"/>
                <w:sz w:val="20"/>
                <w:szCs w:val="20"/>
                <w:lang w:val="sv-FI"/>
              </w:rPr>
              <w:t>APBD</w:t>
            </w:r>
            <w:r w:rsidR="00A954D0" w:rsidRPr="00421885">
              <w:rPr>
                <w:rFonts w:ascii="Bookman Old Style" w:hAnsi="Bookman Old Style" w:cs="Calibri"/>
                <w:b/>
                <w:bCs/>
                <w:color w:val="000000"/>
                <w:sz w:val="20"/>
                <w:szCs w:val="20"/>
                <w:lang w:val="sv-FI"/>
              </w:rPr>
              <w:t xml:space="preserve"> </w:t>
            </w:r>
          </w:p>
          <w:p w14:paraId="22EBAE77" w14:textId="6AF7F378" w:rsidR="0070102B" w:rsidRPr="003255BC" w:rsidRDefault="0070102B" w:rsidP="003E2CA9">
            <w:pPr>
              <w:jc w:val="center"/>
              <w:rPr>
                <w:rFonts w:ascii="Bookman Old Style" w:hAnsi="Bookman Old Style" w:cs="Calibri"/>
                <w:b/>
                <w:bCs/>
                <w:color w:val="000000"/>
                <w:sz w:val="20"/>
                <w:szCs w:val="20"/>
                <w:lang w:val="sv-FI"/>
              </w:rPr>
            </w:pPr>
            <w:r w:rsidRPr="00421885">
              <w:rPr>
                <w:rFonts w:ascii="Bookman Old Style" w:hAnsi="Bookman Old Style" w:cs="Calibri"/>
                <w:b/>
                <w:bCs/>
                <w:color w:val="000000"/>
                <w:sz w:val="20"/>
                <w:szCs w:val="20"/>
                <w:lang w:val="sv-FI"/>
              </w:rPr>
              <w:t>TA</w:t>
            </w:r>
            <w:r w:rsidRPr="00421885">
              <w:rPr>
                <w:rFonts w:ascii="Bookman Old Style" w:hAnsi="Bookman Old Style" w:cs="Calibri"/>
                <w:b/>
                <w:bCs/>
                <w:color w:val="000000"/>
                <w:sz w:val="20"/>
                <w:szCs w:val="20"/>
                <w:lang w:val="id-ID"/>
              </w:rPr>
              <w:t>.</w:t>
            </w:r>
            <w:r w:rsidR="00A954D0" w:rsidRPr="00421885">
              <w:rPr>
                <w:rFonts w:ascii="Bookman Old Style" w:hAnsi="Bookman Old Style" w:cs="Calibri"/>
                <w:b/>
                <w:bCs/>
                <w:color w:val="000000"/>
                <w:sz w:val="20"/>
                <w:szCs w:val="20"/>
                <w:lang w:val="sv-FI"/>
              </w:rPr>
              <w:t xml:space="preserve"> </w:t>
            </w:r>
            <w:r w:rsidRPr="00421885">
              <w:rPr>
                <w:rFonts w:ascii="Bookman Old Style" w:hAnsi="Bookman Old Style" w:cs="Calibri"/>
                <w:b/>
                <w:bCs/>
                <w:color w:val="000000"/>
                <w:sz w:val="20"/>
                <w:szCs w:val="20"/>
                <w:lang w:val="sv-FI"/>
              </w:rPr>
              <w:t>2025</w:t>
            </w:r>
            <w:r w:rsidR="00A954D0" w:rsidRPr="00421885">
              <w:rPr>
                <w:rFonts w:ascii="Bookman Old Style" w:hAnsi="Bookman Old Style" w:cs="Calibri"/>
                <w:b/>
                <w:bCs/>
                <w:color w:val="000000"/>
                <w:sz w:val="20"/>
                <w:szCs w:val="20"/>
                <w:lang w:val="sv-FI"/>
              </w:rPr>
              <w:t xml:space="preserve"> </w:t>
            </w:r>
          </w:p>
          <w:p w14:paraId="4690CE84" w14:textId="77777777" w:rsidR="0070102B" w:rsidRPr="003255BC" w:rsidRDefault="0070102B" w:rsidP="003E2CA9">
            <w:pPr>
              <w:jc w:val="center"/>
              <w:rPr>
                <w:rFonts w:ascii="Bookman Old Style" w:hAnsi="Bookman Old Style" w:cs="Calibri"/>
                <w:b/>
                <w:bCs/>
                <w:color w:val="000000"/>
                <w:sz w:val="20"/>
                <w:szCs w:val="20"/>
                <w:lang w:val="sv-FI"/>
              </w:rPr>
            </w:pPr>
            <w:r w:rsidRPr="003255BC">
              <w:rPr>
                <w:rFonts w:ascii="Bookman Old Style" w:hAnsi="Bookman Old Style" w:cs="Calibri"/>
                <w:b/>
                <w:bCs/>
                <w:color w:val="000000"/>
                <w:sz w:val="20"/>
                <w:szCs w:val="20"/>
                <w:lang w:val="sv-FI"/>
              </w:rPr>
              <w:t>(Rp)</w:t>
            </w:r>
          </w:p>
        </w:tc>
        <w:tc>
          <w:tcPr>
            <w:tcW w:w="9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4F7C23" w14:textId="50F0C015" w:rsidR="0070102B" w:rsidRPr="00421885" w:rsidRDefault="0070102B" w:rsidP="003E2CA9">
            <w:pPr>
              <w:jc w:val="center"/>
              <w:rPr>
                <w:rFonts w:ascii="Bookman Old Style" w:hAnsi="Bookman Old Style" w:cs="Calibri"/>
                <w:b/>
                <w:bCs/>
                <w:color w:val="000000"/>
                <w:sz w:val="20"/>
                <w:szCs w:val="20"/>
                <w:lang w:val="sv-FI"/>
              </w:rPr>
            </w:pPr>
            <w:r w:rsidRPr="00421885">
              <w:rPr>
                <w:rFonts w:ascii="Bookman Old Style" w:hAnsi="Bookman Old Style" w:cs="Calibri"/>
                <w:b/>
                <w:bCs/>
                <w:color w:val="000000"/>
                <w:sz w:val="20"/>
                <w:szCs w:val="20"/>
                <w:lang w:val="sv-FI"/>
              </w:rPr>
              <w:t>Rasio</w:t>
            </w:r>
            <w:r w:rsidR="00A954D0" w:rsidRPr="00421885">
              <w:rPr>
                <w:rFonts w:ascii="Bookman Old Style" w:hAnsi="Bookman Old Style" w:cs="Calibri"/>
                <w:b/>
                <w:bCs/>
                <w:color w:val="000000"/>
                <w:sz w:val="20"/>
                <w:szCs w:val="20"/>
                <w:lang w:val="sv-FI"/>
              </w:rPr>
              <w:t xml:space="preserve"> </w:t>
            </w:r>
            <w:r w:rsidRPr="00421885">
              <w:rPr>
                <w:rFonts w:ascii="Bookman Old Style" w:hAnsi="Bookman Old Style" w:cs="Calibri"/>
                <w:b/>
                <w:bCs/>
                <w:color w:val="000000"/>
                <w:sz w:val="20"/>
                <w:szCs w:val="20"/>
                <w:lang w:val="sv-FI"/>
              </w:rPr>
              <w:t>Terhadap</w:t>
            </w:r>
            <w:r w:rsidR="00A954D0" w:rsidRPr="00421885">
              <w:rPr>
                <w:rFonts w:ascii="Bookman Old Style" w:hAnsi="Bookman Old Style" w:cs="Calibri"/>
                <w:b/>
                <w:bCs/>
                <w:color w:val="000000"/>
                <w:sz w:val="20"/>
                <w:szCs w:val="20"/>
                <w:lang w:val="sv-FI"/>
              </w:rPr>
              <w:t xml:space="preserve"> </w:t>
            </w:r>
            <w:r w:rsidRPr="00421885">
              <w:rPr>
                <w:rFonts w:ascii="Bookman Old Style" w:hAnsi="Bookman Old Style" w:cs="Calibri"/>
                <w:b/>
                <w:bCs/>
                <w:color w:val="000000"/>
                <w:sz w:val="20"/>
                <w:szCs w:val="20"/>
                <w:lang w:val="sv-FI"/>
              </w:rPr>
              <w:t>Pendapatan</w:t>
            </w:r>
            <w:r w:rsidR="00A954D0" w:rsidRPr="00421885">
              <w:rPr>
                <w:rFonts w:ascii="Bookman Old Style" w:hAnsi="Bookman Old Style" w:cs="Calibri"/>
                <w:b/>
                <w:bCs/>
                <w:color w:val="000000"/>
                <w:sz w:val="20"/>
                <w:szCs w:val="20"/>
                <w:lang w:val="sv-FI"/>
              </w:rPr>
              <w:t xml:space="preserve"> </w:t>
            </w:r>
            <w:r w:rsidRPr="00421885">
              <w:rPr>
                <w:rFonts w:ascii="Bookman Old Style" w:hAnsi="Bookman Old Style" w:cs="Calibri"/>
                <w:b/>
                <w:bCs/>
                <w:color w:val="000000"/>
                <w:sz w:val="20"/>
                <w:szCs w:val="20"/>
                <w:lang w:val="sv-FI"/>
              </w:rPr>
              <w:t>Daerah</w:t>
            </w:r>
          </w:p>
          <w:p w14:paraId="505A30EB" w14:textId="77777777" w:rsidR="0070102B" w:rsidRPr="00421885" w:rsidRDefault="0070102B" w:rsidP="003E2CA9">
            <w:pPr>
              <w:jc w:val="center"/>
              <w:rPr>
                <w:rFonts w:ascii="Bookman Old Style" w:hAnsi="Bookman Old Style" w:cs="Calibri"/>
                <w:b/>
                <w:bCs/>
                <w:color w:val="000000"/>
                <w:sz w:val="20"/>
                <w:szCs w:val="20"/>
                <w:lang w:val="sv-FI"/>
              </w:rPr>
            </w:pPr>
            <w:r w:rsidRPr="00421885">
              <w:rPr>
                <w:rFonts w:ascii="Bookman Old Style" w:hAnsi="Bookman Old Style" w:cs="Calibri"/>
                <w:b/>
                <w:bCs/>
                <w:color w:val="000000"/>
                <w:sz w:val="20"/>
                <w:szCs w:val="20"/>
                <w:lang w:val="sv-FI"/>
              </w:rPr>
              <w:t>(%)</w:t>
            </w:r>
          </w:p>
        </w:tc>
      </w:tr>
      <w:tr w:rsidR="0070102B" w:rsidRPr="00421885" w14:paraId="04153408" w14:textId="77777777" w:rsidTr="004838C6">
        <w:trPr>
          <w:trHeight w:val="276"/>
        </w:trPr>
        <w:tc>
          <w:tcPr>
            <w:tcW w:w="2514" w:type="pct"/>
            <w:vMerge/>
            <w:tcBorders>
              <w:top w:val="single" w:sz="4" w:space="0" w:color="auto"/>
              <w:left w:val="single" w:sz="4" w:space="0" w:color="auto"/>
              <w:bottom w:val="single" w:sz="4" w:space="0" w:color="auto"/>
              <w:right w:val="single" w:sz="4" w:space="0" w:color="auto"/>
            </w:tcBorders>
            <w:vAlign w:val="center"/>
            <w:hideMark/>
          </w:tcPr>
          <w:p w14:paraId="18EC5654" w14:textId="77777777" w:rsidR="0070102B" w:rsidRPr="00421885" w:rsidRDefault="0070102B" w:rsidP="0023341C">
            <w:pPr>
              <w:spacing w:line="276" w:lineRule="auto"/>
              <w:rPr>
                <w:rFonts w:ascii="Bookman Old Style" w:hAnsi="Bookman Old Style" w:cs="Calibri"/>
                <w:b/>
                <w:bCs/>
                <w:color w:val="000000"/>
                <w:sz w:val="20"/>
                <w:szCs w:val="20"/>
                <w:lang w:val="sv-FI"/>
              </w:rPr>
            </w:pPr>
          </w:p>
        </w:tc>
        <w:tc>
          <w:tcPr>
            <w:tcW w:w="1508" w:type="pct"/>
            <w:vMerge/>
            <w:tcBorders>
              <w:top w:val="single" w:sz="4" w:space="0" w:color="auto"/>
              <w:left w:val="single" w:sz="4" w:space="0" w:color="auto"/>
              <w:bottom w:val="single" w:sz="4" w:space="0" w:color="auto"/>
              <w:right w:val="single" w:sz="4" w:space="0" w:color="auto"/>
            </w:tcBorders>
            <w:vAlign w:val="center"/>
            <w:hideMark/>
          </w:tcPr>
          <w:p w14:paraId="3DB893D5" w14:textId="77777777" w:rsidR="0070102B" w:rsidRPr="00421885" w:rsidRDefault="0070102B" w:rsidP="0023341C">
            <w:pPr>
              <w:spacing w:line="276" w:lineRule="auto"/>
              <w:rPr>
                <w:rFonts w:ascii="Bookman Old Style" w:hAnsi="Bookman Old Style" w:cs="Calibri"/>
                <w:b/>
                <w:bCs/>
                <w:color w:val="000000"/>
                <w:sz w:val="20"/>
                <w:szCs w:val="20"/>
              </w:rPr>
            </w:pPr>
          </w:p>
        </w:tc>
        <w:tc>
          <w:tcPr>
            <w:tcW w:w="978" w:type="pct"/>
            <w:vMerge/>
            <w:tcBorders>
              <w:top w:val="single" w:sz="4" w:space="0" w:color="auto"/>
              <w:left w:val="single" w:sz="4" w:space="0" w:color="auto"/>
              <w:bottom w:val="single" w:sz="4" w:space="0" w:color="auto"/>
              <w:right w:val="single" w:sz="4" w:space="0" w:color="auto"/>
            </w:tcBorders>
            <w:vAlign w:val="center"/>
            <w:hideMark/>
          </w:tcPr>
          <w:p w14:paraId="6D0C1882" w14:textId="77777777" w:rsidR="0070102B" w:rsidRPr="00421885" w:rsidRDefault="0070102B" w:rsidP="0023341C">
            <w:pPr>
              <w:spacing w:line="276" w:lineRule="auto"/>
              <w:rPr>
                <w:rFonts w:ascii="Bookman Old Style" w:hAnsi="Bookman Old Style" w:cs="Calibri"/>
                <w:b/>
                <w:bCs/>
                <w:color w:val="000000"/>
                <w:sz w:val="20"/>
                <w:szCs w:val="20"/>
              </w:rPr>
            </w:pPr>
          </w:p>
        </w:tc>
      </w:tr>
      <w:tr w:rsidR="0070102B" w:rsidRPr="00421885" w14:paraId="2A6798A9" w14:textId="77777777" w:rsidTr="004838C6">
        <w:trPr>
          <w:trHeight w:val="290"/>
        </w:trPr>
        <w:tc>
          <w:tcPr>
            <w:tcW w:w="2514" w:type="pct"/>
            <w:tcBorders>
              <w:top w:val="nil"/>
              <w:left w:val="single" w:sz="4" w:space="0" w:color="auto"/>
              <w:bottom w:val="single" w:sz="4" w:space="0" w:color="auto"/>
              <w:right w:val="single" w:sz="4" w:space="0" w:color="auto"/>
            </w:tcBorders>
            <w:shd w:val="clear" w:color="auto" w:fill="auto"/>
            <w:vAlign w:val="center"/>
            <w:hideMark/>
          </w:tcPr>
          <w:p w14:paraId="3C79D3AC" w14:textId="77777777" w:rsidR="0070102B" w:rsidRPr="00421885" w:rsidRDefault="0070102B" w:rsidP="0023341C">
            <w:pPr>
              <w:spacing w:line="276" w:lineRule="auto"/>
              <w:jc w:val="center"/>
              <w:rPr>
                <w:rFonts w:ascii="Bookman Old Style" w:hAnsi="Bookman Old Style" w:cs="Calibri"/>
                <w:i/>
                <w:iCs/>
                <w:color w:val="000000"/>
                <w:sz w:val="20"/>
                <w:szCs w:val="20"/>
              </w:rPr>
            </w:pPr>
            <w:r w:rsidRPr="00421885">
              <w:rPr>
                <w:rFonts w:ascii="Bookman Old Style" w:hAnsi="Bookman Old Style" w:cs="Calibri"/>
                <w:i/>
                <w:iCs/>
                <w:color w:val="000000"/>
                <w:sz w:val="20"/>
                <w:szCs w:val="20"/>
              </w:rPr>
              <w:t>1</w:t>
            </w:r>
          </w:p>
        </w:tc>
        <w:tc>
          <w:tcPr>
            <w:tcW w:w="1508" w:type="pct"/>
            <w:tcBorders>
              <w:top w:val="nil"/>
              <w:left w:val="nil"/>
              <w:bottom w:val="single" w:sz="4" w:space="0" w:color="auto"/>
              <w:right w:val="single" w:sz="4" w:space="0" w:color="auto"/>
            </w:tcBorders>
            <w:shd w:val="clear" w:color="auto" w:fill="auto"/>
            <w:vAlign w:val="center"/>
            <w:hideMark/>
          </w:tcPr>
          <w:p w14:paraId="28BA533D" w14:textId="736765AC" w:rsidR="0070102B" w:rsidRPr="00421885" w:rsidRDefault="00D46D10" w:rsidP="0023341C">
            <w:pPr>
              <w:spacing w:line="276" w:lineRule="auto"/>
              <w:jc w:val="center"/>
              <w:rPr>
                <w:rFonts w:ascii="Bookman Old Style" w:hAnsi="Bookman Old Style" w:cs="Calibri"/>
                <w:i/>
                <w:iCs/>
                <w:color w:val="000000"/>
                <w:sz w:val="20"/>
                <w:szCs w:val="20"/>
              </w:rPr>
            </w:pPr>
            <w:r w:rsidRPr="00421885">
              <w:rPr>
                <w:rFonts w:ascii="Bookman Old Style" w:hAnsi="Bookman Old Style" w:cs="Calibri"/>
                <w:i/>
                <w:iCs/>
                <w:color w:val="000000"/>
                <w:sz w:val="20"/>
                <w:szCs w:val="20"/>
              </w:rPr>
              <w:t>2</w:t>
            </w:r>
          </w:p>
        </w:tc>
        <w:tc>
          <w:tcPr>
            <w:tcW w:w="978" w:type="pct"/>
            <w:tcBorders>
              <w:top w:val="nil"/>
              <w:left w:val="nil"/>
              <w:bottom w:val="single" w:sz="4" w:space="0" w:color="auto"/>
              <w:right w:val="single" w:sz="4" w:space="0" w:color="auto"/>
            </w:tcBorders>
            <w:shd w:val="clear" w:color="auto" w:fill="auto"/>
            <w:vAlign w:val="center"/>
            <w:hideMark/>
          </w:tcPr>
          <w:p w14:paraId="0F181844" w14:textId="06776BA7" w:rsidR="0070102B" w:rsidRPr="00421885" w:rsidRDefault="00D46D10" w:rsidP="0023341C">
            <w:pPr>
              <w:spacing w:line="276" w:lineRule="auto"/>
              <w:jc w:val="center"/>
              <w:rPr>
                <w:rFonts w:ascii="Bookman Old Style" w:hAnsi="Bookman Old Style" w:cs="Calibri"/>
                <w:i/>
                <w:iCs/>
                <w:color w:val="000000"/>
                <w:sz w:val="20"/>
                <w:szCs w:val="20"/>
              </w:rPr>
            </w:pPr>
            <w:r w:rsidRPr="00421885">
              <w:rPr>
                <w:rFonts w:ascii="Bookman Old Style" w:hAnsi="Bookman Old Style" w:cs="Calibri"/>
                <w:i/>
                <w:iCs/>
                <w:color w:val="000000"/>
                <w:sz w:val="20"/>
                <w:szCs w:val="20"/>
              </w:rPr>
              <w:t>3</w:t>
            </w:r>
          </w:p>
        </w:tc>
      </w:tr>
      <w:tr w:rsidR="008533C9" w:rsidRPr="00421885" w14:paraId="23F9C7E9" w14:textId="77777777" w:rsidTr="004838C6">
        <w:trPr>
          <w:trHeight w:val="68"/>
        </w:trPr>
        <w:tc>
          <w:tcPr>
            <w:tcW w:w="2514" w:type="pct"/>
            <w:tcBorders>
              <w:top w:val="nil"/>
              <w:left w:val="single" w:sz="4" w:space="0" w:color="auto"/>
              <w:bottom w:val="single" w:sz="4" w:space="0" w:color="auto"/>
              <w:right w:val="single" w:sz="4" w:space="0" w:color="auto"/>
            </w:tcBorders>
            <w:shd w:val="clear" w:color="auto" w:fill="auto"/>
            <w:vAlign w:val="center"/>
            <w:hideMark/>
          </w:tcPr>
          <w:p w14:paraId="63584876" w14:textId="5C2FFD83" w:rsidR="008533C9" w:rsidRPr="00421885" w:rsidRDefault="008533C9" w:rsidP="008533C9">
            <w:pPr>
              <w:spacing w:line="276" w:lineRule="auto"/>
              <w:jc w:val="both"/>
              <w:rPr>
                <w:rFonts w:ascii="Bookman Old Style" w:hAnsi="Bookman Old Style" w:cs="Calibri"/>
                <w:b/>
                <w:bCs/>
                <w:color w:val="000000"/>
                <w:sz w:val="20"/>
                <w:szCs w:val="20"/>
              </w:rPr>
            </w:pPr>
            <w:r w:rsidRPr="00421885">
              <w:rPr>
                <w:rFonts w:ascii="Bookman Old Style" w:hAnsi="Bookman Old Style" w:cs="Calibri"/>
                <w:b/>
                <w:bCs/>
                <w:color w:val="000000"/>
                <w:sz w:val="20"/>
                <w:szCs w:val="20"/>
                <w:lang w:val="id-ID"/>
              </w:rPr>
              <w:t>PENDAPATAN</w:t>
            </w:r>
            <w:r w:rsidR="00A954D0" w:rsidRPr="00421885">
              <w:rPr>
                <w:rFonts w:ascii="Bookman Old Style" w:hAnsi="Bookman Old Style" w:cs="Calibri"/>
                <w:b/>
                <w:bCs/>
                <w:color w:val="000000"/>
                <w:sz w:val="20"/>
                <w:szCs w:val="20"/>
                <w:lang w:val="id-ID"/>
              </w:rPr>
              <w:t xml:space="preserve"> </w:t>
            </w:r>
            <w:r w:rsidRPr="00421885">
              <w:rPr>
                <w:rFonts w:ascii="Bookman Old Style" w:hAnsi="Bookman Old Style" w:cs="Calibri"/>
                <w:b/>
                <w:bCs/>
                <w:color w:val="000000"/>
                <w:sz w:val="20"/>
                <w:szCs w:val="20"/>
                <w:lang w:val="id-ID"/>
              </w:rPr>
              <w:t>DAERAH</w:t>
            </w:r>
          </w:p>
        </w:tc>
        <w:tc>
          <w:tcPr>
            <w:tcW w:w="1508" w:type="pct"/>
            <w:tcBorders>
              <w:top w:val="nil"/>
              <w:left w:val="nil"/>
              <w:bottom w:val="single" w:sz="4" w:space="0" w:color="auto"/>
              <w:right w:val="single" w:sz="4" w:space="0" w:color="auto"/>
            </w:tcBorders>
            <w:shd w:val="clear" w:color="auto" w:fill="auto"/>
            <w:vAlign w:val="center"/>
            <w:hideMark/>
          </w:tcPr>
          <w:p w14:paraId="4CE0B221" w14:textId="1921B88B" w:rsidR="008533C9" w:rsidRPr="00421885" w:rsidRDefault="008533C9" w:rsidP="008533C9">
            <w:pPr>
              <w:spacing w:line="276" w:lineRule="auto"/>
              <w:jc w:val="right"/>
              <w:rPr>
                <w:rFonts w:ascii="Bookman Old Style" w:hAnsi="Bookman Old Style"/>
                <w:b/>
                <w:bCs/>
                <w:sz w:val="20"/>
                <w:szCs w:val="20"/>
              </w:rPr>
            </w:pPr>
            <w:r w:rsidRPr="00421885">
              <w:rPr>
                <w:rFonts w:ascii="Bookman Old Style" w:hAnsi="Bookman Old Style"/>
                <w:b/>
                <w:bCs/>
                <w:sz w:val="20"/>
                <w:szCs w:val="20"/>
              </w:rPr>
              <w:t>5.305.810.729.910,00</w:t>
            </w:r>
          </w:p>
        </w:tc>
        <w:tc>
          <w:tcPr>
            <w:tcW w:w="978" w:type="pct"/>
            <w:tcBorders>
              <w:top w:val="nil"/>
              <w:left w:val="nil"/>
              <w:bottom w:val="single" w:sz="4" w:space="0" w:color="auto"/>
              <w:right w:val="single" w:sz="4" w:space="0" w:color="auto"/>
            </w:tcBorders>
            <w:shd w:val="clear" w:color="auto" w:fill="auto"/>
            <w:vAlign w:val="center"/>
            <w:hideMark/>
          </w:tcPr>
          <w:p w14:paraId="631E7EF7" w14:textId="5C02FF5D" w:rsidR="008533C9" w:rsidRPr="00421885" w:rsidRDefault="008533C9" w:rsidP="008533C9">
            <w:pPr>
              <w:spacing w:line="276" w:lineRule="auto"/>
              <w:jc w:val="center"/>
              <w:rPr>
                <w:rFonts w:ascii="Bookman Old Style" w:hAnsi="Bookman Old Style"/>
                <w:b/>
                <w:bCs/>
                <w:sz w:val="20"/>
                <w:szCs w:val="20"/>
              </w:rPr>
            </w:pPr>
            <w:r w:rsidRPr="00421885">
              <w:rPr>
                <w:rFonts w:ascii="Bookman Old Style" w:hAnsi="Bookman Old Style"/>
                <w:b/>
                <w:bCs/>
                <w:sz w:val="20"/>
                <w:szCs w:val="20"/>
              </w:rPr>
              <w:t>100,00</w:t>
            </w:r>
          </w:p>
        </w:tc>
      </w:tr>
      <w:tr w:rsidR="008533C9" w:rsidRPr="00421885" w14:paraId="69EA9CDB" w14:textId="77777777" w:rsidTr="004838C6">
        <w:trPr>
          <w:trHeight w:val="50"/>
        </w:trPr>
        <w:tc>
          <w:tcPr>
            <w:tcW w:w="2514" w:type="pct"/>
            <w:tcBorders>
              <w:top w:val="nil"/>
              <w:left w:val="single" w:sz="4" w:space="0" w:color="auto"/>
              <w:bottom w:val="single" w:sz="4" w:space="0" w:color="auto"/>
              <w:right w:val="single" w:sz="4" w:space="0" w:color="auto"/>
            </w:tcBorders>
            <w:shd w:val="clear" w:color="auto" w:fill="auto"/>
            <w:vAlign w:val="center"/>
            <w:hideMark/>
          </w:tcPr>
          <w:p w14:paraId="40770AFD" w14:textId="0BC63C89" w:rsidR="008533C9" w:rsidRPr="00421885" w:rsidRDefault="008533C9" w:rsidP="008533C9">
            <w:pPr>
              <w:spacing w:line="276" w:lineRule="auto"/>
              <w:jc w:val="both"/>
              <w:rPr>
                <w:rFonts w:ascii="Bookman Old Style" w:hAnsi="Bookman Old Style" w:cs="Calibri"/>
                <w:b/>
                <w:bCs/>
                <w:color w:val="000000"/>
                <w:sz w:val="20"/>
                <w:szCs w:val="20"/>
              </w:rPr>
            </w:pPr>
            <w:bookmarkStart w:id="18" w:name="_Hlk183155841"/>
            <w:r w:rsidRPr="00421885">
              <w:rPr>
                <w:rFonts w:ascii="Bookman Old Style" w:hAnsi="Bookman Old Style" w:cs="Calibri"/>
                <w:b/>
                <w:bCs/>
                <w:color w:val="000000"/>
                <w:sz w:val="20"/>
                <w:szCs w:val="20"/>
                <w:lang w:val="id-ID"/>
              </w:rPr>
              <w:t>Pendapatan</w:t>
            </w:r>
            <w:r w:rsidR="00A954D0" w:rsidRPr="00421885">
              <w:rPr>
                <w:rFonts w:ascii="Bookman Old Style" w:hAnsi="Bookman Old Style" w:cs="Calibri"/>
                <w:b/>
                <w:bCs/>
                <w:color w:val="000000"/>
                <w:sz w:val="20"/>
                <w:szCs w:val="20"/>
                <w:lang w:val="id-ID"/>
              </w:rPr>
              <w:t xml:space="preserve"> </w:t>
            </w:r>
            <w:r w:rsidRPr="00421885">
              <w:rPr>
                <w:rFonts w:ascii="Bookman Old Style" w:hAnsi="Bookman Old Style" w:cs="Calibri"/>
                <w:b/>
                <w:bCs/>
                <w:color w:val="000000"/>
                <w:sz w:val="20"/>
                <w:szCs w:val="20"/>
                <w:lang w:val="id-ID"/>
              </w:rPr>
              <w:t>Asli</w:t>
            </w:r>
            <w:r w:rsidR="00A954D0" w:rsidRPr="00421885">
              <w:rPr>
                <w:rFonts w:ascii="Bookman Old Style" w:hAnsi="Bookman Old Style" w:cs="Calibri"/>
                <w:b/>
                <w:bCs/>
                <w:color w:val="000000"/>
                <w:sz w:val="20"/>
                <w:szCs w:val="20"/>
                <w:lang w:val="id-ID"/>
              </w:rPr>
              <w:t xml:space="preserve"> </w:t>
            </w:r>
            <w:r w:rsidRPr="00421885">
              <w:rPr>
                <w:rFonts w:ascii="Bookman Old Style" w:hAnsi="Bookman Old Style" w:cs="Calibri"/>
                <w:b/>
                <w:bCs/>
                <w:color w:val="000000"/>
                <w:sz w:val="20"/>
                <w:szCs w:val="20"/>
                <w:lang w:val="id-ID"/>
              </w:rPr>
              <w:t>Daerah</w:t>
            </w:r>
          </w:p>
        </w:tc>
        <w:tc>
          <w:tcPr>
            <w:tcW w:w="1508" w:type="pct"/>
            <w:tcBorders>
              <w:top w:val="nil"/>
              <w:left w:val="nil"/>
              <w:bottom w:val="single" w:sz="4" w:space="0" w:color="auto"/>
              <w:right w:val="single" w:sz="4" w:space="0" w:color="auto"/>
            </w:tcBorders>
            <w:shd w:val="clear" w:color="auto" w:fill="auto"/>
            <w:hideMark/>
          </w:tcPr>
          <w:p w14:paraId="31ED617B" w14:textId="26E51EAC" w:rsidR="008533C9" w:rsidRPr="00421885" w:rsidRDefault="008533C9" w:rsidP="008533C9">
            <w:pPr>
              <w:spacing w:line="276" w:lineRule="auto"/>
              <w:jc w:val="right"/>
              <w:rPr>
                <w:rFonts w:ascii="Bookman Old Style" w:hAnsi="Bookman Old Style"/>
                <w:b/>
                <w:bCs/>
                <w:sz w:val="20"/>
                <w:szCs w:val="20"/>
              </w:rPr>
            </w:pPr>
            <w:bookmarkStart w:id="19" w:name="_Hlk184718852"/>
            <w:r w:rsidRPr="00421885">
              <w:rPr>
                <w:rFonts w:ascii="Bookman Old Style" w:hAnsi="Bookman Old Style"/>
                <w:b/>
                <w:bCs/>
                <w:sz w:val="20"/>
                <w:szCs w:val="20"/>
              </w:rPr>
              <w:t>3.042.853.105.436,00</w:t>
            </w:r>
            <w:bookmarkEnd w:id="19"/>
          </w:p>
        </w:tc>
        <w:tc>
          <w:tcPr>
            <w:tcW w:w="978" w:type="pct"/>
            <w:tcBorders>
              <w:top w:val="nil"/>
              <w:left w:val="nil"/>
              <w:bottom w:val="single" w:sz="4" w:space="0" w:color="auto"/>
              <w:right w:val="single" w:sz="4" w:space="0" w:color="auto"/>
            </w:tcBorders>
            <w:shd w:val="clear" w:color="auto" w:fill="auto"/>
            <w:hideMark/>
          </w:tcPr>
          <w:p w14:paraId="7AC16FCA" w14:textId="3942E334" w:rsidR="008533C9" w:rsidRPr="00421885" w:rsidRDefault="00A954D0" w:rsidP="008533C9">
            <w:pPr>
              <w:spacing w:line="276" w:lineRule="auto"/>
              <w:jc w:val="center"/>
              <w:rPr>
                <w:rFonts w:ascii="Bookman Old Style" w:hAnsi="Bookman Old Style"/>
                <w:b/>
                <w:bCs/>
                <w:sz w:val="20"/>
                <w:szCs w:val="20"/>
              </w:rPr>
            </w:pPr>
            <w:r w:rsidRPr="00421885">
              <w:rPr>
                <w:rFonts w:ascii="Bookman Old Style" w:hAnsi="Bookman Old Style"/>
                <w:b/>
                <w:bCs/>
                <w:sz w:val="20"/>
                <w:szCs w:val="20"/>
              </w:rPr>
              <w:t xml:space="preserve"> </w:t>
            </w:r>
            <w:r w:rsidR="008533C9" w:rsidRPr="00421885">
              <w:rPr>
                <w:rFonts w:ascii="Bookman Old Style" w:hAnsi="Bookman Old Style"/>
                <w:b/>
                <w:bCs/>
                <w:sz w:val="20"/>
                <w:szCs w:val="20"/>
              </w:rPr>
              <w:t>57,35</w:t>
            </w:r>
            <w:r w:rsidRPr="00421885">
              <w:rPr>
                <w:rFonts w:ascii="Bookman Old Style" w:hAnsi="Bookman Old Style"/>
                <w:b/>
                <w:bCs/>
                <w:sz w:val="20"/>
                <w:szCs w:val="20"/>
              </w:rPr>
              <w:t xml:space="preserve"> </w:t>
            </w:r>
          </w:p>
        </w:tc>
      </w:tr>
      <w:bookmarkEnd w:id="18"/>
      <w:tr w:rsidR="008533C9" w:rsidRPr="00421885" w14:paraId="63CF2F31" w14:textId="77777777" w:rsidTr="004838C6">
        <w:trPr>
          <w:trHeight w:val="290"/>
        </w:trPr>
        <w:tc>
          <w:tcPr>
            <w:tcW w:w="2514" w:type="pct"/>
            <w:tcBorders>
              <w:top w:val="nil"/>
              <w:left w:val="single" w:sz="4" w:space="0" w:color="auto"/>
              <w:bottom w:val="single" w:sz="4" w:space="0" w:color="auto"/>
              <w:right w:val="single" w:sz="4" w:space="0" w:color="auto"/>
            </w:tcBorders>
            <w:shd w:val="clear" w:color="auto" w:fill="auto"/>
            <w:vAlign w:val="center"/>
            <w:hideMark/>
          </w:tcPr>
          <w:p w14:paraId="68905CCA" w14:textId="32A61A9E" w:rsidR="008533C9" w:rsidRPr="00421885" w:rsidRDefault="008533C9" w:rsidP="008533C9">
            <w:pPr>
              <w:spacing w:line="276" w:lineRule="auto"/>
              <w:jc w:val="both"/>
              <w:rPr>
                <w:rFonts w:ascii="Bookman Old Style" w:hAnsi="Bookman Old Style" w:cs="Calibri"/>
                <w:color w:val="000000"/>
                <w:sz w:val="20"/>
                <w:szCs w:val="20"/>
              </w:rPr>
            </w:pPr>
            <w:r w:rsidRPr="00421885">
              <w:rPr>
                <w:rFonts w:ascii="Bookman Old Style" w:hAnsi="Bookman Old Style" w:cs="Calibri"/>
                <w:color w:val="000000"/>
                <w:sz w:val="20"/>
                <w:szCs w:val="20"/>
                <w:lang w:val="id-ID"/>
              </w:rPr>
              <w:t>Pajak</w:t>
            </w:r>
            <w:r w:rsidR="00A954D0" w:rsidRPr="00421885">
              <w:rPr>
                <w:rFonts w:ascii="Bookman Old Style" w:hAnsi="Bookman Old Style" w:cs="Calibri"/>
                <w:color w:val="000000"/>
                <w:sz w:val="20"/>
                <w:szCs w:val="20"/>
                <w:lang w:val="id-ID"/>
              </w:rPr>
              <w:t xml:space="preserve"> </w:t>
            </w:r>
            <w:r w:rsidRPr="00421885">
              <w:rPr>
                <w:rFonts w:ascii="Bookman Old Style" w:hAnsi="Bookman Old Style" w:cs="Calibri"/>
                <w:color w:val="000000"/>
                <w:sz w:val="20"/>
                <w:szCs w:val="20"/>
                <w:lang w:val="id-ID"/>
              </w:rPr>
              <w:t>Daerah</w:t>
            </w:r>
          </w:p>
        </w:tc>
        <w:tc>
          <w:tcPr>
            <w:tcW w:w="1508" w:type="pct"/>
            <w:tcBorders>
              <w:top w:val="nil"/>
              <w:left w:val="nil"/>
              <w:bottom w:val="single" w:sz="4" w:space="0" w:color="auto"/>
              <w:right w:val="single" w:sz="4" w:space="0" w:color="auto"/>
            </w:tcBorders>
            <w:shd w:val="clear" w:color="auto" w:fill="auto"/>
            <w:hideMark/>
          </w:tcPr>
          <w:p w14:paraId="0544AC6B" w14:textId="68CE2575" w:rsidR="008533C9" w:rsidRPr="00421885" w:rsidRDefault="00A954D0" w:rsidP="008533C9">
            <w:pPr>
              <w:spacing w:line="276" w:lineRule="auto"/>
              <w:jc w:val="right"/>
              <w:rPr>
                <w:rFonts w:ascii="Bookman Old Style" w:hAnsi="Bookman Old Style"/>
                <w:sz w:val="20"/>
                <w:szCs w:val="20"/>
              </w:rPr>
            </w:pPr>
            <w:r w:rsidRPr="00421885">
              <w:rPr>
                <w:rFonts w:ascii="Bookman Old Style" w:hAnsi="Bookman Old Style"/>
                <w:sz w:val="20"/>
                <w:szCs w:val="20"/>
              </w:rPr>
              <w:t xml:space="preserve"> </w:t>
            </w:r>
            <w:r w:rsidR="008533C9" w:rsidRPr="00421885">
              <w:rPr>
                <w:rFonts w:ascii="Bookman Old Style" w:hAnsi="Bookman Old Style"/>
                <w:sz w:val="20"/>
                <w:szCs w:val="20"/>
              </w:rPr>
              <w:t>2.699.738.217.010,00</w:t>
            </w:r>
            <w:r w:rsidRPr="00421885">
              <w:rPr>
                <w:rFonts w:ascii="Bookman Old Style" w:hAnsi="Bookman Old Style"/>
                <w:sz w:val="20"/>
                <w:szCs w:val="20"/>
              </w:rPr>
              <w:t xml:space="preserve"> </w:t>
            </w:r>
          </w:p>
        </w:tc>
        <w:tc>
          <w:tcPr>
            <w:tcW w:w="978" w:type="pct"/>
            <w:tcBorders>
              <w:top w:val="nil"/>
              <w:left w:val="nil"/>
              <w:bottom w:val="single" w:sz="4" w:space="0" w:color="auto"/>
              <w:right w:val="single" w:sz="4" w:space="0" w:color="auto"/>
            </w:tcBorders>
            <w:shd w:val="clear" w:color="auto" w:fill="auto"/>
            <w:hideMark/>
          </w:tcPr>
          <w:p w14:paraId="36974217" w14:textId="3881F7F4" w:rsidR="008533C9" w:rsidRPr="00421885" w:rsidRDefault="00A954D0" w:rsidP="008533C9">
            <w:pPr>
              <w:spacing w:line="276" w:lineRule="auto"/>
              <w:jc w:val="center"/>
              <w:rPr>
                <w:rFonts w:ascii="Bookman Old Style" w:hAnsi="Bookman Old Style"/>
                <w:sz w:val="20"/>
                <w:szCs w:val="20"/>
              </w:rPr>
            </w:pPr>
            <w:r w:rsidRPr="00421885">
              <w:rPr>
                <w:rFonts w:ascii="Bookman Old Style" w:hAnsi="Bookman Old Style"/>
                <w:sz w:val="20"/>
                <w:szCs w:val="20"/>
              </w:rPr>
              <w:t xml:space="preserve"> </w:t>
            </w:r>
            <w:r w:rsidR="008533C9" w:rsidRPr="00421885">
              <w:rPr>
                <w:rFonts w:ascii="Bookman Old Style" w:hAnsi="Bookman Old Style"/>
                <w:sz w:val="20"/>
                <w:szCs w:val="20"/>
              </w:rPr>
              <w:t>50,88</w:t>
            </w:r>
            <w:r w:rsidRPr="00421885">
              <w:rPr>
                <w:rFonts w:ascii="Bookman Old Style" w:hAnsi="Bookman Old Style"/>
                <w:sz w:val="20"/>
                <w:szCs w:val="20"/>
              </w:rPr>
              <w:t xml:space="preserve"> </w:t>
            </w:r>
          </w:p>
        </w:tc>
      </w:tr>
      <w:tr w:rsidR="008533C9" w:rsidRPr="00421885" w14:paraId="1E28753D" w14:textId="77777777" w:rsidTr="004838C6">
        <w:trPr>
          <w:trHeight w:val="50"/>
        </w:trPr>
        <w:tc>
          <w:tcPr>
            <w:tcW w:w="2514" w:type="pct"/>
            <w:tcBorders>
              <w:top w:val="nil"/>
              <w:left w:val="single" w:sz="4" w:space="0" w:color="auto"/>
              <w:bottom w:val="single" w:sz="4" w:space="0" w:color="auto"/>
              <w:right w:val="single" w:sz="4" w:space="0" w:color="auto"/>
            </w:tcBorders>
            <w:shd w:val="clear" w:color="auto" w:fill="auto"/>
            <w:vAlign w:val="center"/>
            <w:hideMark/>
          </w:tcPr>
          <w:p w14:paraId="1E52458B" w14:textId="68B99972" w:rsidR="008533C9" w:rsidRPr="00421885" w:rsidRDefault="008533C9" w:rsidP="008533C9">
            <w:pPr>
              <w:spacing w:line="276" w:lineRule="auto"/>
              <w:jc w:val="both"/>
              <w:rPr>
                <w:rFonts w:ascii="Bookman Old Style" w:hAnsi="Bookman Old Style" w:cs="Calibri"/>
                <w:color w:val="000000"/>
                <w:sz w:val="20"/>
                <w:szCs w:val="20"/>
              </w:rPr>
            </w:pPr>
            <w:r w:rsidRPr="00421885">
              <w:rPr>
                <w:rFonts w:ascii="Bookman Old Style" w:hAnsi="Bookman Old Style" w:cs="Calibri"/>
                <w:color w:val="000000"/>
                <w:sz w:val="20"/>
                <w:szCs w:val="20"/>
                <w:lang w:val="id-ID"/>
              </w:rPr>
              <w:t>Retribusi</w:t>
            </w:r>
            <w:r w:rsidR="00A954D0" w:rsidRPr="00421885">
              <w:rPr>
                <w:rFonts w:ascii="Bookman Old Style" w:hAnsi="Bookman Old Style" w:cs="Calibri"/>
                <w:color w:val="000000"/>
                <w:sz w:val="20"/>
                <w:szCs w:val="20"/>
                <w:lang w:val="id-ID"/>
              </w:rPr>
              <w:t xml:space="preserve"> </w:t>
            </w:r>
            <w:r w:rsidRPr="00421885">
              <w:rPr>
                <w:rFonts w:ascii="Bookman Old Style" w:hAnsi="Bookman Old Style" w:cs="Calibri"/>
                <w:color w:val="000000"/>
                <w:sz w:val="20"/>
                <w:szCs w:val="20"/>
                <w:lang w:val="id-ID"/>
              </w:rPr>
              <w:t>Daerah</w:t>
            </w:r>
          </w:p>
        </w:tc>
        <w:tc>
          <w:tcPr>
            <w:tcW w:w="1508" w:type="pct"/>
            <w:tcBorders>
              <w:top w:val="nil"/>
              <w:left w:val="nil"/>
              <w:bottom w:val="single" w:sz="4" w:space="0" w:color="auto"/>
              <w:right w:val="single" w:sz="4" w:space="0" w:color="auto"/>
            </w:tcBorders>
            <w:shd w:val="clear" w:color="auto" w:fill="auto"/>
            <w:hideMark/>
          </w:tcPr>
          <w:p w14:paraId="554297B2" w14:textId="3373F6E1" w:rsidR="008533C9" w:rsidRPr="00421885" w:rsidRDefault="00A954D0" w:rsidP="008533C9">
            <w:pPr>
              <w:spacing w:line="276" w:lineRule="auto"/>
              <w:jc w:val="right"/>
              <w:rPr>
                <w:rFonts w:ascii="Bookman Old Style" w:hAnsi="Bookman Old Style"/>
                <w:sz w:val="20"/>
                <w:szCs w:val="20"/>
              </w:rPr>
            </w:pPr>
            <w:r w:rsidRPr="00421885">
              <w:rPr>
                <w:rFonts w:ascii="Bookman Old Style" w:hAnsi="Bookman Old Style"/>
                <w:sz w:val="20"/>
                <w:szCs w:val="20"/>
              </w:rPr>
              <w:t xml:space="preserve"> </w:t>
            </w:r>
            <w:r w:rsidR="008533C9" w:rsidRPr="00421885">
              <w:rPr>
                <w:rFonts w:ascii="Bookman Old Style" w:hAnsi="Bookman Old Style"/>
                <w:sz w:val="20"/>
                <w:szCs w:val="20"/>
              </w:rPr>
              <w:t>289.952.271.509,00</w:t>
            </w:r>
            <w:r w:rsidRPr="00421885">
              <w:rPr>
                <w:rFonts w:ascii="Bookman Old Style" w:hAnsi="Bookman Old Style"/>
                <w:sz w:val="20"/>
                <w:szCs w:val="20"/>
              </w:rPr>
              <w:t xml:space="preserve"> </w:t>
            </w:r>
          </w:p>
        </w:tc>
        <w:tc>
          <w:tcPr>
            <w:tcW w:w="978" w:type="pct"/>
            <w:tcBorders>
              <w:top w:val="nil"/>
              <w:left w:val="nil"/>
              <w:bottom w:val="single" w:sz="4" w:space="0" w:color="auto"/>
              <w:right w:val="single" w:sz="4" w:space="0" w:color="auto"/>
            </w:tcBorders>
            <w:shd w:val="clear" w:color="auto" w:fill="auto"/>
            <w:hideMark/>
          </w:tcPr>
          <w:p w14:paraId="76C27C53" w14:textId="659B255C" w:rsidR="008533C9" w:rsidRPr="00421885" w:rsidRDefault="00A954D0" w:rsidP="008533C9">
            <w:pPr>
              <w:spacing w:line="276" w:lineRule="auto"/>
              <w:jc w:val="center"/>
              <w:rPr>
                <w:rFonts w:ascii="Bookman Old Style" w:hAnsi="Bookman Old Style"/>
                <w:sz w:val="20"/>
                <w:szCs w:val="20"/>
              </w:rPr>
            </w:pPr>
            <w:r w:rsidRPr="00421885">
              <w:rPr>
                <w:rFonts w:ascii="Bookman Old Style" w:hAnsi="Bookman Old Style"/>
                <w:sz w:val="20"/>
                <w:szCs w:val="20"/>
              </w:rPr>
              <w:t xml:space="preserve"> </w:t>
            </w:r>
            <w:r w:rsidR="008533C9" w:rsidRPr="00421885">
              <w:rPr>
                <w:rFonts w:ascii="Bookman Old Style" w:hAnsi="Bookman Old Style"/>
                <w:sz w:val="20"/>
                <w:szCs w:val="20"/>
              </w:rPr>
              <w:t>5,46</w:t>
            </w:r>
            <w:r w:rsidRPr="00421885">
              <w:rPr>
                <w:rFonts w:ascii="Bookman Old Style" w:hAnsi="Bookman Old Style"/>
                <w:sz w:val="20"/>
                <w:szCs w:val="20"/>
              </w:rPr>
              <w:t xml:space="preserve"> </w:t>
            </w:r>
          </w:p>
        </w:tc>
      </w:tr>
      <w:tr w:rsidR="008533C9" w:rsidRPr="00421885" w14:paraId="549A85EF" w14:textId="77777777" w:rsidTr="004838C6">
        <w:trPr>
          <w:trHeight w:val="353"/>
        </w:trPr>
        <w:tc>
          <w:tcPr>
            <w:tcW w:w="2514" w:type="pct"/>
            <w:tcBorders>
              <w:top w:val="nil"/>
              <w:left w:val="single" w:sz="4" w:space="0" w:color="auto"/>
              <w:bottom w:val="single" w:sz="4" w:space="0" w:color="auto"/>
              <w:right w:val="single" w:sz="4" w:space="0" w:color="auto"/>
            </w:tcBorders>
            <w:shd w:val="clear" w:color="auto" w:fill="auto"/>
            <w:vAlign w:val="center"/>
            <w:hideMark/>
          </w:tcPr>
          <w:p w14:paraId="11266D05" w14:textId="09CC57E5" w:rsidR="008533C9" w:rsidRPr="00421885" w:rsidRDefault="008533C9" w:rsidP="008533C9">
            <w:pPr>
              <w:spacing w:line="276" w:lineRule="auto"/>
              <w:jc w:val="both"/>
              <w:rPr>
                <w:rFonts w:ascii="Bookman Old Style" w:hAnsi="Bookman Old Style" w:cs="Calibri"/>
                <w:color w:val="000000"/>
                <w:sz w:val="20"/>
                <w:szCs w:val="20"/>
                <w:lang w:val="fi-FI"/>
              </w:rPr>
            </w:pPr>
            <w:r w:rsidRPr="00421885">
              <w:rPr>
                <w:rFonts w:ascii="Bookman Old Style" w:hAnsi="Bookman Old Style" w:cs="Calibri"/>
                <w:color w:val="000000"/>
                <w:sz w:val="20"/>
                <w:szCs w:val="20"/>
                <w:lang w:val="id-ID"/>
              </w:rPr>
              <w:t>Hasil</w:t>
            </w:r>
            <w:r w:rsidR="00A954D0" w:rsidRPr="00421885">
              <w:rPr>
                <w:rFonts w:ascii="Bookman Old Style" w:hAnsi="Bookman Old Style" w:cs="Calibri"/>
                <w:color w:val="000000"/>
                <w:sz w:val="20"/>
                <w:szCs w:val="20"/>
                <w:lang w:val="id-ID"/>
              </w:rPr>
              <w:t xml:space="preserve"> </w:t>
            </w:r>
            <w:r w:rsidRPr="00421885">
              <w:rPr>
                <w:rFonts w:ascii="Bookman Old Style" w:hAnsi="Bookman Old Style" w:cs="Calibri"/>
                <w:color w:val="000000"/>
                <w:sz w:val="20"/>
                <w:szCs w:val="20"/>
                <w:lang w:val="id-ID"/>
              </w:rPr>
              <w:t>Pengelolaan</w:t>
            </w:r>
            <w:r w:rsidR="00A954D0" w:rsidRPr="00421885">
              <w:rPr>
                <w:rFonts w:ascii="Bookman Old Style" w:hAnsi="Bookman Old Style" w:cs="Calibri"/>
                <w:color w:val="000000"/>
                <w:sz w:val="20"/>
                <w:szCs w:val="20"/>
                <w:lang w:val="id-ID"/>
              </w:rPr>
              <w:t xml:space="preserve"> </w:t>
            </w:r>
            <w:r w:rsidRPr="00421885">
              <w:rPr>
                <w:rFonts w:ascii="Bookman Old Style" w:hAnsi="Bookman Old Style" w:cs="Calibri"/>
                <w:color w:val="000000"/>
                <w:sz w:val="20"/>
                <w:szCs w:val="20"/>
                <w:lang w:val="id-ID"/>
              </w:rPr>
              <w:t>Kekayaan</w:t>
            </w:r>
            <w:r w:rsidR="00A954D0" w:rsidRPr="00421885">
              <w:rPr>
                <w:rFonts w:ascii="Bookman Old Style" w:hAnsi="Bookman Old Style" w:cs="Calibri"/>
                <w:color w:val="000000"/>
                <w:sz w:val="20"/>
                <w:szCs w:val="20"/>
                <w:lang w:val="id-ID"/>
              </w:rPr>
              <w:t xml:space="preserve"> </w:t>
            </w:r>
            <w:r w:rsidRPr="00421885">
              <w:rPr>
                <w:rFonts w:ascii="Bookman Old Style" w:hAnsi="Bookman Old Style" w:cs="Calibri"/>
                <w:color w:val="000000"/>
                <w:sz w:val="20"/>
                <w:szCs w:val="20"/>
                <w:lang w:val="id-ID"/>
              </w:rPr>
              <w:t>Daerah</w:t>
            </w:r>
            <w:r w:rsidR="00A954D0" w:rsidRPr="00421885">
              <w:rPr>
                <w:rFonts w:ascii="Bookman Old Style" w:hAnsi="Bookman Old Style" w:cs="Calibri"/>
                <w:color w:val="000000"/>
                <w:sz w:val="20"/>
                <w:szCs w:val="20"/>
                <w:lang w:val="id-ID"/>
              </w:rPr>
              <w:t xml:space="preserve"> </w:t>
            </w:r>
            <w:r w:rsidRPr="00421885">
              <w:rPr>
                <w:rFonts w:ascii="Bookman Old Style" w:hAnsi="Bookman Old Style" w:cs="Calibri"/>
                <w:color w:val="000000"/>
                <w:sz w:val="20"/>
                <w:szCs w:val="20"/>
                <w:lang w:val="id-ID"/>
              </w:rPr>
              <w:t>yang</w:t>
            </w:r>
            <w:r w:rsidR="00A954D0" w:rsidRPr="00421885">
              <w:rPr>
                <w:rFonts w:ascii="Bookman Old Style" w:hAnsi="Bookman Old Style" w:cs="Calibri"/>
                <w:color w:val="000000"/>
                <w:sz w:val="20"/>
                <w:szCs w:val="20"/>
                <w:lang w:val="id-ID"/>
              </w:rPr>
              <w:t xml:space="preserve"> </w:t>
            </w:r>
            <w:r w:rsidRPr="00421885">
              <w:rPr>
                <w:rFonts w:ascii="Bookman Old Style" w:hAnsi="Bookman Old Style" w:cs="Calibri"/>
                <w:color w:val="000000"/>
                <w:sz w:val="20"/>
                <w:szCs w:val="20"/>
                <w:lang w:val="id-ID"/>
              </w:rPr>
              <w:t>di</w:t>
            </w:r>
            <w:r w:rsidR="00A954D0" w:rsidRPr="00421885">
              <w:rPr>
                <w:rFonts w:ascii="Bookman Old Style" w:hAnsi="Bookman Old Style" w:cs="Calibri"/>
                <w:color w:val="000000"/>
                <w:sz w:val="20"/>
                <w:szCs w:val="20"/>
                <w:lang w:val="id-ID"/>
              </w:rPr>
              <w:t xml:space="preserve"> </w:t>
            </w:r>
            <w:r w:rsidRPr="00421885">
              <w:rPr>
                <w:rFonts w:ascii="Bookman Old Style" w:hAnsi="Bookman Old Style" w:cs="Calibri"/>
                <w:color w:val="000000"/>
                <w:sz w:val="20"/>
                <w:szCs w:val="20"/>
                <w:lang w:val="id-ID"/>
              </w:rPr>
              <w:t>pisahkan</w:t>
            </w:r>
          </w:p>
        </w:tc>
        <w:tc>
          <w:tcPr>
            <w:tcW w:w="1508" w:type="pct"/>
            <w:tcBorders>
              <w:top w:val="nil"/>
              <w:left w:val="nil"/>
              <w:bottom w:val="single" w:sz="4" w:space="0" w:color="auto"/>
              <w:right w:val="single" w:sz="4" w:space="0" w:color="auto"/>
            </w:tcBorders>
            <w:shd w:val="clear" w:color="auto" w:fill="auto"/>
            <w:hideMark/>
          </w:tcPr>
          <w:p w14:paraId="0A3113B7" w14:textId="77B01047" w:rsidR="008533C9" w:rsidRPr="00421885" w:rsidRDefault="00A954D0" w:rsidP="008533C9">
            <w:pPr>
              <w:spacing w:line="276" w:lineRule="auto"/>
              <w:jc w:val="right"/>
              <w:rPr>
                <w:rFonts w:ascii="Bookman Old Style" w:hAnsi="Bookman Old Style"/>
                <w:sz w:val="20"/>
                <w:szCs w:val="20"/>
              </w:rPr>
            </w:pPr>
            <w:r w:rsidRPr="00421885">
              <w:rPr>
                <w:rFonts w:ascii="Bookman Old Style" w:hAnsi="Bookman Old Style"/>
                <w:sz w:val="20"/>
                <w:szCs w:val="20"/>
              </w:rPr>
              <w:t xml:space="preserve"> </w:t>
            </w:r>
            <w:r w:rsidR="008533C9" w:rsidRPr="00421885">
              <w:rPr>
                <w:rFonts w:ascii="Bookman Old Style" w:hAnsi="Bookman Old Style"/>
                <w:sz w:val="20"/>
                <w:szCs w:val="20"/>
              </w:rPr>
              <w:t>23.467.177.212,00</w:t>
            </w:r>
            <w:r w:rsidRPr="00421885">
              <w:rPr>
                <w:rFonts w:ascii="Bookman Old Style" w:hAnsi="Bookman Old Style"/>
                <w:sz w:val="20"/>
                <w:szCs w:val="20"/>
              </w:rPr>
              <w:t xml:space="preserve"> </w:t>
            </w:r>
          </w:p>
        </w:tc>
        <w:tc>
          <w:tcPr>
            <w:tcW w:w="978" w:type="pct"/>
            <w:tcBorders>
              <w:top w:val="nil"/>
              <w:left w:val="nil"/>
              <w:bottom w:val="single" w:sz="4" w:space="0" w:color="auto"/>
              <w:right w:val="single" w:sz="4" w:space="0" w:color="auto"/>
            </w:tcBorders>
            <w:shd w:val="clear" w:color="auto" w:fill="auto"/>
            <w:hideMark/>
          </w:tcPr>
          <w:p w14:paraId="17CDFE1E" w14:textId="42071B40" w:rsidR="008533C9" w:rsidRPr="00421885" w:rsidRDefault="00A954D0" w:rsidP="008533C9">
            <w:pPr>
              <w:spacing w:line="276" w:lineRule="auto"/>
              <w:jc w:val="center"/>
              <w:rPr>
                <w:rFonts w:ascii="Bookman Old Style" w:hAnsi="Bookman Old Style"/>
                <w:sz w:val="20"/>
                <w:szCs w:val="20"/>
              </w:rPr>
            </w:pPr>
            <w:r w:rsidRPr="00421885">
              <w:rPr>
                <w:rFonts w:ascii="Bookman Old Style" w:hAnsi="Bookman Old Style"/>
                <w:sz w:val="20"/>
                <w:szCs w:val="20"/>
              </w:rPr>
              <w:t xml:space="preserve"> </w:t>
            </w:r>
            <w:r w:rsidR="008533C9" w:rsidRPr="00421885">
              <w:rPr>
                <w:rFonts w:ascii="Bookman Old Style" w:hAnsi="Bookman Old Style"/>
                <w:sz w:val="20"/>
                <w:szCs w:val="20"/>
              </w:rPr>
              <w:t>0,44</w:t>
            </w:r>
            <w:r w:rsidRPr="00421885">
              <w:rPr>
                <w:rFonts w:ascii="Bookman Old Style" w:hAnsi="Bookman Old Style"/>
                <w:sz w:val="20"/>
                <w:szCs w:val="20"/>
              </w:rPr>
              <w:t xml:space="preserve"> </w:t>
            </w:r>
          </w:p>
        </w:tc>
      </w:tr>
      <w:tr w:rsidR="008533C9" w:rsidRPr="00421885" w14:paraId="44977AF0" w14:textId="77777777" w:rsidTr="004838C6">
        <w:trPr>
          <w:trHeight w:val="106"/>
        </w:trPr>
        <w:tc>
          <w:tcPr>
            <w:tcW w:w="2514" w:type="pct"/>
            <w:tcBorders>
              <w:top w:val="nil"/>
              <w:left w:val="single" w:sz="4" w:space="0" w:color="auto"/>
              <w:bottom w:val="single" w:sz="4" w:space="0" w:color="auto"/>
              <w:right w:val="single" w:sz="4" w:space="0" w:color="auto"/>
            </w:tcBorders>
            <w:shd w:val="clear" w:color="auto" w:fill="auto"/>
            <w:vAlign w:val="center"/>
            <w:hideMark/>
          </w:tcPr>
          <w:p w14:paraId="47111524" w14:textId="2FC73E83" w:rsidR="008533C9" w:rsidRPr="00421885" w:rsidRDefault="008533C9" w:rsidP="008533C9">
            <w:pPr>
              <w:spacing w:line="276" w:lineRule="auto"/>
              <w:jc w:val="both"/>
              <w:rPr>
                <w:rFonts w:ascii="Bookman Old Style" w:hAnsi="Bookman Old Style" w:cs="Calibri"/>
                <w:color w:val="000000"/>
                <w:sz w:val="20"/>
                <w:szCs w:val="20"/>
                <w:lang w:val="fi-FI"/>
              </w:rPr>
            </w:pPr>
            <w:r w:rsidRPr="00421885">
              <w:rPr>
                <w:rFonts w:ascii="Bookman Old Style" w:hAnsi="Bookman Old Style" w:cs="Calibri"/>
                <w:color w:val="000000"/>
                <w:sz w:val="20"/>
                <w:szCs w:val="20"/>
                <w:lang w:val="id-ID"/>
              </w:rPr>
              <w:t>Lain-Lain</w:t>
            </w:r>
            <w:r w:rsidR="00A954D0" w:rsidRPr="00421885">
              <w:rPr>
                <w:rFonts w:ascii="Bookman Old Style" w:hAnsi="Bookman Old Style" w:cs="Calibri"/>
                <w:color w:val="000000"/>
                <w:sz w:val="20"/>
                <w:szCs w:val="20"/>
                <w:lang w:val="id-ID"/>
              </w:rPr>
              <w:t xml:space="preserve"> </w:t>
            </w:r>
            <w:r w:rsidRPr="00421885">
              <w:rPr>
                <w:rFonts w:ascii="Bookman Old Style" w:hAnsi="Bookman Old Style" w:cs="Calibri"/>
                <w:color w:val="000000"/>
                <w:sz w:val="20"/>
                <w:szCs w:val="20"/>
                <w:lang w:val="id-ID"/>
              </w:rPr>
              <w:t>Pendapatan</w:t>
            </w:r>
            <w:r w:rsidR="00A954D0" w:rsidRPr="00421885">
              <w:rPr>
                <w:rFonts w:ascii="Bookman Old Style" w:hAnsi="Bookman Old Style" w:cs="Calibri"/>
                <w:color w:val="000000"/>
                <w:sz w:val="20"/>
                <w:szCs w:val="20"/>
                <w:lang w:val="id-ID"/>
              </w:rPr>
              <w:t xml:space="preserve"> </w:t>
            </w:r>
            <w:r w:rsidRPr="00421885">
              <w:rPr>
                <w:rFonts w:ascii="Bookman Old Style" w:hAnsi="Bookman Old Style" w:cs="Calibri"/>
                <w:color w:val="000000"/>
                <w:sz w:val="20"/>
                <w:szCs w:val="20"/>
                <w:lang w:val="id-ID"/>
              </w:rPr>
              <w:t>Asli</w:t>
            </w:r>
            <w:r w:rsidR="00A954D0" w:rsidRPr="00421885">
              <w:rPr>
                <w:rFonts w:ascii="Bookman Old Style" w:hAnsi="Bookman Old Style" w:cs="Calibri"/>
                <w:color w:val="000000"/>
                <w:sz w:val="20"/>
                <w:szCs w:val="20"/>
                <w:lang w:val="id-ID"/>
              </w:rPr>
              <w:t xml:space="preserve"> </w:t>
            </w:r>
            <w:r w:rsidRPr="00421885">
              <w:rPr>
                <w:rFonts w:ascii="Bookman Old Style" w:hAnsi="Bookman Old Style" w:cs="Calibri"/>
                <w:color w:val="000000"/>
                <w:sz w:val="20"/>
                <w:szCs w:val="20"/>
                <w:lang w:val="id-ID"/>
              </w:rPr>
              <w:t>Daerah</w:t>
            </w:r>
            <w:r w:rsidR="00A954D0" w:rsidRPr="00421885">
              <w:rPr>
                <w:rFonts w:ascii="Bookman Old Style" w:hAnsi="Bookman Old Style" w:cs="Calibri"/>
                <w:color w:val="000000"/>
                <w:sz w:val="20"/>
                <w:szCs w:val="20"/>
                <w:lang w:val="id-ID"/>
              </w:rPr>
              <w:t xml:space="preserve"> </w:t>
            </w:r>
            <w:r w:rsidRPr="00421885">
              <w:rPr>
                <w:rFonts w:ascii="Bookman Old Style" w:hAnsi="Bookman Old Style" w:cs="Calibri"/>
                <w:color w:val="000000"/>
                <w:sz w:val="20"/>
                <w:szCs w:val="20"/>
                <w:lang w:val="id-ID"/>
              </w:rPr>
              <w:t>yang</w:t>
            </w:r>
            <w:r w:rsidR="00A954D0" w:rsidRPr="00421885">
              <w:rPr>
                <w:rFonts w:ascii="Bookman Old Style" w:hAnsi="Bookman Old Style" w:cs="Calibri"/>
                <w:color w:val="000000"/>
                <w:sz w:val="20"/>
                <w:szCs w:val="20"/>
                <w:lang w:val="id-ID"/>
              </w:rPr>
              <w:t xml:space="preserve"> </w:t>
            </w:r>
            <w:r w:rsidRPr="00421885">
              <w:rPr>
                <w:rFonts w:ascii="Bookman Old Style" w:hAnsi="Bookman Old Style" w:cs="Calibri"/>
                <w:color w:val="000000"/>
                <w:sz w:val="20"/>
                <w:szCs w:val="20"/>
                <w:lang w:val="id-ID"/>
              </w:rPr>
              <w:t>Sah</w:t>
            </w:r>
          </w:p>
        </w:tc>
        <w:tc>
          <w:tcPr>
            <w:tcW w:w="1508" w:type="pct"/>
            <w:tcBorders>
              <w:top w:val="nil"/>
              <w:left w:val="nil"/>
              <w:bottom w:val="single" w:sz="4" w:space="0" w:color="auto"/>
              <w:right w:val="single" w:sz="4" w:space="0" w:color="auto"/>
            </w:tcBorders>
            <w:shd w:val="clear" w:color="auto" w:fill="auto"/>
            <w:hideMark/>
          </w:tcPr>
          <w:p w14:paraId="7564CE75" w14:textId="0C6DFB99" w:rsidR="008533C9" w:rsidRPr="00421885" w:rsidRDefault="00A954D0" w:rsidP="008533C9">
            <w:pPr>
              <w:spacing w:line="276" w:lineRule="auto"/>
              <w:jc w:val="right"/>
              <w:rPr>
                <w:rFonts w:ascii="Bookman Old Style" w:hAnsi="Bookman Old Style"/>
                <w:sz w:val="20"/>
                <w:szCs w:val="20"/>
              </w:rPr>
            </w:pPr>
            <w:r w:rsidRPr="00421885">
              <w:rPr>
                <w:rFonts w:ascii="Bookman Old Style" w:hAnsi="Bookman Old Style"/>
                <w:sz w:val="20"/>
                <w:szCs w:val="20"/>
              </w:rPr>
              <w:t xml:space="preserve"> </w:t>
            </w:r>
            <w:r w:rsidR="008533C9" w:rsidRPr="00421885">
              <w:rPr>
                <w:rFonts w:ascii="Bookman Old Style" w:hAnsi="Bookman Old Style"/>
                <w:sz w:val="20"/>
                <w:szCs w:val="20"/>
              </w:rPr>
              <w:t>29.695.439.705,00</w:t>
            </w:r>
            <w:r w:rsidRPr="00421885">
              <w:rPr>
                <w:rFonts w:ascii="Bookman Old Style" w:hAnsi="Bookman Old Style"/>
                <w:sz w:val="20"/>
                <w:szCs w:val="20"/>
              </w:rPr>
              <w:t xml:space="preserve"> </w:t>
            </w:r>
          </w:p>
        </w:tc>
        <w:tc>
          <w:tcPr>
            <w:tcW w:w="978" w:type="pct"/>
            <w:tcBorders>
              <w:top w:val="nil"/>
              <w:left w:val="nil"/>
              <w:bottom w:val="single" w:sz="4" w:space="0" w:color="auto"/>
              <w:right w:val="single" w:sz="4" w:space="0" w:color="auto"/>
            </w:tcBorders>
            <w:shd w:val="clear" w:color="auto" w:fill="auto"/>
            <w:hideMark/>
          </w:tcPr>
          <w:p w14:paraId="37514A2D" w14:textId="64AD4229" w:rsidR="008533C9" w:rsidRPr="00421885" w:rsidRDefault="00A954D0" w:rsidP="008533C9">
            <w:pPr>
              <w:spacing w:line="276" w:lineRule="auto"/>
              <w:jc w:val="center"/>
              <w:rPr>
                <w:rFonts w:ascii="Bookman Old Style" w:hAnsi="Bookman Old Style"/>
                <w:sz w:val="20"/>
                <w:szCs w:val="20"/>
              </w:rPr>
            </w:pPr>
            <w:r w:rsidRPr="00421885">
              <w:rPr>
                <w:rFonts w:ascii="Bookman Old Style" w:hAnsi="Bookman Old Style"/>
                <w:sz w:val="20"/>
                <w:szCs w:val="20"/>
              </w:rPr>
              <w:t xml:space="preserve"> </w:t>
            </w:r>
            <w:r w:rsidR="008533C9" w:rsidRPr="00421885">
              <w:rPr>
                <w:rFonts w:ascii="Bookman Old Style" w:hAnsi="Bookman Old Style"/>
                <w:sz w:val="20"/>
                <w:szCs w:val="20"/>
              </w:rPr>
              <w:t>0,56</w:t>
            </w:r>
            <w:r w:rsidRPr="00421885">
              <w:rPr>
                <w:rFonts w:ascii="Bookman Old Style" w:hAnsi="Bookman Old Style"/>
                <w:sz w:val="20"/>
                <w:szCs w:val="20"/>
              </w:rPr>
              <w:t xml:space="preserve"> </w:t>
            </w:r>
          </w:p>
        </w:tc>
      </w:tr>
      <w:tr w:rsidR="008533C9" w:rsidRPr="00421885" w14:paraId="3270E0A8" w14:textId="77777777" w:rsidTr="004838C6">
        <w:trPr>
          <w:trHeight w:val="290"/>
        </w:trPr>
        <w:tc>
          <w:tcPr>
            <w:tcW w:w="2514" w:type="pct"/>
            <w:tcBorders>
              <w:top w:val="nil"/>
              <w:left w:val="single" w:sz="4" w:space="0" w:color="auto"/>
              <w:bottom w:val="single" w:sz="4" w:space="0" w:color="auto"/>
              <w:right w:val="single" w:sz="4" w:space="0" w:color="auto"/>
            </w:tcBorders>
            <w:shd w:val="clear" w:color="auto" w:fill="auto"/>
            <w:vAlign w:val="center"/>
            <w:hideMark/>
          </w:tcPr>
          <w:p w14:paraId="025413D2" w14:textId="7866205E" w:rsidR="008533C9" w:rsidRPr="00421885" w:rsidRDefault="008533C9" w:rsidP="008533C9">
            <w:pPr>
              <w:spacing w:line="276" w:lineRule="auto"/>
              <w:jc w:val="both"/>
              <w:rPr>
                <w:rFonts w:ascii="Bookman Old Style" w:hAnsi="Bookman Old Style" w:cs="Calibri"/>
                <w:b/>
                <w:bCs/>
                <w:color w:val="000000"/>
                <w:sz w:val="20"/>
                <w:szCs w:val="20"/>
                <w:lang w:val="en-GB"/>
              </w:rPr>
            </w:pPr>
            <w:r w:rsidRPr="00421885">
              <w:rPr>
                <w:rFonts w:ascii="Bookman Old Style" w:hAnsi="Bookman Old Style" w:cs="Calibri"/>
                <w:b/>
                <w:bCs/>
                <w:color w:val="000000"/>
                <w:sz w:val="20"/>
                <w:szCs w:val="20"/>
                <w:lang w:val="id-ID"/>
              </w:rPr>
              <w:t>Pendapatan</w:t>
            </w:r>
            <w:r w:rsidR="00A954D0" w:rsidRPr="00421885">
              <w:rPr>
                <w:rFonts w:ascii="Bookman Old Style" w:hAnsi="Bookman Old Style" w:cs="Calibri"/>
                <w:b/>
                <w:bCs/>
                <w:color w:val="000000"/>
                <w:sz w:val="20"/>
                <w:szCs w:val="20"/>
                <w:lang w:val="id-ID"/>
              </w:rPr>
              <w:t xml:space="preserve"> </w:t>
            </w:r>
            <w:r w:rsidRPr="00421885">
              <w:rPr>
                <w:rFonts w:ascii="Bookman Old Style" w:hAnsi="Bookman Old Style" w:cs="Calibri"/>
                <w:b/>
                <w:bCs/>
                <w:color w:val="000000"/>
                <w:sz w:val="20"/>
                <w:szCs w:val="20"/>
                <w:lang w:val="id-ID"/>
              </w:rPr>
              <w:t>Transfer</w:t>
            </w:r>
          </w:p>
        </w:tc>
        <w:tc>
          <w:tcPr>
            <w:tcW w:w="1508" w:type="pct"/>
            <w:tcBorders>
              <w:top w:val="nil"/>
              <w:left w:val="nil"/>
              <w:bottom w:val="single" w:sz="4" w:space="0" w:color="auto"/>
              <w:right w:val="single" w:sz="4" w:space="0" w:color="auto"/>
            </w:tcBorders>
            <w:shd w:val="clear" w:color="auto" w:fill="auto"/>
            <w:hideMark/>
          </w:tcPr>
          <w:p w14:paraId="6E890F77" w14:textId="474C4922" w:rsidR="008533C9" w:rsidRPr="00421885" w:rsidRDefault="008533C9" w:rsidP="008533C9">
            <w:pPr>
              <w:spacing w:line="276" w:lineRule="auto"/>
              <w:jc w:val="right"/>
              <w:rPr>
                <w:rFonts w:ascii="Bookman Old Style" w:hAnsi="Bookman Old Style"/>
                <w:b/>
                <w:bCs/>
                <w:sz w:val="20"/>
                <w:szCs w:val="20"/>
              </w:rPr>
            </w:pPr>
            <w:r w:rsidRPr="00421885">
              <w:rPr>
                <w:rFonts w:ascii="Bookman Old Style" w:hAnsi="Bookman Old Style"/>
                <w:b/>
                <w:bCs/>
                <w:sz w:val="20"/>
                <w:szCs w:val="20"/>
              </w:rPr>
              <w:t>2.262.957.624.474,00</w:t>
            </w:r>
            <w:r w:rsidR="00A954D0" w:rsidRPr="00421885">
              <w:rPr>
                <w:rFonts w:ascii="Bookman Old Style" w:hAnsi="Bookman Old Style"/>
                <w:b/>
                <w:bCs/>
                <w:sz w:val="20"/>
                <w:szCs w:val="20"/>
              </w:rPr>
              <w:t xml:space="preserve"> </w:t>
            </w:r>
          </w:p>
        </w:tc>
        <w:tc>
          <w:tcPr>
            <w:tcW w:w="978" w:type="pct"/>
            <w:tcBorders>
              <w:top w:val="nil"/>
              <w:left w:val="nil"/>
              <w:bottom w:val="single" w:sz="4" w:space="0" w:color="auto"/>
              <w:right w:val="single" w:sz="4" w:space="0" w:color="auto"/>
            </w:tcBorders>
            <w:shd w:val="clear" w:color="auto" w:fill="auto"/>
            <w:hideMark/>
          </w:tcPr>
          <w:p w14:paraId="1B234092" w14:textId="3B10B042" w:rsidR="008533C9" w:rsidRPr="00421885" w:rsidRDefault="00A954D0" w:rsidP="008533C9">
            <w:pPr>
              <w:spacing w:line="276" w:lineRule="auto"/>
              <w:jc w:val="center"/>
              <w:rPr>
                <w:rFonts w:ascii="Bookman Old Style" w:hAnsi="Bookman Old Style"/>
                <w:b/>
                <w:bCs/>
                <w:sz w:val="20"/>
                <w:szCs w:val="20"/>
              </w:rPr>
            </w:pPr>
            <w:r w:rsidRPr="00421885">
              <w:rPr>
                <w:rFonts w:ascii="Bookman Old Style" w:hAnsi="Bookman Old Style"/>
                <w:b/>
                <w:bCs/>
                <w:sz w:val="20"/>
                <w:szCs w:val="20"/>
              </w:rPr>
              <w:t xml:space="preserve"> </w:t>
            </w:r>
            <w:r w:rsidR="008533C9" w:rsidRPr="00421885">
              <w:rPr>
                <w:rFonts w:ascii="Bookman Old Style" w:hAnsi="Bookman Old Style"/>
                <w:b/>
                <w:bCs/>
                <w:sz w:val="20"/>
                <w:szCs w:val="20"/>
              </w:rPr>
              <w:t>42,65</w:t>
            </w:r>
            <w:r w:rsidRPr="00421885">
              <w:rPr>
                <w:rFonts w:ascii="Bookman Old Style" w:hAnsi="Bookman Old Style"/>
                <w:b/>
                <w:bCs/>
                <w:sz w:val="20"/>
                <w:szCs w:val="20"/>
              </w:rPr>
              <w:t xml:space="preserve"> </w:t>
            </w:r>
          </w:p>
        </w:tc>
      </w:tr>
      <w:tr w:rsidR="008533C9" w:rsidRPr="00421885" w14:paraId="183B343E" w14:textId="77777777" w:rsidTr="004838C6">
        <w:trPr>
          <w:trHeight w:val="50"/>
        </w:trPr>
        <w:tc>
          <w:tcPr>
            <w:tcW w:w="2514" w:type="pct"/>
            <w:tcBorders>
              <w:top w:val="nil"/>
              <w:left w:val="single" w:sz="4" w:space="0" w:color="auto"/>
              <w:bottom w:val="single" w:sz="4" w:space="0" w:color="auto"/>
              <w:right w:val="single" w:sz="4" w:space="0" w:color="auto"/>
            </w:tcBorders>
            <w:shd w:val="clear" w:color="auto" w:fill="auto"/>
            <w:vAlign w:val="center"/>
            <w:hideMark/>
          </w:tcPr>
          <w:p w14:paraId="2F6748AD" w14:textId="48B8C45C" w:rsidR="008533C9" w:rsidRPr="00421885" w:rsidRDefault="008533C9" w:rsidP="008533C9">
            <w:pPr>
              <w:spacing w:line="276" w:lineRule="auto"/>
              <w:jc w:val="both"/>
              <w:rPr>
                <w:rFonts w:ascii="Bookman Old Style" w:hAnsi="Bookman Old Style" w:cs="Calibri"/>
                <w:color w:val="000000"/>
                <w:sz w:val="20"/>
                <w:szCs w:val="20"/>
              </w:rPr>
            </w:pPr>
            <w:r w:rsidRPr="00421885">
              <w:rPr>
                <w:rFonts w:ascii="Bookman Old Style" w:hAnsi="Bookman Old Style" w:cs="Calibri"/>
                <w:color w:val="000000"/>
                <w:sz w:val="20"/>
                <w:szCs w:val="20"/>
                <w:lang w:val="id-ID"/>
              </w:rPr>
              <w:t>Pendapatan</w:t>
            </w:r>
            <w:r w:rsidR="00A954D0" w:rsidRPr="00421885">
              <w:rPr>
                <w:rFonts w:ascii="Bookman Old Style" w:hAnsi="Bookman Old Style" w:cs="Calibri"/>
                <w:color w:val="000000"/>
                <w:sz w:val="20"/>
                <w:szCs w:val="20"/>
                <w:lang w:val="id-ID"/>
              </w:rPr>
              <w:t xml:space="preserve"> </w:t>
            </w:r>
            <w:r w:rsidRPr="00421885">
              <w:rPr>
                <w:rFonts w:ascii="Bookman Old Style" w:hAnsi="Bookman Old Style" w:cs="Calibri"/>
                <w:color w:val="000000"/>
                <w:sz w:val="20"/>
                <w:szCs w:val="20"/>
                <w:lang w:val="id-ID"/>
              </w:rPr>
              <w:t>Transfer</w:t>
            </w:r>
            <w:r w:rsidR="00A954D0" w:rsidRPr="00421885">
              <w:rPr>
                <w:rFonts w:ascii="Bookman Old Style" w:hAnsi="Bookman Old Style" w:cs="Calibri"/>
                <w:color w:val="000000"/>
                <w:sz w:val="20"/>
                <w:szCs w:val="20"/>
                <w:lang w:val="id-ID"/>
              </w:rPr>
              <w:t xml:space="preserve"> </w:t>
            </w:r>
            <w:r w:rsidRPr="00421885">
              <w:rPr>
                <w:rFonts w:ascii="Bookman Old Style" w:hAnsi="Bookman Old Style" w:cs="Calibri"/>
                <w:color w:val="000000"/>
                <w:sz w:val="20"/>
                <w:szCs w:val="20"/>
                <w:lang w:val="id-ID"/>
              </w:rPr>
              <w:t>Pemerintah</w:t>
            </w:r>
            <w:r w:rsidR="00A954D0" w:rsidRPr="00421885">
              <w:rPr>
                <w:rFonts w:ascii="Bookman Old Style" w:hAnsi="Bookman Old Style" w:cs="Calibri"/>
                <w:color w:val="000000"/>
                <w:sz w:val="20"/>
                <w:szCs w:val="20"/>
                <w:lang w:val="id-ID"/>
              </w:rPr>
              <w:t xml:space="preserve"> </w:t>
            </w:r>
            <w:r w:rsidRPr="00421885">
              <w:rPr>
                <w:rFonts w:ascii="Bookman Old Style" w:hAnsi="Bookman Old Style" w:cs="Calibri"/>
                <w:color w:val="000000"/>
                <w:sz w:val="20"/>
                <w:szCs w:val="20"/>
                <w:lang w:val="id-ID"/>
              </w:rPr>
              <w:t>Pusat</w:t>
            </w:r>
          </w:p>
        </w:tc>
        <w:tc>
          <w:tcPr>
            <w:tcW w:w="1508" w:type="pct"/>
            <w:tcBorders>
              <w:top w:val="nil"/>
              <w:left w:val="nil"/>
              <w:bottom w:val="single" w:sz="4" w:space="0" w:color="auto"/>
              <w:right w:val="single" w:sz="4" w:space="0" w:color="auto"/>
            </w:tcBorders>
            <w:shd w:val="clear" w:color="auto" w:fill="auto"/>
            <w:hideMark/>
          </w:tcPr>
          <w:p w14:paraId="285BDECE" w14:textId="3EEAC301" w:rsidR="008533C9" w:rsidRPr="00421885" w:rsidRDefault="00A954D0" w:rsidP="008533C9">
            <w:pPr>
              <w:spacing w:line="276" w:lineRule="auto"/>
              <w:jc w:val="right"/>
              <w:rPr>
                <w:rFonts w:ascii="Bookman Old Style" w:hAnsi="Bookman Old Style"/>
                <w:sz w:val="20"/>
                <w:szCs w:val="20"/>
              </w:rPr>
            </w:pPr>
            <w:r w:rsidRPr="00421885">
              <w:rPr>
                <w:rFonts w:ascii="Bookman Old Style" w:hAnsi="Bookman Old Style"/>
                <w:sz w:val="20"/>
                <w:szCs w:val="20"/>
              </w:rPr>
              <w:t xml:space="preserve"> </w:t>
            </w:r>
            <w:r w:rsidR="008533C9" w:rsidRPr="00421885">
              <w:rPr>
                <w:rFonts w:ascii="Bookman Old Style" w:hAnsi="Bookman Old Style"/>
                <w:sz w:val="20"/>
                <w:szCs w:val="20"/>
              </w:rPr>
              <w:t>1.987.071.669.000,00</w:t>
            </w:r>
            <w:r w:rsidRPr="00421885">
              <w:rPr>
                <w:rFonts w:ascii="Bookman Old Style" w:hAnsi="Bookman Old Style"/>
                <w:sz w:val="20"/>
                <w:szCs w:val="20"/>
              </w:rPr>
              <w:t xml:space="preserve"> </w:t>
            </w:r>
          </w:p>
        </w:tc>
        <w:tc>
          <w:tcPr>
            <w:tcW w:w="978" w:type="pct"/>
            <w:tcBorders>
              <w:top w:val="nil"/>
              <w:left w:val="nil"/>
              <w:bottom w:val="single" w:sz="4" w:space="0" w:color="auto"/>
              <w:right w:val="single" w:sz="4" w:space="0" w:color="auto"/>
            </w:tcBorders>
            <w:shd w:val="clear" w:color="auto" w:fill="auto"/>
            <w:hideMark/>
          </w:tcPr>
          <w:p w14:paraId="677F4306" w14:textId="106F92E6" w:rsidR="008533C9" w:rsidRPr="00421885" w:rsidRDefault="00A954D0" w:rsidP="008533C9">
            <w:pPr>
              <w:spacing w:line="276" w:lineRule="auto"/>
              <w:jc w:val="center"/>
              <w:rPr>
                <w:rFonts w:ascii="Bookman Old Style" w:hAnsi="Bookman Old Style"/>
                <w:sz w:val="20"/>
                <w:szCs w:val="20"/>
              </w:rPr>
            </w:pPr>
            <w:r w:rsidRPr="00421885">
              <w:rPr>
                <w:rFonts w:ascii="Bookman Old Style" w:hAnsi="Bookman Old Style"/>
                <w:sz w:val="20"/>
                <w:szCs w:val="20"/>
              </w:rPr>
              <w:t xml:space="preserve"> </w:t>
            </w:r>
            <w:r w:rsidR="008533C9" w:rsidRPr="00421885">
              <w:rPr>
                <w:rFonts w:ascii="Bookman Old Style" w:hAnsi="Bookman Old Style"/>
                <w:sz w:val="20"/>
                <w:szCs w:val="20"/>
              </w:rPr>
              <w:t>37,45</w:t>
            </w:r>
            <w:r w:rsidRPr="00421885">
              <w:rPr>
                <w:rFonts w:ascii="Bookman Old Style" w:hAnsi="Bookman Old Style"/>
                <w:sz w:val="20"/>
                <w:szCs w:val="20"/>
              </w:rPr>
              <w:t xml:space="preserve"> </w:t>
            </w:r>
          </w:p>
        </w:tc>
      </w:tr>
      <w:tr w:rsidR="008533C9" w:rsidRPr="00421885" w14:paraId="22FD36B1" w14:textId="77777777" w:rsidTr="004838C6">
        <w:trPr>
          <w:trHeight w:val="50"/>
        </w:trPr>
        <w:tc>
          <w:tcPr>
            <w:tcW w:w="2514" w:type="pct"/>
            <w:tcBorders>
              <w:top w:val="nil"/>
              <w:left w:val="single" w:sz="4" w:space="0" w:color="auto"/>
              <w:bottom w:val="single" w:sz="4" w:space="0" w:color="auto"/>
              <w:right w:val="single" w:sz="4" w:space="0" w:color="auto"/>
            </w:tcBorders>
            <w:shd w:val="clear" w:color="auto" w:fill="auto"/>
            <w:vAlign w:val="center"/>
            <w:hideMark/>
          </w:tcPr>
          <w:p w14:paraId="324FFA0D" w14:textId="259A43DD" w:rsidR="008533C9" w:rsidRPr="00421885" w:rsidRDefault="008533C9" w:rsidP="008533C9">
            <w:pPr>
              <w:spacing w:line="276" w:lineRule="auto"/>
              <w:jc w:val="both"/>
              <w:rPr>
                <w:rFonts w:ascii="Bookman Old Style" w:hAnsi="Bookman Old Style" w:cs="Calibri"/>
                <w:color w:val="000000"/>
                <w:sz w:val="20"/>
                <w:szCs w:val="20"/>
              </w:rPr>
            </w:pPr>
            <w:r w:rsidRPr="00421885">
              <w:rPr>
                <w:rFonts w:ascii="Bookman Old Style" w:hAnsi="Bookman Old Style" w:cs="Calibri"/>
                <w:color w:val="000000"/>
                <w:sz w:val="20"/>
                <w:szCs w:val="20"/>
                <w:lang w:val="id-ID"/>
              </w:rPr>
              <w:t>Pendapatan</w:t>
            </w:r>
            <w:r w:rsidR="00A954D0" w:rsidRPr="00421885">
              <w:rPr>
                <w:rFonts w:ascii="Bookman Old Style" w:hAnsi="Bookman Old Style" w:cs="Calibri"/>
                <w:color w:val="000000"/>
                <w:sz w:val="20"/>
                <w:szCs w:val="20"/>
                <w:lang w:val="id-ID"/>
              </w:rPr>
              <w:t xml:space="preserve"> </w:t>
            </w:r>
            <w:r w:rsidRPr="00421885">
              <w:rPr>
                <w:rFonts w:ascii="Bookman Old Style" w:hAnsi="Bookman Old Style" w:cs="Calibri"/>
                <w:color w:val="000000"/>
                <w:sz w:val="20"/>
                <w:szCs w:val="20"/>
                <w:lang w:val="id-ID"/>
              </w:rPr>
              <w:t>Transfer</w:t>
            </w:r>
            <w:r w:rsidR="00A954D0" w:rsidRPr="00421885">
              <w:rPr>
                <w:rFonts w:ascii="Bookman Old Style" w:hAnsi="Bookman Old Style" w:cs="Calibri"/>
                <w:color w:val="000000"/>
                <w:sz w:val="20"/>
                <w:szCs w:val="20"/>
                <w:lang w:val="id-ID"/>
              </w:rPr>
              <w:t xml:space="preserve"> </w:t>
            </w:r>
            <w:r w:rsidRPr="00421885">
              <w:rPr>
                <w:rFonts w:ascii="Bookman Old Style" w:hAnsi="Bookman Old Style" w:cs="Calibri"/>
                <w:color w:val="000000"/>
                <w:sz w:val="20"/>
                <w:szCs w:val="20"/>
                <w:lang w:val="id-ID"/>
              </w:rPr>
              <w:t>Antar</w:t>
            </w:r>
            <w:r w:rsidR="00A954D0" w:rsidRPr="00421885">
              <w:rPr>
                <w:rFonts w:ascii="Bookman Old Style" w:hAnsi="Bookman Old Style" w:cs="Calibri"/>
                <w:color w:val="000000"/>
                <w:sz w:val="20"/>
                <w:szCs w:val="20"/>
                <w:lang w:val="id-ID"/>
              </w:rPr>
              <w:t xml:space="preserve"> </w:t>
            </w:r>
            <w:r w:rsidRPr="00421885">
              <w:rPr>
                <w:rFonts w:ascii="Bookman Old Style" w:hAnsi="Bookman Old Style" w:cs="Calibri"/>
                <w:color w:val="000000"/>
                <w:sz w:val="20"/>
                <w:szCs w:val="20"/>
                <w:lang w:val="id-ID"/>
              </w:rPr>
              <w:t>Daerah</w:t>
            </w:r>
          </w:p>
        </w:tc>
        <w:tc>
          <w:tcPr>
            <w:tcW w:w="1508" w:type="pct"/>
            <w:tcBorders>
              <w:top w:val="nil"/>
              <w:left w:val="nil"/>
              <w:bottom w:val="single" w:sz="4" w:space="0" w:color="auto"/>
              <w:right w:val="single" w:sz="4" w:space="0" w:color="auto"/>
            </w:tcBorders>
            <w:shd w:val="clear" w:color="auto" w:fill="auto"/>
            <w:hideMark/>
          </w:tcPr>
          <w:p w14:paraId="4138A229" w14:textId="1138C9A5" w:rsidR="008533C9" w:rsidRPr="00421885" w:rsidRDefault="00A954D0" w:rsidP="008533C9">
            <w:pPr>
              <w:spacing w:line="276" w:lineRule="auto"/>
              <w:jc w:val="right"/>
              <w:rPr>
                <w:rFonts w:ascii="Bookman Old Style" w:hAnsi="Bookman Old Style"/>
                <w:sz w:val="20"/>
                <w:szCs w:val="20"/>
              </w:rPr>
            </w:pPr>
            <w:r w:rsidRPr="00421885">
              <w:rPr>
                <w:rFonts w:ascii="Bookman Old Style" w:hAnsi="Bookman Old Style"/>
                <w:sz w:val="20"/>
                <w:szCs w:val="20"/>
              </w:rPr>
              <w:t xml:space="preserve"> </w:t>
            </w:r>
            <w:r w:rsidR="008533C9" w:rsidRPr="00421885">
              <w:rPr>
                <w:rFonts w:ascii="Bookman Old Style" w:hAnsi="Bookman Old Style"/>
                <w:sz w:val="20"/>
                <w:szCs w:val="20"/>
              </w:rPr>
              <w:t>275.885.955.474,00</w:t>
            </w:r>
            <w:r w:rsidRPr="00421885">
              <w:rPr>
                <w:rFonts w:ascii="Bookman Old Style" w:hAnsi="Bookman Old Style"/>
                <w:sz w:val="20"/>
                <w:szCs w:val="20"/>
              </w:rPr>
              <w:t xml:space="preserve"> </w:t>
            </w:r>
          </w:p>
        </w:tc>
        <w:tc>
          <w:tcPr>
            <w:tcW w:w="978" w:type="pct"/>
            <w:tcBorders>
              <w:top w:val="nil"/>
              <w:left w:val="nil"/>
              <w:bottom w:val="single" w:sz="4" w:space="0" w:color="auto"/>
              <w:right w:val="single" w:sz="4" w:space="0" w:color="auto"/>
            </w:tcBorders>
            <w:shd w:val="clear" w:color="auto" w:fill="auto"/>
            <w:hideMark/>
          </w:tcPr>
          <w:p w14:paraId="34B1C5C7" w14:textId="6C059975" w:rsidR="008533C9" w:rsidRPr="00421885" w:rsidRDefault="00A954D0" w:rsidP="008533C9">
            <w:pPr>
              <w:spacing w:line="276" w:lineRule="auto"/>
              <w:jc w:val="center"/>
              <w:rPr>
                <w:rFonts w:ascii="Bookman Old Style" w:hAnsi="Bookman Old Style"/>
                <w:sz w:val="20"/>
                <w:szCs w:val="20"/>
              </w:rPr>
            </w:pPr>
            <w:r w:rsidRPr="00421885">
              <w:rPr>
                <w:rFonts w:ascii="Bookman Old Style" w:hAnsi="Bookman Old Style"/>
                <w:sz w:val="20"/>
                <w:szCs w:val="20"/>
              </w:rPr>
              <w:t xml:space="preserve"> </w:t>
            </w:r>
            <w:r w:rsidR="008533C9" w:rsidRPr="00421885">
              <w:rPr>
                <w:rFonts w:ascii="Bookman Old Style" w:hAnsi="Bookman Old Style"/>
                <w:sz w:val="20"/>
                <w:szCs w:val="20"/>
              </w:rPr>
              <w:t>5,20</w:t>
            </w:r>
            <w:r w:rsidRPr="00421885">
              <w:rPr>
                <w:rFonts w:ascii="Bookman Old Style" w:hAnsi="Bookman Old Style"/>
                <w:sz w:val="20"/>
                <w:szCs w:val="20"/>
              </w:rPr>
              <w:t xml:space="preserve"> </w:t>
            </w:r>
          </w:p>
        </w:tc>
      </w:tr>
    </w:tbl>
    <w:p w14:paraId="756FF822" w14:textId="154073DC" w:rsidR="005C3E60" w:rsidRPr="000E42D9" w:rsidRDefault="005C3E60" w:rsidP="00B47576">
      <w:pPr>
        <w:pStyle w:val="ListParagraph"/>
        <w:spacing w:before="120" w:after="0" w:line="276" w:lineRule="auto"/>
        <w:ind w:left="992"/>
        <w:contextualSpacing w:val="0"/>
        <w:jc w:val="both"/>
        <w:rPr>
          <w:rFonts w:ascii="Bookman Old Style" w:hAnsi="Bookman Old Style" w:cs="Arial"/>
          <w:sz w:val="24"/>
          <w:szCs w:val="24"/>
          <w:lang w:val="id-ID"/>
        </w:rPr>
      </w:pPr>
      <w:r w:rsidRPr="000E42D9">
        <w:rPr>
          <w:rFonts w:ascii="Bookman Old Style" w:hAnsi="Bookman Old Style" w:cs="Arial"/>
          <w:sz w:val="24"/>
          <w:szCs w:val="24"/>
          <w:lang w:val="id-ID"/>
        </w:rPr>
        <w:t>Berdasarkan</w:t>
      </w:r>
      <w:r w:rsidR="00A954D0">
        <w:rPr>
          <w:rFonts w:ascii="Bookman Old Style" w:hAnsi="Bookman Old Style" w:cs="Arial"/>
          <w:sz w:val="24"/>
          <w:szCs w:val="24"/>
        </w:rPr>
        <w:t xml:space="preserve"> </w:t>
      </w:r>
      <w:r w:rsidRPr="000E42D9">
        <w:rPr>
          <w:rFonts w:ascii="Bookman Old Style" w:hAnsi="Bookman Old Style" w:cs="Arial"/>
          <w:sz w:val="24"/>
          <w:szCs w:val="24"/>
        </w:rPr>
        <w:t>tabel</w:t>
      </w:r>
      <w:r w:rsidR="00A954D0">
        <w:rPr>
          <w:rFonts w:ascii="Bookman Old Style" w:hAnsi="Bookman Old Style" w:cs="Arial"/>
          <w:sz w:val="24"/>
          <w:szCs w:val="24"/>
        </w:rPr>
        <w:t xml:space="preserve"> </w:t>
      </w:r>
      <w:r w:rsidRPr="000E42D9">
        <w:rPr>
          <w:rFonts w:ascii="Bookman Old Style" w:hAnsi="Bookman Old Style" w:cs="Arial"/>
          <w:sz w:val="24"/>
          <w:szCs w:val="24"/>
        </w:rPr>
        <w:t>sebagaimana</w:t>
      </w:r>
      <w:r w:rsidR="00A954D0">
        <w:rPr>
          <w:rFonts w:ascii="Bookman Old Style" w:hAnsi="Bookman Old Style" w:cs="Arial"/>
          <w:sz w:val="24"/>
          <w:szCs w:val="24"/>
        </w:rPr>
        <w:t xml:space="preserve"> </w:t>
      </w:r>
      <w:r w:rsidRPr="000E42D9">
        <w:rPr>
          <w:rFonts w:ascii="Bookman Old Style" w:hAnsi="Bookman Old Style" w:cs="Arial"/>
          <w:sz w:val="24"/>
          <w:szCs w:val="24"/>
        </w:rPr>
        <w:t>di</w:t>
      </w:r>
      <w:r w:rsidR="00A954D0">
        <w:rPr>
          <w:rFonts w:ascii="Bookman Old Style" w:hAnsi="Bookman Old Style" w:cs="Arial"/>
          <w:sz w:val="24"/>
          <w:szCs w:val="24"/>
        </w:rPr>
        <w:t xml:space="preserve"> </w:t>
      </w:r>
      <w:r w:rsidRPr="000E42D9">
        <w:rPr>
          <w:rFonts w:ascii="Bookman Old Style" w:hAnsi="Bookman Old Style" w:cs="Arial"/>
          <w:sz w:val="24"/>
          <w:szCs w:val="24"/>
        </w:rPr>
        <w:t>atas,</w:t>
      </w:r>
      <w:r w:rsidR="00A954D0">
        <w:rPr>
          <w:rFonts w:ascii="Bookman Old Style" w:hAnsi="Bookman Old Style" w:cs="Arial"/>
          <w:sz w:val="24"/>
          <w:szCs w:val="24"/>
        </w:rPr>
        <w:t xml:space="preserve"> </w:t>
      </w:r>
      <w:r w:rsidRPr="000E42D9">
        <w:rPr>
          <w:rFonts w:ascii="Bookman Old Style" w:hAnsi="Bookman Old Style" w:cs="Arial"/>
          <w:sz w:val="24"/>
          <w:szCs w:val="24"/>
        </w:rPr>
        <w:t>kebijakan</w:t>
      </w:r>
      <w:r w:rsidR="00A954D0">
        <w:rPr>
          <w:rFonts w:ascii="Bookman Old Style" w:hAnsi="Bookman Old Style" w:cs="Arial"/>
          <w:sz w:val="24"/>
          <w:szCs w:val="24"/>
        </w:rPr>
        <w:t xml:space="preserve"> </w:t>
      </w:r>
      <w:r w:rsidRPr="000E42D9">
        <w:rPr>
          <w:rFonts w:ascii="Bookman Old Style" w:hAnsi="Bookman Old Style" w:cs="Arial"/>
          <w:sz w:val="24"/>
          <w:szCs w:val="24"/>
          <w:lang w:val="id-ID"/>
        </w:rPr>
        <w:t>pendapatan</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daerah</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dalam</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Rancangan</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Peraturan</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Daerah</w:t>
      </w:r>
      <w:r w:rsidR="00A954D0">
        <w:rPr>
          <w:rFonts w:ascii="Bookman Old Style" w:hAnsi="Bookman Old Style" w:cs="Arial"/>
          <w:sz w:val="24"/>
          <w:szCs w:val="24"/>
          <w:lang w:val="id-ID"/>
        </w:rPr>
        <w:t xml:space="preserve"> </w:t>
      </w:r>
      <w:r w:rsidR="00B055C5" w:rsidRPr="000E42D9">
        <w:rPr>
          <w:rFonts w:ascii="Bookman Old Style" w:hAnsi="Bookman Old Style"/>
          <w:sz w:val="24"/>
          <w:szCs w:val="24"/>
          <w:lang w:val="fi-FI"/>
        </w:rPr>
        <w:t>Kota</w:t>
      </w:r>
      <w:r w:rsidR="00A954D0">
        <w:rPr>
          <w:rFonts w:ascii="Bookman Old Style" w:hAnsi="Bookman Old Style"/>
          <w:sz w:val="24"/>
          <w:szCs w:val="24"/>
          <w:lang w:val="fi-FI"/>
        </w:rPr>
        <w:t xml:space="preserve"> </w:t>
      </w:r>
      <w:r w:rsidR="00770F22" w:rsidRPr="000E42D9">
        <w:rPr>
          <w:rFonts w:ascii="Bookman Old Style" w:hAnsi="Bookman Old Style"/>
          <w:sz w:val="24"/>
          <w:szCs w:val="24"/>
          <w:lang w:val="fi-FI"/>
        </w:rPr>
        <w:t>Tangerang</w:t>
      </w:r>
      <w:r w:rsidR="00A954D0">
        <w:rPr>
          <w:rFonts w:ascii="Bookman Old Style" w:hAnsi="Bookman Old Style"/>
          <w:sz w:val="24"/>
          <w:szCs w:val="24"/>
          <w:lang w:val="fi-FI"/>
        </w:rPr>
        <w:t xml:space="preserve"> </w:t>
      </w:r>
      <w:r w:rsidR="00BE6ED9" w:rsidRPr="000E42D9">
        <w:rPr>
          <w:rFonts w:ascii="Bookman Old Style" w:hAnsi="Bookman Old Style"/>
          <w:sz w:val="24"/>
          <w:szCs w:val="24"/>
          <w:lang w:val="fi-FI"/>
        </w:rPr>
        <w:t>tentang</w:t>
      </w:r>
      <w:r w:rsidR="00A954D0">
        <w:rPr>
          <w:rFonts w:ascii="Bookman Old Style" w:hAnsi="Bookman Old Style"/>
          <w:sz w:val="24"/>
          <w:szCs w:val="24"/>
          <w:lang w:val="fi-FI"/>
        </w:rPr>
        <w:t xml:space="preserve"> </w:t>
      </w:r>
      <w:r w:rsidR="00BE6ED9" w:rsidRPr="000E42D9">
        <w:rPr>
          <w:rFonts w:ascii="Bookman Old Style" w:hAnsi="Bookman Old Style"/>
          <w:sz w:val="24"/>
          <w:szCs w:val="24"/>
          <w:lang w:val="fi-FI"/>
        </w:rPr>
        <w:t>APBD</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Anggaran</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202</w:t>
      </w:r>
      <w:r w:rsidR="00B16404" w:rsidRPr="000E42D9">
        <w:rPr>
          <w:rFonts w:ascii="Bookman Old Style" w:hAnsi="Bookman Old Style" w:cs="Arial"/>
          <w:sz w:val="24"/>
          <w:szCs w:val="24"/>
          <w:lang w:val="id-ID"/>
        </w:rPr>
        <w:t>5</w:t>
      </w:r>
      <w:r w:rsidRPr="000E42D9">
        <w:rPr>
          <w:rFonts w:ascii="Bookman Old Style" w:hAnsi="Bookman Old Style" w:cs="Arial"/>
          <w:sz w:val="24"/>
          <w:szCs w:val="24"/>
          <w:lang w:val="id-ID"/>
        </w:rPr>
        <w:t>,</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sebagai</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berikut:</w:t>
      </w:r>
    </w:p>
    <w:p w14:paraId="638F1D12" w14:textId="70881265" w:rsidR="005C3E60" w:rsidRPr="000E42D9" w:rsidRDefault="005C3E60">
      <w:pPr>
        <w:pStyle w:val="ListParagraph"/>
        <w:numPr>
          <w:ilvl w:val="0"/>
          <w:numId w:val="6"/>
        </w:numPr>
        <w:spacing w:before="120" w:after="0" w:line="276" w:lineRule="auto"/>
        <w:ind w:left="1276" w:hanging="284"/>
        <w:contextualSpacing w:val="0"/>
        <w:jc w:val="both"/>
        <w:rPr>
          <w:rFonts w:ascii="Bookman Old Style" w:hAnsi="Bookman Old Style"/>
          <w:sz w:val="24"/>
          <w:szCs w:val="24"/>
        </w:rPr>
      </w:pPr>
      <w:r w:rsidRPr="000E42D9">
        <w:rPr>
          <w:rFonts w:ascii="Bookman Old Style" w:hAnsi="Bookman Old Style"/>
          <w:sz w:val="24"/>
          <w:szCs w:val="24"/>
          <w:lang w:val="en-US"/>
        </w:rPr>
        <w:t>Pendapatan</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Asli</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Daerah</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(PAD)</w:t>
      </w:r>
      <w:r w:rsidR="00A954D0">
        <w:rPr>
          <w:rFonts w:ascii="Bookman Old Style" w:hAnsi="Bookman Old Style"/>
          <w:sz w:val="24"/>
          <w:szCs w:val="24"/>
          <w:lang w:val="en-US"/>
        </w:rPr>
        <w:t xml:space="preserve"> </w:t>
      </w:r>
    </w:p>
    <w:p w14:paraId="54990EA3" w14:textId="7E0FFE21" w:rsidR="003C3E01" w:rsidRPr="000E42D9" w:rsidRDefault="00C66F56" w:rsidP="003C3E01">
      <w:pPr>
        <w:pStyle w:val="ListParagraph"/>
        <w:spacing w:before="60" w:after="0" w:line="276" w:lineRule="auto"/>
        <w:ind w:left="1287"/>
        <w:contextualSpacing w:val="0"/>
        <w:jc w:val="both"/>
        <w:rPr>
          <w:rFonts w:ascii="Bookman Old Style" w:hAnsi="Bookman Old Style" w:cs="Arial"/>
          <w:sz w:val="24"/>
          <w:szCs w:val="24"/>
          <w:lang w:val="id-ID"/>
        </w:rPr>
      </w:pPr>
      <w:r w:rsidRPr="000E42D9">
        <w:rPr>
          <w:rFonts w:ascii="Bookman Old Style" w:hAnsi="Bookman Old Style"/>
          <w:sz w:val="24"/>
          <w:szCs w:val="24"/>
          <w:lang w:val="id-ID"/>
        </w:rPr>
        <w:t>PAD</w:t>
      </w:r>
      <w:r w:rsidR="00A954D0">
        <w:rPr>
          <w:rFonts w:ascii="Bookman Old Style" w:hAnsi="Bookman Old Style"/>
          <w:sz w:val="24"/>
          <w:szCs w:val="24"/>
        </w:rPr>
        <w:t xml:space="preserve"> </w:t>
      </w:r>
      <w:r w:rsidRPr="000E42D9">
        <w:rPr>
          <w:rFonts w:ascii="Bookman Old Style" w:hAnsi="Bookman Old Style"/>
          <w:sz w:val="24"/>
          <w:szCs w:val="24"/>
        </w:rPr>
        <w:t>dalam</w:t>
      </w:r>
      <w:r w:rsidR="00A954D0">
        <w:rPr>
          <w:rFonts w:ascii="Bookman Old Style" w:hAnsi="Bookman Old Style"/>
          <w:sz w:val="24"/>
          <w:szCs w:val="24"/>
        </w:rPr>
        <w:t xml:space="preserve"> </w:t>
      </w:r>
      <w:r w:rsidRPr="000E42D9">
        <w:rPr>
          <w:rFonts w:ascii="Bookman Old Style" w:hAnsi="Bookman Old Style"/>
          <w:sz w:val="24"/>
          <w:szCs w:val="24"/>
        </w:rPr>
        <w:t>Rancangan</w:t>
      </w:r>
      <w:r w:rsidR="00A954D0">
        <w:rPr>
          <w:rFonts w:ascii="Bookman Old Style" w:hAnsi="Bookman Old Style"/>
          <w:sz w:val="24"/>
          <w:szCs w:val="24"/>
        </w:rPr>
        <w:t xml:space="preserve"> </w:t>
      </w:r>
      <w:r w:rsidRPr="000E42D9">
        <w:rPr>
          <w:rFonts w:ascii="Bookman Old Style" w:hAnsi="Bookman Old Style" w:cs="Arial"/>
          <w:sz w:val="24"/>
          <w:szCs w:val="24"/>
        </w:rPr>
        <w:t>Peraturan</w:t>
      </w:r>
      <w:r w:rsidR="00A954D0">
        <w:rPr>
          <w:rFonts w:ascii="Bookman Old Style" w:hAnsi="Bookman Old Style" w:cs="Arial"/>
          <w:sz w:val="24"/>
          <w:szCs w:val="24"/>
        </w:rPr>
        <w:t xml:space="preserve"> </w:t>
      </w:r>
      <w:r w:rsidRPr="000E42D9">
        <w:rPr>
          <w:rFonts w:ascii="Bookman Old Style" w:hAnsi="Bookman Old Style" w:cs="Arial"/>
          <w:sz w:val="24"/>
          <w:szCs w:val="24"/>
        </w:rPr>
        <w:t>Daerah</w:t>
      </w:r>
      <w:r w:rsidR="00A954D0">
        <w:rPr>
          <w:rFonts w:ascii="Bookman Old Style" w:hAnsi="Bookman Old Style" w:cs="Arial"/>
          <w:sz w:val="24"/>
          <w:szCs w:val="24"/>
        </w:rPr>
        <w:t xml:space="preserve"> </w:t>
      </w:r>
      <w:r w:rsidRPr="000E42D9">
        <w:rPr>
          <w:rFonts w:ascii="Bookman Old Style" w:hAnsi="Bookman Old Style"/>
          <w:sz w:val="24"/>
          <w:szCs w:val="24"/>
          <w:lang w:val="fi-FI"/>
        </w:rPr>
        <w:t>Kota</w:t>
      </w:r>
      <w:r w:rsidR="00A954D0">
        <w:rPr>
          <w:rFonts w:ascii="Bookman Old Style" w:hAnsi="Bookman Old Style"/>
          <w:sz w:val="24"/>
          <w:szCs w:val="24"/>
          <w:lang w:val="fi-FI"/>
        </w:rPr>
        <w:t xml:space="preserve"> </w:t>
      </w:r>
      <w:r w:rsidRPr="000E42D9">
        <w:rPr>
          <w:rFonts w:ascii="Bookman Old Style" w:hAnsi="Bookman Old Style"/>
          <w:sz w:val="24"/>
          <w:szCs w:val="24"/>
          <w:lang w:val="fi-FI"/>
        </w:rPr>
        <w:t>Tangerang</w:t>
      </w:r>
      <w:r w:rsidR="00A954D0">
        <w:rPr>
          <w:rFonts w:ascii="Bookman Old Style" w:hAnsi="Bookman Old Style"/>
          <w:sz w:val="24"/>
          <w:szCs w:val="24"/>
          <w:lang w:val="fi-FI"/>
        </w:rPr>
        <w:t xml:space="preserve"> </w:t>
      </w:r>
      <w:r w:rsidRPr="000E42D9">
        <w:rPr>
          <w:rFonts w:ascii="Bookman Old Style" w:hAnsi="Bookman Old Style" w:cs="Arial"/>
          <w:sz w:val="24"/>
          <w:szCs w:val="24"/>
        </w:rPr>
        <w:t>tentang</w:t>
      </w:r>
      <w:r w:rsidR="00A954D0">
        <w:rPr>
          <w:rFonts w:ascii="Bookman Old Style" w:hAnsi="Bookman Old Style"/>
          <w:sz w:val="24"/>
          <w:szCs w:val="24"/>
        </w:rPr>
        <w:t xml:space="preserve"> </w:t>
      </w:r>
      <w:r w:rsidRPr="000E42D9">
        <w:rPr>
          <w:rFonts w:ascii="Bookman Old Style" w:hAnsi="Bookman Old Style"/>
          <w:sz w:val="24"/>
          <w:szCs w:val="24"/>
        </w:rPr>
        <w:t>APBD</w:t>
      </w:r>
      <w:r w:rsidR="00A954D0">
        <w:rPr>
          <w:rFonts w:ascii="Bookman Old Style" w:hAnsi="Bookman Old Style"/>
          <w:sz w:val="24"/>
          <w:szCs w:val="24"/>
        </w:rPr>
        <w:t xml:space="preserve"> </w:t>
      </w:r>
      <w:r w:rsidRPr="000E42D9">
        <w:rPr>
          <w:rFonts w:ascii="Bookman Old Style" w:hAnsi="Bookman Old Style"/>
          <w:sz w:val="24"/>
          <w:szCs w:val="24"/>
        </w:rPr>
        <w:t>Tahun</w:t>
      </w:r>
      <w:r w:rsidR="00A954D0">
        <w:rPr>
          <w:rFonts w:ascii="Bookman Old Style" w:hAnsi="Bookman Old Style"/>
          <w:sz w:val="24"/>
          <w:szCs w:val="24"/>
        </w:rPr>
        <w:t xml:space="preserve"> </w:t>
      </w:r>
      <w:r w:rsidRPr="000E42D9">
        <w:rPr>
          <w:rFonts w:ascii="Bookman Old Style" w:hAnsi="Bookman Old Style"/>
          <w:sz w:val="24"/>
          <w:szCs w:val="24"/>
        </w:rPr>
        <w:t>Anggaran</w:t>
      </w:r>
      <w:r w:rsidR="00A954D0">
        <w:rPr>
          <w:rFonts w:ascii="Bookman Old Style" w:hAnsi="Bookman Old Style"/>
          <w:sz w:val="24"/>
          <w:szCs w:val="24"/>
        </w:rPr>
        <w:t xml:space="preserve"> </w:t>
      </w:r>
      <w:r w:rsidRPr="000E42D9">
        <w:rPr>
          <w:rFonts w:ascii="Bookman Old Style" w:hAnsi="Bookman Old Style"/>
          <w:sz w:val="24"/>
          <w:szCs w:val="24"/>
        </w:rPr>
        <w:t>2025</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Rp3.042.853.105.436,00</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atau</w:t>
      </w:r>
      <w:r w:rsidR="00A954D0">
        <w:rPr>
          <w:rFonts w:ascii="Bookman Old Style" w:hAnsi="Bookman Old Style"/>
          <w:sz w:val="24"/>
          <w:szCs w:val="24"/>
          <w:lang w:val="sv-FI"/>
        </w:rPr>
        <w:t xml:space="preserve"> </w:t>
      </w:r>
      <w:r w:rsidRPr="000E42D9">
        <w:rPr>
          <w:rFonts w:ascii="Bookman Old Style" w:hAnsi="Bookman Old Style"/>
          <w:sz w:val="24"/>
          <w:szCs w:val="24"/>
          <w:lang w:val="sv-FI"/>
        </w:rPr>
        <w:t>57,35</w:t>
      </w:r>
      <w:r w:rsidRPr="000E42D9">
        <w:rPr>
          <w:rFonts w:ascii="Bookman Old Style" w:hAnsi="Bookman Old Style"/>
          <w:sz w:val="24"/>
          <w:szCs w:val="24"/>
          <w:lang w:val="id-ID"/>
        </w:rPr>
        <w:t>%</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dari</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total</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pendapatan</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daerah</w:t>
      </w:r>
      <w:r w:rsidR="00A954D0">
        <w:rPr>
          <w:rFonts w:ascii="Bookman Old Style" w:hAnsi="Bookman Old Style"/>
          <w:sz w:val="24"/>
          <w:szCs w:val="24"/>
          <w:lang w:val="id-ID"/>
        </w:rPr>
        <w:t xml:space="preserve"> </w:t>
      </w:r>
      <w:r w:rsidRPr="000E42D9">
        <w:rPr>
          <w:rFonts w:ascii="Bookman Old Style" w:hAnsi="Bookman Old Style" w:cs="Arial"/>
          <w:sz w:val="24"/>
          <w:szCs w:val="24"/>
          <w:lang w:val="id-ID"/>
        </w:rPr>
        <w:t>dalam</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Rancangan</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Peraturan</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Daerah</w:t>
      </w:r>
      <w:r w:rsidR="00A954D0">
        <w:rPr>
          <w:rFonts w:ascii="Bookman Old Style" w:hAnsi="Bookman Old Style" w:cs="Arial"/>
          <w:sz w:val="24"/>
          <w:szCs w:val="24"/>
          <w:lang w:val="id-ID"/>
        </w:rPr>
        <w:t xml:space="preserve"> </w:t>
      </w:r>
      <w:r w:rsidRPr="000E42D9">
        <w:rPr>
          <w:rFonts w:ascii="Bookman Old Style" w:hAnsi="Bookman Old Style"/>
          <w:sz w:val="24"/>
          <w:szCs w:val="24"/>
          <w:lang w:val="fi-FI"/>
        </w:rPr>
        <w:t>Kota</w:t>
      </w:r>
      <w:r w:rsidR="00A954D0">
        <w:rPr>
          <w:rFonts w:ascii="Bookman Old Style" w:hAnsi="Bookman Old Style"/>
          <w:sz w:val="24"/>
          <w:szCs w:val="24"/>
          <w:lang w:val="fi-FI"/>
        </w:rPr>
        <w:t xml:space="preserve"> </w:t>
      </w:r>
      <w:r w:rsidRPr="000E42D9">
        <w:rPr>
          <w:rFonts w:ascii="Bookman Old Style" w:hAnsi="Bookman Old Style"/>
          <w:sz w:val="24"/>
          <w:szCs w:val="24"/>
          <w:lang w:val="fi-FI"/>
        </w:rPr>
        <w:t>Tangerang</w:t>
      </w:r>
      <w:r w:rsidR="00A954D0">
        <w:rPr>
          <w:rFonts w:ascii="Bookman Old Style" w:hAnsi="Bookman Old Style"/>
          <w:sz w:val="24"/>
          <w:szCs w:val="24"/>
          <w:lang w:val="fi-FI"/>
        </w:rPr>
        <w:t xml:space="preserve"> </w:t>
      </w:r>
      <w:r w:rsidRPr="000E42D9">
        <w:rPr>
          <w:rFonts w:ascii="Bookman Old Style" w:hAnsi="Bookman Old Style" w:cs="Arial"/>
          <w:sz w:val="24"/>
          <w:szCs w:val="24"/>
          <w:lang w:val="id-ID"/>
        </w:rPr>
        <w:t>tentang</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APBD</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Anggaran</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2025.</w:t>
      </w:r>
    </w:p>
    <w:p w14:paraId="0ED35663" w14:textId="71F99FB2" w:rsidR="003C3E01" w:rsidRPr="000E42D9" w:rsidRDefault="003C3E01" w:rsidP="003C3E01">
      <w:pPr>
        <w:pStyle w:val="ListParagraph"/>
        <w:spacing w:before="60" w:after="0" w:line="276" w:lineRule="auto"/>
        <w:ind w:left="1287"/>
        <w:contextualSpacing w:val="0"/>
        <w:jc w:val="both"/>
        <w:rPr>
          <w:rFonts w:ascii="Bookman Old Style" w:hAnsi="Bookman Old Style"/>
          <w:sz w:val="24"/>
          <w:szCs w:val="24"/>
          <w:lang w:val="sv-FI"/>
        </w:rPr>
      </w:pPr>
      <w:r w:rsidRPr="000E42D9">
        <w:rPr>
          <w:rFonts w:ascii="Bookman Old Style" w:hAnsi="Bookman Old Style"/>
          <w:sz w:val="24"/>
          <w:szCs w:val="24"/>
          <w:lang w:val="sv-FI"/>
        </w:rPr>
        <w:t>Tren</w:t>
      </w:r>
      <w:r w:rsidR="00A954D0">
        <w:rPr>
          <w:rFonts w:ascii="Bookman Old Style" w:hAnsi="Bookman Old Style"/>
          <w:sz w:val="24"/>
          <w:szCs w:val="24"/>
          <w:lang w:val="sv-FI"/>
        </w:rPr>
        <w:t xml:space="preserve"> </w:t>
      </w:r>
      <w:r w:rsidRPr="000E42D9">
        <w:rPr>
          <w:rFonts w:ascii="Bookman Old Style" w:hAnsi="Bookman Old Style"/>
          <w:sz w:val="24"/>
          <w:szCs w:val="24"/>
          <w:lang w:val="sv-FI"/>
        </w:rPr>
        <w:t>Proporsi</w:t>
      </w:r>
      <w:r w:rsidR="00A954D0">
        <w:rPr>
          <w:rFonts w:ascii="Bookman Old Style" w:hAnsi="Bookman Old Style"/>
          <w:sz w:val="24"/>
          <w:szCs w:val="24"/>
          <w:lang w:val="sv-FI"/>
        </w:rPr>
        <w:t xml:space="preserve"> </w:t>
      </w:r>
      <w:r w:rsidRPr="000E42D9">
        <w:rPr>
          <w:rFonts w:ascii="Bookman Old Style" w:hAnsi="Bookman Old Style"/>
          <w:sz w:val="24"/>
          <w:szCs w:val="24"/>
          <w:lang w:val="sv-FI"/>
        </w:rPr>
        <w:t>PAD</w:t>
      </w:r>
      <w:r w:rsidR="00A954D0">
        <w:rPr>
          <w:rFonts w:ascii="Bookman Old Style" w:hAnsi="Bookman Old Style"/>
          <w:sz w:val="24"/>
          <w:szCs w:val="24"/>
          <w:lang w:val="sv-FI"/>
        </w:rPr>
        <w:t xml:space="preserve"> </w:t>
      </w:r>
      <w:r w:rsidRPr="000E42D9">
        <w:rPr>
          <w:rFonts w:ascii="Bookman Old Style" w:hAnsi="Bookman Old Style"/>
          <w:sz w:val="24"/>
          <w:szCs w:val="24"/>
          <w:lang w:val="sv-FI"/>
        </w:rPr>
        <w:t>terhadap</w:t>
      </w:r>
      <w:r w:rsidR="00A954D0">
        <w:rPr>
          <w:rFonts w:ascii="Bookman Old Style" w:hAnsi="Bookman Old Style"/>
          <w:sz w:val="24"/>
          <w:szCs w:val="24"/>
          <w:lang w:val="sv-FI"/>
        </w:rPr>
        <w:t xml:space="preserve"> </w:t>
      </w:r>
      <w:r w:rsidRPr="000E42D9">
        <w:rPr>
          <w:rFonts w:ascii="Bookman Old Style" w:hAnsi="Bookman Old Style"/>
          <w:sz w:val="24"/>
          <w:szCs w:val="24"/>
          <w:lang w:val="sv-FI"/>
        </w:rPr>
        <w:t>total</w:t>
      </w:r>
      <w:r w:rsidR="00A954D0">
        <w:rPr>
          <w:rFonts w:ascii="Bookman Old Style" w:hAnsi="Bookman Old Style"/>
          <w:sz w:val="24"/>
          <w:szCs w:val="24"/>
          <w:lang w:val="sv-FI"/>
        </w:rPr>
        <w:t xml:space="preserve"> </w:t>
      </w:r>
      <w:r w:rsidRPr="000E42D9">
        <w:rPr>
          <w:rFonts w:ascii="Bookman Old Style" w:hAnsi="Bookman Old Style"/>
          <w:sz w:val="24"/>
          <w:szCs w:val="24"/>
          <w:lang w:val="sv-FI"/>
        </w:rPr>
        <w:t>Pendapatan</w:t>
      </w:r>
      <w:r w:rsidR="00A954D0">
        <w:rPr>
          <w:rFonts w:ascii="Bookman Old Style" w:hAnsi="Bookman Old Style"/>
          <w:sz w:val="24"/>
          <w:szCs w:val="24"/>
          <w:lang w:val="sv-FI"/>
        </w:rPr>
        <w:t xml:space="preserve"> </w:t>
      </w:r>
      <w:r w:rsidRPr="000E42D9">
        <w:rPr>
          <w:rFonts w:ascii="Bookman Old Style" w:hAnsi="Bookman Old Style"/>
          <w:sz w:val="24"/>
          <w:szCs w:val="24"/>
          <w:lang w:val="sv-FI"/>
        </w:rPr>
        <w:t>Daerah</w:t>
      </w:r>
      <w:r w:rsidR="00A954D0">
        <w:rPr>
          <w:rFonts w:ascii="Bookman Old Style" w:hAnsi="Bookman Old Style"/>
          <w:sz w:val="24"/>
          <w:szCs w:val="24"/>
          <w:lang w:val="sv-FI"/>
        </w:rPr>
        <w:t xml:space="preserve"> </w:t>
      </w:r>
      <w:r w:rsidRPr="000E42D9">
        <w:rPr>
          <w:rFonts w:ascii="Bookman Old Style" w:hAnsi="Bookman Old Style"/>
          <w:sz w:val="24"/>
          <w:szCs w:val="24"/>
          <w:lang w:val="sv-FI"/>
        </w:rPr>
        <w:t>sebagaimana</w:t>
      </w:r>
      <w:r w:rsidR="00A954D0">
        <w:rPr>
          <w:rFonts w:ascii="Bookman Old Style" w:hAnsi="Bookman Old Style"/>
          <w:sz w:val="24"/>
          <w:szCs w:val="24"/>
          <w:lang w:val="sv-FI"/>
        </w:rPr>
        <w:t xml:space="preserve"> </w:t>
      </w:r>
      <w:r w:rsidRPr="000E42D9">
        <w:rPr>
          <w:rFonts w:ascii="Bookman Old Style" w:hAnsi="Bookman Old Style"/>
          <w:sz w:val="24"/>
          <w:szCs w:val="24"/>
          <w:lang w:val="id-ID"/>
        </w:rPr>
        <w:t>T</w:t>
      </w:r>
      <w:r w:rsidRPr="000E42D9">
        <w:rPr>
          <w:rFonts w:ascii="Bookman Old Style" w:hAnsi="Bookman Old Style"/>
          <w:sz w:val="24"/>
          <w:szCs w:val="24"/>
          <w:lang w:val="sv-FI"/>
        </w:rPr>
        <w:t>abel</w:t>
      </w:r>
      <w:r w:rsidR="00A954D0">
        <w:rPr>
          <w:rFonts w:ascii="Bookman Old Style" w:hAnsi="Bookman Old Style"/>
          <w:sz w:val="24"/>
          <w:szCs w:val="24"/>
          <w:lang w:val="id-ID"/>
        </w:rPr>
        <w:t xml:space="preserve"> </w:t>
      </w:r>
      <w:r w:rsidR="003F64EB" w:rsidRPr="000E42D9">
        <w:rPr>
          <w:rFonts w:ascii="Bookman Old Style" w:hAnsi="Bookman Old Style"/>
          <w:sz w:val="24"/>
          <w:szCs w:val="24"/>
          <w:lang w:val="id-ID"/>
        </w:rPr>
        <w:t>15</w:t>
      </w:r>
      <w:r w:rsidR="00A954D0">
        <w:rPr>
          <w:rFonts w:ascii="Bookman Old Style" w:hAnsi="Bookman Old Style"/>
          <w:sz w:val="24"/>
          <w:szCs w:val="24"/>
          <w:lang w:val="sv-FI"/>
        </w:rPr>
        <w:t xml:space="preserve"> </w:t>
      </w:r>
      <w:r w:rsidRPr="000E42D9">
        <w:rPr>
          <w:rFonts w:ascii="Bookman Old Style" w:hAnsi="Bookman Old Style"/>
          <w:sz w:val="24"/>
          <w:szCs w:val="24"/>
          <w:lang w:val="sv-FI"/>
        </w:rPr>
        <w:t>berikut:</w:t>
      </w:r>
    </w:p>
    <w:p w14:paraId="32C10B98" w14:textId="77777777" w:rsidR="00881362" w:rsidRDefault="00881362" w:rsidP="00092DBD">
      <w:pPr>
        <w:pStyle w:val="ListParagraph"/>
        <w:spacing w:before="60" w:after="0" w:line="240" w:lineRule="auto"/>
        <w:ind w:left="1276" w:right="301"/>
        <w:contextualSpacing w:val="0"/>
        <w:jc w:val="center"/>
        <w:rPr>
          <w:rFonts w:ascii="Bookman Old Style" w:hAnsi="Bookman Old Style"/>
          <w:sz w:val="24"/>
          <w:szCs w:val="24"/>
          <w:lang w:val="sv-FI"/>
        </w:rPr>
      </w:pPr>
    </w:p>
    <w:p w14:paraId="52248D50" w14:textId="77777777" w:rsidR="00881362" w:rsidRDefault="00881362" w:rsidP="00092DBD">
      <w:pPr>
        <w:pStyle w:val="ListParagraph"/>
        <w:spacing w:before="60" w:after="0" w:line="240" w:lineRule="auto"/>
        <w:ind w:left="1276" w:right="301"/>
        <w:contextualSpacing w:val="0"/>
        <w:jc w:val="center"/>
        <w:rPr>
          <w:rFonts w:ascii="Bookman Old Style" w:hAnsi="Bookman Old Style"/>
          <w:sz w:val="24"/>
          <w:szCs w:val="24"/>
          <w:lang w:val="sv-FI"/>
        </w:rPr>
      </w:pPr>
    </w:p>
    <w:p w14:paraId="5CA5DF44" w14:textId="32E68FB9" w:rsidR="003C3E01" w:rsidRPr="000E42D9" w:rsidRDefault="003C3E01" w:rsidP="00092DBD">
      <w:pPr>
        <w:pStyle w:val="ListParagraph"/>
        <w:spacing w:before="60" w:after="0" w:line="240" w:lineRule="auto"/>
        <w:ind w:left="1276" w:right="301"/>
        <w:contextualSpacing w:val="0"/>
        <w:jc w:val="center"/>
        <w:rPr>
          <w:rFonts w:ascii="Bookman Old Style" w:hAnsi="Bookman Old Style"/>
          <w:sz w:val="24"/>
          <w:szCs w:val="24"/>
          <w:lang w:val="sv-FI"/>
        </w:rPr>
      </w:pPr>
      <w:r w:rsidRPr="000E42D9">
        <w:rPr>
          <w:rFonts w:ascii="Bookman Old Style" w:hAnsi="Bookman Old Style"/>
          <w:sz w:val="24"/>
          <w:szCs w:val="24"/>
          <w:lang w:val="sv-FI"/>
        </w:rPr>
        <w:lastRenderedPageBreak/>
        <w:t>Tabel</w:t>
      </w:r>
      <w:r w:rsidR="00A954D0">
        <w:rPr>
          <w:rFonts w:ascii="Bookman Old Style" w:hAnsi="Bookman Old Style"/>
          <w:sz w:val="24"/>
          <w:szCs w:val="24"/>
          <w:lang w:val="sv-FI"/>
        </w:rPr>
        <w:t xml:space="preserve"> </w:t>
      </w:r>
      <w:r w:rsidR="003F64EB" w:rsidRPr="000E42D9">
        <w:rPr>
          <w:rFonts w:ascii="Bookman Old Style" w:hAnsi="Bookman Old Style"/>
          <w:sz w:val="24"/>
          <w:szCs w:val="24"/>
          <w:lang w:val="sv-FI"/>
        </w:rPr>
        <w:t>15</w:t>
      </w:r>
    </w:p>
    <w:p w14:paraId="62732298" w14:textId="4DB7B1F2" w:rsidR="003C3E01" w:rsidRPr="000E42D9" w:rsidRDefault="003C3E01" w:rsidP="003C3E01">
      <w:pPr>
        <w:pStyle w:val="ListParagraph"/>
        <w:spacing w:before="60" w:after="120" w:line="276" w:lineRule="auto"/>
        <w:ind w:left="1276" w:right="301"/>
        <w:contextualSpacing w:val="0"/>
        <w:jc w:val="center"/>
        <w:rPr>
          <w:rFonts w:ascii="Bookman Old Style" w:hAnsi="Bookman Old Style"/>
          <w:sz w:val="24"/>
          <w:szCs w:val="24"/>
          <w:lang w:val="sv-FI"/>
        </w:rPr>
      </w:pPr>
      <w:r w:rsidRPr="000E42D9">
        <w:rPr>
          <w:rFonts w:ascii="Bookman Old Style" w:hAnsi="Bookman Old Style"/>
          <w:sz w:val="24"/>
          <w:szCs w:val="24"/>
          <w:lang w:val="sv-FI"/>
        </w:rPr>
        <w:t>Tren</w:t>
      </w:r>
      <w:r w:rsidR="00A954D0">
        <w:rPr>
          <w:rFonts w:ascii="Bookman Old Style" w:hAnsi="Bookman Old Style"/>
          <w:sz w:val="24"/>
          <w:szCs w:val="24"/>
          <w:lang w:val="sv-FI"/>
        </w:rPr>
        <w:t xml:space="preserve"> </w:t>
      </w:r>
      <w:r w:rsidRPr="000E42D9">
        <w:rPr>
          <w:rFonts w:ascii="Bookman Old Style" w:hAnsi="Bookman Old Style"/>
          <w:sz w:val="24"/>
          <w:szCs w:val="24"/>
          <w:lang w:val="sv-FI"/>
        </w:rPr>
        <w:t>Proporsi</w:t>
      </w:r>
      <w:r w:rsidR="00A954D0">
        <w:rPr>
          <w:rFonts w:ascii="Bookman Old Style" w:hAnsi="Bookman Old Style"/>
          <w:sz w:val="24"/>
          <w:szCs w:val="24"/>
          <w:lang w:val="sv-FI"/>
        </w:rPr>
        <w:t xml:space="preserve"> </w:t>
      </w:r>
      <w:r w:rsidRPr="000E42D9">
        <w:rPr>
          <w:rFonts w:ascii="Bookman Old Style" w:hAnsi="Bookman Old Style"/>
          <w:sz w:val="24"/>
          <w:szCs w:val="24"/>
          <w:lang w:val="sv-FI"/>
        </w:rPr>
        <w:t>PAD</w:t>
      </w:r>
      <w:r w:rsidR="00A954D0">
        <w:rPr>
          <w:rFonts w:ascii="Bookman Old Style" w:hAnsi="Bookman Old Style"/>
          <w:sz w:val="24"/>
          <w:szCs w:val="24"/>
          <w:lang w:val="sv-FI"/>
        </w:rPr>
        <w:t xml:space="preserve"> </w:t>
      </w:r>
      <w:r w:rsidRPr="000E42D9">
        <w:rPr>
          <w:rFonts w:ascii="Bookman Old Style" w:hAnsi="Bookman Old Style"/>
          <w:sz w:val="24"/>
          <w:szCs w:val="24"/>
          <w:lang w:val="sv-FI"/>
        </w:rPr>
        <w:t>terhadap</w:t>
      </w:r>
      <w:r w:rsidR="00A954D0">
        <w:rPr>
          <w:rFonts w:ascii="Bookman Old Style" w:hAnsi="Bookman Old Style"/>
          <w:sz w:val="24"/>
          <w:szCs w:val="24"/>
          <w:lang w:val="sv-FI"/>
        </w:rPr>
        <w:t xml:space="preserve"> </w:t>
      </w:r>
      <w:r w:rsidRPr="000E42D9">
        <w:rPr>
          <w:rFonts w:ascii="Bookman Old Style" w:hAnsi="Bookman Old Style"/>
          <w:sz w:val="24"/>
          <w:szCs w:val="24"/>
          <w:lang w:val="sv-FI"/>
        </w:rPr>
        <w:t>total</w:t>
      </w:r>
      <w:r w:rsidR="00A954D0">
        <w:rPr>
          <w:rFonts w:ascii="Bookman Old Style" w:hAnsi="Bookman Old Style"/>
          <w:sz w:val="24"/>
          <w:szCs w:val="24"/>
          <w:lang w:val="sv-FI"/>
        </w:rPr>
        <w:t xml:space="preserve"> </w:t>
      </w:r>
      <w:r w:rsidRPr="000E42D9">
        <w:rPr>
          <w:rFonts w:ascii="Bookman Old Style" w:hAnsi="Bookman Old Style"/>
          <w:sz w:val="24"/>
          <w:szCs w:val="24"/>
          <w:lang w:val="sv-FI"/>
        </w:rPr>
        <w:t>Pendapatan</w:t>
      </w:r>
      <w:r w:rsidR="00A954D0">
        <w:rPr>
          <w:rFonts w:ascii="Bookman Old Style" w:hAnsi="Bookman Old Style"/>
          <w:sz w:val="24"/>
          <w:szCs w:val="24"/>
          <w:lang w:val="sv-FI"/>
        </w:rPr>
        <w:t xml:space="preserve"> </w:t>
      </w:r>
      <w:r w:rsidRPr="000E42D9">
        <w:rPr>
          <w:rFonts w:ascii="Bookman Old Style" w:hAnsi="Bookman Old Style"/>
          <w:sz w:val="24"/>
          <w:szCs w:val="24"/>
          <w:lang w:val="sv-FI"/>
        </w:rPr>
        <w:t>Daerah</w:t>
      </w:r>
    </w:p>
    <w:tbl>
      <w:tblPr>
        <w:tblStyle w:val="TableGrid4"/>
        <w:tblW w:w="7520" w:type="dxa"/>
        <w:tblInd w:w="1339" w:type="dxa"/>
        <w:tblLook w:val="04A0" w:firstRow="1" w:lastRow="0" w:firstColumn="1" w:lastColumn="0" w:noHBand="0" w:noVBand="1"/>
      </w:tblPr>
      <w:tblGrid>
        <w:gridCol w:w="998"/>
        <w:gridCol w:w="2452"/>
        <w:gridCol w:w="2622"/>
        <w:gridCol w:w="1448"/>
      </w:tblGrid>
      <w:tr w:rsidR="003C3E01" w:rsidRPr="000E42D9" w14:paraId="1FF02064" w14:textId="77777777" w:rsidTr="003E2CA9">
        <w:trPr>
          <w:tblHeader/>
        </w:trPr>
        <w:tc>
          <w:tcPr>
            <w:tcW w:w="0" w:type="auto"/>
            <w:shd w:val="clear" w:color="auto" w:fill="auto"/>
            <w:vAlign w:val="center"/>
          </w:tcPr>
          <w:p w14:paraId="76031AD3" w14:textId="77777777" w:rsidR="003C3E01" w:rsidRPr="000E42D9" w:rsidRDefault="003C3E01" w:rsidP="0023341C">
            <w:pPr>
              <w:pStyle w:val="ListParagraph"/>
              <w:tabs>
                <w:tab w:val="left" w:pos="929"/>
              </w:tabs>
              <w:spacing w:after="0" w:line="276" w:lineRule="auto"/>
              <w:ind w:left="0"/>
              <w:contextualSpacing w:val="0"/>
              <w:jc w:val="center"/>
              <w:rPr>
                <w:rFonts w:ascii="Bookman Old Style" w:eastAsia="Bookman Old Style" w:hAnsi="Bookman Old Style" w:cs="Bookman Old Style"/>
                <w:b/>
                <w:bCs/>
                <w:sz w:val="20"/>
                <w:szCs w:val="20"/>
                <w:lang w:val="id-ID"/>
              </w:rPr>
            </w:pPr>
            <w:r w:rsidRPr="000E42D9">
              <w:rPr>
                <w:rFonts w:ascii="Bookman Old Style" w:eastAsia="Bookman Old Style" w:hAnsi="Bookman Old Style" w:cs="Bookman Old Style"/>
                <w:b/>
                <w:bCs/>
                <w:sz w:val="20"/>
                <w:szCs w:val="20"/>
                <w:lang w:val="id-ID"/>
              </w:rPr>
              <w:t>Tahun</w:t>
            </w:r>
          </w:p>
        </w:tc>
        <w:tc>
          <w:tcPr>
            <w:tcW w:w="2452" w:type="dxa"/>
            <w:shd w:val="clear" w:color="auto" w:fill="auto"/>
            <w:vAlign w:val="center"/>
          </w:tcPr>
          <w:p w14:paraId="70290949" w14:textId="7910B5F4" w:rsidR="003C3E01" w:rsidRPr="000E42D9" w:rsidRDefault="003C3E01" w:rsidP="0023341C">
            <w:pPr>
              <w:pStyle w:val="ListParagraph"/>
              <w:spacing w:after="0" w:line="276" w:lineRule="auto"/>
              <w:ind w:left="0"/>
              <w:contextualSpacing w:val="0"/>
              <w:jc w:val="center"/>
              <w:rPr>
                <w:rFonts w:ascii="Bookman Old Style" w:eastAsia="Bookman Old Style" w:hAnsi="Bookman Old Style" w:cs="Bookman Old Style"/>
                <w:b/>
                <w:bCs/>
                <w:sz w:val="20"/>
                <w:szCs w:val="20"/>
                <w:lang w:val="en-US"/>
              </w:rPr>
            </w:pPr>
            <w:r w:rsidRPr="000E42D9">
              <w:rPr>
                <w:rFonts w:ascii="Bookman Old Style" w:eastAsia="Bookman Old Style" w:hAnsi="Bookman Old Style" w:cs="Bookman Old Style"/>
                <w:b/>
                <w:bCs/>
                <w:sz w:val="20"/>
                <w:szCs w:val="20"/>
                <w:lang w:val="en-US"/>
              </w:rPr>
              <w:t>Target</w:t>
            </w:r>
            <w:r w:rsidR="00A954D0">
              <w:rPr>
                <w:rFonts w:ascii="Bookman Old Style" w:eastAsia="Bookman Old Style" w:hAnsi="Bookman Old Style" w:cs="Bookman Old Style"/>
                <w:b/>
                <w:bCs/>
                <w:sz w:val="20"/>
                <w:szCs w:val="20"/>
                <w:lang w:val="en-US"/>
              </w:rPr>
              <w:t xml:space="preserve"> </w:t>
            </w:r>
            <w:r w:rsidRPr="000E42D9">
              <w:rPr>
                <w:rFonts w:ascii="Bookman Old Style" w:eastAsia="Bookman Old Style" w:hAnsi="Bookman Old Style" w:cs="Bookman Old Style"/>
                <w:b/>
                <w:bCs/>
                <w:sz w:val="20"/>
                <w:szCs w:val="20"/>
                <w:lang w:val="id-ID"/>
              </w:rPr>
              <w:t>P</w:t>
            </w:r>
            <w:r w:rsidRPr="000E42D9">
              <w:rPr>
                <w:rFonts w:ascii="Bookman Old Style" w:eastAsia="Bookman Old Style" w:hAnsi="Bookman Old Style" w:cs="Bookman Old Style"/>
                <w:b/>
                <w:bCs/>
                <w:sz w:val="20"/>
                <w:szCs w:val="20"/>
                <w:lang w:val="en-US"/>
              </w:rPr>
              <w:t>AD</w:t>
            </w:r>
          </w:p>
          <w:p w14:paraId="71562071" w14:textId="77777777" w:rsidR="003C3E01" w:rsidRPr="000E42D9" w:rsidRDefault="003C3E01" w:rsidP="0023341C">
            <w:pPr>
              <w:pStyle w:val="ListParagraph"/>
              <w:spacing w:after="0" w:line="276" w:lineRule="auto"/>
              <w:ind w:left="0"/>
              <w:contextualSpacing w:val="0"/>
              <w:jc w:val="center"/>
              <w:rPr>
                <w:rFonts w:ascii="Bookman Old Style" w:eastAsia="Bookman Old Style" w:hAnsi="Bookman Old Style" w:cs="Bookman Old Style"/>
                <w:b/>
                <w:bCs/>
                <w:sz w:val="20"/>
                <w:szCs w:val="20"/>
                <w:lang w:val="id-ID"/>
              </w:rPr>
            </w:pPr>
            <w:r w:rsidRPr="000E42D9">
              <w:rPr>
                <w:rFonts w:ascii="Bookman Old Style" w:eastAsia="Bookman Old Style" w:hAnsi="Bookman Old Style" w:cs="Bookman Old Style"/>
                <w:b/>
                <w:bCs/>
                <w:sz w:val="20"/>
                <w:szCs w:val="20"/>
                <w:lang w:val="id-ID"/>
              </w:rPr>
              <w:t>(Rp)</w:t>
            </w:r>
          </w:p>
        </w:tc>
        <w:tc>
          <w:tcPr>
            <w:tcW w:w="2622" w:type="dxa"/>
            <w:shd w:val="clear" w:color="auto" w:fill="auto"/>
            <w:vAlign w:val="center"/>
          </w:tcPr>
          <w:p w14:paraId="06888B5C" w14:textId="454AE8DB" w:rsidR="00151939" w:rsidRPr="000E42D9" w:rsidRDefault="003C3E01" w:rsidP="0023341C">
            <w:pPr>
              <w:pStyle w:val="ListParagraph"/>
              <w:spacing w:after="0" w:line="276" w:lineRule="auto"/>
              <w:ind w:left="0"/>
              <w:contextualSpacing w:val="0"/>
              <w:jc w:val="center"/>
              <w:rPr>
                <w:rFonts w:ascii="Bookman Old Style" w:eastAsia="Bookman Old Style" w:hAnsi="Bookman Old Style" w:cs="Bookman Old Style"/>
                <w:b/>
                <w:bCs/>
                <w:sz w:val="20"/>
                <w:szCs w:val="20"/>
                <w:lang w:val="en-US"/>
              </w:rPr>
            </w:pPr>
            <w:r w:rsidRPr="000E42D9">
              <w:rPr>
                <w:rFonts w:ascii="Bookman Old Style" w:eastAsia="Bookman Old Style" w:hAnsi="Bookman Old Style" w:cs="Bookman Old Style"/>
                <w:b/>
                <w:bCs/>
                <w:sz w:val="20"/>
                <w:szCs w:val="20"/>
                <w:lang w:val="en-US"/>
              </w:rPr>
              <w:t>Total</w:t>
            </w:r>
            <w:r w:rsidR="00A954D0">
              <w:rPr>
                <w:rFonts w:ascii="Bookman Old Style" w:eastAsia="Bookman Old Style" w:hAnsi="Bookman Old Style" w:cs="Bookman Old Style"/>
                <w:b/>
                <w:bCs/>
                <w:sz w:val="20"/>
                <w:szCs w:val="20"/>
                <w:lang w:val="en-US"/>
              </w:rPr>
              <w:t xml:space="preserve"> </w:t>
            </w:r>
          </w:p>
          <w:p w14:paraId="651BAFD5" w14:textId="3CCCABC3" w:rsidR="00151939" w:rsidRPr="000E42D9" w:rsidRDefault="003C3E01" w:rsidP="0023341C">
            <w:pPr>
              <w:pStyle w:val="ListParagraph"/>
              <w:spacing w:after="0" w:line="276" w:lineRule="auto"/>
              <w:ind w:left="0"/>
              <w:contextualSpacing w:val="0"/>
              <w:jc w:val="center"/>
              <w:rPr>
                <w:rFonts w:ascii="Bookman Old Style" w:eastAsia="Bookman Old Style" w:hAnsi="Bookman Old Style" w:cs="Bookman Old Style"/>
                <w:b/>
                <w:bCs/>
                <w:sz w:val="20"/>
                <w:szCs w:val="20"/>
                <w:lang w:val="en-US"/>
              </w:rPr>
            </w:pPr>
            <w:r w:rsidRPr="000E42D9">
              <w:rPr>
                <w:rFonts w:ascii="Bookman Old Style" w:eastAsia="Bookman Old Style" w:hAnsi="Bookman Old Style" w:cs="Bookman Old Style"/>
                <w:b/>
                <w:bCs/>
                <w:sz w:val="20"/>
                <w:szCs w:val="20"/>
                <w:lang w:val="id-ID"/>
              </w:rPr>
              <w:t>Pendapatan</w:t>
            </w:r>
            <w:r w:rsidR="00A954D0">
              <w:rPr>
                <w:rFonts w:ascii="Bookman Old Style" w:eastAsia="Bookman Old Style" w:hAnsi="Bookman Old Style" w:cs="Bookman Old Style"/>
                <w:b/>
                <w:bCs/>
                <w:sz w:val="20"/>
                <w:szCs w:val="20"/>
                <w:lang w:val="id-ID"/>
              </w:rPr>
              <w:t xml:space="preserve"> </w:t>
            </w:r>
            <w:r w:rsidRPr="000E42D9">
              <w:rPr>
                <w:rFonts w:ascii="Bookman Old Style" w:eastAsia="Bookman Old Style" w:hAnsi="Bookman Old Style" w:cs="Bookman Old Style"/>
                <w:b/>
                <w:bCs/>
                <w:sz w:val="20"/>
                <w:szCs w:val="20"/>
                <w:lang w:val="en-US"/>
              </w:rPr>
              <w:t>Daerah</w:t>
            </w:r>
            <w:r w:rsidR="00A954D0">
              <w:rPr>
                <w:rFonts w:ascii="Bookman Old Style" w:eastAsia="Bookman Old Style" w:hAnsi="Bookman Old Style" w:cs="Bookman Old Style"/>
                <w:b/>
                <w:bCs/>
                <w:sz w:val="20"/>
                <w:szCs w:val="20"/>
                <w:lang w:val="en-US"/>
              </w:rPr>
              <w:t xml:space="preserve"> </w:t>
            </w:r>
          </w:p>
          <w:p w14:paraId="102770B0" w14:textId="65F0E204" w:rsidR="003C3E01" w:rsidRPr="000E42D9" w:rsidRDefault="003C3E01" w:rsidP="0023341C">
            <w:pPr>
              <w:pStyle w:val="ListParagraph"/>
              <w:spacing w:after="0" w:line="276" w:lineRule="auto"/>
              <w:ind w:left="0"/>
              <w:contextualSpacing w:val="0"/>
              <w:jc w:val="center"/>
              <w:rPr>
                <w:rFonts w:ascii="Bookman Old Style" w:eastAsia="Bookman Old Style" w:hAnsi="Bookman Old Style" w:cs="Bookman Old Style"/>
                <w:b/>
                <w:bCs/>
                <w:sz w:val="20"/>
                <w:szCs w:val="20"/>
                <w:lang w:val="id-ID"/>
              </w:rPr>
            </w:pPr>
            <w:r w:rsidRPr="000E42D9">
              <w:rPr>
                <w:rFonts w:ascii="Bookman Old Style" w:eastAsia="Bookman Old Style" w:hAnsi="Bookman Old Style" w:cs="Bookman Old Style"/>
                <w:b/>
                <w:bCs/>
                <w:sz w:val="20"/>
                <w:szCs w:val="20"/>
                <w:lang w:val="id-ID"/>
              </w:rPr>
              <w:t>(Rp)</w:t>
            </w:r>
          </w:p>
        </w:tc>
        <w:tc>
          <w:tcPr>
            <w:tcW w:w="0" w:type="auto"/>
            <w:shd w:val="clear" w:color="auto" w:fill="auto"/>
            <w:vAlign w:val="center"/>
          </w:tcPr>
          <w:p w14:paraId="541AB720" w14:textId="77777777" w:rsidR="003C3E01" w:rsidRPr="000E42D9" w:rsidRDefault="003C3E01" w:rsidP="0023341C">
            <w:pPr>
              <w:pStyle w:val="ListParagraph"/>
              <w:spacing w:after="0" w:line="276" w:lineRule="auto"/>
              <w:ind w:left="142" w:right="301"/>
              <w:contextualSpacing w:val="0"/>
              <w:jc w:val="center"/>
              <w:rPr>
                <w:rFonts w:ascii="Bookman Old Style" w:eastAsia="Bookman Old Style" w:hAnsi="Bookman Old Style" w:cs="Bookman Old Style"/>
                <w:b/>
                <w:bCs/>
                <w:sz w:val="20"/>
                <w:szCs w:val="20"/>
                <w:lang w:val="id-ID"/>
              </w:rPr>
            </w:pPr>
            <w:r w:rsidRPr="000E42D9">
              <w:rPr>
                <w:rFonts w:ascii="Bookman Old Style" w:eastAsia="Bookman Old Style" w:hAnsi="Bookman Old Style" w:cs="Bookman Old Style"/>
                <w:b/>
                <w:bCs/>
                <w:sz w:val="20"/>
                <w:szCs w:val="20"/>
                <w:lang w:val="id-ID"/>
              </w:rPr>
              <w:t>%</w:t>
            </w:r>
          </w:p>
        </w:tc>
      </w:tr>
      <w:tr w:rsidR="003C3E01" w:rsidRPr="000E42D9" w14:paraId="45FD2444" w14:textId="77777777" w:rsidTr="003E2CA9">
        <w:trPr>
          <w:trHeight w:val="74"/>
          <w:tblHeader/>
        </w:trPr>
        <w:tc>
          <w:tcPr>
            <w:tcW w:w="0" w:type="auto"/>
            <w:shd w:val="clear" w:color="auto" w:fill="auto"/>
            <w:vAlign w:val="center"/>
          </w:tcPr>
          <w:p w14:paraId="5A176708" w14:textId="77777777" w:rsidR="003C3E01" w:rsidRPr="000E42D9" w:rsidRDefault="003C3E01" w:rsidP="0023341C">
            <w:pPr>
              <w:pStyle w:val="ListParagraph"/>
              <w:tabs>
                <w:tab w:val="left" w:pos="929"/>
              </w:tabs>
              <w:spacing w:after="0" w:line="276" w:lineRule="auto"/>
              <w:ind w:left="0"/>
              <w:contextualSpacing w:val="0"/>
              <w:jc w:val="center"/>
              <w:rPr>
                <w:rFonts w:ascii="Bookman Old Style" w:eastAsia="Bookman Old Style" w:hAnsi="Bookman Old Style" w:cs="Bookman Old Style"/>
                <w:i/>
                <w:sz w:val="20"/>
                <w:szCs w:val="20"/>
                <w:lang w:val="id-ID"/>
              </w:rPr>
            </w:pPr>
            <w:r w:rsidRPr="000E42D9">
              <w:rPr>
                <w:rFonts w:ascii="Bookman Old Style" w:eastAsia="Bookman Old Style" w:hAnsi="Bookman Old Style" w:cs="Bookman Old Style"/>
                <w:i/>
                <w:sz w:val="20"/>
                <w:szCs w:val="20"/>
                <w:lang w:val="id-ID"/>
              </w:rPr>
              <w:t>1</w:t>
            </w:r>
          </w:p>
        </w:tc>
        <w:tc>
          <w:tcPr>
            <w:tcW w:w="2452" w:type="dxa"/>
            <w:shd w:val="clear" w:color="auto" w:fill="auto"/>
            <w:vAlign w:val="center"/>
          </w:tcPr>
          <w:p w14:paraId="4ED87B6B" w14:textId="77777777" w:rsidR="003C3E01" w:rsidRPr="000E42D9" w:rsidRDefault="003C3E01" w:rsidP="0023341C">
            <w:pPr>
              <w:pStyle w:val="ListParagraph"/>
              <w:spacing w:after="0" w:line="276" w:lineRule="auto"/>
              <w:ind w:left="142" w:right="301"/>
              <w:contextualSpacing w:val="0"/>
              <w:jc w:val="center"/>
              <w:rPr>
                <w:rFonts w:ascii="Bookman Old Style" w:eastAsia="Bookman Old Style" w:hAnsi="Bookman Old Style" w:cs="Bookman Old Style"/>
                <w:i/>
                <w:sz w:val="20"/>
                <w:szCs w:val="20"/>
                <w:lang w:val="id-ID"/>
              </w:rPr>
            </w:pPr>
            <w:r w:rsidRPr="000E42D9">
              <w:rPr>
                <w:rFonts w:ascii="Bookman Old Style" w:eastAsia="Bookman Old Style" w:hAnsi="Bookman Old Style" w:cs="Bookman Old Style"/>
                <w:i/>
                <w:sz w:val="20"/>
                <w:szCs w:val="20"/>
                <w:lang w:val="id-ID"/>
              </w:rPr>
              <w:t>2</w:t>
            </w:r>
          </w:p>
        </w:tc>
        <w:tc>
          <w:tcPr>
            <w:tcW w:w="2622" w:type="dxa"/>
            <w:shd w:val="clear" w:color="auto" w:fill="auto"/>
            <w:vAlign w:val="center"/>
          </w:tcPr>
          <w:p w14:paraId="620385B8" w14:textId="77777777" w:rsidR="003C3E01" w:rsidRPr="000E42D9" w:rsidRDefault="003C3E01" w:rsidP="0023341C">
            <w:pPr>
              <w:pStyle w:val="ListParagraph"/>
              <w:spacing w:after="0" w:line="276" w:lineRule="auto"/>
              <w:ind w:left="142" w:right="301"/>
              <w:contextualSpacing w:val="0"/>
              <w:jc w:val="center"/>
              <w:rPr>
                <w:rFonts w:ascii="Bookman Old Style" w:eastAsia="Bookman Old Style" w:hAnsi="Bookman Old Style" w:cs="Bookman Old Style"/>
                <w:i/>
                <w:sz w:val="20"/>
                <w:szCs w:val="20"/>
                <w:lang w:val="id-ID"/>
              </w:rPr>
            </w:pPr>
            <w:r w:rsidRPr="000E42D9">
              <w:rPr>
                <w:rFonts w:ascii="Bookman Old Style" w:eastAsia="Bookman Old Style" w:hAnsi="Bookman Old Style" w:cs="Bookman Old Style"/>
                <w:i/>
                <w:sz w:val="20"/>
                <w:szCs w:val="20"/>
                <w:lang w:val="id-ID"/>
              </w:rPr>
              <w:t>3</w:t>
            </w:r>
          </w:p>
        </w:tc>
        <w:tc>
          <w:tcPr>
            <w:tcW w:w="0" w:type="auto"/>
            <w:shd w:val="clear" w:color="auto" w:fill="auto"/>
            <w:vAlign w:val="center"/>
          </w:tcPr>
          <w:p w14:paraId="3C2DD97B" w14:textId="77777777" w:rsidR="003C3E01" w:rsidRPr="000E42D9" w:rsidRDefault="003C3E01" w:rsidP="0023341C">
            <w:pPr>
              <w:pStyle w:val="ListParagraph"/>
              <w:spacing w:after="0" w:line="276" w:lineRule="auto"/>
              <w:ind w:left="142" w:right="301"/>
              <w:contextualSpacing w:val="0"/>
              <w:jc w:val="center"/>
              <w:rPr>
                <w:rFonts w:ascii="Bookman Old Style" w:eastAsia="Bookman Old Style" w:hAnsi="Bookman Old Style" w:cs="Bookman Old Style"/>
                <w:i/>
                <w:sz w:val="20"/>
                <w:szCs w:val="20"/>
                <w:lang w:val="id-ID"/>
              </w:rPr>
            </w:pPr>
            <w:r w:rsidRPr="000E42D9">
              <w:rPr>
                <w:rFonts w:ascii="Bookman Old Style" w:eastAsia="Bookman Old Style" w:hAnsi="Bookman Old Style" w:cs="Bookman Old Style"/>
                <w:i/>
                <w:sz w:val="20"/>
                <w:szCs w:val="20"/>
                <w:lang w:val="en-US"/>
              </w:rPr>
              <w:t>4=2/3</w:t>
            </w:r>
          </w:p>
        </w:tc>
      </w:tr>
      <w:tr w:rsidR="00C66F56" w:rsidRPr="000E42D9" w14:paraId="156637A4" w14:textId="77777777" w:rsidTr="00327538">
        <w:trPr>
          <w:trHeight w:val="294"/>
        </w:trPr>
        <w:tc>
          <w:tcPr>
            <w:tcW w:w="0" w:type="auto"/>
            <w:shd w:val="clear" w:color="auto" w:fill="auto"/>
            <w:vAlign w:val="center"/>
          </w:tcPr>
          <w:p w14:paraId="1B6523B7" w14:textId="77777777" w:rsidR="00C66F56" w:rsidRPr="000E42D9" w:rsidRDefault="00C66F56" w:rsidP="00C66F56">
            <w:pPr>
              <w:pStyle w:val="ListParagraph"/>
              <w:tabs>
                <w:tab w:val="left" w:pos="929"/>
              </w:tabs>
              <w:spacing w:after="0" w:line="276" w:lineRule="auto"/>
              <w:ind w:left="0"/>
              <w:contextualSpacing w:val="0"/>
              <w:jc w:val="center"/>
              <w:rPr>
                <w:rFonts w:ascii="Bookman Old Style" w:eastAsia="Bookman Old Style" w:hAnsi="Bookman Old Style" w:cs="Bookman Old Style"/>
                <w:sz w:val="20"/>
                <w:szCs w:val="20"/>
                <w:lang w:val="id-ID"/>
              </w:rPr>
            </w:pPr>
            <w:r w:rsidRPr="000E42D9">
              <w:rPr>
                <w:rFonts w:ascii="Bookman Old Style" w:eastAsia="Bookman Old Style" w:hAnsi="Bookman Old Style" w:cs="Bookman Old Style"/>
                <w:sz w:val="20"/>
                <w:szCs w:val="20"/>
                <w:lang w:val="id-ID"/>
              </w:rPr>
              <w:t>2020</w:t>
            </w:r>
          </w:p>
        </w:tc>
        <w:tc>
          <w:tcPr>
            <w:tcW w:w="2452" w:type="dxa"/>
            <w:shd w:val="clear" w:color="auto" w:fill="auto"/>
          </w:tcPr>
          <w:p w14:paraId="1217E33F" w14:textId="6CDA4E19" w:rsidR="00C66F56" w:rsidRPr="000E42D9" w:rsidRDefault="00C66F56" w:rsidP="00C66F56">
            <w:pPr>
              <w:pStyle w:val="ListParagraph"/>
              <w:tabs>
                <w:tab w:val="left" w:pos="929"/>
              </w:tabs>
              <w:spacing w:after="0" w:line="276" w:lineRule="auto"/>
              <w:ind w:left="0"/>
              <w:contextualSpacing w:val="0"/>
              <w:jc w:val="right"/>
              <w:rPr>
                <w:rFonts w:ascii="Bookman Old Style" w:eastAsia="Bookman Old Style" w:hAnsi="Bookman Old Style" w:cs="Bookman Old Style"/>
                <w:sz w:val="20"/>
                <w:szCs w:val="20"/>
                <w:lang w:val="id-ID"/>
              </w:rPr>
            </w:pPr>
            <w:r w:rsidRPr="000E42D9">
              <w:rPr>
                <w:rFonts w:ascii="Bookman Old Style" w:eastAsia="Bookman Old Style" w:hAnsi="Bookman Old Style" w:cs="Bookman Old Style"/>
                <w:sz w:val="20"/>
                <w:szCs w:val="20"/>
                <w:lang w:val="id-ID"/>
              </w:rPr>
              <w:t>1.649.002.723.454,00</w:t>
            </w:r>
          </w:p>
        </w:tc>
        <w:tc>
          <w:tcPr>
            <w:tcW w:w="2622" w:type="dxa"/>
            <w:shd w:val="clear" w:color="auto" w:fill="auto"/>
          </w:tcPr>
          <w:p w14:paraId="3975B178" w14:textId="42227C3A" w:rsidR="00C66F56" w:rsidRPr="000E42D9" w:rsidRDefault="00C66F56" w:rsidP="00C66F56">
            <w:pPr>
              <w:pStyle w:val="ListParagraph"/>
              <w:tabs>
                <w:tab w:val="left" w:pos="929"/>
              </w:tabs>
              <w:spacing w:after="0" w:line="276" w:lineRule="auto"/>
              <w:ind w:left="0"/>
              <w:contextualSpacing w:val="0"/>
              <w:jc w:val="right"/>
              <w:rPr>
                <w:rFonts w:ascii="Bookman Old Style" w:eastAsia="Bookman Old Style" w:hAnsi="Bookman Old Style" w:cs="Bookman Old Style"/>
                <w:sz w:val="20"/>
                <w:szCs w:val="20"/>
                <w:lang w:val="id-ID"/>
              </w:rPr>
            </w:pPr>
            <w:r w:rsidRPr="000E42D9">
              <w:rPr>
                <w:rFonts w:ascii="Bookman Old Style" w:eastAsia="Bookman Old Style" w:hAnsi="Bookman Old Style" w:cs="Bookman Old Style"/>
                <w:sz w:val="20"/>
                <w:szCs w:val="20"/>
                <w:lang w:val="id-ID"/>
              </w:rPr>
              <w:t>3.648.663.446.803,00</w:t>
            </w:r>
          </w:p>
        </w:tc>
        <w:tc>
          <w:tcPr>
            <w:tcW w:w="0" w:type="auto"/>
            <w:shd w:val="clear" w:color="auto" w:fill="auto"/>
          </w:tcPr>
          <w:p w14:paraId="73260A4E" w14:textId="0DAABCF6" w:rsidR="00C66F56" w:rsidRPr="000E42D9" w:rsidRDefault="00C66F56" w:rsidP="00C66F56">
            <w:pPr>
              <w:pStyle w:val="ListParagraph"/>
              <w:tabs>
                <w:tab w:val="left" w:pos="929"/>
              </w:tabs>
              <w:spacing w:after="0" w:line="276" w:lineRule="auto"/>
              <w:ind w:left="142" w:right="301"/>
              <w:contextualSpacing w:val="0"/>
              <w:jc w:val="center"/>
              <w:rPr>
                <w:rFonts w:ascii="Bookman Old Style" w:eastAsia="Bookman Old Style" w:hAnsi="Bookman Old Style" w:cs="Bookman Old Style"/>
                <w:sz w:val="20"/>
                <w:szCs w:val="20"/>
                <w:lang w:val="id-ID"/>
              </w:rPr>
            </w:pPr>
            <w:r w:rsidRPr="000E42D9">
              <w:rPr>
                <w:rFonts w:ascii="Bookman Old Style" w:eastAsia="Bookman Old Style" w:hAnsi="Bookman Old Style" w:cs="Bookman Old Style"/>
                <w:sz w:val="20"/>
                <w:szCs w:val="20"/>
                <w:lang w:val="id-ID"/>
              </w:rPr>
              <w:t>45,19</w:t>
            </w:r>
          </w:p>
        </w:tc>
      </w:tr>
      <w:tr w:rsidR="00C66F56" w:rsidRPr="000E42D9" w14:paraId="6E17E359" w14:textId="77777777" w:rsidTr="00327538">
        <w:trPr>
          <w:trHeight w:val="269"/>
        </w:trPr>
        <w:tc>
          <w:tcPr>
            <w:tcW w:w="0" w:type="auto"/>
            <w:shd w:val="clear" w:color="auto" w:fill="auto"/>
            <w:vAlign w:val="center"/>
          </w:tcPr>
          <w:p w14:paraId="0D71583C" w14:textId="77777777" w:rsidR="00C66F56" w:rsidRPr="000E42D9" w:rsidRDefault="00C66F56" w:rsidP="00C66F56">
            <w:pPr>
              <w:pStyle w:val="ListParagraph"/>
              <w:tabs>
                <w:tab w:val="left" w:pos="929"/>
              </w:tabs>
              <w:spacing w:after="0" w:line="276" w:lineRule="auto"/>
              <w:ind w:left="0"/>
              <w:contextualSpacing w:val="0"/>
              <w:jc w:val="center"/>
              <w:rPr>
                <w:rFonts w:ascii="Bookman Old Style" w:eastAsia="Bookman Old Style" w:hAnsi="Bookman Old Style" w:cs="Bookman Old Style"/>
                <w:sz w:val="20"/>
                <w:szCs w:val="20"/>
                <w:lang w:val="id-ID"/>
              </w:rPr>
            </w:pPr>
            <w:r w:rsidRPr="000E42D9">
              <w:rPr>
                <w:rFonts w:ascii="Bookman Old Style" w:eastAsia="Bookman Old Style" w:hAnsi="Bookman Old Style" w:cs="Bookman Old Style"/>
                <w:sz w:val="20"/>
                <w:szCs w:val="20"/>
                <w:lang w:val="id-ID"/>
              </w:rPr>
              <w:t>2021</w:t>
            </w:r>
          </w:p>
        </w:tc>
        <w:tc>
          <w:tcPr>
            <w:tcW w:w="2452" w:type="dxa"/>
            <w:shd w:val="clear" w:color="auto" w:fill="auto"/>
          </w:tcPr>
          <w:p w14:paraId="5052BE7A" w14:textId="66E0542D" w:rsidR="00C66F56" w:rsidRPr="000E42D9" w:rsidRDefault="00C66F56" w:rsidP="00C66F56">
            <w:pPr>
              <w:pStyle w:val="ListParagraph"/>
              <w:tabs>
                <w:tab w:val="left" w:pos="929"/>
              </w:tabs>
              <w:spacing w:after="0" w:line="276" w:lineRule="auto"/>
              <w:ind w:left="0"/>
              <w:contextualSpacing w:val="0"/>
              <w:jc w:val="right"/>
              <w:rPr>
                <w:rFonts w:ascii="Bookman Old Style" w:eastAsia="Bookman Old Style" w:hAnsi="Bookman Old Style" w:cs="Bookman Old Style"/>
                <w:sz w:val="20"/>
                <w:szCs w:val="20"/>
                <w:lang w:val="id-ID"/>
              </w:rPr>
            </w:pPr>
            <w:r w:rsidRPr="000E42D9">
              <w:rPr>
                <w:rFonts w:ascii="Bookman Old Style" w:eastAsia="Bookman Old Style" w:hAnsi="Bookman Old Style" w:cs="Bookman Old Style"/>
                <w:sz w:val="20"/>
                <w:szCs w:val="20"/>
                <w:lang w:val="id-ID"/>
              </w:rPr>
              <w:t>1.869.216.636.383,90</w:t>
            </w:r>
          </w:p>
        </w:tc>
        <w:tc>
          <w:tcPr>
            <w:tcW w:w="2622" w:type="dxa"/>
            <w:shd w:val="clear" w:color="auto" w:fill="auto"/>
          </w:tcPr>
          <w:p w14:paraId="11622F81" w14:textId="6E7A1A79" w:rsidR="00C66F56" w:rsidRPr="000E42D9" w:rsidRDefault="00C66F56" w:rsidP="00C66F56">
            <w:pPr>
              <w:pStyle w:val="ListParagraph"/>
              <w:tabs>
                <w:tab w:val="left" w:pos="929"/>
              </w:tabs>
              <w:spacing w:after="0" w:line="276" w:lineRule="auto"/>
              <w:ind w:left="0"/>
              <w:contextualSpacing w:val="0"/>
              <w:jc w:val="right"/>
              <w:rPr>
                <w:rFonts w:ascii="Bookman Old Style" w:eastAsia="Bookman Old Style" w:hAnsi="Bookman Old Style" w:cs="Bookman Old Style"/>
                <w:sz w:val="20"/>
                <w:szCs w:val="20"/>
                <w:lang w:val="id-ID"/>
              </w:rPr>
            </w:pPr>
            <w:r w:rsidRPr="000E42D9">
              <w:rPr>
                <w:rFonts w:ascii="Bookman Old Style" w:eastAsia="Bookman Old Style" w:hAnsi="Bookman Old Style" w:cs="Bookman Old Style"/>
                <w:sz w:val="20"/>
                <w:szCs w:val="20"/>
                <w:lang w:val="id-ID"/>
              </w:rPr>
              <w:t>4.213.054.524.429,90</w:t>
            </w:r>
          </w:p>
        </w:tc>
        <w:tc>
          <w:tcPr>
            <w:tcW w:w="0" w:type="auto"/>
            <w:shd w:val="clear" w:color="auto" w:fill="auto"/>
          </w:tcPr>
          <w:p w14:paraId="7EC531E4" w14:textId="5948CB10" w:rsidR="00C66F56" w:rsidRPr="000E42D9" w:rsidRDefault="00C66F56" w:rsidP="00C66F56">
            <w:pPr>
              <w:pStyle w:val="ListParagraph"/>
              <w:tabs>
                <w:tab w:val="left" w:pos="929"/>
              </w:tabs>
              <w:spacing w:after="0" w:line="276" w:lineRule="auto"/>
              <w:ind w:left="142" w:right="301"/>
              <w:contextualSpacing w:val="0"/>
              <w:jc w:val="center"/>
              <w:rPr>
                <w:rFonts w:ascii="Bookman Old Style" w:eastAsia="Bookman Old Style" w:hAnsi="Bookman Old Style" w:cs="Bookman Old Style"/>
                <w:sz w:val="20"/>
                <w:szCs w:val="20"/>
                <w:lang w:val="id-ID"/>
              </w:rPr>
            </w:pPr>
            <w:r w:rsidRPr="000E42D9">
              <w:rPr>
                <w:rFonts w:ascii="Bookman Old Style" w:eastAsia="Bookman Old Style" w:hAnsi="Bookman Old Style" w:cs="Bookman Old Style"/>
                <w:sz w:val="20"/>
                <w:szCs w:val="20"/>
                <w:lang w:val="id-ID"/>
              </w:rPr>
              <w:t>44,37</w:t>
            </w:r>
          </w:p>
        </w:tc>
      </w:tr>
      <w:tr w:rsidR="00C66F56" w:rsidRPr="000E42D9" w14:paraId="7CCF79CD" w14:textId="77777777" w:rsidTr="00327538">
        <w:trPr>
          <w:trHeight w:val="288"/>
        </w:trPr>
        <w:tc>
          <w:tcPr>
            <w:tcW w:w="0" w:type="auto"/>
            <w:shd w:val="clear" w:color="auto" w:fill="auto"/>
            <w:vAlign w:val="center"/>
          </w:tcPr>
          <w:p w14:paraId="2579C059" w14:textId="77777777" w:rsidR="00C66F56" w:rsidRPr="000E42D9" w:rsidRDefault="00C66F56" w:rsidP="00C66F56">
            <w:pPr>
              <w:pStyle w:val="ListParagraph"/>
              <w:tabs>
                <w:tab w:val="left" w:pos="929"/>
              </w:tabs>
              <w:spacing w:after="0" w:line="276" w:lineRule="auto"/>
              <w:ind w:left="0"/>
              <w:contextualSpacing w:val="0"/>
              <w:jc w:val="center"/>
              <w:rPr>
                <w:rFonts w:ascii="Bookman Old Style" w:eastAsia="Bookman Old Style" w:hAnsi="Bookman Old Style" w:cs="Bookman Old Style"/>
                <w:sz w:val="20"/>
                <w:szCs w:val="20"/>
                <w:lang w:val="id-ID"/>
              </w:rPr>
            </w:pPr>
            <w:r w:rsidRPr="000E42D9">
              <w:rPr>
                <w:rFonts w:ascii="Bookman Old Style" w:eastAsia="Bookman Old Style" w:hAnsi="Bookman Old Style" w:cs="Bookman Old Style"/>
                <w:sz w:val="20"/>
                <w:szCs w:val="20"/>
                <w:lang w:val="id-ID"/>
              </w:rPr>
              <w:t>2022</w:t>
            </w:r>
          </w:p>
        </w:tc>
        <w:tc>
          <w:tcPr>
            <w:tcW w:w="2452" w:type="dxa"/>
            <w:shd w:val="clear" w:color="auto" w:fill="auto"/>
          </w:tcPr>
          <w:p w14:paraId="4AD4E947" w14:textId="019FAC5E" w:rsidR="00C66F56" w:rsidRPr="000E42D9" w:rsidRDefault="00C66F56" w:rsidP="00C66F56">
            <w:pPr>
              <w:pStyle w:val="ListParagraph"/>
              <w:tabs>
                <w:tab w:val="left" w:pos="929"/>
              </w:tabs>
              <w:spacing w:after="0" w:line="276" w:lineRule="auto"/>
              <w:ind w:left="0"/>
              <w:contextualSpacing w:val="0"/>
              <w:jc w:val="right"/>
              <w:rPr>
                <w:rFonts w:ascii="Bookman Old Style" w:eastAsia="Bookman Old Style" w:hAnsi="Bookman Old Style" w:cs="Bookman Old Style"/>
                <w:sz w:val="20"/>
                <w:szCs w:val="20"/>
                <w:lang w:val="id-ID"/>
              </w:rPr>
            </w:pPr>
            <w:r w:rsidRPr="000E42D9">
              <w:rPr>
                <w:rFonts w:ascii="Bookman Old Style" w:eastAsia="Bookman Old Style" w:hAnsi="Bookman Old Style" w:cs="Bookman Old Style"/>
                <w:sz w:val="20"/>
                <w:szCs w:val="20"/>
                <w:lang w:val="id-ID"/>
              </w:rPr>
              <w:t>2.012.220.935.351,00</w:t>
            </w:r>
          </w:p>
        </w:tc>
        <w:tc>
          <w:tcPr>
            <w:tcW w:w="2622" w:type="dxa"/>
            <w:shd w:val="clear" w:color="auto" w:fill="auto"/>
          </w:tcPr>
          <w:p w14:paraId="6506258D" w14:textId="6A63390C" w:rsidR="00C66F56" w:rsidRPr="000E42D9" w:rsidRDefault="00C66F56" w:rsidP="00C66F56">
            <w:pPr>
              <w:pStyle w:val="ListParagraph"/>
              <w:tabs>
                <w:tab w:val="left" w:pos="929"/>
              </w:tabs>
              <w:spacing w:after="0" w:line="276" w:lineRule="auto"/>
              <w:ind w:left="0"/>
              <w:contextualSpacing w:val="0"/>
              <w:jc w:val="right"/>
              <w:rPr>
                <w:rFonts w:ascii="Bookman Old Style" w:eastAsia="Bookman Old Style" w:hAnsi="Bookman Old Style" w:cs="Bookman Old Style"/>
                <w:sz w:val="20"/>
                <w:szCs w:val="20"/>
                <w:lang w:val="id-ID"/>
              </w:rPr>
            </w:pPr>
            <w:r w:rsidRPr="000E42D9">
              <w:rPr>
                <w:rFonts w:ascii="Bookman Old Style" w:eastAsia="Bookman Old Style" w:hAnsi="Bookman Old Style" w:cs="Bookman Old Style"/>
                <w:sz w:val="20"/>
                <w:szCs w:val="20"/>
                <w:lang w:val="id-ID"/>
              </w:rPr>
              <w:t>4.274.452.905.169,00</w:t>
            </w:r>
          </w:p>
        </w:tc>
        <w:tc>
          <w:tcPr>
            <w:tcW w:w="0" w:type="auto"/>
            <w:shd w:val="clear" w:color="auto" w:fill="auto"/>
          </w:tcPr>
          <w:p w14:paraId="37DB8D7B" w14:textId="6D0479D1" w:rsidR="00C66F56" w:rsidRPr="000E42D9" w:rsidRDefault="00C66F56" w:rsidP="00C66F56">
            <w:pPr>
              <w:pStyle w:val="ListParagraph"/>
              <w:tabs>
                <w:tab w:val="left" w:pos="929"/>
              </w:tabs>
              <w:spacing w:after="0" w:line="276" w:lineRule="auto"/>
              <w:ind w:left="142" w:right="301"/>
              <w:contextualSpacing w:val="0"/>
              <w:jc w:val="center"/>
              <w:rPr>
                <w:rFonts w:ascii="Bookman Old Style" w:eastAsia="Bookman Old Style" w:hAnsi="Bookman Old Style" w:cs="Bookman Old Style"/>
                <w:sz w:val="20"/>
                <w:szCs w:val="20"/>
                <w:lang w:val="id-ID"/>
              </w:rPr>
            </w:pPr>
            <w:r w:rsidRPr="000E42D9">
              <w:rPr>
                <w:rFonts w:ascii="Bookman Old Style" w:eastAsia="Bookman Old Style" w:hAnsi="Bookman Old Style" w:cs="Bookman Old Style"/>
                <w:sz w:val="20"/>
                <w:szCs w:val="20"/>
                <w:lang w:val="id-ID"/>
              </w:rPr>
              <w:t>47,08</w:t>
            </w:r>
          </w:p>
        </w:tc>
      </w:tr>
      <w:tr w:rsidR="00C66F56" w:rsidRPr="000E42D9" w14:paraId="3DD0AAE6" w14:textId="77777777" w:rsidTr="00327538">
        <w:trPr>
          <w:trHeight w:val="263"/>
        </w:trPr>
        <w:tc>
          <w:tcPr>
            <w:tcW w:w="0" w:type="auto"/>
            <w:shd w:val="clear" w:color="auto" w:fill="auto"/>
            <w:vAlign w:val="center"/>
          </w:tcPr>
          <w:p w14:paraId="3E80B0AC" w14:textId="77777777" w:rsidR="00C66F56" w:rsidRPr="000E42D9" w:rsidRDefault="00C66F56" w:rsidP="00C66F56">
            <w:pPr>
              <w:pStyle w:val="ListParagraph"/>
              <w:tabs>
                <w:tab w:val="left" w:pos="929"/>
              </w:tabs>
              <w:spacing w:after="0" w:line="276" w:lineRule="auto"/>
              <w:ind w:left="0"/>
              <w:contextualSpacing w:val="0"/>
              <w:jc w:val="center"/>
              <w:rPr>
                <w:rFonts w:ascii="Bookman Old Style" w:eastAsia="Bookman Old Style" w:hAnsi="Bookman Old Style" w:cs="Bookman Old Style"/>
                <w:sz w:val="20"/>
                <w:szCs w:val="20"/>
                <w:lang w:val="id-ID"/>
              </w:rPr>
            </w:pPr>
            <w:r w:rsidRPr="000E42D9">
              <w:rPr>
                <w:rFonts w:ascii="Bookman Old Style" w:eastAsia="Bookman Old Style" w:hAnsi="Bookman Old Style" w:cs="Bookman Old Style"/>
                <w:sz w:val="20"/>
                <w:szCs w:val="20"/>
                <w:lang w:val="id-ID"/>
              </w:rPr>
              <w:t>2023</w:t>
            </w:r>
          </w:p>
        </w:tc>
        <w:tc>
          <w:tcPr>
            <w:tcW w:w="2452" w:type="dxa"/>
            <w:shd w:val="clear" w:color="auto" w:fill="auto"/>
          </w:tcPr>
          <w:p w14:paraId="6A06926B" w14:textId="38892D42" w:rsidR="00C66F56" w:rsidRPr="000E42D9" w:rsidRDefault="00C66F56" w:rsidP="00C66F56">
            <w:pPr>
              <w:pStyle w:val="ListParagraph"/>
              <w:tabs>
                <w:tab w:val="left" w:pos="929"/>
              </w:tabs>
              <w:spacing w:after="0" w:line="276" w:lineRule="auto"/>
              <w:ind w:left="0"/>
              <w:contextualSpacing w:val="0"/>
              <w:jc w:val="right"/>
              <w:rPr>
                <w:rFonts w:ascii="Bookman Old Style" w:eastAsia="Bookman Old Style" w:hAnsi="Bookman Old Style" w:cs="Bookman Old Style"/>
                <w:sz w:val="20"/>
                <w:szCs w:val="20"/>
                <w:lang w:val="id-ID"/>
              </w:rPr>
            </w:pPr>
            <w:r w:rsidRPr="000E42D9">
              <w:rPr>
                <w:rFonts w:ascii="Bookman Old Style" w:eastAsia="Bookman Old Style" w:hAnsi="Bookman Old Style" w:cs="Bookman Old Style"/>
                <w:sz w:val="20"/>
                <w:szCs w:val="20"/>
                <w:lang w:val="id-ID"/>
              </w:rPr>
              <w:t>2.271.392.858.607,00</w:t>
            </w:r>
          </w:p>
        </w:tc>
        <w:tc>
          <w:tcPr>
            <w:tcW w:w="2622" w:type="dxa"/>
            <w:shd w:val="clear" w:color="auto" w:fill="auto"/>
          </w:tcPr>
          <w:p w14:paraId="192C0E35" w14:textId="0CA9E149" w:rsidR="00C66F56" w:rsidRPr="000E42D9" w:rsidRDefault="00C66F56" w:rsidP="00C66F56">
            <w:pPr>
              <w:pStyle w:val="ListParagraph"/>
              <w:tabs>
                <w:tab w:val="left" w:pos="929"/>
              </w:tabs>
              <w:spacing w:after="0" w:line="276" w:lineRule="auto"/>
              <w:ind w:left="0"/>
              <w:contextualSpacing w:val="0"/>
              <w:jc w:val="right"/>
              <w:rPr>
                <w:rFonts w:ascii="Bookman Old Style" w:eastAsia="Bookman Old Style" w:hAnsi="Bookman Old Style" w:cs="Bookman Old Style"/>
                <w:sz w:val="20"/>
                <w:szCs w:val="20"/>
                <w:lang w:val="id-ID"/>
              </w:rPr>
            </w:pPr>
            <w:r w:rsidRPr="000E42D9">
              <w:rPr>
                <w:rFonts w:ascii="Bookman Old Style" w:eastAsia="Bookman Old Style" w:hAnsi="Bookman Old Style" w:cs="Bookman Old Style"/>
                <w:sz w:val="20"/>
                <w:szCs w:val="20"/>
                <w:lang w:val="id-ID"/>
              </w:rPr>
              <w:t>4.691.252.495.432,00</w:t>
            </w:r>
          </w:p>
        </w:tc>
        <w:tc>
          <w:tcPr>
            <w:tcW w:w="0" w:type="auto"/>
            <w:shd w:val="clear" w:color="auto" w:fill="auto"/>
          </w:tcPr>
          <w:p w14:paraId="4A29B9FB" w14:textId="323D3F82" w:rsidR="00C66F56" w:rsidRPr="000E42D9" w:rsidRDefault="00C66F56" w:rsidP="00C66F56">
            <w:pPr>
              <w:pStyle w:val="ListParagraph"/>
              <w:tabs>
                <w:tab w:val="left" w:pos="929"/>
              </w:tabs>
              <w:spacing w:after="0" w:line="276" w:lineRule="auto"/>
              <w:ind w:left="142" w:right="301"/>
              <w:contextualSpacing w:val="0"/>
              <w:jc w:val="center"/>
              <w:rPr>
                <w:rFonts w:ascii="Bookman Old Style" w:eastAsia="Bookman Old Style" w:hAnsi="Bookman Old Style" w:cs="Bookman Old Style"/>
                <w:sz w:val="20"/>
                <w:szCs w:val="20"/>
                <w:lang w:val="id-ID"/>
              </w:rPr>
            </w:pPr>
            <w:r w:rsidRPr="000E42D9">
              <w:rPr>
                <w:rFonts w:ascii="Bookman Old Style" w:eastAsia="Bookman Old Style" w:hAnsi="Bookman Old Style" w:cs="Bookman Old Style"/>
                <w:sz w:val="20"/>
                <w:szCs w:val="20"/>
                <w:lang w:val="id-ID"/>
              </w:rPr>
              <w:t>48,42</w:t>
            </w:r>
          </w:p>
        </w:tc>
      </w:tr>
      <w:tr w:rsidR="00C66F56" w:rsidRPr="000E42D9" w14:paraId="09F892E9" w14:textId="77777777" w:rsidTr="00327538">
        <w:trPr>
          <w:trHeight w:val="282"/>
        </w:trPr>
        <w:tc>
          <w:tcPr>
            <w:tcW w:w="0" w:type="auto"/>
            <w:shd w:val="clear" w:color="auto" w:fill="auto"/>
            <w:vAlign w:val="center"/>
          </w:tcPr>
          <w:p w14:paraId="093915CC" w14:textId="77777777" w:rsidR="00C66F56" w:rsidRPr="000E42D9" w:rsidRDefault="00C66F56" w:rsidP="00C66F56">
            <w:pPr>
              <w:pStyle w:val="ListParagraph"/>
              <w:tabs>
                <w:tab w:val="left" w:pos="929"/>
              </w:tabs>
              <w:spacing w:after="0" w:line="276" w:lineRule="auto"/>
              <w:ind w:left="0"/>
              <w:contextualSpacing w:val="0"/>
              <w:jc w:val="center"/>
              <w:rPr>
                <w:rFonts w:ascii="Bookman Old Style" w:eastAsia="Bookman Old Style" w:hAnsi="Bookman Old Style" w:cs="Bookman Old Style"/>
                <w:sz w:val="20"/>
                <w:szCs w:val="20"/>
                <w:lang w:val="en-US"/>
              </w:rPr>
            </w:pPr>
            <w:r w:rsidRPr="000E42D9">
              <w:rPr>
                <w:rFonts w:ascii="Bookman Old Style" w:eastAsia="Bookman Old Style" w:hAnsi="Bookman Old Style" w:cs="Bookman Old Style"/>
                <w:sz w:val="20"/>
                <w:szCs w:val="20"/>
                <w:lang w:val="id-ID"/>
              </w:rPr>
              <w:t>2024</w:t>
            </w:r>
          </w:p>
        </w:tc>
        <w:tc>
          <w:tcPr>
            <w:tcW w:w="2452" w:type="dxa"/>
            <w:shd w:val="clear" w:color="auto" w:fill="auto"/>
          </w:tcPr>
          <w:p w14:paraId="6E05D739" w14:textId="6A31566F" w:rsidR="00C66F56" w:rsidRPr="000E42D9" w:rsidRDefault="00C66F56" w:rsidP="00C66F56">
            <w:pPr>
              <w:pStyle w:val="ListParagraph"/>
              <w:tabs>
                <w:tab w:val="left" w:pos="929"/>
              </w:tabs>
              <w:spacing w:after="0" w:line="276" w:lineRule="auto"/>
              <w:ind w:left="0"/>
              <w:contextualSpacing w:val="0"/>
              <w:jc w:val="right"/>
              <w:rPr>
                <w:rFonts w:ascii="Bookman Old Style" w:eastAsia="Bookman Old Style" w:hAnsi="Bookman Old Style" w:cs="Bookman Old Style"/>
                <w:sz w:val="20"/>
                <w:szCs w:val="20"/>
                <w:lang w:val="id-ID"/>
              </w:rPr>
            </w:pPr>
            <w:bookmarkStart w:id="20" w:name="_Hlk184719811"/>
            <w:r w:rsidRPr="000E42D9">
              <w:rPr>
                <w:rFonts w:ascii="Bookman Old Style" w:eastAsia="Bookman Old Style" w:hAnsi="Bookman Old Style" w:cs="Bookman Old Style"/>
                <w:sz w:val="20"/>
                <w:szCs w:val="20"/>
                <w:lang w:val="id-ID"/>
              </w:rPr>
              <w:t>2.322.139.951.331,00</w:t>
            </w:r>
            <w:bookmarkEnd w:id="20"/>
          </w:p>
        </w:tc>
        <w:tc>
          <w:tcPr>
            <w:tcW w:w="2622" w:type="dxa"/>
            <w:shd w:val="clear" w:color="auto" w:fill="auto"/>
          </w:tcPr>
          <w:p w14:paraId="711E94AC" w14:textId="52876893" w:rsidR="00C66F56" w:rsidRPr="000E42D9" w:rsidRDefault="00C66F56" w:rsidP="00C66F56">
            <w:pPr>
              <w:pStyle w:val="ListParagraph"/>
              <w:tabs>
                <w:tab w:val="left" w:pos="929"/>
              </w:tabs>
              <w:spacing w:after="0" w:line="276" w:lineRule="auto"/>
              <w:ind w:left="0"/>
              <w:contextualSpacing w:val="0"/>
              <w:jc w:val="right"/>
              <w:rPr>
                <w:rFonts w:ascii="Bookman Old Style" w:eastAsia="Bookman Old Style" w:hAnsi="Bookman Old Style" w:cs="Bookman Old Style"/>
                <w:sz w:val="20"/>
                <w:szCs w:val="20"/>
                <w:lang w:val="id-ID"/>
              </w:rPr>
            </w:pPr>
            <w:r w:rsidRPr="000E42D9">
              <w:rPr>
                <w:rFonts w:ascii="Bookman Old Style" w:eastAsia="Bookman Old Style" w:hAnsi="Bookman Old Style" w:cs="Bookman Old Style"/>
                <w:sz w:val="20"/>
                <w:szCs w:val="20"/>
                <w:lang w:val="en-GB"/>
              </w:rPr>
              <w:t>4.867.331.379.086,00</w:t>
            </w:r>
          </w:p>
        </w:tc>
        <w:tc>
          <w:tcPr>
            <w:tcW w:w="0" w:type="auto"/>
            <w:shd w:val="clear" w:color="auto" w:fill="auto"/>
          </w:tcPr>
          <w:p w14:paraId="3D3A8B23" w14:textId="036B33BB" w:rsidR="00C66F56" w:rsidRPr="000E42D9" w:rsidRDefault="00C66F56" w:rsidP="00C66F56">
            <w:pPr>
              <w:pStyle w:val="ListParagraph"/>
              <w:tabs>
                <w:tab w:val="left" w:pos="929"/>
              </w:tabs>
              <w:spacing w:after="0" w:line="276" w:lineRule="auto"/>
              <w:ind w:left="142" w:right="301"/>
              <w:contextualSpacing w:val="0"/>
              <w:jc w:val="center"/>
              <w:rPr>
                <w:rFonts w:ascii="Bookman Old Style" w:eastAsia="Bookman Old Style" w:hAnsi="Bookman Old Style" w:cs="Bookman Old Style"/>
                <w:sz w:val="20"/>
                <w:szCs w:val="20"/>
                <w:lang w:val="id-ID"/>
              </w:rPr>
            </w:pPr>
            <w:r w:rsidRPr="000E42D9">
              <w:rPr>
                <w:rFonts w:ascii="Bookman Old Style" w:eastAsia="Bookman Old Style" w:hAnsi="Bookman Old Style" w:cs="Bookman Old Style"/>
                <w:sz w:val="20"/>
                <w:szCs w:val="20"/>
                <w:lang w:val="id-ID"/>
              </w:rPr>
              <w:t>47,70</w:t>
            </w:r>
          </w:p>
        </w:tc>
      </w:tr>
      <w:tr w:rsidR="00C66F56" w:rsidRPr="000E42D9" w14:paraId="5B40CD9E" w14:textId="77777777" w:rsidTr="00327538">
        <w:trPr>
          <w:trHeight w:val="282"/>
        </w:trPr>
        <w:tc>
          <w:tcPr>
            <w:tcW w:w="0" w:type="auto"/>
            <w:shd w:val="clear" w:color="auto" w:fill="auto"/>
            <w:vAlign w:val="center"/>
          </w:tcPr>
          <w:p w14:paraId="7E7BD3C9" w14:textId="6003A3FB" w:rsidR="00C66F56" w:rsidRPr="000E42D9" w:rsidRDefault="00C66F56" w:rsidP="00C66F56">
            <w:pPr>
              <w:pStyle w:val="ListParagraph"/>
              <w:tabs>
                <w:tab w:val="left" w:pos="929"/>
              </w:tabs>
              <w:spacing w:after="0" w:line="276" w:lineRule="auto"/>
              <w:ind w:left="0"/>
              <w:contextualSpacing w:val="0"/>
              <w:jc w:val="center"/>
              <w:rPr>
                <w:rFonts w:ascii="Bookman Old Style" w:eastAsia="Bookman Old Style" w:hAnsi="Bookman Old Style" w:cs="Bookman Old Style"/>
                <w:sz w:val="20"/>
                <w:szCs w:val="20"/>
                <w:lang w:val="id-ID"/>
              </w:rPr>
            </w:pPr>
            <w:r w:rsidRPr="000E42D9">
              <w:rPr>
                <w:rFonts w:ascii="Bookman Old Style" w:eastAsia="Bookman Old Style" w:hAnsi="Bookman Old Style" w:cs="Bookman Old Style"/>
                <w:sz w:val="20"/>
                <w:szCs w:val="20"/>
                <w:lang w:val="id-ID"/>
              </w:rPr>
              <w:t>2025</w:t>
            </w:r>
          </w:p>
        </w:tc>
        <w:tc>
          <w:tcPr>
            <w:tcW w:w="2452" w:type="dxa"/>
            <w:shd w:val="clear" w:color="auto" w:fill="auto"/>
          </w:tcPr>
          <w:p w14:paraId="6F78AEFE" w14:textId="752390B5" w:rsidR="00C66F56" w:rsidRPr="000E42D9" w:rsidRDefault="00F47D25" w:rsidP="00C66F56">
            <w:pPr>
              <w:jc w:val="right"/>
              <w:rPr>
                <w:rFonts w:ascii="Bookman Old Style" w:hAnsi="Bookman Old Style" w:cs="Calibri"/>
                <w:color w:val="000000"/>
                <w:sz w:val="20"/>
                <w:szCs w:val="20"/>
              </w:rPr>
            </w:pPr>
            <w:r w:rsidRPr="00F47D25">
              <w:rPr>
                <w:rFonts w:ascii="Bookman Old Style" w:eastAsia="Bookman Old Style" w:hAnsi="Bookman Old Style" w:cs="Bookman Old Style"/>
                <w:sz w:val="20"/>
                <w:szCs w:val="20"/>
                <w:lang w:val="id-ID"/>
              </w:rPr>
              <w:t>3.042.853.105.436,00</w:t>
            </w:r>
          </w:p>
        </w:tc>
        <w:tc>
          <w:tcPr>
            <w:tcW w:w="2622" w:type="dxa"/>
            <w:shd w:val="clear" w:color="auto" w:fill="auto"/>
          </w:tcPr>
          <w:p w14:paraId="03DE328C" w14:textId="67E7376C" w:rsidR="00C66F56" w:rsidRPr="000E42D9" w:rsidRDefault="00F47D25" w:rsidP="00C66F56">
            <w:pPr>
              <w:jc w:val="right"/>
              <w:rPr>
                <w:rFonts w:ascii="Bookman Old Style" w:hAnsi="Bookman Old Style" w:cs="Calibri"/>
                <w:color w:val="000000"/>
                <w:sz w:val="20"/>
                <w:szCs w:val="20"/>
              </w:rPr>
            </w:pPr>
            <w:r w:rsidRPr="00F47D25">
              <w:rPr>
                <w:rFonts w:ascii="Bookman Old Style" w:eastAsia="Bookman Old Style" w:hAnsi="Bookman Old Style" w:cs="Bookman Old Style"/>
                <w:sz w:val="20"/>
                <w:szCs w:val="20"/>
                <w:lang w:val="id-ID"/>
              </w:rPr>
              <w:t>5.305.810.729.910,00</w:t>
            </w:r>
          </w:p>
        </w:tc>
        <w:tc>
          <w:tcPr>
            <w:tcW w:w="0" w:type="auto"/>
            <w:shd w:val="clear" w:color="auto" w:fill="auto"/>
          </w:tcPr>
          <w:p w14:paraId="7E45EA77" w14:textId="2E2814A9" w:rsidR="00C66F56" w:rsidRPr="000E42D9" w:rsidRDefault="00F47D25" w:rsidP="00C66F56">
            <w:pPr>
              <w:pStyle w:val="ListParagraph"/>
              <w:tabs>
                <w:tab w:val="left" w:pos="929"/>
              </w:tabs>
              <w:spacing w:after="0" w:line="276" w:lineRule="auto"/>
              <w:ind w:left="142" w:right="301"/>
              <w:contextualSpacing w:val="0"/>
              <w:jc w:val="center"/>
              <w:rPr>
                <w:rFonts w:ascii="Bookman Old Style" w:eastAsia="Bookman Old Style" w:hAnsi="Bookman Old Style" w:cs="Bookman Old Style"/>
                <w:sz w:val="20"/>
                <w:szCs w:val="20"/>
                <w:lang w:val="id-ID"/>
              </w:rPr>
            </w:pPr>
            <w:r w:rsidRPr="00F47D25">
              <w:rPr>
                <w:rFonts w:ascii="Bookman Old Style" w:eastAsia="Bookman Old Style" w:hAnsi="Bookman Old Style" w:cs="Bookman Old Style"/>
                <w:sz w:val="20"/>
                <w:szCs w:val="20"/>
                <w:lang w:val="id-ID"/>
              </w:rPr>
              <w:t>57,35</w:t>
            </w:r>
          </w:p>
        </w:tc>
      </w:tr>
    </w:tbl>
    <w:p w14:paraId="2028BC47" w14:textId="6E206832" w:rsidR="003C3E01" w:rsidRPr="003255BC" w:rsidRDefault="003C3E01" w:rsidP="003C3E01">
      <w:pPr>
        <w:pStyle w:val="ListParagraph"/>
        <w:spacing w:before="120" w:after="0" w:line="276" w:lineRule="auto"/>
        <w:ind w:left="1287"/>
        <w:contextualSpacing w:val="0"/>
        <w:jc w:val="both"/>
        <w:rPr>
          <w:rFonts w:ascii="Bookman Old Style" w:hAnsi="Bookman Old Style" w:cs="Arial"/>
          <w:sz w:val="24"/>
          <w:szCs w:val="24"/>
          <w:lang w:val="sv-FI"/>
        </w:rPr>
      </w:pPr>
      <w:r w:rsidRPr="003255BC">
        <w:rPr>
          <w:rFonts w:ascii="Bookman Old Style" w:hAnsi="Bookman Old Style" w:cs="Arial"/>
          <w:sz w:val="24"/>
          <w:szCs w:val="24"/>
          <w:lang w:val="sv-FI"/>
        </w:rPr>
        <w:t>Semakin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tinggi</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kontribusi</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PAD</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maka</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semakin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tinggi</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kemampuan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pemerintah</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daerah</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dalam</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penyelenggaraan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desentralisasi.</w:t>
      </w:r>
    </w:p>
    <w:p w14:paraId="55CBBC25" w14:textId="2A9E6081" w:rsidR="003C3E01" w:rsidRPr="000E42D9" w:rsidRDefault="003C3E01" w:rsidP="003C3E01">
      <w:pPr>
        <w:pStyle w:val="ListParagraph"/>
        <w:spacing w:before="60" w:after="0" w:line="276" w:lineRule="auto"/>
        <w:ind w:left="1287"/>
        <w:contextualSpacing w:val="0"/>
        <w:jc w:val="both"/>
        <w:rPr>
          <w:rFonts w:ascii="Bookman Old Style" w:hAnsi="Bookman Old Style"/>
          <w:sz w:val="24"/>
          <w:szCs w:val="24"/>
          <w:lang w:val="sv-FI"/>
        </w:rPr>
      </w:pPr>
      <w:r w:rsidRPr="000E42D9">
        <w:rPr>
          <w:rFonts w:ascii="Bookman Old Style" w:hAnsi="Bookman Old Style" w:cs="Arial"/>
          <w:sz w:val="24"/>
          <w:szCs w:val="24"/>
          <w:lang w:val="id-ID"/>
        </w:rPr>
        <w:t>Selain</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itu,</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Pemerintah</w:t>
      </w:r>
      <w:r w:rsidR="00A954D0">
        <w:rPr>
          <w:rFonts w:ascii="Bookman Old Style" w:hAnsi="Bookman Old Style" w:cs="Arial"/>
          <w:sz w:val="24"/>
          <w:szCs w:val="24"/>
          <w:lang w:val="id-ID"/>
        </w:rPr>
        <w:t xml:space="preserve"> </w:t>
      </w:r>
      <w:r w:rsidRPr="000E42D9">
        <w:rPr>
          <w:rFonts w:ascii="Bookman Old Style" w:hAnsi="Bookman Old Style" w:cs="Arial"/>
          <w:sz w:val="24"/>
          <w:szCs w:val="24"/>
        </w:rPr>
        <w:t>Daerah</w:t>
      </w:r>
      <w:r w:rsidR="00A954D0">
        <w:rPr>
          <w:rFonts w:ascii="Bookman Old Style" w:hAnsi="Bookman Old Style" w:cs="Arial"/>
          <w:sz w:val="24"/>
          <w:szCs w:val="24"/>
        </w:rPr>
        <w:t xml:space="preserve"> </w:t>
      </w:r>
      <w:r w:rsidRPr="003255BC">
        <w:rPr>
          <w:rFonts w:ascii="Bookman Old Style" w:hAnsi="Bookman Old Style"/>
          <w:sz w:val="24"/>
          <w:szCs w:val="24"/>
          <w:lang w:val="sv-FI"/>
        </w:rPr>
        <w:t>Kota</w:t>
      </w:r>
      <w:r w:rsidR="00A954D0" w:rsidRPr="003255BC">
        <w:rPr>
          <w:rFonts w:ascii="Bookman Old Style" w:hAnsi="Bookman Old Style"/>
          <w:sz w:val="24"/>
          <w:szCs w:val="24"/>
          <w:lang w:val="sv-FI"/>
        </w:rPr>
        <w:t xml:space="preserve"> </w:t>
      </w:r>
      <w:r w:rsidR="00770F22" w:rsidRPr="003255BC">
        <w:rPr>
          <w:rFonts w:ascii="Bookman Old Style" w:hAnsi="Bookman Old Style"/>
          <w:sz w:val="24"/>
          <w:szCs w:val="24"/>
          <w:lang w:val="sv-FI"/>
        </w:rPr>
        <w:t>Tangerang</w:t>
      </w:r>
      <w:r w:rsidR="00A954D0" w:rsidRPr="003255BC">
        <w:rPr>
          <w:rFonts w:ascii="Bookman Old Style" w:hAnsi="Bookman Old Style"/>
          <w:sz w:val="24"/>
          <w:szCs w:val="24"/>
          <w:lang w:val="sv-FI"/>
        </w:rPr>
        <w:t xml:space="preserve"> </w:t>
      </w:r>
      <w:r w:rsidRPr="000E42D9">
        <w:rPr>
          <w:rFonts w:ascii="Bookman Old Style" w:hAnsi="Bookman Old Style" w:cs="Arial"/>
          <w:sz w:val="24"/>
          <w:szCs w:val="24"/>
          <w:lang w:val="id-ID"/>
        </w:rPr>
        <w:t>dalam</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menetapkan</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target</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PAD</w:t>
      </w:r>
      <w:r w:rsidR="00A954D0">
        <w:rPr>
          <w:rFonts w:ascii="Bookman Old Style" w:hAnsi="Bookman Old Style" w:cs="Arial"/>
          <w:sz w:val="24"/>
          <w:szCs w:val="24"/>
          <w:lang w:val="id-ID"/>
        </w:rPr>
        <w:t xml:space="preserve"> </w:t>
      </w:r>
      <w:r w:rsidRPr="000E42D9">
        <w:rPr>
          <w:rFonts w:ascii="Bookman Old Style" w:hAnsi="Bookman Old Style"/>
          <w:sz w:val="24"/>
          <w:szCs w:val="24"/>
        </w:rPr>
        <w:t>dalam</w:t>
      </w:r>
      <w:r w:rsidR="00A954D0">
        <w:rPr>
          <w:rFonts w:ascii="Bookman Old Style" w:hAnsi="Bookman Old Style"/>
          <w:sz w:val="24"/>
          <w:szCs w:val="24"/>
        </w:rPr>
        <w:t xml:space="preserve"> </w:t>
      </w:r>
      <w:r w:rsidRPr="000E42D9">
        <w:rPr>
          <w:rFonts w:ascii="Bookman Old Style" w:hAnsi="Bookman Old Style"/>
          <w:sz w:val="24"/>
          <w:szCs w:val="24"/>
        </w:rPr>
        <w:t>Rancangan</w:t>
      </w:r>
      <w:r w:rsidR="00A954D0">
        <w:rPr>
          <w:rFonts w:ascii="Bookman Old Style" w:hAnsi="Bookman Old Style"/>
          <w:sz w:val="24"/>
          <w:szCs w:val="24"/>
        </w:rPr>
        <w:t xml:space="preserve"> </w:t>
      </w:r>
      <w:r w:rsidRPr="000E42D9">
        <w:rPr>
          <w:rFonts w:ascii="Bookman Old Style" w:hAnsi="Bookman Old Style"/>
          <w:sz w:val="24"/>
          <w:szCs w:val="24"/>
        </w:rPr>
        <w:t>Peraturan</w:t>
      </w:r>
      <w:r w:rsidR="00A954D0">
        <w:rPr>
          <w:rFonts w:ascii="Bookman Old Style" w:hAnsi="Bookman Old Style"/>
          <w:sz w:val="24"/>
          <w:szCs w:val="24"/>
        </w:rPr>
        <w:t xml:space="preserve"> </w:t>
      </w:r>
      <w:r w:rsidRPr="000E42D9">
        <w:rPr>
          <w:rFonts w:ascii="Bookman Old Style" w:hAnsi="Bookman Old Style"/>
          <w:sz w:val="24"/>
          <w:szCs w:val="24"/>
        </w:rPr>
        <w:t>Daerah</w:t>
      </w:r>
      <w:r w:rsidR="00A954D0">
        <w:rPr>
          <w:rFonts w:ascii="Bookman Old Style" w:hAnsi="Bookman Old Style"/>
          <w:sz w:val="24"/>
          <w:szCs w:val="24"/>
        </w:rPr>
        <w:t xml:space="preserve"> </w:t>
      </w:r>
      <w:r w:rsidRPr="003255BC">
        <w:rPr>
          <w:rFonts w:ascii="Bookman Old Style" w:hAnsi="Bookman Old Style"/>
          <w:sz w:val="24"/>
          <w:szCs w:val="24"/>
          <w:lang w:val="sv-FI"/>
        </w:rPr>
        <w:t>Kota</w:t>
      </w:r>
      <w:r w:rsidR="00A954D0" w:rsidRPr="003255BC">
        <w:rPr>
          <w:rFonts w:ascii="Bookman Old Style" w:hAnsi="Bookman Old Style"/>
          <w:sz w:val="24"/>
          <w:szCs w:val="24"/>
          <w:lang w:val="sv-FI"/>
        </w:rPr>
        <w:t xml:space="preserve"> </w:t>
      </w:r>
      <w:r w:rsidR="00770F22" w:rsidRPr="003255BC">
        <w:rPr>
          <w:rFonts w:ascii="Bookman Old Style" w:hAnsi="Bookman Old Style"/>
          <w:sz w:val="24"/>
          <w:szCs w:val="24"/>
          <w:lang w:val="sv-FI"/>
        </w:rPr>
        <w:t>Tangerang</w:t>
      </w:r>
      <w:r w:rsidR="00A954D0" w:rsidRPr="003255BC">
        <w:rPr>
          <w:rFonts w:ascii="Bookman Old Style" w:hAnsi="Bookman Old Style"/>
          <w:sz w:val="24"/>
          <w:szCs w:val="24"/>
          <w:lang w:val="sv-FI"/>
        </w:rPr>
        <w:t xml:space="preserve"> </w:t>
      </w:r>
      <w:r w:rsidRPr="000E42D9">
        <w:rPr>
          <w:rFonts w:ascii="Bookman Old Style" w:hAnsi="Bookman Old Style" w:cs="Arial"/>
          <w:sz w:val="24"/>
          <w:szCs w:val="24"/>
        </w:rPr>
        <w:t>tentang</w:t>
      </w:r>
      <w:r w:rsidR="00A954D0">
        <w:rPr>
          <w:rFonts w:ascii="Bookman Old Style" w:hAnsi="Bookman Old Style"/>
          <w:sz w:val="24"/>
          <w:szCs w:val="24"/>
        </w:rPr>
        <w:t xml:space="preserve"> </w:t>
      </w:r>
      <w:r w:rsidRPr="000E42D9">
        <w:rPr>
          <w:rFonts w:ascii="Bookman Old Style" w:hAnsi="Bookman Old Style"/>
          <w:sz w:val="24"/>
          <w:szCs w:val="24"/>
        </w:rPr>
        <w:t>APBD</w:t>
      </w:r>
      <w:r w:rsidR="00A954D0">
        <w:rPr>
          <w:rFonts w:ascii="Bookman Old Style" w:hAnsi="Bookman Old Style"/>
          <w:sz w:val="24"/>
          <w:szCs w:val="24"/>
        </w:rPr>
        <w:t xml:space="preserve"> </w:t>
      </w:r>
      <w:r w:rsidRPr="000E42D9">
        <w:rPr>
          <w:rFonts w:ascii="Bookman Old Style" w:hAnsi="Bookman Old Style"/>
          <w:sz w:val="24"/>
          <w:szCs w:val="24"/>
        </w:rPr>
        <w:t>Tahun</w:t>
      </w:r>
      <w:r w:rsidR="00A954D0">
        <w:rPr>
          <w:rFonts w:ascii="Bookman Old Style" w:hAnsi="Bookman Old Style"/>
          <w:sz w:val="24"/>
          <w:szCs w:val="24"/>
        </w:rPr>
        <w:t xml:space="preserve"> </w:t>
      </w:r>
      <w:r w:rsidRPr="000E42D9">
        <w:rPr>
          <w:rFonts w:ascii="Bookman Old Style" w:hAnsi="Bookman Old Style"/>
          <w:sz w:val="24"/>
          <w:szCs w:val="24"/>
        </w:rPr>
        <w:t>Anggaran</w:t>
      </w:r>
      <w:r w:rsidR="00A954D0">
        <w:rPr>
          <w:rFonts w:ascii="Bookman Old Style" w:hAnsi="Bookman Old Style"/>
          <w:sz w:val="24"/>
          <w:szCs w:val="24"/>
        </w:rPr>
        <w:t xml:space="preserve"> </w:t>
      </w:r>
      <w:r w:rsidRPr="000E42D9">
        <w:rPr>
          <w:rFonts w:ascii="Bookman Old Style" w:hAnsi="Bookman Old Style"/>
          <w:sz w:val="24"/>
          <w:szCs w:val="24"/>
        </w:rPr>
        <w:t>202</w:t>
      </w:r>
      <w:r w:rsidRPr="000E42D9">
        <w:rPr>
          <w:rFonts w:ascii="Bookman Old Style" w:hAnsi="Bookman Old Style"/>
          <w:sz w:val="24"/>
          <w:szCs w:val="24"/>
          <w:lang w:val="id-ID"/>
        </w:rPr>
        <w:t>5</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juga</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memperhatikan</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tren</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realisasi</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PAD</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tahun</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anggaran</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sebelumnya</w:t>
      </w:r>
      <w:r w:rsidR="00A954D0">
        <w:rPr>
          <w:rFonts w:ascii="Bookman Old Style" w:hAnsi="Bookman Old Style"/>
          <w:sz w:val="24"/>
          <w:szCs w:val="24"/>
          <w:lang w:val="sv-FI"/>
        </w:rPr>
        <w:t xml:space="preserve"> </w:t>
      </w:r>
      <w:r w:rsidRPr="000E42D9">
        <w:rPr>
          <w:rFonts w:ascii="Bookman Old Style" w:hAnsi="Bookman Old Style"/>
          <w:sz w:val="24"/>
          <w:szCs w:val="24"/>
          <w:lang w:val="sv-FI"/>
        </w:rPr>
        <w:t>sebagai</w:t>
      </w:r>
      <w:r w:rsidR="00A954D0">
        <w:rPr>
          <w:rFonts w:ascii="Bookman Old Style" w:hAnsi="Bookman Old Style"/>
          <w:sz w:val="24"/>
          <w:szCs w:val="24"/>
          <w:lang w:val="sv-FI"/>
        </w:rPr>
        <w:t xml:space="preserve"> </w:t>
      </w:r>
      <w:r w:rsidRPr="000E42D9">
        <w:rPr>
          <w:rFonts w:ascii="Bookman Old Style" w:hAnsi="Bookman Old Style"/>
          <w:sz w:val="24"/>
          <w:szCs w:val="24"/>
          <w:lang w:val="sv-FI"/>
        </w:rPr>
        <w:t>berikut:</w:t>
      </w:r>
    </w:p>
    <w:p w14:paraId="29E75092" w14:textId="2097BF67" w:rsidR="00AA36F8" w:rsidRPr="000E42D9" w:rsidRDefault="00AA36F8" w:rsidP="00FD6795">
      <w:pPr>
        <w:pStyle w:val="ListParagraph"/>
        <w:numPr>
          <w:ilvl w:val="0"/>
          <w:numId w:val="120"/>
        </w:numPr>
        <w:spacing w:before="60" w:line="276" w:lineRule="auto"/>
        <w:ind w:left="1701" w:hanging="425"/>
        <w:jc w:val="both"/>
        <w:rPr>
          <w:rFonts w:ascii="Bookman Old Style" w:hAnsi="Bookman Old Style"/>
          <w:sz w:val="24"/>
          <w:szCs w:val="24"/>
          <w:lang w:val="id-ID"/>
        </w:rPr>
      </w:pPr>
      <w:r w:rsidRPr="000E42D9">
        <w:rPr>
          <w:rFonts w:ascii="Bookman Old Style" w:hAnsi="Bookman Old Style"/>
          <w:sz w:val="24"/>
          <w:szCs w:val="24"/>
          <w:lang w:val="id-ID"/>
        </w:rPr>
        <w:t>Realisasi</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PAD</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Tahun</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Anggaran</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2024</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sampai</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dengan</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tanggal</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31</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Oktober</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2024</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Rp2.088.803.048.366,00</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atau</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89,95%</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dari</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target</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PAD</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dalam</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Peraturan</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Daerah</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Kota</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Tangerang</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tentang</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APBD</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Tahun</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Anggaran</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2024</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Rp2.322.139.951.331,00;</w:t>
      </w:r>
      <w:r w:rsidR="00A954D0">
        <w:rPr>
          <w:rFonts w:ascii="Bookman Old Style" w:hAnsi="Bookman Old Style"/>
          <w:sz w:val="24"/>
          <w:szCs w:val="24"/>
          <w:lang w:val="id-ID"/>
        </w:rPr>
        <w:t xml:space="preserve"> </w:t>
      </w:r>
    </w:p>
    <w:p w14:paraId="2A0AC509" w14:textId="39696CD3" w:rsidR="00AA36F8" w:rsidRPr="000E42D9" w:rsidRDefault="00AA36F8" w:rsidP="00FD6795">
      <w:pPr>
        <w:pStyle w:val="ListParagraph"/>
        <w:numPr>
          <w:ilvl w:val="0"/>
          <w:numId w:val="120"/>
        </w:numPr>
        <w:spacing w:before="60" w:line="276" w:lineRule="auto"/>
        <w:ind w:left="1701" w:hanging="425"/>
        <w:jc w:val="both"/>
        <w:rPr>
          <w:rFonts w:ascii="Bookman Old Style" w:hAnsi="Bookman Old Style"/>
          <w:sz w:val="24"/>
          <w:szCs w:val="24"/>
          <w:lang w:val="id-ID"/>
        </w:rPr>
      </w:pPr>
      <w:r w:rsidRPr="000E42D9">
        <w:rPr>
          <w:rFonts w:ascii="Bookman Old Style" w:hAnsi="Bookman Old Style"/>
          <w:sz w:val="24"/>
          <w:szCs w:val="24"/>
          <w:lang w:val="id-ID"/>
        </w:rPr>
        <w:t>Realisasi</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PAD</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Tahun</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Anggaran</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2023</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Rp2.202.605.531.310</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atau</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103</w:t>
      </w:r>
      <w:r w:rsidR="00BD2321">
        <w:rPr>
          <w:rFonts w:ascii="Bookman Old Style" w:hAnsi="Bookman Old Style"/>
          <w:sz w:val="24"/>
          <w:szCs w:val="24"/>
          <w:lang w:val="id-ID"/>
        </w:rPr>
        <w:t>,</w:t>
      </w:r>
      <w:r w:rsidRPr="000E42D9">
        <w:rPr>
          <w:rFonts w:ascii="Bookman Old Style" w:hAnsi="Bookman Old Style"/>
          <w:sz w:val="24"/>
          <w:szCs w:val="24"/>
          <w:lang w:val="id-ID"/>
        </w:rPr>
        <w:t>12%</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dari</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target</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PAD</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dalam</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Peraturan</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Daerah</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Kota</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Tangerang</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tentang</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APBD</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Tahun</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Anggaran</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2023</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Rp2.271.392.858.607,00;</w:t>
      </w:r>
      <w:r w:rsidR="00A954D0">
        <w:rPr>
          <w:rFonts w:ascii="Bookman Old Style" w:hAnsi="Bookman Old Style"/>
          <w:sz w:val="24"/>
          <w:szCs w:val="24"/>
          <w:lang w:val="id-ID"/>
        </w:rPr>
        <w:t xml:space="preserve"> </w:t>
      </w:r>
    </w:p>
    <w:p w14:paraId="2F8C5744" w14:textId="5A69A64A" w:rsidR="003C3E01" w:rsidRPr="000E42D9" w:rsidRDefault="00AA36F8" w:rsidP="00FD6795">
      <w:pPr>
        <w:pStyle w:val="ListParagraph"/>
        <w:numPr>
          <w:ilvl w:val="0"/>
          <w:numId w:val="120"/>
        </w:numPr>
        <w:spacing w:before="60" w:after="0" w:line="276" w:lineRule="auto"/>
        <w:ind w:left="1701" w:hanging="425"/>
        <w:contextualSpacing w:val="0"/>
        <w:jc w:val="both"/>
        <w:rPr>
          <w:rFonts w:ascii="Bookman Old Style" w:hAnsi="Bookman Old Style"/>
          <w:sz w:val="24"/>
          <w:szCs w:val="24"/>
          <w:lang w:val="it-IT"/>
        </w:rPr>
      </w:pPr>
      <w:r w:rsidRPr="000E42D9">
        <w:rPr>
          <w:rFonts w:ascii="Bookman Old Style" w:hAnsi="Bookman Old Style"/>
          <w:sz w:val="24"/>
          <w:szCs w:val="24"/>
          <w:lang w:val="id-ID"/>
        </w:rPr>
        <w:t>Realisasi</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PAD</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Tahun</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Anggaran</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2022</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Rp1.869.216.636.383,90</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atau</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102,75%</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dari</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target</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PAD</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dalam</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Peraturan</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Daerah</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Kota</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Tangerang</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tentang</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APBD</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Tahun</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Anggaran</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2022</w:t>
      </w:r>
      <w:r w:rsidR="00A954D0">
        <w:rPr>
          <w:rFonts w:ascii="Bookman Old Style" w:hAnsi="Bookman Old Style"/>
          <w:sz w:val="24"/>
          <w:szCs w:val="24"/>
          <w:lang w:val="id-ID"/>
        </w:rPr>
        <w:t xml:space="preserve"> </w:t>
      </w:r>
      <w:r w:rsidRPr="000E42D9">
        <w:rPr>
          <w:rFonts w:ascii="Bookman Old Style" w:hAnsi="Bookman Old Style"/>
          <w:sz w:val="24"/>
          <w:szCs w:val="24"/>
          <w:lang w:val="id-ID"/>
        </w:rPr>
        <w:t>Rp2.012.220.935.351,00.</w:t>
      </w:r>
    </w:p>
    <w:p w14:paraId="35FCAB8A" w14:textId="6D0B3C47" w:rsidR="003C3E01" w:rsidRPr="000E42D9" w:rsidRDefault="003C3E01" w:rsidP="003C3E01">
      <w:pPr>
        <w:pStyle w:val="ListParagraph"/>
        <w:spacing w:before="60" w:after="0" w:line="276" w:lineRule="auto"/>
        <w:ind w:left="1287"/>
        <w:contextualSpacing w:val="0"/>
        <w:jc w:val="both"/>
        <w:rPr>
          <w:rFonts w:ascii="Bookman Old Style" w:hAnsi="Bookman Old Style"/>
          <w:sz w:val="24"/>
          <w:szCs w:val="24"/>
          <w:lang w:val="sv-FI"/>
        </w:rPr>
      </w:pPr>
      <w:r w:rsidRPr="000E42D9">
        <w:rPr>
          <w:rFonts w:ascii="Bookman Old Style" w:hAnsi="Bookman Old Style"/>
          <w:sz w:val="24"/>
          <w:szCs w:val="24"/>
        </w:rPr>
        <w:t>Berdasarkan</w:t>
      </w:r>
      <w:r w:rsidR="00A954D0">
        <w:rPr>
          <w:rFonts w:ascii="Bookman Old Style" w:hAnsi="Bookman Old Style"/>
          <w:sz w:val="24"/>
          <w:szCs w:val="24"/>
        </w:rPr>
        <w:t xml:space="preserve"> </w:t>
      </w:r>
      <w:r w:rsidRPr="000E42D9">
        <w:rPr>
          <w:rFonts w:ascii="Bookman Old Style" w:hAnsi="Bookman Old Style"/>
          <w:sz w:val="24"/>
          <w:szCs w:val="24"/>
        </w:rPr>
        <w:t>data</w:t>
      </w:r>
      <w:r w:rsidR="00A954D0">
        <w:rPr>
          <w:rFonts w:ascii="Bookman Old Style" w:hAnsi="Bookman Old Style"/>
          <w:sz w:val="24"/>
          <w:szCs w:val="24"/>
        </w:rPr>
        <w:t xml:space="preserve"> </w:t>
      </w:r>
      <w:r w:rsidRPr="000E42D9">
        <w:rPr>
          <w:rFonts w:ascii="Bookman Old Style" w:hAnsi="Bookman Old Style"/>
          <w:sz w:val="24"/>
          <w:szCs w:val="24"/>
        </w:rPr>
        <w:t>tren</w:t>
      </w:r>
      <w:r w:rsidR="00A954D0">
        <w:rPr>
          <w:rFonts w:ascii="Bookman Old Style" w:hAnsi="Bookman Old Style"/>
          <w:sz w:val="24"/>
          <w:szCs w:val="24"/>
        </w:rPr>
        <w:t xml:space="preserve"> </w:t>
      </w:r>
      <w:r w:rsidRPr="000E42D9">
        <w:rPr>
          <w:rFonts w:ascii="Bookman Old Style" w:hAnsi="Bookman Old Style"/>
          <w:sz w:val="24"/>
          <w:szCs w:val="24"/>
        </w:rPr>
        <w:t>realisasi</w:t>
      </w:r>
      <w:r w:rsidR="00A954D0">
        <w:rPr>
          <w:rFonts w:ascii="Bookman Old Style" w:hAnsi="Bookman Old Style"/>
          <w:sz w:val="24"/>
          <w:szCs w:val="24"/>
        </w:rPr>
        <w:t xml:space="preserve"> </w:t>
      </w:r>
      <w:r w:rsidRPr="000E42D9">
        <w:rPr>
          <w:rFonts w:ascii="Bookman Old Style" w:hAnsi="Bookman Old Style"/>
          <w:sz w:val="24"/>
          <w:szCs w:val="24"/>
        </w:rPr>
        <w:t>PAD</w:t>
      </w:r>
      <w:r w:rsidR="00A954D0">
        <w:rPr>
          <w:rFonts w:ascii="Bookman Old Style" w:hAnsi="Bookman Old Style"/>
          <w:sz w:val="24"/>
          <w:szCs w:val="24"/>
        </w:rPr>
        <w:t xml:space="preserve"> </w:t>
      </w:r>
      <w:r w:rsidRPr="000E42D9">
        <w:rPr>
          <w:rFonts w:ascii="Bookman Old Style" w:hAnsi="Bookman Old Style"/>
          <w:sz w:val="24"/>
          <w:szCs w:val="24"/>
        </w:rPr>
        <w:t>tersebut,</w:t>
      </w:r>
      <w:r w:rsidR="00A954D0">
        <w:rPr>
          <w:rFonts w:ascii="Bookman Old Style" w:hAnsi="Bookman Old Style"/>
          <w:sz w:val="24"/>
          <w:szCs w:val="24"/>
        </w:rPr>
        <w:t xml:space="preserve"> </w:t>
      </w:r>
      <w:r w:rsidRPr="000E42D9">
        <w:rPr>
          <w:rFonts w:ascii="Bookman Old Style" w:hAnsi="Bookman Old Style"/>
          <w:sz w:val="24"/>
          <w:szCs w:val="24"/>
        </w:rPr>
        <w:t>Pemerintah</w:t>
      </w:r>
      <w:r w:rsidR="00A954D0">
        <w:rPr>
          <w:rFonts w:ascii="Bookman Old Style" w:hAnsi="Bookman Old Style"/>
          <w:sz w:val="24"/>
          <w:szCs w:val="24"/>
        </w:rPr>
        <w:t xml:space="preserve"> </w:t>
      </w:r>
      <w:r w:rsidRPr="000E42D9">
        <w:rPr>
          <w:rFonts w:ascii="Bookman Old Style" w:hAnsi="Bookman Old Style" w:cs="Arial"/>
          <w:sz w:val="24"/>
          <w:szCs w:val="24"/>
        </w:rPr>
        <w:t>Daerah</w:t>
      </w:r>
      <w:r w:rsidR="00A954D0">
        <w:rPr>
          <w:rFonts w:ascii="Bookman Old Style" w:hAnsi="Bookman Old Style" w:cs="Arial"/>
          <w:sz w:val="24"/>
          <w:szCs w:val="24"/>
        </w:rPr>
        <w:t xml:space="preserve"> </w:t>
      </w:r>
      <w:r w:rsidRPr="003255BC">
        <w:rPr>
          <w:rFonts w:ascii="Bookman Old Style" w:hAnsi="Bookman Old Style"/>
          <w:sz w:val="24"/>
          <w:szCs w:val="24"/>
          <w:lang w:val="sv-FI"/>
        </w:rPr>
        <w:t>Kota</w:t>
      </w:r>
      <w:r w:rsidR="00A954D0" w:rsidRPr="003255BC">
        <w:rPr>
          <w:rFonts w:ascii="Bookman Old Style" w:hAnsi="Bookman Old Style"/>
          <w:sz w:val="24"/>
          <w:szCs w:val="24"/>
          <w:lang w:val="sv-FI"/>
        </w:rPr>
        <w:t xml:space="preserve"> </w:t>
      </w:r>
      <w:r w:rsidR="00770F22" w:rsidRPr="003255BC">
        <w:rPr>
          <w:rFonts w:ascii="Bookman Old Style" w:hAnsi="Bookman Old Style"/>
          <w:sz w:val="24"/>
          <w:szCs w:val="24"/>
          <w:lang w:val="sv-FI"/>
        </w:rPr>
        <w:t>Tangerang</w:t>
      </w:r>
      <w:r w:rsidR="00A954D0" w:rsidRPr="003255BC">
        <w:rPr>
          <w:rFonts w:ascii="Bookman Old Style" w:hAnsi="Bookman Old Style"/>
          <w:sz w:val="24"/>
          <w:szCs w:val="24"/>
          <w:lang w:val="sv-FI"/>
        </w:rPr>
        <w:t xml:space="preserve"> </w:t>
      </w:r>
      <w:r w:rsidR="00151939" w:rsidRPr="000E42D9">
        <w:rPr>
          <w:rFonts w:ascii="Bookman Old Style" w:hAnsi="Bookman Old Style"/>
          <w:sz w:val="24"/>
          <w:szCs w:val="24"/>
        </w:rPr>
        <w:t>agar</w:t>
      </w:r>
      <w:r w:rsidR="00A954D0">
        <w:rPr>
          <w:rFonts w:ascii="Bookman Old Style" w:hAnsi="Bookman Old Style"/>
          <w:sz w:val="24"/>
          <w:szCs w:val="24"/>
        </w:rPr>
        <w:t xml:space="preserve"> </w:t>
      </w:r>
      <w:r w:rsidRPr="000E42D9">
        <w:rPr>
          <w:rFonts w:ascii="Bookman Old Style" w:hAnsi="Bookman Old Style"/>
          <w:sz w:val="24"/>
          <w:szCs w:val="24"/>
        </w:rPr>
        <w:t>melakukan</w:t>
      </w:r>
      <w:r w:rsidR="00A954D0">
        <w:rPr>
          <w:rFonts w:ascii="Bookman Old Style" w:hAnsi="Bookman Old Style"/>
          <w:sz w:val="24"/>
          <w:szCs w:val="24"/>
        </w:rPr>
        <w:t xml:space="preserve"> </w:t>
      </w:r>
      <w:r w:rsidRPr="000E42D9">
        <w:rPr>
          <w:rFonts w:ascii="Bookman Old Style" w:hAnsi="Bookman Old Style"/>
          <w:sz w:val="24"/>
          <w:szCs w:val="24"/>
        </w:rPr>
        <w:t>perhitungan</w:t>
      </w:r>
      <w:r w:rsidR="00A954D0">
        <w:rPr>
          <w:rFonts w:ascii="Bookman Old Style" w:hAnsi="Bookman Old Style"/>
          <w:sz w:val="24"/>
          <w:szCs w:val="24"/>
        </w:rPr>
        <w:t xml:space="preserve"> </w:t>
      </w:r>
      <w:r w:rsidR="009F04BA" w:rsidRPr="000E42D9">
        <w:rPr>
          <w:rFonts w:ascii="Bookman Old Style" w:hAnsi="Bookman Old Style"/>
          <w:sz w:val="24"/>
          <w:szCs w:val="24"/>
        </w:rPr>
        <w:t>dengan</w:t>
      </w:r>
      <w:r w:rsidR="00A954D0">
        <w:rPr>
          <w:rFonts w:ascii="Bookman Old Style" w:hAnsi="Bookman Old Style"/>
          <w:sz w:val="24"/>
          <w:szCs w:val="24"/>
        </w:rPr>
        <w:t xml:space="preserve"> </w:t>
      </w:r>
      <w:r w:rsidR="009F04BA" w:rsidRPr="000E42D9">
        <w:rPr>
          <w:rFonts w:ascii="Bookman Old Style" w:hAnsi="Bookman Old Style"/>
          <w:sz w:val="24"/>
          <w:szCs w:val="24"/>
        </w:rPr>
        <w:t>cermat</w:t>
      </w:r>
      <w:r w:rsidR="00A954D0">
        <w:rPr>
          <w:rFonts w:ascii="Bookman Old Style" w:hAnsi="Bookman Old Style"/>
          <w:sz w:val="24"/>
          <w:szCs w:val="24"/>
        </w:rPr>
        <w:t xml:space="preserve"> </w:t>
      </w:r>
      <w:r w:rsidRPr="000E42D9">
        <w:rPr>
          <w:rFonts w:ascii="Bookman Old Style" w:hAnsi="Bookman Old Style"/>
          <w:sz w:val="24"/>
          <w:szCs w:val="24"/>
        </w:rPr>
        <w:t>atas</w:t>
      </w:r>
      <w:r w:rsidR="00A954D0">
        <w:rPr>
          <w:rFonts w:ascii="Bookman Old Style" w:hAnsi="Bookman Old Style"/>
          <w:sz w:val="24"/>
          <w:szCs w:val="24"/>
        </w:rPr>
        <w:t xml:space="preserve"> </w:t>
      </w:r>
      <w:r w:rsidRPr="000E42D9">
        <w:rPr>
          <w:rFonts w:ascii="Bookman Old Style" w:hAnsi="Bookman Old Style"/>
          <w:sz w:val="24"/>
          <w:szCs w:val="24"/>
        </w:rPr>
        <w:t>target</w:t>
      </w:r>
      <w:r w:rsidR="00A954D0">
        <w:rPr>
          <w:rFonts w:ascii="Bookman Old Style" w:hAnsi="Bookman Old Style"/>
          <w:sz w:val="24"/>
          <w:szCs w:val="24"/>
        </w:rPr>
        <w:t xml:space="preserve"> </w:t>
      </w:r>
      <w:r w:rsidRPr="000E42D9">
        <w:rPr>
          <w:rFonts w:ascii="Bookman Old Style" w:hAnsi="Bookman Old Style"/>
          <w:sz w:val="24"/>
          <w:szCs w:val="24"/>
        </w:rPr>
        <w:t>PAD</w:t>
      </w:r>
      <w:r w:rsidR="00A954D0">
        <w:rPr>
          <w:rFonts w:ascii="Bookman Old Style" w:hAnsi="Bookman Old Style"/>
          <w:sz w:val="24"/>
          <w:szCs w:val="24"/>
        </w:rPr>
        <w:t xml:space="preserve"> </w:t>
      </w:r>
      <w:r w:rsidRPr="000E42D9">
        <w:rPr>
          <w:rFonts w:ascii="Bookman Old Style" w:hAnsi="Bookman Old Style"/>
          <w:sz w:val="24"/>
          <w:szCs w:val="24"/>
        </w:rPr>
        <w:t>dalam</w:t>
      </w:r>
      <w:r w:rsidR="00A954D0">
        <w:rPr>
          <w:rFonts w:ascii="Bookman Old Style" w:hAnsi="Bookman Old Style"/>
          <w:sz w:val="24"/>
          <w:szCs w:val="24"/>
        </w:rPr>
        <w:t xml:space="preserve"> </w:t>
      </w:r>
      <w:r w:rsidRPr="000E42D9">
        <w:rPr>
          <w:rFonts w:ascii="Bookman Old Style" w:hAnsi="Bookman Old Style"/>
          <w:sz w:val="24"/>
          <w:szCs w:val="24"/>
        </w:rPr>
        <w:t>Rancangan</w:t>
      </w:r>
      <w:r w:rsidR="00A954D0">
        <w:rPr>
          <w:rFonts w:ascii="Bookman Old Style" w:hAnsi="Bookman Old Style"/>
          <w:sz w:val="24"/>
          <w:szCs w:val="24"/>
        </w:rPr>
        <w:t xml:space="preserve"> </w:t>
      </w:r>
      <w:r w:rsidRPr="000E42D9">
        <w:rPr>
          <w:rFonts w:ascii="Bookman Old Style" w:hAnsi="Bookman Old Style"/>
          <w:sz w:val="24"/>
          <w:szCs w:val="24"/>
        </w:rPr>
        <w:t>Peraturan</w:t>
      </w:r>
      <w:r w:rsidR="00A954D0">
        <w:rPr>
          <w:rFonts w:ascii="Bookman Old Style" w:hAnsi="Bookman Old Style"/>
          <w:sz w:val="24"/>
          <w:szCs w:val="24"/>
        </w:rPr>
        <w:t xml:space="preserve"> </w:t>
      </w:r>
      <w:r w:rsidRPr="000E42D9">
        <w:rPr>
          <w:rFonts w:ascii="Bookman Old Style" w:hAnsi="Bookman Old Style"/>
          <w:sz w:val="24"/>
          <w:szCs w:val="24"/>
        </w:rPr>
        <w:t>Daerah</w:t>
      </w:r>
      <w:r w:rsidR="00A954D0">
        <w:rPr>
          <w:rFonts w:ascii="Bookman Old Style" w:hAnsi="Bookman Old Style"/>
          <w:sz w:val="24"/>
          <w:szCs w:val="24"/>
        </w:rPr>
        <w:t xml:space="preserve"> </w:t>
      </w:r>
      <w:r w:rsidRPr="003255BC">
        <w:rPr>
          <w:rFonts w:ascii="Bookman Old Style" w:hAnsi="Bookman Old Style"/>
          <w:sz w:val="24"/>
          <w:szCs w:val="24"/>
          <w:lang w:val="sv-FI"/>
        </w:rPr>
        <w:t>Kota</w:t>
      </w:r>
      <w:r w:rsidR="00A954D0" w:rsidRPr="003255BC">
        <w:rPr>
          <w:rFonts w:ascii="Bookman Old Style" w:hAnsi="Bookman Old Style"/>
          <w:sz w:val="24"/>
          <w:szCs w:val="24"/>
          <w:lang w:val="sv-FI"/>
        </w:rPr>
        <w:t xml:space="preserve"> </w:t>
      </w:r>
      <w:r w:rsidR="00770F22" w:rsidRPr="003255BC">
        <w:rPr>
          <w:rFonts w:ascii="Bookman Old Style" w:hAnsi="Bookman Old Style"/>
          <w:sz w:val="24"/>
          <w:szCs w:val="24"/>
          <w:lang w:val="sv-FI"/>
        </w:rPr>
        <w:t>Tangerang</w:t>
      </w:r>
      <w:r w:rsidR="00A954D0" w:rsidRPr="003255BC">
        <w:rPr>
          <w:rFonts w:ascii="Bookman Old Style" w:hAnsi="Bookman Old Style"/>
          <w:sz w:val="24"/>
          <w:szCs w:val="24"/>
          <w:lang w:val="sv-FI"/>
        </w:rPr>
        <w:t xml:space="preserve"> </w:t>
      </w:r>
      <w:r w:rsidRPr="000E42D9">
        <w:rPr>
          <w:rFonts w:ascii="Bookman Old Style" w:hAnsi="Bookman Old Style"/>
          <w:sz w:val="24"/>
          <w:szCs w:val="24"/>
        </w:rPr>
        <w:t>tentang</w:t>
      </w:r>
      <w:r w:rsidR="00A954D0">
        <w:rPr>
          <w:rFonts w:ascii="Bookman Old Style" w:hAnsi="Bookman Old Style"/>
          <w:sz w:val="24"/>
          <w:szCs w:val="24"/>
        </w:rPr>
        <w:t xml:space="preserve"> </w:t>
      </w:r>
      <w:r w:rsidRPr="000E42D9">
        <w:rPr>
          <w:rFonts w:ascii="Bookman Old Style" w:hAnsi="Bookman Old Style"/>
          <w:sz w:val="24"/>
          <w:szCs w:val="24"/>
        </w:rPr>
        <w:t>APBD</w:t>
      </w:r>
      <w:r w:rsidR="00A954D0">
        <w:rPr>
          <w:rFonts w:ascii="Bookman Old Style" w:hAnsi="Bookman Old Style"/>
          <w:sz w:val="24"/>
          <w:szCs w:val="24"/>
        </w:rPr>
        <w:t xml:space="preserve"> </w:t>
      </w:r>
      <w:r w:rsidRPr="000E42D9">
        <w:rPr>
          <w:rFonts w:ascii="Bookman Old Style" w:hAnsi="Bookman Old Style"/>
          <w:sz w:val="24"/>
          <w:szCs w:val="24"/>
        </w:rPr>
        <w:t>Tahun</w:t>
      </w:r>
      <w:r w:rsidR="00A954D0">
        <w:rPr>
          <w:rFonts w:ascii="Bookman Old Style" w:hAnsi="Bookman Old Style"/>
          <w:sz w:val="24"/>
          <w:szCs w:val="24"/>
        </w:rPr>
        <w:t xml:space="preserve"> </w:t>
      </w:r>
      <w:r w:rsidRPr="000E42D9">
        <w:rPr>
          <w:rFonts w:ascii="Bookman Old Style" w:hAnsi="Bookman Old Style"/>
          <w:sz w:val="24"/>
          <w:szCs w:val="24"/>
        </w:rPr>
        <w:t>Anggaran</w:t>
      </w:r>
      <w:r w:rsidR="00A954D0">
        <w:rPr>
          <w:rFonts w:ascii="Bookman Old Style" w:hAnsi="Bookman Old Style"/>
          <w:sz w:val="24"/>
          <w:szCs w:val="24"/>
        </w:rPr>
        <w:t xml:space="preserve"> </w:t>
      </w:r>
      <w:r w:rsidRPr="000E42D9">
        <w:rPr>
          <w:rFonts w:ascii="Bookman Old Style" w:hAnsi="Bookman Old Style"/>
          <w:sz w:val="24"/>
          <w:szCs w:val="24"/>
        </w:rPr>
        <w:t>2025</w:t>
      </w:r>
      <w:r w:rsidR="00A954D0">
        <w:rPr>
          <w:rFonts w:ascii="Bookman Old Style" w:hAnsi="Bookman Old Style"/>
          <w:sz w:val="24"/>
          <w:szCs w:val="24"/>
        </w:rPr>
        <w:t xml:space="preserve"> </w:t>
      </w:r>
      <w:r w:rsidRPr="000E42D9">
        <w:rPr>
          <w:rFonts w:ascii="Bookman Old Style" w:hAnsi="Bookman Old Style"/>
          <w:sz w:val="24"/>
          <w:szCs w:val="24"/>
        </w:rPr>
        <w:t>dengan</w:t>
      </w:r>
      <w:r w:rsidR="00A954D0">
        <w:rPr>
          <w:rFonts w:ascii="Bookman Old Style" w:hAnsi="Bookman Old Style"/>
          <w:sz w:val="24"/>
          <w:szCs w:val="24"/>
        </w:rPr>
        <w:t xml:space="preserve"> </w:t>
      </w:r>
      <w:r w:rsidRPr="000E42D9">
        <w:rPr>
          <w:rFonts w:ascii="Bookman Old Style" w:hAnsi="Bookman Old Style"/>
          <w:sz w:val="24"/>
          <w:szCs w:val="24"/>
        </w:rPr>
        <w:t>memperhatikan</w:t>
      </w:r>
      <w:r w:rsidR="00A954D0">
        <w:rPr>
          <w:rFonts w:ascii="Bookman Old Style" w:hAnsi="Bookman Old Style"/>
          <w:sz w:val="24"/>
          <w:szCs w:val="24"/>
        </w:rPr>
        <w:t xml:space="preserve"> </w:t>
      </w:r>
      <w:r w:rsidRPr="000E42D9">
        <w:rPr>
          <w:rFonts w:ascii="Bookman Old Style" w:hAnsi="Bookman Old Style"/>
          <w:sz w:val="24"/>
          <w:szCs w:val="24"/>
        </w:rPr>
        <w:t>potensi</w:t>
      </w:r>
      <w:r w:rsidR="00A954D0">
        <w:rPr>
          <w:rFonts w:ascii="Bookman Old Style" w:hAnsi="Bookman Old Style"/>
          <w:sz w:val="24"/>
          <w:szCs w:val="24"/>
        </w:rPr>
        <w:t xml:space="preserve"> </w:t>
      </w:r>
      <w:r w:rsidRPr="000E42D9">
        <w:rPr>
          <w:rFonts w:ascii="Bookman Old Style" w:hAnsi="Bookman Old Style"/>
          <w:sz w:val="24"/>
          <w:szCs w:val="24"/>
        </w:rPr>
        <w:t>dan</w:t>
      </w:r>
      <w:r w:rsidR="00A954D0">
        <w:rPr>
          <w:rFonts w:ascii="Bookman Old Style" w:hAnsi="Bookman Old Style"/>
          <w:sz w:val="24"/>
          <w:szCs w:val="24"/>
        </w:rPr>
        <w:t xml:space="preserve"> </w:t>
      </w:r>
      <w:r w:rsidRPr="000E42D9">
        <w:rPr>
          <w:rFonts w:ascii="Bookman Old Style" w:hAnsi="Bookman Old Style"/>
          <w:sz w:val="24"/>
          <w:szCs w:val="24"/>
        </w:rPr>
        <w:t>proyeksi</w:t>
      </w:r>
      <w:r w:rsidR="00A954D0">
        <w:rPr>
          <w:rFonts w:ascii="Bookman Old Style" w:hAnsi="Bookman Old Style"/>
          <w:sz w:val="24"/>
          <w:szCs w:val="24"/>
        </w:rPr>
        <w:t xml:space="preserve"> </w:t>
      </w:r>
      <w:r w:rsidRPr="000E42D9">
        <w:rPr>
          <w:rFonts w:ascii="Bookman Old Style" w:hAnsi="Bookman Old Style"/>
          <w:sz w:val="24"/>
          <w:szCs w:val="24"/>
        </w:rPr>
        <w:t>target</w:t>
      </w:r>
      <w:r w:rsidR="00A954D0">
        <w:rPr>
          <w:rFonts w:ascii="Bookman Old Style" w:hAnsi="Bookman Old Style"/>
          <w:sz w:val="24"/>
          <w:szCs w:val="24"/>
        </w:rPr>
        <w:t xml:space="preserve"> </w:t>
      </w:r>
      <w:r w:rsidRPr="000E42D9">
        <w:rPr>
          <w:rFonts w:ascii="Bookman Old Style" w:hAnsi="Bookman Old Style"/>
          <w:sz w:val="24"/>
          <w:szCs w:val="24"/>
        </w:rPr>
        <w:t>PAD,</w:t>
      </w:r>
      <w:r w:rsidR="00A954D0">
        <w:rPr>
          <w:rFonts w:ascii="Bookman Old Style" w:hAnsi="Bookman Old Style"/>
          <w:sz w:val="24"/>
          <w:szCs w:val="24"/>
        </w:rPr>
        <w:t xml:space="preserve"> </w:t>
      </w:r>
      <w:r w:rsidRPr="000E42D9">
        <w:rPr>
          <w:rFonts w:ascii="Bookman Old Style" w:hAnsi="Bookman Old Style"/>
          <w:sz w:val="24"/>
          <w:szCs w:val="24"/>
        </w:rPr>
        <w:t>serta</w:t>
      </w:r>
      <w:r w:rsidR="00A954D0">
        <w:rPr>
          <w:rFonts w:ascii="Bookman Old Style" w:hAnsi="Bookman Old Style"/>
          <w:sz w:val="24"/>
          <w:szCs w:val="24"/>
        </w:rPr>
        <w:t xml:space="preserve"> </w:t>
      </w:r>
      <w:r w:rsidRPr="000E42D9">
        <w:rPr>
          <w:rFonts w:ascii="Bookman Old Style" w:hAnsi="Bookman Old Style"/>
          <w:sz w:val="24"/>
          <w:szCs w:val="24"/>
        </w:rPr>
        <w:t>perkiraan</w:t>
      </w:r>
      <w:r w:rsidR="00A954D0">
        <w:rPr>
          <w:rFonts w:ascii="Bookman Old Style" w:hAnsi="Bookman Old Style"/>
          <w:sz w:val="24"/>
          <w:szCs w:val="24"/>
        </w:rPr>
        <w:t xml:space="preserve"> </w:t>
      </w:r>
      <w:r w:rsidRPr="000E42D9">
        <w:rPr>
          <w:rFonts w:ascii="Bookman Old Style" w:hAnsi="Bookman Old Style"/>
          <w:sz w:val="24"/>
          <w:szCs w:val="24"/>
        </w:rPr>
        <w:t>asumsi</w:t>
      </w:r>
      <w:r w:rsidR="00A954D0">
        <w:rPr>
          <w:rFonts w:ascii="Bookman Old Style" w:hAnsi="Bookman Old Style"/>
          <w:sz w:val="24"/>
          <w:szCs w:val="24"/>
        </w:rPr>
        <w:t xml:space="preserve"> </w:t>
      </w:r>
      <w:r w:rsidRPr="000E42D9">
        <w:rPr>
          <w:rFonts w:ascii="Bookman Old Style" w:hAnsi="Bookman Old Style"/>
          <w:sz w:val="24"/>
          <w:szCs w:val="24"/>
        </w:rPr>
        <w:t>makro,</w:t>
      </w:r>
      <w:r w:rsidR="00A954D0">
        <w:rPr>
          <w:rFonts w:ascii="Bookman Old Style" w:hAnsi="Bookman Old Style"/>
          <w:sz w:val="24"/>
          <w:szCs w:val="24"/>
        </w:rPr>
        <w:t xml:space="preserve"> </w:t>
      </w:r>
      <w:r w:rsidRPr="000E42D9">
        <w:rPr>
          <w:rFonts w:ascii="Bookman Old Style" w:hAnsi="Bookman Old Style"/>
          <w:sz w:val="24"/>
          <w:szCs w:val="24"/>
        </w:rPr>
        <w:t>meliputi</w:t>
      </w:r>
      <w:r w:rsidR="00A954D0">
        <w:rPr>
          <w:rFonts w:ascii="Bookman Old Style" w:hAnsi="Bookman Old Style"/>
          <w:sz w:val="24"/>
          <w:szCs w:val="24"/>
        </w:rPr>
        <w:t xml:space="preserve"> </w:t>
      </w:r>
      <w:r w:rsidRPr="000E42D9">
        <w:rPr>
          <w:rFonts w:ascii="Bookman Old Style" w:hAnsi="Bookman Old Style"/>
          <w:sz w:val="24"/>
          <w:szCs w:val="24"/>
        </w:rPr>
        <w:t>pertumbuhan</w:t>
      </w:r>
      <w:r w:rsidR="00A954D0">
        <w:rPr>
          <w:rFonts w:ascii="Bookman Old Style" w:hAnsi="Bookman Old Style"/>
          <w:sz w:val="24"/>
          <w:szCs w:val="24"/>
        </w:rPr>
        <w:t xml:space="preserve"> </w:t>
      </w:r>
      <w:r w:rsidRPr="000E42D9">
        <w:rPr>
          <w:rFonts w:ascii="Bookman Old Style" w:hAnsi="Bookman Old Style"/>
          <w:sz w:val="24"/>
          <w:szCs w:val="24"/>
        </w:rPr>
        <w:t>ekonomi</w:t>
      </w:r>
      <w:r w:rsidR="00A954D0">
        <w:rPr>
          <w:rFonts w:ascii="Bookman Old Style" w:hAnsi="Bookman Old Style"/>
          <w:sz w:val="24"/>
          <w:szCs w:val="24"/>
        </w:rPr>
        <w:t xml:space="preserve"> </w:t>
      </w:r>
      <w:r w:rsidRPr="000E42D9">
        <w:rPr>
          <w:rFonts w:ascii="Bookman Old Style" w:hAnsi="Bookman Old Style"/>
          <w:sz w:val="24"/>
          <w:szCs w:val="24"/>
        </w:rPr>
        <w:t>dan</w:t>
      </w:r>
      <w:r w:rsidR="00A954D0">
        <w:rPr>
          <w:rFonts w:ascii="Bookman Old Style" w:hAnsi="Bookman Old Style"/>
          <w:sz w:val="24"/>
          <w:szCs w:val="24"/>
        </w:rPr>
        <w:t xml:space="preserve"> </w:t>
      </w:r>
      <w:r w:rsidRPr="000E42D9">
        <w:rPr>
          <w:rFonts w:ascii="Bookman Old Style" w:hAnsi="Bookman Old Style"/>
          <w:sz w:val="24"/>
          <w:szCs w:val="24"/>
        </w:rPr>
        <w:t>tingkat</w:t>
      </w:r>
      <w:r w:rsidR="00A954D0">
        <w:rPr>
          <w:rFonts w:ascii="Bookman Old Style" w:hAnsi="Bookman Old Style"/>
          <w:sz w:val="24"/>
          <w:szCs w:val="24"/>
        </w:rPr>
        <w:t xml:space="preserve"> </w:t>
      </w:r>
      <w:r w:rsidRPr="000E42D9">
        <w:rPr>
          <w:rFonts w:ascii="Bookman Old Style" w:hAnsi="Bookman Old Style"/>
          <w:sz w:val="24"/>
          <w:szCs w:val="24"/>
        </w:rPr>
        <w:t>inflasi</w:t>
      </w:r>
      <w:r w:rsidR="00A954D0">
        <w:rPr>
          <w:rFonts w:ascii="Bookman Old Style" w:hAnsi="Bookman Old Style"/>
          <w:sz w:val="24"/>
          <w:szCs w:val="24"/>
        </w:rPr>
        <w:t xml:space="preserve"> </w:t>
      </w:r>
      <w:r w:rsidRPr="000E42D9">
        <w:rPr>
          <w:rFonts w:ascii="Bookman Old Style" w:hAnsi="Bookman Old Style"/>
          <w:sz w:val="24"/>
          <w:szCs w:val="24"/>
        </w:rPr>
        <w:t>yang</w:t>
      </w:r>
      <w:r w:rsidR="00A954D0">
        <w:rPr>
          <w:rFonts w:ascii="Bookman Old Style" w:hAnsi="Bookman Old Style"/>
          <w:sz w:val="24"/>
          <w:szCs w:val="24"/>
        </w:rPr>
        <w:t xml:space="preserve"> </w:t>
      </w:r>
      <w:r w:rsidRPr="000E42D9">
        <w:rPr>
          <w:rFonts w:ascii="Bookman Old Style" w:hAnsi="Bookman Old Style"/>
          <w:sz w:val="24"/>
          <w:szCs w:val="24"/>
        </w:rPr>
        <w:t>memengaruhi</w:t>
      </w:r>
      <w:r w:rsidR="00A954D0">
        <w:rPr>
          <w:rFonts w:ascii="Bookman Old Style" w:hAnsi="Bookman Old Style"/>
          <w:sz w:val="24"/>
          <w:szCs w:val="24"/>
        </w:rPr>
        <w:t xml:space="preserve"> </w:t>
      </w:r>
      <w:r w:rsidRPr="000E42D9">
        <w:rPr>
          <w:rFonts w:ascii="Bookman Old Style" w:hAnsi="Bookman Old Style"/>
          <w:sz w:val="24"/>
          <w:szCs w:val="24"/>
        </w:rPr>
        <w:t>target</w:t>
      </w:r>
      <w:r w:rsidR="00A954D0">
        <w:rPr>
          <w:rFonts w:ascii="Bookman Old Style" w:hAnsi="Bookman Old Style"/>
          <w:sz w:val="24"/>
          <w:szCs w:val="24"/>
        </w:rPr>
        <w:t xml:space="preserve"> </w:t>
      </w:r>
      <w:r w:rsidRPr="000E42D9">
        <w:rPr>
          <w:rFonts w:ascii="Bookman Old Style" w:hAnsi="Bookman Old Style"/>
          <w:sz w:val="24"/>
          <w:szCs w:val="24"/>
        </w:rPr>
        <w:t>PAD</w:t>
      </w:r>
      <w:r w:rsidR="00A954D0">
        <w:rPr>
          <w:rFonts w:ascii="Bookman Old Style" w:hAnsi="Bookman Old Style"/>
          <w:sz w:val="24"/>
          <w:szCs w:val="24"/>
        </w:rPr>
        <w:t xml:space="preserve"> </w:t>
      </w:r>
      <w:r w:rsidRPr="000E42D9">
        <w:rPr>
          <w:rFonts w:ascii="Bookman Old Style" w:hAnsi="Bookman Old Style"/>
          <w:sz w:val="24"/>
          <w:szCs w:val="24"/>
        </w:rPr>
        <w:t>sesuai</w:t>
      </w:r>
      <w:r w:rsidR="00A954D0">
        <w:rPr>
          <w:rFonts w:ascii="Bookman Old Style" w:hAnsi="Bookman Old Style"/>
          <w:sz w:val="24"/>
          <w:szCs w:val="24"/>
        </w:rPr>
        <w:t xml:space="preserve"> </w:t>
      </w:r>
      <w:r w:rsidRPr="000E42D9">
        <w:rPr>
          <w:rFonts w:ascii="Bookman Old Style" w:hAnsi="Bookman Old Style"/>
          <w:sz w:val="24"/>
          <w:szCs w:val="24"/>
        </w:rPr>
        <w:t>dengan</w:t>
      </w:r>
      <w:r w:rsidR="00A954D0">
        <w:rPr>
          <w:rFonts w:ascii="Bookman Old Style" w:hAnsi="Bookman Old Style"/>
          <w:sz w:val="24"/>
          <w:szCs w:val="24"/>
        </w:rPr>
        <w:t xml:space="preserve"> </w:t>
      </w:r>
      <w:r w:rsidRPr="000E42D9">
        <w:rPr>
          <w:rFonts w:ascii="Bookman Old Style" w:hAnsi="Bookman Old Style"/>
          <w:sz w:val="24"/>
          <w:szCs w:val="24"/>
        </w:rPr>
        <w:t>ketentuan</w:t>
      </w:r>
      <w:r w:rsidR="00A954D0">
        <w:rPr>
          <w:rFonts w:ascii="Bookman Old Style" w:hAnsi="Bookman Old Style"/>
          <w:sz w:val="24"/>
          <w:szCs w:val="24"/>
        </w:rPr>
        <w:t xml:space="preserve"> </w:t>
      </w:r>
      <w:r w:rsidRPr="000E42D9">
        <w:rPr>
          <w:rFonts w:ascii="Bookman Old Style" w:hAnsi="Bookman Old Style"/>
          <w:sz w:val="24"/>
          <w:szCs w:val="24"/>
        </w:rPr>
        <w:t>peraturan</w:t>
      </w:r>
      <w:r w:rsidR="00A954D0">
        <w:rPr>
          <w:rFonts w:ascii="Bookman Old Style" w:hAnsi="Bookman Old Style"/>
          <w:sz w:val="24"/>
          <w:szCs w:val="24"/>
        </w:rPr>
        <w:t xml:space="preserve"> </w:t>
      </w:r>
      <w:r w:rsidRPr="000E42D9">
        <w:rPr>
          <w:rFonts w:ascii="Bookman Old Style" w:hAnsi="Bookman Old Style"/>
          <w:sz w:val="24"/>
          <w:szCs w:val="24"/>
        </w:rPr>
        <w:t>perundang-undangan.</w:t>
      </w:r>
    </w:p>
    <w:p w14:paraId="394D8CD3" w14:textId="03D60CB5" w:rsidR="003C3E01" w:rsidRDefault="003C3E01" w:rsidP="003C3E01">
      <w:pPr>
        <w:pStyle w:val="ListParagraph"/>
        <w:spacing w:before="60" w:after="0" w:line="276" w:lineRule="auto"/>
        <w:ind w:left="1287"/>
        <w:contextualSpacing w:val="0"/>
        <w:jc w:val="both"/>
        <w:rPr>
          <w:rFonts w:ascii="Bookman Old Style" w:hAnsi="Bookman Old Style"/>
          <w:sz w:val="24"/>
          <w:szCs w:val="24"/>
        </w:rPr>
      </w:pPr>
      <w:r w:rsidRPr="000E42D9">
        <w:rPr>
          <w:rFonts w:ascii="Bookman Old Style" w:hAnsi="Bookman Old Style"/>
          <w:sz w:val="24"/>
          <w:szCs w:val="24"/>
          <w:lang w:val="it-IT"/>
        </w:rPr>
        <w:t>Selanjutnya,</w:t>
      </w:r>
      <w:r w:rsidR="00A954D0">
        <w:rPr>
          <w:rFonts w:ascii="Bookman Old Style" w:hAnsi="Bookman Old Style"/>
          <w:sz w:val="24"/>
          <w:szCs w:val="24"/>
          <w:lang w:val="it-IT"/>
        </w:rPr>
        <w:t xml:space="preserve"> </w:t>
      </w:r>
      <w:r w:rsidRPr="000E42D9">
        <w:rPr>
          <w:rFonts w:ascii="Bookman Old Style" w:hAnsi="Bookman Old Style"/>
          <w:sz w:val="24"/>
          <w:szCs w:val="24"/>
          <w:lang w:val="id-ID"/>
        </w:rPr>
        <w:t>PAD</w:t>
      </w:r>
      <w:r w:rsidR="00A954D0">
        <w:rPr>
          <w:rFonts w:ascii="Bookman Old Style" w:hAnsi="Bookman Old Style"/>
          <w:sz w:val="24"/>
          <w:szCs w:val="24"/>
        </w:rPr>
        <w:t xml:space="preserve"> </w:t>
      </w:r>
      <w:r w:rsidRPr="000E42D9">
        <w:rPr>
          <w:rFonts w:ascii="Bookman Old Style" w:hAnsi="Bookman Old Style"/>
          <w:sz w:val="24"/>
          <w:szCs w:val="24"/>
        </w:rPr>
        <w:t>dalam</w:t>
      </w:r>
      <w:r w:rsidR="00A954D0">
        <w:rPr>
          <w:rFonts w:ascii="Bookman Old Style" w:hAnsi="Bookman Old Style"/>
          <w:sz w:val="24"/>
          <w:szCs w:val="24"/>
        </w:rPr>
        <w:t xml:space="preserve"> </w:t>
      </w:r>
      <w:r w:rsidRPr="000E42D9">
        <w:rPr>
          <w:rFonts w:ascii="Bookman Old Style" w:hAnsi="Bookman Old Style"/>
          <w:sz w:val="24"/>
          <w:szCs w:val="24"/>
        </w:rPr>
        <w:t>Rancangan</w:t>
      </w:r>
      <w:r w:rsidR="00A954D0">
        <w:rPr>
          <w:rFonts w:ascii="Bookman Old Style" w:hAnsi="Bookman Old Style"/>
          <w:sz w:val="24"/>
          <w:szCs w:val="24"/>
        </w:rPr>
        <w:t xml:space="preserve"> </w:t>
      </w:r>
      <w:r w:rsidRPr="000E42D9">
        <w:rPr>
          <w:rFonts w:ascii="Bookman Old Style" w:hAnsi="Bookman Old Style"/>
          <w:sz w:val="24"/>
          <w:szCs w:val="24"/>
        </w:rPr>
        <w:t>Peraturan</w:t>
      </w:r>
      <w:r w:rsidR="00A954D0">
        <w:rPr>
          <w:rFonts w:ascii="Bookman Old Style" w:hAnsi="Bookman Old Style"/>
          <w:sz w:val="24"/>
          <w:szCs w:val="24"/>
        </w:rPr>
        <w:t xml:space="preserve"> </w:t>
      </w:r>
      <w:r w:rsidRPr="000E42D9">
        <w:rPr>
          <w:rFonts w:ascii="Bookman Old Style" w:hAnsi="Bookman Old Style"/>
          <w:sz w:val="24"/>
          <w:szCs w:val="24"/>
        </w:rPr>
        <w:t>Daerah</w:t>
      </w:r>
      <w:r w:rsidR="00A954D0">
        <w:rPr>
          <w:rFonts w:ascii="Bookman Old Style" w:hAnsi="Bookman Old Style"/>
          <w:sz w:val="24"/>
          <w:szCs w:val="24"/>
        </w:rPr>
        <w:t xml:space="preserve"> </w:t>
      </w:r>
      <w:r w:rsidRPr="003255BC">
        <w:rPr>
          <w:rFonts w:ascii="Bookman Old Style" w:hAnsi="Bookman Old Style"/>
          <w:sz w:val="24"/>
          <w:szCs w:val="24"/>
          <w:lang w:val="sv-FI"/>
        </w:rPr>
        <w:t>Kota</w:t>
      </w:r>
      <w:r w:rsidR="00A954D0" w:rsidRPr="003255BC">
        <w:rPr>
          <w:rFonts w:ascii="Bookman Old Style" w:hAnsi="Bookman Old Style"/>
          <w:sz w:val="24"/>
          <w:szCs w:val="24"/>
          <w:lang w:val="sv-FI"/>
        </w:rPr>
        <w:t xml:space="preserve"> </w:t>
      </w:r>
      <w:r w:rsidR="00770F22" w:rsidRPr="003255BC">
        <w:rPr>
          <w:rFonts w:ascii="Bookman Old Style" w:hAnsi="Bookman Old Style"/>
          <w:sz w:val="24"/>
          <w:szCs w:val="24"/>
          <w:lang w:val="sv-FI"/>
        </w:rPr>
        <w:t>Tangerang</w:t>
      </w:r>
      <w:r w:rsidR="00A954D0" w:rsidRPr="003255BC">
        <w:rPr>
          <w:rFonts w:ascii="Bookman Old Style" w:hAnsi="Bookman Old Style"/>
          <w:sz w:val="24"/>
          <w:szCs w:val="24"/>
          <w:lang w:val="sv-FI"/>
        </w:rPr>
        <w:t xml:space="preserve"> </w:t>
      </w:r>
      <w:r w:rsidRPr="000E42D9">
        <w:rPr>
          <w:rFonts w:ascii="Bookman Old Style" w:hAnsi="Bookman Old Style" w:cs="Arial"/>
          <w:sz w:val="24"/>
          <w:szCs w:val="24"/>
        </w:rPr>
        <w:t>tentang</w:t>
      </w:r>
      <w:r w:rsidR="00A954D0">
        <w:rPr>
          <w:rFonts w:ascii="Bookman Old Style" w:hAnsi="Bookman Old Style"/>
          <w:sz w:val="24"/>
          <w:szCs w:val="24"/>
        </w:rPr>
        <w:t xml:space="preserve"> </w:t>
      </w:r>
      <w:r w:rsidRPr="000E42D9">
        <w:rPr>
          <w:rFonts w:ascii="Bookman Old Style" w:hAnsi="Bookman Old Style"/>
          <w:sz w:val="24"/>
          <w:szCs w:val="24"/>
        </w:rPr>
        <w:t>APBD</w:t>
      </w:r>
      <w:r w:rsidR="00A954D0">
        <w:rPr>
          <w:rFonts w:ascii="Bookman Old Style" w:hAnsi="Bookman Old Style"/>
          <w:sz w:val="24"/>
          <w:szCs w:val="24"/>
        </w:rPr>
        <w:t xml:space="preserve"> </w:t>
      </w:r>
      <w:r w:rsidRPr="000E42D9">
        <w:rPr>
          <w:rFonts w:ascii="Bookman Old Style" w:hAnsi="Bookman Old Style"/>
          <w:sz w:val="24"/>
          <w:szCs w:val="24"/>
        </w:rPr>
        <w:t>Tahun</w:t>
      </w:r>
      <w:r w:rsidR="00A954D0">
        <w:rPr>
          <w:rFonts w:ascii="Bookman Old Style" w:hAnsi="Bookman Old Style"/>
          <w:sz w:val="24"/>
          <w:szCs w:val="24"/>
        </w:rPr>
        <w:t xml:space="preserve"> </w:t>
      </w:r>
      <w:r w:rsidRPr="000E42D9">
        <w:rPr>
          <w:rFonts w:ascii="Bookman Old Style" w:hAnsi="Bookman Old Style"/>
          <w:sz w:val="24"/>
          <w:szCs w:val="24"/>
        </w:rPr>
        <w:t>Anggaran</w:t>
      </w:r>
      <w:r w:rsidR="00A954D0">
        <w:rPr>
          <w:rFonts w:ascii="Bookman Old Style" w:hAnsi="Bookman Old Style"/>
          <w:sz w:val="24"/>
          <w:szCs w:val="24"/>
        </w:rPr>
        <w:t xml:space="preserve"> </w:t>
      </w:r>
      <w:r w:rsidRPr="000E42D9">
        <w:rPr>
          <w:rFonts w:ascii="Bookman Old Style" w:hAnsi="Bookman Old Style"/>
          <w:sz w:val="24"/>
          <w:szCs w:val="24"/>
        </w:rPr>
        <w:t>202</w:t>
      </w:r>
      <w:r w:rsidRPr="000E42D9">
        <w:rPr>
          <w:rFonts w:ascii="Bookman Old Style" w:hAnsi="Bookman Old Style"/>
          <w:sz w:val="24"/>
          <w:szCs w:val="24"/>
          <w:lang w:val="id-ID"/>
        </w:rPr>
        <w:t>5</w:t>
      </w:r>
      <w:r w:rsidRPr="000E42D9">
        <w:rPr>
          <w:rFonts w:ascii="Bookman Old Style" w:hAnsi="Bookman Old Style" w:cs="Arial"/>
          <w:sz w:val="24"/>
          <w:szCs w:val="24"/>
          <w:lang w:val="id-ID"/>
        </w:rPr>
        <w:t>,</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diuraikan</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ke</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dalam</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jenis</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pendapatan</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sebagai</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berikut</w:t>
      </w:r>
      <w:r w:rsidRPr="000E42D9">
        <w:rPr>
          <w:rFonts w:ascii="Bookman Old Style" w:hAnsi="Bookman Old Style"/>
          <w:sz w:val="24"/>
          <w:szCs w:val="24"/>
        </w:rPr>
        <w:t>:</w:t>
      </w:r>
    </w:p>
    <w:p w14:paraId="531AC7B0" w14:textId="77777777" w:rsidR="00881362" w:rsidRDefault="00881362" w:rsidP="003C3E01">
      <w:pPr>
        <w:pStyle w:val="ListParagraph"/>
        <w:spacing w:before="60" w:after="0" w:line="276" w:lineRule="auto"/>
        <w:ind w:left="1287"/>
        <w:contextualSpacing w:val="0"/>
        <w:jc w:val="both"/>
        <w:rPr>
          <w:rFonts w:ascii="Bookman Old Style" w:hAnsi="Bookman Old Style"/>
          <w:sz w:val="24"/>
          <w:szCs w:val="24"/>
        </w:rPr>
      </w:pPr>
    </w:p>
    <w:p w14:paraId="4C862D49" w14:textId="77777777" w:rsidR="00881362" w:rsidRPr="000E42D9" w:rsidRDefault="00881362" w:rsidP="003C3E01">
      <w:pPr>
        <w:pStyle w:val="ListParagraph"/>
        <w:spacing w:before="60" w:after="0" w:line="276" w:lineRule="auto"/>
        <w:ind w:left="1287"/>
        <w:contextualSpacing w:val="0"/>
        <w:jc w:val="both"/>
        <w:rPr>
          <w:rFonts w:ascii="Bookman Old Style" w:hAnsi="Bookman Old Style"/>
          <w:sz w:val="24"/>
          <w:szCs w:val="24"/>
        </w:rPr>
      </w:pPr>
    </w:p>
    <w:p w14:paraId="6F203D43" w14:textId="1D56D678" w:rsidR="003C3E01" w:rsidRPr="000E42D9" w:rsidRDefault="003C3E01" w:rsidP="003C3E01">
      <w:pPr>
        <w:pStyle w:val="ListParagraph"/>
        <w:numPr>
          <w:ilvl w:val="0"/>
          <w:numId w:val="4"/>
        </w:numPr>
        <w:spacing w:before="60" w:after="0" w:line="276" w:lineRule="auto"/>
        <w:ind w:left="1701" w:hanging="419"/>
        <w:contextualSpacing w:val="0"/>
        <w:jc w:val="both"/>
        <w:rPr>
          <w:rFonts w:ascii="Bookman Old Style" w:hAnsi="Bookman Old Style"/>
          <w:sz w:val="24"/>
          <w:szCs w:val="24"/>
        </w:rPr>
      </w:pPr>
      <w:r w:rsidRPr="000E42D9">
        <w:rPr>
          <w:rFonts w:ascii="Bookman Old Style" w:hAnsi="Bookman Old Style" w:cs="Bookman Old Style"/>
          <w:sz w:val="24"/>
          <w:szCs w:val="24"/>
          <w:lang w:val="id-ID"/>
        </w:rPr>
        <w:lastRenderedPageBreak/>
        <w:t>Pajak</w:t>
      </w:r>
      <w:r w:rsidR="00A954D0">
        <w:rPr>
          <w:rFonts w:ascii="Bookman Old Style" w:hAnsi="Bookman Old Style" w:cs="Bookman Old Style"/>
          <w:sz w:val="24"/>
          <w:szCs w:val="24"/>
          <w:lang w:val="id-ID"/>
        </w:rPr>
        <w:t xml:space="preserve"> </w:t>
      </w:r>
      <w:r w:rsidRPr="000E42D9">
        <w:rPr>
          <w:rFonts w:ascii="Bookman Old Style" w:hAnsi="Bookman Old Style" w:cs="Bookman Old Style"/>
          <w:sz w:val="24"/>
          <w:szCs w:val="24"/>
          <w:lang w:val="id-ID"/>
        </w:rPr>
        <w:t>Daerah</w:t>
      </w:r>
      <w:r w:rsidR="00A954D0">
        <w:rPr>
          <w:rFonts w:ascii="Bookman Old Style" w:hAnsi="Bookman Old Style" w:cs="Bookman Old Style"/>
          <w:sz w:val="24"/>
          <w:szCs w:val="24"/>
          <w:lang w:val="id-ID"/>
        </w:rPr>
        <w:t xml:space="preserve"> </w:t>
      </w:r>
      <w:r w:rsidRPr="000E42D9">
        <w:rPr>
          <w:rFonts w:ascii="Bookman Old Style" w:hAnsi="Bookman Old Style"/>
          <w:sz w:val="24"/>
          <w:szCs w:val="24"/>
          <w:lang w:val="en-US"/>
        </w:rPr>
        <w:t>dan</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Retribusi</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Daerah</w:t>
      </w:r>
    </w:p>
    <w:p w14:paraId="1908D274" w14:textId="485A3E26" w:rsidR="000E5ADB" w:rsidRPr="000E42D9" w:rsidRDefault="000E5ADB" w:rsidP="00FD6795">
      <w:pPr>
        <w:pStyle w:val="ListParagraph"/>
        <w:numPr>
          <w:ilvl w:val="0"/>
          <w:numId w:val="35"/>
        </w:numPr>
        <w:spacing w:before="60" w:after="0" w:line="276" w:lineRule="auto"/>
        <w:ind w:left="2268" w:hanging="567"/>
        <w:contextualSpacing w:val="0"/>
        <w:jc w:val="both"/>
        <w:rPr>
          <w:rFonts w:ascii="Bookman Old Style" w:hAnsi="Bookman Old Style" w:cs="Arial"/>
          <w:sz w:val="24"/>
          <w:szCs w:val="24"/>
          <w:lang w:val="en-US"/>
        </w:rPr>
      </w:pPr>
      <w:r w:rsidRPr="000E42D9">
        <w:rPr>
          <w:rFonts w:ascii="Bookman Old Style" w:hAnsi="Bookman Old Style"/>
          <w:sz w:val="24"/>
          <w:szCs w:val="24"/>
        </w:rPr>
        <w:t>Penganggaran</w:t>
      </w:r>
      <w:r w:rsidR="00A954D0">
        <w:rPr>
          <w:rFonts w:ascii="Bookman Old Style" w:hAnsi="Bookman Old Style"/>
          <w:sz w:val="24"/>
          <w:szCs w:val="24"/>
        </w:rPr>
        <w:t xml:space="preserve"> </w:t>
      </w:r>
      <w:r w:rsidRPr="000E42D9">
        <w:rPr>
          <w:rFonts w:ascii="Bookman Old Style" w:hAnsi="Bookman Old Style"/>
          <w:sz w:val="24"/>
          <w:szCs w:val="24"/>
        </w:rPr>
        <w:t>target</w:t>
      </w:r>
      <w:r w:rsidR="00A954D0">
        <w:rPr>
          <w:rFonts w:ascii="Bookman Old Style" w:hAnsi="Bookman Old Style"/>
          <w:sz w:val="24"/>
          <w:szCs w:val="24"/>
        </w:rPr>
        <w:t xml:space="preserve"> </w:t>
      </w:r>
      <w:r w:rsidRPr="000E42D9">
        <w:rPr>
          <w:rFonts w:ascii="Bookman Old Style" w:hAnsi="Bookman Old Style" w:cs="Tahoma,Bold"/>
          <w:bCs/>
          <w:sz w:val="24"/>
          <w:szCs w:val="24"/>
          <w:lang w:val="id-ID" w:eastAsia="id-ID"/>
        </w:rPr>
        <w:t>pendapatan</w:t>
      </w:r>
      <w:r w:rsidR="00A954D0">
        <w:rPr>
          <w:rFonts w:ascii="Bookman Old Style" w:hAnsi="Bookman Old Style"/>
          <w:sz w:val="24"/>
          <w:szCs w:val="24"/>
        </w:rPr>
        <w:t xml:space="preserve"> </w:t>
      </w:r>
      <w:r w:rsidRPr="000E42D9">
        <w:rPr>
          <w:rFonts w:ascii="Bookman Old Style" w:hAnsi="Bookman Old Style"/>
          <w:sz w:val="24"/>
          <w:szCs w:val="24"/>
          <w:lang w:val="sv-FI"/>
        </w:rPr>
        <w:t>P</w:t>
      </w:r>
      <w:r w:rsidRPr="000E42D9">
        <w:rPr>
          <w:rFonts w:ascii="Bookman Old Style" w:hAnsi="Bookman Old Style"/>
          <w:sz w:val="24"/>
          <w:szCs w:val="24"/>
        </w:rPr>
        <w:t>ajak</w:t>
      </w:r>
      <w:r w:rsidR="00A954D0">
        <w:rPr>
          <w:rFonts w:ascii="Bookman Old Style" w:hAnsi="Bookman Old Style"/>
          <w:sz w:val="24"/>
          <w:szCs w:val="24"/>
        </w:rPr>
        <w:t xml:space="preserve"> </w:t>
      </w:r>
      <w:r w:rsidRPr="000E42D9">
        <w:rPr>
          <w:rFonts w:ascii="Bookman Old Style" w:hAnsi="Bookman Old Style"/>
          <w:sz w:val="24"/>
          <w:szCs w:val="24"/>
          <w:lang w:val="sv-FI"/>
        </w:rPr>
        <w:t>D</w:t>
      </w:r>
      <w:r w:rsidRPr="000E42D9">
        <w:rPr>
          <w:rFonts w:ascii="Bookman Old Style" w:hAnsi="Bookman Old Style"/>
          <w:sz w:val="24"/>
          <w:szCs w:val="24"/>
        </w:rPr>
        <w:t>aerah</w:t>
      </w:r>
      <w:r w:rsidR="00A954D0">
        <w:rPr>
          <w:rFonts w:ascii="Bookman Old Style" w:hAnsi="Bookman Old Style"/>
          <w:sz w:val="24"/>
          <w:szCs w:val="24"/>
        </w:rPr>
        <w:t xml:space="preserve"> </w:t>
      </w:r>
      <w:r w:rsidRPr="000E42D9">
        <w:rPr>
          <w:rFonts w:ascii="Bookman Old Style" w:hAnsi="Bookman Old Style"/>
          <w:sz w:val="24"/>
          <w:szCs w:val="24"/>
        </w:rPr>
        <w:t>dalam</w:t>
      </w:r>
      <w:r w:rsidR="00A954D0">
        <w:rPr>
          <w:rFonts w:ascii="Bookman Old Style" w:hAnsi="Bookman Old Style"/>
          <w:sz w:val="24"/>
          <w:szCs w:val="24"/>
        </w:rPr>
        <w:t xml:space="preserve"> </w:t>
      </w:r>
      <w:r w:rsidRPr="000E42D9">
        <w:rPr>
          <w:rFonts w:ascii="Bookman Old Style" w:hAnsi="Bookman Old Style"/>
          <w:sz w:val="24"/>
          <w:szCs w:val="24"/>
        </w:rPr>
        <w:t>Rancangan</w:t>
      </w:r>
      <w:r w:rsidR="00A954D0">
        <w:rPr>
          <w:rFonts w:ascii="Bookman Old Style" w:hAnsi="Bookman Old Style"/>
          <w:sz w:val="24"/>
          <w:szCs w:val="24"/>
        </w:rPr>
        <w:t xml:space="preserve"> </w:t>
      </w:r>
      <w:r w:rsidRPr="000E42D9">
        <w:rPr>
          <w:rFonts w:ascii="Bookman Old Style" w:hAnsi="Bookman Old Style"/>
          <w:sz w:val="24"/>
          <w:szCs w:val="24"/>
        </w:rPr>
        <w:t>Peraturan</w:t>
      </w:r>
      <w:r w:rsidR="00A954D0">
        <w:rPr>
          <w:rFonts w:ascii="Bookman Old Style" w:hAnsi="Bookman Old Style"/>
          <w:sz w:val="24"/>
          <w:szCs w:val="24"/>
        </w:rPr>
        <w:t xml:space="preserve"> </w:t>
      </w:r>
      <w:r w:rsidRPr="000E42D9">
        <w:rPr>
          <w:rFonts w:ascii="Bookman Old Style" w:hAnsi="Bookman Old Style"/>
          <w:sz w:val="24"/>
          <w:szCs w:val="24"/>
        </w:rPr>
        <w:t>Daerah</w:t>
      </w:r>
      <w:r w:rsidR="00A954D0">
        <w:rPr>
          <w:rFonts w:ascii="Bookman Old Style" w:hAnsi="Bookman Old Style"/>
          <w:sz w:val="24"/>
          <w:szCs w:val="24"/>
        </w:rPr>
        <w:t xml:space="preserve"> </w:t>
      </w:r>
      <w:r w:rsidRPr="000E42D9">
        <w:rPr>
          <w:rFonts w:ascii="Bookman Old Style" w:hAnsi="Bookman Old Style"/>
          <w:sz w:val="24"/>
          <w:szCs w:val="24"/>
          <w:lang w:val="en-ID"/>
        </w:rPr>
        <w:t>Kota</w:t>
      </w:r>
      <w:r w:rsidR="00A954D0">
        <w:rPr>
          <w:rFonts w:ascii="Bookman Old Style" w:hAnsi="Bookman Old Style"/>
          <w:sz w:val="24"/>
          <w:szCs w:val="24"/>
          <w:lang w:val="en-ID"/>
        </w:rPr>
        <w:t xml:space="preserve"> </w:t>
      </w:r>
      <w:r w:rsidRPr="000E42D9">
        <w:rPr>
          <w:rFonts w:ascii="Bookman Old Style" w:hAnsi="Bookman Old Style"/>
          <w:sz w:val="24"/>
          <w:szCs w:val="24"/>
          <w:lang w:val="en-ID"/>
        </w:rPr>
        <w:t>Tangerang</w:t>
      </w:r>
      <w:r w:rsidR="00A954D0">
        <w:rPr>
          <w:rFonts w:ascii="Bookman Old Style" w:hAnsi="Bookman Old Style"/>
          <w:sz w:val="24"/>
          <w:szCs w:val="24"/>
          <w:lang w:val="en-ID"/>
        </w:rPr>
        <w:t xml:space="preserve"> </w:t>
      </w:r>
      <w:r w:rsidRPr="000E42D9">
        <w:rPr>
          <w:rFonts w:ascii="Bookman Old Style" w:hAnsi="Bookman Old Style"/>
          <w:sz w:val="24"/>
          <w:szCs w:val="24"/>
        </w:rPr>
        <w:t>tentang</w:t>
      </w:r>
      <w:r w:rsidR="00A954D0">
        <w:rPr>
          <w:rFonts w:ascii="Bookman Old Style" w:hAnsi="Bookman Old Style"/>
          <w:sz w:val="24"/>
          <w:szCs w:val="24"/>
        </w:rPr>
        <w:t xml:space="preserve"> </w:t>
      </w:r>
      <w:r w:rsidRPr="000E42D9">
        <w:rPr>
          <w:rFonts w:ascii="Bookman Old Style" w:hAnsi="Bookman Old Style"/>
          <w:sz w:val="24"/>
          <w:szCs w:val="24"/>
        </w:rPr>
        <w:t>APBD</w:t>
      </w:r>
      <w:r w:rsidR="00A954D0">
        <w:rPr>
          <w:rFonts w:ascii="Bookman Old Style" w:hAnsi="Bookman Old Style"/>
          <w:sz w:val="24"/>
          <w:szCs w:val="24"/>
        </w:rPr>
        <w:t xml:space="preserve"> </w:t>
      </w:r>
      <w:r w:rsidRPr="000E42D9">
        <w:rPr>
          <w:rFonts w:ascii="Bookman Old Style" w:hAnsi="Bookman Old Style"/>
          <w:sz w:val="24"/>
          <w:szCs w:val="24"/>
        </w:rPr>
        <w:t>Tahun</w:t>
      </w:r>
      <w:r w:rsidR="00A954D0">
        <w:rPr>
          <w:rFonts w:ascii="Bookman Old Style" w:hAnsi="Bookman Old Style"/>
          <w:sz w:val="24"/>
          <w:szCs w:val="24"/>
        </w:rPr>
        <w:t xml:space="preserve"> </w:t>
      </w:r>
      <w:r w:rsidRPr="000E42D9">
        <w:rPr>
          <w:rFonts w:ascii="Bookman Old Style" w:hAnsi="Bookman Old Style"/>
          <w:sz w:val="24"/>
          <w:szCs w:val="24"/>
        </w:rPr>
        <w:t>Anggaran</w:t>
      </w:r>
      <w:r w:rsidR="00A954D0">
        <w:rPr>
          <w:rFonts w:ascii="Bookman Old Style" w:hAnsi="Bookman Old Style"/>
          <w:sz w:val="24"/>
          <w:szCs w:val="24"/>
        </w:rPr>
        <w:t xml:space="preserve"> </w:t>
      </w:r>
      <w:r w:rsidRPr="000E42D9">
        <w:rPr>
          <w:rFonts w:ascii="Bookman Old Style" w:hAnsi="Bookman Old Style"/>
          <w:sz w:val="24"/>
          <w:szCs w:val="24"/>
        </w:rPr>
        <w:t>202</w:t>
      </w:r>
      <w:r w:rsidRPr="000E42D9">
        <w:rPr>
          <w:rFonts w:ascii="Bookman Old Style" w:hAnsi="Bookman Old Style"/>
          <w:sz w:val="24"/>
          <w:szCs w:val="24"/>
          <w:lang w:val="en-US"/>
        </w:rPr>
        <w:t>5</w:t>
      </w:r>
      <w:r w:rsidR="00A954D0">
        <w:rPr>
          <w:rFonts w:ascii="Bookman Old Style" w:hAnsi="Bookman Old Style"/>
          <w:sz w:val="24"/>
          <w:szCs w:val="24"/>
          <w:lang w:val="en-US"/>
        </w:rPr>
        <w:t xml:space="preserve"> </w:t>
      </w:r>
      <w:r w:rsidRPr="000E42D9">
        <w:rPr>
          <w:rFonts w:ascii="Bookman Old Style" w:hAnsi="Bookman Old Style"/>
          <w:sz w:val="24"/>
          <w:szCs w:val="24"/>
          <w:lang w:val="it-IT"/>
        </w:rPr>
        <w:t>Rp2.699.738.217.010,00</w:t>
      </w:r>
      <w:r w:rsidR="00A954D0">
        <w:rPr>
          <w:rFonts w:ascii="Bookman Old Style" w:hAnsi="Bookman Old Style"/>
          <w:sz w:val="24"/>
          <w:szCs w:val="24"/>
          <w:lang w:val="it-IT"/>
        </w:rPr>
        <w:t xml:space="preserve"> </w:t>
      </w:r>
      <w:r w:rsidRPr="000E42D9">
        <w:rPr>
          <w:rFonts w:ascii="Bookman Old Style" w:hAnsi="Bookman Old Style"/>
          <w:sz w:val="24"/>
          <w:szCs w:val="24"/>
          <w:lang w:val="it-IT"/>
        </w:rPr>
        <w:t>atau</w:t>
      </w:r>
      <w:r w:rsidR="00A954D0">
        <w:rPr>
          <w:rFonts w:ascii="Bookman Old Style" w:hAnsi="Bookman Old Style"/>
          <w:sz w:val="24"/>
          <w:szCs w:val="24"/>
          <w:lang w:val="it-IT"/>
        </w:rPr>
        <w:t xml:space="preserve"> </w:t>
      </w:r>
      <w:r w:rsidRPr="000E42D9">
        <w:rPr>
          <w:rFonts w:ascii="Bookman Old Style" w:hAnsi="Bookman Old Style"/>
          <w:sz w:val="24"/>
          <w:szCs w:val="24"/>
          <w:lang w:val="it-IT"/>
        </w:rPr>
        <w:t>50,88%</w:t>
      </w:r>
      <w:r w:rsidR="00A954D0">
        <w:rPr>
          <w:rFonts w:ascii="Bookman Old Style" w:hAnsi="Bookman Old Style"/>
          <w:sz w:val="24"/>
          <w:szCs w:val="24"/>
        </w:rPr>
        <w:t xml:space="preserve"> </w:t>
      </w:r>
      <w:r w:rsidRPr="000E42D9">
        <w:rPr>
          <w:rFonts w:ascii="Bookman Old Style" w:hAnsi="Bookman Old Style"/>
          <w:sz w:val="24"/>
          <w:szCs w:val="24"/>
        </w:rPr>
        <w:t>dari</w:t>
      </w:r>
      <w:r w:rsidR="00A954D0">
        <w:rPr>
          <w:rFonts w:ascii="Bookman Old Style" w:hAnsi="Bookman Old Style"/>
          <w:sz w:val="24"/>
          <w:szCs w:val="24"/>
        </w:rPr>
        <w:t xml:space="preserve"> </w:t>
      </w:r>
      <w:r w:rsidRPr="000E42D9">
        <w:rPr>
          <w:rFonts w:ascii="Bookman Old Style" w:hAnsi="Bookman Old Style"/>
          <w:sz w:val="24"/>
          <w:szCs w:val="24"/>
        </w:rPr>
        <w:t>total</w:t>
      </w:r>
      <w:r w:rsidR="00A954D0">
        <w:rPr>
          <w:rFonts w:ascii="Bookman Old Style" w:hAnsi="Bookman Old Style"/>
          <w:sz w:val="24"/>
          <w:szCs w:val="24"/>
        </w:rPr>
        <w:t xml:space="preserve"> </w:t>
      </w:r>
      <w:r w:rsidRPr="000E42D9">
        <w:rPr>
          <w:rFonts w:ascii="Bookman Old Style" w:hAnsi="Bookman Old Style"/>
          <w:sz w:val="24"/>
          <w:szCs w:val="24"/>
        </w:rPr>
        <w:t>pendapatan</w:t>
      </w:r>
      <w:r w:rsidR="00A954D0">
        <w:rPr>
          <w:rFonts w:ascii="Bookman Old Style" w:hAnsi="Bookman Old Style"/>
          <w:sz w:val="24"/>
          <w:szCs w:val="24"/>
        </w:rPr>
        <w:t xml:space="preserve"> </w:t>
      </w:r>
      <w:r w:rsidRPr="000E42D9">
        <w:rPr>
          <w:rFonts w:ascii="Bookman Old Style" w:hAnsi="Bookman Old Style"/>
          <w:sz w:val="24"/>
          <w:szCs w:val="24"/>
        </w:rPr>
        <w:t>daerah</w:t>
      </w:r>
      <w:r w:rsidR="00A954D0">
        <w:rPr>
          <w:rFonts w:ascii="Bookman Old Style" w:hAnsi="Bookman Old Style"/>
          <w:sz w:val="24"/>
          <w:szCs w:val="24"/>
        </w:rPr>
        <w:t xml:space="preserve"> </w:t>
      </w:r>
      <w:r w:rsidRPr="000E42D9">
        <w:rPr>
          <w:rFonts w:ascii="Bookman Old Style" w:hAnsi="Bookman Old Style"/>
          <w:sz w:val="24"/>
          <w:szCs w:val="24"/>
          <w:lang w:val="it-IT"/>
        </w:rPr>
        <w:t>dan</w:t>
      </w:r>
      <w:r w:rsidR="00A954D0">
        <w:rPr>
          <w:rFonts w:ascii="Bookman Old Style" w:hAnsi="Bookman Old Style"/>
          <w:sz w:val="24"/>
          <w:szCs w:val="24"/>
          <w:lang w:val="it-IT"/>
        </w:rPr>
        <w:t xml:space="preserve"> </w:t>
      </w:r>
      <w:r w:rsidRPr="000E42D9">
        <w:rPr>
          <w:rFonts w:ascii="Bookman Old Style" w:hAnsi="Bookman Old Style"/>
          <w:sz w:val="24"/>
          <w:szCs w:val="24"/>
          <w:lang w:val="it-IT"/>
        </w:rPr>
        <w:t>88,72%</w:t>
      </w:r>
      <w:r w:rsidR="00A954D0">
        <w:rPr>
          <w:rFonts w:ascii="Bookman Old Style" w:hAnsi="Bookman Old Style"/>
          <w:sz w:val="24"/>
          <w:szCs w:val="24"/>
        </w:rPr>
        <w:t xml:space="preserve"> </w:t>
      </w:r>
      <w:r w:rsidRPr="000E42D9">
        <w:rPr>
          <w:rFonts w:ascii="Bookman Old Style" w:hAnsi="Bookman Old Style"/>
          <w:sz w:val="24"/>
          <w:szCs w:val="24"/>
        </w:rPr>
        <w:t>dari</w:t>
      </w:r>
      <w:r w:rsidR="00A954D0">
        <w:rPr>
          <w:rFonts w:ascii="Bookman Old Style" w:hAnsi="Bookman Old Style"/>
          <w:sz w:val="24"/>
          <w:szCs w:val="24"/>
        </w:rPr>
        <w:t xml:space="preserve"> </w:t>
      </w:r>
      <w:r w:rsidRPr="000E42D9">
        <w:rPr>
          <w:rFonts w:ascii="Bookman Old Style" w:hAnsi="Bookman Old Style"/>
          <w:sz w:val="24"/>
          <w:szCs w:val="24"/>
        </w:rPr>
        <w:t>total</w:t>
      </w:r>
      <w:r w:rsidR="00A954D0">
        <w:rPr>
          <w:rFonts w:ascii="Bookman Old Style" w:hAnsi="Bookman Old Style"/>
          <w:sz w:val="24"/>
          <w:szCs w:val="24"/>
        </w:rPr>
        <w:t xml:space="preserve"> </w:t>
      </w:r>
      <w:r w:rsidRPr="000E42D9">
        <w:rPr>
          <w:rFonts w:ascii="Bookman Old Style" w:hAnsi="Bookman Old Style"/>
          <w:sz w:val="24"/>
          <w:szCs w:val="24"/>
        </w:rPr>
        <w:t>pendapatan</w:t>
      </w:r>
      <w:r w:rsidR="00A954D0">
        <w:rPr>
          <w:rFonts w:ascii="Bookman Old Style" w:hAnsi="Bookman Old Style"/>
          <w:sz w:val="24"/>
          <w:szCs w:val="24"/>
        </w:rPr>
        <w:t xml:space="preserve"> </w:t>
      </w:r>
      <w:r w:rsidRPr="000E42D9">
        <w:rPr>
          <w:rFonts w:ascii="Bookman Old Style" w:hAnsi="Bookman Old Style"/>
          <w:sz w:val="24"/>
          <w:szCs w:val="24"/>
        </w:rPr>
        <w:t>asli</w:t>
      </w:r>
      <w:r w:rsidR="00A954D0">
        <w:rPr>
          <w:rFonts w:ascii="Bookman Old Style" w:hAnsi="Bookman Old Style"/>
          <w:sz w:val="24"/>
          <w:szCs w:val="24"/>
        </w:rPr>
        <w:t xml:space="preserve"> </w:t>
      </w:r>
      <w:r w:rsidRPr="000E42D9">
        <w:rPr>
          <w:rFonts w:ascii="Bookman Old Style" w:hAnsi="Bookman Old Style"/>
          <w:sz w:val="24"/>
          <w:szCs w:val="24"/>
        </w:rPr>
        <w:t>daerah</w:t>
      </w:r>
      <w:r w:rsidRPr="000E42D9">
        <w:rPr>
          <w:rFonts w:ascii="Bookman Old Style" w:hAnsi="Bookman Old Style"/>
          <w:sz w:val="24"/>
          <w:szCs w:val="24"/>
          <w:lang w:val="en-US"/>
        </w:rPr>
        <w:t>,</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yang</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diuraikan</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sebagai</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berikut:</w:t>
      </w:r>
    </w:p>
    <w:p w14:paraId="027E768C" w14:textId="5B3AA395" w:rsidR="000E5ADB" w:rsidRPr="000E42D9" w:rsidRDefault="000E5ADB" w:rsidP="00FD6795">
      <w:pPr>
        <w:pStyle w:val="ListParagraph"/>
        <w:numPr>
          <w:ilvl w:val="0"/>
          <w:numId w:val="36"/>
        </w:numPr>
        <w:spacing w:before="60" w:after="0" w:line="276" w:lineRule="auto"/>
        <w:ind w:left="2694" w:hanging="426"/>
        <w:contextualSpacing w:val="0"/>
        <w:jc w:val="both"/>
        <w:rPr>
          <w:rFonts w:ascii="Bookman Old Style" w:hAnsi="Bookman Old Style"/>
          <w:sz w:val="24"/>
          <w:szCs w:val="24"/>
        </w:rPr>
      </w:pPr>
      <w:r w:rsidRPr="000E42D9">
        <w:rPr>
          <w:rFonts w:ascii="Bookman Old Style" w:hAnsi="Bookman Old Style"/>
          <w:sz w:val="24"/>
          <w:szCs w:val="24"/>
        </w:rPr>
        <w:t>Pajak</w:t>
      </w:r>
      <w:r w:rsidR="00A954D0">
        <w:rPr>
          <w:rFonts w:ascii="Bookman Old Style" w:hAnsi="Bookman Old Style"/>
          <w:sz w:val="24"/>
          <w:szCs w:val="24"/>
        </w:rPr>
        <w:t xml:space="preserve"> </w:t>
      </w:r>
      <w:r w:rsidRPr="000E42D9">
        <w:rPr>
          <w:rFonts w:ascii="Bookman Old Style" w:hAnsi="Bookman Old Style"/>
          <w:sz w:val="24"/>
          <w:szCs w:val="24"/>
        </w:rPr>
        <w:t>Reklame</w:t>
      </w:r>
      <w:r w:rsidR="00A954D0">
        <w:rPr>
          <w:rFonts w:ascii="Bookman Old Style" w:hAnsi="Bookman Old Style"/>
          <w:sz w:val="24"/>
          <w:szCs w:val="24"/>
        </w:rPr>
        <w:t xml:space="preserve"> </w:t>
      </w:r>
      <w:r w:rsidRPr="000E42D9">
        <w:rPr>
          <w:rFonts w:ascii="Bookman Old Style" w:hAnsi="Bookman Old Style"/>
          <w:sz w:val="24"/>
          <w:szCs w:val="24"/>
          <w:lang w:val="en-ID"/>
        </w:rPr>
        <w:t>Rp38.000.000.000,00</w:t>
      </w:r>
      <w:r w:rsidRPr="000E42D9">
        <w:rPr>
          <w:rFonts w:ascii="Bookman Old Style" w:hAnsi="Bookman Old Style"/>
          <w:sz w:val="24"/>
          <w:szCs w:val="24"/>
        </w:rPr>
        <w:t>;</w:t>
      </w:r>
    </w:p>
    <w:p w14:paraId="48969A7F" w14:textId="1033E130" w:rsidR="000E5ADB" w:rsidRPr="000E42D9" w:rsidRDefault="000E5ADB" w:rsidP="00FD6795">
      <w:pPr>
        <w:pStyle w:val="ListParagraph"/>
        <w:numPr>
          <w:ilvl w:val="0"/>
          <w:numId w:val="36"/>
        </w:numPr>
        <w:spacing w:before="60" w:after="0" w:line="276" w:lineRule="auto"/>
        <w:ind w:left="2694" w:hanging="426"/>
        <w:contextualSpacing w:val="0"/>
        <w:jc w:val="both"/>
        <w:rPr>
          <w:rFonts w:ascii="Bookman Old Style" w:hAnsi="Bookman Old Style"/>
          <w:sz w:val="24"/>
          <w:szCs w:val="24"/>
        </w:rPr>
      </w:pPr>
      <w:r w:rsidRPr="000E42D9">
        <w:rPr>
          <w:rFonts w:ascii="Bookman Old Style" w:hAnsi="Bookman Old Style"/>
          <w:sz w:val="24"/>
          <w:szCs w:val="24"/>
        </w:rPr>
        <w:t>Pajak</w:t>
      </w:r>
      <w:r w:rsidR="00A954D0">
        <w:rPr>
          <w:rFonts w:ascii="Bookman Old Style" w:hAnsi="Bookman Old Style"/>
          <w:sz w:val="24"/>
          <w:szCs w:val="24"/>
        </w:rPr>
        <w:t xml:space="preserve"> </w:t>
      </w:r>
      <w:r w:rsidRPr="000E42D9">
        <w:rPr>
          <w:rFonts w:ascii="Bookman Old Style" w:hAnsi="Bookman Old Style"/>
          <w:sz w:val="24"/>
          <w:szCs w:val="24"/>
        </w:rPr>
        <w:t>Air</w:t>
      </w:r>
      <w:r w:rsidR="00A954D0">
        <w:rPr>
          <w:rFonts w:ascii="Bookman Old Style" w:hAnsi="Bookman Old Style"/>
          <w:sz w:val="24"/>
          <w:szCs w:val="24"/>
        </w:rPr>
        <w:t xml:space="preserve"> </w:t>
      </w:r>
      <w:r w:rsidRPr="000E42D9">
        <w:rPr>
          <w:rFonts w:ascii="Bookman Old Style" w:hAnsi="Bookman Old Style"/>
          <w:sz w:val="24"/>
          <w:szCs w:val="24"/>
        </w:rPr>
        <w:t>Tanah</w:t>
      </w:r>
      <w:r w:rsidR="00A954D0">
        <w:rPr>
          <w:rFonts w:ascii="Bookman Old Style" w:hAnsi="Bookman Old Style"/>
          <w:sz w:val="24"/>
          <w:szCs w:val="24"/>
        </w:rPr>
        <w:t xml:space="preserve"> </w:t>
      </w:r>
      <w:r w:rsidRPr="000E42D9">
        <w:rPr>
          <w:rFonts w:ascii="Bookman Old Style" w:hAnsi="Bookman Old Style"/>
          <w:sz w:val="24"/>
          <w:szCs w:val="24"/>
          <w:lang w:val="en-ID"/>
        </w:rPr>
        <w:t>Rp10.000.000.000,00</w:t>
      </w:r>
      <w:r w:rsidRPr="000E42D9">
        <w:rPr>
          <w:rFonts w:ascii="Bookman Old Style" w:hAnsi="Bookman Old Style"/>
          <w:sz w:val="24"/>
          <w:szCs w:val="24"/>
        </w:rPr>
        <w:t>;</w:t>
      </w:r>
    </w:p>
    <w:p w14:paraId="54B1D879" w14:textId="1470A316" w:rsidR="000E5ADB" w:rsidRPr="000E42D9" w:rsidRDefault="000E5ADB" w:rsidP="00FD6795">
      <w:pPr>
        <w:pStyle w:val="ListParagraph"/>
        <w:numPr>
          <w:ilvl w:val="0"/>
          <w:numId w:val="36"/>
        </w:numPr>
        <w:spacing w:before="60" w:after="0" w:line="276" w:lineRule="auto"/>
        <w:ind w:left="2694" w:hanging="426"/>
        <w:contextualSpacing w:val="0"/>
        <w:jc w:val="both"/>
        <w:rPr>
          <w:rFonts w:ascii="Bookman Old Style" w:hAnsi="Bookman Old Style"/>
          <w:sz w:val="24"/>
          <w:szCs w:val="24"/>
        </w:rPr>
      </w:pPr>
      <w:r w:rsidRPr="000E42D9">
        <w:rPr>
          <w:rFonts w:ascii="Bookman Old Style" w:hAnsi="Bookman Old Style"/>
          <w:sz w:val="24"/>
          <w:szCs w:val="24"/>
        </w:rPr>
        <w:t>Pajak</w:t>
      </w:r>
      <w:r w:rsidR="00A954D0">
        <w:rPr>
          <w:rFonts w:ascii="Bookman Old Style" w:hAnsi="Bookman Old Style"/>
          <w:sz w:val="24"/>
          <w:szCs w:val="24"/>
        </w:rPr>
        <w:t xml:space="preserve"> </w:t>
      </w:r>
      <w:r w:rsidRPr="000E42D9">
        <w:rPr>
          <w:rFonts w:ascii="Bookman Old Style" w:hAnsi="Bookman Old Style"/>
          <w:sz w:val="24"/>
          <w:szCs w:val="24"/>
        </w:rPr>
        <w:t>Bumi</w:t>
      </w:r>
      <w:r w:rsidR="00A954D0">
        <w:rPr>
          <w:rFonts w:ascii="Bookman Old Style" w:hAnsi="Bookman Old Style"/>
          <w:sz w:val="24"/>
          <w:szCs w:val="24"/>
        </w:rPr>
        <w:t xml:space="preserve"> </w:t>
      </w:r>
      <w:r w:rsidRPr="000E42D9">
        <w:rPr>
          <w:rFonts w:ascii="Bookman Old Style" w:hAnsi="Bookman Old Style"/>
          <w:sz w:val="24"/>
          <w:szCs w:val="24"/>
        </w:rPr>
        <w:t>dan</w:t>
      </w:r>
      <w:r w:rsidR="00A954D0">
        <w:rPr>
          <w:rFonts w:ascii="Bookman Old Style" w:hAnsi="Bookman Old Style"/>
          <w:sz w:val="24"/>
          <w:szCs w:val="24"/>
        </w:rPr>
        <w:t xml:space="preserve"> </w:t>
      </w:r>
      <w:r w:rsidRPr="000E42D9">
        <w:rPr>
          <w:rFonts w:ascii="Bookman Old Style" w:hAnsi="Bookman Old Style"/>
          <w:sz w:val="24"/>
          <w:szCs w:val="24"/>
        </w:rPr>
        <w:t>Bangunan</w:t>
      </w:r>
      <w:r w:rsidR="00A954D0">
        <w:rPr>
          <w:rFonts w:ascii="Bookman Old Style" w:hAnsi="Bookman Old Style"/>
          <w:sz w:val="24"/>
          <w:szCs w:val="24"/>
        </w:rPr>
        <w:t xml:space="preserve"> </w:t>
      </w:r>
      <w:r w:rsidRPr="000E42D9">
        <w:rPr>
          <w:rFonts w:ascii="Bookman Old Style" w:hAnsi="Bookman Old Style"/>
          <w:sz w:val="24"/>
          <w:szCs w:val="24"/>
        </w:rPr>
        <w:t>Perdesaan</w:t>
      </w:r>
      <w:r w:rsidR="00A954D0">
        <w:rPr>
          <w:rFonts w:ascii="Bookman Old Style" w:hAnsi="Bookman Old Style"/>
          <w:sz w:val="24"/>
          <w:szCs w:val="24"/>
        </w:rPr>
        <w:t xml:space="preserve"> </w:t>
      </w:r>
      <w:r w:rsidRPr="000E42D9">
        <w:rPr>
          <w:rFonts w:ascii="Bookman Old Style" w:hAnsi="Bookman Old Style"/>
          <w:sz w:val="24"/>
          <w:szCs w:val="24"/>
        </w:rPr>
        <w:t>dan</w:t>
      </w:r>
      <w:r w:rsidR="00A954D0">
        <w:rPr>
          <w:rFonts w:ascii="Bookman Old Style" w:hAnsi="Bookman Old Style"/>
          <w:sz w:val="24"/>
          <w:szCs w:val="24"/>
        </w:rPr>
        <w:t xml:space="preserve"> </w:t>
      </w:r>
      <w:r w:rsidRPr="000E42D9">
        <w:rPr>
          <w:rFonts w:ascii="Bookman Old Style" w:hAnsi="Bookman Old Style"/>
          <w:sz w:val="24"/>
          <w:szCs w:val="24"/>
        </w:rPr>
        <w:t>Perkotaan</w:t>
      </w:r>
      <w:r w:rsidR="00A954D0">
        <w:rPr>
          <w:rFonts w:ascii="Bookman Old Style" w:hAnsi="Bookman Old Style"/>
          <w:sz w:val="24"/>
          <w:szCs w:val="24"/>
        </w:rPr>
        <w:t xml:space="preserve"> </w:t>
      </w:r>
      <w:r w:rsidRPr="000E42D9">
        <w:rPr>
          <w:rFonts w:ascii="Bookman Old Style" w:hAnsi="Bookman Old Style"/>
          <w:sz w:val="24"/>
          <w:szCs w:val="24"/>
        </w:rPr>
        <w:t>(PBBP2)</w:t>
      </w:r>
      <w:r w:rsidR="00A954D0">
        <w:rPr>
          <w:rFonts w:ascii="Bookman Old Style" w:hAnsi="Bookman Old Style"/>
          <w:sz w:val="24"/>
          <w:szCs w:val="24"/>
        </w:rPr>
        <w:t xml:space="preserve"> </w:t>
      </w:r>
      <w:r w:rsidRPr="003255BC">
        <w:rPr>
          <w:rFonts w:ascii="Bookman Old Style" w:hAnsi="Bookman Old Style"/>
          <w:sz w:val="24"/>
          <w:szCs w:val="24"/>
          <w:lang w:val="sv-FI"/>
        </w:rPr>
        <w:t>Rp610.000.000.000,00</w:t>
      </w:r>
      <w:r w:rsidRPr="000E42D9">
        <w:rPr>
          <w:rFonts w:ascii="Bookman Old Style" w:hAnsi="Bookman Old Style"/>
          <w:sz w:val="24"/>
          <w:szCs w:val="24"/>
        </w:rPr>
        <w:t>;</w:t>
      </w:r>
      <w:r w:rsidR="00A954D0">
        <w:rPr>
          <w:rFonts w:ascii="Bookman Old Style" w:hAnsi="Bookman Old Style"/>
          <w:sz w:val="24"/>
          <w:szCs w:val="24"/>
        </w:rPr>
        <w:t xml:space="preserve"> </w:t>
      </w:r>
    </w:p>
    <w:p w14:paraId="45CA7EBC" w14:textId="7671358C" w:rsidR="000E5ADB" w:rsidRPr="000E42D9" w:rsidRDefault="000E5ADB" w:rsidP="00FD6795">
      <w:pPr>
        <w:pStyle w:val="ListParagraph"/>
        <w:numPr>
          <w:ilvl w:val="0"/>
          <w:numId w:val="36"/>
        </w:numPr>
        <w:spacing w:before="60" w:after="0" w:line="276" w:lineRule="auto"/>
        <w:ind w:left="2694" w:hanging="426"/>
        <w:contextualSpacing w:val="0"/>
        <w:jc w:val="both"/>
        <w:rPr>
          <w:rFonts w:ascii="Bookman Old Style" w:hAnsi="Bookman Old Style"/>
          <w:sz w:val="24"/>
          <w:szCs w:val="24"/>
        </w:rPr>
      </w:pPr>
      <w:r w:rsidRPr="000E42D9">
        <w:rPr>
          <w:rFonts w:ascii="Bookman Old Style" w:hAnsi="Bookman Old Style"/>
          <w:sz w:val="24"/>
          <w:szCs w:val="24"/>
        </w:rPr>
        <w:t>Bea</w:t>
      </w:r>
      <w:r w:rsidR="00A954D0">
        <w:rPr>
          <w:rFonts w:ascii="Bookman Old Style" w:hAnsi="Bookman Old Style"/>
          <w:sz w:val="24"/>
          <w:szCs w:val="24"/>
        </w:rPr>
        <w:t xml:space="preserve"> </w:t>
      </w:r>
      <w:r w:rsidRPr="000E42D9">
        <w:rPr>
          <w:rFonts w:ascii="Bookman Old Style" w:hAnsi="Bookman Old Style"/>
          <w:sz w:val="24"/>
          <w:szCs w:val="24"/>
        </w:rPr>
        <w:t>Perolehan</w:t>
      </w:r>
      <w:r w:rsidR="00A954D0">
        <w:rPr>
          <w:rFonts w:ascii="Bookman Old Style" w:hAnsi="Bookman Old Style"/>
          <w:sz w:val="24"/>
          <w:szCs w:val="24"/>
        </w:rPr>
        <w:t xml:space="preserve"> </w:t>
      </w:r>
      <w:r w:rsidRPr="000E42D9">
        <w:rPr>
          <w:rFonts w:ascii="Bookman Old Style" w:hAnsi="Bookman Old Style"/>
          <w:sz w:val="24"/>
          <w:szCs w:val="24"/>
        </w:rPr>
        <w:t>Hak</w:t>
      </w:r>
      <w:r w:rsidR="00A954D0">
        <w:rPr>
          <w:rFonts w:ascii="Bookman Old Style" w:hAnsi="Bookman Old Style"/>
          <w:sz w:val="24"/>
          <w:szCs w:val="24"/>
        </w:rPr>
        <w:t xml:space="preserve"> </w:t>
      </w:r>
      <w:r w:rsidRPr="000E42D9">
        <w:rPr>
          <w:rFonts w:ascii="Bookman Old Style" w:hAnsi="Bookman Old Style"/>
          <w:sz w:val="24"/>
          <w:szCs w:val="24"/>
        </w:rPr>
        <w:t>Atas</w:t>
      </w:r>
      <w:r w:rsidR="00A954D0">
        <w:rPr>
          <w:rFonts w:ascii="Bookman Old Style" w:hAnsi="Bookman Old Style"/>
          <w:sz w:val="24"/>
          <w:szCs w:val="24"/>
        </w:rPr>
        <w:t xml:space="preserve"> </w:t>
      </w:r>
      <w:r w:rsidRPr="000E42D9">
        <w:rPr>
          <w:rFonts w:ascii="Bookman Old Style" w:hAnsi="Bookman Old Style"/>
          <w:sz w:val="24"/>
          <w:szCs w:val="24"/>
        </w:rPr>
        <w:t>Tanah</w:t>
      </w:r>
      <w:r w:rsidR="00A954D0">
        <w:rPr>
          <w:rFonts w:ascii="Bookman Old Style" w:hAnsi="Bookman Old Style"/>
          <w:sz w:val="24"/>
          <w:szCs w:val="24"/>
        </w:rPr>
        <w:t xml:space="preserve"> </w:t>
      </w:r>
      <w:r w:rsidRPr="000E42D9">
        <w:rPr>
          <w:rFonts w:ascii="Bookman Old Style" w:hAnsi="Bookman Old Style"/>
          <w:sz w:val="24"/>
          <w:szCs w:val="24"/>
        </w:rPr>
        <w:t>dan</w:t>
      </w:r>
      <w:r w:rsidR="00A954D0">
        <w:rPr>
          <w:rFonts w:ascii="Bookman Old Style" w:hAnsi="Bookman Old Style"/>
          <w:sz w:val="24"/>
          <w:szCs w:val="24"/>
        </w:rPr>
        <w:t xml:space="preserve"> </w:t>
      </w:r>
      <w:r w:rsidRPr="000E42D9">
        <w:rPr>
          <w:rFonts w:ascii="Bookman Old Style" w:hAnsi="Bookman Old Style"/>
          <w:sz w:val="24"/>
          <w:szCs w:val="24"/>
        </w:rPr>
        <w:t>Bangunan</w:t>
      </w:r>
      <w:r w:rsidR="00A954D0">
        <w:rPr>
          <w:rFonts w:ascii="Bookman Old Style" w:hAnsi="Bookman Old Style"/>
          <w:sz w:val="24"/>
          <w:szCs w:val="24"/>
        </w:rPr>
        <w:t xml:space="preserve"> </w:t>
      </w:r>
      <w:r w:rsidRPr="000E42D9">
        <w:rPr>
          <w:rFonts w:ascii="Bookman Old Style" w:hAnsi="Bookman Old Style"/>
          <w:sz w:val="24"/>
          <w:szCs w:val="24"/>
        </w:rPr>
        <w:t>(BPHTB)</w:t>
      </w:r>
      <w:r w:rsidR="00A954D0">
        <w:rPr>
          <w:rFonts w:ascii="Bookman Old Style" w:hAnsi="Bookman Old Style"/>
          <w:sz w:val="24"/>
          <w:szCs w:val="24"/>
          <w:lang w:val="sv-FI"/>
        </w:rPr>
        <w:t xml:space="preserve"> </w:t>
      </w:r>
      <w:r w:rsidRPr="003255BC">
        <w:rPr>
          <w:rFonts w:ascii="Bookman Old Style" w:hAnsi="Bookman Old Style"/>
          <w:sz w:val="24"/>
          <w:szCs w:val="24"/>
          <w:lang w:val="sv-FI"/>
        </w:rPr>
        <w:t>Rp650.000.000.000,00</w:t>
      </w:r>
      <w:r w:rsidRPr="000E42D9">
        <w:rPr>
          <w:rFonts w:ascii="Bookman Old Style" w:hAnsi="Bookman Old Style"/>
          <w:sz w:val="24"/>
          <w:szCs w:val="24"/>
        </w:rPr>
        <w:t>;</w:t>
      </w:r>
    </w:p>
    <w:p w14:paraId="046CD7E7" w14:textId="0371EBC2" w:rsidR="000E5ADB" w:rsidRPr="000E42D9" w:rsidRDefault="000E5ADB" w:rsidP="00FD6795">
      <w:pPr>
        <w:pStyle w:val="ListParagraph"/>
        <w:numPr>
          <w:ilvl w:val="0"/>
          <w:numId w:val="36"/>
        </w:numPr>
        <w:spacing w:before="60" w:after="0" w:line="276" w:lineRule="auto"/>
        <w:ind w:left="2694" w:hanging="426"/>
        <w:contextualSpacing w:val="0"/>
        <w:jc w:val="both"/>
        <w:rPr>
          <w:rFonts w:ascii="Bookman Old Style" w:hAnsi="Bookman Old Style"/>
          <w:sz w:val="24"/>
          <w:szCs w:val="24"/>
        </w:rPr>
      </w:pPr>
      <w:r w:rsidRPr="000E42D9">
        <w:rPr>
          <w:rFonts w:ascii="Bookman Old Style" w:hAnsi="Bookman Old Style"/>
          <w:sz w:val="24"/>
          <w:szCs w:val="24"/>
        </w:rPr>
        <w:t>Pajak</w:t>
      </w:r>
      <w:r w:rsidR="00A954D0">
        <w:rPr>
          <w:rFonts w:ascii="Bookman Old Style" w:hAnsi="Bookman Old Style"/>
          <w:sz w:val="24"/>
          <w:szCs w:val="24"/>
        </w:rPr>
        <w:t xml:space="preserve"> </w:t>
      </w:r>
      <w:r w:rsidRPr="000E42D9">
        <w:rPr>
          <w:rFonts w:ascii="Bookman Old Style" w:hAnsi="Bookman Old Style"/>
          <w:sz w:val="24"/>
          <w:szCs w:val="24"/>
        </w:rPr>
        <w:t>Barang</w:t>
      </w:r>
      <w:r w:rsidR="00A954D0">
        <w:rPr>
          <w:rFonts w:ascii="Bookman Old Style" w:hAnsi="Bookman Old Style"/>
          <w:sz w:val="24"/>
          <w:szCs w:val="24"/>
        </w:rPr>
        <w:t xml:space="preserve"> </w:t>
      </w:r>
      <w:r w:rsidRPr="000E42D9">
        <w:rPr>
          <w:rFonts w:ascii="Bookman Old Style" w:hAnsi="Bookman Old Style"/>
          <w:sz w:val="24"/>
          <w:szCs w:val="24"/>
        </w:rPr>
        <w:t>dan</w:t>
      </w:r>
      <w:r w:rsidR="00A954D0">
        <w:rPr>
          <w:rFonts w:ascii="Bookman Old Style" w:hAnsi="Bookman Old Style"/>
          <w:sz w:val="24"/>
          <w:szCs w:val="24"/>
        </w:rPr>
        <w:t xml:space="preserve"> </w:t>
      </w:r>
      <w:r w:rsidRPr="000E42D9">
        <w:rPr>
          <w:rFonts w:ascii="Bookman Old Style" w:hAnsi="Bookman Old Style"/>
          <w:sz w:val="24"/>
          <w:szCs w:val="24"/>
        </w:rPr>
        <w:t>Jasa</w:t>
      </w:r>
      <w:r w:rsidR="00A954D0">
        <w:rPr>
          <w:rFonts w:ascii="Bookman Old Style" w:hAnsi="Bookman Old Style"/>
          <w:sz w:val="24"/>
          <w:szCs w:val="24"/>
        </w:rPr>
        <w:t xml:space="preserve"> </w:t>
      </w:r>
      <w:r w:rsidRPr="000E42D9">
        <w:rPr>
          <w:rFonts w:ascii="Bookman Old Style" w:hAnsi="Bookman Old Style"/>
          <w:sz w:val="24"/>
          <w:szCs w:val="24"/>
        </w:rPr>
        <w:t>Tertentu</w:t>
      </w:r>
      <w:r w:rsidR="00A954D0">
        <w:rPr>
          <w:rFonts w:ascii="Bookman Old Style" w:hAnsi="Bookman Old Style"/>
          <w:sz w:val="24"/>
          <w:szCs w:val="24"/>
        </w:rPr>
        <w:t xml:space="preserve"> </w:t>
      </w:r>
      <w:r w:rsidRPr="000E42D9">
        <w:rPr>
          <w:rFonts w:ascii="Bookman Old Style" w:hAnsi="Bookman Old Style"/>
          <w:sz w:val="24"/>
          <w:szCs w:val="24"/>
        </w:rPr>
        <w:t>(PBJT)</w:t>
      </w:r>
      <w:r w:rsidR="00A954D0">
        <w:rPr>
          <w:rFonts w:ascii="Bookman Old Style" w:hAnsi="Bookman Old Style"/>
          <w:sz w:val="24"/>
          <w:szCs w:val="24"/>
        </w:rPr>
        <w:t xml:space="preserve"> </w:t>
      </w:r>
      <w:r w:rsidRPr="000E42D9">
        <w:rPr>
          <w:rFonts w:ascii="Bookman Old Style" w:hAnsi="Bookman Old Style"/>
          <w:sz w:val="24"/>
          <w:szCs w:val="24"/>
        </w:rPr>
        <w:t>Rp817.000.000.000,00;</w:t>
      </w:r>
    </w:p>
    <w:p w14:paraId="5EA37815" w14:textId="2D5C2AF8" w:rsidR="000E5ADB" w:rsidRPr="000E42D9" w:rsidRDefault="000E5ADB" w:rsidP="00FD6795">
      <w:pPr>
        <w:pStyle w:val="ListParagraph"/>
        <w:numPr>
          <w:ilvl w:val="0"/>
          <w:numId w:val="36"/>
        </w:numPr>
        <w:spacing w:before="60" w:after="0" w:line="276" w:lineRule="auto"/>
        <w:ind w:left="2694" w:hanging="426"/>
        <w:contextualSpacing w:val="0"/>
        <w:jc w:val="both"/>
        <w:rPr>
          <w:rFonts w:ascii="Bookman Old Style" w:hAnsi="Bookman Old Style"/>
          <w:sz w:val="24"/>
          <w:szCs w:val="24"/>
        </w:rPr>
      </w:pPr>
      <w:r w:rsidRPr="000E42D9">
        <w:rPr>
          <w:rFonts w:ascii="Bookman Old Style" w:hAnsi="Bookman Old Style"/>
          <w:sz w:val="24"/>
          <w:szCs w:val="24"/>
        </w:rPr>
        <w:t>Opsen</w:t>
      </w:r>
      <w:r w:rsidR="00A954D0">
        <w:rPr>
          <w:rFonts w:ascii="Bookman Old Style" w:hAnsi="Bookman Old Style"/>
          <w:sz w:val="24"/>
          <w:szCs w:val="24"/>
        </w:rPr>
        <w:t xml:space="preserve"> </w:t>
      </w:r>
      <w:r w:rsidRPr="000E42D9">
        <w:rPr>
          <w:rFonts w:ascii="Bookman Old Style" w:hAnsi="Bookman Old Style"/>
          <w:sz w:val="24"/>
          <w:szCs w:val="24"/>
        </w:rPr>
        <w:t>Pajak</w:t>
      </w:r>
      <w:r w:rsidR="00A954D0">
        <w:rPr>
          <w:rFonts w:ascii="Bookman Old Style" w:hAnsi="Bookman Old Style"/>
          <w:sz w:val="24"/>
          <w:szCs w:val="24"/>
        </w:rPr>
        <w:t xml:space="preserve"> </w:t>
      </w:r>
      <w:r w:rsidRPr="000E42D9">
        <w:rPr>
          <w:rFonts w:ascii="Bookman Old Style" w:hAnsi="Bookman Old Style"/>
          <w:sz w:val="24"/>
          <w:szCs w:val="24"/>
        </w:rPr>
        <w:t>Kendaraan</w:t>
      </w:r>
      <w:r w:rsidR="00A954D0">
        <w:rPr>
          <w:rFonts w:ascii="Bookman Old Style" w:hAnsi="Bookman Old Style"/>
          <w:sz w:val="24"/>
          <w:szCs w:val="24"/>
        </w:rPr>
        <w:t xml:space="preserve"> </w:t>
      </w:r>
      <w:r w:rsidRPr="000E42D9">
        <w:rPr>
          <w:rFonts w:ascii="Bookman Old Style" w:hAnsi="Bookman Old Style"/>
          <w:sz w:val="24"/>
          <w:szCs w:val="24"/>
        </w:rPr>
        <w:t>Bermotor</w:t>
      </w:r>
      <w:r w:rsidR="00A954D0">
        <w:rPr>
          <w:rFonts w:ascii="Bookman Old Style" w:hAnsi="Bookman Old Style"/>
          <w:sz w:val="24"/>
          <w:szCs w:val="24"/>
        </w:rPr>
        <w:t xml:space="preserve"> </w:t>
      </w:r>
      <w:r w:rsidRPr="000E42D9">
        <w:rPr>
          <w:rFonts w:ascii="Bookman Old Style" w:hAnsi="Bookman Old Style"/>
          <w:sz w:val="24"/>
          <w:szCs w:val="24"/>
        </w:rPr>
        <w:t>(PKB)</w:t>
      </w:r>
      <w:r w:rsidR="00A954D0">
        <w:rPr>
          <w:rFonts w:ascii="Bookman Old Style" w:hAnsi="Bookman Old Style"/>
          <w:sz w:val="24"/>
          <w:szCs w:val="24"/>
        </w:rPr>
        <w:t xml:space="preserve"> </w:t>
      </w:r>
      <w:r w:rsidRPr="000E42D9">
        <w:rPr>
          <w:rFonts w:ascii="Bookman Old Style" w:hAnsi="Bookman Old Style"/>
          <w:sz w:val="24"/>
          <w:szCs w:val="24"/>
        </w:rPr>
        <w:t>Rp347.583.960.751,00;</w:t>
      </w:r>
    </w:p>
    <w:p w14:paraId="40429C30" w14:textId="7F6796D8" w:rsidR="000E5ADB" w:rsidRDefault="000E5ADB" w:rsidP="00FD6795">
      <w:pPr>
        <w:pStyle w:val="ListParagraph"/>
        <w:numPr>
          <w:ilvl w:val="0"/>
          <w:numId w:val="36"/>
        </w:numPr>
        <w:spacing w:before="60" w:after="0" w:line="276" w:lineRule="auto"/>
        <w:ind w:left="2694" w:hanging="426"/>
        <w:contextualSpacing w:val="0"/>
        <w:jc w:val="both"/>
        <w:rPr>
          <w:rFonts w:ascii="Bookman Old Style" w:hAnsi="Bookman Old Style"/>
          <w:sz w:val="24"/>
          <w:szCs w:val="24"/>
        </w:rPr>
      </w:pPr>
      <w:r w:rsidRPr="000E42D9">
        <w:rPr>
          <w:rFonts w:ascii="Bookman Old Style" w:hAnsi="Bookman Old Style"/>
          <w:sz w:val="24"/>
          <w:szCs w:val="24"/>
        </w:rPr>
        <w:t>Opsen</w:t>
      </w:r>
      <w:r w:rsidR="00A954D0">
        <w:rPr>
          <w:rFonts w:ascii="Bookman Old Style" w:hAnsi="Bookman Old Style"/>
          <w:sz w:val="24"/>
          <w:szCs w:val="24"/>
        </w:rPr>
        <w:t xml:space="preserve"> </w:t>
      </w:r>
      <w:r w:rsidRPr="000E42D9">
        <w:rPr>
          <w:rFonts w:ascii="Bookman Old Style" w:hAnsi="Bookman Old Style"/>
          <w:sz w:val="24"/>
          <w:szCs w:val="24"/>
        </w:rPr>
        <w:t>Bea</w:t>
      </w:r>
      <w:r w:rsidR="00A954D0">
        <w:rPr>
          <w:rFonts w:ascii="Bookman Old Style" w:hAnsi="Bookman Old Style"/>
          <w:sz w:val="24"/>
          <w:szCs w:val="24"/>
        </w:rPr>
        <w:t xml:space="preserve"> </w:t>
      </w:r>
      <w:r w:rsidRPr="000E42D9">
        <w:rPr>
          <w:rFonts w:ascii="Bookman Old Style" w:hAnsi="Bookman Old Style"/>
          <w:sz w:val="24"/>
          <w:szCs w:val="24"/>
        </w:rPr>
        <w:t>Balik</w:t>
      </w:r>
      <w:r w:rsidR="00A954D0">
        <w:rPr>
          <w:rFonts w:ascii="Bookman Old Style" w:hAnsi="Bookman Old Style"/>
          <w:sz w:val="24"/>
          <w:szCs w:val="24"/>
        </w:rPr>
        <w:t xml:space="preserve"> </w:t>
      </w:r>
      <w:r w:rsidRPr="000E42D9">
        <w:rPr>
          <w:rFonts w:ascii="Bookman Old Style" w:hAnsi="Bookman Old Style"/>
          <w:sz w:val="24"/>
          <w:szCs w:val="24"/>
        </w:rPr>
        <w:t>Nama</w:t>
      </w:r>
      <w:r w:rsidR="00A954D0">
        <w:rPr>
          <w:rFonts w:ascii="Bookman Old Style" w:hAnsi="Bookman Old Style"/>
          <w:sz w:val="24"/>
          <w:szCs w:val="24"/>
        </w:rPr>
        <w:t xml:space="preserve"> </w:t>
      </w:r>
      <w:r w:rsidRPr="000E42D9">
        <w:rPr>
          <w:rFonts w:ascii="Bookman Old Style" w:hAnsi="Bookman Old Style"/>
          <w:sz w:val="24"/>
          <w:szCs w:val="24"/>
        </w:rPr>
        <w:t>Kendaraan</w:t>
      </w:r>
      <w:r w:rsidR="00A954D0">
        <w:rPr>
          <w:rFonts w:ascii="Bookman Old Style" w:hAnsi="Bookman Old Style"/>
          <w:sz w:val="24"/>
          <w:szCs w:val="24"/>
        </w:rPr>
        <w:t xml:space="preserve"> </w:t>
      </w:r>
      <w:r w:rsidRPr="000E42D9">
        <w:rPr>
          <w:rFonts w:ascii="Bookman Old Style" w:hAnsi="Bookman Old Style"/>
          <w:sz w:val="24"/>
          <w:szCs w:val="24"/>
        </w:rPr>
        <w:t>Bermotor</w:t>
      </w:r>
      <w:r w:rsidR="00A954D0">
        <w:rPr>
          <w:rFonts w:ascii="Bookman Old Style" w:hAnsi="Bookman Old Style"/>
          <w:sz w:val="24"/>
          <w:szCs w:val="24"/>
        </w:rPr>
        <w:t xml:space="preserve"> </w:t>
      </w:r>
      <w:r w:rsidRPr="000E42D9">
        <w:rPr>
          <w:rFonts w:ascii="Bookman Old Style" w:hAnsi="Bookman Old Style"/>
          <w:sz w:val="24"/>
          <w:szCs w:val="24"/>
        </w:rPr>
        <w:t>(BBNKB)</w:t>
      </w:r>
      <w:r w:rsidR="00A954D0">
        <w:rPr>
          <w:rFonts w:ascii="Bookman Old Style" w:hAnsi="Bookman Old Style"/>
          <w:sz w:val="24"/>
          <w:szCs w:val="24"/>
        </w:rPr>
        <w:t xml:space="preserve"> </w:t>
      </w:r>
      <w:r w:rsidRPr="000E42D9">
        <w:rPr>
          <w:rFonts w:ascii="Bookman Old Style" w:hAnsi="Bookman Old Style"/>
          <w:sz w:val="24"/>
          <w:szCs w:val="24"/>
        </w:rPr>
        <w:t>Rp227.154.256.259,00.</w:t>
      </w:r>
    </w:p>
    <w:p w14:paraId="0B17883F" w14:textId="31F151D1" w:rsidR="00B729CC" w:rsidRPr="00B41280" w:rsidRDefault="00B729CC" w:rsidP="00FD6795">
      <w:pPr>
        <w:pStyle w:val="ListParagraph"/>
        <w:spacing w:before="60" w:after="0" w:line="276" w:lineRule="auto"/>
        <w:ind w:left="2268"/>
        <w:contextualSpacing w:val="0"/>
        <w:jc w:val="both"/>
        <w:rPr>
          <w:rFonts w:ascii="Bookman Old Style" w:hAnsi="Bookman Old Style"/>
          <w:sz w:val="24"/>
          <w:szCs w:val="24"/>
        </w:rPr>
      </w:pPr>
      <w:r>
        <w:rPr>
          <w:rFonts w:ascii="Bookman Old Style" w:hAnsi="Bookman Old Style"/>
          <w:sz w:val="24"/>
          <w:szCs w:val="24"/>
        </w:rPr>
        <w:t>Berdasarkan</w:t>
      </w:r>
      <w:r w:rsidR="00A954D0">
        <w:rPr>
          <w:rFonts w:ascii="Bookman Old Style" w:hAnsi="Bookman Old Style"/>
          <w:sz w:val="24"/>
          <w:szCs w:val="24"/>
        </w:rPr>
        <w:t xml:space="preserve"> </w:t>
      </w:r>
      <w:r>
        <w:rPr>
          <w:rFonts w:ascii="Bookman Old Style" w:hAnsi="Bookman Old Style"/>
          <w:sz w:val="24"/>
          <w:szCs w:val="24"/>
        </w:rPr>
        <w:t>Keputusan</w:t>
      </w:r>
      <w:r w:rsidR="00A954D0">
        <w:rPr>
          <w:rFonts w:ascii="Bookman Old Style" w:hAnsi="Bookman Old Style"/>
          <w:sz w:val="24"/>
          <w:szCs w:val="24"/>
        </w:rPr>
        <w:t xml:space="preserve"> </w:t>
      </w:r>
      <w:r>
        <w:rPr>
          <w:rFonts w:ascii="Bookman Old Style" w:hAnsi="Bookman Old Style"/>
          <w:sz w:val="24"/>
          <w:szCs w:val="24"/>
        </w:rPr>
        <w:t>Gubernur</w:t>
      </w:r>
      <w:r w:rsidR="00A954D0">
        <w:rPr>
          <w:rFonts w:ascii="Bookman Old Style" w:hAnsi="Bookman Old Style"/>
          <w:sz w:val="24"/>
          <w:szCs w:val="24"/>
        </w:rPr>
        <w:t xml:space="preserve"> </w:t>
      </w:r>
      <w:r>
        <w:rPr>
          <w:rFonts w:ascii="Bookman Old Style" w:hAnsi="Bookman Old Style"/>
          <w:sz w:val="24"/>
          <w:szCs w:val="24"/>
        </w:rPr>
        <w:t>Banten</w:t>
      </w:r>
      <w:r w:rsidR="00A954D0">
        <w:rPr>
          <w:rFonts w:ascii="Bookman Old Style" w:hAnsi="Bookman Old Style"/>
          <w:sz w:val="24"/>
          <w:szCs w:val="24"/>
        </w:rPr>
        <w:t xml:space="preserve"> </w:t>
      </w:r>
      <w:r>
        <w:rPr>
          <w:rFonts w:ascii="Bookman Old Style" w:hAnsi="Bookman Old Style"/>
          <w:sz w:val="24"/>
          <w:szCs w:val="24"/>
        </w:rPr>
        <w:t>Nomor</w:t>
      </w:r>
      <w:r w:rsidR="00A954D0">
        <w:rPr>
          <w:rFonts w:ascii="Bookman Old Style" w:hAnsi="Bookman Old Style"/>
          <w:sz w:val="24"/>
          <w:szCs w:val="24"/>
        </w:rPr>
        <w:t xml:space="preserve"> </w:t>
      </w:r>
      <w:r>
        <w:rPr>
          <w:rFonts w:ascii="Bookman Old Style" w:hAnsi="Bookman Old Style"/>
          <w:sz w:val="24"/>
          <w:szCs w:val="24"/>
        </w:rPr>
        <w:t>45</w:t>
      </w:r>
      <w:r w:rsidR="00166620">
        <w:rPr>
          <w:rFonts w:ascii="Bookman Old Style" w:hAnsi="Bookman Old Style"/>
          <w:sz w:val="24"/>
          <w:szCs w:val="24"/>
        </w:rPr>
        <w:t>5</w:t>
      </w:r>
      <w:r w:rsidR="00A954D0">
        <w:rPr>
          <w:rFonts w:ascii="Bookman Old Style" w:hAnsi="Bookman Old Style"/>
          <w:sz w:val="24"/>
          <w:szCs w:val="24"/>
        </w:rPr>
        <w:t xml:space="preserve"> </w:t>
      </w:r>
      <w:r>
        <w:rPr>
          <w:rFonts w:ascii="Bookman Old Style" w:hAnsi="Bookman Old Style"/>
          <w:sz w:val="24"/>
          <w:szCs w:val="24"/>
        </w:rPr>
        <w:t>Tahun</w:t>
      </w:r>
      <w:r w:rsidR="00A954D0">
        <w:rPr>
          <w:rFonts w:ascii="Bookman Old Style" w:hAnsi="Bookman Old Style"/>
          <w:sz w:val="24"/>
          <w:szCs w:val="24"/>
        </w:rPr>
        <w:t xml:space="preserve"> </w:t>
      </w:r>
      <w:r>
        <w:rPr>
          <w:rFonts w:ascii="Bookman Old Style" w:hAnsi="Bookman Old Style"/>
          <w:sz w:val="24"/>
          <w:szCs w:val="24"/>
        </w:rPr>
        <w:t>2024</w:t>
      </w:r>
      <w:r w:rsidR="00A954D0">
        <w:rPr>
          <w:rFonts w:ascii="Bookman Old Style" w:hAnsi="Bookman Old Style"/>
          <w:sz w:val="24"/>
          <w:szCs w:val="24"/>
        </w:rPr>
        <w:t xml:space="preserve"> </w:t>
      </w:r>
      <w:r>
        <w:rPr>
          <w:rFonts w:ascii="Bookman Old Style" w:hAnsi="Bookman Old Style"/>
          <w:sz w:val="24"/>
          <w:szCs w:val="24"/>
        </w:rPr>
        <w:t>tentang</w:t>
      </w:r>
      <w:r w:rsidR="00A954D0">
        <w:rPr>
          <w:rFonts w:ascii="Bookman Old Style" w:hAnsi="Bookman Old Style"/>
          <w:sz w:val="24"/>
          <w:szCs w:val="24"/>
        </w:rPr>
        <w:t xml:space="preserve"> </w:t>
      </w:r>
      <w:r w:rsidRPr="00B41280">
        <w:rPr>
          <w:rFonts w:ascii="Bookman Old Style" w:hAnsi="Bookman Old Style"/>
          <w:sz w:val="24"/>
          <w:szCs w:val="24"/>
        </w:rPr>
        <w:t>Proporsi</w:t>
      </w:r>
      <w:r w:rsidR="00A954D0">
        <w:rPr>
          <w:rFonts w:ascii="Bookman Old Style" w:hAnsi="Bookman Old Style"/>
          <w:sz w:val="24"/>
          <w:szCs w:val="24"/>
        </w:rPr>
        <w:t xml:space="preserve"> </w:t>
      </w:r>
      <w:r w:rsidRPr="00B41280">
        <w:rPr>
          <w:rFonts w:ascii="Bookman Old Style" w:hAnsi="Bookman Old Style"/>
          <w:sz w:val="24"/>
          <w:szCs w:val="24"/>
        </w:rPr>
        <w:t>dan</w:t>
      </w:r>
      <w:r w:rsidR="00A954D0">
        <w:rPr>
          <w:rFonts w:ascii="Bookman Old Style" w:hAnsi="Bookman Old Style"/>
          <w:sz w:val="24"/>
          <w:szCs w:val="24"/>
        </w:rPr>
        <w:t xml:space="preserve"> </w:t>
      </w:r>
      <w:r w:rsidRPr="00B41280">
        <w:rPr>
          <w:rFonts w:ascii="Bookman Old Style" w:hAnsi="Bookman Old Style"/>
          <w:sz w:val="24"/>
          <w:szCs w:val="24"/>
        </w:rPr>
        <w:t>Estimasi</w:t>
      </w:r>
      <w:r w:rsidR="00A954D0">
        <w:rPr>
          <w:rFonts w:ascii="Bookman Old Style" w:hAnsi="Bookman Old Style"/>
          <w:sz w:val="24"/>
          <w:szCs w:val="24"/>
        </w:rPr>
        <w:t xml:space="preserve"> </w:t>
      </w:r>
      <w:r w:rsidRPr="00B41280">
        <w:rPr>
          <w:rFonts w:ascii="Bookman Old Style" w:hAnsi="Bookman Old Style"/>
          <w:sz w:val="24"/>
          <w:szCs w:val="24"/>
        </w:rPr>
        <w:t>Penerimaan</w:t>
      </w:r>
      <w:r w:rsidR="00A954D0">
        <w:rPr>
          <w:rFonts w:ascii="Bookman Old Style" w:hAnsi="Bookman Old Style"/>
          <w:sz w:val="24"/>
          <w:szCs w:val="24"/>
        </w:rPr>
        <w:t xml:space="preserve"> </w:t>
      </w:r>
      <w:r w:rsidRPr="00B41280">
        <w:rPr>
          <w:rFonts w:ascii="Bookman Old Style" w:hAnsi="Bookman Old Style"/>
          <w:sz w:val="24"/>
          <w:szCs w:val="24"/>
        </w:rPr>
        <w:t>Opsen</w:t>
      </w:r>
      <w:r w:rsidR="00A954D0">
        <w:rPr>
          <w:rFonts w:ascii="Bookman Old Style" w:hAnsi="Bookman Old Style"/>
          <w:sz w:val="24"/>
          <w:szCs w:val="24"/>
        </w:rPr>
        <w:t xml:space="preserve"> </w:t>
      </w:r>
      <w:r w:rsidRPr="00B41280">
        <w:rPr>
          <w:rFonts w:ascii="Bookman Old Style" w:hAnsi="Bookman Old Style"/>
          <w:sz w:val="24"/>
          <w:szCs w:val="24"/>
        </w:rPr>
        <w:t>PKB</w:t>
      </w:r>
      <w:r w:rsidR="00A954D0">
        <w:rPr>
          <w:rFonts w:ascii="Bookman Old Style" w:hAnsi="Bookman Old Style"/>
          <w:sz w:val="24"/>
          <w:szCs w:val="24"/>
        </w:rPr>
        <w:t xml:space="preserve"> </w:t>
      </w:r>
      <w:r w:rsidRPr="00B41280">
        <w:rPr>
          <w:rFonts w:ascii="Bookman Old Style" w:hAnsi="Bookman Old Style"/>
          <w:sz w:val="24"/>
          <w:szCs w:val="24"/>
        </w:rPr>
        <w:t>dan</w:t>
      </w:r>
      <w:r w:rsidR="00A954D0">
        <w:rPr>
          <w:rFonts w:ascii="Bookman Old Style" w:hAnsi="Bookman Old Style"/>
          <w:sz w:val="24"/>
          <w:szCs w:val="24"/>
        </w:rPr>
        <w:t xml:space="preserve"> </w:t>
      </w:r>
      <w:r>
        <w:rPr>
          <w:rFonts w:ascii="Bookman Old Style" w:hAnsi="Bookman Old Style"/>
          <w:sz w:val="24"/>
          <w:szCs w:val="24"/>
        </w:rPr>
        <w:t>Opsen</w:t>
      </w:r>
      <w:r w:rsidR="00A954D0">
        <w:rPr>
          <w:rFonts w:ascii="Bookman Old Style" w:hAnsi="Bookman Old Style"/>
          <w:sz w:val="24"/>
          <w:szCs w:val="24"/>
        </w:rPr>
        <w:t xml:space="preserve"> </w:t>
      </w:r>
      <w:r w:rsidRPr="00B41280">
        <w:rPr>
          <w:rFonts w:ascii="Bookman Old Style" w:hAnsi="Bookman Old Style"/>
          <w:sz w:val="24"/>
          <w:szCs w:val="24"/>
        </w:rPr>
        <w:t>BBNKB</w:t>
      </w:r>
      <w:r w:rsidR="00A954D0">
        <w:rPr>
          <w:rFonts w:ascii="Bookman Old Style" w:hAnsi="Bookman Old Style"/>
          <w:sz w:val="24"/>
          <w:szCs w:val="24"/>
        </w:rPr>
        <w:t xml:space="preserve"> </w:t>
      </w:r>
      <w:r w:rsidRPr="00B41280">
        <w:rPr>
          <w:rFonts w:ascii="Bookman Old Style" w:hAnsi="Bookman Old Style"/>
          <w:sz w:val="24"/>
          <w:szCs w:val="24"/>
        </w:rPr>
        <w:t>Tahun</w:t>
      </w:r>
      <w:r w:rsidR="00A954D0">
        <w:rPr>
          <w:rFonts w:ascii="Bookman Old Style" w:hAnsi="Bookman Old Style"/>
          <w:sz w:val="24"/>
          <w:szCs w:val="24"/>
        </w:rPr>
        <w:t xml:space="preserve"> </w:t>
      </w:r>
      <w:r w:rsidRPr="00B41280">
        <w:rPr>
          <w:rFonts w:ascii="Bookman Old Style" w:hAnsi="Bookman Old Style"/>
          <w:sz w:val="24"/>
          <w:szCs w:val="24"/>
        </w:rPr>
        <w:t>2025</w:t>
      </w:r>
      <w:r>
        <w:rPr>
          <w:rFonts w:ascii="Bookman Old Style" w:hAnsi="Bookman Old Style"/>
          <w:sz w:val="24"/>
          <w:szCs w:val="24"/>
        </w:rPr>
        <w:t>,</w:t>
      </w:r>
      <w:r w:rsidR="00A954D0">
        <w:rPr>
          <w:rFonts w:ascii="Bookman Old Style" w:hAnsi="Bookman Old Style"/>
          <w:sz w:val="24"/>
          <w:szCs w:val="24"/>
        </w:rPr>
        <w:t xml:space="preserve"> </w:t>
      </w:r>
      <w:r>
        <w:rPr>
          <w:rFonts w:ascii="Bookman Old Style" w:hAnsi="Bookman Old Style"/>
          <w:sz w:val="24"/>
          <w:szCs w:val="24"/>
        </w:rPr>
        <w:t>alokasi</w:t>
      </w:r>
      <w:r w:rsidR="00A954D0">
        <w:rPr>
          <w:rFonts w:ascii="Bookman Old Style" w:hAnsi="Bookman Old Style"/>
          <w:sz w:val="24"/>
          <w:szCs w:val="24"/>
        </w:rPr>
        <w:t xml:space="preserve"> </w:t>
      </w:r>
      <w:r w:rsidRPr="00B41280">
        <w:rPr>
          <w:rFonts w:ascii="Bookman Old Style" w:hAnsi="Bookman Old Style"/>
          <w:sz w:val="24"/>
          <w:szCs w:val="24"/>
        </w:rPr>
        <w:t>untuk</w:t>
      </w:r>
      <w:r w:rsidR="00A954D0">
        <w:rPr>
          <w:rFonts w:ascii="Bookman Old Style" w:hAnsi="Bookman Old Style"/>
          <w:sz w:val="24"/>
          <w:szCs w:val="24"/>
        </w:rPr>
        <w:t xml:space="preserve"> </w:t>
      </w:r>
      <w:r>
        <w:rPr>
          <w:rFonts w:ascii="Bookman Old Style" w:hAnsi="Bookman Old Style"/>
          <w:sz w:val="24"/>
          <w:szCs w:val="24"/>
        </w:rPr>
        <w:t>Kota</w:t>
      </w:r>
      <w:r w:rsidR="00A954D0">
        <w:rPr>
          <w:rFonts w:ascii="Bookman Old Style" w:hAnsi="Bookman Old Style"/>
          <w:sz w:val="24"/>
          <w:szCs w:val="24"/>
        </w:rPr>
        <w:t xml:space="preserve"> </w:t>
      </w:r>
      <w:r>
        <w:rPr>
          <w:rFonts w:ascii="Bookman Old Style" w:hAnsi="Bookman Old Style"/>
          <w:sz w:val="24"/>
          <w:szCs w:val="24"/>
        </w:rPr>
        <w:t>Tangerang</w:t>
      </w:r>
      <w:r w:rsidR="00A954D0">
        <w:rPr>
          <w:rFonts w:ascii="Bookman Old Style" w:hAnsi="Bookman Old Style"/>
          <w:sz w:val="24"/>
          <w:szCs w:val="24"/>
        </w:rPr>
        <w:t xml:space="preserve"> </w:t>
      </w:r>
      <w:r w:rsidRPr="00B41280">
        <w:rPr>
          <w:rFonts w:ascii="Bookman Old Style" w:hAnsi="Bookman Old Style"/>
          <w:sz w:val="24"/>
          <w:szCs w:val="24"/>
        </w:rPr>
        <w:t>sebagai</w:t>
      </w:r>
      <w:r w:rsidR="00A954D0">
        <w:rPr>
          <w:rFonts w:ascii="Bookman Old Style" w:hAnsi="Bookman Old Style"/>
          <w:sz w:val="24"/>
          <w:szCs w:val="24"/>
        </w:rPr>
        <w:t xml:space="preserve"> </w:t>
      </w:r>
      <w:r w:rsidRPr="00B41280">
        <w:rPr>
          <w:rFonts w:ascii="Bookman Old Style" w:hAnsi="Bookman Old Style"/>
          <w:sz w:val="24"/>
          <w:szCs w:val="24"/>
        </w:rPr>
        <w:t>berikut:</w:t>
      </w:r>
    </w:p>
    <w:p w14:paraId="20D29F2C" w14:textId="3986C5A4" w:rsidR="00B729CC" w:rsidRPr="00B41280" w:rsidRDefault="00B729CC" w:rsidP="00FD6795">
      <w:pPr>
        <w:pStyle w:val="ListParagraph"/>
        <w:numPr>
          <w:ilvl w:val="0"/>
          <w:numId w:val="265"/>
        </w:numPr>
        <w:spacing w:before="60" w:after="0" w:line="276" w:lineRule="auto"/>
        <w:ind w:left="2694" w:hanging="426"/>
        <w:contextualSpacing w:val="0"/>
        <w:jc w:val="both"/>
        <w:rPr>
          <w:rFonts w:ascii="Bookman Old Style" w:hAnsi="Bookman Old Style"/>
          <w:sz w:val="24"/>
          <w:szCs w:val="24"/>
        </w:rPr>
      </w:pPr>
      <w:r w:rsidRPr="00B41280">
        <w:rPr>
          <w:rFonts w:ascii="Bookman Old Style" w:hAnsi="Bookman Old Style"/>
          <w:sz w:val="24"/>
          <w:szCs w:val="24"/>
        </w:rPr>
        <w:t>Opsen</w:t>
      </w:r>
      <w:r w:rsidR="00A954D0">
        <w:rPr>
          <w:rFonts w:ascii="Bookman Old Style" w:hAnsi="Bookman Old Style"/>
          <w:sz w:val="24"/>
          <w:szCs w:val="24"/>
        </w:rPr>
        <w:t xml:space="preserve"> </w:t>
      </w:r>
      <w:r w:rsidRPr="00B41280">
        <w:rPr>
          <w:rFonts w:ascii="Bookman Old Style" w:hAnsi="Bookman Old Style"/>
          <w:sz w:val="24"/>
          <w:szCs w:val="24"/>
        </w:rPr>
        <w:t>PKB</w:t>
      </w:r>
      <w:r w:rsidR="00A954D0">
        <w:rPr>
          <w:rFonts w:ascii="Bookman Old Style" w:hAnsi="Bookman Old Style"/>
          <w:sz w:val="24"/>
          <w:szCs w:val="24"/>
        </w:rPr>
        <w:t xml:space="preserve"> </w:t>
      </w:r>
      <w:r>
        <w:rPr>
          <w:rFonts w:ascii="Bookman Old Style" w:hAnsi="Bookman Old Style"/>
          <w:sz w:val="24"/>
          <w:szCs w:val="24"/>
        </w:rPr>
        <w:t>Rp</w:t>
      </w:r>
      <w:r w:rsidRPr="00B729CC">
        <w:rPr>
          <w:rFonts w:ascii="Bookman Old Style" w:hAnsi="Bookman Old Style"/>
          <w:sz w:val="24"/>
          <w:szCs w:val="24"/>
        </w:rPr>
        <w:t>390.240.818.828</w:t>
      </w:r>
      <w:r>
        <w:rPr>
          <w:rFonts w:ascii="Bookman Old Style" w:hAnsi="Bookman Old Style"/>
          <w:sz w:val="24"/>
          <w:szCs w:val="24"/>
        </w:rPr>
        <w:t>,00</w:t>
      </w:r>
      <w:r w:rsidRPr="00B41280">
        <w:rPr>
          <w:rFonts w:ascii="Bookman Old Style" w:hAnsi="Bookman Old Style"/>
          <w:sz w:val="24"/>
          <w:szCs w:val="24"/>
        </w:rPr>
        <w:t>;</w:t>
      </w:r>
      <w:r w:rsidR="00A954D0">
        <w:rPr>
          <w:rFonts w:ascii="Bookman Old Style" w:hAnsi="Bookman Old Style"/>
          <w:sz w:val="24"/>
          <w:szCs w:val="24"/>
        </w:rPr>
        <w:t xml:space="preserve"> </w:t>
      </w:r>
    </w:p>
    <w:p w14:paraId="4B311CFF" w14:textId="465968A8" w:rsidR="00B729CC" w:rsidRPr="00B41280" w:rsidRDefault="00B729CC" w:rsidP="00FD6795">
      <w:pPr>
        <w:pStyle w:val="ListParagraph"/>
        <w:numPr>
          <w:ilvl w:val="0"/>
          <w:numId w:val="265"/>
        </w:numPr>
        <w:spacing w:before="60" w:after="0" w:line="276" w:lineRule="auto"/>
        <w:ind w:left="2694" w:hanging="426"/>
        <w:contextualSpacing w:val="0"/>
        <w:jc w:val="both"/>
        <w:rPr>
          <w:rFonts w:ascii="Bookman Old Style" w:hAnsi="Bookman Old Style"/>
          <w:sz w:val="24"/>
          <w:szCs w:val="24"/>
        </w:rPr>
      </w:pPr>
      <w:r w:rsidRPr="00B41280">
        <w:rPr>
          <w:rFonts w:ascii="Bookman Old Style" w:hAnsi="Bookman Old Style"/>
          <w:sz w:val="24"/>
          <w:szCs w:val="24"/>
        </w:rPr>
        <w:t>Opsen</w:t>
      </w:r>
      <w:r w:rsidR="00A954D0">
        <w:rPr>
          <w:rFonts w:ascii="Bookman Old Style" w:hAnsi="Bookman Old Style"/>
          <w:sz w:val="24"/>
          <w:szCs w:val="24"/>
        </w:rPr>
        <w:t xml:space="preserve"> </w:t>
      </w:r>
      <w:r w:rsidRPr="00B41280">
        <w:rPr>
          <w:rFonts w:ascii="Bookman Old Style" w:hAnsi="Bookman Old Style"/>
          <w:sz w:val="24"/>
          <w:szCs w:val="24"/>
        </w:rPr>
        <w:t>BBNKB</w:t>
      </w:r>
      <w:r w:rsidR="00A954D0">
        <w:rPr>
          <w:rFonts w:ascii="Bookman Old Style" w:hAnsi="Bookman Old Style"/>
          <w:sz w:val="24"/>
          <w:szCs w:val="24"/>
        </w:rPr>
        <w:t xml:space="preserve"> </w:t>
      </w:r>
      <w:r w:rsidRPr="00B41280">
        <w:rPr>
          <w:rFonts w:ascii="Bookman Old Style" w:hAnsi="Bookman Old Style"/>
          <w:sz w:val="24"/>
          <w:szCs w:val="24"/>
        </w:rPr>
        <w:t>Rp</w:t>
      </w:r>
      <w:r w:rsidRPr="00B729CC">
        <w:rPr>
          <w:rFonts w:ascii="Bookman Old Style" w:hAnsi="Bookman Old Style"/>
          <w:sz w:val="24"/>
          <w:szCs w:val="24"/>
        </w:rPr>
        <w:t>357.411.670.683</w:t>
      </w:r>
      <w:r>
        <w:rPr>
          <w:rFonts w:ascii="Bookman Old Style" w:hAnsi="Bookman Old Style"/>
          <w:sz w:val="24"/>
          <w:szCs w:val="24"/>
        </w:rPr>
        <w:t>,00</w:t>
      </w:r>
      <w:r w:rsidRPr="00B41280">
        <w:rPr>
          <w:rFonts w:ascii="Bookman Old Style" w:hAnsi="Bookman Old Style"/>
          <w:sz w:val="24"/>
          <w:szCs w:val="24"/>
        </w:rPr>
        <w:t>.</w:t>
      </w:r>
      <w:r w:rsidR="00A954D0">
        <w:rPr>
          <w:rFonts w:ascii="Bookman Old Style" w:hAnsi="Bookman Old Style"/>
          <w:sz w:val="24"/>
          <w:szCs w:val="24"/>
        </w:rPr>
        <w:t xml:space="preserve"> </w:t>
      </w:r>
    </w:p>
    <w:p w14:paraId="7D819290" w14:textId="2BBF8F67" w:rsidR="00B729CC" w:rsidRPr="00B41280" w:rsidRDefault="00B729CC" w:rsidP="00FD6795">
      <w:pPr>
        <w:pStyle w:val="ListParagraph"/>
        <w:spacing w:before="60" w:after="0" w:line="276" w:lineRule="auto"/>
        <w:ind w:left="2268"/>
        <w:contextualSpacing w:val="0"/>
        <w:jc w:val="both"/>
        <w:rPr>
          <w:rFonts w:ascii="Bookman Old Style" w:hAnsi="Bookman Old Style"/>
          <w:sz w:val="24"/>
          <w:szCs w:val="24"/>
        </w:rPr>
      </w:pPr>
      <w:r w:rsidRPr="00B41280">
        <w:rPr>
          <w:rFonts w:ascii="Bookman Old Style" w:hAnsi="Bookman Old Style"/>
          <w:sz w:val="24"/>
          <w:szCs w:val="24"/>
        </w:rPr>
        <w:t>Sehubungan</w:t>
      </w:r>
      <w:r w:rsidR="00A954D0">
        <w:rPr>
          <w:rFonts w:ascii="Bookman Old Style" w:hAnsi="Bookman Old Style"/>
          <w:sz w:val="24"/>
          <w:szCs w:val="24"/>
        </w:rPr>
        <w:t xml:space="preserve"> </w:t>
      </w:r>
      <w:r w:rsidRPr="00B41280">
        <w:rPr>
          <w:rFonts w:ascii="Bookman Old Style" w:hAnsi="Bookman Old Style"/>
          <w:sz w:val="24"/>
          <w:szCs w:val="24"/>
        </w:rPr>
        <w:t>dengan</w:t>
      </w:r>
      <w:r w:rsidR="00A954D0">
        <w:rPr>
          <w:rFonts w:ascii="Bookman Old Style" w:hAnsi="Bookman Old Style"/>
          <w:sz w:val="24"/>
          <w:szCs w:val="24"/>
        </w:rPr>
        <w:t xml:space="preserve"> </w:t>
      </w:r>
      <w:r w:rsidRPr="00B41280">
        <w:rPr>
          <w:rFonts w:ascii="Bookman Old Style" w:hAnsi="Bookman Old Style"/>
          <w:sz w:val="24"/>
          <w:szCs w:val="24"/>
        </w:rPr>
        <w:t>hal</w:t>
      </w:r>
      <w:r w:rsidR="00A954D0">
        <w:rPr>
          <w:rFonts w:ascii="Bookman Old Style" w:hAnsi="Bookman Old Style"/>
          <w:sz w:val="24"/>
          <w:szCs w:val="24"/>
        </w:rPr>
        <w:t xml:space="preserve"> </w:t>
      </w:r>
      <w:r w:rsidRPr="00B41280">
        <w:rPr>
          <w:rFonts w:ascii="Bookman Old Style" w:hAnsi="Bookman Old Style"/>
          <w:sz w:val="24"/>
          <w:szCs w:val="24"/>
        </w:rPr>
        <w:t>tersebut,</w:t>
      </w:r>
      <w:r w:rsidR="00A954D0">
        <w:rPr>
          <w:rFonts w:ascii="Bookman Old Style" w:hAnsi="Bookman Old Style"/>
          <w:sz w:val="24"/>
          <w:szCs w:val="24"/>
        </w:rPr>
        <w:t xml:space="preserve"> </w:t>
      </w:r>
      <w:r w:rsidRPr="00B41280">
        <w:rPr>
          <w:rFonts w:ascii="Bookman Old Style" w:hAnsi="Bookman Old Style"/>
          <w:sz w:val="24"/>
          <w:szCs w:val="24"/>
        </w:rPr>
        <w:t>Pemerintah</w:t>
      </w:r>
      <w:r w:rsidR="00A954D0">
        <w:rPr>
          <w:rFonts w:ascii="Bookman Old Style" w:hAnsi="Bookman Old Style"/>
          <w:sz w:val="24"/>
          <w:szCs w:val="24"/>
        </w:rPr>
        <w:t xml:space="preserve"> </w:t>
      </w:r>
      <w:r>
        <w:rPr>
          <w:rFonts w:ascii="Bookman Old Style" w:hAnsi="Bookman Old Style"/>
          <w:sz w:val="24"/>
          <w:szCs w:val="24"/>
        </w:rPr>
        <w:t>Kota</w:t>
      </w:r>
      <w:r w:rsidR="00A954D0">
        <w:rPr>
          <w:rFonts w:ascii="Bookman Old Style" w:hAnsi="Bookman Old Style"/>
          <w:sz w:val="24"/>
          <w:szCs w:val="24"/>
        </w:rPr>
        <w:t xml:space="preserve"> </w:t>
      </w:r>
      <w:r>
        <w:rPr>
          <w:rFonts w:ascii="Bookman Old Style" w:hAnsi="Bookman Old Style"/>
          <w:sz w:val="24"/>
          <w:szCs w:val="24"/>
        </w:rPr>
        <w:t>Tangerang</w:t>
      </w:r>
      <w:r w:rsidR="00A954D0">
        <w:rPr>
          <w:rFonts w:ascii="Bookman Old Style" w:hAnsi="Bookman Old Style"/>
          <w:sz w:val="24"/>
          <w:szCs w:val="24"/>
        </w:rPr>
        <w:t xml:space="preserve"> </w:t>
      </w:r>
      <w:r w:rsidRPr="00D45022">
        <w:rPr>
          <w:rFonts w:ascii="Bookman Old Style" w:hAnsi="Bookman Old Style"/>
          <w:b/>
          <w:bCs/>
          <w:sz w:val="24"/>
          <w:szCs w:val="24"/>
        </w:rPr>
        <w:t>dapat</w:t>
      </w:r>
      <w:r w:rsidR="00A954D0">
        <w:rPr>
          <w:rFonts w:ascii="Bookman Old Style" w:hAnsi="Bookman Old Style"/>
          <w:sz w:val="24"/>
          <w:szCs w:val="24"/>
        </w:rPr>
        <w:t xml:space="preserve"> </w:t>
      </w:r>
      <w:r w:rsidRPr="00B41280">
        <w:rPr>
          <w:rFonts w:ascii="Bookman Old Style" w:hAnsi="Bookman Old Style"/>
          <w:sz w:val="24"/>
          <w:szCs w:val="24"/>
        </w:rPr>
        <w:t>menyesuaikan</w:t>
      </w:r>
      <w:r w:rsidR="00A954D0">
        <w:rPr>
          <w:rFonts w:ascii="Bookman Old Style" w:hAnsi="Bookman Old Style"/>
          <w:sz w:val="24"/>
          <w:szCs w:val="24"/>
        </w:rPr>
        <w:t xml:space="preserve"> </w:t>
      </w:r>
      <w:r w:rsidRPr="00B41280">
        <w:rPr>
          <w:rFonts w:ascii="Bookman Old Style" w:hAnsi="Bookman Old Style"/>
          <w:sz w:val="24"/>
          <w:szCs w:val="24"/>
        </w:rPr>
        <w:t>target</w:t>
      </w:r>
      <w:r w:rsidR="00A954D0">
        <w:rPr>
          <w:rFonts w:ascii="Bookman Old Style" w:hAnsi="Bookman Old Style"/>
          <w:sz w:val="24"/>
          <w:szCs w:val="24"/>
        </w:rPr>
        <w:t xml:space="preserve"> </w:t>
      </w:r>
      <w:r w:rsidRPr="00B41280">
        <w:rPr>
          <w:rFonts w:ascii="Bookman Old Style" w:hAnsi="Bookman Old Style"/>
          <w:sz w:val="24"/>
          <w:szCs w:val="24"/>
        </w:rPr>
        <w:t>pendapatan</w:t>
      </w:r>
      <w:r w:rsidR="00A954D0">
        <w:rPr>
          <w:rFonts w:ascii="Bookman Old Style" w:hAnsi="Bookman Old Style"/>
          <w:sz w:val="24"/>
          <w:szCs w:val="24"/>
        </w:rPr>
        <w:t xml:space="preserve"> </w:t>
      </w:r>
      <w:r w:rsidRPr="00B41280">
        <w:rPr>
          <w:rFonts w:ascii="Bookman Old Style" w:hAnsi="Bookman Old Style"/>
          <w:sz w:val="24"/>
          <w:szCs w:val="24"/>
        </w:rPr>
        <w:t>yang</w:t>
      </w:r>
      <w:r w:rsidR="00A954D0">
        <w:rPr>
          <w:rFonts w:ascii="Bookman Old Style" w:hAnsi="Bookman Old Style"/>
          <w:sz w:val="24"/>
          <w:szCs w:val="24"/>
        </w:rPr>
        <w:t xml:space="preserve"> </w:t>
      </w:r>
      <w:r w:rsidRPr="00B41280">
        <w:rPr>
          <w:rFonts w:ascii="Bookman Old Style" w:hAnsi="Bookman Old Style"/>
          <w:sz w:val="24"/>
          <w:szCs w:val="24"/>
        </w:rPr>
        <w:t>bersumber</w:t>
      </w:r>
      <w:r w:rsidR="00A954D0">
        <w:rPr>
          <w:rFonts w:ascii="Bookman Old Style" w:hAnsi="Bookman Old Style"/>
          <w:sz w:val="24"/>
          <w:szCs w:val="24"/>
        </w:rPr>
        <w:t xml:space="preserve"> </w:t>
      </w:r>
      <w:r w:rsidRPr="00B41280">
        <w:rPr>
          <w:rFonts w:ascii="Bookman Old Style" w:hAnsi="Bookman Old Style"/>
          <w:sz w:val="24"/>
          <w:szCs w:val="24"/>
        </w:rPr>
        <w:t>dari</w:t>
      </w:r>
      <w:r w:rsidR="00A954D0">
        <w:rPr>
          <w:rFonts w:ascii="Bookman Old Style" w:hAnsi="Bookman Old Style"/>
          <w:sz w:val="24"/>
          <w:szCs w:val="24"/>
        </w:rPr>
        <w:t xml:space="preserve"> </w:t>
      </w:r>
      <w:r w:rsidRPr="00B41280">
        <w:rPr>
          <w:rFonts w:ascii="Bookman Old Style" w:hAnsi="Bookman Old Style"/>
          <w:sz w:val="24"/>
          <w:szCs w:val="24"/>
        </w:rPr>
        <w:t>opsen</w:t>
      </w:r>
      <w:r w:rsidR="00A954D0">
        <w:rPr>
          <w:rFonts w:ascii="Bookman Old Style" w:hAnsi="Bookman Old Style"/>
          <w:sz w:val="24"/>
          <w:szCs w:val="24"/>
        </w:rPr>
        <w:t xml:space="preserve"> </w:t>
      </w:r>
      <w:r w:rsidRPr="00B41280">
        <w:rPr>
          <w:rFonts w:ascii="Bookman Old Style" w:hAnsi="Bookman Old Style"/>
          <w:sz w:val="24"/>
          <w:szCs w:val="24"/>
        </w:rPr>
        <w:t>PKB</w:t>
      </w:r>
      <w:r w:rsidR="00A954D0">
        <w:rPr>
          <w:rFonts w:ascii="Bookman Old Style" w:hAnsi="Bookman Old Style"/>
          <w:sz w:val="24"/>
          <w:szCs w:val="24"/>
        </w:rPr>
        <w:t xml:space="preserve"> </w:t>
      </w:r>
      <w:r w:rsidRPr="00B41280">
        <w:rPr>
          <w:rFonts w:ascii="Bookman Old Style" w:hAnsi="Bookman Old Style"/>
          <w:sz w:val="24"/>
          <w:szCs w:val="24"/>
        </w:rPr>
        <w:t>dan</w:t>
      </w:r>
      <w:r w:rsidR="00A954D0">
        <w:rPr>
          <w:rFonts w:ascii="Bookman Old Style" w:hAnsi="Bookman Old Style"/>
          <w:sz w:val="24"/>
          <w:szCs w:val="24"/>
        </w:rPr>
        <w:t xml:space="preserve"> </w:t>
      </w:r>
      <w:r w:rsidRPr="00B41280">
        <w:rPr>
          <w:rFonts w:ascii="Bookman Old Style" w:hAnsi="Bookman Old Style"/>
          <w:sz w:val="24"/>
          <w:szCs w:val="24"/>
        </w:rPr>
        <w:t>opsen</w:t>
      </w:r>
      <w:r w:rsidR="00A954D0">
        <w:rPr>
          <w:rFonts w:ascii="Bookman Old Style" w:hAnsi="Bookman Old Style"/>
          <w:sz w:val="24"/>
          <w:szCs w:val="24"/>
        </w:rPr>
        <w:t xml:space="preserve"> </w:t>
      </w:r>
      <w:r w:rsidRPr="00B41280">
        <w:rPr>
          <w:rFonts w:ascii="Bookman Old Style" w:hAnsi="Bookman Old Style"/>
          <w:sz w:val="24"/>
          <w:szCs w:val="24"/>
        </w:rPr>
        <w:t>BBNKB</w:t>
      </w:r>
      <w:r w:rsidR="00A954D0">
        <w:rPr>
          <w:rFonts w:ascii="Bookman Old Style" w:hAnsi="Bookman Old Style"/>
          <w:sz w:val="24"/>
          <w:szCs w:val="24"/>
        </w:rPr>
        <w:t xml:space="preserve"> </w:t>
      </w:r>
      <w:r w:rsidRPr="00B41280">
        <w:rPr>
          <w:rFonts w:ascii="Bookman Old Style" w:hAnsi="Bookman Old Style"/>
          <w:sz w:val="24"/>
          <w:szCs w:val="24"/>
        </w:rPr>
        <w:t>dengan</w:t>
      </w:r>
      <w:r w:rsidR="00A954D0">
        <w:rPr>
          <w:rFonts w:ascii="Bookman Old Style" w:hAnsi="Bookman Old Style"/>
          <w:sz w:val="24"/>
          <w:szCs w:val="24"/>
        </w:rPr>
        <w:t xml:space="preserve"> </w:t>
      </w:r>
      <w:r w:rsidRPr="00B41280">
        <w:rPr>
          <w:rFonts w:ascii="Bookman Old Style" w:hAnsi="Bookman Old Style"/>
          <w:sz w:val="24"/>
          <w:szCs w:val="24"/>
        </w:rPr>
        <w:t>memperhatikan</w:t>
      </w:r>
      <w:r w:rsidR="00A954D0">
        <w:rPr>
          <w:rFonts w:ascii="Bookman Old Style" w:hAnsi="Bookman Old Style"/>
          <w:sz w:val="24"/>
          <w:szCs w:val="24"/>
        </w:rPr>
        <w:t xml:space="preserve"> </w:t>
      </w:r>
      <w:r w:rsidRPr="00B41280">
        <w:rPr>
          <w:rFonts w:ascii="Bookman Old Style" w:hAnsi="Bookman Old Style"/>
          <w:sz w:val="24"/>
          <w:szCs w:val="24"/>
        </w:rPr>
        <w:t>hasil</w:t>
      </w:r>
      <w:r w:rsidR="00A954D0">
        <w:rPr>
          <w:rFonts w:ascii="Bookman Old Style" w:hAnsi="Bookman Old Style"/>
          <w:sz w:val="24"/>
          <w:szCs w:val="24"/>
        </w:rPr>
        <w:t xml:space="preserve"> </w:t>
      </w:r>
      <w:r w:rsidRPr="00B41280">
        <w:rPr>
          <w:rFonts w:ascii="Bookman Old Style" w:hAnsi="Bookman Old Style"/>
          <w:sz w:val="24"/>
          <w:szCs w:val="24"/>
        </w:rPr>
        <w:t>pendataan</w:t>
      </w:r>
      <w:r w:rsidR="00A954D0">
        <w:rPr>
          <w:rFonts w:ascii="Bookman Old Style" w:hAnsi="Bookman Old Style"/>
          <w:sz w:val="24"/>
          <w:szCs w:val="24"/>
        </w:rPr>
        <w:t xml:space="preserve"> </w:t>
      </w:r>
      <w:r w:rsidRPr="00B41280">
        <w:rPr>
          <w:rFonts w:ascii="Bookman Old Style" w:hAnsi="Bookman Old Style"/>
          <w:sz w:val="24"/>
          <w:szCs w:val="24"/>
        </w:rPr>
        <w:t>kendaraan</w:t>
      </w:r>
      <w:r w:rsidR="00A954D0">
        <w:rPr>
          <w:rFonts w:ascii="Bookman Old Style" w:hAnsi="Bookman Old Style"/>
          <w:sz w:val="24"/>
          <w:szCs w:val="24"/>
        </w:rPr>
        <w:t xml:space="preserve"> </w:t>
      </w:r>
      <w:r w:rsidRPr="00B41280">
        <w:rPr>
          <w:rFonts w:ascii="Bookman Old Style" w:hAnsi="Bookman Old Style"/>
          <w:sz w:val="24"/>
          <w:szCs w:val="24"/>
        </w:rPr>
        <w:t>bermotor</w:t>
      </w:r>
      <w:r w:rsidR="00A954D0">
        <w:rPr>
          <w:rFonts w:ascii="Bookman Old Style" w:hAnsi="Bookman Old Style"/>
          <w:sz w:val="24"/>
          <w:szCs w:val="24"/>
        </w:rPr>
        <w:t xml:space="preserve"> </w:t>
      </w:r>
      <w:r w:rsidRPr="00B41280">
        <w:rPr>
          <w:rFonts w:ascii="Bookman Old Style" w:hAnsi="Bookman Old Style"/>
          <w:sz w:val="24"/>
          <w:szCs w:val="24"/>
        </w:rPr>
        <w:t>dan</w:t>
      </w:r>
      <w:r w:rsidR="00A954D0">
        <w:rPr>
          <w:rFonts w:ascii="Bookman Old Style" w:hAnsi="Bookman Old Style"/>
          <w:sz w:val="24"/>
          <w:szCs w:val="24"/>
        </w:rPr>
        <w:t xml:space="preserve"> </w:t>
      </w:r>
      <w:r w:rsidRPr="00B41280">
        <w:rPr>
          <w:rFonts w:ascii="Bookman Old Style" w:hAnsi="Bookman Old Style"/>
          <w:sz w:val="24"/>
          <w:szCs w:val="24"/>
        </w:rPr>
        <w:t>dan</w:t>
      </w:r>
      <w:r w:rsidR="00A954D0">
        <w:rPr>
          <w:rFonts w:ascii="Bookman Old Style" w:hAnsi="Bookman Old Style"/>
          <w:sz w:val="24"/>
          <w:szCs w:val="24"/>
        </w:rPr>
        <w:t xml:space="preserve"> </w:t>
      </w:r>
      <w:r w:rsidRPr="00B41280">
        <w:rPr>
          <w:rFonts w:ascii="Bookman Old Style" w:hAnsi="Bookman Old Style"/>
          <w:sz w:val="24"/>
          <w:szCs w:val="24"/>
        </w:rPr>
        <w:t>tren</w:t>
      </w:r>
      <w:r w:rsidR="00A954D0">
        <w:rPr>
          <w:rFonts w:ascii="Bookman Old Style" w:hAnsi="Bookman Old Style"/>
          <w:sz w:val="24"/>
          <w:szCs w:val="24"/>
        </w:rPr>
        <w:t xml:space="preserve"> </w:t>
      </w:r>
      <w:r w:rsidRPr="00B41280">
        <w:rPr>
          <w:rFonts w:ascii="Bookman Old Style" w:hAnsi="Bookman Old Style"/>
          <w:sz w:val="24"/>
          <w:szCs w:val="24"/>
        </w:rPr>
        <w:t>besaran</w:t>
      </w:r>
      <w:r w:rsidR="00A954D0">
        <w:rPr>
          <w:rFonts w:ascii="Bookman Old Style" w:hAnsi="Bookman Old Style"/>
          <w:sz w:val="24"/>
          <w:szCs w:val="24"/>
        </w:rPr>
        <w:t xml:space="preserve"> </w:t>
      </w:r>
      <w:r w:rsidRPr="00B41280">
        <w:rPr>
          <w:rFonts w:ascii="Bookman Old Style" w:hAnsi="Bookman Old Style"/>
          <w:sz w:val="24"/>
          <w:szCs w:val="24"/>
        </w:rPr>
        <w:t>alokasi</w:t>
      </w:r>
      <w:r w:rsidR="00A954D0">
        <w:rPr>
          <w:rFonts w:ascii="Bookman Old Style" w:hAnsi="Bookman Old Style"/>
          <w:sz w:val="24"/>
          <w:szCs w:val="24"/>
        </w:rPr>
        <w:t xml:space="preserve"> </w:t>
      </w:r>
      <w:r w:rsidRPr="00B41280">
        <w:rPr>
          <w:rFonts w:ascii="Bookman Old Style" w:hAnsi="Bookman Old Style"/>
          <w:sz w:val="24"/>
          <w:szCs w:val="24"/>
        </w:rPr>
        <w:t>bagi</w:t>
      </w:r>
      <w:r w:rsidR="00A954D0">
        <w:rPr>
          <w:rFonts w:ascii="Bookman Old Style" w:hAnsi="Bookman Old Style"/>
          <w:sz w:val="24"/>
          <w:szCs w:val="24"/>
        </w:rPr>
        <w:t xml:space="preserve"> </w:t>
      </w:r>
      <w:r w:rsidRPr="00B41280">
        <w:rPr>
          <w:rFonts w:ascii="Bookman Old Style" w:hAnsi="Bookman Old Style"/>
          <w:sz w:val="24"/>
          <w:szCs w:val="24"/>
        </w:rPr>
        <w:t>hasil</w:t>
      </w:r>
      <w:r w:rsidR="00A954D0">
        <w:rPr>
          <w:rFonts w:ascii="Bookman Old Style" w:hAnsi="Bookman Old Style"/>
          <w:sz w:val="24"/>
          <w:szCs w:val="24"/>
        </w:rPr>
        <w:t xml:space="preserve"> </w:t>
      </w:r>
      <w:r w:rsidRPr="00B41280">
        <w:rPr>
          <w:rFonts w:ascii="Bookman Old Style" w:hAnsi="Bookman Old Style"/>
          <w:sz w:val="24"/>
          <w:szCs w:val="24"/>
        </w:rPr>
        <w:t>Pemerintah</w:t>
      </w:r>
      <w:r w:rsidR="00A954D0">
        <w:rPr>
          <w:rFonts w:ascii="Bookman Old Style" w:hAnsi="Bookman Old Style"/>
          <w:sz w:val="24"/>
          <w:szCs w:val="24"/>
        </w:rPr>
        <w:t xml:space="preserve"> </w:t>
      </w:r>
      <w:r w:rsidRPr="00B41280">
        <w:rPr>
          <w:rFonts w:ascii="Bookman Old Style" w:hAnsi="Bookman Old Style"/>
          <w:sz w:val="24"/>
          <w:szCs w:val="24"/>
        </w:rPr>
        <w:t>Provinsi</w:t>
      </w:r>
      <w:r w:rsidR="00A954D0">
        <w:rPr>
          <w:rFonts w:ascii="Bookman Old Style" w:hAnsi="Bookman Old Style"/>
          <w:sz w:val="24"/>
          <w:szCs w:val="24"/>
        </w:rPr>
        <w:t xml:space="preserve"> </w:t>
      </w:r>
      <w:r w:rsidRPr="00B41280">
        <w:rPr>
          <w:rFonts w:ascii="Bookman Old Style" w:hAnsi="Bookman Old Style"/>
          <w:sz w:val="24"/>
          <w:szCs w:val="24"/>
        </w:rPr>
        <w:t>kepada</w:t>
      </w:r>
      <w:r w:rsidR="00A954D0">
        <w:rPr>
          <w:rFonts w:ascii="Bookman Old Style" w:hAnsi="Bookman Old Style"/>
          <w:sz w:val="24"/>
          <w:szCs w:val="24"/>
        </w:rPr>
        <w:t xml:space="preserve"> </w:t>
      </w:r>
      <w:r w:rsidRPr="00B41280">
        <w:rPr>
          <w:rFonts w:ascii="Bookman Old Style" w:hAnsi="Bookman Old Style"/>
          <w:sz w:val="24"/>
          <w:szCs w:val="24"/>
        </w:rPr>
        <w:t>Kabupaten/Kota</w:t>
      </w:r>
      <w:r w:rsidR="00A954D0">
        <w:rPr>
          <w:rFonts w:ascii="Bookman Old Style" w:hAnsi="Bookman Old Style"/>
          <w:sz w:val="24"/>
          <w:szCs w:val="24"/>
        </w:rPr>
        <w:t xml:space="preserve"> </w:t>
      </w:r>
      <w:r w:rsidRPr="00B41280">
        <w:rPr>
          <w:rFonts w:ascii="Bookman Old Style" w:hAnsi="Bookman Old Style"/>
          <w:sz w:val="24"/>
          <w:szCs w:val="24"/>
        </w:rPr>
        <w:t>3</w:t>
      </w:r>
      <w:r w:rsidR="00A954D0">
        <w:rPr>
          <w:rFonts w:ascii="Bookman Old Style" w:hAnsi="Bookman Old Style"/>
          <w:sz w:val="24"/>
          <w:szCs w:val="24"/>
        </w:rPr>
        <w:t xml:space="preserve"> </w:t>
      </w:r>
      <w:r w:rsidRPr="00B41280">
        <w:rPr>
          <w:rFonts w:ascii="Bookman Old Style" w:hAnsi="Bookman Old Style"/>
          <w:sz w:val="24"/>
          <w:szCs w:val="24"/>
        </w:rPr>
        <w:t>(tiga)</w:t>
      </w:r>
      <w:r w:rsidR="00A954D0">
        <w:rPr>
          <w:rFonts w:ascii="Bookman Old Style" w:hAnsi="Bookman Old Style"/>
          <w:sz w:val="24"/>
          <w:szCs w:val="24"/>
        </w:rPr>
        <w:t xml:space="preserve"> </w:t>
      </w:r>
      <w:r w:rsidRPr="00B41280">
        <w:rPr>
          <w:rFonts w:ascii="Bookman Old Style" w:hAnsi="Bookman Old Style"/>
          <w:sz w:val="24"/>
          <w:szCs w:val="24"/>
        </w:rPr>
        <w:t>tahun</w:t>
      </w:r>
      <w:r w:rsidR="00A954D0">
        <w:rPr>
          <w:rFonts w:ascii="Bookman Old Style" w:hAnsi="Bookman Old Style"/>
          <w:sz w:val="24"/>
          <w:szCs w:val="24"/>
        </w:rPr>
        <w:t xml:space="preserve"> </w:t>
      </w:r>
      <w:r w:rsidRPr="00B41280">
        <w:rPr>
          <w:rFonts w:ascii="Bookman Old Style" w:hAnsi="Bookman Old Style"/>
          <w:sz w:val="24"/>
          <w:szCs w:val="24"/>
        </w:rPr>
        <w:t>sebelumnya.</w:t>
      </w:r>
      <w:r w:rsidR="00A954D0">
        <w:rPr>
          <w:rFonts w:ascii="Bookman Old Style" w:hAnsi="Bookman Old Style"/>
          <w:sz w:val="24"/>
          <w:szCs w:val="24"/>
        </w:rPr>
        <w:t xml:space="preserve"> </w:t>
      </w:r>
    </w:p>
    <w:p w14:paraId="566EC01E" w14:textId="116E6DF7" w:rsidR="000E5ADB" w:rsidRPr="000E42D9" w:rsidRDefault="000E5ADB" w:rsidP="00FD6795">
      <w:pPr>
        <w:pStyle w:val="ListParagraph"/>
        <w:numPr>
          <w:ilvl w:val="0"/>
          <w:numId w:val="35"/>
        </w:numPr>
        <w:spacing w:before="60" w:after="0" w:line="276" w:lineRule="auto"/>
        <w:ind w:left="2268" w:hanging="567"/>
        <w:contextualSpacing w:val="0"/>
        <w:jc w:val="both"/>
        <w:rPr>
          <w:rFonts w:ascii="Bookman Old Style" w:hAnsi="Bookman Old Style"/>
          <w:sz w:val="24"/>
          <w:szCs w:val="24"/>
          <w:lang w:val="en-US" w:eastAsia="en-US"/>
        </w:rPr>
      </w:pPr>
      <w:r w:rsidRPr="000E42D9">
        <w:rPr>
          <w:rFonts w:ascii="Bookman Old Style" w:hAnsi="Bookman Old Style"/>
          <w:sz w:val="24"/>
          <w:szCs w:val="24"/>
        </w:rPr>
        <w:t>Penganggaran</w:t>
      </w:r>
      <w:r w:rsidR="00A954D0">
        <w:rPr>
          <w:rFonts w:ascii="Bookman Old Style" w:hAnsi="Bookman Old Style"/>
          <w:sz w:val="24"/>
          <w:szCs w:val="24"/>
        </w:rPr>
        <w:t xml:space="preserve"> </w:t>
      </w:r>
      <w:r w:rsidRPr="000E42D9">
        <w:rPr>
          <w:rFonts w:ascii="Bookman Old Style" w:hAnsi="Bookman Old Style"/>
          <w:sz w:val="24"/>
          <w:szCs w:val="24"/>
        </w:rPr>
        <w:t>target</w:t>
      </w:r>
      <w:r w:rsidR="00A954D0">
        <w:rPr>
          <w:rFonts w:ascii="Bookman Old Style" w:hAnsi="Bookman Old Style"/>
          <w:sz w:val="24"/>
          <w:szCs w:val="24"/>
        </w:rPr>
        <w:t xml:space="preserve"> </w:t>
      </w:r>
      <w:r w:rsidRPr="000E42D9">
        <w:rPr>
          <w:rFonts w:ascii="Bookman Old Style" w:hAnsi="Bookman Old Style" w:cs="Tahoma,Bold"/>
          <w:bCs/>
          <w:sz w:val="24"/>
          <w:szCs w:val="24"/>
          <w:lang w:val="id-ID" w:eastAsia="id-ID"/>
        </w:rPr>
        <w:t>pendapatan</w:t>
      </w:r>
      <w:r w:rsidR="00A954D0">
        <w:rPr>
          <w:rFonts w:ascii="Bookman Old Style" w:hAnsi="Bookman Old Style"/>
          <w:sz w:val="24"/>
          <w:szCs w:val="24"/>
        </w:rPr>
        <w:t xml:space="preserve"> </w:t>
      </w:r>
      <w:r w:rsidRPr="000E42D9">
        <w:rPr>
          <w:rFonts w:ascii="Bookman Old Style" w:hAnsi="Bookman Old Style"/>
          <w:sz w:val="24"/>
          <w:szCs w:val="24"/>
          <w:lang w:val="sv-FI"/>
        </w:rPr>
        <w:t>R</w:t>
      </w:r>
      <w:r w:rsidRPr="000E42D9">
        <w:rPr>
          <w:rFonts w:ascii="Bookman Old Style" w:hAnsi="Bookman Old Style"/>
          <w:sz w:val="24"/>
          <w:szCs w:val="24"/>
        </w:rPr>
        <w:t>etribusi</w:t>
      </w:r>
      <w:r w:rsidR="00A954D0">
        <w:rPr>
          <w:rFonts w:ascii="Bookman Old Style" w:hAnsi="Bookman Old Style"/>
          <w:sz w:val="24"/>
          <w:szCs w:val="24"/>
        </w:rPr>
        <w:t xml:space="preserve"> </w:t>
      </w:r>
      <w:r w:rsidRPr="000E42D9">
        <w:rPr>
          <w:rFonts w:ascii="Bookman Old Style" w:hAnsi="Bookman Old Style"/>
          <w:sz w:val="24"/>
          <w:szCs w:val="24"/>
          <w:lang w:val="sv-FI"/>
        </w:rPr>
        <w:t>D</w:t>
      </w:r>
      <w:r w:rsidRPr="000E42D9">
        <w:rPr>
          <w:rFonts w:ascii="Bookman Old Style" w:hAnsi="Bookman Old Style"/>
          <w:sz w:val="24"/>
          <w:szCs w:val="24"/>
        </w:rPr>
        <w:t>aerah</w:t>
      </w:r>
      <w:r w:rsidR="00A954D0">
        <w:rPr>
          <w:rFonts w:ascii="Bookman Old Style" w:hAnsi="Bookman Old Style"/>
          <w:sz w:val="24"/>
          <w:szCs w:val="24"/>
        </w:rPr>
        <w:t xml:space="preserve"> </w:t>
      </w:r>
      <w:r w:rsidRPr="000E42D9">
        <w:rPr>
          <w:rFonts w:ascii="Bookman Old Style" w:hAnsi="Bookman Old Style"/>
          <w:sz w:val="24"/>
          <w:szCs w:val="24"/>
        </w:rPr>
        <w:t>dalam</w:t>
      </w:r>
      <w:r w:rsidR="00A954D0">
        <w:rPr>
          <w:rFonts w:ascii="Bookman Old Style" w:hAnsi="Bookman Old Style"/>
          <w:sz w:val="24"/>
          <w:szCs w:val="24"/>
        </w:rPr>
        <w:t xml:space="preserve"> </w:t>
      </w:r>
      <w:r w:rsidRPr="000E42D9">
        <w:rPr>
          <w:rFonts w:ascii="Bookman Old Style" w:hAnsi="Bookman Old Style"/>
          <w:sz w:val="24"/>
          <w:szCs w:val="24"/>
        </w:rPr>
        <w:t>Rancangan</w:t>
      </w:r>
      <w:r w:rsidR="00A954D0">
        <w:rPr>
          <w:rFonts w:ascii="Bookman Old Style" w:hAnsi="Bookman Old Style"/>
          <w:sz w:val="24"/>
          <w:szCs w:val="24"/>
        </w:rPr>
        <w:t xml:space="preserve"> </w:t>
      </w:r>
      <w:r w:rsidRPr="000E42D9">
        <w:rPr>
          <w:rFonts w:ascii="Bookman Old Style" w:hAnsi="Bookman Old Style"/>
          <w:sz w:val="24"/>
          <w:szCs w:val="24"/>
        </w:rPr>
        <w:t>Peraturan</w:t>
      </w:r>
      <w:r w:rsidR="00A954D0">
        <w:rPr>
          <w:rFonts w:ascii="Bookman Old Style" w:hAnsi="Bookman Old Style"/>
          <w:sz w:val="24"/>
          <w:szCs w:val="24"/>
        </w:rPr>
        <w:t xml:space="preserve"> </w:t>
      </w:r>
      <w:r w:rsidRPr="000E42D9">
        <w:rPr>
          <w:rFonts w:ascii="Bookman Old Style" w:hAnsi="Bookman Old Style"/>
          <w:sz w:val="24"/>
          <w:szCs w:val="24"/>
        </w:rPr>
        <w:t>Daerah</w:t>
      </w:r>
      <w:r w:rsidR="00A954D0">
        <w:rPr>
          <w:rFonts w:ascii="Bookman Old Style" w:hAnsi="Bookman Old Style"/>
          <w:sz w:val="24"/>
          <w:szCs w:val="24"/>
        </w:rPr>
        <w:t xml:space="preserve"> </w:t>
      </w:r>
      <w:r w:rsidRPr="000E42D9">
        <w:rPr>
          <w:rFonts w:ascii="Bookman Old Style" w:hAnsi="Bookman Old Style"/>
          <w:sz w:val="24"/>
          <w:szCs w:val="24"/>
          <w:lang w:val="en-ID"/>
        </w:rPr>
        <w:t>Kota</w:t>
      </w:r>
      <w:r w:rsidR="00A954D0">
        <w:rPr>
          <w:rFonts w:ascii="Bookman Old Style" w:hAnsi="Bookman Old Style"/>
          <w:sz w:val="24"/>
          <w:szCs w:val="24"/>
          <w:lang w:val="en-ID"/>
        </w:rPr>
        <w:t xml:space="preserve"> </w:t>
      </w:r>
      <w:r w:rsidRPr="000E42D9">
        <w:rPr>
          <w:rFonts w:ascii="Bookman Old Style" w:hAnsi="Bookman Old Style"/>
          <w:sz w:val="24"/>
          <w:szCs w:val="24"/>
          <w:lang w:val="en-ID"/>
        </w:rPr>
        <w:t>Tangerang</w:t>
      </w:r>
      <w:r w:rsidR="00A954D0">
        <w:rPr>
          <w:rFonts w:ascii="Bookman Old Style" w:hAnsi="Bookman Old Style"/>
          <w:sz w:val="24"/>
          <w:szCs w:val="24"/>
          <w:lang w:val="en-ID"/>
        </w:rPr>
        <w:t xml:space="preserve"> </w:t>
      </w:r>
      <w:r w:rsidRPr="000E42D9">
        <w:rPr>
          <w:rFonts w:ascii="Bookman Old Style" w:hAnsi="Bookman Old Style"/>
          <w:sz w:val="24"/>
          <w:szCs w:val="24"/>
        </w:rPr>
        <w:t>tentang</w:t>
      </w:r>
      <w:r w:rsidR="00A954D0">
        <w:rPr>
          <w:rFonts w:ascii="Bookman Old Style" w:hAnsi="Bookman Old Style"/>
          <w:sz w:val="24"/>
          <w:szCs w:val="24"/>
        </w:rPr>
        <w:t xml:space="preserve"> </w:t>
      </w:r>
      <w:r w:rsidRPr="000E42D9">
        <w:rPr>
          <w:rFonts w:ascii="Bookman Old Style" w:hAnsi="Bookman Old Style"/>
          <w:sz w:val="24"/>
          <w:szCs w:val="24"/>
        </w:rPr>
        <w:t>APBD</w:t>
      </w:r>
      <w:r w:rsidR="00A954D0">
        <w:rPr>
          <w:rFonts w:ascii="Bookman Old Style" w:hAnsi="Bookman Old Style"/>
          <w:sz w:val="24"/>
          <w:szCs w:val="24"/>
        </w:rPr>
        <w:t xml:space="preserve"> </w:t>
      </w:r>
      <w:r w:rsidRPr="000E42D9">
        <w:rPr>
          <w:rFonts w:ascii="Bookman Old Style" w:hAnsi="Bookman Old Style"/>
          <w:sz w:val="24"/>
          <w:szCs w:val="24"/>
        </w:rPr>
        <w:t>Tahun</w:t>
      </w:r>
      <w:r w:rsidR="00A954D0">
        <w:rPr>
          <w:rFonts w:ascii="Bookman Old Style" w:hAnsi="Bookman Old Style"/>
          <w:sz w:val="24"/>
          <w:szCs w:val="24"/>
        </w:rPr>
        <w:t xml:space="preserve"> </w:t>
      </w:r>
      <w:r w:rsidRPr="000E42D9">
        <w:rPr>
          <w:rFonts w:ascii="Bookman Old Style" w:hAnsi="Bookman Old Style"/>
          <w:sz w:val="24"/>
          <w:szCs w:val="24"/>
        </w:rPr>
        <w:t>Anggaran</w:t>
      </w:r>
      <w:r w:rsidR="00A954D0">
        <w:rPr>
          <w:rFonts w:ascii="Bookman Old Style" w:hAnsi="Bookman Old Style"/>
          <w:sz w:val="24"/>
          <w:szCs w:val="24"/>
        </w:rPr>
        <w:t xml:space="preserve"> </w:t>
      </w:r>
      <w:r w:rsidRPr="000E42D9">
        <w:rPr>
          <w:rFonts w:ascii="Bookman Old Style" w:hAnsi="Bookman Old Style"/>
          <w:sz w:val="24"/>
          <w:szCs w:val="24"/>
        </w:rPr>
        <w:t>202</w:t>
      </w:r>
      <w:r w:rsidRPr="000E42D9">
        <w:rPr>
          <w:rFonts w:ascii="Bookman Old Style" w:hAnsi="Bookman Old Style"/>
          <w:sz w:val="24"/>
          <w:szCs w:val="24"/>
          <w:lang w:val="en-US"/>
        </w:rPr>
        <w:t>5</w:t>
      </w:r>
      <w:r w:rsidR="00A954D0">
        <w:rPr>
          <w:rFonts w:ascii="Bookman Old Style" w:hAnsi="Bookman Old Style"/>
          <w:sz w:val="24"/>
          <w:szCs w:val="24"/>
        </w:rPr>
        <w:t xml:space="preserve"> </w:t>
      </w:r>
      <w:r w:rsidRPr="000E42D9">
        <w:rPr>
          <w:rFonts w:ascii="Bookman Old Style" w:hAnsi="Bookman Old Style"/>
          <w:sz w:val="24"/>
          <w:szCs w:val="24"/>
          <w:lang w:val="en-ID"/>
        </w:rPr>
        <w:t>Rp289.952.271.509,00</w:t>
      </w:r>
      <w:r w:rsidR="00A954D0">
        <w:rPr>
          <w:rFonts w:ascii="Bookman Old Style" w:hAnsi="Bookman Old Style"/>
          <w:sz w:val="24"/>
          <w:szCs w:val="24"/>
          <w:lang w:val="en-ID"/>
        </w:rPr>
        <w:t xml:space="preserve"> </w:t>
      </w:r>
      <w:r w:rsidRPr="000E42D9">
        <w:rPr>
          <w:rFonts w:ascii="Bookman Old Style" w:hAnsi="Bookman Old Style"/>
          <w:sz w:val="24"/>
          <w:szCs w:val="24"/>
          <w:lang w:val="en-US"/>
        </w:rPr>
        <w:t>atau</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5,46%</w:t>
      </w:r>
      <w:r w:rsidR="00A954D0">
        <w:rPr>
          <w:rFonts w:ascii="Bookman Old Style" w:hAnsi="Bookman Old Style"/>
          <w:sz w:val="24"/>
          <w:szCs w:val="24"/>
        </w:rPr>
        <w:t xml:space="preserve"> </w:t>
      </w:r>
      <w:r w:rsidRPr="000E42D9">
        <w:rPr>
          <w:rFonts w:ascii="Bookman Old Style" w:hAnsi="Bookman Old Style"/>
          <w:sz w:val="24"/>
          <w:szCs w:val="24"/>
        </w:rPr>
        <w:t>dari</w:t>
      </w:r>
      <w:r w:rsidR="00A954D0">
        <w:rPr>
          <w:rFonts w:ascii="Bookman Old Style" w:hAnsi="Bookman Old Style"/>
          <w:sz w:val="24"/>
          <w:szCs w:val="24"/>
        </w:rPr>
        <w:t xml:space="preserve"> </w:t>
      </w:r>
      <w:r w:rsidRPr="000E42D9">
        <w:rPr>
          <w:rFonts w:ascii="Bookman Old Style" w:hAnsi="Bookman Old Style"/>
          <w:sz w:val="24"/>
          <w:szCs w:val="24"/>
        </w:rPr>
        <w:t>total</w:t>
      </w:r>
      <w:r w:rsidR="00A954D0">
        <w:rPr>
          <w:rFonts w:ascii="Bookman Old Style" w:hAnsi="Bookman Old Style"/>
          <w:sz w:val="24"/>
          <w:szCs w:val="24"/>
        </w:rPr>
        <w:t xml:space="preserve"> </w:t>
      </w:r>
      <w:r w:rsidRPr="000E42D9">
        <w:rPr>
          <w:rFonts w:ascii="Bookman Old Style" w:hAnsi="Bookman Old Style"/>
          <w:sz w:val="24"/>
          <w:szCs w:val="24"/>
        </w:rPr>
        <w:t>pendapatan</w:t>
      </w:r>
      <w:r w:rsidR="00A954D0">
        <w:rPr>
          <w:rFonts w:ascii="Bookman Old Style" w:hAnsi="Bookman Old Style"/>
          <w:sz w:val="24"/>
          <w:szCs w:val="24"/>
        </w:rPr>
        <w:t xml:space="preserve"> </w:t>
      </w:r>
      <w:r w:rsidRPr="000E42D9">
        <w:rPr>
          <w:rFonts w:ascii="Bookman Old Style" w:hAnsi="Bookman Old Style"/>
          <w:sz w:val="24"/>
          <w:szCs w:val="24"/>
        </w:rPr>
        <w:t>daerah</w:t>
      </w:r>
      <w:r w:rsidR="00A954D0">
        <w:rPr>
          <w:rFonts w:ascii="Bookman Old Style" w:hAnsi="Bookman Old Style"/>
          <w:sz w:val="24"/>
          <w:szCs w:val="24"/>
        </w:rPr>
        <w:t xml:space="preserve"> </w:t>
      </w:r>
      <w:r w:rsidRPr="000E42D9">
        <w:rPr>
          <w:rFonts w:ascii="Bookman Old Style" w:hAnsi="Bookman Old Style"/>
          <w:sz w:val="24"/>
          <w:szCs w:val="24"/>
          <w:lang w:val="it-IT"/>
        </w:rPr>
        <w:t>dan</w:t>
      </w:r>
      <w:r w:rsidR="00A954D0">
        <w:rPr>
          <w:rFonts w:ascii="Bookman Old Style" w:hAnsi="Bookman Old Style"/>
          <w:sz w:val="24"/>
          <w:szCs w:val="24"/>
          <w:lang w:val="it-IT"/>
        </w:rPr>
        <w:t xml:space="preserve"> </w:t>
      </w:r>
      <w:r w:rsidRPr="000E42D9">
        <w:rPr>
          <w:rFonts w:ascii="Bookman Old Style" w:hAnsi="Bookman Old Style"/>
          <w:sz w:val="24"/>
          <w:szCs w:val="24"/>
          <w:lang w:val="it-IT"/>
        </w:rPr>
        <w:t>9,53%</w:t>
      </w:r>
      <w:r w:rsidR="00A954D0">
        <w:rPr>
          <w:rFonts w:ascii="Bookman Old Style" w:hAnsi="Bookman Old Style"/>
          <w:sz w:val="24"/>
          <w:szCs w:val="24"/>
        </w:rPr>
        <w:t xml:space="preserve"> </w:t>
      </w:r>
      <w:r w:rsidRPr="000E42D9">
        <w:rPr>
          <w:rFonts w:ascii="Bookman Old Style" w:hAnsi="Bookman Old Style"/>
          <w:sz w:val="24"/>
          <w:szCs w:val="24"/>
        </w:rPr>
        <w:t>dari</w:t>
      </w:r>
      <w:r w:rsidR="00A954D0">
        <w:rPr>
          <w:rFonts w:ascii="Bookman Old Style" w:hAnsi="Bookman Old Style"/>
          <w:sz w:val="24"/>
          <w:szCs w:val="24"/>
        </w:rPr>
        <w:t xml:space="preserve"> </w:t>
      </w:r>
      <w:r w:rsidRPr="000E42D9">
        <w:rPr>
          <w:rFonts w:ascii="Bookman Old Style" w:hAnsi="Bookman Old Style"/>
          <w:sz w:val="24"/>
          <w:szCs w:val="24"/>
        </w:rPr>
        <w:t>total</w:t>
      </w:r>
      <w:r w:rsidR="00A954D0">
        <w:rPr>
          <w:rFonts w:ascii="Bookman Old Style" w:hAnsi="Bookman Old Style"/>
          <w:sz w:val="24"/>
          <w:szCs w:val="24"/>
        </w:rPr>
        <w:t xml:space="preserve"> </w:t>
      </w:r>
      <w:r w:rsidRPr="000E42D9">
        <w:rPr>
          <w:rFonts w:ascii="Bookman Old Style" w:hAnsi="Bookman Old Style"/>
          <w:sz w:val="24"/>
          <w:szCs w:val="24"/>
        </w:rPr>
        <w:t>pendapatan</w:t>
      </w:r>
      <w:r w:rsidR="00A954D0">
        <w:rPr>
          <w:rFonts w:ascii="Bookman Old Style" w:hAnsi="Bookman Old Style"/>
          <w:sz w:val="24"/>
          <w:szCs w:val="24"/>
        </w:rPr>
        <w:t xml:space="preserve"> </w:t>
      </w:r>
      <w:r w:rsidRPr="000E42D9">
        <w:rPr>
          <w:rFonts w:ascii="Bookman Old Style" w:hAnsi="Bookman Old Style"/>
          <w:sz w:val="24"/>
          <w:szCs w:val="24"/>
        </w:rPr>
        <w:t>asli</w:t>
      </w:r>
      <w:r w:rsidR="00A954D0">
        <w:rPr>
          <w:rFonts w:ascii="Bookman Old Style" w:hAnsi="Bookman Old Style"/>
          <w:sz w:val="24"/>
          <w:szCs w:val="24"/>
        </w:rPr>
        <w:t xml:space="preserve"> </w:t>
      </w:r>
      <w:r w:rsidRPr="000E42D9">
        <w:rPr>
          <w:rFonts w:ascii="Bookman Old Style" w:hAnsi="Bookman Old Style"/>
          <w:sz w:val="24"/>
          <w:szCs w:val="24"/>
        </w:rPr>
        <w:t>daerah</w:t>
      </w:r>
      <w:r w:rsidRPr="000E42D9">
        <w:rPr>
          <w:rFonts w:ascii="Bookman Old Style" w:hAnsi="Bookman Old Style"/>
          <w:sz w:val="24"/>
          <w:szCs w:val="24"/>
          <w:lang w:val="en-US"/>
        </w:rPr>
        <w:t>,</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yang</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diuraikan</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sebagai</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berikut:</w:t>
      </w:r>
      <w:r w:rsidR="00A954D0">
        <w:rPr>
          <w:rFonts w:ascii="Bookman Old Style" w:hAnsi="Bookman Old Style"/>
          <w:sz w:val="24"/>
          <w:szCs w:val="24"/>
          <w:lang w:val="en-US"/>
        </w:rPr>
        <w:t xml:space="preserve"> </w:t>
      </w:r>
    </w:p>
    <w:p w14:paraId="71CD2134" w14:textId="3CD40AD8" w:rsidR="000E5ADB" w:rsidRPr="003255BC" w:rsidRDefault="000E5ADB" w:rsidP="00FD6795">
      <w:pPr>
        <w:pStyle w:val="ListParagraph"/>
        <w:numPr>
          <w:ilvl w:val="0"/>
          <w:numId w:val="37"/>
        </w:numPr>
        <w:spacing w:before="60" w:after="0" w:line="276" w:lineRule="auto"/>
        <w:ind w:left="2694" w:hanging="425"/>
        <w:contextualSpacing w:val="0"/>
        <w:jc w:val="both"/>
        <w:rPr>
          <w:rFonts w:ascii="Bookman Old Style" w:hAnsi="Bookman Old Style"/>
          <w:sz w:val="24"/>
          <w:szCs w:val="24"/>
          <w:lang w:val="en-US"/>
        </w:rPr>
      </w:pPr>
      <w:r w:rsidRPr="000E42D9">
        <w:rPr>
          <w:rFonts w:ascii="Bookman Old Style" w:hAnsi="Bookman Old Style"/>
          <w:sz w:val="24"/>
          <w:szCs w:val="24"/>
          <w:lang w:val="en-US"/>
        </w:rPr>
        <w:t>Retribusi</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Jasa</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Umum</w:t>
      </w:r>
      <w:r w:rsidR="00A954D0">
        <w:rPr>
          <w:rFonts w:ascii="Bookman Old Style" w:hAnsi="Bookman Old Style"/>
          <w:sz w:val="24"/>
          <w:szCs w:val="24"/>
          <w:lang w:val="en-US"/>
        </w:rPr>
        <w:t xml:space="preserve"> </w:t>
      </w:r>
      <w:r w:rsidRPr="000E42D9">
        <w:rPr>
          <w:rFonts w:ascii="Bookman Old Style" w:hAnsi="Bookman Old Style"/>
          <w:sz w:val="24"/>
          <w:szCs w:val="24"/>
          <w:lang w:val="it-IT"/>
        </w:rPr>
        <w:t>Rp228.328.304.509,00</w:t>
      </w:r>
      <w:r w:rsidR="00A954D0">
        <w:rPr>
          <w:rFonts w:ascii="Bookman Old Style" w:hAnsi="Bookman Old Style"/>
          <w:sz w:val="24"/>
          <w:szCs w:val="24"/>
          <w:lang w:val="it-IT"/>
        </w:rPr>
        <w:t xml:space="preserve"> </w:t>
      </w:r>
      <w:r w:rsidRPr="000E42D9">
        <w:rPr>
          <w:rFonts w:ascii="Bookman Old Style" w:hAnsi="Bookman Old Style"/>
          <w:sz w:val="24"/>
          <w:szCs w:val="24"/>
          <w:lang w:val="it-IT"/>
        </w:rPr>
        <w:t>atau</w:t>
      </w:r>
      <w:r w:rsidR="00A954D0">
        <w:rPr>
          <w:rFonts w:ascii="Bookman Old Style" w:hAnsi="Bookman Old Style"/>
          <w:sz w:val="24"/>
          <w:szCs w:val="24"/>
          <w:lang w:val="it-IT"/>
        </w:rPr>
        <w:t xml:space="preserve"> </w:t>
      </w:r>
      <w:r w:rsidRPr="000E42D9">
        <w:rPr>
          <w:rFonts w:ascii="Bookman Old Style" w:hAnsi="Bookman Old Style"/>
          <w:sz w:val="24"/>
          <w:szCs w:val="24"/>
          <w:lang w:val="it-IT"/>
        </w:rPr>
        <w:t>4,30%</w:t>
      </w:r>
      <w:r w:rsidR="00A954D0">
        <w:rPr>
          <w:rFonts w:ascii="Bookman Old Style" w:hAnsi="Bookman Old Style" w:cs="Arial"/>
          <w:sz w:val="24"/>
          <w:szCs w:val="24"/>
        </w:rPr>
        <w:t xml:space="preserve"> </w:t>
      </w:r>
      <w:r w:rsidRPr="000E42D9">
        <w:rPr>
          <w:rFonts w:ascii="Bookman Old Style" w:hAnsi="Bookman Old Style" w:cs="Arial"/>
          <w:sz w:val="24"/>
          <w:szCs w:val="24"/>
        </w:rPr>
        <w:t>dari</w:t>
      </w:r>
      <w:r w:rsidR="00A954D0">
        <w:rPr>
          <w:rFonts w:ascii="Bookman Old Style" w:hAnsi="Bookman Old Style" w:cs="Arial"/>
          <w:sz w:val="24"/>
          <w:szCs w:val="24"/>
        </w:rPr>
        <w:t xml:space="preserve"> </w:t>
      </w:r>
      <w:r w:rsidRPr="000E42D9">
        <w:rPr>
          <w:rFonts w:ascii="Bookman Old Style" w:hAnsi="Bookman Old Style" w:cs="Arial"/>
          <w:sz w:val="24"/>
          <w:szCs w:val="24"/>
        </w:rPr>
        <w:t>total</w:t>
      </w:r>
      <w:r w:rsidR="00A954D0">
        <w:rPr>
          <w:rFonts w:ascii="Bookman Old Style" w:hAnsi="Bookman Old Style" w:cs="Arial"/>
          <w:sz w:val="24"/>
          <w:szCs w:val="24"/>
        </w:rPr>
        <w:t xml:space="preserve"> </w:t>
      </w:r>
      <w:r w:rsidRPr="000E42D9">
        <w:rPr>
          <w:rFonts w:ascii="Bookman Old Style" w:hAnsi="Bookman Old Style" w:cs="Arial"/>
          <w:sz w:val="24"/>
          <w:szCs w:val="24"/>
        </w:rPr>
        <w:t>pendapatan</w:t>
      </w:r>
      <w:r w:rsidR="00A954D0">
        <w:rPr>
          <w:rFonts w:ascii="Bookman Old Style" w:hAnsi="Bookman Old Style" w:cs="Arial"/>
          <w:sz w:val="24"/>
          <w:szCs w:val="24"/>
        </w:rPr>
        <w:t xml:space="preserve"> </w:t>
      </w:r>
      <w:r w:rsidRPr="000E42D9">
        <w:rPr>
          <w:rFonts w:ascii="Bookman Old Style" w:hAnsi="Bookman Old Style" w:cs="Arial"/>
          <w:sz w:val="24"/>
          <w:szCs w:val="24"/>
        </w:rPr>
        <w:t>daerah</w:t>
      </w:r>
      <w:r w:rsidR="00A954D0">
        <w:rPr>
          <w:rFonts w:ascii="Bookman Old Style" w:hAnsi="Bookman Old Style" w:cs="Arial"/>
          <w:sz w:val="24"/>
          <w:szCs w:val="24"/>
        </w:rPr>
        <w:t xml:space="preserve"> </w:t>
      </w:r>
      <w:r w:rsidRPr="000E42D9">
        <w:rPr>
          <w:rFonts w:ascii="Bookman Old Style" w:hAnsi="Bookman Old Style" w:cs="Arial"/>
          <w:sz w:val="24"/>
          <w:szCs w:val="24"/>
        </w:rPr>
        <w:t>dalam</w:t>
      </w:r>
      <w:r w:rsidR="00A954D0">
        <w:rPr>
          <w:rFonts w:ascii="Bookman Old Style" w:hAnsi="Bookman Old Style" w:cs="Arial"/>
          <w:sz w:val="24"/>
          <w:szCs w:val="24"/>
        </w:rPr>
        <w:t xml:space="preserve"> </w:t>
      </w:r>
      <w:r w:rsidRPr="000E42D9">
        <w:rPr>
          <w:rFonts w:ascii="Bookman Old Style" w:hAnsi="Bookman Old Style" w:cs="Arial"/>
          <w:sz w:val="24"/>
          <w:szCs w:val="24"/>
        </w:rPr>
        <w:t>Rancangan</w:t>
      </w:r>
      <w:r w:rsidR="00A954D0">
        <w:rPr>
          <w:rFonts w:ascii="Bookman Old Style" w:hAnsi="Bookman Old Style" w:cs="Arial"/>
          <w:sz w:val="24"/>
          <w:szCs w:val="24"/>
        </w:rPr>
        <w:t xml:space="preserve"> </w:t>
      </w:r>
      <w:r w:rsidRPr="000E42D9">
        <w:rPr>
          <w:rFonts w:ascii="Bookman Old Style" w:hAnsi="Bookman Old Style" w:cs="Arial"/>
          <w:sz w:val="24"/>
          <w:szCs w:val="24"/>
        </w:rPr>
        <w:t>Peraturan</w:t>
      </w:r>
      <w:r w:rsidR="00A954D0">
        <w:rPr>
          <w:rFonts w:ascii="Bookman Old Style" w:hAnsi="Bookman Old Style" w:cs="Arial"/>
          <w:sz w:val="24"/>
          <w:szCs w:val="24"/>
        </w:rPr>
        <w:t xml:space="preserve"> </w:t>
      </w:r>
      <w:r w:rsidRPr="000E42D9">
        <w:rPr>
          <w:rFonts w:ascii="Bookman Old Style" w:hAnsi="Bookman Old Style" w:cs="Arial"/>
          <w:sz w:val="24"/>
          <w:szCs w:val="24"/>
        </w:rPr>
        <w:t>Daerah</w:t>
      </w:r>
      <w:r w:rsidR="00A954D0">
        <w:rPr>
          <w:rFonts w:ascii="Bookman Old Style" w:hAnsi="Bookman Old Style" w:cs="Arial"/>
          <w:sz w:val="24"/>
          <w:szCs w:val="24"/>
        </w:rPr>
        <w:t xml:space="preserve"> </w:t>
      </w:r>
      <w:r w:rsidRPr="000E42D9">
        <w:rPr>
          <w:rFonts w:ascii="Bookman Old Style" w:hAnsi="Bookman Old Style"/>
          <w:sz w:val="24"/>
          <w:szCs w:val="24"/>
          <w:lang w:val="en-ID"/>
        </w:rPr>
        <w:t>Kota</w:t>
      </w:r>
      <w:r w:rsidR="00A954D0">
        <w:rPr>
          <w:rFonts w:ascii="Bookman Old Style" w:hAnsi="Bookman Old Style"/>
          <w:sz w:val="24"/>
          <w:szCs w:val="24"/>
          <w:lang w:val="en-ID"/>
        </w:rPr>
        <w:t xml:space="preserve"> </w:t>
      </w:r>
      <w:r w:rsidRPr="000E42D9">
        <w:rPr>
          <w:rFonts w:ascii="Bookman Old Style" w:hAnsi="Bookman Old Style"/>
          <w:sz w:val="24"/>
          <w:szCs w:val="24"/>
          <w:lang w:val="en-ID"/>
        </w:rPr>
        <w:t>Tangerang</w:t>
      </w:r>
      <w:r w:rsidR="00A954D0">
        <w:rPr>
          <w:rFonts w:ascii="Bookman Old Style" w:hAnsi="Bookman Old Style"/>
          <w:sz w:val="24"/>
          <w:szCs w:val="24"/>
          <w:lang w:val="en-ID"/>
        </w:rPr>
        <w:t xml:space="preserve"> </w:t>
      </w:r>
      <w:r w:rsidRPr="000E42D9">
        <w:rPr>
          <w:rFonts w:ascii="Bookman Old Style" w:hAnsi="Bookman Old Style" w:cs="Arial"/>
          <w:sz w:val="24"/>
          <w:szCs w:val="24"/>
          <w:lang w:val="id-ID"/>
        </w:rPr>
        <w:t>tentang</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APBD</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Anggaran</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2025</w:t>
      </w:r>
      <w:r w:rsidR="00A954D0" w:rsidRPr="003255BC">
        <w:rPr>
          <w:rFonts w:ascii="Bookman Old Style" w:hAnsi="Bookman Old Style" w:cs="Arial"/>
          <w:sz w:val="24"/>
          <w:szCs w:val="24"/>
          <w:lang w:val="en-US"/>
        </w:rPr>
        <w:t xml:space="preserve"> </w:t>
      </w:r>
      <w:r w:rsidRPr="003255BC">
        <w:rPr>
          <w:rFonts w:ascii="Bookman Old Style" w:hAnsi="Bookman Old Style"/>
          <w:sz w:val="24"/>
          <w:szCs w:val="24"/>
          <w:lang w:val="en-US"/>
        </w:rPr>
        <w:t>antara</w:t>
      </w:r>
      <w:r w:rsidR="00A954D0" w:rsidRPr="003255BC">
        <w:rPr>
          <w:rFonts w:ascii="Bookman Old Style" w:hAnsi="Bookman Old Style"/>
          <w:sz w:val="24"/>
          <w:szCs w:val="24"/>
          <w:lang w:val="en-US"/>
        </w:rPr>
        <w:t xml:space="preserve"> </w:t>
      </w:r>
      <w:r w:rsidRPr="003255BC">
        <w:rPr>
          <w:rFonts w:ascii="Bookman Old Style" w:hAnsi="Bookman Old Style"/>
          <w:sz w:val="24"/>
          <w:szCs w:val="24"/>
          <w:lang w:val="en-US"/>
        </w:rPr>
        <w:t>lain</w:t>
      </w:r>
      <w:r w:rsidR="00A954D0" w:rsidRPr="003255BC">
        <w:rPr>
          <w:rFonts w:ascii="Bookman Old Style" w:hAnsi="Bookman Old Style"/>
          <w:sz w:val="24"/>
          <w:szCs w:val="24"/>
          <w:lang w:val="en-US"/>
        </w:rPr>
        <w:t xml:space="preserve"> </w:t>
      </w:r>
      <w:r w:rsidRPr="003255BC">
        <w:rPr>
          <w:rFonts w:ascii="Bookman Old Style" w:hAnsi="Bookman Old Style"/>
          <w:sz w:val="24"/>
          <w:szCs w:val="24"/>
          <w:lang w:val="en-US"/>
        </w:rPr>
        <w:t>diuraikan</w:t>
      </w:r>
      <w:r w:rsidR="00A954D0" w:rsidRPr="003255BC">
        <w:rPr>
          <w:rFonts w:ascii="Bookman Old Style" w:hAnsi="Bookman Old Style"/>
          <w:sz w:val="24"/>
          <w:szCs w:val="24"/>
          <w:lang w:val="en-US"/>
        </w:rPr>
        <w:t xml:space="preserve"> </w:t>
      </w:r>
      <w:r w:rsidRPr="003255BC">
        <w:rPr>
          <w:rFonts w:ascii="Bookman Old Style" w:hAnsi="Bookman Old Style"/>
          <w:sz w:val="24"/>
          <w:szCs w:val="24"/>
          <w:lang w:val="en-US"/>
        </w:rPr>
        <w:t>ke</w:t>
      </w:r>
      <w:r w:rsidR="00A954D0" w:rsidRPr="003255BC">
        <w:rPr>
          <w:rFonts w:ascii="Bookman Old Style" w:hAnsi="Bookman Old Style"/>
          <w:sz w:val="24"/>
          <w:szCs w:val="24"/>
          <w:lang w:val="en-US"/>
        </w:rPr>
        <w:t xml:space="preserve"> </w:t>
      </w:r>
      <w:r w:rsidRPr="003255BC">
        <w:rPr>
          <w:rFonts w:ascii="Bookman Old Style" w:hAnsi="Bookman Old Style"/>
          <w:sz w:val="24"/>
          <w:szCs w:val="24"/>
          <w:lang w:val="en-US"/>
        </w:rPr>
        <w:t>dalam</w:t>
      </w:r>
      <w:r w:rsidR="00A954D0" w:rsidRPr="003255BC">
        <w:rPr>
          <w:rFonts w:ascii="Bookman Old Style" w:hAnsi="Bookman Old Style"/>
          <w:sz w:val="24"/>
          <w:szCs w:val="24"/>
          <w:lang w:val="en-US"/>
        </w:rPr>
        <w:t xml:space="preserve"> </w:t>
      </w:r>
      <w:r w:rsidRPr="003255BC">
        <w:rPr>
          <w:rFonts w:ascii="Bookman Old Style" w:hAnsi="Bookman Old Style"/>
          <w:sz w:val="24"/>
          <w:szCs w:val="24"/>
          <w:lang w:val="en-US"/>
        </w:rPr>
        <w:t>rincian</w:t>
      </w:r>
      <w:r w:rsidR="00A954D0" w:rsidRPr="003255BC">
        <w:rPr>
          <w:rFonts w:ascii="Bookman Old Style" w:hAnsi="Bookman Old Style"/>
          <w:sz w:val="24"/>
          <w:szCs w:val="24"/>
          <w:lang w:val="en-US"/>
        </w:rPr>
        <w:t xml:space="preserve"> </w:t>
      </w:r>
      <w:r w:rsidRPr="003255BC">
        <w:rPr>
          <w:rFonts w:ascii="Bookman Old Style" w:hAnsi="Bookman Old Style"/>
          <w:sz w:val="24"/>
          <w:szCs w:val="24"/>
          <w:lang w:val="en-US"/>
        </w:rPr>
        <w:t>objek</w:t>
      </w:r>
      <w:r w:rsidR="00A954D0" w:rsidRPr="003255BC">
        <w:rPr>
          <w:rFonts w:ascii="Bookman Old Style" w:hAnsi="Bookman Old Style"/>
          <w:sz w:val="24"/>
          <w:szCs w:val="24"/>
          <w:lang w:val="en-US"/>
        </w:rPr>
        <w:t xml:space="preserve"> </w:t>
      </w:r>
      <w:r w:rsidRPr="003255BC">
        <w:rPr>
          <w:rFonts w:ascii="Bookman Old Style" w:hAnsi="Bookman Old Style"/>
          <w:sz w:val="24"/>
          <w:szCs w:val="24"/>
          <w:lang w:val="en-US"/>
        </w:rPr>
        <w:t>sebagai</w:t>
      </w:r>
      <w:r w:rsidR="00A954D0" w:rsidRPr="003255BC">
        <w:rPr>
          <w:rFonts w:ascii="Bookman Old Style" w:hAnsi="Bookman Old Style"/>
          <w:sz w:val="24"/>
          <w:szCs w:val="24"/>
          <w:lang w:val="en-US"/>
        </w:rPr>
        <w:t xml:space="preserve"> </w:t>
      </w:r>
      <w:r w:rsidRPr="003255BC">
        <w:rPr>
          <w:rFonts w:ascii="Bookman Old Style" w:hAnsi="Bookman Old Style"/>
          <w:sz w:val="24"/>
          <w:szCs w:val="24"/>
          <w:lang w:val="en-US"/>
        </w:rPr>
        <w:t>berikut:</w:t>
      </w:r>
    </w:p>
    <w:p w14:paraId="657FADB7" w14:textId="4836C2E6" w:rsidR="000E5ADB" w:rsidRPr="000E42D9" w:rsidRDefault="000E5ADB" w:rsidP="00FD6795">
      <w:pPr>
        <w:pStyle w:val="ListParagraph"/>
        <w:numPr>
          <w:ilvl w:val="4"/>
          <w:numId w:val="92"/>
        </w:numPr>
        <w:spacing w:before="60" w:after="0" w:line="276" w:lineRule="auto"/>
        <w:ind w:left="3261" w:hanging="284"/>
        <w:contextualSpacing w:val="0"/>
        <w:jc w:val="both"/>
        <w:rPr>
          <w:rFonts w:ascii="Bookman Old Style" w:hAnsi="Bookman Old Style"/>
          <w:sz w:val="24"/>
          <w:szCs w:val="24"/>
          <w:lang w:val="en-US"/>
        </w:rPr>
      </w:pPr>
      <w:r w:rsidRPr="000E42D9">
        <w:rPr>
          <w:rFonts w:ascii="Bookman Old Style" w:hAnsi="Bookman Old Style"/>
          <w:sz w:val="24"/>
          <w:szCs w:val="24"/>
          <w:lang w:val="en-US"/>
        </w:rPr>
        <w:lastRenderedPageBreak/>
        <w:t>Retribusi</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Pelayanan</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Kesehatan</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Rp204.224.226.714,00;</w:t>
      </w:r>
    </w:p>
    <w:p w14:paraId="7EFBA612" w14:textId="24DB9FB7" w:rsidR="000E5ADB" w:rsidRPr="000E42D9" w:rsidRDefault="000E5ADB" w:rsidP="00FD6795">
      <w:pPr>
        <w:pStyle w:val="ListParagraph"/>
        <w:numPr>
          <w:ilvl w:val="4"/>
          <w:numId w:val="92"/>
        </w:numPr>
        <w:spacing w:before="60" w:after="0" w:line="276" w:lineRule="auto"/>
        <w:ind w:left="3261" w:hanging="284"/>
        <w:contextualSpacing w:val="0"/>
        <w:jc w:val="both"/>
        <w:rPr>
          <w:rFonts w:ascii="Bookman Old Style" w:hAnsi="Bookman Old Style"/>
          <w:sz w:val="24"/>
          <w:szCs w:val="24"/>
          <w:lang w:val="en-US"/>
        </w:rPr>
      </w:pPr>
      <w:r w:rsidRPr="000E42D9">
        <w:rPr>
          <w:rFonts w:ascii="Bookman Old Style" w:hAnsi="Bookman Old Style"/>
          <w:sz w:val="24"/>
          <w:szCs w:val="24"/>
          <w:lang w:val="en-US"/>
        </w:rPr>
        <w:t>Retribusi</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Pelayanan</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Kebersihan</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Rp22.881.097.795,00;</w:t>
      </w:r>
    </w:p>
    <w:p w14:paraId="171F06BD" w14:textId="11EA6717" w:rsidR="000E5ADB" w:rsidRPr="000E42D9" w:rsidRDefault="000E5ADB" w:rsidP="00FD6795">
      <w:pPr>
        <w:pStyle w:val="ListParagraph"/>
        <w:numPr>
          <w:ilvl w:val="4"/>
          <w:numId w:val="92"/>
        </w:numPr>
        <w:spacing w:before="60" w:after="0" w:line="276" w:lineRule="auto"/>
        <w:ind w:left="3261" w:hanging="284"/>
        <w:contextualSpacing w:val="0"/>
        <w:jc w:val="both"/>
        <w:rPr>
          <w:rFonts w:ascii="Bookman Old Style" w:hAnsi="Bookman Old Style"/>
          <w:sz w:val="24"/>
          <w:szCs w:val="24"/>
          <w:lang w:val="en-US"/>
        </w:rPr>
      </w:pPr>
      <w:r w:rsidRPr="000E42D9">
        <w:rPr>
          <w:rFonts w:ascii="Bookman Old Style" w:hAnsi="Bookman Old Style"/>
          <w:sz w:val="24"/>
          <w:szCs w:val="24"/>
          <w:lang w:val="en-US"/>
        </w:rPr>
        <w:t>Retribusi</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Penyediaan</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dan/atau</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Penyedotan</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Kakus</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Rp1.222.980.000,00.</w:t>
      </w:r>
    </w:p>
    <w:p w14:paraId="1C52406D" w14:textId="383F764F" w:rsidR="000E5ADB" w:rsidRPr="000E42D9" w:rsidRDefault="000E5ADB" w:rsidP="00FD6795">
      <w:pPr>
        <w:pStyle w:val="ListParagraph"/>
        <w:numPr>
          <w:ilvl w:val="0"/>
          <w:numId w:val="37"/>
        </w:numPr>
        <w:spacing w:before="60" w:after="0" w:line="276" w:lineRule="auto"/>
        <w:ind w:left="2694" w:hanging="425"/>
        <w:contextualSpacing w:val="0"/>
        <w:jc w:val="both"/>
        <w:rPr>
          <w:rFonts w:ascii="Bookman Old Style" w:hAnsi="Bookman Old Style"/>
          <w:sz w:val="24"/>
          <w:szCs w:val="24"/>
          <w:lang w:val="fi-FI"/>
        </w:rPr>
      </w:pPr>
      <w:r w:rsidRPr="000E42D9">
        <w:rPr>
          <w:rFonts w:ascii="Bookman Old Style" w:hAnsi="Bookman Old Style"/>
          <w:sz w:val="24"/>
          <w:szCs w:val="24"/>
          <w:lang w:val="fi-FI"/>
        </w:rPr>
        <w:t>Retribusi</w:t>
      </w:r>
      <w:r w:rsidR="00A954D0">
        <w:rPr>
          <w:rFonts w:ascii="Bookman Old Style" w:hAnsi="Bookman Old Style"/>
          <w:sz w:val="24"/>
          <w:szCs w:val="24"/>
          <w:lang w:val="fi-FI"/>
        </w:rPr>
        <w:t xml:space="preserve"> </w:t>
      </w:r>
      <w:r w:rsidRPr="000E42D9">
        <w:rPr>
          <w:rFonts w:ascii="Bookman Old Style" w:hAnsi="Bookman Old Style"/>
          <w:sz w:val="24"/>
          <w:szCs w:val="24"/>
          <w:lang w:val="fi-FI"/>
        </w:rPr>
        <w:t>Jasa</w:t>
      </w:r>
      <w:r w:rsidR="00A954D0">
        <w:rPr>
          <w:rFonts w:ascii="Bookman Old Style" w:hAnsi="Bookman Old Style"/>
          <w:sz w:val="24"/>
          <w:szCs w:val="24"/>
          <w:lang w:val="fi-FI"/>
        </w:rPr>
        <w:t xml:space="preserve"> </w:t>
      </w:r>
      <w:r w:rsidRPr="000E42D9">
        <w:rPr>
          <w:rFonts w:ascii="Bookman Old Style" w:hAnsi="Bookman Old Style"/>
          <w:sz w:val="24"/>
          <w:szCs w:val="24"/>
          <w:lang w:val="fi-FI"/>
        </w:rPr>
        <w:t>Usaha</w:t>
      </w:r>
      <w:r w:rsidR="00A954D0">
        <w:rPr>
          <w:rFonts w:ascii="Bookman Old Style" w:hAnsi="Bookman Old Style"/>
          <w:sz w:val="24"/>
          <w:szCs w:val="24"/>
          <w:lang w:val="fi-FI"/>
        </w:rPr>
        <w:t xml:space="preserve"> </w:t>
      </w:r>
      <w:r w:rsidRPr="003255BC">
        <w:rPr>
          <w:rFonts w:ascii="Bookman Old Style" w:hAnsi="Bookman Old Style"/>
          <w:sz w:val="24"/>
          <w:szCs w:val="24"/>
          <w:lang w:val="en-US"/>
        </w:rPr>
        <w:t>Rp10.123.967.000,00</w:t>
      </w:r>
      <w:r w:rsidR="00A954D0" w:rsidRPr="003255BC">
        <w:rPr>
          <w:rFonts w:ascii="Bookman Old Style" w:hAnsi="Bookman Old Style"/>
          <w:sz w:val="24"/>
          <w:szCs w:val="24"/>
          <w:lang w:val="en-US"/>
        </w:rPr>
        <w:t xml:space="preserve"> </w:t>
      </w:r>
      <w:r w:rsidRPr="000E42D9">
        <w:rPr>
          <w:rFonts w:ascii="Bookman Old Style" w:hAnsi="Bookman Old Style"/>
          <w:sz w:val="24"/>
          <w:szCs w:val="24"/>
          <w:lang w:val="it-IT"/>
        </w:rPr>
        <w:t>atau</w:t>
      </w:r>
      <w:r w:rsidR="00A954D0">
        <w:rPr>
          <w:rFonts w:ascii="Bookman Old Style" w:hAnsi="Bookman Old Style"/>
          <w:sz w:val="24"/>
          <w:szCs w:val="24"/>
          <w:lang w:val="it-IT"/>
        </w:rPr>
        <w:t xml:space="preserve"> </w:t>
      </w:r>
      <w:r w:rsidRPr="000E42D9">
        <w:rPr>
          <w:rFonts w:ascii="Bookman Old Style" w:hAnsi="Bookman Old Style"/>
          <w:sz w:val="24"/>
          <w:szCs w:val="24"/>
          <w:lang w:val="it-IT"/>
        </w:rPr>
        <w:t>0,19%</w:t>
      </w:r>
      <w:r w:rsidR="00A954D0">
        <w:rPr>
          <w:rFonts w:ascii="Bookman Old Style" w:hAnsi="Bookman Old Style" w:cs="Arial"/>
          <w:sz w:val="24"/>
          <w:szCs w:val="24"/>
        </w:rPr>
        <w:t xml:space="preserve"> </w:t>
      </w:r>
      <w:r w:rsidRPr="000E42D9">
        <w:rPr>
          <w:rFonts w:ascii="Bookman Old Style" w:hAnsi="Bookman Old Style" w:cs="Arial"/>
          <w:sz w:val="24"/>
          <w:szCs w:val="24"/>
        </w:rPr>
        <w:t>dari</w:t>
      </w:r>
      <w:r w:rsidR="00A954D0">
        <w:rPr>
          <w:rFonts w:ascii="Bookman Old Style" w:hAnsi="Bookman Old Style" w:cs="Arial"/>
          <w:sz w:val="24"/>
          <w:szCs w:val="24"/>
        </w:rPr>
        <w:t xml:space="preserve"> </w:t>
      </w:r>
      <w:r w:rsidRPr="000E42D9">
        <w:rPr>
          <w:rFonts w:ascii="Bookman Old Style" w:hAnsi="Bookman Old Style" w:cs="Arial"/>
          <w:sz w:val="24"/>
          <w:szCs w:val="24"/>
        </w:rPr>
        <w:t>total</w:t>
      </w:r>
      <w:r w:rsidR="00A954D0">
        <w:rPr>
          <w:rFonts w:ascii="Bookman Old Style" w:hAnsi="Bookman Old Style" w:cs="Arial"/>
          <w:sz w:val="24"/>
          <w:szCs w:val="24"/>
        </w:rPr>
        <w:t xml:space="preserve"> </w:t>
      </w:r>
      <w:r w:rsidRPr="000E42D9">
        <w:rPr>
          <w:rFonts w:ascii="Bookman Old Style" w:hAnsi="Bookman Old Style" w:cs="Arial"/>
          <w:sz w:val="24"/>
          <w:szCs w:val="24"/>
        </w:rPr>
        <w:t>pendapatan</w:t>
      </w:r>
      <w:r w:rsidR="00A954D0">
        <w:rPr>
          <w:rFonts w:ascii="Bookman Old Style" w:hAnsi="Bookman Old Style" w:cs="Arial"/>
          <w:sz w:val="24"/>
          <w:szCs w:val="24"/>
        </w:rPr>
        <w:t xml:space="preserve"> </w:t>
      </w:r>
      <w:r w:rsidRPr="000E42D9">
        <w:rPr>
          <w:rFonts w:ascii="Bookman Old Style" w:hAnsi="Bookman Old Style" w:cs="Arial"/>
          <w:sz w:val="24"/>
          <w:szCs w:val="24"/>
        </w:rPr>
        <w:t>daerah</w:t>
      </w:r>
      <w:r w:rsidR="00A954D0">
        <w:rPr>
          <w:rFonts w:ascii="Bookman Old Style" w:hAnsi="Bookman Old Style" w:cs="Arial"/>
          <w:sz w:val="24"/>
          <w:szCs w:val="24"/>
        </w:rPr>
        <w:t xml:space="preserve"> </w:t>
      </w:r>
      <w:r w:rsidRPr="000E42D9">
        <w:rPr>
          <w:rFonts w:ascii="Bookman Old Style" w:hAnsi="Bookman Old Style" w:cs="Arial"/>
          <w:sz w:val="24"/>
          <w:szCs w:val="24"/>
        </w:rPr>
        <w:t>dalam</w:t>
      </w:r>
      <w:r w:rsidR="00A954D0">
        <w:rPr>
          <w:rFonts w:ascii="Bookman Old Style" w:hAnsi="Bookman Old Style" w:cs="Arial"/>
          <w:sz w:val="24"/>
          <w:szCs w:val="24"/>
        </w:rPr>
        <w:t xml:space="preserve"> </w:t>
      </w:r>
      <w:r w:rsidRPr="000E42D9">
        <w:rPr>
          <w:rFonts w:ascii="Bookman Old Style" w:hAnsi="Bookman Old Style" w:cs="Arial"/>
          <w:sz w:val="24"/>
          <w:szCs w:val="24"/>
        </w:rPr>
        <w:t>Rancangan</w:t>
      </w:r>
      <w:r w:rsidR="00A954D0">
        <w:rPr>
          <w:rFonts w:ascii="Bookman Old Style" w:hAnsi="Bookman Old Style" w:cs="Arial"/>
          <w:sz w:val="24"/>
          <w:szCs w:val="24"/>
        </w:rPr>
        <w:t xml:space="preserve"> </w:t>
      </w:r>
      <w:r w:rsidRPr="000E42D9">
        <w:rPr>
          <w:rFonts w:ascii="Bookman Old Style" w:hAnsi="Bookman Old Style" w:cs="Arial"/>
          <w:sz w:val="24"/>
          <w:szCs w:val="24"/>
        </w:rPr>
        <w:t>Peraturan</w:t>
      </w:r>
      <w:r w:rsidR="00A954D0">
        <w:rPr>
          <w:rFonts w:ascii="Bookman Old Style" w:hAnsi="Bookman Old Style" w:cs="Arial"/>
          <w:sz w:val="24"/>
          <w:szCs w:val="24"/>
        </w:rPr>
        <w:t xml:space="preserve"> </w:t>
      </w:r>
      <w:r w:rsidRPr="000E42D9">
        <w:rPr>
          <w:rFonts w:ascii="Bookman Old Style" w:hAnsi="Bookman Old Style" w:cs="Arial"/>
          <w:sz w:val="24"/>
          <w:szCs w:val="24"/>
        </w:rPr>
        <w:t>Daerah</w:t>
      </w:r>
      <w:r w:rsidR="00A954D0">
        <w:rPr>
          <w:rFonts w:ascii="Bookman Old Style" w:hAnsi="Bookman Old Style" w:cs="Arial"/>
          <w:sz w:val="24"/>
          <w:szCs w:val="24"/>
        </w:rPr>
        <w:t xml:space="preserve"> </w:t>
      </w:r>
      <w:r w:rsidRPr="000E42D9">
        <w:rPr>
          <w:rFonts w:ascii="Bookman Old Style" w:hAnsi="Bookman Old Style"/>
          <w:sz w:val="24"/>
          <w:szCs w:val="24"/>
          <w:lang w:val="en-ID"/>
        </w:rPr>
        <w:t>Kota</w:t>
      </w:r>
      <w:r w:rsidR="00A954D0">
        <w:rPr>
          <w:rFonts w:ascii="Bookman Old Style" w:hAnsi="Bookman Old Style"/>
          <w:sz w:val="24"/>
          <w:szCs w:val="24"/>
          <w:lang w:val="en-ID"/>
        </w:rPr>
        <w:t xml:space="preserve"> </w:t>
      </w:r>
      <w:r w:rsidRPr="000E42D9">
        <w:rPr>
          <w:rFonts w:ascii="Bookman Old Style" w:hAnsi="Bookman Old Style"/>
          <w:sz w:val="24"/>
          <w:szCs w:val="24"/>
          <w:lang w:val="en-ID"/>
        </w:rPr>
        <w:t>Tangerang</w:t>
      </w:r>
      <w:r w:rsidR="00A954D0">
        <w:rPr>
          <w:rFonts w:ascii="Bookman Old Style" w:hAnsi="Bookman Old Style"/>
          <w:sz w:val="24"/>
          <w:szCs w:val="24"/>
          <w:lang w:val="en-ID"/>
        </w:rPr>
        <w:t xml:space="preserve"> </w:t>
      </w:r>
      <w:r w:rsidRPr="000E42D9">
        <w:rPr>
          <w:rFonts w:ascii="Bookman Old Style" w:hAnsi="Bookman Old Style" w:cs="Arial"/>
          <w:sz w:val="24"/>
          <w:szCs w:val="24"/>
          <w:lang w:val="id-ID"/>
        </w:rPr>
        <w:t>tentang</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APBD</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Anggaran</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202</w:t>
      </w:r>
      <w:r w:rsidRPr="003255BC">
        <w:rPr>
          <w:rFonts w:ascii="Bookman Old Style" w:hAnsi="Bookman Old Style" w:cs="Arial"/>
          <w:sz w:val="24"/>
          <w:szCs w:val="24"/>
          <w:lang w:val="en-US"/>
        </w:rPr>
        <w:t>5</w:t>
      </w:r>
      <w:r w:rsidR="00A954D0">
        <w:rPr>
          <w:rFonts w:ascii="Bookman Old Style" w:hAnsi="Bookman Old Style"/>
          <w:sz w:val="24"/>
          <w:szCs w:val="24"/>
          <w:lang w:val="fi-FI"/>
        </w:rPr>
        <w:t xml:space="preserve"> </w:t>
      </w:r>
      <w:r w:rsidRPr="003255BC">
        <w:rPr>
          <w:rFonts w:ascii="Bookman Old Style" w:hAnsi="Bookman Old Style"/>
          <w:sz w:val="24"/>
          <w:szCs w:val="24"/>
          <w:lang w:val="en-US"/>
        </w:rPr>
        <w:t>antara</w:t>
      </w:r>
      <w:r w:rsidR="00A954D0" w:rsidRPr="003255BC">
        <w:rPr>
          <w:rFonts w:ascii="Bookman Old Style" w:hAnsi="Bookman Old Style"/>
          <w:sz w:val="24"/>
          <w:szCs w:val="24"/>
          <w:lang w:val="en-US"/>
        </w:rPr>
        <w:t xml:space="preserve"> </w:t>
      </w:r>
      <w:r w:rsidRPr="003255BC">
        <w:rPr>
          <w:rFonts w:ascii="Bookman Old Style" w:hAnsi="Bookman Old Style"/>
          <w:sz w:val="24"/>
          <w:szCs w:val="24"/>
          <w:lang w:val="en-US"/>
        </w:rPr>
        <w:t>lain</w:t>
      </w:r>
      <w:r w:rsidR="00A954D0" w:rsidRPr="003255BC">
        <w:rPr>
          <w:rFonts w:ascii="Bookman Old Style" w:hAnsi="Bookman Old Style"/>
          <w:sz w:val="24"/>
          <w:szCs w:val="24"/>
          <w:lang w:val="en-US"/>
        </w:rPr>
        <w:t xml:space="preserve"> </w:t>
      </w:r>
      <w:r w:rsidRPr="003255BC">
        <w:rPr>
          <w:rFonts w:ascii="Bookman Old Style" w:hAnsi="Bookman Old Style"/>
          <w:sz w:val="24"/>
          <w:szCs w:val="24"/>
          <w:lang w:val="en-US"/>
        </w:rPr>
        <w:t>diuraikan</w:t>
      </w:r>
      <w:r w:rsidR="00A954D0" w:rsidRPr="003255BC">
        <w:rPr>
          <w:rFonts w:ascii="Bookman Old Style" w:hAnsi="Bookman Old Style"/>
          <w:sz w:val="24"/>
          <w:szCs w:val="24"/>
          <w:lang w:val="en-US"/>
        </w:rPr>
        <w:t xml:space="preserve"> </w:t>
      </w:r>
      <w:r w:rsidRPr="003255BC">
        <w:rPr>
          <w:rFonts w:ascii="Bookman Old Style" w:hAnsi="Bookman Old Style"/>
          <w:sz w:val="24"/>
          <w:szCs w:val="24"/>
          <w:lang w:val="en-US"/>
        </w:rPr>
        <w:t>ke</w:t>
      </w:r>
      <w:r w:rsidR="00A954D0" w:rsidRPr="003255BC">
        <w:rPr>
          <w:rFonts w:ascii="Bookman Old Style" w:hAnsi="Bookman Old Style"/>
          <w:sz w:val="24"/>
          <w:szCs w:val="24"/>
          <w:lang w:val="en-US"/>
        </w:rPr>
        <w:t xml:space="preserve"> </w:t>
      </w:r>
      <w:r w:rsidRPr="003255BC">
        <w:rPr>
          <w:rFonts w:ascii="Bookman Old Style" w:hAnsi="Bookman Old Style"/>
          <w:sz w:val="24"/>
          <w:szCs w:val="24"/>
          <w:lang w:val="en-US"/>
        </w:rPr>
        <w:t>dalam</w:t>
      </w:r>
      <w:r w:rsidR="00A954D0" w:rsidRPr="003255BC">
        <w:rPr>
          <w:rFonts w:ascii="Bookman Old Style" w:hAnsi="Bookman Old Style"/>
          <w:sz w:val="24"/>
          <w:szCs w:val="24"/>
          <w:lang w:val="en-US"/>
        </w:rPr>
        <w:t xml:space="preserve"> </w:t>
      </w:r>
      <w:r w:rsidRPr="003255BC">
        <w:rPr>
          <w:rFonts w:ascii="Bookman Old Style" w:hAnsi="Bookman Old Style"/>
          <w:sz w:val="24"/>
          <w:szCs w:val="24"/>
          <w:lang w:val="en-US"/>
        </w:rPr>
        <w:t>rincian</w:t>
      </w:r>
      <w:r w:rsidR="00A954D0" w:rsidRPr="003255BC">
        <w:rPr>
          <w:rFonts w:ascii="Bookman Old Style" w:hAnsi="Bookman Old Style"/>
          <w:sz w:val="24"/>
          <w:szCs w:val="24"/>
          <w:lang w:val="en-US"/>
        </w:rPr>
        <w:t xml:space="preserve"> </w:t>
      </w:r>
      <w:r w:rsidRPr="003255BC">
        <w:rPr>
          <w:rFonts w:ascii="Bookman Old Style" w:hAnsi="Bookman Old Style"/>
          <w:sz w:val="24"/>
          <w:szCs w:val="24"/>
          <w:lang w:val="en-US"/>
        </w:rPr>
        <w:t>objek</w:t>
      </w:r>
      <w:r w:rsidR="00A954D0" w:rsidRPr="003255BC">
        <w:rPr>
          <w:rFonts w:ascii="Bookman Old Style" w:hAnsi="Bookman Old Style"/>
          <w:sz w:val="24"/>
          <w:szCs w:val="24"/>
          <w:lang w:val="en-US"/>
        </w:rPr>
        <w:t xml:space="preserve"> </w:t>
      </w:r>
      <w:r w:rsidRPr="003255BC">
        <w:rPr>
          <w:rFonts w:ascii="Bookman Old Style" w:hAnsi="Bookman Old Style"/>
          <w:sz w:val="24"/>
          <w:szCs w:val="24"/>
          <w:lang w:val="en-US"/>
        </w:rPr>
        <w:t>sebagai</w:t>
      </w:r>
      <w:r w:rsidR="00A954D0" w:rsidRPr="003255BC">
        <w:rPr>
          <w:rFonts w:ascii="Bookman Old Style" w:hAnsi="Bookman Old Style"/>
          <w:sz w:val="24"/>
          <w:szCs w:val="24"/>
          <w:lang w:val="en-US"/>
        </w:rPr>
        <w:t xml:space="preserve"> </w:t>
      </w:r>
      <w:r w:rsidRPr="003255BC">
        <w:rPr>
          <w:rFonts w:ascii="Bookman Old Style" w:hAnsi="Bookman Old Style"/>
          <w:sz w:val="24"/>
          <w:szCs w:val="24"/>
          <w:lang w:val="en-US"/>
        </w:rPr>
        <w:t>berikut:</w:t>
      </w:r>
    </w:p>
    <w:p w14:paraId="1A7E5F2E" w14:textId="64D686D9" w:rsidR="000E5ADB" w:rsidRPr="000E42D9" w:rsidRDefault="000E5ADB" w:rsidP="00FD6795">
      <w:pPr>
        <w:pStyle w:val="ListParagraph"/>
        <w:numPr>
          <w:ilvl w:val="0"/>
          <w:numId w:val="85"/>
        </w:numPr>
        <w:spacing w:before="60" w:after="0" w:line="276" w:lineRule="auto"/>
        <w:ind w:left="3261" w:hanging="284"/>
        <w:contextualSpacing w:val="0"/>
        <w:jc w:val="both"/>
        <w:rPr>
          <w:rFonts w:ascii="Bookman Old Style" w:hAnsi="Bookman Old Style"/>
          <w:sz w:val="24"/>
          <w:szCs w:val="24"/>
          <w:lang w:val="fi-FI"/>
        </w:rPr>
      </w:pPr>
      <w:r w:rsidRPr="000E42D9">
        <w:rPr>
          <w:rFonts w:ascii="Bookman Old Style" w:hAnsi="Bookman Old Style"/>
          <w:sz w:val="24"/>
          <w:szCs w:val="24"/>
          <w:lang w:val="fi-FI"/>
        </w:rPr>
        <w:t>Retribusi</w:t>
      </w:r>
      <w:r w:rsidR="00A954D0">
        <w:rPr>
          <w:rFonts w:ascii="Bookman Old Style" w:hAnsi="Bookman Old Style"/>
          <w:sz w:val="24"/>
          <w:szCs w:val="24"/>
          <w:lang w:val="fi-FI"/>
        </w:rPr>
        <w:t xml:space="preserve"> </w:t>
      </w:r>
      <w:r w:rsidRPr="000E42D9">
        <w:rPr>
          <w:rFonts w:ascii="Bookman Old Style" w:hAnsi="Bookman Old Style"/>
          <w:sz w:val="24"/>
          <w:szCs w:val="24"/>
          <w:lang w:val="fi-FI"/>
        </w:rPr>
        <w:t>Pemakaian</w:t>
      </w:r>
      <w:r w:rsidR="00A954D0">
        <w:rPr>
          <w:rFonts w:ascii="Bookman Old Style" w:hAnsi="Bookman Old Style"/>
          <w:sz w:val="24"/>
          <w:szCs w:val="24"/>
          <w:lang w:val="fi-FI"/>
        </w:rPr>
        <w:t xml:space="preserve"> </w:t>
      </w:r>
      <w:r w:rsidRPr="000E42D9">
        <w:rPr>
          <w:rFonts w:ascii="Bookman Old Style" w:hAnsi="Bookman Old Style"/>
          <w:sz w:val="24"/>
          <w:szCs w:val="24"/>
          <w:lang w:val="fi-FI"/>
        </w:rPr>
        <w:t>Kekayaan</w:t>
      </w:r>
      <w:r w:rsidR="00A954D0">
        <w:rPr>
          <w:rFonts w:ascii="Bookman Old Style" w:hAnsi="Bookman Old Style"/>
          <w:sz w:val="24"/>
          <w:szCs w:val="24"/>
          <w:lang w:val="fi-FI"/>
        </w:rPr>
        <w:t xml:space="preserve"> </w:t>
      </w:r>
      <w:r w:rsidRPr="000E42D9">
        <w:rPr>
          <w:rFonts w:ascii="Bookman Old Style" w:hAnsi="Bookman Old Style"/>
          <w:sz w:val="24"/>
          <w:szCs w:val="24"/>
          <w:lang w:val="fi-FI"/>
        </w:rPr>
        <w:t>Daerah</w:t>
      </w:r>
      <w:r w:rsidR="00A954D0">
        <w:rPr>
          <w:rFonts w:ascii="Bookman Old Style" w:hAnsi="Bookman Old Style"/>
          <w:sz w:val="24"/>
          <w:szCs w:val="24"/>
          <w:lang w:val="fi-FI"/>
        </w:rPr>
        <w:t xml:space="preserve"> </w:t>
      </w:r>
      <w:r w:rsidRPr="000E42D9">
        <w:rPr>
          <w:rFonts w:ascii="Bookman Old Style" w:hAnsi="Bookman Old Style"/>
          <w:sz w:val="24"/>
          <w:szCs w:val="24"/>
          <w:lang w:val="fi-FI"/>
        </w:rPr>
        <w:t>Rp6.523.967.000,00;</w:t>
      </w:r>
    </w:p>
    <w:p w14:paraId="7D16296B" w14:textId="06D68026" w:rsidR="000E5ADB" w:rsidRPr="000E42D9" w:rsidRDefault="00166620" w:rsidP="00FD6795">
      <w:pPr>
        <w:pStyle w:val="ListParagraph"/>
        <w:spacing w:before="60" w:after="0" w:line="276" w:lineRule="auto"/>
        <w:ind w:left="3261"/>
        <w:contextualSpacing w:val="0"/>
        <w:jc w:val="both"/>
        <w:rPr>
          <w:rFonts w:ascii="Bookman Old Style" w:hAnsi="Bookman Old Style"/>
          <w:sz w:val="24"/>
          <w:szCs w:val="24"/>
          <w:lang w:val="fi-FI"/>
        </w:rPr>
      </w:pPr>
      <w:r w:rsidRPr="00166620">
        <w:rPr>
          <w:rFonts w:ascii="Bookman Old Style" w:hAnsi="Bookman Old Style"/>
          <w:sz w:val="24"/>
          <w:szCs w:val="24"/>
          <w:lang w:val="fi-FI"/>
        </w:rPr>
        <w:t xml:space="preserve">Berdasarkan </w:t>
      </w:r>
      <w:r w:rsidR="000E5ADB" w:rsidRPr="00166620">
        <w:rPr>
          <w:rFonts w:ascii="Bookman Old Style" w:hAnsi="Bookman Old Style"/>
          <w:sz w:val="24"/>
          <w:szCs w:val="24"/>
        </w:rPr>
        <w:t>Peraturan</w:t>
      </w:r>
      <w:r w:rsidR="00A954D0" w:rsidRPr="00166620">
        <w:rPr>
          <w:rFonts w:ascii="Bookman Old Style" w:hAnsi="Bookman Old Style"/>
          <w:sz w:val="24"/>
          <w:szCs w:val="24"/>
        </w:rPr>
        <w:t xml:space="preserve"> </w:t>
      </w:r>
      <w:r w:rsidR="000E5ADB" w:rsidRPr="00166620">
        <w:rPr>
          <w:rFonts w:ascii="Bookman Old Style" w:hAnsi="Bookman Old Style"/>
          <w:sz w:val="24"/>
          <w:szCs w:val="24"/>
        </w:rPr>
        <w:t>Daerah</w:t>
      </w:r>
      <w:r w:rsidR="00A954D0" w:rsidRPr="00166620">
        <w:rPr>
          <w:rFonts w:ascii="Bookman Old Style" w:hAnsi="Bookman Old Style"/>
          <w:sz w:val="24"/>
          <w:szCs w:val="24"/>
        </w:rPr>
        <w:t xml:space="preserve"> </w:t>
      </w:r>
      <w:r w:rsidR="000E5ADB" w:rsidRPr="00166620">
        <w:rPr>
          <w:rFonts w:ascii="Bookman Old Style" w:hAnsi="Bookman Old Style"/>
          <w:sz w:val="24"/>
          <w:szCs w:val="24"/>
        </w:rPr>
        <w:t>Kota</w:t>
      </w:r>
      <w:r w:rsidR="00A954D0" w:rsidRPr="00166620">
        <w:rPr>
          <w:rFonts w:ascii="Bookman Old Style" w:hAnsi="Bookman Old Style"/>
          <w:sz w:val="24"/>
          <w:szCs w:val="24"/>
        </w:rPr>
        <w:t xml:space="preserve"> </w:t>
      </w:r>
      <w:r w:rsidR="000E5ADB" w:rsidRPr="00166620">
        <w:rPr>
          <w:rFonts w:ascii="Bookman Old Style" w:hAnsi="Bookman Old Style"/>
          <w:sz w:val="24"/>
          <w:szCs w:val="24"/>
        </w:rPr>
        <w:t>Tangerang</w:t>
      </w:r>
      <w:r w:rsidR="00A954D0" w:rsidRPr="00166620">
        <w:rPr>
          <w:rFonts w:ascii="Bookman Old Style" w:hAnsi="Bookman Old Style"/>
          <w:sz w:val="24"/>
          <w:szCs w:val="24"/>
        </w:rPr>
        <w:t xml:space="preserve"> </w:t>
      </w:r>
      <w:r w:rsidR="000E5ADB" w:rsidRPr="00166620">
        <w:rPr>
          <w:rFonts w:ascii="Bookman Old Style" w:hAnsi="Bookman Old Style"/>
          <w:sz w:val="24"/>
          <w:szCs w:val="24"/>
        </w:rPr>
        <w:t>Nomor</w:t>
      </w:r>
      <w:r w:rsidR="00A954D0" w:rsidRPr="00166620">
        <w:rPr>
          <w:rFonts w:ascii="Bookman Old Style" w:hAnsi="Bookman Old Style"/>
          <w:sz w:val="24"/>
          <w:szCs w:val="24"/>
        </w:rPr>
        <w:t xml:space="preserve"> </w:t>
      </w:r>
      <w:r w:rsidR="000E5ADB" w:rsidRPr="00166620">
        <w:rPr>
          <w:rFonts w:ascii="Bookman Old Style" w:hAnsi="Bookman Old Style"/>
          <w:sz w:val="24"/>
          <w:szCs w:val="24"/>
        </w:rPr>
        <w:t>10</w:t>
      </w:r>
      <w:r w:rsidR="00A954D0" w:rsidRPr="00166620">
        <w:rPr>
          <w:rFonts w:ascii="Bookman Old Style" w:hAnsi="Bookman Old Style"/>
          <w:sz w:val="24"/>
          <w:szCs w:val="24"/>
        </w:rPr>
        <w:t xml:space="preserve"> </w:t>
      </w:r>
      <w:r w:rsidR="000E5ADB" w:rsidRPr="00166620">
        <w:rPr>
          <w:rFonts w:ascii="Bookman Old Style" w:hAnsi="Bookman Old Style"/>
          <w:sz w:val="24"/>
          <w:szCs w:val="24"/>
        </w:rPr>
        <w:t>Tahun</w:t>
      </w:r>
      <w:r w:rsidR="00A954D0" w:rsidRPr="00166620">
        <w:rPr>
          <w:rFonts w:ascii="Bookman Old Style" w:hAnsi="Bookman Old Style"/>
          <w:sz w:val="24"/>
          <w:szCs w:val="24"/>
        </w:rPr>
        <w:t xml:space="preserve"> </w:t>
      </w:r>
      <w:r w:rsidR="000E5ADB" w:rsidRPr="00166620">
        <w:rPr>
          <w:rFonts w:ascii="Bookman Old Style" w:hAnsi="Bookman Old Style"/>
          <w:sz w:val="24"/>
          <w:szCs w:val="24"/>
        </w:rPr>
        <w:t>2023</w:t>
      </w:r>
      <w:r w:rsidR="00A954D0" w:rsidRPr="00166620">
        <w:rPr>
          <w:rFonts w:ascii="Bookman Old Style" w:hAnsi="Bookman Old Style"/>
          <w:sz w:val="24"/>
          <w:szCs w:val="24"/>
        </w:rPr>
        <w:t xml:space="preserve"> </w:t>
      </w:r>
      <w:r w:rsidR="000E5ADB" w:rsidRPr="00166620">
        <w:rPr>
          <w:rFonts w:ascii="Bookman Old Style" w:hAnsi="Bookman Old Style"/>
          <w:sz w:val="24"/>
          <w:szCs w:val="24"/>
        </w:rPr>
        <w:t>tentang</w:t>
      </w:r>
      <w:r w:rsidR="00A954D0" w:rsidRPr="00166620">
        <w:rPr>
          <w:rFonts w:ascii="Bookman Old Style" w:hAnsi="Bookman Old Style"/>
          <w:sz w:val="24"/>
          <w:szCs w:val="24"/>
        </w:rPr>
        <w:t xml:space="preserve"> </w:t>
      </w:r>
      <w:r w:rsidR="000E5ADB" w:rsidRPr="00166620">
        <w:rPr>
          <w:rFonts w:ascii="Bookman Old Style" w:hAnsi="Bookman Old Style"/>
          <w:sz w:val="24"/>
          <w:szCs w:val="24"/>
        </w:rPr>
        <w:t>Pajak</w:t>
      </w:r>
      <w:r w:rsidR="00A954D0" w:rsidRPr="00166620">
        <w:rPr>
          <w:rFonts w:ascii="Bookman Old Style" w:hAnsi="Bookman Old Style"/>
          <w:sz w:val="24"/>
          <w:szCs w:val="24"/>
        </w:rPr>
        <w:t xml:space="preserve"> </w:t>
      </w:r>
      <w:r w:rsidR="000E5ADB" w:rsidRPr="00166620">
        <w:rPr>
          <w:rFonts w:ascii="Bookman Old Style" w:hAnsi="Bookman Old Style"/>
          <w:sz w:val="24"/>
          <w:szCs w:val="24"/>
        </w:rPr>
        <w:t>Daerah</w:t>
      </w:r>
      <w:r w:rsidR="00A954D0" w:rsidRPr="00166620">
        <w:rPr>
          <w:rFonts w:ascii="Bookman Old Style" w:hAnsi="Bookman Old Style"/>
          <w:sz w:val="24"/>
          <w:szCs w:val="24"/>
        </w:rPr>
        <w:t xml:space="preserve"> </w:t>
      </w:r>
      <w:r w:rsidR="000E5ADB" w:rsidRPr="00166620">
        <w:rPr>
          <w:rFonts w:ascii="Bookman Old Style" w:hAnsi="Bookman Old Style"/>
          <w:sz w:val="24"/>
          <w:szCs w:val="24"/>
        </w:rPr>
        <w:t>dan</w:t>
      </w:r>
      <w:r w:rsidR="00A954D0" w:rsidRPr="00166620">
        <w:rPr>
          <w:rFonts w:ascii="Bookman Old Style" w:hAnsi="Bookman Old Style"/>
          <w:sz w:val="24"/>
          <w:szCs w:val="24"/>
        </w:rPr>
        <w:t xml:space="preserve"> </w:t>
      </w:r>
      <w:r w:rsidR="000E5ADB" w:rsidRPr="00166620">
        <w:rPr>
          <w:rFonts w:ascii="Bookman Old Style" w:hAnsi="Bookman Old Style"/>
          <w:sz w:val="24"/>
          <w:szCs w:val="24"/>
        </w:rPr>
        <w:t>Retribusi</w:t>
      </w:r>
      <w:r w:rsidR="00A954D0" w:rsidRPr="00166620">
        <w:rPr>
          <w:rFonts w:ascii="Bookman Old Style" w:hAnsi="Bookman Old Style"/>
          <w:sz w:val="24"/>
          <w:szCs w:val="24"/>
        </w:rPr>
        <w:t xml:space="preserve"> </w:t>
      </w:r>
      <w:r w:rsidR="000E5ADB" w:rsidRPr="00166620">
        <w:rPr>
          <w:rFonts w:ascii="Bookman Old Style" w:hAnsi="Bookman Old Style"/>
          <w:sz w:val="24"/>
          <w:szCs w:val="24"/>
        </w:rPr>
        <w:t>Daerah</w:t>
      </w:r>
      <w:r w:rsidR="00A954D0" w:rsidRPr="00166620">
        <w:rPr>
          <w:rFonts w:ascii="Bookman Old Style" w:hAnsi="Bookman Old Style"/>
          <w:sz w:val="24"/>
          <w:szCs w:val="24"/>
          <w:lang w:val="fi-FI"/>
        </w:rPr>
        <w:t xml:space="preserve"> </w:t>
      </w:r>
      <w:r w:rsidR="000E5ADB" w:rsidRPr="00166620">
        <w:rPr>
          <w:rFonts w:ascii="Bookman Old Style" w:hAnsi="Bookman Old Style"/>
          <w:sz w:val="24"/>
          <w:szCs w:val="24"/>
          <w:lang w:val="fi-FI"/>
        </w:rPr>
        <w:t>agar</w:t>
      </w:r>
      <w:r w:rsidR="00A954D0" w:rsidRPr="00166620">
        <w:rPr>
          <w:rFonts w:ascii="Bookman Old Style" w:hAnsi="Bookman Old Style"/>
          <w:sz w:val="24"/>
          <w:szCs w:val="24"/>
          <w:lang w:val="fi-FI"/>
        </w:rPr>
        <w:t xml:space="preserve"> </w:t>
      </w:r>
      <w:r w:rsidRPr="00166620">
        <w:rPr>
          <w:rFonts w:ascii="Bookman Old Style" w:hAnsi="Bookman Old Style"/>
          <w:sz w:val="24"/>
          <w:szCs w:val="24"/>
          <w:lang w:val="fi-FI"/>
        </w:rPr>
        <w:t xml:space="preserve">dialihkan </w:t>
      </w:r>
      <w:r w:rsidR="000E5ADB" w:rsidRPr="00166620">
        <w:rPr>
          <w:rFonts w:ascii="Bookman Old Style" w:hAnsi="Bookman Old Style"/>
          <w:sz w:val="24"/>
          <w:szCs w:val="24"/>
          <w:lang w:val="fi-FI"/>
        </w:rPr>
        <w:t>ke</w:t>
      </w:r>
      <w:r w:rsidR="00A954D0" w:rsidRPr="00166620">
        <w:rPr>
          <w:rFonts w:ascii="Bookman Old Style" w:hAnsi="Bookman Old Style"/>
          <w:sz w:val="24"/>
          <w:szCs w:val="24"/>
          <w:lang w:val="fi-FI"/>
        </w:rPr>
        <w:t xml:space="preserve"> </w:t>
      </w:r>
      <w:r w:rsidR="000E5ADB" w:rsidRPr="00166620">
        <w:rPr>
          <w:rFonts w:ascii="Bookman Old Style" w:hAnsi="Bookman Old Style"/>
          <w:sz w:val="24"/>
          <w:szCs w:val="24"/>
          <w:lang w:val="fi-FI"/>
        </w:rPr>
        <w:t>dalam</w:t>
      </w:r>
      <w:r w:rsidR="00A954D0" w:rsidRPr="00166620">
        <w:rPr>
          <w:rFonts w:ascii="Bookman Old Style" w:hAnsi="Bookman Old Style"/>
          <w:sz w:val="24"/>
          <w:szCs w:val="24"/>
          <w:lang w:val="fi-FI"/>
        </w:rPr>
        <w:t xml:space="preserve"> </w:t>
      </w:r>
      <w:r w:rsidR="000E5ADB" w:rsidRPr="00166620">
        <w:rPr>
          <w:rFonts w:ascii="Bookman Old Style" w:hAnsi="Bookman Old Style"/>
          <w:sz w:val="24"/>
          <w:szCs w:val="24"/>
          <w:lang w:val="fi-FI"/>
        </w:rPr>
        <w:t>kode</w:t>
      </w:r>
      <w:r w:rsidR="00A954D0" w:rsidRPr="00166620">
        <w:rPr>
          <w:rFonts w:ascii="Bookman Old Style" w:hAnsi="Bookman Old Style"/>
          <w:sz w:val="24"/>
          <w:szCs w:val="24"/>
          <w:lang w:val="fi-FI"/>
        </w:rPr>
        <w:t xml:space="preserve"> </w:t>
      </w:r>
      <w:r w:rsidR="000E5ADB" w:rsidRPr="00166620">
        <w:rPr>
          <w:rFonts w:ascii="Bookman Old Style" w:hAnsi="Bookman Old Style"/>
          <w:sz w:val="24"/>
          <w:szCs w:val="24"/>
          <w:lang w:val="fi-FI"/>
        </w:rPr>
        <w:t>rekening</w:t>
      </w:r>
      <w:r w:rsidR="00A954D0" w:rsidRPr="00166620">
        <w:rPr>
          <w:rFonts w:ascii="Bookman Old Style" w:hAnsi="Bookman Old Style"/>
          <w:sz w:val="24"/>
          <w:szCs w:val="24"/>
          <w:lang w:val="fi-FI"/>
        </w:rPr>
        <w:t xml:space="preserve"> </w:t>
      </w:r>
      <w:r w:rsidR="000E5ADB" w:rsidRPr="00166620">
        <w:rPr>
          <w:rFonts w:ascii="Bookman Old Style" w:hAnsi="Bookman Old Style"/>
          <w:sz w:val="24"/>
          <w:szCs w:val="24"/>
          <w:lang w:val="fi-FI"/>
        </w:rPr>
        <w:t>Retribusi</w:t>
      </w:r>
      <w:r w:rsidR="00A954D0" w:rsidRPr="00166620">
        <w:rPr>
          <w:rFonts w:ascii="Bookman Old Style" w:hAnsi="Bookman Old Style"/>
          <w:sz w:val="24"/>
          <w:szCs w:val="24"/>
          <w:lang w:val="fi-FI"/>
        </w:rPr>
        <w:t xml:space="preserve"> </w:t>
      </w:r>
      <w:r w:rsidR="000E5ADB" w:rsidRPr="00166620">
        <w:rPr>
          <w:rFonts w:ascii="Bookman Old Style" w:hAnsi="Bookman Old Style"/>
          <w:sz w:val="24"/>
          <w:szCs w:val="24"/>
        </w:rPr>
        <w:t>pemanfaatan</w:t>
      </w:r>
      <w:r w:rsidR="00A954D0" w:rsidRPr="00166620">
        <w:rPr>
          <w:rFonts w:ascii="Bookman Old Style" w:hAnsi="Bookman Old Style"/>
          <w:sz w:val="24"/>
          <w:szCs w:val="24"/>
        </w:rPr>
        <w:t xml:space="preserve"> </w:t>
      </w:r>
      <w:r w:rsidR="000E5ADB" w:rsidRPr="00166620">
        <w:rPr>
          <w:rFonts w:ascii="Bookman Old Style" w:hAnsi="Bookman Old Style"/>
          <w:sz w:val="24"/>
          <w:szCs w:val="24"/>
        </w:rPr>
        <w:t>aset</w:t>
      </w:r>
      <w:r w:rsidR="00A954D0" w:rsidRPr="00166620">
        <w:rPr>
          <w:rFonts w:ascii="Bookman Old Style" w:hAnsi="Bookman Old Style"/>
          <w:sz w:val="24"/>
          <w:szCs w:val="24"/>
        </w:rPr>
        <w:t xml:space="preserve"> </w:t>
      </w:r>
      <w:r w:rsidR="000E5ADB" w:rsidRPr="00166620">
        <w:rPr>
          <w:rFonts w:ascii="Bookman Old Style" w:hAnsi="Bookman Old Style"/>
          <w:sz w:val="24"/>
          <w:szCs w:val="24"/>
        </w:rPr>
        <w:t>Daerah</w:t>
      </w:r>
      <w:r w:rsidR="00A954D0" w:rsidRPr="00166620">
        <w:rPr>
          <w:rFonts w:ascii="Bookman Old Style" w:hAnsi="Bookman Old Style"/>
          <w:sz w:val="24"/>
          <w:szCs w:val="24"/>
        </w:rPr>
        <w:t xml:space="preserve"> </w:t>
      </w:r>
      <w:r w:rsidR="000E5ADB" w:rsidRPr="00166620">
        <w:rPr>
          <w:rFonts w:ascii="Bookman Old Style" w:hAnsi="Bookman Old Style"/>
          <w:sz w:val="24"/>
          <w:szCs w:val="24"/>
        </w:rPr>
        <w:t>yang</w:t>
      </w:r>
      <w:r w:rsidR="00A954D0" w:rsidRPr="00166620">
        <w:rPr>
          <w:rFonts w:ascii="Bookman Old Style" w:hAnsi="Bookman Old Style"/>
          <w:sz w:val="24"/>
          <w:szCs w:val="24"/>
        </w:rPr>
        <w:t xml:space="preserve"> </w:t>
      </w:r>
      <w:r w:rsidR="000E5ADB" w:rsidRPr="00166620">
        <w:rPr>
          <w:rFonts w:ascii="Bookman Old Style" w:hAnsi="Bookman Old Style"/>
          <w:sz w:val="24"/>
          <w:szCs w:val="24"/>
        </w:rPr>
        <w:t>tidak</w:t>
      </w:r>
      <w:r w:rsidR="00A954D0" w:rsidRPr="00166620">
        <w:rPr>
          <w:rFonts w:ascii="Bookman Old Style" w:hAnsi="Bookman Old Style"/>
          <w:sz w:val="24"/>
          <w:szCs w:val="24"/>
        </w:rPr>
        <w:t xml:space="preserve"> </w:t>
      </w:r>
      <w:r w:rsidR="000E5ADB" w:rsidRPr="00166620">
        <w:rPr>
          <w:rFonts w:ascii="Bookman Old Style" w:hAnsi="Bookman Old Style"/>
          <w:sz w:val="24"/>
          <w:szCs w:val="24"/>
        </w:rPr>
        <w:t>mengganggu</w:t>
      </w:r>
      <w:r w:rsidR="00A954D0" w:rsidRPr="00166620">
        <w:rPr>
          <w:rFonts w:ascii="Bookman Old Style" w:hAnsi="Bookman Old Style"/>
          <w:sz w:val="24"/>
          <w:szCs w:val="24"/>
        </w:rPr>
        <w:t xml:space="preserve"> </w:t>
      </w:r>
      <w:r w:rsidR="000E5ADB" w:rsidRPr="00166620">
        <w:rPr>
          <w:rFonts w:ascii="Bookman Old Style" w:hAnsi="Bookman Old Style"/>
          <w:sz w:val="24"/>
          <w:szCs w:val="24"/>
        </w:rPr>
        <w:t>penyelenggaraan</w:t>
      </w:r>
      <w:r w:rsidR="00A954D0" w:rsidRPr="00166620">
        <w:rPr>
          <w:rFonts w:ascii="Bookman Old Style" w:hAnsi="Bookman Old Style"/>
          <w:sz w:val="24"/>
          <w:szCs w:val="24"/>
        </w:rPr>
        <w:t xml:space="preserve"> </w:t>
      </w:r>
      <w:r w:rsidR="000E5ADB" w:rsidRPr="00166620">
        <w:rPr>
          <w:rFonts w:ascii="Bookman Old Style" w:hAnsi="Bookman Old Style"/>
          <w:sz w:val="24"/>
          <w:szCs w:val="24"/>
        </w:rPr>
        <w:t>tugas</w:t>
      </w:r>
      <w:r w:rsidR="00A954D0" w:rsidRPr="00166620">
        <w:rPr>
          <w:rFonts w:ascii="Bookman Old Style" w:hAnsi="Bookman Old Style"/>
          <w:sz w:val="24"/>
          <w:szCs w:val="24"/>
        </w:rPr>
        <w:t xml:space="preserve"> </w:t>
      </w:r>
      <w:r w:rsidR="000E5ADB" w:rsidRPr="00166620">
        <w:rPr>
          <w:rFonts w:ascii="Bookman Old Style" w:hAnsi="Bookman Old Style"/>
          <w:sz w:val="24"/>
          <w:szCs w:val="24"/>
        </w:rPr>
        <w:t>dan</w:t>
      </w:r>
      <w:r w:rsidR="00A954D0" w:rsidRPr="00166620">
        <w:rPr>
          <w:rFonts w:ascii="Bookman Old Style" w:hAnsi="Bookman Old Style"/>
          <w:sz w:val="24"/>
          <w:szCs w:val="24"/>
        </w:rPr>
        <w:t xml:space="preserve"> </w:t>
      </w:r>
      <w:r w:rsidR="000E5ADB" w:rsidRPr="00166620">
        <w:rPr>
          <w:rFonts w:ascii="Bookman Old Style" w:hAnsi="Bookman Old Style"/>
          <w:sz w:val="24"/>
          <w:szCs w:val="24"/>
        </w:rPr>
        <w:t>fungsi</w:t>
      </w:r>
      <w:r w:rsidR="00A954D0" w:rsidRPr="00166620">
        <w:rPr>
          <w:rFonts w:ascii="Bookman Old Style" w:hAnsi="Bookman Old Style"/>
          <w:sz w:val="24"/>
          <w:szCs w:val="24"/>
        </w:rPr>
        <w:t xml:space="preserve"> </w:t>
      </w:r>
      <w:r w:rsidR="000E5ADB" w:rsidRPr="00166620">
        <w:rPr>
          <w:rFonts w:ascii="Bookman Old Style" w:hAnsi="Bookman Old Style"/>
          <w:sz w:val="24"/>
          <w:szCs w:val="24"/>
        </w:rPr>
        <w:t>organisasi</w:t>
      </w:r>
      <w:r w:rsidR="00A954D0" w:rsidRPr="00166620">
        <w:rPr>
          <w:rFonts w:ascii="Bookman Old Style" w:hAnsi="Bookman Old Style"/>
          <w:sz w:val="24"/>
          <w:szCs w:val="24"/>
        </w:rPr>
        <w:t xml:space="preserve"> </w:t>
      </w:r>
      <w:r w:rsidR="000E5ADB" w:rsidRPr="00166620">
        <w:rPr>
          <w:rFonts w:ascii="Bookman Old Style" w:hAnsi="Bookman Old Style"/>
          <w:sz w:val="24"/>
          <w:szCs w:val="24"/>
        </w:rPr>
        <w:t>perangkat</w:t>
      </w:r>
      <w:r w:rsidR="00A954D0" w:rsidRPr="00166620">
        <w:rPr>
          <w:rFonts w:ascii="Bookman Old Style" w:hAnsi="Bookman Old Style"/>
          <w:sz w:val="24"/>
          <w:szCs w:val="24"/>
        </w:rPr>
        <w:t xml:space="preserve"> </w:t>
      </w:r>
      <w:r w:rsidR="000E5ADB" w:rsidRPr="00166620">
        <w:rPr>
          <w:rFonts w:ascii="Bookman Old Style" w:hAnsi="Bookman Old Style"/>
          <w:sz w:val="24"/>
          <w:szCs w:val="24"/>
        </w:rPr>
        <w:t>Daerah</w:t>
      </w:r>
      <w:r w:rsidR="00A954D0" w:rsidRPr="00166620">
        <w:rPr>
          <w:rFonts w:ascii="Bookman Old Style" w:hAnsi="Bookman Old Style"/>
          <w:sz w:val="24"/>
          <w:szCs w:val="24"/>
        </w:rPr>
        <w:t xml:space="preserve"> </w:t>
      </w:r>
      <w:r w:rsidR="000E5ADB" w:rsidRPr="00166620">
        <w:rPr>
          <w:rFonts w:ascii="Bookman Old Style" w:hAnsi="Bookman Old Style"/>
          <w:sz w:val="24"/>
          <w:szCs w:val="24"/>
        </w:rPr>
        <w:t>dan/atau</w:t>
      </w:r>
      <w:r w:rsidR="00A954D0" w:rsidRPr="00166620">
        <w:rPr>
          <w:rFonts w:ascii="Bookman Old Style" w:hAnsi="Bookman Old Style"/>
          <w:sz w:val="24"/>
          <w:szCs w:val="24"/>
        </w:rPr>
        <w:t xml:space="preserve"> </w:t>
      </w:r>
      <w:r w:rsidR="000E5ADB" w:rsidRPr="00166620">
        <w:rPr>
          <w:rFonts w:ascii="Bookman Old Style" w:hAnsi="Bookman Old Style"/>
          <w:sz w:val="24"/>
          <w:szCs w:val="24"/>
        </w:rPr>
        <w:t>optimalisasi</w:t>
      </w:r>
      <w:r w:rsidR="00A954D0" w:rsidRPr="00166620">
        <w:rPr>
          <w:rFonts w:ascii="Bookman Old Style" w:hAnsi="Bookman Old Style"/>
          <w:sz w:val="24"/>
          <w:szCs w:val="24"/>
        </w:rPr>
        <w:t xml:space="preserve"> </w:t>
      </w:r>
      <w:r w:rsidR="000E5ADB" w:rsidRPr="00166620">
        <w:rPr>
          <w:rFonts w:ascii="Bookman Old Style" w:hAnsi="Bookman Old Style"/>
          <w:sz w:val="24"/>
          <w:szCs w:val="24"/>
        </w:rPr>
        <w:t>aset</w:t>
      </w:r>
      <w:r w:rsidR="00A954D0" w:rsidRPr="00166620">
        <w:rPr>
          <w:rFonts w:ascii="Bookman Old Style" w:hAnsi="Bookman Old Style"/>
          <w:sz w:val="24"/>
          <w:szCs w:val="24"/>
        </w:rPr>
        <w:t xml:space="preserve"> </w:t>
      </w:r>
      <w:r w:rsidR="000E5ADB" w:rsidRPr="00166620">
        <w:rPr>
          <w:rFonts w:ascii="Bookman Old Style" w:hAnsi="Bookman Old Style"/>
          <w:sz w:val="24"/>
          <w:szCs w:val="24"/>
        </w:rPr>
        <w:t>Daerah</w:t>
      </w:r>
      <w:r w:rsidR="00A954D0" w:rsidRPr="00166620">
        <w:rPr>
          <w:rFonts w:ascii="Bookman Old Style" w:hAnsi="Bookman Old Style"/>
          <w:sz w:val="24"/>
          <w:szCs w:val="24"/>
        </w:rPr>
        <w:t xml:space="preserve"> </w:t>
      </w:r>
      <w:r w:rsidR="000E5ADB" w:rsidRPr="00166620">
        <w:rPr>
          <w:rFonts w:ascii="Bookman Old Style" w:hAnsi="Bookman Old Style"/>
          <w:sz w:val="24"/>
          <w:szCs w:val="24"/>
        </w:rPr>
        <w:t>dengan</w:t>
      </w:r>
      <w:r w:rsidR="00A954D0" w:rsidRPr="00166620">
        <w:rPr>
          <w:rFonts w:ascii="Bookman Old Style" w:hAnsi="Bookman Old Style"/>
          <w:sz w:val="24"/>
          <w:szCs w:val="24"/>
        </w:rPr>
        <w:t xml:space="preserve"> </w:t>
      </w:r>
      <w:r w:rsidR="000E5ADB" w:rsidRPr="00166620">
        <w:rPr>
          <w:rFonts w:ascii="Bookman Old Style" w:hAnsi="Bookman Old Style"/>
          <w:sz w:val="24"/>
          <w:szCs w:val="24"/>
        </w:rPr>
        <w:t>tidak</w:t>
      </w:r>
      <w:r w:rsidR="00A954D0" w:rsidRPr="00166620">
        <w:rPr>
          <w:rFonts w:ascii="Bookman Old Style" w:hAnsi="Bookman Old Style"/>
          <w:sz w:val="24"/>
          <w:szCs w:val="24"/>
        </w:rPr>
        <w:t xml:space="preserve"> </w:t>
      </w:r>
      <w:r w:rsidR="000E5ADB" w:rsidRPr="00166620">
        <w:rPr>
          <w:rFonts w:ascii="Bookman Old Style" w:hAnsi="Bookman Old Style"/>
          <w:sz w:val="24"/>
          <w:szCs w:val="24"/>
        </w:rPr>
        <w:t>mengubah</w:t>
      </w:r>
      <w:r w:rsidR="00A954D0" w:rsidRPr="00166620">
        <w:rPr>
          <w:rFonts w:ascii="Bookman Old Style" w:hAnsi="Bookman Old Style"/>
          <w:sz w:val="24"/>
          <w:szCs w:val="24"/>
        </w:rPr>
        <w:t xml:space="preserve"> </w:t>
      </w:r>
      <w:r w:rsidR="000E5ADB" w:rsidRPr="00166620">
        <w:rPr>
          <w:rFonts w:ascii="Bookman Old Style" w:hAnsi="Bookman Old Style"/>
          <w:sz w:val="24"/>
          <w:szCs w:val="24"/>
        </w:rPr>
        <w:t>status</w:t>
      </w:r>
      <w:r w:rsidR="00A954D0" w:rsidRPr="00166620">
        <w:rPr>
          <w:rFonts w:ascii="Bookman Old Style" w:hAnsi="Bookman Old Style"/>
          <w:sz w:val="24"/>
          <w:szCs w:val="24"/>
        </w:rPr>
        <w:t xml:space="preserve"> </w:t>
      </w:r>
      <w:r w:rsidR="000E5ADB" w:rsidRPr="00166620">
        <w:rPr>
          <w:rFonts w:ascii="Bookman Old Style" w:hAnsi="Bookman Old Style"/>
          <w:sz w:val="24"/>
          <w:szCs w:val="24"/>
        </w:rPr>
        <w:t>kepemilikan</w:t>
      </w:r>
      <w:r w:rsidR="00A954D0" w:rsidRPr="00166620">
        <w:rPr>
          <w:rFonts w:ascii="Bookman Old Style" w:hAnsi="Bookman Old Style"/>
          <w:sz w:val="24"/>
          <w:szCs w:val="24"/>
        </w:rPr>
        <w:t xml:space="preserve"> </w:t>
      </w:r>
      <w:r w:rsidR="000E5ADB" w:rsidRPr="00166620">
        <w:rPr>
          <w:rFonts w:ascii="Bookman Old Style" w:hAnsi="Bookman Old Style"/>
          <w:sz w:val="24"/>
          <w:szCs w:val="24"/>
        </w:rPr>
        <w:t>sesuai</w:t>
      </w:r>
      <w:r w:rsidR="00A954D0" w:rsidRPr="00166620">
        <w:rPr>
          <w:rFonts w:ascii="Bookman Old Style" w:hAnsi="Bookman Old Style"/>
          <w:sz w:val="24"/>
          <w:szCs w:val="24"/>
        </w:rPr>
        <w:t xml:space="preserve"> </w:t>
      </w:r>
      <w:r w:rsidR="000E5ADB" w:rsidRPr="00166620">
        <w:rPr>
          <w:rFonts w:ascii="Bookman Old Style" w:hAnsi="Bookman Old Style"/>
          <w:sz w:val="24"/>
          <w:szCs w:val="24"/>
        </w:rPr>
        <w:t>dengan</w:t>
      </w:r>
      <w:r w:rsidR="00A954D0" w:rsidRPr="00166620">
        <w:rPr>
          <w:rFonts w:ascii="Bookman Old Style" w:hAnsi="Bookman Old Style"/>
          <w:sz w:val="24"/>
          <w:szCs w:val="24"/>
        </w:rPr>
        <w:t xml:space="preserve"> </w:t>
      </w:r>
      <w:r w:rsidR="000E5ADB" w:rsidRPr="00166620">
        <w:rPr>
          <w:rFonts w:ascii="Bookman Old Style" w:hAnsi="Bookman Old Style"/>
          <w:sz w:val="24"/>
          <w:szCs w:val="24"/>
        </w:rPr>
        <w:t>ketentuan</w:t>
      </w:r>
      <w:r w:rsidR="00A954D0" w:rsidRPr="00166620">
        <w:rPr>
          <w:rFonts w:ascii="Bookman Old Style" w:hAnsi="Bookman Old Style"/>
          <w:sz w:val="24"/>
          <w:szCs w:val="24"/>
        </w:rPr>
        <w:t xml:space="preserve"> </w:t>
      </w:r>
      <w:r w:rsidR="000E5ADB" w:rsidRPr="00166620">
        <w:rPr>
          <w:rFonts w:ascii="Bookman Old Style" w:hAnsi="Bookman Old Style"/>
          <w:sz w:val="24"/>
          <w:szCs w:val="24"/>
        </w:rPr>
        <w:t>peraturan</w:t>
      </w:r>
      <w:r w:rsidR="00A954D0" w:rsidRPr="00166620">
        <w:rPr>
          <w:rFonts w:ascii="Bookman Old Style" w:hAnsi="Bookman Old Style"/>
          <w:sz w:val="24"/>
          <w:szCs w:val="24"/>
        </w:rPr>
        <w:t xml:space="preserve"> </w:t>
      </w:r>
      <w:r w:rsidR="000E5ADB" w:rsidRPr="00166620">
        <w:rPr>
          <w:rFonts w:ascii="Bookman Old Style" w:hAnsi="Bookman Old Style"/>
          <w:sz w:val="24"/>
          <w:szCs w:val="24"/>
        </w:rPr>
        <w:t>perundang-undangan.</w:t>
      </w:r>
    </w:p>
    <w:p w14:paraId="563FF989" w14:textId="0637B008" w:rsidR="000E5ADB" w:rsidRPr="000E42D9" w:rsidRDefault="000E5ADB" w:rsidP="00FD6795">
      <w:pPr>
        <w:pStyle w:val="ListParagraph"/>
        <w:numPr>
          <w:ilvl w:val="0"/>
          <w:numId w:val="85"/>
        </w:numPr>
        <w:spacing w:before="60" w:after="0" w:line="276" w:lineRule="auto"/>
        <w:ind w:left="3261" w:hanging="284"/>
        <w:contextualSpacing w:val="0"/>
        <w:jc w:val="both"/>
        <w:rPr>
          <w:rFonts w:ascii="Bookman Old Style" w:hAnsi="Bookman Old Style"/>
          <w:sz w:val="24"/>
          <w:szCs w:val="24"/>
          <w:lang w:val="fi-FI"/>
        </w:rPr>
      </w:pPr>
      <w:r w:rsidRPr="000E42D9">
        <w:rPr>
          <w:rFonts w:ascii="Bookman Old Style" w:hAnsi="Bookman Old Style"/>
          <w:sz w:val="24"/>
          <w:szCs w:val="24"/>
          <w:lang w:val="en-US"/>
        </w:rPr>
        <w:t>Retribusi</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Rumah</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Potong</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Hewan</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Rp1.100.000.000,00;</w:t>
      </w:r>
    </w:p>
    <w:p w14:paraId="6F54ECC9" w14:textId="671BC29B" w:rsidR="000E5ADB" w:rsidRPr="000E42D9" w:rsidRDefault="000E5ADB" w:rsidP="00FD6795">
      <w:pPr>
        <w:pStyle w:val="ListParagraph"/>
        <w:numPr>
          <w:ilvl w:val="0"/>
          <w:numId w:val="85"/>
        </w:numPr>
        <w:spacing w:before="60" w:after="0" w:line="276" w:lineRule="auto"/>
        <w:ind w:left="3261" w:hanging="284"/>
        <w:contextualSpacing w:val="0"/>
        <w:jc w:val="both"/>
        <w:rPr>
          <w:rFonts w:ascii="Bookman Old Style" w:hAnsi="Bookman Old Style"/>
          <w:sz w:val="24"/>
          <w:szCs w:val="24"/>
          <w:lang w:val="fi-FI"/>
        </w:rPr>
      </w:pPr>
      <w:r w:rsidRPr="00256727">
        <w:rPr>
          <w:rFonts w:ascii="Bookman Old Style" w:hAnsi="Bookman Old Style"/>
          <w:sz w:val="24"/>
          <w:szCs w:val="24"/>
          <w:lang w:val="sv-FI"/>
        </w:rPr>
        <w:t>Retribusi</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Tempat</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Rekreasi</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dan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Olahraga</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Rp2.500.000.000,00</w:t>
      </w:r>
      <w:r w:rsidR="00B16310">
        <w:rPr>
          <w:rFonts w:ascii="Bookman Old Style" w:hAnsi="Bookman Old Style"/>
          <w:sz w:val="24"/>
          <w:szCs w:val="24"/>
          <w:lang w:val="sv-FI"/>
        </w:rPr>
        <w:t>.</w:t>
      </w:r>
    </w:p>
    <w:p w14:paraId="280CCA11" w14:textId="6C94DF9D" w:rsidR="000E5ADB" w:rsidRPr="000E42D9" w:rsidRDefault="000E5ADB" w:rsidP="00B16310">
      <w:pPr>
        <w:pStyle w:val="ListParagraph"/>
        <w:numPr>
          <w:ilvl w:val="0"/>
          <w:numId w:val="37"/>
        </w:numPr>
        <w:spacing w:before="60" w:after="0" w:line="276" w:lineRule="auto"/>
        <w:ind w:left="2694" w:hanging="425"/>
        <w:contextualSpacing w:val="0"/>
        <w:jc w:val="both"/>
        <w:rPr>
          <w:rFonts w:ascii="Bookman Old Style" w:hAnsi="Bookman Old Style"/>
          <w:sz w:val="24"/>
          <w:szCs w:val="24"/>
          <w:lang w:val="fi-FI"/>
        </w:rPr>
      </w:pPr>
      <w:r w:rsidRPr="000E42D9">
        <w:rPr>
          <w:rFonts w:ascii="Bookman Old Style" w:hAnsi="Bookman Old Style"/>
          <w:sz w:val="24"/>
          <w:szCs w:val="24"/>
          <w:lang w:val="fi-FI"/>
        </w:rPr>
        <w:t>Retribusi</w:t>
      </w:r>
      <w:r w:rsidR="00A954D0">
        <w:rPr>
          <w:rFonts w:ascii="Bookman Old Style" w:hAnsi="Bookman Old Style"/>
          <w:sz w:val="24"/>
          <w:szCs w:val="24"/>
          <w:lang w:val="fi-FI"/>
        </w:rPr>
        <w:t xml:space="preserve"> </w:t>
      </w:r>
      <w:r w:rsidRPr="000E42D9">
        <w:rPr>
          <w:rFonts w:ascii="Bookman Old Style" w:hAnsi="Bookman Old Style"/>
          <w:sz w:val="24"/>
          <w:szCs w:val="24"/>
          <w:lang w:val="fi-FI"/>
        </w:rPr>
        <w:t>Perizinan</w:t>
      </w:r>
      <w:r w:rsidR="00A954D0">
        <w:rPr>
          <w:rFonts w:ascii="Bookman Old Style" w:hAnsi="Bookman Old Style"/>
          <w:sz w:val="24"/>
          <w:szCs w:val="24"/>
          <w:lang w:val="fi-FI"/>
        </w:rPr>
        <w:t xml:space="preserve"> </w:t>
      </w:r>
      <w:r w:rsidRPr="000E42D9">
        <w:rPr>
          <w:rFonts w:ascii="Bookman Old Style" w:hAnsi="Bookman Old Style"/>
          <w:sz w:val="24"/>
          <w:szCs w:val="24"/>
          <w:lang w:val="fi-FI"/>
        </w:rPr>
        <w:t>Tertentu</w:t>
      </w:r>
      <w:r w:rsidR="00A954D0">
        <w:rPr>
          <w:rFonts w:ascii="Bookman Old Style" w:hAnsi="Bookman Old Style"/>
          <w:sz w:val="24"/>
          <w:szCs w:val="24"/>
          <w:lang w:val="fi-FI"/>
        </w:rPr>
        <w:t xml:space="preserve"> </w:t>
      </w:r>
      <w:r w:rsidRPr="000E42D9">
        <w:rPr>
          <w:rFonts w:ascii="Bookman Old Style" w:hAnsi="Bookman Old Style"/>
          <w:sz w:val="24"/>
          <w:szCs w:val="24"/>
          <w:lang w:val="fi-FI"/>
        </w:rPr>
        <w:t>Rp51.500.000.000,00</w:t>
      </w:r>
      <w:r w:rsidR="00A954D0">
        <w:rPr>
          <w:rFonts w:ascii="Bookman Old Style" w:hAnsi="Bookman Old Style"/>
          <w:sz w:val="24"/>
          <w:szCs w:val="24"/>
          <w:lang w:val="fi-FI"/>
        </w:rPr>
        <w:t xml:space="preserve"> </w:t>
      </w:r>
      <w:r w:rsidRPr="000E42D9">
        <w:rPr>
          <w:rFonts w:ascii="Bookman Old Style" w:hAnsi="Bookman Old Style"/>
          <w:sz w:val="24"/>
          <w:szCs w:val="24"/>
          <w:lang w:val="it-IT"/>
        </w:rPr>
        <w:t>atau</w:t>
      </w:r>
      <w:r w:rsidR="00A954D0">
        <w:rPr>
          <w:rFonts w:ascii="Bookman Old Style" w:hAnsi="Bookman Old Style"/>
          <w:sz w:val="24"/>
          <w:szCs w:val="24"/>
          <w:lang w:val="it-IT"/>
        </w:rPr>
        <w:t xml:space="preserve"> </w:t>
      </w:r>
      <w:r w:rsidRPr="000E42D9">
        <w:rPr>
          <w:rFonts w:ascii="Bookman Old Style" w:hAnsi="Bookman Old Style"/>
          <w:sz w:val="24"/>
          <w:szCs w:val="24"/>
          <w:lang w:val="it-IT"/>
        </w:rPr>
        <w:t>0,97%</w:t>
      </w:r>
      <w:r w:rsidR="00A954D0">
        <w:rPr>
          <w:rFonts w:ascii="Bookman Old Style" w:hAnsi="Bookman Old Style" w:cs="Arial"/>
          <w:sz w:val="24"/>
          <w:szCs w:val="24"/>
        </w:rPr>
        <w:t xml:space="preserve"> </w:t>
      </w:r>
      <w:r w:rsidRPr="000E42D9">
        <w:rPr>
          <w:rFonts w:ascii="Bookman Old Style" w:hAnsi="Bookman Old Style" w:cs="Arial"/>
          <w:sz w:val="24"/>
          <w:szCs w:val="24"/>
        </w:rPr>
        <w:t>dari</w:t>
      </w:r>
      <w:r w:rsidR="00A954D0">
        <w:rPr>
          <w:rFonts w:ascii="Bookman Old Style" w:hAnsi="Bookman Old Style" w:cs="Arial"/>
          <w:sz w:val="24"/>
          <w:szCs w:val="24"/>
        </w:rPr>
        <w:t xml:space="preserve"> </w:t>
      </w:r>
      <w:r w:rsidRPr="000E42D9">
        <w:rPr>
          <w:rFonts w:ascii="Bookman Old Style" w:hAnsi="Bookman Old Style" w:cs="Arial"/>
          <w:sz w:val="24"/>
          <w:szCs w:val="24"/>
        </w:rPr>
        <w:t>total</w:t>
      </w:r>
      <w:r w:rsidR="00A954D0">
        <w:rPr>
          <w:rFonts w:ascii="Bookman Old Style" w:hAnsi="Bookman Old Style" w:cs="Arial"/>
          <w:sz w:val="24"/>
          <w:szCs w:val="24"/>
        </w:rPr>
        <w:t xml:space="preserve"> </w:t>
      </w:r>
      <w:r w:rsidRPr="000E42D9">
        <w:rPr>
          <w:rFonts w:ascii="Bookman Old Style" w:hAnsi="Bookman Old Style" w:cs="Arial"/>
          <w:sz w:val="24"/>
          <w:szCs w:val="24"/>
        </w:rPr>
        <w:t>pendapatan</w:t>
      </w:r>
      <w:r w:rsidR="00A954D0">
        <w:rPr>
          <w:rFonts w:ascii="Bookman Old Style" w:hAnsi="Bookman Old Style" w:cs="Arial"/>
          <w:sz w:val="24"/>
          <w:szCs w:val="24"/>
        </w:rPr>
        <w:t xml:space="preserve"> </w:t>
      </w:r>
      <w:r w:rsidRPr="000E42D9">
        <w:rPr>
          <w:rFonts w:ascii="Bookman Old Style" w:hAnsi="Bookman Old Style" w:cs="Arial"/>
          <w:sz w:val="24"/>
          <w:szCs w:val="24"/>
        </w:rPr>
        <w:t>daerah</w:t>
      </w:r>
      <w:r w:rsidR="00A954D0">
        <w:rPr>
          <w:rFonts w:ascii="Bookman Old Style" w:hAnsi="Bookman Old Style" w:cs="Arial"/>
          <w:sz w:val="24"/>
          <w:szCs w:val="24"/>
        </w:rPr>
        <w:t xml:space="preserve"> </w:t>
      </w:r>
      <w:r w:rsidRPr="000E42D9">
        <w:rPr>
          <w:rFonts w:ascii="Bookman Old Style" w:hAnsi="Bookman Old Style" w:cs="Arial"/>
          <w:sz w:val="24"/>
          <w:szCs w:val="24"/>
        </w:rPr>
        <w:t>dalam</w:t>
      </w:r>
      <w:r w:rsidR="00A954D0">
        <w:rPr>
          <w:rFonts w:ascii="Bookman Old Style" w:hAnsi="Bookman Old Style" w:cs="Arial"/>
          <w:sz w:val="24"/>
          <w:szCs w:val="24"/>
        </w:rPr>
        <w:t xml:space="preserve"> </w:t>
      </w:r>
      <w:r w:rsidRPr="000E42D9">
        <w:rPr>
          <w:rFonts w:ascii="Bookman Old Style" w:hAnsi="Bookman Old Style" w:cs="Arial"/>
          <w:sz w:val="24"/>
          <w:szCs w:val="24"/>
        </w:rPr>
        <w:t>Rancangan</w:t>
      </w:r>
      <w:r w:rsidR="00A954D0">
        <w:rPr>
          <w:rFonts w:ascii="Bookman Old Style" w:hAnsi="Bookman Old Style" w:cs="Arial"/>
          <w:sz w:val="24"/>
          <w:szCs w:val="24"/>
        </w:rPr>
        <w:t xml:space="preserve"> </w:t>
      </w:r>
      <w:r w:rsidRPr="000E42D9">
        <w:rPr>
          <w:rFonts w:ascii="Bookman Old Style" w:hAnsi="Bookman Old Style" w:cs="Arial"/>
          <w:sz w:val="24"/>
          <w:szCs w:val="24"/>
        </w:rPr>
        <w:t>Peraturan</w:t>
      </w:r>
      <w:r w:rsidR="00A954D0">
        <w:rPr>
          <w:rFonts w:ascii="Bookman Old Style" w:hAnsi="Bookman Old Style" w:cs="Arial"/>
          <w:sz w:val="24"/>
          <w:szCs w:val="24"/>
        </w:rPr>
        <w:t xml:space="preserve"> </w:t>
      </w:r>
      <w:r w:rsidRPr="000E42D9">
        <w:rPr>
          <w:rFonts w:ascii="Bookman Old Style" w:hAnsi="Bookman Old Style" w:cs="Arial"/>
          <w:sz w:val="24"/>
          <w:szCs w:val="24"/>
        </w:rPr>
        <w:t>Daerah</w:t>
      </w:r>
      <w:r w:rsidR="00A954D0">
        <w:rPr>
          <w:rFonts w:ascii="Bookman Old Style" w:hAnsi="Bookman Old Style" w:cs="Arial"/>
          <w:sz w:val="24"/>
          <w:szCs w:val="24"/>
        </w:rPr>
        <w:t xml:space="preserve"> </w:t>
      </w:r>
      <w:r w:rsidRPr="003255BC">
        <w:rPr>
          <w:rFonts w:ascii="Bookman Old Style" w:hAnsi="Bookman Old Style"/>
          <w:sz w:val="24"/>
          <w:szCs w:val="24"/>
          <w:lang w:val="fi-FI"/>
        </w:rPr>
        <w:t>Kota</w:t>
      </w:r>
      <w:r w:rsidR="00A954D0" w:rsidRPr="003255BC">
        <w:rPr>
          <w:rFonts w:ascii="Bookman Old Style" w:hAnsi="Bookman Old Style"/>
          <w:sz w:val="24"/>
          <w:szCs w:val="24"/>
          <w:lang w:val="fi-FI"/>
        </w:rPr>
        <w:t xml:space="preserve"> </w:t>
      </w:r>
      <w:r w:rsidRPr="003255BC">
        <w:rPr>
          <w:rFonts w:ascii="Bookman Old Style" w:hAnsi="Bookman Old Style"/>
          <w:sz w:val="24"/>
          <w:szCs w:val="24"/>
          <w:lang w:val="fi-FI"/>
        </w:rPr>
        <w:t>Tangerang</w:t>
      </w:r>
      <w:r w:rsidR="00A954D0" w:rsidRPr="003255BC">
        <w:rPr>
          <w:rFonts w:ascii="Bookman Old Style" w:hAnsi="Bookman Old Style"/>
          <w:sz w:val="24"/>
          <w:szCs w:val="24"/>
          <w:lang w:val="fi-FI"/>
        </w:rPr>
        <w:t xml:space="preserve"> </w:t>
      </w:r>
      <w:r w:rsidRPr="000E42D9">
        <w:rPr>
          <w:rFonts w:ascii="Bookman Old Style" w:hAnsi="Bookman Old Style" w:cs="Arial"/>
          <w:sz w:val="24"/>
          <w:szCs w:val="24"/>
          <w:lang w:val="id-ID"/>
        </w:rPr>
        <w:t>tentang</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APBD</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Anggaran</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202</w:t>
      </w:r>
      <w:r w:rsidRPr="000E42D9">
        <w:rPr>
          <w:rFonts w:ascii="Bookman Old Style" w:hAnsi="Bookman Old Style" w:cs="Arial"/>
          <w:sz w:val="24"/>
          <w:szCs w:val="24"/>
          <w:lang w:val="fi-FI"/>
        </w:rPr>
        <w:t>5</w:t>
      </w:r>
      <w:r w:rsidR="00A954D0">
        <w:rPr>
          <w:rFonts w:ascii="Bookman Old Style" w:hAnsi="Bookman Old Style"/>
          <w:sz w:val="24"/>
          <w:szCs w:val="24"/>
          <w:lang w:val="fi-FI"/>
        </w:rPr>
        <w:t xml:space="preserve"> </w:t>
      </w:r>
      <w:r w:rsidRPr="000E42D9">
        <w:rPr>
          <w:rFonts w:ascii="Bookman Old Style" w:hAnsi="Bookman Old Style"/>
          <w:sz w:val="24"/>
          <w:szCs w:val="24"/>
          <w:lang w:val="fi-FI"/>
        </w:rPr>
        <w:t>antara</w:t>
      </w:r>
      <w:r w:rsidR="00A954D0">
        <w:rPr>
          <w:rFonts w:ascii="Bookman Old Style" w:hAnsi="Bookman Old Style"/>
          <w:sz w:val="24"/>
          <w:szCs w:val="24"/>
          <w:lang w:val="fi-FI"/>
        </w:rPr>
        <w:t xml:space="preserve"> </w:t>
      </w:r>
      <w:r w:rsidRPr="000E42D9">
        <w:rPr>
          <w:rFonts w:ascii="Bookman Old Style" w:hAnsi="Bookman Old Style"/>
          <w:sz w:val="24"/>
          <w:szCs w:val="24"/>
          <w:lang w:val="fi-FI"/>
        </w:rPr>
        <w:t>lain</w:t>
      </w:r>
      <w:r w:rsidR="00A954D0">
        <w:rPr>
          <w:rFonts w:ascii="Bookman Old Style" w:hAnsi="Bookman Old Style"/>
          <w:sz w:val="24"/>
          <w:szCs w:val="24"/>
          <w:lang w:val="fi-FI"/>
        </w:rPr>
        <w:t xml:space="preserve"> </w:t>
      </w:r>
      <w:r w:rsidRPr="000E42D9">
        <w:rPr>
          <w:rFonts w:ascii="Bookman Old Style" w:hAnsi="Bookman Old Style"/>
          <w:sz w:val="24"/>
          <w:szCs w:val="24"/>
          <w:lang w:val="fi-FI"/>
        </w:rPr>
        <w:t>diuraikan</w:t>
      </w:r>
      <w:r w:rsidR="00A954D0">
        <w:rPr>
          <w:rFonts w:ascii="Bookman Old Style" w:hAnsi="Bookman Old Style"/>
          <w:sz w:val="24"/>
          <w:szCs w:val="24"/>
          <w:lang w:val="fi-FI"/>
        </w:rPr>
        <w:t xml:space="preserve"> </w:t>
      </w:r>
      <w:r w:rsidRPr="000E42D9">
        <w:rPr>
          <w:rFonts w:ascii="Bookman Old Style" w:hAnsi="Bookman Old Style"/>
          <w:sz w:val="24"/>
          <w:szCs w:val="24"/>
          <w:lang w:val="fi-FI"/>
        </w:rPr>
        <w:t>ke</w:t>
      </w:r>
      <w:r w:rsidR="00A954D0">
        <w:rPr>
          <w:rFonts w:ascii="Bookman Old Style" w:hAnsi="Bookman Old Style"/>
          <w:sz w:val="24"/>
          <w:szCs w:val="24"/>
          <w:lang w:val="fi-FI"/>
        </w:rPr>
        <w:t xml:space="preserve"> </w:t>
      </w:r>
      <w:r w:rsidRPr="000E42D9">
        <w:rPr>
          <w:rFonts w:ascii="Bookman Old Style" w:hAnsi="Bookman Old Style"/>
          <w:sz w:val="24"/>
          <w:szCs w:val="24"/>
          <w:lang w:val="fi-FI"/>
        </w:rPr>
        <w:t>dalam</w:t>
      </w:r>
      <w:r w:rsidR="00A954D0">
        <w:rPr>
          <w:rFonts w:ascii="Bookman Old Style" w:hAnsi="Bookman Old Style"/>
          <w:sz w:val="24"/>
          <w:szCs w:val="24"/>
          <w:lang w:val="fi-FI"/>
        </w:rPr>
        <w:t xml:space="preserve"> </w:t>
      </w:r>
      <w:r w:rsidRPr="000E42D9">
        <w:rPr>
          <w:rFonts w:ascii="Bookman Old Style" w:hAnsi="Bookman Old Style"/>
          <w:sz w:val="24"/>
          <w:szCs w:val="24"/>
          <w:lang w:val="fi-FI"/>
        </w:rPr>
        <w:t>rincian</w:t>
      </w:r>
      <w:r w:rsidR="00A954D0">
        <w:rPr>
          <w:rFonts w:ascii="Bookman Old Style" w:hAnsi="Bookman Old Style"/>
          <w:sz w:val="24"/>
          <w:szCs w:val="24"/>
          <w:lang w:val="fi-FI"/>
        </w:rPr>
        <w:t xml:space="preserve"> </w:t>
      </w:r>
      <w:r w:rsidRPr="000E42D9">
        <w:rPr>
          <w:rFonts w:ascii="Bookman Old Style" w:hAnsi="Bookman Old Style"/>
          <w:sz w:val="24"/>
          <w:szCs w:val="24"/>
          <w:lang w:val="fi-FI"/>
        </w:rPr>
        <w:t>objek</w:t>
      </w:r>
      <w:r w:rsidR="00A954D0">
        <w:rPr>
          <w:rFonts w:ascii="Bookman Old Style" w:hAnsi="Bookman Old Style"/>
          <w:sz w:val="24"/>
          <w:szCs w:val="24"/>
          <w:lang w:val="fi-FI"/>
        </w:rPr>
        <w:t xml:space="preserve"> </w:t>
      </w:r>
      <w:r w:rsidRPr="000E42D9">
        <w:rPr>
          <w:rFonts w:ascii="Bookman Old Style" w:hAnsi="Bookman Old Style"/>
          <w:sz w:val="24"/>
          <w:szCs w:val="24"/>
          <w:lang w:val="fi-FI"/>
        </w:rPr>
        <w:t>sebagai</w:t>
      </w:r>
      <w:r w:rsidR="00A954D0">
        <w:rPr>
          <w:rFonts w:ascii="Bookman Old Style" w:hAnsi="Bookman Old Style"/>
          <w:sz w:val="24"/>
          <w:szCs w:val="24"/>
          <w:lang w:val="fi-FI"/>
        </w:rPr>
        <w:t xml:space="preserve"> </w:t>
      </w:r>
      <w:r w:rsidRPr="000E42D9">
        <w:rPr>
          <w:rFonts w:ascii="Bookman Old Style" w:hAnsi="Bookman Old Style"/>
          <w:sz w:val="24"/>
          <w:szCs w:val="24"/>
          <w:lang w:val="fi-FI"/>
        </w:rPr>
        <w:t>berikut:</w:t>
      </w:r>
    </w:p>
    <w:p w14:paraId="0DB0A926" w14:textId="1BC4EF94" w:rsidR="000E5ADB" w:rsidRPr="000E42D9" w:rsidRDefault="000E5ADB" w:rsidP="00B16310">
      <w:pPr>
        <w:pStyle w:val="ListParagraph"/>
        <w:numPr>
          <w:ilvl w:val="0"/>
          <w:numId w:val="93"/>
        </w:numPr>
        <w:tabs>
          <w:tab w:val="left" w:pos="3261"/>
        </w:tabs>
        <w:spacing w:before="60" w:after="0" w:line="276" w:lineRule="auto"/>
        <w:ind w:left="3261" w:hanging="284"/>
        <w:contextualSpacing w:val="0"/>
        <w:jc w:val="both"/>
        <w:rPr>
          <w:rFonts w:ascii="Bookman Old Style" w:hAnsi="Bookman Old Style"/>
          <w:sz w:val="24"/>
          <w:szCs w:val="24"/>
          <w:lang w:val="fi-FI"/>
        </w:rPr>
      </w:pPr>
      <w:r w:rsidRPr="000E42D9">
        <w:rPr>
          <w:rFonts w:ascii="Bookman Old Style" w:hAnsi="Bookman Old Style"/>
          <w:sz w:val="24"/>
          <w:szCs w:val="24"/>
          <w:lang w:val="en-US"/>
        </w:rPr>
        <w:t>Retribusi</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Persetujuan</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Bangunan</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Gedung</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Rp45.500.000.000,00;</w:t>
      </w:r>
    </w:p>
    <w:p w14:paraId="1B077F99" w14:textId="51638CC3" w:rsidR="003C3E01" w:rsidRPr="000E42D9" w:rsidRDefault="000E5ADB" w:rsidP="00B16310">
      <w:pPr>
        <w:pStyle w:val="ListParagraph"/>
        <w:numPr>
          <w:ilvl w:val="0"/>
          <w:numId w:val="93"/>
        </w:numPr>
        <w:tabs>
          <w:tab w:val="left" w:pos="3261"/>
        </w:tabs>
        <w:spacing w:before="60" w:after="0" w:line="276" w:lineRule="auto"/>
        <w:ind w:left="3261" w:hanging="284"/>
        <w:contextualSpacing w:val="0"/>
        <w:jc w:val="both"/>
        <w:rPr>
          <w:rFonts w:ascii="Bookman Old Style" w:hAnsi="Bookman Old Style"/>
          <w:color w:val="000000" w:themeColor="text1"/>
          <w:sz w:val="24"/>
          <w:szCs w:val="24"/>
          <w:lang w:val="fi-FI"/>
        </w:rPr>
      </w:pPr>
      <w:r w:rsidRPr="000E42D9">
        <w:rPr>
          <w:rFonts w:ascii="Bookman Old Style" w:hAnsi="Bookman Old Style"/>
          <w:sz w:val="24"/>
          <w:szCs w:val="24"/>
          <w:lang w:val="sv-FI"/>
        </w:rPr>
        <w:t>Retribusi</w:t>
      </w:r>
      <w:r w:rsidR="00A954D0">
        <w:rPr>
          <w:rFonts w:ascii="Bookman Old Style" w:hAnsi="Bookman Old Style"/>
          <w:sz w:val="24"/>
          <w:szCs w:val="24"/>
          <w:lang w:val="sv-FI"/>
        </w:rPr>
        <w:t xml:space="preserve"> </w:t>
      </w:r>
      <w:r w:rsidRPr="000E42D9">
        <w:rPr>
          <w:rFonts w:ascii="Bookman Old Style" w:hAnsi="Bookman Old Style"/>
          <w:sz w:val="24"/>
          <w:szCs w:val="24"/>
          <w:lang w:val="sv-FI"/>
        </w:rPr>
        <w:t>Penggunaan</w:t>
      </w:r>
      <w:r w:rsidR="00A954D0">
        <w:rPr>
          <w:rFonts w:ascii="Bookman Old Style" w:hAnsi="Bookman Old Style"/>
          <w:sz w:val="24"/>
          <w:szCs w:val="24"/>
          <w:lang w:val="sv-FI"/>
        </w:rPr>
        <w:t xml:space="preserve"> </w:t>
      </w:r>
      <w:r w:rsidRPr="000E42D9">
        <w:rPr>
          <w:rFonts w:ascii="Bookman Old Style" w:hAnsi="Bookman Old Style"/>
          <w:sz w:val="24"/>
          <w:szCs w:val="24"/>
          <w:lang w:val="sv-FI"/>
        </w:rPr>
        <w:t>Tenaga</w:t>
      </w:r>
      <w:r w:rsidR="00A954D0">
        <w:rPr>
          <w:rFonts w:ascii="Bookman Old Style" w:hAnsi="Bookman Old Style"/>
          <w:sz w:val="24"/>
          <w:szCs w:val="24"/>
          <w:lang w:val="sv-FI"/>
        </w:rPr>
        <w:t xml:space="preserve"> </w:t>
      </w:r>
      <w:r w:rsidRPr="000E42D9">
        <w:rPr>
          <w:rFonts w:ascii="Bookman Old Style" w:hAnsi="Bookman Old Style"/>
          <w:sz w:val="24"/>
          <w:szCs w:val="24"/>
          <w:lang w:val="sv-FI"/>
        </w:rPr>
        <w:t>Kerja</w:t>
      </w:r>
      <w:r w:rsidR="00A954D0">
        <w:rPr>
          <w:rFonts w:ascii="Bookman Old Style" w:hAnsi="Bookman Old Style"/>
          <w:sz w:val="24"/>
          <w:szCs w:val="24"/>
          <w:lang w:val="sv-FI"/>
        </w:rPr>
        <w:t xml:space="preserve"> </w:t>
      </w:r>
      <w:r w:rsidRPr="000E42D9">
        <w:rPr>
          <w:rFonts w:ascii="Bookman Old Style" w:hAnsi="Bookman Old Style"/>
          <w:sz w:val="24"/>
          <w:szCs w:val="24"/>
          <w:lang w:val="sv-FI"/>
        </w:rPr>
        <w:t>Asing</w:t>
      </w:r>
      <w:r w:rsidR="00A954D0">
        <w:rPr>
          <w:rFonts w:ascii="Bookman Old Style" w:hAnsi="Bookman Old Style"/>
          <w:sz w:val="24"/>
          <w:szCs w:val="24"/>
          <w:lang w:val="sv-FI"/>
        </w:rPr>
        <w:t xml:space="preserve"> </w:t>
      </w:r>
      <w:r w:rsidRPr="000E42D9">
        <w:rPr>
          <w:rFonts w:ascii="Bookman Old Style" w:hAnsi="Bookman Old Style"/>
          <w:sz w:val="24"/>
          <w:szCs w:val="24"/>
          <w:lang w:val="sv-FI"/>
        </w:rPr>
        <w:t>(TKA)</w:t>
      </w:r>
      <w:r w:rsidR="00A954D0">
        <w:rPr>
          <w:rFonts w:ascii="Bookman Old Style" w:hAnsi="Bookman Old Style"/>
          <w:sz w:val="24"/>
          <w:szCs w:val="24"/>
          <w:lang w:val="sv-FI"/>
        </w:rPr>
        <w:t xml:space="preserve"> </w:t>
      </w:r>
      <w:r w:rsidRPr="000E42D9">
        <w:rPr>
          <w:rFonts w:ascii="Bookman Old Style" w:hAnsi="Bookman Old Style"/>
          <w:sz w:val="24"/>
          <w:szCs w:val="24"/>
          <w:lang w:val="sv-FI"/>
        </w:rPr>
        <w:t>Rp6.000.000.000,00</w:t>
      </w:r>
      <w:r w:rsidRPr="000E42D9">
        <w:rPr>
          <w:rFonts w:ascii="Bookman Old Style" w:hAnsi="Bookman Old Style"/>
          <w:color w:val="000000" w:themeColor="text1"/>
          <w:sz w:val="24"/>
          <w:szCs w:val="24"/>
          <w:lang w:val="sv-FI"/>
        </w:rPr>
        <w:t>.</w:t>
      </w:r>
    </w:p>
    <w:p w14:paraId="09B6DC7D" w14:textId="315EAA68" w:rsidR="003C3E01" w:rsidRPr="000E42D9" w:rsidRDefault="003C3E01" w:rsidP="00B16310">
      <w:pPr>
        <w:spacing w:before="60" w:line="276" w:lineRule="auto"/>
        <w:ind w:left="2268"/>
        <w:jc w:val="both"/>
        <w:rPr>
          <w:rFonts w:ascii="Bookman Old Style" w:hAnsi="Bookman Old Style"/>
          <w:lang w:val="fi-FI"/>
        </w:rPr>
      </w:pPr>
      <w:r w:rsidRPr="000E42D9">
        <w:rPr>
          <w:rFonts w:ascii="Bookman Old Style" w:hAnsi="Bookman Old Style"/>
          <w:lang w:val="fi-FI"/>
        </w:rPr>
        <w:t>Berdasarkan</w:t>
      </w:r>
      <w:r w:rsidR="00A954D0">
        <w:rPr>
          <w:rFonts w:ascii="Bookman Old Style" w:hAnsi="Bookman Old Style"/>
          <w:lang w:val="fi-FI"/>
        </w:rPr>
        <w:t xml:space="preserve"> </w:t>
      </w:r>
      <w:r w:rsidRPr="000E42D9">
        <w:rPr>
          <w:rFonts w:ascii="Bookman Old Style" w:hAnsi="Bookman Old Style"/>
          <w:lang w:val="fi-FI"/>
        </w:rPr>
        <w:t>hal</w:t>
      </w:r>
      <w:r w:rsidR="00A954D0">
        <w:rPr>
          <w:rFonts w:ascii="Bookman Old Style" w:hAnsi="Bookman Old Style"/>
          <w:lang w:val="fi-FI"/>
        </w:rPr>
        <w:t xml:space="preserve"> </w:t>
      </w:r>
      <w:r w:rsidRPr="000E42D9">
        <w:rPr>
          <w:rFonts w:ascii="Bookman Old Style" w:hAnsi="Bookman Old Style"/>
          <w:lang w:val="fi-FI"/>
        </w:rPr>
        <w:t>tersebut,</w:t>
      </w:r>
      <w:r w:rsidR="00A954D0">
        <w:rPr>
          <w:rFonts w:ascii="Bookman Old Style" w:hAnsi="Bookman Old Style"/>
          <w:lang w:val="fi-FI"/>
        </w:rPr>
        <w:t xml:space="preserve"> </w:t>
      </w:r>
      <w:r w:rsidRPr="000E42D9">
        <w:rPr>
          <w:rFonts w:ascii="Bookman Old Style" w:hAnsi="Bookman Old Style"/>
          <w:lang w:val="fi-FI"/>
        </w:rPr>
        <w:t>penetapan</w:t>
      </w:r>
      <w:r w:rsidR="00A954D0">
        <w:rPr>
          <w:rFonts w:ascii="Bookman Old Style" w:hAnsi="Bookman Old Style"/>
          <w:lang w:val="fi-FI"/>
        </w:rPr>
        <w:t xml:space="preserve"> </w:t>
      </w:r>
      <w:r w:rsidRPr="000E42D9">
        <w:rPr>
          <w:rFonts w:ascii="Bookman Old Style" w:hAnsi="Bookman Old Style"/>
          <w:lang w:val="fi-FI"/>
        </w:rPr>
        <w:t>besaran</w:t>
      </w:r>
      <w:r w:rsidR="00A954D0">
        <w:rPr>
          <w:rFonts w:ascii="Bookman Old Style" w:hAnsi="Bookman Old Style"/>
          <w:lang w:val="fi-FI"/>
        </w:rPr>
        <w:t xml:space="preserve"> </w:t>
      </w:r>
      <w:r w:rsidRPr="000E42D9">
        <w:rPr>
          <w:rFonts w:ascii="Bookman Old Style" w:hAnsi="Bookman Old Style"/>
          <w:lang w:val="fi-FI"/>
        </w:rPr>
        <w:t>target</w:t>
      </w:r>
      <w:r w:rsidR="00A954D0">
        <w:rPr>
          <w:rFonts w:ascii="Bookman Old Style" w:hAnsi="Bookman Old Style"/>
          <w:lang w:val="fi-FI"/>
        </w:rPr>
        <w:t xml:space="preserve"> </w:t>
      </w:r>
      <w:r w:rsidRPr="000E42D9">
        <w:rPr>
          <w:rFonts w:ascii="Bookman Old Style" w:hAnsi="Bookman Old Style"/>
          <w:lang w:val="fi-FI"/>
        </w:rPr>
        <w:t>pendapatan</w:t>
      </w:r>
      <w:r w:rsidR="00A954D0">
        <w:rPr>
          <w:rFonts w:ascii="Bookman Old Style" w:hAnsi="Bookman Old Style"/>
          <w:lang w:val="fi-FI"/>
        </w:rPr>
        <w:t xml:space="preserve"> </w:t>
      </w:r>
      <w:r w:rsidRPr="000E42D9">
        <w:rPr>
          <w:rFonts w:ascii="Bookman Old Style" w:hAnsi="Bookman Old Style"/>
          <w:lang w:val="fi-FI"/>
        </w:rPr>
        <w:t>pajak</w:t>
      </w:r>
      <w:r w:rsidR="00A954D0">
        <w:rPr>
          <w:rFonts w:ascii="Bookman Old Style" w:hAnsi="Bookman Old Style"/>
          <w:lang w:val="fi-FI"/>
        </w:rPr>
        <w:t xml:space="preserve"> </w:t>
      </w:r>
      <w:r w:rsidRPr="000E42D9">
        <w:rPr>
          <w:rFonts w:ascii="Bookman Old Style" w:hAnsi="Bookman Old Style"/>
          <w:lang w:val="fi-FI"/>
        </w:rPr>
        <w:t>daerah</w:t>
      </w:r>
      <w:r w:rsidR="00A954D0">
        <w:rPr>
          <w:rFonts w:ascii="Bookman Old Style" w:hAnsi="Bookman Old Style"/>
          <w:lang w:val="fi-FI"/>
        </w:rPr>
        <w:t xml:space="preserve"> </w:t>
      </w:r>
      <w:r w:rsidRPr="000E42D9">
        <w:rPr>
          <w:rFonts w:ascii="Bookman Old Style" w:hAnsi="Bookman Old Style"/>
          <w:lang w:val="fi-FI"/>
        </w:rPr>
        <w:t>dan</w:t>
      </w:r>
      <w:r w:rsidR="00A954D0">
        <w:rPr>
          <w:rFonts w:ascii="Bookman Old Style" w:hAnsi="Bookman Old Style"/>
          <w:lang w:val="fi-FI"/>
        </w:rPr>
        <w:t xml:space="preserve"> </w:t>
      </w:r>
      <w:r w:rsidRPr="000E42D9">
        <w:rPr>
          <w:rFonts w:ascii="Bookman Old Style" w:hAnsi="Bookman Old Style"/>
          <w:lang w:val="fi-FI"/>
        </w:rPr>
        <w:t>retribusi</w:t>
      </w:r>
      <w:r w:rsidR="00A954D0">
        <w:rPr>
          <w:rFonts w:ascii="Bookman Old Style" w:hAnsi="Bookman Old Style"/>
          <w:lang w:val="fi-FI"/>
        </w:rPr>
        <w:t xml:space="preserve"> </w:t>
      </w:r>
      <w:r w:rsidRPr="000E42D9">
        <w:rPr>
          <w:rFonts w:ascii="Bookman Old Style" w:hAnsi="Bookman Old Style"/>
          <w:lang w:val="fi-FI"/>
        </w:rPr>
        <w:t>daerah</w:t>
      </w:r>
      <w:r w:rsidR="00A954D0">
        <w:rPr>
          <w:rFonts w:ascii="Bookman Old Style" w:hAnsi="Bookman Old Style"/>
          <w:lang w:val="fi-FI"/>
        </w:rPr>
        <w:t xml:space="preserve"> </w:t>
      </w:r>
      <w:r w:rsidRPr="000E42D9">
        <w:rPr>
          <w:rFonts w:ascii="Bookman Old Style" w:hAnsi="Bookman Old Style"/>
          <w:lang w:val="fi-FI"/>
        </w:rPr>
        <w:t>di</w:t>
      </w:r>
      <w:r w:rsidR="00A954D0">
        <w:rPr>
          <w:rFonts w:ascii="Bookman Old Style" w:hAnsi="Bookman Old Style"/>
          <w:lang w:val="fi-FI"/>
        </w:rPr>
        <w:t xml:space="preserve"> </w:t>
      </w:r>
      <w:r w:rsidRPr="000E42D9">
        <w:rPr>
          <w:rFonts w:ascii="Bookman Old Style" w:hAnsi="Bookman Old Style"/>
          <w:lang w:val="fi-FI"/>
        </w:rPr>
        <w:t>atas</w:t>
      </w:r>
      <w:r w:rsidR="00A954D0">
        <w:rPr>
          <w:rFonts w:ascii="Bookman Old Style" w:hAnsi="Bookman Old Style"/>
          <w:lang w:val="fi-FI"/>
        </w:rPr>
        <w:t xml:space="preserve"> </w:t>
      </w:r>
      <w:r w:rsidRPr="000E42D9">
        <w:rPr>
          <w:rFonts w:ascii="Bookman Old Style" w:hAnsi="Bookman Old Style"/>
          <w:lang w:val="fi-FI"/>
        </w:rPr>
        <w:t>harus</w:t>
      </w:r>
      <w:r w:rsidR="00A954D0">
        <w:rPr>
          <w:rFonts w:ascii="Bookman Old Style" w:hAnsi="Bookman Old Style"/>
          <w:lang w:val="fi-FI"/>
        </w:rPr>
        <w:t xml:space="preserve"> </w:t>
      </w:r>
      <w:r w:rsidRPr="000E42D9">
        <w:rPr>
          <w:rFonts w:ascii="Bookman Old Style" w:hAnsi="Bookman Old Style"/>
          <w:lang w:val="fi-FI"/>
        </w:rPr>
        <w:t>didasarkan</w:t>
      </w:r>
      <w:r w:rsidR="00A954D0">
        <w:rPr>
          <w:rFonts w:ascii="Bookman Old Style" w:hAnsi="Bookman Old Style"/>
          <w:lang w:val="fi-FI"/>
        </w:rPr>
        <w:t xml:space="preserve"> </w:t>
      </w:r>
      <w:r w:rsidRPr="000E42D9">
        <w:rPr>
          <w:rFonts w:ascii="Bookman Old Style" w:hAnsi="Bookman Old Style"/>
          <w:lang w:val="fi-FI"/>
        </w:rPr>
        <w:t>pada</w:t>
      </w:r>
      <w:r w:rsidR="00A954D0">
        <w:rPr>
          <w:rFonts w:ascii="Bookman Old Style" w:hAnsi="Bookman Old Style"/>
          <w:lang w:val="fi-FI"/>
        </w:rPr>
        <w:t xml:space="preserve"> </w:t>
      </w:r>
      <w:r w:rsidRPr="000E42D9">
        <w:rPr>
          <w:rFonts w:ascii="Bookman Old Style" w:hAnsi="Bookman Old Style"/>
          <w:lang w:val="fi-FI"/>
        </w:rPr>
        <w:t>data</w:t>
      </w:r>
      <w:r w:rsidR="00A954D0">
        <w:rPr>
          <w:rFonts w:ascii="Bookman Old Style" w:hAnsi="Bookman Old Style"/>
          <w:lang w:val="fi-FI"/>
        </w:rPr>
        <w:t xml:space="preserve"> </w:t>
      </w:r>
      <w:r w:rsidRPr="000E42D9">
        <w:rPr>
          <w:rFonts w:ascii="Bookman Old Style" w:hAnsi="Bookman Old Style"/>
          <w:lang w:val="fi-FI"/>
        </w:rPr>
        <w:t>potensi</w:t>
      </w:r>
      <w:r w:rsidR="00A954D0">
        <w:rPr>
          <w:rFonts w:ascii="Bookman Old Style" w:hAnsi="Bookman Old Style"/>
          <w:lang w:val="fi-FI"/>
        </w:rPr>
        <w:t xml:space="preserve"> </w:t>
      </w:r>
      <w:r w:rsidRPr="000E42D9">
        <w:rPr>
          <w:rFonts w:ascii="Bookman Old Style" w:hAnsi="Bookman Old Style"/>
          <w:lang w:val="fi-FI"/>
        </w:rPr>
        <w:t>pajak</w:t>
      </w:r>
      <w:r w:rsidR="00A954D0">
        <w:rPr>
          <w:rFonts w:ascii="Bookman Old Style" w:hAnsi="Bookman Old Style"/>
          <w:lang w:val="fi-FI"/>
        </w:rPr>
        <w:t xml:space="preserve"> </w:t>
      </w:r>
      <w:r w:rsidRPr="000E42D9">
        <w:rPr>
          <w:rFonts w:ascii="Bookman Old Style" w:hAnsi="Bookman Old Style"/>
          <w:lang w:val="fi-FI"/>
        </w:rPr>
        <w:t>daerah</w:t>
      </w:r>
      <w:r w:rsidR="00A954D0">
        <w:rPr>
          <w:rFonts w:ascii="Bookman Old Style" w:hAnsi="Bookman Old Style"/>
          <w:lang w:val="fi-FI"/>
        </w:rPr>
        <w:t xml:space="preserve"> </w:t>
      </w:r>
      <w:r w:rsidRPr="000E42D9">
        <w:rPr>
          <w:rFonts w:ascii="Bookman Old Style" w:hAnsi="Bookman Old Style"/>
          <w:lang w:val="fi-FI"/>
        </w:rPr>
        <w:t>dan</w:t>
      </w:r>
      <w:r w:rsidR="00A954D0">
        <w:rPr>
          <w:rFonts w:ascii="Bookman Old Style" w:hAnsi="Bookman Old Style"/>
          <w:lang w:val="fi-FI"/>
        </w:rPr>
        <w:t xml:space="preserve"> </w:t>
      </w:r>
      <w:r w:rsidRPr="000E42D9">
        <w:rPr>
          <w:rFonts w:ascii="Bookman Old Style" w:hAnsi="Bookman Old Style"/>
          <w:lang w:val="fi-FI"/>
        </w:rPr>
        <w:t>retribusi</w:t>
      </w:r>
      <w:r w:rsidR="00A954D0">
        <w:rPr>
          <w:rFonts w:ascii="Bookman Old Style" w:hAnsi="Bookman Old Style"/>
          <w:lang w:val="fi-FI"/>
        </w:rPr>
        <w:t xml:space="preserve"> </w:t>
      </w:r>
      <w:r w:rsidRPr="000E42D9">
        <w:rPr>
          <w:rFonts w:ascii="Bookman Old Style" w:hAnsi="Bookman Old Style"/>
          <w:lang w:val="fi-FI"/>
        </w:rPr>
        <w:t>daerah</w:t>
      </w:r>
      <w:r w:rsidR="00A954D0">
        <w:rPr>
          <w:rFonts w:ascii="Bookman Old Style" w:hAnsi="Bookman Old Style"/>
          <w:lang w:val="fi-FI"/>
        </w:rPr>
        <w:t xml:space="preserve"> </w:t>
      </w:r>
      <w:r w:rsidRPr="000E42D9">
        <w:rPr>
          <w:rFonts w:ascii="Bookman Old Style" w:hAnsi="Bookman Old Style"/>
          <w:lang w:val="fi-FI"/>
        </w:rPr>
        <w:t>yang</w:t>
      </w:r>
      <w:r w:rsidR="00A954D0">
        <w:rPr>
          <w:rFonts w:ascii="Bookman Old Style" w:hAnsi="Bookman Old Style"/>
          <w:lang w:val="fi-FI"/>
        </w:rPr>
        <w:t xml:space="preserve"> </w:t>
      </w:r>
      <w:r w:rsidRPr="000E42D9">
        <w:rPr>
          <w:rFonts w:ascii="Bookman Old Style" w:hAnsi="Bookman Old Style"/>
          <w:lang w:val="fi-FI"/>
        </w:rPr>
        <w:t>terukur</w:t>
      </w:r>
      <w:r w:rsidR="00A954D0">
        <w:rPr>
          <w:rFonts w:ascii="Bookman Old Style" w:hAnsi="Bookman Old Style"/>
          <w:lang w:val="fi-FI"/>
        </w:rPr>
        <w:t xml:space="preserve"> </w:t>
      </w:r>
      <w:r w:rsidRPr="000E42D9">
        <w:rPr>
          <w:rFonts w:ascii="Bookman Old Style" w:hAnsi="Bookman Old Style"/>
          <w:lang w:val="fi-FI"/>
        </w:rPr>
        <w:t>secara</w:t>
      </w:r>
      <w:r w:rsidR="00A954D0">
        <w:rPr>
          <w:rFonts w:ascii="Bookman Old Style" w:hAnsi="Bookman Old Style"/>
          <w:lang w:val="fi-FI"/>
        </w:rPr>
        <w:t xml:space="preserve"> </w:t>
      </w:r>
      <w:r w:rsidRPr="000E42D9">
        <w:rPr>
          <w:rFonts w:ascii="Bookman Old Style" w:hAnsi="Bookman Old Style"/>
          <w:lang w:val="fi-FI"/>
        </w:rPr>
        <w:t>rasional</w:t>
      </w:r>
      <w:r w:rsidR="00A954D0">
        <w:rPr>
          <w:rFonts w:ascii="Bookman Old Style" w:hAnsi="Bookman Old Style"/>
          <w:lang w:val="fi-FI"/>
        </w:rPr>
        <w:t xml:space="preserve"> </w:t>
      </w:r>
      <w:r w:rsidRPr="000E42D9">
        <w:rPr>
          <w:rFonts w:ascii="Bookman Old Style" w:hAnsi="Bookman Old Style"/>
          <w:lang w:val="fi-FI"/>
        </w:rPr>
        <w:t>yang</w:t>
      </w:r>
      <w:r w:rsidR="00A954D0">
        <w:rPr>
          <w:rFonts w:ascii="Bookman Old Style" w:hAnsi="Bookman Old Style"/>
          <w:lang w:val="fi-FI"/>
        </w:rPr>
        <w:t xml:space="preserve"> </w:t>
      </w:r>
      <w:r w:rsidRPr="000E42D9">
        <w:rPr>
          <w:rFonts w:ascii="Bookman Old Style" w:hAnsi="Bookman Old Style"/>
          <w:lang w:val="fi-FI"/>
        </w:rPr>
        <w:t>dapat</w:t>
      </w:r>
      <w:r w:rsidR="00A954D0">
        <w:rPr>
          <w:rFonts w:ascii="Bookman Old Style" w:hAnsi="Bookman Old Style"/>
          <w:lang w:val="fi-FI"/>
        </w:rPr>
        <w:t xml:space="preserve"> </w:t>
      </w:r>
      <w:r w:rsidRPr="000E42D9">
        <w:rPr>
          <w:rFonts w:ascii="Bookman Old Style" w:hAnsi="Bookman Old Style"/>
          <w:lang w:val="fi-FI"/>
        </w:rPr>
        <w:t>dicapai</w:t>
      </w:r>
      <w:r w:rsidR="00A954D0">
        <w:rPr>
          <w:rFonts w:ascii="Bookman Old Style" w:hAnsi="Bookman Old Style"/>
          <w:lang w:val="fi-FI"/>
        </w:rPr>
        <w:t xml:space="preserve"> </w:t>
      </w:r>
      <w:r w:rsidRPr="000E42D9">
        <w:rPr>
          <w:rFonts w:ascii="Bookman Old Style" w:hAnsi="Bookman Old Style"/>
          <w:lang w:val="fi-FI"/>
        </w:rPr>
        <w:t>untuk</w:t>
      </w:r>
      <w:r w:rsidR="00A954D0">
        <w:rPr>
          <w:rFonts w:ascii="Bookman Old Style" w:hAnsi="Bookman Old Style"/>
          <w:lang w:val="fi-FI"/>
        </w:rPr>
        <w:t xml:space="preserve"> </w:t>
      </w:r>
      <w:r w:rsidRPr="000E42D9">
        <w:rPr>
          <w:rFonts w:ascii="Bookman Old Style" w:hAnsi="Bookman Old Style"/>
          <w:lang w:val="fi-FI"/>
        </w:rPr>
        <w:t>setiap</w:t>
      </w:r>
      <w:r w:rsidR="00A954D0">
        <w:rPr>
          <w:rFonts w:ascii="Bookman Old Style" w:hAnsi="Bookman Old Style"/>
          <w:lang w:val="fi-FI"/>
        </w:rPr>
        <w:t xml:space="preserve"> </w:t>
      </w:r>
      <w:r w:rsidRPr="000E42D9">
        <w:rPr>
          <w:rFonts w:ascii="Bookman Old Style" w:hAnsi="Bookman Old Style"/>
          <w:lang w:val="fi-FI"/>
        </w:rPr>
        <w:t>sumber</w:t>
      </w:r>
      <w:r w:rsidR="00A954D0">
        <w:rPr>
          <w:rFonts w:ascii="Bookman Old Style" w:hAnsi="Bookman Old Style"/>
          <w:lang w:val="fi-FI"/>
        </w:rPr>
        <w:t xml:space="preserve"> </w:t>
      </w:r>
      <w:r w:rsidRPr="000E42D9">
        <w:rPr>
          <w:rFonts w:ascii="Bookman Old Style" w:hAnsi="Bookman Old Style"/>
          <w:lang w:val="fi-FI"/>
        </w:rPr>
        <w:t>penerimaan</w:t>
      </w:r>
      <w:r w:rsidR="00A954D0">
        <w:rPr>
          <w:rFonts w:ascii="Bookman Old Style" w:hAnsi="Bookman Old Style"/>
          <w:lang w:val="fi-FI"/>
        </w:rPr>
        <w:t xml:space="preserve"> </w:t>
      </w:r>
      <w:r w:rsidRPr="000E42D9">
        <w:rPr>
          <w:rFonts w:ascii="Bookman Old Style" w:hAnsi="Bookman Old Style"/>
          <w:lang w:val="fi-FI"/>
        </w:rPr>
        <w:t>pajak</w:t>
      </w:r>
      <w:r w:rsidR="00A954D0">
        <w:rPr>
          <w:rFonts w:ascii="Bookman Old Style" w:hAnsi="Bookman Old Style"/>
          <w:lang w:val="fi-FI"/>
        </w:rPr>
        <w:t xml:space="preserve"> </w:t>
      </w:r>
      <w:r w:rsidRPr="000E42D9">
        <w:rPr>
          <w:rFonts w:ascii="Bookman Old Style" w:hAnsi="Bookman Old Style"/>
          <w:lang w:val="fi-FI"/>
        </w:rPr>
        <w:t>daerah</w:t>
      </w:r>
      <w:r w:rsidR="00A954D0">
        <w:rPr>
          <w:rFonts w:ascii="Bookman Old Style" w:hAnsi="Bookman Old Style"/>
          <w:lang w:val="fi-FI"/>
        </w:rPr>
        <w:t xml:space="preserve"> </w:t>
      </w:r>
      <w:r w:rsidRPr="000E42D9">
        <w:rPr>
          <w:rFonts w:ascii="Bookman Old Style" w:hAnsi="Bookman Old Style"/>
          <w:lang w:val="fi-FI"/>
        </w:rPr>
        <w:t>dan</w:t>
      </w:r>
      <w:r w:rsidR="00A954D0">
        <w:rPr>
          <w:rFonts w:ascii="Bookman Old Style" w:hAnsi="Bookman Old Style"/>
          <w:lang w:val="fi-FI"/>
        </w:rPr>
        <w:t xml:space="preserve"> </w:t>
      </w:r>
      <w:r w:rsidRPr="000E42D9">
        <w:rPr>
          <w:rFonts w:ascii="Bookman Old Style" w:hAnsi="Bookman Old Style"/>
          <w:lang w:val="fi-FI"/>
        </w:rPr>
        <w:t>retribusi</w:t>
      </w:r>
      <w:r w:rsidR="00A954D0">
        <w:rPr>
          <w:rFonts w:ascii="Bookman Old Style" w:hAnsi="Bookman Old Style"/>
          <w:lang w:val="fi-FI"/>
        </w:rPr>
        <w:t xml:space="preserve"> </w:t>
      </w:r>
      <w:r w:rsidRPr="000E42D9">
        <w:rPr>
          <w:rFonts w:ascii="Bookman Old Style" w:hAnsi="Bookman Old Style"/>
          <w:lang w:val="fi-FI"/>
        </w:rPr>
        <w:t>daerah</w:t>
      </w:r>
      <w:r w:rsidR="00A954D0">
        <w:rPr>
          <w:rFonts w:ascii="Bookman Old Style" w:hAnsi="Bookman Old Style"/>
          <w:lang w:val="fi-FI"/>
        </w:rPr>
        <w:t xml:space="preserve"> </w:t>
      </w:r>
      <w:r w:rsidRPr="000E42D9">
        <w:rPr>
          <w:rFonts w:ascii="Bookman Old Style" w:hAnsi="Bookman Old Style"/>
          <w:lang w:val="fi-FI"/>
        </w:rPr>
        <w:t>di</w:t>
      </w:r>
      <w:r w:rsidR="00A954D0">
        <w:rPr>
          <w:rFonts w:ascii="Bookman Old Style" w:hAnsi="Bookman Old Style"/>
          <w:lang w:val="fi-FI"/>
        </w:rPr>
        <w:t xml:space="preserve"> </w:t>
      </w:r>
      <w:r w:rsidRPr="000E42D9">
        <w:rPr>
          <w:rFonts w:ascii="Bookman Old Style" w:hAnsi="Bookman Old Style"/>
          <w:lang w:val="fi-FI"/>
        </w:rPr>
        <w:t>Pemerintah</w:t>
      </w:r>
      <w:r w:rsidR="00A954D0">
        <w:rPr>
          <w:rFonts w:ascii="Bookman Old Style" w:hAnsi="Bookman Old Style"/>
          <w:lang w:val="fi-FI"/>
        </w:rPr>
        <w:t xml:space="preserve"> </w:t>
      </w:r>
      <w:r w:rsidRPr="000E42D9">
        <w:rPr>
          <w:rFonts w:ascii="Bookman Old Style" w:hAnsi="Bookman Old Style"/>
          <w:lang w:val="fi-FI"/>
        </w:rPr>
        <w:t>Daerah</w:t>
      </w:r>
      <w:r w:rsidR="00A954D0">
        <w:rPr>
          <w:rFonts w:ascii="Bookman Old Style" w:hAnsi="Bookman Old Style"/>
          <w:lang w:val="fi-FI"/>
        </w:rPr>
        <w:t xml:space="preserve"> </w:t>
      </w:r>
      <w:r w:rsidRPr="003255BC">
        <w:rPr>
          <w:rFonts w:ascii="Bookman Old Style" w:hAnsi="Bookman Old Style"/>
          <w:lang w:val="fi-FI"/>
        </w:rPr>
        <w:t>Kota</w:t>
      </w:r>
      <w:r w:rsidR="00A954D0" w:rsidRPr="003255BC">
        <w:rPr>
          <w:rFonts w:ascii="Bookman Old Style" w:hAnsi="Bookman Old Style"/>
          <w:lang w:val="fi-FI"/>
        </w:rPr>
        <w:t xml:space="preserve"> </w:t>
      </w:r>
      <w:r w:rsidR="00770F22" w:rsidRPr="003255BC">
        <w:rPr>
          <w:rFonts w:ascii="Bookman Old Style" w:hAnsi="Bookman Old Style"/>
          <w:lang w:val="fi-FI"/>
        </w:rPr>
        <w:t>Tangerang</w:t>
      </w:r>
      <w:r w:rsidR="00A954D0" w:rsidRPr="003255BC">
        <w:rPr>
          <w:rFonts w:ascii="Bookman Old Style" w:hAnsi="Bookman Old Style"/>
          <w:lang w:val="fi-FI"/>
        </w:rPr>
        <w:t xml:space="preserve"> </w:t>
      </w:r>
      <w:r w:rsidRPr="000E42D9">
        <w:rPr>
          <w:rFonts w:ascii="Bookman Old Style" w:hAnsi="Bookman Old Style"/>
          <w:lang w:val="fi-FI"/>
        </w:rPr>
        <w:t>serta</w:t>
      </w:r>
      <w:r w:rsidR="00A954D0">
        <w:rPr>
          <w:rFonts w:ascii="Bookman Old Style" w:hAnsi="Bookman Old Style"/>
          <w:lang w:val="fi-FI"/>
        </w:rPr>
        <w:t xml:space="preserve"> </w:t>
      </w:r>
      <w:r w:rsidR="003E2CA9" w:rsidRPr="003255BC">
        <w:rPr>
          <w:rFonts w:ascii="Bookman Old Style" w:hAnsi="Bookman Old Style"/>
          <w:lang w:val="fi-FI"/>
        </w:rPr>
        <w:t>mempertimbangkan</w:t>
      </w:r>
      <w:r w:rsidR="00A954D0" w:rsidRPr="003255BC">
        <w:rPr>
          <w:rFonts w:ascii="Bookman Old Style" w:hAnsi="Bookman Old Style"/>
          <w:lang w:val="fi-FI"/>
        </w:rPr>
        <w:t xml:space="preserve"> </w:t>
      </w:r>
      <w:r w:rsidR="003E2CA9" w:rsidRPr="003255BC">
        <w:rPr>
          <w:rFonts w:ascii="Bookman Old Style" w:hAnsi="Bookman Old Style"/>
          <w:lang w:val="fi-FI"/>
        </w:rPr>
        <w:t>kebijakan</w:t>
      </w:r>
      <w:r w:rsidR="00A954D0" w:rsidRPr="003255BC">
        <w:rPr>
          <w:rFonts w:ascii="Bookman Old Style" w:hAnsi="Bookman Old Style"/>
          <w:lang w:val="fi-FI"/>
        </w:rPr>
        <w:t xml:space="preserve"> </w:t>
      </w:r>
      <w:r w:rsidR="003E2CA9" w:rsidRPr="003255BC">
        <w:rPr>
          <w:rFonts w:ascii="Bookman Old Style" w:hAnsi="Bookman Old Style"/>
          <w:lang w:val="fi-FI"/>
        </w:rPr>
        <w:t>makro</w:t>
      </w:r>
      <w:r w:rsidR="00A954D0" w:rsidRPr="003255BC">
        <w:rPr>
          <w:rFonts w:ascii="Bookman Old Style" w:hAnsi="Bookman Old Style"/>
          <w:lang w:val="fi-FI"/>
        </w:rPr>
        <w:t xml:space="preserve"> </w:t>
      </w:r>
      <w:r w:rsidR="003E2CA9" w:rsidRPr="003255BC">
        <w:rPr>
          <w:rFonts w:ascii="Bookman Old Style" w:hAnsi="Bookman Old Style"/>
          <w:lang w:val="fi-FI"/>
        </w:rPr>
        <w:t>ekonomi</w:t>
      </w:r>
      <w:r w:rsidR="00A954D0" w:rsidRPr="003255BC">
        <w:rPr>
          <w:rFonts w:ascii="Bookman Old Style" w:hAnsi="Bookman Old Style"/>
          <w:lang w:val="fi-FI"/>
        </w:rPr>
        <w:t xml:space="preserve"> </w:t>
      </w:r>
      <w:r w:rsidR="003E2CA9" w:rsidRPr="003255BC">
        <w:rPr>
          <w:rFonts w:ascii="Bookman Old Style" w:hAnsi="Bookman Old Style"/>
          <w:lang w:val="fi-FI"/>
        </w:rPr>
        <w:t>daerah</w:t>
      </w:r>
      <w:r w:rsidR="00A954D0" w:rsidRPr="003255BC">
        <w:rPr>
          <w:rFonts w:ascii="Bookman Old Style" w:hAnsi="Bookman Old Style"/>
          <w:lang w:val="fi-FI"/>
        </w:rPr>
        <w:t xml:space="preserve"> </w:t>
      </w:r>
      <w:r w:rsidR="003E2CA9" w:rsidRPr="003255BC">
        <w:rPr>
          <w:rFonts w:ascii="Bookman Old Style" w:hAnsi="Bookman Old Style"/>
          <w:lang w:val="fi-FI"/>
        </w:rPr>
        <w:t>serta</w:t>
      </w:r>
      <w:r w:rsidR="00A954D0" w:rsidRPr="003255BC">
        <w:rPr>
          <w:rFonts w:ascii="Bookman Old Style" w:hAnsi="Bookman Old Style"/>
          <w:lang w:val="fi-FI"/>
        </w:rPr>
        <w:t xml:space="preserve"> </w:t>
      </w:r>
      <w:r w:rsidR="003E2CA9" w:rsidRPr="003255BC">
        <w:rPr>
          <w:rFonts w:ascii="Bookman Old Style" w:hAnsi="Bookman Old Style"/>
          <w:lang w:val="fi-FI"/>
        </w:rPr>
        <w:t>potensi</w:t>
      </w:r>
      <w:r w:rsidR="00A954D0" w:rsidRPr="003255BC">
        <w:rPr>
          <w:rFonts w:ascii="Bookman Old Style" w:hAnsi="Bookman Old Style"/>
          <w:lang w:val="fi-FI"/>
        </w:rPr>
        <w:t xml:space="preserve"> </w:t>
      </w:r>
      <w:r w:rsidR="003E2CA9" w:rsidRPr="003255BC">
        <w:rPr>
          <w:rFonts w:ascii="Bookman Old Style" w:hAnsi="Bookman Old Style"/>
          <w:lang w:val="fi-FI"/>
        </w:rPr>
        <w:t>Pajak</w:t>
      </w:r>
      <w:r w:rsidR="00A954D0" w:rsidRPr="003255BC">
        <w:rPr>
          <w:rFonts w:ascii="Bookman Old Style" w:hAnsi="Bookman Old Style"/>
          <w:lang w:val="fi-FI"/>
        </w:rPr>
        <w:t xml:space="preserve"> </w:t>
      </w:r>
      <w:r w:rsidR="003E2CA9" w:rsidRPr="003255BC">
        <w:rPr>
          <w:rFonts w:ascii="Bookman Old Style" w:hAnsi="Bookman Old Style"/>
          <w:lang w:val="fi-FI"/>
        </w:rPr>
        <w:t>Daerah</w:t>
      </w:r>
      <w:r w:rsidR="00A954D0" w:rsidRPr="003255BC">
        <w:rPr>
          <w:rFonts w:ascii="Bookman Old Style" w:hAnsi="Bookman Old Style"/>
          <w:lang w:val="fi-FI"/>
        </w:rPr>
        <w:t xml:space="preserve"> </w:t>
      </w:r>
      <w:r w:rsidR="003E2CA9" w:rsidRPr="003255BC">
        <w:rPr>
          <w:rFonts w:ascii="Bookman Old Style" w:hAnsi="Bookman Old Style"/>
          <w:lang w:val="fi-FI"/>
        </w:rPr>
        <w:t>dan</w:t>
      </w:r>
      <w:r w:rsidR="00A954D0" w:rsidRPr="003255BC">
        <w:rPr>
          <w:rFonts w:ascii="Bookman Old Style" w:hAnsi="Bookman Old Style"/>
          <w:lang w:val="fi-FI"/>
        </w:rPr>
        <w:t xml:space="preserve"> </w:t>
      </w:r>
      <w:r w:rsidR="003E2CA9" w:rsidRPr="003255BC">
        <w:rPr>
          <w:rFonts w:ascii="Bookman Old Style" w:hAnsi="Bookman Old Style"/>
          <w:lang w:val="fi-FI"/>
        </w:rPr>
        <w:t>Retribusi</w:t>
      </w:r>
      <w:r w:rsidR="00A954D0" w:rsidRPr="003255BC">
        <w:rPr>
          <w:rFonts w:ascii="Bookman Old Style" w:hAnsi="Bookman Old Style"/>
          <w:lang w:val="fi-FI"/>
        </w:rPr>
        <w:t xml:space="preserve"> </w:t>
      </w:r>
      <w:r w:rsidR="003E2CA9" w:rsidRPr="003255BC">
        <w:rPr>
          <w:rFonts w:ascii="Bookman Old Style" w:hAnsi="Bookman Old Style"/>
          <w:lang w:val="fi-FI"/>
        </w:rPr>
        <w:t>Daerah,</w:t>
      </w:r>
      <w:r w:rsidR="00A954D0" w:rsidRPr="003255BC">
        <w:rPr>
          <w:rFonts w:ascii="Bookman Old Style" w:hAnsi="Bookman Old Style"/>
          <w:lang w:val="fi-FI"/>
        </w:rPr>
        <w:t xml:space="preserve"> </w:t>
      </w:r>
      <w:r w:rsidR="003E2CA9" w:rsidRPr="003255BC">
        <w:rPr>
          <w:rFonts w:ascii="Bookman Old Style" w:hAnsi="Bookman Old Style"/>
          <w:lang w:val="fi-FI"/>
        </w:rPr>
        <w:t>meliputi</w:t>
      </w:r>
      <w:r w:rsidR="00A954D0" w:rsidRPr="003255BC">
        <w:rPr>
          <w:rFonts w:ascii="Bookman Old Style" w:hAnsi="Bookman Old Style"/>
          <w:lang w:val="fi-FI"/>
        </w:rPr>
        <w:t xml:space="preserve"> </w:t>
      </w:r>
      <w:r w:rsidR="003E2CA9" w:rsidRPr="003255BC">
        <w:rPr>
          <w:rFonts w:ascii="Bookman Old Style" w:hAnsi="Bookman Old Style"/>
          <w:lang w:val="fi-FI"/>
        </w:rPr>
        <w:t>struktur</w:t>
      </w:r>
      <w:r w:rsidR="00A954D0" w:rsidRPr="003255BC">
        <w:rPr>
          <w:rFonts w:ascii="Bookman Old Style" w:hAnsi="Bookman Old Style"/>
          <w:lang w:val="fi-FI"/>
        </w:rPr>
        <w:t xml:space="preserve"> </w:t>
      </w:r>
      <w:r w:rsidR="003E2CA9" w:rsidRPr="003255BC">
        <w:rPr>
          <w:rFonts w:ascii="Bookman Old Style" w:hAnsi="Bookman Old Style"/>
          <w:lang w:val="fi-FI"/>
        </w:rPr>
        <w:t>ekonomi</w:t>
      </w:r>
      <w:r w:rsidR="00A954D0" w:rsidRPr="003255BC">
        <w:rPr>
          <w:rFonts w:ascii="Bookman Old Style" w:hAnsi="Bookman Old Style"/>
          <w:lang w:val="fi-FI"/>
        </w:rPr>
        <w:t xml:space="preserve"> </w:t>
      </w:r>
      <w:r w:rsidR="003E2CA9" w:rsidRPr="003255BC">
        <w:rPr>
          <w:rFonts w:ascii="Bookman Old Style" w:hAnsi="Bookman Old Style"/>
          <w:lang w:val="fi-FI"/>
        </w:rPr>
        <w:t>daerah,</w:t>
      </w:r>
      <w:r w:rsidR="00A954D0" w:rsidRPr="003255BC">
        <w:rPr>
          <w:rFonts w:ascii="Bookman Old Style" w:hAnsi="Bookman Old Style"/>
          <w:lang w:val="fi-FI"/>
        </w:rPr>
        <w:t xml:space="preserve"> </w:t>
      </w:r>
      <w:r w:rsidR="003E2CA9" w:rsidRPr="003255BC">
        <w:rPr>
          <w:rFonts w:ascii="Bookman Old Style" w:hAnsi="Bookman Old Style"/>
          <w:lang w:val="fi-FI"/>
        </w:rPr>
        <w:lastRenderedPageBreak/>
        <w:t>pertumbuhan</w:t>
      </w:r>
      <w:r w:rsidR="00A954D0" w:rsidRPr="003255BC">
        <w:rPr>
          <w:rFonts w:ascii="Bookman Old Style" w:hAnsi="Bookman Old Style"/>
          <w:lang w:val="fi-FI"/>
        </w:rPr>
        <w:t xml:space="preserve"> </w:t>
      </w:r>
      <w:r w:rsidR="003E2CA9" w:rsidRPr="003255BC">
        <w:rPr>
          <w:rFonts w:ascii="Bookman Old Style" w:hAnsi="Bookman Old Style"/>
          <w:lang w:val="fi-FI"/>
        </w:rPr>
        <w:t>ekonomi</w:t>
      </w:r>
      <w:r w:rsidR="00A954D0" w:rsidRPr="003255BC">
        <w:rPr>
          <w:rFonts w:ascii="Bookman Old Style" w:hAnsi="Bookman Old Style"/>
          <w:lang w:val="fi-FI"/>
        </w:rPr>
        <w:t xml:space="preserve"> </w:t>
      </w:r>
      <w:r w:rsidR="003E2CA9" w:rsidRPr="003255BC">
        <w:rPr>
          <w:rFonts w:ascii="Bookman Old Style" w:hAnsi="Bookman Old Style"/>
          <w:lang w:val="fi-FI"/>
        </w:rPr>
        <w:t>daerah,</w:t>
      </w:r>
      <w:r w:rsidR="00A954D0" w:rsidRPr="003255BC">
        <w:rPr>
          <w:rFonts w:ascii="Bookman Old Style" w:hAnsi="Bookman Old Style"/>
          <w:lang w:val="fi-FI"/>
        </w:rPr>
        <w:t xml:space="preserve"> </w:t>
      </w:r>
      <w:r w:rsidR="003E2CA9" w:rsidRPr="003255BC">
        <w:rPr>
          <w:rFonts w:ascii="Bookman Old Style" w:hAnsi="Bookman Old Style"/>
          <w:lang w:val="fi-FI"/>
        </w:rPr>
        <w:t>ketimpangan</w:t>
      </w:r>
      <w:r w:rsidR="00A954D0" w:rsidRPr="003255BC">
        <w:rPr>
          <w:rFonts w:ascii="Bookman Old Style" w:hAnsi="Bookman Old Style"/>
          <w:lang w:val="fi-FI"/>
        </w:rPr>
        <w:t xml:space="preserve"> </w:t>
      </w:r>
      <w:r w:rsidR="003E2CA9" w:rsidRPr="003255BC">
        <w:rPr>
          <w:rFonts w:ascii="Bookman Old Style" w:hAnsi="Bookman Old Style"/>
          <w:lang w:val="fi-FI"/>
        </w:rPr>
        <w:t>pendapatan,</w:t>
      </w:r>
      <w:r w:rsidR="00A954D0" w:rsidRPr="003255BC">
        <w:rPr>
          <w:rFonts w:ascii="Bookman Old Style" w:hAnsi="Bookman Old Style"/>
          <w:lang w:val="fi-FI"/>
        </w:rPr>
        <w:t xml:space="preserve"> </w:t>
      </w:r>
      <w:r w:rsidR="003E2CA9" w:rsidRPr="003255BC">
        <w:rPr>
          <w:rFonts w:ascii="Bookman Old Style" w:hAnsi="Bookman Old Style"/>
          <w:lang w:val="fi-FI"/>
        </w:rPr>
        <w:t>indeks</w:t>
      </w:r>
      <w:r w:rsidR="00A954D0" w:rsidRPr="003255BC">
        <w:rPr>
          <w:rFonts w:ascii="Bookman Old Style" w:hAnsi="Bookman Old Style"/>
          <w:lang w:val="fi-FI"/>
        </w:rPr>
        <w:t xml:space="preserve"> </w:t>
      </w:r>
      <w:r w:rsidR="003E2CA9" w:rsidRPr="003255BC">
        <w:rPr>
          <w:rFonts w:ascii="Bookman Old Style" w:hAnsi="Bookman Old Style"/>
          <w:lang w:val="fi-FI"/>
        </w:rPr>
        <w:t>pembangunan</w:t>
      </w:r>
      <w:r w:rsidR="00A954D0" w:rsidRPr="003255BC">
        <w:rPr>
          <w:rFonts w:ascii="Bookman Old Style" w:hAnsi="Bookman Old Style"/>
          <w:lang w:val="fi-FI"/>
        </w:rPr>
        <w:t xml:space="preserve"> </w:t>
      </w:r>
      <w:r w:rsidR="003E2CA9" w:rsidRPr="003255BC">
        <w:rPr>
          <w:rFonts w:ascii="Bookman Old Style" w:hAnsi="Bookman Old Style"/>
          <w:lang w:val="fi-FI"/>
        </w:rPr>
        <w:t>manusia,</w:t>
      </w:r>
      <w:r w:rsidR="00A954D0" w:rsidRPr="003255BC">
        <w:rPr>
          <w:rFonts w:ascii="Bookman Old Style" w:hAnsi="Bookman Old Style"/>
          <w:lang w:val="fi-FI"/>
        </w:rPr>
        <w:t xml:space="preserve"> </w:t>
      </w:r>
      <w:r w:rsidR="003E2CA9" w:rsidRPr="003255BC">
        <w:rPr>
          <w:rFonts w:ascii="Bookman Old Style" w:hAnsi="Bookman Old Style"/>
          <w:lang w:val="fi-FI"/>
        </w:rPr>
        <w:t>kemandirian</w:t>
      </w:r>
      <w:r w:rsidR="00A954D0" w:rsidRPr="003255BC">
        <w:rPr>
          <w:rFonts w:ascii="Bookman Old Style" w:hAnsi="Bookman Old Style"/>
          <w:lang w:val="fi-FI"/>
        </w:rPr>
        <w:t xml:space="preserve"> </w:t>
      </w:r>
      <w:r w:rsidR="003E2CA9" w:rsidRPr="003255BC">
        <w:rPr>
          <w:rFonts w:ascii="Bookman Old Style" w:hAnsi="Bookman Old Style"/>
          <w:lang w:val="fi-FI"/>
        </w:rPr>
        <w:t>fiskal,</w:t>
      </w:r>
      <w:r w:rsidR="00A954D0" w:rsidRPr="003255BC">
        <w:rPr>
          <w:rFonts w:ascii="Bookman Old Style" w:hAnsi="Bookman Old Style"/>
          <w:lang w:val="fi-FI"/>
        </w:rPr>
        <w:t xml:space="preserve"> </w:t>
      </w:r>
      <w:r w:rsidR="003E2CA9" w:rsidRPr="003255BC">
        <w:rPr>
          <w:rFonts w:ascii="Bookman Old Style" w:hAnsi="Bookman Old Style"/>
          <w:lang w:val="fi-FI"/>
        </w:rPr>
        <w:t>tingkat</w:t>
      </w:r>
      <w:r w:rsidR="00A954D0" w:rsidRPr="003255BC">
        <w:rPr>
          <w:rFonts w:ascii="Bookman Old Style" w:hAnsi="Bookman Old Style"/>
          <w:lang w:val="fi-FI"/>
        </w:rPr>
        <w:t xml:space="preserve"> </w:t>
      </w:r>
      <w:r w:rsidR="003E2CA9" w:rsidRPr="003255BC">
        <w:rPr>
          <w:rFonts w:ascii="Bookman Old Style" w:hAnsi="Bookman Old Style"/>
          <w:lang w:val="fi-FI"/>
        </w:rPr>
        <w:t>pengangguran,</w:t>
      </w:r>
      <w:r w:rsidR="00A954D0" w:rsidRPr="003255BC">
        <w:rPr>
          <w:rFonts w:ascii="Bookman Old Style" w:hAnsi="Bookman Old Style"/>
          <w:lang w:val="fi-FI"/>
        </w:rPr>
        <w:t xml:space="preserve"> </w:t>
      </w:r>
      <w:r w:rsidR="003E2CA9" w:rsidRPr="003255BC">
        <w:rPr>
          <w:rFonts w:ascii="Bookman Old Style" w:hAnsi="Bookman Old Style"/>
          <w:lang w:val="fi-FI"/>
        </w:rPr>
        <w:t>tingkat</w:t>
      </w:r>
      <w:r w:rsidR="00A954D0" w:rsidRPr="003255BC">
        <w:rPr>
          <w:rFonts w:ascii="Bookman Old Style" w:hAnsi="Bookman Old Style"/>
          <w:lang w:val="fi-FI"/>
        </w:rPr>
        <w:t xml:space="preserve"> </w:t>
      </w:r>
      <w:r w:rsidR="003E2CA9" w:rsidRPr="003255BC">
        <w:rPr>
          <w:rFonts w:ascii="Bookman Old Style" w:hAnsi="Bookman Old Style"/>
          <w:lang w:val="fi-FI"/>
        </w:rPr>
        <w:t>kemiskinan</w:t>
      </w:r>
      <w:r w:rsidR="00A954D0" w:rsidRPr="003255BC">
        <w:rPr>
          <w:rFonts w:ascii="Bookman Old Style" w:hAnsi="Bookman Old Style"/>
          <w:lang w:val="fi-FI"/>
        </w:rPr>
        <w:t xml:space="preserve"> </w:t>
      </w:r>
      <w:r w:rsidR="003E2CA9" w:rsidRPr="003255BC">
        <w:rPr>
          <w:rFonts w:ascii="Bookman Old Style" w:hAnsi="Bookman Old Style"/>
          <w:lang w:val="fi-FI"/>
        </w:rPr>
        <w:t>dan</w:t>
      </w:r>
      <w:r w:rsidR="00A954D0" w:rsidRPr="003255BC">
        <w:rPr>
          <w:rFonts w:ascii="Bookman Old Style" w:hAnsi="Bookman Old Style"/>
          <w:lang w:val="fi-FI"/>
        </w:rPr>
        <w:t xml:space="preserve"> </w:t>
      </w:r>
      <w:r w:rsidR="003E2CA9" w:rsidRPr="003255BC">
        <w:rPr>
          <w:rFonts w:ascii="Bookman Old Style" w:hAnsi="Bookman Old Style"/>
          <w:lang w:val="fi-FI"/>
        </w:rPr>
        <w:t>daya</w:t>
      </w:r>
      <w:r w:rsidR="00A954D0" w:rsidRPr="003255BC">
        <w:rPr>
          <w:rFonts w:ascii="Bookman Old Style" w:hAnsi="Bookman Old Style"/>
          <w:lang w:val="fi-FI"/>
        </w:rPr>
        <w:t xml:space="preserve"> </w:t>
      </w:r>
      <w:r w:rsidR="003E2CA9" w:rsidRPr="003255BC">
        <w:rPr>
          <w:rFonts w:ascii="Bookman Old Style" w:hAnsi="Bookman Old Style"/>
          <w:lang w:val="fi-FI"/>
        </w:rPr>
        <w:t>saing</w:t>
      </w:r>
      <w:r w:rsidR="00A954D0" w:rsidRPr="003255BC">
        <w:rPr>
          <w:rFonts w:ascii="Bookman Old Style" w:hAnsi="Bookman Old Style"/>
          <w:lang w:val="fi-FI"/>
        </w:rPr>
        <w:t xml:space="preserve"> </w:t>
      </w:r>
      <w:r w:rsidR="003E2CA9" w:rsidRPr="003255BC">
        <w:rPr>
          <w:rFonts w:ascii="Bookman Old Style" w:hAnsi="Bookman Old Style"/>
          <w:lang w:val="fi-FI"/>
        </w:rPr>
        <w:t>daerah</w:t>
      </w:r>
      <w:r w:rsidR="00A954D0" w:rsidRPr="003255BC">
        <w:rPr>
          <w:rFonts w:ascii="Bookman Old Style" w:hAnsi="Bookman Old Style"/>
          <w:lang w:val="fi-FI"/>
        </w:rPr>
        <w:t xml:space="preserve"> </w:t>
      </w:r>
      <w:r w:rsidR="003E2CA9" w:rsidRPr="003255BC">
        <w:rPr>
          <w:rFonts w:ascii="Bookman Old Style" w:hAnsi="Bookman Old Style"/>
          <w:lang w:val="fi-FI"/>
        </w:rPr>
        <w:t>yang</w:t>
      </w:r>
      <w:r w:rsidR="00A954D0" w:rsidRPr="003255BC">
        <w:rPr>
          <w:rFonts w:ascii="Bookman Old Style" w:hAnsi="Bookman Old Style"/>
          <w:lang w:val="fi-FI"/>
        </w:rPr>
        <w:t xml:space="preserve"> </w:t>
      </w:r>
      <w:r w:rsidR="003E2CA9" w:rsidRPr="003255BC">
        <w:rPr>
          <w:rFonts w:ascii="Bookman Old Style" w:hAnsi="Bookman Old Style"/>
          <w:lang w:val="fi-FI"/>
        </w:rPr>
        <w:t>selanjutnya</w:t>
      </w:r>
      <w:r w:rsidR="00A954D0" w:rsidRPr="003255BC">
        <w:rPr>
          <w:rFonts w:ascii="Bookman Old Style" w:hAnsi="Bookman Old Style"/>
          <w:lang w:val="fi-FI"/>
        </w:rPr>
        <w:t xml:space="preserve"> </w:t>
      </w:r>
      <w:r w:rsidR="003E2CA9" w:rsidRPr="003255BC">
        <w:rPr>
          <w:rFonts w:ascii="Bookman Old Style" w:hAnsi="Bookman Old Style"/>
          <w:lang w:val="fi-FI"/>
        </w:rPr>
        <w:t>ditetapkan</w:t>
      </w:r>
      <w:r w:rsidR="00A954D0" w:rsidRPr="003255BC">
        <w:rPr>
          <w:rFonts w:ascii="Bookman Old Style" w:hAnsi="Bookman Old Style"/>
          <w:lang w:val="fi-FI"/>
        </w:rPr>
        <w:t xml:space="preserve"> </w:t>
      </w:r>
      <w:r w:rsidR="003E2CA9" w:rsidRPr="003255BC">
        <w:rPr>
          <w:rFonts w:ascii="Bookman Old Style" w:hAnsi="Bookman Old Style"/>
          <w:lang w:val="fi-FI"/>
        </w:rPr>
        <w:t>melalui</w:t>
      </w:r>
      <w:r w:rsidR="00A954D0" w:rsidRPr="003255BC">
        <w:rPr>
          <w:rFonts w:ascii="Bookman Old Style" w:hAnsi="Bookman Old Style"/>
          <w:lang w:val="fi-FI"/>
        </w:rPr>
        <w:t xml:space="preserve"> </w:t>
      </w:r>
      <w:r w:rsidR="003E2CA9" w:rsidRPr="003255BC">
        <w:rPr>
          <w:rFonts w:ascii="Bookman Old Style" w:hAnsi="Bookman Old Style"/>
          <w:lang w:val="fi-FI"/>
        </w:rPr>
        <w:t>Keputusan</w:t>
      </w:r>
      <w:r w:rsidR="00A954D0" w:rsidRPr="003255BC">
        <w:rPr>
          <w:rFonts w:ascii="Bookman Old Style" w:hAnsi="Bookman Old Style"/>
          <w:lang w:val="fi-FI"/>
        </w:rPr>
        <w:t xml:space="preserve"> </w:t>
      </w:r>
      <w:r w:rsidR="003E2CA9" w:rsidRPr="003255BC">
        <w:rPr>
          <w:rFonts w:ascii="Bookman Old Style" w:hAnsi="Bookman Old Style"/>
          <w:lang w:val="fi-FI"/>
        </w:rPr>
        <w:t>Kepala</w:t>
      </w:r>
      <w:r w:rsidR="00A954D0" w:rsidRPr="003255BC">
        <w:rPr>
          <w:rFonts w:ascii="Bookman Old Style" w:hAnsi="Bookman Old Style"/>
          <w:lang w:val="fi-FI"/>
        </w:rPr>
        <w:t xml:space="preserve"> </w:t>
      </w:r>
      <w:r w:rsidR="003E2CA9" w:rsidRPr="003255BC">
        <w:rPr>
          <w:rFonts w:ascii="Bookman Old Style" w:hAnsi="Bookman Old Style"/>
          <w:lang w:val="fi-FI"/>
        </w:rPr>
        <w:t>Daerah</w:t>
      </w:r>
      <w:r w:rsidR="00A954D0" w:rsidRPr="003255BC">
        <w:rPr>
          <w:rFonts w:ascii="Bookman Old Style" w:hAnsi="Bookman Old Style"/>
          <w:lang w:val="fi-FI"/>
        </w:rPr>
        <w:t xml:space="preserve"> </w:t>
      </w:r>
      <w:r w:rsidR="003E2CA9" w:rsidRPr="003255BC">
        <w:rPr>
          <w:rFonts w:ascii="Bookman Old Style" w:hAnsi="Bookman Old Style"/>
          <w:lang w:val="fi-FI"/>
        </w:rPr>
        <w:t>sebagaimana</w:t>
      </w:r>
      <w:r w:rsidR="00A954D0" w:rsidRPr="003255BC">
        <w:rPr>
          <w:rFonts w:ascii="Bookman Old Style" w:hAnsi="Bookman Old Style"/>
          <w:lang w:val="fi-FI"/>
        </w:rPr>
        <w:t xml:space="preserve"> </w:t>
      </w:r>
      <w:r w:rsidR="003E2CA9" w:rsidRPr="003255BC">
        <w:rPr>
          <w:rFonts w:ascii="Bookman Old Style" w:hAnsi="Bookman Old Style"/>
          <w:lang w:val="fi-FI"/>
        </w:rPr>
        <w:t>maksud</w:t>
      </w:r>
      <w:r w:rsidR="00A954D0" w:rsidRPr="003255BC">
        <w:rPr>
          <w:rFonts w:ascii="Bookman Old Style" w:hAnsi="Bookman Old Style"/>
          <w:lang w:val="fi-FI"/>
        </w:rPr>
        <w:t xml:space="preserve"> </w:t>
      </w:r>
      <w:r w:rsidR="003E2CA9" w:rsidRPr="003255BC">
        <w:rPr>
          <w:rFonts w:ascii="Bookman Old Style" w:hAnsi="Bookman Old Style"/>
          <w:lang w:val="fi-FI"/>
        </w:rPr>
        <w:t>butir</w:t>
      </w:r>
      <w:r w:rsidR="00A954D0" w:rsidRPr="003255BC">
        <w:rPr>
          <w:rFonts w:ascii="Bookman Old Style" w:hAnsi="Bookman Old Style"/>
          <w:lang w:val="fi-FI"/>
        </w:rPr>
        <w:t xml:space="preserve"> </w:t>
      </w:r>
      <w:r w:rsidR="003E2CA9" w:rsidRPr="003255BC">
        <w:rPr>
          <w:rFonts w:ascii="Bookman Old Style" w:hAnsi="Bookman Old Style"/>
          <w:lang w:val="fi-FI"/>
        </w:rPr>
        <w:t>3.3.1.1.1.c</w:t>
      </w:r>
      <w:r w:rsidR="00A954D0" w:rsidRPr="003255BC">
        <w:rPr>
          <w:rFonts w:ascii="Bookman Old Style" w:hAnsi="Bookman Old Style"/>
          <w:lang w:val="fi-FI"/>
        </w:rPr>
        <w:t xml:space="preserve"> </w:t>
      </w:r>
      <w:r w:rsidR="003E2CA9" w:rsidRPr="003255BC">
        <w:rPr>
          <w:rFonts w:ascii="Bookman Old Style" w:hAnsi="Bookman Old Style"/>
          <w:lang w:val="fi-FI"/>
        </w:rPr>
        <w:t>Lampiran</w:t>
      </w:r>
      <w:r w:rsidR="00A954D0" w:rsidRPr="003255BC">
        <w:rPr>
          <w:rFonts w:ascii="Bookman Old Style" w:hAnsi="Bookman Old Style"/>
          <w:lang w:val="fi-FI"/>
        </w:rPr>
        <w:t xml:space="preserve"> </w:t>
      </w:r>
      <w:r w:rsidR="003E2CA9" w:rsidRPr="003255BC">
        <w:rPr>
          <w:rFonts w:ascii="Bookman Old Style" w:hAnsi="Bookman Old Style"/>
          <w:lang w:val="fi-FI"/>
        </w:rPr>
        <w:t>Peraturan</w:t>
      </w:r>
      <w:r w:rsidR="00A954D0" w:rsidRPr="003255BC">
        <w:rPr>
          <w:rFonts w:ascii="Bookman Old Style" w:hAnsi="Bookman Old Style"/>
          <w:lang w:val="fi-FI"/>
        </w:rPr>
        <w:t xml:space="preserve"> </w:t>
      </w:r>
      <w:r w:rsidR="003E2CA9" w:rsidRPr="003255BC">
        <w:rPr>
          <w:rFonts w:ascii="Bookman Old Style" w:hAnsi="Bookman Old Style"/>
          <w:lang w:val="fi-FI"/>
        </w:rPr>
        <w:t>Menteri</w:t>
      </w:r>
      <w:r w:rsidR="00A954D0" w:rsidRPr="003255BC">
        <w:rPr>
          <w:rFonts w:ascii="Bookman Old Style" w:hAnsi="Bookman Old Style"/>
          <w:lang w:val="fi-FI"/>
        </w:rPr>
        <w:t xml:space="preserve"> </w:t>
      </w:r>
      <w:r w:rsidR="003E2CA9" w:rsidRPr="003255BC">
        <w:rPr>
          <w:rFonts w:ascii="Bookman Old Style" w:hAnsi="Bookman Old Style"/>
          <w:lang w:val="fi-FI"/>
        </w:rPr>
        <w:t>Dalam</w:t>
      </w:r>
      <w:r w:rsidR="00A954D0" w:rsidRPr="003255BC">
        <w:rPr>
          <w:rFonts w:ascii="Bookman Old Style" w:hAnsi="Bookman Old Style"/>
          <w:lang w:val="fi-FI"/>
        </w:rPr>
        <w:t xml:space="preserve"> </w:t>
      </w:r>
      <w:r w:rsidR="003E2CA9" w:rsidRPr="003255BC">
        <w:rPr>
          <w:rFonts w:ascii="Bookman Old Style" w:hAnsi="Bookman Old Style"/>
          <w:lang w:val="fi-FI"/>
        </w:rPr>
        <w:t>Negeri</w:t>
      </w:r>
      <w:r w:rsidR="00A954D0" w:rsidRPr="003255BC">
        <w:rPr>
          <w:rFonts w:ascii="Bookman Old Style" w:hAnsi="Bookman Old Style"/>
          <w:lang w:val="fi-FI"/>
        </w:rPr>
        <w:t xml:space="preserve"> </w:t>
      </w:r>
      <w:r w:rsidR="003E2CA9" w:rsidRPr="003255BC">
        <w:rPr>
          <w:rFonts w:ascii="Bookman Old Style" w:hAnsi="Bookman Old Style"/>
          <w:lang w:val="fi-FI"/>
        </w:rPr>
        <w:t>Nomor</w:t>
      </w:r>
      <w:r w:rsidR="00A954D0" w:rsidRPr="003255BC">
        <w:rPr>
          <w:rFonts w:ascii="Bookman Old Style" w:hAnsi="Bookman Old Style"/>
          <w:lang w:val="fi-FI"/>
        </w:rPr>
        <w:t xml:space="preserve"> </w:t>
      </w:r>
      <w:r w:rsidR="003E2CA9" w:rsidRPr="003255BC">
        <w:rPr>
          <w:rFonts w:ascii="Bookman Old Style" w:hAnsi="Bookman Old Style"/>
          <w:lang w:val="fi-FI"/>
        </w:rPr>
        <w:t>15</w:t>
      </w:r>
      <w:r w:rsidR="00A954D0" w:rsidRPr="003255BC">
        <w:rPr>
          <w:rFonts w:ascii="Bookman Old Style" w:hAnsi="Bookman Old Style"/>
          <w:lang w:val="fi-FI"/>
        </w:rPr>
        <w:t xml:space="preserve"> </w:t>
      </w:r>
      <w:r w:rsidR="003E2CA9" w:rsidRPr="003255BC">
        <w:rPr>
          <w:rFonts w:ascii="Bookman Old Style" w:hAnsi="Bookman Old Style"/>
          <w:lang w:val="fi-FI"/>
        </w:rPr>
        <w:t>Tahun</w:t>
      </w:r>
      <w:r w:rsidR="00A954D0" w:rsidRPr="003255BC">
        <w:rPr>
          <w:rFonts w:ascii="Bookman Old Style" w:hAnsi="Bookman Old Style"/>
          <w:lang w:val="fi-FI"/>
        </w:rPr>
        <w:t xml:space="preserve"> </w:t>
      </w:r>
      <w:r w:rsidR="003E2CA9" w:rsidRPr="003255BC">
        <w:rPr>
          <w:rFonts w:ascii="Bookman Old Style" w:hAnsi="Bookman Old Style"/>
          <w:lang w:val="fi-FI"/>
        </w:rPr>
        <w:t>2024.</w:t>
      </w:r>
    </w:p>
    <w:p w14:paraId="47355AF6" w14:textId="5CA65D4A" w:rsidR="003C3E01" w:rsidRPr="000E42D9" w:rsidRDefault="003C3E01" w:rsidP="00B16310">
      <w:pPr>
        <w:spacing w:before="60" w:line="276" w:lineRule="auto"/>
        <w:ind w:left="2268"/>
        <w:jc w:val="both"/>
        <w:rPr>
          <w:rFonts w:ascii="Bookman Old Style" w:hAnsi="Bookman Old Style"/>
          <w:lang w:val="fi-FI"/>
        </w:rPr>
      </w:pPr>
      <w:r w:rsidRPr="000E42D9">
        <w:rPr>
          <w:rFonts w:ascii="Bookman Old Style" w:hAnsi="Bookman Old Style"/>
          <w:lang w:val="fi-FI"/>
        </w:rPr>
        <w:t>Penganggaran</w:t>
      </w:r>
      <w:r w:rsidR="00A954D0">
        <w:rPr>
          <w:rFonts w:ascii="Bookman Old Style" w:hAnsi="Bookman Old Style"/>
          <w:lang w:val="fi-FI"/>
        </w:rPr>
        <w:t xml:space="preserve"> </w:t>
      </w:r>
      <w:r w:rsidRPr="000E42D9">
        <w:rPr>
          <w:rFonts w:ascii="Bookman Old Style" w:hAnsi="Bookman Old Style"/>
          <w:lang w:val="fi-FI"/>
        </w:rPr>
        <w:t>jenis</w:t>
      </w:r>
      <w:r w:rsidR="00A954D0">
        <w:rPr>
          <w:rFonts w:ascii="Bookman Old Style" w:hAnsi="Bookman Old Style"/>
          <w:lang w:val="fi-FI"/>
        </w:rPr>
        <w:t xml:space="preserve"> </w:t>
      </w:r>
      <w:r w:rsidRPr="000E42D9">
        <w:rPr>
          <w:rFonts w:ascii="Bookman Old Style" w:hAnsi="Bookman Old Style"/>
          <w:lang w:val="fi-FI"/>
        </w:rPr>
        <w:t>pajak</w:t>
      </w:r>
      <w:r w:rsidR="00A954D0">
        <w:rPr>
          <w:rFonts w:ascii="Bookman Old Style" w:hAnsi="Bookman Old Style"/>
          <w:lang w:val="fi-FI"/>
        </w:rPr>
        <w:t xml:space="preserve"> </w:t>
      </w:r>
      <w:r w:rsidRPr="000E42D9">
        <w:rPr>
          <w:rFonts w:ascii="Bookman Old Style" w:hAnsi="Bookman Old Style"/>
          <w:lang w:val="fi-FI"/>
        </w:rPr>
        <w:t>daerah</w:t>
      </w:r>
      <w:r w:rsidR="00A954D0">
        <w:rPr>
          <w:rFonts w:ascii="Bookman Old Style" w:hAnsi="Bookman Old Style"/>
          <w:lang w:val="fi-FI"/>
        </w:rPr>
        <w:t xml:space="preserve"> </w:t>
      </w:r>
      <w:r w:rsidRPr="000E42D9">
        <w:rPr>
          <w:rFonts w:ascii="Bookman Old Style" w:hAnsi="Bookman Old Style"/>
          <w:lang w:val="fi-FI"/>
        </w:rPr>
        <w:t>dan</w:t>
      </w:r>
      <w:r w:rsidR="00A954D0">
        <w:rPr>
          <w:rFonts w:ascii="Bookman Old Style" w:hAnsi="Bookman Old Style"/>
          <w:lang w:val="fi-FI"/>
        </w:rPr>
        <w:t xml:space="preserve"> </w:t>
      </w:r>
      <w:r w:rsidRPr="000E42D9">
        <w:rPr>
          <w:rFonts w:ascii="Bookman Old Style" w:hAnsi="Bookman Old Style"/>
          <w:lang w:val="fi-FI"/>
        </w:rPr>
        <w:t>retribusi</w:t>
      </w:r>
      <w:r w:rsidR="00A954D0">
        <w:rPr>
          <w:rFonts w:ascii="Bookman Old Style" w:hAnsi="Bookman Old Style"/>
          <w:lang w:val="fi-FI"/>
        </w:rPr>
        <w:t xml:space="preserve"> </w:t>
      </w:r>
      <w:r w:rsidRPr="000E42D9">
        <w:rPr>
          <w:rFonts w:ascii="Bookman Old Style" w:hAnsi="Bookman Old Style"/>
          <w:lang w:val="fi-FI"/>
        </w:rPr>
        <w:t>daerah</w:t>
      </w:r>
      <w:r w:rsidR="00A954D0">
        <w:rPr>
          <w:rFonts w:ascii="Bookman Old Style" w:hAnsi="Bookman Old Style"/>
          <w:lang w:val="fi-FI"/>
        </w:rPr>
        <w:t xml:space="preserve"> </w:t>
      </w:r>
      <w:r w:rsidRPr="000E42D9">
        <w:rPr>
          <w:rFonts w:ascii="Bookman Old Style" w:hAnsi="Bookman Old Style"/>
          <w:lang w:val="fi-FI"/>
        </w:rPr>
        <w:t>harus</w:t>
      </w:r>
      <w:r w:rsidR="00A954D0">
        <w:rPr>
          <w:rFonts w:ascii="Bookman Old Style" w:hAnsi="Bookman Old Style"/>
          <w:lang w:val="fi-FI"/>
        </w:rPr>
        <w:t xml:space="preserve"> </w:t>
      </w:r>
      <w:r w:rsidRPr="000E42D9">
        <w:rPr>
          <w:rFonts w:ascii="Bookman Old Style" w:hAnsi="Bookman Old Style"/>
          <w:lang w:val="fi-FI"/>
        </w:rPr>
        <w:t>ditetapkan</w:t>
      </w:r>
      <w:r w:rsidR="00A954D0">
        <w:rPr>
          <w:rFonts w:ascii="Bookman Old Style" w:hAnsi="Bookman Old Style"/>
          <w:lang w:val="fi-FI"/>
        </w:rPr>
        <w:t xml:space="preserve"> </w:t>
      </w:r>
      <w:r w:rsidRPr="000E42D9">
        <w:rPr>
          <w:rFonts w:ascii="Bookman Old Style" w:hAnsi="Bookman Old Style"/>
          <w:lang w:val="fi-FI"/>
        </w:rPr>
        <w:t>dengan</w:t>
      </w:r>
      <w:r w:rsidR="00A954D0">
        <w:rPr>
          <w:rFonts w:ascii="Bookman Old Style" w:hAnsi="Bookman Old Style"/>
          <w:lang w:val="fi-FI"/>
        </w:rPr>
        <w:t xml:space="preserve"> </w:t>
      </w:r>
      <w:r w:rsidRPr="000E42D9">
        <w:rPr>
          <w:rFonts w:ascii="Bookman Old Style" w:hAnsi="Bookman Old Style"/>
          <w:lang w:val="fi-FI"/>
        </w:rPr>
        <w:t>peraturan</w:t>
      </w:r>
      <w:r w:rsidR="00A954D0">
        <w:rPr>
          <w:rFonts w:ascii="Bookman Old Style" w:hAnsi="Bookman Old Style"/>
          <w:lang w:val="fi-FI"/>
        </w:rPr>
        <w:t xml:space="preserve"> </w:t>
      </w:r>
      <w:r w:rsidRPr="000E42D9">
        <w:rPr>
          <w:rFonts w:ascii="Bookman Old Style" w:hAnsi="Bookman Old Style"/>
          <w:lang w:val="fi-FI"/>
        </w:rPr>
        <w:t>daerah</w:t>
      </w:r>
      <w:r w:rsidR="00A954D0">
        <w:rPr>
          <w:rFonts w:ascii="Bookman Old Style" w:hAnsi="Bookman Old Style"/>
          <w:lang w:val="fi-FI"/>
        </w:rPr>
        <w:t xml:space="preserve"> </w:t>
      </w:r>
      <w:r w:rsidRPr="000E42D9">
        <w:rPr>
          <w:rFonts w:ascii="Bookman Old Style" w:hAnsi="Bookman Old Style"/>
          <w:lang w:val="fi-FI"/>
        </w:rPr>
        <w:t>yang</w:t>
      </w:r>
      <w:r w:rsidR="00A954D0">
        <w:rPr>
          <w:rFonts w:ascii="Bookman Old Style" w:hAnsi="Bookman Old Style"/>
          <w:lang w:val="fi-FI"/>
        </w:rPr>
        <w:t xml:space="preserve"> </w:t>
      </w:r>
      <w:r w:rsidRPr="000E42D9">
        <w:rPr>
          <w:rFonts w:ascii="Bookman Old Style" w:hAnsi="Bookman Old Style"/>
          <w:lang w:val="fi-FI"/>
        </w:rPr>
        <w:t>menjadi</w:t>
      </w:r>
      <w:r w:rsidR="00A954D0">
        <w:rPr>
          <w:rFonts w:ascii="Bookman Old Style" w:hAnsi="Bookman Old Style"/>
          <w:lang w:val="fi-FI"/>
        </w:rPr>
        <w:t xml:space="preserve"> </w:t>
      </w:r>
      <w:r w:rsidRPr="000E42D9">
        <w:rPr>
          <w:rFonts w:ascii="Bookman Old Style" w:hAnsi="Bookman Old Style"/>
          <w:lang w:val="fi-FI"/>
        </w:rPr>
        <w:t>dasar</w:t>
      </w:r>
      <w:r w:rsidR="00A954D0">
        <w:rPr>
          <w:rFonts w:ascii="Bookman Old Style" w:hAnsi="Bookman Old Style"/>
          <w:lang w:val="fi-FI"/>
        </w:rPr>
        <w:t xml:space="preserve"> </w:t>
      </w:r>
      <w:r w:rsidRPr="000E42D9">
        <w:rPr>
          <w:rFonts w:ascii="Bookman Old Style" w:hAnsi="Bookman Old Style"/>
          <w:lang w:val="fi-FI"/>
        </w:rPr>
        <w:t>pemungutan</w:t>
      </w:r>
      <w:r w:rsidR="00A954D0">
        <w:rPr>
          <w:rFonts w:ascii="Bookman Old Style" w:hAnsi="Bookman Old Style"/>
          <w:lang w:val="fi-FI"/>
        </w:rPr>
        <w:t xml:space="preserve"> </w:t>
      </w:r>
      <w:r w:rsidRPr="000E42D9">
        <w:rPr>
          <w:rFonts w:ascii="Bookman Old Style" w:hAnsi="Bookman Old Style"/>
          <w:lang w:val="fi-FI"/>
        </w:rPr>
        <w:t>pajak</w:t>
      </w:r>
      <w:r w:rsidR="00A954D0">
        <w:rPr>
          <w:rFonts w:ascii="Bookman Old Style" w:hAnsi="Bookman Old Style"/>
          <w:lang w:val="fi-FI"/>
        </w:rPr>
        <w:t xml:space="preserve"> </w:t>
      </w:r>
      <w:r w:rsidRPr="000E42D9">
        <w:rPr>
          <w:rFonts w:ascii="Bookman Old Style" w:hAnsi="Bookman Old Style"/>
          <w:lang w:val="fi-FI"/>
        </w:rPr>
        <w:t>daerah</w:t>
      </w:r>
      <w:r w:rsidR="00A954D0">
        <w:rPr>
          <w:rFonts w:ascii="Bookman Old Style" w:hAnsi="Bookman Old Style"/>
          <w:lang w:val="fi-FI"/>
        </w:rPr>
        <w:t xml:space="preserve"> </w:t>
      </w:r>
      <w:r w:rsidRPr="000E42D9">
        <w:rPr>
          <w:rFonts w:ascii="Bookman Old Style" w:hAnsi="Bookman Old Style"/>
          <w:lang w:val="fi-FI"/>
        </w:rPr>
        <w:t>dan</w:t>
      </w:r>
      <w:r w:rsidR="00A954D0">
        <w:rPr>
          <w:rFonts w:ascii="Bookman Old Style" w:hAnsi="Bookman Old Style"/>
          <w:lang w:val="fi-FI"/>
        </w:rPr>
        <w:t xml:space="preserve"> </w:t>
      </w:r>
      <w:r w:rsidRPr="000E42D9">
        <w:rPr>
          <w:rFonts w:ascii="Bookman Old Style" w:hAnsi="Bookman Old Style"/>
          <w:lang w:val="fi-FI"/>
        </w:rPr>
        <w:t>retribusi</w:t>
      </w:r>
      <w:r w:rsidR="00A954D0">
        <w:rPr>
          <w:rFonts w:ascii="Bookman Old Style" w:hAnsi="Bookman Old Style"/>
          <w:lang w:val="fi-FI"/>
        </w:rPr>
        <w:t xml:space="preserve"> </w:t>
      </w:r>
      <w:r w:rsidRPr="000E42D9">
        <w:rPr>
          <w:rFonts w:ascii="Bookman Old Style" w:hAnsi="Bookman Old Style"/>
          <w:lang w:val="fi-FI"/>
        </w:rPr>
        <w:t>daerah</w:t>
      </w:r>
      <w:r w:rsidR="00A954D0">
        <w:rPr>
          <w:rFonts w:ascii="Bookman Old Style" w:hAnsi="Bookman Old Style"/>
          <w:lang w:val="fi-FI"/>
        </w:rPr>
        <w:t xml:space="preserve"> </w:t>
      </w:r>
      <w:r w:rsidRPr="000E42D9">
        <w:rPr>
          <w:rFonts w:ascii="Bookman Old Style" w:hAnsi="Bookman Old Style"/>
          <w:lang w:val="fi-FI"/>
        </w:rPr>
        <w:t>dimaksud</w:t>
      </w:r>
      <w:r w:rsidR="00A954D0">
        <w:rPr>
          <w:rFonts w:ascii="Bookman Old Style" w:hAnsi="Bookman Old Style"/>
          <w:lang w:val="fi-FI"/>
        </w:rPr>
        <w:t xml:space="preserve"> </w:t>
      </w:r>
      <w:r w:rsidRPr="000E42D9">
        <w:rPr>
          <w:rFonts w:ascii="Bookman Old Style" w:hAnsi="Bookman Old Style"/>
          <w:lang w:val="fi-FI"/>
        </w:rPr>
        <w:t>dan</w:t>
      </w:r>
      <w:r w:rsidR="00A954D0">
        <w:rPr>
          <w:rFonts w:ascii="Bookman Old Style" w:hAnsi="Bookman Old Style"/>
          <w:lang w:val="fi-FI"/>
        </w:rPr>
        <w:t xml:space="preserve"> </w:t>
      </w:r>
      <w:r w:rsidRPr="000E42D9">
        <w:rPr>
          <w:rFonts w:ascii="Bookman Old Style" w:hAnsi="Bookman Old Style"/>
          <w:lang w:val="fi-FI"/>
        </w:rPr>
        <w:t>disusun</w:t>
      </w:r>
      <w:r w:rsidR="00A954D0">
        <w:rPr>
          <w:rFonts w:ascii="Bookman Old Style" w:hAnsi="Bookman Old Style"/>
          <w:lang w:val="fi-FI"/>
        </w:rPr>
        <w:t xml:space="preserve"> </w:t>
      </w:r>
      <w:r w:rsidRPr="000E42D9">
        <w:rPr>
          <w:rFonts w:ascii="Bookman Old Style" w:hAnsi="Bookman Old Style"/>
          <w:lang w:val="fi-FI"/>
        </w:rPr>
        <w:t>berdasarkan:</w:t>
      </w:r>
    </w:p>
    <w:p w14:paraId="64EF6801" w14:textId="0CAA30C3" w:rsidR="003C3E01" w:rsidRPr="000E42D9" w:rsidRDefault="003C3E01" w:rsidP="00B16310">
      <w:pPr>
        <w:pStyle w:val="ListParagraph"/>
        <w:numPr>
          <w:ilvl w:val="0"/>
          <w:numId w:val="55"/>
        </w:numPr>
        <w:snapToGrid w:val="0"/>
        <w:spacing w:before="60" w:after="0" w:line="276" w:lineRule="auto"/>
        <w:ind w:left="2694" w:hanging="425"/>
        <w:contextualSpacing w:val="0"/>
        <w:jc w:val="both"/>
        <w:rPr>
          <w:rFonts w:ascii="Bookman Old Style" w:hAnsi="Bookman Old Style"/>
          <w:sz w:val="24"/>
          <w:szCs w:val="24"/>
        </w:rPr>
      </w:pPr>
      <w:r w:rsidRPr="003255BC">
        <w:rPr>
          <w:rFonts w:ascii="Bookman Old Style" w:hAnsi="Bookman Old Style"/>
          <w:sz w:val="24"/>
          <w:szCs w:val="24"/>
          <w:lang w:val="sv-FI"/>
        </w:rPr>
        <w:t>Undang-Undang</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Nomor</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1</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Tahun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2022</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tentang</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Hubungan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Keuangan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antara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Pemerintah</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Pusat</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dan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Pemerintahan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Daerah;</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dan</w:t>
      </w:r>
      <w:r w:rsidR="00A954D0" w:rsidRPr="003255BC">
        <w:rPr>
          <w:rFonts w:ascii="Bookman Old Style" w:hAnsi="Bookman Old Style"/>
          <w:sz w:val="24"/>
          <w:szCs w:val="24"/>
          <w:lang w:val="sv-FI"/>
        </w:rPr>
        <w:t xml:space="preserve"> </w:t>
      </w:r>
    </w:p>
    <w:p w14:paraId="4F75E9FF" w14:textId="11A1F578" w:rsidR="003C3E01" w:rsidRPr="000E42D9" w:rsidRDefault="003C3E01" w:rsidP="00B16310">
      <w:pPr>
        <w:pStyle w:val="ListParagraph"/>
        <w:numPr>
          <w:ilvl w:val="0"/>
          <w:numId w:val="55"/>
        </w:numPr>
        <w:snapToGrid w:val="0"/>
        <w:spacing w:before="60" w:after="0" w:line="276" w:lineRule="auto"/>
        <w:ind w:left="2694" w:hanging="425"/>
        <w:contextualSpacing w:val="0"/>
        <w:jc w:val="both"/>
        <w:rPr>
          <w:rFonts w:ascii="Bookman Old Style" w:hAnsi="Bookman Old Style"/>
          <w:sz w:val="24"/>
          <w:szCs w:val="24"/>
        </w:rPr>
      </w:pPr>
      <w:r w:rsidRPr="000E42D9">
        <w:rPr>
          <w:rFonts w:ascii="Bookman Old Style" w:hAnsi="Bookman Old Style"/>
          <w:sz w:val="24"/>
          <w:szCs w:val="24"/>
          <w:lang w:val="en-US"/>
        </w:rPr>
        <w:t>Peraturan</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Pemerintah</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Nomor</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35</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Tahun</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2023</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tentang</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Ketentuan</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Umum</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Pajak</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Daerah</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dan</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Retribusi</w:t>
      </w:r>
      <w:r w:rsidR="00A954D0">
        <w:rPr>
          <w:rFonts w:ascii="Bookman Old Style" w:hAnsi="Bookman Old Style"/>
          <w:sz w:val="24"/>
          <w:szCs w:val="24"/>
          <w:lang w:val="en-US"/>
        </w:rPr>
        <w:t xml:space="preserve"> </w:t>
      </w:r>
      <w:r w:rsidRPr="000E42D9">
        <w:rPr>
          <w:rFonts w:ascii="Bookman Old Style" w:hAnsi="Bookman Old Style"/>
          <w:sz w:val="24"/>
          <w:szCs w:val="24"/>
          <w:lang w:val="en-US"/>
        </w:rPr>
        <w:t>Daerah.</w:t>
      </w:r>
    </w:p>
    <w:p w14:paraId="799EAA3C" w14:textId="598F8A39" w:rsidR="003C3E01" w:rsidRPr="000E42D9" w:rsidRDefault="00B16310" w:rsidP="00B16310">
      <w:pPr>
        <w:spacing w:before="60" w:line="276" w:lineRule="auto"/>
        <w:ind w:left="2268"/>
        <w:jc w:val="both"/>
        <w:rPr>
          <w:rFonts w:ascii="Bookman Old Style" w:hAnsi="Bookman Old Style"/>
          <w:color w:val="FF0000"/>
        </w:rPr>
      </w:pPr>
      <w:r>
        <w:rPr>
          <w:rFonts w:ascii="Bookman Old Style" w:hAnsi="Bookman Old Style"/>
        </w:rPr>
        <w:t>S</w:t>
      </w:r>
      <w:r w:rsidR="003C3E01" w:rsidRPr="000E42D9">
        <w:rPr>
          <w:rFonts w:ascii="Bookman Old Style" w:hAnsi="Bookman Old Style"/>
        </w:rPr>
        <w:t>ebagaimana</w:t>
      </w:r>
      <w:r w:rsidR="00A954D0">
        <w:rPr>
          <w:rFonts w:ascii="Bookman Old Style" w:hAnsi="Bookman Old Style"/>
        </w:rPr>
        <w:t xml:space="preserve"> </w:t>
      </w:r>
      <w:r w:rsidR="003C3E01" w:rsidRPr="000E42D9">
        <w:rPr>
          <w:rFonts w:ascii="Bookman Old Style" w:hAnsi="Bookman Old Style"/>
        </w:rPr>
        <w:t>maksud</w:t>
      </w:r>
      <w:r w:rsidR="00A954D0">
        <w:rPr>
          <w:rFonts w:ascii="Bookman Old Style" w:hAnsi="Bookman Old Style"/>
        </w:rPr>
        <w:t xml:space="preserve"> </w:t>
      </w:r>
      <w:r w:rsidR="003C3E01" w:rsidRPr="000E42D9">
        <w:rPr>
          <w:rFonts w:ascii="Bookman Old Style" w:hAnsi="Bookman Old Style"/>
        </w:rPr>
        <w:t>butir</w:t>
      </w:r>
      <w:r w:rsidR="00A954D0">
        <w:rPr>
          <w:rFonts w:ascii="Bookman Old Style" w:hAnsi="Bookman Old Style"/>
        </w:rPr>
        <w:t xml:space="preserve"> </w:t>
      </w:r>
      <w:r w:rsidR="003C3E01" w:rsidRPr="000E42D9">
        <w:rPr>
          <w:rFonts w:ascii="Bookman Old Style" w:hAnsi="Bookman Old Style"/>
        </w:rPr>
        <w:t>3.3.1.1.b</w:t>
      </w:r>
      <w:r w:rsidR="00A954D0">
        <w:rPr>
          <w:rFonts w:ascii="Bookman Old Style" w:hAnsi="Bookman Old Style"/>
        </w:rPr>
        <w:t xml:space="preserve"> </w:t>
      </w:r>
      <w:r w:rsidR="003C3E01" w:rsidRPr="000E42D9">
        <w:rPr>
          <w:rFonts w:ascii="Bookman Old Style" w:hAnsi="Bookman Old Style"/>
        </w:rPr>
        <w:t>Lampiran</w:t>
      </w:r>
      <w:r w:rsidR="00A954D0">
        <w:rPr>
          <w:rFonts w:ascii="Bookman Old Style" w:hAnsi="Bookman Old Style"/>
        </w:rPr>
        <w:t xml:space="preserve"> </w:t>
      </w:r>
      <w:r w:rsidR="003C3E01" w:rsidRPr="000E42D9">
        <w:rPr>
          <w:rFonts w:ascii="Bookman Old Style" w:hAnsi="Bookman Old Style"/>
        </w:rPr>
        <w:t>Peraturan</w:t>
      </w:r>
      <w:r w:rsidR="00A954D0">
        <w:rPr>
          <w:rFonts w:ascii="Bookman Old Style" w:hAnsi="Bookman Old Style"/>
        </w:rPr>
        <w:t xml:space="preserve"> </w:t>
      </w:r>
      <w:r w:rsidR="003C3E01" w:rsidRPr="000E42D9">
        <w:rPr>
          <w:rFonts w:ascii="Bookman Old Style" w:hAnsi="Bookman Old Style"/>
        </w:rPr>
        <w:t>Menteri</w:t>
      </w:r>
      <w:r w:rsidR="00A954D0">
        <w:rPr>
          <w:rFonts w:ascii="Bookman Old Style" w:hAnsi="Bookman Old Style"/>
        </w:rPr>
        <w:t xml:space="preserve"> </w:t>
      </w:r>
      <w:r w:rsidR="003C3E01" w:rsidRPr="000E42D9">
        <w:rPr>
          <w:rFonts w:ascii="Bookman Old Style" w:hAnsi="Bookman Old Style"/>
        </w:rPr>
        <w:t>Dalam</w:t>
      </w:r>
      <w:r w:rsidR="00A954D0">
        <w:rPr>
          <w:rFonts w:ascii="Bookman Old Style" w:hAnsi="Bookman Old Style"/>
        </w:rPr>
        <w:t xml:space="preserve"> </w:t>
      </w:r>
      <w:r w:rsidR="003C3E01" w:rsidRPr="000E42D9">
        <w:rPr>
          <w:rFonts w:ascii="Bookman Old Style" w:hAnsi="Bookman Old Style"/>
        </w:rPr>
        <w:t>Negeri</w:t>
      </w:r>
      <w:r w:rsidR="00A954D0">
        <w:rPr>
          <w:rFonts w:ascii="Bookman Old Style" w:hAnsi="Bookman Old Style"/>
        </w:rPr>
        <w:t xml:space="preserve"> </w:t>
      </w:r>
      <w:r w:rsidR="003C3E01" w:rsidRPr="000E42D9">
        <w:rPr>
          <w:rFonts w:ascii="Bookman Old Style" w:hAnsi="Bookman Old Style"/>
        </w:rPr>
        <w:t>Nomor</w:t>
      </w:r>
      <w:r w:rsidR="00A954D0">
        <w:rPr>
          <w:rFonts w:ascii="Bookman Old Style" w:hAnsi="Bookman Old Style"/>
        </w:rPr>
        <w:t xml:space="preserve"> </w:t>
      </w:r>
      <w:r w:rsidR="003C3E01" w:rsidRPr="000E42D9">
        <w:rPr>
          <w:rFonts w:ascii="Bookman Old Style" w:hAnsi="Bookman Old Style"/>
        </w:rPr>
        <w:t>15</w:t>
      </w:r>
      <w:r w:rsidR="00A954D0">
        <w:rPr>
          <w:rFonts w:ascii="Bookman Old Style" w:hAnsi="Bookman Old Style"/>
        </w:rPr>
        <w:t xml:space="preserve"> </w:t>
      </w:r>
      <w:r w:rsidR="003C3E01" w:rsidRPr="000E42D9">
        <w:rPr>
          <w:rFonts w:ascii="Bookman Old Style" w:hAnsi="Bookman Old Style"/>
        </w:rPr>
        <w:t>Tahun</w:t>
      </w:r>
      <w:r w:rsidR="00A954D0">
        <w:rPr>
          <w:rFonts w:ascii="Bookman Old Style" w:hAnsi="Bookman Old Style"/>
        </w:rPr>
        <w:t xml:space="preserve"> </w:t>
      </w:r>
      <w:r w:rsidR="003C3E01" w:rsidRPr="000E42D9">
        <w:rPr>
          <w:rFonts w:ascii="Bookman Old Style" w:hAnsi="Bookman Old Style"/>
        </w:rPr>
        <w:t>2024</w:t>
      </w:r>
      <w:r w:rsidR="00A954D0">
        <w:rPr>
          <w:rFonts w:ascii="Bookman Old Style" w:hAnsi="Bookman Old Style"/>
        </w:rPr>
        <w:t xml:space="preserve"> </w:t>
      </w:r>
      <w:r w:rsidR="003C3E01" w:rsidRPr="000E42D9">
        <w:rPr>
          <w:rFonts w:ascii="Bookman Old Style" w:hAnsi="Bookman Old Style"/>
        </w:rPr>
        <w:t>dan</w:t>
      </w:r>
      <w:r w:rsidR="00A954D0">
        <w:rPr>
          <w:rFonts w:ascii="Bookman Old Style" w:hAnsi="Bookman Old Style"/>
        </w:rPr>
        <w:t xml:space="preserve"> </w:t>
      </w:r>
      <w:r w:rsidR="003C3E01" w:rsidRPr="000E42D9">
        <w:rPr>
          <w:rFonts w:ascii="Bookman Old Style" w:hAnsi="Bookman Old Style"/>
        </w:rPr>
        <w:t>dalam</w:t>
      </w:r>
      <w:r w:rsidR="00A954D0">
        <w:rPr>
          <w:rFonts w:ascii="Bookman Old Style" w:hAnsi="Bookman Old Style"/>
        </w:rPr>
        <w:t xml:space="preserve"> </w:t>
      </w:r>
      <w:r w:rsidR="003C3E01" w:rsidRPr="000E42D9">
        <w:rPr>
          <w:rFonts w:ascii="Bookman Old Style" w:hAnsi="Bookman Old Style"/>
        </w:rPr>
        <w:t>rangka</w:t>
      </w:r>
      <w:r w:rsidR="00A954D0">
        <w:rPr>
          <w:rFonts w:ascii="Bookman Old Style" w:hAnsi="Bookman Old Style"/>
        </w:rPr>
        <w:t xml:space="preserve"> </w:t>
      </w:r>
      <w:r w:rsidR="003C3E01" w:rsidRPr="000E42D9">
        <w:rPr>
          <w:rFonts w:ascii="Bookman Old Style" w:hAnsi="Bookman Old Style"/>
        </w:rPr>
        <w:t>mengoptimalkan</w:t>
      </w:r>
      <w:r w:rsidR="00A954D0">
        <w:rPr>
          <w:rFonts w:ascii="Bookman Old Style" w:hAnsi="Bookman Old Style"/>
        </w:rPr>
        <w:t xml:space="preserve"> </w:t>
      </w:r>
      <w:r w:rsidR="003C3E01" w:rsidRPr="000E42D9">
        <w:rPr>
          <w:rFonts w:ascii="Bookman Old Style" w:hAnsi="Bookman Old Style"/>
        </w:rPr>
        <w:t>pajak</w:t>
      </w:r>
      <w:r w:rsidR="00A954D0">
        <w:rPr>
          <w:rFonts w:ascii="Bookman Old Style" w:hAnsi="Bookman Old Style"/>
        </w:rPr>
        <w:t xml:space="preserve"> </w:t>
      </w:r>
      <w:r w:rsidR="003C3E01" w:rsidRPr="000E42D9">
        <w:rPr>
          <w:rFonts w:ascii="Bookman Old Style" w:hAnsi="Bookman Old Style"/>
        </w:rPr>
        <w:t>daerah</w:t>
      </w:r>
      <w:r w:rsidR="00A954D0">
        <w:rPr>
          <w:rFonts w:ascii="Bookman Old Style" w:hAnsi="Bookman Old Style"/>
        </w:rPr>
        <w:t xml:space="preserve"> </w:t>
      </w:r>
      <w:r w:rsidR="003C3E01" w:rsidRPr="000E42D9">
        <w:rPr>
          <w:rFonts w:ascii="Bookman Old Style" w:hAnsi="Bookman Old Style"/>
        </w:rPr>
        <w:t>dan</w:t>
      </w:r>
      <w:r w:rsidR="00A954D0">
        <w:rPr>
          <w:rFonts w:ascii="Bookman Old Style" w:hAnsi="Bookman Old Style"/>
        </w:rPr>
        <w:t xml:space="preserve"> </w:t>
      </w:r>
      <w:r w:rsidR="003C3E01" w:rsidRPr="000E42D9">
        <w:rPr>
          <w:rFonts w:ascii="Bookman Old Style" w:hAnsi="Bookman Old Style"/>
        </w:rPr>
        <w:t>retribusi</w:t>
      </w:r>
      <w:r w:rsidR="00A954D0">
        <w:rPr>
          <w:rFonts w:ascii="Bookman Old Style" w:hAnsi="Bookman Old Style"/>
        </w:rPr>
        <w:t xml:space="preserve"> </w:t>
      </w:r>
      <w:r w:rsidR="003C3E01" w:rsidRPr="000E42D9">
        <w:rPr>
          <w:rFonts w:ascii="Bookman Old Style" w:hAnsi="Bookman Old Style"/>
        </w:rPr>
        <w:t>daerah,</w:t>
      </w:r>
      <w:r w:rsidR="00A954D0">
        <w:rPr>
          <w:rFonts w:ascii="Bookman Old Style" w:hAnsi="Bookman Old Style"/>
        </w:rPr>
        <w:t xml:space="preserve"> </w:t>
      </w:r>
      <w:r w:rsidR="003C3E01" w:rsidRPr="000E42D9">
        <w:rPr>
          <w:rFonts w:ascii="Bookman Old Style" w:hAnsi="Bookman Old Style"/>
        </w:rPr>
        <w:t>pemerintah</w:t>
      </w:r>
      <w:r w:rsidR="00A954D0">
        <w:rPr>
          <w:rFonts w:ascii="Bookman Old Style" w:hAnsi="Bookman Old Style"/>
        </w:rPr>
        <w:t xml:space="preserve"> </w:t>
      </w:r>
      <w:r w:rsidR="003C3E01" w:rsidRPr="000E42D9">
        <w:rPr>
          <w:rFonts w:ascii="Bookman Old Style" w:hAnsi="Bookman Old Style"/>
        </w:rPr>
        <w:t>daerah</w:t>
      </w:r>
      <w:r w:rsidR="00A954D0">
        <w:rPr>
          <w:rFonts w:ascii="Bookman Old Style" w:hAnsi="Bookman Old Style"/>
        </w:rPr>
        <w:t xml:space="preserve"> </w:t>
      </w:r>
      <w:r w:rsidR="003C3E01" w:rsidRPr="000E42D9">
        <w:rPr>
          <w:rFonts w:ascii="Bookman Old Style" w:hAnsi="Bookman Old Style"/>
        </w:rPr>
        <w:t>harus</w:t>
      </w:r>
      <w:r w:rsidR="00A954D0">
        <w:rPr>
          <w:rFonts w:ascii="Bookman Old Style" w:hAnsi="Bookman Old Style"/>
        </w:rPr>
        <w:t xml:space="preserve"> </w:t>
      </w:r>
      <w:r w:rsidR="003C3E01" w:rsidRPr="000E42D9">
        <w:rPr>
          <w:rFonts w:ascii="Bookman Old Style" w:hAnsi="Bookman Old Style"/>
        </w:rPr>
        <w:t>melakukan</w:t>
      </w:r>
      <w:r w:rsidR="00A954D0">
        <w:rPr>
          <w:rFonts w:ascii="Bookman Old Style" w:hAnsi="Bookman Old Style"/>
        </w:rPr>
        <w:t xml:space="preserve"> </w:t>
      </w:r>
      <w:r w:rsidR="003C3E01" w:rsidRPr="000E42D9">
        <w:rPr>
          <w:rFonts w:ascii="Bookman Old Style" w:hAnsi="Bookman Old Style"/>
        </w:rPr>
        <w:t>ekstensifikasi</w:t>
      </w:r>
      <w:r w:rsidR="00A954D0">
        <w:rPr>
          <w:rFonts w:ascii="Bookman Old Style" w:hAnsi="Bookman Old Style"/>
        </w:rPr>
        <w:t xml:space="preserve"> </w:t>
      </w:r>
      <w:r w:rsidR="003C3E01" w:rsidRPr="000E42D9">
        <w:rPr>
          <w:rFonts w:ascii="Bookman Old Style" w:hAnsi="Bookman Old Style"/>
        </w:rPr>
        <w:t>dan</w:t>
      </w:r>
      <w:r w:rsidR="00A954D0">
        <w:rPr>
          <w:rFonts w:ascii="Bookman Old Style" w:hAnsi="Bookman Old Style"/>
        </w:rPr>
        <w:t xml:space="preserve"> </w:t>
      </w:r>
      <w:r w:rsidR="003C3E01" w:rsidRPr="000E42D9">
        <w:rPr>
          <w:rFonts w:ascii="Bookman Old Style" w:hAnsi="Bookman Old Style"/>
        </w:rPr>
        <w:t>intensifikasi</w:t>
      </w:r>
      <w:r w:rsidR="00A954D0">
        <w:rPr>
          <w:rFonts w:ascii="Bookman Old Style" w:hAnsi="Bookman Old Style"/>
        </w:rPr>
        <w:t xml:space="preserve"> </w:t>
      </w:r>
      <w:r w:rsidR="003C3E01" w:rsidRPr="000E42D9">
        <w:rPr>
          <w:rFonts w:ascii="Bookman Old Style" w:hAnsi="Bookman Old Style"/>
        </w:rPr>
        <w:t>atas</w:t>
      </w:r>
      <w:r w:rsidR="00A954D0">
        <w:rPr>
          <w:rFonts w:ascii="Bookman Old Style" w:hAnsi="Bookman Old Style"/>
        </w:rPr>
        <w:t xml:space="preserve"> </w:t>
      </w:r>
      <w:r w:rsidR="003C3E01" w:rsidRPr="000E42D9">
        <w:rPr>
          <w:rFonts w:ascii="Bookman Old Style" w:hAnsi="Bookman Old Style"/>
        </w:rPr>
        <w:t>kegiatan</w:t>
      </w:r>
      <w:r w:rsidR="00A954D0">
        <w:rPr>
          <w:rFonts w:ascii="Bookman Old Style" w:hAnsi="Bookman Old Style"/>
        </w:rPr>
        <w:t xml:space="preserve"> </w:t>
      </w:r>
      <w:r w:rsidR="003C3E01" w:rsidRPr="000E42D9">
        <w:rPr>
          <w:rFonts w:ascii="Bookman Old Style" w:hAnsi="Bookman Old Style"/>
        </w:rPr>
        <w:t>pemungutan</w:t>
      </w:r>
      <w:r w:rsidR="00A954D0">
        <w:rPr>
          <w:rFonts w:ascii="Bookman Old Style" w:hAnsi="Bookman Old Style"/>
        </w:rPr>
        <w:t xml:space="preserve"> </w:t>
      </w:r>
      <w:r w:rsidR="003C3E01" w:rsidRPr="000E42D9">
        <w:rPr>
          <w:rFonts w:ascii="Bookman Old Style" w:hAnsi="Bookman Old Style"/>
        </w:rPr>
        <w:t>yang</w:t>
      </w:r>
      <w:r w:rsidR="00A954D0">
        <w:rPr>
          <w:rFonts w:ascii="Bookman Old Style" w:hAnsi="Bookman Old Style"/>
        </w:rPr>
        <w:t xml:space="preserve"> </w:t>
      </w:r>
      <w:r w:rsidR="003C3E01" w:rsidRPr="000E42D9">
        <w:rPr>
          <w:rFonts w:ascii="Bookman Old Style" w:hAnsi="Bookman Old Style"/>
        </w:rPr>
        <w:t>merupakan</w:t>
      </w:r>
      <w:r w:rsidR="00A954D0">
        <w:rPr>
          <w:rFonts w:ascii="Bookman Old Style" w:hAnsi="Bookman Old Style"/>
        </w:rPr>
        <w:t xml:space="preserve"> </w:t>
      </w:r>
      <w:r w:rsidR="003C3E01" w:rsidRPr="000E42D9">
        <w:rPr>
          <w:rFonts w:ascii="Bookman Old Style" w:hAnsi="Bookman Old Style"/>
        </w:rPr>
        <w:t>suatu</w:t>
      </w:r>
      <w:r w:rsidR="00A954D0">
        <w:rPr>
          <w:rFonts w:ascii="Bookman Old Style" w:hAnsi="Bookman Old Style"/>
        </w:rPr>
        <w:t xml:space="preserve"> </w:t>
      </w:r>
      <w:r w:rsidR="003C3E01" w:rsidRPr="000E42D9">
        <w:rPr>
          <w:rFonts w:ascii="Bookman Old Style" w:hAnsi="Bookman Old Style"/>
        </w:rPr>
        <w:t>rangkaian</w:t>
      </w:r>
      <w:r w:rsidR="00A954D0">
        <w:rPr>
          <w:rFonts w:ascii="Bookman Old Style" w:hAnsi="Bookman Old Style"/>
        </w:rPr>
        <w:t xml:space="preserve"> </w:t>
      </w:r>
      <w:r w:rsidR="003C3E01" w:rsidRPr="000E42D9">
        <w:rPr>
          <w:rFonts w:ascii="Bookman Old Style" w:hAnsi="Bookman Old Style"/>
        </w:rPr>
        <w:t>kegiatan</w:t>
      </w:r>
      <w:r w:rsidR="00A954D0">
        <w:rPr>
          <w:rFonts w:ascii="Bookman Old Style" w:hAnsi="Bookman Old Style"/>
        </w:rPr>
        <w:t xml:space="preserve"> </w:t>
      </w:r>
      <w:r w:rsidR="003C3E01" w:rsidRPr="000E42D9">
        <w:rPr>
          <w:rFonts w:ascii="Bookman Old Style" w:hAnsi="Bookman Old Style"/>
        </w:rPr>
        <w:t>mulai</w:t>
      </w:r>
      <w:r w:rsidR="00A954D0">
        <w:rPr>
          <w:rFonts w:ascii="Bookman Old Style" w:hAnsi="Bookman Old Style"/>
        </w:rPr>
        <w:t xml:space="preserve"> </w:t>
      </w:r>
      <w:r w:rsidR="003C3E01" w:rsidRPr="000E42D9">
        <w:rPr>
          <w:rFonts w:ascii="Bookman Old Style" w:hAnsi="Bookman Old Style"/>
        </w:rPr>
        <w:t>dari</w:t>
      </w:r>
      <w:r w:rsidR="00A954D0">
        <w:rPr>
          <w:rFonts w:ascii="Bookman Old Style" w:hAnsi="Bookman Old Style"/>
        </w:rPr>
        <w:t xml:space="preserve"> </w:t>
      </w:r>
      <w:r w:rsidR="003C3E01" w:rsidRPr="000E42D9">
        <w:rPr>
          <w:rFonts w:ascii="Bookman Old Style" w:hAnsi="Bookman Old Style"/>
        </w:rPr>
        <w:t>penghimpunan</w:t>
      </w:r>
      <w:r w:rsidR="00A954D0">
        <w:rPr>
          <w:rFonts w:ascii="Bookman Old Style" w:hAnsi="Bookman Old Style"/>
        </w:rPr>
        <w:t xml:space="preserve"> </w:t>
      </w:r>
      <w:r w:rsidR="003C3E01" w:rsidRPr="000E42D9">
        <w:rPr>
          <w:rFonts w:ascii="Bookman Old Style" w:hAnsi="Bookman Old Style"/>
        </w:rPr>
        <w:t>data</w:t>
      </w:r>
      <w:r w:rsidR="00A954D0">
        <w:rPr>
          <w:rFonts w:ascii="Bookman Old Style" w:hAnsi="Bookman Old Style"/>
        </w:rPr>
        <w:t xml:space="preserve"> </w:t>
      </w:r>
      <w:r w:rsidR="003C3E01" w:rsidRPr="000E42D9">
        <w:rPr>
          <w:rFonts w:ascii="Bookman Old Style" w:hAnsi="Bookman Old Style"/>
        </w:rPr>
        <w:t>objek</w:t>
      </w:r>
      <w:r w:rsidR="00A954D0">
        <w:rPr>
          <w:rFonts w:ascii="Bookman Old Style" w:hAnsi="Bookman Old Style"/>
        </w:rPr>
        <w:t xml:space="preserve"> </w:t>
      </w:r>
      <w:r w:rsidR="003C3E01" w:rsidRPr="000E42D9">
        <w:rPr>
          <w:rFonts w:ascii="Bookman Old Style" w:hAnsi="Bookman Old Style"/>
        </w:rPr>
        <w:t>dan</w:t>
      </w:r>
      <w:r w:rsidR="00A954D0">
        <w:rPr>
          <w:rFonts w:ascii="Bookman Old Style" w:hAnsi="Bookman Old Style"/>
        </w:rPr>
        <w:t xml:space="preserve"> </w:t>
      </w:r>
      <w:r w:rsidR="003C3E01" w:rsidRPr="000E42D9">
        <w:rPr>
          <w:rFonts w:ascii="Bookman Old Style" w:hAnsi="Bookman Old Style"/>
        </w:rPr>
        <w:t>subjek</w:t>
      </w:r>
      <w:r w:rsidR="00A954D0">
        <w:rPr>
          <w:rFonts w:ascii="Bookman Old Style" w:hAnsi="Bookman Old Style"/>
        </w:rPr>
        <w:t xml:space="preserve"> </w:t>
      </w:r>
      <w:r w:rsidR="003C3E01" w:rsidRPr="000E42D9">
        <w:rPr>
          <w:rFonts w:ascii="Bookman Old Style" w:hAnsi="Bookman Old Style"/>
        </w:rPr>
        <w:t>pajak</w:t>
      </w:r>
      <w:r w:rsidR="00A954D0">
        <w:rPr>
          <w:rFonts w:ascii="Bookman Old Style" w:hAnsi="Bookman Old Style"/>
        </w:rPr>
        <w:t xml:space="preserve"> </w:t>
      </w:r>
      <w:r w:rsidR="003C3E01" w:rsidRPr="000E42D9">
        <w:rPr>
          <w:rFonts w:ascii="Bookman Old Style" w:hAnsi="Bookman Old Style"/>
        </w:rPr>
        <w:t>dan</w:t>
      </w:r>
      <w:r w:rsidR="00A954D0">
        <w:rPr>
          <w:rFonts w:ascii="Bookman Old Style" w:hAnsi="Bookman Old Style"/>
        </w:rPr>
        <w:t xml:space="preserve"> </w:t>
      </w:r>
      <w:r w:rsidR="003C3E01" w:rsidRPr="000E42D9">
        <w:rPr>
          <w:rFonts w:ascii="Bookman Old Style" w:hAnsi="Bookman Old Style"/>
        </w:rPr>
        <w:t>retribusi,</w:t>
      </w:r>
      <w:r w:rsidR="00A954D0">
        <w:rPr>
          <w:rFonts w:ascii="Bookman Old Style" w:hAnsi="Bookman Old Style"/>
        </w:rPr>
        <w:t xml:space="preserve"> </w:t>
      </w:r>
      <w:r w:rsidR="003C3E01" w:rsidRPr="000E42D9">
        <w:rPr>
          <w:rFonts w:ascii="Bookman Old Style" w:hAnsi="Bookman Old Style"/>
        </w:rPr>
        <w:t>penentuan</w:t>
      </w:r>
      <w:r w:rsidR="00A954D0">
        <w:rPr>
          <w:rFonts w:ascii="Bookman Old Style" w:hAnsi="Bookman Old Style"/>
        </w:rPr>
        <w:t xml:space="preserve"> </w:t>
      </w:r>
      <w:r w:rsidR="003C3E01" w:rsidRPr="000E42D9">
        <w:rPr>
          <w:rFonts w:ascii="Bookman Old Style" w:hAnsi="Bookman Old Style"/>
        </w:rPr>
        <w:t>besarnya</w:t>
      </w:r>
      <w:r w:rsidR="00A954D0">
        <w:rPr>
          <w:rFonts w:ascii="Bookman Old Style" w:hAnsi="Bookman Old Style"/>
        </w:rPr>
        <w:t xml:space="preserve"> </w:t>
      </w:r>
      <w:r w:rsidR="003C3E01" w:rsidRPr="000E42D9">
        <w:rPr>
          <w:rFonts w:ascii="Bookman Old Style" w:hAnsi="Bookman Old Style"/>
        </w:rPr>
        <w:t>pajak</w:t>
      </w:r>
      <w:r w:rsidR="00A954D0">
        <w:rPr>
          <w:rFonts w:ascii="Bookman Old Style" w:hAnsi="Bookman Old Style"/>
        </w:rPr>
        <w:t xml:space="preserve"> </w:t>
      </w:r>
      <w:r w:rsidR="003C3E01" w:rsidRPr="000E42D9">
        <w:rPr>
          <w:rFonts w:ascii="Bookman Old Style" w:hAnsi="Bookman Old Style"/>
        </w:rPr>
        <w:t>dan</w:t>
      </w:r>
      <w:r w:rsidR="00A954D0">
        <w:rPr>
          <w:rFonts w:ascii="Bookman Old Style" w:hAnsi="Bookman Old Style"/>
        </w:rPr>
        <w:t xml:space="preserve"> </w:t>
      </w:r>
      <w:r w:rsidR="003C3E01" w:rsidRPr="000E42D9">
        <w:rPr>
          <w:rFonts w:ascii="Bookman Old Style" w:hAnsi="Bookman Old Style"/>
        </w:rPr>
        <w:t>retribusi</w:t>
      </w:r>
      <w:r w:rsidR="00A954D0">
        <w:rPr>
          <w:rFonts w:ascii="Bookman Old Style" w:hAnsi="Bookman Old Style"/>
        </w:rPr>
        <w:t xml:space="preserve"> </w:t>
      </w:r>
      <w:r w:rsidR="003C3E01" w:rsidRPr="000E42D9">
        <w:rPr>
          <w:rFonts w:ascii="Bookman Old Style" w:hAnsi="Bookman Old Style"/>
        </w:rPr>
        <w:t>yang</w:t>
      </w:r>
      <w:r w:rsidR="00A954D0">
        <w:rPr>
          <w:rFonts w:ascii="Bookman Old Style" w:hAnsi="Bookman Old Style"/>
        </w:rPr>
        <w:t xml:space="preserve"> </w:t>
      </w:r>
      <w:r w:rsidR="003C3E01" w:rsidRPr="000E42D9">
        <w:rPr>
          <w:rFonts w:ascii="Bookman Old Style" w:hAnsi="Bookman Old Style"/>
        </w:rPr>
        <w:t>terutang</w:t>
      </w:r>
      <w:r w:rsidR="00A954D0">
        <w:rPr>
          <w:rFonts w:ascii="Bookman Old Style" w:hAnsi="Bookman Old Style"/>
        </w:rPr>
        <w:t xml:space="preserve"> </w:t>
      </w:r>
      <w:r w:rsidR="003C3E01" w:rsidRPr="000E42D9">
        <w:rPr>
          <w:rFonts w:ascii="Bookman Old Style" w:hAnsi="Bookman Old Style"/>
        </w:rPr>
        <w:t>sampai</w:t>
      </w:r>
      <w:r w:rsidR="00A954D0">
        <w:rPr>
          <w:rFonts w:ascii="Bookman Old Style" w:hAnsi="Bookman Old Style"/>
        </w:rPr>
        <w:t xml:space="preserve"> </w:t>
      </w:r>
      <w:r w:rsidR="003C3E01" w:rsidRPr="000E42D9">
        <w:rPr>
          <w:rFonts w:ascii="Bookman Old Style" w:hAnsi="Bookman Old Style"/>
        </w:rPr>
        <w:t>kegiatan</w:t>
      </w:r>
      <w:r w:rsidR="00A954D0">
        <w:rPr>
          <w:rFonts w:ascii="Bookman Old Style" w:hAnsi="Bookman Old Style"/>
        </w:rPr>
        <w:t xml:space="preserve"> </w:t>
      </w:r>
      <w:r w:rsidR="003C3E01" w:rsidRPr="000E42D9">
        <w:rPr>
          <w:rFonts w:ascii="Bookman Old Style" w:hAnsi="Bookman Old Style"/>
        </w:rPr>
        <w:t>penagihan</w:t>
      </w:r>
      <w:r w:rsidR="00A954D0">
        <w:rPr>
          <w:rFonts w:ascii="Bookman Old Style" w:hAnsi="Bookman Old Style"/>
        </w:rPr>
        <w:t xml:space="preserve"> </w:t>
      </w:r>
      <w:r w:rsidR="003C3E01" w:rsidRPr="000E42D9">
        <w:rPr>
          <w:rFonts w:ascii="Bookman Old Style" w:hAnsi="Bookman Old Style"/>
        </w:rPr>
        <w:t>pajak</w:t>
      </w:r>
      <w:r w:rsidR="00A954D0">
        <w:rPr>
          <w:rFonts w:ascii="Bookman Old Style" w:hAnsi="Bookman Old Style"/>
        </w:rPr>
        <w:t xml:space="preserve"> </w:t>
      </w:r>
      <w:r w:rsidR="003C3E01" w:rsidRPr="000E42D9">
        <w:rPr>
          <w:rFonts w:ascii="Bookman Old Style" w:hAnsi="Bookman Old Style"/>
        </w:rPr>
        <w:t>dan</w:t>
      </w:r>
      <w:r w:rsidR="00A954D0">
        <w:rPr>
          <w:rFonts w:ascii="Bookman Old Style" w:hAnsi="Bookman Old Style"/>
        </w:rPr>
        <w:t xml:space="preserve"> </w:t>
      </w:r>
      <w:r w:rsidR="003C3E01" w:rsidRPr="000E42D9">
        <w:rPr>
          <w:rFonts w:ascii="Bookman Old Style" w:hAnsi="Bookman Old Style"/>
        </w:rPr>
        <w:t>retribusi</w:t>
      </w:r>
      <w:r w:rsidR="00A954D0">
        <w:rPr>
          <w:rFonts w:ascii="Bookman Old Style" w:hAnsi="Bookman Old Style"/>
        </w:rPr>
        <w:t xml:space="preserve"> </w:t>
      </w:r>
      <w:r w:rsidR="003C3E01" w:rsidRPr="000E42D9">
        <w:rPr>
          <w:rFonts w:ascii="Bookman Old Style" w:hAnsi="Bookman Old Style"/>
        </w:rPr>
        <w:t>kepada</w:t>
      </w:r>
      <w:r w:rsidR="00A954D0">
        <w:rPr>
          <w:rFonts w:ascii="Bookman Old Style" w:hAnsi="Bookman Old Style"/>
        </w:rPr>
        <w:t xml:space="preserve"> </w:t>
      </w:r>
      <w:r w:rsidR="003C3E01" w:rsidRPr="000E42D9">
        <w:rPr>
          <w:rFonts w:ascii="Bookman Old Style" w:hAnsi="Bookman Old Style"/>
        </w:rPr>
        <w:t>wajib</w:t>
      </w:r>
      <w:r w:rsidR="00A954D0">
        <w:rPr>
          <w:rFonts w:ascii="Bookman Old Style" w:hAnsi="Bookman Old Style"/>
        </w:rPr>
        <w:t xml:space="preserve"> </w:t>
      </w:r>
      <w:r w:rsidR="003C3E01" w:rsidRPr="000E42D9">
        <w:rPr>
          <w:rFonts w:ascii="Bookman Old Style" w:hAnsi="Bookman Old Style"/>
        </w:rPr>
        <w:t>pajak</w:t>
      </w:r>
      <w:r w:rsidR="00A954D0">
        <w:rPr>
          <w:rFonts w:ascii="Bookman Old Style" w:hAnsi="Bookman Old Style"/>
        </w:rPr>
        <w:t xml:space="preserve"> </w:t>
      </w:r>
      <w:r w:rsidR="003C3E01" w:rsidRPr="000E42D9">
        <w:rPr>
          <w:rFonts w:ascii="Bookman Old Style" w:hAnsi="Bookman Old Style"/>
        </w:rPr>
        <w:t>dan</w:t>
      </w:r>
      <w:r w:rsidR="00A954D0">
        <w:rPr>
          <w:rFonts w:ascii="Bookman Old Style" w:hAnsi="Bookman Old Style"/>
        </w:rPr>
        <w:t xml:space="preserve"> </w:t>
      </w:r>
      <w:r w:rsidR="003C3E01" w:rsidRPr="000E42D9">
        <w:rPr>
          <w:rFonts w:ascii="Bookman Old Style" w:hAnsi="Bookman Old Style"/>
        </w:rPr>
        <w:t>retribusi</w:t>
      </w:r>
      <w:r w:rsidR="00A954D0">
        <w:rPr>
          <w:rFonts w:ascii="Bookman Old Style" w:hAnsi="Bookman Old Style"/>
        </w:rPr>
        <w:t xml:space="preserve"> </w:t>
      </w:r>
      <w:r w:rsidR="003C3E01" w:rsidRPr="000E42D9">
        <w:rPr>
          <w:rFonts w:ascii="Bookman Old Style" w:hAnsi="Bookman Old Style"/>
        </w:rPr>
        <w:t>serta</w:t>
      </w:r>
      <w:r w:rsidR="00A954D0">
        <w:rPr>
          <w:rFonts w:ascii="Bookman Old Style" w:hAnsi="Bookman Old Style"/>
        </w:rPr>
        <w:t xml:space="preserve"> </w:t>
      </w:r>
      <w:r w:rsidR="003C3E01" w:rsidRPr="000E42D9">
        <w:rPr>
          <w:rFonts w:ascii="Bookman Old Style" w:hAnsi="Bookman Old Style"/>
        </w:rPr>
        <w:t>pengawasan</w:t>
      </w:r>
      <w:r w:rsidR="00A954D0">
        <w:rPr>
          <w:rFonts w:ascii="Bookman Old Style" w:hAnsi="Bookman Old Style"/>
        </w:rPr>
        <w:t xml:space="preserve"> </w:t>
      </w:r>
      <w:r w:rsidR="003C3E01" w:rsidRPr="000E42D9">
        <w:rPr>
          <w:rFonts w:ascii="Bookman Old Style" w:hAnsi="Bookman Old Style"/>
        </w:rPr>
        <w:t>penyetorannya</w:t>
      </w:r>
      <w:r w:rsidR="00A954D0">
        <w:rPr>
          <w:rFonts w:ascii="Bookman Old Style" w:hAnsi="Bookman Old Style"/>
        </w:rPr>
        <w:t xml:space="preserve"> </w:t>
      </w:r>
      <w:r w:rsidR="003C3E01" w:rsidRPr="000E42D9">
        <w:rPr>
          <w:rFonts w:ascii="Bookman Old Style" w:hAnsi="Bookman Old Style"/>
        </w:rPr>
        <w:t>dengan</w:t>
      </w:r>
      <w:r w:rsidR="00A954D0">
        <w:rPr>
          <w:rFonts w:ascii="Bookman Old Style" w:hAnsi="Bookman Old Style"/>
        </w:rPr>
        <w:t xml:space="preserve"> </w:t>
      </w:r>
      <w:r w:rsidR="003C3E01" w:rsidRPr="000E42D9">
        <w:rPr>
          <w:rFonts w:ascii="Bookman Old Style" w:hAnsi="Bookman Old Style"/>
        </w:rPr>
        <w:t>berbasis</w:t>
      </w:r>
      <w:r w:rsidR="00A954D0">
        <w:rPr>
          <w:rFonts w:ascii="Bookman Old Style" w:hAnsi="Bookman Old Style"/>
        </w:rPr>
        <w:t xml:space="preserve"> </w:t>
      </w:r>
      <w:r w:rsidR="003C3E01" w:rsidRPr="000E42D9">
        <w:rPr>
          <w:rFonts w:ascii="Bookman Old Style" w:hAnsi="Bookman Old Style"/>
        </w:rPr>
        <w:t>teknologi,</w:t>
      </w:r>
      <w:r w:rsidR="00A954D0">
        <w:rPr>
          <w:rFonts w:ascii="Bookman Old Style" w:hAnsi="Bookman Old Style"/>
        </w:rPr>
        <w:t xml:space="preserve"> </w:t>
      </w:r>
      <w:r w:rsidR="003C3E01" w:rsidRPr="000E42D9">
        <w:rPr>
          <w:rFonts w:ascii="Bookman Old Style" w:hAnsi="Bookman Old Style"/>
        </w:rPr>
        <w:t>sebagaimana</w:t>
      </w:r>
      <w:r w:rsidR="00A954D0">
        <w:rPr>
          <w:rFonts w:ascii="Bookman Old Style" w:hAnsi="Bookman Old Style"/>
        </w:rPr>
        <w:t xml:space="preserve"> </w:t>
      </w:r>
      <w:r w:rsidR="003C3E01" w:rsidRPr="000E42D9">
        <w:rPr>
          <w:rFonts w:ascii="Bookman Old Style" w:hAnsi="Bookman Old Style"/>
        </w:rPr>
        <w:t>maksud</w:t>
      </w:r>
      <w:r w:rsidR="00A954D0">
        <w:rPr>
          <w:rFonts w:ascii="Bookman Old Style" w:hAnsi="Bookman Old Style"/>
        </w:rPr>
        <w:t xml:space="preserve"> </w:t>
      </w:r>
      <w:r w:rsidR="003C3E01" w:rsidRPr="000E42D9">
        <w:rPr>
          <w:rFonts w:ascii="Bookman Old Style" w:hAnsi="Bookman Old Style"/>
        </w:rPr>
        <w:t>butir</w:t>
      </w:r>
      <w:r w:rsidR="00A954D0">
        <w:rPr>
          <w:rFonts w:ascii="Bookman Old Style" w:hAnsi="Bookman Old Style"/>
        </w:rPr>
        <w:t xml:space="preserve"> </w:t>
      </w:r>
      <w:r w:rsidR="003C3E01" w:rsidRPr="000E42D9">
        <w:rPr>
          <w:rFonts w:ascii="Bookman Old Style" w:hAnsi="Bookman Old Style"/>
        </w:rPr>
        <w:t>3.3.1.1.1.o.5)</w:t>
      </w:r>
      <w:r w:rsidR="00A954D0">
        <w:rPr>
          <w:rFonts w:ascii="Bookman Old Style" w:hAnsi="Bookman Old Style"/>
        </w:rPr>
        <w:t xml:space="preserve"> </w:t>
      </w:r>
      <w:r w:rsidR="003C3E01" w:rsidRPr="000E42D9">
        <w:rPr>
          <w:rFonts w:ascii="Bookman Old Style" w:hAnsi="Bookman Old Style"/>
        </w:rPr>
        <w:t>Lampiran</w:t>
      </w:r>
      <w:r w:rsidR="00A954D0">
        <w:rPr>
          <w:rFonts w:ascii="Bookman Old Style" w:hAnsi="Bookman Old Style"/>
        </w:rPr>
        <w:t xml:space="preserve"> </w:t>
      </w:r>
      <w:r w:rsidR="003C3E01" w:rsidRPr="000E42D9">
        <w:rPr>
          <w:rFonts w:ascii="Bookman Old Style" w:hAnsi="Bookman Old Style"/>
        </w:rPr>
        <w:t>Peraturan</w:t>
      </w:r>
      <w:r w:rsidR="00A954D0">
        <w:rPr>
          <w:rFonts w:ascii="Bookman Old Style" w:hAnsi="Bookman Old Style"/>
        </w:rPr>
        <w:t xml:space="preserve"> </w:t>
      </w:r>
      <w:r w:rsidR="003C3E01" w:rsidRPr="000E42D9">
        <w:rPr>
          <w:rFonts w:ascii="Bookman Old Style" w:hAnsi="Bookman Old Style"/>
        </w:rPr>
        <w:t>Menteri</w:t>
      </w:r>
      <w:r w:rsidR="00A954D0">
        <w:rPr>
          <w:rFonts w:ascii="Bookman Old Style" w:hAnsi="Bookman Old Style"/>
        </w:rPr>
        <w:t xml:space="preserve"> </w:t>
      </w:r>
      <w:r w:rsidR="003C3E01" w:rsidRPr="000E42D9">
        <w:rPr>
          <w:rFonts w:ascii="Bookman Old Style" w:hAnsi="Bookman Old Style"/>
        </w:rPr>
        <w:t>Dalam</w:t>
      </w:r>
      <w:r w:rsidR="00A954D0">
        <w:rPr>
          <w:rFonts w:ascii="Bookman Old Style" w:hAnsi="Bookman Old Style"/>
        </w:rPr>
        <w:t xml:space="preserve"> </w:t>
      </w:r>
      <w:r w:rsidR="003C3E01" w:rsidRPr="000E42D9">
        <w:rPr>
          <w:rFonts w:ascii="Bookman Old Style" w:hAnsi="Bookman Old Style"/>
        </w:rPr>
        <w:t>Negeri</w:t>
      </w:r>
      <w:r w:rsidR="00A954D0">
        <w:rPr>
          <w:rFonts w:ascii="Bookman Old Style" w:hAnsi="Bookman Old Style"/>
        </w:rPr>
        <w:t xml:space="preserve"> </w:t>
      </w:r>
      <w:r w:rsidR="003C3E01" w:rsidRPr="000E42D9">
        <w:rPr>
          <w:rFonts w:ascii="Bookman Old Style" w:hAnsi="Bookman Old Style"/>
        </w:rPr>
        <w:t>Nomor</w:t>
      </w:r>
      <w:r w:rsidR="00A954D0">
        <w:rPr>
          <w:rFonts w:ascii="Bookman Old Style" w:hAnsi="Bookman Old Style"/>
        </w:rPr>
        <w:t xml:space="preserve"> </w:t>
      </w:r>
      <w:r w:rsidR="003C3E01" w:rsidRPr="000E42D9">
        <w:rPr>
          <w:rFonts w:ascii="Bookman Old Style" w:hAnsi="Bookman Old Style"/>
        </w:rPr>
        <w:t>15</w:t>
      </w:r>
      <w:r w:rsidR="00A954D0">
        <w:rPr>
          <w:rFonts w:ascii="Bookman Old Style" w:hAnsi="Bookman Old Style"/>
        </w:rPr>
        <w:t xml:space="preserve"> </w:t>
      </w:r>
      <w:r w:rsidR="003C3E01" w:rsidRPr="000E42D9">
        <w:rPr>
          <w:rFonts w:ascii="Bookman Old Style" w:hAnsi="Bookman Old Style"/>
        </w:rPr>
        <w:t>Tahun</w:t>
      </w:r>
      <w:r w:rsidR="00A954D0">
        <w:rPr>
          <w:rFonts w:ascii="Bookman Old Style" w:hAnsi="Bookman Old Style"/>
        </w:rPr>
        <w:t xml:space="preserve"> </w:t>
      </w:r>
      <w:r w:rsidR="003C3E01" w:rsidRPr="000E42D9">
        <w:rPr>
          <w:rFonts w:ascii="Bookman Old Style" w:hAnsi="Bookman Old Style"/>
        </w:rPr>
        <w:t>2024.</w:t>
      </w:r>
    </w:p>
    <w:p w14:paraId="56F5AE64" w14:textId="72C7A5B1" w:rsidR="003C3E01" w:rsidRPr="000E42D9" w:rsidRDefault="003C3E01" w:rsidP="00B16310">
      <w:pPr>
        <w:spacing w:before="60" w:line="276" w:lineRule="auto"/>
        <w:ind w:left="2268"/>
        <w:jc w:val="both"/>
        <w:rPr>
          <w:rFonts w:ascii="Bookman Old Style" w:hAnsi="Bookman Old Style"/>
        </w:rPr>
      </w:pPr>
      <w:r w:rsidRPr="000E42D9">
        <w:rPr>
          <w:rFonts w:ascii="Bookman Old Style" w:eastAsia="Bookman Old Style" w:hAnsi="Bookman Old Style" w:cs="Bookman Old Style"/>
        </w:rPr>
        <w:t>Selain</w:t>
      </w:r>
      <w:r w:rsidR="00A954D0">
        <w:rPr>
          <w:rFonts w:ascii="Bookman Old Style" w:eastAsia="Bookman Old Style" w:hAnsi="Bookman Old Style" w:cs="Bookman Old Style"/>
        </w:rPr>
        <w:t xml:space="preserve"> </w:t>
      </w:r>
      <w:r w:rsidRPr="000E42D9">
        <w:rPr>
          <w:rFonts w:ascii="Bookman Old Style" w:eastAsia="Bookman Old Style" w:hAnsi="Bookman Old Style" w:cs="Bookman Old Style"/>
        </w:rPr>
        <w:t>itu,</w:t>
      </w:r>
      <w:r w:rsidR="00A954D0">
        <w:rPr>
          <w:rFonts w:ascii="Bookman Old Style" w:eastAsia="Bookman Old Style" w:hAnsi="Bookman Old Style" w:cs="Bookman Old Style"/>
        </w:rPr>
        <w:t xml:space="preserve"> </w:t>
      </w:r>
      <w:r w:rsidRPr="000E42D9">
        <w:rPr>
          <w:rFonts w:ascii="Bookman Old Style" w:eastAsia="Bookman Old Style" w:hAnsi="Bookman Old Style" w:cs="Bookman Old Style"/>
        </w:rPr>
        <w:t>penetapan</w:t>
      </w:r>
      <w:r w:rsidR="00A954D0">
        <w:rPr>
          <w:rFonts w:ascii="Bookman Old Style" w:eastAsia="Bookman Old Style" w:hAnsi="Bookman Old Style" w:cs="Bookman Old Style"/>
        </w:rPr>
        <w:t xml:space="preserve"> </w:t>
      </w:r>
      <w:r w:rsidRPr="000E42D9">
        <w:rPr>
          <w:rFonts w:ascii="Bookman Old Style" w:eastAsia="Bookman Old Style" w:hAnsi="Bookman Old Style" w:cs="Bookman Old Style"/>
        </w:rPr>
        <w:t>target</w:t>
      </w:r>
      <w:r w:rsidR="00A954D0">
        <w:rPr>
          <w:rFonts w:ascii="Bookman Old Style" w:eastAsia="Bookman Old Style" w:hAnsi="Bookman Old Style" w:cs="Bookman Old Style"/>
        </w:rPr>
        <w:t xml:space="preserve"> </w:t>
      </w:r>
      <w:r w:rsidRPr="000E42D9">
        <w:rPr>
          <w:rFonts w:ascii="Bookman Old Style" w:eastAsia="Bookman Old Style" w:hAnsi="Bookman Old Style" w:cs="Bookman Old Style"/>
        </w:rPr>
        <w:t>pajak</w:t>
      </w:r>
      <w:r w:rsidR="00A954D0">
        <w:rPr>
          <w:rFonts w:ascii="Bookman Old Style" w:eastAsia="Bookman Old Style" w:hAnsi="Bookman Old Style" w:cs="Bookman Old Style"/>
        </w:rPr>
        <w:t xml:space="preserve"> </w:t>
      </w:r>
      <w:r w:rsidRPr="000E42D9">
        <w:rPr>
          <w:rFonts w:ascii="Bookman Old Style" w:eastAsia="Bookman Old Style" w:hAnsi="Bookman Old Style" w:cs="Bookman Old Style"/>
        </w:rPr>
        <w:t>daerah</w:t>
      </w:r>
      <w:r w:rsidR="00A954D0">
        <w:rPr>
          <w:rFonts w:ascii="Bookman Old Style" w:eastAsia="Bookman Old Style" w:hAnsi="Bookman Old Style" w:cs="Bookman Old Style"/>
        </w:rPr>
        <w:t xml:space="preserve"> </w:t>
      </w:r>
      <w:r w:rsidRPr="000E42D9">
        <w:rPr>
          <w:rFonts w:ascii="Bookman Old Style" w:eastAsia="Bookman Old Style" w:hAnsi="Bookman Old Style" w:cs="Bookman Old Style"/>
        </w:rPr>
        <w:t>dan</w:t>
      </w:r>
      <w:r w:rsidR="00A954D0">
        <w:rPr>
          <w:rFonts w:ascii="Bookman Old Style" w:eastAsia="Bookman Old Style" w:hAnsi="Bookman Old Style" w:cs="Bookman Old Style"/>
        </w:rPr>
        <w:t xml:space="preserve"> </w:t>
      </w:r>
      <w:r w:rsidRPr="000E42D9">
        <w:rPr>
          <w:rFonts w:ascii="Bookman Old Style" w:eastAsia="Bookman Old Style" w:hAnsi="Bookman Old Style" w:cs="Bookman Old Style"/>
        </w:rPr>
        <w:t>retribusi</w:t>
      </w:r>
      <w:r w:rsidR="00A954D0">
        <w:rPr>
          <w:rFonts w:ascii="Bookman Old Style" w:eastAsia="Bookman Old Style" w:hAnsi="Bookman Old Style" w:cs="Bookman Old Style"/>
        </w:rPr>
        <w:t xml:space="preserve"> </w:t>
      </w:r>
      <w:r w:rsidRPr="000E42D9">
        <w:rPr>
          <w:rFonts w:ascii="Bookman Old Style" w:eastAsia="Bookman Old Style" w:hAnsi="Bookman Old Style" w:cs="Bookman Old Style"/>
        </w:rPr>
        <w:t>daerah</w:t>
      </w:r>
      <w:r w:rsidR="00A954D0">
        <w:rPr>
          <w:rFonts w:ascii="Bookman Old Style" w:eastAsia="Bookman Old Style" w:hAnsi="Bookman Old Style" w:cs="Bookman Old Style"/>
        </w:rPr>
        <w:t xml:space="preserve"> </w:t>
      </w:r>
      <w:r w:rsidRPr="000E42D9">
        <w:rPr>
          <w:rFonts w:ascii="Bookman Old Style" w:eastAsia="Bookman Old Style" w:hAnsi="Bookman Old Style" w:cs="Bookman Old Style"/>
        </w:rPr>
        <w:t>dalam</w:t>
      </w:r>
      <w:r w:rsidR="00A954D0">
        <w:rPr>
          <w:rFonts w:ascii="Bookman Old Style" w:eastAsia="Bookman Old Style" w:hAnsi="Bookman Old Style" w:cs="Bookman Old Style"/>
        </w:rPr>
        <w:t xml:space="preserve"> </w:t>
      </w:r>
      <w:r w:rsidRPr="000E42D9">
        <w:rPr>
          <w:rFonts w:ascii="Bookman Old Style" w:hAnsi="Bookman Old Style"/>
        </w:rPr>
        <w:t>Rancangan</w:t>
      </w:r>
      <w:r w:rsidR="00A954D0">
        <w:rPr>
          <w:rFonts w:ascii="Bookman Old Style" w:hAnsi="Bookman Old Style"/>
        </w:rPr>
        <w:t xml:space="preserve"> </w:t>
      </w:r>
      <w:r w:rsidRPr="000E42D9">
        <w:rPr>
          <w:rFonts w:ascii="Bookman Old Style" w:hAnsi="Bookman Old Style"/>
        </w:rPr>
        <w:t>Peraturan</w:t>
      </w:r>
      <w:r w:rsidR="00A954D0">
        <w:rPr>
          <w:rFonts w:ascii="Bookman Old Style" w:hAnsi="Bookman Old Style"/>
        </w:rPr>
        <w:t xml:space="preserve"> </w:t>
      </w:r>
      <w:r w:rsidRPr="000E42D9">
        <w:rPr>
          <w:rFonts w:ascii="Bookman Old Style" w:hAnsi="Bookman Old Style"/>
        </w:rPr>
        <w:t>Daerah</w:t>
      </w:r>
      <w:r w:rsidR="00A954D0">
        <w:rPr>
          <w:rFonts w:ascii="Bookman Old Style" w:hAnsi="Bookman Old Style"/>
        </w:rPr>
        <w:t xml:space="preserve"> </w:t>
      </w:r>
      <w:r w:rsidRPr="000E42D9">
        <w:rPr>
          <w:rFonts w:ascii="Bookman Old Style" w:hAnsi="Bookman Old Style"/>
        </w:rPr>
        <w:t>Kota</w:t>
      </w:r>
      <w:r w:rsidR="00A954D0">
        <w:rPr>
          <w:rFonts w:ascii="Bookman Old Style" w:hAnsi="Bookman Old Style"/>
        </w:rPr>
        <w:t xml:space="preserve"> </w:t>
      </w:r>
      <w:r w:rsidR="00770F22" w:rsidRPr="000E42D9">
        <w:rPr>
          <w:rFonts w:ascii="Bookman Old Style" w:hAnsi="Bookman Old Style"/>
        </w:rPr>
        <w:t>Tangerang</w:t>
      </w:r>
      <w:r w:rsidR="00A954D0">
        <w:rPr>
          <w:rFonts w:ascii="Bookman Old Style" w:hAnsi="Bookman Old Style"/>
        </w:rPr>
        <w:t xml:space="preserve"> </w:t>
      </w:r>
      <w:r w:rsidRPr="000E42D9">
        <w:rPr>
          <w:rFonts w:ascii="Bookman Old Style" w:hAnsi="Bookman Old Style"/>
        </w:rPr>
        <w:t>tentang</w:t>
      </w:r>
      <w:r w:rsidR="00A954D0">
        <w:rPr>
          <w:rFonts w:ascii="Bookman Old Style" w:hAnsi="Bookman Old Style"/>
        </w:rPr>
        <w:t xml:space="preserve"> </w:t>
      </w:r>
      <w:r w:rsidRPr="000E42D9">
        <w:rPr>
          <w:rFonts w:ascii="Bookman Old Style" w:hAnsi="Bookman Old Style"/>
        </w:rPr>
        <w:t>APBD</w:t>
      </w:r>
      <w:r w:rsidR="00A954D0">
        <w:rPr>
          <w:rFonts w:ascii="Bookman Old Style" w:hAnsi="Bookman Old Style"/>
        </w:rPr>
        <w:t xml:space="preserve"> </w:t>
      </w:r>
      <w:r w:rsidRPr="000E42D9">
        <w:rPr>
          <w:rFonts w:ascii="Bookman Old Style" w:hAnsi="Bookman Old Style"/>
        </w:rPr>
        <w:t>Tahun</w:t>
      </w:r>
      <w:r w:rsidR="00A954D0">
        <w:rPr>
          <w:rFonts w:ascii="Bookman Old Style" w:hAnsi="Bookman Old Style"/>
        </w:rPr>
        <w:t xml:space="preserve"> </w:t>
      </w:r>
      <w:r w:rsidRPr="000E42D9">
        <w:rPr>
          <w:rFonts w:ascii="Bookman Old Style" w:hAnsi="Bookman Old Style"/>
        </w:rPr>
        <w:t>Anggaran</w:t>
      </w:r>
      <w:r w:rsidR="00A954D0">
        <w:rPr>
          <w:rFonts w:ascii="Bookman Old Style" w:hAnsi="Bookman Old Style"/>
        </w:rPr>
        <w:t xml:space="preserve"> </w:t>
      </w:r>
      <w:r w:rsidRPr="000E42D9">
        <w:rPr>
          <w:rFonts w:ascii="Bookman Old Style" w:hAnsi="Bookman Old Style"/>
        </w:rPr>
        <w:t>2025</w:t>
      </w:r>
      <w:r w:rsidR="00A954D0">
        <w:rPr>
          <w:rFonts w:ascii="Bookman Old Style" w:eastAsia="Bookman Old Style" w:hAnsi="Bookman Old Style" w:cs="Bookman Old Style"/>
        </w:rPr>
        <w:t xml:space="preserve"> </w:t>
      </w:r>
      <w:r w:rsidRPr="000E42D9">
        <w:rPr>
          <w:rFonts w:ascii="Bookman Old Style" w:eastAsia="Bookman Old Style" w:hAnsi="Bookman Old Style" w:cs="Bookman Old Style"/>
        </w:rPr>
        <w:t>memperhatikan:</w:t>
      </w:r>
      <w:r w:rsidR="00A954D0">
        <w:rPr>
          <w:rFonts w:ascii="Bookman Old Style" w:eastAsia="Bookman Old Style" w:hAnsi="Bookman Old Style" w:cs="Bookman Old Style"/>
        </w:rPr>
        <w:t xml:space="preserve"> </w:t>
      </w:r>
    </w:p>
    <w:p w14:paraId="2A301011" w14:textId="53079EB2" w:rsidR="003C3E01" w:rsidRPr="000E42D9" w:rsidRDefault="003C3E01" w:rsidP="00B16310">
      <w:pPr>
        <w:pStyle w:val="ListParagraph"/>
        <w:numPr>
          <w:ilvl w:val="0"/>
          <w:numId w:val="48"/>
        </w:numPr>
        <w:shd w:val="clear" w:color="auto" w:fill="FFFFFF" w:themeFill="background1"/>
        <w:spacing w:before="60" w:after="0" w:line="276" w:lineRule="auto"/>
        <w:ind w:left="2694" w:hanging="425"/>
        <w:contextualSpacing w:val="0"/>
        <w:jc w:val="both"/>
        <w:rPr>
          <w:rFonts w:ascii="Bookman Old Style" w:eastAsia="Bookman Old Style" w:hAnsi="Bookman Old Style" w:cs="Bookman Old Style"/>
          <w:sz w:val="24"/>
          <w:szCs w:val="24"/>
        </w:rPr>
      </w:pPr>
      <w:r w:rsidRPr="000E42D9">
        <w:rPr>
          <w:rFonts w:ascii="Bookman Old Style" w:eastAsia="Bookman Old Style" w:hAnsi="Bookman Old Style" w:cs="Bookman Old Style"/>
          <w:sz w:val="24"/>
          <w:szCs w:val="24"/>
          <w:lang w:val="id-ID"/>
        </w:rPr>
        <w:t>pemberian</w:t>
      </w:r>
      <w:r w:rsidR="00A954D0">
        <w:rPr>
          <w:rFonts w:ascii="Bookman Old Style" w:eastAsia="Bookman Old Style" w:hAnsi="Bookman Old Style" w:cs="Bookman Old Style"/>
          <w:sz w:val="24"/>
          <w:szCs w:val="24"/>
        </w:rPr>
        <w:t xml:space="preserve"> </w:t>
      </w:r>
      <w:r w:rsidRPr="000E42D9">
        <w:rPr>
          <w:rFonts w:ascii="Bookman Old Style" w:eastAsia="Bookman Old Style" w:hAnsi="Bookman Old Style" w:cs="Bookman Old Style"/>
          <w:sz w:val="24"/>
          <w:szCs w:val="24"/>
        </w:rPr>
        <w:t>keringanan,</w:t>
      </w:r>
      <w:r w:rsidR="00A954D0">
        <w:rPr>
          <w:rFonts w:ascii="Bookman Old Style" w:eastAsia="Bookman Old Style" w:hAnsi="Bookman Old Style" w:cs="Bookman Old Style"/>
          <w:sz w:val="24"/>
          <w:szCs w:val="24"/>
        </w:rPr>
        <w:t xml:space="preserve"> </w:t>
      </w:r>
      <w:r w:rsidRPr="000E42D9">
        <w:rPr>
          <w:rFonts w:ascii="Bookman Old Style" w:eastAsia="Bookman Old Style" w:hAnsi="Bookman Old Style" w:cs="Bookman Old Style"/>
          <w:sz w:val="24"/>
          <w:szCs w:val="24"/>
        </w:rPr>
        <w:t>pengurangan,</w:t>
      </w:r>
      <w:r w:rsidR="00A954D0">
        <w:rPr>
          <w:rFonts w:ascii="Bookman Old Style" w:eastAsia="Bookman Old Style" w:hAnsi="Bookman Old Style" w:cs="Bookman Old Style"/>
          <w:sz w:val="24"/>
          <w:szCs w:val="24"/>
        </w:rPr>
        <w:t xml:space="preserve"> </w:t>
      </w:r>
      <w:r w:rsidRPr="000E42D9">
        <w:rPr>
          <w:rFonts w:ascii="Bookman Old Style" w:eastAsia="Bookman Old Style" w:hAnsi="Bookman Old Style" w:cs="Bookman Old Style"/>
          <w:sz w:val="24"/>
          <w:szCs w:val="24"/>
        </w:rPr>
        <w:t>pembebasan,</w:t>
      </w:r>
      <w:r w:rsidR="00A954D0">
        <w:rPr>
          <w:rFonts w:ascii="Bookman Old Style" w:eastAsia="Bookman Old Style" w:hAnsi="Bookman Old Style" w:cs="Bookman Old Style"/>
          <w:sz w:val="24"/>
          <w:szCs w:val="24"/>
        </w:rPr>
        <w:t xml:space="preserve"> </w:t>
      </w:r>
      <w:r w:rsidRPr="000E42D9">
        <w:rPr>
          <w:rFonts w:ascii="Bookman Old Style" w:eastAsia="Bookman Old Style" w:hAnsi="Bookman Old Style" w:cs="Bookman Old Style"/>
          <w:sz w:val="24"/>
          <w:szCs w:val="24"/>
        </w:rPr>
        <w:t>dan</w:t>
      </w:r>
      <w:r w:rsidR="00A954D0">
        <w:rPr>
          <w:rFonts w:ascii="Bookman Old Style" w:eastAsia="Bookman Old Style" w:hAnsi="Bookman Old Style" w:cs="Bookman Old Style"/>
          <w:sz w:val="24"/>
          <w:szCs w:val="24"/>
        </w:rPr>
        <w:t xml:space="preserve"> </w:t>
      </w:r>
      <w:r w:rsidRPr="000E42D9">
        <w:rPr>
          <w:rFonts w:ascii="Bookman Old Style" w:eastAsia="Bookman Old Style" w:hAnsi="Bookman Old Style" w:cs="Bookman Old Style"/>
          <w:sz w:val="24"/>
          <w:szCs w:val="24"/>
        </w:rPr>
        <w:t>penundaan</w:t>
      </w:r>
      <w:r w:rsidR="00A954D0">
        <w:rPr>
          <w:rFonts w:ascii="Bookman Old Style" w:eastAsia="Bookman Old Style" w:hAnsi="Bookman Old Style" w:cs="Bookman Old Style"/>
          <w:sz w:val="24"/>
          <w:szCs w:val="24"/>
        </w:rPr>
        <w:t xml:space="preserve"> </w:t>
      </w:r>
      <w:r w:rsidRPr="000E42D9">
        <w:rPr>
          <w:rFonts w:ascii="Bookman Old Style" w:eastAsia="Bookman Old Style" w:hAnsi="Bookman Old Style" w:cs="Bookman Old Style"/>
          <w:sz w:val="24"/>
          <w:szCs w:val="24"/>
        </w:rPr>
        <w:t>pembayaran</w:t>
      </w:r>
      <w:r w:rsidR="00A954D0">
        <w:rPr>
          <w:rFonts w:ascii="Bookman Old Style" w:eastAsia="Bookman Old Style" w:hAnsi="Bookman Old Style" w:cs="Bookman Old Style"/>
          <w:sz w:val="24"/>
          <w:szCs w:val="24"/>
        </w:rPr>
        <w:t xml:space="preserve"> </w:t>
      </w:r>
      <w:r w:rsidRPr="000E42D9">
        <w:rPr>
          <w:rFonts w:ascii="Bookman Old Style" w:eastAsia="Bookman Old Style" w:hAnsi="Bookman Old Style" w:cs="Bookman Old Style"/>
          <w:sz w:val="24"/>
          <w:szCs w:val="24"/>
        </w:rPr>
        <w:t>atas</w:t>
      </w:r>
      <w:r w:rsidR="00A954D0">
        <w:rPr>
          <w:rFonts w:ascii="Bookman Old Style" w:eastAsia="Bookman Old Style" w:hAnsi="Bookman Old Style" w:cs="Bookman Old Style"/>
          <w:sz w:val="24"/>
          <w:szCs w:val="24"/>
        </w:rPr>
        <w:t xml:space="preserve"> </w:t>
      </w:r>
      <w:r w:rsidRPr="000E42D9">
        <w:rPr>
          <w:rFonts w:ascii="Bookman Old Style" w:eastAsia="Bookman Old Style" w:hAnsi="Bookman Old Style" w:cs="Bookman Old Style"/>
          <w:sz w:val="24"/>
          <w:szCs w:val="24"/>
        </w:rPr>
        <w:t>pokok</w:t>
      </w:r>
      <w:r w:rsidR="00A954D0">
        <w:rPr>
          <w:rFonts w:ascii="Bookman Old Style" w:eastAsia="Bookman Old Style" w:hAnsi="Bookman Old Style" w:cs="Bookman Old Style"/>
          <w:sz w:val="24"/>
          <w:szCs w:val="24"/>
        </w:rPr>
        <w:t xml:space="preserve"> </w:t>
      </w:r>
      <w:r w:rsidRPr="000E42D9">
        <w:rPr>
          <w:rFonts w:ascii="Bookman Old Style" w:eastAsia="Bookman Old Style" w:hAnsi="Bookman Old Style" w:cs="Bookman Old Style"/>
          <w:sz w:val="24"/>
          <w:szCs w:val="24"/>
        </w:rPr>
        <w:t>dan/atau</w:t>
      </w:r>
      <w:r w:rsidR="00A954D0">
        <w:rPr>
          <w:rFonts w:ascii="Bookman Old Style" w:eastAsia="Bookman Old Style" w:hAnsi="Bookman Old Style" w:cs="Bookman Old Style"/>
          <w:sz w:val="24"/>
          <w:szCs w:val="24"/>
        </w:rPr>
        <w:t xml:space="preserve"> </w:t>
      </w:r>
      <w:r w:rsidRPr="000E42D9">
        <w:rPr>
          <w:rFonts w:ascii="Bookman Old Style" w:eastAsia="Bookman Old Style" w:hAnsi="Bookman Old Style" w:cs="Bookman Old Style"/>
          <w:sz w:val="24"/>
          <w:szCs w:val="24"/>
        </w:rPr>
        <w:t>sanksi</w:t>
      </w:r>
      <w:r w:rsidR="00A954D0">
        <w:rPr>
          <w:rFonts w:ascii="Bookman Old Style" w:eastAsia="Bookman Old Style" w:hAnsi="Bookman Old Style" w:cs="Bookman Old Style"/>
          <w:sz w:val="24"/>
          <w:szCs w:val="24"/>
        </w:rPr>
        <w:t xml:space="preserve"> </w:t>
      </w:r>
      <w:r w:rsidRPr="000E42D9">
        <w:rPr>
          <w:rFonts w:ascii="Bookman Old Style" w:hAnsi="Bookman Old Style" w:cs="Arial"/>
          <w:sz w:val="24"/>
          <w:szCs w:val="24"/>
          <w:lang w:val="id-ID"/>
        </w:rPr>
        <w:t>pajak</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daerah</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retribusi</w:t>
      </w:r>
      <w:r w:rsidR="00A954D0">
        <w:rPr>
          <w:rFonts w:ascii="Bookman Old Style" w:hAnsi="Bookman Old Style" w:cs="Arial"/>
          <w:sz w:val="24"/>
          <w:szCs w:val="24"/>
          <w:lang w:val="id-ID"/>
        </w:rPr>
        <w:t xml:space="preserve"> </w:t>
      </w:r>
      <w:r w:rsidRPr="000E42D9">
        <w:rPr>
          <w:rFonts w:ascii="Bookman Old Style" w:hAnsi="Bookman Old Style" w:cs="Arial"/>
          <w:sz w:val="24"/>
          <w:szCs w:val="24"/>
          <w:lang w:val="id-ID"/>
        </w:rPr>
        <w:t>daerah</w:t>
      </w:r>
      <w:r w:rsidRPr="000E42D9">
        <w:rPr>
          <w:rFonts w:ascii="Bookman Old Style" w:eastAsia="Bookman Old Style" w:hAnsi="Bookman Old Style" w:cs="Bookman Old Style"/>
          <w:sz w:val="24"/>
          <w:szCs w:val="24"/>
        </w:rPr>
        <w:t>,</w:t>
      </w:r>
      <w:r w:rsidR="00A954D0">
        <w:rPr>
          <w:rFonts w:ascii="Bookman Old Style" w:eastAsia="Bookman Old Style" w:hAnsi="Bookman Old Style" w:cs="Bookman Old Style"/>
          <w:sz w:val="24"/>
          <w:szCs w:val="24"/>
        </w:rPr>
        <w:t xml:space="preserve"> </w:t>
      </w:r>
      <w:r w:rsidRPr="000E42D9">
        <w:rPr>
          <w:rFonts w:ascii="Bookman Old Style" w:eastAsia="Bookman Old Style" w:hAnsi="Bookman Old Style" w:cs="Bookman Old Style"/>
          <w:sz w:val="24"/>
          <w:szCs w:val="24"/>
          <w:lang w:val="en-US"/>
        </w:rPr>
        <w:t>sebagaimana</w:t>
      </w:r>
      <w:r w:rsidR="00A954D0">
        <w:rPr>
          <w:rFonts w:ascii="Bookman Old Style" w:eastAsia="Bookman Old Style" w:hAnsi="Bookman Old Style" w:cs="Bookman Old Style"/>
          <w:sz w:val="24"/>
          <w:szCs w:val="24"/>
          <w:lang w:val="en-US"/>
        </w:rPr>
        <w:t xml:space="preserve"> </w:t>
      </w:r>
      <w:r w:rsidRPr="000E42D9">
        <w:rPr>
          <w:rFonts w:ascii="Bookman Old Style" w:eastAsia="Bookman Old Style" w:hAnsi="Bookman Old Style" w:cs="Bookman Old Style"/>
          <w:sz w:val="24"/>
          <w:szCs w:val="24"/>
          <w:lang w:val="en-US"/>
        </w:rPr>
        <w:t>maksud</w:t>
      </w:r>
      <w:r w:rsidR="00A954D0">
        <w:rPr>
          <w:rFonts w:ascii="Bookman Old Style" w:eastAsia="Bookman Old Style" w:hAnsi="Bookman Old Style" w:cs="Bookman Old Style"/>
          <w:sz w:val="24"/>
          <w:szCs w:val="24"/>
          <w:lang w:val="en-US"/>
        </w:rPr>
        <w:t xml:space="preserve"> </w:t>
      </w:r>
      <w:r w:rsidRPr="000E42D9">
        <w:rPr>
          <w:rFonts w:ascii="Bookman Old Style" w:eastAsia="Bookman Old Style" w:hAnsi="Bookman Old Style" w:cs="Bookman Old Style"/>
          <w:sz w:val="24"/>
          <w:szCs w:val="24"/>
        </w:rPr>
        <w:t>Pasal</w:t>
      </w:r>
      <w:r w:rsidR="00A954D0">
        <w:rPr>
          <w:rFonts w:ascii="Bookman Old Style" w:eastAsia="Bookman Old Style" w:hAnsi="Bookman Old Style" w:cs="Bookman Old Style"/>
          <w:sz w:val="24"/>
          <w:szCs w:val="24"/>
        </w:rPr>
        <w:t xml:space="preserve"> </w:t>
      </w:r>
      <w:r w:rsidRPr="000E42D9">
        <w:rPr>
          <w:rFonts w:ascii="Bookman Old Style" w:eastAsia="Bookman Old Style" w:hAnsi="Bookman Old Style" w:cs="Bookman Old Style"/>
          <w:sz w:val="24"/>
          <w:szCs w:val="24"/>
        </w:rPr>
        <w:t>96</w:t>
      </w:r>
      <w:r w:rsidR="00A954D0">
        <w:rPr>
          <w:rFonts w:ascii="Bookman Old Style" w:eastAsia="Bookman Old Style" w:hAnsi="Bookman Old Style" w:cs="Bookman Old Style"/>
          <w:sz w:val="24"/>
          <w:szCs w:val="24"/>
        </w:rPr>
        <w:t xml:space="preserve"> </w:t>
      </w:r>
      <w:r w:rsidRPr="000E42D9">
        <w:rPr>
          <w:rFonts w:ascii="Bookman Old Style" w:eastAsia="Bookman Old Style" w:hAnsi="Bookman Old Style" w:cs="Bookman Old Style"/>
          <w:sz w:val="24"/>
          <w:szCs w:val="24"/>
        </w:rPr>
        <w:t>Undang-Undang</w:t>
      </w:r>
      <w:r w:rsidR="00A954D0">
        <w:rPr>
          <w:rFonts w:ascii="Bookman Old Style" w:eastAsia="Bookman Old Style" w:hAnsi="Bookman Old Style" w:cs="Bookman Old Style"/>
          <w:sz w:val="24"/>
          <w:szCs w:val="24"/>
        </w:rPr>
        <w:t xml:space="preserve"> </w:t>
      </w:r>
      <w:r w:rsidRPr="000E42D9">
        <w:rPr>
          <w:rFonts w:ascii="Bookman Old Style" w:eastAsia="Bookman Old Style" w:hAnsi="Bookman Old Style" w:cs="Bookman Old Style"/>
          <w:sz w:val="24"/>
          <w:szCs w:val="24"/>
        </w:rPr>
        <w:t>Nomor</w:t>
      </w:r>
      <w:r w:rsidR="00A954D0">
        <w:rPr>
          <w:rFonts w:ascii="Bookman Old Style" w:eastAsia="Bookman Old Style" w:hAnsi="Bookman Old Style" w:cs="Bookman Old Style"/>
          <w:sz w:val="24"/>
          <w:szCs w:val="24"/>
        </w:rPr>
        <w:t xml:space="preserve"> </w:t>
      </w:r>
      <w:r w:rsidRPr="000E42D9">
        <w:rPr>
          <w:rFonts w:ascii="Bookman Old Style" w:eastAsia="Bookman Old Style" w:hAnsi="Bookman Old Style" w:cs="Bookman Old Style"/>
          <w:sz w:val="24"/>
          <w:szCs w:val="24"/>
        </w:rPr>
        <w:t>1</w:t>
      </w:r>
      <w:r w:rsidR="00A954D0">
        <w:rPr>
          <w:rFonts w:ascii="Bookman Old Style" w:eastAsia="Bookman Old Style" w:hAnsi="Bookman Old Style" w:cs="Bookman Old Style"/>
          <w:sz w:val="24"/>
          <w:szCs w:val="24"/>
        </w:rPr>
        <w:t xml:space="preserve"> </w:t>
      </w:r>
      <w:r w:rsidRPr="000E42D9">
        <w:rPr>
          <w:rFonts w:ascii="Bookman Old Style" w:eastAsia="Bookman Old Style" w:hAnsi="Bookman Old Style" w:cs="Bookman Old Style"/>
          <w:sz w:val="24"/>
          <w:szCs w:val="24"/>
        </w:rPr>
        <w:t>Tahun</w:t>
      </w:r>
      <w:r w:rsidR="00A954D0">
        <w:rPr>
          <w:rFonts w:ascii="Bookman Old Style" w:eastAsia="Bookman Old Style" w:hAnsi="Bookman Old Style" w:cs="Bookman Old Style"/>
          <w:sz w:val="24"/>
          <w:szCs w:val="24"/>
        </w:rPr>
        <w:t xml:space="preserve"> </w:t>
      </w:r>
      <w:r w:rsidRPr="000E42D9">
        <w:rPr>
          <w:rFonts w:ascii="Bookman Old Style" w:eastAsia="Bookman Old Style" w:hAnsi="Bookman Old Style" w:cs="Bookman Old Style"/>
          <w:sz w:val="24"/>
          <w:szCs w:val="24"/>
        </w:rPr>
        <w:t>2022;</w:t>
      </w:r>
    </w:p>
    <w:p w14:paraId="10E51892" w14:textId="0068395B" w:rsidR="003C3E01" w:rsidRPr="000E42D9" w:rsidRDefault="003C3E01" w:rsidP="00B16310">
      <w:pPr>
        <w:pStyle w:val="ListParagraph"/>
        <w:numPr>
          <w:ilvl w:val="0"/>
          <w:numId w:val="48"/>
        </w:numPr>
        <w:shd w:val="clear" w:color="auto" w:fill="FFFFFF" w:themeFill="background1"/>
        <w:spacing w:before="60" w:after="0" w:line="276" w:lineRule="auto"/>
        <w:ind w:left="2694" w:hanging="425"/>
        <w:contextualSpacing w:val="0"/>
        <w:jc w:val="both"/>
        <w:rPr>
          <w:rFonts w:ascii="Bookman Old Style" w:eastAsia="Bookman Old Style" w:hAnsi="Bookman Old Style" w:cs="Bookman Old Style"/>
          <w:sz w:val="24"/>
          <w:szCs w:val="24"/>
          <w:lang w:val="id-ID"/>
        </w:rPr>
      </w:pPr>
      <w:r w:rsidRPr="000E42D9">
        <w:rPr>
          <w:rFonts w:ascii="Bookman Old Style" w:eastAsia="Bookman Old Style" w:hAnsi="Bookman Old Style" w:cs="Bookman Old Style"/>
          <w:sz w:val="24"/>
          <w:szCs w:val="24"/>
          <w:lang w:val="id-ID"/>
        </w:rPr>
        <w:t>kebijakan</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fiskal</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nasional,</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en-US"/>
        </w:rPr>
        <w:t>sebagaimana</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en-US"/>
        </w:rPr>
        <w:t>maksud</w:t>
      </w:r>
      <w:r w:rsidR="00A954D0">
        <w:rPr>
          <w:rFonts w:ascii="Bookman Old Style" w:eastAsia="Bookman Old Style" w:hAnsi="Bookman Old Style" w:cs="Bookman Old Style"/>
          <w:sz w:val="24"/>
          <w:szCs w:val="24"/>
          <w:lang w:val="en-US"/>
        </w:rPr>
        <w:t xml:space="preserve"> </w:t>
      </w:r>
      <w:r w:rsidRPr="000E42D9">
        <w:rPr>
          <w:rFonts w:ascii="Bookman Old Style" w:eastAsia="Bookman Old Style" w:hAnsi="Bookman Old Style" w:cs="Bookman Old Style"/>
          <w:sz w:val="24"/>
          <w:szCs w:val="24"/>
          <w:lang w:val="id-ID"/>
        </w:rPr>
        <w:t>Pasal</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97</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Undang-Undang</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Nomor</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1</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Tahun</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2022;</w:t>
      </w:r>
    </w:p>
    <w:p w14:paraId="3FEC5BF3" w14:textId="056B943F" w:rsidR="003C3E01" w:rsidRDefault="003C3E01" w:rsidP="00B16310">
      <w:pPr>
        <w:pStyle w:val="ListParagraph"/>
        <w:numPr>
          <w:ilvl w:val="0"/>
          <w:numId w:val="48"/>
        </w:numPr>
        <w:shd w:val="clear" w:color="auto" w:fill="FFFFFF" w:themeFill="background1"/>
        <w:spacing w:before="60" w:after="0" w:line="276" w:lineRule="auto"/>
        <w:ind w:left="2694" w:hanging="425"/>
        <w:contextualSpacing w:val="0"/>
        <w:jc w:val="both"/>
        <w:rPr>
          <w:rFonts w:ascii="Bookman Old Style" w:eastAsia="Bookman Old Style" w:hAnsi="Bookman Old Style" w:cs="Bookman Old Style"/>
          <w:sz w:val="24"/>
          <w:szCs w:val="24"/>
          <w:lang w:val="id-ID"/>
        </w:rPr>
      </w:pPr>
      <w:r w:rsidRPr="000E42D9">
        <w:rPr>
          <w:rFonts w:ascii="Bookman Old Style" w:eastAsia="Bookman Old Style" w:hAnsi="Bookman Old Style" w:cs="Bookman Old Style"/>
          <w:sz w:val="24"/>
          <w:szCs w:val="24"/>
          <w:lang w:val="id-ID"/>
        </w:rPr>
        <w:t>dana</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insentif</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fiskal</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yang</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dilakukan</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untuk</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mendukung</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kebijakan</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kemudahan</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berinvestasi,</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lastRenderedPageBreak/>
        <w:t>sebagaimana</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maksud</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Pasal</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101</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Undang-Undang</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Nomor</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1</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Tahun</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2022</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dan</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Peraturan</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Pemerintah</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Nomor</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24</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Tahun</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2019</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tentang</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Pemberian</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Insentif</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dan</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Kemudahan</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Investasi</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di</w:t>
      </w:r>
      <w:r w:rsidR="00A954D0">
        <w:rPr>
          <w:rFonts w:ascii="Bookman Old Style" w:eastAsia="Bookman Old Style" w:hAnsi="Bookman Old Style" w:cs="Bookman Old Style"/>
          <w:sz w:val="24"/>
          <w:szCs w:val="24"/>
          <w:lang w:val="id-ID"/>
        </w:rPr>
        <w:t xml:space="preserve"> </w:t>
      </w:r>
      <w:r w:rsidRPr="000E42D9">
        <w:rPr>
          <w:rFonts w:ascii="Bookman Old Style" w:eastAsia="Bookman Old Style" w:hAnsi="Bookman Old Style" w:cs="Bookman Old Style"/>
          <w:sz w:val="24"/>
          <w:szCs w:val="24"/>
          <w:lang w:val="id-ID"/>
        </w:rPr>
        <w:t>Daerah;</w:t>
      </w:r>
    </w:p>
    <w:p w14:paraId="298B1BC5" w14:textId="66F2167D" w:rsidR="00A63FCC" w:rsidRPr="000E42D9" w:rsidRDefault="00B15D0A" w:rsidP="00B16310">
      <w:pPr>
        <w:pStyle w:val="ListParagraph"/>
        <w:numPr>
          <w:ilvl w:val="0"/>
          <w:numId w:val="48"/>
        </w:numPr>
        <w:shd w:val="clear" w:color="auto" w:fill="FFFFFF" w:themeFill="background1"/>
        <w:spacing w:before="60" w:after="0" w:line="276" w:lineRule="auto"/>
        <w:ind w:left="2694" w:hanging="425"/>
        <w:contextualSpacing w:val="0"/>
        <w:jc w:val="both"/>
        <w:rPr>
          <w:rFonts w:ascii="Bookman Old Style" w:eastAsia="Bookman Old Style" w:hAnsi="Bookman Old Style" w:cs="Bookman Old Style"/>
          <w:sz w:val="24"/>
          <w:szCs w:val="24"/>
          <w:lang w:val="id-ID"/>
        </w:rPr>
      </w:pPr>
      <w:r w:rsidRPr="003255BC">
        <w:rPr>
          <w:rFonts w:ascii="Bookman Old Style" w:eastAsia="Bookman Old Style" w:hAnsi="Bookman Old Style" w:cs="Bookman Old Style"/>
          <w:sz w:val="24"/>
          <w:szCs w:val="24"/>
          <w:lang w:val="id-ID"/>
        </w:rPr>
        <w:t>pembebasan</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Bea</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Perolehan</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Hak</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atas</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Tanah</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dan</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Bangunan</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(BPHTB),</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p</w:t>
      </w:r>
      <w:r w:rsidR="00B43A56" w:rsidRPr="003255BC">
        <w:rPr>
          <w:rFonts w:ascii="Bookman Old Style" w:eastAsia="Bookman Old Style" w:hAnsi="Bookman Old Style" w:cs="Bookman Old Style"/>
          <w:sz w:val="24"/>
          <w:szCs w:val="24"/>
          <w:lang w:val="id-ID"/>
        </w:rPr>
        <w:t>e</w:t>
      </w:r>
      <w:r w:rsidRPr="003255BC">
        <w:rPr>
          <w:rFonts w:ascii="Bookman Old Style" w:eastAsia="Bookman Old Style" w:hAnsi="Bookman Old Style" w:cs="Bookman Old Style"/>
          <w:sz w:val="24"/>
          <w:szCs w:val="24"/>
          <w:lang w:val="id-ID"/>
        </w:rPr>
        <w:t>mbebasan</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Retribusi</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Persetujuan</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Bangunan</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Gedung</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(PBG),</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serta</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Percepatan</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penerbitan</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PBG</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dalam</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rangka</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mendukung</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percepatan</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pelaksanaan</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Program</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Pembangunan</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Tiga</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Juta</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Rumah,</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sebagaimana</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Keputusan</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Bersama</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Menteri</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Perumahan</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dan</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Kawasan</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Permukiman,</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Menteri</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Pekerjaan</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Umum</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dan</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Menteri</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Dalam</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Negeri</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Nomor</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03.HK/KPTS/Mn/2024,</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Nomor</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3015/KPTS/M/2024</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dan</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Nomor</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600.10-4849</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Tahun</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2024</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tentang</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Percepatan</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Pelaksanaan</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Program</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Pembangunan</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Tiga</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Juta</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Rumah.</w:t>
      </w:r>
    </w:p>
    <w:p w14:paraId="69905AFB" w14:textId="7A87EEAD" w:rsidR="003C3E01" w:rsidRPr="000E42D9" w:rsidRDefault="003C3E01" w:rsidP="003C3E01">
      <w:pPr>
        <w:pStyle w:val="ListParagraph"/>
        <w:numPr>
          <w:ilvl w:val="0"/>
          <w:numId w:val="4"/>
        </w:numPr>
        <w:spacing w:before="120" w:after="0" w:line="276" w:lineRule="auto"/>
        <w:ind w:left="1701" w:hanging="420"/>
        <w:contextualSpacing w:val="0"/>
        <w:jc w:val="both"/>
        <w:rPr>
          <w:rFonts w:ascii="Bookman Old Style" w:hAnsi="Bookman Old Style"/>
          <w:color w:val="000000" w:themeColor="text1"/>
          <w:sz w:val="24"/>
          <w:szCs w:val="24"/>
        </w:rPr>
      </w:pPr>
      <w:r w:rsidRPr="000E42D9">
        <w:rPr>
          <w:rFonts w:ascii="Bookman Old Style" w:hAnsi="Bookman Old Style" w:cs="Bookman Old Style"/>
          <w:color w:val="000000" w:themeColor="text1"/>
          <w:sz w:val="24"/>
          <w:szCs w:val="24"/>
          <w:lang w:val="id-ID"/>
        </w:rPr>
        <w:t>Hasil</w:t>
      </w:r>
      <w:r w:rsidR="00A954D0">
        <w:rPr>
          <w:rFonts w:ascii="Bookman Old Style" w:hAnsi="Bookman Old Style" w:cs="Tahoma,Bold"/>
          <w:bCs/>
          <w:color w:val="000000" w:themeColor="text1"/>
          <w:sz w:val="24"/>
          <w:szCs w:val="24"/>
          <w:lang w:val="id-ID" w:eastAsia="id-ID"/>
        </w:rPr>
        <w:t xml:space="preserve"> </w:t>
      </w:r>
      <w:r w:rsidRPr="000E42D9">
        <w:rPr>
          <w:rFonts w:ascii="Bookman Old Style" w:hAnsi="Bookman Old Style" w:cs="Arial"/>
          <w:bCs/>
          <w:color w:val="000000" w:themeColor="text1"/>
          <w:sz w:val="24"/>
          <w:szCs w:val="24"/>
          <w:lang w:val="id-ID" w:eastAsia="zh-CN"/>
        </w:rPr>
        <w:t>Pengelolaan</w:t>
      </w:r>
      <w:r w:rsidR="00A954D0">
        <w:rPr>
          <w:rFonts w:ascii="Bookman Old Style" w:hAnsi="Bookman Old Style" w:cs="Tahoma,Bold"/>
          <w:bCs/>
          <w:color w:val="000000" w:themeColor="text1"/>
          <w:sz w:val="24"/>
          <w:szCs w:val="24"/>
          <w:lang w:val="id-ID" w:eastAsia="id-ID"/>
        </w:rPr>
        <w:t xml:space="preserve"> </w:t>
      </w:r>
      <w:r w:rsidRPr="000E42D9">
        <w:rPr>
          <w:rFonts w:ascii="Bookman Old Style" w:hAnsi="Bookman Old Style" w:cs="Tahoma,Bold"/>
          <w:bCs/>
          <w:color w:val="000000" w:themeColor="text1"/>
          <w:sz w:val="24"/>
          <w:szCs w:val="24"/>
          <w:lang w:val="id-ID" w:eastAsia="id-ID"/>
        </w:rPr>
        <w:t>Kekayaan</w:t>
      </w:r>
      <w:r w:rsidR="00A954D0">
        <w:rPr>
          <w:rFonts w:ascii="Bookman Old Style" w:hAnsi="Bookman Old Style" w:cs="Tahoma,Bold"/>
          <w:bCs/>
          <w:color w:val="000000" w:themeColor="text1"/>
          <w:sz w:val="24"/>
          <w:szCs w:val="24"/>
          <w:lang w:val="id-ID" w:eastAsia="id-ID"/>
        </w:rPr>
        <w:t xml:space="preserve"> </w:t>
      </w:r>
      <w:r w:rsidRPr="000E42D9">
        <w:rPr>
          <w:rFonts w:ascii="Bookman Old Style" w:hAnsi="Bookman Old Style" w:cs="Tahoma,Bold"/>
          <w:bCs/>
          <w:color w:val="000000" w:themeColor="text1"/>
          <w:sz w:val="24"/>
          <w:szCs w:val="24"/>
          <w:lang w:val="id-ID" w:eastAsia="id-ID"/>
        </w:rPr>
        <w:t>Daerah</w:t>
      </w:r>
      <w:r w:rsidR="00A954D0">
        <w:rPr>
          <w:rFonts w:ascii="Bookman Old Style" w:hAnsi="Bookman Old Style" w:cs="Tahoma,Bold"/>
          <w:bCs/>
          <w:color w:val="000000" w:themeColor="text1"/>
          <w:sz w:val="24"/>
          <w:szCs w:val="24"/>
          <w:lang w:val="id-ID" w:eastAsia="id-ID"/>
        </w:rPr>
        <w:t xml:space="preserve"> </w:t>
      </w:r>
      <w:r w:rsidRPr="000E42D9">
        <w:rPr>
          <w:rFonts w:ascii="Bookman Old Style" w:hAnsi="Bookman Old Style" w:cs="Tahoma,Bold"/>
          <w:bCs/>
          <w:color w:val="000000" w:themeColor="text1"/>
          <w:sz w:val="24"/>
          <w:szCs w:val="24"/>
          <w:lang w:val="id-ID" w:eastAsia="id-ID"/>
        </w:rPr>
        <w:t>yang</w:t>
      </w:r>
      <w:r w:rsidR="00A954D0">
        <w:rPr>
          <w:rFonts w:ascii="Bookman Old Style" w:hAnsi="Bookman Old Style" w:cs="Tahoma,Bold"/>
          <w:bCs/>
          <w:color w:val="000000" w:themeColor="text1"/>
          <w:sz w:val="24"/>
          <w:szCs w:val="24"/>
          <w:lang w:val="id-ID" w:eastAsia="id-ID"/>
        </w:rPr>
        <w:t xml:space="preserve"> </w:t>
      </w:r>
      <w:r w:rsidRPr="000E42D9">
        <w:rPr>
          <w:rFonts w:ascii="Bookman Old Style" w:hAnsi="Bookman Old Style" w:cs="Tahoma,Bold"/>
          <w:bCs/>
          <w:color w:val="000000" w:themeColor="text1"/>
          <w:sz w:val="24"/>
          <w:szCs w:val="24"/>
          <w:lang w:val="id-ID" w:eastAsia="id-ID"/>
        </w:rPr>
        <w:t>Dipisahkan</w:t>
      </w:r>
    </w:p>
    <w:p w14:paraId="7F5D4B02" w14:textId="23E1BFC8" w:rsidR="000E5ADB" w:rsidRPr="00170D03" w:rsidRDefault="000E5ADB" w:rsidP="000E5ADB">
      <w:pPr>
        <w:snapToGrid w:val="0"/>
        <w:spacing w:before="60" w:line="276" w:lineRule="auto"/>
        <w:ind w:left="1701"/>
        <w:jc w:val="both"/>
        <w:rPr>
          <w:rFonts w:ascii="Bookman Old Style" w:hAnsi="Bookman Old Style"/>
          <w:lang w:val="en-US"/>
        </w:rPr>
      </w:pPr>
      <w:r w:rsidRPr="000E42D9">
        <w:rPr>
          <w:rFonts w:ascii="Bookman Old Style" w:hAnsi="Bookman Old Style"/>
        </w:rPr>
        <w:t>Penganggaran</w:t>
      </w:r>
      <w:r w:rsidR="00A954D0">
        <w:rPr>
          <w:rFonts w:ascii="Bookman Old Style" w:hAnsi="Bookman Old Style"/>
        </w:rPr>
        <w:t xml:space="preserve"> </w:t>
      </w:r>
      <w:r w:rsidRPr="000E42D9">
        <w:rPr>
          <w:rFonts w:ascii="Bookman Old Style" w:hAnsi="Bookman Old Style"/>
        </w:rPr>
        <w:t>target</w:t>
      </w:r>
      <w:r w:rsidR="00A954D0">
        <w:rPr>
          <w:rFonts w:ascii="Bookman Old Style" w:hAnsi="Bookman Old Style"/>
        </w:rPr>
        <w:t xml:space="preserve"> </w:t>
      </w:r>
      <w:r w:rsidRPr="000E42D9">
        <w:rPr>
          <w:rFonts w:ascii="Bookman Old Style" w:hAnsi="Bookman Old Style" w:cs="Tahoma,Bold"/>
          <w:bCs/>
          <w:lang w:val="id-ID" w:eastAsia="id-ID"/>
        </w:rPr>
        <w:t>pendapatan</w:t>
      </w:r>
      <w:r w:rsidR="00A954D0">
        <w:rPr>
          <w:rFonts w:ascii="Bookman Old Style" w:hAnsi="Bookman Old Style"/>
        </w:rPr>
        <w:t xml:space="preserve"> </w:t>
      </w:r>
      <w:r w:rsidRPr="000E42D9">
        <w:rPr>
          <w:rFonts w:ascii="Bookman Old Style" w:hAnsi="Bookman Old Style"/>
        </w:rPr>
        <w:t>Hasil</w:t>
      </w:r>
      <w:r w:rsidR="00A954D0">
        <w:rPr>
          <w:rFonts w:ascii="Bookman Old Style" w:hAnsi="Bookman Old Style"/>
        </w:rPr>
        <w:t xml:space="preserve"> </w:t>
      </w:r>
      <w:r w:rsidRPr="000E42D9">
        <w:rPr>
          <w:rFonts w:ascii="Bookman Old Style" w:hAnsi="Bookman Old Style"/>
        </w:rPr>
        <w:t>Pengelolaan</w:t>
      </w:r>
      <w:r w:rsidR="00A954D0">
        <w:rPr>
          <w:rFonts w:ascii="Bookman Old Style" w:hAnsi="Bookman Old Style"/>
        </w:rPr>
        <w:t xml:space="preserve"> </w:t>
      </w:r>
      <w:r w:rsidRPr="000E42D9">
        <w:rPr>
          <w:rFonts w:ascii="Bookman Old Style" w:hAnsi="Bookman Old Style"/>
        </w:rPr>
        <w:t>Kekayaan</w:t>
      </w:r>
      <w:r w:rsidR="00A954D0">
        <w:rPr>
          <w:rFonts w:ascii="Bookman Old Style" w:hAnsi="Bookman Old Style"/>
        </w:rPr>
        <w:t xml:space="preserve"> </w:t>
      </w:r>
      <w:r w:rsidRPr="000E42D9">
        <w:rPr>
          <w:rFonts w:ascii="Bookman Old Style" w:hAnsi="Bookman Old Style"/>
        </w:rPr>
        <w:t>Daerah</w:t>
      </w:r>
      <w:r w:rsidR="00A954D0">
        <w:rPr>
          <w:rFonts w:ascii="Bookman Old Style" w:hAnsi="Bookman Old Style"/>
        </w:rPr>
        <w:t xml:space="preserve"> </w:t>
      </w:r>
      <w:r w:rsidRPr="000E42D9">
        <w:rPr>
          <w:rFonts w:ascii="Bookman Old Style" w:hAnsi="Bookman Old Style"/>
        </w:rPr>
        <w:t>yang</w:t>
      </w:r>
      <w:r w:rsidR="00A954D0">
        <w:rPr>
          <w:rFonts w:ascii="Bookman Old Style" w:hAnsi="Bookman Old Style"/>
        </w:rPr>
        <w:t xml:space="preserve"> </w:t>
      </w:r>
      <w:r w:rsidRPr="000E42D9">
        <w:rPr>
          <w:rFonts w:ascii="Bookman Old Style" w:hAnsi="Bookman Old Style"/>
        </w:rPr>
        <w:t>Dipisahkan</w:t>
      </w:r>
      <w:r w:rsidR="00A954D0">
        <w:rPr>
          <w:rFonts w:ascii="Bookman Old Style" w:hAnsi="Bookman Old Style"/>
        </w:rPr>
        <w:t xml:space="preserve"> </w:t>
      </w:r>
      <w:r w:rsidRPr="00170D03">
        <w:rPr>
          <w:rFonts w:ascii="Bookman Old Style" w:hAnsi="Bookman Old Style"/>
        </w:rPr>
        <w:t>merupakan</w:t>
      </w:r>
      <w:r w:rsidR="00A954D0">
        <w:rPr>
          <w:rFonts w:ascii="Bookman Old Style" w:hAnsi="Bookman Old Style"/>
        </w:rPr>
        <w:t xml:space="preserve"> </w:t>
      </w:r>
      <w:r w:rsidRPr="00170D03">
        <w:rPr>
          <w:rFonts w:ascii="Bookman Old Style" w:hAnsi="Bookman Old Style"/>
        </w:rPr>
        <w:t>penerimaan</w:t>
      </w:r>
      <w:r w:rsidR="00A954D0">
        <w:rPr>
          <w:rFonts w:ascii="Bookman Old Style" w:hAnsi="Bookman Old Style"/>
        </w:rPr>
        <w:t xml:space="preserve"> </w:t>
      </w:r>
      <w:r w:rsidRPr="00170D03">
        <w:rPr>
          <w:rFonts w:ascii="Bookman Old Style" w:hAnsi="Bookman Old Style"/>
        </w:rPr>
        <w:t>daerah</w:t>
      </w:r>
      <w:r w:rsidR="00A954D0">
        <w:rPr>
          <w:rFonts w:ascii="Bookman Old Style" w:hAnsi="Bookman Old Style"/>
        </w:rPr>
        <w:t xml:space="preserve"> </w:t>
      </w:r>
      <w:r w:rsidRPr="00170D03">
        <w:rPr>
          <w:rFonts w:ascii="Bookman Old Style" w:hAnsi="Bookman Old Style"/>
        </w:rPr>
        <w:t>atas</w:t>
      </w:r>
      <w:r w:rsidR="00A954D0">
        <w:rPr>
          <w:rFonts w:ascii="Bookman Old Style" w:hAnsi="Bookman Old Style"/>
        </w:rPr>
        <w:t xml:space="preserve"> </w:t>
      </w:r>
      <w:r w:rsidRPr="00170D03">
        <w:rPr>
          <w:rFonts w:ascii="Bookman Old Style" w:hAnsi="Bookman Old Style"/>
        </w:rPr>
        <w:t>hasil</w:t>
      </w:r>
      <w:r w:rsidR="00A954D0">
        <w:rPr>
          <w:rFonts w:ascii="Bookman Old Style" w:hAnsi="Bookman Old Style"/>
        </w:rPr>
        <w:t xml:space="preserve"> </w:t>
      </w:r>
      <w:r w:rsidRPr="00170D03">
        <w:rPr>
          <w:rFonts w:ascii="Bookman Old Style" w:hAnsi="Bookman Old Style"/>
        </w:rPr>
        <w:t>penyertaan</w:t>
      </w:r>
      <w:r w:rsidR="00A954D0">
        <w:rPr>
          <w:rFonts w:ascii="Bookman Old Style" w:hAnsi="Bookman Old Style"/>
        </w:rPr>
        <w:t xml:space="preserve"> </w:t>
      </w:r>
      <w:r w:rsidRPr="00170D03">
        <w:rPr>
          <w:rFonts w:ascii="Bookman Old Style" w:hAnsi="Bookman Old Style"/>
        </w:rPr>
        <w:t>modal</w:t>
      </w:r>
      <w:r w:rsidR="00A954D0">
        <w:rPr>
          <w:rFonts w:ascii="Bookman Old Style" w:hAnsi="Bookman Old Style"/>
        </w:rPr>
        <w:t xml:space="preserve"> </w:t>
      </w:r>
      <w:r w:rsidRPr="00170D03">
        <w:rPr>
          <w:rFonts w:ascii="Bookman Old Style" w:hAnsi="Bookman Old Style"/>
        </w:rPr>
        <w:t>daerah,</w:t>
      </w:r>
      <w:r w:rsidR="00A954D0">
        <w:rPr>
          <w:rFonts w:ascii="Bookman Old Style" w:hAnsi="Bookman Old Style"/>
        </w:rPr>
        <w:t xml:space="preserve"> </w:t>
      </w:r>
      <w:r w:rsidRPr="00170D03">
        <w:rPr>
          <w:rFonts w:ascii="Bookman Old Style" w:hAnsi="Bookman Old Style"/>
        </w:rPr>
        <w:t>dalam</w:t>
      </w:r>
      <w:r w:rsidR="00A954D0">
        <w:rPr>
          <w:rFonts w:ascii="Bookman Old Style" w:hAnsi="Bookman Old Style"/>
        </w:rPr>
        <w:t xml:space="preserve"> </w:t>
      </w:r>
      <w:r w:rsidRPr="00170D03">
        <w:rPr>
          <w:rFonts w:ascii="Bookman Old Style" w:hAnsi="Bookman Old Style"/>
        </w:rPr>
        <w:t>Rancangan</w:t>
      </w:r>
      <w:r w:rsidR="00A954D0">
        <w:rPr>
          <w:rFonts w:ascii="Bookman Old Style" w:hAnsi="Bookman Old Style"/>
        </w:rPr>
        <w:t xml:space="preserve"> </w:t>
      </w:r>
      <w:r w:rsidRPr="00170D03">
        <w:rPr>
          <w:rFonts w:ascii="Bookman Old Style" w:hAnsi="Bookman Old Style"/>
        </w:rPr>
        <w:t>Peraturan</w:t>
      </w:r>
      <w:r w:rsidR="00A954D0">
        <w:rPr>
          <w:rFonts w:ascii="Bookman Old Style" w:hAnsi="Bookman Old Style"/>
        </w:rPr>
        <w:t xml:space="preserve"> </w:t>
      </w:r>
      <w:r w:rsidRPr="00170D03">
        <w:rPr>
          <w:rFonts w:ascii="Bookman Old Style" w:hAnsi="Bookman Old Style"/>
        </w:rPr>
        <w:t>Daerah</w:t>
      </w:r>
      <w:r w:rsidR="00A954D0">
        <w:rPr>
          <w:rFonts w:ascii="Bookman Old Style" w:hAnsi="Bookman Old Style"/>
        </w:rPr>
        <w:t xml:space="preserve"> </w:t>
      </w:r>
      <w:r>
        <w:rPr>
          <w:rFonts w:ascii="Bookman Old Style" w:hAnsi="Bookman Old Style"/>
        </w:rPr>
        <w:t>Kota</w:t>
      </w:r>
      <w:r w:rsidR="00A954D0">
        <w:rPr>
          <w:rFonts w:ascii="Bookman Old Style" w:hAnsi="Bookman Old Style"/>
        </w:rPr>
        <w:t xml:space="preserve"> </w:t>
      </w:r>
      <w:r>
        <w:rPr>
          <w:rFonts w:ascii="Bookman Old Style" w:hAnsi="Bookman Old Style"/>
        </w:rPr>
        <w:t>Tangerang</w:t>
      </w:r>
      <w:r w:rsidR="00A954D0">
        <w:rPr>
          <w:rFonts w:ascii="Bookman Old Style" w:hAnsi="Bookman Old Style"/>
        </w:rPr>
        <w:t xml:space="preserve"> </w:t>
      </w:r>
      <w:r w:rsidRPr="00170D03">
        <w:rPr>
          <w:rFonts w:ascii="Bookman Old Style" w:hAnsi="Bookman Old Style"/>
        </w:rPr>
        <w:t>tentang</w:t>
      </w:r>
      <w:r w:rsidR="00A954D0">
        <w:rPr>
          <w:rFonts w:ascii="Bookman Old Style" w:hAnsi="Bookman Old Style"/>
        </w:rPr>
        <w:t xml:space="preserve"> </w:t>
      </w:r>
      <w:r w:rsidRPr="00170D03">
        <w:rPr>
          <w:rFonts w:ascii="Bookman Old Style" w:hAnsi="Bookman Old Style"/>
        </w:rPr>
        <w:t>APBD</w:t>
      </w:r>
      <w:r w:rsidR="00A954D0">
        <w:rPr>
          <w:rFonts w:ascii="Bookman Old Style" w:hAnsi="Bookman Old Style"/>
        </w:rPr>
        <w:t xml:space="preserve"> </w:t>
      </w:r>
      <w:r w:rsidRPr="00170D03">
        <w:rPr>
          <w:rFonts w:ascii="Bookman Old Style" w:hAnsi="Bookman Old Style"/>
        </w:rPr>
        <w:t>Tahun</w:t>
      </w:r>
      <w:r w:rsidR="00A954D0">
        <w:rPr>
          <w:rFonts w:ascii="Bookman Old Style" w:hAnsi="Bookman Old Style"/>
        </w:rPr>
        <w:t xml:space="preserve"> </w:t>
      </w:r>
      <w:r w:rsidRPr="00170D03">
        <w:rPr>
          <w:rFonts w:ascii="Bookman Old Style" w:hAnsi="Bookman Old Style"/>
        </w:rPr>
        <w:t>Anggaran</w:t>
      </w:r>
      <w:r w:rsidR="00A954D0">
        <w:rPr>
          <w:rFonts w:ascii="Bookman Old Style" w:hAnsi="Bookman Old Style"/>
        </w:rPr>
        <w:t xml:space="preserve"> </w:t>
      </w:r>
      <w:r w:rsidRPr="00170D03">
        <w:rPr>
          <w:rFonts w:ascii="Bookman Old Style" w:hAnsi="Bookman Old Style"/>
        </w:rPr>
        <w:t>2025</w:t>
      </w:r>
      <w:r w:rsidR="00A954D0">
        <w:rPr>
          <w:rFonts w:ascii="Bookman Old Style" w:hAnsi="Bookman Old Style"/>
        </w:rPr>
        <w:t xml:space="preserve"> </w:t>
      </w:r>
      <w:r w:rsidRPr="00170D03">
        <w:rPr>
          <w:rFonts w:ascii="Bookman Old Style" w:hAnsi="Bookman Old Style"/>
          <w:lang w:val="it-IT"/>
        </w:rPr>
        <w:t>Rp</w:t>
      </w:r>
      <w:r w:rsidRPr="006F6E06">
        <w:rPr>
          <w:rFonts w:ascii="Bookman Old Style" w:hAnsi="Bookman Old Style"/>
          <w:lang w:val="it-IT"/>
        </w:rPr>
        <w:t>23.467.177.212,00</w:t>
      </w:r>
      <w:r w:rsidR="00A954D0">
        <w:rPr>
          <w:rFonts w:ascii="Bookman Old Style" w:hAnsi="Bookman Old Style"/>
          <w:lang w:val="it-IT"/>
        </w:rPr>
        <w:t xml:space="preserve"> </w:t>
      </w:r>
      <w:r w:rsidRPr="00170D03">
        <w:rPr>
          <w:rFonts w:ascii="Bookman Old Style" w:hAnsi="Bookman Old Style"/>
          <w:lang w:val="it-IT"/>
        </w:rPr>
        <w:t>atau</w:t>
      </w:r>
      <w:r w:rsidR="00A954D0">
        <w:rPr>
          <w:rFonts w:ascii="Bookman Old Style" w:hAnsi="Bookman Old Style"/>
          <w:lang w:val="it-IT"/>
        </w:rPr>
        <w:t xml:space="preserve"> </w:t>
      </w:r>
      <w:r w:rsidRPr="00170D03">
        <w:rPr>
          <w:rFonts w:ascii="Bookman Old Style" w:hAnsi="Bookman Old Style"/>
          <w:lang w:val="it-IT"/>
        </w:rPr>
        <w:t>0,</w:t>
      </w:r>
      <w:r>
        <w:rPr>
          <w:rFonts w:ascii="Bookman Old Style" w:hAnsi="Bookman Old Style"/>
          <w:lang w:val="it-IT"/>
        </w:rPr>
        <w:t>44</w:t>
      </w:r>
      <w:r w:rsidRPr="00170D03">
        <w:rPr>
          <w:rFonts w:ascii="Bookman Old Style" w:hAnsi="Bookman Old Style"/>
          <w:lang w:val="it-IT"/>
        </w:rPr>
        <w:t>%</w:t>
      </w:r>
      <w:r w:rsidR="00A954D0">
        <w:rPr>
          <w:rFonts w:ascii="Bookman Old Style" w:hAnsi="Bookman Old Style"/>
        </w:rPr>
        <w:t xml:space="preserve"> </w:t>
      </w:r>
      <w:r w:rsidRPr="00170D03">
        <w:rPr>
          <w:rFonts w:ascii="Bookman Old Style" w:hAnsi="Bookman Old Style"/>
        </w:rPr>
        <w:t>dari</w:t>
      </w:r>
      <w:r w:rsidR="00A954D0">
        <w:rPr>
          <w:rFonts w:ascii="Bookman Old Style" w:hAnsi="Bookman Old Style"/>
        </w:rPr>
        <w:t xml:space="preserve"> </w:t>
      </w:r>
      <w:r w:rsidRPr="00170D03">
        <w:rPr>
          <w:rFonts w:ascii="Bookman Old Style" w:hAnsi="Bookman Old Style"/>
        </w:rPr>
        <w:t>total</w:t>
      </w:r>
      <w:r w:rsidR="00A954D0">
        <w:rPr>
          <w:rFonts w:ascii="Bookman Old Style" w:hAnsi="Bookman Old Style"/>
        </w:rPr>
        <w:t xml:space="preserve"> </w:t>
      </w:r>
      <w:r w:rsidRPr="00170D03">
        <w:rPr>
          <w:rFonts w:ascii="Bookman Old Style" w:hAnsi="Bookman Old Style"/>
        </w:rPr>
        <w:t>pendapatan</w:t>
      </w:r>
      <w:r w:rsidR="00A954D0">
        <w:rPr>
          <w:rFonts w:ascii="Bookman Old Style" w:hAnsi="Bookman Old Style"/>
        </w:rPr>
        <w:t xml:space="preserve"> </w:t>
      </w:r>
      <w:r w:rsidRPr="00170D03">
        <w:rPr>
          <w:rFonts w:ascii="Bookman Old Style" w:hAnsi="Bookman Old Style"/>
        </w:rPr>
        <w:t>daerah</w:t>
      </w:r>
      <w:r w:rsidR="00A954D0">
        <w:rPr>
          <w:rFonts w:ascii="Bookman Old Style" w:hAnsi="Bookman Old Style"/>
        </w:rPr>
        <w:t xml:space="preserve"> </w:t>
      </w:r>
      <w:r w:rsidRPr="00170D03">
        <w:rPr>
          <w:rFonts w:ascii="Bookman Old Style" w:hAnsi="Bookman Old Style" w:cs="Tahoma,Bold"/>
          <w:bCs/>
          <w:lang w:val="id-ID" w:eastAsia="id-ID"/>
        </w:rPr>
        <w:t>dalam</w:t>
      </w:r>
      <w:r w:rsidR="00A954D0">
        <w:rPr>
          <w:rFonts w:ascii="Bookman Old Style" w:hAnsi="Bookman Old Style"/>
        </w:rPr>
        <w:t xml:space="preserve"> </w:t>
      </w:r>
      <w:r w:rsidRPr="00170D03">
        <w:rPr>
          <w:rFonts w:ascii="Bookman Old Style" w:hAnsi="Bookman Old Style"/>
        </w:rPr>
        <w:t>Rancangan</w:t>
      </w:r>
      <w:r w:rsidR="00A954D0">
        <w:rPr>
          <w:rFonts w:ascii="Bookman Old Style" w:hAnsi="Bookman Old Style"/>
        </w:rPr>
        <w:t xml:space="preserve"> </w:t>
      </w:r>
      <w:r w:rsidRPr="00170D03">
        <w:rPr>
          <w:rFonts w:ascii="Bookman Old Style" w:hAnsi="Bookman Old Style"/>
        </w:rPr>
        <w:t>Peraturan</w:t>
      </w:r>
      <w:r w:rsidR="00A954D0">
        <w:rPr>
          <w:rFonts w:ascii="Bookman Old Style" w:hAnsi="Bookman Old Style"/>
        </w:rPr>
        <w:t xml:space="preserve"> </w:t>
      </w:r>
      <w:r w:rsidRPr="00170D03">
        <w:rPr>
          <w:rFonts w:ascii="Bookman Old Style" w:hAnsi="Bookman Old Style"/>
        </w:rPr>
        <w:t>Daerah</w:t>
      </w:r>
      <w:r w:rsidR="00A954D0">
        <w:rPr>
          <w:rFonts w:ascii="Bookman Old Style" w:hAnsi="Bookman Old Style"/>
          <w:lang w:val="id-ID"/>
        </w:rPr>
        <w:t xml:space="preserve"> </w:t>
      </w:r>
      <w:r>
        <w:rPr>
          <w:rFonts w:ascii="Bookman Old Style" w:hAnsi="Bookman Old Style"/>
        </w:rPr>
        <w:t>Kota</w:t>
      </w:r>
      <w:r w:rsidR="00A954D0">
        <w:rPr>
          <w:rFonts w:ascii="Bookman Old Style" w:hAnsi="Bookman Old Style"/>
        </w:rPr>
        <w:t xml:space="preserve"> </w:t>
      </w:r>
      <w:r>
        <w:rPr>
          <w:rFonts w:ascii="Bookman Old Style" w:hAnsi="Bookman Old Style"/>
        </w:rPr>
        <w:t>Tangerang</w:t>
      </w:r>
      <w:r w:rsidR="00A954D0">
        <w:rPr>
          <w:rFonts w:ascii="Bookman Old Style" w:hAnsi="Bookman Old Style"/>
        </w:rPr>
        <w:t xml:space="preserve"> </w:t>
      </w:r>
      <w:r w:rsidRPr="00170D03">
        <w:rPr>
          <w:rFonts w:ascii="Bookman Old Style" w:hAnsi="Bookman Old Style"/>
          <w:lang w:val="id-ID"/>
        </w:rPr>
        <w:t>tentang</w:t>
      </w:r>
      <w:r w:rsidR="00A954D0">
        <w:rPr>
          <w:rFonts w:ascii="Bookman Old Style" w:hAnsi="Bookman Old Style"/>
          <w:lang w:val="id-ID"/>
        </w:rPr>
        <w:t xml:space="preserve"> </w:t>
      </w:r>
      <w:r w:rsidRPr="00170D03">
        <w:rPr>
          <w:rFonts w:ascii="Bookman Old Style" w:hAnsi="Bookman Old Style"/>
          <w:lang w:val="id-ID"/>
        </w:rPr>
        <w:t>APBD</w:t>
      </w:r>
      <w:r w:rsidR="00A954D0">
        <w:rPr>
          <w:rFonts w:ascii="Bookman Old Style" w:hAnsi="Bookman Old Style"/>
          <w:lang w:val="id-ID"/>
        </w:rPr>
        <w:t xml:space="preserve"> </w:t>
      </w:r>
      <w:r w:rsidRPr="00170D03">
        <w:rPr>
          <w:rFonts w:ascii="Bookman Old Style" w:hAnsi="Bookman Old Style"/>
          <w:lang w:val="id-ID"/>
        </w:rPr>
        <w:t>Tahun</w:t>
      </w:r>
      <w:r w:rsidR="00A954D0">
        <w:rPr>
          <w:rFonts w:ascii="Bookman Old Style" w:hAnsi="Bookman Old Style"/>
          <w:lang w:val="id-ID"/>
        </w:rPr>
        <w:t xml:space="preserve"> </w:t>
      </w:r>
      <w:r w:rsidRPr="00170D03">
        <w:rPr>
          <w:rFonts w:ascii="Bookman Old Style" w:hAnsi="Bookman Old Style"/>
          <w:lang w:val="id-ID"/>
        </w:rPr>
        <w:t>Anggaran</w:t>
      </w:r>
      <w:r w:rsidR="00A954D0">
        <w:rPr>
          <w:rFonts w:ascii="Bookman Old Style" w:hAnsi="Bookman Old Style"/>
          <w:lang w:val="id-ID"/>
        </w:rPr>
        <w:t xml:space="preserve"> </w:t>
      </w:r>
      <w:r w:rsidRPr="00170D03">
        <w:rPr>
          <w:rFonts w:ascii="Bookman Old Style" w:hAnsi="Bookman Old Style"/>
          <w:lang w:val="id-ID"/>
        </w:rPr>
        <w:t>202</w:t>
      </w:r>
      <w:r w:rsidRPr="00170D03">
        <w:rPr>
          <w:rFonts w:ascii="Bookman Old Style" w:hAnsi="Bookman Old Style"/>
          <w:lang w:val="en-US"/>
        </w:rPr>
        <w:t>5.</w:t>
      </w:r>
    </w:p>
    <w:p w14:paraId="39137AD9" w14:textId="42B46223" w:rsidR="000E5ADB" w:rsidRDefault="000E5ADB" w:rsidP="000E5ADB">
      <w:pPr>
        <w:snapToGrid w:val="0"/>
        <w:spacing w:before="60" w:line="276" w:lineRule="auto"/>
        <w:ind w:left="1701"/>
        <w:jc w:val="both"/>
        <w:rPr>
          <w:rFonts w:ascii="Bookman Old Style" w:hAnsi="Bookman Old Style"/>
          <w:color w:val="000000" w:themeColor="text1"/>
          <w:lang w:val="id-ID"/>
        </w:rPr>
      </w:pPr>
      <w:r w:rsidRPr="00170D03">
        <w:rPr>
          <w:rFonts w:ascii="Bookman Old Style" w:hAnsi="Bookman Old Style"/>
          <w:lang w:val="id-ID"/>
        </w:rPr>
        <w:t>Target</w:t>
      </w:r>
      <w:r w:rsidR="00A954D0">
        <w:rPr>
          <w:rFonts w:ascii="Bookman Old Style" w:hAnsi="Bookman Old Style"/>
          <w:lang w:val="id-ID"/>
        </w:rPr>
        <w:t xml:space="preserve"> </w:t>
      </w:r>
      <w:r w:rsidRPr="00170D03">
        <w:rPr>
          <w:rFonts w:ascii="Bookman Old Style" w:hAnsi="Bookman Old Style"/>
          <w:lang w:val="id-ID"/>
        </w:rPr>
        <w:t>objek</w:t>
      </w:r>
      <w:r w:rsidR="00A954D0">
        <w:rPr>
          <w:rFonts w:ascii="Bookman Old Style" w:hAnsi="Bookman Old Style"/>
          <w:lang w:val="id-ID"/>
        </w:rPr>
        <w:t xml:space="preserve"> </w:t>
      </w:r>
      <w:r w:rsidRPr="00170D03">
        <w:rPr>
          <w:rFonts w:ascii="Bookman Old Style" w:hAnsi="Bookman Old Style"/>
          <w:lang w:val="id-ID"/>
        </w:rPr>
        <w:t>pendapatan</w:t>
      </w:r>
      <w:r w:rsidR="00A954D0">
        <w:rPr>
          <w:rFonts w:ascii="Bookman Old Style" w:hAnsi="Bookman Old Style"/>
          <w:lang w:val="id-ID"/>
        </w:rPr>
        <w:t xml:space="preserve"> </w:t>
      </w:r>
      <w:r w:rsidRPr="00170D03">
        <w:rPr>
          <w:rFonts w:ascii="Bookman Old Style" w:hAnsi="Bookman Old Style"/>
          <w:lang w:val="id-ID"/>
        </w:rPr>
        <w:t>Bagian</w:t>
      </w:r>
      <w:r w:rsidR="00A954D0">
        <w:rPr>
          <w:rFonts w:ascii="Bookman Old Style" w:hAnsi="Bookman Old Style"/>
          <w:lang w:val="id-ID"/>
        </w:rPr>
        <w:t xml:space="preserve"> </w:t>
      </w:r>
      <w:r w:rsidRPr="00170D03">
        <w:rPr>
          <w:rFonts w:ascii="Bookman Old Style" w:hAnsi="Bookman Old Style"/>
          <w:lang w:val="id-ID"/>
        </w:rPr>
        <w:t>Laba</w:t>
      </w:r>
      <w:r w:rsidR="00A954D0">
        <w:rPr>
          <w:rFonts w:ascii="Bookman Old Style" w:hAnsi="Bookman Old Style"/>
          <w:lang w:val="id-ID"/>
        </w:rPr>
        <w:t xml:space="preserve"> </w:t>
      </w:r>
      <w:r w:rsidRPr="00170D03">
        <w:rPr>
          <w:rFonts w:ascii="Bookman Old Style" w:hAnsi="Bookman Old Style"/>
          <w:lang w:val="id-ID"/>
        </w:rPr>
        <w:t>atas</w:t>
      </w:r>
      <w:r w:rsidR="00A954D0">
        <w:rPr>
          <w:rFonts w:ascii="Bookman Old Style" w:hAnsi="Bookman Old Style"/>
          <w:lang w:val="id-ID"/>
        </w:rPr>
        <w:t xml:space="preserve"> </w:t>
      </w:r>
      <w:r w:rsidRPr="00170D03">
        <w:rPr>
          <w:rFonts w:ascii="Bookman Old Style" w:hAnsi="Bookman Old Style"/>
          <w:lang w:val="id-ID"/>
        </w:rPr>
        <w:t>Penyertaan</w:t>
      </w:r>
      <w:r w:rsidR="00A954D0">
        <w:rPr>
          <w:rFonts w:ascii="Bookman Old Style" w:hAnsi="Bookman Old Style"/>
          <w:lang w:val="id-ID"/>
        </w:rPr>
        <w:t xml:space="preserve"> </w:t>
      </w:r>
      <w:r w:rsidRPr="00170D03">
        <w:rPr>
          <w:rFonts w:ascii="Bookman Old Style" w:hAnsi="Bookman Old Style"/>
          <w:lang w:val="id-ID"/>
        </w:rPr>
        <w:t>Modal</w:t>
      </w:r>
      <w:r w:rsidR="00A954D0">
        <w:rPr>
          <w:rFonts w:ascii="Bookman Old Style" w:hAnsi="Bookman Old Style"/>
          <w:lang w:val="id-ID"/>
        </w:rPr>
        <w:t xml:space="preserve"> </w:t>
      </w:r>
      <w:r w:rsidR="00166620">
        <w:rPr>
          <w:rFonts w:ascii="Bookman Old Style" w:hAnsi="Bookman Old Style"/>
          <w:b/>
          <w:bCs/>
          <w:color w:val="000000" w:themeColor="text1"/>
          <w:lang w:val="id-ID"/>
        </w:rPr>
        <w:t xml:space="preserve">berbeda </w:t>
      </w:r>
      <w:r>
        <w:rPr>
          <w:rFonts w:ascii="Bookman Old Style" w:hAnsi="Bookman Old Style"/>
          <w:color w:val="000000" w:themeColor="text1"/>
          <w:lang w:val="id-ID"/>
        </w:rPr>
        <w:t>dengan</w:t>
      </w:r>
      <w:r w:rsidR="00A954D0">
        <w:rPr>
          <w:rFonts w:ascii="Bookman Old Style" w:hAnsi="Bookman Old Style"/>
          <w:lang w:val="id-ID"/>
        </w:rPr>
        <w:t xml:space="preserve"> </w:t>
      </w:r>
      <w:r w:rsidRPr="00170D03">
        <w:rPr>
          <w:rFonts w:ascii="Bookman Old Style" w:hAnsi="Bookman Old Style"/>
          <w:lang w:val="id-ID"/>
        </w:rPr>
        <w:t>Lampiran</w:t>
      </w:r>
      <w:r w:rsidR="00A954D0">
        <w:rPr>
          <w:rFonts w:ascii="Bookman Old Style" w:hAnsi="Bookman Old Style"/>
          <w:lang w:val="id-ID"/>
        </w:rPr>
        <w:t xml:space="preserve"> </w:t>
      </w:r>
      <w:r w:rsidRPr="00170D03">
        <w:rPr>
          <w:rFonts w:ascii="Bookman Old Style" w:hAnsi="Bookman Old Style"/>
          <w:lang w:val="id-ID"/>
        </w:rPr>
        <w:t>XII</w:t>
      </w:r>
      <w:r w:rsidR="00A954D0">
        <w:rPr>
          <w:rFonts w:ascii="Bookman Old Style" w:hAnsi="Bookman Old Style"/>
          <w:lang w:val="id-ID"/>
        </w:rPr>
        <w:t xml:space="preserve"> </w:t>
      </w:r>
      <w:r w:rsidRPr="00170D03">
        <w:rPr>
          <w:rFonts w:ascii="Bookman Old Style" w:hAnsi="Bookman Old Style"/>
          <w:lang w:val="id-ID"/>
        </w:rPr>
        <w:t>Rancangan</w:t>
      </w:r>
      <w:r w:rsidR="00A954D0">
        <w:rPr>
          <w:rFonts w:ascii="Bookman Old Style" w:hAnsi="Bookman Old Style"/>
          <w:lang w:val="id-ID"/>
        </w:rPr>
        <w:t xml:space="preserve"> </w:t>
      </w:r>
      <w:r w:rsidRPr="00170D03">
        <w:rPr>
          <w:rFonts w:ascii="Bookman Old Style" w:hAnsi="Bookman Old Style"/>
          <w:lang w:val="id-ID"/>
        </w:rPr>
        <w:t>Peraturan</w:t>
      </w:r>
      <w:r w:rsidR="00A954D0">
        <w:rPr>
          <w:rFonts w:ascii="Bookman Old Style" w:hAnsi="Bookman Old Style"/>
          <w:lang w:val="id-ID"/>
        </w:rPr>
        <w:t xml:space="preserve"> </w:t>
      </w:r>
      <w:r w:rsidRPr="00170D03">
        <w:rPr>
          <w:rFonts w:ascii="Bookman Old Style" w:hAnsi="Bookman Old Style"/>
          <w:lang w:val="id-ID"/>
        </w:rPr>
        <w:t>Daerah</w:t>
      </w:r>
      <w:r w:rsidR="00A954D0">
        <w:rPr>
          <w:rFonts w:ascii="Bookman Old Style" w:hAnsi="Bookman Old Style"/>
          <w:lang w:val="id-ID"/>
        </w:rPr>
        <w:t xml:space="preserve"> </w:t>
      </w:r>
      <w:r>
        <w:rPr>
          <w:rFonts w:ascii="Bookman Old Style" w:hAnsi="Bookman Old Style"/>
        </w:rPr>
        <w:t>Kota</w:t>
      </w:r>
      <w:r w:rsidR="00A954D0">
        <w:rPr>
          <w:rFonts w:ascii="Bookman Old Style" w:hAnsi="Bookman Old Style"/>
        </w:rPr>
        <w:t xml:space="preserve"> </w:t>
      </w:r>
      <w:r>
        <w:rPr>
          <w:rFonts w:ascii="Bookman Old Style" w:hAnsi="Bookman Old Style"/>
        </w:rPr>
        <w:t>Tangerang</w:t>
      </w:r>
      <w:r w:rsidR="00A954D0">
        <w:rPr>
          <w:rFonts w:ascii="Bookman Old Style" w:hAnsi="Bookman Old Style"/>
        </w:rPr>
        <w:t xml:space="preserve"> </w:t>
      </w:r>
      <w:r w:rsidRPr="00170D03">
        <w:rPr>
          <w:rFonts w:ascii="Bookman Old Style" w:hAnsi="Bookman Old Style"/>
          <w:color w:val="000000" w:themeColor="text1"/>
        </w:rPr>
        <w:t>tentang</w:t>
      </w:r>
      <w:r w:rsidR="00A954D0">
        <w:rPr>
          <w:rFonts w:ascii="Bookman Old Style" w:hAnsi="Bookman Old Style"/>
          <w:color w:val="000000" w:themeColor="text1"/>
        </w:rPr>
        <w:t xml:space="preserve"> </w:t>
      </w:r>
      <w:r w:rsidRPr="00170D03">
        <w:rPr>
          <w:rFonts w:ascii="Bookman Old Style" w:hAnsi="Bookman Old Style"/>
          <w:color w:val="000000" w:themeColor="text1"/>
        </w:rPr>
        <w:t>APBD</w:t>
      </w:r>
      <w:r w:rsidR="00A954D0">
        <w:rPr>
          <w:rFonts w:ascii="Bookman Old Style" w:hAnsi="Bookman Old Style"/>
          <w:color w:val="000000" w:themeColor="text1"/>
        </w:rPr>
        <w:t xml:space="preserve"> </w:t>
      </w:r>
      <w:r w:rsidRPr="00170D03">
        <w:rPr>
          <w:rFonts w:ascii="Bookman Old Style" w:hAnsi="Bookman Old Style"/>
          <w:color w:val="000000" w:themeColor="text1"/>
        </w:rPr>
        <w:t>Tahun</w:t>
      </w:r>
      <w:r w:rsidR="00A954D0">
        <w:rPr>
          <w:rFonts w:ascii="Bookman Old Style" w:hAnsi="Bookman Old Style"/>
          <w:color w:val="000000" w:themeColor="text1"/>
        </w:rPr>
        <w:t xml:space="preserve"> </w:t>
      </w:r>
      <w:r w:rsidRPr="00170D03">
        <w:rPr>
          <w:rFonts w:ascii="Bookman Old Style" w:hAnsi="Bookman Old Style"/>
          <w:color w:val="000000" w:themeColor="text1"/>
        </w:rPr>
        <w:t>Anggaran</w:t>
      </w:r>
      <w:r w:rsidR="00A954D0">
        <w:rPr>
          <w:rFonts w:ascii="Bookman Old Style" w:hAnsi="Bookman Old Style"/>
          <w:color w:val="000000" w:themeColor="text1"/>
        </w:rPr>
        <w:t xml:space="preserve"> </w:t>
      </w:r>
      <w:r w:rsidRPr="00170D03">
        <w:rPr>
          <w:rFonts w:ascii="Bookman Old Style" w:hAnsi="Bookman Old Style"/>
          <w:color w:val="000000" w:themeColor="text1"/>
        </w:rPr>
        <w:t>2025</w:t>
      </w:r>
      <w:r w:rsidR="00A954D0">
        <w:rPr>
          <w:rFonts w:ascii="Bookman Old Style" w:hAnsi="Bookman Old Style"/>
          <w:color w:val="000000" w:themeColor="text1"/>
          <w:lang w:val="id-ID"/>
        </w:rPr>
        <w:t xml:space="preserve"> </w:t>
      </w:r>
      <w:r w:rsidR="00166620">
        <w:rPr>
          <w:rFonts w:ascii="Bookman Old Style" w:hAnsi="Bookman Old Style"/>
          <w:color w:val="000000" w:themeColor="text1"/>
          <w:lang w:val="id-ID"/>
        </w:rPr>
        <w:t>yang mencantumkan hasil penyertaan modal (investasi) Rp</w:t>
      </w:r>
      <w:r w:rsidR="00166620" w:rsidRPr="00166620">
        <w:rPr>
          <w:rFonts w:ascii="Bookman Old Style" w:hAnsi="Bookman Old Style"/>
          <w:color w:val="000000" w:themeColor="text1"/>
          <w:lang w:val="id-ID"/>
        </w:rPr>
        <w:t xml:space="preserve">15.723.830.122,00 </w:t>
      </w:r>
      <w:r w:rsidR="00166620">
        <w:rPr>
          <w:rFonts w:ascii="Bookman Old Style" w:hAnsi="Bookman Old Style"/>
          <w:color w:val="000000" w:themeColor="text1"/>
          <w:lang w:val="id-ID"/>
        </w:rPr>
        <w:t xml:space="preserve">yang </w:t>
      </w:r>
      <w:r w:rsidRPr="00727324">
        <w:rPr>
          <w:rFonts w:ascii="Bookman Old Style" w:hAnsi="Bookman Old Style"/>
          <w:color w:val="000000" w:themeColor="text1"/>
          <w:lang w:val="id-ID"/>
        </w:rPr>
        <w:t>merupakan</w:t>
      </w:r>
      <w:r w:rsidR="00A954D0">
        <w:rPr>
          <w:rFonts w:ascii="Bookman Old Style" w:hAnsi="Bookman Old Style"/>
          <w:color w:val="000000" w:themeColor="text1"/>
          <w:lang w:val="id-ID"/>
        </w:rPr>
        <w:t xml:space="preserve"> </w:t>
      </w:r>
      <w:r w:rsidRPr="00727324">
        <w:rPr>
          <w:rFonts w:ascii="Bookman Old Style" w:hAnsi="Bookman Old Style"/>
          <w:color w:val="000000" w:themeColor="text1"/>
          <w:lang w:val="id-ID"/>
        </w:rPr>
        <w:t>Hasil</w:t>
      </w:r>
      <w:r w:rsidR="00A954D0">
        <w:rPr>
          <w:rFonts w:ascii="Bookman Old Style" w:hAnsi="Bookman Old Style"/>
          <w:color w:val="000000" w:themeColor="text1"/>
          <w:lang w:val="id-ID"/>
        </w:rPr>
        <w:t xml:space="preserve"> </w:t>
      </w:r>
      <w:r w:rsidRPr="00727324">
        <w:rPr>
          <w:rFonts w:ascii="Bookman Old Style" w:hAnsi="Bookman Old Style"/>
          <w:color w:val="000000" w:themeColor="text1"/>
          <w:lang w:val="id-ID"/>
        </w:rPr>
        <w:t>Penyertaan</w:t>
      </w:r>
      <w:r w:rsidR="00A954D0">
        <w:rPr>
          <w:rFonts w:ascii="Bookman Old Style" w:hAnsi="Bookman Old Style"/>
          <w:color w:val="000000" w:themeColor="text1"/>
          <w:lang w:val="id-ID"/>
        </w:rPr>
        <w:t xml:space="preserve"> </w:t>
      </w:r>
      <w:r w:rsidRPr="00727324">
        <w:rPr>
          <w:rFonts w:ascii="Bookman Old Style" w:hAnsi="Bookman Old Style"/>
          <w:color w:val="000000" w:themeColor="text1"/>
          <w:lang w:val="id-ID"/>
        </w:rPr>
        <w:t>Modal</w:t>
      </w:r>
      <w:r w:rsidR="00A954D0">
        <w:rPr>
          <w:rFonts w:ascii="Bookman Old Style" w:hAnsi="Bookman Old Style"/>
          <w:color w:val="000000" w:themeColor="text1"/>
          <w:lang w:val="id-ID"/>
        </w:rPr>
        <w:t xml:space="preserve"> </w:t>
      </w:r>
      <w:r w:rsidRPr="00727324">
        <w:rPr>
          <w:rFonts w:ascii="Bookman Old Style" w:hAnsi="Bookman Old Style"/>
          <w:color w:val="000000" w:themeColor="text1"/>
          <w:lang w:val="id-ID"/>
        </w:rPr>
        <w:t>dari:</w:t>
      </w:r>
    </w:p>
    <w:p w14:paraId="3B5C98B2" w14:textId="3DBD3B15" w:rsidR="000E5ADB" w:rsidRPr="009850C0" w:rsidRDefault="000E5ADB" w:rsidP="00B16310">
      <w:pPr>
        <w:pStyle w:val="ListParagraph"/>
        <w:numPr>
          <w:ilvl w:val="0"/>
          <w:numId w:val="259"/>
        </w:numPr>
        <w:spacing w:before="60" w:line="276" w:lineRule="auto"/>
        <w:ind w:left="2268" w:hanging="567"/>
        <w:jc w:val="both"/>
        <w:rPr>
          <w:rFonts w:ascii="Bookman Old Style" w:eastAsia="Bookman Old Style" w:hAnsi="Bookman Old Style" w:cs="Bookman Old Style"/>
          <w:sz w:val="24"/>
          <w:szCs w:val="24"/>
          <w:lang w:val="sv-SE"/>
        </w:rPr>
      </w:pPr>
      <w:r w:rsidRPr="009850C0">
        <w:rPr>
          <w:rFonts w:ascii="Bookman Old Style" w:eastAsia="Bookman Old Style" w:hAnsi="Bookman Old Style" w:cs="Bookman Old Style"/>
          <w:sz w:val="24"/>
          <w:szCs w:val="24"/>
          <w:lang w:val="sv-SE"/>
        </w:rPr>
        <w:t>PT.</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BPD</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Jawa</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Barat</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dan</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Banten</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Tbk</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sebesar</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Rp</w:t>
      </w:r>
      <w:r w:rsidRPr="006F6E06">
        <w:rPr>
          <w:rFonts w:ascii="Bookman Old Style" w:eastAsia="Bookman Old Style" w:hAnsi="Bookman Old Style" w:cs="Bookman Old Style"/>
          <w:sz w:val="24"/>
          <w:szCs w:val="24"/>
          <w:lang w:val="sv-SE"/>
        </w:rPr>
        <w:t>12.717.609.398,00</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atau</w:t>
      </w:r>
      <w:r w:rsidR="00A954D0">
        <w:rPr>
          <w:rFonts w:ascii="Bookman Old Style" w:eastAsia="Bookman Old Style" w:hAnsi="Bookman Old Style" w:cs="Bookman Old Style"/>
          <w:sz w:val="24"/>
          <w:szCs w:val="24"/>
          <w:lang w:val="sv-SE"/>
        </w:rPr>
        <w:t xml:space="preserve"> </w:t>
      </w:r>
      <w:r>
        <w:rPr>
          <w:rFonts w:ascii="Bookman Old Style" w:eastAsia="Bookman Old Style" w:hAnsi="Bookman Old Style" w:cs="Bookman Old Style"/>
          <w:sz w:val="24"/>
          <w:szCs w:val="24"/>
          <w:lang w:val="sv-SE"/>
        </w:rPr>
        <w:t>24,31</w:t>
      </w:r>
      <w:r w:rsidRPr="009850C0">
        <w:rPr>
          <w:rFonts w:ascii="Bookman Old Style" w:eastAsia="Bookman Old Style" w:hAnsi="Bookman Old Style" w:cs="Bookman Old Style"/>
          <w:sz w:val="24"/>
          <w:szCs w:val="24"/>
          <w:lang w:val="sv-SE"/>
        </w:rPr>
        <w:t>%</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dari</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total</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penyertaan</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modal</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daerah</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sampai</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dengan</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Tahun</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Anggaran</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2024</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Rp</w:t>
      </w:r>
      <w:r w:rsidRPr="006F6E06">
        <w:rPr>
          <w:rFonts w:ascii="Bookman Old Style" w:eastAsia="Bookman Old Style" w:hAnsi="Bookman Old Style" w:cs="Bookman Old Style"/>
          <w:sz w:val="24"/>
          <w:szCs w:val="24"/>
          <w:lang w:val="sv-SE"/>
        </w:rPr>
        <w:t>52.306.529.250,00</w:t>
      </w:r>
      <w:r>
        <w:rPr>
          <w:rFonts w:ascii="Bookman Old Style" w:eastAsia="Bookman Old Style" w:hAnsi="Bookman Old Style" w:cs="Bookman Old Style"/>
          <w:sz w:val="24"/>
          <w:szCs w:val="24"/>
          <w:lang w:val="sv-SE"/>
        </w:rPr>
        <w:t>;</w:t>
      </w:r>
    </w:p>
    <w:p w14:paraId="6A5AB18A" w14:textId="44EFB303" w:rsidR="000E5ADB" w:rsidRPr="009850C0" w:rsidRDefault="000E5ADB" w:rsidP="00B16310">
      <w:pPr>
        <w:pStyle w:val="ListParagraph"/>
        <w:numPr>
          <w:ilvl w:val="0"/>
          <w:numId w:val="259"/>
        </w:numPr>
        <w:spacing w:before="60" w:line="276" w:lineRule="auto"/>
        <w:ind w:left="2268" w:hanging="567"/>
        <w:jc w:val="both"/>
        <w:rPr>
          <w:rFonts w:ascii="Bookman Old Style" w:eastAsia="Bookman Old Style" w:hAnsi="Bookman Old Style" w:cs="Bookman Old Style"/>
          <w:sz w:val="24"/>
          <w:szCs w:val="24"/>
          <w:lang w:val="sv-SE"/>
        </w:rPr>
      </w:pPr>
      <w:r w:rsidRPr="009850C0">
        <w:rPr>
          <w:rFonts w:ascii="Bookman Old Style" w:eastAsia="Bookman Old Style" w:hAnsi="Bookman Old Style" w:cs="Bookman Old Style"/>
          <w:sz w:val="24"/>
          <w:szCs w:val="24"/>
          <w:lang w:val="sv-SE"/>
        </w:rPr>
        <w:t>Perusahaan</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Daerah</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Air</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Minum</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(PDAM)</w:t>
      </w:r>
      <w:r w:rsidR="00A954D0">
        <w:rPr>
          <w:rFonts w:ascii="Bookman Old Style" w:eastAsia="Bookman Old Style" w:hAnsi="Bookman Old Style" w:cs="Bookman Old Style"/>
          <w:sz w:val="24"/>
          <w:szCs w:val="24"/>
          <w:lang w:val="sv-SE"/>
        </w:rPr>
        <w:t xml:space="preserve"> </w:t>
      </w:r>
      <w:r>
        <w:rPr>
          <w:rFonts w:ascii="Bookman Old Style" w:eastAsia="Bookman Old Style" w:hAnsi="Bookman Old Style" w:cs="Bookman Old Style"/>
          <w:sz w:val="24"/>
          <w:szCs w:val="24"/>
          <w:lang w:val="sv-SE"/>
        </w:rPr>
        <w:t>Tirta</w:t>
      </w:r>
      <w:r w:rsidR="00A954D0">
        <w:rPr>
          <w:rFonts w:ascii="Bookman Old Style" w:eastAsia="Bookman Old Style" w:hAnsi="Bookman Old Style" w:cs="Bookman Old Style"/>
          <w:sz w:val="24"/>
          <w:szCs w:val="24"/>
          <w:lang w:val="sv-SE"/>
        </w:rPr>
        <w:t xml:space="preserve"> </w:t>
      </w:r>
      <w:r>
        <w:rPr>
          <w:rFonts w:ascii="Bookman Old Style" w:eastAsia="Bookman Old Style" w:hAnsi="Bookman Old Style" w:cs="Bookman Old Style"/>
          <w:sz w:val="24"/>
          <w:szCs w:val="24"/>
          <w:lang w:val="sv-SE"/>
        </w:rPr>
        <w:t>Benteng</w:t>
      </w:r>
      <w:r w:rsidR="00A954D0">
        <w:rPr>
          <w:rFonts w:ascii="Bookman Old Style" w:eastAsia="Bookman Old Style" w:hAnsi="Bookman Old Style" w:cs="Bookman Old Style"/>
          <w:sz w:val="24"/>
          <w:szCs w:val="24"/>
          <w:lang w:val="sv-SE"/>
        </w:rPr>
        <w:t xml:space="preserve"> </w:t>
      </w:r>
      <w:r>
        <w:rPr>
          <w:rFonts w:ascii="Bookman Old Style" w:eastAsia="Bookman Old Style" w:hAnsi="Bookman Old Style" w:cs="Bookman Old Style"/>
          <w:sz w:val="24"/>
          <w:szCs w:val="24"/>
          <w:lang w:val="sv-SE"/>
        </w:rPr>
        <w:t>Kota</w:t>
      </w:r>
      <w:r w:rsidR="00A954D0">
        <w:rPr>
          <w:rFonts w:ascii="Bookman Old Style" w:eastAsia="Bookman Old Style" w:hAnsi="Bookman Old Style" w:cs="Bookman Old Style"/>
          <w:sz w:val="24"/>
          <w:szCs w:val="24"/>
          <w:lang w:val="sv-SE"/>
        </w:rPr>
        <w:t xml:space="preserve"> </w:t>
      </w:r>
      <w:r>
        <w:rPr>
          <w:rFonts w:ascii="Bookman Old Style" w:eastAsia="Bookman Old Style" w:hAnsi="Bookman Old Style" w:cs="Bookman Old Style"/>
          <w:sz w:val="24"/>
          <w:szCs w:val="24"/>
          <w:lang w:val="sv-SE"/>
        </w:rPr>
        <w:t>Tangerang</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sebesar</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Rp</w:t>
      </w:r>
      <w:r w:rsidRPr="006F6E06">
        <w:rPr>
          <w:rFonts w:ascii="Bookman Old Style" w:eastAsia="Bookman Old Style" w:hAnsi="Bookman Old Style" w:cs="Bookman Old Style"/>
          <w:sz w:val="24"/>
          <w:szCs w:val="24"/>
          <w:lang w:val="sv-SE"/>
        </w:rPr>
        <w:t>3.006.220.724,00</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atau</w:t>
      </w:r>
      <w:r w:rsidR="00A954D0">
        <w:rPr>
          <w:rFonts w:ascii="Bookman Old Style" w:eastAsia="Bookman Old Style" w:hAnsi="Bookman Old Style" w:cs="Bookman Old Style"/>
          <w:sz w:val="24"/>
          <w:szCs w:val="24"/>
          <w:lang w:val="sv-SE"/>
        </w:rPr>
        <w:t xml:space="preserve"> </w:t>
      </w:r>
      <w:r>
        <w:rPr>
          <w:rFonts w:ascii="Bookman Old Style" w:eastAsia="Bookman Old Style" w:hAnsi="Bookman Old Style" w:cs="Bookman Old Style"/>
          <w:sz w:val="24"/>
          <w:szCs w:val="24"/>
          <w:lang w:val="sv-SE"/>
        </w:rPr>
        <w:t>3,33</w:t>
      </w:r>
      <w:r w:rsidRPr="009850C0">
        <w:rPr>
          <w:rFonts w:ascii="Bookman Old Style" w:eastAsia="Bookman Old Style" w:hAnsi="Bookman Old Style" w:cs="Bookman Old Style"/>
          <w:sz w:val="24"/>
          <w:szCs w:val="24"/>
          <w:lang w:val="sv-SE"/>
        </w:rPr>
        <w:t>%</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dari</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total</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penyertaan</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modal</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daerah</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sampai</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dengan</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Tahun</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Anggaran</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2024</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Rp</w:t>
      </w:r>
      <w:r w:rsidRPr="006F6E06">
        <w:rPr>
          <w:rFonts w:ascii="Bookman Old Style" w:eastAsia="Bookman Old Style" w:hAnsi="Bookman Old Style" w:cs="Bookman Old Style"/>
          <w:sz w:val="24"/>
          <w:szCs w:val="24"/>
          <w:lang w:val="sv-SE"/>
        </w:rPr>
        <w:t>90.151.552.985,00</w:t>
      </w:r>
      <w:r w:rsidRPr="009850C0">
        <w:rPr>
          <w:rFonts w:ascii="Bookman Old Style" w:eastAsia="Bookman Old Style" w:hAnsi="Bookman Old Style" w:cs="Bookman Old Style"/>
          <w:sz w:val="24"/>
          <w:szCs w:val="24"/>
          <w:lang w:val="sv-SE"/>
        </w:rPr>
        <w:t>;</w:t>
      </w:r>
    </w:p>
    <w:p w14:paraId="3459E2E9" w14:textId="40FBE18E" w:rsidR="000E5ADB" w:rsidRPr="00015FC4" w:rsidRDefault="000E5ADB" w:rsidP="00B16310">
      <w:pPr>
        <w:pStyle w:val="ListParagraph"/>
        <w:numPr>
          <w:ilvl w:val="0"/>
          <w:numId w:val="259"/>
        </w:numPr>
        <w:spacing w:before="60" w:line="276" w:lineRule="auto"/>
        <w:ind w:left="2268" w:hanging="567"/>
        <w:jc w:val="both"/>
        <w:rPr>
          <w:rFonts w:ascii="Bookman Old Style" w:eastAsia="Bookman Old Style" w:hAnsi="Bookman Old Style" w:cs="Bookman Old Style"/>
          <w:sz w:val="24"/>
          <w:szCs w:val="24"/>
          <w:lang w:val="sv-SE"/>
        </w:rPr>
      </w:pPr>
      <w:r w:rsidRPr="009850C0">
        <w:rPr>
          <w:rFonts w:ascii="Bookman Old Style" w:eastAsia="Bookman Old Style" w:hAnsi="Bookman Old Style" w:cs="Bookman Old Style"/>
          <w:sz w:val="24"/>
          <w:szCs w:val="24"/>
          <w:lang w:val="sv-SE"/>
        </w:rPr>
        <w:t>Perusahaan</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Daerah</w:t>
      </w:r>
      <w:r w:rsidR="00A954D0">
        <w:rPr>
          <w:rFonts w:ascii="Bookman Old Style" w:eastAsia="Bookman Old Style" w:hAnsi="Bookman Old Style" w:cs="Bookman Old Style"/>
          <w:sz w:val="24"/>
          <w:szCs w:val="24"/>
          <w:lang w:val="sv-SE"/>
        </w:rPr>
        <w:t xml:space="preserve"> </w:t>
      </w:r>
      <w:r>
        <w:rPr>
          <w:rFonts w:ascii="Bookman Old Style" w:eastAsia="Bookman Old Style" w:hAnsi="Bookman Old Style" w:cs="Bookman Old Style"/>
          <w:sz w:val="24"/>
          <w:szCs w:val="24"/>
          <w:lang w:val="sv-SE"/>
        </w:rPr>
        <w:t>PASAR</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sebesar</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Rp</w:t>
      </w:r>
      <w:r>
        <w:rPr>
          <w:rFonts w:ascii="Bookman Old Style" w:eastAsia="Bookman Old Style" w:hAnsi="Bookman Old Style" w:cs="Bookman Old Style"/>
          <w:sz w:val="24"/>
          <w:szCs w:val="24"/>
          <w:lang w:val="sv-SE"/>
        </w:rPr>
        <w:t>000,00</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atau</w:t>
      </w:r>
      <w:r w:rsidR="00A954D0">
        <w:rPr>
          <w:rFonts w:ascii="Bookman Old Style" w:eastAsia="Bookman Old Style" w:hAnsi="Bookman Old Style" w:cs="Bookman Old Style"/>
          <w:sz w:val="24"/>
          <w:szCs w:val="24"/>
          <w:lang w:val="sv-SE"/>
        </w:rPr>
        <w:t xml:space="preserve"> </w:t>
      </w:r>
      <w:r>
        <w:rPr>
          <w:rFonts w:ascii="Bookman Old Style" w:eastAsia="Bookman Old Style" w:hAnsi="Bookman Old Style" w:cs="Bookman Old Style"/>
          <w:sz w:val="24"/>
          <w:szCs w:val="24"/>
          <w:lang w:val="sv-SE"/>
        </w:rPr>
        <w:t>00,00</w:t>
      </w:r>
      <w:r w:rsidRPr="009850C0">
        <w:rPr>
          <w:rFonts w:ascii="Bookman Old Style" w:eastAsia="Bookman Old Style" w:hAnsi="Bookman Old Style" w:cs="Bookman Old Style"/>
          <w:sz w:val="24"/>
          <w:szCs w:val="24"/>
          <w:lang w:val="sv-SE"/>
        </w:rPr>
        <w:t>%</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dari</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total</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penyertaan</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modal</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daerah</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sampai</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dengan</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Tahun</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Anggaran</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2024</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Rp</w:t>
      </w:r>
      <w:r w:rsidRPr="006F6E06">
        <w:rPr>
          <w:rFonts w:ascii="Bookman Old Style" w:eastAsia="Bookman Old Style" w:hAnsi="Bookman Old Style" w:cs="Bookman Old Style"/>
          <w:sz w:val="24"/>
          <w:szCs w:val="24"/>
          <w:lang w:val="sv-SE"/>
        </w:rPr>
        <w:t>39.230.154.674,00</w:t>
      </w:r>
      <w:r>
        <w:rPr>
          <w:rFonts w:ascii="Bookman Old Style" w:eastAsia="Bookman Old Style" w:hAnsi="Bookman Old Style" w:cs="Bookman Old Style"/>
          <w:sz w:val="24"/>
          <w:szCs w:val="24"/>
          <w:lang w:val="sv-SE"/>
        </w:rPr>
        <w:t>;</w:t>
      </w:r>
    </w:p>
    <w:p w14:paraId="7762CE12" w14:textId="1DF3ADA1" w:rsidR="000E5ADB" w:rsidRPr="006F6E06" w:rsidRDefault="000E5ADB" w:rsidP="00B16310">
      <w:pPr>
        <w:pStyle w:val="ListParagraph"/>
        <w:numPr>
          <w:ilvl w:val="0"/>
          <w:numId w:val="259"/>
        </w:numPr>
        <w:spacing w:before="60" w:line="276" w:lineRule="auto"/>
        <w:ind w:left="2268" w:hanging="567"/>
        <w:jc w:val="both"/>
        <w:rPr>
          <w:rFonts w:ascii="Bookman Old Style" w:eastAsia="Bookman Old Style" w:hAnsi="Bookman Old Style" w:cs="Bookman Old Style"/>
          <w:sz w:val="24"/>
          <w:szCs w:val="24"/>
          <w:lang w:val="sv-SE"/>
        </w:rPr>
      </w:pPr>
      <w:r w:rsidRPr="009850C0">
        <w:rPr>
          <w:rFonts w:ascii="Bookman Old Style" w:eastAsia="Bookman Old Style" w:hAnsi="Bookman Old Style" w:cs="Bookman Old Style"/>
          <w:sz w:val="24"/>
          <w:szCs w:val="24"/>
          <w:lang w:val="sv-SE"/>
        </w:rPr>
        <w:t>PT.</w:t>
      </w:r>
      <w:r w:rsidR="00A954D0" w:rsidRPr="003255BC">
        <w:rPr>
          <w:rFonts w:ascii="Bookman Old Style" w:eastAsia="Bookman Old Style" w:hAnsi="Bookman Old Style" w:cs="Bookman Old Style"/>
          <w:sz w:val="24"/>
          <w:szCs w:val="24"/>
          <w:lang w:val="sv-FI"/>
        </w:rPr>
        <w:t xml:space="preserve"> </w:t>
      </w:r>
      <w:r w:rsidR="00E11A13">
        <w:rPr>
          <w:rFonts w:ascii="Bookman Old Style" w:eastAsia="Bookman Old Style" w:hAnsi="Bookman Old Style" w:cs="Bookman Old Style"/>
          <w:sz w:val="24"/>
          <w:szCs w:val="24"/>
          <w:lang w:val="sv-SE"/>
        </w:rPr>
        <w:t>Tangerang</w:t>
      </w:r>
      <w:r w:rsidR="00A954D0">
        <w:rPr>
          <w:rFonts w:ascii="Bookman Old Style" w:eastAsia="Bookman Old Style" w:hAnsi="Bookman Old Style" w:cs="Bookman Old Style"/>
          <w:sz w:val="24"/>
          <w:szCs w:val="24"/>
          <w:lang w:val="sv-SE"/>
        </w:rPr>
        <w:t xml:space="preserve"> </w:t>
      </w:r>
      <w:r w:rsidR="00E11A13">
        <w:rPr>
          <w:rFonts w:ascii="Bookman Old Style" w:eastAsia="Bookman Old Style" w:hAnsi="Bookman Old Style" w:cs="Bookman Old Style"/>
          <w:sz w:val="24"/>
          <w:szCs w:val="24"/>
          <w:lang w:val="sv-SE"/>
        </w:rPr>
        <w:t>Nusantara</w:t>
      </w:r>
      <w:r w:rsidR="00A954D0">
        <w:rPr>
          <w:rFonts w:ascii="Bookman Old Style" w:eastAsia="Bookman Old Style" w:hAnsi="Bookman Old Style" w:cs="Bookman Old Style"/>
          <w:sz w:val="24"/>
          <w:szCs w:val="24"/>
          <w:lang w:val="sv-SE"/>
        </w:rPr>
        <w:t xml:space="preserve"> </w:t>
      </w:r>
      <w:r w:rsidR="00E11A13">
        <w:rPr>
          <w:rFonts w:ascii="Bookman Old Style" w:eastAsia="Bookman Old Style" w:hAnsi="Bookman Old Style" w:cs="Bookman Old Style"/>
          <w:sz w:val="24"/>
          <w:szCs w:val="24"/>
          <w:lang w:val="sv-SE"/>
        </w:rPr>
        <w:t>Global</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sebesar</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Rp</w:t>
      </w:r>
      <w:r>
        <w:rPr>
          <w:rFonts w:ascii="Bookman Old Style" w:eastAsia="Bookman Old Style" w:hAnsi="Bookman Old Style" w:cs="Bookman Old Style"/>
          <w:sz w:val="24"/>
          <w:szCs w:val="24"/>
          <w:lang w:val="sv-SE"/>
        </w:rPr>
        <w:t>000,00</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atau</w:t>
      </w:r>
      <w:r w:rsidR="00A954D0">
        <w:rPr>
          <w:rFonts w:ascii="Bookman Old Style" w:eastAsia="Bookman Old Style" w:hAnsi="Bookman Old Style" w:cs="Bookman Old Style"/>
          <w:sz w:val="24"/>
          <w:szCs w:val="24"/>
          <w:lang w:val="sv-SE"/>
        </w:rPr>
        <w:t xml:space="preserve"> </w:t>
      </w:r>
      <w:r>
        <w:rPr>
          <w:rFonts w:ascii="Bookman Old Style" w:eastAsia="Bookman Old Style" w:hAnsi="Bookman Old Style" w:cs="Bookman Old Style"/>
          <w:sz w:val="24"/>
          <w:szCs w:val="24"/>
          <w:lang w:val="sv-SE"/>
        </w:rPr>
        <w:t>0,00</w:t>
      </w:r>
      <w:r w:rsidRPr="009850C0">
        <w:rPr>
          <w:rFonts w:ascii="Bookman Old Style" w:eastAsia="Bookman Old Style" w:hAnsi="Bookman Old Style" w:cs="Bookman Old Style"/>
          <w:sz w:val="24"/>
          <w:szCs w:val="24"/>
          <w:lang w:val="sv-SE"/>
        </w:rPr>
        <w:t>%</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dari</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total</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penyertaan</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modal</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daerah</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sampai</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dengan</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Tahun</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Anggaran</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2024</w:t>
      </w:r>
      <w:r w:rsidR="00A954D0">
        <w:rPr>
          <w:rFonts w:ascii="Bookman Old Style" w:eastAsia="Bookman Old Style" w:hAnsi="Bookman Old Style" w:cs="Bookman Old Style"/>
          <w:sz w:val="24"/>
          <w:szCs w:val="24"/>
          <w:lang w:val="sv-SE"/>
        </w:rPr>
        <w:t xml:space="preserve"> </w:t>
      </w:r>
      <w:r w:rsidRPr="009850C0">
        <w:rPr>
          <w:rFonts w:ascii="Bookman Old Style" w:eastAsia="Bookman Old Style" w:hAnsi="Bookman Old Style" w:cs="Bookman Old Style"/>
          <w:sz w:val="24"/>
          <w:szCs w:val="24"/>
          <w:lang w:val="sv-SE"/>
        </w:rPr>
        <w:t>Rp</w:t>
      </w:r>
      <w:r w:rsidRPr="006F6E06">
        <w:rPr>
          <w:rFonts w:ascii="Bookman Old Style" w:eastAsia="Bookman Old Style" w:hAnsi="Bookman Old Style" w:cs="Bookman Old Style"/>
          <w:sz w:val="24"/>
          <w:szCs w:val="24"/>
          <w:lang w:val="sv-SE"/>
        </w:rPr>
        <w:t>47.375.314.482,00</w:t>
      </w:r>
      <w:r>
        <w:rPr>
          <w:rFonts w:ascii="Bookman Old Style" w:eastAsia="Bookman Old Style" w:hAnsi="Bookman Old Style" w:cs="Bookman Old Style"/>
          <w:lang w:val="sv-SE"/>
        </w:rPr>
        <w:t>.</w:t>
      </w:r>
    </w:p>
    <w:p w14:paraId="24FE3241" w14:textId="46723930" w:rsidR="000E5ADB" w:rsidRPr="00170D03" w:rsidRDefault="000E5ADB" w:rsidP="000E5ADB">
      <w:pPr>
        <w:spacing w:before="60" w:line="276" w:lineRule="auto"/>
        <w:ind w:left="1701"/>
        <w:jc w:val="both"/>
        <w:rPr>
          <w:rFonts w:ascii="Bookman Old Style" w:hAnsi="Bookman Old Style"/>
          <w:color w:val="000000" w:themeColor="text1"/>
          <w:lang w:val="id-ID"/>
        </w:rPr>
      </w:pPr>
      <w:r w:rsidRPr="00170D03">
        <w:rPr>
          <w:rFonts w:ascii="Bookman Old Style" w:hAnsi="Bookman Old Style"/>
          <w:lang w:val="id-ID"/>
        </w:rPr>
        <w:lastRenderedPageBreak/>
        <w:t>Untuk</w:t>
      </w:r>
      <w:r w:rsidR="00A954D0">
        <w:rPr>
          <w:rFonts w:ascii="Bookman Old Style" w:hAnsi="Bookman Old Style"/>
          <w:lang w:val="id-ID"/>
        </w:rPr>
        <w:t xml:space="preserve"> </w:t>
      </w:r>
      <w:r w:rsidRPr="00170D03">
        <w:rPr>
          <w:rFonts w:ascii="Bookman Old Style" w:hAnsi="Bookman Old Style"/>
          <w:lang w:val="id-ID"/>
        </w:rPr>
        <w:t>itu,</w:t>
      </w:r>
      <w:r w:rsidR="00A954D0">
        <w:rPr>
          <w:rFonts w:ascii="Bookman Old Style" w:hAnsi="Bookman Old Style"/>
          <w:lang w:val="id-ID"/>
        </w:rPr>
        <w:t xml:space="preserve"> </w:t>
      </w:r>
      <w:r w:rsidRPr="00170D03">
        <w:rPr>
          <w:rFonts w:ascii="Bookman Old Style" w:hAnsi="Bookman Old Style"/>
          <w:lang w:val="id-ID"/>
        </w:rPr>
        <w:t>Pemerintah</w:t>
      </w:r>
      <w:r w:rsidR="00A954D0">
        <w:rPr>
          <w:rFonts w:ascii="Bookman Old Style" w:hAnsi="Bookman Old Style"/>
          <w:lang w:val="id-ID"/>
        </w:rPr>
        <w:t xml:space="preserve"> </w:t>
      </w:r>
      <w:r w:rsidRPr="00170D03">
        <w:rPr>
          <w:rFonts w:ascii="Bookman Old Style" w:hAnsi="Bookman Old Style" w:cs="Arial"/>
          <w:lang w:val="id-ID"/>
        </w:rPr>
        <w:t>Daerah</w:t>
      </w:r>
      <w:r w:rsidR="00A954D0">
        <w:rPr>
          <w:rFonts w:ascii="Bookman Old Style" w:hAnsi="Bookman Old Style"/>
          <w:lang w:val="id-ID"/>
        </w:rPr>
        <w:t xml:space="preserve"> </w:t>
      </w:r>
      <w:r w:rsidRPr="003255BC">
        <w:rPr>
          <w:rFonts w:ascii="Bookman Old Style" w:hAnsi="Bookman Old Style"/>
          <w:lang w:val="sv-SE"/>
        </w:rPr>
        <w:t>Kota</w:t>
      </w:r>
      <w:r w:rsidR="00A954D0" w:rsidRPr="003255BC">
        <w:rPr>
          <w:rFonts w:ascii="Bookman Old Style" w:hAnsi="Bookman Old Style"/>
          <w:lang w:val="sv-SE"/>
        </w:rPr>
        <w:t xml:space="preserve"> </w:t>
      </w:r>
      <w:r w:rsidRPr="003255BC">
        <w:rPr>
          <w:rFonts w:ascii="Bookman Old Style" w:hAnsi="Bookman Old Style"/>
          <w:lang w:val="sv-SE"/>
        </w:rPr>
        <w:t>Tangerang</w:t>
      </w:r>
      <w:r w:rsidR="00A954D0" w:rsidRPr="003255BC">
        <w:rPr>
          <w:rFonts w:ascii="Bookman Old Style" w:hAnsi="Bookman Old Style"/>
          <w:lang w:val="sv-SE"/>
        </w:rPr>
        <w:t xml:space="preserve"> </w:t>
      </w:r>
      <w:r w:rsidRPr="00170D03">
        <w:rPr>
          <w:rFonts w:ascii="Bookman Old Style" w:hAnsi="Bookman Old Style"/>
          <w:lang w:val="id-ID"/>
        </w:rPr>
        <w:t>harus</w:t>
      </w:r>
      <w:r w:rsidR="00A954D0">
        <w:rPr>
          <w:rFonts w:ascii="Bookman Old Style" w:hAnsi="Bookman Old Style"/>
          <w:lang w:val="id-ID"/>
        </w:rPr>
        <w:t xml:space="preserve"> </w:t>
      </w:r>
      <w:r w:rsidRPr="00170D03">
        <w:rPr>
          <w:rFonts w:ascii="Bookman Old Style" w:hAnsi="Bookman Old Style" w:cs="Arial"/>
          <w:lang w:val="id-ID"/>
        </w:rPr>
        <w:t>memperhatikan</w:t>
      </w:r>
      <w:r w:rsidR="00A954D0">
        <w:rPr>
          <w:rFonts w:ascii="Bookman Old Style" w:hAnsi="Bookman Old Style" w:cs="Arial"/>
          <w:lang w:val="id-ID"/>
        </w:rPr>
        <w:t xml:space="preserve"> </w:t>
      </w:r>
      <w:r w:rsidRPr="00170D03">
        <w:rPr>
          <w:rFonts w:ascii="Bookman Old Style" w:hAnsi="Bookman Old Style" w:cs="Arial"/>
          <w:lang w:val="id-ID"/>
        </w:rPr>
        <w:t>nilai</w:t>
      </w:r>
      <w:r w:rsidR="00A954D0">
        <w:rPr>
          <w:rFonts w:ascii="Bookman Old Style" w:hAnsi="Bookman Old Style" w:cs="Arial"/>
          <w:lang w:val="id-ID"/>
        </w:rPr>
        <w:t xml:space="preserve"> </w:t>
      </w:r>
      <w:r w:rsidRPr="00170D03">
        <w:rPr>
          <w:rFonts w:ascii="Bookman Old Style" w:hAnsi="Bookman Old Style" w:cs="Arial"/>
          <w:lang w:val="id-ID"/>
        </w:rPr>
        <w:t>kekayaan</w:t>
      </w:r>
      <w:r w:rsidR="00A954D0">
        <w:rPr>
          <w:rFonts w:ascii="Bookman Old Style" w:hAnsi="Bookman Old Style" w:cs="Arial"/>
          <w:lang w:val="id-ID"/>
        </w:rPr>
        <w:t xml:space="preserve"> </w:t>
      </w:r>
      <w:r w:rsidRPr="00170D03">
        <w:rPr>
          <w:rFonts w:ascii="Bookman Old Style" w:hAnsi="Bookman Old Style" w:cs="Arial"/>
          <w:lang w:val="id-ID"/>
        </w:rPr>
        <w:t>daerah</w:t>
      </w:r>
      <w:r w:rsidR="00A954D0">
        <w:rPr>
          <w:rFonts w:ascii="Bookman Old Style" w:hAnsi="Bookman Old Style" w:cs="Arial"/>
          <w:lang w:val="id-ID"/>
        </w:rPr>
        <w:t xml:space="preserve"> </w:t>
      </w:r>
      <w:r w:rsidRPr="00170D03">
        <w:rPr>
          <w:rFonts w:ascii="Bookman Old Style" w:hAnsi="Bookman Old Style" w:cs="Arial"/>
          <w:lang w:val="id-ID"/>
        </w:rPr>
        <w:t>yang</w:t>
      </w:r>
      <w:r w:rsidR="00A954D0">
        <w:rPr>
          <w:rFonts w:ascii="Bookman Old Style" w:hAnsi="Bookman Old Style" w:cs="Arial"/>
          <w:lang w:val="id-ID"/>
        </w:rPr>
        <w:t xml:space="preserve"> </w:t>
      </w:r>
      <w:r w:rsidRPr="00170D03">
        <w:rPr>
          <w:rFonts w:ascii="Bookman Old Style" w:hAnsi="Bookman Old Style" w:cs="Arial"/>
          <w:lang w:val="id-ID"/>
        </w:rPr>
        <w:t>dipisahkan</w:t>
      </w:r>
      <w:r w:rsidR="00A954D0">
        <w:rPr>
          <w:rFonts w:ascii="Bookman Old Style" w:hAnsi="Bookman Old Style" w:cs="Arial"/>
          <w:lang w:val="id-ID"/>
        </w:rPr>
        <w:t xml:space="preserve"> </w:t>
      </w:r>
      <w:r w:rsidRPr="00170D03">
        <w:rPr>
          <w:rFonts w:ascii="Bookman Old Style" w:hAnsi="Bookman Old Style" w:cs="Arial"/>
          <w:lang w:val="id-ID"/>
        </w:rPr>
        <w:t>dan</w:t>
      </w:r>
      <w:r w:rsidR="00A954D0">
        <w:rPr>
          <w:rFonts w:ascii="Bookman Old Style" w:hAnsi="Bookman Old Style" w:cs="Arial"/>
          <w:lang w:val="id-ID"/>
        </w:rPr>
        <w:t xml:space="preserve"> </w:t>
      </w:r>
      <w:r w:rsidRPr="00170D03">
        <w:rPr>
          <w:rFonts w:ascii="Bookman Old Style" w:hAnsi="Bookman Old Style" w:cs="Arial"/>
          <w:lang w:val="id-ID"/>
        </w:rPr>
        <w:t>perolehan</w:t>
      </w:r>
      <w:r w:rsidR="00A954D0">
        <w:rPr>
          <w:rFonts w:ascii="Bookman Old Style" w:hAnsi="Bookman Old Style" w:cs="Arial"/>
          <w:lang w:val="id-ID"/>
        </w:rPr>
        <w:t xml:space="preserve"> </w:t>
      </w:r>
      <w:r w:rsidRPr="00170D03">
        <w:rPr>
          <w:rFonts w:ascii="Bookman Old Style" w:hAnsi="Bookman Old Style" w:cs="Arial"/>
          <w:lang w:val="id-ID"/>
        </w:rPr>
        <w:t>manfaat</w:t>
      </w:r>
      <w:r w:rsidR="00A954D0">
        <w:rPr>
          <w:rFonts w:ascii="Bookman Old Style" w:hAnsi="Bookman Old Style" w:cs="Arial"/>
          <w:lang w:val="id-ID"/>
        </w:rPr>
        <w:t xml:space="preserve"> </w:t>
      </w:r>
      <w:r w:rsidRPr="00170D03">
        <w:rPr>
          <w:rFonts w:ascii="Bookman Old Style" w:hAnsi="Bookman Old Style" w:cs="Arial"/>
          <w:lang w:val="id-ID"/>
        </w:rPr>
        <w:t>ekonomi,</w:t>
      </w:r>
      <w:r w:rsidR="00A954D0">
        <w:rPr>
          <w:rFonts w:ascii="Bookman Old Style" w:hAnsi="Bookman Old Style" w:cs="Arial"/>
          <w:lang w:val="id-ID"/>
        </w:rPr>
        <w:t xml:space="preserve"> </w:t>
      </w:r>
      <w:r w:rsidRPr="00170D03">
        <w:rPr>
          <w:rFonts w:ascii="Bookman Old Style" w:hAnsi="Bookman Old Style" w:cs="Arial"/>
          <w:lang w:val="id-ID"/>
        </w:rPr>
        <w:t>sosial</w:t>
      </w:r>
      <w:r w:rsidR="00A954D0">
        <w:rPr>
          <w:rFonts w:ascii="Bookman Old Style" w:hAnsi="Bookman Old Style" w:cs="Arial"/>
          <w:lang w:val="id-ID"/>
        </w:rPr>
        <w:t xml:space="preserve"> </w:t>
      </w:r>
      <w:r w:rsidRPr="00170D03">
        <w:rPr>
          <w:rFonts w:ascii="Bookman Old Style" w:hAnsi="Bookman Old Style" w:cs="Arial"/>
          <w:lang w:val="id-ID"/>
        </w:rPr>
        <w:t>dan/atau</w:t>
      </w:r>
      <w:r w:rsidR="00A954D0">
        <w:rPr>
          <w:rFonts w:ascii="Bookman Old Style" w:hAnsi="Bookman Old Style" w:cs="Arial"/>
          <w:lang w:val="id-ID"/>
        </w:rPr>
        <w:t xml:space="preserve"> </w:t>
      </w:r>
      <w:r w:rsidRPr="00170D03">
        <w:rPr>
          <w:rFonts w:ascii="Bookman Old Style" w:hAnsi="Bookman Old Style" w:cs="Arial"/>
          <w:lang w:val="id-ID"/>
        </w:rPr>
        <w:t>manfaat</w:t>
      </w:r>
      <w:r w:rsidR="00A954D0">
        <w:rPr>
          <w:rFonts w:ascii="Bookman Old Style" w:hAnsi="Bookman Old Style" w:cs="Arial"/>
          <w:lang w:val="id-ID"/>
        </w:rPr>
        <w:t xml:space="preserve"> </w:t>
      </w:r>
      <w:r w:rsidRPr="00170D03">
        <w:rPr>
          <w:rFonts w:ascii="Bookman Old Style" w:hAnsi="Bookman Old Style" w:cs="Arial"/>
          <w:lang w:val="id-ID"/>
        </w:rPr>
        <w:t>lainnya</w:t>
      </w:r>
      <w:r w:rsidR="00A954D0">
        <w:rPr>
          <w:rFonts w:ascii="Bookman Old Style" w:hAnsi="Bookman Old Style" w:cs="Arial"/>
          <w:lang w:val="id-ID"/>
        </w:rPr>
        <w:t xml:space="preserve"> </w:t>
      </w:r>
      <w:r w:rsidRPr="00170D03">
        <w:rPr>
          <w:rFonts w:ascii="Bookman Old Style" w:hAnsi="Bookman Old Style" w:cs="Arial"/>
          <w:lang w:val="id-ID"/>
        </w:rPr>
        <w:t>dalam</w:t>
      </w:r>
      <w:r w:rsidR="00A954D0">
        <w:rPr>
          <w:rFonts w:ascii="Bookman Old Style" w:hAnsi="Bookman Old Style" w:cs="Arial"/>
          <w:lang w:val="id-ID"/>
        </w:rPr>
        <w:t xml:space="preserve"> </w:t>
      </w:r>
      <w:r w:rsidRPr="00170D03">
        <w:rPr>
          <w:rFonts w:ascii="Bookman Old Style" w:hAnsi="Bookman Old Style" w:cs="Arial"/>
          <w:lang w:val="id-ID"/>
        </w:rPr>
        <w:t>jangka</w:t>
      </w:r>
      <w:r w:rsidR="00A954D0">
        <w:rPr>
          <w:rFonts w:ascii="Bookman Old Style" w:hAnsi="Bookman Old Style" w:cs="Arial"/>
          <w:lang w:val="id-ID"/>
        </w:rPr>
        <w:t xml:space="preserve"> </w:t>
      </w:r>
      <w:r w:rsidRPr="00170D03">
        <w:rPr>
          <w:rFonts w:ascii="Bookman Old Style" w:hAnsi="Bookman Old Style" w:cs="Arial"/>
          <w:lang w:val="id-ID"/>
        </w:rPr>
        <w:t>waktu</w:t>
      </w:r>
      <w:r w:rsidR="00A954D0">
        <w:rPr>
          <w:rFonts w:ascii="Bookman Old Style" w:hAnsi="Bookman Old Style" w:cs="Arial"/>
          <w:lang w:val="id-ID"/>
        </w:rPr>
        <w:t xml:space="preserve"> </w:t>
      </w:r>
      <w:r w:rsidRPr="00170D03">
        <w:rPr>
          <w:rFonts w:ascii="Bookman Old Style" w:hAnsi="Bookman Old Style" w:cs="Arial"/>
          <w:lang w:val="id-ID"/>
        </w:rPr>
        <w:t>tertentu</w:t>
      </w:r>
      <w:r w:rsidRPr="00170D03">
        <w:rPr>
          <w:rFonts w:ascii="Bookman Old Style" w:hAnsi="Bookman Old Style"/>
          <w:color w:val="000000" w:themeColor="text1"/>
          <w:lang w:val="id-ID"/>
        </w:rPr>
        <w:t>,</w:t>
      </w:r>
      <w:r w:rsidR="00A954D0">
        <w:rPr>
          <w:rFonts w:ascii="Bookman Old Style" w:hAnsi="Bookman Old Style"/>
          <w:color w:val="000000" w:themeColor="text1"/>
          <w:lang w:val="id-ID"/>
        </w:rPr>
        <w:t xml:space="preserve"> </w:t>
      </w:r>
      <w:r w:rsidRPr="00170D03">
        <w:rPr>
          <w:rFonts w:ascii="Bookman Old Style" w:hAnsi="Bookman Old Style"/>
          <w:color w:val="000000" w:themeColor="text1"/>
          <w:lang w:val="id-ID"/>
        </w:rPr>
        <w:t>antara</w:t>
      </w:r>
      <w:r w:rsidR="00A954D0">
        <w:rPr>
          <w:rFonts w:ascii="Bookman Old Style" w:hAnsi="Bookman Old Style"/>
          <w:color w:val="000000" w:themeColor="text1"/>
          <w:lang w:val="id-ID"/>
        </w:rPr>
        <w:t xml:space="preserve"> </w:t>
      </w:r>
      <w:r w:rsidRPr="00170D03">
        <w:rPr>
          <w:rFonts w:ascii="Bookman Old Style" w:hAnsi="Bookman Old Style"/>
          <w:color w:val="000000" w:themeColor="text1"/>
          <w:lang w:val="id-ID"/>
        </w:rPr>
        <w:t>lain:</w:t>
      </w:r>
    </w:p>
    <w:p w14:paraId="46DAB77D" w14:textId="1C85189B" w:rsidR="000E5ADB" w:rsidRPr="00170D03" w:rsidRDefault="000E5ADB" w:rsidP="00B16310">
      <w:pPr>
        <w:numPr>
          <w:ilvl w:val="0"/>
          <w:numId w:val="5"/>
        </w:numPr>
        <w:spacing w:before="60" w:line="276" w:lineRule="auto"/>
        <w:ind w:left="2268" w:hanging="567"/>
        <w:jc w:val="both"/>
        <w:rPr>
          <w:rFonts w:ascii="Bookman Old Style" w:hAnsi="Bookman Old Style" w:cs="Arial"/>
          <w:color w:val="000000" w:themeColor="text1"/>
          <w:lang w:val="x-none" w:eastAsia="x-none"/>
        </w:rPr>
      </w:pPr>
      <w:r w:rsidRPr="00170D03">
        <w:rPr>
          <w:rFonts w:ascii="Bookman Old Style" w:hAnsi="Bookman Old Style" w:cs="Arial"/>
          <w:color w:val="000000" w:themeColor="text1"/>
          <w:lang w:val="id-ID"/>
        </w:rPr>
        <w:t>Keuntungan</w:t>
      </w:r>
      <w:r w:rsidR="00A954D0">
        <w:rPr>
          <w:rFonts w:ascii="Bookman Old Style" w:hAnsi="Bookman Old Style" w:cs="Arial"/>
          <w:color w:val="000000" w:themeColor="text1"/>
          <w:lang w:val="id-ID"/>
        </w:rPr>
        <w:t xml:space="preserve"> </w:t>
      </w:r>
      <w:r w:rsidRPr="00170D03">
        <w:rPr>
          <w:rFonts w:ascii="Bookman Old Style" w:hAnsi="Bookman Old Style" w:cs="Arial"/>
          <w:color w:val="000000" w:themeColor="text1"/>
          <w:lang w:val="id-ID"/>
        </w:rPr>
        <w:t>sejumlah</w:t>
      </w:r>
      <w:r w:rsidR="00A954D0">
        <w:rPr>
          <w:rFonts w:ascii="Bookman Old Style" w:hAnsi="Bookman Old Style" w:cs="Arial"/>
          <w:color w:val="000000" w:themeColor="text1"/>
          <w:lang w:val="id-ID"/>
        </w:rPr>
        <w:t xml:space="preserve"> </w:t>
      </w:r>
      <w:r w:rsidRPr="00170D03">
        <w:rPr>
          <w:rFonts w:ascii="Bookman Old Style" w:hAnsi="Bookman Old Style" w:cs="Arial"/>
          <w:color w:val="000000" w:themeColor="text1"/>
          <w:lang w:val="id-ID"/>
        </w:rPr>
        <w:t>tertentu</w:t>
      </w:r>
      <w:r w:rsidR="00A954D0">
        <w:rPr>
          <w:rFonts w:ascii="Bookman Old Style" w:hAnsi="Bookman Old Style" w:cs="Arial"/>
          <w:color w:val="000000" w:themeColor="text1"/>
          <w:lang w:val="id-ID"/>
        </w:rPr>
        <w:t xml:space="preserve"> </w:t>
      </w:r>
      <w:r w:rsidRPr="00170D03">
        <w:rPr>
          <w:rFonts w:ascii="Bookman Old Style" w:hAnsi="Bookman Old Style" w:cs="Arial"/>
          <w:color w:val="000000" w:themeColor="text1"/>
          <w:lang w:val="id-ID"/>
        </w:rPr>
        <w:t>dalam</w:t>
      </w:r>
      <w:r w:rsidR="00A954D0">
        <w:rPr>
          <w:rFonts w:ascii="Bookman Old Style" w:hAnsi="Bookman Old Style" w:cs="Arial"/>
          <w:color w:val="000000" w:themeColor="text1"/>
          <w:lang w:val="id-ID"/>
        </w:rPr>
        <w:t xml:space="preserve"> </w:t>
      </w:r>
      <w:r w:rsidRPr="00170D03">
        <w:rPr>
          <w:rFonts w:ascii="Bookman Old Style" w:hAnsi="Bookman Old Style" w:cs="Arial"/>
          <w:color w:val="000000" w:themeColor="text1"/>
          <w:lang w:val="id-ID"/>
        </w:rPr>
        <w:t>jangka</w:t>
      </w:r>
      <w:r w:rsidR="00A954D0">
        <w:rPr>
          <w:rFonts w:ascii="Bookman Old Style" w:hAnsi="Bookman Old Style" w:cs="Arial"/>
          <w:color w:val="000000" w:themeColor="text1"/>
          <w:lang w:val="id-ID"/>
        </w:rPr>
        <w:t xml:space="preserve"> </w:t>
      </w:r>
      <w:r w:rsidRPr="00170D03">
        <w:rPr>
          <w:rFonts w:ascii="Bookman Old Style" w:hAnsi="Bookman Old Style" w:cs="Arial"/>
          <w:color w:val="000000" w:themeColor="text1"/>
          <w:lang w:val="id-ID"/>
        </w:rPr>
        <w:t>waktu</w:t>
      </w:r>
      <w:r w:rsidR="00A954D0">
        <w:rPr>
          <w:rFonts w:ascii="Bookman Old Style" w:hAnsi="Bookman Old Style" w:cs="Arial"/>
          <w:color w:val="000000" w:themeColor="text1"/>
          <w:lang w:val="id-ID"/>
        </w:rPr>
        <w:t xml:space="preserve"> </w:t>
      </w:r>
      <w:r w:rsidRPr="00170D03">
        <w:rPr>
          <w:rFonts w:ascii="Bookman Old Style" w:hAnsi="Bookman Old Style" w:cs="Arial"/>
          <w:color w:val="000000" w:themeColor="text1"/>
          <w:lang w:val="id-ID"/>
        </w:rPr>
        <w:t>tertentu</w:t>
      </w:r>
      <w:r w:rsidR="00A954D0">
        <w:rPr>
          <w:rFonts w:ascii="Bookman Old Style" w:hAnsi="Bookman Old Style" w:cs="Arial"/>
          <w:color w:val="000000" w:themeColor="text1"/>
          <w:lang w:val="id-ID"/>
        </w:rPr>
        <w:t xml:space="preserve"> </w:t>
      </w:r>
      <w:r w:rsidRPr="00170D03">
        <w:rPr>
          <w:rFonts w:ascii="Bookman Old Style" w:hAnsi="Bookman Old Style" w:cs="Arial"/>
          <w:color w:val="000000" w:themeColor="text1"/>
          <w:lang w:val="id-ID"/>
        </w:rPr>
        <w:t>berupa</w:t>
      </w:r>
      <w:r w:rsidR="00A954D0">
        <w:rPr>
          <w:rFonts w:ascii="Bookman Old Style" w:hAnsi="Bookman Old Style" w:cs="Arial"/>
          <w:color w:val="000000" w:themeColor="text1"/>
          <w:lang w:val="id-ID"/>
        </w:rPr>
        <w:t xml:space="preserve"> </w:t>
      </w:r>
      <w:r w:rsidRPr="00170D03">
        <w:rPr>
          <w:rFonts w:ascii="Bookman Old Style" w:hAnsi="Bookman Old Style" w:cs="Arial"/>
          <w:color w:val="000000" w:themeColor="text1"/>
          <w:lang w:val="id-ID"/>
        </w:rPr>
        <w:t>deviden,</w:t>
      </w:r>
      <w:r w:rsidR="00A954D0">
        <w:rPr>
          <w:rFonts w:ascii="Bookman Old Style" w:hAnsi="Bookman Old Style" w:cs="Arial"/>
          <w:color w:val="000000" w:themeColor="text1"/>
          <w:lang w:val="id-ID"/>
        </w:rPr>
        <w:t xml:space="preserve"> </w:t>
      </w:r>
      <w:r w:rsidRPr="00170D03">
        <w:rPr>
          <w:rFonts w:ascii="Bookman Old Style" w:hAnsi="Bookman Old Style" w:cs="Arial"/>
          <w:color w:val="000000" w:themeColor="text1"/>
          <w:lang w:val="id-ID"/>
        </w:rPr>
        <w:t>bunga</w:t>
      </w:r>
      <w:r w:rsidR="00A954D0">
        <w:rPr>
          <w:rFonts w:ascii="Bookman Old Style" w:hAnsi="Bookman Old Style" w:cs="Arial"/>
          <w:color w:val="000000" w:themeColor="text1"/>
          <w:lang w:val="id-ID"/>
        </w:rPr>
        <w:t xml:space="preserve"> </w:t>
      </w:r>
      <w:r w:rsidRPr="00170D03">
        <w:rPr>
          <w:rFonts w:ascii="Bookman Old Style" w:hAnsi="Bookman Old Style" w:cs="Arial"/>
          <w:color w:val="000000" w:themeColor="text1"/>
          <w:lang w:val="id-ID"/>
        </w:rPr>
        <w:t>dan</w:t>
      </w:r>
      <w:r w:rsidR="00A954D0">
        <w:rPr>
          <w:rFonts w:ascii="Bookman Old Style" w:hAnsi="Bookman Old Style" w:cs="Arial"/>
          <w:color w:val="000000" w:themeColor="text1"/>
          <w:lang w:val="id-ID"/>
        </w:rPr>
        <w:t xml:space="preserve"> </w:t>
      </w:r>
      <w:r w:rsidRPr="00170D03">
        <w:rPr>
          <w:rFonts w:ascii="Bookman Old Style" w:hAnsi="Bookman Old Style" w:cs="Arial"/>
          <w:color w:val="000000" w:themeColor="text1"/>
          <w:lang w:val="id-ID"/>
        </w:rPr>
        <w:t>pertumbuhan</w:t>
      </w:r>
      <w:r w:rsidR="00A954D0">
        <w:rPr>
          <w:rFonts w:ascii="Bookman Old Style" w:hAnsi="Bookman Old Style" w:cs="Arial"/>
          <w:color w:val="000000" w:themeColor="text1"/>
          <w:lang w:val="id-ID"/>
        </w:rPr>
        <w:t xml:space="preserve"> </w:t>
      </w:r>
      <w:r w:rsidRPr="00170D03">
        <w:rPr>
          <w:rFonts w:ascii="Bookman Old Style" w:hAnsi="Bookman Old Style" w:cs="Arial"/>
          <w:color w:val="000000" w:themeColor="text1"/>
          <w:lang w:val="id-ID"/>
        </w:rPr>
        <w:t>nilai</w:t>
      </w:r>
      <w:r w:rsidR="00A954D0">
        <w:rPr>
          <w:rFonts w:ascii="Bookman Old Style" w:hAnsi="Bookman Old Style" w:cs="Arial"/>
          <w:color w:val="000000" w:themeColor="text1"/>
          <w:lang w:val="id-ID"/>
        </w:rPr>
        <w:t xml:space="preserve"> </w:t>
      </w:r>
      <w:r w:rsidRPr="00170D03">
        <w:rPr>
          <w:rFonts w:ascii="Bookman Old Style" w:hAnsi="Bookman Old Style" w:cs="Arial"/>
          <w:color w:val="000000" w:themeColor="text1"/>
          <w:lang w:val="id-ID"/>
        </w:rPr>
        <w:t>perusahaan</w:t>
      </w:r>
      <w:r w:rsidR="00A954D0">
        <w:rPr>
          <w:rFonts w:ascii="Bookman Old Style" w:hAnsi="Bookman Old Style" w:cs="Arial"/>
          <w:color w:val="000000" w:themeColor="text1"/>
          <w:lang w:val="id-ID"/>
        </w:rPr>
        <w:t xml:space="preserve"> </w:t>
      </w:r>
      <w:r w:rsidRPr="00170D03">
        <w:rPr>
          <w:rFonts w:ascii="Bookman Old Style" w:hAnsi="Bookman Old Style" w:cs="Arial"/>
          <w:color w:val="000000" w:themeColor="text1"/>
          <w:lang w:val="id-ID"/>
        </w:rPr>
        <w:t>daerah</w:t>
      </w:r>
      <w:r w:rsidR="00A954D0">
        <w:rPr>
          <w:rFonts w:ascii="Bookman Old Style" w:hAnsi="Bookman Old Style" w:cs="Arial"/>
          <w:color w:val="000000" w:themeColor="text1"/>
          <w:lang w:val="id-ID"/>
        </w:rPr>
        <w:t xml:space="preserve"> </w:t>
      </w:r>
      <w:r w:rsidRPr="00170D03">
        <w:rPr>
          <w:rFonts w:ascii="Bookman Old Style" w:hAnsi="Bookman Old Style" w:cs="Arial"/>
          <w:color w:val="000000" w:themeColor="text1"/>
          <w:lang w:val="id-ID"/>
        </w:rPr>
        <w:t>yang</w:t>
      </w:r>
      <w:r w:rsidR="00A954D0">
        <w:rPr>
          <w:rFonts w:ascii="Bookman Old Style" w:hAnsi="Bookman Old Style" w:cs="Arial"/>
          <w:color w:val="000000" w:themeColor="text1"/>
          <w:lang w:val="id-ID"/>
        </w:rPr>
        <w:t xml:space="preserve"> </w:t>
      </w:r>
      <w:r w:rsidRPr="00170D03">
        <w:rPr>
          <w:rFonts w:ascii="Bookman Old Style" w:hAnsi="Bookman Old Style" w:cs="Arial"/>
          <w:color w:val="000000" w:themeColor="text1"/>
          <w:lang w:val="id-ID"/>
        </w:rPr>
        <w:t>mendapatkan</w:t>
      </w:r>
      <w:r w:rsidR="00A954D0">
        <w:rPr>
          <w:rFonts w:ascii="Bookman Old Style" w:hAnsi="Bookman Old Style" w:cs="Arial"/>
          <w:color w:val="000000" w:themeColor="text1"/>
          <w:lang w:val="id-ID"/>
        </w:rPr>
        <w:t xml:space="preserve"> </w:t>
      </w:r>
      <w:r w:rsidRPr="00170D03">
        <w:rPr>
          <w:rFonts w:ascii="Bookman Old Style" w:hAnsi="Bookman Old Style" w:cs="Arial"/>
          <w:color w:val="000000" w:themeColor="text1"/>
          <w:lang w:val="id-ID"/>
        </w:rPr>
        <w:t>investasi</w:t>
      </w:r>
      <w:r w:rsidR="00A954D0">
        <w:rPr>
          <w:rFonts w:ascii="Bookman Old Style" w:hAnsi="Bookman Old Style" w:cs="Arial"/>
          <w:color w:val="000000" w:themeColor="text1"/>
          <w:lang w:val="id-ID"/>
        </w:rPr>
        <w:t xml:space="preserve"> </w:t>
      </w:r>
      <w:r w:rsidRPr="00170D03">
        <w:rPr>
          <w:rFonts w:ascii="Bookman Old Style" w:hAnsi="Bookman Old Style" w:cs="Arial"/>
          <w:color w:val="000000" w:themeColor="text1"/>
          <w:lang w:val="id-ID"/>
        </w:rPr>
        <w:t>Pemerintah</w:t>
      </w:r>
      <w:r w:rsidR="00A954D0">
        <w:rPr>
          <w:rFonts w:ascii="Bookman Old Style" w:hAnsi="Bookman Old Style" w:cs="Arial"/>
          <w:color w:val="000000" w:themeColor="text1"/>
          <w:lang w:val="id-ID"/>
        </w:rPr>
        <w:t xml:space="preserve"> </w:t>
      </w:r>
      <w:r w:rsidRPr="00170D03">
        <w:rPr>
          <w:rFonts w:ascii="Bookman Old Style" w:hAnsi="Bookman Old Style" w:cs="Arial"/>
          <w:color w:val="000000" w:themeColor="text1"/>
          <w:lang w:val="id-ID"/>
        </w:rPr>
        <w:t>Daerah;</w:t>
      </w:r>
    </w:p>
    <w:p w14:paraId="4FBE0203" w14:textId="1AAF824B" w:rsidR="000E5ADB" w:rsidRPr="00170D03" w:rsidRDefault="000E5ADB" w:rsidP="00B16310">
      <w:pPr>
        <w:numPr>
          <w:ilvl w:val="0"/>
          <w:numId w:val="5"/>
        </w:numPr>
        <w:spacing w:before="60" w:line="276" w:lineRule="auto"/>
        <w:ind w:left="2268" w:hanging="567"/>
        <w:jc w:val="both"/>
        <w:rPr>
          <w:rFonts w:ascii="Bookman Old Style" w:hAnsi="Bookman Old Style" w:cs="Arial"/>
          <w:color w:val="000000" w:themeColor="text1"/>
          <w:lang w:val="it-IT"/>
        </w:rPr>
      </w:pPr>
      <w:r w:rsidRPr="00170D03">
        <w:rPr>
          <w:rFonts w:ascii="Bookman Old Style" w:hAnsi="Bookman Old Style" w:cs="Arial"/>
          <w:color w:val="000000" w:themeColor="text1"/>
          <w:lang w:val="it-IT"/>
        </w:rPr>
        <w:t>Peningkatan</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berupa</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jasa</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dan</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keuntungan</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bagi</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hasil</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investasi</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sejumlah</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tertentu</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dalam</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jangka</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waktu</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tertentu;</w:t>
      </w:r>
    </w:p>
    <w:p w14:paraId="4760117E" w14:textId="63DA6AE9" w:rsidR="000E5ADB" w:rsidRPr="00170D03" w:rsidRDefault="000E5ADB" w:rsidP="00B16310">
      <w:pPr>
        <w:numPr>
          <w:ilvl w:val="0"/>
          <w:numId w:val="5"/>
        </w:numPr>
        <w:spacing w:before="60" w:line="276" w:lineRule="auto"/>
        <w:ind w:left="2268" w:hanging="567"/>
        <w:jc w:val="both"/>
        <w:rPr>
          <w:rFonts w:ascii="Bookman Old Style" w:hAnsi="Bookman Old Style" w:cs="Arial"/>
          <w:color w:val="000000" w:themeColor="text1"/>
          <w:lang w:val="it-IT"/>
        </w:rPr>
      </w:pPr>
      <w:r w:rsidRPr="00170D03">
        <w:rPr>
          <w:rFonts w:ascii="Bookman Old Style" w:hAnsi="Bookman Old Style" w:cs="Arial"/>
          <w:color w:val="000000" w:themeColor="text1"/>
          <w:lang w:val="it-IT"/>
        </w:rPr>
        <w:t>Peningkatan</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penerimaan</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daerah</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dalam</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jangka</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waktu</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tertentu</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sebagai</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akibat</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langsung</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dari</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investasi</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yang</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bersangkutan;</w:t>
      </w:r>
      <w:r w:rsidR="00A954D0">
        <w:rPr>
          <w:rFonts w:ascii="Bookman Old Style" w:hAnsi="Bookman Old Style" w:cs="Arial"/>
          <w:color w:val="000000" w:themeColor="text1"/>
          <w:lang w:val="it-IT"/>
        </w:rPr>
        <w:t xml:space="preserve"> </w:t>
      </w:r>
    </w:p>
    <w:p w14:paraId="4B8BF7E6" w14:textId="663FBC47" w:rsidR="000E5ADB" w:rsidRPr="00170D03" w:rsidRDefault="000E5ADB" w:rsidP="00B16310">
      <w:pPr>
        <w:numPr>
          <w:ilvl w:val="0"/>
          <w:numId w:val="5"/>
        </w:numPr>
        <w:spacing w:before="60" w:line="276" w:lineRule="auto"/>
        <w:ind w:left="2268" w:hanging="567"/>
        <w:jc w:val="both"/>
        <w:rPr>
          <w:rFonts w:ascii="Bookman Old Style" w:hAnsi="Bookman Old Style" w:cs="Arial"/>
          <w:color w:val="000000" w:themeColor="text1"/>
          <w:lang w:val="it-IT"/>
        </w:rPr>
      </w:pPr>
      <w:r w:rsidRPr="00170D03">
        <w:rPr>
          <w:rFonts w:ascii="Bookman Old Style" w:hAnsi="Bookman Old Style" w:cs="Arial"/>
          <w:color w:val="000000" w:themeColor="text1"/>
          <w:lang w:val="it-IT"/>
        </w:rPr>
        <w:t>Peningkatan</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penyerapan</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tenaga</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kerja</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sejumlah</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tertentu</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dalam</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jangka</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waktu</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tertentu</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sebagai</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akibat</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langsung</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dari</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investasi</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yang</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bersangkutan;</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dan/atau</w:t>
      </w:r>
    </w:p>
    <w:p w14:paraId="53B20653" w14:textId="714178C8" w:rsidR="000E5ADB" w:rsidRPr="00170D03" w:rsidRDefault="000E5ADB" w:rsidP="00B16310">
      <w:pPr>
        <w:numPr>
          <w:ilvl w:val="0"/>
          <w:numId w:val="5"/>
        </w:numPr>
        <w:spacing w:before="60" w:line="276" w:lineRule="auto"/>
        <w:ind w:left="2268" w:hanging="567"/>
        <w:jc w:val="both"/>
        <w:rPr>
          <w:rFonts w:ascii="Bookman Old Style" w:hAnsi="Bookman Old Style" w:cs="Arial"/>
          <w:color w:val="000000" w:themeColor="text1"/>
          <w:lang w:val="x-none" w:eastAsia="x-none"/>
        </w:rPr>
      </w:pPr>
      <w:r w:rsidRPr="00170D03">
        <w:rPr>
          <w:rFonts w:ascii="Bookman Old Style" w:hAnsi="Bookman Old Style" w:cs="Arial"/>
          <w:color w:val="000000" w:themeColor="text1"/>
          <w:lang w:val="it-IT"/>
        </w:rPr>
        <w:t>Peningkatan</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kesejahteraan</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masyarakat</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sebagai</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akibat</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dari</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investasi</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Pemerintah</w:t>
      </w:r>
      <w:r w:rsidR="00A954D0">
        <w:rPr>
          <w:rFonts w:ascii="Bookman Old Style" w:hAnsi="Bookman Old Style" w:cs="Arial"/>
          <w:color w:val="000000" w:themeColor="text1"/>
          <w:lang w:val="it-IT"/>
        </w:rPr>
        <w:t xml:space="preserve"> </w:t>
      </w:r>
      <w:r w:rsidRPr="00170D03">
        <w:rPr>
          <w:rFonts w:ascii="Bookman Old Style" w:hAnsi="Bookman Old Style" w:cs="Arial"/>
          <w:color w:val="000000" w:themeColor="text1"/>
          <w:lang w:val="it-IT"/>
        </w:rPr>
        <w:t>Daerah</w:t>
      </w:r>
      <w:r w:rsidRPr="00170D03">
        <w:rPr>
          <w:rFonts w:ascii="Bookman Old Style" w:hAnsi="Bookman Old Style" w:cs="Arial"/>
          <w:color w:val="000000" w:themeColor="text1"/>
          <w:lang w:val="id-ID" w:eastAsia="x-none"/>
        </w:rPr>
        <w:t>.</w:t>
      </w:r>
    </w:p>
    <w:p w14:paraId="6FA97AD6" w14:textId="79C31B68" w:rsidR="000E5ADB" w:rsidRPr="00170D03" w:rsidRDefault="00B16310" w:rsidP="000E5ADB">
      <w:pPr>
        <w:pStyle w:val="ListParagraph"/>
        <w:spacing w:before="60" w:after="0" w:line="276" w:lineRule="auto"/>
        <w:ind w:left="1701"/>
        <w:contextualSpacing w:val="0"/>
        <w:jc w:val="both"/>
        <w:rPr>
          <w:rFonts w:ascii="Bookman Old Style" w:hAnsi="Bookman Old Style"/>
          <w:sz w:val="24"/>
          <w:szCs w:val="24"/>
        </w:rPr>
      </w:pPr>
      <w:r w:rsidRPr="00B16310">
        <w:rPr>
          <w:rFonts w:ascii="Bookman Old Style" w:hAnsi="Bookman Old Style"/>
          <w:sz w:val="24"/>
          <w:szCs w:val="24"/>
          <w:lang w:val="sv-FI"/>
        </w:rPr>
        <w:t>D</w:t>
      </w:r>
      <w:r w:rsidR="000E5ADB" w:rsidRPr="00170D03">
        <w:rPr>
          <w:rFonts w:ascii="Bookman Old Style" w:hAnsi="Bookman Old Style"/>
          <w:sz w:val="24"/>
          <w:szCs w:val="24"/>
        </w:rPr>
        <w:t>engan</w:t>
      </w:r>
      <w:r w:rsidR="00A954D0">
        <w:rPr>
          <w:rFonts w:ascii="Bookman Old Style" w:hAnsi="Bookman Old Style"/>
          <w:sz w:val="24"/>
          <w:szCs w:val="24"/>
        </w:rPr>
        <w:t xml:space="preserve"> </w:t>
      </w:r>
      <w:r w:rsidR="000E5ADB" w:rsidRPr="00170D03">
        <w:rPr>
          <w:rFonts w:ascii="Bookman Old Style" w:hAnsi="Bookman Old Style"/>
          <w:sz w:val="24"/>
          <w:szCs w:val="24"/>
        </w:rPr>
        <w:t>tetap</w:t>
      </w:r>
      <w:r w:rsidR="00A954D0">
        <w:rPr>
          <w:rFonts w:ascii="Bookman Old Style" w:hAnsi="Bookman Old Style"/>
          <w:sz w:val="24"/>
          <w:szCs w:val="24"/>
        </w:rPr>
        <w:t xml:space="preserve"> </w:t>
      </w:r>
      <w:r w:rsidR="000E5ADB" w:rsidRPr="00170D03">
        <w:rPr>
          <w:rFonts w:ascii="Bookman Old Style" w:hAnsi="Bookman Old Style"/>
          <w:sz w:val="24"/>
          <w:szCs w:val="24"/>
          <w:lang w:val="id-ID"/>
        </w:rPr>
        <w:t>berpedoman</w:t>
      </w:r>
      <w:r w:rsidR="00A954D0">
        <w:rPr>
          <w:rFonts w:ascii="Bookman Old Style" w:hAnsi="Bookman Old Style"/>
          <w:sz w:val="24"/>
          <w:szCs w:val="24"/>
          <w:lang w:val="id-ID"/>
        </w:rPr>
        <w:t xml:space="preserve"> </w:t>
      </w:r>
      <w:r w:rsidR="000E5ADB" w:rsidRPr="00170D03">
        <w:rPr>
          <w:rFonts w:ascii="Bookman Old Style" w:hAnsi="Bookman Old Style"/>
          <w:sz w:val="24"/>
          <w:szCs w:val="24"/>
          <w:lang w:val="id-ID"/>
        </w:rPr>
        <w:t>pada</w:t>
      </w:r>
      <w:r w:rsidR="00A954D0">
        <w:rPr>
          <w:rFonts w:ascii="Bookman Old Style" w:hAnsi="Bookman Old Style"/>
          <w:sz w:val="24"/>
          <w:szCs w:val="24"/>
        </w:rPr>
        <w:t xml:space="preserve"> </w:t>
      </w:r>
      <w:r w:rsidR="000E5ADB" w:rsidRPr="00170D03">
        <w:rPr>
          <w:rFonts w:ascii="Bookman Old Style" w:hAnsi="Bookman Old Style"/>
          <w:sz w:val="24"/>
          <w:szCs w:val="24"/>
        </w:rPr>
        <w:t>Peraturan</w:t>
      </w:r>
      <w:r w:rsidR="00A954D0">
        <w:rPr>
          <w:rFonts w:ascii="Bookman Old Style" w:hAnsi="Bookman Old Style"/>
          <w:sz w:val="24"/>
          <w:szCs w:val="24"/>
        </w:rPr>
        <w:t xml:space="preserve"> </w:t>
      </w:r>
      <w:r w:rsidR="000E5ADB" w:rsidRPr="00170D03">
        <w:rPr>
          <w:rFonts w:ascii="Bookman Old Style" w:hAnsi="Bookman Old Style"/>
          <w:sz w:val="24"/>
          <w:szCs w:val="24"/>
        </w:rPr>
        <w:t>Menteri</w:t>
      </w:r>
      <w:r w:rsidR="00A954D0">
        <w:rPr>
          <w:rFonts w:ascii="Bookman Old Style" w:hAnsi="Bookman Old Style"/>
          <w:sz w:val="24"/>
          <w:szCs w:val="24"/>
        </w:rPr>
        <w:t xml:space="preserve"> </w:t>
      </w:r>
      <w:r w:rsidR="000E5ADB" w:rsidRPr="00170D03">
        <w:rPr>
          <w:rFonts w:ascii="Bookman Old Style" w:hAnsi="Bookman Old Style"/>
          <w:sz w:val="24"/>
          <w:szCs w:val="24"/>
        </w:rPr>
        <w:t>Dalam</w:t>
      </w:r>
      <w:r w:rsidR="00A954D0">
        <w:rPr>
          <w:rFonts w:ascii="Bookman Old Style" w:hAnsi="Bookman Old Style"/>
          <w:sz w:val="24"/>
          <w:szCs w:val="24"/>
        </w:rPr>
        <w:t xml:space="preserve"> </w:t>
      </w:r>
      <w:r w:rsidR="000E5ADB" w:rsidRPr="00170D03">
        <w:rPr>
          <w:rFonts w:ascii="Bookman Old Style" w:hAnsi="Bookman Old Style"/>
          <w:sz w:val="24"/>
          <w:szCs w:val="24"/>
        </w:rPr>
        <w:t>Negeri</w:t>
      </w:r>
      <w:r w:rsidR="00A954D0">
        <w:rPr>
          <w:rFonts w:ascii="Bookman Old Style" w:hAnsi="Bookman Old Style"/>
          <w:sz w:val="24"/>
          <w:szCs w:val="24"/>
        </w:rPr>
        <w:t xml:space="preserve"> </w:t>
      </w:r>
      <w:r w:rsidR="000E5ADB" w:rsidRPr="00170D03">
        <w:rPr>
          <w:rFonts w:ascii="Bookman Old Style" w:hAnsi="Bookman Old Style"/>
          <w:sz w:val="24"/>
          <w:szCs w:val="24"/>
        </w:rPr>
        <w:t>Nomor</w:t>
      </w:r>
      <w:r w:rsidR="00A954D0">
        <w:rPr>
          <w:rFonts w:ascii="Bookman Old Style" w:hAnsi="Bookman Old Style"/>
          <w:sz w:val="24"/>
          <w:szCs w:val="24"/>
        </w:rPr>
        <w:t xml:space="preserve"> </w:t>
      </w:r>
      <w:r w:rsidR="000E5ADB" w:rsidRPr="00170D03">
        <w:rPr>
          <w:rFonts w:ascii="Bookman Old Style" w:hAnsi="Bookman Old Style"/>
          <w:sz w:val="24"/>
          <w:szCs w:val="24"/>
        </w:rPr>
        <w:t>52</w:t>
      </w:r>
      <w:r w:rsidR="00A954D0">
        <w:rPr>
          <w:rFonts w:ascii="Bookman Old Style" w:hAnsi="Bookman Old Style"/>
          <w:sz w:val="24"/>
          <w:szCs w:val="24"/>
        </w:rPr>
        <w:t xml:space="preserve"> </w:t>
      </w:r>
      <w:r w:rsidR="000E5ADB" w:rsidRPr="00170D03">
        <w:rPr>
          <w:rFonts w:ascii="Bookman Old Style" w:hAnsi="Bookman Old Style"/>
          <w:sz w:val="24"/>
          <w:szCs w:val="24"/>
        </w:rPr>
        <w:t>Tahun</w:t>
      </w:r>
      <w:r w:rsidR="00A954D0">
        <w:rPr>
          <w:rFonts w:ascii="Bookman Old Style" w:hAnsi="Bookman Old Style"/>
          <w:sz w:val="24"/>
          <w:szCs w:val="24"/>
        </w:rPr>
        <w:t xml:space="preserve"> </w:t>
      </w:r>
      <w:r w:rsidR="000E5ADB" w:rsidRPr="00170D03">
        <w:rPr>
          <w:rFonts w:ascii="Bookman Old Style" w:hAnsi="Bookman Old Style"/>
          <w:sz w:val="24"/>
          <w:szCs w:val="24"/>
        </w:rPr>
        <w:t>2012,</w:t>
      </w:r>
      <w:r w:rsidR="00A954D0">
        <w:rPr>
          <w:rFonts w:ascii="Bookman Old Style" w:hAnsi="Bookman Old Style"/>
          <w:sz w:val="24"/>
          <w:szCs w:val="24"/>
        </w:rPr>
        <w:t xml:space="preserve"> </w:t>
      </w:r>
      <w:r w:rsidR="000E5ADB" w:rsidRPr="00170D03">
        <w:rPr>
          <w:rFonts w:ascii="Bookman Old Style" w:hAnsi="Bookman Old Style"/>
          <w:sz w:val="24"/>
          <w:szCs w:val="24"/>
          <w:lang w:val="it-IT"/>
        </w:rPr>
        <w:t>dan</w:t>
      </w:r>
      <w:r w:rsidR="00A954D0">
        <w:rPr>
          <w:rFonts w:ascii="Bookman Old Style" w:hAnsi="Bookman Old Style"/>
          <w:sz w:val="24"/>
          <w:szCs w:val="24"/>
        </w:rPr>
        <w:t xml:space="preserve"> </w:t>
      </w:r>
      <w:r w:rsidR="000E5ADB" w:rsidRPr="00170D03">
        <w:rPr>
          <w:rFonts w:ascii="Bookman Old Style" w:hAnsi="Bookman Old Style"/>
          <w:sz w:val="24"/>
          <w:szCs w:val="24"/>
        </w:rPr>
        <w:t>butir</w:t>
      </w:r>
      <w:r w:rsidR="00A954D0">
        <w:rPr>
          <w:rFonts w:ascii="Bookman Old Style" w:hAnsi="Bookman Old Style"/>
          <w:sz w:val="24"/>
          <w:szCs w:val="24"/>
        </w:rPr>
        <w:t xml:space="preserve"> </w:t>
      </w:r>
      <w:r w:rsidR="000E5ADB" w:rsidRPr="00170D03">
        <w:rPr>
          <w:rFonts w:ascii="Bookman Old Style" w:hAnsi="Bookman Old Style"/>
          <w:sz w:val="24"/>
          <w:szCs w:val="24"/>
          <w:lang w:val="it-IT"/>
        </w:rPr>
        <w:t>3.3.1.2</w:t>
      </w:r>
      <w:r w:rsidR="00A954D0">
        <w:rPr>
          <w:rFonts w:ascii="Bookman Old Style" w:hAnsi="Bookman Old Style"/>
          <w:sz w:val="24"/>
          <w:szCs w:val="24"/>
        </w:rPr>
        <w:t xml:space="preserve"> </w:t>
      </w:r>
      <w:r w:rsidR="000E5ADB" w:rsidRPr="00170D03">
        <w:rPr>
          <w:rFonts w:ascii="Bookman Old Style" w:hAnsi="Bookman Old Style"/>
          <w:sz w:val="24"/>
          <w:szCs w:val="24"/>
        </w:rPr>
        <w:t>Lampiran</w:t>
      </w:r>
      <w:r w:rsidR="00A954D0">
        <w:rPr>
          <w:rFonts w:ascii="Bookman Old Style" w:hAnsi="Bookman Old Style"/>
          <w:sz w:val="24"/>
          <w:szCs w:val="24"/>
        </w:rPr>
        <w:t xml:space="preserve"> </w:t>
      </w:r>
      <w:r w:rsidR="000E5ADB" w:rsidRPr="00170D03">
        <w:rPr>
          <w:rFonts w:ascii="Bookman Old Style" w:hAnsi="Bookman Old Style"/>
          <w:sz w:val="24"/>
          <w:szCs w:val="24"/>
        </w:rPr>
        <w:t>Peraturan</w:t>
      </w:r>
      <w:r w:rsidR="00A954D0">
        <w:rPr>
          <w:rFonts w:ascii="Bookman Old Style" w:hAnsi="Bookman Old Style"/>
          <w:sz w:val="24"/>
          <w:szCs w:val="24"/>
        </w:rPr>
        <w:t xml:space="preserve"> </w:t>
      </w:r>
      <w:r w:rsidR="000E5ADB" w:rsidRPr="00170D03">
        <w:rPr>
          <w:rFonts w:ascii="Bookman Old Style" w:hAnsi="Bookman Old Style"/>
          <w:sz w:val="24"/>
          <w:szCs w:val="24"/>
        </w:rPr>
        <w:t>Menteri</w:t>
      </w:r>
      <w:r w:rsidR="00A954D0">
        <w:rPr>
          <w:rFonts w:ascii="Bookman Old Style" w:hAnsi="Bookman Old Style"/>
          <w:sz w:val="24"/>
          <w:szCs w:val="24"/>
        </w:rPr>
        <w:t xml:space="preserve"> </w:t>
      </w:r>
      <w:r w:rsidR="000E5ADB" w:rsidRPr="00170D03">
        <w:rPr>
          <w:rFonts w:ascii="Bookman Old Style" w:hAnsi="Bookman Old Style"/>
          <w:sz w:val="24"/>
          <w:szCs w:val="24"/>
        </w:rPr>
        <w:t>Dalam</w:t>
      </w:r>
      <w:r w:rsidR="00A954D0">
        <w:rPr>
          <w:rFonts w:ascii="Bookman Old Style" w:hAnsi="Bookman Old Style"/>
          <w:sz w:val="24"/>
          <w:szCs w:val="24"/>
        </w:rPr>
        <w:t xml:space="preserve"> </w:t>
      </w:r>
      <w:r w:rsidR="000E5ADB" w:rsidRPr="00170D03">
        <w:rPr>
          <w:rFonts w:ascii="Bookman Old Style" w:hAnsi="Bookman Old Style"/>
          <w:sz w:val="24"/>
          <w:szCs w:val="24"/>
        </w:rPr>
        <w:t>Negeri</w:t>
      </w:r>
      <w:r w:rsidR="00A954D0">
        <w:rPr>
          <w:rFonts w:ascii="Bookman Old Style" w:hAnsi="Bookman Old Style"/>
          <w:sz w:val="24"/>
          <w:szCs w:val="24"/>
        </w:rPr>
        <w:t xml:space="preserve"> </w:t>
      </w:r>
      <w:r w:rsidR="000E5ADB" w:rsidRPr="00170D03">
        <w:rPr>
          <w:rFonts w:ascii="Bookman Old Style" w:hAnsi="Bookman Old Style"/>
          <w:sz w:val="24"/>
          <w:szCs w:val="24"/>
        </w:rPr>
        <w:t>Nomor</w:t>
      </w:r>
      <w:r w:rsidR="00A954D0">
        <w:rPr>
          <w:rFonts w:ascii="Bookman Old Style" w:hAnsi="Bookman Old Style"/>
          <w:sz w:val="24"/>
          <w:szCs w:val="24"/>
        </w:rPr>
        <w:t xml:space="preserve"> </w:t>
      </w:r>
      <w:r w:rsidR="000E5ADB" w:rsidRPr="00170D03">
        <w:rPr>
          <w:rFonts w:ascii="Bookman Old Style" w:hAnsi="Bookman Old Style"/>
          <w:sz w:val="24"/>
          <w:szCs w:val="24"/>
          <w:lang w:val="it-IT"/>
        </w:rPr>
        <w:t>15</w:t>
      </w:r>
      <w:r w:rsidR="00A954D0">
        <w:rPr>
          <w:rFonts w:ascii="Bookman Old Style" w:hAnsi="Bookman Old Style"/>
          <w:sz w:val="24"/>
          <w:szCs w:val="24"/>
        </w:rPr>
        <w:t xml:space="preserve"> </w:t>
      </w:r>
      <w:r w:rsidR="000E5ADB" w:rsidRPr="00170D03">
        <w:rPr>
          <w:rFonts w:ascii="Bookman Old Style" w:hAnsi="Bookman Old Style"/>
          <w:sz w:val="24"/>
          <w:szCs w:val="24"/>
        </w:rPr>
        <w:t>Tahun</w:t>
      </w:r>
      <w:r w:rsidR="00A954D0">
        <w:rPr>
          <w:rFonts w:ascii="Bookman Old Style" w:hAnsi="Bookman Old Style"/>
          <w:sz w:val="24"/>
          <w:szCs w:val="24"/>
        </w:rPr>
        <w:t xml:space="preserve"> </w:t>
      </w:r>
      <w:r w:rsidR="000E5ADB" w:rsidRPr="00170D03">
        <w:rPr>
          <w:rFonts w:ascii="Bookman Old Style" w:hAnsi="Bookman Old Style"/>
          <w:sz w:val="24"/>
          <w:szCs w:val="24"/>
        </w:rPr>
        <w:t>202</w:t>
      </w:r>
      <w:r w:rsidR="000E5ADB" w:rsidRPr="00170D03">
        <w:rPr>
          <w:rFonts w:ascii="Bookman Old Style" w:hAnsi="Bookman Old Style"/>
          <w:sz w:val="24"/>
          <w:szCs w:val="24"/>
          <w:lang w:val="it-IT"/>
        </w:rPr>
        <w:t>4</w:t>
      </w:r>
      <w:r w:rsidR="000E5ADB" w:rsidRPr="00170D03">
        <w:rPr>
          <w:rFonts w:ascii="Bookman Old Style" w:hAnsi="Bookman Old Style"/>
          <w:sz w:val="24"/>
          <w:szCs w:val="24"/>
        </w:rPr>
        <w:t>.</w:t>
      </w:r>
    </w:p>
    <w:p w14:paraId="53DA5808" w14:textId="1F0F559D" w:rsidR="000E5ADB" w:rsidRPr="007978B4" w:rsidRDefault="000E5ADB" w:rsidP="000E5ADB">
      <w:pPr>
        <w:pStyle w:val="ListParagraph"/>
        <w:spacing w:before="60" w:after="0" w:line="276" w:lineRule="auto"/>
        <w:ind w:left="1701"/>
        <w:contextualSpacing w:val="0"/>
        <w:jc w:val="both"/>
        <w:rPr>
          <w:rFonts w:ascii="Bookman Old Style" w:hAnsi="Bookman Old Style" w:cs="Gill Sans Light (Arabid)"/>
          <w:sz w:val="24"/>
          <w:szCs w:val="24"/>
          <w:lang w:val="id-ID"/>
        </w:rPr>
      </w:pPr>
      <w:r w:rsidRPr="00170D03">
        <w:rPr>
          <w:rFonts w:ascii="Bookman Old Style" w:hAnsi="Bookman Old Style"/>
          <w:sz w:val="24"/>
          <w:szCs w:val="24"/>
          <w:lang w:val="id-ID"/>
        </w:rPr>
        <w:t>Selanjutnya</w:t>
      </w:r>
      <w:r w:rsidRPr="00170D03">
        <w:rPr>
          <w:rFonts w:ascii="Bookman Old Style" w:hAnsi="Bookman Old Style"/>
          <w:sz w:val="24"/>
          <w:szCs w:val="24"/>
          <w:lang w:val="fi-FI"/>
        </w:rPr>
        <w:t>,</w:t>
      </w:r>
      <w:r w:rsidR="00A954D0">
        <w:rPr>
          <w:rFonts w:ascii="Bookman Old Style" w:hAnsi="Bookman Old Style"/>
          <w:sz w:val="24"/>
          <w:szCs w:val="24"/>
          <w:lang w:val="fi-FI"/>
        </w:rPr>
        <w:t xml:space="preserve"> </w:t>
      </w:r>
      <w:r w:rsidRPr="00170D03">
        <w:rPr>
          <w:rFonts w:ascii="Bookman Old Style" w:hAnsi="Bookman Old Style"/>
          <w:sz w:val="24"/>
          <w:szCs w:val="24"/>
          <w:lang w:val="fi-FI"/>
        </w:rPr>
        <w:t>terhadap</w:t>
      </w:r>
      <w:r w:rsidR="00A954D0">
        <w:rPr>
          <w:rFonts w:ascii="Bookman Old Style" w:hAnsi="Bookman Old Style"/>
          <w:sz w:val="24"/>
          <w:szCs w:val="24"/>
          <w:lang w:val="fi-FI"/>
        </w:rPr>
        <w:t xml:space="preserve"> </w:t>
      </w:r>
      <w:r w:rsidRPr="00170D03">
        <w:rPr>
          <w:rFonts w:ascii="Bookman Old Style" w:hAnsi="Bookman Old Style"/>
          <w:sz w:val="24"/>
          <w:szCs w:val="24"/>
          <w:lang w:val="id-ID"/>
        </w:rPr>
        <w:t>penyertaan</w:t>
      </w:r>
      <w:r w:rsidR="00A954D0">
        <w:rPr>
          <w:rFonts w:ascii="Bookman Old Style" w:hAnsi="Bookman Old Style"/>
          <w:sz w:val="24"/>
          <w:szCs w:val="24"/>
          <w:lang w:val="id-ID"/>
        </w:rPr>
        <w:t xml:space="preserve"> </w:t>
      </w:r>
      <w:r w:rsidRPr="00170D03">
        <w:rPr>
          <w:rFonts w:ascii="Bookman Old Style" w:hAnsi="Bookman Old Style"/>
          <w:sz w:val="24"/>
          <w:szCs w:val="24"/>
          <w:lang w:val="id-ID"/>
        </w:rPr>
        <w:t>modal</w:t>
      </w:r>
      <w:r w:rsidR="00A954D0">
        <w:rPr>
          <w:rFonts w:ascii="Bookman Old Style" w:hAnsi="Bookman Old Style"/>
          <w:sz w:val="24"/>
          <w:szCs w:val="24"/>
          <w:lang w:val="id-ID"/>
        </w:rPr>
        <w:t xml:space="preserve"> </w:t>
      </w:r>
      <w:r w:rsidRPr="00170D03">
        <w:rPr>
          <w:rFonts w:ascii="Bookman Old Style" w:hAnsi="Bookman Old Style"/>
          <w:sz w:val="24"/>
          <w:szCs w:val="24"/>
          <w:lang w:val="id-ID"/>
        </w:rPr>
        <w:t>Pemerintah</w:t>
      </w:r>
      <w:r w:rsidR="00A954D0">
        <w:rPr>
          <w:rFonts w:ascii="Bookman Old Style" w:hAnsi="Bookman Old Style"/>
          <w:sz w:val="24"/>
          <w:szCs w:val="24"/>
          <w:lang w:val="id-ID"/>
        </w:rPr>
        <w:t xml:space="preserve"> </w:t>
      </w:r>
      <w:r w:rsidRPr="00170D03">
        <w:rPr>
          <w:rFonts w:ascii="Bookman Old Style" w:hAnsi="Bookman Old Style"/>
          <w:sz w:val="24"/>
          <w:szCs w:val="24"/>
          <w:lang w:val="fi-FI"/>
        </w:rPr>
        <w:t>Daerah</w:t>
      </w:r>
      <w:r w:rsidR="00A954D0">
        <w:rPr>
          <w:rFonts w:ascii="Bookman Old Style" w:hAnsi="Bookman Old Style"/>
          <w:sz w:val="24"/>
          <w:szCs w:val="24"/>
          <w:lang w:val="fi-FI"/>
        </w:rPr>
        <w:t xml:space="preserve"> </w:t>
      </w:r>
      <w:r>
        <w:rPr>
          <w:rFonts w:ascii="Bookman Old Style" w:hAnsi="Bookman Old Style"/>
          <w:sz w:val="24"/>
          <w:szCs w:val="24"/>
          <w:lang w:val="en-ID"/>
        </w:rPr>
        <w:t>Kota</w:t>
      </w:r>
      <w:r w:rsidR="00A954D0">
        <w:rPr>
          <w:rFonts w:ascii="Bookman Old Style" w:hAnsi="Bookman Old Style"/>
          <w:sz w:val="24"/>
          <w:szCs w:val="24"/>
          <w:lang w:val="en-ID"/>
        </w:rPr>
        <w:t xml:space="preserve"> </w:t>
      </w:r>
      <w:r>
        <w:rPr>
          <w:rFonts w:ascii="Bookman Old Style" w:hAnsi="Bookman Old Style"/>
          <w:sz w:val="24"/>
          <w:szCs w:val="24"/>
          <w:lang w:val="en-ID"/>
        </w:rPr>
        <w:t>Tangerang</w:t>
      </w:r>
      <w:r w:rsidR="00A954D0">
        <w:rPr>
          <w:rFonts w:ascii="Bookman Old Style" w:hAnsi="Bookman Old Style"/>
          <w:sz w:val="24"/>
          <w:szCs w:val="24"/>
          <w:lang w:val="en-ID"/>
        </w:rPr>
        <w:t xml:space="preserve"> </w:t>
      </w:r>
      <w:r w:rsidRPr="00170D03">
        <w:rPr>
          <w:rFonts w:ascii="Bookman Old Style" w:hAnsi="Bookman Old Style"/>
          <w:sz w:val="24"/>
          <w:szCs w:val="24"/>
        </w:rPr>
        <w:t>sampai</w:t>
      </w:r>
      <w:r w:rsidR="00A954D0">
        <w:rPr>
          <w:rFonts w:ascii="Bookman Old Style" w:hAnsi="Bookman Old Style"/>
          <w:sz w:val="24"/>
          <w:szCs w:val="24"/>
        </w:rPr>
        <w:t xml:space="preserve"> </w:t>
      </w:r>
      <w:r w:rsidRPr="00170D03">
        <w:rPr>
          <w:rFonts w:ascii="Bookman Old Style" w:hAnsi="Bookman Old Style"/>
          <w:sz w:val="24"/>
          <w:szCs w:val="24"/>
        </w:rPr>
        <w:t>dengan</w:t>
      </w:r>
      <w:r w:rsidR="00A954D0">
        <w:rPr>
          <w:rFonts w:ascii="Bookman Old Style" w:hAnsi="Bookman Old Style"/>
          <w:sz w:val="24"/>
          <w:szCs w:val="24"/>
        </w:rPr>
        <w:t xml:space="preserve"> </w:t>
      </w:r>
      <w:r w:rsidRPr="00170D03">
        <w:rPr>
          <w:rFonts w:ascii="Bookman Old Style" w:hAnsi="Bookman Old Style"/>
          <w:sz w:val="24"/>
          <w:szCs w:val="24"/>
        </w:rPr>
        <w:t>Tahun</w:t>
      </w:r>
      <w:r w:rsidR="00A954D0">
        <w:rPr>
          <w:rFonts w:ascii="Bookman Old Style" w:hAnsi="Bookman Old Style"/>
          <w:sz w:val="24"/>
          <w:szCs w:val="24"/>
        </w:rPr>
        <w:t xml:space="preserve"> </w:t>
      </w:r>
      <w:r w:rsidRPr="00170D03">
        <w:rPr>
          <w:rFonts w:ascii="Bookman Old Style" w:hAnsi="Bookman Old Style"/>
          <w:sz w:val="24"/>
          <w:szCs w:val="24"/>
        </w:rPr>
        <w:t>Anggaran</w:t>
      </w:r>
      <w:r w:rsidR="00A954D0">
        <w:rPr>
          <w:rFonts w:ascii="Bookman Old Style" w:hAnsi="Bookman Old Style"/>
          <w:sz w:val="24"/>
          <w:szCs w:val="24"/>
        </w:rPr>
        <w:t xml:space="preserve"> </w:t>
      </w:r>
      <w:r w:rsidRPr="00170D03">
        <w:rPr>
          <w:rFonts w:ascii="Bookman Old Style" w:hAnsi="Bookman Old Style"/>
          <w:sz w:val="24"/>
          <w:szCs w:val="24"/>
        </w:rPr>
        <w:t>202</w:t>
      </w:r>
      <w:r w:rsidRPr="00170D03">
        <w:rPr>
          <w:rFonts w:ascii="Bookman Old Style" w:hAnsi="Bookman Old Style"/>
          <w:sz w:val="24"/>
          <w:szCs w:val="24"/>
          <w:lang w:val="sv-FI"/>
        </w:rPr>
        <w:t>4</w:t>
      </w:r>
      <w:r w:rsidR="00A954D0">
        <w:rPr>
          <w:rFonts w:ascii="Bookman Old Style" w:hAnsi="Bookman Old Style"/>
          <w:sz w:val="24"/>
          <w:szCs w:val="24"/>
        </w:rPr>
        <w:t xml:space="preserve"> </w:t>
      </w:r>
      <w:r w:rsidRPr="00170D03">
        <w:rPr>
          <w:rFonts w:ascii="Bookman Old Style" w:hAnsi="Bookman Old Style"/>
          <w:sz w:val="24"/>
          <w:szCs w:val="24"/>
        </w:rPr>
        <w:t>dalam</w:t>
      </w:r>
      <w:r w:rsidR="00A954D0">
        <w:rPr>
          <w:rFonts w:ascii="Bookman Old Style" w:hAnsi="Bookman Old Style"/>
          <w:sz w:val="24"/>
          <w:szCs w:val="24"/>
        </w:rPr>
        <w:t xml:space="preserve"> </w:t>
      </w:r>
      <w:r w:rsidRPr="00170D03">
        <w:rPr>
          <w:rFonts w:ascii="Bookman Old Style" w:hAnsi="Bookman Old Style"/>
          <w:sz w:val="24"/>
          <w:szCs w:val="24"/>
        </w:rPr>
        <w:t>Rancangan</w:t>
      </w:r>
      <w:r w:rsidR="00A954D0">
        <w:rPr>
          <w:rFonts w:ascii="Bookman Old Style" w:hAnsi="Bookman Old Style"/>
          <w:sz w:val="24"/>
          <w:szCs w:val="24"/>
        </w:rPr>
        <w:t xml:space="preserve"> </w:t>
      </w:r>
      <w:r w:rsidRPr="00170D03">
        <w:rPr>
          <w:rFonts w:ascii="Bookman Old Style" w:hAnsi="Bookman Old Style"/>
          <w:sz w:val="24"/>
          <w:szCs w:val="24"/>
        </w:rPr>
        <w:t>Peraturan</w:t>
      </w:r>
      <w:r w:rsidR="00A954D0">
        <w:rPr>
          <w:rFonts w:ascii="Bookman Old Style" w:hAnsi="Bookman Old Style"/>
          <w:sz w:val="24"/>
          <w:szCs w:val="24"/>
        </w:rPr>
        <w:t xml:space="preserve"> </w:t>
      </w:r>
      <w:r w:rsidRPr="00170D03">
        <w:rPr>
          <w:rFonts w:ascii="Bookman Old Style" w:hAnsi="Bookman Old Style"/>
          <w:sz w:val="24"/>
          <w:szCs w:val="24"/>
        </w:rPr>
        <w:t>Daerah</w:t>
      </w:r>
      <w:r w:rsidR="00A954D0">
        <w:rPr>
          <w:rFonts w:ascii="Bookman Old Style" w:hAnsi="Bookman Old Style"/>
          <w:sz w:val="24"/>
          <w:szCs w:val="24"/>
        </w:rPr>
        <w:t xml:space="preserve"> </w:t>
      </w:r>
      <w:r>
        <w:rPr>
          <w:rFonts w:ascii="Bookman Old Style" w:hAnsi="Bookman Old Style"/>
          <w:sz w:val="24"/>
          <w:szCs w:val="24"/>
          <w:lang w:val="en-ID"/>
        </w:rPr>
        <w:t>Kota</w:t>
      </w:r>
      <w:r w:rsidR="00A954D0">
        <w:rPr>
          <w:rFonts w:ascii="Bookman Old Style" w:hAnsi="Bookman Old Style"/>
          <w:sz w:val="24"/>
          <w:szCs w:val="24"/>
          <w:lang w:val="en-ID"/>
        </w:rPr>
        <w:t xml:space="preserve"> </w:t>
      </w:r>
      <w:r>
        <w:rPr>
          <w:rFonts w:ascii="Bookman Old Style" w:hAnsi="Bookman Old Style"/>
          <w:sz w:val="24"/>
          <w:szCs w:val="24"/>
          <w:lang w:val="en-ID"/>
        </w:rPr>
        <w:t>Tangerang</w:t>
      </w:r>
      <w:r w:rsidR="00A954D0">
        <w:rPr>
          <w:rFonts w:ascii="Bookman Old Style" w:hAnsi="Bookman Old Style"/>
          <w:sz w:val="24"/>
          <w:szCs w:val="24"/>
          <w:lang w:val="en-ID"/>
        </w:rPr>
        <w:t xml:space="preserve"> </w:t>
      </w:r>
      <w:r w:rsidRPr="00170D03">
        <w:rPr>
          <w:rFonts w:ascii="Bookman Old Style" w:hAnsi="Bookman Old Style"/>
          <w:sz w:val="24"/>
          <w:szCs w:val="24"/>
        </w:rPr>
        <w:t>tentang</w:t>
      </w:r>
      <w:r w:rsidR="00A954D0">
        <w:rPr>
          <w:rFonts w:ascii="Bookman Old Style" w:hAnsi="Bookman Old Style"/>
          <w:sz w:val="24"/>
          <w:szCs w:val="24"/>
          <w:lang w:val="en-US"/>
        </w:rPr>
        <w:t xml:space="preserve"> </w:t>
      </w:r>
      <w:r w:rsidRPr="00170D03">
        <w:rPr>
          <w:rFonts w:ascii="Bookman Old Style" w:hAnsi="Bookman Old Style"/>
          <w:sz w:val="24"/>
          <w:szCs w:val="24"/>
        </w:rPr>
        <w:t>APBD</w:t>
      </w:r>
      <w:r w:rsidR="00A954D0">
        <w:rPr>
          <w:rFonts w:ascii="Bookman Old Style" w:hAnsi="Bookman Old Style"/>
          <w:sz w:val="24"/>
          <w:szCs w:val="24"/>
        </w:rPr>
        <w:t xml:space="preserve"> </w:t>
      </w:r>
      <w:r w:rsidRPr="00170D03">
        <w:rPr>
          <w:rFonts w:ascii="Bookman Old Style" w:hAnsi="Bookman Old Style"/>
          <w:sz w:val="24"/>
          <w:szCs w:val="24"/>
        </w:rPr>
        <w:t>Tahun</w:t>
      </w:r>
      <w:r w:rsidR="00A954D0">
        <w:rPr>
          <w:rFonts w:ascii="Bookman Old Style" w:hAnsi="Bookman Old Style"/>
          <w:sz w:val="24"/>
          <w:szCs w:val="24"/>
        </w:rPr>
        <w:t xml:space="preserve"> </w:t>
      </w:r>
      <w:r w:rsidRPr="00170D03">
        <w:rPr>
          <w:rFonts w:ascii="Bookman Old Style" w:hAnsi="Bookman Old Style"/>
          <w:sz w:val="24"/>
          <w:szCs w:val="24"/>
        </w:rPr>
        <w:t>Anggaran</w:t>
      </w:r>
      <w:r w:rsidR="00A954D0">
        <w:rPr>
          <w:rFonts w:ascii="Bookman Old Style" w:hAnsi="Bookman Old Style"/>
          <w:sz w:val="24"/>
          <w:szCs w:val="24"/>
        </w:rPr>
        <w:t xml:space="preserve"> </w:t>
      </w:r>
      <w:r w:rsidRPr="00170D03">
        <w:rPr>
          <w:rFonts w:ascii="Bookman Old Style" w:hAnsi="Bookman Old Style"/>
          <w:sz w:val="24"/>
          <w:szCs w:val="24"/>
        </w:rPr>
        <w:t>202</w:t>
      </w:r>
      <w:r w:rsidRPr="00170D03">
        <w:rPr>
          <w:rFonts w:ascii="Bookman Old Style" w:hAnsi="Bookman Old Style"/>
          <w:sz w:val="24"/>
          <w:szCs w:val="24"/>
          <w:lang w:val="en-US"/>
        </w:rPr>
        <w:t>5</w:t>
      </w:r>
      <w:r w:rsidR="00A954D0">
        <w:rPr>
          <w:rFonts w:ascii="Bookman Old Style" w:hAnsi="Bookman Old Style"/>
          <w:sz w:val="24"/>
          <w:szCs w:val="24"/>
          <w:lang w:val="en-US"/>
        </w:rPr>
        <w:t xml:space="preserve"> </w:t>
      </w:r>
      <w:r w:rsidRPr="00170D03">
        <w:rPr>
          <w:rFonts w:ascii="Bookman Old Style" w:hAnsi="Bookman Old Style"/>
          <w:sz w:val="24"/>
          <w:szCs w:val="24"/>
        </w:rPr>
        <w:t>yang</w:t>
      </w:r>
      <w:r w:rsidR="00A954D0">
        <w:rPr>
          <w:rFonts w:ascii="Bookman Old Style" w:hAnsi="Bookman Old Style"/>
          <w:sz w:val="24"/>
          <w:szCs w:val="24"/>
        </w:rPr>
        <w:t xml:space="preserve"> </w:t>
      </w:r>
      <w:r w:rsidRPr="00170D03">
        <w:rPr>
          <w:rFonts w:ascii="Bookman Old Style" w:hAnsi="Bookman Old Style"/>
          <w:sz w:val="24"/>
          <w:szCs w:val="24"/>
          <w:lang w:val="id-ID"/>
        </w:rPr>
        <w:t>kinerj</w:t>
      </w:r>
      <w:r w:rsidRPr="00170D03">
        <w:rPr>
          <w:rFonts w:ascii="Bookman Old Style" w:hAnsi="Bookman Old Style"/>
          <w:sz w:val="24"/>
          <w:szCs w:val="24"/>
          <w:lang w:val="en-US"/>
        </w:rPr>
        <w:t>anya</w:t>
      </w:r>
      <w:r w:rsidR="00A954D0">
        <w:rPr>
          <w:rFonts w:ascii="Bookman Old Style" w:hAnsi="Bookman Old Style"/>
          <w:sz w:val="24"/>
          <w:szCs w:val="24"/>
          <w:lang w:val="en-US"/>
        </w:rPr>
        <w:t xml:space="preserve"> </w:t>
      </w:r>
      <w:r w:rsidRPr="00170D03">
        <w:rPr>
          <w:rFonts w:ascii="Bookman Old Style" w:hAnsi="Bookman Old Style"/>
          <w:sz w:val="24"/>
          <w:szCs w:val="24"/>
          <w:lang w:val="en-US"/>
        </w:rPr>
        <w:t>belum</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memadai</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i/>
          <w:sz w:val="24"/>
          <w:szCs w:val="24"/>
          <w:lang w:val="id-ID"/>
        </w:rPr>
        <w:t>(performance</w:t>
      </w:r>
      <w:r w:rsidR="00A954D0">
        <w:rPr>
          <w:rFonts w:ascii="Bookman Old Style" w:hAnsi="Bookman Old Style" w:cs="Gill Sans Light (Arabid)"/>
          <w:i/>
          <w:sz w:val="24"/>
          <w:szCs w:val="24"/>
          <w:lang w:val="id-ID"/>
        </w:rPr>
        <w:t xml:space="preserve"> </w:t>
      </w:r>
      <w:r w:rsidRPr="00170D03">
        <w:rPr>
          <w:rFonts w:ascii="Bookman Old Style" w:hAnsi="Bookman Old Style" w:cs="Gill Sans Light (Arabid)"/>
          <w:i/>
          <w:sz w:val="24"/>
          <w:szCs w:val="24"/>
          <w:lang w:val="id-ID"/>
        </w:rPr>
        <w:t>based)</w:t>
      </w:r>
      <w:r w:rsidRPr="00170D03">
        <w:rPr>
          <w:rFonts w:ascii="Bookman Old Style" w:hAnsi="Bookman Old Style" w:cs="Gill Sans Light (Arabid)"/>
          <w:sz w:val="24"/>
          <w:szCs w:val="24"/>
          <w:lang w:val="en-US"/>
        </w:rPr>
        <w:t>,</w:t>
      </w:r>
      <w:r w:rsidR="00A954D0">
        <w:rPr>
          <w:rFonts w:ascii="Bookman Old Style" w:hAnsi="Bookman Old Style" w:cs="Gill Sans Light (Arabid)"/>
          <w:sz w:val="24"/>
          <w:szCs w:val="24"/>
          <w:lang w:val="en-US"/>
        </w:rPr>
        <w:t xml:space="preserve"> </w:t>
      </w:r>
      <w:r w:rsidRPr="00170D03">
        <w:rPr>
          <w:rFonts w:ascii="Bookman Old Style" w:hAnsi="Bookman Old Style" w:cs="Gill Sans Light (Arabid)"/>
          <w:sz w:val="24"/>
          <w:szCs w:val="24"/>
          <w:lang w:val="id-ID"/>
        </w:rPr>
        <w:t>harus</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en-US"/>
        </w:rPr>
        <w:t>di</w:t>
      </w:r>
      <w:r w:rsidRPr="00170D03">
        <w:rPr>
          <w:rFonts w:ascii="Bookman Old Style" w:hAnsi="Bookman Old Style" w:cs="Gill Sans Light (Arabid)"/>
          <w:sz w:val="24"/>
          <w:szCs w:val="24"/>
          <w:lang w:val="id-ID"/>
        </w:rPr>
        <w:t>lakukan</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antara</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lain</w:t>
      </w:r>
      <w:r w:rsidR="00A954D0">
        <w:rPr>
          <w:rFonts w:ascii="Bookman Old Style" w:hAnsi="Bookman Old Style" w:cs="Gill Sans Light (Arabid)"/>
          <w:sz w:val="24"/>
          <w:szCs w:val="24"/>
          <w:lang w:val="en-US"/>
        </w:rPr>
        <w:t xml:space="preserve"> </w:t>
      </w:r>
      <w:r w:rsidRPr="00170D03">
        <w:rPr>
          <w:rFonts w:ascii="Bookman Old Style" w:hAnsi="Bookman Old Style" w:cs="Gill Sans Light (Arabid)"/>
          <w:sz w:val="24"/>
          <w:szCs w:val="24"/>
          <w:lang w:val="id-ID"/>
        </w:rPr>
        <w:t>langka</w:t>
      </w:r>
      <w:r w:rsidRPr="00170D03">
        <w:rPr>
          <w:rFonts w:ascii="Bookman Old Style" w:hAnsi="Bookman Old Style" w:cs="Gill Sans Light (Arabid)"/>
          <w:sz w:val="24"/>
          <w:szCs w:val="24"/>
        </w:rPr>
        <w:t>h</w:t>
      </w:r>
      <w:r w:rsidRPr="00170D03">
        <w:rPr>
          <w:rFonts w:ascii="Bookman Old Style" w:hAnsi="Bookman Old Style" w:cs="Gill Sans Light (Arabid)"/>
          <w:sz w:val="24"/>
          <w:szCs w:val="24"/>
          <w:lang w:val="id-ID"/>
        </w:rPr>
        <w:t>-langkah</w:t>
      </w:r>
      <w:r w:rsidR="00A954D0">
        <w:rPr>
          <w:rFonts w:ascii="Bookman Old Style" w:hAnsi="Bookman Old Style" w:cs="Gill Sans Light (Arabid)"/>
          <w:sz w:val="24"/>
          <w:szCs w:val="24"/>
        </w:rPr>
        <w:t xml:space="preserve"> </w:t>
      </w:r>
      <w:r w:rsidRPr="00170D03">
        <w:rPr>
          <w:rFonts w:ascii="Bookman Old Style" w:hAnsi="Bookman Old Style" w:cs="Gill Sans Light (Arabid)"/>
          <w:sz w:val="24"/>
          <w:szCs w:val="24"/>
        </w:rPr>
        <w:t>optimalisasi</w:t>
      </w:r>
      <w:r w:rsidR="00A954D0">
        <w:rPr>
          <w:rFonts w:ascii="Bookman Old Style" w:hAnsi="Bookman Old Style" w:cs="Gill Sans Light (Arabid)"/>
          <w:sz w:val="24"/>
          <w:szCs w:val="24"/>
        </w:rPr>
        <w:t xml:space="preserve"> </w:t>
      </w:r>
      <w:r w:rsidRPr="00170D03">
        <w:rPr>
          <w:rFonts w:ascii="Bookman Old Style" w:hAnsi="Bookman Old Style" w:cs="Gill Sans Light (Arabid)"/>
          <w:sz w:val="24"/>
          <w:szCs w:val="24"/>
        </w:rPr>
        <w:t>kinerja</w:t>
      </w:r>
      <w:r w:rsidR="00A954D0">
        <w:rPr>
          <w:rFonts w:ascii="Bookman Old Style" w:hAnsi="Bookman Old Style" w:cs="Gill Sans Light (Arabid)"/>
          <w:sz w:val="24"/>
          <w:szCs w:val="24"/>
          <w:lang w:val="en-US"/>
        </w:rPr>
        <w:t xml:space="preserve"> </w:t>
      </w:r>
      <w:r w:rsidRPr="00170D03">
        <w:rPr>
          <w:rFonts w:ascii="Bookman Old Style" w:hAnsi="Bookman Old Style" w:cs="Gill Sans Light (Arabid)"/>
          <w:sz w:val="24"/>
          <w:szCs w:val="24"/>
          <w:lang w:val="id-ID"/>
        </w:rPr>
        <w:t>sesuai</w:t>
      </w:r>
      <w:r w:rsidR="00A954D0">
        <w:rPr>
          <w:rFonts w:ascii="Bookman Old Style" w:hAnsi="Bookman Old Style" w:cs="Gill Sans Light (Arabid)"/>
          <w:sz w:val="24"/>
          <w:szCs w:val="24"/>
          <w:lang w:val="en-US"/>
        </w:rPr>
        <w:t xml:space="preserve"> </w:t>
      </w:r>
      <w:r w:rsidRPr="00170D03">
        <w:rPr>
          <w:rFonts w:ascii="Bookman Old Style" w:hAnsi="Bookman Old Style" w:cs="Gill Sans Light (Arabid)"/>
          <w:sz w:val="24"/>
          <w:szCs w:val="24"/>
          <w:lang w:val="en-US"/>
        </w:rPr>
        <w:t>dengan</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ketentuan</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rPr>
        <w:t>peraturan</w:t>
      </w:r>
      <w:r w:rsidR="00A954D0">
        <w:rPr>
          <w:rFonts w:ascii="Bookman Old Style" w:hAnsi="Bookman Old Style" w:cs="Gill Sans Light (Arabid)"/>
          <w:sz w:val="24"/>
          <w:szCs w:val="24"/>
        </w:rPr>
        <w:t xml:space="preserve"> </w:t>
      </w:r>
      <w:r w:rsidRPr="00170D03">
        <w:rPr>
          <w:rFonts w:ascii="Bookman Old Style" w:hAnsi="Bookman Old Style" w:cs="Gill Sans Light (Arabid)"/>
          <w:sz w:val="24"/>
          <w:szCs w:val="24"/>
          <w:lang w:val="id-ID"/>
        </w:rPr>
        <w:t>perundang</w:t>
      </w:r>
      <w:r w:rsidRPr="00170D03">
        <w:rPr>
          <w:rFonts w:ascii="Bookman Old Style" w:hAnsi="Bookman Old Style" w:cs="Gill Sans Light (Arabid)"/>
          <w:sz w:val="24"/>
          <w:szCs w:val="24"/>
        </w:rPr>
        <w:t>-undangan</w:t>
      </w:r>
      <w:r w:rsidRPr="00170D03">
        <w:rPr>
          <w:rFonts w:ascii="Bookman Old Style" w:hAnsi="Bookman Old Style" w:cs="Gill Sans Light (Arabid)"/>
          <w:sz w:val="24"/>
          <w:szCs w:val="24"/>
          <w:lang w:val="id-ID"/>
        </w:rPr>
        <w:t>,</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rPr>
        <w:t>mengingat</w:t>
      </w:r>
      <w:r w:rsidR="00A954D0">
        <w:rPr>
          <w:rFonts w:ascii="Bookman Old Style" w:hAnsi="Bookman Old Style" w:cs="Gill Sans Light (Arabid)"/>
          <w:sz w:val="24"/>
          <w:szCs w:val="24"/>
        </w:rPr>
        <w:t xml:space="preserve"> </w:t>
      </w:r>
      <w:r w:rsidRPr="00170D03">
        <w:rPr>
          <w:rFonts w:ascii="Bookman Old Style" w:hAnsi="Bookman Old Style" w:cs="Gill Sans Light (Arabid)"/>
          <w:sz w:val="24"/>
          <w:szCs w:val="24"/>
          <w:lang w:val="id-ID"/>
        </w:rPr>
        <w:t>seluruh/sebagian</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aset</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dan</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kekayaan</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perusahaan</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rPr>
        <w:t>tetap</w:t>
      </w:r>
      <w:r w:rsidR="00A954D0">
        <w:rPr>
          <w:rFonts w:ascii="Bookman Old Style" w:hAnsi="Bookman Old Style" w:cs="Gill Sans Light (Arabid)"/>
          <w:sz w:val="24"/>
          <w:szCs w:val="24"/>
        </w:rPr>
        <w:t xml:space="preserve"> </w:t>
      </w:r>
      <w:r w:rsidRPr="00170D03">
        <w:rPr>
          <w:rFonts w:ascii="Bookman Old Style" w:hAnsi="Bookman Old Style" w:cs="Gill Sans Light (Arabid)"/>
          <w:sz w:val="24"/>
          <w:szCs w:val="24"/>
          <w:lang w:val="id-ID"/>
        </w:rPr>
        <w:t>merupakan</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kekayaan</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Pemerintah</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en-US"/>
        </w:rPr>
        <w:t>Daerah</w:t>
      </w:r>
      <w:r w:rsidR="00A954D0">
        <w:rPr>
          <w:rFonts w:ascii="Bookman Old Style" w:hAnsi="Bookman Old Style" w:cs="Gill Sans Light (Arabid)"/>
          <w:sz w:val="24"/>
          <w:szCs w:val="24"/>
          <w:lang w:val="en-US"/>
        </w:rPr>
        <w:t xml:space="preserve"> </w:t>
      </w:r>
      <w:r>
        <w:rPr>
          <w:rFonts w:ascii="Bookman Old Style" w:hAnsi="Bookman Old Style"/>
          <w:sz w:val="24"/>
          <w:szCs w:val="24"/>
          <w:lang w:val="en-ID"/>
        </w:rPr>
        <w:t>Kota</w:t>
      </w:r>
      <w:r w:rsidR="00A954D0">
        <w:rPr>
          <w:rFonts w:ascii="Bookman Old Style" w:hAnsi="Bookman Old Style"/>
          <w:sz w:val="24"/>
          <w:szCs w:val="24"/>
          <w:lang w:val="en-ID"/>
        </w:rPr>
        <w:t xml:space="preserve"> </w:t>
      </w:r>
      <w:r>
        <w:rPr>
          <w:rFonts w:ascii="Bookman Old Style" w:hAnsi="Bookman Old Style"/>
          <w:sz w:val="24"/>
          <w:szCs w:val="24"/>
          <w:lang w:val="en-ID"/>
        </w:rPr>
        <w:t>Tangerang</w:t>
      </w:r>
      <w:r w:rsidR="00A954D0">
        <w:rPr>
          <w:rFonts w:ascii="Bookman Old Style" w:hAnsi="Bookman Old Style"/>
          <w:sz w:val="24"/>
          <w:szCs w:val="24"/>
          <w:lang w:val="en-ID"/>
        </w:rPr>
        <w:t xml:space="preserve"> </w:t>
      </w:r>
      <w:r w:rsidRPr="00170D03">
        <w:rPr>
          <w:rFonts w:ascii="Bookman Old Style" w:hAnsi="Bookman Old Style" w:cs="Gill Sans Light (Arabid)"/>
          <w:sz w:val="24"/>
          <w:szCs w:val="24"/>
        </w:rPr>
        <w:t>yang</w:t>
      </w:r>
      <w:r w:rsidR="00A954D0">
        <w:rPr>
          <w:rFonts w:ascii="Bookman Old Style" w:hAnsi="Bookman Old Style" w:cs="Gill Sans Light (Arabid)"/>
          <w:sz w:val="24"/>
          <w:szCs w:val="24"/>
        </w:rPr>
        <w:t xml:space="preserve"> </w:t>
      </w:r>
      <w:r w:rsidRPr="00170D03">
        <w:rPr>
          <w:rFonts w:ascii="Bookman Old Style" w:hAnsi="Bookman Old Style" w:cs="Gill Sans Light (Arabid)"/>
          <w:sz w:val="24"/>
          <w:szCs w:val="24"/>
          <w:lang w:val="id-ID"/>
        </w:rPr>
        <w:t>tercatat</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rPr>
        <w:t>dalam</w:t>
      </w:r>
      <w:r w:rsidR="00A954D0">
        <w:rPr>
          <w:rFonts w:ascii="Bookman Old Style" w:hAnsi="Bookman Old Style" w:cs="Gill Sans Light (Arabid)"/>
          <w:sz w:val="24"/>
          <w:szCs w:val="24"/>
        </w:rPr>
        <w:t xml:space="preserve"> </w:t>
      </w:r>
      <w:r w:rsidRPr="00170D03">
        <w:rPr>
          <w:rFonts w:ascii="Bookman Old Style" w:hAnsi="Bookman Old Style" w:cs="Gill Sans Light (Arabid)"/>
          <w:sz w:val="24"/>
          <w:szCs w:val="24"/>
        </w:rPr>
        <w:t>ikhtisar</w:t>
      </w:r>
      <w:r w:rsidR="00A954D0">
        <w:rPr>
          <w:rFonts w:ascii="Bookman Old Style" w:hAnsi="Bookman Old Style" w:cs="Gill Sans Light (Arabid)"/>
          <w:sz w:val="24"/>
          <w:szCs w:val="24"/>
        </w:rPr>
        <w:t xml:space="preserve"> </w:t>
      </w:r>
      <w:r w:rsidRPr="00170D03">
        <w:rPr>
          <w:rFonts w:ascii="Bookman Old Style" w:hAnsi="Bookman Old Style" w:cs="Gill Sans Light (Arabid)"/>
          <w:sz w:val="24"/>
          <w:szCs w:val="24"/>
        </w:rPr>
        <w:t>laporan</w:t>
      </w:r>
      <w:r w:rsidR="00A954D0">
        <w:rPr>
          <w:rFonts w:ascii="Bookman Old Style" w:hAnsi="Bookman Old Style" w:cs="Gill Sans Light (Arabid)"/>
          <w:sz w:val="24"/>
          <w:szCs w:val="24"/>
        </w:rPr>
        <w:t xml:space="preserve"> </w:t>
      </w:r>
      <w:r w:rsidRPr="00170D03">
        <w:rPr>
          <w:rFonts w:ascii="Bookman Old Style" w:hAnsi="Bookman Old Style" w:cs="Gill Sans Light (Arabid)"/>
          <w:sz w:val="24"/>
          <w:szCs w:val="24"/>
        </w:rPr>
        <w:t>keuangan</w:t>
      </w:r>
      <w:r w:rsidR="00A954D0">
        <w:rPr>
          <w:rFonts w:ascii="Bookman Old Style" w:hAnsi="Bookman Old Style" w:cs="Gill Sans Light (Arabid)"/>
          <w:sz w:val="24"/>
          <w:szCs w:val="24"/>
        </w:rPr>
        <w:t xml:space="preserve"> </w:t>
      </w:r>
      <w:r w:rsidRPr="00170D03">
        <w:rPr>
          <w:rFonts w:ascii="Bookman Old Style" w:hAnsi="Bookman Old Style" w:cs="Gill Sans Light (Arabid)"/>
          <w:sz w:val="24"/>
          <w:szCs w:val="24"/>
        </w:rPr>
        <w:t>perusahaan</w:t>
      </w:r>
      <w:r w:rsidR="00A954D0">
        <w:rPr>
          <w:rFonts w:ascii="Bookman Old Style" w:hAnsi="Bookman Old Style" w:cs="Gill Sans Light (Arabid)"/>
          <w:sz w:val="24"/>
          <w:szCs w:val="24"/>
        </w:rPr>
        <w:t xml:space="preserve"> </w:t>
      </w:r>
      <w:r w:rsidRPr="00170D03">
        <w:rPr>
          <w:rFonts w:ascii="Bookman Old Style" w:hAnsi="Bookman Old Style" w:cs="Gill Sans Light (Arabid)"/>
          <w:sz w:val="24"/>
          <w:szCs w:val="24"/>
        </w:rPr>
        <w:t>dimaksud</w:t>
      </w:r>
      <w:r w:rsidR="00A954D0">
        <w:rPr>
          <w:rFonts w:ascii="Bookman Old Style" w:hAnsi="Bookman Old Style" w:cs="Gill Sans Light (Arabid)"/>
          <w:sz w:val="24"/>
          <w:szCs w:val="24"/>
        </w:rPr>
        <w:t xml:space="preserve"> </w:t>
      </w:r>
      <w:r w:rsidRPr="00170D03">
        <w:rPr>
          <w:rFonts w:ascii="Bookman Old Style" w:hAnsi="Bookman Old Style" w:cs="Gill Sans Light (Arabid)"/>
          <w:sz w:val="24"/>
          <w:szCs w:val="24"/>
        </w:rPr>
        <w:t>sebagai</w:t>
      </w:r>
      <w:r w:rsidR="00A954D0">
        <w:rPr>
          <w:rFonts w:ascii="Bookman Old Style" w:hAnsi="Bookman Old Style" w:cs="Gill Sans Light (Arabid)"/>
          <w:sz w:val="24"/>
          <w:szCs w:val="24"/>
        </w:rPr>
        <w:t xml:space="preserve"> </w:t>
      </w:r>
      <w:r w:rsidRPr="00170D03">
        <w:rPr>
          <w:rFonts w:ascii="Bookman Old Style" w:hAnsi="Bookman Old Style" w:cs="Gill Sans Light (Arabid)"/>
          <w:sz w:val="24"/>
          <w:szCs w:val="24"/>
        </w:rPr>
        <w:t>salah</w:t>
      </w:r>
      <w:r w:rsidR="00A954D0">
        <w:rPr>
          <w:rFonts w:ascii="Bookman Old Style" w:hAnsi="Bookman Old Style" w:cs="Gill Sans Light (Arabid)"/>
          <w:sz w:val="24"/>
          <w:szCs w:val="24"/>
        </w:rPr>
        <w:t xml:space="preserve"> </w:t>
      </w:r>
      <w:r w:rsidRPr="00170D03">
        <w:rPr>
          <w:rFonts w:ascii="Bookman Old Style" w:hAnsi="Bookman Old Style" w:cs="Gill Sans Light (Arabid)"/>
          <w:sz w:val="24"/>
          <w:szCs w:val="24"/>
        </w:rPr>
        <w:t>satu</w:t>
      </w:r>
      <w:r w:rsidR="00A954D0">
        <w:rPr>
          <w:rFonts w:ascii="Bookman Old Style" w:hAnsi="Bookman Old Style" w:cs="Gill Sans Light (Arabid)"/>
          <w:sz w:val="24"/>
          <w:szCs w:val="24"/>
        </w:rPr>
        <w:t xml:space="preserve"> </w:t>
      </w:r>
      <w:r w:rsidRPr="00170D03">
        <w:rPr>
          <w:rFonts w:ascii="Bookman Old Style" w:hAnsi="Bookman Old Style" w:cs="Gill Sans Light (Arabid)"/>
          <w:sz w:val="24"/>
          <w:szCs w:val="24"/>
        </w:rPr>
        <w:t>lampiran</w:t>
      </w:r>
      <w:r w:rsidR="00A954D0">
        <w:rPr>
          <w:rFonts w:ascii="Bookman Old Style" w:hAnsi="Bookman Old Style" w:cs="Gill Sans Light (Arabid)"/>
          <w:sz w:val="24"/>
          <w:szCs w:val="24"/>
        </w:rPr>
        <w:t xml:space="preserve"> </w:t>
      </w:r>
      <w:r w:rsidRPr="00170D03">
        <w:rPr>
          <w:rFonts w:ascii="Bookman Old Style" w:hAnsi="Bookman Old Style" w:cs="Gill Sans Light (Arabid)"/>
          <w:sz w:val="24"/>
          <w:szCs w:val="24"/>
          <w:lang w:val="id-ID"/>
        </w:rPr>
        <w:t>Laporan</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Keuangan</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Pemerintah</w:t>
      </w:r>
      <w:r w:rsidR="00A954D0">
        <w:rPr>
          <w:rFonts w:ascii="Bookman Old Style" w:hAnsi="Bookman Old Style" w:cs="Gill Sans Light (Arabid)"/>
          <w:sz w:val="24"/>
          <w:szCs w:val="24"/>
          <w:lang w:val="en-US"/>
        </w:rPr>
        <w:t xml:space="preserve"> </w:t>
      </w:r>
      <w:r w:rsidRPr="00170D03">
        <w:rPr>
          <w:rFonts w:ascii="Bookman Old Style" w:hAnsi="Bookman Old Style" w:cs="Gill Sans Light (Arabid)"/>
          <w:sz w:val="24"/>
          <w:szCs w:val="24"/>
          <w:lang w:val="en-US"/>
        </w:rPr>
        <w:t>Daerah</w:t>
      </w:r>
      <w:r w:rsidR="00A954D0">
        <w:rPr>
          <w:rFonts w:ascii="Bookman Old Style" w:hAnsi="Bookman Old Style" w:cs="Gill Sans Light (Arabid)"/>
          <w:sz w:val="24"/>
          <w:szCs w:val="24"/>
          <w:lang w:val="id-ID"/>
        </w:rPr>
        <w:t xml:space="preserve"> </w:t>
      </w:r>
      <w:r>
        <w:rPr>
          <w:rFonts w:ascii="Bookman Old Style" w:hAnsi="Bookman Old Style"/>
          <w:sz w:val="24"/>
          <w:szCs w:val="24"/>
          <w:lang w:val="en-ID"/>
        </w:rPr>
        <w:t>Kota</w:t>
      </w:r>
      <w:r w:rsidR="00A954D0">
        <w:rPr>
          <w:rFonts w:ascii="Bookman Old Style" w:hAnsi="Bookman Old Style"/>
          <w:sz w:val="24"/>
          <w:szCs w:val="24"/>
          <w:lang w:val="en-ID"/>
        </w:rPr>
        <w:t xml:space="preserve"> </w:t>
      </w:r>
      <w:r>
        <w:rPr>
          <w:rFonts w:ascii="Bookman Old Style" w:hAnsi="Bookman Old Style"/>
          <w:sz w:val="24"/>
          <w:szCs w:val="24"/>
          <w:lang w:val="en-ID"/>
        </w:rPr>
        <w:t>Tangerang</w:t>
      </w:r>
      <w:r w:rsidR="007978B4">
        <w:rPr>
          <w:rFonts w:ascii="Bookman Old Style" w:hAnsi="Bookman Old Style"/>
          <w:sz w:val="24"/>
          <w:szCs w:val="24"/>
          <w:lang w:val="id-ID"/>
        </w:rPr>
        <w:t>.</w:t>
      </w:r>
    </w:p>
    <w:p w14:paraId="7A700125" w14:textId="7B8EAD29" w:rsidR="000E5ADB" w:rsidRPr="00170D03" w:rsidRDefault="000E5ADB" w:rsidP="000E5ADB">
      <w:pPr>
        <w:pStyle w:val="ListParagraph"/>
        <w:spacing w:before="60" w:after="0" w:line="276" w:lineRule="auto"/>
        <w:ind w:left="1701"/>
        <w:contextualSpacing w:val="0"/>
        <w:jc w:val="both"/>
        <w:rPr>
          <w:rFonts w:ascii="Bookman Old Style" w:hAnsi="Bookman Old Style" w:cs="Arial"/>
          <w:sz w:val="24"/>
          <w:szCs w:val="24"/>
          <w:lang w:val="id-ID"/>
        </w:rPr>
      </w:pPr>
      <w:r w:rsidRPr="00170D03">
        <w:rPr>
          <w:rFonts w:ascii="Bookman Old Style" w:hAnsi="Bookman Old Style" w:cs="Gill Sans Light (Arabid)"/>
          <w:sz w:val="24"/>
          <w:szCs w:val="24"/>
          <w:lang w:val="id-ID"/>
        </w:rPr>
        <w:t>Selain</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itu,</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Pemerintah</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Daerah</w:t>
      </w:r>
      <w:r w:rsidR="00A954D0">
        <w:rPr>
          <w:rFonts w:ascii="Bookman Old Style" w:hAnsi="Bookman Old Style" w:cs="Gill Sans Light (Arabid)"/>
          <w:sz w:val="24"/>
          <w:szCs w:val="24"/>
          <w:lang w:val="id-ID"/>
        </w:rPr>
        <w:t xml:space="preserve"> </w:t>
      </w:r>
      <w:r>
        <w:rPr>
          <w:rFonts w:ascii="Bookman Old Style" w:hAnsi="Bookman Old Style"/>
          <w:sz w:val="24"/>
          <w:szCs w:val="24"/>
          <w:lang w:val="en-ID"/>
        </w:rPr>
        <w:t>Kota</w:t>
      </w:r>
      <w:r w:rsidR="00A954D0">
        <w:rPr>
          <w:rFonts w:ascii="Bookman Old Style" w:hAnsi="Bookman Old Style"/>
          <w:sz w:val="24"/>
          <w:szCs w:val="24"/>
          <w:lang w:val="en-ID"/>
        </w:rPr>
        <w:t xml:space="preserve"> </w:t>
      </w:r>
      <w:r>
        <w:rPr>
          <w:rFonts w:ascii="Bookman Old Style" w:hAnsi="Bookman Old Style"/>
          <w:sz w:val="24"/>
          <w:szCs w:val="24"/>
          <w:lang w:val="en-ID"/>
        </w:rPr>
        <w:t>Tangerang</w:t>
      </w:r>
      <w:r w:rsidR="00A954D0">
        <w:rPr>
          <w:rFonts w:ascii="Bookman Old Style" w:hAnsi="Bookman Old Style"/>
          <w:sz w:val="24"/>
          <w:szCs w:val="24"/>
          <w:lang w:val="en-ID"/>
        </w:rPr>
        <w:t xml:space="preserve"> </w:t>
      </w:r>
      <w:r w:rsidRPr="00170D03">
        <w:rPr>
          <w:rFonts w:ascii="Bookman Old Style" w:hAnsi="Bookman Old Style" w:cs="Gill Sans Light (Arabid)"/>
          <w:sz w:val="24"/>
          <w:szCs w:val="24"/>
        </w:rPr>
        <w:t>juga</w:t>
      </w:r>
      <w:r w:rsidR="00A954D0">
        <w:rPr>
          <w:rFonts w:ascii="Bookman Old Style" w:hAnsi="Bookman Old Style" w:cs="Gill Sans Light (Arabid)"/>
          <w:sz w:val="24"/>
          <w:szCs w:val="24"/>
        </w:rPr>
        <w:t xml:space="preserve"> </w:t>
      </w:r>
      <w:r w:rsidRPr="00170D03">
        <w:rPr>
          <w:rFonts w:ascii="Bookman Old Style" w:hAnsi="Bookman Old Style" w:cs="Gill Sans Light (Arabid)"/>
          <w:sz w:val="24"/>
          <w:szCs w:val="24"/>
          <w:lang w:val="id-ID"/>
        </w:rPr>
        <w:t>harus</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lebih</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mengefektifkan</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peran</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dewan</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komisaris</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sebagai</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pemegang</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saham</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pengendali</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dan</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penajaman</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Rapat</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Umum</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Pemegang</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Saham</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(RUPS)</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ke</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arah</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peningkatan</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kinerja</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dalam</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perolehan</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bagian</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laba</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bagi</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Pemerintah</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Daerah</w:t>
      </w:r>
      <w:r w:rsidR="00A954D0">
        <w:rPr>
          <w:rFonts w:ascii="Bookman Old Style" w:hAnsi="Bookman Old Style" w:cs="Gill Sans Light (Arabid)"/>
          <w:sz w:val="24"/>
          <w:szCs w:val="24"/>
          <w:lang w:val="id-ID"/>
        </w:rPr>
        <w:t xml:space="preserve"> </w:t>
      </w:r>
      <w:r>
        <w:rPr>
          <w:rFonts w:ascii="Bookman Old Style" w:hAnsi="Bookman Old Style"/>
          <w:sz w:val="24"/>
          <w:szCs w:val="24"/>
          <w:lang w:val="en-ID"/>
        </w:rPr>
        <w:t>Kota</w:t>
      </w:r>
      <w:r w:rsidR="00A954D0">
        <w:rPr>
          <w:rFonts w:ascii="Bookman Old Style" w:hAnsi="Bookman Old Style"/>
          <w:sz w:val="24"/>
          <w:szCs w:val="24"/>
          <w:lang w:val="en-ID"/>
        </w:rPr>
        <w:t xml:space="preserve"> </w:t>
      </w:r>
      <w:r>
        <w:rPr>
          <w:rFonts w:ascii="Bookman Old Style" w:hAnsi="Bookman Old Style"/>
          <w:sz w:val="24"/>
          <w:szCs w:val="24"/>
          <w:lang w:val="en-ID"/>
        </w:rPr>
        <w:t>Tangerang</w:t>
      </w:r>
      <w:r w:rsidR="00A954D0">
        <w:rPr>
          <w:rFonts w:ascii="Bookman Old Style" w:hAnsi="Bookman Old Style"/>
          <w:sz w:val="24"/>
          <w:szCs w:val="24"/>
          <w:lang w:val="en-ID"/>
        </w:rPr>
        <w:t xml:space="preserve"> </w:t>
      </w:r>
      <w:r w:rsidRPr="00170D03">
        <w:rPr>
          <w:rFonts w:ascii="Bookman Old Style" w:hAnsi="Bookman Old Style" w:cs="Gill Sans Light (Arabid)"/>
          <w:sz w:val="24"/>
          <w:szCs w:val="24"/>
          <w:lang w:val="id-ID"/>
        </w:rPr>
        <w:t>sesuai</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dengan</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tujuan</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penyertaan</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modal</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dalam</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rangka</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lang w:val="id-ID"/>
        </w:rPr>
        <w:t>meningkatkan</w:t>
      </w:r>
      <w:r w:rsidR="00A954D0">
        <w:rPr>
          <w:rFonts w:ascii="Bookman Old Style" w:hAnsi="Bookman Old Style" w:cs="Gill Sans Light (Arabid)"/>
          <w:sz w:val="24"/>
          <w:szCs w:val="24"/>
          <w:lang w:val="id-ID"/>
        </w:rPr>
        <w:t xml:space="preserve"> </w:t>
      </w:r>
      <w:r w:rsidRPr="00170D03">
        <w:rPr>
          <w:rFonts w:ascii="Bookman Old Style" w:hAnsi="Bookman Old Style" w:cs="Gill Sans Light (Arabid)"/>
          <w:sz w:val="24"/>
          <w:szCs w:val="24"/>
        </w:rPr>
        <w:t>PAD</w:t>
      </w:r>
      <w:r w:rsidRPr="00170D03">
        <w:rPr>
          <w:rFonts w:ascii="Bookman Old Style" w:hAnsi="Bookman Old Style" w:cs="Gill Sans Light (Arabid)"/>
          <w:sz w:val="24"/>
          <w:szCs w:val="24"/>
          <w:lang w:val="id-ID"/>
        </w:rPr>
        <w:t>.</w:t>
      </w:r>
    </w:p>
    <w:p w14:paraId="2DD496D1" w14:textId="0FC56247" w:rsidR="003C3E01" w:rsidRPr="001F194E" w:rsidRDefault="000E5ADB" w:rsidP="000E5ADB">
      <w:pPr>
        <w:pStyle w:val="ListParagraph"/>
        <w:spacing w:before="60" w:after="0" w:line="276" w:lineRule="auto"/>
        <w:ind w:left="1701"/>
        <w:contextualSpacing w:val="0"/>
        <w:jc w:val="both"/>
        <w:rPr>
          <w:rFonts w:ascii="Bookman Old Style" w:hAnsi="Bookman Old Style" w:cs="Arial"/>
          <w:sz w:val="24"/>
          <w:szCs w:val="24"/>
          <w:lang w:val="id-ID"/>
        </w:rPr>
      </w:pPr>
      <w:r w:rsidRPr="00170D03">
        <w:rPr>
          <w:rFonts w:ascii="Bookman Old Style" w:hAnsi="Bookman Old Style" w:cs="Arial"/>
          <w:sz w:val="24"/>
          <w:szCs w:val="24"/>
          <w:lang w:val="id-ID"/>
        </w:rPr>
        <w:t>Selanjutnya,</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Bagian</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Laba</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yang</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Dibagikan</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kepada</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Pemerintah</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Daerah</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w:t>
      </w:r>
      <w:r w:rsidRPr="00170D03">
        <w:rPr>
          <w:rFonts w:ascii="Bookman Old Style" w:hAnsi="Bookman Old Style" w:cs="Arial"/>
          <w:i/>
          <w:iCs/>
          <w:sz w:val="24"/>
          <w:szCs w:val="24"/>
          <w:lang w:val="id-ID"/>
        </w:rPr>
        <w:t>Dividen</w:t>
      </w:r>
      <w:r w:rsidRPr="00170D03">
        <w:rPr>
          <w:rFonts w:ascii="Bookman Old Style" w:hAnsi="Bookman Old Style" w:cs="Arial"/>
          <w:sz w:val="24"/>
          <w:szCs w:val="24"/>
          <w:lang w:val="id-ID"/>
        </w:rPr>
        <w:t>)</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atas</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Penyertaan</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Modal</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yang</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tujuannya</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berorientasi</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pada</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pelayanan</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masyarakat</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w:t>
      </w:r>
      <w:r w:rsidRPr="00170D03">
        <w:rPr>
          <w:rFonts w:ascii="Bookman Old Style" w:hAnsi="Bookman Old Style" w:cs="Arial"/>
          <w:i/>
          <w:iCs/>
          <w:sz w:val="24"/>
          <w:szCs w:val="24"/>
          <w:lang w:val="id-ID"/>
        </w:rPr>
        <w:t>public</w:t>
      </w:r>
      <w:r w:rsidR="00A954D0">
        <w:rPr>
          <w:rFonts w:ascii="Bookman Old Style" w:hAnsi="Bookman Old Style" w:cs="Arial"/>
          <w:i/>
          <w:iCs/>
          <w:sz w:val="24"/>
          <w:szCs w:val="24"/>
          <w:lang w:val="id-ID"/>
        </w:rPr>
        <w:t xml:space="preserve"> </w:t>
      </w:r>
      <w:r w:rsidRPr="00170D03">
        <w:rPr>
          <w:rFonts w:ascii="Bookman Old Style" w:hAnsi="Bookman Old Style" w:cs="Arial"/>
          <w:i/>
          <w:iCs/>
          <w:sz w:val="24"/>
          <w:szCs w:val="24"/>
          <w:lang w:val="id-ID"/>
        </w:rPr>
        <w:t>service</w:t>
      </w:r>
      <w:r w:rsidR="00A954D0">
        <w:rPr>
          <w:rFonts w:ascii="Bookman Old Style" w:hAnsi="Bookman Old Style" w:cs="Arial"/>
          <w:i/>
          <w:iCs/>
          <w:sz w:val="24"/>
          <w:szCs w:val="24"/>
          <w:lang w:val="id-ID"/>
        </w:rPr>
        <w:t xml:space="preserve"> </w:t>
      </w:r>
      <w:r w:rsidRPr="00170D03">
        <w:rPr>
          <w:rFonts w:ascii="Bookman Old Style" w:hAnsi="Bookman Old Style" w:cs="Arial"/>
          <w:i/>
          <w:iCs/>
          <w:sz w:val="24"/>
          <w:szCs w:val="24"/>
          <w:lang w:val="id-ID"/>
        </w:rPr>
        <w:t>oriented</w:t>
      </w:r>
      <w:r w:rsidRPr="00170D03">
        <w:rPr>
          <w:rFonts w:ascii="Bookman Old Style" w:hAnsi="Bookman Old Style" w:cs="Arial"/>
          <w:sz w:val="24"/>
          <w:szCs w:val="24"/>
          <w:lang w:val="id-ID"/>
        </w:rPr>
        <w:t>)</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harus</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mampu</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meningkatkan</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kinerjanya,</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lastRenderedPageBreak/>
        <w:t>baik</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dari</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aspek</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peningkatan</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kualitas,</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kuantitas</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kapasitas</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penyediaan</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pelayanan</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air</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minum</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kepada</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masyarakat,</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mencegah</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kehilangan/kebocoran</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air</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minum</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atau</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mengurangi</w:t>
      </w:r>
      <w:r w:rsidR="00A954D0">
        <w:rPr>
          <w:rFonts w:ascii="Bookman Old Style" w:hAnsi="Bookman Old Style" w:cs="Arial"/>
          <w:sz w:val="24"/>
          <w:szCs w:val="24"/>
          <w:lang w:val="id-ID"/>
        </w:rPr>
        <w:t xml:space="preserve"> </w:t>
      </w:r>
      <w:r w:rsidRPr="00170D03">
        <w:rPr>
          <w:rFonts w:ascii="Bookman Old Style" w:hAnsi="Bookman Old Style" w:cs="Arial"/>
          <w:i/>
          <w:sz w:val="24"/>
          <w:szCs w:val="24"/>
          <w:lang w:val="id-ID"/>
        </w:rPr>
        <w:t>Non-Revenue</w:t>
      </w:r>
      <w:r w:rsidR="00A954D0">
        <w:rPr>
          <w:rFonts w:ascii="Bookman Old Style" w:hAnsi="Bookman Old Style" w:cs="Arial"/>
          <w:i/>
          <w:sz w:val="24"/>
          <w:szCs w:val="24"/>
          <w:lang w:val="id-ID"/>
        </w:rPr>
        <w:t xml:space="preserve"> </w:t>
      </w:r>
      <w:r w:rsidRPr="00170D03">
        <w:rPr>
          <w:rFonts w:ascii="Bookman Old Style" w:hAnsi="Bookman Old Style" w:cs="Arial"/>
          <w:i/>
          <w:sz w:val="24"/>
          <w:szCs w:val="24"/>
          <w:lang w:val="id-ID"/>
        </w:rPr>
        <w:t>Water</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(NRW),</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maupun</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dalam</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meningkatkan</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efisiensi,</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menjaga</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sumber</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daya</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finansial.</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Selain</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itu,</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juga</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harus</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melakukan</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langkah-langkah</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antisipatif</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guna</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percepatan</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pemenuhan</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target</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pelayanan</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air</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perpipaan</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di</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wilayah</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perkotaan</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sebanyak</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80%</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(delapan</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puluh</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persen)</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wilayah</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perdesaan</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sebanyak</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60%</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(enam</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puluh</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persen)</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sesuai</w:t>
      </w:r>
      <w:r w:rsidR="00A954D0">
        <w:rPr>
          <w:rFonts w:ascii="Bookman Old Style" w:hAnsi="Bookman Old Style" w:cs="Arial"/>
          <w:sz w:val="24"/>
          <w:szCs w:val="24"/>
          <w:lang w:val="id-ID"/>
        </w:rPr>
        <w:t xml:space="preserve"> </w:t>
      </w:r>
      <w:r w:rsidRPr="001F194E">
        <w:rPr>
          <w:rFonts w:ascii="Bookman Old Style" w:hAnsi="Bookman Old Style" w:cs="Arial"/>
          <w:sz w:val="24"/>
          <w:szCs w:val="24"/>
          <w:lang w:val="id-ID"/>
        </w:rPr>
        <w:t>target</w:t>
      </w:r>
      <w:r w:rsidR="00A954D0">
        <w:rPr>
          <w:rFonts w:ascii="Bookman Old Style" w:hAnsi="Bookman Old Style" w:cs="Arial"/>
          <w:sz w:val="24"/>
          <w:szCs w:val="24"/>
          <w:lang w:val="id-ID"/>
        </w:rPr>
        <w:t xml:space="preserve"> </w:t>
      </w:r>
      <w:r w:rsidRPr="001F194E">
        <w:rPr>
          <w:rFonts w:ascii="Bookman Old Style" w:hAnsi="Bookman Old Style" w:cs="Arial"/>
          <w:i/>
          <w:sz w:val="24"/>
          <w:szCs w:val="24"/>
          <w:lang w:val="id-ID"/>
        </w:rPr>
        <w:t>Sustainable</w:t>
      </w:r>
      <w:r w:rsidR="00A954D0">
        <w:rPr>
          <w:rFonts w:ascii="Bookman Old Style" w:hAnsi="Bookman Old Style" w:cs="Arial"/>
          <w:i/>
          <w:sz w:val="24"/>
          <w:szCs w:val="24"/>
          <w:lang w:val="id-ID"/>
        </w:rPr>
        <w:t xml:space="preserve"> </w:t>
      </w:r>
      <w:r w:rsidRPr="001F194E">
        <w:rPr>
          <w:rFonts w:ascii="Bookman Old Style" w:hAnsi="Bookman Old Style" w:cs="Arial"/>
          <w:i/>
          <w:sz w:val="24"/>
          <w:szCs w:val="24"/>
          <w:lang w:val="id-ID"/>
        </w:rPr>
        <w:t>Development</w:t>
      </w:r>
      <w:r w:rsidR="00A954D0">
        <w:rPr>
          <w:rFonts w:ascii="Bookman Old Style" w:hAnsi="Bookman Old Style" w:cs="Arial"/>
          <w:i/>
          <w:sz w:val="24"/>
          <w:szCs w:val="24"/>
          <w:lang w:val="id-ID"/>
        </w:rPr>
        <w:t xml:space="preserve"> </w:t>
      </w:r>
      <w:r w:rsidRPr="001F194E">
        <w:rPr>
          <w:rFonts w:ascii="Bookman Old Style" w:hAnsi="Bookman Old Style" w:cs="Arial"/>
          <w:i/>
          <w:sz w:val="24"/>
          <w:szCs w:val="24"/>
          <w:lang w:val="id-ID"/>
        </w:rPr>
        <w:t>Goal’s</w:t>
      </w:r>
      <w:r w:rsidR="00A954D0">
        <w:rPr>
          <w:rFonts w:ascii="Bookman Old Style" w:hAnsi="Bookman Old Style" w:cs="Arial"/>
          <w:sz w:val="24"/>
          <w:szCs w:val="24"/>
          <w:lang w:val="id-ID"/>
        </w:rPr>
        <w:t xml:space="preserve"> </w:t>
      </w:r>
      <w:r w:rsidRPr="001F194E">
        <w:rPr>
          <w:rFonts w:ascii="Bookman Old Style" w:hAnsi="Bookman Old Style" w:cs="Arial"/>
          <w:sz w:val="24"/>
          <w:szCs w:val="24"/>
          <w:lang w:val="id-ID"/>
        </w:rPr>
        <w:t>(SDG’s)</w:t>
      </w:r>
      <w:r w:rsidR="00A954D0">
        <w:rPr>
          <w:rFonts w:ascii="Bookman Old Style" w:hAnsi="Bookman Old Style" w:cs="Arial"/>
          <w:sz w:val="24"/>
          <w:szCs w:val="24"/>
          <w:lang w:val="id-ID"/>
        </w:rPr>
        <w:t xml:space="preserve"> </w:t>
      </w:r>
      <w:r w:rsidRPr="001F194E">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Pr="001F194E">
        <w:rPr>
          <w:rFonts w:ascii="Bookman Old Style" w:hAnsi="Bookman Old Style" w:cs="Arial"/>
          <w:sz w:val="24"/>
          <w:szCs w:val="24"/>
          <w:lang w:val="id-ID"/>
        </w:rPr>
        <w:t>2025</w:t>
      </w:r>
      <w:r w:rsidRPr="001F194E">
        <w:rPr>
          <w:rFonts w:ascii="Bookman Old Style" w:hAnsi="Bookman Old Style" w:cs="Tahoma"/>
          <w:bCs/>
          <w:sz w:val="24"/>
          <w:szCs w:val="24"/>
          <w:lang w:val="id-ID" w:eastAsia="zh-CN"/>
        </w:rPr>
        <w:t>.</w:t>
      </w:r>
    </w:p>
    <w:p w14:paraId="4FAAA545" w14:textId="78008295" w:rsidR="003C3E01" w:rsidRPr="001F194E" w:rsidRDefault="003C3E01" w:rsidP="003C3E01">
      <w:pPr>
        <w:pStyle w:val="ListParagraph"/>
        <w:numPr>
          <w:ilvl w:val="0"/>
          <w:numId w:val="4"/>
        </w:numPr>
        <w:spacing w:before="120" w:after="0" w:line="276" w:lineRule="auto"/>
        <w:ind w:left="1701" w:hanging="420"/>
        <w:contextualSpacing w:val="0"/>
        <w:jc w:val="both"/>
        <w:rPr>
          <w:rFonts w:ascii="Bookman Old Style" w:hAnsi="Bookman Old Style"/>
          <w:color w:val="000000" w:themeColor="text1"/>
          <w:sz w:val="24"/>
          <w:szCs w:val="24"/>
        </w:rPr>
      </w:pPr>
      <w:r w:rsidRPr="001F194E">
        <w:rPr>
          <w:rFonts w:ascii="Bookman Old Style" w:hAnsi="Bookman Old Style"/>
          <w:color w:val="000000" w:themeColor="text1"/>
          <w:sz w:val="24"/>
          <w:szCs w:val="24"/>
        </w:rPr>
        <w:t>Lain-</w:t>
      </w:r>
      <w:r w:rsidRPr="001F194E">
        <w:rPr>
          <w:rFonts w:ascii="Bookman Old Style" w:hAnsi="Bookman Old Style"/>
          <w:color w:val="000000" w:themeColor="text1"/>
          <w:sz w:val="24"/>
          <w:szCs w:val="24"/>
          <w:lang w:val="fi-FI"/>
        </w:rPr>
        <w:t>l</w:t>
      </w:r>
      <w:r w:rsidRPr="001F194E">
        <w:rPr>
          <w:rFonts w:ascii="Bookman Old Style" w:hAnsi="Bookman Old Style"/>
          <w:color w:val="000000" w:themeColor="text1"/>
          <w:sz w:val="24"/>
          <w:szCs w:val="24"/>
        </w:rPr>
        <w:t>ain</w:t>
      </w:r>
      <w:r w:rsidR="00A954D0">
        <w:rPr>
          <w:rFonts w:ascii="Bookman Old Style" w:hAnsi="Bookman Old Style"/>
          <w:color w:val="000000" w:themeColor="text1"/>
          <w:sz w:val="24"/>
          <w:szCs w:val="24"/>
        </w:rPr>
        <w:t xml:space="preserve"> </w:t>
      </w:r>
      <w:r w:rsidRPr="001F194E">
        <w:rPr>
          <w:rFonts w:ascii="Bookman Old Style" w:hAnsi="Bookman Old Style"/>
          <w:color w:val="000000" w:themeColor="text1"/>
          <w:sz w:val="24"/>
          <w:szCs w:val="24"/>
        </w:rPr>
        <w:t>Pendapatan</w:t>
      </w:r>
      <w:r w:rsidR="00A954D0">
        <w:rPr>
          <w:rFonts w:ascii="Bookman Old Style" w:hAnsi="Bookman Old Style"/>
          <w:color w:val="000000" w:themeColor="text1"/>
          <w:sz w:val="24"/>
          <w:szCs w:val="24"/>
        </w:rPr>
        <w:t xml:space="preserve"> </w:t>
      </w:r>
      <w:r w:rsidRPr="001F194E">
        <w:rPr>
          <w:rFonts w:ascii="Bookman Old Style" w:hAnsi="Bookman Old Style"/>
          <w:color w:val="000000" w:themeColor="text1"/>
          <w:sz w:val="24"/>
          <w:szCs w:val="24"/>
        </w:rPr>
        <w:t>Asli</w:t>
      </w:r>
      <w:r w:rsidR="00A954D0">
        <w:rPr>
          <w:rFonts w:ascii="Bookman Old Style" w:hAnsi="Bookman Old Style"/>
          <w:color w:val="000000" w:themeColor="text1"/>
          <w:sz w:val="24"/>
          <w:szCs w:val="24"/>
        </w:rPr>
        <w:t xml:space="preserve"> </w:t>
      </w:r>
      <w:r w:rsidRPr="001F194E">
        <w:rPr>
          <w:rFonts w:ascii="Bookman Old Style" w:hAnsi="Bookman Old Style"/>
          <w:color w:val="000000" w:themeColor="text1"/>
          <w:sz w:val="24"/>
          <w:szCs w:val="24"/>
        </w:rPr>
        <w:t>Daerah</w:t>
      </w:r>
      <w:r w:rsidR="00A954D0">
        <w:rPr>
          <w:rFonts w:ascii="Bookman Old Style" w:hAnsi="Bookman Old Style"/>
          <w:color w:val="000000" w:themeColor="text1"/>
          <w:sz w:val="24"/>
          <w:szCs w:val="24"/>
        </w:rPr>
        <w:t xml:space="preserve"> </w:t>
      </w:r>
      <w:r w:rsidRPr="001F194E">
        <w:rPr>
          <w:rFonts w:ascii="Bookman Old Style" w:hAnsi="Bookman Old Style"/>
          <w:color w:val="000000" w:themeColor="text1"/>
          <w:sz w:val="24"/>
          <w:szCs w:val="24"/>
        </w:rPr>
        <w:t>yang</w:t>
      </w:r>
      <w:r w:rsidR="00A954D0">
        <w:rPr>
          <w:rFonts w:ascii="Bookman Old Style" w:hAnsi="Bookman Old Style"/>
          <w:color w:val="000000" w:themeColor="text1"/>
          <w:sz w:val="24"/>
          <w:szCs w:val="24"/>
        </w:rPr>
        <w:t xml:space="preserve"> </w:t>
      </w:r>
      <w:r w:rsidRPr="001F194E">
        <w:rPr>
          <w:rFonts w:ascii="Bookman Old Style" w:hAnsi="Bookman Old Style"/>
          <w:color w:val="000000" w:themeColor="text1"/>
          <w:sz w:val="24"/>
          <w:szCs w:val="24"/>
        </w:rPr>
        <w:t>Sah</w:t>
      </w:r>
      <w:r w:rsidR="00A954D0">
        <w:rPr>
          <w:rFonts w:ascii="Bookman Old Style" w:hAnsi="Bookman Old Style"/>
          <w:color w:val="000000" w:themeColor="text1"/>
          <w:sz w:val="24"/>
          <w:szCs w:val="24"/>
        </w:rPr>
        <w:t xml:space="preserve"> </w:t>
      </w:r>
    </w:p>
    <w:p w14:paraId="41B8A533" w14:textId="67F4EB37" w:rsidR="001F194E" w:rsidRPr="00170D03" w:rsidRDefault="001F194E" w:rsidP="001F194E">
      <w:pPr>
        <w:pStyle w:val="ListParagraph"/>
        <w:spacing w:before="60" w:after="0" w:line="276" w:lineRule="auto"/>
        <w:ind w:left="1701"/>
        <w:contextualSpacing w:val="0"/>
        <w:jc w:val="both"/>
        <w:rPr>
          <w:rFonts w:ascii="Bookman Old Style" w:hAnsi="Bookman Old Style"/>
          <w:sz w:val="24"/>
          <w:szCs w:val="24"/>
          <w:lang w:val="id-ID"/>
        </w:rPr>
      </w:pPr>
      <w:r w:rsidRPr="001F194E">
        <w:rPr>
          <w:rFonts w:ascii="Bookman Old Style" w:hAnsi="Bookman Old Style"/>
          <w:sz w:val="24"/>
          <w:szCs w:val="24"/>
        </w:rPr>
        <w:t>Penganggaran</w:t>
      </w:r>
      <w:r w:rsidR="00A954D0">
        <w:rPr>
          <w:rFonts w:ascii="Bookman Old Style" w:hAnsi="Bookman Old Style"/>
          <w:sz w:val="24"/>
          <w:szCs w:val="24"/>
        </w:rPr>
        <w:t xml:space="preserve"> </w:t>
      </w:r>
      <w:r w:rsidRPr="001F194E">
        <w:rPr>
          <w:rFonts w:ascii="Bookman Old Style" w:hAnsi="Bookman Old Style"/>
          <w:sz w:val="24"/>
          <w:szCs w:val="24"/>
        </w:rPr>
        <w:t>target</w:t>
      </w:r>
      <w:r w:rsidR="00A954D0">
        <w:rPr>
          <w:rFonts w:ascii="Bookman Old Style" w:hAnsi="Bookman Old Style"/>
          <w:sz w:val="24"/>
          <w:szCs w:val="24"/>
        </w:rPr>
        <w:t xml:space="preserve"> </w:t>
      </w:r>
      <w:r w:rsidRPr="001F194E">
        <w:rPr>
          <w:rFonts w:ascii="Bookman Old Style" w:hAnsi="Bookman Old Style" w:cs="Tahoma,Bold"/>
          <w:bCs/>
          <w:sz w:val="24"/>
          <w:szCs w:val="24"/>
          <w:lang w:val="id-ID" w:eastAsia="id-ID"/>
        </w:rPr>
        <w:t>pendapatan</w:t>
      </w:r>
      <w:r w:rsidR="00A954D0">
        <w:rPr>
          <w:rFonts w:ascii="Bookman Old Style" w:hAnsi="Bookman Old Style"/>
          <w:sz w:val="24"/>
          <w:szCs w:val="24"/>
        </w:rPr>
        <w:t xml:space="preserve"> </w:t>
      </w:r>
      <w:r w:rsidRPr="001F194E">
        <w:rPr>
          <w:rFonts w:ascii="Bookman Old Style" w:hAnsi="Bookman Old Style"/>
          <w:sz w:val="24"/>
          <w:szCs w:val="24"/>
          <w:lang w:val="en-US"/>
        </w:rPr>
        <w:t>L</w:t>
      </w:r>
      <w:r w:rsidRPr="001F194E">
        <w:rPr>
          <w:rFonts w:ascii="Bookman Old Style" w:hAnsi="Bookman Old Style"/>
          <w:sz w:val="24"/>
          <w:szCs w:val="24"/>
        </w:rPr>
        <w:t>ain-</w:t>
      </w:r>
      <w:r w:rsidRPr="001F194E">
        <w:rPr>
          <w:rFonts w:ascii="Bookman Old Style" w:hAnsi="Bookman Old Style"/>
          <w:sz w:val="24"/>
          <w:szCs w:val="24"/>
          <w:lang w:val="en-US"/>
        </w:rPr>
        <w:t>l</w:t>
      </w:r>
      <w:r w:rsidRPr="001F194E">
        <w:rPr>
          <w:rFonts w:ascii="Bookman Old Style" w:hAnsi="Bookman Old Style"/>
          <w:sz w:val="24"/>
          <w:szCs w:val="24"/>
        </w:rPr>
        <w:t>ain</w:t>
      </w:r>
      <w:r w:rsidR="00A954D0">
        <w:rPr>
          <w:rFonts w:ascii="Bookman Old Style" w:hAnsi="Bookman Old Style"/>
          <w:sz w:val="24"/>
          <w:szCs w:val="24"/>
        </w:rPr>
        <w:t xml:space="preserve"> </w:t>
      </w:r>
      <w:r w:rsidRPr="001F194E">
        <w:rPr>
          <w:rFonts w:ascii="Bookman Old Style" w:hAnsi="Bookman Old Style"/>
          <w:sz w:val="24"/>
          <w:szCs w:val="24"/>
          <w:lang w:val="en-US"/>
        </w:rPr>
        <w:t>P</w:t>
      </w:r>
      <w:r w:rsidRPr="001F194E">
        <w:rPr>
          <w:rFonts w:ascii="Bookman Old Style" w:hAnsi="Bookman Old Style"/>
          <w:sz w:val="24"/>
          <w:szCs w:val="24"/>
        </w:rPr>
        <w:t>endapatan</w:t>
      </w:r>
      <w:r w:rsidR="00A954D0">
        <w:rPr>
          <w:rFonts w:ascii="Bookman Old Style" w:hAnsi="Bookman Old Style"/>
          <w:sz w:val="24"/>
          <w:szCs w:val="24"/>
        </w:rPr>
        <w:t xml:space="preserve"> </w:t>
      </w:r>
      <w:r w:rsidRPr="001F194E">
        <w:rPr>
          <w:rFonts w:ascii="Bookman Old Style" w:hAnsi="Bookman Old Style"/>
          <w:sz w:val="24"/>
          <w:szCs w:val="24"/>
          <w:lang w:val="en-US"/>
        </w:rPr>
        <w:t>A</w:t>
      </w:r>
      <w:r w:rsidRPr="001F194E">
        <w:rPr>
          <w:rFonts w:ascii="Bookman Old Style" w:hAnsi="Bookman Old Style"/>
          <w:sz w:val="24"/>
          <w:szCs w:val="24"/>
        </w:rPr>
        <w:t>sli</w:t>
      </w:r>
      <w:r w:rsidR="00A954D0">
        <w:rPr>
          <w:rFonts w:ascii="Bookman Old Style" w:hAnsi="Bookman Old Style"/>
          <w:sz w:val="24"/>
          <w:szCs w:val="24"/>
        </w:rPr>
        <w:t xml:space="preserve"> </w:t>
      </w:r>
      <w:r w:rsidRPr="001F194E">
        <w:rPr>
          <w:rFonts w:ascii="Bookman Old Style" w:hAnsi="Bookman Old Style"/>
          <w:sz w:val="24"/>
          <w:szCs w:val="24"/>
          <w:lang w:val="en-US"/>
        </w:rPr>
        <w:t>D</w:t>
      </w:r>
      <w:r w:rsidRPr="001F194E">
        <w:rPr>
          <w:rFonts w:ascii="Bookman Old Style" w:hAnsi="Bookman Old Style"/>
          <w:sz w:val="24"/>
          <w:szCs w:val="24"/>
        </w:rPr>
        <w:t>aerah</w:t>
      </w:r>
      <w:r w:rsidR="00A954D0">
        <w:rPr>
          <w:rFonts w:ascii="Bookman Old Style" w:hAnsi="Bookman Old Style"/>
          <w:sz w:val="24"/>
          <w:szCs w:val="24"/>
        </w:rPr>
        <w:t xml:space="preserve"> </w:t>
      </w:r>
      <w:r w:rsidRPr="001F194E">
        <w:rPr>
          <w:rFonts w:ascii="Bookman Old Style" w:hAnsi="Bookman Old Style"/>
          <w:sz w:val="24"/>
          <w:szCs w:val="24"/>
        </w:rPr>
        <w:t>yang</w:t>
      </w:r>
      <w:r w:rsidR="00A954D0">
        <w:rPr>
          <w:rFonts w:ascii="Bookman Old Style" w:hAnsi="Bookman Old Style"/>
          <w:sz w:val="24"/>
          <w:szCs w:val="24"/>
        </w:rPr>
        <w:t xml:space="preserve"> </w:t>
      </w:r>
      <w:r w:rsidRPr="001F194E">
        <w:rPr>
          <w:rFonts w:ascii="Bookman Old Style" w:hAnsi="Bookman Old Style"/>
          <w:sz w:val="24"/>
          <w:szCs w:val="24"/>
        </w:rPr>
        <w:t>Sah</w:t>
      </w:r>
      <w:r w:rsidR="00A954D0">
        <w:rPr>
          <w:rFonts w:ascii="Bookman Old Style" w:hAnsi="Bookman Old Style"/>
          <w:sz w:val="24"/>
          <w:szCs w:val="24"/>
        </w:rPr>
        <w:t xml:space="preserve"> </w:t>
      </w:r>
      <w:r w:rsidRPr="001F194E">
        <w:rPr>
          <w:rFonts w:ascii="Bookman Old Style" w:hAnsi="Bookman Old Style"/>
          <w:sz w:val="24"/>
          <w:szCs w:val="24"/>
          <w:lang w:val="it-IT"/>
        </w:rPr>
        <w:t>Rp179.631.436.312,00</w:t>
      </w:r>
      <w:r w:rsidR="00A954D0">
        <w:rPr>
          <w:rFonts w:ascii="Bookman Old Style" w:hAnsi="Bookman Old Style"/>
          <w:sz w:val="24"/>
          <w:szCs w:val="24"/>
          <w:lang w:val="it-IT"/>
        </w:rPr>
        <w:t xml:space="preserve"> </w:t>
      </w:r>
      <w:r w:rsidRPr="001F194E">
        <w:rPr>
          <w:rFonts w:ascii="Bookman Old Style" w:hAnsi="Bookman Old Style"/>
          <w:sz w:val="24"/>
          <w:szCs w:val="24"/>
          <w:lang w:val="it-IT"/>
        </w:rPr>
        <w:t>atau</w:t>
      </w:r>
      <w:r w:rsidR="00A954D0">
        <w:rPr>
          <w:rFonts w:ascii="Bookman Old Style" w:hAnsi="Bookman Old Style"/>
          <w:sz w:val="24"/>
          <w:szCs w:val="24"/>
          <w:lang w:val="it-IT"/>
        </w:rPr>
        <w:t xml:space="preserve"> </w:t>
      </w:r>
      <w:r w:rsidRPr="001F194E">
        <w:rPr>
          <w:rFonts w:ascii="Bookman Old Style" w:hAnsi="Bookman Old Style"/>
          <w:sz w:val="24"/>
          <w:szCs w:val="24"/>
          <w:lang w:val="it-IT"/>
        </w:rPr>
        <w:t>6,39%</w:t>
      </w:r>
      <w:r w:rsidR="00A954D0">
        <w:rPr>
          <w:rFonts w:ascii="Bookman Old Style" w:hAnsi="Bookman Old Style"/>
          <w:sz w:val="24"/>
          <w:szCs w:val="24"/>
        </w:rPr>
        <w:t xml:space="preserve"> </w:t>
      </w:r>
      <w:r w:rsidRPr="001F194E">
        <w:rPr>
          <w:rFonts w:ascii="Bookman Old Style" w:hAnsi="Bookman Old Style"/>
          <w:sz w:val="24"/>
          <w:szCs w:val="24"/>
          <w:lang w:val="en-US"/>
        </w:rPr>
        <w:t>dari</w:t>
      </w:r>
      <w:r w:rsidR="00A954D0">
        <w:rPr>
          <w:rFonts w:ascii="Bookman Old Style" w:hAnsi="Bookman Old Style"/>
          <w:sz w:val="24"/>
          <w:szCs w:val="24"/>
        </w:rPr>
        <w:t xml:space="preserve"> </w:t>
      </w:r>
      <w:r w:rsidRPr="001F194E">
        <w:rPr>
          <w:rFonts w:ascii="Bookman Old Style" w:hAnsi="Bookman Old Style"/>
          <w:sz w:val="24"/>
          <w:szCs w:val="24"/>
        </w:rPr>
        <w:t>total</w:t>
      </w:r>
      <w:r w:rsidR="00A954D0">
        <w:rPr>
          <w:rFonts w:ascii="Bookman Old Style" w:hAnsi="Bookman Old Style"/>
          <w:sz w:val="24"/>
          <w:szCs w:val="24"/>
        </w:rPr>
        <w:t xml:space="preserve"> </w:t>
      </w:r>
      <w:r w:rsidRPr="001F194E">
        <w:rPr>
          <w:rFonts w:ascii="Bookman Old Style" w:hAnsi="Bookman Old Style"/>
          <w:sz w:val="24"/>
          <w:szCs w:val="24"/>
        </w:rPr>
        <w:t>pendapatan</w:t>
      </w:r>
      <w:r w:rsidR="00A954D0">
        <w:rPr>
          <w:rFonts w:ascii="Bookman Old Style" w:hAnsi="Bookman Old Style"/>
          <w:sz w:val="24"/>
          <w:szCs w:val="24"/>
        </w:rPr>
        <w:t xml:space="preserve"> </w:t>
      </w:r>
      <w:r w:rsidRPr="001F194E">
        <w:rPr>
          <w:rFonts w:ascii="Bookman Old Style" w:hAnsi="Bookman Old Style"/>
          <w:sz w:val="24"/>
          <w:szCs w:val="24"/>
        </w:rPr>
        <w:t>daerah</w:t>
      </w:r>
      <w:r w:rsidR="00A954D0">
        <w:rPr>
          <w:rFonts w:ascii="Bookman Old Style" w:hAnsi="Bookman Old Style"/>
          <w:sz w:val="24"/>
          <w:szCs w:val="24"/>
        </w:rPr>
        <w:t xml:space="preserve"> </w:t>
      </w:r>
      <w:r w:rsidRPr="00170D03">
        <w:rPr>
          <w:rFonts w:ascii="Bookman Old Style" w:hAnsi="Bookman Old Style"/>
          <w:sz w:val="24"/>
          <w:szCs w:val="24"/>
        </w:rPr>
        <w:t>dalam</w:t>
      </w:r>
      <w:r w:rsidR="00A954D0">
        <w:rPr>
          <w:rFonts w:ascii="Bookman Old Style" w:hAnsi="Bookman Old Style"/>
          <w:sz w:val="24"/>
          <w:szCs w:val="24"/>
        </w:rPr>
        <w:t xml:space="preserve"> </w:t>
      </w:r>
      <w:r w:rsidRPr="00170D03">
        <w:rPr>
          <w:rFonts w:ascii="Bookman Old Style" w:hAnsi="Bookman Old Style"/>
          <w:sz w:val="24"/>
          <w:szCs w:val="24"/>
        </w:rPr>
        <w:t>Rancangan</w:t>
      </w:r>
      <w:r w:rsidR="00A954D0">
        <w:rPr>
          <w:rFonts w:ascii="Bookman Old Style" w:hAnsi="Bookman Old Style"/>
          <w:sz w:val="24"/>
          <w:szCs w:val="24"/>
        </w:rPr>
        <w:t xml:space="preserve"> </w:t>
      </w:r>
      <w:r w:rsidRPr="00170D03">
        <w:rPr>
          <w:rFonts w:ascii="Bookman Old Style" w:hAnsi="Bookman Old Style"/>
          <w:sz w:val="24"/>
          <w:szCs w:val="24"/>
        </w:rPr>
        <w:t>Peraturan</w:t>
      </w:r>
      <w:r w:rsidR="00A954D0">
        <w:rPr>
          <w:rFonts w:ascii="Bookman Old Style" w:hAnsi="Bookman Old Style"/>
          <w:sz w:val="24"/>
          <w:szCs w:val="24"/>
        </w:rPr>
        <w:t xml:space="preserve"> </w:t>
      </w:r>
      <w:r w:rsidRPr="00170D03">
        <w:rPr>
          <w:rFonts w:ascii="Bookman Old Style" w:hAnsi="Bookman Old Style"/>
          <w:sz w:val="24"/>
          <w:szCs w:val="24"/>
        </w:rPr>
        <w:t>Daerah</w:t>
      </w:r>
      <w:r w:rsidR="00A954D0">
        <w:rPr>
          <w:rFonts w:ascii="Bookman Old Style" w:hAnsi="Bookman Old Style"/>
          <w:sz w:val="24"/>
          <w:szCs w:val="24"/>
        </w:rPr>
        <w:t xml:space="preserve"> </w:t>
      </w:r>
      <w:r>
        <w:rPr>
          <w:rFonts w:ascii="Bookman Old Style" w:hAnsi="Bookman Old Style"/>
          <w:sz w:val="24"/>
          <w:szCs w:val="24"/>
          <w:lang w:val="en-ID"/>
        </w:rPr>
        <w:t>Kota</w:t>
      </w:r>
      <w:r w:rsidR="00A954D0">
        <w:rPr>
          <w:rFonts w:ascii="Bookman Old Style" w:hAnsi="Bookman Old Style"/>
          <w:sz w:val="24"/>
          <w:szCs w:val="24"/>
          <w:lang w:val="en-ID"/>
        </w:rPr>
        <w:t xml:space="preserve"> </w:t>
      </w:r>
      <w:r>
        <w:rPr>
          <w:rFonts w:ascii="Bookman Old Style" w:hAnsi="Bookman Old Style"/>
          <w:sz w:val="24"/>
          <w:szCs w:val="24"/>
          <w:lang w:val="en-ID"/>
        </w:rPr>
        <w:t>Tangerang</w:t>
      </w:r>
      <w:r w:rsidR="00A954D0">
        <w:rPr>
          <w:rFonts w:ascii="Bookman Old Style" w:hAnsi="Bookman Old Style"/>
          <w:sz w:val="24"/>
          <w:szCs w:val="24"/>
          <w:lang w:val="en-ID"/>
        </w:rPr>
        <w:t xml:space="preserve"> </w:t>
      </w:r>
      <w:r w:rsidRPr="00170D03">
        <w:rPr>
          <w:rFonts w:ascii="Bookman Old Style" w:hAnsi="Bookman Old Style"/>
          <w:sz w:val="24"/>
          <w:szCs w:val="24"/>
        </w:rPr>
        <w:t>tentang</w:t>
      </w:r>
      <w:r w:rsidR="00A954D0">
        <w:rPr>
          <w:rFonts w:ascii="Bookman Old Style" w:hAnsi="Bookman Old Style"/>
          <w:sz w:val="24"/>
          <w:szCs w:val="24"/>
        </w:rPr>
        <w:t xml:space="preserve"> </w:t>
      </w:r>
      <w:r w:rsidRPr="00170D03">
        <w:rPr>
          <w:rFonts w:ascii="Bookman Old Style" w:hAnsi="Bookman Old Style"/>
          <w:sz w:val="24"/>
          <w:szCs w:val="24"/>
        </w:rPr>
        <w:t>APBD</w:t>
      </w:r>
      <w:r w:rsidR="00A954D0">
        <w:rPr>
          <w:rFonts w:ascii="Bookman Old Style" w:hAnsi="Bookman Old Style"/>
          <w:sz w:val="24"/>
          <w:szCs w:val="24"/>
        </w:rPr>
        <w:t xml:space="preserve"> </w:t>
      </w:r>
      <w:r w:rsidRPr="00170D03">
        <w:rPr>
          <w:rFonts w:ascii="Bookman Old Style" w:hAnsi="Bookman Old Style"/>
          <w:sz w:val="24"/>
          <w:szCs w:val="24"/>
        </w:rPr>
        <w:t>Tahun</w:t>
      </w:r>
      <w:r w:rsidR="00A954D0">
        <w:rPr>
          <w:rFonts w:ascii="Bookman Old Style" w:hAnsi="Bookman Old Style"/>
          <w:sz w:val="24"/>
          <w:szCs w:val="24"/>
        </w:rPr>
        <w:t xml:space="preserve"> </w:t>
      </w:r>
      <w:r w:rsidRPr="00170D03">
        <w:rPr>
          <w:rFonts w:ascii="Bookman Old Style" w:hAnsi="Bookman Old Style"/>
          <w:sz w:val="24"/>
          <w:szCs w:val="24"/>
        </w:rPr>
        <w:t>Anggaran</w:t>
      </w:r>
      <w:r w:rsidR="00A954D0">
        <w:rPr>
          <w:rFonts w:ascii="Bookman Old Style" w:hAnsi="Bookman Old Style"/>
          <w:sz w:val="24"/>
          <w:szCs w:val="24"/>
        </w:rPr>
        <w:t xml:space="preserve"> </w:t>
      </w:r>
      <w:r w:rsidRPr="00170D03">
        <w:rPr>
          <w:rFonts w:ascii="Bookman Old Style" w:hAnsi="Bookman Old Style"/>
          <w:sz w:val="24"/>
          <w:szCs w:val="24"/>
        </w:rPr>
        <w:t>202</w:t>
      </w:r>
      <w:r w:rsidRPr="00170D03">
        <w:rPr>
          <w:rFonts w:ascii="Bookman Old Style" w:hAnsi="Bookman Old Style"/>
          <w:sz w:val="24"/>
          <w:szCs w:val="24"/>
          <w:lang w:val="en-US"/>
        </w:rPr>
        <w:t>5</w:t>
      </w:r>
      <w:r w:rsidRPr="00170D03">
        <w:rPr>
          <w:rFonts w:ascii="Bookman Old Style" w:hAnsi="Bookman Old Style"/>
          <w:sz w:val="24"/>
          <w:szCs w:val="24"/>
        </w:rPr>
        <w:t>.</w:t>
      </w:r>
    </w:p>
    <w:p w14:paraId="63A65A3C" w14:textId="59DB3322" w:rsidR="001F194E" w:rsidRPr="00170D03" w:rsidRDefault="001F194E" w:rsidP="001F194E">
      <w:pPr>
        <w:pStyle w:val="ListParagraph"/>
        <w:spacing w:before="60" w:after="0" w:line="276" w:lineRule="auto"/>
        <w:ind w:left="1701"/>
        <w:contextualSpacing w:val="0"/>
        <w:jc w:val="both"/>
        <w:rPr>
          <w:rFonts w:ascii="Bookman Old Style" w:hAnsi="Bookman Old Style"/>
          <w:color w:val="000000" w:themeColor="text1"/>
          <w:sz w:val="24"/>
          <w:szCs w:val="24"/>
          <w:lang w:val="id-ID"/>
        </w:rPr>
      </w:pPr>
      <w:r w:rsidRPr="00170D03">
        <w:rPr>
          <w:rFonts w:ascii="Bookman Old Style" w:hAnsi="Bookman Old Style"/>
          <w:sz w:val="24"/>
          <w:szCs w:val="24"/>
        </w:rPr>
        <w:t>Target</w:t>
      </w:r>
      <w:r w:rsidR="00A954D0">
        <w:rPr>
          <w:rFonts w:ascii="Bookman Old Style" w:hAnsi="Bookman Old Style"/>
          <w:sz w:val="24"/>
          <w:szCs w:val="24"/>
        </w:rPr>
        <w:t xml:space="preserve"> </w:t>
      </w:r>
      <w:r w:rsidRPr="00170D03">
        <w:rPr>
          <w:rFonts w:ascii="Bookman Old Style" w:hAnsi="Bookman Old Style"/>
          <w:sz w:val="24"/>
          <w:szCs w:val="24"/>
        </w:rPr>
        <w:t>Lain-lain</w:t>
      </w:r>
      <w:r w:rsidR="00A954D0">
        <w:rPr>
          <w:rFonts w:ascii="Bookman Old Style" w:hAnsi="Bookman Old Style"/>
          <w:sz w:val="24"/>
          <w:szCs w:val="24"/>
        </w:rPr>
        <w:t xml:space="preserve"> </w:t>
      </w:r>
      <w:r w:rsidRPr="00170D03">
        <w:rPr>
          <w:rFonts w:ascii="Bookman Old Style" w:hAnsi="Bookman Old Style"/>
          <w:sz w:val="24"/>
          <w:szCs w:val="24"/>
        </w:rPr>
        <w:t>Pendapatan</w:t>
      </w:r>
      <w:r w:rsidR="00A954D0">
        <w:rPr>
          <w:rFonts w:ascii="Bookman Old Style" w:hAnsi="Bookman Old Style"/>
          <w:sz w:val="24"/>
          <w:szCs w:val="24"/>
        </w:rPr>
        <w:t xml:space="preserve"> </w:t>
      </w:r>
      <w:r w:rsidRPr="00170D03">
        <w:rPr>
          <w:rFonts w:ascii="Bookman Old Style" w:hAnsi="Bookman Old Style"/>
          <w:sz w:val="24"/>
          <w:szCs w:val="24"/>
        </w:rPr>
        <w:t>Asli</w:t>
      </w:r>
      <w:r w:rsidR="00A954D0">
        <w:rPr>
          <w:rFonts w:ascii="Bookman Old Style" w:hAnsi="Bookman Old Style"/>
          <w:sz w:val="24"/>
          <w:szCs w:val="24"/>
        </w:rPr>
        <w:t xml:space="preserve"> </w:t>
      </w:r>
      <w:r w:rsidRPr="00170D03">
        <w:rPr>
          <w:rFonts w:ascii="Bookman Old Style" w:hAnsi="Bookman Old Style"/>
          <w:sz w:val="24"/>
          <w:szCs w:val="24"/>
        </w:rPr>
        <w:t>Daerah</w:t>
      </w:r>
      <w:r w:rsidR="00A954D0">
        <w:rPr>
          <w:rFonts w:ascii="Bookman Old Style" w:hAnsi="Bookman Old Style"/>
          <w:sz w:val="24"/>
          <w:szCs w:val="24"/>
        </w:rPr>
        <w:t xml:space="preserve"> </w:t>
      </w:r>
      <w:r w:rsidRPr="00170D03">
        <w:rPr>
          <w:rFonts w:ascii="Bookman Old Style" w:hAnsi="Bookman Old Style"/>
          <w:sz w:val="24"/>
          <w:szCs w:val="24"/>
        </w:rPr>
        <w:t>yang</w:t>
      </w:r>
      <w:r w:rsidR="00A954D0">
        <w:rPr>
          <w:rFonts w:ascii="Bookman Old Style" w:hAnsi="Bookman Old Style"/>
          <w:sz w:val="24"/>
          <w:szCs w:val="24"/>
        </w:rPr>
        <w:t xml:space="preserve"> </w:t>
      </w:r>
      <w:r w:rsidRPr="00170D03">
        <w:rPr>
          <w:rFonts w:ascii="Bookman Old Style" w:hAnsi="Bookman Old Style"/>
          <w:sz w:val="24"/>
          <w:szCs w:val="24"/>
        </w:rPr>
        <w:t>Sah</w:t>
      </w:r>
      <w:r w:rsidR="00A954D0">
        <w:rPr>
          <w:rFonts w:ascii="Bookman Old Style" w:hAnsi="Bookman Old Style"/>
          <w:sz w:val="24"/>
          <w:szCs w:val="24"/>
        </w:rPr>
        <w:t xml:space="preserve"> </w:t>
      </w:r>
      <w:r w:rsidRPr="00170D03">
        <w:rPr>
          <w:rFonts w:ascii="Bookman Old Style" w:hAnsi="Bookman Old Style"/>
          <w:sz w:val="24"/>
          <w:szCs w:val="24"/>
        </w:rPr>
        <w:t>dalam</w:t>
      </w:r>
      <w:r w:rsidR="00A954D0">
        <w:rPr>
          <w:rFonts w:ascii="Bookman Old Style" w:hAnsi="Bookman Old Style"/>
          <w:sz w:val="24"/>
          <w:szCs w:val="24"/>
        </w:rPr>
        <w:t xml:space="preserve"> </w:t>
      </w:r>
      <w:r w:rsidRPr="00170D03">
        <w:rPr>
          <w:rFonts w:ascii="Bookman Old Style" w:hAnsi="Bookman Old Style"/>
          <w:sz w:val="24"/>
          <w:szCs w:val="24"/>
        </w:rPr>
        <w:t>Rancangan</w:t>
      </w:r>
      <w:r w:rsidR="00A954D0">
        <w:rPr>
          <w:rFonts w:ascii="Bookman Old Style" w:hAnsi="Bookman Old Style"/>
          <w:sz w:val="24"/>
          <w:szCs w:val="24"/>
        </w:rPr>
        <w:t xml:space="preserve"> </w:t>
      </w:r>
      <w:r w:rsidRPr="00170D03">
        <w:rPr>
          <w:rFonts w:ascii="Bookman Old Style" w:hAnsi="Bookman Old Style"/>
          <w:sz w:val="24"/>
          <w:szCs w:val="24"/>
        </w:rPr>
        <w:t>Peraturan</w:t>
      </w:r>
      <w:r w:rsidR="00A954D0">
        <w:rPr>
          <w:rFonts w:ascii="Bookman Old Style" w:hAnsi="Bookman Old Style"/>
          <w:sz w:val="24"/>
          <w:szCs w:val="24"/>
        </w:rPr>
        <w:t xml:space="preserve"> </w:t>
      </w:r>
      <w:r w:rsidRPr="00170D03">
        <w:rPr>
          <w:rFonts w:ascii="Bookman Old Style" w:hAnsi="Bookman Old Style"/>
          <w:sz w:val="24"/>
          <w:szCs w:val="24"/>
        </w:rPr>
        <w:t>Daerah</w:t>
      </w:r>
      <w:r w:rsidR="00A954D0">
        <w:rPr>
          <w:rFonts w:ascii="Bookman Old Style" w:hAnsi="Bookman Old Style"/>
          <w:sz w:val="24"/>
          <w:szCs w:val="24"/>
        </w:rPr>
        <w:t xml:space="preserve"> </w:t>
      </w:r>
      <w:r w:rsidRPr="003255BC">
        <w:rPr>
          <w:rFonts w:ascii="Bookman Old Style" w:hAnsi="Bookman Old Style"/>
          <w:sz w:val="24"/>
          <w:szCs w:val="24"/>
          <w:lang w:val="id-ID"/>
        </w:rPr>
        <w:t>Kota</w:t>
      </w:r>
      <w:r w:rsidR="00A954D0" w:rsidRPr="003255BC">
        <w:rPr>
          <w:rFonts w:ascii="Bookman Old Style" w:hAnsi="Bookman Old Style"/>
          <w:sz w:val="24"/>
          <w:szCs w:val="24"/>
          <w:lang w:val="id-ID"/>
        </w:rPr>
        <w:t xml:space="preserve"> </w:t>
      </w:r>
      <w:r w:rsidRPr="003255BC">
        <w:rPr>
          <w:rFonts w:ascii="Bookman Old Style" w:hAnsi="Bookman Old Style"/>
          <w:sz w:val="24"/>
          <w:szCs w:val="24"/>
          <w:lang w:val="id-ID"/>
        </w:rPr>
        <w:t>Tangerang</w:t>
      </w:r>
      <w:r w:rsidR="00A954D0" w:rsidRPr="003255BC">
        <w:rPr>
          <w:rFonts w:ascii="Bookman Old Style" w:hAnsi="Bookman Old Style"/>
          <w:sz w:val="24"/>
          <w:szCs w:val="24"/>
          <w:lang w:val="id-ID"/>
        </w:rPr>
        <w:t xml:space="preserve"> </w:t>
      </w:r>
      <w:r w:rsidRPr="00170D03">
        <w:rPr>
          <w:rFonts w:ascii="Bookman Old Style" w:hAnsi="Bookman Old Style"/>
          <w:sz w:val="24"/>
          <w:szCs w:val="24"/>
        </w:rPr>
        <w:t>tentang</w:t>
      </w:r>
      <w:r w:rsidR="00A954D0">
        <w:rPr>
          <w:rFonts w:ascii="Bookman Old Style" w:hAnsi="Bookman Old Style"/>
          <w:sz w:val="24"/>
          <w:szCs w:val="24"/>
          <w:lang w:val="id-ID"/>
        </w:rPr>
        <w:t xml:space="preserve"> </w:t>
      </w:r>
      <w:r w:rsidRPr="00170D03">
        <w:rPr>
          <w:rFonts w:ascii="Bookman Old Style" w:hAnsi="Bookman Old Style"/>
          <w:sz w:val="24"/>
          <w:szCs w:val="24"/>
        </w:rPr>
        <w:t>APBD</w:t>
      </w:r>
      <w:r w:rsidR="00A954D0">
        <w:rPr>
          <w:rFonts w:ascii="Bookman Old Style" w:hAnsi="Bookman Old Style"/>
          <w:sz w:val="24"/>
          <w:szCs w:val="24"/>
        </w:rPr>
        <w:t xml:space="preserve"> </w:t>
      </w:r>
      <w:r w:rsidRPr="00170D03">
        <w:rPr>
          <w:rFonts w:ascii="Bookman Old Style" w:hAnsi="Bookman Old Style"/>
          <w:sz w:val="24"/>
          <w:szCs w:val="24"/>
        </w:rPr>
        <w:t>Tahun</w:t>
      </w:r>
      <w:r w:rsidR="00A954D0">
        <w:rPr>
          <w:rFonts w:ascii="Bookman Old Style" w:hAnsi="Bookman Old Style"/>
          <w:sz w:val="24"/>
          <w:szCs w:val="24"/>
        </w:rPr>
        <w:t xml:space="preserve"> </w:t>
      </w:r>
      <w:r w:rsidRPr="00170D03">
        <w:rPr>
          <w:rFonts w:ascii="Bookman Old Style" w:hAnsi="Bookman Old Style"/>
          <w:sz w:val="24"/>
          <w:szCs w:val="24"/>
        </w:rPr>
        <w:t>Anggaran</w:t>
      </w:r>
      <w:r w:rsidR="00A954D0">
        <w:rPr>
          <w:rFonts w:ascii="Bookman Old Style" w:hAnsi="Bookman Old Style"/>
          <w:sz w:val="24"/>
          <w:szCs w:val="24"/>
        </w:rPr>
        <w:t xml:space="preserve"> </w:t>
      </w:r>
      <w:r w:rsidRPr="00170D03">
        <w:rPr>
          <w:rFonts w:ascii="Bookman Old Style" w:hAnsi="Bookman Old Style"/>
          <w:sz w:val="24"/>
          <w:szCs w:val="24"/>
        </w:rPr>
        <w:t>202</w:t>
      </w:r>
      <w:r w:rsidRPr="00170D03">
        <w:rPr>
          <w:rFonts w:ascii="Bookman Old Style" w:hAnsi="Bookman Old Style"/>
          <w:sz w:val="24"/>
          <w:szCs w:val="24"/>
          <w:lang w:val="id-ID"/>
        </w:rPr>
        <w:t>5,</w:t>
      </w:r>
      <w:r w:rsidR="00A954D0">
        <w:rPr>
          <w:rFonts w:ascii="Bookman Old Style" w:hAnsi="Bookman Old Style"/>
          <w:sz w:val="24"/>
          <w:szCs w:val="24"/>
        </w:rPr>
        <w:t xml:space="preserve"> </w:t>
      </w:r>
      <w:r w:rsidRPr="00170D03">
        <w:rPr>
          <w:rFonts w:ascii="Bookman Old Style" w:hAnsi="Bookman Old Style"/>
          <w:sz w:val="24"/>
          <w:szCs w:val="24"/>
        </w:rPr>
        <w:t>diuraikan</w:t>
      </w:r>
      <w:r w:rsidR="00A954D0">
        <w:rPr>
          <w:rFonts w:ascii="Bookman Old Style" w:hAnsi="Bookman Old Style"/>
          <w:sz w:val="24"/>
          <w:szCs w:val="24"/>
        </w:rPr>
        <w:t xml:space="preserve"> </w:t>
      </w:r>
      <w:r w:rsidRPr="00170D03">
        <w:rPr>
          <w:rFonts w:ascii="Bookman Old Style" w:hAnsi="Bookman Old Style"/>
          <w:sz w:val="24"/>
          <w:szCs w:val="24"/>
        </w:rPr>
        <w:t>ke</w:t>
      </w:r>
      <w:r w:rsidR="00A954D0">
        <w:rPr>
          <w:rFonts w:ascii="Bookman Old Style" w:hAnsi="Bookman Old Style"/>
          <w:sz w:val="24"/>
          <w:szCs w:val="24"/>
        </w:rPr>
        <w:t xml:space="preserve"> </w:t>
      </w:r>
      <w:r w:rsidRPr="00170D03">
        <w:rPr>
          <w:rFonts w:ascii="Bookman Old Style" w:hAnsi="Bookman Old Style"/>
          <w:sz w:val="24"/>
          <w:szCs w:val="24"/>
        </w:rPr>
        <w:t>dalam</w:t>
      </w:r>
      <w:r w:rsidR="00A954D0">
        <w:rPr>
          <w:rFonts w:ascii="Bookman Old Style" w:hAnsi="Bookman Old Style"/>
          <w:sz w:val="24"/>
          <w:szCs w:val="24"/>
        </w:rPr>
        <w:t xml:space="preserve"> </w:t>
      </w:r>
      <w:r w:rsidRPr="00170D03">
        <w:rPr>
          <w:rFonts w:ascii="Bookman Old Style" w:hAnsi="Bookman Old Style"/>
          <w:sz w:val="24"/>
          <w:szCs w:val="24"/>
        </w:rPr>
        <w:t>objek</w:t>
      </w:r>
      <w:r w:rsidR="00A954D0">
        <w:rPr>
          <w:rFonts w:ascii="Bookman Old Style" w:hAnsi="Bookman Old Style"/>
          <w:sz w:val="24"/>
          <w:szCs w:val="24"/>
        </w:rPr>
        <w:t xml:space="preserve"> </w:t>
      </w:r>
      <w:r w:rsidRPr="00170D03">
        <w:rPr>
          <w:rFonts w:ascii="Bookman Old Style" w:hAnsi="Bookman Old Style"/>
          <w:sz w:val="24"/>
          <w:szCs w:val="24"/>
        </w:rPr>
        <w:t>pendapatan</w:t>
      </w:r>
      <w:r w:rsidR="00A954D0">
        <w:rPr>
          <w:rFonts w:ascii="Bookman Old Style" w:hAnsi="Bookman Old Style"/>
          <w:sz w:val="24"/>
          <w:szCs w:val="24"/>
        </w:rPr>
        <w:t xml:space="preserve"> </w:t>
      </w:r>
      <w:r w:rsidRPr="00170D03">
        <w:rPr>
          <w:rFonts w:ascii="Bookman Old Style" w:hAnsi="Bookman Old Style"/>
          <w:sz w:val="24"/>
          <w:szCs w:val="24"/>
        </w:rPr>
        <w:t>sebagai</w:t>
      </w:r>
      <w:r w:rsidR="00A954D0">
        <w:rPr>
          <w:rFonts w:ascii="Bookman Old Style" w:hAnsi="Bookman Old Style"/>
          <w:sz w:val="24"/>
          <w:szCs w:val="24"/>
        </w:rPr>
        <w:t xml:space="preserve"> </w:t>
      </w:r>
      <w:r w:rsidRPr="00170D03">
        <w:rPr>
          <w:rFonts w:ascii="Bookman Old Style" w:hAnsi="Bookman Old Style"/>
          <w:color w:val="000000" w:themeColor="text1"/>
          <w:sz w:val="24"/>
          <w:szCs w:val="24"/>
        </w:rPr>
        <w:t>berikut:</w:t>
      </w:r>
    </w:p>
    <w:p w14:paraId="7FE09F49" w14:textId="22B0D1ED" w:rsidR="001F194E" w:rsidRPr="00B010C4" w:rsidRDefault="001F194E" w:rsidP="00B16310">
      <w:pPr>
        <w:pStyle w:val="ListParagraph"/>
        <w:numPr>
          <w:ilvl w:val="0"/>
          <w:numId w:val="10"/>
        </w:numPr>
        <w:spacing w:before="60" w:after="0" w:line="276" w:lineRule="auto"/>
        <w:ind w:left="2268" w:hanging="567"/>
        <w:contextualSpacing w:val="0"/>
        <w:jc w:val="both"/>
        <w:rPr>
          <w:rFonts w:ascii="Bookman Old Style" w:hAnsi="Bookman Old Style"/>
          <w:color w:val="000000" w:themeColor="text1"/>
          <w:sz w:val="24"/>
          <w:szCs w:val="24"/>
        </w:rPr>
      </w:pPr>
      <w:r w:rsidRPr="00015FC4">
        <w:rPr>
          <w:rFonts w:ascii="Bookman Old Style" w:hAnsi="Bookman Old Style"/>
          <w:sz w:val="24"/>
          <w:szCs w:val="24"/>
        </w:rPr>
        <w:t>Hasil</w:t>
      </w:r>
      <w:r w:rsidR="00A954D0">
        <w:rPr>
          <w:rFonts w:ascii="Bookman Old Style" w:hAnsi="Bookman Old Style"/>
          <w:sz w:val="24"/>
          <w:szCs w:val="24"/>
        </w:rPr>
        <w:t xml:space="preserve"> </w:t>
      </w:r>
      <w:r w:rsidRPr="00015FC4">
        <w:rPr>
          <w:rFonts w:ascii="Bookman Old Style" w:hAnsi="Bookman Old Style"/>
          <w:sz w:val="24"/>
          <w:szCs w:val="24"/>
        </w:rPr>
        <w:t>Penjualan</w:t>
      </w:r>
      <w:r w:rsidR="00A954D0">
        <w:rPr>
          <w:rFonts w:ascii="Bookman Old Style" w:hAnsi="Bookman Old Style"/>
          <w:sz w:val="24"/>
          <w:szCs w:val="24"/>
        </w:rPr>
        <w:t xml:space="preserve"> </w:t>
      </w:r>
      <w:r w:rsidRPr="00015FC4">
        <w:rPr>
          <w:rFonts w:ascii="Bookman Old Style" w:hAnsi="Bookman Old Style"/>
          <w:sz w:val="24"/>
          <w:szCs w:val="24"/>
        </w:rPr>
        <w:t>BMD</w:t>
      </w:r>
      <w:r w:rsidR="00A954D0">
        <w:rPr>
          <w:rFonts w:ascii="Bookman Old Style" w:hAnsi="Bookman Old Style"/>
          <w:sz w:val="24"/>
          <w:szCs w:val="24"/>
        </w:rPr>
        <w:t xml:space="preserve"> </w:t>
      </w:r>
      <w:r w:rsidRPr="00015FC4">
        <w:rPr>
          <w:rFonts w:ascii="Bookman Old Style" w:hAnsi="Bookman Old Style"/>
          <w:sz w:val="24"/>
          <w:szCs w:val="24"/>
        </w:rPr>
        <w:t>yang</w:t>
      </w:r>
      <w:r w:rsidR="00A954D0">
        <w:rPr>
          <w:rFonts w:ascii="Bookman Old Style" w:hAnsi="Bookman Old Style"/>
          <w:sz w:val="24"/>
          <w:szCs w:val="24"/>
        </w:rPr>
        <w:t xml:space="preserve"> </w:t>
      </w:r>
      <w:r w:rsidRPr="00015FC4">
        <w:rPr>
          <w:rFonts w:ascii="Bookman Old Style" w:hAnsi="Bookman Old Style"/>
          <w:sz w:val="24"/>
          <w:szCs w:val="24"/>
        </w:rPr>
        <w:t>Tidak</w:t>
      </w:r>
      <w:r w:rsidR="00A954D0">
        <w:rPr>
          <w:rFonts w:ascii="Bookman Old Style" w:hAnsi="Bookman Old Style"/>
          <w:sz w:val="24"/>
          <w:szCs w:val="24"/>
        </w:rPr>
        <w:t xml:space="preserve"> </w:t>
      </w:r>
      <w:r w:rsidRPr="00015FC4">
        <w:rPr>
          <w:rFonts w:ascii="Bookman Old Style" w:hAnsi="Bookman Old Style"/>
          <w:sz w:val="24"/>
          <w:szCs w:val="24"/>
        </w:rPr>
        <w:t>Dipisahkan</w:t>
      </w:r>
      <w:r w:rsidR="00A954D0">
        <w:rPr>
          <w:rFonts w:ascii="Bookman Old Style" w:hAnsi="Bookman Old Style"/>
          <w:sz w:val="24"/>
          <w:szCs w:val="24"/>
        </w:rPr>
        <w:t xml:space="preserve"> </w:t>
      </w:r>
      <w:r w:rsidRPr="00170D03">
        <w:rPr>
          <w:rFonts w:ascii="Bookman Old Style" w:hAnsi="Bookman Old Style"/>
          <w:sz w:val="24"/>
          <w:szCs w:val="24"/>
        </w:rPr>
        <w:t>Rp</w:t>
      </w:r>
      <w:r w:rsidRPr="00A50691">
        <w:rPr>
          <w:rFonts w:ascii="Bookman Old Style" w:hAnsi="Bookman Old Style"/>
          <w:sz w:val="24"/>
          <w:szCs w:val="24"/>
        </w:rPr>
        <w:t>577.839.705,00</w:t>
      </w:r>
      <w:r w:rsidR="00A954D0">
        <w:rPr>
          <w:rFonts w:ascii="Bookman Old Style" w:hAnsi="Bookman Old Style"/>
          <w:sz w:val="24"/>
          <w:szCs w:val="24"/>
        </w:rPr>
        <w:t xml:space="preserve"> </w:t>
      </w:r>
      <w:r w:rsidRPr="00170D03">
        <w:rPr>
          <w:rFonts w:ascii="Bookman Old Style" w:hAnsi="Bookman Old Style"/>
          <w:sz w:val="24"/>
          <w:szCs w:val="24"/>
        </w:rPr>
        <w:t>atau</w:t>
      </w:r>
      <w:r w:rsidR="00A954D0">
        <w:rPr>
          <w:rFonts w:ascii="Bookman Old Style" w:hAnsi="Bookman Old Style"/>
          <w:sz w:val="24"/>
          <w:szCs w:val="24"/>
        </w:rPr>
        <w:t xml:space="preserve"> </w:t>
      </w:r>
      <w:r w:rsidRPr="00170D03">
        <w:rPr>
          <w:rFonts w:ascii="Bookman Old Style" w:hAnsi="Bookman Old Style"/>
          <w:sz w:val="24"/>
          <w:szCs w:val="24"/>
        </w:rPr>
        <w:t>0,0</w:t>
      </w:r>
      <w:r>
        <w:rPr>
          <w:rFonts w:ascii="Bookman Old Style" w:hAnsi="Bookman Old Style"/>
          <w:sz w:val="24"/>
          <w:szCs w:val="24"/>
        </w:rPr>
        <w:t>1</w:t>
      </w:r>
      <w:r w:rsidRPr="00170D03">
        <w:rPr>
          <w:rFonts w:ascii="Bookman Old Style" w:hAnsi="Bookman Old Style"/>
          <w:sz w:val="24"/>
          <w:szCs w:val="24"/>
        </w:rPr>
        <w:t>%</w:t>
      </w:r>
      <w:r w:rsidR="00A954D0">
        <w:rPr>
          <w:rFonts w:ascii="Bookman Old Style" w:hAnsi="Bookman Old Style"/>
          <w:sz w:val="24"/>
          <w:szCs w:val="24"/>
        </w:rPr>
        <w:t xml:space="preserve"> </w:t>
      </w:r>
      <w:r w:rsidRPr="00170D03">
        <w:rPr>
          <w:rFonts w:ascii="Bookman Old Style" w:hAnsi="Bookman Old Style"/>
          <w:sz w:val="24"/>
          <w:szCs w:val="24"/>
        </w:rPr>
        <w:t>dari</w:t>
      </w:r>
      <w:r w:rsidR="00A954D0">
        <w:rPr>
          <w:rFonts w:ascii="Bookman Old Style" w:hAnsi="Bookman Old Style"/>
          <w:sz w:val="24"/>
          <w:szCs w:val="24"/>
        </w:rPr>
        <w:t xml:space="preserve"> </w:t>
      </w:r>
      <w:r w:rsidRPr="00170D03">
        <w:rPr>
          <w:rFonts w:ascii="Bookman Old Style" w:hAnsi="Bookman Old Style"/>
          <w:sz w:val="24"/>
          <w:szCs w:val="24"/>
        </w:rPr>
        <w:t>total</w:t>
      </w:r>
      <w:r w:rsidR="00A954D0">
        <w:rPr>
          <w:rFonts w:ascii="Bookman Old Style" w:hAnsi="Bookman Old Style"/>
          <w:sz w:val="24"/>
          <w:szCs w:val="24"/>
        </w:rPr>
        <w:t xml:space="preserve"> </w:t>
      </w:r>
      <w:r w:rsidRPr="00170D03">
        <w:rPr>
          <w:rFonts w:ascii="Bookman Old Style" w:hAnsi="Bookman Old Style"/>
          <w:sz w:val="24"/>
          <w:szCs w:val="24"/>
        </w:rPr>
        <w:t>pendapatan</w:t>
      </w:r>
      <w:r w:rsidR="00A954D0">
        <w:rPr>
          <w:rFonts w:ascii="Bookman Old Style" w:hAnsi="Bookman Old Style"/>
          <w:sz w:val="24"/>
          <w:szCs w:val="24"/>
        </w:rPr>
        <w:t xml:space="preserve"> </w:t>
      </w:r>
      <w:r w:rsidRPr="00170D03">
        <w:rPr>
          <w:rFonts w:ascii="Bookman Old Style" w:hAnsi="Bookman Old Style"/>
          <w:sz w:val="24"/>
          <w:szCs w:val="24"/>
        </w:rPr>
        <w:t>daerah</w:t>
      </w:r>
      <w:r w:rsidR="00A954D0">
        <w:rPr>
          <w:rFonts w:ascii="Bookman Old Style" w:hAnsi="Bookman Old Style" w:cs="Arial"/>
          <w:sz w:val="24"/>
          <w:szCs w:val="24"/>
        </w:rPr>
        <w:t xml:space="preserve"> </w:t>
      </w:r>
      <w:r w:rsidRPr="00170D03">
        <w:rPr>
          <w:rFonts w:ascii="Bookman Old Style" w:hAnsi="Bookman Old Style" w:cs="Arial"/>
          <w:sz w:val="24"/>
          <w:szCs w:val="24"/>
        </w:rPr>
        <w:t>dalam</w:t>
      </w:r>
      <w:r w:rsidR="00A954D0">
        <w:rPr>
          <w:rFonts w:ascii="Bookman Old Style" w:hAnsi="Bookman Old Style" w:cs="Arial"/>
          <w:sz w:val="24"/>
          <w:szCs w:val="24"/>
        </w:rPr>
        <w:t xml:space="preserve"> </w:t>
      </w:r>
      <w:r w:rsidRPr="00170D03">
        <w:rPr>
          <w:rFonts w:ascii="Bookman Old Style" w:hAnsi="Bookman Old Style" w:cs="Arial"/>
          <w:sz w:val="24"/>
          <w:szCs w:val="24"/>
        </w:rPr>
        <w:t>Rancangan</w:t>
      </w:r>
      <w:r w:rsidR="00A954D0">
        <w:rPr>
          <w:rFonts w:ascii="Bookman Old Style" w:hAnsi="Bookman Old Style" w:cs="Arial"/>
          <w:sz w:val="24"/>
          <w:szCs w:val="24"/>
        </w:rPr>
        <w:t xml:space="preserve"> </w:t>
      </w:r>
      <w:r w:rsidRPr="00170D03">
        <w:rPr>
          <w:rFonts w:ascii="Bookman Old Style" w:hAnsi="Bookman Old Style" w:cs="Arial"/>
          <w:sz w:val="24"/>
          <w:szCs w:val="24"/>
        </w:rPr>
        <w:t>Peraturan</w:t>
      </w:r>
      <w:r w:rsidR="00A954D0">
        <w:rPr>
          <w:rFonts w:ascii="Bookman Old Style" w:hAnsi="Bookman Old Style" w:cs="Arial"/>
          <w:sz w:val="24"/>
          <w:szCs w:val="24"/>
        </w:rPr>
        <w:t xml:space="preserve"> </w:t>
      </w:r>
      <w:r w:rsidRPr="00170D03">
        <w:rPr>
          <w:rFonts w:ascii="Bookman Old Style" w:hAnsi="Bookman Old Style" w:cs="Arial"/>
          <w:sz w:val="24"/>
          <w:szCs w:val="24"/>
        </w:rPr>
        <w:t>Daerah</w:t>
      </w:r>
      <w:r w:rsidR="00A954D0">
        <w:rPr>
          <w:rFonts w:ascii="Bookman Old Style" w:hAnsi="Bookman Old Style" w:cs="Arial"/>
          <w:sz w:val="24"/>
          <w:szCs w:val="24"/>
        </w:rPr>
        <w:t xml:space="preserve"> </w:t>
      </w:r>
      <w:r w:rsidRPr="003255BC">
        <w:rPr>
          <w:rFonts w:ascii="Bookman Old Style" w:hAnsi="Bookman Old Style"/>
          <w:sz w:val="24"/>
          <w:szCs w:val="24"/>
          <w:lang w:val="sv-FI"/>
        </w:rPr>
        <w:t>Kota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Tangerang</w:t>
      </w:r>
      <w:r w:rsidR="00A954D0" w:rsidRPr="003255BC">
        <w:rPr>
          <w:rFonts w:ascii="Bookman Old Style" w:hAnsi="Bookman Old Style"/>
          <w:sz w:val="24"/>
          <w:szCs w:val="24"/>
          <w:lang w:val="sv-FI"/>
        </w:rPr>
        <w:t xml:space="preserve"> </w:t>
      </w:r>
      <w:r w:rsidRPr="00170D03">
        <w:rPr>
          <w:rFonts w:ascii="Bookman Old Style" w:hAnsi="Bookman Old Style" w:cs="Arial"/>
          <w:sz w:val="24"/>
          <w:szCs w:val="24"/>
          <w:lang w:val="id-ID"/>
        </w:rPr>
        <w:t>tentang</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APBD</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Anggaran</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2025,</w:t>
      </w:r>
      <w:r w:rsidR="00A954D0">
        <w:rPr>
          <w:rFonts w:ascii="Bookman Old Style" w:hAnsi="Bookman Old Style" w:cs="Arial"/>
          <w:sz w:val="24"/>
          <w:szCs w:val="24"/>
          <w:lang w:val="id-ID"/>
        </w:rPr>
        <w:t xml:space="preserve"> </w:t>
      </w:r>
      <w:r w:rsidRPr="00170D03">
        <w:rPr>
          <w:rFonts w:ascii="Bookman Old Style" w:hAnsi="Bookman Old Style"/>
          <w:sz w:val="24"/>
          <w:szCs w:val="24"/>
        </w:rPr>
        <w:t>dianggarkan</w:t>
      </w:r>
      <w:r w:rsidR="00A954D0">
        <w:rPr>
          <w:rFonts w:ascii="Bookman Old Style" w:hAnsi="Bookman Old Style"/>
          <w:sz w:val="24"/>
          <w:szCs w:val="24"/>
        </w:rPr>
        <w:t xml:space="preserve"> </w:t>
      </w:r>
      <w:r w:rsidRPr="00170D03">
        <w:rPr>
          <w:rFonts w:ascii="Bookman Old Style" w:hAnsi="Bookman Old Style"/>
          <w:sz w:val="24"/>
          <w:szCs w:val="24"/>
        </w:rPr>
        <w:t>dengan</w:t>
      </w:r>
      <w:r w:rsidR="00A954D0">
        <w:rPr>
          <w:rFonts w:ascii="Bookman Old Style" w:hAnsi="Bookman Old Style"/>
          <w:sz w:val="24"/>
          <w:szCs w:val="24"/>
        </w:rPr>
        <w:t xml:space="preserve"> </w:t>
      </w:r>
      <w:r w:rsidRPr="00170D03">
        <w:rPr>
          <w:rFonts w:ascii="Bookman Old Style" w:hAnsi="Bookman Old Style"/>
          <w:sz w:val="24"/>
          <w:szCs w:val="24"/>
        </w:rPr>
        <w:t>berpedoman</w:t>
      </w:r>
      <w:r w:rsidR="00A954D0">
        <w:rPr>
          <w:rFonts w:ascii="Bookman Old Style" w:hAnsi="Bookman Old Style"/>
          <w:sz w:val="24"/>
          <w:szCs w:val="24"/>
        </w:rPr>
        <w:t xml:space="preserve"> </w:t>
      </w:r>
      <w:r w:rsidRPr="00170D03">
        <w:rPr>
          <w:rFonts w:ascii="Bookman Old Style" w:hAnsi="Bookman Old Style"/>
          <w:sz w:val="24"/>
          <w:szCs w:val="24"/>
        </w:rPr>
        <w:t>pada</w:t>
      </w:r>
      <w:r w:rsidR="00A954D0">
        <w:rPr>
          <w:rFonts w:ascii="Bookman Old Style" w:hAnsi="Bookman Old Style"/>
          <w:sz w:val="24"/>
          <w:szCs w:val="24"/>
        </w:rPr>
        <w:t xml:space="preserve"> </w:t>
      </w:r>
      <w:r w:rsidRPr="00170D03">
        <w:rPr>
          <w:rFonts w:ascii="Bookman Old Style" w:hAnsi="Bookman Old Style"/>
          <w:sz w:val="24"/>
          <w:szCs w:val="24"/>
        </w:rPr>
        <w:t>Peraturan</w:t>
      </w:r>
      <w:r w:rsidR="00A954D0">
        <w:rPr>
          <w:rFonts w:ascii="Bookman Old Style" w:hAnsi="Bookman Old Style"/>
          <w:sz w:val="24"/>
          <w:szCs w:val="24"/>
        </w:rPr>
        <w:t xml:space="preserve"> </w:t>
      </w:r>
      <w:r w:rsidRPr="00170D03">
        <w:rPr>
          <w:rFonts w:ascii="Bookman Old Style" w:hAnsi="Bookman Old Style"/>
          <w:sz w:val="24"/>
          <w:szCs w:val="24"/>
        </w:rPr>
        <w:t>Pemerintah</w:t>
      </w:r>
      <w:r w:rsidR="00A954D0">
        <w:rPr>
          <w:rFonts w:ascii="Bookman Old Style" w:hAnsi="Bookman Old Style"/>
          <w:sz w:val="24"/>
          <w:szCs w:val="24"/>
        </w:rPr>
        <w:t xml:space="preserve"> </w:t>
      </w:r>
      <w:r w:rsidRPr="00170D03">
        <w:rPr>
          <w:rFonts w:ascii="Bookman Old Style" w:hAnsi="Bookman Old Style"/>
          <w:sz w:val="24"/>
          <w:szCs w:val="24"/>
        </w:rPr>
        <w:t>Nomor</w:t>
      </w:r>
      <w:r w:rsidR="00A954D0">
        <w:rPr>
          <w:rFonts w:ascii="Bookman Old Style" w:hAnsi="Bookman Old Style"/>
          <w:sz w:val="24"/>
          <w:szCs w:val="24"/>
        </w:rPr>
        <w:t xml:space="preserve"> </w:t>
      </w:r>
      <w:r w:rsidRPr="00170D03">
        <w:rPr>
          <w:rFonts w:ascii="Bookman Old Style" w:hAnsi="Bookman Old Style"/>
          <w:sz w:val="24"/>
          <w:szCs w:val="24"/>
        </w:rPr>
        <w:t>27</w:t>
      </w:r>
      <w:r w:rsidR="00A954D0">
        <w:rPr>
          <w:rFonts w:ascii="Bookman Old Style" w:hAnsi="Bookman Old Style"/>
          <w:sz w:val="24"/>
          <w:szCs w:val="24"/>
        </w:rPr>
        <w:t xml:space="preserve"> </w:t>
      </w:r>
      <w:r w:rsidRPr="00170D03">
        <w:rPr>
          <w:rFonts w:ascii="Bookman Old Style" w:hAnsi="Bookman Old Style"/>
          <w:sz w:val="24"/>
          <w:szCs w:val="24"/>
        </w:rPr>
        <w:t>Tahun</w:t>
      </w:r>
      <w:r w:rsidR="00A954D0">
        <w:rPr>
          <w:rFonts w:ascii="Bookman Old Style" w:hAnsi="Bookman Old Style"/>
          <w:sz w:val="24"/>
          <w:szCs w:val="24"/>
        </w:rPr>
        <w:t xml:space="preserve"> </w:t>
      </w:r>
      <w:r w:rsidRPr="00170D03">
        <w:rPr>
          <w:rFonts w:ascii="Bookman Old Style" w:hAnsi="Bookman Old Style"/>
          <w:sz w:val="24"/>
          <w:szCs w:val="24"/>
        </w:rPr>
        <w:t>2014</w:t>
      </w:r>
      <w:r w:rsidR="00A954D0">
        <w:rPr>
          <w:rFonts w:ascii="Bookman Old Style" w:hAnsi="Bookman Old Style"/>
          <w:sz w:val="24"/>
          <w:szCs w:val="24"/>
        </w:rPr>
        <w:t xml:space="preserve"> </w:t>
      </w:r>
      <w:r w:rsidRPr="00170D03">
        <w:rPr>
          <w:rFonts w:ascii="Bookman Old Style" w:hAnsi="Bookman Old Style"/>
          <w:sz w:val="24"/>
          <w:szCs w:val="24"/>
          <w:lang w:val="id-ID"/>
        </w:rPr>
        <w:t>tentang</w:t>
      </w:r>
      <w:r w:rsidR="00A954D0">
        <w:rPr>
          <w:rFonts w:ascii="Bookman Old Style" w:hAnsi="Bookman Old Style"/>
          <w:sz w:val="24"/>
          <w:szCs w:val="24"/>
          <w:lang w:val="id-ID"/>
        </w:rPr>
        <w:t xml:space="preserve"> </w:t>
      </w:r>
      <w:r w:rsidRPr="00170D03">
        <w:rPr>
          <w:rFonts w:ascii="Bookman Old Style" w:hAnsi="Bookman Old Style"/>
          <w:sz w:val="24"/>
          <w:szCs w:val="24"/>
        </w:rPr>
        <w:t>Pengelolaan</w:t>
      </w:r>
      <w:r w:rsidR="00A954D0">
        <w:rPr>
          <w:rFonts w:ascii="Bookman Old Style" w:hAnsi="Bookman Old Style"/>
          <w:sz w:val="24"/>
          <w:szCs w:val="24"/>
        </w:rPr>
        <w:t xml:space="preserve"> </w:t>
      </w:r>
      <w:r w:rsidRPr="00170D03">
        <w:rPr>
          <w:rFonts w:ascii="Bookman Old Style" w:hAnsi="Bookman Old Style"/>
          <w:sz w:val="24"/>
          <w:szCs w:val="24"/>
        </w:rPr>
        <w:t>Barang</w:t>
      </w:r>
      <w:r w:rsidR="00A954D0">
        <w:rPr>
          <w:rFonts w:ascii="Bookman Old Style" w:hAnsi="Bookman Old Style"/>
          <w:sz w:val="24"/>
          <w:szCs w:val="24"/>
        </w:rPr>
        <w:t xml:space="preserve"> </w:t>
      </w:r>
      <w:r w:rsidRPr="00170D03">
        <w:rPr>
          <w:rFonts w:ascii="Bookman Old Style" w:hAnsi="Bookman Old Style"/>
          <w:sz w:val="24"/>
          <w:szCs w:val="24"/>
        </w:rPr>
        <w:t>Milik</w:t>
      </w:r>
      <w:r w:rsidR="00A954D0">
        <w:rPr>
          <w:rFonts w:ascii="Bookman Old Style" w:hAnsi="Bookman Old Style"/>
          <w:sz w:val="24"/>
          <w:szCs w:val="24"/>
        </w:rPr>
        <w:t xml:space="preserve"> </w:t>
      </w:r>
      <w:r w:rsidRPr="00170D03">
        <w:rPr>
          <w:rFonts w:ascii="Bookman Old Style" w:hAnsi="Bookman Old Style"/>
          <w:sz w:val="24"/>
          <w:szCs w:val="24"/>
        </w:rPr>
        <w:t>Negara/Daerah</w:t>
      </w:r>
      <w:r w:rsidRPr="00170D03">
        <w:rPr>
          <w:rFonts w:ascii="Bookman Old Style" w:hAnsi="Bookman Old Style"/>
          <w:sz w:val="24"/>
          <w:szCs w:val="24"/>
          <w:lang w:val="id-ID"/>
        </w:rPr>
        <w:t>,</w:t>
      </w:r>
      <w:r w:rsidR="00A954D0">
        <w:rPr>
          <w:rFonts w:ascii="Bookman Old Style" w:hAnsi="Bookman Old Style"/>
          <w:sz w:val="24"/>
          <w:szCs w:val="24"/>
          <w:lang w:val="id-ID"/>
        </w:rPr>
        <w:t xml:space="preserve"> </w:t>
      </w:r>
      <w:r w:rsidRPr="00170D03">
        <w:rPr>
          <w:rFonts w:ascii="Bookman Old Style" w:hAnsi="Bookman Old Style"/>
          <w:sz w:val="24"/>
          <w:szCs w:val="24"/>
          <w:lang w:val="id-ID"/>
        </w:rPr>
        <w:t>sebagaimana</w:t>
      </w:r>
      <w:r w:rsidR="00A954D0">
        <w:rPr>
          <w:rFonts w:ascii="Bookman Old Style" w:hAnsi="Bookman Old Style"/>
          <w:sz w:val="24"/>
          <w:szCs w:val="24"/>
          <w:lang w:val="id-ID"/>
        </w:rPr>
        <w:t xml:space="preserve"> </w:t>
      </w:r>
      <w:r w:rsidRPr="00170D03">
        <w:rPr>
          <w:rFonts w:ascii="Bookman Old Style" w:hAnsi="Bookman Old Style"/>
          <w:sz w:val="24"/>
          <w:szCs w:val="24"/>
          <w:lang w:val="id-ID"/>
        </w:rPr>
        <w:t>telah</w:t>
      </w:r>
      <w:r w:rsidR="00A954D0">
        <w:rPr>
          <w:rFonts w:ascii="Bookman Old Style" w:hAnsi="Bookman Old Style"/>
          <w:sz w:val="24"/>
          <w:szCs w:val="24"/>
          <w:lang w:val="id-ID"/>
        </w:rPr>
        <w:t xml:space="preserve"> </w:t>
      </w:r>
      <w:r w:rsidRPr="00170D03">
        <w:rPr>
          <w:rFonts w:ascii="Bookman Old Style" w:hAnsi="Bookman Old Style"/>
          <w:sz w:val="24"/>
          <w:szCs w:val="24"/>
          <w:lang w:val="id-ID"/>
        </w:rPr>
        <w:t>diubah</w:t>
      </w:r>
      <w:r w:rsidR="00A954D0">
        <w:rPr>
          <w:rFonts w:ascii="Bookman Old Style" w:hAnsi="Bookman Old Style"/>
          <w:sz w:val="24"/>
          <w:szCs w:val="24"/>
          <w:lang w:val="id-ID"/>
        </w:rPr>
        <w:t xml:space="preserve"> </w:t>
      </w:r>
      <w:r w:rsidRPr="00170D03">
        <w:rPr>
          <w:rFonts w:ascii="Bookman Old Style" w:hAnsi="Bookman Old Style"/>
          <w:sz w:val="24"/>
          <w:szCs w:val="24"/>
          <w:lang w:val="id-ID"/>
        </w:rPr>
        <w:t>dengan</w:t>
      </w:r>
      <w:r w:rsidR="00A954D0">
        <w:rPr>
          <w:rFonts w:ascii="Bookman Old Style" w:hAnsi="Bookman Old Style"/>
          <w:sz w:val="24"/>
          <w:szCs w:val="24"/>
          <w:lang w:val="id-ID"/>
        </w:rPr>
        <w:t xml:space="preserve"> </w:t>
      </w:r>
      <w:r w:rsidRPr="00170D03">
        <w:rPr>
          <w:rFonts w:ascii="Bookman Old Style" w:hAnsi="Bookman Old Style"/>
          <w:sz w:val="24"/>
          <w:szCs w:val="24"/>
          <w:lang w:val="id-ID"/>
        </w:rPr>
        <w:t>Peraturan</w:t>
      </w:r>
      <w:r w:rsidR="00A954D0">
        <w:rPr>
          <w:rFonts w:ascii="Bookman Old Style" w:hAnsi="Bookman Old Style"/>
          <w:sz w:val="24"/>
          <w:szCs w:val="24"/>
          <w:lang w:val="id-ID"/>
        </w:rPr>
        <w:t xml:space="preserve"> </w:t>
      </w:r>
      <w:r w:rsidRPr="00170D03">
        <w:rPr>
          <w:rFonts w:ascii="Bookman Old Style" w:hAnsi="Bookman Old Style"/>
          <w:sz w:val="24"/>
          <w:szCs w:val="24"/>
          <w:lang w:val="id-ID"/>
        </w:rPr>
        <w:t>Pemerintah</w:t>
      </w:r>
      <w:r w:rsidR="00A954D0">
        <w:rPr>
          <w:rFonts w:ascii="Bookman Old Style" w:hAnsi="Bookman Old Style"/>
          <w:sz w:val="24"/>
          <w:szCs w:val="24"/>
          <w:lang w:val="id-ID"/>
        </w:rPr>
        <w:t xml:space="preserve"> </w:t>
      </w:r>
      <w:r w:rsidRPr="00170D03">
        <w:rPr>
          <w:rFonts w:ascii="Bookman Old Style" w:hAnsi="Bookman Old Style"/>
          <w:sz w:val="24"/>
          <w:szCs w:val="24"/>
          <w:lang w:val="id-ID"/>
        </w:rPr>
        <w:t>Nomor</w:t>
      </w:r>
      <w:r w:rsidR="00A954D0">
        <w:rPr>
          <w:rFonts w:ascii="Bookman Old Style" w:hAnsi="Bookman Old Style"/>
          <w:sz w:val="24"/>
          <w:szCs w:val="24"/>
          <w:lang w:val="id-ID"/>
        </w:rPr>
        <w:t xml:space="preserve"> </w:t>
      </w:r>
      <w:r w:rsidRPr="00170D03">
        <w:rPr>
          <w:rFonts w:ascii="Bookman Old Style" w:hAnsi="Bookman Old Style"/>
          <w:sz w:val="24"/>
          <w:szCs w:val="24"/>
          <w:lang w:val="id-ID"/>
        </w:rPr>
        <w:t>28</w:t>
      </w:r>
      <w:r w:rsidR="00A954D0">
        <w:rPr>
          <w:rFonts w:ascii="Bookman Old Style" w:hAnsi="Bookman Old Style"/>
          <w:sz w:val="24"/>
          <w:szCs w:val="24"/>
          <w:lang w:val="id-ID"/>
        </w:rPr>
        <w:t xml:space="preserve"> </w:t>
      </w:r>
      <w:r w:rsidRPr="00170D03">
        <w:rPr>
          <w:rFonts w:ascii="Bookman Old Style" w:hAnsi="Bookman Old Style"/>
          <w:sz w:val="24"/>
          <w:szCs w:val="24"/>
          <w:lang w:val="id-ID"/>
        </w:rPr>
        <w:t>Tahun</w:t>
      </w:r>
      <w:r w:rsidR="00A954D0">
        <w:rPr>
          <w:rFonts w:ascii="Bookman Old Style" w:hAnsi="Bookman Old Style"/>
          <w:sz w:val="24"/>
          <w:szCs w:val="24"/>
          <w:lang w:val="id-ID"/>
        </w:rPr>
        <w:t xml:space="preserve"> </w:t>
      </w:r>
      <w:r w:rsidRPr="00170D03">
        <w:rPr>
          <w:rFonts w:ascii="Bookman Old Style" w:hAnsi="Bookman Old Style"/>
          <w:sz w:val="24"/>
          <w:szCs w:val="24"/>
          <w:lang w:val="id-ID"/>
        </w:rPr>
        <w:t>2020</w:t>
      </w:r>
      <w:r w:rsidR="00A954D0">
        <w:rPr>
          <w:rFonts w:ascii="Bookman Old Style" w:hAnsi="Bookman Old Style"/>
          <w:sz w:val="24"/>
          <w:szCs w:val="24"/>
          <w:lang w:val="id-ID"/>
        </w:rPr>
        <w:t xml:space="preserve"> </w:t>
      </w:r>
      <w:r w:rsidRPr="00170D03">
        <w:rPr>
          <w:rFonts w:ascii="Bookman Old Style" w:hAnsi="Bookman Old Style"/>
          <w:sz w:val="24"/>
          <w:szCs w:val="24"/>
          <w:lang w:val="id-ID"/>
        </w:rPr>
        <w:t>tentang</w:t>
      </w:r>
      <w:r w:rsidR="00A954D0">
        <w:rPr>
          <w:rFonts w:ascii="Bookman Old Style" w:hAnsi="Bookman Old Style"/>
          <w:sz w:val="24"/>
          <w:szCs w:val="24"/>
          <w:lang w:val="id-ID"/>
        </w:rPr>
        <w:t xml:space="preserve"> </w:t>
      </w:r>
      <w:r w:rsidRPr="00170D03">
        <w:rPr>
          <w:rFonts w:ascii="Bookman Old Style" w:hAnsi="Bookman Old Style"/>
          <w:sz w:val="24"/>
          <w:szCs w:val="24"/>
          <w:lang w:val="id-ID"/>
        </w:rPr>
        <w:t>Perubahan</w:t>
      </w:r>
      <w:r w:rsidR="00A954D0">
        <w:rPr>
          <w:rFonts w:ascii="Bookman Old Style" w:hAnsi="Bookman Old Style"/>
          <w:sz w:val="24"/>
          <w:szCs w:val="24"/>
          <w:lang w:val="id-ID"/>
        </w:rPr>
        <w:t xml:space="preserve"> </w:t>
      </w:r>
      <w:r w:rsidRPr="00170D03">
        <w:rPr>
          <w:rFonts w:ascii="Bookman Old Style" w:hAnsi="Bookman Old Style"/>
          <w:sz w:val="24"/>
          <w:szCs w:val="24"/>
          <w:lang w:val="id-ID"/>
        </w:rPr>
        <w:t>atas</w:t>
      </w:r>
      <w:r w:rsidR="00A954D0">
        <w:rPr>
          <w:rFonts w:ascii="Bookman Old Style" w:hAnsi="Bookman Old Style"/>
          <w:sz w:val="24"/>
          <w:szCs w:val="24"/>
          <w:lang w:val="id-ID"/>
        </w:rPr>
        <w:t xml:space="preserve"> </w:t>
      </w:r>
      <w:r w:rsidRPr="00170D03">
        <w:rPr>
          <w:rFonts w:ascii="Bookman Old Style" w:hAnsi="Bookman Old Style"/>
          <w:sz w:val="24"/>
          <w:szCs w:val="24"/>
        </w:rPr>
        <w:t>Peraturan</w:t>
      </w:r>
      <w:r w:rsidR="00A954D0">
        <w:rPr>
          <w:rFonts w:ascii="Bookman Old Style" w:hAnsi="Bookman Old Style"/>
          <w:sz w:val="24"/>
          <w:szCs w:val="24"/>
        </w:rPr>
        <w:t xml:space="preserve"> </w:t>
      </w:r>
      <w:r w:rsidRPr="00170D03">
        <w:rPr>
          <w:rFonts w:ascii="Bookman Old Style" w:hAnsi="Bookman Old Style"/>
          <w:sz w:val="24"/>
          <w:szCs w:val="24"/>
        </w:rPr>
        <w:t>Pemerintah</w:t>
      </w:r>
      <w:r w:rsidR="00A954D0">
        <w:rPr>
          <w:rFonts w:ascii="Bookman Old Style" w:hAnsi="Bookman Old Style"/>
          <w:sz w:val="24"/>
          <w:szCs w:val="24"/>
        </w:rPr>
        <w:t xml:space="preserve"> </w:t>
      </w:r>
      <w:r w:rsidRPr="00170D03">
        <w:rPr>
          <w:rFonts w:ascii="Bookman Old Style" w:hAnsi="Bookman Old Style"/>
          <w:sz w:val="24"/>
          <w:szCs w:val="24"/>
        </w:rPr>
        <w:t>Nomor</w:t>
      </w:r>
      <w:r w:rsidR="00A954D0">
        <w:rPr>
          <w:rFonts w:ascii="Bookman Old Style" w:hAnsi="Bookman Old Style"/>
          <w:sz w:val="24"/>
          <w:szCs w:val="24"/>
        </w:rPr>
        <w:t xml:space="preserve"> </w:t>
      </w:r>
      <w:r w:rsidRPr="00170D03">
        <w:rPr>
          <w:rFonts w:ascii="Bookman Old Style" w:hAnsi="Bookman Old Style"/>
          <w:sz w:val="24"/>
          <w:szCs w:val="24"/>
        </w:rPr>
        <w:t>27</w:t>
      </w:r>
      <w:r w:rsidR="00A954D0">
        <w:rPr>
          <w:rFonts w:ascii="Bookman Old Style" w:hAnsi="Bookman Old Style"/>
          <w:sz w:val="24"/>
          <w:szCs w:val="24"/>
        </w:rPr>
        <w:t xml:space="preserve"> </w:t>
      </w:r>
      <w:r w:rsidRPr="00170D03">
        <w:rPr>
          <w:rFonts w:ascii="Bookman Old Style" w:hAnsi="Bookman Old Style"/>
          <w:sz w:val="24"/>
          <w:szCs w:val="24"/>
        </w:rPr>
        <w:t>Tahun</w:t>
      </w:r>
      <w:r w:rsidR="00A954D0">
        <w:rPr>
          <w:rFonts w:ascii="Bookman Old Style" w:hAnsi="Bookman Old Style"/>
          <w:sz w:val="24"/>
          <w:szCs w:val="24"/>
        </w:rPr>
        <w:t xml:space="preserve"> </w:t>
      </w:r>
      <w:r w:rsidRPr="00170D03">
        <w:rPr>
          <w:rFonts w:ascii="Bookman Old Style" w:hAnsi="Bookman Old Style"/>
          <w:sz w:val="24"/>
          <w:szCs w:val="24"/>
        </w:rPr>
        <w:t>2014</w:t>
      </w:r>
      <w:r w:rsidR="00A954D0">
        <w:rPr>
          <w:rFonts w:ascii="Bookman Old Style" w:hAnsi="Bookman Old Style"/>
          <w:sz w:val="24"/>
          <w:szCs w:val="24"/>
        </w:rPr>
        <w:t xml:space="preserve"> </w:t>
      </w:r>
      <w:r w:rsidRPr="00170D03">
        <w:rPr>
          <w:rFonts w:ascii="Bookman Old Style" w:hAnsi="Bookman Old Style"/>
          <w:sz w:val="24"/>
          <w:szCs w:val="24"/>
          <w:lang w:val="id-ID"/>
        </w:rPr>
        <w:t>tentang</w:t>
      </w:r>
      <w:r w:rsidR="00A954D0">
        <w:rPr>
          <w:rFonts w:ascii="Bookman Old Style" w:hAnsi="Bookman Old Style"/>
          <w:sz w:val="24"/>
          <w:szCs w:val="24"/>
          <w:lang w:val="id-ID"/>
        </w:rPr>
        <w:t xml:space="preserve"> </w:t>
      </w:r>
      <w:r w:rsidRPr="00170D03">
        <w:rPr>
          <w:rFonts w:ascii="Bookman Old Style" w:hAnsi="Bookman Old Style"/>
          <w:sz w:val="24"/>
          <w:szCs w:val="24"/>
        </w:rPr>
        <w:t>Pengelolaan</w:t>
      </w:r>
      <w:r w:rsidR="00A954D0">
        <w:rPr>
          <w:rFonts w:ascii="Bookman Old Style" w:hAnsi="Bookman Old Style"/>
          <w:sz w:val="24"/>
          <w:szCs w:val="24"/>
        </w:rPr>
        <w:t xml:space="preserve"> </w:t>
      </w:r>
      <w:r w:rsidRPr="00170D03">
        <w:rPr>
          <w:rFonts w:ascii="Bookman Old Style" w:hAnsi="Bookman Old Style"/>
          <w:sz w:val="24"/>
          <w:szCs w:val="24"/>
        </w:rPr>
        <w:t>Barang</w:t>
      </w:r>
      <w:r w:rsidR="00A954D0">
        <w:rPr>
          <w:rFonts w:ascii="Bookman Old Style" w:hAnsi="Bookman Old Style"/>
          <w:sz w:val="24"/>
          <w:szCs w:val="24"/>
        </w:rPr>
        <w:t xml:space="preserve"> </w:t>
      </w:r>
      <w:r w:rsidRPr="00170D03">
        <w:rPr>
          <w:rFonts w:ascii="Bookman Old Style" w:hAnsi="Bookman Old Style"/>
          <w:sz w:val="24"/>
          <w:szCs w:val="24"/>
        </w:rPr>
        <w:t>Milik</w:t>
      </w:r>
      <w:r w:rsidR="00A954D0">
        <w:rPr>
          <w:rFonts w:ascii="Bookman Old Style" w:hAnsi="Bookman Old Style"/>
          <w:sz w:val="24"/>
          <w:szCs w:val="24"/>
        </w:rPr>
        <w:t xml:space="preserve"> </w:t>
      </w:r>
      <w:r w:rsidRPr="00170D03">
        <w:rPr>
          <w:rFonts w:ascii="Bookman Old Style" w:hAnsi="Bookman Old Style"/>
          <w:sz w:val="24"/>
          <w:szCs w:val="24"/>
        </w:rPr>
        <w:t>Negara/Daerah,</w:t>
      </w:r>
      <w:r w:rsidR="00A954D0">
        <w:rPr>
          <w:rFonts w:ascii="Bookman Old Style" w:hAnsi="Bookman Old Style"/>
          <w:sz w:val="24"/>
          <w:szCs w:val="24"/>
        </w:rPr>
        <w:t xml:space="preserve"> </w:t>
      </w:r>
      <w:r w:rsidRPr="00170D03">
        <w:rPr>
          <w:rFonts w:ascii="Bookman Old Style" w:hAnsi="Bookman Old Style"/>
          <w:sz w:val="24"/>
          <w:szCs w:val="24"/>
        </w:rPr>
        <w:t>Pasal</w:t>
      </w:r>
      <w:r w:rsidR="00A954D0">
        <w:rPr>
          <w:rFonts w:ascii="Bookman Old Style" w:hAnsi="Bookman Old Style"/>
          <w:sz w:val="24"/>
          <w:szCs w:val="24"/>
        </w:rPr>
        <w:t xml:space="preserve"> </w:t>
      </w:r>
      <w:r w:rsidRPr="00170D03">
        <w:rPr>
          <w:rFonts w:ascii="Bookman Old Style" w:hAnsi="Bookman Old Style"/>
          <w:sz w:val="24"/>
          <w:szCs w:val="24"/>
        </w:rPr>
        <w:t>24</w:t>
      </w:r>
      <w:r w:rsidR="00A954D0">
        <w:rPr>
          <w:rFonts w:ascii="Bookman Old Style" w:hAnsi="Bookman Old Style"/>
          <w:sz w:val="24"/>
          <w:szCs w:val="24"/>
        </w:rPr>
        <w:t xml:space="preserve"> </w:t>
      </w:r>
      <w:r w:rsidRPr="00170D03">
        <w:rPr>
          <w:rFonts w:ascii="Bookman Old Style" w:hAnsi="Bookman Old Style"/>
          <w:sz w:val="24"/>
          <w:szCs w:val="24"/>
        </w:rPr>
        <w:t>ayat</w:t>
      </w:r>
      <w:r w:rsidR="00A954D0">
        <w:rPr>
          <w:rFonts w:ascii="Bookman Old Style" w:hAnsi="Bookman Old Style"/>
          <w:sz w:val="24"/>
          <w:szCs w:val="24"/>
        </w:rPr>
        <w:t xml:space="preserve"> </w:t>
      </w:r>
      <w:r w:rsidRPr="00170D03">
        <w:rPr>
          <w:rFonts w:ascii="Bookman Old Style" w:hAnsi="Bookman Old Style"/>
          <w:sz w:val="24"/>
          <w:szCs w:val="24"/>
        </w:rPr>
        <w:t>(4)</w:t>
      </w:r>
      <w:r w:rsidR="00A954D0">
        <w:rPr>
          <w:rFonts w:ascii="Bookman Old Style" w:hAnsi="Bookman Old Style"/>
          <w:sz w:val="24"/>
          <w:szCs w:val="24"/>
        </w:rPr>
        <w:t xml:space="preserve"> </w:t>
      </w:r>
      <w:r w:rsidRPr="00170D03">
        <w:rPr>
          <w:rFonts w:ascii="Bookman Old Style" w:hAnsi="Bookman Old Style"/>
          <w:sz w:val="24"/>
          <w:szCs w:val="24"/>
        </w:rPr>
        <w:t>dan</w:t>
      </w:r>
      <w:r w:rsidR="00A954D0">
        <w:rPr>
          <w:rFonts w:ascii="Bookman Old Style" w:hAnsi="Bookman Old Style"/>
          <w:sz w:val="24"/>
          <w:szCs w:val="24"/>
        </w:rPr>
        <w:t xml:space="preserve"> </w:t>
      </w:r>
      <w:r w:rsidRPr="00170D03">
        <w:rPr>
          <w:rFonts w:ascii="Bookman Old Style" w:hAnsi="Bookman Old Style"/>
          <w:sz w:val="24"/>
          <w:szCs w:val="24"/>
        </w:rPr>
        <w:t>Pasal</w:t>
      </w:r>
      <w:r w:rsidR="00A954D0">
        <w:rPr>
          <w:rFonts w:ascii="Bookman Old Style" w:hAnsi="Bookman Old Style"/>
          <w:sz w:val="24"/>
          <w:szCs w:val="24"/>
        </w:rPr>
        <w:t xml:space="preserve"> </w:t>
      </w:r>
      <w:r w:rsidRPr="00170D03">
        <w:rPr>
          <w:rFonts w:ascii="Bookman Old Style" w:hAnsi="Bookman Old Style"/>
          <w:sz w:val="24"/>
          <w:szCs w:val="24"/>
        </w:rPr>
        <w:t>31</w:t>
      </w:r>
      <w:r w:rsidR="00A954D0">
        <w:rPr>
          <w:rFonts w:ascii="Bookman Old Style" w:hAnsi="Bookman Old Style"/>
          <w:sz w:val="24"/>
          <w:szCs w:val="24"/>
        </w:rPr>
        <w:t xml:space="preserve"> </w:t>
      </w:r>
      <w:r w:rsidRPr="00170D03">
        <w:rPr>
          <w:rFonts w:ascii="Bookman Old Style" w:hAnsi="Bookman Old Style"/>
          <w:sz w:val="24"/>
          <w:szCs w:val="24"/>
        </w:rPr>
        <w:t>ayat</w:t>
      </w:r>
      <w:r w:rsidR="00A954D0">
        <w:rPr>
          <w:rFonts w:ascii="Bookman Old Style" w:hAnsi="Bookman Old Style"/>
          <w:sz w:val="24"/>
          <w:szCs w:val="24"/>
        </w:rPr>
        <w:t xml:space="preserve"> </w:t>
      </w:r>
      <w:r w:rsidRPr="00170D03">
        <w:rPr>
          <w:rFonts w:ascii="Bookman Old Style" w:hAnsi="Bookman Old Style"/>
          <w:sz w:val="24"/>
          <w:szCs w:val="24"/>
        </w:rPr>
        <w:t>(4)</w:t>
      </w:r>
      <w:r w:rsidR="00A954D0">
        <w:rPr>
          <w:rFonts w:ascii="Bookman Old Style" w:hAnsi="Bookman Old Style"/>
          <w:sz w:val="24"/>
          <w:szCs w:val="24"/>
        </w:rPr>
        <w:t xml:space="preserve"> </w:t>
      </w:r>
      <w:r w:rsidRPr="00170D03">
        <w:rPr>
          <w:rFonts w:ascii="Bookman Old Style" w:hAnsi="Bookman Old Style"/>
          <w:sz w:val="24"/>
          <w:szCs w:val="24"/>
        </w:rPr>
        <w:t>huruf</w:t>
      </w:r>
      <w:r w:rsidR="00A954D0">
        <w:rPr>
          <w:rFonts w:ascii="Bookman Old Style" w:hAnsi="Bookman Old Style"/>
          <w:sz w:val="24"/>
          <w:szCs w:val="24"/>
        </w:rPr>
        <w:t xml:space="preserve"> </w:t>
      </w:r>
      <w:r w:rsidRPr="00170D03">
        <w:rPr>
          <w:rFonts w:ascii="Bookman Old Style" w:hAnsi="Bookman Old Style"/>
          <w:sz w:val="24"/>
          <w:szCs w:val="24"/>
          <w:lang w:val="id-ID"/>
        </w:rPr>
        <w:t>a</w:t>
      </w:r>
      <w:r w:rsidR="00A954D0">
        <w:rPr>
          <w:rFonts w:ascii="Bookman Old Style" w:hAnsi="Bookman Old Style"/>
          <w:sz w:val="24"/>
          <w:szCs w:val="24"/>
        </w:rPr>
        <w:t xml:space="preserve"> </w:t>
      </w:r>
      <w:r w:rsidRPr="00170D03">
        <w:rPr>
          <w:rFonts w:ascii="Bookman Old Style" w:hAnsi="Bookman Old Style"/>
          <w:sz w:val="24"/>
          <w:szCs w:val="24"/>
        </w:rPr>
        <w:t>Peraturan</w:t>
      </w:r>
      <w:r w:rsidR="00A954D0">
        <w:rPr>
          <w:rFonts w:ascii="Bookman Old Style" w:hAnsi="Bookman Old Style"/>
          <w:sz w:val="24"/>
          <w:szCs w:val="24"/>
        </w:rPr>
        <w:t xml:space="preserve"> </w:t>
      </w:r>
      <w:r w:rsidRPr="00170D03">
        <w:rPr>
          <w:rFonts w:ascii="Bookman Old Style" w:hAnsi="Bookman Old Style"/>
          <w:sz w:val="24"/>
          <w:szCs w:val="24"/>
        </w:rPr>
        <w:t>Pemerintah</w:t>
      </w:r>
      <w:r w:rsidR="00A954D0">
        <w:rPr>
          <w:rFonts w:ascii="Bookman Old Style" w:hAnsi="Bookman Old Style"/>
          <w:sz w:val="24"/>
          <w:szCs w:val="24"/>
        </w:rPr>
        <w:t xml:space="preserve"> </w:t>
      </w:r>
      <w:r w:rsidRPr="00170D03">
        <w:rPr>
          <w:rFonts w:ascii="Bookman Old Style" w:hAnsi="Bookman Old Style"/>
          <w:sz w:val="24"/>
          <w:szCs w:val="24"/>
        </w:rPr>
        <w:t>Nomor</w:t>
      </w:r>
      <w:r w:rsidR="00A954D0">
        <w:rPr>
          <w:rFonts w:ascii="Bookman Old Style" w:hAnsi="Bookman Old Style"/>
          <w:sz w:val="24"/>
          <w:szCs w:val="24"/>
        </w:rPr>
        <w:t xml:space="preserve"> </w:t>
      </w:r>
      <w:r w:rsidRPr="00170D03">
        <w:rPr>
          <w:rFonts w:ascii="Bookman Old Style" w:hAnsi="Bookman Old Style"/>
          <w:sz w:val="24"/>
          <w:szCs w:val="24"/>
        </w:rPr>
        <w:t>12</w:t>
      </w:r>
      <w:r w:rsidR="00A954D0">
        <w:rPr>
          <w:rFonts w:ascii="Bookman Old Style" w:hAnsi="Bookman Old Style"/>
          <w:sz w:val="24"/>
          <w:szCs w:val="24"/>
        </w:rPr>
        <w:t xml:space="preserve"> </w:t>
      </w:r>
      <w:r w:rsidRPr="00170D03">
        <w:rPr>
          <w:rFonts w:ascii="Bookman Old Style" w:hAnsi="Bookman Old Style"/>
          <w:sz w:val="24"/>
          <w:szCs w:val="24"/>
        </w:rPr>
        <w:t>Tahun</w:t>
      </w:r>
      <w:r w:rsidR="00A954D0">
        <w:rPr>
          <w:rFonts w:ascii="Bookman Old Style" w:hAnsi="Bookman Old Style"/>
          <w:sz w:val="24"/>
          <w:szCs w:val="24"/>
        </w:rPr>
        <w:t xml:space="preserve"> </w:t>
      </w:r>
      <w:r w:rsidRPr="00170D03">
        <w:rPr>
          <w:rFonts w:ascii="Bookman Old Style" w:hAnsi="Bookman Old Style"/>
          <w:sz w:val="24"/>
          <w:szCs w:val="24"/>
        </w:rPr>
        <w:t>2019,</w:t>
      </w:r>
      <w:r w:rsidR="00A954D0">
        <w:rPr>
          <w:rFonts w:ascii="Bookman Old Style" w:hAnsi="Bookman Old Style"/>
          <w:sz w:val="24"/>
          <w:szCs w:val="24"/>
        </w:rPr>
        <w:t xml:space="preserve"> </w:t>
      </w:r>
      <w:r w:rsidRPr="00170D03">
        <w:rPr>
          <w:rFonts w:ascii="Bookman Old Style" w:hAnsi="Bookman Old Style"/>
          <w:sz w:val="24"/>
          <w:szCs w:val="24"/>
        </w:rPr>
        <w:t>Peraturan</w:t>
      </w:r>
      <w:r w:rsidR="00A954D0">
        <w:rPr>
          <w:rFonts w:ascii="Bookman Old Style" w:hAnsi="Bookman Old Style"/>
          <w:sz w:val="24"/>
          <w:szCs w:val="24"/>
        </w:rPr>
        <w:t xml:space="preserve"> </w:t>
      </w:r>
      <w:r w:rsidRPr="00170D03">
        <w:rPr>
          <w:rFonts w:ascii="Bookman Old Style" w:hAnsi="Bookman Old Style"/>
          <w:sz w:val="24"/>
          <w:szCs w:val="24"/>
        </w:rPr>
        <w:t>Menteri</w:t>
      </w:r>
      <w:r w:rsidR="00A954D0">
        <w:rPr>
          <w:rFonts w:ascii="Bookman Old Style" w:hAnsi="Bookman Old Style"/>
          <w:sz w:val="24"/>
          <w:szCs w:val="24"/>
        </w:rPr>
        <w:t xml:space="preserve"> </w:t>
      </w:r>
      <w:r w:rsidRPr="00170D03">
        <w:rPr>
          <w:rFonts w:ascii="Bookman Old Style" w:hAnsi="Bookman Old Style"/>
          <w:sz w:val="24"/>
          <w:szCs w:val="24"/>
        </w:rPr>
        <w:t>Dalam</w:t>
      </w:r>
      <w:r w:rsidR="00A954D0">
        <w:rPr>
          <w:rFonts w:ascii="Bookman Old Style" w:hAnsi="Bookman Old Style"/>
          <w:sz w:val="24"/>
          <w:szCs w:val="24"/>
        </w:rPr>
        <w:t xml:space="preserve"> </w:t>
      </w:r>
      <w:r w:rsidRPr="00170D03">
        <w:rPr>
          <w:rFonts w:ascii="Bookman Old Style" w:hAnsi="Bookman Old Style"/>
          <w:sz w:val="24"/>
          <w:szCs w:val="24"/>
        </w:rPr>
        <w:t>Negeri</w:t>
      </w:r>
      <w:r w:rsidR="00A954D0">
        <w:rPr>
          <w:rFonts w:ascii="Bookman Old Style" w:hAnsi="Bookman Old Style"/>
          <w:sz w:val="24"/>
          <w:szCs w:val="24"/>
        </w:rPr>
        <w:t xml:space="preserve"> </w:t>
      </w:r>
      <w:r w:rsidRPr="00170D03">
        <w:rPr>
          <w:rFonts w:ascii="Bookman Old Style" w:hAnsi="Bookman Old Style"/>
          <w:sz w:val="24"/>
          <w:szCs w:val="24"/>
        </w:rPr>
        <w:t>Nomor</w:t>
      </w:r>
      <w:r w:rsidR="00A954D0">
        <w:rPr>
          <w:rFonts w:ascii="Bookman Old Style" w:hAnsi="Bookman Old Style"/>
          <w:sz w:val="24"/>
          <w:szCs w:val="24"/>
        </w:rPr>
        <w:t xml:space="preserve"> </w:t>
      </w:r>
      <w:r w:rsidRPr="00170D03">
        <w:rPr>
          <w:rFonts w:ascii="Bookman Old Style" w:hAnsi="Bookman Old Style"/>
          <w:sz w:val="24"/>
          <w:szCs w:val="24"/>
        </w:rPr>
        <w:t>19</w:t>
      </w:r>
      <w:r w:rsidR="00A954D0">
        <w:rPr>
          <w:rFonts w:ascii="Bookman Old Style" w:hAnsi="Bookman Old Style"/>
          <w:sz w:val="24"/>
          <w:szCs w:val="24"/>
        </w:rPr>
        <w:t xml:space="preserve"> </w:t>
      </w:r>
      <w:r w:rsidRPr="00170D03">
        <w:rPr>
          <w:rFonts w:ascii="Bookman Old Style" w:hAnsi="Bookman Old Style"/>
          <w:sz w:val="24"/>
          <w:szCs w:val="24"/>
        </w:rPr>
        <w:t>Tahun</w:t>
      </w:r>
      <w:r w:rsidR="00A954D0">
        <w:rPr>
          <w:rFonts w:ascii="Bookman Old Style" w:hAnsi="Bookman Old Style"/>
          <w:sz w:val="24"/>
          <w:szCs w:val="24"/>
        </w:rPr>
        <w:t xml:space="preserve"> </w:t>
      </w:r>
      <w:r w:rsidRPr="00170D03">
        <w:rPr>
          <w:rFonts w:ascii="Bookman Old Style" w:hAnsi="Bookman Old Style"/>
          <w:sz w:val="24"/>
          <w:szCs w:val="24"/>
        </w:rPr>
        <w:t>2016</w:t>
      </w:r>
      <w:r w:rsidR="00A954D0">
        <w:rPr>
          <w:rFonts w:ascii="Bookman Old Style" w:hAnsi="Bookman Old Style"/>
          <w:sz w:val="24"/>
          <w:szCs w:val="24"/>
        </w:rPr>
        <w:t xml:space="preserve"> </w:t>
      </w:r>
      <w:r w:rsidRPr="00170D03">
        <w:rPr>
          <w:rFonts w:ascii="Bookman Old Style" w:hAnsi="Bookman Old Style"/>
          <w:sz w:val="24"/>
          <w:szCs w:val="24"/>
        </w:rPr>
        <w:t>tentang</w:t>
      </w:r>
      <w:r w:rsidR="00A954D0">
        <w:rPr>
          <w:rFonts w:ascii="Bookman Old Style" w:hAnsi="Bookman Old Style"/>
          <w:sz w:val="24"/>
          <w:szCs w:val="24"/>
        </w:rPr>
        <w:t xml:space="preserve"> </w:t>
      </w:r>
      <w:r w:rsidRPr="00170D03">
        <w:rPr>
          <w:rFonts w:ascii="Bookman Old Style" w:hAnsi="Bookman Old Style"/>
          <w:sz w:val="24"/>
          <w:szCs w:val="24"/>
        </w:rPr>
        <w:t>Pedoman</w:t>
      </w:r>
      <w:r w:rsidR="00A954D0">
        <w:rPr>
          <w:rFonts w:ascii="Bookman Old Style" w:hAnsi="Bookman Old Style"/>
          <w:sz w:val="24"/>
          <w:szCs w:val="24"/>
        </w:rPr>
        <w:t xml:space="preserve"> </w:t>
      </w:r>
      <w:r w:rsidRPr="00170D03">
        <w:rPr>
          <w:rFonts w:ascii="Bookman Old Style" w:hAnsi="Bookman Old Style"/>
          <w:sz w:val="24"/>
          <w:szCs w:val="24"/>
        </w:rPr>
        <w:t>Pengelolaan</w:t>
      </w:r>
      <w:r w:rsidR="00A954D0">
        <w:rPr>
          <w:rFonts w:ascii="Bookman Old Style" w:hAnsi="Bookman Old Style"/>
          <w:sz w:val="24"/>
          <w:szCs w:val="24"/>
        </w:rPr>
        <w:t xml:space="preserve"> </w:t>
      </w:r>
      <w:r w:rsidRPr="00170D03">
        <w:rPr>
          <w:rFonts w:ascii="Bookman Old Style" w:hAnsi="Bookman Old Style"/>
          <w:sz w:val="24"/>
          <w:szCs w:val="24"/>
        </w:rPr>
        <w:t>Barang</w:t>
      </w:r>
      <w:r w:rsidR="00A954D0">
        <w:rPr>
          <w:rFonts w:ascii="Bookman Old Style" w:hAnsi="Bookman Old Style"/>
          <w:sz w:val="24"/>
          <w:szCs w:val="24"/>
        </w:rPr>
        <w:t xml:space="preserve"> </w:t>
      </w:r>
      <w:r w:rsidRPr="00170D03">
        <w:rPr>
          <w:rFonts w:ascii="Bookman Old Style" w:hAnsi="Bookman Old Style"/>
          <w:sz w:val="24"/>
          <w:szCs w:val="24"/>
        </w:rPr>
        <w:t>Milik</w:t>
      </w:r>
      <w:r w:rsidR="00A954D0">
        <w:rPr>
          <w:rFonts w:ascii="Bookman Old Style" w:hAnsi="Bookman Old Style"/>
          <w:sz w:val="24"/>
          <w:szCs w:val="24"/>
        </w:rPr>
        <w:t xml:space="preserve"> </w:t>
      </w:r>
      <w:r w:rsidRPr="00170D03">
        <w:rPr>
          <w:rFonts w:ascii="Bookman Old Style" w:hAnsi="Bookman Old Style"/>
          <w:sz w:val="24"/>
          <w:szCs w:val="24"/>
        </w:rPr>
        <w:t>Daerah</w:t>
      </w:r>
      <w:r w:rsidR="00B16310" w:rsidRPr="00B16310">
        <w:rPr>
          <w:rFonts w:ascii="Bookman Old Style" w:hAnsi="Bookman Old Style"/>
          <w:sz w:val="24"/>
          <w:szCs w:val="24"/>
          <w:lang w:val="sv-FI"/>
        </w:rPr>
        <w:t>;</w:t>
      </w:r>
    </w:p>
    <w:p w14:paraId="674BBE82" w14:textId="5C172802" w:rsidR="001F194E" w:rsidRPr="00B010C4" w:rsidRDefault="001F194E" w:rsidP="00B16310">
      <w:pPr>
        <w:pStyle w:val="ListParagraph"/>
        <w:numPr>
          <w:ilvl w:val="0"/>
          <w:numId w:val="10"/>
        </w:numPr>
        <w:spacing w:before="60" w:after="0" w:line="276" w:lineRule="auto"/>
        <w:ind w:left="2268" w:hanging="567"/>
        <w:contextualSpacing w:val="0"/>
        <w:jc w:val="both"/>
        <w:rPr>
          <w:rFonts w:ascii="Bookman Old Style" w:hAnsi="Bookman Old Style"/>
          <w:color w:val="000000" w:themeColor="text1"/>
          <w:sz w:val="24"/>
          <w:szCs w:val="24"/>
        </w:rPr>
      </w:pPr>
      <w:r w:rsidRPr="00B010C4">
        <w:rPr>
          <w:rFonts w:ascii="Bookman Old Style" w:hAnsi="Bookman Old Style"/>
          <w:color w:val="000000" w:themeColor="text1"/>
          <w:sz w:val="24"/>
          <w:szCs w:val="24"/>
        </w:rPr>
        <w:t>Hasil</w:t>
      </w:r>
      <w:r w:rsidR="00A954D0">
        <w:rPr>
          <w:rFonts w:ascii="Bookman Old Style" w:hAnsi="Bookman Old Style"/>
          <w:color w:val="000000" w:themeColor="text1"/>
          <w:sz w:val="24"/>
          <w:szCs w:val="24"/>
        </w:rPr>
        <w:t xml:space="preserve"> </w:t>
      </w:r>
      <w:r w:rsidRPr="00B010C4">
        <w:rPr>
          <w:rFonts w:ascii="Bookman Old Style" w:hAnsi="Bookman Old Style"/>
          <w:color w:val="000000" w:themeColor="text1"/>
          <w:sz w:val="24"/>
          <w:szCs w:val="24"/>
        </w:rPr>
        <w:t>Pemanfaatan</w:t>
      </w:r>
      <w:r w:rsidR="00A954D0">
        <w:rPr>
          <w:rFonts w:ascii="Bookman Old Style" w:hAnsi="Bookman Old Style"/>
          <w:color w:val="000000" w:themeColor="text1"/>
          <w:sz w:val="24"/>
          <w:szCs w:val="24"/>
        </w:rPr>
        <w:t xml:space="preserve"> </w:t>
      </w:r>
      <w:r w:rsidRPr="00B010C4">
        <w:rPr>
          <w:rFonts w:ascii="Bookman Old Style" w:hAnsi="Bookman Old Style"/>
          <w:color w:val="000000" w:themeColor="text1"/>
          <w:sz w:val="24"/>
          <w:szCs w:val="24"/>
        </w:rPr>
        <w:t>BMD</w:t>
      </w:r>
      <w:r w:rsidR="00A954D0">
        <w:rPr>
          <w:rFonts w:ascii="Bookman Old Style" w:hAnsi="Bookman Old Style"/>
          <w:color w:val="000000" w:themeColor="text1"/>
          <w:sz w:val="24"/>
          <w:szCs w:val="24"/>
        </w:rPr>
        <w:t xml:space="preserve"> </w:t>
      </w:r>
      <w:r w:rsidRPr="00B010C4">
        <w:rPr>
          <w:rFonts w:ascii="Bookman Old Style" w:hAnsi="Bookman Old Style"/>
          <w:color w:val="000000" w:themeColor="text1"/>
          <w:sz w:val="24"/>
          <w:szCs w:val="24"/>
        </w:rPr>
        <w:t>yang</w:t>
      </w:r>
      <w:r w:rsidR="00A954D0">
        <w:rPr>
          <w:rFonts w:ascii="Bookman Old Style" w:hAnsi="Bookman Old Style"/>
          <w:color w:val="000000" w:themeColor="text1"/>
          <w:sz w:val="24"/>
          <w:szCs w:val="24"/>
        </w:rPr>
        <w:t xml:space="preserve"> </w:t>
      </w:r>
      <w:r w:rsidRPr="00B010C4">
        <w:rPr>
          <w:rFonts w:ascii="Bookman Old Style" w:hAnsi="Bookman Old Style"/>
          <w:color w:val="000000" w:themeColor="text1"/>
          <w:sz w:val="24"/>
          <w:szCs w:val="24"/>
        </w:rPr>
        <w:t>Tidak</w:t>
      </w:r>
      <w:r w:rsidR="00A954D0">
        <w:rPr>
          <w:rFonts w:ascii="Bookman Old Style" w:hAnsi="Bookman Old Style"/>
          <w:color w:val="000000" w:themeColor="text1"/>
          <w:sz w:val="24"/>
          <w:szCs w:val="24"/>
        </w:rPr>
        <w:t xml:space="preserve"> </w:t>
      </w:r>
      <w:r w:rsidRPr="00B010C4">
        <w:rPr>
          <w:rFonts w:ascii="Bookman Old Style" w:hAnsi="Bookman Old Style"/>
          <w:color w:val="000000" w:themeColor="text1"/>
          <w:sz w:val="24"/>
          <w:szCs w:val="24"/>
        </w:rPr>
        <w:t>Dipisahkan</w:t>
      </w:r>
      <w:r w:rsidR="00A954D0">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Rp</w:t>
      </w:r>
      <w:r w:rsidRPr="00A50691">
        <w:rPr>
          <w:rFonts w:ascii="Bookman Old Style" w:hAnsi="Bookman Old Style"/>
          <w:color w:val="000000" w:themeColor="text1"/>
          <w:sz w:val="24"/>
          <w:szCs w:val="24"/>
        </w:rPr>
        <w:t>1.300.000.000,00</w:t>
      </w:r>
      <w:r w:rsidR="00A954D0">
        <w:rPr>
          <w:rFonts w:ascii="Bookman Old Style" w:hAnsi="Bookman Old Style"/>
          <w:color w:val="000000" w:themeColor="text1"/>
          <w:sz w:val="24"/>
          <w:szCs w:val="24"/>
        </w:rPr>
        <w:t xml:space="preserve"> </w:t>
      </w:r>
      <w:r w:rsidRPr="00170D03">
        <w:rPr>
          <w:rFonts w:ascii="Bookman Old Style" w:hAnsi="Bookman Old Style"/>
          <w:sz w:val="24"/>
          <w:szCs w:val="24"/>
        </w:rPr>
        <w:t>atau</w:t>
      </w:r>
      <w:r w:rsidR="00A954D0">
        <w:rPr>
          <w:rFonts w:ascii="Bookman Old Style" w:hAnsi="Bookman Old Style"/>
          <w:sz w:val="24"/>
          <w:szCs w:val="24"/>
        </w:rPr>
        <w:t xml:space="preserve"> </w:t>
      </w:r>
      <w:r w:rsidRPr="00170D03">
        <w:rPr>
          <w:rFonts w:ascii="Bookman Old Style" w:hAnsi="Bookman Old Style"/>
          <w:sz w:val="24"/>
          <w:szCs w:val="24"/>
        </w:rPr>
        <w:t>0,0</w:t>
      </w:r>
      <w:r>
        <w:rPr>
          <w:rFonts w:ascii="Bookman Old Style" w:hAnsi="Bookman Old Style"/>
          <w:sz w:val="24"/>
          <w:szCs w:val="24"/>
        </w:rPr>
        <w:t>2</w:t>
      </w:r>
      <w:r w:rsidRPr="00170D03">
        <w:rPr>
          <w:rFonts w:ascii="Bookman Old Style" w:hAnsi="Bookman Old Style"/>
          <w:sz w:val="24"/>
          <w:szCs w:val="24"/>
        </w:rPr>
        <w:t>%</w:t>
      </w:r>
      <w:r w:rsidR="00A954D0">
        <w:rPr>
          <w:rFonts w:ascii="Bookman Old Style" w:hAnsi="Bookman Old Style"/>
          <w:sz w:val="24"/>
          <w:szCs w:val="24"/>
        </w:rPr>
        <w:t xml:space="preserve"> </w:t>
      </w:r>
      <w:r w:rsidRPr="00170D03">
        <w:rPr>
          <w:rFonts w:ascii="Bookman Old Style" w:hAnsi="Bookman Old Style"/>
          <w:sz w:val="24"/>
          <w:szCs w:val="24"/>
        </w:rPr>
        <w:t>dari</w:t>
      </w:r>
      <w:r w:rsidR="00A954D0">
        <w:rPr>
          <w:rFonts w:ascii="Bookman Old Style" w:hAnsi="Bookman Old Style"/>
          <w:sz w:val="24"/>
          <w:szCs w:val="24"/>
        </w:rPr>
        <w:t xml:space="preserve"> </w:t>
      </w:r>
      <w:r w:rsidRPr="00170D03">
        <w:rPr>
          <w:rFonts w:ascii="Bookman Old Style" w:hAnsi="Bookman Old Style"/>
          <w:sz w:val="24"/>
          <w:szCs w:val="24"/>
        </w:rPr>
        <w:t>total</w:t>
      </w:r>
      <w:r w:rsidR="00A954D0">
        <w:rPr>
          <w:rFonts w:ascii="Bookman Old Style" w:hAnsi="Bookman Old Style"/>
          <w:sz w:val="24"/>
          <w:szCs w:val="24"/>
        </w:rPr>
        <w:t xml:space="preserve"> </w:t>
      </w:r>
      <w:r w:rsidRPr="00170D03">
        <w:rPr>
          <w:rFonts w:ascii="Bookman Old Style" w:hAnsi="Bookman Old Style"/>
          <w:sz w:val="24"/>
          <w:szCs w:val="24"/>
        </w:rPr>
        <w:t>pendapatan</w:t>
      </w:r>
      <w:r w:rsidR="00A954D0">
        <w:rPr>
          <w:rFonts w:ascii="Bookman Old Style" w:hAnsi="Bookman Old Style"/>
          <w:sz w:val="24"/>
          <w:szCs w:val="24"/>
        </w:rPr>
        <w:t xml:space="preserve"> </w:t>
      </w:r>
      <w:r w:rsidRPr="00170D03">
        <w:rPr>
          <w:rFonts w:ascii="Bookman Old Style" w:hAnsi="Bookman Old Style"/>
          <w:sz w:val="24"/>
          <w:szCs w:val="24"/>
        </w:rPr>
        <w:t>daerah</w:t>
      </w:r>
      <w:r w:rsidR="00A954D0">
        <w:rPr>
          <w:rFonts w:ascii="Bookman Old Style" w:hAnsi="Bookman Old Style" w:cs="Arial"/>
          <w:sz w:val="24"/>
          <w:szCs w:val="24"/>
        </w:rPr>
        <w:t xml:space="preserve"> </w:t>
      </w:r>
      <w:r w:rsidRPr="00170D03">
        <w:rPr>
          <w:rFonts w:ascii="Bookman Old Style" w:hAnsi="Bookman Old Style" w:cs="Arial"/>
          <w:sz w:val="24"/>
          <w:szCs w:val="24"/>
        </w:rPr>
        <w:t>dalam</w:t>
      </w:r>
      <w:r w:rsidR="00A954D0">
        <w:rPr>
          <w:rFonts w:ascii="Bookman Old Style" w:hAnsi="Bookman Old Style" w:cs="Arial"/>
          <w:sz w:val="24"/>
          <w:szCs w:val="24"/>
        </w:rPr>
        <w:t xml:space="preserve"> </w:t>
      </w:r>
      <w:r w:rsidRPr="00170D03">
        <w:rPr>
          <w:rFonts w:ascii="Bookman Old Style" w:hAnsi="Bookman Old Style" w:cs="Arial"/>
          <w:sz w:val="24"/>
          <w:szCs w:val="24"/>
        </w:rPr>
        <w:t>Rancangan</w:t>
      </w:r>
      <w:r w:rsidR="00A954D0">
        <w:rPr>
          <w:rFonts w:ascii="Bookman Old Style" w:hAnsi="Bookman Old Style" w:cs="Arial"/>
          <w:sz w:val="24"/>
          <w:szCs w:val="24"/>
        </w:rPr>
        <w:t xml:space="preserve"> </w:t>
      </w:r>
      <w:r w:rsidRPr="00170D03">
        <w:rPr>
          <w:rFonts w:ascii="Bookman Old Style" w:hAnsi="Bookman Old Style" w:cs="Arial"/>
          <w:sz w:val="24"/>
          <w:szCs w:val="24"/>
        </w:rPr>
        <w:t>Peraturan</w:t>
      </w:r>
      <w:r w:rsidR="00A954D0">
        <w:rPr>
          <w:rFonts w:ascii="Bookman Old Style" w:hAnsi="Bookman Old Style" w:cs="Arial"/>
          <w:sz w:val="24"/>
          <w:szCs w:val="24"/>
        </w:rPr>
        <w:t xml:space="preserve"> </w:t>
      </w:r>
      <w:r w:rsidRPr="00170D03">
        <w:rPr>
          <w:rFonts w:ascii="Bookman Old Style" w:hAnsi="Bookman Old Style" w:cs="Arial"/>
          <w:sz w:val="24"/>
          <w:szCs w:val="24"/>
        </w:rPr>
        <w:t>Daerah</w:t>
      </w:r>
      <w:r w:rsidR="00A954D0">
        <w:rPr>
          <w:rFonts w:ascii="Bookman Old Style" w:hAnsi="Bookman Old Style" w:cs="Arial"/>
          <w:sz w:val="24"/>
          <w:szCs w:val="24"/>
        </w:rPr>
        <w:t xml:space="preserve"> </w:t>
      </w:r>
      <w:r w:rsidRPr="003255BC">
        <w:rPr>
          <w:rFonts w:ascii="Bookman Old Style" w:hAnsi="Bookman Old Style"/>
          <w:sz w:val="24"/>
          <w:szCs w:val="24"/>
          <w:lang w:val="sv-FI"/>
        </w:rPr>
        <w:t>Kota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Tangerang</w:t>
      </w:r>
      <w:r w:rsidR="00A954D0" w:rsidRPr="003255BC">
        <w:rPr>
          <w:rFonts w:ascii="Bookman Old Style" w:hAnsi="Bookman Old Style"/>
          <w:sz w:val="24"/>
          <w:szCs w:val="24"/>
          <w:lang w:val="sv-FI"/>
        </w:rPr>
        <w:t xml:space="preserve"> </w:t>
      </w:r>
      <w:r w:rsidRPr="00170D03">
        <w:rPr>
          <w:rFonts w:ascii="Bookman Old Style" w:hAnsi="Bookman Old Style" w:cs="Arial"/>
          <w:sz w:val="24"/>
          <w:szCs w:val="24"/>
          <w:lang w:val="id-ID"/>
        </w:rPr>
        <w:t>tentang</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APBD</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Anggaran</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2025,</w:t>
      </w:r>
      <w:r w:rsidR="00A954D0">
        <w:rPr>
          <w:rFonts w:ascii="Bookman Old Style" w:hAnsi="Bookman Old Style" w:cs="Arial"/>
          <w:sz w:val="24"/>
          <w:szCs w:val="24"/>
          <w:lang w:val="id-ID"/>
        </w:rPr>
        <w:t xml:space="preserve"> </w:t>
      </w:r>
      <w:r w:rsidRPr="00B010C4">
        <w:rPr>
          <w:rFonts w:ascii="Bookman Old Style" w:eastAsia="Bookman Old Style" w:hAnsi="Bookman Old Style" w:cs="Bookman Old Style"/>
          <w:sz w:val="24"/>
          <w:szCs w:val="24"/>
          <w:lang w:val="sv-SE"/>
        </w:rPr>
        <w:t>dianggarkan</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dengan</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berpedoman</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pada</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Peraturan</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Pemerintah</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Nomor</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27</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Tahun</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2074</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tentang</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Pengelolaan</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Barang</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Milik</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Negara/Daerah,</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sebagaimana</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telah</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diubah</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dengan</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Peraturan</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Pemerintah</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Nomor</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28</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Tahun</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2020</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tentang</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Perubahan</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atas</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Peraturan</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Pemerintah</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Nomor</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27</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Tahun</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2014</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tentang</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Pengelolaan</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Barang</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lastRenderedPageBreak/>
        <w:t>Milik</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Negara/Daerah,</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Pasal</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24</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ayat</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(4)</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dan</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Pasal</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31</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ayat</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(4)</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huruf</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b</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Peraturan</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Pemerintah</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Nomor</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12</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Tahun</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2019,</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Peraturan</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Menteri</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Dalam</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Negeri</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Nomor</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19</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Tahun</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2016</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tentang</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Pedoman</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Pengelolaan</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Barang</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Milik</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Daerah</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dan</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butir</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C.2.a.3).g)</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Lampiran</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Peraturan</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Menteri</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Dalam</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Negeri</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Nomor</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15</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Tahun</w:t>
      </w:r>
      <w:r w:rsidR="00A954D0">
        <w:rPr>
          <w:rFonts w:ascii="Bookman Old Style" w:eastAsia="Bookman Old Style" w:hAnsi="Bookman Old Style" w:cs="Bookman Old Style"/>
          <w:sz w:val="24"/>
          <w:szCs w:val="24"/>
          <w:lang w:val="sv-SE"/>
        </w:rPr>
        <w:t xml:space="preserve"> </w:t>
      </w:r>
      <w:r w:rsidRPr="00B010C4">
        <w:rPr>
          <w:rFonts w:ascii="Bookman Old Style" w:eastAsia="Bookman Old Style" w:hAnsi="Bookman Old Style" w:cs="Bookman Old Style"/>
          <w:sz w:val="24"/>
          <w:szCs w:val="24"/>
          <w:lang w:val="sv-SE"/>
        </w:rPr>
        <w:t>2023</w:t>
      </w:r>
      <w:r w:rsidR="00B16310">
        <w:rPr>
          <w:rFonts w:ascii="Bookman Old Style" w:eastAsia="Bookman Old Style" w:hAnsi="Bookman Old Style" w:cs="Bookman Old Style"/>
          <w:sz w:val="24"/>
          <w:szCs w:val="24"/>
          <w:lang w:val="sv-SE"/>
        </w:rPr>
        <w:t>;</w:t>
      </w:r>
    </w:p>
    <w:p w14:paraId="5FD87F54" w14:textId="2E49DE60" w:rsidR="001F194E" w:rsidRPr="001D73FE" w:rsidRDefault="001F194E" w:rsidP="00B16310">
      <w:pPr>
        <w:pStyle w:val="ListParagraph"/>
        <w:numPr>
          <w:ilvl w:val="0"/>
          <w:numId w:val="10"/>
        </w:numPr>
        <w:spacing w:before="60" w:after="0" w:line="276" w:lineRule="auto"/>
        <w:ind w:left="2268" w:hanging="567"/>
        <w:contextualSpacing w:val="0"/>
        <w:jc w:val="both"/>
        <w:rPr>
          <w:rFonts w:ascii="Bookman Old Style" w:hAnsi="Bookman Old Style"/>
          <w:color w:val="000000" w:themeColor="text1"/>
          <w:sz w:val="24"/>
          <w:szCs w:val="24"/>
        </w:rPr>
      </w:pPr>
      <w:r>
        <w:rPr>
          <w:rFonts w:ascii="Bookman Old Style" w:hAnsi="Bookman Old Style"/>
          <w:color w:val="000000" w:themeColor="text1"/>
          <w:sz w:val="24"/>
          <w:szCs w:val="24"/>
        </w:rPr>
        <w:t>Hasil</w:t>
      </w:r>
      <w:r w:rsidR="00A954D0">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Kerja</w:t>
      </w:r>
      <w:r w:rsidR="00A954D0">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Sama</w:t>
      </w:r>
      <w:r w:rsidR="00A954D0">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Daerah</w:t>
      </w:r>
      <w:r w:rsidR="00A954D0">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Rp</w:t>
      </w:r>
      <w:r w:rsidRPr="00A50691">
        <w:rPr>
          <w:rFonts w:ascii="Bookman Old Style" w:hAnsi="Bookman Old Style"/>
          <w:color w:val="000000" w:themeColor="text1"/>
          <w:sz w:val="24"/>
          <w:szCs w:val="24"/>
        </w:rPr>
        <w:t>657.600.000,00</w:t>
      </w:r>
      <w:r w:rsidR="00A954D0">
        <w:rPr>
          <w:rFonts w:ascii="Bookman Old Style" w:hAnsi="Bookman Old Style"/>
          <w:color w:val="000000" w:themeColor="text1"/>
          <w:sz w:val="24"/>
          <w:szCs w:val="24"/>
        </w:rPr>
        <w:t xml:space="preserve"> </w:t>
      </w:r>
      <w:r w:rsidRPr="00170D03">
        <w:rPr>
          <w:rFonts w:ascii="Bookman Old Style" w:hAnsi="Bookman Old Style"/>
          <w:sz w:val="24"/>
          <w:szCs w:val="24"/>
          <w:lang w:val="it-IT"/>
        </w:rPr>
        <w:t>atau</w:t>
      </w:r>
      <w:r w:rsidR="00A954D0">
        <w:rPr>
          <w:rFonts w:ascii="Bookman Old Style" w:hAnsi="Bookman Old Style"/>
          <w:sz w:val="24"/>
          <w:szCs w:val="24"/>
          <w:lang w:val="it-IT"/>
        </w:rPr>
        <w:t xml:space="preserve"> </w:t>
      </w:r>
      <w:r w:rsidRPr="00170D03">
        <w:rPr>
          <w:rFonts w:ascii="Bookman Old Style" w:hAnsi="Bookman Old Style"/>
          <w:sz w:val="24"/>
          <w:szCs w:val="24"/>
          <w:lang w:val="it-IT"/>
        </w:rPr>
        <w:t>0,</w:t>
      </w:r>
      <w:r>
        <w:rPr>
          <w:rFonts w:ascii="Bookman Old Style" w:hAnsi="Bookman Old Style"/>
          <w:sz w:val="24"/>
          <w:szCs w:val="24"/>
          <w:lang w:val="it-IT"/>
        </w:rPr>
        <w:t>01</w:t>
      </w:r>
      <w:r w:rsidRPr="00170D03">
        <w:rPr>
          <w:rFonts w:ascii="Bookman Old Style" w:hAnsi="Bookman Old Style"/>
          <w:sz w:val="24"/>
          <w:szCs w:val="24"/>
          <w:lang w:val="it-IT"/>
        </w:rPr>
        <w:t>%</w:t>
      </w:r>
      <w:r w:rsidR="00A954D0">
        <w:rPr>
          <w:rFonts w:ascii="Bookman Old Style" w:hAnsi="Bookman Old Style" w:cs="Arial"/>
          <w:sz w:val="24"/>
          <w:szCs w:val="24"/>
        </w:rPr>
        <w:t xml:space="preserve"> </w:t>
      </w:r>
      <w:r w:rsidRPr="00170D03">
        <w:rPr>
          <w:rFonts w:ascii="Bookman Old Style" w:hAnsi="Bookman Old Style" w:cs="Arial"/>
          <w:sz w:val="24"/>
          <w:szCs w:val="24"/>
        </w:rPr>
        <w:t>dari</w:t>
      </w:r>
      <w:r w:rsidR="00A954D0">
        <w:rPr>
          <w:rFonts w:ascii="Bookman Old Style" w:hAnsi="Bookman Old Style" w:cs="Arial"/>
          <w:sz w:val="24"/>
          <w:szCs w:val="24"/>
        </w:rPr>
        <w:t xml:space="preserve"> </w:t>
      </w:r>
      <w:r w:rsidRPr="00170D03">
        <w:rPr>
          <w:rFonts w:ascii="Bookman Old Style" w:hAnsi="Bookman Old Style" w:cs="Arial"/>
          <w:sz w:val="24"/>
          <w:szCs w:val="24"/>
        </w:rPr>
        <w:t>total</w:t>
      </w:r>
      <w:r w:rsidR="00A954D0">
        <w:rPr>
          <w:rFonts w:ascii="Bookman Old Style" w:hAnsi="Bookman Old Style" w:cs="Arial"/>
          <w:sz w:val="24"/>
          <w:szCs w:val="24"/>
        </w:rPr>
        <w:t xml:space="preserve"> </w:t>
      </w:r>
      <w:r w:rsidRPr="00170D03">
        <w:rPr>
          <w:rFonts w:ascii="Bookman Old Style" w:hAnsi="Bookman Old Style" w:cs="Arial"/>
          <w:sz w:val="24"/>
          <w:szCs w:val="24"/>
        </w:rPr>
        <w:t>pendapatan</w:t>
      </w:r>
      <w:r w:rsidR="00A954D0">
        <w:rPr>
          <w:rFonts w:ascii="Bookman Old Style" w:hAnsi="Bookman Old Style" w:cs="Arial"/>
          <w:sz w:val="24"/>
          <w:szCs w:val="24"/>
        </w:rPr>
        <w:t xml:space="preserve"> </w:t>
      </w:r>
      <w:r w:rsidRPr="00170D03">
        <w:rPr>
          <w:rFonts w:ascii="Bookman Old Style" w:hAnsi="Bookman Old Style" w:cs="Arial"/>
          <w:sz w:val="24"/>
          <w:szCs w:val="24"/>
        </w:rPr>
        <w:t>daerah</w:t>
      </w:r>
      <w:r w:rsidR="00A954D0">
        <w:rPr>
          <w:rFonts w:ascii="Bookman Old Style" w:hAnsi="Bookman Old Style" w:cs="Arial"/>
          <w:sz w:val="24"/>
          <w:szCs w:val="24"/>
        </w:rPr>
        <w:t xml:space="preserve"> </w:t>
      </w:r>
      <w:r w:rsidRPr="00170D03">
        <w:rPr>
          <w:rFonts w:ascii="Bookman Old Style" w:hAnsi="Bookman Old Style" w:cs="Arial"/>
          <w:sz w:val="24"/>
          <w:szCs w:val="24"/>
        </w:rPr>
        <w:t>dalam</w:t>
      </w:r>
      <w:r w:rsidR="00A954D0">
        <w:rPr>
          <w:rFonts w:ascii="Bookman Old Style" w:hAnsi="Bookman Old Style" w:cs="Arial"/>
          <w:sz w:val="24"/>
          <w:szCs w:val="24"/>
        </w:rPr>
        <w:t xml:space="preserve"> </w:t>
      </w:r>
      <w:r w:rsidRPr="00170D03">
        <w:rPr>
          <w:rFonts w:ascii="Bookman Old Style" w:hAnsi="Bookman Old Style" w:cs="Arial"/>
          <w:sz w:val="24"/>
          <w:szCs w:val="24"/>
        </w:rPr>
        <w:t>Rancangan</w:t>
      </w:r>
      <w:r w:rsidR="00A954D0">
        <w:rPr>
          <w:rFonts w:ascii="Bookman Old Style" w:hAnsi="Bookman Old Style" w:cs="Arial"/>
          <w:sz w:val="24"/>
          <w:szCs w:val="24"/>
        </w:rPr>
        <w:t xml:space="preserve"> </w:t>
      </w:r>
      <w:r w:rsidRPr="00170D03">
        <w:rPr>
          <w:rFonts w:ascii="Bookman Old Style" w:hAnsi="Bookman Old Style" w:cs="Arial"/>
          <w:sz w:val="24"/>
          <w:szCs w:val="24"/>
        </w:rPr>
        <w:t>Peraturan</w:t>
      </w:r>
      <w:r w:rsidR="00A954D0">
        <w:rPr>
          <w:rFonts w:ascii="Bookman Old Style" w:hAnsi="Bookman Old Style" w:cs="Arial"/>
          <w:sz w:val="24"/>
          <w:szCs w:val="24"/>
        </w:rPr>
        <w:t xml:space="preserve"> </w:t>
      </w:r>
      <w:r w:rsidRPr="00170D03">
        <w:rPr>
          <w:rFonts w:ascii="Bookman Old Style" w:hAnsi="Bookman Old Style" w:cs="Arial"/>
          <w:sz w:val="24"/>
          <w:szCs w:val="24"/>
        </w:rPr>
        <w:t>Daerah</w:t>
      </w:r>
      <w:r w:rsidR="00A954D0">
        <w:rPr>
          <w:rFonts w:ascii="Bookman Old Style" w:hAnsi="Bookman Old Style" w:cs="Arial"/>
          <w:sz w:val="24"/>
          <w:szCs w:val="24"/>
        </w:rPr>
        <w:t xml:space="preserve"> </w:t>
      </w:r>
      <w:r w:rsidRPr="003255BC">
        <w:rPr>
          <w:rFonts w:ascii="Bookman Old Style" w:hAnsi="Bookman Old Style"/>
          <w:sz w:val="24"/>
          <w:szCs w:val="24"/>
          <w:lang w:val="sv-FI"/>
        </w:rPr>
        <w:t>Kota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Tangerang</w:t>
      </w:r>
      <w:r w:rsidR="00A954D0" w:rsidRPr="003255BC">
        <w:rPr>
          <w:rFonts w:ascii="Bookman Old Style" w:hAnsi="Bookman Old Style"/>
          <w:sz w:val="24"/>
          <w:szCs w:val="24"/>
          <w:lang w:val="sv-FI"/>
        </w:rPr>
        <w:t xml:space="preserve"> </w:t>
      </w:r>
      <w:r w:rsidRPr="00170D03">
        <w:rPr>
          <w:rFonts w:ascii="Bookman Old Style" w:hAnsi="Bookman Old Style" w:cs="Arial"/>
          <w:sz w:val="24"/>
          <w:szCs w:val="24"/>
          <w:lang w:val="id-ID"/>
        </w:rPr>
        <w:t>tentang</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APBD</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Anggaran</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2025</w:t>
      </w:r>
      <w:r w:rsidRPr="00170D03">
        <w:rPr>
          <w:rFonts w:ascii="Bookman Old Style" w:hAnsi="Bookman Old Style" w:cs="Arial"/>
          <w:sz w:val="24"/>
          <w:szCs w:val="24"/>
        </w:rPr>
        <w:t>,</w:t>
      </w:r>
      <w:r w:rsidR="00A954D0">
        <w:rPr>
          <w:rFonts w:ascii="Bookman Old Style" w:hAnsi="Bookman Old Style" w:cs="Arial"/>
          <w:sz w:val="24"/>
          <w:szCs w:val="24"/>
        </w:rPr>
        <w:t xml:space="preserve"> </w:t>
      </w:r>
      <w:r w:rsidRPr="00170D03">
        <w:rPr>
          <w:rFonts w:ascii="Bookman Old Style" w:hAnsi="Bookman Old Style"/>
          <w:sz w:val="24"/>
          <w:szCs w:val="24"/>
        </w:rPr>
        <w:t>dianggarkan</w:t>
      </w:r>
      <w:r w:rsidR="00A954D0">
        <w:rPr>
          <w:rFonts w:ascii="Bookman Old Style" w:hAnsi="Bookman Old Style"/>
          <w:sz w:val="24"/>
          <w:szCs w:val="24"/>
        </w:rPr>
        <w:t xml:space="preserve"> </w:t>
      </w:r>
      <w:r w:rsidRPr="00170D03">
        <w:rPr>
          <w:rFonts w:ascii="Bookman Old Style" w:hAnsi="Bookman Old Style"/>
          <w:color w:val="000000" w:themeColor="text1"/>
          <w:sz w:val="24"/>
          <w:szCs w:val="24"/>
        </w:rPr>
        <w:t>dengan</w:t>
      </w:r>
      <w:r w:rsidR="00A954D0">
        <w:rPr>
          <w:rFonts w:ascii="Bookman Old Style" w:hAnsi="Bookman Old Style"/>
          <w:color w:val="000000" w:themeColor="text1"/>
          <w:sz w:val="24"/>
          <w:szCs w:val="24"/>
        </w:rPr>
        <w:t xml:space="preserve"> </w:t>
      </w:r>
      <w:r w:rsidRPr="00170D03">
        <w:rPr>
          <w:rFonts w:ascii="Bookman Old Style" w:hAnsi="Bookman Old Style"/>
          <w:color w:val="000000" w:themeColor="text1"/>
          <w:sz w:val="24"/>
          <w:szCs w:val="24"/>
        </w:rPr>
        <w:t>berpedoman</w:t>
      </w:r>
      <w:r w:rsidR="00A954D0">
        <w:rPr>
          <w:rFonts w:ascii="Bookman Old Style" w:hAnsi="Bookman Old Style"/>
          <w:color w:val="000000" w:themeColor="text1"/>
          <w:sz w:val="24"/>
          <w:szCs w:val="24"/>
        </w:rPr>
        <w:t xml:space="preserve"> </w:t>
      </w:r>
      <w:r w:rsidRPr="00170D03">
        <w:rPr>
          <w:rFonts w:ascii="Bookman Old Style" w:hAnsi="Bookman Old Style"/>
          <w:color w:val="000000" w:themeColor="text1"/>
          <w:sz w:val="24"/>
          <w:szCs w:val="24"/>
        </w:rPr>
        <w:t>pada</w:t>
      </w:r>
      <w:r w:rsidR="00A954D0">
        <w:rPr>
          <w:rFonts w:ascii="Bookman Old Style" w:hAnsi="Bookman Old Style"/>
          <w:color w:val="000000" w:themeColor="text1"/>
          <w:sz w:val="24"/>
          <w:szCs w:val="24"/>
        </w:rPr>
        <w:t xml:space="preserve"> </w:t>
      </w:r>
      <w:r w:rsidRPr="00170D03">
        <w:rPr>
          <w:rFonts w:ascii="Bookman Old Style" w:hAnsi="Bookman Old Style"/>
          <w:color w:val="000000" w:themeColor="text1"/>
          <w:sz w:val="24"/>
          <w:szCs w:val="24"/>
        </w:rPr>
        <w:t>Pasal</w:t>
      </w:r>
      <w:r w:rsidR="00A954D0">
        <w:rPr>
          <w:rFonts w:ascii="Bookman Old Style" w:hAnsi="Bookman Old Style"/>
          <w:color w:val="000000" w:themeColor="text1"/>
          <w:sz w:val="24"/>
          <w:szCs w:val="24"/>
        </w:rPr>
        <w:t xml:space="preserve"> </w:t>
      </w:r>
      <w:r w:rsidRPr="00170D03">
        <w:rPr>
          <w:rFonts w:ascii="Bookman Old Style" w:hAnsi="Bookman Old Style"/>
          <w:color w:val="000000" w:themeColor="text1"/>
          <w:sz w:val="24"/>
          <w:szCs w:val="24"/>
        </w:rPr>
        <w:t>24</w:t>
      </w:r>
      <w:r w:rsidR="00A954D0">
        <w:rPr>
          <w:rFonts w:ascii="Bookman Old Style" w:hAnsi="Bookman Old Style"/>
          <w:color w:val="000000" w:themeColor="text1"/>
          <w:sz w:val="24"/>
          <w:szCs w:val="24"/>
        </w:rPr>
        <w:t xml:space="preserve"> </w:t>
      </w:r>
      <w:r w:rsidRPr="00170D03">
        <w:rPr>
          <w:rFonts w:ascii="Bookman Old Style" w:hAnsi="Bookman Old Style"/>
          <w:color w:val="000000" w:themeColor="text1"/>
          <w:sz w:val="24"/>
          <w:szCs w:val="24"/>
        </w:rPr>
        <w:t>ayat</w:t>
      </w:r>
      <w:r w:rsidR="00A954D0">
        <w:rPr>
          <w:rFonts w:ascii="Bookman Old Style" w:hAnsi="Bookman Old Style"/>
          <w:color w:val="000000" w:themeColor="text1"/>
          <w:sz w:val="24"/>
          <w:szCs w:val="24"/>
        </w:rPr>
        <w:t xml:space="preserve"> </w:t>
      </w:r>
      <w:r w:rsidRPr="00170D03">
        <w:rPr>
          <w:rFonts w:ascii="Bookman Old Style" w:hAnsi="Bookman Old Style"/>
          <w:color w:val="000000" w:themeColor="text1"/>
          <w:sz w:val="24"/>
          <w:szCs w:val="24"/>
        </w:rPr>
        <w:t>(4)</w:t>
      </w:r>
      <w:r w:rsidR="00A954D0">
        <w:rPr>
          <w:rFonts w:ascii="Bookman Old Style" w:hAnsi="Bookman Old Style"/>
          <w:color w:val="000000" w:themeColor="text1"/>
          <w:sz w:val="24"/>
          <w:szCs w:val="24"/>
        </w:rPr>
        <w:t xml:space="preserve"> </w:t>
      </w:r>
      <w:r w:rsidRPr="00170D03">
        <w:rPr>
          <w:rFonts w:ascii="Bookman Old Style" w:hAnsi="Bookman Old Style"/>
          <w:color w:val="000000" w:themeColor="text1"/>
          <w:sz w:val="24"/>
          <w:szCs w:val="24"/>
        </w:rPr>
        <w:t>dan</w:t>
      </w:r>
      <w:r w:rsidR="00A954D0">
        <w:rPr>
          <w:rFonts w:ascii="Bookman Old Style" w:hAnsi="Bookman Old Style"/>
          <w:color w:val="000000" w:themeColor="text1"/>
          <w:sz w:val="24"/>
          <w:szCs w:val="24"/>
        </w:rPr>
        <w:t xml:space="preserve"> </w:t>
      </w:r>
      <w:r w:rsidRPr="00170D03">
        <w:rPr>
          <w:rFonts w:ascii="Bookman Old Style" w:hAnsi="Bookman Old Style"/>
          <w:color w:val="000000" w:themeColor="text1"/>
          <w:sz w:val="24"/>
          <w:szCs w:val="24"/>
        </w:rPr>
        <w:t>Pasal</w:t>
      </w:r>
      <w:r w:rsidR="00A954D0">
        <w:rPr>
          <w:rFonts w:ascii="Bookman Old Style" w:hAnsi="Bookman Old Style"/>
          <w:color w:val="000000" w:themeColor="text1"/>
          <w:sz w:val="24"/>
          <w:szCs w:val="24"/>
        </w:rPr>
        <w:t xml:space="preserve"> </w:t>
      </w:r>
      <w:r w:rsidRPr="00170D03">
        <w:rPr>
          <w:rFonts w:ascii="Bookman Old Style" w:hAnsi="Bookman Old Style"/>
          <w:color w:val="000000" w:themeColor="text1"/>
          <w:sz w:val="24"/>
          <w:szCs w:val="24"/>
        </w:rPr>
        <w:t>31</w:t>
      </w:r>
      <w:r w:rsidR="00A954D0">
        <w:rPr>
          <w:rFonts w:ascii="Bookman Old Style" w:hAnsi="Bookman Old Style"/>
          <w:color w:val="000000" w:themeColor="text1"/>
          <w:sz w:val="24"/>
          <w:szCs w:val="24"/>
        </w:rPr>
        <w:t xml:space="preserve"> </w:t>
      </w:r>
      <w:r w:rsidRPr="00170D03">
        <w:rPr>
          <w:rFonts w:ascii="Bookman Old Style" w:hAnsi="Bookman Old Style"/>
          <w:color w:val="000000" w:themeColor="text1"/>
          <w:sz w:val="24"/>
          <w:szCs w:val="24"/>
        </w:rPr>
        <w:t>ayat</w:t>
      </w:r>
      <w:r w:rsidR="00A954D0">
        <w:rPr>
          <w:rFonts w:ascii="Bookman Old Style" w:hAnsi="Bookman Old Style"/>
          <w:color w:val="000000" w:themeColor="text1"/>
          <w:sz w:val="24"/>
          <w:szCs w:val="24"/>
        </w:rPr>
        <w:t xml:space="preserve"> </w:t>
      </w:r>
      <w:r w:rsidRPr="00170D03">
        <w:rPr>
          <w:rFonts w:ascii="Bookman Old Style" w:hAnsi="Bookman Old Style"/>
          <w:color w:val="000000" w:themeColor="text1"/>
          <w:sz w:val="24"/>
          <w:szCs w:val="24"/>
        </w:rPr>
        <w:t>(4)</w:t>
      </w:r>
      <w:r w:rsidR="00A954D0">
        <w:rPr>
          <w:rFonts w:ascii="Bookman Old Style" w:hAnsi="Bookman Old Style"/>
          <w:color w:val="000000" w:themeColor="text1"/>
          <w:sz w:val="24"/>
          <w:szCs w:val="24"/>
        </w:rPr>
        <w:t xml:space="preserve"> </w:t>
      </w:r>
      <w:r w:rsidRPr="00170D03">
        <w:rPr>
          <w:rFonts w:ascii="Bookman Old Style" w:hAnsi="Bookman Old Style"/>
          <w:color w:val="000000" w:themeColor="text1"/>
          <w:sz w:val="24"/>
          <w:szCs w:val="24"/>
        </w:rPr>
        <w:t>huruf</w:t>
      </w:r>
      <w:r w:rsidR="00A954D0">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c</w:t>
      </w:r>
      <w:r w:rsidR="00A954D0">
        <w:rPr>
          <w:rFonts w:ascii="Bookman Old Style" w:hAnsi="Bookman Old Style"/>
          <w:color w:val="000000" w:themeColor="text1"/>
          <w:sz w:val="24"/>
          <w:szCs w:val="24"/>
        </w:rPr>
        <w:t xml:space="preserve"> </w:t>
      </w:r>
      <w:r w:rsidRPr="00170D03">
        <w:rPr>
          <w:rFonts w:ascii="Bookman Old Style" w:hAnsi="Bookman Old Style"/>
          <w:color w:val="000000" w:themeColor="text1"/>
          <w:sz w:val="24"/>
          <w:szCs w:val="24"/>
        </w:rPr>
        <w:t>Peraturan</w:t>
      </w:r>
      <w:r w:rsidR="00A954D0">
        <w:rPr>
          <w:rFonts w:ascii="Bookman Old Style" w:hAnsi="Bookman Old Style"/>
          <w:color w:val="000000" w:themeColor="text1"/>
          <w:sz w:val="24"/>
          <w:szCs w:val="24"/>
        </w:rPr>
        <w:t xml:space="preserve"> </w:t>
      </w:r>
      <w:r w:rsidRPr="00170D03">
        <w:rPr>
          <w:rFonts w:ascii="Bookman Old Style" w:hAnsi="Bookman Old Style"/>
          <w:color w:val="000000" w:themeColor="text1"/>
          <w:sz w:val="24"/>
          <w:szCs w:val="24"/>
        </w:rPr>
        <w:t>Pemerintah</w:t>
      </w:r>
      <w:r w:rsidR="00A954D0">
        <w:rPr>
          <w:rFonts w:ascii="Bookman Old Style" w:hAnsi="Bookman Old Style"/>
          <w:color w:val="000000" w:themeColor="text1"/>
          <w:sz w:val="24"/>
          <w:szCs w:val="24"/>
        </w:rPr>
        <w:t xml:space="preserve"> </w:t>
      </w:r>
      <w:r w:rsidRPr="00170D03">
        <w:rPr>
          <w:rFonts w:ascii="Bookman Old Style" w:hAnsi="Bookman Old Style"/>
          <w:color w:val="000000" w:themeColor="text1"/>
          <w:sz w:val="24"/>
          <w:szCs w:val="24"/>
        </w:rPr>
        <w:t>Nomor</w:t>
      </w:r>
      <w:r w:rsidR="00A954D0">
        <w:rPr>
          <w:rFonts w:ascii="Bookman Old Style" w:hAnsi="Bookman Old Style"/>
          <w:color w:val="000000" w:themeColor="text1"/>
          <w:sz w:val="24"/>
          <w:szCs w:val="24"/>
        </w:rPr>
        <w:t xml:space="preserve"> </w:t>
      </w:r>
      <w:r w:rsidRPr="00170D03">
        <w:rPr>
          <w:rFonts w:ascii="Bookman Old Style" w:hAnsi="Bookman Old Style"/>
          <w:color w:val="000000" w:themeColor="text1"/>
          <w:sz w:val="24"/>
          <w:szCs w:val="24"/>
        </w:rPr>
        <w:t>12</w:t>
      </w:r>
      <w:r w:rsidR="00A954D0">
        <w:rPr>
          <w:rFonts w:ascii="Bookman Old Style" w:hAnsi="Bookman Old Style"/>
          <w:color w:val="000000" w:themeColor="text1"/>
          <w:sz w:val="24"/>
          <w:szCs w:val="24"/>
        </w:rPr>
        <w:t xml:space="preserve"> </w:t>
      </w:r>
      <w:r w:rsidRPr="00170D03">
        <w:rPr>
          <w:rFonts w:ascii="Bookman Old Style" w:hAnsi="Bookman Old Style"/>
          <w:color w:val="000000" w:themeColor="text1"/>
          <w:sz w:val="24"/>
          <w:szCs w:val="24"/>
        </w:rPr>
        <w:t>Tahun</w:t>
      </w:r>
      <w:r w:rsidR="00A954D0">
        <w:rPr>
          <w:rFonts w:ascii="Bookman Old Style" w:hAnsi="Bookman Old Style"/>
          <w:color w:val="000000" w:themeColor="text1"/>
          <w:sz w:val="24"/>
          <w:szCs w:val="24"/>
        </w:rPr>
        <w:t xml:space="preserve"> </w:t>
      </w:r>
      <w:r w:rsidRPr="00170D03">
        <w:rPr>
          <w:rFonts w:ascii="Bookman Old Style" w:hAnsi="Bookman Old Style"/>
          <w:color w:val="000000" w:themeColor="text1"/>
          <w:sz w:val="24"/>
          <w:szCs w:val="24"/>
        </w:rPr>
        <w:t>2019</w:t>
      </w:r>
      <w:r w:rsidR="00A954D0">
        <w:rPr>
          <w:rFonts w:ascii="Bookman Old Style" w:hAnsi="Bookman Old Style"/>
          <w:color w:val="000000" w:themeColor="text1"/>
          <w:sz w:val="24"/>
          <w:szCs w:val="24"/>
        </w:rPr>
        <w:t xml:space="preserve"> </w:t>
      </w:r>
      <w:r w:rsidRPr="00170D03">
        <w:rPr>
          <w:rFonts w:ascii="Bookman Old Style" w:hAnsi="Bookman Old Style"/>
          <w:color w:val="000000" w:themeColor="text1"/>
          <w:sz w:val="24"/>
          <w:szCs w:val="24"/>
        </w:rPr>
        <w:t>dan</w:t>
      </w:r>
      <w:r w:rsidR="00A954D0">
        <w:rPr>
          <w:rFonts w:ascii="Bookman Old Style" w:hAnsi="Bookman Old Style"/>
          <w:color w:val="000000" w:themeColor="text1"/>
          <w:sz w:val="24"/>
          <w:szCs w:val="24"/>
        </w:rPr>
        <w:t xml:space="preserve"> </w:t>
      </w:r>
      <w:r w:rsidRPr="00170D03">
        <w:rPr>
          <w:rFonts w:ascii="Bookman Old Style" w:hAnsi="Bookman Old Style"/>
          <w:sz w:val="24"/>
          <w:szCs w:val="24"/>
          <w:lang w:val="id-ID"/>
        </w:rPr>
        <w:t>butir</w:t>
      </w:r>
      <w:r w:rsidR="00A954D0">
        <w:rPr>
          <w:rFonts w:ascii="Bookman Old Style" w:hAnsi="Bookman Old Style"/>
          <w:sz w:val="24"/>
          <w:szCs w:val="24"/>
          <w:lang w:val="id-ID"/>
        </w:rPr>
        <w:t xml:space="preserve"> </w:t>
      </w:r>
      <w:r w:rsidRPr="003255BC">
        <w:rPr>
          <w:rFonts w:ascii="Bookman Old Style" w:hAnsi="Bookman Old Style"/>
          <w:sz w:val="24"/>
          <w:szCs w:val="24"/>
          <w:lang w:val="sv-FI"/>
        </w:rPr>
        <w:t>3.3.1.3.b.2)</w:t>
      </w:r>
      <w:r w:rsidR="00A954D0">
        <w:rPr>
          <w:rFonts w:ascii="Bookman Old Style" w:hAnsi="Bookman Old Style"/>
          <w:sz w:val="24"/>
          <w:szCs w:val="24"/>
        </w:rPr>
        <w:t xml:space="preserve"> </w:t>
      </w:r>
      <w:r w:rsidRPr="00170D03">
        <w:rPr>
          <w:rFonts w:ascii="Bookman Old Style" w:hAnsi="Bookman Old Style"/>
          <w:sz w:val="24"/>
          <w:szCs w:val="24"/>
        </w:rPr>
        <w:t>Lampiran</w:t>
      </w:r>
      <w:r w:rsidR="00A954D0">
        <w:rPr>
          <w:rFonts w:ascii="Bookman Old Style" w:hAnsi="Bookman Old Style"/>
          <w:sz w:val="24"/>
          <w:szCs w:val="24"/>
        </w:rPr>
        <w:t xml:space="preserve"> </w:t>
      </w:r>
      <w:r w:rsidRPr="00170D03">
        <w:rPr>
          <w:rFonts w:ascii="Bookman Old Style" w:hAnsi="Bookman Old Style"/>
          <w:sz w:val="24"/>
          <w:szCs w:val="24"/>
        </w:rPr>
        <w:t>Peraturan</w:t>
      </w:r>
      <w:r w:rsidR="00A954D0">
        <w:rPr>
          <w:rFonts w:ascii="Bookman Old Style" w:hAnsi="Bookman Old Style"/>
          <w:sz w:val="24"/>
          <w:szCs w:val="24"/>
        </w:rPr>
        <w:t xml:space="preserve"> </w:t>
      </w:r>
      <w:r w:rsidRPr="00170D03">
        <w:rPr>
          <w:rFonts w:ascii="Bookman Old Style" w:hAnsi="Bookman Old Style"/>
          <w:sz w:val="24"/>
          <w:szCs w:val="24"/>
        </w:rPr>
        <w:t>Menteri</w:t>
      </w:r>
      <w:r w:rsidR="00A954D0">
        <w:rPr>
          <w:rFonts w:ascii="Bookman Old Style" w:hAnsi="Bookman Old Style"/>
          <w:sz w:val="24"/>
          <w:szCs w:val="24"/>
        </w:rPr>
        <w:t xml:space="preserve"> </w:t>
      </w:r>
      <w:r w:rsidRPr="00170D03">
        <w:rPr>
          <w:rFonts w:ascii="Bookman Old Style" w:hAnsi="Bookman Old Style"/>
          <w:sz w:val="24"/>
          <w:szCs w:val="24"/>
        </w:rPr>
        <w:t>Dalam</w:t>
      </w:r>
      <w:r w:rsidR="00A954D0">
        <w:rPr>
          <w:rFonts w:ascii="Bookman Old Style" w:hAnsi="Bookman Old Style"/>
          <w:sz w:val="24"/>
          <w:szCs w:val="24"/>
        </w:rPr>
        <w:t xml:space="preserve"> </w:t>
      </w:r>
      <w:r w:rsidRPr="00170D03">
        <w:rPr>
          <w:rFonts w:ascii="Bookman Old Style" w:hAnsi="Bookman Old Style"/>
          <w:sz w:val="24"/>
          <w:szCs w:val="24"/>
        </w:rPr>
        <w:t>Negeri</w:t>
      </w:r>
      <w:r w:rsidR="00A954D0">
        <w:rPr>
          <w:rFonts w:ascii="Bookman Old Style" w:hAnsi="Bookman Old Style"/>
          <w:sz w:val="24"/>
          <w:szCs w:val="24"/>
        </w:rPr>
        <w:t xml:space="preserve"> </w:t>
      </w:r>
      <w:r w:rsidRPr="00170D03">
        <w:rPr>
          <w:rFonts w:ascii="Bookman Old Style" w:hAnsi="Bookman Old Style"/>
          <w:sz w:val="24"/>
          <w:szCs w:val="24"/>
        </w:rPr>
        <w:t>Nomor</w:t>
      </w:r>
      <w:r w:rsidR="00A954D0">
        <w:rPr>
          <w:rFonts w:ascii="Bookman Old Style" w:hAnsi="Bookman Old Style"/>
          <w:sz w:val="24"/>
          <w:szCs w:val="24"/>
        </w:rPr>
        <w:t xml:space="preserve"> </w:t>
      </w:r>
      <w:r w:rsidRPr="003255BC">
        <w:rPr>
          <w:rFonts w:ascii="Bookman Old Style" w:hAnsi="Bookman Old Style"/>
          <w:sz w:val="24"/>
          <w:szCs w:val="24"/>
          <w:lang w:val="sv-FI"/>
        </w:rPr>
        <w:t>15</w:t>
      </w:r>
      <w:r w:rsidR="00A954D0">
        <w:rPr>
          <w:rFonts w:ascii="Bookman Old Style" w:hAnsi="Bookman Old Style"/>
          <w:sz w:val="24"/>
          <w:szCs w:val="24"/>
        </w:rPr>
        <w:t xml:space="preserve"> </w:t>
      </w:r>
      <w:r w:rsidRPr="00170D03">
        <w:rPr>
          <w:rFonts w:ascii="Bookman Old Style" w:hAnsi="Bookman Old Style"/>
          <w:sz w:val="24"/>
          <w:szCs w:val="24"/>
        </w:rPr>
        <w:t>Tahun</w:t>
      </w:r>
      <w:r w:rsidR="00A954D0">
        <w:rPr>
          <w:rFonts w:ascii="Bookman Old Style" w:hAnsi="Bookman Old Style"/>
          <w:sz w:val="24"/>
          <w:szCs w:val="24"/>
        </w:rPr>
        <w:t xml:space="preserve"> </w:t>
      </w:r>
      <w:r w:rsidRPr="00170D03">
        <w:rPr>
          <w:rFonts w:ascii="Bookman Old Style" w:hAnsi="Bookman Old Style"/>
          <w:sz w:val="24"/>
          <w:szCs w:val="24"/>
        </w:rPr>
        <w:t>202</w:t>
      </w:r>
      <w:r w:rsidRPr="003255BC">
        <w:rPr>
          <w:rFonts w:ascii="Bookman Old Style" w:hAnsi="Bookman Old Style"/>
          <w:sz w:val="24"/>
          <w:szCs w:val="24"/>
          <w:lang w:val="sv-FI"/>
        </w:rPr>
        <w:t>4</w:t>
      </w:r>
      <w:r w:rsidRPr="00170D03">
        <w:rPr>
          <w:rFonts w:ascii="Bookman Old Style" w:hAnsi="Bookman Old Style"/>
          <w:color w:val="000000" w:themeColor="text1"/>
          <w:sz w:val="24"/>
          <w:szCs w:val="24"/>
          <w:lang w:val="id-ID"/>
        </w:rPr>
        <w:t>;</w:t>
      </w:r>
    </w:p>
    <w:p w14:paraId="0F99AE42" w14:textId="51419230" w:rsidR="001F194E" w:rsidRPr="00B010C4" w:rsidRDefault="001F194E" w:rsidP="00B16310">
      <w:pPr>
        <w:pStyle w:val="ListParagraph"/>
        <w:numPr>
          <w:ilvl w:val="0"/>
          <w:numId w:val="10"/>
        </w:numPr>
        <w:spacing w:before="60" w:after="0" w:line="276" w:lineRule="auto"/>
        <w:ind w:left="2268" w:hanging="567"/>
        <w:contextualSpacing w:val="0"/>
        <w:jc w:val="both"/>
        <w:rPr>
          <w:rFonts w:ascii="Bookman Old Style" w:hAnsi="Bookman Old Style"/>
          <w:color w:val="000000" w:themeColor="text1"/>
          <w:sz w:val="24"/>
          <w:szCs w:val="24"/>
        </w:rPr>
      </w:pPr>
      <w:r w:rsidRPr="00170D03">
        <w:rPr>
          <w:rFonts w:ascii="Bookman Old Style" w:hAnsi="Bookman Old Style"/>
          <w:sz w:val="24"/>
          <w:szCs w:val="24"/>
        </w:rPr>
        <w:t>Jasa</w:t>
      </w:r>
      <w:r w:rsidR="00A954D0">
        <w:rPr>
          <w:rFonts w:ascii="Bookman Old Style" w:hAnsi="Bookman Old Style"/>
          <w:sz w:val="24"/>
          <w:szCs w:val="24"/>
        </w:rPr>
        <w:t xml:space="preserve"> </w:t>
      </w:r>
      <w:r w:rsidRPr="00170D03">
        <w:rPr>
          <w:rFonts w:ascii="Bookman Old Style" w:hAnsi="Bookman Old Style"/>
          <w:sz w:val="24"/>
          <w:szCs w:val="24"/>
        </w:rPr>
        <w:t>Giro</w:t>
      </w:r>
      <w:r w:rsidR="00A954D0">
        <w:rPr>
          <w:rFonts w:ascii="Bookman Old Style" w:hAnsi="Bookman Old Style"/>
          <w:sz w:val="24"/>
          <w:szCs w:val="24"/>
        </w:rPr>
        <w:t xml:space="preserve"> </w:t>
      </w:r>
      <w:r w:rsidRPr="00170D03">
        <w:rPr>
          <w:rFonts w:ascii="Bookman Old Style" w:hAnsi="Bookman Old Style"/>
          <w:sz w:val="24"/>
          <w:szCs w:val="24"/>
          <w:lang w:val="it-IT"/>
        </w:rPr>
        <w:t>Rp</w:t>
      </w:r>
      <w:r w:rsidRPr="00A50691">
        <w:rPr>
          <w:rFonts w:ascii="Bookman Old Style" w:hAnsi="Bookman Old Style"/>
          <w:sz w:val="24"/>
          <w:szCs w:val="24"/>
          <w:lang w:val="it-IT"/>
        </w:rPr>
        <w:t>13.500.000.000,00</w:t>
      </w:r>
      <w:r w:rsidR="00A954D0">
        <w:rPr>
          <w:rFonts w:ascii="Bookman Old Style" w:hAnsi="Bookman Old Style"/>
          <w:sz w:val="24"/>
          <w:szCs w:val="24"/>
          <w:lang w:val="it-IT"/>
        </w:rPr>
        <w:t xml:space="preserve"> </w:t>
      </w:r>
      <w:r w:rsidRPr="00170D03">
        <w:rPr>
          <w:rFonts w:ascii="Bookman Old Style" w:hAnsi="Bookman Old Style"/>
          <w:sz w:val="24"/>
          <w:szCs w:val="24"/>
          <w:lang w:val="it-IT"/>
        </w:rPr>
        <w:t>atau</w:t>
      </w:r>
      <w:r w:rsidR="00A954D0">
        <w:rPr>
          <w:rFonts w:ascii="Bookman Old Style" w:hAnsi="Bookman Old Style"/>
          <w:sz w:val="24"/>
          <w:szCs w:val="24"/>
          <w:lang w:val="it-IT"/>
        </w:rPr>
        <w:t xml:space="preserve"> </w:t>
      </w:r>
      <w:r w:rsidRPr="00170D03">
        <w:rPr>
          <w:rFonts w:ascii="Bookman Old Style" w:hAnsi="Bookman Old Style"/>
          <w:sz w:val="24"/>
          <w:szCs w:val="24"/>
          <w:lang w:val="it-IT"/>
        </w:rPr>
        <w:t>0,</w:t>
      </w:r>
      <w:r>
        <w:rPr>
          <w:rFonts w:ascii="Bookman Old Style" w:hAnsi="Bookman Old Style"/>
          <w:sz w:val="24"/>
          <w:szCs w:val="24"/>
          <w:lang w:val="it-IT"/>
        </w:rPr>
        <w:t>25</w:t>
      </w:r>
      <w:r w:rsidRPr="00170D03">
        <w:rPr>
          <w:rFonts w:ascii="Bookman Old Style" w:hAnsi="Bookman Old Style"/>
          <w:sz w:val="24"/>
          <w:szCs w:val="24"/>
          <w:lang w:val="it-IT"/>
        </w:rPr>
        <w:t>%</w:t>
      </w:r>
      <w:r w:rsidR="00A954D0">
        <w:rPr>
          <w:rFonts w:ascii="Bookman Old Style" w:hAnsi="Bookman Old Style" w:cs="Arial"/>
          <w:sz w:val="24"/>
          <w:szCs w:val="24"/>
        </w:rPr>
        <w:t xml:space="preserve"> </w:t>
      </w:r>
      <w:r w:rsidRPr="00170D03">
        <w:rPr>
          <w:rFonts w:ascii="Bookman Old Style" w:hAnsi="Bookman Old Style" w:cs="Arial"/>
          <w:sz w:val="24"/>
          <w:szCs w:val="24"/>
        </w:rPr>
        <w:t>dari</w:t>
      </w:r>
      <w:r w:rsidR="00A954D0">
        <w:rPr>
          <w:rFonts w:ascii="Bookman Old Style" w:hAnsi="Bookman Old Style" w:cs="Arial"/>
          <w:sz w:val="24"/>
          <w:szCs w:val="24"/>
        </w:rPr>
        <w:t xml:space="preserve"> </w:t>
      </w:r>
      <w:r w:rsidRPr="00170D03">
        <w:rPr>
          <w:rFonts w:ascii="Bookman Old Style" w:hAnsi="Bookman Old Style" w:cs="Arial"/>
          <w:sz w:val="24"/>
          <w:szCs w:val="24"/>
        </w:rPr>
        <w:t>total</w:t>
      </w:r>
      <w:r w:rsidR="00A954D0">
        <w:rPr>
          <w:rFonts w:ascii="Bookman Old Style" w:hAnsi="Bookman Old Style" w:cs="Arial"/>
          <w:sz w:val="24"/>
          <w:szCs w:val="24"/>
        </w:rPr>
        <w:t xml:space="preserve"> </w:t>
      </w:r>
      <w:r w:rsidRPr="00170D03">
        <w:rPr>
          <w:rFonts w:ascii="Bookman Old Style" w:hAnsi="Bookman Old Style" w:cs="Arial"/>
          <w:sz w:val="24"/>
          <w:szCs w:val="24"/>
        </w:rPr>
        <w:t>pendapatan</w:t>
      </w:r>
      <w:r w:rsidR="00A954D0">
        <w:rPr>
          <w:rFonts w:ascii="Bookman Old Style" w:hAnsi="Bookman Old Style" w:cs="Arial"/>
          <w:sz w:val="24"/>
          <w:szCs w:val="24"/>
        </w:rPr>
        <w:t xml:space="preserve"> </w:t>
      </w:r>
      <w:r w:rsidRPr="00170D03">
        <w:rPr>
          <w:rFonts w:ascii="Bookman Old Style" w:hAnsi="Bookman Old Style" w:cs="Arial"/>
          <w:sz w:val="24"/>
          <w:szCs w:val="24"/>
        </w:rPr>
        <w:t>daerah</w:t>
      </w:r>
      <w:r w:rsidR="00A954D0">
        <w:rPr>
          <w:rFonts w:ascii="Bookman Old Style" w:hAnsi="Bookman Old Style" w:cs="Arial"/>
          <w:sz w:val="24"/>
          <w:szCs w:val="24"/>
        </w:rPr>
        <w:t xml:space="preserve"> </w:t>
      </w:r>
      <w:r w:rsidRPr="00170D03">
        <w:rPr>
          <w:rFonts w:ascii="Bookman Old Style" w:hAnsi="Bookman Old Style" w:cs="Arial"/>
          <w:sz w:val="24"/>
          <w:szCs w:val="24"/>
        </w:rPr>
        <w:t>dalam</w:t>
      </w:r>
      <w:r w:rsidR="00A954D0">
        <w:rPr>
          <w:rFonts w:ascii="Bookman Old Style" w:hAnsi="Bookman Old Style" w:cs="Arial"/>
          <w:sz w:val="24"/>
          <w:szCs w:val="24"/>
        </w:rPr>
        <w:t xml:space="preserve"> </w:t>
      </w:r>
      <w:r w:rsidRPr="00170D03">
        <w:rPr>
          <w:rFonts w:ascii="Bookman Old Style" w:hAnsi="Bookman Old Style" w:cs="Arial"/>
          <w:sz w:val="24"/>
          <w:szCs w:val="24"/>
        </w:rPr>
        <w:t>Rancangan</w:t>
      </w:r>
      <w:r w:rsidR="00A954D0">
        <w:rPr>
          <w:rFonts w:ascii="Bookman Old Style" w:hAnsi="Bookman Old Style" w:cs="Arial"/>
          <w:sz w:val="24"/>
          <w:szCs w:val="24"/>
        </w:rPr>
        <w:t xml:space="preserve"> </w:t>
      </w:r>
      <w:r w:rsidRPr="00170D03">
        <w:rPr>
          <w:rFonts w:ascii="Bookman Old Style" w:hAnsi="Bookman Old Style" w:cs="Arial"/>
          <w:sz w:val="24"/>
          <w:szCs w:val="24"/>
        </w:rPr>
        <w:t>Peraturan</w:t>
      </w:r>
      <w:r w:rsidR="00A954D0">
        <w:rPr>
          <w:rFonts w:ascii="Bookman Old Style" w:hAnsi="Bookman Old Style" w:cs="Arial"/>
          <w:sz w:val="24"/>
          <w:szCs w:val="24"/>
        </w:rPr>
        <w:t xml:space="preserve"> </w:t>
      </w:r>
      <w:r w:rsidRPr="00170D03">
        <w:rPr>
          <w:rFonts w:ascii="Bookman Old Style" w:hAnsi="Bookman Old Style" w:cs="Arial"/>
          <w:sz w:val="24"/>
          <w:szCs w:val="24"/>
        </w:rPr>
        <w:t>Daerah</w:t>
      </w:r>
      <w:r w:rsidR="00A954D0">
        <w:rPr>
          <w:rFonts w:ascii="Bookman Old Style" w:hAnsi="Bookman Old Style" w:cs="Arial"/>
          <w:sz w:val="24"/>
          <w:szCs w:val="24"/>
        </w:rPr>
        <w:t xml:space="preserve"> </w:t>
      </w:r>
      <w:r w:rsidRPr="003255BC">
        <w:rPr>
          <w:rFonts w:ascii="Bookman Old Style" w:hAnsi="Bookman Old Style"/>
          <w:sz w:val="24"/>
          <w:szCs w:val="24"/>
          <w:lang w:val="sv-FI"/>
        </w:rPr>
        <w:t>Kota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Tangerang</w:t>
      </w:r>
      <w:r w:rsidR="00A954D0" w:rsidRPr="003255BC">
        <w:rPr>
          <w:rFonts w:ascii="Bookman Old Style" w:hAnsi="Bookman Old Style"/>
          <w:sz w:val="24"/>
          <w:szCs w:val="24"/>
          <w:lang w:val="sv-FI"/>
        </w:rPr>
        <w:t xml:space="preserve"> </w:t>
      </w:r>
      <w:r w:rsidRPr="00170D03">
        <w:rPr>
          <w:rFonts w:ascii="Bookman Old Style" w:hAnsi="Bookman Old Style" w:cs="Arial"/>
          <w:sz w:val="24"/>
          <w:szCs w:val="24"/>
          <w:lang w:val="id-ID"/>
        </w:rPr>
        <w:t>tentang</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APBD</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Anggaran</w:t>
      </w:r>
      <w:r w:rsidR="00A954D0">
        <w:rPr>
          <w:rFonts w:ascii="Bookman Old Style" w:hAnsi="Bookman Old Style" w:cs="Arial"/>
          <w:sz w:val="24"/>
          <w:szCs w:val="24"/>
          <w:lang w:val="id-ID"/>
        </w:rPr>
        <w:t xml:space="preserve"> </w:t>
      </w:r>
      <w:r w:rsidRPr="00170D03">
        <w:rPr>
          <w:rFonts w:ascii="Bookman Old Style" w:hAnsi="Bookman Old Style" w:cs="Arial"/>
          <w:sz w:val="24"/>
          <w:szCs w:val="24"/>
          <w:lang w:val="id-ID"/>
        </w:rPr>
        <w:t>2025</w:t>
      </w:r>
      <w:r w:rsidRPr="00170D03">
        <w:rPr>
          <w:rFonts w:ascii="Bookman Old Style" w:hAnsi="Bookman Old Style" w:cs="Arial"/>
          <w:sz w:val="24"/>
          <w:szCs w:val="24"/>
        </w:rPr>
        <w:t>,</w:t>
      </w:r>
      <w:r w:rsidR="00A954D0">
        <w:rPr>
          <w:rFonts w:ascii="Bookman Old Style" w:hAnsi="Bookman Old Style" w:cs="Arial"/>
          <w:sz w:val="24"/>
          <w:szCs w:val="24"/>
        </w:rPr>
        <w:t xml:space="preserve"> </w:t>
      </w:r>
      <w:r w:rsidRPr="00170D03">
        <w:rPr>
          <w:rFonts w:ascii="Bookman Old Style" w:hAnsi="Bookman Old Style"/>
          <w:sz w:val="24"/>
          <w:szCs w:val="24"/>
        </w:rPr>
        <w:t>dianggarkan</w:t>
      </w:r>
      <w:r w:rsidR="00A954D0">
        <w:rPr>
          <w:rFonts w:ascii="Bookman Old Style" w:hAnsi="Bookman Old Style"/>
          <w:sz w:val="24"/>
          <w:szCs w:val="24"/>
        </w:rPr>
        <w:t xml:space="preserve"> </w:t>
      </w:r>
      <w:r w:rsidRPr="00170D03">
        <w:rPr>
          <w:rFonts w:ascii="Bookman Old Style" w:hAnsi="Bookman Old Style"/>
          <w:color w:val="000000" w:themeColor="text1"/>
          <w:sz w:val="24"/>
          <w:szCs w:val="24"/>
        </w:rPr>
        <w:t>dengan</w:t>
      </w:r>
      <w:r w:rsidR="00A954D0">
        <w:rPr>
          <w:rFonts w:ascii="Bookman Old Style" w:hAnsi="Bookman Old Style"/>
          <w:color w:val="000000" w:themeColor="text1"/>
          <w:sz w:val="24"/>
          <w:szCs w:val="24"/>
        </w:rPr>
        <w:t xml:space="preserve"> </w:t>
      </w:r>
      <w:r w:rsidRPr="00170D03">
        <w:rPr>
          <w:rFonts w:ascii="Bookman Old Style" w:hAnsi="Bookman Old Style"/>
          <w:color w:val="000000" w:themeColor="text1"/>
          <w:sz w:val="24"/>
          <w:szCs w:val="24"/>
        </w:rPr>
        <w:t>berpedoman</w:t>
      </w:r>
      <w:r w:rsidR="00A954D0">
        <w:rPr>
          <w:rFonts w:ascii="Bookman Old Style" w:hAnsi="Bookman Old Style"/>
          <w:color w:val="000000" w:themeColor="text1"/>
          <w:sz w:val="24"/>
          <w:szCs w:val="24"/>
        </w:rPr>
        <w:t xml:space="preserve"> </w:t>
      </w:r>
      <w:r w:rsidRPr="00170D03">
        <w:rPr>
          <w:rFonts w:ascii="Bookman Old Style" w:hAnsi="Bookman Old Style"/>
          <w:color w:val="000000" w:themeColor="text1"/>
          <w:sz w:val="24"/>
          <w:szCs w:val="24"/>
        </w:rPr>
        <w:t>pada</w:t>
      </w:r>
      <w:r w:rsidR="00A954D0">
        <w:rPr>
          <w:rFonts w:ascii="Bookman Old Style" w:hAnsi="Bookman Old Style"/>
          <w:color w:val="000000" w:themeColor="text1"/>
          <w:sz w:val="24"/>
          <w:szCs w:val="24"/>
        </w:rPr>
        <w:t xml:space="preserve"> </w:t>
      </w:r>
      <w:r w:rsidRPr="00170D03">
        <w:rPr>
          <w:rFonts w:ascii="Bookman Old Style" w:hAnsi="Bookman Old Style"/>
          <w:color w:val="000000" w:themeColor="text1"/>
          <w:sz w:val="24"/>
          <w:szCs w:val="24"/>
        </w:rPr>
        <w:t>Pasal</w:t>
      </w:r>
      <w:r w:rsidR="00A954D0">
        <w:rPr>
          <w:rFonts w:ascii="Bookman Old Style" w:hAnsi="Bookman Old Style"/>
          <w:color w:val="000000" w:themeColor="text1"/>
          <w:sz w:val="24"/>
          <w:szCs w:val="24"/>
        </w:rPr>
        <w:t xml:space="preserve"> </w:t>
      </w:r>
      <w:r w:rsidRPr="00170D03">
        <w:rPr>
          <w:rFonts w:ascii="Bookman Old Style" w:hAnsi="Bookman Old Style"/>
          <w:color w:val="000000" w:themeColor="text1"/>
          <w:sz w:val="24"/>
          <w:szCs w:val="24"/>
        </w:rPr>
        <w:t>24</w:t>
      </w:r>
      <w:r w:rsidR="00A954D0">
        <w:rPr>
          <w:rFonts w:ascii="Bookman Old Style" w:hAnsi="Bookman Old Style"/>
          <w:color w:val="000000" w:themeColor="text1"/>
          <w:sz w:val="24"/>
          <w:szCs w:val="24"/>
        </w:rPr>
        <w:t xml:space="preserve"> </w:t>
      </w:r>
      <w:r w:rsidRPr="00170D03">
        <w:rPr>
          <w:rFonts w:ascii="Bookman Old Style" w:hAnsi="Bookman Old Style"/>
          <w:color w:val="000000" w:themeColor="text1"/>
          <w:sz w:val="24"/>
          <w:szCs w:val="24"/>
        </w:rPr>
        <w:t>ayat</w:t>
      </w:r>
      <w:r w:rsidR="00A954D0">
        <w:rPr>
          <w:rFonts w:ascii="Bookman Old Style" w:hAnsi="Bookman Old Style"/>
          <w:color w:val="000000" w:themeColor="text1"/>
          <w:sz w:val="24"/>
          <w:szCs w:val="24"/>
        </w:rPr>
        <w:t xml:space="preserve"> </w:t>
      </w:r>
      <w:r w:rsidRPr="00170D03">
        <w:rPr>
          <w:rFonts w:ascii="Bookman Old Style" w:hAnsi="Bookman Old Style"/>
          <w:color w:val="000000" w:themeColor="text1"/>
          <w:sz w:val="24"/>
          <w:szCs w:val="24"/>
        </w:rPr>
        <w:t>(4)</w:t>
      </w:r>
      <w:r w:rsidR="00A954D0">
        <w:rPr>
          <w:rFonts w:ascii="Bookman Old Style" w:hAnsi="Bookman Old Style"/>
          <w:color w:val="000000" w:themeColor="text1"/>
          <w:sz w:val="24"/>
          <w:szCs w:val="24"/>
        </w:rPr>
        <w:t xml:space="preserve"> </w:t>
      </w:r>
      <w:r w:rsidRPr="00170D03">
        <w:rPr>
          <w:rFonts w:ascii="Bookman Old Style" w:hAnsi="Bookman Old Style"/>
          <w:color w:val="000000" w:themeColor="text1"/>
          <w:sz w:val="24"/>
          <w:szCs w:val="24"/>
        </w:rPr>
        <w:t>dan</w:t>
      </w:r>
      <w:r w:rsidR="00A954D0">
        <w:rPr>
          <w:rFonts w:ascii="Bookman Old Style" w:hAnsi="Bookman Old Style"/>
          <w:color w:val="000000" w:themeColor="text1"/>
          <w:sz w:val="24"/>
          <w:szCs w:val="24"/>
        </w:rPr>
        <w:t xml:space="preserve"> </w:t>
      </w:r>
      <w:r w:rsidRPr="00170D03">
        <w:rPr>
          <w:rFonts w:ascii="Bookman Old Style" w:hAnsi="Bookman Old Style"/>
          <w:color w:val="000000" w:themeColor="text1"/>
          <w:sz w:val="24"/>
          <w:szCs w:val="24"/>
        </w:rPr>
        <w:t>Pasal</w:t>
      </w:r>
      <w:r w:rsidR="00A954D0">
        <w:rPr>
          <w:rFonts w:ascii="Bookman Old Style" w:hAnsi="Bookman Old Style"/>
          <w:color w:val="000000" w:themeColor="text1"/>
          <w:sz w:val="24"/>
          <w:szCs w:val="24"/>
        </w:rPr>
        <w:t xml:space="preserve"> </w:t>
      </w:r>
      <w:r w:rsidRPr="00170D03">
        <w:rPr>
          <w:rFonts w:ascii="Bookman Old Style" w:hAnsi="Bookman Old Style"/>
          <w:color w:val="000000" w:themeColor="text1"/>
          <w:sz w:val="24"/>
          <w:szCs w:val="24"/>
        </w:rPr>
        <w:t>31</w:t>
      </w:r>
      <w:r w:rsidR="00A954D0">
        <w:rPr>
          <w:rFonts w:ascii="Bookman Old Style" w:hAnsi="Bookman Old Style"/>
          <w:color w:val="000000" w:themeColor="text1"/>
          <w:sz w:val="24"/>
          <w:szCs w:val="24"/>
        </w:rPr>
        <w:t xml:space="preserve"> </w:t>
      </w:r>
      <w:r w:rsidRPr="00170D03">
        <w:rPr>
          <w:rFonts w:ascii="Bookman Old Style" w:hAnsi="Bookman Old Style"/>
          <w:color w:val="000000" w:themeColor="text1"/>
          <w:sz w:val="24"/>
          <w:szCs w:val="24"/>
        </w:rPr>
        <w:t>ayat</w:t>
      </w:r>
      <w:r w:rsidR="00A954D0">
        <w:rPr>
          <w:rFonts w:ascii="Bookman Old Style" w:hAnsi="Bookman Old Style"/>
          <w:color w:val="000000" w:themeColor="text1"/>
          <w:sz w:val="24"/>
          <w:szCs w:val="24"/>
        </w:rPr>
        <w:t xml:space="preserve"> </w:t>
      </w:r>
      <w:r w:rsidRPr="00170D03">
        <w:rPr>
          <w:rFonts w:ascii="Bookman Old Style" w:hAnsi="Bookman Old Style"/>
          <w:color w:val="000000" w:themeColor="text1"/>
          <w:sz w:val="24"/>
          <w:szCs w:val="24"/>
        </w:rPr>
        <w:t>(4)</w:t>
      </w:r>
      <w:r w:rsidR="00A954D0">
        <w:rPr>
          <w:rFonts w:ascii="Bookman Old Style" w:hAnsi="Bookman Old Style"/>
          <w:color w:val="000000" w:themeColor="text1"/>
          <w:sz w:val="24"/>
          <w:szCs w:val="24"/>
        </w:rPr>
        <w:t xml:space="preserve"> </w:t>
      </w:r>
      <w:r w:rsidRPr="00170D03">
        <w:rPr>
          <w:rFonts w:ascii="Bookman Old Style" w:hAnsi="Bookman Old Style"/>
          <w:color w:val="000000" w:themeColor="text1"/>
          <w:sz w:val="24"/>
          <w:szCs w:val="24"/>
        </w:rPr>
        <w:t>huruf</w:t>
      </w:r>
      <w:r w:rsidR="00A954D0">
        <w:rPr>
          <w:rFonts w:ascii="Bookman Old Style" w:hAnsi="Bookman Old Style"/>
          <w:color w:val="000000" w:themeColor="text1"/>
          <w:sz w:val="24"/>
          <w:szCs w:val="24"/>
        </w:rPr>
        <w:t xml:space="preserve"> </w:t>
      </w:r>
      <w:r w:rsidRPr="00170D03">
        <w:rPr>
          <w:rFonts w:ascii="Bookman Old Style" w:hAnsi="Bookman Old Style"/>
          <w:color w:val="000000" w:themeColor="text1"/>
          <w:sz w:val="24"/>
          <w:szCs w:val="24"/>
        </w:rPr>
        <w:t>d</w:t>
      </w:r>
      <w:r w:rsidR="00A954D0">
        <w:rPr>
          <w:rFonts w:ascii="Bookman Old Style" w:hAnsi="Bookman Old Style"/>
          <w:color w:val="000000" w:themeColor="text1"/>
          <w:sz w:val="24"/>
          <w:szCs w:val="24"/>
        </w:rPr>
        <w:t xml:space="preserve"> </w:t>
      </w:r>
      <w:r w:rsidRPr="00170D03">
        <w:rPr>
          <w:rFonts w:ascii="Bookman Old Style" w:hAnsi="Bookman Old Style"/>
          <w:color w:val="000000" w:themeColor="text1"/>
          <w:sz w:val="24"/>
          <w:szCs w:val="24"/>
        </w:rPr>
        <w:t>Peraturan</w:t>
      </w:r>
      <w:r w:rsidR="00A954D0">
        <w:rPr>
          <w:rFonts w:ascii="Bookman Old Style" w:hAnsi="Bookman Old Style"/>
          <w:color w:val="000000" w:themeColor="text1"/>
          <w:sz w:val="24"/>
          <w:szCs w:val="24"/>
        </w:rPr>
        <w:t xml:space="preserve"> </w:t>
      </w:r>
      <w:r w:rsidRPr="00170D03">
        <w:rPr>
          <w:rFonts w:ascii="Bookman Old Style" w:hAnsi="Bookman Old Style"/>
          <w:color w:val="000000" w:themeColor="text1"/>
          <w:sz w:val="24"/>
          <w:szCs w:val="24"/>
        </w:rPr>
        <w:t>Pemerintah</w:t>
      </w:r>
      <w:r w:rsidR="00A954D0">
        <w:rPr>
          <w:rFonts w:ascii="Bookman Old Style" w:hAnsi="Bookman Old Style"/>
          <w:color w:val="000000" w:themeColor="text1"/>
          <w:sz w:val="24"/>
          <w:szCs w:val="24"/>
        </w:rPr>
        <w:t xml:space="preserve"> </w:t>
      </w:r>
      <w:r w:rsidRPr="00170D03">
        <w:rPr>
          <w:rFonts w:ascii="Bookman Old Style" w:hAnsi="Bookman Old Style"/>
          <w:color w:val="000000" w:themeColor="text1"/>
          <w:sz w:val="24"/>
          <w:szCs w:val="24"/>
        </w:rPr>
        <w:t>Nomor</w:t>
      </w:r>
      <w:r w:rsidR="00A954D0">
        <w:rPr>
          <w:rFonts w:ascii="Bookman Old Style" w:hAnsi="Bookman Old Style"/>
          <w:color w:val="000000" w:themeColor="text1"/>
          <w:sz w:val="24"/>
          <w:szCs w:val="24"/>
        </w:rPr>
        <w:t xml:space="preserve"> </w:t>
      </w:r>
      <w:r w:rsidRPr="00170D03">
        <w:rPr>
          <w:rFonts w:ascii="Bookman Old Style" w:hAnsi="Bookman Old Style"/>
          <w:color w:val="000000" w:themeColor="text1"/>
          <w:sz w:val="24"/>
          <w:szCs w:val="24"/>
        </w:rPr>
        <w:t>12</w:t>
      </w:r>
      <w:r w:rsidR="00A954D0">
        <w:rPr>
          <w:rFonts w:ascii="Bookman Old Style" w:hAnsi="Bookman Old Style"/>
          <w:color w:val="000000" w:themeColor="text1"/>
          <w:sz w:val="24"/>
          <w:szCs w:val="24"/>
        </w:rPr>
        <w:t xml:space="preserve"> </w:t>
      </w:r>
      <w:r w:rsidRPr="00170D03">
        <w:rPr>
          <w:rFonts w:ascii="Bookman Old Style" w:hAnsi="Bookman Old Style"/>
          <w:color w:val="000000" w:themeColor="text1"/>
          <w:sz w:val="24"/>
          <w:szCs w:val="24"/>
        </w:rPr>
        <w:t>Tahun</w:t>
      </w:r>
      <w:r w:rsidR="00A954D0">
        <w:rPr>
          <w:rFonts w:ascii="Bookman Old Style" w:hAnsi="Bookman Old Style"/>
          <w:color w:val="000000" w:themeColor="text1"/>
          <w:sz w:val="24"/>
          <w:szCs w:val="24"/>
        </w:rPr>
        <w:t xml:space="preserve"> </w:t>
      </w:r>
      <w:r w:rsidRPr="00170D03">
        <w:rPr>
          <w:rFonts w:ascii="Bookman Old Style" w:hAnsi="Bookman Old Style"/>
          <w:color w:val="000000" w:themeColor="text1"/>
          <w:sz w:val="24"/>
          <w:szCs w:val="24"/>
        </w:rPr>
        <w:t>2019</w:t>
      </w:r>
      <w:r w:rsidR="00A954D0">
        <w:rPr>
          <w:rFonts w:ascii="Bookman Old Style" w:hAnsi="Bookman Old Style"/>
          <w:color w:val="000000" w:themeColor="text1"/>
          <w:sz w:val="24"/>
          <w:szCs w:val="24"/>
        </w:rPr>
        <w:t xml:space="preserve"> </w:t>
      </w:r>
      <w:r w:rsidRPr="00170D03">
        <w:rPr>
          <w:rFonts w:ascii="Bookman Old Style" w:hAnsi="Bookman Old Style"/>
          <w:color w:val="000000" w:themeColor="text1"/>
          <w:sz w:val="24"/>
          <w:szCs w:val="24"/>
        </w:rPr>
        <w:t>dan</w:t>
      </w:r>
      <w:r w:rsidR="00A954D0">
        <w:rPr>
          <w:rFonts w:ascii="Bookman Old Style" w:hAnsi="Bookman Old Style"/>
          <w:color w:val="000000" w:themeColor="text1"/>
          <w:sz w:val="24"/>
          <w:szCs w:val="24"/>
        </w:rPr>
        <w:t xml:space="preserve"> </w:t>
      </w:r>
      <w:r w:rsidRPr="00170D03">
        <w:rPr>
          <w:rFonts w:ascii="Bookman Old Style" w:hAnsi="Bookman Old Style"/>
          <w:sz w:val="24"/>
          <w:szCs w:val="24"/>
          <w:lang w:val="id-ID"/>
        </w:rPr>
        <w:t>butir</w:t>
      </w:r>
      <w:r w:rsidR="00A954D0">
        <w:rPr>
          <w:rFonts w:ascii="Bookman Old Style" w:hAnsi="Bookman Old Style"/>
          <w:sz w:val="24"/>
          <w:szCs w:val="24"/>
          <w:lang w:val="id-ID"/>
        </w:rPr>
        <w:t xml:space="preserve"> </w:t>
      </w:r>
      <w:r w:rsidRPr="003255BC">
        <w:rPr>
          <w:rFonts w:ascii="Bookman Old Style" w:hAnsi="Bookman Old Style"/>
          <w:sz w:val="24"/>
          <w:szCs w:val="24"/>
          <w:lang w:val="sv-FI"/>
        </w:rPr>
        <w:t>3.3.1.3.b.2)</w:t>
      </w:r>
      <w:r w:rsidR="00A954D0">
        <w:rPr>
          <w:rFonts w:ascii="Bookman Old Style" w:hAnsi="Bookman Old Style"/>
          <w:sz w:val="24"/>
          <w:szCs w:val="24"/>
        </w:rPr>
        <w:t xml:space="preserve"> </w:t>
      </w:r>
      <w:r w:rsidRPr="00170D03">
        <w:rPr>
          <w:rFonts w:ascii="Bookman Old Style" w:hAnsi="Bookman Old Style"/>
          <w:sz w:val="24"/>
          <w:szCs w:val="24"/>
        </w:rPr>
        <w:t>Lampiran</w:t>
      </w:r>
      <w:r w:rsidR="00A954D0">
        <w:rPr>
          <w:rFonts w:ascii="Bookman Old Style" w:hAnsi="Bookman Old Style"/>
          <w:sz w:val="24"/>
          <w:szCs w:val="24"/>
        </w:rPr>
        <w:t xml:space="preserve"> </w:t>
      </w:r>
      <w:r w:rsidRPr="00170D03">
        <w:rPr>
          <w:rFonts w:ascii="Bookman Old Style" w:hAnsi="Bookman Old Style"/>
          <w:sz w:val="24"/>
          <w:szCs w:val="24"/>
        </w:rPr>
        <w:t>Peraturan</w:t>
      </w:r>
      <w:r w:rsidR="00A954D0">
        <w:rPr>
          <w:rFonts w:ascii="Bookman Old Style" w:hAnsi="Bookman Old Style"/>
          <w:sz w:val="24"/>
          <w:szCs w:val="24"/>
        </w:rPr>
        <w:t xml:space="preserve"> </w:t>
      </w:r>
      <w:r w:rsidRPr="00170D03">
        <w:rPr>
          <w:rFonts w:ascii="Bookman Old Style" w:hAnsi="Bookman Old Style"/>
          <w:sz w:val="24"/>
          <w:szCs w:val="24"/>
        </w:rPr>
        <w:t>Menteri</w:t>
      </w:r>
      <w:r w:rsidR="00A954D0">
        <w:rPr>
          <w:rFonts w:ascii="Bookman Old Style" w:hAnsi="Bookman Old Style"/>
          <w:sz w:val="24"/>
          <w:szCs w:val="24"/>
        </w:rPr>
        <w:t xml:space="preserve"> </w:t>
      </w:r>
      <w:r w:rsidRPr="00170D03">
        <w:rPr>
          <w:rFonts w:ascii="Bookman Old Style" w:hAnsi="Bookman Old Style"/>
          <w:sz w:val="24"/>
          <w:szCs w:val="24"/>
        </w:rPr>
        <w:t>Dalam</w:t>
      </w:r>
      <w:r w:rsidR="00A954D0">
        <w:rPr>
          <w:rFonts w:ascii="Bookman Old Style" w:hAnsi="Bookman Old Style"/>
          <w:sz w:val="24"/>
          <w:szCs w:val="24"/>
        </w:rPr>
        <w:t xml:space="preserve"> </w:t>
      </w:r>
      <w:r w:rsidRPr="00170D03">
        <w:rPr>
          <w:rFonts w:ascii="Bookman Old Style" w:hAnsi="Bookman Old Style"/>
          <w:sz w:val="24"/>
          <w:szCs w:val="24"/>
        </w:rPr>
        <w:t>Negeri</w:t>
      </w:r>
      <w:r w:rsidR="00A954D0">
        <w:rPr>
          <w:rFonts w:ascii="Bookman Old Style" w:hAnsi="Bookman Old Style"/>
          <w:sz w:val="24"/>
          <w:szCs w:val="24"/>
        </w:rPr>
        <w:t xml:space="preserve"> </w:t>
      </w:r>
      <w:r w:rsidRPr="00170D03">
        <w:rPr>
          <w:rFonts w:ascii="Bookman Old Style" w:hAnsi="Bookman Old Style"/>
          <w:sz w:val="24"/>
          <w:szCs w:val="24"/>
        </w:rPr>
        <w:t>Nomor</w:t>
      </w:r>
      <w:r w:rsidR="00A954D0">
        <w:rPr>
          <w:rFonts w:ascii="Bookman Old Style" w:hAnsi="Bookman Old Style"/>
          <w:sz w:val="24"/>
          <w:szCs w:val="24"/>
        </w:rPr>
        <w:t xml:space="preserve"> </w:t>
      </w:r>
      <w:r w:rsidRPr="003255BC">
        <w:rPr>
          <w:rFonts w:ascii="Bookman Old Style" w:hAnsi="Bookman Old Style"/>
          <w:sz w:val="24"/>
          <w:szCs w:val="24"/>
          <w:lang w:val="sv-FI"/>
        </w:rPr>
        <w:t>15</w:t>
      </w:r>
      <w:r w:rsidR="00A954D0">
        <w:rPr>
          <w:rFonts w:ascii="Bookman Old Style" w:hAnsi="Bookman Old Style"/>
          <w:sz w:val="24"/>
          <w:szCs w:val="24"/>
        </w:rPr>
        <w:t xml:space="preserve"> </w:t>
      </w:r>
      <w:r w:rsidRPr="00170D03">
        <w:rPr>
          <w:rFonts w:ascii="Bookman Old Style" w:hAnsi="Bookman Old Style"/>
          <w:sz w:val="24"/>
          <w:szCs w:val="24"/>
        </w:rPr>
        <w:t>Tahun</w:t>
      </w:r>
      <w:r w:rsidR="00A954D0">
        <w:rPr>
          <w:rFonts w:ascii="Bookman Old Style" w:hAnsi="Bookman Old Style"/>
          <w:sz w:val="24"/>
          <w:szCs w:val="24"/>
        </w:rPr>
        <w:t xml:space="preserve"> </w:t>
      </w:r>
      <w:r w:rsidRPr="00170D03">
        <w:rPr>
          <w:rFonts w:ascii="Bookman Old Style" w:hAnsi="Bookman Old Style"/>
          <w:sz w:val="24"/>
          <w:szCs w:val="24"/>
        </w:rPr>
        <w:t>202</w:t>
      </w:r>
      <w:r w:rsidRPr="003255BC">
        <w:rPr>
          <w:rFonts w:ascii="Bookman Old Style" w:hAnsi="Bookman Old Style"/>
          <w:sz w:val="24"/>
          <w:szCs w:val="24"/>
          <w:lang w:val="sv-FI"/>
        </w:rPr>
        <w:t>4</w:t>
      </w:r>
      <w:r w:rsidRPr="00170D03">
        <w:rPr>
          <w:rFonts w:ascii="Bookman Old Style" w:hAnsi="Bookman Old Style"/>
          <w:color w:val="000000" w:themeColor="text1"/>
          <w:sz w:val="24"/>
          <w:szCs w:val="24"/>
          <w:lang w:val="id-ID"/>
        </w:rPr>
        <w:t>;</w:t>
      </w:r>
    </w:p>
    <w:p w14:paraId="15BECD4E" w14:textId="1665CC99" w:rsidR="001F194E" w:rsidRPr="00727324" w:rsidRDefault="001F194E" w:rsidP="00B16310">
      <w:pPr>
        <w:pStyle w:val="ListParagraph"/>
        <w:numPr>
          <w:ilvl w:val="0"/>
          <w:numId w:val="10"/>
        </w:numPr>
        <w:spacing w:before="60" w:after="0" w:line="276" w:lineRule="auto"/>
        <w:ind w:left="2268" w:hanging="567"/>
        <w:contextualSpacing w:val="0"/>
        <w:jc w:val="both"/>
        <w:rPr>
          <w:rFonts w:ascii="Bookman Old Style" w:hAnsi="Bookman Old Style"/>
          <w:sz w:val="24"/>
          <w:szCs w:val="24"/>
        </w:rPr>
      </w:pPr>
      <w:r w:rsidRPr="00727324">
        <w:rPr>
          <w:rFonts w:ascii="Bookman Old Style" w:hAnsi="Bookman Old Style"/>
          <w:sz w:val="24"/>
          <w:szCs w:val="24"/>
        </w:rPr>
        <w:t>Pendapatan</w:t>
      </w:r>
      <w:r w:rsidR="00A954D0">
        <w:rPr>
          <w:rFonts w:ascii="Bookman Old Style" w:hAnsi="Bookman Old Style"/>
          <w:sz w:val="24"/>
          <w:szCs w:val="24"/>
        </w:rPr>
        <w:t xml:space="preserve"> </w:t>
      </w:r>
      <w:r w:rsidRPr="00727324">
        <w:rPr>
          <w:rFonts w:ascii="Bookman Old Style" w:hAnsi="Bookman Old Style"/>
          <w:sz w:val="24"/>
          <w:szCs w:val="24"/>
        </w:rPr>
        <w:t>Bunga</w:t>
      </w:r>
      <w:r w:rsidR="00A954D0">
        <w:rPr>
          <w:rFonts w:ascii="Bookman Old Style" w:hAnsi="Bookman Old Style"/>
          <w:sz w:val="24"/>
          <w:szCs w:val="24"/>
        </w:rPr>
        <w:t xml:space="preserve"> </w:t>
      </w:r>
      <w:r w:rsidRPr="00727324">
        <w:rPr>
          <w:rFonts w:ascii="Bookman Old Style" w:hAnsi="Bookman Old Style"/>
          <w:sz w:val="24"/>
          <w:szCs w:val="24"/>
        </w:rPr>
        <w:t>Rp</w:t>
      </w:r>
      <w:r w:rsidRPr="00A50691">
        <w:rPr>
          <w:rFonts w:ascii="Bookman Old Style" w:hAnsi="Bookman Old Style"/>
          <w:sz w:val="24"/>
          <w:szCs w:val="24"/>
        </w:rPr>
        <w:t>6.500.000.000,00</w:t>
      </w:r>
      <w:r w:rsidR="00A954D0">
        <w:rPr>
          <w:rFonts w:ascii="Bookman Old Style" w:hAnsi="Bookman Old Style"/>
          <w:sz w:val="24"/>
          <w:szCs w:val="24"/>
        </w:rPr>
        <w:t xml:space="preserve"> </w:t>
      </w:r>
      <w:r w:rsidRPr="00727324">
        <w:rPr>
          <w:rFonts w:ascii="Bookman Old Style" w:hAnsi="Bookman Old Style"/>
          <w:sz w:val="24"/>
          <w:szCs w:val="24"/>
        </w:rPr>
        <w:t>atau</w:t>
      </w:r>
      <w:r w:rsidR="00A954D0">
        <w:rPr>
          <w:rFonts w:ascii="Bookman Old Style" w:hAnsi="Bookman Old Style"/>
          <w:sz w:val="24"/>
          <w:szCs w:val="24"/>
        </w:rPr>
        <w:t xml:space="preserve"> </w:t>
      </w:r>
      <w:r w:rsidRPr="00727324">
        <w:rPr>
          <w:rFonts w:ascii="Bookman Old Style" w:hAnsi="Bookman Old Style"/>
          <w:sz w:val="24"/>
          <w:szCs w:val="24"/>
        </w:rPr>
        <w:t>0,</w:t>
      </w:r>
      <w:r>
        <w:rPr>
          <w:rFonts w:ascii="Bookman Old Style" w:hAnsi="Bookman Old Style"/>
          <w:sz w:val="24"/>
          <w:szCs w:val="24"/>
        </w:rPr>
        <w:t>12</w:t>
      </w:r>
      <w:r w:rsidRPr="00727324">
        <w:rPr>
          <w:rFonts w:ascii="Bookman Old Style" w:hAnsi="Bookman Old Style"/>
          <w:sz w:val="24"/>
          <w:szCs w:val="24"/>
        </w:rPr>
        <w:t>%</w:t>
      </w:r>
      <w:r w:rsidR="00A954D0">
        <w:rPr>
          <w:rFonts w:ascii="Bookman Old Style" w:hAnsi="Bookman Old Style"/>
          <w:sz w:val="24"/>
          <w:szCs w:val="24"/>
        </w:rPr>
        <w:t xml:space="preserve"> </w:t>
      </w:r>
      <w:r w:rsidRPr="00727324">
        <w:rPr>
          <w:rFonts w:ascii="Bookman Old Style" w:hAnsi="Bookman Old Style"/>
          <w:sz w:val="24"/>
          <w:szCs w:val="24"/>
        </w:rPr>
        <w:t>dari</w:t>
      </w:r>
      <w:r w:rsidR="00A954D0">
        <w:rPr>
          <w:rFonts w:ascii="Bookman Old Style" w:hAnsi="Bookman Old Style"/>
          <w:sz w:val="24"/>
          <w:szCs w:val="24"/>
        </w:rPr>
        <w:t xml:space="preserve"> </w:t>
      </w:r>
      <w:r w:rsidRPr="00727324">
        <w:rPr>
          <w:rFonts w:ascii="Bookman Old Style" w:hAnsi="Bookman Old Style"/>
          <w:sz w:val="24"/>
          <w:szCs w:val="24"/>
        </w:rPr>
        <w:t>total</w:t>
      </w:r>
      <w:r w:rsidR="00A954D0">
        <w:rPr>
          <w:rFonts w:ascii="Bookman Old Style" w:hAnsi="Bookman Old Style"/>
          <w:sz w:val="24"/>
          <w:szCs w:val="24"/>
        </w:rPr>
        <w:t xml:space="preserve"> </w:t>
      </w:r>
      <w:r w:rsidRPr="00727324">
        <w:rPr>
          <w:rFonts w:ascii="Bookman Old Style" w:hAnsi="Bookman Old Style"/>
          <w:sz w:val="24"/>
          <w:szCs w:val="24"/>
        </w:rPr>
        <w:t>pendapatan</w:t>
      </w:r>
      <w:r w:rsidR="00A954D0">
        <w:rPr>
          <w:rFonts w:ascii="Bookman Old Style" w:hAnsi="Bookman Old Style"/>
          <w:sz w:val="24"/>
          <w:szCs w:val="24"/>
        </w:rPr>
        <w:t xml:space="preserve"> </w:t>
      </w:r>
      <w:r w:rsidRPr="00727324">
        <w:rPr>
          <w:rFonts w:ascii="Bookman Old Style" w:hAnsi="Bookman Old Style"/>
          <w:sz w:val="24"/>
          <w:szCs w:val="24"/>
        </w:rPr>
        <w:t>daerah</w:t>
      </w:r>
      <w:r w:rsidR="00A954D0">
        <w:rPr>
          <w:rFonts w:ascii="Bookman Old Style" w:hAnsi="Bookman Old Style"/>
          <w:sz w:val="24"/>
          <w:szCs w:val="24"/>
        </w:rPr>
        <w:t xml:space="preserve"> </w:t>
      </w:r>
      <w:r w:rsidRPr="00727324">
        <w:rPr>
          <w:rFonts w:ascii="Bookman Old Style" w:hAnsi="Bookman Old Style"/>
          <w:sz w:val="24"/>
          <w:szCs w:val="24"/>
        </w:rPr>
        <w:t>dalam</w:t>
      </w:r>
      <w:r w:rsidR="00A954D0">
        <w:rPr>
          <w:rFonts w:ascii="Bookman Old Style" w:hAnsi="Bookman Old Style"/>
          <w:sz w:val="24"/>
          <w:szCs w:val="24"/>
        </w:rPr>
        <w:t xml:space="preserve"> </w:t>
      </w:r>
      <w:r w:rsidRPr="00727324">
        <w:rPr>
          <w:rFonts w:ascii="Bookman Old Style" w:hAnsi="Bookman Old Style"/>
          <w:sz w:val="24"/>
          <w:szCs w:val="24"/>
        </w:rPr>
        <w:t>Rancangan</w:t>
      </w:r>
      <w:r w:rsidR="00A954D0">
        <w:rPr>
          <w:rFonts w:ascii="Bookman Old Style" w:hAnsi="Bookman Old Style"/>
          <w:sz w:val="24"/>
          <w:szCs w:val="24"/>
        </w:rPr>
        <w:t xml:space="preserve"> </w:t>
      </w:r>
      <w:r w:rsidRPr="00727324">
        <w:rPr>
          <w:rFonts w:ascii="Bookman Old Style" w:hAnsi="Bookman Old Style"/>
          <w:sz w:val="24"/>
          <w:szCs w:val="24"/>
        </w:rPr>
        <w:t>Peraturan</w:t>
      </w:r>
      <w:r w:rsidR="00A954D0">
        <w:rPr>
          <w:rFonts w:ascii="Bookman Old Style" w:hAnsi="Bookman Old Style"/>
          <w:sz w:val="24"/>
          <w:szCs w:val="24"/>
        </w:rPr>
        <w:t xml:space="preserve"> </w:t>
      </w:r>
      <w:r w:rsidRPr="00727324">
        <w:rPr>
          <w:rFonts w:ascii="Bookman Old Style" w:hAnsi="Bookman Old Style"/>
          <w:sz w:val="24"/>
          <w:szCs w:val="24"/>
        </w:rPr>
        <w:t>Daerah</w:t>
      </w:r>
      <w:r w:rsidR="00A954D0">
        <w:rPr>
          <w:rFonts w:ascii="Bookman Old Style" w:hAnsi="Bookman Old Style"/>
          <w:sz w:val="24"/>
          <w:szCs w:val="24"/>
        </w:rPr>
        <w:t xml:space="preserve"> </w:t>
      </w:r>
      <w:r w:rsidRPr="003255BC">
        <w:rPr>
          <w:rFonts w:ascii="Bookman Old Style" w:hAnsi="Bookman Old Style"/>
          <w:sz w:val="24"/>
          <w:szCs w:val="24"/>
          <w:lang w:val="sv-FI"/>
        </w:rPr>
        <w:t>Kota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Tangerang</w:t>
      </w:r>
      <w:r w:rsidR="00A954D0" w:rsidRPr="003255BC">
        <w:rPr>
          <w:rFonts w:ascii="Bookman Old Style" w:hAnsi="Bookman Old Style"/>
          <w:sz w:val="24"/>
          <w:szCs w:val="24"/>
          <w:lang w:val="sv-FI"/>
        </w:rPr>
        <w:t xml:space="preserve"> </w:t>
      </w:r>
      <w:r w:rsidRPr="00727324">
        <w:rPr>
          <w:rFonts w:ascii="Bookman Old Style" w:hAnsi="Bookman Old Style"/>
          <w:sz w:val="24"/>
          <w:szCs w:val="24"/>
        </w:rPr>
        <w:t>tentang</w:t>
      </w:r>
      <w:r w:rsidR="00A954D0">
        <w:rPr>
          <w:rFonts w:ascii="Bookman Old Style" w:hAnsi="Bookman Old Style"/>
          <w:sz w:val="24"/>
          <w:szCs w:val="24"/>
        </w:rPr>
        <w:t xml:space="preserve"> </w:t>
      </w:r>
      <w:r w:rsidRPr="00727324">
        <w:rPr>
          <w:rFonts w:ascii="Bookman Old Style" w:hAnsi="Bookman Old Style"/>
          <w:sz w:val="24"/>
          <w:szCs w:val="24"/>
        </w:rPr>
        <w:t>APBD</w:t>
      </w:r>
      <w:r w:rsidR="00A954D0">
        <w:rPr>
          <w:rFonts w:ascii="Bookman Old Style" w:hAnsi="Bookman Old Style"/>
          <w:sz w:val="24"/>
          <w:szCs w:val="24"/>
        </w:rPr>
        <w:t xml:space="preserve"> </w:t>
      </w:r>
      <w:r w:rsidRPr="00727324">
        <w:rPr>
          <w:rFonts w:ascii="Bookman Old Style" w:hAnsi="Bookman Old Style"/>
          <w:sz w:val="24"/>
          <w:szCs w:val="24"/>
        </w:rPr>
        <w:t>Tahun</w:t>
      </w:r>
      <w:r w:rsidR="00A954D0">
        <w:rPr>
          <w:rFonts w:ascii="Bookman Old Style" w:hAnsi="Bookman Old Style"/>
          <w:sz w:val="24"/>
          <w:szCs w:val="24"/>
        </w:rPr>
        <w:t xml:space="preserve"> </w:t>
      </w:r>
      <w:r w:rsidRPr="00727324">
        <w:rPr>
          <w:rFonts w:ascii="Bookman Old Style" w:hAnsi="Bookman Old Style"/>
          <w:sz w:val="24"/>
          <w:szCs w:val="24"/>
        </w:rPr>
        <w:t>Anggaran</w:t>
      </w:r>
      <w:r w:rsidR="00A954D0">
        <w:rPr>
          <w:rFonts w:ascii="Bookman Old Style" w:hAnsi="Bookman Old Style"/>
          <w:sz w:val="24"/>
          <w:szCs w:val="24"/>
        </w:rPr>
        <w:t xml:space="preserve"> </w:t>
      </w:r>
      <w:r w:rsidRPr="00727324">
        <w:rPr>
          <w:rFonts w:ascii="Bookman Old Style" w:hAnsi="Bookman Old Style"/>
          <w:sz w:val="24"/>
          <w:szCs w:val="24"/>
        </w:rPr>
        <w:t>2025,</w:t>
      </w:r>
      <w:r w:rsidR="00A954D0">
        <w:rPr>
          <w:rFonts w:ascii="Bookman Old Style" w:hAnsi="Bookman Old Style"/>
          <w:sz w:val="24"/>
          <w:szCs w:val="24"/>
        </w:rPr>
        <w:t xml:space="preserve"> </w:t>
      </w:r>
      <w:r w:rsidRPr="00727324">
        <w:rPr>
          <w:rFonts w:ascii="Bookman Old Style" w:hAnsi="Bookman Old Style"/>
          <w:sz w:val="24"/>
          <w:szCs w:val="24"/>
        </w:rPr>
        <w:t>dianggarkan</w:t>
      </w:r>
      <w:r w:rsidR="00A954D0">
        <w:rPr>
          <w:rFonts w:ascii="Bookman Old Style" w:hAnsi="Bookman Old Style"/>
          <w:sz w:val="24"/>
          <w:szCs w:val="24"/>
        </w:rPr>
        <w:t xml:space="preserve"> </w:t>
      </w:r>
      <w:r w:rsidRPr="00727324">
        <w:rPr>
          <w:rFonts w:ascii="Bookman Old Style" w:hAnsi="Bookman Old Style"/>
          <w:sz w:val="24"/>
          <w:szCs w:val="24"/>
        </w:rPr>
        <w:t>dengan</w:t>
      </w:r>
      <w:r w:rsidR="00A954D0">
        <w:rPr>
          <w:rFonts w:ascii="Bookman Old Style" w:hAnsi="Bookman Old Style"/>
          <w:sz w:val="24"/>
          <w:szCs w:val="24"/>
        </w:rPr>
        <w:t xml:space="preserve"> </w:t>
      </w:r>
      <w:r w:rsidRPr="00727324">
        <w:rPr>
          <w:rFonts w:ascii="Bookman Old Style" w:hAnsi="Bookman Old Style"/>
          <w:sz w:val="24"/>
          <w:szCs w:val="24"/>
        </w:rPr>
        <w:t>berpedoman</w:t>
      </w:r>
      <w:r w:rsidR="00A954D0">
        <w:rPr>
          <w:rFonts w:ascii="Bookman Old Style" w:hAnsi="Bookman Old Style"/>
          <w:sz w:val="24"/>
          <w:szCs w:val="24"/>
        </w:rPr>
        <w:t xml:space="preserve"> </w:t>
      </w:r>
      <w:r w:rsidRPr="00727324">
        <w:rPr>
          <w:rFonts w:ascii="Bookman Old Style" w:hAnsi="Bookman Old Style"/>
          <w:sz w:val="24"/>
          <w:szCs w:val="24"/>
        </w:rPr>
        <w:t>pada</w:t>
      </w:r>
      <w:r w:rsidR="00A954D0">
        <w:rPr>
          <w:rFonts w:ascii="Bookman Old Style" w:hAnsi="Bookman Old Style"/>
          <w:sz w:val="24"/>
          <w:szCs w:val="24"/>
        </w:rPr>
        <w:t xml:space="preserve"> </w:t>
      </w:r>
      <w:r w:rsidRPr="00727324">
        <w:rPr>
          <w:rFonts w:ascii="Bookman Old Style" w:hAnsi="Bookman Old Style"/>
          <w:sz w:val="24"/>
          <w:szCs w:val="24"/>
        </w:rPr>
        <w:t>Pasal</w:t>
      </w:r>
      <w:r w:rsidR="00A954D0">
        <w:rPr>
          <w:rFonts w:ascii="Bookman Old Style" w:hAnsi="Bookman Old Style"/>
          <w:sz w:val="24"/>
          <w:szCs w:val="24"/>
        </w:rPr>
        <w:t xml:space="preserve"> </w:t>
      </w:r>
      <w:r w:rsidRPr="00727324">
        <w:rPr>
          <w:rFonts w:ascii="Bookman Old Style" w:hAnsi="Bookman Old Style"/>
          <w:sz w:val="24"/>
          <w:szCs w:val="24"/>
        </w:rPr>
        <w:t>24</w:t>
      </w:r>
      <w:r w:rsidR="00A954D0">
        <w:rPr>
          <w:rFonts w:ascii="Bookman Old Style" w:hAnsi="Bookman Old Style"/>
          <w:sz w:val="24"/>
          <w:szCs w:val="24"/>
        </w:rPr>
        <w:t xml:space="preserve"> </w:t>
      </w:r>
      <w:r w:rsidRPr="00727324">
        <w:rPr>
          <w:rFonts w:ascii="Bookman Old Style" w:hAnsi="Bookman Old Style"/>
          <w:sz w:val="24"/>
          <w:szCs w:val="24"/>
        </w:rPr>
        <w:t>ayat</w:t>
      </w:r>
      <w:r w:rsidR="00A954D0">
        <w:rPr>
          <w:rFonts w:ascii="Bookman Old Style" w:hAnsi="Bookman Old Style"/>
          <w:sz w:val="24"/>
          <w:szCs w:val="24"/>
        </w:rPr>
        <w:t xml:space="preserve"> </w:t>
      </w:r>
      <w:r w:rsidRPr="00727324">
        <w:rPr>
          <w:rFonts w:ascii="Bookman Old Style" w:hAnsi="Bookman Old Style"/>
          <w:sz w:val="24"/>
          <w:szCs w:val="24"/>
        </w:rPr>
        <w:t>(4)</w:t>
      </w:r>
      <w:r w:rsidR="00A954D0">
        <w:rPr>
          <w:rFonts w:ascii="Bookman Old Style" w:hAnsi="Bookman Old Style"/>
          <w:sz w:val="24"/>
          <w:szCs w:val="24"/>
        </w:rPr>
        <w:t xml:space="preserve"> </w:t>
      </w:r>
      <w:r w:rsidRPr="00727324">
        <w:rPr>
          <w:rFonts w:ascii="Bookman Old Style" w:hAnsi="Bookman Old Style"/>
          <w:sz w:val="24"/>
          <w:szCs w:val="24"/>
        </w:rPr>
        <w:t>dan</w:t>
      </w:r>
      <w:r w:rsidR="00A954D0">
        <w:rPr>
          <w:rFonts w:ascii="Bookman Old Style" w:hAnsi="Bookman Old Style"/>
          <w:sz w:val="24"/>
          <w:szCs w:val="24"/>
        </w:rPr>
        <w:t xml:space="preserve"> </w:t>
      </w:r>
      <w:r w:rsidRPr="00727324">
        <w:rPr>
          <w:rFonts w:ascii="Bookman Old Style" w:hAnsi="Bookman Old Style"/>
          <w:sz w:val="24"/>
          <w:szCs w:val="24"/>
        </w:rPr>
        <w:t>Pasal</w:t>
      </w:r>
      <w:r w:rsidR="00A954D0">
        <w:rPr>
          <w:rFonts w:ascii="Bookman Old Style" w:hAnsi="Bookman Old Style"/>
          <w:sz w:val="24"/>
          <w:szCs w:val="24"/>
        </w:rPr>
        <w:t xml:space="preserve"> </w:t>
      </w:r>
      <w:r w:rsidRPr="00727324">
        <w:rPr>
          <w:rFonts w:ascii="Bookman Old Style" w:hAnsi="Bookman Old Style"/>
          <w:sz w:val="24"/>
          <w:szCs w:val="24"/>
        </w:rPr>
        <w:t>31</w:t>
      </w:r>
      <w:r w:rsidR="00A954D0">
        <w:rPr>
          <w:rFonts w:ascii="Bookman Old Style" w:hAnsi="Bookman Old Style"/>
          <w:sz w:val="24"/>
          <w:szCs w:val="24"/>
        </w:rPr>
        <w:t xml:space="preserve"> </w:t>
      </w:r>
      <w:r w:rsidRPr="00727324">
        <w:rPr>
          <w:rFonts w:ascii="Bookman Old Style" w:hAnsi="Bookman Old Style"/>
          <w:sz w:val="24"/>
          <w:szCs w:val="24"/>
        </w:rPr>
        <w:t>ayat</w:t>
      </w:r>
      <w:r w:rsidR="00A954D0">
        <w:rPr>
          <w:rFonts w:ascii="Bookman Old Style" w:hAnsi="Bookman Old Style"/>
          <w:sz w:val="24"/>
          <w:szCs w:val="24"/>
        </w:rPr>
        <w:t xml:space="preserve"> </w:t>
      </w:r>
      <w:r w:rsidRPr="00727324">
        <w:rPr>
          <w:rFonts w:ascii="Bookman Old Style" w:hAnsi="Bookman Old Style"/>
          <w:sz w:val="24"/>
          <w:szCs w:val="24"/>
        </w:rPr>
        <w:t>(4)</w:t>
      </w:r>
      <w:r w:rsidR="00A954D0">
        <w:rPr>
          <w:rFonts w:ascii="Bookman Old Style" w:hAnsi="Bookman Old Style"/>
          <w:sz w:val="24"/>
          <w:szCs w:val="24"/>
        </w:rPr>
        <w:t xml:space="preserve"> </w:t>
      </w:r>
      <w:r w:rsidRPr="00727324">
        <w:rPr>
          <w:rFonts w:ascii="Bookman Old Style" w:hAnsi="Bookman Old Style"/>
          <w:sz w:val="24"/>
          <w:szCs w:val="24"/>
        </w:rPr>
        <w:t>huruf</w:t>
      </w:r>
      <w:r w:rsidR="00A954D0">
        <w:rPr>
          <w:rFonts w:ascii="Bookman Old Style" w:hAnsi="Bookman Old Style"/>
          <w:sz w:val="24"/>
          <w:szCs w:val="24"/>
        </w:rPr>
        <w:t xml:space="preserve"> </w:t>
      </w:r>
      <w:r w:rsidRPr="00727324">
        <w:rPr>
          <w:rFonts w:ascii="Bookman Old Style" w:hAnsi="Bookman Old Style"/>
          <w:sz w:val="24"/>
          <w:szCs w:val="24"/>
        </w:rPr>
        <w:t>f</w:t>
      </w:r>
      <w:r w:rsidR="00A954D0">
        <w:rPr>
          <w:rFonts w:ascii="Bookman Old Style" w:hAnsi="Bookman Old Style"/>
          <w:sz w:val="24"/>
          <w:szCs w:val="24"/>
        </w:rPr>
        <w:t xml:space="preserve"> </w:t>
      </w:r>
      <w:r w:rsidRPr="00727324">
        <w:rPr>
          <w:rFonts w:ascii="Bookman Old Style" w:hAnsi="Bookman Old Style"/>
          <w:sz w:val="24"/>
          <w:szCs w:val="24"/>
        </w:rPr>
        <w:t>Peraturan</w:t>
      </w:r>
      <w:r w:rsidR="00A954D0">
        <w:rPr>
          <w:rFonts w:ascii="Bookman Old Style" w:hAnsi="Bookman Old Style"/>
          <w:sz w:val="24"/>
          <w:szCs w:val="24"/>
        </w:rPr>
        <w:t xml:space="preserve"> </w:t>
      </w:r>
      <w:r w:rsidRPr="00727324">
        <w:rPr>
          <w:rFonts w:ascii="Bookman Old Style" w:hAnsi="Bookman Old Style"/>
          <w:sz w:val="24"/>
          <w:szCs w:val="24"/>
        </w:rPr>
        <w:t>Pemerintah</w:t>
      </w:r>
      <w:r w:rsidR="00A954D0">
        <w:rPr>
          <w:rFonts w:ascii="Bookman Old Style" w:hAnsi="Bookman Old Style"/>
          <w:sz w:val="24"/>
          <w:szCs w:val="24"/>
        </w:rPr>
        <w:t xml:space="preserve"> </w:t>
      </w:r>
      <w:r w:rsidRPr="00727324">
        <w:rPr>
          <w:rFonts w:ascii="Bookman Old Style" w:hAnsi="Bookman Old Style"/>
          <w:sz w:val="24"/>
          <w:szCs w:val="24"/>
        </w:rPr>
        <w:t>Nomor</w:t>
      </w:r>
      <w:r w:rsidR="00A954D0">
        <w:rPr>
          <w:rFonts w:ascii="Bookman Old Style" w:hAnsi="Bookman Old Style"/>
          <w:sz w:val="24"/>
          <w:szCs w:val="24"/>
        </w:rPr>
        <w:t xml:space="preserve"> </w:t>
      </w:r>
      <w:r w:rsidRPr="00727324">
        <w:rPr>
          <w:rFonts w:ascii="Bookman Old Style" w:hAnsi="Bookman Old Style"/>
          <w:sz w:val="24"/>
          <w:szCs w:val="24"/>
        </w:rPr>
        <w:t>12</w:t>
      </w:r>
      <w:r w:rsidR="00A954D0">
        <w:rPr>
          <w:rFonts w:ascii="Bookman Old Style" w:hAnsi="Bookman Old Style"/>
          <w:sz w:val="24"/>
          <w:szCs w:val="24"/>
        </w:rPr>
        <w:t xml:space="preserve"> </w:t>
      </w:r>
      <w:r w:rsidRPr="00727324">
        <w:rPr>
          <w:rFonts w:ascii="Bookman Old Style" w:hAnsi="Bookman Old Style"/>
          <w:sz w:val="24"/>
          <w:szCs w:val="24"/>
        </w:rPr>
        <w:t>Tahun</w:t>
      </w:r>
      <w:r w:rsidR="00A954D0">
        <w:rPr>
          <w:rFonts w:ascii="Bookman Old Style" w:hAnsi="Bookman Old Style"/>
          <w:sz w:val="24"/>
          <w:szCs w:val="24"/>
        </w:rPr>
        <w:t xml:space="preserve"> </w:t>
      </w:r>
      <w:r w:rsidRPr="00727324">
        <w:rPr>
          <w:rFonts w:ascii="Bookman Old Style" w:hAnsi="Bookman Old Style"/>
          <w:sz w:val="24"/>
          <w:szCs w:val="24"/>
        </w:rPr>
        <w:t>2019</w:t>
      </w:r>
      <w:r w:rsidR="00A954D0">
        <w:rPr>
          <w:rFonts w:ascii="Bookman Old Style" w:hAnsi="Bookman Old Style"/>
          <w:sz w:val="24"/>
          <w:szCs w:val="24"/>
        </w:rPr>
        <w:t xml:space="preserve"> </w:t>
      </w:r>
      <w:r w:rsidRPr="00727324">
        <w:rPr>
          <w:rFonts w:ascii="Bookman Old Style" w:hAnsi="Bookman Old Style"/>
          <w:sz w:val="24"/>
          <w:szCs w:val="24"/>
        </w:rPr>
        <w:t>dan</w:t>
      </w:r>
      <w:r w:rsidR="00A954D0">
        <w:rPr>
          <w:rFonts w:ascii="Bookman Old Style" w:hAnsi="Bookman Old Style"/>
          <w:sz w:val="24"/>
          <w:szCs w:val="24"/>
        </w:rPr>
        <w:t xml:space="preserve"> </w:t>
      </w:r>
      <w:r w:rsidRPr="00727324">
        <w:rPr>
          <w:rFonts w:ascii="Bookman Old Style" w:hAnsi="Bookman Old Style"/>
          <w:sz w:val="24"/>
          <w:szCs w:val="24"/>
          <w:lang w:val="id-ID"/>
        </w:rPr>
        <w:t>butir</w:t>
      </w:r>
      <w:r w:rsidR="00A954D0">
        <w:rPr>
          <w:rFonts w:ascii="Bookman Old Style" w:hAnsi="Bookman Old Style"/>
          <w:sz w:val="24"/>
          <w:szCs w:val="24"/>
          <w:lang w:val="id-ID"/>
        </w:rPr>
        <w:t xml:space="preserve"> </w:t>
      </w:r>
      <w:r w:rsidRPr="003255BC">
        <w:rPr>
          <w:rFonts w:ascii="Bookman Old Style" w:hAnsi="Bookman Old Style"/>
          <w:sz w:val="24"/>
          <w:szCs w:val="24"/>
          <w:lang w:val="sv-FI"/>
        </w:rPr>
        <w:t>3.3.1.3.b.3)</w:t>
      </w:r>
      <w:r w:rsidR="00A954D0">
        <w:rPr>
          <w:rFonts w:ascii="Bookman Old Style" w:hAnsi="Bookman Old Style"/>
          <w:sz w:val="24"/>
          <w:szCs w:val="24"/>
        </w:rPr>
        <w:t xml:space="preserve"> </w:t>
      </w:r>
      <w:r w:rsidRPr="00727324">
        <w:rPr>
          <w:rFonts w:ascii="Bookman Old Style" w:hAnsi="Bookman Old Style"/>
          <w:sz w:val="24"/>
          <w:szCs w:val="24"/>
        </w:rPr>
        <w:t>Lampiran</w:t>
      </w:r>
      <w:r w:rsidR="00A954D0">
        <w:rPr>
          <w:rFonts w:ascii="Bookman Old Style" w:hAnsi="Bookman Old Style"/>
          <w:sz w:val="24"/>
          <w:szCs w:val="24"/>
        </w:rPr>
        <w:t xml:space="preserve"> </w:t>
      </w:r>
      <w:r w:rsidRPr="00727324">
        <w:rPr>
          <w:rFonts w:ascii="Bookman Old Style" w:hAnsi="Bookman Old Style"/>
          <w:sz w:val="24"/>
          <w:szCs w:val="24"/>
        </w:rPr>
        <w:t>Peraturan</w:t>
      </w:r>
      <w:r w:rsidR="00A954D0">
        <w:rPr>
          <w:rFonts w:ascii="Bookman Old Style" w:hAnsi="Bookman Old Style"/>
          <w:sz w:val="24"/>
          <w:szCs w:val="24"/>
        </w:rPr>
        <w:t xml:space="preserve"> </w:t>
      </w:r>
      <w:r w:rsidRPr="00727324">
        <w:rPr>
          <w:rFonts w:ascii="Bookman Old Style" w:hAnsi="Bookman Old Style"/>
          <w:sz w:val="24"/>
          <w:szCs w:val="24"/>
        </w:rPr>
        <w:t>Menteri</w:t>
      </w:r>
      <w:r w:rsidR="00A954D0">
        <w:rPr>
          <w:rFonts w:ascii="Bookman Old Style" w:hAnsi="Bookman Old Style"/>
          <w:sz w:val="24"/>
          <w:szCs w:val="24"/>
        </w:rPr>
        <w:t xml:space="preserve"> </w:t>
      </w:r>
      <w:r w:rsidRPr="00727324">
        <w:rPr>
          <w:rFonts w:ascii="Bookman Old Style" w:hAnsi="Bookman Old Style"/>
          <w:sz w:val="24"/>
          <w:szCs w:val="24"/>
        </w:rPr>
        <w:t>Dalam</w:t>
      </w:r>
      <w:r w:rsidR="00A954D0">
        <w:rPr>
          <w:rFonts w:ascii="Bookman Old Style" w:hAnsi="Bookman Old Style"/>
          <w:sz w:val="24"/>
          <w:szCs w:val="24"/>
        </w:rPr>
        <w:t xml:space="preserve"> </w:t>
      </w:r>
      <w:r w:rsidRPr="00727324">
        <w:rPr>
          <w:rFonts w:ascii="Bookman Old Style" w:hAnsi="Bookman Old Style"/>
          <w:sz w:val="24"/>
          <w:szCs w:val="24"/>
        </w:rPr>
        <w:t>Negeri</w:t>
      </w:r>
      <w:r w:rsidR="00A954D0">
        <w:rPr>
          <w:rFonts w:ascii="Bookman Old Style" w:hAnsi="Bookman Old Style"/>
          <w:sz w:val="24"/>
          <w:szCs w:val="24"/>
        </w:rPr>
        <w:t xml:space="preserve"> </w:t>
      </w:r>
      <w:r w:rsidRPr="00727324">
        <w:rPr>
          <w:rFonts w:ascii="Bookman Old Style" w:hAnsi="Bookman Old Style"/>
          <w:sz w:val="24"/>
          <w:szCs w:val="24"/>
        </w:rPr>
        <w:t>Nomor</w:t>
      </w:r>
      <w:r w:rsidR="00A954D0">
        <w:rPr>
          <w:rFonts w:ascii="Bookman Old Style" w:hAnsi="Bookman Old Style"/>
          <w:sz w:val="24"/>
          <w:szCs w:val="24"/>
        </w:rPr>
        <w:t xml:space="preserve"> </w:t>
      </w:r>
      <w:r w:rsidRPr="003255BC">
        <w:rPr>
          <w:rFonts w:ascii="Bookman Old Style" w:hAnsi="Bookman Old Style"/>
          <w:sz w:val="24"/>
          <w:szCs w:val="24"/>
          <w:lang w:val="sv-FI"/>
        </w:rPr>
        <w:t>15</w:t>
      </w:r>
      <w:r w:rsidR="00A954D0">
        <w:rPr>
          <w:rFonts w:ascii="Bookman Old Style" w:hAnsi="Bookman Old Style"/>
          <w:sz w:val="24"/>
          <w:szCs w:val="24"/>
        </w:rPr>
        <w:t xml:space="preserve"> </w:t>
      </w:r>
      <w:r w:rsidRPr="00727324">
        <w:rPr>
          <w:rFonts w:ascii="Bookman Old Style" w:hAnsi="Bookman Old Style"/>
          <w:sz w:val="24"/>
          <w:szCs w:val="24"/>
        </w:rPr>
        <w:t>Tahun</w:t>
      </w:r>
      <w:r w:rsidR="00A954D0">
        <w:rPr>
          <w:rFonts w:ascii="Bookman Old Style" w:hAnsi="Bookman Old Style"/>
          <w:sz w:val="24"/>
          <w:szCs w:val="24"/>
        </w:rPr>
        <w:t xml:space="preserve"> </w:t>
      </w:r>
      <w:r w:rsidRPr="00727324">
        <w:rPr>
          <w:rFonts w:ascii="Bookman Old Style" w:hAnsi="Bookman Old Style"/>
          <w:sz w:val="24"/>
          <w:szCs w:val="24"/>
        </w:rPr>
        <w:t>202</w:t>
      </w:r>
      <w:r w:rsidRPr="003255BC">
        <w:rPr>
          <w:rFonts w:ascii="Bookman Old Style" w:hAnsi="Bookman Old Style"/>
          <w:sz w:val="24"/>
          <w:szCs w:val="24"/>
          <w:lang w:val="sv-FI"/>
        </w:rPr>
        <w:t>4</w:t>
      </w:r>
      <w:r w:rsidRPr="00727324">
        <w:rPr>
          <w:rFonts w:ascii="Bookman Old Style" w:hAnsi="Bookman Old Style"/>
          <w:sz w:val="24"/>
          <w:szCs w:val="24"/>
          <w:lang w:val="id-ID"/>
        </w:rPr>
        <w:t>;</w:t>
      </w:r>
    </w:p>
    <w:p w14:paraId="53D6ED12" w14:textId="017CA619" w:rsidR="001F194E" w:rsidRPr="00B010C4" w:rsidRDefault="001F194E" w:rsidP="00B16310">
      <w:pPr>
        <w:pStyle w:val="ListParagraph"/>
        <w:numPr>
          <w:ilvl w:val="0"/>
          <w:numId w:val="10"/>
        </w:numPr>
        <w:spacing w:before="60" w:after="0" w:line="276" w:lineRule="auto"/>
        <w:ind w:left="2268" w:hanging="567"/>
        <w:contextualSpacing w:val="0"/>
        <w:jc w:val="both"/>
        <w:rPr>
          <w:rFonts w:ascii="Bookman Old Style" w:hAnsi="Bookman Old Style"/>
          <w:sz w:val="24"/>
          <w:szCs w:val="24"/>
        </w:rPr>
      </w:pPr>
      <w:r w:rsidRPr="00727324">
        <w:rPr>
          <w:rFonts w:ascii="Bookman Old Style" w:hAnsi="Bookman Old Style"/>
          <w:sz w:val="24"/>
          <w:szCs w:val="24"/>
        </w:rPr>
        <w:t>Penerimaan</w:t>
      </w:r>
      <w:r w:rsidR="00A954D0">
        <w:rPr>
          <w:rFonts w:ascii="Bookman Old Style" w:hAnsi="Bookman Old Style"/>
          <w:sz w:val="24"/>
          <w:szCs w:val="24"/>
        </w:rPr>
        <w:t xml:space="preserve"> </w:t>
      </w:r>
      <w:r w:rsidRPr="00727324">
        <w:rPr>
          <w:rFonts w:ascii="Bookman Old Style" w:hAnsi="Bookman Old Style"/>
          <w:sz w:val="24"/>
          <w:szCs w:val="24"/>
        </w:rPr>
        <w:t>atas</w:t>
      </w:r>
      <w:r w:rsidR="00A954D0">
        <w:rPr>
          <w:rFonts w:ascii="Bookman Old Style" w:hAnsi="Bookman Old Style"/>
          <w:sz w:val="24"/>
          <w:szCs w:val="24"/>
        </w:rPr>
        <w:t xml:space="preserve"> </w:t>
      </w:r>
      <w:r w:rsidRPr="00727324">
        <w:rPr>
          <w:rFonts w:ascii="Bookman Old Style" w:hAnsi="Bookman Old Style"/>
          <w:sz w:val="24"/>
          <w:szCs w:val="24"/>
        </w:rPr>
        <w:t>Tuntutan</w:t>
      </w:r>
      <w:r w:rsidR="00A954D0">
        <w:rPr>
          <w:rFonts w:ascii="Bookman Old Style" w:hAnsi="Bookman Old Style"/>
          <w:sz w:val="24"/>
          <w:szCs w:val="24"/>
        </w:rPr>
        <w:t xml:space="preserve"> </w:t>
      </w:r>
      <w:r w:rsidRPr="00727324">
        <w:rPr>
          <w:rFonts w:ascii="Bookman Old Style" w:hAnsi="Bookman Old Style"/>
          <w:sz w:val="24"/>
          <w:szCs w:val="24"/>
        </w:rPr>
        <w:t>Ganti</w:t>
      </w:r>
      <w:r w:rsidR="00A954D0">
        <w:rPr>
          <w:rFonts w:ascii="Bookman Old Style" w:hAnsi="Bookman Old Style"/>
          <w:sz w:val="24"/>
          <w:szCs w:val="24"/>
        </w:rPr>
        <w:t xml:space="preserve"> </w:t>
      </w:r>
      <w:r w:rsidRPr="00727324">
        <w:rPr>
          <w:rFonts w:ascii="Bookman Old Style" w:hAnsi="Bookman Old Style"/>
          <w:sz w:val="24"/>
          <w:szCs w:val="24"/>
        </w:rPr>
        <w:t>Kerugian</w:t>
      </w:r>
      <w:r w:rsidR="00A954D0">
        <w:rPr>
          <w:rFonts w:ascii="Bookman Old Style" w:hAnsi="Bookman Old Style"/>
          <w:sz w:val="24"/>
          <w:szCs w:val="24"/>
        </w:rPr>
        <w:t xml:space="preserve"> </w:t>
      </w:r>
      <w:r w:rsidRPr="00727324">
        <w:rPr>
          <w:rFonts w:ascii="Bookman Old Style" w:hAnsi="Bookman Old Style"/>
          <w:sz w:val="24"/>
          <w:szCs w:val="24"/>
        </w:rPr>
        <w:t>Keuangan</w:t>
      </w:r>
      <w:r w:rsidR="00A954D0">
        <w:rPr>
          <w:rFonts w:ascii="Bookman Old Style" w:hAnsi="Bookman Old Style"/>
          <w:sz w:val="24"/>
          <w:szCs w:val="24"/>
        </w:rPr>
        <w:t xml:space="preserve"> </w:t>
      </w:r>
      <w:r w:rsidRPr="00727324">
        <w:rPr>
          <w:rFonts w:ascii="Bookman Old Style" w:hAnsi="Bookman Old Style"/>
          <w:sz w:val="24"/>
          <w:szCs w:val="24"/>
        </w:rPr>
        <w:t>Daerah</w:t>
      </w:r>
      <w:r w:rsidR="00A954D0">
        <w:rPr>
          <w:rFonts w:ascii="Bookman Old Style" w:hAnsi="Bookman Old Style"/>
          <w:sz w:val="24"/>
          <w:szCs w:val="24"/>
        </w:rPr>
        <w:t xml:space="preserve"> </w:t>
      </w:r>
      <w:r w:rsidRPr="00727324">
        <w:rPr>
          <w:rFonts w:ascii="Bookman Old Style" w:hAnsi="Bookman Old Style"/>
          <w:sz w:val="24"/>
          <w:szCs w:val="24"/>
        </w:rPr>
        <w:t>Rp</w:t>
      </w:r>
      <w:r w:rsidRPr="00A50691">
        <w:rPr>
          <w:rFonts w:ascii="Bookman Old Style" w:hAnsi="Bookman Old Style"/>
          <w:sz w:val="24"/>
          <w:szCs w:val="24"/>
        </w:rPr>
        <w:t>60.000.000,00</w:t>
      </w:r>
      <w:r w:rsidR="00A954D0">
        <w:rPr>
          <w:rFonts w:ascii="Bookman Old Style" w:hAnsi="Bookman Old Style"/>
          <w:sz w:val="24"/>
          <w:szCs w:val="24"/>
        </w:rPr>
        <w:t xml:space="preserve"> </w:t>
      </w:r>
      <w:r w:rsidRPr="00727324">
        <w:rPr>
          <w:rFonts w:ascii="Bookman Old Style" w:hAnsi="Bookman Old Style"/>
          <w:sz w:val="24"/>
          <w:szCs w:val="24"/>
        </w:rPr>
        <w:t>atau</w:t>
      </w:r>
      <w:r w:rsidR="00A954D0">
        <w:rPr>
          <w:rFonts w:ascii="Bookman Old Style" w:hAnsi="Bookman Old Style"/>
          <w:sz w:val="24"/>
          <w:szCs w:val="24"/>
        </w:rPr>
        <w:t xml:space="preserve"> </w:t>
      </w:r>
      <w:r w:rsidRPr="00727324">
        <w:rPr>
          <w:rFonts w:ascii="Bookman Old Style" w:hAnsi="Bookman Old Style"/>
          <w:sz w:val="24"/>
          <w:szCs w:val="24"/>
        </w:rPr>
        <w:t>0,0</w:t>
      </w:r>
      <w:r>
        <w:rPr>
          <w:rFonts w:ascii="Bookman Old Style" w:hAnsi="Bookman Old Style"/>
          <w:sz w:val="24"/>
          <w:szCs w:val="24"/>
        </w:rPr>
        <w:t>01</w:t>
      </w:r>
      <w:r w:rsidRPr="00727324">
        <w:rPr>
          <w:rFonts w:ascii="Bookman Old Style" w:hAnsi="Bookman Old Style"/>
          <w:sz w:val="24"/>
          <w:szCs w:val="24"/>
        </w:rPr>
        <w:t>%</w:t>
      </w:r>
      <w:r w:rsidR="00A954D0">
        <w:rPr>
          <w:rFonts w:ascii="Bookman Old Style" w:hAnsi="Bookman Old Style"/>
          <w:sz w:val="24"/>
          <w:szCs w:val="24"/>
        </w:rPr>
        <w:t xml:space="preserve"> </w:t>
      </w:r>
      <w:r w:rsidRPr="00727324">
        <w:rPr>
          <w:rFonts w:ascii="Bookman Old Style" w:hAnsi="Bookman Old Style"/>
          <w:sz w:val="24"/>
          <w:szCs w:val="24"/>
        </w:rPr>
        <w:t>dari</w:t>
      </w:r>
      <w:r w:rsidR="00A954D0">
        <w:rPr>
          <w:rFonts w:ascii="Bookman Old Style" w:hAnsi="Bookman Old Style"/>
          <w:sz w:val="24"/>
          <w:szCs w:val="24"/>
        </w:rPr>
        <w:t xml:space="preserve"> </w:t>
      </w:r>
      <w:r w:rsidRPr="00727324">
        <w:rPr>
          <w:rFonts w:ascii="Bookman Old Style" w:hAnsi="Bookman Old Style"/>
          <w:sz w:val="24"/>
          <w:szCs w:val="24"/>
        </w:rPr>
        <w:t>total</w:t>
      </w:r>
      <w:r w:rsidR="00A954D0">
        <w:rPr>
          <w:rFonts w:ascii="Bookman Old Style" w:hAnsi="Bookman Old Style"/>
          <w:sz w:val="24"/>
          <w:szCs w:val="24"/>
        </w:rPr>
        <w:t xml:space="preserve"> </w:t>
      </w:r>
      <w:r w:rsidRPr="00727324">
        <w:rPr>
          <w:rFonts w:ascii="Bookman Old Style" w:hAnsi="Bookman Old Style"/>
          <w:sz w:val="24"/>
          <w:szCs w:val="24"/>
        </w:rPr>
        <w:t>pendapatan</w:t>
      </w:r>
      <w:r w:rsidR="00A954D0">
        <w:rPr>
          <w:rFonts w:ascii="Bookman Old Style" w:hAnsi="Bookman Old Style"/>
          <w:sz w:val="24"/>
          <w:szCs w:val="24"/>
        </w:rPr>
        <w:t xml:space="preserve"> </w:t>
      </w:r>
      <w:r w:rsidRPr="00727324">
        <w:rPr>
          <w:rFonts w:ascii="Bookman Old Style" w:hAnsi="Bookman Old Style"/>
          <w:sz w:val="24"/>
          <w:szCs w:val="24"/>
        </w:rPr>
        <w:t>daerah</w:t>
      </w:r>
      <w:r w:rsidR="00A954D0">
        <w:rPr>
          <w:rFonts w:ascii="Bookman Old Style" w:hAnsi="Bookman Old Style"/>
          <w:sz w:val="24"/>
          <w:szCs w:val="24"/>
        </w:rPr>
        <w:t xml:space="preserve"> </w:t>
      </w:r>
      <w:r w:rsidRPr="00727324">
        <w:rPr>
          <w:rFonts w:ascii="Bookman Old Style" w:hAnsi="Bookman Old Style"/>
          <w:sz w:val="24"/>
          <w:szCs w:val="24"/>
        </w:rPr>
        <w:t>dalam</w:t>
      </w:r>
      <w:r w:rsidR="00A954D0">
        <w:rPr>
          <w:rFonts w:ascii="Bookman Old Style" w:hAnsi="Bookman Old Style"/>
          <w:sz w:val="24"/>
          <w:szCs w:val="24"/>
        </w:rPr>
        <w:t xml:space="preserve"> </w:t>
      </w:r>
      <w:r w:rsidRPr="00727324">
        <w:rPr>
          <w:rFonts w:ascii="Bookman Old Style" w:hAnsi="Bookman Old Style"/>
          <w:sz w:val="24"/>
          <w:szCs w:val="24"/>
        </w:rPr>
        <w:t>Rancangan</w:t>
      </w:r>
      <w:r w:rsidR="00A954D0">
        <w:rPr>
          <w:rFonts w:ascii="Bookman Old Style" w:hAnsi="Bookman Old Style"/>
          <w:sz w:val="24"/>
          <w:szCs w:val="24"/>
        </w:rPr>
        <w:t xml:space="preserve"> </w:t>
      </w:r>
      <w:r w:rsidRPr="00727324">
        <w:rPr>
          <w:rFonts w:ascii="Bookman Old Style" w:hAnsi="Bookman Old Style"/>
          <w:sz w:val="24"/>
          <w:szCs w:val="24"/>
        </w:rPr>
        <w:t>Peraturan</w:t>
      </w:r>
      <w:r w:rsidR="00A954D0">
        <w:rPr>
          <w:rFonts w:ascii="Bookman Old Style" w:hAnsi="Bookman Old Style"/>
          <w:sz w:val="24"/>
          <w:szCs w:val="24"/>
        </w:rPr>
        <w:t xml:space="preserve"> </w:t>
      </w:r>
      <w:r w:rsidRPr="00727324">
        <w:rPr>
          <w:rFonts w:ascii="Bookman Old Style" w:hAnsi="Bookman Old Style"/>
          <w:sz w:val="24"/>
          <w:szCs w:val="24"/>
        </w:rPr>
        <w:t>Daerah</w:t>
      </w:r>
      <w:r w:rsidR="00A954D0">
        <w:rPr>
          <w:rFonts w:ascii="Bookman Old Style" w:hAnsi="Bookman Old Style"/>
          <w:sz w:val="24"/>
          <w:szCs w:val="24"/>
        </w:rPr>
        <w:t xml:space="preserve"> </w:t>
      </w:r>
      <w:r>
        <w:rPr>
          <w:rFonts w:ascii="Bookman Old Style" w:hAnsi="Bookman Old Style"/>
          <w:sz w:val="24"/>
          <w:szCs w:val="24"/>
          <w:lang w:val="en-ID"/>
        </w:rPr>
        <w:t>Kota</w:t>
      </w:r>
      <w:r w:rsidR="00A954D0">
        <w:rPr>
          <w:rFonts w:ascii="Bookman Old Style" w:hAnsi="Bookman Old Style"/>
          <w:sz w:val="24"/>
          <w:szCs w:val="24"/>
          <w:lang w:val="en-ID"/>
        </w:rPr>
        <w:t xml:space="preserve"> </w:t>
      </w:r>
      <w:r>
        <w:rPr>
          <w:rFonts w:ascii="Bookman Old Style" w:hAnsi="Bookman Old Style"/>
          <w:sz w:val="24"/>
          <w:szCs w:val="24"/>
          <w:lang w:val="en-ID"/>
        </w:rPr>
        <w:t>Tangerang</w:t>
      </w:r>
      <w:r w:rsidR="00A954D0">
        <w:rPr>
          <w:rFonts w:ascii="Bookman Old Style" w:hAnsi="Bookman Old Style"/>
          <w:sz w:val="24"/>
          <w:szCs w:val="24"/>
          <w:lang w:val="en-ID"/>
        </w:rPr>
        <w:t xml:space="preserve"> </w:t>
      </w:r>
      <w:r w:rsidRPr="00727324">
        <w:rPr>
          <w:rFonts w:ascii="Bookman Old Style" w:hAnsi="Bookman Old Style"/>
          <w:sz w:val="24"/>
          <w:szCs w:val="24"/>
        </w:rPr>
        <w:t>tentang</w:t>
      </w:r>
      <w:r w:rsidR="00A954D0">
        <w:rPr>
          <w:rFonts w:ascii="Bookman Old Style" w:hAnsi="Bookman Old Style"/>
          <w:sz w:val="24"/>
          <w:szCs w:val="24"/>
        </w:rPr>
        <w:t xml:space="preserve"> </w:t>
      </w:r>
      <w:r w:rsidRPr="00727324">
        <w:rPr>
          <w:rFonts w:ascii="Bookman Old Style" w:hAnsi="Bookman Old Style"/>
          <w:sz w:val="24"/>
          <w:szCs w:val="24"/>
        </w:rPr>
        <w:t>APBD</w:t>
      </w:r>
      <w:r w:rsidR="00A954D0">
        <w:rPr>
          <w:rFonts w:ascii="Bookman Old Style" w:hAnsi="Bookman Old Style"/>
          <w:sz w:val="24"/>
          <w:szCs w:val="24"/>
        </w:rPr>
        <w:t xml:space="preserve"> </w:t>
      </w:r>
      <w:r w:rsidRPr="00727324">
        <w:rPr>
          <w:rFonts w:ascii="Bookman Old Style" w:hAnsi="Bookman Old Style"/>
          <w:sz w:val="24"/>
          <w:szCs w:val="24"/>
        </w:rPr>
        <w:t>Tahun</w:t>
      </w:r>
      <w:r w:rsidR="00A954D0">
        <w:rPr>
          <w:rFonts w:ascii="Bookman Old Style" w:hAnsi="Bookman Old Style"/>
          <w:sz w:val="24"/>
          <w:szCs w:val="24"/>
        </w:rPr>
        <w:t xml:space="preserve"> </w:t>
      </w:r>
      <w:r w:rsidRPr="00727324">
        <w:rPr>
          <w:rFonts w:ascii="Bookman Old Style" w:hAnsi="Bookman Old Style"/>
          <w:sz w:val="24"/>
          <w:szCs w:val="24"/>
        </w:rPr>
        <w:t>Anggaran</w:t>
      </w:r>
      <w:r w:rsidR="00A954D0">
        <w:rPr>
          <w:rFonts w:ascii="Bookman Old Style" w:hAnsi="Bookman Old Style"/>
          <w:sz w:val="24"/>
          <w:szCs w:val="24"/>
        </w:rPr>
        <w:t xml:space="preserve"> </w:t>
      </w:r>
      <w:r w:rsidRPr="00727324">
        <w:rPr>
          <w:rFonts w:ascii="Bookman Old Style" w:hAnsi="Bookman Old Style"/>
          <w:sz w:val="24"/>
          <w:szCs w:val="24"/>
        </w:rPr>
        <w:t>2025</w:t>
      </w:r>
      <w:r w:rsidRPr="00727324">
        <w:rPr>
          <w:rFonts w:ascii="Bookman Old Style" w:hAnsi="Bookman Old Style"/>
          <w:sz w:val="24"/>
          <w:szCs w:val="24"/>
          <w:lang w:val="id-ID"/>
        </w:rPr>
        <w:t>,</w:t>
      </w:r>
      <w:r w:rsidR="00A954D0">
        <w:rPr>
          <w:rFonts w:ascii="Bookman Old Style" w:hAnsi="Bookman Old Style"/>
          <w:sz w:val="24"/>
          <w:szCs w:val="24"/>
        </w:rPr>
        <w:t xml:space="preserve"> </w:t>
      </w:r>
      <w:r w:rsidRPr="00727324">
        <w:rPr>
          <w:rFonts w:ascii="Bookman Old Style" w:hAnsi="Bookman Old Style"/>
          <w:sz w:val="24"/>
          <w:szCs w:val="24"/>
        </w:rPr>
        <w:t>dianggarkan</w:t>
      </w:r>
      <w:r w:rsidR="00A954D0">
        <w:rPr>
          <w:rFonts w:ascii="Bookman Old Style" w:hAnsi="Bookman Old Style"/>
          <w:sz w:val="24"/>
          <w:szCs w:val="24"/>
        </w:rPr>
        <w:t xml:space="preserve"> </w:t>
      </w:r>
      <w:r w:rsidRPr="00727324">
        <w:rPr>
          <w:rFonts w:ascii="Bookman Old Style" w:hAnsi="Bookman Old Style"/>
          <w:sz w:val="24"/>
          <w:szCs w:val="24"/>
        </w:rPr>
        <w:t>dengan</w:t>
      </w:r>
      <w:r w:rsidR="00A954D0">
        <w:rPr>
          <w:rFonts w:ascii="Bookman Old Style" w:hAnsi="Bookman Old Style"/>
          <w:sz w:val="24"/>
          <w:szCs w:val="24"/>
        </w:rPr>
        <w:t xml:space="preserve"> </w:t>
      </w:r>
      <w:r w:rsidRPr="00727324">
        <w:rPr>
          <w:rFonts w:ascii="Bookman Old Style" w:hAnsi="Bookman Old Style"/>
          <w:sz w:val="24"/>
          <w:szCs w:val="24"/>
          <w:lang w:val="en-US"/>
        </w:rPr>
        <w:t>berpedoman</w:t>
      </w:r>
      <w:r w:rsidR="00A954D0">
        <w:rPr>
          <w:rFonts w:ascii="Bookman Old Style" w:hAnsi="Bookman Old Style"/>
          <w:sz w:val="24"/>
          <w:szCs w:val="24"/>
          <w:lang w:val="en-US"/>
        </w:rPr>
        <w:t xml:space="preserve"> </w:t>
      </w:r>
      <w:r w:rsidRPr="00727324">
        <w:rPr>
          <w:rFonts w:ascii="Bookman Old Style" w:hAnsi="Bookman Old Style"/>
          <w:sz w:val="24"/>
          <w:szCs w:val="24"/>
        </w:rPr>
        <w:t>pada</w:t>
      </w:r>
      <w:r w:rsidR="00A954D0">
        <w:rPr>
          <w:rFonts w:ascii="Bookman Old Style" w:hAnsi="Bookman Old Style"/>
          <w:sz w:val="24"/>
          <w:szCs w:val="24"/>
        </w:rPr>
        <w:t xml:space="preserve"> </w:t>
      </w:r>
      <w:r w:rsidRPr="00727324">
        <w:rPr>
          <w:rFonts w:ascii="Bookman Old Style" w:hAnsi="Bookman Old Style"/>
          <w:sz w:val="24"/>
          <w:szCs w:val="24"/>
        </w:rPr>
        <w:t>Pasal</w:t>
      </w:r>
      <w:r w:rsidR="00A954D0">
        <w:rPr>
          <w:rFonts w:ascii="Bookman Old Style" w:hAnsi="Bookman Old Style"/>
          <w:sz w:val="24"/>
          <w:szCs w:val="24"/>
        </w:rPr>
        <w:t xml:space="preserve"> </w:t>
      </w:r>
      <w:r w:rsidRPr="00727324">
        <w:rPr>
          <w:rFonts w:ascii="Bookman Old Style" w:hAnsi="Bookman Old Style"/>
          <w:sz w:val="24"/>
          <w:szCs w:val="24"/>
        </w:rPr>
        <w:t>24</w:t>
      </w:r>
      <w:r w:rsidR="00A954D0">
        <w:rPr>
          <w:rFonts w:ascii="Bookman Old Style" w:hAnsi="Bookman Old Style"/>
          <w:sz w:val="24"/>
          <w:szCs w:val="24"/>
        </w:rPr>
        <w:t xml:space="preserve"> </w:t>
      </w:r>
      <w:r w:rsidRPr="00727324">
        <w:rPr>
          <w:rFonts w:ascii="Bookman Old Style" w:hAnsi="Bookman Old Style"/>
          <w:sz w:val="24"/>
          <w:szCs w:val="24"/>
        </w:rPr>
        <w:t>ayat</w:t>
      </w:r>
      <w:r w:rsidR="00A954D0">
        <w:rPr>
          <w:rFonts w:ascii="Bookman Old Style" w:hAnsi="Bookman Old Style"/>
          <w:sz w:val="24"/>
          <w:szCs w:val="24"/>
        </w:rPr>
        <w:t xml:space="preserve"> </w:t>
      </w:r>
      <w:r w:rsidRPr="00727324">
        <w:rPr>
          <w:rFonts w:ascii="Bookman Old Style" w:hAnsi="Bookman Old Style"/>
          <w:sz w:val="24"/>
          <w:szCs w:val="24"/>
        </w:rPr>
        <w:t>(4)</w:t>
      </w:r>
      <w:r w:rsidR="00A954D0">
        <w:rPr>
          <w:rFonts w:ascii="Bookman Old Style" w:hAnsi="Bookman Old Style"/>
          <w:sz w:val="24"/>
          <w:szCs w:val="24"/>
          <w:lang w:val="en-US"/>
        </w:rPr>
        <w:t xml:space="preserve"> </w:t>
      </w:r>
      <w:r w:rsidRPr="00727324">
        <w:rPr>
          <w:rFonts w:ascii="Bookman Old Style" w:hAnsi="Bookman Old Style"/>
          <w:sz w:val="24"/>
          <w:szCs w:val="24"/>
          <w:lang w:val="en-US"/>
        </w:rPr>
        <w:t>dan</w:t>
      </w:r>
      <w:r w:rsidR="00A954D0">
        <w:rPr>
          <w:rFonts w:ascii="Bookman Old Style" w:hAnsi="Bookman Old Style"/>
          <w:sz w:val="24"/>
          <w:szCs w:val="24"/>
        </w:rPr>
        <w:t xml:space="preserve"> </w:t>
      </w:r>
      <w:r w:rsidRPr="00727324">
        <w:rPr>
          <w:rFonts w:ascii="Bookman Old Style" w:hAnsi="Bookman Old Style"/>
          <w:sz w:val="24"/>
          <w:szCs w:val="24"/>
        </w:rPr>
        <w:t>Pasal</w:t>
      </w:r>
      <w:r w:rsidR="00A954D0">
        <w:rPr>
          <w:rFonts w:ascii="Bookman Old Style" w:hAnsi="Bookman Old Style"/>
          <w:sz w:val="24"/>
          <w:szCs w:val="24"/>
        </w:rPr>
        <w:t xml:space="preserve"> </w:t>
      </w:r>
      <w:r w:rsidRPr="00727324">
        <w:rPr>
          <w:rFonts w:ascii="Bookman Old Style" w:hAnsi="Bookman Old Style"/>
          <w:sz w:val="24"/>
          <w:szCs w:val="24"/>
        </w:rPr>
        <w:t>31</w:t>
      </w:r>
      <w:r w:rsidR="00A954D0">
        <w:rPr>
          <w:rFonts w:ascii="Bookman Old Style" w:hAnsi="Bookman Old Style"/>
          <w:sz w:val="24"/>
          <w:szCs w:val="24"/>
        </w:rPr>
        <w:t xml:space="preserve"> </w:t>
      </w:r>
      <w:r w:rsidRPr="00727324">
        <w:rPr>
          <w:rFonts w:ascii="Bookman Old Style" w:hAnsi="Bookman Old Style"/>
          <w:sz w:val="24"/>
          <w:szCs w:val="24"/>
        </w:rPr>
        <w:t>ayat</w:t>
      </w:r>
      <w:r w:rsidR="00A954D0">
        <w:rPr>
          <w:rFonts w:ascii="Bookman Old Style" w:hAnsi="Bookman Old Style"/>
          <w:sz w:val="24"/>
          <w:szCs w:val="24"/>
        </w:rPr>
        <w:t xml:space="preserve"> </w:t>
      </w:r>
      <w:r w:rsidRPr="00727324">
        <w:rPr>
          <w:rFonts w:ascii="Bookman Old Style" w:hAnsi="Bookman Old Style"/>
          <w:sz w:val="24"/>
          <w:szCs w:val="24"/>
        </w:rPr>
        <w:t>(4)</w:t>
      </w:r>
      <w:r w:rsidR="00A954D0">
        <w:rPr>
          <w:rFonts w:ascii="Bookman Old Style" w:hAnsi="Bookman Old Style"/>
          <w:sz w:val="24"/>
          <w:szCs w:val="24"/>
        </w:rPr>
        <w:t xml:space="preserve"> </w:t>
      </w:r>
      <w:r w:rsidRPr="00727324">
        <w:rPr>
          <w:rFonts w:ascii="Bookman Old Style" w:hAnsi="Bookman Old Style"/>
          <w:sz w:val="24"/>
          <w:szCs w:val="24"/>
        </w:rPr>
        <w:t>huruf</w:t>
      </w:r>
      <w:r w:rsidR="00A954D0">
        <w:rPr>
          <w:rFonts w:ascii="Bookman Old Style" w:hAnsi="Bookman Old Style"/>
          <w:sz w:val="24"/>
          <w:szCs w:val="24"/>
        </w:rPr>
        <w:t xml:space="preserve"> </w:t>
      </w:r>
      <w:r w:rsidRPr="00727324">
        <w:rPr>
          <w:rFonts w:ascii="Bookman Old Style" w:hAnsi="Bookman Old Style"/>
          <w:sz w:val="24"/>
          <w:szCs w:val="24"/>
          <w:lang w:val="id-ID"/>
        </w:rPr>
        <w:t>g</w:t>
      </w:r>
      <w:r w:rsidR="00A954D0">
        <w:rPr>
          <w:rFonts w:ascii="Bookman Old Style" w:hAnsi="Bookman Old Style"/>
          <w:sz w:val="24"/>
          <w:szCs w:val="24"/>
        </w:rPr>
        <w:t xml:space="preserve"> </w:t>
      </w:r>
      <w:r w:rsidRPr="00727324">
        <w:rPr>
          <w:rFonts w:ascii="Bookman Old Style" w:hAnsi="Bookman Old Style"/>
          <w:sz w:val="24"/>
          <w:szCs w:val="24"/>
        </w:rPr>
        <w:t>Peraturan</w:t>
      </w:r>
      <w:r w:rsidR="00A954D0">
        <w:rPr>
          <w:rFonts w:ascii="Bookman Old Style" w:hAnsi="Bookman Old Style"/>
          <w:sz w:val="24"/>
          <w:szCs w:val="24"/>
        </w:rPr>
        <w:t xml:space="preserve"> </w:t>
      </w:r>
      <w:r w:rsidRPr="00727324">
        <w:rPr>
          <w:rFonts w:ascii="Bookman Old Style" w:hAnsi="Bookman Old Style"/>
          <w:sz w:val="24"/>
          <w:szCs w:val="24"/>
        </w:rPr>
        <w:t>Pemerintah</w:t>
      </w:r>
      <w:r w:rsidR="00A954D0">
        <w:rPr>
          <w:rFonts w:ascii="Bookman Old Style" w:hAnsi="Bookman Old Style"/>
          <w:sz w:val="24"/>
          <w:szCs w:val="24"/>
        </w:rPr>
        <w:t xml:space="preserve"> </w:t>
      </w:r>
      <w:r w:rsidRPr="00727324">
        <w:rPr>
          <w:rFonts w:ascii="Bookman Old Style" w:hAnsi="Bookman Old Style"/>
          <w:sz w:val="24"/>
          <w:szCs w:val="24"/>
        </w:rPr>
        <w:t>Nomor</w:t>
      </w:r>
      <w:r w:rsidR="00A954D0">
        <w:rPr>
          <w:rFonts w:ascii="Bookman Old Style" w:hAnsi="Bookman Old Style"/>
          <w:sz w:val="24"/>
          <w:szCs w:val="24"/>
        </w:rPr>
        <w:t xml:space="preserve"> </w:t>
      </w:r>
      <w:r w:rsidRPr="00727324">
        <w:rPr>
          <w:rFonts w:ascii="Bookman Old Style" w:hAnsi="Bookman Old Style"/>
          <w:sz w:val="24"/>
          <w:szCs w:val="24"/>
        </w:rPr>
        <w:t>12</w:t>
      </w:r>
      <w:r w:rsidR="00A954D0">
        <w:rPr>
          <w:rFonts w:ascii="Bookman Old Style" w:hAnsi="Bookman Old Style"/>
          <w:sz w:val="24"/>
          <w:szCs w:val="24"/>
        </w:rPr>
        <w:t xml:space="preserve"> </w:t>
      </w:r>
      <w:r w:rsidRPr="00727324">
        <w:rPr>
          <w:rFonts w:ascii="Bookman Old Style" w:hAnsi="Bookman Old Style"/>
          <w:sz w:val="24"/>
          <w:szCs w:val="24"/>
        </w:rPr>
        <w:t>Tahun</w:t>
      </w:r>
      <w:r w:rsidR="00A954D0">
        <w:rPr>
          <w:rFonts w:ascii="Bookman Old Style" w:hAnsi="Bookman Old Style"/>
          <w:sz w:val="24"/>
          <w:szCs w:val="24"/>
        </w:rPr>
        <w:t xml:space="preserve"> </w:t>
      </w:r>
      <w:r w:rsidRPr="00727324">
        <w:rPr>
          <w:rFonts w:ascii="Bookman Old Style" w:hAnsi="Bookman Old Style"/>
          <w:sz w:val="24"/>
          <w:szCs w:val="24"/>
        </w:rPr>
        <w:t>2019</w:t>
      </w:r>
      <w:r w:rsidR="00A954D0">
        <w:rPr>
          <w:rFonts w:ascii="Bookman Old Style" w:hAnsi="Bookman Old Style"/>
          <w:sz w:val="24"/>
          <w:szCs w:val="24"/>
          <w:lang w:val="en-US"/>
        </w:rPr>
        <w:t xml:space="preserve"> </w:t>
      </w:r>
      <w:r w:rsidRPr="00727324">
        <w:rPr>
          <w:rFonts w:ascii="Bookman Old Style" w:hAnsi="Bookman Old Style"/>
          <w:sz w:val="24"/>
          <w:szCs w:val="24"/>
          <w:lang w:val="en-US"/>
        </w:rPr>
        <w:t>dan</w:t>
      </w:r>
      <w:r w:rsidR="00A954D0">
        <w:rPr>
          <w:rFonts w:ascii="Bookman Old Style" w:hAnsi="Bookman Old Style"/>
          <w:sz w:val="24"/>
          <w:szCs w:val="24"/>
          <w:lang w:val="en-US"/>
        </w:rPr>
        <w:t xml:space="preserve"> </w:t>
      </w:r>
      <w:r w:rsidRPr="00727324">
        <w:rPr>
          <w:rFonts w:ascii="Bookman Old Style" w:hAnsi="Bookman Old Style"/>
          <w:sz w:val="24"/>
          <w:szCs w:val="24"/>
          <w:lang w:val="id-ID"/>
        </w:rPr>
        <w:t>butir</w:t>
      </w:r>
      <w:r w:rsidR="00A954D0">
        <w:rPr>
          <w:rFonts w:ascii="Bookman Old Style" w:hAnsi="Bookman Old Style"/>
          <w:sz w:val="24"/>
          <w:szCs w:val="24"/>
          <w:lang w:val="id-ID"/>
        </w:rPr>
        <w:t xml:space="preserve"> </w:t>
      </w:r>
      <w:r w:rsidRPr="00727324">
        <w:rPr>
          <w:rFonts w:ascii="Bookman Old Style" w:hAnsi="Bookman Old Style"/>
          <w:sz w:val="24"/>
          <w:szCs w:val="24"/>
          <w:lang w:val="en-US"/>
        </w:rPr>
        <w:t>3.3.1.3.b.4)</w:t>
      </w:r>
      <w:r w:rsidR="00A954D0">
        <w:rPr>
          <w:rFonts w:ascii="Bookman Old Style" w:hAnsi="Bookman Old Style"/>
          <w:sz w:val="24"/>
          <w:szCs w:val="24"/>
        </w:rPr>
        <w:t xml:space="preserve"> </w:t>
      </w:r>
      <w:r w:rsidRPr="00727324">
        <w:rPr>
          <w:rFonts w:ascii="Bookman Old Style" w:hAnsi="Bookman Old Style"/>
          <w:sz w:val="24"/>
          <w:szCs w:val="24"/>
        </w:rPr>
        <w:t>Lampiran</w:t>
      </w:r>
      <w:r w:rsidR="00A954D0">
        <w:rPr>
          <w:rFonts w:ascii="Bookman Old Style" w:hAnsi="Bookman Old Style"/>
          <w:sz w:val="24"/>
          <w:szCs w:val="24"/>
        </w:rPr>
        <w:t xml:space="preserve"> </w:t>
      </w:r>
      <w:r w:rsidRPr="00727324">
        <w:rPr>
          <w:rFonts w:ascii="Bookman Old Style" w:hAnsi="Bookman Old Style"/>
          <w:sz w:val="24"/>
          <w:szCs w:val="24"/>
        </w:rPr>
        <w:t>Peraturan</w:t>
      </w:r>
      <w:r w:rsidR="00A954D0">
        <w:rPr>
          <w:rFonts w:ascii="Bookman Old Style" w:hAnsi="Bookman Old Style"/>
          <w:sz w:val="24"/>
          <w:szCs w:val="24"/>
        </w:rPr>
        <w:t xml:space="preserve"> </w:t>
      </w:r>
      <w:r w:rsidRPr="00727324">
        <w:rPr>
          <w:rFonts w:ascii="Bookman Old Style" w:hAnsi="Bookman Old Style"/>
          <w:sz w:val="24"/>
          <w:szCs w:val="24"/>
        </w:rPr>
        <w:t>Menteri</w:t>
      </w:r>
      <w:r w:rsidR="00A954D0">
        <w:rPr>
          <w:rFonts w:ascii="Bookman Old Style" w:hAnsi="Bookman Old Style"/>
          <w:sz w:val="24"/>
          <w:szCs w:val="24"/>
        </w:rPr>
        <w:t xml:space="preserve"> </w:t>
      </w:r>
      <w:r w:rsidRPr="00727324">
        <w:rPr>
          <w:rFonts w:ascii="Bookman Old Style" w:hAnsi="Bookman Old Style"/>
          <w:sz w:val="24"/>
          <w:szCs w:val="24"/>
        </w:rPr>
        <w:t>Dalam</w:t>
      </w:r>
      <w:r w:rsidR="00A954D0">
        <w:rPr>
          <w:rFonts w:ascii="Bookman Old Style" w:hAnsi="Bookman Old Style"/>
          <w:sz w:val="24"/>
          <w:szCs w:val="24"/>
        </w:rPr>
        <w:t xml:space="preserve"> </w:t>
      </w:r>
      <w:r w:rsidRPr="00727324">
        <w:rPr>
          <w:rFonts w:ascii="Bookman Old Style" w:hAnsi="Bookman Old Style"/>
          <w:sz w:val="24"/>
          <w:szCs w:val="24"/>
        </w:rPr>
        <w:t>Negeri</w:t>
      </w:r>
      <w:r w:rsidR="00A954D0">
        <w:rPr>
          <w:rFonts w:ascii="Bookman Old Style" w:hAnsi="Bookman Old Style"/>
          <w:sz w:val="24"/>
          <w:szCs w:val="24"/>
        </w:rPr>
        <w:t xml:space="preserve"> </w:t>
      </w:r>
      <w:r w:rsidRPr="00727324">
        <w:rPr>
          <w:rFonts w:ascii="Bookman Old Style" w:hAnsi="Bookman Old Style"/>
          <w:sz w:val="24"/>
          <w:szCs w:val="24"/>
        </w:rPr>
        <w:t>Nomor</w:t>
      </w:r>
      <w:r w:rsidR="00A954D0">
        <w:rPr>
          <w:rFonts w:ascii="Bookman Old Style" w:hAnsi="Bookman Old Style"/>
          <w:sz w:val="24"/>
          <w:szCs w:val="24"/>
        </w:rPr>
        <w:t xml:space="preserve"> </w:t>
      </w:r>
      <w:r w:rsidRPr="00727324">
        <w:rPr>
          <w:rFonts w:ascii="Bookman Old Style" w:hAnsi="Bookman Old Style"/>
          <w:sz w:val="24"/>
          <w:szCs w:val="24"/>
          <w:lang w:val="en-US"/>
        </w:rPr>
        <w:t>15</w:t>
      </w:r>
      <w:r w:rsidR="00A954D0">
        <w:rPr>
          <w:rFonts w:ascii="Bookman Old Style" w:hAnsi="Bookman Old Style"/>
          <w:sz w:val="24"/>
          <w:szCs w:val="24"/>
        </w:rPr>
        <w:t xml:space="preserve"> </w:t>
      </w:r>
      <w:r w:rsidRPr="00727324">
        <w:rPr>
          <w:rFonts w:ascii="Bookman Old Style" w:hAnsi="Bookman Old Style"/>
          <w:sz w:val="24"/>
          <w:szCs w:val="24"/>
        </w:rPr>
        <w:t>Tahun</w:t>
      </w:r>
      <w:r w:rsidR="00A954D0">
        <w:rPr>
          <w:rFonts w:ascii="Bookman Old Style" w:hAnsi="Bookman Old Style"/>
          <w:sz w:val="24"/>
          <w:szCs w:val="24"/>
        </w:rPr>
        <w:t xml:space="preserve"> </w:t>
      </w:r>
      <w:r w:rsidRPr="00727324">
        <w:rPr>
          <w:rFonts w:ascii="Bookman Old Style" w:hAnsi="Bookman Old Style"/>
          <w:sz w:val="24"/>
          <w:szCs w:val="24"/>
        </w:rPr>
        <w:t>202</w:t>
      </w:r>
      <w:r w:rsidRPr="00727324">
        <w:rPr>
          <w:rFonts w:ascii="Bookman Old Style" w:hAnsi="Bookman Old Style"/>
          <w:sz w:val="24"/>
          <w:szCs w:val="24"/>
          <w:lang w:val="en-US"/>
        </w:rPr>
        <w:t>4</w:t>
      </w:r>
      <w:r w:rsidR="00B16310">
        <w:rPr>
          <w:rFonts w:ascii="Bookman Old Style" w:hAnsi="Bookman Old Style"/>
          <w:sz w:val="24"/>
          <w:szCs w:val="24"/>
          <w:lang w:val="en-US"/>
        </w:rPr>
        <w:t>;</w:t>
      </w:r>
    </w:p>
    <w:p w14:paraId="7751AD2B" w14:textId="6EB38863" w:rsidR="001F194E" w:rsidRPr="00727324" w:rsidRDefault="001F194E" w:rsidP="00B16310">
      <w:pPr>
        <w:pStyle w:val="ListParagraph"/>
        <w:numPr>
          <w:ilvl w:val="0"/>
          <w:numId w:val="10"/>
        </w:numPr>
        <w:spacing w:before="60" w:after="0" w:line="276" w:lineRule="auto"/>
        <w:ind w:left="2268" w:hanging="567"/>
        <w:contextualSpacing w:val="0"/>
        <w:jc w:val="both"/>
        <w:rPr>
          <w:rFonts w:ascii="Bookman Old Style" w:hAnsi="Bookman Old Style"/>
          <w:sz w:val="24"/>
          <w:szCs w:val="24"/>
        </w:rPr>
      </w:pPr>
      <w:r w:rsidRPr="00B010C4">
        <w:rPr>
          <w:rFonts w:ascii="Bookman Old Style" w:hAnsi="Bookman Old Style"/>
          <w:sz w:val="24"/>
          <w:szCs w:val="24"/>
        </w:rPr>
        <w:t>Pendapatan</w:t>
      </w:r>
      <w:r w:rsidR="00A954D0">
        <w:rPr>
          <w:rFonts w:ascii="Bookman Old Style" w:hAnsi="Bookman Old Style"/>
          <w:sz w:val="24"/>
          <w:szCs w:val="24"/>
        </w:rPr>
        <w:t xml:space="preserve"> </w:t>
      </w:r>
      <w:r w:rsidRPr="00B010C4">
        <w:rPr>
          <w:rFonts w:ascii="Bookman Old Style" w:hAnsi="Bookman Old Style"/>
          <w:sz w:val="24"/>
          <w:szCs w:val="24"/>
        </w:rPr>
        <w:t>Denda</w:t>
      </w:r>
      <w:r w:rsidR="00A954D0">
        <w:rPr>
          <w:rFonts w:ascii="Bookman Old Style" w:hAnsi="Bookman Old Style"/>
          <w:sz w:val="24"/>
          <w:szCs w:val="24"/>
        </w:rPr>
        <w:t xml:space="preserve"> </w:t>
      </w:r>
      <w:r w:rsidRPr="00B010C4">
        <w:rPr>
          <w:rFonts w:ascii="Bookman Old Style" w:hAnsi="Bookman Old Style"/>
          <w:sz w:val="24"/>
          <w:szCs w:val="24"/>
        </w:rPr>
        <w:t>atas</w:t>
      </w:r>
      <w:r w:rsidR="00A954D0">
        <w:rPr>
          <w:rFonts w:ascii="Bookman Old Style" w:hAnsi="Bookman Old Style"/>
          <w:sz w:val="24"/>
          <w:szCs w:val="24"/>
        </w:rPr>
        <w:t xml:space="preserve"> </w:t>
      </w:r>
      <w:r w:rsidRPr="00B010C4">
        <w:rPr>
          <w:rFonts w:ascii="Bookman Old Style" w:hAnsi="Bookman Old Style"/>
          <w:sz w:val="24"/>
          <w:szCs w:val="24"/>
        </w:rPr>
        <w:t>Keterlambatan</w:t>
      </w:r>
      <w:r w:rsidR="00A954D0">
        <w:rPr>
          <w:rFonts w:ascii="Bookman Old Style" w:hAnsi="Bookman Old Style"/>
          <w:sz w:val="24"/>
          <w:szCs w:val="24"/>
        </w:rPr>
        <w:t xml:space="preserve"> </w:t>
      </w:r>
      <w:r w:rsidRPr="00B010C4">
        <w:rPr>
          <w:rFonts w:ascii="Bookman Old Style" w:hAnsi="Bookman Old Style"/>
          <w:sz w:val="24"/>
          <w:szCs w:val="24"/>
        </w:rPr>
        <w:t>Pelaksanaan</w:t>
      </w:r>
      <w:r w:rsidR="00A954D0">
        <w:rPr>
          <w:rFonts w:ascii="Bookman Old Style" w:hAnsi="Bookman Old Style"/>
          <w:sz w:val="24"/>
          <w:szCs w:val="24"/>
        </w:rPr>
        <w:t xml:space="preserve"> </w:t>
      </w:r>
      <w:r w:rsidRPr="00B010C4">
        <w:rPr>
          <w:rFonts w:ascii="Bookman Old Style" w:hAnsi="Bookman Old Style"/>
          <w:sz w:val="24"/>
          <w:szCs w:val="24"/>
        </w:rPr>
        <w:t>Pekerjaan</w:t>
      </w:r>
      <w:r w:rsidR="00A954D0">
        <w:rPr>
          <w:rFonts w:ascii="Bookman Old Style" w:hAnsi="Bookman Old Style"/>
          <w:sz w:val="24"/>
          <w:szCs w:val="24"/>
        </w:rPr>
        <w:t xml:space="preserve"> </w:t>
      </w:r>
      <w:r>
        <w:rPr>
          <w:rFonts w:ascii="Bookman Old Style" w:hAnsi="Bookman Old Style"/>
          <w:sz w:val="24"/>
          <w:szCs w:val="24"/>
        </w:rPr>
        <w:t>Rp</w:t>
      </w:r>
      <w:r w:rsidRPr="00A50691">
        <w:rPr>
          <w:rFonts w:ascii="Bookman Old Style" w:hAnsi="Bookman Old Style"/>
          <w:sz w:val="24"/>
          <w:szCs w:val="24"/>
        </w:rPr>
        <w:t>2.000.000.000,00</w:t>
      </w:r>
      <w:r w:rsidR="00A954D0">
        <w:rPr>
          <w:rFonts w:ascii="Bookman Old Style" w:hAnsi="Bookman Old Style"/>
          <w:sz w:val="24"/>
          <w:szCs w:val="24"/>
        </w:rPr>
        <w:t xml:space="preserve"> </w:t>
      </w:r>
      <w:r>
        <w:rPr>
          <w:rFonts w:ascii="Bookman Old Style" w:hAnsi="Bookman Old Style"/>
          <w:sz w:val="24"/>
          <w:szCs w:val="24"/>
        </w:rPr>
        <w:t>atau</w:t>
      </w:r>
      <w:r w:rsidR="00A954D0">
        <w:rPr>
          <w:rFonts w:ascii="Bookman Old Style" w:hAnsi="Bookman Old Style"/>
          <w:sz w:val="24"/>
          <w:szCs w:val="24"/>
        </w:rPr>
        <w:t xml:space="preserve"> </w:t>
      </w:r>
      <w:r>
        <w:rPr>
          <w:rFonts w:ascii="Bookman Old Style" w:hAnsi="Bookman Old Style"/>
          <w:sz w:val="24"/>
          <w:szCs w:val="24"/>
        </w:rPr>
        <w:t>0,04%</w:t>
      </w:r>
      <w:r w:rsidR="00A954D0">
        <w:rPr>
          <w:rFonts w:ascii="Bookman Old Style" w:hAnsi="Bookman Old Style"/>
          <w:sz w:val="24"/>
          <w:szCs w:val="24"/>
        </w:rPr>
        <w:t xml:space="preserve"> </w:t>
      </w:r>
      <w:r w:rsidRPr="00727324">
        <w:rPr>
          <w:rFonts w:ascii="Bookman Old Style" w:hAnsi="Bookman Old Style"/>
          <w:sz w:val="24"/>
          <w:szCs w:val="24"/>
        </w:rPr>
        <w:t>dari</w:t>
      </w:r>
      <w:r w:rsidR="00A954D0">
        <w:rPr>
          <w:rFonts w:ascii="Bookman Old Style" w:hAnsi="Bookman Old Style"/>
          <w:sz w:val="24"/>
          <w:szCs w:val="24"/>
        </w:rPr>
        <w:t xml:space="preserve"> </w:t>
      </w:r>
      <w:r w:rsidRPr="00727324">
        <w:rPr>
          <w:rFonts w:ascii="Bookman Old Style" w:hAnsi="Bookman Old Style"/>
          <w:sz w:val="24"/>
          <w:szCs w:val="24"/>
        </w:rPr>
        <w:t>total</w:t>
      </w:r>
      <w:r w:rsidR="00A954D0">
        <w:rPr>
          <w:rFonts w:ascii="Bookman Old Style" w:hAnsi="Bookman Old Style"/>
          <w:sz w:val="24"/>
          <w:szCs w:val="24"/>
        </w:rPr>
        <w:t xml:space="preserve"> </w:t>
      </w:r>
      <w:r w:rsidRPr="00727324">
        <w:rPr>
          <w:rFonts w:ascii="Bookman Old Style" w:hAnsi="Bookman Old Style"/>
          <w:sz w:val="24"/>
          <w:szCs w:val="24"/>
        </w:rPr>
        <w:t>pendapatan</w:t>
      </w:r>
      <w:r w:rsidR="00A954D0">
        <w:rPr>
          <w:rFonts w:ascii="Bookman Old Style" w:hAnsi="Bookman Old Style"/>
          <w:sz w:val="24"/>
          <w:szCs w:val="24"/>
        </w:rPr>
        <w:t xml:space="preserve"> </w:t>
      </w:r>
      <w:r w:rsidRPr="00727324">
        <w:rPr>
          <w:rFonts w:ascii="Bookman Old Style" w:hAnsi="Bookman Old Style"/>
          <w:sz w:val="24"/>
          <w:szCs w:val="24"/>
        </w:rPr>
        <w:t>daerah</w:t>
      </w:r>
      <w:r w:rsidR="00A954D0">
        <w:rPr>
          <w:rFonts w:ascii="Bookman Old Style" w:hAnsi="Bookman Old Style"/>
          <w:sz w:val="24"/>
          <w:szCs w:val="24"/>
        </w:rPr>
        <w:t xml:space="preserve"> </w:t>
      </w:r>
      <w:r w:rsidRPr="00727324">
        <w:rPr>
          <w:rFonts w:ascii="Bookman Old Style" w:hAnsi="Bookman Old Style"/>
          <w:sz w:val="24"/>
          <w:szCs w:val="24"/>
        </w:rPr>
        <w:t>dalam</w:t>
      </w:r>
      <w:r w:rsidR="00A954D0">
        <w:rPr>
          <w:rFonts w:ascii="Bookman Old Style" w:hAnsi="Bookman Old Style"/>
          <w:sz w:val="24"/>
          <w:szCs w:val="24"/>
        </w:rPr>
        <w:t xml:space="preserve"> </w:t>
      </w:r>
      <w:r w:rsidRPr="00727324">
        <w:rPr>
          <w:rFonts w:ascii="Bookman Old Style" w:hAnsi="Bookman Old Style"/>
          <w:sz w:val="24"/>
          <w:szCs w:val="24"/>
        </w:rPr>
        <w:t>Rancangan</w:t>
      </w:r>
      <w:r w:rsidR="00A954D0">
        <w:rPr>
          <w:rFonts w:ascii="Bookman Old Style" w:hAnsi="Bookman Old Style"/>
          <w:sz w:val="24"/>
          <w:szCs w:val="24"/>
        </w:rPr>
        <w:t xml:space="preserve"> </w:t>
      </w:r>
      <w:r w:rsidRPr="00727324">
        <w:rPr>
          <w:rFonts w:ascii="Bookman Old Style" w:hAnsi="Bookman Old Style"/>
          <w:sz w:val="24"/>
          <w:szCs w:val="24"/>
        </w:rPr>
        <w:t>Peraturan</w:t>
      </w:r>
      <w:r w:rsidR="00A954D0">
        <w:rPr>
          <w:rFonts w:ascii="Bookman Old Style" w:hAnsi="Bookman Old Style"/>
          <w:sz w:val="24"/>
          <w:szCs w:val="24"/>
        </w:rPr>
        <w:t xml:space="preserve"> </w:t>
      </w:r>
      <w:r w:rsidRPr="00727324">
        <w:rPr>
          <w:rFonts w:ascii="Bookman Old Style" w:hAnsi="Bookman Old Style"/>
          <w:sz w:val="24"/>
          <w:szCs w:val="24"/>
        </w:rPr>
        <w:t>Daerah</w:t>
      </w:r>
      <w:r w:rsidR="00A954D0">
        <w:rPr>
          <w:rFonts w:ascii="Bookman Old Style" w:hAnsi="Bookman Old Style"/>
          <w:sz w:val="24"/>
          <w:szCs w:val="24"/>
        </w:rPr>
        <w:t xml:space="preserve"> </w:t>
      </w:r>
      <w:r w:rsidRPr="003255BC">
        <w:rPr>
          <w:rFonts w:ascii="Bookman Old Style" w:hAnsi="Bookman Old Style"/>
          <w:sz w:val="24"/>
          <w:szCs w:val="24"/>
          <w:lang w:val="sv-FI"/>
        </w:rPr>
        <w:t>Kota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Tangerang</w:t>
      </w:r>
      <w:r w:rsidR="00A954D0" w:rsidRPr="003255BC">
        <w:rPr>
          <w:rFonts w:ascii="Bookman Old Style" w:hAnsi="Bookman Old Style"/>
          <w:sz w:val="24"/>
          <w:szCs w:val="24"/>
          <w:lang w:val="sv-FI"/>
        </w:rPr>
        <w:t xml:space="preserve"> </w:t>
      </w:r>
      <w:r w:rsidRPr="00727324">
        <w:rPr>
          <w:rFonts w:ascii="Bookman Old Style" w:hAnsi="Bookman Old Style"/>
          <w:sz w:val="24"/>
          <w:szCs w:val="24"/>
        </w:rPr>
        <w:t>tentang</w:t>
      </w:r>
      <w:r w:rsidR="00A954D0">
        <w:rPr>
          <w:rFonts w:ascii="Bookman Old Style" w:hAnsi="Bookman Old Style"/>
          <w:sz w:val="24"/>
          <w:szCs w:val="24"/>
        </w:rPr>
        <w:t xml:space="preserve"> </w:t>
      </w:r>
      <w:r w:rsidRPr="00727324">
        <w:rPr>
          <w:rFonts w:ascii="Bookman Old Style" w:hAnsi="Bookman Old Style"/>
          <w:sz w:val="24"/>
          <w:szCs w:val="24"/>
        </w:rPr>
        <w:t>APBD</w:t>
      </w:r>
      <w:r w:rsidR="00A954D0">
        <w:rPr>
          <w:rFonts w:ascii="Bookman Old Style" w:hAnsi="Bookman Old Style"/>
          <w:sz w:val="24"/>
          <w:szCs w:val="24"/>
        </w:rPr>
        <w:t xml:space="preserve"> </w:t>
      </w:r>
      <w:r w:rsidRPr="00727324">
        <w:rPr>
          <w:rFonts w:ascii="Bookman Old Style" w:hAnsi="Bookman Old Style"/>
          <w:sz w:val="24"/>
          <w:szCs w:val="24"/>
        </w:rPr>
        <w:t>Tahun</w:t>
      </w:r>
      <w:r w:rsidR="00A954D0">
        <w:rPr>
          <w:rFonts w:ascii="Bookman Old Style" w:hAnsi="Bookman Old Style"/>
          <w:sz w:val="24"/>
          <w:szCs w:val="24"/>
        </w:rPr>
        <w:t xml:space="preserve"> </w:t>
      </w:r>
      <w:r w:rsidRPr="00727324">
        <w:rPr>
          <w:rFonts w:ascii="Bookman Old Style" w:hAnsi="Bookman Old Style"/>
          <w:sz w:val="24"/>
          <w:szCs w:val="24"/>
        </w:rPr>
        <w:t>Anggaran</w:t>
      </w:r>
      <w:r w:rsidR="00A954D0">
        <w:rPr>
          <w:rFonts w:ascii="Bookman Old Style" w:hAnsi="Bookman Old Style"/>
          <w:sz w:val="24"/>
          <w:szCs w:val="24"/>
        </w:rPr>
        <w:t xml:space="preserve"> </w:t>
      </w:r>
      <w:r w:rsidRPr="00727324">
        <w:rPr>
          <w:rFonts w:ascii="Bookman Old Style" w:hAnsi="Bookman Old Style"/>
          <w:sz w:val="24"/>
          <w:szCs w:val="24"/>
        </w:rPr>
        <w:t>2025</w:t>
      </w:r>
      <w:r w:rsidRPr="00727324">
        <w:rPr>
          <w:rFonts w:ascii="Bookman Old Style" w:hAnsi="Bookman Old Style"/>
          <w:sz w:val="24"/>
          <w:szCs w:val="24"/>
          <w:lang w:val="id-ID"/>
        </w:rPr>
        <w:t>,</w:t>
      </w:r>
      <w:r w:rsidR="00A954D0">
        <w:rPr>
          <w:rFonts w:ascii="Bookman Old Style" w:hAnsi="Bookman Old Style"/>
          <w:sz w:val="24"/>
          <w:szCs w:val="24"/>
          <w:lang w:val="id-ID"/>
        </w:rPr>
        <w:t xml:space="preserve"> </w:t>
      </w:r>
      <w:r w:rsidRPr="00B010C4">
        <w:rPr>
          <w:rFonts w:ascii="Bookman Old Style" w:hAnsi="Bookman Old Style"/>
          <w:sz w:val="24"/>
          <w:szCs w:val="24"/>
          <w:lang w:val="id-ID"/>
        </w:rPr>
        <w:t>dianggarkan</w:t>
      </w:r>
      <w:r w:rsidR="00A954D0">
        <w:rPr>
          <w:rFonts w:ascii="Bookman Old Style" w:hAnsi="Bookman Old Style"/>
          <w:sz w:val="24"/>
          <w:szCs w:val="24"/>
          <w:lang w:val="id-ID"/>
        </w:rPr>
        <w:t xml:space="preserve"> </w:t>
      </w:r>
      <w:r w:rsidRPr="00B010C4">
        <w:rPr>
          <w:rFonts w:ascii="Bookman Old Style" w:hAnsi="Bookman Old Style"/>
          <w:sz w:val="24"/>
          <w:szCs w:val="24"/>
          <w:lang w:val="id-ID"/>
        </w:rPr>
        <w:t>dengan</w:t>
      </w:r>
      <w:r w:rsidR="00A954D0">
        <w:rPr>
          <w:rFonts w:ascii="Bookman Old Style" w:hAnsi="Bookman Old Style"/>
          <w:sz w:val="24"/>
          <w:szCs w:val="24"/>
          <w:lang w:val="id-ID"/>
        </w:rPr>
        <w:t xml:space="preserve"> </w:t>
      </w:r>
      <w:r w:rsidRPr="00B010C4">
        <w:rPr>
          <w:rFonts w:ascii="Bookman Old Style" w:hAnsi="Bookman Old Style"/>
          <w:sz w:val="24"/>
          <w:szCs w:val="24"/>
          <w:lang w:val="id-ID"/>
        </w:rPr>
        <w:t>berpedoman</w:t>
      </w:r>
      <w:r w:rsidR="00A954D0">
        <w:rPr>
          <w:rFonts w:ascii="Bookman Old Style" w:hAnsi="Bookman Old Style"/>
          <w:sz w:val="24"/>
          <w:szCs w:val="24"/>
          <w:lang w:val="id-ID"/>
        </w:rPr>
        <w:t xml:space="preserve"> </w:t>
      </w:r>
      <w:r w:rsidRPr="00B010C4">
        <w:rPr>
          <w:rFonts w:ascii="Bookman Old Style" w:hAnsi="Bookman Old Style"/>
          <w:sz w:val="24"/>
          <w:szCs w:val="24"/>
          <w:lang w:val="id-ID"/>
        </w:rPr>
        <w:t>pada</w:t>
      </w:r>
      <w:r w:rsidR="00A954D0">
        <w:rPr>
          <w:rFonts w:ascii="Bookman Old Style" w:hAnsi="Bookman Old Style"/>
          <w:sz w:val="24"/>
          <w:szCs w:val="24"/>
          <w:lang w:val="id-ID"/>
        </w:rPr>
        <w:t xml:space="preserve"> </w:t>
      </w:r>
      <w:r w:rsidRPr="00B010C4">
        <w:rPr>
          <w:rFonts w:ascii="Bookman Old Style" w:hAnsi="Bookman Old Style"/>
          <w:sz w:val="24"/>
          <w:szCs w:val="24"/>
          <w:lang w:val="id-ID"/>
        </w:rPr>
        <w:t>Pasal</w:t>
      </w:r>
      <w:r w:rsidR="00A954D0">
        <w:rPr>
          <w:rFonts w:ascii="Bookman Old Style" w:hAnsi="Bookman Old Style"/>
          <w:sz w:val="24"/>
          <w:szCs w:val="24"/>
          <w:lang w:val="id-ID"/>
        </w:rPr>
        <w:t xml:space="preserve"> </w:t>
      </w:r>
      <w:r w:rsidRPr="00B010C4">
        <w:rPr>
          <w:rFonts w:ascii="Bookman Old Style" w:hAnsi="Bookman Old Style"/>
          <w:sz w:val="24"/>
          <w:szCs w:val="24"/>
          <w:lang w:val="id-ID"/>
        </w:rPr>
        <w:t>24</w:t>
      </w:r>
      <w:r w:rsidR="00A954D0">
        <w:rPr>
          <w:rFonts w:ascii="Bookman Old Style" w:hAnsi="Bookman Old Style"/>
          <w:sz w:val="24"/>
          <w:szCs w:val="24"/>
          <w:lang w:val="id-ID"/>
        </w:rPr>
        <w:t xml:space="preserve"> </w:t>
      </w:r>
      <w:r w:rsidRPr="00B010C4">
        <w:rPr>
          <w:rFonts w:ascii="Bookman Old Style" w:hAnsi="Bookman Old Style"/>
          <w:sz w:val="24"/>
          <w:szCs w:val="24"/>
          <w:lang w:val="id-ID"/>
        </w:rPr>
        <w:t>ayat</w:t>
      </w:r>
      <w:r w:rsidR="00A954D0">
        <w:rPr>
          <w:rFonts w:ascii="Bookman Old Style" w:hAnsi="Bookman Old Style"/>
          <w:sz w:val="24"/>
          <w:szCs w:val="24"/>
          <w:lang w:val="id-ID"/>
        </w:rPr>
        <w:t xml:space="preserve"> </w:t>
      </w:r>
      <w:r w:rsidRPr="00B010C4">
        <w:rPr>
          <w:rFonts w:ascii="Bookman Old Style" w:hAnsi="Bookman Old Style"/>
          <w:sz w:val="24"/>
          <w:szCs w:val="24"/>
          <w:lang w:val="id-ID"/>
        </w:rPr>
        <w:t>(4)</w:t>
      </w:r>
      <w:r w:rsidR="00A954D0">
        <w:rPr>
          <w:rFonts w:ascii="Bookman Old Style" w:hAnsi="Bookman Old Style"/>
          <w:sz w:val="24"/>
          <w:szCs w:val="24"/>
          <w:lang w:val="id-ID"/>
        </w:rPr>
        <w:t xml:space="preserve"> </w:t>
      </w:r>
      <w:r w:rsidRPr="00B010C4">
        <w:rPr>
          <w:rFonts w:ascii="Bookman Old Style" w:hAnsi="Bookman Old Style"/>
          <w:sz w:val="24"/>
          <w:szCs w:val="24"/>
          <w:lang w:val="id-ID"/>
        </w:rPr>
        <w:t>dan</w:t>
      </w:r>
      <w:r w:rsidR="00A954D0">
        <w:rPr>
          <w:rFonts w:ascii="Bookman Old Style" w:hAnsi="Bookman Old Style"/>
          <w:sz w:val="24"/>
          <w:szCs w:val="24"/>
          <w:lang w:val="id-ID"/>
        </w:rPr>
        <w:t xml:space="preserve"> </w:t>
      </w:r>
      <w:r w:rsidRPr="00B010C4">
        <w:rPr>
          <w:rFonts w:ascii="Bookman Old Style" w:hAnsi="Bookman Old Style"/>
          <w:sz w:val="24"/>
          <w:szCs w:val="24"/>
          <w:lang w:val="id-ID"/>
        </w:rPr>
        <w:t>Pasal</w:t>
      </w:r>
      <w:r w:rsidR="00A954D0">
        <w:rPr>
          <w:rFonts w:ascii="Bookman Old Style" w:hAnsi="Bookman Old Style"/>
          <w:sz w:val="24"/>
          <w:szCs w:val="24"/>
          <w:lang w:val="id-ID"/>
        </w:rPr>
        <w:t xml:space="preserve"> </w:t>
      </w:r>
      <w:r w:rsidRPr="00B010C4">
        <w:rPr>
          <w:rFonts w:ascii="Bookman Old Style" w:hAnsi="Bookman Old Style"/>
          <w:sz w:val="24"/>
          <w:szCs w:val="24"/>
          <w:lang w:val="id-ID"/>
        </w:rPr>
        <w:t>3</w:t>
      </w:r>
      <w:r w:rsidR="00A954D0">
        <w:rPr>
          <w:rFonts w:ascii="Bookman Old Style" w:hAnsi="Bookman Old Style"/>
          <w:sz w:val="24"/>
          <w:szCs w:val="24"/>
          <w:lang w:val="id-ID"/>
        </w:rPr>
        <w:t xml:space="preserve"> </w:t>
      </w:r>
      <w:r w:rsidRPr="00B010C4">
        <w:rPr>
          <w:rFonts w:ascii="Bookman Old Style" w:hAnsi="Bookman Old Style"/>
          <w:sz w:val="24"/>
          <w:szCs w:val="24"/>
          <w:lang w:val="id-ID"/>
        </w:rPr>
        <w:t>I</w:t>
      </w:r>
      <w:r w:rsidR="00A954D0">
        <w:rPr>
          <w:rFonts w:ascii="Bookman Old Style" w:hAnsi="Bookman Old Style"/>
          <w:sz w:val="24"/>
          <w:szCs w:val="24"/>
          <w:lang w:val="id-ID"/>
        </w:rPr>
        <w:t xml:space="preserve"> </w:t>
      </w:r>
      <w:r w:rsidRPr="00B010C4">
        <w:rPr>
          <w:rFonts w:ascii="Bookman Old Style" w:hAnsi="Bookman Old Style"/>
          <w:sz w:val="24"/>
          <w:szCs w:val="24"/>
          <w:lang w:val="id-ID"/>
        </w:rPr>
        <w:t>ayat</w:t>
      </w:r>
      <w:r w:rsidR="00A954D0">
        <w:rPr>
          <w:rFonts w:ascii="Bookman Old Style" w:hAnsi="Bookman Old Style"/>
          <w:sz w:val="24"/>
          <w:szCs w:val="24"/>
          <w:lang w:val="id-ID"/>
        </w:rPr>
        <w:t xml:space="preserve"> </w:t>
      </w:r>
      <w:r w:rsidRPr="00B010C4">
        <w:rPr>
          <w:rFonts w:ascii="Bookman Old Style" w:hAnsi="Bookman Old Style"/>
          <w:sz w:val="24"/>
          <w:szCs w:val="24"/>
          <w:lang w:val="id-ID"/>
        </w:rPr>
        <w:t>(4)</w:t>
      </w:r>
      <w:r w:rsidR="00A954D0">
        <w:rPr>
          <w:rFonts w:ascii="Bookman Old Style" w:hAnsi="Bookman Old Style"/>
          <w:sz w:val="24"/>
          <w:szCs w:val="24"/>
          <w:lang w:val="id-ID"/>
        </w:rPr>
        <w:t xml:space="preserve"> </w:t>
      </w:r>
      <w:r w:rsidRPr="00B010C4">
        <w:rPr>
          <w:rFonts w:ascii="Bookman Old Style" w:hAnsi="Bookman Old Style"/>
          <w:sz w:val="24"/>
          <w:szCs w:val="24"/>
          <w:lang w:val="id-ID"/>
        </w:rPr>
        <w:t>huruf</w:t>
      </w:r>
      <w:r w:rsidR="00A954D0">
        <w:rPr>
          <w:rFonts w:ascii="Bookman Old Style" w:hAnsi="Bookman Old Style"/>
          <w:sz w:val="24"/>
          <w:szCs w:val="24"/>
          <w:lang w:val="id-ID"/>
        </w:rPr>
        <w:t xml:space="preserve"> </w:t>
      </w:r>
      <w:r w:rsidRPr="00B010C4">
        <w:rPr>
          <w:rFonts w:ascii="Bookman Old Style" w:hAnsi="Bookman Old Style"/>
          <w:sz w:val="24"/>
          <w:szCs w:val="24"/>
          <w:lang w:val="id-ID"/>
        </w:rPr>
        <w:t>j</w:t>
      </w:r>
      <w:r w:rsidR="00A954D0">
        <w:rPr>
          <w:rFonts w:ascii="Bookman Old Style" w:hAnsi="Bookman Old Style"/>
          <w:sz w:val="24"/>
          <w:szCs w:val="24"/>
          <w:lang w:val="id-ID"/>
        </w:rPr>
        <w:t xml:space="preserve"> </w:t>
      </w:r>
      <w:r w:rsidRPr="00B010C4">
        <w:rPr>
          <w:rFonts w:ascii="Bookman Old Style" w:hAnsi="Bookman Old Style"/>
          <w:sz w:val="24"/>
          <w:szCs w:val="24"/>
          <w:lang w:val="id-ID"/>
        </w:rPr>
        <w:t>Peraturan</w:t>
      </w:r>
      <w:r w:rsidR="00A954D0">
        <w:rPr>
          <w:rFonts w:ascii="Bookman Old Style" w:hAnsi="Bookman Old Style"/>
          <w:sz w:val="24"/>
          <w:szCs w:val="24"/>
          <w:lang w:val="id-ID"/>
        </w:rPr>
        <w:t xml:space="preserve"> </w:t>
      </w:r>
      <w:r w:rsidRPr="00B010C4">
        <w:rPr>
          <w:rFonts w:ascii="Bookman Old Style" w:hAnsi="Bookman Old Style"/>
          <w:sz w:val="24"/>
          <w:szCs w:val="24"/>
          <w:lang w:val="id-ID"/>
        </w:rPr>
        <w:t>Pemerintah</w:t>
      </w:r>
      <w:r w:rsidR="00A954D0">
        <w:rPr>
          <w:rFonts w:ascii="Bookman Old Style" w:hAnsi="Bookman Old Style"/>
          <w:sz w:val="24"/>
          <w:szCs w:val="24"/>
          <w:lang w:val="id-ID"/>
        </w:rPr>
        <w:t xml:space="preserve"> </w:t>
      </w:r>
      <w:r w:rsidRPr="00B010C4">
        <w:rPr>
          <w:rFonts w:ascii="Bookman Old Style" w:hAnsi="Bookman Old Style"/>
          <w:sz w:val="24"/>
          <w:szCs w:val="24"/>
          <w:lang w:val="id-ID"/>
        </w:rPr>
        <w:t>Nomor</w:t>
      </w:r>
      <w:r w:rsidR="00A954D0">
        <w:rPr>
          <w:rFonts w:ascii="Bookman Old Style" w:hAnsi="Bookman Old Style"/>
          <w:sz w:val="24"/>
          <w:szCs w:val="24"/>
          <w:lang w:val="id-ID"/>
        </w:rPr>
        <w:t xml:space="preserve"> </w:t>
      </w:r>
      <w:r w:rsidRPr="00B010C4">
        <w:rPr>
          <w:rFonts w:ascii="Bookman Old Style" w:hAnsi="Bookman Old Style"/>
          <w:sz w:val="24"/>
          <w:szCs w:val="24"/>
          <w:lang w:val="id-ID"/>
        </w:rPr>
        <w:t>12</w:t>
      </w:r>
      <w:r w:rsidR="00A954D0">
        <w:rPr>
          <w:rFonts w:ascii="Bookman Old Style" w:hAnsi="Bookman Old Style"/>
          <w:sz w:val="24"/>
          <w:szCs w:val="24"/>
          <w:lang w:val="id-ID"/>
        </w:rPr>
        <w:t xml:space="preserve"> </w:t>
      </w:r>
      <w:r w:rsidRPr="00B010C4">
        <w:rPr>
          <w:rFonts w:ascii="Bookman Old Style" w:hAnsi="Bookman Old Style"/>
          <w:sz w:val="24"/>
          <w:szCs w:val="24"/>
          <w:lang w:val="id-ID"/>
        </w:rPr>
        <w:t>Tahun</w:t>
      </w:r>
      <w:r w:rsidR="00A954D0">
        <w:rPr>
          <w:rFonts w:ascii="Bookman Old Style" w:hAnsi="Bookman Old Style"/>
          <w:sz w:val="24"/>
          <w:szCs w:val="24"/>
          <w:lang w:val="id-ID"/>
        </w:rPr>
        <w:t xml:space="preserve"> </w:t>
      </w:r>
      <w:r w:rsidRPr="00B010C4">
        <w:rPr>
          <w:rFonts w:ascii="Bookman Old Style" w:hAnsi="Bookman Old Style"/>
          <w:sz w:val="24"/>
          <w:szCs w:val="24"/>
          <w:lang w:val="id-ID"/>
        </w:rPr>
        <w:t>2019</w:t>
      </w:r>
      <w:r w:rsidR="00A954D0">
        <w:rPr>
          <w:rFonts w:ascii="Bookman Old Style" w:hAnsi="Bookman Old Style"/>
          <w:sz w:val="24"/>
          <w:szCs w:val="24"/>
          <w:lang w:val="id-ID"/>
        </w:rPr>
        <w:t xml:space="preserve"> </w:t>
      </w:r>
      <w:r w:rsidRPr="00B010C4">
        <w:rPr>
          <w:rFonts w:ascii="Bookman Old Style" w:hAnsi="Bookman Old Style"/>
          <w:sz w:val="24"/>
          <w:szCs w:val="24"/>
          <w:lang w:val="id-ID"/>
        </w:rPr>
        <w:t>dan</w:t>
      </w:r>
      <w:r w:rsidR="00A954D0">
        <w:rPr>
          <w:rFonts w:ascii="Bookman Old Style" w:hAnsi="Bookman Old Style"/>
          <w:sz w:val="24"/>
          <w:szCs w:val="24"/>
          <w:lang w:val="id-ID"/>
        </w:rPr>
        <w:t xml:space="preserve"> </w:t>
      </w:r>
      <w:r w:rsidRPr="00B010C4">
        <w:rPr>
          <w:rFonts w:ascii="Bookman Old Style" w:hAnsi="Bookman Old Style"/>
          <w:sz w:val="24"/>
          <w:szCs w:val="24"/>
          <w:lang w:val="id-ID"/>
        </w:rPr>
        <w:t>butir</w:t>
      </w:r>
      <w:r w:rsidR="00A954D0">
        <w:rPr>
          <w:rFonts w:ascii="Bookman Old Style" w:hAnsi="Bookman Old Style"/>
          <w:sz w:val="24"/>
          <w:szCs w:val="24"/>
          <w:lang w:val="id-ID"/>
        </w:rPr>
        <w:t xml:space="preserve"> </w:t>
      </w:r>
      <w:r w:rsidRPr="00B010C4">
        <w:rPr>
          <w:rFonts w:ascii="Bookman Old Style" w:hAnsi="Bookman Old Style"/>
          <w:sz w:val="24"/>
          <w:szCs w:val="24"/>
          <w:lang w:val="id-ID"/>
        </w:rPr>
        <w:t>C.2.a.3).i)</w:t>
      </w:r>
      <w:r w:rsidR="00A954D0">
        <w:rPr>
          <w:rFonts w:ascii="Bookman Old Style" w:hAnsi="Bookman Old Style"/>
          <w:sz w:val="24"/>
          <w:szCs w:val="24"/>
          <w:lang w:val="id-ID"/>
        </w:rPr>
        <w:t xml:space="preserve"> </w:t>
      </w:r>
      <w:r w:rsidRPr="00B010C4">
        <w:rPr>
          <w:rFonts w:ascii="Bookman Old Style" w:hAnsi="Bookman Old Style"/>
          <w:sz w:val="24"/>
          <w:szCs w:val="24"/>
          <w:lang w:val="id-ID"/>
        </w:rPr>
        <w:lastRenderedPageBreak/>
        <w:t>Lampiran</w:t>
      </w:r>
      <w:r w:rsidR="00A954D0">
        <w:rPr>
          <w:rFonts w:ascii="Bookman Old Style" w:hAnsi="Bookman Old Style"/>
          <w:sz w:val="24"/>
          <w:szCs w:val="24"/>
          <w:lang w:val="id-ID"/>
        </w:rPr>
        <w:t xml:space="preserve"> </w:t>
      </w:r>
      <w:r w:rsidRPr="00B010C4">
        <w:rPr>
          <w:rFonts w:ascii="Bookman Old Style" w:hAnsi="Bookman Old Style"/>
          <w:sz w:val="24"/>
          <w:szCs w:val="24"/>
          <w:lang w:val="id-ID"/>
        </w:rPr>
        <w:t>Peraturan</w:t>
      </w:r>
      <w:r w:rsidR="00A954D0">
        <w:rPr>
          <w:rFonts w:ascii="Bookman Old Style" w:hAnsi="Bookman Old Style"/>
          <w:sz w:val="24"/>
          <w:szCs w:val="24"/>
          <w:lang w:val="id-ID"/>
        </w:rPr>
        <w:t xml:space="preserve"> </w:t>
      </w:r>
      <w:r w:rsidRPr="00B010C4">
        <w:rPr>
          <w:rFonts w:ascii="Bookman Old Style" w:hAnsi="Bookman Old Style"/>
          <w:sz w:val="24"/>
          <w:szCs w:val="24"/>
          <w:lang w:val="id-ID"/>
        </w:rPr>
        <w:t>Menteri</w:t>
      </w:r>
      <w:r w:rsidR="00A954D0">
        <w:rPr>
          <w:rFonts w:ascii="Bookman Old Style" w:hAnsi="Bookman Old Style"/>
          <w:sz w:val="24"/>
          <w:szCs w:val="24"/>
          <w:lang w:val="id-ID"/>
        </w:rPr>
        <w:t xml:space="preserve"> </w:t>
      </w:r>
      <w:r w:rsidRPr="00B010C4">
        <w:rPr>
          <w:rFonts w:ascii="Bookman Old Style" w:hAnsi="Bookman Old Style"/>
          <w:sz w:val="24"/>
          <w:szCs w:val="24"/>
          <w:lang w:val="id-ID"/>
        </w:rPr>
        <w:t>Dalam</w:t>
      </w:r>
      <w:r w:rsidR="00A954D0">
        <w:rPr>
          <w:rFonts w:ascii="Bookman Old Style" w:hAnsi="Bookman Old Style"/>
          <w:sz w:val="24"/>
          <w:szCs w:val="24"/>
          <w:lang w:val="id-ID"/>
        </w:rPr>
        <w:t xml:space="preserve"> </w:t>
      </w:r>
      <w:r w:rsidRPr="00B010C4">
        <w:rPr>
          <w:rFonts w:ascii="Bookman Old Style" w:hAnsi="Bookman Old Style"/>
          <w:sz w:val="24"/>
          <w:szCs w:val="24"/>
          <w:lang w:val="id-ID"/>
        </w:rPr>
        <w:t>Negeri</w:t>
      </w:r>
      <w:r w:rsidR="00A954D0">
        <w:rPr>
          <w:rFonts w:ascii="Bookman Old Style" w:hAnsi="Bookman Old Style"/>
          <w:sz w:val="24"/>
          <w:szCs w:val="24"/>
          <w:lang w:val="id-ID"/>
        </w:rPr>
        <w:t xml:space="preserve"> </w:t>
      </w:r>
      <w:r w:rsidRPr="00B010C4">
        <w:rPr>
          <w:rFonts w:ascii="Bookman Old Style" w:hAnsi="Bookman Old Style"/>
          <w:sz w:val="24"/>
          <w:szCs w:val="24"/>
          <w:lang w:val="id-ID"/>
        </w:rPr>
        <w:t>Nomor</w:t>
      </w:r>
      <w:r w:rsidR="00A954D0">
        <w:rPr>
          <w:rFonts w:ascii="Bookman Old Style" w:hAnsi="Bookman Old Style"/>
          <w:sz w:val="24"/>
          <w:szCs w:val="24"/>
          <w:lang w:val="id-ID"/>
        </w:rPr>
        <w:t xml:space="preserve"> </w:t>
      </w:r>
      <w:r w:rsidRPr="00B010C4">
        <w:rPr>
          <w:rFonts w:ascii="Bookman Old Style" w:hAnsi="Bookman Old Style"/>
          <w:sz w:val="24"/>
          <w:szCs w:val="24"/>
          <w:lang w:val="id-ID"/>
        </w:rPr>
        <w:t>15</w:t>
      </w:r>
      <w:r w:rsidR="00A954D0">
        <w:rPr>
          <w:rFonts w:ascii="Bookman Old Style" w:hAnsi="Bookman Old Style"/>
          <w:sz w:val="24"/>
          <w:szCs w:val="24"/>
          <w:lang w:val="id-ID"/>
        </w:rPr>
        <w:t xml:space="preserve"> </w:t>
      </w:r>
      <w:r w:rsidRPr="00B010C4">
        <w:rPr>
          <w:rFonts w:ascii="Bookman Old Style" w:hAnsi="Bookman Old Style"/>
          <w:sz w:val="24"/>
          <w:szCs w:val="24"/>
          <w:lang w:val="id-ID"/>
        </w:rPr>
        <w:t>Tahun</w:t>
      </w:r>
      <w:r w:rsidR="00A954D0">
        <w:rPr>
          <w:rFonts w:ascii="Bookman Old Style" w:hAnsi="Bookman Old Style"/>
          <w:sz w:val="24"/>
          <w:szCs w:val="24"/>
          <w:lang w:val="id-ID"/>
        </w:rPr>
        <w:t xml:space="preserve"> </w:t>
      </w:r>
      <w:r w:rsidRPr="00B010C4">
        <w:rPr>
          <w:rFonts w:ascii="Bookman Old Style" w:hAnsi="Bookman Old Style"/>
          <w:sz w:val="24"/>
          <w:szCs w:val="24"/>
          <w:lang w:val="id-ID"/>
        </w:rPr>
        <w:t>2023</w:t>
      </w:r>
      <w:r w:rsidR="00B16310" w:rsidRPr="00B16310">
        <w:rPr>
          <w:rFonts w:ascii="Bookman Old Style" w:hAnsi="Bookman Old Style"/>
          <w:sz w:val="24"/>
          <w:szCs w:val="24"/>
          <w:lang w:val="sv-FI"/>
        </w:rPr>
        <w:t>;</w:t>
      </w:r>
    </w:p>
    <w:p w14:paraId="136D3E77" w14:textId="42D4D9F8" w:rsidR="001F194E" w:rsidRPr="006C3829" w:rsidRDefault="001F194E" w:rsidP="00B16310">
      <w:pPr>
        <w:pStyle w:val="ListParagraph"/>
        <w:numPr>
          <w:ilvl w:val="0"/>
          <w:numId w:val="10"/>
        </w:numPr>
        <w:spacing w:before="60" w:after="0" w:line="276" w:lineRule="auto"/>
        <w:ind w:left="2268" w:hanging="567"/>
        <w:contextualSpacing w:val="0"/>
        <w:jc w:val="both"/>
        <w:rPr>
          <w:rFonts w:ascii="Bookman Old Style" w:hAnsi="Bookman Old Style"/>
          <w:color w:val="FF0000"/>
          <w:sz w:val="24"/>
          <w:szCs w:val="24"/>
        </w:rPr>
      </w:pPr>
      <w:r w:rsidRPr="00727324">
        <w:rPr>
          <w:rFonts w:ascii="Bookman Old Style" w:hAnsi="Bookman Old Style"/>
          <w:sz w:val="24"/>
          <w:szCs w:val="24"/>
        </w:rPr>
        <w:t>Pendapatan</w:t>
      </w:r>
      <w:r w:rsidR="00A954D0">
        <w:rPr>
          <w:rFonts w:ascii="Bookman Old Style" w:hAnsi="Bookman Old Style"/>
          <w:sz w:val="24"/>
          <w:szCs w:val="24"/>
        </w:rPr>
        <w:t xml:space="preserve"> </w:t>
      </w:r>
      <w:r w:rsidRPr="00727324">
        <w:rPr>
          <w:rFonts w:ascii="Bookman Old Style" w:hAnsi="Bookman Old Style"/>
          <w:sz w:val="24"/>
          <w:szCs w:val="24"/>
        </w:rPr>
        <w:t>Denda</w:t>
      </w:r>
      <w:r w:rsidR="00A954D0">
        <w:rPr>
          <w:rFonts w:ascii="Bookman Old Style" w:hAnsi="Bookman Old Style"/>
          <w:sz w:val="24"/>
          <w:szCs w:val="24"/>
        </w:rPr>
        <w:t xml:space="preserve"> </w:t>
      </w:r>
      <w:r w:rsidRPr="003255BC">
        <w:rPr>
          <w:rFonts w:ascii="Bookman Old Style" w:hAnsi="Bookman Old Style"/>
          <w:sz w:val="24"/>
          <w:szCs w:val="24"/>
          <w:lang w:val="sv-FI"/>
        </w:rPr>
        <w:t>Pajak</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Daerah</w:t>
      </w:r>
      <w:r w:rsidR="00A954D0" w:rsidRPr="003255BC">
        <w:rPr>
          <w:rFonts w:ascii="Bookman Old Style" w:hAnsi="Bookman Old Style"/>
          <w:sz w:val="24"/>
          <w:szCs w:val="24"/>
          <w:lang w:val="sv-FI"/>
        </w:rPr>
        <w:t xml:space="preserve"> </w:t>
      </w:r>
      <w:r w:rsidRPr="00727324">
        <w:rPr>
          <w:rFonts w:ascii="Bookman Old Style" w:hAnsi="Bookman Old Style"/>
          <w:sz w:val="24"/>
          <w:szCs w:val="24"/>
        </w:rPr>
        <w:t>Rp</w:t>
      </w:r>
      <w:r w:rsidRPr="00A50691">
        <w:rPr>
          <w:rFonts w:ascii="Bookman Old Style" w:hAnsi="Bookman Old Style"/>
          <w:sz w:val="24"/>
          <w:szCs w:val="24"/>
        </w:rPr>
        <w:t>5.000.000.000,00</w:t>
      </w:r>
      <w:r w:rsidR="00A954D0">
        <w:rPr>
          <w:rFonts w:ascii="Bookman Old Style" w:hAnsi="Bookman Old Style"/>
          <w:sz w:val="24"/>
          <w:szCs w:val="24"/>
        </w:rPr>
        <w:t xml:space="preserve"> </w:t>
      </w:r>
      <w:r w:rsidRPr="00727324">
        <w:rPr>
          <w:rFonts w:ascii="Bookman Old Style" w:hAnsi="Bookman Old Style"/>
          <w:sz w:val="24"/>
          <w:szCs w:val="24"/>
        </w:rPr>
        <w:t>atau</w:t>
      </w:r>
      <w:r w:rsidR="00A954D0">
        <w:rPr>
          <w:rFonts w:ascii="Bookman Old Style" w:hAnsi="Bookman Old Style"/>
          <w:sz w:val="24"/>
          <w:szCs w:val="24"/>
        </w:rPr>
        <w:t xml:space="preserve"> </w:t>
      </w:r>
      <w:r w:rsidRPr="00727324">
        <w:rPr>
          <w:rFonts w:ascii="Bookman Old Style" w:hAnsi="Bookman Old Style"/>
          <w:sz w:val="24"/>
          <w:szCs w:val="24"/>
        </w:rPr>
        <w:t>0,</w:t>
      </w:r>
      <w:r>
        <w:rPr>
          <w:rFonts w:ascii="Bookman Old Style" w:hAnsi="Bookman Old Style"/>
          <w:sz w:val="24"/>
          <w:szCs w:val="24"/>
        </w:rPr>
        <w:t>09</w:t>
      </w:r>
      <w:r w:rsidRPr="00727324">
        <w:rPr>
          <w:rFonts w:ascii="Bookman Old Style" w:hAnsi="Bookman Old Style"/>
          <w:sz w:val="24"/>
          <w:szCs w:val="24"/>
        </w:rPr>
        <w:t>%</w:t>
      </w:r>
      <w:r w:rsidR="00A954D0" w:rsidRPr="003255BC">
        <w:rPr>
          <w:rFonts w:ascii="Bookman Old Style" w:hAnsi="Bookman Old Style" w:cs="Arial"/>
          <w:sz w:val="24"/>
          <w:szCs w:val="24"/>
          <w:lang w:val="sv-FI"/>
        </w:rPr>
        <w:t xml:space="preserve"> </w:t>
      </w:r>
      <w:r w:rsidRPr="00727324">
        <w:rPr>
          <w:rFonts w:ascii="Bookman Old Style" w:hAnsi="Bookman Old Style"/>
          <w:sz w:val="24"/>
          <w:szCs w:val="24"/>
        </w:rPr>
        <w:t>dari</w:t>
      </w:r>
      <w:r w:rsidR="00A954D0">
        <w:rPr>
          <w:rFonts w:ascii="Bookman Old Style" w:hAnsi="Bookman Old Style"/>
          <w:sz w:val="24"/>
          <w:szCs w:val="24"/>
        </w:rPr>
        <w:t xml:space="preserve"> </w:t>
      </w:r>
      <w:r w:rsidRPr="00727324">
        <w:rPr>
          <w:rFonts w:ascii="Bookman Old Style" w:hAnsi="Bookman Old Style"/>
          <w:sz w:val="24"/>
          <w:szCs w:val="24"/>
        </w:rPr>
        <w:t>total</w:t>
      </w:r>
      <w:r w:rsidR="00A954D0">
        <w:rPr>
          <w:rFonts w:ascii="Bookman Old Style" w:hAnsi="Bookman Old Style"/>
          <w:sz w:val="24"/>
          <w:szCs w:val="24"/>
        </w:rPr>
        <w:t xml:space="preserve"> </w:t>
      </w:r>
      <w:r w:rsidRPr="00727324">
        <w:rPr>
          <w:rFonts w:ascii="Bookman Old Style" w:hAnsi="Bookman Old Style"/>
          <w:sz w:val="24"/>
          <w:szCs w:val="24"/>
        </w:rPr>
        <w:t>pendapatan</w:t>
      </w:r>
      <w:r w:rsidR="00A954D0">
        <w:rPr>
          <w:rFonts w:ascii="Bookman Old Style" w:hAnsi="Bookman Old Style"/>
          <w:sz w:val="24"/>
          <w:szCs w:val="24"/>
        </w:rPr>
        <w:t xml:space="preserve"> </w:t>
      </w:r>
      <w:r w:rsidRPr="00727324">
        <w:rPr>
          <w:rFonts w:ascii="Bookman Old Style" w:hAnsi="Bookman Old Style"/>
          <w:sz w:val="24"/>
          <w:szCs w:val="24"/>
        </w:rPr>
        <w:t>daerah</w:t>
      </w:r>
      <w:r w:rsidR="00A954D0">
        <w:rPr>
          <w:rFonts w:ascii="Bookman Old Style" w:hAnsi="Bookman Old Style"/>
          <w:sz w:val="24"/>
          <w:szCs w:val="24"/>
        </w:rPr>
        <w:t xml:space="preserve"> </w:t>
      </w:r>
      <w:r w:rsidRPr="00727324">
        <w:rPr>
          <w:rFonts w:ascii="Bookman Old Style" w:hAnsi="Bookman Old Style"/>
          <w:sz w:val="24"/>
          <w:szCs w:val="24"/>
        </w:rPr>
        <w:t>dalam</w:t>
      </w:r>
      <w:r w:rsidR="00A954D0">
        <w:rPr>
          <w:rFonts w:ascii="Bookman Old Style" w:hAnsi="Bookman Old Style"/>
          <w:sz w:val="24"/>
          <w:szCs w:val="24"/>
        </w:rPr>
        <w:t xml:space="preserve"> </w:t>
      </w:r>
      <w:r w:rsidRPr="00727324">
        <w:rPr>
          <w:rFonts w:ascii="Bookman Old Style" w:hAnsi="Bookman Old Style"/>
          <w:sz w:val="24"/>
          <w:szCs w:val="24"/>
        </w:rPr>
        <w:t>Rancangan</w:t>
      </w:r>
      <w:r w:rsidR="00A954D0">
        <w:rPr>
          <w:rFonts w:ascii="Bookman Old Style" w:hAnsi="Bookman Old Style"/>
          <w:sz w:val="24"/>
          <w:szCs w:val="24"/>
        </w:rPr>
        <w:t xml:space="preserve"> </w:t>
      </w:r>
      <w:r w:rsidRPr="00727324">
        <w:rPr>
          <w:rFonts w:ascii="Bookman Old Style" w:hAnsi="Bookman Old Style"/>
          <w:sz w:val="24"/>
          <w:szCs w:val="24"/>
        </w:rPr>
        <w:t>Peraturan</w:t>
      </w:r>
      <w:r w:rsidR="00A954D0">
        <w:rPr>
          <w:rFonts w:ascii="Bookman Old Style" w:hAnsi="Bookman Old Style"/>
          <w:sz w:val="24"/>
          <w:szCs w:val="24"/>
        </w:rPr>
        <w:t xml:space="preserve"> </w:t>
      </w:r>
      <w:r w:rsidRPr="00727324">
        <w:rPr>
          <w:rFonts w:ascii="Bookman Old Style" w:hAnsi="Bookman Old Style"/>
          <w:sz w:val="24"/>
          <w:szCs w:val="24"/>
        </w:rPr>
        <w:t>Daerah</w:t>
      </w:r>
      <w:r w:rsidR="00A954D0">
        <w:rPr>
          <w:rFonts w:ascii="Bookman Old Style" w:hAnsi="Bookman Old Style"/>
          <w:sz w:val="24"/>
          <w:szCs w:val="24"/>
        </w:rPr>
        <w:t xml:space="preserve"> </w:t>
      </w:r>
      <w:r w:rsidRPr="003255BC">
        <w:rPr>
          <w:rFonts w:ascii="Bookman Old Style" w:hAnsi="Bookman Old Style"/>
          <w:sz w:val="24"/>
          <w:szCs w:val="24"/>
          <w:lang w:val="sv-FI"/>
        </w:rPr>
        <w:t>Kota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Tangerang</w:t>
      </w:r>
      <w:r w:rsidR="00A954D0" w:rsidRPr="003255BC">
        <w:rPr>
          <w:rFonts w:ascii="Bookman Old Style" w:hAnsi="Bookman Old Style"/>
          <w:sz w:val="24"/>
          <w:szCs w:val="24"/>
          <w:lang w:val="sv-FI"/>
        </w:rPr>
        <w:t xml:space="preserve"> </w:t>
      </w:r>
      <w:r w:rsidRPr="00727324">
        <w:rPr>
          <w:rFonts w:ascii="Bookman Old Style" w:hAnsi="Bookman Old Style"/>
          <w:sz w:val="24"/>
          <w:szCs w:val="24"/>
        </w:rPr>
        <w:t>tentang</w:t>
      </w:r>
      <w:r w:rsidR="00A954D0">
        <w:rPr>
          <w:rFonts w:ascii="Bookman Old Style" w:hAnsi="Bookman Old Style"/>
          <w:sz w:val="24"/>
          <w:szCs w:val="24"/>
        </w:rPr>
        <w:t xml:space="preserve"> </w:t>
      </w:r>
      <w:r w:rsidRPr="00727324">
        <w:rPr>
          <w:rFonts w:ascii="Bookman Old Style" w:hAnsi="Bookman Old Style"/>
          <w:sz w:val="24"/>
          <w:szCs w:val="24"/>
        </w:rPr>
        <w:t>APBD</w:t>
      </w:r>
      <w:r w:rsidR="00A954D0">
        <w:rPr>
          <w:rFonts w:ascii="Bookman Old Style" w:hAnsi="Bookman Old Style"/>
          <w:sz w:val="24"/>
          <w:szCs w:val="24"/>
        </w:rPr>
        <w:t xml:space="preserve"> </w:t>
      </w:r>
      <w:r w:rsidRPr="00727324">
        <w:rPr>
          <w:rFonts w:ascii="Bookman Old Style" w:hAnsi="Bookman Old Style"/>
          <w:sz w:val="24"/>
          <w:szCs w:val="24"/>
        </w:rPr>
        <w:t>Tahun</w:t>
      </w:r>
      <w:r w:rsidR="00A954D0">
        <w:rPr>
          <w:rFonts w:ascii="Bookman Old Style" w:hAnsi="Bookman Old Style"/>
          <w:sz w:val="24"/>
          <w:szCs w:val="24"/>
        </w:rPr>
        <w:t xml:space="preserve"> </w:t>
      </w:r>
      <w:r w:rsidRPr="00727324">
        <w:rPr>
          <w:rFonts w:ascii="Bookman Old Style" w:hAnsi="Bookman Old Style"/>
          <w:sz w:val="24"/>
          <w:szCs w:val="24"/>
        </w:rPr>
        <w:t>Anggaran</w:t>
      </w:r>
      <w:r w:rsidR="00A954D0">
        <w:rPr>
          <w:rFonts w:ascii="Bookman Old Style" w:hAnsi="Bookman Old Style"/>
          <w:sz w:val="24"/>
          <w:szCs w:val="24"/>
        </w:rPr>
        <w:t xml:space="preserve"> </w:t>
      </w:r>
      <w:r w:rsidRPr="00727324">
        <w:rPr>
          <w:rFonts w:ascii="Bookman Old Style" w:hAnsi="Bookman Old Style"/>
          <w:sz w:val="24"/>
          <w:szCs w:val="24"/>
        </w:rPr>
        <w:t>2025,</w:t>
      </w:r>
      <w:r w:rsidR="00A954D0">
        <w:rPr>
          <w:rFonts w:ascii="Bookman Old Style" w:hAnsi="Bookman Old Style"/>
          <w:sz w:val="24"/>
          <w:szCs w:val="24"/>
        </w:rPr>
        <w:t xml:space="preserve"> </w:t>
      </w:r>
      <w:r w:rsidRPr="00727324">
        <w:rPr>
          <w:rFonts w:ascii="Bookman Old Style" w:hAnsi="Bookman Old Style"/>
          <w:sz w:val="24"/>
          <w:szCs w:val="24"/>
        </w:rPr>
        <w:t>dianggarkan</w:t>
      </w:r>
      <w:r w:rsidR="00A954D0">
        <w:rPr>
          <w:rFonts w:ascii="Bookman Old Style" w:hAnsi="Bookman Old Style"/>
          <w:sz w:val="24"/>
          <w:szCs w:val="24"/>
        </w:rPr>
        <w:t xml:space="preserve"> </w:t>
      </w:r>
      <w:r w:rsidRPr="00727324">
        <w:rPr>
          <w:rFonts w:ascii="Bookman Old Style" w:hAnsi="Bookman Old Style"/>
          <w:sz w:val="24"/>
          <w:szCs w:val="24"/>
        </w:rPr>
        <w:t>dengan</w:t>
      </w:r>
      <w:r w:rsidR="00A954D0">
        <w:rPr>
          <w:rFonts w:ascii="Bookman Old Style" w:hAnsi="Bookman Old Style"/>
          <w:sz w:val="24"/>
          <w:szCs w:val="24"/>
        </w:rPr>
        <w:t xml:space="preserve"> </w:t>
      </w:r>
      <w:r w:rsidRPr="00727324">
        <w:rPr>
          <w:rFonts w:ascii="Bookman Old Style" w:hAnsi="Bookman Old Style"/>
          <w:sz w:val="24"/>
          <w:szCs w:val="24"/>
        </w:rPr>
        <w:t>berpedoman</w:t>
      </w:r>
      <w:r w:rsidR="00A954D0">
        <w:rPr>
          <w:rFonts w:ascii="Bookman Old Style" w:hAnsi="Bookman Old Style"/>
          <w:sz w:val="24"/>
          <w:szCs w:val="24"/>
        </w:rPr>
        <w:t xml:space="preserve"> </w:t>
      </w:r>
      <w:r w:rsidRPr="00727324">
        <w:rPr>
          <w:rFonts w:ascii="Bookman Old Style" w:hAnsi="Bookman Old Style"/>
          <w:sz w:val="24"/>
          <w:szCs w:val="24"/>
        </w:rPr>
        <w:t>pada</w:t>
      </w:r>
      <w:r w:rsidR="00A954D0">
        <w:rPr>
          <w:rFonts w:ascii="Bookman Old Style" w:hAnsi="Bookman Old Style"/>
          <w:sz w:val="24"/>
          <w:szCs w:val="24"/>
        </w:rPr>
        <w:t xml:space="preserve"> </w:t>
      </w:r>
      <w:r w:rsidRPr="00727324">
        <w:rPr>
          <w:rFonts w:ascii="Bookman Old Style" w:hAnsi="Bookman Old Style"/>
          <w:sz w:val="24"/>
          <w:szCs w:val="24"/>
        </w:rPr>
        <w:t>Pasal</w:t>
      </w:r>
      <w:r w:rsidR="00A954D0">
        <w:rPr>
          <w:rFonts w:ascii="Bookman Old Style" w:hAnsi="Bookman Old Style"/>
          <w:sz w:val="24"/>
          <w:szCs w:val="24"/>
        </w:rPr>
        <w:t xml:space="preserve"> </w:t>
      </w:r>
      <w:r w:rsidRPr="00727324">
        <w:rPr>
          <w:rFonts w:ascii="Bookman Old Style" w:hAnsi="Bookman Old Style"/>
          <w:sz w:val="24"/>
          <w:szCs w:val="24"/>
        </w:rPr>
        <w:t>24</w:t>
      </w:r>
      <w:r w:rsidR="00A954D0">
        <w:rPr>
          <w:rFonts w:ascii="Bookman Old Style" w:hAnsi="Bookman Old Style"/>
          <w:sz w:val="24"/>
          <w:szCs w:val="24"/>
        </w:rPr>
        <w:t xml:space="preserve"> </w:t>
      </w:r>
      <w:r w:rsidRPr="00727324">
        <w:rPr>
          <w:rFonts w:ascii="Bookman Old Style" w:hAnsi="Bookman Old Style"/>
          <w:sz w:val="24"/>
          <w:szCs w:val="24"/>
        </w:rPr>
        <w:t>ayat</w:t>
      </w:r>
      <w:r w:rsidR="00A954D0">
        <w:rPr>
          <w:rFonts w:ascii="Bookman Old Style" w:hAnsi="Bookman Old Style"/>
          <w:sz w:val="24"/>
          <w:szCs w:val="24"/>
        </w:rPr>
        <w:t xml:space="preserve"> </w:t>
      </w:r>
      <w:r w:rsidRPr="00727324">
        <w:rPr>
          <w:rFonts w:ascii="Bookman Old Style" w:hAnsi="Bookman Old Style"/>
          <w:sz w:val="24"/>
          <w:szCs w:val="24"/>
        </w:rPr>
        <w:t>(4)</w:t>
      </w:r>
      <w:r w:rsidR="00A954D0">
        <w:rPr>
          <w:rFonts w:ascii="Bookman Old Style" w:hAnsi="Bookman Old Style"/>
          <w:sz w:val="24"/>
          <w:szCs w:val="24"/>
        </w:rPr>
        <w:t xml:space="preserve"> </w:t>
      </w:r>
      <w:r w:rsidRPr="00727324">
        <w:rPr>
          <w:rFonts w:ascii="Bookman Old Style" w:hAnsi="Bookman Old Style"/>
          <w:sz w:val="24"/>
          <w:szCs w:val="24"/>
        </w:rPr>
        <w:t>dan</w:t>
      </w:r>
      <w:r w:rsidR="00A954D0">
        <w:rPr>
          <w:rFonts w:ascii="Bookman Old Style" w:hAnsi="Bookman Old Style"/>
          <w:sz w:val="24"/>
          <w:szCs w:val="24"/>
        </w:rPr>
        <w:t xml:space="preserve"> </w:t>
      </w:r>
      <w:r w:rsidRPr="00727324">
        <w:rPr>
          <w:rFonts w:ascii="Bookman Old Style" w:hAnsi="Bookman Old Style"/>
          <w:sz w:val="24"/>
          <w:szCs w:val="24"/>
        </w:rPr>
        <w:t>Pasal</w:t>
      </w:r>
      <w:r w:rsidR="00A954D0">
        <w:rPr>
          <w:rFonts w:ascii="Bookman Old Style" w:hAnsi="Bookman Old Style"/>
          <w:sz w:val="24"/>
          <w:szCs w:val="24"/>
        </w:rPr>
        <w:t xml:space="preserve"> </w:t>
      </w:r>
      <w:r w:rsidRPr="00727324">
        <w:rPr>
          <w:rFonts w:ascii="Bookman Old Style" w:hAnsi="Bookman Old Style"/>
          <w:sz w:val="24"/>
          <w:szCs w:val="24"/>
        </w:rPr>
        <w:t>31</w:t>
      </w:r>
      <w:r w:rsidR="00A954D0">
        <w:rPr>
          <w:rFonts w:ascii="Bookman Old Style" w:hAnsi="Bookman Old Style"/>
          <w:sz w:val="24"/>
          <w:szCs w:val="24"/>
        </w:rPr>
        <w:t xml:space="preserve"> </w:t>
      </w:r>
      <w:r w:rsidRPr="00727324">
        <w:rPr>
          <w:rFonts w:ascii="Bookman Old Style" w:hAnsi="Bookman Old Style"/>
          <w:sz w:val="24"/>
          <w:szCs w:val="24"/>
        </w:rPr>
        <w:t>ayat</w:t>
      </w:r>
      <w:r w:rsidR="00A954D0">
        <w:rPr>
          <w:rFonts w:ascii="Bookman Old Style" w:hAnsi="Bookman Old Style"/>
          <w:sz w:val="24"/>
          <w:szCs w:val="24"/>
        </w:rPr>
        <w:t xml:space="preserve"> </w:t>
      </w:r>
      <w:r w:rsidRPr="00727324">
        <w:rPr>
          <w:rFonts w:ascii="Bookman Old Style" w:hAnsi="Bookman Old Style"/>
          <w:sz w:val="24"/>
          <w:szCs w:val="24"/>
        </w:rPr>
        <w:t>(4)</w:t>
      </w:r>
      <w:r w:rsidR="00A954D0">
        <w:rPr>
          <w:rFonts w:ascii="Bookman Old Style" w:hAnsi="Bookman Old Style"/>
          <w:sz w:val="24"/>
          <w:szCs w:val="24"/>
        </w:rPr>
        <w:t xml:space="preserve"> </w:t>
      </w:r>
      <w:r w:rsidRPr="00727324">
        <w:rPr>
          <w:rFonts w:ascii="Bookman Old Style" w:hAnsi="Bookman Old Style"/>
          <w:sz w:val="24"/>
          <w:szCs w:val="24"/>
        </w:rPr>
        <w:t>huruf</w:t>
      </w:r>
      <w:r w:rsidR="00A954D0">
        <w:rPr>
          <w:rFonts w:ascii="Bookman Old Style" w:hAnsi="Bookman Old Style"/>
          <w:sz w:val="24"/>
          <w:szCs w:val="24"/>
        </w:rPr>
        <w:t xml:space="preserve"> </w:t>
      </w:r>
      <w:r w:rsidRPr="003255BC">
        <w:rPr>
          <w:rFonts w:ascii="Bookman Old Style" w:hAnsi="Bookman Old Style"/>
          <w:sz w:val="24"/>
          <w:szCs w:val="24"/>
          <w:lang w:val="sv-FI"/>
        </w:rPr>
        <w:t>k</w:t>
      </w:r>
      <w:r w:rsidR="00A954D0">
        <w:rPr>
          <w:rFonts w:ascii="Bookman Old Style" w:hAnsi="Bookman Old Style"/>
          <w:sz w:val="24"/>
          <w:szCs w:val="24"/>
        </w:rPr>
        <w:t xml:space="preserve"> </w:t>
      </w:r>
      <w:r w:rsidRPr="00727324">
        <w:rPr>
          <w:rFonts w:ascii="Bookman Old Style" w:hAnsi="Bookman Old Style"/>
          <w:sz w:val="24"/>
          <w:szCs w:val="24"/>
        </w:rPr>
        <w:t>Peraturan</w:t>
      </w:r>
      <w:r w:rsidR="00A954D0">
        <w:rPr>
          <w:rFonts w:ascii="Bookman Old Style" w:hAnsi="Bookman Old Style"/>
          <w:sz w:val="24"/>
          <w:szCs w:val="24"/>
        </w:rPr>
        <w:t xml:space="preserve"> </w:t>
      </w:r>
      <w:r w:rsidRPr="00727324">
        <w:rPr>
          <w:rFonts w:ascii="Bookman Old Style" w:hAnsi="Bookman Old Style"/>
          <w:sz w:val="24"/>
          <w:szCs w:val="24"/>
        </w:rPr>
        <w:t>Pemerintah</w:t>
      </w:r>
      <w:r w:rsidR="00A954D0">
        <w:rPr>
          <w:rFonts w:ascii="Bookman Old Style" w:hAnsi="Bookman Old Style"/>
          <w:sz w:val="24"/>
          <w:szCs w:val="24"/>
        </w:rPr>
        <w:t xml:space="preserve"> </w:t>
      </w:r>
      <w:r w:rsidRPr="00727324">
        <w:rPr>
          <w:rFonts w:ascii="Bookman Old Style" w:hAnsi="Bookman Old Style"/>
          <w:sz w:val="24"/>
          <w:szCs w:val="24"/>
        </w:rPr>
        <w:t>Nomor</w:t>
      </w:r>
      <w:r w:rsidR="00A954D0">
        <w:rPr>
          <w:rFonts w:ascii="Bookman Old Style" w:hAnsi="Bookman Old Style"/>
          <w:sz w:val="24"/>
          <w:szCs w:val="24"/>
        </w:rPr>
        <w:t xml:space="preserve"> </w:t>
      </w:r>
      <w:r w:rsidRPr="00727324">
        <w:rPr>
          <w:rFonts w:ascii="Bookman Old Style" w:hAnsi="Bookman Old Style"/>
          <w:sz w:val="24"/>
          <w:szCs w:val="24"/>
        </w:rPr>
        <w:t>12</w:t>
      </w:r>
      <w:r w:rsidR="00A954D0">
        <w:rPr>
          <w:rFonts w:ascii="Bookman Old Style" w:hAnsi="Bookman Old Style"/>
          <w:sz w:val="24"/>
          <w:szCs w:val="24"/>
        </w:rPr>
        <w:t xml:space="preserve"> </w:t>
      </w:r>
      <w:r w:rsidRPr="00727324">
        <w:rPr>
          <w:rFonts w:ascii="Bookman Old Style" w:hAnsi="Bookman Old Style"/>
          <w:sz w:val="24"/>
          <w:szCs w:val="24"/>
        </w:rPr>
        <w:t>Tahun</w:t>
      </w:r>
      <w:r w:rsidR="00A954D0">
        <w:rPr>
          <w:rFonts w:ascii="Bookman Old Style" w:hAnsi="Bookman Old Style"/>
          <w:sz w:val="24"/>
          <w:szCs w:val="24"/>
        </w:rPr>
        <w:t xml:space="preserve"> </w:t>
      </w:r>
      <w:r w:rsidRPr="00727324">
        <w:rPr>
          <w:rFonts w:ascii="Bookman Old Style" w:hAnsi="Bookman Old Style"/>
          <w:sz w:val="24"/>
          <w:szCs w:val="24"/>
        </w:rPr>
        <w:t>2019</w:t>
      </w:r>
      <w:r w:rsidR="00A954D0">
        <w:rPr>
          <w:rFonts w:ascii="Bookman Old Style" w:hAnsi="Bookman Old Style"/>
          <w:sz w:val="24"/>
          <w:szCs w:val="24"/>
        </w:rPr>
        <w:t xml:space="preserve"> </w:t>
      </w:r>
      <w:r w:rsidRPr="00727324">
        <w:rPr>
          <w:rFonts w:ascii="Bookman Old Style" w:hAnsi="Bookman Old Style"/>
          <w:sz w:val="24"/>
          <w:szCs w:val="24"/>
        </w:rPr>
        <w:t>dan</w:t>
      </w:r>
      <w:r w:rsidR="00A954D0">
        <w:rPr>
          <w:rFonts w:ascii="Bookman Old Style" w:hAnsi="Bookman Old Style"/>
          <w:sz w:val="24"/>
          <w:szCs w:val="24"/>
        </w:rPr>
        <w:t xml:space="preserve"> </w:t>
      </w:r>
      <w:r w:rsidRPr="00727324">
        <w:rPr>
          <w:rFonts w:ascii="Bookman Old Style" w:hAnsi="Bookman Old Style"/>
          <w:sz w:val="24"/>
          <w:szCs w:val="24"/>
          <w:lang w:val="id-ID"/>
        </w:rPr>
        <w:t>butir</w:t>
      </w:r>
      <w:r w:rsidR="00A954D0">
        <w:rPr>
          <w:rFonts w:ascii="Bookman Old Style" w:hAnsi="Bookman Old Style"/>
          <w:sz w:val="24"/>
          <w:szCs w:val="24"/>
          <w:lang w:val="id-ID"/>
        </w:rPr>
        <w:t xml:space="preserve"> </w:t>
      </w:r>
      <w:r w:rsidRPr="003255BC">
        <w:rPr>
          <w:rFonts w:ascii="Bookman Old Style" w:hAnsi="Bookman Old Style"/>
          <w:sz w:val="24"/>
          <w:szCs w:val="24"/>
          <w:lang w:val="sv-FI"/>
        </w:rPr>
        <w:t>3.3.1.3.b.8)</w:t>
      </w:r>
      <w:r w:rsidR="00A954D0">
        <w:rPr>
          <w:rFonts w:ascii="Bookman Old Style" w:hAnsi="Bookman Old Style"/>
          <w:sz w:val="24"/>
          <w:szCs w:val="24"/>
        </w:rPr>
        <w:t xml:space="preserve"> </w:t>
      </w:r>
      <w:r w:rsidRPr="00727324">
        <w:rPr>
          <w:rFonts w:ascii="Bookman Old Style" w:hAnsi="Bookman Old Style"/>
          <w:sz w:val="24"/>
          <w:szCs w:val="24"/>
        </w:rPr>
        <w:t>Lampiran</w:t>
      </w:r>
      <w:r w:rsidR="00A954D0">
        <w:rPr>
          <w:rFonts w:ascii="Bookman Old Style" w:hAnsi="Bookman Old Style"/>
          <w:sz w:val="24"/>
          <w:szCs w:val="24"/>
        </w:rPr>
        <w:t xml:space="preserve"> </w:t>
      </w:r>
      <w:r w:rsidRPr="00727324">
        <w:rPr>
          <w:rFonts w:ascii="Bookman Old Style" w:hAnsi="Bookman Old Style"/>
          <w:sz w:val="24"/>
          <w:szCs w:val="24"/>
        </w:rPr>
        <w:t>Peraturan</w:t>
      </w:r>
      <w:r w:rsidR="00A954D0">
        <w:rPr>
          <w:rFonts w:ascii="Bookman Old Style" w:hAnsi="Bookman Old Style"/>
          <w:sz w:val="24"/>
          <w:szCs w:val="24"/>
        </w:rPr>
        <w:t xml:space="preserve"> </w:t>
      </w:r>
      <w:r w:rsidRPr="00727324">
        <w:rPr>
          <w:rFonts w:ascii="Bookman Old Style" w:hAnsi="Bookman Old Style"/>
          <w:sz w:val="24"/>
          <w:szCs w:val="24"/>
        </w:rPr>
        <w:t>Menteri</w:t>
      </w:r>
      <w:r w:rsidR="00A954D0">
        <w:rPr>
          <w:rFonts w:ascii="Bookman Old Style" w:hAnsi="Bookman Old Style"/>
          <w:sz w:val="24"/>
          <w:szCs w:val="24"/>
        </w:rPr>
        <w:t xml:space="preserve"> </w:t>
      </w:r>
      <w:r w:rsidRPr="00727324">
        <w:rPr>
          <w:rFonts w:ascii="Bookman Old Style" w:hAnsi="Bookman Old Style"/>
          <w:sz w:val="24"/>
          <w:szCs w:val="24"/>
        </w:rPr>
        <w:t>Dalam</w:t>
      </w:r>
      <w:r w:rsidR="00A954D0">
        <w:rPr>
          <w:rFonts w:ascii="Bookman Old Style" w:hAnsi="Bookman Old Style"/>
          <w:sz w:val="24"/>
          <w:szCs w:val="24"/>
        </w:rPr>
        <w:t xml:space="preserve"> </w:t>
      </w:r>
      <w:r w:rsidRPr="00727324">
        <w:rPr>
          <w:rFonts w:ascii="Bookman Old Style" w:hAnsi="Bookman Old Style"/>
          <w:sz w:val="24"/>
          <w:szCs w:val="24"/>
        </w:rPr>
        <w:t>Negeri</w:t>
      </w:r>
      <w:r w:rsidR="00A954D0">
        <w:rPr>
          <w:rFonts w:ascii="Bookman Old Style" w:hAnsi="Bookman Old Style"/>
          <w:sz w:val="24"/>
          <w:szCs w:val="24"/>
        </w:rPr>
        <w:t xml:space="preserve"> </w:t>
      </w:r>
      <w:r w:rsidRPr="00727324">
        <w:rPr>
          <w:rFonts w:ascii="Bookman Old Style" w:hAnsi="Bookman Old Style"/>
          <w:sz w:val="24"/>
          <w:szCs w:val="24"/>
        </w:rPr>
        <w:t>Nomor</w:t>
      </w:r>
      <w:r w:rsidR="00A954D0">
        <w:rPr>
          <w:rFonts w:ascii="Bookman Old Style" w:hAnsi="Bookman Old Style"/>
          <w:sz w:val="24"/>
          <w:szCs w:val="24"/>
        </w:rPr>
        <w:t xml:space="preserve"> </w:t>
      </w:r>
      <w:r w:rsidRPr="003255BC">
        <w:rPr>
          <w:rFonts w:ascii="Bookman Old Style" w:hAnsi="Bookman Old Style"/>
          <w:sz w:val="24"/>
          <w:szCs w:val="24"/>
          <w:lang w:val="sv-FI"/>
        </w:rPr>
        <w:t>15</w:t>
      </w:r>
      <w:r w:rsidR="00A954D0">
        <w:rPr>
          <w:rFonts w:ascii="Bookman Old Style" w:hAnsi="Bookman Old Style"/>
          <w:sz w:val="24"/>
          <w:szCs w:val="24"/>
        </w:rPr>
        <w:t xml:space="preserve"> </w:t>
      </w:r>
      <w:r w:rsidRPr="00727324">
        <w:rPr>
          <w:rFonts w:ascii="Bookman Old Style" w:hAnsi="Bookman Old Style"/>
          <w:sz w:val="24"/>
          <w:szCs w:val="24"/>
        </w:rPr>
        <w:t>Tahun</w:t>
      </w:r>
      <w:r w:rsidR="00A954D0">
        <w:rPr>
          <w:rFonts w:ascii="Bookman Old Style" w:hAnsi="Bookman Old Style"/>
          <w:sz w:val="24"/>
          <w:szCs w:val="24"/>
        </w:rPr>
        <w:t xml:space="preserve"> </w:t>
      </w:r>
      <w:r w:rsidRPr="00727324">
        <w:rPr>
          <w:rFonts w:ascii="Bookman Old Style" w:hAnsi="Bookman Old Style"/>
          <w:sz w:val="24"/>
          <w:szCs w:val="24"/>
        </w:rPr>
        <w:t>202</w:t>
      </w:r>
      <w:r w:rsidRPr="003255BC">
        <w:rPr>
          <w:rFonts w:ascii="Bookman Old Style" w:hAnsi="Bookman Old Style"/>
          <w:sz w:val="24"/>
          <w:szCs w:val="24"/>
          <w:lang w:val="sv-FI"/>
        </w:rPr>
        <w:t>4.</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Selanjutnya,</w:t>
      </w:r>
      <w:r w:rsidR="00A954D0" w:rsidRPr="003255BC">
        <w:rPr>
          <w:rFonts w:ascii="Bookman Old Style" w:hAnsi="Bookman Old Style"/>
          <w:sz w:val="24"/>
          <w:szCs w:val="24"/>
          <w:lang w:val="sv-FI"/>
        </w:rPr>
        <w:t xml:space="preserve"> </w:t>
      </w:r>
      <w:r w:rsidRPr="00727324">
        <w:rPr>
          <w:rFonts w:ascii="Bookman Old Style" w:hAnsi="Bookman Old Style"/>
          <w:sz w:val="24"/>
          <w:szCs w:val="24"/>
        </w:rPr>
        <w:t>Pemerintah</w:t>
      </w:r>
      <w:r w:rsidR="00A954D0">
        <w:rPr>
          <w:rFonts w:ascii="Bookman Old Style" w:hAnsi="Bookman Old Style"/>
          <w:sz w:val="24"/>
          <w:szCs w:val="24"/>
        </w:rPr>
        <w:t xml:space="preserve"> </w:t>
      </w:r>
      <w:r w:rsidRPr="00727324">
        <w:rPr>
          <w:rFonts w:ascii="Bookman Old Style" w:hAnsi="Bookman Old Style"/>
          <w:sz w:val="24"/>
          <w:szCs w:val="24"/>
        </w:rPr>
        <w:t>harus</w:t>
      </w:r>
      <w:r w:rsidR="00A954D0">
        <w:rPr>
          <w:rFonts w:ascii="Bookman Old Style" w:hAnsi="Bookman Old Style"/>
          <w:sz w:val="24"/>
          <w:szCs w:val="24"/>
        </w:rPr>
        <w:t xml:space="preserve"> </w:t>
      </w:r>
      <w:r w:rsidRPr="00727324">
        <w:rPr>
          <w:rFonts w:ascii="Bookman Old Style" w:hAnsi="Bookman Old Style"/>
          <w:sz w:val="24"/>
          <w:szCs w:val="24"/>
        </w:rPr>
        <w:t>melakukan</w:t>
      </w:r>
      <w:r w:rsidR="00A954D0">
        <w:rPr>
          <w:rFonts w:ascii="Bookman Old Style" w:hAnsi="Bookman Old Style"/>
          <w:sz w:val="24"/>
          <w:szCs w:val="24"/>
        </w:rPr>
        <w:t xml:space="preserve"> </w:t>
      </w:r>
      <w:r w:rsidRPr="00727324">
        <w:rPr>
          <w:rFonts w:ascii="Bookman Old Style" w:hAnsi="Bookman Old Style"/>
          <w:sz w:val="24"/>
          <w:szCs w:val="24"/>
        </w:rPr>
        <w:t>perhitungan</w:t>
      </w:r>
      <w:r w:rsidR="00A954D0">
        <w:rPr>
          <w:rFonts w:ascii="Bookman Old Style" w:hAnsi="Bookman Old Style"/>
          <w:sz w:val="24"/>
          <w:szCs w:val="24"/>
        </w:rPr>
        <w:t xml:space="preserve"> </w:t>
      </w:r>
      <w:r w:rsidRPr="00727324">
        <w:rPr>
          <w:rFonts w:ascii="Bookman Old Style" w:hAnsi="Bookman Old Style"/>
          <w:sz w:val="24"/>
          <w:szCs w:val="24"/>
        </w:rPr>
        <w:t>kembali</w:t>
      </w:r>
      <w:r w:rsidR="00A954D0">
        <w:rPr>
          <w:rFonts w:ascii="Bookman Old Style" w:hAnsi="Bookman Old Style"/>
          <w:sz w:val="24"/>
          <w:szCs w:val="24"/>
        </w:rPr>
        <w:t xml:space="preserve"> </w:t>
      </w:r>
      <w:r w:rsidRPr="00727324">
        <w:rPr>
          <w:rFonts w:ascii="Bookman Old Style" w:hAnsi="Bookman Old Style"/>
          <w:sz w:val="24"/>
          <w:szCs w:val="24"/>
        </w:rPr>
        <w:t>atas</w:t>
      </w:r>
      <w:r w:rsidR="00A954D0">
        <w:rPr>
          <w:rFonts w:ascii="Bookman Old Style" w:hAnsi="Bookman Old Style"/>
          <w:sz w:val="24"/>
          <w:szCs w:val="24"/>
        </w:rPr>
        <w:t xml:space="preserve"> </w:t>
      </w:r>
      <w:r w:rsidRPr="00727324">
        <w:rPr>
          <w:rFonts w:ascii="Bookman Old Style" w:hAnsi="Bookman Old Style"/>
          <w:sz w:val="24"/>
          <w:szCs w:val="24"/>
        </w:rPr>
        <w:t>Pendapatan</w:t>
      </w:r>
      <w:r w:rsidR="00A954D0">
        <w:rPr>
          <w:rFonts w:ascii="Bookman Old Style" w:hAnsi="Bookman Old Style"/>
          <w:sz w:val="24"/>
          <w:szCs w:val="24"/>
        </w:rPr>
        <w:t xml:space="preserve"> </w:t>
      </w:r>
      <w:r w:rsidRPr="00727324">
        <w:rPr>
          <w:rFonts w:ascii="Bookman Old Style" w:hAnsi="Bookman Old Style"/>
          <w:sz w:val="24"/>
          <w:szCs w:val="24"/>
        </w:rPr>
        <w:t>Denda</w:t>
      </w:r>
      <w:r w:rsidR="00A954D0">
        <w:rPr>
          <w:rFonts w:ascii="Bookman Old Style" w:hAnsi="Bookman Old Style"/>
          <w:sz w:val="24"/>
          <w:szCs w:val="24"/>
        </w:rPr>
        <w:t xml:space="preserve"> </w:t>
      </w:r>
      <w:r w:rsidRPr="003255BC">
        <w:rPr>
          <w:rFonts w:ascii="Bookman Old Style" w:hAnsi="Bookman Old Style"/>
          <w:sz w:val="24"/>
          <w:szCs w:val="24"/>
          <w:lang w:val="sv-FI"/>
        </w:rPr>
        <w:t>Pajak</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Daerah</w:t>
      </w:r>
      <w:r w:rsidR="00A954D0">
        <w:rPr>
          <w:rFonts w:ascii="Bookman Old Style" w:hAnsi="Bookman Old Style"/>
          <w:sz w:val="24"/>
          <w:szCs w:val="24"/>
        </w:rPr>
        <w:t xml:space="preserve"> </w:t>
      </w:r>
      <w:r w:rsidRPr="00727324">
        <w:rPr>
          <w:rFonts w:ascii="Bookman Old Style" w:hAnsi="Bookman Old Style"/>
          <w:sz w:val="24"/>
          <w:szCs w:val="24"/>
        </w:rPr>
        <w:t>dalam</w:t>
      </w:r>
      <w:r w:rsidR="00A954D0">
        <w:rPr>
          <w:rFonts w:ascii="Bookman Old Style" w:hAnsi="Bookman Old Style"/>
          <w:sz w:val="24"/>
          <w:szCs w:val="24"/>
        </w:rPr>
        <w:t xml:space="preserve"> </w:t>
      </w:r>
      <w:r w:rsidRPr="00727324">
        <w:rPr>
          <w:rFonts w:ascii="Bookman Old Style" w:hAnsi="Bookman Old Style"/>
          <w:sz w:val="24"/>
          <w:szCs w:val="24"/>
        </w:rPr>
        <w:t>Rancangan</w:t>
      </w:r>
      <w:r w:rsidR="00A954D0">
        <w:rPr>
          <w:rFonts w:ascii="Bookman Old Style" w:hAnsi="Bookman Old Style"/>
          <w:sz w:val="24"/>
          <w:szCs w:val="24"/>
        </w:rPr>
        <w:t xml:space="preserve"> </w:t>
      </w:r>
      <w:r w:rsidRPr="00727324">
        <w:rPr>
          <w:rFonts w:ascii="Bookman Old Style" w:hAnsi="Bookman Old Style"/>
          <w:sz w:val="24"/>
          <w:szCs w:val="24"/>
        </w:rPr>
        <w:t>Peraturan</w:t>
      </w:r>
      <w:r w:rsidR="00A954D0">
        <w:rPr>
          <w:rFonts w:ascii="Bookman Old Style" w:hAnsi="Bookman Old Style"/>
          <w:sz w:val="24"/>
          <w:szCs w:val="24"/>
        </w:rPr>
        <w:t xml:space="preserve"> </w:t>
      </w:r>
      <w:r w:rsidRPr="00727324">
        <w:rPr>
          <w:rFonts w:ascii="Bookman Old Style" w:hAnsi="Bookman Old Style"/>
          <w:sz w:val="24"/>
          <w:szCs w:val="24"/>
        </w:rPr>
        <w:t>Daerah</w:t>
      </w:r>
      <w:r w:rsidR="00A954D0">
        <w:rPr>
          <w:rFonts w:ascii="Bookman Old Style" w:hAnsi="Bookman Old Style"/>
          <w:sz w:val="24"/>
          <w:szCs w:val="24"/>
        </w:rPr>
        <w:t xml:space="preserve"> </w:t>
      </w:r>
      <w:r w:rsidRPr="003255BC">
        <w:rPr>
          <w:rFonts w:ascii="Bookman Old Style" w:hAnsi="Bookman Old Style"/>
          <w:sz w:val="24"/>
          <w:szCs w:val="24"/>
          <w:lang w:val="sv-FI"/>
        </w:rPr>
        <w:t>Kota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Tangerang</w:t>
      </w:r>
      <w:r w:rsidR="00A954D0" w:rsidRPr="003255BC">
        <w:rPr>
          <w:rFonts w:ascii="Bookman Old Style" w:hAnsi="Bookman Old Style"/>
          <w:sz w:val="24"/>
          <w:szCs w:val="24"/>
          <w:lang w:val="sv-FI"/>
        </w:rPr>
        <w:t xml:space="preserve"> </w:t>
      </w:r>
      <w:r w:rsidRPr="006C3829">
        <w:rPr>
          <w:rFonts w:ascii="Bookman Old Style" w:hAnsi="Bookman Old Style"/>
          <w:sz w:val="24"/>
          <w:szCs w:val="24"/>
        </w:rPr>
        <w:t>tentang</w:t>
      </w:r>
      <w:r w:rsidR="00A954D0">
        <w:rPr>
          <w:rFonts w:ascii="Bookman Old Style" w:hAnsi="Bookman Old Style"/>
          <w:sz w:val="24"/>
          <w:szCs w:val="24"/>
        </w:rPr>
        <w:t xml:space="preserve"> </w:t>
      </w:r>
      <w:r w:rsidRPr="006C3829">
        <w:rPr>
          <w:rFonts w:ascii="Bookman Old Style" w:hAnsi="Bookman Old Style"/>
          <w:sz w:val="24"/>
          <w:szCs w:val="24"/>
        </w:rPr>
        <w:t>APBD</w:t>
      </w:r>
      <w:r w:rsidR="00A954D0">
        <w:rPr>
          <w:rFonts w:ascii="Bookman Old Style" w:hAnsi="Bookman Old Style"/>
          <w:sz w:val="24"/>
          <w:szCs w:val="24"/>
        </w:rPr>
        <w:t xml:space="preserve"> </w:t>
      </w:r>
      <w:r w:rsidRPr="006C3829">
        <w:rPr>
          <w:rFonts w:ascii="Bookman Old Style" w:hAnsi="Bookman Old Style"/>
          <w:sz w:val="24"/>
          <w:szCs w:val="24"/>
        </w:rPr>
        <w:t>Tahun</w:t>
      </w:r>
      <w:r w:rsidR="00A954D0">
        <w:rPr>
          <w:rFonts w:ascii="Bookman Old Style" w:hAnsi="Bookman Old Style"/>
          <w:sz w:val="24"/>
          <w:szCs w:val="24"/>
        </w:rPr>
        <w:t xml:space="preserve"> </w:t>
      </w:r>
      <w:r w:rsidRPr="006C3829">
        <w:rPr>
          <w:rFonts w:ascii="Bookman Old Style" w:hAnsi="Bookman Old Style"/>
          <w:sz w:val="24"/>
          <w:szCs w:val="24"/>
        </w:rPr>
        <w:t>Anggaran</w:t>
      </w:r>
      <w:r w:rsidR="00A954D0">
        <w:rPr>
          <w:rFonts w:ascii="Bookman Old Style" w:hAnsi="Bookman Old Style"/>
          <w:sz w:val="24"/>
          <w:szCs w:val="24"/>
        </w:rPr>
        <w:t xml:space="preserve"> </w:t>
      </w:r>
      <w:r w:rsidRPr="006C3829">
        <w:rPr>
          <w:rFonts w:ascii="Bookman Old Style" w:hAnsi="Bookman Old Style"/>
          <w:sz w:val="24"/>
          <w:szCs w:val="24"/>
        </w:rPr>
        <w:t>2025</w:t>
      </w:r>
      <w:r w:rsidR="00A954D0">
        <w:rPr>
          <w:rFonts w:ascii="Bookman Old Style" w:hAnsi="Bookman Old Style"/>
          <w:sz w:val="24"/>
          <w:szCs w:val="24"/>
        </w:rPr>
        <w:t xml:space="preserve"> </w:t>
      </w:r>
      <w:r w:rsidRPr="006C3829">
        <w:rPr>
          <w:rFonts w:ascii="Bookman Old Style" w:hAnsi="Bookman Old Style"/>
          <w:sz w:val="24"/>
          <w:szCs w:val="24"/>
        </w:rPr>
        <w:t>dengan</w:t>
      </w:r>
      <w:r w:rsidR="00A954D0">
        <w:rPr>
          <w:rFonts w:ascii="Bookman Old Style" w:hAnsi="Bookman Old Style"/>
          <w:sz w:val="24"/>
          <w:szCs w:val="24"/>
        </w:rPr>
        <w:t xml:space="preserve"> </w:t>
      </w:r>
      <w:r w:rsidRPr="006C3829">
        <w:rPr>
          <w:rFonts w:ascii="Bookman Old Style" w:hAnsi="Bookman Old Style"/>
          <w:sz w:val="24"/>
          <w:szCs w:val="24"/>
        </w:rPr>
        <w:t>memperhatikan</w:t>
      </w:r>
      <w:r w:rsidR="00A954D0">
        <w:rPr>
          <w:rFonts w:ascii="Bookman Old Style" w:hAnsi="Bookman Old Style"/>
          <w:sz w:val="24"/>
          <w:szCs w:val="24"/>
        </w:rPr>
        <w:t xml:space="preserve"> </w:t>
      </w:r>
      <w:r w:rsidRPr="006C3829">
        <w:rPr>
          <w:rFonts w:ascii="Bookman Old Style" w:hAnsi="Bookman Old Style"/>
          <w:sz w:val="24"/>
          <w:szCs w:val="24"/>
        </w:rPr>
        <w:t>potensi</w:t>
      </w:r>
      <w:r w:rsidR="00A954D0">
        <w:rPr>
          <w:rFonts w:ascii="Bookman Old Style" w:hAnsi="Bookman Old Style"/>
          <w:sz w:val="24"/>
          <w:szCs w:val="24"/>
        </w:rPr>
        <w:t xml:space="preserve"> </w:t>
      </w:r>
      <w:r w:rsidRPr="006C3829">
        <w:rPr>
          <w:rFonts w:ascii="Bookman Old Style" w:hAnsi="Bookman Old Style"/>
          <w:sz w:val="24"/>
          <w:szCs w:val="24"/>
        </w:rPr>
        <w:t>dan</w:t>
      </w:r>
      <w:r w:rsidR="00A954D0">
        <w:rPr>
          <w:rFonts w:ascii="Bookman Old Style" w:hAnsi="Bookman Old Style"/>
          <w:sz w:val="24"/>
          <w:szCs w:val="24"/>
        </w:rPr>
        <w:t xml:space="preserve"> </w:t>
      </w:r>
      <w:r w:rsidRPr="006C3829">
        <w:rPr>
          <w:rFonts w:ascii="Bookman Old Style" w:hAnsi="Bookman Old Style"/>
          <w:sz w:val="24"/>
          <w:szCs w:val="24"/>
        </w:rPr>
        <w:t>proyeksi</w:t>
      </w:r>
      <w:r w:rsidR="00A954D0">
        <w:rPr>
          <w:rFonts w:ascii="Bookman Old Style" w:hAnsi="Bookman Old Style"/>
          <w:sz w:val="24"/>
          <w:szCs w:val="24"/>
        </w:rPr>
        <w:t xml:space="preserve"> </w:t>
      </w:r>
      <w:r w:rsidRPr="003255BC">
        <w:rPr>
          <w:rFonts w:ascii="Bookman Old Style" w:hAnsi="Bookman Old Style"/>
          <w:sz w:val="24"/>
          <w:szCs w:val="24"/>
          <w:lang w:val="sv-FI"/>
        </w:rPr>
        <w:t>serta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realisasi</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atas</w:t>
      </w:r>
      <w:r w:rsidR="00A954D0" w:rsidRPr="003255BC">
        <w:rPr>
          <w:rFonts w:ascii="Bookman Old Style" w:hAnsi="Bookman Old Style"/>
          <w:sz w:val="24"/>
          <w:szCs w:val="24"/>
          <w:lang w:val="sv-FI"/>
        </w:rPr>
        <w:t xml:space="preserve"> </w:t>
      </w:r>
      <w:r w:rsidRPr="006C3829">
        <w:rPr>
          <w:rFonts w:ascii="Bookman Old Style" w:hAnsi="Bookman Old Style"/>
          <w:sz w:val="24"/>
          <w:szCs w:val="24"/>
        </w:rPr>
        <w:t>target</w:t>
      </w:r>
      <w:r w:rsidR="00A954D0">
        <w:rPr>
          <w:rFonts w:ascii="Bookman Old Style" w:hAnsi="Bookman Old Style"/>
          <w:sz w:val="24"/>
          <w:szCs w:val="24"/>
        </w:rPr>
        <w:t xml:space="preserve"> </w:t>
      </w:r>
      <w:r w:rsidRPr="006C3829">
        <w:rPr>
          <w:rFonts w:ascii="Bookman Old Style" w:hAnsi="Bookman Old Style"/>
          <w:sz w:val="24"/>
          <w:szCs w:val="24"/>
        </w:rPr>
        <w:t>penerimaan</w:t>
      </w:r>
      <w:r w:rsidR="00A954D0">
        <w:rPr>
          <w:rFonts w:ascii="Bookman Old Style" w:hAnsi="Bookman Old Style"/>
          <w:sz w:val="24"/>
          <w:szCs w:val="24"/>
        </w:rPr>
        <w:t xml:space="preserve"> </w:t>
      </w:r>
      <w:r w:rsidRPr="006C3829">
        <w:rPr>
          <w:rFonts w:ascii="Bookman Old Style" w:hAnsi="Bookman Old Style"/>
          <w:sz w:val="24"/>
          <w:szCs w:val="24"/>
        </w:rPr>
        <w:t>atas</w:t>
      </w:r>
      <w:r w:rsidR="00A954D0" w:rsidRPr="003255BC">
        <w:rPr>
          <w:rFonts w:ascii="Bookman Old Style" w:hAnsi="Bookman Old Style"/>
          <w:sz w:val="24"/>
          <w:szCs w:val="24"/>
          <w:lang w:val="sv-FI"/>
        </w:rPr>
        <w:t xml:space="preserve"> </w:t>
      </w:r>
      <w:r w:rsidRPr="006C3829">
        <w:rPr>
          <w:rFonts w:ascii="Bookman Old Style" w:hAnsi="Bookman Old Style"/>
          <w:sz w:val="24"/>
          <w:szCs w:val="24"/>
        </w:rPr>
        <w:t>Pendapatan</w:t>
      </w:r>
      <w:r w:rsidR="00A954D0">
        <w:rPr>
          <w:rFonts w:ascii="Bookman Old Style" w:hAnsi="Bookman Old Style"/>
          <w:sz w:val="24"/>
          <w:szCs w:val="24"/>
        </w:rPr>
        <w:t xml:space="preserve"> </w:t>
      </w:r>
      <w:r w:rsidRPr="006C3829">
        <w:rPr>
          <w:rFonts w:ascii="Bookman Old Style" w:hAnsi="Bookman Old Style"/>
          <w:sz w:val="24"/>
          <w:szCs w:val="24"/>
        </w:rPr>
        <w:t>Denda</w:t>
      </w:r>
      <w:r w:rsidR="00A954D0">
        <w:rPr>
          <w:rFonts w:ascii="Bookman Old Style" w:hAnsi="Bookman Old Style"/>
          <w:sz w:val="24"/>
          <w:szCs w:val="24"/>
        </w:rPr>
        <w:t xml:space="preserve"> </w:t>
      </w:r>
      <w:r w:rsidRPr="003255BC">
        <w:rPr>
          <w:rFonts w:ascii="Bookman Old Style" w:hAnsi="Bookman Old Style"/>
          <w:sz w:val="24"/>
          <w:szCs w:val="24"/>
          <w:lang w:val="sv-FI"/>
        </w:rPr>
        <w:t>Pajak</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Daerah</w:t>
      </w:r>
      <w:r w:rsidR="00A954D0">
        <w:rPr>
          <w:rFonts w:ascii="Bookman Old Style" w:hAnsi="Bookman Old Style"/>
          <w:sz w:val="24"/>
          <w:szCs w:val="24"/>
        </w:rPr>
        <w:t xml:space="preserve"> </w:t>
      </w:r>
      <w:r w:rsidRPr="006C3829">
        <w:rPr>
          <w:rFonts w:ascii="Bookman Old Style" w:hAnsi="Bookman Old Style"/>
          <w:sz w:val="24"/>
          <w:szCs w:val="24"/>
        </w:rPr>
        <w:t>sesuai</w:t>
      </w:r>
      <w:r w:rsidR="00A954D0">
        <w:rPr>
          <w:rFonts w:ascii="Bookman Old Style" w:hAnsi="Bookman Old Style"/>
          <w:sz w:val="24"/>
          <w:szCs w:val="24"/>
        </w:rPr>
        <w:t xml:space="preserve"> </w:t>
      </w:r>
      <w:r w:rsidRPr="006C3829">
        <w:rPr>
          <w:rFonts w:ascii="Bookman Old Style" w:hAnsi="Bookman Old Style"/>
          <w:sz w:val="24"/>
          <w:szCs w:val="24"/>
        </w:rPr>
        <w:t>dengan</w:t>
      </w:r>
      <w:r w:rsidR="00A954D0">
        <w:rPr>
          <w:rFonts w:ascii="Bookman Old Style" w:hAnsi="Bookman Old Style"/>
          <w:sz w:val="24"/>
          <w:szCs w:val="24"/>
        </w:rPr>
        <w:t xml:space="preserve"> </w:t>
      </w:r>
      <w:r w:rsidRPr="006C3829">
        <w:rPr>
          <w:rFonts w:ascii="Bookman Old Style" w:hAnsi="Bookman Old Style"/>
          <w:sz w:val="24"/>
          <w:szCs w:val="24"/>
        </w:rPr>
        <w:t>ketentuan</w:t>
      </w:r>
      <w:r w:rsidR="00A954D0">
        <w:rPr>
          <w:rFonts w:ascii="Bookman Old Style" w:hAnsi="Bookman Old Style"/>
          <w:sz w:val="24"/>
          <w:szCs w:val="24"/>
        </w:rPr>
        <w:t xml:space="preserve"> </w:t>
      </w:r>
      <w:r w:rsidRPr="006C3829">
        <w:rPr>
          <w:rFonts w:ascii="Bookman Old Style" w:hAnsi="Bookman Old Style"/>
          <w:sz w:val="24"/>
          <w:szCs w:val="24"/>
        </w:rPr>
        <w:t>peraturan</w:t>
      </w:r>
      <w:r w:rsidR="00A954D0">
        <w:rPr>
          <w:rFonts w:ascii="Bookman Old Style" w:hAnsi="Bookman Old Style"/>
          <w:sz w:val="24"/>
          <w:szCs w:val="24"/>
        </w:rPr>
        <w:t xml:space="preserve"> </w:t>
      </w:r>
      <w:r w:rsidRPr="006C3829">
        <w:rPr>
          <w:rFonts w:ascii="Bookman Old Style" w:hAnsi="Bookman Old Style"/>
          <w:sz w:val="24"/>
          <w:szCs w:val="24"/>
        </w:rPr>
        <w:t>perundang-undangan</w:t>
      </w:r>
      <w:r w:rsidR="00B16310" w:rsidRPr="00B16310">
        <w:rPr>
          <w:rFonts w:ascii="Bookman Old Style" w:hAnsi="Bookman Old Style"/>
          <w:sz w:val="24"/>
          <w:szCs w:val="24"/>
          <w:lang w:val="sv-FI"/>
        </w:rPr>
        <w:t>;</w:t>
      </w:r>
    </w:p>
    <w:p w14:paraId="133D12DA" w14:textId="25864264" w:rsidR="007C69DB" w:rsidRPr="00875947" w:rsidRDefault="001F194E" w:rsidP="00B16310">
      <w:pPr>
        <w:pStyle w:val="ListParagraph"/>
        <w:numPr>
          <w:ilvl w:val="0"/>
          <w:numId w:val="10"/>
        </w:numPr>
        <w:spacing w:before="60" w:after="0" w:line="276" w:lineRule="auto"/>
        <w:ind w:left="2268" w:hanging="567"/>
        <w:contextualSpacing w:val="0"/>
        <w:jc w:val="both"/>
        <w:rPr>
          <w:rFonts w:ascii="Bookman Old Style" w:hAnsi="Bookman Old Style"/>
          <w:sz w:val="24"/>
          <w:szCs w:val="24"/>
        </w:rPr>
      </w:pPr>
      <w:r w:rsidRPr="006C3829">
        <w:rPr>
          <w:rFonts w:ascii="Bookman Old Style" w:hAnsi="Bookman Old Style"/>
          <w:sz w:val="24"/>
          <w:szCs w:val="24"/>
        </w:rPr>
        <w:t>Pendapatan</w:t>
      </w:r>
      <w:r w:rsidR="00A954D0">
        <w:rPr>
          <w:rFonts w:ascii="Bookman Old Style" w:hAnsi="Bookman Old Style"/>
          <w:sz w:val="24"/>
          <w:szCs w:val="24"/>
        </w:rPr>
        <w:t xml:space="preserve"> </w:t>
      </w:r>
      <w:r w:rsidRPr="006C3829">
        <w:rPr>
          <w:rFonts w:ascii="Bookman Old Style" w:hAnsi="Bookman Old Style"/>
          <w:sz w:val="24"/>
          <w:szCs w:val="24"/>
        </w:rPr>
        <w:t>Denda</w:t>
      </w:r>
      <w:r w:rsidR="00A954D0">
        <w:rPr>
          <w:rFonts w:ascii="Bookman Old Style" w:hAnsi="Bookman Old Style"/>
          <w:sz w:val="24"/>
          <w:szCs w:val="24"/>
        </w:rPr>
        <w:t xml:space="preserve"> </w:t>
      </w:r>
      <w:r w:rsidRPr="006C3829">
        <w:rPr>
          <w:rFonts w:ascii="Bookman Old Style" w:hAnsi="Bookman Old Style"/>
          <w:sz w:val="24"/>
          <w:szCs w:val="24"/>
        </w:rPr>
        <w:t>Retribusi</w:t>
      </w:r>
      <w:r w:rsidR="00A954D0">
        <w:rPr>
          <w:rFonts w:ascii="Bookman Old Style" w:hAnsi="Bookman Old Style"/>
          <w:sz w:val="24"/>
          <w:szCs w:val="24"/>
        </w:rPr>
        <w:t xml:space="preserve"> </w:t>
      </w:r>
      <w:r w:rsidRPr="006C3829">
        <w:rPr>
          <w:rFonts w:ascii="Bookman Old Style" w:hAnsi="Bookman Old Style"/>
          <w:sz w:val="24"/>
          <w:szCs w:val="24"/>
        </w:rPr>
        <w:t>Daerah</w:t>
      </w:r>
      <w:r w:rsidR="00A954D0">
        <w:rPr>
          <w:rFonts w:ascii="Bookman Old Style" w:hAnsi="Bookman Old Style"/>
          <w:sz w:val="24"/>
          <w:szCs w:val="24"/>
        </w:rPr>
        <w:t xml:space="preserve"> </w:t>
      </w:r>
      <w:r w:rsidRPr="006C3829">
        <w:rPr>
          <w:rFonts w:ascii="Bookman Old Style" w:hAnsi="Bookman Old Style"/>
          <w:sz w:val="24"/>
          <w:szCs w:val="24"/>
        </w:rPr>
        <w:t>Rp100.000.000,00</w:t>
      </w:r>
      <w:r w:rsidR="00A954D0">
        <w:rPr>
          <w:rFonts w:ascii="Bookman Old Style" w:hAnsi="Bookman Old Style"/>
          <w:sz w:val="24"/>
          <w:szCs w:val="24"/>
        </w:rPr>
        <w:t xml:space="preserve"> </w:t>
      </w:r>
      <w:r w:rsidRPr="006C3829">
        <w:rPr>
          <w:rFonts w:ascii="Bookman Old Style" w:hAnsi="Bookman Old Style"/>
          <w:sz w:val="24"/>
          <w:szCs w:val="24"/>
        </w:rPr>
        <w:t>atau</w:t>
      </w:r>
      <w:r w:rsidR="00A954D0">
        <w:rPr>
          <w:rFonts w:ascii="Bookman Old Style" w:hAnsi="Bookman Old Style"/>
          <w:sz w:val="24"/>
          <w:szCs w:val="24"/>
        </w:rPr>
        <w:t xml:space="preserve"> </w:t>
      </w:r>
      <w:r w:rsidRPr="006C3829">
        <w:rPr>
          <w:rFonts w:ascii="Bookman Old Style" w:hAnsi="Bookman Old Style"/>
          <w:sz w:val="24"/>
          <w:szCs w:val="24"/>
        </w:rPr>
        <w:t>0,002%</w:t>
      </w:r>
      <w:r w:rsidR="00A954D0">
        <w:rPr>
          <w:rFonts w:ascii="Bookman Old Style" w:hAnsi="Bookman Old Style"/>
          <w:sz w:val="24"/>
          <w:szCs w:val="24"/>
        </w:rPr>
        <w:t xml:space="preserve"> </w:t>
      </w:r>
      <w:r w:rsidRPr="006C3829">
        <w:rPr>
          <w:rFonts w:ascii="Bookman Old Style" w:hAnsi="Bookman Old Style"/>
          <w:sz w:val="24"/>
          <w:szCs w:val="24"/>
        </w:rPr>
        <w:t>dari</w:t>
      </w:r>
      <w:r w:rsidR="00A954D0">
        <w:rPr>
          <w:rFonts w:ascii="Bookman Old Style" w:hAnsi="Bookman Old Style"/>
          <w:sz w:val="24"/>
          <w:szCs w:val="24"/>
        </w:rPr>
        <w:t xml:space="preserve"> </w:t>
      </w:r>
      <w:r w:rsidRPr="006C3829">
        <w:rPr>
          <w:rFonts w:ascii="Bookman Old Style" w:hAnsi="Bookman Old Style"/>
          <w:sz w:val="24"/>
          <w:szCs w:val="24"/>
        </w:rPr>
        <w:t>total</w:t>
      </w:r>
      <w:r w:rsidR="00A954D0">
        <w:rPr>
          <w:rFonts w:ascii="Bookman Old Style" w:hAnsi="Bookman Old Style"/>
          <w:sz w:val="24"/>
          <w:szCs w:val="24"/>
        </w:rPr>
        <w:t xml:space="preserve"> </w:t>
      </w:r>
      <w:r w:rsidRPr="006C3829">
        <w:rPr>
          <w:rFonts w:ascii="Bookman Old Style" w:hAnsi="Bookman Old Style"/>
          <w:sz w:val="24"/>
          <w:szCs w:val="24"/>
        </w:rPr>
        <w:t>pendapatan</w:t>
      </w:r>
      <w:r w:rsidR="00A954D0">
        <w:rPr>
          <w:rFonts w:ascii="Bookman Old Style" w:hAnsi="Bookman Old Style"/>
          <w:sz w:val="24"/>
          <w:szCs w:val="24"/>
        </w:rPr>
        <w:t xml:space="preserve"> </w:t>
      </w:r>
      <w:r w:rsidRPr="006C3829">
        <w:rPr>
          <w:rFonts w:ascii="Bookman Old Style" w:hAnsi="Bookman Old Style"/>
          <w:sz w:val="24"/>
          <w:szCs w:val="24"/>
        </w:rPr>
        <w:t>daerah</w:t>
      </w:r>
      <w:r w:rsidR="00A954D0">
        <w:rPr>
          <w:rFonts w:ascii="Bookman Old Style" w:hAnsi="Bookman Old Style"/>
          <w:sz w:val="24"/>
          <w:szCs w:val="24"/>
        </w:rPr>
        <w:t xml:space="preserve"> </w:t>
      </w:r>
      <w:r w:rsidRPr="006C3829">
        <w:rPr>
          <w:rFonts w:ascii="Bookman Old Style" w:hAnsi="Bookman Old Style"/>
          <w:sz w:val="24"/>
          <w:szCs w:val="24"/>
        </w:rPr>
        <w:t>dalam</w:t>
      </w:r>
      <w:r w:rsidR="00A954D0">
        <w:rPr>
          <w:rFonts w:ascii="Bookman Old Style" w:hAnsi="Bookman Old Style"/>
          <w:sz w:val="24"/>
          <w:szCs w:val="24"/>
        </w:rPr>
        <w:t xml:space="preserve"> </w:t>
      </w:r>
      <w:r w:rsidRPr="006C3829">
        <w:rPr>
          <w:rFonts w:ascii="Bookman Old Style" w:hAnsi="Bookman Old Style"/>
          <w:sz w:val="24"/>
          <w:szCs w:val="24"/>
        </w:rPr>
        <w:t>Rancangan</w:t>
      </w:r>
      <w:r w:rsidR="00A954D0">
        <w:rPr>
          <w:rFonts w:ascii="Bookman Old Style" w:hAnsi="Bookman Old Style"/>
          <w:sz w:val="24"/>
          <w:szCs w:val="24"/>
        </w:rPr>
        <w:t xml:space="preserve"> </w:t>
      </w:r>
      <w:r w:rsidRPr="006C3829">
        <w:rPr>
          <w:rFonts w:ascii="Bookman Old Style" w:hAnsi="Bookman Old Style"/>
          <w:sz w:val="24"/>
          <w:szCs w:val="24"/>
        </w:rPr>
        <w:t>Peraturan</w:t>
      </w:r>
      <w:r w:rsidR="00A954D0">
        <w:rPr>
          <w:rFonts w:ascii="Bookman Old Style" w:hAnsi="Bookman Old Style"/>
          <w:sz w:val="24"/>
          <w:szCs w:val="24"/>
        </w:rPr>
        <w:t xml:space="preserve"> </w:t>
      </w:r>
      <w:r w:rsidRPr="006C3829">
        <w:rPr>
          <w:rFonts w:ascii="Bookman Old Style" w:hAnsi="Bookman Old Style"/>
          <w:sz w:val="24"/>
          <w:szCs w:val="24"/>
        </w:rPr>
        <w:t>Daerah</w:t>
      </w:r>
      <w:r w:rsidR="00A954D0">
        <w:rPr>
          <w:rFonts w:ascii="Bookman Old Style" w:hAnsi="Bookman Old Style"/>
          <w:sz w:val="24"/>
          <w:szCs w:val="24"/>
        </w:rPr>
        <w:t xml:space="preserve"> </w:t>
      </w:r>
      <w:r w:rsidRPr="003255BC">
        <w:rPr>
          <w:rFonts w:ascii="Bookman Old Style" w:hAnsi="Bookman Old Style"/>
          <w:sz w:val="24"/>
          <w:szCs w:val="24"/>
          <w:lang w:val="sv-FI"/>
        </w:rPr>
        <w:t>Kota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Tangerang</w:t>
      </w:r>
      <w:r w:rsidR="00A954D0" w:rsidRPr="003255BC">
        <w:rPr>
          <w:rFonts w:ascii="Bookman Old Style" w:hAnsi="Bookman Old Style"/>
          <w:sz w:val="24"/>
          <w:szCs w:val="24"/>
          <w:lang w:val="sv-FI"/>
        </w:rPr>
        <w:t xml:space="preserve"> </w:t>
      </w:r>
      <w:r w:rsidRPr="006C3829">
        <w:rPr>
          <w:rFonts w:ascii="Bookman Old Style" w:hAnsi="Bookman Old Style"/>
          <w:sz w:val="24"/>
          <w:szCs w:val="24"/>
        </w:rPr>
        <w:t>tentang</w:t>
      </w:r>
      <w:r w:rsidR="00A954D0">
        <w:rPr>
          <w:rFonts w:ascii="Bookman Old Style" w:hAnsi="Bookman Old Style"/>
          <w:sz w:val="24"/>
          <w:szCs w:val="24"/>
        </w:rPr>
        <w:t xml:space="preserve"> </w:t>
      </w:r>
      <w:r w:rsidRPr="006C3829">
        <w:rPr>
          <w:rFonts w:ascii="Bookman Old Style" w:hAnsi="Bookman Old Style"/>
          <w:sz w:val="24"/>
          <w:szCs w:val="24"/>
        </w:rPr>
        <w:t>APBD</w:t>
      </w:r>
      <w:r w:rsidR="00A954D0">
        <w:rPr>
          <w:rFonts w:ascii="Bookman Old Style" w:hAnsi="Bookman Old Style"/>
          <w:sz w:val="24"/>
          <w:szCs w:val="24"/>
        </w:rPr>
        <w:t xml:space="preserve"> </w:t>
      </w:r>
      <w:r w:rsidRPr="006C3829">
        <w:rPr>
          <w:rFonts w:ascii="Bookman Old Style" w:hAnsi="Bookman Old Style"/>
          <w:sz w:val="24"/>
          <w:szCs w:val="24"/>
        </w:rPr>
        <w:t>Tahun</w:t>
      </w:r>
      <w:r w:rsidR="00A954D0">
        <w:rPr>
          <w:rFonts w:ascii="Bookman Old Style" w:hAnsi="Bookman Old Style"/>
          <w:sz w:val="24"/>
          <w:szCs w:val="24"/>
        </w:rPr>
        <w:t xml:space="preserve"> </w:t>
      </w:r>
      <w:r w:rsidRPr="006C3829">
        <w:rPr>
          <w:rFonts w:ascii="Bookman Old Style" w:hAnsi="Bookman Old Style"/>
          <w:sz w:val="24"/>
          <w:szCs w:val="24"/>
        </w:rPr>
        <w:t>Anggaran</w:t>
      </w:r>
      <w:r w:rsidR="00A954D0">
        <w:rPr>
          <w:rFonts w:ascii="Bookman Old Style" w:hAnsi="Bookman Old Style"/>
          <w:sz w:val="24"/>
          <w:szCs w:val="24"/>
        </w:rPr>
        <w:t xml:space="preserve"> </w:t>
      </w:r>
      <w:r w:rsidRPr="006C3829">
        <w:rPr>
          <w:rFonts w:ascii="Bookman Old Style" w:hAnsi="Bookman Old Style"/>
          <w:sz w:val="24"/>
          <w:szCs w:val="24"/>
        </w:rPr>
        <w:t>2025,</w:t>
      </w:r>
      <w:r w:rsidR="00A954D0">
        <w:rPr>
          <w:rFonts w:ascii="Bookman Old Style" w:hAnsi="Bookman Old Style"/>
          <w:sz w:val="24"/>
          <w:szCs w:val="24"/>
        </w:rPr>
        <w:t xml:space="preserve"> </w:t>
      </w:r>
      <w:r w:rsidRPr="006C3829">
        <w:rPr>
          <w:rFonts w:ascii="Bookman Old Style" w:hAnsi="Bookman Old Style"/>
          <w:sz w:val="24"/>
          <w:szCs w:val="24"/>
        </w:rPr>
        <w:t>dianggarkan</w:t>
      </w:r>
      <w:r w:rsidR="00A954D0">
        <w:rPr>
          <w:rFonts w:ascii="Bookman Old Style" w:hAnsi="Bookman Old Style"/>
          <w:sz w:val="24"/>
          <w:szCs w:val="24"/>
        </w:rPr>
        <w:t xml:space="preserve"> </w:t>
      </w:r>
      <w:r w:rsidRPr="006C3829">
        <w:rPr>
          <w:rFonts w:ascii="Bookman Old Style" w:hAnsi="Bookman Old Style"/>
          <w:sz w:val="24"/>
          <w:szCs w:val="24"/>
        </w:rPr>
        <w:t>dengan</w:t>
      </w:r>
      <w:r w:rsidR="00A954D0">
        <w:rPr>
          <w:rFonts w:ascii="Bookman Old Style" w:hAnsi="Bookman Old Style"/>
          <w:sz w:val="24"/>
          <w:szCs w:val="24"/>
        </w:rPr>
        <w:t xml:space="preserve"> </w:t>
      </w:r>
      <w:r w:rsidRPr="006C3829">
        <w:rPr>
          <w:rFonts w:ascii="Bookman Old Style" w:hAnsi="Bookman Old Style"/>
          <w:sz w:val="24"/>
          <w:szCs w:val="24"/>
        </w:rPr>
        <w:t>berpedoman</w:t>
      </w:r>
      <w:r w:rsidR="00A954D0">
        <w:rPr>
          <w:rFonts w:ascii="Bookman Old Style" w:hAnsi="Bookman Old Style"/>
          <w:sz w:val="24"/>
          <w:szCs w:val="24"/>
        </w:rPr>
        <w:t xml:space="preserve"> </w:t>
      </w:r>
      <w:r w:rsidRPr="006C3829">
        <w:rPr>
          <w:rFonts w:ascii="Bookman Old Style" w:hAnsi="Bookman Old Style"/>
          <w:sz w:val="24"/>
          <w:szCs w:val="24"/>
        </w:rPr>
        <w:t>pada</w:t>
      </w:r>
      <w:r w:rsidR="00A954D0">
        <w:rPr>
          <w:rFonts w:ascii="Bookman Old Style" w:hAnsi="Bookman Old Style"/>
          <w:sz w:val="24"/>
          <w:szCs w:val="24"/>
        </w:rPr>
        <w:t xml:space="preserve"> </w:t>
      </w:r>
      <w:r w:rsidRPr="006C3829">
        <w:rPr>
          <w:rFonts w:ascii="Bookman Old Style" w:hAnsi="Bookman Old Style"/>
          <w:sz w:val="24"/>
          <w:szCs w:val="24"/>
        </w:rPr>
        <w:t>Pasal</w:t>
      </w:r>
      <w:r w:rsidR="00A954D0">
        <w:rPr>
          <w:rFonts w:ascii="Bookman Old Style" w:hAnsi="Bookman Old Style"/>
          <w:sz w:val="24"/>
          <w:szCs w:val="24"/>
        </w:rPr>
        <w:t xml:space="preserve"> </w:t>
      </w:r>
      <w:r w:rsidRPr="006C3829">
        <w:rPr>
          <w:rFonts w:ascii="Bookman Old Style" w:hAnsi="Bookman Old Style"/>
          <w:sz w:val="24"/>
          <w:szCs w:val="24"/>
        </w:rPr>
        <w:t>24</w:t>
      </w:r>
      <w:r w:rsidR="00A954D0">
        <w:rPr>
          <w:rFonts w:ascii="Bookman Old Style" w:hAnsi="Bookman Old Style"/>
          <w:sz w:val="24"/>
          <w:szCs w:val="24"/>
        </w:rPr>
        <w:t xml:space="preserve"> </w:t>
      </w:r>
      <w:r w:rsidRPr="006C3829">
        <w:rPr>
          <w:rFonts w:ascii="Bookman Old Style" w:hAnsi="Bookman Old Style"/>
          <w:sz w:val="24"/>
          <w:szCs w:val="24"/>
        </w:rPr>
        <w:t>ayat</w:t>
      </w:r>
      <w:r w:rsidR="00A954D0">
        <w:rPr>
          <w:rFonts w:ascii="Bookman Old Style" w:hAnsi="Bookman Old Style"/>
          <w:sz w:val="24"/>
          <w:szCs w:val="24"/>
        </w:rPr>
        <w:t xml:space="preserve"> </w:t>
      </w:r>
      <w:r w:rsidRPr="006C3829">
        <w:rPr>
          <w:rFonts w:ascii="Bookman Old Style" w:hAnsi="Bookman Old Style"/>
          <w:sz w:val="24"/>
          <w:szCs w:val="24"/>
        </w:rPr>
        <w:t>(4)</w:t>
      </w:r>
      <w:r w:rsidR="00A954D0">
        <w:rPr>
          <w:rFonts w:ascii="Bookman Old Style" w:hAnsi="Bookman Old Style"/>
          <w:sz w:val="24"/>
          <w:szCs w:val="24"/>
        </w:rPr>
        <w:t xml:space="preserve"> </w:t>
      </w:r>
      <w:r w:rsidRPr="006C3829">
        <w:rPr>
          <w:rFonts w:ascii="Bookman Old Style" w:hAnsi="Bookman Old Style"/>
          <w:sz w:val="24"/>
          <w:szCs w:val="24"/>
        </w:rPr>
        <w:t>dan</w:t>
      </w:r>
      <w:r w:rsidR="00A954D0">
        <w:rPr>
          <w:rFonts w:ascii="Bookman Old Style" w:hAnsi="Bookman Old Style"/>
          <w:sz w:val="24"/>
          <w:szCs w:val="24"/>
        </w:rPr>
        <w:t xml:space="preserve"> </w:t>
      </w:r>
      <w:r w:rsidRPr="006C3829">
        <w:rPr>
          <w:rFonts w:ascii="Bookman Old Style" w:hAnsi="Bookman Old Style"/>
          <w:sz w:val="24"/>
          <w:szCs w:val="24"/>
        </w:rPr>
        <w:t>Pasal</w:t>
      </w:r>
      <w:r w:rsidR="00A954D0">
        <w:rPr>
          <w:rFonts w:ascii="Bookman Old Style" w:hAnsi="Bookman Old Style"/>
          <w:sz w:val="24"/>
          <w:szCs w:val="24"/>
        </w:rPr>
        <w:t xml:space="preserve"> </w:t>
      </w:r>
      <w:r w:rsidRPr="006C3829">
        <w:rPr>
          <w:rFonts w:ascii="Bookman Old Style" w:hAnsi="Bookman Old Style"/>
          <w:sz w:val="24"/>
          <w:szCs w:val="24"/>
        </w:rPr>
        <w:t>31</w:t>
      </w:r>
      <w:r w:rsidR="00A954D0">
        <w:rPr>
          <w:rFonts w:ascii="Bookman Old Style" w:hAnsi="Bookman Old Style"/>
          <w:sz w:val="24"/>
          <w:szCs w:val="24"/>
        </w:rPr>
        <w:t xml:space="preserve"> </w:t>
      </w:r>
      <w:r w:rsidRPr="006C3829">
        <w:rPr>
          <w:rFonts w:ascii="Bookman Old Style" w:hAnsi="Bookman Old Style"/>
          <w:sz w:val="24"/>
          <w:szCs w:val="24"/>
        </w:rPr>
        <w:t>ayat</w:t>
      </w:r>
      <w:r w:rsidR="00A954D0">
        <w:rPr>
          <w:rFonts w:ascii="Bookman Old Style" w:hAnsi="Bookman Old Style"/>
          <w:sz w:val="24"/>
          <w:szCs w:val="24"/>
        </w:rPr>
        <w:t xml:space="preserve"> </w:t>
      </w:r>
      <w:r w:rsidRPr="006C3829">
        <w:rPr>
          <w:rFonts w:ascii="Bookman Old Style" w:hAnsi="Bookman Old Style"/>
          <w:sz w:val="24"/>
          <w:szCs w:val="24"/>
        </w:rPr>
        <w:t>(4)</w:t>
      </w:r>
      <w:r w:rsidR="00A954D0">
        <w:rPr>
          <w:rFonts w:ascii="Bookman Old Style" w:hAnsi="Bookman Old Style"/>
          <w:sz w:val="24"/>
          <w:szCs w:val="24"/>
        </w:rPr>
        <w:t xml:space="preserve"> </w:t>
      </w:r>
      <w:r w:rsidRPr="006C3829">
        <w:rPr>
          <w:rFonts w:ascii="Bookman Old Style" w:hAnsi="Bookman Old Style"/>
          <w:sz w:val="24"/>
          <w:szCs w:val="24"/>
        </w:rPr>
        <w:t>huruf</w:t>
      </w:r>
      <w:r w:rsidR="00A954D0">
        <w:rPr>
          <w:rFonts w:ascii="Bookman Old Style" w:hAnsi="Bookman Old Style"/>
          <w:sz w:val="24"/>
          <w:szCs w:val="24"/>
        </w:rPr>
        <w:t xml:space="preserve"> </w:t>
      </w:r>
      <w:r w:rsidRPr="006C3829">
        <w:rPr>
          <w:rFonts w:ascii="Bookman Old Style" w:hAnsi="Bookman Old Style"/>
          <w:sz w:val="24"/>
          <w:szCs w:val="24"/>
          <w:lang w:val="id-ID"/>
        </w:rPr>
        <w:t>l</w:t>
      </w:r>
      <w:r w:rsidR="00A954D0">
        <w:rPr>
          <w:rFonts w:ascii="Bookman Old Style" w:hAnsi="Bookman Old Style"/>
          <w:sz w:val="24"/>
          <w:szCs w:val="24"/>
        </w:rPr>
        <w:t xml:space="preserve"> </w:t>
      </w:r>
      <w:r w:rsidRPr="006C3829">
        <w:rPr>
          <w:rFonts w:ascii="Bookman Old Style" w:hAnsi="Bookman Old Style"/>
          <w:sz w:val="24"/>
          <w:szCs w:val="24"/>
        </w:rPr>
        <w:t>Peraturan</w:t>
      </w:r>
      <w:r w:rsidR="00A954D0">
        <w:rPr>
          <w:rFonts w:ascii="Bookman Old Style" w:hAnsi="Bookman Old Style"/>
          <w:sz w:val="24"/>
          <w:szCs w:val="24"/>
        </w:rPr>
        <w:t xml:space="preserve"> </w:t>
      </w:r>
      <w:r w:rsidRPr="006C3829">
        <w:rPr>
          <w:rFonts w:ascii="Bookman Old Style" w:hAnsi="Bookman Old Style"/>
          <w:sz w:val="24"/>
          <w:szCs w:val="24"/>
        </w:rPr>
        <w:t>Pemerintah</w:t>
      </w:r>
      <w:r w:rsidR="00A954D0">
        <w:rPr>
          <w:rFonts w:ascii="Bookman Old Style" w:hAnsi="Bookman Old Style"/>
          <w:sz w:val="24"/>
          <w:szCs w:val="24"/>
        </w:rPr>
        <w:t xml:space="preserve"> </w:t>
      </w:r>
      <w:r w:rsidRPr="006C3829">
        <w:rPr>
          <w:rFonts w:ascii="Bookman Old Style" w:hAnsi="Bookman Old Style"/>
          <w:sz w:val="24"/>
          <w:szCs w:val="24"/>
        </w:rPr>
        <w:t>Nomor</w:t>
      </w:r>
      <w:r w:rsidR="00A954D0">
        <w:rPr>
          <w:rFonts w:ascii="Bookman Old Style" w:hAnsi="Bookman Old Style"/>
          <w:sz w:val="24"/>
          <w:szCs w:val="24"/>
        </w:rPr>
        <w:t xml:space="preserve"> </w:t>
      </w:r>
      <w:r w:rsidRPr="006C3829">
        <w:rPr>
          <w:rFonts w:ascii="Bookman Old Style" w:hAnsi="Bookman Old Style"/>
          <w:sz w:val="24"/>
          <w:szCs w:val="24"/>
        </w:rPr>
        <w:t>12</w:t>
      </w:r>
      <w:r w:rsidR="00A954D0">
        <w:rPr>
          <w:rFonts w:ascii="Bookman Old Style" w:hAnsi="Bookman Old Style"/>
          <w:sz w:val="24"/>
          <w:szCs w:val="24"/>
        </w:rPr>
        <w:t xml:space="preserve"> </w:t>
      </w:r>
      <w:r w:rsidRPr="006C3829">
        <w:rPr>
          <w:rFonts w:ascii="Bookman Old Style" w:hAnsi="Bookman Old Style"/>
          <w:sz w:val="24"/>
          <w:szCs w:val="24"/>
        </w:rPr>
        <w:t>Tahun</w:t>
      </w:r>
      <w:r w:rsidR="00A954D0">
        <w:rPr>
          <w:rFonts w:ascii="Bookman Old Style" w:hAnsi="Bookman Old Style"/>
          <w:sz w:val="24"/>
          <w:szCs w:val="24"/>
        </w:rPr>
        <w:t xml:space="preserve"> </w:t>
      </w:r>
      <w:r w:rsidRPr="006C3829">
        <w:rPr>
          <w:rFonts w:ascii="Bookman Old Style" w:hAnsi="Bookman Old Style"/>
          <w:sz w:val="24"/>
          <w:szCs w:val="24"/>
        </w:rPr>
        <w:t>2019</w:t>
      </w:r>
      <w:r w:rsidR="00A954D0">
        <w:rPr>
          <w:rFonts w:ascii="Bookman Old Style" w:hAnsi="Bookman Old Style"/>
          <w:sz w:val="24"/>
          <w:szCs w:val="24"/>
        </w:rPr>
        <w:t xml:space="preserve"> </w:t>
      </w:r>
      <w:r w:rsidRPr="006C3829">
        <w:rPr>
          <w:rFonts w:ascii="Bookman Old Style" w:hAnsi="Bookman Old Style"/>
          <w:sz w:val="24"/>
          <w:szCs w:val="24"/>
        </w:rPr>
        <w:t>dan</w:t>
      </w:r>
      <w:r w:rsidR="00A954D0">
        <w:rPr>
          <w:rFonts w:ascii="Bookman Old Style" w:hAnsi="Bookman Old Style"/>
          <w:sz w:val="24"/>
          <w:szCs w:val="24"/>
        </w:rPr>
        <w:t xml:space="preserve"> </w:t>
      </w:r>
      <w:r w:rsidRPr="006C3829">
        <w:rPr>
          <w:rFonts w:ascii="Bookman Old Style" w:hAnsi="Bookman Old Style"/>
          <w:sz w:val="24"/>
          <w:szCs w:val="24"/>
        </w:rPr>
        <w:t>dan</w:t>
      </w:r>
      <w:r w:rsidR="00A954D0">
        <w:rPr>
          <w:rFonts w:ascii="Bookman Old Style" w:hAnsi="Bookman Old Style"/>
          <w:sz w:val="24"/>
          <w:szCs w:val="24"/>
        </w:rPr>
        <w:t xml:space="preserve"> </w:t>
      </w:r>
      <w:r w:rsidRPr="006C3829">
        <w:rPr>
          <w:rFonts w:ascii="Bookman Old Style" w:hAnsi="Bookman Old Style"/>
          <w:sz w:val="24"/>
          <w:szCs w:val="24"/>
          <w:lang w:val="id-ID"/>
        </w:rPr>
        <w:t>butir</w:t>
      </w:r>
      <w:r w:rsidR="00A954D0">
        <w:rPr>
          <w:rFonts w:ascii="Bookman Old Style" w:hAnsi="Bookman Old Style"/>
          <w:sz w:val="24"/>
          <w:szCs w:val="24"/>
          <w:lang w:val="id-ID"/>
        </w:rPr>
        <w:t xml:space="preserve"> </w:t>
      </w:r>
      <w:r w:rsidRPr="003255BC">
        <w:rPr>
          <w:rFonts w:ascii="Bookman Old Style" w:hAnsi="Bookman Old Style"/>
          <w:sz w:val="24"/>
          <w:szCs w:val="24"/>
          <w:lang w:val="sv-FI"/>
        </w:rPr>
        <w:t>3.3.1.3.b.8)</w:t>
      </w:r>
      <w:r w:rsidR="00A954D0">
        <w:rPr>
          <w:rFonts w:ascii="Bookman Old Style" w:hAnsi="Bookman Old Style"/>
          <w:sz w:val="24"/>
          <w:szCs w:val="24"/>
        </w:rPr>
        <w:t xml:space="preserve"> </w:t>
      </w:r>
      <w:r w:rsidRPr="006C3829">
        <w:rPr>
          <w:rFonts w:ascii="Bookman Old Style" w:hAnsi="Bookman Old Style"/>
          <w:sz w:val="24"/>
          <w:szCs w:val="24"/>
        </w:rPr>
        <w:t>Lampiran</w:t>
      </w:r>
      <w:r w:rsidR="00A954D0">
        <w:rPr>
          <w:rFonts w:ascii="Bookman Old Style" w:hAnsi="Bookman Old Style"/>
          <w:sz w:val="24"/>
          <w:szCs w:val="24"/>
        </w:rPr>
        <w:t xml:space="preserve"> </w:t>
      </w:r>
      <w:r w:rsidRPr="006C3829">
        <w:rPr>
          <w:rFonts w:ascii="Bookman Old Style" w:hAnsi="Bookman Old Style"/>
          <w:sz w:val="24"/>
          <w:szCs w:val="24"/>
        </w:rPr>
        <w:t>Peraturan</w:t>
      </w:r>
      <w:r w:rsidR="00A954D0">
        <w:rPr>
          <w:rFonts w:ascii="Bookman Old Style" w:hAnsi="Bookman Old Style"/>
          <w:sz w:val="24"/>
          <w:szCs w:val="24"/>
        </w:rPr>
        <w:t xml:space="preserve"> </w:t>
      </w:r>
      <w:r w:rsidRPr="006C3829">
        <w:rPr>
          <w:rFonts w:ascii="Bookman Old Style" w:hAnsi="Bookman Old Style"/>
          <w:sz w:val="24"/>
          <w:szCs w:val="24"/>
        </w:rPr>
        <w:t>Menteri</w:t>
      </w:r>
      <w:r w:rsidR="00A954D0">
        <w:rPr>
          <w:rFonts w:ascii="Bookman Old Style" w:hAnsi="Bookman Old Style"/>
          <w:sz w:val="24"/>
          <w:szCs w:val="24"/>
        </w:rPr>
        <w:t xml:space="preserve"> </w:t>
      </w:r>
      <w:r w:rsidRPr="006C3829">
        <w:rPr>
          <w:rFonts w:ascii="Bookman Old Style" w:hAnsi="Bookman Old Style"/>
          <w:sz w:val="24"/>
          <w:szCs w:val="24"/>
        </w:rPr>
        <w:t>Dalam</w:t>
      </w:r>
      <w:r w:rsidR="00A954D0">
        <w:rPr>
          <w:rFonts w:ascii="Bookman Old Style" w:hAnsi="Bookman Old Style"/>
          <w:sz w:val="24"/>
          <w:szCs w:val="24"/>
        </w:rPr>
        <w:t xml:space="preserve"> </w:t>
      </w:r>
      <w:r w:rsidRPr="006C3829">
        <w:rPr>
          <w:rFonts w:ascii="Bookman Old Style" w:hAnsi="Bookman Old Style"/>
          <w:sz w:val="24"/>
          <w:szCs w:val="24"/>
        </w:rPr>
        <w:t>Negeri</w:t>
      </w:r>
      <w:r w:rsidR="00A954D0">
        <w:rPr>
          <w:rFonts w:ascii="Bookman Old Style" w:hAnsi="Bookman Old Style"/>
          <w:sz w:val="24"/>
          <w:szCs w:val="24"/>
        </w:rPr>
        <w:t xml:space="preserve"> </w:t>
      </w:r>
      <w:r w:rsidRPr="006C3829">
        <w:rPr>
          <w:rFonts w:ascii="Bookman Old Style" w:hAnsi="Bookman Old Style"/>
          <w:sz w:val="24"/>
          <w:szCs w:val="24"/>
        </w:rPr>
        <w:t>Nomor</w:t>
      </w:r>
      <w:r w:rsidR="00A954D0">
        <w:rPr>
          <w:rFonts w:ascii="Bookman Old Style" w:hAnsi="Bookman Old Style"/>
          <w:sz w:val="24"/>
          <w:szCs w:val="24"/>
        </w:rPr>
        <w:t xml:space="preserve"> </w:t>
      </w:r>
      <w:r w:rsidRPr="003255BC">
        <w:rPr>
          <w:rFonts w:ascii="Bookman Old Style" w:hAnsi="Bookman Old Style"/>
          <w:sz w:val="24"/>
          <w:szCs w:val="24"/>
          <w:lang w:val="sv-FI"/>
        </w:rPr>
        <w:t>15</w:t>
      </w:r>
      <w:r w:rsidR="00A954D0">
        <w:rPr>
          <w:rFonts w:ascii="Bookman Old Style" w:hAnsi="Bookman Old Style"/>
          <w:sz w:val="24"/>
          <w:szCs w:val="24"/>
        </w:rPr>
        <w:t xml:space="preserve"> </w:t>
      </w:r>
      <w:r w:rsidRPr="006C3829">
        <w:rPr>
          <w:rFonts w:ascii="Bookman Old Style" w:hAnsi="Bookman Old Style"/>
          <w:sz w:val="24"/>
          <w:szCs w:val="24"/>
        </w:rPr>
        <w:t>Tahun</w:t>
      </w:r>
      <w:r w:rsidR="00A954D0">
        <w:rPr>
          <w:rFonts w:ascii="Bookman Old Style" w:hAnsi="Bookman Old Style"/>
          <w:sz w:val="24"/>
          <w:szCs w:val="24"/>
        </w:rPr>
        <w:t xml:space="preserve"> </w:t>
      </w:r>
      <w:r w:rsidRPr="006C3829">
        <w:rPr>
          <w:rFonts w:ascii="Bookman Old Style" w:hAnsi="Bookman Old Style"/>
          <w:sz w:val="24"/>
          <w:szCs w:val="24"/>
        </w:rPr>
        <w:t>202</w:t>
      </w:r>
      <w:r w:rsidRPr="003255BC">
        <w:rPr>
          <w:rFonts w:ascii="Bookman Old Style" w:hAnsi="Bookman Old Style"/>
          <w:sz w:val="24"/>
          <w:szCs w:val="24"/>
          <w:lang w:val="sv-FI"/>
        </w:rPr>
        <w:t>4.</w:t>
      </w:r>
    </w:p>
    <w:p w14:paraId="50FB09C3" w14:textId="68CD16A7" w:rsidR="005C3E60" w:rsidRPr="0085724C" w:rsidRDefault="005C3E60">
      <w:pPr>
        <w:pStyle w:val="ListParagraph"/>
        <w:numPr>
          <w:ilvl w:val="0"/>
          <w:numId w:val="6"/>
        </w:numPr>
        <w:spacing w:before="120" w:after="0" w:line="276" w:lineRule="auto"/>
        <w:ind w:left="1276" w:hanging="284"/>
        <w:contextualSpacing w:val="0"/>
        <w:jc w:val="both"/>
        <w:rPr>
          <w:rFonts w:ascii="Bookman Old Style" w:hAnsi="Bookman Old Style"/>
          <w:sz w:val="24"/>
          <w:szCs w:val="24"/>
        </w:rPr>
      </w:pPr>
      <w:r w:rsidRPr="0085724C">
        <w:rPr>
          <w:rFonts w:ascii="Bookman Old Style" w:hAnsi="Bookman Old Style"/>
          <w:sz w:val="24"/>
          <w:szCs w:val="24"/>
        </w:rPr>
        <w:t>Pendapatan</w:t>
      </w:r>
      <w:r w:rsidR="00A954D0">
        <w:rPr>
          <w:rFonts w:ascii="Bookman Old Style" w:hAnsi="Bookman Old Style"/>
          <w:sz w:val="24"/>
          <w:szCs w:val="24"/>
        </w:rPr>
        <w:t xml:space="preserve"> </w:t>
      </w:r>
      <w:r w:rsidRPr="0085724C">
        <w:rPr>
          <w:rFonts w:ascii="Bookman Old Style" w:hAnsi="Bookman Old Style"/>
          <w:sz w:val="24"/>
          <w:szCs w:val="24"/>
        </w:rPr>
        <w:t>Transfer</w:t>
      </w:r>
    </w:p>
    <w:p w14:paraId="6B405425" w14:textId="123C27A6" w:rsidR="006D52F0" w:rsidRPr="0085724C" w:rsidRDefault="006D52F0" w:rsidP="006D52F0">
      <w:pPr>
        <w:pStyle w:val="ListParagraph"/>
        <w:spacing w:before="60" w:after="0" w:line="276" w:lineRule="auto"/>
        <w:ind w:left="1276"/>
        <w:contextualSpacing w:val="0"/>
        <w:jc w:val="both"/>
        <w:rPr>
          <w:rFonts w:ascii="Bookman Old Style" w:hAnsi="Bookman Old Style"/>
          <w:sz w:val="24"/>
          <w:szCs w:val="24"/>
          <w:lang w:val="sv-FI"/>
        </w:rPr>
      </w:pPr>
      <w:r w:rsidRPr="0085724C">
        <w:rPr>
          <w:rFonts w:ascii="Bookman Old Style" w:hAnsi="Bookman Old Style"/>
          <w:sz w:val="24"/>
          <w:szCs w:val="24"/>
        </w:rPr>
        <w:t>Penganggaran</w:t>
      </w:r>
      <w:r w:rsidR="00A954D0">
        <w:rPr>
          <w:rFonts w:ascii="Bookman Old Style" w:hAnsi="Bookman Old Style"/>
          <w:sz w:val="24"/>
          <w:szCs w:val="24"/>
        </w:rPr>
        <w:t xml:space="preserve"> </w:t>
      </w:r>
      <w:r w:rsidRPr="0085724C">
        <w:rPr>
          <w:rFonts w:ascii="Bookman Old Style" w:hAnsi="Bookman Old Style"/>
          <w:sz w:val="24"/>
          <w:szCs w:val="24"/>
        </w:rPr>
        <w:t>target</w:t>
      </w:r>
      <w:r w:rsidR="00A954D0">
        <w:rPr>
          <w:rFonts w:ascii="Bookman Old Style" w:hAnsi="Bookman Old Style"/>
          <w:sz w:val="24"/>
          <w:szCs w:val="24"/>
        </w:rPr>
        <w:t xml:space="preserve"> </w:t>
      </w:r>
      <w:r w:rsidRPr="0085724C">
        <w:rPr>
          <w:rFonts w:ascii="Bookman Old Style" w:hAnsi="Bookman Old Style"/>
          <w:sz w:val="24"/>
          <w:szCs w:val="24"/>
        </w:rPr>
        <w:t>pendapatan</w:t>
      </w:r>
      <w:r w:rsidR="00A954D0">
        <w:rPr>
          <w:rFonts w:ascii="Bookman Old Style" w:hAnsi="Bookman Old Style"/>
          <w:sz w:val="24"/>
          <w:szCs w:val="24"/>
        </w:rPr>
        <w:t xml:space="preserve"> </w:t>
      </w:r>
      <w:r w:rsidRPr="0085724C">
        <w:rPr>
          <w:rFonts w:ascii="Bookman Old Style" w:hAnsi="Bookman Old Style"/>
          <w:sz w:val="24"/>
          <w:szCs w:val="24"/>
        </w:rPr>
        <w:t>daerah</w:t>
      </w:r>
      <w:r w:rsidR="00A954D0">
        <w:rPr>
          <w:rFonts w:ascii="Bookman Old Style" w:hAnsi="Bookman Old Style"/>
          <w:sz w:val="24"/>
          <w:szCs w:val="24"/>
        </w:rPr>
        <w:t xml:space="preserve"> </w:t>
      </w:r>
      <w:r w:rsidRPr="0085724C">
        <w:rPr>
          <w:rFonts w:ascii="Bookman Old Style" w:hAnsi="Bookman Old Style"/>
          <w:sz w:val="24"/>
          <w:szCs w:val="24"/>
        </w:rPr>
        <w:t>yang</w:t>
      </w:r>
      <w:r w:rsidR="00A954D0">
        <w:rPr>
          <w:rFonts w:ascii="Bookman Old Style" w:hAnsi="Bookman Old Style"/>
          <w:sz w:val="24"/>
          <w:szCs w:val="24"/>
        </w:rPr>
        <w:t xml:space="preserve"> </w:t>
      </w:r>
      <w:r w:rsidRPr="0085724C">
        <w:rPr>
          <w:rFonts w:ascii="Bookman Old Style" w:hAnsi="Bookman Old Style"/>
          <w:sz w:val="24"/>
          <w:szCs w:val="24"/>
        </w:rPr>
        <w:t>bersumber</w:t>
      </w:r>
      <w:r w:rsidR="00A954D0">
        <w:rPr>
          <w:rFonts w:ascii="Bookman Old Style" w:hAnsi="Bookman Old Style"/>
          <w:sz w:val="24"/>
          <w:szCs w:val="24"/>
        </w:rPr>
        <w:t xml:space="preserve"> </w:t>
      </w:r>
      <w:r w:rsidRPr="0085724C">
        <w:rPr>
          <w:rFonts w:ascii="Bookman Old Style" w:hAnsi="Bookman Old Style"/>
          <w:sz w:val="24"/>
          <w:szCs w:val="24"/>
        </w:rPr>
        <w:t>dari</w:t>
      </w:r>
      <w:r w:rsidR="00A954D0">
        <w:rPr>
          <w:rFonts w:ascii="Bookman Old Style" w:hAnsi="Bookman Old Style"/>
          <w:sz w:val="24"/>
          <w:szCs w:val="24"/>
        </w:rPr>
        <w:t xml:space="preserve"> </w:t>
      </w:r>
      <w:r w:rsidRPr="0085724C">
        <w:rPr>
          <w:rFonts w:ascii="Bookman Old Style" w:hAnsi="Bookman Old Style"/>
          <w:sz w:val="24"/>
          <w:szCs w:val="24"/>
        </w:rPr>
        <w:t>Pendapatan</w:t>
      </w:r>
      <w:r w:rsidR="00A954D0">
        <w:rPr>
          <w:rFonts w:ascii="Bookman Old Style" w:hAnsi="Bookman Old Style"/>
          <w:sz w:val="24"/>
          <w:szCs w:val="24"/>
        </w:rPr>
        <w:t xml:space="preserve"> </w:t>
      </w:r>
      <w:r w:rsidRPr="0085724C">
        <w:rPr>
          <w:rFonts w:ascii="Bookman Old Style" w:hAnsi="Bookman Old Style"/>
          <w:sz w:val="24"/>
          <w:szCs w:val="24"/>
        </w:rPr>
        <w:t>Transfer</w:t>
      </w:r>
      <w:r w:rsidR="00A954D0">
        <w:rPr>
          <w:rFonts w:ascii="Bookman Old Style" w:hAnsi="Bookman Old Style"/>
          <w:sz w:val="24"/>
          <w:szCs w:val="24"/>
        </w:rPr>
        <w:t xml:space="preserve"> </w:t>
      </w:r>
      <w:r w:rsidRPr="0085724C">
        <w:rPr>
          <w:rFonts w:ascii="Bookman Old Style" w:hAnsi="Bookman Old Style"/>
          <w:sz w:val="24"/>
          <w:szCs w:val="24"/>
          <w:lang w:val="it-IT"/>
        </w:rPr>
        <w:t>Rp2.262.957.624.474,00</w:t>
      </w:r>
      <w:r w:rsidR="00A954D0">
        <w:rPr>
          <w:rFonts w:ascii="Bookman Old Style" w:hAnsi="Bookman Old Style"/>
          <w:sz w:val="24"/>
          <w:szCs w:val="24"/>
          <w:lang w:val="it-IT"/>
        </w:rPr>
        <w:t xml:space="preserve"> </w:t>
      </w:r>
      <w:r w:rsidRPr="0085724C">
        <w:rPr>
          <w:rFonts w:ascii="Bookman Old Style" w:hAnsi="Bookman Old Style"/>
          <w:sz w:val="24"/>
          <w:szCs w:val="24"/>
          <w:lang w:val="it-IT"/>
        </w:rPr>
        <w:t>atau</w:t>
      </w:r>
      <w:r w:rsidR="00A954D0">
        <w:rPr>
          <w:rFonts w:ascii="Bookman Old Style" w:hAnsi="Bookman Old Style"/>
          <w:sz w:val="24"/>
          <w:szCs w:val="24"/>
          <w:lang w:val="it-IT"/>
        </w:rPr>
        <w:t xml:space="preserve"> </w:t>
      </w:r>
      <w:r w:rsidRPr="0085724C">
        <w:rPr>
          <w:rFonts w:ascii="Bookman Old Style" w:hAnsi="Bookman Old Style"/>
          <w:sz w:val="24"/>
          <w:szCs w:val="24"/>
          <w:lang w:val="it-IT"/>
        </w:rPr>
        <w:t>42,65%</w:t>
      </w:r>
      <w:r w:rsidR="00A954D0">
        <w:rPr>
          <w:rFonts w:ascii="Bookman Old Style" w:hAnsi="Bookman Old Style"/>
          <w:sz w:val="24"/>
          <w:szCs w:val="24"/>
          <w:lang w:val="it-IT"/>
        </w:rPr>
        <w:t xml:space="preserve"> </w:t>
      </w:r>
      <w:r w:rsidRPr="0085724C">
        <w:rPr>
          <w:rFonts w:ascii="Bookman Old Style" w:hAnsi="Bookman Old Style"/>
          <w:sz w:val="24"/>
          <w:szCs w:val="24"/>
        </w:rPr>
        <w:t>dari</w:t>
      </w:r>
      <w:r w:rsidR="00A954D0">
        <w:rPr>
          <w:rFonts w:ascii="Bookman Old Style" w:hAnsi="Bookman Old Style"/>
          <w:sz w:val="24"/>
          <w:szCs w:val="24"/>
        </w:rPr>
        <w:t xml:space="preserve"> </w:t>
      </w:r>
      <w:r w:rsidRPr="0085724C">
        <w:rPr>
          <w:rFonts w:ascii="Bookman Old Style" w:hAnsi="Bookman Old Style"/>
          <w:sz w:val="24"/>
          <w:szCs w:val="24"/>
        </w:rPr>
        <w:t>total</w:t>
      </w:r>
      <w:r w:rsidR="00A954D0">
        <w:rPr>
          <w:rFonts w:ascii="Bookman Old Style" w:hAnsi="Bookman Old Style"/>
          <w:sz w:val="24"/>
          <w:szCs w:val="24"/>
        </w:rPr>
        <w:t xml:space="preserve"> </w:t>
      </w:r>
      <w:r w:rsidRPr="0085724C">
        <w:rPr>
          <w:rFonts w:ascii="Bookman Old Style" w:hAnsi="Bookman Old Style"/>
          <w:sz w:val="24"/>
          <w:szCs w:val="24"/>
        </w:rPr>
        <w:t>pendapatan</w:t>
      </w:r>
      <w:r w:rsidR="00A954D0">
        <w:rPr>
          <w:rFonts w:ascii="Bookman Old Style" w:hAnsi="Bookman Old Style"/>
          <w:sz w:val="24"/>
          <w:szCs w:val="24"/>
        </w:rPr>
        <w:t xml:space="preserve"> </w:t>
      </w:r>
      <w:r w:rsidRPr="0085724C">
        <w:rPr>
          <w:rFonts w:ascii="Bookman Old Style" w:hAnsi="Bookman Old Style"/>
          <w:sz w:val="24"/>
          <w:szCs w:val="24"/>
        </w:rPr>
        <w:t>daerah</w:t>
      </w:r>
      <w:r w:rsidR="00A954D0">
        <w:rPr>
          <w:rFonts w:ascii="Bookman Old Style" w:hAnsi="Bookman Old Style"/>
          <w:sz w:val="24"/>
          <w:szCs w:val="24"/>
          <w:lang w:val="id-ID"/>
        </w:rPr>
        <w:t xml:space="preserve"> </w:t>
      </w:r>
      <w:r w:rsidRPr="0085724C">
        <w:rPr>
          <w:rFonts w:ascii="Bookman Old Style" w:hAnsi="Bookman Old Style"/>
          <w:sz w:val="24"/>
          <w:szCs w:val="24"/>
        </w:rPr>
        <w:t>dalam</w:t>
      </w:r>
      <w:r w:rsidR="00A954D0">
        <w:rPr>
          <w:rFonts w:ascii="Bookman Old Style" w:hAnsi="Bookman Old Style"/>
          <w:sz w:val="24"/>
          <w:szCs w:val="24"/>
        </w:rPr>
        <w:t xml:space="preserve"> </w:t>
      </w:r>
      <w:r w:rsidRPr="0085724C">
        <w:rPr>
          <w:rFonts w:ascii="Bookman Old Style" w:hAnsi="Bookman Old Style"/>
          <w:sz w:val="24"/>
          <w:szCs w:val="24"/>
        </w:rPr>
        <w:t>Rancangan</w:t>
      </w:r>
      <w:r w:rsidR="00A954D0">
        <w:rPr>
          <w:rFonts w:ascii="Bookman Old Style" w:hAnsi="Bookman Old Style"/>
          <w:sz w:val="24"/>
          <w:szCs w:val="24"/>
        </w:rPr>
        <w:t xml:space="preserve"> </w:t>
      </w:r>
      <w:r w:rsidRPr="0085724C">
        <w:rPr>
          <w:rFonts w:ascii="Bookman Old Style" w:hAnsi="Bookman Old Style"/>
          <w:sz w:val="24"/>
          <w:szCs w:val="24"/>
        </w:rPr>
        <w:t>Peraturan</w:t>
      </w:r>
      <w:r w:rsidR="00A954D0">
        <w:rPr>
          <w:rFonts w:ascii="Bookman Old Style" w:hAnsi="Bookman Old Style"/>
          <w:sz w:val="24"/>
          <w:szCs w:val="24"/>
        </w:rPr>
        <w:t xml:space="preserve"> </w:t>
      </w:r>
      <w:r w:rsidRPr="0085724C">
        <w:rPr>
          <w:rFonts w:ascii="Bookman Old Style" w:hAnsi="Bookman Old Style"/>
          <w:sz w:val="24"/>
          <w:szCs w:val="24"/>
        </w:rPr>
        <w:t>Daerah</w:t>
      </w:r>
      <w:r w:rsidR="00A954D0">
        <w:rPr>
          <w:rFonts w:ascii="Bookman Old Style" w:hAnsi="Bookman Old Style"/>
          <w:sz w:val="24"/>
          <w:szCs w:val="24"/>
        </w:rPr>
        <w:t xml:space="preserve"> </w:t>
      </w:r>
      <w:r w:rsidRPr="003255BC">
        <w:rPr>
          <w:rFonts w:ascii="Bookman Old Style" w:hAnsi="Bookman Old Style"/>
          <w:sz w:val="24"/>
          <w:szCs w:val="24"/>
          <w:lang w:val="sv-FI"/>
        </w:rPr>
        <w:t>Kota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Tangerang</w:t>
      </w:r>
      <w:r w:rsidR="00A954D0" w:rsidRPr="003255BC">
        <w:rPr>
          <w:rFonts w:ascii="Bookman Old Style" w:hAnsi="Bookman Old Style"/>
          <w:sz w:val="24"/>
          <w:szCs w:val="24"/>
          <w:lang w:val="sv-FI"/>
        </w:rPr>
        <w:t xml:space="preserve"> </w:t>
      </w:r>
      <w:r w:rsidRPr="0085724C">
        <w:rPr>
          <w:rFonts w:ascii="Bookman Old Style" w:hAnsi="Bookman Old Style"/>
          <w:sz w:val="24"/>
          <w:szCs w:val="24"/>
        </w:rPr>
        <w:t>tentang</w:t>
      </w:r>
      <w:r w:rsidR="00A954D0">
        <w:rPr>
          <w:rFonts w:ascii="Bookman Old Style" w:hAnsi="Bookman Old Style"/>
          <w:sz w:val="24"/>
          <w:szCs w:val="24"/>
        </w:rPr>
        <w:t xml:space="preserve"> </w:t>
      </w:r>
      <w:r w:rsidRPr="0085724C">
        <w:rPr>
          <w:rFonts w:ascii="Bookman Old Style" w:hAnsi="Bookman Old Style"/>
          <w:sz w:val="24"/>
          <w:szCs w:val="24"/>
        </w:rPr>
        <w:t>APBD</w:t>
      </w:r>
      <w:r w:rsidR="00A954D0">
        <w:rPr>
          <w:rFonts w:ascii="Bookman Old Style" w:hAnsi="Bookman Old Style"/>
          <w:sz w:val="24"/>
          <w:szCs w:val="24"/>
        </w:rPr>
        <w:t xml:space="preserve"> </w:t>
      </w:r>
      <w:r w:rsidRPr="0085724C">
        <w:rPr>
          <w:rFonts w:ascii="Bookman Old Style" w:hAnsi="Bookman Old Style"/>
          <w:sz w:val="24"/>
          <w:szCs w:val="24"/>
        </w:rPr>
        <w:t>Tahun</w:t>
      </w:r>
      <w:r w:rsidR="00A954D0">
        <w:rPr>
          <w:rFonts w:ascii="Bookman Old Style" w:hAnsi="Bookman Old Style"/>
          <w:sz w:val="24"/>
          <w:szCs w:val="24"/>
        </w:rPr>
        <w:t xml:space="preserve"> </w:t>
      </w:r>
      <w:r w:rsidRPr="0085724C">
        <w:rPr>
          <w:rFonts w:ascii="Bookman Old Style" w:hAnsi="Bookman Old Style"/>
          <w:sz w:val="24"/>
          <w:szCs w:val="24"/>
        </w:rPr>
        <w:t>Anggaran</w:t>
      </w:r>
      <w:r w:rsidR="00A954D0">
        <w:rPr>
          <w:rFonts w:ascii="Bookman Old Style" w:hAnsi="Bookman Old Style"/>
          <w:sz w:val="24"/>
          <w:szCs w:val="24"/>
        </w:rPr>
        <w:t xml:space="preserve"> </w:t>
      </w:r>
      <w:r w:rsidRPr="0085724C">
        <w:rPr>
          <w:rFonts w:ascii="Bookman Old Style" w:hAnsi="Bookman Old Style"/>
          <w:sz w:val="24"/>
          <w:szCs w:val="24"/>
        </w:rPr>
        <w:t>202</w:t>
      </w:r>
      <w:r w:rsidRPr="0085724C">
        <w:rPr>
          <w:rFonts w:ascii="Bookman Old Style" w:hAnsi="Bookman Old Style"/>
          <w:sz w:val="24"/>
          <w:szCs w:val="24"/>
          <w:lang w:val="sv-FI"/>
        </w:rPr>
        <w:t>5.</w:t>
      </w:r>
    </w:p>
    <w:p w14:paraId="1DE90621" w14:textId="31F989ED" w:rsidR="006D52F0" w:rsidRPr="003255BC" w:rsidRDefault="006D52F0" w:rsidP="006D52F0">
      <w:pPr>
        <w:pStyle w:val="ListParagraph"/>
        <w:spacing w:before="60" w:after="0" w:line="276" w:lineRule="auto"/>
        <w:ind w:left="1276"/>
        <w:contextualSpacing w:val="0"/>
        <w:jc w:val="both"/>
        <w:rPr>
          <w:rFonts w:ascii="Bookman Old Style" w:hAnsi="Bookman Old Style" w:cs="Arial"/>
          <w:sz w:val="24"/>
          <w:szCs w:val="24"/>
          <w:lang w:val="sv-FI"/>
        </w:rPr>
      </w:pPr>
      <w:r w:rsidRPr="0085724C">
        <w:rPr>
          <w:rFonts w:ascii="Bookman Old Style" w:hAnsi="Bookman Old Style"/>
          <w:sz w:val="24"/>
          <w:szCs w:val="24"/>
          <w:lang w:val="sv-FI"/>
        </w:rPr>
        <w:t>T</w:t>
      </w:r>
      <w:r w:rsidRPr="0085724C">
        <w:rPr>
          <w:rFonts w:ascii="Bookman Old Style" w:hAnsi="Bookman Old Style"/>
          <w:sz w:val="24"/>
          <w:szCs w:val="24"/>
        </w:rPr>
        <w:t>arget</w:t>
      </w:r>
      <w:r w:rsidR="00A954D0">
        <w:rPr>
          <w:rFonts w:ascii="Bookman Old Style" w:hAnsi="Bookman Old Style"/>
          <w:sz w:val="24"/>
          <w:szCs w:val="24"/>
        </w:rPr>
        <w:t xml:space="preserve"> </w:t>
      </w:r>
      <w:r w:rsidRPr="0085724C">
        <w:rPr>
          <w:rFonts w:ascii="Bookman Old Style" w:hAnsi="Bookman Old Style"/>
          <w:sz w:val="24"/>
          <w:szCs w:val="24"/>
        </w:rPr>
        <w:t>Pendapatan</w:t>
      </w:r>
      <w:r w:rsidR="00A954D0">
        <w:rPr>
          <w:rFonts w:ascii="Bookman Old Style" w:hAnsi="Bookman Old Style"/>
          <w:sz w:val="24"/>
          <w:szCs w:val="24"/>
        </w:rPr>
        <w:t xml:space="preserve"> </w:t>
      </w:r>
      <w:r w:rsidRPr="0085724C">
        <w:rPr>
          <w:rFonts w:ascii="Bookman Old Style" w:hAnsi="Bookman Old Style"/>
          <w:sz w:val="24"/>
          <w:szCs w:val="24"/>
        </w:rPr>
        <w:t>Transfer</w:t>
      </w:r>
      <w:r w:rsidR="00A954D0">
        <w:rPr>
          <w:rFonts w:ascii="Bookman Old Style" w:hAnsi="Bookman Old Style"/>
          <w:sz w:val="24"/>
          <w:szCs w:val="24"/>
        </w:rPr>
        <w:t xml:space="preserve"> </w:t>
      </w:r>
      <w:r w:rsidRPr="0085724C">
        <w:rPr>
          <w:rFonts w:ascii="Bookman Old Style" w:hAnsi="Bookman Old Style"/>
          <w:sz w:val="24"/>
          <w:szCs w:val="24"/>
        </w:rPr>
        <w:t>dalam</w:t>
      </w:r>
      <w:r w:rsidR="00A954D0">
        <w:rPr>
          <w:rFonts w:ascii="Bookman Old Style" w:hAnsi="Bookman Old Style"/>
          <w:sz w:val="24"/>
          <w:szCs w:val="24"/>
        </w:rPr>
        <w:t xml:space="preserve"> </w:t>
      </w:r>
      <w:r w:rsidRPr="0085724C">
        <w:rPr>
          <w:rFonts w:ascii="Bookman Old Style" w:hAnsi="Bookman Old Style"/>
          <w:sz w:val="24"/>
          <w:szCs w:val="24"/>
        </w:rPr>
        <w:t>Rancangan</w:t>
      </w:r>
      <w:r w:rsidR="00A954D0">
        <w:rPr>
          <w:rFonts w:ascii="Bookman Old Style" w:hAnsi="Bookman Old Style"/>
          <w:sz w:val="24"/>
          <w:szCs w:val="24"/>
        </w:rPr>
        <w:t xml:space="preserve"> </w:t>
      </w:r>
      <w:r w:rsidRPr="0085724C">
        <w:rPr>
          <w:rFonts w:ascii="Bookman Old Style" w:hAnsi="Bookman Old Style"/>
          <w:sz w:val="24"/>
          <w:szCs w:val="24"/>
        </w:rPr>
        <w:t>Peraturan</w:t>
      </w:r>
      <w:r w:rsidR="00A954D0">
        <w:rPr>
          <w:rFonts w:ascii="Bookman Old Style" w:hAnsi="Bookman Old Style"/>
          <w:sz w:val="24"/>
          <w:szCs w:val="24"/>
        </w:rPr>
        <w:t xml:space="preserve"> </w:t>
      </w:r>
      <w:r w:rsidRPr="0085724C">
        <w:rPr>
          <w:rFonts w:ascii="Bookman Old Style" w:hAnsi="Bookman Old Style"/>
          <w:sz w:val="24"/>
          <w:szCs w:val="24"/>
        </w:rPr>
        <w:t>Daerah</w:t>
      </w:r>
      <w:r w:rsidR="00A954D0">
        <w:rPr>
          <w:rFonts w:ascii="Bookman Old Style" w:hAnsi="Bookman Old Style"/>
          <w:sz w:val="24"/>
          <w:szCs w:val="24"/>
        </w:rPr>
        <w:t xml:space="preserve"> </w:t>
      </w:r>
      <w:r w:rsidRPr="003255BC">
        <w:rPr>
          <w:rFonts w:ascii="Bookman Old Style" w:hAnsi="Bookman Old Style"/>
          <w:sz w:val="24"/>
          <w:szCs w:val="24"/>
          <w:lang w:val="sv-FI"/>
        </w:rPr>
        <w:t>Kota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Tangerang</w:t>
      </w:r>
      <w:r w:rsidR="00A954D0" w:rsidRPr="003255BC">
        <w:rPr>
          <w:rFonts w:ascii="Bookman Old Style" w:hAnsi="Bookman Old Style"/>
          <w:sz w:val="24"/>
          <w:szCs w:val="24"/>
          <w:lang w:val="sv-FI"/>
        </w:rPr>
        <w:t xml:space="preserve"> </w:t>
      </w:r>
      <w:r w:rsidRPr="0085724C">
        <w:rPr>
          <w:rFonts w:ascii="Bookman Old Style" w:hAnsi="Bookman Old Style"/>
          <w:sz w:val="24"/>
          <w:szCs w:val="24"/>
        </w:rPr>
        <w:t>tentang</w:t>
      </w:r>
      <w:r w:rsidR="00A954D0">
        <w:rPr>
          <w:rFonts w:ascii="Bookman Old Style" w:hAnsi="Bookman Old Style"/>
          <w:sz w:val="24"/>
          <w:szCs w:val="24"/>
        </w:rPr>
        <w:t xml:space="preserve"> </w:t>
      </w:r>
      <w:r w:rsidRPr="0085724C">
        <w:rPr>
          <w:rFonts w:ascii="Bookman Old Style" w:hAnsi="Bookman Old Style"/>
          <w:sz w:val="24"/>
          <w:szCs w:val="24"/>
        </w:rPr>
        <w:t>APBD</w:t>
      </w:r>
      <w:r w:rsidR="00A954D0">
        <w:rPr>
          <w:rFonts w:ascii="Bookman Old Style" w:hAnsi="Bookman Old Style"/>
          <w:sz w:val="24"/>
          <w:szCs w:val="24"/>
        </w:rPr>
        <w:t xml:space="preserve"> </w:t>
      </w:r>
      <w:r w:rsidRPr="0085724C">
        <w:rPr>
          <w:rFonts w:ascii="Bookman Old Style" w:hAnsi="Bookman Old Style"/>
          <w:sz w:val="24"/>
          <w:szCs w:val="24"/>
        </w:rPr>
        <w:t>Tahun</w:t>
      </w:r>
      <w:r w:rsidR="00A954D0">
        <w:rPr>
          <w:rFonts w:ascii="Bookman Old Style" w:hAnsi="Bookman Old Style"/>
          <w:sz w:val="24"/>
          <w:szCs w:val="24"/>
        </w:rPr>
        <w:t xml:space="preserve"> </w:t>
      </w:r>
      <w:r w:rsidRPr="0085724C">
        <w:rPr>
          <w:rFonts w:ascii="Bookman Old Style" w:hAnsi="Bookman Old Style"/>
          <w:sz w:val="24"/>
          <w:szCs w:val="24"/>
        </w:rPr>
        <w:t>Anggaran</w:t>
      </w:r>
      <w:r w:rsidR="00A954D0">
        <w:rPr>
          <w:rFonts w:ascii="Bookman Old Style" w:hAnsi="Bookman Old Style"/>
          <w:sz w:val="24"/>
          <w:szCs w:val="24"/>
        </w:rPr>
        <w:t xml:space="preserve"> </w:t>
      </w:r>
      <w:r w:rsidRPr="0085724C">
        <w:rPr>
          <w:rFonts w:ascii="Bookman Old Style" w:hAnsi="Bookman Old Style"/>
          <w:sz w:val="24"/>
          <w:szCs w:val="24"/>
        </w:rPr>
        <w:t>202</w:t>
      </w:r>
      <w:r w:rsidRPr="003255BC">
        <w:rPr>
          <w:rFonts w:ascii="Bookman Old Style" w:hAnsi="Bookman Old Style"/>
          <w:sz w:val="24"/>
          <w:szCs w:val="24"/>
          <w:lang w:val="sv-FI"/>
        </w:rPr>
        <w:t>5</w:t>
      </w:r>
      <w:r w:rsidRPr="0085724C">
        <w:rPr>
          <w:rFonts w:ascii="Bookman Old Style" w:hAnsi="Bookman Old Style"/>
          <w:sz w:val="24"/>
          <w:szCs w:val="24"/>
        </w:rPr>
        <w:t>,</w:t>
      </w:r>
      <w:r w:rsidR="00A954D0">
        <w:rPr>
          <w:rFonts w:ascii="Bookman Old Style" w:hAnsi="Bookman Old Style"/>
          <w:sz w:val="24"/>
          <w:szCs w:val="24"/>
        </w:rPr>
        <w:t xml:space="preserve"> </w:t>
      </w:r>
      <w:r w:rsidRPr="0085724C">
        <w:rPr>
          <w:rFonts w:ascii="Bookman Old Style" w:hAnsi="Bookman Old Style" w:cs="Arial"/>
          <w:sz w:val="24"/>
          <w:szCs w:val="24"/>
          <w:lang w:val="id-ID"/>
        </w:rPr>
        <w:t>diuraikan</w:t>
      </w:r>
      <w:r w:rsidR="00A954D0">
        <w:rPr>
          <w:rFonts w:ascii="Bookman Old Style" w:hAnsi="Bookman Old Style" w:cs="Arial"/>
          <w:sz w:val="24"/>
          <w:szCs w:val="24"/>
          <w:lang w:val="id-ID"/>
        </w:rPr>
        <w:t xml:space="preserve"> </w:t>
      </w:r>
      <w:r w:rsidRPr="0085724C">
        <w:rPr>
          <w:rFonts w:ascii="Bookman Old Style" w:hAnsi="Bookman Old Style" w:cs="Arial"/>
          <w:sz w:val="24"/>
          <w:szCs w:val="24"/>
        </w:rPr>
        <w:t>pada</w:t>
      </w:r>
      <w:r w:rsidR="00A954D0">
        <w:rPr>
          <w:rFonts w:ascii="Bookman Old Style" w:hAnsi="Bookman Old Style" w:cs="Arial"/>
          <w:sz w:val="24"/>
          <w:szCs w:val="24"/>
        </w:rPr>
        <w:t xml:space="preserve"> </w:t>
      </w:r>
      <w:r w:rsidRPr="003255BC">
        <w:rPr>
          <w:rFonts w:ascii="Bookman Old Style" w:hAnsi="Bookman Old Style" w:cs="Arial"/>
          <w:sz w:val="24"/>
          <w:szCs w:val="24"/>
          <w:lang w:val="sv-FI"/>
        </w:rPr>
        <w:t>jenis</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pendapatan:</w:t>
      </w:r>
    </w:p>
    <w:p w14:paraId="0F9CEF0A" w14:textId="6D51F63B" w:rsidR="006D52F0" w:rsidRPr="003255BC" w:rsidRDefault="006D52F0">
      <w:pPr>
        <w:pStyle w:val="ListParagraph"/>
        <w:numPr>
          <w:ilvl w:val="0"/>
          <w:numId w:val="79"/>
        </w:numPr>
        <w:spacing w:before="60" w:after="0" w:line="276" w:lineRule="auto"/>
        <w:ind w:left="1701" w:hanging="425"/>
        <w:contextualSpacing w:val="0"/>
        <w:jc w:val="both"/>
        <w:rPr>
          <w:rFonts w:ascii="Bookman Old Style" w:hAnsi="Bookman Old Style" w:cs="Arial"/>
          <w:sz w:val="24"/>
          <w:szCs w:val="24"/>
          <w:lang w:val="sv-FI"/>
        </w:rPr>
      </w:pPr>
      <w:r w:rsidRPr="0085724C">
        <w:rPr>
          <w:rFonts w:ascii="Bookman Old Style" w:hAnsi="Bookman Old Style" w:cs="Arial"/>
          <w:sz w:val="24"/>
          <w:szCs w:val="24"/>
          <w:lang w:val="it-IT"/>
        </w:rPr>
        <w:t>Pendapatan</w:t>
      </w:r>
      <w:r w:rsidR="00A954D0">
        <w:rPr>
          <w:rFonts w:ascii="Bookman Old Style" w:hAnsi="Bookman Old Style" w:cs="Arial"/>
          <w:sz w:val="24"/>
          <w:szCs w:val="24"/>
          <w:lang w:val="it-IT"/>
        </w:rPr>
        <w:t xml:space="preserve"> </w:t>
      </w:r>
      <w:r w:rsidRPr="0085724C">
        <w:rPr>
          <w:rFonts w:ascii="Bookman Old Style" w:hAnsi="Bookman Old Style" w:cs="Arial"/>
          <w:sz w:val="24"/>
          <w:szCs w:val="24"/>
          <w:lang w:val="it-IT"/>
        </w:rPr>
        <w:t>Transfer</w:t>
      </w:r>
      <w:r w:rsidR="00A954D0">
        <w:rPr>
          <w:rFonts w:ascii="Bookman Old Style" w:hAnsi="Bookman Old Style" w:cs="Arial"/>
          <w:sz w:val="24"/>
          <w:szCs w:val="24"/>
          <w:lang w:val="it-IT"/>
        </w:rPr>
        <w:t xml:space="preserve"> </w:t>
      </w:r>
      <w:r w:rsidRPr="0085724C">
        <w:rPr>
          <w:rFonts w:ascii="Bookman Old Style" w:hAnsi="Bookman Old Style" w:cs="Arial"/>
          <w:sz w:val="24"/>
          <w:szCs w:val="24"/>
          <w:lang w:val="it-IT"/>
        </w:rPr>
        <w:t>Pemerintah</w:t>
      </w:r>
      <w:r w:rsidR="00A954D0">
        <w:rPr>
          <w:rFonts w:ascii="Bookman Old Style" w:hAnsi="Bookman Old Style" w:cs="Arial"/>
          <w:sz w:val="24"/>
          <w:szCs w:val="24"/>
          <w:lang w:val="it-IT"/>
        </w:rPr>
        <w:t xml:space="preserve"> </w:t>
      </w:r>
      <w:r w:rsidRPr="0085724C">
        <w:rPr>
          <w:rFonts w:ascii="Bookman Old Style" w:hAnsi="Bookman Old Style" w:cs="Arial"/>
          <w:sz w:val="24"/>
          <w:szCs w:val="24"/>
          <w:lang w:val="it-IT"/>
        </w:rPr>
        <w:t>Pusat</w:t>
      </w:r>
      <w:r w:rsidR="00A954D0">
        <w:rPr>
          <w:rFonts w:ascii="Bookman Old Style" w:hAnsi="Bookman Old Style" w:cs="Arial"/>
          <w:sz w:val="24"/>
          <w:szCs w:val="24"/>
          <w:lang w:val="id-ID"/>
        </w:rPr>
        <w:t xml:space="preserve"> </w:t>
      </w:r>
      <w:r w:rsidRPr="0085724C">
        <w:rPr>
          <w:rFonts w:ascii="Bookman Old Style" w:hAnsi="Bookman Old Style" w:cs="Arial"/>
          <w:sz w:val="24"/>
          <w:szCs w:val="24"/>
          <w:lang w:val="id-ID"/>
        </w:rPr>
        <w:t>Rp1.987.071.669.000,00</w:t>
      </w:r>
      <w:r w:rsidR="00A954D0">
        <w:rPr>
          <w:rFonts w:ascii="Bookman Old Style" w:hAnsi="Bookman Old Style" w:cs="Arial"/>
          <w:sz w:val="24"/>
          <w:szCs w:val="24"/>
          <w:lang w:val="id-ID"/>
        </w:rPr>
        <w:t xml:space="preserve"> </w:t>
      </w:r>
      <w:r w:rsidRPr="0085724C">
        <w:rPr>
          <w:rFonts w:ascii="Bookman Old Style" w:hAnsi="Bookman Old Style" w:cs="Arial"/>
          <w:sz w:val="24"/>
          <w:szCs w:val="24"/>
          <w:lang w:val="id-ID"/>
        </w:rPr>
        <w:t>atau</w:t>
      </w:r>
      <w:r w:rsidR="00A954D0">
        <w:rPr>
          <w:rFonts w:ascii="Bookman Old Style" w:hAnsi="Bookman Old Style" w:cs="Arial"/>
          <w:sz w:val="24"/>
          <w:szCs w:val="24"/>
          <w:lang w:val="id-ID"/>
        </w:rPr>
        <w:t xml:space="preserve"> </w:t>
      </w:r>
      <w:r w:rsidRPr="0085724C">
        <w:rPr>
          <w:rFonts w:ascii="Bookman Old Style" w:hAnsi="Bookman Old Style" w:cs="Arial"/>
          <w:sz w:val="24"/>
          <w:szCs w:val="24"/>
          <w:lang w:val="id-ID"/>
        </w:rPr>
        <w:t>37,45%</w:t>
      </w:r>
      <w:r w:rsidR="00A954D0">
        <w:rPr>
          <w:rFonts w:ascii="Bookman Old Style" w:hAnsi="Bookman Old Style" w:cs="Arial"/>
          <w:sz w:val="24"/>
          <w:szCs w:val="24"/>
          <w:lang w:val="id-ID"/>
        </w:rPr>
        <w:t xml:space="preserve"> </w:t>
      </w:r>
      <w:r w:rsidRPr="0085724C">
        <w:rPr>
          <w:rFonts w:ascii="Bookman Old Style" w:hAnsi="Bookman Old Style" w:cs="Arial"/>
          <w:sz w:val="24"/>
          <w:szCs w:val="24"/>
          <w:lang w:val="id-ID"/>
        </w:rPr>
        <w:t>dari</w:t>
      </w:r>
      <w:r w:rsidR="00A954D0">
        <w:rPr>
          <w:rFonts w:ascii="Bookman Old Style" w:hAnsi="Bookman Old Style" w:cs="Arial"/>
          <w:sz w:val="24"/>
          <w:szCs w:val="24"/>
          <w:lang w:val="id-ID"/>
        </w:rPr>
        <w:t xml:space="preserve"> </w:t>
      </w:r>
      <w:r w:rsidRPr="0085724C">
        <w:rPr>
          <w:rFonts w:ascii="Bookman Old Style" w:hAnsi="Bookman Old Style" w:cs="Arial"/>
          <w:sz w:val="24"/>
          <w:szCs w:val="24"/>
          <w:lang w:val="id-ID"/>
        </w:rPr>
        <w:t>total</w:t>
      </w:r>
      <w:r w:rsidR="00A954D0">
        <w:rPr>
          <w:rFonts w:ascii="Bookman Old Style" w:hAnsi="Bookman Old Style" w:cs="Arial"/>
          <w:sz w:val="24"/>
          <w:szCs w:val="24"/>
          <w:lang w:val="id-ID"/>
        </w:rPr>
        <w:t xml:space="preserve"> </w:t>
      </w:r>
      <w:r w:rsidRPr="0085724C">
        <w:rPr>
          <w:rFonts w:ascii="Bookman Old Style" w:hAnsi="Bookman Old Style" w:cs="Arial"/>
          <w:sz w:val="24"/>
          <w:szCs w:val="24"/>
          <w:lang w:val="id-ID"/>
        </w:rPr>
        <w:t>pendapatan</w:t>
      </w:r>
      <w:r w:rsidR="00A954D0">
        <w:rPr>
          <w:rFonts w:ascii="Bookman Old Style" w:hAnsi="Bookman Old Style" w:cs="Arial"/>
          <w:sz w:val="24"/>
          <w:szCs w:val="24"/>
          <w:lang w:val="id-ID"/>
        </w:rPr>
        <w:t xml:space="preserve"> </w:t>
      </w:r>
      <w:r w:rsidRPr="0085724C">
        <w:rPr>
          <w:rFonts w:ascii="Bookman Old Style" w:hAnsi="Bookman Old Style" w:cs="Arial"/>
          <w:sz w:val="24"/>
          <w:szCs w:val="24"/>
          <w:lang w:val="id-ID"/>
        </w:rPr>
        <w:t>daerah</w:t>
      </w:r>
      <w:r w:rsidR="00A954D0">
        <w:rPr>
          <w:rFonts w:ascii="Bookman Old Style" w:hAnsi="Bookman Old Style"/>
          <w:sz w:val="24"/>
          <w:szCs w:val="24"/>
        </w:rPr>
        <w:t xml:space="preserve"> </w:t>
      </w:r>
      <w:r w:rsidRPr="0085724C">
        <w:rPr>
          <w:rFonts w:ascii="Bookman Old Style" w:hAnsi="Bookman Old Style"/>
          <w:sz w:val="24"/>
          <w:szCs w:val="24"/>
        </w:rPr>
        <w:t>dalam</w:t>
      </w:r>
      <w:r w:rsidR="00A954D0">
        <w:rPr>
          <w:rFonts w:ascii="Bookman Old Style" w:hAnsi="Bookman Old Style"/>
          <w:sz w:val="24"/>
          <w:szCs w:val="24"/>
        </w:rPr>
        <w:t xml:space="preserve"> </w:t>
      </w:r>
      <w:r w:rsidRPr="0085724C">
        <w:rPr>
          <w:rFonts w:ascii="Bookman Old Style" w:hAnsi="Bookman Old Style"/>
          <w:sz w:val="24"/>
          <w:szCs w:val="24"/>
        </w:rPr>
        <w:t>Rancangan</w:t>
      </w:r>
      <w:r w:rsidR="00A954D0">
        <w:rPr>
          <w:rFonts w:ascii="Bookman Old Style" w:hAnsi="Bookman Old Style"/>
          <w:sz w:val="24"/>
          <w:szCs w:val="24"/>
        </w:rPr>
        <w:t xml:space="preserve"> </w:t>
      </w:r>
      <w:r w:rsidRPr="0085724C">
        <w:rPr>
          <w:rFonts w:ascii="Bookman Old Style" w:hAnsi="Bookman Old Style"/>
          <w:sz w:val="24"/>
          <w:szCs w:val="24"/>
        </w:rPr>
        <w:t>Peraturan</w:t>
      </w:r>
      <w:r w:rsidR="00A954D0">
        <w:rPr>
          <w:rFonts w:ascii="Bookman Old Style" w:hAnsi="Bookman Old Style"/>
          <w:sz w:val="24"/>
          <w:szCs w:val="24"/>
        </w:rPr>
        <w:t xml:space="preserve"> </w:t>
      </w:r>
      <w:r w:rsidRPr="0085724C">
        <w:rPr>
          <w:rFonts w:ascii="Bookman Old Style" w:hAnsi="Bookman Old Style"/>
          <w:sz w:val="24"/>
          <w:szCs w:val="24"/>
        </w:rPr>
        <w:t>Daerah</w:t>
      </w:r>
      <w:r w:rsidR="00A954D0">
        <w:rPr>
          <w:rFonts w:ascii="Bookman Old Style" w:hAnsi="Bookman Old Style"/>
          <w:sz w:val="24"/>
          <w:szCs w:val="24"/>
        </w:rPr>
        <w:t xml:space="preserve"> </w:t>
      </w:r>
      <w:r w:rsidRPr="003255BC">
        <w:rPr>
          <w:rFonts w:ascii="Bookman Old Style" w:hAnsi="Bookman Old Style"/>
          <w:sz w:val="24"/>
          <w:szCs w:val="24"/>
          <w:lang w:val="sv-FI"/>
        </w:rPr>
        <w:t>Kota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Tangerang</w:t>
      </w:r>
      <w:r w:rsidR="00A954D0" w:rsidRPr="003255BC">
        <w:rPr>
          <w:rFonts w:ascii="Bookman Old Style" w:hAnsi="Bookman Old Style"/>
          <w:sz w:val="24"/>
          <w:szCs w:val="24"/>
          <w:lang w:val="sv-FI"/>
        </w:rPr>
        <w:t xml:space="preserve"> </w:t>
      </w:r>
      <w:r w:rsidRPr="0085724C">
        <w:rPr>
          <w:rFonts w:ascii="Bookman Old Style" w:hAnsi="Bookman Old Style"/>
          <w:sz w:val="24"/>
          <w:szCs w:val="24"/>
        </w:rPr>
        <w:t>tentang</w:t>
      </w:r>
      <w:r w:rsidR="00A954D0">
        <w:rPr>
          <w:rFonts w:ascii="Bookman Old Style" w:hAnsi="Bookman Old Style"/>
          <w:sz w:val="24"/>
          <w:szCs w:val="24"/>
        </w:rPr>
        <w:t xml:space="preserve"> </w:t>
      </w:r>
      <w:r w:rsidRPr="0085724C">
        <w:rPr>
          <w:rFonts w:ascii="Bookman Old Style" w:hAnsi="Bookman Old Style"/>
          <w:sz w:val="24"/>
          <w:szCs w:val="24"/>
        </w:rPr>
        <w:t>APBD</w:t>
      </w:r>
      <w:r w:rsidR="00A954D0">
        <w:rPr>
          <w:rFonts w:ascii="Bookman Old Style" w:hAnsi="Bookman Old Style"/>
          <w:sz w:val="24"/>
          <w:szCs w:val="24"/>
        </w:rPr>
        <w:t xml:space="preserve"> </w:t>
      </w:r>
      <w:r w:rsidRPr="0085724C">
        <w:rPr>
          <w:rFonts w:ascii="Bookman Old Style" w:hAnsi="Bookman Old Style"/>
          <w:sz w:val="24"/>
          <w:szCs w:val="24"/>
        </w:rPr>
        <w:t>Tahun</w:t>
      </w:r>
      <w:r w:rsidR="00A954D0">
        <w:rPr>
          <w:rFonts w:ascii="Bookman Old Style" w:hAnsi="Bookman Old Style"/>
          <w:sz w:val="24"/>
          <w:szCs w:val="24"/>
        </w:rPr>
        <w:t xml:space="preserve"> </w:t>
      </w:r>
      <w:r w:rsidRPr="0085724C">
        <w:rPr>
          <w:rFonts w:ascii="Bookman Old Style" w:hAnsi="Bookman Old Style"/>
          <w:sz w:val="24"/>
          <w:szCs w:val="24"/>
        </w:rPr>
        <w:t>Anggaran</w:t>
      </w:r>
      <w:r w:rsidR="00A954D0">
        <w:rPr>
          <w:rFonts w:ascii="Bookman Old Style" w:hAnsi="Bookman Old Style"/>
          <w:sz w:val="24"/>
          <w:szCs w:val="24"/>
        </w:rPr>
        <w:t xml:space="preserve"> </w:t>
      </w:r>
      <w:r w:rsidRPr="0085724C">
        <w:rPr>
          <w:rFonts w:ascii="Bookman Old Style" w:hAnsi="Bookman Old Style"/>
          <w:sz w:val="24"/>
          <w:szCs w:val="24"/>
        </w:rPr>
        <w:t>2025</w:t>
      </w:r>
      <w:r w:rsidRPr="0085724C">
        <w:rPr>
          <w:rFonts w:ascii="Bookman Old Style" w:hAnsi="Bookman Old Style" w:cs="Arial"/>
          <w:sz w:val="24"/>
          <w:szCs w:val="24"/>
          <w:lang w:val="id-ID"/>
        </w:rPr>
        <w:t>,</w:t>
      </w:r>
      <w:r w:rsidR="00A954D0">
        <w:rPr>
          <w:rFonts w:ascii="Bookman Old Style" w:hAnsi="Bookman Old Style" w:cs="Arial"/>
          <w:sz w:val="24"/>
          <w:szCs w:val="24"/>
          <w:lang w:val="id-ID"/>
        </w:rPr>
        <w:t xml:space="preserve"> </w:t>
      </w:r>
      <w:r w:rsidRPr="0085724C">
        <w:rPr>
          <w:rFonts w:ascii="Bookman Old Style" w:hAnsi="Bookman Old Style" w:cs="Arial"/>
          <w:sz w:val="24"/>
          <w:szCs w:val="24"/>
          <w:lang w:val="id-ID"/>
        </w:rPr>
        <w:t>yang</w:t>
      </w:r>
      <w:r w:rsidR="00A954D0">
        <w:rPr>
          <w:rFonts w:ascii="Bookman Old Style" w:hAnsi="Bookman Old Style" w:cs="Arial"/>
          <w:sz w:val="24"/>
          <w:szCs w:val="24"/>
          <w:lang w:val="id-ID"/>
        </w:rPr>
        <w:t xml:space="preserve"> </w:t>
      </w:r>
      <w:r w:rsidRPr="0085724C">
        <w:rPr>
          <w:rFonts w:ascii="Bookman Old Style" w:hAnsi="Bookman Old Style" w:cs="Arial"/>
          <w:sz w:val="24"/>
          <w:szCs w:val="24"/>
          <w:lang w:val="id-ID"/>
        </w:rPr>
        <w:t>diuraikan</w:t>
      </w:r>
      <w:r w:rsidR="00A954D0">
        <w:rPr>
          <w:rFonts w:ascii="Bookman Old Style" w:hAnsi="Bookman Old Style" w:cs="Arial"/>
          <w:sz w:val="24"/>
          <w:szCs w:val="24"/>
          <w:lang w:val="id-ID"/>
        </w:rPr>
        <w:t xml:space="preserve"> </w:t>
      </w:r>
      <w:r w:rsidRPr="0085724C">
        <w:rPr>
          <w:rFonts w:ascii="Bookman Old Style" w:hAnsi="Bookman Old Style" w:cs="Arial"/>
          <w:sz w:val="24"/>
          <w:szCs w:val="24"/>
          <w:lang w:val="id-ID"/>
        </w:rPr>
        <w:t>ke</w:t>
      </w:r>
      <w:r w:rsidR="00A954D0">
        <w:rPr>
          <w:rFonts w:ascii="Bookman Old Style" w:hAnsi="Bookman Old Style" w:cs="Arial"/>
          <w:sz w:val="24"/>
          <w:szCs w:val="24"/>
          <w:lang w:val="id-ID"/>
        </w:rPr>
        <w:t xml:space="preserve"> </w:t>
      </w:r>
      <w:r w:rsidRPr="0085724C">
        <w:rPr>
          <w:rFonts w:ascii="Bookman Old Style" w:hAnsi="Bookman Old Style" w:cs="Arial"/>
          <w:sz w:val="24"/>
          <w:szCs w:val="24"/>
          <w:lang w:val="id-ID"/>
        </w:rPr>
        <w:t>dalam</w:t>
      </w:r>
      <w:r w:rsidR="00A954D0">
        <w:rPr>
          <w:rFonts w:ascii="Bookman Old Style" w:hAnsi="Bookman Old Style" w:cs="Arial"/>
          <w:sz w:val="24"/>
          <w:szCs w:val="24"/>
          <w:lang w:val="id-ID"/>
        </w:rPr>
        <w:t xml:space="preserve"> </w:t>
      </w:r>
      <w:r w:rsidRPr="0085724C">
        <w:rPr>
          <w:rFonts w:ascii="Bookman Old Style" w:hAnsi="Bookman Old Style" w:cs="Arial"/>
          <w:sz w:val="24"/>
          <w:szCs w:val="24"/>
          <w:lang w:val="id-ID"/>
        </w:rPr>
        <w:t>rincian</w:t>
      </w:r>
      <w:r w:rsidR="00A954D0">
        <w:rPr>
          <w:rFonts w:ascii="Bookman Old Style" w:hAnsi="Bookman Old Style" w:cs="Arial"/>
          <w:sz w:val="24"/>
          <w:szCs w:val="24"/>
          <w:lang w:val="id-ID"/>
        </w:rPr>
        <w:t xml:space="preserve"> </w:t>
      </w:r>
      <w:r w:rsidRPr="0085724C">
        <w:rPr>
          <w:rFonts w:ascii="Bookman Old Style" w:hAnsi="Bookman Old Style" w:cs="Arial"/>
          <w:sz w:val="24"/>
          <w:szCs w:val="24"/>
          <w:lang w:val="id-ID"/>
        </w:rPr>
        <w:t>objek</w:t>
      </w:r>
      <w:r w:rsidR="00A954D0">
        <w:rPr>
          <w:rFonts w:ascii="Bookman Old Style" w:hAnsi="Bookman Old Style" w:cs="Arial"/>
          <w:sz w:val="24"/>
          <w:szCs w:val="24"/>
          <w:lang w:val="id-ID"/>
        </w:rPr>
        <w:t xml:space="preserve"> </w:t>
      </w:r>
      <w:r w:rsidRPr="0085724C">
        <w:rPr>
          <w:rFonts w:ascii="Bookman Old Style" w:hAnsi="Bookman Old Style" w:cs="Arial"/>
          <w:sz w:val="24"/>
          <w:szCs w:val="24"/>
          <w:lang w:val="id-ID"/>
        </w:rPr>
        <w:t>pendapatan</w:t>
      </w:r>
      <w:r w:rsidRPr="003255BC">
        <w:rPr>
          <w:rFonts w:ascii="Bookman Old Style" w:hAnsi="Bookman Old Style" w:cs="Arial"/>
          <w:sz w:val="24"/>
          <w:szCs w:val="24"/>
          <w:lang w:val="sv-FI"/>
        </w:rPr>
        <w:t>:</w:t>
      </w:r>
    </w:p>
    <w:p w14:paraId="128B1E50" w14:textId="1428B4C4" w:rsidR="006D52F0" w:rsidRPr="0085724C" w:rsidRDefault="006D52F0" w:rsidP="00B16310">
      <w:pPr>
        <w:pStyle w:val="ListParagraph"/>
        <w:numPr>
          <w:ilvl w:val="0"/>
          <w:numId w:val="80"/>
        </w:numPr>
        <w:spacing w:before="60" w:after="0" w:line="276" w:lineRule="auto"/>
        <w:ind w:left="2268" w:hanging="567"/>
        <w:contextualSpacing w:val="0"/>
        <w:jc w:val="both"/>
        <w:rPr>
          <w:rFonts w:ascii="Bookman Old Style" w:hAnsi="Bookman Old Style"/>
          <w:sz w:val="24"/>
          <w:szCs w:val="24"/>
          <w:lang w:val="id-ID"/>
        </w:rPr>
      </w:pPr>
      <w:r w:rsidRPr="0085724C">
        <w:rPr>
          <w:rFonts w:ascii="Bookman Old Style" w:hAnsi="Bookman Old Style"/>
          <w:sz w:val="24"/>
          <w:szCs w:val="24"/>
        </w:rPr>
        <w:t>Dana</w:t>
      </w:r>
      <w:r w:rsidR="00A954D0">
        <w:rPr>
          <w:rFonts w:ascii="Bookman Old Style" w:hAnsi="Bookman Old Style"/>
          <w:sz w:val="24"/>
          <w:szCs w:val="24"/>
        </w:rPr>
        <w:t xml:space="preserve"> </w:t>
      </w:r>
      <w:r w:rsidRPr="0085724C">
        <w:rPr>
          <w:rFonts w:ascii="Bookman Old Style" w:hAnsi="Bookman Old Style"/>
          <w:sz w:val="24"/>
          <w:szCs w:val="24"/>
        </w:rPr>
        <w:t>Bagi</w:t>
      </w:r>
      <w:r w:rsidR="00A954D0">
        <w:rPr>
          <w:rFonts w:ascii="Bookman Old Style" w:hAnsi="Bookman Old Style"/>
          <w:sz w:val="24"/>
          <w:szCs w:val="24"/>
        </w:rPr>
        <w:t xml:space="preserve"> </w:t>
      </w:r>
      <w:r w:rsidRPr="0085724C">
        <w:rPr>
          <w:rFonts w:ascii="Bookman Old Style" w:hAnsi="Bookman Old Style"/>
          <w:sz w:val="24"/>
          <w:szCs w:val="24"/>
        </w:rPr>
        <w:t>Hasil</w:t>
      </w:r>
      <w:r w:rsidR="00A954D0">
        <w:rPr>
          <w:rFonts w:ascii="Bookman Old Style" w:hAnsi="Bookman Old Style"/>
          <w:sz w:val="24"/>
          <w:szCs w:val="24"/>
        </w:rPr>
        <w:t xml:space="preserve"> </w:t>
      </w:r>
      <w:r w:rsidRPr="0085724C">
        <w:rPr>
          <w:rFonts w:ascii="Bookman Old Style" w:hAnsi="Bookman Old Style"/>
          <w:sz w:val="24"/>
          <w:szCs w:val="24"/>
        </w:rPr>
        <w:t>(DBH)</w:t>
      </w:r>
      <w:r w:rsidR="00A954D0">
        <w:rPr>
          <w:rFonts w:ascii="Bookman Old Style" w:hAnsi="Bookman Old Style"/>
          <w:sz w:val="24"/>
          <w:szCs w:val="24"/>
        </w:rPr>
        <w:t xml:space="preserve"> </w:t>
      </w:r>
      <w:r w:rsidRPr="0085724C">
        <w:rPr>
          <w:rFonts w:ascii="Bookman Old Style" w:hAnsi="Bookman Old Style"/>
          <w:sz w:val="24"/>
          <w:szCs w:val="24"/>
          <w:lang w:val="sv-FI"/>
        </w:rPr>
        <w:t>Rp424.173.647.000,00</w:t>
      </w:r>
      <w:r w:rsidR="00A954D0">
        <w:rPr>
          <w:rFonts w:ascii="Bookman Old Style" w:hAnsi="Bookman Old Style"/>
          <w:sz w:val="24"/>
          <w:szCs w:val="24"/>
          <w:lang w:val="sv-FI"/>
        </w:rPr>
        <w:t xml:space="preserve"> </w:t>
      </w:r>
      <w:r w:rsidRPr="0085724C">
        <w:rPr>
          <w:rFonts w:ascii="Bookman Old Style" w:hAnsi="Bookman Old Style"/>
          <w:b/>
          <w:bCs/>
          <w:sz w:val="24"/>
          <w:szCs w:val="24"/>
          <w:lang w:val="sv-FI"/>
        </w:rPr>
        <w:t>sesuai</w:t>
      </w:r>
      <w:r w:rsidR="00A954D0">
        <w:rPr>
          <w:rFonts w:ascii="Bookman Old Style" w:hAnsi="Bookman Old Style"/>
          <w:sz w:val="24"/>
          <w:szCs w:val="24"/>
          <w:lang w:val="sv-FI"/>
        </w:rPr>
        <w:t xml:space="preserve"> </w:t>
      </w:r>
      <w:r w:rsidRPr="0085724C">
        <w:rPr>
          <w:rFonts w:ascii="Bookman Old Style" w:hAnsi="Bookman Old Style"/>
          <w:sz w:val="24"/>
          <w:szCs w:val="24"/>
        </w:rPr>
        <w:t>dengan</w:t>
      </w:r>
      <w:r w:rsidR="00A954D0">
        <w:rPr>
          <w:rFonts w:ascii="Bookman Old Style" w:hAnsi="Bookman Old Style"/>
          <w:sz w:val="24"/>
          <w:szCs w:val="24"/>
        </w:rPr>
        <w:t xml:space="preserve"> </w:t>
      </w:r>
      <w:r w:rsidRPr="0085724C">
        <w:rPr>
          <w:rFonts w:ascii="Bookman Old Style" w:hAnsi="Bookman Old Style" w:cs="Arial"/>
          <w:sz w:val="24"/>
          <w:szCs w:val="24"/>
          <w:lang w:val="id-ID"/>
        </w:rPr>
        <w:t>alokasi</w:t>
      </w:r>
      <w:r w:rsidR="00A954D0">
        <w:rPr>
          <w:rFonts w:ascii="Bookman Old Style" w:hAnsi="Bookman Old Style" w:cs="Arial"/>
          <w:sz w:val="24"/>
          <w:szCs w:val="24"/>
          <w:lang w:val="id-ID"/>
        </w:rPr>
        <w:t xml:space="preserve"> </w:t>
      </w:r>
      <w:r w:rsidRPr="0085724C">
        <w:rPr>
          <w:rFonts w:ascii="Bookman Old Style" w:hAnsi="Bookman Old Style" w:cs="Arial"/>
          <w:sz w:val="24"/>
          <w:szCs w:val="24"/>
          <w:lang w:val="id-ID"/>
        </w:rPr>
        <w:t>anggaran</w:t>
      </w:r>
      <w:r w:rsidR="00A954D0">
        <w:rPr>
          <w:rFonts w:ascii="Bookman Old Style" w:hAnsi="Bookman Old Style" w:cs="Arial"/>
          <w:sz w:val="24"/>
          <w:szCs w:val="24"/>
          <w:lang w:val="id-ID"/>
        </w:rPr>
        <w:t xml:space="preserve"> </w:t>
      </w:r>
      <w:r w:rsidRPr="0085724C">
        <w:rPr>
          <w:rFonts w:ascii="Bookman Old Style" w:hAnsi="Bookman Old Style" w:cs="Arial"/>
          <w:sz w:val="24"/>
          <w:szCs w:val="24"/>
          <w:lang w:val="id-ID"/>
        </w:rPr>
        <w:t>yang</w:t>
      </w:r>
      <w:r w:rsidR="00A954D0">
        <w:rPr>
          <w:rFonts w:ascii="Bookman Old Style" w:hAnsi="Bookman Old Style" w:cs="Arial"/>
          <w:sz w:val="24"/>
          <w:szCs w:val="24"/>
          <w:lang w:val="id-ID"/>
        </w:rPr>
        <w:t xml:space="preserve"> </w:t>
      </w:r>
      <w:r w:rsidRPr="0085724C">
        <w:rPr>
          <w:rFonts w:ascii="Bookman Old Style" w:hAnsi="Bookman Old Style" w:cs="Arial"/>
          <w:sz w:val="24"/>
          <w:szCs w:val="24"/>
          <w:lang w:val="id-ID"/>
        </w:rPr>
        <w:t>tercantum</w:t>
      </w:r>
      <w:r w:rsidR="00A954D0">
        <w:rPr>
          <w:rFonts w:ascii="Bookman Old Style" w:hAnsi="Bookman Old Style" w:cs="Arial"/>
          <w:sz w:val="24"/>
          <w:szCs w:val="24"/>
          <w:lang w:val="id-ID"/>
        </w:rPr>
        <w:t xml:space="preserve"> </w:t>
      </w:r>
      <w:r w:rsidRPr="0085724C">
        <w:rPr>
          <w:rFonts w:ascii="Bookman Old Style" w:hAnsi="Bookman Old Style" w:cs="Arial"/>
          <w:sz w:val="24"/>
          <w:szCs w:val="24"/>
          <w:lang w:val="id-ID"/>
        </w:rPr>
        <w:t>tercantum</w:t>
      </w:r>
      <w:r w:rsidR="00A954D0">
        <w:rPr>
          <w:rFonts w:ascii="Bookman Old Style" w:hAnsi="Bookman Old Style" w:cs="Arial"/>
          <w:sz w:val="24"/>
          <w:szCs w:val="24"/>
          <w:lang w:val="id-ID"/>
        </w:rPr>
        <w:t xml:space="preserve"> </w:t>
      </w:r>
      <w:r w:rsidRPr="0085724C">
        <w:rPr>
          <w:rFonts w:ascii="Bookman Old Style" w:hAnsi="Bookman Old Style" w:cs="Arial"/>
          <w:sz w:val="24"/>
          <w:szCs w:val="24"/>
          <w:lang w:val="id-ID"/>
        </w:rPr>
        <w:t>dalam</w:t>
      </w:r>
      <w:r w:rsidR="00A954D0">
        <w:rPr>
          <w:rFonts w:ascii="Bookman Old Style" w:hAnsi="Bookman Old Style" w:cs="Arial"/>
          <w:color w:val="FF0000"/>
          <w:sz w:val="24"/>
          <w:szCs w:val="24"/>
          <w:lang w:val="id-ID"/>
        </w:rPr>
        <w:t xml:space="preserve"> </w:t>
      </w:r>
      <w:r w:rsidR="003F5DDA">
        <w:rPr>
          <w:rFonts w:ascii="Bookman Old Style" w:hAnsi="Bookman Old Style" w:cs="Arial"/>
          <w:sz w:val="24"/>
          <w:szCs w:val="24"/>
          <w:lang w:val="id-ID"/>
        </w:rPr>
        <w:t>Peraturan</w:t>
      </w:r>
      <w:r w:rsidR="00A954D0">
        <w:rPr>
          <w:rFonts w:ascii="Bookman Old Style" w:hAnsi="Bookman Old Style" w:cs="Arial"/>
          <w:sz w:val="24"/>
          <w:szCs w:val="24"/>
          <w:lang w:val="id-ID"/>
        </w:rPr>
        <w:t xml:space="preserve"> </w:t>
      </w:r>
      <w:r w:rsidR="003F5DDA">
        <w:rPr>
          <w:rFonts w:ascii="Bookman Old Style" w:hAnsi="Bookman Old Style" w:cs="Arial"/>
          <w:sz w:val="24"/>
          <w:szCs w:val="24"/>
          <w:lang w:val="id-ID"/>
        </w:rPr>
        <w:t>Presiden</w:t>
      </w:r>
      <w:r w:rsidR="00A954D0">
        <w:rPr>
          <w:rFonts w:ascii="Bookman Old Style" w:hAnsi="Bookman Old Style" w:cs="Arial"/>
          <w:sz w:val="24"/>
          <w:szCs w:val="24"/>
          <w:lang w:val="id-ID"/>
        </w:rPr>
        <w:t xml:space="preserve"> </w:t>
      </w:r>
      <w:r w:rsidR="003F5DDA">
        <w:rPr>
          <w:rFonts w:ascii="Bookman Old Style" w:hAnsi="Bookman Old Style" w:cs="Arial"/>
          <w:sz w:val="24"/>
          <w:szCs w:val="24"/>
          <w:lang w:val="id-ID"/>
        </w:rPr>
        <w:t>Nomor</w:t>
      </w:r>
      <w:r w:rsidR="00A954D0">
        <w:rPr>
          <w:rFonts w:ascii="Bookman Old Style" w:hAnsi="Bookman Old Style" w:cs="Arial"/>
          <w:sz w:val="24"/>
          <w:szCs w:val="24"/>
          <w:lang w:val="id-ID"/>
        </w:rPr>
        <w:t xml:space="preserve"> </w:t>
      </w:r>
      <w:r w:rsidR="003F5DDA">
        <w:rPr>
          <w:rFonts w:ascii="Bookman Old Style" w:hAnsi="Bookman Old Style" w:cs="Arial"/>
          <w:sz w:val="24"/>
          <w:szCs w:val="24"/>
          <w:lang w:val="id-ID"/>
        </w:rPr>
        <w:t>201</w:t>
      </w:r>
      <w:r w:rsidR="00A954D0">
        <w:rPr>
          <w:rFonts w:ascii="Bookman Old Style" w:hAnsi="Bookman Old Style" w:cs="Arial"/>
          <w:sz w:val="24"/>
          <w:szCs w:val="24"/>
          <w:lang w:val="id-ID"/>
        </w:rPr>
        <w:t xml:space="preserve"> </w:t>
      </w:r>
      <w:r w:rsidR="003F5DDA">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003F5DDA">
        <w:rPr>
          <w:rFonts w:ascii="Bookman Old Style" w:hAnsi="Bookman Old Style" w:cs="Arial"/>
          <w:sz w:val="24"/>
          <w:szCs w:val="24"/>
          <w:lang w:val="id-ID"/>
        </w:rPr>
        <w:t>2024</w:t>
      </w:r>
      <w:r w:rsidR="00A954D0">
        <w:rPr>
          <w:rFonts w:ascii="Bookman Old Style" w:hAnsi="Bookman Old Style" w:cs="Arial"/>
          <w:sz w:val="24"/>
          <w:szCs w:val="24"/>
          <w:lang w:val="id-ID"/>
        </w:rPr>
        <w:t xml:space="preserve"> </w:t>
      </w:r>
      <w:r w:rsidR="003F5DDA">
        <w:rPr>
          <w:rFonts w:ascii="Bookman Old Style" w:hAnsi="Bookman Old Style" w:cs="Arial"/>
          <w:sz w:val="24"/>
          <w:szCs w:val="24"/>
          <w:lang w:val="id-ID"/>
        </w:rPr>
        <w:t>tentang</w:t>
      </w:r>
      <w:r w:rsidR="00A954D0">
        <w:rPr>
          <w:rFonts w:ascii="Bookman Old Style" w:hAnsi="Bookman Old Style" w:cs="Arial"/>
          <w:sz w:val="24"/>
          <w:szCs w:val="24"/>
          <w:lang w:val="id-ID"/>
        </w:rPr>
        <w:t xml:space="preserve"> </w:t>
      </w:r>
      <w:r w:rsidR="003F5DDA">
        <w:rPr>
          <w:rFonts w:ascii="Bookman Old Style" w:hAnsi="Bookman Old Style" w:cs="Arial"/>
          <w:sz w:val="24"/>
          <w:szCs w:val="24"/>
          <w:lang w:val="id-ID"/>
        </w:rPr>
        <w:t>Rincian</w:t>
      </w:r>
      <w:r w:rsidR="00A954D0">
        <w:rPr>
          <w:rFonts w:ascii="Bookman Old Style" w:hAnsi="Bookman Old Style" w:cs="Arial"/>
          <w:sz w:val="24"/>
          <w:szCs w:val="24"/>
          <w:lang w:val="id-ID"/>
        </w:rPr>
        <w:t xml:space="preserve"> </w:t>
      </w:r>
      <w:r w:rsidR="003F5DDA">
        <w:rPr>
          <w:rFonts w:ascii="Bookman Old Style" w:hAnsi="Bookman Old Style" w:cs="Arial"/>
          <w:sz w:val="24"/>
          <w:szCs w:val="24"/>
          <w:lang w:val="id-ID"/>
        </w:rPr>
        <w:t>Anggaran</w:t>
      </w:r>
      <w:r w:rsidR="00A954D0">
        <w:rPr>
          <w:rFonts w:ascii="Bookman Old Style" w:hAnsi="Bookman Old Style" w:cs="Arial"/>
          <w:sz w:val="24"/>
          <w:szCs w:val="24"/>
          <w:lang w:val="id-ID"/>
        </w:rPr>
        <w:t xml:space="preserve"> </w:t>
      </w:r>
      <w:r w:rsidR="003F5DDA">
        <w:rPr>
          <w:rFonts w:ascii="Bookman Old Style" w:hAnsi="Bookman Old Style" w:cs="Arial"/>
          <w:sz w:val="24"/>
          <w:szCs w:val="24"/>
          <w:lang w:val="id-ID"/>
        </w:rPr>
        <w:t>Pendapatan</w:t>
      </w:r>
      <w:r w:rsidR="00A954D0">
        <w:rPr>
          <w:rFonts w:ascii="Bookman Old Style" w:hAnsi="Bookman Old Style" w:cs="Arial"/>
          <w:sz w:val="24"/>
          <w:szCs w:val="24"/>
          <w:lang w:val="id-ID"/>
        </w:rPr>
        <w:t xml:space="preserve"> </w:t>
      </w:r>
      <w:r w:rsidR="003F5DDA">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003F5DDA">
        <w:rPr>
          <w:rFonts w:ascii="Bookman Old Style" w:hAnsi="Bookman Old Style" w:cs="Arial"/>
          <w:sz w:val="24"/>
          <w:szCs w:val="24"/>
          <w:lang w:val="id-ID"/>
        </w:rPr>
        <w:t>Belanja</w:t>
      </w:r>
      <w:r w:rsidR="00A954D0">
        <w:rPr>
          <w:rFonts w:ascii="Bookman Old Style" w:hAnsi="Bookman Old Style" w:cs="Arial"/>
          <w:sz w:val="24"/>
          <w:szCs w:val="24"/>
          <w:lang w:val="id-ID"/>
        </w:rPr>
        <w:t xml:space="preserve"> </w:t>
      </w:r>
      <w:r w:rsidR="003F5DDA">
        <w:rPr>
          <w:rFonts w:ascii="Bookman Old Style" w:hAnsi="Bookman Old Style" w:cs="Arial"/>
          <w:sz w:val="24"/>
          <w:szCs w:val="24"/>
          <w:lang w:val="id-ID"/>
        </w:rPr>
        <w:t>Negara</w:t>
      </w:r>
      <w:r w:rsidR="00A954D0">
        <w:rPr>
          <w:rFonts w:ascii="Bookman Old Style" w:hAnsi="Bookman Old Style" w:cs="Arial"/>
          <w:sz w:val="24"/>
          <w:szCs w:val="24"/>
          <w:lang w:val="id-ID"/>
        </w:rPr>
        <w:t xml:space="preserve"> </w:t>
      </w:r>
      <w:r w:rsidR="003F5DDA">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003F5DDA">
        <w:rPr>
          <w:rFonts w:ascii="Bookman Old Style" w:hAnsi="Bookman Old Style" w:cs="Arial"/>
          <w:sz w:val="24"/>
          <w:szCs w:val="24"/>
          <w:lang w:val="id-ID"/>
        </w:rPr>
        <w:t>Anggaran</w:t>
      </w:r>
      <w:r w:rsidR="00A954D0">
        <w:rPr>
          <w:rFonts w:ascii="Bookman Old Style" w:hAnsi="Bookman Old Style" w:cs="Arial"/>
          <w:sz w:val="24"/>
          <w:szCs w:val="24"/>
          <w:lang w:val="id-ID"/>
        </w:rPr>
        <w:t xml:space="preserve"> </w:t>
      </w:r>
      <w:r w:rsidR="003F5DDA">
        <w:rPr>
          <w:rFonts w:ascii="Bookman Old Style" w:hAnsi="Bookman Old Style" w:cs="Arial"/>
          <w:sz w:val="24"/>
          <w:szCs w:val="24"/>
          <w:lang w:val="id-ID"/>
        </w:rPr>
        <w:t>2025</w:t>
      </w:r>
      <w:r w:rsidRPr="0085724C">
        <w:rPr>
          <w:rFonts w:ascii="Bookman Old Style" w:hAnsi="Bookman Old Style" w:cs="Arial"/>
          <w:sz w:val="24"/>
          <w:szCs w:val="24"/>
          <w:lang w:val="id-ID"/>
        </w:rPr>
        <w:t>;</w:t>
      </w:r>
    </w:p>
    <w:p w14:paraId="7E16A811" w14:textId="0141215D" w:rsidR="006D52F0" w:rsidRPr="0085724C" w:rsidRDefault="006D52F0" w:rsidP="00B16310">
      <w:pPr>
        <w:pStyle w:val="ListParagraph"/>
        <w:numPr>
          <w:ilvl w:val="0"/>
          <w:numId w:val="80"/>
        </w:numPr>
        <w:spacing w:before="60" w:after="0" w:line="276" w:lineRule="auto"/>
        <w:ind w:left="2268" w:hanging="567"/>
        <w:contextualSpacing w:val="0"/>
        <w:jc w:val="both"/>
        <w:rPr>
          <w:rFonts w:ascii="Bookman Old Style" w:hAnsi="Bookman Old Style"/>
          <w:color w:val="000000" w:themeColor="text1"/>
          <w:sz w:val="24"/>
          <w:szCs w:val="24"/>
        </w:rPr>
      </w:pPr>
      <w:r w:rsidRPr="0085724C">
        <w:rPr>
          <w:rFonts w:ascii="Bookman Old Style" w:hAnsi="Bookman Old Style"/>
          <w:color w:val="000000" w:themeColor="text1"/>
          <w:sz w:val="24"/>
          <w:szCs w:val="24"/>
        </w:rPr>
        <w:lastRenderedPageBreak/>
        <w:t>Dana</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Alokasi</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Umum</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(DAU)</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Rp1.026.772.013.000,00</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yang</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diuraikan</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dalam</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rincian</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objek:</w:t>
      </w:r>
    </w:p>
    <w:p w14:paraId="463A9F8B" w14:textId="5C26ED65" w:rsidR="006D52F0" w:rsidRPr="0085724C" w:rsidRDefault="006D52F0" w:rsidP="00B16310">
      <w:pPr>
        <w:pStyle w:val="ListParagraph"/>
        <w:numPr>
          <w:ilvl w:val="1"/>
          <w:numId w:val="80"/>
        </w:numPr>
        <w:spacing w:before="60" w:line="276" w:lineRule="auto"/>
        <w:ind w:left="2694" w:hanging="426"/>
        <w:jc w:val="both"/>
        <w:rPr>
          <w:rFonts w:ascii="Bookman Old Style" w:hAnsi="Bookman Old Style"/>
          <w:color w:val="000000" w:themeColor="text1"/>
          <w:sz w:val="24"/>
          <w:szCs w:val="24"/>
        </w:rPr>
      </w:pPr>
      <w:r w:rsidRPr="0085724C">
        <w:rPr>
          <w:rFonts w:ascii="Bookman Old Style" w:hAnsi="Bookman Old Style"/>
          <w:color w:val="000000" w:themeColor="text1"/>
          <w:sz w:val="24"/>
          <w:szCs w:val="24"/>
        </w:rPr>
        <w:t>DAU</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yang</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Tidak</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Ditentukan</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Penggunaannya</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Rp842.716.139.000,00;</w:t>
      </w:r>
    </w:p>
    <w:p w14:paraId="52076BA4" w14:textId="7B29D666" w:rsidR="006D52F0" w:rsidRPr="0085724C" w:rsidRDefault="006D52F0" w:rsidP="00B16310">
      <w:pPr>
        <w:pStyle w:val="ListParagraph"/>
        <w:numPr>
          <w:ilvl w:val="1"/>
          <w:numId w:val="80"/>
        </w:numPr>
        <w:spacing w:before="60" w:line="276" w:lineRule="auto"/>
        <w:ind w:left="2694" w:hanging="426"/>
        <w:jc w:val="both"/>
        <w:rPr>
          <w:rFonts w:ascii="Bookman Old Style" w:hAnsi="Bookman Old Style"/>
          <w:color w:val="000000" w:themeColor="text1"/>
          <w:sz w:val="24"/>
          <w:szCs w:val="24"/>
        </w:rPr>
      </w:pPr>
      <w:r w:rsidRPr="0085724C">
        <w:rPr>
          <w:rFonts w:ascii="Bookman Old Style" w:hAnsi="Bookman Old Style"/>
          <w:color w:val="000000" w:themeColor="text1"/>
          <w:sz w:val="24"/>
          <w:szCs w:val="24"/>
        </w:rPr>
        <w:t>DAU</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yang</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Ditentukan</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Penggunaannya</w:t>
      </w:r>
      <w:r w:rsidR="00A954D0">
        <w:rPr>
          <w:rFonts w:ascii="Bookman Old Style" w:hAnsi="Bookman Old Style"/>
          <w:color w:val="000000" w:themeColor="text1"/>
          <w:sz w:val="24"/>
          <w:szCs w:val="24"/>
        </w:rPr>
        <w:t xml:space="preserve"> </w:t>
      </w:r>
      <w:r w:rsidR="00DB28A0" w:rsidRPr="00DB28A0">
        <w:rPr>
          <w:rFonts w:ascii="Bookman Old Style" w:hAnsi="Bookman Old Style"/>
          <w:color w:val="000000" w:themeColor="text1"/>
          <w:sz w:val="24"/>
          <w:szCs w:val="24"/>
        </w:rPr>
        <w:t>Rp184.055.874.000,00</w:t>
      </w:r>
      <w:r w:rsidRPr="0085724C">
        <w:rPr>
          <w:rFonts w:ascii="Bookman Old Style" w:hAnsi="Bookman Old Style"/>
          <w:color w:val="000000" w:themeColor="text1"/>
          <w:sz w:val="24"/>
          <w:szCs w:val="24"/>
        </w:rPr>
        <w:t>,</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yang</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diuraikan</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dalam:</w:t>
      </w:r>
    </w:p>
    <w:p w14:paraId="01B94BBF" w14:textId="6557F95C" w:rsidR="006D52F0" w:rsidRPr="0085724C" w:rsidRDefault="006D52F0" w:rsidP="00B16310">
      <w:pPr>
        <w:pStyle w:val="ListParagraph"/>
        <w:spacing w:before="60" w:line="276" w:lineRule="auto"/>
        <w:ind w:left="3261" w:hanging="567"/>
        <w:jc w:val="both"/>
        <w:rPr>
          <w:rFonts w:ascii="Bookman Old Style" w:hAnsi="Bookman Old Style"/>
          <w:color w:val="000000" w:themeColor="text1"/>
          <w:sz w:val="24"/>
          <w:szCs w:val="24"/>
        </w:rPr>
      </w:pPr>
      <w:r w:rsidRPr="0085724C">
        <w:rPr>
          <w:rFonts w:ascii="Bookman Old Style" w:hAnsi="Bookman Old Style"/>
          <w:color w:val="000000" w:themeColor="text1"/>
          <w:sz w:val="24"/>
          <w:szCs w:val="24"/>
        </w:rPr>
        <w:t>(1)</w:t>
      </w:r>
      <w:r w:rsidR="00B16310">
        <w:rPr>
          <w:rFonts w:ascii="Bookman Old Style" w:hAnsi="Bookman Old Style"/>
          <w:color w:val="000000" w:themeColor="text1"/>
          <w:sz w:val="24"/>
          <w:szCs w:val="24"/>
        </w:rPr>
        <w:tab/>
      </w:r>
      <w:r w:rsidRPr="0085724C">
        <w:rPr>
          <w:rFonts w:ascii="Bookman Old Style" w:hAnsi="Bookman Old Style"/>
          <w:color w:val="000000" w:themeColor="text1"/>
          <w:sz w:val="24"/>
          <w:szCs w:val="24"/>
        </w:rPr>
        <w:t>DAU</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Tambahan</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Dukungan</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Pendanaan</w:t>
      </w:r>
      <w:r w:rsidR="00B16310" w:rsidRPr="00B16310">
        <w:rPr>
          <w:rFonts w:ascii="Bookman Old Style" w:hAnsi="Bookman Old Style"/>
          <w:color w:val="000000" w:themeColor="text1"/>
          <w:sz w:val="24"/>
          <w:szCs w:val="24"/>
          <w:lang w:val="sv-FI"/>
        </w:rPr>
        <w:t xml:space="preserve"> </w:t>
      </w:r>
      <w:r w:rsidRPr="0085724C">
        <w:rPr>
          <w:rFonts w:ascii="Bookman Old Style" w:hAnsi="Bookman Old Style"/>
          <w:color w:val="000000" w:themeColor="text1"/>
          <w:sz w:val="24"/>
          <w:szCs w:val="24"/>
        </w:rPr>
        <w:t>Kelurahan</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Rp20.800.000.000,00;</w:t>
      </w:r>
    </w:p>
    <w:p w14:paraId="3C9B97B5" w14:textId="353F241B" w:rsidR="006D52F0" w:rsidRPr="0085724C" w:rsidRDefault="006D52F0" w:rsidP="00B16310">
      <w:pPr>
        <w:pStyle w:val="ListParagraph"/>
        <w:spacing w:before="60" w:line="276" w:lineRule="auto"/>
        <w:ind w:left="3261" w:hanging="567"/>
        <w:jc w:val="both"/>
        <w:rPr>
          <w:rFonts w:ascii="Bookman Old Style" w:hAnsi="Bookman Old Style"/>
          <w:color w:val="000000" w:themeColor="text1"/>
          <w:sz w:val="24"/>
          <w:szCs w:val="24"/>
        </w:rPr>
      </w:pPr>
      <w:r w:rsidRPr="0085724C">
        <w:rPr>
          <w:rFonts w:ascii="Bookman Old Style" w:hAnsi="Bookman Old Style"/>
          <w:color w:val="000000" w:themeColor="text1"/>
          <w:sz w:val="24"/>
          <w:szCs w:val="24"/>
        </w:rPr>
        <w:t>(2)</w:t>
      </w:r>
      <w:r w:rsidR="00B16310">
        <w:rPr>
          <w:rFonts w:ascii="Bookman Old Style" w:hAnsi="Bookman Old Style"/>
          <w:color w:val="000000" w:themeColor="text1"/>
          <w:sz w:val="24"/>
          <w:szCs w:val="24"/>
        </w:rPr>
        <w:tab/>
      </w:r>
      <w:r w:rsidRPr="0085724C">
        <w:rPr>
          <w:rFonts w:ascii="Bookman Old Style" w:hAnsi="Bookman Old Style"/>
          <w:color w:val="000000" w:themeColor="text1"/>
          <w:sz w:val="24"/>
          <w:szCs w:val="24"/>
        </w:rPr>
        <w:t>DAU</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Tambahan</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Dukungan</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Pendanaan</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atas</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Kebijakan</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Penggajian</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Pegawai</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Pemerintah</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dengan</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Perjanjian</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Kerja</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Rp96.382.333.000,00;</w:t>
      </w:r>
    </w:p>
    <w:p w14:paraId="3817D2DF" w14:textId="392675B8" w:rsidR="006D52F0" w:rsidRPr="0085724C" w:rsidRDefault="006D52F0" w:rsidP="00B16310">
      <w:pPr>
        <w:pStyle w:val="ListParagraph"/>
        <w:spacing w:before="60" w:line="276" w:lineRule="auto"/>
        <w:ind w:left="3261" w:hanging="567"/>
        <w:jc w:val="both"/>
        <w:rPr>
          <w:rFonts w:ascii="Bookman Old Style" w:hAnsi="Bookman Old Style"/>
          <w:color w:val="000000" w:themeColor="text1"/>
          <w:sz w:val="24"/>
          <w:szCs w:val="24"/>
        </w:rPr>
      </w:pPr>
      <w:r w:rsidRPr="0085724C">
        <w:rPr>
          <w:rFonts w:ascii="Bookman Old Style" w:hAnsi="Bookman Old Style"/>
          <w:color w:val="000000" w:themeColor="text1"/>
          <w:sz w:val="24"/>
          <w:szCs w:val="24"/>
        </w:rPr>
        <w:t>(3)</w:t>
      </w:r>
      <w:r w:rsidR="00B16310">
        <w:rPr>
          <w:rFonts w:ascii="Bookman Old Style" w:hAnsi="Bookman Old Style"/>
          <w:color w:val="000000" w:themeColor="text1"/>
          <w:sz w:val="24"/>
          <w:szCs w:val="24"/>
        </w:rPr>
        <w:tab/>
      </w:r>
      <w:r w:rsidRPr="0085724C">
        <w:rPr>
          <w:rFonts w:ascii="Bookman Old Style" w:hAnsi="Bookman Old Style"/>
          <w:color w:val="000000" w:themeColor="text1"/>
          <w:sz w:val="24"/>
          <w:szCs w:val="24"/>
        </w:rPr>
        <w:t>DAU</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yang</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Ditentukan</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Penggunaannya</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Bidang</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Pendidikan</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Rp39.311.909.000,00;</w:t>
      </w:r>
    </w:p>
    <w:p w14:paraId="050196DF" w14:textId="137EF6AD" w:rsidR="006D52F0" w:rsidRPr="0085724C" w:rsidRDefault="006D52F0" w:rsidP="00B16310">
      <w:pPr>
        <w:pStyle w:val="ListParagraph"/>
        <w:spacing w:before="60" w:line="276" w:lineRule="auto"/>
        <w:ind w:left="3261" w:hanging="567"/>
        <w:jc w:val="both"/>
        <w:rPr>
          <w:rFonts w:ascii="Bookman Old Style" w:hAnsi="Bookman Old Style"/>
          <w:color w:val="000000" w:themeColor="text1"/>
          <w:sz w:val="24"/>
          <w:szCs w:val="24"/>
        </w:rPr>
      </w:pPr>
      <w:r w:rsidRPr="0085724C">
        <w:rPr>
          <w:rFonts w:ascii="Bookman Old Style" w:hAnsi="Bookman Old Style"/>
          <w:color w:val="000000" w:themeColor="text1"/>
          <w:sz w:val="24"/>
          <w:szCs w:val="24"/>
        </w:rPr>
        <w:t>(4)</w:t>
      </w:r>
      <w:r w:rsidR="00A954D0">
        <w:rPr>
          <w:rFonts w:ascii="Bookman Old Style" w:hAnsi="Bookman Old Style"/>
          <w:color w:val="000000" w:themeColor="text1"/>
          <w:sz w:val="24"/>
          <w:szCs w:val="24"/>
        </w:rPr>
        <w:t xml:space="preserve"> </w:t>
      </w:r>
      <w:r w:rsidR="00B16310">
        <w:rPr>
          <w:rFonts w:ascii="Bookman Old Style" w:hAnsi="Bookman Old Style"/>
          <w:color w:val="000000" w:themeColor="text1"/>
          <w:sz w:val="24"/>
          <w:szCs w:val="24"/>
        </w:rPr>
        <w:tab/>
      </w:r>
      <w:r w:rsidRPr="0085724C">
        <w:rPr>
          <w:rFonts w:ascii="Bookman Old Style" w:hAnsi="Bookman Old Style"/>
          <w:color w:val="000000" w:themeColor="text1"/>
          <w:sz w:val="24"/>
          <w:szCs w:val="24"/>
        </w:rPr>
        <w:t>DAU</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yang</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Ditentukan</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Penggunaannya</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Bidang</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Kesehatan</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Rp25.540.622.000,00;</w:t>
      </w:r>
    </w:p>
    <w:p w14:paraId="2905A508" w14:textId="085B305B" w:rsidR="006D52F0" w:rsidRPr="00B16310" w:rsidRDefault="006D52F0" w:rsidP="00B16310">
      <w:pPr>
        <w:pStyle w:val="ListParagraph"/>
        <w:spacing w:before="60" w:line="276" w:lineRule="auto"/>
        <w:ind w:left="3261" w:hanging="567"/>
        <w:jc w:val="both"/>
        <w:rPr>
          <w:rFonts w:ascii="Bookman Old Style" w:hAnsi="Bookman Old Style"/>
          <w:color w:val="000000" w:themeColor="text1"/>
          <w:sz w:val="24"/>
          <w:szCs w:val="24"/>
          <w:lang w:val="sv-FI"/>
        </w:rPr>
      </w:pPr>
      <w:r w:rsidRPr="0085724C">
        <w:rPr>
          <w:rFonts w:ascii="Bookman Old Style" w:hAnsi="Bookman Old Style"/>
          <w:color w:val="000000" w:themeColor="text1"/>
          <w:sz w:val="24"/>
          <w:szCs w:val="24"/>
        </w:rPr>
        <w:t>(5)</w:t>
      </w:r>
      <w:r w:rsidR="00A954D0">
        <w:rPr>
          <w:rFonts w:ascii="Bookman Old Style" w:hAnsi="Bookman Old Style"/>
          <w:color w:val="000000" w:themeColor="text1"/>
          <w:sz w:val="24"/>
          <w:szCs w:val="24"/>
        </w:rPr>
        <w:t xml:space="preserve"> </w:t>
      </w:r>
      <w:r w:rsidR="00B16310">
        <w:rPr>
          <w:rFonts w:ascii="Bookman Old Style" w:hAnsi="Bookman Old Style"/>
          <w:color w:val="000000" w:themeColor="text1"/>
          <w:sz w:val="24"/>
          <w:szCs w:val="24"/>
        </w:rPr>
        <w:tab/>
      </w:r>
      <w:r w:rsidRPr="0085724C">
        <w:rPr>
          <w:rFonts w:ascii="Bookman Old Style" w:hAnsi="Bookman Old Style"/>
          <w:color w:val="000000" w:themeColor="text1"/>
          <w:sz w:val="24"/>
          <w:szCs w:val="24"/>
        </w:rPr>
        <w:t>DAU</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yang</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Ditentukan</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Penggunaannya</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Bidang</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Pekerjaan</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Umum</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Rp2.021.010.000,00</w:t>
      </w:r>
      <w:r w:rsidR="00B16310" w:rsidRPr="00B16310">
        <w:rPr>
          <w:rFonts w:ascii="Bookman Old Style" w:hAnsi="Bookman Old Style"/>
          <w:color w:val="000000" w:themeColor="text1"/>
          <w:sz w:val="24"/>
          <w:szCs w:val="24"/>
          <w:lang w:val="sv-FI"/>
        </w:rPr>
        <w:t>.</w:t>
      </w:r>
    </w:p>
    <w:p w14:paraId="5898EA56" w14:textId="5DF9A19F" w:rsidR="006D52F0" w:rsidRPr="0085724C" w:rsidRDefault="006D52F0" w:rsidP="00B16310">
      <w:pPr>
        <w:pStyle w:val="ListParagraph"/>
        <w:spacing w:before="60" w:after="0" w:line="276" w:lineRule="auto"/>
        <w:ind w:left="2268"/>
        <w:contextualSpacing w:val="0"/>
        <w:jc w:val="both"/>
        <w:rPr>
          <w:rFonts w:ascii="Bookman Old Style" w:hAnsi="Bookman Old Style"/>
          <w:color w:val="000000" w:themeColor="text1"/>
          <w:sz w:val="24"/>
          <w:szCs w:val="24"/>
        </w:rPr>
      </w:pPr>
      <w:r w:rsidRPr="0085724C">
        <w:rPr>
          <w:rFonts w:ascii="Bookman Old Style" w:hAnsi="Bookman Old Style"/>
          <w:color w:val="000000" w:themeColor="text1"/>
          <w:sz w:val="24"/>
          <w:szCs w:val="24"/>
        </w:rPr>
        <w:t>Hal</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ini</w:t>
      </w:r>
      <w:r w:rsidR="00A954D0">
        <w:rPr>
          <w:rFonts w:ascii="Bookman Old Style" w:hAnsi="Bookman Old Style"/>
          <w:color w:val="000000" w:themeColor="text1"/>
          <w:sz w:val="24"/>
          <w:szCs w:val="24"/>
        </w:rPr>
        <w:t xml:space="preserve"> </w:t>
      </w:r>
      <w:r w:rsidRPr="0085724C">
        <w:rPr>
          <w:rFonts w:ascii="Bookman Old Style" w:hAnsi="Bookman Old Style"/>
          <w:b/>
          <w:bCs/>
          <w:color w:val="000000" w:themeColor="text1"/>
          <w:sz w:val="24"/>
          <w:szCs w:val="24"/>
        </w:rPr>
        <w:t>sesuai</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dengan</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alokasi</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anggaran</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yang</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tercantum</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dalam</w:t>
      </w:r>
      <w:r w:rsidR="00A954D0">
        <w:rPr>
          <w:rFonts w:ascii="Bookman Old Style" w:hAnsi="Bookman Old Style"/>
          <w:color w:val="000000" w:themeColor="text1"/>
          <w:sz w:val="24"/>
          <w:szCs w:val="24"/>
        </w:rPr>
        <w:t xml:space="preserve"> </w:t>
      </w:r>
      <w:r w:rsidR="00381CB4">
        <w:rPr>
          <w:rFonts w:ascii="Bookman Old Style" w:hAnsi="Bookman Old Style" w:cs="Arial"/>
          <w:sz w:val="24"/>
          <w:szCs w:val="24"/>
          <w:lang w:val="id-ID"/>
        </w:rPr>
        <w:t>Peraturan</w:t>
      </w:r>
      <w:r w:rsidR="00A954D0">
        <w:rPr>
          <w:rFonts w:ascii="Bookman Old Style" w:hAnsi="Bookman Old Style" w:cs="Arial"/>
          <w:sz w:val="24"/>
          <w:szCs w:val="24"/>
          <w:lang w:val="id-ID"/>
        </w:rPr>
        <w:t xml:space="preserve"> </w:t>
      </w:r>
      <w:r w:rsidR="00381CB4">
        <w:rPr>
          <w:rFonts w:ascii="Bookman Old Style" w:hAnsi="Bookman Old Style" w:cs="Arial"/>
          <w:sz w:val="24"/>
          <w:szCs w:val="24"/>
          <w:lang w:val="id-ID"/>
        </w:rPr>
        <w:t>Presiden</w:t>
      </w:r>
      <w:r w:rsidR="00A954D0">
        <w:rPr>
          <w:rFonts w:ascii="Bookman Old Style" w:hAnsi="Bookman Old Style" w:cs="Arial"/>
          <w:sz w:val="24"/>
          <w:szCs w:val="24"/>
          <w:lang w:val="id-ID"/>
        </w:rPr>
        <w:t xml:space="preserve"> </w:t>
      </w:r>
      <w:r w:rsidR="00381CB4">
        <w:rPr>
          <w:rFonts w:ascii="Bookman Old Style" w:hAnsi="Bookman Old Style" w:cs="Arial"/>
          <w:sz w:val="24"/>
          <w:szCs w:val="24"/>
          <w:lang w:val="id-ID"/>
        </w:rPr>
        <w:t>Nomor</w:t>
      </w:r>
      <w:r w:rsidR="00A954D0">
        <w:rPr>
          <w:rFonts w:ascii="Bookman Old Style" w:hAnsi="Bookman Old Style" w:cs="Arial"/>
          <w:sz w:val="24"/>
          <w:szCs w:val="24"/>
          <w:lang w:val="id-ID"/>
        </w:rPr>
        <w:t xml:space="preserve"> </w:t>
      </w:r>
      <w:r w:rsidR="00381CB4">
        <w:rPr>
          <w:rFonts w:ascii="Bookman Old Style" w:hAnsi="Bookman Old Style" w:cs="Arial"/>
          <w:sz w:val="24"/>
          <w:szCs w:val="24"/>
          <w:lang w:val="id-ID"/>
        </w:rPr>
        <w:t>201</w:t>
      </w:r>
      <w:r w:rsidR="00A954D0">
        <w:rPr>
          <w:rFonts w:ascii="Bookman Old Style" w:hAnsi="Bookman Old Style" w:cs="Arial"/>
          <w:sz w:val="24"/>
          <w:szCs w:val="24"/>
          <w:lang w:val="id-ID"/>
        </w:rPr>
        <w:t xml:space="preserve"> </w:t>
      </w:r>
      <w:r w:rsidR="00381CB4">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00381CB4">
        <w:rPr>
          <w:rFonts w:ascii="Bookman Old Style" w:hAnsi="Bookman Old Style" w:cs="Arial"/>
          <w:sz w:val="24"/>
          <w:szCs w:val="24"/>
          <w:lang w:val="id-ID"/>
        </w:rPr>
        <w:t>2024</w:t>
      </w:r>
      <w:r w:rsidR="00A954D0">
        <w:rPr>
          <w:rFonts w:ascii="Bookman Old Style" w:hAnsi="Bookman Old Style" w:cs="Arial"/>
          <w:sz w:val="24"/>
          <w:szCs w:val="24"/>
          <w:lang w:val="id-ID"/>
        </w:rPr>
        <w:t xml:space="preserve"> </w:t>
      </w:r>
      <w:r w:rsidR="00381CB4">
        <w:rPr>
          <w:rFonts w:ascii="Bookman Old Style" w:hAnsi="Bookman Old Style" w:cs="Arial"/>
          <w:sz w:val="24"/>
          <w:szCs w:val="24"/>
          <w:lang w:val="id-ID"/>
        </w:rPr>
        <w:t>tentang</w:t>
      </w:r>
      <w:r w:rsidR="00A954D0">
        <w:rPr>
          <w:rFonts w:ascii="Bookman Old Style" w:hAnsi="Bookman Old Style" w:cs="Arial"/>
          <w:sz w:val="24"/>
          <w:szCs w:val="24"/>
          <w:lang w:val="id-ID"/>
        </w:rPr>
        <w:t xml:space="preserve"> </w:t>
      </w:r>
      <w:r w:rsidR="00381CB4">
        <w:rPr>
          <w:rFonts w:ascii="Bookman Old Style" w:hAnsi="Bookman Old Style" w:cs="Arial"/>
          <w:sz w:val="24"/>
          <w:szCs w:val="24"/>
          <w:lang w:val="id-ID"/>
        </w:rPr>
        <w:t>Rincian</w:t>
      </w:r>
      <w:r w:rsidR="00A954D0">
        <w:rPr>
          <w:rFonts w:ascii="Bookman Old Style" w:hAnsi="Bookman Old Style" w:cs="Arial"/>
          <w:sz w:val="24"/>
          <w:szCs w:val="24"/>
          <w:lang w:val="id-ID"/>
        </w:rPr>
        <w:t xml:space="preserve"> </w:t>
      </w:r>
      <w:r w:rsidR="00381CB4">
        <w:rPr>
          <w:rFonts w:ascii="Bookman Old Style" w:hAnsi="Bookman Old Style" w:cs="Arial"/>
          <w:sz w:val="24"/>
          <w:szCs w:val="24"/>
          <w:lang w:val="id-ID"/>
        </w:rPr>
        <w:t>Anggaran</w:t>
      </w:r>
      <w:r w:rsidR="00A954D0">
        <w:rPr>
          <w:rFonts w:ascii="Bookman Old Style" w:hAnsi="Bookman Old Style" w:cs="Arial"/>
          <w:sz w:val="24"/>
          <w:szCs w:val="24"/>
          <w:lang w:val="id-ID"/>
        </w:rPr>
        <w:t xml:space="preserve"> </w:t>
      </w:r>
      <w:r w:rsidR="00381CB4">
        <w:rPr>
          <w:rFonts w:ascii="Bookman Old Style" w:hAnsi="Bookman Old Style" w:cs="Arial"/>
          <w:sz w:val="24"/>
          <w:szCs w:val="24"/>
          <w:lang w:val="id-ID"/>
        </w:rPr>
        <w:t>Pendapatan</w:t>
      </w:r>
      <w:r w:rsidR="00A954D0">
        <w:rPr>
          <w:rFonts w:ascii="Bookman Old Style" w:hAnsi="Bookman Old Style" w:cs="Arial"/>
          <w:sz w:val="24"/>
          <w:szCs w:val="24"/>
          <w:lang w:val="id-ID"/>
        </w:rPr>
        <w:t xml:space="preserve"> </w:t>
      </w:r>
      <w:r w:rsidR="00381CB4">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00381CB4">
        <w:rPr>
          <w:rFonts w:ascii="Bookman Old Style" w:hAnsi="Bookman Old Style" w:cs="Arial"/>
          <w:sz w:val="24"/>
          <w:szCs w:val="24"/>
          <w:lang w:val="id-ID"/>
        </w:rPr>
        <w:t>Belanja</w:t>
      </w:r>
      <w:r w:rsidR="00A954D0">
        <w:rPr>
          <w:rFonts w:ascii="Bookman Old Style" w:hAnsi="Bookman Old Style" w:cs="Arial"/>
          <w:sz w:val="24"/>
          <w:szCs w:val="24"/>
          <w:lang w:val="id-ID"/>
        </w:rPr>
        <w:t xml:space="preserve"> </w:t>
      </w:r>
      <w:r w:rsidR="00381CB4">
        <w:rPr>
          <w:rFonts w:ascii="Bookman Old Style" w:hAnsi="Bookman Old Style" w:cs="Arial"/>
          <w:sz w:val="24"/>
          <w:szCs w:val="24"/>
          <w:lang w:val="id-ID"/>
        </w:rPr>
        <w:t>Negara</w:t>
      </w:r>
      <w:r w:rsidR="00A954D0">
        <w:rPr>
          <w:rFonts w:ascii="Bookman Old Style" w:hAnsi="Bookman Old Style" w:cs="Arial"/>
          <w:sz w:val="24"/>
          <w:szCs w:val="24"/>
          <w:lang w:val="id-ID"/>
        </w:rPr>
        <w:t xml:space="preserve"> </w:t>
      </w:r>
      <w:r w:rsidR="00381CB4">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00381CB4">
        <w:rPr>
          <w:rFonts w:ascii="Bookman Old Style" w:hAnsi="Bookman Old Style" w:cs="Arial"/>
          <w:sz w:val="24"/>
          <w:szCs w:val="24"/>
          <w:lang w:val="id-ID"/>
        </w:rPr>
        <w:t>Anggaran</w:t>
      </w:r>
      <w:r w:rsidR="00A954D0">
        <w:rPr>
          <w:rFonts w:ascii="Bookman Old Style" w:hAnsi="Bookman Old Style" w:cs="Arial"/>
          <w:sz w:val="24"/>
          <w:szCs w:val="24"/>
          <w:lang w:val="id-ID"/>
        </w:rPr>
        <w:t xml:space="preserve"> </w:t>
      </w:r>
      <w:r w:rsidR="00381CB4">
        <w:rPr>
          <w:rFonts w:ascii="Bookman Old Style" w:hAnsi="Bookman Old Style" w:cs="Arial"/>
          <w:sz w:val="24"/>
          <w:szCs w:val="24"/>
          <w:lang w:val="id-ID"/>
        </w:rPr>
        <w:t>2025</w:t>
      </w:r>
      <w:r w:rsidRPr="0085724C">
        <w:rPr>
          <w:rFonts w:ascii="Bookman Old Style" w:hAnsi="Bookman Old Style"/>
          <w:color w:val="000000" w:themeColor="text1"/>
          <w:sz w:val="24"/>
          <w:szCs w:val="24"/>
        </w:rPr>
        <w:t>;</w:t>
      </w:r>
    </w:p>
    <w:p w14:paraId="7D62DB8D" w14:textId="316E944F" w:rsidR="006D52F0" w:rsidRPr="0085724C" w:rsidRDefault="006D52F0" w:rsidP="00B16310">
      <w:pPr>
        <w:pStyle w:val="ListParagraph"/>
        <w:numPr>
          <w:ilvl w:val="0"/>
          <w:numId w:val="80"/>
        </w:numPr>
        <w:spacing w:before="60" w:after="0" w:line="276" w:lineRule="auto"/>
        <w:ind w:left="2268" w:hanging="567"/>
        <w:contextualSpacing w:val="0"/>
        <w:jc w:val="both"/>
        <w:rPr>
          <w:rFonts w:ascii="Bookman Old Style" w:hAnsi="Bookman Old Style"/>
          <w:color w:val="000000" w:themeColor="text1"/>
          <w:sz w:val="24"/>
          <w:szCs w:val="24"/>
        </w:rPr>
      </w:pPr>
      <w:r w:rsidRPr="0085724C">
        <w:rPr>
          <w:rFonts w:ascii="Bookman Old Style" w:hAnsi="Bookman Old Style"/>
          <w:color w:val="000000" w:themeColor="text1"/>
          <w:sz w:val="24"/>
          <w:szCs w:val="24"/>
        </w:rPr>
        <w:t>Dana</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Alokasi</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Khusus</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(DAK)</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Rp528.989.388.000,00</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yang</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diuraikan</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dalam</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rincian</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objek:</w:t>
      </w:r>
    </w:p>
    <w:p w14:paraId="548DA928" w14:textId="2457CDBA" w:rsidR="006D52F0" w:rsidRPr="0085724C" w:rsidRDefault="006D52F0" w:rsidP="00B16310">
      <w:pPr>
        <w:pStyle w:val="ListParagraph"/>
        <w:numPr>
          <w:ilvl w:val="0"/>
          <w:numId w:val="209"/>
        </w:numPr>
        <w:spacing w:before="60" w:after="0" w:line="276" w:lineRule="auto"/>
        <w:ind w:left="2694" w:hanging="426"/>
        <w:contextualSpacing w:val="0"/>
        <w:jc w:val="both"/>
        <w:rPr>
          <w:rFonts w:ascii="Bookman Old Style" w:hAnsi="Bookman Old Style"/>
          <w:color w:val="000000" w:themeColor="text1"/>
          <w:sz w:val="24"/>
          <w:szCs w:val="24"/>
        </w:rPr>
      </w:pPr>
      <w:r w:rsidRPr="0085724C">
        <w:rPr>
          <w:rFonts w:ascii="Bookman Old Style" w:hAnsi="Bookman Old Style"/>
          <w:color w:val="000000" w:themeColor="text1"/>
          <w:sz w:val="24"/>
          <w:szCs w:val="24"/>
        </w:rPr>
        <w:t>Dana</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Alokasi</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Khusus</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(DAK)</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Fisik</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Rp15.000.000.000,00</w:t>
      </w:r>
      <w:r w:rsidR="00A954D0">
        <w:rPr>
          <w:rFonts w:ascii="Bookman Old Style" w:hAnsi="Bookman Old Style"/>
          <w:color w:val="000000" w:themeColor="text1"/>
          <w:sz w:val="24"/>
          <w:szCs w:val="24"/>
        </w:rPr>
        <w:t xml:space="preserve"> </w:t>
      </w:r>
      <w:r w:rsidRPr="0085724C">
        <w:rPr>
          <w:rFonts w:ascii="Bookman Old Style" w:hAnsi="Bookman Old Style"/>
          <w:b/>
          <w:bCs/>
          <w:sz w:val="24"/>
          <w:szCs w:val="24"/>
        </w:rPr>
        <w:t>sesuai</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dengan</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alokasi</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anggaran</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yang</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tercantum</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dalam</w:t>
      </w:r>
      <w:r w:rsidR="00A954D0">
        <w:rPr>
          <w:rFonts w:ascii="Bookman Old Style" w:hAnsi="Bookman Old Style"/>
          <w:color w:val="000000" w:themeColor="text1"/>
          <w:sz w:val="24"/>
          <w:szCs w:val="24"/>
        </w:rPr>
        <w:t xml:space="preserve"> </w:t>
      </w:r>
      <w:r w:rsidR="009E2902">
        <w:rPr>
          <w:rFonts w:ascii="Bookman Old Style" w:hAnsi="Bookman Old Style" w:cs="Arial"/>
          <w:sz w:val="24"/>
          <w:szCs w:val="24"/>
          <w:lang w:val="id-ID"/>
        </w:rPr>
        <w:t>Peraturan</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Presiden</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Nomor</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201</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2024</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tentang</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Rincian</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Anggaran</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Pendapatan</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Belanja</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Negara</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Anggaran</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2025</w:t>
      </w:r>
      <w:r w:rsidRPr="0085724C">
        <w:rPr>
          <w:rFonts w:ascii="Bookman Old Style" w:hAnsi="Bookman Old Style" w:cs="Arial"/>
          <w:sz w:val="24"/>
          <w:szCs w:val="24"/>
          <w:lang w:val="id-ID"/>
        </w:rPr>
        <w:t>;</w:t>
      </w:r>
      <w:r w:rsidR="00A954D0">
        <w:rPr>
          <w:rFonts w:ascii="Bookman Old Style" w:hAnsi="Bookman Old Style"/>
          <w:color w:val="000000" w:themeColor="text1"/>
          <w:sz w:val="24"/>
          <w:szCs w:val="24"/>
        </w:rPr>
        <w:t xml:space="preserve"> </w:t>
      </w:r>
    </w:p>
    <w:p w14:paraId="599F43F6" w14:textId="39DFDF7C" w:rsidR="006D52F0" w:rsidRPr="0085724C" w:rsidRDefault="006D52F0" w:rsidP="00B16310">
      <w:pPr>
        <w:pStyle w:val="ListParagraph"/>
        <w:numPr>
          <w:ilvl w:val="0"/>
          <w:numId w:val="209"/>
        </w:numPr>
        <w:spacing w:before="60" w:after="0" w:line="276" w:lineRule="auto"/>
        <w:ind w:left="2694" w:hanging="426"/>
        <w:contextualSpacing w:val="0"/>
        <w:jc w:val="both"/>
        <w:rPr>
          <w:rFonts w:ascii="Bookman Old Style" w:hAnsi="Bookman Old Style"/>
          <w:color w:val="000000" w:themeColor="text1"/>
          <w:sz w:val="24"/>
          <w:szCs w:val="24"/>
        </w:rPr>
      </w:pPr>
      <w:r w:rsidRPr="0085724C">
        <w:rPr>
          <w:rFonts w:ascii="Bookman Old Style" w:hAnsi="Bookman Old Style"/>
          <w:color w:val="000000" w:themeColor="text1"/>
          <w:sz w:val="24"/>
          <w:szCs w:val="24"/>
        </w:rPr>
        <w:t>Dana</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Alokasi</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Khusus</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(DAK)</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Non</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Fisik</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Rp513.989.388.000,00</w:t>
      </w:r>
      <w:r w:rsidR="00A954D0">
        <w:rPr>
          <w:rFonts w:ascii="Bookman Old Style" w:hAnsi="Bookman Old Style"/>
          <w:color w:val="000000" w:themeColor="text1"/>
          <w:sz w:val="24"/>
          <w:szCs w:val="24"/>
        </w:rPr>
        <w:t xml:space="preserve"> </w:t>
      </w:r>
      <w:r w:rsidRPr="0085724C">
        <w:rPr>
          <w:rFonts w:ascii="Bookman Old Style" w:hAnsi="Bookman Old Style"/>
          <w:b/>
          <w:bCs/>
          <w:sz w:val="24"/>
          <w:szCs w:val="24"/>
        </w:rPr>
        <w:t>sesuai</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dengan</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alokasi</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anggaran</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yang</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tercantum</w:t>
      </w:r>
      <w:r w:rsidR="00A954D0">
        <w:rPr>
          <w:rFonts w:ascii="Bookman Old Style" w:hAnsi="Bookman Old Style"/>
          <w:color w:val="000000" w:themeColor="text1"/>
          <w:sz w:val="24"/>
          <w:szCs w:val="24"/>
        </w:rPr>
        <w:t xml:space="preserve"> </w:t>
      </w:r>
      <w:r w:rsidRPr="0085724C">
        <w:rPr>
          <w:rFonts w:ascii="Bookman Old Style" w:hAnsi="Bookman Old Style"/>
          <w:color w:val="000000" w:themeColor="text1"/>
          <w:sz w:val="24"/>
          <w:szCs w:val="24"/>
        </w:rPr>
        <w:t>dalam</w:t>
      </w:r>
      <w:r w:rsidR="00A954D0">
        <w:rPr>
          <w:rFonts w:ascii="Bookman Old Style" w:hAnsi="Bookman Old Style"/>
          <w:color w:val="000000" w:themeColor="text1"/>
          <w:sz w:val="24"/>
          <w:szCs w:val="24"/>
        </w:rPr>
        <w:t xml:space="preserve"> </w:t>
      </w:r>
      <w:r w:rsidR="009E2902">
        <w:rPr>
          <w:rFonts w:ascii="Bookman Old Style" w:hAnsi="Bookman Old Style" w:cs="Arial"/>
          <w:sz w:val="24"/>
          <w:szCs w:val="24"/>
          <w:lang w:val="id-ID"/>
        </w:rPr>
        <w:t>Peraturan</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Presiden</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Nomor</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201</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2024</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tentang</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Rincian</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Anggaran</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Pendapatan</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Belanja</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Negara</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Anggaran</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2025</w:t>
      </w:r>
      <w:r w:rsidRPr="0085724C">
        <w:rPr>
          <w:rFonts w:ascii="Bookman Old Style" w:hAnsi="Bookman Old Style"/>
          <w:color w:val="000000" w:themeColor="text1"/>
          <w:sz w:val="24"/>
          <w:szCs w:val="24"/>
          <w:lang w:val="id-ID"/>
        </w:rPr>
        <w:t>.</w:t>
      </w:r>
    </w:p>
    <w:p w14:paraId="7A9EA37F" w14:textId="06B00792" w:rsidR="00EF7C10" w:rsidRDefault="00EF7C10" w:rsidP="00287B23">
      <w:pPr>
        <w:pStyle w:val="ListParagraph"/>
        <w:numPr>
          <w:ilvl w:val="0"/>
          <w:numId w:val="80"/>
        </w:numPr>
        <w:spacing w:before="120" w:after="0" w:line="276" w:lineRule="auto"/>
        <w:ind w:left="2268" w:hanging="567"/>
        <w:contextualSpacing w:val="0"/>
        <w:jc w:val="both"/>
        <w:rPr>
          <w:rFonts w:ascii="Bookman Old Style" w:hAnsi="Bookman Old Style" w:cs="Arial"/>
          <w:sz w:val="24"/>
          <w:szCs w:val="24"/>
        </w:rPr>
      </w:pPr>
      <w:r w:rsidRPr="003255BC">
        <w:rPr>
          <w:rFonts w:ascii="Bookman Old Style" w:hAnsi="Bookman Old Style" w:cs="Arial"/>
          <w:sz w:val="24"/>
          <w:szCs w:val="24"/>
          <w:lang w:val="sv-FI"/>
        </w:rPr>
        <w:t>Pendapatan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Insentif</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Fiskal</w:t>
      </w:r>
      <w:r w:rsidR="00A954D0" w:rsidRPr="003255BC">
        <w:rPr>
          <w:rFonts w:ascii="Bookman Old Style" w:hAnsi="Bookman Old Style" w:cs="Arial"/>
          <w:sz w:val="24"/>
          <w:szCs w:val="24"/>
          <w:lang w:val="sv-FI"/>
        </w:rPr>
        <w:t xml:space="preserve"> </w:t>
      </w:r>
      <w:r w:rsidR="00A843F5" w:rsidRPr="003255BC">
        <w:rPr>
          <w:rFonts w:ascii="Bookman Old Style" w:hAnsi="Bookman Old Style" w:cs="Arial"/>
          <w:sz w:val="24"/>
          <w:szCs w:val="24"/>
          <w:lang w:val="sv-FI"/>
        </w:rPr>
        <w:t>Rp7.136.621.000,00</w:t>
      </w:r>
      <w:r w:rsidR="00A954D0" w:rsidRPr="003255BC">
        <w:rPr>
          <w:rFonts w:ascii="Bookman Old Style" w:hAnsi="Bookman Old Style" w:cs="Arial"/>
          <w:sz w:val="24"/>
          <w:szCs w:val="24"/>
          <w:lang w:val="sv-FI"/>
        </w:rPr>
        <w:t xml:space="preserve"> </w:t>
      </w:r>
      <w:r w:rsidRPr="003255BC">
        <w:rPr>
          <w:rFonts w:ascii="Bookman Old Style" w:hAnsi="Bookman Old Style" w:cs="Arial"/>
          <w:b/>
          <w:bCs/>
          <w:sz w:val="24"/>
          <w:szCs w:val="24"/>
          <w:lang w:val="sv-FI"/>
        </w:rPr>
        <w:t>sesuai</w:t>
      </w:r>
      <w:r w:rsidR="00A954D0" w:rsidRPr="003255BC">
        <w:rPr>
          <w:rFonts w:ascii="Bookman Old Style" w:hAnsi="Bookman Old Style" w:cs="Arial"/>
          <w:b/>
          <w:bCs/>
          <w:sz w:val="24"/>
          <w:szCs w:val="24"/>
          <w:lang w:val="sv-FI"/>
        </w:rPr>
        <w:t xml:space="preserve"> </w:t>
      </w:r>
      <w:r w:rsidRPr="003255BC">
        <w:rPr>
          <w:rFonts w:ascii="Bookman Old Style" w:hAnsi="Bookman Old Style" w:cs="Arial"/>
          <w:sz w:val="24"/>
          <w:szCs w:val="24"/>
          <w:lang w:val="sv-FI"/>
        </w:rPr>
        <w:t>dengan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alokasi</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anggaran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yang</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tercantum</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dalam</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Peraturan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Presiden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Nomor</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201</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Tahun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2024</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tentang</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Rincian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Anggaran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Pendapatan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dan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Belanja</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Negara</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Tahun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Anggaran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2025.</w:t>
      </w:r>
    </w:p>
    <w:p w14:paraId="4DFF2BCD" w14:textId="56AD8251" w:rsidR="006D52F0" w:rsidRPr="0085724C" w:rsidRDefault="006D52F0" w:rsidP="006D52F0">
      <w:pPr>
        <w:pStyle w:val="ListParagraph"/>
        <w:spacing w:before="60" w:line="276" w:lineRule="auto"/>
        <w:ind w:left="1701"/>
        <w:jc w:val="both"/>
        <w:rPr>
          <w:rFonts w:ascii="Bookman Old Style" w:hAnsi="Bookman Old Style" w:cs="Arial"/>
          <w:sz w:val="24"/>
          <w:szCs w:val="24"/>
        </w:rPr>
      </w:pPr>
      <w:r w:rsidRPr="0085724C">
        <w:rPr>
          <w:rFonts w:ascii="Bookman Old Style" w:hAnsi="Bookman Old Style" w:cs="Arial"/>
          <w:sz w:val="24"/>
          <w:szCs w:val="24"/>
        </w:rPr>
        <w:t>Dianggarkan</w:t>
      </w:r>
      <w:r w:rsidR="00A954D0">
        <w:rPr>
          <w:rFonts w:ascii="Bookman Old Style" w:hAnsi="Bookman Old Style" w:cs="Arial"/>
          <w:sz w:val="24"/>
          <w:szCs w:val="24"/>
        </w:rPr>
        <w:t xml:space="preserve"> </w:t>
      </w:r>
      <w:r w:rsidRPr="0085724C">
        <w:rPr>
          <w:rFonts w:ascii="Bookman Old Style" w:hAnsi="Bookman Old Style" w:cs="Arial"/>
          <w:sz w:val="24"/>
          <w:szCs w:val="24"/>
        </w:rPr>
        <w:t>dalam</w:t>
      </w:r>
      <w:r w:rsidR="00A954D0">
        <w:rPr>
          <w:rFonts w:ascii="Bookman Old Style" w:hAnsi="Bookman Old Style" w:cs="Arial"/>
          <w:sz w:val="24"/>
          <w:szCs w:val="24"/>
        </w:rPr>
        <w:t xml:space="preserve"> </w:t>
      </w:r>
      <w:r w:rsidRPr="0085724C">
        <w:rPr>
          <w:rFonts w:ascii="Bookman Old Style" w:hAnsi="Bookman Old Style" w:cs="Arial"/>
          <w:sz w:val="24"/>
          <w:szCs w:val="24"/>
        </w:rPr>
        <w:t>Rancangan</w:t>
      </w:r>
      <w:r w:rsidR="00A954D0">
        <w:rPr>
          <w:rFonts w:ascii="Bookman Old Style" w:hAnsi="Bookman Old Style" w:cs="Arial"/>
          <w:sz w:val="24"/>
          <w:szCs w:val="24"/>
        </w:rPr>
        <w:t xml:space="preserve"> </w:t>
      </w:r>
      <w:r w:rsidRPr="0085724C">
        <w:rPr>
          <w:rFonts w:ascii="Bookman Old Style" w:hAnsi="Bookman Old Style" w:cs="Arial"/>
          <w:sz w:val="24"/>
          <w:szCs w:val="24"/>
        </w:rPr>
        <w:t>Peraturan</w:t>
      </w:r>
      <w:r w:rsidR="00A954D0">
        <w:rPr>
          <w:rFonts w:ascii="Bookman Old Style" w:hAnsi="Bookman Old Style" w:cs="Arial"/>
          <w:sz w:val="24"/>
          <w:szCs w:val="24"/>
        </w:rPr>
        <w:t xml:space="preserve"> </w:t>
      </w:r>
      <w:r w:rsidRPr="0085724C">
        <w:rPr>
          <w:rFonts w:ascii="Bookman Old Style" w:hAnsi="Bookman Old Style" w:cs="Arial"/>
          <w:sz w:val="24"/>
          <w:szCs w:val="24"/>
        </w:rPr>
        <w:t>Daerah</w:t>
      </w:r>
      <w:r w:rsidR="00A954D0">
        <w:rPr>
          <w:rFonts w:ascii="Bookman Old Style" w:hAnsi="Bookman Old Style" w:cs="Arial"/>
          <w:sz w:val="24"/>
          <w:szCs w:val="24"/>
        </w:rPr>
        <w:t xml:space="preserve"> </w:t>
      </w:r>
      <w:r w:rsidRPr="0085724C">
        <w:rPr>
          <w:rFonts w:ascii="Bookman Old Style" w:hAnsi="Bookman Old Style" w:cs="Arial"/>
          <w:sz w:val="24"/>
          <w:szCs w:val="24"/>
        </w:rPr>
        <w:t>Kota</w:t>
      </w:r>
      <w:r w:rsidR="00A954D0">
        <w:rPr>
          <w:rFonts w:ascii="Bookman Old Style" w:hAnsi="Bookman Old Style" w:cs="Arial"/>
          <w:sz w:val="24"/>
          <w:szCs w:val="24"/>
        </w:rPr>
        <w:t xml:space="preserve"> </w:t>
      </w:r>
      <w:r w:rsidRPr="0085724C">
        <w:rPr>
          <w:rFonts w:ascii="Bookman Old Style" w:hAnsi="Bookman Old Style" w:cs="Arial"/>
          <w:sz w:val="24"/>
          <w:szCs w:val="24"/>
        </w:rPr>
        <w:t>Tangerang</w:t>
      </w:r>
      <w:r w:rsidR="00A954D0">
        <w:rPr>
          <w:rFonts w:ascii="Bookman Old Style" w:hAnsi="Bookman Old Style" w:cs="Arial"/>
          <w:sz w:val="24"/>
          <w:szCs w:val="24"/>
        </w:rPr>
        <w:t xml:space="preserve"> </w:t>
      </w:r>
      <w:r w:rsidRPr="0085724C">
        <w:rPr>
          <w:rFonts w:ascii="Bookman Old Style" w:hAnsi="Bookman Old Style" w:cs="Arial"/>
          <w:sz w:val="24"/>
          <w:szCs w:val="24"/>
        </w:rPr>
        <w:t>tentang</w:t>
      </w:r>
      <w:r w:rsidR="00A954D0">
        <w:rPr>
          <w:rFonts w:ascii="Bookman Old Style" w:hAnsi="Bookman Old Style" w:cs="Arial"/>
          <w:sz w:val="24"/>
          <w:szCs w:val="24"/>
        </w:rPr>
        <w:t xml:space="preserve"> </w:t>
      </w:r>
      <w:r w:rsidRPr="0085724C">
        <w:rPr>
          <w:rFonts w:ascii="Bookman Old Style" w:hAnsi="Bookman Old Style" w:cs="Arial"/>
          <w:sz w:val="24"/>
          <w:szCs w:val="24"/>
        </w:rPr>
        <w:t>APBD</w:t>
      </w:r>
      <w:r w:rsidR="00A954D0">
        <w:rPr>
          <w:rFonts w:ascii="Bookman Old Style" w:hAnsi="Bookman Old Style" w:cs="Arial"/>
          <w:sz w:val="24"/>
          <w:szCs w:val="24"/>
        </w:rPr>
        <w:t xml:space="preserve"> </w:t>
      </w:r>
      <w:r w:rsidRPr="0085724C">
        <w:rPr>
          <w:rFonts w:ascii="Bookman Old Style" w:hAnsi="Bookman Old Style" w:cs="Arial"/>
          <w:sz w:val="24"/>
          <w:szCs w:val="24"/>
        </w:rPr>
        <w:t>Tahun</w:t>
      </w:r>
      <w:r w:rsidR="00A954D0">
        <w:rPr>
          <w:rFonts w:ascii="Bookman Old Style" w:hAnsi="Bookman Old Style" w:cs="Arial"/>
          <w:sz w:val="24"/>
          <w:szCs w:val="24"/>
        </w:rPr>
        <w:t xml:space="preserve"> </w:t>
      </w:r>
      <w:r w:rsidRPr="0085724C">
        <w:rPr>
          <w:rFonts w:ascii="Bookman Old Style" w:hAnsi="Bookman Old Style" w:cs="Arial"/>
          <w:sz w:val="24"/>
          <w:szCs w:val="24"/>
        </w:rPr>
        <w:t>Anggaran</w:t>
      </w:r>
      <w:r w:rsidR="00A954D0">
        <w:rPr>
          <w:rFonts w:ascii="Bookman Old Style" w:hAnsi="Bookman Old Style" w:cs="Arial"/>
          <w:sz w:val="24"/>
          <w:szCs w:val="24"/>
        </w:rPr>
        <w:t xml:space="preserve"> </w:t>
      </w:r>
      <w:r w:rsidRPr="0085724C">
        <w:rPr>
          <w:rFonts w:ascii="Bookman Old Style" w:hAnsi="Bookman Old Style" w:cs="Arial"/>
          <w:sz w:val="24"/>
          <w:szCs w:val="24"/>
        </w:rPr>
        <w:t>2025</w:t>
      </w:r>
      <w:r w:rsidR="00A954D0">
        <w:rPr>
          <w:rFonts w:ascii="Bookman Old Style" w:hAnsi="Bookman Old Style" w:cs="Arial"/>
          <w:sz w:val="24"/>
          <w:szCs w:val="24"/>
        </w:rPr>
        <w:t xml:space="preserve"> </w:t>
      </w:r>
      <w:r w:rsidRPr="0085724C">
        <w:rPr>
          <w:rFonts w:ascii="Bookman Old Style" w:hAnsi="Bookman Old Style" w:cs="Arial"/>
          <w:sz w:val="24"/>
          <w:szCs w:val="24"/>
        </w:rPr>
        <w:t>dan</w:t>
      </w:r>
      <w:r w:rsidR="00A954D0">
        <w:rPr>
          <w:rFonts w:ascii="Bookman Old Style" w:hAnsi="Bookman Old Style" w:cs="Arial"/>
          <w:sz w:val="24"/>
          <w:szCs w:val="24"/>
        </w:rPr>
        <w:t xml:space="preserve"> </w:t>
      </w:r>
      <w:r w:rsidRPr="0085724C">
        <w:rPr>
          <w:rFonts w:ascii="Bookman Old Style" w:hAnsi="Bookman Old Style" w:cs="Arial"/>
          <w:sz w:val="24"/>
          <w:szCs w:val="24"/>
        </w:rPr>
        <w:t>disesuaikan</w:t>
      </w:r>
      <w:r w:rsidR="00A954D0">
        <w:rPr>
          <w:rFonts w:ascii="Bookman Old Style" w:hAnsi="Bookman Old Style" w:cs="Arial"/>
          <w:sz w:val="24"/>
          <w:szCs w:val="24"/>
        </w:rPr>
        <w:t xml:space="preserve"> </w:t>
      </w:r>
      <w:r w:rsidRPr="0085724C">
        <w:rPr>
          <w:rFonts w:ascii="Bookman Old Style" w:hAnsi="Bookman Old Style" w:cs="Arial"/>
          <w:sz w:val="24"/>
          <w:szCs w:val="24"/>
        </w:rPr>
        <w:t>dengan</w:t>
      </w:r>
      <w:r w:rsidR="00A954D0">
        <w:rPr>
          <w:rFonts w:ascii="Bookman Old Style" w:hAnsi="Bookman Old Style" w:cs="Arial"/>
          <w:sz w:val="24"/>
          <w:szCs w:val="24"/>
        </w:rPr>
        <w:t xml:space="preserve"> </w:t>
      </w:r>
      <w:r w:rsidRPr="0085724C">
        <w:rPr>
          <w:rFonts w:ascii="Bookman Old Style" w:hAnsi="Bookman Old Style" w:cs="Arial"/>
          <w:sz w:val="24"/>
          <w:szCs w:val="24"/>
        </w:rPr>
        <w:t>jumlah</w:t>
      </w:r>
      <w:r w:rsidR="00A954D0">
        <w:rPr>
          <w:rFonts w:ascii="Bookman Old Style" w:hAnsi="Bookman Old Style" w:cs="Arial"/>
          <w:sz w:val="24"/>
          <w:szCs w:val="24"/>
        </w:rPr>
        <w:t xml:space="preserve"> </w:t>
      </w:r>
      <w:r w:rsidRPr="0085724C">
        <w:rPr>
          <w:rFonts w:ascii="Bookman Old Style" w:hAnsi="Bookman Old Style" w:cs="Arial"/>
          <w:sz w:val="24"/>
          <w:szCs w:val="24"/>
        </w:rPr>
        <w:t>alokasi</w:t>
      </w:r>
      <w:r w:rsidR="00A954D0">
        <w:rPr>
          <w:rFonts w:ascii="Bookman Old Style" w:hAnsi="Bookman Old Style" w:cs="Arial"/>
          <w:sz w:val="24"/>
          <w:szCs w:val="24"/>
        </w:rPr>
        <w:t xml:space="preserve"> </w:t>
      </w:r>
      <w:r w:rsidRPr="0085724C">
        <w:rPr>
          <w:rFonts w:ascii="Bookman Old Style" w:hAnsi="Bookman Old Style" w:cs="Arial"/>
          <w:sz w:val="24"/>
          <w:szCs w:val="24"/>
        </w:rPr>
        <w:t>anggaran</w:t>
      </w:r>
      <w:r w:rsidR="00A954D0">
        <w:rPr>
          <w:rFonts w:ascii="Bookman Old Style" w:hAnsi="Bookman Old Style" w:cs="Arial"/>
          <w:sz w:val="24"/>
          <w:szCs w:val="24"/>
        </w:rPr>
        <w:t xml:space="preserve"> </w:t>
      </w:r>
      <w:r w:rsidRPr="0085724C">
        <w:rPr>
          <w:rFonts w:ascii="Bookman Old Style" w:hAnsi="Bookman Old Style" w:cs="Arial"/>
          <w:sz w:val="24"/>
          <w:szCs w:val="24"/>
        </w:rPr>
        <w:t>yang</w:t>
      </w:r>
      <w:r w:rsidR="00A954D0">
        <w:rPr>
          <w:rFonts w:ascii="Bookman Old Style" w:hAnsi="Bookman Old Style" w:cs="Arial"/>
          <w:sz w:val="24"/>
          <w:szCs w:val="24"/>
        </w:rPr>
        <w:t xml:space="preserve"> </w:t>
      </w:r>
      <w:r w:rsidRPr="0085724C">
        <w:rPr>
          <w:rFonts w:ascii="Bookman Old Style" w:hAnsi="Bookman Old Style" w:cs="Arial"/>
          <w:sz w:val="24"/>
          <w:szCs w:val="24"/>
        </w:rPr>
        <w:t>tercantum</w:t>
      </w:r>
      <w:r w:rsidR="00A954D0">
        <w:rPr>
          <w:rFonts w:ascii="Bookman Old Style" w:hAnsi="Bookman Old Style" w:cs="Arial"/>
          <w:sz w:val="24"/>
          <w:szCs w:val="24"/>
        </w:rPr>
        <w:t xml:space="preserve"> </w:t>
      </w:r>
      <w:r w:rsidRPr="0085724C">
        <w:rPr>
          <w:rFonts w:ascii="Bookman Old Style" w:hAnsi="Bookman Old Style" w:cs="Arial"/>
          <w:sz w:val="24"/>
          <w:szCs w:val="24"/>
        </w:rPr>
        <w:t>dalam</w:t>
      </w:r>
      <w:r w:rsidR="00A954D0">
        <w:rPr>
          <w:rFonts w:ascii="Bookman Old Style" w:hAnsi="Bookman Old Style" w:cs="Arial"/>
          <w:sz w:val="24"/>
          <w:szCs w:val="24"/>
        </w:rPr>
        <w:t xml:space="preserve"> </w:t>
      </w:r>
      <w:r w:rsidR="009E2902">
        <w:rPr>
          <w:rFonts w:ascii="Bookman Old Style" w:hAnsi="Bookman Old Style" w:cs="Arial"/>
          <w:sz w:val="24"/>
          <w:szCs w:val="24"/>
          <w:lang w:val="id-ID"/>
        </w:rPr>
        <w:t>Peraturan</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Presiden</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Nomor</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201</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2024</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tentang</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Rincian</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Anggaran</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Pendapatan</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Belanja</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lastRenderedPageBreak/>
        <w:t>Negara</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Anggaran</w:t>
      </w:r>
      <w:r w:rsidR="00A954D0">
        <w:rPr>
          <w:rFonts w:ascii="Bookman Old Style" w:hAnsi="Bookman Old Style" w:cs="Arial"/>
          <w:sz w:val="24"/>
          <w:szCs w:val="24"/>
          <w:lang w:val="id-ID"/>
        </w:rPr>
        <w:t xml:space="preserve"> </w:t>
      </w:r>
      <w:r w:rsidR="009E2902">
        <w:rPr>
          <w:rFonts w:ascii="Bookman Old Style" w:hAnsi="Bookman Old Style" w:cs="Arial"/>
          <w:sz w:val="24"/>
          <w:szCs w:val="24"/>
          <w:lang w:val="id-ID"/>
        </w:rPr>
        <w:t>2025</w:t>
      </w:r>
      <w:r w:rsidR="00A954D0">
        <w:rPr>
          <w:rFonts w:ascii="Bookman Old Style" w:hAnsi="Bookman Old Style" w:cs="Arial"/>
          <w:sz w:val="24"/>
          <w:szCs w:val="24"/>
        </w:rPr>
        <w:t xml:space="preserve"> </w:t>
      </w:r>
      <w:r w:rsidRPr="0085724C">
        <w:rPr>
          <w:rFonts w:ascii="Bookman Old Style" w:hAnsi="Bookman Old Style" w:cs="Arial"/>
          <w:sz w:val="24"/>
          <w:szCs w:val="24"/>
        </w:rPr>
        <w:t>dan</w:t>
      </w:r>
      <w:r w:rsidR="00A954D0">
        <w:rPr>
          <w:rFonts w:ascii="Bookman Old Style" w:hAnsi="Bookman Old Style" w:cs="Arial"/>
          <w:sz w:val="24"/>
          <w:szCs w:val="24"/>
        </w:rPr>
        <w:t xml:space="preserve"> </w:t>
      </w:r>
      <w:r w:rsidRPr="0085724C">
        <w:rPr>
          <w:rFonts w:ascii="Bookman Old Style" w:hAnsi="Bookman Old Style" w:cs="Arial"/>
          <w:sz w:val="24"/>
          <w:szCs w:val="24"/>
        </w:rPr>
        <w:t>butir</w:t>
      </w:r>
      <w:r w:rsidR="00A954D0">
        <w:rPr>
          <w:rFonts w:ascii="Bookman Old Style" w:hAnsi="Bookman Old Style" w:cs="Arial"/>
          <w:sz w:val="24"/>
          <w:szCs w:val="24"/>
        </w:rPr>
        <w:t xml:space="preserve"> </w:t>
      </w:r>
      <w:r w:rsidRPr="0085724C">
        <w:rPr>
          <w:rFonts w:ascii="Bookman Old Style" w:hAnsi="Bookman Old Style" w:cs="Arial"/>
          <w:sz w:val="24"/>
          <w:szCs w:val="24"/>
        </w:rPr>
        <w:t>3.3.2.1.c</w:t>
      </w:r>
      <w:r w:rsidR="00A954D0">
        <w:rPr>
          <w:rFonts w:ascii="Bookman Old Style" w:hAnsi="Bookman Old Style" w:cs="Arial"/>
          <w:sz w:val="24"/>
          <w:szCs w:val="24"/>
        </w:rPr>
        <w:t xml:space="preserve"> </w:t>
      </w:r>
      <w:r w:rsidRPr="0085724C">
        <w:rPr>
          <w:rFonts w:ascii="Bookman Old Style" w:hAnsi="Bookman Old Style" w:cs="Arial"/>
          <w:sz w:val="24"/>
          <w:szCs w:val="24"/>
        </w:rPr>
        <w:t>Lampiran</w:t>
      </w:r>
      <w:r w:rsidR="00A954D0">
        <w:rPr>
          <w:rFonts w:ascii="Bookman Old Style" w:hAnsi="Bookman Old Style" w:cs="Arial"/>
          <w:sz w:val="24"/>
          <w:szCs w:val="24"/>
        </w:rPr>
        <w:t xml:space="preserve"> </w:t>
      </w:r>
      <w:r w:rsidRPr="0085724C">
        <w:rPr>
          <w:rFonts w:ascii="Bookman Old Style" w:hAnsi="Bookman Old Style" w:cs="Arial"/>
          <w:sz w:val="24"/>
          <w:szCs w:val="24"/>
        </w:rPr>
        <w:t>Peraturan</w:t>
      </w:r>
      <w:r w:rsidR="00A954D0">
        <w:rPr>
          <w:rFonts w:ascii="Bookman Old Style" w:hAnsi="Bookman Old Style" w:cs="Arial"/>
          <w:sz w:val="24"/>
          <w:szCs w:val="24"/>
        </w:rPr>
        <w:t xml:space="preserve"> </w:t>
      </w:r>
      <w:r w:rsidRPr="0085724C">
        <w:rPr>
          <w:rFonts w:ascii="Bookman Old Style" w:hAnsi="Bookman Old Style" w:cs="Arial"/>
          <w:sz w:val="24"/>
          <w:szCs w:val="24"/>
        </w:rPr>
        <w:t>Menteri</w:t>
      </w:r>
      <w:r w:rsidR="00A954D0">
        <w:rPr>
          <w:rFonts w:ascii="Bookman Old Style" w:hAnsi="Bookman Old Style" w:cs="Arial"/>
          <w:sz w:val="24"/>
          <w:szCs w:val="24"/>
        </w:rPr>
        <w:t xml:space="preserve"> </w:t>
      </w:r>
      <w:r w:rsidRPr="0085724C">
        <w:rPr>
          <w:rFonts w:ascii="Bookman Old Style" w:hAnsi="Bookman Old Style" w:cs="Arial"/>
          <w:sz w:val="24"/>
          <w:szCs w:val="24"/>
        </w:rPr>
        <w:t>Dalam</w:t>
      </w:r>
      <w:r w:rsidR="00A954D0">
        <w:rPr>
          <w:rFonts w:ascii="Bookman Old Style" w:hAnsi="Bookman Old Style" w:cs="Arial"/>
          <w:sz w:val="24"/>
          <w:szCs w:val="24"/>
        </w:rPr>
        <w:t xml:space="preserve"> </w:t>
      </w:r>
      <w:r w:rsidRPr="0085724C">
        <w:rPr>
          <w:rFonts w:ascii="Bookman Old Style" w:hAnsi="Bookman Old Style" w:cs="Arial"/>
          <w:sz w:val="24"/>
          <w:szCs w:val="24"/>
        </w:rPr>
        <w:t>Negeri</w:t>
      </w:r>
      <w:r w:rsidR="00A954D0">
        <w:rPr>
          <w:rFonts w:ascii="Bookman Old Style" w:hAnsi="Bookman Old Style" w:cs="Arial"/>
          <w:sz w:val="24"/>
          <w:szCs w:val="24"/>
        </w:rPr>
        <w:t xml:space="preserve"> </w:t>
      </w:r>
      <w:r w:rsidRPr="0085724C">
        <w:rPr>
          <w:rFonts w:ascii="Bookman Old Style" w:hAnsi="Bookman Old Style" w:cs="Arial"/>
          <w:sz w:val="24"/>
          <w:szCs w:val="24"/>
        </w:rPr>
        <w:t>Nomor</w:t>
      </w:r>
      <w:r w:rsidR="00A954D0">
        <w:rPr>
          <w:rFonts w:ascii="Bookman Old Style" w:hAnsi="Bookman Old Style" w:cs="Arial"/>
          <w:sz w:val="24"/>
          <w:szCs w:val="24"/>
        </w:rPr>
        <w:t xml:space="preserve"> </w:t>
      </w:r>
      <w:r w:rsidRPr="0085724C">
        <w:rPr>
          <w:rFonts w:ascii="Bookman Old Style" w:hAnsi="Bookman Old Style" w:cs="Arial"/>
          <w:sz w:val="24"/>
          <w:szCs w:val="24"/>
        </w:rPr>
        <w:t>15</w:t>
      </w:r>
      <w:r w:rsidR="00A954D0">
        <w:rPr>
          <w:rFonts w:ascii="Bookman Old Style" w:hAnsi="Bookman Old Style" w:cs="Arial"/>
          <w:sz w:val="24"/>
          <w:szCs w:val="24"/>
        </w:rPr>
        <w:t xml:space="preserve"> </w:t>
      </w:r>
      <w:r w:rsidRPr="0085724C">
        <w:rPr>
          <w:rFonts w:ascii="Bookman Old Style" w:hAnsi="Bookman Old Style" w:cs="Arial"/>
          <w:sz w:val="24"/>
          <w:szCs w:val="24"/>
        </w:rPr>
        <w:t>Tahun</w:t>
      </w:r>
      <w:r w:rsidR="00A954D0">
        <w:rPr>
          <w:rFonts w:ascii="Bookman Old Style" w:hAnsi="Bookman Old Style" w:cs="Arial"/>
          <w:sz w:val="24"/>
          <w:szCs w:val="24"/>
        </w:rPr>
        <w:t xml:space="preserve"> </w:t>
      </w:r>
      <w:r w:rsidRPr="0085724C">
        <w:rPr>
          <w:rFonts w:ascii="Bookman Old Style" w:hAnsi="Bookman Old Style" w:cs="Arial"/>
          <w:sz w:val="24"/>
          <w:szCs w:val="24"/>
        </w:rPr>
        <w:t>2024.</w:t>
      </w:r>
      <w:r w:rsidR="00A954D0">
        <w:rPr>
          <w:rFonts w:ascii="Bookman Old Style" w:hAnsi="Bookman Old Style" w:cs="Arial"/>
          <w:sz w:val="24"/>
          <w:szCs w:val="24"/>
        </w:rPr>
        <w:t xml:space="preserve"> </w:t>
      </w:r>
    </w:p>
    <w:p w14:paraId="514045D7" w14:textId="22A384CC" w:rsidR="006D52F0" w:rsidRPr="0085724C" w:rsidRDefault="006D52F0" w:rsidP="006D52F0">
      <w:pPr>
        <w:pStyle w:val="ListParagraph"/>
        <w:spacing w:before="60" w:line="276" w:lineRule="auto"/>
        <w:ind w:left="1701"/>
        <w:jc w:val="both"/>
        <w:rPr>
          <w:rFonts w:ascii="Bookman Old Style" w:hAnsi="Bookman Old Style" w:cs="Arial"/>
          <w:sz w:val="24"/>
          <w:szCs w:val="24"/>
        </w:rPr>
      </w:pPr>
      <w:r w:rsidRPr="0085724C">
        <w:rPr>
          <w:rFonts w:ascii="Bookman Old Style" w:hAnsi="Bookman Old Style" w:cs="Arial"/>
          <w:sz w:val="24"/>
          <w:szCs w:val="24"/>
        </w:rPr>
        <w:t>Dalam</w:t>
      </w:r>
      <w:r w:rsidR="00A954D0">
        <w:rPr>
          <w:rFonts w:ascii="Bookman Old Style" w:hAnsi="Bookman Old Style" w:cs="Arial"/>
          <w:sz w:val="24"/>
          <w:szCs w:val="24"/>
        </w:rPr>
        <w:t xml:space="preserve"> </w:t>
      </w:r>
      <w:r w:rsidRPr="0085724C">
        <w:rPr>
          <w:rFonts w:ascii="Bookman Old Style" w:hAnsi="Bookman Old Style" w:cs="Arial"/>
          <w:sz w:val="24"/>
          <w:szCs w:val="24"/>
        </w:rPr>
        <w:t>hal</w:t>
      </w:r>
      <w:r w:rsidR="00A954D0">
        <w:rPr>
          <w:rFonts w:ascii="Bookman Old Style" w:hAnsi="Bookman Old Style" w:cs="Arial"/>
          <w:sz w:val="24"/>
          <w:szCs w:val="24"/>
        </w:rPr>
        <w:t xml:space="preserve"> </w:t>
      </w:r>
      <w:r w:rsidRPr="0085724C">
        <w:rPr>
          <w:rFonts w:ascii="Bookman Old Style" w:hAnsi="Bookman Old Style" w:cs="Arial"/>
          <w:sz w:val="24"/>
          <w:szCs w:val="24"/>
        </w:rPr>
        <w:t>penganggaran</w:t>
      </w:r>
      <w:r w:rsidR="00A954D0">
        <w:rPr>
          <w:rFonts w:ascii="Bookman Old Style" w:hAnsi="Bookman Old Style" w:cs="Arial"/>
          <w:sz w:val="24"/>
          <w:szCs w:val="24"/>
        </w:rPr>
        <w:t xml:space="preserve"> </w:t>
      </w:r>
      <w:r w:rsidRPr="0085724C">
        <w:rPr>
          <w:rFonts w:ascii="Bookman Old Style" w:hAnsi="Bookman Old Style" w:cs="Arial"/>
          <w:sz w:val="24"/>
          <w:szCs w:val="24"/>
        </w:rPr>
        <w:t>Dana</w:t>
      </w:r>
      <w:r w:rsidR="00A954D0">
        <w:rPr>
          <w:rFonts w:ascii="Bookman Old Style" w:hAnsi="Bookman Old Style" w:cs="Arial"/>
          <w:sz w:val="24"/>
          <w:szCs w:val="24"/>
        </w:rPr>
        <w:t xml:space="preserve"> </w:t>
      </w:r>
      <w:r w:rsidRPr="0085724C">
        <w:rPr>
          <w:rFonts w:ascii="Bookman Old Style" w:hAnsi="Bookman Old Style" w:cs="Arial"/>
          <w:sz w:val="24"/>
          <w:szCs w:val="24"/>
        </w:rPr>
        <w:t>TKD</w:t>
      </w:r>
      <w:r w:rsidR="00A954D0">
        <w:rPr>
          <w:rFonts w:ascii="Bookman Old Style" w:hAnsi="Bookman Old Style" w:cs="Arial"/>
          <w:sz w:val="24"/>
          <w:szCs w:val="24"/>
        </w:rPr>
        <w:t xml:space="preserve"> </w:t>
      </w:r>
      <w:r w:rsidRPr="0085724C">
        <w:rPr>
          <w:rFonts w:ascii="Bookman Old Style" w:hAnsi="Bookman Old Style" w:cs="Arial"/>
          <w:sz w:val="24"/>
          <w:szCs w:val="24"/>
        </w:rPr>
        <w:t>penggunaannya</w:t>
      </w:r>
      <w:r w:rsidR="00A954D0">
        <w:rPr>
          <w:rFonts w:ascii="Bookman Old Style" w:hAnsi="Bookman Old Style" w:cs="Arial"/>
          <w:sz w:val="24"/>
          <w:szCs w:val="24"/>
        </w:rPr>
        <w:t xml:space="preserve"> </w:t>
      </w:r>
      <w:r w:rsidRPr="0085724C">
        <w:rPr>
          <w:rFonts w:ascii="Bookman Old Style" w:hAnsi="Bookman Old Style" w:cs="Arial"/>
          <w:sz w:val="24"/>
          <w:szCs w:val="24"/>
        </w:rPr>
        <w:t>tidak</w:t>
      </w:r>
      <w:r w:rsidR="00A954D0">
        <w:rPr>
          <w:rFonts w:ascii="Bookman Old Style" w:hAnsi="Bookman Old Style" w:cs="Arial"/>
          <w:sz w:val="24"/>
          <w:szCs w:val="24"/>
        </w:rPr>
        <w:t xml:space="preserve"> </w:t>
      </w:r>
      <w:r w:rsidRPr="0085724C">
        <w:rPr>
          <w:rFonts w:ascii="Bookman Old Style" w:hAnsi="Bookman Old Style" w:cs="Arial"/>
          <w:sz w:val="24"/>
          <w:szCs w:val="24"/>
        </w:rPr>
        <w:t>sesuai</w:t>
      </w:r>
      <w:r w:rsidR="00A954D0">
        <w:rPr>
          <w:rFonts w:ascii="Bookman Old Style" w:hAnsi="Bookman Old Style" w:cs="Arial"/>
          <w:sz w:val="24"/>
          <w:szCs w:val="24"/>
        </w:rPr>
        <w:t xml:space="preserve"> </w:t>
      </w:r>
      <w:r w:rsidRPr="0085724C">
        <w:rPr>
          <w:rFonts w:ascii="Bookman Old Style" w:hAnsi="Bookman Old Style" w:cs="Arial"/>
          <w:sz w:val="24"/>
          <w:szCs w:val="24"/>
        </w:rPr>
        <w:t>dengan</w:t>
      </w:r>
      <w:r w:rsidR="00A954D0">
        <w:rPr>
          <w:rFonts w:ascii="Bookman Old Style" w:hAnsi="Bookman Old Style" w:cs="Arial"/>
          <w:sz w:val="24"/>
          <w:szCs w:val="24"/>
        </w:rPr>
        <w:t xml:space="preserve"> </w:t>
      </w:r>
      <w:r w:rsidRPr="0085724C">
        <w:rPr>
          <w:rFonts w:ascii="Bookman Old Style" w:hAnsi="Bookman Old Style" w:cs="Arial"/>
          <w:sz w:val="24"/>
          <w:szCs w:val="24"/>
        </w:rPr>
        <w:t>petunjuk</w:t>
      </w:r>
      <w:r w:rsidR="00A954D0">
        <w:rPr>
          <w:rFonts w:ascii="Bookman Old Style" w:hAnsi="Bookman Old Style" w:cs="Arial"/>
          <w:sz w:val="24"/>
          <w:szCs w:val="24"/>
        </w:rPr>
        <w:t xml:space="preserve"> </w:t>
      </w:r>
      <w:r w:rsidRPr="0085724C">
        <w:rPr>
          <w:rFonts w:ascii="Bookman Old Style" w:hAnsi="Bookman Old Style" w:cs="Arial"/>
          <w:sz w:val="24"/>
          <w:szCs w:val="24"/>
        </w:rPr>
        <w:t>teknis</w:t>
      </w:r>
      <w:r w:rsidR="00A954D0">
        <w:rPr>
          <w:rFonts w:ascii="Bookman Old Style" w:hAnsi="Bookman Old Style" w:cs="Arial"/>
          <w:sz w:val="24"/>
          <w:szCs w:val="24"/>
        </w:rPr>
        <w:t xml:space="preserve"> </w:t>
      </w:r>
      <w:r w:rsidRPr="0085724C">
        <w:rPr>
          <w:rFonts w:ascii="Bookman Old Style" w:hAnsi="Bookman Old Style" w:cs="Arial"/>
          <w:sz w:val="24"/>
          <w:szCs w:val="24"/>
        </w:rPr>
        <w:t>tahun</w:t>
      </w:r>
      <w:r w:rsidR="00A954D0">
        <w:rPr>
          <w:rFonts w:ascii="Bookman Old Style" w:hAnsi="Bookman Old Style" w:cs="Arial"/>
          <w:sz w:val="24"/>
          <w:szCs w:val="24"/>
        </w:rPr>
        <w:t xml:space="preserve"> </w:t>
      </w:r>
      <w:r w:rsidRPr="0085724C">
        <w:rPr>
          <w:rFonts w:ascii="Bookman Old Style" w:hAnsi="Bookman Old Style" w:cs="Arial"/>
          <w:sz w:val="24"/>
          <w:szCs w:val="24"/>
        </w:rPr>
        <w:t>berkenaan,</w:t>
      </w:r>
      <w:r w:rsidR="00A954D0">
        <w:rPr>
          <w:rFonts w:ascii="Bookman Old Style" w:hAnsi="Bookman Old Style" w:cs="Arial"/>
          <w:sz w:val="24"/>
          <w:szCs w:val="24"/>
        </w:rPr>
        <w:t xml:space="preserve"> </w:t>
      </w:r>
      <w:r w:rsidRPr="0085724C">
        <w:rPr>
          <w:rFonts w:ascii="Bookman Old Style" w:hAnsi="Bookman Old Style" w:cs="Arial"/>
          <w:sz w:val="24"/>
          <w:szCs w:val="24"/>
        </w:rPr>
        <w:t>Pemerintah</w:t>
      </w:r>
      <w:r w:rsidR="00A954D0">
        <w:rPr>
          <w:rFonts w:ascii="Bookman Old Style" w:hAnsi="Bookman Old Style" w:cs="Arial"/>
          <w:sz w:val="24"/>
          <w:szCs w:val="24"/>
        </w:rPr>
        <w:t xml:space="preserve"> </w:t>
      </w:r>
      <w:r w:rsidRPr="0085724C">
        <w:rPr>
          <w:rFonts w:ascii="Bookman Old Style" w:hAnsi="Bookman Old Style" w:cs="Arial"/>
          <w:sz w:val="24"/>
          <w:szCs w:val="24"/>
        </w:rPr>
        <w:t>Daerah</w:t>
      </w:r>
      <w:r w:rsidR="00A954D0">
        <w:rPr>
          <w:rFonts w:ascii="Bookman Old Style" w:hAnsi="Bookman Old Style" w:cs="Arial"/>
          <w:sz w:val="24"/>
          <w:szCs w:val="24"/>
        </w:rPr>
        <w:t xml:space="preserve"> </w:t>
      </w:r>
      <w:r w:rsidRPr="0085724C">
        <w:rPr>
          <w:rFonts w:ascii="Bookman Old Style" w:hAnsi="Bookman Old Style" w:cs="Arial"/>
          <w:sz w:val="24"/>
          <w:szCs w:val="24"/>
        </w:rPr>
        <w:t>Kota</w:t>
      </w:r>
      <w:r w:rsidR="00A954D0">
        <w:rPr>
          <w:rFonts w:ascii="Bookman Old Style" w:hAnsi="Bookman Old Style" w:cs="Arial"/>
          <w:sz w:val="24"/>
          <w:szCs w:val="24"/>
        </w:rPr>
        <w:t xml:space="preserve"> </w:t>
      </w:r>
      <w:r w:rsidRPr="0085724C">
        <w:rPr>
          <w:rFonts w:ascii="Bookman Old Style" w:hAnsi="Bookman Old Style" w:cs="Arial"/>
          <w:sz w:val="24"/>
          <w:szCs w:val="24"/>
        </w:rPr>
        <w:t>Tangerang</w:t>
      </w:r>
      <w:r w:rsidR="00A954D0">
        <w:rPr>
          <w:rFonts w:ascii="Bookman Old Style" w:hAnsi="Bookman Old Style" w:cs="Arial"/>
          <w:sz w:val="24"/>
          <w:szCs w:val="24"/>
        </w:rPr>
        <w:t xml:space="preserve"> </w:t>
      </w:r>
      <w:r w:rsidRPr="0085724C">
        <w:rPr>
          <w:rFonts w:ascii="Bookman Old Style" w:hAnsi="Bookman Old Style" w:cs="Arial"/>
          <w:sz w:val="24"/>
          <w:szCs w:val="24"/>
        </w:rPr>
        <w:t>harus</w:t>
      </w:r>
      <w:r w:rsidR="00A954D0">
        <w:rPr>
          <w:rFonts w:ascii="Bookman Old Style" w:hAnsi="Bookman Old Style" w:cs="Arial"/>
          <w:sz w:val="24"/>
          <w:szCs w:val="24"/>
        </w:rPr>
        <w:t xml:space="preserve"> </w:t>
      </w:r>
      <w:r w:rsidRPr="0085724C">
        <w:rPr>
          <w:rFonts w:ascii="Bookman Old Style" w:hAnsi="Bookman Old Style" w:cs="Arial"/>
          <w:sz w:val="24"/>
          <w:szCs w:val="24"/>
        </w:rPr>
        <w:t>melakukan</w:t>
      </w:r>
      <w:r w:rsidR="00A954D0">
        <w:rPr>
          <w:rFonts w:ascii="Bookman Old Style" w:hAnsi="Bookman Old Style" w:cs="Arial"/>
          <w:sz w:val="24"/>
          <w:szCs w:val="24"/>
        </w:rPr>
        <w:t xml:space="preserve"> </w:t>
      </w:r>
      <w:r w:rsidRPr="0085724C">
        <w:rPr>
          <w:rFonts w:ascii="Bookman Old Style" w:hAnsi="Bookman Old Style" w:cs="Arial"/>
          <w:sz w:val="24"/>
          <w:szCs w:val="24"/>
        </w:rPr>
        <w:t>penyesuaian</w:t>
      </w:r>
      <w:r w:rsidR="00A954D0">
        <w:rPr>
          <w:rFonts w:ascii="Bookman Old Style" w:hAnsi="Bookman Old Style" w:cs="Arial"/>
          <w:sz w:val="24"/>
          <w:szCs w:val="24"/>
        </w:rPr>
        <w:t xml:space="preserve"> </w:t>
      </w:r>
      <w:r w:rsidRPr="0085724C">
        <w:rPr>
          <w:rFonts w:ascii="Bookman Old Style" w:hAnsi="Bookman Old Style" w:cs="Arial"/>
          <w:sz w:val="24"/>
          <w:szCs w:val="24"/>
        </w:rPr>
        <w:t>atas</w:t>
      </w:r>
      <w:r w:rsidR="00A954D0">
        <w:rPr>
          <w:rFonts w:ascii="Bookman Old Style" w:hAnsi="Bookman Old Style" w:cs="Arial"/>
          <w:sz w:val="24"/>
          <w:szCs w:val="24"/>
        </w:rPr>
        <w:t xml:space="preserve"> </w:t>
      </w:r>
      <w:r w:rsidRPr="0085724C">
        <w:rPr>
          <w:rFonts w:ascii="Bookman Old Style" w:hAnsi="Bookman Old Style" w:cs="Arial"/>
          <w:sz w:val="24"/>
          <w:szCs w:val="24"/>
        </w:rPr>
        <w:t>penggunaan</w:t>
      </w:r>
      <w:r w:rsidR="00A954D0">
        <w:rPr>
          <w:rFonts w:ascii="Bookman Old Style" w:hAnsi="Bookman Old Style" w:cs="Arial"/>
          <w:sz w:val="24"/>
          <w:szCs w:val="24"/>
        </w:rPr>
        <w:t xml:space="preserve"> </w:t>
      </w:r>
      <w:r w:rsidRPr="0085724C">
        <w:rPr>
          <w:rFonts w:ascii="Bookman Old Style" w:hAnsi="Bookman Old Style" w:cs="Arial"/>
          <w:sz w:val="24"/>
          <w:szCs w:val="24"/>
        </w:rPr>
        <w:t>Dana</w:t>
      </w:r>
      <w:r w:rsidR="00A954D0">
        <w:rPr>
          <w:rFonts w:ascii="Bookman Old Style" w:hAnsi="Bookman Old Style" w:cs="Arial"/>
          <w:sz w:val="24"/>
          <w:szCs w:val="24"/>
        </w:rPr>
        <w:t xml:space="preserve"> </w:t>
      </w:r>
      <w:r w:rsidRPr="0085724C">
        <w:rPr>
          <w:rFonts w:ascii="Bookman Old Style" w:hAnsi="Bookman Old Style" w:cs="Arial"/>
          <w:sz w:val="24"/>
          <w:szCs w:val="24"/>
        </w:rPr>
        <w:t>TKD</w:t>
      </w:r>
      <w:r w:rsidR="00A954D0">
        <w:rPr>
          <w:rFonts w:ascii="Bookman Old Style" w:hAnsi="Bookman Old Style" w:cs="Arial"/>
          <w:sz w:val="24"/>
          <w:szCs w:val="24"/>
        </w:rPr>
        <w:t xml:space="preserve"> </w:t>
      </w:r>
      <w:r w:rsidRPr="0085724C">
        <w:rPr>
          <w:rFonts w:ascii="Bookman Old Style" w:hAnsi="Bookman Old Style" w:cs="Arial"/>
          <w:sz w:val="24"/>
          <w:szCs w:val="24"/>
        </w:rPr>
        <w:t>dimaksud.</w:t>
      </w:r>
    </w:p>
    <w:p w14:paraId="29C4384D" w14:textId="5D19CB39" w:rsidR="006D52F0" w:rsidRPr="0085724C" w:rsidRDefault="006D52F0" w:rsidP="00287B23">
      <w:pPr>
        <w:pStyle w:val="ListParagraph"/>
        <w:spacing w:before="60" w:after="120" w:line="276" w:lineRule="auto"/>
        <w:ind w:left="1701"/>
        <w:contextualSpacing w:val="0"/>
        <w:jc w:val="both"/>
        <w:rPr>
          <w:rFonts w:ascii="Bookman Old Style" w:hAnsi="Bookman Old Style" w:cs="Arial"/>
          <w:sz w:val="24"/>
          <w:szCs w:val="24"/>
        </w:rPr>
      </w:pPr>
      <w:r w:rsidRPr="0085724C">
        <w:rPr>
          <w:rFonts w:ascii="Bookman Old Style" w:hAnsi="Bookman Old Style" w:cs="Arial"/>
          <w:sz w:val="24"/>
          <w:szCs w:val="24"/>
        </w:rPr>
        <w:t>Berkaitan</w:t>
      </w:r>
      <w:r w:rsidR="00A954D0">
        <w:rPr>
          <w:rFonts w:ascii="Bookman Old Style" w:hAnsi="Bookman Old Style" w:cs="Arial"/>
          <w:sz w:val="24"/>
          <w:szCs w:val="24"/>
        </w:rPr>
        <w:t xml:space="preserve"> </w:t>
      </w:r>
      <w:r w:rsidRPr="0085724C">
        <w:rPr>
          <w:rFonts w:ascii="Bookman Old Style" w:hAnsi="Bookman Old Style" w:cs="Arial"/>
          <w:sz w:val="24"/>
          <w:szCs w:val="24"/>
        </w:rPr>
        <w:t>dengan</w:t>
      </w:r>
      <w:r w:rsidR="00A954D0">
        <w:rPr>
          <w:rFonts w:ascii="Bookman Old Style" w:hAnsi="Bookman Old Style" w:cs="Arial"/>
          <w:sz w:val="24"/>
          <w:szCs w:val="24"/>
        </w:rPr>
        <w:t xml:space="preserve"> </w:t>
      </w:r>
      <w:r w:rsidRPr="0085724C">
        <w:rPr>
          <w:rFonts w:ascii="Bookman Old Style" w:hAnsi="Bookman Old Style" w:cs="Arial"/>
          <w:sz w:val="24"/>
          <w:szCs w:val="24"/>
        </w:rPr>
        <w:t>hal</w:t>
      </w:r>
      <w:r w:rsidR="00A954D0">
        <w:rPr>
          <w:rFonts w:ascii="Bookman Old Style" w:hAnsi="Bookman Old Style" w:cs="Arial"/>
          <w:sz w:val="24"/>
          <w:szCs w:val="24"/>
        </w:rPr>
        <w:t xml:space="preserve"> </w:t>
      </w:r>
      <w:r w:rsidRPr="0085724C">
        <w:rPr>
          <w:rFonts w:ascii="Bookman Old Style" w:hAnsi="Bookman Old Style" w:cs="Arial"/>
          <w:sz w:val="24"/>
          <w:szCs w:val="24"/>
        </w:rPr>
        <w:t>tersebut,</w:t>
      </w:r>
      <w:r w:rsidR="00A954D0">
        <w:rPr>
          <w:rFonts w:ascii="Bookman Old Style" w:hAnsi="Bookman Old Style" w:cs="Arial"/>
          <w:sz w:val="24"/>
          <w:szCs w:val="24"/>
        </w:rPr>
        <w:t xml:space="preserve"> </w:t>
      </w:r>
      <w:r w:rsidRPr="0085724C">
        <w:rPr>
          <w:rFonts w:ascii="Bookman Old Style" w:hAnsi="Bookman Old Style" w:cs="Arial"/>
          <w:sz w:val="24"/>
          <w:szCs w:val="24"/>
        </w:rPr>
        <w:t>penyesuaian</w:t>
      </w:r>
      <w:r w:rsidR="00A954D0">
        <w:rPr>
          <w:rFonts w:ascii="Bookman Old Style" w:hAnsi="Bookman Old Style" w:cs="Arial"/>
          <w:sz w:val="24"/>
          <w:szCs w:val="24"/>
        </w:rPr>
        <w:t xml:space="preserve"> </w:t>
      </w:r>
      <w:r w:rsidRPr="0085724C">
        <w:rPr>
          <w:rFonts w:ascii="Bookman Old Style" w:hAnsi="Bookman Old Style" w:cs="Arial"/>
          <w:sz w:val="24"/>
          <w:szCs w:val="24"/>
        </w:rPr>
        <w:t>penganggaran</w:t>
      </w:r>
      <w:r w:rsidR="00A954D0">
        <w:rPr>
          <w:rFonts w:ascii="Bookman Old Style" w:hAnsi="Bookman Old Style" w:cs="Arial"/>
          <w:sz w:val="24"/>
          <w:szCs w:val="24"/>
        </w:rPr>
        <w:t xml:space="preserve"> </w:t>
      </w:r>
      <w:r w:rsidRPr="0085724C">
        <w:rPr>
          <w:rFonts w:ascii="Bookman Old Style" w:hAnsi="Bookman Old Style" w:cs="Arial"/>
          <w:sz w:val="24"/>
          <w:szCs w:val="24"/>
        </w:rPr>
        <w:t>Dana</w:t>
      </w:r>
      <w:r w:rsidR="00A954D0">
        <w:rPr>
          <w:rFonts w:ascii="Bookman Old Style" w:hAnsi="Bookman Old Style" w:cs="Arial"/>
          <w:sz w:val="24"/>
          <w:szCs w:val="24"/>
        </w:rPr>
        <w:t xml:space="preserve"> </w:t>
      </w:r>
      <w:r w:rsidRPr="0085724C">
        <w:rPr>
          <w:rFonts w:ascii="Bookman Old Style" w:hAnsi="Bookman Old Style" w:cs="Arial"/>
          <w:sz w:val="24"/>
          <w:szCs w:val="24"/>
        </w:rPr>
        <w:t>TKD</w:t>
      </w:r>
      <w:r w:rsidR="00A954D0">
        <w:rPr>
          <w:rFonts w:ascii="Bookman Old Style" w:hAnsi="Bookman Old Style" w:cs="Arial"/>
          <w:sz w:val="24"/>
          <w:szCs w:val="24"/>
        </w:rPr>
        <w:t xml:space="preserve"> </w:t>
      </w:r>
      <w:r w:rsidRPr="0085724C">
        <w:rPr>
          <w:rFonts w:ascii="Bookman Old Style" w:hAnsi="Bookman Old Style" w:cs="Arial"/>
          <w:sz w:val="24"/>
          <w:szCs w:val="24"/>
        </w:rPr>
        <w:t>berpedoman</w:t>
      </w:r>
      <w:r w:rsidR="00A954D0">
        <w:rPr>
          <w:rFonts w:ascii="Bookman Old Style" w:hAnsi="Bookman Old Style" w:cs="Arial"/>
          <w:sz w:val="24"/>
          <w:szCs w:val="24"/>
        </w:rPr>
        <w:t xml:space="preserve"> </w:t>
      </w:r>
      <w:r w:rsidRPr="0085724C">
        <w:rPr>
          <w:rFonts w:ascii="Bookman Old Style" w:hAnsi="Bookman Old Style" w:cs="Arial"/>
          <w:sz w:val="24"/>
          <w:szCs w:val="24"/>
        </w:rPr>
        <w:t>pada</w:t>
      </w:r>
      <w:r w:rsidR="00A954D0">
        <w:rPr>
          <w:rFonts w:ascii="Bookman Old Style" w:hAnsi="Bookman Old Style" w:cs="Arial"/>
          <w:sz w:val="24"/>
          <w:szCs w:val="24"/>
        </w:rPr>
        <w:t xml:space="preserve"> </w:t>
      </w:r>
      <w:r w:rsidRPr="0085724C">
        <w:rPr>
          <w:rFonts w:ascii="Bookman Old Style" w:hAnsi="Bookman Old Style" w:cs="Arial"/>
          <w:sz w:val="24"/>
          <w:szCs w:val="24"/>
        </w:rPr>
        <w:t>Keputusan</w:t>
      </w:r>
      <w:r w:rsidR="00A954D0">
        <w:rPr>
          <w:rFonts w:ascii="Bookman Old Style" w:hAnsi="Bookman Old Style" w:cs="Arial"/>
          <w:sz w:val="24"/>
          <w:szCs w:val="24"/>
        </w:rPr>
        <w:t xml:space="preserve"> </w:t>
      </w:r>
      <w:r w:rsidRPr="0085724C">
        <w:rPr>
          <w:rFonts w:ascii="Bookman Old Style" w:hAnsi="Bookman Old Style" w:cs="Arial"/>
          <w:sz w:val="24"/>
          <w:szCs w:val="24"/>
        </w:rPr>
        <w:t>Menteri</w:t>
      </w:r>
      <w:r w:rsidR="00A954D0">
        <w:rPr>
          <w:rFonts w:ascii="Bookman Old Style" w:hAnsi="Bookman Old Style" w:cs="Arial"/>
          <w:sz w:val="24"/>
          <w:szCs w:val="24"/>
        </w:rPr>
        <w:t xml:space="preserve"> </w:t>
      </w:r>
      <w:r w:rsidRPr="0085724C">
        <w:rPr>
          <w:rFonts w:ascii="Bookman Old Style" w:hAnsi="Bookman Old Style" w:cs="Arial"/>
          <w:sz w:val="24"/>
          <w:szCs w:val="24"/>
        </w:rPr>
        <w:t>Dalam</w:t>
      </w:r>
      <w:r w:rsidR="00A954D0">
        <w:rPr>
          <w:rFonts w:ascii="Bookman Old Style" w:hAnsi="Bookman Old Style" w:cs="Arial"/>
          <w:sz w:val="24"/>
          <w:szCs w:val="24"/>
        </w:rPr>
        <w:t xml:space="preserve"> </w:t>
      </w:r>
      <w:r w:rsidRPr="0085724C">
        <w:rPr>
          <w:rFonts w:ascii="Bookman Old Style" w:hAnsi="Bookman Old Style" w:cs="Arial"/>
          <w:sz w:val="24"/>
          <w:szCs w:val="24"/>
        </w:rPr>
        <w:t>Negeri</w:t>
      </w:r>
      <w:r w:rsidR="00A954D0">
        <w:rPr>
          <w:rFonts w:ascii="Bookman Old Style" w:hAnsi="Bookman Old Style" w:cs="Arial"/>
          <w:sz w:val="24"/>
          <w:szCs w:val="24"/>
        </w:rPr>
        <w:t xml:space="preserve"> </w:t>
      </w:r>
      <w:r w:rsidRPr="0085724C">
        <w:rPr>
          <w:rFonts w:ascii="Bookman Old Style" w:hAnsi="Bookman Old Style" w:cs="Arial"/>
          <w:sz w:val="24"/>
          <w:szCs w:val="24"/>
        </w:rPr>
        <w:t>Nomor</w:t>
      </w:r>
      <w:r w:rsidR="00A954D0">
        <w:rPr>
          <w:rFonts w:ascii="Bookman Old Style" w:hAnsi="Bookman Old Style" w:cs="Arial"/>
          <w:sz w:val="24"/>
          <w:szCs w:val="24"/>
        </w:rPr>
        <w:t xml:space="preserve"> </w:t>
      </w:r>
      <w:r w:rsidRPr="0085724C">
        <w:rPr>
          <w:rFonts w:ascii="Bookman Old Style" w:hAnsi="Bookman Old Style" w:cs="Arial"/>
          <w:sz w:val="24"/>
          <w:szCs w:val="24"/>
        </w:rPr>
        <w:t>050-5889</w:t>
      </w:r>
      <w:r w:rsidR="00A954D0">
        <w:rPr>
          <w:rFonts w:ascii="Bookman Old Style" w:hAnsi="Bookman Old Style" w:cs="Arial"/>
          <w:sz w:val="24"/>
          <w:szCs w:val="24"/>
        </w:rPr>
        <w:t xml:space="preserve"> </w:t>
      </w:r>
      <w:r w:rsidRPr="0085724C">
        <w:rPr>
          <w:rFonts w:ascii="Bookman Old Style" w:hAnsi="Bookman Old Style" w:cs="Arial"/>
          <w:sz w:val="24"/>
          <w:szCs w:val="24"/>
        </w:rPr>
        <w:t>Tahun</w:t>
      </w:r>
      <w:r w:rsidR="00A954D0">
        <w:rPr>
          <w:rFonts w:ascii="Bookman Old Style" w:hAnsi="Bookman Old Style" w:cs="Arial"/>
          <w:sz w:val="24"/>
          <w:szCs w:val="24"/>
        </w:rPr>
        <w:t xml:space="preserve"> </w:t>
      </w:r>
      <w:r w:rsidRPr="0085724C">
        <w:rPr>
          <w:rFonts w:ascii="Bookman Old Style" w:hAnsi="Bookman Old Style" w:cs="Arial"/>
          <w:sz w:val="24"/>
          <w:szCs w:val="24"/>
        </w:rPr>
        <w:t>2021</w:t>
      </w:r>
      <w:r w:rsidR="00A954D0">
        <w:rPr>
          <w:rFonts w:ascii="Bookman Old Style" w:hAnsi="Bookman Old Style" w:cs="Arial"/>
          <w:sz w:val="24"/>
          <w:szCs w:val="24"/>
        </w:rPr>
        <w:t xml:space="preserve"> </w:t>
      </w:r>
      <w:r w:rsidRPr="0085724C">
        <w:rPr>
          <w:rFonts w:ascii="Bookman Old Style" w:hAnsi="Bookman Old Style" w:cs="Arial"/>
          <w:sz w:val="24"/>
          <w:szCs w:val="24"/>
        </w:rPr>
        <w:t>sebagaimana</w:t>
      </w:r>
      <w:r w:rsidR="00A954D0">
        <w:rPr>
          <w:rFonts w:ascii="Bookman Old Style" w:hAnsi="Bookman Old Style" w:cs="Arial"/>
          <w:sz w:val="24"/>
          <w:szCs w:val="24"/>
        </w:rPr>
        <w:t xml:space="preserve"> </w:t>
      </w:r>
      <w:r w:rsidRPr="0085724C">
        <w:rPr>
          <w:rFonts w:ascii="Bookman Old Style" w:hAnsi="Bookman Old Style" w:cs="Arial"/>
          <w:sz w:val="24"/>
          <w:szCs w:val="24"/>
        </w:rPr>
        <w:t>telah</w:t>
      </w:r>
      <w:r w:rsidR="00A954D0">
        <w:rPr>
          <w:rFonts w:ascii="Bookman Old Style" w:hAnsi="Bookman Old Style" w:cs="Arial"/>
          <w:sz w:val="24"/>
          <w:szCs w:val="24"/>
        </w:rPr>
        <w:t xml:space="preserve"> </w:t>
      </w:r>
      <w:r w:rsidRPr="0085724C">
        <w:rPr>
          <w:rFonts w:ascii="Bookman Old Style" w:hAnsi="Bookman Old Style" w:cs="Arial"/>
          <w:sz w:val="24"/>
          <w:szCs w:val="24"/>
        </w:rPr>
        <w:t>diubah</w:t>
      </w:r>
      <w:r w:rsidR="00A954D0">
        <w:rPr>
          <w:rFonts w:ascii="Bookman Old Style" w:hAnsi="Bookman Old Style" w:cs="Arial"/>
          <w:sz w:val="24"/>
          <w:szCs w:val="24"/>
        </w:rPr>
        <w:t xml:space="preserve"> </w:t>
      </w:r>
      <w:r w:rsidRPr="0085724C">
        <w:rPr>
          <w:rFonts w:ascii="Bookman Old Style" w:hAnsi="Bookman Old Style" w:cs="Arial"/>
          <w:sz w:val="24"/>
          <w:szCs w:val="24"/>
        </w:rPr>
        <w:t>beberapa</w:t>
      </w:r>
      <w:r w:rsidR="00A954D0">
        <w:rPr>
          <w:rFonts w:ascii="Bookman Old Style" w:hAnsi="Bookman Old Style" w:cs="Arial"/>
          <w:sz w:val="24"/>
          <w:szCs w:val="24"/>
        </w:rPr>
        <w:t xml:space="preserve"> </w:t>
      </w:r>
      <w:r w:rsidRPr="0085724C">
        <w:rPr>
          <w:rFonts w:ascii="Bookman Old Style" w:hAnsi="Bookman Old Style" w:cs="Arial"/>
          <w:sz w:val="24"/>
          <w:szCs w:val="24"/>
        </w:rPr>
        <w:t>kali</w:t>
      </w:r>
      <w:r w:rsidR="00A954D0">
        <w:rPr>
          <w:rFonts w:ascii="Bookman Old Style" w:hAnsi="Bookman Old Style" w:cs="Arial"/>
          <w:sz w:val="24"/>
          <w:szCs w:val="24"/>
        </w:rPr>
        <w:t xml:space="preserve"> </w:t>
      </w:r>
      <w:r w:rsidRPr="0085724C">
        <w:rPr>
          <w:rFonts w:ascii="Bookman Old Style" w:hAnsi="Bookman Old Style" w:cs="Arial"/>
          <w:sz w:val="24"/>
          <w:szCs w:val="24"/>
        </w:rPr>
        <w:t>terakhir</w:t>
      </w:r>
      <w:r w:rsidR="00A954D0">
        <w:rPr>
          <w:rFonts w:ascii="Bookman Old Style" w:hAnsi="Bookman Old Style" w:cs="Arial"/>
          <w:sz w:val="24"/>
          <w:szCs w:val="24"/>
        </w:rPr>
        <w:t xml:space="preserve"> </w:t>
      </w:r>
      <w:r w:rsidRPr="0085724C">
        <w:rPr>
          <w:rFonts w:ascii="Bookman Old Style" w:hAnsi="Bookman Old Style" w:cs="Arial"/>
          <w:sz w:val="24"/>
          <w:szCs w:val="24"/>
        </w:rPr>
        <w:t>dengan</w:t>
      </w:r>
      <w:r w:rsidR="00A954D0">
        <w:rPr>
          <w:rFonts w:ascii="Bookman Old Style" w:hAnsi="Bookman Old Style" w:cs="Arial"/>
          <w:sz w:val="24"/>
          <w:szCs w:val="24"/>
        </w:rPr>
        <w:t xml:space="preserve"> </w:t>
      </w:r>
      <w:r w:rsidRPr="0085724C">
        <w:rPr>
          <w:rFonts w:ascii="Bookman Old Style" w:hAnsi="Bookman Old Style" w:cs="Arial"/>
          <w:sz w:val="24"/>
          <w:szCs w:val="24"/>
        </w:rPr>
        <w:t>Keputusan</w:t>
      </w:r>
      <w:r w:rsidR="00A954D0">
        <w:rPr>
          <w:rFonts w:ascii="Bookman Old Style" w:hAnsi="Bookman Old Style" w:cs="Arial"/>
          <w:sz w:val="24"/>
          <w:szCs w:val="24"/>
        </w:rPr>
        <w:t xml:space="preserve"> </w:t>
      </w:r>
      <w:r w:rsidRPr="0085724C">
        <w:rPr>
          <w:rFonts w:ascii="Bookman Old Style" w:hAnsi="Bookman Old Style" w:cs="Arial"/>
          <w:sz w:val="24"/>
          <w:szCs w:val="24"/>
        </w:rPr>
        <w:t>Menteri</w:t>
      </w:r>
      <w:r w:rsidR="00A954D0">
        <w:rPr>
          <w:rFonts w:ascii="Bookman Old Style" w:hAnsi="Bookman Old Style" w:cs="Arial"/>
          <w:sz w:val="24"/>
          <w:szCs w:val="24"/>
        </w:rPr>
        <w:t xml:space="preserve"> </w:t>
      </w:r>
      <w:r w:rsidRPr="0085724C">
        <w:rPr>
          <w:rFonts w:ascii="Bookman Old Style" w:hAnsi="Bookman Old Style" w:cs="Arial"/>
          <w:sz w:val="24"/>
          <w:szCs w:val="24"/>
        </w:rPr>
        <w:t>Dalam</w:t>
      </w:r>
      <w:r w:rsidR="00A954D0">
        <w:rPr>
          <w:rFonts w:ascii="Bookman Old Style" w:hAnsi="Bookman Old Style" w:cs="Arial"/>
          <w:sz w:val="24"/>
          <w:szCs w:val="24"/>
        </w:rPr>
        <w:t xml:space="preserve"> </w:t>
      </w:r>
      <w:r w:rsidRPr="0085724C">
        <w:rPr>
          <w:rFonts w:ascii="Bookman Old Style" w:hAnsi="Bookman Old Style" w:cs="Arial"/>
          <w:sz w:val="24"/>
          <w:szCs w:val="24"/>
        </w:rPr>
        <w:t>Negeri</w:t>
      </w:r>
      <w:r w:rsidR="00A954D0">
        <w:rPr>
          <w:rFonts w:ascii="Bookman Old Style" w:hAnsi="Bookman Old Style" w:cs="Arial"/>
          <w:sz w:val="24"/>
          <w:szCs w:val="24"/>
        </w:rPr>
        <w:t xml:space="preserve"> </w:t>
      </w:r>
      <w:r w:rsidRPr="0085724C">
        <w:rPr>
          <w:rFonts w:ascii="Bookman Old Style" w:hAnsi="Bookman Old Style" w:cs="Arial"/>
          <w:sz w:val="24"/>
          <w:szCs w:val="24"/>
        </w:rPr>
        <w:t>Nomor</w:t>
      </w:r>
      <w:r w:rsidR="00A954D0">
        <w:rPr>
          <w:rFonts w:ascii="Bookman Old Style" w:hAnsi="Bookman Old Style" w:cs="Arial"/>
          <w:sz w:val="24"/>
          <w:szCs w:val="24"/>
        </w:rPr>
        <w:t xml:space="preserve"> </w:t>
      </w:r>
      <w:r w:rsidRPr="0085724C">
        <w:rPr>
          <w:rFonts w:ascii="Bookman Old Style" w:hAnsi="Bookman Old Style" w:cs="Arial"/>
          <w:sz w:val="24"/>
          <w:szCs w:val="24"/>
        </w:rPr>
        <w:t>900.1.15.5-3406</w:t>
      </w:r>
      <w:r w:rsidR="00A954D0">
        <w:rPr>
          <w:rFonts w:ascii="Bookman Old Style" w:hAnsi="Bookman Old Style" w:cs="Arial"/>
          <w:sz w:val="24"/>
          <w:szCs w:val="24"/>
        </w:rPr>
        <w:t xml:space="preserve"> </w:t>
      </w:r>
      <w:r w:rsidRPr="0085724C">
        <w:rPr>
          <w:rFonts w:ascii="Bookman Old Style" w:hAnsi="Bookman Old Style" w:cs="Arial"/>
          <w:sz w:val="24"/>
          <w:szCs w:val="24"/>
        </w:rPr>
        <w:t>Tahun</w:t>
      </w:r>
      <w:r w:rsidR="00A954D0">
        <w:rPr>
          <w:rFonts w:ascii="Bookman Old Style" w:hAnsi="Bookman Old Style" w:cs="Arial"/>
          <w:sz w:val="24"/>
          <w:szCs w:val="24"/>
        </w:rPr>
        <w:t xml:space="preserve"> </w:t>
      </w:r>
      <w:r w:rsidRPr="0085724C">
        <w:rPr>
          <w:rFonts w:ascii="Bookman Old Style" w:hAnsi="Bookman Old Style" w:cs="Arial"/>
          <w:sz w:val="24"/>
          <w:szCs w:val="24"/>
        </w:rPr>
        <w:t>2024,</w:t>
      </w:r>
      <w:r w:rsidR="00A954D0">
        <w:rPr>
          <w:rFonts w:ascii="Bookman Old Style" w:hAnsi="Bookman Old Style" w:cs="Arial"/>
          <w:sz w:val="24"/>
          <w:szCs w:val="24"/>
        </w:rPr>
        <w:t xml:space="preserve"> </w:t>
      </w:r>
      <w:r w:rsidRPr="0085724C">
        <w:rPr>
          <w:rFonts w:ascii="Bookman Old Style" w:hAnsi="Bookman Old Style" w:cs="Arial"/>
          <w:sz w:val="24"/>
          <w:szCs w:val="24"/>
        </w:rPr>
        <w:t>sebagaimana</w:t>
      </w:r>
      <w:r w:rsidR="00A954D0">
        <w:rPr>
          <w:rFonts w:ascii="Bookman Old Style" w:hAnsi="Bookman Old Style" w:cs="Arial"/>
          <w:sz w:val="24"/>
          <w:szCs w:val="24"/>
        </w:rPr>
        <w:t xml:space="preserve"> </w:t>
      </w:r>
      <w:r w:rsidRPr="0085724C">
        <w:rPr>
          <w:rFonts w:ascii="Bookman Old Style" w:hAnsi="Bookman Old Style" w:cs="Arial"/>
          <w:sz w:val="24"/>
          <w:szCs w:val="24"/>
        </w:rPr>
        <w:t>maksud</w:t>
      </w:r>
      <w:r w:rsidR="00A954D0">
        <w:rPr>
          <w:rFonts w:ascii="Bookman Old Style" w:hAnsi="Bookman Old Style" w:cs="Arial"/>
          <w:sz w:val="24"/>
          <w:szCs w:val="24"/>
        </w:rPr>
        <w:t xml:space="preserve"> </w:t>
      </w:r>
      <w:r w:rsidRPr="0085724C">
        <w:rPr>
          <w:rFonts w:ascii="Bookman Old Style" w:hAnsi="Bookman Old Style" w:cs="Arial"/>
          <w:sz w:val="24"/>
          <w:szCs w:val="24"/>
        </w:rPr>
        <w:t>butir</w:t>
      </w:r>
      <w:r w:rsidR="00A954D0">
        <w:rPr>
          <w:rFonts w:ascii="Bookman Old Style" w:hAnsi="Bookman Old Style" w:cs="Arial"/>
          <w:sz w:val="24"/>
          <w:szCs w:val="24"/>
        </w:rPr>
        <w:t xml:space="preserve"> </w:t>
      </w:r>
      <w:r w:rsidRPr="0085724C">
        <w:rPr>
          <w:rFonts w:ascii="Bookman Old Style" w:hAnsi="Bookman Old Style" w:cs="Arial"/>
          <w:sz w:val="24"/>
          <w:szCs w:val="24"/>
        </w:rPr>
        <w:t>3.2.K</w:t>
      </w:r>
      <w:r w:rsidR="00A954D0">
        <w:rPr>
          <w:rFonts w:ascii="Bookman Old Style" w:hAnsi="Bookman Old Style" w:cs="Arial"/>
          <w:sz w:val="24"/>
          <w:szCs w:val="24"/>
        </w:rPr>
        <w:t xml:space="preserve"> </w:t>
      </w:r>
      <w:r w:rsidRPr="0085724C">
        <w:rPr>
          <w:rFonts w:ascii="Bookman Old Style" w:hAnsi="Bookman Old Style" w:cs="Arial"/>
          <w:sz w:val="24"/>
          <w:szCs w:val="24"/>
        </w:rPr>
        <w:t>Lampiran</w:t>
      </w:r>
      <w:r w:rsidR="00A954D0">
        <w:rPr>
          <w:rFonts w:ascii="Bookman Old Style" w:hAnsi="Bookman Old Style" w:cs="Arial"/>
          <w:sz w:val="24"/>
          <w:szCs w:val="24"/>
        </w:rPr>
        <w:t xml:space="preserve"> </w:t>
      </w:r>
      <w:r w:rsidRPr="0085724C">
        <w:rPr>
          <w:rFonts w:ascii="Bookman Old Style" w:hAnsi="Bookman Old Style" w:cs="Arial"/>
          <w:sz w:val="24"/>
          <w:szCs w:val="24"/>
        </w:rPr>
        <w:t>Peraturan</w:t>
      </w:r>
      <w:r w:rsidR="00A954D0">
        <w:rPr>
          <w:rFonts w:ascii="Bookman Old Style" w:hAnsi="Bookman Old Style" w:cs="Arial"/>
          <w:sz w:val="24"/>
          <w:szCs w:val="24"/>
        </w:rPr>
        <w:t xml:space="preserve"> </w:t>
      </w:r>
      <w:r w:rsidRPr="0085724C">
        <w:rPr>
          <w:rFonts w:ascii="Bookman Old Style" w:hAnsi="Bookman Old Style" w:cs="Arial"/>
          <w:sz w:val="24"/>
          <w:szCs w:val="24"/>
        </w:rPr>
        <w:t>Menteri</w:t>
      </w:r>
      <w:r w:rsidR="00A954D0">
        <w:rPr>
          <w:rFonts w:ascii="Bookman Old Style" w:hAnsi="Bookman Old Style" w:cs="Arial"/>
          <w:sz w:val="24"/>
          <w:szCs w:val="24"/>
        </w:rPr>
        <w:t xml:space="preserve"> </w:t>
      </w:r>
      <w:r w:rsidRPr="0085724C">
        <w:rPr>
          <w:rFonts w:ascii="Bookman Old Style" w:hAnsi="Bookman Old Style" w:cs="Arial"/>
          <w:sz w:val="24"/>
          <w:szCs w:val="24"/>
        </w:rPr>
        <w:t>Dalam</w:t>
      </w:r>
      <w:r w:rsidR="00A954D0">
        <w:rPr>
          <w:rFonts w:ascii="Bookman Old Style" w:hAnsi="Bookman Old Style" w:cs="Arial"/>
          <w:sz w:val="24"/>
          <w:szCs w:val="24"/>
        </w:rPr>
        <w:t xml:space="preserve"> </w:t>
      </w:r>
      <w:r w:rsidRPr="0085724C">
        <w:rPr>
          <w:rFonts w:ascii="Bookman Old Style" w:hAnsi="Bookman Old Style" w:cs="Arial"/>
          <w:sz w:val="24"/>
          <w:szCs w:val="24"/>
        </w:rPr>
        <w:t>Negeri</w:t>
      </w:r>
      <w:r w:rsidR="00A954D0">
        <w:rPr>
          <w:rFonts w:ascii="Bookman Old Style" w:hAnsi="Bookman Old Style" w:cs="Arial"/>
          <w:sz w:val="24"/>
          <w:szCs w:val="24"/>
        </w:rPr>
        <w:t xml:space="preserve"> </w:t>
      </w:r>
      <w:r w:rsidRPr="0085724C">
        <w:rPr>
          <w:rFonts w:ascii="Bookman Old Style" w:hAnsi="Bookman Old Style" w:cs="Arial"/>
          <w:sz w:val="24"/>
          <w:szCs w:val="24"/>
        </w:rPr>
        <w:t>Nomor</w:t>
      </w:r>
      <w:r w:rsidR="00A954D0">
        <w:rPr>
          <w:rFonts w:ascii="Bookman Old Style" w:hAnsi="Bookman Old Style" w:cs="Arial"/>
          <w:sz w:val="24"/>
          <w:szCs w:val="24"/>
        </w:rPr>
        <w:t xml:space="preserve"> </w:t>
      </w:r>
      <w:r w:rsidRPr="0085724C">
        <w:rPr>
          <w:rFonts w:ascii="Bookman Old Style" w:hAnsi="Bookman Old Style" w:cs="Arial"/>
          <w:sz w:val="24"/>
          <w:szCs w:val="24"/>
        </w:rPr>
        <w:t>15</w:t>
      </w:r>
      <w:r w:rsidR="00A954D0">
        <w:rPr>
          <w:rFonts w:ascii="Bookman Old Style" w:hAnsi="Bookman Old Style" w:cs="Arial"/>
          <w:sz w:val="24"/>
          <w:szCs w:val="24"/>
        </w:rPr>
        <w:t xml:space="preserve"> </w:t>
      </w:r>
      <w:r w:rsidRPr="0085724C">
        <w:rPr>
          <w:rFonts w:ascii="Bookman Old Style" w:hAnsi="Bookman Old Style" w:cs="Arial"/>
          <w:sz w:val="24"/>
          <w:szCs w:val="24"/>
        </w:rPr>
        <w:t>Tahun</w:t>
      </w:r>
      <w:r w:rsidR="00A954D0">
        <w:rPr>
          <w:rFonts w:ascii="Bookman Old Style" w:hAnsi="Bookman Old Style" w:cs="Arial"/>
          <w:sz w:val="24"/>
          <w:szCs w:val="24"/>
        </w:rPr>
        <w:t xml:space="preserve"> </w:t>
      </w:r>
      <w:r w:rsidRPr="0085724C">
        <w:rPr>
          <w:rFonts w:ascii="Bookman Old Style" w:hAnsi="Bookman Old Style" w:cs="Arial"/>
          <w:sz w:val="24"/>
          <w:szCs w:val="24"/>
        </w:rPr>
        <w:t>2024.</w:t>
      </w:r>
    </w:p>
    <w:p w14:paraId="67B0AABA" w14:textId="56F73295" w:rsidR="006D52F0" w:rsidRPr="0085724C" w:rsidRDefault="006D52F0" w:rsidP="006D52F0">
      <w:pPr>
        <w:pStyle w:val="ListParagraph"/>
        <w:spacing w:before="60" w:after="0" w:line="276" w:lineRule="auto"/>
        <w:ind w:left="1701"/>
        <w:contextualSpacing w:val="0"/>
        <w:jc w:val="both"/>
        <w:rPr>
          <w:rFonts w:ascii="Bookman Old Style" w:hAnsi="Bookman Old Style" w:cs="Arial"/>
          <w:color w:val="000000" w:themeColor="text1"/>
          <w:sz w:val="24"/>
          <w:szCs w:val="24"/>
          <w:lang w:val="id-ID"/>
        </w:rPr>
      </w:pPr>
      <w:r w:rsidRPr="0085724C">
        <w:rPr>
          <w:rFonts w:ascii="Bookman Old Style" w:hAnsi="Bookman Old Style" w:cs="Arial"/>
          <w:sz w:val="24"/>
          <w:szCs w:val="24"/>
        </w:rPr>
        <w:t>Selain</w:t>
      </w:r>
      <w:r w:rsidR="00A954D0">
        <w:rPr>
          <w:rFonts w:ascii="Bookman Old Style" w:hAnsi="Bookman Old Style" w:cs="Arial"/>
          <w:sz w:val="24"/>
          <w:szCs w:val="24"/>
        </w:rPr>
        <w:t xml:space="preserve"> </w:t>
      </w:r>
      <w:r w:rsidRPr="0085724C">
        <w:rPr>
          <w:rFonts w:ascii="Bookman Old Style" w:hAnsi="Bookman Old Style" w:cs="Arial"/>
          <w:sz w:val="24"/>
          <w:szCs w:val="24"/>
        </w:rPr>
        <w:t>itu,</w:t>
      </w:r>
      <w:r w:rsidR="00A954D0">
        <w:rPr>
          <w:rFonts w:ascii="Bookman Old Style" w:hAnsi="Bookman Old Style" w:cs="Arial"/>
          <w:sz w:val="24"/>
          <w:szCs w:val="24"/>
        </w:rPr>
        <w:t xml:space="preserve"> </w:t>
      </w:r>
      <w:r w:rsidRPr="0085724C">
        <w:rPr>
          <w:rFonts w:ascii="Bookman Old Style" w:hAnsi="Bookman Old Style" w:cs="Arial"/>
          <w:sz w:val="24"/>
          <w:szCs w:val="24"/>
        </w:rPr>
        <w:t>dalam</w:t>
      </w:r>
      <w:r w:rsidR="00A954D0">
        <w:rPr>
          <w:rFonts w:ascii="Bookman Old Style" w:hAnsi="Bookman Old Style" w:cs="Arial"/>
          <w:sz w:val="24"/>
          <w:szCs w:val="24"/>
        </w:rPr>
        <w:t xml:space="preserve"> </w:t>
      </w:r>
      <w:r w:rsidRPr="0085724C">
        <w:rPr>
          <w:rFonts w:ascii="Bookman Old Style" w:hAnsi="Bookman Old Style" w:cs="Arial"/>
          <w:sz w:val="24"/>
          <w:szCs w:val="24"/>
        </w:rPr>
        <w:t>hal</w:t>
      </w:r>
      <w:r w:rsidR="00A954D0">
        <w:rPr>
          <w:rFonts w:ascii="Bookman Old Style" w:hAnsi="Bookman Old Style" w:cs="Arial"/>
          <w:sz w:val="24"/>
          <w:szCs w:val="24"/>
        </w:rPr>
        <w:t xml:space="preserve"> </w:t>
      </w:r>
      <w:r w:rsidRPr="0085724C">
        <w:rPr>
          <w:rFonts w:ascii="Bookman Old Style" w:hAnsi="Bookman Old Style" w:cs="Arial"/>
          <w:sz w:val="24"/>
          <w:szCs w:val="24"/>
        </w:rPr>
        <w:t>selisih</w:t>
      </w:r>
      <w:r w:rsidR="00A954D0">
        <w:rPr>
          <w:rFonts w:ascii="Bookman Old Style" w:hAnsi="Bookman Old Style" w:cs="Arial"/>
          <w:sz w:val="24"/>
          <w:szCs w:val="24"/>
        </w:rPr>
        <w:t xml:space="preserve"> </w:t>
      </w:r>
      <w:r w:rsidRPr="0085724C">
        <w:rPr>
          <w:rFonts w:ascii="Bookman Old Style" w:hAnsi="Bookman Old Style" w:cs="Arial"/>
          <w:sz w:val="24"/>
          <w:szCs w:val="24"/>
        </w:rPr>
        <w:t>penganggaran</w:t>
      </w:r>
      <w:r w:rsidR="00A954D0">
        <w:rPr>
          <w:rFonts w:ascii="Bookman Old Style" w:hAnsi="Bookman Old Style" w:cs="Arial"/>
          <w:sz w:val="24"/>
          <w:szCs w:val="24"/>
        </w:rPr>
        <w:t xml:space="preserve"> </w:t>
      </w:r>
      <w:r w:rsidRPr="0085724C">
        <w:rPr>
          <w:rFonts w:ascii="Bookman Old Style" w:hAnsi="Bookman Old Style" w:cs="Arial"/>
          <w:sz w:val="24"/>
          <w:szCs w:val="24"/>
        </w:rPr>
        <w:t>Dana</w:t>
      </w:r>
      <w:r w:rsidR="00A954D0">
        <w:rPr>
          <w:rFonts w:ascii="Bookman Old Style" w:hAnsi="Bookman Old Style" w:cs="Arial"/>
          <w:sz w:val="24"/>
          <w:szCs w:val="24"/>
        </w:rPr>
        <w:t xml:space="preserve"> </w:t>
      </w:r>
      <w:r w:rsidRPr="0085724C">
        <w:rPr>
          <w:rFonts w:ascii="Bookman Old Style" w:hAnsi="Bookman Old Style" w:cs="Arial"/>
          <w:sz w:val="24"/>
          <w:szCs w:val="24"/>
        </w:rPr>
        <w:t>TKD</w:t>
      </w:r>
      <w:r w:rsidR="00A954D0">
        <w:rPr>
          <w:rFonts w:ascii="Bookman Old Style" w:hAnsi="Bookman Old Style" w:cs="Arial"/>
          <w:sz w:val="24"/>
          <w:szCs w:val="24"/>
        </w:rPr>
        <w:t xml:space="preserve"> </w:t>
      </w:r>
      <w:r w:rsidRPr="0085724C">
        <w:rPr>
          <w:rFonts w:ascii="Bookman Old Style" w:hAnsi="Bookman Old Style" w:cs="Arial"/>
          <w:sz w:val="24"/>
          <w:szCs w:val="24"/>
        </w:rPr>
        <w:t>merupakan</w:t>
      </w:r>
      <w:r w:rsidR="00A954D0">
        <w:rPr>
          <w:rFonts w:ascii="Bookman Old Style" w:hAnsi="Bookman Old Style" w:cs="Arial"/>
          <w:sz w:val="24"/>
          <w:szCs w:val="24"/>
        </w:rPr>
        <w:t xml:space="preserve"> </w:t>
      </w:r>
      <w:r w:rsidRPr="0085724C">
        <w:rPr>
          <w:rFonts w:ascii="Bookman Old Style" w:hAnsi="Bookman Old Style" w:cs="Arial"/>
          <w:sz w:val="24"/>
          <w:szCs w:val="24"/>
        </w:rPr>
        <w:t>penyaluran</w:t>
      </w:r>
      <w:r w:rsidR="00A954D0">
        <w:rPr>
          <w:rFonts w:ascii="Bookman Old Style" w:hAnsi="Bookman Old Style" w:cs="Arial"/>
          <w:sz w:val="24"/>
          <w:szCs w:val="24"/>
        </w:rPr>
        <w:t xml:space="preserve"> </w:t>
      </w:r>
      <w:r w:rsidRPr="0085724C">
        <w:rPr>
          <w:rFonts w:ascii="Bookman Old Style" w:hAnsi="Bookman Old Style" w:cs="Arial"/>
          <w:sz w:val="24"/>
          <w:szCs w:val="24"/>
        </w:rPr>
        <w:t>dana</w:t>
      </w:r>
      <w:r w:rsidR="00A954D0">
        <w:rPr>
          <w:rFonts w:ascii="Bookman Old Style" w:hAnsi="Bookman Old Style" w:cs="Arial"/>
          <w:sz w:val="24"/>
          <w:szCs w:val="24"/>
        </w:rPr>
        <w:t xml:space="preserve"> </w:t>
      </w:r>
      <w:r w:rsidRPr="0085724C">
        <w:rPr>
          <w:rFonts w:ascii="Bookman Old Style" w:hAnsi="Bookman Old Style" w:cs="Arial"/>
          <w:i/>
          <w:iCs/>
          <w:sz w:val="24"/>
          <w:szCs w:val="24"/>
        </w:rPr>
        <w:t>Treasury</w:t>
      </w:r>
      <w:r w:rsidR="00A954D0">
        <w:rPr>
          <w:rFonts w:ascii="Bookman Old Style" w:hAnsi="Bookman Old Style" w:cs="Arial"/>
          <w:i/>
          <w:iCs/>
          <w:sz w:val="24"/>
          <w:szCs w:val="24"/>
        </w:rPr>
        <w:t xml:space="preserve"> </w:t>
      </w:r>
      <w:r w:rsidRPr="0085724C">
        <w:rPr>
          <w:rFonts w:ascii="Bookman Old Style" w:hAnsi="Bookman Old Style" w:cs="Arial"/>
          <w:i/>
          <w:iCs/>
          <w:sz w:val="24"/>
          <w:szCs w:val="24"/>
        </w:rPr>
        <w:t>Deposit</w:t>
      </w:r>
      <w:r w:rsidR="00A954D0">
        <w:rPr>
          <w:rFonts w:ascii="Bookman Old Style" w:hAnsi="Bookman Old Style" w:cs="Arial"/>
          <w:i/>
          <w:iCs/>
          <w:sz w:val="24"/>
          <w:szCs w:val="24"/>
        </w:rPr>
        <w:t xml:space="preserve"> </w:t>
      </w:r>
      <w:r w:rsidRPr="0085724C">
        <w:rPr>
          <w:rFonts w:ascii="Bookman Old Style" w:hAnsi="Bookman Old Style" w:cs="Arial"/>
          <w:i/>
          <w:iCs/>
          <w:sz w:val="24"/>
          <w:szCs w:val="24"/>
        </w:rPr>
        <w:t>Facility</w:t>
      </w:r>
      <w:r w:rsidR="00A954D0">
        <w:rPr>
          <w:rFonts w:ascii="Bookman Old Style" w:hAnsi="Bookman Old Style" w:cs="Arial"/>
          <w:sz w:val="24"/>
          <w:szCs w:val="24"/>
        </w:rPr>
        <w:t xml:space="preserve"> </w:t>
      </w:r>
      <w:r w:rsidRPr="0085724C">
        <w:rPr>
          <w:rFonts w:ascii="Bookman Old Style" w:hAnsi="Bookman Old Style" w:cs="Arial"/>
          <w:sz w:val="24"/>
          <w:szCs w:val="24"/>
        </w:rPr>
        <w:t>dari</w:t>
      </w:r>
      <w:r w:rsidR="00A954D0">
        <w:rPr>
          <w:rFonts w:ascii="Bookman Old Style" w:hAnsi="Bookman Old Style" w:cs="Arial"/>
          <w:sz w:val="24"/>
          <w:szCs w:val="24"/>
        </w:rPr>
        <w:t xml:space="preserve"> </w:t>
      </w:r>
      <w:r w:rsidRPr="0085724C">
        <w:rPr>
          <w:rFonts w:ascii="Bookman Old Style" w:hAnsi="Bookman Old Style" w:cs="Arial"/>
          <w:sz w:val="24"/>
          <w:szCs w:val="24"/>
        </w:rPr>
        <w:t>Rekening</w:t>
      </w:r>
      <w:r w:rsidR="00A954D0">
        <w:rPr>
          <w:rFonts w:ascii="Bookman Old Style" w:hAnsi="Bookman Old Style" w:cs="Arial"/>
          <w:sz w:val="24"/>
          <w:szCs w:val="24"/>
        </w:rPr>
        <w:t xml:space="preserve"> </w:t>
      </w:r>
      <w:r w:rsidRPr="0085724C">
        <w:rPr>
          <w:rFonts w:ascii="Bookman Old Style" w:hAnsi="Bookman Old Style" w:cs="Arial"/>
          <w:sz w:val="24"/>
          <w:szCs w:val="24"/>
        </w:rPr>
        <w:t>Umum</w:t>
      </w:r>
      <w:r w:rsidR="00A954D0">
        <w:rPr>
          <w:rFonts w:ascii="Bookman Old Style" w:hAnsi="Bookman Old Style" w:cs="Arial"/>
          <w:sz w:val="24"/>
          <w:szCs w:val="24"/>
        </w:rPr>
        <w:t xml:space="preserve"> </w:t>
      </w:r>
      <w:r w:rsidRPr="0085724C">
        <w:rPr>
          <w:rFonts w:ascii="Bookman Old Style" w:hAnsi="Bookman Old Style" w:cs="Arial"/>
          <w:sz w:val="24"/>
          <w:szCs w:val="24"/>
        </w:rPr>
        <w:t>Kas</w:t>
      </w:r>
      <w:r w:rsidR="00A954D0">
        <w:rPr>
          <w:rFonts w:ascii="Bookman Old Style" w:hAnsi="Bookman Old Style" w:cs="Arial"/>
          <w:sz w:val="24"/>
          <w:szCs w:val="24"/>
        </w:rPr>
        <w:t xml:space="preserve"> </w:t>
      </w:r>
      <w:r w:rsidRPr="0085724C">
        <w:rPr>
          <w:rFonts w:ascii="Bookman Old Style" w:hAnsi="Bookman Old Style" w:cs="Arial"/>
          <w:sz w:val="24"/>
          <w:szCs w:val="24"/>
        </w:rPr>
        <w:t>Negara</w:t>
      </w:r>
      <w:r w:rsidR="00A954D0">
        <w:rPr>
          <w:rFonts w:ascii="Bookman Old Style" w:hAnsi="Bookman Old Style" w:cs="Arial"/>
          <w:sz w:val="24"/>
          <w:szCs w:val="24"/>
        </w:rPr>
        <w:t xml:space="preserve"> </w:t>
      </w:r>
      <w:r w:rsidRPr="0085724C">
        <w:rPr>
          <w:rFonts w:ascii="Bookman Old Style" w:hAnsi="Bookman Old Style" w:cs="Arial"/>
          <w:sz w:val="24"/>
          <w:szCs w:val="24"/>
        </w:rPr>
        <w:t>ke</w:t>
      </w:r>
      <w:r w:rsidR="00A954D0">
        <w:rPr>
          <w:rFonts w:ascii="Bookman Old Style" w:hAnsi="Bookman Old Style" w:cs="Arial"/>
          <w:sz w:val="24"/>
          <w:szCs w:val="24"/>
        </w:rPr>
        <w:t xml:space="preserve"> </w:t>
      </w:r>
      <w:r w:rsidRPr="0085724C">
        <w:rPr>
          <w:rFonts w:ascii="Bookman Old Style" w:hAnsi="Bookman Old Style" w:cs="Arial"/>
          <w:sz w:val="24"/>
          <w:szCs w:val="24"/>
        </w:rPr>
        <w:t>RKUD,</w:t>
      </w:r>
      <w:r w:rsidR="00A954D0">
        <w:rPr>
          <w:rFonts w:ascii="Bookman Old Style" w:hAnsi="Bookman Old Style" w:cs="Arial"/>
          <w:sz w:val="24"/>
          <w:szCs w:val="24"/>
        </w:rPr>
        <w:t xml:space="preserve"> </w:t>
      </w:r>
      <w:r w:rsidRPr="0085724C">
        <w:rPr>
          <w:rFonts w:ascii="Bookman Old Style" w:hAnsi="Bookman Old Style" w:cs="Arial"/>
          <w:sz w:val="24"/>
          <w:szCs w:val="24"/>
        </w:rPr>
        <w:t>maka</w:t>
      </w:r>
      <w:r w:rsidR="00A954D0">
        <w:rPr>
          <w:rFonts w:ascii="Bookman Old Style" w:hAnsi="Bookman Old Style" w:cs="Arial"/>
          <w:sz w:val="24"/>
          <w:szCs w:val="24"/>
        </w:rPr>
        <w:t xml:space="preserve"> </w:t>
      </w:r>
      <w:r w:rsidRPr="0085724C">
        <w:rPr>
          <w:rFonts w:ascii="Bookman Old Style" w:hAnsi="Bookman Old Style" w:cs="Arial"/>
          <w:sz w:val="24"/>
          <w:szCs w:val="24"/>
        </w:rPr>
        <w:t>Pemerintah</w:t>
      </w:r>
      <w:r w:rsidR="00A954D0">
        <w:rPr>
          <w:rFonts w:ascii="Bookman Old Style" w:hAnsi="Bookman Old Style" w:cs="Arial"/>
          <w:sz w:val="24"/>
          <w:szCs w:val="24"/>
        </w:rPr>
        <w:t xml:space="preserve"> </w:t>
      </w:r>
      <w:r w:rsidRPr="0085724C">
        <w:rPr>
          <w:rFonts w:ascii="Bookman Old Style" w:hAnsi="Bookman Old Style" w:cs="Arial"/>
          <w:sz w:val="24"/>
          <w:szCs w:val="24"/>
        </w:rPr>
        <w:t>Daerah</w:t>
      </w:r>
      <w:r w:rsidR="00A954D0">
        <w:rPr>
          <w:rFonts w:ascii="Bookman Old Style" w:hAnsi="Bookman Old Style" w:cs="Arial"/>
          <w:sz w:val="24"/>
          <w:szCs w:val="24"/>
        </w:rPr>
        <w:t xml:space="preserve"> </w:t>
      </w:r>
      <w:r w:rsidRPr="0085724C">
        <w:rPr>
          <w:rFonts w:ascii="Bookman Old Style" w:hAnsi="Bookman Old Style" w:cs="Arial"/>
          <w:sz w:val="24"/>
          <w:szCs w:val="24"/>
        </w:rPr>
        <w:t>Kota</w:t>
      </w:r>
      <w:r w:rsidR="00A954D0">
        <w:rPr>
          <w:rFonts w:ascii="Bookman Old Style" w:hAnsi="Bookman Old Style" w:cs="Arial"/>
          <w:sz w:val="24"/>
          <w:szCs w:val="24"/>
        </w:rPr>
        <w:t xml:space="preserve"> </w:t>
      </w:r>
      <w:r w:rsidRPr="0085724C">
        <w:rPr>
          <w:rFonts w:ascii="Bookman Old Style" w:hAnsi="Bookman Old Style" w:cs="Arial"/>
          <w:sz w:val="24"/>
          <w:szCs w:val="24"/>
        </w:rPr>
        <w:t>Tangerang</w:t>
      </w:r>
      <w:r w:rsidR="00A954D0">
        <w:rPr>
          <w:rFonts w:ascii="Bookman Old Style" w:hAnsi="Bookman Old Style" w:cs="Arial"/>
          <w:sz w:val="24"/>
          <w:szCs w:val="24"/>
        </w:rPr>
        <w:t xml:space="preserve"> </w:t>
      </w:r>
      <w:r w:rsidRPr="0085724C">
        <w:rPr>
          <w:rFonts w:ascii="Bookman Old Style" w:hAnsi="Bookman Old Style" w:cs="Arial"/>
          <w:sz w:val="24"/>
          <w:szCs w:val="24"/>
        </w:rPr>
        <w:t>dapat</w:t>
      </w:r>
      <w:r w:rsidR="00A954D0">
        <w:rPr>
          <w:rFonts w:ascii="Bookman Old Style" w:hAnsi="Bookman Old Style" w:cs="Arial"/>
          <w:sz w:val="24"/>
          <w:szCs w:val="24"/>
        </w:rPr>
        <w:t xml:space="preserve"> </w:t>
      </w:r>
      <w:r w:rsidRPr="0085724C">
        <w:rPr>
          <w:rFonts w:ascii="Bookman Old Style" w:hAnsi="Bookman Old Style" w:cs="Arial"/>
          <w:sz w:val="24"/>
          <w:szCs w:val="24"/>
        </w:rPr>
        <w:t>menganggarkan</w:t>
      </w:r>
      <w:r w:rsidR="00A954D0">
        <w:rPr>
          <w:rFonts w:ascii="Bookman Old Style" w:hAnsi="Bookman Old Style" w:cs="Arial"/>
          <w:sz w:val="24"/>
          <w:szCs w:val="24"/>
        </w:rPr>
        <w:t xml:space="preserve"> </w:t>
      </w:r>
      <w:r w:rsidRPr="0085724C">
        <w:rPr>
          <w:rFonts w:ascii="Bookman Old Style" w:hAnsi="Bookman Old Style" w:cs="Arial"/>
          <w:sz w:val="24"/>
          <w:szCs w:val="24"/>
        </w:rPr>
        <w:t>pada</w:t>
      </w:r>
      <w:r w:rsidR="00A954D0">
        <w:rPr>
          <w:rFonts w:ascii="Bookman Old Style" w:hAnsi="Bookman Old Style" w:cs="Arial"/>
          <w:sz w:val="24"/>
          <w:szCs w:val="24"/>
        </w:rPr>
        <w:t xml:space="preserve"> </w:t>
      </w:r>
      <w:r w:rsidRPr="0085724C">
        <w:rPr>
          <w:rFonts w:ascii="Bookman Old Style" w:hAnsi="Bookman Old Style" w:cs="Arial"/>
          <w:sz w:val="24"/>
          <w:szCs w:val="24"/>
        </w:rPr>
        <w:t>kode</w:t>
      </w:r>
      <w:r w:rsidR="00A954D0">
        <w:rPr>
          <w:rFonts w:ascii="Bookman Old Style" w:hAnsi="Bookman Old Style" w:cs="Arial"/>
          <w:sz w:val="24"/>
          <w:szCs w:val="24"/>
        </w:rPr>
        <w:t xml:space="preserve"> </w:t>
      </w:r>
      <w:r w:rsidRPr="0085724C">
        <w:rPr>
          <w:rFonts w:ascii="Bookman Old Style" w:hAnsi="Bookman Old Style" w:cs="Arial"/>
          <w:sz w:val="24"/>
          <w:szCs w:val="24"/>
        </w:rPr>
        <w:t>rekening</w:t>
      </w:r>
      <w:r w:rsidR="00A954D0">
        <w:rPr>
          <w:rFonts w:ascii="Bookman Old Style" w:hAnsi="Bookman Old Style" w:cs="Arial"/>
          <w:sz w:val="24"/>
          <w:szCs w:val="24"/>
        </w:rPr>
        <w:t xml:space="preserve"> </w:t>
      </w:r>
      <w:r w:rsidRPr="0085724C">
        <w:rPr>
          <w:rFonts w:ascii="Bookman Old Style" w:hAnsi="Bookman Old Style" w:cs="Arial"/>
          <w:sz w:val="24"/>
          <w:szCs w:val="24"/>
        </w:rPr>
        <w:t>berkenaan</w:t>
      </w:r>
      <w:r w:rsidR="00A954D0">
        <w:rPr>
          <w:rFonts w:ascii="Bookman Old Style" w:hAnsi="Bookman Old Style" w:cs="Arial"/>
          <w:sz w:val="24"/>
          <w:szCs w:val="24"/>
        </w:rPr>
        <w:t xml:space="preserve"> </w:t>
      </w:r>
      <w:r w:rsidRPr="0085724C">
        <w:rPr>
          <w:rFonts w:ascii="Bookman Old Style" w:hAnsi="Bookman Old Style" w:cs="Arial"/>
          <w:sz w:val="24"/>
          <w:szCs w:val="24"/>
        </w:rPr>
        <w:t>dengan</w:t>
      </w:r>
      <w:r w:rsidR="00A954D0">
        <w:rPr>
          <w:rFonts w:ascii="Bookman Old Style" w:hAnsi="Bookman Old Style" w:cs="Arial"/>
          <w:sz w:val="24"/>
          <w:szCs w:val="24"/>
        </w:rPr>
        <w:t xml:space="preserve"> </w:t>
      </w:r>
      <w:r w:rsidRPr="0085724C">
        <w:rPr>
          <w:rFonts w:ascii="Bookman Old Style" w:hAnsi="Bookman Old Style" w:cs="Arial"/>
          <w:sz w:val="24"/>
          <w:szCs w:val="24"/>
        </w:rPr>
        <w:t>berpedoman</w:t>
      </w:r>
      <w:r w:rsidR="00A954D0">
        <w:rPr>
          <w:rFonts w:ascii="Bookman Old Style" w:hAnsi="Bookman Old Style" w:cs="Arial"/>
          <w:sz w:val="24"/>
          <w:szCs w:val="24"/>
        </w:rPr>
        <w:t xml:space="preserve"> </w:t>
      </w:r>
      <w:r w:rsidRPr="0085724C">
        <w:rPr>
          <w:rFonts w:ascii="Bookman Old Style" w:hAnsi="Bookman Old Style" w:cs="Arial"/>
          <w:sz w:val="24"/>
          <w:szCs w:val="24"/>
        </w:rPr>
        <w:t>pada</w:t>
      </w:r>
      <w:r w:rsidR="00A954D0">
        <w:rPr>
          <w:rFonts w:ascii="Bookman Old Style" w:hAnsi="Bookman Old Style" w:cs="Arial"/>
          <w:sz w:val="24"/>
          <w:szCs w:val="24"/>
        </w:rPr>
        <w:t xml:space="preserve"> </w:t>
      </w:r>
      <w:r w:rsidRPr="0085724C">
        <w:rPr>
          <w:rFonts w:ascii="Bookman Old Style" w:hAnsi="Bookman Old Style" w:cs="Arial"/>
          <w:sz w:val="24"/>
          <w:szCs w:val="24"/>
        </w:rPr>
        <w:t>Peraturan</w:t>
      </w:r>
      <w:r w:rsidR="00A954D0">
        <w:rPr>
          <w:rFonts w:ascii="Bookman Old Style" w:hAnsi="Bookman Old Style" w:cs="Arial"/>
          <w:sz w:val="24"/>
          <w:szCs w:val="24"/>
        </w:rPr>
        <w:t xml:space="preserve"> </w:t>
      </w:r>
      <w:r w:rsidRPr="0085724C">
        <w:rPr>
          <w:rFonts w:ascii="Bookman Old Style" w:hAnsi="Bookman Old Style" w:cs="Arial"/>
          <w:sz w:val="24"/>
          <w:szCs w:val="24"/>
        </w:rPr>
        <w:t>Menteri</w:t>
      </w:r>
      <w:r w:rsidR="00A954D0">
        <w:rPr>
          <w:rFonts w:ascii="Bookman Old Style" w:hAnsi="Bookman Old Style" w:cs="Arial"/>
          <w:sz w:val="24"/>
          <w:szCs w:val="24"/>
        </w:rPr>
        <w:t xml:space="preserve"> </w:t>
      </w:r>
      <w:r w:rsidRPr="0085724C">
        <w:rPr>
          <w:rFonts w:ascii="Bookman Old Style" w:hAnsi="Bookman Old Style" w:cs="Arial"/>
          <w:sz w:val="24"/>
          <w:szCs w:val="24"/>
        </w:rPr>
        <w:t>Keuangan</w:t>
      </w:r>
      <w:r w:rsidR="00A954D0">
        <w:rPr>
          <w:rFonts w:ascii="Bookman Old Style" w:hAnsi="Bookman Old Style" w:cs="Arial"/>
          <w:sz w:val="24"/>
          <w:szCs w:val="24"/>
        </w:rPr>
        <w:t xml:space="preserve"> </w:t>
      </w:r>
      <w:r w:rsidRPr="0085724C">
        <w:rPr>
          <w:rFonts w:ascii="Bookman Old Style" w:hAnsi="Bookman Old Style" w:cs="Arial"/>
          <w:sz w:val="24"/>
          <w:szCs w:val="24"/>
        </w:rPr>
        <w:t>Nomor</w:t>
      </w:r>
      <w:r w:rsidR="00A954D0">
        <w:rPr>
          <w:rFonts w:ascii="Bookman Old Style" w:hAnsi="Bookman Old Style" w:cs="Arial"/>
          <w:sz w:val="24"/>
          <w:szCs w:val="24"/>
        </w:rPr>
        <w:t xml:space="preserve"> </w:t>
      </w:r>
      <w:r w:rsidRPr="0085724C">
        <w:rPr>
          <w:rFonts w:ascii="Bookman Old Style" w:hAnsi="Bookman Old Style" w:cs="Arial"/>
          <w:sz w:val="24"/>
          <w:szCs w:val="24"/>
        </w:rPr>
        <w:t>16</w:t>
      </w:r>
      <w:r w:rsidR="00A954D0">
        <w:rPr>
          <w:rFonts w:ascii="Bookman Old Style" w:hAnsi="Bookman Old Style" w:cs="Arial"/>
          <w:sz w:val="24"/>
          <w:szCs w:val="24"/>
        </w:rPr>
        <w:t xml:space="preserve"> </w:t>
      </w:r>
      <w:r w:rsidRPr="0085724C">
        <w:rPr>
          <w:rFonts w:ascii="Bookman Old Style" w:hAnsi="Bookman Old Style" w:cs="Arial"/>
          <w:sz w:val="24"/>
          <w:szCs w:val="24"/>
        </w:rPr>
        <w:t>Tahun</w:t>
      </w:r>
      <w:r w:rsidR="00A954D0">
        <w:rPr>
          <w:rFonts w:ascii="Bookman Old Style" w:hAnsi="Bookman Old Style" w:cs="Arial"/>
          <w:sz w:val="24"/>
          <w:szCs w:val="24"/>
        </w:rPr>
        <w:t xml:space="preserve"> </w:t>
      </w:r>
      <w:r w:rsidRPr="0085724C">
        <w:rPr>
          <w:rFonts w:ascii="Bookman Old Style" w:hAnsi="Bookman Old Style" w:cs="Arial"/>
          <w:sz w:val="24"/>
          <w:szCs w:val="24"/>
        </w:rPr>
        <w:t>2024</w:t>
      </w:r>
      <w:r w:rsidR="00A954D0">
        <w:rPr>
          <w:rFonts w:ascii="Bookman Old Style" w:hAnsi="Bookman Old Style" w:cs="Arial"/>
          <w:sz w:val="24"/>
          <w:szCs w:val="24"/>
        </w:rPr>
        <w:t xml:space="preserve"> </w:t>
      </w:r>
      <w:r w:rsidRPr="0085724C">
        <w:rPr>
          <w:rFonts w:ascii="Bookman Old Style" w:hAnsi="Bookman Old Style" w:cs="Arial"/>
          <w:sz w:val="24"/>
          <w:szCs w:val="24"/>
        </w:rPr>
        <w:t>tentang</w:t>
      </w:r>
      <w:r w:rsidR="00A954D0">
        <w:rPr>
          <w:rFonts w:ascii="Bookman Old Style" w:hAnsi="Bookman Old Style" w:cs="Arial"/>
          <w:sz w:val="24"/>
          <w:szCs w:val="24"/>
        </w:rPr>
        <w:t xml:space="preserve"> </w:t>
      </w:r>
      <w:r w:rsidRPr="0085724C">
        <w:rPr>
          <w:rFonts w:ascii="Bookman Old Style" w:hAnsi="Bookman Old Style" w:cs="Arial"/>
          <w:sz w:val="24"/>
          <w:szCs w:val="24"/>
        </w:rPr>
        <w:t>Perubahan</w:t>
      </w:r>
      <w:r w:rsidR="00A954D0">
        <w:rPr>
          <w:rFonts w:ascii="Bookman Old Style" w:hAnsi="Bookman Old Style" w:cs="Arial"/>
          <w:sz w:val="24"/>
          <w:szCs w:val="24"/>
        </w:rPr>
        <w:t xml:space="preserve"> </w:t>
      </w:r>
      <w:r w:rsidRPr="0085724C">
        <w:rPr>
          <w:rFonts w:ascii="Bookman Old Style" w:hAnsi="Bookman Old Style" w:cs="Arial"/>
          <w:sz w:val="24"/>
          <w:szCs w:val="24"/>
        </w:rPr>
        <w:t>atas</w:t>
      </w:r>
      <w:r w:rsidR="00A954D0">
        <w:rPr>
          <w:rFonts w:ascii="Bookman Old Style" w:hAnsi="Bookman Old Style" w:cs="Arial"/>
          <w:sz w:val="24"/>
          <w:szCs w:val="24"/>
        </w:rPr>
        <w:t xml:space="preserve"> </w:t>
      </w:r>
      <w:r w:rsidRPr="0085724C">
        <w:rPr>
          <w:rFonts w:ascii="Bookman Old Style" w:hAnsi="Bookman Old Style" w:cs="Arial"/>
          <w:sz w:val="24"/>
          <w:szCs w:val="24"/>
        </w:rPr>
        <w:t>Peraturan</w:t>
      </w:r>
      <w:r w:rsidR="00A954D0">
        <w:rPr>
          <w:rFonts w:ascii="Bookman Old Style" w:hAnsi="Bookman Old Style" w:cs="Arial"/>
          <w:sz w:val="24"/>
          <w:szCs w:val="24"/>
        </w:rPr>
        <w:t xml:space="preserve"> </w:t>
      </w:r>
      <w:r w:rsidRPr="0085724C">
        <w:rPr>
          <w:rFonts w:ascii="Bookman Old Style" w:hAnsi="Bookman Old Style" w:cs="Arial"/>
          <w:sz w:val="24"/>
          <w:szCs w:val="24"/>
        </w:rPr>
        <w:t>Menteri</w:t>
      </w:r>
      <w:r w:rsidR="00A954D0">
        <w:rPr>
          <w:rFonts w:ascii="Bookman Old Style" w:hAnsi="Bookman Old Style" w:cs="Arial"/>
          <w:sz w:val="24"/>
          <w:szCs w:val="24"/>
        </w:rPr>
        <w:t xml:space="preserve"> </w:t>
      </w:r>
      <w:r w:rsidRPr="0085724C">
        <w:rPr>
          <w:rFonts w:ascii="Bookman Old Style" w:hAnsi="Bookman Old Style" w:cs="Arial"/>
          <w:sz w:val="24"/>
          <w:szCs w:val="24"/>
        </w:rPr>
        <w:t>Keuangan</w:t>
      </w:r>
      <w:r w:rsidR="00A954D0">
        <w:rPr>
          <w:rFonts w:ascii="Bookman Old Style" w:hAnsi="Bookman Old Style" w:cs="Arial"/>
          <w:sz w:val="24"/>
          <w:szCs w:val="24"/>
        </w:rPr>
        <w:t xml:space="preserve"> </w:t>
      </w:r>
      <w:r w:rsidRPr="0085724C">
        <w:rPr>
          <w:rFonts w:ascii="Bookman Old Style" w:hAnsi="Bookman Old Style" w:cs="Arial"/>
          <w:sz w:val="24"/>
          <w:szCs w:val="24"/>
        </w:rPr>
        <w:t>Nomor</w:t>
      </w:r>
      <w:r w:rsidR="00A954D0">
        <w:rPr>
          <w:rFonts w:ascii="Bookman Old Style" w:hAnsi="Bookman Old Style" w:cs="Arial"/>
          <w:sz w:val="24"/>
          <w:szCs w:val="24"/>
        </w:rPr>
        <w:t xml:space="preserve"> </w:t>
      </w:r>
      <w:r w:rsidRPr="0085724C">
        <w:rPr>
          <w:rFonts w:ascii="Bookman Old Style" w:hAnsi="Bookman Old Style" w:cs="Arial"/>
          <w:sz w:val="24"/>
          <w:szCs w:val="24"/>
        </w:rPr>
        <w:t>19</w:t>
      </w:r>
      <w:r w:rsidR="00A954D0">
        <w:rPr>
          <w:rFonts w:ascii="Bookman Old Style" w:hAnsi="Bookman Old Style" w:cs="Arial"/>
          <w:sz w:val="24"/>
          <w:szCs w:val="24"/>
        </w:rPr>
        <w:t xml:space="preserve"> </w:t>
      </w:r>
      <w:r w:rsidRPr="0085724C">
        <w:rPr>
          <w:rFonts w:ascii="Bookman Old Style" w:hAnsi="Bookman Old Style" w:cs="Arial"/>
          <w:sz w:val="24"/>
          <w:szCs w:val="24"/>
        </w:rPr>
        <w:t>Tahun</w:t>
      </w:r>
      <w:r w:rsidR="00A954D0">
        <w:rPr>
          <w:rFonts w:ascii="Bookman Old Style" w:hAnsi="Bookman Old Style" w:cs="Arial"/>
          <w:sz w:val="24"/>
          <w:szCs w:val="24"/>
        </w:rPr>
        <w:t xml:space="preserve"> </w:t>
      </w:r>
      <w:r w:rsidRPr="0085724C">
        <w:rPr>
          <w:rFonts w:ascii="Bookman Old Style" w:hAnsi="Bookman Old Style" w:cs="Arial"/>
          <w:sz w:val="24"/>
          <w:szCs w:val="24"/>
        </w:rPr>
        <w:t>2023</w:t>
      </w:r>
      <w:r w:rsidR="00A954D0">
        <w:rPr>
          <w:rFonts w:ascii="Bookman Old Style" w:hAnsi="Bookman Old Style" w:cs="Arial"/>
          <w:sz w:val="24"/>
          <w:szCs w:val="24"/>
        </w:rPr>
        <w:t xml:space="preserve"> </w:t>
      </w:r>
      <w:r w:rsidRPr="0085724C">
        <w:rPr>
          <w:rFonts w:ascii="Bookman Old Style" w:hAnsi="Bookman Old Style" w:cs="Arial"/>
          <w:sz w:val="24"/>
          <w:szCs w:val="24"/>
        </w:rPr>
        <w:t>tentang</w:t>
      </w:r>
      <w:r w:rsidR="00A954D0">
        <w:rPr>
          <w:rFonts w:ascii="Bookman Old Style" w:hAnsi="Bookman Old Style" w:cs="Arial"/>
          <w:sz w:val="24"/>
          <w:szCs w:val="24"/>
        </w:rPr>
        <w:t xml:space="preserve"> </w:t>
      </w:r>
      <w:r w:rsidRPr="0085724C">
        <w:rPr>
          <w:rFonts w:ascii="Bookman Old Style" w:hAnsi="Bookman Old Style" w:cs="Arial"/>
          <w:sz w:val="24"/>
          <w:szCs w:val="24"/>
        </w:rPr>
        <w:t>Pengelolaan</w:t>
      </w:r>
      <w:r w:rsidR="00A954D0">
        <w:rPr>
          <w:rFonts w:ascii="Bookman Old Style" w:hAnsi="Bookman Old Style" w:cs="Arial"/>
          <w:sz w:val="24"/>
          <w:szCs w:val="24"/>
        </w:rPr>
        <w:t xml:space="preserve"> </w:t>
      </w:r>
      <w:r w:rsidRPr="0085724C">
        <w:rPr>
          <w:rFonts w:ascii="Bookman Old Style" w:hAnsi="Bookman Old Style" w:cs="Arial"/>
          <w:sz w:val="24"/>
          <w:szCs w:val="24"/>
        </w:rPr>
        <w:t>Dana</w:t>
      </w:r>
      <w:r w:rsidR="00A954D0">
        <w:rPr>
          <w:rFonts w:ascii="Bookman Old Style" w:hAnsi="Bookman Old Style" w:cs="Arial"/>
          <w:sz w:val="24"/>
          <w:szCs w:val="24"/>
        </w:rPr>
        <w:t xml:space="preserve"> </w:t>
      </w:r>
      <w:r w:rsidRPr="0085724C">
        <w:rPr>
          <w:rFonts w:ascii="Bookman Old Style" w:hAnsi="Bookman Old Style" w:cs="Arial"/>
          <w:sz w:val="24"/>
          <w:szCs w:val="24"/>
        </w:rPr>
        <w:t>Bagi</w:t>
      </w:r>
      <w:r w:rsidR="00A954D0">
        <w:rPr>
          <w:rFonts w:ascii="Bookman Old Style" w:hAnsi="Bookman Old Style" w:cs="Arial"/>
          <w:sz w:val="24"/>
          <w:szCs w:val="24"/>
        </w:rPr>
        <w:t xml:space="preserve"> </w:t>
      </w:r>
      <w:r w:rsidRPr="0085724C">
        <w:rPr>
          <w:rFonts w:ascii="Bookman Old Style" w:hAnsi="Bookman Old Style" w:cs="Arial"/>
          <w:sz w:val="24"/>
          <w:szCs w:val="24"/>
        </w:rPr>
        <w:t>Hasil</w:t>
      </w:r>
      <w:r w:rsidR="00A954D0">
        <w:rPr>
          <w:rFonts w:ascii="Bookman Old Style" w:hAnsi="Bookman Old Style" w:cs="Arial"/>
          <w:sz w:val="24"/>
          <w:szCs w:val="24"/>
        </w:rPr>
        <w:t xml:space="preserve"> </w:t>
      </w:r>
      <w:r w:rsidRPr="0085724C">
        <w:rPr>
          <w:rFonts w:ascii="Bookman Old Style" w:hAnsi="Bookman Old Style" w:cs="Arial"/>
          <w:sz w:val="24"/>
          <w:szCs w:val="24"/>
        </w:rPr>
        <w:t>dan/atau</w:t>
      </w:r>
      <w:r w:rsidR="00A954D0">
        <w:rPr>
          <w:rFonts w:ascii="Bookman Old Style" w:hAnsi="Bookman Old Style" w:cs="Arial"/>
          <w:sz w:val="24"/>
          <w:szCs w:val="24"/>
        </w:rPr>
        <w:t xml:space="preserve"> </w:t>
      </w:r>
      <w:r w:rsidRPr="0085724C">
        <w:rPr>
          <w:rFonts w:ascii="Bookman Old Style" w:hAnsi="Bookman Old Style" w:cs="Arial"/>
          <w:sz w:val="24"/>
          <w:szCs w:val="24"/>
        </w:rPr>
        <w:t>Dana</w:t>
      </w:r>
      <w:r w:rsidR="00A954D0">
        <w:rPr>
          <w:rFonts w:ascii="Bookman Old Style" w:hAnsi="Bookman Old Style" w:cs="Arial"/>
          <w:sz w:val="24"/>
          <w:szCs w:val="24"/>
        </w:rPr>
        <w:t xml:space="preserve"> </w:t>
      </w:r>
      <w:r w:rsidRPr="0085724C">
        <w:rPr>
          <w:rFonts w:ascii="Bookman Old Style" w:hAnsi="Bookman Old Style" w:cs="Arial"/>
          <w:sz w:val="24"/>
          <w:szCs w:val="24"/>
        </w:rPr>
        <w:t>Alokasi</w:t>
      </w:r>
      <w:r w:rsidR="00A954D0">
        <w:rPr>
          <w:rFonts w:ascii="Bookman Old Style" w:hAnsi="Bookman Old Style" w:cs="Arial"/>
          <w:sz w:val="24"/>
          <w:szCs w:val="24"/>
        </w:rPr>
        <w:t xml:space="preserve"> </w:t>
      </w:r>
      <w:r w:rsidRPr="0085724C">
        <w:rPr>
          <w:rFonts w:ascii="Bookman Old Style" w:hAnsi="Bookman Old Style" w:cs="Arial"/>
          <w:sz w:val="24"/>
          <w:szCs w:val="24"/>
        </w:rPr>
        <w:t>Umum</w:t>
      </w:r>
      <w:r w:rsidR="00A954D0">
        <w:rPr>
          <w:rFonts w:ascii="Bookman Old Style" w:hAnsi="Bookman Old Style" w:cs="Arial"/>
          <w:sz w:val="24"/>
          <w:szCs w:val="24"/>
        </w:rPr>
        <w:t xml:space="preserve"> </w:t>
      </w:r>
      <w:r w:rsidRPr="0085724C">
        <w:rPr>
          <w:rFonts w:ascii="Bookman Old Style" w:hAnsi="Bookman Old Style" w:cs="Arial"/>
          <w:sz w:val="24"/>
          <w:szCs w:val="24"/>
        </w:rPr>
        <w:t>yang</w:t>
      </w:r>
      <w:r w:rsidR="00A954D0">
        <w:rPr>
          <w:rFonts w:ascii="Bookman Old Style" w:hAnsi="Bookman Old Style" w:cs="Arial"/>
          <w:sz w:val="24"/>
          <w:szCs w:val="24"/>
        </w:rPr>
        <w:t xml:space="preserve"> </w:t>
      </w:r>
      <w:r w:rsidRPr="0085724C">
        <w:rPr>
          <w:rFonts w:ascii="Bookman Old Style" w:hAnsi="Bookman Old Style" w:cs="Arial"/>
          <w:sz w:val="24"/>
          <w:szCs w:val="24"/>
        </w:rPr>
        <w:t>Disalurkan</w:t>
      </w:r>
      <w:r w:rsidR="00A954D0">
        <w:rPr>
          <w:rFonts w:ascii="Bookman Old Style" w:hAnsi="Bookman Old Style" w:cs="Arial"/>
          <w:sz w:val="24"/>
          <w:szCs w:val="24"/>
        </w:rPr>
        <w:t xml:space="preserve"> </w:t>
      </w:r>
      <w:r w:rsidRPr="0085724C">
        <w:rPr>
          <w:rFonts w:ascii="Bookman Old Style" w:hAnsi="Bookman Old Style" w:cs="Arial"/>
          <w:sz w:val="24"/>
          <w:szCs w:val="24"/>
        </w:rPr>
        <w:t>Secara</w:t>
      </w:r>
      <w:r w:rsidR="00A954D0">
        <w:rPr>
          <w:rFonts w:ascii="Bookman Old Style" w:hAnsi="Bookman Old Style" w:cs="Arial"/>
          <w:sz w:val="24"/>
          <w:szCs w:val="24"/>
        </w:rPr>
        <w:t xml:space="preserve"> </w:t>
      </w:r>
      <w:r w:rsidRPr="0085724C">
        <w:rPr>
          <w:rFonts w:ascii="Bookman Old Style" w:hAnsi="Bookman Old Style" w:cs="Arial"/>
          <w:sz w:val="24"/>
          <w:szCs w:val="24"/>
        </w:rPr>
        <w:t>Non</w:t>
      </w:r>
      <w:r w:rsidR="00A954D0">
        <w:rPr>
          <w:rFonts w:ascii="Bookman Old Style" w:hAnsi="Bookman Old Style" w:cs="Arial"/>
          <w:sz w:val="24"/>
          <w:szCs w:val="24"/>
        </w:rPr>
        <w:t xml:space="preserve"> </w:t>
      </w:r>
      <w:r w:rsidRPr="0085724C">
        <w:rPr>
          <w:rFonts w:ascii="Bookman Old Style" w:hAnsi="Bookman Old Style" w:cs="Arial"/>
          <w:sz w:val="24"/>
          <w:szCs w:val="24"/>
        </w:rPr>
        <w:t>Tunai</w:t>
      </w:r>
      <w:r w:rsidR="00A954D0">
        <w:rPr>
          <w:rFonts w:ascii="Bookman Old Style" w:hAnsi="Bookman Old Style" w:cs="Arial"/>
          <w:sz w:val="24"/>
          <w:szCs w:val="24"/>
        </w:rPr>
        <w:t xml:space="preserve"> </w:t>
      </w:r>
      <w:r w:rsidRPr="0085724C">
        <w:rPr>
          <w:rFonts w:ascii="Bookman Old Style" w:hAnsi="Bookman Old Style" w:cs="Arial"/>
          <w:sz w:val="24"/>
          <w:szCs w:val="24"/>
        </w:rPr>
        <w:t>Melalui</w:t>
      </w:r>
      <w:r w:rsidR="00A954D0">
        <w:rPr>
          <w:rFonts w:ascii="Bookman Old Style" w:hAnsi="Bookman Old Style" w:cs="Arial"/>
          <w:sz w:val="24"/>
          <w:szCs w:val="24"/>
        </w:rPr>
        <w:t xml:space="preserve"> </w:t>
      </w:r>
      <w:r w:rsidRPr="0085724C">
        <w:rPr>
          <w:rFonts w:ascii="Bookman Old Style" w:hAnsi="Bookman Old Style" w:cs="Arial"/>
          <w:sz w:val="24"/>
          <w:szCs w:val="24"/>
        </w:rPr>
        <w:t>Fasilitas</w:t>
      </w:r>
      <w:r w:rsidR="00A954D0">
        <w:rPr>
          <w:rFonts w:ascii="Bookman Old Style" w:hAnsi="Bookman Old Style" w:cs="Arial"/>
          <w:sz w:val="24"/>
          <w:szCs w:val="24"/>
        </w:rPr>
        <w:t xml:space="preserve"> </w:t>
      </w:r>
      <w:r w:rsidRPr="0085724C">
        <w:rPr>
          <w:rFonts w:ascii="Bookman Old Style" w:hAnsi="Bookman Old Style" w:cs="Arial"/>
          <w:i/>
          <w:iCs/>
          <w:sz w:val="24"/>
          <w:szCs w:val="24"/>
        </w:rPr>
        <w:t>Treasury</w:t>
      </w:r>
      <w:r w:rsidR="00A954D0">
        <w:rPr>
          <w:rFonts w:ascii="Bookman Old Style" w:hAnsi="Bookman Old Style" w:cs="Arial"/>
          <w:i/>
          <w:iCs/>
          <w:sz w:val="24"/>
          <w:szCs w:val="24"/>
        </w:rPr>
        <w:t xml:space="preserve"> </w:t>
      </w:r>
      <w:r w:rsidRPr="0085724C">
        <w:rPr>
          <w:rFonts w:ascii="Bookman Old Style" w:hAnsi="Bookman Old Style" w:cs="Arial"/>
          <w:i/>
          <w:iCs/>
          <w:sz w:val="24"/>
          <w:szCs w:val="24"/>
        </w:rPr>
        <w:t>Deposit</w:t>
      </w:r>
      <w:r w:rsidR="00A954D0">
        <w:rPr>
          <w:rFonts w:ascii="Bookman Old Style" w:hAnsi="Bookman Old Style" w:cs="Arial"/>
          <w:i/>
          <w:iCs/>
          <w:sz w:val="24"/>
          <w:szCs w:val="24"/>
        </w:rPr>
        <w:t xml:space="preserve"> </w:t>
      </w:r>
      <w:r w:rsidRPr="0085724C">
        <w:rPr>
          <w:rFonts w:ascii="Bookman Old Style" w:hAnsi="Bookman Old Style" w:cs="Arial"/>
          <w:i/>
          <w:iCs/>
          <w:sz w:val="24"/>
          <w:szCs w:val="24"/>
        </w:rPr>
        <w:t>Facility</w:t>
      </w:r>
      <w:r w:rsidRPr="0085724C">
        <w:rPr>
          <w:rFonts w:ascii="Bookman Old Style" w:hAnsi="Bookman Old Style" w:cs="Arial"/>
          <w:sz w:val="24"/>
          <w:szCs w:val="24"/>
        </w:rPr>
        <w:t>.</w:t>
      </w:r>
      <w:r w:rsidR="00A954D0">
        <w:rPr>
          <w:rFonts w:ascii="Bookman Old Style" w:hAnsi="Bookman Old Style" w:cs="Arial"/>
          <w:color w:val="000000" w:themeColor="text1"/>
          <w:sz w:val="24"/>
          <w:szCs w:val="24"/>
          <w:lang w:val="id-ID"/>
        </w:rPr>
        <w:t xml:space="preserve"> </w:t>
      </w:r>
    </w:p>
    <w:p w14:paraId="7F9289B8" w14:textId="14EB1424" w:rsidR="006D52F0" w:rsidRPr="003255BC" w:rsidRDefault="006D52F0">
      <w:pPr>
        <w:pStyle w:val="ListParagraph"/>
        <w:numPr>
          <w:ilvl w:val="0"/>
          <w:numId w:val="79"/>
        </w:numPr>
        <w:spacing w:before="120" w:after="0" w:line="276" w:lineRule="auto"/>
        <w:ind w:left="1701" w:hanging="425"/>
        <w:contextualSpacing w:val="0"/>
        <w:jc w:val="both"/>
        <w:rPr>
          <w:rFonts w:ascii="Bookman Old Style" w:eastAsia="Bookman Old Style" w:hAnsi="Bookman Old Style" w:cs="Bookman Old Style"/>
          <w:sz w:val="24"/>
          <w:szCs w:val="24"/>
          <w:lang w:val="id-ID"/>
        </w:rPr>
      </w:pPr>
      <w:r w:rsidRPr="0085724C">
        <w:rPr>
          <w:rFonts w:ascii="Bookman Old Style" w:hAnsi="Bookman Old Style" w:cs="Arial"/>
          <w:color w:val="000000" w:themeColor="text1"/>
          <w:sz w:val="24"/>
          <w:szCs w:val="24"/>
        </w:rPr>
        <w:t>Pendapatan</w:t>
      </w:r>
      <w:r w:rsidR="00A954D0" w:rsidRPr="003255BC">
        <w:rPr>
          <w:rFonts w:ascii="Bookman Old Style" w:eastAsia="Bookman Old Style" w:hAnsi="Bookman Old Style" w:cs="Bookman Old Style"/>
          <w:spacing w:val="62"/>
          <w:sz w:val="24"/>
          <w:szCs w:val="24"/>
          <w:lang w:val="id-ID"/>
        </w:rPr>
        <w:t xml:space="preserve"> </w:t>
      </w:r>
      <w:r w:rsidRPr="003255BC">
        <w:rPr>
          <w:rFonts w:ascii="Bookman Old Style" w:eastAsia="Bookman Old Style" w:hAnsi="Bookman Old Style" w:cs="Bookman Old Style"/>
          <w:spacing w:val="-2"/>
          <w:sz w:val="24"/>
          <w:szCs w:val="24"/>
          <w:lang w:val="id-ID"/>
        </w:rPr>
        <w:t>T</w:t>
      </w:r>
      <w:r w:rsidRPr="003255BC">
        <w:rPr>
          <w:rFonts w:ascii="Bookman Old Style" w:eastAsia="Bookman Old Style" w:hAnsi="Bookman Old Style" w:cs="Bookman Old Style"/>
          <w:sz w:val="24"/>
          <w:szCs w:val="24"/>
          <w:lang w:val="id-ID"/>
        </w:rPr>
        <w:t>r</w:t>
      </w:r>
      <w:r w:rsidRPr="003255BC">
        <w:rPr>
          <w:rFonts w:ascii="Bookman Old Style" w:eastAsia="Bookman Old Style" w:hAnsi="Bookman Old Style" w:cs="Bookman Old Style"/>
          <w:spacing w:val="2"/>
          <w:sz w:val="24"/>
          <w:szCs w:val="24"/>
          <w:lang w:val="id-ID"/>
        </w:rPr>
        <w:t>a</w:t>
      </w:r>
      <w:r w:rsidRPr="003255BC">
        <w:rPr>
          <w:rFonts w:ascii="Bookman Old Style" w:eastAsia="Bookman Old Style" w:hAnsi="Bookman Old Style" w:cs="Bookman Old Style"/>
          <w:sz w:val="24"/>
          <w:szCs w:val="24"/>
          <w:lang w:val="id-ID"/>
        </w:rPr>
        <w:t>nsfer</w:t>
      </w:r>
      <w:r w:rsidR="00A954D0" w:rsidRPr="003255BC">
        <w:rPr>
          <w:rFonts w:ascii="Bookman Old Style" w:eastAsia="Bookman Old Style" w:hAnsi="Bookman Old Style" w:cs="Bookman Old Style"/>
          <w:spacing w:val="62"/>
          <w:sz w:val="24"/>
          <w:szCs w:val="24"/>
          <w:lang w:val="id-ID"/>
        </w:rPr>
        <w:t xml:space="preserve"> </w:t>
      </w:r>
      <w:r w:rsidRPr="003255BC">
        <w:rPr>
          <w:rFonts w:ascii="Bookman Old Style" w:eastAsia="Bookman Old Style" w:hAnsi="Bookman Old Style" w:cs="Bookman Old Style"/>
          <w:sz w:val="24"/>
          <w:szCs w:val="24"/>
          <w:lang w:val="id-ID"/>
        </w:rPr>
        <w:t>Antar</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Daerah</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Rp275.885.955.474,00</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atau</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5,20%</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dari</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total</w:t>
      </w:r>
      <w:r w:rsidR="00A954D0" w:rsidRPr="003255BC">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id-ID"/>
        </w:rPr>
        <w:t>pendapatan</w:t>
      </w:r>
      <w:r w:rsidR="00A954D0" w:rsidRPr="003255BC">
        <w:rPr>
          <w:rFonts w:ascii="Bookman Old Style" w:eastAsia="Bookman Old Style" w:hAnsi="Bookman Old Style" w:cs="Bookman Old Style"/>
          <w:spacing w:val="2"/>
          <w:sz w:val="24"/>
          <w:szCs w:val="24"/>
          <w:lang w:val="id-ID"/>
        </w:rPr>
        <w:t xml:space="preserve"> </w:t>
      </w:r>
      <w:r w:rsidRPr="003255BC">
        <w:rPr>
          <w:rFonts w:ascii="Bookman Old Style" w:eastAsia="Bookman Old Style" w:hAnsi="Bookman Old Style" w:cs="Bookman Old Style"/>
          <w:sz w:val="24"/>
          <w:szCs w:val="24"/>
          <w:lang w:val="id-ID"/>
        </w:rPr>
        <w:t>daerah</w:t>
      </w:r>
      <w:r w:rsidR="00A954D0" w:rsidRPr="003255BC">
        <w:rPr>
          <w:rFonts w:ascii="Bookman Old Style" w:eastAsia="Bookman Old Style" w:hAnsi="Bookman Old Style" w:cs="Bookman Old Style"/>
          <w:sz w:val="24"/>
          <w:szCs w:val="24"/>
          <w:lang w:val="id-ID"/>
        </w:rPr>
        <w:t xml:space="preserve"> </w:t>
      </w:r>
      <w:r w:rsidRPr="0085724C">
        <w:rPr>
          <w:rFonts w:ascii="Bookman Old Style" w:hAnsi="Bookman Old Style"/>
          <w:sz w:val="24"/>
          <w:szCs w:val="24"/>
        </w:rPr>
        <w:t>dalam</w:t>
      </w:r>
      <w:r w:rsidR="00A954D0">
        <w:rPr>
          <w:rFonts w:ascii="Bookman Old Style" w:hAnsi="Bookman Old Style"/>
          <w:sz w:val="24"/>
          <w:szCs w:val="24"/>
        </w:rPr>
        <w:t xml:space="preserve"> </w:t>
      </w:r>
      <w:r w:rsidRPr="0085724C">
        <w:rPr>
          <w:rFonts w:ascii="Bookman Old Style" w:hAnsi="Bookman Old Style"/>
          <w:sz w:val="24"/>
          <w:szCs w:val="24"/>
        </w:rPr>
        <w:t>Rancangan</w:t>
      </w:r>
      <w:r w:rsidR="00A954D0">
        <w:rPr>
          <w:rFonts w:ascii="Bookman Old Style" w:hAnsi="Bookman Old Style"/>
          <w:sz w:val="24"/>
          <w:szCs w:val="24"/>
        </w:rPr>
        <w:t xml:space="preserve"> </w:t>
      </w:r>
      <w:r w:rsidRPr="0085724C">
        <w:rPr>
          <w:rFonts w:ascii="Bookman Old Style" w:hAnsi="Bookman Old Style"/>
          <w:sz w:val="24"/>
          <w:szCs w:val="24"/>
        </w:rPr>
        <w:t>Peraturan</w:t>
      </w:r>
      <w:r w:rsidR="00A954D0">
        <w:rPr>
          <w:rFonts w:ascii="Bookman Old Style" w:hAnsi="Bookman Old Style"/>
          <w:sz w:val="24"/>
          <w:szCs w:val="24"/>
        </w:rPr>
        <w:t xml:space="preserve"> </w:t>
      </w:r>
      <w:r w:rsidRPr="0085724C">
        <w:rPr>
          <w:rFonts w:ascii="Bookman Old Style" w:hAnsi="Bookman Old Style"/>
          <w:sz w:val="24"/>
          <w:szCs w:val="24"/>
        </w:rPr>
        <w:t>Daerah</w:t>
      </w:r>
      <w:r w:rsidR="00A954D0">
        <w:rPr>
          <w:rFonts w:ascii="Bookman Old Style" w:hAnsi="Bookman Old Style"/>
          <w:sz w:val="24"/>
          <w:szCs w:val="24"/>
        </w:rPr>
        <w:t xml:space="preserve"> </w:t>
      </w:r>
      <w:r w:rsidRPr="003255BC">
        <w:rPr>
          <w:rFonts w:ascii="Bookman Old Style" w:hAnsi="Bookman Old Style"/>
          <w:sz w:val="24"/>
          <w:szCs w:val="24"/>
          <w:lang w:val="id-ID"/>
        </w:rPr>
        <w:t>Kota</w:t>
      </w:r>
      <w:r w:rsidR="00A954D0" w:rsidRPr="003255BC">
        <w:rPr>
          <w:rFonts w:ascii="Bookman Old Style" w:hAnsi="Bookman Old Style"/>
          <w:sz w:val="24"/>
          <w:szCs w:val="24"/>
          <w:lang w:val="id-ID"/>
        </w:rPr>
        <w:t xml:space="preserve"> </w:t>
      </w:r>
      <w:r w:rsidRPr="003255BC">
        <w:rPr>
          <w:rFonts w:ascii="Bookman Old Style" w:hAnsi="Bookman Old Style"/>
          <w:sz w:val="24"/>
          <w:szCs w:val="24"/>
          <w:lang w:val="id-ID"/>
        </w:rPr>
        <w:t>Tangerang</w:t>
      </w:r>
      <w:r w:rsidR="00A954D0" w:rsidRPr="003255BC">
        <w:rPr>
          <w:rFonts w:ascii="Bookman Old Style" w:hAnsi="Bookman Old Style"/>
          <w:sz w:val="24"/>
          <w:szCs w:val="24"/>
          <w:lang w:val="id-ID"/>
        </w:rPr>
        <w:t xml:space="preserve"> </w:t>
      </w:r>
      <w:r w:rsidRPr="0085724C">
        <w:rPr>
          <w:rFonts w:ascii="Bookman Old Style" w:hAnsi="Bookman Old Style"/>
          <w:sz w:val="24"/>
          <w:szCs w:val="24"/>
        </w:rPr>
        <w:t>tentang</w:t>
      </w:r>
      <w:r w:rsidR="00A954D0">
        <w:rPr>
          <w:rFonts w:ascii="Bookman Old Style" w:hAnsi="Bookman Old Style"/>
          <w:sz w:val="24"/>
          <w:szCs w:val="24"/>
        </w:rPr>
        <w:t xml:space="preserve"> </w:t>
      </w:r>
      <w:r w:rsidRPr="0085724C">
        <w:rPr>
          <w:rFonts w:ascii="Bookman Old Style" w:hAnsi="Bookman Old Style"/>
          <w:sz w:val="24"/>
          <w:szCs w:val="24"/>
        </w:rPr>
        <w:t>APBD</w:t>
      </w:r>
      <w:r w:rsidR="00A954D0">
        <w:rPr>
          <w:rFonts w:ascii="Bookman Old Style" w:hAnsi="Bookman Old Style"/>
          <w:sz w:val="24"/>
          <w:szCs w:val="24"/>
        </w:rPr>
        <w:t xml:space="preserve"> </w:t>
      </w:r>
      <w:r w:rsidRPr="0085724C">
        <w:rPr>
          <w:rFonts w:ascii="Bookman Old Style" w:hAnsi="Bookman Old Style"/>
          <w:sz w:val="24"/>
          <w:szCs w:val="24"/>
        </w:rPr>
        <w:t>Tahun</w:t>
      </w:r>
      <w:r w:rsidR="00A954D0">
        <w:rPr>
          <w:rFonts w:ascii="Bookman Old Style" w:hAnsi="Bookman Old Style"/>
          <w:sz w:val="24"/>
          <w:szCs w:val="24"/>
        </w:rPr>
        <w:t xml:space="preserve"> </w:t>
      </w:r>
      <w:r w:rsidRPr="0085724C">
        <w:rPr>
          <w:rFonts w:ascii="Bookman Old Style" w:hAnsi="Bookman Old Style"/>
          <w:sz w:val="24"/>
          <w:szCs w:val="24"/>
        </w:rPr>
        <w:t>Anggaran</w:t>
      </w:r>
      <w:r w:rsidR="00A954D0">
        <w:rPr>
          <w:rFonts w:ascii="Bookman Old Style" w:hAnsi="Bookman Old Style"/>
          <w:sz w:val="24"/>
          <w:szCs w:val="24"/>
        </w:rPr>
        <w:t xml:space="preserve"> </w:t>
      </w:r>
      <w:r w:rsidRPr="0085724C">
        <w:rPr>
          <w:rFonts w:ascii="Bookman Old Style" w:hAnsi="Bookman Old Style"/>
          <w:sz w:val="24"/>
          <w:szCs w:val="24"/>
        </w:rPr>
        <w:t>2025,</w:t>
      </w:r>
      <w:r w:rsidR="00A954D0">
        <w:rPr>
          <w:rFonts w:ascii="Bookman Old Style" w:hAnsi="Bookman Old Style"/>
          <w:sz w:val="24"/>
          <w:szCs w:val="24"/>
        </w:rPr>
        <w:t xml:space="preserve"> </w:t>
      </w:r>
      <w:r w:rsidRPr="0085724C">
        <w:rPr>
          <w:rFonts w:ascii="Bookman Old Style" w:hAnsi="Bookman Old Style"/>
          <w:sz w:val="24"/>
          <w:szCs w:val="24"/>
          <w:lang w:val="id-ID"/>
        </w:rPr>
        <w:t>yang</w:t>
      </w:r>
      <w:r w:rsidR="00A954D0">
        <w:rPr>
          <w:rFonts w:ascii="Bookman Old Style" w:hAnsi="Bookman Old Style"/>
          <w:sz w:val="24"/>
          <w:szCs w:val="24"/>
          <w:lang w:val="id-ID"/>
        </w:rPr>
        <w:t xml:space="preserve"> </w:t>
      </w:r>
      <w:r w:rsidRPr="0085724C">
        <w:rPr>
          <w:rFonts w:ascii="Bookman Old Style" w:hAnsi="Bookman Old Style" w:cs="Arial"/>
          <w:sz w:val="24"/>
          <w:szCs w:val="24"/>
          <w:lang w:val="id-ID"/>
        </w:rPr>
        <w:t>diuraikan</w:t>
      </w:r>
      <w:r w:rsidR="00A954D0">
        <w:rPr>
          <w:rFonts w:ascii="Bookman Old Style" w:hAnsi="Bookman Old Style" w:cs="Arial"/>
          <w:sz w:val="24"/>
          <w:szCs w:val="24"/>
          <w:lang w:val="id-ID"/>
        </w:rPr>
        <w:t xml:space="preserve"> </w:t>
      </w:r>
      <w:r w:rsidRPr="0085724C">
        <w:rPr>
          <w:rFonts w:ascii="Bookman Old Style" w:hAnsi="Bookman Old Style" w:cs="Arial"/>
          <w:sz w:val="24"/>
          <w:szCs w:val="24"/>
        </w:rPr>
        <w:t>pada</w:t>
      </w:r>
      <w:r w:rsidR="00A954D0">
        <w:rPr>
          <w:rFonts w:ascii="Bookman Old Style" w:hAnsi="Bookman Old Style" w:cs="Arial"/>
          <w:sz w:val="24"/>
          <w:szCs w:val="24"/>
        </w:rPr>
        <w:t xml:space="preserve"> </w:t>
      </w:r>
      <w:r w:rsidRPr="0085724C">
        <w:rPr>
          <w:rFonts w:ascii="Bookman Old Style" w:hAnsi="Bookman Old Style" w:cs="Arial"/>
          <w:sz w:val="24"/>
          <w:szCs w:val="24"/>
          <w:lang w:val="id-ID"/>
        </w:rPr>
        <w:t>rincian</w:t>
      </w:r>
      <w:r w:rsidR="00A954D0">
        <w:rPr>
          <w:rFonts w:ascii="Bookman Old Style" w:hAnsi="Bookman Old Style" w:cs="Arial"/>
          <w:sz w:val="24"/>
          <w:szCs w:val="24"/>
          <w:lang w:val="id-ID"/>
        </w:rPr>
        <w:t xml:space="preserve"> </w:t>
      </w:r>
      <w:r w:rsidRPr="0085724C">
        <w:rPr>
          <w:rFonts w:ascii="Bookman Old Style" w:hAnsi="Bookman Old Style" w:cs="Arial"/>
          <w:sz w:val="24"/>
          <w:szCs w:val="24"/>
        </w:rPr>
        <w:t>objek</w:t>
      </w:r>
      <w:r w:rsidR="00A954D0">
        <w:rPr>
          <w:rFonts w:ascii="Bookman Old Style" w:hAnsi="Bookman Old Style" w:cs="Arial"/>
          <w:sz w:val="24"/>
          <w:szCs w:val="24"/>
        </w:rPr>
        <w:t xml:space="preserve"> </w:t>
      </w:r>
      <w:r w:rsidRPr="0085724C">
        <w:rPr>
          <w:rFonts w:ascii="Bookman Old Style" w:hAnsi="Bookman Old Style"/>
          <w:sz w:val="24"/>
          <w:szCs w:val="24"/>
        </w:rPr>
        <w:t>Pendapatan</w:t>
      </w:r>
      <w:r w:rsidR="00A954D0">
        <w:rPr>
          <w:rFonts w:ascii="Bookman Old Style" w:hAnsi="Bookman Old Style"/>
          <w:sz w:val="24"/>
          <w:szCs w:val="24"/>
        </w:rPr>
        <w:t xml:space="preserve"> </w:t>
      </w:r>
      <w:r w:rsidRPr="0085724C">
        <w:rPr>
          <w:rFonts w:ascii="Bookman Old Style" w:hAnsi="Bookman Old Style"/>
          <w:sz w:val="24"/>
          <w:szCs w:val="24"/>
        </w:rPr>
        <w:t>Bagi</w:t>
      </w:r>
      <w:r w:rsidR="00A954D0">
        <w:rPr>
          <w:rFonts w:ascii="Bookman Old Style" w:hAnsi="Bookman Old Style"/>
          <w:sz w:val="24"/>
          <w:szCs w:val="24"/>
        </w:rPr>
        <w:t xml:space="preserve"> </w:t>
      </w:r>
      <w:r w:rsidRPr="0085724C">
        <w:rPr>
          <w:rFonts w:ascii="Bookman Old Style" w:hAnsi="Bookman Old Style"/>
          <w:sz w:val="24"/>
          <w:szCs w:val="24"/>
        </w:rPr>
        <w:t>Hasil</w:t>
      </w:r>
      <w:r w:rsidR="00A954D0">
        <w:rPr>
          <w:rFonts w:ascii="Bookman Old Style" w:hAnsi="Bookman Old Style"/>
          <w:sz w:val="24"/>
          <w:szCs w:val="24"/>
        </w:rPr>
        <w:t xml:space="preserve"> </w:t>
      </w:r>
      <w:r w:rsidRPr="0085724C">
        <w:rPr>
          <w:rFonts w:ascii="Bookman Old Style" w:hAnsi="Bookman Old Style"/>
          <w:sz w:val="24"/>
          <w:szCs w:val="24"/>
        </w:rPr>
        <w:t>Pajak</w:t>
      </w:r>
      <w:r w:rsidR="00C46F62">
        <w:rPr>
          <w:rFonts w:ascii="Bookman Old Style" w:hAnsi="Bookman Old Style"/>
          <w:sz w:val="24"/>
          <w:szCs w:val="24"/>
        </w:rPr>
        <w:t>,</w:t>
      </w:r>
      <w:r w:rsidR="00A954D0">
        <w:rPr>
          <w:rFonts w:ascii="Bookman Old Style" w:hAnsi="Bookman Old Style"/>
          <w:sz w:val="24"/>
          <w:szCs w:val="24"/>
        </w:rPr>
        <w:t xml:space="preserve"> </w:t>
      </w:r>
      <w:r w:rsidR="00C46F62" w:rsidRPr="0085724C">
        <w:rPr>
          <w:rFonts w:ascii="Bookman Old Style" w:hAnsi="Bookman Old Style"/>
          <w:sz w:val="24"/>
          <w:szCs w:val="24"/>
          <w:lang w:val="id-ID"/>
        </w:rPr>
        <w:t>yang</w:t>
      </w:r>
      <w:r w:rsidR="00A954D0">
        <w:rPr>
          <w:rFonts w:ascii="Bookman Old Style" w:hAnsi="Bookman Old Style"/>
          <w:sz w:val="24"/>
          <w:szCs w:val="24"/>
          <w:lang w:val="id-ID"/>
        </w:rPr>
        <w:t xml:space="preserve"> </w:t>
      </w:r>
      <w:r w:rsidR="00C46F62" w:rsidRPr="0085724C">
        <w:rPr>
          <w:rFonts w:ascii="Bookman Old Style" w:hAnsi="Bookman Old Style" w:cs="Arial"/>
          <w:sz w:val="24"/>
          <w:szCs w:val="24"/>
          <w:lang w:val="id-ID"/>
        </w:rPr>
        <w:t>diuraikan</w:t>
      </w:r>
      <w:r w:rsidR="00A954D0">
        <w:rPr>
          <w:rFonts w:ascii="Bookman Old Style" w:hAnsi="Bookman Old Style" w:cs="Arial"/>
          <w:sz w:val="24"/>
          <w:szCs w:val="24"/>
          <w:lang w:val="id-ID"/>
        </w:rPr>
        <w:t xml:space="preserve"> </w:t>
      </w:r>
      <w:r w:rsidR="00C46F62" w:rsidRPr="0085724C">
        <w:rPr>
          <w:rFonts w:ascii="Bookman Old Style" w:hAnsi="Bookman Old Style" w:cs="Arial"/>
          <w:sz w:val="24"/>
          <w:szCs w:val="24"/>
        </w:rPr>
        <w:t>pada</w:t>
      </w:r>
      <w:r w:rsidR="00A954D0">
        <w:rPr>
          <w:rFonts w:ascii="Bookman Old Style" w:hAnsi="Bookman Old Style" w:cs="Arial"/>
          <w:sz w:val="24"/>
          <w:szCs w:val="24"/>
        </w:rPr>
        <w:t xml:space="preserve"> </w:t>
      </w:r>
      <w:r w:rsidR="00C46F62">
        <w:rPr>
          <w:rFonts w:ascii="Bookman Old Style" w:hAnsi="Bookman Old Style" w:cs="Arial"/>
          <w:sz w:val="24"/>
          <w:szCs w:val="24"/>
        </w:rPr>
        <w:t>sub</w:t>
      </w:r>
      <w:r w:rsidR="00A954D0">
        <w:rPr>
          <w:rFonts w:ascii="Bookman Old Style" w:hAnsi="Bookman Old Style" w:cs="Arial"/>
          <w:sz w:val="24"/>
          <w:szCs w:val="24"/>
        </w:rPr>
        <w:t xml:space="preserve"> </w:t>
      </w:r>
      <w:r w:rsidR="00C46F62" w:rsidRPr="0085724C">
        <w:rPr>
          <w:rFonts w:ascii="Bookman Old Style" w:hAnsi="Bookman Old Style" w:cs="Arial"/>
          <w:sz w:val="24"/>
          <w:szCs w:val="24"/>
          <w:lang w:val="id-ID"/>
        </w:rPr>
        <w:t>rincian</w:t>
      </w:r>
      <w:r w:rsidR="00A954D0">
        <w:rPr>
          <w:rFonts w:ascii="Bookman Old Style" w:hAnsi="Bookman Old Style" w:cs="Arial"/>
          <w:sz w:val="24"/>
          <w:szCs w:val="24"/>
          <w:lang w:val="id-ID"/>
        </w:rPr>
        <w:t xml:space="preserve"> </w:t>
      </w:r>
      <w:r w:rsidR="00C46F62" w:rsidRPr="0085724C">
        <w:rPr>
          <w:rFonts w:ascii="Bookman Old Style" w:hAnsi="Bookman Old Style" w:cs="Arial"/>
          <w:sz w:val="24"/>
          <w:szCs w:val="24"/>
        </w:rPr>
        <w:t>objek</w:t>
      </w:r>
      <w:r w:rsidR="00C46F62">
        <w:rPr>
          <w:rFonts w:ascii="Bookman Old Style" w:hAnsi="Bookman Old Style" w:cs="Arial"/>
          <w:sz w:val="24"/>
          <w:szCs w:val="24"/>
        </w:rPr>
        <w:t>:</w:t>
      </w:r>
    </w:p>
    <w:p w14:paraId="77277126" w14:textId="46468AB7" w:rsidR="00C46F62" w:rsidRPr="00C46F62" w:rsidRDefault="00C46F62" w:rsidP="00B16310">
      <w:pPr>
        <w:pStyle w:val="ListParagraph"/>
        <w:numPr>
          <w:ilvl w:val="0"/>
          <w:numId w:val="254"/>
        </w:numPr>
        <w:spacing w:before="120" w:line="276" w:lineRule="auto"/>
        <w:ind w:left="2268" w:hanging="567"/>
        <w:jc w:val="both"/>
        <w:rPr>
          <w:rFonts w:ascii="Bookman Old Style" w:eastAsia="Bookman Old Style" w:hAnsi="Bookman Old Style" w:cs="Bookman Old Style"/>
          <w:sz w:val="24"/>
          <w:szCs w:val="24"/>
          <w:lang w:val="sv-SE"/>
        </w:rPr>
      </w:pPr>
      <w:r w:rsidRPr="00C46F62">
        <w:rPr>
          <w:rFonts w:ascii="Bookman Old Style" w:eastAsia="Bookman Old Style" w:hAnsi="Bookman Old Style" w:cs="Bookman Old Style"/>
          <w:sz w:val="24"/>
          <w:szCs w:val="24"/>
          <w:lang w:val="sv-SE"/>
        </w:rPr>
        <w:t>Pendapatan</w:t>
      </w:r>
      <w:r w:rsidR="00A954D0">
        <w:rPr>
          <w:rFonts w:ascii="Bookman Old Style" w:eastAsia="Bookman Old Style" w:hAnsi="Bookman Old Style" w:cs="Bookman Old Style"/>
          <w:sz w:val="24"/>
          <w:szCs w:val="24"/>
          <w:lang w:val="sv-SE"/>
        </w:rPr>
        <w:t xml:space="preserve"> </w:t>
      </w:r>
      <w:r w:rsidRPr="00C46F62">
        <w:rPr>
          <w:rFonts w:ascii="Bookman Old Style" w:eastAsia="Bookman Old Style" w:hAnsi="Bookman Old Style" w:cs="Bookman Old Style"/>
          <w:sz w:val="24"/>
          <w:szCs w:val="24"/>
          <w:lang w:val="sv-SE"/>
        </w:rPr>
        <w:t>Bagi</w:t>
      </w:r>
      <w:r w:rsidR="00A954D0">
        <w:rPr>
          <w:rFonts w:ascii="Bookman Old Style" w:eastAsia="Bookman Old Style" w:hAnsi="Bookman Old Style" w:cs="Bookman Old Style"/>
          <w:sz w:val="24"/>
          <w:szCs w:val="24"/>
          <w:lang w:val="sv-SE"/>
        </w:rPr>
        <w:t xml:space="preserve"> </w:t>
      </w:r>
      <w:r w:rsidRPr="00C46F62">
        <w:rPr>
          <w:rFonts w:ascii="Bookman Old Style" w:eastAsia="Bookman Old Style" w:hAnsi="Bookman Old Style" w:cs="Bookman Old Style"/>
          <w:sz w:val="24"/>
          <w:szCs w:val="24"/>
          <w:lang w:val="sv-SE"/>
        </w:rPr>
        <w:t>Hasil</w:t>
      </w:r>
      <w:r w:rsidR="00A954D0">
        <w:rPr>
          <w:rFonts w:ascii="Bookman Old Style" w:eastAsia="Bookman Old Style" w:hAnsi="Bookman Old Style" w:cs="Bookman Old Style"/>
          <w:sz w:val="24"/>
          <w:szCs w:val="24"/>
          <w:lang w:val="sv-SE"/>
        </w:rPr>
        <w:t xml:space="preserve"> </w:t>
      </w:r>
      <w:r w:rsidRPr="00C46F62">
        <w:rPr>
          <w:rFonts w:ascii="Bookman Old Style" w:eastAsia="Bookman Old Style" w:hAnsi="Bookman Old Style" w:cs="Bookman Old Style"/>
          <w:sz w:val="24"/>
          <w:szCs w:val="24"/>
          <w:lang w:val="sv-SE"/>
        </w:rPr>
        <w:t>Pajak</w:t>
      </w:r>
      <w:r w:rsidR="00A954D0">
        <w:rPr>
          <w:rFonts w:ascii="Bookman Old Style" w:eastAsia="Bookman Old Style" w:hAnsi="Bookman Old Style" w:cs="Bookman Old Style"/>
          <w:sz w:val="24"/>
          <w:szCs w:val="24"/>
          <w:lang w:val="sv-SE"/>
        </w:rPr>
        <w:t xml:space="preserve"> </w:t>
      </w:r>
      <w:r w:rsidRPr="00C46F62">
        <w:rPr>
          <w:rFonts w:ascii="Bookman Old Style" w:eastAsia="Bookman Old Style" w:hAnsi="Bookman Old Style" w:cs="Bookman Old Style"/>
          <w:sz w:val="24"/>
          <w:szCs w:val="24"/>
          <w:lang w:val="sv-SE"/>
        </w:rPr>
        <w:t>Bahan</w:t>
      </w:r>
      <w:r w:rsidR="00A954D0">
        <w:rPr>
          <w:rFonts w:ascii="Bookman Old Style" w:eastAsia="Bookman Old Style" w:hAnsi="Bookman Old Style" w:cs="Bookman Old Style"/>
          <w:sz w:val="24"/>
          <w:szCs w:val="24"/>
          <w:lang w:val="sv-SE"/>
        </w:rPr>
        <w:t xml:space="preserve"> </w:t>
      </w:r>
      <w:r w:rsidRPr="00C46F62">
        <w:rPr>
          <w:rFonts w:ascii="Bookman Old Style" w:eastAsia="Bookman Old Style" w:hAnsi="Bookman Old Style" w:cs="Bookman Old Style"/>
          <w:sz w:val="24"/>
          <w:szCs w:val="24"/>
          <w:lang w:val="sv-SE"/>
        </w:rPr>
        <w:t>Bakar</w:t>
      </w:r>
      <w:r w:rsidR="00A954D0">
        <w:rPr>
          <w:rFonts w:ascii="Bookman Old Style" w:eastAsia="Bookman Old Style" w:hAnsi="Bookman Old Style" w:cs="Bookman Old Style"/>
          <w:sz w:val="24"/>
          <w:szCs w:val="24"/>
          <w:lang w:val="sv-SE"/>
        </w:rPr>
        <w:t xml:space="preserve"> </w:t>
      </w:r>
      <w:r w:rsidRPr="00C46F62">
        <w:rPr>
          <w:rFonts w:ascii="Bookman Old Style" w:eastAsia="Bookman Old Style" w:hAnsi="Bookman Old Style" w:cs="Bookman Old Style"/>
          <w:sz w:val="24"/>
          <w:szCs w:val="24"/>
          <w:lang w:val="sv-SE"/>
        </w:rPr>
        <w:t>Kendaraan</w:t>
      </w:r>
      <w:r w:rsidR="00A954D0">
        <w:rPr>
          <w:rFonts w:ascii="Bookman Old Style" w:eastAsia="Bookman Old Style" w:hAnsi="Bookman Old Style" w:cs="Bookman Old Style"/>
          <w:sz w:val="24"/>
          <w:szCs w:val="24"/>
          <w:lang w:val="sv-SE"/>
        </w:rPr>
        <w:t xml:space="preserve"> </w:t>
      </w:r>
      <w:r w:rsidRPr="00C46F62">
        <w:rPr>
          <w:rFonts w:ascii="Bookman Old Style" w:eastAsia="Bookman Old Style" w:hAnsi="Bookman Old Style" w:cs="Bookman Old Style"/>
          <w:sz w:val="24"/>
          <w:szCs w:val="24"/>
          <w:lang w:val="sv-SE"/>
        </w:rPr>
        <w:t>Bermotor</w:t>
      </w:r>
      <w:r w:rsidR="00A954D0">
        <w:rPr>
          <w:rFonts w:ascii="Bookman Old Style" w:eastAsia="Bookman Old Style" w:hAnsi="Bookman Old Style" w:cs="Bookman Old Style"/>
          <w:sz w:val="24"/>
          <w:szCs w:val="24"/>
          <w:lang w:val="sv-SE"/>
        </w:rPr>
        <w:t xml:space="preserve"> </w:t>
      </w:r>
      <w:r w:rsidRPr="00C46F62">
        <w:rPr>
          <w:rFonts w:ascii="Bookman Old Style" w:eastAsia="Bookman Old Style" w:hAnsi="Bookman Old Style" w:cs="Bookman Old Style"/>
          <w:sz w:val="24"/>
          <w:szCs w:val="24"/>
          <w:lang w:val="sv-SE"/>
        </w:rPr>
        <w:t>Rp151.133.289.898,00</w:t>
      </w:r>
      <w:r>
        <w:rPr>
          <w:rFonts w:ascii="Bookman Old Style" w:eastAsia="Bookman Old Style" w:hAnsi="Bookman Old Style" w:cs="Bookman Old Style"/>
          <w:sz w:val="24"/>
          <w:szCs w:val="24"/>
          <w:lang w:val="sv-SE"/>
        </w:rPr>
        <w:t>;</w:t>
      </w:r>
    </w:p>
    <w:p w14:paraId="3F2CBF62" w14:textId="0BAE52BE" w:rsidR="00C46F62" w:rsidRPr="003255BC" w:rsidRDefault="00C46F62" w:rsidP="00B16310">
      <w:pPr>
        <w:pStyle w:val="ListParagraph"/>
        <w:numPr>
          <w:ilvl w:val="0"/>
          <w:numId w:val="254"/>
        </w:numPr>
        <w:spacing w:before="120" w:line="276" w:lineRule="auto"/>
        <w:ind w:left="2268" w:hanging="567"/>
        <w:jc w:val="both"/>
        <w:rPr>
          <w:rFonts w:ascii="Bookman Old Style" w:eastAsia="Bookman Old Style" w:hAnsi="Bookman Old Style" w:cs="Bookman Old Style"/>
          <w:sz w:val="24"/>
          <w:szCs w:val="24"/>
          <w:lang w:val="en-US"/>
        </w:rPr>
      </w:pPr>
      <w:r w:rsidRPr="003255BC">
        <w:rPr>
          <w:rFonts w:ascii="Bookman Old Style" w:eastAsia="Bookman Old Style" w:hAnsi="Bookman Old Style" w:cs="Bookman Old Style"/>
          <w:sz w:val="24"/>
          <w:szCs w:val="24"/>
          <w:lang w:val="en-US"/>
        </w:rPr>
        <w:t>Pendapatan</w:t>
      </w:r>
      <w:r w:rsidR="00A954D0" w:rsidRPr="003255BC">
        <w:rPr>
          <w:rFonts w:ascii="Bookman Old Style" w:eastAsia="Bookman Old Style" w:hAnsi="Bookman Old Style" w:cs="Bookman Old Style"/>
          <w:sz w:val="24"/>
          <w:szCs w:val="24"/>
          <w:lang w:val="en-US"/>
        </w:rPr>
        <w:t xml:space="preserve"> </w:t>
      </w:r>
      <w:r w:rsidRPr="003255BC">
        <w:rPr>
          <w:rFonts w:ascii="Bookman Old Style" w:eastAsia="Bookman Old Style" w:hAnsi="Bookman Old Style" w:cs="Bookman Old Style"/>
          <w:sz w:val="24"/>
          <w:szCs w:val="24"/>
          <w:lang w:val="en-US"/>
        </w:rPr>
        <w:t>Bagi</w:t>
      </w:r>
      <w:r w:rsidR="00A954D0" w:rsidRPr="003255BC">
        <w:rPr>
          <w:rFonts w:ascii="Bookman Old Style" w:eastAsia="Bookman Old Style" w:hAnsi="Bookman Old Style" w:cs="Bookman Old Style"/>
          <w:sz w:val="24"/>
          <w:szCs w:val="24"/>
          <w:lang w:val="en-US"/>
        </w:rPr>
        <w:t xml:space="preserve"> </w:t>
      </w:r>
      <w:r w:rsidRPr="003255BC">
        <w:rPr>
          <w:rFonts w:ascii="Bookman Old Style" w:eastAsia="Bookman Old Style" w:hAnsi="Bookman Old Style" w:cs="Bookman Old Style"/>
          <w:sz w:val="24"/>
          <w:szCs w:val="24"/>
          <w:lang w:val="en-US"/>
        </w:rPr>
        <w:t>Hasil</w:t>
      </w:r>
      <w:r w:rsidR="00A954D0" w:rsidRPr="003255BC">
        <w:rPr>
          <w:rFonts w:ascii="Bookman Old Style" w:eastAsia="Bookman Old Style" w:hAnsi="Bookman Old Style" w:cs="Bookman Old Style"/>
          <w:sz w:val="24"/>
          <w:szCs w:val="24"/>
          <w:lang w:val="en-US"/>
        </w:rPr>
        <w:t xml:space="preserve"> </w:t>
      </w:r>
      <w:r w:rsidRPr="003255BC">
        <w:rPr>
          <w:rFonts w:ascii="Bookman Old Style" w:eastAsia="Bookman Old Style" w:hAnsi="Bookman Old Style" w:cs="Bookman Old Style"/>
          <w:sz w:val="24"/>
          <w:szCs w:val="24"/>
          <w:lang w:val="en-US"/>
        </w:rPr>
        <w:t>Pajak</w:t>
      </w:r>
      <w:r w:rsidR="00A954D0" w:rsidRPr="003255BC">
        <w:rPr>
          <w:rFonts w:ascii="Bookman Old Style" w:eastAsia="Bookman Old Style" w:hAnsi="Bookman Old Style" w:cs="Bookman Old Style"/>
          <w:sz w:val="24"/>
          <w:szCs w:val="24"/>
          <w:lang w:val="en-US"/>
        </w:rPr>
        <w:t xml:space="preserve"> </w:t>
      </w:r>
      <w:r w:rsidRPr="003255BC">
        <w:rPr>
          <w:rFonts w:ascii="Bookman Old Style" w:eastAsia="Bookman Old Style" w:hAnsi="Bookman Old Style" w:cs="Bookman Old Style"/>
          <w:sz w:val="24"/>
          <w:szCs w:val="24"/>
          <w:lang w:val="en-US"/>
        </w:rPr>
        <w:t>Air</w:t>
      </w:r>
      <w:r w:rsidR="00A954D0" w:rsidRPr="003255BC">
        <w:rPr>
          <w:rFonts w:ascii="Bookman Old Style" w:eastAsia="Bookman Old Style" w:hAnsi="Bookman Old Style" w:cs="Bookman Old Style"/>
          <w:sz w:val="24"/>
          <w:szCs w:val="24"/>
          <w:lang w:val="en-US"/>
        </w:rPr>
        <w:t xml:space="preserve"> </w:t>
      </w:r>
      <w:r w:rsidRPr="003255BC">
        <w:rPr>
          <w:rFonts w:ascii="Bookman Old Style" w:eastAsia="Bookman Old Style" w:hAnsi="Bookman Old Style" w:cs="Bookman Old Style"/>
          <w:sz w:val="24"/>
          <w:szCs w:val="24"/>
          <w:lang w:val="en-US"/>
        </w:rPr>
        <w:t>Permukaan</w:t>
      </w:r>
      <w:r w:rsidR="00A954D0" w:rsidRPr="003255BC">
        <w:rPr>
          <w:rFonts w:ascii="Bookman Old Style" w:eastAsia="Bookman Old Style" w:hAnsi="Bookman Old Style" w:cs="Bookman Old Style"/>
          <w:sz w:val="24"/>
          <w:szCs w:val="24"/>
          <w:lang w:val="en-US"/>
        </w:rPr>
        <w:t xml:space="preserve"> </w:t>
      </w:r>
      <w:r w:rsidRPr="003255BC">
        <w:rPr>
          <w:rFonts w:ascii="Bookman Old Style" w:eastAsia="Bookman Old Style" w:hAnsi="Bookman Old Style" w:cs="Bookman Old Style"/>
          <w:sz w:val="24"/>
          <w:szCs w:val="24"/>
          <w:lang w:val="en-US"/>
        </w:rPr>
        <w:t>Rp6.287.171.576,00;</w:t>
      </w:r>
    </w:p>
    <w:p w14:paraId="200FB339" w14:textId="35C32B4B" w:rsidR="00C46F62" w:rsidRPr="0085724C" w:rsidRDefault="00C46F62" w:rsidP="00B16310">
      <w:pPr>
        <w:pStyle w:val="ListParagraph"/>
        <w:numPr>
          <w:ilvl w:val="0"/>
          <w:numId w:val="254"/>
        </w:numPr>
        <w:spacing w:before="120" w:after="0" w:line="276" w:lineRule="auto"/>
        <w:ind w:left="2268" w:hanging="567"/>
        <w:contextualSpacing w:val="0"/>
        <w:jc w:val="both"/>
        <w:rPr>
          <w:rFonts w:ascii="Bookman Old Style" w:eastAsia="Bookman Old Style" w:hAnsi="Bookman Old Style" w:cs="Bookman Old Style"/>
          <w:sz w:val="24"/>
          <w:szCs w:val="24"/>
          <w:lang w:val="sv-SE"/>
        </w:rPr>
      </w:pPr>
      <w:r w:rsidRPr="00C46F62">
        <w:rPr>
          <w:rFonts w:ascii="Bookman Old Style" w:eastAsia="Bookman Old Style" w:hAnsi="Bookman Old Style" w:cs="Bookman Old Style"/>
          <w:sz w:val="24"/>
          <w:szCs w:val="24"/>
          <w:lang w:val="sv-SE"/>
        </w:rPr>
        <w:t>Pendapatan</w:t>
      </w:r>
      <w:r w:rsidR="00A954D0">
        <w:rPr>
          <w:rFonts w:ascii="Bookman Old Style" w:eastAsia="Bookman Old Style" w:hAnsi="Bookman Old Style" w:cs="Bookman Old Style"/>
          <w:sz w:val="24"/>
          <w:szCs w:val="24"/>
          <w:lang w:val="sv-SE"/>
        </w:rPr>
        <w:t xml:space="preserve"> </w:t>
      </w:r>
      <w:r w:rsidRPr="00C46F62">
        <w:rPr>
          <w:rFonts w:ascii="Bookman Old Style" w:eastAsia="Bookman Old Style" w:hAnsi="Bookman Old Style" w:cs="Bookman Old Style"/>
          <w:sz w:val="24"/>
          <w:szCs w:val="24"/>
          <w:lang w:val="sv-SE"/>
        </w:rPr>
        <w:t>Bagi</w:t>
      </w:r>
      <w:r w:rsidR="00A954D0">
        <w:rPr>
          <w:rFonts w:ascii="Bookman Old Style" w:eastAsia="Bookman Old Style" w:hAnsi="Bookman Old Style" w:cs="Bookman Old Style"/>
          <w:sz w:val="24"/>
          <w:szCs w:val="24"/>
          <w:lang w:val="sv-SE"/>
        </w:rPr>
        <w:t xml:space="preserve"> </w:t>
      </w:r>
      <w:r w:rsidRPr="00C46F62">
        <w:rPr>
          <w:rFonts w:ascii="Bookman Old Style" w:eastAsia="Bookman Old Style" w:hAnsi="Bookman Old Style" w:cs="Bookman Old Style"/>
          <w:sz w:val="24"/>
          <w:szCs w:val="24"/>
          <w:lang w:val="sv-SE"/>
        </w:rPr>
        <w:t>Hasil</w:t>
      </w:r>
      <w:r w:rsidR="00A954D0">
        <w:rPr>
          <w:rFonts w:ascii="Bookman Old Style" w:eastAsia="Bookman Old Style" w:hAnsi="Bookman Old Style" w:cs="Bookman Old Style"/>
          <w:sz w:val="24"/>
          <w:szCs w:val="24"/>
          <w:lang w:val="sv-SE"/>
        </w:rPr>
        <w:t xml:space="preserve"> </w:t>
      </w:r>
      <w:r w:rsidRPr="00C46F62">
        <w:rPr>
          <w:rFonts w:ascii="Bookman Old Style" w:eastAsia="Bookman Old Style" w:hAnsi="Bookman Old Style" w:cs="Bookman Old Style"/>
          <w:sz w:val="24"/>
          <w:szCs w:val="24"/>
          <w:lang w:val="sv-SE"/>
        </w:rPr>
        <w:t>Pajak</w:t>
      </w:r>
      <w:r w:rsidR="00A954D0">
        <w:rPr>
          <w:rFonts w:ascii="Bookman Old Style" w:eastAsia="Bookman Old Style" w:hAnsi="Bookman Old Style" w:cs="Bookman Old Style"/>
          <w:sz w:val="24"/>
          <w:szCs w:val="24"/>
          <w:lang w:val="sv-SE"/>
        </w:rPr>
        <w:t xml:space="preserve"> </w:t>
      </w:r>
      <w:r w:rsidRPr="00C46F62">
        <w:rPr>
          <w:rFonts w:ascii="Bookman Old Style" w:eastAsia="Bookman Old Style" w:hAnsi="Bookman Old Style" w:cs="Bookman Old Style"/>
          <w:sz w:val="24"/>
          <w:szCs w:val="24"/>
          <w:lang w:val="sv-SE"/>
        </w:rPr>
        <w:t>Rokok</w:t>
      </w:r>
      <w:r w:rsidR="00A954D0">
        <w:rPr>
          <w:rFonts w:ascii="Bookman Old Style" w:eastAsia="Bookman Old Style" w:hAnsi="Bookman Old Style" w:cs="Bookman Old Style"/>
          <w:sz w:val="24"/>
          <w:szCs w:val="24"/>
          <w:lang w:val="sv-SE"/>
        </w:rPr>
        <w:t xml:space="preserve"> </w:t>
      </w:r>
      <w:r w:rsidRPr="00C46F62">
        <w:rPr>
          <w:rFonts w:ascii="Bookman Old Style" w:eastAsia="Bookman Old Style" w:hAnsi="Bookman Old Style" w:cs="Bookman Old Style"/>
          <w:sz w:val="24"/>
          <w:szCs w:val="24"/>
          <w:lang w:val="sv-SE"/>
        </w:rPr>
        <w:t>Rp118.465.494.000,00</w:t>
      </w:r>
      <w:r w:rsidR="008F47D6">
        <w:rPr>
          <w:rFonts w:ascii="Bookman Old Style" w:eastAsia="Bookman Old Style" w:hAnsi="Bookman Old Style" w:cs="Bookman Old Style"/>
          <w:sz w:val="24"/>
          <w:szCs w:val="24"/>
          <w:lang w:val="sv-SE"/>
        </w:rPr>
        <w:t>.</w:t>
      </w:r>
    </w:p>
    <w:p w14:paraId="33BA441E" w14:textId="2FBAF9E0" w:rsidR="006D52F0" w:rsidRPr="0075774C" w:rsidRDefault="006D52F0" w:rsidP="00287B23">
      <w:pPr>
        <w:pStyle w:val="ListParagraph"/>
        <w:spacing w:before="60" w:after="120" w:line="276" w:lineRule="auto"/>
        <w:ind w:left="1701"/>
        <w:contextualSpacing w:val="0"/>
        <w:jc w:val="both"/>
        <w:rPr>
          <w:rFonts w:ascii="Bookman Old Style" w:eastAsia="Bookman Old Style" w:hAnsi="Bookman Old Style" w:cs="Bookman Old Style"/>
          <w:sz w:val="24"/>
          <w:szCs w:val="24"/>
          <w:lang w:val="sv-SE"/>
        </w:rPr>
      </w:pPr>
      <w:r w:rsidRPr="0085724C">
        <w:rPr>
          <w:rFonts w:ascii="Bookman Old Style" w:eastAsia="Bookman Old Style" w:hAnsi="Bookman Old Style" w:cs="Bookman Old Style"/>
          <w:sz w:val="24"/>
          <w:szCs w:val="24"/>
          <w:lang w:val="sv-SE"/>
        </w:rPr>
        <w:t>Merupakan</w:t>
      </w:r>
      <w:r w:rsidR="00A954D0">
        <w:rPr>
          <w:rFonts w:ascii="Bookman Old Style" w:eastAsia="Bookman Old Style" w:hAnsi="Bookman Old Style" w:cs="Bookman Old Style"/>
          <w:sz w:val="24"/>
          <w:szCs w:val="24"/>
          <w:lang w:val="sv-SE"/>
        </w:rPr>
        <w:t xml:space="preserve"> </w:t>
      </w:r>
      <w:r w:rsidRPr="0085724C">
        <w:rPr>
          <w:rFonts w:ascii="Bookman Old Style" w:eastAsia="Bookman Old Style" w:hAnsi="Bookman Old Style" w:cs="Bookman Old Style"/>
          <w:sz w:val="24"/>
          <w:szCs w:val="24"/>
          <w:lang w:val="sv-SE"/>
        </w:rPr>
        <w:t>dana</w:t>
      </w:r>
      <w:r w:rsidR="00A954D0">
        <w:rPr>
          <w:rFonts w:ascii="Bookman Old Style" w:eastAsia="Bookman Old Style" w:hAnsi="Bookman Old Style" w:cs="Bookman Old Style"/>
          <w:sz w:val="24"/>
          <w:szCs w:val="24"/>
          <w:lang w:val="sv-SE"/>
        </w:rPr>
        <w:t xml:space="preserve"> </w:t>
      </w:r>
      <w:r w:rsidRPr="0085724C">
        <w:rPr>
          <w:rFonts w:ascii="Bookman Old Style" w:eastAsia="Bookman Old Style" w:hAnsi="Bookman Old Style" w:cs="Bookman Old Style"/>
          <w:sz w:val="24"/>
          <w:szCs w:val="24"/>
          <w:lang w:val="sv-SE"/>
        </w:rPr>
        <w:t>yang</w:t>
      </w:r>
      <w:r w:rsidR="00A954D0">
        <w:rPr>
          <w:rFonts w:ascii="Bookman Old Style" w:eastAsia="Bookman Old Style" w:hAnsi="Bookman Old Style" w:cs="Bookman Old Style"/>
          <w:sz w:val="24"/>
          <w:szCs w:val="24"/>
          <w:lang w:val="sv-SE"/>
        </w:rPr>
        <w:t xml:space="preserve"> </w:t>
      </w:r>
      <w:r w:rsidRPr="0085724C">
        <w:rPr>
          <w:rFonts w:ascii="Bookman Old Style" w:eastAsia="Bookman Old Style" w:hAnsi="Bookman Old Style" w:cs="Bookman Old Style"/>
          <w:sz w:val="24"/>
          <w:szCs w:val="24"/>
          <w:lang w:val="sv-SE"/>
        </w:rPr>
        <w:t>bersumber</w:t>
      </w:r>
      <w:r w:rsidR="00A954D0">
        <w:rPr>
          <w:rFonts w:ascii="Bookman Old Style" w:eastAsia="Bookman Old Style" w:hAnsi="Bookman Old Style" w:cs="Bookman Old Style"/>
          <w:sz w:val="24"/>
          <w:szCs w:val="24"/>
          <w:lang w:val="sv-SE"/>
        </w:rPr>
        <w:t xml:space="preserve"> </w:t>
      </w:r>
      <w:r w:rsidRPr="0085724C">
        <w:rPr>
          <w:rFonts w:ascii="Bookman Old Style" w:eastAsia="Bookman Old Style" w:hAnsi="Bookman Old Style" w:cs="Bookman Old Style"/>
          <w:sz w:val="24"/>
          <w:szCs w:val="24"/>
          <w:lang w:val="sv-SE"/>
        </w:rPr>
        <w:t>dari</w:t>
      </w:r>
      <w:r w:rsidR="00A954D0">
        <w:rPr>
          <w:rFonts w:ascii="Bookman Old Style" w:eastAsia="Bookman Old Style" w:hAnsi="Bookman Old Style" w:cs="Bookman Old Style"/>
          <w:sz w:val="24"/>
          <w:szCs w:val="24"/>
          <w:lang w:val="sv-SE"/>
        </w:rPr>
        <w:t xml:space="preserve"> </w:t>
      </w:r>
      <w:r w:rsidRPr="0085724C">
        <w:rPr>
          <w:rFonts w:ascii="Bookman Old Style" w:eastAsia="Bookman Old Style" w:hAnsi="Bookman Old Style" w:cs="Bookman Old Style"/>
          <w:sz w:val="24"/>
          <w:szCs w:val="24"/>
          <w:lang w:val="sv-SE"/>
        </w:rPr>
        <w:t>Pendapatan</w:t>
      </w:r>
      <w:r w:rsidR="00A954D0">
        <w:rPr>
          <w:rFonts w:ascii="Bookman Old Style" w:eastAsia="Bookman Old Style" w:hAnsi="Bookman Old Style" w:cs="Bookman Old Style"/>
          <w:sz w:val="24"/>
          <w:szCs w:val="24"/>
          <w:lang w:val="sv-SE"/>
        </w:rPr>
        <w:t xml:space="preserve"> </w:t>
      </w:r>
      <w:r w:rsidRPr="0085724C">
        <w:rPr>
          <w:rFonts w:ascii="Bookman Old Style" w:eastAsia="Bookman Old Style" w:hAnsi="Bookman Old Style" w:cs="Bookman Old Style"/>
          <w:sz w:val="24"/>
          <w:szCs w:val="24"/>
          <w:lang w:val="sv-SE"/>
        </w:rPr>
        <w:t>Daerah</w:t>
      </w:r>
      <w:r w:rsidR="00A954D0">
        <w:rPr>
          <w:rFonts w:ascii="Bookman Old Style" w:eastAsia="Bookman Old Style" w:hAnsi="Bookman Old Style" w:cs="Bookman Old Style"/>
          <w:sz w:val="24"/>
          <w:szCs w:val="24"/>
          <w:lang w:val="sv-SE"/>
        </w:rPr>
        <w:t xml:space="preserve"> </w:t>
      </w:r>
      <w:r w:rsidRPr="0085724C">
        <w:rPr>
          <w:rFonts w:ascii="Bookman Old Style" w:eastAsia="Bookman Old Style" w:hAnsi="Bookman Old Style" w:cs="Bookman Old Style"/>
          <w:sz w:val="24"/>
          <w:szCs w:val="24"/>
          <w:lang w:val="sv-SE"/>
        </w:rPr>
        <w:t>yang</w:t>
      </w:r>
      <w:r w:rsidR="00A954D0">
        <w:rPr>
          <w:rFonts w:ascii="Bookman Old Style" w:eastAsia="Bookman Old Style" w:hAnsi="Bookman Old Style" w:cs="Bookman Old Style"/>
          <w:sz w:val="24"/>
          <w:szCs w:val="24"/>
          <w:lang w:val="sv-SE"/>
        </w:rPr>
        <w:t xml:space="preserve"> </w:t>
      </w:r>
      <w:r w:rsidRPr="0085724C">
        <w:rPr>
          <w:rFonts w:ascii="Bookman Old Style" w:eastAsia="Bookman Old Style" w:hAnsi="Bookman Old Style" w:cs="Bookman Old Style"/>
          <w:sz w:val="24"/>
          <w:szCs w:val="24"/>
          <w:lang w:val="sv-SE"/>
        </w:rPr>
        <w:t>dialokasikan</w:t>
      </w:r>
      <w:r w:rsidR="00A954D0">
        <w:rPr>
          <w:rFonts w:ascii="Bookman Old Style" w:eastAsia="Bookman Old Style" w:hAnsi="Bookman Old Style" w:cs="Bookman Old Style"/>
          <w:sz w:val="24"/>
          <w:szCs w:val="24"/>
          <w:lang w:val="sv-SE"/>
        </w:rPr>
        <w:t xml:space="preserve"> </w:t>
      </w:r>
      <w:r w:rsidRPr="0085724C">
        <w:rPr>
          <w:rFonts w:ascii="Bookman Old Style" w:eastAsia="Bookman Old Style" w:hAnsi="Bookman Old Style" w:cs="Bookman Old Style"/>
          <w:sz w:val="24"/>
          <w:szCs w:val="24"/>
          <w:lang w:val="sv-SE"/>
        </w:rPr>
        <w:t>kepada</w:t>
      </w:r>
      <w:r w:rsidR="00A954D0">
        <w:rPr>
          <w:rFonts w:ascii="Bookman Old Style" w:eastAsia="Bookman Old Style" w:hAnsi="Bookman Old Style" w:cs="Bookman Old Style"/>
          <w:sz w:val="24"/>
          <w:szCs w:val="24"/>
          <w:lang w:val="sv-SE"/>
        </w:rPr>
        <w:t xml:space="preserve"> </w:t>
      </w:r>
      <w:r w:rsidRPr="0085724C">
        <w:rPr>
          <w:rFonts w:ascii="Bookman Old Style" w:eastAsia="Bookman Old Style" w:hAnsi="Bookman Old Style" w:cs="Bookman Old Style"/>
          <w:sz w:val="24"/>
          <w:szCs w:val="24"/>
          <w:lang w:val="sv-SE"/>
        </w:rPr>
        <w:t>Pemerintah</w:t>
      </w:r>
      <w:r w:rsidR="00A954D0">
        <w:rPr>
          <w:rFonts w:ascii="Bookman Old Style" w:eastAsia="Bookman Old Style" w:hAnsi="Bookman Old Style" w:cs="Bookman Old Style"/>
          <w:sz w:val="24"/>
          <w:szCs w:val="24"/>
          <w:lang w:val="sv-SE"/>
        </w:rPr>
        <w:t xml:space="preserve"> </w:t>
      </w:r>
      <w:r w:rsidRPr="0085724C">
        <w:rPr>
          <w:rFonts w:ascii="Bookman Old Style" w:eastAsia="Bookman Old Style" w:hAnsi="Bookman Old Style" w:cs="Bookman Old Style"/>
          <w:sz w:val="24"/>
          <w:szCs w:val="24"/>
          <w:lang w:val="sv-SE"/>
        </w:rPr>
        <w:t>Daerah</w:t>
      </w:r>
      <w:r w:rsidR="00A954D0">
        <w:rPr>
          <w:rFonts w:ascii="Bookman Old Style" w:eastAsia="Bookman Old Style" w:hAnsi="Bookman Old Style" w:cs="Bookman Old Style"/>
          <w:sz w:val="24"/>
          <w:szCs w:val="24"/>
          <w:lang w:val="sv-SE"/>
        </w:rPr>
        <w:t xml:space="preserve"> </w:t>
      </w:r>
      <w:r w:rsidRPr="0085724C">
        <w:rPr>
          <w:rFonts w:ascii="Bookman Old Style" w:eastAsia="Bookman Old Style" w:hAnsi="Bookman Old Style" w:cs="Bookman Old Style"/>
          <w:sz w:val="24"/>
          <w:szCs w:val="24"/>
          <w:lang w:val="sv-SE"/>
        </w:rPr>
        <w:t>Kota</w:t>
      </w:r>
      <w:r w:rsidR="00A954D0">
        <w:rPr>
          <w:rFonts w:ascii="Bookman Old Style" w:eastAsia="Bookman Old Style" w:hAnsi="Bookman Old Style" w:cs="Bookman Old Style"/>
          <w:sz w:val="24"/>
          <w:szCs w:val="24"/>
          <w:lang w:val="sv-SE"/>
        </w:rPr>
        <w:t xml:space="preserve"> </w:t>
      </w:r>
      <w:r w:rsidRPr="0085724C">
        <w:rPr>
          <w:rFonts w:ascii="Bookman Old Style" w:eastAsia="Bookman Old Style" w:hAnsi="Bookman Old Style" w:cs="Bookman Old Style"/>
          <w:sz w:val="24"/>
          <w:szCs w:val="24"/>
          <w:lang w:val="sv-SE"/>
        </w:rPr>
        <w:t>Tangerang</w:t>
      </w:r>
      <w:r w:rsidR="00A954D0">
        <w:rPr>
          <w:rFonts w:ascii="Bookman Old Style" w:eastAsia="Bookman Old Style" w:hAnsi="Bookman Old Style" w:cs="Bookman Old Style"/>
          <w:sz w:val="24"/>
          <w:szCs w:val="24"/>
          <w:lang w:val="sv-SE"/>
        </w:rPr>
        <w:t xml:space="preserve"> </w:t>
      </w:r>
      <w:r w:rsidRPr="0085724C">
        <w:rPr>
          <w:rFonts w:ascii="Bookman Old Style" w:eastAsia="Bookman Old Style" w:hAnsi="Bookman Old Style" w:cs="Bookman Old Style"/>
          <w:sz w:val="24"/>
          <w:szCs w:val="24"/>
          <w:lang w:val="sv-SE"/>
        </w:rPr>
        <w:t>berdasarkan</w:t>
      </w:r>
      <w:r w:rsidR="00A954D0">
        <w:rPr>
          <w:rFonts w:ascii="Bookman Old Style" w:eastAsia="Bookman Old Style" w:hAnsi="Bookman Old Style" w:cs="Bookman Old Style"/>
          <w:sz w:val="24"/>
          <w:szCs w:val="24"/>
          <w:lang w:val="sv-SE"/>
        </w:rPr>
        <w:t xml:space="preserve"> </w:t>
      </w:r>
      <w:r w:rsidRPr="0085724C">
        <w:rPr>
          <w:rFonts w:ascii="Bookman Old Style" w:eastAsia="Bookman Old Style" w:hAnsi="Bookman Old Style" w:cs="Bookman Old Style"/>
          <w:sz w:val="24"/>
          <w:szCs w:val="24"/>
          <w:lang w:val="sv-SE"/>
        </w:rPr>
        <w:t>angka</w:t>
      </w:r>
      <w:r w:rsidR="00A954D0">
        <w:rPr>
          <w:rFonts w:ascii="Bookman Old Style" w:eastAsia="Bookman Old Style" w:hAnsi="Bookman Old Style" w:cs="Bookman Old Style"/>
          <w:sz w:val="24"/>
          <w:szCs w:val="24"/>
          <w:lang w:val="sv-SE"/>
        </w:rPr>
        <w:t xml:space="preserve"> </w:t>
      </w:r>
      <w:r w:rsidRPr="0085724C">
        <w:rPr>
          <w:rFonts w:ascii="Bookman Old Style" w:eastAsia="Bookman Old Style" w:hAnsi="Bookman Old Style" w:cs="Bookman Old Style"/>
          <w:sz w:val="24"/>
          <w:szCs w:val="24"/>
          <w:lang w:val="sv-SE"/>
        </w:rPr>
        <w:t>persentase</w:t>
      </w:r>
      <w:r w:rsidR="00A954D0">
        <w:rPr>
          <w:rFonts w:ascii="Bookman Old Style" w:eastAsia="Bookman Old Style" w:hAnsi="Bookman Old Style" w:cs="Bookman Old Style"/>
          <w:sz w:val="24"/>
          <w:szCs w:val="24"/>
          <w:lang w:val="sv-SE"/>
        </w:rPr>
        <w:t xml:space="preserve"> </w:t>
      </w:r>
      <w:r w:rsidRPr="0085724C">
        <w:rPr>
          <w:rFonts w:ascii="Bookman Old Style" w:eastAsia="Bookman Old Style" w:hAnsi="Bookman Old Style" w:cs="Bookman Old Style"/>
          <w:sz w:val="24"/>
          <w:szCs w:val="24"/>
          <w:lang w:val="sv-SE"/>
        </w:rPr>
        <w:t>tertentu</w:t>
      </w:r>
      <w:r w:rsidR="00A954D0">
        <w:rPr>
          <w:rFonts w:ascii="Bookman Old Style" w:eastAsia="Bookman Old Style" w:hAnsi="Bookman Old Style" w:cs="Bookman Old Style"/>
          <w:sz w:val="24"/>
          <w:szCs w:val="24"/>
          <w:lang w:val="sv-SE"/>
        </w:rPr>
        <w:t xml:space="preserve"> </w:t>
      </w:r>
      <w:r w:rsidRPr="0085724C">
        <w:rPr>
          <w:rFonts w:ascii="Bookman Old Style" w:eastAsia="Bookman Old Style" w:hAnsi="Bookman Old Style" w:cs="Bookman Old Style"/>
          <w:sz w:val="24"/>
          <w:szCs w:val="24"/>
          <w:lang w:val="sv-SE"/>
        </w:rPr>
        <w:t>sesuai</w:t>
      </w:r>
      <w:r w:rsidR="00A954D0">
        <w:rPr>
          <w:rFonts w:ascii="Bookman Old Style" w:eastAsia="Bookman Old Style" w:hAnsi="Bookman Old Style" w:cs="Bookman Old Style"/>
          <w:sz w:val="24"/>
          <w:szCs w:val="24"/>
          <w:lang w:val="sv-SE"/>
        </w:rPr>
        <w:t xml:space="preserve"> </w:t>
      </w:r>
      <w:r w:rsidRPr="0085724C">
        <w:rPr>
          <w:rFonts w:ascii="Bookman Old Style" w:eastAsia="Bookman Old Style" w:hAnsi="Bookman Old Style" w:cs="Bookman Old Style"/>
          <w:sz w:val="24"/>
          <w:szCs w:val="24"/>
          <w:lang w:val="sv-SE"/>
        </w:rPr>
        <w:t>dengan</w:t>
      </w:r>
      <w:r w:rsidR="00A954D0">
        <w:rPr>
          <w:rFonts w:ascii="Bookman Old Style" w:eastAsia="Bookman Old Style" w:hAnsi="Bookman Old Style" w:cs="Bookman Old Style"/>
          <w:sz w:val="24"/>
          <w:szCs w:val="24"/>
          <w:lang w:val="sv-SE"/>
        </w:rPr>
        <w:t xml:space="preserve"> </w:t>
      </w:r>
      <w:r w:rsidRPr="0085724C">
        <w:rPr>
          <w:rFonts w:ascii="Bookman Old Style" w:eastAsia="Bookman Old Style" w:hAnsi="Bookman Old Style" w:cs="Bookman Old Style"/>
          <w:sz w:val="24"/>
          <w:szCs w:val="24"/>
          <w:lang w:val="sv-SE"/>
        </w:rPr>
        <w:t>ketentuan</w:t>
      </w:r>
      <w:r w:rsidR="00A954D0">
        <w:rPr>
          <w:rFonts w:ascii="Bookman Old Style" w:eastAsia="Bookman Old Style" w:hAnsi="Bookman Old Style" w:cs="Bookman Old Style"/>
          <w:sz w:val="24"/>
          <w:szCs w:val="24"/>
          <w:lang w:val="sv-SE"/>
        </w:rPr>
        <w:t xml:space="preserve"> </w:t>
      </w:r>
      <w:r w:rsidRPr="0085724C">
        <w:rPr>
          <w:rFonts w:ascii="Bookman Old Style" w:eastAsia="Bookman Old Style" w:hAnsi="Bookman Old Style" w:cs="Bookman Old Style"/>
          <w:sz w:val="24"/>
          <w:szCs w:val="24"/>
          <w:lang w:val="sv-SE"/>
        </w:rPr>
        <w:t>peraturan</w:t>
      </w:r>
      <w:r w:rsidR="00A954D0">
        <w:rPr>
          <w:rFonts w:ascii="Bookman Old Style" w:eastAsia="Bookman Old Style" w:hAnsi="Bookman Old Style" w:cs="Bookman Old Style"/>
          <w:sz w:val="24"/>
          <w:szCs w:val="24"/>
          <w:lang w:val="sv-SE"/>
        </w:rPr>
        <w:t xml:space="preserve"> </w:t>
      </w:r>
      <w:r w:rsidRPr="0085724C">
        <w:rPr>
          <w:rFonts w:ascii="Bookman Old Style" w:eastAsia="Bookman Old Style" w:hAnsi="Bookman Old Style" w:cs="Bookman Old Style"/>
          <w:sz w:val="24"/>
          <w:szCs w:val="24"/>
          <w:lang w:val="sv-SE"/>
        </w:rPr>
        <w:t>perundang-undangan.</w:t>
      </w:r>
      <w:r w:rsidR="00A954D0">
        <w:rPr>
          <w:rFonts w:ascii="Bookman Old Style" w:eastAsia="Bookman Old Style" w:hAnsi="Bookman Old Style" w:cs="Bookman Old Style"/>
          <w:sz w:val="24"/>
          <w:szCs w:val="24"/>
          <w:lang w:val="sv-SE"/>
        </w:rPr>
        <w:t xml:space="preserve"> </w:t>
      </w:r>
      <w:r w:rsidRPr="0085724C">
        <w:rPr>
          <w:rFonts w:ascii="Bookman Old Style" w:eastAsia="Bookman Old Style" w:hAnsi="Bookman Old Style" w:cs="Bookman Old Style"/>
          <w:sz w:val="24"/>
          <w:szCs w:val="24"/>
          <w:lang w:val="sv-SE"/>
        </w:rPr>
        <w:t>Pendapatan</w:t>
      </w:r>
      <w:r w:rsidR="00A954D0">
        <w:rPr>
          <w:rFonts w:ascii="Bookman Old Style" w:eastAsia="Bookman Old Style" w:hAnsi="Bookman Old Style" w:cs="Bookman Old Style"/>
          <w:sz w:val="24"/>
          <w:szCs w:val="24"/>
          <w:lang w:val="sv-SE"/>
        </w:rPr>
        <w:t xml:space="preserve"> </w:t>
      </w:r>
      <w:r w:rsidRPr="0085724C">
        <w:rPr>
          <w:rFonts w:ascii="Bookman Old Style" w:eastAsia="Bookman Old Style" w:hAnsi="Bookman Old Style" w:cs="Bookman Old Style"/>
          <w:sz w:val="24"/>
          <w:szCs w:val="24"/>
          <w:lang w:val="sv-SE"/>
        </w:rPr>
        <w:t>bagi</w:t>
      </w:r>
      <w:r w:rsidR="00A954D0">
        <w:rPr>
          <w:rFonts w:ascii="Bookman Old Style" w:eastAsia="Bookman Old Style" w:hAnsi="Bookman Old Style" w:cs="Bookman Old Style"/>
          <w:sz w:val="24"/>
          <w:szCs w:val="24"/>
          <w:lang w:val="sv-SE"/>
        </w:rPr>
        <w:t xml:space="preserve"> </w:t>
      </w:r>
      <w:r w:rsidRPr="0085724C">
        <w:rPr>
          <w:rFonts w:ascii="Bookman Old Style" w:eastAsia="Bookman Old Style" w:hAnsi="Bookman Old Style" w:cs="Bookman Old Style"/>
          <w:sz w:val="24"/>
          <w:szCs w:val="24"/>
          <w:lang w:val="sv-SE"/>
        </w:rPr>
        <w:t>hasil</w:t>
      </w:r>
      <w:r w:rsidR="00A954D0">
        <w:rPr>
          <w:rFonts w:ascii="Bookman Old Style" w:eastAsia="Bookman Old Style" w:hAnsi="Bookman Old Style" w:cs="Bookman Old Style"/>
          <w:sz w:val="24"/>
          <w:szCs w:val="24"/>
          <w:lang w:val="sv-SE"/>
        </w:rPr>
        <w:t xml:space="preserve"> </w:t>
      </w:r>
      <w:r w:rsidRPr="0085724C">
        <w:rPr>
          <w:rFonts w:ascii="Bookman Old Style" w:eastAsia="Bookman Old Style" w:hAnsi="Bookman Old Style" w:cs="Bookman Old Style"/>
          <w:sz w:val="24"/>
          <w:szCs w:val="24"/>
          <w:lang w:val="sv-SE"/>
        </w:rPr>
        <w:t>tersebut</w:t>
      </w:r>
      <w:r w:rsidR="00A954D0">
        <w:rPr>
          <w:rFonts w:ascii="Bookman Old Style" w:eastAsia="Bookman Old Style" w:hAnsi="Bookman Old Style" w:cs="Bookman Old Style"/>
          <w:sz w:val="24"/>
          <w:szCs w:val="24"/>
          <w:lang w:val="sv-SE"/>
        </w:rPr>
        <w:t xml:space="preserve"> </w:t>
      </w:r>
      <w:r w:rsidRPr="0085724C">
        <w:rPr>
          <w:rFonts w:ascii="Bookman Old Style" w:eastAsia="Bookman Old Style" w:hAnsi="Bookman Old Style" w:cs="Bookman Old Style"/>
          <w:sz w:val="24"/>
          <w:szCs w:val="24"/>
          <w:lang w:val="sv-SE"/>
        </w:rPr>
        <w:t>bersumber</w:t>
      </w:r>
      <w:r w:rsidR="00A954D0">
        <w:rPr>
          <w:rFonts w:ascii="Bookman Old Style" w:eastAsia="Bookman Old Style" w:hAnsi="Bookman Old Style" w:cs="Bookman Old Style"/>
          <w:sz w:val="24"/>
          <w:szCs w:val="24"/>
          <w:lang w:val="sv-SE"/>
        </w:rPr>
        <w:t xml:space="preserve"> </w:t>
      </w:r>
      <w:r w:rsidRPr="0085724C">
        <w:rPr>
          <w:rFonts w:ascii="Bookman Old Style" w:eastAsia="Bookman Old Style" w:hAnsi="Bookman Old Style" w:cs="Bookman Old Style"/>
          <w:sz w:val="24"/>
          <w:szCs w:val="24"/>
          <w:lang w:val="sv-SE"/>
        </w:rPr>
        <w:t>dari</w:t>
      </w:r>
      <w:r w:rsidR="00A954D0">
        <w:rPr>
          <w:rFonts w:ascii="Bookman Old Style" w:eastAsia="Bookman Old Style" w:hAnsi="Bookman Old Style" w:cs="Bookman Old Style"/>
          <w:sz w:val="24"/>
          <w:szCs w:val="24"/>
          <w:lang w:val="sv-SE"/>
        </w:rPr>
        <w:t xml:space="preserve"> </w:t>
      </w:r>
      <w:r w:rsidRPr="0085724C">
        <w:rPr>
          <w:rFonts w:ascii="Bookman Old Style" w:eastAsia="Bookman Old Style" w:hAnsi="Bookman Old Style" w:cs="Bookman Old Style"/>
          <w:sz w:val="24"/>
          <w:szCs w:val="24"/>
          <w:lang w:val="sv-SE"/>
        </w:rPr>
        <w:t>bagi</w:t>
      </w:r>
      <w:r w:rsidR="00A954D0">
        <w:rPr>
          <w:rFonts w:ascii="Bookman Old Style" w:eastAsia="Bookman Old Style" w:hAnsi="Bookman Old Style" w:cs="Bookman Old Style"/>
          <w:sz w:val="24"/>
          <w:szCs w:val="24"/>
          <w:lang w:val="sv-SE"/>
        </w:rPr>
        <w:t xml:space="preserve"> </w:t>
      </w:r>
      <w:r w:rsidRPr="0085724C">
        <w:rPr>
          <w:rFonts w:ascii="Bookman Old Style" w:eastAsia="Bookman Old Style" w:hAnsi="Bookman Old Style" w:cs="Bookman Old Style"/>
          <w:sz w:val="24"/>
          <w:szCs w:val="24"/>
          <w:lang w:val="sv-SE"/>
        </w:rPr>
        <w:t>hasil</w:t>
      </w:r>
      <w:r w:rsidR="00A954D0">
        <w:rPr>
          <w:rFonts w:ascii="Bookman Old Style" w:eastAsia="Bookman Old Style" w:hAnsi="Bookman Old Style" w:cs="Bookman Old Style"/>
          <w:sz w:val="24"/>
          <w:szCs w:val="24"/>
          <w:lang w:val="sv-SE"/>
        </w:rPr>
        <w:t xml:space="preserve"> </w:t>
      </w:r>
      <w:r w:rsidRPr="0085724C">
        <w:rPr>
          <w:rFonts w:ascii="Bookman Old Style" w:eastAsia="Bookman Old Style" w:hAnsi="Bookman Old Style" w:cs="Bookman Old Style"/>
          <w:sz w:val="24"/>
          <w:szCs w:val="24"/>
          <w:lang w:val="sv-SE"/>
        </w:rPr>
        <w:t>pajak</w:t>
      </w:r>
      <w:r w:rsidR="00A954D0">
        <w:rPr>
          <w:rFonts w:ascii="Bookman Old Style" w:eastAsia="Bookman Old Style" w:hAnsi="Bookman Old Style" w:cs="Bookman Old Style"/>
          <w:sz w:val="24"/>
          <w:szCs w:val="24"/>
          <w:lang w:val="sv-SE"/>
        </w:rPr>
        <w:t xml:space="preserve"> </w:t>
      </w:r>
      <w:r w:rsidRPr="0085724C">
        <w:rPr>
          <w:rFonts w:ascii="Bookman Old Style" w:eastAsia="Bookman Old Style" w:hAnsi="Bookman Old Style" w:cs="Bookman Old Style"/>
          <w:sz w:val="24"/>
          <w:szCs w:val="24"/>
          <w:lang w:val="sv-SE"/>
        </w:rPr>
        <w:t>daerah</w:t>
      </w:r>
      <w:r w:rsidR="00A954D0">
        <w:rPr>
          <w:rFonts w:ascii="Bookman Old Style" w:eastAsia="Bookman Old Style" w:hAnsi="Bookman Old Style" w:cs="Bookman Old Style"/>
          <w:sz w:val="24"/>
          <w:szCs w:val="24"/>
          <w:lang w:val="sv-SE"/>
        </w:rPr>
        <w:t xml:space="preserve"> </w:t>
      </w:r>
      <w:r w:rsidRPr="0085724C">
        <w:rPr>
          <w:rFonts w:ascii="Bookman Old Style" w:eastAsia="Bookman Old Style" w:hAnsi="Bookman Old Style" w:cs="Bookman Old Style"/>
          <w:sz w:val="24"/>
          <w:szCs w:val="24"/>
          <w:lang w:val="sv-SE"/>
        </w:rPr>
        <w:t>Pemerintah</w:t>
      </w:r>
      <w:r w:rsidR="00A954D0">
        <w:rPr>
          <w:rFonts w:ascii="Bookman Old Style" w:eastAsia="Bookman Old Style" w:hAnsi="Bookman Old Style" w:cs="Bookman Old Style"/>
          <w:sz w:val="24"/>
          <w:szCs w:val="24"/>
          <w:lang w:val="sv-SE"/>
        </w:rPr>
        <w:t xml:space="preserve"> </w:t>
      </w:r>
      <w:r w:rsidRPr="0085724C">
        <w:rPr>
          <w:rFonts w:ascii="Bookman Old Style" w:eastAsia="Bookman Old Style" w:hAnsi="Bookman Old Style" w:cs="Bookman Old Style"/>
          <w:sz w:val="24"/>
          <w:szCs w:val="24"/>
          <w:lang w:val="sv-SE"/>
        </w:rPr>
        <w:t>Daerah</w:t>
      </w:r>
      <w:r w:rsidR="00A954D0">
        <w:rPr>
          <w:rFonts w:ascii="Bookman Old Style" w:eastAsia="Bookman Old Style" w:hAnsi="Bookman Old Style" w:cs="Bookman Old Style"/>
          <w:sz w:val="24"/>
          <w:szCs w:val="24"/>
          <w:lang w:val="sv-SE"/>
        </w:rPr>
        <w:t xml:space="preserve"> </w:t>
      </w:r>
      <w:r w:rsidRPr="0085724C">
        <w:rPr>
          <w:rFonts w:ascii="Bookman Old Style" w:eastAsia="Bookman Old Style" w:hAnsi="Bookman Old Style" w:cs="Bookman Old Style"/>
          <w:sz w:val="24"/>
          <w:szCs w:val="24"/>
          <w:lang w:val="sv-SE"/>
        </w:rPr>
        <w:t>Provinsi</w:t>
      </w:r>
      <w:r w:rsidR="00A954D0">
        <w:rPr>
          <w:rFonts w:ascii="Bookman Old Style" w:eastAsia="Bookman Old Style" w:hAnsi="Bookman Old Style" w:cs="Bookman Old Style"/>
          <w:sz w:val="24"/>
          <w:szCs w:val="24"/>
          <w:lang w:val="sv-SE"/>
        </w:rPr>
        <w:t xml:space="preserve"> </w:t>
      </w:r>
      <w:r w:rsidRPr="0085724C">
        <w:rPr>
          <w:rFonts w:ascii="Bookman Old Style" w:eastAsia="Bookman Old Style" w:hAnsi="Bookman Old Style" w:cs="Bookman Old Style"/>
          <w:sz w:val="24"/>
          <w:szCs w:val="24"/>
          <w:lang w:val="sv-SE"/>
        </w:rPr>
        <w:t>yang</w:t>
      </w:r>
      <w:r w:rsidR="00A954D0">
        <w:rPr>
          <w:rFonts w:ascii="Bookman Old Style" w:eastAsia="Bookman Old Style" w:hAnsi="Bookman Old Style" w:cs="Bookman Old Style"/>
          <w:sz w:val="24"/>
          <w:szCs w:val="24"/>
          <w:lang w:val="sv-SE"/>
        </w:rPr>
        <w:t xml:space="preserve"> </w:t>
      </w:r>
      <w:r w:rsidRPr="0085724C">
        <w:rPr>
          <w:rFonts w:ascii="Bookman Old Style" w:eastAsia="Bookman Old Style" w:hAnsi="Bookman Old Style" w:cs="Bookman Old Style"/>
          <w:sz w:val="24"/>
          <w:szCs w:val="24"/>
          <w:lang w:val="sv-SE"/>
        </w:rPr>
        <w:t>didasar</w:t>
      </w:r>
      <w:r w:rsidRPr="0075774C">
        <w:rPr>
          <w:rFonts w:ascii="Bookman Old Style" w:eastAsia="Bookman Old Style" w:hAnsi="Bookman Old Style" w:cs="Bookman Old Style"/>
          <w:sz w:val="24"/>
          <w:szCs w:val="24"/>
          <w:lang w:val="sv-SE"/>
        </w:rPr>
        <w:t>kan</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pada</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penganggaran</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belanja</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bagi</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hasil</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pajak</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daerah</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dalam</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APBD</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Pemerintah</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Daerah</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Provinsi</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Tahun</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Anggaran</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2025,</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sesuai</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maksud</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butir</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3.3.2.2.1</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Lampiran</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Peraturan</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Menteri</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Dalam</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Negeri</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Nomor</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15</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Tahun</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2024.</w:t>
      </w:r>
    </w:p>
    <w:p w14:paraId="209387D3" w14:textId="5579FEBC" w:rsidR="005C3E60" w:rsidRDefault="006D52F0" w:rsidP="006D52F0">
      <w:pPr>
        <w:pStyle w:val="ListParagraph"/>
        <w:spacing w:before="60" w:after="0" w:line="276" w:lineRule="auto"/>
        <w:ind w:left="1701"/>
        <w:contextualSpacing w:val="0"/>
        <w:jc w:val="both"/>
        <w:rPr>
          <w:rFonts w:ascii="Bookman Old Style" w:eastAsia="Bookman Old Style" w:hAnsi="Bookman Old Style" w:cs="Bookman Old Style"/>
          <w:sz w:val="24"/>
          <w:szCs w:val="24"/>
          <w:lang w:val="sv-SE"/>
        </w:rPr>
      </w:pPr>
      <w:r w:rsidRPr="0075774C">
        <w:rPr>
          <w:rFonts w:ascii="Bookman Old Style" w:eastAsia="Bookman Old Style" w:hAnsi="Bookman Old Style" w:cs="Bookman Old Style"/>
          <w:sz w:val="24"/>
          <w:szCs w:val="24"/>
          <w:lang w:val="sv-SE"/>
        </w:rPr>
        <w:lastRenderedPageBreak/>
        <w:t>Selanjutnya</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terhadap</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bagian</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Pemerintah</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Kota</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Tangerang</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yang</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belum</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direalisasikan</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oleh</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Pemerintah</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Provinsi</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Banten</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akibat</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pelampauan</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target</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Tahun</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Anggaran</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2024,</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dianggarkan</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dalam</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Peraturan</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Daerah</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Kota</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Tangerang</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tentang</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Perubahan</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APBD</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Tahun</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Anggaran</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2025</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atau</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ditampung</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dalam</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LRA</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apabila</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Pemerintah</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Kota</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Tangerang</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tidak</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melakukan</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Perubahan</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APBD</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Tahun</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Anggaran</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2025,</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sebagaimana</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diamanatkan</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dalam</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butir</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3.3.2.2.1.e</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Lampiran</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Peraturan</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Menteri</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Dalam</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Negeri</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Nomor</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15</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Tahun</w:t>
      </w:r>
      <w:r w:rsidR="00A954D0">
        <w:rPr>
          <w:rFonts w:ascii="Bookman Old Style" w:eastAsia="Bookman Old Style" w:hAnsi="Bookman Old Style" w:cs="Bookman Old Style"/>
          <w:sz w:val="24"/>
          <w:szCs w:val="24"/>
          <w:lang w:val="sv-SE"/>
        </w:rPr>
        <w:t xml:space="preserve"> </w:t>
      </w:r>
      <w:r w:rsidRPr="0075774C">
        <w:rPr>
          <w:rFonts w:ascii="Bookman Old Style" w:eastAsia="Bookman Old Style" w:hAnsi="Bookman Old Style" w:cs="Bookman Old Style"/>
          <w:sz w:val="24"/>
          <w:szCs w:val="24"/>
          <w:lang w:val="sv-SE"/>
        </w:rPr>
        <w:t>2024.</w:t>
      </w:r>
    </w:p>
    <w:p w14:paraId="117461A2" w14:textId="6BB4EB1D" w:rsidR="00735D18" w:rsidRPr="00C46F62" w:rsidRDefault="00BB4E6E" w:rsidP="00875947">
      <w:pPr>
        <w:pStyle w:val="ListParagraph"/>
        <w:spacing w:before="120" w:after="0" w:line="276" w:lineRule="auto"/>
        <w:ind w:left="1701"/>
        <w:contextualSpacing w:val="0"/>
        <w:jc w:val="both"/>
        <w:rPr>
          <w:rFonts w:ascii="Bookman Old Style" w:eastAsia="Bookman Old Style" w:hAnsi="Bookman Old Style" w:cs="Bookman Old Style"/>
          <w:sz w:val="24"/>
          <w:szCs w:val="24"/>
          <w:lang w:val="sv-SE"/>
        </w:rPr>
      </w:pPr>
      <w:r w:rsidRPr="003255BC">
        <w:rPr>
          <w:rFonts w:ascii="Bookman Old Style" w:eastAsia="Bookman Old Style" w:hAnsi="Bookman Old Style" w:cs="Bookman Old Style"/>
          <w:sz w:val="24"/>
          <w:szCs w:val="24"/>
          <w:lang w:val="sv-FI"/>
        </w:rPr>
        <w:t>Berdasarkan</w:t>
      </w:r>
      <w:r w:rsidR="00A954D0" w:rsidRPr="003255BC">
        <w:rPr>
          <w:rFonts w:ascii="Bookman Old Style" w:eastAsia="Bookman Old Style" w:hAnsi="Bookman Old Style" w:cs="Bookman Old Style"/>
          <w:sz w:val="24"/>
          <w:szCs w:val="24"/>
          <w:lang w:val="sv-FI"/>
        </w:rPr>
        <w:t xml:space="preserve"> </w:t>
      </w:r>
      <w:r w:rsidRPr="003255BC">
        <w:rPr>
          <w:rFonts w:ascii="Bookman Old Style" w:eastAsia="Bookman Old Style" w:hAnsi="Bookman Old Style" w:cs="Bookman Old Style"/>
          <w:sz w:val="24"/>
          <w:szCs w:val="24"/>
          <w:lang w:val="sv-FI"/>
        </w:rPr>
        <w:t>Persetujuan</w:t>
      </w:r>
      <w:r w:rsidR="00A954D0" w:rsidRPr="003255BC">
        <w:rPr>
          <w:rFonts w:ascii="Bookman Old Style" w:eastAsia="Bookman Old Style" w:hAnsi="Bookman Old Style" w:cs="Bookman Old Style"/>
          <w:sz w:val="24"/>
          <w:szCs w:val="24"/>
          <w:lang w:val="sv-FI"/>
        </w:rPr>
        <w:t xml:space="preserve"> </w:t>
      </w:r>
      <w:r w:rsidRPr="003255BC">
        <w:rPr>
          <w:rFonts w:ascii="Bookman Old Style" w:eastAsia="Bookman Old Style" w:hAnsi="Bookman Old Style" w:cs="Bookman Old Style"/>
          <w:sz w:val="24"/>
          <w:szCs w:val="24"/>
          <w:lang w:val="sv-FI"/>
        </w:rPr>
        <w:t>Bersama</w:t>
      </w:r>
      <w:r w:rsidR="00A954D0" w:rsidRPr="003255BC">
        <w:rPr>
          <w:rFonts w:ascii="Bookman Old Style" w:eastAsia="Bookman Old Style" w:hAnsi="Bookman Old Style" w:cs="Bookman Old Style"/>
          <w:sz w:val="24"/>
          <w:szCs w:val="24"/>
          <w:lang w:val="sv-FI"/>
        </w:rPr>
        <w:t xml:space="preserve"> </w:t>
      </w:r>
      <w:r w:rsidRPr="003255BC">
        <w:rPr>
          <w:rFonts w:ascii="Bookman Old Style" w:eastAsia="Bookman Old Style" w:hAnsi="Bookman Old Style" w:cs="Bookman Old Style"/>
          <w:sz w:val="24"/>
          <w:szCs w:val="24"/>
          <w:lang w:val="sv-FI"/>
        </w:rPr>
        <w:t>antara</w:t>
      </w:r>
      <w:r w:rsidR="00A954D0" w:rsidRPr="003255BC">
        <w:rPr>
          <w:rFonts w:ascii="Bookman Old Style" w:eastAsia="Bookman Old Style" w:hAnsi="Bookman Old Style" w:cs="Bookman Old Style"/>
          <w:sz w:val="24"/>
          <w:szCs w:val="24"/>
          <w:lang w:val="sv-FI"/>
        </w:rPr>
        <w:t xml:space="preserve"> </w:t>
      </w:r>
      <w:r w:rsidRPr="003255BC">
        <w:rPr>
          <w:rFonts w:ascii="Bookman Old Style" w:eastAsia="Bookman Old Style" w:hAnsi="Bookman Old Style" w:cs="Bookman Old Style"/>
          <w:sz w:val="24"/>
          <w:szCs w:val="24"/>
          <w:lang w:val="sv-FI"/>
        </w:rPr>
        <w:t>Gubernur</w:t>
      </w:r>
      <w:r w:rsidR="00A954D0" w:rsidRPr="003255BC">
        <w:rPr>
          <w:rFonts w:ascii="Bookman Old Style" w:eastAsia="Bookman Old Style" w:hAnsi="Bookman Old Style" w:cs="Bookman Old Style"/>
          <w:sz w:val="24"/>
          <w:szCs w:val="24"/>
          <w:lang w:val="sv-FI"/>
        </w:rPr>
        <w:t xml:space="preserve"> </w:t>
      </w:r>
      <w:r w:rsidRPr="003255BC">
        <w:rPr>
          <w:rFonts w:ascii="Bookman Old Style" w:eastAsia="Bookman Old Style" w:hAnsi="Bookman Old Style" w:cs="Bookman Old Style"/>
          <w:sz w:val="24"/>
          <w:szCs w:val="24"/>
          <w:lang w:val="sv-FI"/>
        </w:rPr>
        <w:t>dan</w:t>
      </w:r>
      <w:r w:rsidRPr="003255BC">
        <w:rPr>
          <w:rFonts w:ascii="Bookman Old Style" w:eastAsia="Bookman Old Style" w:hAnsi="Bookman Old Style" w:cs="Bookman Old Style"/>
          <w:sz w:val="24"/>
          <w:szCs w:val="24"/>
          <w:lang w:val="sv-FI"/>
        </w:rPr>
        <w:br/>
        <w:t>DPRD</w:t>
      </w:r>
      <w:r w:rsidR="00A954D0" w:rsidRPr="003255BC">
        <w:rPr>
          <w:rFonts w:ascii="Bookman Old Style" w:eastAsia="Bookman Old Style" w:hAnsi="Bookman Old Style" w:cs="Bookman Old Style"/>
          <w:sz w:val="24"/>
          <w:szCs w:val="24"/>
          <w:lang w:val="sv-FI"/>
        </w:rPr>
        <w:t xml:space="preserve"> </w:t>
      </w:r>
      <w:r w:rsidRPr="003255BC">
        <w:rPr>
          <w:rFonts w:ascii="Bookman Old Style" w:eastAsia="Bookman Old Style" w:hAnsi="Bookman Old Style" w:cs="Bookman Old Style"/>
          <w:sz w:val="24"/>
          <w:szCs w:val="24"/>
          <w:lang w:val="sv-FI"/>
        </w:rPr>
        <w:t>Provinsi</w:t>
      </w:r>
      <w:r w:rsidR="00A954D0" w:rsidRPr="003255BC">
        <w:rPr>
          <w:rFonts w:ascii="Bookman Old Style" w:eastAsia="Bookman Old Style" w:hAnsi="Bookman Old Style" w:cs="Bookman Old Style"/>
          <w:sz w:val="24"/>
          <w:szCs w:val="24"/>
          <w:lang w:val="sv-FI"/>
        </w:rPr>
        <w:t xml:space="preserve"> </w:t>
      </w:r>
      <w:r w:rsidRPr="003255BC">
        <w:rPr>
          <w:rFonts w:ascii="Bookman Old Style" w:eastAsia="Bookman Old Style" w:hAnsi="Bookman Old Style" w:cs="Bookman Old Style"/>
          <w:sz w:val="24"/>
          <w:szCs w:val="24"/>
          <w:lang w:val="sv-FI"/>
        </w:rPr>
        <w:t>Banten</w:t>
      </w:r>
      <w:r w:rsidR="00A954D0" w:rsidRPr="003255BC">
        <w:rPr>
          <w:rFonts w:ascii="Bookman Old Style" w:eastAsia="Bookman Old Style" w:hAnsi="Bookman Old Style" w:cs="Bookman Old Style"/>
          <w:sz w:val="24"/>
          <w:szCs w:val="24"/>
          <w:lang w:val="sv-FI"/>
        </w:rPr>
        <w:t xml:space="preserve"> </w:t>
      </w:r>
      <w:r w:rsidRPr="003255BC">
        <w:rPr>
          <w:rFonts w:ascii="Bookman Old Style" w:eastAsia="Bookman Old Style" w:hAnsi="Bookman Old Style" w:cs="Bookman Old Style"/>
          <w:sz w:val="24"/>
          <w:szCs w:val="24"/>
          <w:lang w:val="sv-FI"/>
        </w:rPr>
        <w:t>tentang</w:t>
      </w:r>
      <w:r w:rsidR="00A954D0" w:rsidRPr="003255BC">
        <w:rPr>
          <w:rFonts w:ascii="Bookman Old Style" w:eastAsia="Bookman Old Style" w:hAnsi="Bookman Old Style" w:cs="Bookman Old Style"/>
          <w:sz w:val="24"/>
          <w:szCs w:val="24"/>
          <w:lang w:val="sv-FI"/>
        </w:rPr>
        <w:t xml:space="preserve"> </w:t>
      </w:r>
      <w:r w:rsidRPr="003255BC">
        <w:rPr>
          <w:rFonts w:ascii="Bookman Old Style" w:eastAsia="Bookman Old Style" w:hAnsi="Bookman Old Style" w:cs="Bookman Old Style"/>
          <w:sz w:val="24"/>
          <w:szCs w:val="24"/>
          <w:lang w:val="sv-FI"/>
        </w:rPr>
        <w:t>Rancangan</w:t>
      </w:r>
      <w:r w:rsidR="00A954D0" w:rsidRPr="003255BC">
        <w:rPr>
          <w:rFonts w:ascii="Bookman Old Style" w:eastAsia="Bookman Old Style" w:hAnsi="Bookman Old Style" w:cs="Bookman Old Style"/>
          <w:sz w:val="24"/>
          <w:szCs w:val="24"/>
          <w:lang w:val="sv-FI"/>
        </w:rPr>
        <w:t xml:space="preserve"> </w:t>
      </w:r>
      <w:r w:rsidRPr="003255BC">
        <w:rPr>
          <w:rFonts w:ascii="Bookman Old Style" w:eastAsia="Bookman Old Style" w:hAnsi="Bookman Old Style" w:cs="Bookman Old Style"/>
          <w:sz w:val="24"/>
          <w:szCs w:val="24"/>
          <w:lang w:val="sv-FI"/>
        </w:rPr>
        <w:t>Anggaran</w:t>
      </w:r>
      <w:r w:rsidRPr="003255BC">
        <w:rPr>
          <w:rFonts w:ascii="Bookman Old Style" w:eastAsia="Bookman Old Style" w:hAnsi="Bookman Old Style" w:cs="Bookman Old Style"/>
          <w:sz w:val="24"/>
          <w:szCs w:val="24"/>
          <w:lang w:val="sv-FI"/>
        </w:rPr>
        <w:br/>
        <w:t>Pendapatan</w:t>
      </w:r>
      <w:r w:rsidR="00A954D0" w:rsidRPr="003255BC">
        <w:rPr>
          <w:rFonts w:ascii="Bookman Old Style" w:eastAsia="Bookman Old Style" w:hAnsi="Bookman Old Style" w:cs="Bookman Old Style"/>
          <w:sz w:val="24"/>
          <w:szCs w:val="24"/>
          <w:lang w:val="sv-FI"/>
        </w:rPr>
        <w:t xml:space="preserve"> </w:t>
      </w:r>
      <w:r w:rsidRPr="003255BC">
        <w:rPr>
          <w:rFonts w:ascii="Bookman Old Style" w:eastAsia="Bookman Old Style" w:hAnsi="Bookman Old Style" w:cs="Bookman Old Style"/>
          <w:sz w:val="24"/>
          <w:szCs w:val="24"/>
          <w:lang w:val="sv-FI"/>
        </w:rPr>
        <w:t>dan</w:t>
      </w:r>
      <w:r w:rsidR="00A954D0" w:rsidRPr="003255BC">
        <w:rPr>
          <w:rFonts w:ascii="Bookman Old Style" w:eastAsia="Bookman Old Style" w:hAnsi="Bookman Old Style" w:cs="Bookman Old Style"/>
          <w:sz w:val="24"/>
          <w:szCs w:val="24"/>
          <w:lang w:val="sv-FI"/>
        </w:rPr>
        <w:t xml:space="preserve"> </w:t>
      </w:r>
      <w:r w:rsidRPr="003255BC">
        <w:rPr>
          <w:rFonts w:ascii="Bookman Old Style" w:eastAsia="Bookman Old Style" w:hAnsi="Bookman Old Style" w:cs="Bookman Old Style"/>
          <w:sz w:val="24"/>
          <w:szCs w:val="24"/>
          <w:lang w:val="sv-FI"/>
        </w:rPr>
        <w:t>Belanja</w:t>
      </w:r>
      <w:r w:rsidR="00A954D0" w:rsidRPr="003255BC">
        <w:rPr>
          <w:rFonts w:ascii="Bookman Old Style" w:eastAsia="Bookman Old Style" w:hAnsi="Bookman Old Style" w:cs="Bookman Old Style"/>
          <w:sz w:val="24"/>
          <w:szCs w:val="24"/>
          <w:lang w:val="sv-FI"/>
        </w:rPr>
        <w:t xml:space="preserve"> </w:t>
      </w:r>
      <w:r w:rsidRPr="003255BC">
        <w:rPr>
          <w:rFonts w:ascii="Bookman Old Style" w:eastAsia="Bookman Old Style" w:hAnsi="Bookman Old Style" w:cs="Bookman Old Style"/>
          <w:sz w:val="24"/>
          <w:szCs w:val="24"/>
          <w:lang w:val="sv-FI"/>
        </w:rPr>
        <w:t>Daerah</w:t>
      </w:r>
      <w:r w:rsidR="00A954D0" w:rsidRPr="003255BC">
        <w:rPr>
          <w:rFonts w:ascii="Bookman Old Style" w:eastAsia="Bookman Old Style" w:hAnsi="Bookman Old Style" w:cs="Bookman Old Style"/>
          <w:sz w:val="24"/>
          <w:szCs w:val="24"/>
          <w:lang w:val="sv-FI"/>
        </w:rPr>
        <w:t xml:space="preserve"> </w:t>
      </w:r>
      <w:r w:rsidRPr="003255BC">
        <w:rPr>
          <w:rFonts w:ascii="Bookman Old Style" w:eastAsia="Bookman Old Style" w:hAnsi="Bookman Old Style" w:cs="Bookman Old Style"/>
          <w:sz w:val="24"/>
          <w:szCs w:val="24"/>
          <w:lang w:val="sv-FI"/>
        </w:rPr>
        <w:t>Tahun</w:t>
      </w:r>
      <w:r w:rsidR="00A954D0" w:rsidRPr="003255BC">
        <w:rPr>
          <w:rFonts w:ascii="Bookman Old Style" w:eastAsia="Bookman Old Style" w:hAnsi="Bookman Old Style" w:cs="Bookman Old Style"/>
          <w:sz w:val="24"/>
          <w:szCs w:val="24"/>
          <w:lang w:val="sv-FI"/>
        </w:rPr>
        <w:t xml:space="preserve"> </w:t>
      </w:r>
      <w:r w:rsidRPr="003255BC">
        <w:rPr>
          <w:rFonts w:ascii="Bookman Old Style" w:eastAsia="Bookman Old Style" w:hAnsi="Bookman Old Style" w:cs="Bookman Old Style"/>
          <w:sz w:val="24"/>
          <w:szCs w:val="24"/>
          <w:lang w:val="sv-FI"/>
        </w:rPr>
        <w:t>Anggaran</w:t>
      </w:r>
      <w:r w:rsidR="00A954D0" w:rsidRPr="003255BC">
        <w:rPr>
          <w:rFonts w:ascii="Bookman Old Style" w:eastAsia="Bookman Old Style" w:hAnsi="Bookman Old Style" w:cs="Bookman Old Style"/>
          <w:sz w:val="24"/>
          <w:szCs w:val="24"/>
          <w:lang w:val="sv-FI"/>
        </w:rPr>
        <w:t xml:space="preserve"> </w:t>
      </w:r>
      <w:r w:rsidRPr="003255BC">
        <w:rPr>
          <w:rFonts w:ascii="Bookman Old Style" w:eastAsia="Bookman Old Style" w:hAnsi="Bookman Old Style" w:cs="Bookman Old Style"/>
          <w:sz w:val="24"/>
          <w:szCs w:val="24"/>
          <w:lang w:val="sv-FI"/>
        </w:rPr>
        <w:t>2025,</w:t>
      </w:r>
      <w:r w:rsidR="00A954D0" w:rsidRPr="003255BC">
        <w:rPr>
          <w:rFonts w:ascii="Bookman Old Style" w:eastAsia="Bookman Old Style" w:hAnsi="Bookman Old Style" w:cs="Bookman Old Style"/>
          <w:sz w:val="24"/>
          <w:szCs w:val="24"/>
          <w:lang w:val="sv-FI"/>
        </w:rPr>
        <w:t xml:space="preserve"> </w:t>
      </w:r>
      <w:r w:rsidRPr="003255BC">
        <w:rPr>
          <w:rFonts w:ascii="Bookman Old Style" w:eastAsia="Bookman Old Style" w:hAnsi="Bookman Old Style" w:cs="Bookman Old Style"/>
          <w:sz w:val="24"/>
          <w:szCs w:val="24"/>
          <w:lang w:val="sv-FI"/>
        </w:rPr>
        <w:t>Bagi</w:t>
      </w:r>
      <w:r w:rsidR="00287B23">
        <w:rPr>
          <w:rFonts w:ascii="Bookman Old Style" w:eastAsia="Bookman Old Style" w:hAnsi="Bookman Old Style" w:cs="Bookman Old Style"/>
          <w:sz w:val="24"/>
          <w:szCs w:val="24"/>
          <w:lang w:val="id-ID"/>
        </w:rPr>
        <w:t xml:space="preserve"> </w:t>
      </w:r>
      <w:r w:rsidRPr="003255BC">
        <w:rPr>
          <w:rFonts w:ascii="Bookman Old Style" w:eastAsia="Bookman Old Style" w:hAnsi="Bookman Old Style" w:cs="Bookman Old Style"/>
          <w:sz w:val="24"/>
          <w:szCs w:val="24"/>
          <w:lang w:val="sv-FI"/>
        </w:rPr>
        <w:t>Hasil</w:t>
      </w:r>
      <w:r w:rsidR="00A954D0" w:rsidRPr="003255BC">
        <w:rPr>
          <w:rFonts w:ascii="Bookman Old Style" w:eastAsia="Bookman Old Style" w:hAnsi="Bookman Old Style" w:cs="Bookman Old Style"/>
          <w:sz w:val="24"/>
          <w:szCs w:val="24"/>
          <w:lang w:val="sv-FI"/>
        </w:rPr>
        <w:t xml:space="preserve"> </w:t>
      </w:r>
      <w:r w:rsidRPr="003255BC">
        <w:rPr>
          <w:rFonts w:ascii="Bookman Old Style" w:eastAsia="Bookman Old Style" w:hAnsi="Bookman Old Style" w:cs="Bookman Old Style"/>
          <w:sz w:val="24"/>
          <w:szCs w:val="24"/>
          <w:lang w:val="sv-FI"/>
        </w:rPr>
        <w:t>Pajak</w:t>
      </w:r>
      <w:r w:rsidR="00A954D0" w:rsidRPr="003255BC">
        <w:rPr>
          <w:rFonts w:ascii="Bookman Old Style" w:eastAsia="Bookman Old Style" w:hAnsi="Bookman Old Style" w:cs="Bookman Old Style"/>
          <w:sz w:val="24"/>
          <w:szCs w:val="24"/>
          <w:lang w:val="sv-FI"/>
        </w:rPr>
        <w:t xml:space="preserve"> </w:t>
      </w:r>
      <w:r w:rsidRPr="003255BC">
        <w:rPr>
          <w:rFonts w:ascii="Bookman Old Style" w:eastAsia="Bookman Old Style" w:hAnsi="Bookman Old Style" w:cs="Bookman Old Style"/>
          <w:sz w:val="24"/>
          <w:szCs w:val="24"/>
          <w:lang w:val="sv-FI"/>
        </w:rPr>
        <w:t>Provinsi</w:t>
      </w:r>
      <w:r w:rsidR="00A954D0" w:rsidRPr="003255BC">
        <w:rPr>
          <w:rFonts w:ascii="Bookman Old Style" w:eastAsia="Bookman Old Style" w:hAnsi="Bookman Old Style" w:cs="Bookman Old Style"/>
          <w:sz w:val="24"/>
          <w:szCs w:val="24"/>
          <w:lang w:val="sv-FI"/>
        </w:rPr>
        <w:t xml:space="preserve"> </w:t>
      </w:r>
      <w:r w:rsidRPr="003255BC">
        <w:rPr>
          <w:rFonts w:ascii="Bookman Old Style" w:eastAsia="Bookman Old Style" w:hAnsi="Bookman Old Style" w:cs="Bookman Old Style"/>
          <w:sz w:val="24"/>
          <w:szCs w:val="24"/>
          <w:lang w:val="sv-FI"/>
        </w:rPr>
        <w:t>kepada</w:t>
      </w:r>
      <w:r w:rsidR="00A954D0" w:rsidRPr="003255BC">
        <w:rPr>
          <w:rFonts w:ascii="Bookman Old Style" w:eastAsia="Bookman Old Style" w:hAnsi="Bookman Old Style" w:cs="Bookman Old Style"/>
          <w:sz w:val="24"/>
          <w:szCs w:val="24"/>
          <w:lang w:val="sv-FI"/>
        </w:rPr>
        <w:t xml:space="preserve"> </w:t>
      </w:r>
      <w:r w:rsidRPr="003255BC">
        <w:rPr>
          <w:rFonts w:ascii="Bookman Old Style" w:eastAsia="Bookman Old Style" w:hAnsi="Bookman Old Style" w:cs="Bookman Old Style"/>
          <w:sz w:val="24"/>
          <w:szCs w:val="24"/>
          <w:lang w:val="sv-FI"/>
        </w:rPr>
        <w:t>Kota</w:t>
      </w:r>
      <w:r w:rsidR="00A954D0" w:rsidRPr="003255BC">
        <w:rPr>
          <w:rFonts w:ascii="Bookman Old Style" w:eastAsia="Bookman Old Style" w:hAnsi="Bookman Old Style" w:cs="Bookman Old Style"/>
          <w:sz w:val="24"/>
          <w:szCs w:val="24"/>
          <w:lang w:val="sv-FI"/>
        </w:rPr>
        <w:t xml:space="preserve"> </w:t>
      </w:r>
      <w:r w:rsidRPr="003255BC">
        <w:rPr>
          <w:rFonts w:ascii="Bookman Old Style" w:eastAsia="Bookman Old Style" w:hAnsi="Bookman Old Style" w:cs="Bookman Old Style"/>
          <w:sz w:val="24"/>
          <w:szCs w:val="24"/>
          <w:lang w:val="sv-FI"/>
        </w:rPr>
        <w:t>Tangerang</w:t>
      </w:r>
      <w:r w:rsidR="00A954D0" w:rsidRPr="003255BC">
        <w:rPr>
          <w:rFonts w:ascii="Bookman Old Style" w:eastAsia="Bookman Old Style" w:hAnsi="Bookman Old Style" w:cs="Bookman Old Style"/>
          <w:sz w:val="24"/>
          <w:szCs w:val="24"/>
          <w:lang w:val="sv-FI"/>
        </w:rPr>
        <w:t xml:space="preserve"> </w:t>
      </w:r>
      <w:r w:rsidRPr="003255BC">
        <w:rPr>
          <w:rFonts w:ascii="Bookman Old Style" w:eastAsia="Bookman Old Style" w:hAnsi="Bookman Old Style" w:cs="Bookman Old Style"/>
          <w:sz w:val="24"/>
          <w:szCs w:val="24"/>
          <w:lang w:val="sv-FI"/>
        </w:rPr>
        <w:t>sebesar</w:t>
      </w:r>
      <w:r w:rsidRPr="003255BC">
        <w:rPr>
          <w:rFonts w:ascii="Bookman Old Style" w:eastAsia="Bookman Old Style" w:hAnsi="Bookman Old Style" w:cs="Bookman Old Style"/>
          <w:sz w:val="24"/>
          <w:szCs w:val="24"/>
          <w:lang w:val="sv-FI"/>
        </w:rPr>
        <w:br/>
      </w:r>
      <w:r w:rsidR="004120D5" w:rsidRPr="003255BC">
        <w:rPr>
          <w:rFonts w:ascii="Bookman Old Style" w:eastAsia="Bookman Old Style" w:hAnsi="Bookman Old Style" w:cs="Bookman Old Style"/>
          <w:sz w:val="24"/>
          <w:szCs w:val="24"/>
          <w:lang w:val="sv-FI"/>
        </w:rPr>
        <w:t>Rp465.963.778.849,00</w:t>
      </w:r>
      <w:r w:rsidRPr="003255BC">
        <w:rPr>
          <w:rFonts w:ascii="Bookman Old Style" w:eastAsia="Bookman Old Style" w:hAnsi="Bookman Old Style" w:cs="Bookman Old Style"/>
          <w:sz w:val="24"/>
          <w:szCs w:val="24"/>
          <w:lang w:val="sv-FI"/>
        </w:rPr>
        <w:t>,</w:t>
      </w:r>
      <w:r w:rsidR="00A954D0" w:rsidRPr="003255BC">
        <w:rPr>
          <w:rFonts w:ascii="Bookman Old Style" w:eastAsia="Bookman Old Style" w:hAnsi="Bookman Old Style" w:cs="Bookman Old Style"/>
          <w:sz w:val="24"/>
          <w:szCs w:val="24"/>
          <w:lang w:val="sv-FI"/>
        </w:rPr>
        <w:t xml:space="preserve"> </w:t>
      </w:r>
      <w:r w:rsidR="00735D18">
        <w:rPr>
          <w:rFonts w:ascii="Bookman Old Style" w:hAnsi="Bookman Old Style"/>
          <w:sz w:val="24"/>
          <w:szCs w:val="24"/>
          <w:lang w:val="id-ID"/>
        </w:rPr>
        <w:t>dengan</w:t>
      </w:r>
      <w:r w:rsidR="00A954D0">
        <w:rPr>
          <w:rFonts w:ascii="Bookman Old Style" w:hAnsi="Bookman Old Style"/>
          <w:sz w:val="24"/>
          <w:szCs w:val="24"/>
          <w:lang w:val="id-ID"/>
        </w:rPr>
        <w:t xml:space="preserve"> </w:t>
      </w:r>
      <w:r w:rsidR="00735D18">
        <w:rPr>
          <w:rFonts w:ascii="Bookman Old Style" w:hAnsi="Bookman Old Style"/>
          <w:sz w:val="24"/>
          <w:szCs w:val="24"/>
          <w:lang w:val="id-ID"/>
        </w:rPr>
        <w:t>rincian</w:t>
      </w:r>
      <w:r w:rsidR="00A954D0">
        <w:rPr>
          <w:rFonts w:ascii="Bookman Old Style" w:hAnsi="Bookman Old Style"/>
          <w:sz w:val="24"/>
          <w:szCs w:val="24"/>
          <w:lang w:val="id-ID"/>
        </w:rPr>
        <w:t xml:space="preserve"> </w:t>
      </w:r>
      <w:r w:rsidR="00735D18">
        <w:rPr>
          <w:rFonts w:ascii="Bookman Old Style" w:hAnsi="Bookman Old Style"/>
          <w:sz w:val="24"/>
          <w:szCs w:val="24"/>
          <w:lang w:val="id-ID"/>
        </w:rPr>
        <w:t>sebagai</w:t>
      </w:r>
      <w:r w:rsidR="00A954D0">
        <w:rPr>
          <w:rFonts w:ascii="Bookman Old Style" w:hAnsi="Bookman Old Style"/>
          <w:sz w:val="24"/>
          <w:szCs w:val="24"/>
          <w:lang w:val="id-ID"/>
        </w:rPr>
        <w:t xml:space="preserve"> </w:t>
      </w:r>
      <w:r w:rsidR="00735D18">
        <w:rPr>
          <w:rFonts w:ascii="Bookman Old Style" w:hAnsi="Bookman Old Style"/>
          <w:sz w:val="24"/>
          <w:szCs w:val="24"/>
          <w:lang w:val="id-ID"/>
        </w:rPr>
        <w:t>berikut</w:t>
      </w:r>
      <w:r w:rsidR="00735D18">
        <w:rPr>
          <w:rFonts w:ascii="Bookman Old Style" w:hAnsi="Bookman Old Style" w:cs="Arial"/>
          <w:sz w:val="24"/>
          <w:szCs w:val="24"/>
        </w:rPr>
        <w:t>:</w:t>
      </w:r>
    </w:p>
    <w:p w14:paraId="1B2FC167" w14:textId="3CA2A9A5" w:rsidR="00875947" w:rsidRPr="00C46F62" w:rsidRDefault="00875947" w:rsidP="00B16310">
      <w:pPr>
        <w:pStyle w:val="ListParagraph"/>
        <w:numPr>
          <w:ilvl w:val="0"/>
          <w:numId w:val="266"/>
        </w:numPr>
        <w:spacing w:before="120" w:line="276" w:lineRule="auto"/>
        <w:ind w:left="2268" w:hanging="567"/>
        <w:jc w:val="both"/>
        <w:rPr>
          <w:rFonts w:ascii="Bookman Old Style" w:eastAsia="Bookman Old Style" w:hAnsi="Bookman Old Style" w:cs="Bookman Old Style"/>
          <w:sz w:val="24"/>
          <w:szCs w:val="24"/>
          <w:lang w:val="sv-SE"/>
        </w:rPr>
      </w:pPr>
      <w:r w:rsidRPr="00C46F62">
        <w:rPr>
          <w:rFonts w:ascii="Bookman Old Style" w:eastAsia="Bookman Old Style" w:hAnsi="Bookman Old Style" w:cs="Bookman Old Style"/>
          <w:sz w:val="24"/>
          <w:szCs w:val="24"/>
          <w:lang w:val="sv-SE"/>
        </w:rPr>
        <w:t>Pendapatan</w:t>
      </w:r>
      <w:r>
        <w:rPr>
          <w:rFonts w:ascii="Bookman Old Style" w:eastAsia="Bookman Old Style" w:hAnsi="Bookman Old Style" w:cs="Bookman Old Style"/>
          <w:sz w:val="24"/>
          <w:szCs w:val="24"/>
          <w:lang w:val="sv-SE"/>
        </w:rPr>
        <w:t xml:space="preserve"> </w:t>
      </w:r>
      <w:r w:rsidRPr="00C46F62">
        <w:rPr>
          <w:rFonts w:ascii="Bookman Old Style" w:eastAsia="Bookman Old Style" w:hAnsi="Bookman Old Style" w:cs="Bookman Old Style"/>
          <w:sz w:val="24"/>
          <w:szCs w:val="24"/>
          <w:lang w:val="sv-SE"/>
        </w:rPr>
        <w:t>Bagi</w:t>
      </w:r>
      <w:r>
        <w:rPr>
          <w:rFonts w:ascii="Bookman Old Style" w:eastAsia="Bookman Old Style" w:hAnsi="Bookman Old Style" w:cs="Bookman Old Style"/>
          <w:sz w:val="24"/>
          <w:szCs w:val="24"/>
          <w:lang w:val="sv-SE"/>
        </w:rPr>
        <w:t xml:space="preserve"> </w:t>
      </w:r>
      <w:r w:rsidRPr="00C46F62">
        <w:rPr>
          <w:rFonts w:ascii="Bookman Old Style" w:eastAsia="Bookman Old Style" w:hAnsi="Bookman Old Style" w:cs="Bookman Old Style"/>
          <w:sz w:val="24"/>
          <w:szCs w:val="24"/>
          <w:lang w:val="sv-SE"/>
        </w:rPr>
        <w:t>Hasil</w:t>
      </w:r>
      <w:r>
        <w:rPr>
          <w:rFonts w:ascii="Bookman Old Style" w:eastAsia="Bookman Old Style" w:hAnsi="Bookman Old Style" w:cs="Bookman Old Style"/>
          <w:sz w:val="24"/>
          <w:szCs w:val="24"/>
          <w:lang w:val="sv-SE"/>
        </w:rPr>
        <w:t xml:space="preserve"> </w:t>
      </w:r>
      <w:r w:rsidRPr="00C46F62">
        <w:rPr>
          <w:rFonts w:ascii="Bookman Old Style" w:eastAsia="Bookman Old Style" w:hAnsi="Bookman Old Style" w:cs="Bookman Old Style"/>
          <w:sz w:val="24"/>
          <w:szCs w:val="24"/>
          <w:lang w:val="sv-SE"/>
        </w:rPr>
        <w:t>Pajak</w:t>
      </w:r>
      <w:r>
        <w:rPr>
          <w:rFonts w:ascii="Bookman Old Style" w:eastAsia="Bookman Old Style" w:hAnsi="Bookman Old Style" w:cs="Bookman Old Style"/>
          <w:sz w:val="24"/>
          <w:szCs w:val="24"/>
          <w:lang w:val="sv-SE"/>
        </w:rPr>
        <w:t xml:space="preserve"> </w:t>
      </w:r>
      <w:r w:rsidRPr="00C46F62">
        <w:rPr>
          <w:rFonts w:ascii="Bookman Old Style" w:eastAsia="Bookman Old Style" w:hAnsi="Bookman Old Style" w:cs="Bookman Old Style"/>
          <w:sz w:val="24"/>
          <w:szCs w:val="24"/>
          <w:lang w:val="sv-SE"/>
        </w:rPr>
        <w:t>Kendaraan</w:t>
      </w:r>
      <w:r>
        <w:rPr>
          <w:rFonts w:ascii="Bookman Old Style" w:eastAsia="Bookman Old Style" w:hAnsi="Bookman Old Style" w:cs="Bookman Old Style"/>
          <w:sz w:val="24"/>
          <w:szCs w:val="24"/>
          <w:lang w:val="sv-SE"/>
        </w:rPr>
        <w:t xml:space="preserve"> </w:t>
      </w:r>
      <w:r w:rsidRPr="00C46F62">
        <w:rPr>
          <w:rFonts w:ascii="Bookman Old Style" w:eastAsia="Bookman Old Style" w:hAnsi="Bookman Old Style" w:cs="Bookman Old Style"/>
          <w:sz w:val="24"/>
          <w:szCs w:val="24"/>
          <w:lang w:val="sv-SE"/>
        </w:rPr>
        <w:t>Bermotor</w:t>
      </w:r>
      <w:r>
        <w:rPr>
          <w:rFonts w:ascii="Bookman Old Style" w:eastAsia="Bookman Old Style" w:hAnsi="Bookman Old Style" w:cs="Bookman Old Style"/>
          <w:sz w:val="24"/>
          <w:szCs w:val="24"/>
          <w:lang w:val="sv-SE"/>
        </w:rPr>
        <w:t xml:space="preserve"> </w:t>
      </w:r>
      <w:r w:rsidRPr="00C46F62">
        <w:rPr>
          <w:rFonts w:ascii="Bookman Old Style" w:eastAsia="Bookman Old Style" w:hAnsi="Bookman Old Style" w:cs="Bookman Old Style"/>
          <w:sz w:val="24"/>
          <w:szCs w:val="24"/>
          <w:lang w:val="sv-SE"/>
        </w:rPr>
        <w:t>Rp</w:t>
      </w:r>
      <w:r w:rsidRPr="00875947">
        <w:rPr>
          <w:rFonts w:ascii="Bookman Old Style" w:eastAsia="Bookman Old Style" w:hAnsi="Bookman Old Style" w:cs="Bookman Old Style"/>
          <w:sz w:val="24"/>
          <w:szCs w:val="24"/>
          <w:lang w:val="sv-SE"/>
        </w:rPr>
        <w:t>50.249.752.626,00</w:t>
      </w:r>
      <w:r>
        <w:rPr>
          <w:rFonts w:ascii="Bookman Old Style" w:eastAsia="Bookman Old Style" w:hAnsi="Bookman Old Style" w:cs="Bookman Old Style"/>
          <w:sz w:val="24"/>
          <w:szCs w:val="24"/>
          <w:lang w:val="sv-SE"/>
        </w:rPr>
        <w:t>;</w:t>
      </w:r>
    </w:p>
    <w:p w14:paraId="121B473D" w14:textId="606C5D98" w:rsidR="00875947" w:rsidRPr="00C46F62" w:rsidRDefault="00875947" w:rsidP="00B16310">
      <w:pPr>
        <w:pStyle w:val="ListParagraph"/>
        <w:numPr>
          <w:ilvl w:val="0"/>
          <w:numId w:val="266"/>
        </w:numPr>
        <w:spacing w:before="120" w:line="276" w:lineRule="auto"/>
        <w:ind w:left="2268" w:hanging="567"/>
        <w:jc w:val="both"/>
        <w:rPr>
          <w:rFonts w:ascii="Bookman Old Style" w:eastAsia="Bookman Old Style" w:hAnsi="Bookman Old Style" w:cs="Bookman Old Style"/>
          <w:sz w:val="24"/>
          <w:szCs w:val="24"/>
          <w:lang w:val="sv-SE"/>
        </w:rPr>
      </w:pPr>
      <w:r w:rsidRPr="00C46F62">
        <w:rPr>
          <w:rFonts w:ascii="Bookman Old Style" w:eastAsia="Bookman Old Style" w:hAnsi="Bookman Old Style" w:cs="Bookman Old Style"/>
          <w:sz w:val="24"/>
          <w:szCs w:val="24"/>
          <w:lang w:val="sv-SE"/>
        </w:rPr>
        <w:t>Pendapatan</w:t>
      </w:r>
      <w:r>
        <w:rPr>
          <w:rFonts w:ascii="Bookman Old Style" w:eastAsia="Bookman Old Style" w:hAnsi="Bookman Old Style" w:cs="Bookman Old Style"/>
          <w:sz w:val="24"/>
          <w:szCs w:val="24"/>
          <w:lang w:val="sv-SE"/>
        </w:rPr>
        <w:t xml:space="preserve"> </w:t>
      </w:r>
      <w:r w:rsidRPr="00C46F62">
        <w:rPr>
          <w:rFonts w:ascii="Bookman Old Style" w:eastAsia="Bookman Old Style" w:hAnsi="Bookman Old Style" w:cs="Bookman Old Style"/>
          <w:sz w:val="24"/>
          <w:szCs w:val="24"/>
          <w:lang w:val="sv-SE"/>
        </w:rPr>
        <w:t>Bagi</w:t>
      </w:r>
      <w:r>
        <w:rPr>
          <w:rFonts w:ascii="Bookman Old Style" w:eastAsia="Bookman Old Style" w:hAnsi="Bookman Old Style" w:cs="Bookman Old Style"/>
          <w:sz w:val="24"/>
          <w:szCs w:val="24"/>
          <w:lang w:val="sv-SE"/>
        </w:rPr>
        <w:t xml:space="preserve"> </w:t>
      </w:r>
      <w:r w:rsidRPr="00C46F62">
        <w:rPr>
          <w:rFonts w:ascii="Bookman Old Style" w:eastAsia="Bookman Old Style" w:hAnsi="Bookman Old Style" w:cs="Bookman Old Style"/>
          <w:sz w:val="24"/>
          <w:szCs w:val="24"/>
          <w:lang w:val="sv-SE"/>
        </w:rPr>
        <w:t>Hasil</w:t>
      </w:r>
      <w:r>
        <w:rPr>
          <w:rFonts w:ascii="Bookman Old Style" w:eastAsia="Bookman Old Style" w:hAnsi="Bookman Old Style" w:cs="Bookman Old Style"/>
          <w:sz w:val="24"/>
          <w:szCs w:val="24"/>
          <w:lang w:val="sv-SE"/>
        </w:rPr>
        <w:t xml:space="preserve"> BBNKB </w:t>
      </w:r>
      <w:r w:rsidRPr="00C46F62">
        <w:rPr>
          <w:rFonts w:ascii="Bookman Old Style" w:eastAsia="Bookman Old Style" w:hAnsi="Bookman Old Style" w:cs="Bookman Old Style"/>
          <w:sz w:val="24"/>
          <w:szCs w:val="24"/>
          <w:lang w:val="sv-SE"/>
        </w:rPr>
        <w:t>Rp</w:t>
      </w:r>
      <w:r w:rsidRPr="00875947">
        <w:rPr>
          <w:rFonts w:ascii="Bookman Old Style" w:eastAsia="Bookman Old Style" w:hAnsi="Bookman Old Style" w:cs="Bookman Old Style"/>
          <w:sz w:val="24"/>
          <w:szCs w:val="24"/>
          <w:lang w:val="sv-SE"/>
        </w:rPr>
        <w:t>46.402.344.491,00</w:t>
      </w:r>
      <w:r>
        <w:rPr>
          <w:rFonts w:ascii="Bookman Old Style" w:eastAsia="Bookman Old Style" w:hAnsi="Bookman Old Style" w:cs="Bookman Old Style"/>
          <w:sz w:val="24"/>
          <w:szCs w:val="24"/>
          <w:lang w:val="sv-SE"/>
        </w:rPr>
        <w:t>;</w:t>
      </w:r>
    </w:p>
    <w:p w14:paraId="38D2396D" w14:textId="5E229BB9" w:rsidR="00735D18" w:rsidRPr="00C46F62" w:rsidRDefault="00735D18" w:rsidP="00B16310">
      <w:pPr>
        <w:pStyle w:val="ListParagraph"/>
        <w:numPr>
          <w:ilvl w:val="0"/>
          <w:numId w:val="266"/>
        </w:numPr>
        <w:spacing w:before="120" w:line="276" w:lineRule="auto"/>
        <w:ind w:left="2268" w:hanging="567"/>
        <w:jc w:val="both"/>
        <w:rPr>
          <w:rFonts w:ascii="Bookman Old Style" w:eastAsia="Bookman Old Style" w:hAnsi="Bookman Old Style" w:cs="Bookman Old Style"/>
          <w:sz w:val="24"/>
          <w:szCs w:val="24"/>
          <w:lang w:val="sv-SE"/>
        </w:rPr>
      </w:pPr>
      <w:r w:rsidRPr="00C46F62">
        <w:rPr>
          <w:rFonts w:ascii="Bookman Old Style" w:eastAsia="Bookman Old Style" w:hAnsi="Bookman Old Style" w:cs="Bookman Old Style"/>
          <w:sz w:val="24"/>
          <w:szCs w:val="24"/>
          <w:lang w:val="sv-SE"/>
        </w:rPr>
        <w:t>Pendapatan</w:t>
      </w:r>
      <w:r w:rsidR="00A954D0">
        <w:rPr>
          <w:rFonts w:ascii="Bookman Old Style" w:eastAsia="Bookman Old Style" w:hAnsi="Bookman Old Style" w:cs="Bookman Old Style"/>
          <w:sz w:val="24"/>
          <w:szCs w:val="24"/>
          <w:lang w:val="sv-SE"/>
        </w:rPr>
        <w:t xml:space="preserve"> </w:t>
      </w:r>
      <w:r w:rsidRPr="00C46F62">
        <w:rPr>
          <w:rFonts w:ascii="Bookman Old Style" w:eastAsia="Bookman Old Style" w:hAnsi="Bookman Old Style" w:cs="Bookman Old Style"/>
          <w:sz w:val="24"/>
          <w:szCs w:val="24"/>
          <w:lang w:val="sv-SE"/>
        </w:rPr>
        <w:t>Bagi</w:t>
      </w:r>
      <w:r w:rsidR="00A954D0">
        <w:rPr>
          <w:rFonts w:ascii="Bookman Old Style" w:eastAsia="Bookman Old Style" w:hAnsi="Bookman Old Style" w:cs="Bookman Old Style"/>
          <w:sz w:val="24"/>
          <w:szCs w:val="24"/>
          <w:lang w:val="sv-SE"/>
        </w:rPr>
        <w:t xml:space="preserve"> </w:t>
      </w:r>
      <w:r w:rsidRPr="00C46F62">
        <w:rPr>
          <w:rFonts w:ascii="Bookman Old Style" w:eastAsia="Bookman Old Style" w:hAnsi="Bookman Old Style" w:cs="Bookman Old Style"/>
          <w:sz w:val="24"/>
          <w:szCs w:val="24"/>
          <w:lang w:val="sv-SE"/>
        </w:rPr>
        <w:t>Hasil</w:t>
      </w:r>
      <w:r w:rsidR="00A954D0">
        <w:rPr>
          <w:rFonts w:ascii="Bookman Old Style" w:eastAsia="Bookman Old Style" w:hAnsi="Bookman Old Style" w:cs="Bookman Old Style"/>
          <w:sz w:val="24"/>
          <w:szCs w:val="24"/>
          <w:lang w:val="sv-SE"/>
        </w:rPr>
        <w:t xml:space="preserve"> </w:t>
      </w:r>
      <w:r w:rsidRPr="00C46F62">
        <w:rPr>
          <w:rFonts w:ascii="Bookman Old Style" w:eastAsia="Bookman Old Style" w:hAnsi="Bookman Old Style" w:cs="Bookman Old Style"/>
          <w:sz w:val="24"/>
          <w:szCs w:val="24"/>
          <w:lang w:val="sv-SE"/>
        </w:rPr>
        <w:t>Pajak</w:t>
      </w:r>
      <w:r w:rsidR="00A954D0">
        <w:rPr>
          <w:rFonts w:ascii="Bookman Old Style" w:eastAsia="Bookman Old Style" w:hAnsi="Bookman Old Style" w:cs="Bookman Old Style"/>
          <w:sz w:val="24"/>
          <w:szCs w:val="24"/>
          <w:lang w:val="sv-SE"/>
        </w:rPr>
        <w:t xml:space="preserve"> </w:t>
      </w:r>
      <w:r w:rsidRPr="00C46F62">
        <w:rPr>
          <w:rFonts w:ascii="Bookman Old Style" w:eastAsia="Bookman Old Style" w:hAnsi="Bookman Old Style" w:cs="Bookman Old Style"/>
          <w:sz w:val="24"/>
          <w:szCs w:val="24"/>
          <w:lang w:val="sv-SE"/>
        </w:rPr>
        <w:t>Bahan</w:t>
      </w:r>
      <w:r w:rsidR="00A954D0">
        <w:rPr>
          <w:rFonts w:ascii="Bookman Old Style" w:eastAsia="Bookman Old Style" w:hAnsi="Bookman Old Style" w:cs="Bookman Old Style"/>
          <w:sz w:val="24"/>
          <w:szCs w:val="24"/>
          <w:lang w:val="sv-SE"/>
        </w:rPr>
        <w:t xml:space="preserve"> </w:t>
      </w:r>
      <w:r w:rsidRPr="00C46F62">
        <w:rPr>
          <w:rFonts w:ascii="Bookman Old Style" w:eastAsia="Bookman Old Style" w:hAnsi="Bookman Old Style" w:cs="Bookman Old Style"/>
          <w:sz w:val="24"/>
          <w:szCs w:val="24"/>
          <w:lang w:val="sv-SE"/>
        </w:rPr>
        <w:t>Bakar</w:t>
      </w:r>
      <w:r w:rsidR="00A954D0">
        <w:rPr>
          <w:rFonts w:ascii="Bookman Old Style" w:eastAsia="Bookman Old Style" w:hAnsi="Bookman Old Style" w:cs="Bookman Old Style"/>
          <w:sz w:val="24"/>
          <w:szCs w:val="24"/>
          <w:lang w:val="sv-SE"/>
        </w:rPr>
        <w:t xml:space="preserve"> </w:t>
      </w:r>
      <w:r w:rsidRPr="00C46F62">
        <w:rPr>
          <w:rFonts w:ascii="Bookman Old Style" w:eastAsia="Bookman Old Style" w:hAnsi="Bookman Old Style" w:cs="Bookman Old Style"/>
          <w:sz w:val="24"/>
          <w:szCs w:val="24"/>
          <w:lang w:val="sv-SE"/>
        </w:rPr>
        <w:t>Kendaraan</w:t>
      </w:r>
      <w:r w:rsidR="00A954D0">
        <w:rPr>
          <w:rFonts w:ascii="Bookman Old Style" w:eastAsia="Bookman Old Style" w:hAnsi="Bookman Old Style" w:cs="Bookman Old Style"/>
          <w:sz w:val="24"/>
          <w:szCs w:val="24"/>
          <w:lang w:val="sv-SE"/>
        </w:rPr>
        <w:t xml:space="preserve"> </w:t>
      </w:r>
      <w:r w:rsidRPr="00C46F62">
        <w:rPr>
          <w:rFonts w:ascii="Bookman Old Style" w:eastAsia="Bookman Old Style" w:hAnsi="Bookman Old Style" w:cs="Bookman Old Style"/>
          <w:sz w:val="24"/>
          <w:szCs w:val="24"/>
          <w:lang w:val="sv-SE"/>
        </w:rPr>
        <w:t>Bermotor</w:t>
      </w:r>
      <w:r w:rsidR="00A954D0">
        <w:rPr>
          <w:rFonts w:ascii="Bookman Old Style" w:eastAsia="Bookman Old Style" w:hAnsi="Bookman Old Style" w:cs="Bookman Old Style"/>
          <w:sz w:val="24"/>
          <w:szCs w:val="24"/>
          <w:lang w:val="sv-SE"/>
        </w:rPr>
        <w:t xml:space="preserve"> </w:t>
      </w:r>
      <w:r w:rsidRPr="00C46F62">
        <w:rPr>
          <w:rFonts w:ascii="Bookman Old Style" w:eastAsia="Bookman Old Style" w:hAnsi="Bookman Old Style" w:cs="Bookman Old Style"/>
          <w:sz w:val="24"/>
          <w:szCs w:val="24"/>
          <w:lang w:val="sv-SE"/>
        </w:rPr>
        <w:t>Rp</w:t>
      </w:r>
      <w:r w:rsidRPr="00735D18">
        <w:rPr>
          <w:rFonts w:ascii="Bookman Old Style" w:eastAsia="Bookman Old Style" w:hAnsi="Bookman Old Style" w:cs="Bookman Old Style"/>
          <w:sz w:val="24"/>
          <w:szCs w:val="24"/>
          <w:lang w:val="sv-SE"/>
        </w:rPr>
        <w:t>252.410.574.559,00</w:t>
      </w:r>
      <w:r>
        <w:rPr>
          <w:rFonts w:ascii="Bookman Old Style" w:eastAsia="Bookman Old Style" w:hAnsi="Bookman Old Style" w:cs="Bookman Old Style"/>
          <w:sz w:val="24"/>
          <w:szCs w:val="24"/>
          <w:lang w:val="sv-SE"/>
        </w:rPr>
        <w:t>;</w:t>
      </w:r>
    </w:p>
    <w:p w14:paraId="73F1DF90" w14:textId="77BCA39C" w:rsidR="00735D18" w:rsidRPr="003255BC" w:rsidRDefault="00735D18" w:rsidP="00B16310">
      <w:pPr>
        <w:pStyle w:val="ListParagraph"/>
        <w:numPr>
          <w:ilvl w:val="0"/>
          <w:numId w:val="266"/>
        </w:numPr>
        <w:spacing w:before="120" w:line="276" w:lineRule="auto"/>
        <w:ind w:left="2268" w:hanging="567"/>
        <w:jc w:val="both"/>
        <w:rPr>
          <w:rFonts w:ascii="Bookman Old Style" w:eastAsia="Bookman Old Style" w:hAnsi="Bookman Old Style" w:cs="Bookman Old Style"/>
          <w:sz w:val="24"/>
          <w:szCs w:val="24"/>
          <w:lang w:val="en-US"/>
        </w:rPr>
      </w:pPr>
      <w:r w:rsidRPr="003255BC">
        <w:rPr>
          <w:rFonts w:ascii="Bookman Old Style" w:eastAsia="Bookman Old Style" w:hAnsi="Bookman Old Style" w:cs="Bookman Old Style"/>
          <w:sz w:val="24"/>
          <w:szCs w:val="24"/>
          <w:lang w:val="en-US"/>
        </w:rPr>
        <w:t>Pendapatan</w:t>
      </w:r>
      <w:r w:rsidR="00A954D0" w:rsidRPr="003255BC">
        <w:rPr>
          <w:rFonts w:ascii="Bookman Old Style" w:eastAsia="Bookman Old Style" w:hAnsi="Bookman Old Style" w:cs="Bookman Old Style"/>
          <w:sz w:val="24"/>
          <w:szCs w:val="24"/>
          <w:lang w:val="en-US"/>
        </w:rPr>
        <w:t xml:space="preserve"> </w:t>
      </w:r>
      <w:r w:rsidRPr="003255BC">
        <w:rPr>
          <w:rFonts w:ascii="Bookman Old Style" w:eastAsia="Bookman Old Style" w:hAnsi="Bookman Old Style" w:cs="Bookman Old Style"/>
          <w:sz w:val="24"/>
          <w:szCs w:val="24"/>
          <w:lang w:val="en-US"/>
        </w:rPr>
        <w:t>Bagi</w:t>
      </w:r>
      <w:r w:rsidR="00A954D0" w:rsidRPr="003255BC">
        <w:rPr>
          <w:rFonts w:ascii="Bookman Old Style" w:eastAsia="Bookman Old Style" w:hAnsi="Bookman Old Style" w:cs="Bookman Old Style"/>
          <w:sz w:val="24"/>
          <w:szCs w:val="24"/>
          <w:lang w:val="en-US"/>
        </w:rPr>
        <w:t xml:space="preserve"> </w:t>
      </w:r>
      <w:r w:rsidRPr="003255BC">
        <w:rPr>
          <w:rFonts w:ascii="Bookman Old Style" w:eastAsia="Bookman Old Style" w:hAnsi="Bookman Old Style" w:cs="Bookman Old Style"/>
          <w:sz w:val="24"/>
          <w:szCs w:val="24"/>
          <w:lang w:val="en-US"/>
        </w:rPr>
        <w:t>Hasil</w:t>
      </w:r>
      <w:r w:rsidR="00A954D0" w:rsidRPr="003255BC">
        <w:rPr>
          <w:rFonts w:ascii="Bookman Old Style" w:eastAsia="Bookman Old Style" w:hAnsi="Bookman Old Style" w:cs="Bookman Old Style"/>
          <w:sz w:val="24"/>
          <w:szCs w:val="24"/>
          <w:lang w:val="en-US"/>
        </w:rPr>
        <w:t xml:space="preserve"> </w:t>
      </w:r>
      <w:r w:rsidRPr="003255BC">
        <w:rPr>
          <w:rFonts w:ascii="Bookman Old Style" w:eastAsia="Bookman Old Style" w:hAnsi="Bookman Old Style" w:cs="Bookman Old Style"/>
          <w:sz w:val="24"/>
          <w:szCs w:val="24"/>
          <w:lang w:val="en-US"/>
        </w:rPr>
        <w:t>Pajak</w:t>
      </w:r>
      <w:r w:rsidR="00A954D0" w:rsidRPr="003255BC">
        <w:rPr>
          <w:rFonts w:ascii="Bookman Old Style" w:eastAsia="Bookman Old Style" w:hAnsi="Bookman Old Style" w:cs="Bookman Old Style"/>
          <w:sz w:val="24"/>
          <w:szCs w:val="24"/>
          <w:lang w:val="en-US"/>
        </w:rPr>
        <w:t xml:space="preserve"> </w:t>
      </w:r>
      <w:r w:rsidRPr="003255BC">
        <w:rPr>
          <w:rFonts w:ascii="Bookman Old Style" w:eastAsia="Bookman Old Style" w:hAnsi="Bookman Old Style" w:cs="Bookman Old Style"/>
          <w:sz w:val="24"/>
          <w:szCs w:val="24"/>
          <w:lang w:val="en-US"/>
        </w:rPr>
        <w:t>Air</w:t>
      </w:r>
      <w:r w:rsidR="00A954D0" w:rsidRPr="003255BC">
        <w:rPr>
          <w:rFonts w:ascii="Bookman Old Style" w:eastAsia="Bookman Old Style" w:hAnsi="Bookman Old Style" w:cs="Bookman Old Style"/>
          <w:sz w:val="24"/>
          <w:szCs w:val="24"/>
          <w:lang w:val="en-US"/>
        </w:rPr>
        <w:t xml:space="preserve"> </w:t>
      </w:r>
      <w:r w:rsidRPr="003255BC">
        <w:rPr>
          <w:rFonts w:ascii="Bookman Old Style" w:eastAsia="Bookman Old Style" w:hAnsi="Bookman Old Style" w:cs="Bookman Old Style"/>
          <w:sz w:val="24"/>
          <w:szCs w:val="24"/>
          <w:lang w:val="en-US"/>
        </w:rPr>
        <w:t>Permukaan</w:t>
      </w:r>
      <w:r w:rsidR="00A954D0" w:rsidRPr="003255BC">
        <w:rPr>
          <w:rFonts w:ascii="Bookman Old Style" w:eastAsia="Bookman Old Style" w:hAnsi="Bookman Old Style" w:cs="Bookman Old Style"/>
          <w:sz w:val="24"/>
          <w:szCs w:val="24"/>
          <w:lang w:val="en-US"/>
        </w:rPr>
        <w:t xml:space="preserve"> </w:t>
      </w:r>
      <w:r w:rsidRPr="003255BC">
        <w:rPr>
          <w:rFonts w:ascii="Bookman Old Style" w:eastAsia="Bookman Old Style" w:hAnsi="Bookman Old Style" w:cs="Bookman Old Style"/>
          <w:sz w:val="24"/>
          <w:szCs w:val="24"/>
          <w:lang w:val="en-US"/>
        </w:rPr>
        <w:t>Rp6.735.784.751,00;</w:t>
      </w:r>
    </w:p>
    <w:p w14:paraId="594A4636" w14:textId="4CE4F106" w:rsidR="00735D18" w:rsidRDefault="00735D18" w:rsidP="00B16310">
      <w:pPr>
        <w:pStyle w:val="ListParagraph"/>
        <w:numPr>
          <w:ilvl w:val="0"/>
          <w:numId w:val="266"/>
        </w:numPr>
        <w:spacing w:before="120" w:line="276" w:lineRule="auto"/>
        <w:ind w:left="2268" w:hanging="567"/>
        <w:jc w:val="both"/>
        <w:rPr>
          <w:rFonts w:ascii="Bookman Old Style" w:eastAsia="Bookman Old Style" w:hAnsi="Bookman Old Style" w:cs="Bookman Old Style"/>
          <w:sz w:val="24"/>
          <w:szCs w:val="24"/>
          <w:lang w:val="en-ID"/>
        </w:rPr>
      </w:pPr>
      <w:r w:rsidRPr="00C46F62">
        <w:rPr>
          <w:rFonts w:ascii="Bookman Old Style" w:eastAsia="Bookman Old Style" w:hAnsi="Bookman Old Style" w:cs="Bookman Old Style"/>
          <w:sz w:val="24"/>
          <w:szCs w:val="24"/>
          <w:lang w:val="sv-SE"/>
        </w:rPr>
        <w:t>Pendapatan</w:t>
      </w:r>
      <w:r w:rsidR="00A954D0">
        <w:rPr>
          <w:rFonts w:ascii="Bookman Old Style" w:eastAsia="Bookman Old Style" w:hAnsi="Bookman Old Style" w:cs="Bookman Old Style"/>
          <w:sz w:val="24"/>
          <w:szCs w:val="24"/>
          <w:lang w:val="sv-SE"/>
        </w:rPr>
        <w:t xml:space="preserve"> </w:t>
      </w:r>
      <w:r w:rsidRPr="00C46F62">
        <w:rPr>
          <w:rFonts w:ascii="Bookman Old Style" w:eastAsia="Bookman Old Style" w:hAnsi="Bookman Old Style" w:cs="Bookman Old Style"/>
          <w:sz w:val="24"/>
          <w:szCs w:val="24"/>
          <w:lang w:val="sv-SE"/>
        </w:rPr>
        <w:t>Bagi</w:t>
      </w:r>
      <w:r w:rsidR="00A954D0">
        <w:rPr>
          <w:rFonts w:ascii="Bookman Old Style" w:eastAsia="Bookman Old Style" w:hAnsi="Bookman Old Style" w:cs="Bookman Old Style"/>
          <w:sz w:val="24"/>
          <w:szCs w:val="24"/>
          <w:lang w:val="sv-SE"/>
        </w:rPr>
        <w:t xml:space="preserve"> </w:t>
      </w:r>
      <w:r w:rsidRPr="00C46F62">
        <w:rPr>
          <w:rFonts w:ascii="Bookman Old Style" w:eastAsia="Bookman Old Style" w:hAnsi="Bookman Old Style" w:cs="Bookman Old Style"/>
          <w:sz w:val="24"/>
          <w:szCs w:val="24"/>
          <w:lang w:val="sv-SE"/>
        </w:rPr>
        <w:t>Hasil</w:t>
      </w:r>
      <w:r w:rsidR="00A954D0">
        <w:rPr>
          <w:rFonts w:ascii="Bookman Old Style" w:eastAsia="Bookman Old Style" w:hAnsi="Bookman Old Style" w:cs="Bookman Old Style"/>
          <w:sz w:val="24"/>
          <w:szCs w:val="24"/>
          <w:lang w:val="sv-SE"/>
        </w:rPr>
        <w:t xml:space="preserve"> </w:t>
      </w:r>
      <w:r w:rsidRPr="00C46F62">
        <w:rPr>
          <w:rFonts w:ascii="Bookman Old Style" w:eastAsia="Bookman Old Style" w:hAnsi="Bookman Old Style" w:cs="Bookman Old Style"/>
          <w:sz w:val="24"/>
          <w:szCs w:val="24"/>
          <w:lang w:val="sv-SE"/>
        </w:rPr>
        <w:t>Pajak</w:t>
      </w:r>
      <w:r w:rsidR="00A954D0">
        <w:rPr>
          <w:rFonts w:ascii="Bookman Old Style" w:eastAsia="Bookman Old Style" w:hAnsi="Bookman Old Style" w:cs="Bookman Old Style"/>
          <w:sz w:val="24"/>
          <w:szCs w:val="24"/>
          <w:lang w:val="sv-SE"/>
        </w:rPr>
        <w:t xml:space="preserve"> </w:t>
      </w:r>
      <w:r w:rsidRPr="00C46F62">
        <w:rPr>
          <w:rFonts w:ascii="Bookman Old Style" w:eastAsia="Bookman Old Style" w:hAnsi="Bookman Old Style" w:cs="Bookman Old Style"/>
          <w:sz w:val="24"/>
          <w:szCs w:val="24"/>
          <w:lang w:val="sv-SE"/>
        </w:rPr>
        <w:t>Rokok</w:t>
      </w:r>
      <w:r w:rsidR="00A954D0">
        <w:rPr>
          <w:rFonts w:ascii="Bookman Old Style" w:eastAsia="Bookman Old Style" w:hAnsi="Bookman Old Style" w:cs="Bookman Old Style"/>
          <w:sz w:val="24"/>
          <w:szCs w:val="24"/>
          <w:lang w:val="sv-SE"/>
        </w:rPr>
        <w:t xml:space="preserve"> </w:t>
      </w:r>
      <w:r w:rsidRPr="00C46F62">
        <w:rPr>
          <w:rFonts w:ascii="Bookman Old Style" w:eastAsia="Bookman Old Style" w:hAnsi="Bookman Old Style" w:cs="Bookman Old Style"/>
          <w:sz w:val="24"/>
          <w:szCs w:val="24"/>
          <w:lang w:val="sv-SE"/>
        </w:rPr>
        <w:t>Rp</w:t>
      </w:r>
      <w:r w:rsidRPr="00735D18">
        <w:rPr>
          <w:rFonts w:ascii="Bookman Old Style" w:eastAsia="Bookman Old Style" w:hAnsi="Bookman Old Style" w:cs="Bookman Old Style"/>
          <w:sz w:val="24"/>
          <w:szCs w:val="24"/>
          <w:lang w:val="sv-SE"/>
        </w:rPr>
        <w:t>110.165.322.422,00</w:t>
      </w:r>
      <w:r>
        <w:rPr>
          <w:rFonts w:ascii="Bookman Old Style" w:eastAsia="Bookman Old Style" w:hAnsi="Bookman Old Style" w:cs="Bookman Old Style"/>
          <w:sz w:val="24"/>
          <w:szCs w:val="24"/>
          <w:lang w:val="sv-SE"/>
        </w:rPr>
        <w:t>.</w:t>
      </w:r>
    </w:p>
    <w:p w14:paraId="5D519530" w14:textId="6DAD7796" w:rsidR="00BB4E6E" w:rsidRPr="00BB4E6E" w:rsidRDefault="00735D18" w:rsidP="00875947">
      <w:pPr>
        <w:pStyle w:val="ListParagraph"/>
        <w:spacing w:before="60" w:after="0" w:line="276" w:lineRule="auto"/>
        <w:ind w:left="1701"/>
        <w:contextualSpacing w:val="0"/>
        <w:jc w:val="both"/>
        <w:rPr>
          <w:rFonts w:ascii="Bookman Old Style" w:eastAsia="Bookman Old Style" w:hAnsi="Bookman Old Style" w:cs="Bookman Old Style"/>
          <w:sz w:val="24"/>
          <w:szCs w:val="24"/>
          <w:lang w:val="id-ID"/>
        </w:rPr>
      </w:pPr>
      <w:r w:rsidRPr="003255BC">
        <w:rPr>
          <w:rFonts w:ascii="Bookman Old Style" w:eastAsia="Bookman Old Style" w:hAnsi="Bookman Old Style" w:cs="Bookman Old Style"/>
          <w:sz w:val="24"/>
          <w:szCs w:val="24"/>
          <w:lang w:val="sv-FI"/>
        </w:rPr>
        <w:t>S</w:t>
      </w:r>
      <w:r w:rsidR="00BB4E6E" w:rsidRPr="003255BC">
        <w:rPr>
          <w:rFonts w:ascii="Bookman Old Style" w:eastAsia="Bookman Old Style" w:hAnsi="Bookman Old Style" w:cs="Bookman Old Style"/>
          <w:sz w:val="24"/>
          <w:szCs w:val="24"/>
          <w:lang w:val="sv-FI"/>
        </w:rPr>
        <w:t>ehubungan</w:t>
      </w:r>
      <w:r w:rsidR="00A954D0" w:rsidRPr="003255BC">
        <w:rPr>
          <w:rFonts w:ascii="Bookman Old Style" w:eastAsia="Bookman Old Style" w:hAnsi="Bookman Old Style" w:cs="Bookman Old Style"/>
          <w:sz w:val="24"/>
          <w:szCs w:val="24"/>
          <w:lang w:val="sv-FI"/>
        </w:rPr>
        <w:t xml:space="preserve"> </w:t>
      </w:r>
      <w:r w:rsidR="00BB4E6E" w:rsidRPr="003255BC">
        <w:rPr>
          <w:rFonts w:ascii="Bookman Old Style" w:eastAsia="Bookman Old Style" w:hAnsi="Bookman Old Style" w:cs="Bookman Old Style"/>
          <w:sz w:val="24"/>
          <w:szCs w:val="24"/>
          <w:lang w:val="sv-FI"/>
        </w:rPr>
        <w:t>hal</w:t>
      </w:r>
      <w:r w:rsidR="00A954D0" w:rsidRPr="003255BC">
        <w:rPr>
          <w:rFonts w:ascii="Bookman Old Style" w:eastAsia="Bookman Old Style" w:hAnsi="Bookman Old Style" w:cs="Bookman Old Style"/>
          <w:sz w:val="24"/>
          <w:szCs w:val="24"/>
          <w:lang w:val="sv-FI"/>
        </w:rPr>
        <w:t xml:space="preserve"> </w:t>
      </w:r>
      <w:r w:rsidR="00BB4E6E" w:rsidRPr="003255BC">
        <w:rPr>
          <w:rFonts w:ascii="Bookman Old Style" w:eastAsia="Bookman Old Style" w:hAnsi="Bookman Old Style" w:cs="Bookman Old Style"/>
          <w:sz w:val="24"/>
          <w:szCs w:val="24"/>
          <w:lang w:val="sv-FI"/>
        </w:rPr>
        <w:t>tersebut</w:t>
      </w:r>
      <w:r w:rsidR="00273DAA">
        <w:rPr>
          <w:rFonts w:ascii="Bookman Old Style" w:eastAsia="Bookman Old Style" w:hAnsi="Bookman Old Style" w:cs="Bookman Old Style"/>
          <w:sz w:val="24"/>
          <w:szCs w:val="24"/>
          <w:lang w:val="id-ID"/>
        </w:rPr>
        <w:t>,</w:t>
      </w:r>
      <w:r w:rsidR="00875947" w:rsidRPr="003255BC">
        <w:rPr>
          <w:rFonts w:ascii="Bookman Old Style" w:eastAsia="Bookman Old Style" w:hAnsi="Bookman Old Style" w:cs="Bookman Old Style"/>
          <w:sz w:val="24"/>
          <w:szCs w:val="24"/>
          <w:lang w:val="sv-FI"/>
        </w:rPr>
        <w:t xml:space="preserve"> </w:t>
      </w:r>
      <w:r w:rsidR="00BB4E6E" w:rsidRPr="003255BC">
        <w:rPr>
          <w:rFonts w:ascii="Bookman Old Style" w:eastAsia="Bookman Old Style" w:hAnsi="Bookman Old Style" w:cs="Bookman Old Style"/>
          <w:sz w:val="24"/>
          <w:szCs w:val="24"/>
          <w:lang w:val="sv-FI"/>
        </w:rPr>
        <w:t>Pemerintah</w:t>
      </w:r>
      <w:r w:rsidR="00A954D0" w:rsidRPr="003255BC">
        <w:rPr>
          <w:rFonts w:ascii="Bookman Old Style" w:eastAsia="Bookman Old Style" w:hAnsi="Bookman Old Style" w:cs="Bookman Old Style"/>
          <w:sz w:val="24"/>
          <w:szCs w:val="24"/>
          <w:lang w:val="sv-FI"/>
        </w:rPr>
        <w:t xml:space="preserve"> </w:t>
      </w:r>
      <w:r w:rsidR="00BB4E6E" w:rsidRPr="003255BC">
        <w:rPr>
          <w:rFonts w:ascii="Bookman Old Style" w:eastAsia="Bookman Old Style" w:hAnsi="Bookman Old Style" w:cs="Bookman Old Style"/>
          <w:sz w:val="24"/>
          <w:szCs w:val="24"/>
          <w:lang w:val="sv-FI"/>
        </w:rPr>
        <w:t>Daerah</w:t>
      </w:r>
      <w:r w:rsidR="00A954D0" w:rsidRPr="003255BC">
        <w:rPr>
          <w:rFonts w:ascii="Bookman Old Style" w:eastAsia="Bookman Old Style" w:hAnsi="Bookman Old Style" w:cs="Bookman Old Style"/>
          <w:sz w:val="24"/>
          <w:szCs w:val="24"/>
          <w:lang w:val="sv-FI"/>
        </w:rPr>
        <w:t xml:space="preserve"> </w:t>
      </w:r>
      <w:r w:rsidR="00BB4E6E" w:rsidRPr="003255BC">
        <w:rPr>
          <w:rFonts w:ascii="Bookman Old Style" w:eastAsia="Bookman Old Style" w:hAnsi="Bookman Old Style" w:cs="Bookman Old Style"/>
          <w:sz w:val="24"/>
          <w:szCs w:val="24"/>
          <w:lang w:val="sv-FI"/>
        </w:rPr>
        <w:t>Kota</w:t>
      </w:r>
      <w:r w:rsidR="00875947" w:rsidRPr="003255BC">
        <w:rPr>
          <w:rFonts w:ascii="Bookman Old Style" w:eastAsia="Bookman Old Style" w:hAnsi="Bookman Old Style" w:cs="Bookman Old Style"/>
          <w:sz w:val="24"/>
          <w:szCs w:val="24"/>
          <w:lang w:val="sv-FI"/>
        </w:rPr>
        <w:t xml:space="preserve"> </w:t>
      </w:r>
      <w:r w:rsidR="00BB4E6E" w:rsidRPr="003255BC">
        <w:rPr>
          <w:rFonts w:ascii="Bookman Old Style" w:eastAsia="Bookman Old Style" w:hAnsi="Bookman Old Style" w:cs="Bookman Old Style"/>
          <w:sz w:val="24"/>
          <w:szCs w:val="24"/>
          <w:lang w:val="sv-FI"/>
        </w:rPr>
        <w:t>Tangerang</w:t>
      </w:r>
      <w:r w:rsidR="00A954D0" w:rsidRPr="003255BC">
        <w:rPr>
          <w:rFonts w:ascii="Bookman Old Style" w:eastAsia="Bookman Old Style" w:hAnsi="Bookman Old Style" w:cs="Bookman Old Style"/>
          <w:sz w:val="24"/>
          <w:szCs w:val="24"/>
          <w:lang w:val="sv-FI"/>
        </w:rPr>
        <w:t xml:space="preserve"> </w:t>
      </w:r>
      <w:r w:rsidR="00BB4E6E" w:rsidRPr="003255BC">
        <w:rPr>
          <w:rFonts w:ascii="Bookman Old Style" w:eastAsia="Bookman Old Style" w:hAnsi="Bookman Old Style" w:cs="Bookman Old Style"/>
          <w:sz w:val="24"/>
          <w:szCs w:val="24"/>
          <w:lang w:val="sv-FI"/>
        </w:rPr>
        <w:t>dapat</w:t>
      </w:r>
      <w:r w:rsidR="00875947" w:rsidRPr="003255BC">
        <w:rPr>
          <w:rFonts w:ascii="Bookman Old Style" w:eastAsia="Bookman Old Style" w:hAnsi="Bookman Old Style" w:cs="Bookman Old Style"/>
          <w:sz w:val="24"/>
          <w:szCs w:val="24"/>
          <w:lang w:val="sv-FI"/>
        </w:rPr>
        <w:t xml:space="preserve"> </w:t>
      </w:r>
      <w:r w:rsidR="00BB4E6E" w:rsidRPr="003255BC">
        <w:rPr>
          <w:rFonts w:ascii="Bookman Old Style" w:eastAsia="Bookman Old Style" w:hAnsi="Bookman Old Style" w:cs="Bookman Old Style"/>
          <w:sz w:val="24"/>
          <w:szCs w:val="24"/>
          <w:lang w:val="sv-FI"/>
        </w:rPr>
        <w:t>menyesuaikan</w:t>
      </w:r>
      <w:r w:rsidR="00A954D0" w:rsidRPr="003255BC">
        <w:rPr>
          <w:rFonts w:ascii="Bookman Old Style" w:eastAsia="Bookman Old Style" w:hAnsi="Bookman Old Style" w:cs="Bookman Old Style"/>
          <w:sz w:val="24"/>
          <w:szCs w:val="24"/>
          <w:lang w:val="sv-FI"/>
        </w:rPr>
        <w:t xml:space="preserve"> </w:t>
      </w:r>
      <w:r w:rsidR="00BB4E6E" w:rsidRPr="003255BC">
        <w:rPr>
          <w:rFonts w:ascii="Bookman Old Style" w:eastAsia="Bookman Old Style" w:hAnsi="Bookman Old Style" w:cs="Bookman Old Style"/>
          <w:sz w:val="24"/>
          <w:szCs w:val="24"/>
          <w:lang w:val="sv-FI"/>
        </w:rPr>
        <w:t>Bagi</w:t>
      </w:r>
      <w:r w:rsidR="00A954D0" w:rsidRPr="003255BC">
        <w:rPr>
          <w:rFonts w:ascii="Bookman Old Style" w:eastAsia="Bookman Old Style" w:hAnsi="Bookman Old Style" w:cs="Bookman Old Style"/>
          <w:sz w:val="24"/>
          <w:szCs w:val="24"/>
          <w:lang w:val="sv-FI"/>
        </w:rPr>
        <w:t xml:space="preserve"> </w:t>
      </w:r>
      <w:r w:rsidR="00BB4E6E" w:rsidRPr="003255BC">
        <w:rPr>
          <w:rFonts w:ascii="Bookman Old Style" w:eastAsia="Bookman Old Style" w:hAnsi="Bookman Old Style" w:cs="Bookman Old Style"/>
          <w:sz w:val="24"/>
          <w:szCs w:val="24"/>
          <w:lang w:val="sv-FI"/>
        </w:rPr>
        <w:t>Hasil</w:t>
      </w:r>
      <w:r w:rsidR="00A954D0" w:rsidRPr="003255BC">
        <w:rPr>
          <w:rFonts w:ascii="Bookman Old Style" w:eastAsia="Bookman Old Style" w:hAnsi="Bookman Old Style" w:cs="Bookman Old Style"/>
          <w:sz w:val="24"/>
          <w:szCs w:val="24"/>
          <w:lang w:val="sv-FI"/>
        </w:rPr>
        <w:t xml:space="preserve"> </w:t>
      </w:r>
      <w:r w:rsidR="00BB4E6E" w:rsidRPr="003255BC">
        <w:rPr>
          <w:rFonts w:ascii="Bookman Old Style" w:eastAsia="Bookman Old Style" w:hAnsi="Bookman Old Style" w:cs="Bookman Old Style"/>
          <w:sz w:val="24"/>
          <w:szCs w:val="24"/>
          <w:lang w:val="sv-FI"/>
        </w:rPr>
        <w:t>Pajak</w:t>
      </w:r>
      <w:r w:rsidR="00A954D0" w:rsidRPr="003255BC">
        <w:rPr>
          <w:rFonts w:ascii="Bookman Old Style" w:eastAsia="Bookman Old Style" w:hAnsi="Bookman Old Style" w:cs="Bookman Old Style"/>
          <w:sz w:val="24"/>
          <w:szCs w:val="24"/>
          <w:lang w:val="sv-FI"/>
        </w:rPr>
        <w:t xml:space="preserve"> </w:t>
      </w:r>
      <w:r w:rsidR="00BB4E6E" w:rsidRPr="003255BC">
        <w:rPr>
          <w:rFonts w:ascii="Bookman Old Style" w:eastAsia="Bookman Old Style" w:hAnsi="Bookman Old Style" w:cs="Bookman Old Style"/>
          <w:sz w:val="24"/>
          <w:szCs w:val="24"/>
          <w:lang w:val="sv-FI"/>
        </w:rPr>
        <w:t>dimaksud.</w:t>
      </w:r>
    </w:p>
    <w:p w14:paraId="7278FCA5" w14:textId="45EBC7F4" w:rsidR="00F36A6C" w:rsidRPr="00770F22" w:rsidRDefault="00F36A6C" w:rsidP="00992381">
      <w:pPr>
        <w:pStyle w:val="ListParagraph"/>
        <w:spacing w:before="60" w:after="0" w:line="276" w:lineRule="auto"/>
        <w:ind w:left="1276" w:firstLine="12"/>
        <w:contextualSpacing w:val="0"/>
        <w:jc w:val="both"/>
        <w:rPr>
          <w:rFonts w:ascii="Bookman Old Style" w:hAnsi="Bookman Old Style"/>
          <w:sz w:val="24"/>
          <w:szCs w:val="24"/>
          <w:highlight w:val="yellow"/>
          <w:lang w:val="fi-FI"/>
        </w:rPr>
      </w:pPr>
    </w:p>
    <w:p w14:paraId="49AA2373" w14:textId="744CF347" w:rsidR="00727981" w:rsidRPr="008B5FEF" w:rsidRDefault="00727981" w:rsidP="00704FD6">
      <w:pPr>
        <w:numPr>
          <w:ilvl w:val="0"/>
          <w:numId w:val="1"/>
        </w:numPr>
        <w:spacing w:before="60" w:line="276" w:lineRule="auto"/>
        <w:ind w:left="567" w:hanging="567"/>
        <w:jc w:val="both"/>
        <w:rPr>
          <w:rFonts w:ascii="Bookman Old Style" w:hAnsi="Bookman Old Style" w:cs="Arial"/>
          <w:color w:val="000000" w:themeColor="text1"/>
          <w:lang w:val="id-ID"/>
        </w:rPr>
      </w:pPr>
      <w:r w:rsidRPr="008B5FEF">
        <w:rPr>
          <w:rFonts w:ascii="Bookman Old Style" w:hAnsi="Bookman Old Style"/>
          <w:color w:val="000000" w:themeColor="text1"/>
        </w:rPr>
        <w:t>KEBIJAKAN</w:t>
      </w:r>
      <w:r w:rsidR="00A954D0">
        <w:rPr>
          <w:rFonts w:ascii="Bookman Old Style" w:hAnsi="Bookman Old Style" w:cs="Arial"/>
          <w:color w:val="000000" w:themeColor="text1"/>
        </w:rPr>
        <w:t xml:space="preserve"> </w:t>
      </w:r>
      <w:r w:rsidRPr="008B5FEF">
        <w:rPr>
          <w:rFonts w:ascii="Bookman Old Style" w:hAnsi="Bookman Old Style" w:cs="Arial"/>
          <w:color w:val="000000" w:themeColor="text1"/>
        </w:rPr>
        <w:t>BELANJA</w:t>
      </w:r>
      <w:r w:rsidR="00A954D0">
        <w:rPr>
          <w:rFonts w:ascii="Bookman Old Style" w:hAnsi="Bookman Old Style" w:cs="Arial"/>
          <w:color w:val="000000" w:themeColor="text1"/>
        </w:rPr>
        <w:t xml:space="preserve"> </w:t>
      </w:r>
      <w:r w:rsidRPr="008B5FEF">
        <w:rPr>
          <w:rFonts w:ascii="Bookman Old Style" w:hAnsi="Bookman Old Style" w:cs="Arial"/>
          <w:color w:val="000000" w:themeColor="text1"/>
        </w:rPr>
        <w:t>DAERAH</w:t>
      </w:r>
      <w:r w:rsidR="00A954D0">
        <w:rPr>
          <w:rFonts w:ascii="Bookman Old Style" w:hAnsi="Bookman Old Style" w:cs="Arial"/>
          <w:color w:val="000000" w:themeColor="text1"/>
        </w:rPr>
        <w:t xml:space="preserve"> </w:t>
      </w:r>
    </w:p>
    <w:p w14:paraId="14DDE999" w14:textId="3EFB8139" w:rsidR="009B23F6" w:rsidRPr="008B5FEF" w:rsidRDefault="00FC63F0" w:rsidP="00B16310">
      <w:pPr>
        <w:pStyle w:val="ListParagraph"/>
        <w:numPr>
          <w:ilvl w:val="0"/>
          <w:numId w:val="121"/>
        </w:numPr>
        <w:spacing w:before="120" w:after="0" w:line="276" w:lineRule="auto"/>
        <w:ind w:left="993" w:hanging="426"/>
        <w:contextualSpacing w:val="0"/>
        <w:jc w:val="both"/>
        <w:rPr>
          <w:rFonts w:ascii="Bookman Old Style" w:hAnsi="Bookman Old Style"/>
          <w:color w:val="000000" w:themeColor="text1"/>
          <w:sz w:val="24"/>
          <w:szCs w:val="24"/>
        </w:rPr>
      </w:pPr>
      <w:r w:rsidRPr="008B5FEF">
        <w:rPr>
          <w:rFonts w:ascii="Bookman Old Style" w:hAnsi="Bookman Old Style"/>
          <w:color w:val="000000" w:themeColor="text1"/>
          <w:sz w:val="24"/>
          <w:szCs w:val="24"/>
        </w:rPr>
        <w:t>Kebijakan</w:t>
      </w:r>
      <w:r w:rsidR="00A954D0">
        <w:rPr>
          <w:rFonts w:ascii="Bookman Old Style" w:hAnsi="Bookman Old Style"/>
          <w:color w:val="000000" w:themeColor="text1"/>
          <w:sz w:val="24"/>
          <w:szCs w:val="24"/>
        </w:rPr>
        <w:t xml:space="preserve"> </w:t>
      </w:r>
      <w:r w:rsidR="00727981" w:rsidRPr="008B5FEF">
        <w:rPr>
          <w:rFonts w:ascii="Bookman Old Style" w:hAnsi="Bookman Old Style"/>
          <w:color w:val="000000" w:themeColor="text1"/>
          <w:sz w:val="24"/>
          <w:szCs w:val="24"/>
        </w:rPr>
        <w:t>Umum</w:t>
      </w:r>
      <w:r w:rsidR="00A954D0">
        <w:rPr>
          <w:rFonts w:ascii="Bookman Old Style" w:hAnsi="Bookman Old Style"/>
          <w:color w:val="000000" w:themeColor="text1"/>
          <w:sz w:val="24"/>
          <w:szCs w:val="24"/>
        </w:rPr>
        <w:t xml:space="preserve"> </w:t>
      </w:r>
      <w:r w:rsidRPr="008B5FEF">
        <w:rPr>
          <w:rFonts w:ascii="Bookman Old Style" w:hAnsi="Bookman Old Style"/>
          <w:color w:val="000000" w:themeColor="text1"/>
          <w:sz w:val="24"/>
          <w:szCs w:val="24"/>
        </w:rPr>
        <w:t>Belanja</w:t>
      </w:r>
      <w:r w:rsidR="00A954D0">
        <w:rPr>
          <w:rFonts w:ascii="Bookman Old Style" w:hAnsi="Bookman Old Style"/>
          <w:color w:val="000000" w:themeColor="text1"/>
          <w:sz w:val="24"/>
          <w:szCs w:val="24"/>
        </w:rPr>
        <w:t xml:space="preserve"> </w:t>
      </w:r>
      <w:r w:rsidRPr="008B5FEF">
        <w:rPr>
          <w:rFonts w:ascii="Bookman Old Style" w:hAnsi="Bookman Old Style"/>
          <w:color w:val="000000" w:themeColor="text1"/>
          <w:sz w:val="24"/>
          <w:szCs w:val="24"/>
        </w:rPr>
        <w:t>Daerah</w:t>
      </w:r>
    </w:p>
    <w:p w14:paraId="111EF329" w14:textId="6B77AE16" w:rsidR="00727981" w:rsidRPr="008B5FEF" w:rsidRDefault="00727981" w:rsidP="00B16310">
      <w:pPr>
        <w:pStyle w:val="ListParagraph"/>
        <w:numPr>
          <w:ilvl w:val="0"/>
          <w:numId w:val="122"/>
        </w:numPr>
        <w:spacing w:before="60" w:after="0" w:line="276" w:lineRule="auto"/>
        <w:ind w:left="1276" w:hanging="283"/>
        <w:contextualSpacing w:val="0"/>
        <w:jc w:val="both"/>
        <w:rPr>
          <w:rFonts w:ascii="Bookman Old Style" w:hAnsi="Bookman Old Style" w:cs="Arial"/>
          <w:sz w:val="24"/>
          <w:szCs w:val="24"/>
          <w:lang w:val="id-ID"/>
        </w:rPr>
      </w:pPr>
      <w:r w:rsidRPr="008B5FEF">
        <w:rPr>
          <w:rFonts w:ascii="Bookman Old Style" w:hAnsi="Bookman Old Style" w:cs="Arial"/>
          <w:sz w:val="24"/>
          <w:szCs w:val="24"/>
          <w:lang w:val="id-ID"/>
        </w:rPr>
        <w:t>Pemerintah</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Daerah</w:t>
      </w:r>
      <w:r w:rsidR="00A954D0">
        <w:rPr>
          <w:rFonts w:ascii="Bookman Old Style" w:hAnsi="Bookman Old Style" w:cs="Arial"/>
          <w:sz w:val="24"/>
          <w:szCs w:val="24"/>
          <w:lang w:val="id-ID"/>
        </w:rPr>
        <w:t xml:space="preserve"> </w:t>
      </w:r>
      <w:r w:rsidR="00B055C5" w:rsidRPr="003255BC">
        <w:rPr>
          <w:rFonts w:ascii="Bookman Old Style" w:hAnsi="Bookman Old Style"/>
          <w:sz w:val="24"/>
          <w:szCs w:val="24"/>
          <w:lang w:val="sv-FI"/>
        </w:rPr>
        <w:t>Kota</w:t>
      </w:r>
      <w:r w:rsidR="00A954D0" w:rsidRPr="003255BC">
        <w:rPr>
          <w:rFonts w:ascii="Bookman Old Style" w:hAnsi="Bookman Old Style"/>
          <w:sz w:val="24"/>
          <w:szCs w:val="24"/>
          <w:lang w:val="sv-FI"/>
        </w:rPr>
        <w:t xml:space="preserve"> </w:t>
      </w:r>
      <w:r w:rsidR="00770F22" w:rsidRPr="003255BC">
        <w:rPr>
          <w:rFonts w:ascii="Bookman Old Style" w:hAnsi="Bookman Old Style"/>
          <w:sz w:val="24"/>
          <w:szCs w:val="24"/>
          <w:lang w:val="sv-FI"/>
        </w:rPr>
        <w:t>Tangerang</w:t>
      </w:r>
      <w:r w:rsidR="00A954D0" w:rsidRPr="003255BC">
        <w:rPr>
          <w:rFonts w:ascii="Bookman Old Style" w:hAnsi="Bookman Old Style"/>
          <w:sz w:val="24"/>
          <w:szCs w:val="24"/>
          <w:lang w:val="sv-FI"/>
        </w:rPr>
        <w:t xml:space="preserve"> </w:t>
      </w:r>
      <w:r w:rsidRPr="008B5FEF">
        <w:rPr>
          <w:rFonts w:ascii="Bookman Old Style" w:hAnsi="Bookman Old Style" w:cs="Arial"/>
          <w:sz w:val="24"/>
          <w:szCs w:val="24"/>
          <w:lang w:val="id-ID"/>
        </w:rPr>
        <w:t>dalam</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menganggarkan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Belanja</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daerah</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disusun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dengan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menggunakan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pendekatan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kerangka</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pengeluaran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jangka</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menengah,</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penganggaran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terpadu,</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penganggaran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berbasis</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kinerja,</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sebagaimana</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maksud</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butir</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3.2.2.a</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Lampiran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Peraturan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Menteri</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Dalam</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Negeri</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Nomor</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15</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2024</w:t>
      </w:r>
      <w:r w:rsidR="00B16310" w:rsidRPr="00B16310">
        <w:rPr>
          <w:rFonts w:ascii="Bookman Old Style" w:hAnsi="Bookman Old Style" w:cs="Arial"/>
          <w:sz w:val="24"/>
          <w:szCs w:val="24"/>
          <w:lang w:val="sv-FI"/>
        </w:rPr>
        <w:t>;</w:t>
      </w:r>
    </w:p>
    <w:p w14:paraId="6B631C85" w14:textId="683FDAB9" w:rsidR="00727981" w:rsidRPr="008B5FEF" w:rsidRDefault="00727981" w:rsidP="00B16310">
      <w:pPr>
        <w:pStyle w:val="ListParagraph"/>
        <w:numPr>
          <w:ilvl w:val="0"/>
          <w:numId w:val="122"/>
        </w:numPr>
        <w:spacing w:before="60" w:after="0" w:line="276" w:lineRule="auto"/>
        <w:ind w:left="1276" w:hanging="283"/>
        <w:contextualSpacing w:val="0"/>
        <w:jc w:val="both"/>
        <w:rPr>
          <w:rFonts w:ascii="Bookman Old Style" w:hAnsi="Bookman Old Style"/>
          <w:sz w:val="24"/>
          <w:szCs w:val="24"/>
        </w:rPr>
      </w:pPr>
      <w:r w:rsidRPr="008B5FEF">
        <w:rPr>
          <w:rFonts w:ascii="Bookman Old Style" w:hAnsi="Bookman Old Style" w:cs="Arial"/>
          <w:sz w:val="24"/>
          <w:szCs w:val="24"/>
          <w:lang w:val="id-ID"/>
        </w:rPr>
        <w:t>Dalam</w:t>
      </w:r>
      <w:r w:rsidR="00A954D0">
        <w:rPr>
          <w:rFonts w:ascii="Bookman Old Style" w:hAnsi="Bookman Old Style" w:cs="Arial"/>
          <w:sz w:val="24"/>
          <w:szCs w:val="24"/>
          <w:lang w:val="id-ID"/>
        </w:rPr>
        <w:t xml:space="preserve"> </w:t>
      </w:r>
      <w:r w:rsidRPr="008B5FEF">
        <w:rPr>
          <w:rFonts w:ascii="Bookman Old Style" w:hAnsi="Bookman Old Style" w:cs="Arial"/>
          <w:sz w:val="24"/>
          <w:szCs w:val="24"/>
        </w:rPr>
        <w:t>kerangka</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sinergi</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penyelarasan,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alokasi</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anggaran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untuk</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setiap</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perangkat</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daerah</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ditentukan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berdasarkan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target</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kinerja</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pelayanan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publik</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tiap-tiap</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urusan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pemerintahan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yang</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difokuskan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pada</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prioritas</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pembangunan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yang</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telah</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ditetapkan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dalam</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RKPD</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serta</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tidak</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dilakukan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berdasarkan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pertimbangan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pemerataan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antar</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perangkat</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daerah</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atau</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berdasarkan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alokasi</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anggaran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pada</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anggaran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sebelumnya</w:t>
      </w:r>
      <w:r w:rsidR="00B16310" w:rsidRPr="00B16310">
        <w:rPr>
          <w:rFonts w:ascii="Bookman Old Style" w:hAnsi="Bookman Old Style" w:cs="Arial"/>
          <w:sz w:val="24"/>
          <w:szCs w:val="24"/>
          <w:lang w:val="id-ID"/>
        </w:rPr>
        <w:t>;</w:t>
      </w:r>
    </w:p>
    <w:p w14:paraId="544A1619" w14:textId="74FC3A97" w:rsidR="00727981" w:rsidRPr="008B5FEF" w:rsidRDefault="00727981" w:rsidP="00B16310">
      <w:pPr>
        <w:pStyle w:val="ListParagraph"/>
        <w:spacing w:before="60" w:after="0" w:line="276" w:lineRule="auto"/>
        <w:ind w:left="1276"/>
        <w:contextualSpacing w:val="0"/>
        <w:jc w:val="both"/>
        <w:rPr>
          <w:rFonts w:ascii="Bookman Old Style" w:hAnsi="Bookman Old Style"/>
          <w:sz w:val="24"/>
          <w:szCs w:val="24"/>
          <w:lang w:val="en-US"/>
        </w:rPr>
      </w:pPr>
      <w:r w:rsidRPr="008B5FEF">
        <w:rPr>
          <w:rFonts w:ascii="Bookman Old Style" w:hAnsi="Bookman Old Style" w:cs="Arial"/>
          <w:sz w:val="24"/>
          <w:szCs w:val="24"/>
          <w:lang w:val="id-ID"/>
        </w:rPr>
        <w:t>Berkaitan</w:t>
      </w:r>
      <w:r w:rsidR="00A954D0">
        <w:rPr>
          <w:rFonts w:ascii="Bookman Old Style" w:hAnsi="Bookman Old Style" w:cs="Arial"/>
          <w:sz w:val="24"/>
          <w:szCs w:val="24"/>
          <w:lang w:val="en-US"/>
        </w:rPr>
        <w:t xml:space="preserve"> </w:t>
      </w:r>
      <w:r w:rsidRPr="008B5FEF">
        <w:rPr>
          <w:rFonts w:ascii="Bookman Old Style" w:hAnsi="Bookman Old Style" w:cs="Arial"/>
          <w:sz w:val="24"/>
          <w:szCs w:val="24"/>
          <w:lang w:val="en-US"/>
        </w:rPr>
        <w:t>dengan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hal</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tersebut,</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Pemerintah</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Daerah</w:t>
      </w:r>
      <w:r w:rsidR="00A954D0">
        <w:rPr>
          <w:rFonts w:ascii="Bookman Old Style" w:hAnsi="Bookman Old Style" w:cs="Arial"/>
          <w:sz w:val="24"/>
          <w:szCs w:val="24"/>
          <w:lang w:val="id-ID"/>
        </w:rPr>
        <w:t xml:space="preserve"> </w:t>
      </w:r>
      <w:r w:rsidR="00B055C5" w:rsidRPr="008B5FEF">
        <w:rPr>
          <w:rFonts w:ascii="Bookman Old Style" w:hAnsi="Bookman Old Style"/>
          <w:sz w:val="24"/>
          <w:szCs w:val="24"/>
          <w:lang w:val="en-ID"/>
        </w:rPr>
        <w:t>Kota</w:t>
      </w:r>
      <w:r w:rsidR="00A954D0">
        <w:rPr>
          <w:rFonts w:ascii="Bookman Old Style" w:hAnsi="Bookman Old Style"/>
          <w:sz w:val="24"/>
          <w:szCs w:val="24"/>
          <w:lang w:val="en-ID"/>
        </w:rPr>
        <w:t xml:space="preserve"> </w:t>
      </w:r>
      <w:r w:rsidR="00770F22" w:rsidRPr="008B5FEF">
        <w:rPr>
          <w:rFonts w:ascii="Bookman Old Style" w:hAnsi="Bookman Old Style"/>
          <w:sz w:val="24"/>
          <w:szCs w:val="24"/>
          <w:lang w:val="en-ID"/>
        </w:rPr>
        <w:t>Tangerang</w:t>
      </w:r>
      <w:r w:rsidR="00A954D0">
        <w:rPr>
          <w:rFonts w:ascii="Bookman Old Style" w:hAnsi="Bookman Old Style"/>
          <w:sz w:val="24"/>
          <w:szCs w:val="24"/>
          <w:lang w:val="en-ID"/>
        </w:rPr>
        <w:t xml:space="preserve"> </w:t>
      </w:r>
      <w:r w:rsidRPr="008B5FEF">
        <w:rPr>
          <w:rFonts w:ascii="Bookman Old Style" w:hAnsi="Bookman Old Style" w:cs="Arial"/>
          <w:sz w:val="24"/>
          <w:szCs w:val="24"/>
          <w:lang w:val="id-ID"/>
        </w:rPr>
        <w:t>harus</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memfokuskan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pencapaian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target</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pelayanan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publik</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dengan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menganggarkan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program,</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kegiatan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sub</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lastRenderedPageBreak/>
        <w:t>kegiatan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yang</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menjadi</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kewenangan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daerah</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untuk</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pencapaian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sasaran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pembangunan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berdasarkan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skala</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prioritas</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kebutuhan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daerah</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yang</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berorientasi</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pada</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pemenuhan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kebutuhan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urusan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pemerintahan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wajib</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belanja</w:t>
      </w:r>
      <w:r w:rsidR="00A954D0">
        <w:rPr>
          <w:rFonts w:ascii="Bookman Old Style" w:hAnsi="Bookman Old Style" w:cs="Arial"/>
          <w:sz w:val="24"/>
          <w:szCs w:val="24"/>
          <w:lang w:val="id-ID"/>
        </w:rPr>
        <w:t xml:space="preserve"> </w:t>
      </w:r>
      <w:r w:rsidR="00711332" w:rsidRPr="00711332">
        <w:rPr>
          <w:rFonts w:ascii="Bookman Old Style" w:hAnsi="Bookman Old Style" w:cs="Arial"/>
          <w:i/>
          <w:iCs/>
          <w:sz w:val="24"/>
          <w:szCs w:val="24"/>
          <w:lang w:val="id-ID"/>
        </w:rPr>
        <w:t>Mandatory</w:t>
      </w:r>
      <w:r w:rsidR="00A954D0">
        <w:rPr>
          <w:rFonts w:ascii="Bookman Old Style" w:hAnsi="Bookman Old Style" w:cs="Arial"/>
          <w:i/>
          <w:iCs/>
          <w:sz w:val="24"/>
          <w:szCs w:val="24"/>
          <w:lang w:val="id-ID"/>
        </w:rPr>
        <w:t xml:space="preserve"> </w:t>
      </w:r>
      <w:r w:rsidR="00711332" w:rsidRPr="00711332">
        <w:rPr>
          <w:rFonts w:ascii="Bookman Old Style" w:hAnsi="Bookman Old Style" w:cs="Arial"/>
          <w:i/>
          <w:iCs/>
          <w:sz w:val="24"/>
          <w:szCs w:val="24"/>
          <w:lang w:val="id-ID"/>
        </w:rPr>
        <w:t>spending</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serta</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pemenuhan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target</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Standar</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Pelayanan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Minimal</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(SPM),</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tanpa</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harus</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menganggarkan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seluruh</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program,</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kegiatan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sub</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kegiatan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yang</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menjadi</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kewenangan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daerah</w:t>
      </w:r>
      <w:r w:rsidR="00A954D0">
        <w:rPr>
          <w:rFonts w:ascii="Bookman Old Style" w:hAnsi="Bookman Old Style"/>
          <w:sz w:val="24"/>
          <w:szCs w:val="24"/>
          <w:lang w:val="id-ID"/>
        </w:rPr>
        <w:t xml:space="preserve"> </w:t>
      </w:r>
      <w:r w:rsidRPr="008B5FEF">
        <w:rPr>
          <w:rFonts w:ascii="Bookman Old Style" w:hAnsi="Bookman Old Style" w:cs="Arial"/>
          <w:sz w:val="24"/>
          <w:szCs w:val="24"/>
          <w:lang w:val="id-ID"/>
        </w:rPr>
        <w:t>sebagaimana</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maksud</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butir</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1</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Lampiran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Peraturan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Menteri</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Dalam</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Negeri</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Nomor</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15</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2024</w:t>
      </w:r>
      <w:r w:rsidR="00B16310">
        <w:rPr>
          <w:rFonts w:ascii="Bookman Old Style" w:hAnsi="Bookman Old Style" w:cs="Arial"/>
          <w:sz w:val="24"/>
          <w:szCs w:val="24"/>
          <w:lang w:val="en-US"/>
        </w:rPr>
        <w:t>;</w:t>
      </w:r>
    </w:p>
    <w:p w14:paraId="393E999F" w14:textId="146C759D" w:rsidR="00727981" w:rsidRPr="008B5FEF" w:rsidRDefault="00727981" w:rsidP="00B16310">
      <w:pPr>
        <w:pStyle w:val="ListParagraph"/>
        <w:numPr>
          <w:ilvl w:val="0"/>
          <w:numId w:val="122"/>
        </w:numPr>
        <w:spacing w:before="60" w:after="0" w:line="276" w:lineRule="auto"/>
        <w:ind w:left="1276" w:hanging="283"/>
        <w:contextualSpacing w:val="0"/>
        <w:jc w:val="both"/>
        <w:rPr>
          <w:rFonts w:ascii="Bookman Old Style" w:hAnsi="Bookman Old Style" w:cs="Arial"/>
          <w:sz w:val="24"/>
          <w:szCs w:val="24"/>
          <w:lang w:val="id-ID"/>
        </w:rPr>
      </w:pPr>
      <w:r w:rsidRPr="008B5FEF">
        <w:rPr>
          <w:rFonts w:ascii="Bookman Old Style" w:hAnsi="Bookman Old Style" w:cs="Arial"/>
          <w:sz w:val="24"/>
          <w:szCs w:val="24"/>
          <w:lang w:val="id-ID"/>
        </w:rPr>
        <w:t>Pemerintah</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Daerah</w:t>
      </w:r>
      <w:r w:rsidR="00A954D0">
        <w:rPr>
          <w:rFonts w:ascii="Bookman Old Style" w:hAnsi="Bookman Old Style" w:cs="Arial"/>
          <w:sz w:val="24"/>
          <w:szCs w:val="24"/>
          <w:lang w:val="id-ID"/>
        </w:rPr>
        <w:t xml:space="preserve"> </w:t>
      </w:r>
      <w:r w:rsidR="00B055C5" w:rsidRPr="003255BC">
        <w:rPr>
          <w:rFonts w:ascii="Bookman Old Style" w:hAnsi="Bookman Old Style"/>
          <w:sz w:val="24"/>
          <w:szCs w:val="24"/>
          <w:lang w:val="sv-FI"/>
        </w:rPr>
        <w:t>Kota</w:t>
      </w:r>
      <w:r w:rsidR="00A954D0" w:rsidRPr="003255BC">
        <w:rPr>
          <w:rFonts w:ascii="Bookman Old Style" w:hAnsi="Bookman Old Style"/>
          <w:sz w:val="24"/>
          <w:szCs w:val="24"/>
          <w:lang w:val="sv-FI"/>
        </w:rPr>
        <w:t xml:space="preserve"> </w:t>
      </w:r>
      <w:r w:rsidR="00770F22" w:rsidRPr="003255BC">
        <w:rPr>
          <w:rFonts w:ascii="Bookman Old Style" w:hAnsi="Bookman Old Style"/>
          <w:sz w:val="24"/>
          <w:szCs w:val="24"/>
          <w:lang w:val="sv-FI"/>
        </w:rPr>
        <w:t>Tangerang</w:t>
      </w:r>
      <w:r w:rsidR="00A954D0" w:rsidRPr="003255BC">
        <w:rPr>
          <w:rFonts w:ascii="Bookman Old Style" w:hAnsi="Bookman Old Style"/>
          <w:sz w:val="24"/>
          <w:szCs w:val="24"/>
          <w:lang w:val="sv-FI"/>
        </w:rPr>
        <w:t xml:space="preserve"> </w:t>
      </w:r>
      <w:r w:rsidRPr="008B5FEF">
        <w:rPr>
          <w:rFonts w:ascii="Bookman Old Style" w:hAnsi="Bookman Old Style" w:cs="Arial"/>
          <w:sz w:val="24"/>
          <w:szCs w:val="24"/>
          <w:lang w:val="id-ID"/>
        </w:rPr>
        <w:t>menetapkan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target</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capaian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kinerja</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program,</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kegiatan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sub</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kegiatan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yang</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konkrit</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tidak</w:t>
      </w:r>
      <w:r w:rsidR="00A954D0">
        <w:rPr>
          <w:rFonts w:ascii="Bookman Old Style" w:hAnsi="Bookman Old Style" w:cs="Arial"/>
          <w:sz w:val="24"/>
          <w:szCs w:val="24"/>
          <w:lang w:val="id-ID"/>
        </w:rPr>
        <w:t xml:space="preserve"> </w:t>
      </w:r>
      <w:r w:rsidRPr="008B5FEF">
        <w:rPr>
          <w:rFonts w:ascii="Bookman Old Style" w:hAnsi="Bookman Old Style" w:cs="Arial"/>
          <w:i/>
          <w:sz w:val="24"/>
          <w:szCs w:val="24"/>
          <w:lang w:val="id-ID"/>
        </w:rPr>
        <w:t>absurd</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untuk</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belanja</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daerah,</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dengan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tetap</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memperhatikan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rasa</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keadilan,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kepatutan,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manfaat</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untuk</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masyarakat</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sesuai</w:t>
      </w:r>
      <w:r w:rsidR="00A954D0">
        <w:rPr>
          <w:rFonts w:ascii="Bookman Old Style" w:hAnsi="Bookman Old Style" w:cs="Arial"/>
          <w:sz w:val="24"/>
          <w:szCs w:val="24"/>
          <w:lang w:val="id-ID"/>
        </w:rPr>
        <w:t xml:space="preserve"> </w:t>
      </w:r>
      <w:r w:rsidRPr="003255BC">
        <w:rPr>
          <w:rFonts w:ascii="Bookman Old Style" w:hAnsi="Bookman Old Style" w:cs="Arial"/>
          <w:sz w:val="24"/>
          <w:szCs w:val="24"/>
          <w:lang w:val="sv-FI"/>
        </w:rPr>
        <w:t>dengan</w:t>
      </w:r>
      <w:r w:rsidR="00A954D0" w:rsidRPr="003255BC">
        <w:rPr>
          <w:rFonts w:ascii="Bookman Old Style" w:hAnsi="Bookman Old Style" w:cs="Arial"/>
          <w:sz w:val="24"/>
          <w:szCs w:val="24"/>
          <w:lang w:val="sv-FI"/>
        </w:rPr>
        <w:t xml:space="preserve"> </w:t>
      </w:r>
      <w:r w:rsidRPr="008B5FEF">
        <w:rPr>
          <w:rFonts w:ascii="Bookman Old Style" w:hAnsi="Bookman Old Style" w:cs="Arial"/>
          <w:sz w:val="24"/>
          <w:szCs w:val="24"/>
          <w:lang w:val="id-ID"/>
        </w:rPr>
        <w:t>ketentuan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peraturan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perundang-undangan,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efisien,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ekonomis,</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efektif,</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transparan,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bertanggung</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jawab</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sebagaimana</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maksud</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butir</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3.2.2.o</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Lampiran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Peraturan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Menteri</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Dalam</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Negeri</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Nomor</w:t>
      </w:r>
      <w:r w:rsidR="00A954D0">
        <w:rPr>
          <w:rFonts w:ascii="Bookman Old Style" w:hAnsi="Bookman Old Style" w:cs="Arial"/>
          <w:sz w:val="24"/>
          <w:szCs w:val="24"/>
          <w:lang w:val="id-ID"/>
        </w:rPr>
        <w:t xml:space="preserve"> </w:t>
      </w:r>
      <w:r w:rsidRPr="003255BC">
        <w:rPr>
          <w:rFonts w:ascii="Bookman Old Style" w:hAnsi="Bookman Old Style" w:cs="Arial"/>
          <w:sz w:val="24"/>
          <w:szCs w:val="24"/>
          <w:lang w:val="sv-FI"/>
        </w:rPr>
        <w:t>15</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2024</w:t>
      </w:r>
      <w:r w:rsidR="00B16310" w:rsidRPr="00B16310">
        <w:rPr>
          <w:rFonts w:ascii="Bookman Old Style" w:hAnsi="Bookman Old Style" w:cs="Arial"/>
          <w:sz w:val="24"/>
          <w:szCs w:val="24"/>
          <w:lang w:val="sv-FI"/>
        </w:rPr>
        <w:t>;</w:t>
      </w:r>
    </w:p>
    <w:p w14:paraId="319828C0" w14:textId="3D7FCCFF" w:rsidR="00727981" w:rsidRPr="008B5FEF" w:rsidRDefault="00727981" w:rsidP="00B16310">
      <w:pPr>
        <w:pStyle w:val="ListParagraph"/>
        <w:numPr>
          <w:ilvl w:val="0"/>
          <w:numId w:val="122"/>
        </w:numPr>
        <w:spacing w:before="60" w:after="0" w:line="276" w:lineRule="auto"/>
        <w:ind w:left="1276" w:hanging="283"/>
        <w:contextualSpacing w:val="0"/>
        <w:jc w:val="both"/>
        <w:rPr>
          <w:rFonts w:ascii="Bookman Old Style" w:hAnsi="Bookman Old Style" w:cs="Arial"/>
          <w:sz w:val="24"/>
          <w:szCs w:val="24"/>
          <w:lang w:val="id-ID"/>
        </w:rPr>
      </w:pPr>
      <w:r w:rsidRPr="008B5FEF">
        <w:rPr>
          <w:rFonts w:ascii="Bookman Old Style" w:hAnsi="Bookman Old Style" w:cs="Arial"/>
          <w:sz w:val="24"/>
          <w:szCs w:val="24"/>
          <w:lang w:val="id-ID"/>
        </w:rPr>
        <w:t>Dalam</w:t>
      </w:r>
      <w:r w:rsidR="00A954D0">
        <w:rPr>
          <w:rFonts w:ascii="Bookman Old Style" w:hAnsi="Bookman Old Style" w:cs="Arial"/>
          <w:sz w:val="24"/>
          <w:szCs w:val="24"/>
        </w:rPr>
        <w:t xml:space="preserve"> </w:t>
      </w:r>
      <w:r w:rsidRPr="008B5FEF">
        <w:rPr>
          <w:rFonts w:ascii="Bookman Old Style" w:hAnsi="Bookman Old Style" w:cs="Arial"/>
          <w:sz w:val="24"/>
          <w:szCs w:val="24"/>
        </w:rPr>
        <w:t>rangka</w:t>
      </w:r>
      <w:r w:rsidR="00A954D0">
        <w:rPr>
          <w:rFonts w:ascii="Bookman Old Style" w:hAnsi="Bookman Old Style" w:cs="Arial"/>
          <w:sz w:val="24"/>
          <w:szCs w:val="24"/>
        </w:rPr>
        <w:t xml:space="preserve"> </w:t>
      </w:r>
      <w:r w:rsidRPr="008B5FEF">
        <w:rPr>
          <w:rFonts w:ascii="Bookman Old Style" w:hAnsi="Bookman Old Style" w:cs="Arial"/>
          <w:sz w:val="24"/>
          <w:szCs w:val="24"/>
        </w:rPr>
        <w:t>meningkatkan</w:t>
      </w:r>
      <w:r w:rsidR="00A954D0">
        <w:rPr>
          <w:rFonts w:ascii="Bookman Old Style" w:hAnsi="Bookman Old Style" w:cs="Arial"/>
          <w:sz w:val="24"/>
          <w:szCs w:val="24"/>
        </w:rPr>
        <w:t xml:space="preserve"> </w:t>
      </w:r>
      <w:r w:rsidRPr="008B5FEF">
        <w:rPr>
          <w:rFonts w:ascii="Bookman Old Style" w:hAnsi="Bookman Old Style" w:cs="Arial"/>
          <w:sz w:val="24"/>
          <w:szCs w:val="24"/>
        </w:rPr>
        <w:t>kualitas</w:t>
      </w:r>
      <w:r w:rsidR="00A954D0">
        <w:rPr>
          <w:rFonts w:ascii="Bookman Old Style" w:hAnsi="Bookman Old Style" w:cs="Arial"/>
          <w:sz w:val="24"/>
          <w:szCs w:val="24"/>
        </w:rPr>
        <w:t xml:space="preserve"> </w:t>
      </w:r>
      <w:r w:rsidRPr="008B5FEF">
        <w:rPr>
          <w:rFonts w:ascii="Bookman Old Style" w:hAnsi="Bookman Old Style" w:cs="Arial"/>
          <w:sz w:val="24"/>
          <w:szCs w:val="24"/>
        </w:rPr>
        <w:t>belanja</w:t>
      </w:r>
      <w:r w:rsidR="00A954D0">
        <w:rPr>
          <w:rFonts w:ascii="Bookman Old Style" w:hAnsi="Bookman Old Style" w:cs="Arial"/>
          <w:sz w:val="24"/>
          <w:szCs w:val="24"/>
        </w:rPr>
        <w:t xml:space="preserve"> </w:t>
      </w:r>
      <w:r w:rsidRPr="008B5FEF">
        <w:rPr>
          <w:rFonts w:ascii="Bookman Old Style" w:hAnsi="Bookman Old Style" w:cs="Arial"/>
          <w:sz w:val="24"/>
          <w:szCs w:val="24"/>
        </w:rPr>
        <w:t>dalam</w:t>
      </w:r>
      <w:r w:rsidR="00A954D0">
        <w:rPr>
          <w:rFonts w:ascii="Bookman Old Style" w:hAnsi="Bookman Old Style" w:cs="Arial"/>
          <w:sz w:val="24"/>
          <w:szCs w:val="24"/>
        </w:rPr>
        <w:t xml:space="preserve"> </w:t>
      </w:r>
      <w:r w:rsidRPr="008B5FEF">
        <w:rPr>
          <w:rFonts w:ascii="Bookman Old Style" w:hAnsi="Bookman Old Style" w:cs="Arial"/>
          <w:sz w:val="24"/>
          <w:szCs w:val="24"/>
        </w:rPr>
        <w:t>APBD,</w:t>
      </w:r>
      <w:r w:rsidR="00A954D0">
        <w:rPr>
          <w:rFonts w:ascii="Bookman Old Style" w:hAnsi="Bookman Old Style" w:cs="Arial"/>
          <w:sz w:val="24"/>
          <w:szCs w:val="24"/>
        </w:rPr>
        <w:t xml:space="preserve"> </w:t>
      </w:r>
      <w:r w:rsidRPr="008B5FEF">
        <w:rPr>
          <w:rFonts w:ascii="Bookman Old Style" w:hAnsi="Bookman Old Style" w:cs="Arial"/>
          <w:sz w:val="24"/>
          <w:szCs w:val="24"/>
          <w:lang w:val="id-ID"/>
        </w:rPr>
        <w:t>Pemerintah</w:t>
      </w:r>
      <w:r w:rsidR="00A954D0">
        <w:rPr>
          <w:rFonts w:ascii="Bookman Old Style" w:hAnsi="Bookman Old Style" w:cs="Arial"/>
          <w:sz w:val="24"/>
          <w:szCs w:val="24"/>
        </w:rPr>
        <w:t xml:space="preserve"> </w:t>
      </w:r>
      <w:r w:rsidRPr="008B5FEF">
        <w:rPr>
          <w:rFonts w:ascii="Bookman Old Style" w:hAnsi="Bookman Old Style" w:cs="Arial"/>
          <w:sz w:val="24"/>
          <w:szCs w:val="24"/>
        </w:rPr>
        <w:t>Daerah</w:t>
      </w:r>
      <w:r w:rsidR="00A954D0">
        <w:rPr>
          <w:rFonts w:ascii="Bookman Old Style" w:hAnsi="Bookman Old Style" w:cs="Arial"/>
          <w:sz w:val="24"/>
          <w:szCs w:val="24"/>
        </w:rPr>
        <w:t xml:space="preserve"> </w:t>
      </w:r>
      <w:r w:rsidR="00B055C5" w:rsidRPr="003255BC">
        <w:rPr>
          <w:rFonts w:ascii="Bookman Old Style" w:hAnsi="Bookman Old Style"/>
          <w:sz w:val="24"/>
          <w:szCs w:val="24"/>
          <w:lang w:val="id-ID"/>
        </w:rPr>
        <w:t>Kota</w:t>
      </w:r>
      <w:r w:rsidR="00A954D0" w:rsidRPr="003255BC">
        <w:rPr>
          <w:rFonts w:ascii="Bookman Old Style" w:hAnsi="Bookman Old Style"/>
          <w:sz w:val="24"/>
          <w:szCs w:val="24"/>
          <w:lang w:val="id-ID"/>
        </w:rPr>
        <w:t xml:space="preserve"> </w:t>
      </w:r>
      <w:r w:rsidR="00770F22" w:rsidRPr="003255BC">
        <w:rPr>
          <w:rFonts w:ascii="Bookman Old Style" w:hAnsi="Bookman Old Style"/>
          <w:sz w:val="24"/>
          <w:szCs w:val="24"/>
          <w:lang w:val="id-ID"/>
        </w:rPr>
        <w:t>Tangerang</w:t>
      </w:r>
      <w:r w:rsidR="00A954D0" w:rsidRPr="003255BC">
        <w:rPr>
          <w:rFonts w:ascii="Bookman Old Style" w:hAnsi="Bookman Old Style"/>
          <w:sz w:val="24"/>
          <w:szCs w:val="24"/>
          <w:lang w:val="id-ID"/>
        </w:rPr>
        <w:t xml:space="preserve"> </w:t>
      </w:r>
      <w:r w:rsidRPr="008B5FEF">
        <w:rPr>
          <w:rFonts w:ascii="Bookman Old Style" w:hAnsi="Bookman Old Style" w:cs="Arial"/>
          <w:sz w:val="24"/>
          <w:szCs w:val="24"/>
        </w:rPr>
        <w:t>memprioritaskan</w:t>
      </w:r>
      <w:r w:rsidR="00A954D0">
        <w:rPr>
          <w:rFonts w:ascii="Bookman Old Style" w:hAnsi="Bookman Old Style" w:cs="Arial"/>
          <w:sz w:val="24"/>
          <w:szCs w:val="24"/>
        </w:rPr>
        <w:t xml:space="preserve"> </w:t>
      </w:r>
      <w:r w:rsidRPr="008B5FEF">
        <w:rPr>
          <w:rFonts w:ascii="Bookman Old Style" w:hAnsi="Bookman Old Style" w:cs="Arial"/>
          <w:sz w:val="24"/>
          <w:szCs w:val="24"/>
        </w:rPr>
        <w:t>alokasi</w:t>
      </w:r>
      <w:r w:rsidR="00A954D0">
        <w:rPr>
          <w:rFonts w:ascii="Bookman Old Style" w:hAnsi="Bookman Old Style" w:cs="Arial"/>
          <w:sz w:val="24"/>
          <w:szCs w:val="24"/>
        </w:rPr>
        <w:t xml:space="preserve"> </w:t>
      </w:r>
      <w:r w:rsidRPr="008B5FEF">
        <w:rPr>
          <w:rFonts w:ascii="Bookman Old Style" w:hAnsi="Bookman Old Style" w:cs="Arial"/>
          <w:sz w:val="24"/>
          <w:szCs w:val="24"/>
        </w:rPr>
        <w:t>anggaran</w:t>
      </w:r>
      <w:r w:rsidR="00A954D0">
        <w:rPr>
          <w:rFonts w:ascii="Bookman Old Style" w:hAnsi="Bookman Old Style" w:cs="Arial"/>
          <w:sz w:val="24"/>
          <w:szCs w:val="24"/>
        </w:rPr>
        <w:t xml:space="preserve"> </w:t>
      </w:r>
      <w:r w:rsidRPr="008B5FEF">
        <w:rPr>
          <w:rFonts w:ascii="Bookman Old Style" w:hAnsi="Bookman Old Style" w:cs="Arial"/>
          <w:sz w:val="24"/>
          <w:szCs w:val="24"/>
        </w:rPr>
        <w:t>belanja</w:t>
      </w:r>
      <w:r w:rsidR="00A954D0">
        <w:rPr>
          <w:rFonts w:ascii="Bookman Old Style" w:hAnsi="Bookman Old Style" w:cs="Arial"/>
          <w:sz w:val="24"/>
          <w:szCs w:val="24"/>
        </w:rPr>
        <w:t xml:space="preserve"> </w:t>
      </w:r>
      <w:r w:rsidRPr="008B5FEF">
        <w:rPr>
          <w:rFonts w:ascii="Bookman Old Style" w:hAnsi="Bookman Old Style" w:cs="Arial"/>
          <w:sz w:val="24"/>
          <w:szCs w:val="24"/>
        </w:rPr>
        <w:t>pokok</w:t>
      </w:r>
      <w:r w:rsidR="00A954D0">
        <w:rPr>
          <w:rFonts w:ascii="Bookman Old Style" w:hAnsi="Bookman Old Style" w:cs="Arial"/>
          <w:sz w:val="24"/>
          <w:szCs w:val="24"/>
        </w:rPr>
        <w:t xml:space="preserve"> </w:t>
      </w:r>
      <w:r w:rsidRPr="008B5FEF">
        <w:rPr>
          <w:rFonts w:ascii="Bookman Old Style" w:hAnsi="Bookman Old Style" w:cs="Arial"/>
          <w:sz w:val="24"/>
          <w:szCs w:val="24"/>
        </w:rPr>
        <w:t>dibandingkan</w:t>
      </w:r>
      <w:r w:rsidR="00A954D0">
        <w:rPr>
          <w:rFonts w:ascii="Bookman Old Style" w:hAnsi="Bookman Old Style" w:cs="Arial"/>
          <w:sz w:val="24"/>
          <w:szCs w:val="24"/>
        </w:rPr>
        <w:t xml:space="preserve"> </w:t>
      </w:r>
      <w:r w:rsidRPr="008B5FEF">
        <w:rPr>
          <w:rFonts w:ascii="Bookman Old Style" w:hAnsi="Bookman Old Style" w:cs="Arial"/>
          <w:sz w:val="24"/>
          <w:szCs w:val="24"/>
        </w:rPr>
        <w:t>dengan</w:t>
      </w:r>
      <w:r w:rsidR="00A954D0">
        <w:rPr>
          <w:rFonts w:ascii="Bookman Old Style" w:hAnsi="Bookman Old Style" w:cs="Arial"/>
          <w:sz w:val="24"/>
          <w:szCs w:val="24"/>
        </w:rPr>
        <w:t xml:space="preserve"> </w:t>
      </w:r>
      <w:r w:rsidRPr="008B5FEF">
        <w:rPr>
          <w:rFonts w:ascii="Bookman Old Style" w:hAnsi="Bookman Old Style" w:cs="Arial"/>
          <w:sz w:val="24"/>
          <w:szCs w:val="24"/>
        </w:rPr>
        <w:t>alokasi</w:t>
      </w:r>
      <w:r w:rsidR="00A954D0">
        <w:rPr>
          <w:rFonts w:ascii="Bookman Old Style" w:hAnsi="Bookman Old Style" w:cs="Arial"/>
          <w:sz w:val="24"/>
          <w:szCs w:val="24"/>
        </w:rPr>
        <w:t xml:space="preserve"> </w:t>
      </w:r>
      <w:r w:rsidRPr="008B5FEF">
        <w:rPr>
          <w:rFonts w:ascii="Bookman Old Style" w:hAnsi="Bookman Old Style" w:cs="Arial"/>
          <w:sz w:val="24"/>
          <w:szCs w:val="24"/>
        </w:rPr>
        <w:t>anggaran</w:t>
      </w:r>
      <w:r w:rsidR="00A954D0">
        <w:rPr>
          <w:rFonts w:ascii="Bookman Old Style" w:hAnsi="Bookman Old Style" w:cs="Arial"/>
          <w:sz w:val="24"/>
          <w:szCs w:val="24"/>
        </w:rPr>
        <w:t xml:space="preserve"> </w:t>
      </w:r>
      <w:r w:rsidRPr="008B5FEF">
        <w:rPr>
          <w:rFonts w:ascii="Bookman Old Style" w:hAnsi="Bookman Old Style" w:cs="Arial"/>
          <w:sz w:val="24"/>
          <w:szCs w:val="24"/>
        </w:rPr>
        <w:t>belanja</w:t>
      </w:r>
      <w:r w:rsidR="00A954D0">
        <w:rPr>
          <w:rFonts w:ascii="Bookman Old Style" w:hAnsi="Bookman Old Style" w:cs="Arial"/>
          <w:sz w:val="24"/>
          <w:szCs w:val="24"/>
        </w:rPr>
        <w:t xml:space="preserve"> </w:t>
      </w:r>
      <w:r w:rsidRPr="008B5FEF">
        <w:rPr>
          <w:rFonts w:ascii="Bookman Old Style" w:hAnsi="Bookman Old Style" w:cs="Arial"/>
          <w:sz w:val="24"/>
          <w:szCs w:val="24"/>
        </w:rPr>
        <w:t>penunjang</w:t>
      </w:r>
      <w:r w:rsidR="00A954D0">
        <w:rPr>
          <w:rFonts w:ascii="Bookman Old Style" w:hAnsi="Bookman Old Style" w:cs="Arial"/>
          <w:sz w:val="24"/>
          <w:szCs w:val="24"/>
        </w:rPr>
        <w:t xml:space="preserve"> </w:t>
      </w:r>
      <w:r w:rsidRPr="008B5FEF">
        <w:rPr>
          <w:rFonts w:ascii="Bookman Old Style" w:hAnsi="Bookman Old Style" w:cs="Arial"/>
          <w:sz w:val="24"/>
          <w:szCs w:val="24"/>
        </w:rPr>
        <w:t>guna</w:t>
      </w:r>
      <w:r w:rsidR="00A954D0">
        <w:rPr>
          <w:rFonts w:ascii="Bookman Old Style" w:hAnsi="Bookman Old Style" w:cs="Arial"/>
          <w:sz w:val="24"/>
          <w:szCs w:val="24"/>
        </w:rPr>
        <w:t xml:space="preserve"> </w:t>
      </w:r>
      <w:r w:rsidRPr="008B5FEF">
        <w:rPr>
          <w:rFonts w:ascii="Bookman Old Style" w:hAnsi="Bookman Old Style" w:cs="Arial"/>
          <w:sz w:val="24"/>
          <w:szCs w:val="24"/>
        </w:rPr>
        <w:t>mendukung</w:t>
      </w:r>
      <w:r w:rsidR="00A954D0">
        <w:rPr>
          <w:rFonts w:ascii="Bookman Old Style" w:hAnsi="Bookman Old Style" w:cs="Arial"/>
          <w:sz w:val="24"/>
          <w:szCs w:val="24"/>
        </w:rPr>
        <w:t xml:space="preserve"> </w:t>
      </w:r>
      <w:r w:rsidRPr="008B5FEF">
        <w:rPr>
          <w:rFonts w:ascii="Bookman Old Style" w:hAnsi="Bookman Old Style" w:cs="Arial"/>
          <w:sz w:val="24"/>
          <w:szCs w:val="24"/>
        </w:rPr>
        <w:t>capaian</w:t>
      </w:r>
      <w:r w:rsidR="00A954D0">
        <w:rPr>
          <w:rFonts w:ascii="Bookman Old Style" w:hAnsi="Bookman Old Style" w:cs="Arial"/>
          <w:sz w:val="24"/>
          <w:szCs w:val="24"/>
        </w:rPr>
        <w:t xml:space="preserve"> </w:t>
      </w:r>
      <w:r w:rsidRPr="008B5FEF">
        <w:rPr>
          <w:rFonts w:ascii="Bookman Old Style" w:hAnsi="Bookman Old Style" w:cs="Arial"/>
          <w:sz w:val="24"/>
          <w:szCs w:val="24"/>
        </w:rPr>
        <w:t>target</w:t>
      </w:r>
      <w:r w:rsidR="00A954D0">
        <w:rPr>
          <w:rFonts w:ascii="Bookman Old Style" w:hAnsi="Bookman Old Style" w:cs="Arial"/>
          <w:sz w:val="24"/>
          <w:szCs w:val="24"/>
        </w:rPr>
        <w:t xml:space="preserve"> </w:t>
      </w:r>
      <w:r w:rsidRPr="008B5FEF">
        <w:rPr>
          <w:rFonts w:ascii="Bookman Old Style" w:hAnsi="Bookman Old Style" w:cs="Arial"/>
          <w:sz w:val="24"/>
          <w:szCs w:val="24"/>
        </w:rPr>
        <w:t>kinerja</w:t>
      </w:r>
      <w:r w:rsidR="00A954D0">
        <w:rPr>
          <w:rFonts w:ascii="Bookman Old Style" w:hAnsi="Bookman Old Style" w:cs="Arial"/>
          <w:sz w:val="24"/>
          <w:szCs w:val="24"/>
        </w:rPr>
        <w:t xml:space="preserve"> </w:t>
      </w:r>
      <w:r w:rsidRPr="008B5FEF">
        <w:rPr>
          <w:rFonts w:ascii="Bookman Old Style" w:hAnsi="Bookman Old Style" w:cs="Arial"/>
          <w:sz w:val="24"/>
          <w:szCs w:val="24"/>
        </w:rPr>
        <w:t>program,</w:t>
      </w:r>
      <w:r w:rsidR="00A954D0">
        <w:rPr>
          <w:rFonts w:ascii="Bookman Old Style" w:hAnsi="Bookman Old Style" w:cs="Arial"/>
          <w:sz w:val="24"/>
          <w:szCs w:val="24"/>
        </w:rPr>
        <w:t xml:space="preserve"> </w:t>
      </w:r>
      <w:r w:rsidRPr="008B5FEF">
        <w:rPr>
          <w:rFonts w:ascii="Bookman Old Style" w:hAnsi="Bookman Old Style" w:cs="Arial"/>
          <w:sz w:val="24"/>
          <w:szCs w:val="24"/>
        </w:rPr>
        <w:t>kegiatan</w:t>
      </w:r>
      <w:r w:rsidR="00A954D0">
        <w:rPr>
          <w:rFonts w:ascii="Bookman Old Style" w:hAnsi="Bookman Old Style" w:cs="Arial"/>
          <w:sz w:val="24"/>
          <w:szCs w:val="24"/>
        </w:rPr>
        <w:t xml:space="preserve"> </w:t>
      </w:r>
      <w:r w:rsidRPr="008B5FEF">
        <w:rPr>
          <w:rFonts w:ascii="Bookman Old Style" w:hAnsi="Bookman Old Style" w:cs="Arial"/>
          <w:sz w:val="24"/>
          <w:szCs w:val="24"/>
        </w:rPr>
        <w:t>dan</w:t>
      </w:r>
      <w:r w:rsidR="00A954D0">
        <w:rPr>
          <w:rFonts w:ascii="Bookman Old Style" w:hAnsi="Bookman Old Style" w:cs="Arial"/>
          <w:sz w:val="24"/>
          <w:szCs w:val="24"/>
        </w:rPr>
        <w:t xml:space="preserve"> </w:t>
      </w:r>
      <w:r w:rsidRPr="008B5FEF">
        <w:rPr>
          <w:rFonts w:ascii="Bookman Old Style" w:hAnsi="Bookman Old Style" w:cs="Arial"/>
          <w:sz w:val="24"/>
          <w:szCs w:val="24"/>
        </w:rPr>
        <w:t>sub</w:t>
      </w:r>
      <w:r w:rsidR="00A954D0">
        <w:rPr>
          <w:rFonts w:ascii="Bookman Old Style" w:hAnsi="Bookman Old Style" w:cs="Arial"/>
          <w:sz w:val="24"/>
          <w:szCs w:val="24"/>
        </w:rPr>
        <w:t xml:space="preserve"> </w:t>
      </w:r>
      <w:r w:rsidRPr="008B5FEF">
        <w:rPr>
          <w:rFonts w:ascii="Bookman Old Style" w:hAnsi="Bookman Old Style" w:cs="Arial"/>
          <w:sz w:val="24"/>
          <w:szCs w:val="24"/>
        </w:rPr>
        <w:t>kegiatan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sebagaimana</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maksud</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Pasal</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4</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huruf</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c</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Lampiran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Peraturan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Menteri</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Dalam</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Negeri</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Nomor</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15</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2024</w:t>
      </w:r>
      <w:r w:rsidR="00B16310" w:rsidRPr="00B16310">
        <w:rPr>
          <w:rFonts w:ascii="Bookman Old Style" w:hAnsi="Bookman Old Style" w:cs="Arial"/>
          <w:sz w:val="24"/>
          <w:szCs w:val="24"/>
          <w:lang w:val="id-ID"/>
        </w:rPr>
        <w:t>;</w:t>
      </w:r>
    </w:p>
    <w:p w14:paraId="35602C3C" w14:textId="67723C54" w:rsidR="00727981" w:rsidRPr="008B5FEF" w:rsidRDefault="00727981" w:rsidP="00B16310">
      <w:pPr>
        <w:pStyle w:val="ListParagraph"/>
        <w:numPr>
          <w:ilvl w:val="0"/>
          <w:numId w:val="122"/>
        </w:numPr>
        <w:spacing w:before="60" w:after="0" w:line="276" w:lineRule="auto"/>
        <w:ind w:left="1276" w:hanging="283"/>
        <w:contextualSpacing w:val="0"/>
        <w:jc w:val="both"/>
        <w:rPr>
          <w:rFonts w:ascii="Bookman Old Style" w:hAnsi="Bookman Old Style" w:cs="Arial"/>
          <w:sz w:val="24"/>
          <w:szCs w:val="24"/>
          <w:lang w:val="id-ID"/>
        </w:rPr>
      </w:pPr>
      <w:r w:rsidRPr="008B5FEF">
        <w:rPr>
          <w:rFonts w:ascii="Bookman Old Style" w:hAnsi="Bookman Old Style" w:cs="Arial"/>
          <w:sz w:val="24"/>
          <w:szCs w:val="24"/>
          <w:lang w:val="id-ID"/>
        </w:rPr>
        <w:t>Belanja</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Daerah</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diuraikan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menurut</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organisasi</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disesuaikan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dengan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susunan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organisasi</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yang</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ditetapkan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berdasarkan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ketentuan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peraturan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perundang-undangan,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sebagaimana</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maksud</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Pasal</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53</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Peraturan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Pemerintah</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Nomor</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12</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2019</w:t>
      </w:r>
      <w:r w:rsidR="00B16310" w:rsidRPr="00B16310">
        <w:rPr>
          <w:rFonts w:ascii="Bookman Old Style" w:hAnsi="Bookman Old Style" w:cs="Arial"/>
          <w:sz w:val="24"/>
          <w:szCs w:val="24"/>
          <w:lang w:val="sv-FI"/>
        </w:rPr>
        <w:t>;</w:t>
      </w:r>
    </w:p>
    <w:p w14:paraId="3474A5C8" w14:textId="43B6FCEB" w:rsidR="00346346" w:rsidRPr="008B5FEF" w:rsidRDefault="00727981" w:rsidP="00B16310">
      <w:pPr>
        <w:pStyle w:val="ListParagraph"/>
        <w:numPr>
          <w:ilvl w:val="0"/>
          <w:numId w:val="122"/>
        </w:numPr>
        <w:spacing w:before="60" w:after="0" w:line="276" w:lineRule="auto"/>
        <w:ind w:left="1276" w:hanging="283"/>
        <w:contextualSpacing w:val="0"/>
        <w:jc w:val="both"/>
        <w:rPr>
          <w:rFonts w:ascii="Bookman Old Style" w:hAnsi="Bookman Old Style" w:cs="Arial"/>
          <w:sz w:val="24"/>
          <w:szCs w:val="24"/>
          <w:lang w:val="id-ID"/>
        </w:rPr>
        <w:sectPr w:rsidR="00346346" w:rsidRPr="008B5FEF" w:rsidSect="003C1F03">
          <w:pgSz w:w="12242" w:h="18722" w:code="142"/>
          <w:pgMar w:top="1701" w:right="1701" w:bottom="1701" w:left="1701" w:header="720" w:footer="720" w:gutter="0"/>
          <w:pgNumType w:fmt="numberInDash" w:chapStyle="1"/>
          <w:cols w:space="720"/>
          <w:docGrid w:linePitch="360"/>
        </w:sectPr>
      </w:pPr>
      <w:r w:rsidRPr="008B5FEF">
        <w:rPr>
          <w:rFonts w:ascii="Bookman Old Style" w:hAnsi="Bookman Old Style" w:cs="Arial"/>
          <w:sz w:val="24"/>
          <w:szCs w:val="24"/>
          <w:lang w:val="id-ID"/>
        </w:rPr>
        <w:t>Belanja</w:t>
      </w:r>
      <w:r w:rsidR="00A954D0">
        <w:rPr>
          <w:rFonts w:ascii="Bookman Old Style" w:hAnsi="Bookman Old Style" w:cs="Arial"/>
          <w:sz w:val="24"/>
          <w:szCs w:val="24"/>
        </w:rPr>
        <w:t xml:space="preserve"> </w:t>
      </w:r>
      <w:r w:rsidRPr="008B5FEF">
        <w:rPr>
          <w:rFonts w:ascii="Bookman Old Style" w:hAnsi="Bookman Old Style" w:cs="Arial"/>
          <w:sz w:val="24"/>
          <w:szCs w:val="24"/>
          <w:lang w:val="id-ID"/>
        </w:rPr>
        <w:t>Daerah</w:t>
      </w:r>
      <w:r w:rsidR="00A954D0">
        <w:rPr>
          <w:rFonts w:ascii="Bookman Old Style" w:hAnsi="Bookman Old Style" w:cs="Arial"/>
          <w:sz w:val="24"/>
          <w:szCs w:val="24"/>
        </w:rPr>
        <w:t xml:space="preserve"> </w:t>
      </w:r>
      <w:r w:rsidRPr="008B5FEF">
        <w:rPr>
          <w:rFonts w:ascii="Bookman Old Style" w:hAnsi="Bookman Old Style" w:cs="Arial"/>
          <w:sz w:val="24"/>
          <w:szCs w:val="24"/>
        </w:rPr>
        <w:t>berpedoman</w:t>
      </w:r>
      <w:r w:rsidR="00A954D0">
        <w:rPr>
          <w:rFonts w:ascii="Bookman Old Style" w:hAnsi="Bookman Old Style" w:cs="Arial"/>
          <w:sz w:val="24"/>
          <w:szCs w:val="24"/>
        </w:rPr>
        <w:t xml:space="preserve"> </w:t>
      </w:r>
      <w:r w:rsidRPr="008B5FEF">
        <w:rPr>
          <w:rFonts w:ascii="Bookman Old Style" w:hAnsi="Bookman Old Style" w:cs="Arial"/>
          <w:sz w:val="24"/>
          <w:szCs w:val="24"/>
        </w:rPr>
        <w:t>pada</w:t>
      </w:r>
      <w:r w:rsidR="00A954D0">
        <w:rPr>
          <w:rFonts w:ascii="Bookman Old Style" w:hAnsi="Bookman Old Style" w:cs="Arial"/>
          <w:sz w:val="24"/>
          <w:szCs w:val="24"/>
        </w:rPr>
        <w:t xml:space="preserve"> </w:t>
      </w:r>
      <w:r w:rsidRPr="008B5FEF">
        <w:rPr>
          <w:rFonts w:ascii="Bookman Old Style" w:hAnsi="Bookman Old Style" w:cs="Arial"/>
          <w:sz w:val="24"/>
          <w:szCs w:val="24"/>
        </w:rPr>
        <w:t>standar</w:t>
      </w:r>
      <w:r w:rsidR="00A954D0">
        <w:rPr>
          <w:rFonts w:ascii="Bookman Old Style" w:hAnsi="Bookman Old Style" w:cs="Arial"/>
          <w:sz w:val="24"/>
          <w:szCs w:val="24"/>
        </w:rPr>
        <w:t xml:space="preserve"> </w:t>
      </w:r>
      <w:r w:rsidRPr="008B5FEF">
        <w:rPr>
          <w:rFonts w:ascii="Bookman Old Style" w:hAnsi="Bookman Old Style" w:cs="Arial"/>
          <w:sz w:val="24"/>
          <w:szCs w:val="24"/>
        </w:rPr>
        <w:t>harga</w:t>
      </w:r>
      <w:r w:rsidR="00A954D0">
        <w:rPr>
          <w:rFonts w:ascii="Bookman Old Style" w:hAnsi="Bookman Old Style" w:cs="Arial"/>
          <w:sz w:val="24"/>
          <w:szCs w:val="24"/>
        </w:rPr>
        <w:t xml:space="preserve"> </w:t>
      </w:r>
      <w:r w:rsidRPr="008B5FEF">
        <w:rPr>
          <w:rFonts w:ascii="Bookman Old Style" w:hAnsi="Bookman Old Style" w:cs="Arial"/>
          <w:sz w:val="24"/>
          <w:szCs w:val="24"/>
        </w:rPr>
        <w:t>satuan,</w:t>
      </w:r>
      <w:r w:rsidR="00A954D0">
        <w:rPr>
          <w:rFonts w:ascii="Bookman Old Style" w:hAnsi="Bookman Old Style" w:cs="Arial"/>
          <w:sz w:val="24"/>
          <w:szCs w:val="24"/>
        </w:rPr>
        <w:t xml:space="preserve"> </w:t>
      </w:r>
      <w:r w:rsidRPr="008B5FEF">
        <w:rPr>
          <w:rFonts w:ascii="Bookman Old Style" w:hAnsi="Bookman Old Style" w:cs="Arial"/>
          <w:sz w:val="24"/>
          <w:szCs w:val="24"/>
        </w:rPr>
        <w:t>analisis</w:t>
      </w:r>
      <w:r w:rsidR="00A954D0">
        <w:rPr>
          <w:rFonts w:ascii="Bookman Old Style" w:hAnsi="Bookman Old Style" w:cs="Arial"/>
          <w:sz w:val="24"/>
          <w:szCs w:val="24"/>
        </w:rPr>
        <w:t xml:space="preserve"> </w:t>
      </w:r>
      <w:r w:rsidRPr="008B5FEF">
        <w:rPr>
          <w:rFonts w:ascii="Bookman Old Style" w:hAnsi="Bookman Old Style" w:cs="Arial"/>
          <w:sz w:val="24"/>
          <w:szCs w:val="24"/>
        </w:rPr>
        <w:t>standar</w:t>
      </w:r>
      <w:r w:rsidR="00A954D0">
        <w:rPr>
          <w:rFonts w:ascii="Bookman Old Style" w:hAnsi="Bookman Old Style" w:cs="Arial"/>
          <w:sz w:val="24"/>
          <w:szCs w:val="24"/>
        </w:rPr>
        <w:t xml:space="preserve"> </w:t>
      </w:r>
      <w:r w:rsidRPr="008B5FEF">
        <w:rPr>
          <w:rFonts w:ascii="Bookman Old Style" w:hAnsi="Bookman Old Style" w:cs="Arial"/>
          <w:sz w:val="24"/>
          <w:szCs w:val="24"/>
        </w:rPr>
        <w:t>belanja,</w:t>
      </w:r>
      <w:r w:rsidR="00A954D0">
        <w:rPr>
          <w:rFonts w:ascii="Bookman Old Style" w:hAnsi="Bookman Old Style" w:cs="Arial"/>
          <w:sz w:val="24"/>
          <w:szCs w:val="24"/>
        </w:rPr>
        <w:t xml:space="preserve"> </w:t>
      </w:r>
      <w:r w:rsidRPr="008B5FEF">
        <w:rPr>
          <w:rFonts w:ascii="Bookman Old Style" w:hAnsi="Bookman Old Style" w:cs="Arial"/>
          <w:sz w:val="24"/>
          <w:szCs w:val="24"/>
        </w:rPr>
        <w:t>dan/atau</w:t>
      </w:r>
      <w:r w:rsidR="00A954D0">
        <w:rPr>
          <w:rFonts w:ascii="Bookman Old Style" w:hAnsi="Bookman Old Style" w:cs="Arial"/>
          <w:sz w:val="24"/>
          <w:szCs w:val="24"/>
        </w:rPr>
        <w:t xml:space="preserve"> </w:t>
      </w:r>
      <w:r w:rsidRPr="008B5FEF">
        <w:rPr>
          <w:rFonts w:ascii="Bookman Old Style" w:hAnsi="Bookman Old Style" w:cs="Arial"/>
          <w:sz w:val="24"/>
          <w:szCs w:val="24"/>
        </w:rPr>
        <w:t>standar</w:t>
      </w:r>
      <w:r w:rsidR="00A954D0">
        <w:rPr>
          <w:rFonts w:ascii="Bookman Old Style" w:hAnsi="Bookman Old Style" w:cs="Arial"/>
          <w:sz w:val="24"/>
          <w:szCs w:val="24"/>
        </w:rPr>
        <w:t xml:space="preserve"> </w:t>
      </w:r>
      <w:r w:rsidRPr="008B5FEF">
        <w:rPr>
          <w:rFonts w:ascii="Bookman Old Style" w:hAnsi="Bookman Old Style" w:cs="Arial"/>
          <w:sz w:val="24"/>
          <w:szCs w:val="24"/>
        </w:rPr>
        <w:t>teknis</w:t>
      </w:r>
      <w:r w:rsidR="00A954D0">
        <w:rPr>
          <w:rFonts w:ascii="Bookman Old Style" w:hAnsi="Bookman Old Style" w:cs="Arial"/>
          <w:sz w:val="24"/>
          <w:szCs w:val="24"/>
        </w:rPr>
        <w:t xml:space="preserve"> </w:t>
      </w:r>
      <w:r w:rsidRPr="008B5FEF">
        <w:rPr>
          <w:rFonts w:ascii="Bookman Old Style" w:hAnsi="Bookman Old Style" w:cs="Arial"/>
          <w:sz w:val="24"/>
          <w:szCs w:val="24"/>
          <w:lang w:val="id-ID"/>
        </w:rPr>
        <w:t>sebagaimana</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maksud</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butir</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3.2.4.b</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La</w:t>
      </w:r>
      <w:r w:rsidR="00A718B9" w:rsidRPr="008B5FEF">
        <w:rPr>
          <w:rFonts w:ascii="Bookman Old Style" w:hAnsi="Bookman Old Style" w:cs="Arial"/>
          <w:sz w:val="24"/>
          <w:szCs w:val="24"/>
          <w:lang w:val="id-ID"/>
        </w:rPr>
        <w:t>m</w:t>
      </w:r>
      <w:r w:rsidRPr="008B5FEF">
        <w:rPr>
          <w:rFonts w:ascii="Bookman Old Style" w:hAnsi="Bookman Old Style" w:cs="Arial"/>
          <w:sz w:val="24"/>
          <w:szCs w:val="24"/>
          <w:lang w:val="id-ID"/>
        </w:rPr>
        <w:t>piran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Peraturan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Menteri</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Dalam</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Negeri</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Nomor</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15</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Pr="008B5FEF">
        <w:rPr>
          <w:rFonts w:ascii="Bookman Old Style" w:hAnsi="Bookman Old Style" w:cs="Arial"/>
          <w:sz w:val="24"/>
          <w:szCs w:val="24"/>
          <w:lang w:val="id-ID"/>
        </w:rPr>
        <w:t>2024.</w:t>
      </w:r>
    </w:p>
    <w:p w14:paraId="5F2216C0" w14:textId="746179F1" w:rsidR="00F72FA2" w:rsidRPr="008B5FEF" w:rsidRDefault="00F72FA2" w:rsidP="00B16310">
      <w:pPr>
        <w:pStyle w:val="ListParagraph"/>
        <w:numPr>
          <w:ilvl w:val="0"/>
          <w:numId w:val="121"/>
        </w:numPr>
        <w:spacing w:before="60" w:after="120" w:line="276" w:lineRule="auto"/>
        <w:ind w:left="924" w:hanging="357"/>
        <w:contextualSpacing w:val="0"/>
        <w:jc w:val="both"/>
        <w:rPr>
          <w:rFonts w:ascii="Bookman Old Style" w:hAnsi="Bookman Old Style"/>
          <w:color w:val="000000" w:themeColor="text1"/>
          <w:sz w:val="24"/>
          <w:szCs w:val="24"/>
        </w:rPr>
      </w:pPr>
      <w:bookmarkStart w:id="21" w:name="_Hlk182912511"/>
      <w:r w:rsidRPr="008B5FEF">
        <w:rPr>
          <w:rFonts w:ascii="Bookman Old Style" w:hAnsi="Bookman Old Style" w:cs="Arial"/>
          <w:sz w:val="24"/>
          <w:szCs w:val="24"/>
        </w:rPr>
        <w:lastRenderedPageBreak/>
        <w:t>Ringkasan</w:t>
      </w:r>
      <w:r w:rsidR="00A954D0">
        <w:rPr>
          <w:rFonts w:ascii="Bookman Old Style" w:hAnsi="Bookman Old Style" w:cs="Arial"/>
          <w:sz w:val="24"/>
          <w:szCs w:val="24"/>
        </w:rPr>
        <w:t xml:space="preserve"> </w:t>
      </w:r>
      <w:r w:rsidRPr="008B5FEF">
        <w:rPr>
          <w:rFonts w:ascii="Bookman Old Style" w:hAnsi="Bookman Old Style" w:cs="Arial"/>
          <w:sz w:val="24"/>
          <w:szCs w:val="24"/>
        </w:rPr>
        <w:t>APBD</w:t>
      </w:r>
      <w:r w:rsidR="00A954D0">
        <w:rPr>
          <w:rFonts w:ascii="Bookman Old Style" w:hAnsi="Bookman Old Style" w:cs="Arial"/>
          <w:sz w:val="24"/>
          <w:szCs w:val="24"/>
        </w:rPr>
        <w:t xml:space="preserve"> </w:t>
      </w:r>
      <w:r w:rsidRPr="008B5FEF">
        <w:rPr>
          <w:rFonts w:ascii="Bookman Old Style" w:hAnsi="Bookman Old Style" w:cs="Arial"/>
          <w:sz w:val="24"/>
          <w:szCs w:val="24"/>
        </w:rPr>
        <w:t>Menurut</w:t>
      </w:r>
      <w:r w:rsidR="00A954D0">
        <w:rPr>
          <w:rFonts w:ascii="Bookman Old Style" w:hAnsi="Bookman Old Style" w:cs="Arial"/>
          <w:sz w:val="24"/>
          <w:szCs w:val="24"/>
        </w:rPr>
        <w:t xml:space="preserve"> </w:t>
      </w:r>
      <w:r w:rsidRPr="008B5FEF">
        <w:rPr>
          <w:rFonts w:ascii="Bookman Old Style" w:hAnsi="Bookman Old Style" w:cs="Arial"/>
          <w:sz w:val="24"/>
          <w:szCs w:val="24"/>
        </w:rPr>
        <w:t>Urusan</w:t>
      </w:r>
      <w:r w:rsidR="00A954D0">
        <w:rPr>
          <w:rFonts w:ascii="Bookman Old Style" w:hAnsi="Bookman Old Style" w:cs="Arial"/>
          <w:sz w:val="24"/>
          <w:szCs w:val="24"/>
        </w:rPr>
        <w:t xml:space="preserve"> </w:t>
      </w:r>
      <w:r w:rsidRPr="008B5FEF">
        <w:rPr>
          <w:rFonts w:ascii="Bookman Old Style" w:hAnsi="Bookman Old Style" w:cs="Arial"/>
          <w:sz w:val="24"/>
          <w:szCs w:val="24"/>
        </w:rPr>
        <w:t>Pemerintahan</w:t>
      </w:r>
      <w:r w:rsidR="00A954D0">
        <w:rPr>
          <w:rFonts w:ascii="Bookman Old Style" w:hAnsi="Bookman Old Style" w:cs="Arial"/>
          <w:sz w:val="24"/>
          <w:szCs w:val="24"/>
        </w:rPr>
        <w:t xml:space="preserve"> </w:t>
      </w:r>
      <w:r w:rsidRPr="008B5FEF">
        <w:rPr>
          <w:rFonts w:ascii="Bookman Old Style" w:hAnsi="Bookman Old Style" w:cs="Arial"/>
          <w:sz w:val="24"/>
          <w:szCs w:val="24"/>
        </w:rPr>
        <w:t>Daerah</w:t>
      </w:r>
      <w:r w:rsidR="00A954D0">
        <w:rPr>
          <w:rFonts w:ascii="Bookman Old Style" w:hAnsi="Bookman Old Style" w:cs="Arial"/>
          <w:sz w:val="24"/>
          <w:szCs w:val="24"/>
        </w:rPr>
        <w:t xml:space="preserve"> </w:t>
      </w:r>
      <w:r w:rsidRPr="008B5FEF">
        <w:rPr>
          <w:rFonts w:ascii="Bookman Old Style" w:hAnsi="Bookman Old Style" w:cs="Arial"/>
          <w:sz w:val="24"/>
          <w:szCs w:val="24"/>
        </w:rPr>
        <w:t>dan</w:t>
      </w:r>
      <w:r w:rsidR="00A954D0">
        <w:rPr>
          <w:rFonts w:ascii="Bookman Old Style" w:hAnsi="Bookman Old Style" w:cs="Arial"/>
          <w:sz w:val="24"/>
          <w:szCs w:val="24"/>
        </w:rPr>
        <w:t xml:space="preserve"> </w:t>
      </w:r>
      <w:r w:rsidRPr="008B5FEF">
        <w:rPr>
          <w:rFonts w:ascii="Bookman Old Style" w:hAnsi="Bookman Old Style" w:cs="Arial"/>
          <w:sz w:val="24"/>
          <w:szCs w:val="24"/>
        </w:rPr>
        <w:t>Organisasi</w:t>
      </w:r>
      <w:bookmarkEnd w:id="21"/>
    </w:p>
    <w:p w14:paraId="693208DF" w14:textId="7C9FB702" w:rsidR="00F72FA2" w:rsidRPr="008B5FEF" w:rsidRDefault="00F72FA2" w:rsidP="0085724C">
      <w:pPr>
        <w:pStyle w:val="ListParagraph"/>
        <w:spacing w:after="0" w:line="276" w:lineRule="auto"/>
        <w:ind w:left="180"/>
        <w:contextualSpacing w:val="0"/>
        <w:jc w:val="center"/>
        <w:rPr>
          <w:rFonts w:ascii="Bookman Old Style" w:hAnsi="Bookman Old Style" w:cs="Arial"/>
          <w:sz w:val="24"/>
          <w:szCs w:val="24"/>
          <w:lang w:val="id-ID"/>
        </w:rPr>
      </w:pPr>
      <w:r w:rsidRPr="008B5FEF">
        <w:rPr>
          <w:rFonts w:ascii="Bookman Old Style" w:hAnsi="Bookman Old Style" w:cs="Arial"/>
          <w:sz w:val="24"/>
          <w:szCs w:val="24"/>
        </w:rPr>
        <w:t>Tabel</w:t>
      </w:r>
      <w:r w:rsidR="00A954D0">
        <w:rPr>
          <w:rFonts w:ascii="Bookman Old Style" w:hAnsi="Bookman Old Style" w:cs="Arial"/>
          <w:sz w:val="24"/>
          <w:szCs w:val="24"/>
          <w:lang w:val="id-ID"/>
        </w:rPr>
        <w:t xml:space="preserve"> </w:t>
      </w:r>
      <w:r w:rsidR="003F64EB" w:rsidRPr="008B5FEF">
        <w:rPr>
          <w:rFonts w:ascii="Bookman Old Style" w:hAnsi="Bookman Old Style" w:cs="Arial"/>
          <w:sz w:val="24"/>
          <w:szCs w:val="24"/>
          <w:lang w:val="id-ID"/>
        </w:rPr>
        <w:t>16</w:t>
      </w:r>
    </w:p>
    <w:p w14:paraId="3F8B52FD" w14:textId="59B57337" w:rsidR="00F72FA2" w:rsidRPr="0085724C" w:rsidRDefault="00F72FA2" w:rsidP="0085724C">
      <w:pPr>
        <w:pStyle w:val="ListParagraph"/>
        <w:spacing w:line="276" w:lineRule="auto"/>
        <w:ind w:left="180"/>
        <w:contextualSpacing w:val="0"/>
        <w:jc w:val="center"/>
        <w:rPr>
          <w:rFonts w:ascii="Bookman Old Style" w:hAnsi="Bookman Old Style" w:cs="Arial"/>
          <w:sz w:val="24"/>
          <w:szCs w:val="24"/>
          <w:lang w:val="en-US"/>
        </w:rPr>
      </w:pPr>
      <w:r w:rsidRPr="0085724C">
        <w:rPr>
          <w:rFonts w:ascii="Bookman Old Style" w:hAnsi="Bookman Old Style" w:cs="Arial"/>
          <w:sz w:val="24"/>
          <w:szCs w:val="24"/>
          <w:lang w:val="en-US"/>
        </w:rPr>
        <w:t>Urusan</w:t>
      </w:r>
      <w:r w:rsidR="00A954D0">
        <w:rPr>
          <w:rFonts w:ascii="Bookman Old Style" w:hAnsi="Bookman Old Style" w:cs="Arial"/>
          <w:sz w:val="24"/>
          <w:szCs w:val="24"/>
          <w:lang w:val="en-US"/>
        </w:rPr>
        <w:t xml:space="preserve"> </w:t>
      </w:r>
      <w:r w:rsidRPr="0085724C">
        <w:rPr>
          <w:rFonts w:ascii="Bookman Old Style" w:hAnsi="Bookman Old Style" w:cs="Arial"/>
          <w:sz w:val="24"/>
          <w:szCs w:val="24"/>
          <w:lang w:val="en-US"/>
        </w:rPr>
        <w:t>Pemerintah</w:t>
      </w:r>
      <w:r w:rsidR="00A954D0">
        <w:rPr>
          <w:rFonts w:ascii="Bookman Old Style" w:hAnsi="Bookman Old Style" w:cs="Arial"/>
          <w:sz w:val="24"/>
          <w:szCs w:val="24"/>
          <w:lang w:val="en-US"/>
        </w:rPr>
        <w:t xml:space="preserve"> </w:t>
      </w:r>
      <w:r w:rsidRPr="0085724C">
        <w:rPr>
          <w:rFonts w:ascii="Bookman Old Style" w:hAnsi="Bookman Old Style" w:cs="Arial"/>
          <w:sz w:val="24"/>
          <w:szCs w:val="24"/>
          <w:lang w:val="en-US"/>
        </w:rPr>
        <w:t>Daerah</w:t>
      </w:r>
    </w:p>
    <w:tbl>
      <w:tblPr>
        <w:tblW w:w="16438" w:type="dxa"/>
        <w:jc w:val="center"/>
        <w:tblLayout w:type="fixed"/>
        <w:tblLook w:val="04A0" w:firstRow="1" w:lastRow="0" w:firstColumn="1" w:lastColumn="0" w:noHBand="0" w:noVBand="1"/>
      </w:tblPr>
      <w:tblGrid>
        <w:gridCol w:w="4673"/>
        <w:gridCol w:w="2410"/>
        <w:gridCol w:w="2126"/>
        <w:gridCol w:w="1985"/>
        <w:gridCol w:w="1984"/>
        <w:gridCol w:w="2268"/>
        <w:gridCol w:w="992"/>
      </w:tblGrid>
      <w:tr w:rsidR="00080B19" w:rsidRPr="00412C56" w14:paraId="0E38F761" w14:textId="77777777" w:rsidTr="00735D18">
        <w:trPr>
          <w:trHeight w:val="498"/>
          <w:tblHeader/>
          <w:jc w:val="center"/>
        </w:trPr>
        <w:tc>
          <w:tcPr>
            <w:tcW w:w="46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79695" w14:textId="44FFD713" w:rsidR="00080B19" w:rsidRPr="00412C56" w:rsidRDefault="00080B19" w:rsidP="0023341C">
            <w:pPr>
              <w:spacing w:before="60" w:line="276" w:lineRule="auto"/>
              <w:jc w:val="center"/>
              <w:rPr>
                <w:rFonts w:ascii="Bookman Old Style" w:hAnsi="Bookman Old Style" w:cs="Calibri"/>
                <w:b/>
                <w:bCs/>
                <w:sz w:val="16"/>
                <w:szCs w:val="16"/>
                <w:lang w:val="en-US"/>
              </w:rPr>
            </w:pPr>
            <w:r w:rsidRPr="00412C56">
              <w:rPr>
                <w:rFonts w:ascii="Bookman Old Style" w:hAnsi="Bookman Old Style" w:cs="Calibri"/>
                <w:b/>
                <w:bCs/>
                <w:sz w:val="16"/>
                <w:szCs w:val="16"/>
                <w:lang w:val="en-US"/>
              </w:rPr>
              <w:t>Urusan</w:t>
            </w:r>
            <w:r w:rsidR="00A954D0">
              <w:rPr>
                <w:rFonts w:ascii="Bookman Old Style" w:hAnsi="Bookman Old Style" w:cs="Calibri"/>
                <w:b/>
                <w:bCs/>
                <w:sz w:val="16"/>
                <w:szCs w:val="16"/>
                <w:lang w:val="en-US"/>
              </w:rPr>
              <w:t xml:space="preserve"> </w:t>
            </w:r>
            <w:r w:rsidRPr="00412C56">
              <w:rPr>
                <w:rFonts w:ascii="Bookman Old Style" w:hAnsi="Bookman Old Style" w:cs="Calibri"/>
                <w:b/>
                <w:bCs/>
                <w:sz w:val="16"/>
                <w:szCs w:val="16"/>
                <w:lang w:val="en-US"/>
              </w:rPr>
              <w:t>Pemerintahan</w:t>
            </w:r>
          </w:p>
        </w:tc>
        <w:tc>
          <w:tcPr>
            <w:tcW w:w="10773" w:type="dxa"/>
            <w:gridSpan w:val="5"/>
            <w:tcBorders>
              <w:top w:val="single" w:sz="4" w:space="0" w:color="000000"/>
              <w:left w:val="nil"/>
              <w:bottom w:val="single" w:sz="4" w:space="0" w:color="auto"/>
              <w:right w:val="single" w:sz="4" w:space="0" w:color="auto"/>
            </w:tcBorders>
            <w:shd w:val="clear" w:color="auto" w:fill="auto"/>
            <w:noWrap/>
            <w:vAlign w:val="center"/>
            <w:hideMark/>
          </w:tcPr>
          <w:p w14:paraId="7AF8B0E9" w14:textId="77777777" w:rsidR="00080B19" w:rsidRPr="00412C56" w:rsidRDefault="00080B19" w:rsidP="0023341C">
            <w:pPr>
              <w:spacing w:before="60" w:line="276" w:lineRule="auto"/>
              <w:jc w:val="center"/>
              <w:rPr>
                <w:rFonts w:ascii="Bookman Old Style" w:hAnsi="Bookman Old Style" w:cs="Calibri"/>
                <w:b/>
                <w:bCs/>
                <w:sz w:val="16"/>
                <w:szCs w:val="16"/>
                <w:lang w:val="en-US"/>
              </w:rPr>
            </w:pPr>
            <w:r w:rsidRPr="00412C56">
              <w:rPr>
                <w:rFonts w:ascii="Bookman Old Style" w:hAnsi="Bookman Old Style" w:cs="Calibri"/>
                <w:b/>
                <w:bCs/>
                <w:sz w:val="16"/>
                <w:szCs w:val="16"/>
                <w:lang w:val="en-US"/>
              </w:rPr>
              <w:t>Belanja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A7D23B" w14:textId="23192520" w:rsidR="00080B19" w:rsidRPr="00412C56" w:rsidRDefault="00080B19" w:rsidP="0023341C">
            <w:pPr>
              <w:spacing w:before="60" w:line="276" w:lineRule="auto"/>
              <w:jc w:val="center"/>
              <w:rPr>
                <w:rFonts w:ascii="Bookman Old Style" w:hAnsi="Bookman Old Style" w:cs="Calibri"/>
                <w:b/>
                <w:bCs/>
                <w:sz w:val="16"/>
                <w:szCs w:val="16"/>
                <w:lang w:val="en-US"/>
              </w:rPr>
            </w:pPr>
            <w:r w:rsidRPr="00412C56">
              <w:rPr>
                <w:rFonts w:ascii="Bookman Old Style" w:hAnsi="Bookman Old Style" w:cs="Calibri"/>
                <w:b/>
                <w:bCs/>
                <w:sz w:val="16"/>
                <w:szCs w:val="16"/>
                <w:lang w:val="en-US"/>
              </w:rPr>
              <w:t>Rasio</w:t>
            </w:r>
            <w:r w:rsidR="00A954D0">
              <w:rPr>
                <w:rFonts w:ascii="Bookman Old Style" w:hAnsi="Bookman Old Style" w:cs="Calibri"/>
                <w:b/>
                <w:bCs/>
                <w:sz w:val="16"/>
                <w:szCs w:val="16"/>
                <w:lang w:val="en-US"/>
              </w:rPr>
              <w:t xml:space="preserve"> </w:t>
            </w:r>
            <w:r w:rsidRPr="00412C56">
              <w:rPr>
                <w:rFonts w:ascii="Bookman Old Style" w:hAnsi="Bookman Old Style" w:cs="Calibri"/>
                <w:b/>
                <w:bCs/>
                <w:sz w:val="16"/>
                <w:szCs w:val="16"/>
                <w:lang w:val="en-US"/>
              </w:rPr>
              <w:t>terhadap</w:t>
            </w:r>
            <w:r w:rsidR="00A954D0">
              <w:rPr>
                <w:rFonts w:ascii="Bookman Old Style" w:hAnsi="Bookman Old Style" w:cs="Calibri"/>
                <w:b/>
                <w:bCs/>
                <w:sz w:val="16"/>
                <w:szCs w:val="16"/>
                <w:lang w:val="en-US"/>
              </w:rPr>
              <w:t xml:space="preserve"> </w:t>
            </w:r>
            <w:r w:rsidRPr="00412C56">
              <w:rPr>
                <w:rFonts w:ascii="Bookman Old Style" w:hAnsi="Bookman Old Style" w:cs="Calibri"/>
                <w:b/>
                <w:bCs/>
                <w:sz w:val="16"/>
                <w:szCs w:val="16"/>
                <w:lang w:val="en-US"/>
              </w:rPr>
              <w:t>Total</w:t>
            </w:r>
            <w:r w:rsidR="00A954D0">
              <w:rPr>
                <w:rFonts w:ascii="Bookman Old Style" w:hAnsi="Bookman Old Style" w:cs="Calibri"/>
                <w:b/>
                <w:bCs/>
                <w:sz w:val="16"/>
                <w:szCs w:val="16"/>
                <w:lang w:val="en-US"/>
              </w:rPr>
              <w:t xml:space="preserve"> </w:t>
            </w:r>
            <w:r w:rsidRPr="00412C56">
              <w:rPr>
                <w:rFonts w:ascii="Bookman Old Style" w:hAnsi="Bookman Old Style" w:cs="Calibri"/>
                <w:b/>
                <w:bCs/>
                <w:sz w:val="16"/>
                <w:szCs w:val="16"/>
                <w:lang w:val="en-US"/>
              </w:rPr>
              <w:t>Belanja</w:t>
            </w:r>
            <w:r w:rsidR="00A954D0">
              <w:rPr>
                <w:rFonts w:ascii="Bookman Old Style" w:hAnsi="Bookman Old Style" w:cs="Calibri"/>
                <w:b/>
                <w:bCs/>
                <w:sz w:val="16"/>
                <w:szCs w:val="16"/>
                <w:lang w:val="en-US"/>
              </w:rPr>
              <w:t xml:space="preserve"> </w:t>
            </w:r>
            <w:r w:rsidRPr="00412C56">
              <w:rPr>
                <w:rFonts w:ascii="Bookman Old Style" w:hAnsi="Bookman Old Style" w:cs="Calibri"/>
                <w:b/>
                <w:bCs/>
                <w:sz w:val="16"/>
                <w:szCs w:val="16"/>
                <w:lang w:val="en-US"/>
              </w:rPr>
              <w:t>Daerah</w:t>
            </w:r>
            <w:r w:rsidR="00A954D0">
              <w:rPr>
                <w:rFonts w:ascii="Bookman Old Style" w:hAnsi="Bookman Old Style" w:cs="Calibri"/>
                <w:b/>
                <w:bCs/>
                <w:sz w:val="16"/>
                <w:szCs w:val="16"/>
                <w:lang w:val="en-US"/>
              </w:rPr>
              <w:t xml:space="preserve"> </w:t>
            </w:r>
            <w:r w:rsidRPr="00412C56">
              <w:rPr>
                <w:rFonts w:ascii="Bookman Old Style" w:hAnsi="Bookman Old Style" w:cs="Calibri"/>
                <w:b/>
                <w:bCs/>
                <w:sz w:val="16"/>
                <w:szCs w:val="16"/>
                <w:lang w:val="en-US"/>
              </w:rPr>
              <w:t>(%)</w:t>
            </w:r>
          </w:p>
        </w:tc>
      </w:tr>
      <w:tr w:rsidR="00080B19" w:rsidRPr="00412C56" w14:paraId="21184AD9" w14:textId="77777777" w:rsidTr="00735D18">
        <w:trPr>
          <w:trHeight w:val="477"/>
          <w:tblHeader/>
          <w:jc w:val="center"/>
        </w:trPr>
        <w:tc>
          <w:tcPr>
            <w:tcW w:w="4673" w:type="dxa"/>
            <w:vMerge/>
            <w:tcBorders>
              <w:top w:val="single" w:sz="4" w:space="0" w:color="000000"/>
              <w:left w:val="single" w:sz="4" w:space="0" w:color="000000"/>
              <w:bottom w:val="single" w:sz="4" w:space="0" w:color="000000"/>
              <w:right w:val="single" w:sz="4" w:space="0" w:color="000000"/>
            </w:tcBorders>
            <w:vAlign w:val="center"/>
            <w:hideMark/>
          </w:tcPr>
          <w:p w14:paraId="3A7704D4" w14:textId="77777777" w:rsidR="00080B19" w:rsidRPr="00412C56" w:rsidRDefault="00080B19" w:rsidP="0023341C">
            <w:pPr>
              <w:spacing w:before="60" w:line="276" w:lineRule="auto"/>
              <w:rPr>
                <w:rFonts w:ascii="Bookman Old Style" w:hAnsi="Bookman Old Style" w:cs="Calibri"/>
                <w:sz w:val="16"/>
                <w:szCs w:val="16"/>
                <w:lang w:val="en-US"/>
              </w:rPr>
            </w:pP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03010286" w14:textId="465D0433" w:rsidR="00080B19" w:rsidRPr="00412C56" w:rsidRDefault="00080B19" w:rsidP="0023341C">
            <w:pPr>
              <w:spacing w:before="60" w:line="276" w:lineRule="auto"/>
              <w:jc w:val="center"/>
              <w:rPr>
                <w:rFonts w:ascii="Bookman Old Style" w:hAnsi="Bookman Old Style" w:cs="Calibri"/>
                <w:b/>
                <w:bCs/>
                <w:sz w:val="16"/>
                <w:szCs w:val="16"/>
                <w:lang w:val="en-US"/>
              </w:rPr>
            </w:pPr>
            <w:r w:rsidRPr="00412C56">
              <w:rPr>
                <w:rFonts w:ascii="Bookman Old Style" w:hAnsi="Bookman Old Style" w:cs="Calibri"/>
                <w:b/>
                <w:bCs/>
                <w:sz w:val="16"/>
                <w:szCs w:val="16"/>
                <w:lang w:val="en-US"/>
              </w:rPr>
              <w:t>Belanja</w:t>
            </w:r>
            <w:r w:rsidR="00A954D0">
              <w:rPr>
                <w:rFonts w:ascii="Bookman Old Style" w:hAnsi="Bookman Old Style" w:cs="Calibri"/>
                <w:b/>
                <w:bCs/>
                <w:sz w:val="16"/>
                <w:szCs w:val="16"/>
                <w:lang w:val="en-US"/>
              </w:rPr>
              <w:t xml:space="preserve"> </w:t>
            </w:r>
            <w:r w:rsidRPr="00412C56">
              <w:rPr>
                <w:rFonts w:ascii="Bookman Old Style" w:hAnsi="Bookman Old Style" w:cs="Calibri"/>
                <w:b/>
                <w:bCs/>
                <w:sz w:val="16"/>
                <w:szCs w:val="16"/>
                <w:lang w:val="en-US"/>
              </w:rPr>
              <w:t>Operasi</w:t>
            </w:r>
          </w:p>
          <w:p w14:paraId="58CA896C" w14:textId="77777777" w:rsidR="00080B19" w:rsidRPr="00412C56" w:rsidRDefault="00080B19" w:rsidP="0023341C">
            <w:pPr>
              <w:spacing w:before="60" w:line="276" w:lineRule="auto"/>
              <w:jc w:val="center"/>
              <w:rPr>
                <w:rFonts w:ascii="Bookman Old Style" w:hAnsi="Bookman Old Style" w:cs="Calibri"/>
                <w:b/>
                <w:bCs/>
                <w:sz w:val="16"/>
                <w:szCs w:val="16"/>
                <w:lang w:val="en-US"/>
              </w:rPr>
            </w:pPr>
            <w:r w:rsidRPr="00412C56">
              <w:rPr>
                <w:rFonts w:ascii="Bookman Old Style" w:hAnsi="Bookman Old Style" w:cs="Calibri"/>
                <w:b/>
                <w:bCs/>
                <w:sz w:val="16"/>
                <w:szCs w:val="16"/>
                <w:lang w:val="en-US"/>
              </w:rPr>
              <w:t>(Rp)</w:t>
            </w:r>
          </w:p>
        </w:tc>
        <w:tc>
          <w:tcPr>
            <w:tcW w:w="2126" w:type="dxa"/>
            <w:tcBorders>
              <w:top w:val="nil"/>
              <w:left w:val="nil"/>
              <w:bottom w:val="single" w:sz="4" w:space="0" w:color="auto"/>
              <w:right w:val="single" w:sz="4" w:space="0" w:color="auto"/>
            </w:tcBorders>
            <w:shd w:val="clear" w:color="auto" w:fill="auto"/>
            <w:vAlign w:val="center"/>
            <w:hideMark/>
          </w:tcPr>
          <w:p w14:paraId="6D06DDA9" w14:textId="6325D2DA" w:rsidR="00080B19" w:rsidRPr="00412C56" w:rsidRDefault="00080B19" w:rsidP="0023341C">
            <w:pPr>
              <w:spacing w:before="60" w:line="276" w:lineRule="auto"/>
              <w:jc w:val="center"/>
              <w:rPr>
                <w:rFonts w:ascii="Bookman Old Style" w:hAnsi="Bookman Old Style" w:cs="Calibri"/>
                <w:b/>
                <w:bCs/>
                <w:sz w:val="16"/>
                <w:szCs w:val="16"/>
                <w:lang w:val="en-US"/>
              </w:rPr>
            </w:pPr>
            <w:r w:rsidRPr="00412C56">
              <w:rPr>
                <w:rFonts w:ascii="Bookman Old Style" w:hAnsi="Bookman Old Style" w:cs="Calibri"/>
                <w:b/>
                <w:bCs/>
                <w:sz w:val="16"/>
                <w:szCs w:val="16"/>
                <w:lang w:val="en-US"/>
              </w:rPr>
              <w:t>Belanja</w:t>
            </w:r>
            <w:r w:rsidR="00A954D0">
              <w:rPr>
                <w:rFonts w:ascii="Bookman Old Style" w:hAnsi="Bookman Old Style" w:cs="Calibri"/>
                <w:b/>
                <w:bCs/>
                <w:sz w:val="16"/>
                <w:szCs w:val="16"/>
                <w:lang w:val="en-US"/>
              </w:rPr>
              <w:t xml:space="preserve"> </w:t>
            </w:r>
            <w:r w:rsidRPr="00412C56">
              <w:rPr>
                <w:rFonts w:ascii="Bookman Old Style" w:hAnsi="Bookman Old Style" w:cs="Calibri"/>
                <w:b/>
                <w:bCs/>
                <w:sz w:val="16"/>
                <w:szCs w:val="16"/>
                <w:lang w:val="en-US"/>
              </w:rPr>
              <w:t>Modal</w:t>
            </w:r>
          </w:p>
          <w:p w14:paraId="3B727CAE" w14:textId="77777777" w:rsidR="00080B19" w:rsidRPr="00412C56" w:rsidRDefault="00080B19" w:rsidP="0023341C">
            <w:pPr>
              <w:spacing w:before="60" w:line="276" w:lineRule="auto"/>
              <w:jc w:val="center"/>
              <w:rPr>
                <w:rFonts w:ascii="Bookman Old Style" w:hAnsi="Bookman Old Style" w:cs="Calibri"/>
                <w:b/>
                <w:bCs/>
                <w:sz w:val="16"/>
                <w:szCs w:val="16"/>
                <w:lang w:val="en-US"/>
              </w:rPr>
            </w:pPr>
            <w:r w:rsidRPr="00412C56">
              <w:rPr>
                <w:rFonts w:ascii="Bookman Old Style" w:hAnsi="Bookman Old Style" w:cs="Calibri"/>
                <w:b/>
                <w:bCs/>
                <w:sz w:val="16"/>
                <w:szCs w:val="16"/>
                <w:lang w:val="en-US"/>
              </w:rPr>
              <w:t>(Rp)</w:t>
            </w:r>
          </w:p>
        </w:tc>
        <w:tc>
          <w:tcPr>
            <w:tcW w:w="1985" w:type="dxa"/>
            <w:tcBorders>
              <w:top w:val="nil"/>
              <w:left w:val="nil"/>
              <w:bottom w:val="single" w:sz="4" w:space="0" w:color="auto"/>
              <w:right w:val="single" w:sz="4" w:space="0" w:color="auto"/>
            </w:tcBorders>
            <w:shd w:val="clear" w:color="auto" w:fill="auto"/>
            <w:vAlign w:val="center"/>
            <w:hideMark/>
          </w:tcPr>
          <w:p w14:paraId="3225E26C" w14:textId="07C1E730" w:rsidR="00080B19" w:rsidRPr="00412C56" w:rsidRDefault="00080B19" w:rsidP="0023341C">
            <w:pPr>
              <w:spacing w:before="60" w:line="276" w:lineRule="auto"/>
              <w:jc w:val="center"/>
              <w:rPr>
                <w:rFonts w:ascii="Bookman Old Style" w:hAnsi="Bookman Old Style" w:cs="Calibri"/>
                <w:b/>
                <w:bCs/>
                <w:sz w:val="16"/>
                <w:szCs w:val="16"/>
                <w:lang w:val="en-US"/>
              </w:rPr>
            </w:pPr>
            <w:r w:rsidRPr="00412C56">
              <w:rPr>
                <w:rFonts w:ascii="Bookman Old Style" w:hAnsi="Bookman Old Style" w:cs="Calibri"/>
                <w:b/>
                <w:bCs/>
                <w:sz w:val="16"/>
                <w:szCs w:val="16"/>
                <w:lang w:val="en-US"/>
              </w:rPr>
              <w:t>Belanja</w:t>
            </w:r>
            <w:r w:rsidR="00A954D0">
              <w:rPr>
                <w:rFonts w:ascii="Bookman Old Style" w:hAnsi="Bookman Old Style" w:cs="Calibri"/>
                <w:b/>
                <w:bCs/>
                <w:sz w:val="16"/>
                <w:szCs w:val="16"/>
                <w:lang w:val="en-US"/>
              </w:rPr>
              <w:t xml:space="preserve"> </w:t>
            </w:r>
            <w:r w:rsidRPr="00412C56">
              <w:rPr>
                <w:rFonts w:ascii="Bookman Old Style" w:hAnsi="Bookman Old Style" w:cs="Calibri"/>
                <w:b/>
                <w:bCs/>
                <w:sz w:val="16"/>
                <w:szCs w:val="16"/>
                <w:lang w:val="en-US"/>
              </w:rPr>
              <w:t>Tidak</w:t>
            </w:r>
            <w:r w:rsidR="00A954D0">
              <w:rPr>
                <w:rFonts w:ascii="Bookman Old Style" w:hAnsi="Bookman Old Style" w:cs="Calibri"/>
                <w:b/>
                <w:bCs/>
                <w:sz w:val="16"/>
                <w:szCs w:val="16"/>
                <w:lang w:val="en-US"/>
              </w:rPr>
              <w:t xml:space="preserve"> </w:t>
            </w:r>
            <w:r w:rsidRPr="00412C56">
              <w:rPr>
                <w:rFonts w:ascii="Bookman Old Style" w:hAnsi="Bookman Old Style" w:cs="Calibri"/>
                <w:b/>
                <w:bCs/>
                <w:sz w:val="16"/>
                <w:szCs w:val="16"/>
                <w:lang w:val="en-US"/>
              </w:rPr>
              <w:t>Terduga</w:t>
            </w:r>
          </w:p>
          <w:p w14:paraId="726C2073" w14:textId="77777777" w:rsidR="00080B19" w:rsidRPr="00412C56" w:rsidRDefault="00080B19" w:rsidP="0023341C">
            <w:pPr>
              <w:spacing w:before="60" w:line="276" w:lineRule="auto"/>
              <w:jc w:val="center"/>
              <w:rPr>
                <w:rFonts w:ascii="Bookman Old Style" w:hAnsi="Bookman Old Style" w:cs="Calibri"/>
                <w:b/>
                <w:bCs/>
                <w:sz w:val="16"/>
                <w:szCs w:val="16"/>
                <w:lang w:val="en-US"/>
              </w:rPr>
            </w:pPr>
            <w:r w:rsidRPr="00412C56">
              <w:rPr>
                <w:rFonts w:ascii="Bookman Old Style" w:hAnsi="Bookman Old Style" w:cs="Calibri"/>
                <w:b/>
                <w:bCs/>
                <w:sz w:val="16"/>
                <w:szCs w:val="16"/>
                <w:lang w:val="en-US"/>
              </w:rPr>
              <w:t>(Rp)</w:t>
            </w:r>
          </w:p>
        </w:tc>
        <w:tc>
          <w:tcPr>
            <w:tcW w:w="1984" w:type="dxa"/>
            <w:tcBorders>
              <w:top w:val="nil"/>
              <w:left w:val="nil"/>
              <w:bottom w:val="single" w:sz="4" w:space="0" w:color="auto"/>
              <w:right w:val="single" w:sz="4" w:space="0" w:color="auto"/>
            </w:tcBorders>
            <w:shd w:val="clear" w:color="auto" w:fill="auto"/>
            <w:vAlign w:val="center"/>
            <w:hideMark/>
          </w:tcPr>
          <w:p w14:paraId="3925C61A" w14:textId="7ACC2F8B" w:rsidR="00080B19" w:rsidRPr="00412C56" w:rsidRDefault="00080B19" w:rsidP="0023341C">
            <w:pPr>
              <w:spacing w:before="60" w:line="276" w:lineRule="auto"/>
              <w:jc w:val="center"/>
              <w:rPr>
                <w:rFonts w:ascii="Bookman Old Style" w:hAnsi="Bookman Old Style" w:cs="Calibri"/>
                <w:b/>
                <w:bCs/>
                <w:sz w:val="16"/>
                <w:szCs w:val="16"/>
                <w:lang w:val="en-US"/>
              </w:rPr>
            </w:pPr>
            <w:r w:rsidRPr="00412C56">
              <w:rPr>
                <w:rFonts w:ascii="Bookman Old Style" w:hAnsi="Bookman Old Style" w:cs="Calibri"/>
                <w:b/>
                <w:bCs/>
                <w:sz w:val="16"/>
                <w:szCs w:val="16"/>
                <w:lang w:val="en-US"/>
              </w:rPr>
              <w:t>Belanja</w:t>
            </w:r>
            <w:r w:rsidR="00A954D0">
              <w:rPr>
                <w:rFonts w:ascii="Bookman Old Style" w:hAnsi="Bookman Old Style" w:cs="Calibri"/>
                <w:b/>
                <w:bCs/>
                <w:sz w:val="16"/>
                <w:szCs w:val="16"/>
                <w:lang w:val="en-US"/>
              </w:rPr>
              <w:t xml:space="preserve"> </w:t>
            </w:r>
            <w:r w:rsidRPr="00412C56">
              <w:rPr>
                <w:rFonts w:ascii="Bookman Old Style" w:hAnsi="Bookman Old Style" w:cs="Calibri"/>
                <w:b/>
                <w:bCs/>
                <w:sz w:val="16"/>
                <w:szCs w:val="16"/>
                <w:lang w:val="en-US"/>
              </w:rPr>
              <w:t>Transfer</w:t>
            </w:r>
          </w:p>
          <w:p w14:paraId="792DA3B1" w14:textId="77777777" w:rsidR="00080B19" w:rsidRPr="00412C56" w:rsidRDefault="00080B19" w:rsidP="0023341C">
            <w:pPr>
              <w:spacing w:before="60" w:line="276" w:lineRule="auto"/>
              <w:jc w:val="center"/>
              <w:rPr>
                <w:rFonts w:ascii="Bookman Old Style" w:hAnsi="Bookman Old Style" w:cs="Calibri"/>
                <w:b/>
                <w:bCs/>
                <w:sz w:val="16"/>
                <w:szCs w:val="16"/>
                <w:lang w:val="en-US"/>
              </w:rPr>
            </w:pPr>
            <w:r w:rsidRPr="00412C56">
              <w:rPr>
                <w:rFonts w:ascii="Bookman Old Style" w:hAnsi="Bookman Old Style" w:cs="Calibri"/>
                <w:b/>
                <w:bCs/>
                <w:sz w:val="16"/>
                <w:szCs w:val="16"/>
                <w:lang w:val="en-US"/>
              </w:rPr>
              <w:t>(Rp)</w:t>
            </w:r>
          </w:p>
        </w:tc>
        <w:tc>
          <w:tcPr>
            <w:tcW w:w="2268" w:type="dxa"/>
            <w:tcBorders>
              <w:top w:val="nil"/>
              <w:left w:val="nil"/>
              <w:bottom w:val="single" w:sz="4" w:space="0" w:color="auto"/>
              <w:right w:val="nil"/>
            </w:tcBorders>
            <w:shd w:val="clear" w:color="auto" w:fill="auto"/>
            <w:vAlign w:val="center"/>
            <w:hideMark/>
          </w:tcPr>
          <w:p w14:paraId="66EDABBE" w14:textId="32E572B1" w:rsidR="00080B19" w:rsidRPr="00412C56" w:rsidRDefault="00080B19" w:rsidP="0023341C">
            <w:pPr>
              <w:spacing w:before="60" w:line="276" w:lineRule="auto"/>
              <w:jc w:val="center"/>
              <w:rPr>
                <w:rFonts w:ascii="Bookman Old Style" w:hAnsi="Bookman Old Style" w:cs="Calibri"/>
                <w:b/>
                <w:bCs/>
                <w:sz w:val="16"/>
                <w:szCs w:val="16"/>
                <w:lang w:val="en-US"/>
              </w:rPr>
            </w:pPr>
            <w:r w:rsidRPr="00412C56">
              <w:rPr>
                <w:rFonts w:ascii="Bookman Old Style" w:hAnsi="Bookman Old Style" w:cs="Calibri"/>
                <w:b/>
                <w:bCs/>
                <w:sz w:val="16"/>
                <w:szCs w:val="16"/>
                <w:lang w:val="en-US"/>
              </w:rPr>
              <w:t>Jumlah</w:t>
            </w:r>
            <w:r w:rsidR="00A954D0">
              <w:rPr>
                <w:rFonts w:ascii="Bookman Old Style" w:hAnsi="Bookman Old Style" w:cs="Calibri"/>
                <w:b/>
                <w:bCs/>
                <w:sz w:val="16"/>
                <w:szCs w:val="16"/>
                <w:lang w:val="en-US"/>
              </w:rPr>
              <w:t xml:space="preserve"> </w:t>
            </w:r>
            <w:r w:rsidRPr="00412C56">
              <w:rPr>
                <w:rFonts w:ascii="Bookman Old Style" w:hAnsi="Bookman Old Style" w:cs="Calibri"/>
                <w:b/>
                <w:bCs/>
                <w:sz w:val="16"/>
                <w:szCs w:val="16"/>
                <w:lang w:val="en-US"/>
              </w:rPr>
              <w:t>Belanja</w:t>
            </w:r>
          </w:p>
          <w:p w14:paraId="46E28E56" w14:textId="77777777" w:rsidR="00080B19" w:rsidRPr="00412C56" w:rsidRDefault="00080B19" w:rsidP="0023341C">
            <w:pPr>
              <w:spacing w:before="60" w:line="276" w:lineRule="auto"/>
              <w:jc w:val="center"/>
              <w:rPr>
                <w:rFonts w:ascii="Bookman Old Style" w:hAnsi="Bookman Old Style" w:cs="Calibri"/>
                <w:b/>
                <w:bCs/>
                <w:sz w:val="16"/>
                <w:szCs w:val="16"/>
                <w:lang w:val="en-US"/>
              </w:rPr>
            </w:pPr>
            <w:r w:rsidRPr="00412C56">
              <w:rPr>
                <w:rFonts w:ascii="Bookman Old Style" w:hAnsi="Bookman Old Style" w:cs="Calibri"/>
                <w:b/>
                <w:bCs/>
                <w:sz w:val="16"/>
                <w:szCs w:val="16"/>
                <w:lang w:val="en-US"/>
              </w:rPr>
              <w:t>(Rp)</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C7B4BCF" w14:textId="77777777" w:rsidR="00080B19" w:rsidRPr="00412C56" w:rsidRDefault="00080B19" w:rsidP="0023341C">
            <w:pPr>
              <w:spacing w:before="60" w:line="276" w:lineRule="auto"/>
              <w:jc w:val="center"/>
              <w:rPr>
                <w:rFonts w:ascii="Bookman Old Style" w:hAnsi="Bookman Old Style" w:cs="Calibri"/>
                <w:sz w:val="16"/>
                <w:szCs w:val="16"/>
                <w:lang w:val="en-US"/>
              </w:rPr>
            </w:pPr>
          </w:p>
        </w:tc>
      </w:tr>
      <w:tr w:rsidR="00080B19" w:rsidRPr="00412C56" w14:paraId="731890BC"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3BFC2A0B" w14:textId="07872B44" w:rsidR="00080B19" w:rsidRPr="00412C56" w:rsidRDefault="00080B19" w:rsidP="0023341C">
            <w:pPr>
              <w:spacing w:before="60" w:line="276" w:lineRule="auto"/>
              <w:rPr>
                <w:rFonts w:ascii="Bookman Old Style" w:hAnsi="Bookman Old Style"/>
                <w:b/>
                <w:bCs/>
                <w:sz w:val="16"/>
                <w:szCs w:val="16"/>
                <w:lang w:val="sv-FI"/>
              </w:rPr>
            </w:pPr>
            <w:r w:rsidRPr="00412C56">
              <w:rPr>
                <w:rFonts w:ascii="Bookman Old Style" w:hAnsi="Bookman Old Style"/>
                <w:b/>
                <w:bCs/>
                <w:sz w:val="16"/>
                <w:szCs w:val="16"/>
                <w:lang w:val="sv-FI"/>
              </w:rPr>
              <w:t>Urusan</w:t>
            </w:r>
            <w:r w:rsidR="00A954D0">
              <w:rPr>
                <w:rFonts w:ascii="Bookman Old Style" w:hAnsi="Bookman Old Style"/>
                <w:b/>
                <w:bCs/>
                <w:sz w:val="16"/>
                <w:szCs w:val="16"/>
                <w:lang w:val="sv-FI"/>
              </w:rPr>
              <w:t xml:space="preserve"> </w:t>
            </w:r>
            <w:r w:rsidRPr="00412C56">
              <w:rPr>
                <w:rFonts w:ascii="Bookman Old Style" w:hAnsi="Bookman Old Style"/>
                <w:b/>
                <w:bCs/>
                <w:sz w:val="16"/>
                <w:szCs w:val="16"/>
                <w:lang w:val="sv-FI"/>
              </w:rPr>
              <w:t>Pemerintahan</w:t>
            </w:r>
            <w:r w:rsidR="00A954D0">
              <w:rPr>
                <w:rFonts w:ascii="Bookman Old Style" w:hAnsi="Bookman Old Style"/>
                <w:b/>
                <w:bCs/>
                <w:sz w:val="16"/>
                <w:szCs w:val="16"/>
                <w:lang w:val="sv-FI"/>
              </w:rPr>
              <w:t xml:space="preserve"> </w:t>
            </w:r>
            <w:r w:rsidRPr="00412C56">
              <w:rPr>
                <w:rFonts w:ascii="Bookman Old Style" w:hAnsi="Bookman Old Style"/>
                <w:b/>
                <w:bCs/>
                <w:sz w:val="16"/>
                <w:szCs w:val="16"/>
                <w:lang w:val="sv-FI"/>
              </w:rPr>
              <w:t>Wajib</w:t>
            </w:r>
            <w:r w:rsidR="00A954D0">
              <w:rPr>
                <w:rFonts w:ascii="Bookman Old Style" w:hAnsi="Bookman Old Style"/>
                <w:b/>
                <w:bCs/>
                <w:sz w:val="16"/>
                <w:szCs w:val="16"/>
                <w:lang w:val="sv-FI"/>
              </w:rPr>
              <w:t xml:space="preserve"> </w:t>
            </w:r>
            <w:r w:rsidRPr="00412C56">
              <w:rPr>
                <w:rFonts w:ascii="Bookman Old Style" w:hAnsi="Bookman Old Style"/>
                <w:b/>
                <w:bCs/>
                <w:sz w:val="16"/>
                <w:szCs w:val="16"/>
                <w:lang w:val="sv-FI"/>
              </w:rPr>
              <w:t>Yang</w:t>
            </w:r>
            <w:r w:rsidR="00A954D0">
              <w:rPr>
                <w:rFonts w:ascii="Bookman Old Style" w:hAnsi="Bookman Old Style"/>
                <w:b/>
                <w:bCs/>
                <w:sz w:val="16"/>
                <w:szCs w:val="16"/>
                <w:lang w:val="sv-FI"/>
              </w:rPr>
              <w:t xml:space="preserve"> </w:t>
            </w:r>
            <w:r w:rsidRPr="00412C56">
              <w:rPr>
                <w:rFonts w:ascii="Bookman Old Style" w:hAnsi="Bookman Old Style"/>
                <w:b/>
                <w:bCs/>
                <w:sz w:val="16"/>
                <w:szCs w:val="16"/>
                <w:lang w:val="sv-FI"/>
              </w:rPr>
              <w:t>Berkaitan</w:t>
            </w:r>
            <w:r w:rsidR="00A954D0">
              <w:rPr>
                <w:rFonts w:ascii="Bookman Old Style" w:hAnsi="Bookman Old Style"/>
                <w:b/>
                <w:bCs/>
                <w:sz w:val="16"/>
                <w:szCs w:val="16"/>
                <w:lang w:val="sv-FI"/>
              </w:rPr>
              <w:t xml:space="preserve"> </w:t>
            </w:r>
            <w:r w:rsidRPr="00412C56">
              <w:rPr>
                <w:rFonts w:ascii="Bookman Old Style" w:hAnsi="Bookman Old Style"/>
                <w:b/>
                <w:bCs/>
                <w:sz w:val="16"/>
                <w:szCs w:val="16"/>
                <w:lang w:val="sv-FI"/>
              </w:rPr>
              <w:t>Dengan</w:t>
            </w:r>
            <w:r w:rsidR="00A954D0">
              <w:rPr>
                <w:rFonts w:ascii="Bookman Old Style" w:hAnsi="Bookman Old Style"/>
                <w:b/>
                <w:bCs/>
                <w:sz w:val="16"/>
                <w:szCs w:val="16"/>
                <w:lang w:val="sv-FI"/>
              </w:rPr>
              <w:t xml:space="preserve"> </w:t>
            </w:r>
            <w:r w:rsidRPr="00412C56">
              <w:rPr>
                <w:rFonts w:ascii="Bookman Old Style" w:hAnsi="Bookman Old Style"/>
                <w:b/>
                <w:bCs/>
                <w:sz w:val="16"/>
                <w:szCs w:val="16"/>
                <w:lang w:val="sv-FI"/>
              </w:rPr>
              <w:t>Pelayanan</w:t>
            </w:r>
            <w:r w:rsidR="00A954D0">
              <w:rPr>
                <w:rFonts w:ascii="Bookman Old Style" w:hAnsi="Bookman Old Style"/>
                <w:b/>
                <w:bCs/>
                <w:sz w:val="16"/>
                <w:szCs w:val="16"/>
                <w:lang w:val="sv-FI"/>
              </w:rPr>
              <w:t xml:space="preserve"> </w:t>
            </w:r>
            <w:r w:rsidRPr="00412C56">
              <w:rPr>
                <w:rFonts w:ascii="Bookman Old Style" w:hAnsi="Bookman Old Style"/>
                <w:b/>
                <w:bCs/>
                <w:sz w:val="16"/>
                <w:szCs w:val="16"/>
                <w:lang w:val="sv-FI"/>
              </w:rPr>
              <w:t>Dasar</w:t>
            </w:r>
            <w:r w:rsidR="00A954D0">
              <w:rPr>
                <w:rFonts w:ascii="Bookman Old Style" w:hAnsi="Bookman Old Style"/>
                <w:b/>
                <w:bCs/>
                <w:sz w:val="16"/>
                <w:szCs w:val="16"/>
                <w:lang w:val="sv-FI"/>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5BF36"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sz w:val="16"/>
                <w:szCs w:val="16"/>
              </w:rPr>
              <w:t>2.709.365.590.712,00</w:t>
            </w:r>
          </w:p>
        </w:tc>
        <w:tc>
          <w:tcPr>
            <w:tcW w:w="2126" w:type="dxa"/>
            <w:tcBorders>
              <w:top w:val="single" w:sz="4" w:space="0" w:color="000000"/>
              <w:left w:val="nil"/>
              <w:bottom w:val="single" w:sz="4" w:space="0" w:color="000000"/>
              <w:right w:val="single" w:sz="4" w:space="0" w:color="000000"/>
            </w:tcBorders>
            <w:shd w:val="clear" w:color="auto" w:fill="auto"/>
            <w:noWrap/>
            <w:vAlign w:val="center"/>
          </w:tcPr>
          <w:p w14:paraId="2FE564F1"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color w:val="000000"/>
                <w:sz w:val="16"/>
                <w:szCs w:val="16"/>
              </w:rPr>
              <w:t>747.979.116.952,00</w:t>
            </w:r>
          </w:p>
        </w:tc>
        <w:tc>
          <w:tcPr>
            <w:tcW w:w="1985" w:type="dxa"/>
            <w:tcBorders>
              <w:top w:val="single" w:sz="4" w:space="0" w:color="000000"/>
              <w:left w:val="nil"/>
              <w:bottom w:val="single" w:sz="4" w:space="0" w:color="000000"/>
              <w:right w:val="single" w:sz="4" w:space="0" w:color="000000"/>
            </w:tcBorders>
            <w:shd w:val="clear" w:color="auto" w:fill="auto"/>
            <w:noWrap/>
            <w:vAlign w:val="center"/>
          </w:tcPr>
          <w:p w14:paraId="0E5E41BA"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color w:val="000000"/>
                <w:sz w:val="16"/>
                <w:szCs w:val="16"/>
              </w:rPr>
              <w:t>0,00</w:t>
            </w:r>
          </w:p>
        </w:tc>
        <w:tc>
          <w:tcPr>
            <w:tcW w:w="1984" w:type="dxa"/>
            <w:tcBorders>
              <w:top w:val="single" w:sz="4" w:space="0" w:color="000000"/>
              <w:left w:val="nil"/>
              <w:bottom w:val="single" w:sz="4" w:space="0" w:color="000000"/>
              <w:right w:val="single" w:sz="4" w:space="0" w:color="000000"/>
            </w:tcBorders>
            <w:shd w:val="clear" w:color="auto" w:fill="auto"/>
            <w:noWrap/>
            <w:vAlign w:val="center"/>
          </w:tcPr>
          <w:p w14:paraId="510C3DAF"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color w:val="000000"/>
                <w:sz w:val="16"/>
                <w:szCs w:val="16"/>
              </w:rPr>
              <w:t>0,00</w:t>
            </w:r>
          </w:p>
        </w:tc>
        <w:tc>
          <w:tcPr>
            <w:tcW w:w="2268" w:type="dxa"/>
            <w:tcBorders>
              <w:top w:val="single" w:sz="4" w:space="0" w:color="000000"/>
              <w:left w:val="nil"/>
              <w:bottom w:val="single" w:sz="4" w:space="0" w:color="000000"/>
              <w:right w:val="nil"/>
            </w:tcBorders>
            <w:shd w:val="clear" w:color="auto" w:fill="auto"/>
            <w:noWrap/>
            <w:vAlign w:val="center"/>
          </w:tcPr>
          <w:p w14:paraId="5DA7367E"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color w:val="000000"/>
                <w:sz w:val="16"/>
                <w:szCs w:val="16"/>
              </w:rPr>
              <w:t>3.457.344.707.664,00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26A65" w14:textId="77777777" w:rsidR="00080B19" w:rsidRPr="00412C56" w:rsidRDefault="00080B19" w:rsidP="0023341C">
            <w:pPr>
              <w:spacing w:before="60" w:line="276" w:lineRule="auto"/>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60,59</w:t>
            </w:r>
          </w:p>
        </w:tc>
      </w:tr>
      <w:tr w:rsidR="00080B19" w:rsidRPr="00412C56" w14:paraId="21DF52D5"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107579CE" w14:textId="5766142E" w:rsidR="00080B19" w:rsidRPr="00412C56" w:rsidRDefault="00080B19" w:rsidP="0023341C">
            <w:pPr>
              <w:spacing w:before="60" w:line="276" w:lineRule="auto"/>
              <w:rPr>
                <w:rFonts w:ascii="Bookman Old Style" w:hAnsi="Bookman Old Style"/>
                <w:sz w:val="16"/>
                <w:szCs w:val="16"/>
                <w:lang w:val="sv-FI"/>
              </w:rPr>
            </w:pPr>
            <w:r w:rsidRPr="00412C56">
              <w:rPr>
                <w:rFonts w:ascii="Bookman Old Style" w:hAnsi="Bookman Old Style"/>
                <w:sz w:val="16"/>
                <w:szCs w:val="16"/>
                <w:lang w:val="sv-FI"/>
              </w:rPr>
              <w:t>Urusan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Pemerintahan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Bidang</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Pendidikan</w:t>
            </w:r>
            <w:r w:rsidR="00A954D0">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05CE90E8"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1.334.444.436.702,00</w:t>
            </w:r>
          </w:p>
        </w:tc>
        <w:tc>
          <w:tcPr>
            <w:tcW w:w="2126" w:type="dxa"/>
            <w:tcBorders>
              <w:top w:val="nil"/>
              <w:left w:val="nil"/>
              <w:bottom w:val="single" w:sz="4" w:space="0" w:color="000000"/>
              <w:right w:val="single" w:sz="4" w:space="0" w:color="000000"/>
            </w:tcBorders>
            <w:shd w:val="clear" w:color="auto" w:fill="auto"/>
            <w:noWrap/>
            <w:vAlign w:val="center"/>
          </w:tcPr>
          <w:p w14:paraId="6099C92E"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101.200.924.749,00</w:t>
            </w:r>
          </w:p>
        </w:tc>
        <w:tc>
          <w:tcPr>
            <w:tcW w:w="1985" w:type="dxa"/>
            <w:tcBorders>
              <w:top w:val="nil"/>
              <w:left w:val="nil"/>
              <w:bottom w:val="single" w:sz="4" w:space="0" w:color="000000"/>
              <w:right w:val="single" w:sz="4" w:space="0" w:color="000000"/>
            </w:tcBorders>
            <w:shd w:val="clear" w:color="auto" w:fill="auto"/>
            <w:noWrap/>
            <w:vAlign w:val="center"/>
          </w:tcPr>
          <w:p w14:paraId="06C7CCB2"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3A047A1E"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58CDA63E"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1.435.645.361.451,00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46F6E17" w14:textId="77777777" w:rsidR="00080B19" w:rsidRPr="00412C56" w:rsidRDefault="00080B19" w:rsidP="0023341C">
            <w:pPr>
              <w:spacing w:before="60" w:line="276" w:lineRule="auto"/>
              <w:jc w:val="center"/>
              <w:rPr>
                <w:rFonts w:ascii="Bookman Old Style" w:hAnsi="Bookman Old Style" w:cs="Calibri"/>
                <w:color w:val="000000"/>
                <w:sz w:val="16"/>
                <w:szCs w:val="16"/>
              </w:rPr>
            </w:pPr>
            <w:r>
              <w:rPr>
                <w:rFonts w:ascii="Bookman Old Style" w:hAnsi="Bookman Old Style" w:cs="Calibri"/>
                <w:color w:val="000000"/>
                <w:sz w:val="16"/>
                <w:szCs w:val="16"/>
              </w:rPr>
              <w:t>25,16</w:t>
            </w:r>
          </w:p>
        </w:tc>
      </w:tr>
      <w:tr w:rsidR="00080B19" w:rsidRPr="00412C56" w14:paraId="4D3EDCFD"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0F796D21" w14:textId="711A292C" w:rsidR="00080B19" w:rsidRPr="00412C56" w:rsidRDefault="00080B19" w:rsidP="0023341C">
            <w:pPr>
              <w:spacing w:before="60" w:line="276" w:lineRule="auto"/>
              <w:rPr>
                <w:rFonts w:ascii="Bookman Old Style" w:hAnsi="Bookman Old Style"/>
                <w:sz w:val="16"/>
                <w:szCs w:val="16"/>
                <w:lang w:val="sv-FI"/>
              </w:rPr>
            </w:pPr>
            <w:r w:rsidRPr="00412C56">
              <w:rPr>
                <w:rFonts w:ascii="Bookman Old Style" w:hAnsi="Bookman Old Style"/>
                <w:sz w:val="16"/>
                <w:szCs w:val="16"/>
                <w:lang w:val="sv-FI"/>
              </w:rPr>
              <w:t>Urusan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Pemerintahan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Bidang</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Kesehatan</w:t>
            </w:r>
            <w:r w:rsidR="00A954D0">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405C43DC"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941.526.351.777,00</w:t>
            </w:r>
          </w:p>
        </w:tc>
        <w:tc>
          <w:tcPr>
            <w:tcW w:w="2126" w:type="dxa"/>
            <w:tcBorders>
              <w:top w:val="nil"/>
              <w:left w:val="nil"/>
              <w:bottom w:val="single" w:sz="4" w:space="0" w:color="000000"/>
              <w:right w:val="single" w:sz="4" w:space="0" w:color="000000"/>
            </w:tcBorders>
            <w:shd w:val="clear" w:color="auto" w:fill="auto"/>
            <w:noWrap/>
            <w:vAlign w:val="center"/>
          </w:tcPr>
          <w:p w14:paraId="2EA42398"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107.336.286.018,00</w:t>
            </w:r>
          </w:p>
        </w:tc>
        <w:tc>
          <w:tcPr>
            <w:tcW w:w="1985" w:type="dxa"/>
            <w:tcBorders>
              <w:top w:val="nil"/>
              <w:left w:val="nil"/>
              <w:bottom w:val="single" w:sz="4" w:space="0" w:color="000000"/>
              <w:right w:val="single" w:sz="4" w:space="0" w:color="000000"/>
            </w:tcBorders>
            <w:shd w:val="clear" w:color="auto" w:fill="auto"/>
            <w:noWrap/>
            <w:vAlign w:val="center"/>
          </w:tcPr>
          <w:p w14:paraId="69F63B6F"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2652FA87"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5861C16B"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1.048.862.637.795,00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3945FE70" w14:textId="77777777" w:rsidR="00080B19" w:rsidRPr="00412C56" w:rsidRDefault="00080B19" w:rsidP="0023341C">
            <w:pPr>
              <w:spacing w:before="60" w:line="276" w:lineRule="auto"/>
              <w:jc w:val="center"/>
              <w:rPr>
                <w:rFonts w:ascii="Bookman Old Style" w:hAnsi="Bookman Old Style" w:cs="Calibri"/>
                <w:color w:val="000000"/>
                <w:sz w:val="16"/>
                <w:szCs w:val="16"/>
              </w:rPr>
            </w:pPr>
            <w:r>
              <w:rPr>
                <w:rFonts w:ascii="Bookman Old Style" w:hAnsi="Bookman Old Style" w:cs="Calibri"/>
                <w:color w:val="000000"/>
                <w:sz w:val="16"/>
                <w:szCs w:val="16"/>
              </w:rPr>
              <w:t>18,38</w:t>
            </w:r>
          </w:p>
        </w:tc>
      </w:tr>
      <w:tr w:rsidR="00080B19" w:rsidRPr="00412C56" w14:paraId="5C1EF9AA"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7FB0A8A1" w14:textId="26B8144D" w:rsidR="00080B19" w:rsidRPr="00412C56" w:rsidRDefault="00080B19" w:rsidP="0023341C">
            <w:pPr>
              <w:spacing w:before="60" w:line="276" w:lineRule="auto"/>
              <w:rPr>
                <w:rFonts w:ascii="Bookman Old Style" w:hAnsi="Bookman Old Style"/>
                <w:sz w:val="16"/>
                <w:szCs w:val="16"/>
                <w:lang w:val="sv-FI"/>
              </w:rPr>
            </w:pPr>
            <w:r w:rsidRPr="00412C56">
              <w:rPr>
                <w:rFonts w:ascii="Bookman Old Style" w:hAnsi="Bookman Old Style"/>
                <w:sz w:val="16"/>
                <w:szCs w:val="16"/>
                <w:lang w:val="sv-FI"/>
              </w:rPr>
              <w:t>Urusan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Pemerintahan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Bidang</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Pekerjaan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Umum</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Dan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Penataan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Ruang</w:t>
            </w:r>
            <w:r w:rsidR="00A954D0">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374216B5"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231.115.268.613,00</w:t>
            </w:r>
          </w:p>
        </w:tc>
        <w:tc>
          <w:tcPr>
            <w:tcW w:w="2126" w:type="dxa"/>
            <w:tcBorders>
              <w:top w:val="nil"/>
              <w:left w:val="nil"/>
              <w:bottom w:val="single" w:sz="4" w:space="0" w:color="000000"/>
              <w:right w:val="single" w:sz="4" w:space="0" w:color="000000"/>
            </w:tcBorders>
            <w:shd w:val="clear" w:color="auto" w:fill="auto"/>
            <w:noWrap/>
            <w:vAlign w:val="center"/>
          </w:tcPr>
          <w:p w14:paraId="7D6DFF15"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510.148.841.699,00</w:t>
            </w:r>
          </w:p>
        </w:tc>
        <w:tc>
          <w:tcPr>
            <w:tcW w:w="1985" w:type="dxa"/>
            <w:tcBorders>
              <w:top w:val="nil"/>
              <w:left w:val="nil"/>
              <w:bottom w:val="single" w:sz="4" w:space="0" w:color="000000"/>
              <w:right w:val="single" w:sz="4" w:space="0" w:color="000000"/>
            </w:tcBorders>
            <w:shd w:val="clear" w:color="auto" w:fill="auto"/>
            <w:noWrap/>
            <w:vAlign w:val="center"/>
          </w:tcPr>
          <w:p w14:paraId="7FDFC6F4"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46E0886F"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2EDEE5AA"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741.264.110.312,00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381D6E58" w14:textId="77777777" w:rsidR="00080B19" w:rsidRPr="00412C56" w:rsidRDefault="00080B19" w:rsidP="0023341C">
            <w:pPr>
              <w:spacing w:before="60" w:line="276" w:lineRule="auto"/>
              <w:jc w:val="center"/>
              <w:rPr>
                <w:rFonts w:ascii="Bookman Old Style" w:hAnsi="Bookman Old Style" w:cs="Calibri"/>
                <w:color w:val="000000"/>
                <w:sz w:val="16"/>
                <w:szCs w:val="16"/>
              </w:rPr>
            </w:pPr>
            <w:r>
              <w:rPr>
                <w:rFonts w:ascii="Bookman Old Style" w:hAnsi="Bookman Old Style" w:cs="Calibri"/>
                <w:color w:val="000000"/>
                <w:sz w:val="16"/>
                <w:szCs w:val="16"/>
              </w:rPr>
              <w:t>12,99</w:t>
            </w:r>
          </w:p>
        </w:tc>
      </w:tr>
      <w:tr w:rsidR="00080B19" w:rsidRPr="00412C56" w14:paraId="3795B230"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2B5CC47A" w14:textId="4A691783" w:rsidR="00080B19" w:rsidRPr="00412C56" w:rsidRDefault="00080B19" w:rsidP="0023341C">
            <w:pPr>
              <w:spacing w:before="60" w:line="276" w:lineRule="auto"/>
              <w:rPr>
                <w:rFonts w:ascii="Bookman Old Style" w:hAnsi="Bookman Old Style"/>
                <w:sz w:val="16"/>
                <w:szCs w:val="16"/>
                <w:lang w:val="sv-FI"/>
              </w:rPr>
            </w:pPr>
            <w:r w:rsidRPr="00412C56">
              <w:rPr>
                <w:rFonts w:ascii="Bookman Old Style" w:hAnsi="Bookman Old Style"/>
                <w:sz w:val="16"/>
                <w:szCs w:val="16"/>
                <w:lang w:val="sv-FI"/>
              </w:rPr>
              <w:t>Urusan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Pemerintahan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Bidang</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Perumahan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Dan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Kawasan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Permukiman</w:t>
            </w:r>
            <w:r w:rsidR="00A954D0">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20EA4E5E"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68.886.488.005,00</w:t>
            </w:r>
          </w:p>
        </w:tc>
        <w:tc>
          <w:tcPr>
            <w:tcW w:w="2126" w:type="dxa"/>
            <w:tcBorders>
              <w:top w:val="nil"/>
              <w:left w:val="nil"/>
              <w:bottom w:val="single" w:sz="4" w:space="0" w:color="000000"/>
              <w:right w:val="single" w:sz="4" w:space="0" w:color="000000"/>
            </w:tcBorders>
            <w:shd w:val="clear" w:color="auto" w:fill="auto"/>
            <w:noWrap/>
            <w:vAlign w:val="center"/>
          </w:tcPr>
          <w:p w14:paraId="57CD4204"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1.839.222.900,00</w:t>
            </w:r>
          </w:p>
        </w:tc>
        <w:tc>
          <w:tcPr>
            <w:tcW w:w="1985" w:type="dxa"/>
            <w:tcBorders>
              <w:top w:val="nil"/>
              <w:left w:val="nil"/>
              <w:bottom w:val="single" w:sz="4" w:space="0" w:color="000000"/>
              <w:right w:val="single" w:sz="4" w:space="0" w:color="000000"/>
            </w:tcBorders>
            <w:shd w:val="clear" w:color="auto" w:fill="auto"/>
            <w:noWrap/>
            <w:vAlign w:val="center"/>
          </w:tcPr>
          <w:p w14:paraId="786A736F"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26DB5D51"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4897A6CB"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70.725.710.905,00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7CE6A6B0" w14:textId="77777777" w:rsidR="00080B19" w:rsidRPr="00412C56" w:rsidRDefault="00080B19" w:rsidP="0023341C">
            <w:pPr>
              <w:spacing w:before="60" w:line="276" w:lineRule="auto"/>
              <w:jc w:val="center"/>
              <w:rPr>
                <w:rFonts w:ascii="Bookman Old Style" w:hAnsi="Bookman Old Style" w:cs="Calibri"/>
                <w:color w:val="000000"/>
                <w:sz w:val="16"/>
                <w:szCs w:val="16"/>
              </w:rPr>
            </w:pPr>
            <w:r>
              <w:rPr>
                <w:rFonts w:ascii="Bookman Old Style" w:hAnsi="Bookman Old Style" w:cs="Calibri"/>
                <w:color w:val="000000"/>
                <w:sz w:val="16"/>
                <w:szCs w:val="16"/>
              </w:rPr>
              <w:t>1,24</w:t>
            </w:r>
          </w:p>
        </w:tc>
      </w:tr>
      <w:tr w:rsidR="00080B19" w:rsidRPr="00412C56" w14:paraId="0347CF13"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04E1A5D8" w14:textId="54D7ACA0" w:rsidR="00080B19" w:rsidRPr="00412C56" w:rsidRDefault="00080B19" w:rsidP="0023341C">
            <w:pPr>
              <w:spacing w:before="60" w:line="276" w:lineRule="auto"/>
              <w:rPr>
                <w:rFonts w:ascii="Bookman Old Style" w:hAnsi="Bookman Old Style"/>
                <w:sz w:val="16"/>
                <w:szCs w:val="16"/>
                <w:lang w:val="sv-FI"/>
              </w:rPr>
            </w:pPr>
            <w:r w:rsidRPr="00412C56">
              <w:rPr>
                <w:rFonts w:ascii="Bookman Old Style" w:hAnsi="Bookman Old Style"/>
                <w:sz w:val="16"/>
                <w:szCs w:val="16"/>
                <w:lang w:val="sv-FI"/>
              </w:rPr>
              <w:t>Urusan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Pemerintahan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Bidang</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Ketenteraman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Dan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Ketertiban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Umum</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Serta</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Perlindungan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Masyarakat</w:t>
            </w:r>
            <w:r w:rsidR="00A954D0">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5FA4111B"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87.086.545.090,00</w:t>
            </w:r>
          </w:p>
        </w:tc>
        <w:tc>
          <w:tcPr>
            <w:tcW w:w="2126" w:type="dxa"/>
            <w:tcBorders>
              <w:top w:val="nil"/>
              <w:left w:val="nil"/>
              <w:bottom w:val="single" w:sz="4" w:space="0" w:color="000000"/>
              <w:right w:val="single" w:sz="4" w:space="0" w:color="000000"/>
            </w:tcBorders>
            <w:shd w:val="clear" w:color="auto" w:fill="auto"/>
            <w:noWrap/>
            <w:vAlign w:val="center"/>
          </w:tcPr>
          <w:p w14:paraId="34311725"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27.180.286.986,00</w:t>
            </w:r>
          </w:p>
        </w:tc>
        <w:tc>
          <w:tcPr>
            <w:tcW w:w="1985" w:type="dxa"/>
            <w:tcBorders>
              <w:top w:val="nil"/>
              <w:left w:val="nil"/>
              <w:bottom w:val="single" w:sz="4" w:space="0" w:color="000000"/>
              <w:right w:val="single" w:sz="4" w:space="0" w:color="000000"/>
            </w:tcBorders>
            <w:shd w:val="clear" w:color="auto" w:fill="auto"/>
            <w:noWrap/>
            <w:vAlign w:val="center"/>
          </w:tcPr>
          <w:p w14:paraId="5A51B437"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0B7B90A7"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1E691503"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114.266.832.076,00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057CC5C" w14:textId="77777777" w:rsidR="00080B19" w:rsidRPr="00412C56" w:rsidRDefault="00080B19" w:rsidP="0023341C">
            <w:pPr>
              <w:spacing w:before="60" w:line="276" w:lineRule="auto"/>
              <w:jc w:val="center"/>
              <w:rPr>
                <w:rFonts w:ascii="Bookman Old Style" w:hAnsi="Bookman Old Style" w:cs="Calibri"/>
                <w:color w:val="000000"/>
                <w:sz w:val="16"/>
                <w:szCs w:val="16"/>
              </w:rPr>
            </w:pPr>
            <w:r>
              <w:rPr>
                <w:rFonts w:ascii="Bookman Old Style" w:hAnsi="Bookman Old Style" w:cs="Calibri"/>
                <w:color w:val="000000"/>
                <w:sz w:val="16"/>
                <w:szCs w:val="16"/>
              </w:rPr>
              <w:t>2,00</w:t>
            </w:r>
          </w:p>
        </w:tc>
      </w:tr>
      <w:tr w:rsidR="00080B19" w:rsidRPr="00412C56" w14:paraId="47516654"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74DFC3B9" w14:textId="75494CEC" w:rsidR="00080B19" w:rsidRPr="00412C56" w:rsidRDefault="00080B19" w:rsidP="0023341C">
            <w:pPr>
              <w:spacing w:before="60" w:line="276" w:lineRule="auto"/>
              <w:rPr>
                <w:rFonts w:ascii="Bookman Old Style" w:hAnsi="Bookman Old Style"/>
                <w:sz w:val="16"/>
                <w:szCs w:val="16"/>
                <w:lang w:val="sv-FI"/>
              </w:rPr>
            </w:pPr>
            <w:r w:rsidRPr="00412C56">
              <w:rPr>
                <w:rFonts w:ascii="Bookman Old Style" w:hAnsi="Bookman Old Style"/>
                <w:sz w:val="16"/>
                <w:szCs w:val="16"/>
                <w:lang w:val="sv-FI"/>
              </w:rPr>
              <w:t>Urusan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Pemerintahan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Bidang</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Sosial</w:t>
            </w:r>
            <w:r w:rsidR="00A954D0">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47647669"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46.306.500.525,00</w:t>
            </w:r>
          </w:p>
        </w:tc>
        <w:tc>
          <w:tcPr>
            <w:tcW w:w="2126" w:type="dxa"/>
            <w:tcBorders>
              <w:top w:val="nil"/>
              <w:left w:val="nil"/>
              <w:bottom w:val="single" w:sz="4" w:space="0" w:color="000000"/>
              <w:right w:val="single" w:sz="4" w:space="0" w:color="000000"/>
            </w:tcBorders>
            <w:shd w:val="clear" w:color="auto" w:fill="auto"/>
            <w:noWrap/>
            <w:vAlign w:val="center"/>
          </w:tcPr>
          <w:p w14:paraId="741F81C4"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273.554.600,00</w:t>
            </w:r>
          </w:p>
        </w:tc>
        <w:tc>
          <w:tcPr>
            <w:tcW w:w="1985" w:type="dxa"/>
            <w:tcBorders>
              <w:top w:val="nil"/>
              <w:left w:val="nil"/>
              <w:bottom w:val="single" w:sz="4" w:space="0" w:color="000000"/>
              <w:right w:val="single" w:sz="4" w:space="0" w:color="000000"/>
            </w:tcBorders>
            <w:shd w:val="clear" w:color="auto" w:fill="auto"/>
            <w:noWrap/>
            <w:vAlign w:val="center"/>
          </w:tcPr>
          <w:p w14:paraId="77C2446B"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72C7C5C3"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74FAC4A5"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46.580.055.125,00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5356E30E" w14:textId="77777777" w:rsidR="00080B19" w:rsidRPr="00412C56" w:rsidRDefault="00080B19" w:rsidP="0023341C">
            <w:pPr>
              <w:spacing w:before="60" w:line="276" w:lineRule="auto"/>
              <w:jc w:val="center"/>
              <w:rPr>
                <w:rFonts w:ascii="Bookman Old Style" w:hAnsi="Bookman Old Style" w:cs="Calibri"/>
                <w:color w:val="000000"/>
                <w:sz w:val="16"/>
                <w:szCs w:val="16"/>
              </w:rPr>
            </w:pPr>
            <w:r>
              <w:rPr>
                <w:rFonts w:ascii="Bookman Old Style" w:hAnsi="Bookman Old Style" w:cs="Calibri"/>
                <w:color w:val="000000"/>
                <w:sz w:val="16"/>
                <w:szCs w:val="16"/>
              </w:rPr>
              <w:t>0,82</w:t>
            </w:r>
          </w:p>
        </w:tc>
      </w:tr>
      <w:tr w:rsidR="00080B19" w:rsidRPr="00412C56" w14:paraId="6E98442D"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18CF80FB" w14:textId="427CE2CC" w:rsidR="00080B19" w:rsidRPr="00412C56" w:rsidRDefault="00080B19" w:rsidP="0023341C">
            <w:pPr>
              <w:spacing w:before="60" w:line="276" w:lineRule="auto"/>
              <w:rPr>
                <w:rFonts w:ascii="Bookman Old Style" w:hAnsi="Bookman Old Style"/>
                <w:b/>
                <w:bCs/>
                <w:sz w:val="16"/>
                <w:szCs w:val="16"/>
                <w:lang w:val="sv-FI"/>
              </w:rPr>
            </w:pPr>
            <w:r w:rsidRPr="00412C56">
              <w:rPr>
                <w:rFonts w:ascii="Bookman Old Style" w:hAnsi="Bookman Old Style"/>
                <w:b/>
                <w:bCs/>
                <w:sz w:val="16"/>
                <w:szCs w:val="16"/>
                <w:lang w:val="sv-FI"/>
              </w:rPr>
              <w:t>Urusan</w:t>
            </w:r>
            <w:r w:rsidR="00A954D0">
              <w:rPr>
                <w:rFonts w:ascii="Bookman Old Style" w:hAnsi="Bookman Old Style"/>
                <w:b/>
                <w:bCs/>
                <w:sz w:val="16"/>
                <w:szCs w:val="16"/>
                <w:lang w:val="sv-FI"/>
              </w:rPr>
              <w:t xml:space="preserve"> </w:t>
            </w:r>
            <w:r w:rsidRPr="00412C56">
              <w:rPr>
                <w:rFonts w:ascii="Bookman Old Style" w:hAnsi="Bookman Old Style"/>
                <w:b/>
                <w:bCs/>
                <w:sz w:val="16"/>
                <w:szCs w:val="16"/>
                <w:lang w:val="sv-FI"/>
              </w:rPr>
              <w:t>Pemerintahan</w:t>
            </w:r>
            <w:r w:rsidR="00A954D0">
              <w:rPr>
                <w:rFonts w:ascii="Bookman Old Style" w:hAnsi="Bookman Old Style"/>
                <w:b/>
                <w:bCs/>
                <w:sz w:val="16"/>
                <w:szCs w:val="16"/>
                <w:lang w:val="sv-FI"/>
              </w:rPr>
              <w:t xml:space="preserve"> </w:t>
            </w:r>
            <w:r w:rsidRPr="00412C56">
              <w:rPr>
                <w:rFonts w:ascii="Bookman Old Style" w:hAnsi="Bookman Old Style"/>
                <w:b/>
                <w:bCs/>
                <w:sz w:val="16"/>
                <w:szCs w:val="16"/>
                <w:lang w:val="sv-FI"/>
              </w:rPr>
              <w:t>Wajib</w:t>
            </w:r>
            <w:r w:rsidR="00A954D0">
              <w:rPr>
                <w:rFonts w:ascii="Bookman Old Style" w:hAnsi="Bookman Old Style"/>
                <w:b/>
                <w:bCs/>
                <w:sz w:val="16"/>
                <w:szCs w:val="16"/>
                <w:lang w:val="sv-FI"/>
              </w:rPr>
              <w:t xml:space="preserve"> </w:t>
            </w:r>
            <w:r w:rsidRPr="00412C56">
              <w:rPr>
                <w:rFonts w:ascii="Bookman Old Style" w:hAnsi="Bookman Old Style"/>
                <w:b/>
                <w:bCs/>
                <w:sz w:val="16"/>
                <w:szCs w:val="16"/>
                <w:lang w:val="sv-FI"/>
              </w:rPr>
              <w:t>Yang</w:t>
            </w:r>
            <w:r w:rsidR="00A954D0">
              <w:rPr>
                <w:rFonts w:ascii="Bookman Old Style" w:hAnsi="Bookman Old Style"/>
                <w:b/>
                <w:bCs/>
                <w:sz w:val="16"/>
                <w:szCs w:val="16"/>
                <w:lang w:val="sv-FI"/>
              </w:rPr>
              <w:t xml:space="preserve"> </w:t>
            </w:r>
            <w:r w:rsidRPr="00412C56">
              <w:rPr>
                <w:rFonts w:ascii="Bookman Old Style" w:hAnsi="Bookman Old Style"/>
                <w:b/>
                <w:bCs/>
                <w:sz w:val="16"/>
                <w:szCs w:val="16"/>
                <w:lang w:val="sv-FI"/>
              </w:rPr>
              <w:t>Tidak</w:t>
            </w:r>
            <w:r w:rsidR="00A954D0">
              <w:rPr>
                <w:rFonts w:ascii="Bookman Old Style" w:hAnsi="Bookman Old Style"/>
                <w:b/>
                <w:bCs/>
                <w:sz w:val="16"/>
                <w:szCs w:val="16"/>
                <w:lang w:val="sv-FI"/>
              </w:rPr>
              <w:t xml:space="preserve"> </w:t>
            </w:r>
            <w:r w:rsidRPr="00412C56">
              <w:rPr>
                <w:rFonts w:ascii="Bookman Old Style" w:hAnsi="Bookman Old Style"/>
                <w:b/>
                <w:bCs/>
                <w:sz w:val="16"/>
                <w:szCs w:val="16"/>
                <w:lang w:val="sv-FI"/>
              </w:rPr>
              <w:t>Berkaitan</w:t>
            </w:r>
            <w:r w:rsidR="00A954D0">
              <w:rPr>
                <w:rFonts w:ascii="Bookman Old Style" w:hAnsi="Bookman Old Style"/>
                <w:b/>
                <w:bCs/>
                <w:sz w:val="16"/>
                <w:szCs w:val="16"/>
                <w:lang w:val="sv-FI"/>
              </w:rPr>
              <w:t xml:space="preserve"> </w:t>
            </w:r>
            <w:r w:rsidRPr="00412C56">
              <w:rPr>
                <w:rFonts w:ascii="Bookman Old Style" w:hAnsi="Bookman Old Style"/>
                <w:b/>
                <w:bCs/>
                <w:sz w:val="16"/>
                <w:szCs w:val="16"/>
                <w:lang w:val="sv-FI"/>
              </w:rPr>
              <w:t>Dengan</w:t>
            </w:r>
            <w:r w:rsidR="00A954D0">
              <w:rPr>
                <w:rFonts w:ascii="Bookman Old Style" w:hAnsi="Bookman Old Style"/>
                <w:b/>
                <w:bCs/>
                <w:sz w:val="16"/>
                <w:szCs w:val="16"/>
                <w:lang w:val="sv-FI"/>
              </w:rPr>
              <w:t xml:space="preserve"> </w:t>
            </w:r>
            <w:r w:rsidRPr="00412C56">
              <w:rPr>
                <w:rFonts w:ascii="Bookman Old Style" w:hAnsi="Bookman Old Style"/>
                <w:b/>
                <w:bCs/>
                <w:sz w:val="16"/>
                <w:szCs w:val="16"/>
                <w:lang w:val="sv-FI"/>
              </w:rPr>
              <w:t>Pelayanan</w:t>
            </w:r>
            <w:r w:rsidR="00A954D0">
              <w:rPr>
                <w:rFonts w:ascii="Bookman Old Style" w:hAnsi="Bookman Old Style"/>
                <w:b/>
                <w:bCs/>
                <w:sz w:val="16"/>
                <w:szCs w:val="16"/>
                <w:lang w:val="sv-FI"/>
              </w:rPr>
              <w:t xml:space="preserve"> </w:t>
            </w:r>
            <w:r w:rsidRPr="00412C56">
              <w:rPr>
                <w:rFonts w:ascii="Bookman Old Style" w:hAnsi="Bookman Old Style"/>
                <w:b/>
                <w:bCs/>
                <w:sz w:val="16"/>
                <w:szCs w:val="16"/>
                <w:lang w:val="sv-FI"/>
              </w:rPr>
              <w:t>Dasar</w:t>
            </w:r>
            <w:r w:rsidR="00A954D0">
              <w:rPr>
                <w:rFonts w:ascii="Bookman Old Style" w:hAnsi="Bookman Old Style"/>
                <w:b/>
                <w:bCs/>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6B93D634"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color w:val="000000"/>
                <w:sz w:val="16"/>
                <w:szCs w:val="16"/>
              </w:rPr>
              <w:t>701.280.220.150,00</w:t>
            </w:r>
          </w:p>
        </w:tc>
        <w:tc>
          <w:tcPr>
            <w:tcW w:w="2126" w:type="dxa"/>
            <w:tcBorders>
              <w:top w:val="nil"/>
              <w:left w:val="nil"/>
              <w:bottom w:val="single" w:sz="4" w:space="0" w:color="000000"/>
              <w:right w:val="single" w:sz="4" w:space="0" w:color="000000"/>
            </w:tcBorders>
            <w:shd w:val="clear" w:color="auto" w:fill="auto"/>
            <w:noWrap/>
            <w:vAlign w:val="center"/>
          </w:tcPr>
          <w:p w14:paraId="218D6B80"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color w:val="000000"/>
                <w:sz w:val="16"/>
                <w:szCs w:val="16"/>
              </w:rPr>
              <w:t>246.634.202.081,00</w:t>
            </w:r>
          </w:p>
        </w:tc>
        <w:tc>
          <w:tcPr>
            <w:tcW w:w="1985" w:type="dxa"/>
            <w:tcBorders>
              <w:top w:val="nil"/>
              <w:left w:val="nil"/>
              <w:bottom w:val="single" w:sz="4" w:space="0" w:color="000000"/>
              <w:right w:val="single" w:sz="4" w:space="0" w:color="000000"/>
            </w:tcBorders>
            <w:shd w:val="clear" w:color="auto" w:fill="auto"/>
            <w:noWrap/>
            <w:vAlign w:val="center"/>
          </w:tcPr>
          <w:p w14:paraId="4961C279"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466E85E8"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1913E8FB"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color w:val="000000"/>
                <w:sz w:val="16"/>
                <w:szCs w:val="16"/>
              </w:rPr>
              <w:t>947.914.422.231,00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BDD948A" w14:textId="77777777" w:rsidR="00080B19" w:rsidRPr="00412C56" w:rsidRDefault="00080B19" w:rsidP="0023341C">
            <w:pPr>
              <w:spacing w:before="60" w:line="276" w:lineRule="auto"/>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16,61</w:t>
            </w:r>
          </w:p>
        </w:tc>
      </w:tr>
      <w:tr w:rsidR="00080B19" w:rsidRPr="00412C56" w14:paraId="20361990"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627C6E94" w14:textId="68322301" w:rsidR="00080B19" w:rsidRPr="00412C56" w:rsidRDefault="00080B19" w:rsidP="0023341C">
            <w:pPr>
              <w:spacing w:before="60" w:line="276" w:lineRule="auto"/>
              <w:rPr>
                <w:rFonts w:ascii="Bookman Old Style" w:hAnsi="Bookman Old Style"/>
                <w:sz w:val="16"/>
                <w:szCs w:val="16"/>
                <w:lang w:val="sv-FI"/>
              </w:rPr>
            </w:pPr>
            <w:r w:rsidRPr="00412C56">
              <w:rPr>
                <w:rFonts w:ascii="Bookman Old Style" w:hAnsi="Bookman Old Style"/>
                <w:sz w:val="16"/>
                <w:szCs w:val="16"/>
                <w:lang w:val="sv-FI"/>
              </w:rPr>
              <w:t>Urusan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Pemerintahan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Bidang</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Tenaga</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Kerja</w:t>
            </w:r>
            <w:r w:rsidR="00A954D0">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5AAB03E6"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27.385.319.194,00</w:t>
            </w:r>
          </w:p>
        </w:tc>
        <w:tc>
          <w:tcPr>
            <w:tcW w:w="2126" w:type="dxa"/>
            <w:tcBorders>
              <w:top w:val="nil"/>
              <w:left w:val="nil"/>
              <w:bottom w:val="single" w:sz="4" w:space="0" w:color="000000"/>
              <w:right w:val="single" w:sz="4" w:space="0" w:color="000000"/>
            </w:tcBorders>
            <w:shd w:val="clear" w:color="auto" w:fill="auto"/>
            <w:noWrap/>
            <w:vAlign w:val="center"/>
          </w:tcPr>
          <w:p w14:paraId="6DC16A1D"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477.774.600,00</w:t>
            </w:r>
          </w:p>
        </w:tc>
        <w:tc>
          <w:tcPr>
            <w:tcW w:w="1985" w:type="dxa"/>
            <w:tcBorders>
              <w:top w:val="nil"/>
              <w:left w:val="nil"/>
              <w:bottom w:val="single" w:sz="4" w:space="0" w:color="000000"/>
              <w:right w:val="single" w:sz="4" w:space="0" w:color="000000"/>
            </w:tcBorders>
            <w:shd w:val="clear" w:color="auto" w:fill="auto"/>
            <w:noWrap/>
            <w:vAlign w:val="center"/>
          </w:tcPr>
          <w:p w14:paraId="3010D964"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117098BD"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27A0421C"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27.863.093.794,00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A14EF88" w14:textId="77777777" w:rsidR="00080B19" w:rsidRPr="00412C56" w:rsidRDefault="00080B19" w:rsidP="00735D18">
            <w:pPr>
              <w:spacing w:before="60" w:line="276" w:lineRule="auto"/>
              <w:jc w:val="center"/>
              <w:rPr>
                <w:rFonts w:ascii="Bookman Old Style" w:hAnsi="Bookman Old Style" w:cs="Calibri"/>
                <w:color w:val="000000"/>
                <w:sz w:val="16"/>
                <w:szCs w:val="16"/>
              </w:rPr>
            </w:pPr>
            <w:r>
              <w:rPr>
                <w:rFonts w:ascii="Bookman Old Style" w:hAnsi="Bookman Old Style" w:cs="Calibri"/>
                <w:color w:val="000000"/>
                <w:sz w:val="16"/>
                <w:szCs w:val="16"/>
              </w:rPr>
              <w:t>0,49</w:t>
            </w:r>
          </w:p>
        </w:tc>
      </w:tr>
      <w:tr w:rsidR="00080B19" w:rsidRPr="00412C56" w14:paraId="466244E3"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567F6508" w14:textId="382A4CFE" w:rsidR="00080B19" w:rsidRPr="00412C56" w:rsidRDefault="00080B19" w:rsidP="0023341C">
            <w:pPr>
              <w:spacing w:before="60" w:line="276" w:lineRule="auto"/>
              <w:rPr>
                <w:rFonts w:ascii="Bookman Old Style" w:hAnsi="Bookman Old Style"/>
                <w:sz w:val="16"/>
                <w:szCs w:val="16"/>
                <w:lang w:val="sv-FI"/>
              </w:rPr>
            </w:pPr>
            <w:r w:rsidRPr="00412C56">
              <w:rPr>
                <w:rFonts w:ascii="Bookman Old Style" w:hAnsi="Bookman Old Style"/>
                <w:sz w:val="16"/>
                <w:szCs w:val="16"/>
                <w:lang w:val="sv-FI"/>
              </w:rPr>
              <w:t>Urusan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Pemerintahan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Bidang</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Pemberdayaan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Perempuan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Dan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Perlindungan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Anak</w:t>
            </w:r>
            <w:r w:rsidR="00A954D0">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7053B4D4"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25.296.653.228,00</w:t>
            </w:r>
          </w:p>
        </w:tc>
        <w:tc>
          <w:tcPr>
            <w:tcW w:w="2126" w:type="dxa"/>
            <w:tcBorders>
              <w:top w:val="nil"/>
              <w:left w:val="nil"/>
              <w:bottom w:val="single" w:sz="4" w:space="0" w:color="000000"/>
              <w:right w:val="single" w:sz="4" w:space="0" w:color="000000"/>
            </w:tcBorders>
            <w:shd w:val="clear" w:color="auto" w:fill="auto"/>
            <w:noWrap/>
            <w:vAlign w:val="center"/>
          </w:tcPr>
          <w:p w14:paraId="564D0973"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613.228.000,00</w:t>
            </w:r>
          </w:p>
        </w:tc>
        <w:tc>
          <w:tcPr>
            <w:tcW w:w="1985" w:type="dxa"/>
            <w:tcBorders>
              <w:top w:val="nil"/>
              <w:left w:val="nil"/>
              <w:bottom w:val="single" w:sz="4" w:space="0" w:color="000000"/>
              <w:right w:val="single" w:sz="4" w:space="0" w:color="000000"/>
            </w:tcBorders>
            <w:shd w:val="clear" w:color="auto" w:fill="auto"/>
            <w:noWrap/>
            <w:vAlign w:val="center"/>
          </w:tcPr>
          <w:p w14:paraId="647051EC"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4403C012"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5EEC5D9C"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25.909.881.228,00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CD0192B" w14:textId="77777777" w:rsidR="00080B19" w:rsidRPr="00412C56" w:rsidRDefault="00080B19" w:rsidP="0023341C">
            <w:pPr>
              <w:spacing w:before="60" w:line="276" w:lineRule="auto"/>
              <w:jc w:val="center"/>
              <w:rPr>
                <w:rFonts w:ascii="Bookman Old Style" w:hAnsi="Bookman Old Style" w:cs="Calibri"/>
                <w:color w:val="000000"/>
                <w:sz w:val="16"/>
                <w:szCs w:val="16"/>
              </w:rPr>
            </w:pPr>
            <w:r>
              <w:rPr>
                <w:rFonts w:ascii="Bookman Old Style" w:hAnsi="Bookman Old Style" w:cs="Calibri"/>
                <w:color w:val="000000"/>
                <w:sz w:val="16"/>
                <w:szCs w:val="16"/>
              </w:rPr>
              <w:t>0,45</w:t>
            </w:r>
          </w:p>
        </w:tc>
      </w:tr>
      <w:tr w:rsidR="00080B19" w:rsidRPr="00412C56" w14:paraId="5D557CD0"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42F99022" w14:textId="16E0AC46" w:rsidR="00080B19" w:rsidRPr="00412C56" w:rsidRDefault="00080B19" w:rsidP="0023341C">
            <w:pPr>
              <w:spacing w:before="60" w:line="276" w:lineRule="auto"/>
              <w:rPr>
                <w:rFonts w:ascii="Bookman Old Style" w:hAnsi="Bookman Old Style"/>
                <w:sz w:val="16"/>
                <w:szCs w:val="16"/>
                <w:lang w:val="sv-FI"/>
              </w:rPr>
            </w:pPr>
            <w:r w:rsidRPr="00412C56">
              <w:rPr>
                <w:rFonts w:ascii="Bookman Old Style" w:hAnsi="Bookman Old Style"/>
                <w:sz w:val="16"/>
                <w:szCs w:val="16"/>
                <w:lang w:val="sv-FI"/>
              </w:rPr>
              <w:t>Urusan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Pemerintahan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Bidang</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Pangan</w:t>
            </w:r>
            <w:r w:rsidR="00A954D0">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7B1B2FC1"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23.348.487.293,00</w:t>
            </w:r>
          </w:p>
        </w:tc>
        <w:tc>
          <w:tcPr>
            <w:tcW w:w="2126" w:type="dxa"/>
            <w:tcBorders>
              <w:top w:val="nil"/>
              <w:left w:val="nil"/>
              <w:bottom w:val="single" w:sz="4" w:space="0" w:color="000000"/>
              <w:right w:val="single" w:sz="4" w:space="0" w:color="000000"/>
            </w:tcBorders>
            <w:shd w:val="clear" w:color="auto" w:fill="auto"/>
            <w:noWrap/>
            <w:vAlign w:val="center"/>
          </w:tcPr>
          <w:p w14:paraId="5D040349"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558.967.000,00</w:t>
            </w:r>
          </w:p>
        </w:tc>
        <w:tc>
          <w:tcPr>
            <w:tcW w:w="1985" w:type="dxa"/>
            <w:tcBorders>
              <w:top w:val="nil"/>
              <w:left w:val="nil"/>
              <w:bottom w:val="single" w:sz="4" w:space="0" w:color="000000"/>
              <w:right w:val="single" w:sz="4" w:space="0" w:color="000000"/>
            </w:tcBorders>
            <w:shd w:val="clear" w:color="auto" w:fill="auto"/>
            <w:noWrap/>
            <w:vAlign w:val="center"/>
          </w:tcPr>
          <w:p w14:paraId="7DFEF13D"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3879BCAD"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31481B14"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23.907.454.293,00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3643AD20" w14:textId="77777777" w:rsidR="00080B19" w:rsidRPr="00412C56" w:rsidRDefault="00080B19" w:rsidP="0023341C">
            <w:pPr>
              <w:spacing w:before="60" w:line="276" w:lineRule="auto"/>
              <w:jc w:val="center"/>
              <w:rPr>
                <w:rFonts w:ascii="Bookman Old Style" w:hAnsi="Bookman Old Style" w:cs="Calibri"/>
                <w:color w:val="000000"/>
                <w:sz w:val="16"/>
                <w:szCs w:val="16"/>
              </w:rPr>
            </w:pPr>
            <w:r>
              <w:rPr>
                <w:rFonts w:ascii="Bookman Old Style" w:hAnsi="Bookman Old Style" w:cs="Calibri"/>
                <w:color w:val="000000"/>
                <w:sz w:val="16"/>
                <w:szCs w:val="16"/>
              </w:rPr>
              <w:t>0,42</w:t>
            </w:r>
          </w:p>
        </w:tc>
      </w:tr>
      <w:tr w:rsidR="00080B19" w:rsidRPr="00412C56" w14:paraId="1C750028"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33A22FC0" w14:textId="0A9F3E4B" w:rsidR="00080B19" w:rsidRPr="00412C56" w:rsidRDefault="00080B19" w:rsidP="0023341C">
            <w:pPr>
              <w:spacing w:before="60" w:line="276" w:lineRule="auto"/>
              <w:rPr>
                <w:rFonts w:ascii="Bookman Old Style" w:hAnsi="Bookman Old Style"/>
                <w:sz w:val="16"/>
                <w:szCs w:val="16"/>
                <w:lang w:val="sv-FI"/>
              </w:rPr>
            </w:pPr>
            <w:r w:rsidRPr="00412C56">
              <w:rPr>
                <w:rFonts w:ascii="Bookman Old Style" w:hAnsi="Bookman Old Style"/>
                <w:sz w:val="16"/>
                <w:szCs w:val="16"/>
                <w:lang w:val="sv-FI"/>
              </w:rPr>
              <w:t>Urusan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Pemerintahan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Bidang</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Pertanahan</w:t>
            </w:r>
            <w:r w:rsidR="00A954D0">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700E99B6"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408.574.900,00</w:t>
            </w:r>
          </w:p>
        </w:tc>
        <w:tc>
          <w:tcPr>
            <w:tcW w:w="2126" w:type="dxa"/>
            <w:tcBorders>
              <w:top w:val="nil"/>
              <w:left w:val="nil"/>
              <w:bottom w:val="single" w:sz="4" w:space="0" w:color="000000"/>
              <w:right w:val="single" w:sz="4" w:space="0" w:color="000000"/>
            </w:tcBorders>
            <w:shd w:val="clear" w:color="auto" w:fill="auto"/>
            <w:noWrap/>
            <w:vAlign w:val="center"/>
          </w:tcPr>
          <w:p w14:paraId="7B2BC776"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158.596.066.050,00</w:t>
            </w:r>
          </w:p>
        </w:tc>
        <w:tc>
          <w:tcPr>
            <w:tcW w:w="1985" w:type="dxa"/>
            <w:tcBorders>
              <w:top w:val="nil"/>
              <w:left w:val="nil"/>
              <w:bottom w:val="single" w:sz="4" w:space="0" w:color="000000"/>
              <w:right w:val="single" w:sz="4" w:space="0" w:color="000000"/>
            </w:tcBorders>
            <w:shd w:val="clear" w:color="auto" w:fill="auto"/>
            <w:noWrap/>
            <w:vAlign w:val="center"/>
          </w:tcPr>
          <w:p w14:paraId="598FECE2"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017F6D0D"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10874220"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159.004.640.950,00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30007428" w14:textId="77777777" w:rsidR="00080B19" w:rsidRPr="00412C56" w:rsidRDefault="00080B19" w:rsidP="0023341C">
            <w:pPr>
              <w:spacing w:before="60" w:line="276" w:lineRule="auto"/>
              <w:jc w:val="center"/>
              <w:rPr>
                <w:rFonts w:ascii="Bookman Old Style" w:hAnsi="Bookman Old Style" w:cs="Calibri"/>
                <w:color w:val="000000"/>
                <w:sz w:val="16"/>
                <w:szCs w:val="16"/>
              </w:rPr>
            </w:pPr>
            <w:r>
              <w:rPr>
                <w:rFonts w:ascii="Bookman Old Style" w:hAnsi="Bookman Old Style" w:cs="Calibri"/>
                <w:color w:val="000000"/>
                <w:sz w:val="16"/>
                <w:szCs w:val="16"/>
              </w:rPr>
              <w:t>2,79</w:t>
            </w:r>
          </w:p>
        </w:tc>
      </w:tr>
      <w:tr w:rsidR="00080B19" w:rsidRPr="00412C56" w14:paraId="70B4D781"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4F93C3A7" w14:textId="1F54BF87" w:rsidR="00080B19" w:rsidRPr="00412C56" w:rsidRDefault="00080B19" w:rsidP="0023341C">
            <w:pPr>
              <w:spacing w:before="60" w:line="276" w:lineRule="auto"/>
              <w:rPr>
                <w:rFonts w:ascii="Bookman Old Style" w:hAnsi="Bookman Old Style"/>
                <w:sz w:val="16"/>
                <w:szCs w:val="16"/>
                <w:lang w:val="sv-FI"/>
              </w:rPr>
            </w:pPr>
            <w:r w:rsidRPr="00412C56">
              <w:rPr>
                <w:rFonts w:ascii="Bookman Old Style" w:hAnsi="Bookman Old Style"/>
                <w:sz w:val="16"/>
                <w:szCs w:val="16"/>
                <w:lang w:val="sv-FI"/>
              </w:rPr>
              <w:t>Urusan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Pemerintahan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Bidang</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Lingkungan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Hidup</w:t>
            </w:r>
            <w:r w:rsidR="00A954D0">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72C5B9F0"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204.332.136.970,00</w:t>
            </w:r>
          </w:p>
        </w:tc>
        <w:tc>
          <w:tcPr>
            <w:tcW w:w="2126" w:type="dxa"/>
            <w:tcBorders>
              <w:top w:val="nil"/>
              <w:left w:val="nil"/>
              <w:bottom w:val="single" w:sz="4" w:space="0" w:color="000000"/>
              <w:right w:val="single" w:sz="4" w:space="0" w:color="000000"/>
            </w:tcBorders>
            <w:shd w:val="clear" w:color="auto" w:fill="auto"/>
            <w:noWrap/>
            <w:vAlign w:val="center"/>
          </w:tcPr>
          <w:p w14:paraId="267B33A9"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41.765.431.570,00</w:t>
            </w:r>
          </w:p>
        </w:tc>
        <w:tc>
          <w:tcPr>
            <w:tcW w:w="1985" w:type="dxa"/>
            <w:tcBorders>
              <w:top w:val="nil"/>
              <w:left w:val="nil"/>
              <w:bottom w:val="single" w:sz="4" w:space="0" w:color="000000"/>
              <w:right w:val="single" w:sz="4" w:space="0" w:color="000000"/>
            </w:tcBorders>
            <w:shd w:val="clear" w:color="auto" w:fill="auto"/>
            <w:noWrap/>
            <w:vAlign w:val="center"/>
          </w:tcPr>
          <w:p w14:paraId="5F799D74"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579A5AC8"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57999D38"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246.097.568.540,00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3B316322" w14:textId="77777777" w:rsidR="00080B19" w:rsidRPr="00412C56" w:rsidRDefault="00080B19" w:rsidP="0023341C">
            <w:pPr>
              <w:spacing w:before="60" w:line="276" w:lineRule="auto"/>
              <w:jc w:val="center"/>
              <w:rPr>
                <w:rFonts w:ascii="Bookman Old Style" w:hAnsi="Bookman Old Style" w:cs="Calibri"/>
                <w:color w:val="000000"/>
                <w:sz w:val="16"/>
                <w:szCs w:val="16"/>
              </w:rPr>
            </w:pPr>
            <w:r>
              <w:rPr>
                <w:rFonts w:ascii="Bookman Old Style" w:hAnsi="Bookman Old Style" w:cs="Calibri"/>
                <w:color w:val="000000"/>
                <w:sz w:val="16"/>
                <w:szCs w:val="16"/>
              </w:rPr>
              <w:t>4,31</w:t>
            </w:r>
          </w:p>
        </w:tc>
      </w:tr>
      <w:tr w:rsidR="00080B19" w:rsidRPr="00412C56" w14:paraId="76216C69"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64BC6CFE" w14:textId="23218FEF" w:rsidR="00080B19" w:rsidRPr="00412C56" w:rsidRDefault="00080B19" w:rsidP="0023341C">
            <w:pPr>
              <w:spacing w:before="60" w:line="276" w:lineRule="auto"/>
              <w:rPr>
                <w:rFonts w:ascii="Bookman Old Style" w:hAnsi="Bookman Old Style"/>
                <w:sz w:val="16"/>
                <w:szCs w:val="16"/>
                <w:lang w:val="sv-FI"/>
              </w:rPr>
            </w:pPr>
            <w:r w:rsidRPr="00412C56">
              <w:rPr>
                <w:rFonts w:ascii="Bookman Old Style" w:hAnsi="Bookman Old Style"/>
                <w:sz w:val="16"/>
                <w:szCs w:val="16"/>
                <w:lang w:val="sv-FI"/>
              </w:rPr>
              <w:t>Urusan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Pemerintahan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Bidang</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Administrasi</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Kependudukan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Dan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Pencatatan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Sipil</w:t>
            </w:r>
            <w:r w:rsidR="00A954D0">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2BAE334D"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21.542.358.325,00</w:t>
            </w:r>
          </w:p>
        </w:tc>
        <w:tc>
          <w:tcPr>
            <w:tcW w:w="2126" w:type="dxa"/>
            <w:tcBorders>
              <w:top w:val="nil"/>
              <w:left w:val="nil"/>
              <w:bottom w:val="single" w:sz="4" w:space="0" w:color="000000"/>
              <w:right w:val="single" w:sz="4" w:space="0" w:color="000000"/>
            </w:tcBorders>
            <w:shd w:val="clear" w:color="auto" w:fill="auto"/>
            <w:noWrap/>
            <w:vAlign w:val="center"/>
          </w:tcPr>
          <w:p w14:paraId="54F2E172"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251.069.600,00</w:t>
            </w:r>
          </w:p>
        </w:tc>
        <w:tc>
          <w:tcPr>
            <w:tcW w:w="1985" w:type="dxa"/>
            <w:tcBorders>
              <w:top w:val="nil"/>
              <w:left w:val="nil"/>
              <w:bottom w:val="single" w:sz="4" w:space="0" w:color="000000"/>
              <w:right w:val="single" w:sz="4" w:space="0" w:color="000000"/>
            </w:tcBorders>
            <w:shd w:val="clear" w:color="auto" w:fill="auto"/>
            <w:noWrap/>
            <w:vAlign w:val="center"/>
          </w:tcPr>
          <w:p w14:paraId="04BFAF67"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48B8C5DA"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738B2850"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21.793.427.925,00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3C968963" w14:textId="77777777" w:rsidR="00080B19" w:rsidRPr="00412C56" w:rsidRDefault="00080B19" w:rsidP="0023341C">
            <w:pPr>
              <w:spacing w:before="60" w:line="276" w:lineRule="auto"/>
              <w:jc w:val="center"/>
              <w:rPr>
                <w:rFonts w:ascii="Bookman Old Style" w:hAnsi="Bookman Old Style" w:cs="Calibri"/>
                <w:color w:val="000000"/>
                <w:sz w:val="16"/>
                <w:szCs w:val="16"/>
              </w:rPr>
            </w:pPr>
            <w:r>
              <w:rPr>
                <w:rFonts w:ascii="Bookman Old Style" w:hAnsi="Bookman Old Style" w:cs="Calibri"/>
                <w:color w:val="000000"/>
                <w:sz w:val="16"/>
                <w:szCs w:val="16"/>
              </w:rPr>
              <w:t>0,38</w:t>
            </w:r>
          </w:p>
        </w:tc>
      </w:tr>
      <w:tr w:rsidR="00080B19" w:rsidRPr="00412C56" w14:paraId="172C43EA"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tcPr>
          <w:p w14:paraId="7B48E2FD" w14:textId="2CF7D2C3" w:rsidR="00080B19" w:rsidRPr="00412C56" w:rsidRDefault="00080B19" w:rsidP="0023341C">
            <w:pPr>
              <w:tabs>
                <w:tab w:val="left" w:pos="3057"/>
              </w:tabs>
              <w:spacing w:before="60" w:line="276" w:lineRule="auto"/>
              <w:rPr>
                <w:rFonts w:ascii="Bookman Old Style" w:hAnsi="Bookman Old Style"/>
                <w:sz w:val="16"/>
                <w:szCs w:val="16"/>
                <w:lang w:val="sv-FI"/>
              </w:rPr>
            </w:pPr>
            <w:r w:rsidRPr="0072095E">
              <w:rPr>
                <w:rFonts w:ascii="Bookman Old Style" w:hAnsi="Bookman Old Style"/>
                <w:sz w:val="16"/>
                <w:szCs w:val="16"/>
                <w:lang w:val="sv-FI"/>
              </w:rPr>
              <w:t>Urusan</w:t>
            </w:r>
            <w:r w:rsidR="00A954D0">
              <w:rPr>
                <w:rFonts w:ascii="Bookman Old Style" w:hAnsi="Bookman Old Style"/>
                <w:sz w:val="16"/>
                <w:szCs w:val="16"/>
                <w:lang w:val="sv-FI"/>
              </w:rPr>
              <w:t xml:space="preserve"> </w:t>
            </w:r>
            <w:r w:rsidRPr="0072095E">
              <w:rPr>
                <w:rFonts w:ascii="Bookman Old Style" w:hAnsi="Bookman Old Style"/>
                <w:sz w:val="16"/>
                <w:szCs w:val="16"/>
                <w:lang w:val="sv-FI"/>
              </w:rPr>
              <w:t>Pemerintahan</w:t>
            </w:r>
            <w:r w:rsidR="00A954D0">
              <w:rPr>
                <w:rFonts w:ascii="Bookman Old Style" w:hAnsi="Bookman Old Style"/>
                <w:sz w:val="16"/>
                <w:szCs w:val="16"/>
                <w:lang w:val="sv-FI"/>
              </w:rPr>
              <w:t xml:space="preserve"> </w:t>
            </w:r>
            <w:r w:rsidRPr="0072095E">
              <w:rPr>
                <w:rFonts w:ascii="Bookman Old Style" w:hAnsi="Bookman Old Style"/>
                <w:sz w:val="16"/>
                <w:szCs w:val="16"/>
                <w:lang w:val="sv-FI"/>
              </w:rPr>
              <w:t>Bidang</w:t>
            </w:r>
            <w:r w:rsidR="00A954D0">
              <w:rPr>
                <w:rFonts w:ascii="Bookman Old Style" w:hAnsi="Bookman Old Style"/>
                <w:sz w:val="16"/>
                <w:szCs w:val="16"/>
                <w:lang w:val="sv-FI"/>
              </w:rPr>
              <w:t xml:space="preserve"> </w:t>
            </w:r>
            <w:r w:rsidRPr="0072095E">
              <w:rPr>
                <w:rFonts w:ascii="Bookman Old Style" w:hAnsi="Bookman Old Style"/>
                <w:sz w:val="16"/>
                <w:szCs w:val="16"/>
                <w:lang w:val="sv-FI"/>
              </w:rPr>
              <w:t>Pemberdayaan</w:t>
            </w:r>
            <w:r w:rsidR="00A954D0">
              <w:rPr>
                <w:rFonts w:ascii="Bookman Old Style" w:hAnsi="Bookman Old Style"/>
                <w:sz w:val="16"/>
                <w:szCs w:val="16"/>
                <w:lang w:val="sv-FI"/>
              </w:rPr>
              <w:t xml:space="preserve"> </w:t>
            </w:r>
            <w:r w:rsidRPr="0072095E">
              <w:rPr>
                <w:rFonts w:ascii="Bookman Old Style" w:hAnsi="Bookman Old Style"/>
                <w:sz w:val="16"/>
                <w:szCs w:val="16"/>
                <w:lang w:val="sv-FI"/>
              </w:rPr>
              <w:t>Masyarakat</w:t>
            </w:r>
            <w:r w:rsidR="00A954D0">
              <w:rPr>
                <w:rFonts w:ascii="Bookman Old Style" w:hAnsi="Bookman Old Style"/>
                <w:sz w:val="16"/>
                <w:szCs w:val="16"/>
                <w:lang w:val="sv-FI"/>
              </w:rPr>
              <w:t xml:space="preserve"> </w:t>
            </w:r>
            <w:r w:rsidRPr="0072095E">
              <w:rPr>
                <w:rFonts w:ascii="Bookman Old Style" w:hAnsi="Bookman Old Style"/>
                <w:sz w:val="16"/>
                <w:szCs w:val="16"/>
                <w:lang w:val="sv-FI"/>
              </w:rPr>
              <w:t>Dan</w:t>
            </w:r>
            <w:r w:rsidR="00A954D0">
              <w:rPr>
                <w:rFonts w:ascii="Bookman Old Style" w:hAnsi="Bookman Old Style"/>
                <w:sz w:val="16"/>
                <w:szCs w:val="16"/>
                <w:lang w:val="sv-FI"/>
              </w:rPr>
              <w:t xml:space="preserve"> </w:t>
            </w:r>
            <w:r w:rsidRPr="0072095E">
              <w:rPr>
                <w:rFonts w:ascii="Bookman Old Style" w:hAnsi="Bookman Old Style"/>
                <w:sz w:val="16"/>
                <w:szCs w:val="16"/>
                <w:lang w:val="sv-FI"/>
              </w:rPr>
              <w:t>Desa</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36390503"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33.328.971.400,00</w:t>
            </w:r>
          </w:p>
        </w:tc>
        <w:tc>
          <w:tcPr>
            <w:tcW w:w="2126" w:type="dxa"/>
            <w:tcBorders>
              <w:top w:val="nil"/>
              <w:left w:val="nil"/>
              <w:bottom w:val="single" w:sz="4" w:space="0" w:color="000000"/>
              <w:right w:val="single" w:sz="4" w:space="0" w:color="000000"/>
            </w:tcBorders>
            <w:shd w:val="clear" w:color="auto" w:fill="auto"/>
            <w:noWrap/>
            <w:vAlign w:val="center"/>
          </w:tcPr>
          <w:p w14:paraId="44821CBB"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60.800.600,00</w:t>
            </w:r>
          </w:p>
        </w:tc>
        <w:tc>
          <w:tcPr>
            <w:tcW w:w="1985" w:type="dxa"/>
            <w:tcBorders>
              <w:top w:val="nil"/>
              <w:left w:val="nil"/>
              <w:bottom w:val="single" w:sz="4" w:space="0" w:color="000000"/>
              <w:right w:val="single" w:sz="4" w:space="0" w:color="000000"/>
            </w:tcBorders>
            <w:shd w:val="clear" w:color="auto" w:fill="auto"/>
            <w:noWrap/>
            <w:vAlign w:val="center"/>
          </w:tcPr>
          <w:p w14:paraId="4E950734"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4642247E"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727EBE00"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33.389.772.000,00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034C0A1A" w14:textId="77777777" w:rsidR="00080B19" w:rsidRPr="00412C56" w:rsidRDefault="00080B19" w:rsidP="0023341C">
            <w:pPr>
              <w:spacing w:before="60" w:line="276" w:lineRule="auto"/>
              <w:jc w:val="center"/>
              <w:rPr>
                <w:rFonts w:ascii="Bookman Old Style" w:hAnsi="Bookman Old Style" w:cs="Calibri"/>
                <w:color w:val="000000"/>
                <w:sz w:val="16"/>
                <w:szCs w:val="16"/>
              </w:rPr>
            </w:pPr>
            <w:r>
              <w:rPr>
                <w:rFonts w:ascii="Bookman Old Style" w:hAnsi="Bookman Old Style" w:cs="Calibri"/>
                <w:color w:val="000000"/>
                <w:sz w:val="16"/>
                <w:szCs w:val="16"/>
              </w:rPr>
              <w:t>0,59</w:t>
            </w:r>
          </w:p>
        </w:tc>
      </w:tr>
      <w:tr w:rsidR="00080B19" w:rsidRPr="00412C56" w14:paraId="6EADF15F"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183631E4" w14:textId="22E760BF" w:rsidR="00080B19" w:rsidRPr="00412C56" w:rsidRDefault="00080B19" w:rsidP="0023341C">
            <w:pPr>
              <w:spacing w:before="60" w:line="276" w:lineRule="auto"/>
              <w:rPr>
                <w:rFonts w:ascii="Bookman Old Style" w:hAnsi="Bookman Old Style"/>
                <w:sz w:val="16"/>
                <w:szCs w:val="16"/>
                <w:lang w:val="sv-FI"/>
              </w:rPr>
            </w:pPr>
            <w:r w:rsidRPr="00412C56">
              <w:rPr>
                <w:rFonts w:ascii="Bookman Old Style" w:hAnsi="Bookman Old Style"/>
                <w:sz w:val="16"/>
                <w:szCs w:val="16"/>
                <w:lang w:val="sv-FI"/>
              </w:rPr>
              <w:lastRenderedPageBreak/>
              <w:t>Urusan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Pemerintahan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Bidang</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Pengendalian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Penduduk</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Dan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Keluarga</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Berencana</w:t>
            </w:r>
            <w:r w:rsidR="00A954D0">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7224C60D"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11.065.600.200,00</w:t>
            </w:r>
          </w:p>
        </w:tc>
        <w:tc>
          <w:tcPr>
            <w:tcW w:w="2126" w:type="dxa"/>
            <w:tcBorders>
              <w:top w:val="nil"/>
              <w:left w:val="nil"/>
              <w:bottom w:val="single" w:sz="4" w:space="0" w:color="000000"/>
              <w:right w:val="single" w:sz="4" w:space="0" w:color="000000"/>
            </w:tcBorders>
            <w:shd w:val="clear" w:color="auto" w:fill="auto"/>
            <w:noWrap/>
            <w:vAlign w:val="center"/>
          </w:tcPr>
          <w:p w14:paraId="07CED2D8"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130.000.000,00</w:t>
            </w:r>
          </w:p>
        </w:tc>
        <w:tc>
          <w:tcPr>
            <w:tcW w:w="1985" w:type="dxa"/>
            <w:tcBorders>
              <w:top w:val="nil"/>
              <w:left w:val="nil"/>
              <w:bottom w:val="single" w:sz="4" w:space="0" w:color="000000"/>
              <w:right w:val="single" w:sz="4" w:space="0" w:color="000000"/>
            </w:tcBorders>
            <w:shd w:val="clear" w:color="auto" w:fill="auto"/>
            <w:noWrap/>
            <w:vAlign w:val="center"/>
          </w:tcPr>
          <w:p w14:paraId="247B4E29"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29723C62"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1E834C01"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11.195.600.200,00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E077205" w14:textId="77777777" w:rsidR="00080B19" w:rsidRPr="00412C56" w:rsidRDefault="00080B19" w:rsidP="0023341C">
            <w:pPr>
              <w:spacing w:before="60" w:line="276" w:lineRule="auto"/>
              <w:jc w:val="center"/>
              <w:rPr>
                <w:rFonts w:ascii="Bookman Old Style" w:hAnsi="Bookman Old Style" w:cs="Calibri"/>
                <w:color w:val="000000"/>
                <w:sz w:val="16"/>
                <w:szCs w:val="16"/>
              </w:rPr>
            </w:pPr>
            <w:r>
              <w:rPr>
                <w:rFonts w:ascii="Bookman Old Style" w:hAnsi="Bookman Old Style" w:cs="Calibri"/>
                <w:color w:val="000000"/>
                <w:sz w:val="16"/>
                <w:szCs w:val="16"/>
              </w:rPr>
              <w:t>0,20</w:t>
            </w:r>
          </w:p>
        </w:tc>
      </w:tr>
      <w:tr w:rsidR="00080B19" w:rsidRPr="00412C56" w14:paraId="37974AB8"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2211B543" w14:textId="1410B281" w:rsidR="00080B19" w:rsidRPr="00412C56" w:rsidRDefault="00080B19" w:rsidP="0023341C">
            <w:pPr>
              <w:spacing w:before="60" w:line="276" w:lineRule="auto"/>
              <w:rPr>
                <w:rFonts w:ascii="Bookman Old Style" w:hAnsi="Bookman Old Style"/>
                <w:sz w:val="16"/>
                <w:szCs w:val="16"/>
                <w:lang w:val="sv-FI"/>
              </w:rPr>
            </w:pPr>
            <w:r w:rsidRPr="00412C56">
              <w:rPr>
                <w:rFonts w:ascii="Bookman Old Style" w:hAnsi="Bookman Old Style"/>
                <w:sz w:val="16"/>
                <w:szCs w:val="16"/>
                <w:lang w:val="sv-FI"/>
              </w:rPr>
              <w:t>Urusan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Pemerintahan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Bidang</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Perhubungan</w:t>
            </w:r>
            <w:r w:rsidR="00A954D0">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1C63869C"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170.315.271.065,00</w:t>
            </w:r>
          </w:p>
        </w:tc>
        <w:tc>
          <w:tcPr>
            <w:tcW w:w="2126" w:type="dxa"/>
            <w:tcBorders>
              <w:top w:val="nil"/>
              <w:left w:val="nil"/>
              <w:bottom w:val="single" w:sz="4" w:space="0" w:color="000000"/>
              <w:right w:val="single" w:sz="4" w:space="0" w:color="000000"/>
            </w:tcBorders>
            <w:shd w:val="clear" w:color="auto" w:fill="auto"/>
            <w:noWrap/>
            <w:vAlign w:val="center"/>
          </w:tcPr>
          <w:p w14:paraId="312FDC26"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7.189.782.100,00</w:t>
            </w:r>
          </w:p>
        </w:tc>
        <w:tc>
          <w:tcPr>
            <w:tcW w:w="1985" w:type="dxa"/>
            <w:tcBorders>
              <w:top w:val="nil"/>
              <w:left w:val="nil"/>
              <w:bottom w:val="single" w:sz="4" w:space="0" w:color="000000"/>
              <w:right w:val="single" w:sz="4" w:space="0" w:color="000000"/>
            </w:tcBorders>
            <w:shd w:val="clear" w:color="auto" w:fill="auto"/>
            <w:noWrap/>
            <w:vAlign w:val="center"/>
          </w:tcPr>
          <w:p w14:paraId="141D709A"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487592C5"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618C6CB3"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177.505.053.165,00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33306C3" w14:textId="77777777" w:rsidR="00080B19" w:rsidRPr="00412C56" w:rsidRDefault="00080B19" w:rsidP="0023341C">
            <w:pPr>
              <w:spacing w:before="60" w:line="276" w:lineRule="auto"/>
              <w:jc w:val="center"/>
              <w:rPr>
                <w:rFonts w:ascii="Bookman Old Style" w:hAnsi="Bookman Old Style" w:cs="Calibri"/>
                <w:color w:val="000000"/>
                <w:sz w:val="16"/>
                <w:szCs w:val="16"/>
              </w:rPr>
            </w:pPr>
            <w:r>
              <w:rPr>
                <w:rFonts w:ascii="Bookman Old Style" w:hAnsi="Bookman Old Style" w:cs="Calibri"/>
                <w:color w:val="000000"/>
                <w:sz w:val="16"/>
                <w:szCs w:val="16"/>
              </w:rPr>
              <w:t>3,11</w:t>
            </w:r>
          </w:p>
        </w:tc>
      </w:tr>
      <w:tr w:rsidR="00080B19" w:rsidRPr="00412C56" w14:paraId="51DE6AA2"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421A538E" w14:textId="06574B5D" w:rsidR="00080B19" w:rsidRPr="00412C56" w:rsidRDefault="00080B19" w:rsidP="0023341C">
            <w:pPr>
              <w:spacing w:before="60" w:line="276" w:lineRule="auto"/>
              <w:rPr>
                <w:rFonts w:ascii="Bookman Old Style" w:hAnsi="Bookman Old Style"/>
                <w:sz w:val="16"/>
                <w:szCs w:val="16"/>
                <w:lang w:val="sv-FI"/>
              </w:rPr>
            </w:pPr>
            <w:r w:rsidRPr="00412C56">
              <w:rPr>
                <w:rFonts w:ascii="Bookman Old Style" w:hAnsi="Bookman Old Style"/>
                <w:sz w:val="16"/>
                <w:szCs w:val="16"/>
                <w:lang w:val="sv-FI"/>
              </w:rPr>
              <w:t>Urusan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Pemerintahan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Bidang</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Komunikasi</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Dan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Informatika</w:t>
            </w:r>
            <w:r w:rsidR="00A954D0">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070438D8"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39.636.373.973,00</w:t>
            </w:r>
          </w:p>
        </w:tc>
        <w:tc>
          <w:tcPr>
            <w:tcW w:w="2126" w:type="dxa"/>
            <w:tcBorders>
              <w:top w:val="nil"/>
              <w:left w:val="nil"/>
              <w:bottom w:val="single" w:sz="4" w:space="0" w:color="000000"/>
              <w:right w:val="single" w:sz="4" w:space="0" w:color="000000"/>
            </w:tcBorders>
            <w:shd w:val="clear" w:color="auto" w:fill="auto"/>
            <w:noWrap/>
            <w:vAlign w:val="center"/>
          </w:tcPr>
          <w:p w14:paraId="48056A2B"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2.533.031.160,00</w:t>
            </w:r>
          </w:p>
        </w:tc>
        <w:tc>
          <w:tcPr>
            <w:tcW w:w="1985" w:type="dxa"/>
            <w:tcBorders>
              <w:top w:val="nil"/>
              <w:left w:val="nil"/>
              <w:bottom w:val="single" w:sz="4" w:space="0" w:color="000000"/>
              <w:right w:val="single" w:sz="4" w:space="0" w:color="000000"/>
            </w:tcBorders>
            <w:shd w:val="clear" w:color="auto" w:fill="auto"/>
            <w:noWrap/>
            <w:vAlign w:val="center"/>
          </w:tcPr>
          <w:p w14:paraId="12C6DA33"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71ADA38D"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2D684DF0"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42.169.405.133,00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582B174" w14:textId="77777777" w:rsidR="00080B19" w:rsidRPr="00412C56" w:rsidRDefault="00080B19" w:rsidP="0023341C">
            <w:pPr>
              <w:spacing w:before="60" w:line="276" w:lineRule="auto"/>
              <w:jc w:val="center"/>
              <w:rPr>
                <w:rFonts w:ascii="Bookman Old Style" w:hAnsi="Bookman Old Style" w:cs="Calibri"/>
                <w:color w:val="000000"/>
                <w:sz w:val="16"/>
                <w:szCs w:val="16"/>
              </w:rPr>
            </w:pPr>
            <w:r>
              <w:rPr>
                <w:rFonts w:ascii="Bookman Old Style" w:hAnsi="Bookman Old Style" w:cs="Calibri"/>
                <w:color w:val="000000"/>
                <w:sz w:val="16"/>
                <w:szCs w:val="16"/>
              </w:rPr>
              <w:t>0,74</w:t>
            </w:r>
          </w:p>
        </w:tc>
      </w:tr>
      <w:tr w:rsidR="00080B19" w:rsidRPr="00412C56" w14:paraId="27DE263C"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5CADAB3B" w14:textId="0FCC475F" w:rsidR="00080B19" w:rsidRPr="00412C56" w:rsidRDefault="00080B19" w:rsidP="0023341C">
            <w:pPr>
              <w:spacing w:before="60" w:line="276" w:lineRule="auto"/>
              <w:rPr>
                <w:rFonts w:ascii="Bookman Old Style" w:hAnsi="Bookman Old Style"/>
                <w:sz w:val="16"/>
                <w:szCs w:val="16"/>
                <w:lang w:val="sv-FI"/>
              </w:rPr>
            </w:pPr>
            <w:r w:rsidRPr="00412C56">
              <w:rPr>
                <w:rFonts w:ascii="Bookman Old Style" w:hAnsi="Bookman Old Style"/>
                <w:sz w:val="16"/>
                <w:szCs w:val="16"/>
                <w:lang w:val="sv-FI"/>
              </w:rPr>
              <w:t>Urusan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Pemerintahan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Bidang</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Koperasi,</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Usaha</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Kecil,</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Dan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Menengah</w:t>
            </w:r>
            <w:r w:rsidR="00A954D0">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0D8EE33C"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6.667.279.950,00</w:t>
            </w:r>
          </w:p>
        </w:tc>
        <w:tc>
          <w:tcPr>
            <w:tcW w:w="2126" w:type="dxa"/>
            <w:tcBorders>
              <w:top w:val="nil"/>
              <w:left w:val="nil"/>
              <w:bottom w:val="single" w:sz="4" w:space="0" w:color="000000"/>
              <w:right w:val="single" w:sz="4" w:space="0" w:color="000000"/>
            </w:tcBorders>
            <w:shd w:val="clear" w:color="auto" w:fill="auto"/>
            <w:noWrap/>
            <w:vAlign w:val="center"/>
          </w:tcPr>
          <w:p w14:paraId="3DB01E62"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5" w:type="dxa"/>
            <w:tcBorders>
              <w:top w:val="nil"/>
              <w:left w:val="nil"/>
              <w:bottom w:val="single" w:sz="4" w:space="0" w:color="000000"/>
              <w:right w:val="single" w:sz="4" w:space="0" w:color="000000"/>
            </w:tcBorders>
            <w:shd w:val="clear" w:color="auto" w:fill="auto"/>
            <w:noWrap/>
            <w:vAlign w:val="center"/>
          </w:tcPr>
          <w:p w14:paraId="288A682D"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60CB4044"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706D5A33"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6.667.279.950,00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E2A4D24" w14:textId="77777777" w:rsidR="00080B19" w:rsidRPr="00412C56" w:rsidRDefault="00080B19" w:rsidP="0023341C">
            <w:pPr>
              <w:spacing w:before="60" w:line="276" w:lineRule="auto"/>
              <w:jc w:val="center"/>
              <w:rPr>
                <w:rFonts w:ascii="Bookman Old Style" w:hAnsi="Bookman Old Style" w:cs="Calibri"/>
                <w:color w:val="000000"/>
                <w:sz w:val="16"/>
                <w:szCs w:val="16"/>
              </w:rPr>
            </w:pPr>
            <w:r>
              <w:rPr>
                <w:rFonts w:ascii="Bookman Old Style" w:hAnsi="Bookman Old Style" w:cs="Calibri"/>
                <w:color w:val="000000"/>
                <w:sz w:val="16"/>
                <w:szCs w:val="16"/>
              </w:rPr>
              <w:t>0,12</w:t>
            </w:r>
          </w:p>
        </w:tc>
      </w:tr>
      <w:tr w:rsidR="00080B19" w:rsidRPr="00412C56" w14:paraId="4C9632DC"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106DA291" w14:textId="086094D6" w:rsidR="00080B19" w:rsidRPr="00412C56" w:rsidRDefault="00080B19" w:rsidP="0023341C">
            <w:pPr>
              <w:spacing w:before="60" w:line="276" w:lineRule="auto"/>
              <w:rPr>
                <w:rFonts w:ascii="Bookman Old Style" w:hAnsi="Bookman Old Style"/>
                <w:sz w:val="16"/>
                <w:szCs w:val="16"/>
                <w:lang w:val="sv-FI"/>
              </w:rPr>
            </w:pPr>
            <w:r w:rsidRPr="00412C56">
              <w:rPr>
                <w:rFonts w:ascii="Bookman Old Style" w:hAnsi="Bookman Old Style"/>
                <w:sz w:val="16"/>
                <w:szCs w:val="16"/>
                <w:lang w:val="sv-FI"/>
              </w:rPr>
              <w:t>Urusan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Pemerintahan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Bidang</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Penanaman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Modal</w:t>
            </w:r>
            <w:r w:rsidR="00A954D0">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59025530"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24.962.342.140,00</w:t>
            </w:r>
          </w:p>
        </w:tc>
        <w:tc>
          <w:tcPr>
            <w:tcW w:w="2126" w:type="dxa"/>
            <w:tcBorders>
              <w:top w:val="nil"/>
              <w:left w:val="nil"/>
              <w:bottom w:val="single" w:sz="4" w:space="0" w:color="000000"/>
              <w:right w:val="single" w:sz="4" w:space="0" w:color="000000"/>
            </w:tcBorders>
            <w:shd w:val="clear" w:color="auto" w:fill="auto"/>
            <w:noWrap/>
            <w:vAlign w:val="center"/>
          </w:tcPr>
          <w:p w14:paraId="498AFB56"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3.652.090.000,00</w:t>
            </w:r>
          </w:p>
        </w:tc>
        <w:tc>
          <w:tcPr>
            <w:tcW w:w="1985" w:type="dxa"/>
            <w:tcBorders>
              <w:top w:val="nil"/>
              <w:left w:val="nil"/>
              <w:bottom w:val="single" w:sz="4" w:space="0" w:color="000000"/>
              <w:right w:val="single" w:sz="4" w:space="0" w:color="000000"/>
            </w:tcBorders>
            <w:shd w:val="clear" w:color="auto" w:fill="auto"/>
            <w:noWrap/>
            <w:vAlign w:val="center"/>
          </w:tcPr>
          <w:p w14:paraId="73D8F778"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659A9FA4"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77EB49E4"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28.614.432.140,00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87E9E93" w14:textId="77777777" w:rsidR="00080B19" w:rsidRPr="00412C56" w:rsidRDefault="00080B19" w:rsidP="0023341C">
            <w:pPr>
              <w:spacing w:before="60" w:line="276" w:lineRule="auto"/>
              <w:jc w:val="center"/>
              <w:rPr>
                <w:rFonts w:ascii="Bookman Old Style" w:hAnsi="Bookman Old Style" w:cs="Calibri"/>
                <w:color w:val="000000"/>
                <w:sz w:val="16"/>
                <w:szCs w:val="16"/>
              </w:rPr>
            </w:pPr>
            <w:r>
              <w:rPr>
                <w:rFonts w:ascii="Bookman Old Style" w:hAnsi="Bookman Old Style" w:cs="Calibri"/>
                <w:color w:val="000000"/>
                <w:sz w:val="16"/>
                <w:szCs w:val="16"/>
              </w:rPr>
              <w:t>0,50</w:t>
            </w:r>
          </w:p>
        </w:tc>
      </w:tr>
      <w:tr w:rsidR="00080B19" w:rsidRPr="00412C56" w14:paraId="4883B968"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392A0A5F" w14:textId="6EB71971" w:rsidR="00080B19" w:rsidRPr="00412C56" w:rsidRDefault="00080B19" w:rsidP="0023341C">
            <w:pPr>
              <w:spacing w:before="60" w:line="276" w:lineRule="auto"/>
              <w:rPr>
                <w:rFonts w:ascii="Bookman Old Style" w:hAnsi="Bookman Old Style"/>
                <w:sz w:val="16"/>
                <w:szCs w:val="16"/>
                <w:lang w:val="sv-FI"/>
              </w:rPr>
            </w:pPr>
            <w:r w:rsidRPr="00412C56">
              <w:rPr>
                <w:rFonts w:ascii="Bookman Old Style" w:hAnsi="Bookman Old Style"/>
                <w:sz w:val="16"/>
                <w:szCs w:val="16"/>
                <w:lang w:val="sv-FI"/>
              </w:rPr>
              <w:t>Urusan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Pemerintahan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Bidang</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Kepemudaan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Dan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Olahraga</w:t>
            </w:r>
            <w:r w:rsidR="00A954D0">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1CDCC04C"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62.992.867.716,00</w:t>
            </w:r>
          </w:p>
        </w:tc>
        <w:tc>
          <w:tcPr>
            <w:tcW w:w="2126" w:type="dxa"/>
            <w:tcBorders>
              <w:top w:val="nil"/>
              <w:left w:val="nil"/>
              <w:bottom w:val="single" w:sz="4" w:space="0" w:color="000000"/>
              <w:right w:val="single" w:sz="4" w:space="0" w:color="000000"/>
            </w:tcBorders>
            <w:shd w:val="clear" w:color="auto" w:fill="auto"/>
            <w:noWrap/>
            <w:vAlign w:val="center"/>
          </w:tcPr>
          <w:p w14:paraId="5BC9D8A8"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22.833.682.351,00</w:t>
            </w:r>
          </w:p>
        </w:tc>
        <w:tc>
          <w:tcPr>
            <w:tcW w:w="1985" w:type="dxa"/>
            <w:tcBorders>
              <w:top w:val="nil"/>
              <w:left w:val="nil"/>
              <w:bottom w:val="single" w:sz="4" w:space="0" w:color="000000"/>
              <w:right w:val="single" w:sz="4" w:space="0" w:color="000000"/>
            </w:tcBorders>
            <w:shd w:val="clear" w:color="auto" w:fill="auto"/>
            <w:noWrap/>
            <w:vAlign w:val="center"/>
          </w:tcPr>
          <w:p w14:paraId="698995F2"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5E4A5ADA"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658C3349"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85.826.550.067,00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E986C68" w14:textId="77777777" w:rsidR="00080B19" w:rsidRPr="00412C56" w:rsidRDefault="00080B19" w:rsidP="0023341C">
            <w:pPr>
              <w:spacing w:before="60" w:line="276" w:lineRule="auto"/>
              <w:jc w:val="center"/>
              <w:rPr>
                <w:rFonts w:ascii="Bookman Old Style" w:hAnsi="Bookman Old Style" w:cs="Calibri"/>
                <w:color w:val="000000"/>
                <w:sz w:val="16"/>
                <w:szCs w:val="16"/>
              </w:rPr>
            </w:pPr>
            <w:r>
              <w:rPr>
                <w:rFonts w:ascii="Bookman Old Style" w:hAnsi="Bookman Old Style" w:cs="Calibri"/>
                <w:color w:val="000000"/>
                <w:sz w:val="16"/>
                <w:szCs w:val="16"/>
              </w:rPr>
              <w:t>1,50</w:t>
            </w:r>
          </w:p>
        </w:tc>
      </w:tr>
      <w:tr w:rsidR="00080B19" w:rsidRPr="00412C56" w14:paraId="05D4BDC2"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006CACA4" w14:textId="5139E841" w:rsidR="00080B19" w:rsidRPr="00412C56" w:rsidRDefault="00080B19" w:rsidP="0023341C">
            <w:pPr>
              <w:spacing w:before="60" w:line="276" w:lineRule="auto"/>
              <w:rPr>
                <w:rFonts w:ascii="Bookman Old Style" w:hAnsi="Bookman Old Style"/>
                <w:sz w:val="16"/>
                <w:szCs w:val="16"/>
                <w:lang w:val="sv-FI"/>
              </w:rPr>
            </w:pPr>
            <w:r w:rsidRPr="00412C56">
              <w:rPr>
                <w:rFonts w:ascii="Bookman Old Style" w:hAnsi="Bookman Old Style"/>
                <w:sz w:val="16"/>
                <w:szCs w:val="16"/>
                <w:lang w:val="sv-FI"/>
              </w:rPr>
              <w:t>Urusan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Pemerintahan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Bidang</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Statistik</w:t>
            </w:r>
            <w:r w:rsidR="00A954D0">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6427CB98"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1.640.846.200,00</w:t>
            </w:r>
          </w:p>
        </w:tc>
        <w:tc>
          <w:tcPr>
            <w:tcW w:w="2126" w:type="dxa"/>
            <w:tcBorders>
              <w:top w:val="nil"/>
              <w:left w:val="nil"/>
              <w:bottom w:val="single" w:sz="4" w:space="0" w:color="000000"/>
              <w:right w:val="single" w:sz="4" w:space="0" w:color="000000"/>
            </w:tcBorders>
            <w:shd w:val="clear" w:color="auto" w:fill="auto"/>
            <w:noWrap/>
            <w:vAlign w:val="center"/>
          </w:tcPr>
          <w:p w14:paraId="65BA7304"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69.022.800,00</w:t>
            </w:r>
          </w:p>
        </w:tc>
        <w:tc>
          <w:tcPr>
            <w:tcW w:w="1985" w:type="dxa"/>
            <w:tcBorders>
              <w:top w:val="nil"/>
              <w:left w:val="nil"/>
              <w:bottom w:val="single" w:sz="4" w:space="0" w:color="000000"/>
              <w:right w:val="single" w:sz="4" w:space="0" w:color="000000"/>
            </w:tcBorders>
            <w:shd w:val="clear" w:color="auto" w:fill="auto"/>
            <w:noWrap/>
            <w:vAlign w:val="center"/>
          </w:tcPr>
          <w:p w14:paraId="3CDB3BDE"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41947E34"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78BA6076"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1.709.869.000,00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1138B53" w14:textId="77777777" w:rsidR="00080B19" w:rsidRPr="00412C56" w:rsidRDefault="00080B19" w:rsidP="0023341C">
            <w:pPr>
              <w:spacing w:before="60" w:line="276" w:lineRule="auto"/>
              <w:jc w:val="center"/>
              <w:rPr>
                <w:rFonts w:ascii="Bookman Old Style" w:hAnsi="Bookman Old Style" w:cs="Calibri"/>
                <w:color w:val="000000"/>
                <w:sz w:val="16"/>
                <w:szCs w:val="16"/>
              </w:rPr>
            </w:pPr>
            <w:r>
              <w:rPr>
                <w:rFonts w:ascii="Bookman Old Style" w:hAnsi="Bookman Old Style" w:cs="Calibri"/>
                <w:color w:val="000000"/>
                <w:sz w:val="16"/>
                <w:szCs w:val="16"/>
              </w:rPr>
              <w:t>0,03</w:t>
            </w:r>
          </w:p>
        </w:tc>
      </w:tr>
      <w:tr w:rsidR="00080B19" w:rsidRPr="00412C56" w14:paraId="7E52D67D"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4D805D58" w14:textId="3A5BFDC4" w:rsidR="00080B19" w:rsidRPr="00412C56" w:rsidRDefault="00080B19" w:rsidP="0023341C">
            <w:pPr>
              <w:spacing w:before="60" w:line="276" w:lineRule="auto"/>
              <w:rPr>
                <w:rFonts w:ascii="Bookman Old Style" w:hAnsi="Bookman Old Style"/>
                <w:sz w:val="16"/>
                <w:szCs w:val="16"/>
                <w:lang w:val="sv-FI"/>
              </w:rPr>
            </w:pPr>
            <w:r w:rsidRPr="00412C56">
              <w:rPr>
                <w:rFonts w:ascii="Bookman Old Style" w:hAnsi="Bookman Old Style"/>
                <w:sz w:val="16"/>
                <w:szCs w:val="16"/>
                <w:lang w:val="sv-FI"/>
              </w:rPr>
              <w:t>Urusan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Pemerintahan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Bidang</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Persandian</w:t>
            </w:r>
            <w:r w:rsidR="00A954D0">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5089D6B4"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1.302.645.000,00</w:t>
            </w:r>
          </w:p>
        </w:tc>
        <w:tc>
          <w:tcPr>
            <w:tcW w:w="2126" w:type="dxa"/>
            <w:tcBorders>
              <w:top w:val="nil"/>
              <w:left w:val="nil"/>
              <w:bottom w:val="single" w:sz="4" w:space="0" w:color="000000"/>
              <w:right w:val="single" w:sz="4" w:space="0" w:color="000000"/>
            </w:tcBorders>
            <w:shd w:val="clear" w:color="auto" w:fill="auto"/>
            <w:noWrap/>
            <w:vAlign w:val="center"/>
          </w:tcPr>
          <w:p w14:paraId="52FE9A25"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10.850.000,00</w:t>
            </w:r>
          </w:p>
        </w:tc>
        <w:tc>
          <w:tcPr>
            <w:tcW w:w="1985" w:type="dxa"/>
            <w:tcBorders>
              <w:top w:val="nil"/>
              <w:left w:val="nil"/>
              <w:bottom w:val="single" w:sz="4" w:space="0" w:color="000000"/>
              <w:right w:val="single" w:sz="4" w:space="0" w:color="000000"/>
            </w:tcBorders>
            <w:shd w:val="clear" w:color="auto" w:fill="auto"/>
            <w:noWrap/>
            <w:vAlign w:val="center"/>
          </w:tcPr>
          <w:p w14:paraId="0C6C66B8"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35AD5C30"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56B671E1"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1.313.495.000,00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303BB9C7" w14:textId="77777777" w:rsidR="00080B19" w:rsidRPr="00412C56" w:rsidRDefault="00080B19" w:rsidP="0023341C">
            <w:pPr>
              <w:spacing w:before="60" w:line="276" w:lineRule="auto"/>
              <w:jc w:val="center"/>
              <w:rPr>
                <w:rFonts w:ascii="Bookman Old Style" w:hAnsi="Bookman Old Style" w:cs="Calibri"/>
                <w:color w:val="000000"/>
                <w:sz w:val="16"/>
                <w:szCs w:val="16"/>
              </w:rPr>
            </w:pPr>
            <w:r>
              <w:rPr>
                <w:rFonts w:ascii="Bookman Old Style" w:hAnsi="Bookman Old Style" w:cs="Calibri"/>
                <w:color w:val="000000"/>
                <w:sz w:val="16"/>
                <w:szCs w:val="16"/>
              </w:rPr>
              <w:t>0,02</w:t>
            </w:r>
          </w:p>
        </w:tc>
      </w:tr>
      <w:tr w:rsidR="00080B19" w:rsidRPr="00412C56" w14:paraId="2D699384"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4AFB7963" w14:textId="39224843" w:rsidR="00080B19" w:rsidRPr="00412C56" w:rsidRDefault="00080B19" w:rsidP="0023341C">
            <w:pPr>
              <w:spacing w:before="60" w:line="276" w:lineRule="auto"/>
              <w:rPr>
                <w:rFonts w:ascii="Bookman Old Style" w:hAnsi="Bookman Old Style"/>
                <w:sz w:val="16"/>
                <w:szCs w:val="16"/>
                <w:lang w:val="sv-FI"/>
              </w:rPr>
            </w:pPr>
            <w:r w:rsidRPr="00412C56">
              <w:rPr>
                <w:rFonts w:ascii="Bookman Old Style" w:hAnsi="Bookman Old Style"/>
                <w:sz w:val="16"/>
                <w:szCs w:val="16"/>
                <w:lang w:val="sv-FI"/>
              </w:rPr>
              <w:t>Urusan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Pemerintahan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Bidang</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Kebudayaan</w:t>
            </w:r>
            <w:r w:rsidR="00A954D0">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2C6CAE19"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27.433.986.551,00</w:t>
            </w:r>
          </w:p>
        </w:tc>
        <w:tc>
          <w:tcPr>
            <w:tcW w:w="2126" w:type="dxa"/>
            <w:tcBorders>
              <w:top w:val="nil"/>
              <w:left w:val="nil"/>
              <w:bottom w:val="single" w:sz="4" w:space="0" w:color="000000"/>
              <w:right w:val="single" w:sz="4" w:space="0" w:color="000000"/>
            </w:tcBorders>
            <w:shd w:val="clear" w:color="auto" w:fill="auto"/>
            <w:noWrap/>
            <w:vAlign w:val="center"/>
          </w:tcPr>
          <w:p w14:paraId="605FB478"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2.470.495.200,00</w:t>
            </w:r>
          </w:p>
        </w:tc>
        <w:tc>
          <w:tcPr>
            <w:tcW w:w="1985" w:type="dxa"/>
            <w:tcBorders>
              <w:top w:val="nil"/>
              <w:left w:val="nil"/>
              <w:bottom w:val="single" w:sz="4" w:space="0" w:color="000000"/>
              <w:right w:val="single" w:sz="4" w:space="0" w:color="000000"/>
            </w:tcBorders>
            <w:shd w:val="clear" w:color="auto" w:fill="auto"/>
            <w:noWrap/>
            <w:vAlign w:val="center"/>
          </w:tcPr>
          <w:p w14:paraId="529B530F"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2BCE3CC5"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21FE0EA3"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29.904.481.751,00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A84381E" w14:textId="77777777" w:rsidR="00080B19" w:rsidRPr="00412C56" w:rsidRDefault="00080B19" w:rsidP="0023341C">
            <w:pPr>
              <w:spacing w:before="60" w:line="276" w:lineRule="auto"/>
              <w:jc w:val="center"/>
              <w:rPr>
                <w:rFonts w:ascii="Bookman Old Style" w:hAnsi="Bookman Old Style" w:cs="Calibri"/>
                <w:color w:val="000000"/>
                <w:sz w:val="16"/>
                <w:szCs w:val="16"/>
              </w:rPr>
            </w:pPr>
            <w:r>
              <w:rPr>
                <w:rFonts w:ascii="Bookman Old Style" w:hAnsi="Bookman Old Style" w:cs="Calibri"/>
                <w:color w:val="000000"/>
                <w:sz w:val="16"/>
                <w:szCs w:val="16"/>
              </w:rPr>
              <w:t>0,52</w:t>
            </w:r>
          </w:p>
        </w:tc>
      </w:tr>
      <w:tr w:rsidR="00080B19" w:rsidRPr="00412C56" w14:paraId="61D14E22"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464D06C5" w14:textId="5DF0EDDB" w:rsidR="00080B19" w:rsidRPr="00412C56" w:rsidRDefault="00080B19" w:rsidP="0023341C">
            <w:pPr>
              <w:spacing w:before="60" w:line="276" w:lineRule="auto"/>
              <w:rPr>
                <w:rFonts w:ascii="Bookman Old Style" w:hAnsi="Bookman Old Style"/>
                <w:sz w:val="16"/>
                <w:szCs w:val="16"/>
                <w:lang w:val="sv-FI"/>
              </w:rPr>
            </w:pPr>
            <w:r w:rsidRPr="00412C56">
              <w:rPr>
                <w:rFonts w:ascii="Bookman Old Style" w:hAnsi="Bookman Old Style"/>
                <w:sz w:val="16"/>
                <w:szCs w:val="16"/>
                <w:lang w:val="sv-FI"/>
              </w:rPr>
              <w:t>Urusan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Pemerintahan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Bidang</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Perpustakaan</w:t>
            </w:r>
            <w:r w:rsidR="00A954D0">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140988EA"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18.613.063.635,00</w:t>
            </w:r>
          </w:p>
        </w:tc>
        <w:tc>
          <w:tcPr>
            <w:tcW w:w="2126" w:type="dxa"/>
            <w:tcBorders>
              <w:top w:val="nil"/>
              <w:left w:val="nil"/>
              <w:bottom w:val="single" w:sz="4" w:space="0" w:color="000000"/>
              <w:right w:val="single" w:sz="4" w:space="0" w:color="000000"/>
            </w:tcBorders>
            <w:shd w:val="clear" w:color="auto" w:fill="auto"/>
            <w:noWrap/>
            <w:vAlign w:val="center"/>
          </w:tcPr>
          <w:p w14:paraId="4CD62836"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5.421.911.050,00</w:t>
            </w:r>
          </w:p>
        </w:tc>
        <w:tc>
          <w:tcPr>
            <w:tcW w:w="1985" w:type="dxa"/>
            <w:tcBorders>
              <w:top w:val="nil"/>
              <w:left w:val="nil"/>
              <w:bottom w:val="single" w:sz="4" w:space="0" w:color="000000"/>
              <w:right w:val="single" w:sz="4" w:space="0" w:color="000000"/>
            </w:tcBorders>
            <w:shd w:val="clear" w:color="auto" w:fill="auto"/>
            <w:noWrap/>
            <w:vAlign w:val="center"/>
          </w:tcPr>
          <w:p w14:paraId="4ED18A17"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57AB7277"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67531E76"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24.034.974.685,00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7AC48FE5" w14:textId="77777777" w:rsidR="00080B19" w:rsidRPr="00412C56" w:rsidRDefault="00080B19" w:rsidP="0023341C">
            <w:pPr>
              <w:spacing w:before="60" w:line="276" w:lineRule="auto"/>
              <w:jc w:val="center"/>
              <w:rPr>
                <w:rFonts w:ascii="Bookman Old Style" w:hAnsi="Bookman Old Style" w:cs="Calibri"/>
                <w:color w:val="000000"/>
                <w:sz w:val="16"/>
                <w:szCs w:val="16"/>
              </w:rPr>
            </w:pPr>
            <w:r>
              <w:rPr>
                <w:rFonts w:ascii="Bookman Old Style" w:hAnsi="Bookman Old Style" w:cs="Calibri"/>
                <w:color w:val="000000"/>
                <w:sz w:val="16"/>
                <w:szCs w:val="16"/>
              </w:rPr>
              <w:t>0,42</w:t>
            </w:r>
          </w:p>
        </w:tc>
      </w:tr>
      <w:tr w:rsidR="00080B19" w:rsidRPr="00412C56" w14:paraId="374DFEFE"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35AF57A0" w14:textId="254D9612" w:rsidR="00080B19" w:rsidRPr="00412C56" w:rsidRDefault="00080B19" w:rsidP="0023341C">
            <w:pPr>
              <w:spacing w:before="60" w:line="276" w:lineRule="auto"/>
              <w:rPr>
                <w:rFonts w:ascii="Bookman Old Style" w:hAnsi="Bookman Old Style"/>
                <w:sz w:val="16"/>
                <w:szCs w:val="16"/>
                <w:lang w:val="sv-FI"/>
              </w:rPr>
            </w:pPr>
            <w:r w:rsidRPr="00412C56">
              <w:rPr>
                <w:rFonts w:ascii="Bookman Old Style" w:hAnsi="Bookman Old Style"/>
                <w:sz w:val="16"/>
                <w:szCs w:val="16"/>
                <w:lang w:val="sv-FI"/>
              </w:rPr>
              <w:t>Urusan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Pemerintahan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Bidang</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Kearsipan</w:t>
            </w:r>
            <w:r w:rsidR="00A954D0">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22C176D5"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1.007.442.410,00</w:t>
            </w:r>
          </w:p>
        </w:tc>
        <w:tc>
          <w:tcPr>
            <w:tcW w:w="2126" w:type="dxa"/>
            <w:tcBorders>
              <w:top w:val="nil"/>
              <w:left w:val="nil"/>
              <w:bottom w:val="single" w:sz="4" w:space="0" w:color="000000"/>
              <w:right w:val="single" w:sz="4" w:space="0" w:color="000000"/>
            </w:tcBorders>
            <w:shd w:val="clear" w:color="auto" w:fill="auto"/>
            <w:noWrap/>
            <w:vAlign w:val="center"/>
          </w:tcPr>
          <w:p w14:paraId="72F89DD2"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5" w:type="dxa"/>
            <w:tcBorders>
              <w:top w:val="nil"/>
              <w:left w:val="nil"/>
              <w:bottom w:val="single" w:sz="4" w:space="0" w:color="000000"/>
              <w:right w:val="single" w:sz="4" w:space="0" w:color="000000"/>
            </w:tcBorders>
            <w:shd w:val="clear" w:color="auto" w:fill="auto"/>
            <w:noWrap/>
            <w:vAlign w:val="center"/>
          </w:tcPr>
          <w:p w14:paraId="46CB7654"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068743DE"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0E435CD7"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1.007.442.410,00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94D58A1" w14:textId="77777777" w:rsidR="00080B19" w:rsidRPr="00412C56" w:rsidRDefault="00080B19" w:rsidP="0023341C">
            <w:pPr>
              <w:spacing w:before="60" w:line="276" w:lineRule="auto"/>
              <w:jc w:val="center"/>
              <w:rPr>
                <w:rFonts w:ascii="Bookman Old Style" w:hAnsi="Bookman Old Style" w:cs="Calibri"/>
                <w:color w:val="000000"/>
                <w:sz w:val="16"/>
                <w:szCs w:val="16"/>
              </w:rPr>
            </w:pPr>
            <w:r>
              <w:rPr>
                <w:rFonts w:ascii="Bookman Old Style" w:hAnsi="Bookman Old Style" w:cs="Calibri"/>
                <w:color w:val="000000"/>
                <w:sz w:val="16"/>
                <w:szCs w:val="16"/>
              </w:rPr>
              <w:t>0,02</w:t>
            </w:r>
          </w:p>
        </w:tc>
      </w:tr>
      <w:tr w:rsidR="00080B19" w:rsidRPr="00412C56" w14:paraId="7B0EBF28"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463C1C55" w14:textId="4BBC7BE4" w:rsidR="00080B19" w:rsidRPr="00412C56" w:rsidRDefault="00080B19" w:rsidP="0023341C">
            <w:pPr>
              <w:spacing w:before="60" w:line="276" w:lineRule="auto"/>
              <w:rPr>
                <w:rFonts w:ascii="Bookman Old Style" w:hAnsi="Bookman Old Style"/>
                <w:b/>
                <w:bCs/>
                <w:sz w:val="16"/>
                <w:szCs w:val="16"/>
                <w:lang w:val="sv-FI"/>
              </w:rPr>
            </w:pPr>
            <w:r w:rsidRPr="00412C56">
              <w:rPr>
                <w:rFonts w:ascii="Bookman Old Style" w:hAnsi="Bookman Old Style"/>
                <w:b/>
                <w:bCs/>
                <w:sz w:val="16"/>
                <w:szCs w:val="16"/>
                <w:lang w:val="sv-FI"/>
              </w:rPr>
              <w:t>Urusan</w:t>
            </w:r>
            <w:r w:rsidR="00A954D0">
              <w:rPr>
                <w:rFonts w:ascii="Bookman Old Style" w:hAnsi="Bookman Old Style"/>
                <w:b/>
                <w:bCs/>
                <w:sz w:val="16"/>
                <w:szCs w:val="16"/>
                <w:lang w:val="sv-FI"/>
              </w:rPr>
              <w:t xml:space="preserve"> </w:t>
            </w:r>
            <w:r w:rsidRPr="00412C56">
              <w:rPr>
                <w:rFonts w:ascii="Bookman Old Style" w:hAnsi="Bookman Old Style"/>
                <w:b/>
                <w:bCs/>
                <w:sz w:val="16"/>
                <w:szCs w:val="16"/>
                <w:lang w:val="sv-FI"/>
              </w:rPr>
              <w:t>Pemerintahan</w:t>
            </w:r>
            <w:r w:rsidR="00A954D0">
              <w:rPr>
                <w:rFonts w:ascii="Bookman Old Style" w:hAnsi="Bookman Old Style"/>
                <w:b/>
                <w:bCs/>
                <w:sz w:val="16"/>
                <w:szCs w:val="16"/>
                <w:lang w:val="sv-FI"/>
              </w:rPr>
              <w:t xml:space="preserve"> </w:t>
            </w:r>
            <w:r w:rsidRPr="00412C56">
              <w:rPr>
                <w:rFonts w:ascii="Bookman Old Style" w:hAnsi="Bookman Old Style"/>
                <w:b/>
                <w:bCs/>
                <w:sz w:val="16"/>
                <w:szCs w:val="16"/>
                <w:lang w:val="sv-FI"/>
              </w:rPr>
              <w:t>Pilihan</w:t>
            </w:r>
            <w:r w:rsidR="00A954D0">
              <w:rPr>
                <w:rFonts w:ascii="Bookman Old Style" w:hAnsi="Bookman Old Style"/>
                <w:b/>
                <w:bCs/>
                <w:sz w:val="16"/>
                <w:szCs w:val="16"/>
                <w:lang w:val="sv-FI"/>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7BC5A"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color w:val="000000"/>
                <w:sz w:val="16"/>
                <w:szCs w:val="16"/>
              </w:rPr>
              <w:t>74.758.668.615,00</w:t>
            </w:r>
          </w:p>
        </w:tc>
        <w:tc>
          <w:tcPr>
            <w:tcW w:w="2126" w:type="dxa"/>
            <w:tcBorders>
              <w:top w:val="single" w:sz="4" w:space="0" w:color="000000"/>
              <w:left w:val="nil"/>
              <w:bottom w:val="single" w:sz="4" w:space="0" w:color="000000"/>
              <w:right w:val="single" w:sz="4" w:space="0" w:color="000000"/>
            </w:tcBorders>
            <w:shd w:val="clear" w:color="auto" w:fill="auto"/>
            <w:noWrap/>
            <w:vAlign w:val="center"/>
          </w:tcPr>
          <w:p w14:paraId="28A18983"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color w:val="000000"/>
                <w:sz w:val="16"/>
                <w:szCs w:val="16"/>
              </w:rPr>
              <w:t>2.520.688.500,00</w:t>
            </w:r>
          </w:p>
        </w:tc>
        <w:tc>
          <w:tcPr>
            <w:tcW w:w="1985" w:type="dxa"/>
            <w:tcBorders>
              <w:top w:val="single" w:sz="4" w:space="0" w:color="000000"/>
              <w:left w:val="nil"/>
              <w:bottom w:val="single" w:sz="4" w:space="0" w:color="000000"/>
              <w:right w:val="single" w:sz="4" w:space="0" w:color="000000"/>
            </w:tcBorders>
            <w:shd w:val="clear" w:color="auto" w:fill="auto"/>
            <w:noWrap/>
            <w:vAlign w:val="center"/>
          </w:tcPr>
          <w:p w14:paraId="58251EA3"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color w:val="000000"/>
                <w:sz w:val="16"/>
                <w:szCs w:val="16"/>
              </w:rPr>
              <w:t>0,00</w:t>
            </w:r>
          </w:p>
        </w:tc>
        <w:tc>
          <w:tcPr>
            <w:tcW w:w="1984" w:type="dxa"/>
            <w:tcBorders>
              <w:top w:val="single" w:sz="4" w:space="0" w:color="000000"/>
              <w:left w:val="nil"/>
              <w:bottom w:val="single" w:sz="4" w:space="0" w:color="000000"/>
              <w:right w:val="single" w:sz="4" w:space="0" w:color="000000"/>
            </w:tcBorders>
            <w:shd w:val="clear" w:color="auto" w:fill="auto"/>
            <w:noWrap/>
            <w:vAlign w:val="center"/>
          </w:tcPr>
          <w:p w14:paraId="231527F6"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color w:val="000000"/>
                <w:sz w:val="16"/>
                <w:szCs w:val="16"/>
              </w:rPr>
              <w:t>0,00</w:t>
            </w:r>
          </w:p>
        </w:tc>
        <w:tc>
          <w:tcPr>
            <w:tcW w:w="2268" w:type="dxa"/>
            <w:tcBorders>
              <w:top w:val="single" w:sz="4" w:space="0" w:color="000000"/>
              <w:left w:val="nil"/>
              <w:bottom w:val="single" w:sz="4" w:space="0" w:color="000000"/>
              <w:right w:val="nil"/>
            </w:tcBorders>
            <w:shd w:val="clear" w:color="auto" w:fill="auto"/>
            <w:noWrap/>
            <w:vAlign w:val="center"/>
          </w:tcPr>
          <w:p w14:paraId="7DAACC8C"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color w:val="000000"/>
                <w:sz w:val="16"/>
                <w:szCs w:val="16"/>
              </w:rPr>
              <w:t>77.279.357.115,00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76224E" w14:textId="77777777" w:rsidR="00080B19" w:rsidRPr="00412C56" w:rsidRDefault="00080B19" w:rsidP="0023341C">
            <w:pPr>
              <w:spacing w:before="60" w:line="276" w:lineRule="auto"/>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1,35</w:t>
            </w:r>
          </w:p>
        </w:tc>
      </w:tr>
      <w:tr w:rsidR="00080B19" w:rsidRPr="00412C56" w14:paraId="6EB60F80"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7FC863E7" w14:textId="74BD708F" w:rsidR="00080B19" w:rsidRPr="00412C56" w:rsidRDefault="00080B19" w:rsidP="0023341C">
            <w:pPr>
              <w:spacing w:before="60" w:line="276" w:lineRule="auto"/>
              <w:rPr>
                <w:rFonts w:ascii="Bookman Old Style" w:hAnsi="Bookman Old Style"/>
                <w:sz w:val="16"/>
                <w:szCs w:val="16"/>
                <w:lang w:val="sv-FI"/>
              </w:rPr>
            </w:pPr>
            <w:r w:rsidRPr="00412C56">
              <w:rPr>
                <w:rFonts w:ascii="Bookman Old Style" w:hAnsi="Bookman Old Style"/>
                <w:sz w:val="16"/>
                <w:szCs w:val="16"/>
                <w:lang w:val="sv-FI"/>
              </w:rPr>
              <w:t>Urusan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Pemerintahan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Bidang</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Kelautan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Dan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Perikanan</w:t>
            </w:r>
            <w:r w:rsidR="00A954D0">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45AD9738"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325.306.100,00</w:t>
            </w:r>
          </w:p>
        </w:tc>
        <w:tc>
          <w:tcPr>
            <w:tcW w:w="2126" w:type="dxa"/>
            <w:tcBorders>
              <w:top w:val="nil"/>
              <w:left w:val="nil"/>
              <w:bottom w:val="single" w:sz="4" w:space="0" w:color="000000"/>
              <w:right w:val="single" w:sz="4" w:space="0" w:color="000000"/>
            </w:tcBorders>
            <w:shd w:val="clear" w:color="auto" w:fill="auto"/>
            <w:noWrap/>
            <w:vAlign w:val="center"/>
          </w:tcPr>
          <w:p w14:paraId="2F8F1464"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5" w:type="dxa"/>
            <w:tcBorders>
              <w:top w:val="nil"/>
              <w:left w:val="nil"/>
              <w:bottom w:val="single" w:sz="4" w:space="0" w:color="000000"/>
              <w:right w:val="single" w:sz="4" w:space="0" w:color="000000"/>
            </w:tcBorders>
            <w:shd w:val="clear" w:color="auto" w:fill="auto"/>
            <w:noWrap/>
            <w:vAlign w:val="center"/>
          </w:tcPr>
          <w:p w14:paraId="1F0DFA06"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763D8CC5"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324E648B"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325.306.100,00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0473EF75" w14:textId="77777777" w:rsidR="00080B19" w:rsidRPr="00412C56" w:rsidRDefault="00080B19" w:rsidP="0023341C">
            <w:pPr>
              <w:spacing w:before="60" w:line="276" w:lineRule="auto"/>
              <w:jc w:val="center"/>
              <w:rPr>
                <w:rFonts w:ascii="Bookman Old Style" w:hAnsi="Bookman Old Style" w:cs="Calibri"/>
                <w:color w:val="000000"/>
                <w:sz w:val="16"/>
                <w:szCs w:val="16"/>
              </w:rPr>
            </w:pPr>
            <w:r>
              <w:rPr>
                <w:rFonts w:ascii="Bookman Old Style" w:hAnsi="Bookman Old Style" w:cs="Calibri"/>
                <w:color w:val="000000"/>
                <w:sz w:val="16"/>
                <w:szCs w:val="16"/>
              </w:rPr>
              <w:t>0,01</w:t>
            </w:r>
          </w:p>
        </w:tc>
      </w:tr>
      <w:tr w:rsidR="00080B19" w:rsidRPr="00412C56" w14:paraId="6E6210F6"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597DA3F3" w14:textId="7790BAD5" w:rsidR="00080B19" w:rsidRPr="00412C56" w:rsidRDefault="00080B19" w:rsidP="0023341C">
            <w:pPr>
              <w:spacing w:before="60" w:line="276" w:lineRule="auto"/>
              <w:rPr>
                <w:rFonts w:ascii="Bookman Old Style" w:hAnsi="Bookman Old Style"/>
                <w:sz w:val="16"/>
                <w:szCs w:val="16"/>
                <w:lang w:val="sv-FI"/>
              </w:rPr>
            </w:pPr>
            <w:r w:rsidRPr="00412C56">
              <w:rPr>
                <w:rFonts w:ascii="Bookman Old Style" w:hAnsi="Bookman Old Style"/>
                <w:sz w:val="16"/>
                <w:szCs w:val="16"/>
                <w:lang w:val="sv-FI"/>
              </w:rPr>
              <w:t>Urusan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Pemerintahan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Bidang</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Pariwisata</w:t>
            </w:r>
            <w:r w:rsidR="00A954D0">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44078442"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39.324.141.736,00</w:t>
            </w:r>
          </w:p>
        </w:tc>
        <w:tc>
          <w:tcPr>
            <w:tcW w:w="2126" w:type="dxa"/>
            <w:tcBorders>
              <w:top w:val="nil"/>
              <w:left w:val="nil"/>
              <w:bottom w:val="single" w:sz="4" w:space="0" w:color="000000"/>
              <w:right w:val="single" w:sz="4" w:space="0" w:color="000000"/>
            </w:tcBorders>
            <w:shd w:val="clear" w:color="auto" w:fill="auto"/>
            <w:noWrap/>
            <w:vAlign w:val="center"/>
          </w:tcPr>
          <w:p w14:paraId="6F69AFCA"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2.319.286.700,00</w:t>
            </w:r>
          </w:p>
        </w:tc>
        <w:tc>
          <w:tcPr>
            <w:tcW w:w="1985" w:type="dxa"/>
            <w:tcBorders>
              <w:top w:val="nil"/>
              <w:left w:val="nil"/>
              <w:bottom w:val="single" w:sz="4" w:space="0" w:color="000000"/>
              <w:right w:val="single" w:sz="4" w:space="0" w:color="000000"/>
            </w:tcBorders>
            <w:shd w:val="clear" w:color="auto" w:fill="auto"/>
            <w:noWrap/>
            <w:vAlign w:val="center"/>
          </w:tcPr>
          <w:p w14:paraId="4489D417"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769A4BFF"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18626715"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41.643.428.436,00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2194468" w14:textId="77777777" w:rsidR="00080B19" w:rsidRPr="00412C56" w:rsidRDefault="00080B19" w:rsidP="0023341C">
            <w:pPr>
              <w:spacing w:before="60" w:line="276" w:lineRule="auto"/>
              <w:jc w:val="center"/>
              <w:rPr>
                <w:rFonts w:ascii="Bookman Old Style" w:hAnsi="Bookman Old Style" w:cs="Calibri"/>
                <w:color w:val="000000"/>
                <w:sz w:val="16"/>
                <w:szCs w:val="16"/>
              </w:rPr>
            </w:pPr>
            <w:r>
              <w:rPr>
                <w:rFonts w:ascii="Bookman Old Style" w:hAnsi="Bookman Old Style" w:cs="Calibri"/>
                <w:color w:val="000000"/>
                <w:sz w:val="16"/>
                <w:szCs w:val="16"/>
              </w:rPr>
              <w:t>0,73</w:t>
            </w:r>
          </w:p>
        </w:tc>
      </w:tr>
      <w:tr w:rsidR="00080B19" w:rsidRPr="00412C56" w14:paraId="13D18FEB"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43319CA3" w14:textId="44E9B44B" w:rsidR="00080B19" w:rsidRPr="00412C56" w:rsidRDefault="00080B19" w:rsidP="0023341C">
            <w:pPr>
              <w:spacing w:before="60" w:line="276" w:lineRule="auto"/>
              <w:rPr>
                <w:rFonts w:ascii="Bookman Old Style" w:hAnsi="Bookman Old Style"/>
                <w:sz w:val="16"/>
                <w:szCs w:val="16"/>
                <w:lang w:val="sv-FI"/>
              </w:rPr>
            </w:pPr>
            <w:r w:rsidRPr="00412C56">
              <w:rPr>
                <w:rFonts w:ascii="Bookman Old Style" w:hAnsi="Bookman Old Style"/>
                <w:sz w:val="16"/>
                <w:szCs w:val="16"/>
                <w:lang w:val="sv-FI"/>
              </w:rPr>
              <w:t>Urusan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Pemerintahan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Bidang</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Pertanian</w:t>
            </w:r>
            <w:r w:rsidR="00A954D0">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6152E903"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1.560.609.150,00</w:t>
            </w:r>
          </w:p>
        </w:tc>
        <w:tc>
          <w:tcPr>
            <w:tcW w:w="2126" w:type="dxa"/>
            <w:tcBorders>
              <w:top w:val="nil"/>
              <w:left w:val="nil"/>
              <w:bottom w:val="single" w:sz="4" w:space="0" w:color="000000"/>
              <w:right w:val="single" w:sz="4" w:space="0" w:color="000000"/>
            </w:tcBorders>
            <w:shd w:val="clear" w:color="auto" w:fill="auto"/>
            <w:noWrap/>
            <w:vAlign w:val="center"/>
          </w:tcPr>
          <w:p w14:paraId="44C20316"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47.500.000,00</w:t>
            </w:r>
          </w:p>
        </w:tc>
        <w:tc>
          <w:tcPr>
            <w:tcW w:w="1985" w:type="dxa"/>
            <w:tcBorders>
              <w:top w:val="nil"/>
              <w:left w:val="nil"/>
              <w:bottom w:val="single" w:sz="4" w:space="0" w:color="000000"/>
              <w:right w:val="single" w:sz="4" w:space="0" w:color="000000"/>
            </w:tcBorders>
            <w:shd w:val="clear" w:color="auto" w:fill="auto"/>
            <w:noWrap/>
            <w:vAlign w:val="center"/>
          </w:tcPr>
          <w:p w14:paraId="61FD4B84"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4D46EFB4"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3566A3AF"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1.608.109.150,00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3DA23B81" w14:textId="77777777" w:rsidR="00080B19" w:rsidRPr="00412C56" w:rsidRDefault="00080B19" w:rsidP="0023341C">
            <w:pPr>
              <w:spacing w:before="60" w:line="276" w:lineRule="auto"/>
              <w:jc w:val="center"/>
              <w:rPr>
                <w:rFonts w:ascii="Bookman Old Style" w:hAnsi="Bookman Old Style" w:cs="Calibri"/>
                <w:color w:val="000000"/>
                <w:sz w:val="16"/>
                <w:szCs w:val="16"/>
              </w:rPr>
            </w:pPr>
            <w:r>
              <w:rPr>
                <w:rFonts w:ascii="Bookman Old Style" w:hAnsi="Bookman Old Style" w:cs="Calibri"/>
                <w:color w:val="000000"/>
                <w:sz w:val="16"/>
                <w:szCs w:val="16"/>
              </w:rPr>
              <w:t>0,03</w:t>
            </w:r>
          </w:p>
        </w:tc>
      </w:tr>
      <w:tr w:rsidR="00080B19" w:rsidRPr="00412C56" w14:paraId="5EBDB34A"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698AEBDB" w14:textId="392C7033" w:rsidR="00080B19" w:rsidRPr="00412C56" w:rsidRDefault="00080B19" w:rsidP="0023341C">
            <w:pPr>
              <w:spacing w:before="60" w:line="276" w:lineRule="auto"/>
              <w:rPr>
                <w:rFonts w:ascii="Bookman Old Style" w:hAnsi="Bookman Old Style"/>
                <w:sz w:val="16"/>
                <w:szCs w:val="16"/>
                <w:lang w:val="sv-FI"/>
              </w:rPr>
            </w:pPr>
            <w:r w:rsidRPr="00412C56">
              <w:rPr>
                <w:rFonts w:ascii="Bookman Old Style" w:hAnsi="Bookman Old Style"/>
                <w:sz w:val="16"/>
                <w:szCs w:val="16"/>
                <w:lang w:val="sv-FI"/>
              </w:rPr>
              <w:t>Urusan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Pemerintahan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Bidang</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Perdagangan</w:t>
            </w:r>
            <w:r w:rsidR="00A954D0">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11872753"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2.384.751.000,00</w:t>
            </w:r>
          </w:p>
        </w:tc>
        <w:tc>
          <w:tcPr>
            <w:tcW w:w="2126" w:type="dxa"/>
            <w:tcBorders>
              <w:top w:val="nil"/>
              <w:left w:val="nil"/>
              <w:bottom w:val="single" w:sz="4" w:space="0" w:color="000000"/>
              <w:right w:val="single" w:sz="4" w:space="0" w:color="000000"/>
            </w:tcBorders>
            <w:shd w:val="clear" w:color="auto" w:fill="auto"/>
            <w:noWrap/>
            <w:vAlign w:val="center"/>
          </w:tcPr>
          <w:p w14:paraId="08FC4ACF"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3.147.000,00</w:t>
            </w:r>
          </w:p>
        </w:tc>
        <w:tc>
          <w:tcPr>
            <w:tcW w:w="1985" w:type="dxa"/>
            <w:tcBorders>
              <w:top w:val="nil"/>
              <w:left w:val="nil"/>
              <w:bottom w:val="single" w:sz="4" w:space="0" w:color="000000"/>
              <w:right w:val="single" w:sz="4" w:space="0" w:color="000000"/>
            </w:tcBorders>
            <w:shd w:val="clear" w:color="auto" w:fill="auto"/>
            <w:noWrap/>
            <w:vAlign w:val="center"/>
          </w:tcPr>
          <w:p w14:paraId="51CEAEC1"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01130DDD"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53079267"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2.387.898.000,00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4885F52" w14:textId="77777777" w:rsidR="00080B19" w:rsidRPr="00412C56" w:rsidRDefault="00080B19" w:rsidP="0023341C">
            <w:pPr>
              <w:spacing w:before="60" w:line="276" w:lineRule="auto"/>
              <w:jc w:val="center"/>
              <w:rPr>
                <w:rFonts w:ascii="Bookman Old Style" w:hAnsi="Bookman Old Style" w:cs="Calibri"/>
                <w:color w:val="000000"/>
                <w:sz w:val="16"/>
                <w:szCs w:val="16"/>
              </w:rPr>
            </w:pPr>
            <w:r>
              <w:rPr>
                <w:rFonts w:ascii="Bookman Old Style" w:hAnsi="Bookman Old Style" w:cs="Calibri"/>
                <w:color w:val="000000"/>
                <w:sz w:val="16"/>
                <w:szCs w:val="16"/>
              </w:rPr>
              <w:t>0,04</w:t>
            </w:r>
          </w:p>
        </w:tc>
      </w:tr>
      <w:tr w:rsidR="00080B19" w:rsidRPr="00412C56" w14:paraId="03714272"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2E940A4E" w14:textId="7FE14E38" w:rsidR="00080B19" w:rsidRPr="00412C56" w:rsidRDefault="00080B19" w:rsidP="0023341C">
            <w:pPr>
              <w:spacing w:before="60" w:line="276" w:lineRule="auto"/>
              <w:rPr>
                <w:rFonts w:ascii="Bookman Old Style" w:hAnsi="Bookman Old Style"/>
                <w:sz w:val="16"/>
                <w:szCs w:val="16"/>
                <w:lang w:val="sv-FI"/>
              </w:rPr>
            </w:pPr>
            <w:r w:rsidRPr="00412C56">
              <w:rPr>
                <w:rFonts w:ascii="Bookman Old Style" w:hAnsi="Bookman Old Style"/>
                <w:sz w:val="16"/>
                <w:szCs w:val="16"/>
                <w:lang w:val="sv-FI"/>
              </w:rPr>
              <w:t>Urusan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Pemerintahan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Bidang</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Perindustrian</w:t>
            </w:r>
            <w:r w:rsidR="00A954D0">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005C25CF"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31.163.860.629,00</w:t>
            </w:r>
          </w:p>
        </w:tc>
        <w:tc>
          <w:tcPr>
            <w:tcW w:w="2126" w:type="dxa"/>
            <w:tcBorders>
              <w:top w:val="nil"/>
              <w:left w:val="nil"/>
              <w:bottom w:val="single" w:sz="4" w:space="0" w:color="000000"/>
              <w:right w:val="single" w:sz="4" w:space="0" w:color="000000"/>
            </w:tcBorders>
            <w:shd w:val="clear" w:color="auto" w:fill="auto"/>
            <w:noWrap/>
            <w:vAlign w:val="center"/>
          </w:tcPr>
          <w:p w14:paraId="6A233703"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150.754.800,00</w:t>
            </w:r>
          </w:p>
        </w:tc>
        <w:tc>
          <w:tcPr>
            <w:tcW w:w="1985" w:type="dxa"/>
            <w:tcBorders>
              <w:top w:val="nil"/>
              <w:left w:val="nil"/>
              <w:bottom w:val="single" w:sz="4" w:space="0" w:color="000000"/>
              <w:right w:val="single" w:sz="4" w:space="0" w:color="000000"/>
            </w:tcBorders>
            <w:shd w:val="clear" w:color="auto" w:fill="auto"/>
            <w:noWrap/>
            <w:vAlign w:val="center"/>
          </w:tcPr>
          <w:p w14:paraId="64024C80"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473DADA1"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243ADF3E"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31.314.615.429,00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01931AA1" w14:textId="77777777" w:rsidR="00080B19" w:rsidRPr="00412C56" w:rsidRDefault="00080B19" w:rsidP="0023341C">
            <w:pPr>
              <w:spacing w:before="60" w:line="276" w:lineRule="auto"/>
              <w:jc w:val="center"/>
              <w:rPr>
                <w:rFonts w:ascii="Bookman Old Style" w:hAnsi="Bookman Old Style" w:cs="Calibri"/>
                <w:color w:val="000000"/>
                <w:sz w:val="16"/>
                <w:szCs w:val="16"/>
              </w:rPr>
            </w:pPr>
            <w:r>
              <w:rPr>
                <w:rFonts w:ascii="Bookman Old Style" w:hAnsi="Bookman Old Style" w:cs="Calibri"/>
                <w:color w:val="000000"/>
                <w:sz w:val="16"/>
                <w:szCs w:val="16"/>
              </w:rPr>
              <w:t>0,55</w:t>
            </w:r>
          </w:p>
        </w:tc>
      </w:tr>
      <w:tr w:rsidR="00080B19" w:rsidRPr="00412C56" w14:paraId="1FC1DE59"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2B0ECC7C" w14:textId="3E4348C3" w:rsidR="00080B19" w:rsidRPr="00412C56" w:rsidRDefault="00080B19" w:rsidP="0023341C">
            <w:pPr>
              <w:spacing w:before="60" w:line="276" w:lineRule="auto"/>
              <w:rPr>
                <w:rFonts w:ascii="Bookman Old Style" w:hAnsi="Bookman Old Style"/>
                <w:b/>
                <w:bCs/>
                <w:sz w:val="16"/>
                <w:szCs w:val="16"/>
                <w:lang w:val="sv-FI"/>
              </w:rPr>
            </w:pPr>
            <w:r w:rsidRPr="00412C56">
              <w:rPr>
                <w:rFonts w:ascii="Bookman Old Style" w:hAnsi="Bookman Old Style"/>
                <w:b/>
                <w:bCs/>
                <w:sz w:val="16"/>
                <w:szCs w:val="16"/>
                <w:lang w:val="sv-FI"/>
              </w:rPr>
              <w:t>Unsur</w:t>
            </w:r>
            <w:r w:rsidR="00A954D0">
              <w:rPr>
                <w:rFonts w:ascii="Bookman Old Style" w:hAnsi="Bookman Old Style"/>
                <w:b/>
                <w:bCs/>
                <w:sz w:val="16"/>
                <w:szCs w:val="16"/>
                <w:lang w:val="sv-FI"/>
              </w:rPr>
              <w:t xml:space="preserve"> </w:t>
            </w:r>
            <w:r w:rsidRPr="00412C56">
              <w:rPr>
                <w:rFonts w:ascii="Bookman Old Style" w:hAnsi="Bookman Old Style"/>
                <w:b/>
                <w:bCs/>
                <w:sz w:val="16"/>
                <w:szCs w:val="16"/>
                <w:lang w:val="sv-FI"/>
              </w:rPr>
              <w:t>Pendukung</w:t>
            </w:r>
            <w:r w:rsidR="00A954D0">
              <w:rPr>
                <w:rFonts w:ascii="Bookman Old Style" w:hAnsi="Bookman Old Style"/>
                <w:b/>
                <w:bCs/>
                <w:sz w:val="16"/>
                <w:szCs w:val="16"/>
                <w:lang w:val="sv-FI"/>
              </w:rPr>
              <w:t xml:space="preserve"> </w:t>
            </w:r>
            <w:r w:rsidRPr="00412C56">
              <w:rPr>
                <w:rFonts w:ascii="Bookman Old Style" w:hAnsi="Bookman Old Style"/>
                <w:b/>
                <w:bCs/>
                <w:sz w:val="16"/>
                <w:szCs w:val="16"/>
                <w:lang w:val="sv-FI"/>
              </w:rPr>
              <w:t>Urusan</w:t>
            </w:r>
            <w:r w:rsidR="00A954D0">
              <w:rPr>
                <w:rFonts w:ascii="Bookman Old Style" w:hAnsi="Bookman Old Style"/>
                <w:b/>
                <w:bCs/>
                <w:sz w:val="16"/>
                <w:szCs w:val="16"/>
                <w:lang w:val="sv-FI"/>
              </w:rPr>
              <w:t xml:space="preserve"> </w:t>
            </w:r>
            <w:r w:rsidRPr="00412C56">
              <w:rPr>
                <w:rFonts w:ascii="Bookman Old Style" w:hAnsi="Bookman Old Style"/>
                <w:b/>
                <w:bCs/>
                <w:sz w:val="16"/>
                <w:szCs w:val="16"/>
                <w:lang w:val="sv-FI"/>
              </w:rPr>
              <w:t>Pemerintahan</w:t>
            </w:r>
            <w:r w:rsidR="00A954D0">
              <w:rPr>
                <w:rFonts w:ascii="Bookman Old Style" w:hAnsi="Bookman Old Style"/>
                <w:b/>
                <w:bCs/>
                <w:sz w:val="16"/>
                <w:szCs w:val="16"/>
                <w:lang w:val="sv-FI"/>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77171"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color w:val="000000"/>
                <w:sz w:val="16"/>
                <w:szCs w:val="16"/>
              </w:rPr>
              <w:t>321.250.149.522,00</w:t>
            </w:r>
          </w:p>
        </w:tc>
        <w:tc>
          <w:tcPr>
            <w:tcW w:w="2126" w:type="dxa"/>
            <w:tcBorders>
              <w:top w:val="single" w:sz="4" w:space="0" w:color="000000"/>
              <w:left w:val="nil"/>
              <w:bottom w:val="single" w:sz="4" w:space="0" w:color="000000"/>
              <w:right w:val="single" w:sz="4" w:space="0" w:color="000000"/>
            </w:tcBorders>
            <w:shd w:val="clear" w:color="auto" w:fill="auto"/>
            <w:noWrap/>
            <w:vAlign w:val="center"/>
          </w:tcPr>
          <w:p w14:paraId="0B57E60A"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color w:val="000000"/>
                <w:sz w:val="16"/>
                <w:szCs w:val="16"/>
              </w:rPr>
              <w:t>13.778.848.528,00</w:t>
            </w:r>
          </w:p>
        </w:tc>
        <w:tc>
          <w:tcPr>
            <w:tcW w:w="1985" w:type="dxa"/>
            <w:tcBorders>
              <w:top w:val="single" w:sz="4" w:space="0" w:color="000000"/>
              <w:left w:val="nil"/>
              <w:bottom w:val="single" w:sz="4" w:space="0" w:color="000000"/>
              <w:right w:val="single" w:sz="4" w:space="0" w:color="000000"/>
            </w:tcBorders>
            <w:shd w:val="clear" w:color="auto" w:fill="auto"/>
            <w:noWrap/>
            <w:vAlign w:val="center"/>
          </w:tcPr>
          <w:p w14:paraId="4620D1BE"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color w:val="000000"/>
                <w:sz w:val="16"/>
                <w:szCs w:val="16"/>
              </w:rPr>
              <w:t>0,00</w:t>
            </w:r>
          </w:p>
        </w:tc>
        <w:tc>
          <w:tcPr>
            <w:tcW w:w="1984" w:type="dxa"/>
            <w:tcBorders>
              <w:top w:val="single" w:sz="4" w:space="0" w:color="000000"/>
              <w:left w:val="nil"/>
              <w:bottom w:val="single" w:sz="4" w:space="0" w:color="000000"/>
              <w:right w:val="single" w:sz="4" w:space="0" w:color="000000"/>
            </w:tcBorders>
            <w:shd w:val="clear" w:color="auto" w:fill="auto"/>
            <w:noWrap/>
            <w:vAlign w:val="center"/>
          </w:tcPr>
          <w:p w14:paraId="741B4421"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color w:val="000000"/>
                <w:sz w:val="16"/>
                <w:szCs w:val="16"/>
              </w:rPr>
              <w:t>0,00</w:t>
            </w:r>
          </w:p>
        </w:tc>
        <w:tc>
          <w:tcPr>
            <w:tcW w:w="2268" w:type="dxa"/>
            <w:tcBorders>
              <w:top w:val="single" w:sz="4" w:space="0" w:color="000000"/>
              <w:left w:val="nil"/>
              <w:bottom w:val="single" w:sz="4" w:space="0" w:color="000000"/>
              <w:right w:val="nil"/>
            </w:tcBorders>
            <w:shd w:val="clear" w:color="auto" w:fill="auto"/>
            <w:noWrap/>
            <w:vAlign w:val="center"/>
          </w:tcPr>
          <w:p w14:paraId="5511AB96"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color w:val="000000"/>
                <w:sz w:val="16"/>
                <w:szCs w:val="16"/>
              </w:rPr>
              <w:t>335.028.998.050,00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F06E3D" w14:textId="77777777" w:rsidR="00080B19" w:rsidRPr="00412C56" w:rsidRDefault="00080B19" w:rsidP="0023341C">
            <w:pPr>
              <w:spacing w:before="60" w:line="276" w:lineRule="auto"/>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5,87</w:t>
            </w:r>
          </w:p>
        </w:tc>
      </w:tr>
      <w:tr w:rsidR="00080B19" w:rsidRPr="00412C56" w14:paraId="6005CCDA"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6B7BBB0B" w14:textId="7D62BDA4" w:rsidR="00080B19" w:rsidRPr="00412C56" w:rsidRDefault="00080B19" w:rsidP="0023341C">
            <w:pPr>
              <w:spacing w:before="60" w:line="276" w:lineRule="auto"/>
              <w:rPr>
                <w:rFonts w:ascii="Bookman Old Style" w:hAnsi="Bookman Old Style"/>
                <w:sz w:val="16"/>
                <w:szCs w:val="16"/>
                <w:lang w:val="sv-FI"/>
              </w:rPr>
            </w:pPr>
            <w:r w:rsidRPr="00412C56">
              <w:rPr>
                <w:rFonts w:ascii="Bookman Old Style" w:hAnsi="Bookman Old Style"/>
                <w:sz w:val="16"/>
                <w:szCs w:val="16"/>
                <w:lang w:val="sv-FI"/>
              </w:rPr>
              <w:t>Sekretariat</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Daerah</w:t>
            </w:r>
            <w:r w:rsidR="00A954D0">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04C3967A"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155.965.336.114,00</w:t>
            </w:r>
          </w:p>
        </w:tc>
        <w:tc>
          <w:tcPr>
            <w:tcW w:w="2126" w:type="dxa"/>
            <w:tcBorders>
              <w:top w:val="nil"/>
              <w:left w:val="nil"/>
              <w:bottom w:val="single" w:sz="4" w:space="0" w:color="000000"/>
              <w:right w:val="single" w:sz="4" w:space="0" w:color="000000"/>
            </w:tcBorders>
            <w:shd w:val="clear" w:color="auto" w:fill="auto"/>
            <w:noWrap/>
            <w:vAlign w:val="center"/>
          </w:tcPr>
          <w:p w14:paraId="5E707500"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11.826.338.800,00</w:t>
            </w:r>
          </w:p>
        </w:tc>
        <w:tc>
          <w:tcPr>
            <w:tcW w:w="1985" w:type="dxa"/>
            <w:tcBorders>
              <w:top w:val="nil"/>
              <w:left w:val="nil"/>
              <w:bottom w:val="single" w:sz="4" w:space="0" w:color="000000"/>
              <w:right w:val="single" w:sz="4" w:space="0" w:color="000000"/>
            </w:tcBorders>
            <w:shd w:val="clear" w:color="auto" w:fill="auto"/>
            <w:noWrap/>
            <w:vAlign w:val="center"/>
          </w:tcPr>
          <w:p w14:paraId="1B456110"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4FA9510B"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2D96EF9C"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167.791.674.914,00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272FAA2" w14:textId="77777777" w:rsidR="00080B19" w:rsidRPr="00412C56" w:rsidRDefault="00080B19" w:rsidP="0023341C">
            <w:pPr>
              <w:spacing w:before="60" w:line="276" w:lineRule="auto"/>
              <w:jc w:val="center"/>
              <w:rPr>
                <w:rFonts w:ascii="Bookman Old Style" w:hAnsi="Bookman Old Style" w:cs="Calibri"/>
                <w:color w:val="000000"/>
                <w:sz w:val="16"/>
                <w:szCs w:val="16"/>
              </w:rPr>
            </w:pPr>
            <w:r>
              <w:rPr>
                <w:rFonts w:ascii="Bookman Old Style" w:hAnsi="Bookman Old Style" w:cs="Calibri"/>
                <w:color w:val="000000"/>
                <w:sz w:val="16"/>
                <w:szCs w:val="16"/>
              </w:rPr>
              <w:t>2,94</w:t>
            </w:r>
          </w:p>
        </w:tc>
      </w:tr>
      <w:tr w:rsidR="00080B19" w:rsidRPr="00412C56" w14:paraId="15D56DD7"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5990A348" w14:textId="4B313C10" w:rsidR="00080B19" w:rsidRPr="00412C56" w:rsidRDefault="00080B19" w:rsidP="0023341C">
            <w:pPr>
              <w:spacing w:before="60" w:line="276" w:lineRule="auto"/>
              <w:rPr>
                <w:rFonts w:ascii="Bookman Old Style" w:hAnsi="Bookman Old Style"/>
                <w:sz w:val="16"/>
                <w:szCs w:val="16"/>
                <w:lang w:val="sv-FI"/>
              </w:rPr>
            </w:pPr>
            <w:r w:rsidRPr="00412C56">
              <w:rPr>
                <w:rFonts w:ascii="Bookman Old Style" w:hAnsi="Bookman Old Style"/>
                <w:sz w:val="16"/>
                <w:szCs w:val="16"/>
                <w:lang w:val="sv-FI"/>
              </w:rPr>
              <w:t>Sekretariat</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DPRD</w:t>
            </w:r>
            <w:r w:rsidR="00A954D0">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1CD4E410"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165.284.813.408,00</w:t>
            </w:r>
          </w:p>
        </w:tc>
        <w:tc>
          <w:tcPr>
            <w:tcW w:w="2126" w:type="dxa"/>
            <w:tcBorders>
              <w:top w:val="nil"/>
              <w:left w:val="nil"/>
              <w:bottom w:val="single" w:sz="4" w:space="0" w:color="000000"/>
              <w:right w:val="single" w:sz="4" w:space="0" w:color="000000"/>
            </w:tcBorders>
            <w:shd w:val="clear" w:color="auto" w:fill="auto"/>
            <w:noWrap/>
            <w:vAlign w:val="center"/>
          </w:tcPr>
          <w:p w14:paraId="2E3E0AA9"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1.952.509.728,00</w:t>
            </w:r>
          </w:p>
        </w:tc>
        <w:tc>
          <w:tcPr>
            <w:tcW w:w="1985" w:type="dxa"/>
            <w:tcBorders>
              <w:top w:val="nil"/>
              <w:left w:val="nil"/>
              <w:bottom w:val="single" w:sz="4" w:space="0" w:color="000000"/>
              <w:right w:val="single" w:sz="4" w:space="0" w:color="000000"/>
            </w:tcBorders>
            <w:shd w:val="clear" w:color="auto" w:fill="auto"/>
            <w:noWrap/>
            <w:vAlign w:val="center"/>
          </w:tcPr>
          <w:p w14:paraId="1D2BCEDD"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34ABA31E"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379D7D88"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167.237.323.136,00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FE596C2" w14:textId="77777777" w:rsidR="00080B19" w:rsidRPr="00412C56" w:rsidRDefault="00080B19" w:rsidP="0023341C">
            <w:pPr>
              <w:spacing w:before="60" w:line="276" w:lineRule="auto"/>
              <w:jc w:val="center"/>
              <w:rPr>
                <w:rFonts w:ascii="Bookman Old Style" w:hAnsi="Bookman Old Style" w:cs="Calibri"/>
                <w:color w:val="000000"/>
                <w:sz w:val="16"/>
                <w:szCs w:val="16"/>
              </w:rPr>
            </w:pPr>
            <w:r>
              <w:rPr>
                <w:rFonts w:ascii="Bookman Old Style" w:hAnsi="Bookman Old Style" w:cs="Calibri"/>
                <w:color w:val="000000"/>
                <w:sz w:val="16"/>
                <w:szCs w:val="16"/>
              </w:rPr>
              <w:t>2,93</w:t>
            </w:r>
          </w:p>
        </w:tc>
      </w:tr>
      <w:tr w:rsidR="00080B19" w:rsidRPr="00412C56" w14:paraId="792E29DC"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37E39105" w14:textId="64D16941" w:rsidR="00080B19" w:rsidRPr="00412C56" w:rsidRDefault="00080B19" w:rsidP="0023341C">
            <w:pPr>
              <w:spacing w:before="60" w:line="276" w:lineRule="auto"/>
              <w:rPr>
                <w:rFonts w:ascii="Bookman Old Style" w:hAnsi="Bookman Old Style"/>
                <w:b/>
                <w:bCs/>
                <w:sz w:val="16"/>
                <w:szCs w:val="16"/>
                <w:lang w:val="sv-FI"/>
              </w:rPr>
            </w:pPr>
            <w:r w:rsidRPr="00412C56">
              <w:rPr>
                <w:rFonts w:ascii="Bookman Old Style" w:hAnsi="Bookman Old Style"/>
                <w:b/>
                <w:bCs/>
                <w:sz w:val="16"/>
                <w:szCs w:val="16"/>
                <w:lang w:val="sv-FI"/>
              </w:rPr>
              <w:t>Unsur</w:t>
            </w:r>
            <w:r w:rsidR="00A954D0">
              <w:rPr>
                <w:rFonts w:ascii="Bookman Old Style" w:hAnsi="Bookman Old Style"/>
                <w:b/>
                <w:bCs/>
                <w:sz w:val="16"/>
                <w:szCs w:val="16"/>
                <w:lang w:val="sv-FI"/>
              </w:rPr>
              <w:t xml:space="preserve"> </w:t>
            </w:r>
            <w:r w:rsidRPr="00412C56">
              <w:rPr>
                <w:rFonts w:ascii="Bookman Old Style" w:hAnsi="Bookman Old Style"/>
                <w:b/>
                <w:bCs/>
                <w:sz w:val="16"/>
                <w:szCs w:val="16"/>
                <w:lang w:val="sv-FI"/>
              </w:rPr>
              <w:t>Penunjang</w:t>
            </w:r>
            <w:r w:rsidR="00A954D0">
              <w:rPr>
                <w:rFonts w:ascii="Bookman Old Style" w:hAnsi="Bookman Old Style"/>
                <w:b/>
                <w:bCs/>
                <w:sz w:val="16"/>
                <w:szCs w:val="16"/>
                <w:lang w:val="sv-FI"/>
              </w:rPr>
              <w:t xml:space="preserve"> </w:t>
            </w:r>
            <w:r w:rsidRPr="00412C56">
              <w:rPr>
                <w:rFonts w:ascii="Bookman Old Style" w:hAnsi="Bookman Old Style"/>
                <w:b/>
                <w:bCs/>
                <w:sz w:val="16"/>
                <w:szCs w:val="16"/>
                <w:lang w:val="sv-FI"/>
              </w:rPr>
              <w:t>Urusan</w:t>
            </w:r>
            <w:r w:rsidR="00A954D0">
              <w:rPr>
                <w:rFonts w:ascii="Bookman Old Style" w:hAnsi="Bookman Old Style"/>
                <w:b/>
                <w:bCs/>
                <w:sz w:val="16"/>
                <w:szCs w:val="16"/>
                <w:lang w:val="sv-FI"/>
              </w:rPr>
              <w:t xml:space="preserve"> </w:t>
            </w:r>
            <w:r w:rsidRPr="00412C56">
              <w:rPr>
                <w:rFonts w:ascii="Bookman Old Style" w:hAnsi="Bookman Old Style"/>
                <w:b/>
                <w:bCs/>
                <w:sz w:val="16"/>
                <w:szCs w:val="16"/>
                <w:lang w:val="sv-FI"/>
              </w:rPr>
              <w:t>Pemerintahan</w:t>
            </w:r>
            <w:r w:rsidR="00A954D0">
              <w:rPr>
                <w:rFonts w:ascii="Bookman Old Style" w:hAnsi="Bookman Old Style"/>
                <w:b/>
                <w:bCs/>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303F4455"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color w:val="000000"/>
                <w:sz w:val="16"/>
                <w:szCs w:val="16"/>
              </w:rPr>
              <w:t>298.802.384.228,00</w:t>
            </w:r>
          </w:p>
        </w:tc>
        <w:tc>
          <w:tcPr>
            <w:tcW w:w="2126" w:type="dxa"/>
            <w:tcBorders>
              <w:top w:val="nil"/>
              <w:left w:val="nil"/>
              <w:bottom w:val="single" w:sz="4" w:space="0" w:color="000000"/>
              <w:right w:val="single" w:sz="4" w:space="0" w:color="000000"/>
            </w:tcBorders>
            <w:shd w:val="clear" w:color="auto" w:fill="auto"/>
            <w:noWrap/>
            <w:vAlign w:val="center"/>
          </w:tcPr>
          <w:p w14:paraId="062D50B7"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color w:val="000000"/>
                <w:sz w:val="16"/>
                <w:szCs w:val="16"/>
              </w:rPr>
              <w:t>3.507.760.500,00</w:t>
            </w:r>
          </w:p>
        </w:tc>
        <w:tc>
          <w:tcPr>
            <w:tcW w:w="1985" w:type="dxa"/>
            <w:tcBorders>
              <w:top w:val="nil"/>
              <w:left w:val="nil"/>
              <w:bottom w:val="single" w:sz="4" w:space="0" w:color="000000"/>
              <w:right w:val="single" w:sz="4" w:space="0" w:color="000000"/>
            </w:tcBorders>
            <w:shd w:val="clear" w:color="auto" w:fill="auto"/>
            <w:noWrap/>
            <w:vAlign w:val="center"/>
          </w:tcPr>
          <w:p w14:paraId="137E3C2C"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color w:val="000000"/>
                <w:sz w:val="16"/>
                <w:szCs w:val="16"/>
              </w:rPr>
              <w:t>27.814.693.294,00</w:t>
            </w:r>
          </w:p>
        </w:tc>
        <w:tc>
          <w:tcPr>
            <w:tcW w:w="1984" w:type="dxa"/>
            <w:tcBorders>
              <w:top w:val="nil"/>
              <w:left w:val="nil"/>
              <w:bottom w:val="single" w:sz="4" w:space="0" w:color="000000"/>
              <w:right w:val="single" w:sz="4" w:space="0" w:color="000000"/>
            </w:tcBorders>
            <w:shd w:val="clear" w:color="auto" w:fill="auto"/>
            <w:noWrap/>
            <w:vAlign w:val="center"/>
          </w:tcPr>
          <w:p w14:paraId="6CD72698"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14F0816B"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color w:val="000000"/>
                <w:sz w:val="16"/>
                <w:szCs w:val="16"/>
              </w:rPr>
              <w:t>330.124.838.022,00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9A1A46F" w14:textId="77777777" w:rsidR="00080B19" w:rsidRPr="00374DAB" w:rsidRDefault="00080B19" w:rsidP="0023341C">
            <w:pPr>
              <w:spacing w:before="60" w:line="276" w:lineRule="auto"/>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5,78</w:t>
            </w:r>
          </w:p>
        </w:tc>
      </w:tr>
      <w:tr w:rsidR="00080B19" w:rsidRPr="00412C56" w14:paraId="0C7C9052"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7B08E091" w14:textId="6B6A893C" w:rsidR="00080B19" w:rsidRPr="00412C56" w:rsidRDefault="00080B19" w:rsidP="0023341C">
            <w:pPr>
              <w:spacing w:before="60" w:line="276" w:lineRule="auto"/>
              <w:rPr>
                <w:rFonts w:ascii="Bookman Old Style" w:hAnsi="Bookman Old Style"/>
                <w:sz w:val="16"/>
                <w:szCs w:val="16"/>
                <w:lang w:val="sv-FI"/>
              </w:rPr>
            </w:pPr>
            <w:r w:rsidRPr="00412C56">
              <w:rPr>
                <w:rFonts w:ascii="Bookman Old Style" w:hAnsi="Bookman Old Style"/>
                <w:sz w:val="16"/>
                <w:szCs w:val="16"/>
                <w:lang w:val="sv-FI"/>
              </w:rPr>
              <w:t>Perencanaan</w:t>
            </w:r>
            <w:r w:rsidR="00A954D0">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1E9C206D"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27.228.231.445,00</w:t>
            </w:r>
          </w:p>
        </w:tc>
        <w:tc>
          <w:tcPr>
            <w:tcW w:w="2126" w:type="dxa"/>
            <w:tcBorders>
              <w:top w:val="nil"/>
              <w:left w:val="nil"/>
              <w:bottom w:val="single" w:sz="4" w:space="0" w:color="000000"/>
              <w:right w:val="single" w:sz="4" w:space="0" w:color="000000"/>
            </w:tcBorders>
            <w:shd w:val="clear" w:color="auto" w:fill="auto"/>
            <w:noWrap/>
            <w:vAlign w:val="center"/>
          </w:tcPr>
          <w:p w14:paraId="6694B1EA"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146.645.700,00</w:t>
            </w:r>
          </w:p>
        </w:tc>
        <w:tc>
          <w:tcPr>
            <w:tcW w:w="1985" w:type="dxa"/>
            <w:tcBorders>
              <w:top w:val="nil"/>
              <w:left w:val="nil"/>
              <w:bottom w:val="single" w:sz="4" w:space="0" w:color="000000"/>
              <w:right w:val="single" w:sz="4" w:space="0" w:color="000000"/>
            </w:tcBorders>
            <w:shd w:val="clear" w:color="auto" w:fill="auto"/>
            <w:noWrap/>
            <w:vAlign w:val="center"/>
          </w:tcPr>
          <w:p w14:paraId="717A4050"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7A0222E3"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3F0158F9"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27.374.877.145,00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31BF21B3" w14:textId="77777777" w:rsidR="00080B19" w:rsidRPr="00412C56" w:rsidRDefault="00080B19" w:rsidP="0023341C">
            <w:pPr>
              <w:spacing w:before="60" w:line="276" w:lineRule="auto"/>
              <w:jc w:val="center"/>
              <w:rPr>
                <w:rFonts w:ascii="Bookman Old Style" w:hAnsi="Bookman Old Style" w:cs="Calibri"/>
                <w:color w:val="000000"/>
                <w:sz w:val="16"/>
                <w:szCs w:val="16"/>
              </w:rPr>
            </w:pPr>
            <w:r>
              <w:rPr>
                <w:rFonts w:ascii="Bookman Old Style" w:hAnsi="Bookman Old Style" w:cs="Calibri"/>
                <w:color w:val="000000"/>
                <w:sz w:val="16"/>
                <w:szCs w:val="16"/>
              </w:rPr>
              <w:t>0,48</w:t>
            </w:r>
          </w:p>
        </w:tc>
      </w:tr>
      <w:tr w:rsidR="00080B19" w:rsidRPr="00412C56" w14:paraId="7ACD7062"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21B9476C" w14:textId="688EBF82" w:rsidR="00080B19" w:rsidRPr="00412C56" w:rsidRDefault="00080B19" w:rsidP="0023341C">
            <w:pPr>
              <w:spacing w:before="60" w:line="276" w:lineRule="auto"/>
              <w:rPr>
                <w:rFonts w:ascii="Bookman Old Style" w:hAnsi="Bookman Old Style"/>
                <w:sz w:val="16"/>
                <w:szCs w:val="16"/>
                <w:lang w:val="sv-FI"/>
              </w:rPr>
            </w:pPr>
            <w:r w:rsidRPr="00412C56">
              <w:rPr>
                <w:rFonts w:ascii="Bookman Old Style" w:hAnsi="Bookman Old Style"/>
                <w:sz w:val="16"/>
                <w:szCs w:val="16"/>
                <w:lang w:val="sv-FI"/>
              </w:rPr>
              <w:t>Keuangan</w:t>
            </w:r>
            <w:r w:rsidR="00A954D0">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5BF5C576"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147.901.136.794,00</w:t>
            </w:r>
          </w:p>
        </w:tc>
        <w:tc>
          <w:tcPr>
            <w:tcW w:w="2126" w:type="dxa"/>
            <w:tcBorders>
              <w:top w:val="nil"/>
              <w:left w:val="nil"/>
              <w:bottom w:val="single" w:sz="4" w:space="0" w:color="000000"/>
              <w:right w:val="single" w:sz="4" w:space="0" w:color="000000"/>
            </w:tcBorders>
            <w:shd w:val="clear" w:color="auto" w:fill="auto"/>
            <w:noWrap/>
            <w:vAlign w:val="center"/>
          </w:tcPr>
          <w:p w14:paraId="7EA527CA"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1.105.147.500,00</w:t>
            </w:r>
          </w:p>
        </w:tc>
        <w:tc>
          <w:tcPr>
            <w:tcW w:w="1985" w:type="dxa"/>
            <w:tcBorders>
              <w:top w:val="nil"/>
              <w:left w:val="nil"/>
              <w:bottom w:val="single" w:sz="4" w:space="0" w:color="000000"/>
              <w:right w:val="single" w:sz="4" w:space="0" w:color="000000"/>
            </w:tcBorders>
            <w:shd w:val="clear" w:color="auto" w:fill="auto"/>
            <w:noWrap/>
            <w:vAlign w:val="center"/>
          </w:tcPr>
          <w:p w14:paraId="20F46E1D"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27.814.693.294,00</w:t>
            </w:r>
          </w:p>
        </w:tc>
        <w:tc>
          <w:tcPr>
            <w:tcW w:w="1984" w:type="dxa"/>
            <w:tcBorders>
              <w:top w:val="nil"/>
              <w:left w:val="nil"/>
              <w:bottom w:val="single" w:sz="4" w:space="0" w:color="000000"/>
              <w:right w:val="single" w:sz="4" w:space="0" w:color="000000"/>
            </w:tcBorders>
            <w:shd w:val="clear" w:color="auto" w:fill="auto"/>
            <w:noWrap/>
            <w:vAlign w:val="center"/>
          </w:tcPr>
          <w:p w14:paraId="5C312095"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63BBC9FF"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176.820.977.588,00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36411B9F" w14:textId="77777777" w:rsidR="00080B19" w:rsidRPr="00412C56" w:rsidRDefault="00080B19" w:rsidP="0023341C">
            <w:pPr>
              <w:spacing w:before="60" w:line="276" w:lineRule="auto"/>
              <w:jc w:val="center"/>
              <w:rPr>
                <w:rFonts w:ascii="Bookman Old Style" w:hAnsi="Bookman Old Style" w:cs="Calibri"/>
                <w:color w:val="000000"/>
                <w:sz w:val="16"/>
                <w:szCs w:val="16"/>
              </w:rPr>
            </w:pPr>
            <w:r>
              <w:rPr>
                <w:rFonts w:ascii="Bookman Old Style" w:hAnsi="Bookman Old Style" w:cs="Calibri"/>
                <w:color w:val="000000"/>
                <w:sz w:val="16"/>
                <w:szCs w:val="16"/>
              </w:rPr>
              <w:t>3,10</w:t>
            </w:r>
          </w:p>
        </w:tc>
      </w:tr>
      <w:tr w:rsidR="00080B19" w:rsidRPr="00412C56" w14:paraId="79E08062"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365D66B3" w14:textId="3EF630AD" w:rsidR="00080B19" w:rsidRPr="00412C56" w:rsidRDefault="00080B19" w:rsidP="0023341C">
            <w:pPr>
              <w:spacing w:before="60" w:line="276" w:lineRule="auto"/>
              <w:rPr>
                <w:rFonts w:ascii="Bookman Old Style" w:hAnsi="Bookman Old Style"/>
                <w:sz w:val="16"/>
                <w:szCs w:val="16"/>
                <w:lang w:val="sv-FI"/>
              </w:rPr>
            </w:pPr>
            <w:r w:rsidRPr="00412C56">
              <w:rPr>
                <w:rFonts w:ascii="Bookman Old Style" w:hAnsi="Bookman Old Style"/>
                <w:sz w:val="16"/>
                <w:szCs w:val="16"/>
                <w:lang w:val="sv-FI"/>
              </w:rPr>
              <w:lastRenderedPageBreak/>
              <w:t>Kepegawaian</w:t>
            </w:r>
            <w:r w:rsidR="00A954D0">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3839A7AF"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113.144.489.689,00</w:t>
            </w:r>
          </w:p>
        </w:tc>
        <w:tc>
          <w:tcPr>
            <w:tcW w:w="2126" w:type="dxa"/>
            <w:tcBorders>
              <w:top w:val="nil"/>
              <w:left w:val="nil"/>
              <w:bottom w:val="single" w:sz="4" w:space="0" w:color="000000"/>
              <w:right w:val="single" w:sz="4" w:space="0" w:color="000000"/>
            </w:tcBorders>
            <w:shd w:val="clear" w:color="auto" w:fill="auto"/>
            <w:noWrap/>
            <w:vAlign w:val="center"/>
          </w:tcPr>
          <w:p w14:paraId="16E2C96E"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2.255.967.300,00</w:t>
            </w:r>
          </w:p>
        </w:tc>
        <w:tc>
          <w:tcPr>
            <w:tcW w:w="1985" w:type="dxa"/>
            <w:tcBorders>
              <w:top w:val="nil"/>
              <w:left w:val="nil"/>
              <w:bottom w:val="single" w:sz="4" w:space="0" w:color="000000"/>
              <w:right w:val="single" w:sz="4" w:space="0" w:color="000000"/>
            </w:tcBorders>
            <w:shd w:val="clear" w:color="auto" w:fill="auto"/>
            <w:noWrap/>
            <w:vAlign w:val="center"/>
          </w:tcPr>
          <w:p w14:paraId="1556472C"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29F51E08"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3B8DD17A"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115.400.456.989,00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AAA147B" w14:textId="77777777" w:rsidR="00080B19" w:rsidRPr="00412C56" w:rsidRDefault="00080B19" w:rsidP="0023341C">
            <w:pPr>
              <w:spacing w:before="60" w:line="276" w:lineRule="auto"/>
              <w:jc w:val="center"/>
              <w:rPr>
                <w:rFonts w:ascii="Bookman Old Style" w:hAnsi="Bookman Old Style" w:cs="Calibri"/>
                <w:color w:val="000000"/>
                <w:sz w:val="16"/>
                <w:szCs w:val="16"/>
              </w:rPr>
            </w:pPr>
            <w:r>
              <w:rPr>
                <w:rFonts w:ascii="Bookman Old Style" w:hAnsi="Bookman Old Style" w:cs="Calibri"/>
                <w:color w:val="000000"/>
                <w:sz w:val="16"/>
                <w:szCs w:val="16"/>
              </w:rPr>
              <w:t>2,02</w:t>
            </w:r>
          </w:p>
        </w:tc>
      </w:tr>
      <w:tr w:rsidR="00080B19" w:rsidRPr="00412C56" w14:paraId="41E27830"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34AA174E" w14:textId="23B88ABA" w:rsidR="00080B19" w:rsidRPr="00412C56" w:rsidRDefault="00080B19" w:rsidP="0023341C">
            <w:pPr>
              <w:spacing w:before="60" w:line="276" w:lineRule="auto"/>
              <w:rPr>
                <w:rFonts w:ascii="Bookman Old Style" w:hAnsi="Bookman Old Style"/>
                <w:sz w:val="16"/>
                <w:szCs w:val="16"/>
                <w:lang w:val="sv-FI"/>
              </w:rPr>
            </w:pPr>
            <w:r w:rsidRPr="00412C56">
              <w:rPr>
                <w:rFonts w:ascii="Bookman Old Style" w:hAnsi="Bookman Old Style"/>
                <w:sz w:val="16"/>
                <w:szCs w:val="16"/>
                <w:lang w:val="sv-FI"/>
              </w:rPr>
              <w:t>Pendidikan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Dan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Pelatihan</w:t>
            </w:r>
            <w:r w:rsidR="00A954D0">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7C4CCDCB"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8.853.643.200,00</w:t>
            </w:r>
          </w:p>
        </w:tc>
        <w:tc>
          <w:tcPr>
            <w:tcW w:w="2126" w:type="dxa"/>
            <w:tcBorders>
              <w:top w:val="nil"/>
              <w:left w:val="nil"/>
              <w:bottom w:val="single" w:sz="4" w:space="0" w:color="000000"/>
              <w:right w:val="single" w:sz="4" w:space="0" w:color="000000"/>
            </w:tcBorders>
            <w:shd w:val="clear" w:color="auto" w:fill="auto"/>
            <w:noWrap/>
            <w:vAlign w:val="center"/>
          </w:tcPr>
          <w:p w14:paraId="297FE95F"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5" w:type="dxa"/>
            <w:tcBorders>
              <w:top w:val="nil"/>
              <w:left w:val="nil"/>
              <w:bottom w:val="single" w:sz="4" w:space="0" w:color="000000"/>
              <w:right w:val="single" w:sz="4" w:space="0" w:color="000000"/>
            </w:tcBorders>
            <w:shd w:val="clear" w:color="auto" w:fill="auto"/>
            <w:noWrap/>
            <w:vAlign w:val="center"/>
          </w:tcPr>
          <w:p w14:paraId="2B28A878"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51D3DDF5"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47F6DC17"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8.853.643.200,00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4664142" w14:textId="77777777" w:rsidR="00080B19" w:rsidRPr="00412C56" w:rsidRDefault="00080B19" w:rsidP="0023341C">
            <w:pPr>
              <w:spacing w:before="60" w:line="276" w:lineRule="auto"/>
              <w:jc w:val="center"/>
              <w:rPr>
                <w:rFonts w:ascii="Bookman Old Style" w:hAnsi="Bookman Old Style" w:cs="Calibri"/>
                <w:color w:val="000000"/>
                <w:sz w:val="16"/>
                <w:szCs w:val="16"/>
              </w:rPr>
            </w:pPr>
            <w:r>
              <w:rPr>
                <w:rFonts w:ascii="Bookman Old Style" w:hAnsi="Bookman Old Style" w:cs="Calibri"/>
                <w:color w:val="000000"/>
                <w:sz w:val="16"/>
                <w:szCs w:val="16"/>
              </w:rPr>
              <w:t>0,16</w:t>
            </w:r>
          </w:p>
        </w:tc>
      </w:tr>
      <w:tr w:rsidR="00080B19" w:rsidRPr="00412C56" w14:paraId="667BEE65"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2829A2E7" w14:textId="51ADBB11" w:rsidR="00080B19" w:rsidRPr="00412C56" w:rsidRDefault="00080B19" w:rsidP="0023341C">
            <w:pPr>
              <w:spacing w:before="60" w:line="276" w:lineRule="auto"/>
              <w:rPr>
                <w:rFonts w:ascii="Bookman Old Style" w:hAnsi="Bookman Old Style"/>
                <w:sz w:val="16"/>
                <w:szCs w:val="16"/>
                <w:lang w:val="sv-FI"/>
              </w:rPr>
            </w:pPr>
            <w:r w:rsidRPr="00412C56">
              <w:rPr>
                <w:rFonts w:ascii="Bookman Old Style" w:hAnsi="Bookman Old Style"/>
                <w:sz w:val="16"/>
                <w:szCs w:val="16"/>
                <w:lang w:val="sv-FI"/>
              </w:rPr>
              <w:t>Penelitian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Dan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Pengembangan</w:t>
            </w:r>
            <w:r w:rsidR="00A954D0">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605B4D1C"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1.674.883.100,00</w:t>
            </w:r>
          </w:p>
        </w:tc>
        <w:tc>
          <w:tcPr>
            <w:tcW w:w="2126" w:type="dxa"/>
            <w:tcBorders>
              <w:top w:val="nil"/>
              <w:left w:val="nil"/>
              <w:bottom w:val="single" w:sz="4" w:space="0" w:color="000000"/>
              <w:right w:val="single" w:sz="4" w:space="0" w:color="000000"/>
            </w:tcBorders>
            <w:shd w:val="clear" w:color="auto" w:fill="auto"/>
            <w:noWrap/>
            <w:vAlign w:val="center"/>
          </w:tcPr>
          <w:p w14:paraId="29AA192B"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5" w:type="dxa"/>
            <w:tcBorders>
              <w:top w:val="nil"/>
              <w:left w:val="nil"/>
              <w:bottom w:val="single" w:sz="4" w:space="0" w:color="000000"/>
              <w:right w:val="single" w:sz="4" w:space="0" w:color="000000"/>
            </w:tcBorders>
            <w:shd w:val="clear" w:color="auto" w:fill="auto"/>
            <w:noWrap/>
            <w:vAlign w:val="center"/>
          </w:tcPr>
          <w:p w14:paraId="7D9452F8"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3E3FF7D1"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3712F35B"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1.674.883.100,00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D0EA925" w14:textId="77777777" w:rsidR="00080B19" w:rsidRPr="00412C56" w:rsidRDefault="00080B19" w:rsidP="0023341C">
            <w:pPr>
              <w:spacing w:before="60" w:line="276" w:lineRule="auto"/>
              <w:jc w:val="center"/>
              <w:rPr>
                <w:rFonts w:ascii="Bookman Old Style" w:hAnsi="Bookman Old Style" w:cs="Calibri"/>
                <w:color w:val="000000"/>
                <w:sz w:val="16"/>
                <w:szCs w:val="16"/>
              </w:rPr>
            </w:pPr>
            <w:r>
              <w:rPr>
                <w:rFonts w:ascii="Bookman Old Style" w:hAnsi="Bookman Old Style" w:cs="Calibri"/>
                <w:color w:val="000000"/>
                <w:sz w:val="16"/>
                <w:szCs w:val="16"/>
              </w:rPr>
              <w:t>0,03</w:t>
            </w:r>
          </w:p>
        </w:tc>
      </w:tr>
      <w:tr w:rsidR="00080B19" w:rsidRPr="00412C56" w14:paraId="09921330"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3B757F92" w14:textId="36E81DCF" w:rsidR="00080B19" w:rsidRPr="00412C56" w:rsidRDefault="00080B19" w:rsidP="0023341C">
            <w:pPr>
              <w:spacing w:before="60" w:line="276" w:lineRule="auto"/>
              <w:rPr>
                <w:rFonts w:ascii="Bookman Old Style" w:hAnsi="Bookman Old Style"/>
                <w:b/>
                <w:bCs/>
                <w:sz w:val="16"/>
                <w:szCs w:val="16"/>
                <w:lang w:val="sv-FI"/>
              </w:rPr>
            </w:pPr>
            <w:r w:rsidRPr="00412C56">
              <w:rPr>
                <w:rFonts w:ascii="Bookman Old Style" w:hAnsi="Bookman Old Style"/>
                <w:b/>
                <w:bCs/>
                <w:sz w:val="16"/>
                <w:szCs w:val="16"/>
                <w:lang w:val="sv-FI"/>
              </w:rPr>
              <w:t>Unsur</w:t>
            </w:r>
            <w:r w:rsidR="00A954D0">
              <w:rPr>
                <w:rFonts w:ascii="Bookman Old Style" w:hAnsi="Bookman Old Style"/>
                <w:b/>
                <w:bCs/>
                <w:sz w:val="16"/>
                <w:szCs w:val="16"/>
                <w:lang w:val="sv-FI"/>
              </w:rPr>
              <w:t xml:space="preserve"> </w:t>
            </w:r>
            <w:r w:rsidRPr="00412C56">
              <w:rPr>
                <w:rFonts w:ascii="Bookman Old Style" w:hAnsi="Bookman Old Style"/>
                <w:b/>
                <w:bCs/>
                <w:sz w:val="16"/>
                <w:szCs w:val="16"/>
                <w:lang w:val="sv-FI"/>
              </w:rPr>
              <w:t>Pengawasan</w:t>
            </w:r>
            <w:r w:rsidR="00A954D0">
              <w:rPr>
                <w:rFonts w:ascii="Bookman Old Style" w:hAnsi="Bookman Old Style"/>
                <w:b/>
                <w:bCs/>
                <w:sz w:val="16"/>
                <w:szCs w:val="16"/>
                <w:lang w:val="sv-FI"/>
              </w:rPr>
              <w:t xml:space="preserve"> </w:t>
            </w:r>
            <w:r w:rsidRPr="00412C56">
              <w:rPr>
                <w:rFonts w:ascii="Bookman Old Style" w:hAnsi="Bookman Old Style"/>
                <w:b/>
                <w:bCs/>
                <w:sz w:val="16"/>
                <w:szCs w:val="16"/>
                <w:lang w:val="sv-FI"/>
              </w:rPr>
              <w:t>Urusan</w:t>
            </w:r>
            <w:r w:rsidR="00A954D0">
              <w:rPr>
                <w:rFonts w:ascii="Bookman Old Style" w:hAnsi="Bookman Old Style"/>
                <w:b/>
                <w:bCs/>
                <w:sz w:val="16"/>
                <w:szCs w:val="16"/>
                <w:lang w:val="sv-FI"/>
              </w:rPr>
              <w:t xml:space="preserve"> </w:t>
            </w:r>
            <w:r w:rsidRPr="00412C56">
              <w:rPr>
                <w:rFonts w:ascii="Bookman Old Style" w:hAnsi="Bookman Old Style"/>
                <w:b/>
                <w:bCs/>
                <w:sz w:val="16"/>
                <w:szCs w:val="16"/>
                <w:lang w:val="sv-FI"/>
              </w:rPr>
              <w:t>Pemerintahan</w:t>
            </w:r>
            <w:r w:rsidR="00A954D0">
              <w:rPr>
                <w:rFonts w:ascii="Bookman Old Style" w:hAnsi="Bookman Old Style"/>
                <w:b/>
                <w:bCs/>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25ABC694"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color w:val="000000"/>
                <w:sz w:val="16"/>
                <w:szCs w:val="16"/>
              </w:rPr>
              <w:t>35.585.708.444,00</w:t>
            </w:r>
          </w:p>
        </w:tc>
        <w:tc>
          <w:tcPr>
            <w:tcW w:w="2126" w:type="dxa"/>
            <w:tcBorders>
              <w:top w:val="nil"/>
              <w:left w:val="nil"/>
              <w:bottom w:val="single" w:sz="4" w:space="0" w:color="000000"/>
              <w:right w:val="single" w:sz="4" w:space="0" w:color="000000"/>
            </w:tcBorders>
            <w:shd w:val="clear" w:color="auto" w:fill="auto"/>
            <w:noWrap/>
            <w:vAlign w:val="center"/>
          </w:tcPr>
          <w:p w14:paraId="49EDDAA1"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color w:val="000000"/>
                <w:sz w:val="16"/>
                <w:szCs w:val="16"/>
              </w:rPr>
              <w:t>56.295.000,00</w:t>
            </w:r>
          </w:p>
        </w:tc>
        <w:tc>
          <w:tcPr>
            <w:tcW w:w="1985" w:type="dxa"/>
            <w:tcBorders>
              <w:top w:val="nil"/>
              <w:left w:val="nil"/>
              <w:bottom w:val="single" w:sz="4" w:space="0" w:color="000000"/>
              <w:right w:val="single" w:sz="4" w:space="0" w:color="000000"/>
            </w:tcBorders>
            <w:shd w:val="clear" w:color="auto" w:fill="auto"/>
            <w:noWrap/>
            <w:vAlign w:val="center"/>
          </w:tcPr>
          <w:p w14:paraId="44E93B8A"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429DE9EF"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3F2456A2"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color w:val="000000"/>
                <w:sz w:val="16"/>
                <w:szCs w:val="16"/>
              </w:rPr>
              <w:t>35.642.003.444,00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701C5266" w14:textId="77777777" w:rsidR="00080B19" w:rsidRPr="00412C56" w:rsidRDefault="00080B19" w:rsidP="0023341C">
            <w:pPr>
              <w:spacing w:before="60" w:line="276" w:lineRule="auto"/>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0,62</w:t>
            </w:r>
          </w:p>
        </w:tc>
      </w:tr>
      <w:tr w:rsidR="00080B19" w:rsidRPr="00412C56" w14:paraId="59109671"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43F6BCED" w14:textId="3512823F" w:rsidR="00080B19" w:rsidRPr="00412C56" w:rsidRDefault="00080B19" w:rsidP="0023341C">
            <w:pPr>
              <w:spacing w:before="60" w:line="276" w:lineRule="auto"/>
              <w:rPr>
                <w:rFonts w:ascii="Bookman Old Style" w:hAnsi="Bookman Old Style"/>
                <w:sz w:val="16"/>
                <w:szCs w:val="16"/>
                <w:lang w:val="sv-FI"/>
              </w:rPr>
            </w:pPr>
            <w:r w:rsidRPr="00412C56">
              <w:rPr>
                <w:rFonts w:ascii="Bookman Old Style" w:hAnsi="Bookman Old Style"/>
                <w:sz w:val="16"/>
                <w:szCs w:val="16"/>
                <w:lang w:val="sv-FI"/>
              </w:rPr>
              <w:t>Inspektorat</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Daerah</w:t>
            </w:r>
            <w:r w:rsidR="00A954D0">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6BBABB8B"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35.585.708.444,00</w:t>
            </w:r>
          </w:p>
        </w:tc>
        <w:tc>
          <w:tcPr>
            <w:tcW w:w="2126" w:type="dxa"/>
            <w:tcBorders>
              <w:top w:val="nil"/>
              <w:left w:val="nil"/>
              <w:bottom w:val="single" w:sz="4" w:space="0" w:color="000000"/>
              <w:right w:val="single" w:sz="4" w:space="0" w:color="000000"/>
            </w:tcBorders>
            <w:shd w:val="clear" w:color="auto" w:fill="auto"/>
            <w:noWrap/>
            <w:vAlign w:val="center"/>
          </w:tcPr>
          <w:p w14:paraId="75B9AF77"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56.295.000,00</w:t>
            </w:r>
          </w:p>
        </w:tc>
        <w:tc>
          <w:tcPr>
            <w:tcW w:w="1985" w:type="dxa"/>
            <w:tcBorders>
              <w:top w:val="nil"/>
              <w:left w:val="nil"/>
              <w:bottom w:val="single" w:sz="4" w:space="0" w:color="000000"/>
              <w:right w:val="single" w:sz="4" w:space="0" w:color="000000"/>
            </w:tcBorders>
            <w:shd w:val="clear" w:color="auto" w:fill="auto"/>
            <w:noWrap/>
            <w:vAlign w:val="center"/>
          </w:tcPr>
          <w:p w14:paraId="6F8D5EB1"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1D768CE3"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6807992F"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35.642.003.444,00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068C8D2C" w14:textId="77777777" w:rsidR="00080B19" w:rsidRPr="00412C56" w:rsidRDefault="00080B19" w:rsidP="0023341C">
            <w:pPr>
              <w:spacing w:before="60" w:line="276" w:lineRule="auto"/>
              <w:jc w:val="center"/>
              <w:rPr>
                <w:rFonts w:ascii="Bookman Old Style" w:hAnsi="Bookman Old Style" w:cs="Calibri"/>
                <w:color w:val="000000"/>
                <w:sz w:val="16"/>
                <w:szCs w:val="16"/>
              </w:rPr>
            </w:pPr>
            <w:r>
              <w:rPr>
                <w:rFonts w:ascii="Bookman Old Style" w:hAnsi="Bookman Old Style" w:cs="Calibri"/>
                <w:color w:val="000000"/>
                <w:sz w:val="16"/>
                <w:szCs w:val="16"/>
              </w:rPr>
              <w:t>0,62</w:t>
            </w:r>
          </w:p>
        </w:tc>
      </w:tr>
      <w:tr w:rsidR="00080B19" w:rsidRPr="00412C56" w14:paraId="5E562C8A"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6C685580" w14:textId="0172F9E4" w:rsidR="00080B19" w:rsidRPr="00412C56" w:rsidRDefault="00080B19" w:rsidP="0023341C">
            <w:pPr>
              <w:spacing w:before="60" w:line="276" w:lineRule="auto"/>
              <w:rPr>
                <w:rFonts w:ascii="Bookman Old Style" w:hAnsi="Bookman Old Style"/>
                <w:b/>
                <w:bCs/>
                <w:sz w:val="16"/>
                <w:szCs w:val="16"/>
                <w:lang w:val="sv-FI"/>
              </w:rPr>
            </w:pPr>
            <w:r w:rsidRPr="00412C56">
              <w:rPr>
                <w:rFonts w:ascii="Bookman Old Style" w:hAnsi="Bookman Old Style"/>
                <w:b/>
                <w:bCs/>
                <w:sz w:val="16"/>
                <w:szCs w:val="16"/>
                <w:lang w:val="sv-FI"/>
              </w:rPr>
              <w:t>Unsur</w:t>
            </w:r>
            <w:r w:rsidR="00A954D0">
              <w:rPr>
                <w:rFonts w:ascii="Bookman Old Style" w:hAnsi="Bookman Old Style"/>
                <w:b/>
                <w:bCs/>
                <w:sz w:val="16"/>
                <w:szCs w:val="16"/>
                <w:lang w:val="sv-FI"/>
              </w:rPr>
              <w:t xml:space="preserve"> </w:t>
            </w:r>
            <w:r w:rsidRPr="00412C56">
              <w:rPr>
                <w:rFonts w:ascii="Bookman Old Style" w:hAnsi="Bookman Old Style"/>
                <w:b/>
                <w:bCs/>
                <w:sz w:val="16"/>
                <w:szCs w:val="16"/>
                <w:lang w:val="sv-FI"/>
              </w:rPr>
              <w:t>Kewilayahan</w:t>
            </w:r>
            <w:r w:rsidR="00A954D0">
              <w:rPr>
                <w:rFonts w:ascii="Bookman Old Style" w:hAnsi="Bookman Old Style"/>
                <w:b/>
                <w:bCs/>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79A4F147"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color w:val="000000"/>
                <w:sz w:val="16"/>
                <w:szCs w:val="16"/>
              </w:rPr>
              <w:t>447.389.850.158,00</w:t>
            </w:r>
          </w:p>
        </w:tc>
        <w:tc>
          <w:tcPr>
            <w:tcW w:w="2126" w:type="dxa"/>
            <w:tcBorders>
              <w:top w:val="nil"/>
              <w:left w:val="nil"/>
              <w:bottom w:val="single" w:sz="4" w:space="0" w:color="000000"/>
              <w:right w:val="single" w:sz="4" w:space="0" w:color="000000"/>
            </w:tcBorders>
            <w:shd w:val="clear" w:color="auto" w:fill="auto"/>
            <w:noWrap/>
            <w:vAlign w:val="center"/>
          </w:tcPr>
          <w:p w14:paraId="47C932A5"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color w:val="000000"/>
                <w:sz w:val="16"/>
                <w:szCs w:val="16"/>
              </w:rPr>
              <w:t>23.256.922.580,00</w:t>
            </w:r>
          </w:p>
        </w:tc>
        <w:tc>
          <w:tcPr>
            <w:tcW w:w="1985" w:type="dxa"/>
            <w:tcBorders>
              <w:top w:val="nil"/>
              <w:left w:val="nil"/>
              <w:bottom w:val="single" w:sz="4" w:space="0" w:color="000000"/>
              <w:right w:val="single" w:sz="4" w:space="0" w:color="000000"/>
            </w:tcBorders>
            <w:shd w:val="clear" w:color="auto" w:fill="auto"/>
            <w:noWrap/>
            <w:vAlign w:val="center"/>
          </w:tcPr>
          <w:p w14:paraId="0CA8B58B"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3F49418E"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7864B6EE"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color w:val="000000"/>
                <w:sz w:val="16"/>
                <w:szCs w:val="16"/>
              </w:rPr>
              <w:t>470.646.772.738,00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ACABA34" w14:textId="77777777" w:rsidR="00080B19" w:rsidRPr="00412C56" w:rsidRDefault="00080B19" w:rsidP="0023341C">
            <w:pPr>
              <w:spacing w:before="60" w:line="276" w:lineRule="auto"/>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8,25</w:t>
            </w:r>
          </w:p>
        </w:tc>
      </w:tr>
      <w:tr w:rsidR="00080B19" w:rsidRPr="00412C56" w14:paraId="3B19E387"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2AF78732" w14:textId="3CCBC1E6" w:rsidR="00080B19" w:rsidRPr="00412C56" w:rsidRDefault="00080B19" w:rsidP="0023341C">
            <w:pPr>
              <w:spacing w:before="60" w:line="276" w:lineRule="auto"/>
              <w:rPr>
                <w:rFonts w:ascii="Bookman Old Style" w:hAnsi="Bookman Old Style"/>
                <w:sz w:val="16"/>
                <w:szCs w:val="16"/>
                <w:lang w:val="sv-FI"/>
              </w:rPr>
            </w:pPr>
            <w:r w:rsidRPr="00412C56">
              <w:rPr>
                <w:rFonts w:ascii="Bookman Old Style" w:hAnsi="Bookman Old Style"/>
                <w:sz w:val="16"/>
                <w:szCs w:val="16"/>
                <w:lang w:val="sv-FI"/>
              </w:rPr>
              <w:t>Kecamatan</w:t>
            </w:r>
            <w:r w:rsidR="00A954D0">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750A5391"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447.389.850.158,00</w:t>
            </w:r>
          </w:p>
        </w:tc>
        <w:tc>
          <w:tcPr>
            <w:tcW w:w="2126" w:type="dxa"/>
            <w:tcBorders>
              <w:top w:val="nil"/>
              <w:left w:val="nil"/>
              <w:bottom w:val="single" w:sz="4" w:space="0" w:color="000000"/>
              <w:right w:val="single" w:sz="4" w:space="0" w:color="000000"/>
            </w:tcBorders>
            <w:shd w:val="clear" w:color="auto" w:fill="auto"/>
            <w:noWrap/>
            <w:vAlign w:val="center"/>
          </w:tcPr>
          <w:p w14:paraId="2834C9AE"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23.256.922.580,00</w:t>
            </w:r>
          </w:p>
        </w:tc>
        <w:tc>
          <w:tcPr>
            <w:tcW w:w="1985" w:type="dxa"/>
            <w:tcBorders>
              <w:top w:val="nil"/>
              <w:left w:val="nil"/>
              <w:bottom w:val="single" w:sz="4" w:space="0" w:color="000000"/>
              <w:right w:val="single" w:sz="4" w:space="0" w:color="000000"/>
            </w:tcBorders>
            <w:shd w:val="clear" w:color="auto" w:fill="auto"/>
            <w:noWrap/>
            <w:vAlign w:val="center"/>
          </w:tcPr>
          <w:p w14:paraId="0C29D030"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3B2468DA"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7ED73B7F"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470.646.772.738,00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2128235" w14:textId="77777777" w:rsidR="00080B19" w:rsidRPr="00412C56" w:rsidRDefault="00080B19" w:rsidP="0023341C">
            <w:pPr>
              <w:spacing w:before="60" w:line="276" w:lineRule="auto"/>
              <w:jc w:val="center"/>
              <w:rPr>
                <w:rFonts w:ascii="Bookman Old Style" w:hAnsi="Bookman Old Style" w:cs="Calibri"/>
                <w:color w:val="000000"/>
                <w:sz w:val="16"/>
                <w:szCs w:val="16"/>
              </w:rPr>
            </w:pPr>
            <w:r>
              <w:rPr>
                <w:rFonts w:ascii="Bookman Old Style" w:hAnsi="Bookman Old Style" w:cs="Calibri"/>
                <w:color w:val="000000"/>
                <w:sz w:val="16"/>
                <w:szCs w:val="16"/>
              </w:rPr>
              <w:t>8,25</w:t>
            </w:r>
          </w:p>
        </w:tc>
      </w:tr>
      <w:tr w:rsidR="00080B19" w:rsidRPr="00412C56" w14:paraId="60E615D0"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6B3A7554" w14:textId="39C64E2D" w:rsidR="00080B19" w:rsidRPr="00412C56" w:rsidRDefault="00080B19" w:rsidP="0023341C">
            <w:pPr>
              <w:spacing w:before="60" w:line="276" w:lineRule="auto"/>
              <w:rPr>
                <w:rFonts w:ascii="Bookman Old Style" w:hAnsi="Bookman Old Style"/>
                <w:b/>
                <w:bCs/>
                <w:sz w:val="16"/>
                <w:szCs w:val="16"/>
                <w:lang w:val="sv-FI"/>
              </w:rPr>
            </w:pPr>
            <w:r w:rsidRPr="00412C56">
              <w:rPr>
                <w:rFonts w:ascii="Bookman Old Style" w:hAnsi="Bookman Old Style"/>
                <w:b/>
                <w:bCs/>
                <w:sz w:val="16"/>
                <w:szCs w:val="16"/>
                <w:lang w:val="sv-FI"/>
              </w:rPr>
              <w:t>Unsur</w:t>
            </w:r>
            <w:r w:rsidR="00A954D0">
              <w:rPr>
                <w:rFonts w:ascii="Bookman Old Style" w:hAnsi="Bookman Old Style"/>
                <w:b/>
                <w:bCs/>
                <w:sz w:val="16"/>
                <w:szCs w:val="16"/>
                <w:lang w:val="sv-FI"/>
              </w:rPr>
              <w:t xml:space="preserve"> </w:t>
            </w:r>
            <w:r w:rsidRPr="00412C56">
              <w:rPr>
                <w:rFonts w:ascii="Bookman Old Style" w:hAnsi="Bookman Old Style"/>
                <w:b/>
                <w:bCs/>
                <w:sz w:val="16"/>
                <w:szCs w:val="16"/>
                <w:lang w:val="sv-FI"/>
              </w:rPr>
              <w:t>Pemerintahan</w:t>
            </w:r>
            <w:r w:rsidR="00A954D0">
              <w:rPr>
                <w:rFonts w:ascii="Bookman Old Style" w:hAnsi="Bookman Old Style"/>
                <w:b/>
                <w:bCs/>
                <w:sz w:val="16"/>
                <w:szCs w:val="16"/>
                <w:lang w:val="sv-FI"/>
              </w:rPr>
              <w:t xml:space="preserve"> </w:t>
            </w:r>
            <w:r w:rsidRPr="00412C56">
              <w:rPr>
                <w:rFonts w:ascii="Bookman Old Style" w:hAnsi="Bookman Old Style"/>
                <w:b/>
                <w:bCs/>
                <w:sz w:val="16"/>
                <w:szCs w:val="16"/>
                <w:lang w:val="sv-FI"/>
              </w:rPr>
              <w:t>Umum</w:t>
            </w:r>
            <w:r w:rsidR="00A954D0">
              <w:rPr>
                <w:rFonts w:ascii="Bookman Old Style" w:hAnsi="Bookman Old Style"/>
                <w:b/>
                <w:bCs/>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3CB3F5B3"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color w:val="000000"/>
                <w:sz w:val="16"/>
                <w:szCs w:val="16"/>
              </w:rPr>
              <w:t>29.456.913.141,00</w:t>
            </w:r>
          </w:p>
        </w:tc>
        <w:tc>
          <w:tcPr>
            <w:tcW w:w="2126" w:type="dxa"/>
            <w:tcBorders>
              <w:top w:val="nil"/>
              <w:left w:val="nil"/>
              <w:bottom w:val="single" w:sz="4" w:space="0" w:color="000000"/>
              <w:right w:val="single" w:sz="4" w:space="0" w:color="000000"/>
            </w:tcBorders>
            <w:shd w:val="clear" w:color="auto" w:fill="auto"/>
            <w:noWrap/>
            <w:vAlign w:val="center"/>
          </w:tcPr>
          <w:p w14:paraId="5EE5BA4E"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color w:val="000000"/>
                <w:sz w:val="16"/>
                <w:szCs w:val="16"/>
              </w:rPr>
              <w:t>56.157.700,00</w:t>
            </w:r>
          </w:p>
        </w:tc>
        <w:tc>
          <w:tcPr>
            <w:tcW w:w="1985" w:type="dxa"/>
            <w:tcBorders>
              <w:top w:val="nil"/>
              <w:left w:val="nil"/>
              <w:bottom w:val="single" w:sz="4" w:space="0" w:color="000000"/>
              <w:right w:val="single" w:sz="4" w:space="0" w:color="000000"/>
            </w:tcBorders>
            <w:shd w:val="clear" w:color="auto" w:fill="auto"/>
            <w:noWrap/>
            <w:vAlign w:val="center"/>
          </w:tcPr>
          <w:p w14:paraId="2E2919DB"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79D1A007"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79F51298" w14:textId="77777777" w:rsidR="00080B19" w:rsidRPr="00412C56" w:rsidRDefault="00080B19" w:rsidP="0023341C">
            <w:pPr>
              <w:spacing w:before="60" w:line="276" w:lineRule="auto"/>
              <w:jc w:val="right"/>
              <w:rPr>
                <w:rFonts w:ascii="Bookman Old Style" w:hAnsi="Bookman Old Style" w:cs="Calibri"/>
                <w:b/>
                <w:bCs/>
                <w:color w:val="000000"/>
                <w:sz w:val="16"/>
                <w:szCs w:val="16"/>
              </w:rPr>
            </w:pPr>
            <w:r>
              <w:rPr>
                <w:rFonts w:ascii="Bookman Old Style" w:hAnsi="Bookman Old Style" w:cs="Calibri"/>
                <w:b/>
                <w:bCs/>
                <w:color w:val="000000"/>
                <w:sz w:val="16"/>
                <w:szCs w:val="16"/>
              </w:rPr>
              <w:t>29.513.070.841,00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9D73A58" w14:textId="77777777" w:rsidR="00080B19" w:rsidRPr="00412C56" w:rsidRDefault="00080B19" w:rsidP="0023341C">
            <w:pPr>
              <w:spacing w:before="60" w:line="276" w:lineRule="auto"/>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0,52</w:t>
            </w:r>
          </w:p>
        </w:tc>
      </w:tr>
      <w:tr w:rsidR="00080B19" w:rsidRPr="00412C56" w14:paraId="6D8E5CB0"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hideMark/>
          </w:tcPr>
          <w:p w14:paraId="75DFB037" w14:textId="4BA11758" w:rsidR="00080B19" w:rsidRPr="00412C56" w:rsidRDefault="00080B19" w:rsidP="0023341C">
            <w:pPr>
              <w:spacing w:before="60" w:line="276" w:lineRule="auto"/>
              <w:rPr>
                <w:rFonts w:ascii="Bookman Old Style" w:hAnsi="Bookman Old Style"/>
                <w:sz w:val="16"/>
                <w:szCs w:val="16"/>
                <w:lang w:val="sv-FI"/>
              </w:rPr>
            </w:pPr>
            <w:r w:rsidRPr="00412C56">
              <w:rPr>
                <w:rFonts w:ascii="Bookman Old Style" w:hAnsi="Bookman Old Style"/>
                <w:sz w:val="16"/>
                <w:szCs w:val="16"/>
                <w:lang w:val="sv-FI"/>
              </w:rPr>
              <w:t>Kesatuan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Bangsa</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Dan</w:t>
            </w:r>
            <w:r w:rsidR="00A954D0">
              <w:rPr>
                <w:rFonts w:ascii="Bookman Old Style" w:hAnsi="Bookman Old Style"/>
                <w:sz w:val="16"/>
                <w:szCs w:val="16"/>
                <w:lang w:val="sv-FI"/>
              </w:rPr>
              <w:t xml:space="preserve"> </w:t>
            </w:r>
            <w:r w:rsidRPr="00412C56">
              <w:rPr>
                <w:rFonts w:ascii="Bookman Old Style" w:hAnsi="Bookman Old Style"/>
                <w:sz w:val="16"/>
                <w:szCs w:val="16"/>
                <w:lang w:val="sv-FI"/>
              </w:rPr>
              <w:t>Politik</w:t>
            </w:r>
            <w:r w:rsidR="00A954D0">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21781E26"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29.456.913.141,00</w:t>
            </w:r>
          </w:p>
        </w:tc>
        <w:tc>
          <w:tcPr>
            <w:tcW w:w="2126" w:type="dxa"/>
            <w:tcBorders>
              <w:top w:val="nil"/>
              <w:left w:val="nil"/>
              <w:bottom w:val="single" w:sz="4" w:space="0" w:color="000000"/>
              <w:right w:val="single" w:sz="4" w:space="0" w:color="000000"/>
            </w:tcBorders>
            <w:shd w:val="clear" w:color="auto" w:fill="auto"/>
            <w:noWrap/>
            <w:vAlign w:val="center"/>
          </w:tcPr>
          <w:p w14:paraId="18296E80"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56.157.700,00</w:t>
            </w:r>
          </w:p>
        </w:tc>
        <w:tc>
          <w:tcPr>
            <w:tcW w:w="1985" w:type="dxa"/>
            <w:tcBorders>
              <w:top w:val="nil"/>
              <w:left w:val="nil"/>
              <w:bottom w:val="single" w:sz="4" w:space="0" w:color="000000"/>
              <w:right w:val="single" w:sz="4" w:space="0" w:color="000000"/>
            </w:tcBorders>
            <w:shd w:val="clear" w:color="auto" w:fill="auto"/>
            <w:noWrap/>
            <w:vAlign w:val="center"/>
          </w:tcPr>
          <w:p w14:paraId="0880DE0C"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52D33904"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0,00</w:t>
            </w:r>
          </w:p>
        </w:tc>
        <w:tc>
          <w:tcPr>
            <w:tcW w:w="2268" w:type="dxa"/>
            <w:tcBorders>
              <w:top w:val="nil"/>
              <w:left w:val="nil"/>
              <w:bottom w:val="single" w:sz="4" w:space="0" w:color="000000"/>
              <w:right w:val="nil"/>
            </w:tcBorders>
            <w:shd w:val="clear" w:color="auto" w:fill="auto"/>
            <w:noWrap/>
            <w:vAlign w:val="center"/>
          </w:tcPr>
          <w:p w14:paraId="0C3F334F" w14:textId="77777777" w:rsidR="00080B19" w:rsidRPr="00412C56" w:rsidRDefault="00080B19" w:rsidP="0023341C">
            <w:pPr>
              <w:spacing w:before="60" w:line="276" w:lineRule="auto"/>
              <w:jc w:val="right"/>
              <w:rPr>
                <w:rFonts w:ascii="Bookman Old Style" w:hAnsi="Bookman Old Style" w:cs="Calibri"/>
                <w:color w:val="000000"/>
                <w:sz w:val="16"/>
                <w:szCs w:val="16"/>
              </w:rPr>
            </w:pPr>
            <w:r>
              <w:rPr>
                <w:rFonts w:ascii="Bookman Old Style" w:hAnsi="Bookman Old Style" w:cs="Calibri"/>
                <w:color w:val="000000"/>
                <w:sz w:val="16"/>
                <w:szCs w:val="16"/>
              </w:rPr>
              <w:t>29.513.070.841,00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FA023E8" w14:textId="77777777" w:rsidR="00080B19" w:rsidRPr="00412C56" w:rsidRDefault="00080B19" w:rsidP="0023341C">
            <w:pPr>
              <w:spacing w:before="60" w:line="276" w:lineRule="auto"/>
              <w:jc w:val="center"/>
              <w:rPr>
                <w:rFonts w:ascii="Bookman Old Style" w:hAnsi="Bookman Old Style" w:cs="Calibri"/>
                <w:color w:val="000000"/>
                <w:sz w:val="16"/>
                <w:szCs w:val="16"/>
              </w:rPr>
            </w:pPr>
            <w:r>
              <w:rPr>
                <w:rFonts w:ascii="Bookman Old Style" w:hAnsi="Bookman Old Style" w:cs="Calibri"/>
                <w:color w:val="000000"/>
                <w:sz w:val="16"/>
                <w:szCs w:val="16"/>
              </w:rPr>
              <w:t>0,52</w:t>
            </w:r>
          </w:p>
        </w:tc>
      </w:tr>
      <w:tr w:rsidR="00875947" w:rsidRPr="00875947" w14:paraId="5CE2DEA7" w14:textId="77777777" w:rsidTr="00735D18">
        <w:trPr>
          <w:trHeight w:val="50"/>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tcPr>
          <w:p w14:paraId="0986AAE0" w14:textId="647BF2AF" w:rsidR="00080B19" w:rsidRPr="00875947" w:rsidRDefault="00080B19" w:rsidP="0023341C">
            <w:pPr>
              <w:spacing w:before="60" w:line="276" w:lineRule="auto"/>
              <w:rPr>
                <w:rFonts w:ascii="Bookman Old Style" w:hAnsi="Bookman Old Style"/>
                <w:sz w:val="16"/>
                <w:szCs w:val="16"/>
                <w:lang w:val="sv-FI"/>
              </w:rPr>
            </w:pPr>
            <w:r w:rsidRPr="00875947">
              <w:rPr>
                <w:rFonts w:ascii="Bookman Old Style" w:hAnsi="Bookman Old Style"/>
                <w:sz w:val="16"/>
                <w:szCs w:val="16"/>
                <w:lang w:val="sv-FI"/>
              </w:rPr>
              <w:t>NON</w:t>
            </w:r>
            <w:r w:rsidR="00A954D0" w:rsidRPr="00875947">
              <w:rPr>
                <w:rFonts w:ascii="Bookman Old Style" w:hAnsi="Bookman Old Style"/>
                <w:sz w:val="16"/>
                <w:szCs w:val="16"/>
                <w:lang w:val="sv-FI"/>
              </w:rPr>
              <w:t xml:space="preserve"> </w:t>
            </w:r>
            <w:r w:rsidRPr="00875947">
              <w:rPr>
                <w:rFonts w:ascii="Bookman Old Style" w:hAnsi="Bookman Old Style"/>
                <w:sz w:val="16"/>
                <w:szCs w:val="16"/>
                <w:lang w:val="sv-FI"/>
              </w:rPr>
              <w:t>URUSAN</w:t>
            </w:r>
            <w:r w:rsidR="00A954D0" w:rsidRPr="00875947">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0E560C40" w14:textId="77777777" w:rsidR="00080B19" w:rsidRPr="00875947" w:rsidRDefault="00080B19" w:rsidP="0023341C">
            <w:pPr>
              <w:spacing w:before="60" w:line="276" w:lineRule="auto"/>
              <w:jc w:val="right"/>
              <w:rPr>
                <w:rFonts w:ascii="Bookman Old Style" w:hAnsi="Bookman Old Style" w:cs="Calibri"/>
                <w:sz w:val="16"/>
                <w:szCs w:val="16"/>
              </w:rPr>
            </w:pPr>
            <w:r w:rsidRPr="00875947">
              <w:rPr>
                <w:rFonts w:ascii="Bookman Old Style" w:hAnsi="Bookman Old Style" w:cs="Calibri"/>
                <w:b/>
                <w:bCs/>
                <w:sz w:val="16"/>
                <w:szCs w:val="16"/>
              </w:rPr>
              <w:t>23.023.024.150,00</w:t>
            </w:r>
          </w:p>
        </w:tc>
        <w:tc>
          <w:tcPr>
            <w:tcW w:w="2126" w:type="dxa"/>
            <w:tcBorders>
              <w:top w:val="nil"/>
              <w:left w:val="nil"/>
              <w:bottom w:val="single" w:sz="4" w:space="0" w:color="000000"/>
              <w:right w:val="single" w:sz="4" w:space="0" w:color="000000"/>
            </w:tcBorders>
            <w:shd w:val="clear" w:color="auto" w:fill="auto"/>
            <w:noWrap/>
            <w:vAlign w:val="center"/>
          </w:tcPr>
          <w:p w14:paraId="1620A18F" w14:textId="77777777" w:rsidR="00080B19" w:rsidRPr="00875947" w:rsidRDefault="00080B19" w:rsidP="0023341C">
            <w:pPr>
              <w:spacing w:before="60" w:line="276" w:lineRule="auto"/>
              <w:jc w:val="right"/>
              <w:rPr>
                <w:rFonts w:ascii="Bookman Old Style" w:hAnsi="Bookman Old Style" w:cs="Calibri"/>
                <w:sz w:val="16"/>
                <w:szCs w:val="16"/>
              </w:rPr>
            </w:pPr>
            <w:r w:rsidRPr="00875947">
              <w:rPr>
                <w:rFonts w:ascii="Bookman Old Style" w:hAnsi="Bookman Old Style" w:cs="Calibri"/>
                <w:b/>
                <w:bCs/>
                <w:sz w:val="16"/>
                <w:szCs w:val="16"/>
              </w:rPr>
              <w:t>83.344.700,00</w:t>
            </w:r>
          </w:p>
        </w:tc>
        <w:tc>
          <w:tcPr>
            <w:tcW w:w="1985" w:type="dxa"/>
            <w:tcBorders>
              <w:top w:val="nil"/>
              <w:left w:val="nil"/>
              <w:bottom w:val="single" w:sz="4" w:space="0" w:color="000000"/>
              <w:right w:val="single" w:sz="4" w:space="0" w:color="000000"/>
            </w:tcBorders>
            <w:shd w:val="clear" w:color="auto" w:fill="auto"/>
            <w:noWrap/>
            <w:vAlign w:val="center"/>
          </w:tcPr>
          <w:p w14:paraId="7CE2A82A" w14:textId="77777777" w:rsidR="00080B19" w:rsidRPr="00875947" w:rsidRDefault="00080B19" w:rsidP="0023341C">
            <w:pPr>
              <w:spacing w:before="60" w:line="276" w:lineRule="auto"/>
              <w:jc w:val="right"/>
              <w:rPr>
                <w:rFonts w:ascii="Bookman Old Style" w:hAnsi="Bookman Old Style" w:cs="Calibri"/>
                <w:sz w:val="16"/>
                <w:szCs w:val="16"/>
              </w:rPr>
            </w:pPr>
            <w:r w:rsidRPr="00875947">
              <w:rPr>
                <w:rFonts w:ascii="Bookman Old Style" w:hAnsi="Bookman Old Style" w:cs="Calibri"/>
                <w:b/>
                <w:bCs/>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1E5A3C76" w14:textId="77777777" w:rsidR="00080B19" w:rsidRPr="00875947" w:rsidRDefault="00080B19" w:rsidP="0023341C">
            <w:pPr>
              <w:spacing w:before="60" w:line="276" w:lineRule="auto"/>
              <w:jc w:val="right"/>
              <w:rPr>
                <w:rFonts w:ascii="Bookman Old Style" w:hAnsi="Bookman Old Style" w:cs="Calibri"/>
                <w:sz w:val="16"/>
                <w:szCs w:val="16"/>
              </w:rPr>
            </w:pPr>
            <w:r w:rsidRPr="00875947">
              <w:rPr>
                <w:rFonts w:ascii="Bookman Old Style" w:hAnsi="Bookman Old Style" w:cs="Calibri"/>
                <w:b/>
                <w:bCs/>
                <w:sz w:val="16"/>
                <w:szCs w:val="16"/>
              </w:rPr>
              <w:t>0,00</w:t>
            </w:r>
          </w:p>
        </w:tc>
        <w:tc>
          <w:tcPr>
            <w:tcW w:w="2268" w:type="dxa"/>
            <w:tcBorders>
              <w:top w:val="nil"/>
              <w:left w:val="nil"/>
              <w:bottom w:val="single" w:sz="4" w:space="0" w:color="000000"/>
              <w:right w:val="nil"/>
            </w:tcBorders>
            <w:shd w:val="clear" w:color="auto" w:fill="auto"/>
            <w:noWrap/>
            <w:vAlign w:val="center"/>
          </w:tcPr>
          <w:p w14:paraId="06CE2F3F" w14:textId="77777777" w:rsidR="00080B19" w:rsidRPr="00875947" w:rsidRDefault="00080B19" w:rsidP="0023341C">
            <w:pPr>
              <w:spacing w:before="60" w:line="276" w:lineRule="auto"/>
              <w:jc w:val="right"/>
              <w:rPr>
                <w:rFonts w:ascii="Bookman Old Style" w:hAnsi="Bookman Old Style" w:cs="Calibri"/>
                <w:sz w:val="16"/>
                <w:szCs w:val="16"/>
              </w:rPr>
            </w:pPr>
            <w:r w:rsidRPr="00875947">
              <w:rPr>
                <w:rFonts w:ascii="Bookman Old Style" w:hAnsi="Bookman Old Style" w:cs="Calibri"/>
                <w:b/>
                <w:bCs/>
                <w:sz w:val="16"/>
                <w:szCs w:val="16"/>
              </w:rPr>
              <w:t>23.106.368.850,00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2EF73617" w14:textId="77777777" w:rsidR="00080B19" w:rsidRPr="00875947" w:rsidRDefault="00080B19" w:rsidP="0023341C">
            <w:pPr>
              <w:spacing w:before="60" w:line="276" w:lineRule="auto"/>
              <w:jc w:val="center"/>
              <w:rPr>
                <w:rFonts w:ascii="Bookman Old Style" w:hAnsi="Bookman Old Style" w:cs="Calibri"/>
                <w:sz w:val="16"/>
                <w:szCs w:val="16"/>
              </w:rPr>
            </w:pPr>
            <w:r w:rsidRPr="00875947">
              <w:rPr>
                <w:rFonts w:ascii="Bookman Old Style" w:hAnsi="Bookman Old Style" w:cs="Calibri"/>
                <w:b/>
                <w:bCs/>
                <w:sz w:val="16"/>
                <w:szCs w:val="16"/>
              </w:rPr>
              <w:t>0,40</w:t>
            </w:r>
          </w:p>
        </w:tc>
      </w:tr>
      <w:tr w:rsidR="00875947" w:rsidRPr="00875947" w14:paraId="1FDA0102"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tcPr>
          <w:p w14:paraId="0684A5C2" w14:textId="31BD3D40" w:rsidR="00080B19" w:rsidRPr="00875947" w:rsidRDefault="00080B19" w:rsidP="0023341C">
            <w:pPr>
              <w:spacing w:before="60" w:line="276" w:lineRule="auto"/>
              <w:rPr>
                <w:rFonts w:ascii="Bookman Old Style" w:hAnsi="Bookman Old Style"/>
                <w:sz w:val="16"/>
                <w:szCs w:val="16"/>
                <w:lang w:val="sv-FI"/>
              </w:rPr>
            </w:pPr>
            <w:r w:rsidRPr="00875947">
              <w:rPr>
                <w:rFonts w:ascii="Bookman Old Style" w:hAnsi="Bookman Old Style"/>
                <w:sz w:val="16"/>
                <w:szCs w:val="16"/>
                <w:lang w:val="sv-FI"/>
              </w:rPr>
              <w:t>URUSAN</w:t>
            </w:r>
            <w:r w:rsidR="00A954D0" w:rsidRPr="00875947">
              <w:rPr>
                <w:rFonts w:ascii="Bookman Old Style" w:hAnsi="Bookman Old Style"/>
                <w:sz w:val="16"/>
                <w:szCs w:val="16"/>
                <w:lang w:val="sv-FI"/>
              </w:rPr>
              <w:t xml:space="preserve"> </w:t>
            </w:r>
            <w:r w:rsidRPr="00875947">
              <w:rPr>
                <w:rFonts w:ascii="Bookman Old Style" w:hAnsi="Bookman Old Style"/>
                <w:sz w:val="16"/>
                <w:szCs w:val="16"/>
                <w:lang w:val="sv-FI"/>
              </w:rPr>
              <w:t>PEMERINTAHAN</w:t>
            </w:r>
            <w:r w:rsidR="00A954D0" w:rsidRPr="00875947">
              <w:rPr>
                <w:rFonts w:ascii="Bookman Old Style" w:hAnsi="Bookman Old Style"/>
                <w:sz w:val="16"/>
                <w:szCs w:val="16"/>
                <w:lang w:val="sv-FI"/>
              </w:rPr>
              <w:t xml:space="preserve"> </w:t>
            </w:r>
            <w:r w:rsidRPr="00875947">
              <w:rPr>
                <w:rFonts w:ascii="Bookman Old Style" w:hAnsi="Bookman Old Style"/>
                <w:sz w:val="16"/>
                <w:szCs w:val="16"/>
                <w:lang w:val="sv-FI"/>
              </w:rPr>
              <w:t>BIDANG</w:t>
            </w:r>
            <w:r w:rsidR="00A954D0" w:rsidRPr="00875947">
              <w:rPr>
                <w:rFonts w:ascii="Bookman Old Style" w:hAnsi="Bookman Old Style"/>
                <w:sz w:val="16"/>
                <w:szCs w:val="16"/>
                <w:lang w:val="sv-FI"/>
              </w:rPr>
              <w:t xml:space="preserve"> </w:t>
            </w:r>
            <w:r w:rsidRPr="00875947">
              <w:rPr>
                <w:rFonts w:ascii="Bookman Old Style" w:hAnsi="Bookman Old Style"/>
                <w:sz w:val="16"/>
                <w:szCs w:val="16"/>
                <w:lang w:val="sv-FI"/>
              </w:rPr>
              <w:t>XX</w:t>
            </w:r>
            <w:r w:rsidRPr="00875947">
              <w:rPr>
                <w:rFonts w:ascii="Bookman Old Style" w:hAnsi="Bookman Old Style"/>
                <w:sz w:val="16"/>
                <w:szCs w:val="16"/>
                <w:lang w:val="sv-FI"/>
              </w:rPr>
              <w:br/>
              <w:t>(Kecamatan</w:t>
            </w:r>
            <w:r w:rsidR="00A954D0" w:rsidRPr="00875947">
              <w:rPr>
                <w:rFonts w:ascii="Bookman Old Style" w:hAnsi="Bookman Old Style"/>
                <w:sz w:val="16"/>
                <w:szCs w:val="16"/>
                <w:lang w:val="sv-FI"/>
              </w:rPr>
              <w:t xml:space="preserve"> </w:t>
            </w:r>
            <w:r w:rsidRPr="00875947">
              <w:rPr>
                <w:rFonts w:ascii="Bookman Old Style" w:hAnsi="Bookman Old Style"/>
                <w:sz w:val="16"/>
                <w:szCs w:val="16"/>
                <w:lang w:val="sv-FI"/>
              </w:rPr>
              <w:t>Priuk))</w:t>
            </w:r>
            <w:r w:rsidR="00A954D0" w:rsidRPr="00875947">
              <w:rPr>
                <w:rFonts w:ascii="Bookman Old Style" w:hAnsi="Bookman Old Style"/>
                <w:sz w:val="16"/>
                <w:szCs w:val="16"/>
                <w:lang w:val="sv-FI"/>
              </w:rPr>
              <w:t xml:space="preserve"> </w:t>
            </w:r>
          </w:p>
        </w:tc>
        <w:tc>
          <w:tcPr>
            <w:tcW w:w="2410" w:type="dxa"/>
            <w:tcBorders>
              <w:top w:val="nil"/>
              <w:left w:val="single" w:sz="4" w:space="0" w:color="000000"/>
              <w:bottom w:val="single" w:sz="4" w:space="0" w:color="000000"/>
              <w:right w:val="single" w:sz="4" w:space="0" w:color="000000"/>
            </w:tcBorders>
            <w:shd w:val="clear" w:color="auto" w:fill="auto"/>
            <w:noWrap/>
            <w:vAlign w:val="center"/>
          </w:tcPr>
          <w:p w14:paraId="29D7A4F9" w14:textId="77777777" w:rsidR="00080B19" w:rsidRPr="00875947" w:rsidRDefault="00080B19" w:rsidP="0023341C">
            <w:pPr>
              <w:spacing w:before="60" w:line="276" w:lineRule="auto"/>
              <w:jc w:val="right"/>
              <w:rPr>
                <w:rFonts w:ascii="Bookman Old Style" w:hAnsi="Bookman Old Style" w:cs="Calibri"/>
                <w:sz w:val="16"/>
                <w:szCs w:val="16"/>
              </w:rPr>
            </w:pPr>
            <w:r w:rsidRPr="00875947">
              <w:rPr>
                <w:rFonts w:ascii="Bookman Old Style" w:hAnsi="Bookman Old Style" w:cs="Calibri"/>
                <w:b/>
                <w:bCs/>
                <w:sz w:val="16"/>
                <w:szCs w:val="16"/>
              </w:rPr>
              <w:t>23.023.024.150,00</w:t>
            </w:r>
          </w:p>
        </w:tc>
        <w:tc>
          <w:tcPr>
            <w:tcW w:w="2126" w:type="dxa"/>
            <w:tcBorders>
              <w:top w:val="nil"/>
              <w:left w:val="nil"/>
              <w:bottom w:val="single" w:sz="4" w:space="0" w:color="000000"/>
              <w:right w:val="single" w:sz="4" w:space="0" w:color="000000"/>
            </w:tcBorders>
            <w:shd w:val="clear" w:color="auto" w:fill="auto"/>
            <w:noWrap/>
            <w:vAlign w:val="center"/>
          </w:tcPr>
          <w:p w14:paraId="50E09F5A" w14:textId="77777777" w:rsidR="00080B19" w:rsidRPr="00875947" w:rsidRDefault="00080B19" w:rsidP="0023341C">
            <w:pPr>
              <w:spacing w:before="60" w:line="276" w:lineRule="auto"/>
              <w:jc w:val="right"/>
              <w:rPr>
                <w:rFonts w:ascii="Bookman Old Style" w:hAnsi="Bookman Old Style" w:cs="Calibri"/>
                <w:sz w:val="16"/>
                <w:szCs w:val="16"/>
              </w:rPr>
            </w:pPr>
            <w:r w:rsidRPr="00875947">
              <w:rPr>
                <w:rFonts w:ascii="Bookman Old Style" w:hAnsi="Bookman Old Style" w:cs="Calibri"/>
                <w:b/>
                <w:bCs/>
                <w:sz w:val="16"/>
                <w:szCs w:val="16"/>
              </w:rPr>
              <w:t>83.344.700,00</w:t>
            </w:r>
          </w:p>
        </w:tc>
        <w:tc>
          <w:tcPr>
            <w:tcW w:w="1985" w:type="dxa"/>
            <w:tcBorders>
              <w:top w:val="nil"/>
              <w:left w:val="nil"/>
              <w:bottom w:val="single" w:sz="4" w:space="0" w:color="000000"/>
              <w:right w:val="single" w:sz="4" w:space="0" w:color="000000"/>
            </w:tcBorders>
            <w:shd w:val="clear" w:color="auto" w:fill="auto"/>
            <w:noWrap/>
            <w:vAlign w:val="center"/>
          </w:tcPr>
          <w:p w14:paraId="544E10B1" w14:textId="77777777" w:rsidR="00080B19" w:rsidRPr="00875947" w:rsidRDefault="00080B19" w:rsidP="0023341C">
            <w:pPr>
              <w:spacing w:before="60" w:line="276" w:lineRule="auto"/>
              <w:jc w:val="right"/>
              <w:rPr>
                <w:rFonts w:ascii="Bookman Old Style" w:hAnsi="Bookman Old Style" w:cs="Calibri"/>
                <w:sz w:val="16"/>
                <w:szCs w:val="16"/>
              </w:rPr>
            </w:pPr>
            <w:r w:rsidRPr="00875947">
              <w:rPr>
                <w:rFonts w:ascii="Bookman Old Style" w:hAnsi="Bookman Old Style" w:cs="Calibri"/>
                <w:b/>
                <w:bCs/>
                <w:sz w:val="16"/>
                <w:szCs w:val="16"/>
              </w:rPr>
              <w:t>0,00</w:t>
            </w:r>
          </w:p>
        </w:tc>
        <w:tc>
          <w:tcPr>
            <w:tcW w:w="1984" w:type="dxa"/>
            <w:tcBorders>
              <w:top w:val="nil"/>
              <w:left w:val="nil"/>
              <w:bottom w:val="single" w:sz="4" w:space="0" w:color="000000"/>
              <w:right w:val="single" w:sz="4" w:space="0" w:color="000000"/>
            </w:tcBorders>
            <w:shd w:val="clear" w:color="auto" w:fill="auto"/>
            <w:noWrap/>
            <w:vAlign w:val="center"/>
          </w:tcPr>
          <w:p w14:paraId="51E33DB3" w14:textId="77777777" w:rsidR="00080B19" w:rsidRPr="00875947" w:rsidRDefault="00080B19" w:rsidP="0023341C">
            <w:pPr>
              <w:spacing w:before="60" w:line="276" w:lineRule="auto"/>
              <w:jc w:val="right"/>
              <w:rPr>
                <w:rFonts w:ascii="Bookman Old Style" w:hAnsi="Bookman Old Style" w:cs="Calibri"/>
                <w:sz w:val="16"/>
                <w:szCs w:val="16"/>
              </w:rPr>
            </w:pPr>
            <w:r w:rsidRPr="00875947">
              <w:rPr>
                <w:rFonts w:ascii="Bookman Old Style" w:hAnsi="Bookman Old Style" w:cs="Calibri"/>
                <w:b/>
                <w:bCs/>
                <w:sz w:val="16"/>
                <w:szCs w:val="16"/>
              </w:rPr>
              <w:t>0,00</w:t>
            </w:r>
          </w:p>
        </w:tc>
        <w:tc>
          <w:tcPr>
            <w:tcW w:w="2268" w:type="dxa"/>
            <w:tcBorders>
              <w:top w:val="nil"/>
              <w:left w:val="nil"/>
              <w:bottom w:val="single" w:sz="4" w:space="0" w:color="000000"/>
              <w:right w:val="nil"/>
            </w:tcBorders>
            <w:shd w:val="clear" w:color="auto" w:fill="auto"/>
            <w:noWrap/>
            <w:vAlign w:val="center"/>
          </w:tcPr>
          <w:p w14:paraId="15C2EF58" w14:textId="77777777" w:rsidR="00080B19" w:rsidRPr="00875947" w:rsidRDefault="00080B19" w:rsidP="0023341C">
            <w:pPr>
              <w:spacing w:before="60" w:line="276" w:lineRule="auto"/>
              <w:jc w:val="right"/>
              <w:rPr>
                <w:rFonts w:ascii="Bookman Old Style" w:hAnsi="Bookman Old Style" w:cs="Calibri"/>
                <w:sz w:val="16"/>
                <w:szCs w:val="16"/>
              </w:rPr>
            </w:pPr>
            <w:r w:rsidRPr="00875947">
              <w:rPr>
                <w:rFonts w:ascii="Bookman Old Style" w:hAnsi="Bookman Old Style" w:cs="Calibri"/>
                <w:b/>
                <w:bCs/>
                <w:sz w:val="16"/>
                <w:szCs w:val="16"/>
              </w:rPr>
              <w:t>23.106.368.850,00</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7264CB59" w14:textId="77777777" w:rsidR="00080B19" w:rsidRPr="00875947" w:rsidRDefault="00080B19" w:rsidP="0023341C">
            <w:pPr>
              <w:spacing w:before="60" w:line="276" w:lineRule="auto"/>
              <w:jc w:val="center"/>
              <w:rPr>
                <w:rFonts w:ascii="Bookman Old Style" w:hAnsi="Bookman Old Style" w:cs="Calibri"/>
                <w:sz w:val="16"/>
                <w:szCs w:val="16"/>
              </w:rPr>
            </w:pPr>
            <w:r w:rsidRPr="00875947">
              <w:rPr>
                <w:rFonts w:ascii="Bookman Old Style" w:hAnsi="Bookman Old Style" w:cs="Calibri"/>
                <w:b/>
                <w:bCs/>
                <w:sz w:val="16"/>
                <w:szCs w:val="16"/>
              </w:rPr>
              <w:t>0,40</w:t>
            </w:r>
          </w:p>
        </w:tc>
      </w:tr>
      <w:tr w:rsidR="00875947" w:rsidRPr="00875947" w14:paraId="43A09FE7" w14:textId="77777777" w:rsidTr="00735D18">
        <w:trPr>
          <w:trHeight w:val="186"/>
          <w:jc w:val="center"/>
        </w:trPr>
        <w:tc>
          <w:tcPr>
            <w:tcW w:w="4673" w:type="dxa"/>
            <w:tcBorders>
              <w:top w:val="nil"/>
              <w:left w:val="single" w:sz="4" w:space="0" w:color="000000"/>
              <w:bottom w:val="single" w:sz="4" w:space="0" w:color="000000"/>
              <w:right w:val="single" w:sz="4" w:space="0" w:color="000000"/>
            </w:tcBorders>
            <w:shd w:val="clear" w:color="auto" w:fill="auto"/>
            <w:noWrap/>
            <w:vAlign w:val="center"/>
          </w:tcPr>
          <w:p w14:paraId="09655DF5" w14:textId="77777777" w:rsidR="00080B19" w:rsidRPr="00875947" w:rsidRDefault="00080B19" w:rsidP="0023341C">
            <w:pPr>
              <w:spacing w:before="60" w:line="276" w:lineRule="auto"/>
              <w:jc w:val="center"/>
              <w:rPr>
                <w:rFonts w:ascii="Bookman Old Style" w:hAnsi="Bookman Old Style"/>
                <w:sz w:val="16"/>
                <w:szCs w:val="16"/>
                <w:lang w:val="sv-FI"/>
              </w:rPr>
            </w:pPr>
            <w:r w:rsidRPr="00875947">
              <w:rPr>
                <w:rFonts w:ascii="Bookman Old Style" w:hAnsi="Bookman Old Style"/>
                <w:b/>
                <w:bCs/>
                <w:sz w:val="16"/>
                <w:szCs w:val="16"/>
                <w:lang w:val="sv-FI"/>
              </w:rPr>
              <w:t>TOTAL</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22446" w14:textId="77777777" w:rsidR="00080B19" w:rsidRPr="00875947" w:rsidRDefault="00080B19" w:rsidP="0023341C">
            <w:pPr>
              <w:spacing w:before="60" w:line="276" w:lineRule="auto"/>
              <w:jc w:val="right"/>
              <w:rPr>
                <w:rFonts w:ascii="Bookman Old Style" w:hAnsi="Bookman Old Style" w:cs="Calibri"/>
                <w:sz w:val="16"/>
                <w:szCs w:val="16"/>
              </w:rPr>
            </w:pPr>
            <w:r w:rsidRPr="00875947">
              <w:rPr>
                <w:rFonts w:ascii="Bookman Old Style" w:hAnsi="Bookman Old Style" w:cs="Calibri"/>
                <w:b/>
                <w:bCs/>
                <w:sz w:val="16"/>
                <w:szCs w:val="16"/>
              </w:rPr>
              <w:t>4.640.912.509.120,00</w:t>
            </w:r>
          </w:p>
        </w:tc>
        <w:tc>
          <w:tcPr>
            <w:tcW w:w="2126" w:type="dxa"/>
            <w:tcBorders>
              <w:top w:val="single" w:sz="4" w:space="0" w:color="000000"/>
              <w:left w:val="nil"/>
              <w:bottom w:val="single" w:sz="4" w:space="0" w:color="000000"/>
              <w:right w:val="single" w:sz="4" w:space="0" w:color="000000"/>
            </w:tcBorders>
            <w:shd w:val="clear" w:color="auto" w:fill="auto"/>
            <w:noWrap/>
            <w:vAlign w:val="center"/>
          </w:tcPr>
          <w:p w14:paraId="68C6419B" w14:textId="77777777" w:rsidR="00080B19" w:rsidRPr="00875947" w:rsidRDefault="00080B19" w:rsidP="0023341C">
            <w:pPr>
              <w:spacing w:before="60" w:line="276" w:lineRule="auto"/>
              <w:jc w:val="right"/>
              <w:rPr>
                <w:rFonts w:ascii="Bookman Old Style" w:hAnsi="Bookman Old Style" w:cs="Calibri"/>
                <w:sz w:val="16"/>
                <w:szCs w:val="16"/>
              </w:rPr>
            </w:pPr>
            <w:r w:rsidRPr="00875947">
              <w:rPr>
                <w:rFonts w:ascii="Bookman Old Style" w:hAnsi="Bookman Old Style" w:cs="Calibri"/>
                <w:b/>
                <w:bCs/>
                <w:sz w:val="16"/>
                <w:szCs w:val="16"/>
              </w:rPr>
              <w:t>1.037.873.336.541,00</w:t>
            </w:r>
          </w:p>
        </w:tc>
        <w:tc>
          <w:tcPr>
            <w:tcW w:w="1985" w:type="dxa"/>
            <w:tcBorders>
              <w:top w:val="single" w:sz="4" w:space="0" w:color="000000"/>
              <w:left w:val="nil"/>
              <w:bottom w:val="single" w:sz="4" w:space="0" w:color="000000"/>
              <w:right w:val="single" w:sz="4" w:space="0" w:color="000000"/>
            </w:tcBorders>
            <w:shd w:val="clear" w:color="auto" w:fill="auto"/>
            <w:noWrap/>
            <w:vAlign w:val="center"/>
          </w:tcPr>
          <w:p w14:paraId="18CFCFA5" w14:textId="77777777" w:rsidR="00080B19" w:rsidRPr="00875947" w:rsidRDefault="00080B19" w:rsidP="0023341C">
            <w:pPr>
              <w:spacing w:before="60" w:line="276" w:lineRule="auto"/>
              <w:jc w:val="right"/>
              <w:rPr>
                <w:rFonts w:ascii="Bookman Old Style" w:hAnsi="Bookman Old Style" w:cs="Calibri"/>
                <w:sz w:val="16"/>
                <w:szCs w:val="16"/>
              </w:rPr>
            </w:pPr>
            <w:r w:rsidRPr="00875947">
              <w:rPr>
                <w:rFonts w:ascii="Bookman Old Style" w:hAnsi="Bookman Old Style" w:cs="Calibri"/>
                <w:b/>
                <w:bCs/>
                <w:sz w:val="16"/>
                <w:szCs w:val="16"/>
              </w:rPr>
              <w:t>27.814.693.294,00</w:t>
            </w:r>
          </w:p>
        </w:tc>
        <w:tc>
          <w:tcPr>
            <w:tcW w:w="1984" w:type="dxa"/>
            <w:tcBorders>
              <w:top w:val="single" w:sz="4" w:space="0" w:color="000000"/>
              <w:left w:val="nil"/>
              <w:bottom w:val="single" w:sz="4" w:space="0" w:color="000000"/>
              <w:right w:val="single" w:sz="4" w:space="0" w:color="000000"/>
            </w:tcBorders>
            <w:shd w:val="clear" w:color="auto" w:fill="auto"/>
            <w:noWrap/>
            <w:vAlign w:val="center"/>
          </w:tcPr>
          <w:p w14:paraId="775DBBD6" w14:textId="77777777" w:rsidR="00080B19" w:rsidRPr="00875947" w:rsidRDefault="00080B19" w:rsidP="0023341C">
            <w:pPr>
              <w:spacing w:before="60" w:line="276" w:lineRule="auto"/>
              <w:jc w:val="right"/>
              <w:rPr>
                <w:rFonts w:ascii="Bookman Old Style" w:hAnsi="Bookman Old Style" w:cs="Calibri"/>
                <w:sz w:val="16"/>
                <w:szCs w:val="16"/>
              </w:rPr>
            </w:pPr>
            <w:r w:rsidRPr="00875947">
              <w:rPr>
                <w:rFonts w:ascii="Bookman Old Style" w:hAnsi="Bookman Old Style" w:cs="Calibri"/>
                <w:b/>
                <w:bCs/>
                <w:sz w:val="16"/>
                <w:szCs w:val="16"/>
              </w:rPr>
              <w:t>0,00</w:t>
            </w:r>
          </w:p>
        </w:tc>
        <w:tc>
          <w:tcPr>
            <w:tcW w:w="2268" w:type="dxa"/>
            <w:tcBorders>
              <w:top w:val="single" w:sz="4" w:space="0" w:color="000000"/>
              <w:left w:val="nil"/>
              <w:bottom w:val="single" w:sz="4" w:space="0" w:color="000000"/>
              <w:right w:val="single" w:sz="4" w:space="0" w:color="000000"/>
            </w:tcBorders>
            <w:shd w:val="clear" w:color="auto" w:fill="auto"/>
            <w:noWrap/>
            <w:vAlign w:val="center"/>
          </w:tcPr>
          <w:p w14:paraId="61FC0B35" w14:textId="650CCCA5" w:rsidR="00080B19" w:rsidRPr="00875947" w:rsidRDefault="00A954D0" w:rsidP="0023341C">
            <w:pPr>
              <w:spacing w:before="60" w:line="276" w:lineRule="auto"/>
              <w:jc w:val="right"/>
              <w:rPr>
                <w:rFonts w:ascii="Bookman Old Style" w:hAnsi="Bookman Old Style" w:cs="Calibri"/>
                <w:sz w:val="16"/>
                <w:szCs w:val="16"/>
              </w:rPr>
            </w:pPr>
            <w:r w:rsidRPr="00875947">
              <w:rPr>
                <w:rFonts w:ascii="Bookman Old Style" w:hAnsi="Bookman Old Style" w:cs="Calibri"/>
                <w:b/>
                <w:bCs/>
                <w:sz w:val="16"/>
                <w:szCs w:val="16"/>
              </w:rPr>
              <w:t xml:space="preserve"> </w:t>
            </w:r>
            <w:r w:rsidR="00080B19" w:rsidRPr="00875947">
              <w:rPr>
                <w:rFonts w:ascii="Bookman Old Style" w:hAnsi="Bookman Old Style" w:cs="Calibri"/>
                <w:b/>
                <w:bCs/>
                <w:sz w:val="16"/>
                <w:szCs w:val="16"/>
              </w:rPr>
              <w:t>5.706.600.538.955,00</w:t>
            </w:r>
            <w:r w:rsidRPr="00875947">
              <w:rPr>
                <w:rFonts w:ascii="Bookman Old Style" w:hAnsi="Bookman Old Style" w:cs="Calibri"/>
                <w:b/>
                <w:bCs/>
                <w:sz w:val="16"/>
                <w:szCs w:val="16"/>
              </w:rPr>
              <w:t xml:space="preserve"> </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D46E3DF" w14:textId="77777777" w:rsidR="00080B19" w:rsidRPr="00875947" w:rsidRDefault="00080B19" w:rsidP="0023341C">
            <w:pPr>
              <w:spacing w:before="60" w:line="276" w:lineRule="auto"/>
              <w:jc w:val="center"/>
              <w:rPr>
                <w:rFonts w:ascii="Bookman Old Style" w:hAnsi="Bookman Old Style" w:cs="Calibri"/>
                <w:sz w:val="16"/>
                <w:szCs w:val="16"/>
              </w:rPr>
            </w:pPr>
          </w:p>
        </w:tc>
      </w:tr>
    </w:tbl>
    <w:p w14:paraId="45ACA33C" w14:textId="77777777" w:rsidR="00BA1A2C" w:rsidRPr="00770F22" w:rsidRDefault="00BA1A2C" w:rsidP="00727324">
      <w:pPr>
        <w:pStyle w:val="ListParagraph"/>
        <w:spacing w:before="60" w:after="0" w:line="276" w:lineRule="auto"/>
        <w:ind w:left="907"/>
        <w:contextualSpacing w:val="0"/>
        <w:jc w:val="center"/>
        <w:rPr>
          <w:rFonts w:ascii="Bookman Old Style" w:hAnsi="Bookman Old Style" w:cs="Arial"/>
          <w:color w:val="FF0000"/>
          <w:sz w:val="24"/>
          <w:szCs w:val="24"/>
          <w:highlight w:val="yellow"/>
          <w:lang w:val="en-US"/>
        </w:rPr>
        <w:sectPr w:rsidR="00BA1A2C" w:rsidRPr="00770F22" w:rsidSect="00B27504">
          <w:pgSz w:w="18722" w:h="12242" w:orient="landscape" w:code="142"/>
          <w:pgMar w:top="1701" w:right="1701" w:bottom="1701" w:left="1701" w:header="720" w:footer="720" w:gutter="0"/>
          <w:pgNumType w:fmt="numberInDash" w:chapStyle="1"/>
          <w:cols w:space="720"/>
          <w:docGrid w:linePitch="360"/>
        </w:sectPr>
      </w:pPr>
    </w:p>
    <w:p w14:paraId="2398CF20" w14:textId="76AA300F" w:rsidR="00080B19" w:rsidRPr="00727324" w:rsidRDefault="00080B19" w:rsidP="00080B19">
      <w:pPr>
        <w:pStyle w:val="ListParagraph"/>
        <w:spacing w:before="60" w:after="0" w:line="276" w:lineRule="auto"/>
        <w:ind w:left="1267"/>
        <w:contextualSpacing w:val="0"/>
        <w:jc w:val="both"/>
        <w:rPr>
          <w:rFonts w:ascii="Bookman Old Style" w:hAnsi="Bookman Old Style"/>
          <w:sz w:val="24"/>
          <w:szCs w:val="24"/>
          <w:lang w:val="fi-FI"/>
        </w:rPr>
      </w:pPr>
      <w:r w:rsidRPr="00D046BE">
        <w:rPr>
          <w:rFonts w:ascii="Bookman Old Style" w:hAnsi="Bookman Old Style"/>
          <w:sz w:val="24"/>
          <w:szCs w:val="24"/>
          <w:lang w:val="en-US"/>
        </w:rPr>
        <w:lastRenderedPageBreak/>
        <w:t>Berdasarkan</w:t>
      </w:r>
      <w:r w:rsidR="00A954D0">
        <w:rPr>
          <w:rFonts w:ascii="Bookman Old Style" w:hAnsi="Bookman Old Style"/>
          <w:sz w:val="24"/>
          <w:szCs w:val="24"/>
          <w:lang w:val="en-US"/>
        </w:rPr>
        <w:t xml:space="preserve"> </w:t>
      </w:r>
      <w:r w:rsidRPr="00D046BE">
        <w:rPr>
          <w:rFonts w:ascii="Bookman Old Style" w:hAnsi="Bookman Old Style"/>
          <w:sz w:val="24"/>
          <w:szCs w:val="24"/>
          <w:lang w:val="en-US"/>
        </w:rPr>
        <w:t>tabel</w:t>
      </w:r>
      <w:r w:rsidR="00A954D0">
        <w:rPr>
          <w:rFonts w:ascii="Bookman Old Style" w:hAnsi="Bookman Old Style"/>
          <w:sz w:val="24"/>
          <w:szCs w:val="24"/>
          <w:lang w:val="en-US"/>
        </w:rPr>
        <w:t xml:space="preserve"> </w:t>
      </w:r>
      <w:r w:rsidRPr="000B6378">
        <w:rPr>
          <w:rFonts w:ascii="Bookman Old Style" w:hAnsi="Bookman Old Style"/>
          <w:sz w:val="24"/>
          <w:szCs w:val="24"/>
          <w:lang w:val="en-US"/>
        </w:rPr>
        <w:t>sebagaimana</w:t>
      </w:r>
      <w:r w:rsidR="00A954D0">
        <w:rPr>
          <w:rFonts w:ascii="Bookman Old Style" w:hAnsi="Bookman Old Style"/>
          <w:sz w:val="24"/>
          <w:szCs w:val="24"/>
          <w:lang w:val="en-US"/>
        </w:rPr>
        <w:t xml:space="preserve"> </w:t>
      </w:r>
      <w:r w:rsidRPr="000B6378">
        <w:rPr>
          <w:rFonts w:ascii="Bookman Old Style" w:hAnsi="Bookman Old Style"/>
          <w:sz w:val="24"/>
          <w:szCs w:val="24"/>
          <w:lang w:val="en-US"/>
        </w:rPr>
        <w:t>di</w:t>
      </w:r>
      <w:r w:rsidR="00A954D0">
        <w:rPr>
          <w:rFonts w:ascii="Bookman Old Style" w:hAnsi="Bookman Old Style"/>
          <w:sz w:val="24"/>
          <w:szCs w:val="24"/>
          <w:lang w:val="en-US"/>
        </w:rPr>
        <w:t xml:space="preserve"> </w:t>
      </w:r>
      <w:r w:rsidRPr="000B6378">
        <w:rPr>
          <w:rFonts w:ascii="Bookman Old Style" w:hAnsi="Bookman Old Style"/>
          <w:sz w:val="24"/>
          <w:szCs w:val="24"/>
          <w:lang w:val="en-US"/>
        </w:rPr>
        <w:t>atas,</w:t>
      </w:r>
      <w:r w:rsidR="00A954D0" w:rsidRPr="003255BC">
        <w:rPr>
          <w:rFonts w:ascii="Bookman Old Style" w:eastAsia="Bookman Old Style" w:hAnsi="Bookman Old Style" w:cs="Bookman Old Style"/>
          <w:sz w:val="24"/>
          <w:szCs w:val="24"/>
          <w:lang w:val="en-US"/>
        </w:rPr>
        <w:t xml:space="preserve"> </w:t>
      </w:r>
      <w:r w:rsidR="0075490B" w:rsidRPr="003255BC">
        <w:rPr>
          <w:rFonts w:ascii="Bookman Old Style" w:eastAsia="Bookman Old Style" w:hAnsi="Bookman Old Style" w:cs="Bookman Old Style"/>
          <w:sz w:val="24"/>
          <w:szCs w:val="24"/>
          <w:lang w:val="en-US"/>
        </w:rPr>
        <w:t>penyediaan</w:t>
      </w:r>
      <w:r w:rsidR="00A954D0" w:rsidRPr="003255BC">
        <w:rPr>
          <w:rFonts w:ascii="Bookman Old Style" w:eastAsia="Bookman Old Style" w:hAnsi="Bookman Old Style" w:cs="Bookman Old Style"/>
          <w:sz w:val="24"/>
          <w:szCs w:val="24"/>
          <w:lang w:val="en-US"/>
        </w:rPr>
        <w:t xml:space="preserve"> </w:t>
      </w:r>
      <w:r w:rsidR="0075490B" w:rsidRPr="003255BC">
        <w:rPr>
          <w:rFonts w:ascii="Bookman Old Style" w:eastAsia="Bookman Old Style" w:hAnsi="Bookman Old Style" w:cs="Bookman Old Style"/>
          <w:sz w:val="24"/>
          <w:szCs w:val="24"/>
          <w:lang w:val="en-US"/>
        </w:rPr>
        <w:t>alokasi</w:t>
      </w:r>
      <w:r w:rsidR="00A954D0" w:rsidRPr="003255BC">
        <w:rPr>
          <w:rFonts w:ascii="Bookman Old Style" w:eastAsia="Bookman Old Style" w:hAnsi="Bookman Old Style" w:cs="Bookman Old Style"/>
          <w:sz w:val="24"/>
          <w:szCs w:val="24"/>
          <w:lang w:val="en-US"/>
        </w:rPr>
        <w:t xml:space="preserve"> </w:t>
      </w:r>
      <w:r w:rsidR="0075490B" w:rsidRPr="003255BC">
        <w:rPr>
          <w:rFonts w:ascii="Bookman Old Style" w:eastAsia="Bookman Old Style" w:hAnsi="Bookman Old Style" w:cs="Bookman Old Style"/>
          <w:sz w:val="24"/>
          <w:szCs w:val="24"/>
          <w:lang w:val="en-US"/>
        </w:rPr>
        <w:t>anggaran</w:t>
      </w:r>
      <w:r w:rsidR="00A954D0" w:rsidRPr="003255BC">
        <w:rPr>
          <w:rFonts w:ascii="Bookman Old Style" w:eastAsia="Bookman Old Style" w:hAnsi="Bookman Old Style" w:cs="Bookman Old Style"/>
          <w:sz w:val="24"/>
          <w:szCs w:val="24"/>
          <w:lang w:val="en-US"/>
        </w:rPr>
        <w:t xml:space="preserve"> </w:t>
      </w:r>
      <w:r w:rsidR="0075490B" w:rsidRPr="003255BC">
        <w:rPr>
          <w:rFonts w:ascii="Bookman Old Style" w:eastAsia="Bookman Old Style" w:hAnsi="Bookman Old Style" w:cs="Bookman Old Style"/>
          <w:sz w:val="24"/>
          <w:szCs w:val="24"/>
          <w:lang w:val="en-US"/>
        </w:rPr>
        <w:t>Non</w:t>
      </w:r>
      <w:r w:rsidR="00A954D0" w:rsidRPr="003255BC">
        <w:rPr>
          <w:rFonts w:ascii="Bookman Old Style" w:eastAsia="Bookman Old Style" w:hAnsi="Bookman Old Style" w:cs="Bookman Old Style"/>
          <w:sz w:val="24"/>
          <w:szCs w:val="24"/>
          <w:lang w:val="en-US"/>
        </w:rPr>
        <w:t xml:space="preserve"> </w:t>
      </w:r>
      <w:r w:rsidR="0075490B" w:rsidRPr="003255BC">
        <w:rPr>
          <w:rFonts w:ascii="Bookman Old Style" w:eastAsia="Bookman Old Style" w:hAnsi="Bookman Old Style" w:cs="Bookman Old Style"/>
          <w:sz w:val="24"/>
          <w:szCs w:val="24"/>
          <w:lang w:val="en-US"/>
        </w:rPr>
        <w:t>Urusan</w:t>
      </w:r>
      <w:r w:rsidR="00A954D0" w:rsidRPr="003255BC">
        <w:rPr>
          <w:rFonts w:ascii="Bookman Old Style" w:eastAsia="Bookman Old Style" w:hAnsi="Bookman Old Style" w:cs="Bookman Old Style"/>
          <w:sz w:val="24"/>
          <w:szCs w:val="24"/>
          <w:lang w:val="en-US"/>
        </w:rPr>
        <w:t xml:space="preserve"> </w:t>
      </w:r>
      <w:r w:rsidR="0075490B" w:rsidRPr="003255BC">
        <w:rPr>
          <w:rFonts w:ascii="Bookman Old Style" w:eastAsia="Bookman Old Style" w:hAnsi="Bookman Old Style" w:cs="Bookman Old Style"/>
          <w:sz w:val="24"/>
          <w:szCs w:val="24"/>
          <w:lang w:val="en-US"/>
        </w:rPr>
        <w:t>Rp23.106.368.850,00</w:t>
      </w:r>
      <w:r w:rsidR="00A954D0" w:rsidRPr="003255BC">
        <w:rPr>
          <w:rFonts w:ascii="Bookman Old Style" w:eastAsia="Bookman Old Style" w:hAnsi="Bookman Old Style" w:cs="Bookman Old Style"/>
          <w:sz w:val="24"/>
          <w:szCs w:val="24"/>
          <w:lang w:val="en-US"/>
        </w:rPr>
        <w:t xml:space="preserve"> </w:t>
      </w:r>
      <w:r w:rsidR="0075490B" w:rsidRPr="003255BC">
        <w:rPr>
          <w:rFonts w:ascii="Bookman Old Style" w:eastAsia="Bookman Old Style" w:hAnsi="Bookman Old Style" w:cs="Bookman Old Style"/>
          <w:b/>
          <w:bCs/>
          <w:sz w:val="24"/>
          <w:szCs w:val="24"/>
          <w:lang w:val="en-US"/>
        </w:rPr>
        <w:t>agar</w:t>
      </w:r>
      <w:r w:rsidR="00A954D0" w:rsidRPr="003255BC">
        <w:rPr>
          <w:rFonts w:ascii="Bookman Old Style" w:eastAsia="Bookman Old Style" w:hAnsi="Bookman Old Style" w:cs="Bookman Old Style"/>
          <w:b/>
          <w:bCs/>
          <w:sz w:val="24"/>
          <w:szCs w:val="24"/>
          <w:lang w:val="en-US"/>
        </w:rPr>
        <w:t xml:space="preserve"> </w:t>
      </w:r>
      <w:r w:rsidR="0075490B" w:rsidRPr="003255BC">
        <w:rPr>
          <w:rFonts w:ascii="Bookman Old Style" w:eastAsia="Bookman Old Style" w:hAnsi="Bookman Old Style" w:cs="Bookman Old Style"/>
          <w:b/>
          <w:bCs/>
          <w:sz w:val="24"/>
          <w:szCs w:val="24"/>
          <w:lang w:val="en-US"/>
        </w:rPr>
        <w:t>dialihkan</w:t>
      </w:r>
      <w:r w:rsidR="00A954D0" w:rsidRPr="003255BC">
        <w:rPr>
          <w:rFonts w:ascii="Bookman Old Style" w:eastAsia="Bookman Old Style" w:hAnsi="Bookman Old Style" w:cs="Bookman Old Style"/>
          <w:sz w:val="24"/>
          <w:szCs w:val="24"/>
          <w:lang w:val="en-US"/>
        </w:rPr>
        <w:t xml:space="preserve"> </w:t>
      </w:r>
      <w:r w:rsidR="0075490B" w:rsidRPr="003255BC">
        <w:rPr>
          <w:rFonts w:ascii="Bookman Old Style" w:eastAsia="Bookman Old Style" w:hAnsi="Bookman Old Style" w:cs="Bookman Old Style"/>
          <w:sz w:val="24"/>
          <w:szCs w:val="24"/>
          <w:lang w:val="en-US"/>
        </w:rPr>
        <w:t>ke</w:t>
      </w:r>
      <w:r w:rsidR="00A954D0" w:rsidRPr="003255BC">
        <w:rPr>
          <w:rFonts w:ascii="Bookman Old Style" w:eastAsia="Bookman Old Style" w:hAnsi="Bookman Old Style" w:cs="Bookman Old Style"/>
          <w:sz w:val="24"/>
          <w:szCs w:val="24"/>
          <w:lang w:val="en-US"/>
        </w:rPr>
        <w:t xml:space="preserve"> </w:t>
      </w:r>
      <w:r w:rsidR="0075490B" w:rsidRPr="003255BC">
        <w:rPr>
          <w:rFonts w:ascii="Bookman Old Style" w:eastAsia="Bookman Old Style" w:hAnsi="Bookman Old Style" w:cs="Bookman Old Style"/>
          <w:sz w:val="24"/>
          <w:szCs w:val="24"/>
          <w:lang w:val="en-US"/>
        </w:rPr>
        <w:t>dalam</w:t>
      </w:r>
      <w:r w:rsidR="00A954D0" w:rsidRPr="003255BC">
        <w:rPr>
          <w:rFonts w:ascii="Bookman Old Style" w:eastAsia="Bookman Old Style" w:hAnsi="Bookman Old Style" w:cs="Bookman Old Style"/>
          <w:sz w:val="24"/>
          <w:szCs w:val="24"/>
          <w:lang w:val="en-US"/>
        </w:rPr>
        <w:t xml:space="preserve"> </w:t>
      </w:r>
      <w:r w:rsidR="0075490B" w:rsidRPr="003255BC">
        <w:rPr>
          <w:rFonts w:ascii="Bookman Old Style" w:eastAsia="Bookman Old Style" w:hAnsi="Bookman Old Style" w:cs="Bookman Old Style"/>
          <w:sz w:val="24"/>
          <w:szCs w:val="24"/>
          <w:lang w:val="en-US"/>
        </w:rPr>
        <w:t>klasifikasi,</w:t>
      </w:r>
      <w:r w:rsidR="00A954D0" w:rsidRPr="003255BC">
        <w:rPr>
          <w:rFonts w:ascii="Bookman Old Style" w:eastAsia="Bookman Old Style" w:hAnsi="Bookman Old Style" w:cs="Bookman Old Style"/>
          <w:sz w:val="24"/>
          <w:szCs w:val="24"/>
          <w:lang w:val="en-US"/>
        </w:rPr>
        <w:t xml:space="preserve"> </w:t>
      </w:r>
      <w:r w:rsidR="0075490B" w:rsidRPr="003255BC">
        <w:rPr>
          <w:rFonts w:ascii="Bookman Old Style" w:eastAsia="Bookman Old Style" w:hAnsi="Bookman Old Style" w:cs="Bookman Old Style"/>
          <w:sz w:val="24"/>
          <w:szCs w:val="24"/>
          <w:lang w:val="en-US"/>
        </w:rPr>
        <w:t>kodefikasi</w:t>
      </w:r>
      <w:r w:rsidR="00A954D0" w:rsidRPr="003255BC">
        <w:rPr>
          <w:rFonts w:ascii="Bookman Old Style" w:eastAsia="Bookman Old Style" w:hAnsi="Bookman Old Style" w:cs="Bookman Old Style"/>
          <w:sz w:val="24"/>
          <w:szCs w:val="24"/>
          <w:lang w:val="en-US"/>
        </w:rPr>
        <w:t xml:space="preserve"> </w:t>
      </w:r>
      <w:r w:rsidR="0075490B" w:rsidRPr="003255BC">
        <w:rPr>
          <w:rFonts w:ascii="Bookman Old Style" w:eastAsia="Bookman Old Style" w:hAnsi="Bookman Old Style" w:cs="Bookman Old Style"/>
          <w:sz w:val="24"/>
          <w:szCs w:val="24"/>
          <w:lang w:val="en-US"/>
        </w:rPr>
        <w:t>dan</w:t>
      </w:r>
      <w:r w:rsidR="00A954D0" w:rsidRPr="003255BC">
        <w:rPr>
          <w:rFonts w:ascii="Bookman Old Style" w:eastAsia="Bookman Old Style" w:hAnsi="Bookman Old Style" w:cs="Bookman Old Style"/>
          <w:sz w:val="24"/>
          <w:szCs w:val="24"/>
          <w:lang w:val="en-US"/>
        </w:rPr>
        <w:t xml:space="preserve"> </w:t>
      </w:r>
      <w:r w:rsidR="0075490B" w:rsidRPr="003255BC">
        <w:rPr>
          <w:rFonts w:ascii="Bookman Old Style" w:eastAsia="Bookman Old Style" w:hAnsi="Bookman Old Style" w:cs="Bookman Old Style"/>
          <w:sz w:val="24"/>
          <w:szCs w:val="24"/>
          <w:lang w:val="en-US"/>
        </w:rPr>
        <w:t>nomenklatur</w:t>
      </w:r>
      <w:r w:rsidR="00A954D0" w:rsidRPr="003255BC">
        <w:rPr>
          <w:rFonts w:ascii="Bookman Old Style" w:eastAsia="Bookman Old Style" w:hAnsi="Bookman Old Style" w:cs="Bookman Old Style"/>
          <w:sz w:val="24"/>
          <w:szCs w:val="24"/>
          <w:lang w:val="en-US"/>
        </w:rPr>
        <w:t xml:space="preserve"> </w:t>
      </w:r>
      <w:r w:rsidR="0075490B" w:rsidRPr="003255BC">
        <w:rPr>
          <w:rFonts w:ascii="Bookman Old Style" w:eastAsia="Bookman Old Style" w:hAnsi="Bookman Old Style" w:cs="Bookman Old Style"/>
          <w:sz w:val="24"/>
          <w:szCs w:val="24"/>
          <w:lang w:val="en-US"/>
        </w:rPr>
        <w:t>sesuai</w:t>
      </w:r>
      <w:r w:rsidR="00A954D0" w:rsidRPr="003255BC">
        <w:rPr>
          <w:rFonts w:ascii="Bookman Old Style" w:eastAsia="Bookman Old Style" w:hAnsi="Bookman Old Style" w:cs="Bookman Old Style"/>
          <w:sz w:val="24"/>
          <w:szCs w:val="24"/>
          <w:lang w:val="en-US"/>
        </w:rPr>
        <w:t xml:space="preserve"> </w:t>
      </w:r>
      <w:r w:rsidR="0075490B" w:rsidRPr="003255BC">
        <w:rPr>
          <w:rFonts w:ascii="Bookman Old Style" w:eastAsia="Bookman Old Style" w:hAnsi="Bookman Old Style" w:cs="Bookman Old Style"/>
          <w:sz w:val="24"/>
          <w:szCs w:val="24"/>
          <w:lang w:val="en-US"/>
        </w:rPr>
        <w:t>Uruan</w:t>
      </w:r>
      <w:r w:rsidR="00A954D0" w:rsidRPr="003255BC">
        <w:rPr>
          <w:rFonts w:ascii="Bookman Old Style" w:eastAsia="Bookman Old Style" w:hAnsi="Bookman Old Style" w:cs="Bookman Old Style"/>
          <w:sz w:val="24"/>
          <w:szCs w:val="24"/>
          <w:lang w:val="en-US"/>
        </w:rPr>
        <w:t xml:space="preserve"> </w:t>
      </w:r>
      <w:r w:rsidR="0075490B" w:rsidRPr="003255BC">
        <w:rPr>
          <w:rFonts w:ascii="Bookman Old Style" w:eastAsia="Bookman Old Style" w:hAnsi="Bookman Old Style" w:cs="Bookman Old Style"/>
          <w:sz w:val="24"/>
          <w:szCs w:val="24"/>
          <w:lang w:val="en-US"/>
        </w:rPr>
        <w:t>Pemerintahan</w:t>
      </w:r>
      <w:r w:rsidR="00A954D0" w:rsidRPr="003255BC">
        <w:rPr>
          <w:rFonts w:ascii="Bookman Old Style" w:eastAsia="Bookman Old Style" w:hAnsi="Bookman Old Style" w:cs="Bookman Old Style"/>
          <w:sz w:val="24"/>
          <w:szCs w:val="24"/>
          <w:lang w:val="en-US"/>
        </w:rPr>
        <w:t xml:space="preserve"> </w:t>
      </w:r>
      <w:r w:rsidR="0075490B" w:rsidRPr="003255BC">
        <w:rPr>
          <w:rFonts w:ascii="Bookman Old Style" w:eastAsia="Bookman Old Style" w:hAnsi="Bookman Old Style" w:cs="Bookman Old Style"/>
          <w:sz w:val="24"/>
          <w:szCs w:val="24"/>
          <w:lang w:val="en-US"/>
        </w:rPr>
        <w:t>Daerah.</w:t>
      </w:r>
      <w:r w:rsidR="00A954D0" w:rsidRPr="003255BC">
        <w:rPr>
          <w:rFonts w:ascii="Bookman Old Style" w:eastAsia="Bookman Old Style" w:hAnsi="Bookman Old Style" w:cs="Bookman Old Style"/>
          <w:sz w:val="24"/>
          <w:szCs w:val="24"/>
          <w:lang w:val="en-US"/>
        </w:rPr>
        <w:t xml:space="preserve"> </w:t>
      </w:r>
      <w:r w:rsidR="0075490B" w:rsidRPr="000B6378">
        <w:rPr>
          <w:rFonts w:ascii="Bookman Old Style" w:eastAsia="Bookman Old Style" w:hAnsi="Bookman Old Style" w:cs="Bookman Old Style"/>
          <w:sz w:val="24"/>
          <w:szCs w:val="24"/>
          <w:lang w:val="sv-FI"/>
        </w:rPr>
        <w:t>Selanjutnya</w:t>
      </w:r>
      <w:r w:rsidR="00A954D0">
        <w:rPr>
          <w:rFonts w:ascii="Bookman Old Style" w:eastAsia="Bookman Old Style" w:hAnsi="Bookman Old Style" w:cs="Bookman Old Style"/>
          <w:sz w:val="24"/>
          <w:szCs w:val="24"/>
          <w:lang w:val="sv-FI"/>
        </w:rPr>
        <w:t xml:space="preserve"> </w:t>
      </w:r>
      <w:r w:rsidRPr="000B6378">
        <w:rPr>
          <w:rFonts w:ascii="Bookman Old Style" w:eastAsia="Bookman Old Style" w:hAnsi="Bookman Old Style" w:cs="Bookman Old Style"/>
          <w:sz w:val="24"/>
          <w:szCs w:val="24"/>
          <w:lang w:val="sv-FI"/>
        </w:rPr>
        <w:t>Pemerintah</w:t>
      </w:r>
      <w:r w:rsidR="00A954D0">
        <w:rPr>
          <w:rFonts w:ascii="Bookman Old Style" w:eastAsia="Bookman Old Style" w:hAnsi="Bookman Old Style" w:cs="Bookman Old Style"/>
          <w:sz w:val="24"/>
          <w:szCs w:val="24"/>
          <w:lang w:val="sv-FI"/>
        </w:rPr>
        <w:t xml:space="preserve"> </w:t>
      </w:r>
      <w:r w:rsidRPr="000B6378">
        <w:rPr>
          <w:rFonts w:ascii="Bookman Old Style" w:eastAsia="Bookman Old Style" w:hAnsi="Bookman Old Style" w:cs="Bookman Old Style"/>
          <w:sz w:val="24"/>
          <w:szCs w:val="24"/>
          <w:lang w:val="sv-FI"/>
        </w:rPr>
        <w:t>Daerah</w:t>
      </w:r>
      <w:r w:rsidR="00A954D0">
        <w:rPr>
          <w:rFonts w:ascii="Bookman Old Style" w:eastAsia="Bookman Old Style" w:hAnsi="Bookman Old Style" w:cs="Bookman Old Style"/>
          <w:sz w:val="24"/>
          <w:szCs w:val="24"/>
          <w:lang w:val="sv-FI"/>
        </w:rPr>
        <w:t xml:space="preserve"> </w:t>
      </w:r>
      <w:r w:rsidRPr="000B6378">
        <w:rPr>
          <w:rFonts w:ascii="Bookman Old Style" w:hAnsi="Bookman Old Style"/>
          <w:sz w:val="24"/>
          <w:szCs w:val="24"/>
          <w:lang w:val="id-ID"/>
        </w:rPr>
        <w:t>Kota</w:t>
      </w:r>
      <w:r w:rsidR="00A954D0">
        <w:rPr>
          <w:rFonts w:ascii="Bookman Old Style" w:hAnsi="Bookman Old Style"/>
          <w:sz w:val="24"/>
          <w:szCs w:val="24"/>
          <w:lang w:val="id-ID"/>
        </w:rPr>
        <w:t xml:space="preserve"> </w:t>
      </w:r>
      <w:r w:rsidRPr="000B6378">
        <w:rPr>
          <w:rFonts w:ascii="Bookman Old Style" w:hAnsi="Bookman Old Style"/>
          <w:sz w:val="24"/>
          <w:szCs w:val="24"/>
          <w:lang w:val="id-ID"/>
        </w:rPr>
        <w:t>Tangerang</w:t>
      </w:r>
      <w:r w:rsidR="00A954D0">
        <w:rPr>
          <w:rFonts w:ascii="Bookman Old Style" w:hAnsi="Bookman Old Style"/>
          <w:sz w:val="24"/>
          <w:szCs w:val="24"/>
          <w:lang w:val="id-ID"/>
        </w:rPr>
        <w:t xml:space="preserve"> </w:t>
      </w:r>
      <w:r w:rsidR="0075490B" w:rsidRPr="000B6378">
        <w:rPr>
          <w:rFonts w:ascii="Bookman Old Style" w:hAnsi="Bookman Old Style"/>
          <w:sz w:val="24"/>
          <w:szCs w:val="24"/>
          <w:lang w:val="id-ID"/>
        </w:rPr>
        <w:t>agar</w:t>
      </w:r>
      <w:r w:rsidR="00A954D0">
        <w:rPr>
          <w:rFonts w:ascii="Bookman Old Style" w:hAnsi="Bookman Old Style"/>
          <w:sz w:val="24"/>
          <w:szCs w:val="24"/>
          <w:lang w:val="id-ID"/>
        </w:rPr>
        <w:t xml:space="preserve"> </w:t>
      </w:r>
      <w:r w:rsidRPr="000B6378">
        <w:rPr>
          <w:rFonts w:ascii="Bookman Old Style" w:eastAsia="Bookman Old Style" w:hAnsi="Bookman Old Style" w:cs="Bookman Old Style"/>
          <w:sz w:val="24"/>
          <w:szCs w:val="24"/>
          <w:lang w:val="sv-FI"/>
        </w:rPr>
        <w:t>mengalokasikan</w:t>
      </w:r>
      <w:r w:rsidR="00A954D0">
        <w:rPr>
          <w:rFonts w:ascii="Bookman Old Style" w:eastAsia="Bookman Old Style" w:hAnsi="Bookman Old Style" w:cs="Bookman Old Style"/>
          <w:sz w:val="24"/>
          <w:szCs w:val="24"/>
          <w:lang w:val="sv-FI"/>
        </w:rPr>
        <w:t xml:space="preserve"> </w:t>
      </w:r>
      <w:r w:rsidRPr="000B6378">
        <w:rPr>
          <w:rFonts w:ascii="Bookman Old Style" w:eastAsia="Bookman Old Style" w:hAnsi="Bookman Old Style" w:cs="Bookman Old Style"/>
          <w:sz w:val="24"/>
          <w:szCs w:val="24"/>
          <w:lang w:val="sv-FI"/>
        </w:rPr>
        <w:t>belanja</w:t>
      </w:r>
      <w:r w:rsidR="00A954D0">
        <w:rPr>
          <w:rFonts w:ascii="Bookman Old Style" w:eastAsia="Bookman Old Style" w:hAnsi="Bookman Old Style" w:cs="Bookman Old Style"/>
          <w:sz w:val="24"/>
          <w:szCs w:val="24"/>
          <w:lang w:val="sv-FI"/>
        </w:rPr>
        <w:t xml:space="preserve"> </w:t>
      </w:r>
      <w:r w:rsidRPr="000B6378">
        <w:rPr>
          <w:rFonts w:ascii="Bookman Old Style" w:eastAsia="Bookman Old Style" w:hAnsi="Bookman Old Style" w:cs="Bookman Old Style"/>
          <w:sz w:val="24"/>
          <w:szCs w:val="24"/>
          <w:lang w:val="sv-FI"/>
        </w:rPr>
        <w:t>daerah</w:t>
      </w:r>
      <w:r w:rsidR="00A954D0">
        <w:rPr>
          <w:rFonts w:ascii="Bookman Old Style" w:eastAsia="Bookman Old Style" w:hAnsi="Bookman Old Style" w:cs="Bookman Old Style"/>
          <w:sz w:val="24"/>
          <w:szCs w:val="24"/>
          <w:lang w:val="sv-FI"/>
        </w:rPr>
        <w:t xml:space="preserve"> </w:t>
      </w:r>
      <w:r w:rsidRPr="003255BC">
        <w:rPr>
          <w:rFonts w:ascii="Bookman Old Style" w:hAnsi="Bookman Old Style"/>
          <w:sz w:val="24"/>
          <w:szCs w:val="24"/>
          <w:lang w:val="sv-FI"/>
        </w:rPr>
        <w:t>dalam</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Rancangan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Peraturan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Daerah</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Kota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Tangerang</w:t>
      </w:r>
      <w:r w:rsidR="00A954D0">
        <w:rPr>
          <w:rFonts w:ascii="Bookman Old Style" w:hAnsi="Bookman Old Style"/>
          <w:sz w:val="24"/>
          <w:szCs w:val="24"/>
          <w:lang w:val="id-ID"/>
        </w:rPr>
        <w:t xml:space="preserve"> </w:t>
      </w:r>
      <w:r w:rsidRPr="003255BC">
        <w:rPr>
          <w:rFonts w:ascii="Bookman Old Style" w:hAnsi="Bookman Old Style"/>
          <w:sz w:val="24"/>
          <w:szCs w:val="24"/>
          <w:lang w:val="sv-FI"/>
        </w:rPr>
        <w:t>tentang</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APBD</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Tahun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Anggaran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2025,</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sebagai</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berikut:</w:t>
      </w:r>
    </w:p>
    <w:p w14:paraId="384EBA59" w14:textId="150168C1" w:rsidR="00080B19" w:rsidRPr="00080B19" w:rsidRDefault="00080B19" w:rsidP="00080B19">
      <w:pPr>
        <w:pStyle w:val="ListParagraph"/>
        <w:numPr>
          <w:ilvl w:val="0"/>
          <w:numId w:val="3"/>
        </w:numPr>
        <w:spacing w:before="60" w:after="0" w:line="276" w:lineRule="auto"/>
        <w:ind w:left="1701" w:hanging="441"/>
        <w:contextualSpacing w:val="0"/>
        <w:jc w:val="both"/>
        <w:rPr>
          <w:rFonts w:ascii="Bookman Old Style" w:hAnsi="Bookman Old Style"/>
          <w:sz w:val="24"/>
          <w:szCs w:val="24"/>
          <w:lang w:val="fi-FI"/>
        </w:rPr>
      </w:pPr>
      <w:r w:rsidRPr="00080B19">
        <w:rPr>
          <w:rFonts w:ascii="Bookman Old Style" w:hAnsi="Bookman Old Style"/>
          <w:sz w:val="24"/>
          <w:szCs w:val="24"/>
          <w:lang w:val="fi-FI"/>
        </w:rPr>
        <w:t>Untuk</w:t>
      </w:r>
      <w:r w:rsidR="00A954D0">
        <w:rPr>
          <w:rFonts w:ascii="Bookman Old Style" w:hAnsi="Bookman Old Style"/>
          <w:sz w:val="24"/>
          <w:szCs w:val="24"/>
          <w:lang w:val="fi-FI"/>
        </w:rPr>
        <w:t xml:space="preserve"> </w:t>
      </w:r>
      <w:r w:rsidRPr="00080B19">
        <w:rPr>
          <w:rFonts w:ascii="Bookman Old Style" w:hAnsi="Bookman Old Style"/>
          <w:sz w:val="24"/>
          <w:szCs w:val="24"/>
          <w:lang w:val="fi-FI"/>
        </w:rPr>
        <w:t>mendanai</w:t>
      </w:r>
      <w:r w:rsidR="00A954D0">
        <w:rPr>
          <w:rFonts w:ascii="Bookman Old Style" w:hAnsi="Bookman Old Style"/>
          <w:sz w:val="24"/>
          <w:szCs w:val="24"/>
          <w:lang w:val="fi-FI"/>
        </w:rPr>
        <w:t xml:space="preserve"> </w:t>
      </w:r>
      <w:r w:rsidRPr="00080B19">
        <w:rPr>
          <w:rFonts w:ascii="Bookman Old Style" w:hAnsi="Bookman Old Style"/>
          <w:sz w:val="24"/>
          <w:szCs w:val="24"/>
          <w:lang w:val="fi-FI"/>
        </w:rPr>
        <w:t>penyelenggaraan</w:t>
      </w:r>
      <w:r w:rsidR="00A954D0">
        <w:rPr>
          <w:rFonts w:ascii="Bookman Old Style" w:hAnsi="Bookman Old Style"/>
          <w:sz w:val="24"/>
          <w:szCs w:val="24"/>
          <w:lang w:val="fi-FI"/>
        </w:rPr>
        <w:t xml:space="preserve"> </w:t>
      </w:r>
      <w:r w:rsidRPr="00080B19">
        <w:rPr>
          <w:rFonts w:ascii="Bookman Old Style" w:hAnsi="Bookman Old Style"/>
          <w:sz w:val="24"/>
          <w:szCs w:val="24"/>
          <w:lang w:val="fi-FI"/>
        </w:rPr>
        <w:t>urusan</w:t>
      </w:r>
      <w:r w:rsidR="00A954D0">
        <w:rPr>
          <w:rFonts w:ascii="Bookman Old Style" w:hAnsi="Bookman Old Style"/>
          <w:sz w:val="24"/>
          <w:szCs w:val="24"/>
          <w:lang w:val="fi-FI"/>
        </w:rPr>
        <w:t xml:space="preserve"> </w:t>
      </w:r>
      <w:r w:rsidRPr="00080B19">
        <w:rPr>
          <w:rFonts w:ascii="Bookman Old Style" w:hAnsi="Bookman Old Style"/>
          <w:sz w:val="24"/>
          <w:szCs w:val="24"/>
          <w:lang w:val="fi-FI"/>
        </w:rPr>
        <w:t>pemerintahan</w:t>
      </w:r>
      <w:r w:rsidR="00A954D0">
        <w:rPr>
          <w:rFonts w:ascii="Bookman Old Style" w:hAnsi="Bookman Old Style"/>
          <w:sz w:val="24"/>
          <w:szCs w:val="24"/>
          <w:lang w:val="fi-FI"/>
        </w:rPr>
        <w:t xml:space="preserve"> </w:t>
      </w:r>
      <w:r w:rsidRPr="00080B19">
        <w:rPr>
          <w:rFonts w:ascii="Bookman Old Style" w:hAnsi="Bookman Old Style"/>
          <w:sz w:val="24"/>
          <w:szCs w:val="24"/>
          <w:lang w:val="fi-FI"/>
        </w:rPr>
        <w:t>yang</w:t>
      </w:r>
      <w:r w:rsidR="00A954D0">
        <w:rPr>
          <w:rFonts w:ascii="Bookman Old Style" w:hAnsi="Bookman Old Style"/>
          <w:sz w:val="24"/>
          <w:szCs w:val="24"/>
          <w:lang w:val="fi-FI"/>
        </w:rPr>
        <w:t xml:space="preserve"> </w:t>
      </w:r>
      <w:r w:rsidRPr="00080B19">
        <w:rPr>
          <w:rFonts w:ascii="Bookman Old Style" w:hAnsi="Bookman Old Style"/>
          <w:sz w:val="24"/>
          <w:szCs w:val="24"/>
          <w:lang w:val="fi-FI"/>
        </w:rPr>
        <w:t>menjadi</w:t>
      </w:r>
      <w:r w:rsidR="00A954D0">
        <w:rPr>
          <w:rFonts w:ascii="Bookman Old Style" w:hAnsi="Bookman Old Style"/>
          <w:sz w:val="24"/>
          <w:szCs w:val="24"/>
          <w:lang w:val="fi-FI"/>
        </w:rPr>
        <w:t xml:space="preserve"> </w:t>
      </w:r>
      <w:r w:rsidRPr="00080B19">
        <w:rPr>
          <w:rFonts w:ascii="Bookman Old Style" w:hAnsi="Bookman Old Style"/>
          <w:sz w:val="24"/>
          <w:szCs w:val="24"/>
          <w:lang w:val="fi-FI"/>
        </w:rPr>
        <w:t>kewenangan</w:t>
      </w:r>
      <w:r w:rsidR="00A954D0">
        <w:rPr>
          <w:rFonts w:ascii="Bookman Old Style" w:hAnsi="Bookman Old Style"/>
          <w:sz w:val="24"/>
          <w:szCs w:val="24"/>
          <w:lang w:val="fi-FI"/>
        </w:rPr>
        <w:t xml:space="preserve"> </w:t>
      </w:r>
      <w:r w:rsidRPr="00080B19">
        <w:rPr>
          <w:rFonts w:ascii="Bookman Old Style" w:hAnsi="Bookman Old Style"/>
          <w:sz w:val="24"/>
          <w:szCs w:val="24"/>
          <w:lang w:val="fi-FI"/>
        </w:rPr>
        <w:t>daerah</w:t>
      </w:r>
      <w:r w:rsidR="00A954D0">
        <w:rPr>
          <w:rFonts w:ascii="Bookman Old Style" w:hAnsi="Bookman Old Style"/>
          <w:sz w:val="24"/>
          <w:szCs w:val="24"/>
          <w:lang w:val="fi-FI"/>
        </w:rPr>
        <w:t xml:space="preserve"> </w:t>
      </w:r>
      <w:r w:rsidRPr="00080B19">
        <w:rPr>
          <w:rFonts w:ascii="Bookman Old Style" w:hAnsi="Bookman Old Style"/>
          <w:sz w:val="24"/>
          <w:szCs w:val="24"/>
          <w:lang w:val="fi-FI"/>
        </w:rPr>
        <w:t>sebagaimana</w:t>
      </w:r>
      <w:r w:rsidR="00A954D0">
        <w:rPr>
          <w:rFonts w:ascii="Bookman Old Style" w:hAnsi="Bookman Old Style"/>
          <w:sz w:val="24"/>
          <w:szCs w:val="24"/>
          <w:lang w:val="fi-FI"/>
        </w:rPr>
        <w:t xml:space="preserve"> </w:t>
      </w:r>
      <w:r w:rsidRPr="00080B19">
        <w:rPr>
          <w:rFonts w:ascii="Bookman Old Style" w:hAnsi="Bookman Old Style"/>
          <w:sz w:val="24"/>
          <w:szCs w:val="24"/>
          <w:lang w:val="fi-FI"/>
        </w:rPr>
        <w:t>maksud</w:t>
      </w:r>
      <w:r w:rsidR="00A954D0">
        <w:rPr>
          <w:rFonts w:ascii="Bookman Old Style" w:hAnsi="Bookman Old Style"/>
          <w:sz w:val="24"/>
          <w:szCs w:val="24"/>
          <w:lang w:val="fi-FI"/>
        </w:rPr>
        <w:t xml:space="preserve"> </w:t>
      </w:r>
      <w:r w:rsidRPr="00080B19">
        <w:rPr>
          <w:rFonts w:ascii="Bookman Old Style" w:hAnsi="Bookman Old Style"/>
          <w:sz w:val="24"/>
          <w:szCs w:val="24"/>
          <w:lang w:val="fi-FI"/>
        </w:rPr>
        <w:t>Pasal</w:t>
      </w:r>
      <w:r w:rsidR="00A954D0">
        <w:rPr>
          <w:rFonts w:ascii="Bookman Old Style" w:hAnsi="Bookman Old Style"/>
          <w:sz w:val="24"/>
          <w:szCs w:val="24"/>
          <w:lang w:val="fi-FI"/>
        </w:rPr>
        <w:t xml:space="preserve"> </w:t>
      </w:r>
      <w:r w:rsidRPr="00080B19">
        <w:rPr>
          <w:rFonts w:ascii="Bookman Old Style" w:hAnsi="Bookman Old Style"/>
          <w:sz w:val="24"/>
          <w:szCs w:val="24"/>
          <w:lang w:val="fi-FI"/>
        </w:rPr>
        <w:t>282</w:t>
      </w:r>
      <w:r w:rsidR="00A954D0">
        <w:rPr>
          <w:rFonts w:ascii="Bookman Old Style" w:hAnsi="Bookman Old Style"/>
          <w:sz w:val="24"/>
          <w:szCs w:val="24"/>
          <w:lang w:val="fi-FI"/>
        </w:rPr>
        <w:t xml:space="preserve"> </w:t>
      </w:r>
      <w:r w:rsidRPr="00080B19">
        <w:rPr>
          <w:rFonts w:ascii="Bookman Old Style" w:hAnsi="Bookman Old Style"/>
          <w:sz w:val="24"/>
          <w:szCs w:val="24"/>
          <w:shd w:val="clear" w:color="auto" w:fill="FFFFFF" w:themeFill="background1"/>
          <w:lang w:val="fi-FI"/>
        </w:rPr>
        <w:t>ayat</w:t>
      </w:r>
      <w:r w:rsidR="00A954D0">
        <w:rPr>
          <w:rFonts w:ascii="Bookman Old Style" w:hAnsi="Bookman Old Style"/>
          <w:sz w:val="24"/>
          <w:szCs w:val="24"/>
          <w:shd w:val="clear" w:color="auto" w:fill="FFFFFF" w:themeFill="background1"/>
          <w:lang w:val="fi-FI"/>
        </w:rPr>
        <w:t xml:space="preserve"> </w:t>
      </w:r>
      <w:r w:rsidRPr="00080B19">
        <w:rPr>
          <w:rFonts w:ascii="Bookman Old Style" w:hAnsi="Bookman Old Style"/>
          <w:sz w:val="24"/>
          <w:szCs w:val="24"/>
          <w:shd w:val="clear" w:color="auto" w:fill="FFFFFF" w:themeFill="background1"/>
          <w:lang w:val="fi-FI"/>
        </w:rPr>
        <w:t>(1)</w:t>
      </w:r>
      <w:r w:rsidR="00A954D0">
        <w:rPr>
          <w:rFonts w:ascii="Bookman Old Style" w:hAnsi="Bookman Old Style"/>
          <w:sz w:val="24"/>
          <w:szCs w:val="24"/>
          <w:shd w:val="clear" w:color="auto" w:fill="FFFFFF" w:themeFill="background1"/>
          <w:lang w:val="fi-FI"/>
        </w:rPr>
        <w:t xml:space="preserve"> </w:t>
      </w:r>
      <w:r w:rsidRPr="00080B19">
        <w:rPr>
          <w:rFonts w:ascii="Bookman Old Style" w:hAnsi="Bookman Old Style"/>
          <w:sz w:val="24"/>
          <w:szCs w:val="24"/>
          <w:shd w:val="clear" w:color="auto" w:fill="FFFFFF" w:themeFill="background1"/>
          <w:lang w:val="fi-FI"/>
        </w:rPr>
        <w:t>Undang-Undang</w:t>
      </w:r>
      <w:r w:rsidR="00A954D0">
        <w:rPr>
          <w:rFonts w:ascii="Bookman Old Style" w:hAnsi="Bookman Old Style"/>
          <w:sz w:val="24"/>
          <w:szCs w:val="24"/>
          <w:shd w:val="clear" w:color="auto" w:fill="FFFFFF" w:themeFill="background1"/>
          <w:lang w:val="fi-FI"/>
        </w:rPr>
        <w:t xml:space="preserve"> </w:t>
      </w:r>
      <w:r w:rsidRPr="00080B19">
        <w:rPr>
          <w:rFonts w:ascii="Bookman Old Style" w:hAnsi="Bookman Old Style"/>
          <w:sz w:val="24"/>
          <w:szCs w:val="24"/>
          <w:shd w:val="clear" w:color="auto" w:fill="FFFFFF" w:themeFill="background1"/>
          <w:lang w:val="fi-FI"/>
        </w:rPr>
        <w:t>Nomor</w:t>
      </w:r>
      <w:r w:rsidR="00A954D0">
        <w:rPr>
          <w:rFonts w:ascii="Bookman Old Style" w:hAnsi="Bookman Old Style"/>
          <w:sz w:val="24"/>
          <w:szCs w:val="24"/>
          <w:shd w:val="clear" w:color="auto" w:fill="FFFFFF" w:themeFill="background1"/>
          <w:lang w:val="fi-FI"/>
        </w:rPr>
        <w:t xml:space="preserve"> </w:t>
      </w:r>
      <w:r w:rsidRPr="00080B19">
        <w:rPr>
          <w:rFonts w:ascii="Bookman Old Style" w:hAnsi="Bookman Old Style"/>
          <w:sz w:val="24"/>
          <w:szCs w:val="24"/>
          <w:shd w:val="clear" w:color="auto" w:fill="FFFFFF" w:themeFill="background1"/>
          <w:lang w:val="fi-FI"/>
        </w:rPr>
        <w:t>23</w:t>
      </w:r>
      <w:r w:rsidR="00A954D0">
        <w:rPr>
          <w:rFonts w:ascii="Bookman Old Style" w:hAnsi="Bookman Old Style"/>
          <w:sz w:val="24"/>
          <w:szCs w:val="24"/>
          <w:shd w:val="clear" w:color="auto" w:fill="FFFFFF" w:themeFill="background1"/>
          <w:lang w:val="fi-FI"/>
        </w:rPr>
        <w:t xml:space="preserve"> </w:t>
      </w:r>
      <w:r w:rsidRPr="00080B19">
        <w:rPr>
          <w:rFonts w:ascii="Bookman Old Style" w:hAnsi="Bookman Old Style"/>
          <w:sz w:val="24"/>
          <w:szCs w:val="24"/>
          <w:shd w:val="clear" w:color="auto" w:fill="FFFFFF" w:themeFill="background1"/>
          <w:lang w:val="fi-FI"/>
        </w:rPr>
        <w:t>Tahun</w:t>
      </w:r>
      <w:r w:rsidR="00A954D0">
        <w:rPr>
          <w:rFonts w:ascii="Bookman Old Style" w:hAnsi="Bookman Old Style"/>
          <w:sz w:val="24"/>
          <w:szCs w:val="24"/>
          <w:shd w:val="clear" w:color="auto" w:fill="FFFFFF" w:themeFill="background1"/>
          <w:lang w:val="fi-FI"/>
        </w:rPr>
        <w:t xml:space="preserve"> </w:t>
      </w:r>
      <w:r w:rsidRPr="00080B19">
        <w:rPr>
          <w:rFonts w:ascii="Bookman Old Style" w:hAnsi="Bookman Old Style"/>
          <w:sz w:val="24"/>
          <w:szCs w:val="24"/>
          <w:shd w:val="clear" w:color="auto" w:fill="FFFFFF" w:themeFill="background1"/>
          <w:lang w:val="fi-FI"/>
        </w:rPr>
        <w:t>2014</w:t>
      </w:r>
      <w:r w:rsidRPr="00080B19">
        <w:rPr>
          <w:rFonts w:ascii="Bookman Old Style" w:hAnsi="Bookman Old Style" w:cs="Arial"/>
          <w:sz w:val="24"/>
          <w:szCs w:val="24"/>
        </w:rPr>
        <w:t>,</w:t>
      </w:r>
      <w:r w:rsidR="00A954D0">
        <w:rPr>
          <w:rFonts w:ascii="Bookman Old Style" w:hAnsi="Bookman Old Style" w:cs="Arial"/>
          <w:sz w:val="24"/>
          <w:szCs w:val="24"/>
        </w:rPr>
        <w:t xml:space="preserve"> </w:t>
      </w:r>
      <w:r w:rsidRPr="00080B19">
        <w:rPr>
          <w:rFonts w:ascii="Bookman Old Style" w:hAnsi="Bookman Old Style"/>
          <w:spacing w:val="-4"/>
          <w:sz w:val="24"/>
          <w:szCs w:val="24"/>
        </w:rPr>
        <w:t>sebagaimana</w:t>
      </w:r>
      <w:r w:rsidR="00A954D0">
        <w:rPr>
          <w:rFonts w:ascii="Bookman Old Style" w:hAnsi="Bookman Old Style"/>
          <w:spacing w:val="-4"/>
          <w:sz w:val="24"/>
          <w:szCs w:val="24"/>
        </w:rPr>
        <w:t xml:space="preserve"> </w:t>
      </w:r>
      <w:r w:rsidRPr="00080B19">
        <w:rPr>
          <w:rFonts w:ascii="Bookman Old Style" w:hAnsi="Bookman Old Style" w:cs="Arial"/>
          <w:spacing w:val="-6"/>
          <w:sz w:val="24"/>
          <w:szCs w:val="24"/>
        </w:rPr>
        <w:t>telah</w:t>
      </w:r>
      <w:r w:rsidR="00A954D0">
        <w:rPr>
          <w:rFonts w:ascii="Bookman Old Style" w:hAnsi="Bookman Old Style" w:cs="Arial"/>
          <w:spacing w:val="-6"/>
          <w:sz w:val="24"/>
          <w:szCs w:val="24"/>
        </w:rPr>
        <w:t xml:space="preserve"> </w:t>
      </w:r>
      <w:r w:rsidRPr="00080B19">
        <w:rPr>
          <w:rFonts w:ascii="Bookman Old Style" w:hAnsi="Bookman Old Style" w:cs="Arial"/>
          <w:spacing w:val="-6"/>
          <w:sz w:val="24"/>
          <w:szCs w:val="24"/>
        </w:rPr>
        <w:t>beberapa</w:t>
      </w:r>
      <w:r w:rsidR="00A954D0">
        <w:rPr>
          <w:rFonts w:ascii="Bookman Old Style" w:hAnsi="Bookman Old Style" w:cs="Arial"/>
          <w:spacing w:val="-6"/>
          <w:sz w:val="24"/>
          <w:szCs w:val="24"/>
        </w:rPr>
        <w:t xml:space="preserve"> </w:t>
      </w:r>
      <w:r w:rsidRPr="00080B19">
        <w:rPr>
          <w:rFonts w:ascii="Bookman Old Style" w:hAnsi="Bookman Old Style" w:cs="Arial"/>
          <w:spacing w:val="-6"/>
          <w:sz w:val="24"/>
          <w:szCs w:val="24"/>
        </w:rPr>
        <w:t>kali</w:t>
      </w:r>
      <w:r w:rsidR="00A954D0">
        <w:rPr>
          <w:rFonts w:ascii="Bookman Old Style" w:hAnsi="Bookman Old Style" w:cs="Arial"/>
          <w:spacing w:val="-6"/>
          <w:sz w:val="24"/>
          <w:szCs w:val="24"/>
        </w:rPr>
        <w:t xml:space="preserve"> </w:t>
      </w:r>
      <w:r w:rsidRPr="00080B19">
        <w:rPr>
          <w:rFonts w:ascii="Bookman Old Style" w:hAnsi="Bookman Old Style" w:cs="Arial"/>
          <w:spacing w:val="-6"/>
          <w:sz w:val="24"/>
          <w:szCs w:val="24"/>
        </w:rPr>
        <w:t>diubah</w:t>
      </w:r>
      <w:r w:rsidR="00A954D0">
        <w:rPr>
          <w:rFonts w:ascii="Bookman Old Style" w:hAnsi="Bookman Old Style" w:cs="Arial"/>
          <w:spacing w:val="-6"/>
          <w:sz w:val="24"/>
          <w:szCs w:val="24"/>
        </w:rPr>
        <w:t xml:space="preserve"> </w:t>
      </w:r>
      <w:r w:rsidRPr="00080B19">
        <w:rPr>
          <w:rFonts w:ascii="Bookman Old Style" w:hAnsi="Bookman Old Style" w:cs="Arial"/>
          <w:spacing w:val="-6"/>
          <w:sz w:val="24"/>
          <w:szCs w:val="24"/>
        </w:rPr>
        <w:t>terakhir</w:t>
      </w:r>
      <w:r w:rsidR="00A954D0">
        <w:rPr>
          <w:rFonts w:ascii="Bookman Old Style" w:hAnsi="Bookman Old Style" w:cs="Arial"/>
          <w:spacing w:val="-6"/>
          <w:sz w:val="24"/>
          <w:szCs w:val="24"/>
        </w:rPr>
        <w:t xml:space="preserve"> </w:t>
      </w:r>
      <w:r w:rsidRPr="00080B19">
        <w:rPr>
          <w:rFonts w:ascii="Bookman Old Style" w:hAnsi="Bookman Old Style"/>
          <w:spacing w:val="-4"/>
          <w:sz w:val="24"/>
          <w:szCs w:val="24"/>
        </w:rPr>
        <w:t>dengan</w:t>
      </w:r>
      <w:r w:rsidR="00A954D0">
        <w:rPr>
          <w:rFonts w:ascii="Bookman Old Style" w:hAnsi="Bookman Old Style"/>
          <w:spacing w:val="-4"/>
          <w:sz w:val="24"/>
          <w:szCs w:val="24"/>
        </w:rPr>
        <w:t xml:space="preserve"> </w:t>
      </w:r>
      <w:r w:rsidRPr="00080B19">
        <w:rPr>
          <w:rFonts w:ascii="Bookman Old Style" w:hAnsi="Bookman Old Style"/>
          <w:spacing w:val="-4"/>
          <w:sz w:val="24"/>
          <w:szCs w:val="24"/>
        </w:rPr>
        <w:t>Undang-Undang</w:t>
      </w:r>
      <w:r w:rsidR="00A954D0">
        <w:rPr>
          <w:rFonts w:ascii="Bookman Old Style" w:hAnsi="Bookman Old Style"/>
          <w:spacing w:val="-4"/>
          <w:sz w:val="24"/>
          <w:szCs w:val="24"/>
        </w:rPr>
        <w:t xml:space="preserve"> </w:t>
      </w:r>
      <w:r w:rsidRPr="00080B19">
        <w:rPr>
          <w:rFonts w:ascii="Bookman Old Style" w:hAnsi="Bookman Old Style"/>
          <w:spacing w:val="-4"/>
          <w:sz w:val="24"/>
          <w:szCs w:val="24"/>
        </w:rPr>
        <w:t>Nomor</w:t>
      </w:r>
      <w:r w:rsidR="00A954D0">
        <w:rPr>
          <w:rFonts w:ascii="Bookman Old Style" w:hAnsi="Bookman Old Style"/>
          <w:spacing w:val="-4"/>
          <w:sz w:val="24"/>
          <w:szCs w:val="24"/>
        </w:rPr>
        <w:t xml:space="preserve"> </w:t>
      </w:r>
      <w:r w:rsidRPr="00080B19">
        <w:rPr>
          <w:rFonts w:ascii="Bookman Old Style" w:hAnsi="Bookman Old Style"/>
          <w:spacing w:val="-4"/>
          <w:sz w:val="24"/>
          <w:szCs w:val="24"/>
        </w:rPr>
        <w:t>6</w:t>
      </w:r>
      <w:r w:rsidR="00A954D0">
        <w:rPr>
          <w:rFonts w:ascii="Bookman Old Style" w:hAnsi="Bookman Old Style"/>
          <w:spacing w:val="-4"/>
          <w:sz w:val="24"/>
          <w:szCs w:val="24"/>
        </w:rPr>
        <w:t xml:space="preserve"> </w:t>
      </w:r>
      <w:r w:rsidRPr="00080B19">
        <w:rPr>
          <w:rFonts w:ascii="Bookman Old Style" w:hAnsi="Bookman Old Style"/>
          <w:spacing w:val="-4"/>
          <w:sz w:val="24"/>
          <w:szCs w:val="24"/>
        </w:rPr>
        <w:t>Tahun</w:t>
      </w:r>
      <w:r w:rsidR="00A954D0">
        <w:rPr>
          <w:rFonts w:ascii="Bookman Old Style" w:hAnsi="Bookman Old Style"/>
          <w:spacing w:val="-4"/>
          <w:sz w:val="24"/>
          <w:szCs w:val="24"/>
        </w:rPr>
        <w:t xml:space="preserve"> </w:t>
      </w:r>
      <w:r w:rsidRPr="00080B19">
        <w:rPr>
          <w:rFonts w:ascii="Bookman Old Style" w:hAnsi="Bookman Old Style"/>
          <w:spacing w:val="-4"/>
          <w:sz w:val="24"/>
          <w:szCs w:val="24"/>
        </w:rPr>
        <w:t>2023</w:t>
      </w:r>
      <w:r w:rsidRPr="00080B19">
        <w:rPr>
          <w:rFonts w:ascii="Bookman Old Style" w:hAnsi="Bookman Old Style"/>
          <w:sz w:val="24"/>
          <w:szCs w:val="24"/>
          <w:shd w:val="clear" w:color="auto" w:fill="FFFFFF" w:themeFill="background1"/>
          <w:lang w:val="id-ID"/>
        </w:rPr>
        <w:t>;</w:t>
      </w:r>
    </w:p>
    <w:p w14:paraId="3B0B5FCF" w14:textId="2A3628A9" w:rsidR="00F72FA2" w:rsidRPr="00080B19" w:rsidRDefault="00080B19" w:rsidP="00080B19">
      <w:pPr>
        <w:pStyle w:val="ListParagraph"/>
        <w:numPr>
          <w:ilvl w:val="0"/>
          <w:numId w:val="3"/>
        </w:numPr>
        <w:spacing w:before="60" w:after="0" w:line="276" w:lineRule="auto"/>
        <w:ind w:left="1701" w:hanging="441"/>
        <w:contextualSpacing w:val="0"/>
        <w:jc w:val="both"/>
        <w:rPr>
          <w:rFonts w:ascii="Bookman Old Style" w:hAnsi="Bookman Old Style"/>
          <w:sz w:val="24"/>
          <w:szCs w:val="24"/>
        </w:rPr>
      </w:pPr>
      <w:r w:rsidRPr="00080B19">
        <w:rPr>
          <w:rFonts w:ascii="Bookman Old Style" w:hAnsi="Bookman Old Style"/>
          <w:sz w:val="24"/>
          <w:szCs w:val="24"/>
          <w:lang w:val="sv-FI"/>
        </w:rPr>
        <w:t>Disesuaikan</w:t>
      </w:r>
      <w:r w:rsidR="00A954D0">
        <w:rPr>
          <w:rFonts w:ascii="Bookman Old Style" w:hAnsi="Bookman Old Style"/>
          <w:sz w:val="24"/>
          <w:szCs w:val="24"/>
          <w:lang w:val="sv-FI"/>
        </w:rPr>
        <w:t xml:space="preserve"> </w:t>
      </w:r>
      <w:r w:rsidRPr="00080B19">
        <w:rPr>
          <w:rFonts w:ascii="Bookman Old Style" w:hAnsi="Bookman Old Style"/>
          <w:sz w:val="24"/>
          <w:szCs w:val="24"/>
          <w:lang w:val="sv-FI"/>
        </w:rPr>
        <w:t>dengan</w:t>
      </w:r>
      <w:r w:rsidR="00A954D0">
        <w:rPr>
          <w:rFonts w:ascii="Bookman Old Style" w:hAnsi="Bookman Old Style"/>
          <w:sz w:val="24"/>
          <w:szCs w:val="24"/>
          <w:lang w:val="sv-FI"/>
        </w:rPr>
        <w:t xml:space="preserve"> </w:t>
      </w:r>
      <w:r w:rsidRPr="00080B19">
        <w:rPr>
          <w:rFonts w:ascii="Bookman Old Style" w:hAnsi="Bookman Old Style"/>
          <w:sz w:val="24"/>
          <w:szCs w:val="24"/>
          <w:lang w:val="sv-FI"/>
        </w:rPr>
        <w:t>susunan</w:t>
      </w:r>
      <w:r w:rsidR="00A954D0">
        <w:rPr>
          <w:rFonts w:ascii="Bookman Old Style" w:hAnsi="Bookman Old Style"/>
          <w:sz w:val="24"/>
          <w:szCs w:val="24"/>
          <w:lang w:val="sv-FI"/>
        </w:rPr>
        <w:t xml:space="preserve"> </w:t>
      </w:r>
      <w:r w:rsidRPr="00080B19">
        <w:rPr>
          <w:rFonts w:ascii="Bookman Old Style" w:hAnsi="Bookman Old Style"/>
          <w:sz w:val="24"/>
          <w:szCs w:val="24"/>
          <w:lang w:val="sv-FI"/>
        </w:rPr>
        <w:t>organisasi</w:t>
      </w:r>
      <w:r w:rsidR="00A954D0">
        <w:rPr>
          <w:rFonts w:ascii="Bookman Old Style" w:hAnsi="Bookman Old Style"/>
          <w:sz w:val="24"/>
          <w:szCs w:val="24"/>
          <w:lang w:val="sv-FI"/>
        </w:rPr>
        <w:t xml:space="preserve"> </w:t>
      </w:r>
      <w:r w:rsidRPr="00080B19">
        <w:rPr>
          <w:rFonts w:ascii="Bookman Old Style" w:hAnsi="Bookman Old Style"/>
          <w:sz w:val="24"/>
          <w:szCs w:val="24"/>
          <w:lang w:val="sv-FI"/>
        </w:rPr>
        <w:t>yang</w:t>
      </w:r>
      <w:r w:rsidR="00A954D0">
        <w:rPr>
          <w:rFonts w:ascii="Bookman Old Style" w:hAnsi="Bookman Old Style"/>
          <w:sz w:val="24"/>
          <w:szCs w:val="24"/>
          <w:lang w:val="sv-FI"/>
        </w:rPr>
        <w:t xml:space="preserve"> </w:t>
      </w:r>
      <w:r w:rsidRPr="00080B19">
        <w:rPr>
          <w:rFonts w:ascii="Bookman Old Style" w:hAnsi="Bookman Old Style"/>
          <w:sz w:val="24"/>
          <w:szCs w:val="24"/>
          <w:lang w:val="sv-FI"/>
        </w:rPr>
        <w:t>ditetapkan</w:t>
      </w:r>
      <w:r w:rsidR="00A954D0">
        <w:rPr>
          <w:rFonts w:ascii="Bookman Old Style" w:hAnsi="Bookman Old Style"/>
          <w:sz w:val="24"/>
          <w:szCs w:val="24"/>
          <w:lang w:val="sv-FI"/>
        </w:rPr>
        <w:t xml:space="preserve"> </w:t>
      </w:r>
      <w:r w:rsidRPr="00080B19">
        <w:rPr>
          <w:rFonts w:ascii="Bookman Old Style" w:hAnsi="Bookman Old Style"/>
          <w:sz w:val="24"/>
          <w:szCs w:val="24"/>
          <w:lang w:val="sv-FI"/>
        </w:rPr>
        <w:t>berdasarkan</w:t>
      </w:r>
      <w:r w:rsidR="00A954D0">
        <w:rPr>
          <w:rFonts w:ascii="Bookman Old Style" w:hAnsi="Bookman Old Style"/>
          <w:sz w:val="24"/>
          <w:szCs w:val="24"/>
          <w:lang w:val="sv-FI"/>
        </w:rPr>
        <w:t xml:space="preserve"> </w:t>
      </w:r>
      <w:r w:rsidRPr="00080B19">
        <w:rPr>
          <w:rFonts w:ascii="Bookman Old Style" w:hAnsi="Bookman Old Style"/>
          <w:sz w:val="24"/>
          <w:szCs w:val="24"/>
          <w:lang w:val="sv-FI"/>
        </w:rPr>
        <w:t>ketentuan</w:t>
      </w:r>
      <w:r w:rsidR="00A954D0">
        <w:rPr>
          <w:rFonts w:ascii="Bookman Old Style" w:hAnsi="Bookman Old Style"/>
          <w:sz w:val="24"/>
          <w:szCs w:val="24"/>
          <w:lang w:val="sv-FI"/>
        </w:rPr>
        <w:t xml:space="preserve"> </w:t>
      </w:r>
      <w:r w:rsidRPr="00080B19">
        <w:rPr>
          <w:rFonts w:ascii="Bookman Old Style" w:hAnsi="Bookman Old Style"/>
          <w:sz w:val="24"/>
          <w:szCs w:val="24"/>
          <w:lang w:val="sv-FI"/>
        </w:rPr>
        <w:t>peraturan</w:t>
      </w:r>
      <w:r w:rsidR="00A954D0">
        <w:rPr>
          <w:rFonts w:ascii="Bookman Old Style" w:hAnsi="Bookman Old Style"/>
          <w:sz w:val="24"/>
          <w:szCs w:val="24"/>
          <w:lang w:val="sv-FI"/>
        </w:rPr>
        <w:t xml:space="preserve"> </w:t>
      </w:r>
      <w:r w:rsidRPr="00080B19">
        <w:rPr>
          <w:rFonts w:ascii="Bookman Old Style" w:hAnsi="Bookman Old Style"/>
          <w:sz w:val="24"/>
          <w:szCs w:val="24"/>
          <w:lang w:val="sv-FI"/>
        </w:rPr>
        <w:t>perundang-undangan</w:t>
      </w:r>
      <w:r w:rsidR="00A954D0">
        <w:rPr>
          <w:rFonts w:ascii="Bookman Old Style" w:hAnsi="Bookman Old Style"/>
          <w:sz w:val="24"/>
          <w:szCs w:val="24"/>
          <w:lang w:val="sv-FI"/>
        </w:rPr>
        <w:t xml:space="preserve"> </w:t>
      </w:r>
      <w:r w:rsidRPr="00080B19">
        <w:rPr>
          <w:rFonts w:ascii="Bookman Old Style" w:hAnsi="Bookman Old Style"/>
          <w:sz w:val="24"/>
          <w:szCs w:val="24"/>
          <w:lang w:val="sv-FI"/>
        </w:rPr>
        <w:t>sebagaimana</w:t>
      </w:r>
      <w:r w:rsidR="00A954D0">
        <w:rPr>
          <w:rFonts w:ascii="Bookman Old Style" w:hAnsi="Bookman Old Style"/>
          <w:sz w:val="24"/>
          <w:szCs w:val="24"/>
          <w:lang w:val="sv-FI"/>
        </w:rPr>
        <w:t xml:space="preserve"> </w:t>
      </w:r>
      <w:r w:rsidRPr="00080B19">
        <w:rPr>
          <w:rFonts w:ascii="Bookman Old Style" w:hAnsi="Bookman Old Style"/>
          <w:sz w:val="24"/>
          <w:szCs w:val="24"/>
          <w:lang w:val="sv-FI"/>
        </w:rPr>
        <w:t>maksud</w:t>
      </w:r>
      <w:r w:rsidR="00A954D0">
        <w:rPr>
          <w:rFonts w:ascii="Bookman Old Style" w:hAnsi="Bookman Old Style"/>
          <w:sz w:val="24"/>
          <w:szCs w:val="24"/>
          <w:lang w:val="sv-FI"/>
        </w:rPr>
        <w:t xml:space="preserve"> </w:t>
      </w:r>
      <w:r w:rsidRPr="00080B19">
        <w:rPr>
          <w:rFonts w:ascii="Bookman Old Style" w:hAnsi="Bookman Old Style"/>
          <w:sz w:val="24"/>
          <w:szCs w:val="24"/>
          <w:lang w:val="sv-FI"/>
        </w:rPr>
        <w:t>Pasal</w:t>
      </w:r>
      <w:r w:rsidR="00A954D0">
        <w:rPr>
          <w:rFonts w:ascii="Bookman Old Style" w:hAnsi="Bookman Old Style"/>
          <w:sz w:val="24"/>
          <w:szCs w:val="24"/>
          <w:lang w:val="sv-FI"/>
        </w:rPr>
        <w:t xml:space="preserve"> </w:t>
      </w:r>
      <w:r w:rsidRPr="00080B19">
        <w:rPr>
          <w:rFonts w:ascii="Bookman Old Style" w:hAnsi="Bookman Old Style"/>
          <w:sz w:val="24"/>
          <w:szCs w:val="24"/>
          <w:lang w:val="sv-FI"/>
        </w:rPr>
        <w:t>53</w:t>
      </w:r>
      <w:r w:rsidR="00A954D0">
        <w:rPr>
          <w:rFonts w:ascii="Bookman Old Style" w:hAnsi="Bookman Old Style"/>
          <w:sz w:val="24"/>
          <w:szCs w:val="24"/>
          <w:lang w:val="sv-FI"/>
        </w:rPr>
        <w:t xml:space="preserve"> </w:t>
      </w:r>
      <w:r w:rsidRPr="00080B19">
        <w:rPr>
          <w:rFonts w:ascii="Bookman Old Style" w:hAnsi="Bookman Old Style"/>
          <w:sz w:val="24"/>
          <w:szCs w:val="24"/>
          <w:lang w:val="sv-FI"/>
        </w:rPr>
        <w:t>Peraturan</w:t>
      </w:r>
      <w:r w:rsidR="00A954D0">
        <w:rPr>
          <w:rFonts w:ascii="Bookman Old Style" w:hAnsi="Bookman Old Style"/>
          <w:sz w:val="24"/>
          <w:szCs w:val="24"/>
          <w:lang w:val="sv-FI"/>
        </w:rPr>
        <w:t xml:space="preserve"> </w:t>
      </w:r>
      <w:r w:rsidRPr="00080B19">
        <w:rPr>
          <w:rFonts w:ascii="Bookman Old Style" w:hAnsi="Bookman Old Style"/>
          <w:sz w:val="24"/>
          <w:szCs w:val="24"/>
          <w:lang w:val="sv-FI"/>
        </w:rPr>
        <w:t>Pemerintah</w:t>
      </w:r>
      <w:r w:rsidR="00A954D0">
        <w:rPr>
          <w:rFonts w:ascii="Bookman Old Style" w:hAnsi="Bookman Old Style"/>
          <w:sz w:val="24"/>
          <w:szCs w:val="24"/>
          <w:lang w:val="sv-FI"/>
        </w:rPr>
        <w:t xml:space="preserve"> </w:t>
      </w:r>
      <w:r w:rsidRPr="00080B19">
        <w:rPr>
          <w:rFonts w:ascii="Bookman Old Style" w:hAnsi="Bookman Old Style"/>
          <w:sz w:val="24"/>
          <w:szCs w:val="24"/>
          <w:lang w:val="sv-FI"/>
        </w:rPr>
        <w:t>Nomor</w:t>
      </w:r>
      <w:r w:rsidR="00A954D0">
        <w:rPr>
          <w:rFonts w:ascii="Bookman Old Style" w:hAnsi="Bookman Old Style"/>
          <w:sz w:val="24"/>
          <w:szCs w:val="24"/>
          <w:lang w:val="sv-FI"/>
        </w:rPr>
        <w:t xml:space="preserve"> </w:t>
      </w:r>
      <w:r w:rsidRPr="00080B19">
        <w:rPr>
          <w:rFonts w:ascii="Bookman Old Style" w:hAnsi="Bookman Old Style"/>
          <w:sz w:val="24"/>
          <w:szCs w:val="24"/>
          <w:lang w:val="sv-FI"/>
        </w:rPr>
        <w:t>12</w:t>
      </w:r>
      <w:r w:rsidR="00A954D0">
        <w:rPr>
          <w:rFonts w:ascii="Bookman Old Style" w:hAnsi="Bookman Old Style"/>
          <w:sz w:val="24"/>
          <w:szCs w:val="24"/>
          <w:lang w:val="sv-FI"/>
        </w:rPr>
        <w:t xml:space="preserve"> </w:t>
      </w:r>
      <w:r w:rsidRPr="00080B19">
        <w:rPr>
          <w:rFonts w:ascii="Bookman Old Style" w:hAnsi="Bookman Old Style"/>
          <w:sz w:val="24"/>
          <w:szCs w:val="24"/>
          <w:lang w:val="sv-FI"/>
        </w:rPr>
        <w:t>Tahun</w:t>
      </w:r>
      <w:r w:rsidR="00A954D0">
        <w:rPr>
          <w:rFonts w:ascii="Bookman Old Style" w:hAnsi="Bookman Old Style"/>
          <w:sz w:val="24"/>
          <w:szCs w:val="24"/>
          <w:lang w:val="sv-FI"/>
        </w:rPr>
        <w:t xml:space="preserve"> </w:t>
      </w:r>
      <w:r w:rsidRPr="00080B19">
        <w:rPr>
          <w:rFonts w:ascii="Bookman Old Style" w:hAnsi="Bookman Old Style"/>
          <w:sz w:val="24"/>
          <w:szCs w:val="24"/>
          <w:lang w:val="sv-FI"/>
        </w:rPr>
        <w:t>2019.</w:t>
      </w:r>
    </w:p>
    <w:p w14:paraId="3E674B8F" w14:textId="00EC25BD" w:rsidR="00F72FA2" w:rsidRPr="00337849" w:rsidRDefault="003925CD">
      <w:pPr>
        <w:pStyle w:val="ListParagraph"/>
        <w:numPr>
          <w:ilvl w:val="0"/>
          <w:numId w:val="121"/>
        </w:numPr>
        <w:spacing w:before="120" w:after="0" w:line="276" w:lineRule="auto"/>
        <w:ind w:left="993" w:hanging="426"/>
        <w:contextualSpacing w:val="0"/>
        <w:jc w:val="both"/>
        <w:rPr>
          <w:rFonts w:ascii="Bookman Old Style" w:hAnsi="Bookman Old Style"/>
          <w:sz w:val="24"/>
          <w:szCs w:val="24"/>
        </w:rPr>
      </w:pPr>
      <w:r w:rsidRPr="00337849">
        <w:rPr>
          <w:rFonts w:ascii="Bookman Old Style" w:hAnsi="Bookman Old Style"/>
          <w:color w:val="000000" w:themeColor="text1"/>
          <w:sz w:val="24"/>
          <w:szCs w:val="24"/>
        </w:rPr>
        <w:t>Analisis</w:t>
      </w:r>
      <w:r w:rsidR="00A954D0">
        <w:rPr>
          <w:rFonts w:ascii="Bookman Old Style" w:hAnsi="Bookman Old Style" w:cs="Arial"/>
          <w:sz w:val="24"/>
          <w:szCs w:val="24"/>
          <w:lang w:val="id-ID"/>
        </w:rPr>
        <w:t xml:space="preserve"> </w:t>
      </w:r>
      <w:r w:rsidRPr="00337849">
        <w:rPr>
          <w:rFonts w:ascii="Bookman Old Style" w:hAnsi="Bookman Old Style" w:cs="Arial"/>
          <w:sz w:val="24"/>
          <w:szCs w:val="24"/>
        </w:rPr>
        <w:t>Belanja</w:t>
      </w:r>
      <w:r w:rsidR="00A954D0">
        <w:rPr>
          <w:rFonts w:ascii="Bookman Old Style" w:hAnsi="Bookman Old Style" w:cs="Arial"/>
          <w:sz w:val="24"/>
          <w:szCs w:val="24"/>
        </w:rPr>
        <w:t xml:space="preserve"> </w:t>
      </w:r>
      <w:r w:rsidRPr="00337849">
        <w:rPr>
          <w:rFonts w:ascii="Bookman Old Style" w:hAnsi="Bookman Old Style" w:cs="Arial"/>
          <w:sz w:val="24"/>
          <w:szCs w:val="24"/>
          <w:lang w:val="id-ID"/>
        </w:rPr>
        <w:t>Daerah</w:t>
      </w:r>
    </w:p>
    <w:p w14:paraId="10FB5089" w14:textId="4FA119D1" w:rsidR="00D735DA" w:rsidRPr="00337849" w:rsidRDefault="004E3AD5" w:rsidP="00727324">
      <w:pPr>
        <w:pStyle w:val="ListParagraph"/>
        <w:spacing w:before="60" w:after="0" w:line="276" w:lineRule="auto"/>
        <w:ind w:left="993"/>
        <w:contextualSpacing w:val="0"/>
        <w:jc w:val="both"/>
        <w:rPr>
          <w:rFonts w:ascii="Bookman Old Style" w:hAnsi="Bookman Old Style" w:cs="Arial"/>
          <w:sz w:val="24"/>
          <w:szCs w:val="24"/>
          <w:lang w:val="sv-FI"/>
        </w:rPr>
      </w:pPr>
      <w:r w:rsidRPr="00337849">
        <w:rPr>
          <w:rFonts w:ascii="Bookman Old Style" w:hAnsi="Bookman Old Style" w:cs="Arial"/>
          <w:sz w:val="24"/>
          <w:szCs w:val="24"/>
        </w:rPr>
        <w:t>Penyediaan</w:t>
      </w:r>
      <w:r w:rsidR="00A954D0">
        <w:rPr>
          <w:rFonts w:ascii="Bookman Old Style" w:hAnsi="Bookman Old Style" w:cs="Arial"/>
          <w:sz w:val="24"/>
          <w:szCs w:val="24"/>
        </w:rPr>
        <w:t xml:space="preserve"> </w:t>
      </w:r>
      <w:r w:rsidRPr="00337849">
        <w:rPr>
          <w:rFonts w:ascii="Bookman Old Style" w:hAnsi="Bookman Old Style" w:cs="Arial"/>
          <w:sz w:val="24"/>
          <w:szCs w:val="24"/>
        </w:rPr>
        <w:t>alokasi</w:t>
      </w:r>
      <w:r w:rsidR="00A954D0">
        <w:rPr>
          <w:rFonts w:ascii="Bookman Old Style" w:hAnsi="Bookman Old Style" w:cs="Arial"/>
          <w:sz w:val="24"/>
          <w:szCs w:val="24"/>
        </w:rPr>
        <w:t xml:space="preserve"> </w:t>
      </w:r>
      <w:r w:rsidRPr="00337849">
        <w:rPr>
          <w:rFonts w:ascii="Bookman Old Style" w:hAnsi="Bookman Old Style" w:cs="Arial"/>
          <w:sz w:val="24"/>
          <w:szCs w:val="24"/>
        </w:rPr>
        <w:t>belanja</w:t>
      </w:r>
      <w:r w:rsidR="00A954D0">
        <w:rPr>
          <w:rFonts w:ascii="Bookman Old Style" w:hAnsi="Bookman Old Style" w:cs="Arial"/>
          <w:sz w:val="24"/>
          <w:szCs w:val="24"/>
        </w:rPr>
        <w:t xml:space="preserve"> </w:t>
      </w:r>
      <w:r w:rsidRPr="00337849">
        <w:rPr>
          <w:rFonts w:ascii="Bookman Old Style" w:hAnsi="Bookman Old Style" w:cs="Arial"/>
          <w:sz w:val="24"/>
          <w:szCs w:val="24"/>
        </w:rPr>
        <w:t>daerah</w:t>
      </w:r>
      <w:r w:rsidR="00A954D0">
        <w:rPr>
          <w:rFonts w:ascii="Bookman Old Style" w:hAnsi="Bookman Old Style" w:cs="Arial"/>
          <w:sz w:val="24"/>
          <w:szCs w:val="24"/>
        </w:rPr>
        <w:t xml:space="preserve"> </w:t>
      </w:r>
      <w:r w:rsidRPr="00337849">
        <w:rPr>
          <w:rFonts w:ascii="Bookman Old Style" w:hAnsi="Bookman Old Style" w:cs="Arial"/>
          <w:sz w:val="24"/>
          <w:szCs w:val="24"/>
        </w:rPr>
        <w:t>dalam</w:t>
      </w:r>
      <w:r w:rsidR="00A954D0">
        <w:rPr>
          <w:rFonts w:ascii="Bookman Old Style" w:hAnsi="Bookman Old Style" w:cs="Arial"/>
          <w:sz w:val="24"/>
          <w:szCs w:val="24"/>
        </w:rPr>
        <w:t xml:space="preserve"> </w:t>
      </w:r>
      <w:r w:rsidR="000B0B5B" w:rsidRPr="00337849">
        <w:rPr>
          <w:rFonts w:ascii="Bookman Old Style" w:hAnsi="Bookman Old Style" w:cs="Arial"/>
          <w:sz w:val="24"/>
          <w:szCs w:val="24"/>
        </w:rPr>
        <w:t>Rancangan</w:t>
      </w:r>
      <w:r w:rsidR="00A954D0">
        <w:rPr>
          <w:rFonts w:ascii="Bookman Old Style" w:hAnsi="Bookman Old Style" w:cs="Arial"/>
          <w:sz w:val="24"/>
          <w:szCs w:val="24"/>
        </w:rPr>
        <w:t xml:space="preserve"> </w:t>
      </w:r>
      <w:r w:rsidR="000B0B5B" w:rsidRPr="00337849">
        <w:rPr>
          <w:rFonts w:ascii="Bookman Old Style" w:hAnsi="Bookman Old Style" w:cs="Arial"/>
          <w:sz w:val="24"/>
          <w:szCs w:val="24"/>
        </w:rPr>
        <w:t>Peraturan</w:t>
      </w:r>
      <w:r w:rsidR="00A954D0">
        <w:rPr>
          <w:rFonts w:ascii="Bookman Old Style" w:hAnsi="Bookman Old Style" w:cs="Arial"/>
          <w:sz w:val="24"/>
          <w:szCs w:val="24"/>
        </w:rPr>
        <w:t xml:space="preserve"> </w:t>
      </w:r>
      <w:r w:rsidR="000B0B5B" w:rsidRPr="00337849">
        <w:rPr>
          <w:rFonts w:ascii="Bookman Old Style" w:hAnsi="Bookman Old Style" w:cs="Arial"/>
          <w:sz w:val="24"/>
          <w:szCs w:val="24"/>
        </w:rPr>
        <w:t>Daerah</w:t>
      </w:r>
      <w:r w:rsidR="00A954D0">
        <w:rPr>
          <w:rFonts w:ascii="Bookman Old Style" w:hAnsi="Bookman Old Style" w:cs="Arial"/>
          <w:sz w:val="24"/>
          <w:szCs w:val="24"/>
        </w:rPr>
        <w:t xml:space="preserve"> </w:t>
      </w:r>
      <w:r w:rsidR="00B055C5" w:rsidRPr="00337849">
        <w:rPr>
          <w:rFonts w:ascii="Bookman Old Style" w:hAnsi="Bookman Old Style"/>
          <w:sz w:val="24"/>
          <w:szCs w:val="24"/>
          <w:lang w:val="fi-FI"/>
        </w:rPr>
        <w:t>Kota</w:t>
      </w:r>
      <w:r w:rsidR="00A954D0">
        <w:rPr>
          <w:rFonts w:ascii="Bookman Old Style" w:hAnsi="Bookman Old Style"/>
          <w:sz w:val="24"/>
          <w:szCs w:val="24"/>
          <w:lang w:val="fi-FI"/>
        </w:rPr>
        <w:t xml:space="preserve"> </w:t>
      </w:r>
      <w:r w:rsidR="00770F22" w:rsidRPr="00337849">
        <w:rPr>
          <w:rFonts w:ascii="Bookman Old Style" w:hAnsi="Bookman Old Style"/>
          <w:sz w:val="24"/>
          <w:szCs w:val="24"/>
          <w:lang w:val="fi-FI"/>
        </w:rPr>
        <w:t>Tangerang</w:t>
      </w:r>
      <w:r w:rsidR="00A954D0">
        <w:rPr>
          <w:rFonts w:ascii="Bookman Old Style" w:hAnsi="Bookman Old Style"/>
          <w:sz w:val="24"/>
          <w:szCs w:val="24"/>
          <w:lang w:val="fi-FI"/>
        </w:rPr>
        <w:t xml:space="preserve"> </w:t>
      </w:r>
      <w:r w:rsidR="00C64581" w:rsidRPr="00337849">
        <w:rPr>
          <w:rFonts w:ascii="Bookman Old Style" w:hAnsi="Bookman Old Style" w:cs="Arial"/>
          <w:sz w:val="24"/>
          <w:szCs w:val="24"/>
        </w:rPr>
        <w:t>tentang</w:t>
      </w:r>
      <w:r w:rsidR="00A954D0">
        <w:rPr>
          <w:rFonts w:ascii="Bookman Old Style" w:hAnsi="Bookman Old Style" w:cs="Arial"/>
          <w:sz w:val="24"/>
          <w:szCs w:val="24"/>
        </w:rPr>
        <w:t xml:space="preserve"> </w:t>
      </w:r>
      <w:r w:rsidR="00C64581" w:rsidRPr="00337849">
        <w:rPr>
          <w:rFonts w:ascii="Bookman Old Style" w:hAnsi="Bookman Old Style" w:cs="Arial"/>
          <w:sz w:val="24"/>
          <w:szCs w:val="24"/>
        </w:rPr>
        <w:t>APBD</w:t>
      </w:r>
      <w:r w:rsidR="00A954D0">
        <w:rPr>
          <w:rFonts w:ascii="Bookman Old Style" w:hAnsi="Bookman Old Style" w:cs="Arial"/>
          <w:sz w:val="24"/>
          <w:szCs w:val="24"/>
        </w:rPr>
        <w:t xml:space="preserve"> </w:t>
      </w:r>
      <w:r w:rsidR="00C64581" w:rsidRPr="00337849">
        <w:rPr>
          <w:rFonts w:ascii="Bookman Old Style" w:hAnsi="Bookman Old Style" w:cs="Arial"/>
          <w:sz w:val="24"/>
          <w:szCs w:val="24"/>
        </w:rPr>
        <w:t>Tahun</w:t>
      </w:r>
      <w:r w:rsidR="00A954D0">
        <w:rPr>
          <w:rFonts w:ascii="Bookman Old Style" w:hAnsi="Bookman Old Style" w:cs="Arial"/>
          <w:sz w:val="24"/>
          <w:szCs w:val="24"/>
        </w:rPr>
        <w:t xml:space="preserve"> </w:t>
      </w:r>
      <w:r w:rsidR="00C64581" w:rsidRPr="00337849">
        <w:rPr>
          <w:rFonts w:ascii="Bookman Old Style" w:hAnsi="Bookman Old Style" w:cs="Arial"/>
          <w:sz w:val="24"/>
          <w:szCs w:val="24"/>
        </w:rPr>
        <w:t>Anggaran</w:t>
      </w:r>
      <w:r w:rsidR="00A954D0">
        <w:rPr>
          <w:rFonts w:ascii="Bookman Old Style" w:hAnsi="Bookman Old Style" w:cs="Arial"/>
          <w:sz w:val="24"/>
          <w:szCs w:val="24"/>
        </w:rPr>
        <w:t xml:space="preserve"> </w:t>
      </w:r>
      <w:r w:rsidR="00C64581" w:rsidRPr="00337849">
        <w:rPr>
          <w:rFonts w:ascii="Bookman Old Style" w:hAnsi="Bookman Old Style" w:cs="Arial"/>
          <w:sz w:val="24"/>
          <w:szCs w:val="24"/>
        </w:rPr>
        <w:t>202</w:t>
      </w:r>
      <w:r w:rsidR="003925CD" w:rsidRPr="00337849">
        <w:rPr>
          <w:rFonts w:ascii="Bookman Old Style" w:hAnsi="Bookman Old Style" w:cs="Arial"/>
          <w:sz w:val="24"/>
          <w:szCs w:val="24"/>
          <w:lang w:val="sv-FI"/>
        </w:rPr>
        <w:t>5</w:t>
      </w:r>
      <w:r w:rsidR="00A954D0">
        <w:rPr>
          <w:rFonts w:ascii="Bookman Old Style" w:hAnsi="Bookman Old Style" w:cs="Arial"/>
          <w:sz w:val="24"/>
          <w:szCs w:val="24"/>
          <w:lang w:val="sv-FI"/>
        </w:rPr>
        <w:t xml:space="preserve"> </w:t>
      </w:r>
      <w:r w:rsidR="000D47A7" w:rsidRPr="00337849">
        <w:rPr>
          <w:rFonts w:ascii="Bookman Old Style" w:hAnsi="Bookman Old Style" w:cs="Arial"/>
          <w:sz w:val="24"/>
          <w:szCs w:val="24"/>
          <w:lang w:val="sv-FI"/>
        </w:rPr>
        <w:t>Rp</w:t>
      </w:r>
      <w:r w:rsidR="00337849" w:rsidRPr="00337849">
        <w:rPr>
          <w:rFonts w:ascii="Bookman Old Style" w:hAnsi="Bookman Old Style" w:cs="Arial"/>
          <w:sz w:val="24"/>
          <w:szCs w:val="24"/>
          <w:lang w:val="sv-FI"/>
        </w:rPr>
        <w:t>5.706.600.538.955</w:t>
      </w:r>
      <w:r w:rsidR="000D47A7" w:rsidRPr="00337849">
        <w:rPr>
          <w:rFonts w:ascii="Bookman Old Style" w:hAnsi="Bookman Old Style" w:cs="Arial"/>
          <w:sz w:val="24"/>
          <w:szCs w:val="24"/>
          <w:lang w:val="sv-FI"/>
        </w:rPr>
        <w:t>,00</w:t>
      </w:r>
      <w:r w:rsidR="00ED51B1" w:rsidRPr="00337849">
        <w:rPr>
          <w:rFonts w:ascii="Bookman Old Style" w:hAnsi="Bookman Old Style" w:cs="Arial"/>
          <w:sz w:val="24"/>
          <w:szCs w:val="24"/>
          <w:lang w:val="sv-FI"/>
        </w:rPr>
        <w:t>.</w:t>
      </w:r>
    </w:p>
    <w:p w14:paraId="74F05A2F" w14:textId="308FC717" w:rsidR="002533EE" w:rsidRPr="00337849" w:rsidRDefault="002533EE" w:rsidP="00727324">
      <w:pPr>
        <w:pStyle w:val="ListParagraph"/>
        <w:spacing w:before="60" w:after="0" w:line="276" w:lineRule="auto"/>
        <w:ind w:left="993"/>
        <w:contextualSpacing w:val="0"/>
        <w:jc w:val="both"/>
        <w:rPr>
          <w:rFonts w:ascii="Bookman Old Style" w:hAnsi="Bookman Old Style" w:cs="Arial"/>
          <w:color w:val="000000" w:themeColor="text1"/>
          <w:sz w:val="24"/>
          <w:szCs w:val="24"/>
        </w:rPr>
      </w:pPr>
      <w:r w:rsidRPr="00337849">
        <w:rPr>
          <w:rFonts w:ascii="Bookman Old Style" w:hAnsi="Bookman Old Style"/>
          <w:sz w:val="24"/>
          <w:szCs w:val="24"/>
          <w:lang w:val="it-IT"/>
        </w:rPr>
        <w:t>Gambaran</w:t>
      </w:r>
      <w:r w:rsidR="00A954D0">
        <w:rPr>
          <w:rFonts w:ascii="Bookman Old Style" w:hAnsi="Bookman Old Style"/>
          <w:sz w:val="24"/>
          <w:szCs w:val="24"/>
          <w:lang w:val="it-IT"/>
        </w:rPr>
        <w:t xml:space="preserve"> </w:t>
      </w:r>
      <w:r w:rsidRPr="00337849">
        <w:rPr>
          <w:rFonts w:ascii="Bookman Old Style" w:hAnsi="Bookman Old Style"/>
          <w:sz w:val="24"/>
          <w:szCs w:val="24"/>
          <w:lang w:val="it-IT"/>
        </w:rPr>
        <w:t>Anggaran</w:t>
      </w:r>
      <w:r w:rsidR="00A954D0">
        <w:rPr>
          <w:rFonts w:ascii="Bookman Old Style" w:hAnsi="Bookman Old Style"/>
          <w:sz w:val="24"/>
          <w:szCs w:val="24"/>
          <w:lang w:val="it-IT"/>
        </w:rPr>
        <w:t xml:space="preserve"> </w:t>
      </w:r>
      <w:r w:rsidRPr="00337849">
        <w:rPr>
          <w:rFonts w:ascii="Bookman Old Style" w:hAnsi="Bookman Old Style"/>
          <w:sz w:val="24"/>
          <w:szCs w:val="24"/>
          <w:lang w:val="it-IT"/>
        </w:rPr>
        <w:t>dan</w:t>
      </w:r>
      <w:r w:rsidR="00A954D0">
        <w:rPr>
          <w:rFonts w:ascii="Bookman Old Style" w:hAnsi="Bookman Old Style"/>
          <w:sz w:val="24"/>
          <w:szCs w:val="24"/>
          <w:lang w:val="it-IT"/>
        </w:rPr>
        <w:t xml:space="preserve"> </w:t>
      </w:r>
      <w:r w:rsidRPr="00337849">
        <w:rPr>
          <w:rFonts w:ascii="Bookman Old Style" w:hAnsi="Bookman Old Style"/>
          <w:sz w:val="24"/>
          <w:szCs w:val="24"/>
          <w:lang w:val="it-IT"/>
        </w:rPr>
        <w:t>Realisasi</w:t>
      </w:r>
      <w:r w:rsidR="00A954D0">
        <w:rPr>
          <w:rFonts w:ascii="Bookman Old Style" w:hAnsi="Bookman Old Style"/>
          <w:sz w:val="24"/>
          <w:szCs w:val="24"/>
          <w:lang w:val="it-IT"/>
        </w:rPr>
        <w:t xml:space="preserve"> </w:t>
      </w:r>
      <w:r w:rsidRPr="00337849">
        <w:rPr>
          <w:rFonts w:ascii="Bookman Old Style" w:hAnsi="Bookman Old Style"/>
          <w:sz w:val="24"/>
          <w:szCs w:val="24"/>
          <w:lang w:val="it-IT"/>
        </w:rPr>
        <w:t>Belanja</w:t>
      </w:r>
      <w:r w:rsidR="00A954D0">
        <w:rPr>
          <w:rFonts w:ascii="Bookman Old Style" w:hAnsi="Bookman Old Style"/>
          <w:sz w:val="24"/>
          <w:szCs w:val="24"/>
          <w:lang w:val="it-IT"/>
        </w:rPr>
        <w:t xml:space="preserve"> </w:t>
      </w:r>
      <w:r w:rsidRPr="00337849">
        <w:rPr>
          <w:rFonts w:ascii="Bookman Old Style" w:hAnsi="Bookman Old Style"/>
          <w:sz w:val="24"/>
          <w:szCs w:val="24"/>
          <w:lang w:val="it-IT"/>
        </w:rPr>
        <w:t>Daerah</w:t>
      </w:r>
      <w:r w:rsidR="00A954D0">
        <w:rPr>
          <w:rFonts w:ascii="Bookman Old Style" w:hAnsi="Bookman Old Style"/>
          <w:sz w:val="24"/>
          <w:szCs w:val="24"/>
          <w:lang w:val="it-IT"/>
        </w:rPr>
        <w:t xml:space="preserve"> </w:t>
      </w:r>
      <w:r w:rsidR="00046408" w:rsidRPr="00337849">
        <w:rPr>
          <w:rFonts w:ascii="Bookman Old Style" w:hAnsi="Bookman Old Style"/>
          <w:sz w:val="24"/>
          <w:szCs w:val="24"/>
          <w:lang w:val="it-IT"/>
        </w:rPr>
        <w:t>Kota</w:t>
      </w:r>
      <w:r w:rsidR="00A954D0">
        <w:rPr>
          <w:rFonts w:ascii="Bookman Old Style" w:hAnsi="Bookman Old Style"/>
          <w:sz w:val="24"/>
          <w:szCs w:val="24"/>
          <w:lang w:val="it-IT"/>
        </w:rPr>
        <w:t xml:space="preserve"> </w:t>
      </w:r>
      <w:r w:rsidR="00770F22" w:rsidRPr="00337849">
        <w:rPr>
          <w:rFonts w:ascii="Bookman Old Style" w:hAnsi="Bookman Old Style"/>
          <w:sz w:val="24"/>
          <w:szCs w:val="24"/>
          <w:lang w:val="it-IT"/>
        </w:rPr>
        <w:t>Tangerang</w:t>
      </w:r>
      <w:r w:rsidR="00A954D0">
        <w:rPr>
          <w:rFonts w:ascii="Bookman Old Style" w:hAnsi="Bookman Old Style"/>
          <w:sz w:val="24"/>
          <w:szCs w:val="24"/>
          <w:lang w:val="it-IT"/>
        </w:rPr>
        <w:t xml:space="preserve"> </w:t>
      </w:r>
      <w:r w:rsidRPr="00337849">
        <w:rPr>
          <w:rFonts w:ascii="Bookman Old Style" w:hAnsi="Bookman Old Style"/>
          <w:sz w:val="24"/>
          <w:szCs w:val="24"/>
          <w:lang w:val="it-IT"/>
        </w:rPr>
        <w:t>5</w:t>
      </w:r>
      <w:r w:rsidR="00A954D0">
        <w:rPr>
          <w:rFonts w:ascii="Bookman Old Style" w:hAnsi="Bookman Old Style"/>
          <w:sz w:val="24"/>
          <w:szCs w:val="24"/>
          <w:lang w:val="it-IT"/>
        </w:rPr>
        <w:t xml:space="preserve"> </w:t>
      </w:r>
      <w:r w:rsidRPr="00337849">
        <w:rPr>
          <w:rFonts w:ascii="Bookman Old Style" w:hAnsi="Bookman Old Style"/>
          <w:sz w:val="24"/>
          <w:szCs w:val="24"/>
          <w:lang w:val="it-IT"/>
        </w:rPr>
        <w:t>(lima)</w:t>
      </w:r>
      <w:r w:rsidR="00A954D0">
        <w:rPr>
          <w:rFonts w:ascii="Bookman Old Style" w:hAnsi="Bookman Old Style"/>
          <w:sz w:val="24"/>
          <w:szCs w:val="24"/>
          <w:lang w:val="it-IT"/>
        </w:rPr>
        <w:t xml:space="preserve"> </w:t>
      </w:r>
      <w:r w:rsidRPr="00337849">
        <w:rPr>
          <w:rFonts w:ascii="Bookman Old Style" w:hAnsi="Bookman Old Style"/>
          <w:sz w:val="24"/>
          <w:szCs w:val="24"/>
          <w:lang w:val="it-IT"/>
        </w:rPr>
        <w:t>tahun</w:t>
      </w:r>
      <w:r w:rsidR="00A954D0">
        <w:rPr>
          <w:rFonts w:ascii="Bookman Old Style" w:hAnsi="Bookman Old Style"/>
          <w:sz w:val="24"/>
          <w:szCs w:val="24"/>
          <w:lang w:val="it-IT"/>
        </w:rPr>
        <w:t xml:space="preserve"> </w:t>
      </w:r>
      <w:r w:rsidRPr="00337849">
        <w:rPr>
          <w:rFonts w:ascii="Bookman Old Style" w:hAnsi="Bookman Old Style"/>
          <w:color w:val="000000" w:themeColor="text1"/>
          <w:sz w:val="24"/>
          <w:szCs w:val="24"/>
          <w:lang w:val="it-IT"/>
        </w:rPr>
        <w:t>terakhir,</w:t>
      </w:r>
      <w:r w:rsidR="00A954D0">
        <w:rPr>
          <w:rFonts w:ascii="Bookman Old Style" w:hAnsi="Bookman Old Style"/>
          <w:color w:val="000000" w:themeColor="text1"/>
          <w:sz w:val="24"/>
          <w:szCs w:val="24"/>
          <w:lang w:val="it-IT"/>
        </w:rPr>
        <w:t xml:space="preserve"> </w:t>
      </w:r>
      <w:r w:rsidRPr="00337849">
        <w:rPr>
          <w:rFonts w:ascii="Bookman Old Style" w:hAnsi="Bookman Old Style" w:cs="Arial"/>
          <w:color w:val="000000" w:themeColor="text1"/>
          <w:sz w:val="24"/>
          <w:szCs w:val="24"/>
        </w:rPr>
        <w:t>sebagaimana</w:t>
      </w:r>
      <w:r w:rsidR="00A954D0">
        <w:rPr>
          <w:rFonts w:ascii="Bookman Old Style" w:hAnsi="Bookman Old Style" w:cs="Arial"/>
          <w:color w:val="000000" w:themeColor="text1"/>
          <w:sz w:val="24"/>
          <w:szCs w:val="24"/>
        </w:rPr>
        <w:t xml:space="preserve"> </w:t>
      </w:r>
      <w:r w:rsidRPr="00337849">
        <w:rPr>
          <w:rFonts w:ascii="Bookman Old Style" w:hAnsi="Bookman Old Style" w:cs="Arial"/>
          <w:color w:val="000000" w:themeColor="text1"/>
          <w:sz w:val="24"/>
          <w:szCs w:val="24"/>
        </w:rPr>
        <w:t>Tabel</w:t>
      </w:r>
      <w:r w:rsidR="00A954D0">
        <w:rPr>
          <w:rFonts w:ascii="Bookman Old Style" w:hAnsi="Bookman Old Style" w:cs="Arial"/>
          <w:color w:val="000000" w:themeColor="text1"/>
          <w:sz w:val="24"/>
          <w:szCs w:val="24"/>
          <w:lang w:val="id-ID"/>
        </w:rPr>
        <w:t xml:space="preserve"> </w:t>
      </w:r>
      <w:r w:rsidR="003F64EB" w:rsidRPr="00337849">
        <w:rPr>
          <w:rFonts w:ascii="Bookman Old Style" w:hAnsi="Bookman Old Style" w:cs="Arial"/>
          <w:color w:val="000000" w:themeColor="text1"/>
          <w:sz w:val="24"/>
          <w:szCs w:val="24"/>
          <w:lang w:val="id-ID"/>
        </w:rPr>
        <w:t>17</w:t>
      </w:r>
      <w:r w:rsidR="00A954D0">
        <w:rPr>
          <w:rFonts w:ascii="Bookman Old Style" w:hAnsi="Bookman Old Style" w:cs="Arial"/>
          <w:color w:val="000000" w:themeColor="text1"/>
          <w:sz w:val="24"/>
          <w:szCs w:val="24"/>
        </w:rPr>
        <w:t xml:space="preserve"> </w:t>
      </w:r>
      <w:r w:rsidRPr="00337849">
        <w:rPr>
          <w:rFonts w:ascii="Bookman Old Style" w:hAnsi="Bookman Old Style" w:cs="Arial"/>
          <w:color w:val="000000" w:themeColor="text1"/>
          <w:sz w:val="24"/>
          <w:szCs w:val="24"/>
        </w:rPr>
        <w:t>sebagai</w:t>
      </w:r>
      <w:r w:rsidR="00A954D0">
        <w:rPr>
          <w:rFonts w:ascii="Bookman Old Style" w:hAnsi="Bookman Old Style" w:cs="Arial"/>
          <w:color w:val="000000" w:themeColor="text1"/>
          <w:sz w:val="24"/>
          <w:szCs w:val="24"/>
        </w:rPr>
        <w:t xml:space="preserve"> </w:t>
      </w:r>
      <w:r w:rsidRPr="00337849">
        <w:rPr>
          <w:rFonts w:ascii="Bookman Old Style" w:hAnsi="Bookman Old Style" w:cs="Arial"/>
          <w:color w:val="000000" w:themeColor="text1"/>
          <w:sz w:val="24"/>
          <w:szCs w:val="24"/>
        </w:rPr>
        <w:t>berikut</w:t>
      </w:r>
      <w:r w:rsidRPr="00337849">
        <w:rPr>
          <w:rFonts w:ascii="Bookman Old Style" w:hAnsi="Bookman Old Style" w:cs="Arial"/>
          <w:color w:val="000000" w:themeColor="text1"/>
          <w:sz w:val="24"/>
          <w:szCs w:val="24"/>
          <w:lang w:val="id-ID"/>
        </w:rPr>
        <w:t>:</w:t>
      </w:r>
    </w:p>
    <w:p w14:paraId="43C0B81B" w14:textId="19FC7783" w:rsidR="002533EE" w:rsidRPr="00337849" w:rsidRDefault="002533EE" w:rsidP="00727324">
      <w:pPr>
        <w:pStyle w:val="ListParagraph"/>
        <w:spacing w:before="60" w:after="0" w:line="276" w:lineRule="auto"/>
        <w:ind w:left="1276"/>
        <w:contextualSpacing w:val="0"/>
        <w:jc w:val="center"/>
        <w:rPr>
          <w:rFonts w:ascii="Bookman Old Style" w:hAnsi="Bookman Old Style" w:cs="Tahoma"/>
          <w:noProof/>
          <w:sz w:val="24"/>
          <w:szCs w:val="24"/>
          <w:lang w:val="id-ID"/>
        </w:rPr>
      </w:pPr>
      <w:r w:rsidRPr="00337849">
        <w:rPr>
          <w:rFonts w:ascii="Bookman Old Style" w:hAnsi="Bookman Old Style" w:cs="Tahoma"/>
          <w:noProof/>
          <w:sz w:val="24"/>
          <w:szCs w:val="24"/>
          <w:lang w:val="sv-FI"/>
        </w:rPr>
        <w:t>Tabel</w:t>
      </w:r>
      <w:r w:rsidR="00A954D0">
        <w:rPr>
          <w:rFonts w:ascii="Bookman Old Style" w:hAnsi="Bookman Old Style" w:cs="Tahoma"/>
          <w:noProof/>
          <w:sz w:val="24"/>
          <w:szCs w:val="24"/>
          <w:lang w:val="sv-FI"/>
        </w:rPr>
        <w:t xml:space="preserve"> </w:t>
      </w:r>
      <w:r w:rsidR="003F64EB" w:rsidRPr="00337849">
        <w:rPr>
          <w:rFonts w:ascii="Bookman Old Style" w:hAnsi="Bookman Old Style" w:cs="Tahoma"/>
          <w:noProof/>
          <w:sz w:val="24"/>
          <w:szCs w:val="24"/>
          <w:lang w:val="id-ID"/>
        </w:rPr>
        <w:t>17</w:t>
      </w:r>
    </w:p>
    <w:p w14:paraId="5363C78A" w14:textId="105D2A00" w:rsidR="002533EE" w:rsidRPr="00337849" w:rsidRDefault="002533EE" w:rsidP="00E319E2">
      <w:pPr>
        <w:pStyle w:val="ListParagraph"/>
        <w:spacing w:after="120" w:line="276" w:lineRule="auto"/>
        <w:ind w:left="993"/>
        <w:contextualSpacing w:val="0"/>
        <w:jc w:val="center"/>
        <w:rPr>
          <w:rFonts w:ascii="Bookman Old Style" w:hAnsi="Bookman Old Style" w:cs="Tahoma"/>
          <w:noProof/>
          <w:sz w:val="24"/>
          <w:szCs w:val="24"/>
          <w:lang w:val="sv-FI"/>
        </w:rPr>
      </w:pPr>
      <w:r w:rsidRPr="00337849">
        <w:rPr>
          <w:rFonts w:ascii="Bookman Old Style" w:hAnsi="Bookman Old Style"/>
          <w:sz w:val="24"/>
          <w:szCs w:val="24"/>
        </w:rPr>
        <w:t>Anggaran</w:t>
      </w:r>
      <w:r w:rsidR="00A954D0">
        <w:rPr>
          <w:rFonts w:ascii="Bookman Old Style" w:hAnsi="Bookman Old Style"/>
          <w:sz w:val="24"/>
          <w:szCs w:val="24"/>
        </w:rPr>
        <w:t xml:space="preserve"> </w:t>
      </w:r>
      <w:r w:rsidRPr="00337849">
        <w:rPr>
          <w:rFonts w:ascii="Bookman Old Style" w:hAnsi="Bookman Old Style"/>
          <w:sz w:val="24"/>
          <w:szCs w:val="24"/>
        </w:rPr>
        <w:t>dan</w:t>
      </w:r>
      <w:r w:rsidR="00A954D0">
        <w:rPr>
          <w:rFonts w:ascii="Bookman Old Style" w:hAnsi="Bookman Old Style"/>
          <w:sz w:val="24"/>
          <w:szCs w:val="24"/>
        </w:rPr>
        <w:t xml:space="preserve"> </w:t>
      </w:r>
      <w:r w:rsidRPr="00337849">
        <w:rPr>
          <w:rFonts w:ascii="Bookman Old Style" w:hAnsi="Bookman Old Style"/>
          <w:sz w:val="24"/>
          <w:szCs w:val="24"/>
        </w:rPr>
        <w:t>Realisasi</w:t>
      </w:r>
      <w:r w:rsidR="00A954D0">
        <w:rPr>
          <w:rFonts w:ascii="Bookman Old Style" w:hAnsi="Bookman Old Style"/>
          <w:sz w:val="24"/>
          <w:szCs w:val="24"/>
        </w:rPr>
        <w:t xml:space="preserve"> </w:t>
      </w:r>
      <w:r w:rsidRPr="00337849">
        <w:rPr>
          <w:rFonts w:ascii="Bookman Old Style" w:hAnsi="Bookman Old Style"/>
          <w:sz w:val="24"/>
          <w:szCs w:val="24"/>
        </w:rPr>
        <w:t>Belanja</w:t>
      </w:r>
      <w:r w:rsidR="00A954D0">
        <w:rPr>
          <w:rFonts w:ascii="Bookman Old Style" w:hAnsi="Bookman Old Style"/>
          <w:sz w:val="24"/>
          <w:szCs w:val="24"/>
        </w:rPr>
        <w:t xml:space="preserve"> </w:t>
      </w:r>
      <w:r w:rsidRPr="00337849">
        <w:rPr>
          <w:rFonts w:ascii="Bookman Old Style" w:hAnsi="Bookman Old Style"/>
          <w:sz w:val="24"/>
          <w:szCs w:val="24"/>
        </w:rPr>
        <w:t>5</w:t>
      </w:r>
      <w:r w:rsidR="00A954D0">
        <w:rPr>
          <w:rFonts w:ascii="Bookman Old Style" w:hAnsi="Bookman Old Style"/>
          <w:sz w:val="24"/>
          <w:szCs w:val="24"/>
        </w:rPr>
        <w:t xml:space="preserve"> </w:t>
      </w:r>
      <w:r w:rsidRPr="00337849">
        <w:rPr>
          <w:rFonts w:ascii="Bookman Old Style" w:hAnsi="Bookman Old Style"/>
          <w:sz w:val="24"/>
          <w:szCs w:val="24"/>
        </w:rPr>
        <w:t>(Lima)</w:t>
      </w:r>
      <w:r w:rsidR="00A954D0">
        <w:rPr>
          <w:rFonts w:ascii="Bookman Old Style" w:hAnsi="Bookman Old Style"/>
          <w:sz w:val="24"/>
          <w:szCs w:val="24"/>
        </w:rPr>
        <w:t xml:space="preserve"> </w:t>
      </w:r>
      <w:r w:rsidRPr="00337849">
        <w:rPr>
          <w:rFonts w:ascii="Bookman Old Style" w:hAnsi="Bookman Old Style"/>
          <w:sz w:val="24"/>
          <w:szCs w:val="24"/>
        </w:rPr>
        <w:t>Tahun</w:t>
      </w:r>
      <w:r w:rsidR="00A954D0">
        <w:rPr>
          <w:rFonts w:ascii="Bookman Old Style" w:hAnsi="Bookman Old Style"/>
          <w:sz w:val="24"/>
          <w:szCs w:val="24"/>
        </w:rPr>
        <w:t xml:space="preserve"> </w:t>
      </w:r>
      <w:r w:rsidRPr="00337849">
        <w:rPr>
          <w:rFonts w:ascii="Bookman Old Style" w:hAnsi="Bookman Old Style"/>
          <w:sz w:val="24"/>
          <w:szCs w:val="24"/>
        </w:rPr>
        <w:t>Terakhir</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693"/>
        <w:gridCol w:w="2693"/>
        <w:gridCol w:w="1148"/>
      </w:tblGrid>
      <w:tr w:rsidR="00046408" w:rsidRPr="00735D18" w14:paraId="209881D9" w14:textId="77777777" w:rsidTr="00276801">
        <w:trPr>
          <w:trHeight w:val="331"/>
          <w:jc w:val="right"/>
        </w:trPr>
        <w:tc>
          <w:tcPr>
            <w:tcW w:w="1129" w:type="dxa"/>
            <w:vMerge w:val="restart"/>
            <w:shd w:val="clear" w:color="auto" w:fill="auto"/>
            <w:noWrap/>
            <w:vAlign w:val="center"/>
            <w:hideMark/>
          </w:tcPr>
          <w:p w14:paraId="35EAC9E8" w14:textId="4B0B3D3F" w:rsidR="00046408" w:rsidRPr="00735D18" w:rsidRDefault="00046408" w:rsidP="00727324">
            <w:pPr>
              <w:spacing w:before="60" w:line="276" w:lineRule="auto"/>
              <w:jc w:val="center"/>
              <w:rPr>
                <w:rFonts w:ascii="Bookman Old Style" w:hAnsi="Bookman Old Style" w:cs="Calibri"/>
                <w:b/>
                <w:sz w:val="20"/>
                <w:szCs w:val="20"/>
              </w:rPr>
            </w:pPr>
            <w:r w:rsidRPr="00735D18">
              <w:rPr>
                <w:rFonts w:ascii="Bookman Old Style" w:hAnsi="Bookman Old Style" w:cs="Calibri"/>
                <w:b/>
                <w:sz w:val="20"/>
                <w:szCs w:val="20"/>
                <w:lang w:val="en-US"/>
              </w:rPr>
              <w:t>TAHUN</w:t>
            </w:r>
            <w:r w:rsidR="00A954D0">
              <w:rPr>
                <w:rFonts w:ascii="Bookman Old Style" w:hAnsi="Bookman Old Style" w:cs="Calibri"/>
                <w:b/>
                <w:sz w:val="20"/>
                <w:szCs w:val="20"/>
                <w:lang w:val="en-US"/>
              </w:rPr>
              <w:t xml:space="preserve"> </w:t>
            </w:r>
          </w:p>
        </w:tc>
        <w:tc>
          <w:tcPr>
            <w:tcW w:w="2693" w:type="dxa"/>
            <w:vMerge w:val="restart"/>
            <w:shd w:val="clear" w:color="auto" w:fill="auto"/>
            <w:vAlign w:val="center"/>
            <w:hideMark/>
          </w:tcPr>
          <w:p w14:paraId="0B509BC8" w14:textId="5BF0EB81" w:rsidR="00046408" w:rsidRPr="00735D18" w:rsidRDefault="00A954D0" w:rsidP="00727324">
            <w:pPr>
              <w:spacing w:before="60" w:line="276" w:lineRule="auto"/>
              <w:jc w:val="center"/>
              <w:rPr>
                <w:rFonts w:ascii="Bookman Old Style" w:hAnsi="Bookman Old Style" w:cs="Calibri"/>
                <w:b/>
                <w:sz w:val="20"/>
                <w:szCs w:val="20"/>
              </w:rPr>
            </w:pPr>
            <w:r>
              <w:rPr>
                <w:rFonts w:ascii="Bookman Old Style" w:hAnsi="Bookman Old Style" w:cs="Calibri"/>
                <w:b/>
                <w:sz w:val="20"/>
                <w:szCs w:val="20"/>
                <w:lang w:val="en-US"/>
              </w:rPr>
              <w:t xml:space="preserve"> </w:t>
            </w:r>
            <w:r w:rsidR="00046408" w:rsidRPr="00735D18">
              <w:rPr>
                <w:rFonts w:ascii="Bookman Old Style" w:hAnsi="Bookman Old Style" w:cs="Calibri"/>
                <w:b/>
                <w:sz w:val="20"/>
                <w:szCs w:val="20"/>
                <w:lang w:val="en-US"/>
              </w:rPr>
              <w:t>ANGGARAN</w:t>
            </w:r>
            <w:r>
              <w:rPr>
                <w:rFonts w:ascii="Bookman Old Style" w:hAnsi="Bookman Old Style" w:cs="Calibri"/>
                <w:b/>
                <w:sz w:val="20"/>
                <w:szCs w:val="20"/>
                <w:lang w:val="en-US"/>
              </w:rPr>
              <w:t xml:space="preserve"> </w:t>
            </w:r>
            <w:r w:rsidR="00046408" w:rsidRPr="00735D18">
              <w:rPr>
                <w:rFonts w:ascii="Bookman Old Style" w:hAnsi="Bookman Old Style" w:cs="Calibri"/>
                <w:b/>
                <w:sz w:val="20"/>
                <w:szCs w:val="20"/>
                <w:lang w:val="en-US"/>
              </w:rPr>
              <w:t>BELANJA</w:t>
            </w:r>
            <w:r w:rsidR="00046408" w:rsidRPr="00735D18">
              <w:rPr>
                <w:rFonts w:ascii="Bookman Old Style" w:hAnsi="Bookman Old Style" w:cs="Calibri"/>
                <w:b/>
                <w:sz w:val="20"/>
                <w:szCs w:val="20"/>
                <w:lang w:val="en-US"/>
              </w:rPr>
              <w:br/>
              <w:t>(Rp)</w:t>
            </w:r>
          </w:p>
        </w:tc>
        <w:tc>
          <w:tcPr>
            <w:tcW w:w="2693" w:type="dxa"/>
            <w:vMerge w:val="restart"/>
            <w:shd w:val="clear" w:color="auto" w:fill="auto"/>
            <w:vAlign w:val="center"/>
            <w:hideMark/>
          </w:tcPr>
          <w:p w14:paraId="2E74FA9C" w14:textId="401B7E2A" w:rsidR="00046408" w:rsidRPr="00735D18" w:rsidRDefault="00A954D0" w:rsidP="00727324">
            <w:pPr>
              <w:spacing w:before="60" w:line="276" w:lineRule="auto"/>
              <w:jc w:val="center"/>
              <w:rPr>
                <w:rFonts w:ascii="Bookman Old Style" w:hAnsi="Bookman Old Style" w:cs="Calibri"/>
                <w:b/>
                <w:sz w:val="20"/>
                <w:szCs w:val="20"/>
              </w:rPr>
            </w:pPr>
            <w:r>
              <w:rPr>
                <w:rFonts w:ascii="Bookman Old Style" w:hAnsi="Bookman Old Style" w:cs="Calibri"/>
                <w:b/>
                <w:sz w:val="20"/>
                <w:szCs w:val="20"/>
                <w:lang w:val="en-US"/>
              </w:rPr>
              <w:t xml:space="preserve"> </w:t>
            </w:r>
            <w:r w:rsidR="00046408" w:rsidRPr="00735D18">
              <w:rPr>
                <w:rFonts w:ascii="Bookman Old Style" w:hAnsi="Bookman Old Style" w:cs="Calibri"/>
                <w:b/>
                <w:sz w:val="20"/>
                <w:szCs w:val="20"/>
                <w:lang w:val="en-US"/>
              </w:rPr>
              <w:t>REALISASI</w:t>
            </w:r>
            <w:r>
              <w:rPr>
                <w:rFonts w:ascii="Bookman Old Style" w:hAnsi="Bookman Old Style" w:cs="Calibri"/>
                <w:b/>
                <w:sz w:val="20"/>
                <w:szCs w:val="20"/>
                <w:lang w:val="en-US"/>
              </w:rPr>
              <w:t xml:space="preserve"> </w:t>
            </w:r>
            <w:r w:rsidR="00046408" w:rsidRPr="00735D18">
              <w:rPr>
                <w:rFonts w:ascii="Bookman Old Style" w:hAnsi="Bookman Old Style" w:cs="Calibri"/>
                <w:b/>
                <w:sz w:val="20"/>
                <w:szCs w:val="20"/>
                <w:lang w:val="en-US"/>
              </w:rPr>
              <w:t>BELANJA</w:t>
            </w:r>
            <w:r w:rsidR="00046408" w:rsidRPr="00735D18">
              <w:rPr>
                <w:rFonts w:ascii="Bookman Old Style" w:hAnsi="Bookman Old Style" w:cs="Calibri"/>
                <w:b/>
                <w:sz w:val="20"/>
                <w:szCs w:val="20"/>
                <w:lang w:val="en-US"/>
              </w:rPr>
              <w:br/>
              <w:t>(Rp)</w:t>
            </w:r>
          </w:p>
        </w:tc>
        <w:tc>
          <w:tcPr>
            <w:tcW w:w="1148" w:type="dxa"/>
            <w:vMerge w:val="restart"/>
            <w:shd w:val="clear" w:color="auto" w:fill="auto"/>
            <w:noWrap/>
            <w:vAlign w:val="center"/>
            <w:hideMark/>
          </w:tcPr>
          <w:p w14:paraId="3186EF56" w14:textId="77777777" w:rsidR="00046408" w:rsidRPr="00735D18" w:rsidRDefault="00046408" w:rsidP="007553DB">
            <w:pPr>
              <w:spacing w:before="60" w:line="276" w:lineRule="auto"/>
              <w:jc w:val="center"/>
              <w:rPr>
                <w:rFonts w:ascii="Bookman Old Style" w:hAnsi="Bookman Old Style" w:cs="Calibri"/>
                <w:b/>
                <w:sz w:val="20"/>
                <w:szCs w:val="20"/>
              </w:rPr>
            </w:pPr>
            <w:r w:rsidRPr="00735D18">
              <w:rPr>
                <w:rFonts w:ascii="Bookman Old Style" w:hAnsi="Bookman Old Style" w:cs="Calibri"/>
                <w:b/>
                <w:sz w:val="20"/>
                <w:szCs w:val="20"/>
                <w:lang w:val="en-US"/>
              </w:rPr>
              <w:t>%</w:t>
            </w:r>
          </w:p>
        </w:tc>
      </w:tr>
      <w:tr w:rsidR="00046408" w:rsidRPr="00735D18" w14:paraId="3B0E8CA1" w14:textId="77777777" w:rsidTr="00276801">
        <w:trPr>
          <w:trHeight w:val="330"/>
          <w:jc w:val="right"/>
        </w:trPr>
        <w:tc>
          <w:tcPr>
            <w:tcW w:w="1129" w:type="dxa"/>
            <w:vMerge/>
            <w:vAlign w:val="center"/>
            <w:hideMark/>
          </w:tcPr>
          <w:p w14:paraId="15BA1FE0" w14:textId="77777777" w:rsidR="00046408" w:rsidRPr="00735D18" w:rsidRDefault="00046408" w:rsidP="00727324">
            <w:pPr>
              <w:spacing w:before="60" w:line="276" w:lineRule="auto"/>
              <w:rPr>
                <w:rFonts w:ascii="Bookman Old Style" w:hAnsi="Bookman Old Style" w:cs="Calibri"/>
                <w:bCs/>
                <w:sz w:val="20"/>
                <w:szCs w:val="20"/>
              </w:rPr>
            </w:pPr>
          </w:p>
        </w:tc>
        <w:tc>
          <w:tcPr>
            <w:tcW w:w="2693" w:type="dxa"/>
            <w:vMerge/>
            <w:vAlign w:val="center"/>
            <w:hideMark/>
          </w:tcPr>
          <w:p w14:paraId="20659723" w14:textId="77777777" w:rsidR="00046408" w:rsidRPr="00735D18" w:rsidRDefault="00046408" w:rsidP="00727324">
            <w:pPr>
              <w:spacing w:before="60" w:line="276" w:lineRule="auto"/>
              <w:rPr>
                <w:rFonts w:ascii="Bookman Old Style" w:hAnsi="Bookman Old Style" w:cs="Calibri"/>
                <w:bCs/>
                <w:sz w:val="20"/>
                <w:szCs w:val="20"/>
              </w:rPr>
            </w:pPr>
          </w:p>
        </w:tc>
        <w:tc>
          <w:tcPr>
            <w:tcW w:w="2693" w:type="dxa"/>
            <w:vMerge/>
            <w:vAlign w:val="center"/>
            <w:hideMark/>
          </w:tcPr>
          <w:p w14:paraId="7463ED7B" w14:textId="77777777" w:rsidR="00046408" w:rsidRPr="00735D18" w:rsidRDefault="00046408" w:rsidP="00727324">
            <w:pPr>
              <w:spacing w:before="60" w:line="276" w:lineRule="auto"/>
              <w:rPr>
                <w:rFonts w:ascii="Bookman Old Style" w:hAnsi="Bookman Old Style" w:cs="Calibri"/>
                <w:bCs/>
                <w:sz w:val="20"/>
                <w:szCs w:val="20"/>
              </w:rPr>
            </w:pPr>
          </w:p>
        </w:tc>
        <w:tc>
          <w:tcPr>
            <w:tcW w:w="1148" w:type="dxa"/>
            <w:vMerge/>
            <w:vAlign w:val="center"/>
            <w:hideMark/>
          </w:tcPr>
          <w:p w14:paraId="1BC91C4D" w14:textId="77777777" w:rsidR="00046408" w:rsidRPr="00735D18" w:rsidRDefault="00046408" w:rsidP="007553DB">
            <w:pPr>
              <w:spacing w:before="60" w:line="276" w:lineRule="auto"/>
              <w:jc w:val="center"/>
              <w:rPr>
                <w:rFonts w:ascii="Bookman Old Style" w:hAnsi="Bookman Old Style" w:cs="Calibri"/>
                <w:bCs/>
                <w:sz w:val="20"/>
                <w:szCs w:val="20"/>
              </w:rPr>
            </w:pPr>
          </w:p>
        </w:tc>
      </w:tr>
      <w:tr w:rsidR="00046408" w:rsidRPr="00735D18" w14:paraId="2C4482A7" w14:textId="77777777" w:rsidTr="00276801">
        <w:trPr>
          <w:trHeight w:val="290"/>
          <w:jc w:val="right"/>
        </w:trPr>
        <w:tc>
          <w:tcPr>
            <w:tcW w:w="1129" w:type="dxa"/>
            <w:shd w:val="clear" w:color="auto" w:fill="auto"/>
            <w:noWrap/>
            <w:vAlign w:val="center"/>
            <w:hideMark/>
          </w:tcPr>
          <w:p w14:paraId="3835DC3F" w14:textId="77777777" w:rsidR="00046408" w:rsidRPr="00735D18" w:rsidRDefault="00046408" w:rsidP="00727324">
            <w:pPr>
              <w:spacing w:before="60" w:line="276" w:lineRule="auto"/>
              <w:jc w:val="center"/>
              <w:rPr>
                <w:rFonts w:ascii="Bookman Old Style" w:hAnsi="Bookman Old Style" w:cs="Calibri"/>
                <w:bCs/>
                <w:i/>
                <w:iCs/>
                <w:sz w:val="20"/>
                <w:szCs w:val="20"/>
              </w:rPr>
            </w:pPr>
            <w:r w:rsidRPr="00735D18">
              <w:rPr>
                <w:rFonts w:ascii="Bookman Old Style" w:hAnsi="Bookman Old Style" w:cs="Calibri"/>
                <w:bCs/>
                <w:i/>
                <w:iCs/>
                <w:sz w:val="20"/>
                <w:szCs w:val="20"/>
                <w:lang w:val="en-US"/>
              </w:rPr>
              <w:t>1</w:t>
            </w:r>
          </w:p>
        </w:tc>
        <w:tc>
          <w:tcPr>
            <w:tcW w:w="2693" w:type="dxa"/>
            <w:shd w:val="clear" w:color="auto" w:fill="auto"/>
            <w:noWrap/>
            <w:vAlign w:val="center"/>
            <w:hideMark/>
          </w:tcPr>
          <w:p w14:paraId="054F3BFA" w14:textId="77777777" w:rsidR="00046408" w:rsidRPr="00735D18" w:rsidRDefault="00046408" w:rsidP="00727324">
            <w:pPr>
              <w:spacing w:before="60" w:line="276" w:lineRule="auto"/>
              <w:jc w:val="center"/>
              <w:rPr>
                <w:rFonts w:ascii="Bookman Old Style" w:hAnsi="Bookman Old Style" w:cs="Calibri"/>
                <w:bCs/>
                <w:i/>
                <w:iCs/>
                <w:sz w:val="20"/>
                <w:szCs w:val="20"/>
              </w:rPr>
            </w:pPr>
            <w:r w:rsidRPr="00735D18">
              <w:rPr>
                <w:rFonts w:ascii="Bookman Old Style" w:hAnsi="Bookman Old Style" w:cs="Calibri"/>
                <w:bCs/>
                <w:i/>
                <w:iCs/>
                <w:sz w:val="20"/>
                <w:szCs w:val="20"/>
                <w:lang w:val="en-US"/>
              </w:rPr>
              <w:t>2</w:t>
            </w:r>
          </w:p>
        </w:tc>
        <w:tc>
          <w:tcPr>
            <w:tcW w:w="2693" w:type="dxa"/>
            <w:shd w:val="clear" w:color="auto" w:fill="auto"/>
            <w:noWrap/>
            <w:vAlign w:val="center"/>
            <w:hideMark/>
          </w:tcPr>
          <w:p w14:paraId="4BBC8630" w14:textId="77777777" w:rsidR="00046408" w:rsidRPr="00735D18" w:rsidRDefault="00046408" w:rsidP="00727324">
            <w:pPr>
              <w:spacing w:before="60" w:line="276" w:lineRule="auto"/>
              <w:jc w:val="center"/>
              <w:rPr>
                <w:rFonts w:ascii="Bookman Old Style" w:hAnsi="Bookman Old Style" w:cs="Calibri"/>
                <w:bCs/>
                <w:i/>
                <w:iCs/>
                <w:sz w:val="20"/>
                <w:szCs w:val="20"/>
              </w:rPr>
            </w:pPr>
            <w:r w:rsidRPr="00735D18">
              <w:rPr>
                <w:rFonts w:ascii="Bookman Old Style" w:hAnsi="Bookman Old Style" w:cs="Calibri"/>
                <w:bCs/>
                <w:i/>
                <w:iCs/>
                <w:sz w:val="20"/>
                <w:szCs w:val="20"/>
                <w:lang w:val="en-US"/>
              </w:rPr>
              <w:t>3</w:t>
            </w:r>
          </w:p>
        </w:tc>
        <w:tc>
          <w:tcPr>
            <w:tcW w:w="1148" w:type="dxa"/>
            <w:shd w:val="clear" w:color="auto" w:fill="auto"/>
            <w:noWrap/>
            <w:vAlign w:val="center"/>
            <w:hideMark/>
          </w:tcPr>
          <w:p w14:paraId="0DA68B6E" w14:textId="01EBA9A3" w:rsidR="00046408" w:rsidRPr="00735D18" w:rsidRDefault="00046408" w:rsidP="007553DB">
            <w:pPr>
              <w:spacing w:before="60" w:line="276" w:lineRule="auto"/>
              <w:jc w:val="center"/>
              <w:rPr>
                <w:rFonts w:ascii="Bookman Old Style" w:hAnsi="Bookman Old Style" w:cs="Calibri"/>
                <w:bCs/>
                <w:i/>
                <w:iCs/>
                <w:sz w:val="20"/>
                <w:szCs w:val="20"/>
              </w:rPr>
            </w:pPr>
            <w:r w:rsidRPr="00735D18">
              <w:rPr>
                <w:rFonts w:ascii="Bookman Old Style" w:hAnsi="Bookman Old Style" w:cs="Calibri"/>
                <w:bCs/>
                <w:i/>
                <w:iCs/>
                <w:sz w:val="20"/>
                <w:szCs w:val="20"/>
              </w:rPr>
              <w:t>4</w:t>
            </w:r>
          </w:p>
        </w:tc>
      </w:tr>
      <w:tr w:rsidR="00F43B88" w:rsidRPr="00735D18" w14:paraId="368B5124" w14:textId="77777777" w:rsidTr="00276801">
        <w:trPr>
          <w:trHeight w:val="290"/>
          <w:jc w:val="right"/>
        </w:trPr>
        <w:tc>
          <w:tcPr>
            <w:tcW w:w="1129" w:type="dxa"/>
            <w:shd w:val="clear" w:color="auto" w:fill="auto"/>
            <w:noWrap/>
            <w:vAlign w:val="center"/>
            <w:hideMark/>
          </w:tcPr>
          <w:p w14:paraId="4BE215A6" w14:textId="6C2AAF70" w:rsidR="00F43B88" w:rsidRPr="00735D18" w:rsidRDefault="00F43B88" w:rsidP="00F43B88">
            <w:pPr>
              <w:spacing w:before="60" w:line="276" w:lineRule="auto"/>
              <w:jc w:val="center"/>
              <w:rPr>
                <w:rFonts w:ascii="Bookman Old Style" w:hAnsi="Bookman Old Style" w:cs="Calibri"/>
                <w:bCs/>
                <w:sz w:val="20"/>
                <w:szCs w:val="20"/>
              </w:rPr>
            </w:pPr>
            <w:r w:rsidRPr="00735D18">
              <w:rPr>
                <w:rFonts w:ascii="Bookman Old Style" w:hAnsi="Bookman Old Style" w:cs="Calibri"/>
                <w:bCs/>
                <w:sz w:val="20"/>
                <w:szCs w:val="20"/>
                <w:lang w:val="en-US"/>
              </w:rPr>
              <w:t>2020</w:t>
            </w:r>
          </w:p>
        </w:tc>
        <w:tc>
          <w:tcPr>
            <w:tcW w:w="2693" w:type="dxa"/>
            <w:shd w:val="clear" w:color="auto" w:fill="auto"/>
            <w:noWrap/>
            <w:vAlign w:val="center"/>
          </w:tcPr>
          <w:p w14:paraId="3B6551A1" w14:textId="11703B1D" w:rsidR="00F43B88" w:rsidRPr="00735D18" w:rsidRDefault="00F43B88" w:rsidP="00F43B88">
            <w:pPr>
              <w:spacing w:before="60" w:line="276" w:lineRule="auto"/>
              <w:jc w:val="right"/>
              <w:rPr>
                <w:rFonts w:ascii="Bookman Old Style" w:hAnsi="Bookman Old Style" w:cs="Calibri"/>
                <w:bCs/>
                <w:sz w:val="20"/>
                <w:szCs w:val="20"/>
              </w:rPr>
            </w:pPr>
            <w:r w:rsidRPr="00735D18">
              <w:rPr>
                <w:rFonts w:ascii="Bookman Old Style" w:hAnsi="Bookman Old Style"/>
                <w:color w:val="000000"/>
                <w:sz w:val="20"/>
                <w:szCs w:val="20"/>
              </w:rPr>
              <w:t>4.061.484.660.063,09</w:t>
            </w:r>
          </w:p>
        </w:tc>
        <w:tc>
          <w:tcPr>
            <w:tcW w:w="2693" w:type="dxa"/>
            <w:shd w:val="clear" w:color="auto" w:fill="auto"/>
            <w:noWrap/>
            <w:vAlign w:val="center"/>
          </w:tcPr>
          <w:p w14:paraId="38F95C8A" w14:textId="19989251" w:rsidR="00F43B88" w:rsidRPr="00735D18" w:rsidRDefault="00F43B88" w:rsidP="00F43B88">
            <w:pPr>
              <w:spacing w:before="60" w:line="276" w:lineRule="auto"/>
              <w:jc w:val="right"/>
              <w:rPr>
                <w:rFonts w:ascii="Bookman Old Style" w:hAnsi="Bookman Old Style" w:cs="Calibri"/>
                <w:bCs/>
                <w:sz w:val="20"/>
                <w:szCs w:val="20"/>
              </w:rPr>
            </w:pPr>
            <w:r w:rsidRPr="00735D18">
              <w:rPr>
                <w:rFonts w:ascii="Bookman Old Style" w:hAnsi="Bookman Old Style"/>
                <w:color w:val="000000"/>
                <w:sz w:val="20"/>
                <w:szCs w:val="20"/>
              </w:rPr>
              <w:t>3.511.434.248.532,78</w:t>
            </w:r>
          </w:p>
        </w:tc>
        <w:tc>
          <w:tcPr>
            <w:tcW w:w="1148" w:type="dxa"/>
            <w:shd w:val="clear" w:color="auto" w:fill="auto"/>
            <w:noWrap/>
            <w:vAlign w:val="center"/>
          </w:tcPr>
          <w:p w14:paraId="67002192" w14:textId="0D31EB8B" w:rsidR="00F43B88" w:rsidRPr="00735D18" w:rsidRDefault="00F43B88" w:rsidP="00F43B88">
            <w:pPr>
              <w:spacing w:before="60" w:line="276" w:lineRule="auto"/>
              <w:jc w:val="center"/>
              <w:rPr>
                <w:rFonts w:ascii="Bookman Old Style" w:hAnsi="Bookman Old Style" w:cs="Calibri"/>
                <w:bCs/>
                <w:sz w:val="20"/>
                <w:szCs w:val="20"/>
              </w:rPr>
            </w:pPr>
            <w:r w:rsidRPr="00735D18">
              <w:rPr>
                <w:rFonts w:ascii="Bookman Old Style" w:hAnsi="Bookman Old Style"/>
                <w:color w:val="000000"/>
                <w:sz w:val="20"/>
                <w:szCs w:val="20"/>
              </w:rPr>
              <w:t>86,46</w:t>
            </w:r>
          </w:p>
        </w:tc>
      </w:tr>
      <w:tr w:rsidR="00F43B88" w:rsidRPr="00735D18" w14:paraId="3B8300CE" w14:textId="77777777" w:rsidTr="00276801">
        <w:trPr>
          <w:trHeight w:val="290"/>
          <w:jc w:val="right"/>
        </w:trPr>
        <w:tc>
          <w:tcPr>
            <w:tcW w:w="1129" w:type="dxa"/>
            <w:shd w:val="clear" w:color="auto" w:fill="auto"/>
            <w:noWrap/>
            <w:vAlign w:val="center"/>
            <w:hideMark/>
          </w:tcPr>
          <w:p w14:paraId="19B4AB3F" w14:textId="60A0E002" w:rsidR="00F43B88" w:rsidRPr="00735D18" w:rsidRDefault="00F43B88" w:rsidP="00F43B88">
            <w:pPr>
              <w:spacing w:before="60" w:line="276" w:lineRule="auto"/>
              <w:jc w:val="center"/>
              <w:rPr>
                <w:rFonts w:ascii="Bookman Old Style" w:hAnsi="Bookman Old Style" w:cs="Calibri"/>
                <w:bCs/>
                <w:sz w:val="20"/>
                <w:szCs w:val="20"/>
              </w:rPr>
            </w:pPr>
            <w:r w:rsidRPr="00735D18">
              <w:rPr>
                <w:rFonts w:ascii="Bookman Old Style" w:hAnsi="Bookman Old Style" w:cs="Calibri"/>
                <w:bCs/>
                <w:sz w:val="20"/>
                <w:szCs w:val="20"/>
                <w:lang w:val="en-US"/>
              </w:rPr>
              <w:t>2021</w:t>
            </w:r>
          </w:p>
        </w:tc>
        <w:tc>
          <w:tcPr>
            <w:tcW w:w="2693" w:type="dxa"/>
            <w:shd w:val="clear" w:color="auto" w:fill="auto"/>
            <w:noWrap/>
            <w:vAlign w:val="center"/>
          </w:tcPr>
          <w:p w14:paraId="431A4935" w14:textId="4F25FD3A" w:rsidR="00F43B88" w:rsidRPr="00735D18" w:rsidRDefault="00F43B88" w:rsidP="00F43B88">
            <w:pPr>
              <w:spacing w:before="60" w:line="276" w:lineRule="auto"/>
              <w:jc w:val="right"/>
              <w:rPr>
                <w:rFonts w:ascii="Bookman Old Style" w:hAnsi="Bookman Old Style" w:cs="Calibri"/>
                <w:bCs/>
                <w:sz w:val="20"/>
                <w:szCs w:val="20"/>
              </w:rPr>
            </w:pPr>
            <w:r w:rsidRPr="00735D18">
              <w:rPr>
                <w:rFonts w:ascii="Bookman Old Style" w:hAnsi="Bookman Old Style"/>
                <w:color w:val="000000"/>
                <w:sz w:val="20"/>
                <w:szCs w:val="20"/>
              </w:rPr>
              <w:t>4.757.820.003.689,00</w:t>
            </w:r>
          </w:p>
        </w:tc>
        <w:tc>
          <w:tcPr>
            <w:tcW w:w="2693" w:type="dxa"/>
            <w:shd w:val="clear" w:color="auto" w:fill="auto"/>
            <w:noWrap/>
            <w:vAlign w:val="center"/>
          </w:tcPr>
          <w:p w14:paraId="62774E5E" w14:textId="7F7069B7" w:rsidR="00F43B88" w:rsidRPr="00735D18" w:rsidRDefault="00F43B88" w:rsidP="00F43B88">
            <w:pPr>
              <w:spacing w:before="60" w:line="276" w:lineRule="auto"/>
              <w:jc w:val="right"/>
              <w:rPr>
                <w:rFonts w:ascii="Bookman Old Style" w:hAnsi="Bookman Old Style" w:cs="Calibri"/>
                <w:bCs/>
                <w:sz w:val="20"/>
                <w:szCs w:val="20"/>
              </w:rPr>
            </w:pPr>
            <w:r w:rsidRPr="00735D18">
              <w:rPr>
                <w:rFonts w:ascii="Bookman Old Style" w:hAnsi="Bookman Old Style"/>
                <w:color w:val="000000"/>
                <w:sz w:val="20"/>
                <w:szCs w:val="20"/>
              </w:rPr>
              <w:t>4.127.780.205.111,00</w:t>
            </w:r>
          </w:p>
        </w:tc>
        <w:tc>
          <w:tcPr>
            <w:tcW w:w="1148" w:type="dxa"/>
            <w:shd w:val="clear" w:color="auto" w:fill="auto"/>
            <w:noWrap/>
            <w:vAlign w:val="center"/>
          </w:tcPr>
          <w:p w14:paraId="0D38A43C" w14:textId="169494E8" w:rsidR="00F43B88" w:rsidRPr="00735D18" w:rsidRDefault="00F43B88" w:rsidP="00F43B88">
            <w:pPr>
              <w:spacing w:before="60" w:line="276" w:lineRule="auto"/>
              <w:jc w:val="center"/>
              <w:rPr>
                <w:rFonts w:ascii="Bookman Old Style" w:hAnsi="Bookman Old Style" w:cs="Calibri"/>
                <w:bCs/>
                <w:sz w:val="20"/>
                <w:szCs w:val="20"/>
              </w:rPr>
            </w:pPr>
            <w:r w:rsidRPr="00735D18">
              <w:rPr>
                <w:rFonts w:ascii="Bookman Old Style" w:hAnsi="Bookman Old Style"/>
                <w:color w:val="000000"/>
                <w:sz w:val="20"/>
                <w:szCs w:val="20"/>
              </w:rPr>
              <w:t>86,76</w:t>
            </w:r>
          </w:p>
        </w:tc>
      </w:tr>
      <w:tr w:rsidR="00071BB9" w:rsidRPr="00735D18" w14:paraId="0971A087" w14:textId="77777777" w:rsidTr="00276801">
        <w:trPr>
          <w:trHeight w:val="290"/>
          <w:jc w:val="right"/>
        </w:trPr>
        <w:tc>
          <w:tcPr>
            <w:tcW w:w="1129" w:type="dxa"/>
            <w:shd w:val="clear" w:color="auto" w:fill="auto"/>
            <w:noWrap/>
            <w:vAlign w:val="center"/>
            <w:hideMark/>
          </w:tcPr>
          <w:p w14:paraId="2BC2B860" w14:textId="270F10E9" w:rsidR="00071BB9" w:rsidRPr="00735D18" w:rsidRDefault="00071BB9" w:rsidP="00071BB9">
            <w:pPr>
              <w:spacing w:before="60" w:line="276" w:lineRule="auto"/>
              <w:jc w:val="center"/>
              <w:rPr>
                <w:rFonts w:ascii="Bookman Old Style" w:hAnsi="Bookman Old Style" w:cs="Calibri"/>
                <w:bCs/>
                <w:sz w:val="20"/>
                <w:szCs w:val="20"/>
              </w:rPr>
            </w:pPr>
            <w:r w:rsidRPr="00735D18">
              <w:rPr>
                <w:rFonts w:ascii="Bookman Old Style" w:hAnsi="Bookman Old Style" w:cs="Calibri"/>
                <w:bCs/>
                <w:sz w:val="20"/>
                <w:szCs w:val="20"/>
                <w:lang w:val="en-US"/>
              </w:rPr>
              <w:t>2022</w:t>
            </w:r>
          </w:p>
        </w:tc>
        <w:tc>
          <w:tcPr>
            <w:tcW w:w="2693" w:type="dxa"/>
            <w:shd w:val="clear" w:color="auto" w:fill="auto"/>
            <w:noWrap/>
            <w:vAlign w:val="center"/>
          </w:tcPr>
          <w:p w14:paraId="68281709" w14:textId="697E4E04" w:rsidR="00071BB9" w:rsidRPr="00735D18" w:rsidRDefault="00071BB9" w:rsidP="00071BB9">
            <w:pPr>
              <w:spacing w:before="60" w:line="276" w:lineRule="auto"/>
              <w:jc w:val="right"/>
              <w:rPr>
                <w:rFonts w:ascii="Bookman Old Style" w:hAnsi="Bookman Old Style" w:cs="Calibri"/>
                <w:bCs/>
                <w:sz w:val="20"/>
                <w:szCs w:val="20"/>
              </w:rPr>
            </w:pPr>
            <w:r w:rsidRPr="00735D18">
              <w:rPr>
                <w:rFonts w:ascii="Bookman Old Style" w:hAnsi="Bookman Old Style" w:cs="Calibri"/>
                <w:bCs/>
                <w:color w:val="000000"/>
                <w:sz w:val="20"/>
                <w:szCs w:val="20"/>
              </w:rPr>
              <w:t>4.910.705.325.360</w:t>
            </w:r>
            <w:r w:rsidR="00337849" w:rsidRPr="00735D18">
              <w:rPr>
                <w:rFonts w:ascii="Bookman Old Style" w:hAnsi="Bookman Old Style"/>
                <w:bCs/>
                <w:sz w:val="20"/>
                <w:szCs w:val="20"/>
              </w:rPr>
              <w:t>,00</w:t>
            </w:r>
            <w:r w:rsidR="00A954D0">
              <w:rPr>
                <w:rFonts w:ascii="Bookman Old Style" w:hAnsi="Bookman Old Style" w:cs="Calibri"/>
                <w:bCs/>
                <w:color w:val="000000"/>
                <w:sz w:val="20"/>
                <w:szCs w:val="20"/>
              </w:rPr>
              <w:t xml:space="preserve"> </w:t>
            </w:r>
          </w:p>
        </w:tc>
        <w:tc>
          <w:tcPr>
            <w:tcW w:w="2693" w:type="dxa"/>
            <w:shd w:val="clear" w:color="auto" w:fill="auto"/>
            <w:noWrap/>
            <w:vAlign w:val="center"/>
          </w:tcPr>
          <w:p w14:paraId="65089E24" w14:textId="6EE7CF0A" w:rsidR="00071BB9" w:rsidRPr="00735D18" w:rsidRDefault="00A954D0" w:rsidP="00071BB9">
            <w:pPr>
              <w:spacing w:before="60" w:line="276" w:lineRule="auto"/>
              <w:jc w:val="right"/>
              <w:rPr>
                <w:rFonts w:ascii="Bookman Old Style" w:hAnsi="Bookman Old Style" w:cs="Calibri"/>
                <w:bCs/>
                <w:sz w:val="20"/>
                <w:szCs w:val="20"/>
              </w:rPr>
            </w:pPr>
            <w:r>
              <w:rPr>
                <w:rFonts w:ascii="Bookman Old Style" w:hAnsi="Bookman Old Style" w:cs="Calibri"/>
                <w:bCs/>
                <w:color w:val="000000"/>
                <w:sz w:val="20"/>
                <w:szCs w:val="20"/>
              </w:rPr>
              <w:t xml:space="preserve"> </w:t>
            </w:r>
            <w:r w:rsidR="00071BB9" w:rsidRPr="00735D18">
              <w:rPr>
                <w:rFonts w:ascii="Bookman Old Style" w:hAnsi="Bookman Old Style" w:cs="Calibri"/>
                <w:bCs/>
                <w:color w:val="000000"/>
                <w:sz w:val="20"/>
                <w:szCs w:val="20"/>
              </w:rPr>
              <w:t>4.434.781.481.835</w:t>
            </w:r>
            <w:r w:rsidR="00337849" w:rsidRPr="00735D18">
              <w:rPr>
                <w:rFonts w:ascii="Bookman Old Style" w:hAnsi="Bookman Old Style"/>
                <w:bCs/>
                <w:sz w:val="20"/>
                <w:szCs w:val="20"/>
              </w:rPr>
              <w:t>,00</w:t>
            </w:r>
            <w:r>
              <w:rPr>
                <w:rFonts w:ascii="Bookman Old Style" w:hAnsi="Bookman Old Style" w:cs="Calibri"/>
                <w:bCs/>
                <w:color w:val="000000"/>
                <w:sz w:val="20"/>
                <w:szCs w:val="20"/>
              </w:rPr>
              <w:t xml:space="preserve"> </w:t>
            </w:r>
          </w:p>
        </w:tc>
        <w:tc>
          <w:tcPr>
            <w:tcW w:w="1148" w:type="dxa"/>
            <w:shd w:val="clear" w:color="auto" w:fill="auto"/>
            <w:noWrap/>
            <w:vAlign w:val="center"/>
          </w:tcPr>
          <w:p w14:paraId="3C375176" w14:textId="0917F7E4" w:rsidR="00071BB9" w:rsidRPr="00735D18" w:rsidRDefault="00071BB9" w:rsidP="007553DB">
            <w:pPr>
              <w:spacing w:before="60" w:line="276" w:lineRule="auto"/>
              <w:jc w:val="center"/>
              <w:rPr>
                <w:rFonts w:ascii="Bookman Old Style" w:hAnsi="Bookman Old Style" w:cs="Calibri"/>
                <w:bCs/>
                <w:sz w:val="20"/>
                <w:szCs w:val="20"/>
              </w:rPr>
            </w:pPr>
            <w:r w:rsidRPr="00735D18">
              <w:rPr>
                <w:rFonts w:ascii="Bookman Old Style" w:hAnsi="Bookman Old Style" w:cs="Calibri"/>
                <w:bCs/>
                <w:color w:val="000000"/>
                <w:sz w:val="20"/>
                <w:szCs w:val="20"/>
              </w:rPr>
              <w:t>90,31</w:t>
            </w:r>
          </w:p>
        </w:tc>
      </w:tr>
      <w:tr w:rsidR="00071BB9" w:rsidRPr="00735D18" w14:paraId="4C112B5E" w14:textId="77777777" w:rsidTr="00276801">
        <w:trPr>
          <w:trHeight w:val="290"/>
          <w:jc w:val="right"/>
        </w:trPr>
        <w:tc>
          <w:tcPr>
            <w:tcW w:w="1129" w:type="dxa"/>
            <w:shd w:val="clear" w:color="auto" w:fill="auto"/>
            <w:noWrap/>
            <w:vAlign w:val="center"/>
            <w:hideMark/>
          </w:tcPr>
          <w:p w14:paraId="672802E7" w14:textId="34F101EC" w:rsidR="00071BB9" w:rsidRPr="00735D18" w:rsidRDefault="00071BB9" w:rsidP="00071BB9">
            <w:pPr>
              <w:spacing w:before="60" w:line="276" w:lineRule="auto"/>
              <w:jc w:val="center"/>
              <w:rPr>
                <w:rFonts w:ascii="Bookman Old Style" w:hAnsi="Bookman Old Style" w:cs="Calibri"/>
                <w:bCs/>
                <w:sz w:val="20"/>
                <w:szCs w:val="20"/>
              </w:rPr>
            </w:pPr>
            <w:r w:rsidRPr="00735D18">
              <w:rPr>
                <w:rFonts w:ascii="Bookman Old Style" w:hAnsi="Bookman Old Style" w:cs="Calibri"/>
                <w:bCs/>
                <w:sz w:val="20"/>
                <w:szCs w:val="20"/>
                <w:lang w:val="en-US"/>
              </w:rPr>
              <w:t>2023</w:t>
            </w:r>
          </w:p>
        </w:tc>
        <w:tc>
          <w:tcPr>
            <w:tcW w:w="2693" w:type="dxa"/>
            <w:shd w:val="clear" w:color="auto" w:fill="auto"/>
            <w:noWrap/>
            <w:vAlign w:val="center"/>
          </w:tcPr>
          <w:p w14:paraId="05044A0A" w14:textId="3DBB1D87" w:rsidR="00071BB9" w:rsidRPr="00735D18" w:rsidRDefault="00071BB9" w:rsidP="00071BB9">
            <w:pPr>
              <w:spacing w:before="60" w:line="276" w:lineRule="auto"/>
              <w:jc w:val="right"/>
              <w:rPr>
                <w:rFonts w:ascii="Bookman Old Style" w:hAnsi="Bookman Old Style" w:cs="Calibri"/>
                <w:bCs/>
                <w:sz w:val="20"/>
                <w:szCs w:val="20"/>
              </w:rPr>
            </w:pPr>
            <w:r w:rsidRPr="00735D18">
              <w:rPr>
                <w:rFonts w:ascii="Bookman Old Style" w:hAnsi="Bookman Old Style" w:cs="Calibri"/>
                <w:bCs/>
                <w:color w:val="000000"/>
                <w:sz w:val="20"/>
                <w:szCs w:val="20"/>
              </w:rPr>
              <w:t>5.060.875.781.078</w:t>
            </w:r>
            <w:r w:rsidR="00337849" w:rsidRPr="00735D18">
              <w:rPr>
                <w:rFonts w:ascii="Bookman Old Style" w:hAnsi="Bookman Old Style"/>
                <w:bCs/>
                <w:sz w:val="20"/>
                <w:szCs w:val="20"/>
              </w:rPr>
              <w:t>,00</w:t>
            </w:r>
            <w:r w:rsidR="00A954D0">
              <w:rPr>
                <w:rFonts w:ascii="Bookman Old Style" w:hAnsi="Bookman Old Style" w:cs="Calibri"/>
                <w:bCs/>
                <w:color w:val="000000"/>
                <w:sz w:val="20"/>
                <w:szCs w:val="20"/>
              </w:rPr>
              <w:t xml:space="preserve"> </w:t>
            </w:r>
          </w:p>
        </w:tc>
        <w:tc>
          <w:tcPr>
            <w:tcW w:w="2693" w:type="dxa"/>
            <w:shd w:val="clear" w:color="auto" w:fill="auto"/>
            <w:noWrap/>
            <w:vAlign w:val="center"/>
          </w:tcPr>
          <w:p w14:paraId="10990740" w14:textId="1B8F7A88" w:rsidR="00071BB9" w:rsidRPr="00735D18" w:rsidRDefault="00071BB9" w:rsidP="00071BB9">
            <w:pPr>
              <w:jc w:val="right"/>
              <w:rPr>
                <w:rFonts w:ascii="Bookman Old Style" w:hAnsi="Bookman Old Style" w:cs="Calibri"/>
                <w:bCs/>
                <w:color w:val="000000"/>
                <w:sz w:val="20"/>
                <w:szCs w:val="20"/>
              </w:rPr>
            </w:pPr>
            <w:r w:rsidRPr="00735D18">
              <w:rPr>
                <w:rFonts w:ascii="Bookman Old Style" w:hAnsi="Bookman Old Style" w:cs="Calibri"/>
                <w:bCs/>
                <w:color w:val="000000"/>
                <w:sz w:val="20"/>
                <w:szCs w:val="20"/>
              </w:rPr>
              <w:t>4.705.483.322.900</w:t>
            </w:r>
            <w:r w:rsidR="00337849" w:rsidRPr="00735D18">
              <w:rPr>
                <w:rFonts w:ascii="Bookman Old Style" w:hAnsi="Bookman Old Style"/>
                <w:bCs/>
                <w:sz w:val="20"/>
                <w:szCs w:val="20"/>
              </w:rPr>
              <w:t>,00</w:t>
            </w:r>
            <w:r w:rsidR="00A954D0">
              <w:rPr>
                <w:rFonts w:ascii="Bookman Old Style" w:hAnsi="Bookman Old Style" w:cs="Calibri"/>
                <w:bCs/>
                <w:color w:val="000000"/>
                <w:sz w:val="20"/>
                <w:szCs w:val="20"/>
              </w:rPr>
              <w:t xml:space="preserve"> </w:t>
            </w:r>
          </w:p>
        </w:tc>
        <w:tc>
          <w:tcPr>
            <w:tcW w:w="1148" w:type="dxa"/>
            <w:shd w:val="clear" w:color="auto" w:fill="auto"/>
            <w:noWrap/>
            <w:vAlign w:val="center"/>
          </w:tcPr>
          <w:p w14:paraId="7D9D4615" w14:textId="10C8B9C9" w:rsidR="00071BB9" w:rsidRPr="00735D18" w:rsidRDefault="00071BB9" w:rsidP="007553DB">
            <w:pPr>
              <w:spacing w:before="60" w:line="276" w:lineRule="auto"/>
              <w:jc w:val="center"/>
              <w:rPr>
                <w:rFonts w:ascii="Bookman Old Style" w:hAnsi="Bookman Old Style" w:cs="Calibri"/>
                <w:bCs/>
                <w:sz w:val="20"/>
                <w:szCs w:val="20"/>
              </w:rPr>
            </w:pPr>
            <w:r w:rsidRPr="00735D18">
              <w:rPr>
                <w:rFonts w:ascii="Bookman Old Style" w:hAnsi="Bookman Old Style" w:cs="Calibri"/>
                <w:bCs/>
                <w:color w:val="000000"/>
                <w:sz w:val="20"/>
                <w:szCs w:val="20"/>
              </w:rPr>
              <w:t>92,98</w:t>
            </w:r>
          </w:p>
        </w:tc>
      </w:tr>
      <w:tr w:rsidR="00071BB9" w:rsidRPr="00735D18" w14:paraId="3543DDA1" w14:textId="77777777" w:rsidTr="00276801">
        <w:trPr>
          <w:trHeight w:val="290"/>
          <w:jc w:val="right"/>
        </w:trPr>
        <w:tc>
          <w:tcPr>
            <w:tcW w:w="1129" w:type="dxa"/>
            <w:shd w:val="clear" w:color="auto" w:fill="auto"/>
            <w:noWrap/>
            <w:vAlign w:val="center"/>
            <w:hideMark/>
          </w:tcPr>
          <w:p w14:paraId="49B9961B" w14:textId="18E97CEE" w:rsidR="00071BB9" w:rsidRPr="00735D18" w:rsidRDefault="00071BB9" w:rsidP="00071BB9">
            <w:pPr>
              <w:spacing w:before="60" w:line="276" w:lineRule="auto"/>
              <w:jc w:val="center"/>
              <w:rPr>
                <w:rFonts w:ascii="Bookman Old Style" w:hAnsi="Bookman Old Style" w:cs="Calibri"/>
                <w:bCs/>
                <w:sz w:val="20"/>
                <w:szCs w:val="20"/>
              </w:rPr>
            </w:pPr>
            <w:r w:rsidRPr="00735D18">
              <w:rPr>
                <w:rFonts w:ascii="Bookman Old Style" w:hAnsi="Bookman Old Style" w:cs="Calibri"/>
                <w:bCs/>
                <w:sz w:val="20"/>
                <w:szCs w:val="20"/>
                <w:lang w:val="en-US"/>
              </w:rPr>
              <w:t>2024*)</w:t>
            </w:r>
          </w:p>
        </w:tc>
        <w:tc>
          <w:tcPr>
            <w:tcW w:w="2693" w:type="dxa"/>
            <w:shd w:val="clear" w:color="auto" w:fill="auto"/>
            <w:noWrap/>
            <w:vAlign w:val="center"/>
          </w:tcPr>
          <w:p w14:paraId="6FC0654B" w14:textId="76091C17" w:rsidR="00071BB9" w:rsidRPr="00735D18" w:rsidRDefault="00071BB9" w:rsidP="00071BB9">
            <w:pPr>
              <w:spacing w:before="60" w:line="276" w:lineRule="auto"/>
              <w:jc w:val="right"/>
              <w:rPr>
                <w:rFonts w:ascii="Bookman Old Style" w:hAnsi="Bookman Old Style" w:cs="Calibri"/>
                <w:bCs/>
                <w:sz w:val="20"/>
                <w:szCs w:val="20"/>
                <w:lang w:val="id-ID"/>
              </w:rPr>
            </w:pPr>
            <w:r w:rsidRPr="00735D18">
              <w:rPr>
                <w:rFonts w:ascii="Bookman Old Style" w:hAnsi="Bookman Old Style" w:cs="Calibri"/>
                <w:bCs/>
                <w:color w:val="000000"/>
                <w:sz w:val="20"/>
                <w:szCs w:val="20"/>
              </w:rPr>
              <w:t>5.355.694.107.251</w:t>
            </w:r>
            <w:r w:rsidR="00337849" w:rsidRPr="00735D18">
              <w:rPr>
                <w:rFonts w:ascii="Bookman Old Style" w:hAnsi="Bookman Old Style"/>
                <w:bCs/>
                <w:sz w:val="20"/>
                <w:szCs w:val="20"/>
              </w:rPr>
              <w:t>,00</w:t>
            </w:r>
            <w:r w:rsidR="00A954D0">
              <w:rPr>
                <w:rFonts w:ascii="Bookman Old Style" w:hAnsi="Bookman Old Style" w:cs="Calibri"/>
                <w:bCs/>
                <w:color w:val="000000"/>
                <w:sz w:val="20"/>
                <w:szCs w:val="20"/>
              </w:rPr>
              <w:t xml:space="preserve"> </w:t>
            </w:r>
          </w:p>
        </w:tc>
        <w:tc>
          <w:tcPr>
            <w:tcW w:w="2693" w:type="dxa"/>
            <w:shd w:val="clear" w:color="auto" w:fill="auto"/>
            <w:noWrap/>
            <w:vAlign w:val="center"/>
          </w:tcPr>
          <w:p w14:paraId="42FAE622" w14:textId="09CF65CD" w:rsidR="00071BB9" w:rsidRPr="00735D18" w:rsidRDefault="00A954D0" w:rsidP="00071BB9">
            <w:pPr>
              <w:spacing w:before="60" w:line="276" w:lineRule="auto"/>
              <w:jc w:val="right"/>
              <w:rPr>
                <w:rFonts w:ascii="Bookman Old Style" w:hAnsi="Bookman Old Style" w:cs="Calibri"/>
                <w:bCs/>
                <w:sz w:val="20"/>
                <w:szCs w:val="20"/>
              </w:rPr>
            </w:pPr>
            <w:r>
              <w:rPr>
                <w:rFonts w:ascii="Bookman Old Style" w:hAnsi="Bookman Old Style" w:cs="Calibri"/>
                <w:bCs/>
                <w:color w:val="000000"/>
                <w:sz w:val="20"/>
                <w:szCs w:val="20"/>
              </w:rPr>
              <w:t xml:space="preserve"> </w:t>
            </w:r>
            <w:r w:rsidR="00071BB9" w:rsidRPr="00735D18">
              <w:rPr>
                <w:rFonts w:ascii="Bookman Old Style" w:hAnsi="Bookman Old Style" w:cs="Calibri"/>
                <w:bCs/>
                <w:color w:val="000000"/>
                <w:sz w:val="20"/>
                <w:szCs w:val="20"/>
              </w:rPr>
              <w:t>3.709.841.596.446</w:t>
            </w:r>
            <w:r w:rsidR="00337849" w:rsidRPr="00735D18">
              <w:rPr>
                <w:rFonts w:ascii="Bookman Old Style" w:hAnsi="Bookman Old Style"/>
                <w:bCs/>
                <w:sz w:val="20"/>
                <w:szCs w:val="20"/>
              </w:rPr>
              <w:t>,00</w:t>
            </w:r>
            <w:r>
              <w:rPr>
                <w:rFonts w:ascii="Bookman Old Style" w:hAnsi="Bookman Old Style" w:cs="Calibri"/>
                <w:bCs/>
                <w:color w:val="000000"/>
                <w:sz w:val="20"/>
                <w:szCs w:val="20"/>
              </w:rPr>
              <w:t xml:space="preserve"> </w:t>
            </w:r>
          </w:p>
        </w:tc>
        <w:tc>
          <w:tcPr>
            <w:tcW w:w="1148" w:type="dxa"/>
            <w:shd w:val="clear" w:color="auto" w:fill="auto"/>
            <w:noWrap/>
            <w:vAlign w:val="center"/>
          </w:tcPr>
          <w:p w14:paraId="0529C24F" w14:textId="385EF7F3" w:rsidR="00071BB9" w:rsidRPr="00735D18" w:rsidRDefault="00071BB9" w:rsidP="007553DB">
            <w:pPr>
              <w:spacing w:before="60" w:line="276" w:lineRule="auto"/>
              <w:jc w:val="center"/>
              <w:rPr>
                <w:rFonts w:ascii="Bookman Old Style" w:hAnsi="Bookman Old Style" w:cs="Calibri"/>
                <w:bCs/>
                <w:sz w:val="20"/>
                <w:szCs w:val="20"/>
              </w:rPr>
            </w:pPr>
            <w:r w:rsidRPr="00735D18">
              <w:rPr>
                <w:rFonts w:ascii="Bookman Old Style" w:hAnsi="Bookman Old Style" w:cs="Calibri"/>
                <w:bCs/>
                <w:color w:val="000000"/>
                <w:sz w:val="20"/>
                <w:szCs w:val="20"/>
              </w:rPr>
              <w:t>69,27</w:t>
            </w:r>
          </w:p>
        </w:tc>
      </w:tr>
      <w:tr w:rsidR="00046408" w:rsidRPr="00735D18" w14:paraId="36FF868D" w14:textId="77777777" w:rsidTr="00276801">
        <w:trPr>
          <w:trHeight w:val="290"/>
          <w:jc w:val="right"/>
        </w:trPr>
        <w:tc>
          <w:tcPr>
            <w:tcW w:w="1129" w:type="dxa"/>
            <w:shd w:val="clear" w:color="auto" w:fill="auto"/>
            <w:noWrap/>
            <w:vAlign w:val="center"/>
          </w:tcPr>
          <w:p w14:paraId="4A317A6C" w14:textId="755B67AD" w:rsidR="00046408" w:rsidRPr="00735D18" w:rsidRDefault="00046408" w:rsidP="00727324">
            <w:pPr>
              <w:spacing w:before="60" w:line="276" w:lineRule="auto"/>
              <w:jc w:val="center"/>
              <w:rPr>
                <w:rFonts w:ascii="Bookman Old Style" w:hAnsi="Bookman Old Style" w:cs="Calibri"/>
                <w:bCs/>
                <w:sz w:val="20"/>
                <w:szCs w:val="20"/>
                <w:lang w:val="en-US"/>
              </w:rPr>
            </w:pPr>
            <w:r w:rsidRPr="00735D18">
              <w:rPr>
                <w:rFonts w:ascii="Bookman Old Style" w:hAnsi="Bookman Old Style" w:cs="Calibri"/>
                <w:bCs/>
                <w:sz w:val="20"/>
                <w:szCs w:val="20"/>
                <w:lang w:val="en-US"/>
              </w:rPr>
              <w:t>2025</w:t>
            </w:r>
          </w:p>
        </w:tc>
        <w:tc>
          <w:tcPr>
            <w:tcW w:w="2693" w:type="dxa"/>
            <w:shd w:val="clear" w:color="auto" w:fill="auto"/>
            <w:noWrap/>
            <w:vAlign w:val="center"/>
          </w:tcPr>
          <w:p w14:paraId="67325095" w14:textId="1754B28F" w:rsidR="00046408" w:rsidRPr="00735D18" w:rsidRDefault="00071BB9" w:rsidP="00071BB9">
            <w:pPr>
              <w:jc w:val="right"/>
              <w:rPr>
                <w:rFonts w:ascii="Bookman Old Style" w:hAnsi="Bookman Old Style" w:cs="Calibri"/>
                <w:bCs/>
                <w:color w:val="000000"/>
                <w:sz w:val="20"/>
                <w:szCs w:val="20"/>
                <w:lang w:val="en-US"/>
              </w:rPr>
            </w:pPr>
            <w:r w:rsidRPr="00735D18">
              <w:rPr>
                <w:rFonts w:ascii="Bookman Old Style" w:hAnsi="Bookman Old Style" w:cs="Calibri"/>
                <w:bCs/>
                <w:color w:val="000000"/>
                <w:sz w:val="20"/>
                <w:szCs w:val="20"/>
              </w:rPr>
              <w:t>5.706.600.538.955</w:t>
            </w:r>
            <w:r w:rsidR="00337849" w:rsidRPr="00735D18">
              <w:rPr>
                <w:rFonts w:ascii="Bookman Old Style" w:hAnsi="Bookman Old Style"/>
                <w:bCs/>
                <w:sz w:val="20"/>
                <w:szCs w:val="20"/>
              </w:rPr>
              <w:t>,00</w:t>
            </w:r>
            <w:r w:rsidR="00A954D0">
              <w:rPr>
                <w:rFonts w:ascii="Bookman Old Style" w:hAnsi="Bookman Old Style" w:cs="Calibri"/>
                <w:bCs/>
                <w:color w:val="000000"/>
                <w:sz w:val="20"/>
                <w:szCs w:val="20"/>
              </w:rPr>
              <w:t xml:space="preserve"> </w:t>
            </w:r>
          </w:p>
        </w:tc>
        <w:tc>
          <w:tcPr>
            <w:tcW w:w="2693" w:type="dxa"/>
            <w:shd w:val="clear" w:color="auto" w:fill="auto"/>
            <w:noWrap/>
            <w:vAlign w:val="center"/>
          </w:tcPr>
          <w:p w14:paraId="104A4BAF" w14:textId="6E23640C" w:rsidR="00046408" w:rsidRPr="00735D18" w:rsidRDefault="00046408" w:rsidP="00727324">
            <w:pPr>
              <w:spacing w:before="60" w:line="276" w:lineRule="auto"/>
              <w:jc w:val="right"/>
              <w:rPr>
                <w:rFonts w:ascii="Bookman Old Style" w:hAnsi="Bookman Old Style" w:cs="Calibri"/>
                <w:bCs/>
                <w:sz w:val="20"/>
                <w:szCs w:val="20"/>
              </w:rPr>
            </w:pPr>
            <w:r w:rsidRPr="00735D18">
              <w:rPr>
                <w:rFonts w:ascii="Bookman Old Style" w:hAnsi="Bookman Old Style" w:cs="Calibri"/>
                <w:bCs/>
                <w:sz w:val="20"/>
                <w:szCs w:val="20"/>
              </w:rPr>
              <w:t>-</w:t>
            </w:r>
          </w:p>
        </w:tc>
        <w:tc>
          <w:tcPr>
            <w:tcW w:w="1148" w:type="dxa"/>
            <w:shd w:val="clear" w:color="auto" w:fill="auto"/>
            <w:noWrap/>
            <w:vAlign w:val="center"/>
          </w:tcPr>
          <w:p w14:paraId="583CFE95" w14:textId="556E4868" w:rsidR="00046408" w:rsidRPr="00735D18" w:rsidRDefault="00046408" w:rsidP="007553DB">
            <w:pPr>
              <w:spacing w:before="60" w:line="276" w:lineRule="auto"/>
              <w:jc w:val="center"/>
              <w:rPr>
                <w:rFonts w:ascii="Bookman Old Style" w:hAnsi="Bookman Old Style" w:cs="Calibri"/>
                <w:bCs/>
                <w:sz w:val="20"/>
                <w:szCs w:val="20"/>
              </w:rPr>
            </w:pPr>
            <w:r w:rsidRPr="00735D18">
              <w:rPr>
                <w:rFonts w:ascii="Bookman Old Style" w:hAnsi="Bookman Old Style" w:cs="Calibri"/>
                <w:bCs/>
                <w:sz w:val="20"/>
                <w:szCs w:val="20"/>
              </w:rPr>
              <w:t>-</w:t>
            </w:r>
          </w:p>
        </w:tc>
      </w:tr>
    </w:tbl>
    <w:p w14:paraId="79E67A5A" w14:textId="43642381" w:rsidR="002533EE" w:rsidRPr="00B16310" w:rsidRDefault="002533EE" w:rsidP="00B16310">
      <w:pPr>
        <w:spacing w:before="60" w:line="276" w:lineRule="auto"/>
        <w:ind w:left="1276"/>
        <w:jc w:val="both"/>
        <w:rPr>
          <w:rFonts w:ascii="Bookman Old Style" w:hAnsi="Bookman Old Style" w:cs="Arial"/>
          <w:i/>
          <w:sz w:val="18"/>
          <w:szCs w:val="18"/>
          <w:lang w:val="sv-FI"/>
        </w:rPr>
      </w:pPr>
      <w:r w:rsidRPr="00B16310">
        <w:rPr>
          <w:rFonts w:ascii="Bookman Old Style" w:hAnsi="Bookman Old Style" w:cs="Tahoma"/>
          <w:i/>
          <w:noProof/>
          <w:sz w:val="18"/>
          <w:szCs w:val="18"/>
          <w:lang w:val="sv-FI"/>
        </w:rPr>
        <w:t>*)</w:t>
      </w:r>
      <w:r w:rsidR="00A954D0" w:rsidRPr="00B16310">
        <w:rPr>
          <w:rFonts w:ascii="Bookman Old Style" w:hAnsi="Bookman Old Style" w:cs="Tahoma"/>
          <w:i/>
          <w:noProof/>
          <w:sz w:val="18"/>
          <w:szCs w:val="18"/>
          <w:lang w:val="sv-FI"/>
        </w:rPr>
        <w:t xml:space="preserve"> </w:t>
      </w:r>
      <w:r w:rsidR="0097546B" w:rsidRPr="00B16310">
        <w:rPr>
          <w:rFonts w:ascii="Bookman Old Style" w:hAnsi="Bookman Old Style" w:cs="Tahoma"/>
          <w:i/>
          <w:noProof/>
          <w:sz w:val="18"/>
          <w:szCs w:val="18"/>
          <w:lang w:val="sv-FI"/>
        </w:rPr>
        <w:t>Realisasi</w:t>
      </w:r>
      <w:r w:rsidR="00A954D0" w:rsidRPr="00B16310">
        <w:rPr>
          <w:rFonts w:ascii="Bookman Old Style" w:hAnsi="Bookman Old Style" w:cs="Tahoma"/>
          <w:i/>
          <w:noProof/>
          <w:sz w:val="18"/>
          <w:szCs w:val="18"/>
          <w:lang w:val="sv-FI"/>
        </w:rPr>
        <w:t xml:space="preserve"> </w:t>
      </w:r>
      <w:r w:rsidRPr="00B16310">
        <w:rPr>
          <w:rFonts w:ascii="Bookman Old Style" w:hAnsi="Bookman Old Style" w:cs="Arial"/>
          <w:i/>
          <w:sz w:val="18"/>
          <w:szCs w:val="18"/>
          <w:lang w:val="sv-FI"/>
        </w:rPr>
        <w:t>Tahun</w:t>
      </w:r>
      <w:r w:rsidR="00A954D0" w:rsidRPr="00B16310">
        <w:rPr>
          <w:rFonts w:ascii="Bookman Old Style" w:hAnsi="Bookman Old Style" w:cs="Arial"/>
          <w:i/>
          <w:sz w:val="18"/>
          <w:szCs w:val="18"/>
          <w:lang w:val="sv-FI"/>
        </w:rPr>
        <w:t xml:space="preserve"> </w:t>
      </w:r>
      <w:r w:rsidRPr="00B16310">
        <w:rPr>
          <w:rFonts w:ascii="Bookman Old Style" w:hAnsi="Bookman Old Style" w:cs="Arial"/>
          <w:i/>
          <w:sz w:val="18"/>
          <w:szCs w:val="18"/>
          <w:lang w:val="sv-FI"/>
        </w:rPr>
        <w:t>202</w:t>
      </w:r>
      <w:r w:rsidR="003925CD" w:rsidRPr="00B16310">
        <w:rPr>
          <w:rFonts w:ascii="Bookman Old Style" w:hAnsi="Bookman Old Style" w:cs="Arial"/>
          <w:i/>
          <w:sz w:val="18"/>
          <w:szCs w:val="18"/>
          <w:lang w:val="sv-FI"/>
        </w:rPr>
        <w:t>4</w:t>
      </w:r>
      <w:r w:rsidR="00A954D0" w:rsidRPr="00B16310">
        <w:rPr>
          <w:rFonts w:ascii="Bookman Old Style" w:hAnsi="Bookman Old Style" w:cs="Arial"/>
          <w:i/>
          <w:sz w:val="18"/>
          <w:szCs w:val="18"/>
          <w:lang w:val="sv-FI"/>
        </w:rPr>
        <w:t xml:space="preserve"> </w:t>
      </w:r>
      <w:r w:rsidRPr="00B16310">
        <w:rPr>
          <w:rFonts w:ascii="Bookman Old Style" w:hAnsi="Bookman Old Style" w:cs="Arial"/>
          <w:i/>
          <w:sz w:val="18"/>
          <w:szCs w:val="18"/>
          <w:lang w:val="sv-FI"/>
        </w:rPr>
        <w:t>berdasarkan</w:t>
      </w:r>
      <w:r w:rsidR="00A954D0" w:rsidRPr="00B16310">
        <w:rPr>
          <w:rFonts w:ascii="Bookman Old Style" w:hAnsi="Bookman Old Style" w:cs="Arial"/>
          <w:i/>
          <w:sz w:val="18"/>
          <w:szCs w:val="18"/>
          <w:lang w:val="sv-FI"/>
        </w:rPr>
        <w:t xml:space="preserve"> </w:t>
      </w:r>
      <w:r w:rsidRPr="00B16310">
        <w:rPr>
          <w:rFonts w:ascii="Bookman Old Style" w:hAnsi="Bookman Old Style" w:cs="Arial"/>
          <w:i/>
          <w:sz w:val="18"/>
          <w:szCs w:val="18"/>
          <w:lang w:val="sv-FI"/>
        </w:rPr>
        <w:t>Laporan</w:t>
      </w:r>
      <w:r w:rsidR="00A954D0" w:rsidRPr="00B16310">
        <w:rPr>
          <w:rFonts w:ascii="Bookman Old Style" w:hAnsi="Bookman Old Style" w:cs="Arial"/>
          <w:i/>
          <w:sz w:val="18"/>
          <w:szCs w:val="18"/>
          <w:lang w:val="sv-FI"/>
        </w:rPr>
        <w:t xml:space="preserve"> </w:t>
      </w:r>
      <w:r w:rsidRPr="00B16310">
        <w:rPr>
          <w:rFonts w:ascii="Bookman Old Style" w:hAnsi="Bookman Old Style" w:cs="Arial"/>
          <w:i/>
          <w:sz w:val="18"/>
          <w:szCs w:val="18"/>
          <w:lang w:val="sv-FI"/>
        </w:rPr>
        <w:t>Realisasi</w:t>
      </w:r>
      <w:r w:rsidR="00A954D0" w:rsidRPr="00B16310">
        <w:rPr>
          <w:rFonts w:ascii="Bookman Old Style" w:hAnsi="Bookman Old Style" w:cs="Arial"/>
          <w:i/>
          <w:sz w:val="18"/>
          <w:szCs w:val="18"/>
          <w:lang w:val="sv-FI"/>
        </w:rPr>
        <w:t xml:space="preserve"> </w:t>
      </w:r>
      <w:r w:rsidRPr="00B16310">
        <w:rPr>
          <w:rFonts w:ascii="Bookman Old Style" w:hAnsi="Bookman Old Style" w:cs="Arial"/>
          <w:i/>
          <w:sz w:val="18"/>
          <w:szCs w:val="18"/>
          <w:lang w:val="sv-FI"/>
        </w:rPr>
        <w:t>Anggaran</w:t>
      </w:r>
      <w:r w:rsidR="00A954D0" w:rsidRPr="00B16310">
        <w:rPr>
          <w:rFonts w:ascii="Bookman Old Style" w:hAnsi="Bookman Old Style" w:cs="Arial"/>
          <w:i/>
          <w:sz w:val="18"/>
          <w:szCs w:val="18"/>
          <w:lang w:val="sv-FI"/>
        </w:rPr>
        <w:t xml:space="preserve"> </w:t>
      </w:r>
      <w:r w:rsidRPr="00B16310">
        <w:rPr>
          <w:rFonts w:ascii="Bookman Old Style" w:hAnsi="Bookman Old Style" w:cs="Arial"/>
          <w:i/>
          <w:sz w:val="18"/>
          <w:szCs w:val="18"/>
          <w:lang w:val="sv-FI"/>
        </w:rPr>
        <w:t>s.d.</w:t>
      </w:r>
      <w:r w:rsidR="00A954D0" w:rsidRPr="00B16310">
        <w:rPr>
          <w:rFonts w:ascii="Bookman Old Style" w:hAnsi="Bookman Old Style" w:cs="Arial"/>
          <w:i/>
          <w:sz w:val="18"/>
          <w:szCs w:val="18"/>
          <w:lang w:val="sv-FI"/>
        </w:rPr>
        <w:t xml:space="preserve"> </w:t>
      </w:r>
      <w:r w:rsidR="003925CD" w:rsidRPr="00B16310">
        <w:rPr>
          <w:rFonts w:ascii="Bookman Old Style" w:hAnsi="Bookman Old Style" w:cs="Arial"/>
          <w:i/>
          <w:sz w:val="18"/>
          <w:szCs w:val="18"/>
          <w:lang w:val="sv-FI"/>
        </w:rPr>
        <w:t>31</w:t>
      </w:r>
      <w:r w:rsidR="00A954D0" w:rsidRPr="00B16310">
        <w:rPr>
          <w:rFonts w:ascii="Bookman Old Style" w:hAnsi="Bookman Old Style" w:cs="Arial"/>
          <w:i/>
          <w:sz w:val="18"/>
          <w:szCs w:val="18"/>
          <w:lang w:val="sv-FI"/>
        </w:rPr>
        <w:t xml:space="preserve"> </w:t>
      </w:r>
      <w:r w:rsidRPr="00B16310">
        <w:rPr>
          <w:rFonts w:ascii="Bookman Old Style" w:hAnsi="Bookman Old Style" w:cs="Arial"/>
          <w:i/>
          <w:sz w:val="18"/>
          <w:szCs w:val="18"/>
          <w:lang w:val="sv-FI"/>
        </w:rPr>
        <w:t>Oktober</w:t>
      </w:r>
      <w:r w:rsidR="00A954D0" w:rsidRPr="00B16310">
        <w:rPr>
          <w:rFonts w:ascii="Bookman Old Style" w:hAnsi="Bookman Old Style" w:cs="Arial"/>
          <w:i/>
          <w:sz w:val="18"/>
          <w:szCs w:val="18"/>
          <w:lang w:val="sv-FI"/>
        </w:rPr>
        <w:t xml:space="preserve"> </w:t>
      </w:r>
      <w:r w:rsidR="0097546B" w:rsidRPr="00B16310">
        <w:rPr>
          <w:rFonts w:ascii="Bookman Old Style" w:hAnsi="Bookman Old Style" w:cs="Arial"/>
          <w:i/>
          <w:sz w:val="18"/>
          <w:szCs w:val="18"/>
          <w:lang w:val="sv-FI"/>
        </w:rPr>
        <w:t>202</w:t>
      </w:r>
      <w:r w:rsidR="003925CD" w:rsidRPr="00B16310">
        <w:rPr>
          <w:rFonts w:ascii="Bookman Old Style" w:hAnsi="Bookman Old Style" w:cs="Arial"/>
          <w:i/>
          <w:sz w:val="18"/>
          <w:szCs w:val="18"/>
          <w:lang w:val="sv-FI"/>
        </w:rPr>
        <w:t>4</w:t>
      </w:r>
    </w:p>
    <w:p w14:paraId="52751FC3" w14:textId="34506BF0" w:rsidR="002533EE" w:rsidRPr="00337849" w:rsidRDefault="00A54D2D" w:rsidP="00B27504">
      <w:pPr>
        <w:pStyle w:val="ListParagraph"/>
        <w:spacing w:before="60" w:after="0" w:line="276" w:lineRule="auto"/>
        <w:ind w:left="993"/>
        <w:contextualSpacing w:val="0"/>
        <w:jc w:val="both"/>
        <w:rPr>
          <w:rFonts w:ascii="Bookman Old Style" w:hAnsi="Bookman Old Style" w:cs="Arial"/>
          <w:sz w:val="24"/>
          <w:szCs w:val="24"/>
          <w:lang w:val="sv-FI"/>
        </w:rPr>
      </w:pPr>
      <w:r w:rsidRPr="00337849">
        <w:rPr>
          <w:rFonts w:ascii="Bookman Old Style" w:hAnsi="Bookman Old Style" w:cs="Arial"/>
          <w:sz w:val="24"/>
          <w:szCs w:val="24"/>
          <w:lang w:val="id-ID"/>
        </w:rPr>
        <w:t>Penyediaan</w:t>
      </w:r>
      <w:r w:rsidR="00A954D0">
        <w:rPr>
          <w:rFonts w:ascii="Bookman Old Style" w:hAnsi="Bookman Old Style" w:cs="Arial"/>
          <w:sz w:val="24"/>
          <w:szCs w:val="24"/>
          <w:lang w:val="id-ID"/>
        </w:rPr>
        <w:t xml:space="preserve"> </w:t>
      </w:r>
      <w:r w:rsidRPr="00337849">
        <w:rPr>
          <w:rFonts w:ascii="Bookman Old Style" w:hAnsi="Bookman Old Style" w:cs="Arial"/>
          <w:sz w:val="24"/>
          <w:szCs w:val="24"/>
          <w:lang w:val="id-ID"/>
        </w:rPr>
        <w:t>anggaran</w:t>
      </w:r>
      <w:r w:rsidR="00A954D0">
        <w:rPr>
          <w:rFonts w:ascii="Bookman Old Style" w:hAnsi="Bookman Old Style" w:cs="Arial"/>
          <w:sz w:val="24"/>
          <w:szCs w:val="24"/>
          <w:lang w:val="id-ID"/>
        </w:rPr>
        <w:t xml:space="preserve"> </w:t>
      </w:r>
      <w:r w:rsidR="002533EE" w:rsidRPr="00337849">
        <w:rPr>
          <w:rFonts w:ascii="Bookman Old Style" w:hAnsi="Bookman Old Style" w:cs="Arial"/>
          <w:sz w:val="24"/>
          <w:szCs w:val="24"/>
          <w:lang w:val="sv-FI"/>
        </w:rPr>
        <w:t>Belanja</w:t>
      </w:r>
      <w:r w:rsidR="00A954D0">
        <w:rPr>
          <w:rFonts w:ascii="Bookman Old Style" w:hAnsi="Bookman Old Style" w:cs="Arial"/>
          <w:sz w:val="24"/>
          <w:szCs w:val="24"/>
          <w:lang w:val="sv-FI"/>
        </w:rPr>
        <w:t xml:space="preserve"> </w:t>
      </w:r>
      <w:r w:rsidR="002533EE" w:rsidRPr="00337849">
        <w:rPr>
          <w:rFonts w:ascii="Bookman Old Style" w:hAnsi="Bookman Old Style" w:cs="Arial"/>
          <w:sz w:val="24"/>
          <w:szCs w:val="24"/>
        </w:rPr>
        <w:t>daerah</w:t>
      </w:r>
      <w:r w:rsidR="00A954D0">
        <w:rPr>
          <w:rFonts w:ascii="Bookman Old Style" w:hAnsi="Bookman Old Style" w:cs="Arial"/>
          <w:sz w:val="24"/>
          <w:szCs w:val="24"/>
          <w:lang w:val="sv-FI"/>
        </w:rPr>
        <w:t xml:space="preserve"> </w:t>
      </w:r>
      <w:r w:rsidR="002533EE" w:rsidRPr="00337849">
        <w:rPr>
          <w:rFonts w:ascii="Bookman Old Style" w:hAnsi="Bookman Old Style"/>
          <w:sz w:val="24"/>
          <w:szCs w:val="24"/>
          <w:lang w:val="sv-FI"/>
        </w:rPr>
        <w:t>dalam</w:t>
      </w:r>
      <w:r w:rsidR="00A954D0">
        <w:rPr>
          <w:rFonts w:ascii="Bookman Old Style" w:hAnsi="Bookman Old Style"/>
          <w:sz w:val="24"/>
          <w:szCs w:val="24"/>
          <w:lang w:val="sv-FI"/>
        </w:rPr>
        <w:t xml:space="preserve"> </w:t>
      </w:r>
      <w:r w:rsidR="002533EE" w:rsidRPr="00337849">
        <w:rPr>
          <w:rFonts w:ascii="Bookman Old Style" w:hAnsi="Bookman Old Style"/>
          <w:sz w:val="24"/>
          <w:szCs w:val="24"/>
          <w:lang w:val="sv-FI"/>
        </w:rPr>
        <w:t>Rancangan</w:t>
      </w:r>
      <w:r w:rsidR="00A954D0">
        <w:rPr>
          <w:rFonts w:ascii="Bookman Old Style" w:hAnsi="Bookman Old Style"/>
          <w:sz w:val="24"/>
          <w:szCs w:val="24"/>
          <w:lang w:val="sv-FI"/>
        </w:rPr>
        <w:t xml:space="preserve"> </w:t>
      </w:r>
      <w:r w:rsidR="002533EE" w:rsidRPr="00337849">
        <w:rPr>
          <w:rFonts w:ascii="Bookman Old Style" w:hAnsi="Bookman Old Style"/>
          <w:sz w:val="24"/>
          <w:szCs w:val="24"/>
          <w:lang w:val="sv-FI"/>
        </w:rPr>
        <w:t>Peraturan</w:t>
      </w:r>
      <w:r w:rsidR="00A954D0">
        <w:rPr>
          <w:rFonts w:ascii="Bookman Old Style" w:hAnsi="Bookman Old Style"/>
          <w:sz w:val="24"/>
          <w:szCs w:val="24"/>
          <w:lang w:val="sv-FI"/>
        </w:rPr>
        <w:t xml:space="preserve"> </w:t>
      </w:r>
      <w:r w:rsidR="002533EE" w:rsidRPr="00337849">
        <w:rPr>
          <w:rFonts w:ascii="Bookman Old Style" w:hAnsi="Bookman Old Style"/>
          <w:sz w:val="24"/>
          <w:szCs w:val="24"/>
          <w:lang w:val="sv-FI"/>
        </w:rPr>
        <w:t>Daerah</w:t>
      </w:r>
      <w:r w:rsidR="00A954D0">
        <w:rPr>
          <w:rFonts w:ascii="Bookman Old Style" w:hAnsi="Bookman Old Style"/>
          <w:sz w:val="24"/>
          <w:szCs w:val="24"/>
          <w:lang w:val="fi-FI"/>
        </w:rPr>
        <w:t xml:space="preserve"> </w:t>
      </w:r>
      <w:r w:rsidR="00B055C5" w:rsidRPr="00337849">
        <w:rPr>
          <w:rFonts w:ascii="Bookman Old Style" w:hAnsi="Bookman Old Style"/>
          <w:sz w:val="24"/>
          <w:szCs w:val="24"/>
          <w:lang w:val="fi-FI"/>
        </w:rPr>
        <w:t>Kota</w:t>
      </w:r>
      <w:r w:rsidR="00A954D0">
        <w:rPr>
          <w:rFonts w:ascii="Bookman Old Style" w:hAnsi="Bookman Old Style"/>
          <w:sz w:val="24"/>
          <w:szCs w:val="24"/>
          <w:lang w:val="fi-FI"/>
        </w:rPr>
        <w:t xml:space="preserve"> </w:t>
      </w:r>
      <w:r w:rsidR="00770F22" w:rsidRPr="00337849">
        <w:rPr>
          <w:rFonts w:ascii="Bookman Old Style" w:hAnsi="Bookman Old Style"/>
          <w:sz w:val="24"/>
          <w:szCs w:val="24"/>
          <w:lang w:val="fi-FI"/>
        </w:rPr>
        <w:t>Tangerang</w:t>
      </w:r>
      <w:r w:rsidR="00A954D0">
        <w:rPr>
          <w:rFonts w:ascii="Bookman Old Style" w:hAnsi="Bookman Old Style"/>
          <w:sz w:val="24"/>
          <w:szCs w:val="24"/>
          <w:lang w:val="fi-FI"/>
        </w:rPr>
        <w:t xml:space="preserve"> </w:t>
      </w:r>
      <w:r w:rsidR="00BE6ED9" w:rsidRPr="00337849">
        <w:rPr>
          <w:rFonts w:ascii="Bookman Old Style" w:hAnsi="Bookman Old Style"/>
          <w:sz w:val="24"/>
          <w:szCs w:val="24"/>
          <w:lang w:val="fi-FI"/>
        </w:rPr>
        <w:t>tentang</w:t>
      </w:r>
      <w:r w:rsidR="00A954D0">
        <w:rPr>
          <w:rFonts w:ascii="Bookman Old Style" w:hAnsi="Bookman Old Style"/>
          <w:sz w:val="24"/>
          <w:szCs w:val="24"/>
          <w:lang w:val="fi-FI"/>
        </w:rPr>
        <w:t xml:space="preserve"> </w:t>
      </w:r>
      <w:r w:rsidR="00BE6ED9" w:rsidRPr="00337849">
        <w:rPr>
          <w:rFonts w:ascii="Bookman Old Style" w:hAnsi="Bookman Old Style"/>
          <w:sz w:val="24"/>
          <w:szCs w:val="24"/>
          <w:lang w:val="fi-FI"/>
        </w:rPr>
        <w:t>APBD</w:t>
      </w:r>
      <w:r w:rsidR="00A954D0">
        <w:rPr>
          <w:rFonts w:ascii="Bookman Old Style" w:hAnsi="Bookman Old Style"/>
          <w:sz w:val="24"/>
          <w:szCs w:val="24"/>
          <w:lang w:val="sv-FI"/>
        </w:rPr>
        <w:t xml:space="preserve"> </w:t>
      </w:r>
      <w:r w:rsidR="002533EE" w:rsidRPr="00337849">
        <w:rPr>
          <w:rFonts w:ascii="Bookman Old Style" w:hAnsi="Bookman Old Style"/>
          <w:sz w:val="24"/>
          <w:szCs w:val="24"/>
          <w:lang w:val="sv-FI"/>
        </w:rPr>
        <w:t>Tahun</w:t>
      </w:r>
      <w:r w:rsidR="00A954D0">
        <w:rPr>
          <w:rFonts w:ascii="Bookman Old Style" w:hAnsi="Bookman Old Style"/>
          <w:sz w:val="24"/>
          <w:szCs w:val="24"/>
          <w:lang w:val="sv-FI"/>
        </w:rPr>
        <w:t xml:space="preserve"> </w:t>
      </w:r>
      <w:r w:rsidR="002533EE" w:rsidRPr="00337849">
        <w:rPr>
          <w:rFonts w:ascii="Bookman Old Style" w:hAnsi="Bookman Old Style"/>
          <w:sz w:val="24"/>
          <w:szCs w:val="24"/>
          <w:lang w:val="sv-FI"/>
        </w:rPr>
        <w:t>Anggaran</w:t>
      </w:r>
      <w:r w:rsidR="00A954D0">
        <w:rPr>
          <w:rFonts w:ascii="Bookman Old Style" w:hAnsi="Bookman Old Style"/>
          <w:sz w:val="24"/>
          <w:szCs w:val="24"/>
          <w:lang w:val="sv-FI"/>
        </w:rPr>
        <w:t xml:space="preserve"> </w:t>
      </w:r>
      <w:r w:rsidR="002533EE" w:rsidRPr="00337849">
        <w:rPr>
          <w:rFonts w:ascii="Bookman Old Style" w:hAnsi="Bookman Old Style"/>
          <w:sz w:val="24"/>
          <w:szCs w:val="24"/>
          <w:lang w:val="sv-FI"/>
        </w:rPr>
        <w:t>202</w:t>
      </w:r>
      <w:r w:rsidRPr="00337849">
        <w:rPr>
          <w:rFonts w:ascii="Bookman Old Style" w:hAnsi="Bookman Old Style"/>
          <w:sz w:val="24"/>
          <w:szCs w:val="24"/>
          <w:lang w:val="it-IT"/>
        </w:rPr>
        <w:t>5</w:t>
      </w:r>
      <w:r w:rsidR="00A954D0">
        <w:rPr>
          <w:rFonts w:ascii="Bookman Old Style" w:hAnsi="Bookman Old Style"/>
          <w:sz w:val="24"/>
          <w:szCs w:val="24"/>
          <w:lang w:val="it-IT"/>
        </w:rPr>
        <w:t xml:space="preserve"> </w:t>
      </w:r>
      <w:r w:rsidR="002533EE" w:rsidRPr="00337849">
        <w:rPr>
          <w:rFonts w:ascii="Bookman Old Style" w:hAnsi="Bookman Old Style"/>
          <w:sz w:val="24"/>
          <w:szCs w:val="24"/>
          <w:lang w:val="it-IT"/>
        </w:rPr>
        <w:t>sebagaimana</w:t>
      </w:r>
      <w:r w:rsidR="00A954D0">
        <w:rPr>
          <w:rFonts w:ascii="Bookman Old Style" w:hAnsi="Bookman Old Style"/>
          <w:sz w:val="24"/>
          <w:szCs w:val="24"/>
          <w:lang w:val="it-IT"/>
        </w:rPr>
        <w:t xml:space="preserve"> </w:t>
      </w:r>
      <w:r w:rsidR="00926060" w:rsidRPr="00337849">
        <w:rPr>
          <w:rFonts w:ascii="Bookman Old Style" w:hAnsi="Bookman Old Style"/>
          <w:color w:val="000000" w:themeColor="text1"/>
          <w:sz w:val="24"/>
          <w:szCs w:val="24"/>
          <w:lang w:val="id-ID"/>
        </w:rPr>
        <w:t>T</w:t>
      </w:r>
      <w:r w:rsidR="002533EE" w:rsidRPr="00337849">
        <w:rPr>
          <w:rFonts w:ascii="Bookman Old Style" w:hAnsi="Bookman Old Style"/>
          <w:color w:val="000000" w:themeColor="text1"/>
          <w:sz w:val="24"/>
          <w:szCs w:val="24"/>
          <w:lang w:val="it-IT"/>
        </w:rPr>
        <w:t>abel</w:t>
      </w:r>
      <w:r w:rsidR="00A954D0">
        <w:rPr>
          <w:rFonts w:ascii="Bookman Old Style" w:hAnsi="Bookman Old Style"/>
          <w:color w:val="000000" w:themeColor="text1"/>
          <w:sz w:val="24"/>
          <w:szCs w:val="24"/>
          <w:lang w:val="it-IT"/>
        </w:rPr>
        <w:t xml:space="preserve"> </w:t>
      </w:r>
      <w:r w:rsidR="00797E71" w:rsidRPr="00337849">
        <w:rPr>
          <w:rFonts w:ascii="Bookman Old Style" w:hAnsi="Bookman Old Style"/>
          <w:color w:val="000000" w:themeColor="text1"/>
          <w:sz w:val="24"/>
          <w:szCs w:val="24"/>
          <w:lang w:val="id-ID"/>
        </w:rPr>
        <w:t>18</w:t>
      </w:r>
      <w:r w:rsidR="00A954D0">
        <w:rPr>
          <w:rFonts w:ascii="Bookman Old Style" w:hAnsi="Bookman Old Style"/>
          <w:color w:val="000000" w:themeColor="text1"/>
          <w:sz w:val="24"/>
          <w:szCs w:val="24"/>
          <w:lang w:val="id-ID"/>
        </w:rPr>
        <w:t xml:space="preserve"> </w:t>
      </w:r>
      <w:r w:rsidR="002533EE" w:rsidRPr="00337849">
        <w:rPr>
          <w:rFonts w:ascii="Bookman Old Style" w:hAnsi="Bookman Old Style"/>
          <w:color w:val="000000" w:themeColor="text1"/>
          <w:sz w:val="24"/>
          <w:szCs w:val="24"/>
          <w:lang w:val="it-IT"/>
        </w:rPr>
        <w:t>berikut:</w:t>
      </w:r>
    </w:p>
    <w:p w14:paraId="61935F6C" w14:textId="77777777" w:rsidR="00666D64" w:rsidRDefault="00666D64" w:rsidP="00685F88">
      <w:pPr>
        <w:tabs>
          <w:tab w:val="left" w:pos="7538"/>
          <w:tab w:val="center" w:pos="8471"/>
        </w:tabs>
        <w:spacing w:before="60"/>
        <w:ind w:left="851"/>
        <w:jc w:val="center"/>
        <w:rPr>
          <w:rFonts w:ascii="Bookman Old Style" w:hAnsi="Bookman Old Style" w:cs="Arial"/>
        </w:rPr>
      </w:pPr>
    </w:p>
    <w:p w14:paraId="11348AC6" w14:textId="77777777" w:rsidR="00666D64" w:rsidRDefault="00666D64" w:rsidP="00685F88">
      <w:pPr>
        <w:tabs>
          <w:tab w:val="left" w:pos="7538"/>
          <w:tab w:val="center" w:pos="8471"/>
        </w:tabs>
        <w:spacing w:before="60"/>
        <w:ind w:left="851"/>
        <w:jc w:val="center"/>
        <w:rPr>
          <w:rFonts w:ascii="Bookman Old Style" w:hAnsi="Bookman Old Style" w:cs="Arial"/>
        </w:rPr>
      </w:pPr>
    </w:p>
    <w:p w14:paraId="05220B71" w14:textId="77777777" w:rsidR="00666D64" w:rsidRDefault="00666D64" w:rsidP="00685F88">
      <w:pPr>
        <w:tabs>
          <w:tab w:val="left" w:pos="7538"/>
          <w:tab w:val="center" w:pos="8471"/>
        </w:tabs>
        <w:spacing w:before="60"/>
        <w:ind w:left="851"/>
        <w:jc w:val="center"/>
        <w:rPr>
          <w:rFonts w:ascii="Bookman Old Style" w:hAnsi="Bookman Old Style" w:cs="Arial"/>
        </w:rPr>
      </w:pPr>
    </w:p>
    <w:p w14:paraId="389417AF" w14:textId="77777777" w:rsidR="00666D64" w:rsidRDefault="00666D64" w:rsidP="00685F88">
      <w:pPr>
        <w:tabs>
          <w:tab w:val="left" w:pos="7538"/>
          <w:tab w:val="center" w:pos="8471"/>
        </w:tabs>
        <w:spacing w:before="60"/>
        <w:ind w:left="851"/>
        <w:jc w:val="center"/>
        <w:rPr>
          <w:rFonts w:ascii="Bookman Old Style" w:hAnsi="Bookman Old Style" w:cs="Arial"/>
        </w:rPr>
      </w:pPr>
    </w:p>
    <w:p w14:paraId="2D060557" w14:textId="77777777" w:rsidR="00666D64" w:rsidRDefault="00666D64" w:rsidP="00685F88">
      <w:pPr>
        <w:tabs>
          <w:tab w:val="left" w:pos="7538"/>
          <w:tab w:val="center" w:pos="8471"/>
        </w:tabs>
        <w:spacing w:before="60"/>
        <w:ind w:left="851"/>
        <w:jc w:val="center"/>
        <w:rPr>
          <w:rFonts w:ascii="Bookman Old Style" w:hAnsi="Bookman Old Style" w:cs="Arial"/>
        </w:rPr>
      </w:pPr>
    </w:p>
    <w:p w14:paraId="7DA12708" w14:textId="6A576DBF" w:rsidR="00D93C27" w:rsidRPr="00337849" w:rsidRDefault="001A3DED" w:rsidP="00685F88">
      <w:pPr>
        <w:tabs>
          <w:tab w:val="left" w:pos="7538"/>
          <w:tab w:val="center" w:pos="8471"/>
        </w:tabs>
        <w:spacing w:before="60"/>
        <w:ind w:left="851"/>
        <w:jc w:val="center"/>
        <w:rPr>
          <w:rFonts w:ascii="Bookman Old Style" w:hAnsi="Bookman Old Style" w:cs="Arial"/>
          <w:lang w:val="id-ID"/>
        </w:rPr>
      </w:pPr>
      <w:r w:rsidRPr="00337849">
        <w:rPr>
          <w:rFonts w:ascii="Bookman Old Style" w:hAnsi="Bookman Old Style" w:cs="Arial"/>
        </w:rPr>
        <w:lastRenderedPageBreak/>
        <w:t>Tabel</w:t>
      </w:r>
      <w:r w:rsidR="00A954D0">
        <w:rPr>
          <w:rFonts w:ascii="Bookman Old Style" w:hAnsi="Bookman Old Style" w:cs="Arial"/>
        </w:rPr>
        <w:t xml:space="preserve"> </w:t>
      </w:r>
      <w:r w:rsidR="00797E71" w:rsidRPr="00337849">
        <w:rPr>
          <w:rFonts w:ascii="Bookman Old Style" w:hAnsi="Bookman Old Style" w:cs="Arial"/>
          <w:lang w:val="id-ID"/>
        </w:rPr>
        <w:t>18</w:t>
      </w:r>
    </w:p>
    <w:p w14:paraId="2A636AC6" w14:textId="0F3E9524" w:rsidR="00D93C27" w:rsidRPr="00337849" w:rsidRDefault="00D93C27" w:rsidP="00B27504">
      <w:pPr>
        <w:tabs>
          <w:tab w:val="left" w:pos="7538"/>
          <w:tab w:val="center" w:pos="8471"/>
        </w:tabs>
        <w:spacing w:before="60" w:after="120" w:line="276" w:lineRule="auto"/>
        <w:ind w:left="851"/>
        <w:jc w:val="center"/>
        <w:rPr>
          <w:rFonts w:ascii="Bookman Old Style" w:hAnsi="Bookman Old Style" w:cs="Arial"/>
          <w:lang w:val="en-US"/>
        </w:rPr>
      </w:pPr>
      <w:r w:rsidRPr="00337849">
        <w:rPr>
          <w:rFonts w:ascii="Bookman Old Style" w:hAnsi="Bookman Old Style" w:cs="Arial"/>
        </w:rPr>
        <w:t>Belanja</w:t>
      </w:r>
      <w:r w:rsidR="00A954D0">
        <w:rPr>
          <w:rFonts w:ascii="Bookman Old Style" w:hAnsi="Bookman Old Style" w:cs="Arial"/>
        </w:rPr>
        <w:t xml:space="preserve"> </w:t>
      </w:r>
      <w:r w:rsidRPr="00337849">
        <w:rPr>
          <w:rFonts w:ascii="Bookman Old Style" w:hAnsi="Bookman Old Style" w:cs="Arial"/>
        </w:rPr>
        <w:t>Daerah</w:t>
      </w:r>
    </w:p>
    <w:tbl>
      <w:tblPr>
        <w:tblW w:w="833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569"/>
        <w:gridCol w:w="1796"/>
      </w:tblGrid>
      <w:tr w:rsidR="00A54D2D" w:rsidRPr="00735D18" w14:paraId="7F9BFCC7" w14:textId="77777777" w:rsidTr="00276801">
        <w:trPr>
          <w:trHeight w:val="671"/>
          <w:tblHeader/>
        </w:trPr>
        <w:tc>
          <w:tcPr>
            <w:tcW w:w="3969" w:type="dxa"/>
            <w:shd w:val="clear" w:color="auto" w:fill="auto"/>
            <w:vAlign w:val="center"/>
            <w:hideMark/>
          </w:tcPr>
          <w:p w14:paraId="3290DB20" w14:textId="77777777" w:rsidR="00A54D2D" w:rsidRPr="00735D18" w:rsidRDefault="00A54D2D" w:rsidP="00735D18">
            <w:pPr>
              <w:spacing w:line="276" w:lineRule="auto"/>
              <w:jc w:val="center"/>
              <w:rPr>
                <w:rFonts w:ascii="Bookman Old Style" w:hAnsi="Bookman Old Style" w:cs="Calibri"/>
                <w:b/>
                <w:bCs/>
                <w:color w:val="000000"/>
                <w:sz w:val="20"/>
                <w:szCs w:val="20"/>
              </w:rPr>
            </w:pPr>
            <w:r w:rsidRPr="00735D18">
              <w:rPr>
                <w:rFonts w:ascii="Bookman Old Style" w:hAnsi="Bookman Old Style" w:cs="Calibri"/>
                <w:b/>
                <w:bCs/>
                <w:color w:val="000000"/>
                <w:sz w:val="20"/>
                <w:szCs w:val="20"/>
              </w:rPr>
              <w:t>Uraian</w:t>
            </w:r>
          </w:p>
        </w:tc>
        <w:tc>
          <w:tcPr>
            <w:tcW w:w="2569" w:type="dxa"/>
            <w:shd w:val="clear" w:color="auto" w:fill="auto"/>
            <w:vAlign w:val="center"/>
            <w:hideMark/>
          </w:tcPr>
          <w:p w14:paraId="0091A6B3" w14:textId="562FEE1E" w:rsidR="00A54D2D" w:rsidRPr="003255BC" w:rsidRDefault="00A54D2D" w:rsidP="00735D18">
            <w:pPr>
              <w:spacing w:line="276" w:lineRule="auto"/>
              <w:jc w:val="center"/>
              <w:rPr>
                <w:rFonts w:ascii="Bookman Old Style" w:hAnsi="Bookman Old Style" w:cs="Calibri"/>
                <w:b/>
                <w:bCs/>
                <w:color w:val="000000"/>
                <w:sz w:val="20"/>
                <w:szCs w:val="20"/>
                <w:lang w:val="sv-FI"/>
              </w:rPr>
            </w:pPr>
            <w:r w:rsidRPr="003255BC">
              <w:rPr>
                <w:rFonts w:ascii="Bookman Old Style" w:hAnsi="Bookman Old Style" w:cs="Calibri"/>
                <w:b/>
                <w:bCs/>
                <w:color w:val="000000"/>
                <w:sz w:val="20"/>
                <w:szCs w:val="20"/>
                <w:lang w:val="sv-FI"/>
              </w:rPr>
              <w:t>Rancangan</w:t>
            </w:r>
            <w:r w:rsidR="00A954D0" w:rsidRPr="003255BC">
              <w:rPr>
                <w:rFonts w:ascii="Bookman Old Style" w:hAnsi="Bookman Old Style" w:cs="Calibri"/>
                <w:b/>
                <w:bCs/>
                <w:color w:val="000000"/>
                <w:sz w:val="20"/>
                <w:szCs w:val="20"/>
                <w:lang w:val="sv-FI"/>
              </w:rPr>
              <w:t xml:space="preserve"> </w:t>
            </w:r>
            <w:r w:rsidRPr="003255BC">
              <w:rPr>
                <w:rFonts w:ascii="Bookman Old Style" w:hAnsi="Bookman Old Style" w:cs="Calibri"/>
                <w:b/>
                <w:bCs/>
                <w:color w:val="000000"/>
                <w:sz w:val="20"/>
                <w:szCs w:val="20"/>
                <w:lang w:val="sv-FI"/>
              </w:rPr>
              <w:t>APBD</w:t>
            </w:r>
            <w:r w:rsidR="00A954D0" w:rsidRPr="003255BC">
              <w:rPr>
                <w:rFonts w:ascii="Bookman Old Style" w:hAnsi="Bookman Old Style" w:cs="Calibri"/>
                <w:b/>
                <w:bCs/>
                <w:color w:val="000000"/>
                <w:sz w:val="20"/>
                <w:szCs w:val="20"/>
                <w:lang w:val="sv-FI"/>
              </w:rPr>
              <w:t xml:space="preserve"> </w:t>
            </w:r>
            <w:r w:rsidRPr="003255BC">
              <w:rPr>
                <w:rFonts w:ascii="Bookman Old Style" w:hAnsi="Bookman Old Style" w:cs="Calibri"/>
                <w:b/>
                <w:bCs/>
                <w:color w:val="000000"/>
                <w:sz w:val="20"/>
                <w:szCs w:val="20"/>
                <w:lang w:val="sv-FI"/>
              </w:rPr>
              <w:t>Tahun</w:t>
            </w:r>
            <w:r w:rsidR="00A954D0" w:rsidRPr="003255BC">
              <w:rPr>
                <w:rFonts w:ascii="Bookman Old Style" w:hAnsi="Bookman Old Style" w:cs="Calibri"/>
                <w:b/>
                <w:bCs/>
                <w:color w:val="000000"/>
                <w:sz w:val="20"/>
                <w:szCs w:val="20"/>
                <w:lang w:val="sv-FI"/>
              </w:rPr>
              <w:t xml:space="preserve"> </w:t>
            </w:r>
            <w:r w:rsidRPr="003255BC">
              <w:rPr>
                <w:rFonts w:ascii="Bookman Old Style" w:hAnsi="Bookman Old Style" w:cs="Calibri"/>
                <w:b/>
                <w:bCs/>
                <w:color w:val="000000"/>
                <w:sz w:val="20"/>
                <w:szCs w:val="20"/>
                <w:lang w:val="sv-FI"/>
              </w:rPr>
              <w:t>Anggaran</w:t>
            </w:r>
            <w:r w:rsidR="00A954D0" w:rsidRPr="003255BC">
              <w:rPr>
                <w:rFonts w:ascii="Bookman Old Style" w:hAnsi="Bookman Old Style" w:cs="Calibri"/>
                <w:b/>
                <w:bCs/>
                <w:color w:val="000000"/>
                <w:sz w:val="20"/>
                <w:szCs w:val="20"/>
                <w:lang w:val="sv-FI"/>
              </w:rPr>
              <w:t xml:space="preserve"> </w:t>
            </w:r>
            <w:r w:rsidRPr="003255BC">
              <w:rPr>
                <w:rFonts w:ascii="Bookman Old Style" w:hAnsi="Bookman Old Style" w:cs="Calibri"/>
                <w:b/>
                <w:bCs/>
                <w:color w:val="000000"/>
                <w:sz w:val="20"/>
                <w:szCs w:val="20"/>
                <w:lang w:val="sv-FI"/>
              </w:rPr>
              <w:t>2025</w:t>
            </w:r>
            <w:r w:rsidRPr="003255BC">
              <w:rPr>
                <w:rFonts w:ascii="Bookman Old Style" w:hAnsi="Bookman Old Style" w:cs="Calibri"/>
                <w:b/>
                <w:bCs/>
                <w:color w:val="000000"/>
                <w:sz w:val="20"/>
                <w:szCs w:val="20"/>
                <w:lang w:val="sv-FI"/>
              </w:rPr>
              <w:br/>
              <w:t>(Rp)</w:t>
            </w:r>
          </w:p>
        </w:tc>
        <w:tc>
          <w:tcPr>
            <w:tcW w:w="1796" w:type="dxa"/>
            <w:shd w:val="clear" w:color="auto" w:fill="auto"/>
            <w:vAlign w:val="center"/>
            <w:hideMark/>
          </w:tcPr>
          <w:p w14:paraId="060BE7E9" w14:textId="4FECE900" w:rsidR="00A54D2D" w:rsidRPr="00735D18" w:rsidRDefault="00A54D2D" w:rsidP="00735D18">
            <w:pPr>
              <w:spacing w:line="276" w:lineRule="auto"/>
              <w:jc w:val="center"/>
              <w:rPr>
                <w:rFonts w:ascii="Bookman Old Style" w:hAnsi="Bookman Old Style" w:cs="Calibri"/>
                <w:b/>
                <w:bCs/>
                <w:color w:val="000000"/>
                <w:sz w:val="20"/>
                <w:szCs w:val="20"/>
              </w:rPr>
            </w:pPr>
            <w:r w:rsidRPr="00735D18">
              <w:rPr>
                <w:rFonts w:ascii="Bookman Old Style" w:hAnsi="Bookman Old Style" w:cs="Calibri"/>
                <w:b/>
                <w:bCs/>
                <w:color w:val="000000"/>
                <w:sz w:val="20"/>
                <w:szCs w:val="20"/>
              </w:rPr>
              <w:t>Rasio</w:t>
            </w:r>
            <w:r w:rsidR="00A954D0">
              <w:rPr>
                <w:rFonts w:ascii="Bookman Old Style" w:hAnsi="Bookman Old Style" w:cs="Calibri"/>
                <w:b/>
                <w:bCs/>
                <w:color w:val="000000"/>
                <w:sz w:val="20"/>
                <w:szCs w:val="20"/>
              </w:rPr>
              <w:t xml:space="preserve"> </w:t>
            </w:r>
            <w:r w:rsidRPr="00735D18">
              <w:rPr>
                <w:rFonts w:ascii="Bookman Old Style" w:hAnsi="Bookman Old Style" w:cs="Calibri"/>
                <w:b/>
                <w:bCs/>
                <w:color w:val="000000"/>
                <w:sz w:val="20"/>
                <w:szCs w:val="20"/>
              </w:rPr>
              <w:t>Terhadap</w:t>
            </w:r>
            <w:r w:rsidR="00A954D0">
              <w:rPr>
                <w:rFonts w:ascii="Bookman Old Style" w:hAnsi="Bookman Old Style" w:cs="Calibri"/>
                <w:b/>
                <w:bCs/>
                <w:color w:val="000000"/>
                <w:sz w:val="20"/>
                <w:szCs w:val="20"/>
              </w:rPr>
              <w:t xml:space="preserve"> </w:t>
            </w:r>
            <w:r w:rsidRPr="00735D18">
              <w:rPr>
                <w:rFonts w:ascii="Bookman Old Style" w:hAnsi="Bookman Old Style" w:cs="Calibri"/>
                <w:b/>
                <w:bCs/>
                <w:color w:val="000000"/>
                <w:sz w:val="20"/>
                <w:szCs w:val="20"/>
              </w:rPr>
              <w:t>Belanja</w:t>
            </w:r>
            <w:r w:rsidR="00A954D0">
              <w:rPr>
                <w:rFonts w:ascii="Bookman Old Style" w:hAnsi="Bookman Old Style" w:cs="Calibri"/>
                <w:b/>
                <w:bCs/>
                <w:color w:val="000000"/>
                <w:sz w:val="20"/>
                <w:szCs w:val="20"/>
              </w:rPr>
              <w:t xml:space="preserve"> </w:t>
            </w:r>
            <w:r w:rsidRPr="00735D18">
              <w:rPr>
                <w:rFonts w:ascii="Bookman Old Style" w:hAnsi="Bookman Old Style" w:cs="Calibri"/>
                <w:b/>
                <w:bCs/>
                <w:color w:val="000000"/>
                <w:sz w:val="20"/>
                <w:szCs w:val="20"/>
              </w:rPr>
              <w:t>Daerah</w:t>
            </w:r>
          </w:p>
          <w:p w14:paraId="283B2234" w14:textId="11CC8261" w:rsidR="00A54D2D" w:rsidRPr="00735D18" w:rsidRDefault="00A54D2D" w:rsidP="00735D18">
            <w:pPr>
              <w:spacing w:line="276" w:lineRule="auto"/>
              <w:jc w:val="center"/>
              <w:rPr>
                <w:rFonts w:ascii="Bookman Old Style" w:hAnsi="Bookman Old Style" w:cs="Calibri"/>
                <w:b/>
                <w:bCs/>
                <w:color w:val="000000"/>
                <w:sz w:val="20"/>
                <w:szCs w:val="20"/>
              </w:rPr>
            </w:pPr>
            <w:r w:rsidRPr="00735D18">
              <w:rPr>
                <w:rFonts w:ascii="Bookman Old Style" w:hAnsi="Bookman Old Style" w:cs="Calibri"/>
                <w:b/>
                <w:bCs/>
                <w:color w:val="000000"/>
                <w:sz w:val="20"/>
                <w:szCs w:val="20"/>
              </w:rPr>
              <w:t>(%)</w:t>
            </w:r>
          </w:p>
        </w:tc>
      </w:tr>
      <w:tr w:rsidR="00A54D2D" w:rsidRPr="00735D18" w14:paraId="3078EE87" w14:textId="77777777" w:rsidTr="00276801">
        <w:trPr>
          <w:trHeight w:val="260"/>
          <w:tblHeader/>
        </w:trPr>
        <w:tc>
          <w:tcPr>
            <w:tcW w:w="3969" w:type="dxa"/>
            <w:shd w:val="clear" w:color="auto" w:fill="auto"/>
            <w:vAlign w:val="center"/>
            <w:hideMark/>
          </w:tcPr>
          <w:p w14:paraId="373B3C60" w14:textId="77777777" w:rsidR="00A54D2D" w:rsidRPr="00735D18" w:rsidRDefault="00A54D2D" w:rsidP="00735D18">
            <w:pPr>
              <w:spacing w:line="276" w:lineRule="auto"/>
              <w:jc w:val="center"/>
              <w:rPr>
                <w:rFonts w:ascii="Bookman Old Style" w:hAnsi="Bookman Old Style" w:cs="Calibri"/>
                <w:i/>
                <w:iCs/>
                <w:color w:val="000000"/>
                <w:sz w:val="20"/>
                <w:szCs w:val="20"/>
              </w:rPr>
            </w:pPr>
            <w:r w:rsidRPr="00735D18">
              <w:rPr>
                <w:rFonts w:ascii="Bookman Old Style" w:hAnsi="Bookman Old Style" w:cs="Calibri"/>
                <w:i/>
                <w:iCs/>
                <w:color w:val="000000"/>
                <w:sz w:val="20"/>
                <w:szCs w:val="20"/>
              </w:rPr>
              <w:t>1</w:t>
            </w:r>
          </w:p>
        </w:tc>
        <w:tc>
          <w:tcPr>
            <w:tcW w:w="2569" w:type="dxa"/>
            <w:shd w:val="clear" w:color="auto" w:fill="auto"/>
            <w:vAlign w:val="center"/>
            <w:hideMark/>
          </w:tcPr>
          <w:p w14:paraId="35E70EB2" w14:textId="2BC734C6" w:rsidR="00A54D2D" w:rsidRPr="00735D18" w:rsidRDefault="00E84FFE" w:rsidP="00735D18">
            <w:pPr>
              <w:spacing w:line="276" w:lineRule="auto"/>
              <w:jc w:val="center"/>
              <w:rPr>
                <w:rFonts w:ascii="Bookman Old Style" w:hAnsi="Bookman Old Style" w:cs="Calibri"/>
                <w:i/>
                <w:iCs/>
                <w:color w:val="000000"/>
                <w:sz w:val="20"/>
                <w:szCs w:val="20"/>
              </w:rPr>
            </w:pPr>
            <w:r w:rsidRPr="00735D18">
              <w:rPr>
                <w:rFonts w:ascii="Bookman Old Style" w:hAnsi="Bookman Old Style" w:cs="Calibri"/>
                <w:i/>
                <w:iCs/>
                <w:color w:val="000000"/>
                <w:sz w:val="20"/>
                <w:szCs w:val="20"/>
              </w:rPr>
              <w:t>2</w:t>
            </w:r>
          </w:p>
        </w:tc>
        <w:tc>
          <w:tcPr>
            <w:tcW w:w="1796" w:type="dxa"/>
            <w:shd w:val="clear" w:color="auto" w:fill="auto"/>
            <w:vAlign w:val="center"/>
            <w:hideMark/>
          </w:tcPr>
          <w:p w14:paraId="7C2B9ED3" w14:textId="06AAB64B" w:rsidR="00A54D2D" w:rsidRPr="00735D18" w:rsidRDefault="00E84FFE" w:rsidP="00735D18">
            <w:pPr>
              <w:spacing w:line="276" w:lineRule="auto"/>
              <w:jc w:val="center"/>
              <w:rPr>
                <w:rFonts w:ascii="Bookman Old Style" w:hAnsi="Bookman Old Style" w:cs="Calibri"/>
                <w:i/>
                <w:iCs/>
                <w:color w:val="000000"/>
                <w:sz w:val="20"/>
                <w:szCs w:val="20"/>
              </w:rPr>
            </w:pPr>
            <w:r w:rsidRPr="00735D18">
              <w:rPr>
                <w:rFonts w:ascii="Bookman Old Style" w:hAnsi="Bookman Old Style" w:cs="Calibri"/>
                <w:i/>
                <w:iCs/>
                <w:color w:val="000000"/>
                <w:sz w:val="20"/>
                <w:szCs w:val="20"/>
              </w:rPr>
              <w:t>3</w:t>
            </w:r>
          </w:p>
        </w:tc>
      </w:tr>
      <w:tr w:rsidR="00152F0E" w:rsidRPr="00735D18" w14:paraId="2B419BBD" w14:textId="77777777" w:rsidTr="00276801">
        <w:trPr>
          <w:trHeight w:val="49"/>
        </w:trPr>
        <w:tc>
          <w:tcPr>
            <w:tcW w:w="3969" w:type="dxa"/>
            <w:shd w:val="clear" w:color="auto" w:fill="auto"/>
            <w:vAlign w:val="center"/>
            <w:hideMark/>
          </w:tcPr>
          <w:p w14:paraId="2A637DD9" w14:textId="57916A37" w:rsidR="00152F0E" w:rsidRPr="00735D18" w:rsidRDefault="00152F0E" w:rsidP="00735D18">
            <w:pPr>
              <w:spacing w:line="276" w:lineRule="auto"/>
              <w:jc w:val="both"/>
              <w:rPr>
                <w:rFonts w:ascii="Bookman Old Style" w:hAnsi="Bookman Old Style" w:cs="Calibri"/>
                <w:b/>
                <w:bCs/>
                <w:color w:val="000000"/>
                <w:sz w:val="20"/>
                <w:szCs w:val="20"/>
              </w:rPr>
            </w:pPr>
            <w:r w:rsidRPr="00735D18">
              <w:rPr>
                <w:rFonts w:ascii="Bookman Old Style" w:hAnsi="Bookman Old Style" w:cs="Calibri"/>
                <w:b/>
                <w:bCs/>
                <w:color w:val="000000"/>
                <w:sz w:val="20"/>
                <w:szCs w:val="20"/>
              </w:rPr>
              <w:t>BELANJA</w:t>
            </w:r>
            <w:r w:rsidR="00A954D0">
              <w:rPr>
                <w:rFonts w:ascii="Bookman Old Style" w:hAnsi="Bookman Old Style" w:cs="Calibri"/>
                <w:b/>
                <w:bCs/>
                <w:color w:val="000000"/>
                <w:sz w:val="20"/>
                <w:szCs w:val="20"/>
              </w:rPr>
              <w:t xml:space="preserve"> </w:t>
            </w:r>
            <w:r w:rsidRPr="00735D18">
              <w:rPr>
                <w:rFonts w:ascii="Bookman Old Style" w:hAnsi="Bookman Old Style" w:cs="Calibri"/>
                <w:b/>
                <w:bCs/>
                <w:color w:val="000000"/>
                <w:sz w:val="20"/>
                <w:szCs w:val="20"/>
              </w:rPr>
              <w:t>DAERAH</w:t>
            </w:r>
          </w:p>
        </w:tc>
        <w:tc>
          <w:tcPr>
            <w:tcW w:w="2569" w:type="dxa"/>
            <w:shd w:val="clear" w:color="auto" w:fill="auto"/>
            <w:vAlign w:val="center"/>
            <w:hideMark/>
          </w:tcPr>
          <w:p w14:paraId="47B29D71" w14:textId="47CD2685" w:rsidR="00152F0E" w:rsidRPr="00735D18" w:rsidRDefault="00152F0E" w:rsidP="00735D18">
            <w:pPr>
              <w:spacing w:line="276" w:lineRule="auto"/>
              <w:jc w:val="right"/>
              <w:rPr>
                <w:rFonts w:ascii="Bookman Old Style" w:hAnsi="Bookman Old Style" w:cs="Calibri"/>
                <w:b/>
                <w:bCs/>
                <w:color w:val="000000"/>
                <w:sz w:val="20"/>
                <w:szCs w:val="20"/>
              </w:rPr>
            </w:pPr>
            <w:r w:rsidRPr="00735D18">
              <w:rPr>
                <w:rFonts w:ascii="Bookman Old Style" w:hAnsi="Bookman Old Style" w:cs="Calibri"/>
                <w:b/>
                <w:bCs/>
                <w:color w:val="000000"/>
                <w:sz w:val="20"/>
                <w:szCs w:val="20"/>
              </w:rPr>
              <w:t>5.706.600.538.955,00</w:t>
            </w:r>
            <w:r w:rsidR="00A954D0">
              <w:rPr>
                <w:rFonts w:ascii="Bookman Old Style" w:hAnsi="Bookman Old Style" w:cs="Calibri"/>
                <w:b/>
                <w:bCs/>
                <w:color w:val="000000"/>
                <w:sz w:val="20"/>
                <w:szCs w:val="20"/>
              </w:rPr>
              <w:t xml:space="preserve"> </w:t>
            </w:r>
          </w:p>
        </w:tc>
        <w:tc>
          <w:tcPr>
            <w:tcW w:w="1796" w:type="dxa"/>
            <w:shd w:val="clear" w:color="auto" w:fill="auto"/>
            <w:vAlign w:val="center"/>
            <w:hideMark/>
          </w:tcPr>
          <w:p w14:paraId="2A4EC754" w14:textId="589F83E8" w:rsidR="00152F0E" w:rsidRPr="00735D18" w:rsidRDefault="00152F0E" w:rsidP="00735D18">
            <w:pPr>
              <w:spacing w:line="276" w:lineRule="auto"/>
              <w:jc w:val="center"/>
              <w:rPr>
                <w:rFonts w:ascii="Bookman Old Style" w:hAnsi="Bookman Old Style" w:cs="Calibri"/>
                <w:b/>
                <w:bCs/>
                <w:color w:val="000000"/>
                <w:sz w:val="20"/>
                <w:szCs w:val="20"/>
              </w:rPr>
            </w:pPr>
            <w:r w:rsidRPr="00735D18">
              <w:rPr>
                <w:rFonts w:ascii="Bookman Old Style" w:hAnsi="Bookman Old Style" w:cs="Calibri"/>
                <w:b/>
                <w:bCs/>
                <w:sz w:val="20"/>
                <w:szCs w:val="20"/>
              </w:rPr>
              <w:t>100,00</w:t>
            </w:r>
          </w:p>
        </w:tc>
      </w:tr>
      <w:tr w:rsidR="00152F0E" w:rsidRPr="00735D18" w14:paraId="0C4AC77D" w14:textId="77777777" w:rsidTr="00276801">
        <w:trPr>
          <w:trHeight w:val="49"/>
        </w:trPr>
        <w:tc>
          <w:tcPr>
            <w:tcW w:w="3969" w:type="dxa"/>
            <w:shd w:val="clear" w:color="auto" w:fill="auto"/>
            <w:vAlign w:val="center"/>
            <w:hideMark/>
          </w:tcPr>
          <w:p w14:paraId="0F005A4F" w14:textId="00FD8E7E" w:rsidR="00152F0E" w:rsidRPr="00735D18" w:rsidRDefault="00152F0E" w:rsidP="00735D18">
            <w:pPr>
              <w:spacing w:line="276" w:lineRule="auto"/>
              <w:jc w:val="both"/>
              <w:rPr>
                <w:rFonts w:ascii="Bookman Old Style" w:hAnsi="Bookman Old Style" w:cs="Calibri"/>
                <w:b/>
                <w:bCs/>
                <w:color w:val="000000"/>
                <w:sz w:val="20"/>
                <w:szCs w:val="20"/>
              </w:rPr>
            </w:pPr>
            <w:r w:rsidRPr="00735D18">
              <w:rPr>
                <w:rFonts w:ascii="Bookman Old Style" w:hAnsi="Bookman Old Style" w:cs="Calibri"/>
                <w:b/>
                <w:bCs/>
                <w:color w:val="000000"/>
                <w:sz w:val="20"/>
                <w:szCs w:val="20"/>
              </w:rPr>
              <w:t>Belanja</w:t>
            </w:r>
            <w:r w:rsidR="00A954D0">
              <w:rPr>
                <w:rFonts w:ascii="Bookman Old Style" w:hAnsi="Bookman Old Style" w:cs="Calibri"/>
                <w:b/>
                <w:bCs/>
                <w:color w:val="000000"/>
                <w:sz w:val="20"/>
                <w:szCs w:val="20"/>
              </w:rPr>
              <w:t xml:space="preserve"> </w:t>
            </w:r>
            <w:r w:rsidRPr="00735D18">
              <w:rPr>
                <w:rFonts w:ascii="Bookman Old Style" w:hAnsi="Bookman Old Style" w:cs="Calibri"/>
                <w:b/>
                <w:bCs/>
                <w:color w:val="000000"/>
                <w:sz w:val="20"/>
                <w:szCs w:val="20"/>
              </w:rPr>
              <w:t>Operasi</w:t>
            </w:r>
          </w:p>
        </w:tc>
        <w:tc>
          <w:tcPr>
            <w:tcW w:w="2569" w:type="dxa"/>
            <w:shd w:val="clear" w:color="auto" w:fill="auto"/>
            <w:vAlign w:val="center"/>
            <w:hideMark/>
          </w:tcPr>
          <w:p w14:paraId="33CE9352" w14:textId="11054303" w:rsidR="00152F0E" w:rsidRPr="00735D18" w:rsidRDefault="00152F0E" w:rsidP="00735D18">
            <w:pPr>
              <w:spacing w:line="276" w:lineRule="auto"/>
              <w:jc w:val="right"/>
              <w:rPr>
                <w:rFonts w:ascii="Bookman Old Style" w:hAnsi="Bookman Old Style" w:cs="Calibri"/>
                <w:b/>
                <w:bCs/>
                <w:color w:val="000000"/>
                <w:sz w:val="20"/>
                <w:szCs w:val="20"/>
              </w:rPr>
            </w:pPr>
            <w:r w:rsidRPr="00735D18">
              <w:rPr>
                <w:rFonts w:ascii="Bookman Old Style" w:hAnsi="Bookman Old Style" w:cs="Calibri"/>
                <w:b/>
                <w:bCs/>
                <w:color w:val="000000"/>
                <w:sz w:val="20"/>
                <w:szCs w:val="20"/>
              </w:rPr>
              <w:t>4.640.912.509.120,00</w:t>
            </w:r>
            <w:r w:rsidR="00A954D0">
              <w:rPr>
                <w:rFonts w:ascii="Bookman Old Style" w:hAnsi="Bookman Old Style" w:cs="Calibri"/>
                <w:b/>
                <w:bCs/>
                <w:color w:val="000000"/>
                <w:sz w:val="20"/>
                <w:szCs w:val="20"/>
              </w:rPr>
              <w:t xml:space="preserve"> </w:t>
            </w:r>
          </w:p>
        </w:tc>
        <w:tc>
          <w:tcPr>
            <w:tcW w:w="1796" w:type="dxa"/>
            <w:shd w:val="clear" w:color="auto" w:fill="auto"/>
            <w:vAlign w:val="center"/>
            <w:hideMark/>
          </w:tcPr>
          <w:p w14:paraId="16F691F9" w14:textId="03F92978" w:rsidR="00152F0E" w:rsidRPr="00735D18" w:rsidRDefault="00152F0E" w:rsidP="00735D18">
            <w:pPr>
              <w:spacing w:line="276" w:lineRule="auto"/>
              <w:jc w:val="center"/>
              <w:rPr>
                <w:rFonts w:ascii="Bookman Old Style" w:hAnsi="Bookman Old Style" w:cs="Calibri"/>
                <w:b/>
                <w:bCs/>
                <w:color w:val="000000"/>
                <w:sz w:val="20"/>
                <w:szCs w:val="20"/>
              </w:rPr>
            </w:pPr>
            <w:r w:rsidRPr="00735D18">
              <w:rPr>
                <w:rFonts w:ascii="Bookman Old Style" w:hAnsi="Bookman Old Style" w:cs="Calibri"/>
                <w:b/>
                <w:bCs/>
                <w:sz w:val="20"/>
                <w:szCs w:val="20"/>
              </w:rPr>
              <w:t>81,3</w:t>
            </w:r>
            <w:r w:rsidR="00CF058C" w:rsidRPr="00735D18">
              <w:rPr>
                <w:rFonts w:ascii="Bookman Old Style" w:hAnsi="Bookman Old Style" w:cs="Calibri"/>
                <w:b/>
                <w:bCs/>
                <w:sz w:val="20"/>
                <w:szCs w:val="20"/>
              </w:rPr>
              <w:t>2</w:t>
            </w:r>
          </w:p>
        </w:tc>
      </w:tr>
      <w:tr w:rsidR="00152F0E" w:rsidRPr="00735D18" w14:paraId="7DFF4F74" w14:textId="77777777" w:rsidTr="00276801">
        <w:trPr>
          <w:trHeight w:val="49"/>
        </w:trPr>
        <w:tc>
          <w:tcPr>
            <w:tcW w:w="3969" w:type="dxa"/>
            <w:shd w:val="clear" w:color="auto" w:fill="auto"/>
            <w:vAlign w:val="center"/>
            <w:hideMark/>
          </w:tcPr>
          <w:p w14:paraId="2BD3CB92" w14:textId="205537B5" w:rsidR="00152F0E" w:rsidRPr="00735D18" w:rsidRDefault="00152F0E" w:rsidP="00735D18">
            <w:pPr>
              <w:spacing w:line="276" w:lineRule="auto"/>
              <w:jc w:val="both"/>
              <w:rPr>
                <w:rFonts w:ascii="Bookman Old Style" w:hAnsi="Bookman Old Style" w:cs="Calibri"/>
                <w:color w:val="000000"/>
                <w:sz w:val="20"/>
                <w:szCs w:val="20"/>
              </w:rPr>
            </w:pPr>
            <w:r w:rsidRPr="00735D18">
              <w:rPr>
                <w:rFonts w:ascii="Bookman Old Style" w:hAnsi="Bookman Old Style" w:cs="Calibri"/>
                <w:color w:val="000000"/>
                <w:sz w:val="20"/>
                <w:szCs w:val="20"/>
              </w:rPr>
              <w:t>Belanja</w:t>
            </w:r>
            <w:r w:rsidR="00A954D0">
              <w:rPr>
                <w:rFonts w:ascii="Bookman Old Style" w:hAnsi="Bookman Old Style" w:cs="Calibri"/>
                <w:color w:val="000000"/>
                <w:sz w:val="20"/>
                <w:szCs w:val="20"/>
              </w:rPr>
              <w:t xml:space="preserve"> </w:t>
            </w:r>
            <w:r w:rsidRPr="00735D18">
              <w:rPr>
                <w:rFonts w:ascii="Bookman Old Style" w:hAnsi="Bookman Old Style" w:cs="Calibri"/>
                <w:color w:val="000000"/>
                <w:sz w:val="20"/>
                <w:szCs w:val="20"/>
              </w:rPr>
              <w:t>Pegawai</w:t>
            </w:r>
          </w:p>
        </w:tc>
        <w:tc>
          <w:tcPr>
            <w:tcW w:w="2569" w:type="dxa"/>
            <w:shd w:val="clear" w:color="auto" w:fill="auto"/>
            <w:vAlign w:val="center"/>
            <w:hideMark/>
          </w:tcPr>
          <w:p w14:paraId="6BE51411" w14:textId="384704D3" w:rsidR="00152F0E" w:rsidRPr="00735D18" w:rsidRDefault="00152F0E" w:rsidP="00735D18">
            <w:pPr>
              <w:spacing w:line="276" w:lineRule="auto"/>
              <w:jc w:val="right"/>
              <w:rPr>
                <w:rFonts w:ascii="Bookman Old Style" w:hAnsi="Bookman Old Style" w:cs="Calibri"/>
                <w:color w:val="000000"/>
                <w:sz w:val="20"/>
                <w:szCs w:val="20"/>
              </w:rPr>
            </w:pPr>
            <w:r w:rsidRPr="00735D18">
              <w:rPr>
                <w:rFonts w:ascii="Bookman Old Style" w:hAnsi="Bookman Old Style" w:cs="Calibri"/>
                <w:color w:val="000000"/>
                <w:sz w:val="20"/>
                <w:szCs w:val="20"/>
              </w:rPr>
              <w:t>2.121.034.028.539,00</w:t>
            </w:r>
            <w:r w:rsidR="00A954D0">
              <w:rPr>
                <w:rFonts w:ascii="Bookman Old Style" w:hAnsi="Bookman Old Style" w:cs="Calibri"/>
                <w:color w:val="000000"/>
                <w:sz w:val="20"/>
                <w:szCs w:val="20"/>
              </w:rPr>
              <w:t xml:space="preserve"> </w:t>
            </w:r>
          </w:p>
        </w:tc>
        <w:tc>
          <w:tcPr>
            <w:tcW w:w="1796" w:type="dxa"/>
            <w:shd w:val="clear" w:color="auto" w:fill="auto"/>
            <w:vAlign w:val="center"/>
            <w:hideMark/>
          </w:tcPr>
          <w:p w14:paraId="4E3FBB3F" w14:textId="40003752" w:rsidR="00152F0E" w:rsidRPr="00735D18" w:rsidRDefault="00152F0E" w:rsidP="00735D18">
            <w:pPr>
              <w:spacing w:line="276" w:lineRule="auto"/>
              <w:jc w:val="center"/>
              <w:rPr>
                <w:rFonts w:ascii="Bookman Old Style" w:hAnsi="Bookman Old Style" w:cs="Calibri"/>
                <w:color w:val="000000"/>
                <w:sz w:val="20"/>
                <w:szCs w:val="20"/>
              </w:rPr>
            </w:pPr>
            <w:r w:rsidRPr="00735D18">
              <w:rPr>
                <w:rFonts w:ascii="Bookman Old Style" w:hAnsi="Bookman Old Style" w:cs="Calibri"/>
                <w:sz w:val="20"/>
                <w:szCs w:val="20"/>
              </w:rPr>
              <w:t>37,17</w:t>
            </w:r>
          </w:p>
        </w:tc>
      </w:tr>
      <w:tr w:rsidR="00152F0E" w:rsidRPr="00735D18" w14:paraId="7BC8E020" w14:textId="77777777" w:rsidTr="00276801">
        <w:trPr>
          <w:trHeight w:val="49"/>
        </w:trPr>
        <w:tc>
          <w:tcPr>
            <w:tcW w:w="3969" w:type="dxa"/>
            <w:shd w:val="clear" w:color="auto" w:fill="auto"/>
            <w:vAlign w:val="center"/>
            <w:hideMark/>
          </w:tcPr>
          <w:p w14:paraId="469800BD" w14:textId="4E929BCB" w:rsidR="00152F0E" w:rsidRPr="00735D18" w:rsidRDefault="00152F0E" w:rsidP="00735D18">
            <w:pPr>
              <w:spacing w:line="276" w:lineRule="auto"/>
              <w:jc w:val="both"/>
              <w:rPr>
                <w:rFonts w:ascii="Bookman Old Style" w:hAnsi="Bookman Old Style" w:cs="Calibri"/>
                <w:color w:val="000000"/>
                <w:sz w:val="20"/>
                <w:szCs w:val="20"/>
              </w:rPr>
            </w:pPr>
            <w:r w:rsidRPr="00735D18">
              <w:rPr>
                <w:rFonts w:ascii="Bookman Old Style" w:hAnsi="Bookman Old Style" w:cs="Calibri"/>
                <w:color w:val="000000"/>
                <w:sz w:val="20"/>
                <w:szCs w:val="20"/>
              </w:rPr>
              <w:t>Belanja</w:t>
            </w:r>
            <w:r w:rsidR="00A954D0">
              <w:rPr>
                <w:rFonts w:ascii="Bookman Old Style" w:hAnsi="Bookman Old Style" w:cs="Calibri"/>
                <w:color w:val="000000"/>
                <w:sz w:val="20"/>
                <w:szCs w:val="20"/>
              </w:rPr>
              <w:t xml:space="preserve"> </w:t>
            </w:r>
            <w:r w:rsidRPr="00735D18">
              <w:rPr>
                <w:rFonts w:ascii="Bookman Old Style" w:hAnsi="Bookman Old Style" w:cs="Calibri"/>
                <w:color w:val="000000"/>
                <w:sz w:val="20"/>
                <w:szCs w:val="20"/>
              </w:rPr>
              <w:t>Barang</w:t>
            </w:r>
            <w:r w:rsidR="00A954D0">
              <w:rPr>
                <w:rFonts w:ascii="Bookman Old Style" w:hAnsi="Bookman Old Style" w:cs="Calibri"/>
                <w:color w:val="000000"/>
                <w:sz w:val="20"/>
                <w:szCs w:val="20"/>
              </w:rPr>
              <w:t xml:space="preserve"> </w:t>
            </w:r>
            <w:r w:rsidRPr="00735D18">
              <w:rPr>
                <w:rFonts w:ascii="Bookman Old Style" w:hAnsi="Bookman Old Style" w:cs="Calibri"/>
                <w:color w:val="000000"/>
                <w:sz w:val="20"/>
                <w:szCs w:val="20"/>
              </w:rPr>
              <w:t>dan</w:t>
            </w:r>
            <w:r w:rsidR="00A954D0">
              <w:rPr>
                <w:rFonts w:ascii="Bookman Old Style" w:hAnsi="Bookman Old Style" w:cs="Calibri"/>
                <w:color w:val="000000"/>
                <w:sz w:val="20"/>
                <w:szCs w:val="20"/>
              </w:rPr>
              <w:t xml:space="preserve"> </w:t>
            </w:r>
            <w:r w:rsidRPr="00735D18">
              <w:rPr>
                <w:rFonts w:ascii="Bookman Old Style" w:hAnsi="Bookman Old Style" w:cs="Calibri"/>
                <w:color w:val="000000"/>
                <w:sz w:val="20"/>
                <w:szCs w:val="20"/>
              </w:rPr>
              <w:t>Jasa</w:t>
            </w:r>
          </w:p>
        </w:tc>
        <w:tc>
          <w:tcPr>
            <w:tcW w:w="2569" w:type="dxa"/>
            <w:shd w:val="clear" w:color="auto" w:fill="auto"/>
            <w:vAlign w:val="center"/>
            <w:hideMark/>
          </w:tcPr>
          <w:p w14:paraId="21723371" w14:textId="7BB4CCDB" w:rsidR="00152F0E" w:rsidRPr="00735D18" w:rsidRDefault="00152F0E" w:rsidP="00735D18">
            <w:pPr>
              <w:spacing w:line="276" w:lineRule="auto"/>
              <w:jc w:val="right"/>
              <w:rPr>
                <w:rFonts w:ascii="Bookman Old Style" w:hAnsi="Bookman Old Style" w:cs="Calibri"/>
                <w:color w:val="000000"/>
                <w:sz w:val="20"/>
                <w:szCs w:val="20"/>
              </w:rPr>
            </w:pPr>
            <w:r w:rsidRPr="00735D18">
              <w:rPr>
                <w:rFonts w:ascii="Bookman Old Style" w:hAnsi="Bookman Old Style" w:cs="Calibri"/>
                <w:color w:val="000000"/>
                <w:sz w:val="20"/>
                <w:szCs w:val="20"/>
              </w:rPr>
              <w:t>2.312.050.578.361,00</w:t>
            </w:r>
            <w:r w:rsidR="00A954D0">
              <w:rPr>
                <w:rFonts w:ascii="Bookman Old Style" w:hAnsi="Bookman Old Style" w:cs="Calibri"/>
                <w:color w:val="000000"/>
                <w:sz w:val="20"/>
                <w:szCs w:val="20"/>
              </w:rPr>
              <w:t xml:space="preserve"> </w:t>
            </w:r>
          </w:p>
        </w:tc>
        <w:tc>
          <w:tcPr>
            <w:tcW w:w="1796" w:type="dxa"/>
            <w:shd w:val="clear" w:color="auto" w:fill="auto"/>
            <w:vAlign w:val="center"/>
            <w:hideMark/>
          </w:tcPr>
          <w:p w14:paraId="352C33B8" w14:textId="48002806" w:rsidR="00152F0E" w:rsidRPr="00735D18" w:rsidRDefault="00152F0E" w:rsidP="00735D18">
            <w:pPr>
              <w:spacing w:line="276" w:lineRule="auto"/>
              <w:jc w:val="center"/>
              <w:rPr>
                <w:rFonts w:ascii="Bookman Old Style" w:hAnsi="Bookman Old Style" w:cs="Calibri"/>
                <w:color w:val="000000"/>
                <w:sz w:val="20"/>
                <w:szCs w:val="20"/>
              </w:rPr>
            </w:pPr>
            <w:r w:rsidRPr="00735D18">
              <w:rPr>
                <w:rFonts w:ascii="Bookman Old Style" w:hAnsi="Bookman Old Style" w:cs="Calibri"/>
                <w:sz w:val="20"/>
                <w:szCs w:val="20"/>
              </w:rPr>
              <w:t>40,52</w:t>
            </w:r>
          </w:p>
        </w:tc>
      </w:tr>
      <w:tr w:rsidR="00152F0E" w:rsidRPr="00735D18" w14:paraId="107DBBCC" w14:textId="77777777" w:rsidTr="00276801">
        <w:trPr>
          <w:trHeight w:val="50"/>
        </w:trPr>
        <w:tc>
          <w:tcPr>
            <w:tcW w:w="3969" w:type="dxa"/>
            <w:shd w:val="clear" w:color="auto" w:fill="auto"/>
            <w:vAlign w:val="center"/>
            <w:hideMark/>
          </w:tcPr>
          <w:p w14:paraId="1A509C16" w14:textId="1573DA0A" w:rsidR="00152F0E" w:rsidRPr="00735D18" w:rsidRDefault="00152F0E" w:rsidP="00735D18">
            <w:pPr>
              <w:spacing w:line="276" w:lineRule="auto"/>
              <w:jc w:val="both"/>
              <w:rPr>
                <w:rFonts w:ascii="Bookman Old Style" w:hAnsi="Bookman Old Style" w:cs="Calibri"/>
                <w:color w:val="000000"/>
                <w:sz w:val="20"/>
                <w:szCs w:val="20"/>
              </w:rPr>
            </w:pPr>
            <w:r w:rsidRPr="00735D18">
              <w:rPr>
                <w:rFonts w:ascii="Bookman Old Style" w:hAnsi="Bookman Old Style" w:cs="Calibri"/>
                <w:color w:val="000000"/>
                <w:sz w:val="20"/>
                <w:szCs w:val="20"/>
              </w:rPr>
              <w:t>Belanja</w:t>
            </w:r>
            <w:r w:rsidR="00A954D0">
              <w:rPr>
                <w:rFonts w:ascii="Bookman Old Style" w:hAnsi="Bookman Old Style" w:cs="Calibri"/>
                <w:color w:val="000000"/>
                <w:sz w:val="20"/>
                <w:szCs w:val="20"/>
              </w:rPr>
              <w:t xml:space="preserve"> </w:t>
            </w:r>
            <w:r w:rsidR="00447644" w:rsidRPr="00735D18">
              <w:rPr>
                <w:rFonts w:ascii="Bookman Old Style" w:hAnsi="Bookman Old Style" w:cs="Calibri"/>
                <w:color w:val="000000"/>
                <w:sz w:val="20"/>
                <w:szCs w:val="20"/>
              </w:rPr>
              <w:t>Subsidi</w:t>
            </w:r>
          </w:p>
        </w:tc>
        <w:tc>
          <w:tcPr>
            <w:tcW w:w="2569" w:type="dxa"/>
            <w:shd w:val="clear" w:color="auto" w:fill="auto"/>
            <w:vAlign w:val="center"/>
            <w:hideMark/>
          </w:tcPr>
          <w:p w14:paraId="4A69BDFF" w14:textId="1054D91D" w:rsidR="00152F0E" w:rsidRPr="00735D18" w:rsidRDefault="00152F0E" w:rsidP="00735D18">
            <w:pPr>
              <w:spacing w:line="276" w:lineRule="auto"/>
              <w:jc w:val="right"/>
              <w:rPr>
                <w:rFonts w:ascii="Bookman Old Style" w:hAnsi="Bookman Old Style" w:cs="Calibri"/>
                <w:color w:val="000000"/>
                <w:sz w:val="20"/>
                <w:szCs w:val="20"/>
              </w:rPr>
            </w:pPr>
            <w:r w:rsidRPr="00735D18">
              <w:rPr>
                <w:rFonts w:ascii="Bookman Old Style" w:hAnsi="Bookman Old Style" w:cs="Calibri"/>
                <w:color w:val="000000"/>
                <w:sz w:val="20"/>
                <w:szCs w:val="20"/>
              </w:rPr>
              <w:t>42.000.000.000,00</w:t>
            </w:r>
            <w:r w:rsidR="00A954D0">
              <w:rPr>
                <w:rFonts w:ascii="Bookman Old Style" w:hAnsi="Bookman Old Style" w:cs="Calibri"/>
                <w:color w:val="000000"/>
                <w:sz w:val="20"/>
                <w:szCs w:val="20"/>
              </w:rPr>
              <w:t xml:space="preserve"> </w:t>
            </w:r>
          </w:p>
        </w:tc>
        <w:tc>
          <w:tcPr>
            <w:tcW w:w="1796" w:type="dxa"/>
            <w:shd w:val="clear" w:color="auto" w:fill="auto"/>
            <w:vAlign w:val="center"/>
            <w:hideMark/>
          </w:tcPr>
          <w:p w14:paraId="55AAB20F" w14:textId="46751B8E" w:rsidR="00152F0E" w:rsidRPr="00735D18" w:rsidRDefault="00152F0E" w:rsidP="00735D18">
            <w:pPr>
              <w:spacing w:line="276" w:lineRule="auto"/>
              <w:jc w:val="center"/>
              <w:rPr>
                <w:rFonts w:ascii="Bookman Old Style" w:hAnsi="Bookman Old Style" w:cs="Calibri"/>
                <w:color w:val="000000"/>
                <w:sz w:val="20"/>
                <w:szCs w:val="20"/>
              </w:rPr>
            </w:pPr>
            <w:r w:rsidRPr="00735D18">
              <w:rPr>
                <w:rFonts w:ascii="Bookman Old Style" w:hAnsi="Bookman Old Style" w:cs="Calibri"/>
                <w:sz w:val="20"/>
                <w:szCs w:val="20"/>
              </w:rPr>
              <w:t>0,7</w:t>
            </w:r>
            <w:r w:rsidR="00C06B5D" w:rsidRPr="00735D18">
              <w:rPr>
                <w:rFonts w:ascii="Bookman Old Style" w:hAnsi="Bookman Old Style" w:cs="Calibri"/>
                <w:sz w:val="20"/>
                <w:szCs w:val="20"/>
              </w:rPr>
              <w:t>4</w:t>
            </w:r>
          </w:p>
        </w:tc>
      </w:tr>
      <w:tr w:rsidR="00447644" w:rsidRPr="00735D18" w14:paraId="3B4CC045" w14:textId="77777777" w:rsidTr="00276801">
        <w:trPr>
          <w:trHeight w:val="300"/>
        </w:trPr>
        <w:tc>
          <w:tcPr>
            <w:tcW w:w="3969" w:type="dxa"/>
            <w:shd w:val="clear" w:color="auto" w:fill="auto"/>
            <w:vAlign w:val="center"/>
            <w:hideMark/>
          </w:tcPr>
          <w:p w14:paraId="429A4C7D" w14:textId="58EABE74" w:rsidR="00447644" w:rsidRPr="00735D18" w:rsidRDefault="00447644" w:rsidP="00735D18">
            <w:pPr>
              <w:spacing w:line="276" w:lineRule="auto"/>
              <w:jc w:val="both"/>
              <w:rPr>
                <w:rFonts w:ascii="Bookman Old Style" w:hAnsi="Bookman Old Style" w:cs="Calibri"/>
                <w:color w:val="000000"/>
                <w:sz w:val="20"/>
                <w:szCs w:val="20"/>
              </w:rPr>
            </w:pPr>
            <w:r w:rsidRPr="00735D18">
              <w:rPr>
                <w:rFonts w:ascii="Bookman Old Style" w:hAnsi="Bookman Old Style" w:cs="Calibri"/>
                <w:color w:val="000000"/>
                <w:sz w:val="20"/>
                <w:szCs w:val="20"/>
              </w:rPr>
              <w:t>Belanja</w:t>
            </w:r>
            <w:r w:rsidR="00A954D0">
              <w:rPr>
                <w:rFonts w:ascii="Bookman Old Style" w:hAnsi="Bookman Old Style" w:cs="Calibri"/>
                <w:color w:val="000000"/>
                <w:sz w:val="20"/>
                <w:szCs w:val="20"/>
              </w:rPr>
              <w:t xml:space="preserve"> </w:t>
            </w:r>
            <w:r w:rsidRPr="00735D18">
              <w:rPr>
                <w:rFonts w:ascii="Bookman Old Style" w:hAnsi="Bookman Old Style" w:cs="Calibri"/>
                <w:color w:val="000000"/>
                <w:sz w:val="20"/>
                <w:szCs w:val="20"/>
              </w:rPr>
              <w:t>Hibah</w:t>
            </w:r>
          </w:p>
        </w:tc>
        <w:tc>
          <w:tcPr>
            <w:tcW w:w="2569" w:type="dxa"/>
            <w:shd w:val="clear" w:color="auto" w:fill="auto"/>
            <w:vAlign w:val="center"/>
            <w:hideMark/>
          </w:tcPr>
          <w:p w14:paraId="30657C2B" w14:textId="56538003" w:rsidR="00447644" w:rsidRPr="00735D18" w:rsidRDefault="00447644" w:rsidP="00735D18">
            <w:pPr>
              <w:spacing w:line="276" w:lineRule="auto"/>
              <w:jc w:val="right"/>
              <w:rPr>
                <w:rFonts w:ascii="Bookman Old Style" w:hAnsi="Bookman Old Style" w:cs="Calibri"/>
                <w:color w:val="000000"/>
                <w:sz w:val="20"/>
                <w:szCs w:val="20"/>
              </w:rPr>
            </w:pPr>
            <w:r w:rsidRPr="00735D18">
              <w:rPr>
                <w:rFonts w:ascii="Bookman Old Style" w:hAnsi="Bookman Old Style" w:cs="Calibri"/>
                <w:color w:val="000000"/>
                <w:sz w:val="20"/>
                <w:szCs w:val="20"/>
              </w:rPr>
              <w:t>161.369.902.220,00</w:t>
            </w:r>
            <w:r w:rsidR="00A954D0">
              <w:rPr>
                <w:rFonts w:ascii="Bookman Old Style" w:hAnsi="Bookman Old Style" w:cs="Calibri"/>
                <w:color w:val="000000"/>
                <w:sz w:val="20"/>
                <w:szCs w:val="20"/>
              </w:rPr>
              <w:t xml:space="preserve"> </w:t>
            </w:r>
          </w:p>
        </w:tc>
        <w:tc>
          <w:tcPr>
            <w:tcW w:w="1796" w:type="dxa"/>
            <w:shd w:val="clear" w:color="auto" w:fill="auto"/>
            <w:vAlign w:val="center"/>
            <w:hideMark/>
          </w:tcPr>
          <w:p w14:paraId="4059422E" w14:textId="07F96481" w:rsidR="00447644" w:rsidRPr="00735D18" w:rsidRDefault="00447644" w:rsidP="00735D18">
            <w:pPr>
              <w:spacing w:line="276" w:lineRule="auto"/>
              <w:jc w:val="center"/>
              <w:rPr>
                <w:rFonts w:ascii="Bookman Old Style" w:hAnsi="Bookman Old Style" w:cs="Calibri"/>
                <w:color w:val="000000"/>
                <w:sz w:val="20"/>
                <w:szCs w:val="20"/>
              </w:rPr>
            </w:pPr>
            <w:r w:rsidRPr="00735D18">
              <w:rPr>
                <w:rFonts w:ascii="Bookman Old Style" w:hAnsi="Bookman Old Style" w:cs="Calibri"/>
                <w:sz w:val="20"/>
                <w:szCs w:val="20"/>
              </w:rPr>
              <w:t>2,83</w:t>
            </w:r>
          </w:p>
        </w:tc>
      </w:tr>
      <w:tr w:rsidR="00447644" w:rsidRPr="00735D18" w14:paraId="4434F103" w14:textId="77777777" w:rsidTr="00276801">
        <w:trPr>
          <w:trHeight w:val="49"/>
        </w:trPr>
        <w:tc>
          <w:tcPr>
            <w:tcW w:w="3969" w:type="dxa"/>
            <w:shd w:val="clear" w:color="auto" w:fill="auto"/>
            <w:vAlign w:val="center"/>
            <w:hideMark/>
          </w:tcPr>
          <w:p w14:paraId="0A78DD94" w14:textId="2AB6F7A9" w:rsidR="00447644" w:rsidRPr="00735D18" w:rsidRDefault="00447644" w:rsidP="00735D18">
            <w:pPr>
              <w:spacing w:line="276" w:lineRule="auto"/>
              <w:jc w:val="both"/>
              <w:rPr>
                <w:rFonts w:ascii="Bookman Old Style" w:hAnsi="Bookman Old Style" w:cs="Calibri"/>
                <w:b/>
                <w:bCs/>
                <w:color w:val="000000"/>
                <w:sz w:val="20"/>
                <w:szCs w:val="20"/>
              </w:rPr>
            </w:pPr>
            <w:r w:rsidRPr="00735D18">
              <w:rPr>
                <w:rFonts w:ascii="Bookman Old Style" w:hAnsi="Bookman Old Style" w:cs="Calibri"/>
                <w:color w:val="000000"/>
                <w:sz w:val="20"/>
                <w:szCs w:val="20"/>
              </w:rPr>
              <w:t>Belanja</w:t>
            </w:r>
            <w:r w:rsidR="00A954D0">
              <w:rPr>
                <w:rFonts w:ascii="Bookman Old Style" w:hAnsi="Bookman Old Style" w:cs="Calibri"/>
                <w:color w:val="000000"/>
                <w:sz w:val="20"/>
                <w:szCs w:val="20"/>
              </w:rPr>
              <w:t xml:space="preserve"> </w:t>
            </w:r>
            <w:r w:rsidRPr="00735D18">
              <w:rPr>
                <w:rFonts w:ascii="Bookman Old Style" w:hAnsi="Bookman Old Style" w:cs="Calibri"/>
                <w:color w:val="000000"/>
                <w:sz w:val="20"/>
                <w:szCs w:val="20"/>
              </w:rPr>
              <w:t>Bantuan</w:t>
            </w:r>
            <w:r w:rsidR="00A954D0">
              <w:rPr>
                <w:rFonts w:ascii="Bookman Old Style" w:hAnsi="Bookman Old Style" w:cs="Calibri"/>
                <w:color w:val="000000"/>
                <w:sz w:val="20"/>
                <w:szCs w:val="20"/>
              </w:rPr>
              <w:t xml:space="preserve"> </w:t>
            </w:r>
            <w:r w:rsidRPr="00735D18">
              <w:rPr>
                <w:rFonts w:ascii="Bookman Old Style" w:hAnsi="Bookman Old Style" w:cs="Calibri"/>
                <w:color w:val="000000"/>
                <w:sz w:val="20"/>
                <w:szCs w:val="20"/>
              </w:rPr>
              <w:t>Sosial</w:t>
            </w:r>
          </w:p>
        </w:tc>
        <w:tc>
          <w:tcPr>
            <w:tcW w:w="2569" w:type="dxa"/>
            <w:shd w:val="clear" w:color="auto" w:fill="auto"/>
            <w:vAlign w:val="center"/>
            <w:hideMark/>
          </w:tcPr>
          <w:p w14:paraId="4F8A3AFC" w14:textId="082108EE" w:rsidR="00447644" w:rsidRPr="00735D18" w:rsidRDefault="00447644" w:rsidP="00735D18">
            <w:pPr>
              <w:spacing w:line="276" w:lineRule="auto"/>
              <w:jc w:val="right"/>
              <w:rPr>
                <w:rFonts w:ascii="Bookman Old Style" w:hAnsi="Bookman Old Style" w:cs="Calibri"/>
                <w:b/>
                <w:bCs/>
                <w:color w:val="000000"/>
                <w:sz w:val="20"/>
                <w:szCs w:val="20"/>
              </w:rPr>
            </w:pPr>
            <w:r w:rsidRPr="00735D18">
              <w:rPr>
                <w:rFonts w:ascii="Bookman Old Style" w:hAnsi="Bookman Old Style" w:cs="Calibri"/>
                <w:color w:val="000000"/>
                <w:sz w:val="20"/>
                <w:szCs w:val="20"/>
              </w:rPr>
              <w:t>4.458.000.000,00</w:t>
            </w:r>
            <w:r w:rsidR="00A954D0">
              <w:rPr>
                <w:rFonts w:ascii="Bookman Old Style" w:hAnsi="Bookman Old Style" w:cs="Calibri"/>
                <w:color w:val="000000"/>
                <w:sz w:val="20"/>
                <w:szCs w:val="20"/>
              </w:rPr>
              <w:t xml:space="preserve"> </w:t>
            </w:r>
          </w:p>
        </w:tc>
        <w:tc>
          <w:tcPr>
            <w:tcW w:w="1796" w:type="dxa"/>
            <w:shd w:val="clear" w:color="auto" w:fill="auto"/>
            <w:vAlign w:val="center"/>
            <w:hideMark/>
          </w:tcPr>
          <w:p w14:paraId="0505A26D" w14:textId="3A818218" w:rsidR="00447644" w:rsidRPr="00735D18" w:rsidRDefault="00447644" w:rsidP="00735D18">
            <w:pPr>
              <w:spacing w:line="276" w:lineRule="auto"/>
              <w:jc w:val="center"/>
              <w:rPr>
                <w:rFonts w:ascii="Bookman Old Style" w:hAnsi="Bookman Old Style" w:cs="Calibri"/>
                <w:color w:val="000000"/>
                <w:sz w:val="20"/>
                <w:szCs w:val="20"/>
              </w:rPr>
            </w:pPr>
            <w:r w:rsidRPr="00735D18">
              <w:rPr>
                <w:rFonts w:ascii="Bookman Old Style" w:hAnsi="Bookman Old Style" w:cs="Calibri"/>
                <w:sz w:val="20"/>
                <w:szCs w:val="20"/>
              </w:rPr>
              <w:t>0,08</w:t>
            </w:r>
          </w:p>
        </w:tc>
      </w:tr>
      <w:tr w:rsidR="00447644" w:rsidRPr="00735D18" w14:paraId="4228E4C0" w14:textId="77777777" w:rsidTr="00276801">
        <w:trPr>
          <w:trHeight w:val="49"/>
        </w:trPr>
        <w:tc>
          <w:tcPr>
            <w:tcW w:w="3969" w:type="dxa"/>
            <w:shd w:val="clear" w:color="auto" w:fill="auto"/>
            <w:vAlign w:val="center"/>
            <w:hideMark/>
          </w:tcPr>
          <w:p w14:paraId="3E0EC985" w14:textId="69395965" w:rsidR="00447644" w:rsidRPr="00735D18" w:rsidRDefault="00447644" w:rsidP="00735D18">
            <w:pPr>
              <w:spacing w:line="276" w:lineRule="auto"/>
              <w:jc w:val="both"/>
              <w:rPr>
                <w:rFonts w:ascii="Bookman Old Style" w:hAnsi="Bookman Old Style" w:cs="Calibri"/>
                <w:color w:val="000000"/>
                <w:sz w:val="20"/>
                <w:szCs w:val="20"/>
              </w:rPr>
            </w:pPr>
            <w:r w:rsidRPr="00735D18">
              <w:rPr>
                <w:rFonts w:ascii="Bookman Old Style" w:hAnsi="Bookman Old Style" w:cs="Calibri"/>
                <w:b/>
                <w:bCs/>
                <w:color w:val="000000"/>
                <w:sz w:val="20"/>
                <w:szCs w:val="20"/>
              </w:rPr>
              <w:t>Belanja</w:t>
            </w:r>
            <w:r w:rsidR="00A954D0">
              <w:rPr>
                <w:rFonts w:ascii="Bookman Old Style" w:hAnsi="Bookman Old Style" w:cs="Calibri"/>
                <w:b/>
                <w:bCs/>
                <w:color w:val="000000"/>
                <w:sz w:val="20"/>
                <w:szCs w:val="20"/>
              </w:rPr>
              <w:t xml:space="preserve"> </w:t>
            </w:r>
            <w:r w:rsidRPr="00735D18">
              <w:rPr>
                <w:rFonts w:ascii="Bookman Old Style" w:hAnsi="Bookman Old Style" w:cs="Calibri"/>
                <w:b/>
                <w:bCs/>
                <w:color w:val="000000"/>
                <w:sz w:val="20"/>
                <w:szCs w:val="20"/>
              </w:rPr>
              <w:t>Modal</w:t>
            </w:r>
          </w:p>
        </w:tc>
        <w:tc>
          <w:tcPr>
            <w:tcW w:w="2569" w:type="dxa"/>
            <w:shd w:val="clear" w:color="auto" w:fill="auto"/>
            <w:vAlign w:val="center"/>
            <w:hideMark/>
          </w:tcPr>
          <w:p w14:paraId="5083B88D" w14:textId="7D579C0D" w:rsidR="00447644" w:rsidRPr="00735D18" w:rsidRDefault="00447644" w:rsidP="00735D18">
            <w:pPr>
              <w:spacing w:line="276" w:lineRule="auto"/>
              <w:jc w:val="right"/>
              <w:rPr>
                <w:rFonts w:ascii="Bookman Old Style" w:hAnsi="Bookman Old Style" w:cs="Calibri"/>
                <w:color w:val="000000"/>
                <w:sz w:val="20"/>
                <w:szCs w:val="20"/>
              </w:rPr>
            </w:pPr>
            <w:r w:rsidRPr="00735D18">
              <w:rPr>
                <w:rFonts w:ascii="Bookman Old Style" w:hAnsi="Bookman Old Style" w:cs="Calibri"/>
                <w:b/>
                <w:bCs/>
                <w:color w:val="000000"/>
                <w:sz w:val="20"/>
                <w:szCs w:val="20"/>
              </w:rPr>
              <w:t>1.037.873.336.541,00</w:t>
            </w:r>
            <w:r w:rsidR="00A954D0">
              <w:rPr>
                <w:rFonts w:ascii="Bookman Old Style" w:hAnsi="Bookman Old Style" w:cs="Calibri"/>
                <w:b/>
                <w:bCs/>
                <w:color w:val="000000"/>
                <w:sz w:val="20"/>
                <w:szCs w:val="20"/>
              </w:rPr>
              <w:t xml:space="preserve"> </w:t>
            </w:r>
          </w:p>
        </w:tc>
        <w:tc>
          <w:tcPr>
            <w:tcW w:w="1796" w:type="dxa"/>
            <w:shd w:val="clear" w:color="auto" w:fill="auto"/>
            <w:vAlign w:val="center"/>
            <w:hideMark/>
          </w:tcPr>
          <w:p w14:paraId="684BE1F8" w14:textId="4743F04F" w:rsidR="00447644" w:rsidRPr="00735D18" w:rsidRDefault="00447644" w:rsidP="00735D18">
            <w:pPr>
              <w:spacing w:line="276" w:lineRule="auto"/>
              <w:jc w:val="center"/>
              <w:rPr>
                <w:rFonts w:ascii="Bookman Old Style" w:hAnsi="Bookman Old Style" w:cs="Calibri"/>
                <w:color w:val="000000"/>
                <w:sz w:val="20"/>
                <w:szCs w:val="20"/>
              </w:rPr>
            </w:pPr>
            <w:r w:rsidRPr="00735D18">
              <w:rPr>
                <w:rFonts w:ascii="Bookman Old Style" w:hAnsi="Bookman Old Style" w:cs="Calibri"/>
                <w:b/>
                <w:bCs/>
                <w:sz w:val="20"/>
                <w:szCs w:val="20"/>
              </w:rPr>
              <w:t>18,19</w:t>
            </w:r>
          </w:p>
        </w:tc>
      </w:tr>
      <w:tr w:rsidR="00447644" w:rsidRPr="00735D18" w14:paraId="577F3C9F" w14:textId="77777777" w:rsidTr="00276801">
        <w:trPr>
          <w:trHeight w:val="49"/>
        </w:trPr>
        <w:tc>
          <w:tcPr>
            <w:tcW w:w="3969" w:type="dxa"/>
            <w:shd w:val="clear" w:color="auto" w:fill="auto"/>
            <w:vAlign w:val="center"/>
            <w:hideMark/>
          </w:tcPr>
          <w:p w14:paraId="35DC64AE" w14:textId="7C763296" w:rsidR="00447644" w:rsidRPr="00735D18" w:rsidRDefault="00447644" w:rsidP="00735D18">
            <w:pPr>
              <w:spacing w:line="276" w:lineRule="auto"/>
              <w:jc w:val="both"/>
              <w:rPr>
                <w:rFonts w:ascii="Bookman Old Style" w:hAnsi="Bookman Old Style" w:cs="Calibri"/>
                <w:color w:val="000000"/>
                <w:sz w:val="20"/>
                <w:szCs w:val="20"/>
                <w:lang w:val="sv-FI"/>
              </w:rPr>
            </w:pPr>
            <w:r w:rsidRPr="00735D18">
              <w:rPr>
                <w:rFonts w:ascii="Bookman Old Style" w:hAnsi="Bookman Old Style" w:cs="Calibri"/>
                <w:color w:val="000000"/>
                <w:sz w:val="20"/>
                <w:szCs w:val="20"/>
              </w:rPr>
              <w:t>Belanja</w:t>
            </w:r>
            <w:r w:rsidR="00A954D0">
              <w:rPr>
                <w:rFonts w:ascii="Bookman Old Style" w:hAnsi="Bookman Old Style" w:cs="Calibri"/>
                <w:color w:val="000000"/>
                <w:sz w:val="20"/>
                <w:szCs w:val="20"/>
              </w:rPr>
              <w:t xml:space="preserve"> </w:t>
            </w:r>
            <w:r w:rsidRPr="00735D18">
              <w:rPr>
                <w:rFonts w:ascii="Bookman Old Style" w:hAnsi="Bookman Old Style" w:cs="Calibri"/>
                <w:color w:val="000000"/>
                <w:sz w:val="20"/>
                <w:szCs w:val="20"/>
              </w:rPr>
              <w:t>Modal</w:t>
            </w:r>
            <w:r w:rsidR="00A954D0">
              <w:rPr>
                <w:rFonts w:ascii="Bookman Old Style" w:hAnsi="Bookman Old Style" w:cs="Calibri"/>
                <w:color w:val="000000"/>
                <w:sz w:val="20"/>
                <w:szCs w:val="20"/>
              </w:rPr>
              <w:t xml:space="preserve"> </w:t>
            </w:r>
            <w:r w:rsidRPr="00735D18">
              <w:rPr>
                <w:rFonts w:ascii="Bookman Old Style" w:hAnsi="Bookman Old Style" w:cs="Calibri"/>
                <w:color w:val="000000"/>
                <w:sz w:val="20"/>
                <w:szCs w:val="20"/>
              </w:rPr>
              <w:t>Tanah</w:t>
            </w:r>
          </w:p>
        </w:tc>
        <w:tc>
          <w:tcPr>
            <w:tcW w:w="2569" w:type="dxa"/>
            <w:shd w:val="clear" w:color="auto" w:fill="auto"/>
            <w:vAlign w:val="center"/>
            <w:hideMark/>
          </w:tcPr>
          <w:p w14:paraId="4096A341" w14:textId="0428FA7D" w:rsidR="00447644" w:rsidRPr="00735D18" w:rsidRDefault="00447644" w:rsidP="00735D18">
            <w:pPr>
              <w:spacing w:line="276" w:lineRule="auto"/>
              <w:jc w:val="right"/>
              <w:rPr>
                <w:rFonts w:ascii="Bookman Old Style" w:hAnsi="Bookman Old Style" w:cs="Calibri"/>
                <w:color w:val="000000"/>
                <w:sz w:val="20"/>
                <w:szCs w:val="20"/>
              </w:rPr>
            </w:pPr>
            <w:r w:rsidRPr="00735D18">
              <w:rPr>
                <w:rFonts w:ascii="Bookman Old Style" w:hAnsi="Bookman Old Style" w:cs="Calibri"/>
                <w:color w:val="000000"/>
                <w:sz w:val="20"/>
                <w:szCs w:val="20"/>
              </w:rPr>
              <w:t>160.733.799.050,00</w:t>
            </w:r>
            <w:r w:rsidR="00A954D0">
              <w:rPr>
                <w:rFonts w:ascii="Bookman Old Style" w:hAnsi="Bookman Old Style" w:cs="Calibri"/>
                <w:color w:val="000000"/>
                <w:sz w:val="20"/>
                <w:szCs w:val="20"/>
              </w:rPr>
              <w:t xml:space="preserve"> </w:t>
            </w:r>
          </w:p>
        </w:tc>
        <w:tc>
          <w:tcPr>
            <w:tcW w:w="1796" w:type="dxa"/>
            <w:shd w:val="clear" w:color="auto" w:fill="auto"/>
            <w:vAlign w:val="center"/>
            <w:hideMark/>
          </w:tcPr>
          <w:p w14:paraId="6E01D618" w14:textId="2B269E22" w:rsidR="00447644" w:rsidRPr="00735D18" w:rsidRDefault="00447644" w:rsidP="00735D18">
            <w:pPr>
              <w:spacing w:line="276" w:lineRule="auto"/>
              <w:jc w:val="center"/>
              <w:rPr>
                <w:rFonts w:ascii="Bookman Old Style" w:hAnsi="Bookman Old Style" w:cs="Calibri"/>
                <w:color w:val="000000"/>
                <w:sz w:val="20"/>
                <w:szCs w:val="20"/>
              </w:rPr>
            </w:pPr>
            <w:r w:rsidRPr="00735D18">
              <w:rPr>
                <w:rFonts w:ascii="Bookman Old Style" w:hAnsi="Bookman Old Style" w:cs="Calibri"/>
                <w:sz w:val="20"/>
                <w:szCs w:val="20"/>
              </w:rPr>
              <w:t>2,82</w:t>
            </w:r>
          </w:p>
        </w:tc>
      </w:tr>
      <w:tr w:rsidR="00447644" w:rsidRPr="00735D18" w14:paraId="51AE8B0A" w14:textId="77777777" w:rsidTr="00276801">
        <w:trPr>
          <w:trHeight w:val="49"/>
        </w:trPr>
        <w:tc>
          <w:tcPr>
            <w:tcW w:w="3969" w:type="dxa"/>
            <w:shd w:val="clear" w:color="auto" w:fill="auto"/>
            <w:vAlign w:val="center"/>
            <w:hideMark/>
          </w:tcPr>
          <w:p w14:paraId="47457ACD" w14:textId="63D6F16B" w:rsidR="00447644" w:rsidRPr="00735D18" w:rsidRDefault="00447644" w:rsidP="00735D18">
            <w:pPr>
              <w:spacing w:line="276" w:lineRule="auto"/>
              <w:jc w:val="both"/>
              <w:rPr>
                <w:rFonts w:ascii="Bookman Old Style" w:hAnsi="Bookman Old Style" w:cs="Calibri"/>
                <w:color w:val="000000"/>
                <w:sz w:val="20"/>
                <w:szCs w:val="20"/>
                <w:lang w:val="de-DE"/>
              </w:rPr>
            </w:pPr>
            <w:r w:rsidRPr="00735D18">
              <w:rPr>
                <w:rFonts w:ascii="Bookman Old Style" w:hAnsi="Bookman Old Style" w:cs="Calibri"/>
                <w:color w:val="000000"/>
                <w:sz w:val="20"/>
                <w:szCs w:val="20"/>
                <w:lang w:val="sv-FI"/>
              </w:rPr>
              <w:t>Belanja</w:t>
            </w:r>
            <w:r w:rsidR="00A954D0">
              <w:rPr>
                <w:rFonts w:ascii="Bookman Old Style" w:hAnsi="Bookman Old Style" w:cs="Calibri"/>
                <w:color w:val="000000"/>
                <w:sz w:val="20"/>
                <w:szCs w:val="20"/>
                <w:lang w:val="sv-FI"/>
              </w:rPr>
              <w:t xml:space="preserve"> </w:t>
            </w:r>
            <w:r w:rsidRPr="00735D18">
              <w:rPr>
                <w:rFonts w:ascii="Bookman Old Style" w:hAnsi="Bookman Old Style" w:cs="Calibri"/>
                <w:color w:val="000000"/>
                <w:sz w:val="20"/>
                <w:szCs w:val="20"/>
                <w:lang w:val="sv-FI"/>
              </w:rPr>
              <w:t>Modal</w:t>
            </w:r>
            <w:r w:rsidR="00A954D0">
              <w:rPr>
                <w:rFonts w:ascii="Bookman Old Style" w:hAnsi="Bookman Old Style" w:cs="Calibri"/>
                <w:color w:val="000000"/>
                <w:sz w:val="20"/>
                <w:szCs w:val="20"/>
                <w:lang w:val="sv-FI"/>
              </w:rPr>
              <w:t xml:space="preserve"> </w:t>
            </w:r>
            <w:r w:rsidRPr="00735D18">
              <w:rPr>
                <w:rFonts w:ascii="Bookman Old Style" w:hAnsi="Bookman Old Style" w:cs="Calibri"/>
                <w:color w:val="000000"/>
                <w:sz w:val="20"/>
                <w:szCs w:val="20"/>
                <w:lang w:val="sv-FI"/>
              </w:rPr>
              <w:t>Peralatan</w:t>
            </w:r>
            <w:r w:rsidR="00A954D0">
              <w:rPr>
                <w:rFonts w:ascii="Bookman Old Style" w:hAnsi="Bookman Old Style" w:cs="Calibri"/>
                <w:color w:val="000000"/>
                <w:sz w:val="20"/>
                <w:szCs w:val="20"/>
                <w:lang w:val="sv-FI"/>
              </w:rPr>
              <w:t xml:space="preserve"> </w:t>
            </w:r>
            <w:r w:rsidRPr="00735D18">
              <w:rPr>
                <w:rFonts w:ascii="Bookman Old Style" w:hAnsi="Bookman Old Style" w:cs="Calibri"/>
                <w:color w:val="000000"/>
                <w:sz w:val="20"/>
                <w:szCs w:val="20"/>
                <w:lang w:val="sv-FI"/>
              </w:rPr>
              <w:t>dan</w:t>
            </w:r>
            <w:r w:rsidR="00A954D0">
              <w:rPr>
                <w:rFonts w:ascii="Bookman Old Style" w:hAnsi="Bookman Old Style" w:cs="Calibri"/>
                <w:color w:val="000000"/>
                <w:sz w:val="20"/>
                <w:szCs w:val="20"/>
                <w:lang w:val="sv-FI"/>
              </w:rPr>
              <w:t xml:space="preserve"> </w:t>
            </w:r>
            <w:r w:rsidRPr="00735D18">
              <w:rPr>
                <w:rFonts w:ascii="Bookman Old Style" w:hAnsi="Bookman Old Style" w:cs="Calibri"/>
                <w:color w:val="000000"/>
                <w:sz w:val="20"/>
                <w:szCs w:val="20"/>
                <w:lang w:val="sv-FI"/>
              </w:rPr>
              <w:t>Mesin</w:t>
            </w:r>
          </w:p>
        </w:tc>
        <w:tc>
          <w:tcPr>
            <w:tcW w:w="2569" w:type="dxa"/>
            <w:shd w:val="clear" w:color="auto" w:fill="auto"/>
            <w:vAlign w:val="center"/>
            <w:hideMark/>
          </w:tcPr>
          <w:p w14:paraId="2AB70AC2" w14:textId="245AA2D4" w:rsidR="00447644" w:rsidRPr="00735D18" w:rsidRDefault="00447644" w:rsidP="00735D18">
            <w:pPr>
              <w:spacing w:line="276" w:lineRule="auto"/>
              <w:jc w:val="right"/>
              <w:rPr>
                <w:rFonts w:ascii="Bookman Old Style" w:hAnsi="Bookman Old Style" w:cs="Calibri"/>
                <w:color w:val="000000"/>
                <w:sz w:val="20"/>
                <w:szCs w:val="20"/>
              </w:rPr>
            </w:pPr>
            <w:r w:rsidRPr="00735D18">
              <w:rPr>
                <w:rFonts w:ascii="Bookman Old Style" w:hAnsi="Bookman Old Style" w:cs="Calibri"/>
                <w:color w:val="000000"/>
                <w:sz w:val="20"/>
                <w:szCs w:val="20"/>
              </w:rPr>
              <w:t>277.077.171.733,00</w:t>
            </w:r>
            <w:r w:rsidR="00A954D0">
              <w:rPr>
                <w:rFonts w:ascii="Bookman Old Style" w:hAnsi="Bookman Old Style" w:cs="Calibri"/>
                <w:color w:val="000000"/>
                <w:sz w:val="20"/>
                <w:szCs w:val="20"/>
              </w:rPr>
              <w:t xml:space="preserve"> </w:t>
            </w:r>
          </w:p>
        </w:tc>
        <w:tc>
          <w:tcPr>
            <w:tcW w:w="1796" w:type="dxa"/>
            <w:shd w:val="clear" w:color="auto" w:fill="auto"/>
            <w:vAlign w:val="center"/>
            <w:hideMark/>
          </w:tcPr>
          <w:p w14:paraId="4B247BCF" w14:textId="2D483BA8" w:rsidR="00447644" w:rsidRPr="00735D18" w:rsidRDefault="00447644" w:rsidP="00735D18">
            <w:pPr>
              <w:spacing w:line="276" w:lineRule="auto"/>
              <w:jc w:val="center"/>
              <w:rPr>
                <w:rFonts w:ascii="Bookman Old Style" w:hAnsi="Bookman Old Style" w:cs="Calibri"/>
                <w:color w:val="000000"/>
                <w:sz w:val="20"/>
                <w:szCs w:val="20"/>
              </w:rPr>
            </w:pPr>
            <w:r w:rsidRPr="00735D18">
              <w:rPr>
                <w:rFonts w:ascii="Bookman Old Style" w:hAnsi="Bookman Old Style" w:cs="Calibri"/>
                <w:sz w:val="20"/>
                <w:szCs w:val="20"/>
              </w:rPr>
              <w:t>4,86</w:t>
            </w:r>
          </w:p>
        </w:tc>
      </w:tr>
      <w:tr w:rsidR="00447644" w:rsidRPr="00735D18" w14:paraId="648C21E5" w14:textId="77777777" w:rsidTr="00276801">
        <w:trPr>
          <w:trHeight w:val="50"/>
        </w:trPr>
        <w:tc>
          <w:tcPr>
            <w:tcW w:w="3969" w:type="dxa"/>
            <w:shd w:val="clear" w:color="auto" w:fill="auto"/>
            <w:vAlign w:val="center"/>
            <w:hideMark/>
          </w:tcPr>
          <w:p w14:paraId="3018EC7B" w14:textId="14ED933B" w:rsidR="00447644" w:rsidRPr="00735D18" w:rsidRDefault="00447644" w:rsidP="00735D18">
            <w:pPr>
              <w:spacing w:line="276" w:lineRule="auto"/>
              <w:jc w:val="both"/>
              <w:rPr>
                <w:rFonts w:ascii="Bookman Old Style" w:hAnsi="Bookman Old Style" w:cs="Calibri"/>
                <w:color w:val="000000"/>
                <w:sz w:val="20"/>
                <w:szCs w:val="20"/>
                <w:lang w:val="sv-FI"/>
              </w:rPr>
            </w:pPr>
            <w:r w:rsidRPr="00735D18">
              <w:rPr>
                <w:rFonts w:ascii="Bookman Old Style" w:hAnsi="Bookman Old Style" w:cs="Calibri"/>
                <w:color w:val="000000"/>
                <w:sz w:val="20"/>
                <w:szCs w:val="20"/>
                <w:lang w:val="de-DE"/>
              </w:rPr>
              <w:t>Belanja</w:t>
            </w:r>
            <w:r w:rsidR="00A954D0">
              <w:rPr>
                <w:rFonts w:ascii="Bookman Old Style" w:hAnsi="Bookman Old Style" w:cs="Calibri"/>
                <w:color w:val="000000"/>
                <w:sz w:val="20"/>
                <w:szCs w:val="20"/>
                <w:lang w:val="de-DE"/>
              </w:rPr>
              <w:t xml:space="preserve"> </w:t>
            </w:r>
            <w:r w:rsidRPr="00735D18">
              <w:rPr>
                <w:rFonts w:ascii="Bookman Old Style" w:hAnsi="Bookman Old Style" w:cs="Calibri"/>
                <w:color w:val="000000"/>
                <w:sz w:val="20"/>
                <w:szCs w:val="20"/>
                <w:lang w:val="de-DE"/>
              </w:rPr>
              <w:t>Modal</w:t>
            </w:r>
            <w:r w:rsidR="00A954D0">
              <w:rPr>
                <w:rFonts w:ascii="Bookman Old Style" w:hAnsi="Bookman Old Style" w:cs="Calibri"/>
                <w:color w:val="000000"/>
                <w:sz w:val="20"/>
                <w:szCs w:val="20"/>
                <w:lang w:val="de-DE"/>
              </w:rPr>
              <w:t xml:space="preserve"> </w:t>
            </w:r>
            <w:r w:rsidRPr="00735D18">
              <w:rPr>
                <w:rFonts w:ascii="Bookman Old Style" w:hAnsi="Bookman Old Style" w:cs="Calibri"/>
                <w:color w:val="000000"/>
                <w:sz w:val="20"/>
                <w:szCs w:val="20"/>
                <w:lang w:val="de-DE"/>
              </w:rPr>
              <w:t>Gedung</w:t>
            </w:r>
            <w:r w:rsidR="00A954D0">
              <w:rPr>
                <w:rFonts w:ascii="Bookman Old Style" w:hAnsi="Bookman Old Style" w:cs="Calibri"/>
                <w:color w:val="000000"/>
                <w:sz w:val="20"/>
                <w:szCs w:val="20"/>
                <w:lang w:val="de-DE"/>
              </w:rPr>
              <w:t xml:space="preserve"> </w:t>
            </w:r>
            <w:r w:rsidRPr="00735D18">
              <w:rPr>
                <w:rFonts w:ascii="Bookman Old Style" w:hAnsi="Bookman Old Style" w:cs="Calibri"/>
                <w:color w:val="000000"/>
                <w:sz w:val="20"/>
                <w:szCs w:val="20"/>
                <w:lang w:val="de-DE"/>
              </w:rPr>
              <w:t>dan</w:t>
            </w:r>
            <w:r w:rsidR="00A954D0">
              <w:rPr>
                <w:rFonts w:ascii="Bookman Old Style" w:hAnsi="Bookman Old Style" w:cs="Calibri"/>
                <w:color w:val="000000"/>
                <w:sz w:val="20"/>
                <w:szCs w:val="20"/>
                <w:lang w:val="de-DE"/>
              </w:rPr>
              <w:t xml:space="preserve"> </w:t>
            </w:r>
            <w:r w:rsidRPr="00735D18">
              <w:rPr>
                <w:rFonts w:ascii="Bookman Old Style" w:hAnsi="Bookman Old Style" w:cs="Calibri"/>
                <w:color w:val="000000"/>
                <w:sz w:val="20"/>
                <w:szCs w:val="20"/>
                <w:lang w:val="de-DE"/>
              </w:rPr>
              <w:t>Bangunan</w:t>
            </w:r>
          </w:p>
        </w:tc>
        <w:tc>
          <w:tcPr>
            <w:tcW w:w="2569" w:type="dxa"/>
            <w:shd w:val="clear" w:color="auto" w:fill="auto"/>
            <w:vAlign w:val="center"/>
            <w:hideMark/>
          </w:tcPr>
          <w:p w14:paraId="4FA3E560" w14:textId="24F0306E" w:rsidR="00447644" w:rsidRPr="00735D18" w:rsidRDefault="00447644" w:rsidP="00735D18">
            <w:pPr>
              <w:spacing w:line="276" w:lineRule="auto"/>
              <w:jc w:val="right"/>
              <w:rPr>
                <w:rFonts w:ascii="Bookman Old Style" w:hAnsi="Bookman Old Style" w:cs="Calibri"/>
                <w:color w:val="000000"/>
                <w:sz w:val="20"/>
                <w:szCs w:val="20"/>
              </w:rPr>
            </w:pPr>
            <w:r w:rsidRPr="00735D18">
              <w:rPr>
                <w:rFonts w:ascii="Bookman Old Style" w:hAnsi="Bookman Old Style" w:cs="Calibri"/>
                <w:color w:val="000000"/>
                <w:sz w:val="20"/>
                <w:szCs w:val="20"/>
              </w:rPr>
              <w:t>160.264.227.275,00</w:t>
            </w:r>
            <w:r w:rsidR="00A954D0">
              <w:rPr>
                <w:rFonts w:ascii="Bookman Old Style" w:hAnsi="Bookman Old Style" w:cs="Calibri"/>
                <w:color w:val="000000"/>
                <w:sz w:val="20"/>
                <w:szCs w:val="20"/>
              </w:rPr>
              <w:t xml:space="preserve"> </w:t>
            </w:r>
          </w:p>
        </w:tc>
        <w:tc>
          <w:tcPr>
            <w:tcW w:w="1796" w:type="dxa"/>
            <w:shd w:val="clear" w:color="auto" w:fill="auto"/>
            <w:vAlign w:val="center"/>
            <w:hideMark/>
          </w:tcPr>
          <w:p w14:paraId="5DA380AC" w14:textId="36D10442" w:rsidR="00447644" w:rsidRPr="00735D18" w:rsidRDefault="00447644" w:rsidP="00735D18">
            <w:pPr>
              <w:spacing w:line="276" w:lineRule="auto"/>
              <w:jc w:val="center"/>
              <w:rPr>
                <w:rFonts w:ascii="Bookman Old Style" w:hAnsi="Bookman Old Style" w:cs="Calibri"/>
                <w:color w:val="000000"/>
                <w:sz w:val="20"/>
                <w:szCs w:val="20"/>
              </w:rPr>
            </w:pPr>
            <w:r w:rsidRPr="00735D18">
              <w:rPr>
                <w:rFonts w:ascii="Bookman Old Style" w:hAnsi="Bookman Old Style" w:cs="Calibri"/>
                <w:sz w:val="20"/>
                <w:szCs w:val="20"/>
              </w:rPr>
              <w:t>2,81</w:t>
            </w:r>
          </w:p>
        </w:tc>
      </w:tr>
      <w:tr w:rsidR="00447644" w:rsidRPr="00735D18" w14:paraId="7DBDAB7E" w14:textId="77777777" w:rsidTr="00276801">
        <w:trPr>
          <w:trHeight w:val="49"/>
        </w:trPr>
        <w:tc>
          <w:tcPr>
            <w:tcW w:w="3969" w:type="dxa"/>
            <w:shd w:val="clear" w:color="auto" w:fill="auto"/>
            <w:vAlign w:val="center"/>
            <w:hideMark/>
          </w:tcPr>
          <w:p w14:paraId="6EFD3F1B" w14:textId="5B74D935" w:rsidR="00447644" w:rsidRPr="003255BC" w:rsidRDefault="00447644" w:rsidP="00735D18">
            <w:pPr>
              <w:spacing w:line="276" w:lineRule="auto"/>
              <w:jc w:val="both"/>
              <w:rPr>
                <w:rFonts w:ascii="Bookman Old Style" w:hAnsi="Bookman Old Style" w:cs="Calibri"/>
                <w:color w:val="000000"/>
                <w:sz w:val="20"/>
                <w:szCs w:val="20"/>
                <w:lang w:val="sv-FI"/>
              </w:rPr>
            </w:pPr>
            <w:r w:rsidRPr="00735D18">
              <w:rPr>
                <w:rFonts w:ascii="Bookman Old Style" w:hAnsi="Bookman Old Style" w:cs="Calibri"/>
                <w:color w:val="000000"/>
                <w:sz w:val="20"/>
                <w:szCs w:val="20"/>
                <w:lang w:val="sv-FI"/>
              </w:rPr>
              <w:t>Belanja</w:t>
            </w:r>
            <w:r w:rsidR="00A954D0">
              <w:rPr>
                <w:rFonts w:ascii="Bookman Old Style" w:hAnsi="Bookman Old Style" w:cs="Calibri"/>
                <w:color w:val="000000"/>
                <w:sz w:val="20"/>
                <w:szCs w:val="20"/>
                <w:lang w:val="sv-FI"/>
              </w:rPr>
              <w:t xml:space="preserve"> </w:t>
            </w:r>
            <w:r w:rsidRPr="00735D18">
              <w:rPr>
                <w:rFonts w:ascii="Bookman Old Style" w:hAnsi="Bookman Old Style" w:cs="Calibri"/>
                <w:color w:val="000000"/>
                <w:sz w:val="20"/>
                <w:szCs w:val="20"/>
                <w:lang w:val="sv-FI"/>
              </w:rPr>
              <w:t>Modal</w:t>
            </w:r>
            <w:r w:rsidR="00A954D0">
              <w:rPr>
                <w:rFonts w:ascii="Bookman Old Style" w:hAnsi="Bookman Old Style" w:cs="Calibri"/>
                <w:color w:val="000000"/>
                <w:sz w:val="20"/>
                <w:szCs w:val="20"/>
                <w:lang w:val="sv-FI"/>
              </w:rPr>
              <w:t xml:space="preserve"> </w:t>
            </w:r>
            <w:r w:rsidRPr="00735D18">
              <w:rPr>
                <w:rFonts w:ascii="Bookman Old Style" w:hAnsi="Bookman Old Style" w:cs="Calibri"/>
                <w:color w:val="000000"/>
                <w:sz w:val="20"/>
                <w:szCs w:val="20"/>
                <w:lang w:val="sv-FI"/>
              </w:rPr>
              <w:t>Jalan,</w:t>
            </w:r>
            <w:r w:rsidR="00A954D0">
              <w:rPr>
                <w:rFonts w:ascii="Bookman Old Style" w:hAnsi="Bookman Old Style" w:cs="Calibri"/>
                <w:color w:val="000000"/>
                <w:sz w:val="20"/>
                <w:szCs w:val="20"/>
                <w:lang w:val="sv-FI"/>
              </w:rPr>
              <w:t xml:space="preserve"> </w:t>
            </w:r>
            <w:r w:rsidRPr="00735D18">
              <w:rPr>
                <w:rFonts w:ascii="Bookman Old Style" w:hAnsi="Bookman Old Style" w:cs="Calibri"/>
                <w:color w:val="000000"/>
                <w:sz w:val="20"/>
                <w:szCs w:val="20"/>
                <w:lang w:val="sv-FI"/>
              </w:rPr>
              <w:t>Jaringan,</w:t>
            </w:r>
            <w:r w:rsidR="00A954D0">
              <w:rPr>
                <w:rFonts w:ascii="Bookman Old Style" w:hAnsi="Bookman Old Style" w:cs="Calibri"/>
                <w:color w:val="000000"/>
                <w:sz w:val="20"/>
                <w:szCs w:val="20"/>
                <w:lang w:val="sv-FI"/>
              </w:rPr>
              <w:t xml:space="preserve"> </w:t>
            </w:r>
            <w:r w:rsidRPr="00735D18">
              <w:rPr>
                <w:rFonts w:ascii="Bookman Old Style" w:hAnsi="Bookman Old Style" w:cs="Calibri"/>
                <w:color w:val="000000"/>
                <w:sz w:val="20"/>
                <w:szCs w:val="20"/>
                <w:lang w:val="sv-FI"/>
              </w:rPr>
              <w:t>dan</w:t>
            </w:r>
            <w:r w:rsidR="00A954D0">
              <w:rPr>
                <w:rFonts w:ascii="Bookman Old Style" w:hAnsi="Bookman Old Style" w:cs="Calibri"/>
                <w:color w:val="000000"/>
                <w:sz w:val="20"/>
                <w:szCs w:val="20"/>
                <w:lang w:val="sv-FI"/>
              </w:rPr>
              <w:t xml:space="preserve"> </w:t>
            </w:r>
            <w:r w:rsidRPr="00735D18">
              <w:rPr>
                <w:rFonts w:ascii="Bookman Old Style" w:hAnsi="Bookman Old Style" w:cs="Calibri"/>
                <w:color w:val="000000"/>
                <w:sz w:val="20"/>
                <w:szCs w:val="20"/>
                <w:lang w:val="sv-FI"/>
              </w:rPr>
              <w:t>Irigasi</w:t>
            </w:r>
          </w:p>
        </w:tc>
        <w:tc>
          <w:tcPr>
            <w:tcW w:w="2569" w:type="dxa"/>
            <w:shd w:val="clear" w:color="auto" w:fill="auto"/>
            <w:vAlign w:val="center"/>
            <w:hideMark/>
          </w:tcPr>
          <w:p w14:paraId="01734F57" w14:textId="01071228" w:rsidR="00447644" w:rsidRPr="00735D18" w:rsidRDefault="00447644" w:rsidP="00735D18">
            <w:pPr>
              <w:spacing w:line="276" w:lineRule="auto"/>
              <w:jc w:val="right"/>
              <w:rPr>
                <w:rFonts w:ascii="Bookman Old Style" w:hAnsi="Bookman Old Style" w:cs="Calibri"/>
                <w:color w:val="000000"/>
                <w:sz w:val="20"/>
                <w:szCs w:val="20"/>
              </w:rPr>
            </w:pPr>
            <w:r w:rsidRPr="00735D18">
              <w:rPr>
                <w:rFonts w:ascii="Bookman Old Style" w:hAnsi="Bookman Old Style" w:cs="Calibri"/>
                <w:color w:val="000000"/>
                <w:sz w:val="20"/>
                <w:szCs w:val="20"/>
              </w:rPr>
              <w:t>395.241.584.163,00</w:t>
            </w:r>
            <w:r w:rsidR="00A954D0">
              <w:rPr>
                <w:rFonts w:ascii="Bookman Old Style" w:hAnsi="Bookman Old Style" w:cs="Calibri"/>
                <w:color w:val="000000"/>
                <w:sz w:val="20"/>
                <w:szCs w:val="20"/>
              </w:rPr>
              <w:t xml:space="preserve"> </w:t>
            </w:r>
          </w:p>
        </w:tc>
        <w:tc>
          <w:tcPr>
            <w:tcW w:w="1796" w:type="dxa"/>
            <w:shd w:val="clear" w:color="auto" w:fill="auto"/>
            <w:vAlign w:val="center"/>
            <w:hideMark/>
          </w:tcPr>
          <w:p w14:paraId="3FB78031" w14:textId="52EF5694" w:rsidR="00447644" w:rsidRPr="00735D18" w:rsidRDefault="00447644" w:rsidP="00735D18">
            <w:pPr>
              <w:spacing w:line="276" w:lineRule="auto"/>
              <w:jc w:val="center"/>
              <w:rPr>
                <w:rFonts w:ascii="Bookman Old Style" w:hAnsi="Bookman Old Style" w:cs="Calibri"/>
                <w:color w:val="000000"/>
                <w:sz w:val="20"/>
                <w:szCs w:val="20"/>
              </w:rPr>
            </w:pPr>
            <w:r w:rsidRPr="00735D18">
              <w:rPr>
                <w:rFonts w:ascii="Bookman Old Style" w:hAnsi="Bookman Old Style" w:cs="Calibri"/>
                <w:sz w:val="20"/>
                <w:szCs w:val="20"/>
              </w:rPr>
              <w:t>6,93</w:t>
            </w:r>
          </w:p>
        </w:tc>
      </w:tr>
      <w:tr w:rsidR="00447644" w:rsidRPr="00735D18" w14:paraId="1BCE5D06" w14:textId="77777777" w:rsidTr="00276801">
        <w:trPr>
          <w:trHeight w:val="49"/>
        </w:trPr>
        <w:tc>
          <w:tcPr>
            <w:tcW w:w="3969" w:type="dxa"/>
            <w:shd w:val="clear" w:color="auto" w:fill="auto"/>
            <w:vAlign w:val="center"/>
            <w:hideMark/>
          </w:tcPr>
          <w:p w14:paraId="660D81F3" w14:textId="100290D9" w:rsidR="00447644" w:rsidRPr="00735D18" w:rsidRDefault="00447644" w:rsidP="00735D18">
            <w:pPr>
              <w:spacing w:line="276" w:lineRule="auto"/>
              <w:jc w:val="both"/>
              <w:rPr>
                <w:rFonts w:ascii="Bookman Old Style" w:hAnsi="Bookman Old Style" w:cs="Calibri"/>
                <w:b/>
                <w:bCs/>
                <w:color w:val="000000"/>
                <w:sz w:val="20"/>
                <w:szCs w:val="20"/>
              </w:rPr>
            </w:pPr>
            <w:r w:rsidRPr="00735D18">
              <w:rPr>
                <w:rFonts w:ascii="Bookman Old Style" w:hAnsi="Bookman Old Style" w:cs="Calibri"/>
                <w:color w:val="000000"/>
                <w:sz w:val="20"/>
                <w:szCs w:val="20"/>
              </w:rPr>
              <w:t>Belanja</w:t>
            </w:r>
            <w:r w:rsidR="00A954D0">
              <w:rPr>
                <w:rFonts w:ascii="Bookman Old Style" w:hAnsi="Bookman Old Style" w:cs="Calibri"/>
                <w:color w:val="000000"/>
                <w:sz w:val="20"/>
                <w:szCs w:val="20"/>
              </w:rPr>
              <w:t xml:space="preserve"> </w:t>
            </w:r>
            <w:r w:rsidRPr="00735D18">
              <w:rPr>
                <w:rFonts w:ascii="Bookman Old Style" w:hAnsi="Bookman Old Style" w:cs="Calibri"/>
                <w:color w:val="000000"/>
                <w:sz w:val="20"/>
                <w:szCs w:val="20"/>
              </w:rPr>
              <w:t>Modal</w:t>
            </w:r>
            <w:r w:rsidR="00A954D0">
              <w:rPr>
                <w:rFonts w:ascii="Bookman Old Style" w:hAnsi="Bookman Old Style" w:cs="Calibri"/>
                <w:color w:val="000000"/>
                <w:sz w:val="20"/>
                <w:szCs w:val="20"/>
              </w:rPr>
              <w:t xml:space="preserve"> </w:t>
            </w:r>
            <w:r w:rsidRPr="00735D18">
              <w:rPr>
                <w:rFonts w:ascii="Bookman Old Style" w:hAnsi="Bookman Old Style" w:cs="Calibri"/>
                <w:color w:val="000000"/>
                <w:sz w:val="20"/>
                <w:szCs w:val="20"/>
              </w:rPr>
              <w:t>Aset</w:t>
            </w:r>
            <w:r w:rsidR="00A954D0">
              <w:rPr>
                <w:rFonts w:ascii="Bookman Old Style" w:hAnsi="Bookman Old Style" w:cs="Calibri"/>
                <w:color w:val="000000"/>
                <w:sz w:val="20"/>
                <w:szCs w:val="20"/>
              </w:rPr>
              <w:t xml:space="preserve"> </w:t>
            </w:r>
            <w:r w:rsidRPr="00735D18">
              <w:rPr>
                <w:rFonts w:ascii="Bookman Old Style" w:hAnsi="Bookman Old Style" w:cs="Calibri"/>
                <w:color w:val="000000"/>
                <w:sz w:val="20"/>
                <w:szCs w:val="20"/>
              </w:rPr>
              <w:t>Tetap</w:t>
            </w:r>
            <w:r w:rsidR="00A954D0">
              <w:rPr>
                <w:rFonts w:ascii="Bookman Old Style" w:hAnsi="Bookman Old Style" w:cs="Calibri"/>
                <w:color w:val="000000"/>
                <w:sz w:val="20"/>
                <w:szCs w:val="20"/>
              </w:rPr>
              <w:t xml:space="preserve"> </w:t>
            </w:r>
            <w:r w:rsidRPr="00735D18">
              <w:rPr>
                <w:rFonts w:ascii="Bookman Old Style" w:hAnsi="Bookman Old Style" w:cs="Calibri"/>
                <w:color w:val="000000"/>
                <w:sz w:val="20"/>
                <w:szCs w:val="20"/>
              </w:rPr>
              <w:t>Lainnya</w:t>
            </w:r>
          </w:p>
        </w:tc>
        <w:tc>
          <w:tcPr>
            <w:tcW w:w="2569" w:type="dxa"/>
            <w:shd w:val="clear" w:color="auto" w:fill="auto"/>
            <w:vAlign w:val="center"/>
            <w:hideMark/>
          </w:tcPr>
          <w:p w14:paraId="6119EB88" w14:textId="185CA289" w:rsidR="00447644" w:rsidRPr="00735D18" w:rsidRDefault="00447644" w:rsidP="00735D18">
            <w:pPr>
              <w:spacing w:line="276" w:lineRule="auto"/>
              <w:jc w:val="right"/>
              <w:rPr>
                <w:rFonts w:ascii="Bookman Old Style" w:hAnsi="Bookman Old Style" w:cs="Calibri"/>
                <w:b/>
                <w:bCs/>
                <w:color w:val="000000"/>
                <w:sz w:val="20"/>
                <w:szCs w:val="20"/>
              </w:rPr>
            </w:pPr>
            <w:r w:rsidRPr="00735D18">
              <w:rPr>
                <w:rFonts w:ascii="Bookman Old Style" w:hAnsi="Bookman Old Style" w:cs="Calibri"/>
                <w:color w:val="000000"/>
                <w:sz w:val="20"/>
                <w:szCs w:val="20"/>
              </w:rPr>
              <w:t>41.312.087.058,00</w:t>
            </w:r>
            <w:r w:rsidR="00A954D0">
              <w:rPr>
                <w:rFonts w:ascii="Bookman Old Style" w:hAnsi="Bookman Old Style" w:cs="Calibri"/>
                <w:color w:val="000000"/>
                <w:sz w:val="20"/>
                <w:szCs w:val="20"/>
              </w:rPr>
              <w:t xml:space="preserve"> </w:t>
            </w:r>
          </w:p>
        </w:tc>
        <w:tc>
          <w:tcPr>
            <w:tcW w:w="1796" w:type="dxa"/>
            <w:shd w:val="clear" w:color="auto" w:fill="auto"/>
            <w:vAlign w:val="center"/>
            <w:hideMark/>
          </w:tcPr>
          <w:p w14:paraId="3A6DA7E2" w14:textId="3C0821EF" w:rsidR="00447644" w:rsidRPr="00735D18" w:rsidRDefault="00447644" w:rsidP="00735D18">
            <w:pPr>
              <w:spacing w:line="276" w:lineRule="auto"/>
              <w:jc w:val="center"/>
              <w:rPr>
                <w:rFonts w:ascii="Bookman Old Style" w:hAnsi="Bookman Old Style" w:cs="Calibri"/>
                <w:color w:val="000000"/>
                <w:sz w:val="20"/>
                <w:szCs w:val="20"/>
              </w:rPr>
            </w:pPr>
            <w:r w:rsidRPr="00735D18">
              <w:rPr>
                <w:rFonts w:ascii="Bookman Old Style" w:hAnsi="Bookman Old Style" w:cs="Calibri"/>
                <w:sz w:val="20"/>
                <w:szCs w:val="20"/>
              </w:rPr>
              <w:t>0,72</w:t>
            </w:r>
          </w:p>
        </w:tc>
      </w:tr>
      <w:tr w:rsidR="00447644" w:rsidRPr="00735D18" w14:paraId="59EAA2CB" w14:textId="77777777" w:rsidTr="00276801">
        <w:trPr>
          <w:trHeight w:val="50"/>
        </w:trPr>
        <w:tc>
          <w:tcPr>
            <w:tcW w:w="3969" w:type="dxa"/>
            <w:shd w:val="clear" w:color="auto" w:fill="auto"/>
            <w:vAlign w:val="center"/>
            <w:hideMark/>
          </w:tcPr>
          <w:p w14:paraId="56D37370" w14:textId="0232E388" w:rsidR="00447644" w:rsidRPr="00735D18" w:rsidRDefault="00447644" w:rsidP="00735D18">
            <w:pPr>
              <w:spacing w:line="276" w:lineRule="auto"/>
              <w:jc w:val="both"/>
              <w:rPr>
                <w:rFonts w:ascii="Bookman Old Style" w:hAnsi="Bookman Old Style" w:cs="Calibri"/>
                <w:color w:val="000000"/>
                <w:sz w:val="20"/>
                <w:szCs w:val="20"/>
              </w:rPr>
            </w:pPr>
            <w:r w:rsidRPr="00735D18">
              <w:rPr>
                <w:rFonts w:ascii="Bookman Old Style" w:hAnsi="Bookman Old Style" w:cs="Calibri"/>
                <w:color w:val="000000"/>
                <w:sz w:val="20"/>
                <w:szCs w:val="20"/>
              </w:rPr>
              <w:t>Belanja</w:t>
            </w:r>
            <w:r w:rsidR="00A954D0">
              <w:rPr>
                <w:rFonts w:ascii="Bookman Old Style" w:hAnsi="Bookman Old Style" w:cs="Calibri"/>
                <w:color w:val="000000"/>
                <w:sz w:val="20"/>
                <w:szCs w:val="20"/>
              </w:rPr>
              <w:t xml:space="preserve"> </w:t>
            </w:r>
            <w:r w:rsidRPr="00735D18">
              <w:rPr>
                <w:rFonts w:ascii="Bookman Old Style" w:hAnsi="Bookman Old Style" w:cs="Calibri"/>
                <w:color w:val="000000"/>
                <w:sz w:val="20"/>
                <w:szCs w:val="20"/>
              </w:rPr>
              <w:t>Modal</w:t>
            </w:r>
            <w:r w:rsidR="00A954D0">
              <w:rPr>
                <w:rFonts w:ascii="Bookman Old Style" w:hAnsi="Bookman Old Style" w:cs="Calibri"/>
                <w:color w:val="000000"/>
                <w:sz w:val="20"/>
                <w:szCs w:val="20"/>
              </w:rPr>
              <w:t xml:space="preserve"> </w:t>
            </w:r>
            <w:r w:rsidRPr="00735D18">
              <w:rPr>
                <w:rFonts w:ascii="Bookman Old Style" w:hAnsi="Bookman Old Style" w:cs="Calibri"/>
                <w:color w:val="000000"/>
                <w:sz w:val="20"/>
                <w:szCs w:val="20"/>
              </w:rPr>
              <w:t>Aset</w:t>
            </w:r>
            <w:r w:rsidR="00A954D0">
              <w:rPr>
                <w:rFonts w:ascii="Bookman Old Style" w:hAnsi="Bookman Old Style" w:cs="Calibri"/>
                <w:color w:val="000000"/>
                <w:sz w:val="20"/>
                <w:szCs w:val="20"/>
              </w:rPr>
              <w:t xml:space="preserve"> </w:t>
            </w:r>
            <w:r w:rsidRPr="00735D18">
              <w:rPr>
                <w:rFonts w:ascii="Bookman Old Style" w:hAnsi="Bookman Old Style" w:cs="Calibri"/>
                <w:color w:val="000000"/>
                <w:sz w:val="20"/>
                <w:szCs w:val="20"/>
              </w:rPr>
              <w:t>Lainnya</w:t>
            </w:r>
          </w:p>
        </w:tc>
        <w:tc>
          <w:tcPr>
            <w:tcW w:w="2569" w:type="dxa"/>
            <w:shd w:val="clear" w:color="auto" w:fill="auto"/>
            <w:vAlign w:val="center"/>
            <w:hideMark/>
          </w:tcPr>
          <w:p w14:paraId="3A104D40" w14:textId="0A2E9254" w:rsidR="00447644" w:rsidRPr="00735D18" w:rsidRDefault="00447644" w:rsidP="00735D18">
            <w:pPr>
              <w:spacing w:line="276" w:lineRule="auto"/>
              <w:jc w:val="right"/>
              <w:rPr>
                <w:rFonts w:ascii="Bookman Old Style" w:hAnsi="Bookman Old Style" w:cs="Calibri"/>
                <w:color w:val="000000"/>
                <w:sz w:val="20"/>
                <w:szCs w:val="20"/>
              </w:rPr>
            </w:pPr>
            <w:r w:rsidRPr="00735D18">
              <w:rPr>
                <w:rFonts w:ascii="Bookman Old Style" w:hAnsi="Bookman Old Style" w:cs="Calibri"/>
                <w:color w:val="000000"/>
                <w:sz w:val="20"/>
                <w:szCs w:val="20"/>
              </w:rPr>
              <w:t>3.244.467.262,00</w:t>
            </w:r>
            <w:r w:rsidR="00A954D0">
              <w:rPr>
                <w:rFonts w:ascii="Bookman Old Style" w:hAnsi="Bookman Old Style" w:cs="Calibri"/>
                <w:color w:val="000000"/>
                <w:sz w:val="20"/>
                <w:szCs w:val="20"/>
              </w:rPr>
              <w:t xml:space="preserve"> </w:t>
            </w:r>
          </w:p>
        </w:tc>
        <w:tc>
          <w:tcPr>
            <w:tcW w:w="1796" w:type="dxa"/>
            <w:shd w:val="clear" w:color="auto" w:fill="auto"/>
            <w:vAlign w:val="center"/>
            <w:hideMark/>
          </w:tcPr>
          <w:p w14:paraId="1E706BF7" w14:textId="63C399F9" w:rsidR="00447644" w:rsidRPr="00735D18" w:rsidRDefault="00447644" w:rsidP="00735D18">
            <w:pPr>
              <w:spacing w:line="276" w:lineRule="auto"/>
              <w:jc w:val="center"/>
              <w:rPr>
                <w:rFonts w:ascii="Bookman Old Style" w:hAnsi="Bookman Old Style" w:cs="Calibri"/>
                <w:color w:val="000000"/>
                <w:sz w:val="20"/>
                <w:szCs w:val="20"/>
              </w:rPr>
            </w:pPr>
            <w:r w:rsidRPr="00735D18">
              <w:rPr>
                <w:rFonts w:ascii="Bookman Old Style" w:hAnsi="Bookman Old Style" w:cs="Calibri"/>
                <w:sz w:val="20"/>
                <w:szCs w:val="20"/>
              </w:rPr>
              <w:t>0,06</w:t>
            </w:r>
          </w:p>
        </w:tc>
      </w:tr>
      <w:tr w:rsidR="00447644" w:rsidRPr="00735D18" w14:paraId="3E64BE51" w14:textId="77777777" w:rsidTr="00276801">
        <w:trPr>
          <w:trHeight w:val="49"/>
        </w:trPr>
        <w:tc>
          <w:tcPr>
            <w:tcW w:w="3969" w:type="dxa"/>
            <w:shd w:val="clear" w:color="auto" w:fill="auto"/>
            <w:vAlign w:val="center"/>
            <w:hideMark/>
          </w:tcPr>
          <w:p w14:paraId="19742B34" w14:textId="08086B1B" w:rsidR="00447644" w:rsidRPr="00735D18" w:rsidRDefault="00447644" w:rsidP="00735D18">
            <w:pPr>
              <w:spacing w:line="276" w:lineRule="auto"/>
              <w:jc w:val="both"/>
              <w:rPr>
                <w:rFonts w:ascii="Bookman Old Style" w:hAnsi="Bookman Old Style" w:cs="Calibri"/>
                <w:b/>
                <w:bCs/>
                <w:color w:val="000000"/>
                <w:sz w:val="20"/>
                <w:szCs w:val="20"/>
              </w:rPr>
            </w:pPr>
            <w:r w:rsidRPr="00735D18">
              <w:rPr>
                <w:rFonts w:ascii="Bookman Old Style" w:hAnsi="Bookman Old Style" w:cs="Calibri"/>
                <w:b/>
                <w:bCs/>
                <w:color w:val="000000"/>
                <w:sz w:val="20"/>
                <w:szCs w:val="20"/>
              </w:rPr>
              <w:t>Belanja</w:t>
            </w:r>
            <w:r w:rsidR="00A954D0">
              <w:rPr>
                <w:rFonts w:ascii="Bookman Old Style" w:hAnsi="Bookman Old Style" w:cs="Calibri"/>
                <w:b/>
                <w:bCs/>
                <w:color w:val="000000"/>
                <w:sz w:val="20"/>
                <w:szCs w:val="20"/>
              </w:rPr>
              <w:t xml:space="preserve"> </w:t>
            </w:r>
            <w:r w:rsidRPr="00735D18">
              <w:rPr>
                <w:rFonts w:ascii="Bookman Old Style" w:hAnsi="Bookman Old Style" w:cs="Calibri"/>
                <w:b/>
                <w:bCs/>
                <w:color w:val="000000"/>
                <w:sz w:val="20"/>
                <w:szCs w:val="20"/>
              </w:rPr>
              <w:t>Tidak</w:t>
            </w:r>
            <w:r w:rsidR="00A954D0">
              <w:rPr>
                <w:rFonts w:ascii="Bookman Old Style" w:hAnsi="Bookman Old Style" w:cs="Calibri"/>
                <w:b/>
                <w:bCs/>
                <w:color w:val="000000"/>
                <w:sz w:val="20"/>
                <w:szCs w:val="20"/>
              </w:rPr>
              <w:t xml:space="preserve"> </w:t>
            </w:r>
            <w:r w:rsidRPr="00735D18">
              <w:rPr>
                <w:rFonts w:ascii="Bookman Old Style" w:hAnsi="Bookman Old Style" w:cs="Calibri"/>
                <w:b/>
                <w:bCs/>
                <w:color w:val="000000"/>
                <w:sz w:val="20"/>
                <w:szCs w:val="20"/>
              </w:rPr>
              <w:t>Terduga</w:t>
            </w:r>
          </w:p>
        </w:tc>
        <w:tc>
          <w:tcPr>
            <w:tcW w:w="2569" w:type="dxa"/>
            <w:shd w:val="clear" w:color="auto" w:fill="auto"/>
            <w:vAlign w:val="center"/>
          </w:tcPr>
          <w:p w14:paraId="785255E8" w14:textId="4894F782" w:rsidR="00447644" w:rsidRPr="00735D18" w:rsidRDefault="00447644" w:rsidP="00735D18">
            <w:pPr>
              <w:spacing w:line="276" w:lineRule="auto"/>
              <w:jc w:val="right"/>
              <w:rPr>
                <w:rFonts w:ascii="Bookman Old Style" w:hAnsi="Bookman Old Style" w:cs="Calibri"/>
                <w:color w:val="000000"/>
                <w:sz w:val="20"/>
                <w:szCs w:val="20"/>
              </w:rPr>
            </w:pPr>
            <w:r w:rsidRPr="00735D18">
              <w:rPr>
                <w:rFonts w:ascii="Bookman Old Style" w:hAnsi="Bookman Old Style" w:cs="Calibri"/>
                <w:b/>
                <w:bCs/>
                <w:color w:val="000000"/>
                <w:sz w:val="20"/>
                <w:szCs w:val="20"/>
              </w:rPr>
              <w:t>27.814.693.294,00</w:t>
            </w:r>
            <w:r w:rsidR="00A954D0">
              <w:rPr>
                <w:rFonts w:ascii="Bookman Old Style" w:hAnsi="Bookman Old Style" w:cs="Calibri"/>
                <w:b/>
                <w:bCs/>
                <w:color w:val="000000"/>
                <w:sz w:val="20"/>
                <w:szCs w:val="20"/>
              </w:rPr>
              <w:t xml:space="preserve"> </w:t>
            </w:r>
          </w:p>
        </w:tc>
        <w:tc>
          <w:tcPr>
            <w:tcW w:w="1796" w:type="dxa"/>
            <w:shd w:val="clear" w:color="auto" w:fill="auto"/>
            <w:vAlign w:val="center"/>
          </w:tcPr>
          <w:p w14:paraId="09B6A1AA" w14:textId="7B7D527F" w:rsidR="00447644" w:rsidRPr="00735D18" w:rsidRDefault="00447644" w:rsidP="00735D18">
            <w:pPr>
              <w:spacing w:line="276" w:lineRule="auto"/>
              <w:jc w:val="center"/>
              <w:rPr>
                <w:rFonts w:ascii="Bookman Old Style" w:hAnsi="Bookman Old Style" w:cs="Calibri"/>
                <w:color w:val="000000"/>
                <w:sz w:val="20"/>
                <w:szCs w:val="20"/>
              </w:rPr>
            </w:pPr>
            <w:r w:rsidRPr="00735D18">
              <w:rPr>
                <w:rFonts w:ascii="Bookman Old Style" w:hAnsi="Bookman Old Style" w:cs="Calibri"/>
                <w:b/>
                <w:bCs/>
                <w:sz w:val="20"/>
                <w:szCs w:val="20"/>
              </w:rPr>
              <w:t>0,49</w:t>
            </w:r>
          </w:p>
        </w:tc>
      </w:tr>
      <w:tr w:rsidR="00447644" w:rsidRPr="00735D18" w14:paraId="105D0390" w14:textId="77777777" w:rsidTr="00276801">
        <w:trPr>
          <w:trHeight w:val="49"/>
        </w:trPr>
        <w:tc>
          <w:tcPr>
            <w:tcW w:w="3969" w:type="dxa"/>
            <w:shd w:val="clear" w:color="auto" w:fill="auto"/>
            <w:vAlign w:val="center"/>
          </w:tcPr>
          <w:p w14:paraId="0F8C5D64" w14:textId="773ED184" w:rsidR="00447644" w:rsidRPr="00735D18" w:rsidRDefault="00447644" w:rsidP="00735D18">
            <w:pPr>
              <w:spacing w:line="276" w:lineRule="auto"/>
              <w:jc w:val="both"/>
              <w:rPr>
                <w:rFonts w:ascii="Bookman Old Style" w:hAnsi="Bookman Old Style" w:cs="Calibri"/>
                <w:color w:val="000000"/>
                <w:sz w:val="20"/>
                <w:szCs w:val="20"/>
              </w:rPr>
            </w:pPr>
            <w:r w:rsidRPr="00735D18">
              <w:rPr>
                <w:rFonts w:ascii="Bookman Old Style" w:hAnsi="Bookman Old Style" w:cs="Calibri"/>
                <w:color w:val="000000"/>
                <w:sz w:val="20"/>
                <w:szCs w:val="20"/>
              </w:rPr>
              <w:t>Belanja</w:t>
            </w:r>
            <w:r w:rsidR="00A954D0">
              <w:rPr>
                <w:rFonts w:ascii="Bookman Old Style" w:hAnsi="Bookman Old Style" w:cs="Calibri"/>
                <w:color w:val="000000"/>
                <w:sz w:val="20"/>
                <w:szCs w:val="20"/>
              </w:rPr>
              <w:t xml:space="preserve"> </w:t>
            </w:r>
            <w:r w:rsidRPr="00735D18">
              <w:rPr>
                <w:rFonts w:ascii="Bookman Old Style" w:hAnsi="Bookman Old Style" w:cs="Calibri"/>
                <w:color w:val="000000"/>
                <w:sz w:val="20"/>
                <w:szCs w:val="20"/>
              </w:rPr>
              <w:t>Tidak</w:t>
            </w:r>
            <w:r w:rsidR="00A954D0">
              <w:rPr>
                <w:rFonts w:ascii="Bookman Old Style" w:hAnsi="Bookman Old Style" w:cs="Calibri"/>
                <w:color w:val="000000"/>
                <w:sz w:val="20"/>
                <w:szCs w:val="20"/>
              </w:rPr>
              <w:t xml:space="preserve"> </w:t>
            </w:r>
            <w:r w:rsidRPr="00735D18">
              <w:rPr>
                <w:rFonts w:ascii="Bookman Old Style" w:hAnsi="Bookman Old Style" w:cs="Calibri"/>
                <w:color w:val="000000"/>
                <w:sz w:val="20"/>
                <w:szCs w:val="20"/>
              </w:rPr>
              <w:t>Terduga</w:t>
            </w:r>
          </w:p>
        </w:tc>
        <w:tc>
          <w:tcPr>
            <w:tcW w:w="2569" w:type="dxa"/>
            <w:shd w:val="clear" w:color="auto" w:fill="auto"/>
            <w:vAlign w:val="center"/>
          </w:tcPr>
          <w:p w14:paraId="16E7847F" w14:textId="4050D3A0" w:rsidR="00447644" w:rsidRPr="00735D18" w:rsidRDefault="00447644" w:rsidP="00735D18">
            <w:pPr>
              <w:spacing w:line="276" w:lineRule="auto"/>
              <w:jc w:val="right"/>
              <w:rPr>
                <w:rFonts w:ascii="Bookman Old Style" w:hAnsi="Bookman Old Style" w:cs="Calibri"/>
                <w:color w:val="000000"/>
                <w:sz w:val="20"/>
                <w:szCs w:val="20"/>
              </w:rPr>
            </w:pPr>
            <w:r w:rsidRPr="00735D18">
              <w:rPr>
                <w:rFonts w:ascii="Bookman Old Style" w:hAnsi="Bookman Old Style" w:cs="Calibri"/>
                <w:color w:val="000000"/>
                <w:sz w:val="20"/>
                <w:szCs w:val="20"/>
              </w:rPr>
              <w:t>27.814.693.294,00</w:t>
            </w:r>
            <w:r w:rsidR="00A954D0">
              <w:rPr>
                <w:rFonts w:ascii="Bookman Old Style" w:hAnsi="Bookman Old Style" w:cs="Calibri"/>
                <w:color w:val="000000"/>
                <w:sz w:val="20"/>
                <w:szCs w:val="20"/>
              </w:rPr>
              <w:t xml:space="preserve"> </w:t>
            </w:r>
          </w:p>
        </w:tc>
        <w:tc>
          <w:tcPr>
            <w:tcW w:w="1796" w:type="dxa"/>
            <w:shd w:val="clear" w:color="auto" w:fill="auto"/>
            <w:vAlign w:val="center"/>
          </w:tcPr>
          <w:p w14:paraId="4AD2B455" w14:textId="41F7E249" w:rsidR="00447644" w:rsidRPr="00735D18" w:rsidRDefault="00447644" w:rsidP="00735D18">
            <w:pPr>
              <w:spacing w:line="276" w:lineRule="auto"/>
              <w:jc w:val="center"/>
              <w:rPr>
                <w:rFonts w:ascii="Bookman Old Style" w:hAnsi="Bookman Old Style" w:cs="Calibri"/>
                <w:sz w:val="20"/>
                <w:szCs w:val="20"/>
              </w:rPr>
            </w:pPr>
            <w:r w:rsidRPr="00735D18">
              <w:rPr>
                <w:rFonts w:ascii="Bookman Old Style" w:hAnsi="Bookman Old Style" w:cs="Calibri"/>
                <w:sz w:val="20"/>
                <w:szCs w:val="20"/>
              </w:rPr>
              <w:t>0,49</w:t>
            </w:r>
          </w:p>
        </w:tc>
      </w:tr>
    </w:tbl>
    <w:p w14:paraId="666E17C2" w14:textId="48BA224B" w:rsidR="007973E1" w:rsidRPr="00337849" w:rsidRDefault="000E5E36" w:rsidP="00B27504">
      <w:pPr>
        <w:pStyle w:val="ListParagraph"/>
        <w:spacing w:before="120" w:after="0" w:line="276" w:lineRule="auto"/>
        <w:ind w:left="992"/>
        <w:contextualSpacing w:val="0"/>
        <w:jc w:val="both"/>
        <w:rPr>
          <w:rFonts w:ascii="Bookman Old Style" w:hAnsi="Bookman Old Style" w:cs="Arial"/>
          <w:sz w:val="24"/>
          <w:szCs w:val="24"/>
          <w:lang w:val="id-ID"/>
        </w:rPr>
      </w:pPr>
      <w:r w:rsidRPr="00337849">
        <w:rPr>
          <w:rFonts w:ascii="Bookman Old Style" w:hAnsi="Bookman Old Style" w:cs="Arial"/>
          <w:sz w:val="24"/>
          <w:szCs w:val="24"/>
          <w:lang w:val="id-ID"/>
        </w:rPr>
        <w:t>Berdasarkan</w:t>
      </w:r>
      <w:r w:rsidR="00A954D0">
        <w:rPr>
          <w:rFonts w:ascii="Bookman Old Style" w:hAnsi="Bookman Old Style" w:cs="Arial"/>
          <w:sz w:val="24"/>
          <w:szCs w:val="24"/>
        </w:rPr>
        <w:t xml:space="preserve"> </w:t>
      </w:r>
      <w:r w:rsidRPr="00337849">
        <w:rPr>
          <w:rFonts w:ascii="Bookman Old Style" w:hAnsi="Bookman Old Style" w:cs="Arial"/>
          <w:sz w:val="24"/>
          <w:szCs w:val="24"/>
        </w:rPr>
        <w:t>tabel</w:t>
      </w:r>
      <w:r w:rsidR="00A954D0">
        <w:rPr>
          <w:rFonts w:ascii="Bookman Old Style" w:hAnsi="Bookman Old Style" w:cs="Arial"/>
          <w:sz w:val="24"/>
          <w:szCs w:val="24"/>
        </w:rPr>
        <w:t xml:space="preserve"> </w:t>
      </w:r>
      <w:r w:rsidRPr="00337849">
        <w:rPr>
          <w:rFonts w:ascii="Bookman Old Style" w:hAnsi="Bookman Old Style" w:cs="Arial"/>
          <w:sz w:val="24"/>
          <w:szCs w:val="24"/>
        </w:rPr>
        <w:t>sebagaimana</w:t>
      </w:r>
      <w:r w:rsidR="00A954D0">
        <w:rPr>
          <w:rFonts w:ascii="Bookman Old Style" w:hAnsi="Bookman Old Style" w:cs="Arial"/>
          <w:sz w:val="24"/>
          <w:szCs w:val="24"/>
        </w:rPr>
        <w:t xml:space="preserve"> </w:t>
      </w:r>
      <w:r w:rsidRPr="00337849">
        <w:rPr>
          <w:rFonts w:ascii="Bookman Old Style" w:hAnsi="Bookman Old Style" w:cs="Arial"/>
          <w:sz w:val="24"/>
          <w:szCs w:val="24"/>
        </w:rPr>
        <w:t>di</w:t>
      </w:r>
      <w:r w:rsidR="00A954D0">
        <w:rPr>
          <w:rFonts w:ascii="Bookman Old Style" w:hAnsi="Bookman Old Style" w:cs="Arial"/>
          <w:sz w:val="24"/>
          <w:szCs w:val="24"/>
        </w:rPr>
        <w:t xml:space="preserve"> </w:t>
      </w:r>
      <w:r w:rsidRPr="00337849">
        <w:rPr>
          <w:rFonts w:ascii="Bookman Old Style" w:hAnsi="Bookman Old Style" w:cs="Arial"/>
          <w:sz w:val="24"/>
          <w:szCs w:val="24"/>
        </w:rPr>
        <w:t>atas,</w:t>
      </w:r>
      <w:r w:rsidR="00A954D0">
        <w:rPr>
          <w:rFonts w:ascii="Bookman Old Style" w:hAnsi="Bookman Old Style" w:cs="Arial"/>
          <w:sz w:val="24"/>
          <w:szCs w:val="24"/>
        </w:rPr>
        <w:t xml:space="preserve"> </w:t>
      </w:r>
      <w:r w:rsidRPr="00337849">
        <w:rPr>
          <w:rFonts w:ascii="Bookman Old Style" w:hAnsi="Bookman Old Style" w:cs="Arial"/>
          <w:sz w:val="24"/>
          <w:szCs w:val="24"/>
        </w:rPr>
        <w:t>kebijakan</w:t>
      </w:r>
      <w:r w:rsidR="00A954D0">
        <w:rPr>
          <w:rFonts w:ascii="Bookman Old Style" w:hAnsi="Bookman Old Style" w:cs="Arial"/>
          <w:sz w:val="24"/>
          <w:szCs w:val="24"/>
        </w:rPr>
        <w:t xml:space="preserve"> </w:t>
      </w:r>
      <w:r w:rsidRPr="00337849">
        <w:rPr>
          <w:rFonts w:ascii="Bookman Old Style" w:hAnsi="Bookman Old Style" w:cs="Arial"/>
          <w:sz w:val="24"/>
          <w:szCs w:val="24"/>
          <w:lang w:val="de-DE"/>
        </w:rPr>
        <w:t>belanja</w:t>
      </w:r>
      <w:r w:rsidR="00A954D0">
        <w:rPr>
          <w:rFonts w:ascii="Bookman Old Style" w:hAnsi="Bookman Old Style" w:cs="Arial"/>
          <w:sz w:val="24"/>
          <w:szCs w:val="24"/>
          <w:lang w:val="de-DE"/>
        </w:rPr>
        <w:t xml:space="preserve"> </w:t>
      </w:r>
      <w:r w:rsidRPr="00337849">
        <w:rPr>
          <w:rFonts w:ascii="Bookman Old Style" w:hAnsi="Bookman Old Style" w:cs="Arial"/>
          <w:sz w:val="24"/>
          <w:szCs w:val="24"/>
          <w:lang w:val="de-DE"/>
        </w:rPr>
        <w:t>daerah</w:t>
      </w:r>
      <w:r w:rsidR="00A954D0">
        <w:rPr>
          <w:rFonts w:ascii="Bookman Old Style" w:hAnsi="Bookman Old Style" w:cs="Arial"/>
          <w:sz w:val="24"/>
          <w:szCs w:val="24"/>
          <w:lang w:val="de-DE"/>
        </w:rPr>
        <w:t xml:space="preserve"> </w:t>
      </w:r>
      <w:r w:rsidRPr="00337849">
        <w:rPr>
          <w:rFonts w:ascii="Bookman Old Style" w:hAnsi="Bookman Old Style" w:cs="Arial"/>
          <w:sz w:val="24"/>
          <w:szCs w:val="24"/>
          <w:lang w:val="de-DE"/>
        </w:rPr>
        <w:t>dalam</w:t>
      </w:r>
      <w:r w:rsidR="00A954D0">
        <w:rPr>
          <w:rFonts w:ascii="Bookman Old Style" w:hAnsi="Bookman Old Style" w:cs="Arial"/>
          <w:sz w:val="24"/>
          <w:szCs w:val="24"/>
          <w:lang w:val="de-DE"/>
        </w:rPr>
        <w:t xml:space="preserve"> </w:t>
      </w:r>
      <w:r w:rsidRPr="00337849">
        <w:rPr>
          <w:rFonts w:ascii="Bookman Old Style" w:hAnsi="Bookman Old Style" w:cs="Arial"/>
          <w:sz w:val="24"/>
          <w:szCs w:val="24"/>
          <w:lang w:val="de-DE"/>
        </w:rPr>
        <w:t>Rancangan</w:t>
      </w:r>
      <w:r w:rsidR="00A954D0">
        <w:rPr>
          <w:rFonts w:ascii="Bookman Old Style" w:hAnsi="Bookman Old Style" w:cs="Arial"/>
          <w:sz w:val="24"/>
          <w:szCs w:val="24"/>
          <w:lang w:val="de-DE"/>
        </w:rPr>
        <w:t xml:space="preserve"> </w:t>
      </w:r>
      <w:r w:rsidRPr="00337849">
        <w:rPr>
          <w:rFonts w:ascii="Bookman Old Style" w:hAnsi="Bookman Old Style" w:cs="Arial"/>
          <w:sz w:val="24"/>
          <w:szCs w:val="24"/>
          <w:lang w:val="de-DE"/>
        </w:rPr>
        <w:t>Peraturan</w:t>
      </w:r>
      <w:r w:rsidR="00A954D0">
        <w:rPr>
          <w:rFonts w:ascii="Bookman Old Style" w:hAnsi="Bookman Old Style" w:cs="Arial"/>
          <w:sz w:val="24"/>
          <w:szCs w:val="24"/>
          <w:lang w:val="de-DE"/>
        </w:rPr>
        <w:t xml:space="preserve"> </w:t>
      </w:r>
      <w:r w:rsidRPr="00337849">
        <w:rPr>
          <w:rFonts w:ascii="Bookman Old Style" w:hAnsi="Bookman Old Style" w:cs="Arial"/>
          <w:sz w:val="24"/>
          <w:szCs w:val="24"/>
          <w:lang w:val="de-DE"/>
        </w:rPr>
        <w:t>Daerah</w:t>
      </w:r>
      <w:r w:rsidR="00A954D0">
        <w:rPr>
          <w:rFonts w:ascii="Bookman Old Style" w:hAnsi="Bookman Old Style" w:cs="Arial"/>
          <w:sz w:val="24"/>
          <w:szCs w:val="24"/>
          <w:lang w:val="de-DE"/>
        </w:rPr>
        <w:t xml:space="preserve"> </w:t>
      </w:r>
      <w:r w:rsidR="00B055C5" w:rsidRPr="00337849">
        <w:rPr>
          <w:rFonts w:ascii="Bookman Old Style" w:hAnsi="Bookman Old Style"/>
          <w:sz w:val="24"/>
          <w:szCs w:val="24"/>
          <w:lang w:val="fi-FI"/>
        </w:rPr>
        <w:t>Kota</w:t>
      </w:r>
      <w:r w:rsidR="00A954D0">
        <w:rPr>
          <w:rFonts w:ascii="Bookman Old Style" w:hAnsi="Bookman Old Style"/>
          <w:sz w:val="24"/>
          <w:szCs w:val="24"/>
          <w:lang w:val="fi-FI"/>
        </w:rPr>
        <w:t xml:space="preserve"> </w:t>
      </w:r>
      <w:r w:rsidR="00770F22" w:rsidRPr="00337849">
        <w:rPr>
          <w:rFonts w:ascii="Bookman Old Style" w:hAnsi="Bookman Old Style"/>
          <w:sz w:val="24"/>
          <w:szCs w:val="24"/>
          <w:lang w:val="fi-FI"/>
        </w:rPr>
        <w:t>Tangerang</w:t>
      </w:r>
      <w:r w:rsidR="00A954D0">
        <w:rPr>
          <w:rFonts w:ascii="Bookman Old Style" w:hAnsi="Bookman Old Style"/>
          <w:sz w:val="24"/>
          <w:szCs w:val="24"/>
          <w:lang w:val="fi-FI"/>
        </w:rPr>
        <w:t xml:space="preserve"> </w:t>
      </w:r>
      <w:r w:rsidR="00BE6ED9" w:rsidRPr="00337849">
        <w:rPr>
          <w:rFonts w:ascii="Bookman Old Style" w:hAnsi="Bookman Old Style"/>
          <w:sz w:val="24"/>
          <w:szCs w:val="24"/>
          <w:lang w:val="fi-FI"/>
        </w:rPr>
        <w:t>tentang</w:t>
      </w:r>
      <w:r w:rsidR="00A954D0">
        <w:rPr>
          <w:rFonts w:ascii="Bookman Old Style" w:hAnsi="Bookman Old Style"/>
          <w:sz w:val="24"/>
          <w:szCs w:val="24"/>
          <w:lang w:val="fi-FI"/>
        </w:rPr>
        <w:t xml:space="preserve"> </w:t>
      </w:r>
      <w:r w:rsidR="00BE6ED9" w:rsidRPr="00337849">
        <w:rPr>
          <w:rFonts w:ascii="Bookman Old Style" w:hAnsi="Bookman Old Style"/>
          <w:sz w:val="24"/>
          <w:szCs w:val="24"/>
          <w:lang w:val="fi-FI"/>
        </w:rPr>
        <w:t>APBD</w:t>
      </w:r>
      <w:r w:rsidR="00A954D0">
        <w:rPr>
          <w:rFonts w:ascii="Bookman Old Style" w:hAnsi="Bookman Old Style" w:cs="Arial"/>
          <w:sz w:val="24"/>
          <w:szCs w:val="24"/>
          <w:lang w:val="de-DE"/>
        </w:rPr>
        <w:t xml:space="preserve"> </w:t>
      </w:r>
      <w:r w:rsidRPr="00337849">
        <w:rPr>
          <w:rFonts w:ascii="Bookman Old Style" w:hAnsi="Bookman Old Style" w:cs="Arial"/>
          <w:sz w:val="24"/>
          <w:szCs w:val="24"/>
          <w:lang w:val="de-DE"/>
        </w:rPr>
        <w:t>Tahun</w:t>
      </w:r>
      <w:r w:rsidR="00A954D0">
        <w:rPr>
          <w:rFonts w:ascii="Bookman Old Style" w:hAnsi="Bookman Old Style" w:cs="Arial"/>
          <w:sz w:val="24"/>
          <w:szCs w:val="24"/>
          <w:lang w:val="de-DE"/>
        </w:rPr>
        <w:t xml:space="preserve"> </w:t>
      </w:r>
      <w:r w:rsidRPr="00337849">
        <w:rPr>
          <w:rFonts w:ascii="Bookman Old Style" w:hAnsi="Bookman Old Style" w:cs="Arial"/>
          <w:sz w:val="24"/>
          <w:szCs w:val="24"/>
          <w:lang w:val="de-DE"/>
        </w:rPr>
        <w:t>Anggaran</w:t>
      </w:r>
      <w:r w:rsidR="00A954D0">
        <w:rPr>
          <w:rFonts w:ascii="Bookman Old Style" w:hAnsi="Bookman Old Style" w:cs="Arial"/>
          <w:sz w:val="24"/>
          <w:szCs w:val="24"/>
          <w:lang w:val="de-DE"/>
        </w:rPr>
        <w:t xml:space="preserve"> </w:t>
      </w:r>
      <w:r w:rsidRPr="00337849">
        <w:rPr>
          <w:rFonts w:ascii="Bookman Old Style" w:hAnsi="Bookman Old Style" w:cs="Arial"/>
          <w:sz w:val="24"/>
          <w:szCs w:val="24"/>
          <w:lang w:val="de-DE"/>
        </w:rPr>
        <w:t>2025,</w:t>
      </w:r>
      <w:r w:rsidR="00A954D0">
        <w:rPr>
          <w:rFonts w:ascii="Bookman Old Style" w:hAnsi="Bookman Old Style" w:cs="Arial"/>
          <w:sz w:val="24"/>
          <w:szCs w:val="24"/>
          <w:lang w:val="de-DE"/>
        </w:rPr>
        <w:t xml:space="preserve"> </w:t>
      </w:r>
      <w:r w:rsidRPr="00337849">
        <w:rPr>
          <w:rFonts w:ascii="Bookman Old Style" w:hAnsi="Bookman Old Style" w:cs="Arial"/>
          <w:sz w:val="24"/>
          <w:szCs w:val="24"/>
          <w:lang w:val="de-DE"/>
        </w:rPr>
        <w:t>sebagai</w:t>
      </w:r>
      <w:r w:rsidR="00A954D0">
        <w:rPr>
          <w:rFonts w:ascii="Bookman Old Style" w:hAnsi="Bookman Old Style" w:cs="Arial"/>
          <w:sz w:val="24"/>
          <w:szCs w:val="24"/>
          <w:lang w:val="de-DE"/>
        </w:rPr>
        <w:t xml:space="preserve"> </w:t>
      </w:r>
      <w:r w:rsidRPr="00337849">
        <w:rPr>
          <w:rFonts w:ascii="Bookman Old Style" w:hAnsi="Bookman Old Style" w:cs="Arial"/>
          <w:sz w:val="24"/>
          <w:szCs w:val="24"/>
          <w:lang w:val="de-DE"/>
        </w:rPr>
        <w:t>berikut:</w:t>
      </w:r>
    </w:p>
    <w:p w14:paraId="5CAD1AC6" w14:textId="6C420A97" w:rsidR="005B4C19" w:rsidRPr="0081460F" w:rsidRDefault="00C75073" w:rsidP="00666D64">
      <w:pPr>
        <w:pStyle w:val="ListParagraph"/>
        <w:numPr>
          <w:ilvl w:val="3"/>
          <w:numId w:val="267"/>
        </w:numPr>
        <w:spacing w:before="60" w:after="0" w:line="276" w:lineRule="auto"/>
        <w:ind w:left="1276" w:hanging="283"/>
        <w:contextualSpacing w:val="0"/>
        <w:jc w:val="both"/>
        <w:rPr>
          <w:rFonts w:ascii="Bookman Old Style" w:hAnsi="Bookman Old Style"/>
          <w:sz w:val="24"/>
          <w:szCs w:val="24"/>
        </w:rPr>
      </w:pPr>
      <w:r w:rsidRPr="0081460F">
        <w:rPr>
          <w:rFonts w:ascii="Bookman Old Style" w:hAnsi="Bookman Old Style"/>
          <w:sz w:val="24"/>
          <w:szCs w:val="24"/>
        </w:rPr>
        <w:t>Belanja</w:t>
      </w:r>
      <w:r w:rsidR="00A954D0">
        <w:rPr>
          <w:rFonts w:ascii="Bookman Old Style" w:hAnsi="Bookman Old Style"/>
          <w:sz w:val="24"/>
          <w:szCs w:val="24"/>
        </w:rPr>
        <w:t xml:space="preserve"> </w:t>
      </w:r>
      <w:r w:rsidRPr="0081460F">
        <w:rPr>
          <w:rFonts w:ascii="Bookman Old Style" w:hAnsi="Bookman Old Style"/>
          <w:sz w:val="24"/>
          <w:szCs w:val="24"/>
        </w:rPr>
        <w:t>Operasi</w:t>
      </w:r>
    </w:p>
    <w:p w14:paraId="2D94EC2E" w14:textId="4D71C455" w:rsidR="005A4806" w:rsidRPr="005A4806" w:rsidRDefault="005A4806" w:rsidP="00666D64">
      <w:pPr>
        <w:pStyle w:val="ListParagraph"/>
        <w:spacing w:before="60" w:line="276" w:lineRule="auto"/>
        <w:ind w:left="1276"/>
        <w:jc w:val="both"/>
        <w:rPr>
          <w:rFonts w:ascii="Bookman Old Style" w:hAnsi="Bookman Old Style"/>
          <w:sz w:val="24"/>
          <w:szCs w:val="24"/>
        </w:rPr>
      </w:pPr>
      <w:r w:rsidRPr="0081460F">
        <w:rPr>
          <w:rFonts w:ascii="Bookman Old Style" w:hAnsi="Bookman Old Style"/>
          <w:sz w:val="24"/>
          <w:szCs w:val="24"/>
        </w:rPr>
        <w:t>Penyediaan</w:t>
      </w:r>
      <w:r w:rsidR="00A954D0">
        <w:rPr>
          <w:rFonts w:ascii="Bookman Old Style" w:hAnsi="Bookman Old Style"/>
          <w:sz w:val="24"/>
          <w:szCs w:val="24"/>
        </w:rPr>
        <w:t xml:space="preserve"> </w:t>
      </w:r>
      <w:r w:rsidRPr="0081460F">
        <w:rPr>
          <w:rFonts w:ascii="Bookman Old Style" w:hAnsi="Bookman Old Style"/>
          <w:sz w:val="24"/>
          <w:szCs w:val="24"/>
        </w:rPr>
        <w:t>anggaran</w:t>
      </w:r>
      <w:r w:rsidR="00A954D0">
        <w:rPr>
          <w:rFonts w:ascii="Bookman Old Style" w:hAnsi="Bookman Old Style"/>
          <w:sz w:val="24"/>
          <w:szCs w:val="24"/>
        </w:rPr>
        <w:t xml:space="preserve"> </w:t>
      </w:r>
      <w:r w:rsidRPr="0081460F">
        <w:rPr>
          <w:rFonts w:ascii="Bookman Old Style" w:hAnsi="Bookman Old Style"/>
          <w:sz w:val="24"/>
          <w:szCs w:val="24"/>
        </w:rPr>
        <w:t>Belanja</w:t>
      </w:r>
      <w:r w:rsidR="00A954D0">
        <w:rPr>
          <w:rFonts w:ascii="Bookman Old Style" w:hAnsi="Bookman Old Style"/>
          <w:sz w:val="24"/>
          <w:szCs w:val="24"/>
        </w:rPr>
        <w:t xml:space="preserve"> </w:t>
      </w:r>
      <w:r w:rsidRPr="0081460F">
        <w:rPr>
          <w:rFonts w:ascii="Bookman Old Style" w:hAnsi="Bookman Old Style"/>
          <w:sz w:val="24"/>
          <w:szCs w:val="24"/>
        </w:rPr>
        <w:t>Operasi</w:t>
      </w:r>
      <w:r w:rsidR="00A954D0">
        <w:rPr>
          <w:rFonts w:ascii="Bookman Old Style" w:hAnsi="Bookman Old Style"/>
          <w:sz w:val="24"/>
          <w:szCs w:val="24"/>
        </w:rPr>
        <w:t xml:space="preserve"> </w:t>
      </w:r>
      <w:r w:rsidRPr="0081460F">
        <w:rPr>
          <w:rFonts w:ascii="Bookman Old Style" w:hAnsi="Bookman Old Style"/>
          <w:sz w:val="24"/>
          <w:szCs w:val="24"/>
        </w:rPr>
        <w:t>Rp4.640.912.509.120,00</w:t>
      </w:r>
      <w:r w:rsidR="00A954D0">
        <w:rPr>
          <w:rFonts w:ascii="Bookman Old Style" w:hAnsi="Bookman Old Style"/>
          <w:sz w:val="24"/>
          <w:szCs w:val="24"/>
        </w:rPr>
        <w:t xml:space="preserve"> </w:t>
      </w:r>
      <w:r w:rsidRPr="0081460F">
        <w:rPr>
          <w:rFonts w:ascii="Bookman Old Style" w:hAnsi="Bookman Old Style"/>
          <w:sz w:val="24"/>
          <w:szCs w:val="24"/>
        </w:rPr>
        <w:t>atau</w:t>
      </w:r>
      <w:r w:rsidR="00A954D0">
        <w:rPr>
          <w:rFonts w:ascii="Bookman Old Style" w:hAnsi="Bookman Old Style"/>
          <w:sz w:val="24"/>
          <w:szCs w:val="24"/>
        </w:rPr>
        <w:t xml:space="preserve"> </w:t>
      </w:r>
      <w:r w:rsidRPr="0081460F">
        <w:rPr>
          <w:rFonts w:ascii="Bookman Old Style" w:hAnsi="Bookman Old Style"/>
          <w:sz w:val="24"/>
          <w:szCs w:val="24"/>
        </w:rPr>
        <w:t>81,3</w:t>
      </w:r>
      <w:r w:rsidR="00172E54">
        <w:rPr>
          <w:rFonts w:ascii="Bookman Old Style" w:hAnsi="Bookman Old Style"/>
          <w:sz w:val="24"/>
          <w:szCs w:val="24"/>
        </w:rPr>
        <w:t>2</w:t>
      </w:r>
      <w:r w:rsidRPr="0081460F">
        <w:rPr>
          <w:rFonts w:ascii="Bookman Old Style" w:hAnsi="Bookman Old Style"/>
          <w:sz w:val="24"/>
          <w:szCs w:val="24"/>
        </w:rPr>
        <w:t>%</w:t>
      </w:r>
      <w:r w:rsidR="00A954D0">
        <w:rPr>
          <w:rFonts w:ascii="Bookman Old Style" w:hAnsi="Bookman Old Style"/>
          <w:sz w:val="24"/>
          <w:szCs w:val="24"/>
        </w:rPr>
        <w:t xml:space="preserve"> </w:t>
      </w:r>
      <w:r w:rsidRPr="0081460F">
        <w:rPr>
          <w:rFonts w:ascii="Bookman Old Style" w:hAnsi="Bookman Old Style"/>
          <w:sz w:val="24"/>
          <w:szCs w:val="24"/>
        </w:rPr>
        <w:t>dari</w:t>
      </w:r>
      <w:r w:rsidR="00A954D0">
        <w:rPr>
          <w:rFonts w:ascii="Bookman Old Style" w:hAnsi="Bookman Old Style"/>
          <w:sz w:val="24"/>
          <w:szCs w:val="24"/>
        </w:rPr>
        <w:t xml:space="preserve"> </w:t>
      </w:r>
      <w:r w:rsidRPr="0081460F">
        <w:rPr>
          <w:rFonts w:ascii="Bookman Old Style" w:hAnsi="Bookman Old Style"/>
          <w:sz w:val="24"/>
          <w:szCs w:val="24"/>
        </w:rPr>
        <w:t>total</w:t>
      </w:r>
      <w:r w:rsidR="00A954D0">
        <w:rPr>
          <w:rFonts w:ascii="Bookman Old Style" w:hAnsi="Bookman Old Style"/>
          <w:sz w:val="24"/>
          <w:szCs w:val="24"/>
        </w:rPr>
        <w:t xml:space="preserve"> </w:t>
      </w:r>
      <w:r w:rsidRPr="0081460F">
        <w:rPr>
          <w:rFonts w:ascii="Bookman Old Style" w:hAnsi="Bookman Old Style"/>
          <w:sz w:val="24"/>
          <w:szCs w:val="24"/>
        </w:rPr>
        <w:t>belanja</w:t>
      </w:r>
      <w:r w:rsidR="00A954D0">
        <w:rPr>
          <w:rFonts w:ascii="Bookman Old Style" w:hAnsi="Bookman Old Style"/>
          <w:sz w:val="24"/>
          <w:szCs w:val="24"/>
        </w:rPr>
        <w:t xml:space="preserve"> </w:t>
      </w:r>
      <w:r w:rsidRPr="0081460F">
        <w:rPr>
          <w:rFonts w:ascii="Bookman Old Style" w:hAnsi="Bookman Old Style"/>
          <w:sz w:val="24"/>
          <w:szCs w:val="24"/>
        </w:rPr>
        <w:t>daerah</w:t>
      </w:r>
      <w:r w:rsidR="00A954D0">
        <w:rPr>
          <w:rFonts w:ascii="Bookman Old Style" w:hAnsi="Bookman Old Style"/>
          <w:sz w:val="24"/>
          <w:szCs w:val="24"/>
        </w:rPr>
        <w:t xml:space="preserve"> </w:t>
      </w:r>
      <w:r w:rsidRPr="0081460F">
        <w:rPr>
          <w:rFonts w:ascii="Bookman Old Style" w:hAnsi="Bookman Old Style"/>
          <w:sz w:val="24"/>
          <w:szCs w:val="24"/>
        </w:rPr>
        <w:t>dalam</w:t>
      </w:r>
      <w:r w:rsidR="00A954D0">
        <w:rPr>
          <w:rFonts w:ascii="Bookman Old Style" w:hAnsi="Bookman Old Style"/>
          <w:sz w:val="24"/>
          <w:szCs w:val="24"/>
        </w:rPr>
        <w:t xml:space="preserve"> </w:t>
      </w:r>
      <w:r w:rsidRPr="0081460F">
        <w:rPr>
          <w:rFonts w:ascii="Bookman Old Style" w:hAnsi="Bookman Old Style"/>
          <w:sz w:val="24"/>
          <w:szCs w:val="24"/>
        </w:rPr>
        <w:t>Rancangan</w:t>
      </w:r>
      <w:r w:rsidR="00A954D0">
        <w:rPr>
          <w:rFonts w:ascii="Bookman Old Style" w:hAnsi="Bookman Old Style"/>
          <w:sz w:val="24"/>
          <w:szCs w:val="24"/>
        </w:rPr>
        <w:t xml:space="preserve"> </w:t>
      </w:r>
      <w:r w:rsidRPr="0081460F">
        <w:rPr>
          <w:rFonts w:ascii="Bookman Old Style" w:hAnsi="Bookman Old Style"/>
          <w:sz w:val="24"/>
          <w:szCs w:val="24"/>
        </w:rPr>
        <w:t>Peraturan</w:t>
      </w:r>
      <w:r w:rsidR="00A954D0">
        <w:rPr>
          <w:rFonts w:ascii="Bookman Old Style" w:hAnsi="Bookman Old Style"/>
          <w:sz w:val="24"/>
          <w:szCs w:val="24"/>
        </w:rPr>
        <w:t xml:space="preserve"> </w:t>
      </w:r>
      <w:r w:rsidRPr="0081460F">
        <w:rPr>
          <w:rFonts w:ascii="Bookman Old Style" w:hAnsi="Bookman Old Style"/>
          <w:sz w:val="24"/>
          <w:szCs w:val="24"/>
        </w:rPr>
        <w:t>Daerah</w:t>
      </w:r>
      <w:r w:rsidR="00A954D0">
        <w:rPr>
          <w:rFonts w:ascii="Bookman Old Style" w:hAnsi="Bookman Old Style"/>
          <w:sz w:val="24"/>
          <w:szCs w:val="24"/>
        </w:rPr>
        <w:t xml:space="preserve"> </w:t>
      </w:r>
      <w:r w:rsidRPr="0081460F">
        <w:rPr>
          <w:rFonts w:ascii="Bookman Old Style" w:hAnsi="Bookman Old Style"/>
          <w:sz w:val="24"/>
          <w:szCs w:val="24"/>
        </w:rPr>
        <w:t>Kota</w:t>
      </w:r>
      <w:r w:rsidR="00A954D0">
        <w:rPr>
          <w:rFonts w:ascii="Bookman Old Style" w:hAnsi="Bookman Old Style"/>
          <w:sz w:val="24"/>
          <w:szCs w:val="24"/>
        </w:rPr>
        <w:t xml:space="preserve"> </w:t>
      </w:r>
      <w:r w:rsidRPr="0081460F">
        <w:rPr>
          <w:rFonts w:ascii="Bookman Old Style" w:hAnsi="Bookman Old Style"/>
          <w:sz w:val="24"/>
          <w:szCs w:val="24"/>
        </w:rPr>
        <w:t>Tangerang</w:t>
      </w:r>
      <w:r w:rsidR="00A954D0">
        <w:rPr>
          <w:rFonts w:ascii="Bookman Old Style" w:hAnsi="Bookman Old Style"/>
          <w:sz w:val="24"/>
          <w:szCs w:val="24"/>
        </w:rPr>
        <w:t xml:space="preserve"> </w:t>
      </w:r>
      <w:r w:rsidRPr="0081460F">
        <w:rPr>
          <w:rFonts w:ascii="Bookman Old Style" w:hAnsi="Bookman Old Style"/>
          <w:sz w:val="24"/>
          <w:szCs w:val="24"/>
        </w:rPr>
        <w:t>tentang</w:t>
      </w:r>
      <w:r w:rsidR="00A954D0">
        <w:rPr>
          <w:rFonts w:ascii="Bookman Old Style" w:hAnsi="Bookman Old Style"/>
          <w:sz w:val="24"/>
          <w:szCs w:val="24"/>
        </w:rPr>
        <w:t xml:space="preserve"> </w:t>
      </w:r>
      <w:r w:rsidRPr="0081460F">
        <w:rPr>
          <w:rFonts w:ascii="Bookman Old Style" w:hAnsi="Bookman Old Style"/>
          <w:sz w:val="24"/>
          <w:szCs w:val="24"/>
        </w:rPr>
        <w:t>APB</w:t>
      </w:r>
      <w:r w:rsidRPr="005A4806">
        <w:rPr>
          <w:rFonts w:ascii="Bookman Old Style" w:hAnsi="Bookman Old Style"/>
          <w:sz w:val="24"/>
          <w:szCs w:val="24"/>
        </w:rPr>
        <w:t>D</w:t>
      </w:r>
      <w:r w:rsidR="00A954D0">
        <w:rPr>
          <w:rFonts w:ascii="Bookman Old Style" w:hAnsi="Bookman Old Style"/>
          <w:sz w:val="24"/>
          <w:szCs w:val="24"/>
        </w:rPr>
        <w:t xml:space="preserve"> </w:t>
      </w:r>
      <w:r w:rsidRPr="005A4806">
        <w:rPr>
          <w:rFonts w:ascii="Bookman Old Style" w:hAnsi="Bookman Old Style"/>
          <w:sz w:val="24"/>
          <w:szCs w:val="24"/>
        </w:rPr>
        <w:t>Tahun</w:t>
      </w:r>
      <w:r w:rsidR="00A954D0">
        <w:rPr>
          <w:rFonts w:ascii="Bookman Old Style" w:hAnsi="Bookman Old Style"/>
          <w:sz w:val="24"/>
          <w:szCs w:val="24"/>
        </w:rPr>
        <w:t xml:space="preserve"> </w:t>
      </w:r>
      <w:r w:rsidRPr="005A4806">
        <w:rPr>
          <w:rFonts w:ascii="Bookman Old Style" w:hAnsi="Bookman Old Style"/>
          <w:sz w:val="24"/>
          <w:szCs w:val="24"/>
        </w:rPr>
        <w:t>Anggaran</w:t>
      </w:r>
      <w:r w:rsidR="00A954D0">
        <w:rPr>
          <w:rFonts w:ascii="Bookman Old Style" w:hAnsi="Bookman Old Style"/>
          <w:sz w:val="24"/>
          <w:szCs w:val="24"/>
        </w:rPr>
        <w:t xml:space="preserve"> </w:t>
      </w:r>
      <w:r w:rsidRPr="005A4806">
        <w:rPr>
          <w:rFonts w:ascii="Bookman Old Style" w:hAnsi="Bookman Old Style"/>
          <w:sz w:val="24"/>
          <w:szCs w:val="24"/>
        </w:rPr>
        <w:t>2025,</w:t>
      </w:r>
      <w:r w:rsidR="00A954D0">
        <w:rPr>
          <w:rFonts w:ascii="Bookman Old Style" w:hAnsi="Bookman Old Style"/>
          <w:sz w:val="24"/>
          <w:szCs w:val="24"/>
        </w:rPr>
        <w:t xml:space="preserve"> </w:t>
      </w:r>
      <w:r w:rsidRPr="005A4806">
        <w:rPr>
          <w:rFonts w:ascii="Bookman Old Style" w:hAnsi="Bookman Old Style"/>
          <w:sz w:val="24"/>
          <w:szCs w:val="24"/>
        </w:rPr>
        <w:t>merupakan</w:t>
      </w:r>
      <w:r w:rsidR="00A954D0">
        <w:rPr>
          <w:rFonts w:ascii="Bookman Old Style" w:hAnsi="Bookman Old Style"/>
          <w:sz w:val="24"/>
          <w:szCs w:val="24"/>
        </w:rPr>
        <w:t xml:space="preserve"> </w:t>
      </w:r>
      <w:r w:rsidRPr="005A4806">
        <w:rPr>
          <w:rFonts w:ascii="Bookman Old Style" w:hAnsi="Bookman Old Style"/>
          <w:sz w:val="24"/>
          <w:szCs w:val="24"/>
        </w:rPr>
        <w:t>pengeluaran</w:t>
      </w:r>
      <w:r w:rsidR="00A954D0">
        <w:rPr>
          <w:rFonts w:ascii="Bookman Old Style" w:hAnsi="Bookman Old Style"/>
          <w:sz w:val="24"/>
          <w:szCs w:val="24"/>
        </w:rPr>
        <w:t xml:space="preserve"> </w:t>
      </w:r>
      <w:r w:rsidRPr="005A4806">
        <w:rPr>
          <w:rFonts w:ascii="Bookman Old Style" w:hAnsi="Bookman Old Style"/>
          <w:sz w:val="24"/>
          <w:szCs w:val="24"/>
        </w:rPr>
        <w:t>anggaran</w:t>
      </w:r>
      <w:r w:rsidR="00A954D0">
        <w:rPr>
          <w:rFonts w:ascii="Bookman Old Style" w:hAnsi="Bookman Old Style"/>
          <w:sz w:val="24"/>
          <w:szCs w:val="24"/>
        </w:rPr>
        <w:t xml:space="preserve"> </w:t>
      </w:r>
      <w:r w:rsidRPr="005A4806">
        <w:rPr>
          <w:rFonts w:ascii="Bookman Old Style" w:hAnsi="Bookman Old Style"/>
          <w:sz w:val="24"/>
          <w:szCs w:val="24"/>
        </w:rPr>
        <w:t>untuk</w:t>
      </w:r>
      <w:r w:rsidR="00A954D0">
        <w:rPr>
          <w:rFonts w:ascii="Bookman Old Style" w:hAnsi="Bookman Old Style"/>
          <w:sz w:val="24"/>
          <w:szCs w:val="24"/>
        </w:rPr>
        <w:t xml:space="preserve"> </w:t>
      </w:r>
      <w:r w:rsidRPr="005A4806">
        <w:rPr>
          <w:rFonts w:ascii="Bookman Old Style" w:hAnsi="Bookman Old Style"/>
          <w:sz w:val="24"/>
          <w:szCs w:val="24"/>
        </w:rPr>
        <w:t>kegiatan</w:t>
      </w:r>
      <w:r w:rsidR="00A954D0">
        <w:rPr>
          <w:rFonts w:ascii="Bookman Old Style" w:hAnsi="Bookman Old Style"/>
          <w:sz w:val="24"/>
          <w:szCs w:val="24"/>
        </w:rPr>
        <w:t xml:space="preserve"> </w:t>
      </w:r>
      <w:r w:rsidRPr="005A4806">
        <w:rPr>
          <w:rFonts w:ascii="Bookman Old Style" w:hAnsi="Bookman Old Style"/>
          <w:sz w:val="24"/>
          <w:szCs w:val="24"/>
        </w:rPr>
        <w:t>sehari-hari</w:t>
      </w:r>
      <w:r w:rsidR="00A954D0">
        <w:rPr>
          <w:rFonts w:ascii="Bookman Old Style" w:hAnsi="Bookman Old Style"/>
          <w:sz w:val="24"/>
          <w:szCs w:val="24"/>
        </w:rPr>
        <w:t xml:space="preserve"> </w:t>
      </w:r>
      <w:r w:rsidRPr="005A4806">
        <w:rPr>
          <w:rFonts w:ascii="Bookman Old Style" w:hAnsi="Bookman Old Style"/>
          <w:sz w:val="24"/>
          <w:szCs w:val="24"/>
        </w:rPr>
        <w:t>Pemerintah</w:t>
      </w:r>
      <w:r w:rsidR="00A954D0">
        <w:rPr>
          <w:rFonts w:ascii="Bookman Old Style" w:hAnsi="Bookman Old Style"/>
          <w:sz w:val="24"/>
          <w:szCs w:val="24"/>
        </w:rPr>
        <w:t xml:space="preserve"> </w:t>
      </w:r>
      <w:r w:rsidRPr="005A4806">
        <w:rPr>
          <w:rFonts w:ascii="Bookman Old Style" w:hAnsi="Bookman Old Style"/>
          <w:sz w:val="24"/>
          <w:szCs w:val="24"/>
        </w:rPr>
        <w:t>Daerah</w:t>
      </w:r>
      <w:r w:rsidR="00A954D0">
        <w:rPr>
          <w:rFonts w:ascii="Bookman Old Style" w:hAnsi="Bookman Old Style"/>
          <w:sz w:val="24"/>
          <w:szCs w:val="24"/>
        </w:rPr>
        <w:t xml:space="preserve"> </w:t>
      </w:r>
      <w:r w:rsidRPr="005A4806">
        <w:rPr>
          <w:rFonts w:ascii="Bookman Old Style" w:hAnsi="Bookman Old Style"/>
          <w:sz w:val="24"/>
          <w:szCs w:val="24"/>
        </w:rPr>
        <w:t>yang</w:t>
      </w:r>
      <w:r w:rsidR="00A954D0">
        <w:rPr>
          <w:rFonts w:ascii="Bookman Old Style" w:hAnsi="Bookman Old Style"/>
          <w:sz w:val="24"/>
          <w:szCs w:val="24"/>
        </w:rPr>
        <w:t xml:space="preserve"> </w:t>
      </w:r>
      <w:r w:rsidRPr="005A4806">
        <w:rPr>
          <w:rFonts w:ascii="Bookman Old Style" w:hAnsi="Bookman Old Style"/>
          <w:sz w:val="24"/>
          <w:szCs w:val="24"/>
        </w:rPr>
        <w:t>memberi</w:t>
      </w:r>
      <w:r w:rsidR="00A954D0">
        <w:rPr>
          <w:rFonts w:ascii="Bookman Old Style" w:hAnsi="Bookman Old Style"/>
          <w:sz w:val="24"/>
          <w:szCs w:val="24"/>
        </w:rPr>
        <w:t xml:space="preserve"> </w:t>
      </w:r>
      <w:r w:rsidRPr="005A4806">
        <w:rPr>
          <w:rFonts w:ascii="Bookman Old Style" w:hAnsi="Bookman Old Style"/>
          <w:sz w:val="24"/>
          <w:szCs w:val="24"/>
        </w:rPr>
        <w:t>manfaat</w:t>
      </w:r>
      <w:r w:rsidR="00A954D0">
        <w:rPr>
          <w:rFonts w:ascii="Bookman Old Style" w:hAnsi="Bookman Old Style"/>
          <w:sz w:val="24"/>
          <w:szCs w:val="24"/>
        </w:rPr>
        <w:t xml:space="preserve"> </w:t>
      </w:r>
      <w:r w:rsidRPr="005A4806">
        <w:rPr>
          <w:rFonts w:ascii="Bookman Old Style" w:hAnsi="Bookman Old Style"/>
          <w:sz w:val="24"/>
          <w:szCs w:val="24"/>
        </w:rPr>
        <w:t>jangka</w:t>
      </w:r>
      <w:r w:rsidR="00A954D0">
        <w:rPr>
          <w:rFonts w:ascii="Bookman Old Style" w:hAnsi="Bookman Old Style"/>
          <w:sz w:val="24"/>
          <w:szCs w:val="24"/>
        </w:rPr>
        <w:t xml:space="preserve"> </w:t>
      </w:r>
      <w:r w:rsidRPr="005A4806">
        <w:rPr>
          <w:rFonts w:ascii="Bookman Old Style" w:hAnsi="Bookman Old Style"/>
          <w:sz w:val="24"/>
          <w:szCs w:val="24"/>
        </w:rPr>
        <w:t>pendek</w:t>
      </w:r>
      <w:r w:rsidR="00A954D0">
        <w:rPr>
          <w:rFonts w:ascii="Bookman Old Style" w:hAnsi="Bookman Old Style"/>
          <w:sz w:val="24"/>
          <w:szCs w:val="24"/>
        </w:rPr>
        <w:t xml:space="preserve"> </w:t>
      </w:r>
      <w:r w:rsidRPr="005A4806">
        <w:rPr>
          <w:rFonts w:ascii="Bookman Old Style" w:hAnsi="Bookman Old Style"/>
          <w:sz w:val="24"/>
          <w:szCs w:val="24"/>
        </w:rPr>
        <w:t>sebagaimana</w:t>
      </w:r>
      <w:r w:rsidR="00A954D0">
        <w:rPr>
          <w:rFonts w:ascii="Bookman Old Style" w:hAnsi="Bookman Old Style"/>
          <w:sz w:val="24"/>
          <w:szCs w:val="24"/>
        </w:rPr>
        <w:t xml:space="preserve"> </w:t>
      </w:r>
      <w:r w:rsidRPr="005A4806">
        <w:rPr>
          <w:rFonts w:ascii="Bookman Old Style" w:hAnsi="Bookman Old Style"/>
          <w:sz w:val="24"/>
          <w:szCs w:val="24"/>
        </w:rPr>
        <w:t>maksud</w:t>
      </w:r>
      <w:r w:rsidR="00A954D0">
        <w:rPr>
          <w:rFonts w:ascii="Bookman Old Style" w:hAnsi="Bookman Old Style"/>
          <w:sz w:val="24"/>
          <w:szCs w:val="24"/>
        </w:rPr>
        <w:t xml:space="preserve"> </w:t>
      </w:r>
      <w:r w:rsidRPr="005A4806">
        <w:rPr>
          <w:rFonts w:ascii="Bookman Old Style" w:hAnsi="Bookman Old Style"/>
          <w:sz w:val="24"/>
          <w:szCs w:val="24"/>
        </w:rPr>
        <w:t>Pasal</w:t>
      </w:r>
      <w:r w:rsidR="00A954D0">
        <w:rPr>
          <w:rFonts w:ascii="Bookman Old Style" w:hAnsi="Bookman Old Style"/>
          <w:sz w:val="24"/>
          <w:szCs w:val="24"/>
        </w:rPr>
        <w:t xml:space="preserve"> </w:t>
      </w:r>
      <w:r w:rsidRPr="005A4806">
        <w:rPr>
          <w:rFonts w:ascii="Bookman Old Style" w:hAnsi="Bookman Old Style"/>
          <w:sz w:val="24"/>
          <w:szCs w:val="24"/>
        </w:rPr>
        <w:t>55</w:t>
      </w:r>
      <w:r w:rsidR="00A954D0">
        <w:rPr>
          <w:rFonts w:ascii="Bookman Old Style" w:hAnsi="Bookman Old Style"/>
          <w:sz w:val="24"/>
          <w:szCs w:val="24"/>
        </w:rPr>
        <w:t xml:space="preserve"> </w:t>
      </w:r>
      <w:r w:rsidRPr="005A4806">
        <w:rPr>
          <w:rFonts w:ascii="Bookman Old Style" w:hAnsi="Bookman Old Style"/>
          <w:sz w:val="24"/>
          <w:szCs w:val="24"/>
        </w:rPr>
        <w:t>ayat</w:t>
      </w:r>
      <w:r w:rsidR="00A954D0">
        <w:rPr>
          <w:rFonts w:ascii="Bookman Old Style" w:hAnsi="Bookman Old Style"/>
          <w:sz w:val="24"/>
          <w:szCs w:val="24"/>
        </w:rPr>
        <w:t xml:space="preserve"> </w:t>
      </w:r>
      <w:r w:rsidRPr="005A4806">
        <w:rPr>
          <w:rFonts w:ascii="Bookman Old Style" w:hAnsi="Bookman Old Style"/>
          <w:sz w:val="24"/>
          <w:szCs w:val="24"/>
        </w:rPr>
        <w:t>(2)</w:t>
      </w:r>
      <w:r w:rsidR="00A954D0">
        <w:rPr>
          <w:rFonts w:ascii="Bookman Old Style" w:hAnsi="Bookman Old Style"/>
          <w:sz w:val="24"/>
          <w:szCs w:val="24"/>
        </w:rPr>
        <w:t xml:space="preserve"> </w:t>
      </w:r>
      <w:r w:rsidRPr="005A4806">
        <w:rPr>
          <w:rFonts w:ascii="Bookman Old Style" w:hAnsi="Bookman Old Style"/>
          <w:sz w:val="24"/>
          <w:szCs w:val="24"/>
        </w:rPr>
        <w:t>Peraturan</w:t>
      </w:r>
      <w:r w:rsidR="00A954D0">
        <w:rPr>
          <w:rFonts w:ascii="Bookman Old Style" w:hAnsi="Bookman Old Style"/>
          <w:sz w:val="24"/>
          <w:szCs w:val="24"/>
        </w:rPr>
        <w:t xml:space="preserve"> </w:t>
      </w:r>
      <w:r w:rsidRPr="005A4806">
        <w:rPr>
          <w:rFonts w:ascii="Bookman Old Style" w:hAnsi="Bookman Old Style"/>
          <w:sz w:val="24"/>
          <w:szCs w:val="24"/>
        </w:rPr>
        <w:t>Pemerintah</w:t>
      </w:r>
      <w:r w:rsidR="00A954D0">
        <w:rPr>
          <w:rFonts w:ascii="Bookman Old Style" w:hAnsi="Bookman Old Style"/>
          <w:sz w:val="24"/>
          <w:szCs w:val="24"/>
        </w:rPr>
        <w:t xml:space="preserve"> </w:t>
      </w:r>
      <w:r w:rsidRPr="005A4806">
        <w:rPr>
          <w:rFonts w:ascii="Bookman Old Style" w:hAnsi="Bookman Old Style"/>
          <w:sz w:val="24"/>
          <w:szCs w:val="24"/>
        </w:rPr>
        <w:t>Nomor</w:t>
      </w:r>
      <w:r w:rsidR="00A954D0">
        <w:rPr>
          <w:rFonts w:ascii="Bookman Old Style" w:hAnsi="Bookman Old Style"/>
          <w:sz w:val="24"/>
          <w:szCs w:val="24"/>
        </w:rPr>
        <w:t xml:space="preserve"> </w:t>
      </w:r>
      <w:r w:rsidRPr="005A4806">
        <w:rPr>
          <w:rFonts w:ascii="Bookman Old Style" w:hAnsi="Bookman Old Style"/>
          <w:sz w:val="24"/>
          <w:szCs w:val="24"/>
        </w:rPr>
        <w:t>12</w:t>
      </w:r>
      <w:r w:rsidR="00A954D0">
        <w:rPr>
          <w:rFonts w:ascii="Bookman Old Style" w:hAnsi="Bookman Old Style"/>
          <w:sz w:val="24"/>
          <w:szCs w:val="24"/>
        </w:rPr>
        <w:t xml:space="preserve"> </w:t>
      </w:r>
      <w:r w:rsidRPr="005A4806">
        <w:rPr>
          <w:rFonts w:ascii="Bookman Old Style" w:hAnsi="Bookman Old Style"/>
          <w:sz w:val="24"/>
          <w:szCs w:val="24"/>
        </w:rPr>
        <w:t>Tahun</w:t>
      </w:r>
      <w:r w:rsidR="00A954D0">
        <w:rPr>
          <w:rFonts w:ascii="Bookman Old Style" w:hAnsi="Bookman Old Style"/>
          <w:sz w:val="24"/>
          <w:szCs w:val="24"/>
        </w:rPr>
        <w:t xml:space="preserve"> </w:t>
      </w:r>
      <w:r w:rsidRPr="005A4806">
        <w:rPr>
          <w:rFonts w:ascii="Bookman Old Style" w:hAnsi="Bookman Old Style"/>
          <w:sz w:val="24"/>
          <w:szCs w:val="24"/>
        </w:rPr>
        <w:t>2019.</w:t>
      </w:r>
    </w:p>
    <w:p w14:paraId="402B2A17" w14:textId="68CF5632" w:rsidR="00EE2B8A" w:rsidRPr="00770F22" w:rsidRDefault="005A4806" w:rsidP="00666D64">
      <w:pPr>
        <w:pStyle w:val="ListParagraph"/>
        <w:spacing w:before="60" w:after="0" w:line="276" w:lineRule="auto"/>
        <w:ind w:left="1276"/>
        <w:contextualSpacing w:val="0"/>
        <w:jc w:val="both"/>
        <w:rPr>
          <w:rFonts w:ascii="Bookman Old Style" w:hAnsi="Bookman Old Style"/>
          <w:sz w:val="24"/>
          <w:szCs w:val="24"/>
          <w:highlight w:val="yellow"/>
        </w:rPr>
      </w:pPr>
      <w:r w:rsidRPr="005A4806">
        <w:rPr>
          <w:rFonts w:ascii="Bookman Old Style" w:hAnsi="Bookman Old Style"/>
          <w:sz w:val="24"/>
          <w:szCs w:val="24"/>
        </w:rPr>
        <w:t>Penyediaan</w:t>
      </w:r>
      <w:r w:rsidR="00A954D0">
        <w:rPr>
          <w:rFonts w:ascii="Bookman Old Style" w:hAnsi="Bookman Old Style"/>
          <w:sz w:val="24"/>
          <w:szCs w:val="24"/>
        </w:rPr>
        <w:t xml:space="preserve"> </w:t>
      </w:r>
      <w:r w:rsidRPr="005A4806">
        <w:rPr>
          <w:rFonts w:ascii="Bookman Old Style" w:hAnsi="Bookman Old Style"/>
          <w:sz w:val="24"/>
          <w:szCs w:val="24"/>
        </w:rPr>
        <w:t>anggaran</w:t>
      </w:r>
      <w:r w:rsidR="00A954D0">
        <w:rPr>
          <w:rFonts w:ascii="Bookman Old Style" w:hAnsi="Bookman Old Style"/>
          <w:sz w:val="24"/>
          <w:szCs w:val="24"/>
        </w:rPr>
        <w:t xml:space="preserve"> </w:t>
      </w:r>
      <w:r w:rsidRPr="005A4806">
        <w:rPr>
          <w:rFonts w:ascii="Bookman Old Style" w:hAnsi="Bookman Old Style"/>
          <w:sz w:val="24"/>
          <w:szCs w:val="24"/>
        </w:rPr>
        <w:t>belanja</w:t>
      </w:r>
      <w:r w:rsidR="00A954D0">
        <w:rPr>
          <w:rFonts w:ascii="Bookman Old Style" w:hAnsi="Bookman Old Style"/>
          <w:sz w:val="24"/>
          <w:szCs w:val="24"/>
        </w:rPr>
        <w:t xml:space="preserve"> </w:t>
      </w:r>
      <w:r w:rsidRPr="005A4806">
        <w:rPr>
          <w:rFonts w:ascii="Bookman Old Style" w:hAnsi="Bookman Old Style"/>
          <w:sz w:val="24"/>
          <w:szCs w:val="24"/>
        </w:rPr>
        <w:t>operasi</w:t>
      </w:r>
      <w:r w:rsidR="00A954D0">
        <w:rPr>
          <w:rFonts w:ascii="Bookman Old Style" w:hAnsi="Bookman Old Style"/>
          <w:sz w:val="24"/>
          <w:szCs w:val="24"/>
        </w:rPr>
        <w:t xml:space="preserve"> </w:t>
      </w:r>
      <w:r w:rsidRPr="005A4806">
        <w:rPr>
          <w:rFonts w:ascii="Bookman Old Style" w:hAnsi="Bookman Old Style"/>
          <w:sz w:val="24"/>
          <w:szCs w:val="24"/>
        </w:rPr>
        <w:t>yang</w:t>
      </w:r>
      <w:r w:rsidR="00A954D0">
        <w:rPr>
          <w:rFonts w:ascii="Bookman Old Style" w:hAnsi="Bookman Old Style"/>
          <w:sz w:val="24"/>
          <w:szCs w:val="24"/>
        </w:rPr>
        <w:t xml:space="preserve"> </w:t>
      </w:r>
      <w:r w:rsidRPr="005A4806">
        <w:rPr>
          <w:rFonts w:ascii="Bookman Old Style" w:hAnsi="Bookman Old Style"/>
          <w:sz w:val="24"/>
          <w:szCs w:val="24"/>
        </w:rPr>
        <w:t>antara</w:t>
      </w:r>
      <w:r w:rsidR="00A954D0">
        <w:rPr>
          <w:rFonts w:ascii="Bookman Old Style" w:hAnsi="Bookman Old Style"/>
          <w:sz w:val="24"/>
          <w:szCs w:val="24"/>
        </w:rPr>
        <w:t xml:space="preserve"> </w:t>
      </w:r>
      <w:r w:rsidRPr="005A4806">
        <w:rPr>
          <w:rFonts w:ascii="Bookman Old Style" w:hAnsi="Bookman Old Style"/>
          <w:sz w:val="24"/>
          <w:szCs w:val="24"/>
        </w:rPr>
        <w:t>lain</w:t>
      </w:r>
      <w:r w:rsidR="00A954D0">
        <w:rPr>
          <w:rFonts w:ascii="Bookman Old Style" w:hAnsi="Bookman Old Style"/>
          <w:sz w:val="24"/>
          <w:szCs w:val="24"/>
        </w:rPr>
        <w:t xml:space="preserve"> </w:t>
      </w:r>
      <w:r w:rsidRPr="005A4806">
        <w:rPr>
          <w:rFonts w:ascii="Bookman Old Style" w:hAnsi="Bookman Old Style"/>
          <w:sz w:val="24"/>
          <w:szCs w:val="24"/>
        </w:rPr>
        <w:t>tercantum</w:t>
      </w:r>
      <w:r w:rsidR="00A954D0">
        <w:rPr>
          <w:rFonts w:ascii="Bookman Old Style" w:hAnsi="Bookman Old Style"/>
          <w:sz w:val="24"/>
          <w:szCs w:val="24"/>
        </w:rPr>
        <w:t xml:space="preserve"> </w:t>
      </w:r>
      <w:r w:rsidRPr="005A4806">
        <w:rPr>
          <w:rFonts w:ascii="Bookman Old Style" w:hAnsi="Bookman Old Style"/>
          <w:sz w:val="24"/>
          <w:szCs w:val="24"/>
        </w:rPr>
        <w:t>pada</w:t>
      </w:r>
      <w:r w:rsidR="00A954D0">
        <w:rPr>
          <w:rFonts w:ascii="Bookman Old Style" w:hAnsi="Bookman Old Style"/>
          <w:sz w:val="24"/>
          <w:szCs w:val="24"/>
        </w:rPr>
        <w:t xml:space="preserve"> </w:t>
      </w:r>
      <w:r w:rsidRPr="005A4806">
        <w:rPr>
          <w:rFonts w:ascii="Bookman Old Style" w:hAnsi="Bookman Old Style"/>
          <w:sz w:val="24"/>
          <w:szCs w:val="24"/>
        </w:rPr>
        <w:t>jenis</w:t>
      </w:r>
      <w:r w:rsidR="00A954D0">
        <w:rPr>
          <w:rFonts w:ascii="Bookman Old Style" w:hAnsi="Bookman Old Style"/>
          <w:sz w:val="24"/>
          <w:szCs w:val="24"/>
        </w:rPr>
        <w:t xml:space="preserve"> </w:t>
      </w:r>
      <w:r w:rsidRPr="005A4806">
        <w:rPr>
          <w:rFonts w:ascii="Bookman Old Style" w:hAnsi="Bookman Old Style"/>
          <w:sz w:val="24"/>
          <w:szCs w:val="24"/>
        </w:rPr>
        <w:t>belanja:</w:t>
      </w:r>
    </w:p>
    <w:p w14:paraId="08FFB172" w14:textId="031ED89C" w:rsidR="005A4806" w:rsidRPr="00727324" w:rsidRDefault="005A4806" w:rsidP="00DD7D28">
      <w:pPr>
        <w:pStyle w:val="ListParagraph"/>
        <w:numPr>
          <w:ilvl w:val="0"/>
          <w:numId w:val="15"/>
        </w:numPr>
        <w:spacing w:before="60" w:after="0" w:line="276" w:lineRule="auto"/>
        <w:ind w:left="1701" w:hanging="425"/>
        <w:contextualSpacing w:val="0"/>
        <w:jc w:val="both"/>
        <w:rPr>
          <w:rFonts w:ascii="Bookman Old Style" w:hAnsi="Bookman Old Style"/>
          <w:sz w:val="24"/>
          <w:szCs w:val="24"/>
        </w:rPr>
      </w:pPr>
      <w:r w:rsidRPr="00727324">
        <w:rPr>
          <w:rFonts w:ascii="Bookman Old Style" w:hAnsi="Bookman Old Style"/>
          <w:sz w:val="24"/>
          <w:szCs w:val="24"/>
        </w:rPr>
        <w:t>Belanja</w:t>
      </w:r>
      <w:r w:rsidR="00A954D0">
        <w:rPr>
          <w:rFonts w:ascii="Bookman Old Style" w:hAnsi="Bookman Old Style"/>
          <w:sz w:val="24"/>
          <w:szCs w:val="24"/>
        </w:rPr>
        <w:t xml:space="preserve"> </w:t>
      </w:r>
      <w:r w:rsidRPr="00727324">
        <w:rPr>
          <w:rFonts w:ascii="Bookman Old Style" w:hAnsi="Bookman Old Style"/>
          <w:sz w:val="24"/>
          <w:szCs w:val="24"/>
        </w:rPr>
        <w:t>Pegawai</w:t>
      </w:r>
    </w:p>
    <w:p w14:paraId="54472972" w14:textId="447FBA5F" w:rsidR="005A4806" w:rsidRPr="00727324" w:rsidRDefault="005A4806" w:rsidP="00DD7D28">
      <w:pPr>
        <w:pStyle w:val="ListParagraph"/>
        <w:spacing w:before="60" w:after="0" w:line="276" w:lineRule="auto"/>
        <w:ind w:left="1701"/>
        <w:contextualSpacing w:val="0"/>
        <w:jc w:val="both"/>
        <w:rPr>
          <w:rFonts w:ascii="Bookman Old Style" w:hAnsi="Bookman Old Style"/>
          <w:sz w:val="24"/>
          <w:szCs w:val="24"/>
        </w:rPr>
      </w:pPr>
      <w:r w:rsidRPr="00727324">
        <w:rPr>
          <w:rFonts w:ascii="Bookman Old Style" w:hAnsi="Bookman Old Style"/>
          <w:sz w:val="24"/>
          <w:szCs w:val="24"/>
        </w:rPr>
        <w:t>Jumlah</w:t>
      </w:r>
      <w:r w:rsidR="00A954D0">
        <w:rPr>
          <w:rFonts w:ascii="Bookman Old Style" w:hAnsi="Bookman Old Style"/>
          <w:sz w:val="24"/>
          <w:szCs w:val="24"/>
          <w:lang w:val="id-ID"/>
        </w:rPr>
        <w:t xml:space="preserve"> </w:t>
      </w:r>
      <w:r w:rsidRPr="00727324">
        <w:rPr>
          <w:rFonts w:ascii="Bookman Old Style" w:hAnsi="Bookman Old Style"/>
          <w:sz w:val="24"/>
          <w:szCs w:val="24"/>
          <w:lang w:val="id-ID"/>
        </w:rPr>
        <w:t>alokasi</w:t>
      </w:r>
      <w:r w:rsidR="00A954D0">
        <w:rPr>
          <w:rFonts w:ascii="Bookman Old Style" w:hAnsi="Bookman Old Style"/>
          <w:sz w:val="24"/>
          <w:szCs w:val="24"/>
          <w:lang w:val="id-ID"/>
        </w:rPr>
        <w:t xml:space="preserve"> </w:t>
      </w:r>
      <w:r w:rsidRPr="00727324">
        <w:rPr>
          <w:rFonts w:ascii="Bookman Old Style" w:hAnsi="Bookman Old Style"/>
          <w:sz w:val="24"/>
          <w:szCs w:val="24"/>
        </w:rPr>
        <w:t>Belanja</w:t>
      </w:r>
      <w:r w:rsidR="00A954D0">
        <w:rPr>
          <w:rFonts w:ascii="Bookman Old Style" w:hAnsi="Bookman Old Style"/>
          <w:sz w:val="24"/>
          <w:szCs w:val="24"/>
        </w:rPr>
        <w:t xml:space="preserve"> </w:t>
      </w:r>
      <w:r w:rsidRPr="00727324">
        <w:rPr>
          <w:rFonts w:ascii="Bookman Old Style" w:hAnsi="Bookman Old Style"/>
          <w:sz w:val="24"/>
          <w:szCs w:val="24"/>
        </w:rPr>
        <w:t>Pegawai</w:t>
      </w:r>
      <w:r w:rsidR="00A954D0">
        <w:rPr>
          <w:rFonts w:ascii="Bookman Old Style" w:hAnsi="Bookman Old Style"/>
          <w:sz w:val="24"/>
          <w:szCs w:val="24"/>
        </w:rPr>
        <w:t xml:space="preserve"> </w:t>
      </w:r>
      <w:r w:rsidRPr="00721467">
        <w:rPr>
          <w:rFonts w:ascii="Bookman Old Style" w:hAnsi="Bookman Old Style"/>
          <w:sz w:val="24"/>
          <w:szCs w:val="24"/>
          <w:lang w:val="it-IT"/>
        </w:rPr>
        <w:t>Rp</w:t>
      </w:r>
      <w:r w:rsidRPr="00E2467A">
        <w:rPr>
          <w:rFonts w:ascii="Bookman Old Style" w:hAnsi="Bookman Old Style"/>
          <w:sz w:val="24"/>
          <w:szCs w:val="24"/>
          <w:lang w:val="it-IT"/>
        </w:rPr>
        <w:t>2</w:t>
      </w:r>
      <w:r>
        <w:rPr>
          <w:rFonts w:ascii="Bookman Old Style" w:hAnsi="Bookman Old Style"/>
          <w:sz w:val="24"/>
          <w:szCs w:val="24"/>
          <w:lang w:val="it-IT"/>
        </w:rPr>
        <w:t>.</w:t>
      </w:r>
      <w:r w:rsidRPr="00E2467A">
        <w:rPr>
          <w:rFonts w:ascii="Bookman Old Style" w:hAnsi="Bookman Old Style"/>
          <w:sz w:val="24"/>
          <w:szCs w:val="24"/>
          <w:lang w:val="it-IT"/>
        </w:rPr>
        <w:t>121</w:t>
      </w:r>
      <w:r>
        <w:rPr>
          <w:rFonts w:ascii="Bookman Old Style" w:hAnsi="Bookman Old Style"/>
          <w:sz w:val="24"/>
          <w:szCs w:val="24"/>
          <w:lang w:val="it-IT"/>
        </w:rPr>
        <w:t>.</w:t>
      </w:r>
      <w:r w:rsidRPr="00E2467A">
        <w:rPr>
          <w:rFonts w:ascii="Bookman Old Style" w:hAnsi="Bookman Old Style"/>
          <w:sz w:val="24"/>
          <w:szCs w:val="24"/>
          <w:lang w:val="it-IT"/>
        </w:rPr>
        <w:t>034</w:t>
      </w:r>
      <w:r>
        <w:rPr>
          <w:rFonts w:ascii="Bookman Old Style" w:hAnsi="Bookman Old Style"/>
          <w:sz w:val="24"/>
          <w:szCs w:val="24"/>
          <w:lang w:val="it-IT"/>
        </w:rPr>
        <w:t>.</w:t>
      </w:r>
      <w:r w:rsidRPr="00E2467A">
        <w:rPr>
          <w:rFonts w:ascii="Bookman Old Style" w:hAnsi="Bookman Old Style"/>
          <w:sz w:val="24"/>
          <w:szCs w:val="24"/>
          <w:lang w:val="it-IT"/>
        </w:rPr>
        <w:t>028</w:t>
      </w:r>
      <w:r>
        <w:rPr>
          <w:rFonts w:ascii="Bookman Old Style" w:hAnsi="Bookman Old Style"/>
          <w:sz w:val="24"/>
          <w:szCs w:val="24"/>
          <w:lang w:val="it-IT"/>
        </w:rPr>
        <w:t>.</w:t>
      </w:r>
      <w:r w:rsidRPr="00E2467A">
        <w:rPr>
          <w:rFonts w:ascii="Bookman Old Style" w:hAnsi="Bookman Old Style"/>
          <w:sz w:val="24"/>
          <w:szCs w:val="24"/>
          <w:lang w:val="it-IT"/>
        </w:rPr>
        <w:t>539</w:t>
      </w:r>
      <w:r>
        <w:rPr>
          <w:rFonts w:ascii="Bookman Old Style" w:hAnsi="Bookman Old Style"/>
          <w:sz w:val="24"/>
          <w:szCs w:val="24"/>
          <w:lang w:val="it-IT"/>
        </w:rPr>
        <w:t>,</w:t>
      </w:r>
      <w:r w:rsidRPr="00E2467A">
        <w:rPr>
          <w:rFonts w:ascii="Bookman Old Style" w:hAnsi="Bookman Old Style"/>
          <w:sz w:val="24"/>
          <w:szCs w:val="24"/>
          <w:lang w:val="it-IT"/>
        </w:rPr>
        <w:t>00</w:t>
      </w:r>
      <w:r w:rsidR="00A954D0">
        <w:rPr>
          <w:rFonts w:ascii="Bookman Old Style" w:hAnsi="Bookman Old Style"/>
          <w:sz w:val="24"/>
          <w:szCs w:val="24"/>
          <w:lang w:val="it-IT"/>
        </w:rPr>
        <w:t xml:space="preserve"> </w:t>
      </w:r>
      <w:r w:rsidRPr="00727324">
        <w:rPr>
          <w:rFonts w:ascii="Bookman Old Style" w:hAnsi="Bookman Old Style"/>
          <w:sz w:val="24"/>
          <w:szCs w:val="24"/>
          <w:lang w:val="en-US"/>
        </w:rPr>
        <w:t>atau</w:t>
      </w:r>
      <w:r w:rsidR="00A954D0">
        <w:rPr>
          <w:rFonts w:ascii="Bookman Old Style" w:hAnsi="Bookman Old Style"/>
          <w:sz w:val="24"/>
          <w:szCs w:val="24"/>
          <w:lang w:val="en-US"/>
        </w:rPr>
        <w:t xml:space="preserve"> </w:t>
      </w:r>
      <w:r>
        <w:rPr>
          <w:rFonts w:ascii="Bookman Old Style" w:hAnsi="Bookman Old Style"/>
          <w:sz w:val="24"/>
          <w:szCs w:val="24"/>
          <w:lang w:val="en-US"/>
        </w:rPr>
        <w:t>37</w:t>
      </w:r>
      <w:r w:rsidRPr="00727324">
        <w:rPr>
          <w:rFonts w:ascii="Bookman Old Style" w:hAnsi="Bookman Old Style"/>
          <w:sz w:val="24"/>
          <w:szCs w:val="24"/>
          <w:lang w:val="en-US"/>
        </w:rPr>
        <w:t>,</w:t>
      </w:r>
      <w:r>
        <w:rPr>
          <w:rFonts w:ascii="Bookman Old Style" w:hAnsi="Bookman Old Style"/>
          <w:sz w:val="24"/>
          <w:szCs w:val="24"/>
          <w:lang w:val="en-US"/>
        </w:rPr>
        <w:t>17</w:t>
      </w:r>
      <w:r w:rsidRPr="00727324">
        <w:rPr>
          <w:rFonts w:ascii="Bookman Old Style" w:hAnsi="Bookman Old Style"/>
          <w:sz w:val="24"/>
          <w:szCs w:val="24"/>
          <w:lang w:val="en-US"/>
        </w:rPr>
        <w:t>%</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dari</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total</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belanja</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daerah</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dalam</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Rancangan</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Peraturan</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Daerah</w:t>
      </w:r>
      <w:r w:rsidR="00A954D0">
        <w:rPr>
          <w:rFonts w:ascii="Bookman Old Style" w:hAnsi="Bookman Old Style" w:cs="Gill Sans Light (Arabid)"/>
          <w:bCs/>
          <w:sz w:val="24"/>
          <w:szCs w:val="24"/>
          <w:lang w:eastAsia="id-ID"/>
        </w:rPr>
        <w:t xml:space="preserve"> </w:t>
      </w:r>
      <w:r w:rsidRPr="000C1F56">
        <w:rPr>
          <w:rFonts w:ascii="Bookman Old Style" w:hAnsi="Bookman Old Style"/>
          <w:sz w:val="24"/>
          <w:szCs w:val="24"/>
          <w:lang w:val="fi-FI"/>
        </w:rPr>
        <w:t>Kota</w:t>
      </w:r>
      <w:r w:rsidR="00A954D0">
        <w:rPr>
          <w:rFonts w:ascii="Bookman Old Style" w:hAnsi="Bookman Old Style"/>
          <w:sz w:val="24"/>
          <w:szCs w:val="24"/>
          <w:lang w:val="fi-FI"/>
        </w:rPr>
        <w:t xml:space="preserve"> </w:t>
      </w:r>
      <w:r>
        <w:rPr>
          <w:rFonts w:ascii="Bookman Old Style" w:hAnsi="Bookman Old Style"/>
          <w:sz w:val="24"/>
          <w:szCs w:val="24"/>
          <w:lang w:val="fi-FI"/>
        </w:rPr>
        <w:t>Tangerang</w:t>
      </w:r>
      <w:r w:rsidR="00A954D0">
        <w:rPr>
          <w:rFonts w:ascii="Bookman Old Style" w:hAnsi="Bookman Old Style"/>
          <w:sz w:val="24"/>
          <w:szCs w:val="24"/>
        </w:rPr>
        <w:t xml:space="preserve"> </w:t>
      </w:r>
      <w:r w:rsidRPr="00727324">
        <w:rPr>
          <w:rFonts w:ascii="Bookman Old Style" w:hAnsi="Bookman Old Style" w:cs="Gill Sans Light (Arabid)"/>
          <w:bCs/>
          <w:sz w:val="24"/>
          <w:szCs w:val="24"/>
          <w:lang w:eastAsia="id-ID"/>
        </w:rPr>
        <w:t>tentang</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APBD</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Tahun</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Anggaran</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202</w:t>
      </w:r>
      <w:r w:rsidRPr="00727324">
        <w:rPr>
          <w:rFonts w:ascii="Bookman Old Style" w:hAnsi="Bookman Old Style" w:cs="Gill Sans Light (Arabid)"/>
          <w:bCs/>
          <w:sz w:val="24"/>
          <w:szCs w:val="24"/>
          <w:lang w:val="de-DE" w:eastAsia="id-ID"/>
        </w:rPr>
        <w:t>4.</w:t>
      </w:r>
    </w:p>
    <w:p w14:paraId="1BC2EED1" w14:textId="06BE4A69" w:rsidR="005B5724" w:rsidRDefault="005A4806" w:rsidP="00DD7D28">
      <w:pPr>
        <w:pStyle w:val="ListParagraph"/>
        <w:spacing w:before="60" w:after="0" w:line="276" w:lineRule="auto"/>
        <w:ind w:left="1701"/>
        <w:contextualSpacing w:val="0"/>
        <w:jc w:val="both"/>
        <w:rPr>
          <w:rFonts w:ascii="Bookman Old Style" w:hAnsi="Bookman Old Style"/>
          <w:color w:val="000000" w:themeColor="text1"/>
          <w:sz w:val="24"/>
          <w:szCs w:val="24"/>
        </w:rPr>
      </w:pPr>
      <w:r w:rsidRPr="00727324">
        <w:rPr>
          <w:rFonts w:ascii="Bookman Old Style" w:hAnsi="Bookman Old Style"/>
          <w:color w:val="000000" w:themeColor="text1"/>
          <w:sz w:val="24"/>
          <w:szCs w:val="24"/>
        </w:rPr>
        <w:t>Penyediaan</w:t>
      </w:r>
      <w:r w:rsidR="00A954D0">
        <w:rPr>
          <w:rFonts w:ascii="Bookman Old Style" w:hAnsi="Bookman Old Style"/>
          <w:color w:val="000000" w:themeColor="text1"/>
          <w:sz w:val="24"/>
          <w:szCs w:val="24"/>
        </w:rPr>
        <w:t xml:space="preserve"> </w:t>
      </w:r>
      <w:r w:rsidRPr="003255BC">
        <w:rPr>
          <w:rFonts w:ascii="Bookman Old Style" w:hAnsi="Bookman Old Style"/>
          <w:sz w:val="24"/>
          <w:szCs w:val="24"/>
          <w:lang w:val="sv-FI"/>
        </w:rPr>
        <w:t>anggaran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belanja</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lang w:val="id-ID"/>
        </w:rPr>
        <w:t>pegawai</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yang</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antara</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lain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tercantum</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pada:</w:t>
      </w:r>
    </w:p>
    <w:p w14:paraId="597DAC34" w14:textId="19436B85" w:rsidR="005A4806" w:rsidRPr="00727324" w:rsidRDefault="005A4806" w:rsidP="00DD7D28">
      <w:pPr>
        <w:pStyle w:val="ListParagraph"/>
        <w:numPr>
          <w:ilvl w:val="0"/>
          <w:numId w:val="13"/>
        </w:numPr>
        <w:spacing w:before="60" w:after="0" w:line="276" w:lineRule="auto"/>
        <w:ind w:left="2268" w:hanging="567"/>
        <w:contextualSpacing w:val="0"/>
        <w:jc w:val="both"/>
        <w:rPr>
          <w:rFonts w:ascii="Bookman Old Style" w:hAnsi="Bookman Old Style"/>
          <w:color w:val="000000" w:themeColor="text1"/>
          <w:sz w:val="24"/>
          <w:szCs w:val="24"/>
        </w:rPr>
      </w:pPr>
      <w:r w:rsidRPr="00727324">
        <w:rPr>
          <w:rFonts w:ascii="Bookman Old Style" w:hAnsi="Bookman Old Style"/>
          <w:color w:val="000000" w:themeColor="text1"/>
          <w:sz w:val="24"/>
          <w:szCs w:val="24"/>
        </w:rPr>
        <w:t>Gaji</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dan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Tunjangan</w:t>
      </w:r>
      <w:r w:rsidR="00A954D0">
        <w:rPr>
          <w:rFonts w:ascii="Bookman Old Style" w:hAnsi="Bookman Old Style"/>
          <w:color w:val="000000" w:themeColor="text1"/>
          <w:sz w:val="24"/>
          <w:szCs w:val="24"/>
        </w:rPr>
        <w:t xml:space="preserve"> </w:t>
      </w:r>
      <w:r w:rsidRPr="00727324">
        <w:rPr>
          <w:rFonts w:ascii="Bookman Old Style" w:hAnsi="Bookman Old Style" w:cs="Arial"/>
          <w:color w:val="000000" w:themeColor="text1"/>
          <w:sz w:val="24"/>
          <w:szCs w:val="24"/>
        </w:rPr>
        <w:t>Aparatur</w:t>
      </w:r>
      <w:r w:rsidR="00A954D0">
        <w:rPr>
          <w:rFonts w:ascii="Bookman Old Style" w:hAnsi="Bookman Old Style" w:cs="Arial"/>
          <w:color w:val="000000" w:themeColor="text1"/>
          <w:sz w:val="24"/>
          <w:szCs w:val="24"/>
        </w:rPr>
        <w:t xml:space="preserve"> </w:t>
      </w:r>
      <w:r w:rsidRPr="00727324">
        <w:rPr>
          <w:rFonts w:ascii="Bookman Old Style" w:hAnsi="Bookman Old Style" w:cs="Arial"/>
          <w:color w:val="000000" w:themeColor="text1"/>
          <w:sz w:val="24"/>
          <w:szCs w:val="24"/>
        </w:rPr>
        <w:t>Sipil</w:t>
      </w:r>
      <w:r w:rsidR="00A954D0">
        <w:rPr>
          <w:rFonts w:ascii="Bookman Old Style" w:hAnsi="Bookman Old Style" w:cs="Arial"/>
          <w:color w:val="000000" w:themeColor="text1"/>
          <w:sz w:val="24"/>
          <w:szCs w:val="24"/>
        </w:rPr>
        <w:t xml:space="preserve"> </w:t>
      </w:r>
      <w:r w:rsidRPr="00727324">
        <w:rPr>
          <w:rFonts w:ascii="Bookman Old Style" w:hAnsi="Bookman Old Style" w:cs="Arial"/>
          <w:color w:val="000000" w:themeColor="text1"/>
          <w:sz w:val="24"/>
          <w:szCs w:val="24"/>
        </w:rPr>
        <w:t>Negara</w:t>
      </w:r>
      <w:r w:rsidR="00A954D0">
        <w:rPr>
          <w:rFonts w:ascii="Bookman Old Style" w:hAnsi="Bookman Old Style" w:cs="Arial"/>
          <w:color w:val="000000" w:themeColor="text1"/>
          <w:sz w:val="24"/>
          <w:szCs w:val="24"/>
        </w:rPr>
        <w:t xml:space="preserve"> </w:t>
      </w:r>
      <w:r w:rsidRPr="00727324">
        <w:rPr>
          <w:rFonts w:ascii="Bookman Old Style" w:hAnsi="Bookman Old Style" w:cs="Arial"/>
          <w:color w:val="000000" w:themeColor="text1"/>
          <w:sz w:val="24"/>
          <w:szCs w:val="24"/>
        </w:rPr>
        <w:t>(</w:t>
      </w:r>
      <w:r w:rsidRPr="00727324">
        <w:rPr>
          <w:rFonts w:ascii="Bookman Old Style" w:hAnsi="Bookman Old Style"/>
          <w:color w:val="000000" w:themeColor="text1"/>
          <w:sz w:val="24"/>
          <w:szCs w:val="24"/>
        </w:rPr>
        <w:t>ASN)</w:t>
      </w:r>
    </w:p>
    <w:p w14:paraId="2C42D61A" w14:textId="5EFB7B7A" w:rsidR="00EF6CEA" w:rsidRDefault="005A4806" w:rsidP="00DD7D28">
      <w:pPr>
        <w:pStyle w:val="ListParagraph"/>
        <w:spacing w:before="60" w:after="0" w:line="276" w:lineRule="auto"/>
        <w:ind w:left="2268"/>
        <w:contextualSpacing w:val="0"/>
        <w:jc w:val="both"/>
        <w:rPr>
          <w:rFonts w:ascii="Bookman Old Style" w:hAnsi="Bookman Old Style"/>
          <w:sz w:val="24"/>
          <w:szCs w:val="24"/>
          <w:lang w:val="id-ID"/>
        </w:rPr>
      </w:pPr>
      <w:r w:rsidRPr="00727324">
        <w:rPr>
          <w:rFonts w:ascii="Bookman Old Style" w:hAnsi="Bookman Old Style" w:cs="Arial"/>
          <w:sz w:val="24"/>
          <w:szCs w:val="24"/>
        </w:rPr>
        <w:t>Penyediaan</w:t>
      </w:r>
      <w:r w:rsidR="00A954D0">
        <w:rPr>
          <w:rFonts w:ascii="Bookman Old Style" w:hAnsi="Bookman Old Style" w:cs="Arial"/>
          <w:sz w:val="24"/>
          <w:szCs w:val="24"/>
        </w:rPr>
        <w:t xml:space="preserve"> </w:t>
      </w:r>
      <w:r w:rsidRPr="00727324">
        <w:rPr>
          <w:rFonts w:ascii="Bookman Old Style" w:hAnsi="Bookman Old Style" w:cs="Arial"/>
          <w:sz w:val="24"/>
          <w:szCs w:val="24"/>
        </w:rPr>
        <w:t>anggaran</w:t>
      </w:r>
      <w:r w:rsidR="00A954D0">
        <w:rPr>
          <w:rFonts w:ascii="Bookman Old Style" w:hAnsi="Bookman Old Style" w:cs="Arial"/>
          <w:sz w:val="24"/>
          <w:szCs w:val="24"/>
        </w:rPr>
        <w:t xml:space="preserve"> </w:t>
      </w:r>
      <w:r w:rsidRPr="00727324">
        <w:rPr>
          <w:rFonts w:ascii="Bookman Old Style" w:hAnsi="Bookman Old Style" w:cs="Gill Sans Light (Arabid)"/>
          <w:bCs/>
          <w:sz w:val="24"/>
          <w:szCs w:val="24"/>
          <w:lang w:eastAsia="id-ID"/>
        </w:rPr>
        <w:t>Gaji</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dan</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Tunjangan</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ASN</w:t>
      </w:r>
      <w:r w:rsidR="00A954D0">
        <w:rPr>
          <w:rFonts w:ascii="Bookman Old Style" w:hAnsi="Bookman Old Style" w:cs="Gill Sans Light (Arabid)"/>
          <w:bCs/>
          <w:sz w:val="24"/>
          <w:szCs w:val="24"/>
          <w:lang w:eastAsia="id-ID"/>
        </w:rPr>
        <w:t xml:space="preserve"> </w:t>
      </w:r>
      <w:bookmarkStart w:id="22" w:name="_Hlk150288323"/>
      <w:r w:rsidRPr="00727324">
        <w:rPr>
          <w:rFonts w:ascii="Bookman Old Style" w:hAnsi="Bookman Old Style" w:cs="Arial"/>
          <w:sz w:val="24"/>
          <w:szCs w:val="24"/>
          <w:lang w:val="en-US"/>
        </w:rPr>
        <w:t>Rp</w:t>
      </w:r>
      <w:bookmarkEnd w:id="22"/>
      <w:r w:rsidRPr="0068390D">
        <w:rPr>
          <w:rFonts w:ascii="Bookman Old Style" w:hAnsi="Bookman Old Style" w:cs="Arial"/>
          <w:sz w:val="24"/>
          <w:szCs w:val="24"/>
          <w:lang w:val="en-US"/>
        </w:rPr>
        <w:t>904</w:t>
      </w:r>
      <w:r>
        <w:rPr>
          <w:rFonts w:ascii="Bookman Old Style" w:hAnsi="Bookman Old Style" w:cs="Arial"/>
          <w:sz w:val="24"/>
          <w:szCs w:val="24"/>
          <w:lang w:val="en-US"/>
        </w:rPr>
        <w:t>.</w:t>
      </w:r>
      <w:r w:rsidRPr="0068390D">
        <w:rPr>
          <w:rFonts w:ascii="Bookman Old Style" w:hAnsi="Bookman Old Style" w:cs="Arial"/>
          <w:sz w:val="24"/>
          <w:szCs w:val="24"/>
          <w:lang w:val="en-US"/>
        </w:rPr>
        <w:t>036</w:t>
      </w:r>
      <w:r>
        <w:rPr>
          <w:rFonts w:ascii="Bookman Old Style" w:hAnsi="Bookman Old Style" w:cs="Arial"/>
          <w:sz w:val="24"/>
          <w:szCs w:val="24"/>
          <w:lang w:val="en-US"/>
        </w:rPr>
        <w:t>.851.</w:t>
      </w:r>
      <w:r w:rsidRPr="0068390D">
        <w:rPr>
          <w:rFonts w:ascii="Bookman Old Style" w:hAnsi="Bookman Old Style" w:cs="Arial"/>
          <w:sz w:val="24"/>
          <w:szCs w:val="24"/>
          <w:lang w:val="en-US"/>
        </w:rPr>
        <w:t>885</w:t>
      </w:r>
      <w:r>
        <w:rPr>
          <w:rFonts w:ascii="Bookman Old Style" w:hAnsi="Bookman Old Style" w:cs="Arial"/>
          <w:sz w:val="24"/>
          <w:szCs w:val="24"/>
          <w:lang w:val="en-US"/>
        </w:rPr>
        <w:t>,</w:t>
      </w:r>
      <w:r w:rsidRPr="0068390D">
        <w:rPr>
          <w:rFonts w:ascii="Bookman Old Style" w:hAnsi="Bookman Old Style" w:cs="Arial"/>
          <w:sz w:val="24"/>
          <w:szCs w:val="24"/>
          <w:lang w:val="en-US"/>
        </w:rPr>
        <w:t>96</w:t>
      </w:r>
      <w:r w:rsidR="00A954D0">
        <w:rPr>
          <w:rFonts w:ascii="Bookman Old Style" w:hAnsi="Bookman Old Style" w:cs="Arial"/>
          <w:sz w:val="24"/>
          <w:szCs w:val="24"/>
          <w:lang w:val="en-US"/>
        </w:rPr>
        <w:t xml:space="preserve"> </w:t>
      </w:r>
      <w:r w:rsidRPr="00727324">
        <w:rPr>
          <w:rFonts w:ascii="Bookman Old Style" w:hAnsi="Bookman Old Style"/>
          <w:sz w:val="24"/>
          <w:szCs w:val="24"/>
          <w:lang w:val="en-US"/>
        </w:rPr>
        <w:t>atau</w:t>
      </w:r>
      <w:r w:rsidR="00A954D0">
        <w:rPr>
          <w:rFonts w:ascii="Bookman Old Style" w:hAnsi="Bookman Old Style"/>
          <w:sz w:val="24"/>
          <w:szCs w:val="24"/>
          <w:lang w:val="en-US"/>
        </w:rPr>
        <w:t xml:space="preserve"> </w:t>
      </w:r>
      <w:r>
        <w:rPr>
          <w:rFonts w:ascii="Bookman Old Style" w:hAnsi="Bookman Old Style" w:cs="Arial"/>
          <w:sz w:val="24"/>
          <w:szCs w:val="24"/>
          <w:lang w:val="en-US"/>
        </w:rPr>
        <w:t>15</w:t>
      </w:r>
      <w:r w:rsidRPr="00727324">
        <w:rPr>
          <w:rFonts w:ascii="Bookman Old Style" w:hAnsi="Bookman Old Style" w:cs="Arial"/>
          <w:sz w:val="24"/>
          <w:szCs w:val="24"/>
          <w:lang w:val="en-US"/>
        </w:rPr>
        <w:t>,</w:t>
      </w:r>
      <w:r>
        <w:rPr>
          <w:rFonts w:ascii="Bookman Old Style" w:hAnsi="Bookman Old Style" w:cs="Arial"/>
          <w:sz w:val="24"/>
          <w:szCs w:val="24"/>
          <w:lang w:val="en-US"/>
        </w:rPr>
        <w:t>84</w:t>
      </w:r>
      <w:r w:rsidRPr="00727324">
        <w:rPr>
          <w:rFonts w:ascii="Bookman Old Style" w:hAnsi="Bookman Old Style" w:cs="Arial"/>
          <w:sz w:val="24"/>
          <w:szCs w:val="24"/>
          <w:lang w:val="en-US"/>
        </w:rPr>
        <w:t>%</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dari</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total</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belanja</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daerah</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dalam</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Rancangan</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Peraturan</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Daerah</w:t>
      </w:r>
      <w:r w:rsidR="00A954D0">
        <w:rPr>
          <w:rFonts w:ascii="Bookman Old Style" w:hAnsi="Bookman Old Style" w:cs="Gill Sans Light (Arabid)"/>
          <w:bCs/>
          <w:sz w:val="24"/>
          <w:szCs w:val="24"/>
          <w:lang w:eastAsia="id-ID"/>
        </w:rPr>
        <w:t xml:space="preserve"> </w:t>
      </w:r>
      <w:r w:rsidRPr="000C1F56">
        <w:rPr>
          <w:rFonts w:ascii="Bookman Old Style" w:hAnsi="Bookman Old Style"/>
          <w:sz w:val="24"/>
          <w:szCs w:val="24"/>
          <w:lang w:val="fi-FI"/>
        </w:rPr>
        <w:t>Kota</w:t>
      </w:r>
      <w:r w:rsidR="00A954D0">
        <w:rPr>
          <w:rFonts w:ascii="Bookman Old Style" w:hAnsi="Bookman Old Style"/>
          <w:sz w:val="24"/>
          <w:szCs w:val="24"/>
          <w:lang w:val="fi-FI"/>
        </w:rPr>
        <w:t xml:space="preserve"> </w:t>
      </w:r>
      <w:r>
        <w:rPr>
          <w:rFonts w:ascii="Bookman Old Style" w:hAnsi="Bookman Old Style"/>
          <w:sz w:val="24"/>
          <w:szCs w:val="24"/>
          <w:lang w:val="fi-FI"/>
        </w:rPr>
        <w:lastRenderedPageBreak/>
        <w:t>Tangerang</w:t>
      </w:r>
      <w:r w:rsidR="00A954D0">
        <w:rPr>
          <w:rFonts w:ascii="Bookman Old Style" w:hAnsi="Bookman Old Style"/>
          <w:sz w:val="24"/>
          <w:szCs w:val="24"/>
        </w:rPr>
        <w:t xml:space="preserve"> </w:t>
      </w:r>
      <w:r w:rsidRPr="00727324">
        <w:rPr>
          <w:rFonts w:ascii="Bookman Old Style" w:hAnsi="Bookman Old Style" w:cs="Gill Sans Light (Arabid)"/>
          <w:bCs/>
          <w:sz w:val="24"/>
          <w:szCs w:val="24"/>
          <w:lang w:eastAsia="id-ID"/>
        </w:rPr>
        <w:t>tentang</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APBD</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Tahun</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Anggaran</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202</w:t>
      </w:r>
      <w:r w:rsidRPr="00727324">
        <w:rPr>
          <w:rFonts w:ascii="Bookman Old Style" w:hAnsi="Bookman Old Style" w:cs="Gill Sans Light (Arabid)"/>
          <w:bCs/>
          <w:sz w:val="24"/>
          <w:szCs w:val="24"/>
          <w:lang w:val="en-US" w:eastAsia="id-ID"/>
        </w:rPr>
        <w:t>5</w:t>
      </w:r>
      <w:r w:rsidRPr="00727324">
        <w:rPr>
          <w:rFonts w:ascii="Bookman Old Style" w:hAnsi="Bookman Old Style" w:cs="Gill Sans Light (Arabid)"/>
          <w:bCs/>
          <w:sz w:val="24"/>
          <w:szCs w:val="24"/>
          <w:lang w:eastAsia="id-ID"/>
        </w:rPr>
        <w:t>,</w:t>
      </w:r>
      <w:r w:rsidR="00A954D0">
        <w:rPr>
          <w:rFonts w:ascii="Bookman Old Style" w:hAnsi="Bookman Old Style" w:cs="Gill Sans Light (Arabid)"/>
          <w:bCs/>
          <w:sz w:val="24"/>
          <w:szCs w:val="24"/>
          <w:lang w:eastAsia="id-ID"/>
        </w:rPr>
        <w:t xml:space="preserve"> </w:t>
      </w:r>
      <w:r w:rsidRPr="00727324">
        <w:rPr>
          <w:rFonts w:ascii="Bookman Old Style" w:hAnsi="Bookman Old Style"/>
          <w:sz w:val="24"/>
          <w:szCs w:val="24"/>
        </w:rPr>
        <w:t>dianggarkan</w:t>
      </w:r>
      <w:r w:rsidR="00A954D0">
        <w:rPr>
          <w:rFonts w:ascii="Bookman Old Style" w:hAnsi="Bookman Old Style"/>
          <w:sz w:val="24"/>
          <w:szCs w:val="24"/>
        </w:rPr>
        <w:t xml:space="preserve"> </w:t>
      </w:r>
      <w:r w:rsidRPr="00727324">
        <w:rPr>
          <w:rFonts w:ascii="Bookman Old Style" w:hAnsi="Bookman Old Style"/>
          <w:sz w:val="24"/>
          <w:szCs w:val="24"/>
        </w:rPr>
        <w:t>dengan</w:t>
      </w:r>
      <w:r w:rsidR="00A954D0">
        <w:rPr>
          <w:rFonts w:ascii="Bookman Old Style" w:hAnsi="Bookman Old Style"/>
          <w:sz w:val="24"/>
          <w:szCs w:val="24"/>
        </w:rPr>
        <w:t xml:space="preserve"> </w:t>
      </w:r>
      <w:r w:rsidRPr="00727324">
        <w:rPr>
          <w:rFonts w:ascii="Bookman Old Style" w:hAnsi="Bookman Old Style" w:cs="Arial"/>
          <w:sz w:val="24"/>
          <w:szCs w:val="24"/>
        </w:rPr>
        <w:t>memperhitungkan</w:t>
      </w:r>
      <w:r w:rsidR="00A954D0">
        <w:rPr>
          <w:rFonts w:ascii="Bookman Old Style" w:hAnsi="Bookman Old Style" w:cs="Arial"/>
          <w:sz w:val="24"/>
          <w:szCs w:val="24"/>
        </w:rPr>
        <w:t xml:space="preserve"> </w:t>
      </w:r>
      <w:r w:rsidRPr="00727324">
        <w:rPr>
          <w:rFonts w:ascii="Bookman Old Style" w:hAnsi="Bookman Old Style" w:cs="Arial"/>
          <w:sz w:val="24"/>
          <w:szCs w:val="24"/>
        </w:rPr>
        <w:t>rencana</w:t>
      </w:r>
      <w:r w:rsidR="00A954D0">
        <w:rPr>
          <w:rFonts w:ascii="Bookman Old Style" w:hAnsi="Bookman Old Style" w:cs="Arial"/>
          <w:sz w:val="24"/>
          <w:szCs w:val="24"/>
        </w:rPr>
        <w:t xml:space="preserve"> </w:t>
      </w:r>
      <w:r w:rsidRPr="00727324">
        <w:rPr>
          <w:rFonts w:ascii="Bookman Old Style" w:hAnsi="Bookman Old Style" w:cs="Arial"/>
          <w:sz w:val="24"/>
          <w:szCs w:val="24"/>
        </w:rPr>
        <w:t>kenaikan</w:t>
      </w:r>
      <w:r w:rsidR="00A954D0">
        <w:rPr>
          <w:rFonts w:ascii="Bookman Old Style" w:hAnsi="Bookman Old Style" w:cs="Arial"/>
          <w:sz w:val="24"/>
          <w:szCs w:val="24"/>
        </w:rPr>
        <w:t xml:space="preserve"> </w:t>
      </w:r>
      <w:r w:rsidRPr="00727324">
        <w:rPr>
          <w:rFonts w:ascii="Bookman Old Style" w:hAnsi="Bookman Old Style" w:cs="Arial"/>
          <w:sz w:val="24"/>
          <w:szCs w:val="24"/>
        </w:rPr>
        <w:t>gaji</w:t>
      </w:r>
      <w:r w:rsidR="00A954D0">
        <w:rPr>
          <w:rFonts w:ascii="Bookman Old Style" w:hAnsi="Bookman Old Style" w:cs="Arial"/>
          <w:sz w:val="24"/>
          <w:szCs w:val="24"/>
        </w:rPr>
        <w:t xml:space="preserve"> </w:t>
      </w:r>
      <w:r w:rsidRPr="00727324">
        <w:rPr>
          <w:rFonts w:ascii="Bookman Old Style" w:hAnsi="Bookman Old Style" w:cs="Arial"/>
          <w:sz w:val="24"/>
          <w:szCs w:val="24"/>
        </w:rPr>
        <w:t>pokok</w:t>
      </w:r>
      <w:r w:rsidR="00A954D0">
        <w:rPr>
          <w:rFonts w:ascii="Bookman Old Style" w:hAnsi="Bookman Old Style" w:cs="Arial"/>
          <w:sz w:val="24"/>
          <w:szCs w:val="24"/>
        </w:rPr>
        <w:t xml:space="preserve"> </w:t>
      </w:r>
      <w:r w:rsidRPr="00727324">
        <w:rPr>
          <w:rFonts w:ascii="Bookman Old Style" w:hAnsi="Bookman Old Style" w:cs="Arial"/>
          <w:sz w:val="24"/>
          <w:szCs w:val="24"/>
        </w:rPr>
        <w:t>dan</w:t>
      </w:r>
      <w:r w:rsidR="00A954D0">
        <w:rPr>
          <w:rFonts w:ascii="Bookman Old Style" w:hAnsi="Bookman Old Style" w:cs="Arial"/>
          <w:sz w:val="24"/>
          <w:szCs w:val="24"/>
        </w:rPr>
        <w:t xml:space="preserve"> </w:t>
      </w:r>
      <w:r w:rsidRPr="00727324">
        <w:rPr>
          <w:rFonts w:ascii="Bookman Old Style" w:hAnsi="Bookman Old Style" w:cs="Arial"/>
          <w:sz w:val="24"/>
          <w:szCs w:val="24"/>
        </w:rPr>
        <w:t>tunjangan</w:t>
      </w:r>
      <w:r w:rsidR="00A954D0">
        <w:rPr>
          <w:rFonts w:ascii="Bookman Old Style" w:hAnsi="Bookman Old Style" w:cs="Arial"/>
          <w:sz w:val="24"/>
          <w:szCs w:val="24"/>
        </w:rPr>
        <w:t xml:space="preserve"> </w:t>
      </w:r>
      <w:r w:rsidRPr="00727324">
        <w:rPr>
          <w:rFonts w:ascii="Bookman Old Style" w:hAnsi="Bookman Old Style" w:cs="Arial"/>
          <w:sz w:val="24"/>
          <w:szCs w:val="24"/>
        </w:rPr>
        <w:t>ASN</w:t>
      </w:r>
      <w:r w:rsidR="00A954D0">
        <w:rPr>
          <w:rFonts w:ascii="Bookman Old Style" w:hAnsi="Bookman Old Style" w:cs="Arial"/>
          <w:sz w:val="24"/>
          <w:szCs w:val="24"/>
        </w:rPr>
        <w:t xml:space="preserve"> </w:t>
      </w:r>
      <w:r w:rsidRPr="00727324">
        <w:rPr>
          <w:rFonts w:ascii="Bookman Old Style" w:hAnsi="Bookman Old Style" w:cs="Arial"/>
          <w:sz w:val="24"/>
          <w:szCs w:val="24"/>
        </w:rPr>
        <w:t>serta</w:t>
      </w:r>
      <w:r w:rsidR="00A954D0">
        <w:rPr>
          <w:rFonts w:ascii="Bookman Old Style" w:hAnsi="Bookman Old Style" w:cs="Arial"/>
          <w:sz w:val="24"/>
          <w:szCs w:val="24"/>
        </w:rPr>
        <w:t xml:space="preserve"> </w:t>
      </w:r>
      <w:r w:rsidRPr="00727324">
        <w:rPr>
          <w:rFonts w:ascii="Bookman Old Style" w:hAnsi="Bookman Old Style" w:cs="Arial"/>
          <w:sz w:val="24"/>
          <w:szCs w:val="24"/>
        </w:rPr>
        <w:t>pemberian</w:t>
      </w:r>
      <w:r w:rsidR="00A954D0">
        <w:rPr>
          <w:rFonts w:ascii="Bookman Old Style" w:hAnsi="Bookman Old Style" w:cs="Arial"/>
          <w:sz w:val="24"/>
          <w:szCs w:val="24"/>
        </w:rPr>
        <w:t xml:space="preserve"> </w:t>
      </w:r>
      <w:r w:rsidRPr="00727324">
        <w:rPr>
          <w:rFonts w:ascii="Bookman Old Style" w:hAnsi="Bookman Old Style" w:cs="Arial"/>
          <w:sz w:val="24"/>
          <w:szCs w:val="24"/>
        </w:rPr>
        <w:t>gaji</w:t>
      </w:r>
      <w:r w:rsidR="00A954D0">
        <w:rPr>
          <w:rFonts w:ascii="Bookman Old Style" w:hAnsi="Bookman Old Style" w:cs="Arial"/>
          <w:sz w:val="24"/>
          <w:szCs w:val="24"/>
        </w:rPr>
        <w:t xml:space="preserve"> </w:t>
      </w:r>
      <w:r w:rsidRPr="00727324">
        <w:rPr>
          <w:rFonts w:ascii="Bookman Old Style" w:hAnsi="Bookman Old Style" w:cs="Arial"/>
          <w:sz w:val="24"/>
          <w:szCs w:val="24"/>
        </w:rPr>
        <w:t>ketiga</w:t>
      </w:r>
      <w:r w:rsidR="00A954D0">
        <w:rPr>
          <w:rFonts w:ascii="Bookman Old Style" w:hAnsi="Bookman Old Style" w:cs="Arial"/>
          <w:sz w:val="24"/>
          <w:szCs w:val="24"/>
        </w:rPr>
        <w:t xml:space="preserve"> </w:t>
      </w:r>
      <w:r w:rsidRPr="00727324">
        <w:rPr>
          <w:rFonts w:ascii="Bookman Old Style" w:hAnsi="Bookman Old Style" w:cs="Arial"/>
          <w:sz w:val="24"/>
          <w:szCs w:val="24"/>
        </w:rPr>
        <w:t>belas</w:t>
      </w:r>
      <w:r w:rsidR="00A954D0">
        <w:rPr>
          <w:rFonts w:ascii="Bookman Old Style" w:hAnsi="Bookman Old Style" w:cs="Arial"/>
          <w:sz w:val="24"/>
          <w:szCs w:val="24"/>
        </w:rPr>
        <w:t xml:space="preserve"> </w:t>
      </w:r>
      <w:r w:rsidRPr="00727324">
        <w:rPr>
          <w:rFonts w:ascii="Bookman Old Style" w:hAnsi="Bookman Old Style" w:cs="Arial"/>
          <w:sz w:val="24"/>
          <w:szCs w:val="24"/>
        </w:rPr>
        <w:t>dan</w:t>
      </w:r>
      <w:r w:rsidR="00A954D0">
        <w:rPr>
          <w:rFonts w:ascii="Bookman Old Style" w:hAnsi="Bookman Old Style" w:cs="Arial"/>
          <w:sz w:val="24"/>
          <w:szCs w:val="24"/>
        </w:rPr>
        <w:t xml:space="preserve"> </w:t>
      </w:r>
      <w:r w:rsidRPr="00727324">
        <w:rPr>
          <w:rFonts w:ascii="Bookman Old Style" w:hAnsi="Bookman Old Style" w:cs="Arial"/>
          <w:sz w:val="24"/>
          <w:szCs w:val="24"/>
        </w:rPr>
        <w:t>Tunjangan</w:t>
      </w:r>
      <w:r w:rsidR="00A954D0">
        <w:rPr>
          <w:rFonts w:ascii="Bookman Old Style" w:hAnsi="Bookman Old Style" w:cs="Arial"/>
          <w:sz w:val="24"/>
          <w:szCs w:val="24"/>
        </w:rPr>
        <w:t xml:space="preserve"> </w:t>
      </w:r>
      <w:r w:rsidRPr="00727324">
        <w:rPr>
          <w:rFonts w:ascii="Bookman Old Style" w:hAnsi="Bookman Old Style" w:cs="Arial"/>
          <w:sz w:val="24"/>
          <w:szCs w:val="24"/>
        </w:rPr>
        <w:t>Hari</w:t>
      </w:r>
      <w:r w:rsidR="00A954D0">
        <w:rPr>
          <w:rFonts w:ascii="Bookman Old Style" w:hAnsi="Bookman Old Style" w:cs="Arial"/>
          <w:sz w:val="24"/>
          <w:szCs w:val="24"/>
        </w:rPr>
        <w:t xml:space="preserve"> </w:t>
      </w:r>
      <w:r w:rsidRPr="00727324">
        <w:rPr>
          <w:rFonts w:ascii="Bookman Old Style" w:hAnsi="Bookman Old Style" w:cs="Arial"/>
          <w:sz w:val="24"/>
          <w:szCs w:val="24"/>
        </w:rPr>
        <w:t>Raya,</w:t>
      </w:r>
      <w:r w:rsidR="00A954D0">
        <w:rPr>
          <w:rFonts w:ascii="Bookman Old Style" w:hAnsi="Bookman Old Style" w:cs="Arial"/>
          <w:sz w:val="24"/>
          <w:szCs w:val="24"/>
        </w:rPr>
        <w:t xml:space="preserve"> </w:t>
      </w:r>
      <w:r w:rsidRPr="00727324">
        <w:rPr>
          <w:rFonts w:ascii="Bookman Old Style" w:hAnsi="Bookman Old Style" w:cs="Arial"/>
          <w:sz w:val="24"/>
          <w:szCs w:val="24"/>
        </w:rPr>
        <w:t>kebutuhan</w:t>
      </w:r>
      <w:r w:rsidR="00A954D0">
        <w:rPr>
          <w:rFonts w:ascii="Bookman Old Style" w:hAnsi="Bookman Old Style" w:cs="Arial"/>
          <w:sz w:val="24"/>
          <w:szCs w:val="24"/>
        </w:rPr>
        <w:t xml:space="preserve"> </w:t>
      </w:r>
      <w:r w:rsidRPr="00727324">
        <w:rPr>
          <w:rFonts w:ascii="Bookman Old Style" w:hAnsi="Bookman Old Style" w:cs="Arial"/>
          <w:sz w:val="24"/>
          <w:szCs w:val="24"/>
        </w:rPr>
        <w:t>pengangkatan</w:t>
      </w:r>
      <w:r w:rsidR="00A954D0">
        <w:rPr>
          <w:rFonts w:ascii="Bookman Old Style" w:hAnsi="Bookman Old Style" w:cs="Arial"/>
          <w:sz w:val="24"/>
          <w:szCs w:val="24"/>
        </w:rPr>
        <w:t xml:space="preserve"> </w:t>
      </w:r>
      <w:r w:rsidRPr="00727324">
        <w:rPr>
          <w:rFonts w:ascii="Bookman Old Style" w:hAnsi="Bookman Old Style" w:cs="Arial"/>
          <w:sz w:val="24"/>
          <w:szCs w:val="24"/>
        </w:rPr>
        <w:t>Calon</w:t>
      </w:r>
      <w:r w:rsidR="00A954D0">
        <w:rPr>
          <w:rFonts w:ascii="Bookman Old Style" w:hAnsi="Bookman Old Style" w:cs="Arial"/>
          <w:sz w:val="24"/>
          <w:szCs w:val="24"/>
        </w:rPr>
        <w:t xml:space="preserve"> </w:t>
      </w:r>
      <w:r w:rsidRPr="00727324">
        <w:rPr>
          <w:rFonts w:ascii="Bookman Old Style" w:hAnsi="Bookman Old Style" w:cs="Arial"/>
          <w:sz w:val="24"/>
          <w:szCs w:val="24"/>
        </w:rPr>
        <w:t>ASN</w:t>
      </w:r>
      <w:r w:rsidR="00A954D0">
        <w:rPr>
          <w:rFonts w:ascii="Bookman Old Style" w:hAnsi="Bookman Old Style" w:cs="Arial"/>
          <w:sz w:val="24"/>
          <w:szCs w:val="24"/>
        </w:rPr>
        <w:t xml:space="preserve"> </w:t>
      </w:r>
      <w:r w:rsidRPr="00727324">
        <w:rPr>
          <w:rFonts w:ascii="Bookman Old Style" w:hAnsi="Bookman Old Style" w:cs="Arial"/>
          <w:sz w:val="24"/>
          <w:szCs w:val="24"/>
        </w:rPr>
        <w:t>sesuai</w:t>
      </w:r>
      <w:r w:rsidR="00A954D0">
        <w:rPr>
          <w:rFonts w:ascii="Bookman Old Style" w:hAnsi="Bookman Old Style" w:cs="Arial"/>
          <w:sz w:val="24"/>
          <w:szCs w:val="24"/>
        </w:rPr>
        <w:t xml:space="preserve"> </w:t>
      </w:r>
      <w:r w:rsidRPr="00727324">
        <w:rPr>
          <w:rFonts w:ascii="Bookman Old Style" w:hAnsi="Bookman Old Style" w:cs="Arial"/>
          <w:sz w:val="24"/>
          <w:szCs w:val="24"/>
        </w:rPr>
        <w:t>formasi</w:t>
      </w:r>
      <w:r w:rsidR="00A954D0">
        <w:rPr>
          <w:rFonts w:ascii="Bookman Old Style" w:hAnsi="Bookman Old Style" w:cs="Arial"/>
          <w:sz w:val="24"/>
          <w:szCs w:val="24"/>
        </w:rPr>
        <w:t xml:space="preserve"> </w:t>
      </w:r>
      <w:r w:rsidRPr="00727324">
        <w:rPr>
          <w:rFonts w:ascii="Bookman Old Style" w:hAnsi="Bookman Old Style" w:cs="Arial"/>
          <w:sz w:val="24"/>
          <w:szCs w:val="24"/>
        </w:rPr>
        <w:t>pegawai</w:t>
      </w:r>
      <w:r w:rsidR="00A954D0">
        <w:rPr>
          <w:rFonts w:ascii="Bookman Old Style" w:hAnsi="Bookman Old Style" w:cs="Arial"/>
          <w:sz w:val="24"/>
          <w:szCs w:val="24"/>
        </w:rPr>
        <w:t xml:space="preserve"> </w:t>
      </w:r>
      <w:r w:rsidRPr="00A84646">
        <w:rPr>
          <w:rFonts w:ascii="Bookman Old Style" w:hAnsi="Bookman Old Style" w:cs="Arial"/>
          <w:sz w:val="24"/>
          <w:szCs w:val="24"/>
        </w:rPr>
        <w:t>Tahun</w:t>
      </w:r>
      <w:r w:rsidR="00A954D0">
        <w:rPr>
          <w:rFonts w:ascii="Bookman Old Style" w:hAnsi="Bookman Old Style" w:cs="Arial"/>
          <w:sz w:val="24"/>
          <w:szCs w:val="24"/>
        </w:rPr>
        <w:t xml:space="preserve"> </w:t>
      </w:r>
      <w:r w:rsidRPr="00A84646">
        <w:rPr>
          <w:rFonts w:ascii="Bookman Old Style" w:hAnsi="Bookman Old Style" w:cs="Arial"/>
          <w:sz w:val="24"/>
          <w:szCs w:val="24"/>
        </w:rPr>
        <w:t>202</w:t>
      </w:r>
      <w:r w:rsidR="000153C3">
        <w:rPr>
          <w:rFonts w:ascii="Bookman Old Style" w:hAnsi="Bookman Old Style" w:cs="Arial"/>
          <w:sz w:val="24"/>
          <w:szCs w:val="24"/>
        </w:rPr>
        <w:t>4</w:t>
      </w:r>
      <w:r w:rsidRPr="00A84646">
        <w:rPr>
          <w:rFonts w:ascii="Bookman Old Style" w:hAnsi="Bookman Old Style" w:cs="Arial"/>
          <w:sz w:val="24"/>
          <w:szCs w:val="24"/>
        </w:rPr>
        <w:t>,</w:t>
      </w:r>
      <w:r w:rsidR="00A954D0">
        <w:rPr>
          <w:rFonts w:ascii="Bookman Old Style" w:hAnsi="Bookman Old Style" w:cs="Arial"/>
          <w:sz w:val="24"/>
          <w:szCs w:val="24"/>
        </w:rPr>
        <w:t xml:space="preserve"> </w:t>
      </w:r>
      <w:r w:rsidRPr="00727324">
        <w:rPr>
          <w:rFonts w:ascii="Bookman Old Style" w:hAnsi="Bookman Old Style" w:cs="Arial"/>
          <w:sz w:val="24"/>
          <w:szCs w:val="24"/>
        </w:rPr>
        <w:t>kewajiban</w:t>
      </w:r>
      <w:r w:rsidR="00A954D0">
        <w:rPr>
          <w:rFonts w:ascii="Bookman Old Style" w:hAnsi="Bookman Old Style" w:cs="Arial"/>
          <w:sz w:val="24"/>
          <w:szCs w:val="24"/>
        </w:rPr>
        <w:t xml:space="preserve"> </w:t>
      </w:r>
      <w:r w:rsidRPr="00727324">
        <w:rPr>
          <w:rFonts w:ascii="Bookman Old Style" w:hAnsi="Bookman Old Style" w:cs="Arial"/>
          <w:sz w:val="24"/>
          <w:szCs w:val="24"/>
        </w:rPr>
        <w:t>penggajian</w:t>
      </w:r>
      <w:r w:rsidR="00A954D0">
        <w:rPr>
          <w:rFonts w:ascii="Bookman Old Style" w:hAnsi="Bookman Old Style" w:cs="Arial"/>
          <w:sz w:val="24"/>
          <w:szCs w:val="24"/>
        </w:rPr>
        <w:t xml:space="preserve"> </w:t>
      </w:r>
      <w:r w:rsidRPr="00727324">
        <w:rPr>
          <w:rFonts w:ascii="Bookman Old Style" w:hAnsi="Bookman Old Style" w:cs="Arial"/>
          <w:sz w:val="24"/>
          <w:szCs w:val="24"/>
        </w:rPr>
        <w:t>pengangkatan</w:t>
      </w:r>
      <w:r w:rsidR="00A954D0">
        <w:rPr>
          <w:rFonts w:ascii="Bookman Old Style" w:hAnsi="Bookman Old Style" w:cs="Arial"/>
          <w:sz w:val="24"/>
          <w:szCs w:val="24"/>
        </w:rPr>
        <w:t xml:space="preserve"> </w:t>
      </w:r>
      <w:r w:rsidRPr="00727324">
        <w:rPr>
          <w:rFonts w:ascii="Bookman Old Style" w:hAnsi="Bookman Old Style" w:cs="Arial"/>
          <w:sz w:val="24"/>
          <w:szCs w:val="24"/>
          <w:lang w:val="en-US"/>
        </w:rPr>
        <w:t>Pegawai</w:t>
      </w:r>
      <w:r w:rsidR="00A954D0">
        <w:rPr>
          <w:rFonts w:ascii="Bookman Old Style" w:hAnsi="Bookman Old Style" w:cs="Arial"/>
          <w:sz w:val="24"/>
          <w:szCs w:val="24"/>
          <w:lang w:val="en-US"/>
        </w:rPr>
        <w:t xml:space="preserve"> </w:t>
      </w:r>
      <w:r w:rsidRPr="00727324">
        <w:rPr>
          <w:rFonts w:ascii="Bookman Old Style" w:hAnsi="Bookman Old Style" w:cs="Arial"/>
          <w:sz w:val="24"/>
          <w:szCs w:val="24"/>
          <w:lang w:val="en-US"/>
        </w:rPr>
        <w:t>Pemerintah</w:t>
      </w:r>
      <w:r w:rsidR="00A954D0">
        <w:rPr>
          <w:rFonts w:ascii="Bookman Old Style" w:hAnsi="Bookman Old Style" w:cs="Arial"/>
          <w:sz w:val="24"/>
          <w:szCs w:val="24"/>
          <w:lang w:val="en-US"/>
        </w:rPr>
        <w:t xml:space="preserve"> </w:t>
      </w:r>
      <w:r w:rsidRPr="00727324">
        <w:rPr>
          <w:rFonts w:ascii="Bookman Old Style" w:hAnsi="Bookman Old Style" w:cs="Arial"/>
          <w:sz w:val="24"/>
          <w:szCs w:val="24"/>
          <w:lang w:val="en-US"/>
        </w:rPr>
        <w:t>dengan</w:t>
      </w:r>
      <w:r w:rsidR="00A954D0">
        <w:rPr>
          <w:rFonts w:ascii="Bookman Old Style" w:hAnsi="Bookman Old Style" w:cs="Arial"/>
          <w:sz w:val="24"/>
          <w:szCs w:val="24"/>
          <w:lang w:val="en-US"/>
        </w:rPr>
        <w:t xml:space="preserve"> </w:t>
      </w:r>
      <w:r w:rsidRPr="00727324">
        <w:rPr>
          <w:rFonts w:ascii="Bookman Old Style" w:hAnsi="Bookman Old Style" w:cs="Arial"/>
          <w:sz w:val="24"/>
          <w:szCs w:val="24"/>
          <w:lang w:val="en-US"/>
        </w:rPr>
        <w:t>Perjanjian</w:t>
      </w:r>
      <w:r w:rsidR="00A954D0">
        <w:rPr>
          <w:rFonts w:ascii="Bookman Old Style" w:hAnsi="Bookman Old Style" w:cs="Arial"/>
          <w:sz w:val="24"/>
          <w:szCs w:val="24"/>
          <w:lang w:val="en-US"/>
        </w:rPr>
        <w:t xml:space="preserve"> </w:t>
      </w:r>
      <w:r w:rsidRPr="00727324">
        <w:rPr>
          <w:rFonts w:ascii="Bookman Old Style" w:hAnsi="Bookman Old Style" w:cs="Arial"/>
          <w:sz w:val="24"/>
          <w:szCs w:val="24"/>
          <w:lang w:val="en-US"/>
        </w:rPr>
        <w:t>Kerja</w:t>
      </w:r>
      <w:r w:rsidR="00A954D0">
        <w:rPr>
          <w:rFonts w:ascii="Bookman Old Style" w:hAnsi="Bookman Old Style" w:cs="Arial"/>
          <w:sz w:val="24"/>
          <w:szCs w:val="24"/>
          <w:lang w:val="en-US"/>
        </w:rPr>
        <w:t xml:space="preserve"> </w:t>
      </w:r>
      <w:r w:rsidRPr="00727324">
        <w:rPr>
          <w:rFonts w:ascii="Bookman Old Style" w:hAnsi="Bookman Old Style" w:cs="Arial"/>
          <w:sz w:val="24"/>
          <w:szCs w:val="24"/>
          <w:lang w:val="en-US"/>
        </w:rPr>
        <w:t>(</w:t>
      </w:r>
      <w:r w:rsidRPr="00727324">
        <w:rPr>
          <w:rFonts w:ascii="Bookman Old Style" w:hAnsi="Bookman Old Style" w:cs="Arial"/>
          <w:sz w:val="24"/>
          <w:szCs w:val="24"/>
        </w:rPr>
        <w:t>PPPK</w:t>
      </w:r>
      <w:r w:rsidRPr="00727324">
        <w:rPr>
          <w:rFonts w:ascii="Bookman Old Style" w:hAnsi="Bookman Old Style" w:cs="Arial"/>
          <w:sz w:val="24"/>
          <w:szCs w:val="24"/>
          <w:lang w:val="en-US"/>
        </w:rPr>
        <w:t>)</w:t>
      </w:r>
      <w:r w:rsidR="00A954D0">
        <w:rPr>
          <w:rFonts w:ascii="Bookman Old Style" w:hAnsi="Bookman Old Style" w:cs="Arial"/>
          <w:sz w:val="24"/>
          <w:szCs w:val="24"/>
        </w:rPr>
        <w:t xml:space="preserve"> </w:t>
      </w:r>
      <w:r w:rsidRPr="00727324">
        <w:rPr>
          <w:rFonts w:ascii="Bookman Old Style" w:hAnsi="Bookman Old Style" w:cs="Arial"/>
          <w:sz w:val="24"/>
          <w:szCs w:val="24"/>
        </w:rPr>
        <w:t>pada</w:t>
      </w:r>
      <w:r w:rsidR="00A954D0">
        <w:rPr>
          <w:rFonts w:ascii="Bookman Old Style" w:hAnsi="Bookman Old Style" w:cs="Arial"/>
          <w:sz w:val="24"/>
          <w:szCs w:val="24"/>
        </w:rPr>
        <w:t xml:space="preserve"> </w:t>
      </w:r>
      <w:r w:rsidRPr="00727324">
        <w:rPr>
          <w:rFonts w:ascii="Bookman Old Style" w:hAnsi="Bookman Old Style" w:cs="Arial"/>
          <w:sz w:val="24"/>
          <w:szCs w:val="24"/>
        </w:rPr>
        <w:t>tahun</w:t>
      </w:r>
      <w:r w:rsidR="00A954D0">
        <w:rPr>
          <w:rFonts w:ascii="Bookman Old Style" w:hAnsi="Bookman Old Style" w:cs="Arial"/>
          <w:sz w:val="24"/>
          <w:szCs w:val="24"/>
        </w:rPr>
        <w:t xml:space="preserve"> </w:t>
      </w:r>
      <w:r w:rsidRPr="00727324">
        <w:rPr>
          <w:rFonts w:ascii="Bookman Old Style" w:hAnsi="Bookman Old Style" w:cs="Arial"/>
          <w:sz w:val="24"/>
          <w:szCs w:val="24"/>
        </w:rPr>
        <w:t>sebelumnya</w:t>
      </w:r>
      <w:r w:rsidR="00A954D0">
        <w:rPr>
          <w:rFonts w:ascii="Bookman Old Style" w:hAnsi="Bookman Old Style" w:cs="Arial"/>
          <w:sz w:val="24"/>
          <w:szCs w:val="24"/>
        </w:rPr>
        <w:t xml:space="preserve"> </w:t>
      </w:r>
      <w:r w:rsidRPr="00727324">
        <w:rPr>
          <w:rFonts w:ascii="Bookman Old Style" w:hAnsi="Bookman Old Style" w:cs="Arial"/>
          <w:sz w:val="24"/>
          <w:szCs w:val="24"/>
        </w:rPr>
        <w:t>sesuai</w:t>
      </w:r>
      <w:r w:rsidR="00A954D0">
        <w:rPr>
          <w:rFonts w:ascii="Bookman Old Style" w:hAnsi="Bookman Old Style" w:cs="Arial"/>
          <w:sz w:val="24"/>
          <w:szCs w:val="24"/>
        </w:rPr>
        <w:t xml:space="preserve"> </w:t>
      </w:r>
      <w:r w:rsidRPr="00727324">
        <w:rPr>
          <w:rFonts w:ascii="Bookman Old Style" w:hAnsi="Bookman Old Style" w:cs="Arial"/>
          <w:sz w:val="24"/>
          <w:szCs w:val="24"/>
        </w:rPr>
        <w:t>dengan</w:t>
      </w:r>
      <w:r w:rsidR="00A954D0">
        <w:rPr>
          <w:rFonts w:ascii="Bookman Old Style" w:hAnsi="Bookman Old Style" w:cs="Arial"/>
          <w:sz w:val="24"/>
          <w:szCs w:val="24"/>
        </w:rPr>
        <w:t xml:space="preserve"> </w:t>
      </w:r>
      <w:r w:rsidRPr="00727324">
        <w:rPr>
          <w:rFonts w:ascii="Bookman Old Style" w:hAnsi="Bookman Old Style" w:cs="Arial"/>
          <w:sz w:val="24"/>
          <w:szCs w:val="24"/>
        </w:rPr>
        <w:t>kebijakan</w:t>
      </w:r>
      <w:r w:rsidR="00A954D0">
        <w:rPr>
          <w:rFonts w:ascii="Bookman Old Style" w:hAnsi="Bookman Old Style" w:cs="Arial"/>
          <w:sz w:val="24"/>
          <w:szCs w:val="24"/>
        </w:rPr>
        <w:t xml:space="preserve"> </w:t>
      </w:r>
      <w:r w:rsidRPr="00727324">
        <w:rPr>
          <w:rFonts w:ascii="Bookman Old Style" w:hAnsi="Bookman Old Style" w:cs="Arial"/>
          <w:sz w:val="24"/>
          <w:szCs w:val="24"/>
        </w:rPr>
        <w:t>formasi</w:t>
      </w:r>
      <w:r w:rsidR="00A954D0">
        <w:rPr>
          <w:rFonts w:ascii="Bookman Old Style" w:hAnsi="Bookman Old Style" w:cs="Arial"/>
          <w:sz w:val="24"/>
          <w:szCs w:val="24"/>
        </w:rPr>
        <w:t xml:space="preserve"> </w:t>
      </w:r>
      <w:r w:rsidRPr="00727324">
        <w:rPr>
          <w:rFonts w:ascii="Bookman Old Style" w:hAnsi="Bookman Old Style" w:cs="Arial"/>
          <w:sz w:val="24"/>
          <w:szCs w:val="24"/>
        </w:rPr>
        <w:t>PPPK</w:t>
      </w:r>
      <w:r w:rsidR="00A954D0">
        <w:rPr>
          <w:rFonts w:ascii="Bookman Old Style" w:hAnsi="Bookman Old Style" w:cs="Arial"/>
          <w:sz w:val="24"/>
          <w:szCs w:val="24"/>
        </w:rPr>
        <w:t xml:space="preserve"> </w:t>
      </w:r>
      <w:r w:rsidRPr="00727324">
        <w:rPr>
          <w:rFonts w:ascii="Bookman Old Style" w:hAnsi="Bookman Old Style" w:cs="Arial"/>
          <w:sz w:val="24"/>
          <w:szCs w:val="24"/>
        </w:rPr>
        <w:t>yang</w:t>
      </w:r>
      <w:r w:rsidR="00A954D0">
        <w:rPr>
          <w:rFonts w:ascii="Bookman Old Style" w:hAnsi="Bookman Old Style" w:cs="Arial"/>
          <w:sz w:val="24"/>
          <w:szCs w:val="24"/>
        </w:rPr>
        <w:t xml:space="preserve"> </w:t>
      </w:r>
      <w:r w:rsidRPr="00727324">
        <w:rPr>
          <w:rFonts w:ascii="Bookman Old Style" w:hAnsi="Bookman Old Style" w:cs="Arial"/>
          <w:sz w:val="24"/>
          <w:szCs w:val="24"/>
        </w:rPr>
        <w:t>ditetapkan</w:t>
      </w:r>
      <w:r w:rsidRPr="00727324">
        <w:rPr>
          <w:rFonts w:ascii="Bookman Old Style" w:hAnsi="Bookman Old Style" w:cs="Arial"/>
          <w:sz w:val="24"/>
          <w:szCs w:val="24"/>
          <w:lang w:val="en-US"/>
        </w:rPr>
        <w:t>,</w:t>
      </w:r>
      <w:r w:rsidR="00A954D0">
        <w:rPr>
          <w:rFonts w:ascii="Bookman Old Style" w:hAnsi="Bookman Old Style" w:cs="Arial"/>
          <w:sz w:val="24"/>
          <w:szCs w:val="24"/>
          <w:lang w:val="en-US"/>
        </w:rPr>
        <w:t xml:space="preserve"> </w:t>
      </w:r>
      <w:r w:rsidRPr="00727324">
        <w:rPr>
          <w:rFonts w:ascii="Bookman Old Style" w:hAnsi="Bookman Old Style" w:cs="Arial"/>
          <w:sz w:val="24"/>
          <w:szCs w:val="24"/>
        </w:rPr>
        <w:t>kebutuhan</w:t>
      </w:r>
      <w:r w:rsidR="00A954D0">
        <w:rPr>
          <w:rFonts w:ascii="Bookman Old Style" w:hAnsi="Bookman Old Style" w:cs="Arial"/>
          <w:sz w:val="24"/>
          <w:szCs w:val="24"/>
        </w:rPr>
        <w:t xml:space="preserve"> </w:t>
      </w:r>
      <w:r w:rsidRPr="00727324">
        <w:rPr>
          <w:rFonts w:ascii="Bookman Old Style" w:hAnsi="Bookman Old Style" w:cs="Arial"/>
          <w:sz w:val="24"/>
          <w:szCs w:val="24"/>
        </w:rPr>
        <w:t>kenaikan</w:t>
      </w:r>
      <w:r w:rsidR="00A954D0">
        <w:rPr>
          <w:rFonts w:ascii="Bookman Old Style" w:hAnsi="Bookman Old Style" w:cs="Arial"/>
          <w:sz w:val="24"/>
          <w:szCs w:val="24"/>
        </w:rPr>
        <w:t xml:space="preserve"> </w:t>
      </w:r>
      <w:r w:rsidRPr="00727324">
        <w:rPr>
          <w:rFonts w:ascii="Bookman Old Style" w:hAnsi="Bookman Old Style" w:cs="Arial"/>
          <w:sz w:val="24"/>
          <w:szCs w:val="24"/>
        </w:rPr>
        <w:t>gaji</w:t>
      </w:r>
      <w:r w:rsidR="00A954D0">
        <w:rPr>
          <w:rFonts w:ascii="Bookman Old Style" w:hAnsi="Bookman Old Style" w:cs="Arial"/>
          <w:sz w:val="24"/>
          <w:szCs w:val="24"/>
        </w:rPr>
        <w:t xml:space="preserve"> </w:t>
      </w:r>
      <w:r w:rsidRPr="00727324">
        <w:rPr>
          <w:rFonts w:ascii="Bookman Old Style" w:hAnsi="Bookman Old Style" w:cs="Arial"/>
          <w:sz w:val="24"/>
          <w:szCs w:val="24"/>
        </w:rPr>
        <w:t>berkala,</w:t>
      </w:r>
      <w:r w:rsidR="00A954D0">
        <w:rPr>
          <w:rFonts w:ascii="Bookman Old Style" w:hAnsi="Bookman Old Style" w:cs="Arial"/>
          <w:sz w:val="24"/>
          <w:szCs w:val="24"/>
        </w:rPr>
        <w:t xml:space="preserve"> </w:t>
      </w:r>
      <w:r w:rsidRPr="00727324">
        <w:rPr>
          <w:rFonts w:ascii="Bookman Old Style" w:hAnsi="Bookman Old Style" w:cs="Arial"/>
          <w:sz w:val="24"/>
          <w:szCs w:val="24"/>
        </w:rPr>
        <w:t>kenaikan</w:t>
      </w:r>
      <w:r w:rsidR="00A954D0">
        <w:rPr>
          <w:rFonts w:ascii="Bookman Old Style" w:hAnsi="Bookman Old Style" w:cs="Arial"/>
          <w:sz w:val="24"/>
          <w:szCs w:val="24"/>
        </w:rPr>
        <w:t xml:space="preserve"> </w:t>
      </w:r>
      <w:r w:rsidRPr="00727324">
        <w:rPr>
          <w:rFonts w:ascii="Bookman Old Style" w:hAnsi="Bookman Old Style" w:cs="Arial"/>
          <w:sz w:val="24"/>
          <w:szCs w:val="24"/>
        </w:rPr>
        <w:t>pangkat,</w:t>
      </w:r>
      <w:r w:rsidR="00A954D0">
        <w:rPr>
          <w:rFonts w:ascii="Bookman Old Style" w:hAnsi="Bookman Old Style" w:cs="Arial"/>
          <w:sz w:val="24"/>
          <w:szCs w:val="24"/>
        </w:rPr>
        <w:t xml:space="preserve"> </w:t>
      </w:r>
      <w:r w:rsidRPr="00727324">
        <w:rPr>
          <w:rFonts w:ascii="Bookman Old Style" w:hAnsi="Bookman Old Style" w:cs="Arial"/>
          <w:sz w:val="24"/>
          <w:szCs w:val="24"/>
        </w:rPr>
        <w:t>tunjangan</w:t>
      </w:r>
      <w:r w:rsidR="00A954D0">
        <w:rPr>
          <w:rFonts w:ascii="Bookman Old Style" w:hAnsi="Bookman Old Style" w:cs="Arial"/>
          <w:sz w:val="24"/>
          <w:szCs w:val="24"/>
        </w:rPr>
        <w:t xml:space="preserve"> </w:t>
      </w:r>
      <w:r w:rsidRPr="00727324">
        <w:rPr>
          <w:rFonts w:ascii="Bookman Old Style" w:hAnsi="Bookman Old Style" w:cs="Arial"/>
          <w:sz w:val="24"/>
          <w:szCs w:val="24"/>
        </w:rPr>
        <w:t>keluarga</w:t>
      </w:r>
      <w:r w:rsidR="00A954D0">
        <w:rPr>
          <w:rFonts w:ascii="Bookman Old Style" w:hAnsi="Bookman Old Style" w:cs="Arial"/>
          <w:sz w:val="24"/>
          <w:szCs w:val="24"/>
        </w:rPr>
        <w:t xml:space="preserve"> </w:t>
      </w:r>
      <w:r w:rsidRPr="00727324">
        <w:rPr>
          <w:rFonts w:ascii="Bookman Old Style" w:hAnsi="Bookman Old Style" w:cs="Arial"/>
          <w:sz w:val="24"/>
          <w:szCs w:val="24"/>
        </w:rPr>
        <w:t>dan</w:t>
      </w:r>
      <w:r w:rsidR="00A954D0">
        <w:rPr>
          <w:rFonts w:ascii="Bookman Old Style" w:hAnsi="Bookman Old Style" w:cs="Arial"/>
          <w:sz w:val="24"/>
          <w:szCs w:val="24"/>
        </w:rPr>
        <w:t xml:space="preserve"> </w:t>
      </w:r>
      <w:r w:rsidRPr="00727324">
        <w:rPr>
          <w:rFonts w:ascii="Bookman Old Style" w:hAnsi="Bookman Old Style" w:cs="Arial"/>
          <w:sz w:val="24"/>
          <w:szCs w:val="24"/>
        </w:rPr>
        <w:t>mutasi</w:t>
      </w:r>
      <w:r w:rsidR="00A954D0">
        <w:rPr>
          <w:rFonts w:ascii="Bookman Old Style" w:hAnsi="Bookman Old Style" w:cs="Arial"/>
          <w:sz w:val="24"/>
          <w:szCs w:val="24"/>
        </w:rPr>
        <w:t xml:space="preserve"> </w:t>
      </w:r>
      <w:r w:rsidRPr="00727324">
        <w:rPr>
          <w:rFonts w:ascii="Bookman Old Style" w:hAnsi="Bookman Old Style" w:cs="Arial"/>
          <w:sz w:val="24"/>
          <w:szCs w:val="24"/>
        </w:rPr>
        <w:t>pegawai</w:t>
      </w:r>
      <w:r w:rsidR="00A954D0">
        <w:rPr>
          <w:rFonts w:ascii="Bookman Old Style" w:hAnsi="Bookman Old Style" w:cs="Arial"/>
          <w:sz w:val="24"/>
          <w:szCs w:val="24"/>
        </w:rPr>
        <w:t xml:space="preserve"> </w:t>
      </w:r>
      <w:r w:rsidRPr="00727324">
        <w:rPr>
          <w:rFonts w:ascii="Bookman Old Style" w:hAnsi="Bookman Old Style" w:cs="Arial"/>
          <w:sz w:val="24"/>
          <w:szCs w:val="24"/>
        </w:rPr>
        <w:t>dengan</w:t>
      </w:r>
      <w:r w:rsidR="00A954D0">
        <w:rPr>
          <w:rFonts w:ascii="Bookman Old Style" w:hAnsi="Bookman Old Style" w:cs="Arial"/>
          <w:sz w:val="24"/>
          <w:szCs w:val="24"/>
        </w:rPr>
        <w:t xml:space="preserve"> </w:t>
      </w:r>
      <w:r w:rsidRPr="00727324">
        <w:rPr>
          <w:rFonts w:ascii="Bookman Old Style" w:hAnsi="Bookman Old Style" w:cs="Arial"/>
          <w:sz w:val="24"/>
          <w:szCs w:val="24"/>
        </w:rPr>
        <w:t>memperhitungkan</w:t>
      </w:r>
      <w:r w:rsidR="00A954D0">
        <w:rPr>
          <w:rFonts w:ascii="Bookman Old Style" w:hAnsi="Bookman Old Style" w:cs="Arial"/>
          <w:sz w:val="24"/>
          <w:szCs w:val="24"/>
        </w:rPr>
        <w:t xml:space="preserve"> </w:t>
      </w:r>
      <w:r w:rsidRPr="00727324">
        <w:rPr>
          <w:rFonts w:ascii="Bookman Old Style" w:hAnsi="Bookman Old Style" w:cs="Arial"/>
          <w:i/>
          <w:sz w:val="24"/>
          <w:szCs w:val="24"/>
        </w:rPr>
        <w:t>acress</w:t>
      </w:r>
      <w:r w:rsidR="00A954D0">
        <w:rPr>
          <w:rFonts w:ascii="Bookman Old Style" w:hAnsi="Bookman Old Style" w:cs="Arial"/>
          <w:sz w:val="24"/>
          <w:szCs w:val="24"/>
        </w:rPr>
        <w:t xml:space="preserve"> </w:t>
      </w:r>
      <w:r w:rsidRPr="00727324">
        <w:rPr>
          <w:rFonts w:ascii="Bookman Old Style" w:hAnsi="Bookman Old Style" w:cs="Arial"/>
          <w:sz w:val="24"/>
          <w:szCs w:val="24"/>
        </w:rPr>
        <w:t>yang</w:t>
      </w:r>
      <w:r w:rsidR="00A954D0">
        <w:rPr>
          <w:rFonts w:ascii="Bookman Old Style" w:hAnsi="Bookman Old Style" w:cs="Arial"/>
          <w:sz w:val="24"/>
          <w:szCs w:val="24"/>
        </w:rPr>
        <w:t xml:space="preserve"> </w:t>
      </w:r>
      <w:r w:rsidRPr="00727324">
        <w:rPr>
          <w:rFonts w:ascii="Bookman Old Style" w:hAnsi="Bookman Old Style" w:cs="Arial"/>
          <w:sz w:val="24"/>
          <w:szCs w:val="24"/>
        </w:rPr>
        <w:t>besarnya</w:t>
      </w:r>
      <w:r w:rsidR="00A954D0">
        <w:rPr>
          <w:rFonts w:ascii="Bookman Old Style" w:hAnsi="Bookman Old Style" w:cs="Arial"/>
          <w:sz w:val="24"/>
          <w:szCs w:val="24"/>
        </w:rPr>
        <w:t xml:space="preserve"> </w:t>
      </w:r>
      <w:r w:rsidRPr="00727324">
        <w:rPr>
          <w:rFonts w:ascii="Bookman Old Style" w:hAnsi="Bookman Old Style" w:cs="Arial"/>
          <w:sz w:val="24"/>
          <w:szCs w:val="24"/>
        </w:rPr>
        <w:t>maksimum</w:t>
      </w:r>
      <w:r w:rsidR="00A954D0">
        <w:rPr>
          <w:rFonts w:ascii="Bookman Old Style" w:hAnsi="Bookman Old Style" w:cs="Arial"/>
          <w:sz w:val="24"/>
          <w:szCs w:val="24"/>
        </w:rPr>
        <w:t xml:space="preserve"> </w:t>
      </w:r>
      <w:r w:rsidRPr="00727324">
        <w:rPr>
          <w:rFonts w:ascii="Bookman Old Style" w:hAnsi="Bookman Old Style" w:cs="Arial"/>
          <w:sz w:val="24"/>
          <w:szCs w:val="24"/>
        </w:rPr>
        <w:t>2,5%</w:t>
      </w:r>
      <w:r w:rsidR="00A954D0">
        <w:rPr>
          <w:rFonts w:ascii="Bookman Old Style" w:hAnsi="Bookman Old Style" w:cs="Arial"/>
          <w:sz w:val="24"/>
          <w:szCs w:val="24"/>
        </w:rPr>
        <w:t xml:space="preserve"> </w:t>
      </w:r>
      <w:r w:rsidRPr="00727324">
        <w:rPr>
          <w:rFonts w:ascii="Bookman Old Style" w:hAnsi="Bookman Old Style" w:cs="Arial"/>
          <w:sz w:val="24"/>
          <w:szCs w:val="24"/>
        </w:rPr>
        <w:t>(dua</w:t>
      </w:r>
      <w:r w:rsidR="00A954D0">
        <w:rPr>
          <w:rFonts w:ascii="Bookman Old Style" w:hAnsi="Bookman Old Style" w:cs="Arial"/>
          <w:sz w:val="24"/>
          <w:szCs w:val="24"/>
        </w:rPr>
        <w:t xml:space="preserve"> </w:t>
      </w:r>
      <w:r w:rsidRPr="00727324">
        <w:rPr>
          <w:rFonts w:ascii="Bookman Old Style" w:hAnsi="Bookman Old Style" w:cs="Arial"/>
          <w:sz w:val="24"/>
          <w:szCs w:val="24"/>
        </w:rPr>
        <w:t>koma</w:t>
      </w:r>
      <w:r w:rsidR="00A954D0">
        <w:rPr>
          <w:rFonts w:ascii="Bookman Old Style" w:hAnsi="Bookman Old Style" w:cs="Arial"/>
          <w:sz w:val="24"/>
          <w:szCs w:val="24"/>
        </w:rPr>
        <w:t xml:space="preserve"> </w:t>
      </w:r>
      <w:r w:rsidRPr="00727324">
        <w:rPr>
          <w:rFonts w:ascii="Bookman Old Style" w:hAnsi="Bookman Old Style" w:cs="Arial"/>
          <w:sz w:val="24"/>
          <w:szCs w:val="24"/>
        </w:rPr>
        <w:t>lima</w:t>
      </w:r>
      <w:r w:rsidR="00A954D0">
        <w:rPr>
          <w:rFonts w:ascii="Bookman Old Style" w:hAnsi="Bookman Old Style" w:cs="Arial"/>
          <w:sz w:val="24"/>
          <w:szCs w:val="24"/>
        </w:rPr>
        <w:t xml:space="preserve"> </w:t>
      </w:r>
      <w:r w:rsidRPr="00727324">
        <w:rPr>
          <w:rFonts w:ascii="Bookman Old Style" w:hAnsi="Bookman Old Style" w:cs="Arial"/>
          <w:sz w:val="24"/>
          <w:szCs w:val="24"/>
        </w:rPr>
        <w:t>persen)</w:t>
      </w:r>
      <w:r w:rsidR="00A954D0">
        <w:rPr>
          <w:rFonts w:ascii="Bookman Old Style" w:hAnsi="Bookman Old Style" w:cs="Arial"/>
          <w:sz w:val="24"/>
          <w:szCs w:val="24"/>
        </w:rPr>
        <w:t xml:space="preserve"> </w:t>
      </w:r>
      <w:r w:rsidRPr="00727324">
        <w:rPr>
          <w:rFonts w:ascii="Bookman Old Style" w:hAnsi="Bookman Old Style" w:cs="Arial"/>
          <w:sz w:val="24"/>
          <w:szCs w:val="24"/>
        </w:rPr>
        <w:t>dari</w:t>
      </w:r>
      <w:r w:rsidR="00A954D0">
        <w:rPr>
          <w:rFonts w:ascii="Bookman Old Style" w:hAnsi="Bookman Old Style" w:cs="Arial"/>
          <w:sz w:val="24"/>
          <w:szCs w:val="24"/>
        </w:rPr>
        <w:t xml:space="preserve"> </w:t>
      </w:r>
      <w:r w:rsidRPr="00727324">
        <w:rPr>
          <w:rFonts w:ascii="Bookman Old Style" w:hAnsi="Bookman Old Style" w:cs="Arial"/>
          <w:sz w:val="24"/>
          <w:szCs w:val="24"/>
        </w:rPr>
        <w:t>jumlah</w:t>
      </w:r>
      <w:r w:rsidR="00A954D0">
        <w:rPr>
          <w:rFonts w:ascii="Bookman Old Style" w:hAnsi="Bookman Old Style" w:cs="Arial"/>
          <w:sz w:val="24"/>
          <w:szCs w:val="24"/>
        </w:rPr>
        <w:t xml:space="preserve"> </w:t>
      </w:r>
      <w:r w:rsidRPr="00727324">
        <w:rPr>
          <w:rFonts w:ascii="Bookman Old Style" w:hAnsi="Bookman Old Style" w:cs="Arial"/>
          <w:sz w:val="24"/>
          <w:szCs w:val="24"/>
        </w:rPr>
        <w:t>belanja</w:t>
      </w:r>
      <w:r w:rsidR="00A954D0">
        <w:rPr>
          <w:rFonts w:ascii="Bookman Old Style" w:hAnsi="Bookman Old Style" w:cs="Arial"/>
          <w:sz w:val="24"/>
          <w:szCs w:val="24"/>
        </w:rPr>
        <w:t xml:space="preserve"> </w:t>
      </w:r>
      <w:r w:rsidRPr="00727324">
        <w:rPr>
          <w:rFonts w:ascii="Bookman Old Style" w:hAnsi="Bookman Old Style" w:cs="Arial"/>
          <w:sz w:val="24"/>
          <w:szCs w:val="24"/>
        </w:rPr>
        <w:t>pegawai</w:t>
      </w:r>
      <w:r w:rsidR="00A954D0">
        <w:rPr>
          <w:rFonts w:ascii="Bookman Old Style" w:hAnsi="Bookman Old Style" w:cs="Arial"/>
          <w:sz w:val="24"/>
          <w:szCs w:val="24"/>
        </w:rPr>
        <w:t xml:space="preserve"> </w:t>
      </w:r>
      <w:r w:rsidRPr="00727324">
        <w:rPr>
          <w:rFonts w:ascii="Bookman Old Style" w:hAnsi="Bookman Old Style" w:cs="Arial"/>
          <w:sz w:val="24"/>
          <w:szCs w:val="24"/>
        </w:rPr>
        <w:t>untuk</w:t>
      </w:r>
      <w:r w:rsidR="00A954D0">
        <w:rPr>
          <w:rFonts w:ascii="Bookman Old Style" w:hAnsi="Bookman Old Style" w:cs="Arial"/>
          <w:sz w:val="24"/>
          <w:szCs w:val="24"/>
        </w:rPr>
        <w:t xml:space="preserve"> </w:t>
      </w:r>
      <w:r w:rsidRPr="00727324">
        <w:rPr>
          <w:rFonts w:ascii="Bookman Old Style" w:hAnsi="Bookman Old Style" w:cs="Arial"/>
          <w:sz w:val="24"/>
          <w:szCs w:val="24"/>
        </w:rPr>
        <w:t>gaji</w:t>
      </w:r>
      <w:r w:rsidR="00A954D0">
        <w:rPr>
          <w:rFonts w:ascii="Bookman Old Style" w:hAnsi="Bookman Old Style" w:cs="Arial"/>
          <w:sz w:val="24"/>
          <w:szCs w:val="24"/>
        </w:rPr>
        <w:t xml:space="preserve"> </w:t>
      </w:r>
      <w:r w:rsidRPr="00727324">
        <w:rPr>
          <w:rFonts w:ascii="Bookman Old Style" w:hAnsi="Bookman Old Style" w:cs="Arial"/>
          <w:sz w:val="24"/>
          <w:szCs w:val="24"/>
        </w:rPr>
        <w:t>pokok</w:t>
      </w:r>
      <w:r w:rsidR="00A954D0">
        <w:rPr>
          <w:rFonts w:ascii="Bookman Old Style" w:hAnsi="Bookman Old Style" w:cs="Arial"/>
          <w:sz w:val="24"/>
          <w:szCs w:val="24"/>
        </w:rPr>
        <w:t xml:space="preserve"> </w:t>
      </w:r>
      <w:r w:rsidRPr="00727324">
        <w:rPr>
          <w:rFonts w:ascii="Bookman Old Style" w:hAnsi="Bookman Old Style" w:cs="Arial"/>
          <w:sz w:val="24"/>
          <w:szCs w:val="24"/>
        </w:rPr>
        <w:t>dan</w:t>
      </w:r>
      <w:r w:rsidR="00A954D0">
        <w:rPr>
          <w:rFonts w:ascii="Bookman Old Style" w:hAnsi="Bookman Old Style" w:cs="Arial"/>
          <w:sz w:val="24"/>
          <w:szCs w:val="24"/>
        </w:rPr>
        <w:t xml:space="preserve"> </w:t>
      </w:r>
      <w:r w:rsidRPr="00727324">
        <w:rPr>
          <w:rFonts w:ascii="Bookman Old Style" w:hAnsi="Bookman Old Style" w:cs="Arial"/>
          <w:sz w:val="24"/>
          <w:szCs w:val="24"/>
        </w:rPr>
        <w:t>tunjangan</w:t>
      </w:r>
      <w:r w:rsidRPr="00727324">
        <w:rPr>
          <w:rFonts w:ascii="Bookman Old Style" w:hAnsi="Bookman Old Style" w:cs="Arial"/>
          <w:sz w:val="24"/>
          <w:szCs w:val="24"/>
          <w:lang w:val="en-US"/>
        </w:rPr>
        <w:t>,</w:t>
      </w:r>
      <w:r w:rsidR="00A954D0">
        <w:rPr>
          <w:rFonts w:ascii="Bookman Old Style" w:hAnsi="Bookman Old Style" w:cs="Arial"/>
          <w:sz w:val="24"/>
          <w:szCs w:val="24"/>
        </w:rPr>
        <w:t xml:space="preserve"> </w:t>
      </w:r>
      <w:r w:rsidRPr="00727324">
        <w:rPr>
          <w:rFonts w:ascii="Bookman Old Style" w:hAnsi="Bookman Old Style" w:cs="Arial"/>
          <w:sz w:val="24"/>
          <w:szCs w:val="24"/>
          <w:lang w:val="en-US"/>
        </w:rPr>
        <w:t>sebagaimana</w:t>
      </w:r>
      <w:r w:rsidR="00A954D0">
        <w:rPr>
          <w:rFonts w:ascii="Bookman Old Style" w:hAnsi="Bookman Old Style" w:cs="Arial"/>
          <w:sz w:val="24"/>
          <w:szCs w:val="24"/>
          <w:lang w:val="en-US"/>
        </w:rPr>
        <w:t xml:space="preserve"> </w:t>
      </w:r>
      <w:r w:rsidRPr="00727324">
        <w:rPr>
          <w:rFonts w:ascii="Bookman Old Style" w:hAnsi="Bookman Old Style" w:cs="Arial"/>
          <w:sz w:val="24"/>
          <w:szCs w:val="24"/>
        </w:rPr>
        <w:t>maksud</w:t>
      </w:r>
      <w:r w:rsidR="00A954D0">
        <w:rPr>
          <w:rFonts w:ascii="Bookman Old Style" w:hAnsi="Bookman Old Style" w:cs="Arial"/>
          <w:sz w:val="24"/>
          <w:szCs w:val="24"/>
        </w:rPr>
        <w:t xml:space="preserve"> </w:t>
      </w:r>
      <w:r w:rsidRPr="00727324">
        <w:rPr>
          <w:rFonts w:ascii="Bookman Old Style" w:hAnsi="Bookman Old Style" w:cs="Arial"/>
          <w:sz w:val="24"/>
          <w:szCs w:val="24"/>
        </w:rPr>
        <w:t>butir</w:t>
      </w:r>
      <w:r w:rsidR="00A954D0">
        <w:rPr>
          <w:rFonts w:ascii="Bookman Old Style" w:hAnsi="Bookman Old Style" w:cs="Arial"/>
          <w:sz w:val="24"/>
          <w:szCs w:val="24"/>
        </w:rPr>
        <w:t xml:space="preserve"> </w:t>
      </w:r>
      <w:r w:rsidRPr="00727324">
        <w:rPr>
          <w:rFonts w:ascii="Bookman Old Style" w:hAnsi="Bookman Old Style" w:cs="Arial"/>
          <w:sz w:val="24"/>
          <w:szCs w:val="24"/>
          <w:lang w:val="en-US"/>
        </w:rPr>
        <w:t>3.4.1.1.1.c</w:t>
      </w:r>
      <w:r w:rsidR="00A954D0">
        <w:rPr>
          <w:rFonts w:ascii="Bookman Old Style" w:hAnsi="Bookman Old Style" w:cs="Arial"/>
          <w:sz w:val="24"/>
          <w:szCs w:val="24"/>
          <w:lang w:val="id-ID"/>
        </w:rPr>
        <w:t xml:space="preserve"> </w:t>
      </w:r>
      <w:r w:rsidRPr="00727324">
        <w:rPr>
          <w:rFonts w:ascii="Bookman Old Style" w:hAnsi="Bookman Old Style" w:cs="Arial"/>
          <w:sz w:val="24"/>
          <w:szCs w:val="24"/>
        </w:rPr>
        <w:t>Lampiran</w:t>
      </w:r>
      <w:r w:rsidR="00A954D0">
        <w:rPr>
          <w:rFonts w:ascii="Bookman Old Style" w:hAnsi="Bookman Old Style" w:cs="Arial"/>
          <w:sz w:val="24"/>
          <w:szCs w:val="24"/>
        </w:rPr>
        <w:t xml:space="preserve"> </w:t>
      </w:r>
      <w:r w:rsidRPr="00727324">
        <w:rPr>
          <w:rFonts w:ascii="Bookman Old Style" w:hAnsi="Bookman Old Style" w:cs="Arial"/>
          <w:sz w:val="24"/>
          <w:szCs w:val="24"/>
        </w:rPr>
        <w:t>Peraturan</w:t>
      </w:r>
      <w:r w:rsidR="00A954D0">
        <w:rPr>
          <w:rFonts w:ascii="Bookman Old Style" w:hAnsi="Bookman Old Style" w:cs="Arial"/>
          <w:sz w:val="24"/>
          <w:szCs w:val="24"/>
        </w:rPr>
        <w:t xml:space="preserve"> </w:t>
      </w:r>
      <w:r w:rsidRPr="00727324">
        <w:rPr>
          <w:rFonts w:ascii="Bookman Old Style" w:hAnsi="Bookman Old Style" w:cs="Arial"/>
          <w:sz w:val="24"/>
          <w:szCs w:val="24"/>
        </w:rPr>
        <w:t>Menteri</w:t>
      </w:r>
      <w:r w:rsidR="00A954D0">
        <w:rPr>
          <w:rFonts w:ascii="Bookman Old Style" w:hAnsi="Bookman Old Style" w:cs="Arial"/>
          <w:sz w:val="24"/>
          <w:szCs w:val="24"/>
        </w:rPr>
        <w:t xml:space="preserve"> </w:t>
      </w:r>
      <w:r w:rsidRPr="00727324">
        <w:rPr>
          <w:rFonts w:ascii="Bookman Old Style" w:hAnsi="Bookman Old Style" w:cs="Arial"/>
          <w:sz w:val="24"/>
          <w:szCs w:val="24"/>
        </w:rPr>
        <w:t>Dalam</w:t>
      </w:r>
      <w:r w:rsidR="00A954D0">
        <w:rPr>
          <w:rFonts w:ascii="Bookman Old Style" w:hAnsi="Bookman Old Style" w:cs="Arial"/>
          <w:sz w:val="24"/>
          <w:szCs w:val="24"/>
        </w:rPr>
        <w:t xml:space="preserve"> </w:t>
      </w:r>
      <w:r w:rsidRPr="00727324">
        <w:rPr>
          <w:rFonts w:ascii="Bookman Old Style" w:hAnsi="Bookman Old Style" w:cs="Arial"/>
          <w:sz w:val="24"/>
          <w:szCs w:val="24"/>
        </w:rPr>
        <w:t>Negeri</w:t>
      </w:r>
      <w:r w:rsidR="00A954D0">
        <w:rPr>
          <w:rFonts w:ascii="Bookman Old Style" w:hAnsi="Bookman Old Style" w:cs="Arial"/>
          <w:sz w:val="24"/>
          <w:szCs w:val="24"/>
        </w:rPr>
        <w:t xml:space="preserve"> </w:t>
      </w:r>
      <w:r w:rsidRPr="00727324">
        <w:rPr>
          <w:rFonts w:ascii="Bookman Old Style" w:hAnsi="Bookman Old Style" w:cs="Arial"/>
          <w:sz w:val="24"/>
          <w:szCs w:val="24"/>
        </w:rPr>
        <w:t>Nomor</w:t>
      </w:r>
      <w:r w:rsidR="00A954D0">
        <w:rPr>
          <w:rFonts w:ascii="Bookman Old Style" w:hAnsi="Bookman Old Style" w:cs="Arial"/>
          <w:sz w:val="24"/>
          <w:szCs w:val="24"/>
        </w:rPr>
        <w:t xml:space="preserve"> </w:t>
      </w:r>
      <w:r w:rsidRPr="00727324">
        <w:rPr>
          <w:rFonts w:ascii="Bookman Old Style" w:hAnsi="Bookman Old Style" w:cs="Arial"/>
          <w:sz w:val="24"/>
          <w:szCs w:val="24"/>
          <w:lang w:val="en-US"/>
        </w:rPr>
        <w:t>15</w:t>
      </w:r>
      <w:r w:rsidR="00A954D0">
        <w:rPr>
          <w:rFonts w:ascii="Bookman Old Style" w:hAnsi="Bookman Old Style" w:cs="Arial"/>
          <w:sz w:val="24"/>
          <w:szCs w:val="24"/>
        </w:rPr>
        <w:t xml:space="preserve"> </w:t>
      </w:r>
      <w:r w:rsidRPr="00727324">
        <w:rPr>
          <w:rFonts w:ascii="Bookman Old Style" w:hAnsi="Bookman Old Style" w:cs="Arial"/>
          <w:sz w:val="24"/>
          <w:szCs w:val="24"/>
        </w:rPr>
        <w:t>Tahun</w:t>
      </w:r>
      <w:r w:rsidR="00A954D0">
        <w:rPr>
          <w:rFonts w:ascii="Bookman Old Style" w:hAnsi="Bookman Old Style" w:cs="Arial"/>
          <w:sz w:val="24"/>
          <w:szCs w:val="24"/>
        </w:rPr>
        <w:t xml:space="preserve"> </w:t>
      </w:r>
      <w:r w:rsidRPr="00727324">
        <w:rPr>
          <w:rFonts w:ascii="Bookman Old Style" w:hAnsi="Bookman Old Style" w:cs="Arial"/>
          <w:sz w:val="24"/>
          <w:szCs w:val="24"/>
        </w:rPr>
        <w:t>202</w:t>
      </w:r>
      <w:r w:rsidRPr="00727324">
        <w:rPr>
          <w:rFonts w:ascii="Bookman Old Style" w:hAnsi="Bookman Old Style" w:cs="Arial"/>
          <w:sz w:val="24"/>
          <w:szCs w:val="24"/>
          <w:lang w:val="en-US"/>
        </w:rPr>
        <w:t>4</w:t>
      </w:r>
      <w:r w:rsidRPr="00727324">
        <w:rPr>
          <w:rFonts w:ascii="Bookman Old Style" w:hAnsi="Bookman Old Style"/>
          <w:sz w:val="24"/>
          <w:szCs w:val="24"/>
          <w:lang w:val="id-ID"/>
        </w:rPr>
        <w:t>.</w:t>
      </w:r>
    </w:p>
    <w:p w14:paraId="61DA7087" w14:textId="5E2467D7" w:rsidR="00510EC4" w:rsidRDefault="00510EC4" w:rsidP="00DD7D28">
      <w:pPr>
        <w:pStyle w:val="ListParagraph"/>
        <w:spacing w:before="60" w:after="0" w:line="276" w:lineRule="auto"/>
        <w:ind w:left="2268"/>
        <w:contextualSpacing w:val="0"/>
        <w:jc w:val="both"/>
        <w:rPr>
          <w:rFonts w:ascii="Bookman Old Style" w:hAnsi="Bookman Old Style"/>
          <w:sz w:val="24"/>
          <w:szCs w:val="24"/>
          <w:lang w:val="id-ID"/>
        </w:rPr>
      </w:pPr>
      <w:r>
        <w:rPr>
          <w:rFonts w:ascii="Bookman Old Style" w:hAnsi="Bookman Old Style" w:cs="Arial"/>
          <w:sz w:val="24"/>
          <w:szCs w:val="24"/>
        </w:rPr>
        <w:t>Sehubungan</w:t>
      </w:r>
      <w:r w:rsidR="00A954D0">
        <w:rPr>
          <w:rFonts w:ascii="Bookman Old Style" w:hAnsi="Bookman Old Style" w:cs="Arial"/>
          <w:sz w:val="24"/>
          <w:szCs w:val="24"/>
        </w:rPr>
        <w:t xml:space="preserve"> </w:t>
      </w:r>
      <w:r>
        <w:rPr>
          <w:rFonts w:ascii="Bookman Old Style" w:hAnsi="Bookman Old Style" w:cs="Arial"/>
          <w:sz w:val="24"/>
          <w:szCs w:val="24"/>
        </w:rPr>
        <w:t>dengan</w:t>
      </w:r>
      <w:r w:rsidR="00A954D0">
        <w:rPr>
          <w:rFonts w:ascii="Bookman Old Style" w:hAnsi="Bookman Old Style" w:cs="Arial"/>
          <w:sz w:val="24"/>
          <w:szCs w:val="24"/>
        </w:rPr>
        <w:t xml:space="preserve"> </w:t>
      </w:r>
      <w:r>
        <w:rPr>
          <w:rFonts w:ascii="Bookman Old Style" w:hAnsi="Bookman Old Style" w:cs="Arial"/>
          <w:sz w:val="24"/>
          <w:szCs w:val="24"/>
        </w:rPr>
        <w:t>hal</w:t>
      </w:r>
      <w:r w:rsidR="00A954D0">
        <w:rPr>
          <w:rFonts w:ascii="Bookman Old Style" w:hAnsi="Bookman Old Style" w:cs="Arial"/>
          <w:sz w:val="24"/>
          <w:szCs w:val="24"/>
        </w:rPr>
        <w:t xml:space="preserve"> </w:t>
      </w:r>
      <w:r>
        <w:rPr>
          <w:rFonts w:ascii="Bookman Old Style" w:hAnsi="Bookman Old Style" w:cs="Arial"/>
          <w:sz w:val="24"/>
          <w:szCs w:val="24"/>
        </w:rPr>
        <w:t>tersebut,</w:t>
      </w:r>
      <w:r w:rsidR="00A954D0">
        <w:rPr>
          <w:rFonts w:ascii="Bookman Old Style" w:hAnsi="Bookman Old Style" w:cs="Arial"/>
          <w:sz w:val="24"/>
          <w:szCs w:val="24"/>
        </w:rPr>
        <w:t xml:space="preserve"> </w:t>
      </w:r>
      <w:r>
        <w:rPr>
          <w:rFonts w:ascii="Bookman Old Style" w:hAnsi="Bookman Old Style" w:cs="Arial"/>
          <w:sz w:val="24"/>
          <w:szCs w:val="24"/>
        </w:rPr>
        <w:t>penyediaan</w:t>
      </w:r>
      <w:r w:rsidR="00A954D0">
        <w:rPr>
          <w:rFonts w:ascii="Bookman Old Style" w:hAnsi="Bookman Old Style" w:cs="Arial"/>
          <w:sz w:val="24"/>
          <w:szCs w:val="24"/>
        </w:rPr>
        <w:t xml:space="preserve"> </w:t>
      </w:r>
      <w:r>
        <w:rPr>
          <w:rFonts w:ascii="Bookman Old Style" w:hAnsi="Bookman Old Style" w:cs="Arial"/>
          <w:sz w:val="24"/>
          <w:szCs w:val="24"/>
        </w:rPr>
        <w:t>anggaran</w:t>
      </w:r>
      <w:r w:rsidR="00A954D0">
        <w:rPr>
          <w:rFonts w:ascii="Bookman Old Style" w:hAnsi="Bookman Old Style" w:cs="Arial"/>
          <w:sz w:val="24"/>
          <w:szCs w:val="24"/>
        </w:rPr>
        <w:t xml:space="preserve"> </w:t>
      </w:r>
      <w:r>
        <w:rPr>
          <w:rFonts w:ascii="Bookman Old Style" w:hAnsi="Bookman Old Style" w:cs="Arial"/>
          <w:sz w:val="24"/>
          <w:szCs w:val="24"/>
        </w:rPr>
        <w:t>belanja</w:t>
      </w:r>
      <w:r w:rsidR="00A954D0">
        <w:rPr>
          <w:rFonts w:ascii="Bookman Old Style" w:hAnsi="Bookman Old Style" w:cs="Arial"/>
          <w:sz w:val="24"/>
          <w:szCs w:val="24"/>
        </w:rPr>
        <w:t xml:space="preserve"> </w:t>
      </w:r>
      <w:r>
        <w:rPr>
          <w:rFonts w:ascii="Bookman Old Style" w:hAnsi="Bookman Old Style" w:cs="Arial"/>
          <w:sz w:val="24"/>
          <w:szCs w:val="24"/>
        </w:rPr>
        <w:t>tunjangan</w:t>
      </w:r>
      <w:r w:rsidR="00A954D0">
        <w:rPr>
          <w:rFonts w:ascii="Bookman Old Style" w:hAnsi="Bookman Old Style" w:cs="Arial"/>
          <w:sz w:val="24"/>
          <w:szCs w:val="24"/>
        </w:rPr>
        <w:t xml:space="preserve"> </w:t>
      </w:r>
      <w:r>
        <w:rPr>
          <w:rFonts w:ascii="Bookman Old Style" w:hAnsi="Bookman Old Style" w:cs="Arial"/>
          <w:sz w:val="24"/>
          <w:szCs w:val="24"/>
        </w:rPr>
        <w:t>khusus*)</w:t>
      </w:r>
      <w:r w:rsidR="00A954D0">
        <w:rPr>
          <w:rFonts w:ascii="Bookman Old Style" w:hAnsi="Bookman Old Style" w:cs="Arial"/>
          <w:sz w:val="24"/>
          <w:szCs w:val="24"/>
        </w:rPr>
        <w:t xml:space="preserve"> </w:t>
      </w:r>
      <w:r w:rsidRPr="00510EC4">
        <w:rPr>
          <w:rFonts w:ascii="Bookman Old Style" w:hAnsi="Bookman Old Style" w:cs="Arial"/>
          <w:sz w:val="24"/>
          <w:szCs w:val="24"/>
        </w:rPr>
        <w:t>Rp33.166.000,00</w:t>
      </w:r>
      <w:r w:rsidR="00A954D0">
        <w:rPr>
          <w:rFonts w:ascii="Bookman Old Style" w:hAnsi="Bookman Old Style" w:cs="Arial"/>
          <w:sz w:val="24"/>
          <w:szCs w:val="24"/>
        </w:rPr>
        <w:t xml:space="preserve"> </w:t>
      </w:r>
      <w:r w:rsidRPr="006A6CDC">
        <w:rPr>
          <w:rFonts w:ascii="Bookman Old Style" w:hAnsi="Bookman Old Style" w:cs="Arial"/>
          <w:b/>
          <w:bCs/>
          <w:sz w:val="24"/>
          <w:szCs w:val="24"/>
        </w:rPr>
        <w:t>agar</w:t>
      </w:r>
      <w:r w:rsidR="00A954D0">
        <w:rPr>
          <w:rFonts w:ascii="Bookman Old Style" w:hAnsi="Bookman Old Style" w:cs="Arial"/>
          <w:b/>
          <w:bCs/>
          <w:sz w:val="24"/>
          <w:szCs w:val="24"/>
        </w:rPr>
        <w:t xml:space="preserve"> </w:t>
      </w:r>
      <w:r w:rsidRPr="006A6CDC">
        <w:rPr>
          <w:rFonts w:ascii="Bookman Old Style" w:hAnsi="Bookman Old Style" w:cs="Arial"/>
          <w:b/>
          <w:bCs/>
          <w:sz w:val="24"/>
          <w:szCs w:val="24"/>
        </w:rPr>
        <w:t>dialihkan</w:t>
      </w:r>
      <w:r w:rsidR="00A954D0">
        <w:rPr>
          <w:rFonts w:ascii="Bookman Old Style" w:hAnsi="Bookman Old Style" w:cs="Arial"/>
          <w:sz w:val="24"/>
          <w:szCs w:val="24"/>
        </w:rPr>
        <w:t xml:space="preserve"> </w:t>
      </w:r>
      <w:r w:rsidRPr="003255BC">
        <w:rPr>
          <w:rFonts w:ascii="Bookman Old Style" w:hAnsi="Bookman Old Style" w:cs="Arial"/>
          <w:sz w:val="24"/>
          <w:szCs w:val="24"/>
          <w:lang w:val="sv-FI"/>
        </w:rPr>
        <w:t>dengan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berpedoman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pada</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Peraturan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Menteri</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Dalam</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Negeri</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Nomor</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90</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Tahun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2019,</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dan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Keputusan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Menteri</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Dalam</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Negeri</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Nomor</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050-5889</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Tahun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2021</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sebagaimana</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telah</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diubah</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beberapa</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kali</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terakhir</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dengan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Keputusan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Menteri</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Dalam</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Negeri</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Nomor</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900.1.15.5-3406</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Tahun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2024</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dan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pemutakhirannya</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sesuai</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dengan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ketentuan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peraturan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perundang</w:t>
      </w:r>
      <w:r w:rsidR="006A6CDC" w:rsidRPr="003255BC">
        <w:rPr>
          <w:rFonts w:ascii="Bookman Old Style" w:hAnsi="Bookman Old Style" w:cs="Arial"/>
          <w:sz w:val="24"/>
          <w:szCs w:val="24"/>
          <w:lang w:val="sv-FI"/>
        </w:rPr>
        <w:t>-</w:t>
      </w:r>
      <w:r w:rsidRPr="003255BC">
        <w:rPr>
          <w:rFonts w:ascii="Bookman Old Style" w:hAnsi="Bookman Old Style" w:cs="Arial"/>
          <w:sz w:val="24"/>
          <w:szCs w:val="24"/>
          <w:lang w:val="sv-FI"/>
        </w:rPr>
        <w:t>undangan</w:t>
      </w:r>
      <w:r w:rsidR="006A6CDC" w:rsidRPr="003255BC">
        <w:rPr>
          <w:rFonts w:ascii="Bookman Old Style" w:hAnsi="Bookman Old Style" w:cs="Arial"/>
          <w:sz w:val="24"/>
          <w:szCs w:val="24"/>
          <w:lang w:val="sv-FI"/>
        </w:rPr>
        <w:t>.</w:t>
      </w:r>
    </w:p>
    <w:p w14:paraId="50D7D3FD" w14:textId="504BEB0F" w:rsidR="005A4806" w:rsidRPr="00727324" w:rsidRDefault="005A4806" w:rsidP="00DD7D28">
      <w:pPr>
        <w:pStyle w:val="ListParagraph"/>
        <w:numPr>
          <w:ilvl w:val="0"/>
          <w:numId w:val="13"/>
        </w:numPr>
        <w:spacing w:before="60" w:after="0" w:line="276" w:lineRule="auto"/>
        <w:ind w:left="2268" w:hanging="567"/>
        <w:contextualSpacing w:val="0"/>
        <w:jc w:val="both"/>
        <w:rPr>
          <w:rFonts w:ascii="Bookman Old Style" w:hAnsi="Bookman Old Style" w:cs="Arial"/>
          <w:color w:val="000000" w:themeColor="text1"/>
          <w:sz w:val="24"/>
          <w:szCs w:val="24"/>
          <w:lang w:val="id-ID"/>
        </w:rPr>
      </w:pPr>
      <w:r w:rsidRPr="00727324">
        <w:rPr>
          <w:rFonts w:ascii="Bookman Old Style" w:hAnsi="Bookman Old Style"/>
          <w:color w:val="000000" w:themeColor="text1"/>
          <w:sz w:val="24"/>
          <w:szCs w:val="24"/>
        </w:rPr>
        <w:t>Belanja</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Jaminan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Kesehatan,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Jaminan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Kecelakaan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Kerja,</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dan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Jaminan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Kematian</w:t>
      </w:r>
      <w:r w:rsidR="00A954D0">
        <w:rPr>
          <w:rFonts w:ascii="Bookman Old Style" w:hAnsi="Bookman Old Style"/>
          <w:color w:val="000000" w:themeColor="text1"/>
          <w:sz w:val="24"/>
          <w:szCs w:val="24"/>
        </w:rPr>
        <w:t xml:space="preserve"> </w:t>
      </w:r>
      <w:r w:rsidRPr="00727324">
        <w:rPr>
          <w:rFonts w:ascii="Bookman Old Style" w:hAnsi="Bookman Old Style" w:cs="Arial"/>
          <w:color w:val="000000" w:themeColor="text1"/>
          <w:sz w:val="24"/>
          <w:szCs w:val="24"/>
        </w:rPr>
        <w:t>yang</w:t>
      </w:r>
      <w:r w:rsidR="00A954D0">
        <w:rPr>
          <w:rFonts w:ascii="Bookman Old Style" w:hAnsi="Bookman Old Style" w:cs="Arial"/>
          <w:color w:val="000000" w:themeColor="text1"/>
          <w:sz w:val="24"/>
          <w:szCs w:val="24"/>
        </w:rPr>
        <w:t xml:space="preserve"> </w:t>
      </w:r>
      <w:r w:rsidRPr="00727324">
        <w:rPr>
          <w:rFonts w:ascii="Bookman Old Style" w:hAnsi="Bookman Old Style" w:cs="Arial"/>
          <w:color w:val="000000" w:themeColor="text1"/>
          <w:sz w:val="24"/>
          <w:szCs w:val="24"/>
          <w:lang w:val="id-ID"/>
        </w:rPr>
        <w:t>antara</w:t>
      </w:r>
      <w:r w:rsidR="00A954D0">
        <w:rPr>
          <w:rFonts w:ascii="Bookman Old Style" w:hAnsi="Bookman Old Style" w:cs="Arial"/>
          <w:color w:val="000000" w:themeColor="text1"/>
          <w:sz w:val="24"/>
          <w:szCs w:val="24"/>
          <w:lang w:val="id-ID"/>
        </w:rPr>
        <w:t xml:space="preserve"> </w:t>
      </w:r>
      <w:r w:rsidRPr="00727324">
        <w:rPr>
          <w:rFonts w:ascii="Bookman Old Style" w:hAnsi="Bookman Old Style" w:cs="Arial"/>
          <w:color w:val="000000" w:themeColor="text1"/>
          <w:sz w:val="24"/>
          <w:szCs w:val="24"/>
          <w:lang w:val="id-ID"/>
        </w:rPr>
        <w:t>lain</w:t>
      </w:r>
      <w:r w:rsidR="00A954D0">
        <w:rPr>
          <w:rFonts w:ascii="Bookman Old Style" w:hAnsi="Bookman Old Style" w:cs="Arial"/>
          <w:color w:val="000000" w:themeColor="text1"/>
          <w:sz w:val="24"/>
          <w:szCs w:val="24"/>
          <w:lang w:val="id-ID"/>
        </w:rPr>
        <w:t xml:space="preserve"> </w:t>
      </w:r>
      <w:r w:rsidRPr="00727324">
        <w:rPr>
          <w:rFonts w:ascii="Bookman Old Style" w:hAnsi="Bookman Old Style" w:cs="Arial"/>
          <w:color w:val="000000" w:themeColor="text1"/>
          <w:sz w:val="24"/>
          <w:szCs w:val="24"/>
        </w:rPr>
        <w:t>tercantum</w:t>
      </w:r>
      <w:r w:rsidR="00A954D0">
        <w:rPr>
          <w:rFonts w:ascii="Bookman Old Style" w:hAnsi="Bookman Old Style" w:cs="Arial"/>
          <w:color w:val="000000" w:themeColor="text1"/>
          <w:sz w:val="24"/>
          <w:szCs w:val="24"/>
        </w:rPr>
        <w:t xml:space="preserve"> </w:t>
      </w:r>
      <w:r w:rsidRPr="00727324">
        <w:rPr>
          <w:rFonts w:ascii="Bookman Old Style" w:hAnsi="Bookman Old Style" w:cs="Arial"/>
          <w:color w:val="000000" w:themeColor="text1"/>
          <w:sz w:val="24"/>
          <w:szCs w:val="24"/>
        </w:rPr>
        <w:t>pada</w:t>
      </w:r>
      <w:r w:rsidRPr="00727324">
        <w:rPr>
          <w:rFonts w:ascii="Bookman Old Style" w:hAnsi="Bookman Old Style" w:cs="Arial"/>
          <w:color w:val="000000" w:themeColor="text1"/>
          <w:sz w:val="24"/>
          <w:szCs w:val="24"/>
          <w:lang w:val="fi-FI"/>
        </w:rPr>
        <w:t>:</w:t>
      </w:r>
      <w:r w:rsidR="00A954D0">
        <w:rPr>
          <w:rFonts w:ascii="Bookman Old Style" w:hAnsi="Bookman Old Style"/>
          <w:color w:val="000000" w:themeColor="text1"/>
          <w:sz w:val="24"/>
          <w:szCs w:val="24"/>
        </w:rPr>
        <w:t xml:space="preserve"> </w:t>
      </w:r>
    </w:p>
    <w:p w14:paraId="02EC5F10" w14:textId="0EAF0D8B" w:rsidR="005A4806" w:rsidRPr="00727324" w:rsidRDefault="005A4806" w:rsidP="00DD7D28">
      <w:pPr>
        <w:pStyle w:val="ListParagraph"/>
        <w:numPr>
          <w:ilvl w:val="0"/>
          <w:numId w:val="38"/>
        </w:numPr>
        <w:spacing w:before="60" w:after="0" w:line="276" w:lineRule="auto"/>
        <w:ind w:left="2694" w:hanging="425"/>
        <w:contextualSpacing w:val="0"/>
        <w:jc w:val="both"/>
        <w:rPr>
          <w:rFonts w:ascii="Bookman Old Style" w:hAnsi="Bookman Old Style"/>
          <w:color w:val="000000" w:themeColor="text1"/>
          <w:sz w:val="24"/>
          <w:szCs w:val="24"/>
          <w:lang w:val="id-ID"/>
        </w:rPr>
      </w:pPr>
      <w:r w:rsidRPr="00727324">
        <w:rPr>
          <w:rFonts w:ascii="Bookman Old Style" w:hAnsi="Bookman Old Style" w:cs="Tahoma,Bold"/>
          <w:bCs/>
          <w:color w:val="000000" w:themeColor="text1"/>
          <w:sz w:val="24"/>
          <w:szCs w:val="24"/>
          <w:lang w:val="id-ID" w:eastAsia="id-ID"/>
        </w:rPr>
        <w:t>Belanja</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Iuran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Jaminan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Kesehatan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lang w:val="id-ID"/>
        </w:rPr>
        <w:t>ASN</w:t>
      </w:r>
      <w:r w:rsidRPr="00727324">
        <w:rPr>
          <w:rFonts w:ascii="Bookman Old Style" w:hAnsi="Bookman Old Style"/>
          <w:color w:val="000000" w:themeColor="text1"/>
          <w:sz w:val="24"/>
          <w:szCs w:val="24"/>
        </w:rPr>
        <w:t>,</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Pimpinan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dan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Anggota</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DPRD,</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serta</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lang w:val="id-ID"/>
        </w:rPr>
        <w:t>KDH/WKDH</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sebagai</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berikut:</w:t>
      </w:r>
      <w:r w:rsidR="00A954D0">
        <w:rPr>
          <w:rFonts w:ascii="Bookman Old Style" w:hAnsi="Bookman Old Style"/>
          <w:color w:val="000000" w:themeColor="text1"/>
          <w:sz w:val="24"/>
          <w:szCs w:val="24"/>
        </w:rPr>
        <w:t xml:space="preserve"> </w:t>
      </w:r>
    </w:p>
    <w:p w14:paraId="4107AD99" w14:textId="719B8998" w:rsidR="005A4806" w:rsidRPr="00727324" w:rsidRDefault="005A4806" w:rsidP="00DD7D28">
      <w:pPr>
        <w:pStyle w:val="ListParagraph"/>
        <w:numPr>
          <w:ilvl w:val="0"/>
          <w:numId w:val="50"/>
        </w:numPr>
        <w:spacing w:before="60" w:after="0" w:line="276" w:lineRule="auto"/>
        <w:ind w:left="3261" w:hanging="284"/>
        <w:contextualSpacing w:val="0"/>
        <w:jc w:val="both"/>
        <w:rPr>
          <w:rFonts w:ascii="Bookman Old Style" w:hAnsi="Bookman Old Style" w:cs="Tahoma,Bold"/>
          <w:bCs/>
          <w:color w:val="000000" w:themeColor="text1"/>
          <w:sz w:val="24"/>
          <w:szCs w:val="24"/>
          <w:lang w:val="id-ID" w:eastAsia="id-ID"/>
        </w:rPr>
      </w:pPr>
      <w:r w:rsidRPr="00727324">
        <w:rPr>
          <w:rFonts w:ascii="Bookman Old Style" w:hAnsi="Bookman Old Style" w:cs="Tahoma,Bold"/>
          <w:bCs/>
          <w:sz w:val="24"/>
          <w:szCs w:val="24"/>
          <w:lang w:val="id-ID" w:eastAsia="id-ID"/>
        </w:rPr>
        <w:t>Belanja</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Iuran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Jaminan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Kesehatan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ASN</w:t>
      </w:r>
      <w:r w:rsidR="00A954D0">
        <w:rPr>
          <w:rFonts w:ascii="Bookman Old Style" w:hAnsi="Bookman Old Style" w:cs="Tahoma,Bold"/>
          <w:bCs/>
          <w:sz w:val="24"/>
          <w:szCs w:val="24"/>
          <w:lang w:val="id-ID" w:eastAsia="id-ID"/>
        </w:rPr>
        <w:t xml:space="preserve"> </w:t>
      </w:r>
      <w:r w:rsidRPr="00727324">
        <w:rPr>
          <w:rFonts w:ascii="Bookman Old Style" w:hAnsi="Bookman Old Style"/>
          <w:sz w:val="24"/>
          <w:szCs w:val="24"/>
          <w:lang w:val="id-ID"/>
        </w:rPr>
        <w:t>Rp</w:t>
      </w:r>
      <w:r w:rsidRPr="001949FC">
        <w:rPr>
          <w:rFonts w:ascii="Bookman Old Style" w:hAnsi="Bookman Old Style"/>
          <w:sz w:val="24"/>
          <w:szCs w:val="24"/>
          <w:lang w:val="id-ID"/>
        </w:rPr>
        <w:t>64</w:t>
      </w:r>
      <w:r>
        <w:rPr>
          <w:rFonts w:ascii="Bookman Old Style" w:hAnsi="Bookman Old Style"/>
          <w:sz w:val="24"/>
          <w:szCs w:val="24"/>
          <w:lang w:val="id-ID"/>
        </w:rPr>
        <w:t>.</w:t>
      </w:r>
      <w:r w:rsidRPr="001949FC">
        <w:rPr>
          <w:rFonts w:ascii="Bookman Old Style" w:hAnsi="Bookman Old Style"/>
          <w:sz w:val="24"/>
          <w:szCs w:val="24"/>
          <w:lang w:val="id-ID"/>
        </w:rPr>
        <w:t>723</w:t>
      </w:r>
      <w:r>
        <w:rPr>
          <w:rFonts w:ascii="Bookman Old Style" w:hAnsi="Bookman Old Style"/>
          <w:sz w:val="24"/>
          <w:szCs w:val="24"/>
          <w:lang w:val="id-ID"/>
        </w:rPr>
        <w:t>.</w:t>
      </w:r>
      <w:r w:rsidRPr="001949FC">
        <w:rPr>
          <w:rFonts w:ascii="Bookman Old Style" w:hAnsi="Bookman Old Style"/>
          <w:sz w:val="24"/>
          <w:szCs w:val="24"/>
          <w:lang w:val="id-ID"/>
        </w:rPr>
        <w:t>974</w:t>
      </w:r>
      <w:r>
        <w:rPr>
          <w:rFonts w:ascii="Bookman Old Style" w:hAnsi="Bookman Old Style"/>
          <w:sz w:val="24"/>
          <w:szCs w:val="24"/>
          <w:lang w:val="id-ID"/>
        </w:rPr>
        <w:t>.</w:t>
      </w:r>
      <w:r w:rsidRPr="001949FC">
        <w:rPr>
          <w:rFonts w:ascii="Bookman Old Style" w:hAnsi="Bookman Old Style"/>
          <w:sz w:val="24"/>
          <w:szCs w:val="24"/>
          <w:lang w:val="id-ID"/>
        </w:rPr>
        <w:t>430</w:t>
      </w:r>
      <w:r>
        <w:rPr>
          <w:rFonts w:ascii="Bookman Old Style" w:hAnsi="Bookman Old Style"/>
          <w:sz w:val="24"/>
          <w:szCs w:val="24"/>
          <w:lang w:val="id-ID"/>
        </w:rPr>
        <w:t>,</w:t>
      </w:r>
      <w:r w:rsidRPr="001949FC">
        <w:rPr>
          <w:rFonts w:ascii="Bookman Old Style" w:hAnsi="Bookman Old Style"/>
          <w:sz w:val="24"/>
          <w:szCs w:val="24"/>
          <w:lang w:val="id-ID"/>
        </w:rPr>
        <w:t>00</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val="id-ID" w:eastAsia="id-ID"/>
        </w:rPr>
        <w:t>atau</w:t>
      </w:r>
      <w:r w:rsidR="00A954D0">
        <w:rPr>
          <w:rFonts w:ascii="Bookman Old Style" w:hAnsi="Bookman Old Style" w:cs="Gill Sans Light (Arabid)"/>
          <w:bCs/>
          <w:sz w:val="24"/>
          <w:szCs w:val="24"/>
          <w:lang w:val="id-ID" w:eastAsia="id-ID"/>
        </w:rPr>
        <w:t xml:space="preserve"> </w:t>
      </w:r>
      <w:r>
        <w:rPr>
          <w:rFonts w:ascii="Bookman Old Style" w:hAnsi="Bookman Old Style" w:cs="Gill Sans Light (Arabid)"/>
          <w:bCs/>
          <w:sz w:val="24"/>
          <w:szCs w:val="24"/>
          <w:lang w:val="id-ID" w:eastAsia="id-ID"/>
        </w:rPr>
        <w:t>1</w:t>
      </w:r>
      <w:r w:rsidRPr="00727324">
        <w:rPr>
          <w:rFonts w:ascii="Bookman Old Style" w:hAnsi="Bookman Old Style" w:cs="Gill Sans Light (Arabid)"/>
          <w:bCs/>
          <w:sz w:val="24"/>
          <w:szCs w:val="24"/>
          <w:lang w:val="id-ID" w:eastAsia="id-ID"/>
        </w:rPr>
        <w:t>,</w:t>
      </w:r>
      <w:r>
        <w:rPr>
          <w:rFonts w:ascii="Bookman Old Style" w:hAnsi="Bookman Old Style" w:cs="Gill Sans Light (Arabid)"/>
          <w:bCs/>
          <w:sz w:val="24"/>
          <w:szCs w:val="24"/>
          <w:lang w:val="id-ID" w:eastAsia="id-ID"/>
        </w:rPr>
        <w:t>13</w:t>
      </w:r>
      <w:r w:rsidRPr="00727324">
        <w:rPr>
          <w:rFonts w:ascii="Bookman Old Style" w:hAnsi="Bookman Old Style" w:cs="Gill Sans Light (Arabid)"/>
          <w:bCs/>
          <w:sz w:val="24"/>
          <w:szCs w:val="24"/>
          <w:lang w:val="id-ID" w:eastAsia="id-ID"/>
        </w:rPr>
        <w:t>%</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dari</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total</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belanja</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daerah</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eastAsia="id-ID"/>
        </w:rPr>
        <w:t>da</w:t>
      </w:r>
      <w:r w:rsidRPr="00727324">
        <w:rPr>
          <w:rFonts w:ascii="Bookman Old Style" w:hAnsi="Bookman Old Style" w:cs="Gill Sans Light (Arabid)"/>
          <w:bCs/>
          <w:sz w:val="24"/>
          <w:szCs w:val="24"/>
          <w:lang w:val="id-ID" w:eastAsia="id-ID"/>
        </w:rPr>
        <w:t>l</w:t>
      </w:r>
      <w:r w:rsidRPr="00727324">
        <w:rPr>
          <w:rFonts w:ascii="Bookman Old Style" w:hAnsi="Bookman Old Style" w:cs="Gill Sans Light (Arabid)"/>
          <w:bCs/>
          <w:sz w:val="24"/>
          <w:szCs w:val="24"/>
          <w:lang w:eastAsia="id-ID"/>
        </w:rPr>
        <w:t>am</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Rancangan</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Peraturan</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Daerah</w:t>
      </w:r>
      <w:r w:rsidR="00A954D0">
        <w:rPr>
          <w:rFonts w:ascii="Bookman Old Style" w:hAnsi="Bookman Old Style" w:cs="Gill Sans Light (Arabid)"/>
          <w:bCs/>
          <w:sz w:val="24"/>
          <w:szCs w:val="24"/>
          <w:lang w:eastAsia="id-ID"/>
        </w:rPr>
        <w:t xml:space="preserve"> </w:t>
      </w:r>
      <w:r>
        <w:rPr>
          <w:rFonts w:ascii="Bookman Old Style" w:hAnsi="Bookman Old Style" w:cs="Gill Sans Light (Arabid)"/>
          <w:bCs/>
          <w:sz w:val="24"/>
          <w:szCs w:val="24"/>
          <w:lang w:eastAsia="id-ID"/>
        </w:rPr>
        <w:t>Kota</w:t>
      </w:r>
      <w:r w:rsidR="00A954D0">
        <w:rPr>
          <w:rFonts w:ascii="Bookman Old Style" w:hAnsi="Bookman Old Style" w:cs="Gill Sans Light (Arabid)"/>
          <w:bCs/>
          <w:sz w:val="24"/>
          <w:szCs w:val="24"/>
          <w:lang w:eastAsia="id-ID"/>
        </w:rPr>
        <w:t xml:space="preserve"> </w:t>
      </w:r>
      <w:r>
        <w:rPr>
          <w:rFonts w:ascii="Bookman Old Style" w:hAnsi="Bookman Old Style"/>
          <w:sz w:val="24"/>
          <w:szCs w:val="24"/>
          <w:lang w:val="fi-FI"/>
        </w:rPr>
        <w:t>Tangerang</w:t>
      </w:r>
      <w:r w:rsidR="00A954D0">
        <w:rPr>
          <w:rFonts w:ascii="Bookman Old Style" w:hAnsi="Bookman Old Style"/>
          <w:sz w:val="24"/>
          <w:szCs w:val="24"/>
        </w:rPr>
        <w:t xml:space="preserve"> </w:t>
      </w:r>
      <w:r w:rsidRPr="00727324">
        <w:rPr>
          <w:rFonts w:ascii="Bookman Old Style" w:hAnsi="Bookman Old Style" w:cs="Gill Sans Light (Arabid)"/>
          <w:bCs/>
          <w:sz w:val="24"/>
          <w:szCs w:val="24"/>
          <w:lang w:eastAsia="id-ID"/>
        </w:rPr>
        <w:t>tentang</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APBD</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Tahun</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Anggaran</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202</w:t>
      </w:r>
      <w:r w:rsidRPr="00727324">
        <w:rPr>
          <w:rFonts w:ascii="Bookman Old Style" w:hAnsi="Bookman Old Style" w:cs="Gill Sans Light (Arabid)"/>
          <w:bCs/>
          <w:sz w:val="24"/>
          <w:szCs w:val="24"/>
          <w:lang w:val="id-ID" w:eastAsia="id-ID"/>
        </w:rPr>
        <w:t>5</w:t>
      </w:r>
      <w:r w:rsidRPr="00727324">
        <w:rPr>
          <w:rFonts w:ascii="Bookman Old Style" w:hAnsi="Bookman Old Style" w:cs="Tahoma,Bold"/>
          <w:bCs/>
          <w:sz w:val="24"/>
          <w:szCs w:val="24"/>
          <w:lang w:val="id-ID" w:eastAsia="id-ID"/>
        </w:rPr>
        <w:t>,</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sebagaimana</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Tabel</w:t>
      </w:r>
      <w:r w:rsidR="00A954D0">
        <w:rPr>
          <w:rFonts w:ascii="Bookman Old Style" w:hAnsi="Bookman Old Style" w:cs="Tahoma,Bold"/>
          <w:bCs/>
          <w:sz w:val="24"/>
          <w:szCs w:val="24"/>
          <w:lang w:val="id-ID" w:eastAsia="id-ID"/>
        </w:rPr>
        <w:t xml:space="preserve"> </w:t>
      </w:r>
      <w:r w:rsidR="002A0F1F" w:rsidRPr="002A0F1F">
        <w:rPr>
          <w:rFonts w:ascii="Bookman Old Style" w:hAnsi="Bookman Old Style" w:cs="Tahoma,Bold"/>
          <w:bCs/>
          <w:sz w:val="24"/>
          <w:szCs w:val="24"/>
          <w:lang w:val="id-ID" w:eastAsia="id-ID"/>
        </w:rPr>
        <w:t>19</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sebagai</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berikut:</w:t>
      </w:r>
    </w:p>
    <w:p w14:paraId="5E9B96AE" w14:textId="5E646E5A" w:rsidR="005A4806" w:rsidRPr="007637BD" w:rsidRDefault="005A4806" w:rsidP="005A4806">
      <w:pPr>
        <w:pStyle w:val="ListParagraph"/>
        <w:tabs>
          <w:tab w:val="center" w:pos="6155"/>
        </w:tabs>
        <w:spacing w:before="60" w:after="120" w:line="276" w:lineRule="auto"/>
        <w:ind w:left="1979"/>
        <w:contextualSpacing w:val="0"/>
        <w:jc w:val="center"/>
        <w:rPr>
          <w:rFonts w:ascii="Bookman Old Style" w:hAnsi="Bookman Old Style" w:cs="Tahoma,Bold"/>
          <w:bCs/>
          <w:color w:val="000000" w:themeColor="text1"/>
          <w:sz w:val="24"/>
          <w:szCs w:val="24"/>
          <w:lang w:val="id-ID" w:eastAsia="id-ID"/>
        </w:rPr>
      </w:pPr>
      <w:r w:rsidRPr="00727324">
        <w:rPr>
          <w:rFonts w:ascii="Bookman Old Style" w:hAnsi="Bookman Old Style" w:cs="Tahoma,Bold"/>
          <w:bCs/>
          <w:color w:val="000000" w:themeColor="text1"/>
          <w:sz w:val="24"/>
          <w:szCs w:val="24"/>
          <w:lang w:val="id-ID" w:eastAsia="id-ID"/>
        </w:rPr>
        <w:t>Tabel</w:t>
      </w:r>
      <w:r w:rsidR="00A954D0" w:rsidRPr="003255BC">
        <w:rPr>
          <w:rFonts w:ascii="Bookman Old Style" w:hAnsi="Bookman Old Style" w:cs="Tahoma,Bold"/>
          <w:bCs/>
          <w:color w:val="000000" w:themeColor="text1"/>
          <w:sz w:val="24"/>
          <w:szCs w:val="24"/>
          <w:lang w:val="sv-FI" w:eastAsia="id-ID"/>
        </w:rPr>
        <w:t xml:space="preserve"> </w:t>
      </w:r>
      <w:r w:rsidR="002A0F1F">
        <w:rPr>
          <w:rFonts w:ascii="Bookman Old Style" w:hAnsi="Bookman Old Style" w:cs="Tahoma,Bold"/>
          <w:bCs/>
          <w:color w:val="000000" w:themeColor="text1"/>
          <w:sz w:val="24"/>
          <w:szCs w:val="24"/>
          <w:lang w:val="sv-FI" w:eastAsia="id-ID"/>
        </w:rPr>
        <w:t>19</w:t>
      </w:r>
      <w:r w:rsidRPr="00727324">
        <w:rPr>
          <w:rFonts w:ascii="Bookman Old Style" w:hAnsi="Bookman Old Style" w:cs="Tahoma,Bold"/>
          <w:bCs/>
          <w:color w:val="000000" w:themeColor="text1"/>
          <w:sz w:val="24"/>
          <w:szCs w:val="24"/>
          <w:lang w:val="id-ID" w:eastAsia="id-ID"/>
        </w:rPr>
        <w:br/>
      </w:r>
      <w:r w:rsidR="00A954D0">
        <w:rPr>
          <w:rFonts w:ascii="Bookman Old Style" w:hAnsi="Bookman Old Style" w:cs="Tahoma,Bold"/>
          <w:bCs/>
          <w:color w:val="000000" w:themeColor="text1"/>
          <w:sz w:val="24"/>
          <w:szCs w:val="24"/>
          <w:lang w:val="fi-FI" w:eastAsia="id-ID"/>
        </w:rPr>
        <w:t xml:space="preserve"> </w:t>
      </w:r>
      <w:r w:rsidRPr="00727324">
        <w:rPr>
          <w:rFonts w:ascii="Bookman Old Style" w:hAnsi="Bookman Old Style" w:cs="Tahoma,Bold"/>
          <w:bCs/>
          <w:color w:val="000000" w:themeColor="text1"/>
          <w:sz w:val="24"/>
          <w:szCs w:val="24"/>
          <w:lang w:val="id-ID" w:eastAsia="id-ID"/>
        </w:rPr>
        <w:t>Belanja</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Iuran</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Jaminan</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Kesehatan</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ASN</w:t>
      </w:r>
    </w:p>
    <w:tbl>
      <w:tblPr>
        <w:tblW w:w="849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439"/>
        <w:gridCol w:w="5026"/>
        <w:gridCol w:w="2542"/>
      </w:tblGrid>
      <w:tr w:rsidR="00843326" w:rsidRPr="00735D18" w14:paraId="75448B26" w14:textId="77777777" w:rsidTr="002A0F1F">
        <w:trPr>
          <w:trHeight w:val="284"/>
          <w:tblHeader/>
        </w:trPr>
        <w:tc>
          <w:tcPr>
            <w:tcW w:w="488" w:type="dxa"/>
            <w:shd w:val="clear" w:color="auto" w:fill="auto"/>
            <w:noWrap/>
            <w:vAlign w:val="center"/>
            <w:hideMark/>
          </w:tcPr>
          <w:p w14:paraId="11F088BA" w14:textId="77777777" w:rsidR="00843326" w:rsidRPr="00735D18" w:rsidRDefault="00843326" w:rsidP="005A4806">
            <w:pPr>
              <w:jc w:val="center"/>
              <w:rPr>
                <w:rFonts w:ascii="Bookman Old Style" w:hAnsi="Bookman Old Style"/>
                <w:b/>
                <w:bCs/>
                <w:color w:val="000000"/>
                <w:sz w:val="20"/>
                <w:szCs w:val="20"/>
                <w:lang w:val="en-US"/>
              </w:rPr>
            </w:pPr>
            <w:r w:rsidRPr="00735D18">
              <w:rPr>
                <w:rFonts w:ascii="Bookman Old Style" w:hAnsi="Bookman Old Style" w:cs="Calibri"/>
                <w:b/>
                <w:bCs/>
                <w:color w:val="000000"/>
                <w:sz w:val="20"/>
                <w:szCs w:val="20"/>
              </w:rPr>
              <w:t>No</w:t>
            </w:r>
          </w:p>
        </w:tc>
        <w:tc>
          <w:tcPr>
            <w:tcW w:w="5465" w:type="dxa"/>
            <w:gridSpan w:val="2"/>
            <w:shd w:val="clear" w:color="auto" w:fill="auto"/>
            <w:vAlign w:val="center"/>
            <w:hideMark/>
          </w:tcPr>
          <w:p w14:paraId="53B9F02E" w14:textId="6587AFF3" w:rsidR="00843326" w:rsidRPr="00735D18" w:rsidRDefault="00843326" w:rsidP="005A4806">
            <w:pPr>
              <w:jc w:val="center"/>
              <w:rPr>
                <w:rFonts w:ascii="Bookman Old Style" w:hAnsi="Bookman Old Style"/>
                <w:b/>
                <w:bCs/>
                <w:color w:val="000000"/>
                <w:sz w:val="20"/>
                <w:szCs w:val="20"/>
              </w:rPr>
            </w:pPr>
            <w:r w:rsidRPr="00735D18">
              <w:rPr>
                <w:rFonts w:ascii="Bookman Old Style" w:hAnsi="Bookman Old Style" w:cs="Calibri"/>
                <w:b/>
                <w:bCs/>
                <w:color w:val="000000"/>
                <w:sz w:val="20"/>
                <w:szCs w:val="20"/>
              </w:rPr>
              <w:t>Komponen</w:t>
            </w:r>
            <w:r w:rsidR="00A954D0">
              <w:rPr>
                <w:rFonts w:ascii="Bookman Old Style" w:hAnsi="Bookman Old Style" w:cs="Calibri"/>
                <w:b/>
                <w:bCs/>
                <w:color w:val="000000"/>
                <w:sz w:val="20"/>
                <w:szCs w:val="20"/>
              </w:rPr>
              <w:t xml:space="preserve"> </w:t>
            </w:r>
            <w:r w:rsidRPr="00735D18">
              <w:rPr>
                <w:rFonts w:ascii="Bookman Old Style" w:hAnsi="Bookman Old Style" w:cs="Calibri"/>
                <w:b/>
                <w:bCs/>
                <w:color w:val="000000"/>
                <w:sz w:val="20"/>
                <w:szCs w:val="20"/>
              </w:rPr>
              <w:t>Perhitungan</w:t>
            </w:r>
          </w:p>
        </w:tc>
        <w:tc>
          <w:tcPr>
            <w:tcW w:w="2542" w:type="dxa"/>
            <w:shd w:val="clear" w:color="auto" w:fill="auto"/>
            <w:vAlign w:val="center"/>
            <w:hideMark/>
          </w:tcPr>
          <w:p w14:paraId="1B41E668" w14:textId="2815ECFF" w:rsidR="00843326" w:rsidRPr="00735D18" w:rsidRDefault="00A954D0" w:rsidP="005A4806">
            <w:pPr>
              <w:jc w:val="center"/>
              <w:rPr>
                <w:rFonts w:ascii="Bookman Old Style" w:hAnsi="Bookman Old Style"/>
                <w:b/>
                <w:bCs/>
                <w:color w:val="000000"/>
                <w:sz w:val="20"/>
                <w:szCs w:val="20"/>
              </w:rPr>
            </w:pPr>
            <w:r>
              <w:rPr>
                <w:rFonts w:ascii="Bookman Old Style" w:hAnsi="Bookman Old Style"/>
                <w:b/>
                <w:bCs/>
                <w:color w:val="000000"/>
                <w:sz w:val="20"/>
                <w:szCs w:val="20"/>
                <w:lang w:val="sv-FI"/>
              </w:rPr>
              <w:t xml:space="preserve"> </w:t>
            </w:r>
            <w:r w:rsidR="00843326" w:rsidRPr="00735D18">
              <w:rPr>
                <w:rFonts w:ascii="Bookman Old Style" w:hAnsi="Bookman Old Style"/>
                <w:b/>
                <w:bCs/>
                <w:color w:val="000000"/>
                <w:sz w:val="20"/>
                <w:szCs w:val="20"/>
                <w:lang w:val="sv-FI"/>
              </w:rPr>
              <w:t>Rancangan</w:t>
            </w:r>
            <w:r>
              <w:rPr>
                <w:rFonts w:ascii="Bookman Old Style" w:hAnsi="Bookman Old Style"/>
                <w:b/>
                <w:bCs/>
                <w:color w:val="000000"/>
                <w:sz w:val="20"/>
                <w:szCs w:val="20"/>
                <w:lang w:val="sv-FI"/>
              </w:rPr>
              <w:t xml:space="preserve"> </w:t>
            </w:r>
          </w:p>
          <w:p w14:paraId="4A30DCA7" w14:textId="2B0125BF" w:rsidR="00843326" w:rsidRPr="00735D18" w:rsidRDefault="00A954D0" w:rsidP="005A4806">
            <w:pPr>
              <w:jc w:val="center"/>
              <w:rPr>
                <w:rFonts w:ascii="Bookman Old Style" w:hAnsi="Bookman Old Style"/>
                <w:b/>
                <w:bCs/>
                <w:color w:val="000000"/>
                <w:sz w:val="20"/>
                <w:szCs w:val="20"/>
              </w:rPr>
            </w:pPr>
            <w:r>
              <w:rPr>
                <w:rFonts w:ascii="Bookman Old Style" w:hAnsi="Bookman Old Style"/>
                <w:b/>
                <w:bCs/>
                <w:color w:val="000000"/>
                <w:sz w:val="20"/>
                <w:szCs w:val="20"/>
                <w:lang w:val="sv-FI"/>
              </w:rPr>
              <w:t xml:space="preserve"> </w:t>
            </w:r>
            <w:r w:rsidR="00843326" w:rsidRPr="00735D18">
              <w:rPr>
                <w:rFonts w:ascii="Bookman Old Style" w:hAnsi="Bookman Old Style"/>
                <w:b/>
                <w:bCs/>
                <w:color w:val="000000"/>
                <w:sz w:val="20"/>
                <w:szCs w:val="20"/>
                <w:lang w:val="sv-FI"/>
              </w:rPr>
              <w:t>APBD</w:t>
            </w:r>
            <w:r>
              <w:rPr>
                <w:rFonts w:ascii="Bookman Old Style" w:hAnsi="Bookman Old Style"/>
                <w:b/>
                <w:bCs/>
                <w:color w:val="000000"/>
                <w:sz w:val="20"/>
                <w:szCs w:val="20"/>
                <w:lang w:val="sv-FI"/>
              </w:rPr>
              <w:t xml:space="preserve"> </w:t>
            </w:r>
            <w:r w:rsidR="00843326" w:rsidRPr="00735D18">
              <w:rPr>
                <w:rFonts w:ascii="Bookman Old Style" w:hAnsi="Bookman Old Style"/>
                <w:b/>
                <w:bCs/>
                <w:color w:val="000000"/>
                <w:sz w:val="20"/>
                <w:szCs w:val="20"/>
                <w:lang w:val="sv-FI"/>
              </w:rPr>
              <w:t>TA.</w:t>
            </w:r>
            <w:r>
              <w:rPr>
                <w:rFonts w:ascii="Bookman Old Style" w:hAnsi="Bookman Old Style"/>
                <w:b/>
                <w:bCs/>
                <w:color w:val="000000"/>
                <w:sz w:val="20"/>
                <w:szCs w:val="20"/>
                <w:lang w:val="sv-FI"/>
              </w:rPr>
              <w:t xml:space="preserve"> </w:t>
            </w:r>
            <w:r w:rsidR="00843326" w:rsidRPr="00735D18">
              <w:rPr>
                <w:rFonts w:ascii="Bookman Old Style" w:hAnsi="Bookman Old Style"/>
                <w:b/>
                <w:bCs/>
                <w:color w:val="000000"/>
                <w:sz w:val="20"/>
                <w:szCs w:val="20"/>
                <w:lang w:val="sv-FI"/>
              </w:rPr>
              <w:t>2025</w:t>
            </w:r>
            <w:r>
              <w:rPr>
                <w:rFonts w:ascii="Bookman Old Style" w:hAnsi="Bookman Old Style"/>
                <w:b/>
                <w:bCs/>
                <w:color w:val="000000"/>
                <w:sz w:val="20"/>
                <w:szCs w:val="20"/>
                <w:lang w:val="sv-FI"/>
              </w:rPr>
              <w:t xml:space="preserve"> </w:t>
            </w:r>
          </w:p>
          <w:p w14:paraId="1F3FFFC9" w14:textId="1063D75D" w:rsidR="00843326" w:rsidRPr="00735D18" w:rsidRDefault="00A954D0" w:rsidP="005A4806">
            <w:pPr>
              <w:jc w:val="center"/>
              <w:rPr>
                <w:rFonts w:ascii="Bookman Old Style" w:hAnsi="Bookman Old Style"/>
                <w:b/>
                <w:bCs/>
                <w:color w:val="000000"/>
                <w:sz w:val="20"/>
                <w:szCs w:val="20"/>
              </w:rPr>
            </w:pPr>
            <w:r>
              <w:rPr>
                <w:rFonts w:ascii="Bookman Old Style" w:hAnsi="Bookman Old Style"/>
                <w:b/>
                <w:bCs/>
                <w:color w:val="000000"/>
                <w:sz w:val="20"/>
                <w:szCs w:val="20"/>
                <w:lang w:val="sv-FI"/>
              </w:rPr>
              <w:t xml:space="preserve"> </w:t>
            </w:r>
            <w:r w:rsidR="00843326" w:rsidRPr="00735D18">
              <w:rPr>
                <w:rFonts w:ascii="Bookman Old Style" w:hAnsi="Bookman Old Style"/>
                <w:b/>
                <w:bCs/>
                <w:color w:val="000000"/>
                <w:sz w:val="20"/>
                <w:szCs w:val="20"/>
                <w:lang w:val="sv-FI"/>
              </w:rPr>
              <w:t>(Rp)</w:t>
            </w:r>
            <w:r>
              <w:rPr>
                <w:rFonts w:ascii="Bookman Old Style" w:hAnsi="Bookman Old Style"/>
                <w:b/>
                <w:bCs/>
                <w:color w:val="000000"/>
                <w:sz w:val="20"/>
                <w:szCs w:val="20"/>
                <w:lang w:val="sv-FI"/>
              </w:rPr>
              <w:t xml:space="preserve"> </w:t>
            </w:r>
          </w:p>
        </w:tc>
      </w:tr>
      <w:tr w:rsidR="00843326" w:rsidRPr="00735D18" w14:paraId="01D411A2" w14:textId="77777777" w:rsidTr="00735D18">
        <w:trPr>
          <w:trHeight w:val="284"/>
        </w:trPr>
        <w:tc>
          <w:tcPr>
            <w:tcW w:w="488" w:type="dxa"/>
            <w:shd w:val="clear" w:color="auto" w:fill="auto"/>
            <w:noWrap/>
            <w:vAlign w:val="center"/>
            <w:hideMark/>
          </w:tcPr>
          <w:p w14:paraId="4F3B5DBF" w14:textId="77777777" w:rsidR="00843326" w:rsidRPr="00735D18" w:rsidRDefault="00843326" w:rsidP="005A4806">
            <w:pPr>
              <w:jc w:val="center"/>
              <w:rPr>
                <w:rFonts w:ascii="Bookman Old Style" w:hAnsi="Bookman Old Style"/>
                <w:color w:val="000000"/>
                <w:sz w:val="20"/>
                <w:szCs w:val="20"/>
              </w:rPr>
            </w:pPr>
            <w:r w:rsidRPr="00735D18">
              <w:rPr>
                <w:rFonts w:ascii="Bookman Old Style" w:hAnsi="Bookman Old Style" w:cs="Calibri"/>
                <w:color w:val="000000"/>
                <w:sz w:val="20"/>
                <w:szCs w:val="20"/>
              </w:rPr>
              <w:t>1</w:t>
            </w:r>
          </w:p>
        </w:tc>
        <w:tc>
          <w:tcPr>
            <w:tcW w:w="5465" w:type="dxa"/>
            <w:gridSpan w:val="2"/>
            <w:shd w:val="clear" w:color="auto" w:fill="auto"/>
            <w:vAlign w:val="center"/>
            <w:hideMark/>
          </w:tcPr>
          <w:p w14:paraId="33883D48" w14:textId="64C465A2" w:rsidR="00843326" w:rsidRPr="00735D18" w:rsidRDefault="00843326" w:rsidP="005A4806">
            <w:pPr>
              <w:rPr>
                <w:rFonts w:ascii="Bookman Old Style" w:hAnsi="Bookman Old Style"/>
                <w:color w:val="000000"/>
                <w:sz w:val="20"/>
                <w:szCs w:val="20"/>
              </w:rPr>
            </w:pPr>
            <w:r w:rsidRPr="00735D18">
              <w:rPr>
                <w:rFonts w:ascii="Bookman Old Style" w:hAnsi="Bookman Old Style" w:cs="Calibri"/>
                <w:color w:val="000000"/>
                <w:sz w:val="20"/>
                <w:szCs w:val="20"/>
              </w:rPr>
              <w:t>Belanja</w:t>
            </w:r>
            <w:r w:rsidR="00A954D0">
              <w:rPr>
                <w:rFonts w:ascii="Bookman Old Style" w:hAnsi="Bookman Old Style" w:cs="Calibri"/>
                <w:color w:val="000000"/>
                <w:sz w:val="20"/>
                <w:szCs w:val="20"/>
              </w:rPr>
              <w:t xml:space="preserve"> </w:t>
            </w:r>
          </w:p>
        </w:tc>
        <w:tc>
          <w:tcPr>
            <w:tcW w:w="2542" w:type="dxa"/>
            <w:shd w:val="clear" w:color="auto" w:fill="auto"/>
            <w:vAlign w:val="center"/>
            <w:hideMark/>
          </w:tcPr>
          <w:p w14:paraId="0CA3C548" w14:textId="5846865E" w:rsidR="00843326" w:rsidRPr="00735D18" w:rsidRDefault="00843326" w:rsidP="005A4806">
            <w:pPr>
              <w:rPr>
                <w:rFonts w:ascii="Bookman Old Style" w:hAnsi="Bookman Old Style"/>
                <w:color w:val="000000"/>
                <w:sz w:val="20"/>
                <w:szCs w:val="20"/>
              </w:rPr>
            </w:pPr>
          </w:p>
        </w:tc>
      </w:tr>
      <w:tr w:rsidR="005A4806" w:rsidRPr="00735D18" w14:paraId="6BF3E9AC" w14:textId="77777777" w:rsidTr="00735D18">
        <w:trPr>
          <w:trHeight w:val="284"/>
        </w:trPr>
        <w:tc>
          <w:tcPr>
            <w:tcW w:w="488" w:type="dxa"/>
            <w:shd w:val="clear" w:color="auto" w:fill="auto"/>
            <w:noWrap/>
            <w:vAlign w:val="center"/>
            <w:hideMark/>
          </w:tcPr>
          <w:p w14:paraId="3FB5295A" w14:textId="7222853B" w:rsidR="005A4806" w:rsidRPr="00735D18" w:rsidRDefault="00A954D0" w:rsidP="005A4806">
            <w:pPr>
              <w:rPr>
                <w:rFonts w:ascii="Bookman Old Style" w:hAnsi="Bookman Old Style"/>
                <w:color w:val="000000"/>
                <w:sz w:val="20"/>
                <w:szCs w:val="20"/>
              </w:rPr>
            </w:pPr>
            <w:r>
              <w:rPr>
                <w:rFonts w:ascii="Bookman Old Style" w:hAnsi="Bookman Old Style" w:cs="Calibri"/>
                <w:color w:val="000000"/>
                <w:sz w:val="20"/>
                <w:szCs w:val="20"/>
              </w:rPr>
              <w:t xml:space="preserve"> </w:t>
            </w:r>
          </w:p>
        </w:tc>
        <w:tc>
          <w:tcPr>
            <w:tcW w:w="439" w:type="dxa"/>
            <w:shd w:val="clear" w:color="auto" w:fill="auto"/>
            <w:vAlign w:val="center"/>
            <w:hideMark/>
          </w:tcPr>
          <w:p w14:paraId="24002FB3" w14:textId="77777777" w:rsidR="005A4806" w:rsidRPr="00735D18" w:rsidRDefault="005A4806" w:rsidP="005A4806">
            <w:pPr>
              <w:rPr>
                <w:rFonts w:ascii="Bookman Old Style" w:hAnsi="Bookman Old Style"/>
                <w:color w:val="000000"/>
                <w:sz w:val="20"/>
                <w:szCs w:val="20"/>
              </w:rPr>
            </w:pPr>
            <w:r w:rsidRPr="00735D18">
              <w:rPr>
                <w:rFonts w:ascii="Bookman Old Style" w:hAnsi="Bookman Old Style" w:cs="Calibri"/>
                <w:color w:val="000000"/>
                <w:sz w:val="20"/>
                <w:szCs w:val="20"/>
              </w:rPr>
              <w:t>a.</w:t>
            </w:r>
          </w:p>
        </w:tc>
        <w:tc>
          <w:tcPr>
            <w:tcW w:w="5026" w:type="dxa"/>
            <w:shd w:val="clear" w:color="auto" w:fill="auto"/>
            <w:vAlign w:val="center"/>
            <w:hideMark/>
          </w:tcPr>
          <w:p w14:paraId="3632B3E1" w14:textId="395C513B" w:rsidR="005A4806" w:rsidRPr="00735D18" w:rsidRDefault="005A4806" w:rsidP="005A4806">
            <w:pPr>
              <w:rPr>
                <w:rFonts w:ascii="Bookman Old Style" w:hAnsi="Bookman Old Style"/>
                <w:color w:val="000000"/>
                <w:sz w:val="20"/>
                <w:szCs w:val="20"/>
              </w:rPr>
            </w:pPr>
            <w:r w:rsidRPr="00735D18">
              <w:rPr>
                <w:rFonts w:ascii="Bookman Old Style" w:hAnsi="Bookman Old Style" w:cs="Calibri"/>
                <w:color w:val="000000"/>
                <w:sz w:val="20"/>
                <w:szCs w:val="20"/>
              </w:rPr>
              <w:t>Belanja</w:t>
            </w:r>
            <w:r w:rsidR="00A954D0">
              <w:rPr>
                <w:rFonts w:ascii="Bookman Old Style" w:hAnsi="Bookman Old Style" w:cs="Calibri"/>
                <w:color w:val="000000"/>
                <w:sz w:val="20"/>
                <w:szCs w:val="20"/>
              </w:rPr>
              <w:t xml:space="preserve"> </w:t>
            </w:r>
            <w:r w:rsidRPr="00735D18">
              <w:rPr>
                <w:rFonts w:ascii="Bookman Old Style" w:hAnsi="Bookman Old Style" w:cs="Calibri"/>
                <w:color w:val="000000"/>
                <w:sz w:val="20"/>
                <w:szCs w:val="20"/>
              </w:rPr>
              <w:t>Gaji</w:t>
            </w:r>
            <w:r w:rsidR="00A954D0">
              <w:rPr>
                <w:rFonts w:ascii="Bookman Old Style" w:hAnsi="Bookman Old Style" w:cs="Calibri"/>
                <w:color w:val="000000"/>
                <w:sz w:val="20"/>
                <w:szCs w:val="20"/>
              </w:rPr>
              <w:t xml:space="preserve"> </w:t>
            </w:r>
            <w:r w:rsidRPr="00735D18">
              <w:rPr>
                <w:rFonts w:ascii="Bookman Old Style" w:hAnsi="Bookman Old Style" w:cs="Calibri"/>
                <w:color w:val="000000"/>
                <w:sz w:val="20"/>
                <w:szCs w:val="20"/>
              </w:rPr>
              <w:t>Pokok</w:t>
            </w:r>
            <w:r w:rsidR="00A954D0">
              <w:rPr>
                <w:rFonts w:ascii="Bookman Old Style" w:hAnsi="Bookman Old Style" w:cs="Calibri"/>
                <w:color w:val="000000"/>
                <w:sz w:val="20"/>
                <w:szCs w:val="20"/>
              </w:rPr>
              <w:t xml:space="preserve"> </w:t>
            </w:r>
            <w:r w:rsidRPr="00735D18">
              <w:rPr>
                <w:rFonts w:ascii="Bookman Old Style" w:hAnsi="Bookman Old Style" w:cs="Calibri"/>
                <w:color w:val="000000"/>
                <w:sz w:val="20"/>
                <w:szCs w:val="20"/>
              </w:rPr>
              <w:t>ASN</w:t>
            </w:r>
          </w:p>
        </w:tc>
        <w:tc>
          <w:tcPr>
            <w:tcW w:w="2542" w:type="dxa"/>
            <w:shd w:val="clear" w:color="auto" w:fill="auto"/>
            <w:noWrap/>
            <w:vAlign w:val="center"/>
            <w:hideMark/>
          </w:tcPr>
          <w:p w14:paraId="522B8E03" w14:textId="491185EA" w:rsidR="005A4806" w:rsidRPr="00735D18" w:rsidRDefault="005A4806" w:rsidP="005A4806">
            <w:pPr>
              <w:jc w:val="right"/>
              <w:rPr>
                <w:rFonts w:ascii="Bookman Old Style" w:hAnsi="Bookman Old Style"/>
                <w:color w:val="000000"/>
                <w:sz w:val="20"/>
                <w:szCs w:val="20"/>
              </w:rPr>
            </w:pPr>
            <w:r w:rsidRPr="00735D18">
              <w:rPr>
                <w:rFonts w:ascii="Bookman Old Style" w:hAnsi="Bookman Old Style"/>
                <w:color w:val="000000"/>
                <w:sz w:val="20"/>
                <w:szCs w:val="20"/>
              </w:rPr>
              <w:t>605.348.341.552,36</w:t>
            </w:r>
            <w:r w:rsidR="00A954D0">
              <w:rPr>
                <w:rFonts w:ascii="Bookman Old Style" w:hAnsi="Bookman Old Style"/>
                <w:color w:val="000000"/>
                <w:sz w:val="20"/>
                <w:szCs w:val="20"/>
              </w:rPr>
              <w:t xml:space="preserve"> </w:t>
            </w:r>
          </w:p>
        </w:tc>
      </w:tr>
      <w:tr w:rsidR="005A4806" w:rsidRPr="00735D18" w14:paraId="088358ED" w14:textId="77777777" w:rsidTr="00735D18">
        <w:trPr>
          <w:trHeight w:val="284"/>
        </w:trPr>
        <w:tc>
          <w:tcPr>
            <w:tcW w:w="488" w:type="dxa"/>
            <w:shd w:val="clear" w:color="auto" w:fill="auto"/>
            <w:noWrap/>
            <w:vAlign w:val="center"/>
            <w:hideMark/>
          </w:tcPr>
          <w:p w14:paraId="07584A7F" w14:textId="20FEC89C" w:rsidR="005A4806" w:rsidRPr="00735D18" w:rsidRDefault="00A954D0" w:rsidP="005A4806">
            <w:pPr>
              <w:jc w:val="center"/>
              <w:rPr>
                <w:rFonts w:ascii="Bookman Old Style" w:hAnsi="Bookman Old Style"/>
                <w:color w:val="000000"/>
                <w:sz w:val="20"/>
                <w:szCs w:val="20"/>
              </w:rPr>
            </w:pPr>
            <w:r>
              <w:rPr>
                <w:rFonts w:ascii="Bookman Old Style" w:hAnsi="Bookman Old Style" w:cs="Calibri"/>
                <w:color w:val="000000"/>
                <w:sz w:val="20"/>
                <w:szCs w:val="20"/>
              </w:rPr>
              <w:t xml:space="preserve"> </w:t>
            </w:r>
          </w:p>
        </w:tc>
        <w:tc>
          <w:tcPr>
            <w:tcW w:w="439" w:type="dxa"/>
            <w:shd w:val="clear" w:color="auto" w:fill="auto"/>
            <w:vAlign w:val="center"/>
            <w:hideMark/>
          </w:tcPr>
          <w:p w14:paraId="612EA9E6" w14:textId="77777777" w:rsidR="005A4806" w:rsidRPr="00735D18" w:rsidRDefault="005A4806" w:rsidP="005A4806">
            <w:pPr>
              <w:rPr>
                <w:rFonts w:ascii="Bookman Old Style" w:hAnsi="Bookman Old Style"/>
                <w:color w:val="000000"/>
                <w:sz w:val="20"/>
                <w:szCs w:val="20"/>
              </w:rPr>
            </w:pPr>
            <w:r w:rsidRPr="00735D18">
              <w:rPr>
                <w:rFonts w:ascii="Bookman Old Style" w:hAnsi="Bookman Old Style" w:cs="Calibri"/>
                <w:color w:val="000000"/>
                <w:sz w:val="20"/>
                <w:szCs w:val="20"/>
              </w:rPr>
              <w:t>b.</w:t>
            </w:r>
          </w:p>
        </w:tc>
        <w:tc>
          <w:tcPr>
            <w:tcW w:w="5026" w:type="dxa"/>
            <w:shd w:val="clear" w:color="auto" w:fill="auto"/>
            <w:vAlign w:val="center"/>
            <w:hideMark/>
          </w:tcPr>
          <w:p w14:paraId="5638CC7F" w14:textId="27DB3A4D" w:rsidR="005A4806" w:rsidRPr="00735D18" w:rsidRDefault="005A4806" w:rsidP="005A4806">
            <w:pPr>
              <w:rPr>
                <w:rFonts w:ascii="Bookman Old Style" w:hAnsi="Bookman Old Style"/>
                <w:color w:val="000000"/>
                <w:sz w:val="20"/>
                <w:szCs w:val="20"/>
              </w:rPr>
            </w:pPr>
            <w:r w:rsidRPr="00735D18">
              <w:rPr>
                <w:rFonts w:ascii="Bookman Old Style" w:hAnsi="Bookman Old Style" w:cs="Calibri"/>
                <w:color w:val="000000"/>
                <w:sz w:val="20"/>
                <w:szCs w:val="20"/>
              </w:rPr>
              <w:t>Belanja</w:t>
            </w:r>
            <w:r w:rsidR="00A954D0">
              <w:rPr>
                <w:rFonts w:ascii="Bookman Old Style" w:hAnsi="Bookman Old Style" w:cs="Calibri"/>
                <w:color w:val="000000"/>
                <w:sz w:val="20"/>
                <w:szCs w:val="20"/>
              </w:rPr>
              <w:t xml:space="preserve"> </w:t>
            </w:r>
            <w:r w:rsidRPr="00735D18">
              <w:rPr>
                <w:rFonts w:ascii="Bookman Old Style" w:hAnsi="Bookman Old Style" w:cs="Calibri"/>
                <w:color w:val="000000"/>
                <w:sz w:val="20"/>
                <w:szCs w:val="20"/>
              </w:rPr>
              <w:t>Tunjangan</w:t>
            </w:r>
            <w:r w:rsidR="00A954D0">
              <w:rPr>
                <w:rFonts w:ascii="Bookman Old Style" w:hAnsi="Bookman Old Style" w:cs="Calibri"/>
                <w:color w:val="000000"/>
                <w:sz w:val="20"/>
                <w:szCs w:val="20"/>
              </w:rPr>
              <w:t xml:space="preserve"> </w:t>
            </w:r>
            <w:r w:rsidRPr="00735D18">
              <w:rPr>
                <w:rFonts w:ascii="Bookman Old Style" w:hAnsi="Bookman Old Style" w:cs="Calibri"/>
                <w:color w:val="000000"/>
                <w:sz w:val="20"/>
                <w:szCs w:val="20"/>
              </w:rPr>
              <w:t>Keluarga</w:t>
            </w:r>
            <w:r w:rsidR="00A954D0">
              <w:rPr>
                <w:rFonts w:ascii="Bookman Old Style" w:hAnsi="Bookman Old Style" w:cs="Calibri"/>
                <w:color w:val="000000"/>
                <w:sz w:val="20"/>
                <w:szCs w:val="20"/>
              </w:rPr>
              <w:t xml:space="preserve"> </w:t>
            </w:r>
            <w:r w:rsidRPr="00735D18">
              <w:rPr>
                <w:rFonts w:ascii="Bookman Old Style" w:hAnsi="Bookman Old Style" w:cs="Calibri"/>
                <w:color w:val="000000"/>
                <w:sz w:val="20"/>
                <w:szCs w:val="20"/>
              </w:rPr>
              <w:t>ASN</w:t>
            </w:r>
            <w:r w:rsidR="00A954D0">
              <w:rPr>
                <w:rFonts w:ascii="Bookman Old Style" w:hAnsi="Bookman Old Style" w:cs="Calibri"/>
                <w:color w:val="000000"/>
                <w:sz w:val="20"/>
                <w:szCs w:val="20"/>
              </w:rPr>
              <w:t xml:space="preserve"> </w:t>
            </w:r>
          </w:p>
        </w:tc>
        <w:tc>
          <w:tcPr>
            <w:tcW w:w="2542" w:type="dxa"/>
            <w:shd w:val="clear" w:color="auto" w:fill="auto"/>
            <w:noWrap/>
            <w:vAlign w:val="center"/>
            <w:hideMark/>
          </w:tcPr>
          <w:p w14:paraId="5C0A0C36" w14:textId="7870CEFD" w:rsidR="005A4806" w:rsidRPr="00735D18" w:rsidRDefault="005A4806" w:rsidP="005A4806">
            <w:pPr>
              <w:jc w:val="right"/>
              <w:rPr>
                <w:rFonts w:ascii="Bookman Old Style" w:hAnsi="Bookman Old Style"/>
                <w:color w:val="000000"/>
                <w:sz w:val="20"/>
                <w:szCs w:val="20"/>
              </w:rPr>
            </w:pPr>
            <w:r w:rsidRPr="00735D18">
              <w:rPr>
                <w:rFonts w:ascii="Bookman Old Style" w:hAnsi="Bookman Old Style"/>
                <w:color w:val="000000"/>
                <w:sz w:val="20"/>
                <w:szCs w:val="20"/>
              </w:rPr>
              <w:t>61.309.135.006,00</w:t>
            </w:r>
            <w:r w:rsidR="00A954D0">
              <w:rPr>
                <w:rFonts w:ascii="Bookman Old Style" w:hAnsi="Bookman Old Style"/>
                <w:color w:val="000000"/>
                <w:sz w:val="20"/>
                <w:szCs w:val="20"/>
              </w:rPr>
              <w:t xml:space="preserve"> </w:t>
            </w:r>
          </w:p>
        </w:tc>
      </w:tr>
      <w:tr w:rsidR="005A4806" w:rsidRPr="00735D18" w14:paraId="4B7372E0" w14:textId="77777777" w:rsidTr="00735D18">
        <w:trPr>
          <w:trHeight w:val="284"/>
        </w:trPr>
        <w:tc>
          <w:tcPr>
            <w:tcW w:w="488" w:type="dxa"/>
            <w:shd w:val="clear" w:color="auto" w:fill="auto"/>
            <w:noWrap/>
            <w:vAlign w:val="center"/>
            <w:hideMark/>
          </w:tcPr>
          <w:p w14:paraId="31F71F64" w14:textId="12FFEC39" w:rsidR="005A4806" w:rsidRPr="00735D18" w:rsidRDefault="00A954D0" w:rsidP="005A4806">
            <w:pPr>
              <w:jc w:val="center"/>
              <w:rPr>
                <w:rFonts w:ascii="Bookman Old Style" w:hAnsi="Bookman Old Style"/>
                <w:color w:val="000000"/>
                <w:sz w:val="20"/>
                <w:szCs w:val="20"/>
              </w:rPr>
            </w:pPr>
            <w:r>
              <w:rPr>
                <w:rFonts w:ascii="Bookman Old Style" w:hAnsi="Bookman Old Style" w:cs="Calibri"/>
                <w:color w:val="000000"/>
                <w:sz w:val="20"/>
                <w:szCs w:val="20"/>
              </w:rPr>
              <w:t xml:space="preserve"> </w:t>
            </w:r>
          </w:p>
        </w:tc>
        <w:tc>
          <w:tcPr>
            <w:tcW w:w="439" w:type="dxa"/>
            <w:shd w:val="clear" w:color="auto" w:fill="auto"/>
            <w:vAlign w:val="center"/>
            <w:hideMark/>
          </w:tcPr>
          <w:p w14:paraId="707C0802" w14:textId="77777777" w:rsidR="005A4806" w:rsidRPr="00735D18" w:rsidRDefault="005A4806" w:rsidP="005A4806">
            <w:pPr>
              <w:rPr>
                <w:rFonts w:ascii="Bookman Old Style" w:hAnsi="Bookman Old Style"/>
                <w:color w:val="000000"/>
                <w:sz w:val="20"/>
                <w:szCs w:val="20"/>
              </w:rPr>
            </w:pPr>
            <w:r w:rsidRPr="00735D18">
              <w:rPr>
                <w:rFonts w:ascii="Bookman Old Style" w:hAnsi="Bookman Old Style" w:cs="Calibri"/>
                <w:color w:val="000000"/>
                <w:sz w:val="20"/>
                <w:szCs w:val="20"/>
              </w:rPr>
              <w:t>c.</w:t>
            </w:r>
          </w:p>
        </w:tc>
        <w:tc>
          <w:tcPr>
            <w:tcW w:w="5026" w:type="dxa"/>
            <w:shd w:val="clear" w:color="auto" w:fill="auto"/>
            <w:vAlign w:val="center"/>
            <w:hideMark/>
          </w:tcPr>
          <w:p w14:paraId="614C15E8" w14:textId="6FCF8C49" w:rsidR="005A4806" w:rsidRPr="00735D18" w:rsidRDefault="005A4806" w:rsidP="005A4806">
            <w:pPr>
              <w:rPr>
                <w:rFonts w:ascii="Bookman Old Style" w:hAnsi="Bookman Old Style"/>
                <w:color w:val="000000"/>
                <w:sz w:val="20"/>
                <w:szCs w:val="20"/>
              </w:rPr>
            </w:pPr>
            <w:r w:rsidRPr="00735D18">
              <w:rPr>
                <w:rFonts w:ascii="Bookman Old Style" w:hAnsi="Bookman Old Style" w:cs="Calibri"/>
                <w:color w:val="000000"/>
                <w:sz w:val="20"/>
                <w:szCs w:val="20"/>
              </w:rPr>
              <w:t>Belanja</w:t>
            </w:r>
            <w:r w:rsidR="00A954D0">
              <w:rPr>
                <w:rFonts w:ascii="Bookman Old Style" w:hAnsi="Bookman Old Style" w:cs="Calibri"/>
                <w:color w:val="000000"/>
                <w:sz w:val="20"/>
                <w:szCs w:val="20"/>
              </w:rPr>
              <w:t xml:space="preserve"> </w:t>
            </w:r>
            <w:r w:rsidRPr="00735D18">
              <w:rPr>
                <w:rFonts w:ascii="Bookman Old Style" w:hAnsi="Bookman Old Style" w:cs="Calibri"/>
                <w:color w:val="000000"/>
                <w:sz w:val="20"/>
                <w:szCs w:val="20"/>
              </w:rPr>
              <w:t>Tunjangan</w:t>
            </w:r>
            <w:r w:rsidR="00A954D0">
              <w:rPr>
                <w:rFonts w:ascii="Bookman Old Style" w:hAnsi="Bookman Old Style" w:cs="Calibri"/>
                <w:color w:val="000000"/>
                <w:sz w:val="20"/>
                <w:szCs w:val="20"/>
              </w:rPr>
              <w:t xml:space="preserve"> </w:t>
            </w:r>
            <w:r w:rsidRPr="00735D18">
              <w:rPr>
                <w:rFonts w:ascii="Bookman Old Style" w:hAnsi="Bookman Old Style" w:cs="Calibri"/>
                <w:color w:val="000000"/>
                <w:sz w:val="20"/>
                <w:szCs w:val="20"/>
              </w:rPr>
              <w:t>Jabatan</w:t>
            </w:r>
            <w:r w:rsidR="00A954D0">
              <w:rPr>
                <w:rFonts w:ascii="Bookman Old Style" w:hAnsi="Bookman Old Style" w:cs="Calibri"/>
                <w:color w:val="000000"/>
                <w:sz w:val="20"/>
                <w:szCs w:val="20"/>
              </w:rPr>
              <w:t xml:space="preserve"> </w:t>
            </w:r>
            <w:r w:rsidRPr="00735D18">
              <w:rPr>
                <w:rFonts w:ascii="Bookman Old Style" w:hAnsi="Bookman Old Style" w:cs="Calibri"/>
                <w:color w:val="000000"/>
                <w:sz w:val="20"/>
                <w:szCs w:val="20"/>
              </w:rPr>
              <w:t>ASN</w:t>
            </w:r>
          </w:p>
        </w:tc>
        <w:tc>
          <w:tcPr>
            <w:tcW w:w="2542" w:type="dxa"/>
            <w:shd w:val="clear" w:color="auto" w:fill="auto"/>
            <w:noWrap/>
            <w:vAlign w:val="center"/>
            <w:hideMark/>
          </w:tcPr>
          <w:p w14:paraId="3EF155C0" w14:textId="74A6F6BF" w:rsidR="005A4806" w:rsidRPr="00735D18" w:rsidRDefault="005A4806" w:rsidP="005A4806">
            <w:pPr>
              <w:jc w:val="right"/>
              <w:rPr>
                <w:rFonts w:ascii="Bookman Old Style" w:hAnsi="Bookman Old Style"/>
                <w:color w:val="000000"/>
                <w:sz w:val="20"/>
                <w:szCs w:val="20"/>
              </w:rPr>
            </w:pPr>
            <w:r w:rsidRPr="00735D18">
              <w:rPr>
                <w:rFonts w:ascii="Bookman Old Style" w:hAnsi="Bookman Old Style"/>
                <w:color w:val="000000"/>
                <w:sz w:val="20"/>
                <w:szCs w:val="20"/>
              </w:rPr>
              <w:t>10.248.594.618,00</w:t>
            </w:r>
            <w:r w:rsidR="00A954D0">
              <w:rPr>
                <w:rFonts w:ascii="Bookman Old Style" w:hAnsi="Bookman Old Style"/>
                <w:color w:val="000000"/>
                <w:sz w:val="20"/>
                <w:szCs w:val="20"/>
              </w:rPr>
              <w:t xml:space="preserve"> </w:t>
            </w:r>
          </w:p>
        </w:tc>
      </w:tr>
      <w:tr w:rsidR="005A4806" w:rsidRPr="00735D18" w14:paraId="064110EC" w14:textId="77777777" w:rsidTr="00735D18">
        <w:trPr>
          <w:trHeight w:val="284"/>
        </w:trPr>
        <w:tc>
          <w:tcPr>
            <w:tcW w:w="488" w:type="dxa"/>
            <w:shd w:val="clear" w:color="auto" w:fill="auto"/>
            <w:noWrap/>
            <w:vAlign w:val="center"/>
            <w:hideMark/>
          </w:tcPr>
          <w:p w14:paraId="270AEA32" w14:textId="0B82FC54" w:rsidR="005A4806" w:rsidRPr="00735D18" w:rsidRDefault="00A954D0" w:rsidP="005A4806">
            <w:pPr>
              <w:jc w:val="center"/>
              <w:rPr>
                <w:rFonts w:ascii="Bookman Old Style" w:hAnsi="Bookman Old Style"/>
                <w:color w:val="000000"/>
                <w:sz w:val="20"/>
                <w:szCs w:val="20"/>
              </w:rPr>
            </w:pPr>
            <w:r>
              <w:rPr>
                <w:rFonts w:ascii="Bookman Old Style" w:hAnsi="Bookman Old Style" w:cs="Calibri"/>
                <w:color w:val="000000"/>
                <w:sz w:val="20"/>
                <w:szCs w:val="20"/>
              </w:rPr>
              <w:lastRenderedPageBreak/>
              <w:t xml:space="preserve"> </w:t>
            </w:r>
          </w:p>
        </w:tc>
        <w:tc>
          <w:tcPr>
            <w:tcW w:w="439" w:type="dxa"/>
            <w:shd w:val="clear" w:color="auto" w:fill="auto"/>
            <w:vAlign w:val="center"/>
            <w:hideMark/>
          </w:tcPr>
          <w:p w14:paraId="68C74C70" w14:textId="77777777" w:rsidR="005A4806" w:rsidRPr="00735D18" w:rsidRDefault="005A4806" w:rsidP="005A4806">
            <w:pPr>
              <w:rPr>
                <w:rFonts w:ascii="Bookman Old Style" w:hAnsi="Bookman Old Style"/>
                <w:color w:val="000000"/>
                <w:sz w:val="20"/>
                <w:szCs w:val="20"/>
              </w:rPr>
            </w:pPr>
            <w:r w:rsidRPr="00735D18">
              <w:rPr>
                <w:rFonts w:ascii="Bookman Old Style" w:hAnsi="Bookman Old Style" w:cs="Calibri"/>
                <w:color w:val="000000"/>
                <w:sz w:val="20"/>
                <w:szCs w:val="20"/>
              </w:rPr>
              <w:t>d.</w:t>
            </w:r>
          </w:p>
        </w:tc>
        <w:tc>
          <w:tcPr>
            <w:tcW w:w="5026" w:type="dxa"/>
            <w:shd w:val="clear" w:color="auto" w:fill="auto"/>
            <w:vAlign w:val="center"/>
            <w:hideMark/>
          </w:tcPr>
          <w:p w14:paraId="40CC6172" w14:textId="2885B37D" w:rsidR="005A4806" w:rsidRPr="00735D18" w:rsidRDefault="005A4806" w:rsidP="005A4806">
            <w:pPr>
              <w:rPr>
                <w:rFonts w:ascii="Bookman Old Style" w:hAnsi="Bookman Old Style"/>
                <w:color w:val="000000"/>
                <w:sz w:val="20"/>
                <w:szCs w:val="20"/>
              </w:rPr>
            </w:pPr>
            <w:r w:rsidRPr="00735D18">
              <w:rPr>
                <w:rFonts w:ascii="Bookman Old Style" w:hAnsi="Bookman Old Style" w:cs="Calibri"/>
                <w:color w:val="000000"/>
                <w:sz w:val="20"/>
                <w:szCs w:val="20"/>
              </w:rPr>
              <w:t>Belanja</w:t>
            </w:r>
            <w:r w:rsidR="00A954D0">
              <w:rPr>
                <w:rFonts w:ascii="Bookman Old Style" w:hAnsi="Bookman Old Style" w:cs="Calibri"/>
                <w:color w:val="000000"/>
                <w:sz w:val="20"/>
                <w:szCs w:val="20"/>
              </w:rPr>
              <w:t xml:space="preserve"> </w:t>
            </w:r>
            <w:r w:rsidRPr="00735D18">
              <w:rPr>
                <w:rFonts w:ascii="Bookman Old Style" w:hAnsi="Bookman Old Style" w:cs="Calibri"/>
                <w:color w:val="000000"/>
                <w:sz w:val="20"/>
                <w:szCs w:val="20"/>
              </w:rPr>
              <w:t>Tunjangan</w:t>
            </w:r>
            <w:r w:rsidR="00A954D0">
              <w:rPr>
                <w:rFonts w:ascii="Bookman Old Style" w:hAnsi="Bookman Old Style" w:cs="Calibri"/>
                <w:color w:val="000000"/>
                <w:sz w:val="20"/>
                <w:szCs w:val="20"/>
              </w:rPr>
              <w:t xml:space="preserve"> </w:t>
            </w:r>
            <w:r w:rsidRPr="00735D18">
              <w:rPr>
                <w:rFonts w:ascii="Bookman Old Style" w:hAnsi="Bookman Old Style" w:cs="Calibri"/>
                <w:color w:val="000000"/>
                <w:sz w:val="20"/>
                <w:szCs w:val="20"/>
              </w:rPr>
              <w:t>Fungsional</w:t>
            </w:r>
            <w:r w:rsidR="00A954D0">
              <w:rPr>
                <w:rFonts w:ascii="Bookman Old Style" w:hAnsi="Bookman Old Style" w:cs="Calibri"/>
                <w:color w:val="000000"/>
                <w:sz w:val="20"/>
                <w:szCs w:val="20"/>
              </w:rPr>
              <w:t xml:space="preserve"> </w:t>
            </w:r>
            <w:r w:rsidRPr="00735D18">
              <w:rPr>
                <w:rFonts w:ascii="Bookman Old Style" w:hAnsi="Bookman Old Style" w:cs="Calibri"/>
                <w:color w:val="000000"/>
                <w:sz w:val="20"/>
                <w:szCs w:val="20"/>
              </w:rPr>
              <w:t>ASN</w:t>
            </w:r>
          </w:p>
        </w:tc>
        <w:tc>
          <w:tcPr>
            <w:tcW w:w="2542" w:type="dxa"/>
            <w:shd w:val="clear" w:color="auto" w:fill="auto"/>
            <w:noWrap/>
            <w:vAlign w:val="center"/>
            <w:hideMark/>
          </w:tcPr>
          <w:p w14:paraId="7BC31672" w14:textId="355B9CA0" w:rsidR="005A4806" w:rsidRPr="00735D18" w:rsidRDefault="005A4806" w:rsidP="005A4806">
            <w:pPr>
              <w:jc w:val="right"/>
              <w:rPr>
                <w:rFonts w:ascii="Bookman Old Style" w:hAnsi="Bookman Old Style"/>
                <w:color w:val="000000"/>
                <w:sz w:val="20"/>
                <w:szCs w:val="20"/>
              </w:rPr>
            </w:pPr>
            <w:r w:rsidRPr="00735D18">
              <w:rPr>
                <w:rFonts w:ascii="Bookman Old Style" w:hAnsi="Bookman Old Style"/>
                <w:color w:val="000000"/>
                <w:sz w:val="20"/>
                <w:szCs w:val="20"/>
              </w:rPr>
              <w:t>48.419.922.450,00</w:t>
            </w:r>
            <w:r w:rsidR="00A954D0">
              <w:rPr>
                <w:rFonts w:ascii="Bookman Old Style" w:hAnsi="Bookman Old Style"/>
                <w:color w:val="000000"/>
                <w:sz w:val="20"/>
                <w:szCs w:val="20"/>
              </w:rPr>
              <w:t xml:space="preserve"> </w:t>
            </w:r>
          </w:p>
        </w:tc>
      </w:tr>
      <w:tr w:rsidR="005A4806" w:rsidRPr="00735D18" w14:paraId="3DA6A07B" w14:textId="77777777" w:rsidTr="00735D18">
        <w:trPr>
          <w:trHeight w:val="284"/>
        </w:trPr>
        <w:tc>
          <w:tcPr>
            <w:tcW w:w="488" w:type="dxa"/>
            <w:shd w:val="clear" w:color="auto" w:fill="auto"/>
            <w:noWrap/>
            <w:vAlign w:val="center"/>
            <w:hideMark/>
          </w:tcPr>
          <w:p w14:paraId="0932EACE" w14:textId="59CD1A99" w:rsidR="005A4806" w:rsidRPr="00735D18" w:rsidRDefault="00A954D0" w:rsidP="005A4806">
            <w:pPr>
              <w:jc w:val="center"/>
              <w:rPr>
                <w:rFonts w:ascii="Bookman Old Style" w:hAnsi="Bookman Old Style"/>
                <w:color w:val="000000"/>
                <w:sz w:val="20"/>
                <w:szCs w:val="20"/>
              </w:rPr>
            </w:pPr>
            <w:r>
              <w:rPr>
                <w:rFonts w:ascii="Bookman Old Style" w:hAnsi="Bookman Old Style" w:cs="Calibri"/>
                <w:color w:val="000000"/>
                <w:sz w:val="20"/>
                <w:szCs w:val="20"/>
              </w:rPr>
              <w:t xml:space="preserve"> </w:t>
            </w:r>
          </w:p>
        </w:tc>
        <w:tc>
          <w:tcPr>
            <w:tcW w:w="439" w:type="dxa"/>
            <w:shd w:val="clear" w:color="auto" w:fill="auto"/>
            <w:vAlign w:val="center"/>
            <w:hideMark/>
          </w:tcPr>
          <w:p w14:paraId="016695BD" w14:textId="77777777" w:rsidR="005A4806" w:rsidRPr="00735D18" w:rsidRDefault="005A4806" w:rsidP="005A4806">
            <w:pPr>
              <w:rPr>
                <w:rFonts w:ascii="Bookman Old Style" w:hAnsi="Bookman Old Style"/>
                <w:color w:val="000000"/>
                <w:sz w:val="20"/>
                <w:szCs w:val="20"/>
              </w:rPr>
            </w:pPr>
            <w:r w:rsidRPr="00735D18">
              <w:rPr>
                <w:rFonts w:ascii="Bookman Old Style" w:hAnsi="Bookman Old Style" w:cs="Calibri"/>
                <w:color w:val="000000"/>
                <w:sz w:val="20"/>
                <w:szCs w:val="20"/>
              </w:rPr>
              <w:t>e.</w:t>
            </w:r>
          </w:p>
        </w:tc>
        <w:tc>
          <w:tcPr>
            <w:tcW w:w="5026" w:type="dxa"/>
            <w:shd w:val="clear" w:color="auto" w:fill="auto"/>
            <w:vAlign w:val="center"/>
            <w:hideMark/>
          </w:tcPr>
          <w:p w14:paraId="578B3047" w14:textId="32EB23BC" w:rsidR="005A4806" w:rsidRPr="003255BC" w:rsidRDefault="005A4806" w:rsidP="005A4806">
            <w:pPr>
              <w:rPr>
                <w:rFonts w:ascii="Bookman Old Style" w:hAnsi="Bookman Old Style"/>
                <w:color w:val="000000"/>
                <w:sz w:val="20"/>
                <w:szCs w:val="20"/>
                <w:lang w:val="sv-FI"/>
              </w:rPr>
            </w:pPr>
            <w:r w:rsidRPr="003255BC">
              <w:rPr>
                <w:rFonts w:ascii="Bookman Old Style" w:hAnsi="Bookman Old Style" w:cs="Calibri"/>
                <w:color w:val="000000"/>
                <w:sz w:val="20"/>
                <w:szCs w:val="20"/>
                <w:lang w:val="sv-FI"/>
              </w:rPr>
              <w:t>Belanja</w:t>
            </w:r>
            <w:r w:rsidR="00A954D0" w:rsidRPr="003255BC">
              <w:rPr>
                <w:rFonts w:ascii="Bookman Old Style" w:hAnsi="Bookman Old Style" w:cs="Calibri"/>
                <w:color w:val="000000"/>
                <w:sz w:val="20"/>
                <w:szCs w:val="20"/>
                <w:lang w:val="sv-FI"/>
              </w:rPr>
              <w:t xml:space="preserve"> </w:t>
            </w:r>
            <w:r w:rsidRPr="003255BC">
              <w:rPr>
                <w:rFonts w:ascii="Bookman Old Style" w:hAnsi="Bookman Old Style" w:cs="Calibri"/>
                <w:color w:val="000000"/>
                <w:sz w:val="20"/>
                <w:szCs w:val="20"/>
                <w:lang w:val="sv-FI"/>
              </w:rPr>
              <w:t>Tunjangan</w:t>
            </w:r>
            <w:r w:rsidR="00A954D0" w:rsidRPr="003255BC">
              <w:rPr>
                <w:rFonts w:ascii="Bookman Old Style" w:hAnsi="Bookman Old Style" w:cs="Calibri"/>
                <w:color w:val="000000"/>
                <w:sz w:val="20"/>
                <w:szCs w:val="20"/>
                <w:lang w:val="sv-FI"/>
              </w:rPr>
              <w:t xml:space="preserve"> </w:t>
            </w:r>
            <w:r w:rsidRPr="003255BC">
              <w:rPr>
                <w:rFonts w:ascii="Bookman Old Style" w:hAnsi="Bookman Old Style" w:cs="Calibri"/>
                <w:color w:val="000000"/>
                <w:sz w:val="20"/>
                <w:szCs w:val="20"/>
                <w:lang w:val="sv-FI"/>
              </w:rPr>
              <w:t>Fungsional</w:t>
            </w:r>
            <w:r w:rsidR="00A954D0" w:rsidRPr="003255BC">
              <w:rPr>
                <w:rFonts w:ascii="Bookman Old Style" w:hAnsi="Bookman Old Style" w:cs="Calibri"/>
                <w:color w:val="000000"/>
                <w:sz w:val="20"/>
                <w:szCs w:val="20"/>
                <w:lang w:val="sv-FI"/>
              </w:rPr>
              <w:t xml:space="preserve"> </w:t>
            </w:r>
            <w:r w:rsidRPr="003255BC">
              <w:rPr>
                <w:rFonts w:ascii="Bookman Old Style" w:hAnsi="Bookman Old Style" w:cs="Calibri"/>
                <w:color w:val="000000"/>
                <w:sz w:val="20"/>
                <w:szCs w:val="20"/>
                <w:lang w:val="sv-FI"/>
              </w:rPr>
              <w:t>Umum</w:t>
            </w:r>
            <w:r w:rsidR="00A954D0" w:rsidRPr="003255BC">
              <w:rPr>
                <w:rFonts w:ascii="Bookman Old Style" w:hAnsi="Bookman Old Style" w:cs="Calibri"/>
                <w:color w:val="000000"/>
                <w:sz w:val="20"/>
                <w:szCs w:val="20"/>
                <w:lang w:val="sv-FI"/>
              </w:rPr>
              <w:t xml:space="preserve"> </w:t>
            </w:r>
            <w:r w:rsidRPr="003255BC">
              <w:rPr>
                <w:rFonts w:ascii="Bookman Old Style" w:hAnsi="Bookman Old Style" w:cs="Calibri"/>
                <w:color w:val="000000"/>
                <w:sz w:val="20"/>
                <w:szCs w:val="20"/>
                <w:lang w:val="sv-FI"/>
              </w:rPr>
              <w:t>ASN</w:t>
            </w:r>
            <w:r w:rsidR="00A954D0" w:rsidRPr="003255BC">
              <w:rPr>
                <w:rFonts w:ascii="Bookman Old Style" w:hAnsi="Bookman Old Style" w:cs="Calibri"/>
                <w:color w:val="000000"/>
                <w:sz w:val="20"/>
                <w:szCs w:val="20"/>
                <w:lang w:val="sv-FI"/>
              </w:rPr>
              <w:t xml:space="preserve"> </w:t>
            </w:r>
          </w:p>
        </w:tc>
        <w:tc>
          <w:tcPr>
            <w:tcW w:w="2542" w:type="dxa"/>
            <w:shd w:val="clear" w:color="auto" w:fill="auto"/>
            <w:noWrap/>
            <w:vAlign w:val="center"/>
            <w:hideMark/>
          </w:tcPr>
          <w:p w14:paraId="11C7EB9D" w14:textId="3D927912" w:rsidR="005A4806" w:rsidRPr="00735D18" w:rsidRDefault="005A4806" w:rsidP="005A4806">
            <w:pPr>
              <w:jc w:val="right"/>
              <w:rPr>
                <w:rFonts w:ascii="Bookman Old Style" w:hAnsi="Bookman Old Style"/>
                <w:color w:val="000000"/>
                <w:sz w:val="20"/>
                <w:szCs w:val="20"/>
              </w:rPr>
            </w:pPr>
            <w:r w:rsidRPr="00735D18">
              <w:rPr>
                <w:rFonts w:ascii="Bookman Old Style" w:hAnsi="Bookman Old Style"/>
                <w:color w:val="000000"/>
                <w:sz w:val="20"/>
                <w:szCs w:val="20"/>
              </w:rPr>
              <w:t>6.878.745.711,00</w:t>
            </w:r>
            <w:r w:rsidR="00A954D0">
              <w:rPr>
                <w:rFonts w:ascii="Bookman Old Style" w:hAnsi="Bookman Old Style"/>
                <w:color w:val="000000"/>
                <w:sz w:val="20"/>
                <w:szCs w:val="20"/>
              </w:rPr>
              <w:t xml:space="preserve"> </w:t>
            </w:r>
          </w:p>
        </w:tc>
      </w:tr>
      <w:tr w:rsidR="005A4806" w:rsidRPr="00735D18" w14:paraId="30849595" w14:textId="77777777" w:rsidTr="00735D18">
        <w:trPr>
          <w:trHeight w:val="284"/>
        </w:trPr>
        <w:tc>
          <w:tcPr>
            <w:tcW w:w="488" w:type="dxa"/>
            <w:shd w:val="clear" w:color="auto" w:fill="auto"/>
            <w:noWrap/>
            <w:vAlign w:val="center"/>
            <w:hideMark/>
          </w:tcPr>
          <w:p w14:paraId="3C675C3C" w14:textId="02A29A9D" w:rsidR="005A4806" w:rsidRPr="00735D18" w:rsidRDefault="00A954D0" w:rsidP="005A4806">
            <w:pPr>
              <w:jc w:val="center"/>
              <w:rPr>
                <w:rFonts w:ascii="Bookman Old Style" w:hAnsi="Bookman Old Style"/>
                <w:color w:val="000000"/>
                <w:sz w:val="20"/>
                <w:szCs w:val="20"/>
              </w:rPr>
            </w:pPr>
            <w:r>
              <w:rPr>
                <w:rFonts w:ascii="Bookman Old Style" w:hAnsi="Bookman Old Style" w:cs="Calibri"/>
                <w:color w:val="000000"/>
                <w:sz w:val="20"/>
                <w:szCs w:val="20"/>
              </w:rPr>
              <w:t xml:space="preserve"> </w:t>
            </w:r>
          </w:p>
        </w:tc>
        <w:tc>
          <w:tcPr>
            <w:tcW w:w="439" w:type="dxa"/>
            <w:shd w:val="clear" w:color="auto" w:fill="auto"/>
            <w:vAlign w:val="center"/>
            <w:hideMark/>
          </w:tcPr>
          <w:p w14:paraId="644A438F" w14:textId="77777777" w:rsidR="005A4806" w:rsidRPr="00735D18" w:rsidRDefault="005A4806" w:rsidP="005A4806">
            <w:pPr>
              <w:rPr>
                <w:rFonts w:ascii="Bookman Old Style" w:hAnsi="Bookman Old Style"/>
                <w:color w:val="000000"/>
                <w:sz w:val="20"/>
                <w:szCs w:val="20"/>
              </w:rPr>
            </w:pPr>
            <w:r w:rsidRPr="00735D18">
              <w:rPr>
                <w:rFonts w:ascii="Bookman Old Style" w:hAnsi="Bookman Old Style" w:cs="Calibri"/>
                <w:color w:val="000000"/>
                <w:sz w:val="20"/>
                <w:szCs w:val="20"/>
              </w:rPr>
              <w:t>f.</w:t>
            </w:r>
          </w:p>
        </w:tc>
        <w:tc>
          <w:tcPr>
            <w:tcW w:w="5026" w:type="dxa"/>
            <w:shd w:val="clear" w:color="auto" w:fill="auto"/>
            <w:vAlign w:val="center"/>
            <w:hideMark/>
          </w:tcPr>
          <w:p w14:paraId="100EB605" w14:textId="0F4263F6" w:rsidR="005A4806" w:rsidRPr="00735D18" w:rsidRDefault="005A4806" w:rsidP="005A4806">
            <w:pPr>
              <w:rPr>
                <w:rFonts w:ascii="Bookman Old Style" w:hAnsi="Bookman Old Style"/>
                <w:color w:val="000000"/>
                <w:sz w:val="20"/>
                <w:szCs w:val="20"/>
              </w:rPr>
            </w:pPr>
            <w:r w:rsidRPr="00735D18">
              <w:rPr>
                <w:rFonts w:ascii="Bookman Old Style" w:hAnsi="Bookman Old Style" w:cs="Calibri"/>
                <w:color w:val="000000"/>
                <w:sz w:val="20"/>
                <w:szCs w:val="20"/>
              </w:rPr>
              <w:t>Belanja</w:t>
            </w:r>
            <w:r w:rsidR="00A954D0">
              <w:rPr>
                <w:rFonts w:ascii="Bookman Old Style" w:hAnsi="Bookman Old Style" w:cs="Calibri"/>
                <w:color w:val="000000"/>
                <w:sz w:val="20"/>
                <w:szCs w:val="20"/>
              </w:rPr>
              <w:t xml:space="preserve"> </w:t>
            </w:r>
            <w:r w:rsidRPr="00735D18">
              <w:rPr>
                <w:rFonts w:ascii="Bookman Old Style" w:hAnsi="Bookman Old Style" w:cs="Calibri"/>
                <w:color w:val="000000"/>
                <w:sz w:val="20"/>
                <w:szCs w:val="20"/>
              </w:rPr>
              <w:t>Tambahan</w:t>
            </w:r>
            <w:r w:rsidR="00A954D0">
              <w:rPr>
                <w:rFonts w:ascii="Bookman Old Style" w:hAnsi="Bookman Old Style" w:cs="Calibri"/>
                <w:color w:val="000000"/>
                <w:sz w:val="20"/>
                <w:szCs w:val="20"/>
              </w:rPr>
              <w:t xml:space="preserve"> </w:t>
            </w:r>
            <w:r w:rsidRPr="00735D18">
              <w:rPr>
                <w:rFonts w:ascii="Bookman Old Style" w:hAnsi="Bookman Old Style" w:cs="Calibri"/>
                <w:color w:val="000000"/>
                <w:sz w:val="20"/>
                <w:szCs w:val="20"/>
              </w:rPr>
              <w:t>Penghasilan</w:t>
            </w:r>
            <w:r w:rsidR="00A954D0">
              <w:rPr>
                <w:rFonts w:ascii="Bookman Old Style" w:hAnsi="Bookman Old Style" w:cs="Calibri"/>
                <w:color w:val="000000"/>
                <w:sz w:val="20"/>
                <w:szCs w:val="20"/>
              </w:rPr>
              <w:t xml:space="preserve"> </w:t>
            </w:r>
            <w:r w:rsidRPr="00735D18">
              <w:rPr>
                <w:rFonts w:ascii="Bookman Old Style" w:hAnsi="Bookman Old Style" w:cs="Calibri"/>
                <w:color w:val="000000"/>
                <w:sz w:val="20"/>
                <w:szCs w:val="20"/>
              </w:rPr>
              <w:t>ASN</w:t>
            </w:r>
          </w:p>
        </w:tc>
        <w:tc>
          <w:tcPr>
            <w:tcW w:w="2542" w:type="dxa"/>
            <w:shd w:val="clear" w:color="auto" w:fill="auto"/>
            <w:noWrap/>
            <w:vAlign w:val="center"/>
            <w:hideMark/>
          </w:tcPr>
          <w:p w14:paraId="1F6994F7" w14:textId="33C22FC3" w:rsidR="005A4806" w:rsidRPr="00735D18" w:rsidRDefault="005A4806" w:rsidP="005A4806">
            <w:pPr>
              <w:jc w:val="right"/>
              <w:rPr>
                <w:rFonts w:ascii="Bookman Old Style" w:hAnsi="Bookman Old Style"/>
                <w:color w:val="000000"/>
                <w:sz w:val="20"/>
                <w:szCs w:val="20"/>
              </w:rPr>
            </w:pPr>
            <w:r w:rsidRPr="00735D18">
              <w:rPr>
                <w:rFonts w:ascii="Bookman Old Style" w:hAnsi="Bookman Old Style"/>
                <w:color w:val="000000"/>
                <w:sz w:val="20"/>
                <w:szCs w:val="20"/>
              </w:rPr>
              <w:t>1.153.279.062.146,04</w:t>
            </w:r>
            <w:r w:rsidR="00A954D0">
              <w:rPr>
                <w:rFonts w:ascii="Bookman Old Style" w:hAnsi="Bookman Old Style"/>
                <w:color w:val="000000"/>
                <w:sz w:val="20"/>
                <w:szCs w:val="20"/>
              </w:rPr>
              <w:t xml:space="preserve"> </w:t>
            </w:r>
          </w:p>
        </w:tc>
      </w:tr>
      <w:tr w:rsidR="005A4806" w:rsidRPr="00735D18" w14:paraId="521EF023" w14:textId="77777777" w:rsidTr="00735D18">
        <w:trPr>
          <w:trHeight w:val="284"/>
        </w:trPr>
        <w:tc>
          <w:tcPr>
            <w:tcW w:w="488" w:type="dxa"/>
            <w:shd w:val="clear" w:color="auto" w:fill="auto"/>
            <w:noWrap/>
            <w:vAlign w:val="center"/>
            <w:hideMark/>
          </w:tcPr>
          <w:p w14:paraId="696B4467" w14:textId="4699402A" w:rsidR="005A4806" w:rsidRPr="00735D18" w:rsidRDefault="00A954D0" w:rsidP="005A4806">
            <w:pPr>
              <w:jc w:val="center"/>
              <w:rPr>
                <w:rFonts w:ascii="Bookman Old Style" w:hAnsi="Bookman Old Style"/>
                <w:color w:val="000000"/>
                <w:sz w:val="20"/>
                <w:szCs w:val="20"/>
              </w:rPr>
            </w:pPr>
            <w:r>
              <w:rPr>
                <w:rFonts w:ascii="Bookman Old Style" w:hAnsi="Bookman Old Style" w:cs="Calibri"/>
                <w:color w:val="000000"/>
                <w:sz w:val="20"/>
                <w:szCs w:val="20"/>
              </w:rPr>
              <w:t xml:space="preserve"> </w:t>
            </w:r>
          </w:p>
        </w:tc>
        <w:tc>
          <w:tcPr>
            <w:tcW w:w="439" w:type="dxa"/>
            <w:shd w:val="clear" w:color="auto" w:fill="auto"/>
            <w:vAlign w:val="center"/>
            <w:hideMark/>
          </w:tcPr>
          <w:p w14:paraId="532C0400" w14:textId="0B2BA048" w:rsidR="005A4806" w:rsidRPr="00735D18" w:rsidRDefault="005A4806" w:rsidP="005A4806">
            <w:pPr>
              <w:rPr>
                <w:rFonts w:ascii="Bookman Old Style" w:hAnsi="Bookman Old Style"/>
                <w:color w:val="000000"/>
                <w:sz w:val="20"/>
                <w:szCs w:val="20"/>
              </w:rPr>
            </w:pPr>
            <w:r w:rsidRPr="00735D18">
              <w:rPr>
                <w:rFonts w:ascii="Bookman Old Style" w:hAnsi="Bookman Old Style"/>
                <w:color w:val="000000"/>
                <w:sz w:val="20"/>
                <w:szCs w:val="20"/>
              </w:rPr>
              <w:t>g.</w:t>
            </w:r>
          </w:p>
        </w:tc>
        <w:tc>
          <w:tcPr>
            <w:tcW w:w="5026" w:type="dxa"/>
            <w:shd w:val="clear" w:color="auto" w:fill="auto"/>
            <w:vAlign w:val="center"/>
            <w:hideMark/>
          </w:tcPr>
          <w:p w14:paraId="5AA25302" w14:textId="6A68FA96" w:rsidR="005A4806" w:rsidRPr="003255BC" w:rsidRDefault="005A4806" w:rsidP="005A4806">
            <w:pPr>
              <w:rPr>
                <w:rFonts w:ascii="Bookman Old Style" w:hAnsi="Bookman Old Style"/>
                <w:color w:val="000000"/>
                <w:sz w:val="20"/>
                <w:szCs w:val="20"/>
                <w:lang w:val="sv-FI"/>
              </w:rPr>
            </w:pPr>
            <w:r w:rsidRPr="00735D18">
              <w:rPr>
                <w:rFonts w:ascii="Bookman Old Style" w:hAnsi="Bookman Old Style"/>
                <w:color w:val="000000"/>
                <w:sz w:val="20"/>
                <w:szCs w:val="20"/>
                <w:lang w:val="sv-FI"/>
              </w:rPr>
              <w:t>Belanja</w:t>
            </w:r>
            <w:r w:rsidR="00A954D0">
              <w:rPr>
                <w:rFonts w:ascii="Bookman Old Style" w:hAnsi="Bookman Old Style"/>
                <w:color w:val="000000"/>
                <w:sz w:val="20"/>
                <w:szCs w:val="20"/>
                <w:lang w:val="sv-FI"/>
              </w:rPr>
              <w:t xml:space="preserve"> </w:t>
            </w:r>
            <w:r w:rsidRPr="00735D18">
              <w:rPr>
                <w:rFonts w:ascii="Bookman Old Style" w:hAnsi="Bookman Old Style"/>
                <w:color w:val="000000"/>
                <w:sz w:val="20"/>
                <w:szCs w:val="20"/>
                <w:lang w:val="sv-FI"/>
              </w:rPr>
              <w:t>Tunjangan</w:t>
            </w:r>
            <w:r w:rsidR="00A954D0">
              <w:rPr>
                <w:rFonts w:ascii="Bookman Old Style" w:hAnsi="Bookman Old Style"/>
                <w:color w:val="000000"/>
                <w:sz w:val="20"/>
                <w:szCs w:val="20"/>
                <w:lang w:val="sv-FI"/>
              </w:rPr>
              <w:t xml:space="preserve"> </w:t>
            </w:r>
            <w:r w:rsidRPr="00735D18">
              <w:rPr>
                <w:rFonts w:ascii="Bookman Old Style" w:hAnsi="Bookman Old Style"/>
                <w:color w:val="000000"/>
                <w:sz w:val="20"/>
                <w:szCs w:val="20"/>
                <w:lang w:val="sv-FI"/>
              </w:rPr>
              <w:t>Profesi</w:t>
            </w:r>
            <w:r w:rsidR="00A954D0">
              <w:rPr>
                <w:rFonts w:ascii="Bookman Old Style" w:hAnsi="Bookman Old Style"/>
                <w:color w:val="000000"/>
                <w:sz w:val="20"/>
                <w:szCs w:val="20"/>
                <w:lang w:val="sv-FI"/>
              </w:rPr>
              <w:t xml:space="preserve"> </w:t>
            </w:r>
            <w:r w:rsidRPr="00735D18">
              <w:rPr>
                <w:rFonts w:ascii="Bookman Old Style" w:hAnsi="Bookman Old Style"/>
                <w:color w:val="000000"/>
                <w:sz w:val="20"/>
                <w:szCs w:val="20"/>
                <w:lang w:val="sv-FI"/>
              </w:rPr>
              <w:t>Guru</w:t>
            </w:r>
            <w:r w:rsidR="00A954D0">
              <w:rPr>
                <w:rFonts w:ascii="Bookman Old Style" w:hAnsi="Bookman Old Style"/>
                <w:color w:val="000000"/>
                <w:sz w:val="20"/>
                <w:szCs w:val="20"/>
                <w:lang w:val="sv-FI"/>
              </w:rPr>
              <w:t xml:space="preserve"> </w:t>
            </w:r>
            <w:r w:rsidRPr="00735D18">
              <w:rPr>
                <w:rFonts w:ascii="Bookman Old Style" w:hAnsi="Bookman Old Style"/>
                <w:color w:val="000000"/>
                <w:sz w:val="20"/>
                <w:szCs w:val="20"/>
                <w:lang w:val="sv-FI"/>
              </w:rPr>
              <w:t>(TPG)</w:t>
            </w:r>
            <w:r w:rsidR="00A954D0">
              <w:rPr>
                <w:rFonts w:ascii="Bookman Old Style" w:hAnsi="Bookman Old Style"/>
                <w:color w:val="000000"/>
                <w:sz w:val="20"/>
                <w:szCs w:val="20"/>
                <w:lang w:val="sv-FI"/>
              </w:rPr>
              <w:t xml:space="preserve"> </w:t>
            </w:r>
            <w:r w:rsidRPr="00735D18">
              <w:rPr>
                <w:rFonts w:ascii="Bookman Old Style" w:hAnsi="Bookman Old Style"/>
                <w:color w:val="000000"/>
                <w:sz w:val="20"/>
                <w:szCs w:val="20"/>
                <w:lang w:val="sv-FI"/>
              </w:rPr>
              <w:t>PNSD</w:t>
            </w:r>
          </w:p>
        </w:tc>
        <w:tc>
          <w:tcPr>
            <w:tcW w:w="2542" w:type="dxa"/>
            <w:shd w:val="clear" w:color="auto" w:fill="auto"/>
            <w:noWrap/>
            <w:vAlign w:val="center"/>
            <w:hideMark/>
          </w:tcPr>
          <w:p w14:paraId="205759DB" w14:textId="4B7EB8DB" w:rsidR="005A4806" w:rsidRPr="00735D18" w:rsidRDefault="005A4806" w:rsidP="005A4806">
            <w:pPr>
              <w:jc w:val="right"/>
              <w:rPr>
                <w:rFonts w:ascii="Bookman Old Style" w:hAnsi="Bookman Old Style"/>
                <w:color w:val="000000"/>
                <w:sz w:val="20"/>
                <w:szCs w:val="20"/>
              </w:rPr>
            </w:pPr>
            <w:r w:rsidRPr="00735D18">
              <w:rPr>
                <w:rFonts w:ascii="Bookman Old Style" w:hAnsi="Bookman Old Style"/>
                <w:color w:val="000000"/>
                <w:sz w:val="20"/>
                <w:szCs w:val="20"/>
              </w:rPr>
              <w:t>219.922.157.000,00</w:t>
            </w:r>
            <w:r w:rsidR="00A954D0">
              <w:rPr>
                <w:rFonts w:ascii="Bookman Old Style" w:hAnsi="Bookman Old Style"/>
                <w:color w:val="000000"/>
                <w:sz w:val="20"/>
                <w:szCs w:val="20"/>
              </w:rPr>
              <w:t xml:space="preserve"> </w:t>
            </w:r>
          </w:p>
        </w:tc>
      </w:tr>
      <w:tr w:rsidR="005A4806" w:rsidRPr="00735D18" w14:paraId="74FF84E2" w14:textId="77777777" w:rsidTr="00735D18">
        <w:trPr>
          <w:trHeight w:val="284"/>
        </w:trPr>
        <w:tc>
          <w:tcPr>
            <w:tcW w:w="488" w:type="dxa"/>
            <w:shd w:val="clear" w:color="auto" w:fill="auto"/>
            <w:noWrap/>
            <w:vAlign w:val="center"/>
            <w:hideMark/>
          </w:tcPr>
          <w:p w14:paraId="07EF56CB" w14:textId="605FDB39" w:rsidR="005A4806" w:rsidRPr="00735D18" w:rsidRDefault="00A954D0" w:rsidP="005A4806">
            <w:pPr>
              <w:jc w:val="center"/>
              <w:rPr>
                <w:rFonts w:ascii="Bookman Old Style" w:hAnsi="Bookman Old Style"/>
                <w:color w:val="000000"/>
                <w:sz w:val="20"/>
                <w:szCs w:val="20"/>
              </w:rPr>
            </w:pPr>
            <w:r>
              <w:rPr>
                <w:rFonts w:ascii="Bookman Old Style" w:hAnsi="Bookman Old Style" w:cs="Calibri"/>
                <w:color w:val="000000"/>
                <w:sz w:val="20"/>
                <w:szCs w:val="20"/>
              </w:rPr>
              <w:t xml:space="preserve"> </w:t>
            </w:r>
          </w:p>
        </w:tc>
        <w:tc>
          <w:tcPr>
            <w:tcW w:w="439" w:type="dxa"/>
            <w:shd w:val="clear" w:color="auto" w:fill="auto"/>
            <w:vAlign w:val="center"/>
            <w:hideMark/>
          </w:tcPr>
          <w:p w14:paraId="03E168B1" w14:textId="08032675" w:rsidR="005A4806" w:rsidRPr="00735D18" w:rsidRDefault="005A4806" w:rsidP="005A4806">
            <w:pPr>
              <w:rPr>
                <w:rFonts w:ascii="Bookman Old Style" w:hAnsi="Bookman Old Style"/>
                <w:color w:val="000000"/>
                <w:sz w:val="20"/>
                <w:szCs w:val="20"/>
              </w:rPr>
            </w:pPr>
            <w:r w:rsidRPr="00735D18">
              <w:rPr>
                <w:rFonts w:ascii="Bookman Old Style" w:hAnsi="Bookman Old Style"/>
                <w:color w:val="000000"/>
                <w:sz w:val="20"/>
                <w:szCs w:val="20"/>
              </w:rPr>
              <w:t>h.</w:t>
            </w:r>
          </w:p>
        </w:tc>
        <w:tc>
          <w:tcPr>
            <w:tcW w:w="5026" w:type="dxa"/>
            <w:shd w:val="clear" w:color="auto" w:fill="auto"/>
            <w:vAlign w:val="center"/>
            <w:hideMark/>
          </w:tcPr>
          <w:p w14:paraId="7979F197" w14:textId="0673614A" w:rsidR="005A4806" w:rsidRPr="00735D18" w:rsidRDefault="005A4806" w:rsidP="005A4806">
            <w:pPr>
              <w:rPr>
                <w:rFonts w:ascii="Bookman Old Style" w:hAnsi="Bookman Old Style"/>
                <w:color w:val="000000"/>
                <w:sz w:val="20"/>
                <w:szCs w:val="20"/>
              </w:rPr>
            </w:pPr>
            <w:r w:rsidRPr="00735D18">
              <w:rPr>
                <w:rFonts w:ascii="Bookman Old Style" w:hAnsi="Bookman Old Style"/>
                <w:color w:val="000000"/>
                <w:sz w:val="20"/>
                <w:szCs w:val="20"/>
                <w:lang w:val="sv-FI"/>
              </w:rPr>
              <w:t>Belanja</w:t>
            </w:r>
            <w:r w:rsidR="00A954D0">
              <w:rPr>
                <w:rFonts w:ascii="Bookman Old Style" w:hAnsi="Bookman Old Style"/>
                <w:color w:val="000000"/>
                <w:sz w:val="20"/>
                <w:szCs w:val="20"/>
                <w:lang w:val="sv-FI"/>
              </w:rPr>
              <w:t xml:space="preserve"> </w:t>
            </w:r>
            <w:r w:rsidRPr="00735D18">
              <w:rPr>
                <w:rFonts w:ascii="Bookman Old Style" w:hAnsi="Bookman Old Style"/>
                <w:color w:val="000000"/>
                <w:sz w:val="20"/>
                <w:szCs w:val="20"/>
                <w:lang w:val="sv-FI"/>
              </w:rPr>
              <w:t>Tunjangan</w:t>
            </w:r>
            <w:r w:rsidR="00A954D0">
              <w:rPr>
                <w:rFonts w:ascii="Bookman Old Style" w:hAnsi="Bookman Old Style"/>
                <w:color w:val="000000"/>
                <w:sz w:val="20"/>
                <w:szCs w:val="20"/>
                <w:lang w:val="sv-FI"/>
              </w:rPr>
              <w:t xml:space="preserve"> </w:t>
            </w:r>
            <w:r w:rsidRPr="00735D18">
              <w:rPr>
                <w:rFonts w:ascii="Bookman Old Style" w:hAnsi="Bookman Old Style"/>
                <w:color w:val="000000"/>
                <w:sz w:val="20"/>
                <w:szCs w:val="20"/>
                <w:lang w:val="sv-FI"/>
              </w:rPr>
              <w:t>Tambahan</w:t>
            </w:r>
            <w:r w:rsidR="00A954D0">
              <w:rPr>
                <w:rFonts w:ascii="Bookman Old Style" w:hAnsi="Bookman Old Style"/>
                <w:color w:val="000000"/>
                <w:sz w:val="20"/>
                <w:szCs w:val="20"/>
                <w:lang w:val="sv-FI"/>
              </w:rPr>
              <w:t xml:space="preserve"> </w:t>
            </w:r>
            <w:r w:rsidRPr="00735D18">
              <w:rPr>
                <w:rFonts w:ascii="Bookman Old Style" w:hAnsi="Bookman Old Style"/>
                <w:color w:val="000000"/>
                <w:sz w:val="20"/>
                <w:szCs w:val="20"/>
                <w:lang w:val="sv-FI"/>
              </w:rPr>
              <w:t>Penghasilan</w:t>
            </w:r>
          </w:p>
        </w:tc>
        <w:tc>
          <w:tcPr>
            <w:tcW w:w="2542" w:type="dxa"/>
            <w:shd w:val="clear" w:color="auto" w:fill="auto"/>
            <w:noWrap/>
            <w:vAlign w:val="center"/>
            <w:hideMark/>
          </w:tcPr>
          <w:p w14:paraId="56361CE6" w14:textId="16B8DF93" w:rsidR="005A4806" w:rsidRPr="00735D18" w:rsidRDefault="005A4806" w:rsidP="005A4806">
            <w:pPr>
              <w:jc w:val="right"/>
              <w:rPr>
                <w:rFonts w:ascii="Bookman Old Style" w:hAnsi="Bookman Old Style"/>
                <w:color w:val="000000"/>
                <w:sz w:val="20"/>
                <w:szCs w:val="20"/>
              </w:rPr>
            </w:pPr>
            <w:r w:rsidRPr="00735D18">
              <w:rPr>
                <w:rFonts w:ascii="Bookman Old Style" w:hAnsi="Bookman Old Style"/>
                <w:color w:val="000000"/>
                <w:sz w:val="20"/>
                <w:szCs w:val="20"/>
              </w:rPr>
              <w:t>3.586.250.000.00</w:t>
            </w:r>
            <w:r w:rsidR="00A954D0">
              <w:rPr>
                <w:rFonts w:ascii="Bookman Old Style" w:hAnsi="Bookman Old Style"/>
                <w:color w:val="000000"/>
                <w:sz w:val="20"/>
                <w:szCs w:val="20"/>
              </w:rPr>
              <w:t xml:space="preserve"> </w:t>
            </w:r>
          </w:p>
        </w:tc>
      </w:tr>
      <w:tr w:rsidR="005A4806" w:rsidRPr="00735D18" w14:paraId="3ADE45FC" w14:textId="77777777" w:rsidTr="00735D18">
        <w:trPr>
          <w:trHeight w:val="284"/>
        </w:trPr>
        <w:tc>
          <w:tcPr>
            <w:tcW w:w="488" w:type="dxa"/>
            <w:shd w:val="clear" w:color="auto" w:fill="auto"/>
            <w:noWrap/>
            <w:vAlign w:val="center"/>
            <w:hideMark/>
          </w:tcPr>
          <w:p w14:paraId="0999D06F" w14:textId="77777777" w:rsidR="005A4806" w:rsidRPr="00735D18" w:rsidRDefault="005A4806" w:rsidP="005A4806">
            <w:pPr>
              <w:jc w:val="center"/>
              <w:rPr>
                <w:rFonts w:ascii="Bookman Old Style" w:hAnsi="Bookman Old Style"/>
                <w:color w:val="000000"/>
                <w:sz w:val="20"/>
                <w:szCs w:val="20"/>
              </w:rPr>
            </w:pPr>
            <w:r w:rsidRPr="00735D18">
              <w:rPr>
                <w:rFonts w:ascii="Bookman Old Style" w:hAnsi="Bookman Old Style" w:cs="Calibri"/>
                <w:color w:val="000000"/>
                <w:sz w:val="20"/>
                <w:szCs w:val="20"/>
              </w:rPr>
              <w:t>2</w:t>
            </w:r>
          </w:p>
        </w:tc>
        <w:tc>
          <w:tcPr>
            <w:tcW w:w="5465" w:type="dxa"/>
            <w:gridSpan w:val="2"/>
            <w:shd w:val="clear" w:color="auto" w:fill="auto"/>
            <w:vAlign w:val="center"/>
            <w:hideMark/>
          </w:tcPr>
          <w:p w14:paraId="6CDDEF63" w14:textId="540F8873" w:rsidR="005A4806" w:rsidRPr="00735D18" w:rsidRDefault="005A4806" w:rsidP="005A4806">
            <w:pPr>
              <w:rPr>
                <w:rFonts w:ascii="Bookman Old Style" w:hAnsi="Bookman Old Style"/>
                <w:color w:val="000000"/>
                <w:sz w:val="20"/>
                <w:szCs w:val="20"/>
              </w:rPr>
            </w:pPr>
            <w:r w:rsidRPr="00735D18">
              <w:rPr>
                <w:rFonts w:ascii="Bookman Old Style" w:hAnsi="Bookman Old Style" w:cs="Calibri"/>
                <w:color w:val="000000"/>
                <w:sz w:val="20"/>
                <w:szCs w:val="20"/>
              </w:rPr>
              <w:t>Jumlah</w:t>
            </w:r>
            <w:r w:rsidR="00A954D0">
              <w:rPr>
                <w:rFonts w:ascii="Bookman Old Style" w:hAnsi="Bookman Old Style" w:cs="Calibri"/>
                <w:color w:val="000000"/>
                <w:sz w:val="20"/>
                <w:szCs w:val="20"/>
              </w:rPr>
              <w:t xml:space="preserve"> </w:t>
            </w:r>
            <w:r w:rsidRPr="00735D18">
              <w:rPr>
                <w:rFonts w:ascii="Bookman Old Style" w:hAnsi="Bookman Old Style" w:cs="Calibri"/>
                <w:color w:val="000000"/>
                <w:sz w:val="20"/>
                <w:szCs w:val="20"/>
              </w:rPr>
              <w:t>Penerimaan</w:t>
            </w:r>
          </w:p>
        </w:tc>
        <w:tc>
          <w:tcPr>
            <w:tcW w:w="2542" w:type="dxa"/>
            <w:shd w:val="clear" w:color="auto" w:fill="auto"/>
            <w:noWrap/>
            <w:vAlign w:val="center"/>
            <w:hideMark/>
          </w:tcPr>
          <w:p w14:paraId="1935AA98" w14:textId="5FE8D89B" w:rsidR="005A4806" w:rsidRPr="00735D18" w:rsidRDefault="005A4806" w:rsidP="005A4806">
            <w:pPr>
              <w:jc w:val="right"/>
              <w:rPr>
                <w:rFonts w:ascii="Bookman Old Style" w:hAnsi="Bookman Old Style"/>
                <w:color w:val="000000"/>
                <w:sz w:val="20"/>
                <w:szCs w:val="20"/>
              </w:rPr>
            </w:pPr>
            <w:r w:rsidRPr="00735D18">
              <w:rPr>
                <w:rFonts w:ascii="Bookman Old Style" w:hAnsi="Bookman Old Style"/>
                <w:color w:val="000000"/>
                <w:sz w:val="20"/>
                <w:szCs w:val="20"/>
              </w:rPr>
              <w:t>2.108.992.208.483,40</w:t>
            </w:r>
            <w:r w:rsidR="00A954D0">
              <w:rPr>
                <w:rFonts w:ascii="Bookman Old Style" w:hAnsi="Bookman Old Style"/>
                <w:color w:val="000000"/>
                <w:sz w:val="20"/>
                <w:szCs w:val="20"/>
              </w:rPr>
              <w:t xml:space="preserve"> </w:t>
            </w:r>
          </w:p>
        </w:tc>
      </w:tr>
      <w:tr w:rsidR="005A4806" w:rsidRPr="00735D18" w14:paraId="6F5AABA4" w14:textId="77777777" w:rsidTr="00735D18">
        <w:trPr>
          <w:trHeight w:val="284"/>
        </w:trPr>
        <w:tc>
          <w:tcPr>
            <w:tcW w:w="488" w:type="dxa"/>
            <w:shd w:val="clear" w:color="auto" w:fill="auto"/>
            <w:noWrap/>
            <w:vAlign w:val="center"/>
            <w:hideMark/>
          </w:tcPr>
          <w:p w14:paraId="7C2FBA4C" w14:textId="77777777" w:rsidR="005A4806" w:rsidRPr="00735D18" w:rsidRDefault="005A4806" w:rsidP="005A4806">
            <w:pPr>
              <w:jc w:val="center"/>
              <w:rPr>
                <w:rFonts w:ascii="Bookman Old Style" w:hAnsi="Bookman Old Style"/>
                <w:color w:val="000000"/>
                <w:sz w:val="20"/>
                <w:szCs w:val="20"/>
              </w:rPr>
            </w:pPr>
            <w:r w:rsidRPr="00735D18">
              <w:rPr>
                <w:rFonts w:ascii="Bookman Old Style" w:hAnsi="Bookman Old Style" w:cs="Calibri"/>
                <w:color w:val="000000"/>
                <w:sz w:val="20"/>
                <w:szCs w:val="20"/>
              </w:rPr>
              <w:t>3</w:t>
            </w:r>
          </w:p>
        </w:tc>
        <w:tc>
          <w:tcPr>
            <w:tcW w:w="5465" w:type="dxa"/>
            <w:gridSpan w:val="2"/>
            <w:shd w:val="clear" w:color="auto" w:fill="auto"/>
            <w:vAlign w:val="center"/>
            <w:hideMark/>
          </w:tcPr>
          <w:p w14:paraId="4E0AE913" w14:textId="770DCE37" w:rsidR="005A4806" w:rsidRPr="003255BC" w:rsidRDefault="005A4806" w:rsidP="005A4806">
            <w:pPr>
              <w:rPr>
                <w:rFonts w:ascii="Bookman Old Style" w:hAnsi="Bookman Old Style"/>
                <w:color w:val="000000"/>
                <w:sz w:val="20"/>
                <w:szCs w:val="20"/>
                <w:lang w:val="sv-FI"/>
              </w:rPr>
            </w:pPr>
            <w:r w:rsidRPr="00735D18">
              <w:rPr>
                <w:rFonts w:ascii="Bookman Old Style" w:hAnsi="Bookman Old Style"/>
                <w:color w:val="000000"/>
                <w:sz w:val="20"/>
                <w:szCs w:val="20"/>
                <w:lang w:val="sv-FI"/>
              </w:rPr>
              <w:t>Iuran</w:t>
            </w:r>
            <w:r w:rsidR="00A954D0">
              <w:rPr>
                <w:rFonts w:ascii="Bookman Old Style" w:hAnsi="Bookman Old Style"/>
                <w:color w:val="000000"/>
                <w:sz w:val="20"/>
                <w:szCs w:val="20"/>
                <w:lang w:val="sv-FI"/>
              </w:rPr>
              <w:t xml:space="preserve"> </w:t>
            </w:r>
            <w:r w:rsidRPr="00735D18">
              <w:rPr>
                <w:rFonts w:ascii="Bookman Old Style" w:hAnsi="Bookman Old Style"/>
                <w:color w:val="000000"/>
                <w:sz w:val="20"/>
                <w:szCs w:val="20"/>
                <w:lang w:val="sv-FI"/>
              </w:rPr>
              <w:t>yang</w:t>
            </w:r>
            <w:r w:rsidR="00A954D0">
              <w:rPr>
                <w:rFonts w:ascii="Bookman Old Style" w:hAnsi="Bookman Old Style"/>
                <w:color w:val="000000"/>
                <w:sz w:val="20"/>
                <w:szCs w:val="20"/>
                <w:lang w:val="sv-FI"/>
              </w:rPr>
              <w:t xml:space="preserve"> </w:t>
            </w:r>
            <w:r w:rsidRPr="00735D18">
              <w:rPr>
                <w:rFonts w:ascii="Bookman Old Style" w:hAnsi="Bookman Old Style"/>
                <w:color w:val="000000"/>
                <w:sz w:val="20"/>
                <w:szCs w:val="20"/>
                <w:lang w:val="sv-FI"/>
              </w:rPr>
              <w:t>harus</w:t>
            </w:r>
            <w:r w:rsidR="00A954D0">
              <w:rPr>
                <w:rFonts w:ascii="Bookman Old Style" w:hAnsi="Bookman Old Style"/>
                <w:color w:val="000000"/>
                <w:sz w:val="20"/>
                <w:szCs w:val="20"/>
                <w:lang w:val="sv-FI"/>
              </w:rPr>
              <w:t xml:space="preserve"> </w:t>
            </w:r>
            <w:r w:rsidRPr="00735D18">
              <w:rPr>
                <w:rFonts w:ascii="Bookman Old Style" w:hAnsi="Bookman Old Style"/>
                <w:color w:val="000000"/>
                <w:sz w:val="20"/>
                <w:szCs w:val="20"/>
                <w:lang w:val="sv-FI"/>
              </w:rPr>
              <w:t>dibayarkan</w:t>
            </w:r>
            <w:r w:rsidR="00A954D0">
              <w:rPr>
                <w:rFonts w:ascii="Bookman Old Style" w:hAnsi="Bookman Old Style"/>
                <w:color w:val="000000"/>
                <w:sz w:val="20"/>
                <w:szCs w:val="20"/>
                <w:lang w:val="sv-FI"/>
              </w:rPr>
              <w:t xml:space="preserve"> </w:t>
            </w:r>
            <w:r w:rsidRPr="00735D18">
              <w:rPr>
                <w:rFonts w:ascii="Bookman Old Style" w:hAnsi="Bookman Old Style"/>
                <w:color w:val="000000"/>
                <w:sz w:val="20"/>
                <w:szCs w:val="20"/>
                <w:lang w:val="sv-FI"/>
              </w:rPr>
              <w:t>(Jumlah</w:t>
            </w:r>
            <w:r w:rsidR="00A954D0">
              <w:rPr>
                <w:rFonts w:ascii="Bookman Old Style" w:hAnsi="Bookman Old Style"/>
                <w:color w:val="000000"/>
                <w:sz w:val="20"/>
                <w:szCs w:val="20"/>
                <w:lang w:val="sv-FI"/>
              </w:rPr>
              <w:t xml:space="preserve"> </w:t>
            </w:r>
            <w:r w:rsidRPr="00735D18">
              <w:rPr>
                <w:rFonts w:ascii="Bookman Old Style" w:hAnsi="Bookman Old Style"/>
                <w:color w:val="000000"/>
                <w:sz w:val="20"/>
                <w:szCs w:val="20"/>
                <w:lang w:val="sv-FI"/>
              </w:rPr>
              <w:t>Belanja</w:t>
            </w:r>
            <w:r w:rsidR="00A954D0">
              <w:rPr>
                <w:rFonts w:ascii="Bookman Old Style" w:hAnsi="Bookman Old Style"/>
                <w:color w:val="000000"/>
                <w:sz w:val="20"/>
                <w:szCs w:val="20"/>
                <w:lang w:val="sv-FI"/>
              </w:rPr>
              <w:t xml:space="preserve"> </w:t>
            </w:r>
            <w:r w:rsidRPr="00735D18">
              <w:rPr>
                <w:rFonts w:ascii="Bookman Old Style" w:hAnsi="Bookman Old Style"/>
                <w:color w:val="000000"/>
                <w:sz w:val="20"/>
                <w:szCs w:val="20"/>
                <w:lang w:val="sv-FI"/>
              </w:rPr>
              <w:t>x</w:t>
            </w:r>
            <w:r w:rsidR="00A954D0">
              <w:rPr>
                <w:rFonts w:ascii="Bookman Old Style" w:hAnsi="Bookman Old Style"/>
                <w:color w:val="000000"/>
                <w:sz w:val="20"/>
                <w:szCs w:val="20"/>
                <w:lang w:val="sv-FI"/>
              </w:rPr>
              <w:t xml:space="preserve"> </w:t>
            </w:r>
            <w:r w:rsidRPr="00735D18">
              <w:rPr>
                <w:rFonts w:ascii="Bookman Old Style" w:hAnsi="Bookman Old Style"/>
                <w:color w:val="000000"/>
                <w:sz w:val="20"/>
                <w:szCs w:val="20"/>
                <w:lang w:val="sv-FI"/>
              </w:rPr>
              <w:t>4%)</w:t>
            </w:r>
          </w:p>
        </w:tc>
        <w:tc>
          <w:tcPr>
            <w:tcW w:w="2542" w:type="dxa"/>
            <w:shd w:val="clear" w:color="auto" w:fill="auto"/>
            <w:noWrap/>
            <w:vAlign w:val="center"/>
            <w:hideMark/>
          </w:tcPr>
          <w:p w14:paraId="139C544C" w14:textId="7481F11D" w:rsidR="005A4806" w:rsidRPr="00735D18" w:rsidRDefault="005A4806" w:rsidP="005A4806">
            <w:pPr>
              <w:jc w:val="right"/>
              <w:rPr>
                <w:rFonts w:ascii="Bookman Old Style" w:hAnsi="Bookman Old Style"/>
                <w:color w:val="000000"/>
                <w:sz w:val="20"/>
                <w:szCs w:val="20"/>
              </w:rPr>
            </w:pPr>
            <w:bookmarkStart w:id="23" w:name="_Hlk184073228"/>
            <w:r w:rsidRPr="00735D18">
              <w:rPr>
                <w:rFonts w:ascii="Bookman Old Style" w:hAnsi="Bookman Old Style"/>
                <w:color w:val="000000"/>
                <w:sz w:val="20"/>
                <w:szCs w:val="20"/>
              </w:rPr>
              <w:t>84.359.688.339,34</w:t>
            </w:r>
            <w:r w:rsidR="00A954D0">
              <w:rPr>
                <w:rFonts w:ascii="Bookman Old Style" w:hAnsi="Bookman Old Style"/>
                <w:color w:val="000000"/>
                <w:sz w:val="20"/>
                <w:szCs w:val="20"/>
              </w:rPr>
              <w:t xml:space="preserve"> </w:t>
            </w:r>
            <w:bookmarkEnd w:id="23"/>
          </w:p>
        </w:tc>
      </w:tr>
      <w:tr w:rsidR="005A4806" w:rsidRPr="00735D18" w14:paraId="22931C40" w14:textId="77777777" w:rsidTr="00735D18">
        <w:trPr>
          <w:trHeight w:val="284"/>
        </w:trPr>
        <w:tc>
          <w:tcPr>
            <w:tcW w:w="488" w:type="dxa"/>
            <w:shd w:val="clear" w:color="auto" w:fill="auto"/>
            <w:noWrap/>
            <w:vAlign w:val="center"/>
            <w:hideMark/>
          </w:tcPr>
          <w:p w14:paraId="0477B016" w14:textId="77777777" w:rsidR="005A4806" w:rsidRPr="00735D18" w:rsidRDefault="005A4806" w:rsidP="005A4806">
            <w:pPr>
              <w:jc w:val="center"/>
              <w:rPr>
                <w:rFonts w:ascii="Bookman Old Style" w:hAnsi="Bookman Old Style"/>
                <w:color w:val="000000"/>
                <w:sz w:val="20"/>
                <w:szCs w:val="20"/>
              </w:rPr>
            </w:pPr>
            <w:r w:rsidRPr="00735D18">
              <w:rPr>
                <w:rFonts w:ascii="Bookman Old Style" w:hAnsi="Bookman Old Style" w:cs="Calibri"/>
                <w:color w:val="000000"/>
                <w:sz w:val="20"/>
                <w:szCs w:val="20"/>
              </w:rPr>
              <w:t>4</w:t>
            </w:r>
          </w:p>
        </w:tc>
        <w:tc>
          <w:tcPr>
            <w:tcW w:w="5465" w:type="dxa"/>
            <w:gridSpan w:val="2"/>
            <w:shd w:val="clear" w:color="auto" w:fill="auto"/>
            <w:vAlign w:val="center"/>
            <w:hideMark/>
          </w:tcPr>
          <w:p w14:paraId="7EAAF90E" w14:textId="0BE4367A" w:rsidR="005A4806" w:rsidRPr="003255BC" w:rsidRDefault="005A4806" w:rsidP="005A4806">
            <w:pPr>
              <w:rPr>
                <w:rFonts w:ascii="Bookman Old Style" w:hAnsi="Bookman Old Style"/>
                <w:color w:val="000000"/>
                <w:sz w:val="20"/>
                <w:szCs w:val="20"/>
                <w:lang w:val="sv-FI"/>
              </w:rPr>
            </w:pPr>
            <w:r w:rsidRPr="00735D18">
              <w:rPr>
                <w:rFonts w:ascii="Bookman Old Style" w:hAnsi="Bookman Old Style"/>
                <w:color w:val="000000"/>
                <w:sz w:val="20"/>
                <w:szCs w:val="20"/>
                <w:lang w:val="sv-FI"/>
              </w:rPr>
              <w:t>Alokasi</w:t>
            </w:r>
            <w:r w:rsidR="00A954D0">
              <w:rPr>
                <w:rFonts w:ascii="Bookman Old Style" w:hAnsi="Bookman Old Style"/>
                <w:color w:val="000000"/>
                <w:sz w:val="20"/>
                <w:szCs w:val="20"/>
                <w:lang w:val="sv-FI"/>
              </w:rPr>
              <w:t xml:space="preserve"> </w:t>
            </w:r>
            <w:r w:rsidRPr="00735D18">
              <w:rPr>
                <w:rFonts w:ascii="Bookman Old Style" w:hAnsi="Bookman Old Style"/>
                <w:color w:val="000000"/>
                <w:sz w:val="20"/>
                <w:szCs w:val="20"/>
                <w:lang w:val="sv-FI"/>
              </w:rPr>
              <w:t>Belanja</w:t>
            </w:r>
            <w:r w:rsidR="00A954D0">
              <w:rPr>
                <w:rFonts w:ascii="Bookman Old Style" w:hAnsi="Bookman Old Style"/>
                <w:color w:val="000000"/>
                <w:sz w:val="20"/>
                <w:szCs w:val="20"/>
                <w:lang w:val="sv-FI"/>
              </w:rPr>
              <w:t xml:space="preserve"> </w:t>
            </w:r>
            <w:r w:rsidRPr="00735D18">
              <w:rPr>
                <w:rFonts w:ascii="Bookman Old Style" w:hAnsi="Bookman Old Style"/>
                <w:color w:val="000000"/>
                <w:sz w:val="20"/>
                <w:szCs w:val="20"/>
                <w:lang w:val="sv-FI"/>
              </w:rPr>
              <w:t>Iuran</w:t>
            </w:r>
            <w:r w:rsidR="00A954D0">
              <w:rPr>
                <w:rFonts w:ascii="Bookman Old Style" w:hAnsi="Bookman Old Style"/>
                <w:color w:val="000000"/>
                <w:sz w:val="20"/>
                <w:szCs w:val="20"/>
                <w:lang w:val="sv-FI"/>
              </w:rPr>
              <w:t xml:space="preserve"> </w:t>
            </w:r>
            <w:r w:rsidRPr="00735D18">
              <w:rPr>
                <w:rFonts w:ascii="Bookman Old Style" w:hAnsi="Bookman Old Style"/>
                <w:color w:val="000000"/>
                <w:sz w:val="20"/>
                <w:szCs w:val="20"/>
                <w:lang w:val="sv-FI"/>
              </w:rPr>
              <w:t>Jaminan</w:t>
            </w:r>
            <w:r w:rsidR="00A954D0">
              <w:rPr>
                <w:rFonts w:ascii="Bookman Old Style" w:hAnsi="Bookman Old Style"/>
                <w:color w:val="000000"/>
                <w:sz w:val="20"/>
                <w:szCs w:val="20"/>
                <w:lang w:val="sv-FI"/>
              </w:rPr>
              <w:t xml:space="preserve"> </w:t>
            </w:r>
            <w:r w:rsidRPr="00735D18">
              <w:rPr>
                <w:rFonts w:ascii="Bookman Old Style" w:hAnsi="Bookman Old Style"/>
                <w:color w:val="000000"/>
                <w:sz w:val="20"/>
                <w:szCs w:val="20"/>
                <w:lang w:val="sv-FI"/>
              </w:rPr>
              <w:t>Kesehatan</w:t>
            </w:r>
            <w:r w:rsidR="00A954D0">
              <w:rPr>
                <w:rFonts w:ascii="Bookman Old Style" w:hAnsi="Bookman Old Style"/>
                <w:color w:val="000000"/>
                <w:sz w:val="20"/>
                <w:szCs w:val="20"/>
                <w:lang w:val="sv-FI"/>
              </w:rPr>
              <w:t xml:space="preserve"> </w:t>
            </w:r>
            <w:r w:rsidRPr="00735D18">
              <w:rPr>
                <w:rFonts w:ascii="Bookman Old Style" w:hAnsi="Bookman Old Style"/>
                <w:color w:val="000000"/>
                <w:sz w:val="20"/>
                <w:szCs w:val="20"/>
                <w:lang w:val="sv-FI"/>
              </w:rPr>
              <w:t>ASN</w:t>
            </w:r>
            <w:r w:rsidR="00A954D0">
              <w:rPr>
                <w:rFonts w:ascii="Bookman Old Style" w:hAnsi="Bookman Old Style"/>
                <w:color w:val="000000"/>
                <w:sz w:val="20"/>
                <w:szCs w:val="20"/>
                <w:lang w:val="sv-FI"/>
              </w:rPr>
              <w:t xml:space="preserve"> </w:t>
            </w:r>
            <w:r w:rsidRPr="00735D18">
              <w:rPr>
                <w:rFonts w:ascii="Bookman Old Style" w:hAnsi="Bookman Old Style"/>
                <w:color w:val="000000"/>
                <w:sz w:val="20"/>
                <w:szCs w:val="20"/>
                <w:lang w:val="sv-FI"/>
              </w:rPr>
              <w:t>pada</w:t>
            </w:r>
            <w:r w:rsidR="00A954D0">
              <w:rPr>
                <w:rFonts w:ascii="Bookman Old Style" w:hAnsi="Bookman Old Style"/>
                <w:color w:val="000000"/>
                <w:sz w:val="20"/>
                <w:szCs w:val="20"/>
                <w:lang w:val="sv-FI"/>
              </w:rPr>
              <w:t xml:space="preserve"> </w:t>
            </w:r>
            <w:r w:rsidRPr="00735D18">
              <w:rPr>
                <w:rFonts w:ascii="Bookman Old Style" w:hAnsi="Bookman Old Style"/>
                <w:color w:val="000000"/>
                <w:sz w:val="20"/>
                <w:szCs w:val="20"/>
                <w:lang w:val="sv-FI"/>
              </w:rPr>
              <w:t>APBD</w:t>
            </w:r>
          </w:p>
        </w:tc>
        <w:tc>
          <w:tcPr>
            <w:tcW w:w="2542" w:type="dxa"/>
            <w:shd w:val="clear" w:color="auto" w:fill="auto"/>
            <w:noWrap/>
            <w:vAlign w:val="center"/>
            <w:hideMark/>
          </w:tcPr>
          <w:p w14:paraId="00218FB7" w14:textId="2AD7B77D" w:rsidR="005A4806" w:rsidRPr="00735D18" w:rsidRDefault="005A4806" w:rsidP="005A4806">
            <w:pPr>
              <w:jc w:val="right"/>
              <w:rPr>
                <w:rFonts w:ascii="Bookman Old Style" w:hAnsi="Bookman Old Style"/>
                <w:color w:val="000000"/>
                <w:sz w:val="20"/>
                <w:szCs w:val="20"/>
              </w:rPr>
            </w:pPr>
            <w:r w:rsidRPr="00735D18">
              <w:rPr>
                <w:rFonts w:ascii="Bookman Old Style" w:hAnsi="Bookman Old Style"/>
                <w:color w:val="000000"/>
                <w:sz w:val="20"/>
                <w:szCs w:val="20"/>
              </w:rPr>
              <w:t>64.723.974.430,00</w:t>
            </w:r>
            <w:r w:rsidR="00A954D0">
              <w:rPr>
                <w:rFonts w:ascii="Bookman Old Style" w:hAnsi="Bookman Old Style"/>
                <w:color w:val="000000"/>
                <w:sz w:val="20"/>
                <w:szCs w:val="20"/>
              </w:rPr>
              <w:t xml:space="preserve"> </w:t>
            </w:r>
          </w:p>
        </w:tc>
      </w:tr>
      <w:tr w:rsidR="005A4806" w:rsidRPr="00735D18" w14:paraId="42DF23F2" w14:textId="77777777" w:rsidTr="00735D18">
        <w:trPr>
          <w:trHeight w:val="284"/>
        </w:trPr>
        <w:tc>
          <w:tcPr>
            <w:tcW w:w="488" w:type="dxa"/>
            <w:shd w:val="clear" w:color="auto" w:fill="auto"/>
            <w:noWrap/>
            <w:vAlign w:val="center"/>
            <w:hideMark/>
          </w:tcPr>
          <w:p w14:paraId="00AF82A5" w14:textId="13A8BE9D" w:rsidR="005A4806" w:rsidRPr="00735D18" w:rsidRDefault="00A954D0" w:rsidP="005A4806">
            <w:pPr>
              <w:jc w:val="center"/>
              <w:rPr>
                <w:rFonts w:ascii="Bookman Old Style" w:hAnsi="Bookman Old Style"/>
                <w:color w:val="000000"/>
                <w:sz w:val="20"/>
                <w:szCs w:val="20"/>
              </w:rPr>
            </w:pPr>
            <w:r>
              <w:rPr>
                <w:rFonts w:ascii="Bookman Old Style" w:hAnsi="Bookman Old Style" w:cs="Calibri"/>
                <w:color w:val="000000"/>
                <w:sz w:val="20"/>
                <w:szCs w:val="20"/>
              </w:rPr>
              <w:t xml:space="preserve"> </w:t>
            </w:r>
          </w:p>
        </w:tc>
        <w:tc>
          <w:tcPr>
            <w:tcW w:w="5465" w:type="dxa"/>
            <w:gridSpan w:val="2"/>
            <w:shd w:val="clear" w:color="auto" w:fill="auto"/>
            <w:vAlign w:val="center"/>
            <w:hideMark/>
          </w:tcPr>
          <w:p w14:paraId="6833A910" w14:textId="737582D9" w:rsidR="005A4806" w:rsidRPr="00735D18" w:rsidRDefault="005A4806" w:rsidP="005A4806">
            <w:pPr>
              <w:rPr>
                <w:rFonts w:ascii="Bookman Old Style" w:hAnsi="Bookman Old Style"/>
                <w:b/>
                <w:bCs/>
                <w:color w:val="000000"/>
                <w:sz w:val="20"/>
                <w:szCs w:val="20"/>
              </w:rPr>
            </w:pPr>
            <w:r w:rsidRPr="00735D18">
              <w:rPr>
                <w:rFonts w:ascii="Bookman Old Style" w:hAnsi="Bookman Old Style" w:cs="Calibri"/>
                <w:b/>
                <w:bCs/>
                <w:color w:val="000000"/>
                <w:sz w:val="20"/>
                <w:szCs w:val="20"/>
              </w:rPr>
              <w:t>Selisih</w:t>
            </w:r>
            <w:r w:rsidR="00A954D0">
              <w:rPr>
                <w:rFonts w:ascii="Bookman Old Style" w:hAnsi="Bookman Old Style" w:cs="Calibri"/>
                <w:b/>
                <w:bCs/>
                <w:color w:val="000000"/>
                <w:sz w:val="20"/>
                <w:szCs w:val="20"/>
              </w:rPr>
              <w:t xml:space="preserve"> </w:t>
            </w:r>
            <w:r w:rsidRPr="00735D18">
              <w:rPr>
                <w:rFonts w:ascii="Bookman Old Style" w:hAnsi="Bookman Old Style" w:cs="Calibri"/>
                <w:b/>
                <w:bCs/>
                <w:color w:val="000000"/>
                <w:sz w:val="20"/>
                <w:szCs w:val="20"/>
              </w:rPr>
              <w:t>kurang</w:t>
            </w:r>
            <w:r w:rsidR="00A954D0">
              <w:rPr>
                <w:rFonts w:ascii="Bookman Old Style" w:hAnsi="Bookman Old Style" w:cs="Calibri"/>
                <w:b/>
                <w:bCs/>
                <w:color w:val="000000"/>
                <w:sz w:val="20"/>
                <w:szCs w:val="20"/>
              </w:rPr>
              <w:t xml:space="preserve"> </w:t>
            </w:r>
            <w:r w:rsidRPr="00735D18">
              <w:rPr>
                <w:rFonts w:ascii="Bookman Old Style" w:hAnsi="Bookman Old Style" w:cs="Calibri"/>
                <w:b/>
                <w:bCs/>
                <w:color w:val="000000"/>
                <w:sz w:val="20"/>
                <w:szCs w:val="20"/>
              </w:rPr>
              <w:t>(angka</w:t>
            </w:r>
            <w:r w:rsidR="00A954D0">
              <w:rPr>
                <w:rFonts w:ascii="Bookman Old Style" w:hAnsi="Bookman Old Style" w:cs="Calibri"/>
                <w:b/>
                <w:bCs/>
                <w:color w:val="000000"/>
                <w:sz w:val="20"/>
                <w:szCs w:val="20"/>
              </w:rPr>
              <w:t xml:space="preserve"> </w:t>
            </w:r>
            <w:r w:rsidRPr="00735D18">
              <w:rPr>
                <w:rFonts w:ascii="Bookman Old Style" w:hAnsi="Bookman Old Style" w:cs="Calibri"/>
                <w:b/>
                <w:bCs/>
                <w:color w:val="000000"/>
                <w:sz w:val="20"/>
                <w:szCs w:val="20"/>
              </w:rPr>
              <w:t>4</w:t>
            </w:r>
            <w:r w:rsidR="00A954D0">
              <w:rPr>
                <w:rFonts w:ascii="Bookman Old Style" w:hAnsi="Bookman Old Style" w:cs="Calibri"/>
                <w:b/>
                <w:bCs/>
                <w:color w:val="000000"/>
                <w:sz w:val="20"/>
                <w:szCs w:val="20"/>
              </w:rPr>
              <w:t xml:space="preserve"> </w:t>
            </w:r>
            <w:r w:rsidRPr="00735D18">
              <w:rPr>
                <w:rFonts w:ascii="Bookman Old Style" w:hAnsi="Bookman Old Style" w:cs="Calibri"/>
                <w:b/>
                <w:bCs/>
                <w:color w:val="000000"/>
                <w:sz w:val="20"/>
                <w:szCs w:val="20"/>
              </w:rPr>
              <w:t>-</w:t>
            </w:r>
            <w:r w:rsidR="00A954D0">
              <w:rPr>
                <w:rFonts w:ascii="Bookman Old Style" w:hAnsi="Bookman Old Style" w:cs="Calibri"/>
                <w:b/>
                <w:bCs/>
                <w:color w:val="000000"/>
                <w:sz w:val="20"/>
                <w:szCs w:val="20"/>
              </w:rPr>
              <w:t xml:space="preserve"> </w:t>
            </w:r>
            <w:r w:rsidRPr="00735D18">
              <w:rPr>
                <w:rFonts w:ascii="Bookman Old Style" w:hAnsi="Bookman Old Style" w:cs="Calibri"/>
                <w:b/>
                <w:bCs/>
                <w:color w:val="000000"/>
                <w:sz w:val="20"/>
                <w:szCs w:val="20"/>
              </w:rPr>
              <w:t>angka</w:t>
            </w:r>
            <w:r w:rsidR="00A954D0">
              <w:rPr>
                <w:rFonts w:ascii="Bookman Old Style" w:hAnsi="Bookman Old Style" w:cs="Calibri"/>
                <w:b/>
                <w:bCs/>
                <w:color w:val="000000"/>
                <w:sz w:val="20"/>
                <w:szCs w:val="20"/>
              </w:rPr>
              <w:t xml:space="preserve"> </w:t>
            </w:r>
            <w:r w:rsidRPr="00735D18">
              <w:rPr>
                <w:rFonts w:ascii="Bookman Old Style" w:hAnsi="Bookman Old Style" w:cs="Calibri"/>
                <w:b/>
                <w:bCs/>
                <w:color w:val="000000"/>
                <w:sz w:val="20"/>
                <w:szCs w:val="20"/>
              </w:rPr>
              <w:t>3)</w:t>
            </w:r>
          </w:p>
        </w:tc>
        <w:tc>
          <w:tcPr>
            <w:tcW w:w="2542" w:type="dxa"/>
            <w:shd w:val="clear" w:color="auto" w:fill="auto"/>
            <w:noWrap/>
            <w:vAlign w:val="center"/>
            <w:hideMark/>
          </w:tcPr>
          <w:p w14:paraId="20E9C2B3" w14:textId="5353CA29" w:rsidR="005A4806" w:rsidRPr="00735D18" w:rsidRDefault="00A954D0" w:rsidP="005A4806">
            <w:pPr>
              <w:jc w:val="right"/>
              <w:rPr>
                <w:rFonts w:ascii="Bookman Old Style" w:hAnsi="Bookman Old Style"/>
                <w:b/>
                <w:bCs/>
                <w:color w:val="000000"/>
                <w:sz w:val="20"/>
                <w:szCs w:val="20"/>
              </w:rPr>
            </w:pPr>
            <w:r>
              <w:rPr>
                <w:rFonts w:ascii="Bookman Old Style" w:hAnsi="Bookman Old Style"/>
                <w:b/>
                <w:bCs/>
                <w:color w:val="000000"/>
                <w:sz w:val="20"/>
                <w:szCs w:val="20"/>
              </w:rPr>
              <w:t xml:space="preserve"> </w:t>
            </w:r>
            <w:r w:rsidR="005A4806" w:rsidRPr="00735D18">
              <w:rPr>
                <w:rFonts w:ascii="Bookman Old Style" w:hAnsi="Bookman Old Style"/>
                <w:b/>
                <w:bCs/>
                <w:color w:val="000000"/>
                <w:sz w:val="20"/>
                <w:szCs w:val="20"/>
              </w:rPr>
              <w:t>(</w:t>
            </w:r>
            <w:bookmarkStart w:id="24" w:name="_Hlk184073266"/>
            <w:r w:rsidR="005A4806" w:rsidRPr="00735D18">
              <w:rPr>
                <w:rFonts w:ascii="Bookman Old Style" w:hAnsi="Bookman Old Style"/>
                <w:b/>
                <w:bCs/>
                <w:color w:val="000000"/>
                <w:sz w:val="20"/>
                <w:szCs w:val="20"/>
              </w:rPr>
              <w:t>19.635.713.909,34</w:t>
            </w:r>
            <w:bookmarkEnd w:id="24"/>
            <w:r w:rsidR="005A4806" w:rsidRPr="00735D18">
              <w:rPr>
                <w:rFonts w:ascii="Bookman Old Style" w:hAnsi="Bookman Old Style"/>
                <w:b/>
                <w:bCs/>
                <w:color w:val="000000"/>
                <w:sz w:val="20"/>
                <w:szCs w:val="20"/>
              </w:rPr>
              <w:t>)</w:t>
            </w:r>
            <w:r>
              <w:rPr>
                <w:rFonts w:ascii="Bookman Old Style" w:hAnsi="Bookman Old Style"/>
                <w:b/>
                <w:bCs/>
                <w:color w:val="000000"/>
                <w:sz w:val="20"/>
                <w:szCs w:val="20"/>
              </w:rPr>
              <w:t xml:space="preserve"> </w:t>
            </w:r>
          </w:p>
        </w:tc>
      </w:tr>
    </w:tbl>
    <w:p w14:paraId="6B403607" w14:textId="7EDB5046" w:rsidR="005A4806" w:rsidRPr="00727324" w:rsidRDefault="005A4806" w:rsidP="002A0F1F">
      <w:pPr>
        <w:pStyle w:val="ListParagraph"/>
        <w:spacing w:before="120" w:after="0" w:line="276" w:lineRule="auto"/>
        <w:ind w:left="3261"/>
        <w:contextualSpacing w:val="0"/>
        <w:jc w:val="both"/>
        <w:rPr>
          <w:rFonts w:ascii="Bookman Old Style" w:hAnsi="Bookman Old Style" w:cs="Tahoma,Bold"/>
          <w:bCs/>
          <w:sz w:val="24"/>
          <w:szCs w:val="24"/>
          <w:lang w:val="id-ID" w:eastAsia="id-ID"/>
        </w:rPr>
      </w:pPr>
      <w:r w:rsidRPr="00727324">
        <w:rPr>
          <w:rFonts w:ascii="Bookman Old Style" w:hAnsi="Bookman Old Style" w:cs="Tahoma,Bold"/>
          <w:bCs/>
          <w:sz w:val="24"/>
          <w:szCs w:val="24"/>
          <w:lang w:val="id-ID" w:eastAsia="id-ID"/>
        </w:rPr>
        <w:t>Berdasarkan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tabel</w:t>
      </w:r>
      <w:r w:rsidR="00A954D0">
        <w:rPr>
          <w:rFonts w:ascii="Bookman Old Style" w:hAnsi="Bookman Old Style" w:cs="Tahoma,Bold"/>
          <w:bCs/>
          <w:sz w:val="24"/>
          <w:szCs w:val="24"/>
          <w:lang w:val="id-ID" w:eastAsia="id-ID"/>
        </w:rPr>
        <w:t xml:space="preserve"> </w:t>
      </w:r>
      <w:r w:rsidRPr="00727324">
        <w:rPr>
          <w:rFonts w:ascii="Bookman Old Style" w:hAnsi="Bookman Old Style" w:cs="Arial"/>
          <w:sz w:val="24"/>
          <w:szCs w:val="24"/>
          <w:lang w:val="id-ID"/>
        </w:rPr>
        <w:t>sebagaimana</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di</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atas,</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besaran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alokasi</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anggaran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Iuran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Jaminan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Kesehatan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bagi</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ASN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dalam</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Rancangan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Peraturan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Daerah</w:t>
      </w:r>
      <w:r w:rsidR="00A954D0">
        <w:rPr>
          <w:rFonts w:ascii="Bookman Old Style" w:hAnsi="Bookman Old Style" w:cs="Tahoma,Bold"/>
          <w:bCs/>
          <w:sz w:val="24"/>
          <w:szCs w:val="24"/>
          <w:lang w:val="id-ID" w:eastAsia="id-ID"/>
        </w:rPr>
        <w:t xml:space="preserve"> </w:t>
      </w:r>
      <w:r>
        <w:rPr>
          <w:rFonts w:ascii="Bookman Old Style" w:hAnsi="Bookman Old Style" w:cs="Tahoma,Bold"/>
          <w:bCs/>
          <w:sz w:val="24"/>
          <w:szCs w:val="24"/>
          <w:lang w:val="id-ID" w:eastAsia="id-ID"/>
        </w:rPr>
        <w:t>Kota</w:t>
      </w:r>
      <w:r w:rsidR="00A954D0">
        <w:rPr>
          <w:rFonts w:ascii="Bookman Old Style" w:hAnsi="Bookman Old Style" w:cs="Tahoma,Bold"/>
          <w:bCs/>
          <w:sz w:val="24"/>
          <w:szCs w:val="24"/>
          <w:lang w:val="id-ID" w:eastAsia="id-ID"/>
        </w:rPr>
        <w:t xml:space="preserve"> </w:t>
      </w:r>
      <w:r>
        <w:rPr>
          <w:rFonts w:ascii="Bookman Old Style" w:hAnsi="Bookman Old Style"/>
          <w:sz w:val="24"/>
          <w:szCs w:val="24"/>
          <w:lang w:val="fi-FI"/>
        </w:rPr>
        <w:t>Tangerang</w:t>
      </w:r>
      <w:r w:rsidR="00A954D0">
        <w:rPr>
          <w:rFonts w:ascii="Bookman Old Style" w:hAnsi="Bookman Old Style"/>
          <w:sz w:val="24"/>
          <w:szCs w:val="24"/>
        </w:rPr>
        <w:t xml:space="preserve"> </w:t>
      </w:r>
      <w:r w:rsidRPr="00727324">
        <w:rPr>
          <w:rFonts w:ascii="Bookman Old Style" w:hAnsi="Bookman Old Style" w:cs="Tahoma,Bold"/>
          <w:bCs/>
          <w:sz w:val="24"/>
          <w:szCs w:val="24"/>
          <w:lang w:val="id-ID" w:eastAsia="id-ID"/>
        </w:rPr>
        <w:t>tentang</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APBD</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Tahun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Anggaran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2025,</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
          <w:sz w:val="24"/>
          <w:szCs w:val="24"/>
          <w:lang w:val="id-ID" w:eastAsia="id-ID"/>
        </w:rPr>
        <w:t>belum</w:t>
      </w:r>
      <w:r w:rsidR="00A954D0">
        <w:rPr>
          <w:rFonts w:ascii="Bookman Old Style" w:hAnsi="Bookman Old Style" w:cs="Tahoma,Bold"/>
          <w:b/>
          <w:sz w:val="24"/>
          <w:szCs w:val="24"/>
          <w:lang w:val="id-ID" w:eastAsia="id-ID"/>
        </w:rPr>
        <w:t xml:space="preserve"> </w:t>
      </w:r>
      <w:r w:rsidR="000153C3">
        <w:rPr>
          <w:rFonts w:ascii="Bookman Old Style" w:hAnsi="Bookman Old Style" w:cs="Tahoma,Bold"/>
          <w:b/>
          <w:sz w:val="24"/>
          <w:szCs w:val="24"/>
          <w:lang w:val="id-ID" w:eastAsia="id-ID"/>
        </w:rPr>
        <w:t>memenuhi</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besaran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alokasi</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Iuran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Jaminan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Kesehatan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ASN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seharusnya</w:t>
      </w:r>
      <w:r w:rsidR="00A954D0">
        <w:rPr>
          <w:rFonts w:ascii="Bookman Old Style" w:hAnsi="Bookman Old Style" w:cs="Tahoma,Bold"/>
          <w:bCs/>
          <w:sz w:val="24"/>
          <w:szCs w:val="24"/>
          <w:lang w:val="id-ID" w:eastAsia="id-ID"/>
        </w:rPr>
        <w:t xml:space="preserve"> </w:t>
      </w:r>
      <w:r w:rsidRPr="00727324">
        <w:rPr>
          <w:rFonts w:ascii="Bookman Old Style" w:hAnsi="Bookman Old Style" w:cs="Arial"/>
          <w:sz w:val="24"/>
          <w:szCs w:val="24"/>
          <w:lang w:val="id-ID"/>
        </w:rPr>
        <w:t>Rp</w:t>
      </w:r>
      <w:r w:rsidRPr="00AE419B">
        <w:rPr>
          <w:rFonts w:ascii="Bookman Old Style" w:hAnsi="Bookman Old Style" w:cs="Arial"/>
          <w:sz w:val="24"/>
          <w:szCs w:val="24"/>
          <w:lang w:val="id-ID"/>
        </w:rPr>
        <w:t>84.359.688.339,34</w:t>
      </w:r>
      <w:r w:rsidR="00A954D0">
        <w:rPr>
          <w:rFonts w:ascii="Bookman Old Style" w:hAnsi="Bookman Old Style" w:cs="Arial"/>
          <w:sz w:val="24"/>
          <w:szCs w:val="24"/>
          <w:lang w:val="id-ID"/>
        </w:rPr>
        <w:t xml:space="preserve"> </w:t>
      </w:r>
      <w:r w:rsidRPr="00727324">
        <w:rPr>
          <w:rFonts w:ascii="Bookman Old Style" w:hAnsi="Bookman Old Style" w:cs="Tahoma,Bold"/>
          <w:bCs/>
          <w:sz w:val="24"/>
          <w:szCs w:val="24"/>
          <w:lang w:val="id-ID" w:eastAsia="id-ID"/>
        </w:rPr>
        <w:t>atau</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terdapat</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selisih</w:t>
      </w:r>
      <w:r w:rsidR="00A954D0">
        <w:rPr>
          <w:rFonts w:ascii="Bookman Old Style" w:hAnsi="Bookman Old Style" w:cs="Tahoma,Bold"/>
          <w:bCs/>
          <w:sz w:val="24"/>
          <w:szCs w:val="24"/>
          <w:lang w:val="id-ID" w:eastAsia="id-ID"/>
        </w:rPr>
        <w:t xml:space="preserve"> </w:t>
      </w:r>
      <w:r>
        <w:rPr>
          <w:rFonts w:ascii="Bookman Old Style" w:hAnsi="Bookman Old Style" w:cs="Tahoma,Bold"/>
          <w:bCs/>
          <w:sz w:val="24"/>
          <w:szCs w:val="24"/>
          <w:lang w:val="id-ID" w:eastAsia="id-ID"/>
        </w:rPr>
        <w:t>kurang</w:t>
      </w:r>
      <w:r w:rsidR="00A954D0">
        <w:rPr>
          <w:rFonts w:ascii="Bookman Old Style" w:hAnsi="Bookman Old Style" w:cs="Tahoma,Bold"/>
          <w:bCs/>
          <w:sz w:val="24"/>
          <w:szCs w:val="24"/>
          <w:lang w:val="id-ID" w:eastAsia="id-ID"/>
        </w:rPr>
        <w:t xml:space="preserve"> </w:t>
      </w:r>
      <w:r w:rsidRPr="00727324">
        <w:rPr>
          <w:rFonts w:ascii="Bookman Old Style" w:hAnsi="Bookman Old Style" w:cs="Arial"/>
          <w:sz w:val="24"/>
          <w:szCs w:val="24"/>
          <w:lang w:val="id-ID"/>
        </w:rPr>
        <w:t>Rp</w:t>
      </w:r>
      <w:r w:rsidRPr="00AE419B">
        <w:rPr>
          <w:rFonts w:ascii="Bookman Old Style" w:hAnsi="Bookman Old Style" w:cs="Arial"/>
          <w:sz w:val="24"/>
          <w:szCs w:val="24"/>
          <w:lang w:val="id-ID"/>
        </w:rPr>
        <w:t>19.635.713.909,34</w:t>
      </w:r>
      <w:r w:rsidRPr="00727324">
        <w:rPr>
          <w:rFonts w:ascii="Bookman Old Style" w:hAnsi="Bookman Old Style" w:cs="Arial"/>
          <w:sz w:val="24"/>
          <w:szCs w:val="24"/>
          <w:lang w:val="id-ID"/>
        </w:rPr>
        <w:t>.</w:t>
      </w:r>
      <w:r w:rsidR="00A954D0">
        <w:rPr>
          <w:rFonts w:ascii="Bookman Old Style" w:hAnsi="Bookman Old Style" w:cs="Arial"/>
          <w:sz w:val="24"/>
          <w:szCs w:val="24"/>
          <w:lang w:val="id-ID"/>
        </w:rPr>
        <w:t xml:space="preserve"> </w:t>
      </w:r>
    </w:p>
    <w:p w14:paraId="19658C8D" w14:textId="4AE65CFA" w:rsidR="005A4806" w:rsidRPr="0010538A" w:rsidRDefault="005A4806" w:rsidP="00AC44F5">
      <w:pPr>
        <w:pStyle w:val="ListParagraph"/>
        <w:spacing w:before="120" w:after="0" w:line="276" w:lineRule="auto"/>
        <w:ind w:left="3261"/>
        <w:contextualSpacing w:val="0"/>
        <w:jc w:val="both"/>
        <w:rPr>
          <w:rFonts w:ascii="Bookman Old Style" w:hAnsi="Bookman Old Style"/>
          <w:sz w:val="24"/>
          <w:szCs w:val="24"/>
          <w:lang w:val="id-ID"/>
        </w:rPr>
      </w:pPr>
      <w:r w:rsidRPr="00727324">
        <w:rPr>
          <w:rFonts w:ascii="Bookman Old Style" w:hAnsi="Bookman Old Style" w:cs="Tahoma,Bold"/>
          <w:bCs/>
          <w:color w:val="000000" w:themeColor="text1"/>
          <w:sz w:val="24"/>
          <w:szCs w:val="24"/>
          <w:lang w:val="id-ID" w:eastAsia="id-ID"/>
        </w:rPr>
        <w:t>Untuk</w:t>
      </w:r>
      <w:r w:rsidR="00A954D0" w:rsidRPr="003255BC">
        <w:rPr>
          <w:rFonts w:ascii="Bookman Old Style" w:hAnsi="Bookman Old Style" w:cs="Arial"/>
          <w:color w:val="000000" w:themeColor="text1"/>
          <w:sz w:val="24"/>
          <w:szCs w:val="24"/>
          <w:lang w:val="sv-FI"/>
        </w:rPr>
        <w:t xml:space="preserve"> </w:t>
      </w:r>
      <w:r w:rsidRPr="003255BC">
        <w:rPr>
          <w:rFonts w:ascii="Bookman Old Style" w:hAnsi="Bookman Old Style" w:cs="Arial"/>
          <w:color w:val="000000" w:themeColor="text1"/>
          <w:sz w:val="24"/>
          <w:szCs w:val="24"/>
          <w:lang w:val="sv-FI"/>
        </w:rPr>
        <w:t>itu</w:t>
      </w:r>
      <w:r w:rsidRPr="00727324">
        <w:rPr>
          <w:rFonts w:ascii="Bookman Old Style" w:hAnsi="Bookman Old Style" w:cs="Arial"/>
          <w:color w:val="000000" w:themeColor="text1"/>
          <w:sz w:val="24"/>
          <w:szCs w:val="24"/>
          <w:lang w:val="id-ID"/>
        </w:rPr>
        <w:t>,</w:t>
      </w:r>
      <w:r w:rsidR="00A954D0">
        <w:rPr>
          <w:rFonts w:ascii="Bookman Old Style" w:hAnsi="Bookman Old Style" w:cs="Arial"/>
          <w:color w:val="000000" w:themeColor="text1"/>
          <w:sz w:val="24"/>
          <w:szCs w:val="24"/>
          <w:lang w:val="id-ID"/>
        </w:rPr>
        <w:t xml:space="preserve"> </w:t>
      </w:r>
      <w:r w:rsidRPr="00727324">
        <w:rPr>
          <w:rFonts w:ascii="Bookman Old Style" w:hAnsi="Bookman Old Style" w:cs="Arial"/>
          <w:color w:val="000000" w:themeColor="text1"/>
          <w:sz w:val="24"/>
          <w:szCs w:val="24"/>
          <w:lang w:val="id-ID"/>
        </w:rPr>
        <w:t>Pemerintah</w:t>
      </w:r>
      <w:r w:rsidR="00A954D0">
        <w:rPr>
          <w:rFonts w:ascii="Bookman Old Style" w:hAnsi="Bookman Old Style" w:cs="Arial"/>
          <w:color w:val="000000" w:themeColor="text1"/>
          <w:sz w:val="24"/>
          <w:szCs w:val="24"/>
          <w:lang w:val="id-ID"/>
        </w:rPr>
        <w:t xml:space="preserve"> </w:t>
      </w:r>
      <w:r w:rsidRPr="00727324">
        <w:rPr>
          <w:rFonts w:ascii="Bookman Old Style" w:hAnsi="Bookman Old Style" w:cs="Arial"/>
          <w:color w:val="000000" w:themeColor="text1"/>
          <w:sz w:val="24"/>
          <w:szCs w:val="24"/>
          <w:lang w:val="id-ID"/>
        </w:rPr>
        <w:t>Daerah</w:t>
      </w:r>
      <w:r w:rsidR="00A954D0">
        <w:rPr>
          <w:rFonts w:ascii="Bookman Old Style" w:hAnsi="Bookman Old Style" w:cs="Arial"/>
          <w:color w:val="000000" w:themeColor="text1"/>
          <w:sz w:val="24"/>
          <w:szCs w:val="24"/>
          <w:lang w:val="id-ID"/>
        </w:rPr>
        <w:t xml:space="preserve"> </w:t>
      </w:r>
      <w:r>
        <w:rPr>
          <w:rFonts w:ascii="Bookman Old Style" w:hAnsi="Bookman Old Style" w:cs="Arial"/>
          <w:color w:val="000000" w:themeColor="text1"/>
          <w:sz w:val="24"/>
          <w:szCs w:val="24"/>
          <w:lang w:val="id-ID"/>
        </w:rPr>
        <w:t>Kota</w:t>
      </w:r>
      <w:r w:rsidR="00A954D0">
        <w:rPr>
          <w:rFonts w:ascii="Bookman Old Style" w:hAnsi="Bookman Old Style" w:cs="Arial"/>
          <w:color w:val="000000" w:themeColor="text1"/>
          <w:sz w:val="24"/>
          <w:szCs w:val="24"/>
          <w:lang w:val="id-ID"/>
        </w:rPr>
        <w:t xml:space="preserve"> </w:t>
      </w:r>
      <w:r>
        <w:rPr>
          <w:rFonts w:ascii="Bookman Old Style" w:hAnsi="Bookman Old Style"/>
          <w:sz w:val="24"/>
          <w:szCs w:val="24"/>
          <w:lang w:val="fi-FI"/>
        </w:rPr>
        <w:t>Tangerang</w:t>
      </w:r>
      <w:r w:rsidR="00A954D0">
        <w:rPr>
          <w:rFonts w:ascii="Bookman Old Style" w:hAnsi="Bookman Old Style"/>
          <w:sz w:val="24"/>
          <w:szCs w:val="24"/>
        </w:rPr>
        <w:t xml:space="preserve"> </w:t>
      </w:r>
      <w:r w:rsidRPr="00727324">
        <w:rPr>
          <w:rFonts w:ascii="Bookman Old Style" w:hAnsi="Bookman Old Style" w:cs="Arial"/>
          <w:color w:val="000000" w:themeColor="text1"/>
          <w:sz w:val="24"/>
          <w:szCs w:val="24"/>
          <w:lang w:val="id-ID"/>
        </w:rPr>
        <w:t>harus</w:t>
      </w:r>
      <w:r w:rsidR="00A954D0">
        <w:rPr>
          <w:rFonts w:ascii="Bookman Old Style" w:hAnsi="Bookman Old Style" w:cs="Arial"/>
          <w:color w:val="000000" w:themeColor="text1"/>
          <w:sz w:val="24"/>
          <w:szCs w:val="24"/>
          <w:lang w:val="id-ID"/>
        </w:rPr>
        <w:t xml:space="preserve"> </w:t>
      </w:r>
      <w:r w:rsidRPr="00727324">
        <w:rPr>
          <w:rFonts w:ascii="Bookman Old Style" w:hAnsi="Bookman Old Style" w:cs="Arial"/>
          <w:color w:val="000000" w:themeColor="text1"/>
          <w:sz w:val="24"/>
          <w:szCs w:val="24"/>
          <w:lang w:val="id-ID"/>
        </w:rPr>
        <w:t>menyesuaikan</w:t>
      </w:r>
      <w:r w:rsidR="00A954D0">
        <w:rPr>
          <w:rFonts w:ascii="Bookman Old Style" w:hAnsi="Bookman Old Style" w:cs="Arial"/>
          <w:color w:val="000000" w:themeColor="text1"/>
          <w:sz w:val="24"/>
          <w:szCs w:val="24"/>
          <w:lang w:val="id-ID"/>
        </w:rPr>
        <w:t xml:space="preserve"> </w:t>
      </w:r>
      <w:r w:rsidRPr="003255BC">
        <w:rPr>
          <w:rFonts w:ascii="Bookman Old Style" w:hAnsi="Bookman Old Style" w:cs="Arial"/>
          <w:color w:val="000000" w:themeColor="text1"/>
          <w:sz w:val="24"/>
          <w:szCs w:val="24"/>
          <w:lang w:val="sv-FI"/>
        </w:rPr>
        <w:t>besaran</w:t>
      </w:r>
      <w:r w:rsidR="00A954D0" w:rsidRPr="003255BC">
        <w:rPr>
          <w:rFonts w:ascii="Bookman Old Style" w:hAnsi="Bookman Old Style" w:cs="Arial"/>
          <w:color w:val="000000" w:themeColor="text1"/>
          <w:sz w:val="24"/>
          <w:szCs w:val="24"/>
          <w:lang w:val="sv-FI"/>
        </w:rPr>
        <w:t xml:space="preserve"> </w:t>
      </w:r>
      <w:r w:rsidRPr="00727324">
        <w:rPr>
          <w:rFonts w:ascii="Bookman Old Style" w:hAnsi="Bookman Old Style" w:cs="Arial"/>
          <w:color w:val="000000" w:themeColor="text1"/>
          <w:sz w:val="24"/>
          <w:szCs w:val="24"/>
          <w:lang w:val="id-ID"/>
        </w:rPr>
        <w:t>alokasi</w:t>
      </w:r>
      <w:r w:rsidR="00A954D0">
        <w:rPr>
          <w:rFonts w:ascii="Bookman Old Style" w:hAnsi="Bookman Old Style" w:cs="Arial"/>
          <w:color w:val="000000" w:themeColor="text1"/>
          <w:sz w:val="24"/>
          <w:szCs w:val="24"/>
          <w:lang w:val="id-ID"/>
        </w:rPr>
        <w:t xml:space="preserve"> </w:t>
      </w:r>
      <w:r w:rsidRPr="00727324">
        <w:rPr>
          <w:rFonts w:ascii="Bookman Old Style" w:hAnsi="Bookman Old Style" w:cs="Arial"/>
          <w:color w:val="000000" w:themeColor="text1"/>
          <w:sz w:val="24"/>
          <w:szCs w:val="24"/>
          <w:lang w:val="id-ID"/>
        </w:rPr>
        <w:t>anggaran</w:t>
      </w:r>
      <w:r w:rsidR="00A954D0">
        <w:rPr>
          <w:rFonts w:ascii="Bookman Old Style" w:hAnsi="Bookman Old Style" w:cs="Arial"/>
          <w:color w:val="000000" w:themeColor="text1"/>
          <w:sz w:val="24"/>
          <w:szCs w:val="24"/>
          <w:lang w:val="id-ID"/>
        </w:rPr>
        <w:t xml:space="preserve"> </w:t>
      </w:r>
      <w:r w:rsidRPr="00727324">
        <w:rPr>
          <w:rFonts w:ascii="Bookman Old Style" w:hAnsi="Bookman Old Style" w:cs="Arial"/>
          <w:color w:val="000000" w:themeColor="text1"/>
          <w:sz w:val="24"/>
          <w:szCs w:val="24"/>
          <w:lang w:val="id-ID"/>
        </w:rPr>
        <w:t>untuk</w:t>
      </w:r>
      <w:r w:rsidR="00A954D0">
        <w:rPr>
          <w:rFonts w:ascii="Bookman Old Style" w:hAnsi="Bookman Old Style" w:cs="Arial"/>
          <w:color w:val="000000" w:themeColor="text1"/>
          <w:sz w:val="24"/>
          <w:szCs w:val="24"/>
          <w:lang w:val="id-ID"/>
        </w:rPr>
        <w:t xml:space="preserve"> </w:t>
      </w:r>
      <w:r w:rsidRPr="00727324">
        <w:rPr>
          <w:rFonts w:ascii="Bookman Old Style" w:hAnsi="Bookman Old Style" w:cs="Arial"/>
          <w:color w:val="000000" w:themeColor="text1"/>
          <w:sz w:val="24"/>
          <w:szCs w:val="24"/>
          <w:lang w:val="id-ID"/>
        </w:rPr>
        <w:t>Iuran</w:t>
      </w:r>
      <w:r w:rsidR="00A954D0">
        <w:rPr>
          <w:rFonts w:ascii="Bookman Old Style" w:hAnsi="Bookman Old Style" w:cs="Arial"/>
          <w:color w:val="000000" w:themeColor="text1"/>
          <w:sz w:val="24"/>
          <w:szCs w:val="24"/>
          <w:lang w:val="id-ID"/>
        </w:rPr>
        <w:t xml:space="preserve"> </w:t>
      </w:r>
      <w:r w:rsidRPr="00727324">
        <w:rPr>
          <w:rFonts w:ascii="Bookman Old Style" w:hAnsi="Bookman Old Style" w:cs="Arial"/>
          <w:color w:val="000000" w:themeColor="text1"/>
          <w:sz w:val="24"/>
          <w:szCs w:val="24"/>
          <w:lang w:val="id-ID"/>
        </w:rPr>
        <w:t>Jaminan</w:t>
      </w:r>
      <w:r w:rsidR="00A954D0">
        <w:rPr>
          <w:rFonts w:ascii="Bookman Old Style" w:hAnsi="Bookman Old Style" w:cs="Arial"/>
          <w:color w:val="000000" w:themeColor="text1"/>
          <w:sz w:val="24"/>
          <w:szCs w:val="24"/>
          <w:lang w:val="id-ID"/>
        </w:rPr>
        <w:t xml:space="preserve"> </w:t>
      </w:r>
      <w:r w:rsidRPr="00727324">
        <w:rPr>
          <w:rFonts w:ascii="Bookman Old Style" w:hAnsi="Bookman Old Style" w:cs="Arial"/>
          <w:color w:val="000000" w:themeColor="text1"/>
          <w:sz w:val="24"/>
          <w:szCs w:val="24"/>
          <w:lang w:val="id-ID"/>
        </w:rPr>
        <w:t>Kesehatan</w:t>
      </w:r>
      <w:r w:rsidR="00A954D0">
        <w:rPr>
          <w:rFonts w:ascii="Bookman Old Style" w:hAnsi="Bookman Old Style" w:cs="Arial"/>
          <w:color w:val="000000" w:themeColor="text1"/>
          <w:sz w:val="24"/>
          <w:szCs w:val="24"/>
          <w:lang w:val="id-ID"/>
        </w:rPr>
        <w:t xml:space="preserve"> </w:t>
      </w:r>
      <w:r w:rsidRPr="00727324">
        <w:rPr>
          <w:rFonts w:ascii="Bookman Old Style" w:hAnsi="Bookman Old Style" w:cs="Arial"/>
          <w:color w:val="000000" w:themeColor="text1"/>
          <w:sz w:val="24"/>
          <w:szCs w:val="24"/>
          <w:lang w:val="id-ID"/>
        </w:rPr>
        <w:t>bagi</w:t>
      </w:r>
      <w:r w:rsidR="00A954D0">
        <w:rPr>
          <w:rFonts w:ascii="Bookman Old Style" w:hAnsi="Bookman Old Style" w:cs="Arial"/>
          <w:color w:val="000000" w:themeColor="text1"/>
          <w:sz w:val="24"/>
          <w:szCs w:val="24"/>
          <w:lang w:val="id-ID"/>
        </w:rPr>
        <w:t xml:space="preserve"> </w:t>
      </w:r>
      <w:r w:rsidRPr="00727324">
        <w:rPr>
          <w:rFonts w:ascii="Bookman Old Style" w:hAnsi="Bookman Old Style" w:cs="Arial"/>
          <w:color w:val="000000" w:themeColor="text1"/>
          <w:sz w:val="24"/>
          <w:szCs w:val="24"/>
          <w:lang w:val="id-ID"/>
        </w:rPr>
        <w:t>ASN</w:t>
      </w:r>
      <w:r w:rsidR="00A954D0">
        <w:rPr>
          <w:rFonts w:ascii="Bookman Old Style" w:hAnsi="Bookman Old Style" w:cs="Arial"/>
          <w:color w:val="000000" w:themeColor="text1"/>
          <w:sz w:val="24"/>
          <w:szCs w:val="24"/>
          <w:lang w:val="id-ID"/>
        </w:rPr>
        <w:t xml:space="preserve"> </w:t>
      </w:r>
      <w:r w:rsidRPr="00727324">
        <w:rPr>
          <w:rFonts w:ascii="Bookman Old Style" w:hAnsi="Bookman Old Style" w:cs="Arial"/>
          <w:color w:val="000000" w:themeColor="text1"/>
          <w:sz w:val="24"/>
          <w:szCs w:val="24"/>
          <w:lang w:val="id-ID"/>
        </w:rPr>
        <w:t>dalam</w:t>
      </w:r>
      <w:r w:rsidR="00A954D0">
        <w:rPr>
          <w:rFonts w:ascii="Bookman Old Style" w:hAnsi="Bookman Old Style" w:cs="Arial"/>
          <w:color w:val="000000" w:themeColor="text1"/>
          <w:sz w:val="24"/>
          <w:szCs w:val="24"/>
          <w:lang w:val="id-ID"/>
        </w:rPr>
        <w:t xml:space="preserve"> </w:t>
      </w:r>
      <w:r w:rsidRPr="00727324">
        <w:rPr>
          <w:rFonts w:ascii="Bookman Old Style" w:hAnsi="Bookman Old Style" w:cs="Arial"/>
          <w:color w:val="000000" w:themeColor="text1"/>
          <w:sz w:val="24"/>
          <w:szCs w:val="24"/>
          <w:lang w:val="id-ID"/>
        </w:rPr>
        <w:t>Rancangan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Peraturan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Daerah</w:t>
      </w:r>
      <w:r w:rsidR="00A954D0">
        <w:rPr>
          <w:rFonts w:ascii="Bookman Old Style" w:hAnsi="Bookman Old Style"/>
          <w:color w:val="000000" w:themeColor="text1"/>
          <w:sz w:val="24"/>
          <w:szCs w:val="24"/>
          <w:lang w:val="id-ID"/>
        </w:rPr>
        <w:t xml:space="preserve"> </w:t>
      </w:r>
      <w:r>
        <w:rPr>
          <w:rFonts w:ascii="Bookman Old Style" w:hAnsi="Bookman Old Style"/>
          <w:color w:val="000000" w:themeColor="text1"/>
          <w:sz w:val="24"/>
          <w:szCs w:val="24"/>
          <w:lang w:val="id-ID"/>
        </w:rPr>
        <w:t>Kota</w:t>
      </w:r>
      <w:r w:rsidR="00A954D0">
        <w:rPr>
          <w:rFonts w:ascii="Bookman Old Style" w:hAnsi="Bookman Old Style"/>
          <w:color w:val="000000" w:themeColor="text1"/>
          <w:sz w:val="24"/>
          <w:szCs w:val="24"/>
          <w:lang w:val="id-ID"/>
        </w:rPr>
        <w:t xml:space="preserve"> </w:t>
      </w:r>
      <w:r>
        <w:rPr>
          <w:rFonts w:ascii="Bookman Old Style" w:hAnsi="Bookman Old Style"/>
          <w:sz w:val="24"/>
          <w:szCs w:val="24"/>
          <w:lang w:val="fi-FI"/>
        </w:rPr>
        <w:t>Tangerang</w:t>
      </w:r>
      <w:r w:rsidR="00A954D0">
        <w:rPr>
          <w:rFonts w:ascii="Bookman Old Style" w:hAnsi="Bookman Old Style"/>
          <w:sz w:val="24"/>
          <w:szCs w:val="24"/>
        </w:rPr>
        <w:t xml:space="preserve"> </w:t>
      </w:r>
      <w:r w:rsidRPr="00727324">
        <w:rPr>
          <w:rFonts w:ascii="Bookman Old Style" w:hAnsi="Bookman Old Style"/>
          <w:color w:val="000000" w:themeColor="text1"/>
          <w:sz w:val="24"/>
          <w:szCs w:val="24"/>
          <w:lang w:val="id-ID"/>
        </w:rPr>
        <w:t>tentang</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APBD</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Tahun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Anggaran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2025</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dengan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memperhitungkan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jumlah</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kewajiban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pembayaran</w:t>
      </w:r>
      <w:r w:rsidR="00A954D0">
        <w:rPr>
          <w:rFonts w:ascii="Bookman Old Style" w:hAnsi="Bookman Old Style"/>
          <w:color w:val="000000" w:themeColor="text1"/>
          <w:sz w:val="24"/>
          <w:szCs w:val="24"/>
          <w:lang w:val="id-ID"/>
        </w:rPr>
        <w:t xml:space="preserve"> </w:t>
      </w:r>
      <w:r w:rsidRPr="00727324">
        <w:rPr>
          <w:rFonts w:ascii="Bookman Old Style" w:hAnsi="Bookman Old Style" w:cs="Tahoma,Bold"/>
          <w:bCs/>
          <w:color w:val="000000" w:themeColor="text1"/>
          <w:sz w:val="24"/>
          <w:szCs w:val="24"/>
          <w:lang w:val="id-ID" w:eastAsia="id-ID"/>
        </w:rPr>
        <w:t>Iuran</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Jaminan</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Kesehatan</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bagi</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ASN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dimaksud</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termasuk</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kewajiban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Tahun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Anggaran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sebelumnya</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yang</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belum</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direalisasikan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kepada</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Badan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Penyelenggara</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Jaminan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Sosial</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(BPJS)</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Kesehatan</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sebagaimana</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diamanatkan</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dalam</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Undang-Undang</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Nomor</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40</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Tahun</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2004</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tentang</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Sistem</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Jaminan</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Sosial</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Nasional,</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Undang-Undang</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Nomor</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24</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Tahun</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2011</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tentang</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Badan</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Penyelenggara</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Jaminan</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Sosial,</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Pasal</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30</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dan</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Pasal</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33</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Peraturan</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Presiden</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Nomor</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82</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Tahun</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2018,</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sebagaimana</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telah</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diubah</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beberapa</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kali</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terakhir</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dengan</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Peraturan</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Presiden</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Nomor</w:t>
      </w:r>
      <w:r w:rsidR="00A954D0">
        <w:rPr>
          <w:rFonts w:ascii="Bookman Old Style" w:hAnsi="Bookman Old Style" w:cs="Tahoma,Bold"/>
          <w:bCs/>
          <w:color w:val="000000" w:themeColor="text1"/>
          <w:sz w:val="24"/>
          <w:szCs w:val="24"/>
          <w:lang w:val="id-ID" w:eastAsia="id-ID"/>
        </w:rPr>
        <w:t xml:space="preserve"> </w:t>
      </w:r>
      <w:r w:rsidRPr="003255BC">
        <w:rPr>
          <w:rFonts w:ascii="Bookman Old Style" w:hAnsi="Bookman Old Style" w:cs="Tahoma,Bold"/>
          <w:bCs/>
          <w:color w:val="000000" w:themeColor="text1"/>
          <w:sz w:val="24"/>
          <w:szCs w:val="24"/>
          <w:lang w:val="sv-FI" w:eastAsia="id-ID"/>
        </w:rPr>
        <w:t>59</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Tahun</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202</w:t>
      </w:r>
      <w:r w:rsidRPr="003255BC">
        <w:rPr>
          <w:rFonts w:ascii="Bookman Old Style" w:hAnsi="Bookman Old Style" w:cs="Tahoma,Bold"/>
          <w:bCs/>
          <w:color w:val="000000" w:themeColor="text1"/>
          <w:sz w:val="24"/>
          <w:szCs w:val="24"/>
          <w:lang w:val="sv-FI" w:eastAsia="id-ID"/>
        </w:rPr>
        <w:t>4</w:t>
      </w:r>
      <w:r w:rsidRPr="00727324">
        <w:rPr>
          <w:rFonts w:ascii="Bookman Old Style" w:hAnsi="Bookman Old Style" w:cs="Tahoma,Bold"/>
          <w:bCs/>
          <w:color w:val="000000" w:themeColor="text1"/>
          <w:sz w:val="24"/>
          <w:szCs w:val="24"/>
          <w:lang w:val="id-ID" w:eastAsia="id-ID"/>
        </w:rPr>
        <w:t>,</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Peraturan</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Menteri</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Dalam</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Negeri</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Nomor</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70</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sz w:val="24"/>
          <w:szCs w:val="24"/>
          <w:lang w:val="id-ID" w:eastAsia="id-ID"/>
        </w:rPr>
        <w:t>Tahun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2020</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tentang</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Penyetoran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Iuran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Jaminan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Kesehatan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bagi</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Pekerja</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Penerima</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Upah</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di</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Lingkungan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Pemerintah</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Daerah</w:t>
      </w:r>
      <w:r w:rsidR="00A954D0">
        <w:rPr>
          <w:rFonts w:ascii="Bookman Old Style" w:hAnsi="Bookman Old Style" w:cs="Arial"/>
          <w:sz w:val="24"/>
          <w:szCs w:val="24"/>
          <w:lang w:val="id-ID"/>
        </w:rPr>
        <w:t xml:space="preserve"> </w:t>
      </w:r>
      <w:r w:rsidRPr="00727324">
        <w:rPr>
          <w:rFonts w:ascii="Bookman Old Style" w:hAnsi="Bookman Old Style" w:cs="Tahoma,Bold"/>
          <w:bCs/>
          <w:sz w:val="24"/>
          <w:szCs w:val="24"/>
          <w:lang w:val="id-ID" w:eastAsia="id-ID"/>
        </w:rPr>
        <w:t>dan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butir</w:t>
      </w:r>
      <w:r w:rsidR="00A954D0">
        <w:rPr>
          <w:rFonts w:ascii="Bookman Old Style" w:hAnsi="Bookman Old Style" w:cs="Tahoma,Bold"/>
          <w:bCs/>
          <w:sz w:val="24"/>
          <w:szCs w:val="24"/>
          <w:lang w:val="id-ID" w:eastAsia="id-ID"/>
        </w:rPr>
        <w:t xml:space="preserve"> </w:t>
      </w:r>
      <w:r w:rsidRPr="003255BC">
        <w:rPr>
          <w:rFonts w:ascii="Bookman Old Style" w:hAnsi="Bookman Old Style" w:cs="Arial"/>
          <w:sz w:val="24"/>
          <w:szCs w:val="24"/>
          <w:lang w:val="sv-FI"/>
        </w:rPr>
        <w:t>3.4.1.1.1.e</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Lampiran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Peraturan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Menteri</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Dalam</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Negeri</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Nomor</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15</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Tahun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2024.</w:t>
      </w:r>
    </w:p>
    <w:p w14:paraId="67CDC72D" w14:textId="16BBF3B5" w:rsidR="005A4806" w:rsidRPr="00C85F43" w:rsidRDefault="005A4806" w:rsidP="00AC44F5">
      <w:pPr>
        <w:pStyle w:val="ListParagraph"/>
        <w:numPr>
          <w:ilvl w:val="0"/>
          <w:numId w:val="50"/>
        </w:numPr>
        <w:spacing w:before="120" w:after="0" w:line="276" w:lineRule="auto"/>
        <w:ind w:left="3261" w:hanging="284"/>
        <w:contextualSpacing w:val="0"/>
        <w:jc w:val="both"/>
        <w:rPr>
          <w:rFonts w:ascii="Bookman Old Style" w:hAnsi="Bookman Old Style" w:cs="Tahoma,Bold"/>
          <w:bCs/>
          <w:color w:val="FF0000"/>
          <w:sz w:val="24"/>
          <w:szCs w:val="24"/>
          <w:lang w:val="id-ID" w:eastAsia="id-ID"/>
        </w:rPr>
      </w:pPr>
      <w:r w:rsidRPr="0010538A">
        <w:rPr>
          <w:rFonts w:ascii="Bookman Old Style" w:hAnsi="Bookman Old Style" w:cs="Tahoma,Bold"/>
          <w:bCs/>
          <w:sz w:val="24"/>
          <w:szCs w:val="24"/>
          <w:lang w:val="id-ID" w:eastAsia="id-ID"/>
        </w:rPr>
        <w:lastRenderedPageBreak/>
        <w:t>Belanja</w:t>
      </w:r>
      <w:r w:rsidR="00A954D0">
        <w:rPr>
          <w:rFonts w:ascii="Bookman Old Style" w:hAnsi="Bookman Old Style" w:cs="Tahoma,Bold"/>
          <w:bCs/>
          <w:sz w:val="24"/>
          <w:szCs w:val="24"/>
          <w:lang w:val="id-ID" w:eastAsia="id-ID"/>
        </w:rPr>
        <w:t xml:space="preserve"> </w:t>
      </w:r>
      <w:r w:rsidRPr="0010538A">
        <w:rPr>
          <w:rFonts w:ascii="Bookman Old Style" w:hAnsi="Bookman Old Style" w:cs="Tahoma,Bold"/>
          <w:bCs/>
          <w:sz w:val="24"/>
          <w:szCs w:val="24"/>
          <w:lang w:val="id-ID" w:eastAsia="id-ID"/>
        </w:rPr>
        <w:t>Iuran</w:t>
      </w:r>
      <w:r w:rsidR="00A954D0">
        <w:rPr>
          <w:rFonts w:ascii="Bookman Old Style" w:hAnsi="Bookman Old Style" w:cs="Tahoma,Bold"/>
          <w:bCs/>
          <w:sz w:val="24"/>
          <w:szCs w:val="24"/>
          <w:lang w:val="id-ID" w:eastAsia="id-ID"/>
        </w:rPr>
        <w:t xml:space="preserve"> </w:t>
      </w:r>
      <w:r w:rsidRPr="0010538A">
        <w:rPr>
          <w:rFonts w:ascii="Bookman Old Style" w:hAnsi="Bookman Old Style" w:cs="Tahoma,Bold"/>
          <w:bCs/>
          <w:sz w:val="24"/>
          <w:szCs w:val="24"/>
          <w:lang w:val="id-ID" w:eastAsia="id-ID"/>
        </w:rPr>
        <w:t>Jaminan</w:t>
      </w:r>
      <w:r w:rsidR="00A954D0">
        <w:rPr>
          <w:rFonts w:ascii="Bookman Old Style" w:hAnsi="Bookman Old Style" w:cs="Tahoma,Bold"/>
          <w:bCs/>
          <w:sz w:val="24"/>
          <w:szCs w:val="24"/>
          <w:lang w:val="id-ID" w:eastAsia="id-ID"/>
        </w:rPr>
        <w:t xml:space="preserve"> </w:t>
      </w:r>
      <w:r w:rsidRPr="0010538A">
        <w:rPr>
          <w:rFonts w:ascii="Bookman Old Style" w:hAnsi="Bookman Old Style" w:cs="Tahoma,Bold"/>
          <w:bCs/>
          <w:sz w:val="24"/>
          <w:szCs w:val="24"/>
          <w:lang w:val="id-ID" w:eastAsia="id-ID"/>
        </w:rPr>
        <w:t>Kesehatan</w:t>
      </w:r>
      <w:r w:rsidR="00A954D0">
        <w:rPr>
          <w:rFonts w:ascii="Bookman Old Style" w:hAnsi="Bookman Old Style" w:cs="Tahoma,Bold"/>
          <w:bCs/>
          <w:sz w:val="24"/>
          <w:szCs w:val="24"/>
          <w:lang w:val="id-ID" w:eastAsia="id-ID"/>
        </w:rPr>
        <w:t xml:space="preserve"> </w:t>
      </w:r>
      <w:r w:rsidRPr="0010538A">
        <w:rPr>
          <w:rFonts w:ascii="Bookman Old Style" w:hAnsi="Bookman Old Style" w:cs="Tahoma,Bold"/>
          <w:bCs/>
          <w:sz w:val="24"/>
          <w:szCs w:val="24"/>
          <w:lang w:val="id-ID" w:eastAsia="id-ID"/>
        </w:rPr>
        <w:t>bagi</w:t>
      </w:r>
      <w:r w:rsidR="00A954D0">
        <w:rPr>
          <w:rFonts w:ascii="Bookman Old Style" w:hAnsi="Bookman Old Style" w:cs="Tahoma,Bold"/>
          <w:bCs/>
          <w:sz w:val="24"/>
          <w:szCs w:val="24"/>
          <w:lang w:val="id-ID" w:eastAsia="id-ID"/>
        </w:rPr>
        <w:t xml:space="preserve"> </w:t>
      </w:r>
      <w:r w:rsidRPr="0010538A">
        <w:rPr>
          <w:rFonts w:ascii="Bookman Old Style" w:hAnsi="Bookman Old Style" w:cs="Tahoma,Bold"/>
          <w:bCs/>
          <w:sz w:val="24"/>
          <w:szCs w:val="24"/>
          <w:lang w:val="id-ID" w:eastAsia="id-ID"/>
        </w:rPr>
        <w:t>DPRD</w:t>
      </w:r>
      <w:r w:rsidR="00A954D0">
        <w:rPr>
          <w:rFonts w:ascii="Bookman Old Style" w:hAnsi="Bookman Old Style" w:cs="Tahoma,Bold"/>
          <w:bCs/>
          <w:sz w:val="24"/>
          <w:szCs w:val="24"/>
          <w:lang w:val="id-ID" w:eastAsia="id-ID"/>
        </w:rPr>
        <w:t xml:space="preserve"> </w:t>
      </w:r>
      <w:r w:rsidRPr="0010538A">
        <w:rPr>
          <w:rFonts w:ascii="Bookman Old Style" w:hAnsi="Bookman Old Style" w:cs="Arial"/>
          <w:sz w:val="24"/>
          <w:szCs w:val="24"/>
          <w:lang w:val="id-ID"/>
        </w:rPr>
        <w:t>Rp288.000.000,00</w:t>
      </w:r>
      <w:r w:rsidR="00A954D0">
        <w:rPr>
          <w:rFonts w:ascii="Bookman Old Style" w:hAnsi="Bookman Old Style" w:cs="Arial"/>
          <w:sz w:val="24"/>
          <w:szCs w:val="24"/>
          <w:lang w:val="id-ID"/>
        </w:rPr>
        <w:t xml:space="preserve"> </w:t>
      </w:r>
      <w:r w:rsidRPr="0010538A">
        <w:rPr>
          <w:rFonts w:ascii="Bookman Old Style" w:hAnsi="Bookman Old Style" w:cs="Arial"/>
          <w:sz w:val="24"/>
          <w:szCs w:val="24"/>
          <w:lang w:val="id-ID"/>
        </w:rPr>
        <w:t>atau</w:t>
      </w:r>
      <w:r w:rsidR="00A954D0">
        <w:rPr>
          <w:rFonts w:ascii="Bookman Old Style" w:hAnsi="Bookman Old Style" w:cs="Arial"/>
          <w:sz w:val="24"/>
          <w:szCs w:val="24"/>
          <w:lang w:val="id-ID"/>
        </w:rPr>
        <w:t xml:space="preserve"> </w:t>
      </w:r>
      <w:r w:rsidRPr="0010538A">
        <w:rPr>
          <w:rFonts w:ascii="Bookman Old Style" w:hAnsi="Bookman Old Style" w:cs="Arial"/>
          <w:sz w:val="24"/>
          <w:szCs w:val="24"/>
          <w:lang w:val="id-ID"/>
        </w:rPr>
        <w:t>0,01%</w:t>
      </w:r>
      <w:r w:rsidR="00A954D0">
        <w:rPr>
          <w:rFonts w:ascii="Bookman Old Style" w:hAnsi="Bookman Old Style" w:cs="Arial"/>
          <w:sz w:val="24"/>
          <w:szCs w:val="24"/>
          <w:lang w:val="id-ID"/>
        </w:rPr>
        <w:t xml:space="preserve"> </w:t>
      </w:r>
      <w:r w:rsidRPr="005122E3">
        <w:rPr>
          <w:rFonts w:ascii="Bookman Old Style" w:hAnsi="Bookman Old Style" w:cs="Arial"/>
          <w:sz w:val="24"/>
          <w:szCs w:val="24"/>
          <w:lang w:val="id-ID"/>
        </w:rPr>
        <w:t>dari</w:t>
      </w:r>
      <w:r w:rsidR="00A954D0">
        <w:rPr>
          <w:rFonts w:ascii="Bookman Old Style" w:hAnsi="Bookman Old Style" w:cs="Arial"/>
          <w:sz w:val="24"/>
          <w:szCs w:val="24"/>
          <w:lang w:val="id-ID"/>
        </w:rPr>
        <w:t xml:space="preserve"> </w:t>
      </w:r>
      <w:r w:rsidRPr="005122E3">
        <w:rPr>
          <w:rFonts w:ascii="Bookman Old Style" w:hAnsi="Bookman Old Style" w:cs="Arial"/>
          <w:sz w:val="24"/>
          <w:szCs w:val="24"/>
          <w:lang w:val="id-ID"/>
        </w:rPr>
        <w:t>total</w:t>
      </w:r>
      <w:r w:rsidR="00A954D0">
        <w:rPr>
          <w:rFonts w:ascii="Bookman Old Style" w:hAnsi="Bookman Old Style" w:cs="Arial"/>
          <w:sz w:val="24"/>
          <w:szCs w:val="24"/>
          <w:lang w:val="id-ID"/>
        </w:rPr>
        <w:t xml:space="preserve"> </w:t>
      </w:r>
      <w:r w:rsidRPr="005122E3">
        <w:rPr>
          <w:rFonts w:ascii="Bookman Old Style" w:hAnsi="Bookman Old Style" w:cs="Arial"/>
          <w:sz w:val="24"/>
          <w:szCs w:val="24"/>
          <w:lang w:val="id-ID"/>
        </w:rPr>
        <w:t>belanja</w:t>
      </w:r>
      <w:r w:rsidR="00A954D0">
        <w:rPr>
          <w:rFonts w:ascii="Bookman Old Style" w:hAnsi="Bookman Old Style" w:cs="Arial"/>
          <w:sz w:val="24"/>
          <w:szCs w:val="24"/>
          <w:lang w:val="id-ID"/>
        </w:rPr>
        <w:t xml:space="preserve"> </w:t>
      </w:r>
      <w:r w:rsidRPr="005122E3">
        <w:rPr>
          <w:rFonts w:ascii="Bookman Old Style" w:hAnsi="Bookman Old Style" w:cs="Arial"/>
          <w:sz w:val="24"/>
          <w:szCs w:val="24"/>
          <w:lang w:val="id-ID"/>
        </w:rPr>
        <w:t>daerah</w:t>
      </w:r>
      <w:r w:rsidR="00A954D0">
        <w:rPr>
          <w:rFonts w:ascii="Bookman Old Style" w:hAnsi="Bookman Old Style" w:cs="Tahoma,Bold"/>
          <w:bCs/>
          <w:sz w:val="24"/>
          <w:szCs w:val="24"/>
          <w:lang w:val="id-ID" w:eastAsia="id-ID"/>
        </w:rPr>
        <w:t xml:space="preserve"> </w:t>
      </w:r>
      <w:r w:rsidRPr="005122E3">
        <w:rPr>
          <w:rFonts w:ascii="Bookman Old Style" w:hAnsi="Bookman Old Style" w:cs="Gill Sans Light (Arabid)"/>
          <w:bCs/>
          <w:sz w:val="24"/>
          <w:szCs w:val="24"/>
          <w:lang w:eastAsia="id-ID"/>
        </w:rPr>
        <w:t>dalam</w:t>
      </w:r>
      <w:r w:rsidR="00A954D0">
        <w:rPr>
          <w:rFonts w:ascii="Bookman Old Style" w:hAnsi="Bookman Old Style" w:cs="Gill Sans Light (Arabid)"/>
          <w:bCs/>
          <w:sz w:val="24"/>
          <w:szCs w:val="24"/>
          <w:lang w:eastAsia="id-ID"/>
        </w:rPr>
        <w:t xml:space="preserve"> </w:t>
      </w:r>
      <w:r w:rsidRPr="005122E3">
        <w:rPr>
          <w:rFonts w:ascii="Bookman Old Style" w:hAnsi="Bookman Old Style" w:cs="Tahoma,Bold"/>
          <w:bCs/>
          <w:sz w:val="24"/>
          <w:szCs w:val="24"/>
          <w:lang w:val="id-ID" w:eastAsia="id-ID"/>
        </w:rPr>
        <w:t>Rancangan</w:t>
      </w:r>
      <w:r w:rsidR="00A954D0">
        <w:rPr>
          <w:rFonts w:ascii="Bookman Old Style" w:hAnsi="Bookman Old Style" w:cs="Gill Sans Light (Arabid)"/>
          <w:bCs/>
          <w:sz w:val="24"/>
          <w:szCs w:val="24"/>
          <w:lang w:eastAsia="id-ID"/>
        </w:rPr>
        <w:t xml:space="preserve"> </w:t>
      </w:r>
      <w:r w:rsidRPr="005122E3">
        <w:rPr>
          <w:rFonts w:ascii="Bookman Old Style" w:hAnsi="Bookman Old Style" w:cs="Gill Sans Light (Arabid)"/>
          <w:bCs/>
          <w:sz w:val="24"/>
          <w:szCs w:val="24"/>
          <w:lang w:eastAsia="id-ID"/>
        </w:rPr>
        <w:t>Peraturan</w:t>
      </w:r>
      <w:r w:rsidR="00A954D0">
        <w:rPr>
          <w:rFonts w:ascii="Bookman Old Style" w:hAnsi="Bookman Old Style" w:cs="Gill Sans Light (Arabid)"/>
          <w:bCs/>
          <w:sz w:val="24"/>
          <w:szCs w:val="24"/>
          <w:lang w:eastAsia="id-ID"/>
        </w:rPr>
        <w:t xml:space="preserve"> </w:t>
      </w:r>
      <w:r w:rsidRPr="005122E3">
        <w:rPr>
          <w:rFonts w:ascii="Bookman Old Style" w:hAnsi="Bookman Old Style" w:cs="Gill Sans Light (Arabid)"/>
          <w:bCs/>
          <w:sz w:val="24"/>
          <w:szCs w:val="24"/>
          <w:lang w:eastAsia="id-ID"/>
        </w:rPr>
        <w:t>Daerah</w:t>
      </w:r>
      <w:r w:rsidR="00A954D0">
        <w:rPr>
          <w:rFonts w:ascii="Bookman Old Style" w:hAnsi="Bookman Old Style"/>
          <w:sz w:val="24"/>
          <w:szCs w:val="24"/>
          <w:lang w:val="id-ID"/>
        </w:rPr>
        <w:t xml:space="preserve"> </w:t>
      </w:r>
      <w:r w:rsidRPr="005122E3">
        <w:rPr>
          <w:rFonts w:ascii="Bookman Old Style" w:hAnsi="Bookman Old Style"/>
          <w:sz w:val="24"/>
          <w:szCs w:val="24"/>
          <w:lang w:val="id-ID"/>
        </w:rPr>
        <w:t>Kota</w:t>
      </w:r>
      <w:r w:rsidR="00A954D0">
        <w:rPr>
          <w:rFonts w:ascii="Bookman Old Style" w:hAnsi="Bookman Old Style"/>
          <w:sz w:val="24"/>
          <w:szCs w:val="24"/>
          <w:lang w:val="id-ID"/>
        </w:rPr>
        <w:t xml:space="preserve"> </w:t>
      </w:r>
      <w:r w:rsidRPr="005122E3">
        <w:rPr>
          <w:rFonts w:ascii="Bookman Old Style" w:hAnsi="Bookman Old Style"/>
          <w:sz w:val="24"/>
          <w:szCs w:val="24"/>
          <w:lang w:val="fi-FI"/>
        </w:rPr>
        <w:t>Tangerang</w:t>
      </w:r>
      <w:r w:rsidR="00A954D0">
        <w:rPr>
          <w:rFonts w:ascii="Bookman Old Style" w:hAnsi="Bookman Old Style"/>
          <w:sz w:val="24"/>
          <w:szCs w:val="24"/>
        </w:rPr>
        <w:t xml:space="preserve"> </w:t>
      </w:r>
      <w:r w:rsidRPr="005122E3">
        <w:rPr>
          <w:rFonts w:ascii="Bookman Old Style" w:hAnsi="Bookman Old Style" w:cs="Gill Sans Light (Arabid)"/>
          <w:bCs/>
          <w:sz w:val="24"/>
          <w:szCs w:val="24"/>
          <w:lang w:eastAsia="id-ID"/>
        </w:rPr>
        <w:t>tentang</w:t>
      </w:r>
      <w:r w:rsidR="00A954D0">
        <w:rPr>
          <w:rFonts w:ascii="Bookman Old Style" w:hAnsi="Bookman Old Style" w:cs="Gill Sans Light (Arabid)"/>
          <w:bCs/>
          <w:sz w:val="24"/>
          <w:szCs w:val="24"/>
          <w:lang w:val="id-ID" w:eastAsia="id-ID"/>
        </w:rPr>
        <w:t xml:space="preserve"> </w:t>
      </w:r>
      <w:r w:rsidRPr="005122E3">
        <w:rPr>
          <w:rFonts w:ascii="Bookman Old Style" w:hAnsi="Bookman Old Style" w:cs="Gill Sans Light (Arabid)"/>
          <w:bCs/>
          <w:sz w:val="24"/>
          <w:szCs w:val="24"/>
          <w:lang w:eastAsia="id-ID"/>
        </w:rPr>
        <w:t>APBD</w:t>
      </w:r>
      <w:r w:rsidR="00A954D0">
        <w:rPr>
          <w:rFonts w:ascii="Bookman Old Style" w:hAnsi="Bookman Old Style" w:cs="Gill Sans Light (Arabid)"/>
          <w:bCs/>
          <w:sz w:val="24"/>
          <w:szCs w:val="24"/>
          <w:lang w:eastAsia="id-ID"/>
        </w:rPr>
        <w:t xml:space="preserve"> </w:t>
      </w:r>
      <w:r w:rsidRPr="005122E3">
        <w:rPr>
          <w:rFonts w:ascii="Bookman Old Style" w:hAnsi="Bookman Old Style" w:cs="Gill Sans Light (Arabid)"/>
          <w:bCs/>
          <w:sz w:val="24"/>
          <w:szCs w:val="24"/>
          <w:lang w:eastAsia="id-ID"/>
        </w:rPr>
        <w:t>Tahun</w:t>
      </w:r>
      <w:r w:rsidR="00A954D0">
        <w:rPr>
          <w:rFonts w:ascii="Bookman Old Style" w:hAnsi="Bookman Old Style" w:cs="Gill Sans Light (Arabid)"/>
          <w:bCs/>
          <w:sz w:val="24"/>
          <w:szCs w:val="24"/>
          <w:lang w:eastAsia="id-ID"/>
        </w:rPr>
        <w:t xml:space="preserve"> </w:t>
      </w:r>
      <w:r w:rsidRPr="005122E3">
        <w:rPr>
          <w:rFonts w:ascii="Bookman Old Style" w:hAnsi="Bookman Old Style" w:cs="Gill Sans Light (Arabid)"/>
          <w:bCs/>
          <w:sz w:val="24"/>
          <w:szCs w:val="24"/>
          <w:lang w:eastAsia="id-ID"/>
        </w:rPr>
        <w:t>Anggaran</w:t>
      </w:r>
      <w:r w:rsidR="00A954D0">
        <w:rPr>
          <w:rFonts w:ascii="Bookman Old Style" w:hAnsi="Bookman Old Style" w:cs="Gill Sans Light (Arabid)"/>
          <w:bCs/>
          <w:sz w:val="24"/>
          <w:szCs w:val="24"/>
          <w:lang w:eastAsia="id-ID"/>
        </w:rPr>
        <w:t xml:space="preserve"> </w:t>
      </w:r>
      <w:r w:rsidRPr="005122E3">
        <w:rPr>
          <w:rFonts w:ascii="Bookman Old Style" w:hAnsi="Bookman Old Style" w:cs="Gill Sans Light (Arabid)"/>
          <w:bCs/>
          <w:sz w:val="24"/>
          <w:szCs w:val="24"/>
          <w:lang w:eastAsia="id-ID"/>
        </w:rPr>
        <w:t>202</w:t>
      </w:r>
      <w:r w:rsidRPr="005122E3">
        <w:rPr>
          <w:rFonts w:ascii="Bookman Old Style" w:hAnsi="Bookman Old Style" w:cs="Gill Sans Light (Arabid)"/>
          <w:bCs/>
          <w:sz w:val="24"/>
          <w:szCs w:val="24"/>
          <w:lang w:val="id-ID" w:eastAsia="id-ID"/>
        </w:rPr>
        <w:t>5</w:t>
      </w:r>
      <w:r>
        <w:rPr>
          <w:rFonts w:ascii="Bookman Old Style" w:hAnsi="Bookman Old Style" w:cs="Gill Sans Light (Arabid)"/>
          <w:bCs/>
          <w:sz w:val="24"/>
          <w:szCs w:val="24"/>
          <w:lang w:val="id-ID" w:eastAsia="id-ID"/>
        </w:rPr>
        <w:t>.</w:t>
      </w:r>
    </w:p>
    <w:p w14:paraId="5C5EEDE6" w14:textId="553C2D27" w:rsidR="005A4806" w:rsidRPr="00C85F43" w:rsidRDefault="005A4806" w:rsidP="00AC44F5">
      <w:pPr>
        <w:spacing w:before="120" w:line="276" w:lineRule="auto"/>
        <w:ind w:left="3261"/>
        <w:jc w:val="both"/>
        <w:rPr>
          <w:rFonts w:ascii="Bookman Old Style" w:hAnsi="Bookman Old Style" w:cs="Tahoma,Bold"/>
          <w:bCs/>
          <w:color w:val="FF0000"/>
          <w:lang w:val="id-ID" w:eastAsia="id-ID"/>
        </w:rPr>
      </w:pPr>
      <w:r w:rsidRPr="00C85F43">
        <w:rPr>
          <w:rFonts w:ascii="Bookman Old Style" w:hAnsi="Bookman Old Style" w:cs="Gill Sans Light (Arabid)"/>
          <w:bCs/>
          <w:lang w:val="id-ID" w:eastAsia="id-ID"/>
        </w:rPr>
        <w:t>Besaran</w:t>
      </w:r>
      <w:r w:rsidR="00A954D0">
        <w:rPr>
          <w:rFonts w:ascii="Bookman Old Style" w:hAnsi="Bookman Old Style" w:cs="Gill Sans Light (Arabid)"/>
          <w:bCs/>
          <w:lang w:val="id-ID" w:eastAsia="id-ID"/>
        </w:rPr>
        <w:t xml:space="preserve"> </w:t>
      </w:r>
      <w:r w:rsidRPr="00C85F43">
        <w:rPr>
          <w:rFonts w:ascii="Bookman Old Style" w:hAnsi="Bookman Old Style" w:cs="Gill Sans Light (Arabid)"/>
          <w:bCs/>
          <w:lang w:val="id-ID" w:eastAsia="id-ID"/>
        </w:rPr>
        <w:t>alokasi</w:t>
      </w:r>
      <w:r w:rsidR="00A954D0">
        <w:rPr>
          <w:rFonts w:ascii="Bookman Old Style" w:hAnsi="Bookman Old Style" w:cs="Gill Sans Light (Arabid)"/>
          <w:bCs/>
          <w:lang w:val="id-ID" w:eastAsia="id-ID"/>
        </w:rPr>
        <w:t xml:space="preserve"> </w:t>
      </w:r>
      <w:r w:rsidRPr="00C85F43">
        <w:rPr>
          <w:rFonts w:ascii="Bookman Old Style" w:hAnsi="Bookman Old Style" w:cs="Gill Sans Light (Arabid)"/>
          <w:bCs/>
          <w:lang w:val="id-ID" w:eastAsia="id-ID"/>
        </w:rPr>
        <w:t>anggaran</w:t>
      </w:r>
      <w:r w:rsidR="00A954D0">
        <w:rPr>
          <w:rFonts w:ascii="Bookman Old Style" w:hAnsi="Bookman Old Style" w:cs="Gill Sans Light (Arabid)"/>
          <w:bCs/>
          <w:lang w:val="id-ID" w:eastAsia="id-ID"/>
        </w:rPr>
        <w:t xml:space="preserve"> </w:t>
      </w:r>
      <w:r w:rsidRPr="00C85F43">
        <w:rPr>
          <w:rFonts w:ascii="Bookman Old Style" w:hAnsi="Bookman Old Style" w:cs="Gill Sans Light (Arabid)"/>
          <w:bCs/>
          <w:lang w:val="id-ID" w:eastAsia="id-ID"/>
        </w:rPr>
        <w:t>Iuran</w:t>
      </w:r>
      <w:r w:rsidR="00A954D0">
        <w:rPr>
          <w:rFonts w:ascii="Bookman Old Style" w:hAnsi="Bookman Old Style" w:cs="Gill Sans Light (Arabid)"/>
          <w:bCs/>
          <w:lang w:val="id-ID" w:eastAsia="id-ID"/>
        </w:rPr>
        <w:t xml:space="preserve"> </w:t>
      </w:r>
      <w:r w:rsidRPr="00C85F43">
        <w:rPr>
          <w:rFonts w:ascii="Bookman Old Style" w:hAnsi="Bookman Old Style" w:cs="Gill Sans Light (Arabid)"/>
          <w:bCs/>
          <w:lang w:val="id-ID" w:eastAsia="id-ID"/>
        </w:rPr>
        <w:t>Jaminan</w:t>
      </w:r>
      <w:r w:rsidR="00A954D0">
        <w:rPr>
          <w:rFonts w:ascii="Bookman Old Style" w:hAnsi="Bookman Old Style" w:cs="Gill Sans Light (Arabid)"/>
          <w:bCs/>
          <w:lang w:val="id-ID" w:eastAsia="id-ID"/>
        </w:rPr>
        <w:t xml:space="preserve"> </w:t>
      </w:r>
      <w:r>
        <w:rPr>
          <w:rFonts w:ascii="Bookman Old Style" w:hAnsi="Bookman Old Style" w:cs="Gill Sans Light (Arabid)"/>
          <w:bCs/>
          <w:lang w:val="id-ID" w:eastAsia="id-ID"/>
        </w:rPr>
        <w:t>Kesehatan</w:t>
      </w:r>
      <w:r w:rsidR="00A954D0">
        <w:rPr>
          <w:rFonts w:ascii="Bookman Old Style" w:hAnsi="Bookman Old Style" w:cs="Gill Sans Light (Arabid)"/>
          <w:bCs/>
          <w:lang w:val="id-ID" w:eastAsia="id-ID"/>
        </w:rPr>
        <w:t xml:space="preserve"> </w:t>
      </w:r>
      <w:r>
        <w:rPr>
          <w:rFonts w:ascii="Bookman Old Style" w:hAnsi="Bookman Old Style" w:cs="Gill Sans Light (Arabid)"/>
          <w:bCs/>
          <w:lang w:val="id-ID" w:eastAsia="id-ID"/>
        </w:rPr>
        <w:t>bagi</w:t>
      </w:r>
      <w:r w:rsidR="00A954D0">
        <w:rPr>
          <w:rFonts w:ascii="Bookman Old Style" w:hAnsi="Bookman Old Style" w:cs="Gill Sans Light (Arabid)"/>
          <w:bCs/>
          <w:lang w:val="id-ID" w:eastAsia="id-ID"/>
        </w:rPr>
        <w:t xml:space="preserve"> </w:t>
      </w:r>
      <w:r>
        <w:rPr>
          <w:rFonts w:ascii="Bookman Old Style" w:hAnsi="Bookman Old Style" w:cs="Gill Sans Light (Arabid)"/>
          <w:bCs/>
          <w:lang w:val="id-ID" w:eastAsia="id-ID"/>
        </w:rPr>
        <w:t>DPRD</w:t>
      </w:r>
      <w:r w:rsidR="00A954D0">
        <w:rPr>
          <w:rFonts w:ascii="Bookman Old Style" w:hAnsi="Bookman Old Style" w:cs="Gill Sans Light (Arabid)"/>
          <w:bCs/>
          <w:lang w:val="id-ID" w:eastAsia="id-ID"/>
        </w:rPr>
        <w:t xml:space="preserve"> </w:t>
      </w:r>
      <w:r w:rsidR="00F32453">
        <w:rPr>
          <w:rFonts w:ascii="Bookman Old Style" w:hAnsi="Bookman Old Style" w:cs="Gill Sans Light (Arabid)"/>
          <w:b/>
          <w:lang w:val="id-ID" w:eastAsia="id-ID"/>
        </w:rPr>
        <w:t>telah</w:t>
      </w:r>
      <w:r w:rsidR="00A954D0">
        <w:rPr>
          <w:rFonts w:ascii="Bookman Old Style" w:hAnsi="Bookman Old Style" w:cs="Gill Sans Light (Arabid)"/>
          <w:b/>
          <w:lang w:val="id-ID" w:eastAsia="id-ID"/>
        </w:rPr>
        <w:t xml:space="preserve"> </w:t>
      </w:r>
      <w:r w:rsidRPr="00C85F43">
        <w:rPr>
          <w:rFonts w:ascii="Bookman Old Style" w:hAnsi="Bookman Old Style" w:cs="Gill Sans Light (Arabid)"/>
          <w:b/>
          <w:bCs/>
          <w:lang w:val="id-ID" w:eastAsia="id-ID"/>
        </w:rPr>
        <w:t>memenuhi</w:t>
      </w:r>
      <w:r w:rsidR="00A954D0">
        <w:rPr>
          <w:rFonts w:ascii="Bookman Old Style" w:hAnsi="Bookman Old Style" w:cs="Gill Sans Light (Arabid)"/>
          <w:bCs/>
          <w:lang w:val="id-ID" w:eastAsia="id-ID"/>
        </w:rPr>
        <w:t xml:space="preserve"> </w:t>
      </w:r>
      <w:r w:rsidRPr="00C85F43">
        <w:rPr>
          <w:rFonts w:ascii="Bookman Old Style" w:hAnsi="Bookman Old Style" w:cs="Gill Sans Light (Arabid)"/>
          <w:bCs/>
          <w:lang w:val="id-ID" w:eastAsia="id-ID"/>
        </w:rPr>
        <w:t>amanat</w:t>
      </w:r>
      <w:r w:rsidR="00A954D0" w:rsidRPr="003255BC">
        <w:rPr>
          <w:rFonts w:ascii="Bookman Old Style" w:hAnsi="Bookman Old Style" w:cs="Gill Sans Light (Arabid)"/>
          <w:bCs/>
          <w:lang w:val="id-ID" w:eastAsia="id-ID"/>
        </w:rPr>
        <w:t xml:space="preserve"> </w:t>
      </w:r>
      <w:r w:rsidRPr="00C85F43">
        <w:rPr>
          <w:rFonts w:ascii="Bookman Old Style" w:hAnsi="Bookman Old Style" w:cs="Tahoma,Bold"/>
          <w:bCs/>
          <w:color w:val="000000" w:themeColor="text1"/>
          <w:lang w:val="id-ID" w:eastAsia="id-ID"/>
        </w:rPr>
        <w:t>Pasal</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9</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ayat</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(1)</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Peraturan</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Pemerintah</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Nomor</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18</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Tahun</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2017</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tentang</w:t>
      </w:r>
      <w:r w:rsidR="00A954D0" w:rsidRPr="003255BC">
        <w:rPr>
          <w:rFonts w:ascii="Bookman Old Style" w:hAnsi="Bookman Old Style"/>
          <w:color w:val="000000" w:themeColor="text1"/>
          <w:lang w:val="id-ID"/>
        </w:rPr>
        <w:t xml:space="preserve"> </w:t>
      </w:r>
      <w:r w:rsidRPr="00C85F43">
        <w:rPr>
          <w:rFonts w:ascii="Bookman Old Style" w:hAnsi="Bookman Old Style" w:cs="Tahoma,Bold"/>
          <w:bCs/>
          <w:color w:val="000000" w:themeColor="text1"/>
          <w:lang w:val="id-ID" w:eastAsia="id-ID"/>
        </w:rPr>
        <w:t>Hak</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Keuangan</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dan</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Administratif</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Pimpinan</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dan</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Anggota</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Dewan</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Perwakilan</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Rakyat</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Daerah</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sebagaimana</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telah</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diubah</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dengan</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Peraturan</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Pemerintah</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Nomor</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1</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Tahun</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2023</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tentang</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Perubahan</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atas</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Peraturan</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Pemerintah</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Nomor</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18</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tahun</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2017</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tentang</w:t>
      </w:r>
      <w:r w:rsidR="00A954D0" w:rsidRPr="003255BC">
        <w:rPr>
          <w:rFonts w:ascii="Bookman Old Style" w:hAnsi="Bookman Old Style"/>
          <w:color w:val="000000" w:themeColor="text1"/>
          <w:lang w:val="id-ID"/>
        </w:rPr>
        <w:t xml:space="preserve"> </w:t>
      </w:r>
      <w:r w:rsidRPr="00C85F43">
        <w:rPr>
          <w:rFonts w:ascii="Bookman Old Style" w:hAnsi="Bookman Old Style" w:cs="Tahoma,Bold"/>
          <w:bCs/>
          <w:color w:val="000000" w:themeColor="text1"/>
          <w:lang w:val="id-ID" w:eastAsia="id-ID"/>
        </w:rPr>
        <w:t>tentang</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Hak</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Keuangan</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dan</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Administratif</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Pimpinan</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dan</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Anggota</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Dewan</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Perwakilan</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Rakyat</w:t>
      </w:r>
      <w:r w:rsidR="00A954D0">
        <w:rPr>
          <w:rFonts w:ascii="Bookman Old Style" w:hAnsi="Bookman Old Style" w:cs="Tahoma,Bold"/>
          <w:bCs/>
          <w:color w:val="000000" w:themeColor="text1"/>
          <w:lang w:val="id-ID" w:eastAsia="id-ID"/>
        </w:rPr>
        <w:t xml:space="preserve"> </w:t>
      </w:r>
      <w:r w:rsidRPr="00C85F43">
        <w:rPr>
          <w:rFonts w:ascii="Bookman Old Style" w:hAnsi="Bookman Old Style" w:cs="Tahoma,Bold"/>
          <w:bCs/>
          <w:color w:val="000000" w:themeColor="text1"/>
          <w:lang w:val="id-ID" w:eastAsia="id-ID"/>
        </w:rPr>
        <w:t>Daerah</w:t>
      </w:r>
      <w:r w:rsidRPr="00C85F43">
        <w:rPr>
          <w:rFonts w:ascii="Bookman Old Style" w:hAnsi="Bookman Old Style" w:cs="Tahoma,Bold"/>
          <w:bCs/>
          <w:lang w:val="id-ID" w:eastAsia="id-ID"/>
        </w:rPr>
        <w:t>.</w:t>
      </w:r>
      <w:r w:rsidR="00A954D0">
        <w:rPr>
          <w:rFonts w:ascii="Bookman Old Style" w:hAnsi="Bookman Old Style" w:cs="Tahoma,Bold"/>
          <w:bCs/>
          <w:lang w:val="id-ID" w:eastAsia="id-ID"/>
        </w:rPr>
        <w:t xml:space="preserve"> </w:t>
      </w:r>
    </w:p>
    <w:p w14:paraId="40D9879E" w14:textId="7B40CCA8" w:rsidR="005A4806" w:rsidRPr="005122E3" w:rsidRDefault="005A4806" w:rsidP="00AC44F5">
      <w:pPr>
        <w:pStyle w:val="ListParagraph"/>
        <w:numPr>
          <w:ilvl w:val="0"/>
          <w:numId w:val="50"/>
        </w:numPr>
        <w:spacing w:before="60" w:after="0" w:line="276" w:lineRule="auto"/>
        <w:ind w:left="3261" w:hanging="284"/>
        <w:contextualSpacing w:val="0"/>
        <w:jc w:val="both"/>
        <w:rPr>
          <w:rFonts w:ascii="Bookman Old Style" w:hAnsi="Bookman Old Style" w:cs="Tahoma,Bold"/>
          <w:bCs/>
          <w:color w:val="000000" w:themeColor="text1"/>
          <w:sz w:val="24"/>
          <w:szCs w:val="24"/>
          <w:lang w:val="id-ID" w:eastAsia="id-ID"/>
        </w:rPr>
      </w:pPr>
      <w:r w:rsidRPr="00727324">
        <w:rPr>
          <w:rFonts w:ascii="Bookman Old Style" w:hAnsi="Bookman Old Style" w:cs="Arial"/>
          <w:sz w:val="24"/>
          <w:szCs w:val="24"/>
          <w:lang w:val="id-ID"/>
        </w:rPr>
        <w:t>Belanja</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Iuran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Jaminan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Kesehatan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bagi</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KDH/WKDH</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Rp</w:t>
      </w:r>
      <w:r w:rsidRPr="00A70AC3">
        <w:rPr>
          <w:rFonts w:ascii="Bookman Old Style" w:hAnsi="Bookman Old Style" w:cs="Tahoma,Bold"/>
          <w:bCs/>
          <w:sz w:val="24"/>
          <w:szCs w:val="24"/>
          <w:lang w:val="id-ID" w:eastAsia="id-ID"/>
        </w:rPr>
        <w:t>6</w:t>
      </w:r>
      <w:r>
        <w:rPr>
          <w:rFonts w:ascii="Bookman Old Style" w:hAnsi="Bookman Old Style" w:cs="Tahoma,Bold"/>
          <w:bCs/>
          <w:sz w:val="24"/>
          <w:szCs w:val="24"/>
          <w:lang w:val="id-ID" w:eastAsia="id-ID"/>
        </w:rPr>
        <w:t>.430.871</w:t>
      </w:r>
      <w:r w:rsidRPr="00727324">
        <w:rPr>
          <w:rFonts w:ascii="Bookman Old Style" w:hAnsi="Bookman Old Style" w:cs="Tahoma,Bold"/>
          <w:bCs/>
          <w:sz w:val="24"/>
          <w:szCs w:val="24"/>
          <w:lang w:val="id-ID" w:eastAsia="id-ID"/>
        </w:rPr>
        <w:t>,00</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atau</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0,000</w:t>
      </w:r>
      <w:r>
        <w:rPr>
          <w:rFonts w:ascii="Bookman Old Style" w:hAnsi="Bookman Old Style" w:cs="Tahoma,Bold"/>
          <w:bCs/>
          <w:sz w:val="24"/>
          <w:szCs w:val="24"/>
          <w:lang w:val="id-ID" w:eastAsia="id-ID"/>
        </w:rPr>
        <w:t>1</w:t>
      </w:r>
      <w:r w:rsidRPr="00727324">
        <w:rPr>
          <w:rFonts w:ascii="Bookman Old Style" w:hAnsi="Bookman Old Style" w:cs="Tahoma,Bold"/>
          <w:bCs/>
          <w:sz w:val="24"/>
          <w:szCs w:val="24"/>
          <w:lang w:val="id-ID" w:eastAsia="id-ID"/>
        </w:rPr>
        <w:t>%</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dari</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total</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belanja</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daerah</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dalam</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Rancangan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Peraturan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Daerah</w:t>
      </w:r>
      <w:r w:rsidR="00A954D0">
        <w:rPr>
          <w:rFonts w:ascii="Bookman Old Style" w:hAnsi="Bookman Old Style"/>
          <w:sz w:val="24"/>
          <w:szCs w:val="24"/>
          <w:lang w:val="id-ID"/>
        </w:rPr>
        <w:t xml:space="preserve"> </w:t>
      </w:r>
      <w:r w:rsidR="00A67807">
        <w:rPr>
          <w:rFonts w:ascii="Bookman Old Style" w:hAnsi="Bookman Old Style"/>
          <w:sz w:val="24"/>
          <w:szCs w:val="24"/>
          <w:lang w:val="id-ID"/>
        </w:rPr>
        <w:t>Kota</w:t>
      </w:r>
      <w:r w:rsidR="00A954D0">
        <w:rPr>
          <w:rFonts w:ascii="Bookman Old Style" w:hAnsi="Bookman Old Style"/>
          <w:sz w:val="24"/>
          <w:szCs w:val="24"/>
          <w:lang w:val="id-ID"/>
        </w:rPr>
        <w:t xml:space="preserve"> </w:t>
      </w:r>
      <w:r>
        <w:rPr>
          <w:rFonts w:ascii="Bookman Old Style" w:hAnsi="Bookman Old Style"/>
          <w:sz w:val="24"/>
          <w:szCs w:val="24"/>
          <w:lang w:val="fi-FI"/>
        </w:rPr>
        <w:t>Tangerang</w:t>
      </w:r>
      <w:r w:rsidR="00A954D0">
        <w:rPr>
          <w:rFonts w:ascii="Bookman Old Style" w:hAnsi="Bookman Old Style"/>
          <w:sz w:val="24"/>
          <w:szCs w:val="24"/>
        </w:rPr>
        <w:t xml:space="preserve"> </w:t>
      </w:r>
      <w:r w:rsidRPr="00727324">
        <w:rPr>
          <w:rFonts w:ascii="Bookman Old Style" w:hAnsi="Bookman Old Style" w:cs="Tahoma,Bold"/>
          <w:bCs/>
          <w:sz w:val="24"/>
          <w:szCs w:val="24"/>
          <w:lang w:val="id-ID" w:eastAsia="id-ID"/>
        </w:rPr>
        <w:t>tentang</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APBD</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Tahun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Anggaran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2025</w:t>
      </w:r>
      <w:r w:rsidR="00A954D0">
        <w:rPr>
          <w:rFonts w:ascii="Bookman Old Style" w:hAnsi="Bookman Old Style" w:cs="Tahoma,Bold"/>
          <w:bCs/>
          <w:sz w:val="24"/>
          <w:szCs w:val="24"/>
          <w:lang w:val="id-ID" w:eastAsia="id-ID"/>
        </w:rPr>
        <w:t xml:space="preserve"> </w:t>
      </w:r>
      <w:r w:rsidR="00A67807">
        <w:rPr>
          <w:rFonts w:ascii="Bookman Old Style" w:hAnsi="Bookman Old Style"/>
          <w:b/>
          <w:bCs/>
          <w:sz w:val="24"/>
          <w:szCs w:val="24"/>
          <w:lang w:val="id-ID"/>
        </w:rPr>
        <w:t>telah</w:t>
      </w:r>
      <w:r w:rsidR="00A954D0">
        <w:rPr>
          <w:rFonts w:ascii="Bookman Old Style" w:hAnsi="Bookman Old Style"/>
          <w:b/>
          <w:bCs/>
          <w:sz w:val="24"/>
          <w:szCs w:val="24"/>
        </w:rPr>
        <w:t xml:space="preserve"> </w:t>
      </w:r>
      <w:r w:rsidR="00A67807" w:rsidRPr="00727324">
        <w:rPr>
          <w:rFonts w:ascii="Bookman Old Style" w:hAnsi="Bookman Old Style" w:cs="Gill Sans Light (Arabid)"/>
          <w:b/>
          <w:bCs/>
          <w:sz w:val="24"/>
          <w:szCs w:val="24"/>
          <w:lang w:val="id-ID" w:eastAsia="id-ID"/>
        </w:rPr>
        <w:t>memenuhi</w:t>
      </w:r>
      <w:r w:rsidR="00A954D0">
        <w:rPr>
          <w:rFonts w:ascii="Bookman Old Style" w:hAnsi="Bookman Old Style" w:cs="Gill Sans Light (Arabid)"/>
          <w:bCs/>
          <w:sz w:val="24"/>
          <w:szCs w:val="24"/>
          <w:lang w:val="id-ID" w:eastAsia="id-ID"/>
        </w:rPr>
        <w:t xml:space="preserve"> </w:t>
      </w:r>
      <w:r w:rsidR="00A67807" w:rsidRPr="00727324">
        <w:rPr>
          <w:rFonts w:ascii="Bookman Old Style" w:hAnsi="Bookman Old Style" w:cs="Gill Sans Light (Arabid)"/>
          <w:bCs/>
          <w:sz w:val="24"/>
          <w:szCs w:val="24"/>
          <w:lang w:eastAsia="id-ID"/>
        </w:rPr>
        <w:t>besaran</w:t>
      </w:r>
      <w:r w:rsidR="00A954D0">
        <w:rPr>
          <w:rFonts w:ascii="Bookman Old Style" w:hAnsi="Bookman Old Style" w:cs="Gill Sans Light (Arabid)"/>
          <w:bCs/>
          <w:sz w:val="24"/>
          <w:szCs w:val="24"/>
          <w:lang w:eastAsia="id-ID"/>
        </w:rPr>
        <w:t xml:space="preserve"> </w:t>
      </w:r>
      <w:r w:rsidR="00A67807" w:rsidRPr="00727324">
        <w:rPr>
          <w:rFonts w:ascii="Bookman Old Style" w:hAnsi="Bookman Old Style" w:cs="Gill Sans Light (Arabid)"/>
          <w:bCs/>
          <w:sz w:val="24"/>
          <w:szCs w:val="24"/>
          <w:lang w:eastAsia="id-ID"/>
        </w:rPr>
        <w:t>alokasi</w:t>
      </w:r>
      <w:r w:rsidR="00A954D0">
        <w:rPr>
          <w:rFonts w:ascii="Bookman Old Style" w:hAnsi="Bookman Old Style" w:cs="Gill Sans Light (Arabid)"/>
          <w:bCs/>
          <w:sz w:val="24"/>
          <w:szCs w:val="24"/>
          <w:lang w:eastAsia="id-ID"/>
        </w:rPr>
        <w:t xml:space="preserve"> </w:t>
      </w:r>
      <w:r w:rsidR="00A67807" w:rsidRPr="00727324">
        <w:rPr>
          <w:rFonts w:ascii="Bookman Old Style" w:hAnsi="Bookman Old Style" w:cs="Tahoma,Bold"/>
          <w:bCs/>
          <w:sz w:val="24"/>
          <w:szCs w:val="24"/>
          <w:lang w:val="id-ID" w:eastAsia="id-ID"/>
        </w:rPr>
        <w:t>Iuran</w:t>
      </w:r>
      <w:r w:rsidR="00A954D0">
        <w:rPr>
          <w:rFonts w:ascii="Bookman Old Style" w:hAnsi="Bookman Old Style" w:cs="Tahoma,Bold"/>
          <w:bCs/>
          <w:sz w:val="24"/>
          <w:szCs w:val="24"/>
          <w:lang w:val="id-ID" w:eastAsia="id-ID"/>
        </w:rPr>
        <w:t xml:space="preserve"> </w:t>
      </w:r>
      <w:r w:rsidR="00A67807" w:rsidRPr="00727324">
        <w:rPr>
          <w:rFonts w:ascii="Bookman Old Style" w:hAnsi="Bookman Old Style" w:cs="Tahoma,Bold"/>
          <w:bCs/>
          <w:sz w:val="24"/>
          <w:szCs w:val="24"/>
          <w:lang w:val="id-ID" w:eastAsia="id-ID"/>
        </w:rPr>
        <w:t>Jaminan</w:t>
      </w:r>
      <w:r w:rsidR="00A954D0">
        <w:rPr>
          <w:rFonts w:ascii="Bookman Old Style" w:hAnsi="Bookman Old Style" w:cs="Tahoma,Bold"/>
          <w:bCs/>
          <w:sz w:val="24"/>
          <w:szCs w:val="24"/>
          <w:lang w:val="id-ID" w:eastAsia="id-ID"/>
        </w:rPr>
        <w:t xml:space="preserve"> </w:t>
      </w:r>
      <w:r w:rsidR="00A67807" w:rsidRPr="00727324">
        <w:rPr>
          <w:rFonts w:ascii="Bookman Old Style" w:hAnsi="Bookman Old Style" w:cs="Tahoma,Bold"/>
          <w:bCs/>
          <w:sz w:val="24"/>
          <w:szCs w:val="24"/>
          <w:lang w:val="id-ID" w:eastAsia="id-ID"/>
        </w:rPr>
        <w:t>Kesehatan</w:t>
      </w:r>
      <w:r w:rsidR="00A954D0">
        <w:rPr>
          <w:rFonts w:ascii="Bookman Old Style" w:hAnsi="Bookman Old Style" w:cs="Tahoma,Bold"/>
          <w:bCs/>
          <w:sz w:val="24"/>
          <w:szCs w:val="24"/>
          <w:lang w:val="id-ID" w:eastAsia="id-ID"/>
        </w:rPr>
        <w:t xml:space="preserve"> </w:t>
      </w:r>
      <w:r w:rsidR="00A67807" w:rsidRPr="00727324">
        <w:rPr>
          <w:rFonts w:ascii="Bookman Old Style" w:hAnsi="Bookman Old Style" w:cs="Tahoma,Bold"/>
          <w:bCs/>
          <w:sz w:val="24"/>
          <w:szCs w:val="24"/>
          <w:lang w:val="id-ID" w:eastAsia="id-ID"/>
        </w:rPr>
        <w:t>bagi</w:t>
      </w:r>
      <w:r w:rsidR="00A954D0">
        <w:rPr>
          <w:rFonts w:ascii="Bookman Old Style" w:hAnsi="Bookman Old Style" w:cs="Tahoma,Bold"/>
          <w:bCs/>
          <w:sz w:val="24"/>
          <w:szCs w:val="24"/>
          <w:lang w:val="id-ID" w:eastAsia="id-ID"/>
        </w:rPr>
        <w:t xml:space="preserve"> </w:t>
      </w:r>
      <w:r w:rsidR="00A67807" w:rsidRPr="00727324">
        <w:rPr>
          <w:rFonts w:ascii="Bookman Old Style" w:hAnsi="Bookman Old Style" w:cs="Tahoma,Bold"/>
          <w:bCs/>
          <w:sz w:val="24"/>
          <w:szCs w:val="24"/>
          <w:lang w:val="id-ID" w:eastAsia="id-ID"/>
        </w:rPr>
        <w:t>KDH/WKDH</w:t>
      </w:r>
      <w:r w:rsidR="00A67807">
        <w:rPr>
          <w:rFonts w:ascii="Bookman Old Style" w:hAnsi="Bookman Old Style" w:cs="Tahoma,Bold"/>
          <w:bCs/>
          <w:sz w:val="24"/>
          <w:szCs w:val="24"/>
          <w:lang w:val="id-ID" w:eastAsia="id-ID"/>
        </w:rPr>
        <w:t>.</w:t>
      </w:r>
    </w:p>
    <w:p w14:paraId="743483EC" w14:textId="348C6FB2" w:rsidR="005A4806" w:rsidRDefault="00A67807" w:rsidP="00AC44F5">
      <w:pPr>
        <w:pStyle w:val="ListParagraph"/>
        <w:spacing w:before="120" w:after="0" w:line="276" w:lineRule="auto"/>
        <w:ind w:left="3261"/>
        <w:contextualSpacing w:val="0"/>
        <w:jc w:val="both"/>
        <w:rPr>
          <w:rFonts w:ascii="Bookman Old Style" w:hAnsi="Bookman Old Style" w:cs="Tahoma,Bold"/>
          <w:bCs/>
          <w:color w:val="7030A0"/>
          <w:sz w:val="24"/>
          <w:szCs w:val="24"/>
          <w:lang w:val="id-ID" w:eastAsia="id-ID"/>
        </w:rPr>
      </w:pPr>
      <w:bookmarkStart w:id="25" w:name="_Hlk184074870"/>
      <w:r>
        <w:rPr>
          <w:rFonts w:ascii="Bookman Old Style" w:hAnsi="Bookman Old Style" w:cs="Tahoma,Bold"/>
          <w:bCs/>
          <w:sz w:val="24"/>
          <w:szCs w:val="24"/>
          <w:lang w:val="id-ID" w:eastAsia="id-ID"/>
        </w:rPr>
        <w:t>Pemerintah</w:t>
      </w:r>
      <w:r w:rsidR="00A954D0">
        <w:rPr>
          <w:rFonts w:ascii="Bookman Old Style" w:hAnsi="Bookman Old Style" w:cs="Tahoma,Bold"/>
          <w:bCs/>
          <w:sz w:val="24"/>
          <w:szCs w:val="24"/>
          <w:lang w:val="id-ID" w:eastAsia="id-ID"/>
        </w:rPr>
        <w:t xml:space="preserve"> </w:t>
      </w:r>
      <w:r>
        <w:rPr>
          <w:rFonts w:ascii="Bookman Old Style" w:hAnsi="Bookman Old Style"/>
          <w:sz w:val="24"/>
          <w:szCs w:val="24"/>
          <w:lang w:val="id-ID"/>
        </w:rPr>
        <w:t>Kota</w:t>
      </w:r>
      <w:r w:rsidR="00A954D0">
        <w:rPr>
          <w:rFonts w:ascii="Bookman Old Style" w:hAnsi="Bookman Old Style"/>
          <w:sz w:val="24"/>
          <w:szCs w:val="24"/>
          <w:lang w:val="id-ID"/>
        </w:rPr>
        <w:t xml:space="preserve"> </w:t>
      </w:r>
      <w:r>
        <w:rPr>
          <w:rFonts w:ascii="Bookman Old Style" w:hAnsi="Bookman Old Style"/>
          <w:sz w:val="24"/>
          <w:szCs w:val="24"/>
          <w:lang w:val="fi-FI"/>
        </w:rPr>
        <w:t>Tangerang</w:t>
      </w:r>
      <w:r w:rsidR="00A954D0">
        <w:rPr>
          <w:rFonts w:ascii="Bookman Old Style" w:hAnsi="Bookman Old Style"/>
          <w:sz w:val="24"/>
          <w:szCs w:val="24"/>
        </w:rPr>
        <w:t xml:space="preserve"> </w:t>
      </w:r>
      <w:r>
        <w:rPr>
          <w:rFonts w:ascii="Bookman Old Style" w:hAnsi="Bookman Old Style"/>
          <w:sz w:val="24"/>
          <w:szCs w:val="24"/>
        </w:rPr>
        <w:t>agar</w:t>
      </w:r>
      <w:r w:rsidR="00A954D0">
        <w:rPr>
          <w:rFonts w:ascii="Bookman Old Style" w:hAnsi="Bookman Old Style"/>
          <w:sz w:val="24"/>
          <w:szCs w:val="24"/>
        </w:rPr>
        <w:t xml:space="preserve"> </w:t>
      </w:r>
      <w:r>
        <w:rPr>
          <w:rFonts w:ascii="Bookman Old Style" w:hAnsi="Bookman Old Style"/>
          <w:sz w:val="24"/>
          <w:szCs w:val="24"/>
        </w:rPr>
        <w:t>menyediakan</w:t>
      </w:r>
      <w:r w:rsidR="00A954D0">
        <w:rPr>
          <w:rFonts w:ascii="Bookman Old Style" w:hAnsi="Bookman Old Style"/>
          <w:sz w:val="24"/>
          <w:szCs w:val="24"/>
        </w:rPr>
        <w:t xml:space="preserve"> </w:t>
      </w:r>
      <w:r w:rsidR="005A4806" w:rsidRPr="00727324">
        <w:rPr>
          <w:rFonts w:ascii="Bookman Old Style" w:hAnsi="Bookman Old Style" w:cs="Tahoma,Bold"/>
          <w:bCs/>
          <w:sz w:val="24"/>
          <w:szCs w:val="24"/>
          <w:lang w:val="id-ID" w:eastAsia="id-ID"/>
        </w:rPr>
        <w:t>alokasi</w:t>
      </w:r>
      <w:r w:rsidR="00A954D0">
        <w:rPr>
          <w:rFonts w:ascii="Bookman Old Style" w:hAnsi="Bookman Old Style" w:cs="Tahoma,Bold"/>
          <w:bCs/>
          <w:sz w:val="24"/>
          <w:szCs w:val="24"/>
          <w:lang w:val="id-ID" w:eastAsia="id-ID"/>
        </w:rPr>
        <w:t xml:space="preserve"> </w:t>
      </w:r>
      <w:r w:rsidR="005A4806" w:rsidRPr="00727324">
        <w:rPr>
          <w:rFonts w:ascii="Bookman Old Style" w:hAnsi="Bookman Old Style" w:cs="Tahoma,Bold"/>
          <w:bCs/>
          <w:sz w:val="24"/>
          <w:szCs w:val="24"/>
          <w:lang w:val="id-ID" w:eastAsia="id-ID"/>
        </w:rPr>
        <w:t>anggaran</w:t>
      </w:r>
      <w:r w:rsidR="00A954D0">
        <w:rPr>
          <w:rFonts w:ascii="Bookman Old Style" w:hAnsi="Bookman Old Style" w:cs="Tahoma,Bold"/>
          <w:bCs/>
          <w:sz w:val="24"/>
          <w:szCs w:val="24"/>
          <w:lang w:val="id-ID" w:eastAsia="id-ID"/>
        </w:rPr>
        <w:t xml:space="preserve"> </w:t>
      </w:r>
      <w:r w:rsidR="005A4806" w:rsidRPr="00727324">
        <w:rPr>
          <w:rFonts w:ascii="Bookman Old Style" w:hAnsi="Bookman Old Style" w:cs="Tahoma,Bold"/>
          <w:bCs/>
          <w:sz w:val="24"/>
          <w:szCs w:val="24"/>
          <w:lang w:val="id-ID" w:eastAsia="id-ID"/>
        </w:rPr>
        <w:t>Iuran</w:t>
      </w:r>
      <w:r w:rsidR="00A954D0">
        <w:rPr>
          <w:rFonts w:ascii="Bookman Old Style" w:hAnsi="Bookman Old Style" w:cs="Tahoma,Bold"/>
          <w:bCs/>
          <w:sz w:val="24"/>
          <w:szCs w:val="24"/>
          <w:lang w:val="id-ID" w:eastAsia="id-ID"/>
        </w:rPr>
        <w:t xml:space="preserve"> </w:t>
      </w:r>
      <w:r w:rsidR="005A4806" w:rsidRPr="00727324">
        <w:rPr>
          <w:rFonts w:ascii="Bookman Old Style" w:hAnsi="Bookman Old Style" w:cs="Tahoma,Bold"/>
          <w:bCs/>
          <w:sz w:val="24"/>
          <w:szCs w:val="24"/>
          <w:lang w:val="id-ID" w:eastAsia="id-ID"/>
        </w:rPr>
        <w:t>Jaminan</w:t>
      </w:r>
      <w:r w:rsidR="00A954D0">
        <w:rPr>
          <w:rFonts w:ascii="Bookman Old Style" w:hAnsi="Bookman Old Style" w:cs="Tahoma,Bold"/>
          <w:bCs/>
          <w:sz w:val="24"/>
          <w:szCs w:val="24"/>
          <w:lang w:val="id-ID" w:eastAsia="id-ID"/>
        </w:rPr>
        <w:t xml:space="preserve"> </w:t>
      </w:r>
      <w:bookmarkEnd w:id="25"/>
      <w:r w:rsidR="005A4806" w:rsidRPr="00727324">
        <w:rPr>
          <w:rFonts w:ascii="Bookman Old Style" w:hAnsi="Bookman Old Style" w:cs="Tahoma,Bold"/>
          <w:bCs/>
          <w:sz w:val="24"/>
          <w:szCs w:val="24"/>
          <w:lang w:val="id-ID" w:eastAsia="id-ID"/>
        </w:rPr>
        <w:t>Kesehatan</w:t>
      </w:r>
      <w:r w:rsidR="00A954D0">
        <w:rPr>
          <w:rFonts w:ascii="Bookman Old Style" w:hAnsi="Bookman Old Style" w:cs="Tahoma,Bold"/>
          <w:bCs/>
          <w:sz w:val="24"/>
          <w:szCs w:val="24"/>
          <w:lang w:val="id-ID" w:eastAsia="id-ID"/>
        </w:rPr>
        <w:t xml:space="preserve"> </w:t>
      </w:r>
      <w:r w:rsidR="005A4806" w:rsidRPr="00727324">
        <w:rPr>
          <w:rFonts w:ascii="Bookman Old Style" w:hAnsi="Bookman Old Style" w:cs="Tahoma,Bold"/>
          <w:bCs/>
          <w:sz w:val="24"/>
          <w:szCs w:val="24"/>
          <w:lang w:val="id-ID" w:eastAsia="id-ID"/>
        </w:rPr>
        <w:t>bagi</w:t>
      </w:r>
      <w:r w:rsidR="00A954D0">
        <w:rPr>
          <w:rFonts w:ascii="Bookman Old Style" w:hAnsi="Bookman Old Style" w:cs="Tahoma,Bold"/>
          <w:bCs/>
          <w:sz w:val="24"/>
          <w:szCs w:val="24"/>
          <w:lang w:val="id-ID" w:eastAsia="id-ID"/>
        </w:rPr>
        <w:t xml:space="preserve"> </w:t>
      </w:r>
      <w:r w:rsidR="005A4806" w:rsidRPr="00727324">
        <w:rPr>
          <w:rFonts w:ascii="Bookman Old Style" w:hAnsi="Bookman Old Style" w:cs="Tahoma,Bold"/>
          <w:bCs/>
          <w:sz w:val="24"/>
          <w:szCs w:val="24"/>
          <w:lang w:val="id-ID" w:eastAsia="id-ID"/>
        </w:rPr>
        <w:t>KDH/WKDH</w:t>
      </w:r>
      <w:r w:rsidR="00A954D0">
        <w:rPr>
          <w:rFonts w:ascii="Bookman Old Style" w:hAnsi="Bookman Old Style" w:cs="Tahoma,Bold"/>
          <w:bCs/>
          <w:sz w:val="24"/>
          <w:szCs w:val="24"/>
          <w:lang w:val="id-ID" w:eastAsia="id-ID"/>
        </w:rPr>
        <w:t xml:space="preserve"> </w:t>
      </w:r>
      <w:r w:rsidR="005A4806" w:rsidRPr="00727324">
        <w:rPr>
          <w:rFonts w:ascii="Bookman Old Style" w:hAnsi="Bookman Old Style" w:cs="Tahoma,Bold"/>
          <w:bCs/>
          <w:sz w:val="24"/>
          <w:szCs w:val="24"/>
          <w:lang w:val="id-ID" w:eastAsia="id-ID"/>
        </w:rPr>
        <w:t>dalam</w:t>
      </w:r>
      <w:r w:rsidR="00A954D0">
        <w:rPr>
          <w:rFonts w:ascii="Bookman Old Style" w:hAnsi="Bookman Old Style" w:cs="Tahoma,Bold"/>
          <w:bCs/>
          <w:sz w:val="24"/>
          <w:szCs w:val="24"/>
          <w:lang w:val="id-ID" w:eastAsia="id-ID"/>
        </w:rPr>
        <w:t xml:space="preserve"> </w:t>
      </w:r>
      <w:r w:rsidR="005A4806" w:rsidRPr="00727324">
        <w:rPr>
          <w:rFonts w:ascii="Bookman Old Style" w:hAnsi="Bookman Old Style" w:cs="Tahoma,Bold"/>
          <w:bCs/>
          <w:sz w:val="24"/>
          <w:szCs w:val="24"/>
          <w:lang w:val="id-ID" w:eastAsia="id-ID"/>
        </w:rPr>
        <w:t>Rancangan</w:t>
      </w:r>
      <w:r w:rsidR="00A954D0">
        <w:rPr>
          <w:rFonts w:ascii="Bookman Old Style" w:hAnsi="Bookman Old Style" w:cs="Tahoma,Bold"/>
          <w:bCs/>
          <w:sz w:val="24"/>
          <w:szCs w:val="24"/>
          <w:lang w:val="id-ID" w:eastAsia="id-ID"/>
        </w:rPr>
        <w:t xml:space="preserve"> </w:t>
      </w:r>
      <w:r w:rsidR="005A4806" w:rsidRPr="00727324">
        <w:rPr>
          <w:rFonts w:ascii="Bookman Old Style" w:hAnsi="Bookman Old Style" w:cs="Tahoma,Bold"/>
          <w:bCs/>
          <w:sz w:val="24"/>
          <w:szCs w:val="24"/>
          <w:lang w:val="id-ID" w:eastAsia="id-ID"/>
        </w:rPr>
        <w:t>Peraturan</w:t>
      </w:r>
      <w:r w:rsidR="00A954D0">
        <w:rPr>
          <w:rFonts w:ascii="Bookman Old Style" w:hAnsi="Bookman Old Style" w:cs="Tahoma,Bold"/>
          <w:bCs/>
          <w:sz w:val="24"/>
          <w:szCs w:val="24"/>
          <w:lang w:val="id-ID" w:eastAsia="id-ID"/>
        </w:rPr>
        <w:t xml:space="preserve"> </w:t>
      </w:r>
      <w:r w:rsidR="005A4806" w:rsidRPr="00727324">
        <w:rPr>
          <w:rFonts w:ascii="Bookman Old Style" w:hAnsi="Bookman Old Style" w:cs="Tahoma,Bold"/>
          <w:bCs/>
          <w:sz w:val="24"/>
          <w:szCs w:val="24"/>
          <w:lang w:val="id-ID" w:eastAsia="id-ID"/>
        </w:rPr>
        <w:t>Daerah</w:t>
      </w:r>
      <w:r w:rsidR="00A954D0">
        <w:rPr>
          <w:rFonts w:ascii="Bookman Old Style" w:hAnsi="Bookman Old Style"/>
          <w:sz w:val="24"/>
          <w:szCs w:val="24"/>
          <w:lang w:val="id-ID"/>
        </w:rPr>
        <w:t xml:space="preserve"> </w:t>
      </w:r>
      <w:r>
        <w:rPr>
          <w:rFonts w:ascii="Bookman Old Style" w:hAnsi="Bookman Old Style"/>
          <w:sz w:val="24"/>
          <w:szCs w:val="24"/>
          <w:lang w:val="id-ID"/>
        </w:rPr>
        <w:t>Kota</w:t>
      </w:r>
      <w:r w:rsidR="00A954D0">
        <w:rPr>
          <w:rFonts w:ascii="Bookman Old Style" w:hAnsi="Bookman Old Style"/>
          <w:sz w:val="24"/>
          <w:szCs w:val="24"/>
          <w:lang w:val="id-ID"/>
        </w:rPr>
        <w:t xml:space="preserve"> </w:t>
      </w:r>
      <w:r w:rsidR="005A4806">
        <w:rPr>
          <w:rFonts w:ascii="Bookman Old Style" w:hAnsi="Bookman Old Style"/>
          <w:sz w:val="24"/>
          <w:szCs w:val="24"/>
          <w:lang w:val="fi-FI"/>
        </w:rPr>
        <w:t>Tangerang</w:t>
      </w:r>
      <w:r w:rsidR="00A954D0">
        <w:rPr>
          <w:rFonts w:ascii="Bookman Old Style" w:hAnsi="Bookman Old Style"/>
          <w:sz w:val="24"/>
          <w:szCs w:val="24"/>
        </w:rPr>
        <w:t xml:space="preserve"> </w:t>
      </w:r>
      <w:r>
        <w:rPr>
          <w:rFonts w:ascii="Bookman Old Style" w:hAnsi="Bookman Old Style"/>
          <w:sz w:val="24"/>
          <w:szCs w:val="24"/>
        </w:rPr>
        <w:t>t</w:t>
      </w:r>
      <w:r w:rsidR="005A4806" w:rsidRPr="00727324">
        <w:rPr>
          <w:rFonts w:ascii="Bookman Old Style" w:hAnsi="Bookman Old Style" w:cs="Tahoma,Bold"/>
          <w:bCs/>
          <w:sz w:val="24"/>
          <w:szCs w:val="24"/>
          <w:lang w:val="id-ID" w:eastAsia="id-ID"/>
        </w:rPr>
        <w:t>entang</w:t>
      </w:r>
      <w:r w:rsidR="00A954D0">
        <w:rPr>
          <w:rFonts w:ascii="Bookman Old Style" w:hAnsi="Bookman Old Style" w:cs="Tahoma,Bold"/>
          <w:bCs/>
          <w:sz w:val="24"/>
          <w:szCs w:val="24"/>
          <w:lang w:val="id-ID" w:eastAsia="id-ID"/>
        </w:rPr>
        <w:t xml:space="preserve"> </w:t>
      </w:r>
      <w:r w:rsidR="005A4806" w:rsidRPr="00727324">
        <w:rPr>
          <w:rFonts w:ascii="Bookman Old Style" w:hAnsi="Bookman Old Style" w:cs="Tahoma,Bold"/>
          <w:bCs/>
          <w:sz w:val="24"/>
          <w:szCs w:val="24"/>
          <w:lang w:val="id-ID" w:eastAsia="id-ID"/>
        </w:rPr>
        <w:t>APBD</w:t>
      </w:r>
      <w:r w:rsidR="00A954D0">
        <w:rPr>
          <w:rFonts w:ascii="Bookman Old Style" w:hAnsi="Bookman Old Style" w:cs="Tahoma,Bold"/>
          <w:bCs/>
          <w:sz w:val="24"/>
          <w:szCs w:val="24"/>
          <w:lang w:val="id-ID" w:eastAsia="id-ID"/>
        </w:rPr>
        <w:t xml:space="preserve"> </w:t>
      </w:r>
      <w:r w:rsidR="005A4806" w:rsidRPr="00727324">
        <w:rPr>
          <w:rFonts w:ascii="Bookman Old Style" w:hAnsi="Bookman Old Style" w:cs="Tahoma,Bold"/>
          <w:bCs/>
          <w:sz w:val="24"/>
          <w:szCs w:val="24"/>
          <w:lang w:val="id-ID" w:eastAsia="id-ID"/>
        </w:rPr>
        <w:t>Tahun</w:t>
      </w:r>
      <w:r w:rsidR="00A954D0">
        <w:rPr>
          <w:rFonts w:ascii="Bookman Old Style" w:hAnsi="Bookman Old Style" w:cs="Tahoma,Bold"/>
          <w:bCs/>
          <w:sz w:val="24"/>
          <w:szCs w:val="24"/>
          <w:lang w:val="id-ID" w:eastAsia="id-ID"/>
        </w:rPr>
        <w:t xml:space="preserve"> </w:t>
      </w:r>
      <w:r w:rsidR="005A4806" w:rsidRPr="00727324">
        <w:rPr>
          <w:rFonts w:ascii="Bookman Old Style" w:hAnsi="Bookman Old Style" w:cs="Tahoma,Bold"/>
          <w:bCs/>
          <w:sz w:val="24"/>
          <w:szCs w:val="24"/>
          <w:lang w:val="id-ID" w:eastAsia="id-ID"/>
        </w:rPr>
        <w:t>Anggaran</w:t>
      </w:r>
      <w:r w:rsidR="00A954D0">
        <w:rPr>
          <w:rFonts w:ascii="Bookman Old Style" w:hAnsi="Bookman Old Style" w:cs="Tahoma,Bold"/>
          <w:bCs/>
          <w:sz w:val="24"/>
          <w:szCs w:val="24"/>
          <w:lang w:val="id-ID" w:eastAsia="id-ID"/>
        </w:rPr>
        <w:t xml:space="preserve"> </w:t>
      </w:r>
      <w:r w:rsidR="005A4806" w:rsidRPr="00727324">
        <w:rPr>
          <w:rFonts w:ascii="Bookman Old Style" w:hAnsi="Bookman Old Style" w:cs="Tahoma,Bold"/>
          <w:bCs/>
          <w:sz w:val="24"/>
          <w:szCs w:val="24"/>
          <w:lang w:val="id-ID" w:eastAsia="id-ID"/>
        </w:rPr>
        <w:t>2025</w:t>
      </w:r>
      <w:r w:rsidR="00A954D0">
        <w:rPr>
          <w:rFonts w:ascii="Bookman Old Style" w:hAnsi="Bookman Old Style" w:cs="Gill Sans Light (Arabid)"/>
          <w:bCs/>
          <w:sz w:val="24"/>
          <w:szCs w:val="24"/>
          <w:lang w:eastAsia="id-ID"/>
        </w:rPr>
        <w:t xml:space="preserve"> </w:t>
      </w:r>
      <w:r w:rsidR="005A4806" w:rsidRPr="00C85F43">
        <w:rPr>
          <w:rFonts w:ascii="Bookman Old Style" w:hAnsi="Bookman Old Style" w:cs="Tahoma,Bold"/>
          <w:bCs/>
          <w:sz w:val="24"/>
          <w:szCs w:val="24"/>
          <w:lang w:val="id-ID" w:eastAsia="id-ID"/>
        </w:rPr>
        <w:t>dengan</w:t>
      </w:r>
      <w:r w:rsidR="00A954D0">
        <w:rPr>
          <w:rFonts w:ascii="Bookman Old Style" w:hAnsi="Bookman Old Style" w:cs="Tahoma,Bold"/>
          <w:bCs/>
          <w:sz w:val="24"/>
          <w:szCs w:val="24"/>
          <w:lang w:val="id-ID" w:eastAsia="id-ID"/>
        </w:rPr>
        <w:t xml:space="preserve"> </w:t>
      </w:r>
      <w:r w:rsidR="005A4806" w:rsidRPr="00C85F43">
        <w:rPr>
          <w:rFonts w:ascii="Bookman Old Style" w:hAnsi="Bookman Old Style" w:cs="Tahoma,Bold"/>
          <w:bCs/>
          <w:sz w:val="24"/>
          <w:szCs w:val="24"/>
          <w:lang w:val="id-ID" w:eastAsia="id-ID"/>
        </w:rPr>
        <w:t>memperhitungkan</w:t>
      </w:r>
      <w:r w:rsidR="00A954D0">
        <w:rPr>
          <w:rFonts w:ascii="Bookman Old Style" w:hAnsi="Bookman Old Style" w:cs="Tahoma,Bold"/>
          <w:bCs/>
          <w:sz w:val="24"/>
          <w:szCs w:val="24"/>
          <w:lang w:val="id-ID" w:eastAsia="id-ID"/>
        </w:rPr>
        <w:t xml:space="preserve"> </w:t>
      </w:r>
      <w:r w:rsidR="005A4806" w:rsidRPr="00C85F43">
        <w:rPr>
          <w:rFonts w:ascii="Bookman Old Style" w:hAnsi="Bookman Old Style" w:cs="Tahoma,Bold"/>
          <w:bCs/>
          <w:sz w:val="24"/>
          <w:szCs w:val="24"/>
          <w:lang w:val="id-ID" w:eastAsia="id-ID"/>
        </w:rPr>
        <w:t>jumlah</w:t>
      </w:r>
      <w:r w:rsidR="00A954D0">
        <w:rPr>
          <w:rFonts w:ascii="Bookman Old Style" w:hAnsi="Bookman Old Style" w:cs="Tahoma,Bold"/>
          <w:bCs/>
          <w:sz w:val="24"/>
          <w:szCs w:val="24"/>
          <w:lang w:val="id-ID" w:eastAsia="id-ID"/>
        </w:rPr>
        <w:t xml:space="preserve"> </w:t>
      </w:r>
      <w:r w:rsidR="005A4806" w:rsidRPr="00C85F43">
        <w:rPr>
          <w:rFonts w:ascii="Bookman Old Style" w:hAnsi="Bookman Old Style" w:cs="Tahoma,Bold"/>
          <w:bCs/>
          <w:sz w:val="24"/>
          <w:szCs w:val="24"/>
          <w:lang w:val="id-ID" w:eastAsia="id-ID"/>
        </w:rPr>
        <w:t>kewajiban</w:t>
      </w:r>
      <w:r w:rsidR="00A954D0">
        <w:rPr>
          <w:rFonts w:ascii="Bookman Old Style" w:hAnsi="Bookman Old Style" w:cs="Tahoma,Bold"/>
          <w:bCs/>
          <w:sz w:val="24"/>
          <w:szCs w:val="24"/>
          <w:lang w:val="id-ID" w:eastAsia="id-ID"/>
        </w:rPr>
        <w:t xml:space="preserve"> </w:t>
      </w:r>
      <w:r w:rsidR="005A4806" w:rsidRPr="00C85F43">
        <w:rPr>
          <w:rFonts w:ascii="Bookman Old Style" w:hAnsi="Bookman Old Style" w:cs="Tahoma,Bold"/>
          <w:bCs/>
          <w:sz w:val="24"/>
          <w:szCs w:val="24"/>
          <w:lang w:val="id-ID" w:eastAsia="id-ID"/>
        </w:rPr>
        <w:t>pembayaran</w:t>
      </w:r>
      <w:r w:rsidR="00A954D0">
        <w:rPr>
          <w:rFonts w:ascii="Bookman Old Style" w:hAnsi="Bookman Old Style" w:cs="Tahoma,Bold"/>
          <w:bCs/>
          <w:sz w:val="24"/>
          <w:szCs w:val="24"/>
          <w:lang w:val="id-ID" w:eastAsia="id-ID"/>
        </w:rPr>
        <w:t xml:space="preserve"> </w:t>
      </w:r>
      <w:r w:rsidR="005A4806" w:rsidRPr="00C85F43">
        <w:rPr>
          <w:rFonts w:ascii="Bookman Old Style" w:hAnsi="Bookman Old Style" w:cs="Tahoma,Bold"/>
          <w:bCs/>
          <w:sz w:val="24"/>
          <w:szCs w:val="24"/>
          <w:lang w:val="id-ID" w:eastAsia="id-ID"/>
        </w:rPr>
        <w:t>Iuran</w:t>
      </w:r>
      <w:r w:rsidR="00A954D0">
        <w:rPr>
          <w:rFonts w:ascii="Bookman Old Style" w:hAnsi="Bookman Old Style" w:cs="Tahoma,Bold"/>
          <w:bCs/>
          <w:sz w:val="24"/>
          <w:szCs w:val="24"/>
          <w:lang w:val="id-ID" w:eastAsia="id-ID"/>
        </w:rPr>
        <w:t xml:space="preserve"> </w:t>
      </w:r>
      <w:r w:rsidR="005A4806" w:rsidRPr="00C85F43">
        <w:rPr>
          <w:rFonts w:ascii="Bookman Old Style" w:hAnsi="Bookman Old Style" w:cs="Tahoma,Bold"/>
          <w:bCs/>
          <w:sz w:val="24"/>
          <w:szCs w:val="24"/>
          <w:lang w:val="id-ID" w:eastAsia="id-ID"/>
        </w:rPr>
        <w:t>Jaminan</w:t>
      </w:r>
      <w:r w:rsidR="00A954D0">
        <w:rPr>
          <w:rFonts w:ascii="Bookman Old Style" w:hAnsi="Bookman Old Style" w:cs="Tahoma,Bold"/>
          <w:bCs/>
          <w:sz w:val="24"/>
          <w:szCs w:val="24"/>
          <w:lang w:val="id-ID" w:eastAsia="id-ID"/>
        </w:rPr>
        <w:t xml:space="preserve"> </w:t>
      </w:r>
      <w:r w:rsidR="005A4806" w:rsidRPr="00C85F43">
        <w:rPr>
          <w:rFonts w:ascii="Bookman Old Style" w:hAnsi="Bookman Old Style" w:cs="Tahoma,Bold"/>
          <w:bCs/>
          <w:sz w:val="24"/>
          <w:szCs w:val="24"/>
          <w:lang w:val="id-ID" w:eastAsia="id-ID"/>
        </w:rPr>
        <w:t>Kesehatan</w:t>
      </w:r>
      <w:r w:rsidR="00A954D0">
        <w:rPr>
          <w:rFonts w:ascii="Bookman Old Style" w:hAnsi="Bookman Old Style" w:cs="Tahoma,Bold"/>
          <w:bCs/>
          <w:sz w:val="24"/>
          <w:szCs w:val="24"/>
          <w:lang w:val="id-ID" w:eastAsia="id-ID"/>
        </w:rPr>
        <w:t xml:space="preserve"> </w:t>
      </w:r>
      <w:r w:rsidR="005A4806" w:rsidRPr="00C85F43">
        <w:rPr>
          <w:rFonts w:ascii="Bookman Old Style" w:hAnsi="Bookman Old Style" w:cs="Tahoma,Bold"/>
          <w:bCs/>
          <w:sz w:val="24"/>
          <w:szCs w:val="24"/>
          <w:lang w:val="id-ID" w:eastAsia="id-ID"/>
        </w:rPr>
        <w:t>bagi</w:t>
      </w:r>
      <w:r w:rsidR="00A954D0">
        <w:rPr>
          <w:rFonts w:ascii="Bookman Old Style" w:hAnsi="Bookman Old Style" w:cs="Tahoma,Bold"/>
          <w:bCs/>
          <w:sz w:val="24"/>
          <w:szCs w:val="24"/>
          <w:lang w:val="id-ID" w:eastAsia="id-ID"/>
        </w:rPr>
        <w:t xml:space="preserve"> </w:t>
      </w:r>
      <w:r w:rsidR="005A4806" w:rsidRPr="00C85F43">
        <w:rPr>
          <w:rFonts w:ascii="Bookman Old Style" w:hAnsi="Bookman Old Style" w:cs="Tahoma,Bold"/>
          <w:bCs/>
          <w:sz w:val="24"/>
          <w:szCs w:val="24"/>
          <w:lang w:val="id-ID" w:eastAsia="id-ID"/>
        </w:rPr>
        <w:t>KDH/WKDH</w:t>
      </w:r>
      <w:r w:rsidR="00A954D0">
        <w:rPr>
          <w:rFonts w:ascii="Bookman Old Style" w:hAnsi="Bookman Old Style" w:cs="Tahoma,Bold"/>
          <w:bCs/>
          <w:sz w:val="24"/>
          <w:szCs w:val="24"/>
          <w:lang w:val="id-ID" w:eastAsia="id-ID"/>
        </w:rPr>
        <w:t xml:space="preserve"> </w:t>
      </w:r>
      <w:r w:rsidR="005A4806" w:rsidRPr="00C85F43">
        <w:rPr>
          <w:rFonts w:ascii="Bookman Old Style" w:hAnsi="Bookman Old Style" w:cs="Tahoma,Bold"/>
          <w:bCs/>
          <w:sz w:val="24"/>
          <w:szCs w:val="24"/>
          <w:lang w:val="id-ID" w:eastAsia="id-ID"/>
        </w:rPr>
        <w:t>dimaksud</w:t>
      </w:r>
      <w:r w:rsidR="00A954D0">
        <w:rPr>
          <w:rFonts w:ascii="Bookman Old Style" w:hAnsi="Bookman Old Style" w:cs="Tahoma,Bold"/>
          <w:bCs/>
          <w:sz w:val="24"/>
          <w:szCs w:val="24"/>
          <w:lang w:val="id-ID" w:eastAsia="id-ID"/>
        </w:rPr>
        <w:t xml:space="preserve"> </w:t>
      </w:r>
      <w:r w:rsidR="005A4806" w:rsidRPr="00C85F43">
        <w:rPr>
          <w:rFonts w:ascii="Bookman Old Style" w:hAnsi="Bookman Old Style" w:cs="Tahoma,Bold"/>
          <w:bCs/>
          <w:sz w:val="24"/>
          <w:szCs w:val="24"/>
          <w:lang w:val="id-ID" w:eastAsia="id-ID"/>
        </w:rPr>
        <w:t>termasuk</w:t>
      </w:r>
      <w:r w:rsidR="00A954D0">
        <w:rPr>
          <w:rFonts w:ascii="Bookman Old Style" w:hAnsi="Bookman Old Style" w:cs="Tahoma,Bold"/>
          <w:bCs/>
          <w:sz w:val="24"/>
          <w:szCs w:val="24"/>
          <w:lang w:val="id-ID" w:eastAsia="id-ID"/>
        </w:rPr>
        <w:t xml:space="preserve"> </w:t>
      </w:r>
      <w:r w:rsidR="005A4806" w:rsidRPr="00C85F43">
        <w:rPr>
          <w:rFonts w:ascii="Bookman Old Style" w:hAnsi="Bookman Old Style" w:cs="Gill Sans Light (Arabid)"/>
          <w:bCs/>
          <w:sz w:val="24"/>
          <w:szCs w:val="24"/>
          <w:lang w:eastAsia="id-ID"/>
        </w:rPr>
        <w:t>kewajiban</w:t>
      </w:r>
      <w:r w:rsidR="00A954D0">
        <w:rPr>
          <w:rFonts w:ascii="Bookman Old Style" w:hAnsi="Bookman Old Style" w:cs="Tahoma,Bold"/>
          <w:bCs/>
          <w:sz w:val="24"/>
          <w:szCs w:val="24"/>
          <w:lang w:val="id-ID" w:eastAsia="id-ID"/>
        </w:rPr>
        <w:t xml:space="preserve"> </w:t>
      </w:r>
      <w:r w:rsidR="005A4806" w:rsidRPr="00C85F43">
        <w:rPr>
          <w:rFonts w:ascii="Bookman Old Style" w:hAnsi="Bookman Old Style" w:cs="Tahoma,Bold"/>
          <w:bCs/>
          <w:sz w:val="24"/>
          <w:szCs w:val="24"/>
          <w:lang w:val="id-ID" w:eastAsia="id-ID"/>
        </w:rPr>
        <w:t>tahun</w:t>
      </w:r>
      <w:r w:rsidR="00A954D0">
        <w:rPr>
          <w:rFonts w:ascii="Bookman Old Style" w:hAnsi="Bookman Old Style" w:cs="Tahoma,Bold"/>
          <w:bCs/>
          <w:sz w:val="24"/>
          <w:szCs w:val="24"/>
          <w:lang w:val="id-ID" w:eastAsia="id-ID"/>
        </w:rPr>
        <w:t xml:space="preserve"> </w:t>
      </w:r>
      <w:r w:rsidR="005A4806" w:rsidRPr="00C85F43">
        <w:rPr>
          <w:rFonts w:ascii="Bookman Old Style" w:hAnsi="Bookman Old Style" w:cs="Tahoma,Bold"/>
          <w:bCs/>
          <w:sz w:val="24"/>
          <w:szCs w:val="24"/>
          <w:lang w:val="id-ID" w:eastAsia="id-ID"/>
        </w:rPr>
        <w:t>anggaran</w:t>
      </w:r>
      <w:r w:rsidR="00A954D0">
        <w:rPr>
          <w:rFonts w:ascii="Bookman Old Style" w:hAnsi="Bookman Old Style" w:cs="Tahoma,Bold"/>
          <w:bCs/>
          <w:sz w:val="24"/>
          <w:szCs w:val="24"/>
          <w:lang w:val="id-ID" w:eastAsia="id-ID"/>
        </w:rPr>
        <w:t xml:space="preserve"> </w:t>
      </w:r>
      <w:r w:rsidR="005A4806" w:rsidRPr="00C85F43">
        <w:rPr>
          <w:rFonts w:ascii="Bookman Old Style" w:hAnsi="Bookman Old Style" w:cs="Tahoma,Bold"/>
          <w:bCs/>
          <w:sz w:val="24"/>
          <w:szCs w:val="24"/>
          <w:lang w:val="id-ID" w:eastAsia="id-ID"/>
        </w:rPr>
        <w:t>sebelumnya</w:t>
      </w:r>
      <w:r w:rsidR="00A954D0">
        <w:rPr>
          <w:rFonts w:ascii="Bookman Old Style" w:hAnsi="Bookman Old Style" w:cs="Tahoma,Bold"/>
          <w:bCs/>
          <w:sz w:val="24"/>
          <w:szCs w:val="24"/>
          <w:lang w:val="id-ID" w:eastAsia="id-ID"/>
        </w:rPr>
        <w:t xml:space="preserve"> </w:t>
      </w:r>
      <w:r w:rsidR="005A4806" w:rsidRPr="00C85F43">
        <w:rPr>
          <w:rFonts w:ascii="Bookman Old Style" w:hAnsi="Bookman Old Style" w:cs="Tahoma,Bold"/>
          <w:bCs/>
          <w:sz w:val="24"/>
          <w:szCs w:val="24"/>
          <w:lang w:val="id-ID" w:eastAsia="id-ID"/>
        </w:rPr>
        <w:t>yang</w:t>
      </w:r>
      <w:r w:rsidR="00A954D0">
        <w:rPr>
          <w:rFonts w:ascii="Bookman Old Style" w:hAnsi="Bookman Old Style" w:cs="Tahoma,Bold"/>
          <w:bCs/>
          <w:sz w:val="24"/>
          <w:szCs w:val="24"/>
          <w:lang w:val="id-ID" w:eastAsia="id-ID"/>
        </w:rPr>
        <w:t xml:space="preserve"> </w:t>
      </w:r>
      <w:r w:rsidR="005A4806" w:rsidRPr="00C85F43">
        <w:rPr>
          <w:rFonts w:ascii="Bookman Old Style" w:hAnsi="Bookman Old Style" w:cs="Tahoma,Bold"/>
          <w:bCs/>
          <w:sz w:val="24"/>
          <w:szCs w:val="24"/>
          <w:lang w:val="id-ID" w:eastAsia="id-ID"/>
        </w:rPr>
        <w:t>belum</w:t>
      </w:r>
      <w:r w:rsidR="00A954D0">
        <w:rPr>
          <w:rFonts w:ascii="Bookman Old Style" w:hAnsi="Bookman Old Style" w:cs="Tahoma,Bold"/>
          <w:bCs/>
          <w:sz w:val="24"/>
          <w:szCs w:val="24"/>
          <w:lang w:val="id-ID" w:eastAsia="id-ID"/>
        </w:rPr>
        <w:t xml:space="preserve"> </w:t>
      </w:r>
      <w:r w:rsidR="005A4806" w:rsidRPr="00C85F43">
        <w:rPr>
          <w:rFonts w:ascii="Bookman Old Style" w:hAnsi="Bookman Old Style" w:cs="Tahoma,Bold"/>
          <w:bCs/>
          <w:sz w:val="24"/>
          <w:szCs w:val="24"/>
          <w:lang w:val="id-ID" w:eastAsia="id-ID"/>
        </w:rPr>
        <w:t>direalisasikan</w:t>
      </w:r>
      <w:r w:rsidR="00A954D0">
        <w:rPr>
          <w:rFonts w:ascii="Bookman Old Style" w:hAnsi="Bookman Old Style" w:cs="Tahoma,Bold"/>
          <w:bCs/>
          <w:sz w:val="24"/>
          <w:szCs w:val="24"/>
          <w:lang w:val="id-ID" w:eastAsia="id-ID"/>
        </w:rPr>
        <w:t xml:space="preserve"> </w:t>
      </w:r>
      <w:r w:rsidR="005A4806" w:rsidRPr="00C85F43">
        <w:rPr>
          <w:rFonts w:ascii="Bookman Old Style" w:hAnsi="Bookman Old Style" w:cs="Tahoma,Bold"/>
          <w:bCs/>
          <w:sz w:val="24"/>
          <w:szCs w:val="24"/>
          <w:lang w:val="id-ID" w:eastAsia="id-ID"/>
        </w:rPr>
        <w:t>kepada</w:t>
      </w:r>
      <w:r w:rsidR="00A954D0">
        <w:rPr>
          <w:rFonts w:ascii="Bookman Old Style" w:hAnsi="Bookman Old Style" w:cs="Tahoma,Bold"/>
          <w:bCs/>
          <w:sz w:val="24"/>
          <w:szCs w:val="24"/>
          <w:lang w:val="id-ID" w:eastAsia="id-ID"/>
        </w:rPr>
        <w:t xml:space="preserve"> </w:t>
      </w:r>
      <w:r w:rsidR="005A4806" w:rsidRPr="00C85F43">
        <w:rPr>
          <w:rFonts w:ascii="Bookman Old Style" w:hAnsi="Bookman Old Style" w:cs="Tahoma,Bold"/>
          <w:bCs/>
          <w:sz w:val="24"/>
          <w:szCs w:val="24"/>
          <w:lang w:val="id-ID" w:eastAsia="id-ID"/>
        </w:rPr>
        <w:t>BPJS</w:t>
      </w:r>
      <w:r w:rsidR="00A954D0">
        <w:rPr>
          <w:rFonts w:ascii="Bookman Old Style" w:hAnsi="Bookman Old Style" w:cs="Tahoma,Bold"/>
          <w:bCs/>
          <w:sz w:val="24"/>
          <w:szCs w:val="24"/>
          <w:lang w:val="id-ID" w:eastAsia="id-ID"/>
        </w:rPr>
        <w:t xml:space="preserve"> </w:t>
      </w:r>
      <w:r w:rsidR="005A4806" w:rsidRPr="00C85F43">
        <w:rPr>
          <w:rFonts w:ascii="Bookman Old Style" w:hAnsi="Bookman Old Style" w:cs="Tahoma,Bold"/>
          <w:bCs/>
          <w:sz w:val="24"/>
          <w:szCs w:val="24"/>
          <w:lang w:val="id-ID" w:eastAsia="id-ID"/>
        </w:rPr>
        <w:t>Kesehatan</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sebagaimana</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diamanatkan</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dalam</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Undang-Undang</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Nomor</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40</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Tahun</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2004,</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Undang-Undang</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Nomor</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24</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Tahun</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2011,</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Pasal</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30</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dan</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Pasal</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33</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Peraturan</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Presiden</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Nomor</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82</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Tahun</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2018,</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sebagaimana</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telah</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diubah</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beberapa</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kali</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terakhir</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dengan</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Peraturan</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Presiden</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Nomor</w:t>
      </w:r>
      <w:r w:rsidR="00A954D0">
        <w:rPr>
          <w:rFonts w:ascii="Bookman Old Style" w:hAnsi="Bookman Old Style" w:cs="Tahoma,Bold"/>
          <w:bCs/>
          <w:color w:val="000000" w:themeColor="text1"/>
          <w:sz w:val="24"/>
          <w:szCs w:val="24"/>
          <w:lang w:val="id-ID" w:eastAsia="id-ID"/>
        </w:rPr>
        <w:t xml:space="preserve"> </w:t>
      </w:r>
      <w:r w:rsidR="005A4806" w:rsidRPr="003255BC">
        <w:rPr>
          <w:rFonts w:ascii="Bookman Old Style" w:hAnsi="Bookman Old Style" w:cs="Tahoma,Bold"/>
          <w:bCs/>
          <w:color w:val="000000" w:themeColor="text1"/>
          <w:sz w:val="24"/>
          <w:szCs w:val="24"/>
          <w:lang w:val="sv-FI" w:eastAsia="id-ID"/>
        </w:rPr>
        <w:t>59</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Tahun</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202</w:t>
      </w:r>
      <w:r w:rsidR="005A4806" w:rsidRPr="003255BC">
        <w:rPr>
          <w:rFonts w:ascii="Bookman Old Style" w:hAnsi="Bookman Old Style" w:cs="Tahoma,Bold"/>
          <w:bCs/>
          <w:color w:val="000000" w:themeColor="text1"/>
          <w:sz w:val="24"/>
          <w:szCs w:val="24"/>
          <w:lang w:val="sv-FI" w:eastAsia="id-ID"/>
        </w:rPr>
        <w:t>4</w:t>
      </w:r>
      <w:r w:rsidR="005A4806" w:rsidRPr="00C85F43">
        <w:rPr>
          <w:rFonts w:ascii="Bookman Old Style" w:hAnsi="Bookman Old Style" w:cs="Tahoma,Bold"/>
          <w:bCs/>
          <w:color w:val="000000" w:themeColor="text1"/>
          <w:sz w:val="24"/>
          <w:szCs w:val="24"/>
          <w:lang w:val="id-ID" w:eastAsia="id-ID"/>
        </w:rPr>
        <w:t>,</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Peraturan</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Menteri</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Dalam</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Negeri</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Nomor</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70</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Tahun</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2020</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color w:val="000000" w:themeColor="text1"/>
          <w:sz w:val="24"/>
          <w:szCs w:val="24"/>
          <w:lang w:val="id-ID" w:eastAsia="id-ID"/>
        </w:rPr>
        <w:t>dan</w:t>
      </w:r>
      <w:r w:rsidR="00A954D0">
        <w:rPr>
          <w:rFonts w:ascii="Bookman Old Style" w:hAnsi="Bookman Old Style" w:cs="Tahoma,Bold"/>
          <w:bCs/>
          <w:color w:val="000000" w:themeColor="text1"/>
          <w:sz w:val="24"/>
          <w:szCs w:val="24"/>
          <w:lang w:val="id-ID" w:eastAsia="id-ID"/>
        </w:rPr>
        <w:t xml:space="preserve"> </w:t>
      </w:r>
      <w:r w:rsidR="005A4806" w:rsidRPr="00C85F43">
        <w:rPr>
          <w:rFonts w:ascii="Bookman Old Style" w:hAnsi="Bookman Old Style" w:cs="Tahoma,Bold"/>
          <w:bCs/>
          <w:sz w:val="24"/>
          <w:szCs w:val="24"/>
          <w:lang w:val="id-ID" w:eastAsia="id-ID"/>
        </w:rPr>
        <w:t>butir</w:t>
      </w:r>
      <w:r w:rsidR="00A954D0">
        <w:rPr>
          <w:rFonts w:ascii="Bookman Old Style" w:hAnsi="Bookman Old Style" w:cs="Tahoma,Bold"/>
          <w:bCs/>
          <w:sz w:val="24"/>
          <w:szCs w:val="24"/>
          <w:lang w:val="id-ID" w:eastAsia="id-ID"/>
        </w:rPr>
        <w:t xml:space="preserve"> </w:t>
      </w:r>
      <w:r w:rsidR="005A4806" w:rsidRPr="003255BC">
        <w:rPr>
          <w:rFonts w:ascii="Bookman Old Style" w:hAnsi="Bookman Old Style" w:cs="Arial"/>
          <w:sz w:val="24"/>
          <w:szCs w:val="24"/>
          <w:lang w:val="sv-FI"/>
        </w:rPr>
        <w:t>3.4.1.1.1.e</w:t>
      </w:r>
      <w:r w:rsidR="00A954D0">
        <w:rPr>
          <w:rFonts w:ascii="Bookman Old Style" w:hAnsi="Bookman Old Style" w:cs="Tahoma,Bold"/>
          <w:bCs/>
          <w:sz w:val="24"/>
          <w:szCs w:val="24"/>
          <w:lang w:val="id-ID" w:eastAsia="id-ID"/>
        </w:rPr>
        <w:t xml:space="preserve"> </w:t>
      </w:r>
      <w:r w:rsidR="005A4806" w:rsidRPr="00C85F43">
        <w:rPr>
          <w:rFonts w:ascii="Bookman Old Style" w:hAnsi="Bookman Old Style" w:cs="Tahoma,Bold"/>
          <w:bCs/>
          <w:sz w:val="24"/>
          <w:szCs w:val="24"/>
          <w:lang w:val="id-ID" w:eastAsia="id-ID"/>
        </w:rPr>
        <w:t>Lampiran</w:t>
      </w:r>
      <w:r w:rsidR="00A954D0">
        <w:rPr>
          <w:rFonts w:ascii="Bookman Old Style" w:hAnsi="Bookman Old Style" w:cs="Tahoma,Bold"/>
          <w:bCs/>
          <w:sz w:val="24"/>
          <w:szCs w:val="24"/>
          <w:lang w:val="id-ID" w:eastAsia="id-ID"/>
        </w:rPr>
        <w:t xml:space="preserve"> </w:t>
      </w:r>
      <w:r w:rsidR="005A4806" w:rsidRPr="00C85F43">
        <w:rPr>
          <w:rFonts w:ascii="Bookman Old Style" w:hAnsi="Bookman Old Style" w:cs="Tahoma,Bold"/>
          <w:bCs/>
          <w:sz w:val="24"/>
          <w:szCs w:val="24"/>
          <w:lang w:val="id-ID" w:eastAsia="id-ID"/>
        </w:rPr>
        <w:t>Peraturan</w:t>
      </w:r>
      <w:r w:rsidR="00A954D0">
        <w:rPr>
          <w:rFonts w:ascii="Bookman Old Style" w:hAnsi="Bookman Old Style" w:cs="Tahoma,Bold"/>
          <w:bCs/>
          <w:sz w:val="24"/>
          <w:szCs w:val="24"/>
          <w:lang w:val="id-ID" w:eastAsia="id-ID"/>
        </w:rPr>
        <w:t xml:space="preserve"> </w:t>
      </w:r>
      <w:r w:rsidR="005A4806" w:rsidRPr="00C85F43">
        <w:rPr>
          <w:rFonts w:ascii="Bookman Old Style" w:hAnsi="Bookman Old Style" w:cs="Tahoma,Bold"/>
          <w:bCs/>
          <w:sz w:val="24"/>
          <w:szCs w:val="24"/>
          <w:lang w:val="id-ID" w:eastAsia="id-ID"/>
        </w:rPr>
        <w:t>Menteri</w:t>
      </w:r>
      <w:r w:rsidR="00A954D0">
        <w:rPr>
          <w:rFonts w:ascii="Bookman Old Style" w:hAnsi="Bookman Old Style" w:cs="Tahoma,Bold"/>
          <w:bCs/>
          <w:sz w:val="24"/>
          <w:szCs w:val="24"/>
          <w:lang w:val="id-ID" w:eastAsia="id-ID"/>
        </w:rPr>
        <w:t xml:space="preserve"> </w:t>
      </w:r>
      <w:r w:rsidR="005A4806" w:rsidRPr="00C85F43">
        <w:rPr>
          <w:rFonts w:ascii="Bookman Old Style" w:hAnsi="Bookman Old Style" w:cs="Tahoma,Bold"/>
          <w:bCs/>
          <w:sz w:val="24"/>
          <w:szCs w:val="24"/>
          <w:lang w:val="id-ID" w:eastAsia="id-ID"/>
        </w:rPr>
        <w:t>Dalam</w:t>
      </w:r>
      <w:r w:rsidR="00A954D0">
        <w:rPr>
          <w:rFonts w:ascii="Bookman Old Style" w:hAnsi="Bookman Old Style" w:cs="Tahoma,Bold"/>
          <w:bCs/>
          <w:sz w:val="24"/>
          <w:szCs w:val="24"/>
          <w:lang w:val="id-ID" w:eastAsia="id-ID"/>
        </w:rPr>
        <w:t xml:space="preserve"> </w:t>
      </w:r>
      <w:r w:rsidR="005A4806" w:rsidRPr="00C85F43">
        <w:rPr>
          <w:rFonts w:ascii="Bookman Old Style" w:hAnsi="Bookman Old Style" w:cs="Tahoma,Bold"/>
          <w:bCs/>
          <w:sz w:val="24"/>
          <w:szCs w:val="24"/>
          <w:lang w:val="id-ID" w:eastAsia="id-ID"/>
        </w:rPr>
        <w:t>Negeri</w:t>
      </w:r>
      <w:r w:rsidR="00A954D0">
        <w:rPr>
          <w:rFonts w:ascii="Bookman Old Style" w:hAnsi="Bookman Old Style" w:cs="Tahoma,Bold"/>
          <w:bCs/>
          <w:sz w:val="24"/>
          <w:szCs w:val="24"/>
          <w:lang w:val="id-ID" w:eastAsia="id-ID"/>
        </w:rPr>
        <w:t xml:space="preserve"> </w:t>
      </w:r>
      <w:r w:rsidR="005A4806" w:rsidRPr="00C85F43">
        <w:rPr>
          <w:rFonts w:ascii="Bookman Old Style" w:hAnsi="Bookman Old Style" w:cs="Tahoma,Bold"/>
          <w:bCs/>
          <w:sz w:val="24"/>
          <w:szCs w:val="24"/>
          <w:lang w:val="id-ID" w:eastAsia="id-ID"/>
        </w:rPr>
        <w:t>Nomor</w:t>
      </w:r>
      <w:r w:rsidR="00A954D0">
        <w:rPr>
          <w:rFonts w:ascii="Bookman Old Style" w:hAnsi="Bookman Old Style" w:cs="Tahoma,Bold"/>
          <w:bCs/>
          <w:sz w:val="24"/>
          <w:szCs w:val="24"/>
          <w:lang w:val="id-ID" w:eastAsia="id-ID"/>
        </w:rPr>
        <w:t xml:space="preserve"> </w:t>
      </w:r>
      <w:r w:rsidR="005A4806" w:rsidRPr="00C85F43">
        <w:rPr>
          <w:rFonts w:ascii="Bookman Old Style" w:hAnsi="Bookman Old Style" w:cs="Tahoma,Bold"/>
          <w:bCs/>
          <w:sz w:val="24"/>
          <w:szCs w:val="24"/>
          <w:lang w:val="id-ID" w:eastAsia="id-ID"/>
        </w:rPr>
        <w:t>15</w:t>
      </w:r>
      <w:r w:rsidR="00A954D0">
        <w:rPr>
          <w:rFonts w:ascii="Bookman Old Style" w:hAnsi="Bookman Old Style" w:cs="Tahoma,Bold"/>
          <w:bCs/>
          <w:sz w:val="24"/>
          <w:szCs w:val="24"/>
          <w:lang w:val="id-ID" w:eastAsia="id-ID"/>
        </w:rPr>
        <w:t xml:space="preserve"> </w:t>
      </w:r>
      <w:r w:rsidR="005A4806" w:rsidRPr="00C85F43">
        <w:rPr>
          <w:rFonts w:ascii="Bookman Old Style" w:hAnsi="Bookman Old Style" w:cs="Tahoma,Bold"/>
          <w:bCs/>
          <w:sz w:val="24"/>
          <w:szCs w:val="24"/>
          <w:lang w:val="id-ID" w:eastAsia="id-ID"/>
        </w:rPr>
        <w:t>Tahun</w:t>
      </w:r>
      <w:r w:rsidR="00A954D0">
        <w:rPr>
          <w:rFonts w:ascii="Bookman Old Style" w:hAnsi="Bookman Old Style" w:cs="Tahoma,Bold"/>
          <w:bCs/>
          <w:sz w:val="24"/>
          <w:szCs w:val="24"/>
          <w:lang w:val="id-ID" w:eastAsia="id-ID"/>
        </w:rPr>
        <w:t xml:space="preserve"> </w:t>
      </w:r>
      <w:r w:rsidR="005A4806" w:rsidRPr="00C85F43">
        <w:rPr>
          <w:rFonts w:ascii="Bookman Old Style" w:hAnsi="Bookman Old Style" w:cs="Tahoma,Bold"/>
          <w:bCs/>
          <w:sz w:val="24"/>
          <w:szCs w:val="24"/>
          <w:lang w:val="id-ID" w:eastAsia="id-ID"/>
        </w:rPr>
        <w:t>2024</w:t>
      </w:r>
      <w:r w:rsidR="005A4806" w:rsidRPr="00C85F43">
        <w:rPr>
          <w:rFonts w:ascii="Bookman Old Style" w:hAnsi="Bookman Old Style" w:cs="Tahoma,Bold"/>
          <w:bCs/>
          <w:color w:val="7030A0"/>
          <w:sz w:val="24"/>
          <w:szCs w:val="24"/>
          <w:lang w:val="id-ID" w:eastAsia="id-ID"/>
        </w:rPr>
        <w:t>.</w:t>
      </w:r>
    </w:p>
    <w:p w14:paraId="65BC94B0" w14:textId="77777777" w:rsidR="00360F37" w:rsidRPr="00C85F43" w:rsidRDefault="00360F37" w:rsidP="00AC44F5">
      <w:pPr>
        <w:pStyle w:val="ListParagraph"/>
        <w:spacing w:before="120" w:after="0" w:line="276" w:lineRule="auto"/>
        <w:ind w:left="3261"/>
        <w:contextualSpacing w:val="0"/>
        <w:jc w:val="both"/>
        <w:rPr>
          <w:rFonts w:ascii="Bookman Old Style" w:hAnsi="Bookman Old Style" w:cs="Tahoma,Bold"/>
          <w:bCs/>
          <w:sz w:val="24"/>
          <w:szCs w:val="24"/>
          <w:lang w:val="id-ID" w:eastAsia="id-ID"/>
        </w:rPr>
      </w:pPr>
    </w:p>
    <w:p w14:paraId="1DB5F889" w14:textId="16196715" w:rsidR="005A4806" w:rsidRPr="00727324" w:rsidRDefault="005A4806" w:rsidP="00AC44F5">
      <w:pPr>
        <w:pStyle w:val="ListParagraph"/>
        <w:numPr>
          <w:ilvl w:val="0"/>
          <w:numId w:val="38"/>
        </w:numPr>
        <w:spacing w:before="60" w:after="0" w:line="276" w:lineRule="auto"/>
        <w:ind w:left="2694" w:hanging="425"/>
        <w:contextualSpacing w:val="0"/>
        <w:jc w:val="both"/>
        <w:rPr>
          <w:rFonts w:ascii="Bookman Old Style" w:hAnsi="Bookman Old Style" w:cs="Tahoma,Bold"/>
          <w:bCs/>
          <w:color w:val="000000" w:themeColor="text1"/>
          <w:sz w:val="24"/>
          <w:szCs w:val="24"/>
          <w:lang w:val="id-ID" w:eastAsia="id-ID"/>
        </w:rPr>
      </w:pPr>
      <w:r w:rsidRPr="00727324">
        <w:rPr>
          <w:rFonts w:ascii="Bookman Old Style" w:hAnsi="Bookman Old Style" w:cs="Tahoma,Bold"/>
          <w:bCs/>
          <w:color w:val="000000" w:themeColor="text1"/>
          <w:sz w:val="24"/>
          <w:szCs w:val="24"/>
          <w:lang w:val="id-ID" w:eastAsia="id-ID"/>
        </w:rPr>
        <w:lastRenderedPageBreak/>
        <w:t>Belanja</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Iuran</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Jaminan</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Kecelakaan</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Kerja</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dan</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Jaminan</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Kematian</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yang</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diperuntukan</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bagi</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ASN,</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KDH/WKDH,</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serta</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Pimpinan</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dan</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Anggota</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DPRD,</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sebagai</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berikut:</w:t>
      </w:r>
    </w:p>
    <w:p w14:paraId="690C66B9" w14:textId="126A6117" w:rsidR="005A4806" w:rsidRPr="00727324" w:rsidRDefault="005A4806" w:rsidP="00AC44F5">
      <w:pPr>
        <w:pStyle w:val="ListParagraph"/>
        <w:numPr>
          <w:ilvl w:val="0"/>
          <w:numId w:val="51"/>
        </w:numPr>
        <w:spacing w:before="60" w:after="0" w:line="276" w:lineRule="auto"/>
        <w:ind w:left="3261" w:hanging="284"/>
        <w:contextualSpacing w:val="0"/>
        <w:jc w:val="both"/>
        <w:rPr>
          <w:rFonts w:ascii="Bookman Old Style" w:hAnsi="Bookman Old Style" w:cs="Tahoma,Bold"/>
          <w:bCs/>
          <w:color w:val="000000" w:themeColor="text1"/>
          <w:sz w:val="24"/>
          <w:szCs w:val="24"/>
          <w:lang w:val="id-ID" w:eastAsia="id-ID"/>
        </w:rPr>
      </w:pPr>
      <w:r w:rsidRPr="00727324">
        <w:rPr>
          <w:rFonts w:ascii="Bookman Old Style" w:hAnsi="Bookman Old Style" w:cs="Tahoma,Bold"/>
          <w:bCs/>
          <w:sz w:val="24"/>
          <w:szCs w:val="24"/>
          <w:lang w:val="id-ID" w:eastAsia="id-ID"/>
        </w:rPr>
        <w:t>Belanja</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Iuran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Jaminan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Kecelakaan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Kerja</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dan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Jaminan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Kematian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yang</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diperuntukan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bagi</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ASN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dalam</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Rancangan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Peraturan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Daerah</w:t>
      </w:r>
      <w:r w:rsidR="00A954D0">
        <w:rPr>
          <w:rFonts w:ascii="Bookman Old Style" w:hAnsi="Bookman Old Style"/>
          <w:sz w:val="24"/>
          <w:szCs w:val="24"/>
          <w:lang w:val="id-ID"/>
        </w:rPr>
        <w:t xml:space="preserve"> </w:t>
      </w:r>
      <w:r>
        <w:rPr>
          <w:rFonts w:ascii="Bookman Old Style" w:hAnsi="Bookman Old Style"/>
          <w:sz w:val="24"/>
          <w:szCs w:val="24"/>
          <w:lang w:val="fi-FI"/>
        </w:rPr>
        <w:t>Tangerang</w:t>
      </w:r>
      <w:r w:rsidR="00A954D0">
        <w:rPr>
          <w:rFonts w:ascii="Bookman Old Style" w:hAnsi="Bookman Old Style"/>
          <w:sz w:val="24"/>
          <w:szCs w:val="24"/>
        </w:rPr>
        <w:t xml:space="preserve"> </w:t>
      </w:r>
      <w:r w:rsidRPr="00727324">
        <w:rPr>
          <w:rFonts w:ascii="Bookman Old Style" w:hAnsi="Bookman Old Style" w:cs="Tahoma,Bold"/>
          <w:bCs/>
          <w:sz w:val="24"/>
          <w:szCs w:val="24"/>
          <w:lang w:val="id-ID" w:eastAsia="id-ID"/>
        </w:rPr>
        <w:t>tentang</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APBD</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Tahun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Anggaran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2025,</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yang</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diuraikan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pada:</w:t>
      </w:r>
      <w:r w:rsidR="00A954D0">
        <w:rPr>
          <w:rFonts w:ascii="Bookman Old Style" w:hAnsi="Bookman Old Style" w:cs="Tahoma,Bold"/>
          <w:bCs/>
          <w:sz w:val="24"/>
          <w:szCs w:val="24"/>
          <w:lang w:val="id-ID" w:eastAsia="id-ID"/>
        </w:rPr>
        <w:t xml:space="preserve"> </w:t>
      </w:r>
    </w:p>
    <w:p w14:paraId="1BCDC7F0" w14:textId="4687DCDE" w:rsidR="005A4806" w:rsidRPr="00727324" w:rsidRDefault="005A4806" w:rsidP="00AC44F5">
      <w:pPr>
        <w:pStyle w:val="ListParagraph"/>
        <w:numPr>
          <w:ilvl w:val="0"/>
          <w:numId w:val="52"/>
        </w:numPr>
        <w:spacing w:before="60" w:after="0" w:line="276" w:lineRule="auto"/>
        <w:ind w:left="3686" w:hanging="425"/>
        <w:contextualSpacing w:val="0"/>
        <w:jc w:val="both"/>
        <w:rPr>
          <w:rFonts w:ascii="Bookman Old Style" w:hAnsi="Bookman Old Style" w:cs="Tahoma,Bold"/>
          <w:bCs/>
          <w:sz w:val="24"/>
          <w:szCs w:val="24"/>
          <w:lang w:val="fi-FI" w:eastAsia="id-ID"/>
        </w:rPr>
      </w:pPr>
      <w:r w:rsidRPr="00727324">
        <w:rPr>
          <w:rFonts w:ascii="Bookman Old Style" w:hAnsi="Bookman Old Style" w:cs="Tahoma,Bold"/>
          <w:bCs/>
          <w:sz w:val="24"/>
          <w:szCs w:val="24"/>
          <w:lang w:val="id-ID" w:eastAsia="id-ID"/>
        </w:rPr>
        <w:t>Belanja</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Iuran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Jaminan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Kecelakaan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Kerja</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ASN</w:t>
      </w:r>
      <w:r w:rsidR="00A954D0">
        <w:rPr>
          <w:rFonts w:ascii="Bookman Old Style" w:hAnsi="Bookman Old Style" w:cs="Tahoma,Bold"/>
          <w:bCs/>
          <w:sz w:val="24"/>
          <w:szCs w:val="24"/>
          <w:lang w:val="id-ID" w:eastAsia="id-ID"/>
        </w:rPr>
        <w:t xml:space="preserve"> </w:t>
      </w:r>
      <w:r w:rsidRPr="00727324">
        <w:rPr>
          <w:rFonts w:ascii="Bookman Old Style" w:hAnsi="Bookman Old Style" w:cs="Arial"/>
          <w:sz w:val="24"/>
          <w:szCs w:val="24"/>
          <w:lang w:val="sv-FI"/>
        </w:rPr>
        <w:t>Rp</w:t>
      </w:r>
      <w:r w:rsidRPr="00C07B81">
        <w:rPr>
          <w:rFonts w:ascii="Bookman Old Style" w:hAnsi="Bookman Old Style" w:cs="Arial"/>
          <w:sz w:val="24"/>
          <w:szCs w:val="24"/>
          <w:lang w:val="sv-FI"/>
        </w:rPr>
        <w:t>1</w:t>
      </w:r>
      <w:r>
        <w:rPr>
          <w:rFonts w:ascii="Bookman Old Style" w:hAnsi="Bookman Old Style" w:cs="Arial"/>
          <w:sz w:val="24"/>
          <w:szCs w:val="24"/>
          <w:lang w:val="sv-FI"/>
        </w:rPr>
        <w:t>.</w:t>
      </w:r>
      <w:r w:rsidRPr="00C07B81">
        <w:rPr>
          <w:rFonts w:ascii="Bookman Old Style" w:hAnsi="Bookman Old Style" w:cs="Arial"/>
          <w:sz w:val="24"/>
          <w:szCs w:val="24"/>
          <w:lang w:val="sv-FI"/>
        </w:rPr>
        <w:t>733</w:t>
      </w:r>
      <w:r>
        <w:rPr>
          <w:rFonts w:ascii="Bookman Old Style" w:hAnsi="Bookman Old Style" w:cs="Arial"/>
          <w:sz w:val="24"/>
          <w:szCs w:val="24"/>
          <w:lang w:val="sv-FI"/>
        </w:rPr>
        <w:t>.</w:t>
      </w:r>
      <w:r w:rsidRPr="00C07B81">
        <w:rPr>
          <w:rFonts w:ascii="Bookman Old Style" w:hAnsi="Bookman Old Style" w:cs="Arial"/>
          <w:sz w:val="24"/>
          <w:szCs w:val="24"/>
          <w:lang w:val="sv-FI"/>
        </w:rPr>
        <w:t>023</w:t>
      </w:r>
      <w:r>
        <w:rPr>
          <w:rFonts w:ascii="Bookman Old Style" w:hAnsi="Bookman Old Style" w:cs="Arial"/>
          <w:sz w:val="24"/>
          <w:szCs w:val="24"/>
          <w:lang w:val="sv-FI"/>
        </w:rPr>
        <w:t>.</w:t>
      </w:r>
      <w:r w:rsidRPr="00C07B81">
        <w:rPr>
          <w:rFonts w:ascii="Bookman Old Style" w:hAnsi="Bookman Old Style" w:cs="Arial"/>
          <w:sz w:val="24"/>
          <w:szCs w:val="24"/>
          <w:lang w:val="sv-FI"/>
        </w:rPr>
        <w:t>099</w:t>
      </w:r>
      <w:r>
        <w:rPr>
          <w:rFonts w:ascii="Bookman Old Style" w:hAnsi="Bookman Old Style" w:cs="Arial"/>
          <w:sz w:val="24"/>
          <w:szCs w:val="24"/>
          <w:lang w:val="sv-FI"/>
        </w:rPr>
        <w:t>,</w:t>
      </w:r>
      <w:r w:rsidRPr="00C07B81">
        <w:rPr>
          <w:rFonts w:ascii="Bookman Old Style" w:hAnsi="Bookman Old Style" w:cs="Arial"/>
          <w:sz w:val="24"/>
          <w:szCs w:val="24"/>
          <w:lang w:val="sv-FI"/>
        </w:rPr>
        <w:t>60</w:t>
      </w:r>
      <w:r w:rsidRPr="00727324">
        <w:rPr>
          <w:rFonts w:ascii="Bookman Old Style" w:hAnsi="Bookman Old Style" w:cs="Tahoma,Bold"/>
          <w:bCs/>
          <w:sz w:val="24"/>
          <w:szCs w:val="24"/>
          <w:lang w:val="fi-FI" w:eastAsia="id-ID"/>
        </w:rPr>
        <w:t>;</w:t>
      </w:r>
      <w:r w:rsidR="00A954D0">
        <w:rPr>
          <w:rFonts w:ascii="Bookman Old Style" w:hAnsi="Bookman Old Style" w:cs="Tahoma,Bold"/>
          <w:bCs/>
          <w:sz w:val="24"/>
          <w:szCs w:val="24"/>
          <w:lang w:val="fi-FI" w:eastAsia="id-ID"/>
        </w:rPr>
        <w:t xml:space="preserve"> </w:t>
      </w:r>
    </w:p>
    <w:p w14:paraId="407BF7E9" w14:textId="5080EAAC" w:rsidR="005A4806" w:rsidRPr="00727324" w:rsidRDefault="005A4806" w:rsidP="00AC44F5">
      <w:pPr>
        <w:pStyle w:val="ListParagraph"/>
        <w:numPr>
          <w:ilvl w:val="0"/>
          <w:numId w:val="52"/>
        </w:numPr>
        <w:spacing w:before="60" w:after="0" w:line="276" w:lineRule="auto"/>
        <w:ind w:left="3686" w:hanging="425"/>
        <w:contextualSpacing w:val="0"/>
        <w:jc w:val="both"/>
        <w:rPr>
          <w:rFonts w:ascii="Bookman Old Style" w:hAnsi="Bookman Old Style" w:cs="Tahoma,Bold"/>
          <w:bCs/>
          <w:color w:val="FF0000"/>
          <w:sz w:val="24"/>
          <w:szCs w:val="24"/>
          <w:lang w:val="id-ID" w:eastAsia="id-ID"/>
        </w:rPr>
      </w:pPr>
      <w:r w:rsidRPr="00727324">
        <w:rPr>
          <w:rFonts w:ascii="Bookman Old Style" w:hAnsi="Bookman Old Style" w:cs="Tahoma,Bold"/>
          <w:bCs/>
          <w:sz w:val="24"/>
          <w:szCs w:val="24"/>
          <w:lang w:val="id-ID" w:eastAsia="id-ID"/>
        </w:rPr>
        <w:t>Belanja</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Iuran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Jaminan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Kematian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ASN</w:t>
      </w:r>
      <w:r w:rsidR="00A954D0">
        <w:rPr>
          <w:rFonts w:ascii="Bookman Old Style" w:hAnsi="Bookman Old Style" w:cs="Tahoma,Bold"/>
          <w:bCs/>
          <w:sz w:val="24"/>
          <w:szCs w:val="24"/>
          <w:lang w:val="id-ID" w:eastAsia="id-ID"/>
        </w:rPr>
        <w:t xml:space="preserve"> </w:t>
      </w:r>
      <w:r w:rsidRPr="00727324">
        <w:rPr>
          <w:rFonts w:ascii="Bookman Old Style" w:hAnsi="Bookman Old Style" w:cs="Arial"/>
          <w:sz w:val="24"/>
          <w:szCs w:val="24"/>
          <w:lang w:val="sv-FI"/>
        </w:rPr>
        <w:t>Rp</w:t>
      </w:r>
      <w:r w:rsidRPr="00C07B81">
        <w:rPr>
          <w:rFonts w:ascii="Bookman Old Style" w:hAnsi="Bookman Old Style" w:cs="Arial"/>
          <w:sz w:val="24"/>
          <w:szCs w:val="24"/>
          <w:lang w:val="sv-FI"/>
        </w:rPr>
        <w:t>4</w:t>
      </w:r>
      <w:r>
        <w:rPr>
          <w:rFonts w:ascii="Bookman Old Style" w:hAnsi="Bookman Old Style" w:cs="Arial"/>
          <w:sz w:val="24"/>
          <w:szCs w:val="24"/>
          <w:lang w:val="sv-FI"/>
        </w:rPr>
        <w:t>.</w:t>
      </w:r>
      <w:r w:rsidRPr="00C07B81">
        <w:rPr>
          <w:rFonts w:ascii="Bookman Old Style" w:hAnsi="Bookman Old Style" w:cs="Arial"/>
          <w:sz w:val="24"/>
          <w:szCs w:val="24"/>
          <w:lang w:val="sv-FI"/>
        </w:rPr>
        <w:t>760</w:t>
      </w:r>
      <w:r>
        <w:rPr>
          <w:rFonts w:ascii="Bookman Old Style" w:hAnsi="Bookman Old Style" w:cs="Arial"/>
          <w:sz w:val="24"/>
          <w:szCs w:val="24"/>
          <w:lang w:val="sv-FI"/>
        </w:rPr>
        <w:t>.</w:t>
      </w:r>
      <w:r w:rsidRPr="00C07B81">
        <w:rPr>
          <w:rFonts w:ascii="Bookman Old Style" w:hAnsi="Bookman Old Style" w:cs="Arial"/>
          <w:sz w:val="24"/>
          <w:szCs w:val="24"/>
          <w:lang w:val="sv-FI"/>
        </w:rPr>
        <w:t>562</w:t>
      </w:r>
      <w:r>
        <w:rPr>
          <w:rFonts w:ascii="Bookman Old Style" w:hAnsi="Bookman Old Style" w:cs="Arial"/>
          <w:sz w:val="24"/>
          <w:szCs w:val="24"/>
          <w:lang w:val="sv-FI"/>
        </w:rPr>
        <w:t>.</w:t>
      </w:r>
      <w:r w:rsidRPr="00C07B81">
        <w:rPr>
          <w:rFonts w:ascii="Bookman Old Style" w:hAnsi="Bookman Old Style" w:cs="Arial"/>
          <w:sz w:val="24"/>
          <w:szCs w:val="24"/>
          <w:lang w:val="sv-FI"/>
        </w:rPr>
        <w:t>797</w:t>
      </w:r>
      <w:r>
        <w:rPr>
          <w:rFonts w:ascii="Bookman Old Style" w:hAnsi="Bookman Old Style" w:cs="Arial"/>
          <w:sz w:val="24"/>
          <w:szCs w:val="24"/>
          <w:lang w:val="sv-FI"/>
        </w:rPr>
        <w:t>,</w:t>
      </w:r>
      <w:r w:rsidRPr="00C07B81">
        <w:rPr>
          <w:rFonts w:ascii="Bookman Old Style" w:hAnsi="Bookman Old Style" w:cs="Arial"/>
          <w:sz w:val="24"/>
          <w:szCs w:val="24"/>
          <w:lang w:val="sv-FI"/>
        </w:rPr>
        <w:t>00</w:t>
      </w:r>
      <w:r w:rsidRPr="00727324">
        <w:rPr>
          <w:rFonts w:ascii="Bookman Old Style" w:hAnsi="Bookman Old Style" w:cs="Tahoma,Bold"/>
          <w:bCs/>
          <w:sz w:val="24"/>
          <w:szCs w:val="24"/>
          <w:lang w:val="sv-FI" w:eastAsia="id-ID"/>
        </w:rPr>
        <w:t>.</w:t>
      </w:r>
    </w:p>
    <w:p w14:paraId="6EE2888C" w14:textId="17FDA495" w:rsidR="005A4806" w:rsidRPr="00727324" w:rsidRDefault="005A4806" w:rsidP="00AC44F5">
      <w:pPr>
        <w:spacing w:before="60" w:line="276" w:lineRule="auto"/>
        <w:ind w:left="3261"/>
        <w:jc w:val="both"/>
        <w:rPr>
          <w:rFonts w:ascii="Bookman Old Style" w:hAnsi="Bookman Old Style" w:cs="Tahoma,Bold"/>
          <w:bCs/>
          <w:color w:val="FF0000"/>
          <w:lang w:val="id-ID" w:eastAsia="id-ID"/>
        </w:rPr>
      </w:pPr>
      <w:r w:rsidRPr="00727324">
        <w:rPr>
          <w:rFonts w:ascii="Bookman Old Style" w:hAnsi="Bookman Old Style" w:cs="Tahoma,Bold"/>
          <w:b/>
          <w:lang w:val="id-ID" w:eastAsia="id-ID"/>
        </w:rPr>
        <w:t>Belum</w:t>
      </w:r>
      <w:r w:rsidR="00A954D0">
        <w:rPr>
          <w:rFonts w:ascii="Bookman Old Style" w:hAnsi="Bookman Old Style" w:cs="Tahoma,Bold"/>
          <w:b/>
          <w:lang w:val="id-ID" w:eastAsia="id-ID"/>
        </w:rPr>
        <w:t xml:space="preserve"> </w:t>
      </w:r>
      <w:r w:rsidRPr="00727324">
        <w:rPr>
          <w:rFonts w:ascii="Bookman Old Style" w:hAnsi="Bookman Old Style" w:cs="Tahoma,Bold"/>
          <w:b/>
          <w:lang w:val="id-ID" w:eastAsia="id-ID"/>
        </w:rPr>
        <w:t>sesuai</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dengan</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besaran</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alokasi</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Belanja</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Iuran</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Jaminan</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Kecelakaan</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Kerja</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dan</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Jaminan</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Kematian</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yang</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diperuntukan</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bagi</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ASN</w:t>
      </w:r>
      <w:r w:rsidR="00A954D0">
        <w:rPr>
          <w:rFonts w:ascii="Bookman Old Style" w:hAnsi="Bookman Old Style" w:cs="Tahoma,Bold"/>
          <w:bCs/>
          <w:lang w:val="id-ID" w:eastAsia="id-ID"/>
        </w:rPr>
        <w:t xml:space="preserve"> </w:t>
      </w:r>
      <w:r w:rsidR="00875947">
        <w:rPr>
          <w:rFonts w:ascii="Bookman Old Style" w:hAnsi="Bookman Old Style" w:cs="Tahoma,Bold"/>
          <w:bCs/>
          <w:lang w:val="id-ID" w:eastAsia="id-ID"/>
        </w:rPr>
        <w:t xml:space="preserve">yang </w:t>
      </w:r>
      <w:r w:rsidRPr="00727324">
        <w:rPr>
          <w:rFonts w:ascii="Bookman Old Style" w:hAnsi="Bookman Old Style" w:cs="Tahoma,Bold"/>
          <w:bCs/>
          <w:color w:val="000000" w:themeColor="text1"/>
          <w:lang w:val="id-ID" w:eastAsia="id-ID"/>
        </w:rPr>
        <w:t>seharusnya:</w:t>
      </w:r>
    </w:p>
    <w:p w14:paraId="039D5A13" w14:textId="3D21428C" w:rsidR="005A4806" w:rsidRPr="00727324" w:rsidRDefault="005A4806" w:rsidP="00AC44F5">
      <w:pPr>
        <w:pStyle w:val="ListParagraph"/>
        <w:numPr>
          <w:ilvl w:val="0"/>
          <w:numId w:val="53"/>
        </w:numPr>
        <w:snapToGrid w:val="0"/>
        <w:spacing w:before="60" w:after="0" w:line="276" w:lineRule="auto"/>
        <w:ind w:left="3686" w:hanging="425"/>
        <w:contextualSpacing w:val="0"/>
        <w:jc w:val="both"/>
        <w:rPr>
          <w:rFonts w:ascii="Bookman Old Style" w:hAnsi="Bookman Old Style" w:cs="Tahoma,Bold"/>
          <w:bCs/>
          <w:sz w:val="24"/>
          <w:szCs w:val="24"/>
          <w:lang w:val="id-ID" w:eastAsia="id-ID"/>
        </w:rPr>
      </w:pPr>
      <w:r w:rsidRPr="00727324">
        <w:rPr>
          <w:rFonts w:ascii="Bookman Old Style" w:hAnsi="Bookman Old Style" w:cs="Tahoma,Bold"/>
          <w:bCs/>
          <w:sz w:val="24"/>
          <w:szCs w:val="24"/>
          <w:lang w:val="id-ID" w:eastAsia="id-ID"/>
        </w:rPr>
        <w:t>Belanja</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Iuran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Jaminan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Kecelakaan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Kerja</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ASN,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yaitu</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0,24%</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dari</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gaji</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pokok</w:t>
      </w:r>
      <w:r w:rsidR="00A954D0">
        <w:rPr>
          <w:rFonts w:ascii="Bookman Old Style" w:hAnsi="Bookman Old Style" w:cs="Tahoma,Bold"/>
          <w:bCs/>
          <w:sz w:val="24"/>
          <w:szCs w:val="24"/>
          <w:lang w:val="id-ID" w:eastAsia="id-ID"/>
        </w:rPr>
        <w:t xml:space="preserve"> </w:t>
      </w:r>
      <w:r w:rsidRPr="00727324">
        <w:rPr>
          <w:rFonts w:ascii="Bookman Old Style" w:hAnsi="Bookman Old Style" w:cs="Arial"/>
          <w:sz w:val="24"/>
          <w:szCs w:val="24"/>
          <w:lang w:val="id-ID"/>
        </w:rPr>
        <w:t>Rp</w:t>
      </w:r>
      <w:r w:rsidRPr="00C07B81">
        <w:rPr>
          <w:rFonts w:ascii="Bookman Old Style" w:hAnsi="Bookman Old Style" w:cs="Arial"/>
          <w:sz w:val="24"/>
          <w:szCs w:val="24"/>
          <w:lang w:val="id-ID"/>
        </w:rPr>
        <w:t>605</w:t>
      </w:r>
      <w:r>
        <w:rPr>
          <w:rFonts w:ascii="Bookman Old Style" w:hAnsi="Bookman Old Style" w:cs="Arial"/>
          <w:sz w:val="24"/>
          <w:szCs w:val="24"/>
          <w:lang w:val="id-ID"/>
        </w:rPr>
        <w:t>.</w:t>
      </w:r>
      <w:r w:rsidRPr="00C07B81">
        <w:rPr>
          <w:rFonts w:ascii="Bookman Old Style" w:hAnsi="Bookman Old Style" w:cs="Arial"/>
          <w:sz w:val="24"/>
          <w:szCs w:val="24"/>
          <w:lang w:val="id-ID"/>
        </w:rPr>
        <w:t>348</w:t>
      </w:r>
      <w:r>
        <w:rPr>
          <w:rFonts w:ascii="Bookman Old Style" w:hAnsi="Bookman Old Style" w:cs="Arial"/>
          <w:sz w:val="24"/>
          <w:szCs w:val="24"/>
          <w:lang w:val="id-ID"/>
        </w:rPr>
        <w:t>.</w:t>
      </w:r>
      <w:r w:rsidRPr="00C07B81">
        <w:rPr>
          <w:rFonts w:ascii="Bookman Old Style" w:hAnsi="Bookman Old Style" w:cs="Arial"/>
          <w:sz w:val="24"/>
          <w:szCs w:val="24"/>
          <w:lang w:val="id-ID"/>
        </w:rPr>
        <w:t>341</w:t>
      </w:r>
      <w:r>
        <w:rPr>
          <w:rFonts w:ascii="Bookman Old Style" w:hAnsi="Bookman Old Style" w:cs="Arial"/>
          <w:sz w:val="24"/>
          <w:szCs w:val="24"/>
          <w:lang w:val="id-ID"/>
        </w:rPr>
        <w:t>.</w:t>
      </w:r>
      <w:r w:rsidRPr="00C07B81">
        <w:rPr>
          <w:rFonts w:ascii="Bookman Old Style" w:hAnsi="Bookman Old Style" w:cs="Arial"/>
          <w:sz w:val="24"/>
          <w:szCs w:val="24"/>
          <w:lang w:val="id-ID"/>
        </w:rPr>
        <w:t>552</w:t>
      </w:r>
      <w:r>
        <w:rPr>
          <w:rFonts w:ascii="Bookman Old Style" w:hAnsi="Bookman Old Style" w:cs="Arial"/>
          <w:sz w:val="24"/>
          <w:szCs w:val="24"/>
          <w:lang w:val="id-ID"/>
        </w:rPr>
        <w:t>,</w:t>
      </w:r>
      <w:r w:rsidRPr="00C07B81">
        <w:rPr>
          <w:rFonts w:ascii="Bookman Old Style" w:hAnsi="Bookman Old Style" w:cs="Arial"/>
          <w:sz w:val="24"/>
          <w:szCs w:val="24"/>
          <w:lang w:val="id-ID"/>
        </w:rPr>
        <w:t>36</w:t>
      </w:r>
      <w:r w:rsidR="00A954D0">
        <w:rPr>
          <w:rFonts w:ascii="Bookman Old Style" w:hAnsi="Bookman Old Style" w:cs="Arial"/>
          <w:sz w:val="24"/>
          <w:szCs w:val="24"/>
          <w:lang w:val="id-ID"/>
        </w:rPr>
        <w:t xml:space="preserve"> </w:t>
      </w:r>
      <w:r w:rsidRPr="00727324">
        <w:rPr>
          <w:rFonts w:ascii="Bookman Old Style" w:hAnsi="Bookman Old Style" w:cs="Arial"/>
          <w:sz w:val="24"/>
          <w:szCs w:val="24"/>
          <w:lang w:val="id-ID"/>
        </w:rPr>
        <w:t>yaitu</w:t>
      </w:r>
      <w:r w:rsidR="00A954D0">
        <w:rPr>
          <w:rFonts w:ascii="Bookman Old Style" w:hAnsi="Bookman Old Style" w:cs="Arial"/>
          <w:sz w:val="24"/>
          <w:szCs w:val="24"/>
          <w:lang w:val="id-ID"/>
        </w:rPr>
        <w:t xml:space="preserve"> </w:t>
      </w:r>
      <w:r w:rsidRPr="00727324">
        <w:rPr>
          <w:rFonts w:ascii="Bookman Old Style" w:hAnsi="Bookman Old Style" w:cs="Arial"/>
          <w:sz w:val="24"/>
          <w:szCs w:val="24"/>
          <w:lang w:val="id-ID"/>
        </w:rPr>
        <w:t>sebesar</w:t>
      </w:r>
      <w:r w:rsidR="00A954D0">
        <w:rPr>
          <w:rFonts w:ascii="Bookman Old Style" w:hAnsi="Bookman Old Style" w:cs="Arial"/>
          <w:sz w:val="24"/>
          <w:szCs w:val="24"/>
          <w:lang w:val="id-ID"/>
        </w:rPr>
        <w:t xml:space="preserve"> </w:t>
      </w:r>
      <w:r w:rsidRPr="00727324">
        <w:rPr>
          <w:rFonts w:ascii="Bookman Old Style" w:hAnsi="Bookman Old Style" w:cs="Tahoma,Bold"/>
          <w:bCs/>
          <w:sz w:val="24"/>
          <w:szCs w:val="24"/>
          <w:lang w:val="id-ID" w:eastAsia="id-ID"/>
        </w:rPr>
        <w:t>R</w:t>
      </w:r>
      <w:r>
        <w:rPr>
          <w:rFonts w:ascii="Bookman Old Style" w:hAnsi="Bookman Old Style" w:cs="Tahoma,Bold"/>
          <w:bCs/>
          <w:sz w:val="24"/>
          <w:szCs w:val="24"/>
          <w:lang w:val="id-ID" w:eastAsia="id-ID"/>
        </w:rPr>
        <w:t>p</w:t>
      </w:r>
      <w:r w:rsidRPr="00384529">
        <w:rPr>
          <w:rFonts w:ascii="Bookman Old Style" w:hAnsi="Bookman Old Style" w:cs="Tahoma,Bold"/>
          <w:bCs/>
          <w:sz w:val="24"/>
          <w:szCs w:val="24"/>
          <w:lang w:val="id-ID" w:eastAsia="id-ID"/>
        </w:rPr>
        <w:t>1</w:t>
      </w:r>
      <w:r>
        <w:rPr>
          <w:rFonts w:ascii="Bookman Old Style" w:hAnsi="Bookman Old Style" w:cs="Tahoma,Bold"/>
          <w:bCs/>
          <w:sz w:val="24"/>
          <w:szCs w:val="24"/>
          <w:lang w:val="id-ID" w:eastAsia="id-ID"/>
        </w:rPr>
        <w:t>.</w:t>
      </w:r>
      <w:r w:rsidRPr="00384529">
        <w:rPr>
          <w:rFonts w:ascii="Bookman Old Style" w:hAnsi="Bookman Old Style" w:cs="Tahoma,Bold"/>
          <w:bCs/>
          <w:sz w:val="24"/>
          <w:szCs w:val="24"/>
          <w:lang w:val="id-ID" w:eastAsia="id-ID"/>
        </w:rPr>
        <w:t>452</w:t>
      </w:r>
      <w:r>
        <w:rPr>
          <w:rFonts w:ascii="Bookman Old Style" w:hAnsi="Bookman Old Style" w:cs="Tahoma,Bold"/>
          <w:bCs/>
          <w:sz w:val="24"/>
          <w:szCs w:val="24"/>
          <w:lang w:val="id-ID" w:eastAsia="id-ID"/>
        </w:rPr>
        <w:t>.</w:t>
      </w:r>
      <w:r w:rsidRPr="00384529">
        <w:rPr>
          <w:rFonts w:ascii="Bookman Old Style" w:hAnsi="Bookman Old Style" w:cs="Tahoma,Bold"/>
          <w:bCs/>
          <w:sz w:val="24"/>
          <w:szCs w:val="24"/>
          <w:lang w:val="id-ID" w:eastAsia="id-ID"/>
        </w:rPr>
        <w:t>836</w:t>
      </w:r>
      <w:r>
        <w:rPr>
          <w:rFonts w:ascii="Bookman Old Style" w:hAnsi="Bookman Old Style" w:cs="Tahoma,Bold"/>
          <w:bCs/>
          <w:sz w:val="24"/>
          <w:szCs w:val="24"/>
          <w:lang w:val="id-ID" w:eastAsia="id-ID"/>
        </w:rPr>
        <w:t>.</w:t>
      </w:r>
      <w:r w:rsidRPr="00384529">
        <w:rPr>
          <w:rFonts w:ascii="Bookman Old Style" w:hAnsi="Bookman Old Style" w:cs="Tahoma,Bold"/>
          <w:bCs/>
          <w:sz w:val="24"/>
          <w:szCs w:val="24"/>
          <w:lang w:val="id-ID" w:eastAsia="id-ID"/>
        </w:rPr>
        <w:t>019</w:t>
      </w:r>
      <w:r>
        <w:rPr>
          <w:rFonts w:ascii="Bookman Old Style" w:hAnsi="Bookman Old Style" w:cs="Tahoma,Bold"/>
          <w:bCs/>
          <w:sz w:val="24"/>
          <w:szCs w:val="24"/>
          <w:lang w:val="id-ID" w:eastAsia="id-ID"/>
        </w:rPr>
        <w:t>,</w:t>
      </w:r>
      <w:r w:rsidRPr="00384529">
        <w:rPr>
          <w:rFonts w:ascii="Bookman Old Style" w:hAnsi="Bookman Old Style" w:cs="Tahoma,Bold"/>
          <w:bCs/>
          <w:sz w:val="24"/>
          <w:szCs w:val="24"/>
          <w:lang w:val="id-ID" w:eastAsia="id-ID"/>
        </w:rPr>
        <w:t>73</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sehingga</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terdapat</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selisih</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lebih</w:t>
      </w:r>
      <w:r w:rsidR="00A954D0">
        <w:rPr>
          <w:rFonts w:ascii="Bookman Old Style" w:hAnsi="Bookman Old Style" w:cs="Tahoma,Bold"/>
          <w:bCs/>
          <w:sz w:val="24"/>
          <w:szCs w:val="24"/>
          <w:lang w:val="id-ID" w:eastAsia="id-ID"/>
        </w:rPr>
        <w:t xml:space="preserve"> </w:t>
      </w:r>
      <w:r w:rsidRPr="00727324">
        <w:rPr>
          <w:rFonts w:ascii="Bookman Old Style" w:hAnsi="Bookman Old Style" w:cs="Arial"/>
          <w:sz w:val="24"/>
          <w:szCs w:val="24"/>
          <w:lang w:val="id-ID"/>
        </w:rPr>
        <w:t>Rp</w:t>
      </w:r>
      <w:r w:rsidRPr="00C07B81">
        <w:rPr>
          <w:rFonts w:ascii="Bookman Old Style" w:hAnsi="Bookman Old Style" w:cs="Arial"/>
          <w:sz w:val="24"/>
          <w:szCs w:val="24"/>
          <w:lang w:val="id-ID"/>
        </w:rPr>
        <w:t>280</w:t>
      </w:r>
      <w:r w:rsidR="00ED62AE">
        <w:rPr>
          <w:rFonts w:ascii="Bookman Old Style" w:hAnsi="Bookman Old Style" w:cs="Arial"/>
          <w:sz w:val="24"/>
          <w:szCs w:val="24"/>
          <w:lang w:val="id-ID"/>
        </w:rPr>
        <w:t>.</w:t>
      </w:r>
      <w:r w:rsidRPr="00C07B81">
        <w:rPr>
          <w:rFonts w:ascii="Bookman Old Style" w:hAnsi="Bookman Old Style" w:cs="Arial"/>
          <w:sz w:val="24"/>
          <w:szCs w:val="24"/>
          <w:lang w:val="id-ID"/>
        </w:rPr>
        <w:t>187</w:t>
      </w:r>
      <w:r w:rsidR="00ED62AE">
        <w:rPr>
          <w:rFonts w:ascii="Bookman Old Style" w:hAnsi="Bookman Old Style" w:cs="Arial"/>
          <w:sz w:val="24"/>
          <w:szCs w:val="24"/>
          <w:lang w:val="id-ID"/>
        </w:rPr>
        <w:t>.</w:t>
      </w:r>
      <w:r w:rsidRPr="00C07B81">
        <w:rPr>
          <w:rFonts w:ascii="Bookman Old Style" w:hAnsi="Bookman Old Style" w:cs="Arial"/>
          <w:sz w:val="24"/>
          <w:szCs w:val="24"/>
          <w:lang w:val="id-ID"/>
        </w:rPr>
        <w:t>079</w:t>
      </w:r>
      <w:r w:rsidR="00ED62AE">
        <w:rPr>
          <w:rFonts w:ascii="Bookman Old Style" w:hAnsi="Bookman Old Style" w:cs="Arial"/>
          <w:sz w:val="24"/>
          <w:szCs w:val="24"/>
          <w:lang w:val="id-ID"/>
        </w:rPr>
        <w:t>,</w:t>
      </w:r>
      <w:r w:rsidRPr="00C07B81">
        <w:rPr>
          <w:rFonts w:ascii="Bookman Old Style" w:hAnsi="Bookman Old Style" w:cs="Arial"/>
          <w:sz w:val="24"/>
          <w:szCs w:val="24"/>
          <w:lang w:val="id-ID"/>
        </w:rPr>
        <w:t>87</w:t>
      </w:r>
      <w:r w:rsidRPr="00727324">
        <w:rPr>
          <w:rFonts w:ascii="Bookman Old Style" w:hAnsi="Bookman Old Style" w:cs="Tahoma,Bold"/>
          <w:bCs/>
          <w:sz w:val="24"/>
          <w:szCs w:val="24"/>
          <w:lang w:val="id-ID" w:eastAsia="id-ID"/>
        </w:rPr>
        <w:t>;</w:t>
      </w:r>
      <w:r w:rsidR="00A954D0">
        <w:rPr>
          <w:rFonts w:ascii="Bookman Old Style" w:hAnsi="Bookman Old Style" w:cs="Tahoma,Bold"/>
          <w:bCs/>
          <w:sz w:val="24"/>
          <w:szCs w:val="24"/>
          <w:lang w:val="id-ID" w:eastAsia="id-ID"/>
        </w:rPr>
        <w:t xml:space="preserve"> </w:t>
      </w:r>
    </w:p>
    <w:p w14:paraId="46953E14" w14:textId="7562B8F7" w:rsidR="005A4806" w:rsidRPr="00727324" w:rsidRDefault="005A4806" w:rsidP="00AC44F5">
      <w:pPr>
        <w:pStyle w:val="ListParagraph"/>
        <w:numPr>
          <w:ilvl w:val="0"/>
          <w:numId w:val="53"/>
        </w:numPr>
        <w:snapToGrid w:val="0"/>
        <w:spacing w:before="60" w:after="0" w:line="276" w:lineRule="auto"/>
        <w:ind w:left="3686" w:hanging="425"/>
        <w:contextualSpacing w:val="0"/>
        <w:jc w:val="both"/>
        <w:rPr>
          <w:rFonts w:ascii="Bookman Old Style" w:hAnsi="Bookman Old Style" w:cs="Tahoma,Bold"/>
          <w:bCs/>
          <w:color w:val="FF0000"/>
          <w:sz w:val="24"/>
          <w:szCs w:val="24"/>
          <w:lang w:val="id-ID" w:eastAsia="id-ID"/>
        </w:rPr>
      </w:pPr>
      <w:r w:rsidRPr="00727324">
        <w:rPr>
          <w:rFonts w:ascii="Bookman Old Style" w:hAnsi="Bookman Old Style" w:cs="Tahoma,Bold"/>
          <w:bCs/>
          <w:sz w:val="24"/>
          <w:szCs w:val="24"/>
          <w:lang w:val="id-ID" w:eastAsia="id-ID"/>
        </w:rPr>
        <w:t>Belanja</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Iuran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Jaminan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Kematian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ASN,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yaitu</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0,72%</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dari</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gaji</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pokok</w:t>
      </w:r>
      <w:r w:rsidR="00A954D0">
        <w:rPr>
          <w:rFonts w:ascii="Bookman Old Style" w:hAnsi="Bookman Old Style" w:cs="Tahoma,Bold"/>
          <w:bCs/>
          <w:sz w:val="24"/>
          <w:szCs w:val="24"/>
          <w:lang w:val="id-ID" w:eastAsia="id-ID"/>
        </w:rPr>
        <w:t xml:space="preserve"> </w:t>
      </w:r>
      <w:r w:rsidRPr="00727324">
        <w:rPr>
          <w:rFonts w:ascii="Bookman Old Style" w:hAnsi="Bookman Old Style" w:cs="Arial"/>
          <w:sz w:val="24"/>
          <w:szCs w:val="24"/>
          <w:lang w:val="id-ID"/>
        </w:rPr>
        <w:t>Rp</w:t>
      </w:r>
      <w:r w:rsidRPr="00C07B81">
        <w:rPr>
          <w:rFonts w:ascii="Bookman Old Style" w:hAnsi="Bookman Old Style" w:cs="Arial"/>
          <w:sz w:val="24"/>
          <w:szCs w:val="24"/>
          <w:lang w:val="id-ID"/>
        </w:rPr>
        <w:t>605</w:t>
      </w:r>
      <w:r>
        <w:rPr>
          <w:rFonts w:ascii="Bookman Old Style" w:hAnsi="Bookman Old Style" w:cs="Arial"/>
          <w:sz w:val="24"/>
          <w:szCs w:val="24"/>
          <w:lang w:val="id-ID"/>
        </w:rPr>
        <w:t>.</w:t>
      </w:r>
      <w:r w:rsidRPr="00C07B81">
        <w:rPr>
          <w:rFonts w:ascii="Bookman Old Style" w:hAnsi="Bookman Old Style" w:cs="Arial"/>
          <w:sz w:val="24"/>
          <w:szCs w:val="24"/>
          <w:lang w:val="id-ID"/>
        </w:rPr>
        <w:t>348</w:t>
      </w:r>
      <w:r>
        <w:rPr>
          <w:rFonts w:ascii="Bookman Old Style" w:hAnsi="Bookman Old Style" w:cs="Arial"/>
          <w:sz w:val="24"/>
          <w:szCs w:val="24"/>
          <w:lang w:val="id-ID"/>
        </w:rPr>
        <w:t>.</w:t>
      </w:r>
      <w:r w:rsidRPr="00C07B81">
        <w:rPr>
          <w:rFonts w:ascii="Bookman Old Style" w:hAnsi="Bookman Old Style" w:cs="Arial"/>
          <w:sz w:val="24"/>
          <w:szCs w:val="24"/>
          <w:lang w:val="id-ID"/>
        </w:rPr>
        <w:t>341</w:t>
      </w:r>
      <w:r>
        <w:rPr>
          <w:rFonts w:ascii="Bookman Old Style" w:hAnsi="Bookman Old Style" w:cs="Arial"/>
          <w:sz w:val="24"/>
          <w:szCs w:val="24"/>
          <w:lang w:val="id-ID"/>
        </w:rPr>
        <w:t>.</w:t>
      </w:r>
      <w:r w:rsidRPr="00C07B81">
        <w:rPr>
          <w:rFonts w:ascii="Bookman Old Style" w:hAnsi="Bookman Old Style" w:cs="Arial"/>
          <w:sz w:val="24"/>
          <w:szCs w:val="24"/>
          <w:lang w:val="id-ID"/>
        </w:rPr>
        <w:t>552</w:t>
      </w:r>
      <w:r>
        <w:rPr>
          <w:rFonts w:ascii="Bookman Old Style" w:hAnsi="Bookman Old Style" w:cs="Arial"/>
          <w:sz w:val="24"/>
          <w:szCs w:val="24"/>
          <w:lang w:val="id-ID"/>
        </w:rPr>
        <w:t>,</w:t>
      </w:r>
      <w:r w:rsidRPr="00C07B81">
        <w:rPr>
          <w:rFonts w:ascii="Bookman Old Style" w:hAnsi="Bookman Old Style" w:cs="Arial"/>
          <w:sz w:val="24"/>
          <w:szCs w:val="24"/>
          <w:lang w:val="id-ID"/>
        </w:rPr>
        <w:t>36</w:t>
      </w:r>
      <w:r w:rsidR="00A954D0">
        <w:rPr>
          <w:rFonts w:ascii="Bookman Old Style" w:hAnsi="Bookman Old Style" w:cs="Arial"/>
          <w:sz w:val="24"/>
          <w:szCs w:val="24"/>
          <w:lang w:val="id-ID"/>
        </w:rPr>
        <w:t xml:space="preserve"> </w:t>
      </w:r>
      <w:r w:rsidRPr="00727324">
        <w:rPr>
          <w:rFonts w:ascii="Bookman Old Style" w:hAnsi="Bookman Old Style" w:cs="Arial"/>
          <w:sz w:val="24"/>
          <w:szCs w:val="24"/>
          <w:lang w:val="id-ID"/>
        </w:rPr>
        <w:t>sebesar</w:t>
      </w:r>
      <w:r w:rsidR="00A954D0">
        <w:rPr>
          <w:rFonts w:ascii="Bookman Old Style" w:hAnsi="Bookman Old Style" w:cs="Arial"/>
          <w:sz w:val="24"/>
          <w:szCs w:val="24"/>
          <w:lang w:val="id-ID"/>
        </w:rPr>
        <w:t xml:space="preserve"> </w:t>
      </w:r>
      <w:r w:rsidRPr="00727324">
        <w:rPr>
          <w:rFonts w:ascii="Bookman Old Style" w:hAnsi="Bookman Old Style" w:cs="Tahoma,Bold"/>
          <w:bCs/>
          <w:sz w:val="24"/>
          <w:szCs w:val="24"/>
          <w:lang w:val="id-ID" w:eastAsia="id-ID"/>
        </w:rPr>
        <w:t>Rp</w:t>
      </w:r>
      <w:r w:rsidRPr="00384529">
        <w:rPr>
          <w:rFonts w:ascii="Bookman Old Style" w:hAnsi="Bookman Old Style" w:cs="Tahoma,Bold"/>
          <w:bCs/>
          <w:sz w:val="24"/>
          <w:szCs w:val="24"/>
          <w:lang w:val="id-ID" w:eastAsia="id-ID"/>
        </w:rPr>
        <w:t>4</w:t>
      </w:r>
      <w:r>
        <w:rPr>
          <w:rFonts w:ascii="Bookman Old Style" w:hAnsi="Bookman Old Style" w:cs="Tahoma,Bold"/>
          <w:bCs/>
          <w:sz w:val="24"/>
          <w:szCs w:val="24"/>
          <w:lang w:val="id-ID" w:eastAsia="id-ID"/>
        </w:rPr>
        <w:t>.</w:t>
      </w:r>
      <w:r w:rsidRPr="00384529">
        <w:rPr>
          <w:rFonts w:ascii="Bookman Old Style" w:hAnsi="Bookman Old Style" w:cs="Tahoma,Bold"/>
          <w:bCs/>
          <w:sz w:val="24"/>
          <w:szCs w:val="24"/>
          <w:lang w:val="id-ID" w:eastAsia="id-ID"/>
        </w:rPr>
        <w:t>358</w:t>
      </w:r>
      <w:r>
        <w:rPr>
          <w:rFonts w:ascii="Bookman Old Style" w:hAnsi="Bookman Old Style" w:cs="Tahoma,Bold"/>
          <w:bCs/>
          <w:sz w:val="24"/>
          <w:szCs w:val="24"/>
          <w:lang w:val="id-ID" w:eastAsia="id-ID"/>
        </w:rPr>
        <w:t>.</w:t>
      </w:r>
      <w:r w:rsidRPr="00384529">
        <w:rPr>
          <w:rFonts w:ascii="Bookman Old Style" w:hAnsi="Bookman Old Style" w:cs="Tahoma,Bold"/>
          <w:bCs/>
          <w:sz w:val="24"/>
          <w:szCs w:val="24"/>
          <w:lang w:val="id-ID" w:eastAsia="id-ID"/>
        </w:rPr>
        <w:t>508</w:t>
      </w:r>
      <w:r>
        <w:rPr>
          <w:rFonts w:ascii="Bookman Old Style" w:hAnsi="Bookman Old Style" w:cs="Tahoma,Bold"/>
          <w:bCs/>
          <w:sz w:val="24"/>
          <w:szCs w:val="24"/>
          <w:lang w:val="id-ID" w:eastAsia="id-ID"/>
        </w:rPr>
        <w:t>.</w:t>
      </w:r>
      <w:r w:rsidRPr="00384529">
        <w:rPr>
          <w:rFonts w:ascii="Bookman Old Style" w:hAnsi="Bookman Old Style" w:cs="Tahoma,Bold"/>
          <w:bCs/>
          <w:sz w:val="24"/>
          <w:szCs w:val="24"/>
          <w:lang w:val="id-ID" w:eastAsia="id-ID"/>
        </w:rPr>
        <w:t>059</w:t>
      </w:r>
      <w:r>
        <w:rPr>
          <w:rFonts w:ascii="Bookman Old Style" w:hAnsi="Bookman Old Style" w:cs="Tahoma,Bold"/>
          <w:bCs/>
          <w:sz w:val="24"/>
          <w:szCs w:val="24"/>
          <w:lang w:val="id-ID" w:eastAsia="id-ID"/>
        </w:rPr>
        <w:t>,</w:t>
      </w:r>
      <w:r w:rsidRPr="00384529">
        <w:rPr>
          <w:rFonts w:ascii="Bookman Old Style" w:hAnsi="Bookman Old Style" w:cs="Tahoma,Bold"/>
          <w:bCs/>
          <w:sz w:val="24"/>
          <w:szCs w:val="24"/>
          <w:lang w:val="id-ID" w:eastAsia="id-ID"/>
        </w:rPr>
        <w:t>18</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sehingga</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terdapat</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selisih</w:t>
      </w:r>
      <w:r w:rsidR="00A954D0">
        <w:rPr>
          <w:rFonts w:ascii="Bookman Old Style" w:hAnsi="Bookman Old Style" w:cs="Tahoma,Bold"/>
          <w:bCs/>
          <w:sz w:val="24"/>
          <w:szCs w:val="24"/>
          <w:lang w:val="id-ID" w:eastAsia="id-ID"/>
        </w:rPr>
        <w:t xml:space="preserve"> </w:t>
      </w:r>
      <w:r>
        <w:rPr>
          <w:rFonts w:ascii="Bookman Old Style" w:hAnsi="Bookman Old Style" w:cs="Tahoma,Bold"/>
          <w:bCs/>
          <w:sz w:val="24"/>
          <w:szCs w:val="24"/>
          <w:lang w:val="id-ID" w:eastAsia="id-ID"/>
        </w:rPr>
        <w:t>lebih</w:t>
      </w:r>
      <w:r w:rsidR="00A954D0">
        <w:rPr>
          <w:rFonts w:ascii="Bookman Old Style" w:hAnsi="Bookman Old Style" w:cs="Tahoma,Bold"/>
          <w:bCs/>
          <w:sz w:val="24"/>
          <w:szCs w:val="24"/>
          <w:lang w:val="id-ID" w:eastAsia="id-ID"/>
        </w:rPr>
        <w:t xml:space="preserve"> </w:t>
      </w:r>
      <w:r w:rsidRPr="00727324">
        <w:rPr>
          <w:rFonts w:ascii="Bookman Old Style" w:hAnsi="Bookman Old Style" w:cs="Arial"/>
          <w:sz w:val="24"/>
          <w:szCs w:val="24"/>
          <w:lang w:val="id-ID"/>
        </w:rPr>
        <w:t>Rp</w:t>
      </w:r>
      <w:r w:rsidRPr="00384529">
        <w:rPr>
          <w:rFonts w:ascii="Bookman Old Style" w:hAnsi="Bookman Old Style" w:cs="Arial"/>
          <w:sz w:val="24"/>
          <w:szCs w:val="24"/>
          <w:lang w:val="id-ID"/>
        </w:rPr>
        <w:t>402</w:t>
      </w:r>
      <w:r>
        <w:rPr>
          <w:rFonts w:ascii="Bookman Old Style" w:hAnsi="Bookman Old Style" w:cs="Arial"/>
          <w:sz w:val="24"/>
          <w:szCs w:val="24"/>
          <w:lang w:val="id-ID"/>
        </w:rPr>
        <w:t>.</w:t>
      </w:r>
      <w:r w:rsidRPr="00384529">
        <w:rPr>
          <w:rFonts w:ascii="Bookman Old Style" w:hAnsi="Bookman Old Style" w:cs="Arial"/>
          <w:sz w:val="24"/>
          <w:szCs w:val="24"/>
          <w:lang w:val="id-ID"/>
        </w:rPr>
        <w:t>054</w:t>
      </w:r>
      <w:r>
        <w:rPr>
          <w:rFonts w:ascii="Bookman Old Style" w:hAnsi="Bookman Old Style" w:cs="Arial"/>
          <w:sz w:val="24"/>
          <w:szCs w:val="24"/>
          <w:lang w:val="id-ID"/>
        </w:rPr>
        <w:t>.</w:t>
      </w:r>
      <w:r w:rsidRPr="00384529">
        <w:rPr>
          <w:rFonts w:ascii="Bookman Old Style" w:hAnsi="Bookman Old Style" w:cs="Arial"/>
          <w:sz w:val="24"/>
          <w:szCs w:val="24"/>
          <w:lang w:val="id-ID"/>
        </w:rPr>
        <w:t>737</w:t>
      </w:r>
      <w:r>
        <w:rPr>
          <w:rFonts w:ascii="Bookman Old Style" w:hAnsi="Bookman Old Style" w:cs="Arial"/>
          <w:sz w:val="24"/>
          <w:szCs w:val="24"/>
          <w:lang w:val="id-ID"/>
        </w:rPr>
        <w:t>,</w:t>
      </w:r>
      <w:r w:rsidRPr="00384529">
        <w:rPr>
          <w:rFonts w:ascii="Bookman Old Style" w:hAnsi="Bookman Old Style" w:cs="Arial"/>
          <w:sz w:val="24"/>
          <w:szCs w:val="24"/>
          <w:lang w:val="id-ID"/>
        </w:rPr>
        <w:t>82</w:t>
      </w:r>
      <w:r w:rsidRPr="00727324">
        <w:rPr>
          <w:rFonts w:ascii="Bookman Old Style" w:hAnsi="Bookman Old Style" w:cs="Tahoma,Bold"/>
          <w:bCs/>
          <w:sz w:val="24"/>
          <w:szCs w:val="24"/>
          <w:lang w:val="fi-FI" w:eastAsia="id-ID"/>
        </w:rPr>
        <w:t>.</w:t>
      </w:r>
    </w:p>
    <w:p w14:paraId="667B616D" w14:textId="1A35A4D9" w:rsidR="005A4806" w:rsidRDefault="005A4806" w:rsidP="00AC44F5">
      <w:pPr>
        <w:spacing w:before="60" w:line="276" w:lineRule="auto"/>
        <w:ind w:left="3261"/>
        <w:jc w:val="both"/>
        <w:rPr>
          <w:rFonts w:ascii="Bookman Old Style" w:hAnsi="Bookman Old Style" w:cs="Arial"/>
          <w:lang w:val="id-ID"/>
        </w:rPr>
      </w:pPr>
      <w:r w:rsidRPr="00727324">
        <w:rPr>
          <w:rFonts w:ascii="Bookman Old Style" w:hAnsi="Bookman Old Style" w:cs="Tahoma,Bold"/>
          <w:bCs/>
          <w:lang w:val="id-ID" w:eastAsia="id-ID"/>
        </w:rPr>
        <w:t>Berkaitan</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dengan</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hal</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tersebut,</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Pemerintah</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Daerah</w:t>
      </w:r>
      <w:r w:rsidR="00A954D0">
        <w:rPr>
          <w:rFonts w:ascii="Bookman Old Style" w:hAnsi="Bookman Old Style" w:cs="Tahoma,Bold"/>
          <w:bCs/>
          <w:lang w:val="id-ID" w:eastAsia="id-ID"/>
        </w:rPr>
        <w:t xml:space="preserve"> </w:t>
      </w:r>
      <w:r>
        <w:rPr>
          <w:rFonts w:ascii="Bookman Old Style" w:hAnsi="Bookman Old Style" w:cs="Tahoma,Bold"/>
          <w:bCs/>
          <w:lang w:val="id-ID" w:eastAsia="id-ID"/>
        </w:rPr>
        <w:t>Kota</w:t>
      </w:r>
      <w:r w:rsidR="00A954D0">
        <w:rPr>
          <w:rFonts w:ascii="Bookman Old Style" w:hAnsi="Bookman Old Style" w:cs="Tahoma,Bold"/>
          <w:bCs/>
          <w:lang w:val="id-ID" w:eastAsia="id-ID"/>
        </w:rPr>
        <w:t xml:space="preserve"> </w:t>
      </w:r>
      <w:r>
        <w:rPr>
          <w:rFonts w:ascii="Bookman Old Style" w:hAnsi="Bookman Old Style"/>
          <w:lang w:val="fi-FI"/>
        </w:rPr>
        <w:t>Tangerang</w:t>
      </w:r>
      <w:r w:rsidR="00A954D0" w:rsidRPr="003255BC">
        <w:rPr>
          <w:rFonts w:ascii="Bookman Old Style" w:hAnsi="Bookman Old Style"/>
          <w:lang w:val="sv-FI"/>
        </w:rPr>
        <w:t xml:space="preserve"> </w:t>
      </w:r>
      <w:r w:rsidRPr="00727324">
        <w:rPr>
          <w:rFonts w:ascii="Bookman Old Style" w:hAnsi="Bookman Old Style" w:cs="Tahoma,Bold"/>
          <w:bCs/>
          <w:lang w:val="id-ID" w:eastAsia="id-ID"/>
        </w:rPr>
        <w:t>harus</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menyesuaikan</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besaran</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alokasi</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anggaran</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Iuran</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Jaminan</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Kecelakaan</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Kerja</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dan</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Iuran</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Jaminan</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Kematian</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bagi</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ASN</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sebagaimana</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maksud</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Pasal</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22</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ayat</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(1)</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Peraturan</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Pemerintah</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Nomor</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70</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Tahun</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2015</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tentang</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Jaminan</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Kecelakaan</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Kerja</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dan</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Jaminan</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Kematian</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Bagi</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Pegawai</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Aparatur</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Sipil</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Negara</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sebagaimana</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telah</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diubah</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dengan</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Peraturan</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Pemerintah</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Nomor</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66</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Tahun</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2017</w:t>
      </w:r>
      <w:r w:rsidR="00A954D0">
        <w:rPr>
          <w:rFonts w:ascii="Bookman Old Style" w:hAnsi="Bookman Old Style" w:cs="Tahoma,Bold"/>
          <w:bCs/>
          <w:lang w:val="id-ID" w:eastAsia="id-ID"/>
        </w:rPr>
        <w:t xml:space="preserve"> </w:t>
      </w:r>
      <w:r w:rsidRPr="00727324">
        <w:rPr>
          <w:rFonts w:ascii="Bookman Old Style" w:hAnsi="Bookman Old Style" w:cs="Tahoma,Bold"/>
          <w:bCs/>
          <w:lang w:val="id-ID" w:eastAsia="id-ID"/>
        </w:rPr>
        <w:t>tentang</w:t>
      </w:r>
      <w:r w:rsidR="00A954D0">
        <w:rPr>
          <w:rFonts w:ascii="Bookman Old Style" w:hAnsi="Bookman Old Style" w:cs="Tahoma,Bold"/>
          <w:bCs/>
          <w:lang w:val="id-ID" w:eastAsia="id-ID"/>
        </w:rPr>
        <w:t xml:space="preserve"> </w:t>
      </w:r>
      <w:r w:rsidRPr="00AC44F5">
        <w:rPr>
          <w:rFonts w:ascii="Bookman Old Style" w:hAnsi="Bookman Old Style" w:cs="Tahoma,Bold"/>
          <w:bCs/>
          <w:lang w:val="id-ID" w:eastAsia="id-ID"/>
        </w:rPr>
        <w:t>Perubahan</w:t>
      </w:r>
      <w:r w:rsidR="00A954D0" w:rsidRPr="00AC44F5">
        <w:rPr>
          <w:rFonts w:ascii="Bookman Old Style" w:hAnsi="Bookman Old Style" w:cs="Tahoma,Bold"/>
          <w:bCs/>
          <w:lang w:val="id-ID" w:eastAsia="id-ID"/>
        </w:rPr>
        <w:t xml:space="preserve"> </w:t>
      </w:r>
      <w:r w:rsidRPr="00AC44F5">
        <w:rPr>
          <w:rFonts w:ascii="Bookman Old Style" w:hAnsi="Bookman Old Style" w:cs="Tahoma,Bold"/>
          <w:bCs/>
          <w:lang w:val="id-ID" w:eastAsia="id-ID"/>
        </w:rPr>
        <w:t>atas</w:t>
      </w:r>
      <w:r w:rsidR="00A954D0" w:rsidRPr="00AC44F5">
        <w:rPr>
          <w:rFonts w:ascii="Bookman Old Style" w:hAnsi="Bookman Old Style" w:cs="Tahoma,Bold"/>
          <w:bCs/>
          <w:lang w:val="id-ID" w:eastAsia="id-ID"/>
        </w:rPr>
        <w:t xml:space="preserve"> </w:t>
      </w:r>
      <w:r w:rsidRPr="00AC44F5">
        <w:rPr>
          <w:rFonts w:ascii="Bookman Old Style" w:hAnsi="Bookman Old Style" w:cs="Tahoma,Bold"/>
          <w:bCs/>
          <w:lang w:val="id-ID" w:eastAsia="id-ID"/>
        </w:rPr>
        <w:t>Peraturan</w:t>
      </w:r>
      <w:r w:rsidR="00A954D0" w:rsidRPr="00AC44F5">
        <w:rPr>
          <w:rFonts w:ascii="Bookman Old Style" w:hAnsi="Bookman Old Style" w:cs="Tahoma,Bold"/>
          <w:bCs/>
          <w:lang w:val="id-ID" w:eastAsia="id-ID"/>
        </w:rPr>
        <w:t xml:space="preserve"> </w:t>
      </w:r>
      <w:r w:rsidRPr="00AC44F5">
        <w:rPr>
          <w:rFonts w:ascii="Bookman Old Style" w:hAnsi="Bookman Old Style" w:cs="Tahoma,Bold"/>
          <w:bCs/>
          <w:lang w:val="id-ID" w:eastAsia="id-ID"/>
        </w:rPr>
        <w:t>Pemerintah</w:t>
      </w:r>
      <w:r w:rsidR="00A954D0" w:rsidRPr="00AC44F5">
        <w:rPr>
          <w:rFonts w:ascii="Bookman Old Style" w:hAnsi="Bookman Old Style" w:cs="Tahoma,Bold"/>
          <w:bCs/>
          <w:lang w:val="id-ID" w:eastAsia="id-ID"/>
        </w:rPr>
        <w:t xml:space="preserve"> </w:t>
      </w:r>
      <w:r w:rsidRPr="00AC44F5">
        <w:rPr>
          <w:rFonts w:ascii="Bookman Old Style" w:hAnsi="Bookman Old Style" w:cs="Tahoma,Bold"/>
          <w:bCs/>
          <w:lang w:val="id-ID" w:eastAsia="id-ID"/>
        </w:rPr>
        <w:t>Nomor</w:t>
      </w:r>
      <w:r w:rsidR="00A954D0" w:rsidRPr="00AC44F5">
        <w:rPr>
          <w:rFonts w:ascii="Bookman Old Style" w:hAnsi="Bookman Old Style" w:cs="Tahoma,Bold"/>
          <w:bCs/>
          <w:lang w:val="id-ID" w:eastAsia="id-ID"/>
        </w:rPr>
        <w:t xml:space="preserve"> </w:t>
      </w:r>
      <w:r w:rsidRPr="00AC44F5">
        <w:rPr>
          <w:rFonts w:ascii="Bookman Old Style" w:hAnsi="Bookman Old Style" w:cs="Tahoma,Bold"/>
          <w:bCs/>
          <w:lang w:val="id-ID" w:eastAsia="id-ID"/>
        </w:rPr>
        <w:t>70</w:t>
      </w:r>
      <w:r w:rsidR="00A954D0" w:rsidRPr="00AC44F5">
        <w:rPr>
          <w:rFonts w:ascii="Bookman Old Style" w:hAnsi="Bookman Old Style" w:cs="Tahoma,Bold"/>
          <w:bCs/>
          <w:lang w:val="id-ID" w:eastAsia="id-ID"/>
        </w:rPr>
        <w:t xml:space="preserve"> </w:t>
      </w:r>
      <w:r w:rsidRPr="00AC44F5">
        <w:rPr>
          <w:rFonts w:ascii="Bookman Old Style" w:hAnsi="Bookman Old Style" w:cs="Tahoma,Bold"/>
          <w:bCs/>
          <w:lang w:val="id-ID" w:eastAsia="id-ID"/>
        </w:rPr>
        <w:t>Tahun</w:t>
      </w:r>
      <w:r w:rsidR="00A954D0" w:rsidRPr="00AC44F5">
        <w:rPr>
          <w:rFonts w:ascii="Bookman Old Style" w:hAnsi="Bookman Old Style" w:cs="Tahoma,Bold"/>
          <w:bCs/>
          <w:lang w:val="id-ID" w:eastAsia="id-ID"/>
        </w:rPr>
        <w:t xml:space="preserve"> </w:t>
      </w:r>
      <w:r w:rsidRPr="00AC44F5">
        <w:rPr>
          <w:rFonts w:ascii="Bookman Old Style" w:hAnsi="Bookman Old Style" w:cs="Tahoma,Bold"/>
          <w:bCs/>
          <w:lang w:val="id-ID" w:eastAsia="id-ID"/>
        </w:rPr>
        <w:t>2015</w:t>
      </w:r>
      <w:r w:rsidR="00A954D0" w:rsidRPr="00AC44F5">
        <w:rPr>
          <w:rFonts w:ascii="Bookman Old Style" w:hAnsi="Bookman Old Style" w:cs="Tahoma,Bold"/>
          <w:bCs/>
          <w:lang w:val="id-ID" w:eastAsia="id-ID"/>
        </w:rPr>
        <w:t xml:space="preserve"> </w:t>
      </w:r>
      <w:r w:rsidRPr="00AC44F5">
        <w:rPr>
          <w:rFonts w:ascii="Bookman Old Style" w:hAnsi="Bookman Old Style" w:cs="Tahoma,Bold"/>
          <w:bCs/>
          <w:lang w:val="id-ID" w:eastAsia="id-ID"/>
        </w:rPr>
        <w:t>tentang</w:t>
      </w:r>
      <w:r w:rsidR="00A954D0" w:rsidRPr="00AC44F5">
        <w:rPr>
          <w:rFonts w:ascii="Bookman Old Style" w:hAnsi="Bookman Old Style" w:cs="Tahoma,Bold"/>
          <w:bCs/>
          <w:lang w:val="id-ID" w:eastAsia="id-ID"/>
        </w:rPr>
        <w:t xml:space="preserve"> </w:t>
      </w:r>
      <w:r w:rsidRPr="00AC44F5">
        <w:rPr>
          <w:rFonts w:ascii="Bookman Old Style" w:hAnsi="Bookman Old Style" w:cs="Tahoma,Bold"/>
          <w:bCs/>
          <w:lang w:val="id-ID" w:eastAsia="id-ID"/>
        </w:rPr>
        <w:t>Jaminan</w:t>
      </w:r>
      <w:r w:rsidR="00A954D0" w:rsidRPr="00AC44F5">
        <w:rPr>
          <w:rFonts w:ascii="Bookman Old Style" w:hAnsi="Bookman Old Style" w:cs="Tahoma,Bold"/>
          <w:bCs/>
          <w:lang w:val="id-ID" w:eastAsia="id-ID"/>
        </w:rPr>
        <w:t xml:space="preserve"> </w:t>
      </w:r>
      <w:r w:rsidRPr="00AC44F5">
        <w:rPr>
          <w:rFonts w:ascii="Bookman Old Style" w:hAnsi="Bookman Old Style" w:cs="Tahoma,Bold"/>
          <w:bCs/>
          <w:lang w:val="id-ID" w:eastAsia="id-ID"/>
        </w:rPr>
        <w:t>Kecelakaan</w:t>
      </w:r>
      <w:r w:rsidR="00A954D0" w:rsidRPr="00AC44F5">
        <w:rPr>
          <w:rFonts w:ascii="Bookman Old Style" w:hAnsi="Bookman Old Style" w:cs="Tahoma,Bold"/>
          <w:bCs/>
          <w:lang w:val="id-ID" w:eastAsia="id-ID"/>
        </w:rPr>
        <w:t xml:space="preserve"> </w:t>
      </w:r>
      <w:r w:rsidRPr="00AC44F5">
        <w:rPr>
          <w:rFonts w:ascii="Bookman Old Style" w:hAnsi="Bookman Old Style" w:cs="Tahoma,Bold"/>
          <w:bCs/>
          <w:lang w:val="id-ID" w:eastAsia="id-ID"/>
        </w:rPr>
        <w:t>Kerja</w:t>
      </w:r>
      <w:r w:rsidR="00A954D0" w:rsidRPr="00AC44F5">
        <w:rPr>
          <w:rFonts w:ascii="Bookman Old Style" w:hAnsi="Bookman Old Style" w:cs="Tahoma,Bold"/>
          <w:bCs/>
          <w:lang w:val="id-ID" w:eastAsia="id-ID"/>
        </w:rPr>
        <w:t xml:space="preserve"> </w:t>
      </w:r>
      <w:r w:rsidRPr="00AC44F5">
        <w:rPr>
          <w:rFonts w:ascii="Bookman Old Style" w:hAnsi="Bookman Old Style" w:cs="Tahoma,Bold"/>
          <w:bCs/>
          <w:lang w:val="id-ID" w:eastAsia="id-ID"/>
        </w:rPr>
        <w:t>dan</w:t>
      </w:r>
      <w:r w:rsidR="00A954D0" w:rsidRPr="00AC44F5">
        <w:rPr>
          <w:rFonts w:ascii="Bookman Old Style" w:hAnsi="Bookman Old Style" w:cs="Tahoma,Bold"/>
          <w:bCs/>
          <w:lang w:val="id-ID" w:eastAsia="id-ID"/>
        </w:rPr>
        <w:t xml:space="preserve"> </w:t>
      </w:r>
      <w:r w:rsidRPr="00AC44F5">
        <w:rPr>
          <w:rFonts w:ascii="Bookman Old Style" w:hAnsi="Bookman Old Style" w:cs="Tahoma,Bold"/>
          <w:bCs/>
          <w:lang w:val="id-ID" w:eastAsia="id-ID"/>
        </w:rPr>
        <w:t>Jaminan</w:t>
      </w:r>
      <w:r w:rsidR="00A954D0" w:rsidRPr="00AC44F5">
        <w:rPr>
          <w:rFonts w:ascii="Bookman Old Style" w:hAnsi="Bookman Old Style" w:cs="Tahoma,Bold"/>
          <w:bCs/>
          <w:lang w:val="id-ID" w:eastAsia="id-ID"/>
        </w:rPr>
        <w:t xml:space="preserve"> </w:t>
      </w:r>
      <w:r w:rsidRPr="00AC44F5">
        <w:rPr>
          <w:rFonts w:ascii="Bookman Old Style" w:hAnsi="Bookman Old Style" w:cs="Tahoma,Bold"/>
          <w:bCs/>
          <w:lang w:val="id-ID" w:eastAsia="id-ID"/>
        </w:rPr>
        <w:t>Kematian</w:t>
      </w:r>
      <w:r w:rsidR="00A954D0" w:rsidRPr="00AC44F5">
        <w:rPr>
          <w:rFonts w:ascii="Bookman Old Style" w:hAnsi="Bookman Old Style" w:cs="Tahoma,Bold"/>
          <w:bCs/>
          <w:lang w:val="id-ID" w:eastAsia="id-ID"/>
        </w:rPr>
        <w:t xml:space="preserve"> </w:t>
      </w:r>
      <w:r w:rsidRPr="00AC44F5">
        <w:rPr>
          <w:rFonts w:ascii="Bookman Old Style" w:hAnsi="Bookman Old Style" w:cs="Tahoma,Bold"/>
          <w:bCs/>
          <w:lang w:val="id-ID" w:eastAsia="id-ID"/>
        </w:rPr>
        <w:t>Bagi</w:t>
      </w:r>
      <w:r w:rsidR="00A954D0" w:rsidRPr="00AC44F5">
        <w:rPr>
          <w:rFonts w:ascii="Bookman Old Style" w:hAnsi="Bookman Old Style" w:cs="Tahoma,Bold"/>
          <w:bCs/>
          <w:lang w:val="id-ID" w:eastAsia="id-ID"/>
        </w:rPr>
        <w:t xml:space="preserve"> </w:t>
      </w:r>
      <w:r w:rsidRPr="00AC44F5">
        <w:rPr>
          <w:rFonts w:ascii="Bookman Old Style" w:hAnsi="Bookman Old Style" w:cs="Tahoma,Bold"/>
          <w:bCs/>
          <w:lang w:val="id-ID" w:eastAsia="id-ID"/>
        </w:rPr>
        <w:t>Pegawai</w:t>
      </w:r>
      <w:r w:rsidR="00A954D0" w:rsidRPr="00AC44F5">
        <w:rPr>
          <w:rFonts w:ascii="Bookman Old Style" w:hAnsi="Bookman Old Style" w:cs="Tahoma,Bold"/>
          <w:bCs/>
          <w:lang w:val="id-ID" w:eastAsia="id-ID"/>
        </w:rPr>
        <w:t xml:space="preserve"> </w:t>
      </w:r>
      <w:r w:rsidRPr="00AC44F5">
        <w:rPr>
          <w:rFonts w:ascii="Bookman Old Style" w:hAnsi="Bookman Old Style" w:cs="Tahoma,Bold"/>
          <w:bCs/>
          <w:lang w:val="id-ID" w:eastAsia="id-ID"/>
        </w:rPr>
        <w:t>Aparatur</w:t>
      </w:r>
      <w:r w:rsidR="00A954D0" w:rsidRPr="00AC44F5">
        <w:rPr>
          <w:rFonts w:ascii="Bookman Old Style" w:hAnsi="Bookman Old Style" w:cs="Tahoma,Bold"/>
          <w:bCs/>
          <w:lang w:val="id-ID" w:eastAsia="id-ID"/>
        </w:rPr>
        <w:t xml:space="preserve"> </w:t>
      </w:r>
      <w:r w:rsidRPr="00AC44F5">
        <w:rPr>
          <w:rFonts w:ascii="Bookman Old Style" w:hAnsi="Bookman Old Style" w:cs="Tahoma,Bold"/>
          <w:bCs/>
          <w:lang w:val="id-ID" w:eastAsia="id-ID"/>
        </w:rPr>
        <w:t>Sipil</w:t>
      </w:r>
      <w:r w:rsidR="00A954D0" w:rsidRPr="00AC44F5">
        <w:rPr>
          <w:rFonts w:ascii="Bookman Old Style" w:hAnsi="Bookman Old Style" w:cs="Tahoma,Bold"/>
          <w:bCs/>
          <w:lang w:val="id-ID" w:eastAsia="id-ID"/>
        </w:rPr>
        <w:t xml:space="preserve"> </w:t>
      </w:r>
      <w:r w:rsidRPr="00AC44F5">
        <w:rPr>
          <w:rFonts w:ascii="Bookman Old Style" w:hAnsi="Bookman Old Style" w:cs="Tahoma,Bold"/>
          <w:bCs/>
          <w:lang w:val="id-ID" w:eastAsia="id-ID"/>
        </w:rPr>
        <w:t>Negara</w:t>
      </w:r>
      <w:r w:rsidR="00A954D0" w:rsidRPr="00AC44F5">
        <w:rPr>
          <w:rFonts w:ascii="Bookman Old Style" w:hAnsi="Bookman Old Style" w:cs="Tahoma,Bold"/>
          <w:bCs/>
          <w:lang w:val="id-ID" w:eastAsia="id-ID"/>
        </w:rPr>
        <w:t xml:space="preserve"> </w:t>
      </w:r>
      <w:r w:rsidRPr="00AC44F5">
        <w:rPr>
          <w:rFonts w:ascii="Bookman Old Style" w:hAnsi="Bookman Old Style" w:cs="Tahoma,Bold"/>
          <w:bCs/>
          <w:lang w:val="id-ID" w:eastAsia="id-ID"/>
        </w:rPr>
        <w:t>dan</w:t>
      </w:r>
      <w:r w:rsidR="00A954D0" w:rsidRPr="00AC44F5">
        <w:rPr>
          <w:rFonts w:ascii="Bookman Old Style" w:hAnsi="Bookman Old Style" w:cs="Tahoma,Bold"/>
          <w:bCs/>
          <w:lang w:val="id-ID" w:eastAsia="id-ID"/>
        </w:rPr>
        <w:t xml:space="preserve"> </w:t>
      </w:r>
      <w:r w:rsidRPr="00AC44F5">
        <w:rPr>
          <w:rFonts w:ascii="Bookman Old Style" w:hAnsi="Bookman Old Style" w:cs="Tahoma,Bold"/>
          <w:bCs/>
          <w:lang w:val="id-ID" w:eastAsia="id-ID"/>
        </w:rPr>
        <w:t>butir</w:t>
      </w:r>
      <w:r w:rsidR="00A954D0" w:rsidRPr="00AC44F5">
        <w:rPr>
          <w:rFonts w:ascii="Bookman Old Style" w:hAnsi="Bookman Old Style" w:cs="Tahoma,Bold"/>
          <w:bCs/>
          <w:lang w:val="id-ID" w:eastAsia="id-ID"/>
        </w:rPr>
        <w:t xml:space="preserve"> </w:t>
      </w:r>
      <w:r w:rsidRPr="00AC44F5">
        <w:rPr>
          <w:rFonts w:ascii="Bookman Old Style" w:hAnsi="Bookman Old Style" w:cs="Arial"/>
          <w:lang w:val="id-ID"/>
        </w:rPr>
        <w:t>3.4.1.1.1.g</w:t>
      </w:r>
      <w:r w:rsidR="00A954D0" w:rsidRPr="00AC44F5">
        <w:rPr>
          <w:rFonts w:ascii="Bookman Old Style" w:hAnsi="Bookman Old Style" w:cs="Tahoma,Bold"/>
          <w:bCs/>
          <w:lang w:val="id-ID" w:eastAsia="id-ID"/>
        </w:rPr>
        <w:t xml:space="preserve"> </w:t>
      </w:r>
      <w:r w:rsidRPr="00AC44F5">
        <w:rPr>
          <w:rFonts w:ascii="Bookman Old Style" w:hAnsi="Bookman Old Style" w:cs="Tahoma,Bold"/>
          <w:bCs/>
          <w:lang w:val="id-ID" w:eastAsia="id-ID"/>
        </w:rPr>
        <w:t>Lampiran</w:t>
      </w:r>
      <w:r w:rsidR="00A954D0" w:rsidRPr="00AC44F5">
        <w:rPr>
          <w:rFonts w:ascii="Bookman Old Style" w:hAnsi="Bookman Old Style" w:cs="Tahoma,Bold"/>
          <w:bCs/>
          <w:lang w:val="id-ID" w:eastAsia="id-ID"/>
        </w:rPr>
        <w:t xml:space="preserve"> </w:t>
      </w:r>
      <w:r w:rsidRPr="00AC44F5">
        <w:rPr>
          <w:rFonts w:ascii="Bookman Old Style" w:hAnsi="Bookman Old Style" w:cs="Tahoma,Bold"/>
          <w:bCs/>
          <w:lang w:val="id-ID" w:eastAsia="id-ID"/>
        </w:rPr>
        <w:t>Peraturan</w:t>
      </w:r>
      <w:r w:rsidR="00A954D0" w:rsidRPr="00AC44F5">
        <w:rPr>
          <w:rFonts w:ascii="Bookman Old Style" w:hAnsi="Bookman Old Style" w:cs="Tahoma,Bold"/>
          <w:bCs/>
          <w:lang w:val="id-ID" w:eastAsia="id-ID"/>
        </w:rPr>
        <w:t xml:space="preserve"> </w:t>
      </w:r>
      <w:r w:rsidRPr="00AC44F5">
        <w:rPr>
          <w:rFonts w:ascii="Bookman Old Style" w:hAnsi="Bookman Old Style" w:cs="Tahoma,Bold"/>
          <w:bCs/>
          <w:lang w:val="id-ID" w:eastAsia="id-ID"/>
        </w:rPr>
        <w:t>Menteri</w:t>
      </w:r>
      <w:r w:rsidR="00A954D0" w:rsidRPr="00AC44F5">
        <w:rPr>
          <w:rFonts w:ascii="Bookman Old Style" w:hAnsi="Bookman Old Style" w:cs="Tahoma,Bold"/>
          <w:bCs/>
          <w:lang w:val="id-ID" w:eastAsia="id-ID"/>
        </w:rPr>
        <w:t xml:space="preserve"> </w:t>
      </w:r>
      <w:r w:rsidRPr="00AC44F5">
        <w:rPr>
          <w:rFonts w:ascii="Bookman Old Style" w:hAnsi="Bookman Old Style" w:cs="Tahoma,Bold"/>
          <w:bCs/>
          <w:lang w:val="id-ID" w:eastAsia="id-ID"/>
        </w:rPr>
        <w:t>Dalam</w:t>
      </w:r>
      <w:r w:rsidR="00A954D0" w:rsidRPr="00AC44F5">
        <w:rPr>
          <w:rFonts w:ascii="Bookman Old Style" w:hAnsi="Bookman Old Style" w:cs="Tahoma,Bold"/>
          <w:bCs/>
          <w:lang w:val="id-ID" w:eastAsia="id-ID"/>
        </w:rPr>
        <w:t xml:space="preserve"> </w:t>
      </w:r>
      <w:r w:rsidRPr="00AC44F5">
        <w:rPr>
          <w:rFonts w:ascii="Bookman Old Style" w:hAnsi="Bookman Old Style" w:cs="Tahoma,Bold"/>
          <w:bCs/>
          <w:lang w:val="id-ID" w:eastAsia="id-ID"/>
        </w:rPr>
        <w:t>Negeri</w:t>
      </w:r>
      <w:r w:rsidR="00A954D0" w:rsidRPr="00AC44F5">
        <w:rPr>
          <w:rFonts w:ascii="Bookman Old Style" w:hAnsi="Bookman Old Style" w:cs="Tahoma,Bold"/>
          <w:bCs/>
          <w:lang w:val="id-ID" w:eastAsia="id-ID"/>
        </w:rPr>
        <w:t xml:space="preserve"> </w:t>
      </w:r>
      <w:r w:rsidRPr="00AC44F5">
        <w:rPr>
          <w:rFonts w:ascii="Bookman Old Style" w:hAnsi="Bookman Old Style" w:cs="Tahoma,Bold"/>
          <w:bCs/>
          <w:lang w:val="id-ID" w:eastAsia="id-ID"/>
        </w:rPr>
        <w:t>Nomor</w:t>
      </w:r>
      <w:r w:rsidR="00A954D0" w:rsidRPr="00AC44F5">
        <w:rPr>
          <w:rFonts w:ascii="Bookman Old Style" w:hAnsi="Bookman Old Style" w:cs="Tahoma,Bold"/>
          <w:bCs/>
          <w:lang w:val="id-ID" w:eastAsia="id-ID"/>
        </w:rPr>
        <w:t xml:space="preserve"> </w:t>
      </w:r>
      <w:r w:rsidRPr="00AC44F5">
        <w:rPr>
          <w:rFonts w:ascii="Bookman Old Style" w:hAnsi="Bookman Old Style" w:cs="Tahoma,Bold"/>
          <w:bCs/>
          <w:lang w:val="id-ID" w:eastAsia="id-ID"/>
        </w:rPr>
        <w:t>15</w:t>
      </w:r>
      <w:r w:rsidR="00A954D0" w:rsidRPr="00AC44F5">
        <w:rPr>
          <w:rFonts w:ascii="Bookman Old Style" w:hAnsi="Bookman Old Style" w:cs="Tahoma,Bold"/>
          <w:bCs/>
          <w:lang w:val="id-ID" w:eastAsia="id-ID"/>
        </w:rPr>
        <w:t xml:space="preserve"> </w:t>
      </w:r>
      <w:r w:rsidRPr="00AC44F5">
        <w:rPr>
          <w:rFonts w:ascii="Bookman Old Style" w:hAnsi="Bookman Old Style" w:cs="Tahoma,Bold"/>
          <w:bCs/>
          <w:lang w:val="id-ID" w:eastAsia="id-ID"/>
        </w:rPr>
        <w:t>Tahun</w:t>
      </w:r>
      <w:r w:rsidR="00A954D0" w:rsidRPr="00AC44F5">
        <w:rPr>
          <w:rFonts w:ascii="Bookman Old Style" w:hAnsi="Bookman Old Style" w:cs="Tahoma,Bold"/>
          <w:bCs/>
          <w:lang w:val="id-ID" w:eastAsia="id-ID"/>
        </w:rPr>
        <w:t xml:space="preserve"> </w:t>
      </w:r>
      <w:r w:rsidRPr="00AC44F5">
        <w:rPr>
          <w:rFonts w:ascii="Bookman Old Style" w:hAnsi="Bookman Old Style" w:cs="Tahoma,Bold"/>
          <w:bCs/>
          <w:lang w:val="id-ID" w:eastAsia="id-ID"/>
        </w:rPr>
        <w:t>2024</w:t>
      </w:r>
      <w:r w:rsidRPr="00AC44F5">
        <w:rPr>
          <w:rFonts w:ascii="Bookman Old Style" w:hAnsi="Bookman Old Style" w:cs="Arial"/>
          <w:lang w:val="id-ID"/>
        </w:rPr>
        <w:t>.</w:t>
      </w:r>
    </w:p>
    <w:p w14:paraId="1701E5F0" w14:textId="77777777" w:rsidR="00AC44F5" w:rsidRPr="00AC44F5" w:rsidRDefault="00AC44F5" w:rsidP="00AC44F5">
      <w:pPr>
        <w:spacing w:before="60" w:line="276" w:lineRule="auto"/>
        <w:ind w:left="3261"/>
        <w:jc w:val="both"/>
        <w:rPr>
          <w:rFonts w:ascii="Bookman Old Style" w:hAnsi="Bookman Old Style" w:cs="Tahoma,Bold"/>
          <w:bCs/>
          <w:lang w:val="id-ID" w:eastAsia="id-ID"/>
        </w:rPr>
      </w:pPr>
    </w:p>
    <w:p w14:paraId="26557C79" w14:textId="35EF5153" w:rsidR="005A4806" w:rsidRPr="00727324" w:rsidRDefault="005A4806" w:rsidP="00AC44F5">
      <w:pPr>
        <w:pStyle w:val="ListParagraph"/>
        <w:numPr>
          <w:ilvl w:val="0"/>
          <w:numId w:val="51"/>
        </w:numPr>
        <w:spacing w:before="60" w:after="0" w:line="276" w:lineRule="auto"/>
        <w:ind w:left="3261" w:hanging="284"/>
        <w:contextualSpacing w:val="0"/>
        <w:jc w:val="both"/>
        <w:rPr>
          <w:rFonts w:ascii="Bookman Old Style" w:hAnsi="Bookman Old Style"/>
          <w:sz w:val="24"/>
          <w:szCs w:val="24"/>
        </w:rPr>
      </w:pPr>
      <w:r w:rsidRPr="00AC44F5">
        <w:rPr>
          <w:rFonts w:ascii="Bookman Old Style" w:hAnsi="Bookman Old Style"/>
          <w:sz w:val="24"/>
          <w:szCs w:val="24"/>
        </w:rPr>
        <w:lastRenderedPageBreak/>
        <w:t>Belanja</w:t>
      </w:r>
      <w:r w:rsidR="00A954D0" w:rsidRPr="00AC44F5">
        <w:rPr>
          <w:rFonts w:ascii="Bookman Old Style" w:hAnsi="Bookman Old Style"/>
          <w:sz w:val="24"/>
          <w:szCs w:val="24"/>
        </w:rPr>
        <w:t xml:space="preserve"> </w:t>
      </w:r>
      <w:r w:rsidRPr="00AC44F5">
        <w:rPr>
          <w:rFonts w:ascii="Bookman Old Style" w:hAnsi="Bookman Old Style"/>
          <w:sz w:val="24"/>
          <w:szCs w:val="24"/>
        </w:rPr>
        <w:t>Iuran</w:t>
      </w:r>
      <w:r w:rsidR="00A954D0" w:rsidRPr="00AC44F5">
        <w:rPr>
          <w:rFonts w:ascii="Bookman Old Style" w:hAnsi="Bookman Old Style"/>
          <w:sz w:val="24"/>
          <w:szCs w:val="24"/>
        </w:rPr>
        <w:t xml:space="preserve"> </w:t>
      </w:r>
      <w:r w:rsidRPr="00AC44F5">
        <w:rPr>
          <w:rFonts w:ascii="Bookman Old Style" w:hAnsi="Bookman Old Style"/>
          <w:sz w:val="24"/>
          <w:szCs w:val="24"/>
        </w:rPr>
        <w:t>Jaminan</w:t>
      </w:r>
      <w:r w:rsidR="00A954D0" w:rsidRPr="00AC44F5">
        <w:rPr>
          <w:rFonts w:ascii="Bookman Old Style" w:hAnsi="Bookman Old Style"/>
          <w:sz w:val="24"/>
          <w:szCs w:val="24"/>
        </w:rPr>
        <w:t xml:space="preserve"> </w:t>
      </w:r>
      <w:r w:rsidRPr="00AC44F5">
        <w:rPr>
          <w:rFonts w:ascii="Bookman Old Style" w:hAnsi="Bookman Old Style"/>
          <w:sz w:val="24"/>
          <w:szCs w:val="24"/>
        </w:rPr>
        <w:t>Kecelakaan</w:t>
      </w:r>
      <w:r w:rsidR="00A954D0" w:rsidRPr="00AC44F5">
        <w:rPr>
          <w:rFonts w:ascii="Bookman Old Style" w:hAnsi="Bookman Old Style"/>
          <w:sz w:val="24"/>
          <w:szCs w:val="24"/>
        </w:rPr>
        <w:t xml:space="preserve"> </w:t>
      </w:r>
      <w:r w:rsidRPr="00727324">
        <w:rPr>
          <w:rFonts w:ascii="Bookman Old Style" w:hAnsi="Bookman Old Style"/>
          <w:sz w:val="24"/>
          <w:szCs w:val="24"/>
        </w:rPr>
        <w:t>Kerja</w:t>
      </w:r>
      <w:r w:rsidR="00A954D0">
        <w:rPr>
          <w:rFonts w:ascii="Bookman Old Style" w:hAnsi="Bookman Old Style"/>
          <w:sz w:val="24"/>
          <w:szCs w:val="24"/>
        </w:rPr>
        <w:t xml:space="preserve"> </w:t>
      </w:r>
      <w:r w:rsidRPr="00727324">
        <w:rPr>
          <w:rFonts w:ascii="Bookman Old Style" w:hAnsi="Bookman Old Style"/>
          <w:sz w:val="24"/>
          <w:szCs w:val="24"/>
        </w:rPr>
        <w:t>dan</w:t>
      </w:r>
      <w:r w:rsidR="00A954D0">
        <w:rPr>
          <w:rFonts w:ascii="Bookman Old Style" w:hAnsi="Bookman Old Style"/>
          <w:sz w:val="24"/>
          <w:szCs w:val="24"/>
        </w:rPr>
        <w:t xml:space="preserve"> </w:t>
      </w:r>
      <w:r w:rsidRPr="00727324">
        <w:rPr>
          <w:rFonts w:ascii="Bookman Old Style" w:hAnsi="Bookman Old Style" w:cs="Tahoma,Bold"/>
          <w:bCs/>
          <w:sz w:val="24"/>
          <w:szCs w:val="24"/>
          <w:lang w:val="id-ID" w:eastAsia="id-ID"/>
        </w:rPr>
        <w:t>Jaminan</w:t>
      </w:r>
      <w:r w:rsidR="00A954D0">
        <w:rPr>
          <w:rFonts w:ascii="Bookman Old Style" w:hAnsi="Bookman Old Style"/>
          <w:sz w:val="24"/>
          <w:szCs w:val="24"/>
        </w:rPr>
        <w:t xml:space="preserve"> </w:t>
      </w:r>
      <w:r w:rsidRPr="00727324">
        <w:rPr>
          <w:rFonts w:ascii="Bookman Old Style" w:hAnsi="Bookman Old Style"/>
          <w:sz w:val="24"/>
          <w:szCs w:val="24"/>
        </w:rPr>
        <w:t>Kematian</w:t>
      </w:r>
      <w:r w:rsidR="00A954D0">
        <w:rPr>
          <w:rFonts w:ascii="Bookman Old Style" w:hAnsi="Bookman Old Style"/>
          <w:sz w:val="24"/>
          <w:szCs w:val="24"/>
        </w:rPr>
        <w:t xml:space="preserve"> </w:t>
      </w:r>
      <w:r w:rsidRPr="00727324">
        <w:rPr>
          <w:rFonts w:ascii="Bookman Old Style" w:hAnsi="Bookman Old Style"/>
          <w:sz w:val="24"/>
          <w:szCs w:val="24"/>
        </w:rPr>
        <w:t>yang</w:t>
      </w:r>
      <w:r w:rsidR="00A954D0">
        <w:rPr>
          <w:rFonts w:ascii="Bookman Old Style" w:hAnsi="Bookman Old Style"/>
          <w:sz w:val="24"/>
          <w:szCs w:val="24"/>
        </w:rPr>
        <w:t xml:space="preserve"> </w:t>
      </w:r>
      <w:r w:rsidRPr="00727324">
        <w:rPr>
          <w:rFonts w:ascii="Bookman Old Style" w:hAnsi="Bookman Old Style"/>
          <w:sz w:val="24"/>
          <w:szCs w:val="24"/>
        </w:rPr>
        <w:t>diperuntuk</w:t>
      </w:r>
      <w:r w:rsidRPr="00727324">
        <w:rPr>
          <w:rFonts w:ascii="Bookman Old Style" w:hAnsi="Bookman Old Style"/>
          <w:sz w:val="24"/>
          <w:szCs w:val="24"/>
          <w:lang w:val="id-ID"/>
        </w:rPr>
        <w:t>k</w:t>
      </w:r>
      <w:r w:rsidRPr="00727324">
        <w:rPr>
          <w:rFonts w:ascii="Bookman Old Style" w:hAnsi="Bookman Old Style"/>
          <w:sz w:val="24"/>
          <w:szCs w:val="24"/>
        </w:rPr>
        <w:t>an</w:t>
      </w:r>
      <w:r w:rsidR="00A954D0">
        <w:rPr>
          <w:rFonts w:ascii="Bookman Old Style" w:hAnsi="Bookman Old Style"/>
          <w:sz w:val="24"/>
          <w:szCs w:val="24"/>
        </w:rPr>
        <w:t xml:space="preserve"> </w:t>
      </w:r>
      <w:r w:rsidRPr="00727324">
        <w:rPr>
          <w:rFonts w:ascii="Bookman Old Style" w:hAnsi="Bookman Old Style"/>
          <w:sz w:val="24"/>
          <w:szCs w:val="24"/>
          <w:lang w:val="id-ID"/>
        </w:rPr>
        <w:t>bagi</w:t>
      </w:r>
      <w:r w:rsidR="00A954D0">
        <w:rPr>
          <w:rFonts w:ascii="Bookman Old Style" w:hAnsi="Bookman Old Style"/>
          <w:sz w:val="24"/>
          <w:szCs w:val="24"/>
          <w:lang w:val="id-ID"/>
        </w:rPr>
        <w:t xml:space="preserve"> </w:t>
      </w:r>
      <w:r w:rsidRPr="00727324">
        <w:rPr>
          <w:rFonts w:ascii="Bookman Old Style" w:hAnsi="Bookman Old Style" w:cs="Tahoma,Bold"/>
          <w:bCs/>
          <w:sz w:val="24"/>
          <w:szCs w:val="24"/>
          <w:lang w:val="id-ID" w:eastAsia="id-ID"/>
        </w:rPr>
        <w:t>Pimpinan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dan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Anggota</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DPRD</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dalam</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Rancangan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Peraturan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Daerah</w:t>
      </w:r>
      <w:r w:rsidR="00A954D0">
        <w:rPr>
          <w:rFonts w:ascii="Bookman Old Style" w:hAnsi="Bookman Old Style"/>
          <w:sz w:val="24"/>
          <w:szCs w:val="24"/>
          <w:lang w:val="id-ID"/>
        </w:rPr>
        <w:t xml:space="preserve"> </w:t>
      </w:r>
      <w:r>
        <w:rPr>
          <w:rFonts w:ascii="Bookman Old Style" w:hAnsi="Bookman Old Style"/>
          <w:sz w:val="24"/>
          <w:szCs w:val="24"/>
          <w:lang w:val="fi-FI"/>
        </w:rPr>
        <w:t>Tangerang</w:t>
      </w:r>
      <w:r w:rsidR="00A954D0">
        <w:rPr>
          <w:rFonts w:ascii="Bookman Old Style" w:hAnsi="Bookman Old Style"/>
          <w:sz w:val="24"/>
          <w:szCs w:val="24"/>
        </w:rPr>
        <w:t xml:space="preserve"> </w:t>
      </w:r>
      <w:r w:rsidRPr="00727324">
        <w:rPr>
          <w:rFonts w:ascii="Bookman Old Style" w:hAnsi="Bookman Old Style" w:cs="Tahoma,Bold"/>
          <w:bCs/>
          <w:sz w:val="24"/>
          <w:szCs w:val="24"/>
          <w:lang w:val="id-ID" w:eastAsia="id-ID"/>
        </w:rPr>
        <w:t>tentang</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APBD</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Tahun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Anggaran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2025</w:t>
      </w:r>
      <w:r w:rsidRPr="00727324">
        <w:rPr>
          <w:rFonts w:ascii="Bookman Old Style" w:hAnsi="Bookman Old Style"/>
          <w:sz w:val="24"/>
          <w:szCs w:val="24"/>
        </w:rPr>
        <w:t>,</w:t>
      </w:r>
      <w:r w:rsidR="00A954D0">
        <w:rPr>
          <w:rFonts w:ascii="Bookman Old Style" w:hAnsi="Bookman Old Style"/>
          <w:sz w:val="24"/>
          <w:szCs w:val="24"/>
        </w:rPr>
        <w:t xml:space="preserve"> </w:t>
      </w:r>
      <w:r w:rsidRPr="00727324">
        <w:rPr>
          <w:rFonts w:ascii="Bookman Old Style" w:hAnsi="Bookman Old Style"/>
          <w:sz w:val="24"/>
          <w:szCs w:val="24"/>
        </w:rPr>
        <w:t>diuraikan</w:t>
      </w:r>
      <w:r w:rsidR="00A954D0">
        <w:rPr>
          <w:rFonts w:ascii="Bookman Old Style" w:hAnsi="Bookman Old Style"/>
          <w:sz w:val="24"/>
          <w:szCs w:val="24"/>
        </w:rPr>
        <w:t xml:space="preserve"> </w:t>
      </w:r>
      <w:r w:rsidRPr="00727324">
        <w:rPr>
          <w:rFonts w:ascii="Bookman Old Style" w:hAnsi="Bookman Old Style"/>
          <w:sz w:val="24"/>
          <w:szCs w:val="24"/>
        </w:rPr>
        <w:t>pada:</w:t>
      </w:r>
    </w:p>
    <w:p w14:paraId="3894FAAF" w14:textId="449D28B3" w:rsidR="005A4806" w:rsidRPr="00D24DAF" w:rsidRDefault="005A4806" w:rsidP="00AC44F5">
      <w:pPr>
        <w:pStyle w:val="ListParagraph"/>
        <w:numPr>
          <w:ilvl w:val="0"/>
          <w:numId w:val="54"/>
        </w:numPr>
        <w:spacing w:before="60" w:after="0" w:line="276" w:lineRule="auto"/>
        <w:ind w:left="3686" w:hanging="425"/>
        <w:contextualSpacing w:val="0"/>
        <w:jc w:val="both"/>
        <w:rPr>
          <w:rFonts w:ascii="Bookman Old Style" w:hAnsi="Bookman Old Style" w:cs="Tahoma,Bold"/>
          <w:bCs/>
          <w:sz w:val="24"/>
          <w:szCs w:val="24"/>
          <w:lang w:val="id-ID" w:eastAsia="id-ID"/>
        </w:rPr>
      </w:pPr>
      <w:r w:rsidRPr="00727324">
        <w:rPr>
          <w:rFonts w:ascii="Bookman Old Style" w:hAnsi="Bookman Old Style" w:cs="Tahoma,Bold"/>
          <w:bCs/>
          <w:sz w:val="24"/>
          <w:szCs w:val="24"/>
          <w:lang w:val="id-ID" w:eastAsia="id-ID"/>
        </w:rPr>
        <w:t>Belanja</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Jaminan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Kecelakaan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Kerja</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DPRD</w:t>
      </w:r>
      <w:r w:rsidR="00A954D0">
        <w:rPr>
          <w:rFonts w:ascii="Bookman Old Style" w:hAnsi="Bookman Old Style" w:cs="Tahoma,Bold"/>
          <w:bCs/>
          <w:sz w:val="24"/>
          <w:szCs w:val="24"/>
          <w:lang w:val="id-ID" w:eastAsia="id-ID"/>
        </w:rPr>
        <w:t xml:space="preserve"> </w:t>
      </w:r>
      <w:r w:rsidRPr="00D24DAF">
        <w:rPr>
          <w:rFonts w:ascii="Bookman Old Style" w:hAnsi="Bookman Old Style" w:cs="Arial"/>
          <w:lang w:val="sv-FI"/>
        </w:rPr>
        <w:t>Rp</w:t>
      </w:r>
      <w:r w:rsidRPr="00384529">
        <w:rPr>
          <w:rFonts w:ascii="Bookman Old Style" w:hAnsi="Bookman Old Style" w:cs="Arial"/>
          <w:lang w:val="sv-FI"/>
        </w:rPr>
        <w:t>2</w:t>
      </w:r>
      <w:r>
        <w:rPr>
          <w:rFonts w:ascii="Bookman Old Style" w:hAnsi="Bookman Old Style" w:cs="Arial"/>
          <w:lang w:val="sv-FI"/>
        </w:rPr>
        <w:t>.</w:t>
      </w:r>
      <w:r w:rsidRPr="00384529">
        <w:rPr>
          <w:rFonts w:ascii="Bookman Old Style" w:hAnsi="Bookman Old Style" w:cs="Arial"/>
          <w:lang w:val="sv-FI"/>
        </w:rPr>
        <w:t>674</w:t>
      </w:r>
      <w:r>
        <w:rPr>
          <w:rFonts w:ascii="Bookman Old Style" w:hAnsi="Bookman Old Style" w:cs="Arial"/>
          <w:lang w:val="sv-FI"/>
        </w:rPr>
        <w:t>.</w:t>
      </w:r>
      <w:r w:rsidRPr="00384529">
        <w:rPr>
          <w:rFonts w:ascii="Bookman Old Style" w:hAnsi="Bookman Old Style" w:cs="Arial"/>
          <w:lang w:val="sv-FI"/>
        </w:rPr>
        <w:t>224</w:t>
      </w:r>
      <w:r>
        <w:rPr>
          <w:rFonts w:ascii="Bookman Old Style" w:hAnsi="Bookman Old Style" w:cs="Arial"/>
          <w:lang w:val="sv-FI"/>
        </w:rPr>
        <w:t>,</w:t>
      </w:r>
      <w:r w:rsidRPr="00384529">
        <w:rPr>
          <w:rFonts w:ascii="Bookman Old Style" w:hAnsi="Bookman Old Style" w:cs="Arial"/>
          <w:lang w:val="sv-FI"/>
        </w:rPr>
        <w:t>00</w:t>
      </w:r>
      <w:r w:rsidRPr="00D24DAF">
        <w:rPr>
          <w:rFonts w:ascii="Bookman Old Style" w:hAnsi="Bookman Old Style" w:cs="Tahoma,Bold"/>
          <w:bCs/>
          <w:lang w:val="id-ID" w:eastAsia="id-ID"/>
        </w:rPr>
        <w:t>;</w:t>
      </w:r>
    </w:p>
    <w:p w14:paraId="4661E56A" w14:textId="426932C6" w:rsidR="005A4806" w:rsidRPr="00542165" w:rsidRDefault="005A4806" w:rsidP="00AC44F5">
      <w:pPr>
        <w:pStyle w:val="ListParagraph"/>
        <w:numPr>
          <w:ilvl w:val="0"/>
          <w:numId w:val="54"/>
        </w:numPr>
        <w:spacing w:before="60" w:after="0" w:line="276" w:lineRule="auto"/>
        <w:ind w:left="3686" w:hanging="425"/>
        <w:contextualSpacing w:val="0"/>
        <w:jc w:val="both"/>
        <w:rPr>
          <w:rFonts w:ascii="Bookman Old Style" w:hAnsi="Bookman Old Style" w:cs="Tahoma,Bold"/>
          <w:bCs/>
          <w:sz w:val="24"/>
          <w:szCs w:val="24"/>
          <w:lang w:val="id-ID" w:eastAsia="id-ID"/>
        </w:rPr>
      </w:pPr>
      <w:r w:rsidRPr="00727324">
        <w:rPr>
          <w:rFonts w:ascii="Bookman Old Style" w:hAnsi="Bookman Old Style" w:cs="Tahoma,Bold"/>
          <w:bCs/>
          <w:sz w:val="24"/>
          <w:szCs w:val="24"/>
          <w:lang w:val="id-ID" w:eastAsia="id-ID"/>
        </w:rPr>
        <w:t>Belanja</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Jaminan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Kematian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DPRD</w:t>
      </w:r>
      <w:r w:rsidR="00A954D0">
        <w:rPr>
          <w:rFonts w:ascii="Bookman Old Style" w:hAnsi="Bookman Old Style" w:cs="Tahoma,Bold"/>
          <w:bCs/>
          <w:sz w:val="24"/>
          <w:szCs w:val="24"/>
          <w:lang w:val="id-ID" w:eastAsia="id-ID"/>
        </w:rPr>
        <w:t xml:space="preserve"> </w:t>
      </w:r>
      <w:r w:rsidRPr="00727324">
        <w:rPr>
          <w:rFonts w:ascii="Bookman Old Style" w:hAnsi="Bookman Old Style" w:cs="Arial"/>
          <w:sz w:val="24"/>
          <w:szCs w:val="24"/>
          <w:lang w:val="sv-FI"/>
        </w:rPr>
        <w:t>Rp</w:t>
      </w:r>
      <w:r w:rsidRPr="00384529">
        <w:rPr>
          <w:rFonts w:ascii="Bookman Old Style" w:hAnsi="Bookman Old Style" w:cs="Arial"/>
          <w:sz w:val="24"/>
          <w:szCs w:val="24"/>
          <w:lang w:val="sv-FI"/>
        </w:rPr>
        <w:t>8</w:t>
      </w:r>
      <w:r>
        <w:rPr>
          <w:rFonts w:ascii="Bookman Old Style" w:hAnsi="Bookman Old Style" w:cs="Arial"/>
          <w:sz w:val="24"/>
          <w:szCs w:val="24"/>
          <w:lang w:val="sv-FI"/>
        </w:rPr>
        <w:t>.</w:t>
      </w:r>
      <w:r w:rsidRPr="00384529">
        <w:rPr>
          <w:rFonts w:ascii="Bookman Old Style" w:hAnsi="Bookman Old Style" w:cs="Arial"/>
          <w:sz w:val="24"/>
          <w:szCs w:val="24"/>
          <w:lang w:val="sv-FI"/>
        </w:rPr>
        <w:t>022</w:t>
      </w:r>
      <w:r>
        <w:rPr>
          <w:rFonts w:ascii="Bookman Old Style" w:hAnsi="Bookman Old Style" w:cs="Arial"/>
          <w:sz w:val="24"/>
          <w:szCs w:val="24"/>
          <w:lang w:val="sv-FI"/>
        </w:rPr>
        <w:t>.</w:t>
      </w:r>
      <w:r w:rsidRPr="00384529">
        <w:rPr>
          <w:rFonts w:ascii="Bookman Old Style" w:hAnsi="Bookman Old Style" w:cs="Arial"/>
          <w:sz w:val="24"/>
          <w:szCs w:val="24"/>
          <w:lang w:val="sv-FI"/>
        </w:rPr>
        <w:t>672</w:t>
      </w:r>
      <w:r w:rsidRPr="00727324">
        <w:rPr>
          <w:rFonts w:ascii="Bookman Old Style" w:hAnsi="Bookman Old Style" w:cs="Arial"/>
          <w:sz w:val="24"/>
          <w:szCs w:val="24"/>
          <w:lang w:val="sv-FI"/>
        </w:rPr>
        <w:t>,00.</w:t>
      </w:r>
    </w:p>
    <w:p w14:paraId="1B26EF1A" w14:textId="5E70832A" w:rsidR="005A4806" w:rsidRPr="00384529" w:rsidRDefault="004959ED" w:rsidP="00AC44F5">
      <w:pPr>
        <w:pStyle w:val="ListParagraph"/>
        <w:spacing w:before="60" w:line="276" w:lineRule="auto"/>
        <w:ind w:left="3261"/>
        <w:jc w:val="both"/>
        <w:rPr>
          <w:rFonts w:ascii="Bookman Old Style" w:hAnsi="Bookman Old Style" w:cs="Tahoma,Bold"/>
          <w:bCs/>
          <w:sz w:val="24"/>
          <w:szCs w:val="24"/>
          <w:lang w:val="id-ID" w:eastAsia="id-ID"/>
        </w:rPr>
      </w:pPr>
      <w:r>
        <w:rPr>
          <w:rFonts w:ascii="Bookman Old Style" w:hAnsi="Bookman Old Style" w:cs="Tahoma,Bold"/>
          <w:b/>
          <w:sz w:val="24"/>
          <w:szCs w:val="24"/>
          <w:lang w:val="id-ID" w:eastAsia="id-ID"/>
        </w:rPr>
        <w:t>Telah</w:t>
      </w:r>
      <w:r w:rsidR="00A954D0">
        <w:rPr>
          <w:rFonts w:ascii="Bookman Old Style" w:hAnsi="Bookman Old Style" w:cs="Tahoma,Bold"/>
          <w:b/>
          <w:sz w:val="24"/>
          <w:szCs w:val="24"/>
          <w:lang w:val="id-ID" w:eastAsia="id-ID"/>
        </w:rPr>
        <w:t xml:space="preserve"> </w:t>
      </w:r>
      <w:r w:rsidR="005A4806" w:rsidRPr="00384529">
        <w:rPr>
          <w:rFonts w:ascii="Bookman Old Style" w:hAnsi="Bookman Old Style" w:cs="Tahoma,Bold"/>
          <w:b/>
          <w:sz w:val="24"/>
          <w:szCs w:val="24"/>
          <w:lang w:val="id-ID" w:eastAsia="id-ID"/>
        </w:rPr>
        <w:t>memenuhi</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besaran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alokasi</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Belanja</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Iuran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Jaminan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Kecelakaan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Kerja</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dan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Jaminan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Kematian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yang</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diperuntukan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bagi</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DPRD</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sebagaimana</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diamanatkan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dalam</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Undang-Undang</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Nomor</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40</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Tahun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2004,</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Undang-Undang</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Nomor</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24</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Tahun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2011,</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Peraturan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Pemerintah</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Nomor</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18</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Tahun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2017</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tentang</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Hak</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Keuangan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dan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Administratif</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Pimpinan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dan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Anggota</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Dewan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Perwakilan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Rakyat</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Daerah</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sebagaimana</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telah</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diubah</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dengan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Peraturan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Pemerintah</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Nomor</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1</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Tahun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2023</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tentang</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Perubahan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atas</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Peraturan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Pemerintah</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Nomor</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18</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Tahun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2017</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tentang</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Hak</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Keuangan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dan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Administratif</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Pimpinan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dan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Anggota</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Dewan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Perwakilan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Rakyat</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Daerah,</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Peraturan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Presiden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Nomor</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82</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Tahun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2018</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sebagaimana</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telah</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diubah</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dengan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Peraturan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Presiden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Nomor</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64</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Tahun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2020,</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Peraturan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Pemerintah</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Nomor</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70</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Tahun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2015,</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sebagaimana</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telah</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diubah</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dengan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Peraturan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Pemerintah</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Nomor</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66</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Tahun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2017,</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dan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butir</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Arial"/>
          <w:sz w:val="24"/>
          <w:szCs w:val="24"/>
          <w:lang w:val="id-ID"/>
        </w:rPr>
        <w:t>3.4.1.1.1.g</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Lampiran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Peraturan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Menteri</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Dalam</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Negeri</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Nomor</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15</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Tahun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2024.</w:t>
      </w:r>
      <w:r w:rsidR="00A954D0">
        <w:rPr>
          <w:rFonts w:ascii="Bookman Old Style" w:hAnsi="Bookman Old Style" w:cs="Tahoma,Bold"/>
          <w:bCs/>
          <w:sz w:val="24"/>
          <w:szCs w:val="24"/>
          <w:lang w:val="id-ID" w:eastAsia="id-ID"/>
        </w:rPr>
        <w:t xml:space="preserve"> </w:t>
      </w:r>
    </w:p>
    <w:p w14:paraId="3FAF86AC" w14:textId="046D8CC0" w:rsidR="005A4806" w:rsidRPr="00727324" w:rsidRDefault="005A4806" w:rsidP="00AC44F5">
      <w:pPr>
        <w:pStyle w:val="ListParagraph"/>
        <w:numPr>
          <w:ilvl w:val="0"/>
          <w:numId w:val="51"/>
        </w:numPr>
        <w:spacing w:before="60" w:after="0" w:line="276" w:lineRule="auto"/>
        <w:ind w:left="3261" w:hanging="284"/>
        <w:contextualSpacing w:val="0"/>
        <w:jc w:val="both"/>
        <w:rPr>
          <w:rFonts w:ascii="Bookman Old Style" w:hAnsi="Bookman Old Style"/>
          <w:sz w:val="24"/>
          <w:szCs w:val="24"/>
        </w:rPr>
      </w:pPr>
      <w:r w:rsidRPr="00727324">
        <w:rPr>
          <w:rFonts w:ascii="Bookman Old Style" w:hAnsi="Bookman Old Style"/>
          <w:sz w:val="24"/>
          <w:szCs w:val="24"/>
        </w:rPr>
        <w:t>Belanja</w:t>
      </w:r>
      <w:r w:rsidR="00A954D0">
        <w:rPr>
          <w:rFonts w:ascii="Bookman Old Style" w:hAnsi="Bookman Old Style"/>
          <w:sz w:val="24"/>
          <w:szCs w:val="24"/>
        </w:rPr>
        <w:t xml:space="preserve"> </w:t>
      </w:r>
      <w:r w:rsidRPr="00727324">
        <w:rPr>
          <w:rFonts w:ascii="Bookman Old Style" w:hAnsi="Bookman Old Style"/>
          <w:sz w:val="24"/>
          <w:szCs w:val="24"/>
        </w:rPr>
        <w:t>Iuran</w:t>
      </w:r>
      <w:r w:rsidR="00A954D0">
        <w:rPr>
          <w:rFonts w:ascii="Bookman Old Style" w:hAnsi="Bookman Old Style"/>
          <w:sz w:val="24"/>
          <w:szCs w:val="24"/>
        </w:rPr>
        <w:t xml:space="preserve"> </w:t>
      </w:r>
      <w:r w:rsidRPr="00727324">
        <w:rPr>
          <w:rFonts w:ascii="Bookman Old Style" w:hAnsi="Bookman Old Style"/>
          <w:sz w:val="24"/>
          <w:szCs w:val="24"/>
        </w:rPr>
        <w:t>Jaminan</w:t>
      </w:r>
      <w:r w:rsidR="00A954D0">
        <w:rPr>
          <w:rFonts w:ascii="Bookman Old Style" w:hAnsi="Bookman Old Style"/>
          <w:sz w:val="24"/>
          <w:szCs w:val="24"/>
        </w:rPr>
        <w:t xml:space="preserve"> </w:t>
      </w:r>
      <w:r w:rsidRPr="00727324">
        <w:rPr>
          <w:rFonts w:ascii="Bookman Old Style" w:hAnsi="Bookman Old Style"/>
          <w:sz w:val="24"/>
          <w:szCs w:val="24"/>
        </w:rPr>
        <w:t>Kecelakaan</w:t>
      </w:r>
      <w:r w:rsidR="00A954D0">
        <w:rPr>
          <w:rFonts w:ascii="Bookman Old Style" w:hAnsi="Bookman Old Style"/>
          <w:sz w:val="24"/>
          <w:szCs w:val="24"/>
        </w:rPr>
        <w:t xml:space="preserve"> </w:t>
      </w:r>
      <w:r w:rsidRPr="00727324">
        <w:rPr>
          <w:rFonts w:ascii="Bookman Old Style" w:hAnsi="Bookman Old Style"/>
          <w:sz w:val="24"/>
          <w:szCs w:val="24"/>
        </w:rPr>
        <w:t>Kerja</w:t>
      </w:r>
      <w:r w:rsidR="00A954D0">
        <w:rPr>
          <w:rFonts w:ascii="Bookman Old Style" w:hAnsi="Bookman Old Style"/>
          <w:sz w:val="24"/>
          <w:szCs w:val="24"/>
        </w:rPr>
        <w:t xml:space="preserve"> </w:t>
      </w:r>
      <w:r w:rsidRPr="00727324">
        <w:rPr>
          <w:rFonts w:ascii="Bookman Old Style" w:hAnsi="Bookman Old Style"/>
          <w:sz w:val="24"/>
          <w:szCs w:val="24"/>
        </w:rPr>
        <w:t>dan</w:t>
      </w:r>
      <w:r w:rsidR="00A954D0">
        <w:rPr>
          <w:rFonts w:ascii="Bookman Old Style" w:hAnsi="Bookman Old Style"/>
          <w:sz w:val="24"/>
          <w:szCs w:val="24"/>
        </w:rPr>
        <w:t xml:space="preserve"> </w:t>
      </w:r>
      <w:r w:rsidRPr="00727324">
        <w:rPr>
          <w:rFonts w:ascii="Bookman Old Style" w:hAnsi="Bookman Old Style" w:cs="Tahoma,Bold"/>
          <w:bCs/>
          <w:sz w:val="24"/>
          <w:szCs w:val="24"/>
          <w:lang w:val="id-ID" w:eastAsia="id-ID"/>
        </w:rPr>
        <w:t>Jaminan</w:t>
      </w:r>
      <w:r w:rsidR="00A954D0">
        <w:rPr>
          <w:rFonts w:ascii="Bookman Old Style" w:hAnsi="Bookman Old Style"/>
          <w:sz w:val="24"/>
          <w:szCs w:val="24"/>
        </w:rPr>
        <w:t xml:space="preserve"> </w:t>
      </w:r>
      <w:r w:rsidRPr="00DF44BC">
        <w:rPr>
          <w:rFonts w:ascii="Bookman Old Style" w:hAnsi="Bookman Old Style" w:cs="Tahoma,Bold"/>
          <w:bCs/>
          <w:sz w:val="24"/>
          <w:szCs w:val="24"/>
          <w:lang w:val="id-ID" w:eastAsia="id-ID"/>
        </w:rPr>
        <w:t>Kematian</w:t>
      </w:r>
      <w:r w:rsidR="00A954D0">
        <w:rPr>
          <w:rFonts w:ascii="Bookman Old Style" w:hAnsi="Bookman Old Style"/>
          <w:sz w:val="24"/>
          <w:szCs w:val="24"/>
        </w:rPr>
        <w:t xml:space="preserve"> </w:t>
      </w:r>
      <w:r w:rsidRPr="00727324">
        <w:rPr>
          <w:rFonts w:ascii="Bookman Old Style" w:hAnsi="Bookman Old Style"/>
          <w:sz w:val="24"/>
          <w:szCs w:val="24"/>
        </w:rPr>
        <w:t>yang</w:t>
      </w:r>
      <w:r w:rsidR="00A954D0">
        <w:rPr>
          <w:rFonts w:ascii="Bookman Old Style" w:hAnsi="Bookman Old Style"/>
          <w:sz w:val="24"/>
          <w:szCs w:val="24"/>
        </w:rPr>
        <w:t xml:space="preserve"> </w:t>
      </w:r>
      <w:r w:rsidRPr="00727324">
        <w:rPr>
          <w:rFonts w:ascii="Bookman Old Style" w:hAnsi="Bookman Old Style"/>
          <w:sz w:val="24"/>
          <w:szCs w:val="24"/>
        </w:rPr>
        <w:t>diperuntuk</w:t>
      </w:r>
      <w:r w:rsidRPr="00727324">
        <w:rPr>
          <w:rFonts w:ascii="Bookman Old Style" w:hAnsi="Bookman Old Style"/>
          <w:sz w:val="24"/>
          <w:szCs w:val="24"/>
          <w:lang w:val="id-ID"/>
        </w:rPr>
        <w:t>k</w:t>
      </w:r>
      <w:r w:rsidRPr="00727324">
        <w:rPr>
          <w:rFonts w:ascii="Bookman Old Style" w:hAnsi="Bookman Old Style"/>
          <w:sz w:val="24"/>
          <w:szCs w:val="24"/>
        </w:rPr>
        <w:t>an</w:t>
      </w:r>
      <w:r w:rsidR="00A954D0">
        <w:rPr>
          <w:rFonts w:ascii="Bookman Old Style" w:hAnsi="Bookman Old Style"/>
          <w:sz w:val="24"/>
          <w:szCs w:val="24"/>
          <w:lang w:val="id-ID"/>
        </w:rPr>
        <w:t xml:space="preserve"> </w:t>
      </w:r>
      <w:r w:rsidRPr="00727324">
        <w:rPr>
          <w:rFonts w:ascii="Bookman Old Style" w:hAnsi="Bookman Old Style"/>
          <w:sz w:val="24"/>
          <w:szCs w:val="24"/>
          <w:lang w:val="id-ID"/>
        </w:rPr>
        <w:t>bagi</w:t>
      </w:r>
      <w:r w:rsidR="00A954D0">
        <w:rPr>
          <w:rFonts w:ascii="Bookman Old Style" w:hAnsi="Bookman Old Style"/>
          <w:sz w:val="24"/>
          <w:szCs w:val="24"/>
        </w:rPr>
        <w:t xml:space="preserve"> </w:t>
      </w:r>
      <w:r w:rsidRPr="00727324">
        <w:rPr>
          <w:rFonts w:ascii="Bookman Old Style" w:hAnsi="Bookman Old Style" w:cs="Tahoma,Bold"/>
          <w:bCs/>
          <w:sz w:val="24"/>
          <w:szCs w:val="24"/>
          <w:lang w:val="id-ID" w:eastAsia="id-ID"/>
        </w:rPr>
        <w:t>KDH/WKDH</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dalam</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Rancangan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Peraturan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Daerah</w:t>
      </w:r>
      <w:r w:rsidR="00A954D0">
        <w:rPr>
          <w:rFonts w:ascii="Bookman Old Style" w:hAnsi="Bookman Old Style"/>
          <w:sz w:val="24"/>
          <w:szCs w:val="24"/>
          <w:lang w:val="id-ID"/>
        </w:rPr>
        <w:t xml:space="preserve"> </w:t>
      </w:r>
      <w:r>
        <w:rPr>
          <w:rFonts w:ascii="Bookman Old Style" w:hAnsi="Bookman Old Style"/>
          <w:sz w:val="24"/>
          <w:szCs w:val="24"/>
          <w:lang w:val="id-ID"/>
        </w:rPr>
        <w:t>Kota</w:t>
      </w:r>
      <w:r w:rsidR="00A954D0">
        <w:rPr>
          <w:rFonts w:ascii="Bookman Old Style" w:hAnsi="Bookman Old Style"/>
          <w:sz w:val="24"/>
          <w:szCs w:val="24"/>
          <w:lang w:val="id-ID"/>
        </w:rPr>
        <w:t xml:space="preserve"> </w:t>
      </w:r>
      <w:r>
        <w:rPr>
          <w:rFonts w:ascii="Bookman Old Style" w:hAnsi="Bookman Old Style"/>
          <w:sz w:val="24"/>
          <w:szCs w:val="24"/>
          <w:lang w:val="fi-FI"/>
        </w:rPr>
        <w:t>Tangerang</w:t>
      </w:r>
      <w:r w:rsidR="00A954D0">
        <w:rPr>
          <w:rFonts w:ascii="Bookman Old Style" w:hAnsi="Bookman Old Style"/>
          <w:sz w:val="24"/>
          <w:szCs w:val="24"/>
          <w:lang w:val="id-ID"/>
        </w:rPr>
        <w:t xml:space="preserve"> </w:t>
      </w:r>
      <w:r w:rsidRPr="00727324">
        <w:rPr>
          <w:rFonts w:ascii="Bookman Old Style" w:hAnsi="Bookman Old Style" w:cs="Tahoma,Bold"/>
          <w:bCs/>
          <w:sz w:val="24"/>
          <w:szCs w:val="24"/>
          <w:lang w:val="id-ID" w:eastAsia="id-ID"/>
        </w:rPr>
        <w:t>tentang</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APBD</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Tahun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Anggaran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2025</w:t>
      </w:r>
      <w:r w:rsidRPr="00727324">
        <w:rPr>
          <w:rFonts w:ascii="Bookman Old Style" w:hAnsi="Bookman Old Style"/>
          <w:sz w:val="24"/>
          <w:szCs w:val="24"/>
        </w:rPr>
        <w:t>,</w:t>
      </w:r>
      <w:r w:rsidR="00A954D0">
        <w:rPr>
          <w:rFonts w:ascii="Bookman Old Style" w:hAnsi="Bookman Old Style"/>
          <w:sz w:val="24"/>
          <w:szCs w:val="24"/>
        </w:rPr>
        <w:t xml:space="preserve"> </w:t>
      </w:r>
      <w:r w:rsidRPr="00727324">
        <w:rPr>
          <w:rFonts w:ascii="Bookman Old Style" w:hAnsi="Bookman Old Style"/>
          <w:sz w:val="24"/>
          <w:szCs w:val="24"/>
        </w:rPr>
        <w:t>diuraikan</w:t>
      </w:r>
      <w:r w:rsidR="00A954D0">
        <w:rPr>
          <w:rFonts w:ascii="Bookman Old Style" w:hAnsi="Bookman Old Style"/>
          <w:sz w:val="24"/>
          <w:szCs w:val="24"/>
        </w:rPr>
        <w:t xml:space="preserve"> </w:t>
      </w:r>
      <w:r w:rsidRPr="00727324">
        <w:rPr>
          <w:rFonts w:ascii="Bookman Old Style" w:hAnsi="Bookman Old Style"/>
          <w:sz w:val="24"/>
          <w:szCs w:val="24"/>
        </w:rPr>
        <w:t>pada:</w:t>
      </w:r>
    </w:p>
    <w:p w14:paraId="4BCE403D" w14:textId="74A3B6A3" w:rsidR="005A4806" w:rsidRPr="00727324" w:rsidRDefault="005A4806" w:rsidP="00AC44F5">
      <w:pPr>
        <w:pStyle w:val="ListParagraph"/>
        <w:numPr>
          <w:ilvl w:val="0"/>
          <w:numId w:val="84"/>
        </w:numPr>
        <w:spacing w:before="60" w:after="0" w:line="276" w:lineRule="auto"/>
        <w:ind w:left="3686" w:hanging="425"/>
        <w:contextualSpacing w:val="0"/>
        <w:jc w:val="both"/>
        <w:rPr>
          <w:rFonts w:ascii="Bookman Old Style" w:hAnsi="Bookman Old Style" w:cs="Tahoma,Bold"/>
          <w:bCs/>
          <w:sz w:val="24"/>
          <w:szCs w:val="24"/>
          <w:lang w:val="id-ID" w:eastAsia="id-ID"/>
        </w:rPr>
      </w:pPr>
      <w:r w:rsidRPr="00727324">
        <w:rPr>
          <w:rFonts w:ascii="Bookman Old Style" w:hAnsi="Bookman Old Style" w:cs="Tahoma,Bold"/>
          <w:bCs/>
          <w:sz w:val="24"/>
          <w:szCs w:val="24"/>
          <w:lang w:val="id-ID" w:eastAsia="id-ID"/>
        </w:rPr>
        <w:t>Belanja</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Iuran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Jaminan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Kecelakaan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Kerja</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KDH/WKDH</w:t>
      </w:r>
      <w:r w:rsidR="00A954D0">
        <w:rPr>
          <w:rFonts w:ascii="Bookman Old Style" w:hAnsi="Bookman Old Style" w:cs="Tahoma,Bold"/>
          <w:bCs/>
          <w:sz w:val="24"/>
          <w:szCs w:val="24"/>
          <w:lang w:val="id-ID" w:eastAsia="id-ID"/>
        </w:rPr>
        <w:t xml:space="preserve"> </w:t>
      </w:r>
      <w:r w:rsidRPr="003255BC">
        <w:rPr>
          <w:rFonts w:ascii="Bookman Old Style" w:hAnsi="Bookman Old Style" w:cs="Arial"/>
          <w:sz w:val="24"/>
          <w:szCs w:val="24"/>
          <w:lang w:val="sv-FI"/>
        </w:rPr>
        <w:t>Rp131.040,00</w:t>
      </w:r>
      <w:r w:rsidRPr="00727324">
        <w:rPr>
          <w:rFonts w:ascii="Bookman Old Style" w:hAnsi="Bookman Old Style" w:cs="Tahoma,Bold"/>
          <w:bCs/>
          <w:sz w:val="24"/>
          <w:szCs w:val="24"/>
          <w:lang w:val="id-ID" w:eastAsia="id-ID"/>
        </w:rPr>
        <w:t>;</w:t>
      </w:r>
    </w:p>
    <w:p w14:paraId="42833023" w14:textId="068961B1" w:rsidR="005A4806" w:rsidRPr="00FC3F86" w:rsidRDefault="005A4806" w:rsidP="00AC44F5">
      <w:pPr>
        <w:pStyle w:val="ListParagraph"/>
        <w:numPr>
          <w:ilvl w:val="0"/>
          <w:numId w:val="84"/>
        </w:numPr>
        <w:spacing w:before="60" w:after="0" w:line="276" w:lineRule="auto"/>
        <w:ind w:left="3686" w:hanging="425"/>
        <w:contextualSpacing w:val="0"/>
        <w:jc w:val="both"/>
        <w:rPr>
          <w:rFonts w:ascii="Bookman Old Style" w:hAnsi="Bookman Old Style" w:cs="Tahoma,Bold"/>
          <w:bCs/>
          <w:sz w:val="24"/>
          <w:szCs w:val="24"/>
          <w:lang w:val="id-ID" w:eastAsia="id-ID"/>
        </w:rPr>
      </w:pPr>
      <w:r w:rsidRPr="00727324">
        <w:rPr>
          <w:rFonts w:ascii="Bookman Old Style" w:hAnsi="Bookman Old Style" w:cs="Tahoma,Bold"/>
          <w:bCs/>
          <w:sz w:val="24"/>
          <w:szCs w:val="24"/>
          <w:lang w:val="id-ID" w:eastAsia="id-ID"/>
        </w:rPr>
        <w:t>Belanja</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Iuran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Jaminan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Kematian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KDH/WKDH</w:t>
      </w:r>
      <w:r w:rsidR="00A954D0">
        <w:rPr>
          <w:rFonts w:ascii="Bookman Old Style" w:hAnsi="Bookman Old Style" w:cs="Tahoma,Bold"/>
          <w:bCs/>
          <w:sz w:val="24"/>
          <w:szCs w:val="24"/>
          <w:lang w:val="id-ID" w:eastAsia="id-ID"/>
        </w:rPr>
        <w:t xml:space="preserve"> </w:t>
      </w:r>
      <w:r w:rsidRPr="00727324">
        <w:rPr>
          <w:rFonts w:ascii="Bookman Old Style" w:hAnsi="Bookman Old Style" w:cs="Arial"/>
          <w:sz w:val="24"/>
          <w:szCs w:val="24"/>
          <w:lang w:val="sv-FI"/>
        </w:rPr>
        <w:t>Rp</w:t>
      </w:r>
      <w:r>
        <w:rPr>
          <w:rFonts w:ascii="Bookman Old Style" w:hAnsi="Bookman Old Style" w:cs="Arial"/>
          <w:sz w:val="24"/>
          <w:szCs w:val="24"/>
          <w:lang w:val="sv-FI"/>
        </w:rPr>
        <w:t>393.120</w:t>
      </w:r>
      <w:r w:rsidRPr="00727324">
        <w:rPr>
          <w:rFonts w:ascii="Bookman Old Style" w:hAnsi="Bookman Old Style" w:cs="Arial"/>
          <w:sz w:val="24"/>
          <w:szCs w:val="24"/>
          <w:lang w:val="sv-FI"/>
        </w:rPr>
        <w:t>,00</w:t>
      </w:r>
      <w:r w:rsidRPr="00727324">
        <w:rPr>
          <w:rFonts w:ascii="Bookman Old Style" w:hAnsi="Bookman Old Style" w:cs="Tahoma,Bold"/>
          <w:bCs/>
          <w:sz w:val="24"/>
          <w:szCs w:val="24"/>
          <w:lang w:val="sv-FI" w:eastAsia="id-ID"/>
        </w:rPr>
        <w:t>.</w:t>
      </w:r>
    </w:p>
    <w:p w14:paraId="3DDA8F99" w14:textId="27D574BF" w:rsidR="005A4806" w:rsidRDefault="00ED1021" w:rsidP="00AC44F5">
      <w:pPr>
        <w:pStyle w:val="ListParagraph"/>
        <w:spacing w:before="60" w:line="276" w:lineRule="auto"/>
        <w:ind w:left="3261"/>
        <w:jc w:val="both"/>
        <w:rPr>
          <w:rFonts w:ascii="Bookman Old Style" w:hAnsi="Bookman Old Style" w:cs="Tahoma,Bold"/>
          <w:bCs/>
          <w:sz w:val="24"/>
          <w:szCs w:val="24"/>
          <w:lang w:val="id-ID" w:eastAsia="id-ID"/>
        </w:rPr>
      </w:pPr>
      <w:r>
        <w:rPr>
          <w:rFonts w:ascii="Bookman Old Style" w:hAnsi="Bookman Old Style" w:cs="Tahoma,Bold"/>
          <w:b/>
          <w:sz w:val="24"/>
          <w:szCs w:val="24"/>
          <w:lang w:val="id-ID" w:eastAsia="id-ID"/>
        </w:rPr>
        <w:t>Telah</w:t>
      </w:r>
      <w:r w:rsidR="00A954D0">
        <w:rPr>
          <w:rFonts w:ascii="Bookman Old Style" w:hAnsi="Bookman Old Style" w:cs="Tahoma,Bold"/>
          <w:b/>
          <w:sz w:val="24"/>
          <w:szCs w:val="24"/>
          <w:lang w:val="id-ID" w:eastAsia="id-ID"/>
        </w:rPr>
        <w:t xml:space="preserve"> </w:t>
      </w:r>
      <w:r w:rsidR="005A4806" w:rsidRPr="0010538A">
        <w:rPr>
          <w:rFonts w:ascii="Bookman Old Style" w:hAnsi="Bookman Old Style" w:cs="Tahoma,Bold"/>
          <w:b/>
          <w:sz w:val="24"/>
          <w:szCs w:val="24"/>
          <w:lang w:val="id-ID" w:eastAsia="id-ID"/>
        </w:rPr>
        <w:t>memenuhi</w:t>
      </w:r>
      <w:r w:rsidR="00A954D0">
        <w:rPr>
          <w:rFonts w:ascii="Bookman Old Style" w:hAnsi="Bookman Old Style" w:cs="Tahoma,Bold"/>
          <w:bCs/>
          <w:sz w:val="24"/>
          <w:szCs w:val="24"/>
          <w:lang w:val="id-ID" w:eastAsia="id-ID"/>
        </w:rPr>
        <w:t xml:space="preserve"> </w:t>
      </w:r>
      <w:r w:rsidR="005A4806" w:rsidRPr="0010538A">
        <w:rPr>
          <w:rFonts w:ascii="Bookman Old Style" w:hAnsi="Bookman Old Style" w:cs="Tahoma,Bold"/>
          <w:bCs/>
          <w:sz w:val="24"/>
          <w:szCs w:val="24"/>
          <w:lang w:val="id-ID" w:eastAsia="id-ID"/>
        </w:rPr>
        <w:t>besaran</w:t>
      </w:r>
      <w:r w:rsidR="00A954D0">
        <w:rPr>
          <w:rFonts w:ascii="Bookman Old Style" w:hAnsi="Bookman Old Style" w:cs="Tahoma,Bold"/>
          <w:bCs/>
          <w:sz w:val="24"/>
          <w:szCs w:val="24"/>
          <w:lang w:val="id-ID" w:eastAsia="id-ID"/>
        </w:rPr>
        <w:t xml:space="preserve"> </w:t>
      </w:r>
      <w:r w:rsidR="005A4806" w:rsidRPr="0010538A">
        <w:rPr>
          <w:rFonts w:ascii="Bookman Old Style" w:hAnsi="Bookman Old Style" w:cs="Tahoma,Bold"/>
          <w:bCs/>
          <w:sz w:val="24"/>
          <w:szCs w:val="24"/>
          <w:lang w:val="id-ID" w:eastAsia="id-ID"/>
        </w:rPr>
        <w:t>alokasi</w:t>
      </w:r>
      <w:r w:rsidR="00A954D0">
        <w:rPr>
          <w:rFonts w:ascii="Bookman Old Style" w:hAnsi="Bookman Old Style" w:cs="Tahoma,Bold"/>
          <w:bCs/>
          <w:sz w:val="24"/>
          <w:szCs w:val="24"/>
          <w:lang w:val="id-ID" w:eastAsia="id-ID"/>
        </w:rPr>
        <w:t xml:space="preserve"> </w:t>
      </w:r>
      <w:r w:rsidR="005A4806" w:rsidRPr="0010538A">
        <w:rPr>
          <w:rFonts w:ascii="Bookman Old Style" w:hAnsi="Bookman Old Style" w:cs="Tahoma,Bold"/>
          <w:bCs/>
          <w:sz w:val="24"/>
          <w:szCs w:val="24"/>
          <w:lang w:val="id-ID" w:eastAsia="id-ID"/>
        </w:rPr>
        <w:t>Belanja</w:t>
      </w:r>
      <w:r w:rsidR="00A954D0">
        <w:rPr>
          <w:rFonts w:ascii="Bookman Old Style" w:hAnsi="Bookman Old Style" w:cs="Tahoma,Bold"/>
          <w:bCs/>
          <w:sz w:val="24"/>
          <w:szCs w:val="24"/>
          <w:lang w:val="id-ID" w:eastAsia="id-ID"/>
        </w:rPr>
        <w:t xml:space="preserve"> </w:t>
      </w:r>
      <w:r w:rsidR="005A4806" w:rsidRPr="0010538A">
        <w:rPr>
          <w:rFonts w:ascii="Bookman Old Style" w:hAnsi="Bookman Old Style" w:cs="Tahoma,Bold"/>
          <w:bCs/>
          <w:sz w:val="24"/>
          <w:szCs w:val="24"/>
          <w:lang w:val="id-ID" w:eastAsia="id-ID"/>
        </w:rPr>
        <w:t>Iuran</w:t>
      </w:r>
      <w:r w:rsidR="00A954D0">
        <w:rPr>
          <w:rFonts w:ascii="Bookman Old Style" w:hAnsi="Bookman Old Style" w:cs="Tahoma,Bold"/>
          <w:bCs/>
          <w:sz w:val="24"/>
          <w:szCs w:val="24"/>
          <w:lang w:val="id-ID" w:eastAsia="id-ID"/>
        </w:rPr>
        <w:t xml:space="preserve"> </w:t>
      </w:r>
      <w:r w:rsidR="005A4806" w:rsidRPr="0010538A">
        <w:rPr>
          <w:rFonts w:ascii="Bookman Old Style" w:hAnsi="Bookman Old Style" w:cs="Tahoma,Bold"/>
          <w:bCs/>
          <w:sz w:val="24"/>
          <w:szCs w:val="24"/>
          <w:lang w:val="id-ID" w:eastAsia="id-ID"/>
        </w:rPr>
        <w:t>Jaminan</w:t>
      </w:r>
      <w:r w:rsidR="00A954D0">
        <w:rPr>
          <w:rFonts w:ascii="Bookman Old Style" w:hAnsi="Bookman Old Style" w:cs="Tahoma,Bold"/>
          <w:bCs/>
          <w:sz w:val="24"/>
          <w:szCs w:val="24"/>
          <w:lang w:val="id-ID" w:eastAsia="id-ID"/>
        </w:rPr>
        <w:t xml:space="preserve"> </w:t>
      </w:r>
      <w:r w:rsidR="005A4806" w:rsidRPr="0010538A">
        <w:rPr>
          <w:rFonts w:ascii="Bookman Old Style" w:hAnsi="Bookman Old Style" w:cs="Tahoma,Bold"/>
          <w:bCs/>
          <w:sz w:val="24"/>
          <w:szCs w:val="24"/>
          <w:lang w:val="id-ID" w:eastAsia="id-ID"/>
        </w:rPr>
        <w:t>Kecelakaan</w:t>
      </w:r>
      <w:r w:rsidR="00A954D0">
        <w:rPr>
          <w:rFonts w:ascii="Bookman Old Style" w:hAnsi="Bookman Old Style" w:cs="Tahoma,Bold"/>
          <w:bCs/>
          <w:sz w:val="24"/>
          <w:szCs w:val="24"/>
          <w:lang w:val="id-ID" w:eastAsia="id-ID"/>
        </w:rPr>
        <w:t xml:space="preserve"> </w:t>
      </w:r>
      <w:r w:rsidR="005A4806" w:rsidRPr="0010538A">
        <w:rPr>
          <w:rFonts w:ascii="Bookman Old Style" w:hAnsi="Bookman Old Style" w:cs="Tahoma,Bold"/>
          <w:bCs/>
          <w:sz w:val="24"/>
          <w:szCs w:val="24"/>
          <w:lang w:val="id-ID" w:eastAsia="id-ID"/>
        </w:rPr>
        <w:t>Kerja</w:t>
      </w:r>
      <w:r w:rsidR="00A954D0">
        <w:rPr>
          <w:rFonts w:ascii="Bookman Old Style" w:hAnsi="Bookman Old Style" w:cs="Tahoma,Bold"/>
          <w:bCs/>
          <w:sz w:val="24"/>
          <w:szCs w:val="24"/>
          <w:lang w:val="id-ID" w:eastAsia="id-ID"/>
        </w:rPr>
        <w:t xml:space="preserve"> </w:t>
      </w:r>
      <w:r w:rsidR="005A4806" w:rsidRPr="0010538A">
        <w:rPr>
          <w:rFonts w:ascii="Bookman Old Style" w:hAnsi="Bookman Old Style" w:cs="Tahoma,Bold"/>
          <w:bCs/>
          <w:sz w:val="24"/>
          <w:szCs w:val="24"/>
          <w:lang w:val="id-ID" w:eastAsia="id-ID"/>
        </w:rPr>
        <w:t>dan</w:t>
      </w:r>
      <w:r w:rsidR="00A954D0">
        <w:rPr>
          <w:rFonts w:ascii="Bookman Old Style" w:hAnsi="Bookman Old Style" w:cs="Tahoma,Bold"/>
          <w:bCs/>
          <w:sz w:val="24"/>
          <w:szCs w:val="24"/>
          <w:lang w:val="id-ID" w:eastAsia="id-ID"/>
        </w:rPr>
        <w:t xml:space="preserve"> </w:t>
      </w:r>
      <w:r w:rsidR="005A4806" w:rsidRPr="0010538A">
        <w:rPr>
          <w:rFonts w:ascii="Bookman Old Style" w:hAnsi="Bookman Old Style" w:cs="Tahoma,Bold"/>
          <w:bCs/>
          <w:sz w:val="24"/>
          <w:szCs w:val="24"/>
          <w:lang w:val="id-ID" w:eastAsia="id-ID"/>
        </w:rPr>
        <w:t>Jaminan</w:t>
      </w:r>
      <w:r w:rsidR="00A954D0">
        <w:rPr>
          <w:rFonts w:ascii="Bookman Old Style" w:hAnsi="Bookman Old Style" w:cs="Tahoma,Bold"/>
          <w:bCs/>
          <w:sz w:val="24"/>
          <w:szCs w:val="24"/>
          <w:lang w:val="id-ID" w:eastAsia="id-ID"/>
        </w:rPr>
        <w:t xml:space="preserve"> </w:t>
      </w:r>
      <w:r w:rsidR="005A4806" w:rsidRPr="0010538A">
        <w:rPr>
          <w:rFonts w:ascii="Bookman Old Style" w:hAnsi="Bookman Old Style" w:cs="Tahoma,Bold"/>
          <w:bCs/>
          <w:sz w:val="24"/>
          <w:szCs w:val="24"/>
          <w:lang w:val="id-ID" w:eastAsia="id-ID"/>
        </w:rPr>
        <w:t>Kematian</w:t>
      </w:r>
      <w:r w:rsidR="00A954D0">
        <w:rPr>
          <w:rFonts w:ascii="Bookman Old Style" w:hAnsi="Bookman Old Style" w:cs="Tahoma,Bold"/>
          <w:bCs/>
          <w:sz w:val="24"/>
          <w:szCs w:val="24"/>
          <w:lang w:val="id-ID" w:eastAsia="id-ID"/>
        </w:rPr>
        <w:t xml:space="preserve"> </w:t>
      </w:r>
      <w:r w:rsidR="005A4806" w:rsidRPr="0010538A">
        <w:rPr>
          <w:rFonts w:ascii="Bookman Old Style" w:hAnsi="Bookman Old Style" w:cs="Tahoma,Bold"/>
          <w:bCs/>
          <w:sz w:val="24"/>
          <w:szCs w:val="24"/>
          <w:lang w:val="id-ID" w:eastAsia="id-ID"/>
        </w:rPr>
        <w:t>yang</w:t>
      </w:r>
      <w:r w:rsidR="00A954D0">
        <w:rPr>
          <w:rFonts w:ascii="Bookman Old Style" w:hAnsi="Bookman Old Style" w:cs="Tahoma,Bold"/>
          <w:bCs/>
          <w:sz w:val="24"/>
          <w:szCs w:val="24"/>
          <w:lang w:val="id-ID" w:eastAsia="id-ID"/>
        </w:rPr>
        <w:t xml:space="preserve"> </w:t>
      </w:r>
      <w:r w:rsidR="005A4806" w:rsidRPr="0010538A">
        <w:rPr>
          <w:rFonts w:ascii="Bookman Old Style" w:hAnsi="Bookman Old Style" w:cs="Tahoma,Bold"/>
          <w:bCs/>
          <w:sz w:val="24"/>
          <w:szCs w:val="24"/>
          <w:lang w:val="id-ID" w:eastAsia="id-ID"/>
        </w:rPr>
        <w:t>diperuntukan</w:t>
      </w:r>
      <w:r w:rsidR="00A954D0">
        <w:rPr>
          <w:rFonts w:ascii="Bookman Old Style" w:hAnsi="Bookman Old Style" w:cs="Tahoma,Bold"/>
          <w:bCs/>
          <w:sz w:val="24"/>
          <w:szCs w:val="24"/>
          <w:lang w:val="id-ID" w:eastAsia="id-ID"/>
        </w:rPr>
        <w:t xml:space="preserve"> </w:t>
      </w:r>
      <w:r w:rsidR="005A4806" w:rsidRPr="0010538A">
        <w:rPr>
          <w:rFonts w:ascii="Bookman Old Style" w:hAnsi="Bookman Old Style" w:cs="Tahoma,Bold"/>
          <w:bCs/>
          <w:sz w:val="24"/>
          <w:szCs w:val="24"/>
          <w:lang w:val="id-ID" w:eastAsia="id-ID"/>
        </w:rPr>
        <w:t>bagi</w:t>
      </w:r>
      <w:r w:rsidR="00A954D0">
        <w:rPr>
          <w:rFonts w:ascii="Bookman Old Style" w:hAnsi="Bookman Old Style" w:cs="Tahoma,Bold"/>
          <w:bCs/>
          <w:sz w:val="24"/>
          <w:szCs w:val="24"/>
          <w:lang w:val="id-ID" w:eastAsia="id-ID"/>
        </w:rPr>
        <w:t xml:space="preserve"> </w:t>
      </w:r>
      <w:r w:rsidR="005A4806" w:rsidRPr="0010538A">
        <w:rPr>
          <w:rFonts w:ascii="Bookman Old Style" w:hAnsi="Bookman Old Style" w:cs="Tahoma,Bold"/>
          <w:bCs/>
          <w:sz w:val="24"/>
          <w:szCs w:val="24"/>
          <w:lang w:val="id-ID" w:eastAsia="id-ID"/>
        </w:rPr>
        <w:t>KDH</w:t>
      </w:r>
      <w:r w:rsidR="00A954D0">
        <w:rPr>
          <w:rFonts w:ascii="Bookman Old Style" w:hAnsi="Bookman Old Style" w:cs="Tahoma,Bold"/>
          <w:bCs/>
          <w:sz w:val="24"/>
          <w:szCs w:val="24"/>
          <w:lang w:val="id-ID" w:eastAsia="id-ID"/>
        </w:rPr>
        <w:t xml:space="preserve"> </w:t>
      </w:r>
      <w:r w:rsidR="005A4806" w:rsidRPr="0010538A">
        <w:rPr>
          <w:rFonts w:ascii="Bookman Old Style" w:hAnsi="Bookman Old Style" w:cs="Tahoma,Bold"/>
          <w:bCs/>
          <w:sz w:val="24"/>
          <w:szCs w:val="24"/>
          <w:lang w:val="id-ID" w:eastAsia="id-ID"/>
        </w:rPr>
        <w:t>sebagaimana</w:t>
      </w:r>
      <w:r w:rsidR="00A954D0">
        <w:rPr>
          <w:rFonts w:ascii="Bookman Old Style" w:hAnsi="Bookman Old Style" w:cs="Tahoma,Bold"/>
          <w:bCs/>
          <w:sz w:val="24"/>
          <w:szCs w:val="24"/>
          <w:lang w:val="id-ID" w:eastAsia="id-ID"/>
        </w:rPr>
        <w:t xml:space="preserve"> </w:t>
      </w:r>
      <w:r w:rsidR="005A4806" w:rsidRPr="0010538A">
        <w:rPr>
          <w:rFonts w:ascii="Bookman Old Style" w:hAnsi="Bookman Old Style" w:cs="Tahoma,Bold"/>
          <w:bCs/>
          <w:sz w:val="24"/>
          <w:szCs w:val="24"/>
          <w:lang w:val="id-ID" w:eastAsia="id-ID"/>
        </w:rPr>
        <w:t>diamanatkan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dalam</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Peraturan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lastRenderedPageBreak/>
        <w:t>Presiden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Nomor</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82</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Tahun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2018</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sebagaimana</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telah</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beberapa</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kali</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diubah</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dengan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Peraturan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Presiden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Nomor</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64</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Tahun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2020,</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Peraturan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Pemerintah</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Nomor</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70</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Tahun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2015,</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sebagaimana</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telah</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diubah</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dengan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Peraturan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Pemerintah</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Nomor</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66</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Tahun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2017,</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dan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butir</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Arial"/>
          <w:sz w:val="24"/>
          <w:szCs w:val="24"/>
          <w:lang w:val="id-ID"/>
        </w:rPr>
        <w:t>3.4.1.1.1.g</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Lampiran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Peraturan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Menteri</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Dalam</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Negeri</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Nomor</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15</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Tahun</w:t>
      </w:r>
      <w:r w:rsidR="00A954D0">
        <w:rPr>
          <w:rFonts w:ascii="Bookman Old Style" w:hAnsi="Bookman Old Style" w:cs="Tahoma,Bold"/>
          <w:bCs/>
          <w:sz w:val="24"/>
          <w:szCs w:val="24"/>
          <w:lang w:val="id-ID" w:eastAsia="id-ID"/>
        </w:rPr>
        <w:t xml:space="preserve"> </w:t>
      </w:r>
      <w:r w:rsidR="005A4806" w:rsidRPr="00384529">
        <w:rPr>
          <w:rFonts w:ascii="Bookman Old Style" w:hAnsi="Bookman Old Style" w:cs="Tahoma,Bold"/>
          <w:bCs/>
          <w:sz w:val="24"/>
          <w:szCs w:val="24"/>
          <w:lang w:val="id-ID" w:eastAsia="id-ID"/>
        </w:rPr>
        <w:t>2024.</w:t>
      </w:r>
    </w:p>
    <w:p w14:paraId="63077C16" w14:textId="16978715" w:rsidR="005A4806" w:rsidRPr="00727324" w:rsidRDefault="005A4806" w:rsidP="00AC44F5">
      <w:pPr>
        <w:pStyle w:val="ListParagraph"/>
        <w:numPr>
          <w:ilvl w:val="0"/>
          <w:numId w:val="38"/>
        </w:numPr>
        <w:spacing w:before="60" w:after="0" w:line="276" w:lineRule="auto"/>
        <w:ind w:left="2694" w:hanging="425"/>
        <w:contextualSpacing w:val="0"/>
        <w:jc w:val="both"/>
        <w:rPr>
          <w:rFonts w:ascii="Bookman Old Style" w:hAnsi="Bookman Old Style" w:cs="Tahoma,Bold"/>
          <w:bCs/>
          <w:sz w:val="24"/>
          <w:szCs w:val="24"/>
          <w:lang w:val="id-ID" w:eastAsia="id-ID"/>
        </w:rPr>
      </w:pPr>
      <w:r w:rsidRPr="00727324">
        <w:rPr>
          <w:rFonts w:ascii="Bookman Old Style" w:hAnsi="Bookman Old Style"/>
          <w:sz w:val="24"/>
          <w:szCs w:val="24"/>
        </w:rPr>
        <w:t>Penyediaan</w:t>
      </w:r>
      <w:r w:rsidR="00A954D0">
        <w:rPr>
          <w:rFonts w:ascii="Bookman Old Style" w:hAnsi="Bookman Old Style"/>
          <w:sz w:val="24"/>
          <w:szCs w:val="24"/>
        </w:rPr>
        <w:t xml:space="preserve"> </w:t>
      </w:r>
      <w:r w:rsidRPr="00727324">
        <w:rPr>
          <w:rFonts w:ascii="Bookman Old Style" w:hAnsi="Bookman Old Style"/>
          <w:sz w:val="24"/>
          <w:szCs w:val="24"/>
        </w:rPr>
        <w:t>anggaran</w:t>
      </w:r>
      <w:r w:rsidR="00A954D0">
        <w:rPr>
          <w:rFonts w:ascii="Bookman Old Style" w:hAnsi="Bookman Old Style"/>
          <w:sz w:val="24"/>
          <w:szCs w:val="24"/>
        </w:rPr>
        <w:t xml:space="preserve"> </w:t>
      </w:r>
      <w:r w:rsidRPr="00727324">
        <w:rPr>
          <w:rFonts w:ascii="Bookman Old Style" w:hAnsi="Bookman Old Style"/>
          <w:sz w:val="24"/>
          <w:szCs w:val="24"/>
        </w:rPr>
        <w:t>dalam</w:t>
      </w:r>
      <w:r w:rsidR="00A954D0">
        <w:rPr>
          <w:rFonts w:ascii="Bookman Old Style" w:hAnsi="Bookman Old Style"/>
          <w:sz w:val="24"/>
          <w:szCs w:val="24"/>
        </w:rPr>
        <w:t xml:space="preserve"> </w:t>
      </w:r>
      <w:r w:rsidRPr="00727324">
        <w:rPr>
          <w:rFonts w:ascii="Bookman Old Style" w:hAnsi="Bookman Old Style"/>
          <w:sz w:val="24"/>
          <w:szCs w:val="24"/>
        </w:rPr>
        <w:t>rangka</w:t>
      </w:r>
      <w:r w:rsidR="00A954D0">
        <w:rPr>
          <w:rFonts w:ascii="Bookman Old Style" w:hAnsi="Bookman Old Style"/>
          <w:sz w:val="24"/>
          <w:szCs w:val="24"/>
        </w:rPr>
        <w:t xml:space="preserve"> </w:t>
      </w:r>
      <w:r w:rsidRPr="00727324">
        <w:rPr>
          <w:rFonts w:ascii="Bookman Old Style" w:hAnsi="Bookman Old Style"/>
          <w:sz w:val="24"/>
          <w:szCs w:val="24"/>
        </w:rPr>
        <w:t>pengembangan</w:t>
      </w:r>
      <w:r w:rsidR="00A954D0">
        <w:rPr>
          <w:rFonts w:ascii="Bookman Old Style" w:hAnsi="Bookman Old Style"/>
          <w:sz w:val="24"/>
          <w:szCs w:val="24"/>
        </w:rPr>
        <w:t xml:space="preserve"> </w:t>
      </w:r>
      <w:r w:rsidRPr="00727324">
        <w:rPr>
          <w:rFonts w:ascii="Bookman Old Style" w:hAnsi="Bookman Old Style" w:cs="Tahoma,Bold"/>
          <w:bCs/>
          <w:color w:val="000000" w:themeColor="text1"/>
          <w:sz w:val="24"/>
          <w:szCs w:val="24"/>
          <w:lang w:val="id-ID" w:eastAsia="id-ID"/>
        </w:rPr>
        <w:t>pelayanan</w:t>
      </w:r>
      <w:r w:rsidR="00A954D0">
        <w:rPr>
          <w:rFonts w:ascii="Bookman Old Style" w:hAnsi="Bookman Old Style"/>
          <w:sz w:val="24"/>
          <w:szCs w:val="24"/>
        </w:rPr>
        <w:t xml:space="preserve"> </w:t>
      </w:r>
      <w:r w:rsidRPr="00727324">
        <w:rPr>
          <w:rFonts w:ascii="Bookman Old Style" w:hAnsi="Bookman Old Style"/>
          <w:sz w:val="24"/>
          <w:szCs w:val="24"/>
        </w:rPr>
        <w:t>kesehatan</w:t>
      </w:r>
      <w:r w:rsidR="00A954D0">
        <w:rPr>
          <w:rFonts w:ascii="Bookman Old Style" w:hAnsi="Bookman Old Style"/>
          <w:sz w:val="24"/>
          <w:szCs w:val="24"/>
        </w:rPr>
        <w:t xml:space="preserve"> </w:t>
      </w:r>
      <w:r w:rsidRPr="00727324">
        <w:rPr>
          <w:rFonts w:ascii="Bookman Old Style" w:hAnsi="Bookman Old Style"/>
          <w:sz w:val="24"/>
          <w:szCs w:val="24"/>
        </w:rPr>
        <w:t>di</w:t>
      </w:r>
      <w:r w:rsidR="00A954D0">
        <w:rPr>
          <w:rFonts w:ascii="Bookman Old Style" w:hAnsi="Bookman Old Style"/>
          <w:sz w:val="24"/>
          <w:szCs w:val="24"/>
        </w:rPr>
        <w:t xml:space="preserve"> </w:t>
      </w:r>
      <w:r w:rsidRPr="00727324">
        <w:rPr>
          <w:rFonts w:ascii="Bookman Old Style" w:hAnsi="Bookman Old Style"/>
          <w:sz w:val="24"/>
          <w:szCs w:val="24"/>
        </w:rPr>
        <w:t>luar</w:t>
      </w:r>
      <w:r w:rsidR="00A954D0">
        <w:rPr>
          <w:rFonts w:ascii="Bookman Old Style" w:hAnsi="Bookman Old Style"/>
          <w:sz w:val="24"/>
          <w:szCs w:val="24"/>
        </w:rPr>
        <w:t xml:space="preserve"> </w:t>
      </w:r>
      <w:r w:rsidRPr="00727324">
        <w:rPr>
          <w:rFonts w:ascii="Bookman Old Style" w:hAnsi="Bookman Old Style"/>
          <w:sz w:val="24"/>
          <w:szCs w:val="24"/>
        </w:rPr>
        <w:t>cakupan</w:t>
      </w:r>
      <w:r w:rsidR="00A954D0">
        <w:rPr>
          <w:rFonts w:ascii="Bookman Old Style" w:hAnsi="Bookman Old Style"/>
          <w:sz w:val="24"/>
          <w:szCs w:val="24"/>
        </w:rPr>
        <w:t xml:space="preserve"> </w:t>
      </w:r>
      <w:r w:rsidRPr="00727324">
        <w:rPr>
          <w:rFonts w:ascii="Bookman Old Style" w:hAnsi="Bookman Old Style"/>
          <w:sz w:val="24"/>
          <w:szCs w:val="24"/>
        </w:rPr>
        <w:t>penyelenggaraan</w:t>
      </w:r>
      <w:r w:rsidR="00A954D0">
        <w:rPr>
          <w:rFonts w:ascii="Bookman Old Style" w:hAnsi="Bookman Old Style"/>
          <w:sz w:val="24"/>
          <w:szCs w:val="24"/>
        </w:rPr>
        <w:t xml:space="preserve"> </w:t>
      </w:r>
      <w:r w:rsidRPr="00727324">
        <w:rPr>
          <w:rFonts w:ascii="Bookman Old Style" w:hAnsi="Bookman Old Style"/>
          <w:sz w:val="24"/>
          <w:szCs w:val="24"/>
        </w:rPr>
        <w:t>jaminan</w:t>
      </w:r>
      <w:r w:rsidR="00A954D0">
        <w:rPr>
          <w:rFonts w:ascii="Bookman Old Style" w:hAnsi="Bookman Old Style"/>
          <w:sz w:val="24"/>
          <w:szCs w:val="24"/>
        </w:rPr>
        <w:t xml:space="preserve"> </w:t>
      </w:r>
      <w:r w:rsidRPr="00727324">
        <w:rPr>
          <w:rFonts w:ascii="Bookman Old Style" w:hAnsi="Bookman Old Style"/>
          <w:sz w:val="24"/>
          <w:szCs w:val="24"/>
        </w:rPr>
        <w:t>kesehatan</w:t>
      </w:r>
      <w:r w:rsidR="00A954D0">
        <w:rPr>
          <w:rFonts w:ascii="Bookman Old Style" w:hAnsi="Bookman Old Style"/>
          <w:sz w:val="24"/>
          <w:szCs w:val="24"/>
        </w:rPr>
        <w:t xml:space="preserve"> </w:t>
      </w:r>
      <w:r w:rsidRPr="00727324">
        <w:rPr>
          <w:rFonts w:ascii="Bookman Old Style" w:hAnsi="Bookman Old Style"/>
          <w:sz w:val="24"/>
          <w:szCs w:val="24"/>
        </w:rPr>
        <w:t>yang</w:t>
      </w:r>
      <w:r w:rsidR="00A954D0">
        <w:rPr>
          <w:rFonts w:ascii="Bookman Old Style" w:hAnsi="Bookman Old Style"/>
          <w:sz w:val="24"/>
          <w:szCs w:val="24"/>
        </w:rPr>
        <w:t xml:space="preserve"> </w:t>
      </w:r>
      <w:r w:rsidRPr="00727324">
        <w:rPr>
          <w:rFonts w:ascii="Bookman Old Style" w:hAnsi="Bookman Old Style"/>
          <w:sz w:val="24"/>
          <w:szCs w:val="24"/>
        </w:rPr>
        <w:t>disediakan</w:t>
      </w:r>
      <w:r w:rsidR="00A954D0">
        <w:rPr>
          <w:rFonts w:ascii="Bookman Old Style" w:hAnsi="Bookman Old Style"/>
          <w:sz w:val="24"/>
          <w:szCs w:val="24"/>
        </w:rPr>
        <w:t xml:space="preserve"> </w:t>
      </w:r>
      <w:r w:rsidRPr="00727324">
        <w:rPr>
          <w:rFonts w:ascii="Bookman Old Style" w:hAnsi="Bookman Old Style"/>
          <w:sz w:val="24"/>
          <w:szCs w:val="24"/>
        </w:rPr>
        <w:t>oleh</w:t>
      </w:r>
      <w:r w:rsidR="00A954D0">
        <w:rPr>
          <w:rFonts w:ascii="Bookman Old Style" w:hAnsi="Bookman Old Style"/>
          <w:sz w:val="24"/>
          <w:szCs w:val="24"/>
        </w:rPr>
        <w:t xml:space="preserve"> </w:t>
      </w:r>
      <w:r w:rsidRPr="00727324">
        <w:rPr>
          <w:rFonts w:ascii="Bookman Old Style" w:hAnsi="Bookman Old Style"/>
          <w:sz w:val="24"/>
          <w:szCs w:val="24"/>
        </w:rPr>
        <w:t>BPJS</w:t>
      </w:r>
      <w:r w:rsidR="00A954D0">
        <w:rPr>
          <w:rFonts w:ascii="Bookman Old Style" w:hAnsi="Bookman Old Style"/>
          <w:sz w:val="24"/>
          <w:szCs w:val="24"/>
        </w:rPr>
        <w:t xml:space="preserve"> </w:t>
      </w:r>
      <w:r w:rsidRPr="00727324">
        <w:rPr>
          <w:rFonts w:ascii="Bookman Old Style" w:hAnsi="Bookman Old Style"/>
          <w:sz w:val="24"/>
          <w:szCs w:val="24"/>
        </w:rPr>
        <w:t>Kesehatan</w:t>
      </w:r>
      <w:r w:rsidR="00A954D0">
        <w:rPr>
          <w:rFonts w:ascii="Bookman Old Style" w:hAnsi="Bookman Old Style"/>
          <w:sz w:val="24"/>
          <w:szCs w:val="24"/>
        </w:rPr>
        <w:t xml:space="preserve"> </w:t>
      </w:r>
      <w:r w:rsidRPr="00727324">
        <w:rPr>
          <w:rFonts w:ascii="Bookman Old Style" w:hAnsi="Bookman Old Style"/>
          <w:sz w:val="24"/>
          <w:szCs w:val="24"/>
        </w:rPr>
        <w:t>dalam</w:t>
      </w:r>
      <w:r w:rsidR="00A954D0">
        <w:rPr>
          <w:rFonts w:ascii="Bookman Old Style" w:hAnsi="Bookman Old Style"/>
          <w:sz w:val="24"/>
          <w:szCs w:val="24"/>
        </w:rPr>
        <w:t xml:space="preserve"> </w:t>
      </w:r>
      <w:r w:rsidRPr="00727324">
        <w:rPr>
          <w:rFonts w:ascii="Bookman Old Style" w:hAnsi="Bookman Old Style"/>
          <w:sz w:val="24"/>
          <w:szCs w:val="24"/>
        </w:rPr>
        <w:t>rangka</w:t>
      </w:r>
      <w:r w:rsidR="00A954D0">
        <w:rPr>
          <w:rFonts w:ascii="Bookman Old Style" w:hAnsi="Bookman Old Style"/>
          <w:sz w:val="24"/>
          <w:szCs w:val="24"/>
        </w:rPr>
        <w:t xml:space="preserve"> </w:t>
      </w:r>
      <w:r w:rsidRPr="00727324">
        <w:rPr>
          <w:rFonts w:ascii="Bookman Old Style" w:hAnsi="Bookman Old Style"/>
          <w:sz w:val="24"/>
          <w:szCs w:val="24"/>
        </w:rPr>
        <w:t>pemeliharaan</w:t>
      </w:r>
      <w:r w:rsidR="00A954D0">
        <w:rPr>
          <w:rFonts w:ascii="Bookman Old Style" w:hAnsi="Bookman Old Style"/>
          <w:sz w:val="24"/>
          <w:szCs w:val="24"/>
        </w:rPr>
        <w:t xml:space="preserve"> </w:t>
      </w:r>
      <w:r w:rsidRPr="00727324">
        <w:rPr>
          <w:rFonts w:ascii="Bookman Old Style" w:hAnsi="Bookman Old Style"/>
          <w:sz w:val="24"/>
          <w:szCs w:val="24"/>
        </w:rPr>
        <w:t>kesehatan</w:t>
      </w:r>
      <w:r w:rsidR="00A954D0">
        <w:rPr>
          <w:rFonts w:ascii="Bookman Old Style" w:hAnsi="Bookman Old Style"/>
          <w:sz w:val="24"/>
          <w:szCs w:val="24"/>
        </w:rPr>
        <w:t xml:space="preserve"> </w:t>
      </w:r>
      <w:r w:rsidRPr="00727324">
        <w:rPr>
          <w:rFonts w:ascii="Bookman Old Style" w:hAnsi="Bookman Old Style"/>
          <w:sz w:val="24"/>
          <w:szCs w:val="24"/>
        </w:rPr>
        <w:t>berupa:</w:t>
      </w:r>
      <w:r w:rsidR="00A954D0">
        <w:rPr>
          <w:rFonts w:ascii="Bookman Old Style" w:hAnsi="Bookman Old Style"/>
          <w:sz w:val="24"/>
          <w:szCs w:val="24"/>
          <w:lang w:val="id-ID"/>
        </w:rPr>
        <w:t xml:space="preserve"> </w:t>
      </w:r>
    </w:p>
    <w:p w14:paraId="3130496F" w14:textId="53E38E0E" w:rsidR="005A4806" w:rsidRPr="00727324" w:rsidRDefault="005A4806" w:rsidP="00AC44F5">
      <w:pPr>
        <w:pStyle w:val="ListParagraph"/>
        <w:numPr>
          <w:ilvl w:val="0"/>
          <w:numId w:val="123"/>
        </w:numPr>
        <w:spacing w:before="60" w:after="0" w:line="276" w:lineRule="auto"/>
        <w:ind w:left="3261" w:hanging="284"/>
        <w:contextualSpacing w:val="0"/>
        <w:jc w:val="both"/>
        <w:rPr>
          <w:rFonts w:ascii="Bookman Old Style" w:hAnsi="Bookman Old Style" w:cs="Tahoma,Bold"/>
          <w:bCs/>
          <w:sz w:val="24"/>
          <w:szCs w:val="24"/>
          <w:lang w:val="id-ID" w:eastAsia="id-ID"/>
        </w:rPr>
      </w:pPr>
      <w:r w:rsidRPr="00486F70">
        <w:rPr>
          <w:rFonts w:ascii="Bookman Old Style" w:hAnsi="Bookman Old Style"/>
          <w:sz w:val="24"/>
          <w:szCs w:val="24"/>
          <w:lang w:val="id-ID"/>
        </w:rPr>
        <w:t>Pelaksanaan</w:t>
      </w:r>
      <w:r w:rsidR="00A954D0">
        <w:rPr>
          <w:rFonts w:ascii="Bookman Old Style" w:hAnsi="Bookman Old Style"/>
          <w:sz w:val="24"/>
          <w:szCs w:val="24"/>
          <w:lang w:val="id-ID"/>
        </w:rPr>
        <w:t xml:space="preserve"> </w:t>
      </w:r>
      <w:r w:rsidRPr="00486F70">
        <w:rPr>
          <w:rFonts w:ascii="Bookman Old Style" w:hAnsi="Bookman Old Style"/>
          <w:i/>
          <w:sz w:val="24"/>
          <w:szCs w:val="24"/>
          <w:lang w:val="id-ID"/>
        </w:rPr>
        <w:t>Medical</w:t>
      </w:r>
      <w:r w:rsidR="00A954D0">
        <w:rPr>
          <w:rFonts w:ascii="Bookman Old Style" w:hAnsi="Bookman Old Style"/>
          <w:i/>
          <w:sz w:val="24"/>
          <w:szCs w:val="24"/>
          <w:lang w:val="id-ID"/>
        </w:rPr>
        <w:t xml:space="preserve"> </w:t>
      </w:r>
      <w:r w:rsidRPr="00486F70">
        <w:rPr>
          <w:rFonts w:ascii="Bookman Old Style" w:hAnsi="Bookman Old Style"/>
          <w:i/>
          <w:sz w:val="24"/>
          <w:szCs w:val="24"/>
          <w:lang w:val="id-ID"/>
        </w:rPr>
        <w:t>Check</w:t>
      </w:r>
      <w:r w:rsidR="00A954D0">
        <w:rPr>
          <w:rFonts w:ascii="Bookman Old Style" w:hAnsi="Bookman Old Style"/>
          <w:i/>
          <w:sz w:val="24"/>
          <w:szCs w:val="24"/>
          <w:lang w:val="id-ID"/>
        </w:rPr>
        <w:t xml:space="preserve"> </w:t>
      </w:r>
      <w:r w:rsidRPr="00486F70">
        <w:rPr>
          <w:rFonts w:ascii="Bookman Old Style" w:hAnsi="Bookman Old Style"/>
          <w:i/>
          <w:sz w:val="24"/>
          <w:szCs w:val="24"/>
          <w:lang w:val="id-ID"/>
        </w:rPr>
        <w:t>Up</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DPRD</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Rp300.000.000,00,</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dianggarkan</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dalam</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Rancangan</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Peraturan</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Daerah</w:t>
      </w:r>
      <w:r w:rsidR="00A954D0">
        <w:rPr>
          <w:rFonts w:ascii="Bookman Old Style" w:hAnsi="Bookman Old Style"/>
          <w:sz w:val="24"/>
          <w:szCs w:val="24"/>
          <w:lang w:val="id-ID"/>
        </w:rPr>
        <w:t xml:space="preserve"> </w:t>
      </w:r>
      <w:r w:rsidRPr="00486F70">
        <w:rPr>
          <w:rFonts w:ascii="Bookman Old Style" w:hAnsi="Bookman Old Style"/>
          <w:sz w:val="24"/>
          <w:szCs w:val="24"/>
          <w:lang w:val="fi-FI"/>
        </w:rPr>
        <w:t>Tangerang</w:t>
      </w:r>
      <w:r w:rsidR="00A954D0">
        <w:rPr>
          <w:rFonts w:ascii="Bookman Old Style" w:hAnsi="Bookman Old Style"/>
          <w:sz w:val="24"/>
          <w:szCs w:val="24"/>
        </w:rPr>
        <w:t xml:space="preserve"> </w:t>
      </w:r>
      <w:r w:rsidRPr="00486F70">
        <w:rPr>
          <w:rFonts w:ascii="Bookman Old Style" w:hAnsi="Bookman Old Style"/>
          <w:sz w:val="24"/>
          <w:szCs w:val="24"/>
          <w:lang w:val="id-ID"/>
        </w:rPr>
        <w:t>tentang</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APBD</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Tahun</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Anggaran</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2025</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kepada</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Pimpinan</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dan</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Anggota</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DPRD</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sebanyak</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1</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(satu)</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kali</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dalam</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1</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(satu)</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tahun,</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tidak</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termasuk</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istri/suami</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dan</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anak,</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dianggarkan</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dalam</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bentuk</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program</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dan</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kegiatan</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pada</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SKPD</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Sekretariat</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DPRD,</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dilakukan</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di</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dalam</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negeri</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dengan</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tetap</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memprioritaskan</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RSUD</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terdekat,</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Rumah</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Sakit</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Umum</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Pusat</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di</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Provinsi</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atau</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Rumah</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Sakit</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Umum</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Pusat</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terdekat,</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sebagaimana</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diamanatkan</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dalam</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Peraturan</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Pemerintah</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Nomor</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18</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Tahun</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2017</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sebagaimana</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telah</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diubah</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dengan</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Peraturan</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Pemerintah</w:t>
      </w:r>
      <w:r w:rsidR="00A954D0">
        <w:rPr>
          <w:rFonts w:ascii="Bookman Old Style" w:hAnsi="Bookman Old Style"/>
          <w:sz w:val="24"/>
          <w:szCs w:val="24"/>
          <w:lang w:val="id-ID"/>
        </w:rPr>
        <w:t xml:space="preserve"> </w:t>
      </w:r>
      <w:r w:rsidRPr="00486F70">
        <w:rPr>
          <w:rFonts w:ascii="Bookman Old Style" w:hAnsi="Bookman Old Style"/>
          <w:sz w:val="24"/>
          <w:szCs w:val="24"/>
          <w:lang w:val="id-ID"/>
        </w:rPr>
        <w:t>Nomor</w:t>
      </w:r>
      <w:r w:rsidR="00A954D0">
        <w:rPr>
          <w:rFonts w:ascii="Bookman Old Style" w:hAnsi="Bookman Old Style"/>
          <w:sz w:val="24"/>
          <w:szCs w:val="24"/>
          <w:lang w:val="id-ID"/>
        </w:rPr>
        <w:t xml:space="preserve"> </w:t>
      </w:r>
      <w:r w:rsidRPr="00727324">
        <w:rPr>
          <w:rFonts w:ascii="Bookman Old Style" w:hAnsi="Bookman Old Style"/>
          <w:color w:val="000000" w:themeColor="text1"/>
          <w:sz w:val="24"/>
          <w:szCs w:val="24"/>
          <w:lang w:val="id-ID"/>
        </w:rPr>
        <w:t>1</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Tahun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2023</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dan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Surat</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Menteri</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Dalam</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Negeri</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Nomor</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188.31/7807/SJ</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tanggal</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2</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November</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2017</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Hal</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Penjelasan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terhadap</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lmplementasi</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Substansi</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Peraturan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Pemerintah</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Nomor</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18</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Tahun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2017</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tentang</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Hak</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Keuangan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dan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Administratif</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Pimpinan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dan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Anggota</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DPRD</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serta</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Peraturan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Menteri</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Dalam</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Negeri</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Nomor</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62</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Tahun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2017</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tentang</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Pengelompokan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Kemampuan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Keuangan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Daerah</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serta</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Pelaksanaan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dan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Pertanggungjawaban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Dana</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Operasional,</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dan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butir</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3.4.1.2.2.b.10).b)</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Lampiran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Peraturan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Menteri</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Dalam</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Negeri</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Nomor</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15</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Tahun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2024</w:t>
      </w:r>
      <w:r w:rsidR="00360F37" w:rsidRPr="00360F37">
        <w:rPr>
          <w:rFonts w:ascii="Bookman Old Style" w:hAnsi="Bookman Old Style" w:cs="Tahoma,Bold"/>
          <w:bCs/>
          <w:sz w:val="24"/>
          <w:szCs w:val="24"/>
          <w:lang w:val="id-ID" w:eastAsia="id-ID"/>
        </w:rPr>
        <w:t>;</w:t>
      </w:r>
    </w:p>
    <w:p w14:paraId="247E0151" w14:textId="78D988F2" w:rsidR="005A4806" w:rsidRPr="00727324" w:rsidRDefault="005A4806" w:rsidP="00AC44F5">
      <w:pPr>
        <w:pStyle w:val="ListParagraph"/>
        <w:numPr>
          <w:ilvl w:val="0"/>
          <w:numId w:val="123"/>
        </w:numPr>
        <w:spacing w:before="60" w:after="0" w:line="276" w:lineRule="auto"/>
        <w:ind w:left="3261" w:hanging="284"/>
        <w:contextualSpacing w:val="0"/>
        <w:jc w:val="both"/>
        <w:rPr>
          <w:rFonts w:ascii="Bookman Old Style" w:hAnsi="Bookman Old Style"/>
          <w:color w:val="000000" w:themeColor="text1"/>
          <w:sz w:val="24"/>
          <w:szCs w:val="24"/>
          <w:lang w:val="id-ID"/>
        </w:rPr>
      </w:pPr>
      <w:r w:rsidRPr="00727324">
        <w:rPr>
          <w:rFonts w:ascii="Bookman Old Style" w:hAnsi="Bookman Old Style" w:cs="Tahoma,Bold"/>
          <w:bCs/>
          <w:color w:val="000000" w:themeColor="text1"/>
          <w:sz w:val="24"/>
          <w:szCs w:val="24"/>
          <w:lang w:val="id-ID" w:eastAsia="id-ID"/>
        </w:rPr>
        <w:t>Pelaksanaan</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i/>
          <w:color w:val="000000" w:themeColor="text1"/>
          <w:sz w:val="24"/>
          <w:szCs w:val="24"/>
          <w:lang w:val="id-ID" w:eastAsia="id-ID"/>
        </w:rPr>
        <w:t>Medical</w:t>
      </w:r>
      <w:r w:rsidR="00A954D0">
        <w:rPr>
          <w:rFonts w:ascii="Bookman Old Style" w:hAnsi="Bookman Old Style" w:cs="Tahoma,Bold"/>
          <w:bCs/>
          <w:i/>
          <w:color w:val="000000" w:themeColor="text1"/>
          <w:sz w:val="24"/>
          <w:szCs w:val="24"/>
          <w:lang w:val="id-ID" w:eastAsia="id-ID"/>
        </w:rPr>
        <w:t xml:space="preserve"> </w:t>
      </w:r>
      <w:r w:rsidRPr="00727324">
        <w:rPr>
          <w:rFonts w:ascii="Bookman Old Style" w:hAnsi="Bookman Old Style" w:cs="Tahoma,Bold"/>
          <w:bCs/>
          <w:i/>
          <w:color w:val="000000" w:themeColor="text1"/>
          <w:sz w:val="24"/>
          <w:szCs w:val="24"/>
          <w:lang w:val="id-ID" w:eastAsia="id-ID"/>
        </w:rPr>
        <w:t>Check</w:t>
      </w:r>
      <w:r w:rsidR="00A954D0">
        <w:rPr>
          <w:rFonts w:ascii="Bookman Old Style" w:hAnsi="Bookman Old Style" w:cs="Tahoma,Bold"/>
          <w:bCs/>
          <w:i/>
          <w:color w:val="000000" w:themeColor="text1"/>
          <w:sz w:val="24"/>
          <w:szCs w:val="24"/>
          <w:lang w:val="id-ID" w:eastAsia="id-ID"/>
        </w:rPr>
        <w:t xml:space="preserve"> </w:t>
      </w:r>
      <w:r w:rsidRPr="00727324">
        <w:rPr>
          <w:rFonts w:ascii="Bookman Old Style" w:hAnsi="Bookman Old Style" w:cs="Tahoma,Bold"/>
          <w:bCs/>
          <w:i/>
          <w:color w:val="000000" w:themeColor="text1"/>
          <w:sz w:val="24"/>
          <w:szCs w:val="24"/>
          <w:lang w:val="id-ID" w:eastAsia="id-ID"/>
        </w:rPr>
        <w:t>Up</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Kepala</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Daerah</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dan</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Wakil</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Kepala</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color w:val="000000" w:themeColor="text1"/>
          <w:sz w:val="24"/>
          <w:szCs w:val="24"/>
          <w:lang w:val="id-ID" w:eastAsia="id-ID"/>
        </w:rPr>
        <w:t>Daerah</w:t>
      </w:r>
      <w:r w:rsidR="00A954D0">
        <w:rPr>
          <w:rFonts w:ascii="Bookman Old Style" w:hAnsi="Bookman Old Style" w:cs="Tahoma,Bold"/>
          <w:bCs/>
          <w:color w:val="000000" w:themeColor="text1"/>
          <w:sz w:val="24"/>
          <w:szCs w:val="24"/>
          <w:lang w:val="id-ID" w:eastAsia="id-ID"/>
        </w:rPr>
        <w:t xml:space="preserve"> </w:t>
      </w:r>
      <w:r>
        <w:rPr>
          <w:rFonts w:ascii="Bookman Old Style" w:hAnsi="Bookman Old Style" w:cs="Tahoma,Bold"/>
          <w:bCs/>
          <w:color w:val="000000" w:themeColor="text1"/>
          <w:sz w:val="24"/>
          <w:szCs w:val="24"/>
          <w:lang w:val="id-ID" w:eastAsia="id-ID"/>
        </w:rPr>
        <w:t>Rp54.800.000,00</w:t>
      </w:r>
      <w:r w:rsidR="00A954D0">
        <w:rPr>
          <w:rFonts w:ascii="Bookman Old Style" w:hAnsi="Bookman Old Style" w:cs="Tahoma,Bold"/>
          <w:bCs/>
          <w:color w:val="000000" w:themeColor="text1"/>
          <w:sz w:val="24"/>
          <w:szCs w:val="24"/>
          <w:lang w:val="id-ID" w:eastAsia="id-ID"/>
        </w:rPr>
        <w:t xml:space="preserve"> </w:t>
      </w:r>
      <w:r>
        <w:rPr>
          <w:rFonts w:ascii="Bookman Old Style" w:hAnsi="Bookman Old Style" w:cs="Tahoma,Bold"/>
          <w:bCs/>
          <w:color w:val="000000" w:themeColor="text1"/>
          <w:sz w:val="24"/>
          <w:szCs w:val="24"/>
          <w:lang w:val="id-ID" w:eastAsia="id-ID"/>
        </w:rPr>
        <w:t>dianggarkan</w:t>
      </w:r>
      <w:r w:rsidR="00A954D0">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olor w:val="000000" w:themeColor="text1"/>
          <w:sz w:val="24"/>
          <w:szCs w:val="24"/>
          <w:lang w:val="id-ID"/>
        </w:rPr>
        <w:t>dalam</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Rancangan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Peraturan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Daerah</w:t>
      </w:r>
      <w:r w:rsidR="00A954D0">
        <w:rPr>
          <w:rFonts w:ascii="Bookman Old Style" w:hAnsi="Bookman Old Style"/>
          <w:color w:val="000000" w:themeColor="text1"/>
          <w:sz w:val="24"/>
          <w:szCs w:val="24"/>
          <w:lang w:val="id-ID"/>
        </w:rPr>
        <w:t xml:space="preserve"> </w:t>
      </w:r>
      <w:r>
        <w:rPr>
          <w:rFonts w:ascii="Bookman Old Style" w:hAnsi="Bookman Old Style"/>
          <w:sz w:val="24"/>
          <w:szCs w:val="24"/>
          <w:lang w:val="fi-FI"/>
        </w:rPr>
        <w:t>Tangerang</w:t>
      </w:r>
      <w:r w:rsidR="00A954D0">
        <w:rPr>
          <w:rFonts w:ascii="Bookman Old Style" w:hAnsi="Bookman Old Style"/>
          <w:sz w:val="24"/>
          <w:szCs w:val="24"/>
        </w:rPr>
        <w:t xml:space="preserve"> </w:t>
      </w:r>
      <w:r w:rsidRPr="00727324">
        <w:rPr>
          <w:rFonts w:ascii="Bookman Old Style" w:hAnsi="Bookman Old Style"/>
          <w:color w:val="000000" w:themeColor="text1"/>
          <w:sz w:val="24"/>
          <w:szCs w:val="24"/>
          <w:lang w:val="id-ID"/>
        </w:rPr>
        <w:t>tentang</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APBD</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Tahun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Anggaran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2025</w:t>
      </w:r>
      <w:r w:rsidR="00A954D0">
        <w:rPr>
          <w:rFonts w:ascii="Bookman Old Style" w:hAnsi="Bookman Old Style"/>
          <w:color w:val="000000" w:themeColor="text1"/>
          <w:sz w:val="24"/>
          <w:szCs w:val="24"/>
          <w:lang w:val="id-ID"/>
        </w:rPr>
        <w:t xml:space="preserve"> </w:t>
      </w:r>
      <w:r w:rsidR="00DC2DB9">
        <w:rPr>
          <w:rFonts w:ascii="Bookman Old Style" w:hAnsi="Bookman Old Style"/>
          <w:color w:val="000000" w:themeColor="text1"/>
          <w:sz w:val="24"/>
          <w:szCs w:val="24"/>
          <w:lang w:val="id-ID"/>
        </w:rPr>
        <w:t>k</w:t>
      </w:r>
      <w:r w:rsidRPr="00727324">
        <w:rPr>
          <w:rFonts w:ascii="Bookman Old Style" w:hAnsi="Bookman Old Style"/>
          <w:color w:val="000000" w:themeColor="text1"/>
          <w:sz w:val="24"/>
          <w:szCs w:val="24"/>
          <w:lang w:val="id-ID"/>
        </w:rPr>
        <w:t>epada</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Kepala</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Daerah/Wakil</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Kepala</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Daerah</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sebanyak</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1</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(satu)</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kali</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dalam</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1</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lastRenderedPageBreak/>
        <w:t>(</w:t>
      </w:r>
      <w:r w:rsidRPr="00727324">
        <w:rPr>
          <w:rFonts w:ascii="Bookman Old Style" w:hAnsi="Bookman Old Style"/>
          <w:sz w:val="24"/>
          <w:szCs w:val="24"/>
          <w:lang w:val="id-ID"/>
        </w:rPr>
        <w:t>satu)</w:t>
      </w:r>
      <w:r w:rsidR="00A954D0">
        <w:rPr>
          <w:rFonts w:ascii="Bookman Old Style" w:hAnsi="Bookman Old Style"/>
          <w:sz w:val="24"/>
          <w:szCs w:val="24"/>
          <w:lang w:val="id-ID"/>
        </w:rPr>
        <w:t xml:space="preserve"> </w:t>
      </w:r>
      <w:r w:rsidRPr="00727324">
        <w:rPr>
          <w:rFonts w:ascii="Bookman Old Style" w:hAnsi="Bookman Old Style"/>
          <w:sz w:val="24"/>
          <w:szCs w:val="24"/>
          <w:lang w:val="id-ID"/>
        </w:rPr>
        <w:t>tahun,</w:t>
      </w:r>
      <w:r w:rsidR="00A954D0">
        <w:rPr>
          <w:rFonts w:ascii="Bookman Old Style" w:hAnsi="Bookman Old Style"/>
          <w:sz w:val="24"/>
          <w:szCs w:val="24"/>
          <w:lang w:val="id-ID"/>
        </w:rPr>
        <w:t xml:space="preserve"> </w:t>
      </w:r>
      <w:r w:rsidRPr="00727324">
        <w:rPr>
          <w:rFonts w:ascii="Bookman Old Style" w:hAnsi="Bookman Old Style"/>
          <w:sz w:val="24"/>
          <w:szCs w:val="24"/>
          <w:lang w:val="id-ID"/>
        </w:rPr>
        <w:t>termasuk</w:t>
      </w:r>
      <w:r w:rsidR="00A954D0">
        <w:rPr>
          <w:rFonts w:ascii="Bookman Old Style" w:hAnsi="Bookman Old Style"/>
          <w:sz w:val="24"/>
          <w:szCs w:val="24"/>
          <w:lang w:val="id-ID"/>
        </w:rPr>
        <w:t xml:space="preserve"> </w:t>
      </w:r>
      <w:r w:rsidRPr="00727324">
        <w:rPr>
          <w:rFonts w:ascii="Bookman Old Style" w:hAnsi="Bookman Old Style"/>
          <w:sz w:val="24"/>
          <w:szCs w:val="24"/>
          <w:lang w:val="id-ID"/>
        </w:rPr>
        <w:t>keluarga</w:t>
      </w:r>
      <w:r w:rsidR="00A954D0">
        <w:rPr>
          <w:rFonts w:ascii="Bookman Old Style" w:hAnsi="Bookman Old Style"/>
          <w:sz w:val="24"/>
          <w:szCs w:val="24"/>
          <w:lang w:val="id-ID"/>
        </w:rPr>
        <w:t xml:space="preserve"> </w:t>
      </w:r>
      <w:r w:rsidRPr="00727324">
        <w:rPr>
          <w:rFonts w:ascii="Bookman Old Style" w:hAnsi="Bookman Old Style"/>
          <w:sz w:val="24"/>
          <w:szCs w:val="24"/>
          <w:lang w:val="id-ID"/>
        </w:rPr>
        <w:t>(satu</w:t>
      </w:r>
      <w:r w:rsidR="00A954D0">
        <w:rPr>
          <w:rFonts w:ascii="Bookman Old Style" w:hAnsi="Bookman Old Style"/>
          <w:sz w:val="24"/>
          <w:szCs w:val="24"/>
          <w:lang w:val="id-ID"/>
        </w:rPr>
        <w:t xml:space="preserve"> </w:t>
      </w:r>
      <w:r w:rsidRPr="00727324">
        <w:rPr>
          <w:rFonts w:ascii="Bookman Old Style" w:hAnsi="Bookman Old Style"/>
          <w:sz w:val="24"/>
          <w:szCs w:val="24"/>
          <w:lang w:val="id-ID"/>
        </w:rPr>
        <w:t>istri/suami</w:t>
      </w:r>
      <w:r w:rsidR="00A954D0">
        <w:rPr>
          <w:rFonts w:ascii="Bookman Old Style" w:hAnsi="Bookman Old Style"/>
          <w:sz w:val="24"/>
          <w:szCs w:val="24"/>
          <w:lang w:val="id-ID"/>
        </w:rPr>
        <w:t xml:space="preserve"> </w:t>
      </w:r>
      <w:r w:rsidRPr="00727324">
        <w:rPr>
          <w:rFonts w:ascii="Bookman Old Style" w:hAnsi="Bookman Old Style"/>
          <w:sz w:val="24"/>
          <w:szCs w:val="24"/>
          <w:lang w:val="id-ID"/>
        </w:rPr>
        <w:t>dan</w:t>
      </w:r>
      <w:r w:rsidR="00A954D0">
        <w:rPr>
          <w:rFonts w:ascii="Bookman Old Style" w:hAnsi="Bookman Old Style"/>
          <w:sz w:val="24"/>
          <w:szCs w:val="24"/>
          <w:lang w:val="id-ID"/>
        </w:rPr>
        <w:t xml:space="preserve"> </w:t>
      </w:r>
      <w:r w:rsidRPr="00727324">
        <w:rPr>
          <w:rFonts w:ascii="Bookman Old Style" w:hAnsi="Bookman Old Style"/>
          <w:sz w:val="24"/>
          <w:szCs w:val="24"/>
          <w:lang w:val="id-ID"/>
        </w:rPr>
        <w:t>dua</w:t>
      </w:r>
      <w:r w:rsidR="00A954D0">
        <w:rPr>
          <w:rFonts w:ascii="Bookman Old Style" w:hAnsi="Bookman Old Style"/>
          <w:sz w:val="24"/>
          <w:szCs w:val="24"/>
          <w:lang w:val="id-ID"/>
        </w:rPr>
        <w:t xml:space="preserve"> </w:t>
      </w:r>
      <w:r w:rsidRPr="00727324">
        <w:rPr>
          <w:rFonts w:ascii="Bookman Old Style" w:hAnsi="Bookman Old Style"/>
          <w:sz w:val="24"/>
          <w:szCs w:val="24"/>
          <w:lang w:val="id-ID"/>
        </w:rPr>
        <w:t>anak),</w:t>
      </w:r>
      <w:r w:rsidR="00A954D0">
        <w:rPr>
          <w:rFonts w:ascii="Bookman Old Style" w:hAnsi="Bookman Old Style"/>
          <w:sz w:val="24"/>
          <w:szCs w:val="24"/>
          <w:lang w:val="id-ID"/>
        </w:rPr>
        <w:t xml:space="preserve"> </w:t>
      </w:r>
      <w:r w:rsidRPr="00727324">
        <w:rPr>
          <w:rFonts w:ascii="Bookman Old Style" w:hAnsi="Bookman Old Style"/>
          <w:sz w:val="24"/>
          <w:szCs w:val="24"/>
          <w:lang w:val="id-ID"/>
        </w:rPr>
        <w:t>dianggarkan</w:t>
      </w:r>
      <w:r w:rsidR="00A954D0">
        <w:rPr>
          <w:rFonts w:ascii="Bookman Old Style" w:hAnsi="Bookman Old Style"/>
          <w:sz w:val="24"/>
          <w:szCs w:val="24"/>
          <w:lang w:val="id-ID"/>
        </w:rPr>
        <w:t xml:space="preserve"> </w:t>
      </w:r>
      <w:r w:rsidRPr="00727324">
        <w:rPr>
          <w:rFonts w:ascii="Bookman Old Style" w:hAnsi="Bookman Old Style"/>
          <w:sz w:val="24"/>
          <w:szCs w:val="24"/>
          <w:lang w:val="id-ID"/>
        </w:rPr>
        <w:t>dalam</w:t>
      </w:r>
      <w:r w:rsidR="00A954D0">
        <w:rPr>
          <w:rFonts w:ascii="Bookman Old Style" w:hAnsi="Bookman Old Style"/>
          <w:sz w:val="24"/>
          <w:szCs w:val="24"/>
          <w:lang w:val="id-ID"/>
        </w:rPr>
        <w:t xml:space="preserve"> </w:t>
      </w:r>
      <w:r w:rsidRPr="00727324">
        <w:rPr>
          <w:rFonts w:ascii="Bookman Old Style" w:hAnsi="Bookman Old Style"/>
          <w:sz w:val="24"/>
          <w:szCs w:val="24"/>
          <w:lang w:val="id-ID"/>
        </w:rPr>
        <w:t>bentuk</w:t>
      </w:r>
      <w:r w:rsidR="00A954D0">
        <w:rPr>
          <w:rFonts w:ascii="Bookman Old Style" w:hAnsi="Bookman Old Style"/>
          <w:sz w:val="24"/>
          <w:szCs w:val="24"/>
          <w:lang w:val="id-ID"/>
        </w:rPr>
        <w:t xml:space="preserve"> </w:t>
      </w:r>
      <w:r w:rsidRPr="00727324">
        <w:rPr>
          <w:rFonts w:ascii="Bookman Old Style" w:hAnsi="Bookman Old Style"/>
          <w:sz w:val="24"/>
          <w:szCs w:val="24"/>
          <w:lang w:val="id-ID"/>
        </w:rPr>
        <w:t>program</w:t>
      </w:r>
      <w:r w:rsidR="00A954D0">
        <w:rPr>
          <w:rFonts w:ascii="Bookman Old Style" w:hAnsi="Bookman Old Style"/>
          <w:sz w:val="24"/>
          <w:szCs w:val="24"/>
          <w:lang w:val="id-ID"/>
        </w:rPr>
        <w:t xml:space="preserve"> </w:t>
      </w:r>
      <w:r w:rsidRPr="00727324">
        <w:rPr>
          <w:rFonts w:ascii="Bookman Old Style" w:hAnsi="Bookman Old Style"/>
          <w:sz w:val="24"/>
          <w:szCs w:val="24"/>
          <w:lang w:val="id-ID"/>
        </w:rPr>
        <w:t>dan</w:t>
      </w:r>
      <w:r w:rsidR="00A954D0">
        <w:rPr>
          <w:rFonts w:ascii="Bookman Old Style" w:hAnsi="Bookman Old Style"/>
          <w:sz w:val="24"/>
          <w:szCs w:val="24"/>
          <w:lang w:val="id-ID"/>
        </w:rPr>
        <w:t xml:space="preserve"> </w:t>
      </w:r>
      <w:r w:rsidRPr="00727324">
        <w:rPr>
          <w:rFonts w:ascii="Bookman Old Style" w:hAnsi="Bookman Old Style"/>
          <w:sz w:val="24"/>
          <w:szCs w:val="24"/>
          <w:lang w:val="id-ID"/>
        </w:rPr>
        <w:t>kegiatan</w:t>
      </w:r>
      <w:r w:rsidR="00A954D0">
        <w:rPr>
          <w:rFonts w:ascii="Bookman Old Style" w:hAnsi="Bookman Old Style"/>
          <w:sz w:val="24"/>
          <w:szCs w:val="24"/>
          <w:lang w:val="id-ID"/>
        </w:rPr>
        <w:t xml:space="preserve"> </w:t>
      </w:r>
      <w:r w:rsidRPr="00727324">
        <w:rPr>
          <w:rFonts w:ascii="Bookman Old Style" w:hAnsi="Bookman Old Style"/>
          <w:sz w:val="24"/>
          <w:szCs w:val="24"/>
          <w:lang w:val="id-ID"/>
        </w:rPr>
        <w:t>pada</w:t>
      </w:r>
      <w:r w:rsidR="00A954D0">
        <w:rPr>
          <w:rFonts w:ascii="Bookman Old Style" w:hAnsi="Bookman Old Style"/>
          <w:sz w:val="24"/>
          <w:szCs w:val="24"/>
          <w:lang w:val="id-ID"/>
        </w:rPr>
        <w:t xml:space="preserve"> </w:t>
      </w:r>
      <w:r w:rsidRPr="00727324">
        <w:rPr>
          <w:rFonts w:ascii="Bookman Old Style" w:hAnsi="Bookman Old Style"/>
          <w:sz w:val="24"/>
          <w:szCs w:val="24"/>
          <w:lang w:val="id-ID"/>
        </w:rPr>
        <w:t>SKPD</w:t>
      </w:r>
      <w:r w:rsidR="00A954D0">
        <w:rPr>
          <w:rFonts w:ascii="Bookman Old Style" w:hAnsi="Bookman Old Style"/>
          <w:sz w:val="24"/>
          <w:szCs w:val="24"/>
          <w:lang w:val="id-ID"/>
        </w:rPr>
        <w:t xml:space="preserve"> </w:t>
      </w:r>
      <w:r w:rsidRPr="00727324">
        <w:rPr>
          <w:rFonts w:ascii="Bookman Old Style" w:hAnsi="Bookman Old Style"/>
          <w:sz w:val="24"/>
          <w:szCs w:val="24"/>
          <w:lang w:val="id-ID"/>
        </w:rPr>
        <w:t>Sekretariat</w:t>
      </w:r>
      <w:r w:rsidR="00A954D0">
        <w:rPr>
          <w:rFonts w:ascii="Bookman Old Style" w:hAnsi="Bookman Old Style"/>
          <w:sz w:val="24"/>
          <w:szCs w:val="24"/>
          <w:lang w:val="id-ID"/>
        </w:rPr>
        <w:t xml:space="preserve"> </w:t>
      </w:r>
      <w:r w:rsidRPr="00727324">
        <w:rPr>
          <w:rFonts w:ascii="Bookman Old Style" w:hAnsi="Bookman Old Style"/>
          <w:sz w:val="24"/>
          <w:szCs w:val="24"/>
          <w:lang w:val="id-ID"/>
        </w:rPr>
        <w:t>Daerah</w:t>
      </w:r>
      <w:r w:rsidRPr="003255BC">
        <w:rPr>
          <w:rFonts w:ascii="Bookman Old Style" w:hAnsi="Bookman Old Style"/>
          <w:sz w:val="24"/>
          <w:szCs w:val="24"/>
          <w:lang w:val="id-ID"/>
        </w:rPr>
        <w:t>,</w:t>
      </w:r>
      <w:r w:rsidR="00A954D0">
        <w:rPr>
          <w:rFonts w:ascii="Bookman Old Style" w:hAnsi="Bookman Old Style"/>
          <w:sz w:val="24"/>
          <w:szCs w:val="24"/>
          <w:lang w:val="id-ID"/>
        </w:rPr>
        <w:t xml:space="preserve"> </w:t>
      </w:r>
      <w:r w:rsidRPr="00727324">
        <w:rPr>
          <w:rFonts w:ascii="Bookman Old Style" w:hAnsi="Bookman Old Style"/>
          <w:sz w:val="24"/>
          <w:szCs w:val="24"/>
          <w:lang w:val="id-ID"/>
        </w:rPr>
        <w:t>sebagaimana</w:t>
      </w:r>
      <w:r w:rsidR="00A954D0">
        <w:rPr>
          <w:rFonts w:ascii="Bookman Old Style" w:hAnsi="Bookman Old Style"/>
          <w:sz w:val="24"/>
          <w:szCs w:val="24"/>
          <w:lang w:val="id-ID"/>
        </w:rPr>
        <w:t xml:space="preserve"> </w:t>
      </w:r>
      <w:r w:rsidRPr="00727324">
        <w:rPr>
          <w:rFonts w:ascii="Bookman Old Style" w:hAnsi="Bookman Old Style"/>
          <w:sz w:val="24"/>
          <w:szCs w:val="24"/>
          <w:lang w:val="id-ID"/>
        </w:rPr>
        <w:t>maksud</w:t>
      </w:r>
      <w:r w:rsidR="00A954D0">
        <w:rPr>
          <w:rFonts w:ascii="Bookman Old Style" w:hAnsi="Bookman Old Style"/>
          <w:sz w:val="24"/>
          <w:szCs w:val="24"/>
          <w:lang w:val="id-ID"/>
        </w:rPr>
        <w:t xml:space="preserve"> </w:t>
      </w:r>
      <w:r w:rsidRPr="00727324">
        <w:rPr>
          <w:rFonts w:ascii="Bookman Old Style" w:hAnsi="Bookman Old Style"/>
          <w:sz w:val="24"/>
          <w:szCs w:val="24"/>
          <w:lang w:val="id-ID"/>
        </w:rPr>
        <w:t>butir</w:t>
      </w:r>
      <w:r w:rsidR="00A954D0">
        <w:rPr>
          <w:rFonts w:ascii="Bookman Old Style" w:hAnsi="Bookman Old Style"/>
          <w:sz w:val="24"/>
          <w:szCs w:val="24"/>
          <w:lang w:val="id-ID"/>
        </w:rPr>
        <w:t xml:space="preserve"> </w:t>
      </w:r>
      <w:r w:rsidRPr="00727324">
        <w:rPr>
          <w:rFonts w:ascii="Bookman Old Style" w:hAnsi="Bookman Old Style"/>
          <w:sz w:val="24"/>
          <w:szCs w:val="24"/>
          <w:lang w:val="id-ID"/>
        </w:rPr>
        <w:t>3.4.1.2.2.b.10).a)</w:t>
      </w:r>
      <w:r w:rsidR="00A954D0">
        <w:rPr>
          <w:rFonts w:ascii="Bookman Old Style" w:hAnsi="Bookman Old Style"/>
          <w:sz w:val="24"/>
          <w:szCs w:val="24"/>
          <w:lang w:val="id-ID"/>
        </w:rPr>
        <w:t xml:space="preserve"> </w:t>
      </w:r>
      <w:r w:rsidRPr="00727324">
        <w:rPr>
          <w:rFonts w:ascii="Bookman Old Style" w:hAnsi="Bookman Old Style"/>
          <w:sz w:val="24"/>
          <w:szCs w:val="24"/>
          <w:lang w:val="id-ID"/>
        </w:rPr>
        <w:t>Lampiran</w:t>
      </w:r>
      <w:r w:rsidR="00A954D0">
        <w:rPr>
          <w:rFonts w:ascii="Bookman Old Style" w:hAnsi="Bookman Old Style"/>
          <w:sz w:val="24"/>
          <w:szCs w:val="24"/>
          <w:lang w:val="id-ID"/>
        </w:rPr>
        <w:t xml:space="preserve"> </w:t>
      </w:r>
      <w:r w:rsidRPr="00727324">
        <w:rPr>
          <w:rFonts w:ascii="Bookman Old Style" w:hAnsi="Bookman Old Style"/>
          <w:sz w:val="24"/>
          <w:szCs w:val="24"/>
          <w:lang w:val="id-ID"/>
        </w:rPr>
        <w:t>Peraturan</w:t>
      </w:r>
      <w:r w:rsidR="00A954D0">
        <w:rPr>
          <w:rFonts w:ascii="Bookman Old Style" w:hAnsi="Bookman Old Style"/>
          <w:sz w:val="24"/>
          <w:szCs w:val="24"/>
          <w:lang w:val="id-ID"/>
        </w:rPr>
        <w:t xml:space="preserve"> </w:t>
      </w:r>
      <w:r w:rsidRPr="00727324">
        <w:rPr>
          <w:rFonts w:ascii="Bookman Old Style" w:hAnsi="Bookman Old Style"/>
          <w:sz w:val="24"/>
          <w:szCs w:val="24"/>
          <w:lang w:val="id-ID"/>
        </w:rPr>
        <w:t>Menteri</w:t>
      </w:r>
      <w:r w:rsidR="00A954D0">
        <w:rPr>
          <w:rFonts w:ascii="Bookman Old Style" w:hAnsi="Bookman Old Style"/>
          <w:sz w:val="24"/>
          <w:szCs w:val="24"/>
          <w:lang w:val="id-ID"/>
        </w:rPr>
        <w:t xml:space="preserve"> </w:t>
      </w:r>
      <w:r w:rsidRPr="00727324">
        <w:rPr>
          <w:rFonts w:ascii="Bookman Old Style" w:hAnsi="Bookman Old Style"/>
          <w:sz w:val="24"/>
          <w:szCs w:val="24"/>
          <w:lang w:val="id-ID"/>
        </w:rPr>
        <w:t>Dalam</w:t>
      </w:r>
      <w:r w:rsidR="00A954D0">
        <w:rPr>
          <w:rFonts w:ascii="Bookman Old Style" w:hAnsi="Bookman Old Style"/>
          <w:sz w:val="24"/>
          <w:szCs w:val="24"/>
          <w:lang w:val="id-ID"/>
        </w:rPr>
        <w:t xml:space="preserve"> </w:t>
      </w:r>
      <w:r w:rsidRPr="00727324">
        <w:rPr>
          <w:rFonts w:ascii="Bookman Old Style" w:hAnsi="Bookman Old Style"/>
          <w:sz w:val="24"/>
          <w:szCs w:val="24"/>
          <w:lang w:val="id-ID"/>
        </w:rPr>
        <w:t>Negeri</w:t>
      </w:r>
      <w:r w:rsidR="00A954D0">
        <w:rPr>
          <w:rFonts w:ascii="Bookman Old Style" w:hAnsi="Bookman Old Style"/>
          <w:sz w:val="24"/>
          <w:szCs w:val="24"/>
          <w:lang w:val="id-ID"/>
        </w:rPr>
        <w:t xml:space="preserve"> </w:t>
      </w:r>
      <w:r w:rsidRPr="00727324">
        <w:rPr>
          <w:rFonts w:ascii="Bookman Old Style" w:hAnsi="Bookman Old Style"/>
          <w:sz w:val="24"/>
          <w:szCs w:val="24"/>
          <w:lang w:val="id-ID"/>
        </w:rPr>
        <w:t>Nomor</w:t>
      </w:r>
      <w:r w:rsidR="00A954D0">
        <w:rPr>
          <w:rFonts w:ascii="Bookman Old Style" w:hAnsi="Bookman Old Style"/>
          <w:sz w:val="24"/>
          <w:szCs w:val="24"/>
          <w:lang w:val="id-ID"/>
        </w:rPr>
        <w:t xml:space="preserve"> </w:t>
      </w:r>
      <w:r w:rsidRPr="00727324">
        <w:rPr>
          <w:rFonts w:ascii="Bookman Old Style" w:hAnsi="Bookman Old Style"/>
          <w:sz w:val="24"/>
          <w:szCs w:val="24"/>
          <w:lang w:val="id-ID"/>
        </w:rPr>
        <w:t>15</w:t>
      </w:r>
      <w:r w:rsidR="00A954D0">
        <w:rPr>
          <w:rFonts w:ascii="Bookman Old Style" w:hAnsi="Bookman Old Style"/>
          <w:sz w:val="24"/>
          <w:szCs w:val="24"/>
          <w:lang w:val="id-ID"/>
        </w:rPr>
        <w:t xml:space="preserve"> </w:t>
      </w:r>
      <w:r w:rsidRPr="00727324">
        <w:rPr>
          <w:rFonts w:ascii="Bookman Old Style" w:hAnsi="Bookman Old Style"/>
          <w:sz w:val="24"/>
          <w:szCs w:val="24"/>
          <w:lang w:val="id-ID"/>
        </w:rPr>
        <w:t>Tahun</w:t>
      </w:r>
      <w:r w:rsidR="00A954D0">
        <w:rPr>
          <w:rFonts w:ascii="Bookman Old Style" w:hAnsi="Bookman Old Style"/>
          <w:sz w:val="24"/>
          <w:szCs w:val="24"/>
          <w:lang w:val="id-ID"/>
        </w:rPr>
        <w:t xml:space="preserve"> </w:t>
      </w:r>
      <w:r w:rsidRPr="00727324">
        <w:rPr>
          <w:rFonts w:ascii="Bookman Old Style" w:hAnsi="Bookman Old Style"/>
          <w:sz w:val="24"/>
          <w:szCs w:val="24"/>
          <w:lang w:val="id-ID"/>
        </w:rPr>
        <w:t>2024</w:t>
      </w:r>
      <w:r w:rsidR="00360F37">
        <w:rPr>
          <w:rFonts w:ascii="Bookman Old Style" w:hAnsi="Bookman Old Style"/>
          <w:sz w:val="24"/>
          <w:szCs w:val="24"/>
          <w:lang w:val="id-ID"/>
        </w:rPr>
        <w:t>.</w:t>
      </w:r>
    </w:p>
    <w:p w14:paraId="110539AD" w14:textId="0A3356AD" w:rsidR="005A4806" w:rsidRPr="00727324" w:rsidRDefault="005A4806" w:rsidP="00AC44F5">
      <w:pPr>
        <w:pStyle w:val="ListParagraph"/>
        <w:numPr>
          <w:ilvl w:val="0"/>
          <w:numId w:val="13"/>
        </w:numPr>
        <w:spacing w:before="60" w:after="0" w:line="276" w:lineRule="auto"/>
        <w:ind w:left="2268" w:hanging="567"/>
        <w:contextualSpacing w:val="0"/>
        <w:jc w:val="both"/>
        <w:rPr>
          <w:rFonts w:ascii="Bookman Old Style" w:hAnsi="Bookman Old Style" w:cs="Arial"/>
          <w:color w:val="FF0000"/>
          <w:sz w:val="24"/>
          <w:szCs w:val="24"/>
        </w:rPr>
      </w:pPr>
      <w:r w:rsidRPr="000B008C">
        <w:rPr>
          <w:rFonts w:ascii="Bookman Old Style" w:hAnsi="Bookman Old Style" w:cs="Gill Sans Light (Arabid)"/>
          <w:bCs/>
          <w:color w:val="000000" w:themeColor="text1"/>
          <w:sz w:val="24"/>
          <w:szCs w:val="24"/>
          <w:lang w:eastAsia="id-ID"/>
        </w:rPr>
        <w:t>Penyediaan</w:t>
      </w:r>
      <w:r w:rsidR="00A954D0">
        <w:rPr>
          <w:rFonts w:ascii="Bookman Old Style" w:hAnsi="Bookman Old Style"/>
          <w:sz w:val="24"/>
          <w:szCs w:val="24"/>
        </w:rPr>
        <w:t xml:space="preserve"> </w:t>
      </w:r>
      <w:r w:rsidRPr="00133850">
        <w:rPr>
          <w:rFonts w:ascii="Bookman Old Style" w:hAnsi="Bookman Old Style"/>
          <w:sz w:val="24"/>
          <w:szCs w:val="24"/>
          <w:lang w:val="id-ID"/>
        </w:rPr>
        <w:t>alokasi</w:t>
      </w:r>
      <w:r w:rsidR="00A954D0">
        <w:rPr>
          <w:rFonts w:ascii="Bookman Old Style" w:hAnsi="Bookman Old Style"/>
          <w:sz w:val="24"/>
          <w:szCs w:val="24"/>
        </w:rPr>
        <w:t xml:space="preserve"> </w:t>
      </w:r>
      <w:r w:rsidRPr="00727324">
        <w:rPr>
          <w:rFonts w:ascii="Bookman Old Style" w:hAnsi="Bookman Old Style"/>
          <w:sz w:val="24"/>
          <w:szCs w:val="24"/>
        </w:rPr>
        <w:t>anggaran</w:t>
      </w:r>
      <w:r w:rsidR="00A954D0">
        <w:rPr>
          <w:rFonts w:ascii="Bookman Old Style" w:hAnsi="Bookman Old Style"/>
          <w:sz w:val="24"/>
          <w:szCs w:val="24"/>
        </w:rPr>
        <w:t xml:space="preserve"> </w:t>
      </w:r>
      <w:r w:rsidRPr="00727324">
        <w:rPr>
          <w:rFonts w:ascii="Bookman Old Style" w:hAnsi="Bookman Old Style"/>
          <w:sz w:val="24"/>
          <w:szCs w:val="24"/>
        </w:rPr>
        <w:t>Belanja</w:t>
      </w:r>
      <w:r w:rsidR="00A954D0">
        <w:rPr>
          <w:rFonts w:ascii="Bookman Old Style" w:hAnsi="Bookman Old Style"/>
          <w:sz w:val="24"/>
          <w:szCs w:val="24"/>
        </w:rPr>
        <w:t xml:space="preserve"> </w:t>
      </w:r>
      <w:r w:rsidRPr="00727324">
        <w:rPr>
          <w:rFonts w:ascii="Bookman Old Style" w:hAnsi="Bookman Old Style"/>
          <w:sz w:val="24"/>
          <w:szCs w:val="24"/>
        </w:rPr>
        <w:t>Iuran</w:t>
      </w:r>
      <w:r w:rsidR="00A954D0">
        <w:rPr>
          <w:rFonts w:ascii="Bookman Old Style" w:hAnsi="Bookman Old Style"/>
          <w:sz w:val="24"/>
          <w:szCs w:val="24"/>
        </w:rPr>
        <w:t xml:space="preserve"> </w:t>
      </w:r>
      <w:r w:rsidRPr="00727324">
        <w:rPr>
          <w:rFonts w:ascii="Bookman Old Style" w:hAnsi="Bookman Old Style"/>
          <w:sz w:val="24"/>
          <w:szCs w:val="24"/>
        </w:rPr>
        <w:t>Simpanan</w:t>
      </w:r>
      <w:r w:rsidR="00A954D0">
        <w:rPr>
          <w:rFonts w:ascii="Bookman Old Style" w:hAnsi="Bookman Old Style"/>
          <w:sz w:val="24"/>
          <w:szCs w:val="24"/>
        </w:rPr>
        <w:t xml:space="preserve"> </w:t>
      </w:r>
      <w:r w:rsidRPr="00727324">
        <w:rPr>
          <w:rFonts w:ascii="Bookman Old Style" w:hAnsi="Bookman Old Style"/>
          <w:color w:val="000000" w:themeColor="text1"/>
          <w:sz w:val="24"/>
          <w:szCs w:val="24"/>
        </w:rPr>
        <w:t>Peserta</w:t>
      </w:r>
      <w:r w:rsidR="00A954D0">
        <w:rPr>
          <w:rFonts w:ascii="Bookman Old Style" w:hAnsi="Bookman Old Style"/>
          <w:sz w:val="24"/>
          <w:szCs w:val="24"/>
        </w:rPr>
        <w:t xml:space="preserve"> </w:t>
      </w:r>
      <w:r w:rsidRPr="00727324">
        <w:rPr>
          <w:rFonts w:ascii="Bookman Old Style" w:hAnsi="Bookman Old Style"/>
          <w:sz w:val="24"/>
          <w:szCs w:val="24"/>
        </w:rPr>
        <w:t>Tabungan</w:t>
      </w:r>
      <w:r w:rsidR="00A954D0">
        <w:rPr>
          <w:rFonts w:ascii="Bookman Old Style" w:hAnsi="Bookman Old Style"/>
          <w:sz w:val="24"/>
          <w:szCs w:val="24"/>
        </w:rPr>
        <w:t xml:space="preserve"> </w:t>
      </w:r>
      <w:r w:rsidRPr="00727324">
        <w:rPr>
          <w:rFonts w:ascii="Bookman Old Style" w:hAnsi="Bookman Old Style"/>
          <w:sz w:val="24"/>
          <w:szCs w:val="24"/>
        </w:rPr>
        <w:t>Perumahan</w:t>
      </w:r>
      <w:r w:rsidR="00A954D0">
        <w:rPr>
          <w:rFonts w:ascii="Bookman Old Style" w:hAnsi="Bookman Old Style"/>
          <w:sz w:val="24"/>
          <w:szCs w:val="24"/>
        </w:rPr>
        <w:t xml:space="preserve"> </w:t>
      </w:r>
      <w:r w:rsidRPr="00727324">
        <w:rPr>
          <w:rFonts w:ascii="Bookman Old Style" w:hAnsi="Bookman Old Style"/>
          <w:sz w:val="24"/>
          <w:szCs w:val="24"/>
        </w:rPr>
        <w:t>Rakyat</w:t>
      </w:r>
      <w:r w:rsidR="00A954D0">
        <w:rPr>
          <w:rFonts w:ascii="Bookman Old Style" w:hAnsi="Bookman Old Style"/>
          <w:sz w:val="24"/>
          <w:szCs w:val="24"/>
        </w:rPr>
        <w:t xml:space="preserve"> </w:t>
      </w:r>
      <w:r w:rsidRPr="00727324">
        <w:rPr>
          <w:rFonts w:ascii="Bookman Old Style" w:hAnsi="Bookman Old Style"/>
          <w:sz w:val="24"/>
          <w:szCs w:val="24"/>
        </w:rPr>
        <w:t>ASN</w:t>
      </w:r>
      <w:r w:rsidR="00A954D0" w:rsidRPr="003255BC">
        <w:rPr>
          <w:rFonts w:ascii="Bookman Old Style" w:hAnsi="Bookman Old Style" w:cs="Arial"/>
          <w:sz w:val="24"/>
          <w:szCs w:val="24"/>
          <w:lang w:val="id-ID"/>
        </w:rPr>
        <w:t xml:space="preserve"> </w:t>
      </w:r>
      <w:r w:rsidRPr="003255BC">
        <w:rPr>
          <w:rFonts w:ascii="Bookman Old Style" w:hAnsi="Bookman Old Style" w:cs="Arial"/>
          <w:sz w:val="24"/>
          <w:szCs w:val="24"/>
          <w:lang w:val="id-ID"/>
        </w:rPr>
        <w:t>Rp3.916.205.636,00</w:t>
      </w:r>
      <w:r w:rsidR="00A954D0" w:rsidRPr="003255BC">
        <w:rPr>
          <w:rFonts w:ascii="Bookman Old Style" w:hAnsi="Bookman Old Style" w:cs="Tahoma,Bold"/>
          <w:bCs/>
          <w:color w:val="000000" w:themeColor="text1"/>
          <w:sz w:val="24"/>
          <w:szCs w:val="24"/>
          <w:lang w:val="id-ID" w:eastAsia="id-ID"/>
        </w:rPr>
        <w:t xml:space="preserve"> </w:t>
      </w:r>
      <w:r w:rsidRPr="003255BC">
        <w:rPr>
          <w:rFonts w:ascii="Bookman Old Style" w:hAnsi="Bookman Old Style" w:cs="Tahoma,Bold"/>
          <w:bCs/>
          <w:color w:val="000000" w:themeColor="text1"/>
          <w:sz w:val="24"/>
          <w:szCs w:val="24"/>
          <w:lang w:val="id-ID" w:eastAsia="id-ID"/>
        </w:rPr>
        <w:t>atau</w:t>
      </w:r>
      <w:r w:rsidR="00A954D0" w:rsidRPr="003255BC">
        <w:rPr>
          <w:rFonts w:ascii="Bookman Old Style" w:hAnsi="Bookman Old Style" w:cs="Tahoma,Bold"/>
          <w:bCs/>
          <w:color w:val="000000" w:themeColor="text1"/>
          <w:sz w:val="24"/>
          <w:szCs w:val="24"/>
          <w:lang w:val="id-ID" w:eastAsia="id-ID"/>
        </w:rPr>
        <w:t xml:space="preserve"> </w:t>
      </w:r>
      <w:r w:rsidRPr="003255BC">
        <w:rPr>
          <w:rFonts w:ascii="Bookman Old Style" w:hAnsi="Bookman Old Style" w:cs="Tahoma,Bold"/>
          <w:bCs/>
          <w:color w:val="000000" w:themeColor="text1"/>
          <w:sz w:val="24"/>
          <w:szCs w:val="24"/>
          <w:lang w:val="id-ID" w:eastAsia="id-ID"/>
        </w:rPr>
        <w:t>0,07%</w:t>
      </w:r>
      <w:r w:rsidR="00A954D0" w:rsidRPr="003255BC">
        <w:rPr>
          <w:rFonts w:ascii="Bookman Old Style" w:hAnsi="Bookman Old Style" w:cs="Tahoma,Bold"/>
          <w:bCs/>
          <w:color w:val="000000" w:themeColor="text1"/>
          <w:sz w:val="24"/>
          <w:szCs w:val="24"/>
          <w:lang w:val="id-ID" w:eastAsia="id-ID"/>
        </w:rPr>
        <w:t xml:space="preserve"> </w:t>
      </w:r>
      <w:r w:rsidRPr="003255BC">
        <w:rPr>
          <w:rFonts w:ascii="Bookman Old Style" w:hAnsi="Bookman Old Style" w:cs="Tahoma,Bold"/>
          <w:bCs/>
          <w:color w:val="000000" w:themeColor="text1"/>
          <w:sz w:val="24"/>
          <w:szCs w:val="24"/>
          <w:lang w:val="id-ID" w:eastAsia="id-ID"/>
        </w:rPr>
        <w:t>dari</w:t>
      </w:r>
      <w:r w:rsidR="00A954D0" w:rsidRPr="003255BC">
        <w:rPr>
          <w:rFonts w:ascii="Bookman Old Style" w:hAnsi="Bookman Old Style" w:cs="Tahoma,Bold"/>
          <w:bCs/>
          <w:color w:val="000000" w:themeColor="text1"/>
          <w:sz w:val="24"/>
          <w:szCs w:val="24"/>
          <w:lang w:val="id-ID" w:eastAsia="id-ID"/>
        </w:rPr>
        <w:t xml:space="preserve"> </w:t>
      </w:r>
      <w:r w:rsidRPr="003255BC">
        <w:rPr>
          <w:rFonts w:ascii="Bookman Old Style" w:hAnsi="Bookman Old Style" w:cs="Tahoma,Bold"/>
          <w:bCs/>
          <w:color w:val="000000" w:themeColor="text1"/>
          <w:sz w:val="24"/>
          <w:szCs w:val="24"/>
          <w:lang w:val="id-ID" w:eastAsia="id-ID"/>
        </w:rPr>
        <w:t>total</w:t>
      </w:r>
      <w:r w:rsidR="00A954D0" w:rsidRPr="003255BC">
        <w:rPr>
          <w:rFonts w:ascii="Bookman Old Style" w:hAnsi="Bookman Old Style" w:cs="Tahoma,Bold"/>
          <w:bCs/>
          <w:color w:val="000000" w:themeColor="text1"/>
          <w:sz w:val="24"/>
          <w:szCs w:val="24"/>
          <w:lang w:val="id-ID" w:eastAsia="id-ID"/>
        </w:rPr>
        <w:t xml:space="preserve"> </w:t>
      </w:r>
      <w:r w:rsidRPr="003255BC">
        <w:rPr>
          <w:rFonts w:ascii="Bookman Old Style" w:hAnsi="Bookman Old Style" w:cs="Tahoma,Bold"/>
          <w:bCs/>
          <w:color w:val="000000" w:themeColor="text1"/>
          <w:sz w:val="24"/>
          <w:szCs w:val="24"/>
          <w:lang w:val="id-ID" w:eastAsia="id-ID"/>
        </w:rPr>
        <w:t>belanja</w:t>
      </w:r>
      <w:r w:rsidR="00A954D0" w:rsidRPr="003255BC">
        <w:rPr>
          <w:rFonts w:ascii="Bookman Old Style" w:hAnsi="Bookman Old Style" w:cs="Tahoma,Bold"/>
          <w:bCs/>
          <w:color w:val="000000" w:themeColor="text1"/>
          <w:sz w:val="24"/>
          <w:szCs w:val="24"/>
          <w:lang w:val="id-ID" w:eastAsia="id-ID"/>
        </w:rPr>
        <w:t xml:space="preserve"> </w:t>
      </w:r>
      <w:r w:rsidRPr="003255BC">
        <w:rPr>
          <w:rFonts w:ascii="Bookman Old Style" w:hAnsi="Bookman Old Style" w:cs="Tahoma,Bold"/>
          <w:bCs/>
          <w:color w:val="000000" w:themeColor="text1"/>
          <w:sz w:val="24"/>
          <w:szCs w:val="24"/>
          <w:lang w:val="id-ID" w:eastAsia="id-ID"/>
        </w:rPr>
        <w:t>daerah</w:t>
      </w:r>
      <w:r w:rsidR="00A954D0" w:rsidRPr="003255BC">
        <w:rPr>
          <w:rFonts w:ascii="Bookman Old Style" w:hAnsi="Bookman Old Style" w:cs="Tahoma,Bold"/>
          <w:bCs/>
          <w:color w:val="000000" w:themeColor="text1"/>
          <w:sz w:val="24"/>
          <w:szCs w:val="24"/>
          <w:lang w:val="id-ID" w:eastAsia="id-ID"/>
        </w:rPr>
        <w:t xml:space="preserve"> </w:t>
      </w:r>
      <w:r w:rsidRPr="003255BC">
        <w:rPr>
          <w:rFonts w:ascii="Bookman Old Style" w:hAnsi="Bookman Old Style" w:cs="Tahoma,Bold"/>
          <w:bCs/>
          <w:color w:val="000000" w:themeColor="text1"/>
          <w:sz w:val="24"/>
          <w:szCs w:val="24"/>
          <w:lang w:val="id-ID" w:eastAsia="id-ID"/>
        </w:rPr>
        <w:t>dalam</w:t>
      </w:r>
      <w:r w:rsidR="00A954D0" w:rsidRPr="003255BC">
        <w:rPr>
          <w:rFonts w:ascii="Bookman Old Style" w:hAnsi="Bookman Old Style" w:cs="Tahoma,Bold"/>
          <w:bCs/>
          <w:color w:val="000000" w:themeColor="text1"/>
          <w:sz w:val="24"/>
          <w:szCs w:val="24"/>
          <w:lang w:val="id-ID" w:eastAsia="id-ID"/>
        </w:rPr>
        <w:t xml:space="preserve"> </w:t>
      </w:r>
      <w:r w:rsidRPr="00727324">
        <w:rPr>
          <w:rFonts w:ascii="Bookman Old Style" w:hAnsi="Bookman Old Style" w:cs="Tahoma,Bold"/>
          <w:bCs/>
          <w:sz w:val="24"/>
          <w:szCs w:val="24"/>
          <w:lang w:val="id-ID" w:eastAsia="id-ID"/>
        </w:rPr>
        <w:t>Rancangan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Peraturan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Daerah</w:t>
      </w:r>
      <w:r w:rsidR="00A954D0">
        <w:rPr>
          <w:rFonts w:ascii="Bookman Old Style" w:hAnsi="Bookman Old Style"/>
          <w:sz w:val="24"/>
          <w:szCs w:val="24"/>
          <w:lang w:val="id-ID"/>
        </w:rPr>
        <w:t xml:space="preserve"> </w:t>
      </w:r>
      <w:r>
        <w:rPr>
          <w:rFonts w:ascii="Bookman Old Style" w:hAnsi="Bookman Old Style"/>
          <w:sz w:val="24"/>
          <w:szCs w:val="24"/>
          <w:lang w:val="fi-FI"/>
        </w:rPr>
        <w:t>Tangerang</w:t>
      </w:r>
      <w:r w:rsidR="00A954D0">
        <w:rPr>
          <w:rFonts w:ascii="Bookman Old Style" w:hAnsi="Bookman Old Style"/>
          <w:sz w:val="24"/>
          <w:szCs w:val="24"/>
        </w:rPr>
        <w:t xml:space="preserve"> </w:t>
      </w:r>
      <w:r w:rsidRPr="00727324">
        <w:rPr>
          <w:rFonts w:ascii="Bookman Old Style" w:hAnsi="Bookman Old Style" w:cs="Tahoma,Bold"/>
          <w:bCs/>
          <w:sz w:val="24"/>
          <w:szCs w:val="24"/>
          <w:lang w:val="id-ID" w:eastAsia="id-ID"/>
        </w:rPr>
        <w:t>tentang</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APBD</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Tahun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Anggaran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202</w:t>
      </w:r>
      <w:r w:rsidRPr="003255BC">
        <w:rPr>
          <w:rFonts w:ascii="Bookman Old Style" w:hAnsi="Bookman Old Style" w:cs="Tahoma,Bold"/>
          <w:bCs/>
          <w:sz w:val="24"/>
          <w:szCs w:val="24"/>
          <w:lang w:val="id-ID" w:eastAsia="id-ID"/>
        </w:rPr>
        <w:t>5</w:t>
      </w:r>
      <w:r w:rsidRPr="00727324">
        <w:rPr>
          <w:rFonts w:ascii="Bookman Old Style" w:hAnsi="Bookman Old Style"/>
          <w:sz w:val="24"/>
          <w:szCs w:val="24"/>
        </w:rPr>
        <w:t>,</w:t>
      </w:r>
      <w:r w:rsidR="00A954D0">
        <w:rPr>
          <w:rFonts w:ascii="Bookman Old Style" w:hAnsi="Bookman Old Style"/>
          <w:sz w:val="24"/>
          <w:szCs w:val="24"/>
        </w:rPr>
        <w:t xml:space="preserve"> </w:t>
      </w:r>
      <w:r w:rsidRPr="00727324">
        <w:rPr>
          <w:rFonts w:ascii="Bookman Old Style" w:hAnsi="Bookman Old Style"/>
          <w:sz w:val="24"/>
          <w:szCs w:val="24"/>
          <w:lang w:val="id-ID"/>
        </w:rPr>
        <w:t>yang</w:t>
      </w:r>
      <w:r w:rsidR="00A954D0">
        <w:rPr>
          <w:rFonts w:ascii="Bookman Old Style" w:hAnsi="Bookman Old Style"/>
          <w:sz w:val="24"/>
          <w:szCs w:val="24"/>
          <w:lang w:val="id-ID"/>
        </w:rPr>
        <w:t xml:space="preserve"> </w:t>
      </w:r>
      <w:r w:rsidRPr="00727324">
        <w:rPr>
          <w:rFonts w:ascii="Bookman Old Style" w:hAnsi="Bookman Old Style"/>
          <w:sz w:val="24"/>
          <w:szCs w:val="24"/>
        </w:rPr>
        <w:t>diuraikan</w:t>
      </w:r>
      <w:r w:rsidR="00A954D0">
        <w:rPr>
          <w:rFonts w:ascii="Bookman Old Style" w:hAnsi="Bookman Old Style"/>
          <w:sz w:val="24"/>
          <w:szCs w:val="24"/>
        </w:rPr>
        <w:t xml:space="preserve"> </w:t>
      </w:r>
      <w:r w:rsidRPr="00727324">
        <w:rPr>
          <w:rFonts w:ascii="Bookman Old Style" w:hAnsi="Bookman Old Style"/>
          <w:sz w:val="24"/>
          <w:szCs w:val="24"/>
        </w:rPr>
        <w:t>pada</w:t>
      </w:r>
      <w:r w:rsidRPr="00727324">
        <w:rPr>
          <w:rFonts w:ascii="Bookman Old Style" w:hAnsi="Bookman Old Style"/>
          <w:sz w:val="24"/>
          <w:szCs w:val="24"/>
          <w:lang w:val="fi-FI"/>
        </w:rPr>
        <w:t>:</w:t>
      </w:r>
    </w:p>
    <w:p w14:paraId="10824CA3" w14:textId="1BD652E3" w:rsidR="005A4806" w:rsidRPr="00727324" w:rsidRDefault="005A4806" w:rsidP="00AC44F5">
      <w:pPr>
        <w:pStyle w:val="ListParagraph"/>
        <w:numPr>
          <w:ilvl w:val="0"/>
          <w:numId w:val="16"/>
        </w:numPr>
        <w:snapToGrid w:val="0"/>
        <w:spacing w:before="60" w:after="0" w:line="276" w:lineRule="auto"/>
        <w:ind w:left="2694" w:hanging="425"/>
        <w:contextualSpacing w:val="0"/>
        <w:jc w:val="both"/>
        <w:rPr>
          <w:rFonts w:ascii="Bookman Old Style" w:hAnsi="Bookman Old Style" w:cs="Tahoma,Bold"/>
          <w:bCs/>
          <w:sz w:val="24"/>
          <w:szCs w:val="24"/>
          <w:lang w:val="fi-FI" w:eastAsia="id-ID"/>
        </w:rPr>
      </w:pPr>
      <w:r w:rsidRPr="00727324">
        <w:rPr>
          <w:rFonts w:ascii="Bookman Old Style" w:hAnsi="Bookman Old Style" w:cs="Tahoma,Bold"/>
          <w:bCs/>
          <w:sz w:val="24"/>
          <w:szCs w:val="24"/>
          <w:lang w:val="fi-FI" w:eastAsia="id-ID"/>
        </w:rPr>
        <w:t>Belanja</w:t>
      </w:r>
      <w:r w:rsidR="00A954D0">
        <w:rPr>
          <w:rFonts w:ascii="Bookman Old Style" w:hAnsi="Bookman Old Style" w:cs="Tahoma,Bold"/>
          <w:bCs/>
          <w:sz w:val="24"/>
          <w:szCs w:val="24"/>
          <w:lang w:val="fi-FI" w:eastAsia="id-ID"/>
        </w:rPr>
        <w:t xml:space="preserve"> </w:t>
      </w:r>
      <w:r w:rsidRPr="00727324">
        <w:rPr>
          <w:rFonts w:ascii="Bookman Old Style" w:hAnsi="Bookman Old Style" w:cs="Tahoma,Bold"/>
          <w:bCs/>
          <w:sz w:val="24"/>
          <w:szCs w:val="24"/>
          <w:lang w:val="fi-FI" w:eastAsia="id-ID"/>
        </w:rPr>
        <w:t>Iuran</w:t>
      </w:r>
      <w:r w:rsidR="00A954D0">
        <w:rPr>
          <w:rFonts w:ascii="Bookman Old Style" w:hAnsi="Bookman Old Style" w:cs="Tahoma,Bold"/>
          <w:bCs/>
          <w:sz w:val="24"/>
          <w:szCs w:val="24"/>
          <w:lang w:val="fi-FI" w:eastAsia="id-ID"/>
        </w:rPr>
        <w:t xml:space="preserve"> </w:t>
      </w:r>
      <w:r w:rsidRPr="00727324">
        <w:rPr>
          <w:rFonts w:ascii="Bookman Old Style" w:hAnsi="Bookman Old Style" w:cs="Tahoma,Bold"/>
          <w:bCs/>
          <w:sz w:val="24"/>
          <w:szCs w:val="24"/>
          <w:lang w:val="fi-FI" w:eastAsia="id-ID"/>
        </w:rPr>
        <w:t>Simpanan</w:t>
      </w:r>
      <w:r w:rsidR="00A954D0">
        <w:rPr>
          <w:rFonts w:ascii="Bookman Old Style" w:hAnsi="Bookman Old Style" w:cs="Tahoma,Bold"/>
          <w:bCs/>
          <w:sz w:val="24"/>
          <w:szCs w:val="24"/>
          <w:lang w:val="fi-FI" w:eastAsia="id-ID"/>
        </w:rPr>
        <w:t xml:space="preserve"> </w:t>
      </w:r>
      <w:r w:rsidRPr="00727324">
        <w:rPr>
          <w:rFonts w:ascii="Bookman Old Style" w:hAnsi="Bookman Old Style" w:cs="Tahoma,Bold"/>
          <w:bCs/>
          <w:sz w:val="24"/>
          <w:szCs w:val="24"/>
          <w:lang w:val="fi-FI" w:eastAsia="id-ID"/>
        </w:rPr>
        <w:t>Peserta</w:t>
      </w:r>
      <w:r w:rsidR="00A954D0">
        <w:rPr>
          <w:rFonts w:ascii="Bookman Old Style" w:hAnsi="Bookman Old Style" w:cs="Tahoma,Bold"/>
          <w:bCs/>
          <w:sz w:val="24"/>
          <w:szCs w:val="24"/>
          <w:lang w:val="fi-FI" w:eastAsia="id-ID"/>
        </w:rPr>
        <w:t xml:space="preserve"> </w:t>
      </w:r>
      <w:r w:rsidRPr="00727324">
        <w:rPr>
          <w:rFonts w:ascii="Bookman Old Style" w:hAnsi="Bookman Old Style" w:cs="Tahoma,Bold"/>
          <w:bCs/>
          <w:sz w:val="24"/>
          <w:szCs w:val="24"/>
          <w:lang w:val="fi-FI" w:eastAsia="id-ID"/>
        </w:rPr>
        <w:t>Tabungan</w:t>
      </w:r>
      <w:r w:rsidR="00A954D0">
        <w:rPr>
          <w:rFonts w:ascii="Bookman Old Style" w:hAnsi="Bookman Old Style" w:cs="Tahoma,Bold"/>
          <w:bCs/>
          <w:sz w:val="24"/>
          <w:szCs w:val="24"/>
          <w:lang w:val="fi-FI" w:eastAsia="id-ID"/>
        </w:rPr>
        <w:t xml:space="preserve"> </w:t>
      </w:r>
      <w:r w:rsidRPr="00727324">
        <w:rPr>
          <w:rFonts w:ascii="Bookman Old Style" w:hAnsi="Bookman Old Style" w:cs="Tahoma,Bold"/>
          <w:bCs/>
          <w:sz w:val="24"/>
          <w:szCs w:val="24"/>
          <w:lang w:val="fi-FI" w:eastAsia="id-ID"/>
        </w:rPr>
        <w:t>Perumahan</w:t>
      </w:r>
      <w:r w:rsidR="00A954D0">
        <w:rPr>
          <w:rFonts w:ascii="Bookman Old Style" w:hAnsi="Bookman Old Style" w:cs="Tahoma,Bold"/>
          <w:bCs/>
          <w:sz w:val="24"/>
          <w:szCs w:val="24"/>
          <w:lang w:val="fi-FI" w:eastAsia="id-ID"/>
        </w:rPr>
        <w:t xml:space="preserve"> </w:t>
      </w:r>
      <w:r w:rsidRPr="00727324">
        <w:rPr>
          <w:rFonts w:ascii="Bookman Old Style" w:hAnsi="Bookman Old Style" w:cs="Tahoma,Bold"/>
          <w:bCs/>
          <w:sz w:val="24"/>
          <w:szCs w:val="24"/>
          <w:lang w:val="fi-FI" w:eastAsia="id-ID"/>
        </w:rPr>
        <w:t>Rakyat</w:t>
      </w:r>
      <w:r w:rsidR="00A954D0">
        <w:rPr>
          <w:rFonts w:ascii="Bookman Old Style" w:hAnsi="Bookman Old Style" w:cs="Tahoma,Bold"/>
          <w:bCs/>
          <w:sz w:val="24"/>
          <w:szCs w:val="24"/>
          <w:lang w:val="fi-FI" w:eastAsia="id-ID"/>
        </w:rPr>
        <w:t xml:space="preserve"> </w:t>
      </w:r>
      <w:r w:rsidRPr="00727324">
        <w:rPr>
          <w:rFonts w:ascii="Bookman Old Style" w:hAnsi="Bookman Old Style" w:cs="Tahoma,Bold"/>
          <w:bCs/>
          <w:sz w:val="24"/>
          <w:szCs w:val="24"/>
          <w:lang w:val="fi-FI" w:eastAsia="id-ID"/>
        </w:rPr>
        <w:t>PNS</w:t>
      </w:r>
      <w:r w:rsidR="00A954D0">
        <w:rPr>
          <w:rFonts w:ascii="Bookman Old Style" w:hAnsi="Bookman Old Style" w:cs="Tahoma,Bold"/>
          <w:bCs/>
          <w:sz w:val="24"/>
          <w:szCs w:val="24"/>
          <w:lang w:val="fi-FI" w:eastAsia="id-ID"/>
        </w:rPr>
        <w:t xml:space="preserve"> </w:t>
      </w:r>
      <w:r w:rsidRPr="00727324">
        <w:rPr>
          <w:rFonts w:ascii="Bookman Old Style" w:hAnsi="Bookman Old Style" w:cs="Arial"/>
          <w:sz w:val="24"/>
          <w:szCs w:val="24"/>
          <w:lang w:val="sv-FI"/>
        </w:rPr>
        <w:t>Rp</w:t>
      </w:r>
      <w:r w:rsidRPr="00CC1448">
        <w:rPr>
          <w:rFonts w:ascii="Bookman Old Style" w:hAnsi="Bookman Old Style" w:cs="Arial"/>
          <w:sz w:val="24"/>
          <w:szCs w:val="24"/>
          <w:lang w:val="sv-FI"/>
        </w:rPr>
        <w:t>2</w:t>
      </w:r>
      <w:r>
        <w:rPr>
          <w:rFonts w:ascii="Bookman Old Style" w:hAnsi="Bookman Old Style" w:cs="Arial"/>
          <w:sz w:val="24"/>
          <w:szCs w:val="24"/>
          <w:lang w:val="sv-FI"/>
        </w:rPr>
        <w:t>.</w:t>
      </w:r>
      <w:r w:rsidRPr="00CC1448">
        <w:rPr>
          <w:rFonts w:ascii="Bookman Old Style" w:hAnsi="Bookman Old Style" w:cs="Arial"/>
          <w:sz w:val="24"/>
          <w:szCs w:val="24"/>
          <w:lang w:val="sv-FI"/>
        </w:rPr>
        <w:t>685</w:t>
      </w:r>
      <w:r>
        <w:rPr>
          <w:rFonts w:ascii="Bookman Old Style" w:hAnsi="Bookman Old Style" w:cs="Arial"/>
          <w:sz w:val="24"/>
          <w:szCs w:val="24"/>
          <w:lang w:val="sv-FI"/>
        </w:rPr>
        <w:t>.</w:t>
      </w:r>
      <w:r w:rsidRPr="00CC1448">
        <w:rPr>
          <w:rFonts w:ascii="Bookman Old Style" w:hAnsi="Bookman Old Style" w:cs="Arial"/>
          <w:sz w:val="24"/>
          <w:szCs w:val="24"/>
          <w:lang w:val="sv-FI"/>
        </w:rPr>
        <w:t>388</w:t>
      </w:r>
      <w:r>
        <w:rPr>
          <w:rFonts w:ascii="Bookman Old Style" w:hAnsi="Bookman Old Style" w:cs="Arial"/>
          <w:sz w:val="24"/>
          <w:szCs w:val="24"/>
          <w:lang w:val="sv-FI"/>
        </w:rPr>
        <w:t>.</w:t>
      </w:r>
      <w:r w:rsidRPr="00CC1448">
        <w:rPr>
          <w:rFonts w:ascii="Bookman Old Style" w:hAnsi="Bookman Old Style" w:cs="Arial"/>
          <w:sz w:val="24"/>
          <w:szCs w:val="24"/>
          <w:lang w:val="sv-FI"/>
        </w:rPr>
        <w:t>625</w:t>
      </w:r>
      <w:r>
        <w:rPr>
          <w:rFonts w:ascii="Bookman Old Style" w:hAnsi="Bookman Old Style" w:cs="Arial"/>
          <w:sz w:val="24"/>
          <w:szCs w:val="24"/>
          <w:lang w:val="sv-FI"/>
        </w:rPr>
        <w:t>,</w:t>
      </w:r>
      <w:r w:rsidRPr="00CC1448">
        <w:rPr>
          <w:rFonts w:ascii="Bookman Old Style" w:hAnsi="Bookman Old Style" w:cs="Arial"/>
          <w:sz w:val="24"/>
          <w:szCs w:val="24"/>
          <w:lang w:val="sv-FI"/>
        </w:rPr>
        <w:t>00</w:t>
      </w:r>
      <w:r w:rsidRPr="00727324">
        <w:rPr>
          <w:rFonts w:ascii="Bookman Old Style" w:hAnsi="Bookman Old Style" w:cs="Tahoma,Bold"/>
          <w:bCs/>
          <w:sz w:val="24"/>
          <w:szCs w:val="24"/>
          <w:lang w:val="fi-FI" w:eastAsia="id-ID"/>
        </w:rPr>
        <w:t>;</w:t>
      </w:r>
      <w:r w:rsidR="00A954D0">
        <w:rPr>
          <w:rFonts w:ascii="Bookman Old Style" w:hAnsi="Bookman Old Style" w:cs="Tahoma,Bold"/>
          <w:bCs/>
          <w:sz w:val="24"/>
          <w:szCs w:val="24"/>
          <w:lang w:val="fi-FI" w:eastAsia="id-ID"/>
        </w:rPr>
        <w:t xml:space="preserve"> </w:t>
      </w:r>
    </w:p>
    <w:p w14:paraId="71C2B1D3" w14:textId="19A48469" w:rsidR="005A4806" w:rsidRPr="00727324" w:rsidRDefault="005A4806" w:rsidP="00AC44F5">
      <w:pPr>
        <w:pStyle w:val="ListParagraph"/>
        <w:numPr>
          <w:ilvl w:val="0"/>
          <w:numId w:val="16"/>
        </w:numPr>
        <w:snapToGrid w:val="0"/>
        <w:spacing w:before="60" w:after="0" w:line="276" w:lineRule="auto"/>
        <w:ind w:left="2694" w:hanging="425"/>
        <w:contextualSpacing w:val="0"/>
        <w:jc w:val="both"/>
        <w:rPr>
          <w:rFonts w:ascii="Bookman Old Style" w:hAnsi="Bookman Old Style"/>
          <w:sz w:val="24"/>
          <w:szCs w:val="24"/>
        </w:rPr>
      </w:pPr>
      <w:r w:rsidRPr="00727324">
        <w:rPr>
          <w:rFonts w:ascii="Bookman Old Style" w:hAnsi="Bookman Old Style" w:cs="Tahoma,Bold"/>
          <w:bCs/>
          <w:sz w:val="24"/>
          <w:szCs w:val="24"/>
          <w:lang w:val="fi-FI" w:eastAsia="id-ID"/>
        </w:rPr>
        <w:t>Belanja</w:t>
      </w:r>
      <w:r w:rsidR="00A954D0">
        <w:rPr>
          <w:rFonts w:ascii="Bookman Old Style" w:hAnsi="Bookman Old Style" w:cs="Tahoma,Bold"/>
          <w:bCs/>
          <w:sz w:val="24"/>
          <w:szCs w:val="24"/>
          <w:lang w:val="fi-FI" w:eastAsia="id-ID"/>
        </w:rPr>
        <w:t xml:space="preserve"> </w:t>
      </w:r>
      <w:r w:rsidRPr="00727324">
        <w:rPr>
          <w:rFonts w:ascii="Bookman Old Style" w:hAnsi="Bookman Old Style" w:cs="Tahoma,Bold"/>
          <w:bCs/>
          <w:sz w:val="24"/>
          <w:szCs w:val="24"/>
          <w:lang w:val="fi-FI" w:eastAsia="id-ID"/>
        </w:rPr>
        <w:t>Iuran</w:t>
      </w:r>
      <w:r w:rsidR="00A954D0">
        <w:rPr>
          <w:rFonts w:ascii="Bookman Old Style" w:hAnsi="Bookman Old Style" w:cs="Tahoma,Bold"/>
          <w:bCs/>
          <w:sz w:val="24"/>
          <w:szCs w:val="24"/>
          <w:lang w:val="fi-FI" w:eastAsia="id-ID"/>
        </w:rPr>
        <w:t xml:space="preserve"> </w:t>
      </w:r>
      <w:r w:rsidRPr="00727324">
        <w:rPr>
          <w:rFonts w:ascii="Bookman Old Style" w:hAnsi="Bookman Old Style" w:cs="Tahoma,Bold"/>
          <w:bCs/>
          <w:sz w:val="24"/>
          <w:szCs w:val="24"/>
          <w:lang w:val="fi-FI" w:eastAsia="id-ID"/>
        </w:rPr>
        <w:t>Simpanan</w:t>
      </w:r>
      <w:r w:rsidR="00A954D0">
        <w:rPr>
          <w:rFonts w:ascii="Bookman Old Style" w:hAnsi="Bookman Old Style" w:cs="Tahoma,Bold"/>
          <w:bCs/>
          <w:sz w:val="24"/>
          <w:szCs w:val="24"/>
          <w:lang w:val="fi-FI" w:eastAsia="id-ID"/>
        </w:rPr>
        <w:t xml:space="preserve"> </w:t>
      </w:r>
      <w:r w:rsidRPr="00727324">
        <w:rPr>
          <w:rFonts w:ascii="Bookman Old Style" w:hAnsi="Bookman Old Style" w:cs="Tahoma,Bold"/>
          <w:bCs/>
          <w:sz w:val="24"/>
          <w:szCs w:val="24"/>
          <w:lang w:val="fi-FI" w:eastAsia="id-ID"/>
        </w:rPr>
        <w:t>Peserta</w:t>
      </w:r>
      <w:r w:rsidR="00A954D0">
        <w:rPr>
          <w:rFonts w:ascii="Bookman Old Style" w:hAnsi="Bookman Old Style" w:cs="Tahoma,Bold"/>
          <w:bCs/>
          <w:sz w:val="24"/>
          <w:szCs w:val="24"/>
          <w:lang w:val="fi-FI" w:eastAsia="id-ID"/>
        </w:rPr>
        <w:t xml:space="preserve"> </w:t>
      </w:r>
      <w:r w:rsidRPr="00727324">
        <w:rPr>
          <w:rFonts w:ascii="Bookman Old Style" w:hAnsi="Bookman Old Style" w:cs="Tahoma,Bold"/>
          <w:bCs/>
          <w:sz w:val="24"/>
          <w:szCs w:val="24"/>
          <w:lang w:val="fi-FI" w:eastAsia="id-ID"/>
        </w:rPr>
        <w:t>Tabungan</w:t>
      </w:r>
      <w:r w:rsidR="00A954D0">
        <w:rPr>
          <w:rFonts w:ascii="Bookman Old Style" w:hAnsi="Bookman Old Style" w:cs="Tahoma,Bold"/>
          <w:bCs/>
          <w:sz w:val="24"/>
          <w:szCs w:val="24"/>
          <w:lang w:val="fi-FI" w:eastAsia="id-ID"/>
        </w:rPr>
        <w:t xml:space="preserve"> </w:t>
      </w:r>
      <w:r w:rsidRPr="00727324">
        <w:rPr>
          <w:rFonts w:ascii="Bookman Old Style" w:hAnsi="Bookman Old Style" w:cs="Tahoma,Bold"/>
          <w:bCs/>
          <w:sz w:val="24"/>
          <w:szCs w:val="24"/>
          <w:lang w:val="fi-FI" w:eastAsia="id-ID"/>
        </w:rPr>
        <w:t>Perumahan</w:t>
      </w:r>
      <w:r w:rsidR="00A954D0">
        <w:rPr>
          <w:rFonts w:ascii="Bookman Old Style" w:hAnsi="Bookman Old Style" w:cs="Tahoma,Bold"/>
          <w:bCs/>
          <w:sz w:val="24"/>
          <w:szCs w:val="24"/>
          <w:lang w:val="fi-FI" w:eastAsia="id-ID"/>
        </w:rPr>
        <w:t xml:space="preserve"> </w:t>
      </w:r>
      <w:r w:rsidRPr="00727324">
        <w:rPr>
          <w:rFonts w:ascii="Bookman Old Style" w:hAnsi="Bookman Old Style" w:cs="Tahoma,Bold"/>
          <w:bCs/>
          <w:sz w:val="24"/>
          <w:szCs w:val="24"/>
          <w:lang w:val="fi-FI" w:eastAsia="id-ID"/>
        </w:rPr>
        <w:t>Rakyat</w:t>
      </w:r>
      <w:r w:rsidR="00A954D0">
        <w:rPr>
          <w:rFonts w:ascii="Bookman Old Style" w:hAnsi="Bookman Old Style" w:cs="Tahoma,Bold"/>
          <w:bCs/>
          <w:sz w:val="24"/>
          <w:szCs w:val="24"/>
          <w:lang w:val="fi-FI" w:eastAsia="id-ID"/>
        </w:rPr>
        <w:t xml:space="preserve"> </w:t>
      </w:r>
      <w:r w:rsidRPr="00727324">
        <w:rPr>
          <w:rFonts w:ascii="Bookman Old Style" w:hAnsi="Bookman Old Style" w:cs="Tahoma,Bold"/>
          <w:bCs/>
          <w:sz w:val="24"/>
          <w:szCs w:val="24"/>
          <w:lang w:val="fi-FI" w:eastAsia="id-ID"/>
        </w:rPr>
        <w:t>PPPK</w:t>
      </w:r>
      <w:r w:rsidR="00A954D0">
        <w:rPr>
          <w:rFonts w:ascii="Bookman Old Style" w:hAnsi="Bookman Old Style" w:cs="Tahoma,Bold"/>
          <w:bCs/>
          <w:sz w:val="24"/>
          <w:szCs w:val="24"/>
          <w:lang w:val="fi-FI" w:eastAsia="id-ID"/>
        </w:rPr>
        <w:t xml:space="preserve"> </w:t>
      </w:r>
      <w:r w:rsidRPr="00727324">
        <w:rPr>
          <w:rFonts w:ascii="Bookman Old Style" w:hAnsi="Bookman Old Style" w:cs="Arial"/>
          <w:sz w:val="24"/>
          <w:szCs w:val="24"/>
          <w:lang w:val="sv-FI"/>
        </w:rPr>
        <w:t>Rp</w:t>
      </w:r>
      <w:r w:rsidRPr="00CC1448">
        <w:rPr>
          <w:rFonts w:ascii="Bookman Old Style" w:hAnsi="Bookman Old Style" w:cs="Arial"/>
          <w:sz w:val="24"/>
          <w:szCs w:val="24"/>
          <w:lang w:val="sv-FI"/>
        </w:rPr>
        <w:t>1</w:t>
      </w:r>
      <w:r>
        <w:rPr>
          <w:rFonts w:ascii="Bookman Old Style" w:hAnsi="Bookman Old Style" w:cs="Arial"/>
          <w:sz w:val="24"/>
          <w:szCs w:val="24"/>
          <w:lang w:val="sv-FI"/>
        </w:rPr>
        <w:t>.</w:t>
      </w:r>
      <w:r w:rsidRPr="00CC1448">
        <w:rPr>
          <w:rFonts w:ascii="Bookman Old Style" w:hAnsi="Bookman Old Style" w:cs="Arial"/>
          <w:sz w:val="24"/>
          <w:szCs w:val="24"/>
          <w:lang w:val="sv-FI"/>
        </w:rPr>
        <w:t>230</w:t>
      </w:r>
      <w:r>
        <w:rPr>
          <w:rFonts w:ascii="Bookman Old Style" w:hAnsi="Bookman Old Style" w:cs="Arial"/>
          <w:sz w:val="24"/>
          <w:szCs w:val="24"/>
          <w:lang w:val="sv-FI"/>
        </w:rPr>
        <w:t>.</w:t>
      </w:r>
      <w:r w:rsidRPr="00CC1448">
        <w:rPr>
          <w:rFonts w:ascii="Bookman Old Style" w:hAnsi="Bookman Old Style" w:cs="Arial"/>
          <w:sz w:val="24"/>
          <w:szCs w:val="24"/>
          <w:lang w:val="sv-FI"/>
        </w:rPr>
        <w:t>817</w:t>
      </w:r>
      <w:r>
        <w:rPr>
          <w:rFonts w:ascii="Bookman Old Style" w:hAnsi="Bookman Old Style" w:cs="Arial"/>
          <w:sz w:val="24"/>
          <w:szCs w:val="24"/>
          <w:lang w:val="sv-FI"/>
        </w:rPr>
        <w:t>.</w:t>
      </w:r>
      <w:r w:rsidRPr="00CC1448">
        <w:rPr>
          <w:rFonts w:ascii="Bookman Old Style" w:hAnsi="Bookman Old Style" w:cs="Arial"/>
          <w:sz w:val="24"/>
          <w:szCs w:val="24"/>
          <w:lang w:val="sv-FI"/>
        </w:rPr>
        <w:t>011</w:t>
      </w:r>
      <w:r w:rsidRPr="00727324">
        <w:rPr>
          <w:rFonts w:ascii="Bookman Old Style" w:hAnsi="Bookman Old Style" w:cs="Arial"/>
          <w:sz w:val="24"/>
          <w:szCs w:val="24"/>
          <w:lang w:val="sv-FI"/>
        </w:rPr>
        <w:t>,00</w:t>
      </w:r>
      <w:r w:rsidRPr="00727324">
        <w:rPr>
          <w:rFonts w:ascii="Bookman Old Style" w:hAnsi="Bookman Old Style" w:cs="Tahoma,Bold"/>
          <w:bCs/>
          <w:sz w:val="24"/>
          <w:szCs w:val="24"/>
          <w:lang w:val="fi-FI" w:eastAsia="id-ID"/>
        </w:rPr>
        <w:t>.</w:t>
      </w:r>
    </w:p>
    <w:p w14:paraId="552CD6B9" w14:textId="7A1379C0" w:rsidR="005A4806" w:rsidRPr="00727324" w:rsidRDefault="005A4806" w:rsidP="00AC44F5">
      <w:pPr>
        <w:pStyle w:val="ListParagraph"/>
        <w:spacing w:before="60" w:after="0" w:line="276" w:lineRule="auto"/>
        <w:ind w:left="2268"/>
        <w:contextualSpacing w:val="0"/>
        <w:jc w:val="both"/>
        <w:rPr>
          <w:rFonts w:ascii="Bookman Old Style" w:hAnsi="Bookman Old Style" w:cs="Arial"/>
          <w:color w:val="FF0000"/>
          <w:sz w:val="24"/>
          <w:szCs w:val="24"/>
          <w:lang w:val="id-ID"/>
        </w:rPr>
      </w:pPr>
      <w:r w:rsidRPr="00727324">
        <w:rPr>
          <w:rFonts w:ascii="Bookman Old Style" w:hAnsi="Bookman Old Style" w:cs="Tahoma,Bold"/>
          <w:bCs/>
          <w:sz w:val="24"/>
          <w:szCs w:val="24"/>
          <w:lang w:val="sv-FI" w:eastAsia="id-ID"/>
        </w:rPr>
        <w:t>D</w:t>
      </w:r>
      <w:r w:rsidRPr="00727324">
        <w:rPr>
          <w:rFonts w:ascii="Bookman Old Style" w:hAnsi="Bookman Old Style" w:cs="Tahoma,Bold"/>
          <w:bCs/>
          <w:sz w:val="24"/>
          <w:szCs w:val="24"/>
          <w:lang w:val="id-ID" w:eastAsia="id-ID"/>
        </w:rPr>
        <w:t>ianggarkan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dalam</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Rancangan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Peraturan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Daerah</w:t>
      </w:r>
      <w:r w:rsidR="00A954D0">
        <w:rPr>
          <w:rFonts w:ascii="Bookman Old Style" w:hAnsi="Bookman Old Style"/>
          <w:sz w:val="24"/>
          <w:szCs w:val="24"/>
          <w:lang w:val="id-ID"/>
        </w:rPr>
        <w:t xml:space="preserve"> </w:t>
      </w:r>
      <w:r>
        <w:rPr>
          <w:rFonts w:ascii="Bookman Old Style" w:hAnsi="Bookman Old Style"/>
          <w:sz w:val="24"/>
          <w:szCs w:val="24"/>
          <w:lang w:val="id-ID"/>
        </w:rPr>
        <w:t>Kota</w:t>
      </w:r>
      <w:r w:rsidR="00A954D0">
        <w:rPr>
          <w:rFonts w:ascii="Bookman Old Style" w:hAnsi="Bookman Old Style"/>
          <w:sz w:val="24"/>
          <w:szCs w:val="24"/>
          <w:lang w:val="id-ID"/>
        </w:rPr>
        <w:t xml:space="preserve"> </w:t>
      </w:r>
      <w:r>
        <w:rPr>
          <w:rFonts w:ascii="Bookman Old Style" w:hAnsi="Bookman Old Style"/>
          <w:sz w:val="24"/>
          <w:szCs w:val="24"/>
          <w:lang w:val="fi-FI"/>
        </w:rPr>
        <w:t>Tangerang</w:t>
      </w:r>
      <w:r w:rsidR="00A954D0">
        <w:rPr>
          <w:rFonts w:ascii="Bookman Old Style" w:hAnsi="Bookman Old Style"/>
          <w:sz w:val="24"/>
          <w:szCs w:val="24"/>
        </w:rPr>
        <w:t xml:space="preserve"> </w:t>
      </w:r>
      <w:r w:rsidRPr="00727324">
        <w:rPr>
          <w:rFonts w:ascii="Bookman Old Style" w:hAnsi="Bookman Old Style" w:cs="Tahoma,Bold"/>
          <w:bCs/>
          <w:sz w:val="24"/>
          <w:szCs w:val="24"/>
          <w:lang w:val="id-ID" w:eastAsia="id-ID"/>
        </w:rPr>
        <w:t>tentang</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APBD</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Tahun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Anggaran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2025</w:t>
      </w:r>
      <w:r w:rsidR="00A954D0">
        <w:rPr>
          <w:rFonts w:ascii="Bookman Old Style" w:hAnsi="Bookman Old Style" w:cs="Tahoma,Bold"/>
          <w:bCs/>
          <w:sz w:val="24"/>
          <w:szCs w:val="24"/>
          <w:lang w:val="id-ID" w:eastAsia="id-ID"/>
        </w:rPr>
        <w:t xml:space="preserve"> </w:t>
      </w:r>
      <w:r w:rsidRPr="00727324">
        <w:rPr>
          <w:rFonts w:ascii="Bookman Old Style" w:hAnsi="Bookman Old Style"/>
          <w:sz w:val="24"/>
          <w:szCs w:val="24"/>
        </w:rPr>
        <w:t>sebagaimana</w:t>
      </w:r>
      <w:r w:rsidR="00A954D0">
        <w:rPr>
          <w:rFonts w:ascii="Bookman Old Style" w:hAnsi="Bookman Old Style"/>
          <w:sz w:val="24"/>
          <w:szCs w:val="24"/>
        </w:rPr>
        <w:t xml:space="preserve"> </w:t>
      </w:r>
      <w:r w:rsidRPr="00727324">
        <w:rPr>
          <w:rFonts w:ascii="Bookman Old Style" w:hAnsi="Bookman Old Style"/>
          <w:sz w:val="24"/>
          <w:szCs w:val="24"/>
        </w:rPr>
        <w:t>diamanatkan</w:t>
      </w:r>
      <w:r w:rsidR="00A954D0">
        <w:rPr>
          <w:rFonts w:ascii="Bookman Old Style" w:hAnsi="Bookman Old Style"/>
          <w:sz w:val="24"/>
          <w:szCs w:val="24"/>
        </w:rPr>
        <w:t xml:space="preserve"> </w:t>
      </w:r>
      <w:r w:rsidRPr="00727324">
        <w:rPr>
          <w:rFonts w:ascii="Bookman Old Style" w:hAnsi="Bookman Old Style"/>
          <w:sz w:val="24"/>
          <w:szCs w:val="24"/>
        </w:rPr>
        <w:t>dalam</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Undang-Undang</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Nomor</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4</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Tahun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2016</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tentang</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Tabungan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Perumahan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Rakyat</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dan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Peraturan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Pemerintah</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Nomor</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25</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Tahun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2020</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tentang</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Penyelenggaraan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Tabungan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Perumahan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Rakyat,</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serta</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Surat</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Edaran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Menteri</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Dalam</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Negeri</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Nomor</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648/4710/SJ</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en-US" w:eastAsia="id-ID"/>
        </w:rPr>
        <w:t>t</w:t>
      </w:r>
      <w:r w:rsidRPr="00727324">
        <w:rPr>
          <w:rFonts w:ascii="Bookman Old Style" w:hAnsi="Bookman Old Style" w:cs="Tahoma,Bold"/>
          <w:bCs/>
          <w:sz w:val="24"/>
          <w:szCs w:val="24"/>
          <w:lang w:val="id-ID" w:eastAsia="id-ID"/>
        </w:rPr>
        <w:t>anggal</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24</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Agustus</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2020</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Perihal</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Pelaksanaan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Penghentian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Pemotongan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Tabungan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Perumahan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pada</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Pembayaran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Gaji</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Pegawai</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Negeri</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Sipil</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dan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Calon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Pegawai</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Negeri</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Sipil</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Daerah</w:t>
      </w:r>
      <w:r w:rsidRPr="00727324">
        <w:rPr>
          <w:rFonts w:ascii="Bookman Old Style" w:hAnsi="Bookman Old Style" w:cs="Tahoma,Bold"/>
          <w:bCs/>
          <w:sz w:val="24"/>
          <w:szCs w:val="24"/>
          <w:lang w:val="en-US" w:eastAsia="id-ID"/>
        </w:rPr>
        <w:t>,</w:t>
      </w:r>
      <w:r w:rsidR="00A954D0">
        <w:rPr>
          <w:rFonts w:ascii="Bookman Old Style" w:hAnsi="Bookman Old Style" w:cs="Tahoma,Bold"/>
          <w:bCs/>
          <w:sz w:val="24"/>
          <w:szCs w:val="24"/>
          <w:lang w:val="en-US" w:eastAsia="id-ID"/>
        </w:rPr>
        <w:t xml:space="preserve"> </w:t>
      </w:r>
      <w:r w:rsidRPr="00727324">
        <w:rPr>
          <w:rFonts w:ascii="Bookman Old Style" w:hAnsi="Bookman Old Style" w:cs="Tahoma,Bold"/>
          <w:bCs/>
          <w:sz w:val="24"/>
          <w:szCs w:val="24"/>
          <w:lang w:val="id-ID" w:eastAsia="id-ID"/>
        </w:rPr>
        <w:t>sebagaimana</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maksud</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butir</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en-US" w:eastAsia="id-ID"/>
        </w:rPr>
        <w:t>5.2.10</w:t>
      </w:r>
      <w:r w:rsidR="00A954D0">
        <w:rPr>
          <w:rFonts w:ascii="Bookman Old Style" w:hAnsi="Bookman Old Style" w:cs="Arial"/>
          <w:sz w:val="24"/>
          <w:szCs w:val="24"/>
          <w:lang w:val="id-ID"/>
        </w:rPr>
        <w:t xml:space="preserve"> </w:t>
      </w:r>
      <w:r w:rsidRPr="00727324">
        <w:rPr>
          <w:rFonts w:ascii="Bookman Old Style" w:hAnsi="Bookman Old Style" w:cs="Tahoma,Bold"/>
          <w:bCs/>
          <w:sz w:val="24"/>
          <w:szCs w:val="24"/>
          <w:lang w:val="id-ID" w:eastAsia="id-ID"/>
        </w:rPr>
        <w:t>Lampiran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Peraturan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Menteri</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Dalam</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Negeri</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Nomor</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en-US" w:eastAsia="id-ID"/>
        </w:rPr>
        <w:t>15</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Tahun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202</w:t>
      </w:r>
      <w:r w:rsidRPr="00727324">
        <w:rPr>
          <w:rFonts w:ascii="Bookman Old Style" w:hAnsi="Bookman Old Style" w:cs="Tahoma,Bold"/>
          <w:bCs/>
          <w:sz w:val="24"/>
          <w:szCs w:val="24"/>
          <w:lang w:val="en-US" w:eastAsia="id-ID"/>
        </w:rPr>
        <w:t>4</w:t>
      </w:r>
      <w:r w:rsidRPr="00727324">
        <w:rPr>
          <w:rFonts w:ascii="Bookman Old Style" w:hAnsi="Bookman Old Style" w:cs="Tahoma,Bold"/>
          <w:bCs/>
          <w:sz w:val="24"/>
          <w:szCs w:val="24"/>
          <w:lang w:val="id-ID" w:eastAsia="id-ID"/>
        </w:rPr>
        <w:t>.</w:t>
      </w:r>
    </w:p>
    <w:p w14:paraId="343666C7" w14:textId="2DED2E90" w:rsidR="005A4806" w:rsidRPr="00727324" w:rsidRDefault="005A4806" w:rsidP="00AC44F5">
      <w:pPr>
        <w:pStyle w:val="ListParagraph"/>
        <w:numPr>
          <w:ilvl w:val="0"/>
          <w:numId w:val="13"/>
        </w:numPr>
        <w:spacing w:before="60" w:after="0" w:line="276" w:lineRule="auto"/>
        <w:ind w:left="2268" w:hanging="567"/>
        <w:contextualSpacing w:val="0"/>
        <w:jc w:val="both"/>
        <w:rPr>
          <w:rFonts w:ascii="Bookman Old Style" w:hAnsi="Bookman Old Style" w:cs="Arial"/>
          <w:color w:val="000000" w:themeColor="text1"/>
          <w:sz w:val="24"/>
          <w:szCs w:val="24"/>
        </w:rPr>
      </w:pPr>
      <w:r w:rsidRPr="00727324">
        <w:rPr>
          <w:rFonts w:ascii="Bookman Old Style" w:hAnsi="Bookman Old Style" w:cs="Gill Sans Light (Arabid)"/>
          <w:bCs/>
          <w:color w:val="000000" w:themeColor="text1"/>
          <w:sz w:val="24"/>
          <w:szCs w:val="24"/>
          <w:lang w:eastAsia="id-ID"/>
        </w:rPr>
        <w:t>Hak</w:t>
      </w:r>
      <w:r w:rsidR="00A954D0">
        <w:rPr>
          <w:rFonts w:ascii="Bookman Old Style" w:hAnsi="Bookman Old Style" w:cs="Arial"/>
          <w:color w:val="000000" w:themeColor="text1"/>
          <w:sz w:val="24"/>
          <w:szCs w:val="24"/>
        </w:rPr>
        <w:t xml:space="preserve"> </w:t>
      </w:r>
      <w:r w:rsidRPr="00ED120D">
        <w:rPr>
          <w:rFonts w:ascii="Bookman Old Style" w:hAnsi="Bookman Old Style"/>
          <w:color w:val="000000" w:themeColor="text1"/>
          <w:sz w:val="24"/>
          <w:szCs w:val="24"/>
        </w:rPr>
        <w:t>Keuangan</w:t>
      </w:r>
      <w:r w:rsidR="00A954D0">
        <w:rPr>
          <w:rFonts w:ascii="Bookman Old Style" w:hAnsi="Bookman Old Style" w:cs="Arial"/>
          <w:color w:val="000000" w:themeColor="text1"/>
          <w:sz w:val="24"/>
          <w:szCs w:val="24"/>
        </w:rPr>
        <w:t xml:space="preserve"> </w:t>
      </w:r>
      <w:r w:rsidRPr="00727324">
        <w:rPr>
          <w:rFonts w:ascii="Bookman Old Style" w:hAnsi="Bookman Old Style" w:cs="Arial"/>
          <w:color w:val="000000" w:themeColor="text1"/>
          <w:sz w:val="24"/>
          <w:szCs w:val="24"/>
        </w:rPr>
        <w:t>dan</w:t>
      </w:r>
      <w:r w:rsidR="00A954D0">
        <w:rPr>
          <w:rFonts w:ascii="Bookman Old Style" w:hAnsi="Bookman Old Style" w:cs="Arial"/>
          <w:color w:val="000000" w:themeColor="text1"/>
          <w:sz w:val="24"/>
          <w:szCs w:val="24"/>
        </w:rPr>
        <w:t xml:space="preserve"> </w:t>
      </w:r>
      <w:r w:rsidRPr="00727324">
        <w:rPr>
          <w:rFonts w:ascii="Bookman Old Style" w:hAnsi="Bookman Old Style" w:cs="Arial"/>
          <w:color w:val="000000" w:themeColor="text1"/>
          <w:sz w:val="24"/>
          <w:szCs w:val="24"/>
        </w:rPr>
        <w:t>Administratif</w:t>
      </w:r>
      <w:r w:rsidR="00A954D0">
        <w:rPr>
          <w:rFonts w:ascii="Bookman Old Style" w:hAnsi="Bookman Old Style" w:cs="Arial"/>
          <w:color w:val="000000" w:themeColor="text1"/>
          <w:sz w:val="24"/>
          <w:szCs w:val="24"/>
        </w:rPr>
        <w:t xml:space="preserve"> </w:t>
      </w:r>
      <w:r w:rsidRPr="00727324">
        <w:rPr>
          <w:rFonts w:ascii="Bookman Old Style" w:hAnsi="Bookman Old Style" w:cs="Arial"/>
          <w:color w:val="000000" w:themeColor="text1"/>
          <w:sz w:val="24"/>
          <w:szCs w:val="24"/>
          <w:lang w:val="id-ID"/>
        </w:rPr>
        <w:t>Dewan</w:t>
      </w:r>
      <w:r w:rsidR="00A954D0">
        <w:rPr>
          <w:rFonts w:ascii="Bookman Old Style" w:hAnsi="Bookman Old Style" w:cs="Arial"/>
          <w:color w:val="000000" w:themeColor="text1"/>
          <w:sz w:val="24"/>
          <w:szCs w:val="24"/>
          <w:lang w:val="id-ID"/>
        </w:rPr>
        <w:t xml:space="preserve"> </w:t>
      </w:r>
      <w:r w:rsidRPr="00727324">
        <w:rPr>
          <w:rFonts w:ascii="Bookman Old Style" w:hAnsi="Bookman Old Style" w:cs="Arial"/>
          <w:color w:val="000000" w:themeColor="text1"/>
          <w:sz w:val="24"/>
          <w:szCs w:val="24"/>
          <w:lang w:val="id-ID"/>
        </w:rPr>
        <w:t>Perwakilan</w:t>
      </w:r>
      <w:r w:rsidR="00A954D0">
        <w:rPr>
          <w:rFonts w:ascii="Bookman Old Style" w:hAnsi="Bookman Old Style" w:cs="Arial"/>
          <w:color w:val="000000" w:themeColor="text1"/>
          <w:sz w:val="24"/>
          <w:szCs w:val="24"/>
          <w:lang w:val="id-ID"/>
        </w:rPr>
        <w:t xml:space="preserve"> </w:t>
      </w:r>
      <w:r w:rsidRPr="00727324">
        <w:rPr>
          <w:rFonts w:ascii="Bookman Old Style" w:hAnsi="Bookman Old Style" w:cs="Arial"/>
          <w:color w:val="000000" w:themeColor="text1"/>
          <w:sz w:val="24"/>
          <w:szCs w:val="24"/>
          <w:lang w:val="id-ID"/>
        </w:rPr>
        <w:t>Rakyat</w:t>
      </w:r>
      <w:r w:rsidR="00A954D0">
        <w:rPr>
          <w:rFonts w:ascii="Bookman Old Style" w:hAnsi="Bookman Old Style" w:cs="Arial"/>
          <w:color w:val="000000" w:themeColor="text1"/>
          <w:sz w:val="24"/>
          <w:szCs w:val="24"/>
          <w:lang w:val="id-ID"/>
        </w:rPr>
        <w:t xml:space="preserve"> </w:t>
      </w:r>
      <w:r w:rsidRPr="00727324">
        <w:rPr>
          <w:rFonts w:ascii="Bookman Old Style" w:hAnsi="Bookman Old Style" w:cs="Arial"/>
          <w:color w:val="000000" w:themeColor="text1"/>
          <w:sz w:val="24"/>
          <w:szCs w:val="24"/>
          <w:lang w:val="id-ID"/>
        </w:rPr>
        <w:t>Daerah</w:t>
      </w:r>
      <w:r w:rsidRPr="00727324">
        <w:rPr>
          <w:rFonts w:ascii="Bookman Old Style" w:hAnsi="Bookman Old Style" w:cs="Arial"/>
          <w:color w:val="000000" w:themeColor="text1"/>
          <w:sz w:val="24"/>
          <w:szCs w:val="24"/>
        </w:rPr>
        <w:t>,</w:t>
      </w:r>
      <w:r w:rsidR="00A954D0">
        <w:rPr>
          <w:rFonts w:ascii="Bookman Old Style" w:hAnsi="Bookman Old Style" w:cs="Arial"/>
          <w:color w:val="000000" w:themeColor="text1"/>
          <w:sz w:val="24"/>
          <w:szCs w:val="24"/>
        </w:rPr>
        <w:t xml:space="preserve"> </w:t>
      </w:r>
      <w:r w:rsidRPr="00727324">
        <w:rPr>
          <w:rFonts w:ascii="Bookman Old Style" w:hAnsi="Bookman Old Style" w:cs="Arial"/>
          <w:color w:val="000000" w:themeColor="text1"/>
          <w:sz w:val="24"/>
          <w:szCs w:val="24"/>
        </w:rPr>
        <w:t>antara</w:t>
      </w:r>
      <w:r w:rsidR="00A954D0">
        <w:rPr>
          <w:rFonts w:ascii="Bookman Old Style" w:hAnsi="Bookman Old Style" w:cs="Arial"/>
          <w:color w:val="000000" w:themeColor="text1"/>
          <w:sz w:val="24"/>
          <w:szCs w:val="24"/>
        </w:rPr>
        <w:t xml:space="preserve"> </w:t>
      </w:r>
      <w:r w:rsidRPr="00727324">
        <w:rPr>
          <w:rFonts w:ascii="Bookman Old Style" w:hAnsi="Bookman Old Style" w:cs="Arial"/>
          <w:color w:val="000000" w:themeColor="text1"/>
          <w:sz w:val="24"/>
          <w:szCs w:val="24"/>
        </w:rPr>
        <w:t>lain:</w:t>
      </w:r>
      <w:r w:rsidR="00A954D0">
        <w:rPr>
          <w:rFonts w:ascii="Bookman Old Style" w:hAnsi="Bookman Old Style" w:cs="Arial"/>
          <w:color w:val="000000" w:themeColor="text1"/>
          <w:sz w:val="24"/>
          <w:szCs w:val="24"/>
        </w:rPr>
        <w:t xml:space="preserve"> </w:t>
      </w:r>
    </w:p>
    <w:p w14:paraId="2611A587" w14:textId="468EBC2D" w:rsidR="005A4806" w:rsidRPr="00727324" w:rsidRDefault="005A4806" w:rsidP="00AC44F5">
      <w:pPr>
        <w:pStyle w:val="ListParagraph"/>
        <w:numPr>
          <w:ilvl w:val="0"/>
          <w:numId w:val="71"/>
        </w:numPr>
        <w:snapToGrid w:val="0"/>
        <w:spacing w:before="60" w:after="0" w:line="276" w:lineRule="auto"/>
        <w:ind w:left="2694" w:hanging="425"/>
        <w:contextualSpacing w:val="0"/>
        <w:jc w:val="both"/>
        <w:rPr>
          <w:rFonts w:ascii="Bookman Old Style" w:hAnsi="Bookman Old Style"/>
          <w:color w:val="000000" w:themeColor="text1"/>
          <w:sz w:val="24"/>
          <w:szCs w:val="24"/>
        </w:rPr>
      </w:pPr>
      <w:r w:rsidRPr="00727324">
        <w:rPr>
          <w:rFonts w:ascii="Bookman Old Style" w:hAnsi="Bookman Old Style" w:cs="Arial"/>
          <w:color w:val="000000" w:themeColor="text1"/>
          <w:sz w:val="24"/>
          <w:szCs w:val="24"/>
        </w:rPr>
        <w:t>Belanja</w:t>
      </w:r>
      <w:r w:rsidR="00A954D0">
        <w:rPr>
          <w:rFonts w:ascii="Bookman Old Style" w:hAnsi="Bookman Old Style" w:cs="Arial"/>
          <w:color w:val="000000" w:themeColor="text1"/>
          <w:sz w:val="24"/>
          <w:szCs w:val="24"/>
        </w:rPr>
        <w:t xml:space="preserve"> </w:t>
      </w:r>
      <w:r w:rsidRPr="00727324">
        <w:rPr>
          <w:rFonts w:ascii="Bookman Old Style" w:hAnsi="Bookman Old Style" w:cs="Arial"/>
          <w:color w:val="000000" w:themeColor="text1"/>
          <w:sz w:val="24"/>
          <w:szCs w:val="24"/>
        </w:rPr>
        <w:t>Gaji</w:t>
      </w:r>
      <w:r w:rsidR="00A954D0">
        <w:rPr>
          <w:rFonts w:ascii="Bookman Old Style" w:hAnsi="Bookman Old Style" w:cs="Arial"/>
          <w:color w:val="000000" w:themeColor="text1"/>
          <w:sz w:val="24"/>
          <w:szCs w:val="24"/>
        </w:rPr>
        <w:t xml:space="preserve"> </w:t>
      </w:r>
      <w:r w:rsidRPr="00727324">
        <w:rPr>
          <w:rFonts w:ascii="Bookman Old Style" w:hAnsi="Bookman Old Style" w:cs="Arial"/>
          <w:color w:val="000000" w:themeColor="text1"/>
          <w:sz w:val="24"/>
          <w:szCs w:val="24"/>
        </w:rPr>
        <w:t>dan</w:t>
      </w:r>
      <w:r w:rsidR="00A954D0">
        <w:rPr>
          <w:rFonts w:ascii="Bookman Old Style" w:hAnsi="Bookman Old Style" w:cs="Arial"/>
          <w:color w:val="000000" w:themeColor="text1"/>
          <w:sz w:val="24"/>
          <w:szCs w:val="24"/>
        </w:rPr>
        <w:t xml:space="preserve"> </w:t>
      </w:r>
      <w:r w:rsidRPr="00727324">
        <w:rPr>
          <w:rFonts w:ascii="Bookman Old Style" w:hAnsi="Bookman Old Style" w:cs="Arial"/>
          <w:color w:val="000000" w:themeColor="text1"/>
          <w:sz w:val="24"/>
          <w:szCs w:val="24"/>
        </w:rPr>
        <w:t>Tunjangan</w:t>
      </w:r>
      <w:r w:rsidR="00A954D0">
        <w:rPr>
          <w:rFonts w:ascii="Bookman Old Style" w:hAnsi="Bookman Old Style" w:cs="Arial"/>
          <w:color w:val="000000" w:themeColor="text1"/>
          <w:sz w:val="24"/>
          <w:szCs w:val="24"/>
        </w:rPr>
        <w:t xml:space="preserve"> </w:t>
      </w:r>
      <w:r w:rsidRPr="00727324">
        <w:rPr>
          <w:rFonts w:ascii="Bookman Old Style" w:hAnsi="Bookman Old Style" w:cs="Arial"/>
          <w:color w:val="000000" w:themeColor="text1"/>
          <w:sz w:val="24"/>
          <w:szCs w:val="24"/>
        </w:rPr>
        <w:t>DPRD</w:t>
      </w:r>
      <w:r w:rsidR="00A954D0">
        <w:rPr>
          <w:rFonts w:ascii="Bookman Old Style" w:hAnsi="Bookman Old Style" w:cs="Arial"/>
          <w:color w:val="000000" w:themeColor="text1"/>
          <w:sz w:val="24"/>
          <w:szCs w:val="24"/>
        </w:rPr>
        <w:t xml:space="preserve"> </w:t>
      </w:r>
      <w:r w:rsidRPr="003255BC">
        <w:rPr>
          <w:rFonts w:ascii="Bookman Old Style" w:hAnsi="Bookman Old Style" w:cs="Arial"/>
          <w:sz w:val="24"/>
          <w:szCs w:val="24"/>
          <w:lang w:val="sv-FI"/>
        </w:rPr>
        <w:t>Rp58.453.467.657,00</w:t>
      </w:r>
      <w:r w:rsidR="00A954D0" w:rsidRPr="003255BC">
        <w:rPr>
          <w:rFonts w:ascii="Bookman Old Style" w:hAnsi="Bookman Old Style" w:cs="Arial"/>
          <w:sz w:val="24"/>
          <w:szCs w:val="24"/>
          <w:lang w:val="sv-FI"/>
        </w:rPr>
        <w:t xml:space="preserve"> </w:t>
      </w:r>
      <w:r w:rsidRPr="003255BC">
        <w:rPr>
          <w:rFonts w:ascii="Bookman Old Style" w:hAnsi="Bookman Old Style" w:cs="Tahoma,Bold"/>
          <w:bCs/>
          <w:color w:val="000000" w:themeColor="text1"/>
          <w:sz w:val="24"/>
          <w:szCs w:val="24"/>
          <w:lang w:val="sv-FI" w:eastAsia="id-ID"/>
        </w:rPr>
        <w:t>atau</w:t>
      </w:r>
      <w:r w:rsidR="00A954D0" w:rsidRPr="003255BC">
        <w:rPr>
          <w:rFonts w:ascii="Bookman Old Style" w:hAnsi="Bookman Old Style" w:cs="Tahoma,Bold"/>
          <w:bCs/>
          <w:color w:val="000000" w:themeColor="text1"/>
          <w:sz w:val="24"/>
          <w:szCs w:val="24"/>
          <w:lang w:val="sv-FI" w:eastAsia="id-ID"/>
        </w:rPr>
        <w:t xml:space="preserve"> </w:t>
      </w:r>
      <w:r w:rsidRPr="003255BC">
        <w:rPr>
          <w:rFonts w:ascii="Bookman Old Style" w:hAnsi="Bookman Old Style" w:cs="Tahoma,Bold"/>
          <w:bCs/>
          <w:color w:val="000000" w:themeColor="text1"/>
          <w:sz w:val="24"/>
          <w:szCs w:val="24"/>
          <w:lang w:val="sv-FI" w:eastAsia="id-ID"/>
        </w:rPr>
        <w:t>1,02%</w:t>
      </w:r>
      <w:r w:rsidR="00A954D0" w:rsidRPr="003255BC">
        <w:rPr>
          <w:rFonts w:ascii="Bookman Old Style" w:hAnsi="Bookman Old Style" w:cs="Tahoma,Bold"/>
          <w:bCs/>
          <w:color w:val="000000" w:themeColor="text1"/>
          <w:sz w:val="24"/>
          <w:szCs w:val="24"/>
          <w:lang w:val="sv-FI" w:eastAsia="id-ID"/>
        </w:rPr>
        <w:t xml:space="preserve"> </w:t>
      </w:r>
      <w:r w:rsidRPr="003255BC">
        <w:rPr>
          <w:rFonts w:ascii="Bookman Old Style" w:hAnsi="Bookman Old Style" w:cs="Tahoma,Bold"/>
          <w:bCs/>
          <w:color w:val="000000" w:themeColor="text1"/>
          <w:sz w:val="24"/>
          <w:szCs w:val="24"/>
          <w:lang w:val="sv-FI" w:eastAsia="id-ID"/>
        </w:rPr>
        <w:t>dari</w:t>
      </w:r>
      <w:r w:rsidR="00A954D0" w:rsidRPr="003255BC">
        <w:rPr>
          <w:rFonts w:ascii="Bookman Old Style" w:hAnsi="Bookman Old Style" w:cs="Tahoma,Bold"/>
          <w:bCs/>
          <w:color w:val="000000" w:themeColor="text1"/>
          <w:sz w:val="24"/>
          <w:szCs w:val="24"/>
          <w:lang w:val="sv-FI" w:eastAsia="id-ID"/>
        </w:rPr>
        <w:t xml:space="preserve"> </w:t>
      </w:r>
      <w:r w:rsidRPr="003255BC">
        <w:rPr>
          <w:rFonts w:ascii="Bookman Old Style" w:hAnsi="Bookman Old Style" w:cs="Tahoma,Bold"/>
          <w:bCs/>
          <w:color w:val="000000" w:themeColor="text1"/>
          <w:sz w:val="24"/>
          <w:szCs w:val="24"/>
          <w:lang w:val="sv-FI" w:eastAsia="id-ID"/>
        </w:rPr>
        <w:t>total</w:t>
      </w:r>
      <w:r w:rsidR="00A954D0" w:rsidRPr="003255BC">
        <w:rPr>
          <w:rFonts w:ascii="Bookman Old Style" w:hAnsi="Bookman Old Style" w:cs="Tahoma,Bold"/>
          <w:bCs/>
          <w:color w:val="000000" w:themeColor="text1"/>
          <w:sz w:val="24"/>
          <w:szCs w:val="24"/>
          <w:lang w:val="sv-FI" w:eastAsia="id-ID"/>
        </w:rPr>
        <w:t xml:space="preserve"> </w:t>
      </w:r>
      <w:r w:rsidRPr="003255BC">
        <w:rPr>
          <w:rFonts w:ascii="Bookman Old Style" w:hAnsi="Bookman Old Style" w:cs="Arial"/>
          <w:sz w:val="24"/>
          <w:szCs w:val="24"/>
          <w:lang w:val="sv-FI"/>
        </w:rPr>
        <w:t>belanja</w:t>
      </w:r>
      <w:r w:rsidR="00A954D0" w:rsidRPr="003255BC">
        <w:rPr>
          <w:rFonts w:ascii="Bookman Old Style" w:hAnsi="Bookman Old Style" w:cs="Tahoma,Bold"/>
          <w:bCs/>
          <w:color w:val="000000" w:themeColor="text1"/>
          <w:sz w:val="24"/>
          <w:szCs w:val="24"/>
          <w:lang w:val="sv-FI" w:eastAsia="id-ID"/>
        </w:rPr>
        <w:t xml:space="preserve"> </w:t>
      </w:r>
      <w:r w:rsidRPr="003255BC">
        <w:rPr>
          <w:rFonts w:ascii="Bookman Old Style" w:hAnsi="Bookman Old Style" w:cs="Tahoma,Bold"/>
          <w:bCs/>
          <w:color w:val="000000" w:themeColor="text1"/>
          <w:sz w:val="24"/>
          <w:szCs w:val="24"/>
          <w:lang w:val="sv-FI" w:eastAsia="id-ID"/>
        </w:rPr>
        <w:t>daerah</w:t>
      </w:r>
      <w:r w:rsidR="00A954D0" w:rsidRPr="003255BC">
        <w:rPr>
          <w:rFonts w:ascii="Bookman Old Style" w:hAnsi="Bookman Old Style" w:cs="Tahoma,Bold"/>
          <w:bCs/>
          <w:color w:val="000000" w:themeColor="text1"/>
          <w:sz w:val="24"/>
          <w:szCs w:val="24"/>
          <w:lang w:val="sv-FI" w:eastAsia="id-ID"/>
        </w:rPr>
        <w:t xml:space="preserve"> </w:t>
      </w:r>
      <w:r w:rsidRPr="003255BC">
        <w:rPr>
          <w:rFonts w:ascii="Bookman Old Style" w:hAnsi="Bookman Old Style" w:cs="Tahoma,Bold"/>
          <w:bCs/>
          <w:color w:val="000000" w:themeColor="text1"/>
          <w:sz w:val="24"/>
          <w:szCs w:val="24"/>
          <w:lang w:val="sv-FI" w:eastAsia="id-ID"/>
        </w:rPr>
        <w:t>dalam</w:t>
      </w:r>
      <w:r w:rsidR="00A954D0" w:rsidRPr="003255BC">
        <w:rPr>
          <w:rFonts w:ascii="Bookman Old Style" w:hAnsi="Bookman Old Style" w:cs="Tahoma,Bold"/>
          <w:bCs/>
          <w:color w:val="000000" w:themeColor="text1"/>
          <w:sz w:val="24"/>
          <w:szCs w:val="24"/>
          <w:lang w:val="sv-FI" w:eastAsia="id-ID"/>
        </w:rPr>
        <w:t xml:space="preserve"> </w:t>
      </w:r>
      <w:r w:rsidRPr="00727324">
        <w:rPr>
          <w:rFonts w:ascii="Bookman Old Style" w:hAnsi="Bookman Old Style" w:cs="Tahoma,Bold"/>
          <w:bCs/>
          <w:sz w:val="24"/>
          <w:szCs w:val="24"/>
          <w:lang w:val="id-ID" w:eastAsia="id-ID"/>
        </w:rPr>
        <w:t>Rancangan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Peraturan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Daerah</w:t>
      </w:r>
      <w:r w:rsidR="00A954D0">
        <w:rPr>
          <w:rFonts w:ascii="Bookman Old Style" w:hAnsi="Bookman Old Style"/>
          <w:sz w:val="24"/>
          <w:szCs w:val="24"/>
          <w:lang w:val="id-ID"/>
        </w:rPr>
        <w:t xml:space="preserve"> </w:t>
      </w:r>
      <w:r>
        <w:rPr>
          <w:rFonts w:ascii="Bookman Old Style" w:hAnsi="Bookman Old Style"/>
          <w:sz w:val="24"/>
          <w:szCs w:val="24"/>
          <w:lang w:val="id-ID"/>
        </w:rPr>
        <w:t>Kota</w:t>
      </w:r>
      <w:r w:rsidR="00A954D0">
        <w:rPr>
          <w:rFonts w:ascii="Bookman Old Style" w:hAnsi="Bookman Old Style"/>
          <w:sz w:val="24"/>
          <w:szCs w:val="24"/>
          <w:lang w:val="id-ID"/>
        </w:rPr>
        <w:t xml:space="preserve"> </w:t>
      </w:r>
      <w:r>
        <w:rPr>
          <w:rFonts w:ascii="Bookman Old Style" w:hAnsi="Bookman Old Style"/>
          <w:sz w:val="24"/>
          <w:szCs w:val="24"/>
          <w:lang w:val="fi-FI"/>
        </w:rPr>
        <w:t>Tangerang</w:t>
      </w:r>
      <w:r w:rsidR="00A954D0">
        <w:rPr>
          <w:rFonts w:ascii="Bookman Old Style" w:hAnsi="Bookman Old Style"/>
          <w:sz w:val="24"/>
          <w:szCs w:val="24"/>
        </w:rPr>
        <w:t xml:space="preserve"> </w:t>
      </w:r>
      <w:r w:rsidRPr="00727324">
        <w:rPr>
          <w:rFonts w:ascii="Bookman Old Style" w:hAnsi="Bookman Old Style" w:cs="Tahoma,Bold"/>
          <w:bCs/>
          <w:sz w:val="24"/>
          <w:szCs w:val="24"/>
          <w:lang w:val="id-ID" w:eastAsia="id-ID"/>
        </w:rPr>
        <w:t>tentang</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APBD</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Tahun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Anggaran</w:t>
      </w:r>
      <w:r w:rsidR="00A954D0">
        <w:rPr>
          <w:rFonts w:ascii="Bookman Old Style" w:hAnsi="Bookman Old Style" w:cs="Tahoma,Bold"/>
          <w:bCs/>
          <w:sz w:val="24"/>
          <w:szCs w:val="24"/>
          <w:lang w:val="id-ID" w:eastAsia="id-ID"/>
        </w:rPr>
        <w:t xml:space="preserve"> </w:t>
      </w:r>
      <w:r w:rsidRPr="00727324">
        <w:rPr>
          <w:rFonts w:ascii="Bookman Old Style" w:hAnsi="Bookman Old Style" w:cs="Tahoma,Bold"/>
          <w:bCs/>
          <w:sz w:val="24"/>
          <w:szCs w:val="24"/>
          <w:lang w:val="id-ID" w:eastAsia="id-ID"/>
        </w:rPr>
        <w:t>202</w:t>
      </w:r>
      <w:r w:rsidRPr="003255BC">
        <w:rPr>
          <w:rFonts w:ascii="Bookman Old Style" w:hAnsi="Bookman Old Style" w:cs="Tahoma,Bold"/>
          <w:bCs/>
          <w:sz w:val="24"/>
          <w:szCs w:val="24"/>
          <w:lang w:val="sv-FI" w:eastAsia="id-ID"/>
        </w:rPr>
        <w:t>5,</w:t>
      </w:r>
      <w:r w:rsidR="00A954D0" w:rsidRPr="003255BC">
        <w:rPr>
          <w:rFonts w:ascii="Bookman Old Style" w:hAnsi="Bookman Old Style" w:cs="Tahoma,Bold"/>
          <w:bCs/>
          <w:sz w:val="24"/>
          <w:szCs w:val="24"/>
          <w:lang w:val="sv-FI" w:eastAsia="id-ID"/>
        </w:rPr>
        <w:t xml:space="preserve"> </w:t>
      </w:r>
      <w:r w:rsidRPr="00727324">
        <w:rPr>
          <w:rFonts w:ascii="Bookman Old Style" w:hAnsi="Bookman Old Style"/>
          <w:color w:val="000000" w:themeColor="text1"/>
          <w:sz w:val="24"/>
          <w:szCs w:val="24"/>
        </w:rPr>
        <w:t>antara</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lain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diuraikan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pada:</w:t>
      </w:r>
    </w:p>
    <w:p w14:paraId="0E07FF97" w14:textId="7FF68250" w:rsidR="005A4806" w:rsidRPr="003255BC" w:rsidRDefault="005A4806" w:rsidP="00AC44F5">
      <w:pPr>
        <w:pStyle w:val="ListParagraph"/>
        <w:numPr>
          <w:ilvl w:val="0"/>
          <w:numId w:val="25"/>
        </w:numPr>
        <w:snapToGrid w:val="0"/>
        <w:spacing w:before="60" w:after="0" w:line="276" w:lineRule="auto"/>
        <w:ind w:left="3261" w:hanging="567"/>
        <w:contextualSpacing w:val="0"/>
        <w:jc w:val="both"/>
        <w:rPr>
          <w:rFonts w:ascii="Bookman Old Style" w:hAnsi="Bookman Old Style" w:cs="Tahoma"/>
          <w:color w:val="000000" w:themeColor="text1"/>
          <w:sz w:val="24"/>
          <w:szCs w:val="24"/>
          <w:lang w:val="sv-FI"/>
        </w:rPr>
      </w:pPr>
      <w:r w:rsidRPr="00727324">
        <w:rPr>
          <w:rFonts w:ascii="Bookman Old Style" w:hAnsi="Bookman Old Style" w:cs="Tahoma"/>
          <w:color w:val="000000" w:themeColor="text1"/>
          <w:sz w:val="24"/>
          <w:szCs w:val="24"/>
        </w:rPr>
        <w:t>Belanja</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Uang</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Representasi</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DPRD</w:t>
      </w:r>
      <w:r w:rsidR="00A954D0">
        <w:rPr>
          <w:rFonts w:ascii="Bookman Old Style" w:hAnsi="Bookman Old Style" w:cs="Tahoma"/>
          <w:color w:val="000000" w:themeColor="text1"/>
          <w:sz w:val="24"/>
          <w:szCs w:val="24"/>
          <w:lang w:val="id-ID"/>
        </w:rPr>
        <w:t xml:space="preserve"> </w:t>
      </w:r>
      <w:r w:rsidRPr="00727324">
        <w:rPr>
          <w:rFonts w:ascii="Bookman Old Style" w:hAnsi="Bookman Old Style" w:cs="Arial"/>
          <w:sz w:val="24"/>
          <w:szCs w:val="24"/>
          <w:lang w:val="sv-FI"/>
        </w:rPr>
        <w:t>Rp</w:t>
      </w:r>
      <w:r w:rsidRPr="00CC1448">
        <w:rPr>
          <w:rFonts w:ascii="Bookman Old Style" w:hAnsi="Bookman Old Style" w:cs="Calibri"/>
          <w:color w:val="000000"/>
          <w:sz w:val="24"/>
          <w:szCs w:val="24"/>
        </w:rPr>
        <w:t>1</w:t>
      </w:r>
      <w:r>
        <w:rPr>
          <w:rFonts w:ascii="Bookman Old Style" w:hAnsi="Bookman Old Style" w:cs="Calibri"/>
          <w:color w:val="000000"/>
          <w:sz w:val="24"/>
          <w:szCs w:val="24"/>
        </w:rPr>
        <w:t>.</w:t>
      </w:r>
      <w:r w:rsidRPr="00CC1448">
        <w:rPr>
          <w:rFonts w:ascii="Bookman Old Style" w:hAnsi="Bookman Old Style" w:cs="Calibri"/>
          <w:color w:val="000000"/>
          <w:sz w:val="24"/>
          <w:szCs w:val="24"/>
        </w:rPr>
        <w:t>114</w:t>
      </w:r>
      <w:r>
        <w:rPr>
          <w:rFonts w:ascii="Bookman Old Style" w:hAnsi="Bookman Old Style" w:cs="Calibri"/>
          <w:color w:val="000000"/>
          <w:sz w:val="24"/>
          <w:szCs w:val="24"/>
        </w:rPr>
        <w:t>.</w:t>
      </w:r>
      <w:r w:rsidRPr="00CC1448">
        <w:rPr>
          <w:rFonts w:ascii="Bookman Old Style" w:hAnsi="Bookman Old Style" w:cs="Calibri"/>
          <w:color w:val="000000"/>
          <w:sz w:val="24"/>
          <w:szCs w:val="24"/>
        </w:rPr>
        <w:t>260</w:t>
      </w:r>
      <w:r>
        <w:rPr>
          <w:rFonts w:ascii="Bookman Old Style" w:hAnsi="Bookman Old Style" w:cs="Calibri"/>
          <w:color w:val="000000"/>
          <w:sz w:val="24"/>
          <w:szCs w:val="24"/>
        </w:rPr>
        <w:t>.</w:t>
      </w:r>
      <w:r w:rsidRPr="00CC1448">
        <w:rPr>
          <w:rFonts w:ascii="Bookman Old Style" w:hAnsi="Bookman Old Style" w:cs="Calibri"/>
          <w:color w:val="000000"/>
          <w:sz w:val="24"/>
          <w:szCs w:val="24"/>
        </w:rPr>
        <w:t>000</w:t>
      </w:r>
      <w:r w:rsidRPr="00727324">
        <w:rPr>
          <w:rFonts w:ascii="Bookman Old Style" w:hAnsi="Bookman Old Style" w:cs="Calibri"/>
          <w:color w:val="000000"/>
          <w:sz w:val="24"/>
          <w:szCs w:val="24"/>
          <w:lang w:val="sv-FI"/>
        </w:rPr>
        <w:t>,00</w:t>
      </w:r>
      <w:r w:rsidRPr="00727324">
        <w:rPr>
          <w:rFonts w:ascii="Bookman Old Style" w:hAnsi="Bookman Old Style" w:cs="Tahoma"/>
          <w:color w:val="000000" w:themeColor="text1"/>
          <w:sz w:val="24"/>
          <w:szCs w:val="24"/>
          <w:lang w:val="it-IT"/>
        </w:rPr>
        <w:t>,</w:t>
      </w:r>
      <w:r w:rsidR="00A954D0">
        <w:rPr>
          <w:rFonts w:ascii="Bookman Old Style" w:hAnsi="Bookman Old Style" w:cs="Tahoma"/>
          <w:color w:val="000000" w:themeColor="text1"/>
          <w:sz w:val="24"/>
          <w:szCs w:val="24"/>
          <w:lang w:val="it-IT"/>
        </w:rPr>
        <w:t xml:space="preserve"> </w:t>
      </w:r>
      <w:r w:rsidRPr="00727324">
        <w:rPr>
          <w:rFonts w:ascii="Bookman Old Style" w:hAnsi="Bookman Old Style"/>
          <w:color w:val="000000" w:themeColor="text1"/>
          <w:sz w:val="24"/>
          <w:szCs w:val="24"/>
        </w:rPr>
        <w:t>dalam</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Rancangan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Peraturan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Daerah</w:t>
      </w:r>
      <w:r w:rsidR="00A954D0">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Kota</w:t>
      </w:r>
      <w:r w:rsidR="00A954D0">
        <w:rPr>
          <w:rFonts w:ascii="Bookman Old Style" w:hAnsi="Bookman Old Style"/>
          <w:color w:val="FF0000"/>
          <w:sz w:val="24"/>
          <w:szCs w:val="24"/>
          <w:lang w:val="id-ID"/>
        </w:rPr>
        <w:t xml:space="preserve"> </w:t>
      </w:r>
      <w:r>
        <w:rPr>
          <w:rFonts w:ascii="Bookman Old Style" w:hAnsi="Bookman Old Style"/>
          <w:sz w:val="24"/>
          <w:szCs w:val="24"/>
          <w:lang w:val="fi-FI"/>
        </w:rPr>
        <w:t>Tangerang</w:t>
      </w:r>
      <w:r w:rsidR="00A954D0">
        <w:rPr>
          <w:rFonts w:ascii="Bookman Old Style" w:hAnsi="Bookman Old Style"/>
          <w:sz w:val="24"/>
          <w:szCs w:val="24"/>
          <w:lang w:val="id-ID"/>
        </w:rPr>
        <w:t xml:space="preserve"> </w:t>
      </w:r>
      <w:r w:rsidRPr="00727324">
        <w:rPr>
          <w:rFonts w:ascii="Bookman Old Style" w:hAnsi="Bookman Old Style"/>
          <w:color w:val="000000" w:themeColor="text1"/>
          <w:sz w:val="24"/>
          <w:szCs w:val="24"/>
        </w:rPr>
        <w:t>tentang</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APBD</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Tahun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Anggaran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202</w:t>
      </w:r>
      <w:r w:rsidRPr="00727324">
        <w:rPr>
          <w:rFonts w:ascii="Bookman Old Style" w:hAnsi="Bookman Old Style"/>
          <w:color w:val="000000" w:themeColor="text1"/>
          <w:sz w:val="24"/>
          <w:szCs w:val="24"/>
          <w:lang w:val="it-IT"/>
        </w:rPr>
        <w:t>5</w:t>
      </w:r>
      <w:r w:rsidRPr="00727324">
        <w:rPr>
          <w:rFonts w:ascii="Bookman Old Style" w:hAnsi="Bookman Old Style"/>
          <w:color w:val="000000" w:themeColor="text1"/>
          <w:sz w:val="24"/>
          <w:szCs w:val="24"/>
        </w:rPr>
        <w:t>,</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lang w:val="it-IT"/>
        </w:rPr>
        <w:t>sebagaimana</w:t>
      </w:r>
      <w:r w:rsidR="00A954D0">
        <w:rPr>
          <w:rFonts w:ascii="Bookman Old Style" w:hAnsi="Bookman Old Style"/>
          <w:color w:val="000000" w:themeColor="text1"/>
          <w:sz w:val="24"/>
          <w:szCs w:val="24"/>
          <w:lang w:val="it-IT"/>
        </w:rPr>
        <w:t xml:space="preserve"> </w:t>
      </w:r>
      <w:r w:rsidRPr="00727324">
        <w:rPr>
          <w:rFonts w:ascii="Bookman Old Style" w:hAnsi="Bookman Old Style"/>
          <w:color w:val="000000" w:themeColor="text1"/>
          <w:sz w:val="24"/>
          <w:szCs w:val="24"/>
        </w:rPr>
        <w:t>Tabel</w:t>
      </w:r>
      <w:r w:rsidR="00A954D0" w:rsidRPr="003255BC">
        <w:rPr>
          <w:rFonts w:ascii="Bookman Old Style" w:hAnsi="Bookman Old Style"/>
          <w:color w:val="000000" w:themeColor="text1"/>
          <w:sz w:val="24"/>
          <w:szCs w:val="24"/>
          <w:lang w:val="sv-FI"/>
        </w:rPr>
        <w:t xml:space="preserve"> </w:t>
      </w:r>
      <w:r w:rsidRPr="003255BC">
        <w:rPr>
          <w:rFonts w:ascii="Bookman Old Style" w:hAnsi="Bookman Old Style"/>
          <w:color w:val="000000" w:themeColor="text1"/>
          <w:sz w:val="24"/>
          <w:szCs w:val="24"/>
          <w:lang w:val="sv-FI"/>
        </w:rPr>
        <w:t>2</w:t>
      </w:r>
      <w:r w:rsidR="00AC44F5">
        <w:rPr>
          <w:rFonts w:ascii="Bookman Old Style" w:hAnsi="Bookman Old Style"/>
          <w:color w:val="000000" w:themeColor="text1"/>
          <w:sz w:val="24"/>
          <w:szCs w:val="24"/>
          <w:lang w:val="sv-FI"/>
        </w:rPr>
        <w:t>0</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sebagai</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berikut:</w:t>
      </w:r>
    </w:p>
    <w:p w14:paraId="3A1C83E2" w14:textId="77777777" w:rsidR="00AC44F5" w:rsidRDefault="00AC44F5" w:rsidP="005A4806">
      <w:pPr>
        <w:pStyle w:val="NormalWeb"/>
        <w:spacing w:before="60" w:beforeAutospacing="0" w:after="0" w:afterAutospacing="0" w:line="276" w:lineRule="auto"/>
        <w:ind w:left="2430"/>
        <w:jc w:val="center"/>
        <w:rPr>
          <w:rFonts w:ascii="Bookman Old Style" w:hAnsi="Bookman Old Style"/>
          <w:color w:val="000000" w:themeColor="text1"/>
          <w:lang w:val="sv-FI"/>
        </w:rPr>
      </w:pPr>
    </w:p>
    <w:p w14:paraId="54C94115" w14:textId="77777777" w:rsidR="00AC44F5" w:rsidRDefault="00AC44F5" w:rsidP="005A4806">
      <w:pPr>
        <w:pStyle w:val="NormalWeb"/>
        <w:spacing w:before="60" w:beforeAutospacing="0" w:after="0" w:afterAutospacing="0" w:line="276" w:lineRule="auto"/>
        <w:ind w:left="2430"/>
        <w:jc w:val="center"/>
        <w:rPr>
          <w:rFonts w:ascii="Bookman Old Style" w:hAnsi="Bookman Old Style"/>
          <w:color w:val="000000" w:themeColor="text1"/>
          <w:lang w:val="sv-FI"/>
        </w:rPr>
      </w:pPr>
    </w:p>
    <w:p w14:paraId="78F9D489" w14:textId="77777777" w:rsidR="00AC44F5" w:rsidRDefault="00AC44F5" w:rsidP="005A4806">
      <w:pPr>
        <w:pStyle w:val="NormalWeb"/>
        <w:spacing w:before="60" w:beforeAutospacing="0" w:after="0" w:afterAutospacing="0" w:line="276" w:lineRule="auto"/>
        <w:ind w:left="2430"/>
        <w:jc w:val="center"/>
        <w:rPr>
          <w:rFonts w:ascii="Bookman Old Style" w:hAnsi="Bookman Old Style"/>
          <w:color w:val="000000" w:themeColor="text1"/>
          <w:lang w:val="sv-FI"/>
        </w:rPr>
      </w:pPr>
    </w:p>
    <w:p w14:paraId="0719039C" w14:textId="77777777" w:rsidR="00AC44F5" w:rsidRDefault="00AC44F5" w:rsidP="005A4806">
      <w:pPr>
        <w:pStyle w:val="NormalWeb"/>
        <w:spacing w:before="60" w:beforeAutospacing="0" w:after="0" w:afterAutospacing="0" w:line="276" w:lineRule="auto"/>
        <w:ind w:left="2430"/>
        <w:jc w:val="center"/>
        <w:rPr>
          <w:rFonts w:ascii="Bookman Old Style" w:hAnsi="Bookman Old Style"/>
          <w:color w:val="000000" w:themeColor="text1"/>
          <w:lang w:val="sv-FI"/>
        </w:rPr>
      </w:pPr>
    </w:p>
    <w:p w14:paraId="1787936C" w14:textId="77777777" w:rsidR="00AC44F5" w:rsidRDefault="00AC44F5" w:rsidP="005A4806">
      <w:pPr>
        <w:pStyle w:val="NormalWeb"/>
        <w:spacing w:before="60" w:beforeAutospacing="0" w:after="0" w:afterAutospacing="0" w:line="276" w:lineRule="auto"/>
        <w:ind w:left="2430"/>
        <w:jc w:val="center"/>
        <w:rPr>
          <w:rFonts w:ascii="Bookman Old Style" w:hAnsi="Bookman Old Style"/>
          <w:color w:val="000000" w:themeColor="text1"/>
          <w:lang w:val="sv-FI"/>
        </w:rPr>
      </w:pPr>
    </w:p>
    <w:p w14:paraId="63E50BA3" w14:textId="65AC2154" w:rsidR="005A4806" w:rsidRPr="00AC44F5" w:rsidRDefault="005A4806" w:rsidP="00AC44F5">
      <w:pPr>
        <w:pStyle w:val="NormalWeb"/>
        <w:spacing w:before="60" w:beforeAutospacing="0" w:after="0" w:afterAutospacing="0" w:line="276" w:lineRule="auto"/>
        <w:ind w:left="993"/>
        <w:jc w:val="center"/>
        <w:rPr>
          <w:rFonts w:ascii="Bookman Old Style" w:hAnsi="Bookman Old Style"/>
          <w:color w:val="000000" w:themeColor="text1"/>
          <w:lang w:val="sv-FI"/>
        </w:rPr>
      </w:pPr>
      <w:r w:rsidRPr="00AC44F5">
        <w:rPr>
          <w:rFonts w:ascii="Bookman Old Style" w:hAnsi="Bookman Old Style"/>
          <w:color w:val="000000" w:themeColor="text1"/>
          <w:lang w:val="sv-FI"/>
        </w:rPr>
        <w:t>Tabel</w:t>
      </w:r>
      <w:r w:rsidR="00A954D0" w:rsidRPr="00AC44F5">
        <w:rPr>
          <w:rFonts w:ascii="Bookman Old Style" w:hAnsi="Bookman Old Style"/>
          <w:color w:val="000000" w:themeColor="text1"/>
          <w:lang w:val="sv-FI"/>
        </w:rPr>
        <w:t xml:space="preserve"> </w:t>
      </w:r>
      <w:r w:rsidRPr="00AC44F5">
        <w:rPr>
          <w:rFonts w:ascii="Bookman Old Style" w:hAnsi="Bookman Old Style"/>
          <w:color w:val="000000" w:themeColor="text1"/>
          <w:lang w:val="sv-FI"/>
        </w:rPr>
        <w:t>2</w:t>
      </w:r>
      <w:r w:rsidR="00AC44F5" w:rsidRPr="00AC44F5">
        <w:rPr>
          <w:rFonts w:ascii="Bookman Old Style" w:hAnsi="Bookman Old Style"/>
          <w:color w:val="000000" w:themeColor="text1"/>
          <w:lang w:val="sv-FI"/>
        </w:rPr>
        <w:t>0</w:t>
      </w:r>
      <w:r w:rsidRPr="00AC44F5">
        <w:rPr>
          <w:rFonts w:ascii="Bookman Old Style" w:hAnsi="Bookman Old Style"/>
          <w:color w:val="000000" w:themeColor="text1"/>
          <w:lang w:val="sv-FI"/>
        </w:rPr>
        <w:br/>
        <w:t>Belanja</w:t>
      </w:r>
      <w:r w:rsidR="00A954D0" w:rsidRPr="00AC44F5">
        <w:rPr>
          <w:rFonts w:ascii="Bookman Old Style" w:hAnsi="Bookman Old Style"/>
          <w:color w:val="000000" w:themeColor="text1"/>
          <w:lang w:val="sv-FI"/>
        </w:rPr>
        <w:t xml:space="preserve"> </w:t>
      </w:r>
      <w:r w:rsidRPr="00AC44F5">
        <w:rPr>
          <w:rFonts w:ascii="Bookman Old Style" w:hAnsi="Bookman Old Style"/>
          <w:color w:val="000000" w:themeColor="text1"/>
          <w:lang w:val="sv-FI"/>
        </w:rPr>
        <w:t>Uang</w:t>
      </w:r>
      <w:r w:rsidR="00A954D0" w:rsidRPr="00AC44F5">
        <w:rPr>
          <w:rFonts w:ascii="Bookman Old Style" w:hAnsi="Bookman Old Style"/>
          <w:color w:val="000000" w:themeColor="text1"/>
          <w:lang w:val="sv-FI"/>
        </w:rPr>
        <w:t xml:space="preserve"> </w:t>
      </w:r>
      <w:r w:rsidRPr="00AC44F5">
        <w:rPr>
          <w:rFonts w:ascii="Bookman Old Style" w:hAnsi="Bookman Old Style"/>
          <w:color w:val="000000" w:themeColor="text1"/>
          <w:lang w:val="sv-FI"/>
        </w:rPr>
        <w:t>Representasi</w:t>
      </w:r>
      <w:r w:rsidR="00A954D0" w:rsidRPr="00AC44F5">
        <w:rPr>
          <w:rFonts w:ascii="Bookman Old Style" w:hAnsi="Bookman Old Style"/>
          <w:color w:val="000000" w:themeColor="text1"/>
          <w:lang w:val="sv-FI"/>
        </w:rPr>
        <w:t xml:space="preserve"> </w:t>
      </w:r>
      <w:r w:rsidRPr="00AC44F5">
        <w:rPr>
          <w:rFonts w:ascii="Bookman Old Style" w:hAnsi="Bookman Old Style"/>
          <w:color w:val="000000" w:themeColor="text1"/>
          <w:lang w:val="sv-FI"/>
        </w:rPr>
        <w:t>DPRD</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7"/>
        <w:gridCol w:w="3139"/>
        <w:gridCol w:w="1324"/>
        <w:gridCol w:w="1701"/>
        <w:gridCol w:w="2078"/>
      </w:tblGrid>
      <w:tr w:rsidR="005A4806" w:rsidRPr="003255BC" w14:paraId="7FB85F35" w14:textId="77777777" w:rsidTr="00360F37">
        <w:trPr>
          <w:trHeight w:val="345"/>
          <w:tblHeader/>
        </w:trPr>
        <w:tc>
          <w:tcPr>
            <w:tcW w:w="547" w:type="dxa"/>
            <w:vMerge w:val="restart"/>
            <w:shd w:val="clear" w:color="000000" w:fill="FFFFFF"/>
            <w:vAlign w:val="center"/>
            <w:hideMark/>
          </w:tcPr>
          <w:p w14:paraId="64FC4680" w14:textId="77777777" w:rsidR="005A4806" w:rsidRPr="006533A4" w:rsidRDefault="005A4806" w:rsidP="0023341C">
            <w:pPr>
              <w:spacing w:line="276" w:lineRule="auto"/>
              <w:jc w:val="center"/>
              <w:rPr>
                <w:rFonts w:ascii="Bookman Old Style" w:hAnsi="Bookman Old Style"/>
                <w:b/>
                <w:bCs/>
                <w:sz w:val="18"/>
                <w:szCs w:val="18"/>
              </w:rPr>
            </w:pPr>
            <w:r w:rsidRPr="006533A4">
              <w:rPr>
                <w:rFonts w:ascii="Bookman Old Style" w:hAnsi="Bookman Old Style"/>
                <w:b/>
                <w:bCs/>
                <w:sz w:val="18"/>
                <w:szCs w:val="18"/>
              </w:rPr>
              <w:t>No.</w:t>
            </w:r>
          </w:p>
        </w:tc>
        <w:tc>
          <w:tcPr>
            <w:tcW w:w="8242" w:type="dxa"/>
            <w:gridSpan w:val="4"/>
            <w:shd w:val="clear" w:color="000000" w:fill="FFFFFF"/>
            <w:vAlign w:val="center"/>
            <w:hideMark/>
          </w:tcPr>
          <w:p w14:paraId="3D2997FB" w14:textId="65C881D7" w:rsidR="005A4806" w:rsidRPr="000243C4" w:rsidRDefault="005A4806" w:rsidP="0023341C">
            <w:pPr>
              <w:spacing w:line="276" w:lineRule="auto"/>
              <w:jc w:val="center"/>
              <w:rPr>
                <w:rFonts w:ascii="Bookman Old Style" w:hAnsi="Bookman Old Style"/>
                <w:b/>
                <w:bCs/>
                <w:sz w:val="20"/>
                <w:szCs w:val="20"/>
                <w:lang w:val="fi-FI"/>
              </w:rPr>
            </w:pPr>
            <w:r w:rsidRPr="000243C4">
              <w:rPr>
                <w:rFonts w:ascii="Bookman Old Style" w:hAnsi="Bookman Old Style"/>
                <w:b/>
                <w:bCs/>
                <w:sz w:val="20"/>
                <w:szCs w:val="20"/>
                <w:lang w:val="fi-FI"/>
              </w:rPr>
              <w:t>Komponen</w:t>
            </w:r>
            <w:r w:rsidR="00A954D0">
              <w:rPr>
                <w:rFonts w:ascii="Bookman Old Style" w:hAnsi="Bookman Old Style"/>
                <w:b/>
                <w:bCs/>
                <w:sz w:val="20"/>
                <w:szCs w:val="20"/>
                <w:lang w:val="fi-FI"/>
              </w:rPr>
              <w:t xml:space="preserve"> </w:t>
            </w:r>
            <w:r w:rsidRPr="000243C4">
              <w:rPr>
                <w:rFonts w:ascii="Bookman Old Style" w:hAnsi="Bookman Old Style"/>
                <w:b/>
                <w:bCs/>
                <w:sz w:val="20"/>
                <w:szCs w:val="20"/>
                <w:lang w:val="fi-FI"/>
              </w:rPr>
              <w:t>Perhitungan</w:t>
            </w:r>
            <w:r w:rsidR="00A954D0">
              <w:rPr>
                <w:rFonts w:ascii="Bookman Old Style" w:hAnsi="Bookman Old Style"/>
                <w:b/>
                <w:bCs/>
                <w:sz w:val="20"/>
                <w:szCs w:val="20"/>
                <w:lang w:val="fi-FI"/>
              </w:rPr>
              <w:t xml:space="preserve"> </w:t>
            </w:r>
            <w:r w:rsidRPr="000243C4">
              <w:rPr>
                <w:rFonts w:ascii="Bookman Old Style" w:hAnsi="Bookman Old Style"/>
                <w:b/>
                <w:bCs/>
                <w:sz w:val="20"/>
                <w:szCs w:val="20"/>
                <w:lang w:val="fi-FI"/>
              </w:rPr>
              <w:t>Rancangan</w:t>
            </w:r>
            <w:r w:rsidR="00A954D0">
              <w:rPr>
                <w:rFonts w:ascii="Bookman Old Style" w:hAnsi="Bookman Old Style"/>
                <w:b/>
                <w:bCs/>
                <w:sz w:val="20"/>
                <w:szCs w:val="20"/>
                <w:lang w:val="fi-FI"/>
              </w:rPr>
              <w:t xml:space="preserve"> </w:t>
            </w:r>
            <w:r w:rsidRPr="000243C4">
              <w:rPr>
                <w:rFonts w:ascii="Bookman Old Style" w:hAnsi="Bookman Old Style"/>
                <w:b/>
                <w:bCs/>
                <w:sz w:val="20"/>
                <w:szCs w:val="20"/>
                <w:lang w:val="fi-FI"/>
              </w:rPr>
              <w:t>APBD</w:t>
            </w:r>
            <w:r w:rsidR="00A954D0">
              <w:rPr>
                <w:rFonts w:ascii="Bookman Old Style" w:hAnsi="Bookman Old Style"/>
                <w:b/>
                <w:bCs/>
                <w:sz w:val="20"/>
                <w:szCs w:val="20"/>
                <w:lang w:val="fi-FI"/>
              </w:rPr>
              <w:t xml:space="preserve"> </w:t>
            </w:r>
            <w:r w:rsidRPr="000243C4">
              <w:rPr>
                <w:rFonts w:ascii="Bookman Old Style" w:hAnsi="Bookman Old Style"/>
                <w:b/>
                <w:bCs/>
                <w:sz w:val="20"/>
                <w:szCs w:val="20"/>
                <w:lang w:val="fi-FI"/>
              </w:rPr>
              <w:t>TA</w:t>
            </w:r>
            <w:r w:rsidR="00A954D0">
              <w:rPr>
                <w:rFonts w:ascii="Bookman Old Style" w:hAnsi="Bookman Old Style"/>
                <w:b/>
                <w:bCs/>
                <w:sz w:val="20"/>
                <w:szCs w:val="20"/>
                <w:lang w:val="fi-FI"/>
              </w:rPr>
              <w:t xml:space="preserve"> </w:t>
            </w:r>
            <w:r w:rsidRPr="000243C4">
              <w:rPr>
                <w:rFonts w:ascii="Bookman Old Style" w:hAnsi="Bookman Old Style"/>
                <w:b/>
                <w:bCs/>
                <w:sz w:val="20"/>
                <w:szCs w:val="20"/>
                <w:lang w:val="fi-FI"/>
              </w:rPr>
              <w:t>202</w:t>
            </w:r>
            <w:r w:rsidR="00ED120D">
              <w:rPr>
                <w:rFonts w:ascii="Bookman Old Style" w:hAnsi="Bookman Old Style"/>
                <w:b/>
                <w:bCs/>
                <w:sz w:val="20"/>
                <w:szCs w:val="20"/>
                <w:lang w:val="fi-FI"/>
              </w:rPr>
              <w:t>5</w:t>
            </w:r>
          </w:p>
        </w:tc>
      </w:tr>
      <w:tr w:rsidR="005A4806" w:rsidRPr="006533A4" w14:paraId="48389411" w14:textId="77777777" w:rsidTr="00360F37">
        <w:trPr>
          <w:trHeight w:val="1153"/>
          <w:tblHeader/>
        </w:trPr>
        <w:tc>
          <w:tcPr>
            <w:tcW w:w="547" w:type="dxa"/>
            <w:vMerge/>
            <w:vAlign w:val="center"/>
            <w:hideMark/>
          </w:tcPr>
          <w:p w14:paraId="5F296B17" w14:textId="77777777" w:rsidR="005A4806" w:rsidRPr="006533A4" w:rsidRDefault="005A4806" w:rsidP="0023341C">
            <w:pPr>
              <w:spacing w:line="276" w:lineRule="auto"/>
              <w:jc w:val="center"/>
              <w:rPr>
                <w:rFonts w:ascii="Bookman Old Style" w:hAnsi="Bookman Old Style"/>
                <w:b/>
                <w:bCs/>
                <w:sz w:val="18"/>
                <w:szCs w:val="18"/>
                <w:lang w:val="fi-FI"/>
              </w:rPr>
            </w:pPr>
          </w:p>
        </w:tc>
        <w:tc>
          <w:tcPr>
            <w:tcW w:w="3139" w:type="dxa"/>
            <w:shd w:val="clear" w:color="000000" w:fill="FFFFFF"/>
            <w:vAlign w:val="center"/>
            <w:hideMark/>
          </w:tcPr>
          <w:p w14:paraId="52FE2E7E" w14:textId="77777777" w:rsidR="005A4806" w:rsidRPr="000243C4" w:rsidRDefault="005A4806" w:rsidP="0023341C">
            <w:pPr>
              <w:spacing w:line="276" w:lineRule="auto"/>
              <w:jc w:val="center"/>
              <w:rPr>
                <w:rFonts w:ascii="Bookman Old Style" w:hAnsi="Bookman Old Style"/>
                <w:b/>
                <w:bCs/>
                <w:sz w:val="20"/>
                <w:szCs w:val="20"/>
              </w:rPr>
            </w:pPr>
            <w:r w:rsidRPr="000243C4">
              <w:rPr>
                <w:rFonts w:ascii="Bookman Old Style" w:hAnsi="Bookman Old Style"/>
                <w:b/>
                <w:bCs/>
                <w:sz w:val="20"/>
                <w:szCs w:val="20"/>
              </w:rPr>
              <w:t>Uraian</w:t>
            </w:r>
          </w:p>
        </w:tc>
        <w:tc>
          <w:tcPr>
            <w:tcW w:w="1324" w:type="dxa"/>
            <w:shd w:val="clear" w:color="000000" w:fill="FFFFFF"/>
            <w:vAlign w:val="center"/>
            <w:hideMark/>
          </w:tcPr>
          <w:p w14:paraId="7C4A6924" w14:textId="3C4CC7B9" w:rsidR="005A4806" w:rsidRPr="000243C4" w:rsidRDefault="005A4806" w:rsidP="0023341C">
            <w:pPr>
              <w:spacing w:line="276" w:lineRule="auto"/>
              <w:jc w:val="center"/>
              <w:rPr>
                <w:rFonts w:ascii="Bookman Old Style" w:hAnsi="Bookman Old Style"/>
                <w:b/>
                <w:bCs/>
                <w:sz w:val="20"/>
                <w:szCs w:val="20"/>
                <w:lang w:val="fi-FI"/>
              </w:rPr>
            </w:pPr>
            <w:r w:rsidRPr="000243C4">
              <w:rPr>
                <w:rFonts w:ascii="Bookman Old Style" w:hAnsi="Bookman Old Style"/>
                <w:b/>
                <w:bCs/>
                <w:sz w:val="20"/>
                <w:szCs w:val="20"/>
                <w:lang w:val="fi-FI"/>
              </w:rPr>
              <w:t>Jumlah</w:t>
            </w:r>
            <w:r w:rsidR="00A954D0">
              <w:rPr>
                <w:rFonts w:ascii="Bookman Old Style" w:hAnsi="Bookman Old Style"/>
                <w:b/>
                <w:bCs/>
                <w:sz w:val="20"/>
                <w:szCs w:val="20"/>
                <w:lang w:val="fi-FI"/>
              </w:rPr>
              <w:t xml:space="preserve"> </w:t>
            </w:r>
            <w:r w:rsidRPr="000243C4">
              <w:rPr>
                <w:rFonts w:ascii="Bookman Old Style" w:hAnsi="Bookman Old Style"/>
                <w:b/>
                <w:bCs/>
                <w:sz w:val="20"/>
                <w:szCs w:val="20"/>
                <w:lang w:val="fi-FI"/>
              </w:rPr>
              <w:t>Pimpinan</w:t>
            </w:r>
            <w:r w:rsidR="00A954D0">
              <w:rPr>
                <w:rFonts w:ascii="Bookman Old Style" w:hAnsi="Bookman Old Style"/>
                <w:b/>
                <w:bCs/>
                <w:sz w:val="20"/>
                <w:szCs w:val="20"/>
                <w:lang w:val="fi-FI"/>
              </w:rPr>
              <w:t xml:space="preserve"> </w:t>
            </w:r>
            <w:r w:rsidRPr="000243C4">
              <w:rPr>
                <w:rFonts w:ascii="Bookman Old Style" w:hAnsi="Bookman Old Style"/>
                <w:b/>
                <w:bCs/>
                <w:sz w:val="20"/>
                <w:szCs w:val="20"/>
                <w:lang w:val="fi-FI"/>
              </w:rPr>
              <w:t>dan</w:t>
            </w:r>
            <w:r w:rsidR="00A954D0">
              <w:rPr>
                <w:rFonts w:ascii="Bookman Old Style" w:hAnsi="Bookman Old Style"/>
                <w:b/>
                <w:bCs/>
                <w:sz w:val="20"/>
                <w:szCs w:val="20"/>
                <w:lang w:val="fi-FI"/>
              </w:rPr>
              <w:t xml:space="preserve"> </w:t>
            </w:r>
            <w:r w:rsidRPr="000243C4">
              <w:rPr>
                <w:rFonts w:ascii="Bookman Old Style" w:hAnsi="Bookman Old Style"/>
                <w:b/>
                <w:bCs/>
                <w:sz w:val="20"/>
                <w:szCs w:val="20"/>
                <w:lang w:val="fi-FI"/>
              </w:rPr>
              <w:t>Anggota</w:t>
            </w:r>
            <w:r w:rsidR="00A954D0">
              <w:rPr>
                <w:rFonts w:ascii="Bookman Old Style" w:hAnsi="Bookman Old Style"/>
                <w:b/>
                <w:bCs/>
                <w:sz w:val="20"/>
                <w:szCs w:val="20"/>
                <w:lang w:val="fi-FI"/>
              </w:rPr>
              <w:t xml:space="preserve"> </w:t>
            </w:r>
            <w:r w:rsidRPr="000243C4">
              <w:rPr>
                <w:rFonts w:ascii="Bookman Old Style" w:hAnsi="Bookman Old Style"/>
                <w:b/>
                <w:bCs/>
                <w:sz w:val="20"/>
                <w:szCs w:val="20"/>
                <w:lang w:val="fi-FI"/>
              </w:rPr>
              <w:t>(Orang)</w:t>
            </w:r>
          </w:p>
        </w:tc>
        <w:tc>
          <w:tcPr>
            <w:tcW w:w="1701" w:type="dxa"/>
            <w:shd w:val="clear" w:color="000000" w:fill="FFFFFF"/>
            <w:vAlign w:val="center"/>
            <w:hideMark/>
          </w:tcPr>
          <w:p w14:paraId="4DB09452" w14:textId="11513950" w:rsidR="005A4806" w:rsidRPr="000243C4" w:rsidRDefault="005A4806" w:rsidP="0023341C">
            <w:pPr>
              <w:spacing w:line="276" w:lineRule="auto"/>
              <w:jc w:val="center"/>
              <w:rPr>
                <w:rFonts w:ascii="Bookman Old Style" w:hAnsi="Bookman Old Style"/>
                <w:b/>
                <w:bCs/>
                <w:sz w:val="20"/>
                <w:szCs w:val="20"/>
                <w:lang w:val="sv-FI"/>
              </w:rPr>
            </w:pPr>
            <w:r w:rsidRPr="000243C4">
              <w:rPr>
                <w:rFonts w:ascii="Bookman Old Style" w:hAnsi="Bookman Old Style"/>
                <w:b/>
                <w:bCs/>
                <w:sz w:val="20"/>
                <w:szCs w:val="20"/>
                <w:lang w:val="sv-FI"/>
              </w:rPr>
              <w:t>Jumlah</w:t>
            </w:r>
            <w:r w:rsidR="00A954D0">
              <w:rPr>
                <w:rFonts w:ascii="Bookman Old Style" w:hAnsi="Bookman Old Style"/>
                <w:b/>
                <w:bCs/>
                <w:sz w:val="20"/>
                <w:szCs w:val="20"/>
                <w:lang w:val="sv-FI"/>
              </w:rPr>
              <w:t xml:space="preserve"> </w:t>
            </w:r>
            <w:r w:rsidRPr="000243C4">
              <w:rPr>
                <w:rFonts w:ascii="Bookman Old Style" w:hAnsi="Bookman Old Style"/>
                <w:b/>
                <w:bCs/>
                <w:sz w:val="20"/>
                <w:szCs w:val="20"/>
                <w:lang w:val="sv-FI"/>
              </w:rPr>
              <w:t>Gaji</w:t>
            </w:r>
            <w:r w:rsidR="00A954D0">
              <w:rPr>
                <w:rFonts w:ascii="Bookman Old Style" w:hAnsi="Bookman Old Style"/>
                <w:b/>
                <w:bCs/>
                <w:sz w:val="20"/>
                <w:szCs w:val="20"/>
                <w:lang w:val="sv-FI"/>
              </w:rPr>
              <w:t xml:space="preserve"> </w:t>
            </w:r>
            <w:r w:rsidRPr="000243C4">
              <w:rPr>
                <w:rFonts w:ascii="Bookman Old Style" w:hAnsi="Bookman Old Style"/>
                <w:b/>
                <w:bCs/>
                <w:sz w:val="20"/>
                <w:szCs w:val="20"/>
                <w:lang w:val="sv-FI"/>
              </w:rPr>
              <w:t>Pokok</w:t>
            </w:r>
            <w:r w:rsidR="00A954D0">
              <w:rPr>
                <w:rFonts w:ascii="Bookman Old Style" w:hAnsi="Bookman Old Style"/>
                <w:b/>
                <w:bCs/>
                <w:sz w:val="20"/>
                <w:szCs w:val="20"/>
                <w:lang w:val="sv-FI"/>
              </w:rPr>
              <w:t xml:space="preserve"> </w:t>
            </w:r>
            <w:r w:rsidRPr="000243C4">
              <w:rPr>
                <w:rFonts w:ascii="Bookman Old Style" w:hAnsi="Bookman Old Style"/>
                <w:b/>
                <w:bCs/>
                <w:sz w:val="20"/>
                <w:szCs w:val="20"/>
                <w:lang w:val="sv-FI"/>
              </w:rPr>
              <w:t>dan</w:t>
            </w:r>
            <w:r w:rsidR="00A954D0">
              <w:rPr>
                <w:rFonts w:ascii="Bookman Old Style" w:hAnsi="Bookman Old Style"/>
                <w:b/>
                <w:bCs/>
                <w:sz w:val="20"/>
                <w:szCs w:val="20"/>
                <w:lang w:val="sv-FI"/>
              </w:rPr>
              <w:t xml:space="preserve"> </w:t>
            </w:r>
            <w:r w:rsidRPr="000243C4">
              <w:rPr>
                <w:rFonts w:ascii="Bookman Old Style" w:hAnsi="Bookman Old Style"/>
                <w:b/>
                <w:bCs/>
                <w:sz w:val="20"/>
                <w:szCs w:val="20"/>
                <w:lang w:val="sv-FI"/>
              </w:rPr>
              <w:t>Uang</w:t>
            </w:r>
            <w:r w:rsidR="00A954D0">
              <w:rPr>
                <w:rFonts w:ascii="Bookman Old Style" w:hAnsi="Bookman Old Style"/>
                <w:b/>
                <w:bCs/>
                <w:sz w:val="20"/>
                <w:szCs w:val="20"/>
                <w:lang w:val="sv-FI"/>
              </w:rPr>
              <w:t xml:space="preserve"> </w:t>
            </w:r>
            <w:r w:rsidRPr="000243C4">
              <w:rPr>
                <w:rFonts w:ascii="Bookman Old Style" w:hAnsi="Bookman Old Style"/>
                <w:b/>
                <w:bCs/>
                <w:sz w:val="20"/>
                <w:szCs w:val="20"/>
                <w:lang w:val="sv-FI"/>
              </w:rPr>
              <w:t>Representasi</w:t>
            </w:r>
            <w:r w:rsidR="00A954D0">
              <w:rPr>
                <w:rFonts w:ascii="Bookman Old Style" w:hAnsi="Bookman Old Style"/>
                <w:b/>
                <w:bCs/>
                <w:sz w:val="20"/>
                <w:szCs w:val="20"/>
                <w:lang w:val="sv-FI"/>
              </w:rPr>
              <w:t xml:space="preserve"> </w:t>
            </w:r>
            <w:r w:rsidRPr="000243C4">
              <w:rPr>
                <w:rFonts w:ascii="Bookman Old Style" w:hAnsi="Bookman Old Style"/>
                <w:b/>
                <w:bCs/>
                <w:sz w:val="20"/>
                <w:szCs w:val="20"/>
                <w:lang w:val="sv-FI"/>
              </w:rPr>
              <w:t>(Rp)</w:t>
            </w:r>
          </w:p>
        </w:tc>
        <w:tc>
          <w:tcPr>
            <w:tcW w:w="2078" w:type="dxa"/>
            <w:shd w:val="clear" w:color="000000" w:fill="FFFFFF"/>
            <w:vAlign w:val="center"/>
            <w:hideMark/>
          </w:tcPr>
          <w:p w14:paraId="0A36EC94" w14:textId="77777777" w:rsidR="005A4806" w:rsidRPr="000243C4" w:rsidRDefault="005A4806" w:rsidP="0023341C">
            <w:pPr>
              <w:spacing w:line="276" w:lineRule="auto"/>
              <w:jc w:val="center"/>
              <w:rPr>
                <w:rFonts w:ascii="Bookman Old Style" w:hAnsi="Bookman Old Style"/>
                <w:b/>
                <w:bCs/>
                <w:sz w:val="20"/>
                <w:szCs w:val="20"/>
              </w:rPr>
            </w:pPr>
            <w:r w:rsidRPr="000243C4">
              <w:rPr>
                <w:rFonts w:ascii="Bookman Old Style" w:hAnsi="Bookman Old Style"/>
                <w:b/>
                <w:bCs/>
                <w:sz w:val="20"/>
                <w:szCs w:val="20"/>
              </w:rPr>
              <w:t>Jumlah</w:t>
            </w:r>
          </w:p>
          <w:p w14:paraId="781E949F" w14:textId="77777777" w:rsidR="005A4806" w:rsidRPr="000243C4" w:rsidRDefault="005A4806" w:rsidP="0023341C">
            <w:pPr>
              <w:spacing w:line="276" w:lineRule="auto"/>
              <w:jc w:val="center"/>
              <w:rPr>
                <w:rFonts w:ascii="Bookman Old Style" w:hAnsi="Bookman Old Style"/>
                <w:b/>
                <w:bCs/>
                <w:sz w:val="20"/>
                <w:szCs w:val="20"/>
              </w:rPr>
            </w:pPr>
            <w:r w:rsidRPr="000243C4">
              <w:rPr>
                <w:rFonts w:ascii="Bookman Old Style" w:hAnsi="Bookman Old Style"/>
                <w:b/>
                <w:bCs/>
                <w:sz w:val="20"/>
                <w:szCs w:val="20"/>
              </w:rPr>
              <w:t>(Rp)</w:t>
            </w:r>
          </w:p>
        </w:tc>
      </w:tr>
      <w:tr w:rsidR="005A4806" w:rsidRPr="006533A4" w14:paraId="4454CA3E" w14:textId="77777777" w:rsidTr="00360F37">
        <w:trPr>
          <w:trHeight w:val="98"/>
        </w:trPr>
        <w:tc>
          <w:tcPr>
            <w:tcW w:w="547" w:type="dxa"/>
            <w:shd w:val="clear" w:color="000000" w:fill="FFFFFF"/>
            <w:vAlign w:val="center"/>
            <w:hideMark/>
          </w:tcPr>
          <w:p w14:paraId="3D953734" w14:textId="77777777" w:rsidR="005A4806" w:rsidRPr="006533A4" w:rsidRDefault="005A4806" w:rsidP="0023341C">
            <w:pPr>
              <w:spacing w:line="276" w:lineRule="auto"/>
              <w:jc w:val="center"/>
              <w:rPr>
                <w:rFonts w:ascii="Bookman Old Style" w:hAnsi="Bookman Old Style"/>
                <w:sz w:val="18"/>
                <w:szCs w:val="18"/>
              </w:rPr>
            </w:pPr>
            <w:r w:rsidRPr="001A2B80">
              <w:t>1</w:t>
            </w:r>
          </w:p>
        </w:tc>
        <w:tc>
          <w:tcPr>
            <w:tcW w:w="3139" w:type="dxa"/>
            <w:shd w:val="clear" w:color="000000" w:fill="FFFFFF"/>
            <w:vAlign w:val="center"/>
            <w:hideMark/>
          </w:tcPr>
          <w:p w14:paraId="2073965E" w14:textId="162DAA10" w:rsidR="005A4806" w:rsidRPr="000243C4" w:rsidRDefault="005A4806" w:rsidP="00587E87">
            <w:pPr>
              <w:spacing w:line="276" w:lineRule="auto"/>
              <w:jc w:val="both"/>
              <w:rPr>
                <w:rFonts w:ascii="Bookman Old Style" w:hAnsi="Bookman Old Style"/>
                <w:sz w:val="20"/>
                <w:szCs w:val="20"/>
                <w:lang w:val="sv-FI"/>
              </w:rPr>
            </w:pPr>
            <w:r w:rsidRPr="003255BC">
              <w:rPr>
                <w:rFonts w:ascii="Bookman Old Style" w:hAnsi="Bookman Old Style"/>
                <w:sz w:val="20"/>
                <w:szCs w:val="20"/>
                <w:lang w:val="sv-FI"/>
              </w:rPr>
              <w:t>Ketua</w:t>
            </w:r>
            <w:r w:rsidR="00A954D0" w:rsidRPr="003255BC">
              <w:rPr>
                <w:rFonts w:ascii="Bookman Old Style" w:hAnsi="Bookman Old Style"/>
                <w:sz w:val="20"/>
                <w:szCs w:val="20"/>
                <w:lang w:val="sv-FI"/>
              </w:rPr>
              <w:t xml:space="preserve"> </w:t>
            </w:r>
            <w:r w:rsidRPr="003255BC">
              <w:rPr>
                <w:rFonts w:ascii="Bookman Old Style" w:hAnsi="Bookman Old Style"/>
                <w:sz w:val="20"/>
                <w:szCs w:val="20"/>
                <w:lang w:val="sv-FI"/>
              </w:rPr>
              <w:t>(setara</w:t>
            </w:r>
            <w:r w:rsidR="00A954D0" w:rsidRPr="003255BC">
              <w:rPr>
                <w:rFonts w:ascii="Bookman Old Style" w:hAnsi="Bookman Old Style"/>
                <w:sz w:val="20"/>
                <w:szCs w:val="20"/>
                <w:lang w:val="sv-FI"/>
              </w:rPr>
              <w:t xml:space="preserve"> </w:t>
            </w:r>
            <w:r w:rsidRPr="003255BC">
              <w:rPr>
                <w:rFonts w:ascii="Bookman Old Style" w:hAnsi="Bookman Old Style"/>
                <w:sz w:val="20"/>
                <w:szCs w:val="20"/>
                <w:lang w:val="sv-FI"/>
              </w:rPr>
              <w:t>dengan</w:t>
            </w:r>
            <w:r w:rsidR="00A954D0" w:rsidRPr="003255BC">
              <w:rPr>
                <w:rFonts w:ascii="Bookman Old Style" w:hAnsi="Bookman Old Style"/>
                <w:sz w:val="20"/>
                <w:szCs w:val="20"/>
                <w:lang w:val="sv-FI"/>
              </w:rPr>
              <w:t xml:space="preserve"> </w:t>
            </w:r>
            <w:r w:rsidRPr="003255BC">
              <w:rPr>
                <w:rFonts w:ascii="Bookman Old Style" w:hAnsi="Bookman Old Style"/>
                <w:sz w:val="20"/>
                <w:szCs w:val="20"/>
                <w:lang w:val="sv-FI"/>
              </w:rPr>
              <w:t>gaji</w:t>
            </w:r>
            <w:r w:rsidR="00A954D0" w:rsidRPr="003255BC">
              <w:rPr>
                <w:rFonts w:ascii="Bookman Old Style" w:hAnsi="Bookman Old Style"/>
                <w:sz w:val="20"/>
                <w:szCs w:val="20"/>
                <w:lang w:val="sv-FI"/>
              </w:rPr>
              <w:t xml:space="preserve"> </w:t>
            </w:r>
            <w:r w:rsidRPr="003255BC">
              <w:rPr>
                <w:rFonts w:ascii="Bookman Old Style" w:hAnsi="Bookman Old Style"/>
                <w:sz w:val="20"/>
                <w:szCs w:val="20"/>
                <w:lang w:val="sv-FI"/>
              </w:rPr>
              <w:t>pokok</w:t>
            </w:r>
            <w:r w:rsidR="00A954D0" w:rsidRPr="003255BC">
              <w:rPr>
                <w:rFonts w:ascii="Bookman Old Style" w:hAnsi="Bookman Old Style"/>
                <w:sz w:val="20"/>
                <w:szCs w:val="20"/>
                <w:lang w:val="sv-FI"/>
              </w:rPr>
              <w:t xml:space="preserve"> </w:t>
            </w:r>
            <w:r w:rsidRPr="003255BC">
              <w:rPr>
                <w:rFonts w:ascii="Bookman Old Style" w:hAnsi="Bookman Old Style"/>
                <w:sz w:val="20"/>
                <w:szCs w:val="20"/>
                <w:lang w:val="sv-FI"/>
              </w:rPr>
              <w:t>Kepala</w:t>
            </w:r>
            <w:r w:rsidR="00A954D0" w:rsidRPr="003255BC">
              <w:rPr>
                <w:rFonts w:ascii="Bookman Old Style" w:hAnsi="Bookman Old Style"/>
                <w:sz w:val="20"/>
                <w:szCs w:val="20"/>
                <w:lang w:val="sv-FI"/>
              </w:rPr>
              <w:t xml:space="preserve"> </w:t>
            </w:r>
            <w:r w:rsidRPr="003255BC">
              <w:rPr>
                <w:rFonts w:ascii="Bookman Old Style" w:hAnsi="Bookman Old Style"/>
                <w:sz w:val="20"/>
                <w:szCs w:val="20"/>
                <w:lang w:val="sv-FI"/>
              </w:rPr>
              <w:t>Daerah</w:t>
            </w:r>
            <w:r w:rsidR="00CA2C5E" w:rsidRPr="003255BC">
              <w:rPr>
                <w:rFonts w:ascii="Bookman Old Style" w:hAnsi="Bookman Old Style"/>
                <w:sz w:val="20"/>
                <w:szCs w:val="20"/>
                <w:lang w:val="sv-FI"/>
              </w:rPr>
              <w:t>)</w:t>
            </w:r>
          </w:p>
        </w:tc>
        <w:tc>
          <w:tcPr>
            <w:tcW w:w="1324" w:type="dxa"/>
            <w:shd w:val="clear" w:color="000000" w:fill="FFFFFF"/>
            <w:vAlign w:val="center"/>
          </w:tcPr>
          <w:p w14:paraId="0D5C4AC6" w14:textId="77777777" w:rsidR="005A4806" w:rsidRPr="000243C4" w:rsidRDefault="005A4806" w:rsidP="0023341C">
            <w:pPr>
              <w:spacing w:line="276" w:lineRule="auto"/>
              <w:jc w:val="center"/>
              <w:rPr>
                <w:rFonts w:ascii="Bookman Old Style" w:hAnsi="Bookman Old Style"/>
                <w:sz w:val="20"/>
                <w:szCs w:val="20"/>
              </w:rPr>
            </w:pPr>
            <w:r w:rsidRPr="000243C4">
              <w:rPr>
                <w:rFonts w:ascii="Bookman Old Style" w:hAnsi="Bookman Old Style"/>
                <w:sz w:val="20"/>
                <w:szCs w:val="20"/>
              </w:rPr>
              <w:t>1</w:t>
            </w:r>
          </w:p>
        </w:tc>
        <w:tc>
          <w:tcPr>
            <w:tcW w:w="1701" w:type="dxa"/>
            <w:shd w:val="clear" w:color="000000" w:fill="FFFFFF"/>
            <w:vAlign w:val="center"/>
          </w:tcPr>
          <w:p w14:paraId="28AD515E" w14:textId="77777777" w:rsidR="005A4806" w:rsidRPr="000243C4" w:rsidRDefault="005A4806" w:rsidP="0023341C">
            <w:pPr>
              <w:spacing w:line="276" w:lineRule="auto"/>
              <w:jc w:val="right"/>
              <w:rPr>
                <w:rFonts w:ascii="Bookman Old Style" w:hAnsi="Bookman Old Style"/>
                <w:sz w:val="20"/>
                <w:szCs w:val="20"/>
              </w:rPr>
            </w:pPr>
            <w:r w:rsidRPr="000243C4">
              <w:rPr>
                <w:rFonts w:ascii="Bookman Old Style" w:hAnsi="Bookman Old Style"/>
                <w:sz w:val="20"/>
                <w:szCs w:val="20"/>
              </w:rPr>
              <w:t>2</w:t>
            </w:r>
            <w:r>
              <w:rPr>
                <w:rFonts w:ascii="Bookman Old Style" w:hAnsi="Bookman Old Style"/>
                <w:sz w:val="20"/>
                <w:szCs w:val="20"/>
              </w:rPr>
              <w:t>.</w:t>
            </w:r>
            <w:r w:rsidRPr="000243C4">
              <w:rPr>
                <w:rFonts w:ascii="Bookman Old Style" w:hAnsi="Bookman Old Style"/>
                <w:sz w:val="20"/>
                <w:szCs w:val="20"/>
              </w:rPr>
              <w:t>100</w:t>
            </w:r>
            <w:r>
              <w:rPr>
                <w:rFonts w:ascii="Bookman Old Style" w:hAnsi="Bookman Old Style"/>
                <w:sz w:val="20"/>
                <w:szCs w:val="20"/>
              </w:rPr>
              <w:t>.</w:t>
            </w:r>
            <w:r w:rsidRPr="000243C4">
              <w:rPr>
                <w:rFonts w:ascii="Bookman Old Style" w:hAnsi="Bookman Old Style"/>
                <w:sz w:val="20"/>
                <w:szCs w:val="20"/>
              </w:rPr>
              <w:t>000</w:t>
            </w:r>
            <w:r>
              <w:rPr>
                <w:rFonts w:ascii="Bookman Old Style" w:hAnsi="Bookman Old Style"/>
                <w:sz w:val="20"/>
                <w:szCs w:val="20"/>
              </w:rPr>
              <w:t>,</w:t>
            </w:r>
            <w:r w:rsidRPr="000243C4">
              <w:rPr>
                <w:rFonts w:ascii="Bookman Old Style" w:hAnsi="Bookman Old Style"/>
                <w:sz w:val="20"/>
                <w:szCs w:val="20"/>
              </w:rPr>
              <w:t>00</w:t>
            </w:r>
          </w:p>
        </w:tc>
        <w:tc>
          <w:tcPr>
            <w:tcW w:w="2078" w:type="dxa"/>
            <w:shd w:val="clear" w:color="000000" w:fill="FFFFFF"/>
            <w:vAlign w:val="center"/>
          </w:tcPr>
          <w:p w14:paraId="1C1748E9" w14:textId="77777777" w:rsidR="005A4806" w:rsidRPr="000243C4" w:rsidRDefault="005A4806" w:rsidP="0023341C">
            <w:pPr>
              <w:spacing w:line="276" w:lineRule="auto"/>
              <w:jc w:val="right"/>
              <w:rPr>
                <w:rFonts w:ascii="Bookman Old Style" w:hAnsi="Bookman Old Style"/>
                <w:sz w:val="20"/>
                <w:szCs w:val="20"/>
              </w:rPr>
            </w:pPr>
            <w:r w:rsidRPr="000243C4">
              <w:rPr>
                <w:rFonts w:ascii="Bookman Old Style" w:hAnsi="Bookman Old Style"/>
                <w:sz w:val="20"/>
                <w:szCs w:val="20"/>
              </w:rPr>
              <w:t>2</w:t>
            </w:r>
            <w:r>
              <w:rPr>
                <w:rFonts w:ascii="Bookman Old Style" w:hAnsi="Bookman Old Style"/>
                <w:sz w:val="20"/>
                <w:szCs w:val="20"/>
              </w:rPr>
              <w:t>.</w:t>
            </w:r>
            <w:r w:rsidRPr="000243C4">
              <w:rPr>
                <w:rFonts w:ascii="Bookman Old Style" w:hAnsi="Bookman Old Style"/>
                <w:sz w:val="20"/>
                <w:szCs w:val="20"/>
              </w:rPr>
              <w:t>100</w:t>
            </w:r>
            <w:r>
              <w:rPr>
                <w:rFonts w:ascii="Bookman Old Style" w:hAnsi="Bookman Old Style"/>
                <w:sz w:val="20"/>
                <w:szCs w:val="20"/>
              </w:rPr>
              <w:t>.</w:t>
            </w:r>
            <w:r w:rsidRPr="000243C4">
              <w:rPr>
                <w:rFonts w:ascii="Bookman Old Style" w:hAnsi="Bookman Old Style"/>
                <w:sz w:val="20"/>
                <w:szCs w:val="20"/>
              </w:rPr>
              <w:t>000</w:t>
            </w:r>
            <w:r>
              <w:rPr>
                <w:rFonts w:ascii="Bookman Old Style" w:hAnsi="Bookman Old Style"/>
                <w:sz w:val="20"/>
                <w:szCs w:val="20"/>
              </w:rPr>
              <w:t>,</w:t>
            </w:r>
            <w:r w:rsidRPr="000243C4">
              <w:rPr>
                <w:rFonts w:ascii="Bookman Old Style" w:hAnsi="Bookman Old Style"/>
                <w:sz w:val="20"/>
                <w:szCs w:val="20"/>
              </w:rPr>
              <w:t>00</w:t>
            </w:r>
          </w:p>
        </w:tc>
      </w:tr>
      <w:tr w:rsidR="005A4806" w:rsidRPr="006533A4" w14:paraId="4CA3D9C5" w14:textId="77777777" w:rsidTr="00360F37">
        <w:trPr>
          <w:trHeight w:val="50"/>
        </w:trPr>
        <w:tc>
          <w:tcPr>
            <w:tcW w:w="547" w:type="dxa"/>
            <w:shd w:val="clear" w:color="000000" w:fill="FFFFFF"/>
            <w:vAlign w:val="center"/>
            <w:hideMark/>
          </w:tcPr>
          <w:p w14:paraId="03DF7DD3" w14:textId="77777777" w:rsidR="005A4806" w:rsidRPr="006533A4" w:rsidRDefault="005A4806" w:rsidP="0023341C">
            <w:pPr>
              <w:spacing w:line="276" w:lineRule="auto"/>
              <w:jc w:val="center"/>
              <w:rPr>
                <w:rFonts w:ascii="Bookman Old Style" w:hAnsi="Bookman Old Style"/>
                <w:sz w:val="18"/>
                <w:szCs w:val="18"/>
              </w:rPr>
            </w:pPr>
            <w:r w:rsidRPr="001A2B80">
              <w:t>2</w:t>
            </w:r>
          </w:p>
        </w:tc>
        <w:tc>
          <w:tcPr>
            <w:tcW w:w="3139" w:type="dxa"/>
            <w:shd w:val="clear" w:color="000000" w:fill="FFFFFF"/>
            <w:vAlign w:val="center"/>
            <w:hideMark/>
          </w:tcPr>
          <w:p w14:paraId="2FEABE34" w14:textId="2D598569" w:rsidR="005A4806" w:rsidRPr="000243C4" w:rsidRDefault="005A4806" w:rsidP="00587E87">
            <w:pPr>
              <w:spacing w:line="276" w:lineRule="auto"/>
              <w:jc w:val="both"/>
              <w:rPr>
                <w:rFonts w:ascii="Bookman Old Style" w:hAnsi="Bookman Old Style"/>
                <w:sz w:val="20"/>
                <w:szCs w:val="20"/>
                <w:lang w:val="it-IT"/>
              </w:rPr>
            </w:pPr>
            <w:r w:rsidRPr="003255BC">
              <w:rPr>
                <w:rFonts w:ascii="Bookman Old Style" w:hAnsi="Bookman Old Style"/>
                <w:sz w:val="20"/>
                <w:szCs w:val="20"/>
                <w:lang w:val="sv-FI"/>
              </w:rPr>
              <w:t>Wakil</w:t>
            </w:r>
            <w:r w:rsidR="00A954D0" w:rsidRPr="003255BC">
              <w:rPr>
                <w:rFonts w:ascii="Bookman Old Style" w:hAnsi="Bookman Old Style"/>
                <w:sz w:val="20"/>
                <w:szCs w:val="20"/>
                <w:lang w:val="sv-FI"/>
              </w:rPr>
              <w:t xml:space="preserve"> </w:t>
            </w:r>
            <w:r w:rsidRPr="003255BC">
              <w:rPr>
                <w:rFonts w:ascii="Bookman Old Style" w:hAnsi="Bookman Old Style"/>
                <w:sz w:val="20"/>
                <w:szCs w:val="20"/>
                <w:lang w:val="sv-FI"/>
              </w:rPr>
              <w:t>(80%</w:t>
            </w:r>
            <w:r w:rsidR="00A954D0" w:rsidRPr="003255BC">
              <w:rPr>
                <w:rFonts w:ascii="Bookman Old Style" w:hAnsi="Bookman Old Style"/>
                <w:sz w:val="20"/>
                <w:szCs w:val="20"/>
                <w:lang w:val="sv-FI"/>
              </w:rPr>
              <w:t xml:space="preserve"> </w:t>
            </w:r>
            <w:r w:rsidRPr="003255BC">
              <w:rPr>
                <w:rFonts w:ascii="Bookman Old Style" w:hAnsi="Bookman Old Style"/>
                <w:sz w:val="20"/>
                <w:szCs w:val="20"/>
                <w:lang w:val="sv-FI"/>
              </w:rPr>
              <w:t>dari</w:t>
            </w:r>
            <w:r w:rsidR="00A954D0" w:rsidRPr="003255BC">
              <w:rPr>
                <w:rFonts w:ascii="Bookman Old Style" w:hAnsi="Bookman Old Style"/>
                <w:sz w:val="20"/>
                <w:szCs w:val="20"/>
                <w:lang w:val="sv-FI"/>
              </w:rPr>
              <w:t xml:space="preserve"> </w:t>
            </w:r>
            <w:r w:rsidRPr="003255BC">
              <w:rPr>
                <w:rFonts w:ascii="Bookman Old Style" w:hAnsi="Bookman Old Style"/>
                <w:sz w:val="20"/>
                <w:szCs w:val="20"/>
                <w:lang w:val="sv-FI"/>
              </w:rPr>
              <w:t>uang</w:t>
            </w:r>
            <w:r w:rsidR="00A954D0" w:rsidRPr="003255BC">
              <w:rPr>
                <w:rFonts w:ascii="Bookman Old Style" w:hAnsi="Bookman Old Style"/>
                <w:sz w:val="20"/>
                <w:szCs w:val="20"/>
                <w:lang w:val="sv-FI"/>
              </w:rPr>
              <w:t xml:space="preserve"> </w:t>
            </w:r>
            <w:r w:rsidRPr="003255BC">
              <w:rPr>
                <w:rFonts w:ascii="Bookman Old Style" w:hAnsi="Bookman Old Style"/>
                <w:sz w:val="20"/>
                <w:szCs w:val="20"/>
                <w:lang w:val="sv-FI"/>
              </w:rPr>
              <w:t>representasi</w:t>
            </w:r>
            <w:r w:rsidR="00A954D0" w:rsidRPr="003255BC">
              <w:rPr>
                <w:rFonts w:ascii="Bookman Old Style" w:hAnsi="Bookman Old Style"/>
                <w:sz w:val="20"/>
                <w:szCs w:val="20"/>
                <w:lang w:val="sv-FI"/>
              </w:rPr>
              <w:t xml:space="preserve"> </w:t>
            </w:r>
            <w:r w:rsidRPr="003255BC">
              <w:rPr>
                <w:rFonts w:ascii="Bookman Old Style" w:hAnsi="Bookman Old Style"/>
                <w:sz w:val="20"/>
                <w:szCs w:val="20"/>
                <w:lang w:val="sv-FI"/>
              </w:rPr>
              <w:t>Ketua</w:t>
            </w:r>
            <w:r w:rsidR="00A954D0" w:rsidRPr="003255BC">
              <w:rPr>
                <w:rFonts w:ascii="Bookman Old Style" w:hAnsi="Bookman Old Style"/>
                <w:sz w:val="20"/>
                <w:szCs w:val="20"/>
                <w:lang w:val="sv-FI"/>
              </w:rPr>
              <w:t xml:space="preserve"> </w:t>
            </w:r>
            <w:r w:rsidRPr="003255BC">
              <w:rPr>
                <w:rFonts w:ascii="Bookman Old Style" w:hAnsi="Bookman Old Style"/>
                <w:sz w:val="20"/>
                <w:szCs w:val="20"/>
                <w:lang w:val="sv-FI"/>
              </w:rPr>
              <w:t>DPRD)</w:t>
            </w:r>
            <w:r w:rsidR="00A954D0" w:rsidRPr="003255BC">
              <w:rPr>
                <w:rFonts w:ascii="Bookman Old Style" w:hAnsi="Bookman Old Style"/>
                <w:sz w:val="20"/>
                <w:szCs w:val="20"/>
                <w:lang w:val="sv-FI"/>
              </w:rPr>
              <w:t xml:space="preserve"> </w:t>
            </w:r>
          </w:p>
        </w:tc>
        <w:tc>
          <w:tcPr>
            <w:tcW w:w="1324" w:type="dxa"/>
            <w:shd w:val="clear" w:color="000000" w:fill="FFFFFF"/>
            <w:vAlign w:val="center"/>
          </w:tcPr>
          <w:p w14:paraId="5B8F8D5B" w14:textId="77777777" w:rsidR="005A4806" w:rsidRPr="000243C4" w:rsidRDefault="005A4806" w:rsidP="0023341C">
            <w:pPr>
              <w:spacing w:line="276" w:lineRule="auto"/>
              <w:jc w:val="center"/>
              <w:rPr>
                <w:rFonts w:ascii="Bookman Old Style" w:hAnsi="Bookman Old Style"/>
                <w:sz w:val="20"/>
                <w:szCs w:val="20"/>
                <w:lang w:val="it-IT"/>
              </w:rPr>
            </w:pPr>
            <w:r w:rsidRPr="000243C4">
              <w:rPr>
                <w:rFonts w:ascii="Bookman Old Style" w:hAnsi="Bookman Old Style"/>
                <w:sz w:val="20"/>
                <w:szCs w:val="20"/>
              </w:rPr>
              <w:t>3</w:t>
            </w:r>
          </w:p>
        </w:tc>
        <w:tc>
          <w:tcPr>
            <w:tcW w:w="1701" w:type="dxa"/>
            <w:shd w:val="clear" w:color="000000" w:fill="FFFFFF"/>
            <w:vAlign w:val="center"/>
          </w:tcPr>
          <w:p w14:paraId="2D2ECC4D" w14:textId="77777777" w:rsidR="005A4806" w:rsidRPr="000243C4" w:rsidRDefault="005A4806" w:rsidP="0023341C">
            <w:pPr>
              <w:spacing w:line="276" w:lineRule="auto"/>
              <w:jc w:val="right"/>
              <w:rPr>
                <w:rFonts w:ascii="Bookman Old Style" w:hAnsi="Bookman Old Style"/>
                <w:sz w:val="20"/>
                <w:szCs w:val="20"/>
                <w:lang w:val="it-IT"/>
              </w:rPr>
            </w:pPr>
            <w:r w:rsidRPr="000243C4">
              <w:rPr>
                <w:rFonts w:ascii="Bookman Old Style" w:hAnsi="Bookman Old Style"/>
                <w:sz w:val="20"/>
                <w:szCs w:val="20"/>
              </w:rPr>
              <w:t>1</w:t>
            </w:r>
            <w:r>
              <w:rPr>
                <w:rFonts w:ascii="Bookman Old Style" w:hAnsi="Bookman Old Style"/>
                <w:sz w:val="20"/>
                <w:szCs w:val="20"/>
              </w:rPr>
              <w:t>.</w:t>
            </w:r>
            <w:r w:rsidRPr="000243C4">
              <w:rPr>
                <w:rFonts w:ascii="Bookman Old Style" w:hAnsi="Bookman Old Style"/>
                <w:sz w:val="20"/>
                <w:szCs w:val="20"/>
              </w:rPr>
              <w:t>680</w:t>
            </w:r>
            <w:r>
              <w:rPr>
                <w:rFonts w:ascii="Bookman Old Style" w:hAnsi="Bookman Old Style"/>
                <w:sz w:val="20"/>
                <w:szCs w:val="20"/>
              </w:rPr>
              <w:t>.</w:t>
            </w:r>
            <w:r w:rsidRPr="000243C4">
              <w:rPr>
                <w:rFonts w:ascii="Bookman Old Style" w:hAnsi="Bookman Old Style"/>
                <w:sz w:val="20"/>
                <w:szCs w:val="20"/>
              </w:rPr>
              <w:t>000</w:t>
            </w:r>
            <w:r>
              <w:rPr>
                <w:rFonts w:ascii="Bookman Old Style" w:hAnsi="Bookman Old Style"/>
                <w:sz w:val="20"/>
                <w:szCs w:val="20"/>
              </w:rPr>
              <w:t>,</w:t>
            </w:r>
            <w:r w:rsidRPr="000243C4">
              <w:rPr>
                <w:rFonts w:ascii="Bookman Old Style" w:hAnsi="Bookman Old Style"/>
                <w:sz w:val="20"/>
                <w:szCs w:val="20"/>
              </w:rPr>
              <w:t>00</w:t>
            </w:r>
          </w:p>
        </w:tc>
        <w:tc>
          <w:tcPr>
            <w:tcW w:w="2078" w:type="dxa"/>
            <w:shd w:val="clear" w:color="000000" w:fill="FFFFFF"/>
            <w:vAlign w:val="center"/>
          </w:tcPr>
          <w:p w14:paraId="7760838E" w14:textId="77777777" w:rsidR="005A4806" w:rsidRPr="000243C4" w:rsidRDefault="005A4806" w:rsidP="0023341C">
            <w:pPr>
              <w:spacing w:line="276" w:lineRule="auto"/>
              <w:jc w:val="right"/>
              <w:rPr>
                <w:rFonts w:ascii="Bookman Old Style" w:hAnsi="Bookman Old Style"/>
                <w:sz w:val="20"/>
                <w:szCs w:val="20"/>
                <w:lang w:val="it-IT"/>
              </w:rPr>
            </w:pPr>
            <w:r w:rsidRPr="000243C4">
              <w:rPr>
                <w:rFonts w:ascii="Bookman Old Style" w:hAnsi="Bookman Old Style"/>
                <w:sz w:val="20"/>
                <w:szCs w:val="20"/>
              </w:rPr>
              <w:t>5</w:t>
            </w:r>
            <w:r>
              <w:rPr>
                <w:rFonts w:ascii="Bookman Old Style" w:hAnsi="Bookman Old Style"/>
                <w:sz w:val="20"/>
                <w:szCs w:val="20"/>
              </w:rPr>
              <w:t>.</w:t>
            </w:r>
            <w:r w:rsidRPr="000243C4">
              <w:rPr>
                <w:rFonts w:ascii="Bookman Old Style" w:hAnsi="Bookman Old Style"/>
                <w:sz w:val="20"/>
                <w:szCs w:val="20"/>
              </w:rPr>
              <w:t>040</w:t>
            </w:r>
            <w:r>
              <w:rPr>
                <w:rFonts w:ascii="Bookman Old Style" w:hAnsi="Bookman Old Style"/>
                <w:sz w:val="20"/>
                <w:szCs w:val="20"/>
              </w:rPr>
              <w:t>.</w:t>
            </w:r>
            <w:r w:rsidRPr="000243C4">
              <w:rPr>
                <w:rFonts w:ascii="Bookman Old Style" w:hAnsi="Bookman Old Style"/>
                <w:sz w:val="20"/>
                <w:szCs w:val="20"/>
              </w:rPr>
              <w:t>000</w:t>
            </w:r>
            <w:r>
              <w:rPr>
                <w:rFonts w:ascii="Bookman Old Style" w:hAnsi="Bookman Old Style"/>
                <w:sz w:val="20"/>
                <w:szCs w:val="20"/>
              </w:rPr>
              <w:t>,</w:t>
            </w:r>
            <w:r w:rsidRPr="000243C4">
              <w:rPr>
                <w:rFonts w:ascii="Bookman Old Style" w:hAnsi="Bookman Old Style"/>
                <w:sz w:val="20"/>
                <w:szCs w:val="20"/>
              </w:rPr>
              <w:t>00</w:t>
            </w:r>
          </w:p>
        </w:tc>
      </w:tr>
      <w:tr w:rsidR="005A4806" w:rsidRPr="006533A4" w14:paraId="4D5B9F9F" w14:textId="77777777" w:rsidTr="00360F37">
        <w:trPr>
          <w:trHeight w:val="50"/>
        </w:trPr>
        <w:tc>
          <w:tcPr>
            <w:tcW w:w="547" w:type="dxa"/>
            <w:shd w:val="clear" w:color="000000" w:fill="FFFFFF"/>
            <w:vAlign w:val="center"/>
            <w:hideMark/>
          </w:tcPr>
          <w:p w14:paraId="44E625B8" w14:textId="77777777" w:rsidR="005A4806" w:rsidRPr="006533A4" w:rsidRDefault="005A4806" w:rsidP="0023341C">
            <w:pPr>
              <w:spacing w:line="276" w:lineRule="auto"/>
              <w:jc w:val="center"/>
              <w:rPr>
                <w:rFonts w:ascii="Bookman Old Style" w:hAnsi="Bookman Old Style"/>
                <w:sz w:val="18"/>
                <w:szCs w:val="18"/>
              </w:rPr>
            </w:pPr>
            <w:r w:rsidRPr="001A2B80">
              <w:t>3</w:t>
            </w:r>
          </w:p>
        </w:tc>
        <w:tc>
          <w:tcPr>
            <w:tcW w:w="3139" w:type="dxa"/>
            <w:shd w:val="clear" w:color="000000" w:fill="FFFFFF"/>
            <w:vAlign w:val="center"/>
            <w:hideMark/>
          </w:tcPr>
          <w:p w14:paraId="4C41E4CD" w14:textId="58A540D7" w:rsidR="005A4806" w:rsidRPr="000243C4" w:rsidRDefault="005A4806" w:rsidP="00587E87">
            <w:pPr>
              <w:spacing w:line="276" w:lineRule="auto"/>
              <w:jc w:val="both"/>
              <w:rPr>
                <w:rFonts w:ascii="Bookman Old Style" w:hAnsi="Bookman Old Style"/>
                <w:sz w:val="20"/>
                <w:szCs w:val="20"/>
                <w:lang w:val="fi-FI"/>
              </w:rPr>
            </w:pPr>
            <w:r w:rsidRPr="003255BC">
              <w:rPr>
                <w:rFonts w:ascii="Bookman Old Style" w:hAnsi="Bookman Old Style"/>
                <w:sz w:val="20"/>
                <w:szCs w:val="20"/>
                <w:lang w:val="sv-FI"/>
              </w:rPr>
              <w:t>Anggota</w:t>
            </w:r>
            <w:r w:rsidR="00A954D0" w:rsidRPr="003255BC">
              <w:rPr>
                <w:rFonts w:ascii="Bookman Old Style" w:hAnsi="Bookman Old Style"/>
                <w:sz w:val="20"/>
                <w:szCs w:val="20"/>
                <w:lang w:val="sv-FI"/>
              </w:rPr>
              <w:t xml:space="preserve"> </w:t>
            </w:r>
            <w:r w:rsidRPr="003255BC">
              <w:rPr>
                <w:rFonts w:ascii="Bookman Old Style" w:hAnsi="Bookman Old Style"/>
                <w:sz w:val="20"/>
                <w:szCs w:val="20"/>
                <w:lang w:val="sv-FI"/>
              </w:rPr>
              <w:t>(75%</w:t>
            </w:r>
            <w:r w:rsidR="00A954D0" w:rsidRPr="003255BC">
              <w:rPr>
                <w:rFonts w:ascii="Bookman Old Style" w:hAnsi="Bookman Old Style"/>
                <w:sz w:val="20"/>
                <w:szCs w:val="20"/>
                <w:lang w:val="sv-FI"/>
              </w:rPr>
              <w:t xml:space="preserve"> </w:t>
            </w:r>
            <w:r w:rsidRPr="003255BC">
              <w:rPr>
                <w:rFonts w:ascii="Bookman Old Style" w:hAnsi="Bookman Old Style"/>
                <w:sz w:val="20"/>
                <w:szCs w:val="20"/>
                <w:lang w:val="sv-FI"/>
              </w:rPr>
              <w:t>dari</w:t>
            </w:r>
            <w:r w:rsidR="00A954D0" w:rsidRPr="003255BC">
              <w:rPr>
                <w:rFonts w:ascii="Bookman Old Style" w:hAnsi="Bookman Old Style"/>
                <w:sz w:val="20"/>
                <w:szCs w:val="20"/>
                <w:lang w:val="sv-FI"/>
              </w:rPr>
              <w:t xml:space="preserve"> </w:t>
            </w:r>
            <w:r w:rsidRPr="003255BC">
              <w:rPr>
                <w:rFonts w:ascii="Bookman Old Style" w:hAnsi="Bookman Old Style"/>
                <w:sz w:val="20"/>
                <w:szCs w:val="20"/>
                <w:lang w:val="sv-FI"/>
              </w:rPr>
              <w:t>uang</w:t>
            </w:r>
            <w:r w:rsidR="00A954D0" w:rsidRPr="003255BC">
              <w:rPr>
                <w:rFonts w:ascii="Bookman Old Style" w:hAnsi="Bookman Old Style"/>
                <w:sz w:val="20"/>
                <w:szCs w:val="20"/>
                <w:lang w:val="sv-FI"/>
              </w:rPr>
              <w:t xml:space="preserve"> </w:t>
            </w:r>
            <w:r w:rsidRPr="003255BC">
              <w:rPr>
                <w:rFonts w:ascii="Bookman Old Style" w:hAnsi="Bookman Old Style"/>
                <w:sz w:val="20"/>
                <w:szCs w:val="20"/>
                <w:lang w:val="sv-FI"/>
              </w:rPr>
              <w:t>reprentasi</w:t>
            </w:r>
            <w:r w:rsidR="00A954D0" w:rsidRPr="003255BC">
              <w:rPr>
                <w:rFonts w:ascii="Bookman Old Style" w:hAnsi="Bookman Old Style"/>
                <w:sz w:val="20"/>
                <w:szCs w:val="20"/>
                <w:lang w:val="sv-FI"/>
              </w:rPr>
              <w:t xml:space="preserve"> </w:t>
            </w:r>
            <w:r w:rsidRPr="003255BC">
              <w:rPr>
                <w:rFonts w:ascii="Bookman Old Style" w:hAnsi="Bookman Old Style"/>
                <w:sz w:val="20"/>
                <w:szCs w:val="20"/>
                <w:lang w:val="sv-FI"/>
              </w:rPr>
              <w:t>Ketua</w:t>
            </w:r>
            <w:r w:rsidR="00A954D0" w:rsidRPr="003255BC">
              <w:rPr>
                <w:rFonts w:ascii="Bookman Old Style" w:hAnsi="Bookman Old Style"/>
                <w:sz w:val="20"/>
                <w:szCs w:val="20"/>
                <w:lang w:val="sv-FI"/>
              </w:rPr>
              <w:t xml:space="preserve"> </w:t>
            </w:r>
            <w:r w:rsidRPr="003255BC">
              <w:rPr>
                <w:rFonts w:ascii="Bookman Old Style" w:hAnsi="Bookman Old Style"/>
                <w:sz w:val="20"/>
                <w:szCs w:val="20"/>
                <w:lang w:val="sv-FI"/>
              </w:rPr>
              <w:t>DPRD)</w:t>
            </w:r>
            <w:r w:rsidR="00A954D0" w:rsidRPr="003255BC">
              <w:rPr>
                <w:rFonts w:ascii="Bookman Old Style" w:hAnsi="Bookman Old Style"/>
                <w:sz w:val="20"/>
                <w:szCs w:val="20"/>
                <w:lang w:val="sv-FI"/>
              </w:rPr>
              <w:t xml:space="preserve"> </w:t>
            </w:r>
          </w:p>
        </w:tc>
        <w:tc>
          <w:tcPr>
            <w:tcW w:w="1324" w:type="dxa"/>
            <w:shd w:val="clear" w:color="000000" w:fill="FFFFFF"/>
            <w:vAlign w:val="center"/>
          </w:tcPr>
          <w:p w14:paraId="16F367F7" w14:textId="77777777" w:rsidR="005A4806" w:rsidRPr="000243C4" w:rsidRDefault="005A4806" w:rsidP="0023341C">
            <w:pPr>
              <w:spacing w:line="276" w:lineRule="auto"/>
              <w:jc w:val="center"/>
              <w:rPr>
                <w:rFonts w:ascii="Bookman Old Style" w:hAnsi="Bookman Old Style"/>
                <w:sz w:val="20"/>
                <w:szCs w:val="20"/>
                <w:lang w:val="it-IT"/>
              </w:rPr>
            </w:pPr>
            <w:r w:rsidRPr="000243C4">
              <w:rPr>
                <w:rFonts w:ascii="Bookman Old Style" w:hAnsi="Bookman Old Style"/>
                <w:sz w:val="20"/>
                <w:szCs w:val="20"/>
              </w:rPr>
              <w:t>46</w:t>
            </w:r>
          </w:p>
        </w:tc>
        <w:tc>
          <w:tcPr>
            <w:tcW w:w="1701" w:type="dxa"/>
            <w:shd w:val="clear" w:color="000000" w:fill="FFFFFF"/>
            <w:vAlign w:val="center"/>
          </w:tcPr>
          <w:p w14:paraId="12E819E4" w14:textId="77777777" w:rsidR="005A4806" w:rsidRPr="000243C4" w:rsidRDefault="005A4806" w:rsidP="0023341C">
            <w:pPr>
              <w:spacing w:line="276" w:lineRule="auto"/>
              <w:jc w:val="right"/>
              <w:rPr>
                <w:rFonts w:ascii="Bookman Old Style" w:hAnsi="Bookman Old Style"/>
                <w:sz w:val="20"/>
                <w:szCs w:val="20"/>
                <w:lang w:val="it-IT"/>
              </w:rPr>
            </w:pPr>
            <w:r w:rsidRPr="000243C4">
              <w:rPr>
                <w:rFonts w:ascii="Bookman Old Style" w:hAnsi="Bookman Old Style"/>
                <w:sz w:val="20"/>
                <w:szCs w:val="20"/>
              </w:rPr>
              <w:t>1</w:t>
            </w:r>
            <w:r>
              <w:rPr>
                <w:rFonts w:ascii="Bookman Old Style" w:hAnsi="Bookman Old Style"/>
                <w:sz w:val="20"/>
                <w:szCs w:val="20"/>
              </w:rPr>
              <w:t>.</w:t>
            </w:r>
            <w:r w:rsidRPr="000243C4">
              <w:rPr>
                <w:rFonts w:ascii="Bookman Old Style" w:hAnsi="Bookman Old Style"/>
                <w:sz w:val="20"/>
                <w:szCs w:val="20"/>
              </w:rPr>
              <w:t>575</w:t>
            </w:r>
            <w:r>
              <w:rPr>
                <w:rFonts w:ascii="Bookman Old Style" w:hAnsi="Bookman Old Style"/>
                <w:sz w:val="20"/>
                <w:szCs w:val="20"/>
              </w:rPr>
              <w:t>.</w:t>
            </w:r>
            <w:r w:rsidRPr="000243C4">
              <w:rPr>
                <w:rFonts w:ascii="Bookman Old Style" w:hAnsi="Bookman Old Style"/>
                <w:sz w:val="20"/>
                <w:szCs w:val="20"/>
              </w:rPr>
              <w:t>000</w:t>
            </w:r>
            <w:r>
              <w:rPr>
                <w:rFonts w:ascii="Bookman Old Style" w:hAnsi="Bookman Old Style"/>
                <w:sz w:val="20"/>
                <w:szCs w:val="20"/>
              </w:rPr>
              <w:t>,</w:t>
            </w:r>
            <w:r w:rsidRPr="000243C4">
              <w:rPr>
                <w:rFonts w:ascii="Bookman Old Style" w:hAnsi="Bookman Old Style"/>
                <w:sz w:val="20"/>
                <w:szCs w:val="20"/>
              </w:rPr>
              <w:t>00</w:t>
            </w:r>
          </w:p>
        </w:tc>
        <w:tc>
          <w:tcPr>
            <w:tcW w:w="2078" w:type="dxa"/>
            <w:shd w:val="clear" w:color="000000" w:fill="FFFFFF"/>
            <w:vAlign w:val="center"/>
          </w:tcPr>
          <w:p w14:paraId="6D360B47" w14:textId="77777777" w:rsidR="005A4806" w:rsidRPr="000243C4" w:rsidRDefault="005A4806" w:rsidP="0023341C">
            <w:pPr>
              <w:spacing w:line="276" w:lineRule="auto"/>
              <w:jc w:val="right"/>
              <w:rPr>
                <w:rFonts w:ascii="Bookman Old Style" w:hAnsi="Bookman Old Style"/>
                <w:sz w:val="20"/>
                <w:szCs w:val="20"/>
                <w:lang w:val="it-IT"/>
              </w:rPr>
            </w:pPr>
            <w:r w:rsidRPr="000243C4">
              <w:rPr>
                <w:rFonts w:ascii="Bookman Old Style" w:hAnsi="Bookman Old Style"/>
                <w:sz w:val="20"/>
                <w:szCs w:val="20"/>
              </w:rPr>
              <w:t>72</w:t>
            </w:r>
            <w:r>
              <w:rPr>
                <w:rFonts w:ascii="Bookman Old Style" w:hAnsi="Bookman Old Style"/>
                <w:sz w:val="20"/>
                <w:szCs w:val="20"/>
              </w:rPr>
              <w:t>.</w:t>
            </w:r>
            <w:r w:rsidRPr="000243C4">
              <w:rPr>
                <w:rFonts w:ascii="Bookman Old Style" w:hAnsi="Bookman Old Style"/>
                <w:sz w:val="20"/>
                <w:szCs w:val="20"/>
              </w:rPr>
              <w:t>450</w:t>
            </w:r>
            <w:r>
              <w:rPr>
                <w:rFonts w:ascii="Bookman Old Style" w:hAnsi="Bookman Old Style"/>
                <w:sz w:val="20"/>
                <w:szCs w:val="20"/>
              </w:rPr>
              <w:t>.</w:t>
            </w:r>
            <w:r w:rsidRPr="000243C4">
              <w:rPr>
                <w:rFonts w:ascii="Bookman Old Style" w:hAnsi="Bookman Old Style"/>
                <w:sz w:val="20"/>
                <w:szCs w:val="20"/>
              </w:rPr>
              <w:t>000</w:t>
            </w:r>
            <w:r>
              <w:rPr>
                <w:rFonts w:ascii="Bookman Old Style" w:hAnsi="Bookman Old Style"/>
                <w:sz w:val="20"/>
                <w:szCs w:val="20"/>
              </w:rPr>
              <w:t>,</w:t>
            </w:r>
            <w:r w:rsidRPr="000243C4">
              <w:rPr>
                <w:rFonts w:ascii="Bookman Old Style" w:hAnsi="Bookman Old Style"/>
                <w:sz w:val="20"/>
                <w:szCs w:val="20"/>
              </w:rPr>
              <w:t>00</w:t>
            </w:r>
          </w:p>
        </w:tc>
      </w:tr>
      <w:tr w:rsidR="005A4806" w:rsidRPr="006533A4" w14:paraId="6D1D4BE6" w14:textId="77777777" w:rsidTr="00360F37">
        <w:trPr>
          <w:trHeight w:val="64"/>
        </w:trPr>
        <w:tc>
          <w:tcPr>
            <w:tcW w:w="547" w:type="dxa"/>
            <w:shd w:val="clear" w:color="000000" w:fill="FFFFFF"/>
            <w:vAlign w:val="center"/>
            <w:hideMark/>
          </w:tcPr>
          <w:p w14:paraId="4F078847" w14:textId="77777777" w:rsidR="005A4806" w:rsidRPr="006533A4" w:rsidRDefault="005A4806" w:rsidP="0023341C">
            <w:pPr>
              <w:spacing w:line="276" w:lineRule="auto"/>
              <w:jc w:val="center"/>
              <w:rPr>
                <w:rFonts w:ascii="Bookman Old Style" w:hAnsi="Bookman Old Style"/>
                <w:sz w:val="18"/>
                <w:szCs w:val="18"/>
              </w:rPr>
            </w:pPr>
            <w:r w:rsidRPr="001A2B80">
              <w:t>4</w:t>
            </w:r>
          </w:p>
        </w:tc>
        <w:tc>
          <w:tcPr>
            <w:tcW w:w="3139" w:type="dxa"/>
            <w:shd w:val="clear" w:color="000000" w:fill="FFFFFF"/>
            <w:vAlign w:val="center"/>
            <w:hideMark/>
          </w:tcPr>
          <w:p w14:paraId="6F03ECBF" w14:textId="17E54307" w:rsidR="005A4806" w:rsidRPr="000243C4" w:rsidRDefault="005A4806" w:rsidP="00587E87">
            <w:pPr>
              <w:spacing w:line="276" w:lineRule="auto"/>
              <w:jc w:val="both"/>
              <w:rPr>
                <w:rFonts w:ascii="Bookman Old Style" w:hAnsi="Bookman Old Style"/>
                <w:sz w:val="20"/>
                <w:szCs w:val="20"/>
                <w:lang w:val="sv-FI"/>
              </w:rPr>
            </w:pPr>
            <w:r w:rsidRPr="000243C4">
              <w:rPr>
                <w:rFonts w:ascii="Bookman Old Style" w:hAnsi="Bookman Old Style"/>
                <w:sz w:val="20"/>
                <w:szCs w:val="20"/>
              </w:rPr>
              <w:t>Jumlah</w:t>
            </w:r>
            <w:r w:rsidR="00A954D0">
              <w:rPr>
                <w:rFonts w:ascii="Bookman Old Style" w:hAnsi="Bookman Old Style"/>
                <w:sz w:val="20"/>
                <w:szCs w:val="20"/>
              </w:rPr>
              <w:t xml:space="preserve"> </w:t>
            </w:r>
            <w:r w:rsidRPr="000243C4">
              <w:rPr>
                <w:rFonts w:ascii="Bookman Old Style" w:hAnsi="Bookman Old Style"/>
                <w:sz w:val="20"/>
                <w:szCs w:val="20"/>
              </w:rPr>
              <w:t>Pimpinan</w:t>
            </w:r>
            <w:r w:rsidR="00A954D0">
              <w:rPr>
                <w:rFonts w:ascii="Bookman Old Style" w:hAnsi="Bookman Old Style"/>
                <w:sz w:val="20"/>
                <w:szCs w:val="20"/>
              </w:rPr>
              <w:t xml:space="preserve"> </w:t>
            </w:r>
            <w:r w:rsidRPr="000243C4">
              <w:rPr>
                <w:rFonts w:ascii="Bookman Old Style" w:hAnsi="Bookman Old Style"/>
                <w:sz w:val="20"/>
                <w:szCs w:val="20"/>
              </w:rPr>
              <w:t>dan</w:t>
            </w:r>
            <w:r w:rsidR="00A954D0">
              <w:rPr>
                <w:rFonts w:ascii="Bookman Old Style" w:hAnsi="Bookman Old Style"/>
                <w:sz w:val="20"/>
                <w:szCs w:val="20"/>
              </w:rPr>
              <w:t xml:space="preserve"> </w:t>
            </w:r>
            <w:r w:rsidRPr="000243C4">
              <w:rPr>
                <w:rFonts w:ascii="Bookman Old Style" w:hAnsi="Bookman Old Style"/>
                <w:sz w:val="20"/>
                <w:szCs w:val="20"/>
              </w:rPr>
              <w:t>Angggota</w:t>
            </w:r>
            <w:r w:rsidR="00A954D0">
              <w:rPr>
                <w:rFonts w:ascii="Bookman Old Style" w:hAnsi="Bookman Old Style"/>
                <w:sz w:val="20"/>
                <w:szCs w:val="20"/>
              </w:rPr>
              <w:t xml:space="preserve"> </w:t>
            </w:r>
          </w:p>
        </w:tc>
        <w:tc>
          <w:tcPr>
            <w:tcW w:w="1324" w:type="dxa"/>
            <w:shd w:val="clear" w:color="000000" w:fill="FFFFFF"/>
            <w:vAlign w:val="center"/>
          </w:tcPr>
          <w:p w14:paraId="049E5D3E" w14:textId="77777777" w:rsidR="005A4806" w:rsidRPr="000243C4" w:rsidRDefault="005A4806" w:rsidP="0023341C">
            <w:pPr>
              <w:spacing w:line="276" w:lineRule="auto"/>
              <w:jc w:val="center"/>
              <w:rPr>
                <w:rFonts w:ascii="Bookman Old Style" w:hAnsi="Bookman Old Style"/>
                <w:sz w:val="20"/>
                <w:szCs w:val="20"/>
              </w:rPr>
            </w:pPr>
            <w:r w:rsidRPr="000243C4">
              <w:rPr>
                <w:rFonts w:ascii="Bookman Old Style" w:hAnsi="Bookman Old Style"/>
                <w:sz w:val="20"/>
                <w:szCs w:val="20"/>
              </w:rPr>
              <w:t>50</w:t>
            </w:r>
          </w:p>
        </w:tc>
        <w:tc>
          <w:tcPr>
            <w:tcW w:w="1701" w:type="dxa"/>
            <w:shd w:val="clear" w:color="000000" w:fill="FFFFFF"/>
            <w:vAlign w:val="center"/>
          </w:tcPr>
          <w:p w14:paraId="4A6BBEC2" w14:textId="77777777" w:rsidR="005A4806" w:rsidRPr="000243C4" w:rsidRDefault="005A4806" w:rsidP="0023341C">
            <w:pPr>
              <w:spacing w:line="276" w:lineRule="auto"/>
              <w:jc w:val="right"/>
              <w:rPr>
                <w:rFonts w:ascii="Bookman Old Style" w:hAnsi="Bookman Old Style" w:cs="Calibri"/>
                <w:sz w:val="20"/>
                <w:szCs w:val="20"/>
              </w:rPr>
            </w:pPr>
          </w:p>
        </w:tc>
        <w:tc>
          <w:tcPr>
            <w:tcW w:w="2078" w:type="dxa"/>
            <w:shd w:val="clear" w:color="000000" w:fill="FFFFFF"/>
            <w:vAlign w:val="center"/>
          </w:tcPr>
          <w:p w14:paraId="2281EAE6" w14:textId="77777777" w:rsidR="005A4806" w:rsidRPr="000243C4" w:rsidRDefault="005A4806" w:rsidP="0023341C">
            <w:pPr>
              <w:spacing w:line="276" w:lineRule="auto"/>
              <w:jc w:val="right"/>
              <w:rPr>
                <w:rFonts w:ascii="Bookman Old Style" w:hAnsi="Bookman Old Style"/>
                <w:sz w:val="20"/>
                <w:szCs w:val="20"/>
              </w:rPr>
            </w:pPr>
            <w:r w:rsidRPr="000243C4">
              <w:rPr>
                <w:rFonts w:ascii="Bookman Old Style" w:hAnsi="Bookman Old Style"/>
                <w:sz w:val="20"/>
                <w:szCs w:val="20"/>
              </w:rPr>
              <w:t>79</w:t>
            </w:r>
            <w:r>
              <w:rPr>
                <w:rFonts w:ascii="Bookman Old Style" w:hAnsi="Bookman Old Style"/>
                <w:sz w:val="20"/>
                <w:szCs w:val="20"/>
              </w:rPr>
              <w:t>.</w:t>
            </w:r>
            <w:r w:rsidRPr="000243C4">
              <w:rPr>
                <w:rFonts w:ascii="Bookman Old Style" w:hAnsi="Bookman Old Style"/>
                <w:sz w:val="20"/>
                <w:szCs w:val="20"/>
              </w:rPr>
              <w:t>590</w:t>
            </w:r>
            <w:r>
              <w:rPr>
                <w:rFonts w:ascii="Bookman Old Style" w:hAnsi="Bookman Old Style"/>
                <w:sz w:val="20"/>
                <w:szCs w:val="20"/>
              </w:rPr>
              <w:t>.</w:t>
            </w:r>
            <w:r w:rsidRPr="000243C4">
              <w:rPr>
                <w:rFonts w:ascii="Bookman Old Style" w:hAnsi="Bookman Old Style"/>
                <w:sz w:val="20"/>
                <w:szCs w:val="20"/>
              </w:rPr>
              <w:t>000</w:t>
            </w:r>
            <w:r>
              <w:rPr>
                <w:rFonts w:ascii="Bookman Old Style" w:hAnsi="Bookman Old Style"/>
                <w:sz w:val="20"/>
                <w:szCs w:val="20"/>
              </w:rPr>
              <w:t>,</w:t>
            </w:r>
            <w:r w:rsidRPr="000243C4">
              <w:rPr>
                <w:rFonts w:ascii="Bookman Old Style" w:hAnsi="Bookman Old Style"/>
                <w:sz w:val="20"/>
                <w:szCs w:val="20"/>
              </w:rPr>
              <w:t>00</w:t>
            </w:r>
          </w:p>
        </w:tc>
      </w:tr>
      <w:tr w:rsidR="005A4806" w:rsidRPr="006533A4" w14:paraId="7011DC66" w14:textId="77777777" w:rsidTr="00360F37">
        <w:trPr>
          <w:trHeight w:val="50"/>
        </w:trPr>
        <w:tc>
          <w:tcPr>
            <w:tcW w:w="547" w:type="dxa"/>
            <w:shd w:val="clear" w:color="000000" w:fill="FFFFFF"/>
            <w:vAlign w:val="center"/>
            <w:hideMark/>
          </w:tcPr>
          <w:p w14:paraId="17F5A84C" w14:textId="77777777" w:rsidR="005A4806" w:rsidRPr="006533A4" w:rsidRDefault="005A4806" w:rsidP="0023341C">
            <w:pPr>
              <w:spacing w:line="276" w:lineRule="auto"/>
              <w:jc w:val="center"/>
              <w:rPr>
                <w:rFonts w:ascii="Bookman Old Style" w:hAnsi="Bookman Old Style"/>
                <w:sz w:val="18"/>
                <w:szCs w:val="18"/>
              </w:rPr>
            </w:pPr>
            <w:r w:rsidRPr="001A2B80">
              <w:t>5</w:t>
            </w:r>
          </w:p>
        </w:tc>
        <w:tc>
          <w:tcPr>
            <w:tcW w:w="3139" w:type="dxa"/>
            <w:shd w:val="clear" w:color="000000" w:fill="FFFFFF"/>
            <w:vAlign w:val="center"/>
            <w:hideMark/>
          </w:tcPr>
          <w:p w14:paraId="46463B42" w14:textId="043A8518" w:rsidR="005A4806" w:rsidRPr="000243C4" w:rsidRDefault="005A4806" w:rsidP="00587E87">
            <w:pPr>
              <w:spacing w:line="276" w:lineRule="auto"/>
              <w:jc w:val="both"/>
              <w:rPr>
                <w:rFonts w:ascii="Bookman Old Style" w:hAnsi="Bookman Old Style"/>
                <w:sz w:val="20"/>
                <w:szCs w:val="20"/>
              </w:rPr>
            </w:pPr>
            <w:r w:rsidRPr="000243C4">
              <w:rPr>
                <w:rFonts w:ascii="Bookman Old Style" w:hAnsi="Bookman Old Style"/>
                <w:sz w:val="20"/>
                <w:szCs w:val="20"/>
              </w:rPr>
              <w:t>Uang</w:t>
            </w:r>
            <w:r w:rsidR="00A954D0">
              <w:rPr>
                <w:rFonts w:ascii="Bookman Old Style" w:hAnsi="Bookman Old Style"/>
                <w:sz w:val="20"/>
                <w:szCs w:val="20"/>
              </w:rPr>
              <w:t xml:space="preserve"> </w:t>
            </w:r>
            <w:r w:rsidRPr="000243C4">
              <w:rPr>
                <w:rFonts w:ascii="Bookman Old Style" w:hAnsi="Bookman Old Style"/>
                <w:sz w:val="20"/>
                <w:szCs w:val="20"/>
              </w:rPr>
              <w:t>representasi</w:t>
            </w:r>
            <w:r w:rsidR="00A954D0">
              <w:rPr>
                <w:rFonts w:ascii="Bookman Old Style" w:hAnsi="Bookman Old Style"/>
                <w:sz w:val="20"/>
                <w:szCs w:val="20"/>
              </w:rPr>
              <w:t xml:space="preserve"> </w:t>
            </w:r>
            <w:r w:rsidRPr="000243C4">
              <w:rPr>
                <w:rFonts w:ascii="Bookman Old Style" w:hAnsi="Bookman Old Style"/>
                <w:sz w:val="20"/>
                <w:szCs w:val="20"/>
              </w:rPr>
              <w:t>x</w:t>
            </w:r>
            <w:r w:rsidR="00A954D0">
              <w:rPr>
                <w:rFonts w:ascii="Bookman Old Style" w:hAnsi="Bookman Old Style"/>
                <w:sz w:val="20"/>
                <w:szCs w:val="20"/>
              </w:rPr>
              <w:t xml:space="preserve"> </w:t>
            </w:r>
            <w:r w:rsidRPr="000243C4">
              <w:rPr>
                <w:rFonts w:ascii="Bookman Old Style" w:hAnsi="Bookman Old Style"/>
                <w:sz w:val="20"/>
                <w:szCs w:val="20"/>
              </w:rPr>
              <w:t>14</w:t>
            </w:r>
            <w:r w:rsidR="00A954D0">
              <w:rPr>
                <w:rFonts w:ascii="Bookman Old Style" w:hAnsi="Bookman Old Style"/>
                <w:sz w:val="20"/>
                <w:szCs w:val="20"/>
              </w:rPr>
              <w:t xml:space="preserve"> </w:t>
            </w:r>
            <w:r w:rsidRPr="000243C4">
              <w:rPr>
                <w:rFonts w:ascii="Bookman Old Style" w:hAnsi="Bookman Old Style"/>
                <w:sz w:val="20"/>
                <w:szCs w:val="20"/>
              </w:rPr>
              <w:t>Bulan)</w:t>
            </w:r>
            <w:r w:rsidR="00A954D0">
              <w:rPr>
                <w:rFonts w:ascii="Bookman Old Style" w:hAnsi="Bookman Old Style"/>
                <w:sz w:val="20"/>
                <w:szCs w:val="20"/>
              </w:rPr>
              <w:t xml:space="preserve"> </w:t>
            </w:r>
          </w:p>
        </w:tc>
        <w:tc>
          <w:tcPr>
            <w:tcW w:w="1324" w:type="dxa"/>
            <w:shd w:val="clear" w:color="000000" w:fill="FFFFFF"/>
            <w:vAlign w:val="center"/>
          </w:tcPr>
          <w:p w14:paraId="0F5C300A" w14:textId="77777777" w:rsidR="005A4806" w:rsidRPr="000243C4" w:rsidRDefault="005A4806" w:rsidP="0023341C">
            <w:pPr>
              <w:spacing w:line="276" w:lineRule="auto"/>
              <w:jc w:val="center"/>
              <w:rPr>
                <w:rFonts w:ascii="Bookman Old Style" w:hAnsi="Bookman Old Style" w:cs="Calibri"/>
                <w:sz w:val="20"/>
                <w:szCs w:val="20"/>
              </w:rPr>
            </w:pPr>
          </w:p>
        </w:tc>
        <w:tc>
          <w:tcPr>
            <w:tcW w:w="1701" w:type="dxa"/>
            <w:shd w:val="clear" w:color="000000" w:fill="FFFFFF"/>
            <w:vAlign w:val="center"/>
          </w:tcPr>
          <w:p w14:paraId="5EABBA09" w14:textId="77777777" w:rsidR="005A4806" w:rsidRPr="000243C4" w:rsidRDefault="005A4806" w:rsidP="0023341C">
            <w:pPr>
              <w:spacing w:line="276" w:lineRule="auto"/>
              <w:jc w:val="right"/>
              <w:rPr>
                <w:rFonts w:ascii="Bookman Old Style" w:hAnsi="Bookman Old Style" w:cs="Calibri"/>
                <w:sz w:val="20"/>
                <w:szCs w:val="20"/>
              </w:rPr>
            </w:pPr>
          </w:p>
        </w:tc>
        <w:tc>
          <w:tcPr>
            <w:tcW w:w="2078" w:type="dxa"/>
            <w:shd w:val="clear" w:color="000000" w:fill="FFFFFF"/>
            <w:vAlign w:val="center"/>
          </w:tcPr>
          <w:p w14:paraId="7D0CD344" w14:textId="77777777" w:rsidR="005A4806" w:rsidRPr="000243C4" w:rsidRDefault="005A4806" w:rsidP="0023341C">
            <w:pPr>
              <w:spacing w:line="276" w:lineRule="auto"/>
              <w:jc w:val="right"/>
              <w:rPr>
                <w:rFonts w:ascii="Bookman Old Style" w:hAnsi="Bookman Old Style"/>
                <w:sz w:val="20"/>
                <w:szCs w:val="20"/>
              </w:rPr>
            </w:pPr>
            <w:r w:rsidRPr="000243C4">
              <w:rPr>
                <w:rFonts w:ascii="Bookman Old Style" w:hAnsi="Bookman Old Style"/>
                <w:sz w:val="20"/>
                <w:szCs w:val="20"/>
              </w:rPr>
              <w:t>1</w:t>
            </w:r>
            <w:r>
              <w:rPr>
                <w:rFonts w:ascii="Bookman Old Style" w:hAnsi="Bookman Old Style"/>
                <w:sz w:val="20"/>
                <w:szCs w:val="20"/>
              </w:rPr>
              <w:t>.</w:t>
            </w:r>
            <w:r w:rsidRPr="000243C4">
              <w:rPr>
                <w:rFonts w:ascii="Bookman Old Style" w:hAnsi="Bookman Old Style"/>
                <w:sz w:val="20"/>
                <w:szCs w:val="20"/>
              </w:rPr>
              <w:t>114</w:t>
            </w:r>
            <w:r>
              <w:rPr>
                <w:rFonts w:ascii="Bookman Old Style" w:hAnsi="Bookman Old Style"/>
                <w:sz w:val="20"/>
                <w:szCs w:val="20"/>
              </w:rPr>
              <w:t>.</w:t>
            </w:r>
            <w:r w:rsidRPr="000243C4">
              <w:rPr>
                <w:rFonts w:ascii="Bookman Old Style" w:hAnsi="Bookman Old Style"/>
                <w:sz w:val="20"/>
                <w:szCs w:val="20"/>
              </w:rPr>
              <w:t>260</w:t>
            </w:r>
            <w:r>
              <w:rPr>
                <w:rFonts w:ascii="Bookman Old Style" w:hAnsi="Bookman Old Style"/>
                <w:sz w:val="20"/>
                <w:szCs w:val="20"/>
              </w:rPr>
              <w:t>.</w:t>
            </w:r>
            <w:r w:rsidRPr="000243C4">
              <w:rPr>
                <w:rFonts w:ascii="Bookman Old Style" w:hAnsi="Bookman Old Style"/>
                <w:sz w:val="20"/>
                <w:szCs w:val="20"/>
              </w:rPr>
              <w:t>000</w:t>
            </w:r>
            <w:r>
              <w:rPr>
                <w:rFonts w:ascii="Bookman Old Style" w:hAnsi="Bookman Old Style"/>
                <w:sz w:val="20"/>
                <w:szCs w:val="20"/>
              </w:rPr>
              <w:t>,</w:t>
            </w:r>
            <w:r w:rsidRPr="000243C4">
              <w:rPr>
                <w:rFonts w:ascii="Bookman Old Style" w:hAnsi="Bookman Old Style"/>
                <w:sz w:val="20"/>
                <w:szCs w:val="20"/>
              </w:rPr>
              <w:t>00</w:t>
            </w:r>
          </w:p>
        </w:tc>
      </w:tr>
      <w:tr w:rsidR="00875947" w:rsidRPr="006533A4" w14:paraId="504D5694" w14:textId="77777777" w:rsidTr="00360F37">
        <w:trPr>
          <w:trHeight w:val="320"/>
        </w:trPr>
        <w:tc>
          <w:tcPr>
            <w:tcW w:w="6711" w:type="dxa"/>
            <w:gridSpan w:val="4"/>
            <w:shd w:val="clear" w:color="000000" w:fill="FFFFFF"/>
            <w:vAlign w:val="center"/>
            <w:hideMark/>
          </w:tcPr>
          <w:p w14:paraId="7F97C921" w14:textId="56533322" w:rsidR="00875947" w:rsidRPr="000243C4" w:rsidRDefault="00875947" w:rsidP="00875947">
            <w:pPr>
              <w:spacing w:line="276" w:lineRule="auto"/>
              <w:rPr>
                <w:rFonts w:ascii="Bookman Old Style" w:hAnsi="Bookman Old Style" w:cs="Calibri"/>
                <w:sz w:val="20"/>
                <w:szCs w:val="20"/>
                <w:lang w:val="fi-FI"/>
              </w:rPr>
            </w:pPr>
            <w:r w:rsidRPr="003255BC">
              <w:rPr>
                <w:rFonts w:ascii="Bookman Old Style" w:hAnsi="Bookman Old Style"/>
                <w:sz w:val="20"/>
                <w:szCs w:val="20"/>
                <w:lang w:val="sv-FI"/>
              </w:rPr>
              <w:t xml:space="preserve">Alokasi uang representasi pada APBD </w:t>
            </w:r>
          </w:p>
        </w:tc>
        <w:tc>
          <w:tcPr>
            <w:tcW w:w="2078" w:type="dxa"/>
            <w:shd w:val="clear" w:color="000000" w:fill="FFFFFF"/>
            <w:vAlign w:val="center"/>
          </w:tcPr>
          <w:p w14:paraId="7D0BFF48" w14:textId="77777777" w:rsidR="00875947" w:rsidRPr="000243C4" w:rsidRDefault="00875947" w:rsidP="0023341C">
            <w:pPr>
              <w:spacing w:line="276" w:lineRule="auto"/>
              <w:jc w:val="right"/>
              <w:rPr>
                <w:rFonts w:ascii="Bookman Old Style" w:hAnsi="Bookman Old Style"/>
                <w:sz w:val="20"/>
                <w:szCs w:val="20"/>
                <w:lang w:val="it-IT"/>
              </w:rPr>
            </w:pPr>
            <w:r w:rsidRPr="00CC1448">
              <w:rPr>
                <w:rFonts w:ascii="Bookman Old Style" w:hAnsi="Bookman Old Style"/>
                <w:sz w:val="20"/>
                <w:szCs w:val="20"/>
                <w:lang w:val="it-IT"/>
              </w:rPr>
              <w:t>1.114.260.000,00</w:t>
            </w:r>
          </w:p>
        </w:tc>
      </w:tr>
      <w:tr w:rsidR="00875947" w:rsidRPr="006533A4" w14:paraId="4F1606DC" w14:textId="77777777" w:rsidTr="00360F37">
        <w:trPr>
          <w:trHeight w:val="320"/>
        </w:trPr>
        <w:tc>
          <w:tcPr>
            <w:tcW w:w="6711" w:type="dxa"/>
            <w:gridSpan w:val="4"/>
            <w:shd w:val="clear" w:color="000000" w:fill="FFFFFF"/>
            <w:vAlign w:val="center"/>
            <w:hideMark/>
          </w:tcPr>
          <w:p w14:paraId="5B9B6AA5" w14:textId="5C28A691" w:rsidR="00875947" w:rsidRPr="000243C4" w:rsidRDefault="00875947" w:rsidP="00875947">
            <w:pPr>
              <w:spacing w:line="276" w:lineRule="auto"/>
              <w:rPr>
                <w:rFonts w:ascii="Bookman Old Style" w:hAnsi="Bookman Old Style" w:cs="Calibri"/>
                <w:sz w:val="20"/>
                <w:szCs w:val="20"/>
              </w:rPr>
            </w:pPr>
            <w:r w:rsidRPr="000243C4">
              <w:rPr>
                <w:rFonts w:ascii="Bookman Old Style" w:hAnsi="Bookman Old Style"/>
                <w:sz w:val="20"/>
                <w:szCs w:val="20"/>
              </w:rPr>
              <w:t>Selisih</w:t>
            </w:r>
            <w:r>
              <w:rPr>
                <w:rFonts w:ascii="Bookman Old Style" w:hAnsi="Bookman Old Style"/>
                <w:sz w:val="20"/>
                <w:szCs w:val="20"/>
              </w:rPr>
              <w:t xml:space="preserve"> </w:t>
            </w:r>
            <w:r w:rsidRPr="000243C4">
              <w:rPr>
                <w:rFonts w:ascii="Bookman Old Style" w:hAnsi="Bookman Old Style"/>
                <w:sz w:val="20"/>
                <w:szCs w:val="20"/>
              </w:rPr>
              <w:t>lebih</w:t>
            </w:r>
            <w:r>
              <w:rPr>
                <w:rFonts w:ascii="Bookman Old Style" w:hAnsi="Bookman Old Style"/>
                <w:sz w:val="20"/>
                <w:szCs w:val="20"/>
              </w:rPr>
              <w:t>/(kurang)</w:t>
            </w:r>
          </w:p>
        </w:tc>
        <w:tc>
          <w:tcPr>
            <w:tcW w:w="2078" w:type="dxa"/>
            <w:shd w:val="clear" w:color="000000" w:fill="FFFFFF"/>
            <w:vAlign w:val="center"/>
          </w:tcPr>
          <w:p w14:paraId="74572AE8" w14:textId="77777777" w:rsidR="00875947" w:rsidRPr="000243C4" w:rsidRDefault="00875947" w:rsidP="0023341C">
            <w:pPr>
              <w:spacing w:line="276" w:lineRule="auto"/>
              <w:jc w:val="right"/>
              <w:rPr>
                <w:rFonts w:ascii="Bookman Old Style" w:hAnsi="Bookman Old Style"/>
                <w:sz w:val="20"/>
                <w:szCs w:val="20"/>
              </w:rPr>
            </w:pPr>
            <w:r>
              <w:rPr>
                <w:rFonts w:ascii="Bookman Old Style" w:hAnsi="Bookman Old Style"/>
                <w:sz w:val="20"/>
                <w:szCs w:val="20"/>
                <w:lang w:val="it-IT"/>
              </w:rPr>
              <w:t>-</w:t>
            </w:r>
          </w:p>
        </w:tc>
      </w:tr>
    </w:tbl>
    <w:p w14:paraId="1ACD41B0" w14:textId="78FC5EF5" w:rsidR="005A4806" w:rsidRPr="00727324" w:rsidRDefault="005A4806" w:rsidP="00AC44F5">
      <w:pPr>
        <w:pStyle w:val="NormalWeb"/>
        <w:snapToGrid w:val="0"/>
        <w:spacing w:before="60" w:beforeAutospacing="0" w:after="0" w:afterAutospacing="0" w:line="276" w:lineRule="auto"/>
        <w:ind w:left="3261"/>
        <w:jc w:val="both"/>
        <w:rPr>
          <w:rFonts w:ascii="Bookman Old Style" w:hAnsi="Bookman Old Style"/>
          <w:color w:val="000000" w:themeColor="text1"/>
          <w:lang w:val="sv-FI"/>
        </w:rPr>
      </w:pPr>
      <w:r w:rsidRPr="00727324">
        <w:rPr>
          <w:rFonts w:ascii="Bookman Old Style" w:hAnsi="Bookman Old Style"/>
          <w:color w:val="000000" w:themeColor="text1"/>
          <w:lang w:val="sv-FI"/>
        </w:rPr>
        <w:t>Berdasarkan</w:t>
      </w:r>
      <w:r w:rsidR="00A954D0">
        <w:rPr>
          <w:rFonts w:ascii="Bookman Old Style" w:hAnsi="Bookman Old Style"/>
          <w:color w:val="000000" w:themeColor="text1"/>
          <w:lang w:val="sv-FI"/>
        </w:rPr>
        <w:t xml:space="preserve"> </w:t>
      </w:r>
      <w:r w:rsidRPr="00727324">
        <w:rPr>
          <w:rFonts w:ascii="Bookman Old Style" w:hAnsi="Bookman Old Style"/>
          <w:color w:val="000000" w:themeColor="text1"/>
          <w:lang w:val="sv-FI"/>
        </w:rPr>
        <w:t>tabel</w:t>
      </w:r>
      <w:r w:rsidR="00A954D0">
        <w:rPr>
          <w:rFonts w:ascii="Bookman Old Style" w:hAnsi="Bookman Old Style" w:cs="Arial"/>
          <w:color w:val="000000" w:themeColor="text1"/>
          <w:lang w:val="sv-FI"/>
        </w:rPr>
        <w:t xml:space="preserve"> </w:t>
      </w:r>
      <w:r w:rsidRPr="00727324">
        <w:rPr>
          <w:rFonts w:ascii="Bookman Old Style" w:hAnsi="Bookman Old Style" w:cs="Arial"/>
          <w:color w:val="000000" w:themeColor="text1"/>
          <w:lang w:val="sv-FI"/>
        </w:rPr>
        <w:t>sebagaimana</w:t>
      </w:r>
      <w:r w:rsidR="00A954D0">
        <w:rPr>
          <w:rFonts w:ascii="Bookman Old Style" w:hAnsi="Bookman Old Style"/>
          <w:color w:val="000000" w:themeColor="text1"/>
          <w:lang w:val="sv-FI"/>
        </w:rPr>
        <w:t xml:space="preserve"> </w:t>
      </w:r>
      <w:r w:rsidRPr="00727324">
        <w:rPr>
          <w:rFonts w:ascii="Bookman Old Style" w:hAnsi="Bookman Old Style"/>
          <w:color w:val="000000" w:themeColor="text1"/>
          <w:lang w:val="sv-FI"/>
        </w:rPr>
        <w:t>di</w:t>
      </w:r>
      <w:r w:rsidR="00A954D0">
        <w:rPr>
          <w:rFonts w:ascii="Bookman Old Style" w:hAnsi="Bookman Old Style"/>
          <w:color w:val="000000" w:themeColor="text1"/>
          <w:lang w:val="sv-FI"/>
        </w:rPr>
        <w:t xml:space="preserve"> </w:t>
      </w:r>
      <w:r w:rsidRPr="00727324">
        <w:rPr>
          <w:rFonts w:ascii="Bookman Old Style" w:hAnsi="Bookman Old Style"/>
          <w:color w:val="000000" w:themeColor="text1"/>
          <w:lang w:val="sv-FI"/>
        </w:rPr>
        <w:t>atas,</w:t>
      </w:r>
      <w:r w:rsidR="00A954D0">
        <w:rPr>
          <w:rFonts w:ascii="Bookman Old Style" w:hAnsi="Bookman Old Style"/>
          <w:color w:val="000000" w:themeColor="text1"/>
          <w:lang w:val="sv-FI"/>
        </w:rPr>
        <w:t xml:space="preserve"> </w:t>
      </w:r>
      <w:r w:rsidRPr="00727324">
        <w:rPr>
          <w:rFonts w:ascii="Bookman Old Style" w:hAnsi="Bookman Old Style"/>
          <w:color w:val="000000" w:themeColor="text1"/>
          <w:lang w:val="sv-FI"/>
        </w:rPr>
        <w:t>Pemerintah</w:t>
      </w:r>
      <w:r w:rsidR="00A954D0">
        <w:rPr>
          <w:rFonts w:ascii="Bookman Old Style" w:hAnsi="Bookman Old Style"/>
          <w:color w:val="000000" w:themeColor="text1"/>
          <w:lang w:val="sv-FI"/>
        </w:rPr>
        <w:t xml:space="preserve"> </w:t>
      </w:r>
      <w:r w:rsidRPr="00727324">
        <w:rPr>
          <w:rFonts w:ascii="Bookman Old Style" w:hAnsi="Bookman Old Style"/>
          <w:color w:val="000000" w:themeColor="text1"/>
          <w:lang w:val="sv-FI"/>
        </w:rPr>
        <w:t>Daerah</w:t>
      </w:r>
      <w:r w:rsidR="00A954D0">
        <w:rPr>
          <w:rFonts w:ascii="Bookman Old Style" w:hAnsi="Bookman Old Style"/>
          <w:color w:val="FF0000"/>
          <w:lang w:val="id-ID"/>
        </w:rPr>
        <w:t xml:space="preserve"> </w:t>
      </w:r>
      <w:r w:rsidRPr="00CC1448">
        <w:rPr>
          <w:rFonts w:ascii="Bookman Old Style" w:hAnsi="Bookman Old Style"/>
          <w:lang w:val="id-ID"/>
        </w:rPr>
        <w:t>Kota</w:t>
      </w:r>
      <w:r w:rsidR="00A954D0">
        <w:rPr>
          <w:rFonts w:ascii="Bookman Old Style" w:hAnsi="Bookman Old Style"/>
          <w:lang w:val="id-ID"/>
        </w:rPr>
        <w:t xml:space="preserve"> </w:t>
      </w:r>
      <w:r>
        <w:rPr>
          <w:rFonts w:ascii="Bookman Old Style" w:hAnsi="Bookman Old Style"/>
          <w:lang w:val="fi-FI"/>
        </w:rPr>
        <w:t>Tangerang</w:t>
      </w:r>
      <w:r w:rsidR="00A954D0" w:rsidRPr="003255BC">
        <w:rPr>
          <w:rFonts w:ascii="Bookman Old Style" w:hAnsi="Bookman Old Style"/>
          <w:lang w:val="sv-FI"/>
        </w:rPr>
        <w:t xml:space="preserve"> </w:t>
      </w:r>
      <w:r w:rsidR="00355DF4">
        <w:rPr>
          <w:rFonts w:ascii="Bookman Old Style" w:hAnsi="Bookman Old Style"/>
          <w:b/>
          <w:bCs/>
          <w:color w:val="000000" w:themeColor="text1"/>
          <w:lang w:val="sv-FI"/>
        </w:rPr>
        <w:t>tel</w:t>
      </w:r>
      <w:r>
        <w:rPr>
          <w:rFonts w:ascii="Bookman Old Style" w:hAnsi="Bookman Old Style"/>
          <w:b/>
          <w:bCs/>
          <w:color w:val="000000" w:themeColor="text1"/>
          <w:lang w:val="sv-FI"/>
        </w:rPr>
        <w:t>ah</w:t>
      </w:r>
      <w:r w:rsidR="00A954D0">
        <w:rPr>
          <w:rFonts w:ascii="Bookman Old Style" w:hAnsi="Bookman Old Style"/>
          <w:b/>
          <w:bCs/>
          <w:color w:val="000000" w:themeColor="text1"/>
          <w:lang w:val="sv-FI"/>
        </w:rPr>
        <w:t xml:space="preserve"> </w:t>
      </w:r>
      <w:r w:rsidRPr="00727324">
        <w:rPr>
          <w:rFonts w:ascii="Bookman Old Style" w:hAnsi="Bookman Old Style"/>
          <w:b/>
          <w:bCs/>
          <w:color w:val="000000" w:themeColor="text1"/>
          <w:lang w:val="sv-FI"/>
        </w:rPr>
        <w:t>memenuhi</w:t>
      </w:r>
      <w:r w:rsidR="00A954D0">
        <w:rPr>
          <w:rFonts w:ascii="Bookman Old Style" w:hAnsi="Bookman Old Style"/>
          <w:color w:val="000000" w:themeColor="text1"/>
          <w:lang w:val="sv-FI"/>
        </w:rPr>
        <w:t xml:space="preserve"> </w:t>
      </w:r>
      <w:r w:rsidRPr="00727324">
        <w:rPr>
          <w:rFonts w:ascii="Bookman Old Style" w:hAnsi="Bookman Old Style"/>
          <w:color w:val="000000" w:themeColor="text1"/>
          <w:lang w:val="sv-FI"/>
        </w:rPr>
        <w:t>amanat</w:t>
      </w:r>
      <w:r w:rsidR="00A954D0">
        <w:rPr>
          <w:rFonts w:ascii="Bookman Old Style" w:hAnsi="Bookman Old Style"/>
          <w:color w:val="000000" w:themeColor="text1"/>
          <w:lang w:val="sv-FI"/>
        </w:rPr>
        <w:t xml:space="preserve"> </w:t>
      </w:r>
      <w:r w:rsidRPr="00727324">
        <w:rPr>
          <w:rFonts w:ascii="Bookman Old Style" w:hAnsi="Bookman Old Style"/>
          <w:color w:val="000000" w:themeColor="text1"/>
          <w:lang w:val="sv-FI"/>
        </w:rPr>
        <w:t>Pasal</w:t>
      </w:r>
      <w:r w:rsidR="00A954D0">
        <w:rPr>
          <w:rFonts w:ascii="Bookman Old Style" w:hAnsi="Bookman Old Style"/>
          <w:color w:val="000000" w:themeColor="text1"/>
          <w:lang w:val="sv-FI"/>
        </w:rPr>
        <w:t xml:space="preserve"> </w:t>
      </w:r>
      <w:r w:rsidRPr="00727324">
        <w:rPr>
          <w:rFonts w:ascii="Bookman Old Style" w:hAnsi="Bookman Old Style"/>
          <w:color w:val="000000" w:themeColor="text1"/>
          <w:lang w:val="sv-FI"/>
        </w:rPr>
        <w:t>3</w:t>
      </w:r>
      <w:r w:rsidR="00A954D0">
        <w:rPr>
          <w:rFonts w:ascii="Bookman Old Style" w:hAnsi="Bookman Old Style"/>
          <w:color w:val="000000" w:themeColor="text1"/>
          <w:lang w:val="sv-FI"/>
        </w:rPr>
        <w:t xml:space="preserve"> </w:t>
      </w:r>
      <w:r w:rsidRPr="00727324">
        <w:rPr>
          <w:rFonts w:ascii="Bookman Old Style" w:hAnsi="Bookman Old Style"/>
          <w:color w:val="000000" w:themeColor="text1"/>
          <w:lang w:val="sv-FI"/>
        </w:rPr>
        <w:t>Peraturan</w:t>
      </w:r>
      <w:r w:rsidR="00A954D0">
        <w:rPr>
          <w:rFonts w:ascii="Bookman Old Style" w:hAnsi="Bookman Old Style"/>
          <w:color w:val="000000" w:themeColor="text1"/>
          <w:lang w:val="sv-FI"/>
        </w:rPr>
        <w:t xml:space="preserve"> </w:t>
      </w:r>
      <w:r w:rsidRPr="00727324">
        <w:rPr>
          <w:rFonts w:ascii="Bookman Old Style" w:hAnsi="Bookman Old Style"/>
          <w:color w:val="000000" w:themeColor="text1"/>
          <w:lang w:val="sv-FI"/>
        </w:rPr>
        <w:t>Pemerintah</w:t>
      </w:r>
      <w:r w:rsidR="00A954D0">
        <w:rPr>
          <w:rFonts w:ascii="Bookman Old Style" w:hAnsi="Bookman Old Style"/>
          <w:color w:val="000000" w:themeColor="text1"/>
          <w:lang w:val="sv-FI"/>
        </w:rPr>
        <w:t xml:space="preserve"> </w:t>
      </w:r>
      <w:r w:rsidRPr="00727324">
        <w:rPr>
          <w:rFonts w:ascii="Bookman Old Style" w:hAnsi="Bookman Old Style"/>
          <w:color w:val="000000" w:themeColor="text1"/>
          <w:lang w:val="sv-FI"/>
        </w:rPr>
        <w:t>Nomor</w:t>
      </w:r>
      <w:r w:rsidR="00A954D0">
        <w:rPr>
          <w:rFonts w:ascii="Bookman Old Style" w:hAnsi="Bookman Old Style"/>
          <w:color w:val="000000" w:themeColor="text1"/>
          <w:lang w:val="sv-FI"/>
        </w:rPr>
        <w:t xml:space="preserve"> </w:t>
      </w:r>
      <w:r w:rsidRPr="00727324">
        <w:rPr>
          <w:rFonts w:ascii="Bookman Old Style" w:hAnsi="Bookman Old Style"/>
          <w:color w:val="000000" w:themeColor="text1"/>
          <w:lang w:val="sv-FI"/>
        </w:rPr>
        <w:t>18</w:t>
      </w:r>
      <w:r w:rsidR="00A954D0">
        <w:rPr>
          <w:rFonts w:ascii="Bookman Old Style" w:hAnsi="Bookman Old Style"/>
          <w:color w:val="000000" w:themeColor="text1"/>
          <w:lang w:val="sv-FI"/>
        </w:rPr>
        <w:t xml:space="preserve"> </w:t>
      </w:r>
      <w:r w:rsidRPr="00727324">
        <w:rPr>
          <w:rFonts w:ascii="Bookman Old Style" w:hAnsi="Bookman Old Style"/>
          <w:color w:val="000000" w:themeColor="text1"/>
          <w:lang w:val="sv-FI"/>
        </w:rPr>
        <w:t>Tahun</w:t>
      </w:r>
      <w:r w:rsidR="00A954D0">
        <w:rPr>
          <w:rFonts w:ascii="Bookman Old Style" w:hAnsi="Bookman Old Style"/>
          <w:color w:val="000000" w:themeColor="text1"/>
          <w:lang w:val="sv-FI"/>
        </w:rPr>
        <w:t xml:space="preserve"> </w:t>
      </w:r>
      <w:r w:rsidRPr="00727324">
        <w:rPr>
          <w:rFonts w:ascii="Bookman Old Style" w:hAnsi="Bookman Old Style"/>
          <w:color w:val="000000" w:themeColor="text1"/>
          <w:lang w:val="sv-FI"/>
        </w:rPr>
        <w:t>2017</w:t>
      </w:r>
      <w:r w:rsidR="00A954D0">
        <w:rPr>
          <w:rFonts w:ascii="Bookman Old Style" w:hAnsi="Bookman Old Style"/>
          <w:color w:val="000000" w:themeColor="text1"/>
          <w:lang w:val="sv-FI"/>
        </w:rPr>
        <w:t xml:space="preserve"> </w:t>
      </w:r>
      <w:r w:rsidRPr="00727324">
        <w:rPr>
          <w:rFonts w:ascii="Bookman Old Style" w:hAnsi="Bookman Old Style"/>
          <w:color w:val="000000" w:themeColor="text1"/>
          <w:lang w:val="sv-FI"/>
        </w:rPr>
        <w:t>sebagaimana</w:t>
      </w:r>
      <w:r w:rsidR="00A954D0">
        <w:rPr>
          <w:rFonts w:ascii="Bookman Old Style" w:hAnsi="Bookman Old Style"/>
          <w:color w:val="000000" w:themeColor="text1"/>
          <w:lang w:val="sv-FI"/>
        </w:rPr>
        <w:t xml:space="preserve"> </w:t>
      </w:r>
      <w:r w:rsidRPr="00727324">
        <w:rPr>
          <w:rFonts w:ascii="Bookman Old Style" w:hAnsi="Bookman Old Style"/>
          <w:color w:val="000000" w:themeColor="text1"/>
          <w:lang w:val="sv-FI"/>
        </w:rPr>
        <w:t>telah</w:t>
      </w:r>
      <w:r w:rsidR="00A954D0">
        <w:rPr>
          <w:rFonts w:ascii="Bookman Old Style" w:hAnsi="Bookman Old Style"/>
          <w:color w:val="000000" w:themeColor="text1"/>
          <w:lang w:val="sv-FI"/>
        </w:rPr>
        <w:t xml:space="preserve"> </w:t>
      </w:r>
      <w:r w:rsidRPr="00727324">
        <w:rPr>
          <w:rFonts w:ascii="Bookman Old Style" w:hAnsi="Bookman Old Style"/>
          <w:color w:val="000000" w:themeColor="text1"/>
          <w:lang w:val="sv-FI"/>
        </w:rPr>
        <w:t>diubah</w:t>
      </w:r>
      <w:r w:rsidR="00A954D0">
        <w:rPr>
          <w:rFonts w:ascii="Bookman Old Style" w:hAnsi="Bookman Old Style"/>
          <w:color w:val="000000" w:themeColor="text1"/>
          <w:lang w:val="sv-FI"/>
        </w:rPr>
        <w:t xml:space="preserve"> </w:t>
      </w:r>
      <w:r w:rsidRPr="00727324">
        <w:rPr>
          <w:rFonts w:ascii="Bookman Old Style" w:hAnsi="Bookman Old Style"/>
          <w:color w:val="000000" w:themeColor="text1"/>
          <w:lang w:val="sv-FI"/>
        </w:rPr>
        <w:t>dengan</w:t>
      </w:r>
      <w:r w:rsidR="00A954D0">
        <w:rPr>
          <w:rFonts w:ascii="Bookman Old Style" w:hAnsi="Bookman Old Style"/>
          <w:color w:val="000000" w:themeColor="text1"/>
          <w:lang w:val="sv-FI"/>
        </w:rPr>
        <w:t xml:space="preserve"> </w:t>
      </w:r>
      <w:r w:rsidRPr="00727324">
        <w:rPr>
          <w:rFonts w:ascii="Bookman Old Style" w:hAnsi="Bookman Old Style"/>
          <w:color w:val="000000" w:themeColor="text1"/>
          <w:lang w:val="sv-FI"/>
        </w:rPr>
        <w:t>Peraturan</w:t>
      </w:r>
      <w:r w:rsidR="00A954D0">
        <w:rPr>
          <w:rFonts w:ascii="Bookman Old Style" w:hAnsi="Bookman Old Style"/>
          <w:color w:val="000000" w:themeColor="text1"/>
          <w:lang w:val="sv-FI"/>
        </w:rPr>
        <w:t xml:space="preserve"> </w:t>
      </w:r>
      <w:r w:rsidRPr="00727324">
        <w:rPr>
          <w:rFonts w:ascii="Bookman Old Style" w:hAnsi="Bookman Old Style"/>
          <w:color w:val="000000" w:themeColor="text1"/>
          <w:lang w:val="sv-FI"/>
        </w:rPr>
        <w:t>Pemerintah</w:t>
      </w:r>
      <w:r w:rsidR="00A954D0">
        <w:rPr>
          <w:rFonts w:ascii="Bookman Old Style" w:hAnsi="Bookman Old Style"/>
          <w:color w:val="000000" w:themeColor="text1"/>
          <w:lang w:val="sv-FI"/>
        </w:rPr>
        <w:t xml:space="preserve"> </w:t>
      </w:r>
      <w:r w:rsidRPr="00727324">
        <w:rPr>
          <w:rFonts w:ascii="Bookman Old Style" w:hAnsi="Bookman Old Style"/>
          <w:color w:val="000000" w:themeColor="text1"/>
          <w:lang w:val="sv-FI"/>
        </w:rPr>
        <w:t>Nomor</w:t>
      </w:r>
      <w:r w:rsidR="00A954D0">
        <w:rPr>
          <w:rFonts w:ascii="Bookman Old Style" w:hAnsi="Bookman Old Style"/>
          <w:color w:val="000000" w:themeColor="text1"/>
          <w:lang w:val="sv-FI"/>
        </w:rPr>
        <w:t xml:space="preserve"> </w:t>
      </w:r>
      <w:r w:rsidRPr="00727324">
        <w:rPr>
          <w:rFonts w:ascii="Bookman Old Style" w:hAnsi="Bookman Old Style"/>
          <w:color w:val="000000" w:themeColor="text1"/>
          <w:lang w:val="sv-FI"/>
        </w:rPr>
        <w:t>1</w:t>
      </w:r>
      <w:r w:rsidR="00A954D0">
        <w:rPr>
          <w:rFonts w:ascii="Bookman Old Style" w:hAnsi="Bookman Old Style"/>
          <w:color w:val="000000" w:themeColor="text1"/>
          <w:lang w:val="sv-FI"/>
        </w:rPr>
        <w:t xml:space="preserve"> </w:t>
      </w:r>
      <w:r w:rsidRPr="00727324">
        <w:rPr>
          <w:rFonts w:ascii="Bookman Old Style" w:hAnsi="Bookman Old Style"/>
          <w:color w:val="000000" w:themeColor="text1"/>
          <w:lang w:val="sv-FI"/>
        </w:rPr>
        <w:t>Tahun</w:t>
      </w:r>
      <w:r w:rsidR="00A954D0">
        <w:rPr>
          <w:rFonts w:ascii="Bookman Old Style" w:hAnsi="Bookman Old Style"/>
          <w:color w:val="000000" w:themeColor="text1"/>
          <w:lang w:val="sv-FI"/>
        </w:rPr>
        <w:t xml:space="preserve"> </w:t>
      </w:r>
      <w:r w:rsidRPr="00727324">
        <w:rPr>
          <w:rFonts w:ascii="Bookman Old Style" w:hAnsi="Bookman Old Style"/>
          <w:color w:val="000000" w:themeColor="text1"/>
          <w:lang w:val="sv-FI"/>
        </w:rPr>
        <w:t>2023.</w:t>
      </w:r>
    </w:p>
    <w:p w14:paraId="4F5DCD09" w14:textId="4C8864BC" w:rsidR="005A4806" w:rsidRPr="00727324" w:rsidRDefault="005A4806" w:rsidP="00AC44F5">
      <w:pPr>
        <w:pStyle w:val="ListParagraph"/>
        <w:numPr>
          <w:ilvl w:val="0"/>
          <w:numId w:val="25"/>
        </w:numPr>
        <w:snapToGrid w:val="0"/>
        <w:spacing w:before="60" w:after="0" w:line="276" w:lineRule="auto"/>
        <w:ind w:left="3261" w:hanging="567"/>
        <w:contextualSpacing w:val="0"/>
        <w:jc w:val="both"/>
        <w:rPr>
          <w:rFonts w:ascii="Bookman Old Style" w:hAnsi="Bookman Old Style"/>
          <w:color w:val="FF0000"/>
          <w:sz w:val="24"/>
          <w:szCs w:val="24"/>
        </w:rPr>
      </w:pPr>
      <w:r w:rsidRPr="00727324">
        <w:rPr>
          <w:rFonts w:ascii="Bookman Old Style" w:hAnsi="Bookman Old Style" w:cs="Tahoma"/>
          <w:color w:val="000000" w:themeColor="text1"/>
          <w:sz w:val="24"/>
          <w:szCs w:val="24"/>
        </w:rPr>
        <w:t>Belanja</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Tunjangan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Jabatan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DPRD</w:t>
      </w:r>
      <w:r w:rsidR="00A954D0">
        <w:rPr>
          <w:rFonts w:ascii="Bookman Old Style" w:hAnsi="Bookman Old Style" w:cs="Tahoma"/>
          <w:color w:val="FF0000"/>
          <w:sz w:val="24"/>
          <w:szCs w:val="24"/>
          <w:lang w:val="sv-FI"/>
        </w:rPr>
        <w:t xml:space="preserve"> </w:t>
      </w:r>
      <w:r w:rsidRPr="00727324">
        <w:rPr>
          <w:rFonts w:ascii="Bookman Old Style" w:hAnsi="Bookman Old Style" w:cs="Arial"/>
          <w:sz w:val="24"/>
          <w:szCs w:val="24"/>
          <w:lang w:val="sv-FI"/>
        </w:rPr>
        <w:t>Rp</w:t>
      </w:r>
      <w:r w:rsidRPr="002A4A43">
        <w:rPr>
          <w:rFonts w:ascii="Bookman Old Style" w:hAnsi="Bookman Old Style" w:cs="Arial"/>
          <w:sz w:val="24"/>
          <w:szCs w:val="24"/>
          <w:lang w:val="sv-FI"/>
        </w:rPr>
        <w:t>1</w:t>
      </w:r>
      <w:r>
        <w:rPr>
          <w:rFonts w:ascii="Bookman Old Style" w:hAnsi="Bookman Old Style" w:cs="Arial"/>
          <w:sz w:val="24"/>
          <w:szCs w:val="24"/>
          <w:lang w:val="sv-FI"/>
        </w:rPr>
        <w:t>.</w:t>
      </w:r>
      <w:r w:rsidRPr="002A4A43">
        <w:rPr>
          <w:rFonts w:ascii="Bookman Old Style" w:hAnsi="Bookman Old Style" w:cs="Arial"/>
          <w:sz w:val="24"/>
          <w:szCs w:val="24"/>
          <w:lang w:val="sv-FI"/>
        </w:rPr>
        <w:t>615</w:t>
      </w:r>
      <w:r>
        <w:rPr>
          <w:rFonts w:ascii="Bookman Old Style" w:hAnsi="Bookman Old Style" w:cs="Arial"/>
          <w:sz w:val="24"/>
          <w:szCs w:val="24"/>
          <w:lang w:val="sv-FI"/>
        </w:rPr>
        <w:t>.</w:t>
      </w:r>
      <w:r w:rsidRPr="002A4A43">
        <w:rPr>
          <w:rFonts w:ascii="Bookman Old Style" w:hAnsi="Bookman Old Style" w:cs="Arial"/>
          <w:sz w:val="24"/>
          <w:szCs w:val="24"/>
          <w:lang w:val="sv-FI"/>
        </w:rPr>
        <w:t>677</w:t>
      </w:r>
      <w:r>
        <w:rPr>
          <w:rFonts w:ascii="Bookman Old Style" w:hAnsi="Bookman Old Style" w:cs="Arial"/>
          <w:sz w:val="24"/>
          <w:szCs w:val="24"/>
          <w:lang w:val="sv-FI"/>
        </w:rPr>
        <w:t>.</w:t>
      </w:r>
      <w:r w:rsidRPr="002A4A43">
        <w:rPr>
          <w:rFonts w:ascii="Bookman Old Style" w:hAnsi="Bookman Old Style" w:cs="Arial"/>
          <w:sz w:val="24"/>
          <w:szCs w:val="24"/>
          <w:lang w:val="sv-FI"/>
        </w:rPr>
        <w:t>000</w:t>
      </w:r>
      <w:r>
        <w:rPr>
          <w:rFonts w:ascii="Bookman Old Style" w:hAnsi="Bookman Old Style" w:cs="Arial"/>
          <w:sz w:val="24"/>
          <w:szCs w:val="24"/>
          <w:lang w:val="sv-FI"/>
        </w:rPr>
        <w:t>,00</w:t>
      </w:r>
      <w:r w:rsidR="00A954D0">
        <w:rPr>
          <w:rFonts w:ascii="Bookman Old Style" w:hAnsi="Bookman Old Style" w:cs="Arial"/>
          <w:sz w:val="24"/>
          <w:szCs w:val="24"/>
          <w:lang w:val="sv-FI"/>
        </w:rPr>
        <w:t xml:space="preserve"> </w:t>
      </w:r>
      <w:r w:rsidRPr="00727324">
        <w:rPr>
          <w:rFonts w:ascii="Bookman Old Style" w:hAnsi="Bookman Old Style"/>
          <w:color w:val="000000" w:themeColor="text1"/>
          <w:sz w:val="24"/>
          <w:szCs w:val="24"/>
        </w:rPr>
        <w:t>dalam</w:t>
      </w:r>
      <w:r w:rsidR="00A954D0">
        <w:rPr>
          <w:rFonts w:ascii="Bookman Old Style" w:hAnsi="Bookman Old Style"/>
          <w:color w:val="000000" w:themeColor="text1"/>
          <w:sz w:val="24"/>
          <w:szCs w:val="24"/>
          <w:lang w:val="sv-FI"/>
        </w:rPr>
        <w:t xml:space="preserve"> </w:t>
      </w:r>
      <w:r w:rsidRPr="00727324">
        <w:rPr>
          <w:rFonts w:ascii="Bookman Old Style" w:hAnsi="Bookman Old Style"/>
          <w:color w:val="000000" w:themeColor="text1"/>
          <w:sz w:val="24"/>
          <w:szCs w:val="24"/>
        </w:rPr>
        <w:t>Rancangan</w:t>
      </w:r>
      <w:r w:rsidR="00A954D0">
        <w:rPr>
          <w:rFonts w:ascii="Bookman Old Style" w:hAnsi="Bookman Old Style"/>
          <w:color w:val="000000" w:themeColor="text1"/>
          <w:sz w:val="24"/>
          <w:szCs w:val="24"/>
          <w:lang w:val="sv-FI"/>
        </w:rPr>
        <w:t xml:space="preserve"> </w:t>
      </w:r>
      <w:r w:rsidRPr="00791B1E">
        <w:rPr>
          <w:rFonts w:ascii="Bookman Old Style" w:hAnsi="Bookman Old Style" w:cs="Tahoma"/>
          <w:color w:val="000000" w:themeColor="text1"/>
          <w:sz w:val="24"/>
          <w:szCs w:val="24"/>
        </w:rPr>
        <w:t>Peraturan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Daerah</w:t>
      </w:r>
      <w:r w:rsidR="00A954D0">
        <w:rPr>
          <w:rFonts w:ascii="Bookman Old Style" w:hAnsi="Bookman Old Style"/>
          <w:color w:val="FF0000"/>
          <w:sz w:val="24"/>
          <w:szCs w:val="24"/>
          <w:lang w:val="id-ID"/>
        </w:rPr>
        <w:t xml:space="preserve"> </w:t>
      </w:r>
      <w:r w:rsidRPr="00CC1448">
        <w:rPr>
          <w:rFonts w:ascii="Bookman Old Style" w:hAnsi="Bookman Old Style"/>
          <w:sz w:val="24"/>
          <w:szCs w:val="24"/>
          <w:lang w:val="id-ID"/>
        </w:rPr>
        <w:t>Kota</w:t>
      </w:r>
      <w:r w:rsidR="00A954D0">
        <w:rPr>
          <w:rFonts w:ascii="Bookman Old Style" w:hAnsi="Bookman Old Style"/>
          <w:sz w:val="24"/>
          <w:szCs w:val="24"/>
          <w:lang w:val="id-ID"/>
        </w:rPr>
        <w:t xml:space="preserve"> </w:t>
      </w:r>
      <w:r>
        <w:rPr>
          <w:rFonts w:ascii="Bookman Old Style" w:hAnsi="Bookman Old Style"/>
          <w:sz w:val="24"/>
          <w:szCs w:val="24"/>
          <w:lang w:val="fi-FI"/>
        </w:rPr>
        <w:t>Tangerang</w:t>
      </w:r>
      <w:r w:rsidR="00A954D0">
        <w:rPr>
          <w:rFonts w:ascii="Bookman Old Style" w:hAnsi="Bookman Old Style"/>
          <w:sz w:val="24"/>
          <w:szCs w:val="24"/>
          <w:lang w:val="id-ID"/>
        </w:rPr>
        <w:t xml:space="preserve"> </w:t>
      </w:r>
      <w:r w:rsidRPr="00727324">
        <w:rPr>
          <w:rFonts w:ascii="Bookman Old Style" w:hAnsi="Bookman Old Style"/>
          <w:color w:val="000000" w:themeColor="text1"/>
          <w:sz w:val="24"/>
          <w:szCs w:val="24"/>
        </w:rPr>
        <w:t>tentang</w:t>
      </w:r>
      <w:r w:rsidR="00A954D0">
        <w:rPr>
          <w:rFonts w:ascii="Bookman Old Style" w:hAnsi="Bookman Old Style"/>
          <w:color w:val="000000" w:themeColor="text1"/>
          <w:sz w:val="24"/>
          <w:szCs w:val="24"/>
          <w:lang w:val="sv-FI"/>
        </w:rPr>
        <w:t xml:space="preserve"> </w:t>
      </w:r>
      <w:r w:rsidRPr="00727324">
        <w:rPr>
          <w:rFonts w:ascii="Bookman Old Style" w:hAnsi="Bookman Old Style"/>
          <w:color w:val="000000" w:themeColor="text1"/>
          <w:sz w:val="24"/>
          <w:szCs w:val="24"/>
        </w:rPr>
        <w:t>APBD</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Tahun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Anggaran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202</w:t>
      </w:r>
      <w:r w:rsidRPr="00727324">
        <w:rPr>
          <w:rFonts w:ascii="Bookman Old Style" w:hAnsi="Bookman Old Style"/>
          <w:color w:val="000000" w:themeColor="text1"/>
          <w:sz w:val="24"/>
          <w:szCs w:val="24"/>
          <w:lang w:val="sv-FI"/>
        </w:rPr>
        <w:t>5</w:t>
      </w:r>
      <w:r w:rsidRPr="00727324">
        <w:rPr>
          <w:rFonts w:ascii="Bookman Old Style" w:hAnsi="Bookman Old Style" w:cs="Tahoma"/>
          <w:color w:val="000000" w:themeColor="text1"/>
          <w:sz w:val="24"/>
          <w:szCs w:val="24"/>
          <w:lang w:val="sv-FI"/>
        </w:rPr>
        <w:t>,</w:t>
      </w:r>
      <w:r w:rsidR="00A954D0">
        <w:rPr>
          <w:rFonts w:ascii="Bookman Old Style" w:hAnsi="Bookman Old Style"/>
          <w:color w:val="000000" w:themeColor="text1"/>
          <w:sz w:val="24"/>
          <w:szCs w:val="24"/>
        </w:rPr>
        <w:t xml:space="preserve"> </w:t>
      </w:r>
      <w:r w:rsidRPr="00727324">
        <w:rPr>
          <w:rFonts w:ascii="Bookman Old Style" w:hAnsi="Bookman Old Style"/>
          <w:b/>
          <w:bCs/>
          <w:color w:val="000000" w:themeColor="text1"/>
          <w:sz w:val="24"/>
          <w:szCs w:val="24"/>
          <w:lang w:val="sv-FI"/>
        </w:rPr>
        <w:t>telah</w:t>
      </w:r>
      <w:r w:rsidR="00A954D0">
        <w:rPr>
          <w:rFonts w:ascii="Bookman Old Style" w:hAnsi="Bookman Old Style"/>
          <w:b/>
          <w:bCs/>
          <w:color w:val="000000" w:themeColor="text1"/>
          <w:sz w:val="24"/>
          <w:szCs w:val="24"/>
        </w:rPr>
        <w:t xml:space="preserve"> </w:t>
      </w:r>
      <w:r w:rsidRPr="00727324">
        <w:rPr>
          <w:rFonts w:ascii="Bookman Old Style" w:hAnsi="Bookman Old Style"/>
          <w:b/>
          <w:bCs/>
          <w:color w:val="000000" w:themeColor="text1"/>
          <w:sz w:val="24"/>
          <w:szCs w:val="24"/>
        </w:rPr>
        <w:t>memenuhi</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amanat</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Pasal</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6</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Peraturan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Pemerintah</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Nomor</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18</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Tahun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2017</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lang w:val="sv-FI"/>
        </w:rPr>
        <w:t>sebesar</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145%</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lang w:val="sv-FI"/>
        </w:rPr>
        <w:t>(seratus</w:t>
      </w:r>
      <w:r w:rsidR="00A954D0">
        <w:rPr>
          <w:rFonts w:ascii="Bookman Old Style" w:hAnsi="Bookman Old Style"/>
          <w:color w:val="000000" w:themeColor="text1"/>
          <w:sz w:val="24"/>
          <w:szCs w:val="24"/>
          <w:lang w:val="sv-FI"/>
        </w:rPr>
        <w:t xml:space="preserve"> </w:t>
      </w:r>
      <w:r w:rsidRPr="00727324">
        <w:rPr>
          <w:rFonts w:ascii="Bookman Old Style" w:hAnsi="Bookman Old Style"/>
          <w:color w:val="000000" w:themeColor="text1"/>
          <w:sz w:val="24"/>
          <w:szCs w:val="24"/>
          <w:lang w:val="sv-FI"/>
        </w:rPr>
        <w:t>empat</w:t>
      </w:r>
      <w:r w:rsidR="00A954D0">
        <w:rPr>
          <w:rFonts w:ascii="Bookman Old Style" w:hAnsi="Bookman Old Style"/>
          <w:color w:val="000000" w:themeColor="text1"/>
          <w:sz w:val="24"/>
          <w:szCs w:val="24"/>
          <w:lang w:val="sv-FI"/>
        </w:rPr>
        <w:t xml:space="preserve"> </w:t>
      </w:r>
      <w:r w:rsidRPr="00727324">
        <w:rPr>
          <w:rFonts w:ascii="Bookman Old Style" w:hAnsi="Bookman Old Style"/>
          <w:color w:val="000000" w:themeColor="text1"/>
          <w:sz w:val="24"/>
          <w:szCs w:val="24"/>
          <w:lang w:val="sv-FI"/>
        </w:rPr>
        <w:t>puluh</w:t>
      </w:r>
      <w:r w:rsidR="00A954D0">
        <w:rPr>
          <w:rFonts w:ascii="Bookman Old Style" w:hAnsi="Bookman Old Style"/>
          <w:color w:val="000000" w:themeColor="text1"/>
          <w:sz w:val="24"/>
          <w:szCs w:val="24"/>
          <w:lang w:val="sv-FI"/>
        </w:rPr>
        <w:t xml:space="preserve"> </w:t>
      </w:r>
      <w:r w:rsidRPr="00727324">
        <w:rPr>
          <w:rFonts w:ascii="Bookman Old Style" w:hAnsi="Bookman Old Style"/>
          <w:color w:val="000000" w:themeColor="text1"/>
          <w:sz w:val="24"/>
          <w:szCs w:val="24"/>
          <w:lang w:val="sv-FI"/>
        </w:rPr>
        <w:t>lima</w:t>
      </w:r>
      <w:r w:rsidR="00A954D0">
        <w:rPr>
          <w:rFonts w:ascii="Bookman Old Style" w:hAnsi="Bookman Old Style"/>
          <w:color w:val="000000" w:themeColor="text1"/>
          <w:sz w:val="24"/>
          <w:szCs w:val="24"/>
          <w:lang w:val="sv-FI"/>
        </w:rPr>
        <w:t xml:space="preserve"> </w:t>
      </w:r>
      <w:r w:rsidRPr="00727324">
        <w:rPr>
          <w:rFonts w:ascii="Bookman Old Style" w:hAnsi="Bookman Old Style"/>
          <w:color w:val="000000" w:themeColor="text1"/>
          <w:sz w:val="24"/>
          <w:szCs w:val="24"/>
          <w:lang w:val="sv-FI"/>
        </w:rPr>
        <w:t>persen)</w:t>
      </w:r>
      <w:r w:rsidR="00A954D0">
        <w:rPr>
          <w:rFonts w:ascii="Bookman Old Style" w:hAnsi="Bookman Old Style"/>
          <w:color w:val="000000" w:themeColor="text1"/>
          <w:sz w:val="24"/>
          <w:szCs w:val="24"/>
          <w:lang w:val="sv-FI"/>
        </w:rPr>
        <w:t xml:space="preserve"> </w:t>
      </w:r>
      <w:r w:rsidRPr="00727324">
        <w:rPr>
          <w:rFonts w:ascii="Bookman Old Style" w:hAnsi="Bookman Old Style"/>
          <w:color w:val="000000" w:themeColor="text1"/>
          <w:sz w:val="24"/>
          <w:szCs w:val="24"/>
        </w:rPr>
        <w:t>dari</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uang</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representasi</w:t>
      </w:r>
      <w:r w:rsidR="00AC44F5">
        <w:rPr>
          <w:rFonts w:ascii="Bookman Old Style" w:hAnsi="Bookman Old Style"/>
          <w:color w:val="000000" w:themeColor="text1"/>
          <w:sz w:val="24"/>
          <w:szCs w:val="24"/>
          <w:lang w:val="sv-FI"/>
        </w:rPr>
        <w:t>;</w:t>
      </w:r>
    </w:p>
    <w:p w14:paraId="5C8FB2C7" w14:textId="1D0BC990" w:rsidR="005A4806" w:rsidRPr="00727324" w:rsidRDefault="005A4806" w:rsidP="00AC44F5">
      <w:pPr>
        <w:pStyle w:val="ListParagraph"/>
        <w:numPr>
          <w:ilvl w:val="0"/>
          <w:numId w:val="25"/>
        </w:numPr>
        <w:snapToGrid w:val="0"/>
        <w:spacing w:before="60" w:after="0" w:line="276" w:lineRule="auto"/>
        <w:ind w:left="3261" w:hanging="567"/>
        <w:contextualSpacing w:val="0"/>
        <w:jc w:val="both"/>
        <w:rPr>
          <w:rFonts w:ascii="Bookman Old Style" w:hAnsi="Bookman Old Style"/>
          <w:color w:val="000000" w:themeColor="text1"/>
          <w:sz w:val="24"/>
          <w:szCs w:val="24"/>
        </w:rPr>
      </w:pPr>
      <w:r w:rsidRPr="00727324">
        <w:rPr>
          <w:rFonts w:ascii="Bookman Old Style" w:hAnsi="Bookman Old Style" w:cs="Tahoma"/>
          <w:color w:val="000000" w:themeColor="text1"/>
          <w:sz w:val="24"/>
          <w:szCs w:val="24"/>
        </w:rPr>
        <w:t>Belanja</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Tunjangan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Alat</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Kelengkapan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DPRD</w:t>
      </w:r>
      <w:r w:rsidR="00A954D0">
        <w:rPr>
          <w:rFonts w:ascii="Bookman Old Style" w:hAnsi="Bookman Old Style"/>
          <w:color w:val="000000" w:themeColor="text1"/>
          <w:sz w:val="24"/>
          <w:szCs w:val="24"/>
        </w:rPr>
        <w:t xml:space="preserve"> </w:t>
      </w:r>
      <w:r w:rsidRPr="00727324">
        <w:rPr>
          <w:rFonts w:ascii="Bookman Old Style" w:hAnsi="Bookman Old Style" w:cs="Arial"/>
          <w:sz w:val="24"/>
          <w:szCs w:val="24"/>
          <w:lang w:val="sv-FI"/>
        </w:rPr>
        <w:t>Rp</w:t>
      </w:r>
      <w:r w:rsidRPr="00CC1448">
        <w:rPr>
          <w:rFonts w:ascii="Bookman Old Style" w:hAnsi="Bookman Old Style" w:cs="Arial"/>
          <w:sz w:val="24"/>
          <w:szCs w:val="24"/>
          <w:lang w:val="sv-FI"/>
        </w:rPr>
        <w:t>136</w:t>
      </w:r>
      <w:r>
        <w:rPr>
          <w:rFonts w:ascii="Bookman Old Style" w:hAnsi="Bookman Old Style" w:cs="Arial"/>
          <w:sz w:val="24"/>
          <w:szCs w:val="24"/>
          <w:lang w:val="sv-FI"/>
        </w:rPr>
        <w:t>.</w:t>
      </w:r>
      <w:r w:rsidRPr="00CC1448">
        <w:rPr>
          <w:rFonts w:ascii="Bookman Old Style" w:hAnsi="Bookman Old Style" w:cs="Arial"/>
          <w:sz w:val="24"/>
          <w:szCs w:val="24"/>
          <w:lang w:val="sv-FI"/>
        </w:rPr>
        <w:t>111</w:t>
      </w:r>
      <w:r>
        <w:rPr>
          <w:rFonts w:ascii="Bookman Old Style" w:hAnsi="Bookman Old Style" w:cs="Arial"/>
          <w:sz w:val="24"/>
          <w:szCs w:val="24"/>
          <w:lang w:val="sv-FI"/>
        </w:rPr>
        <w:t>.</w:t>
      </w:r>
      <w:r w:rsidRPr="00CC1448">
        <w:rPr>
          <w:rFonts w:ascii="Bookman Old Style" w:hAnsi="Bookman Old Style" w:cs="Arial"/>
          <w:sz w:val="24"/>
          <w:szCs w:val="24"/>
          <w:lang w:val="sv-FI"/>
        </w:rPr>
        <w:t>500</w:t>
      </w:r>
      <w:r w:rsidRPr="00727324">
        <w:rPr>
          <w:rFonts w:ascii="Bookman Old Style" w:hAnsi="Bookman Old Style" w:cs="Arial"/>
          <w:sz w:val="24"/>
          <w:szCs w:val="24"/>
          <w:lang w:val="sv-FI"/>
        </w:rPr>
        <w:t>,00</w:t>
      </w:r>
      <w:r w:rsidR="00A954D0">
        <w:rPr>
          <w:rFonts w:ascii="Bookman Old Style" w:hAnsi="Bookman Old Style"/>
          <w:color w:val="FF0000"/>
          <w:sz w:val="24"/>
          <w:szCs w:val="24"/>
          <w:lang w:val="sv-FI"/>
        </w:rPr>
        <w:t xml:space="preserve"> </w:t>
      </w:r>
      <w:r w:rsidRPr="00727324">
        <w:rPr>
          <w:rFonts w:ascii="Bookman Old Style" w:hAnsi="Bookman Old Style"/>
          <w:color w:val="000000" w:themeColor="text1"/>
          <w:sz w:val="24"/>
          <w:szCs w:val="24"/>
          <w:lang w:val="sv-FI"/>
        </w:rPr>
        <w:t>dianggarkan</w:t>
      </w:r>
      <w:r w:rsidR="00A954D0">
        <w:rPr>
          <w:rFonts w:ascii="Bookman Old Style" w:hAnsi="Bookman Old Style"/>
          <w:color w:val="000000" w:themeColor="text1"/>
          <w:sz w:val="24"/>
          <w:szCs w:val="24"/>
          <w:lang w:val="sv-FI"/>
        </w:rPr>
        <w:t xml:space="preserve"> </w:t>
      </w:r>
      <w:r w:rsidRPr="00727324">
        <w:rPr>
          <w:rFonts w:ascii="Bookman Old Style" w:hAnsi="Bookman Old Style"/>
          <w:color w:val="000000" w:themeColor="text1"/>
          <w:sz w:val="24"/>
          <w:szCs w:val="24"/>
          <w:lang w:val="sv-FI"/>
        </w:rPr>
        <w:t>dalam</w:t>
      </w:r>
      <w:r w:rsidR="00A954D0">
        <w:rPr>
          <w:rFonts w:ascii="Bookman Old Style" w:hAnsi="Bookman Old Style"/>
          <w:color w:val="000000" w:themeColor="text1"/>
          <w:sz w:val="24"/>
          <w:szCs w:val="24"/>
        </w:rPr>
        <w:t xml:space="preserve"> </w:t>
      </w:r>
      <w:r w:rsidRPr="00791B1E">
        <w:rPr>
          <w:rFonts w:ascii="Bookman Old Style" w:hAnsi="Bookman Old Style" w:cs="Tahoma"/>
          <w:color w:val="000000" w:themeColor="text1"/>
          <w:sz w:val="24"/>
          <w:szCs w:val="24"/>
        </w:rPr>
        <w:t>Rancangan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Peraturan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Daerah</w:t>
      </w:r>
      <w:r w:rsidR="00A954D0">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Kota</w:t>
      </w:r>
      <w:r w:rsidR="00A954D0">
        <w:rPr>
          <w:rFonts w:ascii="Bookman Old Style" w:hAnsi="Bookman Old Style"/>
          <w:color w:val="FF0000"/>
          <w:sz w:val="24"/>
          <w:szCs w:val="24"/>
          <w:lang w:val="id-ID"/>
        </w:rPr>
        <w:t xml:space="preserve"> </w:t>
      </w:r>
      <w:r>
        <w:rPr>
          <w:rFonts w:ascii="Bookman Old Style" w:hAnsi="Bookman Old Style"/>
          <w:sz w:val="24"/>
          <w:szCs w:val="24"/>
          <w:lang w:val="fi-FI"/>
        </w:rPr>
        <w:t>Tangerang</w:t>
      </w:r>
      <w:r w:rsidR="00A954D0">
        <w:rPr>
          <w:rFonts w:ascii="Bookman Old Style" w:hAnsi="Bookman Old Style"/>
          <w:sz w:val="24"/>
          <w:szCs w:val="24"/>
        </w:rPr>
        <w:t xml:space="preserve"> </w:t>
      </w:r>
      <w:r w:rsidRPr="00727324">
        <w:rPr>
          <w:rFonts w:ascii="Bookman Old Style" w:hAnsi="Bookman Old Style"/>
          <w:color w:val="000000" w:themeColor="text1"/>
          <w:sz w:val="24"/>
          <w:szCs w:val="24"/>
        </w:rPr>
        <w:t>tentang</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APBD</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Tahun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Anggaran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202</w:t>
      </w:r>
      <w:r w:rsidRPr="003255BC">
        <w:rPr>
          <w:rFonts w:ascii="Bookman Old Style" w:hAnsi="Bookman Old Style"/>
          <w:color w:val="000000" w:themeColor="text1"/>
          <w:sz w:val="24"/>
          <w:szCs w:val="24"/>
          <w:lang w:val="sv-FI"/>
        </w:rPr>
        <w:t>5</w:t>
      </w:r>
      <w:r w:rsidR="00A954D0" w:rsidRPr="003255BC">
        <w:rPr>
          <w:rFonts w:ascii="Bookman Old Style" w:hAnsi="Bookman Old Style"/>
          <w:color w:val="000000" w:themeColor="text1"/>
          <w:sz w:val="24"/>
          <w:szCs w:val="24"/>
          <w:lang w:val="sv-FI"/>
        </w:rPr>
        <w:t xml:space="preserve"> </w:t>
      </w:r>
      <w:r w:rsidRPr="003255BC">
        <w:rPr>
          <w:rFonts w:ascii="Bookman Old Style" w:hAnsi="Bookman Old Style"/>
          <w:color w:val="000000" w:themeColor="text1"/>
          <w:sz w:val="24"/>
          <w:szCs w:val="24"/>
          <w:lang w:val="sv-FI"/>
        </w:rPr>
        <w:t>sebagaimana</w:t>
      </w:r>
      <w:r w:rsidR="00A954D0" w:rsidRPr="003255BC">
        <w:rPr>
          <w:rFonts w:ascii="Bookman Old Style" w:hAnsi="Bookman Old Style"/>
          <w:color w:val="000000" w:themeColor="text1"/>
          <w:sz w:val="24"/>
          <w:szCs w:val="24"/>
          <w:lang w:val="sv-FI"/>
        </w:rPr>
        <w:t xml:space="preserve"> </w:t>
      </w:r>
      <w:r w:rsidRPr="003255BC">
        <w:rPr>
          <w:rFonts w:ascii="Bookman Old Style" w:hAnsi="Bookman Old Style"/>
          <w:color w:val="000000" w:themeColor="text1"/>
          <w:sz w:val="24"/>
          <w:szCs w:val="24"/>
          <w:lang w:val="sv-FI"/>
        </w:rPr>
        <w:t>maksud</w:t>
      </w:r>
      <w:r w:rsidR="00A954D0" w:rsidRPr="003255BC">
        <w:rPr>
          <w:rFonts w:ascii="Bookman Old Style" w:hAnsi="Bookman Old Style"/>
          <w:color w:val="000000" w:themeColor="text1"/>
          <w:sz w:val="24"/>
          <w:szCs w:val="24"/>
          <w:lang w:val="sv-FI"/>
        </w:rPr>
        <w:t xml:space="preserve"> </w:t>
      </w:r>
      <w:r w:rsidRPr="00727324">
        <w:rPr>
          <w:rFonts w:ascii="Bookman Old Style" w:hAnsi="Bookman Old Style"/>
          <w:color w:val="000000" w:themeColor="text1"/>
          <w:sz w:val="24"/>
          <w:szCs w:val="24"/>
        </w:rPr>
        <w:t>Pasal</w:t>
      </w:r>
      <w:r w:rsidR="00A954D0">
        <w:rPr>
          <w:rFonts w:ascii="Bookman Old Style" w:hAnsi="Bookman Old Style"/>
          <w:color w:val="000000" w:themeColor="text1"/>
          <w:sz w:val="24"/>
          <w:szCs w:val="24"/>
        </w:rPr>
        <w:t xml:space="preserve"> </w:t>
      </w:r>
      <w:r w:rsidRPr="003255BC">
        <w:rPr>
          <w:rFonts w:ascii="Bookman Old Style" w:hAnsi="Bookman Old Style"/>
          <w:color w:val="000000" w:themeColor="text1"/>
          <w:sz w:val="24"/>
          <w:szCs w:val="24"/>
          <w:lang w:val="sv-FI"/>
        </w:rPr>
        <w:t>7</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Peraturan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Pemerintah</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Nomor</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18</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Tahun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2017</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sebagaimana</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telah</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diubah</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dengan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Peraturan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Pemerintah</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Nomor</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1</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Tahun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2023</w:t>
      </w:r>
      <w:r w:rsidR="00A954D0" w:rsidRPr="003255BC">
        <w:rPr>
          <w:rFonts w:ascii="Bookman Old Style" w:hAnsi="Bookman Old Style"/>
          <w:color w:val="000000" w:themeColor="text1"/>
          <w:sz w:val="24"/>
          <w:szCs w:val="24"/>
          <w:lang w:val="sv-FI"/>
        </w:rPr>
        <w:t xml:space="preserve"> </w:t>
      </w:r>
      <w:r w:rsidRPr="003255BC">
        <w:rPr>
          <w:rFonts w:ascii="Bookman Old Style" w:hAnsi="Bookman Old Style"/>
          <w:color w:val="000000" w:themeColor="text1"/>
          <w:sz w:val="24"/>
          <w:szCs w:val="24"/>
          <w:lang w:val="sv-FI"/>
        </w:rPr>
        <w:t>dan</w:t>
      </w:r>
      <w:r w:rsidR="00A954D0" w:rsidRPr="003255BC">
        <w:rPr>
          <w:rFonts w:ascii="Bookman Old Style" w:hAnsi="Bookman Old Style"/>
          <w:color w:val="000000" w:themeColor="text1"/>
          <w:sz w:val="24"/>
          <w:szCs w:val="24"/>
          <w:lang w:val="sv-FI"/>
        </w:rPr>
        <w:t xml:space="preserve"> </w:t>
      </w:r>
      <w:r w:rsidRPr="003255BC">
        <w:rPr>
          <w:rFonts w:ascii="Bookman Old Style" w:hAnsi="Bookman Old Style"/>
          <w:color w:val="000000" w:themeColor="text1"/>
          <w:sz w:val="24"/>
          <w:szCs w:val="24"/>
          <w:lang w:val="sv-FI"/>
        </w:rPr>
        <w:t>dalam</w:t>
      </w:r>
      <w:r w:rsidR="00A954D0" w:rsidRPr="003255BC">
        <w:rPr>
          <w:rFonts w:ascii="Bookman Old Style" w:hAnsi="Bookman Old Style"/>
          <w:color w:val="000000" w:themeColor="text1"/>
          <w:sz w:val="24"/>
          <w:szCs w:val="24"/>
          <w:lang w:val="sv-FI"/>
        </w:rPr>
        <w:t xml:space="preserve"> </w:t>
      </w:r>
      <w:r w:rsidRPr="003255BC">
        <w:rPr>
          <w:rFonts w:ascii="Bookman Old Style" w:hAnsi="Bookman Old Style"/>
          <w:color w:val="000000" w:themeColor="text1"/>
          <w:sz w:val="24"/>
          <w:szCs w:val="24"/>
          <w:lang w:val="sv-FI"/>
        </w:rPr>
        <w:t>pelaksanaannya</w:t>
      </w:r>
      <w:r w:rsidR="00A954D0" w:rsidRPr="003255BC">
        <w:rPr>
          <w:rFonts w:ascii="Bookman Old Style" w:hAnsi="Bookman Old Style"/>
          <w:color w:val="000000" w:themeColor="text1"/>
          <w:sz w:val="24"/>
          <w:szCs w:val="24"/>
          <w:lang w:val="sv-FI"/>
        </w:rPr>
        <w:t xml:space="preserve"> </w:t>
      </w:r>
      <w:r w:rsidRPr="003255BC">
        <w:rPr>
          <w:rFonts w:ascii="Bookman Old Style" w:hAnsi="Bookman Old Style"/>
          <w:color w:val="000000" w:themeColor="text1"/>
          <w:sz w:val="24"/>
          <w:szCs w:val="24"/>
          <w:lang w:val="sv-FI"/>
        </w:rPr>
        <w:t>tetap</w:t>
      </w:r>
      <w:r w:rsidR="00A954D0" w:rsidRPr="003255BC">
        <w:rPr>
          <w:rFonts w:ascii="Bookman Old Style" w:hAnsi="Bookman Old Style"/>
          <w:color w:val="000000" w:themeColor="text1"/>
          <w:sz w:val="24"/>
          <w:szCs w:val="24"/>
          <w:lang w:val="sv-FI"/>
        </w:rPr>
        <w:t xml:space="preserve"> </w:t>
      </w:r>
      <w:r w:rsidRPr="00727324">
        <w:rPr>
          <w:rFonts w:ascii="Bookman Old Style" w:hAnsi="Bookman Old Style"/>
          <w:color w:val="000000" w:themeColor="text1"/>
          <w:sz w:val="24"/>
          <w:szCs w:val="24"/>
          <w:lang w:val="id-ID"/>
        </w:rPr>
        <w:t>memperhatikan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aspek</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efektivitas,</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efisiensi,</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kewajaran,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kepatutan,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penghematan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dan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rasionalitas</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rPr>
        <w:t>dalam</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lang w:val="id-ID"/>
        </w:rPr>
        <w:t>penggunaan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anggaran</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lang w:val="id-ID"/>
        </w:rPr>
        <w:t>dimaksud</w:t>
      </w:r>
      <w:r w:rsidR="00A954D0" w:rsidRPr="003255BC">
        <w:rPr>
          <w:rFonts w:ascii="Bookman Old Style" w:hAnsi="Bookman Old Style"/>
          <w:color w:val="000000" w:themeColor="text1"/>
          <w:sz w:val="24"/>
          <w:szCs w:val="24"/>
          <w:lang w:val="sv-FI"/>
        </w:rPr>
        <w:t xml:space="preserve"> </w:t>
      </w:r>
      <w:r w:rsidRPr="003255BC">
        <w:rPr>
          <w:rFonts w:ascii="Bookman Old Style" w:hAnsi="Bookman Old Style"/>
          <w:color w:val="000000" w:themeColor="text1"/>
          <w:sz w:val="24"/>
          <w:szCs w:val="24"/>
          <w:lang w:val="sv-FI"/>
        </w:rPr>
        <w:t>sesuai</w:t>
      </w:r>
      <w:r w:rsidR="00A954D0" w:rsidRPr="003255BC">
        <w:rPr>
          <w:rFonts w:ascii="Bookman Old Style" w:hAnsi="Bookman Old Style"/>
          <w:color w:val="000000" w:themeColor="text1"/>
          <w:sz w:val="24"/>
          <w:szCs w:val="24"/>
          <w:lang w:val="sv-FI"/>
        </w:rPr>
        <w:t xml:space="preserve"> </w:t>
      </w:r>
      <w:r w:rsidRPr="003255BC">
        <w:rPr>
          <w:rFonts w:ascii="Bookman Old Style" w:hAnsi="Bookman Old Style"/>
          <w:color w:val="000000" w:themeColor="text1"/>
          <w:sz w:val="24"/>
          <w:szCs w:val="24"/>
          <w:lang w:val="sv-FI"/>
        </w:rPr>
        <w:lastRenderedPageBreak/>
        <w:t>dengan</w:t>
      </w:r>
      <w:r w:rsidR="00A954D0" w:rsidRPr="003255BC">
        <w:rPr>
          <w:rFonts w:ascii="Bookman Old Style" w:hAnsi="Bookman Old Style"/>
          <w:color w:val="000000" w:themeColor="text1"/>
          <w:sz w:val="24"/>
          <w:szCs w:val="24"/>
          <w:lang w:val="sv-FI"/>
        </w:rPr>
        <w:t xml:space="preserve"> </w:t>
      </w:r>
      <w:r w:rsidRPr="003255BC">
        <w:rPr>
          <w:rFonts w:ascii="Bookman Old Style" w:hAnsi="Bookman Old Style"/>
          <w:color w:val="000000" w:themeColor="text1"/>
          <w:sz w:val="24"/>
          <w:szCs w:val="24"/>
          <w:lang w:val="sv-FI"/>
        </w:rPr>
        <w:t>ketentuan</w:t>
      </w:r>
      <w:r w:rsidR="00A954D0" w:rsidRPr="003255BC">
        <w:rPr>
          <w:rFonts w:ascii="Bookman Old Style" w:hAnsi="Bookman Old Style"/>
          <w:color w:val="000000" w:themeColor="text1"/>
          <w:sz w:val="24"/>
          <w:szCs w:val="24"/>
          <w:lang w:val="sv-FI"/>
        </w:rPr>
        <w:t xml:space="preserve"> </w:t>
      </w:r>
      <w:r w:rsidRPr="003255BC">
        <w:rPr>
          <w:rFonts w:ascii="Bookman Old Style" w:hAnsi="Bookman Old Style"/>
          <w:color w:val="000000" w:themeColor="text1"/>
          <w:sz w:val="24"/>
          <w:szCs w:val="24"/>
          <w:lang w:val="sv-FI"/>
        </w:rPr>
        <w:t>peraturan</w:t>
      </w:r>
      <w:r w:rsidR="00A954D0" w:rsidRPr="003255BC">
        <w:rPr>
          <w:rFonts w:ascii="Bookman Old Style" w:hAnsi="Bookman Old Style"/>
          <w:color w:val="000000" w:themeColor="text1"/>
          <w:sz w:val="24"/>
          <w:szCs w:val="24"/>
          <w:lang w:val="sv-FI"/>
        </w:rPr>
        <w:t xml:space="preserve"> </w:t>
      </w:r>
      <w:r w:rsidRPr="003255BC">
        <w:rPr>
          <w:rFonts w:ascii="Bookman Old Style" w:hAnsi="Bookman Old Style"/>
          <w:color w:val="000000" w:themeColor="text1"/>
          <w:sz w:val="24"/>
          <w:szCs w:val="24"/>
          <w:lang w:val="sv-FI"/>
        </w:rPr>
        <w:t>perundang-undangan</w:t>
      </w:r>
      <w:r w:rsidR="00AC44F5">
        <w:rPr>
          <w:rFonts w:ascii="Bookman Old Style" w:hAnsi="Bookman Old Style"/>
          <w:color w:val="000000" w:themeColor="text1"/>
          <w:sz w:val="24"/>
          <w:szCs w:val="24"/>
          <w:lang w:val="sv-FI"/>
        </w:rPr>
        <w:t>;</w:t>
      </w:r>
    </w:p>
    <w:p w14:paraId="0FCA5456" w14:textId="76314415" w:rsidR="005A4806" w:rsidRPr="0061129F" w:rsidRDefault="005A4806" w:rsidP="00AC44F5">
      <w:pPr>
        <w:pStyle w:val="ListParagraph"/>
        <w:numPr>
          <w:ilvl w:val="0"/>
          <w:numId w:val="25"/>
        </w:numPr>
        <w:snapToGrid w:val="0"/>
        <w:spacing w:before="60" w:after="0" w:line="276" w:lineRule="auto"/>
        <w:ind w:left="3261" w:hanging="567"/>
        <w:contextualSpacing w:val="0"/>
        <w:jc w:val="both"/>
        <w:rPr>
          <w:rFonts w:ascii="Bookman Old Style" w:hAnsi="Bookman Old Style" w:cs="Tahoma"/>
          <w:color w:val="000000" w:themeColor="text1"/>
          <w:sz w:val="24"/>
          <w:szCs w:val="24"/>
        </w:rPr>
      </w:pPr>
      <w:r w:rsidRPr="00727324">
        <w:rPr>
          <w:rFonts w:ascii="Bookman Old Style" w:hAnsi="Bookman Old Style" w:cs="Tahoma"/>
          <w:color w:val="000000" w:themeColor="text1"/>
          <w:sz w:val="24"/>
          <w:szCs w:val="24"/>
        </w:rPr>
        <w:t>Belanja</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Tunjangan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Komunikasi</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lntensif</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Pimpinan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dan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Anggota</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DPRD</w:t>
      </w:r>
      <w:r w:rsidR="00A954D0">
        <w:rPr>
          <w:rFonts w:ascii="Bookman Old Style" w:hAnsi="Bookman Old Style" w:cs="Tahoma"/>
          <w:color w:val="000000" w:themeColor="text1"/>
          <w:sz w:val="24"/>
          <w:szCs w:val="24"/>
        </w:rPr>
        <w:t xml:space="preserve"> </w:t>
      </w:r>
      <w:r w:rsidRPr="003255BC">
        <w:rPr>
          <w:rFonts w:ascii="Bookman Old Style" w:hAnsi="Bookman Old Style" w:cs="Arial"/>
          <w:sz w:val="24"/>
          <w:szCs w:val="24"/>
          <w:lang w:val="sv-FI"/>
        </w:rPr>
        <w:t>Rp8.820.000.000,00</w:t>
      </w:r>
      <w:r w:rsidR="00A954D0" w:rsidRPr="003255BC">
        <w:rPr>
          <w:rFonts w:ascii="Bookman Old Style" w:hAnsi="Bookman Old Style" w:cs="Arial"/>
          <w:sz w:val="24"/>
          <w:szCs w:val="24"/>
          <w:lang w:val="sv-FI"/>
        </w:rPr>
        <w:t xml:space="preserve"> </w:t>
      </w:r>
      <w:r w:rsidRPr="003255BC">
        <w:rPr>
          <w:rFonts w:ascii="Bookman Old Style" w:hAnsi="Bookman Old Style"/>
          <w:color w:val="000000" w:themeColor="text1"/>
          <w:sz w:val="24"/>
          <w:szCs w:val="24"/>
          <w:lang w:val="sv-FI"/>
        </w:rPr>
        <w:t>dalam</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Rancangan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Peraturan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Daerah</w:t>
      </w:r>
      <w:r w:rsidR="00A954D0">
        <w:rPr>
          <w:rFonts w:ascii="Bookman Old Style" w:hAnsi="Bookman Old Style"/>
          <w:color w:val="FF0000"/>
          <w:sz w:val="24"/>
          <w:szCs w:val="24"/>
          <w:lang w:val="id-ID"/>
        </w:rPr>
        <w:t xml:space="preserve"> </w:t>
      </w:r>
      <w:r w:rsidRPr="00CC1448">
        <w:rPr>
          <w:rFonts w:ascii="Bookman Old Style" w:hAnsi="Bookman Old Style"/>
          <w:sz w:val="24"/>
          <w:szCs w:val="24"/>
          <w:lang w:val="id-ID"/>
        </w:rPr>
        <w:t>Kota</w:t>
      </w:r>
      <w:r w:rsidR="00A954D0">
        <w:rPr>
          <w:rFonts w:ascii="Bookman Old Style" w:hAnsi="Bookman Old Style"/>
          <w:sz w:val="24"/>
          <w:szCs w:val="24"/>
          <w:lang w:val="id-ID"/>
        </w:rPr>
        <w:t xml:space="preserve"> </w:t>
      </w:r>
      <w:r>
        <w:rPr>
          <w:rFonts w:ascii="Bookman Old Style" w:hAnsi="Bookman Old Style"/>
          <w:sz w:val="24"/>
          <w:szCs w:val="24"/>
          <w:lang w:val="fi-FI"/>
        </w:rPr>
        <w:t>Tangerang</w:t>
      </w:r>
      <w:r w:rsidR="00A954D0">
        <w:rPr>
          <w:rFonts w:ascii="Bookman Old Style" w:hAnsi="Bookman Old Style"/>
          <w:sz w:val="24"/>
          <w:szCs w:val="24"/>
        </w:rPr>
        <w:t xml:space="preserve"> </w:t>
      </w:r>
      <w:r w:rsidRPr="00727324">
        <w:rPr>
          <w:rFonts w:ascii="Bookman Old Style" w:hAnsi="Bookman Old Style"/>
          <w:color w:val="000000" w:themeColor="text1"/>
          <w:sz w:val="24"/>
          <w:szCs w:val="24"/>
        </w:rPr>
        <w:t>tentang</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APBD</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Tahun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Anggaran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202</w:t>
      </w:r>
      <w:r w:rsidRPr="003255BC">
        <w:rPr>
          <w:rFonts w:ascii="Bookman Old Style" w:hAnsi="Bookman Old Style"/>
          <w:color w:val="000000" w:themeColor="text1"/>
          <w:sz w:val="24"/>
          <w:szCs w:val="24"/>
          <w:lang w:val="sv-FI"/>
        </w:rPr>
        <w:t>5,</w:t>
      </w:r>
      <w:r w:rsidR="00A954D0" w:rsidRPr="003255BC">
        <w:rPr>
          <w:rFonts w:ascii="Bookman Old Style" w:hAnsi="Bookman Old Style"/>
          <w:color w:val="000000" w:themeColor="text1"/>
          <w:sz w:val="24"/>
          <w:szCs w:val="24"/>
          <w:lang w:val="sv-FI"/>
        </w:rPr>
        <w:t xml:space="preserve"> </w:t>
      </w:r>
      <w:r w:rsidRPr="003255BC">
        <w:rPr>
          <w:rFonts w:ascii="Bookman Old Style" w:hAnsi="Bookman Old Style" w:cs="Tahoma"/>
          <w:color w:val="000000" w:themeColor="text1"/>
          <w:sz w:val="24"/>
          <w:szCs w:val="24"/>
          <w:lang w:val="sv-FI"/>
        </w:rPr>
        <w:t>sebagaimana</w:t>
      </w:r>
      <w:r w:rsidR="00A954D0" w:rsidRPr="003255BC">
        <w:rPr>
          <w:rFonts w:ascii="Bookman Old Style" w:hAnsi="Bookman Old Style" w:cs="Tahoma"/>
          <w:color w:val="000000" w:themeColor="text1"/>
          <w:sz w:val="24"/>
          <w:szCs w:val="24"/>
          <w:lang w:val="sv-FI"/>
        </w:rPr>
        <w:t xml:space="preserve"> </w:t>
      </w:r>
      <w:r w:rsidRPr="00727324">
        <w:rPr>
          <w:rFonts w:ascii="Bookman Old Style" w:hAnsi="Bookman Old Style" w:cs="Tahoma"/>
          <w:color w:val="000000" w:themeColor="text1"/>
          <w:sz w:val="24"/>
          <w:szCs w:val="24"/>
        </w:rPr>
        <w:t>Tabel</w:t>
      </w:r>
      <w:r w:rsidR="00A954D0" w:rsidRPr="003255BC">
        <w:rPr>
          <w:rFonts w:ascii="Bookman Old Style" w:hAnsi="Bookman Old Style" w:cs="Tahoma"/>
          <w:color w:val="000000" w:themeColor="text1"/>
          <w:sz w:val="24"/>
          <w:szCs w:val="24"/>
          <w:lang w:val="sv-FI"/>
        </w:rPr>
        <w:t xml:space="preserve"> </w:t>
      </w:r>
      <w:r w:rsidRPr="003255BC">
        <w:rPr>
          <w:rFonts w:ascii="Bookman Old Style" w:hAnsi="Bookman Old Style" w:cs="Tahoma"/>
          <w:color w:val="000000" w:themeColor="text1"/>
          <w:sz w:val="24"/>
          <w:szCs w:val="24"/>
          <w:lang w:val="sv-FI"/>
        </w:rPr>
        <w:t>2</w:t>
      </w:r>
      <w:r w:rsidR="00AC44F5">
        <w:rPr>
          <w:rFonts w:ascii="Bookman Old Style" w:hAnsi="Bookman Old Style" w:cs="Tahoma"/>
          <w:color w:val="000000" w:themeColor="text1"/>
          <w:sz w:val="24"/>
          <w:szCs w:val="24"/>
          <w:lang w:val="sv-FI"/>
        </w:rPr>
        <w:t>1</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sebagai</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berikut</w:t>
      </w:r>
      <w:r w:rsidRPr="003255BC">
        <w:rPr>
          <w:rFonts w:ascii="Bookman Old Style" w:hAnsi="Bookman Old Style" w:cs="Tahoma"/>
          <w:color w:val="000000" w:themeColor="text1"/>
          <w:sz w:val="24"/>
          <w:szCs w:val="24"/>
          <w:lang w:val="sv-FI"/>
        </w:rPr>
        <w:t>:</w:t>
      </w:r>
    </w:p>
    <w:p w14:paraId="22895DEB" w14:textId="77777777" w:rsidR="0061129F" w:rsidRPr="00727324" w:rsidRDefault="0061129F" w:rsidP="0061129F">
      <w:pPr>
        <w:pStyle w:val="ListParagraph"/>
        <w:snapToGrid w:val="0"/>
        <w:spacing w:before="60" w:after="0" w:line="276" w:lineRule="auto"/>
        <w:ind w:left="3261"/>
        <w:contextualSpacing w:val="0"/>
        <w:jc w:val="both"/>
        <w:rPr>
          <w:rFonts w:ascii="Bookman Old Style" w:hAnsi="Bookman Old Style" w:cs="Tahoma"/>
          <w:color w:val="000000" w:themeColor="text1"/>
          <w:sz w:val="24"/>
          <w:szCs w:val="24"/>
        </w:rPr>
      </w:pPr>
    </w:p>
    <w:p w14:paraId="60122B20" w14:textId="398ADED2" w:rsidR="005A4806" w:rsidRPr="00727324" w:rsidRDefault="005A4806" w:rsidP="005A4806">
      <w:pPr>
        <w:pStyle w:val="ListParagraph"/>
        <w:spacing w:before="60" w:after="0" w:line="276" w:lineRule="auto"/>
        <w:ind w:left="3119"/>
        <w:contextualSpacing w:val="0"/>
        <w:jc w:val="center"/>
        <w:rPr>
          <w:rFonts w:ascii="Bookman Old Style" w:hAnsi="Bookman Old Style" w:cs="Tahoma"/>
          <w:color w:val="000000" w:themeColor="text1"/>
          <w:sz w:val="24"/>
          <w:szCs w:val="24"/>
        </w:rPr>
      </w:pPr>
      <w:r w:rsidRPr="00727324">
        <w:rPr>
          <w:rFonts w:ascii="Bookman Old Style" w:hAnsi="Bookman Old Style" w:cs="Tahoma"/>
          <w:color w:val="000000" w:themeColor="text1"/>
          <w:sz w:val="24"/>
          <w:szCs w:val="24"/>
        </w:rPr>
        <w:t>Tabel</w:t>
      </w:r>
      <w:r w:rsidR="00A954D0">
        <w:rPr>
          <w:rFonts w:ascii="Bookman Old Style" w:hAnsi="Bookman Old Style" w:cs="Tahoma"/>
          <w:color w:val="000000" w:themeColor="text1"/>
          <w:sz w:val="24"/>
          <w:szCs w:val="24"/>
          <w:lang w:val="sv-FI"/>
        </w:rPr>
        <w:t xml:space="preserve"> </w:t>
      </w:r>
      <w:r w:rsidRPr="00727324">
        <w:rPr>
          <w:rFonts w:ascii="Bookman Old Style" w:hAnsi="Bookman Old Style" w:cs="Tahoma"/>
          <w:color w:val="000000" w:themeColor="text1"/>
          <w:sz w:val="24"/>
          <w:szCs w:val="24"/>
          <w:lang w:val="sv-FI"/>
        </w:rPr>
        <w:t>2</w:t>
      </w:r>
      <w:r w:rsidR="00AC44F5">
        <w:rPr>
          <w:rFonts w:ascii="Bookman Old Style" w:hAnsi="Bookman Old Style" w:cs="Tahoma"/>
          <w:color w:val="000000" w:themeColor="text1"/>
          <w:sz w:val="24"/>
          <w:szCs w:val="24"/>
          <w:lang w:val="sv-FI"/>
        </w:rPr>
        <w:t>1</w:t>
      </w:r>
      <w:r w:rsidRPr="00727324">
        <w:rPr>
          <w:rFonts w:ascii="Bookman Old Style" w:hAnsi="Bookman Old Style" w:cs="Tahoma"/>
          <w:color w:val="000000" w:themeColor="text1"/>
          <w:sz w:val="24"/>
          <w:szCs w:val="24"/>
        </w:rPr>
        <w:br/>
        <w:t>Belanja</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Tunjangan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Komunikasi</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Intensif</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Pimpinan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dan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Anggota</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DPRD</w:t>
      </w:r>
    </w:p>
    <w:tbl>
      <w:tblPr>
        <w:tblW w:w="8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6"/>
        <w:gridCol w:w="2720"/>
        <w:gridCol w:w="1719"/>
        <w:gridCol w:w="1683"/>
        <w:gridCol w:w="1984"/>
      </w:tblGrid>
      <w:tr w:rsidR="005A4806" w:rsidRPr="00CA2C5E" w14:paraId="7AC72FAF" w14:textId="77777777" w:rsidTr="00CA2C5E">
        <w:trPr>
          <w:trHeight w:val="1022"/>
          <w:tblHeader/>
          <w:jc w:val="right"/>
        </w:trPr>
        <w:tc>
          <w:tcPr>
            <w:tcW w:w="536" w:type="dxa"/>
            <w:shd w:val="clear" w:color="000000" w:fill="FFFFFF"/>
            <w:vAlign w:val="center"/>
            <w:hideMark/>
          </w:tcPr>
          <w:p w14:paraId="7F49F565" w14:textId="43B07988" w:rsidR="005A4806" w:rsidRPr="00CA2C5E" w:rsidRDefault="005A4806" w:rsidP="0073264B">
            <w:pPr>
              <w:jc w:val="center"/>
              <w:rPr>
                <w:rFonts w:ascii="Bookman Old Style" w:hAnsi="Bookman Old Style"/>
                <w:b/>
                <w:bCs/>
                <w:sz w:val="20"/>
                <w:szCs w:val="20"/>
              </w:rPr>
            </w:pPr>
            <w:r w:rsidRPr="00CA2C5E">
              <w:rPr>
                <w:rFonts w:ascii="Bookman Old Style" w:hAnsi="Bookman Old Style"/>
                <w:b/>
                <w:bCs/>
                <w:sz w:val="20"/>
                <w:szCs w:val="20"/>
              </w:rPr>
              <w:t>No</w:t>
            </w:r>
          </w:p>
        </w:tc>
        <w:tc>
          <w:tcPr>
            <w:tcW w:w="2720" w:type="dxa"/>
            <w:shd w:val="clear" w:color="000000" w:fill="FFFFFF"/>
            <w:vAlign w:val="center"/>
            <w:hideMark/>
          </w:tcPr>
          <w:p w14:paraId="53581D99" w14:textId="0C46E840" w:rsidR="005A4806" w:rsidRPr="00CA2C5E" w:rsidRDefault="005A4806" w:rsidP="0073264B">
            <w:pPr>
              <w:jc w:val="center"/>
              <w:rPr>
                <w:rFonts w:ascii="Bookman Old Style" w:hAnsi="Bookman Old Style"/>
                <w:b/>
                <w:bCs/>
                <w:sz w:val="20"/>
                <w:szCs w:val="20"/>
              </w:rPr>
            </w:pPr>
            <w:r w:rsidRPr="00CA2C5E">
              <w:rPr>
                <w:rFonts w:ascii="Bookman Old Style" w:hAnsi="Bookman Old Style"/>
                <w:b/>
                <w:bCs/>
                <w:sz w:val="20"/>
                <w:szCs w:val="20"/>
              </w:rPr>
              <w:t>Komponen</w:t>
            </w:r>
            <w:r w:rsidR="00A954D0">
              <w:rPr>
                <w:rFonts w:ascii="Bookman Old Style" w:hAnsi="Bookman Old Style"/>
                <w:b/>
                <w:bCs/>
                <w:sz w:val="20"/>
                <w:szCs w:val="20"/>
              </w:rPr>
              <w:t xml:space="preserve"> </w:t>
            </w:r>
            <w:r w:rsidRPr="00CA2C5E">
              <w:rPr>
                <w:rFonts w:ascii="Bookman Old Style" w:hAnsi="Bookman Old Style"/>
                <w:b/>
                <w:bCs/>
                <w:sz w:val="20"/>
                <w:szCs w:val="20"/>
              </w:rPr>
              <w:t>Perhitungan</w:t>
            </w:r>
          </w:p>
        </w:tc>
        <w:tc>
          <w:tcPr>
            <w:tcW w:w="1719" w:type="dxa"/>
            <w:shd w:val="clear" w:color="000000" w:fill="FFFFFF"/>
            <w:vAlign w:val="center"/>
            <w:hideMark/>
          </w:tcPr>
          <w:p w14:paraId="767464CC" w14:textId="2D2560F9" w:rsidR="005A4806" w:rsidRPr="00CA2C5E" w:rsidRDefault="005A4806" w:rsidP="0073264B">
            <w:pPr>
              <w:jc w:val="center"/>
              <w:rPr>
                <w:rFonts w:ascii="Bookman Old Style" w:hAnsi="Bookman Old Style"/>
                <w:b/>
                <w:bCs/>
                <w:sz w:val="20"/>
                <w:szCs w:val="20"/>
                <w:lang w:val="sv-FI"/>
              </w:rPr>
            </w:pPr>
            <w:r w:rsidRPr="00CA2C5E">
              <w:rPr>
                <w:rFonts w:ascii="Bookman Old Style" w:hAnsi="Bookman Old Style"/>
                <w:b/>
                <w:bCs/>
                <w:sz w:val="20"/>
                <w:szCs w:val="20"/>
                <w:lang w:val="sv-FI"/>
              </w:rPr>
              <w:t>Jumlah</w:t>
            </w:r>
            <w:r w:rsidR="00A954D0">
              <w:rPr>
                <w:rFonts w:ascii="Bookman Old Style" w:hAnsi="Bookman Old Style"/>
                <w:b/>
                <w:bCs/>
                <w:sz w:val="20"/>
                <w:szCs w:val="20"/>
                <w:lang w:val="sv-FI"/>
              </w:rPr>
              <w:t xml:space="preserve"> </w:t>
            </w:r>
            <w:r w:rsidRPr="00CA2C5E">
              <w:rPr>
                <w:rFonts w:ascii="Bookman Old Style" w:hAnsi="Bookman Old Style"/>
                <w:b/>
                <w:bCs/>
                <w:sz w:val="20"/>
                <w:szCs w:val="20"/>
                <w:lang w:val="sv-FI"/>
              </w:rPr>
              <w:t>Pimpinan</w:t>
            </w:r>
            <w:r w:rsidR="00A954D0">
              <w:rPr>
                <w:rFonts w:ascii="Bookman Old Style" w:hAnsi="Bookman Old Style"/>
                <w:b/>
                <w:bCs/>
                <w:sz w:val="20"/>
                <w:szCs w:val="20"/>
                <w:lang w:val="sv-FI"/>
              </w:rPr>
              <w:t xml:space="preserve"> </w:t>
            </w:r>
            <w:r w:rsidRPr="00CA2C5E">
              <w:rPr>
                <w:rFonts w:ascii="Bookman Old Style" w:hAnsi="Bookman Old Style"/>
                <w:b/>
                <w:bCs/>
                <w:sz w:val="20"/>
                <w:szCs w:val="20"/>
                <w:lang w:val="sv-FI"/>
              </w:rPr>
              <w:t>dan</w:t>
            </w:r>
            <w:r w:rsidR="00A954D0">
              <w:rPr>
                <w:rFonts w:ascii="Bookman Old Style" w:hAnsi="Bookman Old Style"/>
                <w:b/>
                <w:bCs/>
                <w:sz w:val="20"/>
                <w:szCs w:val="20"/>
                <w:lang w:val="sv-FI"/>
              </w:rPr>
              <w:t xml:space="preserve"> </w:t>
            </w:r>
            <w:r w:rsidRPr="00CA2C5E">
              <w:rPr>
                <w:rFonts w:ascii="Bookman Old Style" w:hAnsi="Bookman Old Style"/>
                <w:b/>
                <w:bCs/>
                <w:sz w:val="20"/>
                <w:szCs w:val="20"/>
                <w:lang w:val="sv-FI"/>
              </w:rPr>
              <w:t>Anggota</w:t>
            </w:r>
            <w:r w:rsidR="00A954D0">
              <w:rPr>
                <w:rFonts w:ascii="Bookman Old Style" w:hAnsi="Bookman Old Style"/>
                <w:b/>
                <w:bCs/>
                <w:sz w:val="20"/>
                <w:szCs w:val="20"/>
                <w:lang w:val="sv-FI"/>
              </w:rPr>
              <w:t xml:space="preserve"> </w:t>
            </w:r>
            <w:r w:rsidRPr="00CA2C5E">
              <w:rPr>
                <w:rFonts w:ascii="Bookman Old Style" w:hAnsi="Bookman Old Style"/>
                <w:b/>
                <w:bCs/>
                <w:sz w:val="20"/>
                <w:szCs w:val="20"/>
                <w:lang w:val="sv-FI"/>
              </w:rPr>
              <w:t>DPRD</w:t>
            </w:r>
            <w:r w:rsidR="00A954D0">
              <w:rPr>
                <w:rFonts w:ascii="Bookman Old Style" w:hAnsi="Bookman Old Style"/>
                <w:b/>
                <w:bCs/>
                <w:sz w:val="20"/>
                <w:szCs w:val="20"/>
                <w:lang w:val="sv-FI"/>
              </w:rPr>
              <w:t xml:space="preserve"> </w:t>
            </w:r>
            <w:r w:rsidRPr="00CA2C5E">
              <w:rPr>
                <w:rFonts w:ascii="Bookman Old Style" w:hAnsi="Bookman Old Style"/>
                <w:b/>
                <w:bCs/>
                <w:sz w:val="20"/>
                <w:szCs w:val="20"/>
                <w:lang w:val="sv-FI"/>
              </w:rPr>
              <w:t>(Orang)</w:t>
            </w:r>
          </w:p>
        </w:tc>
        <w:tc>
          <w:tcPr>
            <w:tcW w:w="1683" w:type="dxa"/>
            <w:shd w:val="clear" w:color="000000" w:fill="FFFFFF"/>
            <w:vAlign w:val="center"/>
            <w:hideMark/>
          </w:tcPr>
          <w:p w14:paraId="6A4BEDBA" w14:textId="2EA447E7" w:rsidR="005A4806" w:rsidRPr="00CA2C5E" w:rsidRDefault="005A4806" w:rsidP="0073264B">
            <w:pPr>
              <w:jc w:val="center"/>
              <w:rPr>
                <w:rFonts w:ascii="Bookman Old Style" w:hAnsi="Bookman Old Style"/>
                <w:b/>
                <w:bCs/>
                <w:sz w:val="20"/>
                <w:szCs w:val="20"/>
                <w:lang w:val="sv-FI"/>
              </w:rPr>
            </w:pPr>
            <w:r w:rsidRPr="00CA2C5E">
              <w:rPr>
                <w:rFonts w:ascii="Bookman Old Style" w:hAnsi="Bookman Old Style"/>
                <w:b/>
                <w:bCs/>
                <w:sz w:val="20"/>
                <w:szCs w:val="20"/>
                <w:lang w:val="sv-FI"/>
              </w:rPr>
              <w:t>Uang</w:t>
            </w:r>
            <w:r w:rsidR="00A954D0">
              <w:rPr>
                <w:rFonts w:ascii="Bookman Old Style" w:hAnsi="Bookman Old Style"/>
                <w:b/>
                <w:bCs/>
                <w:sz w:val="20"/>
                <w:szCs w:val="20"/>
                <w:lang w:val="sv-FI"/>
              </w:rPr>
              <w:t xml:space="preserve"> </w:t>
            </w:r>
            <w:r w:rsidRPr="00CA2C5E">
              <w:rPr>
                <w:rFonts w:ascii="Bookman Old Style" w:hAnsi="Bookman Old Style"/>
                <w:b/>
                <w:bCs/>
                <w:sz w:val="20"/>
                <w:szCs w:val="20"/>
                <w:lang w:val="sv-FI"/>
              </w:rPr>
              <w:t>Representasi</w:t>
            </w:r>
            <w:r w:rsidR="00A954D0">
              <w:rPr>
                <w:rFonts w:ascii="Bookman Old Style" w:hAnsi="Bookman Old Style"/>
                <w:b/>
                <w:bCs/>
                <w:sz w:val="20"/>
                <w:szCs w:val="20"/>
                <w:lang w:val="sv-FI"/>
              </w:rPr>
              <w:t xml:space="preserve"> </w:t>
            </w:r>
            <w:r w:rsidRPr="00CA2C5E">
              <w:rPr>
                <w:rFonts w:ascii="Bookman Old Style" w:hAnsi="Bookman Old Style"/>
                <w:b/>
                <w:bCs/>
                <w:sz w:val="20"/>
                <w:szCs w:val="20"/>
                <w:lang w:val="sv-FI"/>
              </w:rPr>
              <w:t>Ketua</w:t>
            </w:r>
            <w:r w:rsidR="00A954D0">
              <w:rPr>
                <w:rFonts w:ascii="Bookman Old Style" w:hAnsi="Bookman Old Style"/>
                <w:b/>
                <w:bCs/>
                <w:sz w:val="20"/>
                <w:szCs w:val="20"/>
                <w:lang w:val="sv-FI"/>
              </w:rPr>
              <w:t xml:space="preserve"> </w:t>
            </w:r>
            <w:r w:rsidRPr="00CA2C5E">
              <w:rPr>
                <w:rFonts w:ascii="Bookman Old Style" w:hAnsi="Bookman Old Style"/>
                <w:b/>
                <w:bCs/>
                <w:sz w:val="20"/>
                <w:szCs w:val="20"/>
                <w:lang w:val="sv-FI"/>
              </w:rPr>
              <w:t>DPRD</w:t>
            </w:r>
          </w:p>
          <w:p w14:paraId="7DEBF014" w14:textId="77777777" w:rsidR="005A4806" w:rsidRPr="00CA2C5E" w:rsidRDefault="005A4806" w:rsidP="0073264B">
            <w:pPr>
              <w:jc w:val="center"/>
              <w:rPr>
                <w:rFonts w:ascii="Bookman Old Style" w:hAnsi="Bookman Old Style"/>
                <w:b/>
                <w:bCs/>
                <w:sz w:val="20"/>
                <w:szCs w:val="20"/>
                <w:lang w:val="sv-FI"/>
              </w:rPr>
            </w:pPr>
            <w:r w:rsidRPr="00CA2C5E">
              <w:rPr>
                <w:rFonts w:ascii="Bookman Old Style" w:hAnsi="Bookman Old Style"/>
                <w:b/>
                <w:bCs/>
                <w:sz w:val="20"/>
                <w:szCs w:val="20"/>
                <w:lang w:val="sv-FI"/>
              </w:rPr>
              <w:t>(Rp)</w:t>
            </w:r>
          </w:p>
        </w:tc>
        <w:tc>
          <w:tcPr>
            <w:tcW w:w="1984" w:type="dxa"/>
            <w:shd w:val="clear" w:color="000000" w:fill="FFFFFF"/>
            <w:vAlign w:val="center"/>
            <w:hideMark/>
          </w:tcPr>
          <w:p w14:paraId="5F66249A" w14:textId="77777777" w:rsidR="005A4806" w:rsidRPr="00CA2C5E" w:rsidRDefault="005A4806" w:rsidP="0073264B">
            <w:pPr>
              <w:jc w:val="center"/>
              <w:rPr>
                <w:rFonts w:ascii="Bookman Old Style" w:hAnsi="Bookman Old Style"/>
                <w:b/>
                <w:bCs/>
                <w:sz w:val="20"/>
                <w:szCs w:val="20"/>
              </w:rPr>
            </w:pPr>
            <w:r w:rsidRPr="00CA2C5E">
              <w:rPr>
                <w:rFonts w:ascii="Bookman Old Style" w:hAnsi="Bookman Old Style"/>
                <w:b/>
                <w:bCs/>
                <w:sz w:val="20"/>
                <w:szCs w:val="20"/>
              </w:rPr>
              <w:t>Jumlah</w:t>
            </w:r>
          </w:p>
          <w:p w14:paraId="6C97132A" w14:textId="77777777" w:rsidR="005A4806" w:rsidRPr="00CA2C5E" w:rsidRDefault="005A4806" w:rsidP="0073264B">
            <w:pPr>
              <w:jc w:val="center"/>
              <w:rPr>
                <w:rFonts w:ascii="Bookman Old Style" w:hAnsi="Bookman Old Style"/>
                <w:b/>
                <w:bCs/>
                <w:sz w:val="20"/>
                <w:szCs w:val="20"/>
              </w:rPr>
            </w:pPr>
            <w:r w:rsidRPr="00CA2C5E">
              <w:rPr>
                <w:rFonts w:ascii="Bookman Old Style" w:hAnsi="Bookman Old Style"/>
                <w:b/>
                <w:bCs/>
                <w:sz w:val="20"/>
                <w:szCs w:val="20"/>
              </w:rPr>
              <w:t>(Rp)</w:t>
            </w:r>
          </w:p>
        </w:tc>
      </w:tr>
      <w:tr w:rsidR="005A4806" w:rsidRPr="00CA2C5E" w14:paraId="0F026D3D" w14:textId="77777777" w:rsidTr="00CA2C5E">
        <w:trPr>
          <w:trHeight w:val="456"/>
          <w:jc w:val="right"/>
        </w:trPr>
        <w:tc>
          <w:tcPr>
            <w:tcW w:w="536" w:type="dxa"/>
            <w:shd w:val="clear" w:color="000000" w:fill="FFFFFF"/>
            <w:vAlign w:val="center"/>
            <w:hideMark/>
          </w:tcPr>
          <w:p w14:paraId="467D4F79" w14:textId="77777777" w:rsidR="005A4806" w:rsidRPr="00CA2C5E" w:rsidRDefault="005A4806" w:rsidP="0073264B">
            <w:pPr>
              <w:jc w:val="center"/>
              <w:rPr>
                <w:rFonts w:ascii="Bookman Old Style" w:hAnsi="Bookman Old Style" w:cs="Calibri"/>
                <w:sz w:val="20"/>
                <w:szCs w:val="20"/>
              </w:rPr>
            </w:pPr>
            <w:r w:rsidRPr="00CA2C5E">
              <w:rPr>
                <w:rFonts w:ascii="Bookman Old Style" w:hAnsi="Bookman Old Style" w:cs="Calibri"/>
                <w:sz w:val="20"/>
                <w:szCs w:val="20"/>
              </w:rPr>
              <w:t>1</w:t>
            </w:r>
          </w:p>
        </w:tc>
        <w:tc>
          <w:tcPr>
            <w:tcW w:w="2720" w:type="dxa"/>
            <w:shd w:val="clear" w:color="000000" w:fill="FFFFFF"/>
            <w:vAlign w:val="center"/>
            <w:hideMark/>
          </w:tcPr>
          <w:p w14:paraId="505EBB62" w14:textId="579F5893" w:rsidR="005A4806" w:rsidRPr="00CA2C5E" w:rsidRDefault="005A4806" w:rsidP="0073264B">
            <w:pPr>
              <w:rPr>
                <w:rFonts w:ascii="Bookman Old Style" w:hAnsi="Bookman Old Style"/>
                <w:sz w:val="20"/>
                <w:szCs w:val="20"/>
                <w:lang w:val="it-IT"/>
              </w:rPr>
            </w:pPr>
            <w:r w:rsidRPr="00CA2C5E">
              <w:rPr>
                <w:rFonts w:ascii="Bookman Old Style" w:hAnsi="Bookman Old Style"/>
                <w:sz w:val="20"/>
                <w:szCs w:val="20"/>
                <w:lang w:val="sv-FI"/>
              </w:rPr>
              <w:t>7</w:t>
            </w:r>
            <w:r w:rsidR="00A954D0">
              <w:rPr>
                <w:rFonts w:ascii="Bookman Old Style" w:hAnsi="Bookman Old Style"/>
                <w:sz w:val="20"/>
                <w:szCs w:val="20"/>
                <w:lang w:val="sv-FI"/>
              </w:rPr>
              <w:t xml:space="preserve"> </w:t>
            </w:r>
            <w:r w:rsidRPr="00CA2C5E">
              <w:rPr>
                <w:rFonts w:ascii="Bookman Old Style" w:hAnsi="Bookman Old Style"/>
                <w:sz w:val="20"/>
                <w:szCs w:val="20"/>
                <w:lang w:val="sv-FI"/>
              </w:rPr>
              <w:t>x</w:t>
            </w:r>
            <w:r w:rsidR="00A954D0">
              <w:rPr>
                <w:rFonts w:ascii="Bookman Old Style" w:hAnsi="Bookman Old Style"/>
                <w:sz w:val="20"/>
                <w:szCs w:val="20"/>
                <w:lang w:val="sv-FI"/>
              </w:rPr>
              <w:t xml:space="preserve"> </w:t>
            </w:r>
            <w:r w:rsidRPr="00CA2C5E">
              <w:rPr>
                <w:rFonts w:ascii="Bookman Old Style" w:hAnsi="Bookman Old Style"/>
                <w:sz w:val="20"/>
                <w:szCs w:val="20"/>
                <w:lang w:val="sv-FI"/>
              </w:rPr>
              <w:t>dari</w:t>
            </w:r>
            <w:r w:rsidR="00A954D0">
              <w:rPr>
                <w:rFonts w:ascii="Bookman Old Style" w:hAnsi="Bookman Old Style"/>
                <w:sz w:val="20"/>
                <w:szCs w:val="20"/>
                <w:lang w:val="sv-FI"/>
              </w:rPr>
              <w:t xml:space="preserve"> </w:t>
            </w:r>
            <w:r w:rsidRPr="00CA2C5E">
              <w:rPr>
                <w:rFonts w:ascii="Bookman Old Style" w:hAnsi="Bookman Old Style"/>
                <w:sz w:val="20"/>
                <w:szCs w:val="20"/>
                <w:lang w:val="sv-FI"/>
              </w:rPr>
              <w:t>uang</w:t>
            </w:r>
            <w:r w:rsidR="00A954D0">
              <w:rPr>
                <w:rFonts w:ascii="Bookman Old Style" w:hAnsi="Bookman Old Style"/>
                <w:sz w:val="20"/>
                <w:szCs w:val="20"/>
                <w:lang w:val="sv-FI"/>
              </w:rPr>
              <w:t xml:space="preserve"> </w:t>
            </w:r>
            <w:r w:rsidRPr="00CA2C5E">
              <w:rPr>
                <w:rFonts w:ascii="Bookman Old Style" w:hAnsi="Bookman Old Style"/>
                <w:sz w:val="20"/>
                <w:szCs w:val="20"/>
                <w:lang w:val="sv-FI"/>
              </w:rPr>
              <w:t>representasi</w:t>
            </w:r>
            <w:r w:rsidR="00A954D0">
              <w:rPr>
                <w:rFonts w:ascii="Bookman Old Style" w:hAnsi="Bookman Old Style"/>
                <w:sz w:val="20"/>
                <w:szCs w:val="20"/>
                <w:lang w:val="sv-FI"/>
              </w:rPr>
              <w:t xml:space="preserve"> </w:t>
            </w:r>
            <w:r w:rsidRPr="00CA2C5E">
              <w:rPr>
                <w:rFonts w:ascii="Bookman Old Style" w:hAnsi="Bookman Old Style"/>
                <w:sz w:val="20"/>
                <w:szCs w:val="20"/>
                <w:lang w:val="sv-FI"/>
              </w:rPr>
              <w:t>Ketua</w:t>
            </w:r>
            <w:r w:rsidR="00A954D0">
              <w:rPr>
                <w:rFonts w:ascii="Bookman Old Style" w:hAnsi="Bookman Old Style"/>
                <w:sz w:val="20"/>
                <w:szCs w:val="20"/>
                <w:lang w:val="sv-FI"/>
              </w:rPr>
              <w:t xml:space="preserve"> </w:t>
            </w:r>
            <w:r w:rsidRPr="00CA2C5E">
              <w:rPr>
                <w:rFonts w:ascii="Bookman Old Style" w:hAnsi="Bookman Old Style"/>
                <w:sz w:val="20"/>
                <w:szCs w:val="20"/>
                <w:lang w:val="sv-FI"/>
              </w:rPr>
              <w:t>DPRD</w:t>
            </w:r>
            <w:r w:rsidR="00A954D0">
              <w:rPr>
                <w:rFonts w:ascii="Bookman Old Style" w:hAnsi="Bookman Old Style"/>
                <w:sz w:val="20"/>
                <w:szCs w:val="20"/>
                <w:lang w:val="sv-FI"/>
              </w:rPr>
              <w:t xml:space="preserve"> </w:t>
            </w:r>
            <w:r w:rsidRPr="00CA2C5E">
              <w:rPr>
                <w:rFonts w:ascii="Bookman Old Style" w:hAnsi="Bookman Old Style"/>
                <w:sz w:val="20"/>
                <w:szCs w:val="20"/>
                <w:lang w:val="sv-FI"/>
              </w:rPr>
              <w:t>selama</w:t>
            </w:r>
            <w:r w:rsidR="00A954D0">
              <w:rPr>
                <w:rFonts w:ascii="Bookman Old Style" w:hAnsi="Bookman Old Style"/>
                <w:sz w:val="20"/>
                <w:szCs w:val="20"/>
                <w:lang w:val="sv-FI"/>
              </w:rPr>
              <w:t xml:space="preserve"> </w:t>
            </w:r>
            <w:r w:rsidRPr="00CA2C5E">
              <w:rPr>
                <w:rFonts w:ascii="Bookman Old Style" w:hAnsi="Bookman Old Style"/>
                <w:sz w:val="20"/>
                <w:szCs w:val="20"/>
                <w:lang w:val="sv-FI"/>
              </w:rPr>
              <w:t>12</w:t>
            </w:r>
            <w:r w:rsidR="00A954D0">
              <w:rPr>
                <w:rFonts w:ascii="Bookman Old Style" w:hAnsi="Bookman Old Style"/>
                <w:sz w:val="20"/>
                <w:szCs w:val="20"/>
                <w:lang w:val="sv-FI"/>
              </w:rPr>
              <w:t xml:space="preserve"> </w:t>
            </w:r>
            <w:r w:rsidRPr="00CA2C5E">
              <w:rPr>
                <w:rFonts w:ascii="Bookman Old Style" w:hAnsi="Bookman Old Style"/>
                <w:sz w:val="20"/>
                <w:szCs w:val="20"/>
                <w:lang w:val="sv-FI"/>
              </w:rPr>
              <w:t>Bulan</w:t>
            </w:r>
            <w:r w:rsidR="00A954D0">
              <w:rPr>
                <w:rFonts w:ascii="Bookman Old Style" w:hAnsi="Bookman Old Style"/>
                <w:sz w:val="20"/>
                <w:szCs w:val="20"/>
                <w:lang w:val="sv-FI"/>
              </w:rPr>
              <w:t xml:space="preserve"> </w:t>
            </w:r>
          </w:p>
        </w:tc>
        <w:tc>
          <w:tcPr>
            <w:tcW w:w="1719" w:type="dxa"/>
            <w:shd w:val="clear" w:color="000000" w:fill="FFFFFF"/>
            <w:vAlign w:val="center"/>
          </w:tcPr>
          <w:p w14:paraId="5D47840E" w14:textId="77777777" w:rsidR="005A4806" w:rsidRPr="00CA2C5E" w:rsidRDefault="005A4806" w:rsidP="0073264B">
            <w:pPr>
              <w:jc w:val="center"/>
              <w:rPr>
                <w:rFonts w:ascii="Bookman Old Style" w:hAnsi="Bookman Old Style"/>
                <w:sz w:val="20"/>
                <w:szCs w:val="20"/>
                <w:lang w:val="it-IT"/>
              </w:rPr>
            </w:pPr>
            <w:r w:rsidRPr="00CA2C5E">
              <w:rPr>
                <w:rFonts w:ascii="Bookman Old Style" w:hAnsi="Bookman Old Style" w:cs="Calibri"/>
                <w:color w:val="000000"/>
                <w:sz w:val="20"/>
                <w:szCs w:val="20"/>
                <w:lang w:val="it-IT"/>
              </w:rPr>
              <w:t>50</w:t>
            </w:r>
          </w:p>
        </w:tc>
        <w:tc>
          <w:tcPr>
            <w:tcW w:w="1683" w:type="dxa"/>
            <w:shd w:val="clear" w:color="000000" w:fill="FFFFFF"/>
            <w:vAlign w:val="center"/>
          </w:tcPr>
          <w:p w14:paraId="1BA1E4AE" w14:textId="3E4159EB" w:rsidR="005A4806" w:rsidRPr="00CA2C5E" w:rsidRDefault="005A4806" w:rsidP="0073264B">
            <w:pPr>
              <w:jc w:val="right"/>
              <w:rPr>
                <w:rFonts w:ascii="Bookman Old Style" w:hAnsi="Bookman Old Style"/>
                <w:sz w:val="20"/>
                <w:szCs w:val="20"/>
                <w:lang w:val="it-IT"/>
              </w:rPr>
            </w:pPr>
            <w:r w:rsidRPr="00CA2C5E">
              <w:rPr>
                <w:rFonts w:ascii="Bookman Old Style" w:hAnsi="Bookman Old Style" w:cs="Calibri"/>
                <w:color w:val="000000"/>
                <w:sz w:val="20"/>
                <w:szCs w:val="20"/>
                <w:lang w:val="sv-FI"/>
              </w:rPr>
              <w:t>2.100.000</w:t>
            </w:r>
            <w:r w:rsidR="00CA2C5E">
              <w:rPr>
                <w:rFonts w:ascii="Bookman Old Style" w:hAnsi="Bookman Old Style" w:cs="Calibri"/>
                <w:color w:val="000000"/>
                <w:sz w:val="20"/>
                <w:szCs w:val="20"/>
                <w:lang w:val="sv-FI"/>
              </w:rPr>
              <w:t>,00</w:t>
            </w:r>
            <w:r w:rsidR="00A954D0">
              <w:rPr>
                <w:rFonts w:ascii="Bookman Old Style" w:hAnsi="Bookman Old Style" w:cs="Calibri"/>
                <w:color w:val="000000"/>
                <w:sz w:val="20"/>
                <w:szCs w:val="20"/>
                <w:lang w:val="sv-FI"/>
              </w:rPr>
              <w:t xml:space="preserve"> </w:t>
            </w:r>
          </w:p>
        </w:tc>
        <w:tc>
          <w:tcPr>
            <w:tcW w:w="1984" w:type="dxa"/>
            <w:shd w:val="clear" w:color="000000" w:fill="FFFFFF"/>
            <w:vAlign w:val="center"/>
          </w:tcPr>
          <w:p w14:paraId="2CCEA7A7" w14:textId="72DD4071" w:rsidR="005A4806" w:rsidRPr="00CA2C5E" w:rsidRDefault="005A4806" w:rsidP="0073264B">
            <w:pPr>
              <w:jc w:val="right"/>
              <w:rPr>
                <w:rFonts w:ascii="Bookman Old Style" w:hAnsi="Bookman Old Style"/>
                <w:sz w:val="20"/>
                <w:szCs w:val="20"/>
                <w:lang w:val="it-IT"/>
              </w:rPr>
            </w:pPr>
            <w:r w:rsidRPr="00CA2C5E">
              <w:rPr>
                <w:rFonts w:ascii="Bookman Old Style" w:hAnsi="Bookman Old Style" w:cs="Calibri"/>
                <w:color w:val="000000"/>
                <w:sz w:val="20"/>
                <w:szCs w:val="20"/>
                <w:lang w:val="it-IT"/>
              </w:rPr>
              <w:t>8.820.000.000</w:t>
            </w:r>
            <w:r w:rsidR="00CA2C5E">
              <w:rPr>
                <w:rFonts w:ascii="Bookman Old Style" w:hAnsi="Bookman Old Style" w:cs="Calibri"/>
                <w:color w:val="000000"/>
                <w:sz w:val="20"/>
                <w:szCs w:val="20"/>
                <w:lang w:val="sv-FI"/>
              </w:rPr>
              <w:t>,00</w:t>
            </w:r>
          </w:p>
        </w:tc>
      </w:tr>
      <w:tr w:rsidR="00875947" w:rsidRPr="00CA2C5E" w14:paraId="29042D5D" w14:textId="77777777" w:rsidTr="00327538">
        <w:trPr>
          <w:trHeight w:val="258"/>
          <w:jc w:val="right"/>
        </w:trPr>
        <w:tc>
          <w:tcPr>
            <w:tcW w:w="536" w:type="dxa"/>
            <w:tcBorders>
              <w:bottom w:val="single" w:sz="4" w:space="0" w:color="000000"/>
            </w:tcBorders>
            <w:shd w:val="clear" w:color="000000" w:fill="FFFFFF"/>
            <w:vAlign w:val="center"/>
            <w:hideMark/>
          </w:tcPr>
          <w:p w14:paraId="0316AF82" w14:textId="77777777" w:rsidR="00875947" w:rsidRPr="00CA2C5E" w:rsidRDefault="00875947" w:rsidP="0073264B">
            <w:pPr>
              <w:jc w:val="center"/>
              <w:rPr>
                <w:rFonts w:ascii="Bookman Old Style" w:hAnsi="Bookman Old Style" w:cs="Calibri"/>
                <w:sz w:val="20"/>
                <w:szCs w:val="20"/>
              </w:rPr>
            </w:pPr>
            <w:r w:rsidRPr="00CA2C5E">
              <w:rPr>
                <w:rFonts w:ascii="Bookman Old Style" w:hAnsi="Bookman Old Style" w:cs="Calibri"/>
                <w:sz w:val="20"/>
                <w:szCs w:val="20"/>
              </w:rPr>
              <w:t>2</w:t>
            </w:r>
          </w:p>
        </w:tc>
        <w:tc>
          <w:tcPr>
            <w:tcW w:w="6122" w:type="dxa"/>
            <w:gridSpan w:val="3"/>
            <w:tcBorders>
              <w:bottom w:val="single" w:sz="4" w:space="0" w:color="000000"/>
            </w:tcBorders>
            <w:shd w:val="clear" w:color="000000" w:fill="FFFFFF"/>
            <w:vAlign w:val="center"/>
            <w:hideMark/>
          </w:tcPr>
          <w:p w14:paraId="2052369B" w14:textId="61E878BF" w:rsidR="00875947" w:rsidRPr="00875947" w:rsidRDefault="00875947" w:rsidP="0073264B">
            <w:pPr>
              <w:rPr>
                <w:rFonts w:ascii="Bookman Old Style" w:hAnsi="Bookman Old Style"/>
                <w:sz w:val="20"/>
                <w:szCs w:val="20"/>
                <w:lang w:val="fi-FI"/>
              </w:rPr>
            </w:pPr>
            <w:r w:rsidRPr="00CA2C5E">
              <w:rPr>
                <w:rFonts w:ascii="Bookman Old Style" w:hAnsi="Bookman Old Style"/>
                <w:sz w:val="20"/>
                <w:szCs w:val="20"/>
                <w:lang w:val="sv-FI"/>
              </w:rPr>
              <w:t>Alokasi</w:t>
            </w:r>
            <w:r>
              <w:rPr>
                <w:rFonts w:ascii="Bookman Old Style" w:hAnsi="Bookman Old Style"/>
                <w:sz w:val="20"/>
                <w:szCs w:val="20"/>
                <w:lang w:val="sv-FI"/>
              </w:rPr>
              <w:t xml:space="preserve"> </w:t>
            </w:r>
            <w:r w:rsidRPr="00CA2C5E">
              <w:rPr>
                <w:rFonts w:ascii="Bookman Old Style" w:hAnsi="Bookman Old Style"/>
                <w:sz w:val="20"/>
                <w:szCs w:val="20"/>
                <w:lang w:val="sv-FI"/>
              </w:rPr>
              <w:t>Tunjangan</w:t>
            </w:r>
            <w:r>
              <w:rPr>
                <w:rFonts w:ascii="Bookman Old Style" w:hAnsi="Bookman Old Style"/>
                <w:sz w:val="20"/>
                <w:szCs w:val="20"/>
                <w:lang w:val="sv-FI"/>
              </w:rPr>
              <w:t xml:space="preserve"> </w:t>
            </w:r>
            <w:r w:rsidRPr="00CA2C5E">
              <w:rPr>
                <w:rFonts w:ascii="Bookman Old Style" w:hAnsi="Bookman Old Style"/>
                <w:sz w:val="20"/>
                <w:szCs w:val="20"/>
                <w:lang w:val="sv-FI"/>
              </w:rPr>
              <w:t>Komunikasi</w:t>
            </w:r>
            <w:r>
              <w:rPr>
                <w:rFonts w:ascii="Bookman Old Style" w:hAnsi="Bookman Old Style"/>
                <w:sz w:val="20"/>
                <w:szCs w:val="20"/>
                <w:lang w:val="sv-FI"/>
              </w:rPr>
              <w:t xml:space="preserve"> </w:t>
            </w:r>
            <w:r w:rsidRPr="00CA2C5E">
              <w:rPr>
                <w:rFonts w:ascii="Bookman Old Style" w:hAnsi="Bookman Old Style"/>
                <w:sz w:val="20"/>
                <w:szCs w:val="20"/>
                <w:lang w:val="sv-FI"/>
              </w:rPr>
              <w:t>lntensif</w:t>
            </w:r>
            <w:r>
              <w:rPr>
                <w:rFonts w:ascii="Bookman Old Style" w:hAnsi="Bookman Old Style"/>
                <w:sz w:val="20"/>
                <w:szCs w:val="20"/>
                <w:lang w:val="sv-FI"/>
              </w:rPr>
              <w:t xml:space="preserve"> </w:t>
            </w:r>
            <w:r w:rsidRPr="00CA2C5E">
              <w:rPr>
                <w:rFonts w:ascii="Bookman Old Style" w:hAnsi="Bookman Old Style"/>
                <w:sz w:val="20"/>
                <w:szCs w:val="20"/>
                <w:lang w:val="sv-FI"/>
              </w:rPr>
              <w:t>pada</w:t>
            </w:r>
            <w:r>
              <w:rPr>
                <w:rFonts w:ascii="Bookman Old Style" w:hAnsi="Bookman Old Style"/>
                <w:sz w:val="20"/>
                <w:szCs w:val="20"/>
                <w:lang w:val="sv-FI"/>
              </w:rPr>
              <w:t xml:space="preserve"> </w:t>
            </w:r>
            <w:r w:rsidRPr="00CA2C5E">
              <w:rPr>
                <w:rFonts w:ascii="Bookman Old Style" w:hAnsi="Bookman Old Style"/>
                <w:sz w:val="20"/>
                <w:szCs w:val="20"/>
                <w:lang w:val="sv-FI"/>
              </w:rPr>
              <w:t>APBD</w:t>
            </w:r>
            <w:r>
              <w:rPr>
                <w:rFonts w:ascii="Bookman Old Style" w:hAnsi="Bookman Old Style"/>
                <w:sz w:val="20"/>
                <w:szCs w:val="20"/>
                <w:lang w:val="sv-FI"/>
              </w:rPr>
              <w:t xml:space="preserve"> </w:t>
            </w:r>
          </w:p>
        </w:tc>
        <w:tc>
          <w:tcPr>
            <w:tcW w:w="1984" w:type="dxa"/>
            <w:tcBorders>
              <w:bottom w:val="single" w:sz="4" w:space="0" w:color="000000"/>
            </w:tcBorders>
            <w:shd w:val="clear" w:color="000000" w:fill="FFFFFF"/>
            <w:vAlign w:val="center"/>
          </w:tcPr>
          <w:p w14:paraId="0D058D23" w14:textId="0B15F3CF" w:rsidR="00875947" w:rsidRPr="00CA2C5E" w:rsidRDefault="00875947" w:rsidP="0073264B">
            <w:pPr>
              <w:jc w:val="right"/>
              <w:rPr>
                <w:rFonts w:ascii="Bookman Old Style" w:hAnsi="Bookman Old Style"/>
                <w:sz w:val="20"/>
                <w:szCs w:val="20"/>
                <w:lang w:val="it-IT"/>
              </w:rPr>
            </w:pPr>
            <w:r w:rsidRPr="00CA2C5E">
              <w:rPr>
                <w:rFonts w:ascii="Bookman Old Style" w:hAnsi="Bookman Old Style" w:cs="Calibri"/>
                <w:color w:val="000000"/>
                <w:sz w:val="20"/>
                <w:szCs w:val="20"/>
                <w:lang w:val="it-IT"/>
              </w:rPr>
              <w:t>8.820.000.000</w:t>
            </w:r>
            <w:r>
              <w:rPr>
                <w:rFonts w:ascii="Bookman Old Style" w:hAnsi="Bookman Old Style" w:cs="Calibri"/>
                <w:color w:val="000000"/>
                <w:sz w:val="20"/>
                <w:szCs w:val="20"/>
                <w:lang w:val="sv-FI"/>
              </w:rPr>
              <w:t>,00</w:t>
            </w:r>
            <w:r>
              <w:rPr>
                <w:rFonts w:ascii="Bookman Old Style" w:hAnsi="Bookman Old Style" w:cs="Calibri"/>
                <w:color w:val="000000"/>
                <w:sz w:val="20"/>
                <w:szCs w:val="20"/>
                <w:lang w:val="it-IT"/>
              </w:rPr>
              <w:t xml:space="preserve"> </w:t>
            </w:r>
          </w:p>
        </w:tc>
      </w:tr>
      <w:tr w:rsidR="00875947" w:rsidRPr="00CA2C5E" w14:paraId="7E21D482" w14:textId="77777777" w:rsidTr="00327538">
        <w:trPr>
          <w:trHeight w:val="96"/>
          <w:jc w:val="right"/>
        </w:trPr>
        <w:tc>
          <w:tcPr>
            <w:tcW w:w="536" w:type="dxa"/>
            <w:tcBorders>
              <w:bottom w:val="single" w:sz="4" w:space="0" w:color="auto"/>
            </w:tcBorders>
            <w:shd w:val="clear" w:color="000000" w:fill="FFFFFF"/>
            <w:vAlign w:val="center"/>
            <w:hideMark/>
          </w:tcPr>
          <w:p w14:paraId="204D24B9" w14:textId="77777777" w:rsidR="00875947" w:rsidRPr="00CA2C5E" w:rsidRDefault="00875947" w:rsidP="0073264B">
            <w:pPr>
              <w:jc w:val="center"/>
              <w:rPr>
                <w:rFonts w:ascii="Bookman Old Style" w:hAnsi="Bookman Old Style" w:cs="Calibri"/>
                <w:sz w:val="20"/>
                <w:szCs w:val="20"/>
              </w:rPr>
            </w:pPr>
            <w:r w:rsidRPr="00CA2C5E">
              <w:rPr>
                <w:rFonts w:ascii="Bookman Old Style" w:hAnsi="Bookman Old Style" w:cs="Calibri"/>
                <w:sz w:val="20"/>
                <w:szCs w:val="20"/>
              </w:rPr>
              <w:t>3</w:t>
            </w:r>
          </w:p>
        </w:tc>
        <w:tc>
          <w:tcPr>
            <w:tcW w:w="6122" w:type="dxa"/>
            <w:gridSpan w:val="3"/>
            <w:tcBorders>
              <w:bottom w:val="single" w:sz="4" w:space="0" w:color="auto"/>
            </w:tcBorders>
            <w:shd w:val="clear" w:color="000000" w:fill="FFFFFF"/>
            <w:vAlign w:val="center"/>
            <w:hideMark/>
          </w:tcPr>
          <w:p w14:paraId="20F4AE68" w14:textId="00F31AF2" w:rsidR="00875947" w:rsidRPr="00875947" w:rsidRDefault="00875947" w:rsidP="0073264B">
            <w:pPr>
              <w:rPr>
                <w:rFonts w:ascii="Bookman Old Style" w:hAnsi="Bookman Old Style"/>
                <w:sz w:val="20"/>
                <w:szCs w:val="20"/>
              </w:rPr>
            </w:pPr>
            <w:r w:rsidRPr="00CA2C5E">
              <w:rPr>
                <w:rFonts w:ascii="Bookman Old Style" w:hAnsi="Bookman Old Style"/>
                <w:sz w:val="20"/>
                <w:szCs w:val="20"/>
              </w:rPr>
              <w:t>Selisih</w:t>
            </w:r>
          </w:p>
        </w:tc>
        <w:tc>
          <w:tcPr>
            <w:tcW w:w="1984" w:type="dxa"/>
            <w:tcBorders>
              <w:bottom w:val="single" w:sz="4" w:space="0" w:color="auto"/>
            </w:tcBorders>
            <w:shd w:val="clear" w:color="000000" w:fill="FFFFFF"/>
            <w:vAlign w:val="center"/>
          </w:tcPr>
          <w:p w14:paraId="65D381A7" w14:textId="39CB8E35" w:rsidR="00875947" w:rsidRPr="00CA2C5E" w:rsidRDefault="00875947" w:rsidP="0073264B">
            <w:pPr>
              <w:jc w:val="right"/>
              <w:rPr>
                <w:rFonts w:ascii="Bookman Old Style" w:hAnsi="Bookman Old Style"/>
                <w:sz w:val="20"/>
                <w:szCs w:val="20"/>
              </w:rPr>
            </w:pPr>
            <w:r w:rsidRPr="00CA2C5E">
              <w:rPr>
                <w:rFonts w:ascii="Bookman Old Style" w:hAnsi="Bookman Old Style" w:cs="Calibri"/>
                <w:color w:val="000000"/>
                <w:sz w:val="20"/>
                <w:szCs w:val="20"/>
              </w:rPr>
              <w:t>-</w:t>
            </w:r>
            <w:r>
              <w:rPr>
                <w:rFonts w:ascii="Bookman Old Style" w:hAnsi="Bookman Old Style" w:cs="Calibri"/>
                <w:color w:val="000000"/>
                <w:sz w:val="20"/>
                <w:szCs w:val="20"/>
              </w:rPr>
              <w:t xml:space="preserve"> </w:t>
            </w:r>
          </w:p>
        </w:tc>
      </w:tr>
    </w:tbl>
    <w:p w14:paraId="72E26E31" w14:textId="7A8C924B" w:rsidR="005A4806" w:rsidRPr="003255BC" w:rsidRDefault="005A4806" w:rsidP="00AC44F5">
      <w:pPr>
        <w:pStyle w:val="NormalWeb"/>
        <w:snapToGrid w:val="0"/>
        <w:spacing w:before="60" w:beforeAutospacing="0" w:after="0" w:afterAutospacing="0" w:line="276" w:lineRule="auto"/>
        <w:ind w:left="3261"/>
        <w:jc w:val="both"/>
        <w:rPr>
          <w:rFonts w:ascii="Bookman Old Style" w:hAnsi="Bookman Old Style"/>
          <w:color w:val="000000" w:themeColor="text1"/>
          <w:highlight w:val="yellow"/>
        </w:rPr>
      </w:pPr>
      <w:r w:rsidRPr="003255BC">
        <w:rPr>
          <w:rFonts w:ascii="Bookman Old Style" w:hAnsi="Bookman Old Style"/>
          <w:color w:val="000000" w:themeColor="text1"/>
        </w:rPr>
        <w:t>Berdasarkan</w:t>
      </w:r>
      <w:r w:rsidR="00A954D0" w:rsidRPr="003255BC">
        <w:rPr>
          <w:rFonts w:ascii="Bookman Old Style" w:hAnsi="Bookman Old Style"/>
          <w:color w:val="000000" w:themeColor="text1"/>
        </w:rPr>
        <w:t xml:space="preserve"> </w:t>
      </w:r>
      <w:r w:rsidRPr="003255BC">
        <w:rPr>
          <w:rFonts w:ascii="Bookman Old Style" w:hAnsi="Bookman Old Style"/>
          <w:color w:val="000000" w:themeColor="text1"/>
        </w:rPr>
        <w:t>tabel</w:t>
      </w:r>
      <w:r w:rsidR="00A954D0" w:rsidRPr="003255BC">
        <w:rPr>
          <w:rFonts w:ascii="Bookman Old Style" w:hAnsi="Bookman Old Style" w:cs="Arial"/>
          <w:color w:val="000000" w:themeColor="text1"/>
        </w:rPr>
        <w:t xml:space="preserve"> </w:t>
      </w:r>
      <w:r w:rsidRPr="003255BC">
        <w:rPr>
          <w:rFonts w:ascii="Bookman Old Style" w:hAnsi="Bookman Old Style" w:cs="Arial"/>
          <w:color w:val="000000" w:themeColor="text1"/>
        </w:rPr>
        <w:t>sebagaimana</w:t>
      </w:r>
      <w:r w:rsidR="00A954D0" w:rsidRPr="003255BC">
        <w:rPr>
          <w:rFonts w:ascii="Bookman Old Style" w:hAnsi="Bookman Old Style"/>
          <w:color w:val="000000" w:themeColor="text1"/>
        </w:rPr>
        <w:t xml:space="preserve"> </w:t>
      </w:r>
      <w:r w:rsidRPr="003255BC">
        <w:rPr>
          <w:rFonts w:ascii="Bookman Old Style" w:hAnsi="Bookman Old Style"/>
          <w:color w:val="000000" w:themeColor="text1"/>
        </w:rPr>
        <w:t>di</w:t>
      </w:r>
      <w:r w:rsidR="00A954D0" w:rsidRPr="003255BC">
        <w:rPr>
          <w:rFonts w:ascii="Bookman Old Style" w:hAnsi="Bookman Old Style"/>
          <w:color w:val="000000" w:themeColor="text1"/>
        </w:rPr>
        <w:t xml:space="preserve"> </w:t>
      </w:r>
      <w:r w:rsidRPr="003255BC">
        <w:rPr>
          <w:rFonts w:ascii="Bookman Old Style" w:hAnsi="Bookman Old Style"/>
          <w:color w:val="000000" w:themeColor="text1"/>
        </w:rPr>
        <w:t>atas,</w:t>
      </w:r>
      <w:r w:rsidR="00A954D0" w:rsidRPr="003255BC">
        <w:rPr>
          <w:rFonts w:ascii="Bookman Old Style" w:hAnsi="Bookman Old Style"/>
          <w:color w:val="000000" w:themeColor="text1"/>
        </w:rPr>
        <w:t xml:space="preserve"> </w:t>
      </w:r>
      <w:r w:rsidRPr="003255BC">
        <w:rPr>
          <w:rFonts w:ascii="Bookman Old Style" w:hAnsi="Bookman Old Style"/>
          <w:color w:val="000000" w:themeColor="text1"/>
        </w:rPr>
        <w:t>Pemerintah</w:t>
      </w:r>
      <w:r w:rsidR="00A954D0" w:rsidRPr="003255BC">
        <w:rPr>
          <w:rFonts w:ascii="Bookman Old Style" w:hAnsi="Bookman Old Style"/>
          <w:color w:val="000000" w:themeColor="text1"/>
        </w:rPr>
        <w:t xml:space="preserve"> </w:t>
      </w:r>
      <w:r w:rsidRPr="003255BC">
        <w:rPr>
          <w:rFonts w:ascii="Bookman Old Style" w:hAnsi="Bookman Old Style"/>
          <w:color w:val="000000" w:themeColor="text1"/>
        </w:rPr>
        <w:t>Daerah</w:t>
      </w:r>
      <w:r w:rsidR="00A954D0">
        <w:rPr>
          <w:rFonts w:ascii="Bookman Old Style" w:hAnsi="Bookman Old Style"/>
          <w:color w:val="FF0000"/>
          <w:lang w:val="id-ID"/>
        </w:rPr>
        <w:t xml:space="preserve"> </w:t>
      </w:r>
      <w:r>
        <w:rPr>
          <w:rFonts w:ascii="Bookman Old Style" w:hAnsi="Bookman Old Style"/>
          <w:lang w:val="fi-FI"/>
        </w:rPr>
        <w:t>Tangerang</w:t>
      </w:r>
      <w:r w:rsidR="00A954D0">
        <w:rPr>
          <w:rFonts w:ascii="Bookman Old Style" w:hAnsi="Bookman Old Style"/>
        </w:rPr>
        <w:t xml:space="preserve"> </w:t>
      </w:r>
      <w:r w:rsidRPr="003255BC">
        <w:rPr>
          <w:rFonts w:ascii="Bookman Old Style" w:hAnsi="Bookman Old Style"/>
          <w:b/>
          <w:bCs/>
          <w:color w:val="000000" w:themeColor="text1"/>
        </w:rPr>
        <w:t>telah</w:t>
      </w:r>
      <w:r w:rsidR="00A954D0" w:rsidRPr="003255BC">
        <w:rPr>
          <w:rFonts w:ascii="Bookman Old Style" w:hAnsi="Bookman Old Style"/>
          <w:b/>
          <w:bCs/>
          <w:color w:val="000000" w:themeColor="text1"/>
        </w:rPr>
        <w:t xml:space="preserve"> </w:t>
      </w:r>
      <w:r w:rsidRPr="003255BC">
        <w:rPr>
          <w:rFonts w:ascii="Bookman Old Style" w:hAnsi="Bookman Old Style"/>
          <w:b/>
          <w:bCs/>
          <w:color w:val="000000" w:themeColor="text1"/>
        </w:rPr>
        <w:t>memenuhi</w:t>
      </w:r>
      <w:r w:rsidR="00A954D0" w:rsidRPr="003255BC">
        <w:rPr>
          <w:rFonts w:ascii="Bookman Old Style" w:hAnsi="Bookman Old Style"/>
          <w:color w:val="000000" w:themeColor="text1"/>
        </w:rPr>
        <w:t xml:space="preserve"> </w:t>
      </w:r>
      <w:r w:rsidRPr="003255BC">
        <w:rPr>
          <w:rFonts w:ascii="Bookman Old Style" w:hAnsi="Bookman Old Style"/>
          <w:color w:val="000000" w:themeColor="text1"/>
        </w:rPr>
        <w:t>amanat</w:t>
      </w:r>
      <w:r w:rsidR="00A954D0" w:rsidRPr="003255BC">
        <w:rPr>
          <w:rFonts w:ascii="Bookman Old Style" w:hAnsi="Bookman Old Style"/>
          <w:color w:val="000000" w:themeColor="text1"/>
        </w:rPr>
        <w:t xml:space="preserve"> </w:t>
      </w:r>
      <w:r w:rsidRPr="00727324">
        <w:rPr>
          <w:rFonts w:ascii="Bookman Old Style" w:hAnsi="Bookman Old Style"/>
        </w:rPr>
        <w:t>Pasal</w:t>
      </w:r>
      <w:r w:rsidR="00A954D0">
        <w:rPr>
          <w:rFonts w:ascii="Bookman Old Style" w:hAnsi="Bookman Old Style"/>
        </w:rPr>
        <w:t xml:space="preserve"> </w:t>
      </w:r>
      <w:r w:rsidRPr="00727324">
        <w:rPr>
          <w:rFonts w:ascii="Bookman Old Style" w:hAnsi="Bookman Old Style"/>
        </w:rPr>
        <w:t>8</w:t>
      </w:r>
      <w:r w:rsidR="00A954D0">
        <w:rPr>
          <w:rFonts w:ascii="Bookman Old Style" w:hAnsi="Bookman Old Style"/>
        </w:rPr>
        <w:t xml:space="preserve"> </w:t>
      </w:r>
      <w:r w:rsidRPr="00727324">
        <w:rPr>
          <w:rFonts w:ascii="Bookman Old Style" w:hAnsi="Bookman Old Style"/>
        </w:rPr>
        <w:t>Peraturan</w:t>
      </w:r>
      <w:r w:rsidR="00A954D0">
        <w:rPr>
          <w:rFonts w:ascii="Bookman Old Style" w:hAnsi="Bookman Old Style"/>
        </w:rPr>
        <w:t xml:space="preserve"> </w:t>
      </w:r>
      <w:r w:rsidRPr="00727324">
        <w:rPr>
          <w:rFonts w:ascii="Bookman Old Style" w:hAnsi="Bookman Old Style"/>
        </w:rPr>
        <w:t>Pemerintah</w:t>
      </w:r>
      <w:r w:rsidR="00A954D0">
        <w:rPr>
          <w:rFonts w:ascii="Bookman Old Style" w:hAnsi="Bookman Old Style"/>
        </w:rPr>
        <w:t xml:space="preserve"> </w:t>
      </w:r>
      <w:r w:rsidRPr="00727324">
        <w:rPr>
          <w:rFonts w:ascii="Bookman Old Style" w:hAnsi="Bookman Old Style"/>
        </w:rPr>
        <w:t>Nomor</w:t>
      </w:r>
      <w:r w:rsidR="00A954D0">
        <w:rPr>
          <w:rFonts w:ascii="Bookman Old Style" w:hAnsi="Bookman Old Style"/>
        </w:rPr>
        <w:t xml:space="preserve"> </w:t>
      </w:r>
      <w:r w:rsidRPr="00727324">
        <w:rPr>
          <w:rFonts w:ascii="Bookman Old Style" w:hAnsi="Bookman Old Style"/>
        </w:rPr>
        <w:t>18</w:t>
      </w:r>
      <w:r w:rsidR="00A954D0">
        <w:rPr>
          <w:rFonts w:ascii="Bookman Old Style" w:hAnsi="Bookman Old Style"/>
        </w:rPr>
        <w:t xml:space="preserve"> </w:t>
      </w:r>
      <w:r w:rsidRPr="00727324">
        <w:rPr>
          <w:rFonts w:ascii="Bookman Old Style" w:hAnsi="Bookman Old Style"/>
        </w:rPr>
        <w:t>Tahun</w:t>
      </w:r>
      <w:r w:rsidR="00A954D0">
        <w:rPr>
          <w:rFonts w:ascii="Bookman Old Style" w:hAnsi="Bookman Old Style"/>
        </w:rPr>
        <w:t xml:space="preserve"> </w:t>
      </w:r>
      <w:r w:rsidRPr="00727324">
        <w:rPr>
          <w:rFonts w:ascii="Bookman Old Style" w:hAnsi="Bookman Old Style"/>
        </w:rPr>
        <w:t>2017</w:t>
      </w:r>
      <w:r w:rsidR="00A954D0">
        <w:rPr>
          <w:rFonts w:ascii="Bookman Old Style" w:hAnsi="Bookman Old Style"/>
        </w:rPr>
        <w:t xml:space="preserve"> </w:t>
      </w:r>
      <w:r w:rsidRPr="00727324">
        <w:rPr>
          <w:rFonts w:ascii="Bookman Old Style" w:hAnsi="Bookman Old Style"/>
        </w:rPr>
        <w:t>sebagaimana</w:t>
      </w:r>
      <w:r w:rsidR="00A954D0">
        <w:rPr>
          <w:rFonts w:ascii="Bookman Old Style" w:hAnsi="Bookman Old Style"/>
        </w:rPr>
        <w:t xml:space="preserve"> </w:t>
      </w:r>
      <w:r w:rsidRPr="00727324">
        <w:rPr>
          <w:rFonts w:ascii="Bookman Old Style" w:hAnsi="Bookman Old Style"/>
        </w:rPr>
        <w:t>telah</w:t>
      </w:r>
      <w:r w:rsidR="00A954D0">
        <w:rPr>
          <w:rFonts w:ascii="Bookman Old Style" w:hAnsi="Bookman Old Style"/>
        </w:rPr>
        <w:t xml:space="preserve"> </w:t>
      </w:r>
      <w:r w:rsidRPr="00727324">
        <w:rPr>
          <w:rFonts w:ascii="Bookman Old Style" w:hAnsi="Bookman Old Style"/>
        </w:rPr>
        <w:t>diubah</w:t>
      </w:r>
      <w:r w:rsidR="00A954D0">
        <w:rPr>
          <w:rFonts w:ascii="Bookman Old Style" w:hAnsi="Bookman Old Style"/>
        </w:rPr>
        <w:t xml:space="preserve"> </w:t>
      </w:r>
      <w:r w:rsidRPr="00727324">
        <w:rPr>
          <w:rFonts w:ascii="Bookman Old Style" w:hAnsi="Bookman Old Style"/>
        </w:rPr>
        <w:t>dengan</w:t>
      </w:r>
      <w:r w:rsidR="00A954D0">
        <w:rPr>
          <w:rFonts w:ascii="Bookman Old Style" w:hAnsi="Bookman Old Style"/>
        </w:rPr>
        <w:t xml:space="preserve"> </w:t>
      </w:r>
      <w:r w:rsidRPr="00727324">
        <w:rPr>
          <w:rFonts w:ascii="Bookman Old Style" w:hAnsi="Bookman Old Style"/>
        </w:rPr>
        <w:t>Peraturan</w:t>
      </w:r>
      <w:r w:rsidR="00A954D0">
        <w:rPr>
          <w:rFonts w:ascii="Bookman Old Style" w:hAnsi="Bookman Old Style"/>
        </w:rPr>
        <w:t xml:space="preserve"> </w:t>
      </w:r>
      <w:r w:rsidRPr="00727324">
        <w:rPr>
          <w:rFonts w:ascii="Bookman Old Style" w:hAnsi="Bookman Old Style"/>
        </w:rPr>
        <w:t>Pemerintah</w:t>
      </w:r>
      <w:r w:rsidR="00A954D0">
        <w:rPr>
          <w:rFonts w:ascii="Bookman Old Style" w:hAnsi="Bookman Old Style"/>
        </w:rPr>
        <w:t xml:space="preserve"> </w:t>
      </w:r>
      <w:r w:rsidRPr="00727324">
        <w:rPr>
          <w:rFonts w:ascii="Bookman Old Style" w:hAnsi="Bookman Old Style"/>
        </w:rPr>
        <w:t>Nomor</w:t>
      </w:r>
      <w:r w:rsidR="00A954D0">
        <w:rPr>
          <w:rFonts w:ascii="Bookman Old Style" w:hAnsi="Bookman Old Style"/>
        </w:rPr>
        <w:t xml:space="preserve"> </w:t>
      </w:r>
      <w:r w:rsidRPr="00727324">
        <w:rPr>
          <w:rFonts w:ascii="Bookman Old Style" w:hAnsi="Bookman Old Style"/>
        </w:rPr>
        <w:t>1</w:t>
      </w:r>
      <w:r w:rsidR="00A954D0">
        <w:rPr>
          <w:rFonts w:ascii="Bookman Old Style" w:hAnsi="Bookman Old Style"/>
        </w:rPr>
        <w:t xml:space="preserve"> </w:t>
      </w:r>
      <w:r w:rsidRPr="00727324">
        <w:rPr>
          <w:rFonts w:ascii="Bookman Old Style" w:hAnsi="Bookman Old Style"/>
        </w:rPr>
        <w:t>Tahun</w:t>
      </w:r>
      <w:r w:rsidR="00A954D0">
        <w:rPr>
          <w:rFonts w:ascii="Bookman Old Style" w:hAnsi="Bookman Old Style"/>
        </w:rPr>
        <w:t xml:space="preserve"> </w:t>
      </w:r>
      <w:r w:rsidRPr="00727324">
        <w:rPr>
          <w:rFonts w:ascii="Bookman Old Style" w:hAnsi="Bookman Old Style"/>
        </w:rPr>
        <w:t>2023</w:t>
      </w:r>
      <w:r w:rsidR="00A954D0">
        <w:rPr>
          <w:rFonts w:ascii="Bookman Old Style" w:hAnsi="Bookman Old Style"/>
        </w:rPr>
        <w:t xml:space="preserve"> </w:t>
      </w:r>
      <w:r w:rsidRPr="00727324">
        <w:rPr>
          <w:rFonts w:ascii="Bookman Old Style" w:hAnsi="Bookman Old Style"/>
        </w:rPr>
        <w:t>dan</w:t>
      </w:r>
      <w:r w:rsidR="00A954D0">
        <w:rPr>
          <w:rFonts w:ascii="Bookman Old Style" w:hAnsi="Bookman Old Style"/>
        </w:rPr>
        <w:t xml:space="preserve"> </w:t>
      </w:r>
      <w:r w:rsidRPr="00727324">
        <w:rPr>
          <w:rFonts w:ascii="Bookman Old Style" w:hAnsi="Bookman Old Style"/>
        </w:rPr>
        <w:t>Pasal</w:t>
      </w:r>
      <w:r w:rsidR="00A954D0">
        <w:rPr>
          <w:rFonts w:ascii="Bookman Old Style" w:hAnsi="Bookman Old Style"/>
        </w:rPr>
        <w:t xml:space="preserve"> </w:t>
      </w:r>
      <w:r w:rsidRPr="00727324">
        <w:rPr>
          <w:rFonts w:ascii="Bookman Old Style" w:hAnsi="Bookman Old Style"/>
        </w:rPr>
        <w:t>6</w:t>
      </w:r>
      <w:r w:rsidR="00A954D0">
        <w:rPr>
          <w:rFonts w:ascii="Bookman Old Style" w:hAnsi="Bookman Old Style"/>
        </w:rPr>
        <w:t xml:space="preserve"> </w:t>
      </w:r>
      <w:r w:rsidRPr="00727324">
        <w:rPr>
          <w:rFonts w:ascii="Bookman Old Style" w:hAnsi="Bookman Old Style" w:cs="Tahoma"/>
        </w:rPr>
        <w:t>Peraturan</w:t>
      </w:r>
      <w:r w:rsidR="00A954D0">
        <w:rPr>
          <w:rFonts w:ascii="Bookman Old Style" w:hAnsi="Bookman Old Style" w:cs="Tahoma"/>
        </w:rPr>
        <w:t xml:space="preserve"> </w:t>
      </w:r>
      <w:r w:rsidRPr="00727324">
        <w:rPr>
          <w:rFonts w:ascii="Bookman Old Style" w:hAnsi="Bookman Old Style" w:cs="Tahoma"/>
        </w:rPr>
        <w:t>Menteri</w:t>
      </w:r>
      <w:r w:rsidR="00A954D0">
        <w:rPr>
          <w:rFonts w:ascii="Bookman Old Style" w:hAnsi="Bookman Old Style" w:cs="Tahoma"/>
        </w:rPr>
        <w:t xml:space="preserve"> </w:t>
      </w:r>
      <w:r w:rsidRPr="00727324">
        <w:rPr>
          <w:rFonts w:ascii="Bookman Old Style" w:hAnsi="Bookman Old Style" w:cs="Tahoma"/>
        </w:rPr>
        <w:t>Dalam</w:t>
      </w:r>
      <w:r w:rsidR="00A954D0">
        <w:rPr>
          <w:rFonts w:ascii="Bookman Old Style" w:hAnsi="Bookman Old Style" w:cs="Tahoma"/>
        </w:rPr>
        <w:t xml:space="preserve"> </w:t>
      </w:r>
      <w:r w:rsidRPr="00727324">
        <w:rPr>
          <w:rFonts w:ascii="Bookman Old Style" w:hAnsi="Bookman Old Style" w:cs="Tahoma"/>
        </w:rPr>
        <w:t>Negeri</w:t>
      </w:r>
      <w:r w:rsidR="00A954D0">
        <w:rPr>
          <w:rFonts w:ascii="Bookman Old Style" w:hAnsi="Bookman Old Style" w:cs="Tahoma"/>
        </w:rPr>
        <w:t xml:space="preserve"> </w:t>
      </w:r>
      <w:r w:rsidRPr="00727324">
        <w:rPr>
          <w:rFonts w:ascii="Bookman Old Style" w:hAnsi="Bookman Old Style" w:cs="Tahoma"/>
        </w:rPr>
        <w:t>Nomor</w:t>
      </w:r>
      <w:r w:rsidR="00A954D0">
        <w:rPr>
          <w:rFonts w:ascii="Bookman Old Style" w:hAnsi="Bookman Old Style" w:cs="Tahoma"/>
        </w:rPr>
        <w:t xml:space="preserve"> </w:t>
      </w:r>
      <w:r w:rsidRPr="00727324">
        <w:rPr>
          <w:rFonts w:ascii="Bookman Old Style" w:hAnsi="Bookman Old Style" w:cs="Tahoma"/>
        </w:rPr>
        <w:t>62</w:t>
      </w:r>
      <w:r w:rsidR="00A954D0">
        <w:rPr>
          <w:rFonts w:ascii="Bookman Old Style" w:hAnsi="Bookman Old Style" w:cs="Tahoma"/>
        </w:rPr>
        <w:t xml:space="preserve"> </w:t>
      </w:r>
      <w:r w:rsidRPr="00727324">
        <w:rPr>
          <w:rFonts w:ascii="Bookman Old Style" w:hAnsi="Bookman Old Style" w:cs="Tahoma"/>
        </w:rPr>
        <w:t>Tahun</w:t>
      </w:r>
      <w:r w:rsidR="00A954D0">
        <w:rPr>
          <w:rFonts w:ascii="Bookman Old Style" w:hAnsi="Bookman Old Style" w:cs="Tahoma"/>
        </w:rPr>
        <w:t xml:space="preserve"> </w:t>
      </w:r>
      <w:r w:rsidRPr="00727324">
        <w:rPr>
          <w:rFonts w:ascii="Bookman Old Style" w:hAnsi="Bookman Old Style" w:cs="Tahoma"/>
        </w:rPr>
        <w:t>2017</w:t>
      </w:r>
      <w:r w:rsidR="00A954D0">
        <w:rPr>
          <w:rFonts w:ascii="Bookman Old Style" w:hAnsi="Bookman Old Style" w:cs="Tahoma"/>
        </w:rPr>
        <w:t xml:space="preserve"> </w:t>
      </w:r>
      <w:r w:rsidRPr="00727324">
        <w:rPr>
          <w:rFonts w:ascii="Bookman Old Style" w:hAnsi="Bookman Old Style" w:cs="Tahoma"/>
        </w:rPr>
        <w:t>tentang</w:t>
      </w:r>
      <w:r w:rsidR="00A954D0">
        <w:rPr>
          <w:rFonts w:ascii="Bookman Old Style" w:hAnsi="Bookman Old Style" w:cs="Tahoma"/>
        </w:rPr>
        <w:t xml:space="preserve"> </w:t>
      </w:r>
      <w:r w:rsidRPr="00727324">
        <w:rPr>
          <w:rFonts w:ascii="Bookman Old Style" w:hAnsi="Bookman Old Style" w:cs="Tahoma"/>
        </w:rPr>
        <w:t>Pengelompokan</w:t>
      </w:r>
      <w:r w:rsidR="00A954D0">
        <w:rPr>
          <w:rFonts w:ascii="Bookman Old Style" w:hAnsi="Bookman Old Style" w:cs="Tahoma"/>
        </w:rPr>
        <w:t xml:space="preserve"> </w:t>
      </w:r>
      <w:r w:rsidRPr="00727324">
        <w:rPr>
          <w:rFonts w:ascii="Bookman Old Style" w:hAnsi="Bookman Old Style" w:cs="Tahoma"/>
        </w:rPr>
        <w:t>Kemampuan</w:t>
      </w:r>
      <w:r w:rsidR="00A954D0">
        <w:rPr>
          <w:rFonts w:ascii="Bookman Old Style" w:hAnsi="Bookman Old Style" w:cs="Tahoma"/>
        </w:rPr>
        <w:t xml:space="preserve"> </w:t>
      </w:r>
      <w:r w:rsidRPr="00727324">
        <w:rPr>
          <w:rFonts w:ascii="Bookman Old Style" w:hAnsi="Bookman Old Style" w:cs="Tahoma"/>
        </w:rPr>
        <w:t>Keuangan</w:t>
      </w:r>
      <w:r w:rsidR="00A954D0">
        <w:rPr>
          <w:rFonts w:ascii="Bookman Old Style" w:hAnsi="Bookman Old Style" w:cs="Tahoma"/>
        </w:rPr>
        <w:t xml:space="preserve"> </w:t>
      </w:r>
      <w:r w:rsidRPr="00727324">
        <w:rPr>
          <w:rFonts w:ascii="Bookman Old Style" w:hAnsi="Bookman Old Style" w:cs="Tahoma"/>
        </w:rPr>
        <w:t>Daerah</w:t>
      </w:r>
      <w:r w:rsidR="00A954D0">
        <w:rPr>
          <w:rFonts w:ascii="Bookman Old Style" w:hAnsi="Bookman Old Style" w:cs="Tahoma"/>
        </w:rPr>
        <w:t xml:space="preserve"> </w:t>
      </w:r>
      <w:r w:rsidRPr="00727324">
        <w:rPr>
          <w:rFonts w:ascii="Bookman Old Style" w:hAnsi="Bookman Old Style" w:cs="Tahoma"/>
        </w:rPr>
        <w:t>Serta</w:t>
      </w:r>
      <w:r w:rsidR="00A954D0">
        <w:rPr>
          <w:rFonts w:ascii="Bookman Old Style" w:hAnsi="Bookman Old Style" w:cs="Tahoma"/>
        </w:rPr>
        <w:t xml:space="preserve"> </w:t>
      </w:r>
      <w:r w:rsidRPr="00727324">
        <w:rPr>
          <w:rFonts w:ascii="Bookman Old Style" w:hAnsi="Bookman Old Style" w:cs="Tahoma"/>
        </w:rPr>
        <w:t>Pelaksanaan</w:t>
      </w:r>
      <w:r w:rsidR="00A954D0">
        <w:rPr>
          <w:rFonts w:ascii="Bookman Old Style" w:hAnsi="Bookman Old Style" w:cs="Tahoma"/>
        </w:rPr>
        <w:t xml:space="preserve"> </w:t>
      </w:r>
      <w:r w:rsidRPr="00727324">
        <w:rPr>
          <w:rFonts w:ascii="Bookman Old Style" w:hAnsi="Bookman Old Style" w:cs="Tahoma"/>
        </w:rPr>
        <w:t>dan</w:t>
      </w:r>
      <w:r w:rsidR="00A954D0">
        <w:rPr>
          <w:rFonts w:ascii="Bookman Old Style" w:hAnsi="Bookman Old Style" w:cs="Tahoma"/>
        </w:rPr>
        <w:t xml:space="preserve"> </w:t>
      </w:r>
      <w:r w:rsidRPr="00727324">
        <w:rPr>
          <w:rFonts w:ascii="Bookman Old Style" w:hAnsi="Bookman Old Style" w:cs="Tahoma"/>
        </w:rPr>
        <w:t>Pertanggungjawaban</w:t>
      </w:r>
      <w:r w:rsidR="00A954D0">
        <w:rPr>
          <w:rFonts w:ascii="Bookman Old Style" w:hAnsi="Bookman Old Style" w:cs="Tahoma"/>
        </w:rPr>
        <w:t xml:space="preserve"> </w:t>
      </w:r>
      <w:r w:rsidRPr="00727324">
        <w:rPr>
          <w:rFonts w:ascii="Bookman Old Style" w:hAnsi="Bookman Old Style" w:cs="Tahoma"/>
        </w:rPr>
        <w:t>Dana</w:t>
      </w:r>
      <w:r w:rsidR="00A954D0">
        <w:rPr>
          <w:rFonts w:ascii="Bookman Old Style" w:hAnsi="Bookman Old Style" w:cs="Tahoma"/>
        </w:rPr>
        <w:t xml:space="preserve"> </w:t>
      </w:r>
      <w:r w:rsidRPr="00727324">
        <w:rPr>
          <w:rFonts w:ascii="Bookman Old Style" w:hAnsi="Bookman Old Style" w:cs="Tahoma"/>
        </w:rPr>
        <w:t>Operasional</w:t>
      </w:r>
      <w:r w:rsidRPr="003255BC">
        <w:rPr>
          <w:rFonts w:ascii="Bookman Old Style" w:hAnsi="Bookman Old Style"/>
          <w:color w:val="000000" w:themeColor="text1"/>
        </w:rPr>
        <w:t>.</w:t>
      </w:r>
    </w:p>
    <w:p w14:paraId="73AA4E73" w14:textId="37BF2C36" w:rsidR="005A4806" w:rsidRPr="00727324" w:rsidRDefault="005A4806" w:rsidP="00AC44F5">
      <w:pPr>
        <w:pStyle w:val="ListParagraph"/>
        <w:numPr>
          <w:ilvl w:val="0"/>
          <w:numId w:val="25"/>
        </w:numPr>
        <w:snapToGrid w:val="0"/>
        <w:spacing w:before="60" w:after="0" w:line="276" w:lineRule="auto"/>
        <w:ind w:left="3261" w:hanging="567"/>
        <w:contextualSpacing w:val="0"/>
        <w:jc w:val="both"/>
        <w:rPr>
          <w:rFonts w:ascii="Bookman Old Style" w:hAnsi="Bookman Old Style" w:cs="Tahoma"/>
          <w:color w:val="000000" w:themeColor="text1"/>
          <w:sz w:val="24"/>
          <w:szCs w:val="24"/>
          <w:lang w:val="id-ID"/>
        </w:rPr>
      </w:pPr>
      <w:r w:rsidRPr="00727324">
        <w:rPr>
          <w:rFonts w:ascii="Bookman Old Style" w:hAnsi="Bookman Old Style" w:cs="Tahoma"/>
          <w:color w:val="000000" w:themeColor="text1"/>
          <w:sz w:val="24"/>
          <w:szCs w:val="24"/>
        </w:rPr>
        <w:t>Belanja</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Tunjangan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Reses</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DPRD</w:t>
      </w:r>
      <w:r w:rsidR="00A954D0">
        <w:rPr>
          <w:rFonts w:ascii="Bookman Old Style" w:hAnsi="Bookman Old Style" w:cs="Tahoma"/>
          <w:color w:val="FF0000"/>
          <w:sz w:val="24"/>
          <w:szCs w:val="24"/>
        </w:rPr>
        <w:t xml:space="preserve"> </w:t>
      </w:r>
      <w:r w:rsidRPr="00727324">
        <w:rPr>
          <w:rFonts w:ascii="Bookman Old Style" w:hAnsi="Bookman Old Style" w:cs="Arial"/>
          <w:sz w:val="24"/>
          <w:szCs w:val="24"/>
          <w:lang w:val="id-ID"/>
        </w:rPr>
        <w:t>Rp</w:t>
      </w:r>
      <w:r>
        <w:rPr>
          <w:rFonts w:ascii="Bookman Old Style" w:hAnsi="Bookman Old Style" w:cs="Arial"/>
          <w:sz w:val="24"/>
          <w:szCs w:val="24"/>
          <w:lang w:val="id-ID"/>
        </w:rPr>
        <w:t>2.</w:t>
      </w:r>
      <w:r w:rsidRPr="00791B1E">
        <w:rPr>
          <w:rFonts w:ascii="Bookman Old Style" w:hAnsi="Bookman Old Style" w:cs="Tahoma"/>
          <w:color w:val="000000" w:themeColor="text1"/>
          <w:sz w:val="24"/>
          <w:szCs w:val="24"/>
        </w:rPr>
        <w:t>205</w:t>
      </w:r>
      <w:r>
        <w:rPr>
          <w:rFonts w:ascii="Bookman Old Style" w:hAnsi="Bookman Old Style" w:cs="Arial"/>
          <w:sz w:val="24"/>
          <w:szCs w:val="24"/>
          <w:lang w:val="id-ID"/>
        </w:rPr>
        <w:t>.00.000</w:t>
      </w:r>
      <w:r w:rsidRPr="00727324">
        <w:rPr>
          <w:rFonts w:ascii="Bookman Old Style" w:hAnsi="Bookman Old Style" w:cs="Arial"/>
          <w:sz w:val="24"/>
          <w:szCs w:val="24"/>
          <w:lang w:val="id-ID"/>
        </w:rPr>
        <w:t>,00</w:t>
      </w:r>
      <w:r w:rsidRPr="00727324">
        <w:rPr>
          <w:rFonts w:ascii="Bookman Old Style" w:hAnsi="Bookman Old Style" w:cs="Tahoma"/>
          <w:color w:val="000000" w:themeColor="text1"/>
          <w:sz w:val="24"/>
          <w:szCs w:val="24"/>
          <w:lang w:val="id-ID"/>
        </w:rPr>
        <w:t>,</w:t>
      </w:r>
      <w:r w:rsidR="00A954D0">
        <w:rPr>
          <w:rFonts w:ascii="Bookman Old Style" w:hAnsi="Bookman Old Style" w:cs="Tahoma"/>
          <w:color w:val="FF0000"/>
          <w:sz w:val="24"/>
          <w:szCs w:val="24"/>
          <w:lang w:val="id-ID"/>
        </w:rPr>
        <w:t xml:space="preserve"> </w:t>
      </w:r>
      <w:r w:rsidRPr="00727324">
        <w:rPr>
          <w:rFonts w:ascii="Bookman Old Style" w:hAnsi="Bookman Old Style"/>
          <w:color w:val="000000" w:themeColor="text1"/>
          <w:sz w:val="24"/>
          <w:szCs w:val="24"/>
          <w:lang w:val="id-ID"/>
        </w:rPr>
        <w:t>dalam</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Rancangan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Peraturan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Daerah</w:t>
      </w:r>
      <w:r w:rsidR="00A954D0">
        <w:rPr>
          <w:rFonts w:ascii="Bookman Old Style" w:hAnsi="Bookman Old Style"/>
          <w:color w:val="FF0000"/>
          <w:sz w:val="24"/>
          <w:szCs w:val="24"/>
          <w:lang w:val="id-ID"/>
        </w:rPr>
        <w:t xml:space="preserve"> </w:t>
      </w:r>
      <w:r>
        <w:rPr>
          <w:rFonts w:ascii="Bookman Old Style" w:hAnsi="Bookman Old Style"/>
          <w:sz w:val="24"/>
          <w:szCs w:val="24"/>
          <w:lang w:val="fi-FI"/>
        </w:rPr>
        <w:t>Tangerang</w:t>
      </w:r>
      <w:r w:rsidR="00A954D0">
        <w:rPr>
          <w:rFonts w:ascii="Bookman Old Style" w:hAnsi="Bookman Old Style"/>
          <w:sz w:val="24"/>
          <w:szCs w:val="24"/>
          <w:lang w:val="id-ID"/>
        </w:rPr>
        <w:t xml:space="preserve"> </w:t>
      </w:r>
      <w:r w:rsidRPr="00E20002">
        <w:rPr>
          <w:rFonts w:ascii="Bookman Old Style" w:hAnsi="Bookman Old Style"/>
          <w:color w:val="000000" w:themeColor="text1"/>
          <w:sz w:val="24"/>
          <w:szCs w:val="24"/>
        </w:rPr>
        <w:t>t</w:t>
      </w:r>
      <w:r w:rsidRPr="00727324">
        <w:rPr>
          <w:rFonts w:ascii="Bookman Old Style" w:hAnsi="Bookman Old Style"/>
          <w:color w:val="000000" w:themeColor="text1"/>
          <w:sz w:val="24"/>
          <w:szCs w:val="24"/>
        </w:rPr>
        <w:t>entang</w:t>
      </w:r>
      <w:r w:rsidR="00A954D0">
        <w:rPr>
          <w:rFonts w:ascii="Bookman Old Style" w:hAnsi="Bookman Old Style"/>
          <w:color w:val="000000" w:themeColor="text1"/>
          <w:sz w:val="24"/>
          <w:szCs w:val="24"/>
          <w:lang w:val="id-ID"/>
        </w:rPr>
        <w:t xml:space="preserve"> </w:t>
      </w:r>
      <w:r w:rsidRPr="00727324">
        <w:rPr>
          <w:rFonts w:ascii="Bookman Old Style" w:hAnsi="Bookman Old Style"/>
          <w:color w:val="000000" w:themeColor="text1"/>
          <w:sz w:val="24"/>
          <w:szCs w:val="24"/>
        </w:rPr>
        <w:t>APBD</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Tahun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Anggaran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202</w:t>
      </w:r>
      <w:r w:rsidRPr="00727324">
        <w:rPr>
          <w:rFonts w:ascii="Bookman Old Style" w:hAnsi="Bookman Old Style"/>
          <w:color w:val="000000" w:themeColor="text1"/>
          <w:sz w:val="24"/>
          <w:szCs w:val="24"/>
          <w:lang w:val="id-ID"/>
        </w:rPr>
        <w:t>5,</w:t>
      </w:r>
      <w:r w:rsidR="00A954D0">
        <w:rPr>
          <w:rFonts w:ascii="Bookman Old Style" w:hAnsi="Bookman Old Style"/>
          <w:color w:val="000000" w:themeColor="text1"/>
          <w:sz w:val="24"/>
          <w:szCs w:val="24"/>
          <w:lang w:val="id-ID"/>
        </w:rPr>
        <w:t xml:space="preserve"> </w:t>
      </w:r>
      <w:r w:rsidRPr="00727324">
        <w:rPr>
          <w:rFonts w:ascii="Bookman Old Style" w:hAnsi="Bookman Old Style" w:cs="Tahoma"/>
          <w:color w:val="000000" w:themeColor="text1"/>
          <w:sz w:val="24"/>
          <w:szCs w:val="24"/>
          <w:lang w:val="id-ID"/>
        </w:rPr>
        <w:t>sebagaimana</w:t>
      </w:r>
      <w:r w:rsidR="00A954D0">
        <w:rPr>
          <w:rFonts w:ascii="Bookman Old Style" w:hAnsi="Bookman Old Style" w:cs="Tahoma"/>
          <w:color w:val="000000" w:themeColor="text1"/>
          <w:sz w:val="24"/>
          <w:szCs w:val="24"/>
          <w:lang w:val="id-ID"/>
        </w:rPr>
        <w:t xml:space="preserve"> </w:t>
      </w:r>
      <w:r w:rsidRPr="00727324">
        <w:rPr>
          <w:rFonts w:ascii="Bookman Old Style" w:hAnsi="Bookman Old Style" w:cs="Tahoma"/>
          <w:color w:val="000000" w:themeColor="text1"/>
          <w:sz w:val="24"/>
          <w:szCs w:val="24"/>
          <w:lang w:val="id-ID"/>
        </w:rPr>
        <w:t>Tabel</w:t>
      </w:r>
      <w:r w:rsidR="00A954D0">
        <w:rPr>
          <w:rFonts w:ascii="Bookman Old Style" w:hAnsi="Bookman Old Style" w:cs="Tahoma"/>
          <w:color w:val="000000" w:themeColor="text1"/>
          <w:sz w:val="24"/>
          <w:szCs w:val="24"/>
          <w:lang w:val="id-ID"/>
        </w:rPr>
        <w:t xml:space="preserve"> </w:t>
      </w:r>
      <w:r w:rsidRPr="00727324">
        <w:rPr>
          <w:rFonts w:ascii="Bookman Old Style" w:hAnsi="Bookman Old Style" w:cs="Tahoma"/>
          <w:color w:val="000000" w:themeColor="text1"/>
          <w:sz w:val="24"/>
          <w:szCs w:val="24"/>
          <w:lang w:val="id-ID"/>
        </w:rPr>
        <w:t>2</w:t>
      </w:r>
      <w:r w:rsidR="00AC44F5" w:rsidRPr="00AC44F5">
        <w:rPr>
          <w:rFonts w:ascii="Bookman Old Style" w:hAnsi="Bookman Old Style" w:cs="Tahoma"/>
          <w:color w:val="000000" w:themeColor="text1"/>
          <w:sz w:val="24"/>
          <w:szCs w:val="24"/>
          <w:lang w:val="sv-FI"/>
        </w:rPr>
        <w:t>2</w:t>
      </w:r>
      <w:r w:rsidR="00A954D0">
        <w:rPr>
          <w:rFonts w:ascii="Bookman Old Style" w:hAnsi="Bookman Old Style" w:cs="Tahoma"/>
          <w:color w:val="000000" w:themeColor="text1"/>
          <w:sz w:val="24"/>
          <w:szCs w:val="24"/>
          <w:lang w:val="id-ID"/>
        </w:rPr>
        <w:t xml:space="preserve"> </w:t>
      </w:r>
      <w:r w:rsidRPr="00727324">
        <w:rPr>
          <w:rFonts w:ascii="Bookman Old Style" w:hAnsi="Bookman Old Style" w:cs="Tahoma"/>
          <w:color w:val="000000" w:themeColor="text1"/>
          <w:sz w:val="24"/>
          <w:szCs w:val="24"/>
          <w:lang w:val="id-ID"/>
        </w:rPr>
        <w:t>sebagai</w:t>
      </w:r>
      <w:r w:rsidR="00A954D0">
        <w:rPr>
          <w:rFonts w:ascii="Bookman Old Style" w:hAnsi="Bookman Old Style" w:cs="Tahoma"/>
          <w:color w:val="000000" w:themeColor="text1"/>
          <w:sz w:val="24"/>
          <w:szCs w:val="24"/>
          <w:lang w:val="id-ID"/>
        </w:rPr>
        <w:t xml:space="preserve"> </w:t>
      </w:r>
      <w:r w:rsidRPr="00727324">
        <w:rPr>
          <w:rFonts w:ascii="Bookman Old Style" w:hAnsi="Bookman Old Style" w:cs="Tahoma"/>
          <w:color w:val="000000" w:themeColor="text1"/>
          <w:sz w:val="24"/>
          <w:szCs w:val="24"/>
          <w:lang w:val="id-ID"/>
        </w:rPr>
        <w:t>berikut:</w:t>
      </w:r>
    </w:p>
    <w:p w14:paraId="67908D55" w14:textId="487D458A" w:rsidR="005A4806" w:rsidRPr="00AC44F5" w:rsidRDefault="005A4806" w:rsidP="005A4806">
      <w:pPr>
        <w:pStyle w:val="NormalWeb"/>
        <w:spacing w:before="60" w:beforeAutospacing="0" w:after="0" w:afterAutospacing="0" w:line="276" w:lineRule="auto"/>
        <w:ind w:left="2730"/>
        <w:jc w:val="center"/>
        <w:rPr>
          <w:rFonts w:ascii="Bookman Old Style" w:hAnsi="Bookman Old Style"/>
          <w:color w:val="000000" w:themeColor="text1"/>
          <w:lang w:val="sv-FI"/>
        </w:rPr>
      </w:pPr>
      <w:r w:rsidRPr="00AC44F5">
        <w:rPr>
          <w:rFonts w:ascii="Bookman Old Style" w:hAnsi="Bookman Old Style"/>
          <w:color w:val="000000" w:themeColor="text1"/>
          <w:lang w:val="sv-FI"/>
        </w:rPr>
        <w:t>Tabel</w:t>
      </w:r>
      <w:r w:rsidR="00A954D0" w:rsidRPr="00AC44F5">
        <w:rPr>
          <w:rFonts w:ascii="Bookman Old Style" w:hAnsi="Bookman Old Style"/>
          <w:color w:val="000000" w:themeColor="text1"/>
          <w:lang w:val="sv-FI"/>
        </w:rPr>
        <w:t xml:space="preserve"> </w:t>
      </w:r>
      <w:r w:rsidRPr="00AC44F5">
        <w:rPr>
          <w:rFonts w:ascii="Bookman Old Style" w:hAnsi="Bookman Old Style"/>
          <w:color w:val="000000" w:themeColor="text1"/>
          <w:lang w:val="sv-FI"/>
        </w:rPr>
        <w:t>2</w:t>
      </w:r>
      <w:r w:rsidR="00AC44F5" w:rsidRPr="00AC44F5">
        <w:rPr>
          <w:rFonts w:ascii="Bookman Old Style" w:hAnsi="Bookman Old Style"/>
          <w:color w:val="000000" w:themeColor="text1"/>
          <w:lang w:val="sv-FI"/>
        </w:rPr>
        <w:t>2</w:t>
      </w:r>
      <w:r w:rsidRPr="00AC44F5">
        <w:rPr>
          <w:rFonts w:ascii="Bookman Old Style" w:hAnsi="Bookman Old Style"/>
          <w:color w:val="000000" w:themeColor="text1"/>
          <w:lang w:val="sv-FI"/>
        </w:rPr>
        <w:br/>
        <w:t>Belanja</w:t>
      </w:r>
      <w:r w:rsidR="00A954D0" w:rsidRPr="00AC44F5">
        <w:rPr>
          <w:rFonts w:ascii="Bookman Old Style" w:hAnsi="Bookman Old Style"/>
          <w:color w:val="000000" w:themeColor="text1"/>
          <w:lang w:val="sv-FI"/>
        </w:rPr>
        <w:t xml:space="preserve"> </w:t>
      </w:r>
      <w:r w:rsidRPr="00AC44F5">
        <w:rPr>
          <w:rFonts w:ascii="Bookman Old Style" w:hAnsi="Bookman Old Style"/>
          <w:color w:val="000000" w:themeColor="text1"/>
          <w:lang w:val="sv-FI"/>
        </w:rPr>
        <w:t>Tunjangan</w:t>
      </w:r>
      <w:r w:rsidR="00A954D0" w:rsidRPr="00AC44F5">
        <w:rPr>
          <w:rFonts w:ascii="Bookman Old Style" w:hAnsi="Bookman Old Style"/>
          <w:color w:val="000000" w:themeColor="text1"/>
          <w:lang w:val="sv-FI"/>
        </w:rPr>
        <w:t xml:space="preserve"> </w:t>
      </w:r>
      <w:r w:rsidRPr="00AC44F5">
        <w:rPr>
          <w:rFonts w:ascii="Bookman Old Style" w:hAnsi="Bookman Old Style"/>
          <w:color w:val="000000" w:themeColor="text1"/>
          <w:lang w:val="sv-FI"/>
        </w:rPr>
        <w:t>Reses</w:t>
      </w:r>
      <w:r w:rsidR="00A954D0" w:rsidRPr="00AC44F5">
        <w:rPr>
          <w:rFonts w:ascii="Bookman Old Style" w:hAnsi="Bookman Old Style"/>
          <w:color w:val="000000" w:themeColor="text1"/>
          <w:lang w:val="sv-FI"/>
        </w:rPr>
        <w:t xml:space="preserve"> </w:t>
      </w:r>
      <w:r w:rsidRPr="00AC44F5">
        <w:rPr>
          <w:rFonts w:ascii="Bookman Old Style" w:hAnsi="Bookman Old Style"/>
          <w:color w:val="000000" w:themeColor="text1"/>
          <w:lang w:val="sv-FI"/>
        </w:rPr>
        <w:t>DPRD</w:t>
      </w:r>
    </w:p>
    <w:tbl>
      <w:tblPr>
        <w:tblW w:w="82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137"/>
        <w:gridCol w:w="1773"/>
        <w:gridCol w:w="1806"/>
        <w:gridCol w:w="1991"/>
      </w:tblGrid>
      <w:tr w:rsidR="005A4806" w:rsidRPr="006533A4" w14:paraId="4F7BE255" w14:textId="77777777" w:rsidTr="00BD16EB">
        <w:trPr>
          <w:trHeight w:val="1110"/>
          <w:tblHeader/>
        </w:trPr>
        <w:tc>
          <w:tcPr>
            <w:tcW w:w="556" w:type="dxa"/>
            <w:shd w:val="clear" w:color="000000" w:fill="FFFFFF"/>
            <w:vAlign w:val="center"/>
            <w:hideMark/>
          </w:tcPr>
          <w:p w14:paraId="2F8AE3F3" w14:textId="77777777" w:rsidR="005A4806" w:rsidRPr="006533A4" w:rsidRDefault="005A4806" w:rsidP="0073264B">
            <w:pPr>
              <w:jc w:val="center"/>
              <w:rPr>
                <w:rFonts w:ascii="Bookman Old Style" w:hAnsi="Bookman Old Style" w:cs="Calibri"/>
                <w:b/>
                <w:bCs/>
                <w:color w:val="000000"/>
                <w:sz w:val="20"/>
                <w:szCs w:val="20"/>
              </w:rPr>
            </w:pPr>
            <w:r w:rsidRPr="006533A4">
              <w:rPr>
                <w:rFonts w:ascii="Bookman Old Style" w:hAnsi="Bookman Old Style" w:cs="Calibri"/>
                <w:b/>
                <w:bCs/>
                <w:color w:val="000000"/>
                <w:sz w:val="20"/>
                <w:szCs w:val="20"/>
              </w:rPr>
              <w:t>No.</w:t>
            </w:r>
          </w:p>
        </w:tc>
        <w:tc>
          <w:tcPr>
            <w:tcW w:w="2137" w:type="dxa"/>
            <w:shd w:val="clear" w:color="000000" w:fill="FFFFFF"/>
            <w:vAlign w:val="center"/>
            <w:hideMark/>
          </w:tcPr>
          <w:p w14:paraId="7E57B498" w14:textId="55BFFBB4" w:rsidR="005A4806" w:rsidRPr="006533A4" w:rsidRDefault="005A4806" w:rsidP="0073264B">
            <w:pPr>
              <w:jc w:val="center"/>
              <w:rPr>
                <w:rFonts w:ascii="Bookman Old Style" w:hAnsi="Bookman Old Style" w:cs="Calibri"/>
                <w:b/>
                <w:bCs/>
                <w:color w:val="000000"/>
                <w:sz w:val="20"/>
                <w:szCs w:val="20"/>
              </w:rPr>
            </w:pPr>
            <w:r w:rsidRPr="006533A4">
              <w:rPr>
                <w:rFonts w:ascii="Bookman Old Style" w:hAnsi="Bookman Old Style" w:cs="Calibri"/>
                <w:b/>
                <w:bCs/>
                <w:color w:val="000000"/>
                <w:sz w:val="20"/>
                <w:szCs w:val="20"/>
              </w:rPr>
              <w:t>Komponen</w:t>
            </w:r>
            <w:r w:rsidR="00A954D0">
              <w:rPr>
                <w:rFonts w:ascii="Bookman Old Style" w:hAnsi="Bookman Old Style" w:cs="Calibri"/>
                <w:b/>
                <w:bCs/>
                <w:color w:val="000000"/>
                <w:sz w:val="20"/>
                <w:szCs w:val="20"/>
              </w:rPr>
              <w:t xml:space="preserve"> </w:t>
            </w:r>
            <w:r w:rsidRPr="006533A4">
              <w:rPr>
                <w:rFonts w:ascii="Bookman Old Style" w:hAnsi="Bookman Old Style" w:cs="Calibri"/>
                <w:b/>
                <w:bCs/>
                <w:color w:val="000000"/>
                <w:sz w:val="20"/>
                <w:szCs w:val="20"/>
              </w:rPr>
              <w:t>Perhitungan</w:t>
            </w:r>
          </w:p>
        </w:tc>
        <w:tc>
          <w:tcPr>
            <w:tcW w:w="1773" w:type="dxa"/>
            <w:shd w:val="clear" w:color="000000" w:fill="FFFFFF"/>
            <w:vAlign w:val="center"/>
            <w:hideMark/>
          </w:tcPr>
          <w:p w14:paraId="05B82AD3" w14:textId="5229CF3B" w:rsidR="005A4806" w:rsidRPr="006533A4" w:rsidRDefault="005A4806" w:rsidP="0073264B">
            <w:pPr>
              <w:jc w:val="center"/>
              <w:rPr>
                <w:rFonts w:ascii="Bookman Old Style" w:hAnsi="Bookman Old Style" w:cs="Calibri"/>
                <w:b/>
                <w:bCs/>
                <w:color w:val="000000"/>
                <w:sz w:val="20"/>
                <w:szCs w:val="20"/>
                <w:lang w:val="sv-FI"/>
              </w:rPr>
            </w:pPr>
            <w:r w:rsidRPr="006533A4">
              <w:rPr>
                <w:rFonts w:ascii="Bookman Old Style" w:hAnsi="Bookman Old Style" w:cs="Calibri"/>
                <w:b/>
                <w:bCs/>
                <w:color w:val="000000"/>
                <w:sz w:val="20"/>
                <w:szCs w:val="20"/>
                <w:lang w:val="sv-FI"/>
              </w:rPr>
              <w:t>Jumlah</w:t>
            </w:r>
            <w:r w:rsidR="00A954D0">
              <w:rPr>
                <w:rFonts w:ascii="Bookman Old Style" w:hAnsi="Bookman Old Style" w:cs="Calibri"/>
                <w:b/>
                <w:bCs/>
                <w:color w:val="000000"/>
                <w:sz w:val="20"/>
                <w:szCs w:val="20"/>
                <w:lang w:val="sv-FI"/>
              </w:rPr>
              <w:t xml:space="preserve"> </w:t>
            </w:r>
            <w:r w:rsidRPr="006533A4">
              <w:rPr>
                <w:rFonts w:ascii="Bookman Old Style" w:hAnsi="Bookman Old Style" w:cs="Calibri"/>
                <w:b/>
                <w:bCs/>
                <w:color w:val="000000"/>
                <w:sz w:val="20"/>
                <w:szCs w:val="20"/>
                <w:lang w:val="sv-FI"/>
              </w:rPr>
              <w:t>Pimpinan</w:t>
            </w:r>
            <w:r w:rsidR="00A954D0">
              <w:rPr>
                <w:rFonts w:ascii="Bookman Old Style" w:hAnsi="Bookman Old Style" w:cs="Calibri"/>
                <w:b/>
                <w:bCs/>
                <w:color w:val="000000"/>
                <w:sz w:val="20"/>
                <w:szCs w:val="20"/>
                <w:lang w:val="sv-FI"/>
              </w:rPr>
              <w:t xml:space="preserve"> </w:t>
            </w:r>
            <w:r w:rsidRPr="006533A4">
              <w:rPr>
                <w:rFonts w:ascii="Bookman Old Style" w:hAnsi="Bookman Old Style" w:cs="Calibri"/>
                <w:b/>
                <w:bCs/>
                <w:color w:val="000000"/>
                <w:sz w:val="20"/>
                <w:szCs w:val="20"/>
                <w:lang w:val="sv-FI"/>
              </w:rPr>
              <w:t>dan</w:t>
            </w:r>
            <w:r w:rsidR="00A954D0">
              <w:rPr>
                <w:rFonts w:ascii="Bookman Old Style" w:hAnsi="Bookman Old Style" w:cs="Calibri"/>
                <w:b/>
                <w:bCs/>
                <w:color w:val="000000"/>
                <w:sz w:val="20"/>
                <w:szCs w:val="20"/>
                <w:lang w:val="sv-FI"/>
              </w:rPr>
              <w:t xml:space="preserve"> </w:t>
            </w:r>
            <w:r w:rsidRPr="006533A4">
              <w:rPr>
                <w:rFonts w:ascii="Bookman Old Style" w:hAnsi="Bookman Old Style" w:cs="Calibri"/>
                <w:b/>
                <w:bCs/>
                <w:color w:val="000000"/>
                <w:sz w:val="20"/>
                <w:szCs w:val="20"/>
                <w:lang w:val="sv-FI"/>
              </w:rPr>
              <w:t>Anggota</w:t>
            </w:r>
            <w:r w:rsidR="00A954D0">
              <w:rPr>
                <w:rFonts w:ascii="Bookman Old Style" w:hAnsi="Bookman Old Style" w:cs="Calibri"/>
                <w:b/>
                <w:bCs/>
                <w:color w:val="000000"/>
                <w:sz w:val="20"/>
                <w:szCs w:val="20"/>
                <w:lang w:val="sv-FI"/>
              </w:rPr>
              <w:t xml:space="preserve"> </w:t>
            </w:r>
            <w:r w:rsidRPr="006533A4">
              <w:rPr>
                <w:rFonts w:ascii="Bookman Old Style" w:hAnsi="Bookman Old Style" w:cs="Calibri"/>
                <w:b/>
                <w:bCs/>
                <w:color w:val="000000"/>
                <w:sz w:val="20"/>
                <w:szCs w:val="20"/>
                <w:lang w:val="sv-FI"/>
              </w:rPr>
              <w:t>DPRD</w:t>
            </w:r>
            <w:r w:rsidR="00A954D0">
              <w:rPr>
                <w:rFonts w:ascii="Bookman Old Style" w:hAnsi="Bookman Old Style" w:cs="Calibri"/>
                <w:b/>
                <w:bCs/>
                <w:color w:val="000000"/>
                <w:sz w:val="20"/>
                <w:szCs w:val="20"/>
                <w:lang w:val="sv-FI"/>
              </w:rPr>
              <w:t xml:space="preserve"> </w:t>
            </w:r>
            <w:r w:rsidRPr="006533A4">
              <w:rPr>
                <w:rFonts w:ascii="Bookman Old Style" w:hAnsi="Bookman Old Style" w:cs="Calibri"/>
                <w:b/>
                <w:bCs/>
                <w:color w:val="000000"/>
                <w:sz w:val="20"/>
                <w:szCs w:val="20"/>
                <w:lang w:val="sv-FI"/>
              </w:rPr>
              <w:t>(Orang)</w:t>
            </w:r>
          </w:p>
        </w:tc>
        <w:tc>
          <w:tcPr>
            <w:tcW w:w="1806" w:type="dxa"/>
            <w:shd w:val="clear" w:color="000000" w:fill="FFFFFF"/>
            <w:vAlign w:val="center"/>
            <w:hideMark/>
          </w:tcPr>
          <w:p w14:paraId="054FA105" w14:textId="77777777" w:rsidR="005A4806" w:rsidRPr="006533A4" w:rsidRDefault="005A4806" w:rsidP="0073264B">
            <w:pPr>
              <w:jc w:val="center"/>
              <w:rPr>
                <w:rFonts w:ascii="Bookman Old Style" w:hAnsi="Bookman Old Style" w:cs="Calibri"/>
                <w:b/>
                <w:bCs/>
                <w:color w:val="000000"/>
                <w:sz w:val="20"/>
                <w:szCs w:val="20"/>
                <w:lang w:val="sv-FI"/>
              </w:rPr>
            </w:pPr>
            <w:r w:rsidRPr="006533A4">
              <w:rPr>
                <w:rFonts w:ascii="Bookman Old Style" w:hAnsi="Bookman Old Style" w:cs="Calibri"/>
                <w:b/>
                <w:bCs/>
                <w:color w:val="000000"/>
                <w:sz w:val="20"/>
                <w:szCs w:val="20"/>
                <w:lang w:val="sv-FI"/>
              </w:rPr>
              <w:t>Uang</w:t>
            </w:r>
          </w:p>
          <w:p w14:paraId="5AE0F16A" w14:textId="64ECD58D" w:rsidR="005A4806" w:rsidRPr="006533A4" w:rsidRDefault="005A4806" w:rsidP="0073264B">
            <w:pPr>
              <w:jc w:val="center"/>
              <w:rPr>
                <w:rFonts w:ascii="Bookman Old Style" w:hAnsi="Bookman Old Style" w:cs="Calibri"/>
                <w:b/>
                <w:bCs/>
                <w:color w:val="000000"/>
                <w:sz w:val="20"/>
                <w:szCs w:val="20"/>
                <w:lang w:val="sv-FI"/>
              </w:rPr>
            </w:pPr>
            <w:r w:rsidRPr="006533A4">
              <w:rPr>
                <w:rFonts w:ascii="Bookman Old Style" w:hAnsi="Bookman Old Style" w:cs="Calibri"/>
                <w:b/>
                <w:bCs/>
                <w:color w:val="000000"/>
                <w:sz w:val="20"/>
                <w:szCs w:val="20"/>
                <w:lang w:val="sv-FI"/>
              </w:rPr>
              <w:t>Representasi</w:t>
            </w:r>
            <w:r w:rsidR="00A954D0">
              <w:rPr>
                <w:rFonts w:ascii="Bookman Old Style" w:hAnsi="Bookman Old Style" w:cs="Calibri"/>
                <w:b/>
                <w:bCs/>
                <w:color w:val="000000"/>
                <w:sz w:val="20"/>
                <w:szCs w:val="20"/>
                <w:lang w:val="sv-FI"/>
              </w:rPr>
              <w:t xml:space="preserve"> </w:t>
            </w:r>
            <w:r w:rsidRPr="006533A4">
              <w:rPr>
                <w:rFonts w:ascii="Bookman Old Style" w:hAnsi="Bookman Old Style" w:cs="Calibri"/>
                <w:b/>
                <w:bCs/>
                <w:color w:val="000000"/>
                <w:sz w:val="20"/>
                <w:szCs w:val="20"/>
                <w:lang w:val="sv-FI"/>
              </w:rPr>
              <w:t>Ketua</w:t>
            </w:r>
            <w:r w:rsidR="00A954D0">
              <w:rPr>
                <w:rFonts w:ascii="Bookman Old Style" w:hAnsi="Bookman Old Style" w:cs="Calibri"/>
                <w:b/>
                <w:bCs/>
                <w:color w:val="000000"/>
                <w:sz w:val="20"/>
                <w:szCs w:val="20"/>
                <w:lang w:val="sv-FI"/>
              </w:rPr>
              <w:t xml:space="preserve"> </w:t>
            </w:r>
            <w:r w:rsidRPr="006533A4">
              <w:rPr>
                <w:rFonts w:ascii="Bookman Old Style" w:hAnsi="Bookman Old Style" w:cs="Calibri"/>
                <w:b/>
                <w:bCs/>
                <w:color w:val="000000"/>
                <w:sz w:val="20"/>
                <w:szCs w:val="20"/>
                <w:lang w:val="sv-FI"/>
              </w:rPr>
              <w:t>DPRD</w:t>
            </w:r>
          </w:p>
          <w:p w14:paraId="029A5CFB" w14:textId="77777777" w:rsidR="005A4806" w:rsidRPr="006533A4" w:rsidRDefault="005A4806" w:rsidP="0073264B">
            <w:pPr>
              <w:jc w:val="center"/>
              <w:rPr>
                <w:rFonts w:ascii="Bookman Old Style" w:hAnsi="Bookman Old Style" w:cs="Calibri"/>
                <w:b/>
                <w:bCs/>
                <w:color w:val="000000"/>
                <w:sz w:val="20"/>
                <w:szCs w:val="20"/>
                <w:lang w:val="sv-FI"/>
              </w:rPr>
            </w:pPr>
            <w:r w:rsidRPr="006533A4">
              <w:rPr>
                <w:rFonts w:ascii="Bookman Old Style" w:hAnsi="Bookman Old Style" w:cs="Calibri"/>
                <w:b/>
                <w:bCs/>
                <w:color w:val="000000"/>
                <w:sz w:val="20"/>
                <w:szCs w:val="20"/>
                <w:lang w:val="sv-FI"/>
              </w:rPr>
              <w:t>(Rp)</w:t>
            </w:r>
          </w:p>
        </w:tc>
        <w:tc>
          <w:tcPr>
            <w:tcW w:w="1991" w:type="dxa"/>
            <w:shd w:val="clear" w:color="000000" w:fill="FFFFFF"/>
            <w:vAlign w:val="center"/>
            <w:hideMark/>
          </w:tcPr>
          <w:p w14:paraId="76EDCB1E" w14:textId="77777777" w:rsidR="005A4806" w:rsidRPr="006533A4" w:rsidRDefault="005A4806" w:rsidP="0073264B">
            <w:pPr>
              <w:jc w:val="center"/>
              <w:rPr>
                <w:rFonts w:ascii="Bookman Old Style" w:hAnsi="Bookman Old Style" w:cs="Calibri"/>
                <w:b/>
                <w:bCs/>
                <w:color w:val="000000"/>
                <w:sz w:val="20"/>
                <w:szCs w:val="20"/>
              </w:rPr>
            </w:pPr>
            <w:r w:rsidRPr="006533A4">
              <w:rPr>
                <w:rFonts w:ascii="Bookman Old Style" w:hAnsi="Bookman Old Style" w:cs="Calibri"/>
                <w:b/>
                <w:bCs/>
                <w:color w:val="000000"/>
                <w:sz w:val="20"/>
                <w:szCs w:val="20"/>
              </w:rPr>
              <w:t>Jumlah</w:t>
            </w:r>
          </w:p>
          <w:p w14:paraId="1B96381D" w14:textId="77777777" w:rsidR="005A4806" w:rsidRPr="006533A4" w:rsidRDefault="005A4806" w:rsidP="0073264B">
            <w:pPr>
              <w:jc w:val="center"/>
              <w:rPr>
                <w:rFonts w:ascii="Bookman Old Style" w:hAnsi="Bookman Old Style" w:cs="Calibri"/>
                <w:b/>
                <w:bCs/>
                <w:color w:val="000000"/>
                <w:sz w:val="20"/>
                <w:szCs w:val="20"/>
              </w:rPr>
            </w:pPr>
            <w:r w:rsidRPr="006533A4">
              <w:rPr>
                <w:rFonts w:ascii="Bookman Old Style" w:hAnsi="Bookman Old Style" w:cs="Calibri"/>
                <w:b/>
                <w:bCs/>
                <w:color w:val="000000"/>
                <w:sz w:val="20"/>
                <w:szCs w:val="20"/>
              </w:rPr>
              <w:t>(Rp)</w:t>
            </w:r>
          </w:p>
          <w:p w14:paraId="6CF35E77" w14:textId="08EE0929" w:rsidR="005A4806" w:rsidRPr="006533A4" w:rsidRDefault="00A954D0" w:rsidP="0073264B">
            <w:pPr>
              <w:rPr>
                <w:rFonts w:ascii="Bookman Old Style" w:hAnsi="Bookman Old Style" w:cs="Calibri"/>
                <w:b/>
                <w:bCs/>
                <w:color w:val="000000"/>
                <w:sz w:val="20"/>
                <w:szCs w:val="20"/>
              </w:rPr>
            </w:pPr>
            <w:r>
              <w:rPr>
                <w:rFonts w:ascii="Bookman Old Style" w:hAnsi="Bookman Old Style" w:cs="Calibri"/>
                <w:b/>
                <w:bCs/>
                <w:color w:val="000000"/>
                <w:sz w:val="20"/>
                <w:szCs w:val="20"/>
              </w:rPr>
              <w:t xml:space="preserve"> </w:t>
            </w:r>
          </w:p>
        </w:tc>
      </w:tr>
      <w:tr w:rsidR="005A4806" w:rsidRPr="006533A4" w14:paraId="2FBC5258" w14:textId="77777777" w:rsidTr="00AC44F5">
        <w:trPr>
          <w:trHeight w:val="700"/>
        </w:trPr>
        <w:tc>
          <w:tcPr>
            <w:tcW w:w="556" w:type="dxa"/>
            <w:shd w:val="clear" w:color="000000" w:fill="FFFFFF"/>
            <w:vAlign w:val="center"/>
            <w:hideMark/>
          </w:tcPr>
          <w:p w14:paraId="5EA6AE52" w14:textId="77777777" w:rsidR="005A4806" w:rsidRPr="006533A4" w:rsidRDefault="005A4806" w:rsidP="0073264B">
            <w:pPr>
              <w:jc w:val="center"/>
              <w:rPr>
                <w:rFonts w:ascii="Bookman Old Style" w:hAnsi="Bookman Old Style" w:cs="Calibri"/>
                <w:color w:val="000000"/>
                <w:sz w:val="20"/>
                <w:szCs w:val="20"/>
              </w:rPr>
            </w:pPr>
            <w:r w:rsidRPr="006533A4">
              <w:rPr>
                <w:rFonts w:ascii="Bookman Old Style" w:hAnsi="Bookman Old Style" w:cs="Calibri"/>
                <w:color w:val="000000"/>
                <w:sz w:val="20"/>
                <w:szCs w:val="20"/>
              </w:rPr>
              <w:t>1</w:t>
            </w:r>
          </w:p>
        </w:tc>
        <w:tc>
          <w:tcPr>
            <w:tcW w:w="2137" w:type="dxa"/>
            <w:shd w:val="clear" w:color="000000" w:fill="FFFFFF"/>
            <w:vAlign w:val="center"/>
            <w:hideMark/>
          </w:tcPr>
          <w:p w14:paraId="3B7A58A8" w14:textId="252000E8" w:rsidR="005A4806" w:rsidRPr="006533A4" w:rsidRDefault="005A4806" w:rsidP="0073264B">
            <w:pPr>
              <w:jc w:val="both"/>
              <w:rPr>
                <w:rFonts w:ascii="Bookman Old Style" w:hAnsi="Bookman Old Style" w:cs="Calibri"/>
                <w:color w:val="000000"/>
                <w:sz w:val="20"/>
                <w:szCs w:val="20"/>
                <w:lang w:val="sv-FI"/>
              </w:rPr>
            </w:pPr>
            <w:r>
              <w:rPr>
                <w:rFonts w:ascii="Bookman Old Style" w:hAnsi="Bookman Old Style" w:cs="Calibri"/>
                <w:color w:val="000000"/>
                <w:sz w:val="20"/>
                <w:szCs w:val="20"/>
                <w:lang w:val="it-IT"/>
              </w:rPr>
              <w:t>7</w:t>
            </w:r>
            <w:r w:rsidR="00A954D0">
              <w:rPr>
                <w:rFonts w:ascii="Bookman Old Style" w:hAnsi="Bookman Old Style" w:cs="Calibri"/>
                <w:color w:val="000000"/>
                <w:sz w:val="20"/>
                <w:szCs w:val="20"/>
                <w:lang w:val="it-IT"/>
              </w:rPr>
              <w:t xml:space="preserve"> </w:t>
            </w:r>
            <w:r w:rsidRPr="006533A4">
              <w:rPr>
                <w:rFonts w:ascii="Bookman Old Style" w:hAnsi="Bookman Old Style" w:cs="Calibri"/>
                <w:color w:val="000000"/>
                <w:sz w:val="20"/>
                <w:szCs w:val="20"/>
                <w:lang w:val="it-IT"/>
              </w:rPr>
              <w:t>x</w:t>
            </w:r>
            <w:r w:rsidR="00A954D0">
              <w:rPr>
                <w:rFonts w:ascii="Bookman Old Style" w:hAnsi="Bookman Old Style" w:cs="Calibri"/>
                <w:color w:val="000000"/>
                <w:sz w:val="20"/>
                <w:szCs w:val="20"/>
                <w:lang w:val="it-IT"/>
              </w:rPr>
              <w:t xml:space="preserve"> </w:t>
            </w:r>
            <w:r w:rsidRPr="006533A4">
              <w:rPr>
                <w:rFonts w:ascii="Bookman Old Style" w:hAnsi="Bookman Old Style" w:cs="Calibri"/>
                <w:color w:val="000000"/>
                <w:sz w:val="20"/>
                <w:szCs w:val="20"/>
                <w:lang w:val="it-IT"/>
              </w:rPr>
              <w:t>dari</w:t>
            </w:r>
            <w:r w:rsidR="00A954D0">
              <w:rPr>
                <w:rFonts w:ascii="Bookman Old Style" w:hAnsi="Bookman Old Style" w:cs="Calibri"/>
                <w:color w:val="000000"/>
                <w:sz w:val="20"/>
                <w:szCs w:val="20"/>
                <w:lang w:val="it-IT"/>
              </w:rPr>
              <w:t xml:space="preserve"> </w:t>
            </w:r>
            <w:r w:rsidRPr="006533A4">
              <w:rPr>
                <w:rFonts w:ascii="Bookman Old Style" w:hAnsi="Bookman Old Style" w:cs="Calibri"/>
                <w:color w:val="000000"/>
                <w:sz w:val="20"/>
                <w:szCs w:val="20"/>
                <w:lang w:val="it-IT"/>
              </w:rPr>
              <w:t>uang</w:t>
            </w:r>
            <w:r w:rsidR="00A954D0">
              <w:rPr>
                <w:rFonts w:ascii="Bookman Old Style" w:hAnsi="Bookman Old Style" w:cs="Calibri"/>
                <w:color w:val="000000"/>
                <w:sz w:val="20"/>
                <w:szCs w:val="20"/>
                <w:lang w:val="it-IT"/>
              </w:rPr>
              <w:t xml:space="preserve"> </w:t>
            </w:r>
            <w:r w:rsidRPr="006533A4">
              <w:rPr>
                <w:rFonts w:ascii="Bookman Old Style" w:hAnsi="Bookman Old Style" w:cs="Calibri"/>
                <w:color w:val="000000"/>
                <w:sz w:val="20"/>
                <w:szCs w:val="20"/>
                <w:lang w:val="it-IT"/>
              </w:rPr>
              <w:t>representasi</w:t>
            </w:r>
            <w:r w:rsidR="00A954D0">
              <w:rPr>
                <w:rFonts w:ascii="Bookman Old Style" w:hAnsi="Bookman Old Style" w:cs="Calibri"/>
                <w:color w:val="000000"/>
                <w:sz w:val="20"/>
                <w:szCs w:val="20"/>
                <w:lang w:val="it-IT"/>
              </w:rPr>
              <w:t xml:space="preserve"> </w:t>
            </w:r>
            <w:r w:rsidRPr="006533A4">
              <w:rPr>
                <w:rFonts w:ascii="Bookman Old Style" w:hAnsi="Bookman Old Style" w:cs="Calibri"/>
                <w:color w:val="000000"/>
                <w:sz w:val="20"/>
                <w:szCs w:val="20"/>
                <w:lang w:val="it-IT"/>
              </w:rPr>
              <w:t>Ketua</w:t>
            </w:r>
            <w:r w:rsidR="00A954D0">
              <w:rPr>
                <w:rFonts w:ascii="Bookman Old Style" w:hAnsi="Bookman Old Style" w:cs="Calibri"/>
                <w:color w:val="000000"/>
                <w:sz w:val="20"/>
                <w:szCs w:val="20"/>
                <w:lang w:val="it-IT"/>
              </w:rPr>
              <w:t xml:space="preserve"> </w:t>
            </w:r>
            <w:r w:rsidRPr="006533A4">
              <w:rPr>
                <w:rFonts w:ascii="Bookman Old Style" w:hAnsi="Bookman Old Style" w:cs="Calibri"/>
                <w:color w:val="000000"/>
                <w:sz w:val="20"/>
                <w:szCs w:val="20"/>
                <w:lang w:val="it-IT"/>
              </w:rPr>
              <w:t>DPRD</w:t>
            </w:r>
            <w:r w:rsidR="00A954D0">
              <w:rPr>
                <w:rFonts w:ascii="Bookman Old Style" w:hAnsi="Bookman Old Style" w:cs="Calibri"/>
                <w:color w:val="000000"/>
                <w:sz w:val="20"/>
                <w:szCs w:val="20"/>
                <w:lang w:val="it-IT"/>
              </w:rPr>
              <w:t xml:space="preserve"> </w:t>
            </w:r>
            <w:r w:rsidRPr="006533A4">
              <w:rPr>
                <w:rFonts w:ascii="Bookman Old Style" w:hAnsi="Bookman Old Style" w:cs="Calibri"/>
                <w:color w:val="000000"/>
                <w:sz w:val="20"/>
                <w:szCs w:val="20"/>
                <w:lang w:val="it-IT"/>
              </w:rPr>
              <w:t>(KKD</w:t>
            </w:r>
            <w:r w:rsidR="00A954D0">
              <w:rPr>
                <w:rFonts w:ascii="Bookman Old Style" w:hAnsi="Bookman Old Style" w:cs="Calibri"/>
                <w:color w:val="000000"/>
                <w:sz w:val="20"/>
                <w:szCs w:val="20"/>
                <w:lang w:val="it-IT"/>
              </w:rPr>
              <w:t xml:space="preserve"> </w:t>
            </w:r>
            <w:r>
              <w:rPr>
                <w:rFonts w:ascii="Bookman Old Style" w:hAnsi="Bookman Old Style" w:cs="Calibri"/>
                <w:color w:val="000000"/>
                <w:sz w:val="20"/>
                <w:szCs w:val="20"/>
                <w:lang w:val="it-IT"/>
              </w:rPr>
              <w:t>tinggi</w:t>
            </w:r>
            <w:r w:rsidRPr="006533A4">
              <w:rPr>
                <w:rFonts w:ascii="Bookman Old Style" w:hAnsi="Bookman Old Style" w:cs="Calibri"/>
                <w:color w:val="000000"/>
                <w:sz w:val="20"/>
                <w:szCs w:val="20"/>
                <w:lang w:val="it-IT"/>
              </w:rPr>
              <w:t>)</w:t>
            </w:r>
            <w:r w:rsidR="00A954D0">
              <w:rPr>
                <w:rFonts w:ascii="Bookman Old Style" w:hAnsi="Bookman Old Style" w:cs="Calibri"/>
                <w:color w:val="000000"/>
                <w:sz w:val="20"/>
                <w:szCs w:val="20"/>
                <w:lang w:val="it-IT"/>
              </w:rPr>
              <w:t xml:space="preserve"> </w:t>
            </w:r>
          </w:p>
        </w:tc>
        <w:tc>
          <w:tcPr>
            <w:tcW w:w="1773" w:type="dxa"/>
            <w:shd w:val="clear" w:color="000000" w:fill="FFFFFF"/>
            <w:vAlign w:val="center"/>
            <w:hideMark/>
          </w:tcPr>
          <w:p w14:paraId="5FA7E8D7" w14:textId="77777777" w:rsidR="005A4806" w:rsidRPr="006533A4" w:rsidRDefault="005A4806" w:rsidP="0073264B">
            <w:pPr>
              <w:jc w:val="center"/>
              <w:rPr>
                <w:rFonts w:ascii="Bookman Old Style" w:hAnsi="Bookman Old Style" w:cs="Calibri"/>
                <w:color w:val="000000"/>
                <w:sz w:val="20"/>
                <w:szCs w:val="20"/>
              </w:rPr>
            </w:pPr>
            <w:r w:rsidRPr="006533A4">
              <w:rPr>
                <w:rFonts w:ascii="Bookman Old Style" w:hAnsi="Bookman Old Style" w:cs="Calibri"/>
                <w:color w:val="000000"/>
                <w:sz w:val="20"/>
                <w:szCs w:val="20"/>
                <w:lang w:val="it-IT"/>
              </w:rPr>
              <w:t>50</w:t>
            </w:r>
          </w:p>
        </w:tc>
        <w:tc>
          <w:tcPr>
            <w:tcW w:w="1806" w:type="dxa"/>
            <w:shd w:val="clear" w:color="000000" w:fill="FFFFFF"/>
            <w:vAlign w:val="center"/>
            <w:hideMark/>
          </w:tcPr>
          <w:p w14:paraId="479C68B5" w14:textId="4F88043F" w:rsidR="005A4806" w:rsidRPr="006533A4" w:rsidRDefault="005A4806" w:rsidP="0073264B">
            <w:pPr>
              <w:jc w:val="right"/>
              <w:rPr>
                <w:rFonts w:ascii="Bookman Old Style" w:hAnsi="Bookman Old Style" w:cs="Calibri"/>
                <w:color w:val="000000"/>
                <w:sz w:val="20"/>
                <w:szCs w:val="20"/>
              </w:rPr>
            </w:pPr>
            <w:r w:rsidRPr="006533A4">
              <w:rPr>
                <w:rFonts w:ascii="Bookman Old Style" w:hAnsi="Bookman Old Style" w:cs="Calibri"/>
                <w:color w:val="000000"/>
                <w:sz w:val="20"/>
                <w:szCs w:val="20"/>
                <w:lang w:val="sv-FI"/>
              </w:rPr>
              <w:t>2.100.000,00</w:t>
            </w:r>
            <w:r w:rsidR="00A954D0">
              <w:rPr>
                <w:rFonts w:ascii="Bookman Old Style" w:hAnsi="Bookman Old Style" w:cs="Calibri"/>
                <w:color w:val="000000"/>
                <w:sz w:val="20"/>
                <w:szCs w:val="20"/>
                <w:lang w:val="sv-FI"/>
              </w:rPr>
              <w:t xml:space="preserve"> </w:t>
            </w:r>
          </w:p>
        </w:tc>
        <w:tc>
          <w:tcPr>
            <w:tcW w:w="1991" w:type="dxa"/>
            <w:shd w:val="clear" w:color="000000" w:fill="FFFFFF"/>
            <w:vAlign w:val="center"/>
            <w:hideMark/>
          </w:tcPr>
          <w:p w14:paraId="5669B11C" w14:textId="1DB14C91" w:rsidR="005A4806" w:rsidRPr="006533A4" w:rsidRDefault="005A4806" w:rsidP="0073264B">
            <w:pPr>
              <w:jc w:val="right"/>
              <w:rPr>
                <w:rFonts w:ascii="Bookman Old Style" w:hAnsi="Bookman Old Style" w:cs="Calibri"/>
                <w:color w:val="000000"/>
                <w:sz w:val="20"/>
                <w:szCs w:val="20"/>
              </w:rPr>
            </w:pPr>
            <w:r>
              <w:rPr>
                <w:rFonts w:ascii="Bookman Old Style" w:hAnsi="Bookman Old Style" w:cs="Calibri"/>
                <w:color w:val="000000"/>
                <w:sz w:val="20"/>
                <w:szCs w:val="20"/>
                <w:lang w:val="it-IT"/>
              </w:rPr>
              <w:t>2</w:t>
            </w:r>
            <w:r w:rsidRPr="006533A4">
              <w:rPr>
                <w:rFonts w:ascii="Bookman Old Style" w:hAnsi="Bookman Old Style" w:cs="Calibri"/>
                <w:color w:val="000000"/>
                <w:sz w:val="20"/>
                <w:szCs w:val="20"/>
                <w:lang w:val="it-IT"/>
              </w:rPr>
              <w:t>.</w:t>
            </w:r>
            <w:r>
              <w:rPr>
                <w:rFonts w:ascii="Bookman Old Style" w:hAnsi="Bookman Old Style" w:cs="Calibri"/>
                <w:color w:val="000000"/>
                <w:sz w:val="20"/>
                <w:szCs w:val="20"/>
                <w:lang w:val="it-IT"/>
              </w:rPr>
              <w:t>205</w:t>
            </w:r>
            <w:r w:rsidRPr="006533A4">
              <w:rPr>
                <w:rFonts w:ascii="Bookman Old Style" w:hAnsi="Bookman Old Style" w:cs="Calibri"/>
                <w:color w:val="000000"/>
                <w:sz w:val="20"/>
                <w:szCs w:val="20"/>
                <w:lang w:val="it-IT"/>
              </w:rPr>
              <w:t>.000.000,00</w:t>
            </w:r>
            <w:r w:rsidR="00A954D0">
              <w:rPr>
                <w:rFonts w:ascii="Bookman Old Style" w:hAnsi="Bookman Old Style" w:cs="Calibri"/>
                <w:color w:val="000000"/>
                <w:sz w:val="20"/>
                <w:szCs w:val="20"/>
                <w:lang w:val="it-IT"/>
              </w:rPr>
              <w:t xml:space="preserve"> </w:t>
            </w:r>
          </w:p>
        </w:tc>
      </w:tr>
      <w:tr w:rsidR="00875947" w:rsidRPr="006533A4" w14:paraId="380A4309" w14:textId="77777777" w:rsidTr="00AC44F5">
        <w:trPr>
          <w:trHeight w:val="470"/>
        </w:trPr>
        <w:tc>
          <w:tcPr>
            <w:tcW w:w="556" w:type="dxa"/>
            <w:shd w:val="clear" w:color="000000" w:fill="FFFFFF"/>
            <w:vAlign w:val="center"/>
            <w:hideMark/>
          </w:tcPr>
          <w:p w14:paraId="66AFC545" w14:textId="77777777" w:rsidR="00875947" w:rsidRPr="006533A4" w:rsidRDefault="00875947" w:rsidP="0073264B">
            <w:pPr>
              <w:jc w:val="center"/>
              <w:rPr>
                <w:rFonts w:ascii="Bookman Old Style" w:hAnsi="Bookman Old Style" w:cs="Calibri"/>
                <w:color w:val="000000"/>
                <w:sz w:val="20"/>
                <w:szCs w:val="20"/>
              </w:rPr>
            </w:pPr>
            <w:r w:rsidRPr="006533A4">
              <w:rPr>
                <w:rFonts w:ascii="Bookman Old Style" w:hAnsi="Bookman Old Style" w:cs="Calibri"/>
                <w:color w:val="000000"/>
                <w:sz w:val="20"/>
                <w:szCs w:val="20"/>
              </w:rPr>
              <w:t>2</w:t>
            </w:r>
          </w:p>
        </w:tc>
        <w:tc>
          <w:tcPr>
            <w:tcW w:w="5716" w:type="dxa"/>
            <w:gridSpan w:val="3"/>
            <w:shd w:val="clear" w:color="000000" w:fill="FFFFFF"/>
            <w:vAlign w:val="center"/>
            <w:hideMark/>
          </w:tcPr>
          <w:p w14:paraId="7CDE4F4E" w14:textId="064D6DCC" w:rsidR="00875947" w:rsidRPr="006533A4" w:rsidRDefault="00875947" w:rsidP="00875947">
            <w:pPr>
              <w:jc w:val="both"/>
              <w:rPr>
                <w:rFonts w:ascii="Bookman Old Style" w:hAnsi="Bookman Old Style" w:cs="Calibri"/>
                <w:color w:val="000000"/>
                <w:sz w:val="20"/>
                <w:szCs w:val="20"/>
                <w:lang w:val="sv-FI"/>
              </w:rPr>
            </w:pPr>
            <w:r w:rsidRPr="006533A4">
              <w:rPr>
                <w:rFonts w:ascii="Bookman Old Style" w:hAnsi="Bookman Old Style" w:cs="Calibri"/>
                <w:color w:val="000000"/>
                <w:sz w:val="20"/>
                <w:szCs w:val="20"/>
                <w:lang w:val="fi-FI"/>
              </w:rPr>
              <w:t>Alokasi</w:t>
            </w:r>
            <w:r>
              <w:rPr>
                <w:rFonts w:ascii="Bookman Old Style" w:hAnsi="Bookman Old Style" w:cs="Calibri"/>
                <w:color w:val="000000"/>
                <w:sz w:val="20"/>
                <w:szCs w:val="20"/>
                <w:lang w:val="fi-FI"/>
              </w:rPr>
              <w:t xml:space="preserve"> </w:t>
            </w:r>
            <w:r w:rsidRPr="006533A4">
              <w:rPr>
                <w:rFonts w:ascii="Bookman Old Style" w:hAnsi="Bookman Old Style" w:cs="Calibri"/>
                <w:color w:val="000000"/>
                <w:sz w:val="20"/>
                <w:szCs w:val="20"/>
                <w:lang w:val="fi-FI"/>
              </w:rPr>
              <w:t>Tunjangan</w:t>
            </w:r>
            <w:r>
              <w:rPr>
                <w:rFonts w:ascii="Bookman Old Style" w:hAnsi="Bookman Old Style" w:cs="Calibri"/>
                <w:color w:val="000000"/>
                <w:sz w:val="20"/>
                <w:szCs w:val="20"/>
                <w:lang w:val="fi-FI"/>
              </w:rPr>
              <w:t xml:space="preserve"> </w:t>
            </w:r>
            <w:r w:rsidRPr="006533A4">
              <w:rPr>
                <w:rFonts w:ascii="Bookman Old Style" w:hAnsi="Bookman Old Style" w:cs="Calibri"/>
                <w:color w:val="000000"/>
                <w:sz w:val="20"/>
                <w:szCs w:val="20"/>
                <w:lang w:val="fi-FI"/>
              </w:rPr>
              <w:t>Reses</w:t>
            </w:r>
            <w:r>
              <w:rPr>
                <w:rFonts w:ascii="Bookman Old Style" w:hAnsi="Bookman Old Style" w:cs="Calibri"/>
                <w:color w:val="000000"/>
                <w:sz w:val="20"/>
                <w:szCs w:val="20"/>
                <w:lang w:val="fi-FI"/>
              </w:rPr>
              <w:t xml:space="preserve"> </w:t>
            </w:r>
            <w:r w:rsidRPr="006533A4">
              <w:rPr>
                <w:rFonts w:ascii="Bookman Old Style" w:hAnsi="Bookman Old Style" w:cs="Calibri"/>
                <w:color w:val="000000"/>
                <w:sz w:val="20"/>
                <w:szCs w:val="20"/>
                <w:lang w:val="fi-FI"/>
              </w:rPr>
              <w:t>pada</w:t>
            </w:r>
            <w:r>
              <w:rPr>
                <w:rFonts w:ascii="Bookman Old Style" w:hAnsi="Bookman Old Style" w:cs="Calibri"/>
                <w:color w:val="000000"/>
                <w:sz w:val="20"/>
                <w:szCs w:val="20"/>
                <w:lang w:val="fi-FI"/>
              </w:rPr>
              <w:t xml:space="preserve"> </w:t>
            </w:r>
            <w:r w:rsidRPr="006533A4">
              <w:rPr>
                <w:rFonts w:ascii="Bookman Old Style" w:hAnsi="Bookman Old Style" w:cs="Calibri"/>
                <w:color w:val="000000"/>
                <w:sz w:val="20"/>
                <w:szCs w:val="20"/>
                <w:lang w:val="fi-FI"/>
              </w:rPr>
              <w:t>APBD</w:t>
            </w:r>
            <w:r>
              <w:rPr>
                <w:rFonts w:ascii="Bookman Old Style" w:hAnsi="Bookman Old Style" w:cs="Calibri"/>
                <w:color w:val="000000"/>
                <w:sz w:val="20"/>
                <w:szCs w:val="20"/>
                <w:lang w:val="fi-FI"/>
              </w:rPr>
              <w:t xml:space="preserve"> </w:t>
            </w:r>
          </w:p>
        </w:tc>
        <w:tc>
          <w:tcPr>
            <w:tcW w:w="1991" w:type="dxa"/>
            <w:shd w:val="clear" w:color="auto" w:fill="auto"/>
            <w:vAlign w:val="center"/>
            <w:hideMark/>
          </w:tcPr>
          <w:p w14:paraId="77955C7E" w14:textId="77777777" w:rsidR="00875947" w:rsidRPr="006533A4" w:rsidRDefault="00875947" w:rsidP="0073264B">
            <w:pPr>
              <w:jc w:val="right"/>
              <w:rPr>
                <w:rFonts w:ascii="Bookman Old Style" w:hAnsi="Bookman Old Style" w:cs="Calibri"/>
                <w:sz w:val="20"/>
                <w:szCs w:val="20"/>
              </w:rPr>
            </w:pPr>
            <w:r>
              <w:rPr>
                <w:rFonts w:ascii="Bookman Old Style" w:hAnsi="Bookman Old Style" w:cs="Calibri"/>
                <w:sz w:val="20"/>
                <w:szCs w:val="20"/>
              </w:rPr>
              <w:t>2</w:t>
            </w:r>
            <w:r w:rsidRPr="006533A4">
              <w:rPr>
                <w:rFonts w:ascii="Bookman Old Style" w:hAnsi="Bookman Old Style" w:cs="Calibri"/>
                <w:sz w:val="20"/>
                <w:szCs w:val="20"/>
              </w:rPr>
              <w:t>.</w:t>
            </w:r>
            <w:r>
              <w:rPr>
                <w:rFonts w:ascii="Bookman Old Style" w:hAnsi="Bookman Old Style" w:cs="Calibri"/>
                <w:sz w:val="20"/>
                <w:szCs w:val="20"/>
              </w:rPr>
              <w:t>205</w:t>
            </w:r>
            <w:r w:rsidRPr="006533A4">
              <w:rPr>
                <w:rFonts w:ascii="Bookman Old Style" w:hAnsi="Bookman Old Style" w:cs="Calibri"/>
                <w:sz w:val="20"/>
                <w:szCs w:val="20"/>
              </w:rPr>
              <w:t>.000.000,00</w:t>
            </w:r>
          </w:p>
        </w:tc>
      </w:tr>
      <w:tr w:rsidR="00875947" w:rsidRPr="006533A4" w14:paraId="55A27217" w14:textId="77777777" w:rsidTr="00AC44F5">
        <w:trPr>
          <w:trHeight w:val="300"/>
        </w:trPr>
        <w:tc>
          <w:tcPr>
            <w:tcW w:w="556" w:type="dxa"/>
            <w:shd w:val="clear" w:color="000000" w:fill="FFFFFF"/>
            <w:vAlign w:val="center"/>
            <w:hideMark/>
          </w:tcPr>
          <w:p w14:paraId="7CBA9472" w14:textId="3631ADD3" w:rsidR="00875947" w:rsidRPr="006533A4" w:rsidRDefault="00875947" w:rsidP="0073264B">
            <w:pPr>
              <w:rPr>
                <w:rFonts w:ascii="Bookman Old Style" w:hAnsi="Bookman Old Style" w:cs="Calibri"/>
                <w:color w:val="000000"/>
                <w:sz w:val="20"/>
                <w:szCs w:val="20"/>
              </w:rPr>
            </w:pPr>
            <w:r>
              <w:rPr>
                <w:rFonts w:ascii="Bookman Old Style" w:hAnsi="Bookman Old Style" w:cs="Calibri"/>
                <w:color w:val="000000"/>
                <w:sz w:val="20"/>
                <w:szCs w:val="20"/>
              </w:rPr>
              <w:t xml:space="preserve"> </w:t>
            </w:r>
          </w:p>
        </w:tc>
        <w:tc>
          <w:tcPr>
            <w:tcW w:w="5716" w:type="dxa"/>
            <w:gridSpan w:val="3"/>
            <w:shd w:val="clear" w:color="000000" w:fill="FFFFFF"/>
            <w:vAlign w:val="center"/>
            <w:hideMark/>
          </w:tcPr>
          <w:p w14:paraId="6DEF0A20" w14:textId="00E2F45E" w:rsidR="00875947" w:rsidRPr="006533A4" w:rsidRDefault="00875947" w:rsidP="0073264B">
            <w:pPr>
              <w:rPr>
                <w:rFonts w:ascii="Bookman Old Style" w:hAnsi="Bookman Old Style" w:cs="Calibri"/>
                <w:color w:val="000000"/>
                <w:sz w:val="20"/>
                <w:szCs w:val="20"/>
              </w:rPr>
            </w:pPr>
            <w:r w:rsidRPr="006533A4">
              <w:rPr>
                <w:rFonts w:ascii="Bookman Old Style" w:hAnsi="Bookman Old Style" w:cs="Calibri"/>
                <w:color w:val="000000"/>
                <w:sz w:val="20"/>
                <w:szCs w:val="20"/>
              </w:rPr>
              <w:t>Selisih</w:t>
            </w:r>
            <w:r>
              <w:rPr>
                <w:rFonts w:ascii="Bookman Old Style" w:hAnsi="Bookman Old Style" w:cs="Calibri"/>
                <w:color w:val="000000"/>
                <w:sz w:val="20"/>
                <w:szCs w:val="20"/>
              </w:rPr>
              <w:t xml:space="preserve"> </w:t>
            </w:r>
          </w:p>
        </w:tc>
        <w:tc>
          <w:tcPr>
            <w:tcW w:w="1991" w:type="dxa"/>
            <w:shd w:val="clear" w:color="000000" w:fill="FFFFFF"/>
            <w:vAlign w:val="center"/>
            <w:hideMark/>
          </w:tcPr>
          <w:p w14:paraId="06646C7C" w14:textId="26B558A4" w:rsidR="00875947" w:rsidRPr="006533A4" w:rsidRDefault="00875947" w:rsidP="0073264B">
            <w:pPr>
              <w:jc w:val="right"/>
              <w:rPr>
                <w:rFonts w:ascii="Bookman Old Style" w:hAnsi="Bookman Old Style" w:cs="Calibri"/>
                <w:color w:val="000000"/>
                <w:sz w:val="20"/>
                <w:szCs w:val="20"/>
              </w:rPr>
            </w:pPr>
            <w:r>
              <w:rPr>
                <w:rFonts w:ascii="Bookman Old Style" w:hAnsi="Bookman Old Style" w:cs="Calibri"/>
                <w:color w:val="000000"/>
                <w:sz w:val="20"/>
                <w:szCs w:val="20"/>
              </w:rPr>
              <w:t xml:space="preserve"> </w:t>
            </w:r>
            <w:r w:rsidRPr="006533A4">
              <w:rPr>
                <w:rFonts w:ascii="Bookman Old Style" w:hAnsi="Bookman Old Style" w:cs="Calibri"/>
                <w:color w:val="000000"/>
                <w:sz w:val="20"/>
                <w:szCs w:val="20"/>
              </w:rPr>
              <w:t>-</w:t>
            </w:r>
            <w:r>
              <w:rPr>
                <w:rFonts w:ascii="Bookman Old Style" w:hAnsi="Bookman Old Style" w:cs="Calibri"/>
                <w:color w:val="000000"/>
                <w:sz w:val="20"/>
                <w:szCs w:val="20"/>
              </w:rPr>
              <w:t xml:space="preserve"> </w:t>
            </w:r>
          </w:p>
        </w:tc>
      </w:tr>
    </w:tbl>
    <w:p w14:paraId="1495C6FC" w14:textId="3128F35B" w:rsidR="005A4806" w:rsidRPr="00727324" w:rsidRDefault="005A4806" w:rsidP="00AC44F5">
      <w:pPr>
        <w:pStyle w:val="NormalWeb"/>
        <w:snapToGrid w:val="0"/>
        <w:spacing w:before="60" w:beforeAutospacing="0" w:after="0" w:afterAutospacing="0" w:line="276" w:lineRule="auto"/>
        <w:ind w:left="3261"/>
        <w:jc w:val="both"/>
        <w:rPr>
          <w:rFonts w:ascii="Bookman Old Style" w:hAnsi="Bookman Old Style"/>
          <w:color w:val="FF0000"/>
          <w:lang w:val="sv-FI"/>
        </w:rPr>
      </w:pPr>
      <w:r w:rsidRPr="00727324">
        <w:rPr>
          <w:rFonts w:ascii="Bookman Old Style" w:hAnsi="Bookman Old Style"/>
          <w:color w:val="000000" w:themeColor="text1"/>
          <w:lang w:val="sv-FI"/>
        </w:rPr>
        <w:lastRenderedPageBreak/>
        <w:t>Berdasarkan</w:t>
      </w:r>
      <w:r w:rsidR="00A954D0">
        <w:rPr>
          <w:rFonts w:ascii="Bookman Old Style" w:hAnsi="Bookman Old Style"/>
          <w:color w:val="000000" w:themeColor="text1"/>
          <w:lang w:val="sv-FI"/>
        </w:rPr>
        <w:t xml:space="preserve"> </w:t>
      </w:r>
      <w:r w:rsidRPr="00727324">
        <w:rPr>
          <w:rFonts w:ascii="Bookman Old Style" w:hAnsi="Bookman Old Style"/>
          <w:color w:val="000000" w:themeColor="text1"/>
          <w:lang w:val="sv-FI"/>
        </w:rPr>
        <w:t>tabel</w:t>
      </w:r>
      <w:r w:rsidR="00A954D0">
        <w:rPr>
          <w:rFonts w:ascii="Bookman Old Style" w:hAnsi="Bookman Old Style" w:cs="Arial"/>
          <w:color w:val="000000" w:themeColor="text1"/>
          <w:lang w:val="sv-FI"/>
        </w:rPr>
        <w:t xml:space="preserve"> </w:t>
      </w:r>
      <w:r w:rsidRPr="00727324">
        <w:rPr>
          <w:rFonts w:ascii="Bookman Old Style" w:hAnsi="Bookman Old Style" w:cs="Arial"/>
          <w:color w:val="000000" w:themeColor="text1"/>
          <w:lang w:val="sv-FI"/>
        </w:rPr>
        <w:t>sebagaimana</w:t>
      </w:r>
      <w:r w:rsidR="00A954D0">
        <w:rPr>
          <w:rFonts w:ascii="Bookman Old Style" w:hAnsi="Bookman Old Style"/>
          <w:color w:val="000000" w:themeColor="text1"/>
          <w:lang w:val="sv-FI"/>
        </w:rPr>
        <w:t xml:space="preserve"> </w:t>
      </w:r>
      <w:r w:rsidRPr="00727324">
        <w:rPr>
          <w:rFonts w:ascii="Bookman Old Style" w:hAnsi="Bookman Old Style"/>
          <w:color w:val="000000" w:themeColor="text1"/>
          <w:lang w:val="sv-FI"/>
        </w:rPr>
        <w:t>di</w:t>
      </w:r>
      <w:r w:rsidR="00A954D0">
        <w:rPr>
          <w:rFonts w:ascii="Bookman Old Style" w:hAnsi="Bookman Old Style"/>
          <w:color w:val="000000" w:themeColor="text1"/>
          <w:lang w:val="sv-FI"/>
        </w:rPr>
        <w:t xml:space="preserve"> </w:t>
      </w:r>
      <w:r w:rsidRPr="00727324">
        <w:rPr>
          <w:rFonts w:ascii="Bookman Old Style" w:hAnsi="Bookman Old Style"/>
          <w:color w:val="000000" w:themeColor="text1"/>
          <w:lang w:val="sv-FI"/>
        </w:rPr>
        <w:t>atas,</w:t>
      </w:r>
      <w:r w:rsidR="00A954D0">
        <w:rPr>
          <w:rFonts w:ascii="Bookman Old Style" w:hAnsi="Bookman Old Style"/>
          <w:color w:val="000000" w:themeColor="text1"/>
          <w:lang w:val="sv-FI"/>
        </w:rPr>
        <w:t xml:space="preserve"> </w:t>
      </w:r>
      <w:r w:rsidRPr="00727324">
        <w:rPr>
          <w:rFonts w:ascii="Bookman Old Style" w:hAnsi="Bookman Old Style"/>
          <w:color w:val="000000" w:themeColor="text1"/>
          <w:lang w:val="sv-FI"/>
        </w:rPr>
        <w:t>Pemerintah</w:t>
      </w:r>
      <w:r w:rsidR="00A954D0">
        <w:rPr>
          <w:rFonts w:ascii="Bookman Old Style" w:hAnsi="Bookman Old Style"/>
          <w:color w:val="000000" w:themeColor="text1"/>
          <w:lang w:val="sv-FI"/>
        </w:rPr>
        <w:t xml:space="preserve"> </w:t>
      </w:r>
      <w:r w:rsidRPr="00727324">
        <w:rPr>
          <w:rFonts w:ascii="Bookman Old Style" w:hAnsi="Bookman Old Style"/>
          <w:color w:val="000000" w:themeColor="text1"/>
          <w:lang w:val="sv-FI"/>
        </w:rPr>
        <w:t>Daerah</w:t>
      </w:r>
      <w:r w:rsidR="00A954D0">
        <w:rPr>
          <w:rFonts w:ascii="Bookman Old Style" w:hAnsi="Bookman Old Style"/>
          <w:color w:val="FF0000"/>
          <w:lang w:val="id-ID"/>
        </w:rPr>
        <w:t xml:space="preserve"> </w:t>
      </w:r>
      <w:r w:rsidRPr="00727324">
        <w:rPr>
          <w:rFonts w:ascii="Bookman Old Style" w:hAnsi="Bookman Old Style"/>
          <w:lang w:val="id-ID"/>
        </w:rPr>
        <w:t>Kota</w:t>
      </w:r>
      <w:r w:rsidR="00A954D0">
        <w:rPr>
          <w:rFonts w:ascii="Bookman Old Style" w:hAnsi="Bookman Old Style"/>
          <w:lang w:val="id-ID"/>
        </w:rPr>
        <w:t xml:space="preserve"> </w:t>
      </w:r>
      <w:r>
        <w:rPr>
          <w:rFonts w:ascii="Bookman Old Style" w:hAnsi="Bookman Old Style"/>
          <w:lang w:val="id-ID"/>
        </w:rPr>
        <w:t>Tangerang</w:t>
      </w:r>
      <w:r w:rsidR="00A954D0">
        <w:rPr>
          <w:rFonts w:ascii="Bookman Old Style" w:hAnsi="Bookman Old Style"/>
          <w:lang w:val="id-ID"/>
        </w:rPr>
        <w:t xml:space="preserve"> </w:t>
      </w:r>
      <w:r w:rsidRPr="00727324">
        <w:rPr>
          <w:rFonts w:ascii="Bookman Old Style" w:hAnsi="Bookman Old Style"/>
          <w:b/>
          <w:bCs/>
          <w:color w:val="000000" w:themeColor="text1"/>
          <w:lang w:val="sv-FI"/>
        </w:rPr>
        <w:t>telah</w:t>
      </w:r>
      <w:r w:rsidR="00A954D0">
        <w:rPr>
          <w:rFonts w:ascii="Bookman Old Style" w:hAnsi="Bookman Old Style"/>
          <w:b/>
          <w:bCs/>
          <w:color w:val="000000" w:themeColor="text1"/>
          <w:lang w:val="sv-FI"/>
        </w:rPr>
        <w:t xml:space="preserve"> </w:t>
      </w:r>
      <w:r w:rsidRPr="00727324">
        <w:rPr>
          <w:rFonts w:ascii="Bookman Old Style" w:hAnsi="Bookman Old Style"/>
          <w:b/>
          <w:bCs/>
          <w:color w:val="000000" w:themeColor="text1"/>
          <w:lang w:val="sv-FI"/>
        </w:rPr>
        <w:t>memenuhi</w:t>
      </w:r>
      <w:r w:rsidR="00A954D0">
        <w:rPr>
          <w:rFonts w:ascii="Bookman Old Style" w:hAnsi="Bookman Old Style"/>
          <w:color w:val="000000" w:themeColor="text1"/>
          <w:lang w:val="sv-FI"/>
        </w:rPr>
        <w:t xml:space="preserve"> </w:t>
      </w:r>
      <w:r w:rsidRPr="00727324">
        <w:rPr>
          <w:rFonts w:ascii="Bookman Old Style" w:hAnsi="Bookman Old Style"/>
          <w:color w:val="000000" w:themeColor="text1"/>
          <w:lang w:val="sv-FI"/>
        </w:rPr>
        <w:t>amanat</w:t>
      </w:r>
      <w:r w:rsidR="00A954D0">
        <w:rPr>
          <w:rFonts w:ascii="Bookman Old Style" w:hAnsi="Bookman Old Style"/>
          <w:color w:val="000000" w:themeColor="text1"/>
          <w:lang w:val="sv-FI"/>
        </w:rPr>
        <w:t xml:space="preserve"> </w:t>
      </w:r>
      <w:r w:rsidRPr="003255BC">
        <w:rPr>
          <w:rFonts w:ascii="Bookman Old Style" w:hAnsi="Bookman Old Style"/>
          <w:lang w:val="sv-FI"/>
        </w:rPr>
        <w:t>Pasal</w:t>
      </w:r>
      <w:r w:rsidR="00A954D0" w:rsidRPr="003255BC">
        <w:rPr>
          <w:rFonts w:ascii="Bookman Old Style" w:hAnsi="Bookman Old Style"/>
          <w:lang w:val="sv-FI"/>
        </w:rPr>
        <w:t xml:space="preserve"> </w:t>
      </w:r>
      <w:r w:rsidRPr="003255BC">
        <w:rPr>
          <w:rFonts w:ascii="Bookman Old Style" w:hAnsi="Bookman Old Style"/>
          <w:lang w:val="sv-FI"/>
        </w:rPr>
        <w:t>8</w:t>
      </w:r>
      <w:r w:rsidR="00A954D0" w:rsidRPr="003255BC">
        <w:rPr>
          <w:rFonts w:ascii="Bookman Old Style" w:hAnsi="Bookman Old Style"/>
          <w:lang w:val="sv-FI"/>
        </w:rPr>
        <w:t xml:space="preserve"> </w:t>
      </w:r>
      <w:r w:rsidRPr="003255BC">
        <w:rPr>
          <w:rFonts w:ascii="Bookman Old Style" w:hAnsi="Bookman Old Style"/>
          <w:lang w:val="sv-FI"/>
        </w:rPr>
        <w:t>Peraturan</w:t>
      </w:r>
      <w:r w:rsidR="00A954D0" w:rsidRPr="003255BC">
        <w:rPr>
          <w:rFonts w:ascii="Bookman Old Style" w:hAnsi="Bookman Old Style"/>
          <w:lang w:val="sv-FI"/>
        </w:rPr>
        <w:t xml:space="preserve"> </w:t>
      </w:r>
      <w:r w:rsidRPr="003255BC">
        <w:rPr>
          <w:rFonts w:ascii="Bookman Old Style" w:hAnsi="Bookman Old Style"/>
          <w:lang w:val="sv-FI"/>
        </w:rPr>
        <w:t>Pemerintah</w:t>
      </w:r>
      <w:r w:rsidR="00A954D0" w:rsidRPr="003255BC">
        <w:rPr>
          <w:rFonts w:ascii="Bookman Old Style" w:hAnsi="Bookman Old Style"/>
          <w:lang w:val="sv-FI"/>
        </w:rPr>
        <w:t xml:space="preserve"> </w:t>
      </w:r>
      <w:r w:rsidRPr="003255BC">
        <w:rPr>
          <w:rFonts w:ascii="Bookman Old Style" w:hAnsi="Bookman Old Style"/>
          <w:lang w:val="sv-FI"/>
        </w:rPr>
        <w:t>Nomor</w:t>
      </w:r>
      <w:r w:rsidR="00A954D0" w:rsidRPr="003255BC">
        <w:rPr>
          <w:rFonts w:ascii="Bookman Old Style" w:hAnsi="Bookman Old Style"/>
          <w:lang w:val="sv-FI"/>
        </w:rPr>
        <w:t xml:space="preserve"> </w:t>
      </w:r>
      <w:r w:rsidRPr="003255BC">
        <w:rPr>
          <w:rFonts w:ascii="Bookman Old Style" w:hAnsi="Bookman Old Style"/>
          <w:lang w:val="sv-FI"/>
        </w:rPr>
        <w:t>18</w:t>
      </w:r>
      <w:r w:rsidR="00A954D0" w:rsidRPr="003255BC">
        <w:rPr>
          <w:rFonts w:ascii="Bookman Old Style" w:hAnsi="Bookman Old Style"/>
          <w:lang w:val="sv-FI"/>
        </w:rPr>
        <w:t xml:space="preserve"> </w:t>
      </w:r>
      <w:r w:rsidRPr="003255BC">
        <w:rPr>
          <w:rFonts w:ascii="Bookman Old Style" w:hAnsi="Bookman Old Style"/>
          <w:lang w:val="sv-FI"/>
        </w:rPr>
        <w:t>Tahun</w:t>
      </w:r>
      <w:r w:rsidR="00A954D0" w:rsidRPr="003255BC">
        <w:rPr>
          <w:rFonts w:ascii="Bookman Old Style" w:hAnsi="Bookman Old Style"/>
          <w:lang w:val="sv-FI"/>
        </w:rPr>
        <w:t xml:space="preserve"> </w:t>
      </w:r>
      <w:r w:rsidRPr="003255BC">
        <w:rPr>
          <w:rFonts w:ascii="Bookman Old Style" w:hAnsi="Bookman Old Style"/>
          <w:lang w:val="sv-FI"/>
        </w:rPr>
        <w:t>2017</w:t>
      </w:r>
      <w:r w:rsidR="00A954D0" w:rsidRPr="003255BC">
        <w:rPr>
          <w:rFonts w:ascii="Bookman Old Style" w:hAnsi="Bookman Old Style"/>
          <w:lang w:val="sv-FI"/>
        </w:rPr>
        <w:t xml:space="preserve"> </w:t>
      </w:r>
      <w:r w:rsidRPr="003255BC">
        <w:rPr>
          <w:rFonts w:ascii="Bookman Old Style" w:hAnsi="Bookman Old Style"/>
          <w:lang w:val="sv-FI"/>
        </w:rPr>
        <w:t>sebagaimana</w:t>
      </w:r>
      <w:r w:rsidR="00A954D0" w:rsidRPr="003255BC">
        <w:rPr>
          <w:rFonts w:ascii="Bookman Old Style" w:hAnsi="Bookman Old Style"/>
          <w:lang w:val="sv-FI"/>
        </w:rPr>
        <w:t xml:space="preserve"> </w:t>
      </w:r>
      <w:r w:rsidRPr="003255BC">
        <w:rPr>
          <w:rFonts w:ascii="Bookman Old Style" w:hAnsi="Bookman Old Style"/>
          <w:lang w:val="sv-FI"/>
        </w:rPr>
        <w:t>telah</w:t>
      </w:r>
      <w:r w:rsidR="00A954D0" w:rsidRPr="003255BC">
        <w:rPr>
          <w:rFonts w:ascii="Bookman Old Style" w:hAnsi="Bookman Old Style"/>
          <w:lang w:val="sv-FI"/>
        </w:rPr>
        <w:t xml:space="preserve"> </w:t>
      </w:r>
      <w:r w:rsidRPr="003255BC">
        <w:rPr>
          <w:rFonts w:ascii="Bookman Old Style" w:hAnsi="Bookman Old Style"/>
          <w:lang w:val="sv-FI"/>
        </w:rPr>
        <w:t>diubah</w:t>
      </w:r>
      <w:r w:rsidR="00A954D0" w:rsidRPr="003255BC">
        <w:rPr>
          <w:rFonts w:ascii="Bookman Old Style" w:hAnsi="Bookman Old Style"/>
          <w:lang w:val="sv-FI"/>
        </w:rPr>
        <w:t xml:space="preserve"> </w:t>
      </w:r>
      <w:r w:rsidRPr="003255BC">
        <w:rPr>
          <w:rFonts w:ascii="Bookman Old Style" w:hAnsi="Bookman Old Style"/>
          <w:lang w:val="sv-FI"/>
        </w:rPr>
        <w:t>dengan</w:t>
      </w:r>
      <w:r w:rsidR="00A954D0" w:rsidRPr="003255BC">
        <w:rPr>
          <w:rFonts w:ascii="Bookman Old Style" w:hAnsi="Bookman Old Style"/>
          <w:lang w:val="sv-FI"/>
        </w:rPr>
        <w:t xml:space="preserve"> </w:t>
      </w:r>
      <w:r w:rsidRPr="003255BC">
        <w:rPr>
          <w:rFonts w:ascii="Bookman Old Style" w:hAnsi="Bookman Old Style"/>
          <w:lang w:val="sv-FI"/>
        </w:rPr>
        <w:t>Peraturan</w:t>
      </w:r>
      <w:r w:rsidR="00A954D0" w:rsidRPr="003255BC">
        <w:rPr>
          <w:rFonts w:ascii="Bookman Old Style" w:hAnsi="Bookman Old Style"/>
          <w:lang w:val="sv-FI"/>
        </w:rPr>
        <w:t xml:space="preserve"> </w:t>
      </w:r>
      <w:r w:rsidRPr="003255BC">
        <w:rPr>
          <w:rFonts w:ascii="Bookman Old Style" w:hAnsi="Bookman Old Style"/>
          <w:lang w:val="sv-FI"/>
        </w:rPr>
        <w:t>Pemerintah</w:t>
      </w:r>
      <w:r w:rsidR="00A954D0" w:rsidRPr="003255BC">
        <w:rPr>
          <w:rFonts w:ascii="Bookman Old Style" w:hAnsi="Bookman Old Style"/>
          <w:lang w:val="sv-FI"/>
        </w:rPr>
        <w:t xml:space="preserve"> </w:t>
      </w:r>
      <w:r w:rsidRPr="003255BC">
        <w:rPr>
          <w:rFonts w:ascii="Bookman Old Style" w:hAnsi="Bookman Old Style"/>
          <w:lang w:val="sv-FI"/>
        </w:rPr>
        <w:t>Nomor</w:t>
      </w:r>
      <w:r w:rsidR="00A954D0" w:rsidRPr="003255BC">
        <w:rPr>
          <w:rFonts w:ascii="Bookman Old Style" w:hAnsi="Bookman Old Style"/>
          <w:lang w:val="sv-FI"/>
        </w:rPr>
        <w:t xml:space="preserve"> </w:t>
      </w:r>
      <w:r w:rsidRPr="003255BC">
        <w:rPr>
          <w:rFonts w:ascii="Bookman Old Style" w:hAnsi="Bookman Old Style"/>
          <w:lang w:val="sv-FI"/>
        </w:rPr>
        <w:t>1</w:t>
      </w:r>
      <w:r w:rsidR="00A954D0" w:rsidRPr="003255BC">
        <w:rPr>
          <w:rFonts w:ascii="Bookman Old Style" w:hAnsi="Bookman Old Style"/>
          <w:lang w:val="sv-FI"/>
        </w:rPr>
        <w:t xml:space="preserve"> </w:t>
      </w:r>
      <w:r w:rsidRPr="003255BC">
        <w:rPr>
          <w:rFonts w:ascii="Bookman Old Style" w:hAnsi="Bookman Old Style"/>
          <w:lang w:val="sv-FI"/>
        </w:rPr>
        <w:t>Tahun</w:t>
      </w:r>
      <w:r w:rsidR="00A954D0" w:rsidRPr="003255BC">
        <w:rPr>
          <w:rFonts w:ascii="Bookman Old Style" w:hAnsi="Bookman Old Style"/>
          <w:lang w:val="sv-FI"/>
        </w:rPr>
        <w:t xml:space="preserve"> </w:t>
      </w:r>
      <w:r w:rsidRPr="003255BC">
        <w:rPr>
          <w:rFonts w:ascii="Bookman Old Style" w:hAnsi="Bookman Old Style"/>
          <w:lang w:val="sv-FI"/>
        </w:rPr>
        <w:t>2023</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Pasal</w:t>
      </w:r>
      <w:r w:rsidR="00A954D0" w:rsidRPr="003255BC">
        <w:rPr>
          <w:rFonts w:ascii="Bookman Old Style" w:hAnsi="Bookman Old Style"/>
          <w:lang w:val="sv-FI"/>
        </w:rPr>
        <w:t xml:space="preserve"> </w:t>
      </w:r>
      <w:r w:rsidRPr="003255BC">
        <w:rPr>
          <w:rFonts w:ascii="Bookman Old Style" w:hAnsi="Bookman Old Style"/>
          <w:lang w:val="sv-FI"/>
        </w:rPr>
        <w:t>7</w:t>
      </w:r>
      <w:r w:rsidR="00A954D0" w:rsidRPr="003255BC">
        <w:rPr>
          <w:rFonts w:ascii="Bookman Old Style" w:hAnsi="Bookman Old Style"/>
          <w:lang w:val="sv-FI"/>
        </w:rPr>
        <w:t xml:space="preserve"> </w:t>
      </w:r>
      <w:r w:rsidRPr="003255BC">
        <w:rPr>
          <w:rFonts w:ascii="Bookman Old Style" w:hAnsi="Bookman Old Style" w:cs="Tahoma"/>
          <w:lang w:val="sv-FI"/>
        </w:rPr>
        <w:t>Peraturan</w:t>
      </w:r>
      <w:r w:rsidR="00A954D0" w:rsidRPr="003255BC">
        <w:rPr>
          <w:rFonts w:ascii="Bookman Old Style" w:hAnsi="Bookman Old Style" w:cs="Tahoma"/>
          <w:lang w:val="sv-FI"/>
        </w:rPr>
        <w:t xml:space="preserve"> </w:t>
      </w:r>
      <w:r w:rsidRPr="003255BC">
        <w:rPr>
          <w:rFonts w:ascii="Bookman Old Style" w:hAnsi="Bookman Old Style" w:cs="Tahoma"/>
          <w:lang w:val="sv-FI"/>
        </w:rPr>
        <w:t>Menteri</w:t>
      </w:r>
      <w:r w:rsidR="00A954D0" w:rsidRPr="003255BC">
        <w:rPr>
          <w:rFonts w:ascii="Bookman Old Style" w:hAnsi="Bookman Old Style" w:cs="Tahoma"/>
          <w:lang w:val="sv-FI"/>
        </w:rPr>
        <w:t xml:space="preserve"> </w:t>
      </w:r>
      <w:r w:rsidRPr="003255BC">
        <w:rPr>
          <w:rFonts w:ascii="Bookman Old Style" w:hAnsi="Bookman Old Style" w:cs="Tahoma"/>
          <w:lang w:val="sv-FI"/>
        </w:rPr>
        <w:t>Dalam</w:t>
      </w:r>
      <w:r w:rsidR="00A954D0" w:rsidRPr="003255BC">
        <w:rPr>
          <w:rFonts w:ascii="Bookman Old Style" w:hAnsi="Bookman Old Style" w:cs="Tahoma"/>
          <w:lang w:val="sv-FI"/>
        </w:rPr>
        <w:t xml:space="preserve"> </w:t>
      </w:r>
      <w:r w:rsidRPr="003255BC">
        <w:rPr>
          <w:rFonts w:ascii="Bookman Old Style" w:hAnsi="Bookman Old Style" w:cs="Tahoma"/>
          <w:lang w:val="sv-FI"/>
        </w:rPr>
        <w:t>Negeri</w:t>
      </w:r>
      <w:r w:rsidR="00A954D0" w:rsidRPr="003255BC">
        <w:rPr>
          <w:rFonts w:ascii="Bookman Old Style" w:hAnsi="Bookman Old Style" w:cs="Tahoma"/>
          <w:lang w:val="sv-FI"/>
        </w:rPr>
        <w:t xml:space="preserve"> </w:t>
      </w:r>
      <w:r w:rsidRPr="003255BC">
        <w:rPr>
          <w:rFonts w:ascii="Bookman Old Style" w:hAnsi="Bookman Old Style" w:cs="Tahoma"/>
          <w:lang w:val="sv-FI"/>
        </w:rPr>
        <w:t>Nomor</w:t>
      </w:r>
      <w:r w:rsidR="00A954D0" w:rsidRPr="003255BC">
        <w:rPr>
          <w:rFonts w:ascii="Bookman Old Style" w:hAnsi="Bookman Old Style" w:cs="Tahoma"/>
          <w:lang w:val="sv-FI"/>
        </w:rPr>
        <w:t xml:space="preserve"> </w:t>
      </w:r>
      <w:r w:rsidRPr="003255BC">
        <w:rPr>
          <w:rFonts w:ascii="Bookman Old Style" w:hAnsi="Bookman Old Style" w:cs="Tahoma"/>
          <w:lang w:val="sv-FI"/>
        </w:rPr>
        <w:t>62</w:t>
      </w:r>
      <w:r w:rsidR="00A954D0" w:rsidRPr="003255BC">
        <w:rPr>
          <w:rFonts w:ascii="Bookman Old Style" w:hAnsi="Bookman Old Style" w:cs="Tahoma"/>
          <w:lang w:val="sv-FI"/>
        </w:rPr>
        <w:t xml:space="preserve"> </w:t>
      </w:r>
      <w:r w:rsidRPr="003255BC">
        <w:rPr>
          <w:rFonts w:ascii="Bookman Old Style" w:hAnsi="Bookman Old Style" w:cs="Tahoma"/>
          <w:lang w:val="sv-FI"/>
        </w:rPr>
        <w:t>Tahun</w:t>
      </w:r>
      <w:r w:rsidR="00A954D0" w:rsidRPr="003255BC">
        <w:rPr>
          <w:rFonts w:ascii="Bookman Old Style" w:hAnsi="Bookman Old Style" w:cs="Tahoma"/>
          <w:lang w:val="sv-FI"/>
        </w:rPr>
        <w:t xml:space="preserve"> </w:t>
      </w:r>
      <w:r w:rsidRPr="003255BC">
        <w:rPr>
          <w:rFonts w:ascii="Bookman Old Style" w:hAnsi="Bookman Old Style" w:cs="Tahoma"/>
          <w:lang w:val="sv-FI"/>
        </w:rPr>
        <w:t>2017</w:t>
      </w:r>
      <w:r w:rsidRPr="00727324">
        <w:rPr>
          <w:rFonts w:ascii="Bookman Old Style" w:hAnsi="Bookman Old Style"/>
          <w:color w:val="000000" w:themeColor="text1"/>
          <w:lang w:val="sv-FI"/>
        </w:rPr>
        <w:t>.</w:t>
      </w:r>
    </w:p>
    <w:p w14:paraId="50FF7056" w14:textId="5ED44111" w:rsidR="005A4806" w:rsidRPr="00727324" w:rsidRDefault="005A4806" w:rsidP="00AC44F5">
      <w:pPr>
        <w:pStyle w:val="ListParagraph"/>
        <w:snapToGrid w:val="0"/>
        <w:spacing w:before="60" w:after="0" w:line="276" w:lineRule="auto"/>
        <w:ind w:left="3261"/>
        <w:contextualSpacing w:val="0"/>
        <w:jc w:val="both"/>
        <w:rPr>
          <w:rFonts w:ascii="Bookman Old Style" w:hAnsi="Bookman Old Style" w:cs="Tahoma"/>
          <w:color w:val="000000" w:themeColor="text1"/>
          <w:sz w:val="24"/>
          <w:szCs w:val="24"/>
        </w:rPr>
      </w:pPr>
      <w:r w:rsidRPr="00727324">
        <w:rPr>
          <w:rFonts w:ascii="Bookman Old Style" w:hAnsi="Bookman Old Style"/>
          <w:color w:val="000000" w:themeColor="text1"/>
          <w:sz w:val="24"/>
          <w:szCs w:val="24"/>
        </w:rPr>
        <w:t>Berkaitan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dengan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hal</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tersebut,</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Pemerintah</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Daerah</w:t>
      </w:r>
      <w:r w:rsidR="00A954D0">
        <w:rPr>
          <w:rFonts w:ascii="Bookman Old Style" w:hAnsi="Bookman Old Style"/>
          <w:color w:val="FF0000"/>
          <w:sz w:val="24"/>
          <w:szCs w:val="24"/>
          <w:lang w:val="id-ID"/>
        </w:rPr>
        <w:t xml:space="preserve"> </w:t>
      </w:r>
      <w:r w:rsidRPr="00727324">
        <w:rPr>
          <w:rFonts w:ascii="Bookman Old Style" w:hAnsi="Bookman Old Style"/>
          <w:lang w:val="id-ID"/>
        </w:rPr>
        <w:t>Kota</w:t>
      </w:r>
      <w:r w:rsidR="00A954D0">
        <w:rPr>
          <w:rFonts w:ascii="Bookman Old Style" w:hAnsi="Bookman Old Style"/>
          <w:lang w:val="id-ID"/>
        </w:rPr>
        <w:t xml:space="preserve"> </w:t>
      </w:r>
      <w:r>
        <w:rPr>
          <w:rFonts w:ascii="Bookman Old Style" w:hAnsi="Bookman Old Style"/>
          <w:lang w:val="id-ID"/>
        </w:rPr>
        <w:t>Tangerang</w:t>
      </w:r>
      <w:r w:rsidR="00A954D0">
        <w:rPr>
          <w:rFonts w:ascii="Bookman Old Style" w:hAnsi="Bookman Old Style"/>
          <w:lang w:val="id-ID"/>
        </w:rPr>
        <w:t xml:space="preserve"> </w:t>
      </w:r>
      <w:r w:rsidRPr="00727324">
        <w:rPr>
          <w:rFonts w:ascii="Bookman Old Style" w:hAnsi="Bookman Old Style"/>
          <w:color w:val="000000" w:themeColor="text1"/>
          <w:sz w:val="24"/>
          <w:szCs w:val="24"/>
        </w:rPr>
        <w:t>agar</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konsisten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dalam</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mengalokasikan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anggaran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Belanja</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Tunjangan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Reses</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DPRD</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tersebut</w:t>
      </w:r>
      <w:r w:rsidR="00A954D0">
        <w:rPr>
          <w:rFonts w:ascii="Bookman Old Style" w:hAnsi="Bookman Old Style"/>
          <w:color w:val="000000" w:themeColor="text1"/>
          <w:sz w:val="24"/>
          <w:szCs w:val="24"/>
        </w:rPr>
        <w:t xml:space="preserve"> </w:t>
      </w:r>
      <w:r w:rsidRPr="003255BC">
        <w:rPr>
          <w:rFonts w:ascii="Bookman Old Style" w:hAnsi="Bookman Old Style"/>
          <w:color w:val="000000" w:themeColor="text1"/>
          <w:sz w:val="24"/>
          <w:szCs w:val="24"/>
          <w:lang w:val="sv-FI"/>
        </w:rPr>
        <w:t>dan</w:t>
      </w:r>
      <w:r w:rsidR="00A954D0" w:rsidRPr="003255BC">
        <w:rPr>
          <w:rFonts w:ascii="Bookman Old Style" w:hAnsi="Bookman Old Style"/>
          <w:color w:val="000000" w:themeColor="text1"/>
          <w:sz w:val="24"/>
          <w:szCs w:val="24"/>
          <w:lang w:val="sv-FI"/>
        </w:rPr>
        <w:t xml:space="preserve"> </w:t>
      </w:r>
      <w:r w:rsidRPr="00727324">
        <w:rPr>
          <w:rFonts w:ascii="Bookman Old Style" w:hAnsi="Bookman Old Style"/>
          <w:color w:val="000000" w:themeColor="text1"/>
          <w:sz w:val="24"/>
          <w:szCs w:val="24"/>
        </w:rPr>
        <w:t>Tunjangan</w:t>
      </w:r>
      <w:r w:rsidR="00A954D0">
        <w:rPr>
          <w:rFonts w:ascii="Bookman Old Style" w:hAnsi="Bookman Old Style"/>
          <w:color w:val="000000" w:themeColor="text1"/>
          <w:sz w:val="24"/>
          <w:szCs w:val="24"/>
        </w:rPr>
        <w:t xml:space="preserve"> </w:t>
      </w:r>
      <w:r w:rsidRPr="003255BC">
        <w:rPr>
          <w:rFonts w:ascii="Bookman Old Style" w:hAnsi="Bookman Old Style"/>
          <w:color w:val="000000" w:themeColor="text1"/>
          <w:sz w:val="24"/>
          <w:szCs w:val="24"/>
          <w:lang w:val="sv-FI"/>
        </w:rPr>
        <w:t>R</w:t>
      </w:r>
      <w:r w:rsidRPr="00727324">
        <w:rPr>
          <w:rFonts w:ascii="Bookman Old Style" w:hAnsi="Bookman Old Style"/>
          <w:color w:val="000000" w:themeColor="text1"/>
          <w:sz w:val="24"/>
          <w:szCs w:val="24"/>
        </w:rPr>
        <w:t>eses</w:t>
      </w:r>
      <w:r w:rsidR="00A954D0">
        <w:rPr>
          <w:rFonts w:ascii="Bookman Old Style" w:hAnsi="Bookman Old Style"/>
          <w:color w:val="000000" w:themeColor="text1"/>
          <w:sz w:val="24"/>
          <w:szCs w:val="24"/>
        </w:rPr>
        <w:t xml:space="preserve"> </w:t>
      </w:r>
      <w:r w:rsidRPr="003255BC">
        <w:rPr>
          <w:rFonts w:ascii="Bookman Old Style" w:hAnsi="Bookman Old Style"/>
          <w:color w:val="000000" w:themeColor="text1"/>
          <w:sz w:val="24"/>
          <w:szCs w:val="24"/>
          <w:lang w:val="sv-FI"/>
        </w:rPr>
        <w:t>dimaksud</w:t>
      </w:r>
      <w:r w:rsidR="00A954D0" w:rsidRPr="003255BC">
        <w:rPr>
          <w:rFonts w:ascii="Bookman Old Style" w:hAnsi="Bookman Old Style"/>
          <w:color w:val="000000" w:themeColor="text1"/>
          <w:sz w:val="24"/>
          <w:szCs w:val="24"/>
          <w:lang w:val="sv-FI"/>
        </w:rPr>
        <w:t xml:space="preserve"> </w:t>
      </w:r>
      <w:r w:rsidRPr="00727324">
        <w:rPr>
          <w:rFonts w:ascii="Bookman Old Style" w:hAnsi="Bookman Old Style"/>
          <w:color w:val="000000" w:themeColor="text1"/>
          <w:sz w:val="24"/>
          <w:szCs w:val="24"/>
        </w:rPr>
        <w:t>diberikan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setiap</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melaksanakan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reses</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kepada</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Pimpinan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dan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Anggota</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DPRD</w:t>
      </w:r>
      <w:r w:rsidR="00A954D0" w:rsidRPr="003255BC">
        <w:rPr>
          <w:rFonts w:ascii="Bookman Old Style" w:hAnsi="Bookman Old Style"/>
          <w:color w:val="000000" w:themeColor="text1"/>
          <w:sz w:val="24"/>
          <w:szCs w:val="24"/>
          <w:lang w:val="sv-FI"/>
        </w:rPr>
        <w:t xml:space="preserve"> </w:t>
      </w:r>
      <w:r w:rsidRPr="003255BC">
        <w:rPr>
          <w:rFonts w:ascii="Bookman Old Style" w:hAnsi="Bookman Old Style"/>
          <w:color w:val="000000" w:themeColor="text1"/>
          <w:sz w:val="24"/>
          <w:szCs w:val="24"/>
          <w:lang w:val="sv-FI"/>
        </w:rPr>
        <w:t>sebagaimana</w:t>
      </w:r>
      <w:r w:rsidR="00A954D0" w:rsidRPr="003255BC">
        <w:rPr>
          <w:rFonts w:ascii="Bookman Old Style" w:hAnsi="Bookman Old Style"/>
          <w:color w:val="000000" w:themeColor="text1"/>
          <w:sz w:val="24"/>
          <w:szCs w:val="24"/>
          <w:lang w:val="sv-FI"/>
        </w:rPr>
        <w:t xml:space="preserve"> </w:t>
      </w:r>
      <w:r w:rsidRPr="003255BC">
        <w:rPr>
          <w:rFonts w:ascii="Bookman Old Style" w:hAnsi="Bookman Old Style"/>
          <w:color w:val="000000" w:themeColor="text1"/>
          <w:sz w:val="24"/>
          <w:szCs w:val="24"/>
          <w:lang w:val="sv-FI"/>
        </w:rPr>
        <w:t>maksud</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Pasal</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8</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Peraturan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Pemerintah</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Nomor</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18</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Tahun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2017</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sebagaimana</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telah</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diubah</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dengan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Peraturan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Pemerintah</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Nomor</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1</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Tahun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2023</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dan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Pasal</w:t>
      </w:r>
      <w:r w:rsidR="00A954D0">
        <w:rPr>
          <w:rFonts w:ascii="Bookman Old Style" w:hAnsi="Bookman Old Style"/>
          <w:color w:val="000000" w:themeColor="text1"/>
          <w:sz w:val="24"/>
          <w:szCs w:val="24"/>
        </w:rPr>
        <w:t xml:space="preserve"> </w:t>
      </w:r>
      <w:r w:rsidRPr="003255BC">
        <w:rPr>
          <w:rFonts w:ascii="Bookman Old Style" w:hAnsi="Bookman Old Style"/>
          <w:color w:val="000000" w:themeColor="text1"/>
          <w:sz w:val="24"/>
          <w:szCs w:val="24"/>
          <w:lang w:val="sv-FI"/>
        </w:rPr>
        <w:t>7</w:t>
      </w:r>
      <w:r w:rsidR="00A954D0">
        <w:rPr>
          <w:rFonts w:ascii="Bookman Old Style" w:hAnsi="Bookman Old Style"/>
          <w:color w:val="000000" w:themeColor="text1"/>
          <w:sz w:val="24"/>
          <w:szCs w:val="24"/>
        </w:rPr>
        <w:t xml:space="preserve"> </w:t>
      </w:r>
      <w:r w:rsidRPr="00727324">
        <w:rPr>
          <w:rFonts w:ascii="Bookman Old Style" w:hAnsi="Bookman Old Style" w:cs="Tahoma"/>
          <w:color w:val="000000" w:themeColor="text1"/>
          <w:sz w:val="24"/>
          <w:szCs w:val="24"/>
        </w:rPr>
        <w:t>Peraturan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Menteri</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Dalam</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Negeri</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Nomor</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62</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Tahun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2017.</w:t>
      </w:r>
    </w:p>
    <w:p w14:paraId="72857552" w14:textId="5FA5421D" w:rsidR="005A4806" w:rsidRPr="00727324" w:rsidRDefault="005A4806" w:rsidP="00AC44F5">
      <w:pPr>
        <w:pStyle w:val="ListParagraph"/>
        <w:numPr>
          <w:ilvl w:val="0"/>
          <w:numId w:val="25"/>
        </w:numPr>
        <w:snapToGrid w:val="0"/>
        <w:spacing w:before="60" w:after="0" w:line="276" w:lineRule="auto"/>
        <w:ind w:left="3261" w:hanging="567"/>
        <w:contextualSpacing w:val="0"/>
        <w:jc w:val="both"/>
        <w:rPr>
          <w:rFonts w:ascii="Bookman Old Style" w:hAnsi="Bookman Old Style" w:cs="Tahoma"/>
          <w:color w:val="000000" w:themeColor="text1"/>
          <w:sz w:val="24"/>
          <w:szCs w:val="24"/>
          <w:lang w:val="en-US"/>
        </w:rPr>
      </w:pPr>
      <w:r w:rsidRPr="00727324">
        <w:rPr>
          <w:rFonts w:ascii="Bookman Old Style" w:hAnsi="Bookman Old Style" w:cs="Tahoma"/>
          <w:color w:val="000000" w:themeColor="text1"/>
          <w:sz w:val="24"/>
          <w:szCs w:val="24"/>
        </w:rPr>
        <w:t>Penyediaan</w:t>
      </w:r>
      <w:r w:rsidR="00A954D0">
        <w:rPr>
          <w:rFonts w:ascii="Bookman Old Style" w:hAnsi="Bookman Old Style" w:cs="Tahoma"/>
          <w:color w:val="000000" w:themeColor="text1"/>
          <w:sz w:val="24"/>
          <w:szCs w:val="24"/>
          <w:lang w:val="en-US"/>
        </w:rPr>
        <w:t xml:space="preserve"> </w:t>
      </w:r>
      <w:r w:rsidRPr="00727324">
        <w:rPr>
          <w:rFonts w:ascii="Bookman Old Style" w:hAnsi="Bookman Old Style" w:cs="Tahoma"/>
          <w:color w:val="000000" w:themeColor="text1"/>
          <w:sz w:val="24"/>
          <w:szCs w:val="24"/>
          <w:lang w:val="en-US"/>
        </w:rPr>
        <w:t>alokasi</w:t>
      </w:r>
      <w:r w:rsidR="00A954D0">
        <w:rPr>
          <w:rFonts w:ascii="Bookman Old Style" w:hAnsi="Bookman Old Style" w:cs="Tahoma"/>
          <w:color w:val="000000" w:themeColor="text1"/>
          <w:sz w:val="24"/>
          <w:szCs w:val="24"/>
          <w:lang w:val="en-US"/>
        </w:rPr>
        <w:t xml:space="preserve"> </w:t>
      </w:r>
      <w:r w:rsidRPr="00727324">
        <w:rPr>
          <w:rFonts w:ascii="Bookman Old Style" w:hAnsi="Bookman Old Style" w:cs="Tahoma"/>
          <w:color w:val="000000" w:themeColor="text1"/>
          <w:sz w:val="24"/>
          <w:szCs w:val="24"/>
          <w:lang w:val="en-US"/>
        </w:rPr>
        <w:t>belanja</w:t>
      </w:r>
      <w:r w:rsidR="00A954D0">
        <w:rPr>
          <w:rFonts w:ascii="Bookman Old Style" w:hAnsi="Bookman Old Style" w:cs="Tahoma"/>
          <w:color w:val="000000" w:themeColor="text1"/>
          <w:sz w:val="24"/>
          <w:szCs w:val="24"/>
          <w:lang w:val="en-US"/>
        </w:rPr>
        <w:t xml:space="preserve"> </w:t>
      </w:r>
      <w:r w:rsidRPr="00727324">
        <w:rPr>
          <w:rFonts w:ascii="Bookman Old Style" w:hAnsi="Bookman Old Style" w:cs="Tahoma"/>
          <w:color w:val="000000" w:themeColor="text1"/>
          <w:sz w:val="24"/>
          <w:szCs w:val="24"/>
          <w:lang w:val="en-US"/>
        </w:rPr>
        <w:t>yang</w:t>
      </w:r>
      <w:r w:rsidR="00A954D0">
        <w:rPr>
          <w:rFonts w:ascii="Bookman Old Style" w:hAnsi="Bookman Old Style" w:cs="Tahoma"/>
          <w:color w:val="000000" w:themeColor="text1"/>
          <w:sz w:val="24"/>
          <w:szCs w:val="24"/>
          <w:lang w:val="en-US"/>
        </w:rPr>
        <w:t xml:space="preserve"> </w:t>
      </w:r>
      <w:r w:rsidRPr="00727324">
        <w:rPr>
          <w:rFonts w:ascii="Bookman Old Style" w:hAnsi="Bookman Old Style" w:cs="Tahoma"/>
          <w:color w:val="000000" w:themeColor="text1"/>
          <w:sz w:val="24"/>
          <w:szCs w:val="24"/>
          <w:lang w:val="en-US"/>
        </w:rPr>
        <w:t>tercantum</w:t>
      </w:r>
      <w:r w:rsidR="00A954D0">
        <w:rPr>
          <w:rFonts w:ascii="Bookman Old Style" w:hAnsi="Bookman Old Style" w:cs="Tahoma"/>
          <w:color w:val="000000" w:themeColor="text1"/>
          <w:sz w:val="24"/>
          <w:szCs w:val="24"/>
          <w:lang w:val="en-US"/>
        </w:rPr>
        <w:t xml:space="preserve"> </w:t>
      </w:r>
      <w:r w:rsidRPr="00727324">
        <w:rPr>
          <w:rFonts w:ascii="Bookman Old Style" w:hAnsi="Bookman Old Style" w:cs="Tahoma"/>
          <w:color w:val="000000" w:themeColor="text1"/>
          <w:sz w:val="24"/>
          <w:szCs w:val="24"/>
          <w:lang w:val="en-US"/>
        </w:rPr>
        <w:t>dalam</w:t>
      </w:r>
      <w:r w:rsidR="00A954D0">
        <w:rPr>
          <w:rFonts w:ascii="Bookman Old Style" w:hAnsi="Bookman Old Style" w:cs="Tahoma"/>
          <w:color w:val="000000" w:themeColor="text1"/>
          <w:sz w:val="24"/>
          <w:szCs w:val="24"/>
          <w:lang w:val="en-US"/>
        </w:rPr>
        <w:t xml:space="preserve"> </w:t>
      </w:r>
      <w:r w:rsidRPr="00727324">
        <w:rPr>
          <w:rFonts w:ascii="Bookman Old Style" w:hAnsi="Bookman Old Style" w:cs="Tahoma"/>
          <w:color w:val="000000" w:themeColor="text1"/>
          <w:sz w:val="24"/>
          <w:szCs w:val="24"/>
          <w:lang w:val="en-US"/>
        </w:rPr>
        <w:t>rincian</w:t>
      </w:r>
      <w:r w:rsidR="00A954D0">
        <w:rPr>
          <w:rFonts w:ascii="Bookman Old Style" w:hAnsi="Bookman Old Style" w:cs="Tahoma"/>
          <w:color w:val="000000" w:themeColor="text1"/>
          <w:sz w:val="24"/>
          <w:szCs w:val="24"/>
          <w:lang w:val="en-US"/>
        </w:rPr>
        <w:t xml:space="preserve"> </w:t>
      </w:r>
      <w:r w:rsidRPr="00727324">
        <w:rPr>
          <w:rFonts w:ascii="Bookman Old Style" w:hAnsi="Bookman Old Style" w:cs="Tahoma"/>
          <w:color w:val="000000" w:themeColor="text1"/>
          <w:sz w:val="24"/>
          <w:szCs w:val="24"/>
          <w:lang w:val="en-US"/>
        </w:rPr>
        <w:t>objek</w:t>
      </w:r>
      <w:r w:rsidR="00A954D0">
        <w:rPr>
          <w:rFonts w:ascii="Bookman Old Style" w:hAnsi="Bookman Old Style" w:cs="Tahoma"/>
          <w:color w:val="000000" w:themeColor="text1"/>
          <w:sz w:val="24"/>
          <w:szCs w:val="24"/>
          <w:lang w:val="en-US"/>
        </w:rPr>
        <w:t xml:space="preserve"> </w:t>
      </w:r>
      <w:r w:rsidRPr="00727324">
        <w:rPr>
          <w:rFonts w:ascii="Bookman Old Style" w:hAnsi="Bookman Old Style" w:cs="Tahoma"/>
          <w:color w:val="000000" w:themeColor="text1"/>
          <w:sz w:val="24"/>
          <w:szCs w:val="24"/>
          <w:lang w:val="en-US"/>
        </w:rPr>
        <w:t>belanja:</w:t>
      </w:r>
      <w:r w:rsidR="00A954D0">
        <w:rPr>
          <w:rFonts w:ascii="Bookman Old Style" w:hAnsi="Bookman Old Style" w:cs="Tahoma"/>
          <w:color w:val="000000" w:themeColor="text1"/>
          <w:sz w:val="24"/>
          <w:szCs w:val="24"/>
          <w:lang w:val="en-US"/>
        </w:rPr>
        <w:t xml:space="preserve"> </w:t>
      </w:r>
    </w:p>
    <w:p w14:paraId="04F2C214" w14:textId="556F994E" w:rsidR="005A4806" w:rsidRPr="00727324" w:rsidRDefault="005A4806" w:rsidP="00AC44F5">
      <w:pPr>
        <w:pStyle w:val="ListParagraph"/>
        <w:numPr>
          <w:ilvl w:val="0"/>
          <w:numId w:val="57"/>
        </w:numPr>
        <w:snapToGrid w:val="0"/>
        <w:spacing w:before="60" w:after="0" w:line="276" w:lineRule="auto"/>
        <w:ind w:left="3686" w:hanging="425"/>
        <w:contextualSpacing w:val="0"/>
        <w:jc w:val="both"/>
        <w:rPr>
          <w:rFonts w:ascii="Bookman Old Style" w:hAnsi="Bookman Old Style" w:cs="Tahoma"/>
          <w:color w:val="000000" w:themeColor="text1"/>
          <w:sz w:val="24"/>
          <w:szCs w:val="24"/>
        </w:rPr>
      </w:pPr>
      <w:r w:rsidRPr="00727324">
        <w:rPr>
          <w:rFonts w:ascii="Bookman Old Style" w:hAnsi="Bookman Old Style" w:cs="Tahoma"/>
          <w:color w:val="000000" w:themeColor="text1"/>
          <w:sz w:val="24"/>
          <w:szCs w:val="24"/>
        </w:rPr>
        <w:t>Belanja</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Tunjangan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Perumahan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DPRD</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Rp</w:t>
      </w:r>
      <w:r w:rsidRPr="00CC1448">
        <w:rPr>
          <w:rFonts w:ascii="Bookman Old Style" w:hAnsi="Bookman Old Style" w:cs="Tahoma"/>
          <w:color w:val="000000" w:themeColor="text1"/>
          <w:sz w:val="24"/>
          <w:szCs w:val="24"/>
        </w:rPr>
        <w:t>25</w:t>
      </w:r>
      <w:r>
        <w:rPr>
          <w:rFonts w:ascii="Bookman Old Style" w:hAnsi="Bookman Old Style" w:cs="Tahoma"/>
          <w:color w:val="000000" w:themeColor="text1"/>
          <w:sz w:val="24"/>
          <w:szCs w:val="24"/>
        </w:rPr>
        <w:t>.</w:t>
      </w:r>
      <w:r w:rsidRPr="00CC1448">
        <w:rPr>
          <w:rFonts w:ascii="Bookman Old Style" w:hAnsi="Bookman Old Style" w:cs="Tahoma"/>
          <w:color w:val="000000" w:themeColor="text1"/>
          <w:sz w:val="24"/>
          <w:szCs w:val="24"/>
        </w:rPr>
        <w:t>675</w:t>
      </w:r>
      <w:r>
        <w:rPr>
          <w:rFonts w:ascii="Bookman Old Style" w:hAnsi="Bookman Old Style" w:cs="Tahoma"/>
          <w:color w:val="000000" w:themeColor="text1"/>
          <w:sz w:val="24"/>
          <w:szCs w:val="24"/>
        </w:rPr>
        <w:t>.</w:t>
      </w:r>
      <w:r w:rsidRPr="00CC1448">
        <w:rPr>
          <w:rFonts w:ascii="Bookman Old Style" w:hAnsi="Bookman Old Style" w:cs="Tahoma"/>
          <w:color w:val="000000" w:themeColor="text1"/>
          <w:sz w:val="24"/>
          <w:szCs w:val="24"/>
        </w:rPr>
        <w:t>200</w:t>
      </w:r>
      <w:r>
        <w:rPr>
          <w:rFonts w:ascii="Bookman Old Style" w:hAnsi="Bookman Old Style" w:cs="Tahoma"/>
          <w:color w:val="000000" w:themeColor="text1"/>
          <w:sz w:val="24"/>
          <w:szCs w:val="24"/>
        </w:rPr>
        <w:t>.</w:t>
      </w:r>
      <w:r w:rsidRPr="00CC1448">
        <w:rPr>
          <w:rFonts w:ascii="Bookman Old Style" w:hAnsi="Bookman Old Style" w:cs="Tahoma"/>
          <w:color w:val="000000" w:themeColor="text1"/>
          <w:sz w:val="24"/>
          <w:szCs w:val="24"/>
        </w:rPr>
        <w:t>000</w:t>
      </w:r>
      <w:r>
        <w:rPr>
          <w:rFonts w:ascii="Bookman Old Style" w:hAnsi="Bookman Old Style" w:cs="Tahoma"/>
          <w:color w:val="000000" w:themeColor="text1"/>
          <w:sz w:val="24"/>
          <w:szCs w:val="24"/>
        </w:rPr>
        <w:t>,00</w:t>
      </w:r>
      <w:r w:rsidRPr="00727324">
        <w:rPr>
          <w:rFonts w:ascii="Bookman Old Style" w:hAnsi="Bookman Old Style" w:cs="Tahoma"/>
          <w:color w:val="000000" w:themeColor="text1"/>
          <w:sz w:val="24"/>
          <w:szCs w:val="24"/>
        </w:rPr>
        <w:t>;</w:t>
      </w:r>
      <w:r w:rsidR="00A954D0">
        <w:rPr>
          <w:rFonts w:ascii="Bookman Old Style" w:hAnsi="Bookman Old Style" w:cs="Tahoma"/>
          <w:color w:val="000000" w:themeColor="text1"/>
          <w:sz w:val="24"/>
          <w:szCs w:val="24"/>
        </w:rPr>
        <w:t xml:space="preserve"> </w:t>
      </w:r>
    </w:p>
    <w:p w14:paraId="700C3355" w14:textId="0230261F" w:rsidR="005A4806" w:rsidRPr="00727324" w:rsidRDefault="005A4806" w:rsidP="00AC44F5">
      <w:pPr>
        <w:pStyle w:val="ListParagraph"/>
        <w:numPr>
          <w:ilvl w:val="0"/>
          <w:numId w:val="57"/>
        </w:numPr>
        <w:snapToGrid w:val="0"/>
        <w:spacing w:before="60" w:after="0" w:line="276" w:lineRule="auto"/>
        <w:ind w:left="3686" w:hanging="425"/>
        <w:contextualSpacing w:val="0"/>
        <w:jc w:val="both"/>
        <w:rPr>
          <w:rFonts w:ascii="Bookman Old Style" w:hAnsi="Bookman Old Style" w:cs="Tahoma"/>
          <w:color w:val="FF0000"/>
          <w:sz w:val="24"/>
          <w:szCs w:val="24"/>
        </w:rPr>
      </w:pPr>
      <w:r w:rsidRPr="00727324">
        <w:rPr>
          <w:rFonts w:ascii="Bookman Old Style" w:hAnsi="Bookman Old Style" w:cs="Tahoma"/>
          <w:color w:val="000000" w:themeColor="text1"/>
          <w:sz w:val="24"/>
          <w:szCs w:val="24"/>
        </w:rPr>
        <w:t>Belanja</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Tunjangan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Transportasi</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DPRD</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Rp</w:t>
      </w:r>
      <w:r w:rsidRPr="008E5F9A">
        <w:rPr>
          <w:rFonts w:ascii="Bookman Old Style" w:hAnsi="Bookman Old Style" w:cs="Tahoma"/>
          <w:color w:val="000000" w:themeColor="text1"/>
          <w:sz w:val="24"/>
          <w:szCs w:val="24"/>
        </w:rPr>
        <w:t>17</w:t>
      </w:r>
      <w:r>
        <w:rPr>
          <w:rFonts w:ascii="Bookman Old Style" w:hAnsi="Bookman Old Style" w:cs="Tahoma"/>
          <w:color w:val="000000" w:themeColor="text1"/>
          <w:sz w:val="24"/>
          <w:szCs w:val="24"/>
        </w:rPr>
        <w:t>.</w:t>
      </w:r>
      <w:r w:rsidRPr="008E5F9A">
        <w:rPr>
          <w:rFonts w:ascii="Bookman Old Style" w:hAnsi="Bookman Old Style" w:cs="Tahoma"/>
          <w:color w:val="000000" w:themeColor="text1"/>
          <w:sz w:val="24"/>
          <w:szCs w:val="24"/>
        </w:rPr>
        <w:t>277</w:t>
      </w:r>
      <w:r>
        <w:rPr>
          <w:rFonts w:ascii="Bookman Old Style" w:hAnsi="Bookman Old Style" w:cs="Tahoma"/>
          <w:color w:val="000000" w:themeColor="text1"/>
          <w:sz w:val="24"/>
          <w:szCs w:val="24"/>
        </w:rPr>
        <w:t>.</w:t>
      </w:r>
      <w:r w:rsidRPr="008E5F9A">
        <w:rPr>
          <w:rFonts w:ascii="Bookman Old Style" w:hAnsi="Bookman Old Style" w:cs="Tahoma"/>
          <w:color w:val="000000" w:themeColor="text1"/>
          <w:sz w:val="24"/>
          <w:szCs w:val="24"/>
        </w:rPr>
        <w:t>000</w:t>
      </w:r>
      <w:r>
        <w:rPr>
          <w:rFonts w:ascii="Bookman Old Style" w:hAnsi="Bookman Old Style" w:cs="Tahoma"/>
          <w:color w:val="000000" w:themeColor="text1"/>
          <w:sz w:val="24"/>
          <w:szCs w:val="24"/>
        </w:rPr>
        <w:t>.</w:t>
      </w:r>
      <w:r w:rsidRPr="008E5F9A">
        <w:rPr>
          <w:rFonts w:ascii="Bookman Old Style" w:hAnsi="Bookman Old Style" w:cs="Tahoma"/>
          <w:color w:val="000000" w:themeColor="text1"/>
          <w:sz w:val="24"/>
          <w:szCs w:val="24"/>
        </w:rPr>
        <w:t>000</w:t>
      </w:r>
      <w:r>
        <w:rPr>
          <w:rFonts w:ascii="Bookman Old Style" w:hAnsi="Bookman Old Style" w:cs="Tahoma"/>
          <w:color w:val="000000" w:themeColor="text1"/>
          <w:sz w:val="24"/>
          <w:szCs w:val="24"/>
        </w:rPr>
        <w:t>,</w:t>
      </w:r>
      <w:r w:rsidRPr="008E5F9A">
        <w:rPr>
          <w:rFonts w:ascii="Bookman Old Style" w:hAnsi="Bookman Old Style" w:cs="Tahoma"/>
          <w:color w:val="000000" w:themeColor="text1"/>
          <w:sz w:val="24"/>
          <w:szCs w:val="24"/>
        </w:rPr>
        <w:t>00</w:t>
      </w:r>
      <w:r w:rsidRPr="00727324">
        <w:rPr>
          <w:rFonts w:ascii="Bookman Old Style" w:hAnsi="Bookman Old Style" w:cs="Tahoma"/>
          <w:color w:val="000000" w:themeColor="text1"/>
          <w:sz w:val="24"/>
          <w:szCs w:val="24"/>
          <w:lang w:val="sv-FI"/>
        </w:rPr>
        <w:t>.</w:t>
      </w:r>
    </w:p>
    <w:p w14:paraId="1F1A3B51" w14:textId="3D89A0A5" w:rsidR="005A4806" w:rsidRPr="00727324" w:rsidRDefault="00AC44F5" w:rsidP="00AC44F5">
      <w:pPr>
        <w:pStyle w:val="ListParagraph"/>
        <w:snapToGrid w:val="0"/>
        <w:spacing w:before="60" w:after="0" w:line="276" w:lineRule="auto"/>
        <w:ind w:left="3261"/>
        <w:contextualSpacing w:val="0"/>
        <w:jc w:val="both"/>
        <w:rPr>
          <w:rFonts w:ascii="Bookman Old Style" w:hAnsi="Bookman Old Style" w:cs="Tahoma"/>
          <w:color w:val="000000" w:themeColor="text1"/>
          <w:sz w:val="24"/>
          <w:szCs w:val="24"/>
        </w:rPr>
      </w:pPr>
      <w:r w:rsidRPr="00AC44F5">
        <w:rPr>
          <w:rFonts w:ascii="Bookman Old Style" w:hAnsi="Bookman Old Style" w:cs="Tahoma"/>
          <w:color w:val="000000" w:themeColor="text1"/>
          <w:sz w:val="24"/>
          <w:szCs w:val="24"/>
          <w:lang w:val="sv-FI"/>
        </w:rPr>
        <w:t>D</w:t>
      </w:r>
      <w:r w:rsidR="005A4806" w:rsidRPr="00727324">
        <w:rPr>
          <w:rFonts w:ascii="Bookman Old Style" w:hAnsi="Bookman Old Style" w:cs="Tahoma"/>
          <w:color w:val="000000" w:themeColor="text1"/>
          <w:sz w:val="24"/>
          <w:szCs w:val="24"/>
        </w:rPr>
        <w:t>ianggarkan</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dalam</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Rancangan</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Peraturan</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Daerah</w:t>
      </w:r>
      <w:r w:rsidR="00A954D0">
        <w:rPr>
          <w:rFonts w:ascii="Bookman Old Style" w:hAnsi="Bookman Old Style"/>
          <w:color w:val="FF0000"/>
          <w:sz w:val="24"/>
          <w:szCs w:val="24"/>
          <w:lang w:val="id-ID"/>
        </w:rPr>
        <w:t xml:space="preserve"> </w:t>
      </w:r>
      <w:r w:rsidR="005A4806" w:rsidRPr="008E5F9A">
        <w:rPr>
          <w:rFonts w:ascii="Bookman Old Style" w:hAnsi="Bookman Old Style"/>
          <w:sz w:val="24"/>
          <w:szCs w:val="24"/>
          <w:lang w:val="id-ID"/>
        </w:rPr>
        <w:t>Kota</w:t>
      </w:r>
      <w:r w:rsidR="00A954D0">
        <w:rPr>
          <w:rFonts w:ascii="Bookman Old Style" w:hAnsi="Bookman Old Style"/>
          <w:sz w:val="24"/>
          <w:szCs w:val="24"/>
          <w:lang w:val="id-ID"/>
        </w:rPr>
        <w:t xml:space="preserve"> </w:t>
      </w:r>
      <w:r w:rsidR="005A4806">
        <w:rPr>
          <w:rFonts w:ascii="Bookman Old Style" w:hAnsi="Bookman Old Style"/>
          <w:sz w:val="24"/>
          <w:szCs w:val="24"/>
          <w:lang w:val="fi-FI"/>
        </w:rPr>
        <w:t>Tangerang</w:t>
      </w:r>
      <w:r w:rsidR="00A954D0">
        <w:rPr>
          <w:rFonts w:ascii="Bookman Old Style" w:hAnsi="Bookman Old Style"/>
          <w:sz w:val="24"/>
          <w:szCs w:val="24"/>
        </w:rPr>
        <w:t xml:space="preserve"> </w:t>
      </w:r>
      <w:r w:rsidR="005A4806" w:rsidRPr="00727324">
        <w:rPr>
          <w:rFonts w:ascii="Bookman Old Style" w:hAnsi="Bookman Old Style" w:cs="Tahoma"/>
          <w:color w:val="000000" w:themeColor="text1"/>
          <w:sz w:val="24"/>
          <w:szCs w:val="24"/>
        </w:rPr>
        <w:t>tentang</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APBD</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Tahun</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Anggaran</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2025</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sebagaimana</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diamanatkan</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dalam</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Peraturan</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Pemerintah</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Nomor</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18</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Tahun</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2017</w:t>
      </w:r>
      <w:r w:rsidR="00A954D0">
        <w:rPr>
          <w:rFonts w:ascii="Bookman Old Style" w:hAnsi="Bookman Old Style"/>
          <w:color w:val="000000" w:themeColor="text1"/>
          <w:sz w:val="24"/>
          <w:szCs w:val="24"/>
        </w:rPr>
        <w:t xml:space="preserve"> </w:t>
      </w:r>
      <w:r w:rsidR="005A4806" w:rsidRPr="00727324">
        <w:rPr>
          <w:rFonts w:ascii="Bookman Old Style" w:hAnsi="Bookman Old Style"/>
          <w:color w:val="000000" w:themeColor="text1"/>
          <w:sz w:val="24"/>
          <w:szCs w:val="24"/>
        </w:rPr>
        <w:t>sebagaimana</w:t>
      </w:r>
      <w:r w:rsidR="00A954D0">
        <w:rPr>
          <w:rFonts w:ascii="Bookman Old Style" w:hAnsi="Bookman Old Style"/>
          <w:color w:val="000000" w:themeColor="text1"/>
          <w:sz w:val="24"/>
          <w:szCs w:val="24"/>
        </w:rPr>
        <w:t xml:space="preserve"> </w:t>
      </w:r>
      <w:r w:rsidR="005A4806" w:rsidRPr="00727324">
        <w:rPr>
          <w:rFonts w:ascii="Bookman Old Style" w:hAnsi="Bookman Old Style"/>
          <w:color w:val="000000" w:themeColor="text1"/>
          <w:sz w:val="24"/>
          <w:szCs w:val="24"/>
        </w:rPr>
        <w:t>telah</w:t>
      </w:r>
      <w:r w:rsidR="00A954D0">
        <w:rPr>
          <w:rFonts w:ascii="Bookman Old Style" w:hAnsi="Bookman Old Style"/>
          <w:color w:val="000000" w:themeColor="text1"/>
          <w:sz w:val="24"/>
          <w:szCs w:val="24"/>
        </w:rPr>
        <w:t xml:space="preserve"> </w:t>
      </w:r>
      <w:r w:rsidR="005A4806" w:rsidRPr="00727324">
        <w:rPr>
          <w:rFonts w:ascii="Bookman Old Style" w:hAnsi="Bookman Old Style"/>
          <w:color w:val="000000" w:themeColor="text1"/>
          <w:sz w:val="24"/>
          <w:szCs w:val="24"/>
        </w:rPr>
        <w:t>diubah</w:t>
      </w:r>
      <w:r w:rsidR="00A954D0">
        <w:rPr>
          <w:rFonts w:ascii="Bookman Old Style" w:hAnsi="Bookman Old Style"/>
          <w:color w:val="000000" w:themeColor="text1"/>
          <w:sz w:val="24"/>
          <w:szCs w:val="24"/>
        </w:rPr>
        <w:t xml:space="preserve"> </w:t>
      </w:r>
      <w:r w:rsidR="005A4806" w:rsidRPr="00727324">
        <w:rPr>
          <w:rFonts w:ascii="Bookman Old Style" w:hAnsi="Bookman Old Style"/>
          <w:color w:val="000000" w:themeColor="text1"/>
          <w:sz w:val="24"/>
          <w:szCs w:val="24"/>
        </w:rPr>
        <w:t>dengan</w:t>
      </w:r>
      <w:r w:rsidR="00A954D0">
        <w:rPr>
          <w:rFonts w:ascii="Bookman Old Style" w:hAnsi="Bookman Old Style"/>
          <w:color w:val="000000" w:themeColor="text1"/>
          <w:sz w:val="24"/>
          <w:szCs w:val="24"/>
        </w:rPr>
        <w:t xml:space="preserve"> </w:t>
      </w:r>
      <w:r w:rsidR="005A4806" w:rsidRPr="00727324">
        <w:rPr>
          <w:rFonts w:ascii="Bookman Old Style" w:hAnsi="Bookman Old Style"/>
          <w:color w:val="000000" w:themeColor="text1"/>
          <w:sz w:val="24"/>
          <w:szCs w:val="24"/>
        </w:rPr>
        <w:t>Peraturan</w:t>
      </w:r>
      <w:r w:rsidR="00A954D0">
        <w:rPr>
          <w:rFonts w:ascii="Bookman Old Style" w:hAnsi="Bookman Old Style"/>
          <w:color w:val="000000" w:themeColor="text1"/>
          <w:sz w:val="24"/>
          <w:szCs w:val="24"/>
        </w:rPr>
        <w:t xml:space="preserve"> </w:t>
      </w:r>
      <w:r w:rsidR="005A4806" w:rsidRPr="00727324">
        <w:rPr>
          <w:rFonts w:ascii="Bookman Old Style" w:hAnsi="Bookman Old Style"/>
          <w:color w:val="000000" w:themeColor="text1"/>
          <w:sz w:val="24"/>
          <w:szCs w:val="24"/>
        </w:rPr>
        <w:t>Pemerintah</w:t>
      </w:r>
      <w:r w:rsidR="00A954D0">
        <w:rPr>
          <w:rFonts w:ascii="Bookman Old Style" w:hAnsi="Bookman Old Style"/>
          <w:color w:val="000000" w:themeColor="text1"/>
          <w:sz w:val="24"/>
          <w:szCs w:val="24"/>
        </w:rPr>
        <w:t xml:space="preserve"> </w:t>
      </w:r>
      <w:r w:rsidR="005A4806" w:rsidRPr="00727324">
        <w:rPr>
          <w:rFonts w:ascii="Bookman Old Style" w:hAnsi="Bookman Old Style"/>
          <w:color w:val="000000" w:themeColor="text1"/>
          <w:sz w:val="24"/>
          <w:szCs w:val="24"/>
        </w:rPr>
        <w:t>Nomor</w:t>
      </w:r>
      <w:r w:rsidR="00A954D0">
        <w:rPr>
          <w:rFonts w:ascii="Bookman Old Style" w:hAnsi="Bookman Old Style"/>
          <w:color w:val="000000" w:themeColor="text1"/>
          <w:sz w:val="24"/>
          <w:szCs w:val="24"/>
        </w:rPr>
        <w:t xml:space="preserve"> </w:t>
      </w:r>
      <w:r w:rsidR="005A4806" w:rsidRPr="00727324">
        <w:rPr>
          <w:rFonts w:ascii="Bookman Old Style" w:hAnsi="Bookman Old Style"/>
          <w:color w:val="000000" w:themeColor="text1"/>
          <w:sz w:val="24"/>
          <w:szCs w:val="24"/>
        </w:rPr>
        <w:t>1</w:t>
      </w:r>
      <w:r w:rsidR="00A954D0">
        <w:rPr>
          <w:rFonts w:ascii="Bookman Old Style" w:hAnsi="Bookman Old Style"/>
          <w:color w:val="000000" w:themeColor="text1"/>
          <w:sz w:val="24"/>
          <w:szCs w:val="24"/>
        </w:rPr>
        <w:t xml:space="preserve"> </w:t>
      </w:r>
      <w:r w:rsidR="005A4806" w:rsidRPr="00727324">
        <w:rPr>
          <w:rFonts w:ascii="Bookman Old Style" w:hAnsi="Bookman Old Style"/>
          <w:color w:val="000000" w:themeColor="text1"/>
          <w:sz w:val="24"/>
          <w:szCs w:val="24"/>
        </w:rPr>
        <w:t>Tahun</w:t>
      </w:r>
      <w:r w:rsidR="00A954D0">
        <w:rPr>
          <w:rFonts w:ascii="Bookman Old Style" w:hAnsi="Bookman Old Style"/>
          <w:color w:val="000000" w:themeColor="text1"/>
          <w:sz w:val="24"/>
          <w:szCs w:val="24"/>
        </w:rPr>
        <w:t xml:space="preserve"> </w:t>
      </w:r>
      <w:r w:rsidR="005A4806" w:rsidRPr="00727324">
        <w:rPr>
          <w:rFonts w:ascii="Bookman Old Style" w:hAnsi="Bookman Old Style"/>
          <w:color w:val="000000" w:themeColor="text1"/>
          <w:sz w:val="24"/>
          <w:szCs w:val="24"/>
        </w:rPr>
        <w:t>2023</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dan</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Peraturan</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Menteri</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Dalam</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Negeri</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Nomor</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62</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Tahun</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2017</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serta</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dalam</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pelaksanaannya</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tetap</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memperhatikan</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aspek</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efektivitas,</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efisiensi,</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kewajaran,</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kepatutan,</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penghematan</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dan</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rasionalitas</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dalam</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penggunaan</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anggaran</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s="Tahoma"/>
          <w:color w:val="000000" w:themeColor="text1"/>
          <w:sz w:val="24"/>
          <w:szCs w:val="24"/>
        </w:rPr>
        <w:t>dimaksud</w:t>
      </w:r>
      <w:r w:rsidR="00A954D0">
        <w:rPr>
          <w:rFonts w:ascii="Bookman Old Style" w:hAnsi="Bookman Old Style" w:cs="Tahoma"/>
          <w:color w:val="000000" w:themeColor="text1"/>
          <w:sz w:val="24"/>
          <w:szCs w:val="24"/>
        </w:rPr>
        <w:t xml:space="preserve"> </w:t>
      </w:r>
      <w:r w:rsidR="005A4806" w:rsidRPr="00727324">
        <w:rPr>
          <w:rFonts w:ascii="Bookman Old Style" w:hAnsi="Bookman Old Style"/>
          <w:color w:val="000000" w:themeColor="text1"/>
          <w:sz w:val="24"/>
          <w:szCs w:val="24"/>
          <w:lang w:val="id-ID"/>
        </w:rPr>
        <w:t>sesuai</w:t>
      </w:r>
      <w:r w:rsidR="00A954D0">
        <w:rPr>
          <w:rFonts w:ascii="Bookman Old Style" w:hAnsi="Bookman Old Style"/>
          <w:color w:val="000000" w:themeColor="text1"/>
          <w:sz w:val="24"/>
          <w:szCs w:val="24"/>
          <w:lang w:val="id-ID"/>
        </w:rPr>
        <w:t xml:space="preserve"> </w:t>
      </w:r>
      <w:r w:rsidR="005A4806" w:rsidRPr="00727324">
        <w:rPr>
          <w:rFonts w:ascii="Bookman Old Style" w:hAnsi="Bookman Old Style"/>
          <w:color w:val="000000" w:themeColor="text1"/>
          <w:sz w:val="24"/>
          <w:szCs w:val="24"/>
          <w:lang w:val="id-ID"/>
        </w:rPr>
        <w:t>dengan</w:t>
      </w:r>
      <w:r w:rsidR="00A954D0">
        <w:rPr>
          <w:rFonts w:ascii="Bookman Old Style" w:hAnsi="Bookman Old Style"/>
          <w:color w:val="000000" w:themeColor="text1"/>
          <w:sz w:val="24"/>
          <w:szCs w:val="24"/>
          <w:lang w:val="id-ID"/>
        </w:rPr>
        <w:t xml:space="preserve"> </w:t>
      </w:r>
      <w:r w:rsidR="005A4806" w:rsidRPr="00727324">
        <w:rPr>
          <w:rFonts w:ascii="Bookman Old Style" w:hAnsi="Bookman Old Style"/>
          <w:color w:val="000000" w:themeColor="text1"/>
          <w:sz w:val="24"/>
          <w:szCs w:val="24"/>
          <w:lang w:val="id-ID"/>
        </w:rPr>
        <w:t>ketentuan</w:t>
      </w:r>
      <w:r w:rsidR="00A954D0">
        <w:rPr>
          <w:rFonts w:ascii="Bookman Old Style" w:hAnsi="Bookman Old Style"/>
          <w:color w:val="000000" w:themeColor="text1"/>
          <w:sz w:val="24"/>
          <w:szCs w:val="24"/>
          <w:lang w:val="id-ID"/>
        </w:rPr>
        <w:t xml:space="preserve"> </w:t>
      </w:r>
      <w:r w:rsidR="005A4806" w:rsidRPr="00727324">
        <w:rPr>
          <w:rFonts w:ascii="Bookman Old Style" w:hAnsi="Bookman Old Style"/>
          <w:color w:val="000000" w:themeColor="text1"/>
          <w:sz w:val="24"/>
          <w:szCs w:val="24"/>
          <w:lang w:val="id-ID"/>
        </w:rPr>
        <w:t>peraturan</w:t>
      </w:r>
      <w:r w:rsidR="00A954D0">
        <w:rPr>
          <w:rFonts w:ascii="Bookman Old Style" w:hAnsi="Bookman Old Style"/>
          <w:color w:val="000000" w:themeColor="text1"/>
          <w:sz w:val="24"/>
          <w:szCs w:val="24"/>
          <w:lang w:val="id-ID"/>
        </w:rPr>
        <w:t xml:space="preserve"> </w:t>
      </w:r>
      <w:r w:rsidR="005A4806" w:rsidRPr="00727324">
        <w:rPr>
          <w:rFonts w:ascii="Bookman Old Style" w:hAnsi="Bookman Old Style"/>
          <w:color w:val="000000" w:themeColor="text1"/>
          <w:sz w:val="24"/>
          <w:szCs w:val="24"/>
          <w:lang w:val="id-ID"/>
        </w:rPr>
        <w:t>perundang-undangan</w:t>
      </w:r>
      <w:r w:rsidR="005A4806" w:rsidRPr="00727324">
        <w:rPr>
          <w:rFonts w:ascii="Bookman Old Style" w:hAnsi="Bookman Old Style" w:cs="Tahoma"/>
          <w:color w:val="000000" w:themeColor="text1"/>
          <w:sz w:val="24"/>
          <w:szCs w:val="24"/>
        </w:rPr>
        <w:t>.</w:t>
      </w:r>
    </w:p>
    <w:p w14:paraId="4C625A95" w14:textId="35A2FA46" w:rsidR="005A4806" w:rsidRPr="00727324" w:rsidRDefault="005A4806" w:rsidP="00AC44F5">
      <w:pPr>
        <w:pStyle w:val="ListParagraph"/>
        <w:snapToGrid w:val="0"/>
        <w:spacing w:before="60" w:after="0" w:line="276" w:lineRule="auto"/>
        <w:ind w:left="3261"/>
        <w:contextualSpacing w:val="0"/>
        <w:jc w:val="both"/>
        <w:rPr>
          <w:rFonts w:ascii="Bookman Old Style" w:hAnsi="Bookman Old Style" w:cs="Tahoma"/>
          <w:color w:val="000000" w:themeColor="text1"/>
          <w:sz w:val="24"/>
          <w:szCs w:val="24"/>
        </w:rPr>
      </w:pPr>
      <w:r w:rsidRPr="00727324">
        <w:rPr>
          <w:rFonts w:ascii="Bookman Old Style" w:hAnsi="Bookman Old Style" w:cs="Tahoma"/>
          <w:color w:val="000000" w:themeColor="text1"/>
          <w:sz w:val="24"/>
          <w:szCs w:val="24"/>
        </w:rPr>
        <w:t>Selanjutnya,</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alokasi</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anggaran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tunjangan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perumahan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dan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tunjangan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transportasi</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juga</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harus</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memperhatikan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asas</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kepatutan,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kewajaran,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rasionalitas,</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standar</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harga</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setempat</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yang</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berlaku,</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dan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standar</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luas</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bangunan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dan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lahan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rumah</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negara</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sesuai</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dengan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ketentuan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peraturan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perundang-</w:t>
      </w:r>
      <w:r w:rsidRPr="00727324">
        <w:rPr>
          <w:rFonts w:ascii="Bookman Old Style" w:hAnsi="Bookman Old Style" w:cs="Tahoma"/>
          <w:color w:val="000000" w:themeColor="text1"/>
          <w:sz w:val="24"/>
          <w:szCs w:val="24"/>
        </w:rPr>
        <w:lastRenderedPageBreak/>
        <w:t>undangan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sebagaimana</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maksud</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Pasal</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17</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ayat</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(1)</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dan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ayat</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(2)</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Peraturan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Pemerintah</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Nomor</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18</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Tahun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2017</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sebagaimana</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telah</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diubah</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dengan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Peraturan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Pemerintah</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Nomor</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1</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Tahun</w:t>
      </w:r>
      <w:r w:rsidR="00A954D0">
        <w:rPr>
          <w:rFonts w:ascii="Bookman Old Style" w:hAnsi="Bookman Old Style"/>
          <w:color w:val="000000" w:themeColor="text1"/>
          <w:sz w:val="24"/>
          <w:szCs w:val="24"/>
        </w:rPr>
        <w:t xml:space="preserve"> </w:t>
      </w:r>
      <w:r w:rsidRPr="00727324">
        <w:rPr>
          <w:rFonts w:ascii="Bookman Old Style" w:hAnsi="Bookman Old Style"/>
          <w:color w:val="000000" w:themeColor="text1"/>
          <w:sz w:val="24"/>
          <w:szCs w:val="24"/>
        </w:rPr>
        <w:t>2023</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dan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Peraturan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Menteri</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Dalam</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Negeri</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Nomor</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7</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Tahun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2006</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tentang</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Standarisasi</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Sarana</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dan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Prasarana</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Kerja</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Pemerintahan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Daerah,</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sebagaimana</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telah</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diubah</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dengan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Peraturan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Menteri</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Dalam</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Negeri</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Nomor</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11</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Tahun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2007</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tentang</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Perubahan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atas</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Peraturan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Menteri</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Dalam</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Negeri</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Nomor</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7</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Tahun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2006</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tentang</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Standarisasi</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Sarana</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dan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Prasarana</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Kerja</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Pemerintahan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Daerah</w:t>
      </w:r>
      <w:r w:rsidR="00C24FEB">
        <w:rPr>
          <w:rFonts w:ascii="Bookman Old Style" w:hAnsi="Bookman Old Style" w:cs="Tahoma"/>
          <w:color w:val="000000" w:themeColor="text1"/>
          <w:sz w:val="24"/>
          <w:szCs w:val="24"/>
        </w:rPr>
        <w:t>,</w:t>
      </w:r>
      <w:r w:rsidR="00A954D0">
        <w:rPr>
          <w:rFonts w:ascii="Bookman Old Style" w:hAnsi="Bookman Old Style" w:cs="Tahoma"/>
          <w:color w:val="000000" w:themeColor="text1"/>
          <w:sz w:val="24"/>
          <w:szCs w:val="24"/>
        </w:rPr>
        <w:t xml:space="preserve"> </w:t>
      </w:r>
      <w:r w:rsidR="00C24FEB" w:rsidRPr="003255BC">
        <w:rPr>
          <w:rFonts w:ascii="Bookman Old Style" w:hAnsi="Bookman Old Style" w:cs="Tahoma"/>
          <w:color w:val="000000" w:themeColor="text1"/>
          <w:sz w:val="24"/>
          <w:szCs w:val="24"/>
          <w:lang w:val="sv-FI"/>
        </w:rPr>
        <w:t>serta</w:t>
      </w:r>
      <w:r w:rsidR="00A954D0" w:rsidRPr="003255BC">
        <w:rPr>
          <w:rFonts w:ascii="Bookman Old Style" w:hAnsi="Bookman Old Style" w:cs="Tahoma"/>
          <w:color w:val="000000" w:themeColor="text1"/>
          <w:sz w:val="24"/>
          <w:szCs w:val="24"/>
          <w:lang w:val="sv-FI"/>
        </w:rPr>
        <w:t xml:space="preserve"> </w:t>
      </w:r>
      <w:r w:rsidR="00C24FEB" w:rsidRPr="003255BC">
        <w:rPr>
          <w:rFonts w:ascii="Bookman Old Style" w:hAnsi="Bookman Old Style" w:cs="Tahoma"/>
          <w:color w:val="000000" w:themeColor="text1"/>
          <w:sz w:val="24"/>
          <w:szCs w:val="24"/>
          <w:lang w:val="sv-FI"/>
        </w:rPr>
        <w:t>mempedomani</w:t>
      </w:r>
      <w:r w:rsidR="00A954D0" w:rsidRPr="003255BC">
        <w:rPr>
          <w:rFonts w:ascii="Bookman Old Style" w:hAnsi="Bookman Old Style" w:cs="Tahoma"/>
          <w:color w:val="000000" w:themeColor="text1"/>
          <w:sz w:val="24"/>
          <w:szCs w:val="24"/>
          <w:lang w:val="sv-FI"/>
        </w:rPr>
        <w:t xml:space="preserve"> </w:t>
      </w:r>
      <w:r w:rsidR="00C24FEB" w:rsidRPr="003255BC">
        <w:rPr>
          <w:rFonts w:ascii="Bookman Old Style" w:hAnsi="Bookman Old Style" w:cs="Tahoma"/>
          <w:color w:val="000000" w:themeColor="text1"/>
          <w:sz w:val="24"/>
          <w:szCs w:val="24"/>
          <w:lang w:val="sv-FI"/>
        </w:rPr>
        <w:t>Peraturan</w:t>
      </w:r>
      <w:r w:rsidR="00A954D0" w:rsidRPr="003255BC">
        <w:rPr>
          <w:rFonts w:ascii="Bookman Old Style" w:hAnsi="Bookman Old Style" w:cs="Tahoma"/>
          <w:color w:val="000000" w:themeColor="text1"/>
          <w:sz w:val="24"/>
          <w:szCs w:val="24"/>
          <w:lang w:val="sv-FI"/>
        </w:rPr>
        <w:t xml:space="preserve"> </w:t>
      </w:r>
      <w:r w:rsidR="001C092E" w:rsidRPr="003255BC">
        <w:rPr>
          <w:rFonts w:ascii="Bookman Old Style" w:hAnsi="Bookman Old Style" w:cs="Tahoma"/>
          <w:color w:val="000000" w:themeColor="text1"/>
          <w:sz w:val="24"/>
          <w:szCs w:val="24"/>
          <w:lang w:val="sv-FI"/>
        </w:rPr>
        <w:t>Wali</w:t>
      </w:r>
      <w:r w:rsidR="00A954D0" w:rsidRPr="003255BC">
        <w:rPr>
          <w:rFonts w:ascii="Bookman Old Style" w:hAnsi="Bookman Old Style" w:cs="Tahoma"/>
          <w:color w:val="000000" w:themeColor="text1"/>
          <w:sz w:val="24"/>
          <w:szCs w:val="24"/>
          <w:lang w:val="sv-FI"/>
        </w:rPr>
        <w:t xml:space="preserve"> </w:t>
      </w:r>
      <w:r w:rsidR="001C092E" w:rsidRPr="003255BC">
        <w:rPr>
          <w:rFonts w:ascii="Bookman Old Style" w:hAnsi="Bookman Old Style" w:cs="Tahoma"/>
          <w:color w:val="000000" w:themeColor="text1"/>
          <w:sz w:val="24"/>
          <w:szCs w:val="24"/>
          <w:lang w:val="sv-FI"/>
        </w:rPr>
        <w:t>Kota</w:t>
      </w:r>
      <w:r w:rsidR="00A954D0" w:rsidRPr="003255BC">
        <w:rPr>
          <w:rFonts w:ascii="Bookman Old Style" w:hAnsi="Bookman Old Style" w:cs="Tahoma"/>
          <w:color w:val="000000" w:themeColor="text1"/>
          <w:sz w:val="24"/>
          <w:szCs w:val="24"/>
          <w:lang w:val="sv-FI"/>
        </w:rPr>
        <w:t xml:space="preserve"> </w:t>
      </w:r>
      <w:r w:rsidR="00C24FEB" w:rsidRPr="003255BC">
        <w:rPr>
          <w:rFonts w:ascii="Bookman Old Style" w:hAnsi="Bookman Old Style" w:cs="Tahoma"/>
          <w:color w:val="000000" w:themeColor="text1"/>
          <w:sz w:val="24"/>
          <w:szCs w:val="24"/>
          <w:lang w:val="sv-FI"/>
        </w:rPr>
        <w:t>yang</w:t>
      </w:r>
      <w:r w:rsidR="00A954D0" w:rsidRPr="003255BC">
        <w:rPr>
          <w:rFonts w:ascii="Bookman Old Style" w:hAnsi="Bookman Old Style" w:cs="Tahoma"/>
          <w:color w:val="000000" w:themeColor="text1"/>
          <w:sz w:val="24"/>
          <w:szCs w:val="24"/>
          <w:lang w:val="sv-FI"/>
        </w:rPr>
        <w:t xml:space="preserve"> </w:t>
      </w:r>
      <w:r w:rsidR="00C24FEB" w:rsidRPr="003255BC">
        <w:rPr>
          <w:rFonts w:ascii="Bookman Old Style" w:hAnsi="Bookman Old Style" w:cs="Tahoma"/>
          <w:color w:val="000000" w:themeColor="text1"/>
          <w:sz w:val="24"/>
          <w:szCs w:val="24"/>
          <w:lang w:val="sv-FI"/>
        </w:rPr>
        <w:t>mengatur</w:t>
      </w:r>
      <w:r w:rsidR="00A954D0" w:rsidRPr="003255BC">
        <w:rPr>
          <w:rFonts w:ascii="Bookman Old Style" w:hAnsi="Bookman Old Style" w:cs="Tahoma"/>
          <w:color w:val="000000" w:themeColor="text1"/>
          <w:sz w:val="24"/>
          <w:szCs w:val="24"/>
          <w:lang w:val="sv-FI"/>
        </w:rPr>
        <w:t xml:space="preserve"> </w:t>
      </w:r>
      <w:r w:rsidR="00C24FEB" w:rsidRPr="003255BC">
        <w:rPr>
          <w:rFonts w:ascii="Bookman Old Style" w:hAnsi="Bookman Old Style" w:cs="Tahoma"/>
          <w:color w:val="000000" w:themeColor="text1"/>
          <w:sz w:val="24"/>
          <w:szCs w:val="24"/>
          <w:lang w:val="sv-FI"/>
        </w:rPr>
        <w:t>tentang</w:t>
      </w:r>
      <w:r w:rsidR="00A954D0" w:rsidRPr="003255BC">
        <w:rPr>
          <w:rFonts w:ascii="Bookman Old Style" w:hAnsi="Bookman Old Style" w:cs="Tahoma"/>
          <w:color w:val="000000" w:themeColor="text1"/>
          <w:sz w:val="24"/>
          <w:szCs w:val="24"/>
          <w:lang w:val="sv-FI"/>
        </w:rPr>
        <w:t xml:space="preserve"> </w:t>
      </w:r>
      <w:r w:rsidR="00C24FEB" w:rsidRPr="003255BC">
        <w:rPr>
          <w:rFonts w:ascii="Bookman Old Style" w:hAnsi="Bookman Old Style" w:cs="Tahoma"/>
          <w:color w:val="000000" w:themeColor="text1"/>
          <w:sz w:val="24"/>
          <w:szCs w:val="24"/>
          <w:lang w:val="sv-FI"/>
        </w:rPr>
        <w:t>Pelaksanaan</w:t>
      </w:r>
      <w:r w:rsidR="00A954D0" w:rsidRPr="003255BC">
        <w:rPr>
          <w:rFonts w:ascii="Bookman Old Style" w:hAnsi="Bookman Old Style" w:cs="Tahoma"/>
          <w:color w:val="000000" w:themeColor="text1"/>
          <w:sz w:val="24"/>
          <w:szCs w:val="24"/>
          <w:lang w:val="sv-FI"/>
        </w:rPr>
        <w:t xml:space="preserve"> </w:t>
      </w:r>
      <w:r w:rsidR="00C24FEB" w:rsidRPr="003255BC">
        <w:rPr>
          <w:rFonts w:ascii="Bookman Old Style" w:hAnsi="Bookman Old Style" w:cs="Tahoma"/>
          <w:color w:val="000000" w:themeColor="text1"/>
          <w:sz w:val="24"/>
          <w:szCs w:val="24"/>
          <w:lang w:val="sv-FI"/>
        </w:rPr>
        <w:t>Hak</w:t>
      </w:r>
      <w:r w:rsidR="00A954D0" w:rsidRPr="003255BC">
        <w:rPr>
          <w:rFonts w:ascii="Bookman Old Style" w:hAnsi="Bookman Old Style" w:cs="Tahoma"/>
          <w:color w:val="000000" w:themeColor="text1"/>
          <w:sz w:val="24"/>
          <w:szCs w:val="24"/>
          <w:lang w:val="sv-FI"/>
        </w:rPr>
        <w:t xml:space="preserve"> </w:t>
      </w:r>
      <w:r w:rsidR="00C24FEB" w:rsidRPr="003255BC">
        <w:rPr>
          <w:rFonts w:ascii="Bookman Old Style" w:hAnsi="Bookman Old Style" w:cs="Tahoma"/>
          <w:color w:val="000000" w:themeColor="text1"/>
          <w:sz w:val="24"/>
          <w:szCs w:val="24"/>
          <w:lang w:val="sv-FI"/>
        </w:rPr>
        <w:t>Keuangan</w:t>
      </w:r>
      <w:r w:rsidR="00A954D0" w:rsidRPr="003255BC">
        <w:rPr>
          <w:rFonts w:ascii="Bookman Old Style" w:hAnsi="Bookman Old Style" w:cs="Tahoma"/>
          <w:color w:val="000000" w:themeColor="text1"/>
          <w:sz w:val="24"/>
          <w:szCs w:val="24"/>
          <w:lang w:val="sv-FI"/>
        </w:rPr>
        <w:t xml:space="preserve"> </w:t>
      </w:r>
      <w:r w:rsidR="00C24FEB" w:rsidRPr="003255BC">
        <w:rPr>
          <w:rFonts w:ascii="Bookman Old Style" w:hAnsi="Bookman Old Style" w:cs="Tahoma"/>
          <w:color w:val="000000" w:themeColor="text1"/>
          <w:sz w:val="24"/>
          <w:szCs w:val="24"/>
          <w:lang w:val="sv-FI"/>
        </w:rPr>
        <w:t>dan</w:t>
      </w:r>
      <w:r w:rsidR="00A954D0" w:rsidRPr="003255BC">
        <w:rPr>
          <w:rFonts w:ascii="Bookman Old Style" w:hAnsi="Bookman Old Style" w:cs="Tahoma"/>
          <w:color w:val="000000" w:themeColor="text1"/>
          <w:sz w:val="24"/>
          <w:szCs w:val="24"/>
          <w:lang w:val="sv-FI"/>
        </w:rPr>
        <w:t xml:space="preserve"> </w:t>
      </w:r>
      <w:r w:rsidR="00C24FEB" w:rsidRPr="003255BC">
        <w:rPr>
          <w:rFonts w:ascii="Bookman Old Style" w:hAnsi="Bookman Old Style" w:cs="Tahoma"/>
          <w:color w:val="000000" w:themeColor="text1"/>
          <w:sz w:val="24"/>
          <w:szCs w:val="24"/>
          <w:lang w:val="sv-FI"/>
        </w:rPr>
        <w:t>Admistratif</w:t>
      </w:r>
      <w:r w:rsidR="00A954D0" w:rsidRPr="003255BC">
        <w:rPr>
          <w:rFonts w:ascii="Bookman Old Style" w:hAnsi="Bookman Old Style" w:cs="Tahoma"/>
          <w:color w:val="000000" w:themeColor="text1"/>
          <w:sz w:val="24"/>
          <w:szCs w:val="24"/>
          <w:lang w:val="sv-FI"/>
        </w:rPr>
        <w:t xml:space="preserve"> </w:t>
      </w:r>
      <w:r w:rsidR="00C24FEB" w:rsidRPr="003255BC">
        <w:rPr>
          <w:rFonts w:ascii="Bookman Old Style" w:hAnsi="Bookman Old Style" w:cs="Tahoma"/>
          <w:color w:val="000000" w:themeColor="text1"/>
          <w:sz w:val="24"/>
          <w:szCs w:val="24"/>
          <w:lang w:val="sv-FI"/>
        </w:rPr>
        <w:t>Pimpinan</w:t>
      </w:r>
      <w:r w:rsidR="00A954D0" w:rsidRPr="003255BC">
        <w:rPr>
          <w:rFonts w:ascii="Bookman Old Style" w:hAnsi="Bookman Old Style" w:cs="Tahoma"/>
          <w:color w:val="000000" w:themeColor="text1"/>
          <w:sz w:val="24"/>
          <w:szCs w:val="24"/>
          <w:lang w:val="sv-FI"/>
        </w:rPr>
        <w:t xml:space="preserve"> </w:t>
      </w:r>
      <w:r w:rsidR="00C24FEB" w:rsidRPr="003255BC">
        <w:rPr>
          <w:rFonts w:ascii="Bookman Old Style" w:hAnsi="Bookman Old Style" w:cs="Tahoma"/>
          <w:color w:val="000000" w:themeColor="text1"/>
          <w:sz w:val="24"/>
          <w:szCs w:val="24"/>
          <w:lang w:val="sv-FI"/>
        </w:rPr>
        <w:t>dan</w:t>
      </w:r>
      <w:r w:rsidR="00A954D0" w:rsidRPr="003255BC">
        <w:rPr>
          <w:rFonts w:ascii="Bookman Old Style" w:hAnsi="Bookman Old Style" w:cs="Tahoma"/>
          <w:color w:val="000000" w:themeColor="text1"/>
          <w:sz w:val="24"/>
          <w:szCs w:val="24"/>
          <w:lang w:val="sv-FI"/>
        </w:rPr>
        <w:t xml:space="preserve"> </w:t>
      </w:r>
      <w:r w:rsidR="00C24FEB" w:rsidRPr="003255BC">
        <w:rPr>
          <w:rFonts w:ascii="Bookman Old Style" w:hAnsi="Bookman Old Style" w:cs="Tahoma"/>
          <w:color w:val="000000" w:themeColor="text1"/>
          <w:sz w:val="24"/>
          <w:szCs w:val="24"/>
          <w:lang w:val="sv-FI"/>
        </w:rPr>
        <w:t>Anggota</w:t>
      </w:r>
      <w:r w:rsidR="00A954D0" w:rsidRPr="003255BC">
        <w:rPr>
          <w:rFonts w:ascii="Bookman Old Style" w:hAnsi="Bookman Old Style" w:cs="Tahoma"/>
          <w:color w:val="000000" w:themeColor="text1"/>
          <w:sz w:val="24"/>
          <w:szCs w:val="24"/>
          <w:lang w:val="sv-FI"/>
        </w:rPr>
        <w:t xml:space="preserve"> </w:t>
      </w:r>
      <w:r w:rsidR="00C24FEB" w:rsidRPr="003255BC">
        <w:rPr>
          <w:rFonts w:ascii="Bookman Old Style" w:hAnsi="Bookman Old Style" w:cs="Tahoma"/>
          <w:color w:val="000000" w:themeColor="text1"/>
          <w:sz w:val="24"/>
          <w:szCs w:val="24"/>
          <w:lang w:val="sv-FI"/>
        </w:rPr>
        <w:t>DPRD</w:t>
      </w:r>
      <w:r w:rsidR="00A954D0" w:rsidRPr="003255BC">
        <w:rPr>
          <w:rFonts w:ascii="Bookman Old Style" w:hAnsi="Bookman Old Style" w:cs="Tahoma"/>
          <w:color w:val="000000" w:themeColor="text1"/>
          <w:sz w:val="24"/>
          <w:szCs w:val="24"/>
          <w:lang w:val="sv-FI"/>
        </w:rPr>
        <w:t xml:space="preserve"> </w:t>
      </w:r>
      <w:r w:rsidR="00C24FEB" w:rsidRPr="003255BC">
        <w:rPr>
          <w:rFonts w:ascii="Bookman Old Style" w:hAnsi="Bookman Old Style" w:cs="Tahoma"/>
          <w:color w:val="000000" w:themeColor="text1"/>
          <w:sz w:val="24"/>
          <w:szCs w:val="24"/>
          <w:lang w:val="sv-FI"/>
        </w:rPr>
        <w:t>Kota</w:t>
      </w:r>
      <w:r w:rsidR="00A954D0" w:rsidRPr="003255BC">
        <w:rPr>
          <w:rFonts w:ascii="Bookman Old Style" w:hAnsi="Bookman Old Style" w:cs="Tahoma"/>
          <w:color w:val="000000" w:themeColor="text1"/>
          <w:sz w:val="24"/>
          <w:szCs w:val="24"/>
          <w:lang w:val="sv-FI"/>
        </w:rPr>
        <w:t xml:space="preserve"> </w:t>
      </w:r>
      <w:r w:rsidR="00C24FEB" w:rsidRPr="003255BC">
        <w:rPr>
          <w:rFonts w:ascii="Bookman Old Style" w:hAnsi="Bookman Old Style" w:cs="Tahoma"/>
          <w:color w:val="000000" w:themeColor="text1"/>
          <w:sz w:val="24"/>
          <w:szCs w:val="24"/>
          <w:lang w:val="sv-FI"/>
        </w:rPr>
        <w:t>Tangerang.</w:t>
      </w:r>
    </w:p>
    <w:p w14:paraId="7439DCE5" w14:textId="641A28CF" w:rsidR="005A4806" w:rsidRPr="003255BC" w:rsidRDefault="005A4806" w:rsidP="00AC44F5">
      <w:pPr>
        <w:pStyle w:val="ListParagraph"/>
        <w:numPr>
          <w:ilvl w:val="0"/>
          <w:numId w:val="71"/>
        </w:numPr>
        <w:snapToGrid w:val="0"/>
        <w:spacing w:before="60" w:after="0" w:line="276" w:lineRule="auto"/>
        <w:ind w:left="2694" w:hanging="425"/>
        <w:contextualSpacing w:val="0"/>
        <w:jc w:val="both"/>
        <w:rPr>
          <w:rFonts w:ascii="Bookman Old Style" w:hAnsi="Bookman Old Style" w:cs="Tahoma"/>
          <w:color w:val="000000" w:themeColor="text1"/>
          <w:sz w:val="24"/>
          <w:szCs w:val="24"/>
          <w:lang w:val="sv-FI"/>
        </w:rPr>
      </w:pPr>
      <w:r w:rsidRPr="00727324">
        <w:rPr>
          <w:rFonts w:ascii="Bookman Old Style" w:hAnsi="Bookman Old Style" w:cs="Arial"/>
          <w:color w:val="000000" w:themeColor="text1"/>
          <w:sz w:val="24"/>
          <w:szCs w:val="24"/>
        </w:rPr>
        <w:t>Belanja</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Dana</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Operasional</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Pimpinan</w:t>
      </w:r>
      <w:r w:rsidR="00A954D0">
        <w:rPr>
          <w:rFonts w:ascii="Bookman Old Style" w:hAnsi="Bookman Old Style" w:cs="Tahoma"/>
          <w:color w:val="000000" w:themeColor="text1"/>
          <w:sz w:val="24"/>
          <w:szCs w:val="24"/>
        </w:rPr>
        <w:t xml:space="preserve"> </w:t>
      </w:r>
      <w:r w:rsidRPr="00727324">
        <w:rPr>
          <w:rFonts w:ascii="Bookman Old Style" w:hAnsi="Bookman Old Style" w:cs="Tahoma"/>
          <w:color w:val="000000" w:themeColor="text1"/>
          <w:sz w:val="24"/>
          <w:szCs w:val="24"/>
        </w:rPr>
        <w:t>DPRD</w:t>
      </w:r>
      <w:r w:rsidR="00A954D0">
        <w:rPr>
          <w:rFonts w:ascii="Bookman Old Style" w:hAnsi="Bookman Old Style" w:cs="Tahoma"/>
          <w:color w:val="000000" w:themeColor="text1"/>
          <w:sz w:val="24"/>
          <w:szCs w:val="24"/>
        </w:rPr>
        <w:t xml:space="preserve"> </w:t>
      </w:r>
      <w:r w:rsidRPr="003255BC">
        <w:rPr>
          <w:rFonts w:ascii="Bookman Old Style" w:hAnsi="Bookman Old Style" w:cs="Arial"/>
          <w:sz w:val="24"/>
          <w:szCs w:val="24"/>
          <w:lang w:val="sv-FI"/>
        </w:rPr>
        <w:t>Rp393</w:t>
      </w:r>
      <w:r>
        <w:rPr>
          <w:rFonts w:ascii="Bookman Old Style" w:hAnsi="Bookman Old Style" w:cs="Arial"/>
          <w:sz w:val="24"/>
          <w:szCs w:val="24"/>
          <w:lang w:val="it-IT"/>
        </w:rPr>
        <w:t>.</w:t>
      </w:r>
      <w:r w:rsidRPr="003255BC">
        <w:rPr>
          <w:rFonts w:ascii="Bookman Old Style" w:hAnsi="Bookman Old Style" w:cs="Arial"/>
          <w:sz w:val="24"/>
          <w:szCs w:val="24"/>
          <w:lang w:val="sv-FI"/>
        </w:rPr>
        <w:t>120</w:t>
      </w:r>
      <w:r>
        <w:rPr>
          <w:rFonts w:ascii="Bookman Old Style" w:hAnsi="Bookman Old Style" w:cs="Arial"/>
          <w:sz w:val="24"/>
          <w:szCs w:val="24"/>
          <w:lang w:val="it-IT"/>
        </w:rPr>
        <w:t>.</w:t>
      </w:r>
      <w:r w:rsidRPr="00DE64EA">
        <w:rPr>
          <w:rFonts w:ascii="Bookman Old Style" w:hAnsi="Bookman Old Style" w:cs="Arial"/>
          <w:sz w:val="24"/>
          <w:szCs w:val="24"/>
          <w:lang w:val="it-IT"/>
        </w:rPr>
        <w:t>000</w:t>
      </w:r>
      <w:r w:rsidRPr="00727324">
        <w:rPr>
          <w:rFonts w:ascii="Bookman Old Style" w:hAnsi="Bookman Old Style" w:cs="Arial"/>
          <w:sz w:val="24"/>
          <w:szCs w:val="24"/>
          <w:lang w:val="sv-FI"/>
        </w:rPr>
        <w:t>,00</w:t>
      </w:r>
      <w:r w:rsidR="00A954D0">
        <w:rPr>
          <w:rFonts w:ascii="Bookman Old Style" w:hAnsi="Bookman Old Style" w:cs="Tahoma"/>
          <w:color w:val="FF0000"/>
          <w:sz w:val="24"/>
          <w:szCs w:val="24"/>
          <w:lang w:val="it-IT"/>
        </w:rPr>
        <w:t xml:space="preserve"> </w:t>
      </w:r>
      <w:r w:rsidRPr="00727324">
        <w:rPr>
          <w:rFonts w:ascii="Bookman Old Style" w:hAnsi="Bookman Old Style" w:cs="Tahoma"/>
          <w:color w:val="000000" w:themeColor="text1"/>
          <w:sz w:val="24"/>
          <w:szCs w:val="24"/>
          <w:lang w:val="it-IT"/>
        </w:rPr>
        <w:t>dalam</w:t>
      </w:r>
      <w:r w:rsidR="00A954D0">
        <w:rPr>
          <w:rFonts w:ascii="Bookman Old Style" w:hAnsi="Bookman Old Style" w:cs="Tahoma"/>
          <w:color w:val="000000" w:themeColor="text1"/>
          <w:sz w:val="24"/>
          <w:szCs w:val="24"/>
          <w:lang w:val="it-IT"/>
        </w:rPr>
        <w:t xml:space="preserve"> </w:t>
      </w:r>
      <w:r w:rsidRPr="00727324">
        <w:rPr>
          <w:rFonts w:ascii="Bookman Old Style" w:hAnsi="Bookman Old Style" w:cs="Tahoma"/>
          <w:color w:val="000000" w:themeColor="text1"/>
          <w:sz w:val="24"/>
          <w:szCs w:val="24"/>
          <w:lang w:val="it-IT"/>
        </w:rPr>
        <w:t>Rancangan</w:t>
      </w:r>
      <w:r w:rsidR="00A954D0">
        <w:rPr>
          <w:rFonts w:ascii="Bookman Old Style" w:hAnsi="Bookman Old Style" w:cs="Tahoma"/>
          <w:color w:val="000000" w:themeColor="text1"/>
          <w:sz w:val="24"/>
          <w:szCs w:val="24"/>
          <w:lang w:val="it-IT"/>
        </w:rPr>
        <w:t xml:space="preserve"> </w:t>
      </w:r>
      <w:r w:rsidRPr="00727324">
        <w:rPr>
          <w:rFonts w:ascii="Bookman Old Style" w:hAnsi="Bookman Old Style" w:cs="Tahoma"/>
          <w:color w:val="000000" w:themeColor="text1"/>
          <w:sz w:val="24"/>
          <w:szCs w:val="24"/>
          <w:lang w:val="it-IT"/>
        </w:rPr>
        <w:t>Peraturan</w:t>
      </w:r>
      <w:r w:rsidR="00A954D0">
        <w:rPr>
          <w:rFonts w:ascii="Bookman Old Style" w:hAnsi="Bookman Old Style" w:cs="Tahoma"/>
          <w:color w:val="000000" w:themeColor="text1"/>
          <w:sz w:val="24"/>
          <w:szCs w:val="24"/>
          <w:lang w:val="it-IT"/>
        </w:rPr>
        <w:t xml:space="preserve"> </w:t>
      </w:r>
      <w:r w:rsidRPr="00727324">
        <w:rPr>
          <w:rFonts w:ascii="Bookman Old Style" w:hAnsi="Bookman Old Style" w:cs="Tahoma"/>
          <w:color w:val="000000" w:themeColor="text1"/>
          <w:sz w:val="24"/>
          <w:szCs w:val="24"/>
          <w:lang w:val="it-IT"/>
        </w:rPr>
        <w:t>Daerah</w:t>
      </w:r>
      <w:r w:rsidR="00A954D0">
        <w:rPr>
          <w:rFonts w:ascii="Bookman Old Style" w:hAnsi="Bookman Old Style"/>
          <w:sz w:val="24"/>
          <w:szCs w:val="24"/>
          <w:lang w:val="id-ID"/>
        </w:rPr>
        <w:t xml:space="preserve"> </w:t>
      </w:r>
      <w:r w:rsidRPr="00F70329">
        <w:rPr>
          <w:rFonts w:ascii="Bookman Old Style" w:hAnsi="Bookman Old Style"/>
          <w:sz w:val="24"/>
          <w:szCs w:val="24"/>
          <w:lang w:val="id-ID"/>
        </w:rPr>
        <w:t>Kota</w:t>
      </w:r>
      <w:r w:rsidR="00A954D0">
        <w:rPr>
          <w:rFonts w:ascii="Bookman Old Style" w:hAnsi="Bookman Old Style"/>
          <w:sz w:val="24"/>
          <w:szCs w:val="24"/>
          <w:lang w:val="id-ID"/>
        </w:rPr>
        <w:t xml:space="preserve"> </w:t>
      </w:r>
      <w:r>
        <w:rPr>
          <w:rFonts w:ascii="Bookman Old Style" w:hAnsi="Bookman Old Style"/>
          <w:sz w:val="24"/>
          <w:szCs w:val="24"/>
          <w:lang w:val="fi-FI"/>
        </w:rPr>
        <w:t>Tangerang</w:t>
      </w:r>
      <w:r w:rsidR="00A954D0">
        <w:rPr>
          <w:rFonts w:ascii="Bookman Old Style" w:hAnsi="Bookman Old Style"/>
          <w:sz w:val="24"/>
          <w:szCs w:val="24"/>
          <w:lang w:val="id-ID"/>
        </w:rPr>
        <w:t xml:space="preserve"> </w:t>
      </w:r>
      <w:r w:rsidRPr="00DE64EA">
        <w:rPr>
          <w:rFonts w:ascii="Bookman Old Style" w:hAnsi="Bookman Old Style" w:cs="Tahoma"/>
          <w:color w:val="000000" w:themeColor="text1"/>
          <w:sz w:val="24"/>
          <w:szCs w:val="24"/>
          <w:lang w:val="it-IT"/>
        </w:rPr>
        <w:t>t</w:t>
      </w:r>
      <w:r w:rsidRPr="00727324">
        <w:rPr>
          <w:rFonts w:ascii="Bookman Old Style" w:hAnsi="Bookman Old Style" w:cs="Tahoma"/>
          <w:color w:val="000000" w:themeColor="text1"/>
          <w:sz w:val="24"/>
          <w:szCs w:val="24"/>
          <w:lang w:val="it-IT"/>
        </w:rPr>
        <w:t>entang</w:t>
      </w:r>
      <w:r w:rsidR="00A954D0">
        <w:rPr>
          <w:rFonts w:ascii="Bookman Old Style" w:hAnsi="Bookman Old Style" w:cs="Tahoma"/>
          <w:color w:val="000000" w:themeColor="text1"/>
          <w:sz w:val="24"/>
          <w:szCs w:val="24"/>
          <w:lang w:val="it-IT"/>
        </w:rPr>
        <w:t xml:space="preserve"> </w:t>
      </w:r>
      <w:r w:rsidRPr="00727324">
        <w:rPr>
          <w:rFonts w:ascii="Bookman Old Style" w:hAnsi="Bookman Old Style" w:cs="Tahoma"/>
          <w:color w:val="000000" w:themeColor="text1"/>
          <w:sz w:val="24"/>
          <w:szCs w:val="24"/>
          <w:lang w:val="it-IT"/>
        </w:rPr>
        <w:t>APBD</w:t>
      </w:r>
      <w:r w:rsidR="00A954D0">
        <w:rPr>
          <w:rFonts w:ascii="Bookman Old Style" w:hAnsi="Bookman Old Style" w:cs="Tahoma"/>
          <w:color w:val="000000" w:themeColor="text1"/>
          <w:sz w:val="24"/>
          <w:szCs w:val="24"/>
          <w:lang w:val="it-IT"/>
        </w:rPr>
        <w:t xml:space="preserve"> </w:t>
      </w:r>
      <w:r w:rsidRPr="00727324">
        <w:rPr>
          <w:rFonts w:ascii="Bookman Old Style" w:hAnsi="Bookman Old Style" w:cs="Tahoma"/>
          <w:color w:val="000000" w:themeColor="text1"/>
          <w:sz w:val="24"/>
          <w:szCs w:val="24"/>
          <w:lang w:val="it-IT"/>
        </w:rPr>
        <w:t>Tahun</w:t>
      </w:r>
      <w:r w:rsidR="00A954D0">
        <w:rPr>
          <w:rFonts w:ascii="Bookman Old Style" w:hAnsi="Bookman Old Style" w:cs="Tahoma"/>
          <w:color w:val="000000" w:themeColor="text1"/>
          <w:sz w:val="24"/>
          <w:szCs w:val="24"/>
          <w:lang w:val="it-IT"/>
        </w:rPr>
        <w:t xml:space="preserve"> </w:t>
      </w:r>
      <w:r w:rsidRPr="00727324">
        <w:rPr>
          <w:rFonts w:ascii="Bookman Old Style" w:hAnsi="Bookman Old Style" w:cs="Tahoma"/>
          <w:color w:val="000000" w:themeColor="text1"/>
          <w:sz w:val="24"/>
          <w:szCs w:val="24"/>
          <w:lang w:val="it-IT"/>
        </w:rPr>
        <w:t>Anggaran</w:t>
      </w:r>
      <w:r w:rsidR="00A954D0">
        <w:rPr>
          <w:rFonts w:ascii="Bookman Old Style" w:hAnsi="Bookman Old Style" w:cs="Tahoma"/>
          <w:color w:val="000000" w:themeColor="text1"/>
          <w:sz w:val="24"/>
          <w:szCs w:val="24"/>
          <w:lang w:val="it-IT"/>
        </w:rPr>
        <w:t xml:space="preserve"> </w:t>
      </w:r>
      <w:r w:rsidRPr="00727324">
        <w:rPr>
          <w:rFonts w:ascii="Bookman Old Style" w:hAnsi="Bookman Old Style" w:cs="Tahoma"/>
          <w:color w:val="000000" w:themeColor="text1"/>
          <w:sz w:val="24"/>
          <w:szCs w:val="24"/>
          <w:lang w:val="it-IT"/>
        </w:rPr>
        <w:t>2025,</w:t>
      </w:r>
      <w:r w:rsidR="00A954D0">
        <w:rPr>
          <w:rFonts w:ascii="Bookman Old Style" w:hAnsi="Bookman Old Style" w:cs="Tahoma"/>
          <w:color w:val="000000" w:themeColor="text1"/>
          <w:sz w:val="24"/>
          <w:szCs w:val="24"/>
          <w:lang w:val="it-IT"/>
        </w:rPr>
        <w:t xml:space="preserve"> </w:t>
      </w:r>
      <w:r w:rsidRPr="00727324">
        <w:rPr>
          <w:rFonts w:ascii="Bookman Old Style" w:hAnsi="Bookman Old Style" w:cs="Tahoma"/>
          <w:color w:val="000000" w:themeColor="text1"/>
          <w:sz w:val="24"/>
          <w:szCs w:val="24"/>
          <w:lang w:val="it-IT"/>
        </w:rPr>
        <w:t>sebagaimana</w:t>
      </w:r>
      <w:r w:rsidR="00A954D0">
        <w:rPr>
          <w:rFonts w:ascii="Bookman Old Style" w:hAnsi="Bookman Old Style" w:cs="Tahoma"/>
          <w:color w:val="000000" w:themeColor="text1"/>
          <w:sz w:val="24"/>
          <w:szCs w:val="24"/>
          <w:lang w:val="it-IT"/>
        </w:rPr>
        <w:t xml:space="preserve"> </w:t>
      </w:r>
      <w:r w:rsidRPr="00727324">
        <w:rPr>
          <w:rFonts w:ascii="Bookman Old Style" w:hAnsi="Bookman Old Style" w:cs="Tahoma"/>
          <w:color w:val="000000" w:themeColor="text1"/>
          <w:sz w:val="24"/>
          <w:szCs w:val="24"/>
          <w:lang w:val="it-IT"/>
        </w:rPr>
        <w:t>Tabel</w:t>
      </w:r>
      <w:r w:rsidR="00A954D0">
        <w:rPr>
          <w:rFonts w:ascii="Bookman Old Style" w:hAnsi="Bookman Old Style" w:cs="Tahoma"/>
          <w:color w:val="000000" w:themeColor="text1"/>
          <w:sz w:val="24"/>
          <w:szCs w:val="24"/>
          <w:lang w:val="it-IT"/>
        </w:rPr>
        <w:t xml:space="preserve"> </w:t>
      </w:r>
      <w:r w:rsidRPr="00727324">
        <w:rPr>
          <w:rFonts w:ascii="Bookman Old Style" w:hAnsi="Bookman Old Style" w:cs="Tahoma"/>
          <w:color w:val="000000" w:themeColor="text1"/>
          <w:sz w:val="24"/>
          <w:szCs w:val="24"/>
          <w:lang w:val="it-IT"/>
        </w:rPr>
        <w:t>2</w:t>
      </w:r>
      <w:r w:rsidR="00AC44F5">
        <w:rPr>
          <w:rFonts w:ascii="Bookman Old Style" w:hAnsi="Bookman Old Style" w:cs="Tahoma"/>
          <w:color w:val="000000" w:themeColor="text1"/>
          <w:sz w:val="24"/>
          <w:szCs w:val="24"/>
          <w:lang w:val="it-IT"/>
        </w:rPr>
        <w:t>3</w:t>
      </w:r>
      <w:r w:rsidR="00A954D0" w:rsidRPr="003255BC">
        <w:rPr>
          <w:rFonts w:ascii="Bookman Old Style" w:hAnsi="Bookman Old Style" w:cs="Tahoma"/>
          <w:color w:val="000000" w:themeColor="text1"/>
          <w:sz w:val="24"/>
          <w:szCs w:val="24"/>
          <w:lang w:val="sv-FI"/>
        </w:rPr>
        <w:t xml:space="preserve"> </w:t>
      </w:r>
      <w:r w:rsidRPr="003255BC">
        <w:rPr>
          <w:rFonts w:ascii="Bookman Old Style" w:hAnsi="Bookman Old Style" w:cs="Tahoma"/>
          <w:color w:val="000000" w:themeColor="text1"/>
          <w:sz w:val="24"/>
          <w:szCs w:val="24"/>
          <w:lang w:val="sv-FI"/>
        </w:rPr>
        <w:t>sebagai</w:t>
      </w:r>
      <w:r w:rsidR="00A954D0" w:rsidRPr="003255BC">
        <w:rPr>
          <w:rFonts w:ascii="Bookman Old Style" w:hAnsi="Bookman Old Style" w:cs="Tahoma"/>
          <w:color w:val="000000" w:themeColor="text1"/>
          <w:sz w:val="24"/>
          <w:szCs w:val="24"/>
          <w:lang w:val="sv-FI"/>
        </w:rPr>
        <w:t xml:space="preserve"> </w:t>
      </w:r>
      <w:r w:rsidRPr="003255BC">
        <w:rPr>
          <w:rFonts w:ascii="Bookman Old Style" w:hAnsi="Bookman Old Style" w:cs="Tahoma"/>
          <w:color w:val="000000" w:themeColor="text1"/>
          <w:sz w:val="24"/>
          <w:szCs w:val="24"/>
          <w:lang w:val="sv-FI"/>
        </w:rPr>
        <w:t>berikut:</w:t>
      </w:r>
    </w:p>
    <w:p w14:paraId="6ADC2411" w14:textId="3D2C9C2D" w:rsidR="005A4806" w:rsidRPr="00727324" w:rsidRDefault="005A4806" w:rsidP="0073264B">
      <w:pPr>
        <w:pStyle w:val="ListParagraph"/>
        <w:snapToGrid w:val="0"/>
        <w:spacing w:after="0" w:line="276" w:lineRule="auto"/>
        <w:ind w:left="2552"/>
        <w:contextualSpacing w:val="0"/>
        <w:jc w:val="center"/>
        <w:rPr>
          <w:rFonts w:ascii="Bookman Old Style" w:hAnsi="Bookman Old Style" w:cs="Tahoma"/>
          <w:color w:val="000000" w:themeColor="text1"/>
          <w:sz w:val="24"/>
          <w:szCs w:val="24"/>
          <w:lang w:val="en-US"/>
        </w:rPr>
      </w:pPr>
      <w:r w:rsidRPr="00727324">
        <w:rPr>
          <w:rFonts w:ascii="Bookman Old Style" w:hAnsi="Bookman Old Style" w:cs="Tahoma"/>
          <w:color w:val="000000" w:themeColor="text1"/>
          <w:sz w:val="24"/>
          <w:szCs w:val="24"/>
          <w:lang w:val="en-US"/>
        </w:rPr>
        <w:t>Tabel</w:t>
      </w:r>
      <w:r w:rsidR="00A954D0">
        <w:rPr>
          <w:rFonts w:ascii="Bookman Old Style" w:hAnsi="Bookman Old Style" w:cs="Tahoma"/>
          <w:color w:val="000000" w:themeColor="text1"/>
          <w:sz w:val="24"/>
          <w:szCs w:val="24"/>
          <w:lang w:val="en-US"/>
        </w:rPr>
        <w:t xml:space="preserve"> </w:t>
      </w:r>
      <w:r w:rsidRPr="00727324">
        <w:rPr>
          <w:rFonts w:ascii="Bookman Old Style" w:hAnsi="Bookman Old Style" w:cs="Tahoma"/>
          <w:color w:val="000000" w:themeColor="text1"/>
          <w:sz w:val="24"/>
          <w:szCs w:val="24"/>
          <w:lang w:val="en-US"/>
        </w:rPr>
        <w:t>2</w:t>
      </w:r>
      <w:r w:rsidR="00AC44F5">
        <w:rPr>
          <w:rFonts w:ascii="Bookman Old Style" w:hAnsi="Bookman Old Style" w:cs="Tahoma"/>
          <w:color w:val="000000" w:themeColor="text1"/>
          <w:sz w:val="24"/>
          <w:szCs w:val="24"/>
          <w:lang w:val="en-US"/>
        </w:rPr>
        <w:t>3</w:t>
      </w:r>
    </w:p>
    <w:p w14:paraId="1A608927" w14:textId="07E14B10" w:rsidR="005A4806" w:rsidRPr="00727324" w:rsidRDefault="005A4806" w:rsidP="0073264B">
      <w:pPr>
        <w:pStyle w:val="ListParagraph"/>
        <w:snapToGrid w:val="0"/>
        <w:spacing w:after="0" w:line="276" w:lineRule="auto"/>
        <w:ind w:left="2552"/>
        <w:contextualSpacing w:val="0"/>
        <w:jc w:val="center"/>
        <w:rPr>
          <w:rFonts w:ascii="Bookman Old Style" w:hAnsi="Bookman Old Style" w:cs="Tahoma"/>
          <w:color w:val="000000" w:themeColor="text1"/>
          <w:sz w:val="24"/>
          <w:szCs w:val="24"/>
          <w:lang w:val="en-US"/>
        </w:rPr>
      </w:pPr>
      <w:r w:rsidRPr="00727324">
        <w:rPr>
          <w:rFonts w:ascii="Bookman Old Style" w:hAnsi="Bookman Old Style" w:cs="Tahoma"/>
          <w:color w:val="000000" w:themeColor="text1"/>
          <w:sz w:val="24"/>
          <w:szCs w:val="24"/>
          <w:lang w:val="en-US"/>
        </w:rPr>
        <w:t>Dana</w:t>
      </w:r>
      <w:r w:rsidR="00A954D0">
        <w:rPr>
          <w:rFonts w:ascii="Bookman Old Style" w:hAnsi="Bookman Old Style" w:cs="Tahoma"/>
          <w:color w:val="000000" w:themeColor="text1"/>
          <w:sz w:val="24"/>
          <w:szCs w:val="24"/>
          <w:lang w:val="en-US"/>
        </w:rPr>
        <w:t xml:space="preserve"> </w:t>
      </w:r>
      <w:r w:rsidRPr="00727324">
        <w:rPr>
          <w:rFonts w:ascii="Bookman Old Style" w:hAnsi="Bookman Old Style" w:cs="Tahoma"/>
          <w:color w:val="000000" w:themeColor="text1"/>
          <w:sz w:val="24"/>
          <w:szCs w:val="24"/>
          <w:lang w:val="en-US"/>
        </w:rPr>
        <w:t>Operasional</w:t>
      </w:r>
      <w:r w:rsidR="00A954D0">
        <w:rPr>
          <w:rFonts w:ascii="Bookman Old Style" w:hAnsi="Bookman Old Style" w:cs="Tahoma"/>
          <w:color w:val="000000" w:themeColor="text1"/>
          <w:sz w:val="24"/>
          <w:szCs w:val="24"/>
          <w:lang w:val="en-US"/>
        </w:rPr>
        <w:t xml:space="preserve"> </w:t>
      </w:r>
      <w:r w:rsidRPr="00727324">
        <w:rPr>
          <w:rFonts w:ascii="Bookman Old Style" w:hAnsi="Bookman Old Style" w:cs="Tahoma"/>
          <w:color w:val="000000" w:themeColor="text1"/>
          <w:sz w:val="24"/>
          <w:szCs w:val="24"/>
          <w:lang w:val="en-US"/>
        </w:rPr>
        <w:t>Pimpinan</w:t>
      </w:r>
      <w:r w:rsidR="00A954D0">
        <w:rPr>
          <w:rFonts w:ascii="Bookman Old Style" w:hAnsi="Bookman Old Style" w:cs="Tahoma"/>
          <w:color w:val="000000" w:themeColor="text1"/>
          <w:sz w:val="24"/>
          <w:szCs w:val="24"/>
          <w:lang w:val="en-US"/>
        </w:rPr>
        <w:t xml:space="preserve"> </w:t>
      </w:r>
      <w:r w:rsidRPr="00727324">
        <w:rPr>
          <w:rFonts w:ascii="Bookman Old Style" w:hAnsi="Bookman Old Style" w:cs="Tahoma"/>
          <w:color w:val="000000" w:themeColor="text1"/>
          <w:sz w:val="24"/>
          <w:szCs w:val="24"/>
          <w:lang w:val="en-US"/>
        </w:rPr>
        <w:t>DPRD</w:t>
      </w:r>
    </w:p>
    <w:tbl>
      <w:tblPr>
        <w:tblW w:w="808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1935"/>
        <w:gridCol w:w="1209"/>
        <w:gridCol w:w="2694"/>
        <w:gridCol w:w="1686"/>
      </w:tblGrid>
      <w:tr w:rsidR="0073264B" w:rsidRPr="006533A4" w14:paraId="381BF87B" w14:textId="77777777" w:rsidTr="00BD16EB">
        <w:trPr>
          <w:trHeight w:val="284"/>
          <w:tblHeader/>
        </w:trPr>
        <w:tc>
          <w:tcPr>
            <w:tcW w:w="556" w:type="dxa"/>
            <w:shd w:val="clear" w:color="000000" w:fill="FFFFFF"/>
            <w:vAlign w:val="center"/>
          </w:tcPr>
          <w:p w14:paraId="527BA4A8" w14:textId="4C0BEE31" w:rsidR="0073264B" w:rsidRPr="00465846" w:rsidRDefault="0073264B" w:rsidP="0073264B">
            <w:pPr>
              <w:jc w:val="center"/>
              <w:rPr>
                <w:rFonts w:ascii="Bookman Old Style" w:hAnsi="Bookman Old Style"/>
                <w:sz w:val="18"/>
                <w:szCs w:val="18"/>
              </w:rPr>
            </w:pPr>
            <w:r w:rsidRPr="006533A4">
              <w:rPr>
                <w:rFonts w:ascii="Bookman Old Style" w:hAnsi="Bookman Old Style" w:cs="Calibri"/>
                <w:b/>
                <w:bCs/>
                <w:color w:val="000000"/>
                <w:sz w:val="20"/>
                <w:szCs w:val="20"/>
              </w:rPr>
              <w:t>No.</w:t>
            </w:r>
          </w:p>
        </w:tc>
        <w:tc>
          <w:tcPr>
            <w:tcW w:w="1935" w:type="dxa"/>
            <w:shd w:val="clear" w:color="000000" w:fill="FFFFFF"/>
            <w:vAlign w:val="center"/>
          </w:tcPr>
          <w:p w14:paraId="6C689626" w14:textId="25C3A99C" w:rsidR="0073264B" w:rsidRPr="00465846" w:rsidRDefault="0073264B" w:rsidP="0073264B">
            <w:pPr>
              <w:jc w:val="center"/>
              <w:rPr>
                <w:rFonts w:ascii="Bookman Old Style" w:hAnsi="Bookman Old Style"/>
                <w:sz w:val="18"/>
                <w:szCs w:val="18"/>
              </w:rPr>
            </w:pPr>
            <w:r w:rsidRPr="006533A4">
              <w:rPr>
                <w:rFonts w:ascii="Bookman Old Style" w:hAnsi="Bookman Old Style" w:cs="Calibri"/>
                <w:b/>
                <w:bCs/>
                <w:color w:val="000000"/>
                <w:sz w:val="20"/>
                <w:szCs w:val="20"/>
              </w:rPr>
              <w:t>Komponen</w:t>
            </w:r>
            <w:r w:rsidR="00A954D0">
              <w:rPr>
                <w:rFonts w:ascii="Bookman Old Style" w:hAnsi="Bookman Old Style" w:cs="Calibri"/>
                <w:b/>
                <w:bCs/>
                <w:color w:val="000000"/>
                <w:sz w:val="20"/>
                <w:szCs w:val="20"/>
              </w:rPr>
              <w:t xml:space="preserve"> </w:t>
            </w:r>
            <w:r w:rsidRPr="006533A4">
              <w:rPr>
                <w:rFonts w:ascii="Bookman Old Style" w:hAnsi="Bookman Old Style" w:cs="Calibri"/>
                <w:b/>
                <w:bCs/>
                <w:color w:val="000000"/>
                <w:sz w:val="20"/>
                <w:szCs w:val="20"/>
              </w:rPr>
              <w:t>Perhitungan</w:t>
            </w:r>
          </w:p>
        </w:tc>
        <w:tc>
          <w:tcPr>
            <w:tcW w:w="1209" w:type="dxa"/>
            <w:shd w:val="clear" w:color="000000" w:fill="FFFFFF"/>
            <w:vAlign w:val="center"/>
          </w:tcPr>
          <w:p w14:paraId="035516D6" w14:textId="782EBE0F" w:rsidR="0073264B" w:rsidRPr="00465846" w:rsidRDefault="0073264B" w:rsidP="0073264B">
            <w:pPr>
              <w:jc w:val="center"/>
              <w:rPr>
                <w:rFonts w:ascii="Bookman Old Style" w:hAnsi="Bookman Old Style"/>
                <w:sz w:val="18"/>
                <w:szCs w:val="18"/>
              </w:rPr>
            </w:pPr>
            <w:r w:rsidRPr="006533A4">
              <w:rPr>
                <w:rFonts w:ascii="Bookman Old Style" w:hAnsi="Bookman Old Style" w:cs="Calibri"/>
                <w:b/>
                <w:bCs/>
                <w:color w:val="000000"/>
                <w:sz w:val="20"/>
                <w:szCs w:val="20"/>
                <w:lang w:val="sv-FI"/>
              </w:rPr>
              <w:t>Jumlah</w:t>
            </w:r>
            <w:r w:rsidR="00A954D0">
              <w:rPr>
                <w:rFonts w:ascii="Bookman Old Style" w:hAnsi="Bookman Old Style" w:cs="Calibri"/>
                <w:b/>
                <w:bCs/>
                <w:color w:val="000000"/>
                <w:sz w:val="20"/>
                <w:szCs w:val="20"/>
                <w:lang w:val="sv-FI"/>
              </w:rPr>
              <w:t xml:space="preserve"> </w:t>
            </w:r>
            <w:r w:rsidRPr="006533A4">
              <w:rPr>
                <w:rFonts w:ascii="Bookman Old Style" w:hAnsi="Bookman Old Style" w:cs="Calibri"/>
                <w:b/>
                <w:bCs/>
                <w:color w:val="000000"/>
                <w:sz w:val="20"/>
                <w:szCs w:val="20"/>
                <w:lang w:val="sv-FI"/>
              </w:rPr>
              <w:t>Pimpinan</w:t>
            </w:r>
            <w:r w:rsidR="00A954D0">
              <w:rPr>
                <w:rFonts w:ascii="Bookman Old Style" w:hAnsi="Bookman Old Style" w:cs="Calibri"/>
                <w:b/>
                <w:bCs/>
                <w:color w:val="000000"/>
                <w:sz w:val="20"/>
                <w:szCs w:val="20"/>
                <w:lang w:val="sv-FI"/>
              </w:rPr>
              <w:t xml:space="preserve"> </w:t>
            </w:r>
            <w:r w:rsidRPr="006533A4">
              <w:rPr>
                <w:rFonts w:ascii="Bookman Old Style" w:hAnsi="Bookman Old Style" w:cs="Calibri"/>
                <w:b/>
                <w:bCs/>
                <w:color w:val="000000"/>
                <w:sz w:val="20"/>
                <w:szCs w:val="20"/>
                <w:lang w:val="sv-FI"/>
              </w:rPr>
              <w:t>(Orang)</w:t>
            </w:r>
          </w:p>
        </w:tc>
        <w:tc>
          <w:tcPr>
            <w:tcW w:w="2694" w:type="dxa"/>
            <w:shd w:val="clear" w:color="000000" w:fill="FFFFFF"/>
            <w:vAlign w:val="center"/>
          </w:tcPr>
          <w:p w14:paraId="622A3754" w14:textId="77777777" w:rsidR="0073264B" w:rsidRPr="006533A4" w:rsidRDefault="0073264B" w:rsidP="0073264B">
            <w:pPr>
              <w:jc w:val="center"/>
              <w:rPr>
                <w:rFonts w:ascii="Bookman Old Style" w:hAnsi="Bookman Old Style" w:cs="Calibri"/>
                <w:b/>
                <w:bCs/>
                <w:color w:val="000000"/>
                <w:sz w:val="20"/>
                <w:szCs w:val="20"/>
                <w:lang w:val="sv-FI"/>
              </w:rPr>
            </w:pPr>
            <w:r w:rsidRPr="006533A4">
              <w:rPr>
                <w:rFonts w:ascii="Bookman Old Style" w:hAnsi="Bookman Old Style" w:cs="Calibri"/>
                <w:b/>
                <w:bCs/>
                <w:color w:val="000000"/>
                <w:sz w:val="20"/>
                <w:szCs w:val="20"/>
                <w:lang w:val="sv-FI"/>
              </w:rPr>
              <w:t>Uang</w:t>
            </w:r>
          </w:p>
          <w:p w14:paraId="08996FBE" w14:textId="20F4E16C" w:rsidR="0073264B" w:rsidRPr="006533A4" w:rsidRDefault="0073264B" w:rsidP="0073264B">
            <w:pPr>
              <w:jc w:val="center"/>
              <w:rPr>
                <w:rFonts w:ascii="Bookman Old Style" w:hAnsi="Bookman Old Style" w:cs="Calibri"/>
                <w:b/>
                <w:bCs/>
                <w:color w:val="000000"/>
                <w:sz w:val="20"/>
                <w:szCs w:val="20"/>
                <w:lang w:val="sv-FI"/>
              </w:rPr>
            </w:pPr>
            <w:r w:rsidRPr="006533A4">
              <w:rPr>
                <w:rFonts w:ascii="Bookman Old Style" w:hAnsi="Bookman Old Style" w:cs="Calibri"/>
                <w:b/>
                <w:bCs/>
                <w:color w:val="000000"/>
                <w:sz w:val="20"/>
                <w:szCs w:val="20"/>
                <w:lang w:val="sv-FI"/>
              </w:rPr>
              <w:t>Representasi</w:t>
            </w:r>
            <w:r w:rsidR="00A954D0">
              <w:rPr>
                <w:rFonts w:ascii="Bookman Old Style" w:hAnsi="Bookman Old Style" w:cs="Calibri"/>
                <w:b/>
                <w:bCs/>
                <w:color w:val="000000"/>
                <w:sz w:val="20"/>
                <w:szCs w:val="20"/>
                <w:lang w:val="sv-FI"/>
              </w:rPr>
              <w:t xml:space="preserve"> </w:t>
            </w:r>
            <w:r w:rsidRPr="006533A4">
              <w:rPr>
                <w:rFonts w:ascii="Bookman Old Style" w:hAnsi="Bookman Old Style" w:cs="Calibri"/>
                <w:b/>
                <w:bCs/>
                <w:color w:val="000000"/>
                <w:sz w:val="20"/>
                <w:szCs w:val="20"/>
                <w:lang w:val="sv-FI"/>
              </w:rPr>
              <w:t>Ketua</w:t>
            </w:r>
            <w:r w:rsidR="00A954D0">
              <w:rPr>
                <w:rFonts w:ascii="Bookman Old Style" w:hAnsi="Bookman Old Style" w:cs="Calibri"/>
                <w:b/>
                <w:bCs/>
                <w:color w:val="000000"/>
                <w:sz w:val="20"/>
                <w:szCs w:val="20"/>
                <w:lang w:val="sv-FI"/>
              </w:rPr>
              <w:t xml:space="preserve"> </w:t>
            </w:r>
            <w:r w:rsidRPr="006533A4">
              <w:rPr>
                <w:rFonts w:ascii="Bookman Old Style" w:hAnsi="Bookman Old Style" w:cs="Calibri"/>
                <w:b/>
                <w:bCs/>
                <w:color w:val="000000"/>
                <w:sz w:val="20"/>
                <w:szCs w:val="20"/>
                <w:lang w:val="sv-FI"/>
              </w:rPr>
              <w:t>DPRD</w:t>
            </w:r>
          </w:p>
          <w:p w14:paraId="7259B9ED" w14:textId="01607C22" w:rsidR="0073264B" w:rsidRPr="00465846" w:rsidRDefault="0073264B" w:rsidP="0073264B">
            <w:pPr>
              <w:jc w:val="center"/>
              <w:rPr>
                <w:rFonts w:ascii="Bookman Old Style" w:hAnsi="Bookman Old Style"/>
                <w:sz w:val="18"/>
                <w:szCs w:val="18"/>
                <w:lang w:val="sv-FI"/>
              </w:rPr>
            </w:pPr>
            <w:r w:rsidRPr="006533A4">
              <w:rPr>
                <w:rFonts w:ascii="Bookman Old Style" w:hAnsi="Bookman Old Style" w:cs="Calibri"/>
                <w:b/>
                <w:bCs/>
                <w:color w:val="000000"/>
                <w:sz w:val="20"/>
                <w:szCs w:val="20"/>
                <w:lang w:val="sv-FI"/>
              </w:rPr>
              <w:t>(Rp)</w:t>
            </w:r>
          </w:p>
        </w:tc>
        <w:tc>
          <w:tcPr>
            <w:tcW w:w="1686" w:type="dxa"/>
            <w:shd w:val="clear" w:color="000000" w:fill="FFFFFF"/>
            <w:vAlign w:val="center"/>
          </w:tcPr>
          <w:p w14:paraId="6D86C8FD" w14:textId="77777777" w:rsidR="0073264B" w:rsidRPr="006533A4" w:rsidRDefault="0073264B" w:rsidP="0073264B">
            <w:pPr>
              <w:jc w:val="center"/>
              <w:rPr>
                <w:rFonts w:ascii="Bookman Old Style" w:hAnsi="Bookman Old Style" w:cs="Calibri"/>
                <w:b/>
                <w:bCs/>
                <w:color w:val="000000"/>
                <w:sz w:val="20"/>
                <w:szCs w:val="20"/>
              </w:rPr>
            </w:pPr>
            <w:r w:rsidRPr="006533A4">
              <w:rPr>
                <w:rFonts w:ascii="Bookman Old Style" w:hAnsi="Bookman Old Style" w:cs="Calibri"/>
                <w:b/>
                <w:bCs/>
                <w:color w:val="000000"/>
                <w:sz w:val="20"/>
                <w:szCs w:val="20"/>
              </w:rPr>
              <w:t>Jumlah</w:t>
            </w:r>
          </w:p>
          <w:p w14:paraId="66D98B4B" w14:textId="77777777" w:rsidR="0073264B" w:rsidRPr="006533A4" w:rsidRDefault="0073264B" w:rsidP="0073264B">
            <w:pPr>
              <w:jc w:val="center"/>
              <w:rPr>
                <w:rFonts w:ascii="Bookman Old Style" w:hAnsi="Bookman Old Style" w:cs="Calibri"/>
                <w:b/>
                <w:bCs/>
                <w:color w:val="000000"/>
                <w:sz w:val="20"/>
                <w:szCs w:val="20"/>
              </w:rPr>
            </w:pPr>
            <w:r w:rsidRPr="006533A4">
              <w:rPr>
                <w:rFonts w:ascii="Bookman Old Style" w:hAnsi="Bookman Old Style" w:cs="Calibri"/>
                <w:b/>
                <w:bCs/>
                <w:color w:val="000000"/>
                <w:sz w:val="20"/>
                <w:szCs w:val="20"/>
              </w:rPr>
              <w:t>(Rp)</w:t>
            </w:r>
          </w:p>
          <w:p w14:paraId="773E9D0D" w14:textId="39EF57B2" w:rsidR="0073264B" w:rsidRPr="00465846" w:rsidRDefault="0073264B" w:rsidP="0073264B">
            <w:pPr>
              <w:jc w:val="center"/>
              <w:rPr>
                <w:rFonts w:ascii="Bookman Old Style" w:hAnsi="Bookman Old Style"/>
                <w:sz w:val="18"/>
                <w:szCs w:val="18"/>
              </w:rPr>
            </w:pPr>
          </w:p>
        </w:tc>
      </w:tr>
      <w:tr w:rsidR="0073264B" w:rsidRPr="006533A4" w14:paraId="060C0B02" w14:textId="77777777" w:rsidTr="00AC44F5">
        <w:trPr>
          <w:trHeight w:val="284"/>
        </w:trPr>
        <w:tc>
          <w:tcPr>
            <w:tcW w:w="556" w:type="dxa"/>
            <w:shd w:val="clear" w:color="000000" w:fill="FFFFFF"/>
            <w:vAlign w:val="center"/>
          </w:tcPr>
          <w:p w14:paraId="2EFA6EB8" w14:textId="1C833EF8" w:rsidR="0073264B" w:rsidRPr="00465846" w:rsidRDefault="0073264B" w:rsidP="0073264B">
            <w:pPr>
              <w:jc w:val="center"/>
              <w:rPr>
                <w:rFonts w:ascii="Bookman Old Style" w:hAnsi="Bookman Old Style"/>
                <w:sz w:val="18"/>
                <w:szCs w:val="18"/>
              </w:rPr>
            </w:pPr>
            <w:r w:rsidRPr="00465846">
              <w:rPr>
                <w:rFonts w:ascii="Bookman Old Style" w:hAnsi="Bookman Old Style"/>
                <w:sz w:val="18"/>
                <w:szCs w:val="18"/>
              </w:rPr>
              <w:t>1</w:t>
            </w:r>
          </w:p>
        </w:tc>
        <w:tc>
          <w:tcPr>
            <w:tcW w:w="1935" w:type="dxa"/>
            <w:shd w:val="clear" w:color="000000" w:fill="FFFFFF"/>
            <w:vAlign w:val="center"/>
          </w:tcPr>
          <w:p w14:paraId="587656FE" w14:textId="38C8FE5C" w:rsidR="0073264B" w:rsidRPr="00465846" w:rsidRDefault="0073264B" w:rsidP="0073264B">
            <w:pPr>
              <w:rPr>
                <w:rFonts w:ascii="Bookman Old Style" w:hAnsi="Bookman Old Style"/>
                <w:sz w:val="18"/>
                <w:szCs w:val="18"/>
              </w:rPr>
            </w:pPr>
            <w:r w:rsidRPr="00465846">
              <w:rPr>
                <w:rFonts w:ascii="Bookman Old Style" w:hAnsi="Bookman Old Style"/>
                <w:sz w:val="18"/>
                <w:szCs w:val="18"/>
              </w:rPr>
              <w:t>Ketua</w:t>
            </w:r>
            <w:r w:rsidR="00A954D0">
              <w:rPr>
                <w:rFonts w:ascii="Bookman Old Style" w:hAnsi="Bookman Old Style"/>
                <w:sz w:val="18"/>
                <w:szCs w:val="18"/>
              </w:rPr>
              <w:t xml:space="preserve"> </w:t>
            </w:r>
            <w:r w:rsidRPr="00465846">
              <w:rPr>
                <w:rFonts w:ascii="Bookman Old Style" w:hAnsi="Bookman Old Style"/>
                <w:sz w:val="18"/>
                <w:szCs w:val="18"/>
              </w:rPr>
              <w:t>DPRD</w:t>
            </w:r>
            <w:r w:rsidR="00A954D0">
              <w:rPr>
                <w:rFonts w:ascii="Bookman Old Style" w:hAnsi="Bookman Old Style"/>
                <w:sz w:val="18"/>
                <w:szCs w:val="18"/>
              </w:rPr>
              <w:t xml:space="preserve"> </w:t>
            </w:r>
          </w:p>
        </w:tc>
        <w:tc>
          <w:tcPr>
            <w:tcW w:w="1209" w:type="dxa"/>
            <w:shd w:val="clear" w:color="000000" w:fill="FFFFFF"/>
            <w:vAlign w:val="center"/>
          </w:tcPr>
          <w:p w14:paraId="4EF4396C" w14:textId="60EFDC2B" w:rsidR="0073264B" w:rsidRPr="00465846" w:rsidRDefault="0073264B" w:rsidP="0073264B">
            <w:pPr>
              <w:rPr>
                <w:rFonts w:ascii="Bookman Old Style" w:hAnsi="Bookman Old Style"/>
                <w:sz w:val="18"/>
                <w:szCs w:val="18"/>
              </w:rPr>
            </w:pPr>
            <w:r w:rsidRPr="00465846">
              <w:rPr>
                <w:rFonts w:ascii="Bookman Old Style" w:hAnsi="Bookman Old Style"/>
                <w:sz w:val="18"/>
                <w:szCs w:val="18"/>
              </w:rPr>
              <w:t>1</w:t>
            </w:r>
            <w:r w:rsidR="00A954D0">
              <w:rPr>
                <w:rFonts w:ascii="Bookman Old Style" w:hAnsi="Bookman Old Style"/>
                <w:sz w:val="18"/>
                <w:szCs w:val="18"/>
              </w:rPr>
              <w:t xml:space="preserve"> </w:t>
            </w:r>
            <w:r w:rsidRPr="00465846">
              <w:rPr>
                <w:rFonts w:ascii="Bookman Old Style" w:hAnsi="Bookman Old Style"/>
                <w:sz w:val="18"/>
                <w:szCs w:val="18"/>
              </w:rPr>
              <w:t>orang</w:t>
            </w:r>
          </w:p>
        </w:tc>
        <w:tc>
          <w:tcPr>
            <w:tcW w:w="2694" w:type="dxa"/>
            <w:shd w:val="clear" w:color="000000" w:fill="FFFFFF"/>
            <w:vAlign w:val="center"/>
          </w:tcPr>
          <w:p w14:paraId="0A4BB456" w14:textId="5B3FA0A9" w:rsidR="0073264B" w:rsidRPr="00465846" w:rsidRDefault="0073264B" w:rsidP="0073264B">
            <w:pPr>
              <w:rPr>
                <w:rFonts w:ascii="Bookman Old Style" w:hAnsi="Bookman Old Style"/>
                <w:sz w:val="18"/>
                <w:szCs w:val="18"/>
                <w:lang w:val="sv-FI"/>
              </w:rPr>
            </w:pPr>
            <w:r w:rsidRPr="00465846">
              <w:rPr>
                <w:rFonts w:ascii="Bookman Old Style" w:hAnsi="Bookman Old Style"/>
                <w:sz w:val="18"/>
                <w:szCs w:val="18"/>
                <w:lang w:val="sv-FI"/>
              </w:rPr>
              <w:t>6</w:t>
            </w:r>
            <w:r w:rsidR="00A954D0">
              <w:rPr>
                <w:rFonts w:ascii="Bookman Old Style" w:hAnsi="Bookman Old Style"/>
                <w:sz w:val="18"/>
                <w:szCs w:val="18"/>
                <w:lang w:val="sv-FI"/>
              </w:rPr>
              <w:t xml:space="preserve"> </w:t>
            </w:r>
            <w:r w:rsidRPr="00465846">
              <w:rPr>
                <w:rFonts w:ascii="Bookman Old Style" w:hAnsi="Bookman Old Style"/>
                <w:sz w:val="18"/>
                <w:szCs w:val="18"/>
                <w:lang w:val="sv-FI"/>
              </w:rPr>
              <w:t>x</w:t>
            </w:r>
            <w:r w:rsidR="00A954D0">
              <w:rPr>
                <w:rFonts w:ascii="Bookman Old Style" w:hAnsi="Bookman Old Style"/>
                <w:sz w:val="18"/>
                <w:szCs w:val="18"/>
                <w:lang w:val="sv-FI"/>
              </w:rPr>
              <w:t xml:space="preserve"> </w:t>
            </w:r>
            <w:r w:rsidRPr="00465846">
              <w:rPr>
                <w:rFonts w:ascii="Bookman Old Style" w:hAnsi="Bookman Old Style"/>
                <w:sz w:val="18"/>
                <w:szCs w:val="18"/>
                <w:lang w:val="sv-FI"/>
              </w:rPr>
              <w:t>Uang</w:t>
            </w:r>
            <w:r w:rsidR="00A954D0">
              <w:rPr>
                <w:rFonts w:ascii="Bookman Old Style" w:hAnsi="Bookman Old Style"/>
                <w:sz w:val="18"/>
                <w:szCs w:val="18"/>
                <w:lang w:val="sv-FI"/>
              </w:rPr>
              <w:t xml:space="preserve"> </w:t>
            </w:r>
            <w:r w:rsidRPr="00465846">
              <w:rPr>
                <w:rFonts w:ascii="Bookman Old Style" w:hAnsi="Bookman Old Style"/>
                <w:sz w:val="18"/>
                <w:szCs w:val="18"/>
                <w:lang w:val="sv-FI"/>
              </w:rPr>
              <w:t>Representasi</w:t>
            </w:r>
            <w:r w:rsidR="00A954D0">
              <w:rPr>
                <w:rFonts w:ascii="Bookman Old Style" w:hAnsi="Bookman Old Style"/>
                <w:sz w:val="18"/>
                <w:szCs w:val="18"/>
                <w:lang w:val="sv-FI"/>
              </w:rPr>
              <w:t xml:space="preserve"> </w:t>
            </w:r>
            <w:r w:rsidRPr="00465846">
              <w:rPr>
                <w:rFonts w:ascii="Bookman Old Style" w:hAnsi="Bookman Old Style"/>
                <w:sz w:val="18"/>
                <w:szCs w:val="18"/>
                <w:lang w:val="sv-FI"/>
              </w:rPr>
              <w:t>Ketua</w:t>
            </w:r>
            <w:r w:rsidR="00A954D0">
              <w:rPr>
                <w:rFonts w:ascii="Bookman Old Style" w:hAnsi="Bookman Old Style"/>
                <w:sz w:val="18"/>
                <w:szCs w:val="18"/>
                <w:lang w:val="sv-FI"/>
              </w:rPr>
              <w:t xml:space="preserve"> </w:t>
            </w:r>
            <w:r w:rsidRPr="00465846">
              <w:rPr>
                <w:rFonts w:ascii="Bookman Old Style" w:hAnsi="Bookman Old Style"/>
                <w:sz w:val="18"/>
                <w:szCs w:val="18"/>
                <w:lang w:val="sv-FI"/>
              </w:rPr>
              <w:t>DPRD</w:t>
            </w:r>
            <w:r w:rsidR="00A954D0">
              <w:rPr>
                <w:rFonts w:ascii="Bookman Old Style" w:hAnsi="Bookman Old Style"/>
                <w:sz w:val="18"/>
                <w:szCs w:val="18"/>
                <w:lang w:val="sv-FI"/>
              </w:rPr>
              <w:t xml:space="preserve"> </w:t>
            </w:r>
            <w:r w:rsidRPr="00465846">
              <w:rPr>
                <w:rFonts w:ascii="Bookman Old Style" w:hAnsi="Bookman Old Style"/>
                <w:sz w:val="18"/>
                <w:szCs w:val="18"/>
                <w:lang w:val="sv-FI"/>
              </w:rPr>
              <w:t>x</w:t>
            </w:r>
            <w:r w:rsidR="00A954D0">
              <w:rPr>
                <w:rFonts w:ascii="Bookman Old Style" w:hAnsi="Bookman Old Style"/>
                <w:sz w:val="18"/>
                <w:szCs w:val="18"/>
                <w:lang w:val="sv-FI"/>
              </w:rPr>
              <w:t xml:space="preserve"> </w:t>
            </w:r>
            <w:r w:rsidRPr="00465846">
              <w:rPr>
                <w:rFonts w:ascii="Bookman Old Style" w:hAnsi="Bookman Old Style"/>
                <w:sz w:val="18"/>
                <w:szCs w:val="18"/>
                <w:lang w:val="sv-FI"/>
              </w:rPr>
              <w:t>12</w:t>
            </w:r>
            <w:r w:rsidR="00A954D0">
              <w:rPr>
                <w:rFonts w:ascii="Bookman Old Style" w:hAnsi="Bookman Old Style"/>
                <w:sz w:val="18"/>
                <w:szCs w:val="18"/>
                <w:lang w:val="sv-FI"/>
              </w:rPr>
              <w:t xml:space="preserve"> </w:t>
            </w:r>
            <w:r w:rsidRPr="00465846">
              <w:rPr>
                <w:rFonts w:ascii="Bookman Old Style" w:hAnsi="Bookman Old Style"/>
                <w:sz w:val="18"/>
                <w:szCs w:val="18"/>
                <w:lang w:val="sv-FI"/>
              </w:rPr>
              <w:t>bulan</w:t>
            </w:r>
            <w:r w:rsidR="00A954D0">
              <w:rPr>
                <w:rFonts w:ascii="Bookman Old Style" w:hAnsi="Bookman Old Style"/>
                <w:sz w:val="18"/>
                <w:szCs w:val="18"/>
                <w:lang w:val="sv-FI"/>
              </w:rPr>
              <w:t xml:space="preserve"> </w:t>
            </w:r>
          </w:p>
        </w:tc>
        <w:tc>
          <w:tcPr>
            <w:tcW w:w="1686" w:type="dxa"/>
            <w:shd w:val="clear" w:color="000000" w:fill="FFFFFF"/>
            <w:vAlign w:val="center"/>
          </w:tcPr>
          <w:p w14:paraId="15520164" w14:textId="5F8CDC61" w:rsidR="0073264B" w:rsidRPr="00465846" w:rsidRDefault="0073264B" w:rsidP="0073264B">
            <w:pPr>
              <w:jc w:val="right"/>
              <w:rPr>
                <w:rFonts w:ascii="Bookman Old Style" w:hAnsi="Bookman Old Style"/>
                <w:sz w:val="18"/>
                <w:szCs w:val="18"/>
              </w:rPr>
            </w:pPr>
            <w:r w:rsidRPr="00465846">
              <w:rPr>
                <w:rFonts w:ascii="Bookman Old Style" w:hAnsi="Bookman Old Style"/>
                <w:sz w:val="18"/>
                <w:szCs w:val="18"/>
              </w:rPr>
              <w:t>151.200.000,00</w:t>
            </w:r>
          </w:p>
        </w:tc>
      </w:tr>
      <w:tr w:rsidR="0073264B" w:rsidRPr="006533A4" w14:paraId="6C24FB7F" w14:textId="77777777" w:rsidTr="00AC44F5">
        <w:trPr>
          <w:trHeight w:val="284"/>
        </w:trPr>
        <w:tc>
          <w:tcPr>
            <w:tcW w:w="556" w:type="dxa"/>
            <w:shd w:val="clear" w:color="000000" w:fill="FFFFFF"/>
            <w:vAlign w:val="center"/>
            <w:hideMark/>
          </w:tcPr>
          <w:p w14:paraId="3BA07DAA" w14:textId="77777777" w:rsidR="0073264B" w:rsidRPr="00465846" w:rsidRDefault="0073264B" w:rsidP="0073264B">
            <w:pPr>
              <w:jc w:val="center"/>
              <w:rPr>
                <w:rFonts w:ascii="Bookman Old Style" w:hAnsi="Bookman Old Style"/>
                <w:sz w:val="18"/>
                <w:szCs w:val="18"/>
              </w:rPr>
            </w:pPr>
            <w:r w:rsidRPr="00465846">
              <w:rPr>
                <w:rFonts w:ascii="Bookman Old Style" w:hAnsi="Bookman Old Style"/>
                <w:sz w:val="18"/>
                <w:szCs w:val="18"/>
              </w:rPr>
              <w:t>2</w:t>
            </w:r>
          </w:p>
        </w:tc>
        <w:tc>
          <w:tcPr>
            <w:tcW w:w="1935" w:type="dxa"/>
            <w:shd w:val="clear" w:color="000000" w:fill="FFFFFF"/>
            <w:vAlign w:val="center"/>
            <w:hideMark/>
          </w:tcPr>
          <w:p w14:paraId="1701C2AB" w14:textId="340E0DFB" w:rsidR="0073264B" w:rsidRPr="00465846" w:rsidRDefault="0073264B" w:rsidP="0073264B">
            <w:pPr>
              <w:rPr>
                <w:rFonts w:ascii="Bookman Old Style" w:hAnsi="Bookman Old Style"/>
                <w:sz w:val="18"/>
                <w:szCs w:val="18"/>
              </w:rPr>
            </w:pPr>
            <w:r w:rsidRPr="00465846">
              <w:rPr>
                <w:rFonts w:ascii="Bookman Old Style" w:hAnsi="Bookman Old Style"/>
                <w:sz w:val="18"/>
                <w:szCs w:val="18"/>
              </w:rPr>
              <w:t>Wakil</w:t>
            </w:r>
            <w:r w:rsidR="00A954D0">
              <w:rPr>
                <w:rFonts w:ascii="Bookman Old Style" w:hAnsi="Bookman Old Style"/>
                <w:sz w:val="18"/>
                <w:szCs w:val="18"/>
              </w:rPr>
              <w:t xml:space="preserve"> </w:t>
            </w:r>
            <w:r w:rsidRPr="00465846">
              <w:rPr>
                <w:rFonts w:ascii="Bookman Old Style" w:hAnsi="Bookman Old Style"/>
                <w:sz w:val="18"/>
                <w:szCs w:val="18"/>
              </w:rPr>
              <w:t>Ketua</w:t>
            </w:r>
            <w:r w:rsidR="00A954D0">
              <w:rPr>
                <w:rFonts w:ascii="Bookman Old Style" w:hAnsi="Bookman Old Style"/>
                <w:sz w:val="18"/>
                <w:szCs w:val="18"/>
              </w:rPr>
              <w:t xml:space="preserve"> </w:t>
            </w:r>
            <w:r w:rsidRPr="00465846">
              <w:rPr>
                <w:rFonts w:ascii="Bookman Old Style" w:hAnsi="Bookman Old Style"/>
                <w:sz w:val="18"/>
                <w:szCs w:val="18"/>
              </w:rPr>
              <w:t>DPRD</w:t>
            </w:r>
            <w:r w:rsidR="00A954D0">
              <w:rPr>
                <w:rFonts w:ascii="Bookman Old Style" w:hAnsi="Bookman Old Style"/>
                <w:sz w:val="18"/>
                <w:szCs w:val="18"/>
              </w:rPr>
              <w:t xml:space="preserve"> </w:t>
            </w:r>
          </w:p>
        </w:tc>
        <w:tc>
          <w:tcPr>
            <w:tcW w:w="1209" w:type="dxa"/>
            <w:shd w:val="clear" w:color="000000" w:fill="FFFFFF"/>
            <w:vAlign w:val="center"/>
            <w:hideMark/>
          </w:tcPr>
          <w:p w14:paraId="3995E0C7" w14:textId="69F93B82" w:rsidR="0073264B" w:rsidRPr="00465846" w:rsidRDefault="0073264B" w:rsidP="0073264B">
            <w:pPr>
              <w:rPr>
                <w:rFonts w:ascii="Bookman Old Style" w:hAnsi="Bookman Old Style"/>
                <w:sz w:val="18"/>
                <w:szCs w:val="18"/>
              </w:rPr>
            </w:pPr>
            <w:r w:rsidRPr="00465846">
              <w:rPr>
                <w:rFonts w:ascii="Bookman Old Style" w:hAnsi="Bookman Old Style"/>
                <w:sz w:val="18"/>
                <w:szCs w:val="18"/>
              </w:rPr>
              <w:t>4</w:t>
            </w:r>
            <w:r w:rsidR="00A954D0">
              <w:rPr>
                <w:rFonts w:ascii="Bookman Old Style" w:hAnsi="Bookman Old Style"/>
                <w:sz w:val="18"/>
                <w:szCs w:val="18"/>
              </w:rPr>
              <w:t xml:space="preserve"> </w:t>
            </w:r>
            <w:r w:rsidRPr="00465846">
              <w:rPr>
                <w:rFonts w:ascii="Bookman Old Style" w:hAnsi="Bookman Old Style"/>
                <w:sz w:val="18"/>
                <w:szCs w:val="18"/>
              </w:rPr>
              <w:t>orang</w:t>
            </w:r>
          </w:p>
        </w:tc>
        <w:tc>
          <w:tcPr>
            <w:tcW w:w="2694" w:type="dxa"/>
            <w:shd w:val="clear" w:color="000000" w:fill="FFFFFF"/>
            <w:vAlign w:val="center"/>
          </w:tcPr>
          <w:p w14:paraId="45DD1725" w14:textId="70759A41" w:rsidR="0073264B" w:rsidRPr="00465846" w:rsidRDefault="0073264B" w:rsidP="0073264B">
            <w:pPr>
              <w:rPr>
                <w:rFonts w:ascii="Bookman Old Style" w:hAnsi="Bookman Old Style"/>
                <w:sz w:val="18"/>
                <w:szCs w:val="18"/>
              </w:rPr>
            </w:pPr>
            <w:r w:rsidRPr="00465846">
              <w:rPr>
                <w:rFonts w:ascii="Bookman Old Style" w:hAnsi="Bookman Old Style"/>
                <w:sz w:val="18"/>
                <w:szCs w:val="18"/>
              </w:rPr>
              <w:t>4</w:t>
            </w:r>
            <w:r w:rsidR="00A954D0">
              <w:rPr>
                <w:rFonts w:ascii="Bookman Old Style" w:hAnsi="Bookman Old Style"/>
                <w:sz w:val="18"/>
                <w:szCs w:val="18"/>
              </w:rPr>
              <w:t xml:space="preserve"> </w:t>
            </w:r>
            <w:r w:rsidRPr="00465846">
              <w:rPr>
                <w:rFonts w:ascii="Bookman Old Style" w:hAnsi="Bookman Old Style"/>
                <w:sz w:val="18"/>
                <w:szCs w:val="18"/>
              </w:rPr>
              <w:t>x</w:t>
            </w:r>
            <w:r w:rsidR="00A954D0">
              <w:rPr>
                <w:rFonts w:ascii="Bookman Old Style" w:hAnsi="Bookman Old Style"/>
                <w:sz w:val="18"/>
                <w:szCs w:val="18"/>
              </w:rPr>
              <w:t xml:space="preserve"> </w:t>
            </w:r>
            <w:r w:rsidRPr="00465846">
              <w:rPr>
                <w:rFonts w:ascii="Bookman Old Style" w:hAnsi="Bookman Old Style"/>
                <w:sz w:val="18"/>
                <w:szCs w:val="18"/>
              </w:rPr>
              <w:t>Uang</w:t>
            </w:r>
            <w:r w:rsidR="00A954D0">
              <w:rPr>
                <w:rFonts w:ascii="Bookman Old Style" w:hAnsi="Bookman Old Style"/>
                <w:sz w:val="18"/>
                <w:szCs w:val="18"/>
              </w:rPr>
              <w:t xml:space="preserve"> </w:t>
            </w:r>
            <w:r w:rsidRPr="00465846">
              <w:rPr>
                <w:rFonts w:ascii="Bookman Old Style" w:hAnsi="Bookman Old Style"/>
                <w:sz w:val="18"/>
                <w:szCs w:val="18"/>
              </w:rPr>
              <w:t>Representasi</w:t>
            </w:r>
            <w:r w:rsidR="00A954D0">
              <w:rPr>
                <w:rFonts w:ascii="Bookman Old Style" w:hAnsi="Bookman Old Style"/>
                <w:sz w:val="18"/>
                <w:szCs w:val="18"/>
              </w:rPr>
              <w:t xml:space="preserve"> </w:t>
            </w:r>
            <w:r w:rsidRPr="00465846">
              <w:rPr>
                <w:rFonts w:ascii="Bookman Old Style" w:hAnsi="Bookman Old Style"/>
                <w:sz w:val="18"/>
                <w:szCs w:val="18"/>
              </w:rPr>
              <w:t>Wakil</w:t>
            </w:r>
            <w:r w:rsidR="00A954D0">
              <w:rPr>
                <w:rFonts w:ascii="Bookman Old Style" w:hAnsi="Bookman Old Style"/>
                <w:sz w:val="18"/>
                <w:szCs w:val="18"/>
              </w:rPr>
              <w:t xml:space="preserve"> </w:t>
            </w:r>
            <w:r w:rsidRPr="00465846">
              <w:rPr>
                <w:rFonts w:ascii="Bookman Old Style" w:hAnsi="Bookman Old Style"/>
                <w:sz w:val="18"/>
                <w:szCs w:val="18"/>
              </w:rPr>
              <w:t>Ketua</w:t>
            </w:r>
            <w:r w:rsidR="00A954D0">
              <w:rPr>
                <w:rFonts w:ascii="Bookman Old Style" w:hAnsi="Bookman Old Style"/>
                <w:sz w:val="18"/>
                <w:szCs w:val="18"/>
              </w:rPr>
              <w:t xml:space="preserve"> </w:t>
            </w:r>
            <w:r w:rsidRPr="00465846">
              <w:rPr>
                <w:rFonts w:ascii="Bookman Old Style" w:hAnsi="Bookman Old Style"/>
                <w:sz w:val="18"/>
                <w:szCs w:val="18"/>
              </w:rPr>
              <w:t>DPRD</w:t>
            </w:r>
            <w:r w:rsidR="00A954D0">
              <w:rPr>
                <w:rFonts w:ascii="Bookman Old Style" w:hAnsi="Bookman Old Style"/>
                <w:sz w:val="18"/>
                <w:szCs w:val="18"/>
              </w:rPr>
              <w:t xml:space="preserve"> </w:t>
            </w:r>
            <w:r w:rsidRPr="00465846">
              <w:rPr>
                <w:rFonts w:ascii="Bookman Old Style" w:hAnsi="Bookman Old Style"/>
                <w:sz w:val="18"/>
                <w:szCs w:val="18"/>
              </w:rPr>
              <w:t>x</w:t>
            </w:r>
            <w:r w:rsidR="00A954D0">
              <w:rPr>
                <w:rFonts w:ascii="Bookman Old Style" w:hAnsi="Bookman Old Style"/>
                <w:sz w:val="18"/>
                <w:szCs w:val="18"/>
              </w:rPr>
              <w:t xml:space="preserve"> </w:t>
            </w:r>
            <w:r w:rsidRPr="00465846">
              <w:rPr>
                <w:rFonts w:ascii="Bookman Old Style" w:hAnsi="Bookman Old Style"/>
                <w:sz w:val="18"/>
                <w:szCs w:val="18"/>
              </w:rPr>
              <w:t>12</w:t>
            </w:r>
            <w:r w:rsidR="00A954D0">
              <w:rPr>
                <w:rFonts w:ascii="Bookman Old Style" w:hAnsi="Bookman Old Style"/>
                <w:sz w:val="18"/>
                <w:szCs w:val="18"/>
              </w:rPr>
              <w:t xml:space="preserve"> </w:t>
            </w:r>
            <w:r w:rsidRPr="00465846">
              <w:rPr>
                <w:rFonts w:ascii="Bookman Old Style" w:hAnsi="Bookman Old Style"/>
                <w:sz w:val="18"/>
                <w:szCs w:val="18"/>
              </w:rPr>
              <w:t>Bulan</w:t>
            </w:r>
          </w:p>
        </w:tc>
        <w:tc>
          <w:tcPr>
            <w:tcW w:w="1686" w:type="dxa"/>
            <w:shd w:val="clear" w:color="000000" w:fill="FFFFFF"/>
            <w:vAlign w:val="center"/>
          </w:tcPr>
          <w:p w14:paraId="4DCDD303" w14:textId="77777777" w:rsidR="0073264B" w:rsidRPr="00465846" w:rsidRDefault="0073264B" w:rsidP="0073264B">
            <w:pPr>
              <w:jc w:val="right"/>
              <w:rPr>
                <w:rFonts w:ascii="Bookman Old Style" w:hAnsi="Bookman Old Style"/>
                <w:sz w:val="18"/>
                <w:szCs w:val="18"/>
              </w:rPr>
            </w:pPr>
            <w:r w:rsidRPr="00465846">
              <w:rPr>
                <w:rFonts w:ascii="Bookman Old Style" w:hAnsi="Bookman Old Style"/>
                <w:sz w:val="18"/>
                <w:szCs w:val="18"/>
              </w:rPr>
              <w:t>241.920.000,00</w:t>
            </w:r>
          </w:p>
        </w:tc>
      </w:tr>
      <w:tr w:rsidR="0073264B" w:rsidRPr="006533A4" w14:paraId="6C1D4617" w14:textId="77777777" w:rsidTr="00AC44F5">
        <w:trPr>
          <w:trHeight w:val="284"/>
        </w:trPr>
        <w:tc>
          <w:tcPr>
            <w:tcW w:w="556" w:type="dxa"/>
            <w:vAlign w:val="center"/>
            <w:hideMark/>
          </w:tcPr>
          <w:p w14:paraId="61D11612" w14:textId="77777777" w:rsidR="0073264B" w:rsidRPr="00465846" w:rsidRDefault="0073264B" w:rsidP="0073264B">
            <w:pPr>
              <w:rPr>
                <w:rFonts w:ascii="Bookman Old Style" w:hAnsi="Bookman Old Style"/>
                <w:sz w:val="18"/>
                <w:szCs w:val="18"/>
              </w:rPr>
            </w:pPr>
          </w:p>
        </w:tc>
        <w:tc>
          <w:tcPr>
            <w:tcW w:w="5838" w:type="dxa"/>
            <w:gridSpan w:val="3"/>
            <w:shd w:val="clear" w:color="000000" w:fill="FFFFFF"/>
            <w:vAlign w:val="center"/>
            <w:hideMark/>
          </w:tcPr>
          <w:p w14:paraId="53C07399" w14:textId="469178DE" w:rsidR="0073264B" w:rsidRPr="00AC0182" w:rsidRDefault="0073264B" w:rsidP="0073264B">
            <w:pPr>
              <w:rPr>
                <w:rFonts w:ascii="Bookman Old Style" w:hAnsi="Bookman Old Style"/>
                <w:sz w:val="18"/>
                <w:szCs w:val="18"/>
              </w:rPr>
            </w:pPr>
            <w:r w:rsidRPr="00465846">
              <w:rPr>
                <w:rFonts w:ascii="Bookman Old Style" w:hAnsi="Bookman Old Style"/>
                <w:sz w:val="18"/>
                <w:szCs w:val="18"/>
              </w:rPr>
              <w:t>Jumlah</w:t>
            </w:r>
            <w:r w:rsidR="00A954D0">
              <w:rPr>
                <w:rFonts w:ascii="Bookman Old Style" w:hAnsi="Bookman Old Style"/>
                <w:sz w:val="18"/>
                <w:szCs w:val="18"/>
              </w:rPr>
              <w:t xml:space="preserve"> </w:t>
            </w:r>
            <w:r w:rsidRPr="00465846">
              <w:rPr>
                <w:rFonts w:ascii="Bookman Old Style" w:hAnsi="Bookman Old Style"/>
                <w:sz w:val="18"/>
                <w:szCs w:val="18"/>
              </w:rPr>
              <w:t>Dana</w:t>
            </w:r>
            <w:r w:rsidR="00A954D0">
              <w:rPr>
                <w:rFonts w:ascii="Bookman Old Style" w:hAnsi="Bookman Old Style"/>
                <w:sz w:val="18"/>
                <w:szCs w:val="18"/>
              </w:rPr>
              <w:t xml:space="preserve"> </w:t>
            </w:r>
            <w:r w:rsidRPr="00465846">
              <w:rPr>
                <w:rFonts w:ascii="Bookman Old Style" w:hAnsi="Bookman Old Style"/>
                <w:sz w:val="18"/>
                <w:szCs w:val="18"/>
              </w:rPr>
              <w:t>Operasional</w:t>
            </w:r>
            <w:r w:rsidR="00A954D0">
              <w:rPr>
                <w:rFonts w:ascii="Bookman Old Style" w:hAnsi="Bookman Old Style"/>
                <w:sz w:val="18"/>
                <w:szCs w:val="18"/>
              </w:rPr>
              <w:t xml:space="preserve"> </w:t>
            </w:r>
          </w:p>
        </w:tc>
        <w:tc>
          <w:tcPr>
            <w:tcW w:w="1686" w:type="dxa"/>
            <w:shd w:val="clear" w:color="000000" w:fill="FFFFFF"/>
            <w:vAlign w:val="center"/>
          </w:tcPr>
          <w:p w14:paraId="191F982A" w14:textId="77777777" w:rsidR="0073264B" w:rsidRPr="00465846" w:rsidRDefault="0073264B" w:rsidP="0073264B">
            <w:pPr>
              <w:jc w:val="right"/>
              <w:rPr>
                <w:rFonts w:ascii="Bookman Old Style" w:hAnsi="Bookman Old Style"/>
                <w:sz w:val="18"/>
                <w:szCs w:val="18"/>
              </w:rPr>
            </w:pPr>
            <w:r w:rsidRPr="00465846">
              <w:rPr>
                <w:rFonts w:ascii="Bookman Old Style" w:hAnsi="Bookman Old Style" w:cs="Calibri"/>
                <w:sz w:val="18"/>
                <w:szCs w:val="18"/>
              </w:rPr>
              <w:t>393.120.000,00</w:t>
            </w:r>
          </w:p>
        </w:tc>
      </w:tr>
      <w:tr w:rsidR="0073264B" w:rsidRPr="006533A4" w14:paraId="55919513" w14:textId="77777777" w:rsidTr="00AC44F5">
        <w:trPr>
          <w:trHeight w:val="284"/>
        </w:trPr>
        <w:tc>
          <w:tcPr>
            <w:tcW w:w="556" w:type="dxa"/>
            <w:vAlign w:val="center"/>
            <w:hideMark/>
          </w:tcPr>
          <w:p w14:paraId="3A16E175" w14:textId="77777777" w:rsidR="0073264B" w:rsidRPr="00465846" w:rsidRDefault="0073264B" w:rsidP="0073264B">
            <w:pPr>
              <w:rPr>
                <w:rFonts w:ascii="Bookman Old Style" w:hAnsi="Bookman Old Style"/>
                <w:sz w:val="18"/>
                <w:szCs w:val="18"/>
              </w:rPr>
            </w:pPr>
          </w:p>
        </w:tc>
        <w:tc>
          <w:tcPr>
            <w:tcW w:w="5838" w:type="dxa"/>
            <w:gridSpan w:val="3"/>
            <w:tcBorders>
              <w:bottom w:val="single" w:sz="4" w:space="0" w:color="000000"/>
            </w:tcBorders>
            <w:shd w:val="clear" w:color="000000" w:fill="FFFFFF"/>
            <w:vAlign w:val="center"/>
            <w:hideMark/>
          </w:tcPr>
          <w:p w14:paraId="569546B5" w14:textId="22F51880" w:rsidR="0073264B" w:rsidRPr="00AC0182" w:rsidRDefault="0073264B" w:rsidP="0073264B">
            <w:pPr>
              <w:jc w:val="both"/>
              <w:rPr>
                <w:rFonts w:ascii="Bookman Old Style" w:hAnsi="Bookman Old Style"/>
                <w:sz w:val="18"/>
                <w:szCs w:val="18"/>
                <w:lang w:val="fi-FI"/>
              </w:rPr>
            </w:pPr>
            <w:r w:rsidRPr="00465846">
              <w:rPr>
                <w:rFonts w:ascii="Bookman Old Style" w:hAnsi="Bookman Old Style"/>
                <w:sz w:val="18"/>
                <w:szCs w:val="18"/>
                <w:lang w:val="fi-FI"/>
              </w:rPr>
              <w:t>Alokasi</w:t>
            </w:r>
            <w:r w:rsidR="00A954D0">
              <w:rPr>
                <w:rFonts w:ascii="Bookman Old Style" w:hAnsi="Bookman Old Style"/>
                <w:sz w:val="18"/>
                <w:szCs w:val="18"/>
                <w:lang w:val="fi-FI"/>
              </w:rPr>
              <w:t xml:space="preserve"> </w:t>
            </w:r>
            <w:r w:rsidRPr="00465846">
              <w:rPr>
                <w:rFonts w:ascii="Bookman Old Style" w:hAnsi="Bookman Old Style"/>
                <w:sz w:val="18"/>
                <w:szCs w:val="18"/>
                <w:lang w:val="fi-FI"/>
              </w:rPr>
              <w:t>Dana</w:t>
            </w:r>
            <w:r w:rsidR="00A954D0">
              <w:rPr>
                <w:rFonts w:ascii="Bookman Old Style" w:hAnsi="Bookman Old Style"/>
                <w:sz w:val="18"/>
                <w:szCs w:val="18"/>
                <w:lang w:val="fi-FI"/>
              </w:rPr>
              <w:t xml:space="preserve"> </w:t>
            </w:r>
            <w:r w:rsidRPr="00465846">
              <w:rPr>
                <w:rFonts w:ascii="Bookman Old Style" w:hAnsi="Bookman Old Style"/>
                <w:sz w:val="18"/>
                <w:szCs w:val="18"/>
                <w:lang w:val="fi-FI"/>
              </w:rPr>
              <w:t>Operasional</w:t>
            </w:r>
            <w:r w:rsidR="00A954D0">
              <w:rPr>
                <w:rFonts w:ascii="Bookman Old Style" w:hAnsi="Bookman Old Style"/>
                <w:sz w:val="18"/>
                <w:szCs w:val="18"/>
                <w:lang w:val="fi-FI"/>
              </w:rPr>
              <w:t xml:space="preserve"> </w:t>
            </w:r>
            <w:r w:rsidRPr="00465846">
              <w:rPr>
                <w:rFonts w:ascii="Bookman Old Style" w:hAnsi="Bookman Old Style"/>
                <w:sz w:val="18"/>
                <w:szCs w:val="18"/>
                <w:lang w:val="fi-FI"/>
              </w:rPr>
              <w:t>pada</w:t>
            </w:r>
            <w:r w:rsidR="00A954D0">
              <w:rPr>
                <w:rFonts w:ascii="Bookman Old Style" w:hAnsi="Bookman Old Style"/>
                <w:sz w:val="18"/>
                <w:szCs w:val="18"/>
                <w:lang w:val="fi-FI"/>
              </w:rPr>
              <w:t xml:space="preserve"> </w:t>
            </w:r>
            <w:r w:rsidRPr="00465846">
              <w:rPr>
                <w:rFonts w:ascii="Bookman Old Style" w:hAnsi="Bookman Old Style"/>
                <w:sz w:val="18"/>
                <w:szCs w:val="18"/>
                <w:lang w:val="fi-FI"/>
              </w:rPr>
              <w:t>APBD</w:t>
            </w:r>
            <w:r w:rsidR="00A954D0">
              <w:rPr>
                <w:rFonts w:ascii="Bookman Old Style" w:hAnsi="Bookman Old Style"/>
                <w:sz w:val="18"/>
                <w:szCs w:val="18"/>
                <w:lang w:val="fi-FI"/>
              </w:rPr>
              <w:t xml:space="preserve"> </w:t>
            </w:r>
          </w:p>
        </w:tc>
        <w:tc>
          <w:tcPr>
            <w:tcW w:w="1686" w:type="dxa"/>
            <w:tcBorders>
              <w:bottom w:val="single" w:sz="4" w:space="0" w:color="000000"/>
            </w:tcBorders>
            <w:shd w:val="clear" w:color="000000" w:fill="FFFFFF"/>
            <w:vAlign w:val="center"/>
          </w:tcPr>
          <w:p w14:paraId="37C682B8" w14:textId="77777777" w:rsidR="0073264B" w:rsidRPr="00465846" w:rsidRDefault="0073264B" w:rsidP="0073264B">
            <w:pPr>
              <w:jc w:val="right"/>
              <w:rPr>
                <w:rFonts w:ascii="Bookman Old Style" w:hAnsi="Bookman Old Style"/>
                <w:sz w:val="18"/>
                <w:szCs w:val="18"/>
                <w:lang w:val="it-IT"/>
              </w:rPr>
            </w:pPr>
            <w:r w:rsidRPr="00465846">
              <w:rPr>
                <w:rFonts w:ascii="Bookman Old Style" w:hAnsi="Bookman Old Style" w:cs="Calibri"/>
                <w:sz w:val="18"/>
                <w:szCs w:val="18"/>
              </w:rPr>
              <w:t>393.120.000,00</w:t>
            </w:r>
          </w:p>
        </w:tc>
      </w:tr>
      <w:tr w:rsidR="00DD7816" w:rsidRPr="006533A4" w14:paraId="4FAE5E01" w14:textId="77777777" w:rsidTr="00AC44F5">
        <w:trPr>
          <w:trHeight w:val="284"/>
        </w:trPr>
        <w:tc>
          <w:tcPr>
            <w:tcW w:w="556" w:type="dxa"/>
            <w:vAlign w:val="center"/>
            <w:hideMark/>
          </w:tcPr>
          <w:p w14:paraId="4D10D7A3" w14:textId="77777777" w:rsidR="00DD7816" w:rsidRPr="00465846" w:rsidRDefault="00DD7816" w:rsidP="0073264B">
            <w:pPr>
              <w:rPr>
                <w:rFonts w:ascii="Bookman Old Style" w:hAnsi="Bookman Old Style"/>
                <w:sz w:val="18"/>
                <w:szCs w:val="18"/>
                <w:lang w:val="it-IT"/>
              </w:rPr>
            </w:pPr>
          </w:p>
        </w:tc>
        <w:tc>
          <w:tcPr>
            <w:tcW w:w="5838" w:type="dxa"/>
            <w:gridSpan w:val="3"/>
            <w:tcBorders>
              <w:bottom w:val="single" w:sz="4" w:space="0" w:color="auto"/>
            </w:tcBorders>
            <w:shd w:val="clear" w:color="000000" w:fill="FFFFFF"/>
            <w:vAlign w:val="center"/>
            <w:hideMark/>
          </w:tcPr>
          <w:p w14:paraId="5B6D955E" w14:textId="00DE8045" w:rsidR="00DD7816" w:rsidRPr="00DD7816" w:rsidRDefault="00DD7816" w:rsidP="0073264B">
            <w:pPr>
              <w:rPr>
                <w:rFonts w:ascii="Bookman Old Style" w:hAnsi="Bookman Old Style"/>
                <w:sz w:val="18"/>
                <w:szCs w:val="18"/>
              </w:rPr>
            </w:pPr>
            <w:r w:rsidRPr="00465846">
              <w:rPr>
                <w:rFonts w:ascii="Bookman Old Style" w:hAnsi="Bookman Old Style"/>
                <w:sz w:val="18"/>
                <w:szCs w:val="18"/>
              </w:rPr>
              <w:t>Selisih</w:t>
            </w:r>
            <w:r w:rsidR="00A954D0">
              <w:rPr>
                <w:rFonts w:ascii="Bookman Old Style" w:hAnsi="Bookman Old Style"/>
                <w:sz w:val="18"/>
                <w:szCs w:val="18"/>
              </w:rPr>
              <w:t xml:space="preserve"> </w:t>
            </w:r>
          </w:p>
        </w:tc>
        <w:tc>
          <w:tcPr>
            <w:tcW w:w="1686" w:type="dxa"/>
            <w:tcBorders>
              <w:bottom w:val="single" w:sz="4" w:space="0" w:color="auto"/>
            </w:tcBorders>
            <w:shd w:val="clear" w:color="000000" w:fill="FFFFFF"/>
            <w:vAlign w:val="center"/>
          </w:tcPr>
          <w:p w14:paraId="160818DC" w14:textId="77777777" w:rsidR="00DD7816" w:rsidRPr="00465846" w:rsidRDefault="00DD7816" w:rsidP="0073264B">
            <w:pPr>
              <w:jc w:val="right"/>
              <w:rPr>
                <w:rFonts w:ascii="Bookman Old Style" w:hAnsi="Bookman Old Style" w:cs="Calibri"/>
                <w:sz w:val="18"/>
                <w:szCs w:val="18"/>
              </w:rPr>
            </w:pPr>
            <w:r w:rsidRPr="00465846">
              <w:rPr>
                <w:rFonts w:ascii="Bookman Old Style" w:hAnsi="Bookman Old Style" w:cs="Calibri"/>
                <w:sz w:val="18"/>
                <w:szCs w:val="18"/>
              </w:rPr>
              <w:t>-</w:t>
            </w:r>
          </w:p>
        </w:tc>
      </w:tr>
    </w:tbl>
    <w:p w14:paraId="486F1DD5" w14:textId="20FE204C" w:rsidR="005A4806" w:rsidRPr="00727324" w:rsidRDefault="005A4806" w:rsidP="00F639B5">
      <w:pPr>
        <w:pStyle w:val="ListParagraph"/>
        <w:snapToGrid w:val="0"/>
        <w:spacing w:before="60" w:after="0" w:line="276" w:lineRule="auto"/>
        <w:ind w:left="2694"/>
        <w:contextualSpacing w:val="0"/>
        <w:jc w:val="both"/>
        <w:rPr>
          <w:rFonts w:ascii="Bookman Old Style" w:hAnsi="Bookman Old Style"/>
          <w:sz w:val="24"/>
          <w:szCs w:val="24"/>
        </w:rPr>
      </w:pPr>
      <w:r w:rsidRPr="00727324">
        <w:rPr>
          <w:rFonts w:ascii="Bookman Old Style" w:hAnsi="Bookman Old Style"/>
          <w:sz w:val="24"/>
          <w:szCs w:val="24"/>
        </w:rPr>
        <w:t>Berdasarkan</w:t>
      </w:r>
      <w:r w:rsidR="00A954D0">
        <w:rPr>
          <w:rFonts w:ascii="Bookman Old Style" w:hAnsi="Bookman Old Style"/>
          <w:sz w:val="24"/>
          <w:szCs w:val="24"/>
        </w:rPr>
        <w:t xml:space="preserve"> </w:t>
      </w:r>
      <w:r w:rsidRPr="00727324">
        <w:rPr>
          <w:rFonts w:ascii="Bookman Old Style" w:hAnsi="Bookman Old Style"/>
          <w:sz w:val="24"/>
          <w:szCs w:val="24"/>
        </w:rPr>
        <w:t>tabel</w:t>
      </w:r>
      <w:r w:rsidR="00A954D0">
        <w:rPr>
          <w:rFonts w:ascii="Bookman Old Style" w:hAnsi="Bookman Old Style" w:cs="Arial"/>
          <w:sz w:val="24"/>
          <w:szCs w:val="24"/>
        </w:rPr>
        <w:t xml:space="preserve"> </w:t>
      </w:r>
      <w:r w:rsidRPr="00727324">
        <w:rPr>
          <w:rFonts w:ascii="Bookman Old Style" w:hAnsi="Bookman Old Style" w:cs="Arial"/>
          <w:sz w:val="24"/>
          <w:szCs w:val="24"/>
        </w:rPr>
        <w:t>sebagaimana</w:t>
      </w:r>
      <w:r w:rsidR="00A954D0">
        <w:rPr>
          <w:rFonts w:ascii="Bookman Old Style" w:hAnsi="Bookman Old Style"/>
          <w:sz w:val="24"/>
          <w:szCs w:val="24"/>
        </w:rPr>
        <w:t xml:space="preserve"> </w:t>
      </w:r>
      <w:r w:rsidRPr="00727324">
        <w:rPr>
          <w:rFonts w:ascii="Bookman Old Style" w:hAnsi="Bookman Old Style"/>
          <w:sz w:val="24"/>
          <w:szCs w:val="24"/>
        </w:rPr>
        <w:t>di</w:t>
      </w:r>
      <w:r w:rsidR="00A954D0">
        <w:rPr>
          <w:rFonts w:ascii="Bookman Old Style" w:hAnsi="Bookman Old Style"/>
          <w:sz w:val="24"/>
          <w:szCs w:val="24"/>
        </w:rPr>
        <w:t xml:space="preserve"> </w:t>
      </w:r>
      <w:r w:rsidRPr="00727324">
        <w:rPr>
          <w:rFonts w:ascii="Bookman Old Style" w:hAnsi="Bookman Old Style"/>
          <w:sz w:val="24"/>
          <w:szCs w:val="24"/>
        </w:rPr>
        <w:t>atas,</w:t>
      </w:r>
      <w:r w:rsidR="00A954D0">
        <w:rPr>
          <w:rFonts w:ascii="Bookman Old Style" w:hAnsi="Bookman Old Style"/>
          <w:sz w:val="24"/>
          <w:szCs w:val="24"/>
        </w:rPr>
        <w:t xml:space="preserve"> </w:t>
      </w:r>
      <w:r w:rsidRPr="00727324">
        <w:rPr>
          <w:rFonts w:ascii="Bookman Old Style" w:hAnsi="Bookman Old Style"/>
          <w:sz w:val="24"/>
          <w:szCs w:val="24"/>
        </w:rPr>
        <w:t>Pemerintah</w:t>
      </w:r>
      <w:r w:rsidR="00A954D0">
        <w:rPr>
          <w:rFonts w:ascii="Bookman Old Style" w:hAnsi="Bookman Old Style"/>
          <w:sz w:val="24"/>
          <w:szCs w:val="24"/>
        </w:rPr>
        <w:t xml:space="preserve"> </w:t>
      </w:r>
      <w:r w:rsidRPr="00727324">
        <w:rPr>
          <w:rFonts w:ascii="Bookman Old Style" w:hAnsi="Bookman Old Style"/>
          <w:sz w:val="24"/>
          <w:szCs w:val="24"/>
        </w:rPr>
        <w:t>Daerah</w:t>
      </w:r>
      <w:r w:rsidR="00A954D0">
        <w:rPr>
          <w:rFonts w:ascii="Bookman Old Style" w:hAnsi="Bookman Old Style"/>
          <w:sz w:val="24"/>
          <w:szCs w:val="24"/>
        </w:rPr>
        <w:t xml:space="preserve"> </w:t>
      </w:r>
      <w:r>
        <w:rPr>
          <w:rFonts w:ascii="Bookman Old Style" w:hAnsi="Bookman Old Style"/>
          <w:sz w:val="24"/>
          <w:szCs w:val="24"/>
        </w:rPr>
        <w:t>Kota</w:t>
      </w:r>
      <w:r w:rsidR="00A954D0">
        <w:rPr>
          <w:rFonts w:ascii="Bookman Old Style" w:hAnsi="Bookman Old Style"/>
          <w:sz w:val="24"/>
          <w:szCs w:val="24"/>
          <w:lang w:val="id-ID"/>
        </w:rPr>
        <w:t xml:space="preserve"> </w:t>
      </w:r>
      <w:r>
        <w:rPr>
          <w:rFonts w:ascii="Bookman Old Style" w:hAnsi="Bookman Old Style"/>
          <w:sz w:val="24"/>
          <w:szCs w:val="24"/>
          <w:lang w:val="fi-FI"/>
        </w:rPr>
        <w:t>Tangerang</w:t>
      </w:r>
      <w:r w:rsidR="00A954D0">
        <w:rPr>
          <w:rFonts w:ascii="Bookman Old Style" w:hAnsi="Bookman Old Style"/>
          <w:sz w:val="24"/>
          <w:szCs w:val="24"/>
        </w:rPr>
        <w:t xml:space="preserve"> </w:t>
      </w:r>
      <w:r w:rsidRPr="00727324">
        <w:rPr>
          <w:rFonts w:ascii="Bookman Old Style" w:hAnsi="Bookman Old Style"/>
          <w:b/>
          <w:bCs/>
          <w:sz w:val="24"/>
          <w:szCs w:val="24"/>
        </w:rPr>
        <w:t>telah</w:t>
      </w:r>
      <w:r w:rsidR="00A954D0">
        <w:rPr>
          <w:rFonts w:ascii="Bookman Old Style" w:hAnsi="Bookman Old Style"/>
          <w:b/>
          <w:bCs/>
          <w:sz w:val="24"/>
          <w:szCs w:val="24"/>
        </w:rPr>
        <w:t xml:space="preserve"> </w:t>
      </w:r>
      <w:r w:rsidRPr="00727324">
        <w:rPr>
          <w:rFonts w:ascii="Bookman Old Style" w:hAnsi="Bookman Old Style"/>
          <w:b/>
          <w:bCs/>
          <w:sz w:val="24"/>
          <w:szCs w:val="24"/>
        </w:rPr>
        <w:t>memenuhi</w:t>
      </w:r>
      <w:r w:rsidR="00A954D0">
        <w:rPr>
          <w:rFonts w:ascii="Bookman Old Style" w:hAnsi="Bookman Old Style"/>
          <w:sz w:val="24"/>
          <w:szCs w:val="24"/>
        </w:rPr>
        <w:t xml:space="preserve"> </w:t>
      </w:r>
      <w:r w:rsidRPr="00727324">
        <w:rPr>
          <w:rFonts w:ascii="Bookman Old Style" w:hAnsi="Bookman Old Style"/>
          <w:sz w:val="24"/>
          <w:szCs w:val="24"/>
        </w:rPr>
        <w:t>amanat</w:t>
      </w:r>
      <w:r w:rsidR="00A954D0">
        <w:rPr>
          <w:rFonts w:ascii="Bookman Old Style" w:hAnsi="Bookman Old Style"/>
          <w:sz w:val="24"/>
          <w:szCs w:val="24"/>
        </w:rPr>
        <w:t xml:space="preserve"> </w:t>
      </w:r>
      <w:r w:rsidRPr="00727324">
        <w:rPr>
          <w:rFonts w:ascii="Bookman Old Style" w:hAnsi="Bookman Old Style"/>
          <w:sz w:val="24"/>
          <w:szCs w:val="24"/>
        </w:rPr>
        <w:t>Pasal</w:t>
      </w:r>
      <w:r w:rsidR="00A954D0">
        <w:rPr>
          <w:rFonts w:ascii="Bookman Old Style" w:hAnsi="Bookman Old Style"/>
          <w:sz w:val="24"/>
          <w:szCs w:val="24"/>
        </w:rPr>
        <w:t xml:space="preserve"> </w:t>
      </w:r>
      <w:r w:rsidRPr="003255BC">
        <w:rPr>
          <w:rFonts w:ascii="Bookman Old Style" w:hAnsi="Bookman Old Style"/>
          <w:sz w:val="24"/>
          <w:szCs w:val="24"/>
          <w:lang w:val="sv-FI"/>
        </w:rPr>
        <w:t>22</w:t>
      </w:r>
      <w:r w:rsidR="00A954D0">
        <w:rPr>
          <w:rFonts w:ascii="Bookman Old Style" w:hAnsi="Bookman Old Style"/>
          <w:sz w:val="24"/>
          <w:szCs w:val="24"/>
        </w:rPr>
        <w:t xml:space="preserve"> </w:t>
      </w:r>
      <w:r w:rsidRPr="00727324">
        <w:rPr>
          <w:rFonts w:ascii="Bookman Old Style" w:hAnsi="Bookman Old Style"/>
          <w:sz w:val="24"/>
          <w:szCs w:val="24"/>
        </w:rPr>
        <w:t>Peraturan</w:t>
      </w:r>
      <w:r w:rsidR="00A954D0">
        <w:rPr>
          <w:rFonts w:ascii="Bookman Old Style" w:hAnsi="Bookman Old Style"/>
          <w:sz w:val="24"/>
          <w:szCs w:val="24"/>
        </w:rPr>
        <w:t xml:space="preserve"> </w:t>
      </w:r>
      <w:r w:rsidRPr="00727324">
        <w:rPr>
          <w:rFonts w:ascii="Bookman Old Style" w:hAnsi="Bookman Old Style"/>
          <w:sz w:val="24"/>
          <w:szCs w:val="24"/>
        </w:rPr>
        <w:t>Pemerintah</w:t>
      </w:r>
      <w:r w:rsidR="00A954D0">
        <w:rPr>
          <w:rFonts w:ascii="Bookman Old Style" w:hAnsi="Bookman Old Style"/>
          <w:sz w:val="24"/>
          <w:szCs w:val="24"/>
        </w:rPr>
        <w:t xml:space="preserve"> </w:t>
      </w:r>
      <w:r w:rsidRPr="00727324">
        <w:rPr>
          <w:rFonts w:ascii="Bookman Old Style" w:hAnsi="Bookman Old Style"/>
          <w:sz w:val="24"/>
          <w:szCs w:val="24"/>
        </w:rPr>
        <w:t>Nomor</w:t>
      </w:r>
      <w:r w:rsidR="00A954D0">
        <w:rPr>
          <w:rFonts w:ascii="Bookman Old Style" w:hAnsi="Bookman Old Style"/>
          <w:sz w:val="24"/>
          <w:szCs w:val="24"/>
        </w:rPr>
        <w:t xml:space="preserve"> </w:t>
      </w:r>
      <w:r w:rsidRPr="00727324">
        <w:rPr>
          <w:rFonts w:ascii="Bookman Old Style" w:hAnsi="Bookman Old Style"/>
          <w:sz w:val="24"/>
          <w:szCs w:val="24"/>
        </w:rPr>
        <w:t>18</w:t>
      </w:r>
      <w:r w:rsidR="00A954D0">
        <w:rPr>
          <w:rFonts w:ascii="Bookman Old Style" w:hAnsi="Bookman Old Style"/>
          <w:sz w:val="24"/>
          <w:szCs w:val="24"/>
        </w:rPr>
        <w:t xml:space="preserve"> </w:t>
      </w:r>
      <w:r w:rsidRPr="00727324">
        <w:rPr>
          <w:rFonts w:ascii="Bookman Old Style" w:hAnsi="Bookman Old Style"/>
          <w:sz w:val="24"/>
          <w:szCs w:val="24"/>
        </w:rPr>
        <w:t>Tahun</w:t>
      </w:r>
      <w:r w:rsidR="00A954D0">
        <w:rPr>
          <w:rFonts w:ascii="Bookman Old Style" w:hAnsi="Bookman Old Style"/>
          <w:sz w:val="24"/>
          <w:szCs w:val="24"/>
        </w:rPr>
        <w:t xml:space="preserve"> </w:t>
      </w:r>
      <w:r w:rsidRPr="00727324">
        <w:rPr>
          <w:rFonts w:ascii="Bookman Old Style" w:hAnsi="Bookman Old Style"/>
          <w:sz w:val="24"/>
          <w:szCs w:val="24"/>
        </w:rPr>
        <w:t>2017</w:t>
      </w:r>
      <w:r w:rsidR="00A954D0">
        <w:rPr>
          <w:rFonts w:ascii="Bookman Old Style" w:hAnsi="Bookman Old Style"/>
          <w:sz w:val="24"/>
          <w:szCs w:val="24"/>
        </w:rPr>
        <w:t xml:space="preserve"> </w:t>
      </w:r>
      <w:r w:rsidRPr="00727324">
        <w:rPr>
          <w:rFonts w:ascii="Bookman Old Style" w:hAnsi="Bookman Old Style"/>
          <w:sz w:val="24"/>
          <w:szCs w:val="24"/>
        </w:rPr>
        <w:t>sebagaimana</w:t>
      </w:r>
      <w:r w:rsidR="00A954D0">
        <w:rPr>
          <w:rFonts w:ascii="Bookman Old Style" w:hAnsi="Bookman Old Style"/>
          <w:sz w:val="24"/>
          <w:szCs w:val="24"/>
        </w:rPr>
        <w:t xml:space="preserve"> </w:t>
      </w:r>
      <w:r w:rsidRPr="00727324">
        <w:rPr>
          <w:rFonts w:ascii="Bookman Old Style" w:hAnsi="Bookman Old Style"/>
          <w:sz w:val="24"/>
          <w:szCs w:val="24"/>
        </w:rPr>
        <w:t>telah</w:t>
      </w:r>
      <w:r w:rsidR="00A954D0">
        <w:rPr>
          <w:rFonts w:ascii="Bookman Old Style" w:hAnsi="Bookman Old Style"/>
          <w:sz w:val="24"/>
          <w:szCs w:val="24"/>
        </w:rPr>
        <w:t xml:space="preserve"> </w:t>
      </w:r>
      <w:r w:rsidRPr="00727324">
        <w:rPr>
          <w:rFonts w:ascii="Bookman Old Style" w:hAnsi="Bookman Old Style"/>
          <w:sz w:val="24"/>
          <w:szCs w:val="24"/>
        </w:rPr>
        <w:t>diubah</w:t>
      </w:r>
      <w:r w:rsidR="00A954D0">
        <w:rPr>
          <w:rFonts w:ascii="Bookman Old Style" w:hAnsi="Bookman Old Style"/>
          <w:sz w:val="24"/>
          <w:szCs w:val="24"/>
        </w:rPr>
        <w:t xml:space="preserve"> </w:t>
      </w:r>
      <w:r w:rsidRPr="00727324">
        <w:rPr>
          <w:rFonts w:ascii="Bookman Old Style" w:hAnsi="Bookman Old Style"/>
          <w:sz w:val="24"/>
          <w:szCs w:val="24"/>
        </w:rPr>
        <w:t>dengan</w:t>
      </w:r>
      <w:r w:rsidR="00A954D0">
        <w:rPr>
          <w:rFonts w:ascii="Bookman Old Style" w:hAnsi="Bookman Old Style"/>
          <w:sz w:val="24"/>
          <w:szCs w:val="24"/>
        </w:rPr>
        <w:t xml:space="preserve"> </w:t>
      </w:r>
      <w:r w:rsidRPr="00727324">
        <w:rPr>
          <w:rFonts w:ascii="Bookman Old Style" w:hAnsi="Bookman Old Style"/>
          <w:sz w:val="24"/>
          <w:szCs w:val="24"/>
        </w:rPr>
        <w:t>Peraturan</w:t>
      </w:r>
      <w:r w:rsidR="00A954D0">
        <w:rPr>
          <w:rFonts w:ascii="Bookman Old Style" w:hAnsi="Bookman Old Style"/>
          <w:sz w:val="24"/>
          <w:szCs w:val="24"/>
        </w:rPr>
        <w:t xml:space="preserve"> </w:t>
      </w:r>
      <w:r w:rsidRPr="00727324">
        <w:rPr>
          <w:rFonts w:ascii="Bookman Old Style" w:hAnsi="Bookman Old Style"/>
          <w:sz w:val="24"/>
          <w:szCs w:val="24"/>
        </w:rPr>
        <w:t>Pemerintah</w:t>
      </w:r>
      <w:r w:rsidR="00A954D0">
        <w:rPr>
          <w:rFonts w:ascii="Bookman Old Style" w:hAnsi="Bookman Old Style"/>
          <w:sz w:val="24"/>
          <w:szCs w:val="24"/>
        </w:rPr>
        <w:t xml:space="preserve"> </w:t>
      </w:r>
      <w:r w:rsidRPr="00727324">
        <w:rPr>
          <w:rFonts w:ascii="Bookman Old Style" w:hAnsi="Bookman Old Style"/>
          <w:sz w:val="24"/>
          <w:szCs w:val="24"/>
        </w:rPr>
        <w:t>Nomor</w:t>
      </w:r>
      <w:r w:rsidR="00A954D0">
        <w:rPr>
          <w:rFonts w:ascii="Bookman Old Style" w:hAnsi="Bookman Old Style"/>
          <w:sz w:val="24"/>
          <w:szCs w:val="24"/>
        </w:rPr>
        <w:t xml:space="preserve"> </w:t>
      </w:r>
      <w:r w:rsidRPr="00727324">
        <w:rPr>
          <w:rFonts w:ascii="Bookman Old Style" w:hAnsi="Bookman Old Style"/>
          <w:sz w:val="24"/>
          <w:szCs w:val="24"/>
        </w:rPr>
        <w:t>1</w:t>
      </w:r>
      <w:r w:rsidR="00A954D0">
        <w:rPr>
          <w:rFonts w:ascii="Bookman Old Style" w:hAnsi="Bookman Old Style"/>
          <w:sz w:val="24"/>
          <w:szCs w:val="24"/>
        </w:rPr>
        <w:t xml:space="preserve"> </w:t>
      </w:r>
      <w:r w:rsidRPr="00727324">
        <w:rPr>
          <w:rFonts w:ascii="Bookman Old Style" w:hAnsi="Bookman Old Style"/>
          <w:sz w:val="24"/>
          <w:szCs w:val="24"/>
        </w:rPr>
        <w:t>Tahun</w:t>
      </w:r>
      <w:r w:rsidR="00A954D0">
        <w:rPr>
          <w:rFonts w:ascii="Bookman Old Style" w:hAnsi="Bookman Old Style"/>
          <w:sz w:val="24"/>
          <w:szCs w:val="24"/>
        </w:rPr>
        <w:t xml:space="preserve"> </w:t>
      </w:r>
      <w:r w:rsidRPr="00727324">
        <w:rPr>
          <w:rFonts w:ascii="Bookman Old Style" w:hAnsi="Bookman Old Style"/>
          <w:sz w:val="24"/>
          <w:szCs w:val="24"/>
        </w:rPr>
        <w:t>2023.</w:t>
      </w:r>
    </w:p>
    <w:p w14:paraId="69D84E11" w14:textId="0B228E7B" w:rsidR="005A4806" w:rsidRPr="00727324" w:rsidRDefault="005A4806" w:rsidP="00F639B5">
      <w:pPr>
        <w:pStyle w:val="ListParagraph"/>
        <w:snapToGrid w:val="0"/>
        <w:spacing w:before="60" w:after="0" w:line="276" w:lineRule="auto"/>
        <w:ind w:left="2694"/>
        <w:contextualSpacing w:val="0"/>
        <w:jc w:val="both"/>
        <w:rPr>
          <w:rFonts w:ascii="Bookman Old Style" w:hAnsi="Bookman Old Style" w:cs="Tahoma"/>
          <w:sz w:val="24"/>
          <w:szCs w:val="24"/>
        </w:rPr>
      </w:pPr>
      <w:r w:rsidRPr="00727324">
        <w:rPr>
          <w:rFonts w:ascii="Bookman Old Style" w:hAnsi="Bookman Old Style"/>
          <w:sz w:val="24"/>
          <w:szCs w:val="24"/>
        </w:rPr>
        <w:t>Berkaitan</w:t>
      </w:r>
      <w:r w:rsidR="00A954D0">
        <w:rPr>
          <w:rFonts w:ascii="Bookman Old Style" w:hAnsi="Bookman Old Style"/>
          <w:sz w:val="24"/>
          <w:szCs w:val="24"/>
        </w:rPr>
        <w:t xml:space="preserve"> </w:t>
      </w:r>
      <w:r w:rsidRPr="00727324">
        <w:rPr>
          <w:rFonts w:ascii="Bookman Old Style" w:hAnsi="Bookman Old Style"/>
          <w:sz w:val="24"/>
          <w:szCs w:val="24"/>
        </w:rPr>
        <w:t>dengan</w:t>
      </w:r>
      <w:r w:rsidR="00A954D0">
        <w:rPr>
          <w:rFonts w:ascii="Bookman Old Style" w:hAnsi="Bookman Old Style"/>
          <w:sz w:val="24"/>
          <w:szCs w:val="24"/>
        </w:rPr>
        <w:t xml:space="preserve"> </w:t>
      </w:r>
      <w:r w:rsidRPr="00727324">
        <w:rPr>
          <w:rFonts w:ascii="Bookman Old Style" w:hAnsi="Bookman Old Style"/>
          <w:sz w:val="24"/>
          <w:szCs w:val="24"/>
        </w:rPr>
        <w:t>hal</w:t>
      </w:r>
      <w:r w:rsidR="00A954D0">
        <w:rPr>
          <w:rFonts w:ascii="Bookman Old Style" w:hAnsi="Bookman Old Style"/>
          <w:sz w:val="24"/>
          <w:szCs w:val="24"/>
        </w:rPr>
        <w:t xml:space="preserve"> </w:t>
      </w:r>
      <w:r w:rsidRPr="00727324">
        <w:rPr>
          <w:rFonts w:ascii="Bookman Old Style" w:hAnsi="Bookman Old Style"/>
          <w:sz w:val="24"/>
          <w:szCs w:val="24"/>
        </w:rPr>
        <w:t>tersebut,</w:t>
      </w:r>
      <w:r w:rsidR="00A954D0">
        <w:rPr>
          <w:rFonts w:ascii="Bookman Old Style" w:hAnsi="Bookman Old Style"/>
          <w:sz w:val="24"/>
          <w:szCs w:val="24"/>
        </w:rPr>
        <w:t xml:space="preserve"> </w:t>
      </w:r>
      <w:r w:rsidRPr="00727324">
        <w:rPr>
          <w:rFonts w:ascii="Bookman Old Style" w:hAnsi="Bookman Old Style"/>
          <w:sz w:val="24"/>
          <w:szCs w:val="24"/>
        </w:rPr>
        <w:t>Pemerintah</w:t>
      </w:r>
      <w:r w:rsidR="00A954D0">
        <w:rPr>
          <w:rFonts w:ascii="Bookman Old Style" w:hAnsi="Bookman Old Style"/>
          <w:sz w:val="24"/>
          <w:szCs w:val="24"/>
        </w:rPr>
        <w:t xml:space="preserve"> </w:t>
      </w:r>
      <w:r w:rsidRPr="00727324">
        <w:rPr>
          <w:rFonts w:ascii="Bookman Old Style" w:hAnsi="Bookman Old Style"/>
          <w:sz w:val="24"/>
          <w:szCs w:val="24"/>
        </w:rPr>
        <w:t>Daerah</w:t>
      </w:r>
      <w:r w:rsidR="00A954D0">
        <w:rPr>
          <w:rFonts w:ascii="Bookman Old Style" w:hAnsi="Bookman Old Style"/>
          <w:sz w:val="24"/>
          <w:szCs w:val="24"/>
          <w:lang w:val="id-ID"/>
        </w:rPr>
        <w:t xml:space="preserve"> </w:t>
      </w:r>
      <w:r w:rsidRPr="00727324">
        <w:rPr>
          <w:rFonts w:ascii="Bookman Old Style" w:hAnsi="Bookman Old Style"/>
          <w:sz w:val="24"/>
          <w:szCs w:val="24"/>
          <w:lang w:val="id-ID"/>
        </w:rPr>
        <w:t>Kota</w:t>
      </w:r>
      <w:r w:rsidR="00A954D0">
        <w:rPr>
          <w:rFonts w:ascii="Bookman Old Style" w:hAnsi="Bookman Old Style"/>
          <w:sz w:val="24"/>
          <w:szCs w:val="24"/>
          <w:lang w:val="id-ID"/>
        </w:rPr>
        <w:t xml:space="preserve"> </w:t>
      </w:r>
      <w:r>
        <w:rPr>
          <w:rFonts w:ascii="Bookman Old Style" w:hAnsi="Bookman Old Style"/>
          <w:sz w:val="24"/>
          <w:szCs w:val="24"/>
          <w:lang w:val="id-ID"/>
        </w:rPr>
        <w:t>Tangerang</w:t>
      </w:r>
      <w:r w:rsidR="00A954D0">
        <w:rPr>
          <w:rFonts w:ascii="Bookman Old Style" w:hAnsi="Bookman Old Style"/>
          <w:sz w:val="24"/>
          <w:szCs w:val="24"/>
          <w:lang w:val="id-ID"/>
        </w:rPr>
        <w:t xml:space="preserve"> </w:t>
      </w:r>
      <w:r w:rsidRPr="00727324">
        <w:rPr>
          <w:rFonts w:ascii="Bookman Old Style" w:hAnsi="Bookman Old Style"/>
          <w:sz w:val="24"/>
          <w:szCs w:val="24"/>
        </w:rPr>
        <w:t>agar</w:t>
      </w:r>
      <w:r w:rsidR="00A954D0">
        <w:rPr>
          <w:rFonts w:ascii="Bookman Old Style" w:hAnsi="Bookman Old Style"/>
          <w:sz w:val="24"/>
          <w:szCs w:val="24"/>
        </w:rPr>
        <w:t xml:space="preserve"> </w:t>
      </w:r>
      <w:r w:rsidRPr="00727324">
        <w:rPr>
          <w:rFonts w:ascii="Bookman Old Style" w:hAnsi="Bookman Old Style"/>
          <w:sz w:val="24"/>
          <w:szCs w:val="24"/>
        </w:rPr>
        <w:t>konsisten</w:t>
      </w:r>
      <w:r w:rsidR="00A954D0">
        <w:rPr>
          <w:rFonts w:ascii="Bookman Old Style" w:hAnsi="Bookman Old Style"/>
          <w:sz w:val="24"/>
          <w:szCs w:val="24"/>
        </w:rPr>
        <w:t xml:space="preserve"> </w:t>
      </w:r>
      <w:r w:rsidRPr="00727324">
        <w:rPr>
          <w:rFonts w:ascii="Bookman Old Style" w:hAnsi="Bookman Old Style"/>
          <w:sz w:val="24"/>
          <w:szCs w:val="24"/>
        </w:rPr>
        <w:t>dalam</w:t>
      </w:r>
      <w:r w:rsidR="00A954D0">
        <w:rPr>
          <w:rFonts w:ascii="Bookman Old Style" w:hAnsi="Bookman Old Style"/>
          <w:sz w:val="24"/>
          <w:szCs w:val="24"/>
        </w:rPr>
        <w:t xml:space="preserve"> </w:t>
      </w:r>
      <w:r w:rsidRPr="00727324">
        <w:rPr>
          <w:rFonts w:ascii="Bookman Old Style" w:hAnsi="Bookman Old Style"/>
          <w:sz w:val="24"/>
          <w:szCs w:val="24"/>
        </w:rPr>
        <w:t>mengalokasikan</w:t>
      </w:r>
      <w:r w:rsidR="00A954D0">
        <w:rPr>
          <w:rFonts w:ascii="Bookman Old Style" w:hAnsi="Bookman Old Style"/>
          <w:sz w:val="24"/>
          <w:szCs w:val="24"/>
        </w:rPr>
        <w:t xml:space="preserve"> </w:t>
      </w:r>
      <w:r w:rsidRPr="00727324">
        <w:rPr>
          <w:rFonts w:ascii="Bookman Old Style" w:hAnsi="Bookman Old Style"/>
          <w:sz w:val="24"/>
          <w:szCs w:val="24"/>
        </w:rPr>
        <w:t>anggaran</w:t>
      </w:r>
      <w:r w:rsidR="00A954D0">
        <w:rPr>
          <w:rFonts w:ascii="Bookman Old Style" w:hAnsi="Bookman Old Style"/>
          <w:sz w:val="24"/>
          <w:szCs w:val="24"/>
        </w:rPr>
        <w:t xml:space="preserve"> </w:t>
      </w:r>
      <w:r w:rsidRPr="00727324">
        <w:rPr>
          <w:rFonts w:ascii="Bookman Old Style" w:hAnsi="Bookman Old Style" w:cs="Tahoma"/>
          <w:sz w:val="24"/>
          <w:szCs w:val="24"/>
          <w:lang w:val="en-US"/>
        </w:rPr>
        <w:t>Dana</w:t>
      </w:r>
      <w:r w:rsidR="00A954D0">
        <w:rPr>
          <w:rFonts w:ascii="Bookman Old Style" w:hAnsi="Bookman Old Style" w:cs="Tahoma"/>
          <w:sz w:val="24"/>
          <w:szCs w:val="24"/>
          <w:lang w:val="en-US"/>
        </w:rPr>
        <w:t xml:space="preserve"> </w:t>
      </w:r>
      <w:r w:rsidRPr="00727324">
        <w:rPr>
          <w:rFonts w:ascii="Bookman Old Style" w:hAnsi="Bookman Old Style" w:cs="Tahoma"/>
          <w:sz w:val="24"/>
          <w:szCs w:val="24"/>
          <w:lang w:val="en-US"/>
        </w:rPr>
        <w:t>Operasional</w:t>
      </w:r>
      <w:r w:rsidR="00A954D0">
        <w:rPr>
          <w:rFonts w:ascii="Bookman Old Style" w:hAnsi="Bookman Old Style" w:cs="Tahoma"/>
          <w:sz w:val="24"/>
          <w:szCs w:val="24"/>
          <w:lang w:val="en-US"/>
        </w:rPr>
        <w:t xml:space="preserve"> </w:t>
      </w:r>
      <w:r w:rsidRPr="00727324">
        <w:rPr>
          <w:rFonts w:ascii="Bookman Old Style" w:hAnsi="Bookman Old Style" w:cs="Tahoma"/>
          <w:sz w:val="24"/>
          <w:szCs w:val="24"/>
          <w:lang w:val="en-US"/>
        </w:rPr>
        <w:t>Pimpinan</w:t>
      </w:r>
      <w:r w:rsidR="00A954D0">
        <w:rPr>
          <w:rFonts w:ascii="Bookman Old Style" w:hAnsi="Bookman Old Style" w:cs="Tahoma"/>
          <w:sz w:val="24"/>
          <w:szCs w:val="24"/>
          <w:lang w:val="en-US"/>
        </w:rPr>
        <w:t xml:space="preserve"> </w:t>
      </w:r>
      <w:r w:rsidRPr="00727324">
        <w:rPr>
          <w:rFonts w:ascii="Bookman Old Style" w:hAnsi="Bookman Old Style" w:cs="Tahoma"/>
          <w:sz w:val="24"/>
          <w:szCs w:val="24"/>
          <w:lang w:val="en-US"/>
        </w:rPr>
        <w:t>DPRD</w:t>
      </w:r>
      <w:r w:rsidR="00A954D0">
        <w:rPr>
          <w:rFonts w:ascii="Bookman Old Style" w:hAnsi="Bookman Old Style"/>
          <w:sz w:val="24"/>
          <w:szCs w:val="24"/>
        </w:rPr>
        <w:t xml:space="preserve"> </w:t>
      </w:r>
      <w:r w:rsidRPr="00727324">
        <w:rPr>
          <w:rFonts w:ascii="Bookman Old Style" w:hAnsi="Bookman Old Style"/>
          <w:sz w:val="24"/>
          <w:szCs w:val="24"/>
          <w:lang w:val="en-US"/>
        </w:rPr>
        <w:t>dalam</w:t>
      </w:r>
      <w:r w:rsidR="00A954D0">
        <w:rPr>
          <w:rFonts w:ascii="Bookman Old Style" w:hAnsi="Bookman Old Style"/>
          <w:sz w:val="24"/>
          <w:szCs w:val="24"/>
          <w:lang w:val="en-US"/>
        </w:rPr>
        <w:t xml:space="preserve"> </w:t>
      </w:r>
      <w:r w:rsidRPr="00727324">
        <w:rPr>
          <w:rFonts w:ascii="Bookman Old Style" w:hAnsi="Bookman Old Style"/>
          <w:sz w:val="24"/>
          <w:szCs w:val="24"/>
          <w:lang w:val="en-US"/>
        </w:rPr>
        <w:t>rangka</w:t>
      </w:r>
      <w:r w:rsidR="00A954D0">
        <w:rPr>
          <w:rFonts w:ascii="Bookman Old Style" w:hAnsi="Bookman Old Style"/>
          <w:sz w:val="24"/>
          <w:szCs w:val="24"/>
          <w:lang w:val="en-US"/>
        </w:rPr>
        <w:t xml:space="preserve"> </w:t>
      </w:r>
      <w:r w:rsidRPr="00727324">
        <w:rPr>
          <w:rFonts w:ascii="Bookman Old Style" w:hAnsi="Bookman Old Style"/>
          <w:sz w:val="24"/>
          <w:szCs w:val="24"/>
        </w:rPr>
        <w:t>menunjang</w:t>
      </w:r>
      <w:r w:rsidR="00A954D0">
        <w:rPr>
          <w:rFonts w:ascii="Bookman Old Style" w:hAnsi="Bookman Old Style"/>
          <w:sz w:val="24"/>
          <w:szCs w:val="24"/>
        </w:rPr>
        <w:t xml:space="preserve"> </w:t>
      </w:r>
      <w:r w:rsidRPr="00727324">
        <w:rPr>
          <w:rFonts w:ascii="Bookman Old Style" w:hAnsi="Bookman Old Style"/>
          <w:sz w:val="24"/>
          <w:szCs w:val="24"/>
        </w:rPr>
        <w:t>kegiatan</w:t>
      </w:r>
      <w:r w:rsidR="00A954D0">
        <w:rPr>
          <w:rFonts w:ascii="Bookman Old Style" w:hAnsi="Bookman Old Style"/>
          <w:sz w:val="24"/>
          <w:szCs w:val="24"/>
        </w:rPr>
        <w:t xml:space="preserve"> </w:t>
      </w:r>
      <w:r w:rsidRPr="00727324">
        <w:rPr>
          <w:rFonts w:ascii="Bookman Old Style" w:hAnsi="Bookman Old Style"/>
          <w:sz w:val="24"/>
          <w:szCs w:val="24"/>
        </w:rPr>
        <w:t>operasional</w:t>
      </w:r>
      <w:r w:rsidR="00A954D0">
        <w:rPr>
          <w:rFonts w:ascii="Bookman Old Style" w:hAnsi="Bookman Old Style"/>
          <w:sz w:val="24"/>
          <w:szCs w:val="24"/>
        </w:rPr>
        <w:t xml:space="preserve"> </w:t>
      </w:r>
      <w:r w:rsidRPr="00727324">
        <w:rPr>
          <w:rFonts w:ascii="Bookman Old Style" w:hAnsi="Bookman Old Style"/>
          <w:sz w:val="24"/>
          <w:szCs w:val="24"/>
        </w:rPr>
        <w:t>yang</w:t>
      </w:r>
      <w:r w:rsidR="00A954D0">
        <w:rPr>
          <w:rFonts w:ascii="Bookman Old Style" w:hAnsi="Bookman Old Style"/>
          <w:sz w:val="24"/>
          <w:szCs w:val="24"/>
        </w:rPr>
        <w:t xml:space="preserve"> </w:t>
      </w:r>
      <w:r w:rsidRPr="00727324">
        <w:rPr>
          <w:rFonts w:ascii="Bookman Old Style" w:hAnsi="Bookman Old Style"/>
          <w:sz w:val="24"/>
          <w:szCs w:val="24"/>
        </w:rPr>
        <w:t>berkaitan</w:t>
      </w:r>
      <w:r w:rsidR="00A954D0">
        <w:rPr>
          <w:rFonts w:ascii="Bookman Old Style" w:hAnsi="Bookman Old Style"/>
          <w:sz w:val="24"/>
          <w:szCs w:val="24"/>
        </w:rPr>
        <w:t xml:space="preserve"> </w:t>
      </w:r>
      <w:r w:rsidRPr="00727324">
        <w:rPr>
          <w:rFonts w:ascii="Bookman Old Style" w:hAnsi="Bookman Old Style"/>
          <w:sz w:val="24"/>
          <w:szCs w:val="24"/>
        </w:rPr>
        <w:t>dengan</w:t>
      </w:r>
      <w:r w:rsidR="00A954D0">
        <w:rPr>
          <w:rFonts w:ascii="Bookman Old Style" w:hAnsi="Bookman Old Style"/>
          <w:sz w:val="24"/>
          <w:szCs w:val="24"/>
        </w:rPr>
        <w:t xml:space="preserve"> </w:t>
      </w:r>
      <w:r w:rsidRPr="00727324">
        <w:rPr>
          <w:rFonts w:ascii="Bookman Old Style" w:hAnsi="Bookman Old Style"/>
          <w:sz w:val="24"/>
          <w:szCs w:val="24"/>
        </w:rPr>
        <w:t>representasi,</w:t>
      </w:r>
      <w:r w:rsidR="00A954D0">
        <w:rPr>
          <w:rFonts w:ascii="Bookman Old Style" w:hAnsi="Bookman Old Style"/>
          <w:sz w:val="24"/>
          <w:szCs w:val="24"/>
        </w:rPr>
        <w:t xml:space="preserve"> </w:t>
      </w:r>
      <w:r w:rsidRPr="00727324">
        <w:rPr>
          <w:rFonts w:ascii="Bookman Old Style" w:hAnsi="Bookman Old Style"/>
          <w:sz w:val="24"/>
          <w:szCs w:val="24"/>
        </w:rPr>
        <w:t>pelayanan,</w:t>
      </w:r>
      <w:r w:rsidR="00A954D0">
        <w:rPr>
          <w:rFonts w:ascii="Bookman Old Style" w:hAnsi="Bookman Old Style"/>
          <w:sz w:val="24"/>
          <w:szCs w:val="24"/>
        </w:rPr>
        <w:t xml:space="preserve"> </w:t>
      </w:r>
      <w:r w:rsidRPr="00727324">
        <w:rPr>
          <w:rFonts w:ascii="Bookman Old Style" w:hAnsi="Bookman Old Style"/>
          <w:sz w:val="24"/>
          <w:szCs w:val="24"/>
        </w:rPr>
        <w:t>dan</w:t>
      </w:r>
      <w:r w:rsidR="00A954D0">
        <w:rPr>
          <w:rFonts w:ascii="Bookman Old Style" w:hAnsi="Bookman Old Style"/>
          <w:sz w:val="24"/>
          <w:szCs w:val="24"/>
        </w:rPr>
        <w:t xml:space="preserve"> </w:t>
      </w:r>
      <w:r w:rsidRPr="00727324">
        <w:rPr>
          <w:rFonts w:ascii="Bookman Old Style" w:hAnsi="Bookman Old Style"/>
          <w:sz w:val="24"/>
          <w:szCs w:val="24"/>
        </w:rPr>
        <w:t>kebutuhan</w:t>
      </w:r>
      <w:r w:rsidR="00A954D0">
        <w:rPr>
          <w:rFonts w:ascii="Bookman Old Style" w:hAnsi="Bookman Old Style"/>
          <w:sz w:val="24"/>
          <w:szCs w:val="24"/>
        </w:rPr>
        <w:t xml:space="preserve"> </w:t>
      </w:r>
      <w:r w:rsidRPr="00727324">
        <w:rPr>
          <w:rFonts w:ascii="Bookman Old Style" w:hAnsi="Bookman Old Style"/>
          <w:sz w:val="24"/>
          <w:szCs w:val="24"/>
        </w:rPr>
        <w:t>lain</w:t>
      </w:r>
      <w:r w:rsidR="00A954D0">
        <w:rPr>
          <w:rFonts w:ascii="Bookman Old Style" w:hAnsi="Bookman Old Style"/>
          <w:sz w:val="24"/>
          <w:szCs w:val="24"/>
        </w:rPr>
        <w:t xml:space="preserve"> </w:t>
      </w:r>
      <w:r w:rsidRPr="00727324">
        <w:rPr>
          <w:rFonts w:ascii="Bookman Old Style" w:hAnsi="Bookman Old Style"/>
          <w:sz w:val="24"/>
          <w:szCs w:val="24"/>
        </w:rPr>
        <w:t>guna</w:t>
      </w:r>
      <w:r w:rsidR="00A954D0">
        <w:rPr>
          <w:rFonts w:ascii="Bookman Old Style" w:hAnsi="Bookman Old Style"/>
          <w:sz w:val="24"/>
          <w:szCs w:val="24"/>
        </w:rPr>
        <w:t xml:space="preserve"> </w:t>
      </w:r>
      <w:r w:rsidRPr="00727324">
        <w:rPr>
          <w:rFonts w:ascii="Bookman Old Style" w:hAnsi="Bookman Old Style"/>
          <w:sz w:val="24"/>
          <w:szCs w:val="24"/>
        </w:rPr>
        <w:t>melancarkan</w:t>
      </w:r>
      <w:r w:rsidR="00A954D0">
        <w:rPr>
          <w:rFonts w:ascii="Bookman Old Style" w:hAnsi="Bookman Old Style"/>
          <w:sz w:val="24"/>
          <w:szCs w:val="24"/>
        </w:rPr>
        <w:t xml:space="preserve"> </w:t>
      </w:r>
      <w:r w:rsidRPr="00727324">
        <w:rPr>
          <w:rFonts w:ascii="Bookman Old Style" w:hAnsi="Bookman Old Style"/>
          <w:sz w:val="24"/>
          <w:szCs w:val="24"/>
        </w:rPr>
        <w:t>pelaksanaan</w:t>
      </w:r>
      <w:r w:rsidR="00A954D0">
        <w:rPr>
          <w:rFonts w:ascii="Bookman Old Style" w:hAnsi="Bookman Old Style"/>
          <w:sz w:val="24"/>
          <w:szCs w:val="24"/>
        </w:rPr>
        <w:t xml:space="preserve"> </w:t>
      </w:r>
      <w:r w:rsidRPr="00727324">
        <w:rPr>
          <w:rFonts w:ascii="Bookman Old Style" w:hAnsi="Bookman Old Style"/>
          <w:sz w:val="24"/>
          <w:szCs w:val="24"/>
        </w:rPr>
        <w:t>tugas</w:t>
      </w:r>
      <w:r w:rsidR="00A954D0">
        <w:rPr>
          <w:rFonts w:ascii="Bookman Old Style" w:hAnsi="Bookman Old Style"/>
          <w:sz w:val="24"/>
          <w:szCs w:val="24"/>
        </w:rPr>
        <w:t xml:space="preserve"> </w:t>
      </w:r>
      <w:r w:rsidRPr="00727324">
        <w:rPr>
          <w:rFonts w:ascii="Bookman Old Style" w:hAnsi="Bookman Old Style"/>
          <w:sz w:val="24"/>
          <w:szCs w:val="24"/>
        </w:rPr>
        <w:t>ketua</w:t>
      </w:r>
      <w:r w:rsidR="00A954D0">
        <w:rPr>
          <w:rFonts w:ascii="Bookman Old Style" w:hAnsi="Bookman Old Style"/>
          <w:sz w:val="24"/>
          <w:szCs w:val="24"/>
        </w:rPr>
        <w:t xml:space="preserve"> </w:t>
      </w:r>
      <w:r w:rsidRPr="00727324">
        <w:rPr>
          <w:rFonts w:ascii="Bookman Old Style" w:hAnsi="Bookman Old Style"/>
          <w:sz w:val="24"/>
          <w:szCs w:val="24"/>
        </w:rPr>
        <w:t>D</w:t>
      </w:r>
      <w:r w:rsidRPr="00727324">
        <w:rPr>
          <w:rFonts w:ascii="Bookman Old Style" w:hAnsi="Bookman Old Style"/>
          <w:sz w:val="24"/>
          <w:szCs w:val="24"/>
          <w:lang w:val="en-US"/>
        </w:rPr>
        <w:t>P</w:t>
      </w:r>
      <w:r w:rsidRPr="00727324">
        <w:rPr>
          <w:rFonts w:ascii="Bookman Old Style" w:hAnsi="Bookman Old Style"/>
          <w:sz w:val="24"/>
          <w:szCs w:val="24"/>
        </w:rPr>
        <w:t>RD</w:t>
      </w:r>
      <w:r w:rsidR="00A954D0">
        <w:rPr>
          <w:rFonts w:ascii="Bookman Old Style" w:hAnsi="Bookman Old Style"/>
          <w:sz w:val="24"/>
          <w:szCs w:val="24"/>
        </w:rPr>
        <w:t xml:space="preserve"> </w:t>
      </w:r>
      <w:r w:rsidRPr="00727324">
        <w:rPr>
          <w:rFonts w:ascii="Bookman Old Style" w:hAnsi="Bookman Old Style"/>
          <w:sz w:val="24"/>
          <w:szCs w:val="24"/>
        </w:rPr>
        <w:t>dan</w:t>
      </w:r>
      <w:r w:rsidR="00A954D0">
        <w:rPr>
          <w:rFonts w:ascii="Bookman Old Style" w:hAnsi="Bookman Old Style"/>
          <w:sz w:val="24"/>
          <w:szCs w:val="24"/>
        </w:rPr>
        <w:t xml:space="preserve"> </w:t>
      </w:r>
      <w:r w:rsidRPr="00727324">
        <w:rPr>
          <w:rFonts w:ascii="Bookman Old Style" w:hAnsi="Bookman Old Style"/>
          <w:sz w:val="24"/>
          <w:szCs w:val="24"/>
        </w:rPr>
        <w:t>wakil</w:t>
      </w:r>
      <w:r w:rsidR="00A954D0">
        <w:rPr>
          <w:rFonts w:ascii="Bookman Old Style" w:hAnsi="Bookman Old Style"/>
          <w:sz w:val="24"/>
          <w:szCs w:val="24"/>
        </w:rPr>
        <w:t xml:space="preserve"> </w:t>
      </w:r>
      <w:r w:rsidRPr="00727324">
        <w:rPr>
          <w:rFonts w:ascii="Bookman Old Style" w:hAnsi="Bookman Old Style"/>
          <w:sz w:val="24"/>
          <w:szCs w:val="24"/>
        </w:rPr>
        <w:t>ketua</w:t>
      </w:r>
      <w:r w:rsidR="00A954D0">
        <w:rPr>
          <w:rFonts w:ascii="Bookman Old Style" w:hAnsi="Bookman Old Style"/>
          <w:sz w:val="24"/>
          <w:szCs w:val="24"/>
        </w:rPr>
        <w:t xml:space="preserve"> </w:t>
      </w:r>
      <w:r w:rsidRPr="00727324">
        <w:rPr>
          <w:rFonts w:ascii="Bookman Old Style" w:hAnsi="Bookman Old Style"/>
          <w:sz w:val="24"/>
          <w:szCs w:val="24"/>
        </w:rPr>
        <w:lastRenderedPageBreak/>
        <w:t>DPRD</w:t>
      </w:r>
      <w:r w:rsidR="00A954D0">
        <w:rPr>
          <w:rFonts w:ascii="Bookman Old Style" w:hAnsi="Bookman Old Style"/>
          <w:sz w:val="24"/>
          <w:szCs w:val="24"/>
        </w:rPr>
        <w:t xml:space="preserve"> </w:t>
      </w:r>
      <w:r w:rsidRPr="00727324">
        <w:rPr>
          <w:rFonts w:ascii="Bookman Old Style" w:hAnsi="Bookman Old Style"/>
          <w:sz w:val="24"/>
          <w:szCs w:val="24"/>
        </w:rPr>
        <w:t>sehari-hari</w:t>
      </w:r>
      <w:r w:rsidR="00A954D0">
        <w:rPr>
          <w:rFonts w:ascii="Bookman Old Style" w:hAnsi="Bookman Old Style"/>
          <w:sz w:val="24"/>
          <w:szCs w:val="24"/>
          <w:lang w:val="en-US"/>
        </w:rPr>
        <w:t xml:space="preserve"> </w:t>
      </w:r>
      <w:r w:rsidRPr="00727324">
        <w:rPr>
          <w:rFonts w:ascii="Bookman Old Style" w:hAnsi="Bookman Old Style"/>
          <w:sz w:val="24"/>
          <w:szCs w:val="24"/>
        </w:rPr>
        <w:t>sesuai</w:t>
      </w:r>
      <w:r w:rsidR="00A954D0">
        <w:rPr>
          <w:rFonts w:ascii="Bookman Old Style" w:hAnsi="Bookman Old Style"/>
          <w:sz w:val="24"/>
          <w:szCs w:val="24"/>
        </w:rPr>
        <w:t xml:space="preserve"> </w:t>
      </w:r>
      <w:r w:rsidRPr="00727324">
        <w:rPr>
          <w:rFonts w:ascii="Bookman Old Style" w:hAnsi="Bookman Old Style"/>
          <w:sz w:val="24"/>
          <w:szCs w:val="24"/>
        </w:rPr>
        <w:t>dengan</w:t>
      </w:r>
      <w:r w:rsidR="00A954D0">
        <w:rPr>
          <w:rFonts w:ascii="Bookman Old Style" w:hAnsi="Bookman Old Style"/>
          <w:sz w:val="24"/>
          <w:szCs w:val="24"/>
        </w:rPr>
        <w:t xml:space="preserve"> </w:t>
      </w:r>
      <w:r w:rsidRPr="00727324">
        <w:rPr>
          <w:rFonts w:ascii="Bookman Old Style" w:hAnsi="Bookman Old Style"/>
          <w:sz w:val="24"/>
          <w:szCs w:val="24"/>
        </w:rPr>
        <w:t>kemampuan</w:t>
      </w:r>
      <w:r w:rsidR="00A954D0">
        <w:rPr>
          <w:rFonts w:ascii="Bookman Old Style" w:hAnsi="Bookman Old Style"/>
          <w:sz w:val="24"/>
          <w:szCs w:val="24"/>
        </w:rPr>
        <w:t xml:space="preserve"> </w:t>
      </w:r>
      <w:r w:rsidRPr="00727324">
        <w:rPr>
          <w:rFonts w:ascii="Bookman Old Style" w:hAnsi="Bookman Old Style"/>
          <w:sz w:val="24"/>
          <w:szCs w:val="24"/>
        </w:rPr>
        <w:t>keuangan</w:t>
      </w:r>
      <w:r w:rsidR="00A954D0">
        <w:rPr>
          <w:rFonts w:ascii="Bookman Old Style" w:hAnsi="Bookman Old Style"/>
          <w:sz w:val="24"/>
          <w:szCs w:val="24"/>
        </w:rPr>
        <w:t xml:space="preserve"> </w:t>
      </w:r>
      <w:r w:rsidRPr="00727324">
        <w:rPr>
          <w:rFonts w:ascii="Bookman Old Style" w:hAnsi="Bookman Old Style"/>
          <w:sz w:val="24"/>
          <w:szCs w:val="24"/>
        </w:rPr>
        <w:t>daerah</w:t>
      </w:r>
      <w:r w:rsidR="00A954D0">
        <w:rPr>
          <w:rFonts w:ascii="Bookman Old Style" w:hAnsi="Bookman Old Style"/>
          <w:sz w:val="24"/>
          <w:szCs w:val="24"/>
        </w:rPr>
        <w:t xml:space="preserve"> </w:t>
      </w:r>
      <w:r w:rsidRPr="00727324">
        <w:rPr>
          <w:rFonts w:ascii="Bookman Old Style" w:hAnsi="Bookman Old Style"/>
          <w:sz w:val="24"/>
          <w:szCs w:val="24"/>
        </w:rPr>
        <w:t>serta</w:t>
      </w:r>
      <w:r w:rsidR="00A954D0">
        <w:rPr>
          <w:rFonts w:ascii="Bookman Old Style" w:hAnsi="Bookman Old Style"/>
          <w:sz w:val="24"/>
          <w:szCs w:val="24"/>
        </w:rPr>
        <w:t xml:space="preserve"> </w:t>
      </w:r>
      <w:r w:rsidRPr="00727324">
        <w:rPr>
          <w:rFonts w:ascii="Bookman Old Style" w:hAnsi="Bookman Old Style"/>
          <w:sz w:val="24"/>
          <w:szCs w:val="24"/>
        </w:rPr>
        <w:t>tidak</w:t>
      </w:r>
      <w:r w:rsidR="00A954D0">
        <w:rPr>
          <w:rFonts w:ascii="Bookman Old Style" w:hAnsi="Bookman Old Style"/>
          <w:sz w:val="24"/>
          <w:szCs w:val="24"/>
        </w:rPr>
        <w:t xml:space="preserve"> </w:t>
      </w:r>
      <w:r w:rsidRPr="00727324">
        <w:rPr>
          <w:rFonts w:ascii="Bookman Old Style" w:hAnsi="Bookman Old Style"/>
          <w:sz w:val="24"/>
          <w:szCs w:val="24"/>
        </w:rPr>
        <w:t>digunakan</w:t>
      </w:r>
      <w:r w:rsidR="00A954D0">
        <w:rPr>
          <w:rFonts w:ascii="Bookman Old Style" w:hAnsi="Bookman Old Style"/>
          <w:sz w:val="24"/>
          <w:szCs w:val="24"/>
        </w:rPr>
        <w:t xml:space="preserve"> </w:t>
      </w:r>
      <w:r w:rsidRPr="00727324">
        <w:rPr>
          <w:rFonts w:ascii="Bookman Old Style" w:hAnsi="Bookman Old Style"/>
          <w:sz w:val="24"/>
          <w:szCs w:val="24"/>
        </w:rPr>
        <w:t>untuk</w:t>
      </w:r>
      <w:r w:rsidR="00A954D0">
        <w:rPr>
          <w:rFonts w:ascii="Bookman Old Style" w:hAnsi="Bookman Old Style"/>
          <w:sz w:val="24"/>
          <w:szCs w:val="24"/>
        </w:rPr>
        <w:t xml:space="preserve"> </w:t>
      </w:r>
      <w:r w:rsidRPr="00727324">
        <w:rPr>
          <w:rFonts w:ascii="Bookman Old Style" w:hAnsi="Bookman Old Style"/>
          <w:sz w:val="24"/>
          <w:szCs w:val="24"/>
        </w:rPr>
        <w:t>keperluan</w:t>
      </w:r>
      <w:r w:rsidR="00A954D0">
        <w:rPr>
          <w:rFonts w:ascii="Bookman Old Style" w:hAnsi="Bookman Old Style"/>
          <w:sz w:val="24"/>
          <w:szCs w:val="24"/>
        </w:rPr>
        <w:t xml:space="preserve"> </w:t>
      </w:r>
      <w:r w:rsidRPr="00727324">
        <w:rPr>
          <w:rFonts w:ascii="Bookman Old Style" w:hAnsi="Bookman Old Style"/>
          <w:sz w:val="24"/>
          <w:szCs w:val="24"/>
        </w:rPr>
        <w:t>pribadi,</w:t>
      </w:r>
      <w:r w:rsidR="00A954D0">
        <w:rPr>
          <w:rFonts w:ascii="Bookman Old Style" w:hAnsi="Bookman Old Style"/>
          <w:sz w:val="24"/>
          <w:szCs w:val="24"/>
        </w:rPr>
        <w:t xml:space="preserve"> </w:t>
      </w:r>
      <w:r w:rsidRPr="00727324">
        <w:rPr>
          <w:rFonts w:ascii="Bookman Old Style" w:hAnsi="Bookman Old Style"/>
          <w:sz w:val="24"/>
          <w:szCs w:val="24"/>
        </w:rPr>
        <w:t>kelompok,</w:t>
      </w:r>
      <w:r w:rsidR="00A954D0">
        <w:rPr>
          <w:rFonts w:ascii="Bookman Old Style" w:hAnsi="Bookman Old Style"/>
          <w:sz w:val="24"/>
          <w:szCs w:val="24"/>
        </w:rPr>
        <w:t xml:space="preserve"> </w:t>
      </w:r>
      <w:r w:rsidRPr="00727324">
        <w:rPr>
          <w:rFonts w:ascii="Bookman Old Style" w:hAnsi="Bookman Old Style"/>
          <w:sz w:val="24"/>
          <w:szCs w:val="24"/>
        </w:rPr>
        <w:t>dan/atau</w:t>
      </w:r>
      <w:r w:rsidR="00A954D0">
        <w:rPr>
          <w:rFonts w:ascii="Bookman Old Style" w:hAnsi="Bookman Old Style"/>
          <w:sz w:val="24"/>
          <w:szCs w:val="24"/>
        </w:rPr>
        <w:t xml:space="preserve"> </w:t>
      </w:r>
      <w:r w:rsidRPr="00727324">
        <w:rPr>
          <w:rFonts w:ascii="Bookman Old Style" w:hAnsi="Bookman Old Style"/>
          <w:sz w:val="24"/>
          <w:szCs w:val="24"/>
        </w:rPr>
        <w:t>golongan,</w:t>
      </w:r>
      <w:r w:rsidR="00A954D0">
        <w:rPr>
          <w:rFonts w:ascii="Bookman Old Style" w:hAnsi="Bookman Old Style"/>
          <w:sz w:val="24"/>
          <w:szCs w:val="24"/>
        </w:rPr>
        <w:t xml:space="preserve"> </w:t>
      </w:r>
      <w:r w:rsidRPr="00727324">
        <w:rPr>
          <w:rFonts w:ascii="Bookman Old Style" w:hAnsi="Bookman Old Style"/>
          <w:sz w:val="24"/>
          <w:szCs w:val="24"/>
        </w:rPr>
        <w:t>dan</w:t>
      </w:r>
      <w:r w:rsidR="00A954D0">
        <w:rPr>
          <w:rFonts w:ascii="Bookman Old Style" w:hAnsi="Bookman Old Style"/>
          <w:sz w:val="24"/>
          <w:szCs w:val="24"/>
        </w:rPr>
        <w:t xml:space="preserve"> </w:t>
      </w:r>
      <w:r w:rsidRPr="00727324">
        <w:rPr>
          <w:rFonts w:ascii="Bookman Old Style" w:hAnsi="Bookman Old Style"/>
          <w:sz w:val="24"/>
          <w:szCs w:val="24"/>
        </w:rPr>
        <w:t>penggunaannya</w:t>
      </w:r>
      <w:r w:rsidR="00A954D0">
        <w:rPr>
          <w:rFonts w:ascii="Bookman Old Style" w:hAnsi="Bookman Old Style"/>
          <w:sz w:val="24"/>
          <w:szCs w:val="24"/>
        </w:rPr>
        <w:t xml:space="preserve"> </w:t>
      </w:r>
      <w:r w:rsidRPr="00727324">
        <w:rPr>
          <w:rFonts w:ascii="Bookman Old Style" w:hAnsi="Bookman Old Style"/>
          <w:sz w:val="24"/>
          <w:szCs w:val="24"/>
        </w:rPr>
        <w:t>harus</w:t>
      </w:r>
      <w:r w:rsidR="00A954D0">
        <w:rPr>
          <w:rFonts w:ascii="Bookman Old Style" w:hAnsi="Bookman Old Style"/>
          <w:sz w:val="24"/>
          <w:szCs w:val="24"/>
        </w:rPr>
        <w:t xml:space="preserve"> </w:t>
      </w:r>
      <w:r w:rsidRPr="00727324">
        <w:rPr>
          <w:rFonts w:ascii="Bookman Old Style" w:hAnsi="Bookman Old Style"/>
          <w:sz w:val="24"/>
          <w:szCs w:val="24"/>
        </w:rPr>
        <w:t>memperhatikan</w:t>
      </w:r>
      <w:r w:rsidR="00A954D0">
        <w:rPr>
          <w:rFonts w:ascii="Bookman Old Style" w:hAnsi="Bookman Old Style"/>
          <w:sz w:val="24"/>
          <w:szCs w:val="24"/>
        </w:rPr>
        <w:t xml:space="preserve"> </w:t>
      </w:r>
      <w:r w:rsidRPr="00727324">
        <w:rPr>
          <w:rFonts w:ascii="Bookman Old Style" w:hAnsi="Bookman Old Style"/>
          <w:sz w:val="24"/>
          <w:szCs w:val="24"/>
        </w:rPr>
        <w:t>asas</w:t>
      </w:r>
      <w:r w:rsidR="00A954D0">
        <w:rPr>
          <w:rFonts w:ascii="Bookman Old Style" w:hAnsi="Bookman Old Style"/>
          <w:sz w:val="24"/>
          <w:szCs w:val="24"/>
        </w:rPr>
        <w:t xml:space="preserve"> </w:t>
      </w:r>
      <w:r w:rsidRPr="00727324">
        <w:rPr>
          <w:rFonts w:ascii="Bookman Old Style" w:hAnsi="Bookman Old Style"/>
          <w:sz w:val="24"/>
          <w:szCs w:val="24"/>
        </w:rPr>
        <w:t>manfaat,</w:t>
      </w:r>
      <w:r w:rsidR="00A954D0">
        <w:rPr>
          <w:rFonts w:ascii="Bookman Old Style" w:hAnsi="Bookman Old Style"/>
          <w:sz w:val="24"/>
          <w:szCs w:val="24"/>
        </w:rPr>
        <w:t xml:space="preserve"> </w:t>
      </w:r>
      <w:r w:rsidRPr="00727324">
        <w:rPr>
          <w:rFonts w:ascii="Bookman Old Style" w:hAnsi="Bookman Old Style"/>
          <w:sz w:val="24"/>
          <w:szCs w:val="24"/>
        </w:rPr>
        <w:t>efekti</w:t>
      </w:r>
      <w:r w:rsidRPr="00727324">
        <w:rPr>
          <w:rFonts w:ascii="Bookman Old Style" w:hAnsi="Bookman Old Style"/>
          <w:sz w:val="24"/>
          <w:szCs w:val="24"/>
          <w:lang w:val="en-US"/>
        </w:rPr>
        <w:t>v</w:t>
      </w:r>
      <w:r w:rsidRPr="00727324">
        <w:rPr>
          <w:rFonts w:ascii="Bookman Old Style" w:hAnsi="Bookman Old Style"/>
          <w:sz w:val="24"/>
          <w:szCs w:val="24"/>
        </w:rPr>
        <w:t>itas,</w:t>
      </w:r>
      <w:r w:rsidR="00A954D0">
        <w:rPr>
          <w:rFonts w:ascii="Bookman Old Style" w:hAnsi="Bookman Old Style"/>
          <w:sz w:val="24"/>
          <w:szCs w:val="24"/>
        </w:rPr>
        <w:t xml:space="preserve"> </w:t>
      </w:r>
      <w:r w:rsidRPr="00727324">
        <w:rPr>
          <w:rFonts w:ascii="Bookman Old Style" w:hAnsi="Bookman Old Style"/>
          <w:sz w:val="24"/>
          <w:szCs w:val="24"/>
        </w:rPr>
        <w:t>e</w:t>
      </w:r>
      <w:r w:rsidRPr="00727324">
        <w:rPr>
          <w:rFonts w:ascii="Bookman Old Style" w:hAnsi="Bookman Old Style"/>
          <w:sz w:val="24"/>
          <w:szCs w:val="24"/>
          <w:lang w:val="en-US"/>
        </w:rPr>
        <w:t>f</w:t>
      </w:r>
      <w:r w:rsidRPr="00727324">
        <w:rPr>
          <w:rFonts w:ascii="Bookman Old Style" w:hAnsi="Bookman Old Style"/>
          <w:sz w:val="24"/>
          <w:szCs w:val="24"/>
        </w:rPr>
        <w:t>isiensi,</w:t>
      </w:r>
      <w:r w:rsidR="00A954D0">
        <w:rPr>
          <w:rFonts w:ascii="Bookman Old Style" w:hAnsi="Bookman Old Style"/>
          <w:sz w:val="24"/>
          <w:szCs w:val="24"/>
        </w:rPr>
        <w:t xml:space="preserve"> </w:t>
      </w:r>
      <w:r w:rsidRPr="00727324">
        <w:rPr>
          <w:rFonts w:ascii="Bookman Old Style" w:hAnsi="Bookman Old Style"/>
          <w:sz w:val="24"/>
          <w:szCs w:val="24"/>
        </w:rPr>
        <w:t>dan</w:t>
      </w:r>
      <w:r w:rsidR="00A954D0">
        <w:rPr>
          <w:rFonts w:ascii="Bookman Old Style" w:hAnsi="Bookman Old Style"/>
          <w:sz w:val="24"/>
          <w:szCs w:val="24"/>
        </w:rPr>
        <w:t xml:space="preserve"> </w:t>
      </w:r>
      <w:r w:rsidRPr="00727324">
        <w:rPr>
          <w:rFonts w:ascii="Bookman Old Style" w:hAnsi="Bookman Old Style"/>
          <w:sz w:val="24"/>
          <w:szCs w:val="24"/>
        </w:rPr>
        <w:t>akuntabilitas</w:t>
      </w:r>
      <w:r w:rsidRPr="00727324">
        <w:rPr>
          <w:rFonts w:ascii="Bookman Old Style" w:hAnsi="Bookman Old Style"/>
          <w:sz w:val="24"/>
          <w:szCs w:val="24"/>
          <w:lang w:val="en-US"/>
        </w:rPr>
        <w:t>,</w:t>
      </w:r>
      <w:r w:rsidR="00A954D0">
        <w:rPr>
          <w:rFonts w:ascii="Bookman Old Style" w:hAnsi="Bookman Old Style"/>
          <w:sz w:val="24"/>
          <w:szCs w:val="24"/>
          <w:lang w:val="en-US"/>
        </w:rPr>
        <w:t xml:space="preserve"> </w:t>
      </w:r>
      <w:r w:rsidRPr="00727324">
        <w:rPr>
          <w:rFonts w:ascii="Bookman Old Style" w:hAnsi="Bookman Old Style"/>
          <w:sz w:val="24"/>
          <w:szCs w:val="24"/>
          <w:lang w:val="en-US"/>
        </w:rPr>
        <w:t>sebagaimana</w:t>
      </w:r>
      <w:r w:rsidR="00A954D0">
        <w:rPr>
          <w:rFonts w:ascii="Bookman Old Style" w:hAnsi="Bookman Old Style"/>
          <w:sz w:val="24"/>
          <w:szCs w:val="24"/>
          <w:lang w:val="en-US"/>
        </w:rPr>
        <w:t xml:space="preserve"> </w:t>
      </w:r>
      <w:r w:rsidRPr="00727324">
        <w:rPr>
          <w:rFonts w:ascii="Bookman Old Style" w:hAnsi="Bookman Old Style"/>
          <w:sz w:val="24"/>
          <w:szCs w:val="24"/>
          <w:lang w:val="en-US"/>
        </w:rPr>
        <w:t>maksud</w:t>
      </w:r>
      <w:r w:rsidR="00A954D0">
        <w:rPr>
          <w:rFonts w:ascii="Bookman Old Style" w:hAnsi="Bookman Old Style"/>
          <w:sz w:val="24"/>
          <w:szCs w:val="24"/>
        </w:rPr>
        <w:t xml:space="preserve"> </w:t>
      </w:r>
      <w:r w:rsidRPr="00727324">
        <w:rPr>
          <w:rFonts w:ascii="Bookman Old Style" w:hAnsi="Bookman Old Style"/>
          <w:sz w:val="24"/>
          <w:szCs w:val="24"/>
        </w:rPr>
        <w:t>Pasal</w:t>
      </w:r>
      <w:r w:rsidR="00A954D0">
        <w:rPr>
          <w:rFonts w:ascii="Bookman Old Style" w:hAnsi="Bookman Old Style"/>
          <w:sz w:val="24"/>
          <w:szCs w:val="24"/>
        </w:rPr>
        <w:t xml:space="preserve"> </w:t>
      </w:r>
      <w:r w:rsidRPr="00727324">
        <w:rPr>
          <w:rFonts w:ascii="Bookman Old Style" w:hAnsi="Bookman Old Style"/>
          <w:sz w:val="24"/>
          <w:szCs w:val="24"/>
          <w:lang w:val="en-US"/>
        </w:rPr>
        <w:t>22</w:t>
      </w:r>
      <w:r w:rsidR="00A954D0">
        <w:rPr>
          <w:rFonts w:ascii="Bookman Old Style" w:hAnsi="Bookman Old Style"/>
          <w:sz w:val="24"/>
          <w:szCs w:val="24"/>
        </w:rPr>
        <w:t xml:space="preserve"> </w:t>
      </w:r>
      <w:r w:rsidRPr="00727324">
        <w:rPr>
          <w:rFonts w:ascii="Bookman Old Style" w:hAnsi="Bookman Old Style"/>
          <w:sz w:val="24"/>
          <w:szCs w:val="24"/>
        </w:rPr>
        <w:t>Peraturan</w:t>
      </w:r>
      <w:r w:rsidR="00A954D0">
        <w:rPr>
          <w:rFonts w:ascii="Bookman Old Style" w:hAnsi="Bookman Old Style"/>
          <w:sz w:val="24"/>
          <w:szCs w:val="24"/>
        </w:rPr>
        <w:t xml:space="preserve"> </w:t>
      </w:r>
      <w:r w:rsidRPr="00727324">
        <w:rPr>
          <w:rFonts w:ascii="Bookman Old Style" w:hAnsi="Bookman Old Style"/>
          <w:sz w:val="24"/>
          <w:szCs w:val="24"/>
        </w:rPr>
        <w:t>Pemerintah</w:t>
      </w:r>
      <w:r w:rsidR="00A954D0">
        <w:rPr>
          <w:rFonts w:ascii="Bookman Old Style" w:hAnsi="Bookman Old Style"/>
          <w:sz w:val="24"/>
          <w:szCs w:val="24"/>
        </w:rPr>
        <w:t xml:space="preserve"> </w:t>
      </w:r>
      <w:r w:rsidRPr="00727324">
        <w:rPr>
          <w:rFonts w:ascii="Bookman Old Style" w:hAnsi="Bookman Old Style"/>
          <w:sz w:val="24"/>
          <w:szCs w:val="24"/>
        </w:rPr>
        <w:t>Nomor</w:t>
      </w:r>
      <w:r w:rsidR="00A954D0">
        <w:rPr>
          <w:rFonts w:ascii="Bookman Old Style" w:hAnsi="Bookman Old Style"/>
          <w:sz w:val="24"/>
          <w:szCs w:val="24"/>
        </w:rPr>
        <w:t xml:space="preserve"> </w:t>
      </w:r>
      <w:r w:rsidRPr="00727324">
        <w:rPr>
          <w:rFonts w:ascii="Bookman Old Style" w:hAnsi="Bookman Old Style"/>
          <w:sz w:val="24"/>
          <w:szCs w:val="24"/>
        </w:rPr>
        <w:t>18</w:t>
      </w:r>
      <w:r w:rsidR="00A954D0">
        <w:rPr>
          <w:rFonts w:ascii="Bookman Old Style" w:hAnsi="Bookman Old Style"/>
          <w:sz w:val="24"/>
          <w:szCs w:val="24"/>
        </w:rPr>
        <w:t xml:space="preserve"> </w:t>
      </w:r>
      <w:r w:rsidRPr="00727324">
        <w:rPr>
          <w:rFonts w:ascii="Bookman Old Style" w:hAnsi="Bookman Old Style"/>
          <w:sz w:val="24"/>
          <w:szCs w:val="24"/>
        </w:rPr>
        <w:t>Tahun</w:t>
      </w:r>
      <w:r w:rsidR="00A954D0">
        <w:rPr>
          <w:rFonts w:ascii="Bookman Old Style" w:hAnsi="Bookman Old Style"/>
          <w:sz w:val="24"/>
          <w:szCs w:val="24"/>
        </w:rPr>
        <w:t xml:space="preserve"> </w:t>
      </w:r>
      <w:r w:rsidRPr="00727324">
        <w:rPr>
          <w:rFonts w:ascii="Bookman Old Style" w:hAnsi="Bookman Old Style"/>
          <w:sz w:val="24"/>
          <w:szCs w:val="24"/>
        </w:rPr>
        <w:t>2017</w:t>
      </w:r>
      <w:r w:rsidR="00A954D0">
        <w:rPr>
          <w:rFonts w:ascii="Bookman Old Style" w:hAnsi="Bookman Old Style"/>
          <w:sz w:val="24"/>
          <w:szCs w:val="24"/>
        </w:rPr>
        <w:t xml:space="preserve"> </w:t>
      </w:r>
      <w:r w:rsidRPr="00727324">
        <w:rPr>
          <w:rFonts w:ascii="Bookman Old Style" w:hAnsi="Bookman Old Style"/>
          <w:sz w:val="24"/>
          <w:szCs w:val="24"/>
        </w:rPr>
        <w:t>sebagaimana</w:t>
      </w:r>
      <w:r w:rsidR="00A954D0">
        <w:rPr>
          <w:rFonts w:ascii="Bookman Old Style" w:hAnsi="Bookman Old Style"/>
          <w:sz w:val="24"/>
          <w:szCs w:val="24"/>
        </w:rPr>
        <w:t xml:space="preserve"> </w:t>
      </w:r>
      <w:r w:rsidRPr="00727324">
        <w:rPr>
          <w:rFonts w:ascii="Bookman Old Style" w:hAnsi="Bookman Old Style"/>
          <w:sz w:val="24"/>
          <w:szCs w:val="24"/>
        </w:rPr>
        <w:t>telah</w:t>
      </w:r>
      <w:r w:rsidR="00A954D0">
        <w:rPr>
          <w:rFonts w:ascii="Bookman Old Style" w:hAnsi="Bookman Old Style"/>
          <w:sz w:val="24"/>
          <w:szCs w:val="24"/>
        </w:rPr>
        <w:t xml:space="preserve"> </w:t>
      </w:r>
      <w:r w:rsidRPr="00727324">
        <w:rPr>
          <w:rFonts w:ascii="Bookman Old Style" w:hAnsi="Bookman Old Style"/>
          <w:sz w:val="24"/>
          <w:szCs w:val="24"/>
        </w:rPr>
        <w:t>diubah</w:t>
      </w:r>
      <w:r w:rsidR="00A954D0">
        <w:rPr>
          <w:rFonts w:ascii="Bookman Old Style" w:hAnsi="Bookman Old Style"/>
          <w:sz w:val="24"/>
          <w:szCs w:val="24"/>
        </w:rPr>
        <w:t xml:space="preserve"> </w:t>
      </w:r>
      <w:r w:rsidRPr="00727324">
        <w:rPr>
          <w:rFonts w:ascii="Bookman Old Style" w:hAnsi="Bookman Old Style"/>
          <w:sz w:val="24"/>
          <w:szCs w:val="24"/>
        </w:rPr>
        <w:t>dengan</w:t>
      </w:r>
      <w:r w:rsidR="00A954D0">
        <w:rPr>
          <w:rFonts w:ascii="Bookman Old Style" w:hAnsi="Bookman Old Style"/>
          <w:sz w:val="24"/>
          <w:szCs w:val="24"/>
        </w:rPr>
        <w:t xml:space="preserve"> </w:t>
      </w:r>
      <w:r w:rsidRPr="00727324">
        <w:rPr>
          <w:rFonts w:ascii="Bookman Old Style" w:hAnsi="Bookman Old Style"/>
          <w:sz w:val="24"/>
          <w:szCs w:val="24"/>
        </w:rPr>
        <w:t>Peraturan</w:t>
      </w:r>
      <w:r w:rsidR="00A954D0">
        <w:rPr>
          <w:rFonts w:ascii="Bookman Old Style" w:hAnsi="Bookman Old Style"/>
          <w:sz w:val="24"/>
          <w:szCs w:val="24"/>
        </w:rPr>
        <w:t xml:space="preserve"> </w:t>
      </w:r>
      <w:r w:rsidRPr="00727324">
        <w:rPr>
          <w:rFonts w:ascii="Bookman Old Style" w:hAnsi="Bookman Old Style"/>
          <w:sz w:val="24"/>
          <w:szCs w:val="24"/>
        </w:rPr>
        <w:t>Pemerintah</w:t>
      </w:r>
      <w:r w:rsidR="00A954D0">
        <w:rPr>
          <w:rFonts w:ascii="Bookman Old Style" w:hAnsi="Bookman Old Style"/>
          <w:sz w:val="24"/>
          <w:szCs w:val="24"/>
        </w:rPr>
        <w:t xml:space="preserve"> </w:t>
      </w:r>
      <w:r w:rsidRPr="00727324">
        <w:rPr>
          <w:rFonts w:ascii="Bookman Old Style" w:hAnsi="Bookman Old Style"/>
          <w:sz w:val="24"/>
          <w:szCs w:val="24"/>
        </w:rPr>
        <w:t>Nomor</w:t>
      </w:r>
      <w:r w:rsidR="00A954D0">
        <w:rPr>
          <w:rFonts w:ascii="Bookman Old Style" w:hAnsi="Bookman Old Style"/>
          <w:sz w:val="24"/>
          <w:szCs w:val="24"/>
        </w:rPr>
        <w:t xml:space="preserve"> </w:t>
      </w:r>
      <w:r w:rsidRPr="00727324">
        <w:rPr>
          <w:rFonts w:ascii="Bookman Old Style" w:hAnsi="Bookman Old Style"/>
          <w:sz w:val="24"/>
          <w:szCs w:val="24"/>
        </w:rPr>
        <w:t>1</w:t>
      </w:r>
      <w:r w:rsidR="00A954D0">
        <w:rPr>
          <w:rFonts w:ascii="Bookman Old Style" w:hAnsi="Bookman Old Style"/>
          <w:sz w:val="24"/>
          <w:szCs w:val="24"/>
        </w:rPr>
        <w:t xml:space="preserve"> </w:t>
      </w:r>
      <w:r w:rsidRPr="00727324">
        <w:rPr>
          <w:rFonts w:ascii="Bookman Old Style" w:hAnsi="Bookman Old Style"/>
          <w:sz w:val="24"/>
          <w:szCs w:val="24"/>
        </w:rPr>
        <w:t>Tahun</w:t>
      </w:r>
      <w:r w:rsidR="00A954D0">
        <w:rPr>
          <w:rFonts w:ascii="Bookman Old Style" w:hAnsi="Bookman Old Style"/>
          <w:sz w:val="24"/>
          <w:szCs w:val="24"/>
        </w:rPr>
        <w:t xml:space="preserve"> </w:t>
      </w:r>
      <w:r w:rsidRPr="00727324">
        <w:rPr>
          <w:rFonts w:ascii="Bookman Old Style" w:hAnsi="Bookman Old Style"/>
          <w:sz w:val="24"/>
          <w:szCs w:val="24"/>
        </w:rPr>
        <w:t>2023</w:t>
      </w:r>
      <w:r w:rsidR="00A954D0">
        <w:rPr>
          <w:rFonts w:ascii="Bookman Old Style" w:hAnsi="Bookman Old Style"/>
          <w:sz w:val="24"/>
          <w:szCs w:val="24"/>
        </w:rPr>
        <w:t xml:space="preserve"> </w:t>
      </w:r>
      <w:r w:rsidRPr="00727324">
        <w:rPr>
          <w:rFonts w:ascii="Bookman Old Style" w:hAnsi="Bookman Old Style"/>
          <w:sz w:val="24"/>
          <w:szCs w:val="24"/>
        </w:rPr>
        <w:t>dan</w:t>
      </w:r>
      <w:r w:rsidR="00A954D0">
        <w:rPr>
          <w:rFonts w:ascii="Bookman Old Style" w:hAnsi="Bookman Old Style"/>
          <w:sz w:val="24"/>
          <w:szCs w:val="24"/>
        </w:rPr>
        <w:t xml:space="preserve"> </w:t>
      </w:r>
      <w:r w:rsidRPr="00727324">
        <w:rPr>
          <w:rFonts w:ascii="Bookman Old Style" w:hAnsi="Bookman Old Style"/>
          <w:sz w:val="24"/>
          <w:szCs w:val="24"/>
        </w:rPr>
        <w:t>Pasal</w:t>
      </w:r>
      <w:r w:rsidR="00A954D0">
        <w:rPr>
          <w:rFonts w:ascii="Bookman Old Style" w:hAnsi="Bookman Old Style"/>
          <w:sz w:val="24"/>
          <w:szCs w:val="24"/>
        </w:rPr>
        <w:t xml:space="preserve"> </w:t>
      </w:r>
      <w:r w:rsidRPr="00727324">
        <w:rPr>
          <w:rFonts w:ascii="Bookman Old Style" w:hAnsi="Bookman Old Style"/>
          <w:sz w:val="24"/>
          <w:szCs w:val="24"/>
          <w:lang w:val="en-US"/>
        </w:rPr>
        <w:t>8</w:t>
      </w:r>
      <w:r w:rsidR="00A954D0">
        <w:rPr>
          <w:rFonts w:ascii="Bookman Old Style" w:hAnsi="Bookman Old Style"/>
          <w:sz w:val="24"/>
          <w:szCs w:val="24"/>
        </w:rPr>
        <w:t xml:space="preserve"> </w:t>
      </w:r>
      <w:r w:rsidRPr="00727324">
        <w:rPr>
          <w:rFonts w:ascii="Bookman Old Style" w:hAnsi="Bookman Old Style" w:cs="Tahoma"/>
          <w:sz w:val="24"/>
          <w:szCs w:val="24"/>
        </w:rPr>
        <w:t>Peraturan</w:t>
      </w:r>
      <w:r w:rsidR="00A954D0">
        <w:rPr>
          <w:rFonts w:ascii="Bookman Old Style" w:hAnsi="Bookman Old Style" w:cs="Tahoma"/>
          <w:sz w:val="24"/>
          <w:szCs w:val="24"/>
        </w:rPr>
        <w:t xml:space="preserve"> </w:t>
      </w:r>
      <w:r w:rsidRPr="00727324">
        <w:rPr>
          <w:rFonts w:ascii="Bookman Old Style" w:hAnsi="Bookman Old Style" w:cs="Tahoma"/>
          <w:sz w:val="24"/>
          <w:szCs w:val="24"/>
        </w:rPr>
        <w:t>Menteri</w:t>
      </w:r>
      <w:r w:rsidR="00A954D0">
        <w:rPr>
          <w:rFonts w:ascii="Bookman Old Style" w:hAnsi="Bookman Old Style" w:cs="Tahoma"/>
          <w:sz w:val="24"/>
          <w:szCs w:val="24"/>
        </w:rPr>
        <w:t xml:space="preserve"> </w:t>
      </w:r>
      <w:r w:rsidRPr="00727324">
        <w:rPr>
          <w:rFonts w:ascii="Bookman Old Style" w:hAnsi="Bookman Old Style" w:cs="Tahoma"/>
          <w:sz w:val="24"/>
          <w:szCs w:val="24"/>
        </w:rPr>
        <w:t>Dalam</w:t>
      </w:r>
      <w:r w:rsidR="00A954D0">
        <w:rPr>
          <w:rFonts w:ascii="Bookman Old Style" w:hAnsi="Bookman Old Style" w:cs="Tahoma"/>
          <w:sz w:val="24"/>
          <w:szCs w:val="24"/>
        </w:rPr>
        <w:t xml:space="preserve"> </w:t>
      </w:r>
      <w:r w:rsidRPr="00727324">
        <w:rPr>
          <w:rFonts w:ascii="Bookman Old Style" w:hAnsi="Bookman Old Style" w:cs="Tahoma"/>
          <w:sz w:val="24"/>
          <w:szCs w:val="24"/>
        </w:rPr>
        <w:t>Negeri</w:t>
      </w:r>
      <w:r w:rsidR="00A954D0">
        <w:rPr>
          <w:rFonts w:ascii="Bookman Old Style" w:hAnsi="Bookman Old Style" w:cs="Tahoma"/>
          <w:sz w:val="24"/>
          <w:szCs w:val="24"/>
        </w:rPr>
        <w:t xml:space="preserve"> </w:t>
      </w:r>
      <w:r w:rsidRPr="00727324">
        <w:rPr>
          <w:rFonts w:ascii="Bookman Old Style" w:hAnsi="Bookman Old Style" w:cs="Tahoma"/>
          <w:sz w:val="24"/>
          <w:szCs w:val="24"/>
        </w:rPr>
        <w:t>Nomor</w:t>
      </w:r>
      <w:r w:rsidR="00A954D0">
        <w:rPr>
          <w:rFonts w:ascii="Bookman Old Style" w:hAnsi="Bookman Old Style" w:cs="Tahoma"/>
          <w:sz w:val="24"/>
          <w:szCs w:val="24"/>
        </w:rPr>
        <w:t xml:space="preserve"> </w:t>
      </w:r>
      <w:r w:rsidRPr="00727324">
        <w:rPr>
          <w:rFonts w:ascii="Bookman Old Style" w:hAnsi="Bookman Old Style" w:cs="Tahoma"/>
          <w:sz w:val="24"/>
          <w:szCs w:val="24"/>
        </w:rPr>
        <w:t>62</w:t>
      </w:r>
      <w:r w:rsidR="00A954D0">
        <w:rPr>
          <w:rFonts w:ascii="Bookman Old Style" w:hAnsi="Bookman Old Style" w:cs="Tahoma"/>
          <w:sz w:val="24"/>
          <w:szCs w:val="24"/>
        </w:rPr>
        <w:t xml:space="preserve"> </w:t>
      </w:r>
      <w:r w:rsidRPr="00727324">
        <w:rPr>
          <w:rFonts w:ascii="Bookman Old Style" w:hAnsi="Bookman Old Style" w:cs="Tahoma"/>
          <w:sz w:val="24"/>
          <w:szCs w:val="24"/>
        </w:rPr>
        <w:t>Tahun</w:t>
      </w:r>
      <w:r w:rsidR="00A954D0">
        <w:rPr>
          <w:rFonts w:ascii="Bookman Old Style" w:hAnsi="Bookman Old Style" w:cs="Tahoma"/>
          <w:sz w:val="24"/>
          <w:szCs w:val="24"/>
        </w:rPr>
        <w:t xml:space="preserve"> </w:t>
      </w:r>
      <w:r w:rsidRPr="00727324">
        <w:rPr>
          <w:rFonts w:ascii="Bookman Old Style" w:hAnsi="Bookman Old Style" w:cs="Tahoma"/>
          <w:sz w:val="24"/>
          <w:szCs w:val="24"/>
        </w:rPr>
        <w:t>2017.</w:t>
      </w:r>
    </w:p>
    <w:p w14:paraId="2A37CC47" w14:textId="39CC929F" w:rsidR="005A4806" w:rsidRPr="00727324" w:rsidRDefault="005A4806" w:rsidP="00F639B5">
      <w:pPr>
        <w:pStyle w:val="ListParagraph"/>
        <w:numPr>
          <w:ilvl w:val="0"/>
          <w:numId w:val="13"/>
        </w:numPr>
        <w:spacing w:before="60" w:after="0" w:line="276" w:lineRule="auto"/>
        <w:ind w:left="2268" w:hanging="567"/>
        <w:contextualSpacing w:val="0"/>
        <w:jc w:val="both"/>
        <w:rPr>
          <w:rFonts w:ascii="Bookman Old Style" w:hAnsi="Bookman Old Style" w:cs="Arial"/>
          <w:sz w:val="24"/>
          <w:szCs w:val="24"/>
        </w:rPr>
      </w:pPr>
      <w:r w:rsidRPr="008C224E">
        <w:rPr>
          <w:rFonts w:ascii="Bookman Old Style" w:hAnsi="Bookman Old Style" w:cs="Gill Sans Light (Arabid)"/>
          <w:bCs/>
          <w:color w:val="000000" w:themeColor="text1"/>
          <w:sz w:val="24"/>
          <w:szCs w:val="24"/>
          <w:lang w:eastAsia="id-ID"/>
        </w:rPr>
        <w:t>Belanja</w:t>
      </w:r>
      <w:r w:rsidR="00A954D0">
        <w:rPr>
          <w:rFonts w:ascii="Bookman Old Style" w:hAnsi="Bookman Old Style"/>
          <w:sz w:val="24"/>
          <w:szCs w:val="24"/>
        </w:rPr>
        <w:t xml:space="preserve"> </w:t>
      </w:r>
      <w:r w:rsidRPr="00727324">
        <w:rPr>
          <w:rFonts w:ascii="Bookman Old Style" w:hAnsi="Bookman Old Style" w:cs="Arial"/>
          <w:sz w:val="24"/>
          <w:szCs w:val="24"/>
        </w:rPr>
        <w:t>Penerimaan</w:t>
      </w:r>
      <w:r w:rsidR="00A954D0">
        <w:rPr>
          <w:rFonts w:ascii="Bookman Old Style" w:hAnsi="Bookman Old Style"/>
          <w:sz w:val="24"/>
          <w:szCs w:val="24"/>
        </w:rPr>
        <w:t xml:space="preserve"> </w:t>
      </w:r>
      <w:r w:rsidRPr="00727324">
        <w:rPr>
          <w:rFonts w:ascii="Bookman Old Style" w:hAnsi="Bookman Old Style"/>
          <w:sz w:val="24"/>
          <w:szCs w:val="24"/>
        </w:rPr>
        <w:t>Lainnya</w:t>
      </w:r>
      <w:r w:rsidR="00A954D0">
        <w:rPr>
          <w:rFonts w:ascii="Bookman Old Style" w:hAnsi="Bookman Old Style"/>
          <w:sz w:val="24"/>
          <w:szCs w:val="24"/>
        </w:rPr>
        <w:t xml:space="preserve"> </w:t>
      </w:r>
      <w:r w:rsidRPr="00727324">
        <w:rPr>
          <w:rFonts w:ascii="Bookman Old Style" w:hAnsi="Bookman Old Style"/>
          <w:sz w:val="24"/>
          <w:szCs w:val="24"/>
        </w:rPr>
        <w:t>Kepala</w:t>
      </w:r>
      <w:r w:rsidR="00A954D0">
        <w:rPr>
          <w:rFonts w:ascii="Bookman Old Style" w:hAnsi="Bookman Old Style"/>
          <w:sz w:val="24"/>
          <w:szCs w:val="24"/>
        </w:rPr>
        <w:t xml:space="preserve"> </w:t>
      </w:r>
      <w:r w:rsidRPr="00727324">
        <w:rPr>
          <w:rFonts w:ascii="Bookman Old Style" w:hAnsi="Bookman Old Style"/>
          <w:sz w:val="24"/>
          <w:szCs w:val="24"/>
        </w:rPr>
        <w:t>Daerah</w:t>
      </w:r>
      <w:r w:rsidR="00A954D0">
        <w:rPr>
          <w:rFonts w:ascii="Bookman Old Style" w:hAnsi="Bookman Old Style"/>
          <w:sz w:val="24"/>
          <w:szCs w:val="24"/>
        </w:rPr>
        <w:t xml:space="preserve"> </w:t>
      </w:r>
      <w:r w:rsidRPr="00727324">
        <w:rPr>
          <w:rFonts w:ascii="Bookman Old Style" w:hAnsi="Bookman Old Style"/>
          <w:sz w:val="24"/>
          <w:szCs w:val="24"/>
        </w:rPr>
        <w:t>dan</w:t>
      </w:r>
      <w:r w:rsidR="00A954D0">
        <w:rPr>
          <w:rFonts w:ascii="Bookman Old Style" w:hAnsi="Bookman Old Style"/>
          <w:sz w:val="24"/>
          <w:szCs w:val="24"/>
        </w:rPr>
        <w:t xml:space="preserve"> </w:t>
      </w:r>
      <w:r w:rsidRPr="00727324">
        <w:rPr>
          <w:rFonts w:ascii="Bookman Old Style" w:hAnsi="Bookman Old Style"/>
          <w:sz w:val="24"/>
          <w:szCs w:val="24"/>
        </w:rPr>
        <w:t>Wakil</w:t>
      </w:r>
      <w:r w:rsidR="00A954D0">
        <w:rPr>
          <w:rFonts w:ascii="Bookman Old Style" w:hAnsi="Bookman Old Style"/>
          <w:sz w:val="24"/>
          <w:szCs w:val="24"/>
        </w:rPr>
        <w:t xml:space="preserve"> </w:t>
      </w:r>
      <w:r w:rsidRPr="00727324">
        <w:rPr>
          <w:rFonts w:ascii="Bookman Old Style" w:hAnsi="Bookman Old Style"/>
          <w:sz w:val="24"/>
          <w:szCs w:val="24"/>
        </w:rPr>
        <w:t>Kepala</w:t>
      </w:r>
      <w:r w:rsidR="00A954D0">
        <w:rPr>
          <w:rFonts w:ascii="Bookman Old Style" w:hAnsi="Bookman Old Style"/>
          <w:sz w:val="24"/>
          <w:szCs w:val="24"/>
        </w:rPr>
        <w:t xml:space="preserve"> </w:t>
      </w:r>
      <w:r w:rsidRPr="00727324">
        <w:rPr>
          <w:rFonts w:ascii="Bookman Old Style" w:hAnsi="Bookman Old Style"/>
          <w:sz w:val="24"/>
          <w:szCs w:val="24"/>
        </w:rPr>
        <w:t>Daerah</w:t>
      </w:r>
      <w:r w:rsidR="00A954D0">
        <w:rPr>
          <w:rFonts w:ascii="Bookman Old Style" w:hAnsi="Bookman Old Style"/>
          <w:sz w:val="24"/>
          <w:szCs w:val="24"/>
        </w:rPr>
        <w:t xml:space="preserve"> </w:t>
      </w:r>
    </w:p>
    <w:p w14:paraId="39A47B10" w14:textId="7884F09E" w:rsidR="005A4806" w:rsidRDefault="005A4806" w:rsidP="00F639B5">
      <w:pPr>
        <w:pStyle w:val="ListParagraph"/>
        <w:spacing w:before="60" w:after="0" w:line="276" w:lineRule="auto"/>
        <w:ind w:left="2268"/>
        <w:contextualSpacing w:val="0"/>
        <w:jc w:val="both"/>
        <w:rPr>
          <w:rFonts w:ascii="Bookman Old Style" w:hAnsi="Bookman Old Style" w:cs="Arial"/>
          <w:sz w:val="24"/>
          <w:szCs w:val="24"/>
          <w:lang w:val="en-US"/>
        </w:rPr>
      </w:pPr>
      <w:r w:rsidRPr="00727324">
        <w:rPr>
          <w:rFonts w:ascii="Bookman Old Style" w:hAnsi="Bookman Old Style"/>
          <w:sz w:val="24"/>
          <w:szCs w:val="24"/>
        </w:rPr>
        <w:t>Penyediaan</w:t>
      </w:r>
      <w:r w:rsidR="00A954D0">
        <w:rPr>
          <w:rFonts w:ascii="Bookman Old Style" w:hAnsi="Bookman Old Style"/>
          <w:sz w:val="24"/>
          <w:szCs w:val="24"/>
        </w:rPr>
        <w:t xml:space="preserve"> </w:t>
      </w:r>
      <w:r w:rsidRPr="00727324">
        <w:rPr>
          <w:rFonts w:ascii="Bookman Old Style" w:hAnsi="Bookman Old Style"/>
          <w:sz w:val="24"/>
          <w:szCs w:val="24"/>
        </w:rPr>
        <w:t>anggaran</w:t>
      </w:r>
      <w:r w:rsidR="00A954D0">
        <w:rPr>
          <w:rFonts w:ascii="Bookman Old Style" w:hAnsi="Bookman Old Style"/>
          <w:sz w:val="24"/>
          <w:szCs w:val="24"/>
        </w:rPr>
        <w:t xml:space="preserve"> </w:t>
      </w:r>
      <w:r w:rsidRPr="00727324">
        <w:rPr>
          <w:rFonts w:ascii="Bookman Old Style" w:hAnsi="Bookman Old Style"/>
          <w:sz w:val="24"/>
          <w:szCs w:val="24"/>
        </w:rPr>
        <w:t>Belanja</w:t>
      </w:r>
      <w:r w:rsidR="00A954D0">
        <w:rPr>
          <w:rFonts w:ascii="Bookman Old Style" w:hAnsi="Bookman Old Style"/>
          <w:sz w:val="24"/>
          <w:szCs w:val="24"/>
        </w:rPr>
        <w:t xml:space="preserve"> </w:t>
      </w:r>
      <w:r w:rsidRPr="00727324">
        <w:rPr>
          <w:rFonts w:ascii="Bookman Old Style" w:hAnsi="Bookman Old Style"/>
          <w:sz w:val="24"/>
          <w:szCs w:val="24"/>
        </w:rPr>
        <w:t>Dana</w:t>
      </w:r>
      <w:r w:rsidR="00A954D0">
        <w:rPr>
          <w:rFonts w:ascii="Bookman Old Style" w:hAnsi="Bookman Old Style"/>
          <w:sz w:val="24"/>
          <w:szCs w:val="24"/>
        </w:rPr>
        <w:t xml:space="preserve"> </w:t>
      </w:r>
      <w:r w:rsidRPr="00727324">
        <w:rPr>
          <w:rFonts w:ascii="Bookman Old Style" w:hAnsi="Bookman Old Style"/>
          <w:sz w:val="24"/>
          <w:szCs w:val="24"/>
        </w:rPr>
        <w:t>Operasional</w:t>
      </w:r>
      <w:r w:rsidR="00A954D0">
        <w:rPr>
          <w:rFonts w:ascii="Bookman Old Style" w:hAnsi="Bookman Old Style"/>
          <w:sz w:val="24"/>
          <w:szCs w:val="24"/>
        </w:rPr>
        <w:t xml:space="preserve"> </w:t>
      </w:r>
      <w:r w:rsidRPr="00727324">
        <w:rPr>
          <w:rFonts w:ascii="Bookman Old Style" w:hAnsi="Bookman Old Style"/>
          <w:sz w:val="24"/>
          <w:szCs w:val="24"/>
        </w:rPr>
        <w:t>KDH/WKDH</w:t>
      </w:r>
      <w:r w:rsidR="00A954D0">
        <w:rPr>
          <w:rFonts w:ascii="Bookman Old Style" w:hAnsi="Bookman Old Style"/>
          <w:sz w:val="24"/>
          <w:szCs w:val="24"/>
        </w:rPr>
        <w:t xml:space="preserve"> </w:t>
      </w:r>
      <w:bookmarkStart w:id="26" w:name="_Hlk150331518"/>
      <w:r w:rsidRPr="00727324">
        <w:rPr>
          <w:rFonts w:ascii="Bookman Old Style" w:hAnsi="Bookman Old Style"/>
          <w:sz w:val="24"/>
          <w:szCs w:val="24"/>
          <w:lang w:val="en-US"/>
        </w:rPr>
        <w:t>Rp</w:t>
      </w:r>
      <w:bookmarkEnd w:id="26"/>
      <w:r w:rsidRPr="008E5F9A">
        <w:rPr>
          <w:rFonts w:ascii="Bookman Old Style" w:hAnsi="Bookman Old Style"/>
          <w:sz w:val="24"/>
          <w:szCs w:val="24"/>
          <w:lang w:val="en-US"/>
        </w:rPr>
        <w:t>3</w:t>
      </w:r>
      <w:r>
        <w:rPr>
          <w:rFonts w:ascii="Bookman Old Style" w:hAnsi="Bookman Old Style"/>
          <w:sz w:val="24"/>
          <w:szCs w:val="24"/>
          <w:lang w:val="en-US"/>
        </w:rPr>
        <w:t>.</w:t>
      </w:r>
      <w:r w:rsidRPr="008E5F9A">
        <w:rPr>
          <w:rFonts w:ascii="Bookman Old Style" w:hAnsi="Bookman Old Style"/>
          <w:sz w:val="24"/>
          <w:szCs w:val="24"/>
          <w:lang w:val="en-US"/>
        </w:rPr>
        <w:t>683</w:t>
      </w:r>
      <w:r>
        <w:rPr>
          <w:rFonts w:ascii="Bookman Old Style" w:hAnsi="Bookman Old Style"/>
          <w:sz w:val="24"/>
          <w:szCs w:val="24"/>
          <w:lang w:val="en-US"/>
        </w:rPr>
        <w:t>.</w:t>
      </w:r>
      <w:r w:rsidRPr="008E5F9A">
        <w:rPr>
          <w:rFonts w:ascii="Bookman Old Style" w:hAnsi="Bookman Old Style"/>
          <w:sz w:val="24"/>
          <w:szCs w:val="24"/>
          <w:lang w:val="en-US"/>
        </w:rPr>
        <w:t>765</w:t>
      </w:r>
      <w:r>
        <w:rPr>
          <w:rFonts w:ascii="Bookman Old Style" w:hAnsi="Bookman Old Style"/>
          <w:sz w:val="24"/>
          <w:szCs w:val="24"/>
          <w:lang w:val="en-US"/>
        </w:rPr>
        <w:t>.</w:t>
      </w:r>
      <w:r w:rsidRPr="008E5F9A">
        <w:rPr>
          <w:rFonts w:ascii="Bookman Old Style" w:hAnsi="Bookman Old Style"/>
          <w:sz w:val="24"/>
          <w:szCs w:val="24"/>
          <w:lang w:val="en-US"/>
        </w:rPr>
        <w:t>491</w:t>
      </w:r>
      <w:r w:rsidRPr="00727324">
        <w:rPr>
          <w:rFonts w:ascii="Bookman Old Style" w:hAnsi="Bookman Old Style"/>
          <w:sz w:val="24"/>
          <w:szCs w:val="24"/>
          <w:lang w:val="en-US"/>
        </w:rPr>
        <w:t>,00</w:t>
      </w:r>
      <w:r w:rsidR="00A954D0">
        <w:rPr>
          <w:rFonts w:ascii="Bookman Old Style" w:hAnsi="Bookman Old Style"/>
          <w:sz w:val="24"/>
          <w:szCs w:val="24"/>
          <w:lang w:val="en-US"/>
        </w:rPr>
        <w:t xml:space="preserve"> </w:t>
      </w:r>
      <w:r w:rsidRPr="00727324">
        <w:rPr>
          <w:rFonts w:ascii="Bookman Old Style" w:hAnsi="Bookman Old Style"/>
          <w:sz w:val="24"/>
          <w:szCs w:val="24"/>
        </w:rPr>
        <w:t>atau</w:t>
      </w:r>
      <w:r w:rsidR="00A954D0">
        <w:rPr>
          <w:rFonts w:ascii="Bookman Old Style" w:hAnsi="Bookman Old Style"/>
          <w:sz w:val="24"/>
          <w:szCs w:val="24"/>
        </w:rPr>
        <w:t xml:space="preserve"> </w:t>
      </w:r>
      <w:r w:rsidRPr="00727324">
        <w:rPr>
          <w:rFonts w:ascii="Bookman Old Style" w:hAnsi="Bookman Old Style"/>
          <w:sz w:val="24"/>
          <w:szCs w:val="24"/>
          <w:lang w:val="en-US"/>
        </w:rPr>
        <w:t>0,0</w:t>
      </w:r>
      <w:r>
        <w:rPr>
          <w:rFonts w:ascii="Bookman Old Style" w:hAnsi="Bookman Old Style"/>
          <w:sz w:val="24"/>
          <w:szCs w:val="24"/>
          <w:lang w:val="en-US"/>
        </w:rPr>
        <w:t>6</w:t>
      </w:r>
      <w:r w:rsidRPr="00727324">
        <w:rPr>
          <w:rFonts w:ascii="Bookman Old Style" w:hAnsi="Bookman Old Style"/>
          <w:sz w:val="24"/>
          <w:szCs w:val="24"/>
          <w:lang w:val="en-US"/>
        </w:rPr>
        <w:t>%</w:t>
      </w:r>
      <w:r w:rsidR="00A954D0">
        <w:rPr>
          <w:rFonts w:ascii="Bookman Old Style" w:hAnsi="Bookman Old Style"/>
          <w:sz w:val="24"/>
          <w:szCs w:val="24"/>
        </w:rPr>
        <w:t xml:space="preserve"> </w:t>
      </w:r>
      <w:r w:rsidRPr="00727324">
        <w:rPr>
          <w:rFonts w:ascii="Bookman Old Style" w:hAnsi="Bookman Old Style"/>
          <w:sz w:val="24"/>
          <w:szCs w:val="24"/>
        </w:rPr>
        <w:t>dari</w:t>
      </w:r>
      <w:r w:rsidR="00A954D0">
        <w:rPr>
          <w:rFonts w:ascii="Bookman Old Style" w:hAnsi="Bookman Old Style"/>
          <w:sz w:val="24"/>
          <w:szCs w:val="24"/>
        </w:rPr>
        <w:t xml:space="preserve"> </w:t>
      </w:r>
      <w:r w:rsidRPr="00727324">
        <w:rPr>
          <w:rFonts w:ascii="Bookman Old Style" w:hAnsi="Bookman Old Style"/>
          <w:sz w:val="24"/>
          <w:szCs w:val="24"/>
        </w:rPr>
        <w:t>total</w:t>
      </w:r>
      <w:r w:rsidR="00A954D0">
        <w:rPr>
          <w:rFonts w:ascii="Bookman Old Style" w:hAnsi="Bookman Old Style"/>
          <w:sz w:val="24"/>
          <w:szCs w:val="24"/>
        </w:rPr>
        <w:t xml:space="preserve"> </w:t>
      </w:r>
      <w:r w:rsidRPr="00727324">
        <w:rPr>
          <w:rFonts w:ascii="Bookman Old Style" w:hAnsi="Bookman Old Style"/>
          <w:sz w:val="24"/>
          <w:szCs w:val="24"/>
        </w:rPr>
        <w:t>belanja</w:t>
      </w:r>
      <w:r w:rsidR="00A954D0">
        <w:rPr>
          <w:rFonts w:ascii="Bookman Old Style" w:hAnsi="Bookman Old Style"/>
          <w:sz w:val="24"/>
          <w:szCs w:val="24"/>
        </w:rPr>
        <w:t xml:space="preserve"> </w:t>
      </w:r>
      <w:r w:rsidRPr="00727324">
        <w:rPr>
          <w:rFonts w:ascii="Bookman Old Style" w:hAnsi="Bookman Old Style"/>
          <w:sz w:val="24"/>
          <w:szCs w:val="24"/>
        </w:rPr>
        <w:t>daerah</w:t>
      </w:r>
      <w:r w:rsidRPr="00727324">
        <w:rPr>
          <w:rFonts w:ascii="Bookman Old Style" w:hAnsi="Bookman Old Style" w:cs="Arial"/>
          <w:sz w:val="24"/>
          <w:szCs w:val="24"/>
        </w:rPr>
        <w:t>,</w:t>
      </w:r>
      <w:r w:rsidR="00A954D0">
        <w:rPr>
          <w:rFonts w:ascii="Bookman Old Style" w:hAnsi="Bookman Old Style" w:cs="Arial"/>
          <w:sz w:val="24"/>
          <w:szCs w:val="24"/>
          <w:lang w:val="id-ID"/>
        </w:rPr>
        <w:t xml:space="preserve"> </w:t>
      </w:r>
      <w:r w:rsidRPr="00727324">
        <w:rPr>
          <w:rFonts w:ascii="Bookman Old Style" w:hAnsi="Bookman Old Style"/>
          <w:sz w:val="24"/>
          <w:szCs w:val="24"/>
        </w:rPr>
        <w:t>dianggarkan</w:t>
      </w:r>
      <w:r w:rsidR="00A954D0">
        <w:rPr>
          <w:rFonts w:ascii="Bookman Old Style" w:hAnsi="Bookman Old Style"/>
          <w:sz w:val="24"/>
          <w:szCs w:val="24"/>
        </w:rPr>
        <w:t xml:space="preserve"> </w:t>
      </w:r>
      <w:r w:rsidRPr="00727324">
        <w:rPr>
          <w:rFonts w:ascii="Bookman Old Style" w:hAnsi="Bookman Old Style"/>
          <w:sz w:val="24"/>
          <w:szCs w:val="24"/>
        </w:rPr>
        <w:t>dalam</w:t>
      </w:r>
      <w:r w:rsidR="00A954D0">
        <w:rPr>
          <w:rFonts w:ascii="Bookman Old Style" w:hAnsi="Bookman Old Style"/>
          <w:sz w:val="24"/>
          <w:szCs w:val="24"/>
        </w:rPr>
        <w:t xml:space="preserve"> </w:t>
      </w:r>
      <w:r w:rsidRPr="00727324">
        <w:rPr>
          <w:rFonts w:ascii="Bookman Old Style" w:hAnsi="Bookman Old Style"/>
          <w:sz w:val="24"/>
          <w:szCs w:val="24"/>
        </w:rPr>
        <w:t>Rancangan</w:t>
      </w:r>
      <w:r w:rsidR="00A954D0">
        <w:rPr>
          <w:rFonts w:ascii="Bookman Old Style" w:hAnsi="Bookman Old Style"/>
          <w:sz w:val="24"/>
          <w:szCs w:val="24"/>
        </w:rPr>
        <w:t xml:space="preserve"> </w:t>
      </w:r>
      <w:r w:rsidRPr="00727324">
        <w:rPr>
          <w:rFonts w:ascii="Bookman Old Style" w:hAnsi="Bookman Old Style"/>
          <w:sz w:val="24"/>
          <w:szCs w:val="24"/>
        </w:rPr>
        <w:t>Peraturan</w:t>
      </w:r>
      <w:r w:rsidR="00A954D0">
        <w:rPr>
          <w:rFonts w:ascii="Bookman Old Style" w:hAnsi="Bookman Old Style"/>
          <w:sz w:val="24"/>
          <w:szCs w:val="24"/>
        </w:rPr>
        <w:t xml:space="preserve"> </w:t>
      </w:r>
      <w:r w:rsidRPr="00727324">
        <w:rPr>
          <w:rFonts w:ascii="Bookman Old Style" w:hAnsi="Bookman Old Style"/>
          <w:sz w:val="24"/>
          <w:szCs w:val="24"/>
        </w:rPr>
        <w:t>Daerah</w:t>
      </w:r>
      <w:r w:rsidR="00A954D0">
        <w:rPr>
          <w:rFonts w:ascii="Bookman Old Style" w:hAnsi="Bookman Old Style"/>
          <w:sz w:val="24"/>
          <w:szCs w:val="24"/>
          <w:lang w:val="fi-FI"/>
        </w:rPr>
        <w:t xml:space="preserve"> </w:t>
      </w:r>
      <w:r>
        <w:rPr>
          <w:rFonts w:ascii="Bookman Old Style" w:hAnsi="Bookman Old Style"/>
          <w:sz w:val="24"/>
          <w:szCs w:val="24"/>
          <w:lang w:val="fi-FI"/>
        </w:rPr>
        <w:t>Kota</w:t>
      </w:r>
      <w:r w:rsidR="00A954D0">
        <w:rPr>
          <w:rFonts w:ascii="Bookman Old Style" w:hAnsi="Bookman Old Style"/>
          <w:sz w:val="24"/>
          <w:szCs w:val="24"/>
          <w:lang w:val="fi-FI"/>
        </w:rPr>
        <w:t xml:space="preserve"> </w:t>
      </w:r>
      <w:r>
        <w:rPr>
          <w:rFonts w:ascii="Bookman Old Style" w:hAnsi="Bookman Old Style"/>
          <w:sz w:val="24"/>
          <w:szCs w:val="24"/>
          <w:lang w:val="fi-FI"/>
        </w:rPr>
        <w:t>Tangerang</w:t>
      </w:r>
      <w:r w:rsidR="00A954D0">
        <w:rPr>
          <w:rFonts w:ascii="Bookman Old Style" w:hAnsi="Bookman Old Style"/>
          <w:sz w:val="24"/>
          <w:szCs w:val="24"/>
        </w:rPr>
        <w:t xml:space="preserve"> </w:t>
      </w:r>
      <w:r w:rsidRPr="00727324">
        <w:rPr>
          <w:rFonts w:ascii="Bookman Old Style" w:hAnsi="Bookman Old Style"/>
          <w:sz w:val="24"/>
          <w:szCs w:val="24"/>
        </w:rPr>
        <w:t>tentang</w:t>
      </w:r>
      <w:r w:rsidR="00A954D0">
        <w:rPr>
          <w:rFonts w:ascii="Bookman Old Style" w:hAnsi="Bookman Old Style"/>
          <w:sz w:val="24"/>
          <w:szCs w:val="24"/>
        </w:rPr>
        <w:t xml:space="preserve"> </w:t>
      </w:r>
      <w:r w:rsidRPr="00727324">
        <w:rPr>
          <w:rFonts w:ascii="Bookman Old Style" w:hAnsi="Bookman Old Style"/>
          <w:sz w:val="24"/>
          <w:szCs w:val="24"/>
        </w:rPr>
        <w:t>APBD</w:t>
      </w:r>
      <w:r w:rsidR="00A954D0">
        <w:rPr>
          <w:rFonts w:ascii="Bookman Old Style" w:hAnsi="Bookman Old Style"/>
          <w:sz w:val="24"/>
          <w:szCs w:val="24"/>
        </w:rPr>
        <w:t xml:space="preserve"> </w:t>
      </w:r>
      <w:r w:rsidRPr="00727324">
        <w:rPr>
          <w:rFonts w:ascii="Bookman Old Style" w:hAnsi="Bookman Old Style"/>
          <w:sz w:val="24"/>
          <w:szCs w:val="24"/>
        </w:rPr>
        <w:t>Tahun</w:t>
      </w:r>
      <w:r w:rsidR="00A954D0">
        <w:rPr>
          <w:rFonts w:ascii="Bookman Old Style" w:hAnsi="Bookman Old Style"/>
          <w:sz w:val="24"/>
          <w:szCs w:val="24"/>
        </w:rPr>
        <w:t xml:space="preserve"> </w:t>
      </w:r>
      <w:r w:rsidRPr="00727324">
        <w:rPr>
          <w:rFonts w:ascii="Bookman Old Style" w:hAnsi="Bookman Old Style"/>
          <w:sz w:val="24"/>
          <w:szCs w:val="24"/>
        </w:rPr>
        <w:t>Anggaran</w:t>
      </w:r>
      <w:r w:rsidR="00A954D0">
        <w:rPr>
          <w:rFonts w:ascii="Bookman Old Style" w:hAnsi="Bookman Old Style"/>
          <w:sz w:val="24"/>
          <w:szCs w:val="24"/>
        </w:rPr>
        <w:t xml:space="preserve"> </w:t>
      </w:r>
      <w:r w:rsidRPr="00727324">
        <w:rPr>
          <w:rFonts w:ascii="Bookman Old Style" w:hAnsi="Bookman Old Style"/>
          <w:sz w:val="24"/>
          <w:szCs w:val="24"/>
        </w:rPr>
        <w:t>202</w:t>
      </w:r>
      <w:r w:rsidRPr="00727324">
        <w:rPr>
          <w:rFonts w:ascii="Bookman Old Style" w:hAnsi="Bookman Old Style"/>
          <w:sz w:val="24"/>
          <w:szCs w:val="24"/>
          <w:lang w:val="en-US"/>
        </w:rPr>
        <w:t>5,</w:t>
      </w:r>
      <w:r w:rsidR="00A954D0">
        <w:rPr>
          <w:rFonts w:ascii="Bookman Old Style" w:hAnsi="Bookman Old Style"/>
          <w:sz w:val="24"/>
          <w:szCs w:val="24"/>
          <w:lang w:val="en-US"/>
        </w:rPr>
        <w:t xml:space="preserve"> </w:t>
      </w:r>
      <w:r w:rsidRPr="00727324">
        <w:rPr>
          <w:rFonts w:ascii="Bookman Old Style" w:hAnsi="Bookman Old Style"/>
          <w:sz w:val="24"/>
          <w:szCs w:val="24"/>
        </w:rPr>
        <w:t>dan</w:t>
      </w:r>
      <w:r w:rsidR="00A954D0">
        <w:rPr>
          <w:rFonts w:ascii="Bookman Old Style" w:hAnsi="Bookman Old Style"/>
          <w:sz w:val="24"/>
          <w:szCs w:val="24"/>
        </w:rPr>
        <w:t xml:space="preserve"> </w:t>
      </w:r>
      <w:r w:rsidRPr="00727324">
        <w:rPr>
          <w:rFonts w:ascii="Bookman Old Style" w:hAnsi="Bookman Old Style" w:cs="Arial"/>
          <w:sz w:val="24"/>
          <w:szCs w:val="24"/>
        </w:rPr>
        <w:t>penentuan</w:t>
      </w:r>
      <w:r w:rsidR="00A954D0">
        <w:rPr>
          <w:rFonts w:ascii="Bookman Old Style" w:hAnsi="Bookman Old Style" w:cs="Arial"/>
          <w:sz w:val="24"/>
          <w:szCs w:val="24"/>
        </w:rPr>
        <w:t xml:space="preserve"> </w:t>
      </w:r>
      <w:r w:rsidRPr="00727324">
        <w:rPr>
          <w:rFonts w:ascii="Bookman Old Style" w:hAnsi="Bookman Old Style" w:cs="Arial"/>
          <w:sz w:val="24"/>
          <w:szCs w:val="24"/>
        </w:rPr>
        <w:t>besarannya</w:t>
      </w:r>
      <w:r w:rsidR="00A954D0">
        <w:rPr>
          <w:rFonts w:ascii="Bookman Old Style" w:hAnsi="Bookman Old Style" w:cs="Arial"/>
          <w:sz w:val="24"/>
          <w:szCs w:val="24"/>
        </w:rPr>
        <w:t xml:space="preserve"> </w:t>
      </w:r>
      <w:r w:rsidRPr="00727324">
        <w:rPr>
          <w:rFonts w:ascii="Bookman Old Style" w:hAnsi="Bookman Old Style" w:cs="Arial"/>
          <w:sz w:val="24"/>
          <w:szCs w:val="24"/>
        </w:rPr>
        <w:t>disesuaikan</w:t>
      </w:r>
      <w:r w:rsidR="00A954D0">
        <w:rPr>
          <w:rFonts w:ascii="Bookman Old Style" w:hAnsi="Bookman Old Style" w:cs="Arial"/>
          <w:sz w:val="24"/>
          <w:szCs w:val="24"/>
        </w:rPr>
        <w:t xml:space="preserve"> </w:t>
      </w:r>
      <w:r w:rsidRPr="00727324">
        <w:rPr>
          <w:rFonts w:ascii="Bookman Old Style" w:hAnsi="Bookman Old Style" w:cs="Arial"/>
          <w:sz w:val="24"/>
          <w:szCs w:val="24"/>
        </w:rPr>
        <w:t>dengan</w:t>
      </w:r>
      <w:r w:rsidR="00A954D0">
        <w:rPr>
          <w:rFonts w:ascii="Bookman Old Style" w:hAnsi="Bookman Old Style" w:cs="Arial"/>
          <w:sz w:val="24"/>
          <w:szCs w:val="24"/>
        </w:rPr>
        <w:t xml:space="preserve"> </w:t>
      </w:r>
      <w:r w:rsidRPr="00727324">
        <w:rPr>
          <w:rFonts w:ascii="Bookman Old Style" w:hAnsi="Bookman Old Style" w:cs="Arial"/>
          <w:sz w:val="24"/>
          <w:szCs w:val="24"/>
        </w:rPr>
        <w:t>berpedoman</w:t>
      </w:r>
      <w:r w:rsidR="00A954D0">
        <w:rPr>
          <w:rFonts w:ascii="Bookman Old Style" w:hAnsi="Bookman Old Style" w:cs="Arial"/>
          <w:sz w:val="24"/>
          <w:szCs w:val="24"/>
        </w:rPr>
        <w:t xml:space="preserve"> </w:t>
      </w:r>
      <w:r w:rsidRPr="00727324">
        <w:rPr>
          <w:rFonts w:ascii="Bookman Old Style" w:hAnsi="Bookman Old Style" w:cs="Arial"/>
          <w:sz w:val="24"/>
          <w:szCs w:val="24"/>
        </w:rPr>
        <w:t>pada</w:t>
      </w:r>
      <w:r w:rsidR="00A954D0">
        <w:rPr>
          <w:rFonts w:ascii="Bookman Old Style" w:hAnsi="Bookman Old Style" w:cs="Arial"/>
          <w:sz w:val="24"/>
          <w:szCs w:val="24"/>
        </w:rPr>
        <w:t xml:space="preserve"> </w:t>
      </w:r>
      <w:r w:rsidRPr="00727324">
        <w:rPr>
          <w:rFonts w:ascii="Bookman Old Style" w:hAnsi="Bookman Old Style" w:cs="Arial"/>
          <w:sz w:val="24"/>
          <w:szCs w:val="24"/>
        </w:rPr>
        <w:t>Pasal</w:t>
      </w:r>
      <w:r w:rsidR="00A954D0">
        <w:rPr>
          <w:rFonts w:ascii="Bookman Old Style" w:hAnsi="Bookman Old Style" w:cs="Arial"/>
          <w:sz w:val="24"/>
          <w:szCs w:val="24"/>
        </w:rPr>
        <w:t xml:space="preserve"> </w:t>
      </w:r>
      <w:r w:rsidRPr="00727324">
        <w:rPr>
          <w:rFonts w:ascii="Bookman Old Style" w:hAnsi="Bookman Old Style" w:cs="Arial"/>
          <w:sz w:val="24"/>
          <w:szCs w:val="24"/>
        </w:rPr>
        <w:t>9</w:t>
      </w:r>
      <w:r w:rsidR="00A954D0">
        <w:rPr>
          <w:rFonts w:ascii="Bookman Old Style" w:hAnsi="Bookman Old Style" w:cs="Arial"/>
          <w:sz w:val="24"/>
          <w:szCs w:val="24"/>
          <w:lang w:val="id-ID"/>
        </w:rPr>
        <w:t xml:space="preserve"> </w:t>
      </w:r>
      <w:r w:rsidRPr="00727324">
        <w:rPr>
          <w:rFonts w:ascii="Bookman Old Style" w:hAnsi="Bookman Old Style" w:cs="Arial"/>
          <w:sz w:val="24"/>
          <w:szCs w:val="24"/>
          <w:lang w:val="id-ID"/>
        </w:rPr>
        <w:t>ayat</w:t>
      </w:r>
      <w:r w:rsidR="00A954D0">
        <w:rPr>
          <w:rFonts w:ascii="Bookman Old Style" w:hAnsi="Bookman Old Style" w:cs="Arial"/>
          <w:sz w:val="24"/>
          <w:szCs w:val="24"/>
          <w:lang w:val="id-ID"/>
        </w:rPr>
        <w:t xml:space="preserve"> </w:t>
      </w:r>
      <w:r w:rsidRPr="00727324">
        <w:rPr>
          <w:rFonts w:ascii="Bookman Old Style" w:hAnsi="Bookman Old Style" w:cs="Arial"/>
          <w:sz w:val="24"/>
          <w:szCs w:val="24"/>
          <w:lang w:val="id-ID"/>
        </w:rPr>
        <w:t>(</w:t>
      </w:r>
      <w:r w:rsidRPr="00727324">
        <w:rPr>
          <w:rFonts w:ascii="Bookman Old Style" w:hAnsi="Bookman Old Style" w:cs="Arial"/>
          <w:sz w:val="24"/>
          <w:szCs w:val="24"/>
          <w:lang w:val="en-US"/>
        </w:rPr>
        <w:t>2</w:t>
      </w:r>
      <w:r w:rsidRPr="00727324">
        <w:rPr>
          <w:rFonts w:ascii="Bookman Old Style" w:hAnsi="Bookman Old Style" w:cs="Arial"/>
          <w:sz w:val="24"/>
          <w:szCs w:val="24"/>
          <w:lang w:val="id-ID"/>
        </w:rPr>
        <w:t>)</w:t>
      </w:r>
      <w:r w:rsidR="00A954D0">
        <w:rPr>
          <w:rFonts w:ascii="Bookman Old Style" w:hAnsi="Bookman Old Style" w:cs="Arial"/>
          <w:sz w:val="24"/>
          <w:szCs w:val="24"/>
          <w:lang w:val="id-ID"/>
        </w:rPr>
        <w:t xml:space="preserve"> </w:t>
      </w:r>
      <w:r w:rsidRPr="00727324">
        <w:rPr>
          <w:rFonts w:ascii="Bookman Old Style" w:hAnsi="Bookman Old Style" w:cs="Arial"/>
          <w:sz w:val="24"/>
          <w:szCs w:val="24"/>
        </w:rPr>
        <w:t>Peraturan</w:t>
      </w:r>
      <w:r w:rsidR="00A954D0">
        <w:rPr>
          <w:rFonts w:ascii="Bookman Old Style" w:hAnsi="Bookman Old Style" w:cs="Arial"/>
          <w:sz w:val="24"/>
          <w:szCs w:val="24"/>
        </w:rPr>
        <w:t xml:space="preserve"> </w:t>
      </w:r>
      <w:r w:rsidRPr="00727324">
        <w:rPr>
          <w:rFonts w:ascii="Bookman Old Style" w:hAnsi="Bookman Old Style" w:cs="Arial"/>
          <w:sz w:val="24"/>
          <w:szCs w:val="24"/>
        </w:rPr>
        <w:t>Pemerintah</w:t>
      </w:r>
      <w:r w:rsidR="00A954D0">
        <w:rPr>
          <w:rFonts w:ascii="Bookman Old Style" w:hAnsi="Bookman Old Style" w:cs="Arial"/>
          <w:sz w:val="24"/>
          <w:szCs w:val="24"/>
        </w:rPr>
        <w:t xml:space="preserve"> </w:t>
      </w:r>
      <w:r w:rsidRPr="00727324">
        <w:rPr>
          <w:rFonts w:ascii="Bookman Old Style" w:hAnsi="Bookman Old Style" w:cs="Arial"/>
          <w:sz w:val="24"/>
          <w:szCs w:val="24"/>
        </w:rPr>
        <w:t>Nomor</w:t>
      </w:r>
      <w:r w:rsidR="00A954D0">
        <w:rPr>
          <w:rFonts w:ascii="Bookman Old Style" w:hAnsi="Bookman Old Style" w:cs="Arial"/>
          <w:sz w:val="24"/>
          <w:szCs w:val="24"/>
        </w:rPr>
        <w:t xml:space="preserve"> </w:t>
      </w:r>
      <w:r w:rsidRPr="00727324">
        <w:rPr>
          <w:rFonts w:ascii="Bookman Old Style" w:hAnsi="Bookman Old Style" w:cs="Arial"/>
          <w:sz w:val="24"/>
          <w:szCs w:val="24"/>
        </w:rPr>
        <w:t>109</w:t>
      </w:r>
      <w:r w:rsidR="00A954D0">
        <w:rPr>
          <w:rFonts w:ascii="Bookman Old Style" w:hAnsi="Bookman Old Style" w:cs="Arial"/>
          <w:sz w:val="24"/>
          <w:szCs w:val="24"/>
        </w:rPr>
        <w:t xml:space="preserve"> </w:t>
      </w:r>
      <w:r w:rsidRPr="00727324">
        <w:rPr>
          <w:rFonts w:ascii="Bookman Old Style" w:hAnsi="Bookman Old Style" w:cs="Arial"/>
          <w:sz w:val="24"/>
          <w:szCs w:val="24"/>
        </w:rPr>
        <w:t>Tahun</w:t>
      </w:r>
      <w:r w:rsidR="00A954D0">
        <w:rPr>
          <w:rFonts w:ascii="Bookman Old Style" w:hAnsi="Bookman Old Style" w:cs="Arial"/>
          <w:sz w:val="24"/>
          <w:szCs w:val="24"/>
        </w:rPr>
        <w:t xml:space="preserve"> </w:t>
      </w:r>
      <w:r w:rsidRPr="00727324">
        <w:rPr>
          <w:rFonts w:ascii="Bookman Old Style" w:hAnsi="Bookman Old Style" w:cs="Arial"/>
          <w:sz w:val="24"/>
          <w:szCs w:val="24"/>
        </w:rPr>
        <w:t>2000</w:t>
      </w:r>
      <w:r w:rsidR="00A954D0">
        <w:rPr>
          <w:rFonts w:ascii="Bookman Old Style" w:hAnsi="Bookman Old Style" w:cs="Arial"/>
          <w:sz w:val="24"/>
          <w:szCs w:val="24"/>
        </w:rPr>
        <w:t xml:space="preserve"> </w:t>
      </w:r>
      <w:r w:rsidRPr="00727324">
        <w:rPr>
          <w:rFonts w:ascii="Bookman Old Style" w:hAnsi="Bookman Old Style" w:cs="Arial"/>
          <w:sz w:val="24"/>
          <w:szCs w:val="24"/>
        </w:rPr>
        <w:t>tentang</w:t>
      </w:r>
      <w:r w:rsidR="00A954D0">
        <w:rPr>
          <w:rFonts w:ascii="Bookman Old Style" w:hAnsi="Bookman Old Style" w:cs="Arial"/>
          <w:sz w:val="24"/>
          <w:szCs w:val="24"/>
        </w:rPr>
        <w:t xml:space="preserve"> </w:t>
      </w:r>
      <w:r w:rsidRPr="00727324">
        <w:rPr>
          <w:rFonts w:ascii="Bookman Old Style" w:hAnsi="Bookman Old Style" w:cs="Arial"/>
          <w:sz w:val="24"/>
          <w:szCs w:val="24"/>
        </w:rPr>
        <w:t>Kedudukan</w:t>
      </w:r>
      <w:r w:rsidR="00A954D0">
        <w:rPr>
          <w:rFonts w:ascii="Bookman Old Style" w:hAnsi="Bookman Old Style" w:cs="Arial"/>
          <w:sz w:val="24"/>
          <w:szCs w:val="24"/>
        </w:rPr>
        <w:t xml:space="preserve"> </w:t>
      </w:r>
      <w:r w:rsidRPr="00727324">
        <w:rPr>
          <w:rFonts w:ascii="Bookman Old Style" w:hAnsi="Bookman Old Style" w:cs="Arial"/>
          <w:sz w:val="24"/>
          <w:szCs w:val="24"/>
        </w:rPr>
        <w:t>Keuangan</w:t>
      </w:r>
      <w:r w:rsidR="00A954D0">
        <w:rPr>
          <w:rFonts w:ascii="Bookman Old Style" w:hAnsi="Bookman Old Style" w:cs="Arial"/>
          <w:sz w:val="24"/>
          <w:szCs w:val="24"/>
        </w:rPr>
        <w:t xml:space="preserve"> </w:t>
      </w:r>
      <w:r w:rsidRPr="00727324">
        <w:rPr>
          <w:rFonts w:ascii="Bookman Old Style" w:hAnsi="Bookman Old Style" w:cs="Arial"/>
          <w:sz w:val="24"/>
          <w:szCs w:val="24"/>
        </w:rPr>
        <w:t>Kepala</w:t>
      </w:r>
      <w:r w:rsidR="00A954D0">
        <w:rPr>
          <w:rFonts w:ascii="Bookman Old Style" w:hAnsi="Bookman Old Style" w:cs="Arial"/>
          <w:sz w:val="24"/>
          <w:szCs w:val="24"/>
        </w:rPr>
        <w:t xml:space="preserve"> </w:t>
      </w:r>
      <w:r w:rsidRPr="00727324">
        <w:rPr>
          <w:rFonts w:ascii="Bookman Old Style" w:hAnsi="Bookman Old Style" w:cs="Arial"/>
          <w:sz w:val="24"/>
          <w:szCs w:val="24"/>
        </w:rPr>
        <w:t>Daerah</w:t>
      </w:r>
      <w:r w:rsidR="00A954D0">
        <w:rPr>
          <w:rFonts w:ascii="Bookman Old Style" w:hAnsi="Bookman Old Style" w:cs="Arial"/>
          <w:sz w:val="24"/>
          <w:szCs w:val="24"/>
        </w:rPr>
        <w:t xml:space="preserve"> </w:t>
      </w:r>
      <w:r w:rsidRPr="00727324">
        <w:rPr>
          <w:rFonts w:ascii="Bookman Old Style" w:hAnsi="Bookman Old Style" w:cs="Arial"/>
          <w:sz w:val="24"/>
          <w:szCs w:val="24"/>
        </w:rPr>
        <w:t>dan</w:t>
      </w:r>
      <w:r w:rsidR="00A954D0">
        <w:rPr>
          <w:rFonts w:ascii="Bookman Old Style" w:hAnsi="Bookman Old Style" w:cs="Arial"/>
          <w:sz w:val="24"/>
          <w:szCs w:val="24"/>
        </w:rPr>
        <w:t xml:space="preserve"> </w:t>
      </w:r>
      <w:r w:rsidRPr="00727324">
        <w:rPr>
          <w:rFonts w:ascii="Bookman Old Style" w:hAnsi="Bookman Old Style" w:cs="Arial"/>
          <w:sz w:val="24"/>
          <w:szCs w:val="24"/>
        </w:rPr>
        <w:t>Wakil</w:t>
      </w:r>
      <w:r w:rsidR="00A954D0">
        <w:rPr>
          <w:rFonts w:ascii="Bookman Old Style" w:hAnsi="Bookman Old Style" w:cs="Arial"/>
          <w:sz w:val="24"/>
          <w:szCs w:val="24"/>
        </w:rPr>
        <w:t xml:space="preserve"> </w:t>
      </w:r>
      <w:r w:rsidRPr="00727324">
        <w:rPr>
          <w:rFonts w:ascii="Bookman Old Style" w:hAnsi="Bookman Old Style" w:cs="Arial"/>
          <w:sz w:val="24"/>
          <w:szCs w:val="24"/>
        </w:rPr>
        <w:t>Kepala</w:t>
      </w:r>
      <w:r w:rsidR="00A954D0">
        <w:rPr>
          <w:rFonts w:ascii="Bookman Old Style" w:hAnsi="Bookman Old Style" w:cs="Arial"/>
          <w:sz w:val="24"/>
          <w:szCs w:val="24"/>
        </w:rPr>
        <w:t xml:space="preserve"> </w:t>
      </w:r>
      <w:r w:rsidRPr="00727324">
        <w:rPr>
          <w:rFonts w:ascii="Bookman Old Style" w:hAnsi="Bookman Old Style" w:cs="Arial"/>
          <w:sz w:val="24"/>
          <w:szCs w:val="24"/>
        </w:rPr>
        <w:t>Daerah,</w:t>
      </w:r>
      <w:r w:rsidR="00A954D0">
        <w:rPr>
          <w:rFonts w:ascii="Bookman Old Style" w:hAnsi="Bookman Old Style" w:cs="Arial"/>
          <w:sz w:val="24"/>
          <w:szCs w:val="24"/>
        </w:rPr>
        <w:t xml:space="preserve"> </w:t>
      </w:r>
      <w:r w:rsidRPr="00727324">
        <w:rPr>
          <w:rFonts w:ascii="Bookman Old Style" w:hAnsi="Bookman Old Style" w:cs="Arial"/>
          <w:sz w:val="24"/>
          <w:szCs w:val="24"/>
        </w:rPr>
        <w:t>yaitu</w:t>
      </w:r>
      <w:r w:rsidR="00A954D0">
        <w:rPr>
          <w:rFonts w:ascii="Bookman Old Style" w:hAnsi="Bookman Old Style" w:cs="Arial"/>
          <w:sz w:val="24"/>
          <w:szCs w:val="24"/>
        </w:rPr>
        <w:t xml:space="preserve"> </w:t>
      </w:r>
      <w:r w:rsidRPr="00727324">
        <w:rPr>
          <w:rFonts w:ascii="Bookman Old Style" w:hAnsi="Bookman Old Style" w:cs="Arial"/>
          <w:sz w:val="24"/>
          <w:szCs w:val="24"/>
        </w:rPr>
        <w:t>paling</w:t>
      </w:r>
      <w:r w:rsidR="00A954D0">
        <w:rPr>
          <w:rFonts w:ascii="Bookman Old Style" w:hAnsi="Bookman Old Style" w:cs="Arial"/>
          <w:sz w:val="24"/>
          <w:szCs w:val="24"/>
        </w:rPr>
        <w:t xml:space="preserve"> </w:t>
      </w:r>
      <w:r w:rsidRPr="00727324">
        <w:rPr>
          <w:rFonts w:ascii="Bookman Old Style" w:hAnsi="Bookman Old Style" w:cs="Arial"/>
          <w:sz w:val="24"/>
          <w:szCs w:val="24"/>
        </w:rPr>
        <w:t>rendah</w:t>
      </w:r>
      <w:r w:rsidR="00A954D0">
        <w:rPr>
          <w:rFonts w:ascii="Bookman Old Style" w:hAnsi="Bookman Old Style" w:cs="Arial"/>
          <w:sz w:val="24"/>
          <w:szCs w:val="24"/>
        </w:rPr>
        <w:t xml:space="preserve"> </w:t>
      </w:r>
      <w:r w:rsidRPr="00727324">
        <w:rPr>
          <w:rFonts w:ascii="Bookman Old Style" w:hAnsi="Bookman Old Style"/>
          <w:sz w:val="24"/>
          <w:szCs w:val="24"/>
          <w:lang w:val="en-US"/>
        </w:rPr>
        <w:t>Rp600.000.000,00</w:t>
      </w:r>
      <w:r w:rsidR="00A954D0">
        <w:rPr>
          <w:rFonts w:ascii="Bookman Old Style" w:hAnsi="Bookman Old Style" w:cs="Arial"/>
          <w:sz w:val="24"/>
          <w:szCs w:val="24"/>
        </w:rPr>
        <w:t xml:space="preserve"> </w:t>
      </w:r>
      <w:r w:rsidRPr="00727324">
        <w:rPr>
          <w:rFonts w:ascii="Bookman Old Style" w:hAnsi="Bookman Old Style" w:cs="Arial"/>
          <w:sz w:val="24"/>
          <w:szCs w:val="24"/>
        </w:rPr>
        <w:t>dan</w:t>
      </w:r>
      <w:r w:rsidR="00A954D0">
        <w:rPr>
          <w:rFonts w:ascii="Bookman Old Style" w:hAnsi="Bookman Old Style" w:cs="Arial"/>
          <w:sz w:val="24"/>
          <w:szCs w:val="24"/>
        </w:rPr>
        <w:t xml:space="preserve"> </w:t>
      </w:r>
      <w:r w:rsidRPr="00727324">
        <w:rPr>
          <w:rFonts w:ascii="Bookman Old Style" w:hAnsi="Bookman Old Style" w:cs="Arial"/>
          <w:sz w:val="24"/>
          <w:szCs w:val="24"/>
        </w:rPr>
        <w:t>paling</w:t>
      </w:r>
      <w:r w:rsidR="00A954D0">
        <w:rPr>
          <w:rFonts w:ascii="Bookman Old Style" w:hAnsi="Bookman Old Style" w:cs="Arial"/>
          <w:sz w:val="24"/>
          <w:szCs w:val="24"/>
        </w:rPr>
        <w:t xml:space="preserve"> </w:t>
      </w:r>
      <w:r w:rsidRPr="00727324">
        <w:rPr>
          <w:rFonts w:ascii="Bookman Old Style" w:hAnsi="Bookman Old Style" w:cs="Arial"/>
          <w:sz w:val="24"/>
          <w:szCs w:val="24"/>
        </w:rPr>
        <w:t>tinggi</w:t>
      </w:r>
      <w:r w:rsidR="00A954D0">
        <w:rPr>
          <w:rFonts w:ascii="Bookman Old Style" w:hAnsi="Bookman Old Style" w:cs="Arial"/>
          <w:sz w:val="24"/>
          <w:szCs w:val="24"/>
        </w:rPr>
        <w:t xml:space="preserve"> </w:t>
      </w:r>
      <w:r w:rsidRPr="00727324">
        <w:rPr>
          <w:rFonts w:ascii="Bookman Old Style" w:hAnsi="Bookman Old Style" w:cs="Arial"/>
          <w:sz w:val="24"/>
          <w:szCs w:val="24"/>
          <w:lang w:val="en-US"/>
        </w:rPr>
        <w:t>0,15%</w:t>
      </w:r>
      <w:r w:rsidR="00A954D0">
        <w:rPr>
          <w:rFonts w:ascii="Bookman Old Style" w:hAnsi="Bookman Old Style" w:cs="Arial"/>
          <w:sz w:val="24"/>
          <w:szCs w:val="24"/>
          <w:lang w:val="en-US"/>
        </w:rPr>
        <w:t xml:space="preserve"> </w:t>
      </w:r>
      <w:r w:rsidRPr="00727324">
        <w:rPr>
          <w:rFonts w:ascii="Bookman Old Style" w:hAnsi="Bookman Old Style" w:cs="Arial"/>
          <w:sz w:val="24"/>
          <w:szCs w:val="24"/>
        </w:rPr>
        <w:t>dari</w:t>
      </w:r>
      <w:r w:rsidR="00A954D0">
        <w:rPr>
          <w:rFonts w:ascii="Bookman Old Style" w:hAnsi="Bookman Old Style" w:cs="Arial"/>
          <w:sz w:val="24"/>
          <w:szCs w:val="24"/>
        </w:rPr>
        <w:t xml:space="preserve"> </w:t>
      </w:r>
      <w:r w:rsidRPr="00727324">
        <w:rPr>
          <w:rFonts w:ascii="Bookman Old Style" w:hAnsi="Bookman Old Style" w:cs="Arial"/>
          <w:sz w:val="24"/>
          <w:szCs w:val="24"/>
          <w:lang w:val="en-US"/>
        </w:rPr>
        <w:t>target</w:t>
      </w:r>
      <w:r w:rsidR="00A954D0">
        <w:rPr>
          <w:rFonts w:ascii="Bookman Old Style" w:hAnsi="Bookman Old Style" w:cs="Arial"/>
          <w:sz w:val="24"/>
          <w:szCs w:val="24"/>
        </w:rPr>
        <w:t xml:space="preserve"> </w:t>
      </w:r>
      <w:r w:rsidRPr="00727324">
        <w:rPr>
          <w:rFonts w:ascii="Bookman Old Style" w:hAnsi="Bookman Old Style" w:cs="Arial"/>
          <w:sz w:val="24"/>
          <w:szCs w:val="24"/>
        </w:rPr>
        <w:t>PAD</w:t>
      </w:r>
      <w:r w:rsidR="00A954D0">
        <w:rPr>
          <w:rFonts w:ascii="Bookman Old Style" w:hAnsi="Bookman Old Style"/>
          <w:sz w:val="24"/>
          <w:szCs w:val="24"/>
          <w:lang w:val="en-US"/>
        </w:rPr>
        <w:t xml:space="preserve"> </w:t>
      </w:r>
      <w:r w:rsidRPr="00727324">
        <w:rPr>
          <w:rFonts w:ascii="Bookman Old Style" w:hAnsi="Bookman Old Style"/>
          <w:sz w:val="24"/>
          <w:szCs w:val="24"/>
          <w:lang w:val="en-US"/>
        </w:rPr>
        <w:t>Rp</w:t>
      </w:r>
      <w:r w:rsidRPr="008E5F9A">
        <w:rPr>
          <w:rFonts w:ascii="Bookman Old Style" w:hAnsi="Bookman Old Style"/>
          <w:sz w:val="24"/>
          <w:szCs w:val="24"/>
          <w:lang w:val="en-US"/>
        </w:rPr>
        <w:t>3</w:t>
      </w:r>
      <w:r>
        <w:rPr>
          <w:rFonts w:ascii="Bookman Old Style" w:hAnsi="Bookman Old Style"/>
          <w:sz w:val="24"/>
          <w:szCs w:val="24"/>
          <w:lang w:val="en-US"/>
        </w:rPr>
        <w:t>.</w:t>
      </w:r>
      <w:r w:rsidRPr="008E5F9A">
        <w:rPr>
          <w:rFonts w:ascii="Bookman Old Style" w:hAnsi="Bookman Old Style"/>
          <w:sz w:val="24"/>
          <w:szCs w:val="24"/>
          <w:lang w:val="en-US"/>
        </w:rPr>
        <w:t>042</w:t>
      </w:r>
      <w:r>
        <w:rPr>
          <w:rFonts w:ascii="Bookman Old Style" w:hAnsi="Bookman Old Style"/>
          <w:sz w:val="24"/>
          <w:szCs w:val="24"/>
          <w:lang w:val="en-US"/>
        </w:rPr>
        <w:t>.</w:t>
      </w:r>
      <w:r w:rsidRPr="008E5F9A">
        <w:rPr>
          <w:rFonts w:ascii="Bookman Old Style" w:hAnsi="Bookman Old Style"/>
          <w:sz w:val="24"/>
          <w:szCs w:val="24"/>
          <w:lang w:val="en-US"/>
        </w:rPr>
        <w:t>853</w:t>
      </w:r>
      <w:r>
        <w:rPr>
          <w:rFonts w:ascii="Bookman Old Style" w:hAnsi="Bookman Old Style"/>
          <w:sz w:val="24"/>
          <w:szCs w:val="24"/>
          <w:lang w:val="en-US"/>
        </w:rPr>
        <w:t>.</w:t>
      </w:r>
      <w:r w:rsidRPr="008E5F9A">
        <w:rPr>
          <w:rFonts w:ascii="Bookman Old Style" w:hAnsi="Bookman Old Style"/>
          <w:sz w:val="24"/>
          <w:szCs w:val="24"/>
          <w:lang w:val="en-US"/>
        </w:rPr>
        <w:t>105</w:t>
      </w:r>
      <w:r>
        <w:rPr>
          <w:rFonts w:ascii="Bookman Old Style" w:hAnsi="Bookman Old Style"/>
          <w:sz w:val="24"/>
          <w:szCs w:val="24"/>
          <w:lang w:val="en-US"/>
        </w:rPr>
        <w:t>.</w:t>
      </w:r>
      <w:r w:rsidRPr="008E5F9A">
        <w:rPr>
          <w:rFonts w:ascii="Bookman Old Style" w:hAnsi="Bookman Old Style"/>
          <w:sz w:val="24"/>
          <w:szCs w:val="24"/>
          <w:lang w:val="en-US"/>
        </w:rPr>
        <w:t>436</w:t>
      </w:r>
      <w:r w:rsidRPr="00727324">
        <w:rPr>
          <w:rFonts w:ascii="Bookman Old Style" w:hAnsi="Bookman Old Style"/>
          <w:sz w:val="24"/>
          <w:szCs w:val="24"/>
          <w:lang w:val="en-US"/>
        </w:rPr>
        <w:t>,00</w:t>
      </w:r>
      <w:r w:rsidR="00A954D0">
        <w:rPr>
          <w:rFonts w:ascii="Bookman Old Style" w:hAnsi="Bookman Old Style"/>
          <w:sz w:val="24"/>
          <w:szCs w:val="24"/>
          <w:lang w:val="en-US"/>
        </w:rPr>
        <w:t xml:space="preserve"> </w:t>
      </w:r>
      <w:r>
        <w:rPr>
          <w:rFonts w:ascii="Bookman Old Style" w:hAnsi="Bookman Old Style"/>
          <w:sz w:val="24"/>
          <w:szCs w:val="24"/>
          <w:lang w:val="en-US"/>
        </w:rPr>
        <w:t>yaitu</w:t>
      </w:r>
      <w:r w:rsidR="00A954D0">
        <w:rPr>
          <w:rFonts w:ascii="Bookman Old Style" w:hAnsi="Bookman Old Style"/>
          <w:sz w:val="24"/>
          <w:szCs w:val="24"/>
          <w:lang w:val="en-US"/>
        </w:rPr>
        <w:t xml:space="preserve"> </w:t>
      </w:r>
      <w:r>
        <w:rPr>
          <w:rFonts w:ascii="Bookman Old Style" w:hAnsi="Bookman Old Style"/>
          <w:sz w:val="24"/>
          <w:szCs w:val="24"/>
          <w:lang w:val="en-US"/>
        </w:rPr>
        <w:t>Rp</w:t>
      </w:r>
      <w:r w:rsidRPr="008E5F9A">
        <w:rPr>
          <w:rFonts w:ascii="Bookman Old Style" w:hAnsi="Bookman Old Style"/>
          <w:sz w:val="24"/>
          <w:szCs w:val="24"/>
          <w:lang w:val="en-US"/>
        </w:rPr>
        <w:t>4</w:t>
      </w:r>
      <w:r>
        <w:rPr>
          <w:rFonts w:ascii="Bookman Old Style" w:hAnsi="Bookman Old Style"/>
          <w:sz w:val="24"/>
          <w:szCs w:val="24"/>
          <w:lang w:val="en-US"/>
        </w:rPr>
        <w:t>.</w:t>
      </w:r>
      <w:r w:rsidRPr="008E5F9A">
        <w:rPr>
          <w:rFonts w:ascii="Bookman Old Style" w:hAnsi="Bookman Old Style"/>
          <w:sz w:val="24"/>
          <w:szCs w:val="24"/>
          <w:lang w:val="en-US"/>
        </w:rPr>
        <w:t>564</w:t>
      </w:r>
      <w:r>
        <w:rPr>
          <w:rFonts w:ascii="Bookman Old Style" w:hAnsi="Bookman Old Style"/>
          <w:sz w:val="24"/>
          <w:szCs w:val="24"/>
          <w:lang w:val="en-US"/>
        </w:rPr>
        <w:t>.</w:t>
      </w:r>
      <w:r w:rsidRPr="008E5F9A">
        <w:rPr>
          <w:rFonts w:ascii="Bookman Old Style" w:hAnsi="Bookman Old Style"/>
          <w:sz w:val="24"/>
          <w:szCs w:val="24"/>
          <w:lang w:val="en-US"/>
        </w:rPr>
        <w:t>279</w:t>
      </w:r>
      <w:r>
        <w:rPr>
          <w:rFonts w:ascii="Bookman Old Style" w:hAnsi="Bookman Old Style"/>
          <w:sz w:val="24"/>
          <w:szCs w:val="24"/>
          <w:lang w:val="en-US"/>
        </w:rPr>
        <w:t>.</w:t>
      </w:r>
      <w:r w:rsidRPr="008E5F9A">
        <w:rPr>
          <w:rFonts w:ascii="Bookman Old Style" w:hAnsi="Bookman Old Style"/>
          <w:sz w:val="24"/>
          <w:szCs w:val="24"/>
          <w:lang w:val="en-US"/>
        </w:rPr>
        <w:t>658</w:t>
      </w:r>
      <w:r>
        <w:rPr>
          <w:rFonts w:ascii="Bookman Old Style" w:hAnsi="Bookman Old Style"/>
          <w:sz w:val="24"/>
          <w:szCs w:val="24"/>
          <w:lang w:val="en-US"/>
        </w:rPr>
        <w:t>,</w:t>
      </w:r>
      <w:r w:rsidRPr="008E5F9A">
        <w:rPr>
          <w:rFonts w:ascii="Bookman Old Style" w:hAnsi="Bookman Old Style"/>
          <w:sz w:val="24"/>
          <w:szCs w:val="24"/>
          <w:lang w:val="en-US"/>
        </w:rPr>
        <w:t>15</w:t>
      </w:r>
      <w:r w:rsidR="00A954D0">
        <w:rPr>
          <w:rFonts w:ascii="Bookman Old Style" w:hAnsi="Bookman Old Style"/>
          <w:sz w:val="24"/>
          <w:szCs w:val="24"/>
          <w:lang w:val="en-US"/>
        </w:rPr>
        <w:t xml:space="preserve"> </w:t>
      </w:r>
      <w:r w:rsidRPr="00727324">
        <w:rPr>
          <w:rFonts w:ascii="Bookman Old Style" w:hAnsi="Bookman Old Style" w:cs="Arial"/>
          <w:sz w:val="24"/>
          <w:szCs w:val="24"/>
        </w:rPr>
        <w:t>dalam</w:t>
      </w:r>
      <w:r w:rsidR="00A954D0">
        <w:rPr>
          <w:rFonts w:ascii="Bookman Old Style" w:hAnsi="Bookman Old Style" w:cs="Arial"/>
          <w:sz w:val="24"/>
          <w:szCs w:val="24"/>
        </w:rPr>
        <w:t xml:space="preserve"> </w:t>
      </w:r>
      <w:r w:rsidRPr="00727324">
        <w:rPr>
          <w:rFonts w:ascii="Bookman Old Style" w:hAnsi="Bookman Old Style" w:cs="Arial"/>
          <w:sz w:val="24"/>
          <w:szCs w:val="24"/>
          <w:lang w:val="en-US"/>
        </w:rPr>
        <w:t>Rancangan</w:t>
      </w:r>
      <w:r w:rsidR="00A954D0">
        <w:rPr>
          <w:rFonts w:ascii="Bookman Old Style" w:hAnsi="Bookman Old Style" w:cs="Arial"/>
          <w:sz w:val="24"/>
          <w:szCs w:val="24"/>
          <w:lang w:val="en-US"/>
        </w:rPr>
        <w:t xml:space="preserve"> </w:t>
      </w:r>
      <w:r w:rsidRPr="00727324">
        <w:rPr>
          <w:rFonts w:ascii="Bookman Old Style" w:hAnsi="Bookman Old Style" w:cs="Arial"/>
          <w:sz w:val="24"/>
          <w:szCs w:val="24"/>
          <w:lang w:val="en-US"/>
        </w:rPr>
        <w:t>Peraturan</w:t>
      </w:r>
      <w:r w:rsidR="00A954D0">
        <w:rPr>
          <w:rFonts w:ascii="Bookman Old Style" w:hAnsi="Bookman Old Style" w:cs="Arial"/>
          <w:sz w:val="24"/>
          <w:szCs w:val="24"/>
          <w:lang w:val="en-US"/>
        </w:rPr>
        <w:t xml:space="preserve"> </w:t>
      </w:r>
      <w:r w:rsidRPr="00727324">
        <w:rPr>
          <w:rFonts w:ascii="Bookman Old Style" w:hAnsi="Bookman Old Style" w:cs="Arial"/>
          <w:sz w:val="24"/>
          <w:szCs w:val="24"/>
          <w:lang w:val="en-US"/>
        </w:rPr>
        <w:t>Daerah</w:t>
      </w:r>
      <w:r w:rsidR="00A954D0">
        <w:rPr>
          <w:rFonts w:ascii="Bookman Old Style" w:hAnsi="Bookman Old Style"/>
          <w:sz w:val="24"/>
          <w:szCs w:val="24"/>
          <w:lang w:val="id-ID"/>
        </w:rPr>
        <w:t xml:space="preserve"> </w:t>
      </w:r>
      <w:r>
        <w:rPr>
          <w:rFonts w:ascii="Bookman Old Style" w:hAnsi="Bookman Old Style"/>
          <w:sz w:val="24"/>
          <w:szCs w:val="24"/>
          <w:lang w:val="id-ID"/>
        </w:rPr>
        <w:t>Kota</w:t>
      </w:r>
      <w:r w:rsidR="00A954D0">
        <w:rPr>
          <w:rFonts w:ascii="Bookman Old Style" w:hAnsi="Bookman Old Style"/>
          <w:sz w:val="24"/>
          <w:szCs w:val="24"/>
          <w:lang w:val="id-ID"/>
        </w:rPr>
        <w:t xml:space="preserve"> </w:t>
      </w:r>
      <w:r>
        <w:rPr>
          <w:rFonts w:ascii="Bookman Old Style" w:hAnsi="Bookman Old Style"/>
          <w:sz w:val="24"/>
          <w:szCs w:val="24"/>
          <w:lang w:val="fi-FI"/>
        </w:rPr>
        <w:t>Tangerang</w:t>
      </w:r>
      <w:r w:rsidR="00A954D0">
        <w:rPr>
          <w:rFonts w:ascii="Bookman Old Style" w:hAnsi="Bookman Old Style"/>
          <w:sz w:val="24"/>
          <w:szCs w:val="24"/>
        </w:rPr>
        <w:t xml:space="preserve"> </w:t>
      </w:r>
      <w:r w:rsidRPr="00727324">
        <w:rPr>
          <w:rFonts w:ascii="Bookman Old Style" w:hAnsi="Bookman Old Style" w:cs="Arial"/>
          <w:sz w:val="24"/>
          <w:szCs w:val="24"/>
        </w:rPr>
        <w:t>tentang</w:t>
      </w:r>
      <w:r w:rsidR="00A954D0">
        <w:rPr>
          <w:rFonts w:ascii="Bookman Old Style" w:hAnsi="Bookman Old Style" w:cs="Arial"/>
          <w:sz w:val="24"/>
          <w:szCs w:val="24"/>
        </w:rPr>
        <w:t xml:space="preserve"> </w:t>
      </w:r>
      <w:r w:rsidRPr="00727324">
        <w:rPr>
          <w:rFonts w:ascii="Bookman Old Style" w:hAnsi="Bookman Old Style" w:cs="Arial"/>
          <w:sz w:val="24"/>
          <w:szCs w:val="24"/>
        </w:rPr>
        <w:t>APBD</w:t>
      </w:r>
      <w:r w:rsidR="00A954D0">
        <w:rPr>
          <w:rFonts w:ascii="Bookman Old Style" w:hAnsi="Bookman Old Style" w:cs="Arial"/>
          <w:sz w:val="24"/>
          <w:szCs w:val="24"/>
        </w:rPr>
        <w:t xml:space="preserve"> </w:t>
      </w:r>
      <w:r w:rsidRPr="00727324">
        <w:rPr>
          <w:rFonts w:ascii="Bookman Old Style" w:hAnsi="Bookman Old Style" w:cs="Arial"/>
          <w:sz w:val="24"/>
          <w:szCs w:val="24"/>
        </w:rPr>
        <w:t>Tahun</w:t>
      </w:r>
      <w:r w:rsidR="00A954D0">
        <w:rPr>
          <w:rFonts w:ascii="Bookman Old Style" w:hAnsi="Bookman Old Style" w:cs="Arial"/>
          <w:sz w:val="24"/>
          <w:szCs w:val="24"/>
        </w:rPr>
        <w:t xml:space="preserve"> </w:t>
      </w:r>
      <w:r w:rsidRPr="00727324">
        <w:rPr>
          <w:rFonts w:ascii="Bookman Old Style" w:hAnsi="Bookman Old Style" w:cs="Arial"/>
          <w:sz w:val="24"/>
          <w:szCs w:val="24"/>
        </w:rPr>
        <w:t>Anggaran</w:t>
      </w:r>
      <w:r w:rsidR="00A954D0">
        <w:rPr>
          <w:rFonts w:ascii="Bookman Old Style" w:hAnsi="Bookman Old Style" w:cs="Arial"/>
          <w:sz w:val="24"/>
          <w:szCs w:val="24"/>
        </w:rPr>
        <w:t xml:space="preserve"> </w:t>
      </w:r>
      <w:r w:rsidRPr="00727324">
        <w:rPr>
          <w:rFonts w:ascii="Bookman Old Style" w:hAnsi="Bookman Old Style" w:cs="Arial"/>
          <w:sz w:val="24"/>
          <w:szCs w:val="24"/>
        </w:rPr>
        <w:t>202</w:t>
      </w:r>
      <w:r w:rsidRPr="00727324">
        <w:rPr>
          <w:rFonts w:ascii="Bookman Old Style" w:hAnsi="Bookman Old Style" w:cs="Arial"/>
          <w:sz w:val="24"/>
          <w:szCs w:val="24"/>
          <w:lang w:val="en-US"/>
        </w:rPr>
        <w:t>5</w:t>
      </w:r>
      <w:r>
        <w:rPr>
          <w:rFonts w:ascii="Bookman Old Style" w:hAnsi="Bookman Old Style" w:cs="Arial"/>
          <w:sz w:val="24"/>
          <w:szCs w:val="24"/>
          <w:lang w:val="en-US"/>
        </w:rPr>
        <w:t>.</w:t>
      </w:r>
    </w:p>
    <w:p w14:paraId="054A8E93" w14:textId="68D15BF5" w:rsidR="00954E32" w:rsidRDefault="00954E32" w:rsidP="00F639B5">
      <w:pPr>
        <w:pStyle w:val="ListParagraph"/>
        <w:spacing w:before="60" w:after="0" w:line="276" w:lineRule="auto"/>
        <w:ind w:left="2268"/>
        <w:contextualSpacing w:val="0"/>
        <w:jc w:val="both"/>
        <w:rPr>
          <w:rFonts w:ascii="Bookman Old Style" w:hAnsi="Bookman Old Style" w:cs="Arial"/>
          <w:sz w:val="24"/>
          <w:szCs w:val="24"/>
        </w:rPr>
      </w:pPr>
      <w:r w:rsidRPr="007B1264">
        <w:rPr>
          <w:rFonts w:ascii="Bookman Old Style" w:hAnsi="Bookman Old Style"/>
          <w:sz w:val="24"/>
          <w:szCs w:val="24"/>
        </w:rPr>
        <w:t>Selanjutnya,</w:t>
      </w:r>
      <w:r w:rsidR="00A954D0">
        <w:rPr>
          <w:rFonts w:ascii="Bookman Old Style" w:hAnsi="Bookman Old Style"/>
          <w:sz w:val="24"/>
          <w:szCs w:val="24"/>
        </w:rPr>
        <w:t xml:space="preserve"> </w:t>
      </w:r>
      <w:r w:rsidRPr="007B1264">
        <w:rPr>
          <w:rFonts w:ascii="Bookman Old Style" w:hAnsi="Bookman Old Style"/>
          <w:sz w:val="24"/>
          <w:szCs w:val="24"/>
        </w:rPr>
        <w:t>penggunaan</w:t>
      </w:r>
      <w:r w:rsidR="00A954D0">
        <w:rPr>
          <w:rFonts w:ascii="Bookman Old Style" w:hAnsi="Bookman Old Style"/>
          <w:sz w:val="24"/>
          <w:szCs w:val="24"/>
        </w:rPr>
        <w:t xml:space="preserve"> </w:t>
      </w:r>
      <w:r w:rsidRPr="007B1264">
        <w:rPr>
          <w:rFonts w:ascii="Bookman Old Style" w:hAnsi="Bookman Old Style"/>
          <w:sz w:val="24"/>
          <w:szCs w:val="24"/>
        </w:rPr>
        <w:t>penyediaan</w:t>
      </w:r>
      <w:r w:rsidR="00A954D0">
        <w:rPr>
          <w:rFonts w:ascii="Bookman Old Style" w:hAnsi="Bookman Old Style"/>
          <w:sz w:val="24"/>
          <w:szCs w:val="24"/>
        </w:rPr>
        <w:t xml:space="preserve"> </w:t>
      </w:r>
      <w:r w:rsidRPr="007B1264">
        <w:rPr>
          <w:rFonts w:ascii="Bookman Old Style" w:hAnsi="Bookman Old Style"/>
          <w:sz w:val="24"/>
          <w:szCs w:val="24"/>
        </w:rPr>
        <w:t>anggaran</w:t>
      </w:r>
      <w:r w:rsidR="00A954D0">
        <w:rPr>
          <w:rFonts w:ascii="Bookman Old Style" w:hAnsi="Bookman Old Style"/>
          <w:sz w:val="24"/>
          <w:szCs w:val="24"/>
        </w:rPr>
        <w:t xml:space="preserve"> </w:t>
      </w:r>
      <w:r w:rsidRPr="007B1264">
        <w:rPr>
          <w:rFonts w:ascii="Bookman Old Style" w:hAnsi="Bookman Old Style"/>
          <w:sz w:val="24"/>
          <w:szCs w:val="24"/>
        </w:rPr>
        <w:t>Belanja</w:t>
      </w:r>
      <w:r w:rsidR="00A954D0">
        <w:rPr>
          <w:rFonts w:ascii="Bookman Old Style" w:hAnsi="Bookman Old Style"/>
          <w:sz w:val="24"/>
          <w:szCs w:val="24"/>
        </w:rPr>
        <w:t xml:space="preserve"> </w:t>
      </w:r>
      <w:r w:rsidRPr="007B1264">
        <w:rPr>
          <w:rFonts w:ascii="Bookman Old Style" w:hAnsi="Bookman Old Style"/>
          <w:sz w:val="24"/>
          <w:szCs w:val="24"/>
        </w:rPr>
        <w:t>Dana</w:t>
      </w:r>
      <w:r w:rsidR="00A954D0">
        <w:rPr>
          <w:rFonts w:ascii="Bookman Old Style" w:hAnsi="Bookman Old Style"/>
          <w:sz w:val="24"/>
          <w:szCs w:val="24"/>
        </w:rPr>
        <w:t xml:space="preserve"> </w:t>
      </w:r>
      <w:r w:rsidRPr="007B1264">
        <w:rPr>
          <w:rFonts w:ascii="Bookman Old Style" w:hAnsi="Bookman Old Style"/>
          <w:sz w:val="24"/>
          <w:szCs w:val="24"/>
        </w:rPr>
        <w:t>Operasional</w:t>
      </w:r>
      <w:r w:rsidR="00A954D0">
        <w:rPr>
          <w:rFonts w:ascii="Bookman Old Style" w:hAnsi="Bookman Old Style"/>
          <w:sz w:val="24"/>
          <w:szCs w:val="24"/>
        </w:rPr>
        <w:t xml:space="preserve"> </w:t>
      </w:r>
      <w:r w:rsidRPr="007B1264">
        <w:rPr>
          <w:rFonts w:ascii="Bookman Old Style" w:hAnsi="Bookman Old Style"/>
          <w:sz w:val="24"/>
          <w:szCs w:val="24"/>
        </w:rPr>
        <w:t>KDH/WKDH</w:t>
      </w:r>
      <w:r w:rsidR="00A954D0">
        <w:rPr>
          <w:rFonts w:ascii="Bookman Old Style" w:hAnsi="Bookman Old Style"/>
          <w:sz w:val="24"/>
          <w:szCs w:val="24"/>
        </w:rPr>
        <w:t xml:space="preserve"> </w:t>
      </w:r>
      <w:r w:rsidRPr="007B1264">
        <w:rPr>
          <w:rFonts w:ascii="Bookman Old Style" w:hAnsi="Bookman Old Style"/>
          <w:sz w:val="24"/>
          <w:szCs w:val="24"/>
        </w:rPr>
        <w:t>tersebut</w:t>
      </w:r>
      <w:r w:rsidR="00A954D0">
        <w:rPr>
          <w:rFonts w:ascii="Bookman Old Style" w:hAnsi="Bookman Old Style"/>
          <w:sz w:val="24"/>
          <w:szCs w:val="24"/>
        </w:rPr>
        <w:t xml:space="preserve"> </w:t>
      </w:r>
      <w:r w:rsidRPr="007B1264">
        <w:rPr>
          <w:rFonts w:ascii="Bookman Old Style" w:hAnsi="Bookman Old Style"/>
          <w:sz w:val="24"/>
          <w:szCs w:val="24"/>
        </w:rPr>
        <w:t>harus</w:t>
      </w:r>
      <w:r w:rsidR="00A954D0">
        <w:rPr>
          <w:rFonts w:ascii="Bookman Old Style" w:hAnsi="Bookman Old Style"/>
          <w:sz w:val="24"/>
          <w:szCs w:val="24"/>
        </w:rPr>
        <w:t xml:space="preserve"> </w:t>
      </w:r>
      <w:r w:rsidRPr="007B1264">
        <w:rPr>
          <w:rFonts w:ascii="Bookman Old Style" w:hAnsi="Bookman Old Style"/>
          <w:sz w:val="24"/>
          <w:szCs w:val="24"/>
        </w:rPr>
        <w:t>berpedoman</w:t>
      </w:r>
      <w:r w:rsidR="00A954D0">
        <w:rPr>
          <w:rFonts w:ascii="Bookman Old Style" w:hAnsi="Bookman Old Style"/>
          <w:sz w:val="24"/>
          <w:szCs w:val="24"/>
        </w:rPr>
        <w:t xml:space="preserve"> </w:t>
      </w:r>
      <w:r w:rsidRPr="007B1264">
        <w:rPr>
          <w:rFonts w:ascii="Bookman Old Style" w:hAnsi="Bookman Old Style"/>
          <w:sz w:val="24"/>
          <w:szCs w:val="24"/>
        </w:rPr>
        <w:t>pada</w:t>
      </w:r>
      <w:r w:rsidR="00A954D0">
        <w:rPr>
          <w:rFonts w:ascii="Bookman Old Style" w:hAnsi="Bookman Old Style"/>
          <w:sz w:val="24"/>
          <w:szCs w:val="24"/>
        </w:rPr>
        <w:t xml:space="preserve"> </w:t>
      </w:r>
      <w:r w:rsidRPr="007B1264">
        <w:rPr>
          <w:rFonts w:ascii="Bookman Old Style" w:hAnsi="Bookman Old Style"/>
          <w:sz w:val="24"/>
          <w:szCs w:val="24"/>
        </w:rPr>
        <w:t>Pasal</w:t>
      </w:r>
      <w:r w:rsidR="00A954D0">
        <w:rPr>
          <w:rFonts w:ascii="Bookman Old Style" w:hAnsi="Bookman Old Style"/>
          <w:sz w:val="24"/>
          <w:szCs w:val="24"/>
        </w:rPr>
        <w:t xml:space="preserve"> </w:t>
      </w:r>
      <w:r w:rsidRPr="007B1264">
        <w:rPr>
          <w:rFonts w:ascii="Bookman Old Style" w:hAnsi="Bookman Old Style"/>
          <w:sz w:val="24"/>
          <w:szCs w:val="24"/>
        </w:rPr>
        <w:t>8</w:t>
      </w:r>
      <w:r w:rsidR="00A954D0">
        <w:rPr>
          <w:rFonts w:ascii="Bookman Old Style" w:hAnsi="Bookman Old Style"/>
          <w:sz w:val="24"/>
          <w:szCs w:val="24"/>
        </w:rPr>
        <w:t xml:space="preserve"> </w:t>
      </w:r>
      <w:r w:rsidRPr="007B1264">
        <w:rPr>
          <w:rFonts w:ascii="Bookman Old Style" w:hAnsi="Bookman Old Style"/>
          <w:sz w:val="24"/>
          <w:szCs w:val="24"/>
        </w:rPr>
        <w:t>huruf</w:t>
      </w:r>
      <w:r w:rsidR="00A954D0">
        <w:rPr>
          <w:rFonts w:ascii="Bookman Old Style" w:hAnsi="Bookman Old Style"/>
          <w:sz w:val="24"/>
          <w:szCs w:val="24"/>
        </w:rPr>
        <w:t xml:space="preserve"> </w:t>
      </w:r>
      <w:r w:rsidRPr="007B1264">
        <w:rPr>
          <w:rFonts w:ascii="Bookman Old Style" w:hAnsi="Bookman Old Style"/>
          <w:sz w:val="24"/>
          <w:szCs w:val="24"/>
        </w:rPr>
        <w:t>h</w:t>
      </w:r>
      <w:r w:rsidR="00A954D0">
        <w:rPr>
          <w:rFonts w:ascii="Bookman Old Style" w:hAnsi="Bookman Old Style"/>
          <w:sz w:val="24"/>
          <w:szCs w:val="24"/>
        </w:rPr>
        <w:t xml:space="preserve"> </w:t>
      </w:r>
      <w:r w:rsidRPr="007B1264">
        <w:rPr>
          <w:rFonts w:ascii="Bookman Old Style" w:hAnsi="Bookman Old Style"/>
          <w:sz w:val="24"/>
          <w:szCs w:val="24"/>
        </w:rPr>
        <w:t>Peraturan</w:t>
      </w:r>
      <w:r w:rsidR="00A954D0">
        <w:rPr>
          <w:rFonts w:ascii="Bookman Old Style" w:hAnsi="Bookman Old Style"/>
          <w:sz w:val="24"/>
          <w:szCs w:val="24"/>
        </w:rPr>
        <w:t xml:space="preserve"> </w:t>
      </w:r>
      <w:r w:rsidRPr="007B1264">
        <w:rPr>
          <w:rFonts w:ascii="Bookman Old Style" w:hAnsi="Bookman Old Style"/>
          <w:sz w:val="24"/>
          <w:szCs w:val="24"/>
        </w:rPr>
        <w:t>Pemerintah</w:t>
      </w:r>
      <w:r w:rsidR="00A954D0">
        <w:rPr>
          <w:rFonts w:ascii="Bookman Old Style" w:hAnsi="Bookman Old Style"/>
          <w:sz w:val="24"/>
          <w:szCs w:val="24"/>
        </w:rPr>
        <w:t xml:space="preserve"> </w:t>
      </w:r>
      <w:r w:rsidRPr="007B1264">
        <w:rPr>
          <w:rFonts w:ascii="Bookman Old Style" w:hAnsi="Bookman Old Style"/>
          <w:sz w:val="24"/>
          <w:szCs w:val="24"/>
        </w:rPr>
        <w:t>Nomor</w:t>
      </w:r>
      <w:r w:rsidR="00A954D0">
        <w:rPr>
          <w:rFonts w:ascii="Bookman Old Style" w:hAnsi="Bookman Old Style"/>
          <w:sz w:val="24"/>
          <w:szCs w:val="24"/>
        </w:rPr>
        <w:t xml:space="preserve"> </w:t>
      </w:r>
      <w:r w:rsidRPr="007B1264">
        <w:rPr>
          <w:rFonts w:ascii="Bookman Old Style" w:hAnsi="Bookman Old Style"/>
          <w:sz w:val="24"/>
          <w:szCs w:val="24"/>
        </w:rPr>
        <w:t>109</w:t>
      </w:r>
      <w:r w:rsidR="00A954D0">
        <w:rPr>
          <w:rFonts w:ascii="Bookman Old Style" w:hAnsi="Bookman Old Style"/>
          <w:sz w:val="24"/>
          <w:szCs w:val="24"/>
        </w:rPr>
        <w:t xml:space="preserve"> </w:t>
      </w:r>
      <w:r w:rsidRPr="007B1264">
        <w:rPr>
          <w:rFonts w:ascii="Bookman Old Style" w:hAnsi="Bookman Old Style"/>
          <w:sz w:val="24"/>
          <w:szCs w:val="24"/>
        </w:rPr>
        <w:t>Tahun</w:t>
      </w:r>
      <w:r w:rsidR="00A954D0">
        <w:rPr>
          <w:rFonts w:ascii="Bookman Old Style" w:hAnsi="Bookman Old Style"/>
          <w:sz w:val="24"/>
          <w:szCs w:val="24"/>
        </w:rPr>
        <w:t xml:space="preserve"> </w:t>
      </w:r>
      <w:r w:rsidRPr="007B1264">
        <w:rPr>
          <w:rFonts w:ascii="Bookman Old Style" w:hAnsi="Bookman Old Style"/>
          <w:sz w:val="24"/>
          <w:szCs w:val="24"/>
        </w:rPr>
        <w:t>2000</w:t>
      </w:r>
      <w:r w:rsidRPr="00F56FF5">
        <w:rPr>
          <w:rFonts w:ascii="Bookman Old Style" w:hAnsi="Bookman Old Style"/>
          <w:sz w:val="24"/>
          <w:szCs w:val="24"/>
        </w:rPr>
        <w:t>.</w:t>
      </w:r>
    </w:p>
    <w:p w14:paraId="272303AE" w14:textId="407A09D8" w:rsidR="005A4806" w:rsidRPr="00727324" w:rsidRDefault="005A4806" w:rsidP="00F639B5">
      <w:pPr>
        <w:pStyle w:val="ListParagraph"/>
        <w:numPr>
          <w:ilvl w:val="0"/>
          <w:numId w:val="13"/>
        </w:numPr>
        <w:spacing w:before="60" w:after="0" w:line="276" w:lineRule="auto"/>
        <w:ind w:left="2268" w:hanging="567"/>
        <w:contextualSpacing w:val="0"/>
        <w:jc w:val="both"/>
        <w:rPr>
          <w:rFonts w:ascii="Bookman Old Style" w:hAnsi="Bookman Old Style" w:cs="Arial"/>
          <w:sz w:val="24"/>
          <w:szCs w:val="24"/>
        </w:rPr>
      </w:pPr>
      <w:r w:rsidRPr="000007E7">
        <w:rPr>
          <w:rFonts w:ascii="Bookman Old Style" w:hAnsi="Bookman Old Style" w:cs="Gill Sans Light (Arabid)"/>
          <w:bCs/>
          <w:color w:val="000000" w:themeColor="text1"/>
          <w:sz w:val="24"/>
          <w:szCs w:val="24"/>
          <w:lang w:eastAsia="id-ID"/>
        </w:rPr>
        <w:t>Tambahan</w:t>
      </w:r>
      <w:r w:rsidR="00A954D0">
        <w:rPr>
          <w:rFonts w:ascii="Bookman Old Style" w:hAnsi="Bookman Old Style" w:cs="Arial"/>
          <w:sz w:val="24"/>
          <w:szCs w:val="24"/>
        </w:rPr>
        <w:t xml:space="preserve"> </w:t>
      </w:r>
      <w:r w:rsidRPr="00727324">
        <w:rPr>
          <w:rFonts w:ascii="Bookman Old Style" w:hAnsi="Bookman Old Style" w:cs="Arial"/>
          <w:sz w:val="24"/>
          <w:szCs w:val="24"/>
        </w:rPr>
        <w:t>Penghasilan</w:t>
      </w:r>
      <w:r w:rsidR="00A954D0">
        <w:rPr>
          <w:rFonts w:ascii="Bookman Old Style" w:hAnsi="Bookman Old Style" w:cs="Arial"/>
          <w:sz w:val="24"/>
          <w:szCs w:val="24"/>
        </w:rPr>
        <w:t xml:space="preserve"> </w:t>
      </w:r>
      <w:r w:rsidRPr="00727324">
        <w:rPr>
          <w:rFonts w:ascii="Bookman Old Style" w:hAnsi="Bookman Old Style" w:cs="Arial"/>
          <w:sz w:val="24"/>
          <w:szCs w:val="24"/>
        </w:rPr>
        <w:t>ASN</w:t>
      </w:r>
    </w:p>
    <w:p w14:paraId="0550F91D" w14:textId="022FC3F8" w:rsidR="005A4806" w:rsidRPr="00727324" w:rsidRDefault="005A4806" w:rsidP="00F639B5">
      <w:pPr>
        <w:pStyle w:val="ListParagraph"/>
        <w:spacing w:before="60" w:after="0" w:line="276" w:lineRule="auto"/>
        <w:ind w:left="2268"/>
        <w:contextualSpacing w:val="0"/>
        <w:jc w:val="both"/>
        <w:rPr>
          <w:rFonts w:ascii="Bookman Old Style" w:hAnsi="Bookman Old Style" w:cs="Arial"/>
          <w:sz w:val="24"/>
          <w:szCs w:val="24"/>
          <w:highlight w:val="yellow"/>
        </w:rPr>
      </w:pPr>
      <w:r w:rsidRPr="00727324">
        <w:rPr>
          <w:rFonts w:ascii="Bookman Old Style" w:hAnsi="Bookman Old Style" w:cs="Arial"/>
          <w:sz w:val="24"/>
          <w:szCs w:val="24"/>
        </w:rPr>
        <w:t>Penyediaan</w:t>
      </w:r>
      <w:r w:rsidR="00A954D0">
        <w:rPr>
          <w:rFonts w:ascii="Bookman Old Style" w:hAnsi="Bookman Old Style" w:cs="Arial"/>
          <w:sz w:val="24"/>
          <w:szCs w:val="24"/>
        </w:rPr>
        <w:t xml:space="preserve"> </w:t>
      </w:r>
      <w:r w:rsidRPr="00727324">
        <w:rPr>
          <w:rFonts w:ascii="Bookman Old Style" w:hAnsi="Bookman Old Style" w:cs="Arial"/>
          <w:sz w:val="24"/>
          <w:szCs w:val="24"/>
        </w:rPr>
        <w:t>anggaran</w:t>
      </w:r>
      <w:r w:rsidR="00A954D0">
        <w:rPr>
          <w:rFonts w:ascii="Bookman Old Style" w:hAnsi="Bookman Old Style" w:cs="Arial"/>
          <w:sz w:val="24"/>
          <w:szCs w:val="24"/>
        </w:rPr>
        <w:t xml:space="preserve"> </w:t>
      </w:r>
      <w:r w:rsidRPr="00727324">
        <w:rPr>
          <w:rFonts w:ascii="Bookman Old Style" w:hAnsi="Bookman Old Style" w:cs="Arial"/>
          <w:sz w:val="24"/>
          <w:szCs w:val="24"/>
          <w:lang w:val="en-US"/>
        </w:rPr>
        <w:t>Belanja</w:t>
      </w:r>
      <w:r w:rsidR="00A954D0">
        <w:rPr>
          <w:rFonts w:ascii="Bookman Old Style" w:hAnsi="Bookman Old Style" w:cs="Arial"/>
          <w:sz w:val="24"/>
          <w:szCs w:val="24"/>
          <w:lang w:val="en-US"/>
        </w:rPr>
        <w:t xml:space="preserve"> </w:t>
      </w:r>
      <w:r w:rsidRPr="00727324">
        <w:rPr>
          <w:rFonts w:ascii="Bookman Old Style" w:hAnsi="Bookman Old Style" w:cs="Arial"/>
          <w:sz w:val="24"/>
          <w:szCs w:val="24"/>
        </w:rPr>
        <w:t>Tambahan</w:t>
      </w:r>
      <w:r w:rsidR="00A954D0">
        <w:rPr>
          <w:rFonts w:ascii="Bookman Old Style" w:hAnsi="Bookman Old Style" w:cs="Arial"/>
          <w:sz w:val="24"/>
          <w:szCs w:val="24"/>
        </w:rPr>
        <w:t xml:space="preserve"> </w:t>
      </w:r>
      <w:r w:rsidRPr="00727324">
        <w:rPr>
          <w:rFonts w:ascii="Bookman Old Style" w:hAnsi="Bookman Old Style" w:cs="Arial"/>
          <w:sz w:val="24"/>
          <w:szCs w:val="24"/>
        </w:rPr>
        <w:t>Penghasilan</w:t>
      </w:r>
      <w:r w:rsidR="00A954D0">
        <w:rPr>
          <w:rFonts w:ascii="Bookman Old Style" w:hAnsi="Bookman Old Style" w:cs="Arial"/>
          <w:sz w:val="24"/>
          <w:szCs w:val="24"/>
          <w:lang w:val="en-US"/>
        </w:rPr>
        <w:t xml:space="preserve"> </w:t>
      </w:r>
      <w:r w:rsidRPr="00727324">
        <w:rPr>
          <w:rFonts w:ascii="Bookman Old Style" w:hAnsi="Bookman Old Style" w:cs="Arial"/>
          <w:sz w:val="24"/>
          <w:szCs w:val="24"/>
        </w:rPr>
        <w:t>ASN</w:t>
      </w:r>
      <w:r w:rsidR="00A954D0">
        <w:rPr>
          <w:rFonts w:ascii="Bookman Old Style" w:hAnsi="Bookman Old Style" w:cs="Arial"/>
          <w:sz w:val="24"/>
          <w:szCs w:val="24"/>
        </w:rPr>
        <w:t xml:space="preserve"> </w:t>
      </w:r>
      <w:r w:rsidRPr="00727324">
        <w:rPr>
          <w:rFonts w:ascii="Bookman Old Style" w:hAnsi="Bookman Old Style"/>
          <w:sz w:val="24"/>
          <w:szCs w:val="24"/>
          <w:lang w:val="en-US"/>
        </w:rPr>
        <w:t>Rp</w:t>
      </w:r>
      <w:r w:rsidRPr="00776DDB">
        <w:rPr>
          <w:rFonts w:ascii="Bookman Old Style" w:hAnsi="Bookman Old Style"/>
          <w:sz w:val="24"/>
          <w:szCs w:val="24"/>
          <w:lang w:val="en-US"/>
        </w:rPr>
        <w:t>1</w:t>
      </w:r>
      <w:r>
        <w:rPr>
          <w:rFonts w:ascii="Bookman Old Style" w:hAnsi="Bookman Old Style"/>
          <w:sz w:val="24"/>
          <w:szCs w:val="24"/>
          <w:lang w:val="en-US"/>
        </w:rPr>
        <w:t>.</w:t>
      </w:r>
      <w:r w:rsidRPr="00776DDB">
        <w:rPr>
          <w:rFonts w:ascii="Bookman Old Style" w:hAnsi="Bookman Old Style"/>
          <w:sz w:val="24"/>
          <w:szCs w:val="24"/>
          <w:lang w:val="en-US"/>
        </w:rPr>
        <w:t>153</w:t>
      </w:r>
      <w:r>
        <w:rPr>
          <w:rFonts w:ascii="Bookman Old Style" w:hAnsi="Bookman Old Style"/>
          <w:sz w:val="24"/>
          <w:szCs w:val="24"/>
          <w:lang w:val="en-US"/>
        </w:rPr>
        <w:t>.</w:t>
      </w:r>
      <w:r w:rsidRPr="00776DDB">
        <w:rPr>
          <w:rFonts w:ascii="Bookman Old Style" w:hAnsi="Bookman Old Style"/>
          <w:sz w:val="24"/>
          <w:szCs w:val="24"/>
          <w:lang w:val="en-US"/>
        </w:rPr>
        <w:t>279</w:t>
      </w:r>
      <w:r>
        <w:rPr>
          <w:rFonts w:ascii="Bookman Old Style" w:hAnsi="Bookman Old Style"/>
          <w:sz w:val="24"/>
          <w:szCs w:val="24"/>
          <w:lang w:val="en-US"/>
        </w:rPr>
        <w:t>.</w:t>
      </w:r>
      <w:r w:rsidRPr="00776DDB">
        <w:rPr>
          <w:rFonts w:ascii="Bookman Old Style" w:hAnsi="Bookman Old Style"/>
          <w:sz w:val="24"/>
          <w:szCs w:val="24"/>
          <w:lang w:val="en-US"/>
        </w:rPr>
        <w:t>062</w:t>
      </w:r>
      <w:r>
        <w:rPr>
          <w:rFonts w:ascii="Bookman Old Style" w:hAnsi="Bookman Old Style"/>
          <w:sz w:val="24"/>
          <w:szCs w:val="24"/>
          <w:lang w:val="en-US"/>
        </w:rPr>
        <w:t>.</w:t>
      </w:r>
      <w:r w:rsidRPr="00776DDB">
        <w:rPr>
          <w:rFonts w:ascii="Bookman Old Style" w:hAnsi="Bookman Old Style"/>
          <w:sz w:val="24"/>
          <w:szCs w:val="24"/>
          <w:lang w:val="en-US"/>
        </w:rPr>
        <w:t>146</w:t>
      </w:r>
      <w:r>
        <w:rPr>
          <w:rFonts w:ascii="Bookman Old Style" w:hAnsi="Bookman Old Style"/>
          <w:sz w:val="24"/>
          <w:szCs w:val="24"/>
          <w:lang w:val="en-US"/>
        </w:rPr>
        <w:t>,</w:t>
      </w:r>
      <w:r w:rsidRPr="00776DDB">
        <w:rPr>
          <w:rFonts w:ascii="Bookman Old Style" w:hAnsi="Bookman Old Style"/>
          <w:sz w:val="24"/>
          <w:szCs w:val="24"/>
          <w:lang w:val="en-US"/>
        </w:rPr>
        <w:t>04</w:t>
      </w:r>
      <w:r w:rsidR="00A954D0">
        <w:rPr>
          <w:rFonts w:ascii="Bookman Old Style" w:hAnsi="Bookman Old Style"/>
          <w:sz w:val="24"/>
          <w:szCs w:val="24"/>
          <w:lang w:val="en-US"/>
        </w:rPr>
        <w:t xml:space="preserve"> </w:t>
      </w:r>
      <w:r w:rsidRPr="00727324">
        <w:rPr>
          <w:rFonts w:ascii="Bookman Old Style" w:hAnsi="Bookman Old Style"/>
          <w:sz w:val="24"/>
          <w:szCs w:val="24"/>
        </w:rPr>
        <w:t>atau</w:t>
      </w:r>
      <w:r w:rsidR="00A954D0">
        <w:rPr>
          <w:rFonts w:ascii="Bookman Old Style" w:hAnsi="Bookman Old Style"/>
          <w:sz w:val="24"/>
          <w:szCs w:val="24"/>
        </w:rPr>
        <w:t xml:space="preserve"> </w:t>
      </w:r>
      <w:r>
        <w:rPr>
          <w:rFonts w:ascii="Bookman Old Style" w:hAnsi="Bookman Old Style"/>
          <w:sz w:val="24"/>
          <w:szCs w:val="24"/>
          <w:lang w:val="en-US"/>
        </w:rPr>
        <w:t>20</w:t>
      </w:r>
      <w:r w:rsidRPr="00727324">
        <w:rPr>
          <w:rFonts w:ascii="Bookman Old Style" w:hAnsi="Bookman Old Style"/>
          <w:sz w:val="24"/>
          <w:szCs w:val="24"/>
          <w:lang w:val="en-US"/>
        </w:rPr>
        <w:t>,</w:t>
      </w:r>
      <w:r>
        <w:rPr>
          <w:rFonts w:ascii="Bookman Old Style" w:hAnsi="Bookman Old Style"/>
          <w:sz w:val="24"/>
          <w:szCs w:val="24"/>
          <w:lang w:val="en-US"/>
        </w:rPr>
        <w:t>21</w:t>
      </w:r>
      <w:r w:rsidRPr="00727324">
        <w:rPr>
          <w:rFonts w:ascii="Bookman Old Style" w:hAnsi="Bookman Old Style"/>
          <w:sz w:val="24"/>
          <w:szCs w:val="24"/>
          <w:lang w:val="en-US"/>
        </w:rPr>
        <w:t>%</w:t>
      </w:r>
      <w:r w:rsidR="00A954D0">
        <w:rPr>
          <w:rFonts w:ascii="Bookman Old Style" w:hAnsi="Bookman Old Style"/>
          <w:sz w:val="24"/>
          <w:szCs w:val="24"/>
        </w:rPr>
        <w:t xml:space="preserve"> </w:t>
      </w:r>
      <w:r w:rsidRPr="00727324">
        <w:rPr>
          <w:rFonts w:ascii="Bookman Old Style" w:hAnsi="Bookman Old Style"/>
          <w:sz w:val="24"/>
          <w:szCs w:val="24"/>
        </w:rPr>
        <w:t>dari</w:t>
      </w:r>
      <w:r w:rsidR="00A954D0">
        <w:rPr>
          <w:rFonts w:ascii="Bookman Old Style" w:hAnsi="Bookman Old Style"/>
          <w:sz w:val="24"/>
          <w:szCs w:val="24"/>
        </w:rPr>
        <w:t xml:space="preserve"> </w:t>
      </w:r>
      <w:r w:rsidRPr="00727324">
        <w:rPr>
          <w:rFonts w:ascii="Bookman Old Style" w:hAnsi="Bookman Old Style"/>
          <w:sz w:val="24"/>
          <w:szCs w:val="24"/>
        </w:rPr>
        <w:t>total</w:t>
      </w:r>
      <w:r w:rsidR="00A954D0">
        <w:rPr>
          <w:rFonts w:ascii="Bookman Old Style" w:hAnsi="Bookman Old Style"/>
          <w:sz w:val="24"/>
          <w:szCs w:val="24"/>
        </w:rPr>
        <w:t xml:space="preserve"> </w:t>
      </w:r>
      <w:r w:rsidRPr="00727324">
        <w:rPr>
          <w:rFonts w:ascii="Bookman Old Style" w:hAnsi="Bookman Old Style"/>
          <w:sz w:val="24"/>
          <w:szCs w:val="24"/>
        </w:rPr>
        <w:t>belanja</w:t>
      </w:r>
      <w:r w:rsidR="00A954D0">
        <w:rPr>
          <w:rFonts w:ascii="Bookman Old Style" w:hAnsi="Bookman Old Style"/>
          <w:sz w:val="24"/>
          <w:szCs w:val="24"/>
        </w:rPr>
        <w:t xml:space="preserve"> </w:t>
      </w:r>
      <w:r w:rsidRPr="00727324">
        <w:rPr>
          <w:rFonts w:ascii="Bookman Old Style" w:hAnsi="Bookman Old Style"/>
          <w:sz w:val="24"/>
          <w:szCs w:val="24"/>
        </w:rPr>
        <w:t>daerah</w:t>
      </w:r>
      <w:r w:rsidR="00A954D0">
        <w:rPr>
          <w:rFonts w:ascii="Bookman Old Style" w:hAnsi="Bookman Old Style"/>
          <w:sz w:val="24"/>
          <w:szCs w:val="24"/>
        </w:rPr>
        <w:t xml:space="preserve"> </w:t>
      </w:r>
      <w:r w:rsidRPr="00727324">
        <w:rPr>
          <w:rFonts w:ascii="Bookman Old Style" w:hAnsi="Bookman Old Style"/>
          <w:sz w:val="24"/>
          <w:szCs w:val="24"/>
        </w:rPr>
        <w:t>dalam</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Rancangan</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Peraturan</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Daerah</w:t>
      </w:r>
      <w:r w:rsidR="00A954D0">
        <w:rPr>
          <w:rFonts w:ascii="Bookman Old Style" w:hAnsi="Bookman Old Style"/>
          <w:sz w:val="24"/>
          <w:szCs w:val="24"/>
          <w:lang w:val="id-ID"/>
        </w:rPr>
        <w:t xml:space="preserve"> </w:t>
      </w:r>
      <w:r>
        <w:rPr>
          <w:rFonts w:ascii="Bookman Old Style" w:hAnsi="Bookman Old Style"/>
          <w:sz w:val="24"/>
          <w:szCs w:val="24"/>
          <w:lang w:val="id-ID"/>
        </w:rPr>
        <w:t>Kota</w:t>
      </w:r>
      <w:r w:rsidR="00A954D0">
        <w:rPr>
          <w:rFonts w:ascii="Bookman Old Style" w:hAnsi="Bookman Old Style"/>
          <w:sz w:val="24"/>
          <w:szCs w:val="24"/>
          <w:lang w:val="id-ID"/>
        </w:rPr>
        <w:t xml:space="preserve"> </w:t>
      </w:r>
      <w:r>
        <w:rPr>
          <w:rFonts w:ascii="Bookman Old Style" w:hAnsi="Bookman Old Style"/>
          <w:sz w:val="24"/>
          <w:szCs w:val="24"/>
          <w:lang w:val="fi-FI"/>
        </w:rPr>
        <w:t>Tangerang</w:t>
      </w:r>
      <w:r w:rsidR="00A954D0">
        <w:rPr>
          <w:rFonts w:ascii="Bookman Old Style" w:hAnsi="Bookman Old Style"/>
          <w:sz w:val="24"/>
          <w:szCs w:val="24"/>
        </w:rPr>
        <w:t xml:space="preserve"> </w:t>
      </w:r>
      <w:r w:rsidRPr="00727324">
        <w:rPr>
          <w:rFonts w:ascii="Bookman Old Style" w:hAnsi="Bookman Old Style" w:cs="Gill Sans Light (Arabid)"/>
          <w:bCs/>
          <w:sz w:val="24"/>
          <w:szCs w:val="24"/>
          <w:lang w:eastAsia="id-ID"/>
        </w:rPr>
        <w:t>tentang</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APBD</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Tahun</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Anggaran</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202</w:t>
      </w:r>
      <w:r w:rsidRPr="00727324">
        <w:rPr>
          <w:rFonts w:ascii="Bookman Old Style" w:hAnsi="Bookman Old Style" w:cs="Gill Sans Light (Arabid)"/>
          <w:bCs/>
          <w:sz w:val="24"/>
          <w:szCs w:val="24"/>
          <w:lang w:val="en-US" w:eastAsia="id-ID"/>
        </w:rPr>
        <w:t>5</w:t>
      </w:r>
      <w:r w:rsidRPr="00727324">
        <w:rPr>
          <w:rFonts w:ascii="Bookman Old Style" w:hAnsi="Bookman Old Style" w:cs="Gill Sans Light (Arabid)"/>
          <w:bCs/>
          <w:sz w:val="24"/>
          <w:szCs w:val="24"/>
          <w:lang w:eastAsia="id-ID"/>
        </w:rPr>
        <w:t>,</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yang</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diuraikan</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ke</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dalam</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rincian</w:t>
      </w:r>
      <w:r w:rsidR="00A954D0">
        <w:rPr>
          <w:rFonts w:ascii="Bookman Old Style" w:hAnsi="Bookman Old Style" w:cs="Gill Sans Light (Arabid)"/>
          <w:bCs/>
          <w:sz w:val="24"/>
          <w:szCs w:val="24"/>
          <w:lang w:eastAsia="id-ID"/>
        </w:rPr>
        <w:t xml:space="preserve"> </w:t>
      </w:r>
      <w:r w:rsidRPr="00727324">
        <w:rPr>
          <w:rFonts w:ascii="Bookman Old Style" w:hAnsi="Bookman Old Style" w:cs="Gill Sans Light (Arabid)"/>
          <w:bCs/>
          <w:sz w:val="24"/>
          <w:szCs w:val="24"/>
          <w:lang w:eastAsia="id-ID"/>
        </w:rPr>
        <w:t>objek</w:t>
      </w:r>
      <w:r w:rsidR="00A954D0">
        <w:rPr>
          <w:rFonts w:ascii="Bookman Old Style" w:hAnsi="Bookman Old Style" w:cs="Gill Sans Light (Arabid)"/>
          <w:bCs/>
          <w:sz w:val="24"/>
          <w:szCs w:val="24"/>
          <w:lang w:val="en-US" w:eastAsia="id-ID"/>
        </w:rPr>
        <w:t xml:space="preserve"> </w:t>
      </w:r>
      <w:r w:rsidRPr="00727324">
        <w:rPr>
          <w:rFonts w:ascii="Bookman Old Style" w:hAnsi="Bookman Old Style" w:cs="Gill Sans Light (Arabid)"/>
          <w:bCs/>
          <w:sz w:val="24"/>
          <w:szCs w:val="24"/>
          <w:lang w:val="en-US" w:eastAsia="id-ID"/>
        </w:rPr>
        <w:t>belanja</w:t>
      </w:r>
      <w:r w:rsidRPr="00727324">
        <w:rPr>
          <w:rFonts w:ascii="Bookman Old Style" w:hAnsi="Bookman Old Style" w:cs="Arial"/>
          <w:sz w:val="24"/>
          <w:szCs w:val="24"/>
        </w:rPr>
        <w:t>:</w:t>
      </w:r>
    </w:p>
    <w:p w14:paraId="0E718B48" w14:textId="712DFC29" w:rsidR="005A4806" w:rsidRPr="00727324" w:rsidRDefault="005A4806" w:rsidP="00F639B5">
      <w:pPr>
        <w:pStyle w:val="ListParagraph"/>
        <w:numPr>
          <w:ilvl w:val="0"/>
          <w:numId w:val="14"/>
        </w:numPr>
        <w:spacing w:before="60" w:after="0" w:line="276" w:lineRule="auto"/>
        <w:ind w:left="2694" w:hanging="425"/>
        <w:contextualSpacing w:val="0"/>
        <w:jc w:val="both"/>
        <w:rPr>
          <w:rFonts w:ascii="Bookman Old Style" w:hAnsi="Bookman Old Style" w:cs="Gill Sans Light (Arabid)"/>
          <w:bCs/>
          <w:color w:val="000000" w:themeColor="text1"/>
          <w:sz w:val="24"/>
          <w:szCs w:val="24"/>
          <w:lang w:eastAsia="id-ID"/>
        </w:rPr>
      </w:pPr>
      <w:r w:rsidRPr="00727324">
        <w:rPr>
          <w:rFonts w:ascii="Bookman Old Style" w:hAnsi="Bookman Old Style" w:cs="Gill Sans Light (Arabid)"/>
          <w:bCs/>
          <w:color w:val="000000" w:themeColor="text1"/>
          <w:sz w:val="24"/>
          <w:szCs w:val="24"/>
          <w:lang w:eastAsia="id-ID"/>
        </w:rPr>
        <w:t>Tambahan</w:t>
      </w:r>
      <w:r w:rsidR="00A954D0">
        <w:rPr>
          <w:rFonts w:ascii="Bookman Old Style" w:hAnsi="Bookman Old Style" w:cs="Gill Sans Light (Arabid)"/>
          <w:bCs/>
          <w:color w:val="000000" w:themeColor="text1"/>
          <w:sz w:val="24"/>
          <w:szCs w:val="24"/>
          <w:lang w:eastAsia="id-ID"/>
        </w:rPr>
        <w:t xml:space="preserve"> </w:t>
      </w:r>
      <w:r w:rsidRPr="00727324">
        <w:rPr>
          <w:rFonts w:ascii="Bookman Old Style" w:hAnsi="Bookman Old Style" w:cs="Gill Sans Light (Arabid)"/>
          <w:bCs/>
          <w:color w:val="000000" w:themeColor="text1"/>
          <w:sz w:val="24"/>
          <w:szCs w:val="24"/>
          <w:lang w:eastAsia="id-ID"/>
        </w:rPr>
        <w:t>Penghasilan</w:t>
      </w:r>
      <w:r w:rsidR="00A954D0">
        <w:rPr>
          <w:rFonts w:ascii="Bookman Old Style" w:hAnsi="Bookman Old Style" w:cs="Gill Sans Light (Arabid)"/>
          <w:bCs/>
          <w:color w:val="000000" w:themeColor="text1"/>
          <w:sz w:val="24"/>
          <w:szCs w:val="24"/>
          <w:lang w:eastAsia="id-ID"/>
        </w:rPr>
        <w:t xml:space="preserve"> </w:t>
      </w:r>
      <w:r w:rsidRPr="00727324">
        <w:rPr>
          <w:rFonts w:ascii="Bookman Old Style" w:hAnsi="Bookman Old Style" w:cs="Gill Sans Light (Arabid)"/>
          <w:bCs/>
          <w:color w:val="000000" w:themeColor="text1"/>
          <w:sz w:val="24"/>
          <w:szCs w:val="24"/>
          <w:lang w:eastAsia="id-ID"/>
        </w:rPr>
        <w:t>berdasarkan</w:t>
      </w:r>
      <w:r w:rsidR="00A954D0">
        <w:rPr>
          <w:rFonts w:ascii="Bookman Old Style" w:hAnsi="Bookman Old Style" w:cs="Gill Sans Light (Arabid)"/>
          <w:bCs/>
          <w:color w:val="000000" w:themeColor="text1"/>
          <w:sz w:val="24"/>
          <w:szCs w:val="24"/>
          <w:lang w:eastAsia="id-ID"/>
        </w:rPr>
        <w:t xml:space="preserve"> </w:t>
      </w:r>
      <w:r w:rsidRPr="00727324">
        <w:rPr>
          <w:rFonts w:ascii="Bookman Old Style" w:hAnsi="Bookman Old Style" w:cs="Gill Sans Light (Arabid)"/>
          <w:bCs/>
          <w:color w:val="000000" w:themeColor="text1"/>
          <w:sz w:val="24"/>
          <w:szCs w:val="24"/>
          <w:lang w:eastAsia="id-ID"/>
        </w:rPr>
        <w:t>Beban</w:t>
      </w:r>
      <w:r w:rsidR="00A954D0">
        <w:rPr>
          <w:rFonts w:ascii="Bookman Old Style" w:hAnsi="Bookman Old Style" w:cs="Gill Sans Light (Arabid)"/>
          <w:bCs/>
          <w:color w:val="000000" w:themeColor="text1"/>
          <w:sz w:val="24"/>
          <w:szCs w:val="24"/>
          <w:lang w:eastAsia="id-ID"/>
        </w:rPr>
        <w:t xml:space="preserve"> </w:t>
      </w:r>
      <w:r w:rsidRPr="00727324">
        <w:rPr>
          <w:rFonts w:ascii="Bookman Old Style" w:hAnsi="Bookman Old Style" w:cs="Gill Sans Light (Arabid)"/>
          <w:bCs/>
          <w:color w:val="000000" w:themeColor="text1"/>
          <w:sz w:val="24"/>
          <w:szCs w:val="24"/>
          <w:lang w:eastAsia="id-ID"/>
        </w:rPr>
        <w:t>Kerja</w:t>
      </w:r>
      <w:r w:rsidR="00A954D0">
        <w:rPr>
          <w:rFonts w:ascii="Bookman Old Style" w:hAnsi="Bookman Old Style" w:cs="Gill Sans Light (Arabid)"/>
          <w:bCs/>
          <w:color w:val="000000" w:themeColor="text1"/>
          <w:sz w:val="24"/>
          <w:szCs w:val="24"/>
          <w:lang w:eastAsia="id-ID"/>
        </w:rPr>
        <w:t xml:space="preserve"> </w:t>
      </w:r>
      <w:r w:rsidRPr="00727324">
        <w:rPr>
          <w:rFonts w:ascii="Bookman Old Style" w:hAnsi="Bookman Old Style" w:cs="Gill Sans Light (Arabid)"/>
          <w:bCs/>
          <w:color w:val="000000" w:themeColor="text1"/>
          <w:sz w:val="24"/>
          <w:szCs w:val="24"/>
          <w:lang w:eastAsia="id-ID"/>
        </w:rPr>
        <w:t>ASN</w:t>
      </w:r>
      <w:r w:rsidR="00A954D0">
        <w:rPr>
          <w:rFonts w:ascii="Bookman Old Style" w:hAnsi="Bookman Old Style" w:cs="Gill Sans Light (Arabid)"/>
          <w:bCs/>
          <w:color w:val="000000" w:themeColor="text1"/>
          <w:sz w:val="24"/>
          <w:szCs w:val="24"/>
          <w:lang w:eastAsia="id-ID"/>
        </w:rPr>
        <w:t xml:space="preserve"> </w:t>
      </w:r>
      <w:r w:rsidRPr="00727324">
        <w:rPr>
          <w:rFonts w:ascii="Bookman Old Style" w:hAnsi="Bookman Old Style" w:cs="Arial"/>
          <w:color w:val="000000" w:themeColor="text1"/>
          <w:sz w:val="24"/>
          <w:szCs w:val="24"/>
          <w:lang w:val="fi-FI"/>
        </w:rPr>
        <w:t>Rp</w:t>
      </w:r>
      <w:r w:rsidRPr="00776DDB">
        <w:rPr>
          <w:rFonts w:ascii="Bookman Old Style" w:hAnsi="Bookman Old Style" w:cs="Arial"/>
          <w:color w:val="000000" w:themeColor="text1"/>
          <w:sz w:val="24"/>
          <w:szCs w:val="24"/>
          <w:lang w:val="fi-FI"/>
        </w:rPr>
        <w:t>372</w:t>
      </w:r>
      <w:r>
        <w:rPr>
          <w:rFonts w:ascii="Bookman Old Style" w:hAnsi="Bookman Old Style" w:cs="Arial"/>
          <w:color w:val="000000" w:themeColor="text1"/>
          <w:sz w:val="24"/>
          <w:szCs w:val="24"/>
          <w:lang w:val="fi-FI"/>
        </w:rPr>
        <w:t>.</w:t>
      </w:r>
      <w:r w:rsidRPr="00776DDB">
        <w:rPr>
          <w:rFonts w:ascii="Bookman Old Style" w:hAnsi="Bookman Old Style" w:cs="Arial"/>
          <w:color w:val="000000" w:themeColor="text1"/>
          <w:sz w:val="24"/>
          <w:szCs w:val="24"/>
          <w:lang w:val="fi-FI"/>
        </w:rPr>
        <w:t>915</w:t>
      </w:r>
      <w:r>
        <w:rPr>
          <w:rFonts w:ascii="Bookman Old Style" w:hAnsi="Bookman Old Style" w:cs="Arial"/>
          <w:color w:val="000000" w:themeColor="text1"/>
          <w:sz w:val="24"/>
          <w:szCs w:val="24"/>
          <w:lang w:val="fi-FI"/>
        </w:rPr>
        <w:t>.</w:t>
      </w:r>
      <w:r w:rsidRPr="00776DDB">
        <w:rPr>
          <w:rFonts w:ascii="Bookman Old Style" w:hAnsi="Bookman Old Style" w:cs="Arial"/>
          <w:color w:val="000000" w:themeColor="text1"/>
          <w:sz w:val="24"/>
          <w:szCs w:val="24"/>
          <w:lang w:val="fi-FI"/>
        </w:rPr>
        <w:t>058</w:t>
      </w:r>
      <w:r>
        <w:rPr>
          <w:rFonts w:ascii="Bookman Old Style" w:hAnsi="Bookman Old Style" w:cs="Arial"/>
          <w:color w:val="000000" w:themeColor="text1"/>
          <w:sz w:val="24"/>
          <w:szCs w:val="24"/>
          <w:lang w:val="fi-FI"/>
        </w:rPr>
        <w:t>.</w:t>
      </w:r>
      <w:r w:rsidRPr="00776DDB">
        <w:rPr>
          <w:rFonts w:ascii="Bookman Old Style" w:hAnsi="Bookman Old Style" w:cs="Arial"/>
          <w:color w:val="000000" w:themeColor="text1"/>
          <w:sz w:val="24"/>
          <w:szCs w:val="24"/>
          <w:lang w:val="fi-FI"/>
        </w:rPr>
        <w:t>316</w:t>
      </w:r>
      <w:r>
        <w:rPr>
          <w:rFonts w:ascii="Bookman Old Style" w:hAnsi="Bookman Old Style" w:cs="Arial"/>
          <w:color w:val="000000" w:themeColor="text1"/>
          <w:sz w:val="24"/>
          <w:szCs w:val="24"/>
          <w:lang w:val="fi-FI"/>
        </w:rPr>
        <w:t>,</w:t>
      </w:r>
      <w:r w:rsidRPr="00776DDB">
        <w:rPr>
          <w:rFonts w:ascii="Bookman Old Style" w:hAnsi="Bookman Old Style" w:cs="Arial"/>
          <w:color w:val="000000" w:themeColor="text1"/>
          <w:sz w:val="24"/>
          <w:szCs w:val="24"/>
          <w:lang w:val="fi-FI"/>
        </w:rPr>
        <w:t>02</w:t>
      </w:r>
      <w:r w:rsidRPr="00727324">
        <w:rPr>
          <w:rFonts w:ascii="Bookman Old Style" w:hAnsi="Bookman Old Style" w:cs="Tahoma,Bold"/>
          <w:bCs/>
          <w:color w:val="000000" w:themeColor="text1"/>
          <w:sz w:val="24"/>
          <w:szCs w:val="24"/>
          <w:lang w:eastAsia="id-ID"/>
        </w:rPr>
        <w:t>;</w:t>
      </w:r>
      <w:r w:rsidR="00A954D0" w:rsidRPr="003255BC">
        <w:rPr>
          <w:rFonts w:ascii="Bookman Old Style" w:hAnsi="Bookman Old Style" w:cs="Tahoma,Bold"/>
          <w:bCs/>
          <w:color w:val="000000" w:themeColor="text1"/>
          <w:sz w:val="24"/>
          <w:szCs w:val="24"/>
          <w:lang w:val="sv-FI" w:eastAsia="id-ID"/>
        </w:rPr>
        <w:t xml:space="preserve"> </w:t>
      </w:r>
    </w:p>
    <w:p w14:paraId="34F8F00C" w14:textId="741CE646" w:rsidR="005A4806" w:rsidRPr="00727324" w:rsidRDefault="005A4806" w:rsidP="00F639B5">
      <w:pPr>
        <w:pStyle w:val="ListParagraph"/>
        <w:numPr>
          <w:ilvl w:val="0"/>
          <w:numId w:val="14"/>
        </w:numPr>
        <w:spacing w:before="60" w:after="0" w:line="276" w:lineRule="auto"/>
        <w:ind w:left="2694" w:hanging="425"/>
        <w:contextualSpacing w:val="0"/>
        <w:jc w:val="both"/>
        <w:rPr>
          <w:rFonts w:ascii="Bookman Old Style" w:hAnsi="Bookman Old Style" w:cs="Gill Sans Light (Arabid)"/>
          <w:bCs/>
          <w:color w:val="000000" w:themeColor="text1"/>
          <w:sz w:val="24"/>
          <w:szCs w:val="24"/>
          <w:lang w:eastAsia="id-ID"/>
        </w:rPr>
      </w:pPr>
      <w:r w:rsidRPr="00727324">
        <w:rPr>
          <w:rFonts w:ascii="Bookman Old Style" w:hAnsi="Bookman Old Style" w:cs="Gill Sans Light (Arabid)"/>
          <w:bCs/>
          <w:color w:val="000000" w:themeColor="text1"/>
          <w:sz w:val="24"/>
          <w:szCs w:val="24"/>
          <w:lang w:eastAsia="id-ID"/>
        </w:rPr>
        <w:t>Tambahan</w:t>
      </w:r>
      <w:r w:rsidR="00A954D0">
        <w:rPr>
          <w:rFonts w:ascii="Bookman Old Style" w:hAnsi="Bookman Old Style" w:cs="Gill Sans Light (Arabid)"/>
          <w:bCs/>
          <w:color w:val="000000" w:themeColor="text1"/>
          <w:sz w:val="24"/>
          <w:szCs w:val="24"/>
          <w:lang w:eastAsia="id-ID"/>
        </w:rPr>
        <w:t xml:space="preserve"> </w:t>
      </w:r>
      <w:r w:rsidRPr="00727324">
        <w:rPr>
          <w:rFonts w:ascii="Bookman Old Style" w:hAnsi="Bookman Old Style" w:cs="Gill Sans Light (Arabid)"/>
          <w:bCs/>
          <w:color w:val="000000" w:themeColor="text1"/>
          <w:sz w:val="24"/>
          <w:szCs w:val="24"/>
          <w:lang w:eastAsia="id-ID"/>
        </w:rPr>
        <w:t>Penghasilan</w:t>
      </w:r>
      <w:r w:rsidR="00A954D0">
        <w:rPr>
          <w:rFonts w:ascii="Bookman Old Style" w:hAnsi="Bookman Old Style" w:cs="Gill Sans Light (Arabid)"/>
          <w:bCs/>
          <w:color w:val="000000" w:themeColor="text1"/>
          <w:sz w:val="24"/>
          <w:szCs w:val="24"/>
          <w:lang w:eastAsia="id-ID"/>
        </w:rPr>
        <w:t xml:space="preserve"> </w:t>
      </w:r>
      <w:r w:rsidRPr="00727324">
        <w:rPr>
          <w:rFonts w:ascii="Bookman Old Style" w:hAnsi="Bookman Old Style" w:cs="Gill Sans Light (Arabid)"/>
          <w:bCs/>
          <w:color w:val="000000" w:themeColor="text1"/>
          <w:sz w:val="24"/>
          <w:szCs w:val="24"/>
          <w:lang w:eastAsia="id-ID"/>
        </w:rPr>
        <w:t>berdasarkan</w:t>
      </w:r>
      <w:r w:rsidR="00A954D0">
        <w:rPr>
          <w:rFonts w:ascii="Bookman Old Style" w:hAnsi="Bookman Old Style" w:cs="Gill Sans Light (Arabid)"/>
          <w:bCs/>
          <w:color w:val="000000" w:themeColor="text1"/>
          <w:sz w:val="24"/>
          <w:szCs w:val="24"/>
          <w:lang w:eastAsia="id-ID"/>
        </w:rPr>
        <w:t xml:space="preserve"> </w:t>
      </w:r>
      <w:r w:rsidRPr="00727324">
        <w:rPr>
          <w:rFonts w:ascii="Bookman Old Style" w:hAnsi="Bookman Old Style" w:cs="Gill Sans Light (Arabid)"/>
          <w:bCs/>
          <w:color w:val="000000" w:themeColor="text1"/>
          <w:sz w:val="24"/>
          <w:szCs w:val="24"/>
          <w:lang w:eastAsia="id-ID"/>
        </w:rPr>
        <w:t>Kondisi</w:t>
      </w:r>
      <w:r w:rsidR="00A954D0">
        <w:rPr>
          <w:rFonts w:ascii="Bookman Old Style" w:hAnsi="Bookman Old Style" w:cs="Gill Sans Light (Arabid)"/>
          <w:bCs/>
          <w:color w:val="000000" w:themeColor="text1"/>
          <w:sz w:val="24"/>
          <w:szCs w:val="24"/>
          <w:lang w:eastAsia="id-ID"/>
        </w:rPr>
        <w:t xml:space="preserve"> </w:t>
      </w:r>
      <w:r w:rsidRPr="00727324">
        <w:rPr>
          <w:rFonts w:ascii="Bookman Old Style" w:hAnsi="Bookman Old Style" w:cs="Gill Sans Light (Arabid)"/>
          <w:bCs/>
          <w:color w:val="000000" w:themeColor="text1"/>
          <w:sz w:val="24"/>
          <w:szCs w:val="24"/>
          <w:lang w:eastAsia="id-ID"/>
        </w:rPr>
        <w:t>Kerja</w:t>
      </w:r>
      <w:r w:rsidR="00A954D0">
        <w:rPr>
          <w:rFonts w:ascii="Bookman Old Style" w:hAnsi="Bookman Old Style" w:cs="Gill Sans Light (Arabid)"/>
          <w:bCs/>
          <w:color w:val="000000" w:themeColor="text1"/>
          <w:sz w:val="24"/>
          <w:szCs w:val="24"/>
          <w:lang w:eastAsia="id-ID"/>
        </w:rPr>
        <w:t xml:space="preserve"> </w:t>
      </w:r>
      <w:r w:rsidRPr="00727324">
        <w:rPr>
          <w:rFonts w:ascii="Bookman Old Style" w:hAnsi="Bookman Old Style" w:cs="Gill Sans Light (Arabid)"/>
          <w:bCs/>
          <w:color w:val="000000" w:themeColor="text1"/>
          <w:sz w:val="24"/>
          <w:szCs w:val="24"/>
          <w:lang w:eastAsia="id-ID"/>
        </w:rPr>
        <w:t>ASN</w:t>
      </w:r>
      <w:r w:rsidR="00A954D0">
        <w:rPr>
          <w:rFonts w:ascii="Bookman Old Style" w:hAnsi="Bookman Old Style" w:cs="Gill Sans Light (Arabid)"/>
          <w:bCs/>
          <w:color w:val="000000" w:themeColor="text1"/>
          <w:sz w:val="24"/>
          <w:szCs w:val="24"/>
          <w:lang w:eastAsia="id-ID"/>
        </w:rPr>
        <w:t xml:space="preserve"> </w:t>
      </w:r>
      <w:r w:rsidRPr="00727324">
        <w:rPr>
          <w:rFonts w:ascii="Bookman Old Style" w:hAnsi="Bookman Old Style" w:cs="Gill Sans Light (Arabid)"/>
          <w:bCs/>
          <w:color w:val="000000" w:themeColor="text1"/>
          <w:sz w:val="24"/>
          <w:szCs w:val="24"/>
          <w:lang w:eastAsia="id-ID"/>
        </w:rPr>
        <w:t>Rp</w:t>
      </w:r>
      <w:r w:rsidRPr="00776DDB">
        <w:rPr>
          <w:rFonts w:ascii="Bookman Old Style" w:hAnsi="Bookman Old Style" w:cs="Gill Sans Light (Arabid)"/>
          <w:bCs/>
          <w:color w:val="000000" w:themeColor="text1"/>
          <w:sz w:val="24"/>
          <w:szCs w:val="24"/>
          <w:lang w:eastAsia="id-ID"/>
        </w:rPr>
        <w:t>116</w:t>
      </w:r>
      <w:r>
        <w:rPr>
          <w:rFonts w:ascii="Bookman Old Style" w:hAnsi="Bookman Old Style" w:cs="Gill Sans Light (Arabid)"/>
          <w:bCs/>
          <w:color w:val="000000" w:themeColor="text1"/>
          <w:sz w:val="24"/>
          <w:szCs w:val="24"/>
          <w:lang w:eastAsia="id-ID"/>
        </w:rPr>
        <w:t>.</w:t>
      </w:r>
      <w:r w:rsidRPr="00776DDB">
        <w:rPr>
          <w:rFonts w:ascii="Bookman Old Style" w:hAnsi="Bookman Old Style" w:cs="Gill Sans Light (Arabid)"/>
          <w:bCs/>
          <w:color w:val="000000" w:themeColor="text1"/>
          <w:sz w:val="24"/>
          <w:szCs w:val="24"/>
          <w:lang w:eastAsia="id-ID"/>
        </w:rPr>
        <w:t>727</w:t>
      </w:r>
      <w:r>
        <w:rPr>
          <w:rFonts w:ascii="Bookman Old Style" w:hAnsi="Bookman Old Style" w:cs="Gill Sans Light (Arabid)"/>
          <w:bCs/>
          <w:color w:val="000000" w:themeColor="text1"/>
          <w:sz w:val="24"/>
          <w:szCs w:val="24"/>
          <w:lang w:eastAsia="id-ID"/>
        </w:rPr>
        <w:t>.</w:t>
      </w:r>
      <w:r w:rsidRPr="00776DDB">
        <w:rPr>
          <w:rFonts w:ascii="Bookman Old Style" w:hAnsi="Bookman Old Style" w:cs="Gill Sans Light (Arabid)"/>
          <w:bCs/>
          <w:color w:val="000000" w:themeColor="text1"/>
          <w:sz w:val="24"/>
          <w:szCs w:val="24"/>
          <w:lang w:eastAsia="id-ID"/>
        </w:rPr>
        <w:t>056</w:t>
      </w:r>
      <w:r>
        <w:rPr>
          <w:rFonts w:ascii="Bookman Old Style" w:hAnsi="Bookman Old Style" w:cs="Gill Sans Light (Arabid)"/>
          <w:bCs/>
          <w:color w:val="000000" w:themeColor="text1"/>
          <w:sz w:val="24"/>
          <w:szCs w:val="24"/>
          <w:lang w:eastAsia="id-ID"/>
        </w:rPr>
        <w:t>.</w:t>
      </w:r>
      <w:r w:rsidRPr="00776DDB">
        <w:rPr>
          <w:rFonts w:ascii="Bookman Old Style" w:hAnsi="Bookman Old Style" w:cs="Gill Sans Light (Arabid)"/>
          <w:bCs/>
          <w:color w:val="000000" w:themeColor="text1"/>
          <w:sz w:val="24"/>
          <w:szCs w:val="24"/>
          <w:lang w:eastAsia="id-ID"/>
        </w:rPr>
        <w:t>583</w:t>
      </w:r>
      <w:r>
        <w:rPr>
          <w:rFonts w:ascii="Bookman Old Style" w:hAnsi="Bookman Old Style" w:cs="Gill Sans Light (Arabid)"/>
          <w:bCs/>
          <w:color w:val="000000" w:themeColor="text1"/>
          <w:sz w:val="24"/>
          <w:szCs w:val="24"/>
          <w:lang w:eastAsia="id-ID"/>
        </w:rPr>
        <w:t>,</w:t>
      </w:r>
      <w:r w:rsidRPr="00776DDB">
        <w:rPr>
          <w:rFonts w:ascii="Bookman Old Style" w:hAnsi="Bookman Old Style" w:cs="Gill Sans Light (Arabid)"/>
          <w:bCs/>
          <w:color w:val="000000" w:themeColor="text1"/>
          <w:sz w:val="24"/>
          <w:szCs w:val="24"/>
          <w:lang w:eastAsia="id-ID"/>
        </w:rPr>
        <w:t>00</w:t>
      </w:r>
      <w:r w:rsidRPr="00727324">
        <w:rPr>
          <w:rFonts w:ascii="Bookman Old Style" w:hAnsi="Bookman Old Style" w:cs="Gill Sans Light (Arabid)"/>
          <w:bCs/>
          <w:color w:val="000000" w:themeColor="text1"/>
          <w:sz w:val="24"/>
          <w:szCs w:val="24"/>
          <w:lang w:eastAsia="id-ID"/>
        </w:rPr>
        <w:t>;</w:t>
      </w:r>
    </w:p>
    <w:p w14:paraId="4D1DBA40" w14:textId="5D1DE8A6" w:rsidR="005A4806" w:rsidRPr="00901E12" w:rsidRDefault="005A4806" w:rsidP="00F639B5">
      <w:pPr>
        <w:pStyle w:val="ListParagraph"/>
        <w:numPr>
          <w:ilvl w:val="0"/>
          <w:numId w:val="14"/>
        </w:numPr>
        <w:spacing w:before="60" w:after="0" w:line="276" w:lineRule="auto"/>
        <w:ind w:left="2694" w:hanging="425"/>
        <w:contextualSpacing w:val="0"/>
        <w:jc w:val="both"/>
        <w:rPr>
          <w:rFonts w:ascii="Bookman Old Style" w:hAnsi="Bookman Old Style" w:cs="Gill Sans Light (Arabid)"/>
          <w:bCs/>
          <w:sz w:val="24"/>
          <w:szCs w:val="24"/>
          <w:lang w:eastAsia="id-ID"/>
        </w:rPr>
      </w:pPr>
      <w:r w:rsidRPr="00727324">
        <w:rPr>
          <w:rFonts w:ascii="Bookman Old Style" w:hAnsi="Bookman Old Style" w:cs="Gill Sans Light (Arabid)"/>
          <w:bCs/>
          <w:color w:val="000000" w:themeColor="text1"/>
          <w:sz w:val="24"/>
          <w:szCs w:val="24"/>
          <w:lang w:eastAsia="id-ID"/>
        </w:rPr>
        <w:t>Tambahan</w:t>
      </w:r>
      <w:r w:rsidR="00A954D0">
        <w:rPr>
          <w:rFonts w:ascii="Bookman Old Style" w:hAnsi="Bookman Old Style" w:cs="Gill Sans Light (Arabid)"/>
          <w:bCs/>
          <w:color w:val="000000" w:themeColor="text1"/>
          <w:sz w:val="24"/>
          <w:szCs w:val="24"/>
          <w:lang w:eastAsia="id-ID"/>
        </w:rPr>
        <w:t xml:space="preserve"> </w:t>
      </w:r>
      <w:r w:rsidRPr="00727324">
        <w:rPr>
          <w:rFonts w:ascii="Bookman Old Style" w:hAnsi="Bookman Old Style" w:cs="Gill Sans Light (Arabid)"/>
          <w:bCs/>
          <w:color w:val="000000" w:themeColor="text1"/>
          <w:sz w:val="24"/>
          <w:szCs w:val="24"/>
          <w:lang w:eastAsia="id-ID"/>
        </w:rPr>
        <w:t>Penghasilan</w:t>
      </w:r>
      <w:r w:rsidR="00A954D0">
        <w:rPr>
          <w:rFonts w:ascii="Bookman Old Style" w:hAnsi="Bookman Old Style" w:cs="Gill Sans Light (Arabid)"/>
          <w:bCs/>
          <w:color w:val="000000" w:themeColor="text1"/>
          <w:sz w:val="24"/>
          <w:szCs w:val="24"/>
          <w:lang w:eastAsia="id-ID"/>
        </w:rPr>
        <w:t xml:space="preserve"> </w:t>
      </w:r>
      <w:r w:rsidRPr="00727324">
        <w:rPr>
          <w:rFonts w:ascii="Bookman Old Style" w:hAnsi="Bookman Old Style" w:cs="Gill Sans Light (Arabid)"/>
          <w:bCs/>
          <w:color w:val="000000" w:themeColor="text1"/>
          <w:sz w:val="24"/>
          <w:szCs w:val="24"/>
          <w:lang w:eastAsia="id-ID"/>
        </w:rPr>
        <w:t>berdasarkan</w:t>
      </w:r>
      <w:r w:rsidR="00A954D0">
        <w:rPr>
          <w:rFonts w:ascii="Bookman Old Style" w:hAnsi="Bookman Old Style" w:cs="Gill Sans Light (Arabid)"/>
          <w:bCs/>
          <w:color w:val="000000" w:themeColor="text1"/>
          <w:sz w:val="24"/>
          <w:szCs w:val="24"/>
          <w:lang w:eastAsia="id-ID"/>
        </w:rPr>
        <w:t xml:space="preserve"> </w:t>
      </w:r>
      <w:r w:rsidRPr="00727324">
        <w:rPr>
          <w:rFonts w:ascii="Bookman Old Style" w:hAnsi="Bookman Old Style" w:cs="Gill Sans Light (Arabid)"/>
          <w:bCs/>
          <w:color w:val="000000" w:themeColor="text1"/>
          <w:sz w:val="24"/>
          <w:szCs w:val="24"/>
          <w:lang w:eastAsia="id-ID"/>
        </w:rPr>
        <w:t>Prestasi</w:t>
      </w:r>
      <w:r w:rsidR="00A954D0">
        <w:rPr>
          <w:rFonts w:ascii="Bookman Old Style" w:hAnsi="Bookman Old Style" w:cs="Gill Sans Light (Arabid)"/>
          <w:bCs/>
          <w:color w:val="000000" w:themeColor="text1"/>
          <w:sz w:val="24"/>
          <w:szCs w:val="24"/>
          <w:lang w:eastAsia="id-ID"/>
        </w:rPr>
        <w:t xml:space="preserve"> </w:t>
      </w:r>
      <w:r w:rsidRPr="00727324">
        <w:rPr>
          <w:rFonts w:ascii="Bookman Old Style" w:hAnsi="Bookman Old Style" w:cs="Gill Sans Light (Arabid)"/>
          <w:bCs/>
          <w:color w:val="000000" w:themeColor="text1"/>
          <w:sz w:val="24"/>
          <w:szCs w:val="24"/>
          <w:lang w:eastAsia="id-ID"/>
        </w:rPr>
        <w:t>Kerja</w:t>
      </w:r>
      <w:r w:rsidR="00A954D0">
        <w:rPr>
          <w:rFonts w:ascii="Bookman Old Style" w:hAnsi="Bookman Old Style" w:cs="Gill Sans Light (Arabid)"/>
          <w:bCs/>
          <w:color w:val="000000" w:themeColor="text1"/>
          <w:sz w:val="24"/>
          <w:szCs w:val="24"/>
          <w:lang w:eastAsia="id-ID"/>
        </w:rPr>
        <w:t xml:space="preserve"> </w:t>
      </w:r>
      <w:r w:rsidRPr="00727324">
        <w:rPr>
          <w:rFonts w:ascii="Bookman Old Style" w:hAnsi="Bookman Old Style" w:cs="Gill Sans Light (Arabid)"/>
          <w:bCs/>
          <w:color w:val="000000" w:themeColor="text1"/>
          <w:sz w:val="24"/>
          <w:szCs w:val="24"/>
          <w:lang w:eastAsia="id-ID"/>
        </w:rPr>
        <w:t>ASN</w:t>
      </w:r>
      <w:r w:rsidR="00A954D0">
        <w:rPr>
          <w:rFonts w:ascii="Bookman Old Style" w:hAnsi="Bookman Old Style" w:cs="Gill Sans Light (Arabid)"/>
          <w:bCs/>
          <w:color w:val="000000" w:themeColor="text1"/>
          <w:sz w:val="24"/>
          <w:szCs w:val="24"/>
          <w:lang w:eastAsia="id-ID"/>
        </w:rPr>
        <w:t xml:space="preserve"> </w:t>
      </w:r>
      <w:r w:rsidRPr="00727324">
        <w:rPr>
          <w:rFonts w:ascii="Bookman Old Style" w:hAnsi="Bookman Old Style" w:cs="Gill Sans Light (Arabid)"/>
          <w:bCs/>
          <w:color w:val="000000" w:themeColor="text1"/>
          <w:sz w:val="24"/>
          <w:szCs w:val="24"/>
          <w:lang w:eastAsia="id-ID"/>
        </w:rPr>
        <w:t>Rp</w:t>
      </w:r>
      <w:r w:rsidRPr="00776DDB">
        <w:rPr>
          <w:rFonts w:ascii="Bookman Old Style" w:hAnsi="Bookman Old Style" w:cs="Gill Sans Light (Arabid)"/>
          <w:bCs/>
          <w:color w:val="000000" w:themeColor="text1"/>
          <w:sz w:val="24"/>
          <w:szCs w:val="24"/>
          <w:lang w:eastAsia="id-ID"/>
        </w:rPr>
        <w:t>369</w:t>
      </w:r>
      <w:r>
        <w:rPr>
          <w:rFonts w:ascii="Bookman Old Style" w:hAnsi="Bookman Old Style" w:cs="Gill Sans Light (Arabid)"/>
          <w:bCs/>
          <w:color w:val="000000" w:themeColor="text1"/>
          <w:sz w:val="24"/>
          <w:szCs w:val="24"/>
          <w:lang w:eastAsia="id-ID"/>
        </w:rPr>
        <w:t>.</w:t>
      </w:r>
      <w:r w:rsidRPr="00776DDB">
        <w:rPr>
          <w:rFonts w:ascii="Bookman Old Style" w:hAnsi="Bookman Old Style" w:cs="Gill Sans Light (Arabid)"/>
          <w:bCs/>
          <w:color w:val="000000" w:themeColor="text1"/>
          <w:sz w:val="24"/>
          <w:szCs w:val="24"/>
          <w:lang w:eastAsia="id-ID"/>
        </w:rPr>
        <w:t>553</w:t>
      </w:r>
      <w:r>
        <w:rPr>
          <w:rFonts w:ascii="Bookman Old Style" w:hAnsi="Bookman Old Style" w:cs="Gill Sans Light (Arabid)"/>
          <w:bCs/>
          <w:color w:val="000000" w:themeColor="text1"/>
          <w:sz w:val="24"/>
          <w:szCs w:val="24"/>
          <w:lang w:eastAsia="id-ID"/>
        </w:rPr>
        <w:t>.</w:t>
      </w:r>
      <w:r w:rsidRPr="00776DDB">
        <w:rPr>
          <w:rFonts w:ascii="Bookman Old Style" w:hAnsi="Bookman Old Style" w:cs="Gill Sans Light (Arabid)"/>
          <w:bCs/>
          <w:color w:val="000000" w:themeColor="text1"/>
          <w:sz w:val="24"/>
          <w:szCs w:val="24"/>
          <w:lang w:eastAsia="id-ID"/>
        </w:rPr>
        <w:t>875</w:t>
      </w:r>
      <w:r>
        <w:rPr>
          <w:rFonts w:ascii="Bookman Old Style" w:hAnsi="Bookman Old Style" w:cs="Gill Sans Light (Arabid)"/>
          <w:bCs/>
          <w:color w:val="000000" w:themeColor="text1"/>
          <w:sz w:val="24"/>
          <w:szCs w:val="24"/>
          <w:lang w:eastAsia="id-ID"/>
        </w:rPr>
        <w:t>.</w:t>
      </w:r>
      <w:r w:rsidRPr="00776DDB">
        <w:rPr>
          <w:rFonts w:ascii="Bookman Old Style" w:hAnsi="Bookman Old Style" w:cs="Gill Sans Light (Arabid)"/>
          <w:bCs/>
          <w:color w:val="000000" w:themeColor="text1"/>
          <w:sz w:val="24"/>
          <w:szCs w:val="24"/>
          <w:lang w:eastAsia="id-ID"/>
        </w:rPr>
        <w:t>801</w:t>
      </w:r>
      <w:r>
        <w:rPr>
          <w:rFonts w:ascii="Bookman Old Style" w:hAnsi="Bookman Old Style" w:cs="Gill Sans Light (Arabid)"/>
          <w:bCs/>
          <w:color w:val="000000" w:themeColor="text1"/>
          <w:sz w:val="24"/>
          <w:szCs w:val="24"/>
          <w:lang w:eastAsia="id-ID"/>
        </w:rPr>
        <w:t>,</w:t>
      </w:r>
      <w:r w:rsidRPr="00776DDB">
        <w:rPr>
          <w:rFonts w:ascii="Bookman Old Style" w:hAnsi="Bookman Old Style" w:cs="Gill Sans Light (Arabid)"/>
          <w:bCs/>
          <w:color w:val="000000" w:themeColor="text1"/>
          <w:sz w:val="24"/>
          <w:szCs w:val="24"/>
          <w:lang w:eastAsia="id-ID"/>
        </w:rPr>
        <w:t>02</w:t>
      </w:r>
      <w:r w:rsidRPr="003255BC">
        <w:rPr>
          <w:rFonts w:ascii="Bookman Old Style" w:hAnsi="Bookman Old Style" w:cs="Gill Sans Light (Arabid)"/>
          <w:bCs/>
          <w:color w:val="000000" w:themeColor="text1"/>
          <w:sz w:val="24"/>
          <w:szCs w:val="24"/>
          <w:lang w:val="sv-FI" w:eastAsia="id-ID"/>
        </w:rPr>
        <w:t>;</w:t>
      </w:r>
    </w:p>
    <w:p w14:paraId="1E072AF3" w14:textId="77777777" w:rsidR="00987497" w:rsidRDefault="005A4806" w:rsidP="00F639B5">
      <w:pPr>
        <w:pStyle w:val="ListParagraph"/>
        <w:numPr>
          <w:ilvl w:val="0"/>
          <w:numId w:val="14"/>
        </w:numPr>
        <w:spacing w:before="60" w:after="0" w:line="276" w:lineRule="auto"/>
        <w:ind w:left="2694" w:hanging="425"/>
        <w:contextualSpacing w:val="0"/>
        <w:jc w:val="both"/>
        <w:rPr>
          <w:rFonts w:ascii="Bookman Old Style" w:hAnsi="Bookman Old Style" w:cs="Gill Sans Light (Arabid)"/>
          <w:bCs/>
          <w:color w:val="000000" w:themeColor="text1"/>
          <w:sz w:val="24"/>
          <w:szCs w:val="24"/>
          <w:lang w:eastAsia="id-ID"/>
        </w:rPr>
      </w:pPr>
      <w:r w:rsidRPr="00901E12">
        <w:rPr>
          <w:rFonts w:ascii="Bookman Old Style" w:hAnsi="Bookman Old Style" w:cs="Gill Sans Light (Arabid)"/>
          <w:bCs/>
          <w:color w:val="000000" w:themeColor="text1"/>
          <w:sz w:val="24"/>
          <w:szCs w:val="24"/>
          <w:lang w:eastAsia="id-ID"/>
        </w:rPr>
        <w:t>Tambahan</w:t>
      </w:r>
      <w:r w:rsidR="00A954D0">
        <w:rPr>
          <w:rFonts w:ascii="Bookman Old Style" w:hAnsi="Bookman Old Style" w:cs="Gill Sans Light (Arabid)"/>
          <w:bCs/>
          <w:color w:val="000000" w:themeColor="text1"/>
          <w:sz w:val="24"/>
          <w:szCs w:val="24"/>
          <w:lang w:eastAsia="id-ID"/>
        </w:rPr>
        <w:t xml:space="preserve"> </w:t>
      </w:r>
      <w:r w:rsidRPr="00901E12">
        <w:rPr>
          <w:rFonts w:ascii="Bookman Old Style" w:hAnsi="Bookman Old Style" w:cs="Gill Sans Light (Arabid)"/>
          <w:bCs/>
          <w:color w:val="000000" w:themeColor="text1"/>
          <w:sz w:val="24"/>
          <w:szCs w:val="24"/>
          <w:lang w:eastAsia="id-ID"/>
        </w:rPr>
        <w:t>Penghasilan</w:t>
      </w:r>
      <w:r w:rsidR="00A954D0">
        <w:rPr>
          <w:rFonts w:ascii="Bookman Old Style" w:hAnsi="Bookman Old Style" w:cs="Gill Sans Light (Arabid)"/>
          <w:bCs/>
          <w:color w:val="000000" w:themeColor="text1"/>
          <w:sz w:val="24"/>
          <w:szCs w:val="24"/>
          <w:lang w:eastAsia="id-ID"/>
        </w:rPr>
        <w:t xml:space="preserve"> </w:t>
      </w:r>
      <w:r w:rsidRPr="00901E12">
        <w:rPr>
          <w:rFonts w:ascii="Bookman Old Style" w:hAnsi="Bookman Old Style" w:cs="Gill Sans Light (Arabid)"/>
          <w:bCs/>
          <w:color w:val="000000" w:themeColor="text1"/>
          <w:sz w:val="24"/>
          <w:szCs w:val="24"/>
          <w:lang w:eastAsia="id-ID"/>
        </w:rPr>
        <w:t>berdasarkan</w:t>
      </w:r>
      <w:r w:rsidR="00A954D0">
        <w:rPr>
          <w:rFonts w:ascii="Bookman Old Style" w:hAnsi="Bookman Old Style" w:cs="Gill Sans Light (Arabid)"/>
          <w:bCs/>
          <w:color w:val="000000" w:themeColor="text1"/>
          <w:sz w:val="24"/>
          <w:szCs w:val="24"/>
          <w:lang w:eastAsia="id-ID"/>
        </w:rPr>
        <w:t xml:space="preserve"> </w:t>
      </w:r>
      <w:r w:rsidRPr="00901E12">
        <w:rPr>
          <w:rFonts w:ascii="Bookman Old Style" w:hAnsi="Bookman Old Style" w:cs="Gill Sans Light (Arabid)"/>
          <w:bCs/>
          <w:color w:val="000000" w:themeColor="text1"/>
          <w:sz w:val="24"/>
          <w:szCs w:val="24"/>
          <w:lang w:eastAsia="id-ID"/>
        </w:rPr>
        <w:t>Pertimbangan</w:t>
      </w:r>
      <w:r w:rsidR="00A954D0">
        <w:rPr>
          <w:rFonts w:ascii="Bookman Old Style" w:hAnsi="Bookman Old Style" w:cs="Gill Sans Light (Arabid)"/>
          <w:bCs/>
          <w:color w:val="000000" w:themeColor="text1"/>
          <w:sz w:val="24"/>
          <w:szCs w:val="24"/>
          <w:lang w:eastAsia="id-ID"/>
        </w:rPr>
        <w:t xml:space="preserve"> </w:t>
      </w:r>
      <w:r w:rsidRPr="00901E12">
        <w:rPr>
          <w:rFonts w:ascii="Bookman Old Style" w:hAnsi="Bookman Old Style" w:cs="Gill Sans Light (Arabid)"/>
          <w:bCs/>
          <w:color w:val="000000" w:themeColor="text1"/>
          <w:sz w:val="24"/>
          <w:szCs w:val="24"/>
          <w:lang w:eastAsia="id-ID"/>
        </w:rPr>
        <w:t>Objektif</w:t>
      </w:r>
      <w:r w:rsidR="00A954D0">
        <w:rPr>
          <w:rFonts w:ascii="Bookman Old Style" w:hAnsi="Bookman Old Style" w:cs="Gill Sans Light (Arabid)"/>
          <w:bCs/>
          <w:color w:val="000000" w:themeColor="text1"/>
          <w:sz w:val="24"/>
          <w:szCs w:val="24"/>
          <w:lang w:eastAsia="id-ID"/>
        </w:rPr>
        <w:t xml:space="preserve"> </w:t>
      </w:r>
      <w:r w:rsidRPr="00901E12">
        <w:rPr>
          <w:rFonts w:ascii="Bookman Old Style" w:hAnsi="Bookman Old Style" w:cs="Gill Sans Light (Arabid)"/>
          <w:bCs/>
          <w:color w:val="000000" w:themeColor="text1"/>
          <w:sz w:val="24"/>
          <w:szCs w:val="24"/>
          <w:lang w:eastAsia="id-ID"/>
        </w:rPr>
        <w:t>Lainnya</w:t>
      </w:r>
      <w:r w:rsidR="00A954D0">
        <w:rPr>
          <w:rFonts w:ascii="Bookman Old Style" w:hAnsi="Bookman Old Style" w:cs="Gill Sans Light (Arabid)"/>
          <w:bCs/>
          <w:color w:val="000000" w:themeColor="text1"/>
          <w:sz w:val="24"/>
          <w:szCs w:val="24"/>
          <w:lang w:eastAsia="id-ID"/>
        </w:rPr>
        <w:t xml:space="preserve"> </w:t>
      </w:r>
      <w:r w:rsidRPr="00901E12">
        <w:rPr>
          <w:rFonts w:ascii="Bookman Old Style" w:hAnsi="Bookman Old Style" w:cs="Gill Sans Light (Arabid)"/>
          <w:bCs/>
          <w:color w:val="000000" w:themeColor="text1"/>
          <w:sz w:val="24"/>
          <w:szCs w:val="24"/>
          <w:lang w:eastAsia="id-ID"/>
        </w:rPr>
        <w:t>ASN</w:t>
      </w:r>
      <w:r w:rsidR="00A954D0">
        <w:rPr>
          <w:rFonts w:ascii="Bookman Old Style" w:hAnsi="Bookman Old Style" w:cs="Gill Sans Light (Arabid)"/>
          <w:bCs/>
          <w:color w:val="000000" w:themeColor="text1"/>
          <w:sz w:val="24"/>
          <w:szCs w:val="24"/>
          <w:lang w:eastAsia="id-ID"/>
        </w:rPr>
        <w:t xml:space="preserve"> </w:t>
      </w:r>
      <w:r w:rsidRPr="00727324">
        <w:rPr>
          <w:rFonts w:ascii="Bookman Old Style" w:hAnsi="Bookman Old Style" w:cs="Gill Sans Light (Arabid)"/>
          <w:bCs/>
          <w:color w:val="000000" w:themeColor="text1"/>
          <w:sz w:val="24"/>
          <w:szCs w:val="24"/>
          <w:lang w:eastAsia="id-ID"/>
        </w:rPr>
        <w:t>Rp</w:t>
      </w:r>
      <w:r w:rsidRPr="00776DDB">
        <w:rPr>
          <w:rFonts w:ascii="Bookman Old Style" w:hAnsi="Bookman Old Style" w:cs="Gill Sans Light (Arabid)"/>
          <w:bCs/>
          <w:color w:val="000000" w:themeColor="text1"/>
          <w:sz w:val="24"/>
          <w:szCs w:val="24"/>
          <w:lang w:eastAsia="id-ID"/>
        </w:rPr>
        <w:t>293</w:t>
      </w:r>
      <w:r>
        <w:rPr>
          <w:rFonts w:ascii="Bookman Old Style" w:hAnsi="Bookman Old Style" w:cs="Gill Sans Light (Arabid)"/>
          <w:bCs/>
          <w:color w:val="000000" w:themeColor="text1"/>
          <w:sz w:val="24"/>
          <w:szCs w:val="24"/>
          <w:lang w:eastAsia="id-ID"/>
        </w:rPr>
        <w:t>.</w:t>
      </w:r>
      <w:r w:rsidRPr="00776DDB">
        <w:rPr>
          <w:rFonts w:ascii="Bookman Old Style" w:hAnsi="Bookman Old Style" w:cs="Gill Sans Light (Arabid)"/>
          <w:bCs/>
          <w:color w:val="000000" w:themeColor="text1"/>
          <w:sz w:val="24"/>
          <w:szCs w:val="24"/>
          <w:lang w:eastAsia="id-ID"/>
        </w:rPr>
        <w:t>987</w:t>
      </w:r>
      <w:r>
        <w:rPr>
          <w:rFonts w:ascii="Bookman Old Style" w:hAnsi="Bookman Old Style" w:cs="Gill Sans Light (Arabid)"/>
          <w:bCs/>
          <w:color w:val="000000" w:themeColor="text1"/>
          <w:sz w:val="24"/>
          <w:szCs w:val="24"/>
          <w:lang w:eastAsia="id-ID"/>
        </w:rPr>
        <w:t>.</w:t>
      </w:r>
      <w:r w:rsidRPr="00776DDB">
        <w:rPr>
          <w:rFonts w:ascii="Bookman Old Style" w:hAnsi="Bookman Old Style" w:cs="Gill Sans Light (Arabid)"/>
          <w:bCs/>
          <w:color w:val="000000" w:themeColor="text1"/>
          <w:sz w:val="24"/>
          <w:szCs w:val="24"/>
          <w:lang w:eastAsia="id-ID"/>
        </w:rPr>
        <w:t>201</w:t>
      </w:r>
      <w:r>
        <w:rPr>
          <w:rFonts w:ascii="Bookman Old Style" w:hAnsi="Bookman Old Style" w:cs="Gill Sans Light (Arabid)"/>
          <w:bCs/>
          <w:color w:val="000000" w:themeColor="text1"/>
          <w:sz w:val="24"/>
          <w:szCs w:val="24"/>
          <w:lang w:eastAsia="id-ID"/>
        </w:rPr>
        <w:t>.</w:t>
      </w:r>
      <w:r w:rsidRPr="00776DDB">
        <w:rPr>
          <w:rFonts w:ascii="Bookman Old Style" w:hAnsi="Bookman Old Style" w:cs="Gill Sans Light (Arabid)"/>
          <w:bCs/>
          <w:color w:val="000000" w:themeColor="text1"/>
          <w:sz w:val="24"/>
          <w:szCs w:val="24"/>
          <w:lang w:eastAsia="id-ID"/>
        </w:rPr>
        <w:t>446</w:t>
      </w:r>
      <w:r>
        <w:rPr>
          <w:rFonts w:ascii="Bookman Old Style" w:hAnsi="Bookman Old Style" w:cs="Gill Sans Light (Arabid)"/>
          <w:bCs/>
          <w:color w:val="000000" w:themeColor="text1"/>
          <w:sz w:val="24"/>
          <w:szCs w:val="24"/>
          <w:lang w:eastAsia="id-ID"/>
        </w:rPr>
        <w:t>,</w:t>
      </w:r>
      <w:r w:rsidRPr="00776DDB">
        <w:rPr>
          <w:rFonts w:ascii="Bookman Old Style" w:hAnsi="Bookman Old Style" w:cs="Gill Sans Light (Arabid)"/>
          <w:bCs/>
          <w:color w:val="000000" w:themeColor="text1"/>
          <w:sz w:val="24"/>
          <w:szCs w:val="24"/>
          <w:lang w:eastAsia="id-ID"/>
        </w:rPr>
        <w:t>00</w:t>
      </w:r>
      <w:r>
        <w:rPr>
          <w:rFonts w:ascii="Bookman Old Style" w:hAnsi="Bookman Old Style" w:cs="Gill Sans Light (Arabid)"/>
          <w:bCs/>
          <w:color w:val="000000" w:themeColor="text1"/>
          <w:sz w:val="24"/>
          <w:szCs w:val="24"/>
          <w:lang w:eastAsia="id-ID"/>
        </w:rPr>
        <w:t>.</w:t>
      </w:r>
    </w:p>
    <w:p w14:paraId="087F0471" w14:textId="01E735CA" w:rsidR="005A4806" w:rsidRPr="00987497" w:rsidRDefault="00A954D0" w:rsidP="00987497">
      <w:pPr>
        <w:spacing w:before="60" w:line="276" w:lineRule="auto"/>
        <w:jc w:val="both"/>
        <w:rPr>
          <w:rFonts w:ascii="Bookman Old Style" w:hAnsi="Bookman Old Style" w:cs="Gill Sans Light (Arabid)"/>
          <w:bCs/>
          <w:color w:val="000000" w:themeColor="text1"/>
          <w:lang w:eastAsia="id-ID"/>
        </w:rPr>
      </w:pPr>
      <w:r w:rsidRPr="00987497">
        <w:rPr>
          <w:rFonts w:ascii="Bookman Old Style" w:hAnsi="Bookman Old Style" w:cs="Gill Sans Light (Arabid)"/>
          <w:bCs/>
          <w:color w:val="000000" w:themeColor="text1"/>
          <w:lang w:eastAsia="id-ID"/>
        </w:rPr>
        <w:t xml:space="preserve"> </w:t>
      </w:r>
    </w:p>
    <w:p w14:paraId="48F266F7" w14:textId="065334B0" w:rsidR="005A4806" w:rsidRPr="00727324" w:rsidRDefault="005A4806" w:rsidP="00F639B5">
      <w:pPr>
        <w:pStyle w:val="ListParagraph"/>
        <w:spacing w:before="60" w:after="0" w:line="276" w:lineRule="auto"/>
        <w:ind w:left="2268"/>
        <w:contextualSpacing w:val="0"/>
        <w:jc w:val="both"/>
        <w:rPr>
          <w:rFonts w:ascii="Bookman Old Style" w:hAnsi="Bookman Old Style" w:cs="Gill Sans Light (Arabid)"/>
          <w:bCs/>
          <w:sz w:val="24"/>
          <w:szCs w:val="24"/>
          <w:lang w:val="sv-FI" w:eastAsia="id-ID"/>
        </w:rPr>
      </w:pPr>
      <w:r w:rsidRPr="00727324">
        <w:rPr>
          <w:rFonts w:ascii="Bookman Old Style" w:hAnsi="Bookman Old Style"/>
          <w:sz w:val="24"/>
          <w:szCs w:val="24"/>
          <w:lang w:val="sv-FI"/>
        </w:rPr>
        <w:lastRenderedPageBreak/>
        <w:t>Dapat</w:t>
      </w:r>
      <w:r w:rsidR="00A954D0">
        <w:rPr>
          <w:rFonts w:ascii="Bookman Old Style" w:hAnsi="Bookman Old Style"/>
          <w:sz w:val="24"/>
          <w:szCs w:val="24"/>
          <w:lang w:val="sv-FI"/>
        </w:rPr>
        <w:t xml:space="preserve"> </w:t>
      </w:r>
      <w:r w:rsidRPr="00727324">
        <w:rPr>
          <w:rFonts w:ascii="Bookman Old Style" w:hAnsi="Bookman Old Style"/>
          <w:sz w:val="24"/>
          <w:szCs w:val="24"/>
          <w:lang w:val="sv-FI"/>
        </w:rPr>
        <w:t>dianggarkan</w:t>
      </w:r>
      <w:r w:rsidR="00A954D0">
        <w:rPr>
          <w:rFonts w:ascii="Bookman Old Style" w:hAnsi="Bookman Old Style" w:cs="Gill Sans Light (Arabid)"/>
          <w:bCs/>
          <w:sz w:val="24"/>
          <w:szCs w:val="24"/>
          <w:lang w:val="sv-FI" w:eastAsia="id-ID"/>
        </w:rPr>
        <w:t xml:space="preserve"> </w:t>
      </w:r>
      <w:r w:rsidRPr="00727324">
        <w:rPr>
          <w:rFonts w:ascii="Bookman Old Style" w:hAnsi="Bookman Old Style" w:cs="Gill Sans Light (Arabid)"/>
          <w:bCs/>
          <w:sz w:val="24"/>
          <w:szCs w:val="24"/>
          <w:lang w:val="sv-FI" w:eastAsia="id-ID"/>
        </w:rPr>
        <w:t>dalam</w:t>
      </w:r>
      <w:r w:rsidR="00A954D0">
        <w:rPr>
          <w:rFonts w:ascii="Bookman Old Style" w:hAnsi="Bookman Old Style" w:cs="Gill Sans Light (Arabid)"/>
          <w:bCs/>
          <w:sz w:val="24"/>
          <w:szCs w:val="24"/>
          <w:lang w:val="sv-FI" w:eastAsia="id-ID"/>
        </w:rPr>
        <w:t xml:space="preserve"> </w:t>
      </w:r>
      <w:r w:rsidRPr="00727324">
        <w:rPr>
          <w:rFonts w:ascii="Bookman Old Style" w:hAnsi="Bookman Old Style" w:cs="Gill Sans Light (Arabid)"/>
          <w:bCs/>
          <w:sz w:val="24"/>
          <w:szCs w:val="24"/>
          <w:lang w:val="sv-FI" w:eastAsia="id-ID"/>
        </w:rPr>
        <w:t>Rancangan</w:t>
      </w:r>
      <w:r w:rsidR="00A954D0">
        <w:rPr>
          <w:rFonts w:ascii="Bookman Old Style" w:hAnsi="Bookman Old Style" w:cs="Gill Sans Light (Arabid)"/>
          <w:bCs/>
          <w:sz w:val="24"/>
          <w:szCs w:val="24"/>
          <w:lang w:val="sv-FI" w:eastAsia="id-ID"/>
        </w:rPr>
        <w:t xml:space="preserve"> </w:t>
      </w:r>
      <w:r w:rsidRPr="00727324">
        <w:rPr>
          <w:rFonts w:ascii="Bookman Old Style" w:hAnsi="Bookman Old Style" w:cs="Gill Sans Light (Arabid)"/>
          <w:bCs/>
          <w:sz w:val="24"/>
          <w:szCs w:val="24"/>
          <w:lang w:val="sv-FI" w:eastAsia="id-ID"/>
        </w:rPr>
        <w:t>Peraturan</w:t>
      </w:r>
      <w:r w:rsidR="00A954D0">
        <w:rPr>
          <w:rFonts w:ascii="Bookman Old Style" w:hAnsi="Bookman Old Style" w:cs="Gill Sans Light (Arabid)"/>
          <w:bCs/>
          <w:sz w:val="24"/>
          <w:szCs w:val="24"/>
          <w:lang w:val="sv-FI" w:eastAsia="id-ID"/>
        </w:rPr>
        <w:t xml:space="preserve"> </w:t>
      </w:r>
      <w:r w:rsidRPr="00727324">
        <w:rPr>
          <w:rFonts w:ascii="Bookman Old Style" w:hAnsi="Bookman Old Style" w:cs="Gill Sans Light (Arabid)"/>
          <w:bCs/>
          <w:sz w:val="24"/>
          <w:szCs w:val="24"/>
          <w:lang w:val="sv-FI" w:eastAsia="id-ID"/>
        </w:rPr>
        <w:t>Daerah</w:t>
      </w:r>
      <w:r w:rsidR="00A954D0">
        <w:rPr>
          <w:rFonts w:ascii="Bookman Old Style" w:hAnsi="Bookman Old Style"/>
          <w:sz w:val="24"/>
          <w:szCs w:val="24"/>
          <w:lang w:val="id-ID"/>
        </w:rPr>
        <w:t xml:space="preserve"> </w:t>
      </w:r>
      <w:r>
        <w:rPr>
          <w:rFonts w:ascii="Bookman Old Style" w:hAnsi="Bookman Old Style"/>
          <w:sz w:val="24"/>
          <w:szCs w:val="24"/>
          <w:lang w:val="id-ID"/>
        </w:rPr>
        <w:t>Kota</w:t>
      </w:r>
      <w:r w:rsidR="00A954D0">
        <w:rPr>
          <w:rFonts w:ascii="Bookman Old Style" w:hAnsi="Bookman Old Style"/>
          <w:sz w:val="24"/>
          <w:szCs w:val="24"/>
          <w:lang w:val="id-ID"/>
        </w:rPr>
        <w:t xml:space="preserve"> </w:t>
      </w:r>
      <w:r>
        <w:rPr>
          <w:rFonts w:ascii="Bookman Old Style" w:hAnsi="Bookman Old Style"/>
          <w:sz w:val="24"/>
          <w:szCs w:val="24"/>
          <w:lang w:val="fi-FI"/>
        </w:rPr>
        <w:t>Tangerang</w:t>
      </w:r>
      <w:r w:rsidR="00A954D0">
        <w:rPr>
          <w:rFonts w:ascii="Bookman Old Style" w:hAnsi="Bookman Old Style"/>
          <w:sz w:val="24"/>
          <w:szCs w:val="24"/>
        </w:rPr>
        <w:t xml:space="preserve"> </w:t>
      </w:r>
      <w:r w:rsidRPr="00727324">
        <w:rPr>
          <w:rFonts w:ascii="Bookman Old Style" w:hAnsi="Bookman Old Style" w:cs="Gill Sans Light (Arabid)"/>
          <w:bCs/>
          <w:sz w:val="24"/>
          <w:szCs w:val="24"/>
          <w:lang w:val="sv-FI" w:eastAsia="id-ID"/>
        </w:rPr>
        <w:t>tentang</w:t>
      </w:r>
      <w:r w:rsidR="00A954D0">
        <w:rPr>
          <w:rFonts w:ascii="Bookman Old Style" w:hAnsi="Bookman Old Style" w:cs="Gill Sans Light (Arabid)"/>
          <w:bCs/>
          <w:sz w:val="24"/>
          <w:szCs w:val="24"/>
          <w:lang w:val="sv-FI" w:eastAsia="id-ID"/>
        </w:rPr>
        <w:t xml:space="preserve"> </w:t>
      </w:r>
      <w:r w:rsidRPr="00727324">
        <w:rPr>
          <w:rFonts w:ascii="Bookman Old Style" w:hAnsi="Bookman Old Style" w:cs="Gill Sans Light (Arabid)"/>
          <w:bCs/>
          <w:sz w:val="24"/>
          <w:szCs w:val="24"/>
          <w:lang w:val="sv-FI" w:eastAsia="id-ID"/>
        </w:rPr>
        <w:t>APBD</w:t>
      </w:r>
      <w:r w:rsidR="00A954D0">
        <w:rPr>
          <w:rFonts w:ascii="Bookman Old Style" w:hAnsi="Bookman Old Style" w:cs="Gill Sans Light (Arabid)"/>
          <w:bCs/>
          <w:sz w:val="24"/>
          <w:szCs w:val="24"/>
          <w:lang w:val="sv-FI" w:eastAsia="id-ID"/>
        </w:rPr>
        <w:t xml:space="preserve"> </w:t>
      </w:r>
      <w:r w:rsidRPr="00727324">
        <w:rPr>
          <w:rFonts w:ascii="Bookman Old Style" w:hAnsi="Bookman Old Style" w:cs="Gill Sans Light (Arabid)"/>
          <w:bCs/>
          <w:sz w:val="24"/>
          <w:szCs w:val="24"/>
          <w:lang w:val="sv-FI" w:eastAsia="id-ID"/>
        </w:rPr>
        <w:t>Tahun</w:t>
      </w:r>
      <w:r w:rsidR="00A954D0">
        <w:rPr>
          <w:rFonts w:ascii="Bookman Old Style" w:hAnsi="Bookman Old Style" w:cs="Gill Sans Light (Arabid)"/>
          <w:bCs/>
          <w:sz w:val="24"/>
          <w:szCs w:val="24"/>
          <w:lang w:val="sv-FI" w:eastAsia="id-ID"/>
        </w:rPr>
        <w:t xml:space="preserve"> </w:t>
      </w:r>
      <w:r w:rsidRPr="00727324">
        <w:rPr>
          <w:rFonts w:ascii="Bookman Old Style" w:hAnsi="Bookman Old Style" w:cs="Gill Sans Light (Arabid)"/>
          <w:bCs/>
          <w:sz w:val="24"/>
          <w:szCs w:val="24"/>
          <w:lang w:val="sv-FI" w:eastAsia="id-ID"/>
        </w:rPr>
        <w:t>Anggaran</w:t>
      </w:r>
      <w:r w:rsidR="00A954D0">
        <w:rPr>
          <w:rFonts w:ascii="Bookman Old Style" w:hAnsi="Bookman Old Style" w:cs="Gill Sans Light (Arabid)"/>
          <w:bCs/>
          <w:sz w:val="24"/>
          <w:szCs w:val="24"/>
          <w:lang w:val="sv-FI" w:eastAsia="id-ID"/>
        </w:rPr>
        <w:t xml:space="preserve"> </w:t>
      </w:r>
      <w:r w:rsidRPr="00727324">
        <w:rPr>
          <w:rFonts w:ascii="Bookman Old Style" w:hAnsi="Bookman Old Style" w:cs="Gill Sans Light (Arabid)"/>
          <w:bCs/>
          <w:sz w:val="24"/>
          <w:szCs w:val="24"/>
          <w:lang w:val="sv-FI" w:eastAsia="id-ID"/>
        </w:rPr>
        <w:t>2025</w:t>
      </w:r>
      <w:r w:rsidR="00A954D0">
        <w:rPr>
          <w:rFonts w:ascii="Bookman Old Style" w:hAnsi="Bookman Old Style" w:cs="Gill Sans Light (Arabid)"/>
          <w:bCs/>
          <w:sz w:val="24"/>
          <w:szCs w:val="24"/>
          <w:lang w:val="sv-FI" w:eastAsia="id-ID"/>
        </w:rPr>
        <w:t xml:space="preserve"> </w:t>
      </w:r>
      <w:r w:rsidRPr="00727324">
        <w:rPr>
          <w:rFonts w:ascii="Bookman Old Style" w:hAnsi="Bookman Old Style" w:cs="Gill Sans Light (Arabid)"/>
          <w:bCs/>
          <w:sz w:val="24"/>
          <w:szCs w:val="24"/>
          <w:lang w:val="sv-FI" w:eastAsia="id-ID"/>
        </w:rPr>
        <w:t>dengan</w:t>
      </w:r>
      <w:r w:rsidR="00A954D0">
        <w:rPr>
          <w:rFonts w:ascii="Bookman Old Style" w:hAnsi="Bookman Old Style" w:cs="Gill Sans Light (Arabid)"/>
          <w:bCs/>
          <w:sz w:val="24"/>
          <w:szCs w:val="24"/>
          <w:lang w:val="sv-FI" w:eastAsia="id-ID"/>
        </w:rPr>
        <w:t xml:space="preserve"> </w:t>
      </w:r>
      <w:r w:rsidRPr="00727324">
        <w:rPr>
          <w:rFonts w:ascii="Bookman Old Style" w:hAnsi="Bookman Old Style" w:cs="Gill Sans Light (Arabid)"/>
          <w:bCs/>
          <w:sz w:val="24"/>
          <w:szCs w:val="24"/>
          <w:lang w:val="sv-FI" w:eastAsia="id-ID"/>
        </w:rPr>
        <w:t>memperhatikan</w:t>
      </w:r>
      <w:r w:rsidR="00A954D0">
        <w:rPr>
          <w:rFonts w:ascii="Bookman Old Style" w:hAnsi="Bookman Old Style" w:cs="Gill Sans Light (Arabid)"/>
          <w:bCs/>
          <w:sz w:val="24"/>
          <w:szCs w:val="24"/>
          <w:lang w:val="sv-FI" w:eastAsia="id-ID"/>
        </w:rPr>
        <w:t xml:space="preserve"> </w:t>
      </w:r>
      <w:r w:rsidRPr="00727324">
        <w:rPr>
          <w:rFonts w:ascii="Bookman Old Style" w:hAnsi="Bookman Old Style" w:cs="Gill Sans Light (Arabid)"/>
          <w:bCs/>
          <w:sz w:val="24"/>
          <w:szCs w:val="24"/>
          <w:lang w:val="sv-FI" w:eastAsia="id-ID"/>
        </w:rPr>
        <w:t>jumlah</w:t>
      </w:r>
      <w:r w:rsidR="00A954D0">
        <w:rPr>
          <w:rFonts w:ascii="Bookman Old Style" w:hAnsi="Bookman Old Style" w:cs="Gill Sans Light (Arabid)"/>
          <w:bCs/>
          <w:sz w:val="24"/>
          <w:szCs w:val="24"/>
          <w:lang w:val="sv-FI" w:eastAsia="id-ID"/>
        </w:rPr>
        <w:t xml:space="preserve"> </w:t>
      </w:r>
      <w:r w:rsidRPr="00727324">
        <w:rPr>
          <w:rFonts w:ascii="Bookman Old Style" w:hAnsi="Bookman Old Style" w:cs="Gill Sans Light (Arabid)"/>
          <w:bCs/>
          <w:sz w:val="24"/>
          <w:szCs w:val="24"/>
          <w:lang w:val="sv-FI" w:eastAsia="id-ID"/>
        </w:rPr>
        <w:t>pegawai,</w:t>
      </w:r>
      <w:r w:rsidR="00A954D0">
        <w:rPr>
          <w:rFonts w:ascii="Bookman Old Style" w:hAnsi="Bookman Old Style" w:cs="Gill Sans Light (Arabid)"/>
          <w:bCs/>
          <w:sz w:val="24"/>
          <w:szCs w:val="24"/>
          <w:lang w:val="sv-FI" w:eastAsia="id-ID"/>
        </w:rPr>
        <w:t xml:space="preserve"> </w:t>
      </w:r>
      <w:r w:rsidRPr="00727324">
        <w:rPr>
          <w:rFonts w:ascii="Bookman Old Style" w:hAnsi="Bookman Old Style" w:cs="Gill Sans Light (Arabid)"/>
          <w:bCs/>
          <w:sz w:val="24"/>
          <w:szCs w:val="24"/>
          <w:lang w:val="sv-FI" w:eastAsia="id-ID"/>
        </w:rPr>
        <w:t>aspek</w:t>
      </w:r>
      <w:r w:rsidR="00A954D0">
        <w:rPr>
          <w:rFonts w:ascii="Bookman Old Style" w:hAnsi="Bookman Old Style" w:cs="Gill Sans Light (Arabid)"/>
          <w:bCs/>
          <w:sz w:val="24"/>
          <w:szCs w:val="24"/>
          <w:lang w:val="sv-FI" w:eastAsia="id-ID"/>
        </w:rPr>
        <w:t xml:space="preserve"> </w:t>
      </w:r>
      <w:r w:rsidRPr="00727324">
        <w:rPr>
          <w:rFonts w:ascii="Bookman Old Style" w:hAnsi="Bookman Old Style" w:cs="Gill Sans Light (Arabid)"/>
          <w:bCs/>
          <w:sz w:val="24"/>
          <w:szCs w:val="24"/>
          <w:lang w:val="sv-FI" w:eastAsia="id-ID"/>
        </w:rPr>
        <w:t>efektivitas,</w:t>
      </w:r>
      <w:r w:rsidR="00A954D0">
        <w:rPr>
          <w:rFonts w:ascii="Bookman Old Style" w:hAnsi="Bookman Old Style" w:cs="Gill Sans Light (Arabid)"/>
          <w:bCs/>
          <w:sz w:val="24"/>
          <w:szCs w:val="24"/>
          <w:lang w:val="sv-FI" w:eastAsia="id-ID"/>
        </w:rPr>
        <w:t xml:space="preserve"> </w:t>
      </w:r>
      <w:r w:rsidRPr="00727324">
        <w:rPr>
          <w:rFonts w:ascii="Bookman Old Style" w:hAnsi="Bookman Old Style" w:cs="Gill Sans Light (Arabid)"/>
          <w:bCs/>
          <w:sz w:val="24"/>
          <w:szCs w:val="24"/>
          <w:lang w:val="sv-FI" w:eastAsia="id-ID"/>
        </w:rPr>
        <w:t>efisiensi,</w:t>
      </w:r>
      <w:r w:rsidR="00A954D0">
        <w:rPr>
          <w:rFonts w:ascii="Bookman Old Style" w:hAnsi="Bookman Old Style" w:cs="Gill Sans Light (Arabid)"/>
          <w:bCs/>
          <w:sz w:val="24"/>
          <w:szCs w:val="24"/>
          <w:lang w:val="sv-FI" w:eastAsia="id-ID"/>
        </w:rPr>
        <w:t xml:space="preserve"> </w:t>
      </w:r>
      <w:r w:rsidRPr="00727324">
        <w:rPr>
          <w:rFonts w:ascii="Bookman Old Style" w:hAnsi="Bookman Old Style" w:cs="Gill Sans Light (Arabid)"/>
          <w:bCs/>
          <w:sz w:val="24"/>
          <w:szCs w:val="24"/>
          <w:lang w:val="sv-FI" w:eastAsia="id-ID"/>
        </w:rPr>
        <w:t>kepatutan</w:t>
      </w:r>
      <w:r w:rsidR="00A954D0">
        <w:rPr>
          <w:rFonts w:ascii="Bookman Old Style" w:hAnsi="Bookman Old Style" w:cs="Gill Sans Light (Arabid)"/>
          <w:bCs/>
          <w:sz w:val="24"/>
          <w:szCs w:val="24"/>
          <w:lang w:val="sv-FI" w:eastAsia="id-ID"/>
        </w:rPr>
        <w:t xml:space="preserve"> </w:t>
      </w:r>
      <w:r w:rsidRPr="00727324">
        <w:rPr>
          <w:rFonts w:ascii="Bookman Old Style" w:hAnsi="Bookman Old Style" w:cs="Gill Sans Light (Arabid)"/>
          <w:bCs/>
          <w:sz w:val="24"/>
          <w:szCs w:val="24"/>
          <w:lang w:val="sv-FI" w:eastAsia="id-ID"/>
        </w:rPr>
        <w:t>dan</w:t>
      </w:r>
      <w:r w:rsidR="00A954D0">
        <w:rPr>
          <w:rFonts w:ascii="Bookman Old Style" w:hAnsi="Bookman Old Style" w:cs="Gill Sans Light (Arabid)"/>
          <w:bCs/>
          <w:sz w:val="24"/>
          <w:szCs w:val="24"/>
          <w:lang w:val="sv-FI" w:eastAsia="id-ID"/>
        </w:rPr>
        <w:t xml:space="preserve"> </w:t>
      </w:r>
      <w:r w:rsidRPr="00727324">
        <w:rPr>
          <w:rFonts w:ascii="Bookman Old Style" w:hAnsi="Bookman Old Style" w:cs="Gill Sans Light (Arabid)"/>
          <w:bCs/>
          <w:sz w:val="24"/>
          <w:szCs w:val="24"/>
          <w:lang w:val="sv-FI" w:eastAsia="id-ID"/>
        </w:rPr>
        <w:t>kewajaran</w:t>
      </w:r>
      <w:r w:rsidR="00A954D0">
        <w:rPr>
          <w:rFonts w:ascii="Bookman Old Style" w:hAnsi="Bookman Old Style" w:cs="Gill Sans Light (Arabid)"/>
          <w:bCs/>
          <w:sz w:val="24"/>
          <w:szCs w:val="24"/>
          <w:lang w:val="sv-FI" w:eastAsia="id-ID"/>
        </w:rPr>
        <w:t xml:space="preserve"> </w:t>
      </w:r>
      <w:r w:rsidRPr="00727324">
        <w:rPr>
          <w:rFonts w:ascii="Bookman Old Style" w:hAnsi="Bookman Old Style" w:cs="Gill Sans Light (Arabid)"/>
          <w:bCs/>
          <w:sz w:val="24"/>
          <w:szCs w:val="24"/>
          <w:lang w:val="sv-FI" w:eastAsia="id-ID"/>
        </w:rPr>
        <w:t>penggunaan</w:t>
      </w:r>
      <w:r w:rsidR="00A954D0">
        <w:rPr>
          <w:rFonts w:ascii="Bookman Old Style" w:hAnsi="Bookman Old Style" w:cs="Gill Sans Light (Arabid)"/>
          <w:bCs/>
          <w:sz w:val="24"/>
          <w:szCs w:val="24"/>
          <w:lang w:val="sv-FI" w:eastAsia="id-ID"/>
        </w:rPr>
        <w:t xml:space="preserve"> </w:t>
      </w:r>
      <w:r w:rsidRPr="00727324">
        <w:rPr>
          <w:rFonts w:ascii="Bookman Old Style" w:hAnsi="Bookman Old Style" w:cs="Gill Sans Light (Arabid)"/>
          <w:bCs/>
          <w:sz w:val="24"/>
          <w:szCs w:val="24"/>
          <w:lang w:val="sv-FI" w:eastAsia="id-ID"/>
        </w:rPr>
        <w:t>anggaran</w:t>
      </w:r>
      <w:r w:rsidR="00A954D0">
        <w:rPr>
          <w:rFonts w:ascii="Bookman Old Style" w:hAnsi="Bookman Old Style" w:cs="Gill Sans Light (Arabid)"/>
          <w:bCs/>
          <w:sz w:val="24"/>
          <w:szCs w:val="24"/>
          <w:lang w:val="sv-FI" w:eastAsia="id-ID"/>
        </w:rPr>
        <w:t xml:space="preserve"> </w:t>
      </w:r>
      <w:r w:rsidRPr="00727324">
        <w:rPr>
          <w:rFonts w:ascii="Bookman Old Style" w:hAnsi="Bookman Old Style" w:cs="Gill Sans Light (Arabid)"/>
          <w:bCs/>
          <w:sz w:val="24"/>
          <w:szCs w:val="24"/>
          <w:lang w:val="sv-FI" w:eastAsia="id-ID"/>
        </w:rPr>
        <w:t>dengan</w:t>
      </w:r>
      <w:r w:rsidR="00A954D0">
        <w:rPr>
          <w:rFonts w:ascii="Bookman Old Style" w:hAnsi="Bookman Old Style" w:cs="Gill Sans Light (Arabid)"/>
          <w:bCs/>
          <w:sz w:val="24"/>
          <w:szCs w:val="24"/>
          <w:lang w:val="sv-FI" w:eastAsia="id-ID"/>
        </w:rPr>
        <w:t xml:space="preserve"> </w:t>
      </w:r>
      <w:r w:rsidRPr="00727324">
        <w:rPr>
          <w:rFonts w:ascii="Bookman Old Style" w:hAnsi="Bookman Old Style" w:cs="Gill Sans Light (Arabid)"/>
          <w:bCs/>
          <w:sz w:val="24"/>
          <w:szCs w:val="24"/>
          <w:lang w:val="sv-FI" w:eastAsia="id-ID"/>
        </w:rPr>
        <w:t>berpedoman</w:t>
      </w:r>
      <w:r w:rsidR="00A954D0">
        <w:rPr>
          <w:rFonts w:ascii="Bookman Old Style" w:hAnsi="Bookman Old Style" w:cs="Gill Sans Light (Arabid)"/>
          <w:bCs/>
          <w:sz w:val="24"/>
          <w:szCs w:val="24"/>
          <w:lang w:val="sv-FI" w:eastAsia="id-ID"/>
        </w:rPr>
        <w:t xml:space="preserve"> </w:t>
      </w:r>
      <w:r w:rsidRPr="00727324">
        <w:rPr>
          <w:rFonts w:ascii="Bookman Old Style" w:hAnsi="Bookman Old Style" w:cs="Gill Sans Light (Arabid)"/>
          <w:bCs/>
          <w:sz w:val="24"/>
          <w:szCs w:val="24"/>
          <w:lang w:val="sv-FI" w:eastAsia="id-ID"/>
        </w:rPr>
        <w:t>pada</w:t>
      </w:r>
      <w:r w:rsidR="00A954D0">
        <w:rPr>
          <w:rFonts w:ascii="Bookman Old Style" w:hAnsi="Bookman Old Style" w:cs="Gill Sans Light (Arabid)"/>
          <w:bCs/>
          <w:sz w:val="24"/>
          <w:szCs w:val="24"/>
          <w:lang w:val="sv-FI" w:eastAsia="id-ID"/>
        </w:rPr>
        <w:t xml:space="preserve"> </w:t>
      </w:r>
      <w:r w:rsidRPr="00727324">
        <w:rPr>
          <w:rFonts w:ascii="Bookman Old Style" w:hAnsi="Bookman Old Style" w:cs="Gill Sans Light (Arabid)"/>
          <w:bCs/>
          <w:sz w:val="24"/>
          <w:szCs w:val="24"/>
          <w:lang w:val="sv-FI" w:eastAsia="id-ID"/>
        </w:rPr>
        <w:t>ketentuan</w:t>
      </w:r>
      <w:r w:rsidR="00A954D0">
        <w:rPr>
          <w:rFonts w:ascii="Bookman Old Style" w:hAnsi="Bookman Old Style" w:cs="Gill Sans Light (Arabid)"/>
          <w:bCs/>
          <w:sz w:val="24"/>
          <w:szCs w:val="24"/>
          <w:lang w:val="sv-FI" w:eastAsia="id-ID"/>
        </w:rPr>
        <w:t xml:space="preserve"> </w:t>
      </w:r>
      <w:r w:rsidRPr="00727324">
        <w:rPr>
          <w:rFonts w:ascii="Bookman Old Style" w:hAnsi="Bookman Old Style" w:cs="Gill Sans Light (Arabid)"/>
          <w:bCs/>
          <w:sz w:val="24"/>
          <w:szCs w:val="24"/>
          <w:lang w:val="sv-FI" w:eastAsia="id-ID"/>
        </w:rPr>
        <w:t>Pasal</w:t>
      </w:r>
      <w:r w:rsidR="00A954D0">
        <w:rPr>
          <w:rFonts w:ascii="Bookman Old Style" w:hAnsi="Bookman Old Style" w:cs="Gill Sans Light (Arabid)"/>
          <w:bCs/>
          <w:sz w:val="24"/>
          <w:szCs w:val="24"/>
          <w:lang w:val="sv-FI" w:eastAsia="id-ID"/>
        </w:rPr>
        <w:t xml:space="preserve"> </w:t>
      </w:r>
      <w:r w:rsidRPr="00727324">
        <w:rPr>
          <w:rFonts w:ascii="Bookman Old Style" w:hAnsi="Bookman Old Style" w:cs="Gill Sans Light (Arabid)"/>
          <w:bCs/>
          <w:sz w:val="24"/>
          <w:szCs w:val="24"/>
          <w:lang w:val="sv-FI" w:eastAsia="id-ID"/>
        </w:rPr>
        <w:t>58</w:t>
      </w:r>
      <w:r w:rsidR="00A954D0">
        <w:rPr>
          <w:rFonts w:ascii="Bookman Old Style" w:hAnsi="Bookman Old Style" w:cs="Gill Sans Light (Arabid)"/>
          <w:bCs/>
          <w:sz w:val="24"/>
          <w:szCs w:val="24"/>
          <w:lang w:val="sv-FI" w:eastAsia="id-ID"/>
        </w:rPr>
        <w:t xml:space="preserve"> </w:t>
      </w:r>
      <w:r w:rsidRPr="00727324">
        <w:rPr>
          <w:rFonts w:ascii="Bookman Old Style" w:hAnsi="Bookman Old Style" w:cs="Gill Sans Light (Arabid)"/>
          <w:bCs/>
          <w:sz w:val="24"/>
          <w:szCs w:val="24"/>
          <w:lang w:val="sv-FI" w:eastAsia="id-ID"/>
        </w:rPr>
        <w:t>Peraturan</w:t>
      </w:r>
      <w:r w:rsidR="00A954D0">
        <w:rPr>
          <w:rFonts w:ascii="Bookman Old Style" w:hAnsi="Bookman Old Style" w:cs="Gill Sans Light (Arabid)"/>
          <w:bCs/>
          <w:sz w:val="24"/>
          <w:szCs w:val="24"/>
          <w:lang w:val="sv-FI" w:eastAsia="id-ID"/>
        </w:rPr>
        <w:t xml:space="preserve"> </w:t>
      </w:r>
      <w:r w:rsidRPr="00727324">
        <w:rPr>
          <w:rFonts w:ascii="Bookman Old Style" w:hAnsi="Bookman Old Style" w:cs="Gill Sans Light (Arabid)"/>
          <w:bCs/>
          <w:sz w:val="24"/>
          <w:szCs w:val="24"/>
          <w:lang w:val="sv-FI" w:eastAsia="id-ID"/>
        </w:rPr>
        <w:t>Pemerintah</w:t>
      </w:r>
      <w:r w:rsidR="00A954D0">
        <w:rPr>
          <w:rFonts w:ascii="Bookman Old Style" w:hAnsi="Bookman Old Style" w:cs="Gill Sans Light (Arabid)"/>
          <w:bCs/>
          <w:sz w:val="24"/>
          <w:szCs w:val="24"/>
          <w:lang w:val="sv-FI" w:eastAsia="id-ID"/>
        </w:rPr>
        <w:t xml:space="preserve"> </w:t>
      </w:r>
      <w:r w:rsidRPr="00727324">
        <w:rPr>
          <w:rFonts w:ascii="Bookman Old Style" w:hAnsi="Bookman Old Style" w:cs="Gill Sans Light (Arabid)"/>
          <w:bCs/>
          <w:sz w:val="24"/>
          <w:szCs w:val="24"/>
          <w:lang w:val="sv-FI" w:eastAsia="id-ID"/>
        </w:rPr>
        <w:t>Nomor</w:t>
      </w:r>
      <w:r w:rsidR="00A954D0">
        <w:rPr>
          <w:rFonts w:ascii="Bookman Old Style" w:hAnsi="Bookman Old Style" w:cs="Gill Sans Light (Arabid)"/>
          <w:bCs/>
          <w:sz w:val="24"/>
          <w:szCs w:val="24"/>
          <w:lang w:val="sv-FI" w:eastAsia="id-ID"/>
        </w:rPr>
        <w:t xml:space="preserve"> </w:t>
      </w:r>
      <w:r w:rsidRPr="00727324">
        <w:rPr>
          <w:rFonts w:ascii="Bookman Old Style" w:hAnsi="Bookman Old Style" w:cs="Gill Sans Light (Arabid)"/>
          <w:bCs/>
          <w:sz w:val="24"/>
          <w:szCs w:val="24"/>
          <w:lang w:val="sv-FI" w:eastAsia="id-ID"/>
        </w:rPr>
        <w:t>12</w:t>
      </w:r>
      <w:r w:rsidR="00A954D0">
        <w:rPr>
          <w:rFonts w:ascii="Bookman Old Style" w:hAnsi="Bookman Old Style" w:cs="Gill Sans Light (Arabid)"/>
          <w:bCs/>
          <w:sz w:val="24"/>
          <w:szCs w:val="24"/>
          <w:lang w:val="sv-FI" w:eastAsia="id-ID"/>
        </w:rPr>
        <w:t xml:space="preserve"> </w:t>
      </w:r>
      <w:r w:rsidRPr="00727324">
        <w:rPr>
          <w:rFonts w:ascii="Bookman Old Style" w:hAnsi="Bookman Old Style" w:cs="Gill Sans Light (Arabid)"/>
          <w:bCs/>
          <w:sz w:val="24"/>
          <w:szCs w:val="24"/>
          <w:lang w:val="sv-FI" w:eastAsia="id-ID"/>
        </w:rPr>
        <w:t>Tahun</w:t>
      </w:r>
      <w:r w:rsidR="00A954D0">
        <w:rPr>
          <w:rFonts w:ascii="Bookman Old Style" w:hAnsi="Bookman Old Style" w:cs="Gill Sans Light (Arabid)"/>
          <w:bCs/>
          <w:sz w:val="24"/>
          <w:szCs w:val="24"/>
          <w:lang w:val="sv-FI" w:eastAsia="id-ID"/>
        </w:rPr>
        <w:t xml:space="preserve"> </w:t>
      </w:r>
      <w:r w:rsidRPr="00727324">
        <w:rPr>
          <w:rFonts w:ascii="Bookman Old Style" w:hAnsi="Bookman Old Style" w:cs="Gill Sans Light (Arabid)"/>
          <w:bCs/>
          <w:sz w:val="24"/>
          <w:szCs w:val="24"/>
          <w:lang w:val="sv-FI" w:eastAsia="id-ID"/>
        </w:rPr>
        <w:t>2019.</w:t>
      </w:r>
    </w:p>
    <w:p w14:paraId="1664E6B4" w14:textId="4DF121EE" w:rsidR="005A4806" w:rsidRPr="00727324" w:rsidRDefault="005A4806" w:rsidP="00F639B5">
      <w:pPr>
        <w:pStyle w:val="ListParagraph"/>
        <w:spacing w:before="60" w:after="0" w:line="276" w:lineRule="auto"/>
        <w:ind w:left="2268"/>
        <w:contextualSpacing w:val="0"/>
        <w:jc w:val="both"/>
        <w:rPr>
          <w:rFonts w:ascii="Bookman Old Style" w:hAnsi="Bookman Old Style" w:cs="Gill Sans Light (Arabid)"/>
          <w:bCs/>
          <w:sz w:val="24"/>
          <w:szCs w:val="24"/>
          <w:lang w:val="id-ID" w:eastAsia="id-ID"/>
        </w:rPr>
      </w:pPr>
      <w:r w:rsidRPr="00727324">
        <w:rPr>
          <w:rFonts w:ascii="Bookman Old Style" w:hAnsi="Bookman Old Style" w:cs="Gill Sans Light (Arabid)"/>
          <w:bCs/>
          <w:sz w:val="24"/>
          <w:szCs w:val="24"/>
          <w:lang w:val="sv-FI" w:eastAsia="id-ID"/>
        </w:rPr>
        <w:t>Berkaitan</w:t>
      </w:r>
      <w:r w:rsidR="00A954D0">
        <w:rPr>
          <w:rFonts w:ascii="Bookman Old Style" w:hAnsi="Bookman Old Style" w:cs="Gill Sans Light (Arabid)"/>
          <w:bCs/>
          <w:sz w:val="24"/>
          <w:szCs w:val="24"/>
          <w:lang w:val="sv-FI" w:eastAsia="id-ID"/>
        </w:rPr>
        <w:t xml:space="preserve"> </w:t>
      </w:r>
      <w:r w:rsidRPr="00727324">
        <w:rPr>
          <w:rFonts w:ascii="Bookman Old Style" w:hAnsi="Bookman Old Style" w:cs="Gill Sans Light (Arabid)"/>
          <w:bCs/>
          <w:sz w:val="24"/>
          <w:szCs w:val="24"/>
          <w:lang w:val="sv-FI" w:eastAsia="id-ID"/>
        </w:rPr>
        <w:t>dengan</w:t>
      </w:r>
      <w:r w:rsidR="00A954D0">
        <w:rPr>
          <w:rFonts w:ascii="Bookman Old Style" w:hAnsi="Bookman Old Style" w:cs="Gill Sans Light (Arabid)"/>
          <w:bCs/>
          <w:sz w:val="24"/>
          <w:szCs w:val="24"/>
          <w:lang w:val="sv-FI" w:eastAsia="id-ID"/>
        </w:rPr>
        <w:t xml:space="preserve"> </w:t>
      </w:r>
      <w:r w:rsidRPr="00727324">
        <w:rPr>
          <w:rFonts w:ascii="Bookman Old Style" w:hAnsi="Bookman Old Style" w:cs="Gill Sans Light (Arabid)"/>
          <w:bCs/>
          <w:sz w:val="24"/>
          <w:szCs w:val="24"/>
          <w:lang w:val="sv-FI" w:eastAsia="id-ID"/>
        </w:rPr>
        <w:t>hal</w:t>
      </w:r>
      <w:r w:rsidR="00A954D0">
        <w:rPr>
          <w:rFonts w:ascii="Bookman Old Style" w:hAnsi="Bookman Old Style" w:cs="Gill Sans Light (Arabid)"/>
          <w:bCs/>
          <w:sz w:val="24"/>
          <w:szCs w:val="24"/>
          <w:lang w:val="sv-FI" w:eastAsia="id-ID"/>
        </w:rPr>
        <w:t xml:space="preserve"> </w:t>
      </w:r>
      <w:r w:rsidRPr="00727324">
        <w:rPr>
          <w:rFonts w:ascii="Bookman Old Style" w:hAnsi="Bookman Old Style" w:cs="Gill Sans Light (Arabid)"/>
          <w:bCs/>
          <w:sz w:val="24"/>
          <w:szCs w:val="24"/>
          <w:lang w:val="sv-FI" w:eastAsia="id-ID"/>
        </w:rPr>
        <w:t>tersebut,</w:t>
      </w:r>
      <w:r w:rsidR="00A954D0">
        <w:rPr>
          <w:rFonts w:ascii="Bookman Old Style" w:hAnsi="Bookman Old Style" w:cs="Gill Sans Light (Arabid)"/>
          <w:bCs/>
          <w:sz w:val="24"/>
          <w:szCs w:val="24"/>
          <w:lang w:val="sv-FI" w:eastAsia="id-ID"/>
        </w:rPr>
        <w:t xml:space="preserve"> </w:t>
      </w:r>
      <w:r w:rsidRPr="00727324">
        <w:rPr>
          <w:rFonts w:ascii="Bookman Old Style" w:hAnsi="Bookman Old Style" w:cs="Gill Sans Light (Arabid)"/>
          <w:bCs/>
          <w:sz w:val="24"/>
          <w:szCs w:val="24"/>
          <w:lang w:val="sv-FI" w:eastAsia="id-ID"/>
        </w:rPr>
        <w:t>k</w:t>
      </w:r>
      <w:r w:rsidRPr="00727324">
        <w:rPr>
          <w:rFonts w:ascii="Bookman Old Style" w:hAnsi="Bookman Old Style" w:cs="Gill Sans Light (Arabid)"/>
          <w:bCs/>
          <w:sz w:val="24"/>
          <w:szCs w:val="24"/>
          <w:lang w:val="id-ID" w:eastAsia="id-ID"/>
        </w:rPr>
        <w:t>ebijakan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TPP</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untuk</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Tahun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Anggaran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2024</w:t>
      </w:r>
      <w:r w:rsidR="00A954D0">
        <w:rPr>
          <w:rFonts w:ascii="Bookman Old Style" w:hAnsi="Bookman Old Style" w:cs="Gill Sans Light (Arabid)"/>
          <w:bCs/>
          <w:sz w:val="24"/>
          <w:szCs w:val="24"/>
          <w:lang w:val="sv-FI" w:eastAsia="id-ID"/>
        </w:rPr>
        <w:t xml:space="preserve"> </w:t>
      </w:r>
      <w:r w:rsidRPr="00727324">
        <w:rPr>
          <w:rFonts w:ascii="Bookman Old Style" w:hAnsi="Bookman Old Style" w:cs="Gill Sans Light (Arabid)"/>
          <w:bCs/>
          <w:sz w:val="24"/>
          <w:szCs w:val="24"/>
          <w:lang w:val="id-ID" w:eastAsia="id-ID"/>
        </w:rPr>
        <w:t>Pemerintah</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Daerah</w:t>
      </w:r>
      <w:r w:rsidR="00A954D0">
        <w:rPr>
          <w:rFonts w:ascii="Bookman Old Style" w:hAnsi="Bookman Old Style"/>
          <w:sz w:val="24"/>
          <w:szCs w:val="24"/>
          <w:lang w:val="id-ID"/>
        </w:rPr>
        <w:t xml:space="preserve"> </w:t>
      </w:r>
      <w:r>
        <w:rPr>
          <w:rFonts w:ascii="Bookman Old Style" w:hAnsi="Bookman Old Style"/>
          <w:sz w:val="24"/>
          <w:szCs w:val="24"/>
          <w:lang w:val="id-ID"/>
        </w:rPr>
        <w:t>Kota</w:t>
      </w:r>
      <w:r w:rsidR="00A954D0">
        <w:rPr>
          <w:rFonts w:ascii="Bookman Old Style" w:hAnsi="Bookman Old Style"/>
          <w:sz w:val="24"/>
          <w:szCs w:val="24"/>
          <w:lang w:val="id-ID"/>
        </w:rPr>
        <w:t xml:space="preserve"> </w:t>
      </w:r>
      <w:r>
        <w:rPr>
          <w:rFonts w:ascii="Bookman Old Style" w:hAnsi="Bookman Old Style"/>
          <w:sz w:val="24"/>
          <w:szCs w:val="24"/>
          <w:lang w:val="fi-FI"/>
        </w:rPr>
        <w:t>Tangerang</w:t>
      </w:r>
      <w:r w:rsidR="00A954D0">
        <w:rPr>
          <w:rFonts w:ascii="Bookman Old Style" w:hAnsi="Bookman Old Style"/>
          <w:sz w:val="24"/>
          <w:szCs w:val="24"/>
        </w:rPr>
        <w:t xml:space="preserve"> </w:t>
      </w:r>
      <w:r w:rsidRPr="00727324">
        <w:rPr>
          <w:rFonts w:ascii="Bookman Old Style" w:hAnsi="Bookman Old Style" w:cs="Gill Sans Light (Arabid)"/>
          <w:bCs/>
          <w:sz w:val="24"/>
          <w:szCs w:val="24"/>
          <w:lang w:val="id-ID" w:eastAsia="id-ID"/>
        </w:rPr>
        <w:t>tidak</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mengajukan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permohonan</w:t>
      </w:r>
      <w:r w:rsidR="00A954D0">
        <w:rPr>
          <w:rFonts w:ascii="Bookman Old Style" w:hAnsi="Bookman Old Style" w:cs="Gill Sans Light (Arabid)"/>
          <w:bCs/>
          <w:sz w:val="24"/>
          <w:szCs w:val="24"/>
          <w:lang w:val="sv-FI" w:eastAsia="id-ID"/>
        </w:rPr>
        <w:t xml:space="preserve"> </w:t>
      </w:r>
      <w:r w:rsidRPr="00727324">
        <w:rPr>
          <w:rFonts w:ascii="Bookman Old Style" w:hAnsi="Bookman Old Style" w:cs="Gill Sans Light (Arabid)"/>
          <w:bCs/>
          <w:sz w:val="24"/>
          <w:szCs w:val="24"/>
          <w:lang w:val="id-ID" w:eastAsia="id-ID"/>
        </w:rPr>
        <w:t>persetujuan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TPP</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ASN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Tahun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Anggaran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2025</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dalam</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hal:</w:t>
      </w:r>
    </w:p>
    <w:p w14:paraId="37F33A1E" w14:textId="54A565CC" w:rsidR="005A4806" w:rsidRPr="00727324" w:rsidRDefault="005A4806" w:rsidP="00F639B5">
      <w:pPr>
        <w:pStyle w:val="ListParagraph"/>
        <w:numPr>
          <w:ilvl w:val="0"/>
          <w:numId w:val="77"/>
        </w:numPr>
        <w:spacing w:before="60" w:after="0" w:line="276" w:lineRule="auto"/>
        <w:ind w:left="2694" w:hanging="425"/>
        <w:contextualSpacing w:val="0"/>
        <w:jc w:val="both"/>
        <w:rPr>
          <w:rFonts w:ascii="Bookman Old Style" w:hAnsi="Bookman Old Style" w:cs="Gill Sans Light (Arabid)"/>
          <w:bCs/>
          <w:sz w:val="24"/>
          <w:szCs w:val="24"/>
          <w:lang w:val="id-ID" w:eastAsia="id-ID"/>
        </w:rPr>
      </w:pPr>
      <w:r w:rsidRPr="00727324">
        <w:rPr>
          <w:rFonts w:ascii="Bookman Old Style" w:hAnsi="Bookman Old Style" w:cs="Gill Sans Light (Arabid)"/>
          <w:bCs/>
          <w:sz w:val="24"/>
          <w:szCs w:val="24"/>
          <w:lang w:val="id-ID" w:eastAsia="id-ID"/>
        </w:rPr>
        <w:t>tidak</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terdapat</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kenaikan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besaran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nominal</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yang</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diterima</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oleh</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ASN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dalam</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jabatan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setiap</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bulan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dalam</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1</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(satu)</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tahun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anggaran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dibandingkan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dengan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TPP</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ASN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Tahun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Anggaran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2024;</w:t>
      </w:r>
    </w:p>
    <w:p w14:paraId="0909699E" w14:textId="1B0EF378" w:rsidR="005A4806" w:rsidRPr="00727324" w:rsidRDefault="005A4806" w:rsidP="00F639B5">
      <w:pPr>
        <w:pStyle w:val="ListParagraph"/>
        <w:numPr>
          <w:ilvl w:val="0"/>
          <w:numId w:val="77"/>
        </w:numPr>
        <w:spacing w:before="60" w:after="0" w:line="276" w:lineRule="auto"/>
        <w:ind w:left="2694" w:hanging="425"/>
        <w:contextualSpacing w:val="0"/>
        <w:jc w:val="both"/>
        <w:rPr>
          <w:rFonts w:ascii="Bookman Old Style" w:hAnsi="Bookman Old Style" w:cs="Gill Sans Light (Arabid)"/>
          <w:bCs/>
          <w:sz w:val="24"/>
          <w:szCs w:val="24"/>
          <w:lang w:val="id-ID" w:eastAsia="id-ID"/>
        </w:rPr>
      </w:pPr>
      <w:r w:rsidRPr="00727324">
        <w:rPr>
          <w:rFonts w:ascii="Bookman Old Style" w:hAnsi="Bookman Old Style" w:cs="Gill Sans Light (Arabid)"/>
          <w:bCs/>
          <w:sz w:val="24"/>
          <w:szCs w:val="24"/>
          <w:lang w:val="id-ID" w:eastAsia="id-ID"/>
        </w:rPr>
        <w:t>terdapat</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perubahan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nomenklatur,</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perubahan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alokasi</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per</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kriteria,</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namun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tidak</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terdapat</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kenaikan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besaran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nominal</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yang</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diterima</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oleh</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ASN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setiap</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bulan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dalam</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1</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(satu)</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Tahun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Anggaran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dibandingkan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dengan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TPP</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ASN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TA</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2024;</w:t>
      </w:r>
    </w:p>
    <w:p w14:paraId="49258846" w14:textId="2FDFAE8B" w:rsidR="005A4806" w:rsidRPr="00727324" w:rsidRDefault="005A4806" w:rsidP="00F639B5">
      <w:pPr>
        <w:pStyle w:val="ListParagraph"/>
        <w:numPr>
          <w:ilvl w:val="0"/>
          <w:numId w:val="77"/>
        </w:numPr>
        <w:spacing w:before="60" w:after="0" w:line="276" w:lineRule="auto"/>
        <w:ind w:left="2694" w:hanging="425"/>
        <w:contextualSpacing w:val="0"/>
        <w:jc w:val="both"/>
        <w:rPr>
          <w:rFonts w:ascii="Bookman Old Style" w:hAnsi="Bookman Old Style" w:cs="Gill Sans Light (Arabid)"/>
          <w:bCs/>
          <w:sz w:val="24"/>
          <w:szCs w:val="24"/>
          <w:lang w:val="id-ID" w:eastAsia="id-ID"/>
        </w:rPr>
      </w:pPr>
      <w:r w:rsidRPr="00727324">
        <w:rPr>
          <w:rFonts w:ascii="Bookman Old Style" w:hAnsi="Bookman Old Style" w:cs="Gill Sans Light (Arabid)"/>
          <w:bCs/>
          <w:sz w:val="24"/>
          <w:szCs w:val="24"/>
          <w:lang w:val="id-ID" w:eastAsia="id-ID"/>
        </w:rPr>
        <w:t>terdapat</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kenaikan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pagu</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total</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TPP</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ASN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akibat</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adanya</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penambahan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jumlah</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ASN</w:t>
      </w:r>
      <w:r w:rsidR="00F639B5" w:rsidRPr="00F639B5">
        <w:rPr>
          <w:rFonts w:ascii="Bookman Old Style" w:hAnsi="Bookman Old Style" w:cs="Gill Sans Light (Arabid)"/>
          <w:bCs/>
          <w:sz w:val="24"/>
          <w:szCs w:val="24"/>
          <w:lang w:val="id-ID" w:eastAsia="id-ID"/>
        </w:rPr>
        <w:t>.</w:t>
      </w:r>
    </w:p>
    <w:p w14:paraId="3FE9AFE9" w14:textId="5331E5C8" w:rsidR="005A4806" w:rsidRPr="00727324" w:rsidRDefault="00F639B5" w:rsidP="00F639B5">
      <w:pPr>
        <w:pStyle w:val="ListParagraph"/>
        <w:spacing w:before="60" w:after="0" w:line="276" w:lineRule="auto"/>
        <w:ind w:left="2268"/>
        <w:contextualSpacing w:val="0"/>
        <w:jc w:val="both"/>
        <w:rPr>
          <w:rFonts w:ascii="Bookman Old Style" w:hAnsi="Bookman Old Style" w:cs="Gill Sans Light (Arabid)"/>
          <w:bCs/>
          <w:sz w:val="24"/>
          <w:szCs w:val="24"/>
          <w:lang w:val="it-IT" w:eastAsia="id-ID"/>
        </w:rPr>
      </w:pPr>
      <w:r>
        <w:rPr>
          <w:rFonts w:ascii="Bookman Old Style" w:hAnsi="Bookman Old Style" w:cs="Gill Sans Light (Arabid)"/>
          <w:bCs/>
          <w:sz w:val="24"/>
          <w:szCs w:val="24"/>
          <w:lang w:val="it-IT" w:eastAsia="id-ID"/>
        </w:rPr>
        <w:t>S</w:t>
      </w:r>
      <w:r w:rsidR="005A4806" w:rsidRPr="00727324">
        <w:rPr>
          <w:rFonts w:ascii="Bookman Old Style" w:hAnsi="Bookman Old Style" w:cs="Gill Sans Light (Arabid)"/>
          <w:bCs/>
          <w:sz w:val="24"/>
          <w:szCs w:val="24"/>
          <w:lang w:val="it-IT" w:eastAsia="id-ID"/>
        </w:rPr>
        <w:t>ebagaimana</w:t>
      </w:r>
      <w:r w:rsidR="00A954D0">
        <w:rPr>
          <w:rFonts w:ascii="Bookman Old Style" w:hAnsi="Bookman Old Style" w:cs="Gill Sans Light (Arabid)"/>
          <w:bCs/>
          <w:sz w:val="24"/>
          <w:szCs w:val="24"/>
          <w:lang w:val="it-IT" w:eastAsia="id-ID"/>
        </w:rPr>
        <w:t xml:space="preserve"> </w:t>
      </w:r>
      <w:r w:rsidR="005A4806" w:rsidRPr="00727324">
        <w:rPr>
          <w:rFonts w:ascii="Bookman Old Style" w:hAnsi="Bookman Old Style" w:cs="Gill Sans Light (Arabid)"/>
          <w:bCs/>
          <w:sz w:val="24"/>
          <w:szCs w:val="24"/>
          <w:lang w:val="it-IT" w:eastAsia="id-ID"/>
        </w:rPr>
        <w:t>maksud</w:t>
      </w:r>
      <w:r w:rsidR="00A954D0">
        <w:rPr>
          <w:rFonts w:ascii="Bookman Old Style" w:hAnsi="Bookman Old Style" w:cs="Gill Sans Light (Arabid)"/>
          <w:bCs/>
          <w:sz w:val="24"/>
          <w:szCs w:val="24"/>
          <w:lang w:val="it-IT" w:eastAsia="id-ID"/>
        </w:rPr>
        <w:t xml:space="preserve"> </w:t>
      </w:r>
      <w:r w:rsidR="005A4806" w:rsidRPr="00727324">
        <w:rPr>
          <w:rFonts w:ascii="Bookman Old Style" w:hAnsi="Bookman Old Style" w:cs="Gill Sans Light (Arabid)"/>
          <w:bCs/>
          <w:sz w:val="24"/>
          <w:szCs w:val="24"/>
          <w:lang w:val="it-IT" w:eastAsia="id-ID"/>
        </w:rPr>
        <w:t>butir</w:t>
      </w:r>
      <w:r w:rsidR="00A954D0">
        <w:rPr>
          <w:rFonts w:ascii="Bookman Old Style" w:hAnsi="Bookman Old Style" w:cs="Gill Sans Light (Arabid)"/>
          <w:bCs/>
          <w:sz w:val="24"/>
          <w:szCs w:val="24"/>
          <w:lang w:val="it-IT" w:eastAsia="id-ID"/>
        </w:rPr>
        <w:t xml:space="preserve"> </w:t>
      </w:r>
      <w:r w:rsidR="005A4806" w:rsidRPr="00727324">
        <w:rPr>
          <w:rFonts w:ascii="Bookman Old Style" w:hAnsi="Bookman Old Style" w:cs="Gill Sans Light (Arabid)"/>
          <w:bCs/>
          <w:sz w:val="24"/>
          <w:szCs w:val="24"/>
          <w:lang w:val="it-IT" w:eastAsia="id-ID"/>
        </w:rPr>
        <w:t>3.4.1.1.2.</w:t>
      </w:r>
      <w:r w:rsidR="005A4806" w:rsidRPr="00727324">
        <w:rPr>
          <w:rFonts w:ascii="Bookman Old Style" w:hAnsi="Bookman Old Style" w:cs="Arial"/>
          <w:sz w:val="24"/>
          <w:szCs w:val="24"/>
          <w:lang w:val="it-IT"/>
        </w:rPr>
        <w:t>g.1)</w:t>
      </w:r>
      <w:r w:rsidR="00A954D0">
        <w:rPr>
          <w:rFonts w:ascii="Bookman Old Style" w:hAnsi="Bookman Old Style" w:cs="Arial"/>
          <w:sz w:val="24"/>
          <w:szCs w:val="24"/>
          <w:lang w:val="id-ID"/>
        </w:rPr>
        <w:t xml:space="preserve"> </w:t>
      </w:r>
      <w:r w:rsidR="005A4806" w:rsidRPr="00727324">
        <w:rPr>
          <w:rFonts w:ascii="Bookman Old Style" w:hAnsi="Bookman Old Style" w:cs="Arial"/>
          <w:sz w:val="24"/>
          <w:szCs w:val="24"/>
          <w:lang w:val="it-IT"/>
        </w:rPr>
        <w:t>Lampiran</w:t>
      </w:r>
      <w:r w:rsidR="00A954D0">
        <w:rPr>
          <w:rFonts w:ascii="Bookman Old Style" w:hAnsi="Bookman Old Style" w:cs="Arial"/>
          <w:sz w:val="24"/>
          <w:szCs w:val="24"/>
          <w:lang w:val="it-IT"/>
        </w:rPr>
        <w:t xml:space="preserve"> </w:t>
      </w:r>
      <w:r w:rsidR="005A4806" w:rsidRPr="00727324">
        <w:rPr>
          <w:rFonts w:ascii="Bookman Old Style" w:hAnsi="Bookman Old Style" w:cs="Arial"/>
          <w:sz w:val="24"/>
          <w:szCs w:val="24"/>
          <w:lang w:val="it-IT"/>
        </w:rPr>
        <w:t>Peraturan</w:t>
      </w:r>
      <w:r w:rsidR="00A954D0">
        <w:rPr>
          <w:rFonts w:ascii="Bookman Old Style" w:hAnsi="Bookman Old Style" w:cs="Arial"/>
          <w:sz w:val="24"/>
          <w:szCs w:val="24"/>
          <w:lang w:val="it-IT"/>
        </w:rPr>
        <w:t xml:space="preserve"> </w:t>
      </w:r>
      <w:r w:rsidR="005A4806" w:rsidRPr="00727324">
        <w:rPr>
          <w:rFonts w:ascii="Bookman Old Style" w:hAnsi="Bookman Old Style" w:cs="Arial"/>
          <w:sz w:val="24"/>
          <w:szCs w:val="24"/>
          <w:lang w:val="it-IT"/>
        </w:rPr>
        <w:t>Menteri</w:t>
      </w:r>
      <w:r w:rsidR="00A954D0">
        <w:rPr>
          <w:rFonts w:ascii="Bookman Old Style" w:hAnsi="Bookman Old Style" w:cs="Arial"/>
          <w:sz w:val="24"/>
          <w:szCs w:val="24"/>
          <w:lang w:val="it-IT"/>
        </w:rPr>
        <w:t xml:space="preserve"> </w:t>
      </w:r>
      <w:r w:rsidR="005A4806" w:rsidRPr="00727324">
        <w:rPr>
          <w:rFonts w:ascii="Bookman Old Style" w:hAnsi="Bookman Old Style" w:cs="Arial"/>
          <w:sz w:val="24"/>
          <w:szCs w:val="24"/>
          <w:lang w:val="it-IT"/>
        </w:rPr>
        <w:t>Dalam</w:t>
      </w:r>
      <w:r w:rsidR="00A954D0">
        <w:rPr>
          <w:rFonts w:ascii="Bookman Old Style" w:hAnsi="Bookman Old Style" w:cs="Arial"/>
          <w:sz w:val="24"/>
          <w:szCs w:val="24"/>
          <w:lang w:val="it-IT"/>
        </w:rPr>
        <w:t xml:space="preserve"> </w:t>
      </w:r>
      <w:r w:rsidR="005A4806" w:rsidRPr="00727324">
        <w:rPr>
          <w:rFonts w:ascii="Bookman Old Style" w:hAnsi="Bookman Old Style" w:cs="Arial"/>
          <w:sz w:val="24"/>
          <w:szCs w:val="24"/>
          <w:lang w:val="it-IT"/>
        </w:rPr>
        <w:t>Negeri</w:t>
      </w:r>
      <w:r w:rsidR="00A954D0">
        <w:rPr>
          <w:rFonts w:ascii="Bookman Old Style" w:hAnsi="Bookman Old Style" w:cs="Arial"/>
          <w:sz w:val="24"/>
          <w:szCs w:val="24"/>
          <w:lang w:val="it-IT"/>
        </w:rPr>
        <w:t xml:space="preserve"> </w:t>
      </w:r>
      <w:r w:rsidR="005A4806" w:rsidRPr="00727324">
        <w:rPr>
          <w:rFonts w:ascii="Bookman Old Style" w:hAnsi="Bookman Old Style" w:cs="Arial"/>
          <w:sz w:val="24"/>
          <w:szCs w:val="24"/>
          <w:lang w:val="it-IT"/>
        </w:rPr>
        <w:t>Nomor</w:t>
      </w:r>
      <w:r w:rsidR="00A954D0">
        <w:rPr>
          <w:rFonts w:ascii="Bookman Old Style" w:hAnsi="Bookman Old Style" w:cs="Arial"/>
          <w:sz w:val="24"/>
          <w:szCs w:val="24"/>
          <w:lang w:val="it-IT"/>
        </w:rPr>
        <w:t xml:space="preserve"> </w:t>
      </w:r>
      <w:r w:rsidR="005A4806" w:rsidRPr="00727324">
        <w:rPr>
          <w:rFonts w:ascii="Bookman Old Style" w:hAnsi="Bookman Old Style" w:cs="Arial"/>
          <w:sz w:val="24"/>
          <w:szCs w:val="24"/>
          <w:lang w:val="it-IT"/>
        </w:rPr>
        <w:t>15</w:t>
      </w:r>
      <w:r w:rsidR="00A954D0">
        <w:rPr>
          <w:rFonts w:ascii="Bookman Old Style" w:hAnsi="Bookman Old Style" w:cs="Arial"/>
          <w:sz w:val="24"/>
          <w:szCs w:val="24"/>
          <w:lang w:val="it-IT"/>
        </w:rPr>
        <w:t xml:space="preserve"> </w:t>
      </w:r>
      <w:r w:rsidR="005A4806" w:rsidRPr="00727324">
        <w:rPr>
          <w:rFonts w:ascii="Bookman Old Style" w:hAnsi="Bookman Old Style" w:cs="Arial"/>
          <w:sz w:val="24"/>
          <w:szCs w:val="24"/>
          <w:lang w:val="it-IT"/>
        </w:rPr>
        <w:t>Tahun</w:t>
      </w:r>
      <w:r w:rsidR="00A954D0">
        <w:rPr>
          <w:rFonts w:ascii="Bookman Old Style" w:hAnsi="Bookman Old Style" w:cs="Arial"/>
          <w:sz w:val="24"/>
          <w:szCs w:val="24"/>
          <w:lang w:val="it-IT"/>
        </w:rPr>
        <w:t xml:space="preserve"> </w:t>
      </w:r>
      <w:r w:rsidR="005A4806" w:rsidRPr="00727324">
        <w:rPr>
          <w:rFonts w:ascii="Bookman Old Style" w:hAnsi="Bookman Old Style" w:cs="Arial"/>
          <w:sz w:val="24"/>
          <w:szCs w:val="24"/>
          <w:lang w:val="it-IT"/>
        </w:rPr>
        <w:t>2024</w:t>
      </w:r>
      <w:r w:rsidR="005A4806" w:rsidRPr="00727324">
        <w:rPr>
          <w:rFonts w:ascii="Bookman Old Style" w:hAnsi="Bookman Old Style" w:cs="Gill Sans Light (Arabid)"/>
          <w:bCs/>
          <w:sz w:val="24"/>
          <w:szCs w:val="24"/>
          <w:lang w:val="it-IT" w:eastAsia="id-ID"/>
        </w:rPr>
        <w:t>.</w:t>
      </w:r>
    </w:p>
    <w:p w14:paraId="030E4641" w14:textId="53BA6B6D" w:rsidR="005A4806" w:rsidRPr="00727324" w:rsidRDefault="005A4806" w:rsidP="00F639B5">
      <w:pPr>
        <w:pStyle w:val="ListParagraph"/>
        <w:spacing w:before="60" w:after="0" w:line="276" w:lineRule="auto"/>
        <w:ind w:left="2268"/>
        <w:contextualSpacing w:val="0"/>
        <w:jc w:val="both"/>
        <w:rPr>
          <w:rFonts w:ascii="Bookman Old Style" w:hAnsi="Bookman Old Style" w:cs="Gill Sans Light (Arabid)"/>
          <w:bCs/>
          <w:sz w:val="24"/>
          <w:szCs w:val="24"/>
          <w:lang w:val="it-IT" w:eastAsia="id-ID"/>
        </w:rPr>
      </w:pPr>
      <w:r w:rsidRPr="00727324">
        <w:rPr>
          <w:rFonts w:ascii="Bookman Old Style" w:hAnsi="Bookman Old Style" w:cs="Gill Sans Light (Arabid)"/>
          <w:bCs/>
          <w:sz w:val="24"/>
          <w:szCs w:val="24"/>
          <w:lang w:val="id-ID" w:eastAsia="id-ID"/>
        </w:rPr>
        <w:t>Selanjutnya</w:t>
      </w:r>
      <w:r w:rsidRPr="00727324">
        <w:rPr>
          <w:rFonts w:ascii="Bookman Old Style" w:hAnsi="Bookman Old Style" w:cs="Gill Sans Light (Arabid)"/>
          <w:bCs/>
          <w:sz w:val="24"/>
          <w:szCs w:val="24"/>
          <w:lang w:val="it-IT" w:eastAsia="id-ID"/>
        </w:rPr>
        <w:t>,</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kebijakan</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pemberian</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TPP</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ASN</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Pemerintah</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Daerah</w:t>
      </w:r>
      <w:r w:rsidR="00A954D0">
        <w:rPr>
          <w:rFonts w:ascii="Bookman Old Style" w:hAnsi="Bookman Old Style" w:cs="Gill Sans Light (Arabid)"/>
          <w:bCs/>
          <w:sz w:val="24"/>
          <w:szCs w:val="24"/>
          <w:lang w:val="it-IT" w:eastAsia="id-ID"/>
        </w:rPr>
        <w:t xml:space="preserve"> </w:t>
      </w:r>
      <w:r>
        <w:rPr>
          <w:rFonts w:ascii="Bookman Old Style" w:hAnsi="Bookman Old Style"/>
          <w:sz w:val="24"/>
          <w:szCs w:val="24"/>
          <w:lang w:val="fi-FI"/>
        </w:rPr>
        <w:t>Tangerang</w:t>
      </w:r>
      <w:r w:rsidR="00A954D0">
        <w:rPr>
          <w:rFonts w:ascii="Bookman Old Style" w:hAnsi="Bookman Old Style"/>
          <w:sz w:val="24"/>
          <w:szCs w:val="24"/>
        </w:rPr>
        <w:t xml:space="preserve"> </w:t>
      </w:r>
      <w:r w:rsidRPr="00727324">
        <w:rPr>
          <w:rFonts w:ascii="Bookman Old Style" w:hAnsi="Bookman Old Style" w:cs="Gill Sans Light (Arabid)"/>
          <w:bCs/>
          <w:sz w:val="24"/>
          <w:szCs w:val="24"/>
          <w:lang w:val="it-IT" w:eastAsia="id-ID"/>
        </w:rPr>
        <w:t>Tahun</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Anggaran</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2025</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Arial"/>
          <w:sz w:val="24"/>
          <w:szCs w:val="24"/>
          <w:lang w:val="it-IT"/>
        </w:rPr>
        <w:t>memperhatikan</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rekomendasi</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KPK</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dalam</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rangka</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mendukung</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program</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koordinasi</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dan</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supervisi</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KPK</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sebagaimana</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maksud</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Pasal</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6</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huruf</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a,</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huruf</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b</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dan</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huruf</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c</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Undang-Undang</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Nomor</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19</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Tahun</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2019</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tentang</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Perubahan</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Kedua</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atas</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Undang-Undang</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Nomor</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30</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Tahun</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2002</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tentang</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Komisi</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Pemberantasan</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Tindak</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Pidana</w:t>
      </w:r>
      <w:r w:rsidR="00A954D0">
        <w:rPr>
          <w:rFonts w:ascii="Bookman Old Style" w:hAnsi="Bookman Old Style" w:cs="Gill Sans Light (Arabid)"/>
          <w:bCs/>
          <w:sz w:val="24"/>
          <w:szCs w:val="24"/>
          <w:lang w:val="it-IT" w:eastAsia="id-ID"/>
        </w:rPr>
        <w:t xml:space="preserve"> </w:t>
      </w:r>
      <w:r w:rsidRPr="00727324">
        <w:rPr>
          <w:rFonts w:ascii="Bookman Old Style" w:hAnsi="Bookman Old Style" w:cs="Gill Sans Light (Arabid)"/>
          <w:bCs/>
          <w:sz w:val="24"/>
          <w:szCs w:val="24"/>
          <w:lang w:val="it-IT" w:eastAsia="id-ID"/>
        </w:rPr>
        <w:t>Korupsi.</w:t>
      </w:r>
    </w:p>
    <w:p w14:paraId="55A9DF76" w14:textId="2A69D558" w:rsidR="005A4806" w:rsidRPr="00F639B5" w:rsidRDefault="005A4806" w:rsidP="00F639B5">
      <w:pPr>
        <w:pStyle w:val="ListParagraph"/>
        <w:spacing w:before="60" w:after="0" w:line="276" w:lineRule="auto"/>
        <w:ind w:left="2268"/>
        <w:contextualSpacing w:val="0"/>
        <w:jc w:val="both"/>
        <w:rPr>
          <w:rFonts w:ascii="Bookman Old Style" w:hAnsi="Bookman Old Style"/>
          <w:sz w:val="24"/>
          <w:szCs w:val="24"/>
          <w:lang w:val="en-US"/>
        </w:rPr>
      </w:pPr>
      <w:r w:rsidRPr="00727324">
        <w:rPr>
          <w:rFonts w:ascii="Bookman Old Style" w:hAnsi="Bookman Old Style"/>
          <w:sz w:val="24"/>
          <w:szCs w:val="24"/>
        </w:rPr>
        <w:t>Selain</w:t>
      </w:r>
      <w:r w:rsidR="00A954D0">
        <w:rPr>
          <w:rFonts w:ascii="Bookman Old Style" w:hAnsi="Bookman Old Style"/>
          <w:sz w:val="24"/>
          <w:szCs w:val="24"/>
        </w:rPr>
        <w:t xml:space="preserve"> </w:t>
      </w:r>
      <w:r w:rsidRPr="00727324">
        <w:rPr>
          <w:rFonts w:ascii="Bookman Old Style" w:hAnsi="Bookman Old Style"/>
          <w:sz w:val="24"/>
          <w:szCs w:val="24"/>
        </w:rPr>
        <w:t>itu,</w:t>
      </w:r>
      <w:r w:rsidR="00A954D0">
        <w:rPr>
          <w:rFonts w:ascii="Bookman Old Style" w:hAnsi="Bookman Old Style"/>
          <w:sz w:val="24"/>
          <w:szCs w:val="24"/>
        </w:rPr>
        <w:t xml:space="preserve"> </w:t>
      </w:r>
      <w:r w:rsidRPr="00727324">
        <w:rPr>
          <w:rFonts w:ascii="Bookman Old Style" w:hAnsi="Bookman Old Style"/>
          <w:sz w:val="24"/>
          <w:szCs w:val="24"/>
        </w:rPr>
        <w:t>untuk</w:t>
      </w:r>
      <w:r w:rsidR="00A954D0">
        <w:rPr>
          <w:rFonts w:ascii="Bookman Old Style" w:hAnsi="Bookman Old Style"/>
          <w:sz w:val="24"/>
          <w:szCs w:val="24"/>
        </w:rPr>
        <w:t xml:space="preserve"> </w:t>
      </w:r>
      <w:r w:rsidRPr="00727324">
        <w:rPr>
          <w:rFonts w:ascii="Bookman Old Style" w:hAnsi="Bookman Old Style"/>
          <w:sz w:val="24"/>
          <w:szCs w:val="24"/>
        </w:rPr>
        <w:t>besaran</w:t>
      </w:r>
      <w:r w:rsidR="00A954D0">
        <w:rPr>
          <w:rFonts w:ascii="Bookman Old Style" w:hAnsi="Bookman Old Style"/>
          <w:sz w:val="24"/>
          <w:szCs w:val="24"/>
        </w:rPr>
        <w:t xml:space="preserve"> </w:t>
      </w:r>
      <w:r w:rsidRPr="00727324">
        <w:rPr>
          <w:rFonts w:ascii="Bookman Old Style" w:hAnsi="Bookman Old Style"/>
          <w:sz w:val="24"/>
          <w:szCs w:val="24"/>
        </w:rPr>
        <w:t>TPP</w:t>
      </w:r>
      <w:r w:rsidR="00A954D0">
        <w:rPr>
          <w:rFonts w:ascii="Bookman Old Style" w:hAnsi="Bookman Old Style"/>
          <w:sz w:val="24"/>
          <w:szCs w:val="24"/>
        </w:rPr>
        <w:t xml:space="preserve"> </w:t>
      </w:r>
      <w:r w:rsidRPr="00727324">
        <w:rPr>
          <w:rFonts w:ascii="Bookman Old Style" w:hAnsi="Bookman Old Style"/>
          <w:sz w:val="24"/>
          <w:szCs w:val="24"/>
        </w:rPr>
        <w:t>atau</w:t>
      </w:r>
      <w:r w:rsidR="00A954D0">
        <w:rPr>
          <w:rFonts w:ascii="Bookman Old Style" w:hAnsi="Bookman Old Style"/>
          <w:sz w:val="24"/>
          <w:szCs w:val="24"/>
        </w:rPr>
        <w:t xml:space="preserve"> </w:t>
      </w:r>
      <w:r w:rsidRPr="00727324">
        <w:rPr>
          <w:rFonts w:ascii="Bookman Old Style" w:hAnsi="Bookman Old Style"/>
          <w:sz w:val="24"/>
          <w:szCs w:val="24"/>
        </w:rPr>
        <w:t>tunjangan</w:t>
      </w:r>
      <w:r w:rsidR="00A954D0">
        <w:rPr>
          <w:rFonts w:ascii="Bookman Old Style" w:hAnsi="Bookman Old Style"/>
          <w:sz w:val="24"/>
          <w:szCs w:val="24"/>
        </w:rPr>
        <w:t xml:space="preserve"> </w:t>
      </w:r>
      <w:r w:rsidRPr="00727324">
        <w:rPr>
          <w:rFonts w:ascii="Bookman Old Style" w:hAnsi="Bookman Old Style"/>
          <w:sz w:val="24"/>
          <w:szCs w:val="24"/>
        </w:rPr>
        <w:t>kinerja</w:t>
      </w:r>
      <w:r w:rsidR="00A954D0">
        <w:rPr>
          <w:rFonts w:ascii="Bookman Old Style" w:hAnsi="Bookman Old Style"/>
          <w:sz w:val="24"/>
          <w:szCs w:val="24"/>
        </w:rPr>
        <w:t xml:space="preserve"> </w:t>
      </w:r>
      <w:r w:rsidRPr="00727324">
        <w:rPr>
          <w:rFonts w:ascii="Bookman Old Style" w:hAnsi="Bookman Old Style"/>
          <w:sz w:val="24"/>
          <w:szCs w:val="24"/>
        </w:rPr>
        <w:t>Tahun</w:t>
      </w:r>
      <w:r w:rsidR="00A954D0">
        <w:rPr>
          <w:rFonts w:ascii="Bookman Old Style" w:hAnsi="Bookman Old Style"/>
          <w:sz w:val="24"/>
          <w:szCs w:val="24"/>
        </w:rPr>
        <w:t xml:space="preserve"> </w:t>
      </w:r>
      <w:r w:rsidRPr="00727324">
        <w:rPr>
          <w:rFonts w:ascii="Bookman Old Style" w:hAnsi="Bookman Old Style"/>
          <w:sz w:val="24"/>
          <w:szCs w:val="24"/>
        </w:rPr>
        <w:t>Anggaran</w:t>
      </w:r>
      <w:r w:rsidR="00A954D0">
        <w:rPr>
          <w:rFonts w:ascii="Bookman Old Style" w:hAnsi="Bookman Old Style"/>
          <w:sz w:val="24"/>
          <w:szCs w:val="24"/>
        </w:rPr>
        <w:t xml:space="preserve"> </w:t>
      </w:r>
      <w:r w:rsidRPr="00727324">
        <w:rPr>
          <w:rFonts w:ascii="Bookman Old Style" w:hAnsi="Bookman Old Style"/>
          <w:sz w:val="24"/>
          <w:szCs w:val="24"/>
        </w:rPr>
        <w:t>2025</w:t>
      </w:r>
      <w:r w:rsidR="00A954D0">
        <w:rPr>
          <w:rFonts w:ascii="Bookman Old Style" w:hAnsi="Bookman Old Style"/>
          <w:sz w:val="24"/>
          <w:szCs w:val="24"/>
        </w:rPr>
        <w:t xml:space="preserve"> </w:t>
      </w:r>
      <w:r w:rsidRPr="00727324">
        <w:rPr>
          <w:rFonts w:ascii="Bookman Old Style" w:hAnsi="Bookman Old Style"/>
          <w:sz w:val="24"/>
          <w:szCs w:val="24"/>
        </w:rPr>
        <w:t>memperhitungkan</w:t>
      </w:r>
      <w:r w:rsidR="00A954D0">
        <w:rPr>
          <w:rFonts w:ascii="Bookman Old Style" w:hAnsi="Bookman Old Style"/>
          <w:sz w:val="24"/>
          <w:szCs w:val="24"/>
        </w:rPr>
        <w:t xml:space="preserve"> </w:t>
      </w:r>
      <w:r w:rsidRPr="00727324">
        <w:rPr>
          <w:rFonts w:ascii="Bookman Old Style" w:hAnsi="Bookman Old Style"/>
          <w:sz w:val="24"/>
          <w:szCs w:val="24"/>
        </w:rPr>
        <w:t>berdasarkan</w:t>
      </w:r>
      <w:r w:rsidR="00A954D0">
        <w:rPr>
          <w:rFonts w:ascii="Bookman Old Style" w:hAnsi="Bookman Old Style"/>
          <w:sz w:val="24"/>
          <w:szCs w:val="24"/>
        </w:rPr>
        <w:t xml:space="preserve"> </w:t>
      </w:r>
      <w:r w:rsidRPr="00727324">
        <w:rPr>
          <w:rFonts w:ascii="Bookman Old Style" w:hAnsi="Bookman Old Style"/>
          <w:sz w:val="24"/>
          <w:szCs w:val="24"/>
        </w:rPr>
        <w:t>kelas</w:t>
      </w:r>
      <w:r w:rsidR="00A954D0">
        <w:rPr>
          <w:rFonts w:ascii="Bookman Old Style" w:hAnsi="Bookman Old Style"/>
          <w:sz w:val="24"/>
          <w:szCs w:val="24"/>
        </w:rPr>
        <w:t xml:space="preserve"> </w:t>
      </w:r>
      <w:r w:rsidRPr="00727324">
        <w:rPr>
          <w:rFonts w:ascii="Bookman Old Style" w:hAnsi="Bookman Old Style"/>
          <w:sz w:val="24"/>
          <w:szCs w:val="24"/>
        </w:rPr>
        <w:t>jabatan</w:t>
      </w:r>
      <w:r w:rsidR="00A954D0">
        <w:rPr>
          <w:rFonts w:ascii="Bookman Old Style" w:hAnsi="Bookman Old Style"/>
          <w:sz w:val="24"/>
          <w:szCs w:val="24"/>
        </w:rPr>
        <w:t xml:space="preserve"> </w:t>
      </w:r>
      <w:r w:rsidRPr="00727324">
        <w:rPr>
          <w:rFonts w:ascii="Bookman Old Style" w:hAnsi="Bookman Old Style"/>
          <w:sz w:val="24"/>
          <w:szCs w:val="24"/>
        </w:rPr>
        <w:t>yang</w:t>
      </w:r>
      <w:r w:rsidR="00A954D0">
        <w:rPr>
          <w:rFonts w:ascii="Bookman Old Style" w:hAnsi="Bookman Old Style"/>
          <w:sz w:val="24"/>
          <w:szCs w:val="24"/>
        </w:rPr>
        <w:t xml:space="preserve"> </w:t>
      </w:r>
      <w:r w:rsidRPr="00727324">
        <w:rPr>
          <w:rFonts w:ascii="Bookman Old Style" w:hAnsi="Bookman Old Style"/>
          <w:sz w:val="24"/>
          <w:szCs w:val="24"/>
        </w:rPr>
        <w:t>telah</w:t>
      </w:r>
      <w:r w:rsidR="00A954D0">
        <w:rPr>
          <w:rFonts w:ascii="Bookman Old Style" w:hAnsi="Bookman Old Style"/>
          <w:sz w:val="24"/>
          <w:szCs w:val="24"/>
        </w:rPr>
        <w:t xml:space="preserve"> </w:t>
      </w:r>
      <w:r w:rsidRPr="00727324">
        <w:rPr>
          <w:rFonts w:ascii="Bookman Old Style" w:hAnsi="Bookman Old Style"/>
          <w:sz w:val="24"/>
          <w:szCs w:val="24"/>
        </w:rPr>
        <w:t>memperhitungkan</w:t>
      </w:r>
      <w:r w:rsidR="00A954D0">
        <w:rPr>
          <w:rFonts w:ascii="Bookman Old Style" w:hAnsi="Bookman Old Style"/>
          <w:sz w:val="24"/>
          <w:szCs w:val="24"/>
        </w:rPr>
        <w:t xml:space="preserve"> </w:t>
      </w:r>
      <w:r w:rsidRPr="00727324">
        <w:rPr>
          <w:rFonts w:ascii="Bookman Old Style" w:hAnsi="Bookman Old Style"/>
          <w:sz w:val="24"/>
          <w:szCs w:val="24"/>
        </w:rPr>
        <w:t>beban</w:t>
      </w:r>
      <w:r w:rsidR="00A954D0">
        <w:rPr>
          <w:rFonts w:ascii="Bookman Old Style" w:hAnsi="Bookman Old Style"/>
          <w:sz w:val="24"/>
          <w:szCs w:val="24"/>
        </w:rPr>
        <w:t xml:space="preserve"> </w:t>
      </w:r>
      <w:r w:rsidRPr="00727324">
        <w:rPr>
          <w:rFonts w:ascii="Bookman Old Style" w:hAnsi="Bookman Old Style"/>
          <w:sz w:val="24"/>
          <w:szCs w:val="24"/>
        </w:rPr>
        <w:t>kerja,</w:t>
      </w:r>
      <w:r w:rsidR="00A954D0">
        <w:rPr>
          <w:rFonts w:ascii="Bookman Old Style" w:hAnsi="Bookman Old Style"/>
          <w:sz w:val="24"/>
          <w:szCs w:val="24"/>
        </w:rPr>
        <w:t xml:space="preserve"> </w:t>
      </w:r>
      <w:r w:rsidRPr="00727324">
        <w:rPr>
          <w:rFonts w:ascii="Bookman Old Style" w:hAnsi="Bookman Old Style"/>
          <w:sz w:val="24"/>
          <w:szCs w:val="24"/>
        </w:rPr>
        <w:t>tempat</w:t>
      </w:r>
      <w:r w:rsidR="00A954D0">
        <w:rPr>
          <w:rFonts w:ascii="Bookman Old Style" w:hAnsi="Bookman Old Style"/>
          <w:sz w:val="24"/>
          <w:szCs w:val="24"/>
        </w:rPr>
        <w:t xml:space="preserve"> </w:t>
      </w:r>
      <w:r w:rsidRPr="00727324">
        <w:rPr>
          <w:rFonts w:ascii="Bookman Old Style" w:hAnsi="Bookman Old Style"/>
          <w:sz w:val="24"/>
          <w:szCs w:val="24"/>
        </w:rPr>
        <w:t>bertugas,</w:t>
      </w:r>
      <w:r w:rsidR="00A954D0">
        <w:rPr>
          <w:rFonts w:ascii="Bookman Old Style" w:hAnsi="Bookman Old Style"/>
          <w:sz w:val="24"/>
          <w:szCs w:val="24"/>
        </w:rPr>
        <w:t xml:space="preserve"> </w:t>
      </w:r>
      <w:r w:rsidRPr="00727324">
        <w:rPr>
          <w:rFonts w:ascii="Bookman Old Style" w:hAnsi="Bookman Old Style"/>
          <w:sz w:val="24"/>
          <w:szCs w:val="24"/>
        </w:rPr>
        <w:t>kondisi</w:t>
      </w:r>
      <w:r w:rsidR="00A954D0">
        <w:rPr>
          <w:rFonts w:ascii="Bookman Old Style" w:hAnsi="Bookman Old Style"/>
          <w:sz w:val="24"/>
          <w:szCs w:val="24"/>
        </w:rPr>
        <w:t xml:space="preserve"> </w:t>
      </w:r>
      <w:r w:rsidRPr="00727324">
        <w:rPr>
          <w:rFonts w:ascii="Bookman Old Style" w:hAnsi="Bookman Old Style"/>
          <w:sz w:val="24"/>
          <w:szCs w:val="24"/>
        </w:rPr>
        <w:t>kerja,</w:t>
      </w:r>
      <w:r w:rsidR="00A954D0">
        <w:rPr>
          <w:rFonts w:ascii="Bookman Old Style" w:hAnsi="Bookman Old Style"/>
          <w:sz w:val="24"/>
          <w:szCs w:val="24"/>
        </w:rPr>
        <w:t xml:space="preserve"> </w:t>
      </w:r>
      <w:r w:rsidRPr="00727324">
        <w:rPr>
          <w:rFonts w:ascii="Bookman Old Style" w:hAnsi="Bookman Old Style"/>
          <w:sz w:val="24"/>
          <w:szCs w:val="24"/>
        </w:rPr>
        <w:t>kelangkaan</w:t>
      </w:r>
      <w:r w:rsidR="00A954D0">
        <w:rPr>
          <w:rFonts w:ascii="Bookman Old Style" w:hAnsi="Bookman Old Style"/>
          <w:sz w:val="24"/>
          <w:szCs w:val="24"/>
        </w:rPr>
        <w:t xml:space="preserve"> </w:t>
      </w:r>
      <w:r w:rsidRPr="00727324">
        <w:rPr>
          <w:rFonts w:ascii="Bookman Old Style" w:hAnsi="Bookman Old Style"/>
          <w:sz w:val="24"/>
          <w:szCs w:val="24"/>
        </w:rPr>
        <w:t>profesi,</w:t>
      </w:r>
      <w:r w:rsidR="00A954D0">
        <w:rPr>
          <w:rFonts w:ascii="Bookman Old Style" w:hAnsi="Bookman Old Style"/>
          <w:sz w:val="24"/>
          <w:szCs w:val="24"/>
        </w:rPr>
        <w:t xml:space="preserve"> </w:t>
      </w:r>
      <w:r w:rsidRPr="00727324">
        <w:rPr>
          <w:rFonts w:ascii="Bookman Old Style" w:hAnsi="Bookman Old Style"/>
          <w:sz w:val="24"/>
          <w:szCs w:val="24"/>
        </w:rPr>
        <w:t>dan/atau</w:t>
      </w:r>
      <w:r w:rsidR="00A954D0">
        <w:rPr>
          <w:rFonts w:ascii="Bookman Old Style" w:hAnsi="Bookman Old Style"/>
          <w:sz w:val="24"/>
          <w:szCs w:val="24"/>
        </w:rPr>
        <w:t xml:space="preserve"> </w:t>
      </w:r>
      <w:r w:rsidRPr="00727324">
        <w:rPr>
          <w:rFonts w:ascii="Bookman Old Style" w:hAnsi="Bookman Old Style"/>
          <w:sz w:val="24"/>
          <w:szCs w:val="24"/>
        </w:rPr>
        <w:t>prestasi</w:t>
      </w:r>
      <w:r w:rsidR="00A954D0">
        <w:rPr>
          <w:rFonts w:ascii="Bookman Old Style" w:hAnsi="Bookman Old Style"/>
          <w:sz w:val="24"/>
          <w:szCs w:val="24"/>
        </w:rPr>
        <w:t xml:space="preserve"> </w:t>
      </w:r>
      <w:r w:rsidRPr="00727324">
        <w:rPr>
          <w:rFonts w:ascii="Bookman Old Style" w:hAnsi="Bookman Old Style"/>
          <w:sz w:val="24"/>
          <w:szCs w:val="24"/>
        </w:rPr>
        <w:t>kerja</w:t>
      </w:r>
      <w:r w:rsidR="00A954D0">
        <w:rPr>
          <w:rFonts w:ascii="Bookman Old Style" w:hAnsi="Bookman Old Style"/>
          <w:sz w:val="24"/>
          <w:szCs w:val="24"/>
        </w:rPr>
        <w:t xml:space="preserve"> </w:t>
      </w:r>
      <w:r w:rsidRPr="00727324">
        <w:rPr>
          <w:rFonts w:ascii="Bookman Old Style" w:hAnsi="Bookman Old Style"/>
          <w:sz w:val="24"/>
          <w:szCs w:val="24"/>
        </w:rPr>
        <w:t>serta</w:t>
      </w:r>
      <w:r w:rsidR="00A954D0">
        <w:rPr>
          <w:rFonts w:ascii="Bookman Old Style" w:hAnsi="Bookman Old Style"/>
          <w:sz w:val="24"/>
          <w:szCs w:val="24"/>
        </w:rPr>
        <w:t xml:space="preserve"> </w:t>
      </w:r>
      <w:r w:rsidRPr="00727324">
        <w:rPr>
          <w:rFonts w:ascii="Bookman Old Style" w:hAnsi="Bookman Old Style"/>
          <w:sz w:val="24"/>
          <w:szCs w:val="24"/>
        </w:rPr>
        <w:t>pertimbangan</w:t>
      </w:r>
      <w:r w:rsidR="00A954D0">
        <w:rPr>
          <w:rFonts w:ascii="Bookman Old Style" w:hAnsi="Bookman Old Style"/>
          <w:sz w:val="24"/>
          <w:szCs w:val="24"/>
        </w:rPr>
        <w:t xml:space="preserve"> </w:t>
      </w:r>
      <w:r w:rsidRPr="00727324">
        <w:rPr>
          <w:rFonts w:ascii="Bookman Old Style" w:hAnsi="Bookman Old Style"/>
          <w:sz w:val="24"/>
          <w:szCs w:val="24"/>
        </w:rPr>
        <w:t>objektif</w:t>
      </w:r>
      <w:r w:rsidR="00A954D0">
        <w:rPr>
          <w:rFonts w:ascii="Bookman Old Style" w:hAnsi="Bookman Old Style"/>
          <w:sz w:val="24"/>
          <w:szCs w:val="24"/>
        </w:rPr>
        <w:t xml:space="preserve"> </w:t>
      </w:r>
      <w:r w:rsidRPr="00727324">
        <w:rPr>
          <w:rFonts w:ascii="Bookman Old Style" w:hAnsi="Bookman Old Style"/>
          <w:sz w:val="24"/>
          <w:szCs w:val="24"/>
        </w:rPr>
        <w:t>lainnya.</w:t>
      </w:r>
      <w:r w:rsidR="00A954D0">
        <w:rPr>
          <w:rFonts w:ascii="Bookman Old Style" w:hAnsi="Bookman Old Style"/>
          <w:sz w:val="24"/>
          <w:szCs w:val="24"/>
        </w:rPr>
        <w:t xml:space="preserve"> </w:t>
      </w:r>
      <w:r w:rsidRPr="00727324">
        <w:rPr>
          <w:rFonts w:ascii="Bookman Old Style" w:hAnsi="Bookman Old Style"/>
          <w:sz w:val="24"/>
          <w:szCs w:val="24"/>
        </w:rPr>
        <w:t>Untuk</w:t>
      </w:r>
      <w:r w:rsidR="00A954D0">
        <w:rPr>
          <w:rFonts w:ascii="Bookman Old Style" w:hAnsi="Bookman Old Style"/>
          <w:sz w:val="24"/>
          <w:szCs w:val="24"/>
        </w:rPr>
        <w:t xml:space="preserve"> </w:t>
      </w:r>
      <w:r w:rsidRPr="00727324">
        <w:rPr>
          <w:rFonts w:ascii="Bookman Old Style" w:hAnsi="Bookman Old Style"/>
          <w:sz w:val="24"/>
          <w:szCs w:val="24"/>
        </w:rPr>
        <w:t>itu,</w:t>
      </w:r>
      <w:r w:rsidR="00A954D0">
        <w:rPr>
          <w:rFonts w:ascii="Bookman Old Style" w:hAnsi="Bookman Old Style"/>
          <w:sz w:val="24"/>
          <w:szCs w:val="24"/>
        </w:rPr>
        <w:t xml:space="preserve"> </w:t>
      </w:r>
      <w:r w:rsidRPr="00727324">
        <w:rPr>
          <w:rFonts w:ascii="Bookman Old Style" w:hAnsi="Bookman Old Style"/>
          <w:sz w:val="24"/>
          <w:szCs w:val="24"/>
        </w:rPr>
        <w:t>pembayaran</w:t>
      </w:r>
      <w:r w:rsidR="00A954D0">
        <w:rPr>
          <w:rFonts w:ascii="Bookman Old Style" w:hAnsi="Bookman Old Style"/>
          <w:sz w:val="24"/>
          <w:szCs w:val="24"/>
        </w:rPr>
        <w:t xml:space="preserve"> </w:t>
      </w:r>
      <w:r w:rsidRPr="00727324">
        <w:rPr>
          <w:rFonts w:ascii="Bookman Old Style" w:hAnsi="Bookman Old Style"/>
          <w:sz w:val="24"/>
          <w:szCs w:val="24"/>
        </w:rPr>
        <w:t>TPP</w:t>
      </w:r>
      <w:r w:rsidR="00A954D0">
        <w:rPr>
          <w:rFonts w:ascii="Bookman Old Style" w:hAnsi="Bookman Old Style"/>
          <w:sz w:val="24"/>
          <w:szCs w:val="24"/>
        </w:rPr>
        <w:t xml:space="preserve"> </w:t>
      </w:r>
      <w:r w:rsidRPr="00727324">
        <w:rPr>
          <w:rFonts w:ascii="Bookman Old Style" w:hAnsi="Bookman Old Style"/>
          <w:sz w:val="24"/>
          <w:szCs w:val="24"/>
        </w:rPr>
        <w:t>kepada</w:t>
      </w:r>
      <w:r w:rsidR="00A954D0">
        <w:rPr>
          <w:rFonts w:ascii="Bookman Old Style" w:hAnsi="Bookman Old Style"/>
          <w:sz w:val="24"/>
          <w:szCs w:val="24"/>
        </w:rPr>
        <w:t xml:space="preserve"> </w:t>
      </w:r>
      <w:r w:rsidRPr="00727324">
        <w:rPr>
          <w:rFonts w:ascii="Bookman Old Style" w:hAnsi="Bookman Old Style"/>
          <w:sz w:val="24"/>
          <w:szCs w:val="24"/>
        </w:rPr>
        <w:t>ASN</w:t>
      </w:r>
      <w:r w:rsidR="00A954D0">
        <w:rPr>
          <w:rFonts w:ascii="Bookman Old Style" w:hAnsi="Bookman Old Style"/>
          <w:sz w:val="24"/>
          <w:szCs w:val="24"/>
        </w:rPr>
        <w:t xml:space="preserve"> </w:t>
      </w:r>
      <w:r w:rsidRPr="00727324">
        <w:rPr>
          <w:rFonts w:ascii="Bookman Old Style" w:hAnsi="Bookman Old Style"/>
          <w:sz w:val="24"/>
          <w:szCs w:val="24"/>
        </w:rPr>
        <w:t>sudah</w:t>
      </w:r>
      <w:r w:rsidR="00A954D0">
        <w:rPr>
          <w:rFonts w:ascii="Bookman Old Style" w:hAnsi="Bookman Old Style"/>
          <w:sz w:val="24"/>
          <w:szCs w:val="24"/>
        </w:rPr>
        <w:t xml:space="preserve"> </w:t>
      </w:r>
      <w:r w:rsidRPr="00727324">
        <w:rPr>
          <w:rFonts w:ascii="Bookman Old Style" w:hAnsi="Bookman Old Style"/>
          <w:sz w:val="24"/>
          <w:szCs w:val="24"/>
        </w:rPr>
        <w:t>termasuk</w:t>
      </w:r>
      <w:r w:rsidR="00A954D0">
        <w:rPr>
          <w:rFonts w:ascii="Bookman Old Style" w:hAnsi="Bookman Old Style"/>
          <w:sz w:val="24"/>
          <w:szCs w:val="24"/>
        </w:rPr>
        <w:t xml:space="preserve"> </w:t>
      </w:r>
      <w:r w:rsidRPr="00727324">
        <w:rPr>
          <w:rFonts w:ascii="Bookman Old Style" w:hAnsi="Bookman Old Style"/>
          <w:sz w:val="24"/>
          <w:szCs w:val="24"/>
        </w:rPr>
        <w:t>besaran</w:t>
      </w:r>
      <w:r w:rsidR="00A954D0">
        <w:rPr>
          <w:rFonts w:ascii="Bookman Old Style" w:hAnsi="Bookman Old Style"/>
          <w:sz w:val="24"/>
          <w:szCs w:val="24"/>
        </w:rPr>
        <w:t xml:space="preserve"> </w:t>
      </w:r>
      <w:r w:rsidRPr="00727324">
        <w:rPr>
          <w:rFonts w:ascii="Bookman Old Style" w:hAnsi="Bookman Old Style"/>
          <w:sz w:val="24"/>
          <w:szCs w:val="24"/>
        </w:rPr>
        <w:t>yang</w:t>
      </w:r>
      <w:r w:rsidR="00A954D0">
        <w:rPr>
          <w:rFonts w:ascii="Bookman Old Style" w:hAnsi="Bookman Old Style"/>
          <w:sz w:val="24"/>
          <w:szCs w:val="24"/>
        </w:rPr>
        <w:t xml:space="preserve"> </w:t>
      </w:r>
      <w:r w:rsidRPr="00727324">
        <w:rPr>
          <w:rFonts w:ascii="Bookman Old Style" w:hAnsi="Bookman Old Style"/>
          <w:sz w:val="24"/>
          <w:szCs w:val="24"/>
        </w:rPr>
        <w:t>diterima</w:t>
      </w:r>
      <w:r w:rsidR="00A954D0">
        <w:rPr>
          <w:rFonts w:ascii="Bookman Old Style" w:hAnsi="Bookman Old Style"/>
          <w:sz w:val="24"/>
          <w:szCs w:val="24"/>
        </w:rPr>
        <w:t xml:space="preserve"> </w:t>
      </w:r>
      <w:r w:rsidRPr="00727324">
        <w:rPr>
          <w:rFonts w:ascii="Bookman Old Style" w:hAnsi="Bookman Old Style"/>
          <w:sz w:val="24"/>
          <w:szCs w:val="24"/>
        </w:rPr>
        <w:t>ASN</w:t>
      </w:r>
      <w:r w:rsidR="00A954D0">
        <w:rPr>
          <w:rFonts w:ascii="Bookman Old Style" w:hAnsi="Bookman Old Style"/>
          <w:sz w:val="24"/>
          <w:szCs w:val="24"/>
        </w:rPr>
        <w:t xml:space="preserve"> </w:t>
      </w:r>
      <w:r w:rsidRPr="00727324">
        <w:rPr>
          <w:rFonts w:ascii="Bookman Old Style" w:hAnsi="Bookman Old Style"/>
          <w:sz w:val="24"/>
          <w:szCs w:val="24"/>
        </w:rPr>
        <w:t>dalam</w:t>
      </w:r>
      <w:r w:rsidR="00A954D0">
        <w:rPr>
          <w:rFonts w:ascii="Bookman Old Style" w:hAnsi="Bookman Old Style"/>
          <w:sz w:val="24"/>
          <w:szCs w:val="24"/>
        </w:rPr>
        <w:t xml:space="preserve"> </w:t>
      </w:r>
      <w:r w:rsidRPr="00727324">
        <w:rPr>
          <w:rFonts w:ascii="Bookman Old Style" w:hAnsi="Bookman Old Style"/>
          <w:sz w:val="24"/>
          <w:szCs w:val="24"/>
        </w:rPr>
        <w:t>kriteria</w:t>
      </w:r>
      <w:r w:rsidR="00A954D0">
        <w:rPr>
          <w:rFonts w:ascii="Bookman Old Style" w:hAnsi="Bookman Old Style"/>
          <w:sz w:val="24"/>
          <w:szCs w:val="24"/>
        </w:rPr>
        <w:t xml:space="preserve"> </w:t>
      </w:r>
      <w:r w:rsidRPr="00727324">
        <w:rPr>
          <w:rFonts w:ascii="Bookman Old Style" w:hAnsi="Bookman Old Style"/>
          <w:sz w:val="24"/>
          <w:szCs w:val="24"/>
        </w:rPr>
        <w:t>pertimbangan</w:t>
      </w:r>
      <w:r w:rsidR="00A954D0">
        <w:rPr>
          <w:rFonts w:ascii="Bookman Old Style" w:hAnsi="Bookman Old Style"/>
          <w:sz w:val="24"/>
          <w:szCs w:val="24"/>
        </w:rPr>
        <w:t xml:space="preserve"> </w:t>
      </w:r>
      <w:r w:rsidRPr="00727324">
        <w:rPr>
          <w:rFonts w:ascii="Bookman Old Style" w:hAnsi="Bookman Old Style"/>
          <w:sz w:val="24"/>
          <w:szCs w:val="24"/>
        </w:rPr>
        <w:t>objektif</w:t>
      </w:r>
      <w:r w:rsidR="00A954D0">
        <w:rPr>
          <w:rFonts w:ascii="Bookman Old Style" w:hAnsi="Bookman Old Style"/>
          <w:sz w:val="24"/>
          <w:szCs w:val="24"/>
        </w:rPr>
        <w:t xml:space="preserve"> </w:t>
      </w:r>
      <w:r w:rsidRPr="00727324">
        <w:rPr>
          <w:rFonts w:ascii="Bookman Old Style" w:hAnsi="Bookman Old Style"/>
          <w:sz w:val="24"/>
          <w:szCs w:val="24"/>
        </w:rPr>
        <w:t>lainnya</w:t>
      </w:r>
      <w:r w:rsidR="00A954D0">
        <w:rPr>
          <w:rFonts w:ascii="Bookman Old Style" w:hAnsi="Bookman Old Style"/>
          <w:sz w:val="24"/>
          <w:szCs w:val="24"/>
        </w:rPr>
        <w:t xml:space="preserve"> </w:t>
      </w:r>
      <w:r w:rsidRPr="00727324">
        <w:rPr>
          <w:rFonts w:ascii="Bookman Old Style" w:hAnsi="Bookman Old Style"/>
          <w:sz w:val="24"/>
          <w:szCs w:val="24"/>
        </w:rPr>
        <w:t>yaitu</w:t>
      </w:r>
      <w:r w:rsidR="00A954D0">
        <w:rPr>
          <w:rFonts w:ascii="Bookman Old Style" w:hAnsi="Bookman Old Style"/>
          <w:sz w:val="24"/>
          <w:szCs w:val="24"/>
        </w:rPr>
        <w:t xml:space="preserve"> </w:t>
      </w:r>
      <w:r w:rsidRPr="00727324">
        <w:rPr>
          <w:rFonts w:ascii="Bookman Old Style" w:hAnsi="Bookman Old Style"/>
          <w:sz w:val="24"/>
          <w:szCs w:val="24"/>
        </w:rPr>
        <w:t>diberikan</w:t>
      </w:r>
      <w:r w:rsidR="00A954D0">
        <w:rPr>
          <w:rFonts w:ascii="Bookman Old Style" w:hAnsi="Bookman Old Style"/>
          <w:sz w:val="24"/>
          <w:szCs w:val="24"/>
        </w:rPr>
        <w:t xml:space="preserve"> </w:t>
      </w:r>
      <w:r w:rsidRPr="00727324">
        <w:rPr>
          <w:rFonts w:ascii="Bookman Old Style" w:hAnsi="Bookman Old Style"/>
          <w:sz w:val="24"/>
          <w:szCs w:val="24"/>
        </w:rPr>
        <w:t>kepada</w:t>
      </w:r>
      <w:r w:rsidR="00A954D0">
        <w:rPr>
          <w:rFonts w:ascii="Bookman Old Style" w:hAnsi="Bookman Old Style"/>
          <w:sz w:val="24"/>
          <w:szCs w:val="24"/>
        </w:rPr>
        <w:t xml:space="preserve"> </w:t>
      </w:r>
      <w:r w:rsidRPr="00727324">
        <w:rPr>
          <w:rFonts w:ascii="Bookman Old Style" w:hAnsi="Bookman Old Style"/>
          <w:sz w:val="24"/>
          <w:szCs w:val="24"/>
        </w:rPr>
        <w:t>pegawai</w:t>
      </w:r>
      <w:r w:rsidR="00A954D0">
        <w:rPr>
          <w:rFonts w:ascii="Bookman Old Style" w:hAnsi="Bookman Old Style"/>
          <w:sz w:val="24"/>
          <w:szCs w:val="24"/>
        </w:rPr>
        <w:t xml:space="preserve"> </w:t>
      </w:r>
      <w:r w:rsidRPr="00727324">
        <w:rPr>
          <w:rFonts w:ascii="Bookman Old Style" w:hAnsi="Bookman Old Style"/>
          <w:sz w:val="24"/>
          <w:szCs w:val="24"/>
        </w:rPr>
        <w:t>ASN</w:t>
      </w:r>
      <w:r w:rsidR="00A954D0">
        <w:rPr>
          <w:rFonts w:ascii="Bookman Old Style" w:hAnsi="Bookman Old Style"/>
          <w:sz w:val="24"/>
          <w:szCs w:val="24"/>
        </w:rPr>
        <w:t xml:space="preserve"> </w:t>
      </w:r>
      <w:r w:rsidRPr="00727324">
        <w:rPr>
          <w:rFonts w:ascii="Bookman Old Style" w:hAnsi="Bookman Old Style"/>
          <w:sz w:val="24"/>
          <w:szCs w:val="24"/>
        </w:rPr>
        <w:t>sepanjang</w:t>
      </w:r>
      <w:r w:rsidR="00A954D0">
        <w:rPr>
          <w:rFonts w:ascii="Bookman Old Style" w:hAnsi="Bookman Old Style"/>
          <w:sz w:val="24"/>
          <w:szCs w:val="24"/>
        </w:rPr>
        <w:t xml:space="preserve"> </w:t>
      </w:r>
      <w:r w:rsidRPr="00727324">
        <w:rPr>
          <w:rFonts w:ascii="Bookman Old Style" w:hAnsi="Bookman Old Style"/>
          <w:sz w:val="24"/>
          <w:szCs w:val="24"/>
        </w:rPr>
        <w:t>diamanatkan</w:t>
      </w:r>
      <w:r w:rsidR="00A954D0">
        <w:rPr>
          <w:rFonts w:ascii="Bookman Old Style" w:hAnsi="Bookman Old Style"/>
          <w:sz w:val="24"/>
          <w:szCs w:val="24"/>
        </w:rPr>
        <w:t xml:space="preserve"> </w:t>
      </w:r>
      <w:r w:rsidRPr="00727324">
        <w:rPr>
          <w:rFonts w:ascii="Bookman Old Style" w:hAnsi="Bookman Old Style"/>
          <w:sz w:val="24"/>
          <w:szCs w:val="24"/>
        </w:rPr>
        <w:t>oleh</w:t>
      </w:r>
      <w:r w:rsidR="00A954D0">
        <w:rPr>
          <w:rFonts w:ascii="Bookman Old Style" w:hAnsi="Bookman Old Style"/>
          <w:sz w:val="24"/>
          <w:szCs w:val="24"/>
        </w:rPr>
        <w:t xml:space="preserve"> </w:t>
      </w:r>
      <w:r w:rsidRPr="00727324">
        <w:rPr>
          <w:rFonts w:ascii="Bookman Old Style" w:hAnsi="Bookman Old Style"/>
          <w:sz w:val="24"/>
          <w:szCs w:val="24"/>
        </w:rPr>
        <w:t>peraturan</w:t>
      </w:r>
      <w:r w:rsidR="00A954D0">
        <w:rPr>
          <w:rFonts w:ascii="Bookman Old Style" w:hAnsi="Bookman Old Style"/>
          <w:sz w:val="24"/>
          <w:szCs w:val="24"/>
        </w:rPr>
        <w:t xml:space="preserve"> </w:t>
      </w:r>
      <w:r w:rsidRPr="00727324">
        <w:rPr>
          <w:rFonts w:ascii="Bookman Old Style" w:hAnsi="Bookman Old Style"/>
          <w:sz w:val="24"/>
          <w:szCs w:val="24"/>
        </w:rPr>
        <w:t>perundang-undangan,</w:t>
      </w:r>
      <w:r w:rsidR="00A954D0">
        <w:rPr>
          <w:rFonts w:ascii="Bookman Old Style" w:hAnsi="Bookman Old Style"/>
          <w:sz w:val="24"/>
          <w:szCs w:val="24"/>
        </w:rPr>
        <w:t xml:space="preserve"> </w:t>
      </w:r>
      <w:r w:rsidRPr="00727324">
        <w:rPr>
          <w:rFonts w:ascii="Bookman Old Style" w:hAnsi="Bookman Old Style"/>
          <w:sz w:val="24"/>
          <w:szCs w:val="24"/>
        </w:rPr>
        <w:t>antara</w:t>
      </w:r>
      <w:r w:rsidR="00A954D0">
        <w:rPr>
          <w:rFonts w:ascii="Bookman Old Style" w:hAnsi="Bookman Old Style"/>
          <w:sz w:val="24"/>
          <w:szCs w:val="24"/>
        </w:rPr>
        <w:t xml:space="preserve"> </w:t>
      </w:r>
      <w:r w:rsidRPr="00727324">
        <w:rPr>
          <w:rFonts w:ascii="Bookman Old Style" w:hAnsi="Bookman Old Style"/>
          <w:sz w:val="24"/>
          <w:szCs w:val="24"/>
        </w:rPr>
        <w:t>lain</w:t>
      </w:r>
      <w:r w:rsidR="00F639B5">
        <w:rPr>
          <w:rFonts w:ascii="Bookman Old Style" w:hAnsi="Bookman Old Style"/>
          <w:sz w:val="24"/>
          <w:szCs w:val="24"/>
          <w:lang w:val="en-US"/>
        </w:rPr>
        <w:t>:</w:t>
      </w:r>
    </w:p>
    <w:p w14:paraId="70EEA661" w14:textId="534CB10F" w:rsidR="005A4806" w:rsidRPr="00727324" w:rsidRDefault="002A497F" w:rsidP="00F639B5">
      <w:pPr>
        <w:pStyle w:val="ListParagraph"/>
        <w:numPr>
          <w:ilvl w:val="0"/>
          <w:numId w:val="126"/>
        </w:numPr>
        <w:tabs>
          <w:tab w:val="left" w:pos="720"/>
          <w:tab w:val="left" w:pos="1440"/>
          <w:tab w:val="left" w:pos="2880"/>
          <w:tab w:val="left" w:pos="3600"/>
          <w:tab w:val="left" w:pos="4320"/>
          <w:tab w:val="left" w:pos="5040"/>
          <w:tab w:val="left" w:pos="5760"/>
          <w:tab w:val="left" w:pos="6480"/>
          <w:tab w:val="left" w:pos="7147"/>
        </w:tabs>
        <w:spacing w:before="60" w:after="0" w:line="276" w:lineRule="auto"/>
        <w:ind w:left="2694" w:hanging="426"/>
        <w:contextualSpacing w:val="0"/>
        <w:jc w:val="both"/>
        <w:rPr>
          <w:rFonts w:ascii="Bookman Old Style" w:hAnsi="Bookman Old Style"/>
          <w:sz w:val="24"/>
          <w:szCs w:val="24"/>
        </w:rPr>
      </w:pPr>
      <w:r w:rsidRPr="002A497F">
        <w:rPr>
          <w:rFonts w:ascii="Bookman Old Style" w:hAnsi="Bookman Old Style"/>
          <w:sz w:val="24"/>
          <w:szCs w:val="24"/>
        </w:rPr>
        <w:lastRenderedPageBreak/>
        <w:t>Belanja</w:t>
      </w:r>
      <w:r w:rsidR="00A954D0">
        <w:rPr>
          <w:rFonts w:ascii="Bookman Old Style" w:hAnsi="Bookman Old Style"/>
          <w:sz w:val="24"/>
          <w:szCs w:val="24"/>
        </w:rPr>
        <w:t xml:space="preserve"> </w:t>
      </w:r>
      <w:r w:rsidRPr="002A497F">
        <w:rPr>
          <w:rFonts w:ascii="Bookman Old Style" w:hAnsi="Bookman Old Style"/>
          <w:sz w:val="24"/>
          <w:szCs w:val="24"/>
        </w:rPr>
        <w:t>Jasa</w:t>
      </w:r>
      <w:r w:rsidR="00A954D0">
        <w:rPr>
          <w:rFonts w:ascii="Bookman Old Style" w:hAnsi="Bookman Old Style"/>
          <w:sz w:val="24"/>
          <w:szCs w:val="24"/>
        </w:rPr>
        <w:t xml:space="preserve"> </w:t>
      </w:r>
      <w:r w:rsidRPr="002A497F">
        <w:rPr>
          <w:rFonts w:ascii="Bookman Old Style" w:hAnsi="Bookman Old Style"/>
          <w:sz w:val="24"/>
          <w:szCs w:val="24"/>
        </w:rPr>
        <w:t>Pelayanan</w:t>
      </w:r>
      <w:r w:rsidR="00A954D0">
        <w:rPr>
          <w:rFonts w:ascii="Bookman Old Style" w:hAnsi="Bookman Old Style"/>
          <w:sz w:val="24"/>
          <w:szCs w:val="24"/>
        </w:rPr>
        <w:t xml:space="preserve"> </w:t>
      </w:r>
      <w:r w:rsidRPr="002A497F">
        <w:rPr>
          <w:rFonts w:ascii="Bookman Old Style" w:hAnsi="Bookman Old Style"/>
          <w:sz w:val="24"/>
          <w:szCs w:val="24"/>
        </w:rPr>
        <w:t>Kesehatan</w:t>
      </w:r>
      <w:r w:rsidR="00A954D0">
        <w:rPr>
          <w:rFonts w:ascii="Bookman Old Style" w:hAnsi="Bookman Old Style"/>
          <w:sz w:val="24"/>
          <w:szCs w:val="24"/>
        </w:rPr>
        <w:t xml:space="preserve"> </w:t>
      </w:r>
      <w:r w:rsidRPr="002A497F">
        <w:rPr>
          <w:rFonts w:ascii="Bookman Old Style" w:hAnsi="Bookman Old Style"/>
          <w:sz w:val="24"/>
          <w:szCs w:val="24"/>
        </w:rPr>
        <w:t>bagi</w:t>
      </w:r>
      <w:r w:rsidR="00A954D0">
        <w:rPr>
          <w:rFonts w:ascii="Bookman Old Style" w:hAnsi="Bookman Old Style"/>
          <w:sz w:val="24"/>
          <w:szCs w:val="24"/>
        </w:rPr>
        <w:t xml:space="preserve"> </w:t>
      </w:r>
      <w:r w:rsidRPr="002A497F">
        <w:rPr>
          <w:rFonts w:ascii="Bookman Old Style" w:hAnsi="Bookman Old Style"/>
          <w:sz w:val="24"/>
          <w:szCs w:val="24"/>
        </w:rPr>
        <w:t>ASN</w:t>
      </w:r>
      <w:r w:rsidR="00A954D0">
        <w:rPr>
          <w:rFonts w:ascii="Bookman Old Style" w:hAnsi="Bookman Old Style"/>
          <w:sz w:val="24"/>
          <w:szCs w:val="24"/>
        </w:rPr>
        <w:t xml:space="preserve"> </w:t>
      </w:r>
      <w:r w:rsidRPr="002A497F">
        <w:rPr>
          <w:rFonts w:ascii="Bookman Old Style" w:hAnsi="Bookman Old Style"/>
          <w:sz w:val="24"/>
          <w:szCs w:val="24"/>
        </w:rPr>
        <w:t>Rp1.477.740.000,00</w:t>
      </w:r>
      <w:r w:rsidR="005A4806" w:rsidRPr="00727324">
        <w:rPr>
          <w:rFonts w:ascii="Bookman Old Style" w:hAnsi="Bookman Old Style"/>
          <w:sz w:val="24"/>
          <w:szCs w:val="24"/>
        </w:rPr>
        <w:t>;</w:t>
      </w:r>
    </w:p>
    <w:p w14:paraId="0E71D964" w14:textId="7EA417E4" w:rsidR="005A4806" w:rsidRPr="00727324" w:rsidRDefault="00F639B5" w:rsidP="00F639B5">
      <w:pPr>
        <w:pStyle w:val="ListParagraph"/>
        <w:numPr>
          <w:ilvl w:val="0"/>
          <w:numId w:val="126"/>
        </w:numPr>
        <w:tabs>
          <w:tab w:val="left" w:pos="720"/>
          <w:tab w:val="left" w:pos="1440"/>
          <w:tab w:val="left" w:pos="2880"/>
          <w:tab w:val="left" w:pos="3600"/>
          <w:tab w:val="left" w:pos="4320"/>
          <w:tab w:val="left" w:pos="5040"/>
          <w:tab w:val="left" w:pos="5760"/>
          <w:tab w:val="left" w:pos="6480"/>
          <w:tab w:val="left" w:pos="7147"/>
        </w:tabs>
        <w:spacing w:before="60" w:after="0" w:line="276" w:lineRule="auto"/>
        <w:ind w:left="2694" w:hanging="426"/>
        <w:contextualSpacing w:val="0"/>
        <w:jc w:val="both"/>
        <w:rPr>
          <w:rFonts w:ascii="Bookman Old Style" w:hAnsi="Bookman Old Style"/>
          <w:sz w:val="24"/>
          <w:szCs w:val="24"/>
        </w:rPr>
      </w:pPr>
      <w:r>
        <w:rPr>
          <w:rFonts w:ascii="Bookman Old Style" w:hAnsi="Bookman Old Style"/>
          <w:sz w:val="24"/>
          <w:szCs w:val="24"/>
          <w:lang w:val="en-US"/>
        </w:rPr>
        <w:t>T</w:t>
      </w:r>
      <w:r w:rsidR="005A4806" w:rsidRPr="00727324">
        <w:rPr>
          <w:rFonts w:ascii="Bookman Old Style" w:hAnsi="Bookman Old Style"/>
          <w:sz w:val="24"/>
          <w:szCs w:val="24"/>
        </w:rPr>
        <w:t>ambahan</w:t>
      </w:r>
      <w:r w:rsidR="00A954D0">
        <w:rPr>
          <w:rFonts w:ascii="Bookman Old Style" w:hAnsi="Bookman Old Style"/>
          <w:sz w:val="24"/>
          <w:szCs w:val="24"/>
        </w:rPr>
        <w:t xml:space="preserve"> </w:t>
      </w:r>
      <w:r>
        <w:rPr>
          <w:rFonts w:ascii="Bookman Old Style" w:hAnsi="Bookman Old Style"/>
          <w:sz w:val="24"/>
          <w:szCs w:val="24"/>
          <w:lang w:val="en-US"/>
        </w:rPr>
        <w:t>P</w:t>
      </w:r>
      <w:r w:rsidR="005A4806" w:rsidRPr="00727324">
        <w:rPr>
          <w:rFonts w:ascii="Bookman Old Style" w:hAnsi="Bookman Old Style"/>
          <w:sz w:val="24"/>
          <w:szCs w:val="24"/>
        </w:rPr>
        <w:t>enghasilan</w:t>
      </w:r>
      <w:r w:rsidR="00A954D0">
        <w:rPr>
          <w:rFonts w:ascii="Bookman Old Style" w:hAnsi="Bookman Old Style"/>
          <w:sz w:val="24"/>
          <w:szCs w:val="24"/>
        </w:rPr>
        <w:t xml:space="preserve"> </w:t>
      </w:r>
      <w:r>
        <w:rPr>
          <w:rFonts w:ascii="Bookman Old Style" w:hAnsi="Bookman Old Style"/>
          <w:sz w:val="24"/>
          <w:szCs w:val="24"/>
          <w:lang w:val="en-US"/>
        </w:rPr>
        <w:t>G</w:t>
      </w:r>
      <w:r w:rsidR="005A4806" w:rsidRPr="00727324">
        <w:rPr>
          <w:rFonts w:ascii="Bookman Old Style" w:hAnsi="Bookman Old Style"/>
          <w:sz w:val="24"/>
          <w:szCs w:val="24"/>
        </w:rPr>
        <w:t>uru</w:t>
      </w:r>
      <w:r w:rsidR="00A954D0">
        <w:rPr>
          <w:rFonts w:ascii="Bookman Old Style" w:hAnsi="Bookman Old Style"/>
          <w:sz w:val="24"/>
          <w:szCs w:val="24"/>
        </w:rPr>
        <w:t xml:space="preserve"> </w:t>
      </w:r>
      <w:r w:rsidR="005A4806" w:rsidRPr="00727324">
        <w:rPr>
          <w:rFonts w:ascii="Bookman Old Style" w:hAnsi="Bookman Old Style"/>
          <w:sz w:val="24"/>
          <w:szCs w:val="24"/>
        </w:rPr>
        <w:t>(TPG),</w:t>
      </w:r>
      <w:r w:rsidR="00A954D0">
        <w:rPr>
          <w:rFonts w:ascii="Bookman Old Style" w:hAnsi="Bookman Old Style"/>
          <w:sz w:val="24"/>
          <w:szCs w:val="24"/>
        </w:rPr>
        <w:t xml:space="preserve"> </w:t>
      </w:r>
      <w:r w:rsidR="005A4806" w:rsidRPr="00727324">
        <w:rPr>
          <w:rFonts w:ascii="Bookman Old Style" w:hAnsi="Bookman Old Style"/>
          <w:sz w:val="24"/>
          <w:szCs w:val="24"/>
        </w:rPr>
        <w:t>tunjangan</w:t>
      </w:r>
      <w:r w:rsidR="00A954D0">
        <w:rPr>
          <w:rFonts w:ascii="Bookman Old Style" w:hAnsi="Bookman Old Style"/>
          <w:sz w:val="24"/>
          <w:szCs w:val="24"/>
        </w:rPr>
        <w:t xml:space="preserve"> </w:t>
      </w:r>
      <w:r w:rsidR="005A4806" w:rsidRPr="00727324">
        <w:rPr>
          <w:rFonts w:ascii="Bookman Old Style" w:hAnsi="Bookman Old Style"/>
          <w:sz w:val="24"/>
          <w:szCs w:val="24"/>
        </w:rPr>
        <w:t>khusus</w:t>
      </w:r>
      <w:r w:rsidR="00A954D0">
        <w:rPr>
          <w:rFonts w:ascii="Bookman Old Style" w:hAnsi="Bookman Old Style"/>
          <w:sz w:val="24"/>
          <w:szCs w:val="24"/>
        </w:rPr>
        <w:t xml:space="preserve"> </w:t>
      </w:r>
      <w:r w:rsidR="005A4806" w:rsidRPr="00727324">
        <w:rPr>
          <w:rFonts w:ascii="Bookman Old Style" w:hAnsi="Bookman Old Style"/>
          <w:sz w:val="24"/>
          <w:szCs w:val="24"/>
        </w:rPr>
        <w:t>guru</w:t>
      </w:r>
      <w:r w:rsidR="00A954D0">
        <w:rPr>
          <w:rFonts w:ascii="Bookman Old Style" w:hAnsi="Bookman Old Style"/>
          <w:sz w:val="24"/>
          <w:szCs w:val="24"/>
        </w:rPr>
        <w:t xml:space="preserve"> </w:t>
      </w:r>
      <w:r w:rsidR="005A4806" w:rsidRPr="00727324">
        <w:rPr>
          <w:rFonts w:ascii="Bookman Old Style" w:hAnsi="Bookman Old Style"/>
          <w:sz w:val="24"/>
          <w:szCs w:val="24"/>
        </w:rPr>
        <w:t>(TKG),</w:t>
      </w:r>
      <w:r w:rsidR="00A954D0">
        <w:rPr>
          <w:rFonts w:ascii="Bookman Old Style" w:hAnsi="Bookman Old Style"/>
          <w:sz w:val="24"/>
          <w:szCs w:val="24"/>
        </w:rPr>
        <w:t xml:space="preserve"> </w:t>
      </w:r>
      <w:r w:rsidR="005A4806" w:rsidRPr="00727324">
        <w:rPr>
          <w:rFonts w:ascii="Bookman Old Style" w:hAnsi="Bookman Old Style"/>
          <w:sz w:val="24"/>
          <w:szCs w:val="24"/>
        </w:rPr>
        <w:t>tambahan</w:t>
      </w:r>
      <w:r w:rsidR="00A954D0">
        <w:rPr>
          <w:rFonts w:ascii="Bookman Old Style" w:hAnsi="Bookman Old Style"/>
          <w:sz w:val="24"/>
          <w:szCs w:val="24"/>
        </w:rPr>
        <w:t xml:space="preserve"> </w:t>
      </w:r>
      <w:r w:rsidR="005A4806" w:rsidRPr="00727324">
        <w:rPr>
          <w:rFonts w:ascii="Bookman Old Style" w:hAnsi="Bookman Old Style"/>
          <w:sz w:val="24"/>
          <w:szCs w:val="24"/>
        </w:rPr>
        <w:t>penghasilan</w:t>
      </w:r>
      <w:r w:rsidR="00A954D0">
        <w:rPr>
          <w:rFonts w:ascii="Bookman Old Style" w:hAnsi="Bookman Old Style"/>
          <w:sz w:val="24"/>
          <w:szCs w:val="24"/>
        </w:rPr>
        <w:t xml:space="preserve"> </w:t>
      </w:r>
      <w:r w:rsidR="005A4806" w:rsidRPr="00727324">
        <w:rPr>
          <w:rFonts w:ascii="Bookman Old Style" w:hAnsi="Bookman Old Style"/>
          <w:sz w:val="24"/>
          <w:szCs w:val="24"/>
        </w:rPr>
        <w:t>guru</w:t>
      </w:r>
      <w:r w:rsidR="00A954D0">
        <w:rPr>
          <w:rFonts w:ascii="Bookman Old Style" w:hAnsi="Bookman Old Style"/>
          <w:sz w:val="24"/>
          <w:szCs w:val="24"/>
        </w:rPr>
        <w:t xml:space="preserve"> </w:t>
      </w:r>
      <w:r w:rsidR="005A4806" w:rsidRPr="00727324">
        <w:rPr>
          <w:rFonts w:ascii="Bookman Old Style" w:hAnsi="Bookman Old Style"/>
          <w:sz w:val="24"/>
          <w:szCs w:val="24"/>
        </w:rPr>
        <w:t>(Tamsil</w:t>
      </w:r>
      <w:r w:rsidR="00A954D0">
        <w:rPr>
          <w:rFonts w:ascii="Bookman Old Style" w:hAnsi="Bookman Old Style"/>
          <w:sz w:val="24"/>
          <w:szCs w:val="24"/>
        </w:rPr>
        <w:t xml:space="preserve"> </w:t>
      </w:r>
      <w:r w:rsidR="005A4806" w:rsidRPr="00727324">
        <w:rPr>
          <w:rFonts w:ascii="Bookman Old Style" w:hAnsi="Bookman Old Style"/>
          <w:sz w:val="24"/>
          <w:szCs w:val="24"/>
        </w:rPr>
        <w:t>Guru)</w:t>
      </w:r>
      <w:r w:rsidR="00A954D0">
        <w:rPr>
          <w:rFonts w:ascii="Bookman Old Style" w:hAnsi="Bookman Old Style"/>
          <w:sz w:val="24"/>
          <w:szCs w:val="24"/>
        </w:rPr>
        <w:t xml:space="preserve"> </w:t>
      </w:r>
      <w:r w:rsidR="005A4806" w:rsidRPr="00727324">
        <w:rPr>
          <w:rFonts w:ascii="Bookman Old Style" w:hAnsi="Bookman Old Style"/>
          <w:sz w:val="24"/>
          <w:szCs w:val="24"/>
        </w:rPr>
        <w:t>yang</w:t>
      </w:r>
      <w:r w:rsidR="00A954D0">
        <w:rPr>
          <w:rFonts w:ascii="Bookman Old Style" w:hAnsi="Bookman Old Style"/>
          <w:sz w:val="24"/>
          <w:szCs w:val="24"/>
        </w:rPr>
        <w:t xml:space="preserve"> </w:t>
      </w:r>
      <w:r w:rsidR="005A4806" w:rsidRPr="00727324">
        <w:rPr>
          <w:rFonts w:ascii="Bookman Old Style" w:hAnsi="Bookman Old Style"/>
          <w:sz w:val="24"/>
          <w:szCs w:val="24"/>
        </w:rPr>
        <w:t>bersumber</w:t>
      </w:r>
      <w:r w:rsidR="00A954D0">
        <w:rPr>
          <w:rFonts w:ascii="Bookman Old Style" w:hAnsi="Bookman Old Style"/>
          <w:sz w:val="24"/>
          <w:szCs w:val="24"/>
        </w:rPr>
        <w:t xml:space="preserve"> </w:t>
      </w:r>
      <w:r w:rsidR="005A4806" w:rsidRPr="00727324">
        <w:rPr>
          <w:rFonts w:ascii="Bookman Old Style" w:hAnsi="Bookman Old Style"/>
          <w:sz w:val="24"/>
          <w:szCs w:val="24"/>
        </w:rPr>
        <w:t>dari</w:t>
      </w:r>
      <w:r w:rsidR="00A954D0">
        <w:rPr>
          <w:rFonts w:ascii="Bookman Old Style" w:hAnsi="Bookman Old Style"/>
          <w:sz w:val="24"/>
          <w:szCs w:val="24"/>
        </w:rPr>
        <w:t xml:space="preserve"> </w:t>
      </w:r>
      <w:r w:rsidR="005A4806" w:rsidRPr="00727324">
        <w:rPr>
          <w:rFonts w:ascii="Bookman Old Style" w:hAnsi="Bookman Old Style"/>
          <w:sz w:val="24"/>
          <w:szCs w:val="24"/>
        </w:rPr>
        <w:t>DAK</w:t>
      </w:r>
      <w:r w:rsidR="00A954D0">
        <w:rPr>
          <w:rFonts w:ascii="Bookman Old Style" w:hAnsi="Bookman Old Style"/>
          <w:sz w:val="24"/>
          <w:szCs w:val="24"/>
        </w:rPr>
        <w:t xml:space="preserve"> </w:t>
      </w:r>
      <w:r w:rsidR="005A4806" w:rsidRPr="00727324">
        <w:rPr>
          <w:rFonts w:ascii="Bookman Old Style" w:hAnsi="Bookman Old Style"/>
          <w:sz w:val="24"/>
          <w:szCs w:val="24"/>
        </w:rPr>
        <w:t>nonfisik,</w:t>
      </w:r>
      <w:r w:rsidR="00A954D0">
        <w:rPr>
          <w:rFonts w:ascii="Bookman Old Style" w:hAnsi="Bookman Old Style"/>
          <w:sz w:val="24"/>
          <w:szCs w:val="24"/>
        </w:rPr>
        <w:t xml:space="preserve"> </w:t>
      </w:r>
      <w:r w:rsidR="005A4806" w:rsidRPr="00727324">
        <w:rPr>
          <w:rFonts w:ascii="Bookman Old Style" w:hAnsi="Bookman Old Style"/>
          <w:sz w:val="24"/>
          <w:szCs w:val="24"/>
        </w:rPr>
        <w:t>yang</w:t>
      </w:r>
      <w:r w:rsidR="00A954D0">
        <w:rPr>
          <w:rFonts w:ascii="Bookman Old Style" w:hAnsi="Bookman Old Style"/>
          <w:sz w:val="24"/>
          <w:szCs w:val="24"/>
        </w:rPr>
        <w:t xml:space="preserve"> </w:t>
      </w:r>
      <w:r w:rsidR="005A4806" w:rsidRPr="00727324">
        <w:rPr>
          <w:rFonts w:ascii="Bookman Old Style" w:hAnsi="Bookman Old Style"/>
          <w:sz w:val="24"/>
          <w:szCs w:val="24"/>
        </w:rPr>
        <w:t>diuraikan</w:t>
      </w:r>
      <w:r w:rsidR="00A954D0">
        <w:rPr>
          <w:rFonts w:ascii="Bookman Old Style" w:hAnsi="Bookman Old Style"/>
          <w:sz w:val="24"/>
          <w:szCs w:val="24"/>
        </w:rPr>
        <w:t xml:space="preserve"> </w:t>
      </w:r>
      <w:r w:rsidR="005A4806" w:rsidRPr="00727324">
        <w:rPr>
          <w:rFonts w:ascii="Bookman Old Style" w:hAnsi="Bookman Old Style"/>
          <w:sz w:val="24"/>
          <w:szCs w:val="24"/>
        </w:rPr>
        <w:t>dalam:</w:t>
      </w:r>
    </w:p>
    <w:p w14:paraId="40AD986F" w14:textId="4A45A6C7" w:rsidR="005A4806" w:rsidRPr="00727324" w:rsidRDefault="005A4806" w:rsidP="00F639B5">
      <w:pPr>
        <w:pStyle w:val="ListParagraph"/>
        <w:numPr>
          <w:ilvl w:val="0"/>
          <w:numId w:val="124"/>
        </w:numPr>
        <w:tabs>
          <w:tab w:val="left" w:pos="720"/>
          <w:tab w:val="left" w:pos="1440"/>
          <w:tab w:val="left" w:pos="2880"/>
          <w:tab w:val="left" w:pos="3600"/>
          <w:tab w:val="left" w:pos="4320"/>
          <w:tab w:val="left" w:pos="5040"/>
          <w:tab w:val="left" w:pos="5760"/>
          <w:tab w:val="left" w:pos="6480"/>
          <w:tab w:val="left" w:pos="7147"/>
        </w:tabs>
        <w:spacing w:before="60" w:after="0" w:line="276" w:lineRule="auto"/>
        <w:ind w:left="3261" w:hanging="567"/>
        <w:contextualSpacing w:val="0"/>
        <w:jc w:val="both"/>
        <w:rPr>
          <w:rFonts w:ascii="Bookman Old Style" w:hAnsi="Bookman Old Style"/>
          <w:sz w:val="24"/>
          <w:szCs w:val="24"/>
        </w:rPr>
      </w:pPr>
      <w:r w:rsidRPr="00727324">
        <w:rPr>
          <w:rFonts w:ascii="Bookman Old Style" w:hAnsi="Bookman Old Style"/>
          <w:sz w:val="24"/>
          <w:szCs w:val="24"/>
        </w:rPr>
        <w:t>Belanja</w:t>
      </w:r>
      <w:r w:rsidR="00A954D0">
        <w:rPr>
          <w:rFonts w:ascii="Bookman Old Style" w:hAnsi="Bookman Old Style"/>
          <w:sz w:val="24"/>
          <w:szCs w:val="24"/>
        </w:rPr>
        <w:t xml:space="preserve"> </w:t>
      </w:r>
      <w:r w:rsidRPr="00727324">
        <w:rPr>
          <w:rFonts w:ascii="Bookman Old Style" w:hAnsi="Bookman Old Style"/>
          <w:sz w:val="24"/>
          <w:szCs w:val="24"/>
        </w:rPr>
        <w:t>Tunjangan</w:t>
      </w:r>
      <w:r w:rsidR="00A954D0">
        <w:rPr>
          <w:rFonts w:ascii="Bookman Old Style" w:hAnsi="Bookman Old Style"/>
          <w:sz w:val="24"/>
          <w:szCs w:val="24"/>
        </w:rPr>
        <w:t xml:space="preserve"> </w:t>
      </w:r>
      <w:r w:rsidRPr="00727324">
        <w:rPr>
          <w:rFonts w:ascii="Bookman Old Style" w:hAnsi="Bookman Old Style"/>
          <w:sz w:val="24"/>
          <w:szCs w:val="24"/>
        </w:rPr>
        <w:t>Profesi</w:t>
      </w:r>
      <w:r w:rsidR="00A954D0">
        <w:rPr>
          <w:rFonts w:ascii="Bookman Old Style" w:hAnsi="Bookman Old Style"/>
          <w:sz w:val="24"/>
          <w:szCs w:val="24"/>
        </w:rPr>
        <w:t xml:space="preserve"> </w:t>
      </w:r>
      <w:r w:rsidRPr="00727324">
        <w:rPr>
          <w:rFonts w:ascii="Bookman Old Style" w:hAnsi="Bookman Old Style"/>
          <w:sz w:val="24"/>
          <w:szCs w:val="24"/>
        </w:rPr>
        <w:t>Guru</w:t>
      </w:r>
      <w:r w:rsidR="00A954D0">
        <w:rPr>
          <w:rFonts w:ascii="Bookman Old Style" w:hAnsi="Bookman Old Style"/>
          <w:sz w:val="24"/>
          <w:szCs w:val="24"/>
        </w:rPr>
        <w:t xml:space="preserve"> </w:t>
      </w:r>
      <w:r w:rsidRPr="00727324">
        <w:rPr>
          <w:rFonts w:ascii="Bookman Old Style" w:hAnsi="Bookman Old Style"/>
          <w:sz w:val="24"/>
          <w:szCs w:val="24"/>
        </w:rPr>
        <w:t>(TPG)</w:t>
      </w:r>
      <w:r w:rsidR="00A954D0">
        <w:rPr>
          <w:rFonts w:ascii="Bookman Old Style" w:hAnsi="Bookman Old Style"/>
          <w:sz w:val="24"/>
          <w:szCs w:val="24"/>
        </w:rPr>
        <w:t xml:space="preserve"> </w:t>
      </w:r>
      <w:r w:rsidRPr="00727324">
        <w:rPr>
          <w:rFonts w:ascii="Bookman Old Style" w:hAnsi="Bookman Old Style"/>
          <w:sz w:val="24"/>
          <w:szCs w:val="24"/>
        </w:rPr>
        <w:t>PNSD</w:t>
      </w:r>
      <w:r w:rsidR="00A954D0">
        <w:rPr>
          <w:rFonts w:ascii="Bookman Old Style" w:hAnsi="Bookman Old Style"/>
          <w:sz w:val="24"/>
          <w:szCs w:val="24"/>
        </w:rPr>
        <w:t xml:space="preserve"> </w:t>
      </w:r>
      <w:r w:rsidRPr="00727324">
        <w:rPr>
          <w:rFonts w:ascii="Bookman Old Style" w:hAnsi="Bookman Old Style"/>
          <w:sz w:val="24"/>
          <w:szCs w:val="24"/>
        </w:rPr>
        <w:t>Rp</w:t>
      </w:r>
      <w:r w:rsidRPr="00776DDB">
        <w:rPr>
          <w:rFonts w:ascii="Bookman Old Style" w:hAnsi="Bookman Old Style"/>
          <w:sz w:val="24"/>
          <w:szCs w:val="24"/>
        </w:rPr>
        <w:t>219</w:t>
      </w:r>
      <w:r>
        <w:rPr>
          <w:rFonts w:ascii="Bookman Old Style" w:hAnsi="Bookman Old Style"/>
          <w:sz w:val="24"/>
          <w:szCs w:val="24"/>
        </w:rPr>
        <w:t>.</w:t>
      </w:r>
      <w:r w:rsidRPr="00776DDB">
        <w:rPr>
          <w:rFonts w:ascii="Bookman Old Style" w:hAnsi="Bookman Old Style"/>
          <w:sz w:val="24"/>
          <w:szCs w:val="24"/>
        </w:rPr>
        <w:t>922</w:t>
      </w:r>
      <w:r>
        <w:rPr>
          <w:rFonts w:ascii="Bookman Old Style" w:hAnsi="Bookman Old Style"/>
          <w:sz w:val="24"/>
          <w:szCs w:val="24"/>
        </w:rPr>
        <w:t>.</w:t>
      </w:r>
      <w:r w:rsidRPr="00776DDB">
        <w:rPr>
          <w:rFonts w:ascii="Bookman Old Style" w:hAnsi="Bookman Old Style"/>
          <w:sz w:val="24"/>
          <w:szCs w:val="24"/>
        </w:rPr>
        <w:t>157</w:t>
      </w:r>
      <w:r>
        <w:rPr>
          <w:rFonts w:ascii="Bookman Old Style" w:hAnsi="Bookman Old Style"/>
          <w:sz w:val="24"/>
          <w:szCs w:val="24"/>
        </w:rPr>
        <w:t>.</w:t>
      </w:r>
      <w:r w:rsidRPr="00776DDB">
        <w:rPr>
          <w:rFonts w:ascii="Bookman Old Style" w:hAnsi="Bookman Old Style"/>
          <w:sz w:val="24"/>
          <w:szCs w:val="24"/>
        </w:rPr>
        <w:t>000</w:t>
      </w:r>
      <w:r w:rsidRPr="00727324">
        <w:rPr>
          <w:rFonts w:ascii="Bookman Old Style" w:hAnsi="Bookman Old Style"/>
          <w:sz w:val="24"/>
          <w:szCs w:val="24"/>
        </w:rPr>
        <w:t>,00;</w:t>
      </w:r>
      <w:r w:rsidR="00A954D0">
        <w:rPr>
          <w:rFonts w:ascii="Bookman Old Style" w:hAnsi="Bookman Old Style"/>
          <w:sz w:val="24"/>
          <w:szCs w:val="24"/>
        </w:rPr>
        <w:t xml:space="preserve"> </w:t>
      </w:r>
    </w:p>
    <w:p w14:paraId="5EBDC29F" w14:textId="3C6DF6B5" w:rsidR="005A4806" w:rsidRPr="00727324" w:rsidRDefault="005A4806" w:rsidP="00F639B5">
      <w:pPr>
        <w:pStyle w:val="ListParagraph"/>
        <w:numPr>
          <w:ilvl w:val="0"/>
          <w:numId w:val="124"/>
        </w:numPr>
        <w:tabs>
          <w:tab w:val="left" w:pos="720"/>
          <w:tab w:val="left" w:pos="1440"/>
          <w:tab w:val="left" w:pos="2880"/>
          <w:tab w:val="left" w:pos="3600"/>
          <w:tab w:val="left" w:pos="4320"/>
          <w:tab w:val="left" w:pos="5040"/>
          <w:tab w:val="left" w:pos="5760"/>
          <w:tab w:val="left" w:pos="6480"/>
          <w:tab w:val="left" w:pos="7147"/>
        </w:tabs>
        <w:spacing w:after="0" w:line="276" w:lineRule="auto"/>
        <w:ind w:left="3261" w:hanging="567"/>
        <w:contextualSpacing w:val="0"/>
        <w:jc w:val="both"/>
        <w:rPr>
          <w:rFonts w:ascii="Bookman Old Style" w:hAnsi="Bookman Old Style"/>
          <w:sz w:val="24"/>
          <w:szCs w:val="24"/>
        </w:rPr>
      </w:pPr>
      <w:r w:rsidRPr="00727324">
        <w:rPr>
          <w:rFonts w:ascii="Bookman Old Style" w:hAnsi="Bookman Old Style"/>
          <w:sz w:val="24"/>
          <w:szCs w:val="24"/>
        </w:rPr>
        <w:t>Belanja</w:t>
      </w:r>
      <w:r w:rsidR="00A954D0">
        <w:rPr>
          <w:rFonts w:ascii="Bookman Old Style" w:hAnsi="Bookman Old Style"/>
          <w:sz w:val="24"/>
          <w:szCs w:val="24"/>
        </w:rPr>
        <w:t xml:space="preserve"> </w:t>
      </w:r>
      <w:r w:rsidRPr="00727324">
        <w:rPr>
          <w:rFonts w:ascii="Bookman Old Style" w:hAnsi="Bookman Old Style"/>
          <w:sz w:val="24"/>
          <w:szCs w:val="24"/>
        </w:rPr>
        <w:t>Tambahan</w:t>
      </w:r>
      <w:r w:rsidR="00A954D0">
        <w:rPr>
          <w:rFonts w:ascii="Bookman Old Style" w:hAnsi="Bookman Old Style"/>
          <w:sz w:val="24"/>
          <w:szCs w:val="24"/>
        </w:rPr>
        <w:t xml:space="preserve"> </w:t>
      </w:r>
      <w:r w:rsidRPr="00727324">
        <w:rPr>
          <w:rFonts w:ascii="Bookman Old Style" w:hAnsi="Bookman Old Style"/>
          <w:sz w:val="24"/>
          <w:szCs w:val="24"/>
        </w:rPr>
        <w:t>Penghasilan</w:t>
      </w:r>
      <w:r w:rsidR="00A954D0">
        <w:rPr>
          <w:rFonts w:ascii="Bookman Old Style" w:hAnsi="Bookman Old Style"/>
          <w:sz w:val="24"/>
          <w:szCs w:val="24"/>
        </w:rPr>
        <w:t xml:space="preserve"> </w:t>
      </w:r>
      <w:r w:rsidRPr="00727324">
        <w:rPr>
          <w:rFonts w:ascii="Bookman Old Style" w:hAnsi="Bookman Old Style"/>
          <w:sz w:val="24"/>
          <w:szCs w:val="24"/>
        </w:rPr>
        <w:t>(Tamsil)</w:t>
      </w:r>
      <w:r w:rsidR="00A954D0">
        <w:rPr>
          <w:rFonts w:ascii="Bookman Old Style" w:hAnsi="Bookman Old Style"/>
          <w:sz w:val="24"/>
          <w:szCs w:val="24"/>
        </w:rPr>
        <w:t xml:space="preserve"> </w:t>
      </w:r>
      <w:r w:rsidRPr="00727324">
        <w:rPr>
          <w:rFonts w:ascii="Bookman Old Style" w:hAnsi="Bookman Old Style"/>
          <w:sz w:val="24"/>
          <w:szCs w:val="24"/>
        </w:rPr>
        <w:t>Guru</w:t>
      </w:r>
      <w:r w:rsidR="00A954D0">
        <w:rPr>
          <w:rFonts w:ascii="Bookman Old Style" w:hAnsi="Bookman Old Style"/>
          <w:sz w:val="24"/>
          <w:szCs w:val="24"/>
        </w:rPr>
        <w:t xml:space="preserve"> </w:t>
      </w:r>
      <w:r w:rsidRPr="00727324">
        <w:rPr>
          <w:rFonts w:ascii="Bookman Old Style" w:hAnsi="Bookman Old Style"/>
          <w:sz w:val="24"/>
          <w:szCs w:val="24"/>
        </w:rPr>
        <w:t>PNSD</w:t>
      </w:r>
      <w:r w:rsidR="00A954D0">
        <w:rPr>
          <w:rFonts w:ascii="Bookman Old Style" w:hAnsi="Bookman Old Style"/>
          <w:sz w:val="24"/>
          <w:szCs w:val="24"/>
        </w:rPr>
        <w:t xml:space="preserve"> </w:t>
      </w:r>
      <w:r w:rsidRPr="00727324">
        <w:rPr>
          <w:rFonts w:ascii="Bookman Old Style" w:hAnsi="Bookman Old Style"/>
          <w:sz w:val="24"/>
          <w:szCs w:val="24"/>
        </w:rPr>
        <w:t>Rp</w:t>
      </w:r>
      <w:r w:rsidRPr="00776DDB">
        <w:rPr>
          <w:rFonts w:ascii="Bookman Old Style" w:hAnsi="Bookman Old Style"/>
          <w:sz w:val="24"/>
          <w:szCs w:val="24"/>
        </w:rPr>
        <w:t>3</w:t>
      </w:r>
      <w:r>
        <w:rPr>
          <w:rFonts w:ascii="Bookman Old Style" w:hAnsi="Bookman Old Style"/>
          <w:sz w:val="24"/>
          <w:szCs w:val="24"/>
        </w:rPr>
        <w:t>.</w:t>
      </w:r>
      <w:r w:rsidRPr="00776DDB">
        <w:rPr>
          <w:rFonts w:ascii="Bookman Old Style" w:hAnsi="Bookman Old Style"/>
          <w:sz w:val="24"/>
          <w:szCs w:val="24"/>
        </w:rPr>
        <w:t>586</w:t>
      </w:r>
      <w:r>
        <w:rPr>
          <w:rFonts w:ascii="Bookman Old Style" w:hAnsi="Bookman Old Style"/>
          <w:sz w:val="24"/>
          <w:szCs w:val="24"/>
        </w:rPr>
        <w:t>.</w:t>
      </w:r>
      <w:r w:rsidRPr="00776DDB">
        <w:rPr>
          <w:rFonts w:ascii="Bookman Old Style" w:hAnsi="Bookman Old Style"/>
          <w:sz w:val="24"/>
          <w:szCs w:val="24"/>
        </w:rPr>
        <w:t>250</w:t>
      </w:r>
      <w:r>
        <w:rPr>
          <w:rFonts w:ascii="Bookman Old Style" w:hAnsi="Bookman Old Style"/>
          <w:sz w:val="24"/>
          <w:szCs w:val="24"/>
        </w:rPr>
        <w:t>.</w:t>
      </w:r>
      <w:r w:rsidRPr="00776DDB">
        <w:rPr>
          <w:rFonts w:ascii="Bookman Old Style" w:hAnsi="Bookman Old Style"/>
          <w:sz w:val="24"/>
          <w:szCs w:val="24"/>
        </w:rPr>
        <w:t>000</w:t>
      </w:r>
      <w:r w:rsidRPr="00727324">
        <w:rPr>
          <w:rFonts w:ascii="Bookman Old Style" w:hAnsi="Bookman Old Style"/>
          <w:sz w:val="24"/>
          <w:szCs w:val="24"/>
        </w:rPr>
        <w:t>,00</w:t>
      </w:r>
      <w:r w:rsidR="00F639B5" w:rsidRPr="00F639B5">
        <w:rPr>
          <w:rFonts w:ascii="Bookman Old Style" w:hAnsi="Bookman Old Style"/>
          <w:sz w:val="24"/>
          <w:szCs w:val="24"/>
          <w:lang w:val="sv-FI"/>
        </w:rPr>
        <w:t>.</w:t>
      </w:r>
    </w:p>
    <w:p w14:paraId="30E047F9" w14:textId="02634C95" w:rsidR="005A4806" w:rsidRPr="00727324" w:rsidRDefault="00F639B5" w:rsidP="00F639B5">
      <w:pPr>
        <w:pStyle w:val="ListParagraph"/>
        <w:numPr>
          <w:ilvl w:val="0"/>
          <w:numId w:val="126"/>
        </w:numPr>
        <w:tabs>
          <w:tab w:val="left" w:pos="720"/>
          <w:tab w:val="left" w:pos="1440"/>
          <w:tab w:val="left" w:pos="3402"/>
          <w:tab w:val="left" w:pos="3600"/>
          <w:tab w:val="left" w:pos="4320"/>
          <w:tab w:val="left" w:pos="5040"/>
          <w:tab w:val="left" w:pos="5760"/>
          <w:tab w:val="left" w:pos="6480"/>
          <w:tab w:val="left" w:pos="7147"/>
        </w:tabs>
        <w:spacing w:before="60" w:after="0" w:line="276" w:lineRule="auto"/>
        <w:ind w:left="2694" w:hanging="426"/>
        <w:contextualSpacing w:val="0"/>
        <w:jc w:val="both"/>
        <w:rPr>
          <w:rFonts w:ascii="Bookman Old Style" w:hAnsi="Bookman Old Style"/>
          <w:sz w:val="24"/>
          <w:szCs w:val="24"/>
        </w:rPr>
      </w:pPr>
      <w:r w:rsidRPr="00F639B5">
        <w:rPr>
          <w:rFonts w:ascii="Bookman Old Style" w:hAnsi="Bookman Old Style"/>
          <w:sz w:val="24"/>
          <w:szCs w:val="24"/>
          <w:lang w:val="sv-FI"/>
        </w:rPr>
        <w:t>H</w:t>
      </w:r>
      <w:r w:rsidR="005A4806" w:rsidRPr="00727324">
        <w:rPr>
          <w:rFonts w:ascii="Bookman Old Style" w:hAnsi="Bookman Old Style"/>
          <w:sz w:val="24"/>
          <w:szCs w:val="24"/>
        </w:rPr>
        <w:t>onorarium/</w:t>
      </w:r>
      <w:r w:rsidRPr="00F639B5">
        <w:rPr>
          <w:rFonts w:ascii="Bookman Old Style" w:hAnsi="Bookman Old Style"/>
          <w:sz w:val="24"/>
          <w:szCs w:val="24"/>
          <w:lang w:val="sv-FI"/>
        </w:rPr>
        <w:t>I</w:t>
      </w:r>
      <w:r w:rsidR="005A4806" w:rsidRPr="00727324">
        <w:rPr>
          <w:rFonts w:ascii="Bookman Old Style" w:hAnsi="Bookman Old Style"/>
          <w:sz w:val="24"/>
          <w:szCs w:val="24"/>
        </w:rPr>
        <w:t>nsentif/</w:t>
      </w:r>
      <w:r w:rsidRPr="00F639B5">
        <w:rPr>
          <w:rFonts w:ascii="Bookman Old Style" w:hAnsi="Bookman Old Style"/>
          <w:sz w:val="24"/>
          <w:szCs w:val="24"/>
          <w:lang w:val="sv-FI"/>
        </w:rPr>
        <w:t>T</w:t>
      </w:r>
      <w:r w:rsidR="005A4806" w:rsidRPr="00727324">
        <w:rPr>
          <w:rFonts w:ascii="Bookman Old Style" w:hAnsi="Bookman Old Style"/>
          <w:sz w:val="24"/>
          <w:szCs w:val="24"/>
        </w:rPr>
        <w:t>unjangan</w:t>
      </w:r>
      <w:r w:rsidR="00A954D0">
        <w:rPr>
          <w:rFonts w:ascii="Bookman Old Style" w:hAnsi="Bookman Old Style"/>
          <w:sz w:val="24"/>
          <w:szCs w:val="24"/>
        </w:rPr>
        <w:t xml:space="preserve"> </w:t>
      </w:r>
      <w:r w:rsidR="005A4806" w:rsidRPr="00727324">
        <w:rPr>
          <w:rFonts w:ascii="Bookman Old Style" w:hAnsi="Bookman Old Style"/>
          <w:sz w:val="24"/>
          <w:szCs w:val="24"/>
        </w:rPr>
        <w:t>lainnya</w:t>
      </w:r>
      <w:r w:rsidR="00A954D0">
        <w:rPr>
          <w:rFonts w:ascii="Bookman Old Style" w:hAnsi="Bookman Old Style"/>
          <w:sz w:val="24"/>
          <w:szCs w:val="24"/>
        </w:rPr>
        <w:t xml:space="preserve"> </w:t>
      </w:r>
      <w:r w:rsidR="005A4806" w:rsidRPr="00727324">
        <w:rPr>
          <w:rFonts w:ascii="Bookman Old Style" w:hAnsi="Bookman Old Style"/>
          <w:sz w:val="24"/>
          <w:szCs w:val="24"/>
        </w:rPr>
        <w:t>yang</w:t>
      </w:r>
      <w:r w:rsidR="00A954D0">
        <w:rPr>
          <w:rFonts w:ascii="Bookman Old Style" w:hAnsi="Bookman Old Style"/>
          <w:sz w:val="24"/>
          <w:szCs w:val="24"/>
        </w:rPr>
        <w:t xml:space="preserve"> </w:t>
      </w:r>
      <w:r w:rsidR="005A4806" w:rsidRPr="00727324">
        <w:rPr>
          <w:rFonts w:ascii="Bookman Old Style" w:hAnsi="Bookman Old Style"/>
          <w:sz w:val="24"/>
          <w:szCs w:val="24"/>
        </w:rPr>
        <w:t>diterima</w:t>
      </w:r>
      <w:r w:rsidR="00A954D0">
        <w:rPr>
          <w:rFonts w:ascii="Bookman Old Style" w:hAnsi="Bookman Old Style"/>
          <w:sz w:val="24"/>
          <w:szCs w:val="24"/>
        </w:rPr>
        <w:t xml:space="preserve"> </w:t>
      </w:r>
      <w:r w:rsidR="005A4806" w:rsidRPr="00727324">
        <w:rPr>
          <w:rFonts w:ascii="Bookman Old Style" w:hAnsi="Bookman Old Style"/>
          <w:sz w:val="24"/>
          <w:szCs w:val="24"/>
        </w:rPr>
        <w:t>ASN</w:t>
      </w:r>
      <w:r w:rsidR="00A954D0">
        <w:rPr>
          <w:rFonts w:ascii="Bookman Old Style" w:hAnsi="Bookman Old Style"/>
          <w:sz w:val="24"/>
          <w:szCs w:val="24"/>
        </w:rPr>
        <w:t xml:space="preserve"> </w:t>
      </w:r>
      <w:r w:rsidR="005A4806" w:rsidRPr="00727324">
        <w:rPr>
          <w:rFonts w:ascii="Bookman Old Style" w:hAnsi="Bookman Old Style"/>
          <w:sz w:val="24"/>
          <w:szCs w:val="24"/>
        </w:rPr>
        <w:t>sepanjang</w:t>
      </w:r>
      <w:r w:rsidR="00A954D0">
        <w:rPr>
          <w:rFonts w:ascii="Bookman Old Style" w:hAnsi="Bookman Old Style"/>
          <w:sz w:val="24"/>
          <w:szCs w:val="24"/>
        </w:rPr>
        <w:t xml:space="preserve"> </w:t>
      </w:r>
      <w:r w:rsidR="005A4806" w:rsidRPr="00727324">
        <w:rPr>
          <w:rFonts w:ascii="Bookman Old Style" w:hAnsi="Bookman Old Style"/>
          <w:sz w:val="24"/>
          <w:szCs w:val="24"/>
        </w:rPr>
        <w:t>diamanatkan</w:t>
      </w:r>
      <w:r w:rsidR="00A954D0">
        <w:rPr>
          <w:rFonts w:ascii="Bookman Old Style" w:hAnsi="Bookman Old Style"/>
          <w:sz w:val="24"/>
          <w:szCs w:val="24"/>
        </w:rPr>
        <w:t xml:space="preserve"> </w:t>
      </w:r>
      <w:r w:rsidR="005A4806" w:rsidRPr="00727324">
        <w:rPr>
          <w:rFonts w:ascii="Bookman Old Style" w:hAnsi="Bookman Old Style"/>
          <w:sz w:val="24"/>
          <w:szCs w:val="24"/>
        </w:rPr>
        <w:t>peraturan</w:t>
      </w:r>
      <w:r w:rsidR="00A954D0">
        <w:rPr>
          <w:rFonts w:ascii="Bookman Old Style" w:hAnsi="Bookman Old Style"/>
          <w:sz w:val="24"/>
          <w:szCs w:val="24"/>
        </w:rPr>
        <w:t xml:space="preserve"> </w:t>
      </w:r>
      <w:r w:rsidR="005A4806" w:rsidRPr="00727324">
        <w:rPr>
          <w:rFonts w:ascii="Bookman Old Style" w:hAnsi="Bookman Old Style"/>
          <w:sz w:val="24"/>
          <w:szCs w:val="24"/>
        </w:rPr>
        <w:t>perundang-undangan,</w:t>
      </w:r>
      <w:r w:rsidR="00A954D0">
        <w:rPr>
          <w:rFonts w:ascii="Bookman Old Style" w:hAnsi="Bookman Old Style"/>
          <w:sz w:val="24"/>
          <w:szCs w:val="24"/>
        </w:rPr>
        <w:t xml:space="preserve"> </w:t>
      </w:r>
      <w:r w:rsidR="005A4806" w:rsidRPr="00727324">
        <w:rPr>
          <w:rFonts w:ascii="Bookman Old Style" w:hAnsi="Bookman Old Style"/>
          <w:sz w:val="24"/>
          <w:szCs w:val="24"/>
        </w:rPr>
        <w:t>yang</w:t>
      </w:r>
      <w:r w:rsidR="00A954D0">
        <w:rPr>
          <w:rFonts w:ascii="Bookman Old Style" w:hAnsi="Bookman Old Style"/>
          <w:sz w:val="24"/>
          <w:szCs w:val="24"/>
        </w:rPr>
        <w:t xml:space="preserve"> </w:t>
      </w:r>
      <w:r w:rsidR="005A4806">
        <w:rPr>
          <w:rFonts w:ascii="Bookman Old Style" w:hAnsi="Bookman Old Style"/>
          <w:sz w:val="24"/>
          <w:szCs w:val="24"/>
        </w:rPr>
        <w:t>antara</w:t>
      </w:r>
      <w:r w:rsidR="00A954D0">
        <w:rPr>
          <w:rFonts w:ascii="Bookman Old Style" w:hAnsi="Bookman Old Style"/>
          <w:sz w:val="24"/>
          <w:szCs w:val="24"/>
        </w:rPr>
        <w:t xml:space="preserve"> </w:t>
      </w:r>
      <w:r w:rsidR="005A4806">
        <w:rPr>
          <w:rFonts w:ascii="Bookman Old Style" w:hAnsi="Bookman Old Style"/>
          <w:sz w:val="24"/>
          <w:szCs w:val="24"/>
        </w:rPr>
        <w:t>lain</w:t>
      </w:r>
      <w:r w:rsidR="00A954D0">
        <w:rPr>
          <w:rFonts w:ascii="Bookman Old Style" w:hAnsi="Bookman Old Style"/>
          <w:sz w:val="24"/>
          <w:szCs w:val="24"/>
        </w:rPr>
        <w:t xml:space="preserve"> </w:t>
      </w:r>
      <w:r w:rsidR="005A4806" w:rsidRPr="00727324">
        <w:rPr>
          <w:rFonts w:ascii="Bookman Old Style" w:hAnsi="Bookman Old Style"/>
          <w:sz w:val="24"/>
          <w:szCs w:val="24"/>
        </w:rPr>
        <w:t>diuraikan</w:t>
      </w:r>
      <w:r w:rsidR="00A954D0">
        <w:rPr>
          <w:rFonts w:ascii="Bookman Old Style" w:hAnsi="Bookman Old Style"/>
          <w:sz w:val="24"/>
          <w:szCs w:val="24"/>
        </w:rPr>
        <w:t xml:space="preserve"> </w:t>
      </w:r>
      <w:r w:rsidR="005A4806" w:rsidRPr="00727324">
        <w:rPr>
          <w:rFonts w:ascii="Bookman Old Style" w:hAnsi="Bookman Old Style"/>
          <w:sz w:val="24"/>
          <w:szCs w:val="24"/>
        </w:rPr>
        <w:t>dalam:</w:t>
      </w:r>
    </w:p>
    <w:p w14:paraId="2735D8C0" w14:textId="044B26DB" w:rsidR="005A4806" w:rsidRPr="00465846" w:rsidRDefault="005A4806" w:rsidP="00F639B5">
      <w:pPr>
        <w:pStyle w:val="ListParagraph"/>
        <w:numPr>
          <w:ilvl w:val="0"/>
          <w:numId w:val="125"/>
        </w:numPr>
        <w:tabs>
          <w:tab w:val="left" w:pos="720"/>
          <w:tab w:val="left" w:pos="1440"/>
          <w:tab w:val="left" w:pos="2880"/>
          <w:tab w:val="left" w:pos="3600"/>
          <w:tab w:val="left" w:pos="4320"/>
          <w:tab w:val="left" w:pos="5040"/>
          <w:tab w:val="left" w:pos="5760"/>
          <w:tab w:val="left" w:pos="6480"/>
          <w:tab w:val="left" w:pos="7147"/>
        </w:tabs>
        <w:spacing w:before="60" w:after="0" w:line="276" w:lineRule="auto"/>
        <w:ind w:left="3261" w:hanging="567"/>
        <w:contextualSpacing w:val="0"/>
        <w:jc w:val="both"/>
        <w:rPr>
          <w:rFonts w:ascii="Bookman Old Style" w:hAnsi="Bookman Old Style"/>
          <w:sz w:val="24"/>
          <w:szCs w:val="24"/>
        </w:rPr>
      </w:pPr>
      <w:r w:rsidRPr="00465846">
        <w:rPr>
          <w:rFonts w:ascii="Bookman Old Style" w:hAnsi="Bookman Old Style"/>
          <w:sz w:val="24"/>
          <w:szCs w:val="24"/>
        </w:rPr>
        <w:t>Belanja</w:t>
      </w:r>
      <w:r w:rsidR="00A954D0">
        <w:rPr>
          <w:rFonts w:ascii="Bookman Old Style" w:hAnsi="Bookman Old Style"/>
          <w:sz w:val="24"/>
          <w:szCs w:val="24"/>
        </w:rPr>
        <w:t xml:space="preserve"> </w:t>
      </w:r>
      <w:r w:rsidRPr="00465846">
        <w:rPr>
          <w:rFonts w:ascii="Bookman Old Style" w:hAnsi="Bookman Old Style"/>
          <w:sz w:val="24"/>
          <w:szCs w:val="24"/>
        </w:rPr>
        <w:t>Insentif</w:t>
      </w:r>
      <w:r w:rsidR="00A954D0">
        <w:rPr>
          <w:rFonts w:ascii="Bookman Old Style" w:hAnsi="Bookman Old Style"/>
          <w:sz w:val="24"/>
          <w:szCs w:val="24"/>
        </w:rPr>
        <w:t xml:space="preserve"> </w:t>
      </w:r>
      <w:r>
        <w:rPr>
          <w:rFonts w:ascii="Bookman Old Style" w:hAnsi="Bookman Old Style"/>
          <w:sz w:val="24"/>
          <w:szCs w:val="24"/>
        </w:rPr>
        <w:t>atas</w:t>
      </w:r>
      <w:r w:rsidR="00A954D0">
        <w:rPr>
          <w:rFonts w:ascii="Bookman Old Style" w:hAnsi="Bookman Old Style"/>
          <w:sz w:val="24"/>
          <w:szCs w:val="24"/>
        </w:rPr>
        <w:t xml:space="preserve"> </w:t>
      </w:r>
      <w:r>
        <w:rPr>
          <w:rFonts w:ascii="Bookman Old Style" w:hAnsi="Bookman Old Style"/>
          <w:sz w:val="24"/>
          <w:szCs w:val="24"/>
        </w:rPr>
        <w:t>Pemungutan</w:t>
      </w:r>
      <w:r w:rsidR="00A954D0">
        <w:rPr>
          <w:rFonts w:ascii="Bookman Old Style" w:hAnsi="Bookman Old Style"/>
          <w:sz w:val="24"/>
          <w:szCs w:val="24"/>
        </w:rPr>
        <w:t xml:space="preserve"> </w:t>
      </w:r>
      <w:r>
        <w:rPr>
          <w:rFonts w:ascii="Bookman Old Style" w:hAnsi="Bookman Old Style"/>
          <w:sz w:val="24"/>
          <w:szCs w:val="24"/>
        </w:rPr>
        <w:t>Pajak</w:t>
      </w:r>
      <w:r w:rsidR="00A954D0">
        <w:rPr>
          <w:rFonts w:ascii="Bookman Old Style" w:hAnsi="Bookman Old Style"/>
          <w:sz w:val="24"/>
          <w:szCs w:val="24"/>
        </w:rPr>
        <w:t xml:space="preserve"> </w:t>
      </w:r>
      <w:r>
        <w:rPr>
          <w:rFonts w:ascii="Bookman Old Style" w:hAnsi="Bookman Old Style"/>
          <w:sz w:val="24"/>
          <w:szCs w:val="24"/>
        </w:rPr>
        <w:t>Daerah</w:t>
      </w:r>
      <w:r w:rsidR="00A954D0">
        <w:rPr>
          <w:rFonts w:ascii="Bookman Old Style" w:hAnsi="Bookman Old Style"/>
          <w:sz w:val="24"/>
          <w:szCs w:val="24"/>
        </w:rPr>
        <w:t xml:space="preserve"> </w:t>
      </w:r>
      <w:r w:rsidRPr="00465846">
        <w:rPr>
          <w:rFonts w:ascii="Bookman Old Style" w:hAnsi="Bookman Old Style"/>
          <w:sz w:val="24"/>
          <w:szCs w:val="24"/>
        </w:rPr>
        <w:t>Rp</w:t>
      </w:r>
      <w:r w:rsidR="00823170" w:rsidRPr="00823170">
        <w:rPr>
          <w:rFonts w:ascii="Bookman Old Style" w:hAnsi="Bookman Old Style"/>
          <w:sz w:val="24"/>
          <w:szCs w:val="24"/>
        </w:rPr>
        <w:t>65.902.012.05</w:t>
      </w:r>
      <w:r w:rsidR="00823170">
        <w:rPr>
          <w:rFonts w:ascii="Bookman Old Style" w:hAnsi="Bookman Old Style"/>
          <w:sz w:val="24"/>
          <w:szCs w:val="24"/>
        </w:rPr>
        <w:t>6</w:t>
      </w:r>
      <w:r w:rsidRPr="00465846">
        <w:rPr>
          <w:rFonts w:ascii="Bookman Old Style" w:hAnsi="Bookman Old Style"/>
          <w:sz w:val="24"/>
          <w:szCs w:val="24"/>
        </w:rPr>
        <w:t>,00</w:t>
      </w:r>
      <w:r>
        <w:rPr>
          <w:rFonts w:ascii="Bookman Old Style" w:hAnsi="Bookman Old Style"/>
          <w:sz w:val="24"/>
          <w:szCs w:val="24"/>
        </w:rPr>
        <w:t>;</w:t>
      </w:r>
    </w:p>
    <w:p w14:paraId="57C9078E" w14:textId="2185EF25" w:rsidR="005A4806" w:rsidRPr="00FC6B81" w:rsidRDefault="005A4806" w:rsidP="00F639B5">
      <w:pPr>
        <w:pStyle w:val="ListParagraph"/>
        <w:numPr>
          <w:ilvl w:val="0"/>
          <w:numId w:val="125"/>
        </w:numPr>
        <w:tabs>
          <w:tab w:val="left" w:pos="720"/>
          <w:tab w:val="left" w:pos="1440"/>
          <w:tab w:val="left" w:pos="2880"/>
          <w:tab w:val="left" w:pos="3600"/>
          <w:tab w:val="left" w:pos="4320"/>
          <w:tab w:val="left" w:pos="5040"/>
          <w:tab w:val="left" w:pos="5760"/>
          <w:tab w:val="left" w:pos="6480"/>
          <w:tab w:val="left" w:pos="7147"/>
        </w:tabs>
        <w:spacing w:before="60" w:after="0" w:line="276" w:lineRule="auto"/>
        <w:ind w:left="3261" w:hanging="567"/>
        <w:contextualSpacing w:val="0"/>
        <w:jc w:val="both"/>
        <w:rPr>
          <w:rFonts w:ascii="Bookman Old Style" w:hAnsi="Bookman Old Style"/>
          <w:sz w:val="24"/>
          <w:szCs w:val="24"/>
        </w:rPr>
      </w:pPr>
      <w:r w:rsidRPr="00FC6B81">
        <w:rPr>
          <w:rFonts w:ascii="Bookman Old Style" w:hAnsi="Bookman Old Style"/>
          <w:sz w:val="24"/>
          <w:szCs w:val="24"/>
        </w:rPr>
        <w:t>Belanja</w:t>
      </w:r>
      <w:r w:rsidR="00A954D0">
        <w:rPr>
          <w:rFonts w:ascii="Bookman Old Style" w:hAnsi="Bookman Old Style"/>
          <w:sz w:val="24"/>
          <w:szCs w:val="24"/>
        </w:rPr>
        <w:t xml:space="preserve"> </w:t>
      </w:r>
      <w:r w:rsidRPr="00FC6B81">
        <w:rPr>
          <w:rFonts w:ascii="Bookman Old Style" w:hAnsi="Bookman Old Style"/>
          <w:sz w:val="24"/>
          <w:szCs w:val="24"/>
        </w:rPr>
        <w:t>Insentif</w:t>
      </w:r>
      <w:r w:rsidR="00A954D0">
        <w:rPr>
          <w:rFonts w:ascii="Bookman Old Style" w:hAnsi="Bookman Old Style"/>
          <w:sz w:val="24"/>
          <w:szCs w:val="24"/>
        </w:rPr>
        <w:t xml:space="preserve"> </w:t>
      </w:r>
      <w:r w:rsidRPr="00FC6B81">
        <w:rPr>
          <w:rFonts w:ascii="Bookman Old Style" w:hAnsi="Bookman Old Style"/>
          <w:sz w:val="24"/>
          <w:szCs w:val="24"/>
        </w:rPr>
        <w:t>atas</w:t>
      </w:r>
      <w:r w:rsidR="00A954D0">
        <w:rPr>
          <w:rFonts w:ascii="Bookman Old Style" w:hAnsi="Bookman Old Style"/>
          <w:sz w:val="24"/>
          <w:szCs w:val="24"/>
        </w:rPr>
        <w:t xml:space="preserve"> </w:t>
      </w:r>
      <w:r w:rsidRPr="00FC6B81">
        <w:rPr>
          <w:rFonts w:ascii="Bookman Old Style" w:hAnsi="Bookman Old Style"/>
          <w:sz w:val="24"/>
          <w:szCs w:val="24"/>
        </w:rPr>
        <w:t>Pemungutan</w:t>
      </w:r>
      <w:r w:rsidR="00A954D0">
        <w:rPr>
          <w:rFonts w:ascii="Bookman Old Style" w:hAnsi="Bookman Old Style"/>
          <w:sz w:val="24"/>
          <w:szCs w:val="24"/>
        </w:rPr>
        <w:t xml:space="preserve"> </w:t>
      </w:r>
      <w:r w:rsidRPr="00FC6B81">
        <w:rPr>
          <w:rFonts w:ascii="Bookman Old Style" w:hAnsi="Bookman Old Style"/>
          <w:sz w:val="24"/>
          <w:szCs w:val="24"/>
        </w:rPr>
        <w:t>Retribusi</w:t>
      </w:r>
      <w:r w:rsidR="00A954D0">
        <w:rPr>
          <w:rFonts w:ascii="Bookman Old Style" w:hAnsi="Bookman Old Style"/>
          <w:sz w:val="24"/>
          <w:szCs w:val="24"/>
        </w:rPr>
        <w:t xml:space="preserve"> </w:t>
      </w:r>
      <w:r w:rsidRPr="00FC6B81">
        <w:rPr>
          <w:rFonts w:ascii="Bookman Old Style" w:hAnsi="Bookman Old Style"/>
          <w:sz w:val="24"/>
          <w:szCs w:val="24"/>
        </w:rPr>
        <w:t>Daerah</w:t>
      </w:r>
      <w:r w:rsidR="00A954D0">
        <w:rPr>
          <w:rFonts w:ascii="Bookman Old Style" w:hAnsi="Bookman Old Style"/>
          <w:sz w:val="24"/>
          <w:szCs w:val="24"/>
        </w:rPr>
        <w:t xml:space="preserve"> </w:t>
      </w:r>
      <w:r w:rsidRPr="00FC6B81">
        <w:rPr>
          <w:rFonts w:ascii="Bookman Old Style" w:hAnsi="Bookman Old Style"/>
          <w:sz w:val="24"/>
          <w:szCs w:val="24"/>
        </w:rPr>
        <w:t>Rp3.099.042.390,00</w:t>
      </w:r>
      <w:r>
        <w:rPr>
          <w:rFonts w:ascii="Bookman Old Style" w:hAnsi="Bookman Old Style"/>
          <w:sz w:val="24"/>
          <w:szCs w:val="24"/>
        </w:rPr>
        <w:t>.</w:t>
      </w:r>
    </w:p>
    <w:p w14:paraId="5633A934" w14:textId="4B6D6AAC" w:rsidR="005A4806" w:rsidRPr="00727324" w:rsidRDefault="00F639B5" w:rsidP="00F639B5">
      <w:pPr>
        <w:pStyle w:val="ListParagraph"/>
        <w:tabs>
          <w:tab w:val="left" w:pos="2552"/>
        </w:tabs>
        <w:spacing w:before="60" w:after="0" w:line="276" w:lineRule="auto"/>
        <w:ind w:left="2268"/>
        <w:contextualSpacing w:val="0"/>
        <w:jc w:val="both"/>
        <w:rPr>
          <w:rFonts w:ascii="Bookman Old Style" w:hAnsi="Bookman Old Style" w:cs="Gill Sans Light (Arabid)"/>
          <w:bCs/>
          <w:sz w:val="24"/>
          <w:szCs w:val="24"/>
          <w:lang w:val="id-ID" w:eastAsia="id-ID"/>
        </w:rPr>
      </w:pPr>
      <w:r>
        <w:rPr>
          <w:rFonts w:ascii="Bookman Old Style" w:hAnsi="Bookman Old Style" w:cs="Gill Sans Light (Arabid)"/>
          <w:bCs/>
          <w:sz w:val="24"/>
          <w:szCs w:val="24"/>
          <w:lang w:val="it-IT" w:eastAsia="id-ID"/>
        </w:rPr>
        <w:t>D</w:t>
      </w:r>
      <w:r w:rsidR="005A4806" w:rsidRPr="00727324">
        <w:rPr>
          <w:rFonts w:ascii="Bookman Old Style" w:hAnsi="Bookman Old Style" w:cs="Gill Sans Light (Arabid)"/>
          <w:bCs/>
          <w:sz w:val="24"/>
          <w:szCs w:val="24"/>
          <w:lang w:val="it-IT" w:eastAsia="id-ID"/>
        </w:rPr>
        <w:t>apat</w:t>
      </w:r>
      <w:r w:rsidR="00A954D0">
        <w:rPr>
          <w:rFonts w:ascii="Bookman Old Style" w:hAnsi="Bookman Old Style" w:cs="Gill Sans Light (Arabid)"/>
          <w:bCs/>
          <w:sz w:val="24"/>
          <w:szCs w:val="24"/>
          <w:lang w:val="it-IT" w:eastAsia="id-ID"/>
        </w:rPr>
        <w:t xml:space="preserve"> </w:t>
      </w:r>
      <w:r w:rsidR="005A4806" w:rsidRPr="00727324">
        <w:rPr>
          <w:rFonts w:ascii="Bookman Old Style" w:hAnsi="Bookman Old Style" w:cs="Gill Sans Light (Arabid)"/>
          <w:bCs/>
          <w:sz w:val="24"/>
          <w:szCs w:val="24"/>
          <w:lang w:eastAsia="id-ID"/>
        </w:rPr>
        <w:t>dianggarkan</w:t>
      </w:r>
      <w:r w:rsidR="00A954D0">
        <w:rPr>
          <w:rFonts w:ascii="Bookman Old Style" w:hAnsi="Bookman Old Style" w:cs="Gill Sans Light (Arabid)"/>
          <w:bCs/>
          <w:sz w:val="24"/>
          <w:szCs w:val="24"/>
          <w:lang w:eastAsia="id-ID"/>
        </w:rPr>
        <w:t xml:space="preserve"> </w:t>
      </w:r>
      <w:r w:rsidR="005A4806" w:rsidRPr="00727324">
        <w:rPr>
          <w:rFonts w:ascii="Bookman Old Style" w:hAnsi="Bookman Old Style" w:cs="Gill Sans Light (Arabid)"/>
          <w:bCs/>
          <w:sz w:val="24"/>
          <w:szCs w:val="24"/>
          <w:lang w:eastAsia="id-ID"/>
        </w:rPr>
        <w:t>dalam</w:t>
      </w:r>
      <w:r w:rsidR="00A954D0">
        <w:rPr>
          <w:rFonts w:ascii="Bookman Old Style" w:hAnsi="Bookman Old Style" w:cs="Gill Sans Light (Arabid)"/>
          <w:bCs/>
          <w:sz w:val="24"/>
          <w:szCs w:val="24"/>
          <w:lang w:eastAsia="id-ID"/>
        </w:rPr>
        <w:t xml:space="preserve"> </w:t>
      </w:r>
      <w:r w:rsidR="005A4806" w:rsidRPr="00727324">
        <w:rPr>
          <w:rFonts w:ascii="Bookman Old Style" w:hAnsi="Bookman Old Style" w:cs="Gill Sans Light (Arabid)"/>
          <w:bCs/>
          <w:sz w:val="24"/>
          <w:szCs w:val="24"/>
          <w:lang w:eastAsia="id-ID"/>
        </w:rPr>
        <w:t>Rancangan</w:t>
      </w:r>
      <w:r w:rsidR="00A954D0">
        <w:rPr>
          <w:rFonts w:ascii="Bookman Old Style" w:hAnsi="Bookman Old Style" w:cs="Gill Sans Light (Arabid)"/>
          <w:bCs/>
          <w:sz w:val="24"/>
          <w:szCs w:val="24"/>
          <w:lang w:eastAsia="id-ID"/>
        </w:rPr>
        <w:t xml:space="preserve"> </w:t>
      </w:r>
      <w:r w:rsidR="005A4806" w:rsidRPr="00727324">
        <w:rPr>
          <w:rFonts w:ascii="Bookman Old Style" w:hAnsi="Bookman Old Style" w:cs="Gill Sans Light (Arabid)"/>
          <w:bCs/>
          <w:sz w:val="24"/>
          <w:szCs w:val="24"/>
          <w:lang w:eastAsia="id-ID"/>
        </w:rPr>
        <w:t>Peraturan</w:t>
      </w:r>
      <w:r w:rsidR="00A954D0">
        <w:rPr>
          <w:rFonts w:ascii="Bookman Old Style" w:hAnsi="Bookman Old Style" w:cs="Gill Sans Light (Arabid)"/>
          <w:bCs/>
          <w:sz w:val="24"/>
          <w:szCs w:val="24"/>
          <w:lang w:eastAsia="id-ID"/>
        </w:rPr>
        <w:t xml:space="preserve"> </w:t>
      </w:r>
      <w:r w:rsidR="005A4806" w:rsidRPr="00727324">
        <w:rPr>
          <w:rFonts w:ascii="Bookman Old Style" w:hAnsi="Bookman Old Style" w:cs="Gill Sans Light (Arabid)"/>
          <w:bCs/>
          <w:sz w:val="24"/>
          <w:szCs w:val="24"/>
          <w:lang w:eastAsia="id-ID"/>
        </w:rPr>
        <w:t>Daerah</w:t>
      </w:r>
      <w:r w:rsidR="00A954D0">
        <w:rPr>
          <w:rFonts w:ascii="Bookman Old Style" w:hAnsi="Bookman Old Style" w:cs="Gill Sans Light (Arabid)"/>
          <w:bCs/>
          <w:sz w:val="24"/>
          <w:szCs w:val="24"/>
          <w:lang w:eastAsia="id-ID"/>
        </w:rPr>
        <w:t xml:space="preserve"> </w:t>
      </w:r>
      <w:r w:rsidR="005A4806">
        <w:rPr>
          <w:rFonts w:ascii="Bookman Old Style" w:hAnsi="Bookman Old Style" w:cs="Gill Sans Light (Arabid)"/>
          <w:bCs/>
          <w:sz w:val="24"/>
          <w:szCs w:val="24"/>
          <w:lang w:eastAsia="id-ID"/>
        </w:rPr>
        <w:t>Kota</w:t>
      </w:r>
      <w:r w:rsidR="00A954D0">
        <w:rPr>
          <w:rFonts w:ascii="Bookman Old Style" w:hAnsi="Bookman Old Style" w:cs="Gill Sans Light (Arabid)"/>
          <w:bCs/>
          <w:sz w:val="24"/>
          <w:szCs w:val="24"/>
          <w:lang w:eastAsia="id-ID"/>
        </w:rPr>
        <w:t xml:space="preserve"> </w:t>
      </w:r>
      <w:r w:rsidR="005A4806">
        <w:rPr>
          <w:rFonts w:ascii="Bookman Old Style" w:hAnsi="Bookman Old Style"/>
          <w:sz w:val="24"/>
          <w:szCs w:val="24"/>
          <w:lang w:val="fi-FI"/>
        </w:rPr>
        <w:t>Tangerang</w:t>
      </w:r>
      <w:r w:rsidR="00A954D0">
        <w:rPr>
          <w:rFonts w:ascii="Bookman Old Style" w:hAnsi="Bookman Old Style"/>
          <w:sz w:val="24"/>
          <w:szCs w:val="24"/>
        </w:rPr>
        <w:t xml:space="preserve"> </w:t>
      </w:r>
      <w:r w:rsidR="005A4806" w:rsidRPr="00727324">
        <w:rPr>
          <w:rFonts w:ascii="Bookman Old Style" w:hAnsi="Bookman Old Style" w:cs="Gill Sans Light (Arabid)"/>
          <w:bCs/>
          <w:sz w:val="24"/>
          <w:szCs w:val="24"/>
          <w:lang w:eastAsia="id-ID"/>
        </w:rPr>
        <w:t>tentang</w:t>
      </w:r>
      <w:r w:rsidR="00A954D0">
        <w:rPr>
          <w:rFonts w:ascii="Bookman Old Style" w:hAnsi="Bookman Old Style" w:cs="Gill Sans Light (Arabid)"/>
          <w:bCs/>
          <w:sz w:val="24"/>
          <w:szCs w:val="24"/>
          <w:lang w:eastAsia="id-ID"/>
        </w:rPr>
        <w:t xml:space="preserve"> </w:t>
      </w:r>
      <w:r w:rsidR="005A4806" w:rsidRPr="00727324">
        <w:rPr>
          <w:rFonts w:ascii="Bookman Old Style" w:hAnsi="Bookman Old Style" w:cs="Gill Sans Light (Arabid)"/>
          <w:bCs/>
          <w:sz w:val="24"/>
          <w:szCs w:val="24"/>
          <w:lang w:eastAsia="id-ID"/>
        </w:rPr>
        <w:t>APBD</w:t>
      </w:r>
      <w:r w:rsidR="00A954D0">
        <w:rPr>
          <w:rFonts w:ascii="Bookman Old Style" w:hAnsi="Bookman Old Style" w:cs="Gill Sans Light (Arabid)"/>
          <w:bCs/>
          <w:sz w:val="24"/>
          <w:szCs w:val="24"/>
          <w:lang w:eastAsia="id-ID"/>
        </w:rPr>
        <w:t xml:space="preserve"> </w:t>
      </w:r>
      <w:r w:rsidR="005A4806" w:rsidRPr="00727324">
        <w:rPr>
          <w:rFonts w:ascii="Bookman Old Style" w:hAnsi="Bookman Old Style" w:cs="Gill Sans Light (Arabid)"/>
          <w:bCs/>
          <w:sz w:val="24"/>
          <w:szCs w:val="24"/>
          <w:lang w:eastAsia="id-ID"/>
        </w:rPr>
        <w:t>Tahun</w:t>
      </w:r>
      <w:r w:rsidR="00A954D0">
        <w:rPr>
          <w:rFonts w:ascii="Bookman Old Style" w:hAnsi="Bookman Old Style" w:cs="Gill Sans Light (Arabid)"/>
          <w:bCs/>
          <w:sz w:val="24"/>
          <w:szCs w:val="24"/>
          <w:lang w:eastAsia="id-ID"/>
        </w:rPr>
        <w:t xml:space="preserve"> </w:t>
      </w:r>
      <w:r w:rsidR="005A4806" w:rsidRPr="00727324">
        <w:rPr>
          <w:rFonts w:ascii="Bookman Old Style" w:hAnsi="Bookman Old Style" w:cs="Gill Sans Light (Arabid)"/>
          <w:bCs/>
          <w:sz w:val="24"/>
          <w:szCs w:val="24"/>
          <w:lang w:eastAsia="id-ID"/>
        </w:rPr>
        <w:t>Anggaran</w:t>
      </w:r>
      <w:r w:rsidR="00A954D0">
        <w:rPr>
          <w:rFonts w:ascii="Bookman Old Style" w:hAnsi="Bookman Old Style" w:cs="Gill Sans Light (Arabid)"/>
          <w:bCs/>
          <w:sz w:val="24"/>
          <w:szCs w:val="24"/>
          <w:lang w:eastAsia="id-ID"/>
        </w:rPr>
        <w:t xml:space="preserve"> </w:t>
      </w:r>
      <w:r w:rsidR="005A4806" w:rsidRPr="00727324">
        <w:rPr>
          <w:rFonts w:ascii="Bookman Old Style" w:hAnsi="Bookman Old Style" w:cs="Gill Sans Light (Arabid)"/>
          <w:bCs/>
          <w:sz w:val="24"/>
          <w:szCs w:val="24"/>
          <w:lang w:eastAsia="id-ID"/>
        </w:rPr>
        <w:t>2025</w:t>
      </w:r>
      <w:r w:rsidR="00A954D0">
        <w:rPr>
          <w:rFonts w:ascii="Bookman Old Style" w:hAnsi="Bookman Old Style" w:cs="Gill Sans Light (Arabid)"/>
          <w:bCs/>
          <w:sz w:val="24"/>
          <w:szCs w:val="24"/>
          <w:lang w:eastAsia="id-ID"/>
        </w:rPr>
        <w:t xml:space="preserve"> </w:t>
      </w:r>
      <w:r w:rsidR="005A4806" w:rsidRPr="00727324">
        <w:rPr>
          <w:rFonts w:ascii="Bookman Old Style" w:hAnsi="Bookman Old Style" w:cs="Gill Sans Light (Arabid)"/>
          <w:bCs/>
          <w:sz w:val="24"/>
          <w:szCs w:val="24"/>
          <w:lang w:eastAsia="id-ID"/>
        </w:rPr>
        <w:t>dengan</w:t>
      </w:r>
      <w:r w:rsidR="00A954D0">
        <w:rPr>
          <w:rFonts w:ascii="Bookman Old Style" w:hAnsi="Bookman Old Style" w:cs="Gill Sans Light (Arabid)"/>
          <w:bCs/>
          <w:sz w:val="24"/>
          <w:szCs w:val="24"/>
          <w:lang w:eastAsia="id-ID"/>
        </w:rPr>
        <w:t xml:space="preserve"> </w:t>
      </w:r>
      <w:r w:rsidR="005A4806" w:rsidRPr="00727324">
        <w:rPr>
          <w:rFonts w:ascii="Bookman Old Style" w:hAnsi="Bookman Old Style" w:cs="Gill Sans Light (Arabid)"/>
          <w:bCs/>
          <w:sz w:val="24"/>
          <w:szCs w:val="24"/>
          <w:lang w:eastAsia="id-ID"/>
        </w:rPr>
        <w:t>berpedoman</w:t>
      </w:r>
      <w:r w:rsidR="00A954D0">
        <w:rPr>
          <w:rFonts w:ascii="Bookman Old Style" w:hAnsi="Bookman Old Style" w:cs="Gill Sans Light (Arabid)"/>
          <w:bCs/>
          <w:sz w:val="24"/>
          <w:szCs w:val="24"/>
          <w:lang w:eastAsia="id-ID"/>
        </w:rPr>
        <w:t xml:space="preserve"> </w:t>
      </w:r>
      <w:r w:rsidR="005A4806" w:rsidRPr="00727324">
        <w:rPr>
          <w:rFonts w:ascii="Bookman Old Style" w:hAnsi="Bookman Old Style" w:cs="Gill Sans Light (Arabid)"/>
          <w:bCs/>
          <w:sz w:val="24"/>
          <w:szCs w:val="24"/>
          <w:lang w:eastAsia="id-ID"/>
        </w:rPr>
        <w:t>pada</w:t>
      </w:r>
      <w:r w:rsidR="00A954D0">
        <w:rPr>
          <w:rFonts w:ascii="Bookman Old Style" w:hAnsi="Bookman Old Style" w:cs="Gill Sans Light (Arabid)"/>
          <w:bCs/>
          <w:sz w:val="24"/>
          <w:szCs w:val="24"/>
          <w:lang w:val="id-ID" w:eastAsia="id-ID"/>
        </w:rPr>
        <w:t xml:space="preserve"> </w:t>
      </w:r>
      <w:r w:rsidR="005A4806" w:rsidRPr="00727324">
        <w:rPr>
          <w:rFonts w:ascii="Bookman Old Style" w:hAnsi="Bookman Old Style" w:cs="Gill Sans Light (Arabid)"/>
          <w:bCs/>
          <w:sz w:val="24"/>
          <w:szCs w:val="24"/>
          <w:lang w:val="id-ID" w:eastAsia="id-ID"/>
        </w:rPr>
        <w:t>Pasal</w:t>
      </w:r>
      <w:r w:rsidR="00A954D0">
        <w:rPr>
          <w:rFonts w:ascii="Bookman Old Style" w:hAnsi="Bookman Old Style" w:cs="Gill Sans Light (Arabid)"/>
          <w:bCs/>
          <w:sz w:val="24"/>
          <w:szCs w:val="24"/>
          <w:lang w:val="id-ID" w:eastAsia="id-ID"/>
        </w:rPr>
        <w:t xml:space="preserve"> </w:t>
      </w:r>
      <w:r w:rsidR="005A4806" w:rsidRPr="00727324">
        <w:rPr>
          <w:rFonts w:ascii="Bookman Old Style" w:hAnsi="Bookman Old Style" w:cs="Gill Sans Light (Arabid)"/>
          <w:bCs/>
          <w:sz w:val="24"/>
          <w:szCs w:val="24"/>
          <w:lang w:val="id-ID" w:eastAsia="id-ID"/>
        </w:rPr>
        <w:t>6</w:t>
      </w:r>
      <w:r w:rsidR="00A954D0">
        <w:rPr>
          <w:rFonts w:ascii="Bookman Old Style" w:hAnsi="Bookman Old Style" w:cs="Gill Sans Light (Arabid)"/>
          <w:bCs/>
          <w:sz w:val="24"/>
          <w:szCs w:val="24"/>
          <w:lang w:val="id-ID" w:eastAsia="id-ID"/>
        </w:rPr>
        <w:t xml:space="preserve"> </w:t>
      </w:r>
      <w:r w:rsidR="005A4806" w:rsidRPr="00727324">
        <w:rPr>
          <w:rFonts w:ascii="Bookman Old Style" w:hAnsi="Bookman Old Style" w:cs="Gill Sans Light (Arabid)"/>
          <w:bCs/>
          <w:sz w:val="24"/>
          <w:szCs w:val="24"/>
          <w:lang w:val="id-ID" w:eastAsia="id-ID"/>
        </w:rPr>
        <w:t>ayat</w:t>
      </w:r>
      <w:r w:rsidR="00A954D0">
        <w:rPr>
          <w:rFonts w:ascii="Bookman Old Style" w:hAnsi="Bookman Old Style" w:cs="Gill Sans Light (Arabid)"/>
          <w:bCs/>
          <w:sz w:val="24"/>
          <w:szCs w:val="24"/>
          <w:lang w:val="id-ID" w:eastAsia="id-ID"/>
        </w:rPr>
        <w:t xml:space="preserve"> </w:t>
      </w:r>
      <w:r w:rsidR="005A4806" w:rsidRPr="00727324">
        <w:rPr>
          <w:rFonts w:ascii="Bookman Old Style" w:hAnsi="Bookman Old Style" w:cs="Gill Sans Light (Arabid)"/>
          <w:bCs/>
          <w:sz w:val="24"/>
          <w:szCs w:val="24"/>
          <w:lang w:val="id-ID" w:eastAsia="id-ID"/>
        </w:rPr>
        <w:t>(1)</w:t>
      </w:r>
      <w:r w:rsidR="00A954D0">
        <w:rPr>
          <w:rFonts w:ascii="Bookman Old Style" w:hAnsi="Bookman Old Style" w:cs="Gill Sans Light (Arabid)"/>
          <w:bCs/>
          <w:sz w:val="24"/>
          <w:szCs w:val="24"/>
          <w:lang w:val="id-ID" w:eastAsia="id-ID"/>
        </w:rPr>
        <w:t xml:space="preserve"> </w:t>
      </w:r>
      <w:r w:rsidR="005A4806" w:rsidRPr="00727324">
        <w:rPr>
          <w:rFonts w:ascii="Bookman Old Style" w:hAnsi="Bookman Old Style" w:cs="Gill Sans Light (Arabid)"/>
          <w:bCs/>
          <w:sz w:val="24"/>
          <w:szCs w:val="24"/>
          <w:lang w:val="id-ID" w:eastAsia="id-ID"/>
        </w:rPr>
        <w:t>huruf</w:t>
      </w:r>
      <w:r w:rsidR="00A954D0">
        <w:rPr>
          <w:rFonts w:ascii="Bookman Old Style" w:hAnsi="Bookman Old Style" w:cs="Gill Sans Light (Arabid)"/>
          <w:bCs/>
          <w:sz w:val="24"/>
          <w:szCs w:val="24"/>
          <w:lang w:val="id-ID" w:eastAsia="id-ID"/>
        </w:rPr>
        <w:t xml:space="preserve"> </w:t>
      </w:r>
      <w:r w:rsidR="0085469E">
        <w:rPr>
          <w:rFonts w:ascii="Bookman Old Style" w:hAnsi="Bookman Old Style" w:cs="Gill Sans Light (Arabid)"/>
          <w:bCs/>
          <w:sz w:val="24"/>
          <w:szCs w:val="24"/>
          <w:lang w:val="id-ID" w:eastAsia="id-ID"/>
        </w:rPr>
        <w:t>b</w:t>
      </w:r>
      <w:r w:rsidR="00A954D0">
        <w:rPr>
          <w:rFonts w:ascii="Bookman Old Style" w:hAnsi="Bookman Old Style" w:cs="Gill Sans Light (Arabid)"/>
          <w:bCs/>
          <w:sz w:val="24"/>
          <w:szCs w:val="24"/>
          <w:lang w:val="id-ID" w:eastAsia="id-ID"/>
        </w:rPr>
        <w:t xml:space="preserve"> </w:t>
      </w:r>
      <w:r w:rsidR="005A4806" w:rsidRPr="00727324">
        <w:rPr>
          <w:rFonts w:ascii="Bookman Old Style" w:hAnsi="Bookman Old Style" w:cs="Gill Sans Light (Arabid)"/>
          <w:bCs/>
          <w:sz w:val="24"/>
          <w:szCs w:val="24"/>
          <w:lang w:val="id-ID" w:eastAsia="id-ID"/>
        </w:rPr>
        <w:t>Peraturan</w:t>
      </w:r>
      <w:r w:rsidR="00A954D0">
        <w:rPr>
          <w:rFonts w:ascii="Bookman Old Style" w:hAnsi="Bookman Old Style" w:cs="Gill Sans Light (Arabid)"/>
          <w:bCs/>
          <w:sz w:val="24"/>
          <w:szCs w:val="24"/>
          <w:lang w:val="id-ID" w:eastAsia="id-ID"/>
        </w:rPr>
        <w:t xml:space="preserve"> </w:t>
      </w:r>
      <w:r w:rsidR="005A4806" w:rsidRPr="00727324">
        <w:rPr>
          <w:rFonts w:ascii="Bookman Old Style" w:hAnsi="Bookman Old Style" w:cs="Gill Sans Light (Arabid)"/>
          <w:bCs/>
          <w:sz w:val="24"/>
          <w:szCs w:val="24"/>
          <w:lang w:val="id-ID" w:eastAsia="id-ID"/>
        </w:rPr>
        <w:t>Pemerintah</w:t>
      </w:r>
      <w:r w:rsidR="00A954D0">
        <w:rPr>
          <w:rFonts w:ascii="Bookman Old Style" w:hAnsi="Bookman Old Style" w:cs="Gill Sans Light (Arabid)"/>
          <w:bCs/>
          <w:sz w:val="24"/>
          <w:szCs w:val="24"/>
          <w:lang w:val="id-ID" w:eastAsia="id-ID"/>
        </w:rPr>
        <w:t xml:space="preserve"> </w:t>
      </w:r>
      <w:r w:rsidR="005A4806" w:rsidRPr="00727324">
        <w:rPr>
          <w:rFonts w:ascii="Bookman Old Style" w:hAnsi="Bookman Old Style" w:cs="Gill Sans Light (Arabid)"/>
          <w:bCs/>
          <w:sz w:val="24"/>
          <w:szCs w:val="24"/>
          <w:lang w:val="id-ID" w:eastAsia="id-ID"/>
        </w:rPr>
        <w:t>Nomor</w:t>
      </w:r>
      <w:r w:rsidR="00A954D0">
        <w:rPr>
          <w:rFonts w:ascii="Bookman Old Style" w:hAnsi="Bookman Old Style" w:cs="Gill Sans Light (Arabid)"/>
          <w:bCs/>
          <w:sz w:val="24"/>
          <w:szCs w:val="24"/>
          <w:lang w:val="id-ID" w:eastAsia="id-ID"/>
        </w:rPr>
        <w:t xml:space="preserve"> </w:t>
      </w:r>
      <w:r w:rsidR="005A4806" w:rsidRPr="00727324">
        <w:rPr>
          <w:rFonts w:ascii="Bookman Old Style" w:hAnsi="Bookman Old Style" w:cs="Gill Sans Light (Arabid)"/>
          <w:bCs/>
          <w:sz w:val="24"/>
          <w:szCs w:val="24"/>
          <w:lang w:val="id-ID" w:eastAsia="id-ID"/>
        </w:rPr>
        <w:t>69</w:t>
      </w:r>
      <w:r w:rsidR="00A954D0">
        <w:rPr>
          <w:rFonts w:ascii="Bookman Old Style" w:hAnsi="Bookman Old Style" w:cs="Gill Sans Light (Arabid)"/>
          <w:bCs/>
          <w:sz w:val="24"/>
          <w:szCs w:val="24"/>
          <w:lang w:val="id-ID" w:eastAsia="id-ID"/>
        </w:rPr>
        <w:t xml:space="preserve"> </w:t>
      </w:r>
      <w:r w:rsidR="005A4806" w:rsidRPr="00727324">
        <w:rPr>
          <w:rFonts w:ascii="Bookman Old Style" w:hAnsi="Bookman Old Style" w:cs="Gill Sans Light (Arabid)"/>
          <w:bCs/>
          <w:sz w:val="24"/>
          <w:szCs w:val="24"/>
          <w:lang w:val="id-ID" w:eastAsia="id-ID"/>
        </w:rPr>
        <w:t>Tahun</w:t>
      </w:r>
      <w:r w:rsidR="00A954D0">
        <w:rPr>
          <w:rFonts w:ascii="Bookman Old Style" w:hAnsi="Bookman Old Style" w:cs="Gill Sans Light (Arabid)"/>
          <w:bCs/>
          <w:sz w:val="24"/>
          <w:szCs w:val="24"/>
          <w:lang w:val="id-ID" w:eastAsia="id-ID"/>
        </w:rPr>
        <w:t xml:space="preserve"> </w:t>
      </w:r>
      <w:r w:rsidR="005A4806" w:rsidRPr="00727324">
        <w:rPr>
          <w:rFonts w:ascii="Bookman Old Style" w:hAnsi="Bookman Old Style" w:cs="Gill Sans Light (Arabid)"/>
          <w:bCs/>
          <w:sz w:val="24"/>
          <w:szCs w:val="24"/>
          <w:lang w:val="id-ID" w:eastAsia="id-ID"/>
        </w:rPr>
        <w:t>2010</w:t>
      </w:r>
      <w:r w:rsidR="00A954D0">
        <w:rPr>
          <w:rFonts w:ascii="Bookman Old Style" w:hAnsi="Bookman Old Style" w:cs="Gill Sans Light (Arabid)"/>
          <w:bCs/>
          <w:sz w:val="24"/>
          <w:szCs w:val="24"/>
          <w:lang w:val="id-ID" w:eastAsia="id-ID"/>
        </w:rPr>
        <w:t xml:space="preserve"> </w:t>
      </w:r>
      <w:r w:rsidR="005A4806" w:rsidRPr="00727324">
        <w:rPr>
          <w:rFonts w:ascii="Bookman Old Style" w:hAnsi="Bookman Old Style" w:cs="Gill Sans Light (Arabid)"/>
          <w:bCs/>
          <w:sz w:val="24"/>
          <w:szCs w:val="24"/>
          <w:lang w:val="id-ID" w:eastAsia="id-ID"/>
        </w:rPr>
        <w:t>tentang</w:t>
      </w:r>
      <w:r w:rsidR="00A954D0">
        <w:rPr>
          <w:rFonts w:ascii="Bookman Old Style" w:hAnsi="Bookman Old Style" w:cs="Gill Sans Light (Arabid)"/>
          <w:bCs/>
          <w:sz w:val="24"/>
          <w:szCs w:val="24"/>
          <w:lang w:val="id-ID" w:eastAsia="id-ID"/>
        </w:rPr>
        <w:t xml:space="preserve"> </w:t>
      </w:r>
      <w:r w:rsidR="005A4806" w:rsidRPr="00727324">
        <w:rPr>
          <w:rFonts w:ascii="Bookman Old Style" w:hAnsi="Bookman Old Style" w:cs="Gill Sans Light (Arabid)"/>
          <w:bCs/>
          <w:sz w:val="24"/>
          <w:szCs w:val="24"/>
          <w:lang w:val="id-ID" w:eastAsia="id-ID"/>
        </w:rPr>
        <w:t>Tata</w:t>
      </w:r>
      <w:r w:rsidR="00A954D0">
        <w:rPr>
          <w:rFonts w:ascii="Bookman Old Style" w:hAnsi="Bookman Old Style" w:cs="Gill Sans Light (Arabid)"/>
          <w:bCs/>
          <w:sz w:val="24"/>
          <w:szCs w:val="24"/>
          <w:lang w:val="id-ID" w:eastAsia="id-ID"/>
        </w:rPr>
        <w:t xml:space="preserve"> </w:t>
      </w:r>
      <w:r w:rsidR="005A4806" w:rsidRPr="00727324">
        <w:rPr>
          <w:rFonts w:ascii="Bookman Old Style" w:hAnsi="Bookman Old Style" w:cs="Gill Sans Light (Arabid)"/>
          <w:bCs/>
          <w:sz w:val="24"/>
          <w:szCs w:val="24"/>
          <w:lang w:val="id-ID" w:eastAsia="id-ID"/>
        </w:rPr>
        <w:t>Cara</w:t>
      </w:r>
      <w:r w:rsidR="00A954D0">
        <w:rPr>
          <w:rFonts w:ascii="Bookman Old Style" w:hAnsi="Bookman Old Style" w:cs="Gill Sans Light (Arabid)"/>
          <w:bCs/>
          <w:sz w:val="24"/>
          <w:szCs w:val="24"/>
          <w:lang w:val="id-ID" w:eastAsia="id-ID"/>
        </w:rPr>
        <w:t xml:space="preserve"> </w:t>
      </w:r>
      <w:r w:rsidR="005A4806" w:rsidRPr="00727324">
        <w:rPr>
          <w:rFonts w:ascii="Bookman Old Style" w:hAnsi="Bookman Old Style" w:cs="Gill Sans Light (Arabid)"/>
          <w:bCs/>
          <w:sz w:val="24"/>
          <w:szCs w:val="24"/>
          <w:lang w:val="id-ID" w:eastAsia="id-ID"/>
        </w:rPr>
        <w:t>Pemberian</w:t>
      </w:r>
      <w:r w:rsidR="00A954D0">
        <w:rPr>
          <w:rFonts w:ascii="Bookman Old Style" w:hAnsi="Bookman Old Style" w:cs="Gill Sans Light (Arabid)"/>
          <w:bCs/>
          <w:sz w:val="24"/>
          <w:szCs w:val="24"/>
          <w:lang w:val="id-ID" w:eastAsia="id-ID"/>
        </w:rPr>
        <w:t xml:space="preserve"> </w:t>
      </w:r>
      <w:r w:rsidR="005A4806" w:rsidRPr="00727324">
        <w:rPr>
          <w:rFonts w:ascii="Bookman Old Style" w:hAnsi="Bookman Old Style" w:cs="Gill Sans Light (Arabid)"/>
          <w:bCs/>
          <w:sz w:val="24"/>
          <w:szCs w:val="24"/>
          <w:lang w:val="id-ID" w:eastAsia="id-ID"/>
        </w:rPr>
        <w:t>dan</w:t>
      </w:r>
      <w:r w:rsidR="00A954D0">
        <w:rPr>
          <w:rFonts w:ascii="Bookman Old Style" w:hAnsi="Bookman Old Style" w:cs="Gill Sans Light (Arabid)"/>
          <w:bCs/>
          <w:sz w:val="24"/>
          <w:szCs w:val="24"/>
          <w:lang w:val="id-ID" w:eastAsia="id-ID"/>
        </w:rPr>
        <w:t xml:space="preserve"> </w:t>
      </w:r>
      <w:r w:rsidR="005A4806" w:rsidRPr="00727324">
        <w:rPr>
          <w:rFonts w:ascii="Bookman Old Style" w:hAnsi="Bookman Old Style" w:cs="Gill Sans Light (Arabid)"/>
          <w:bCs/>
          <w:sz w:val="24"/>
          <w:szCs w:val="24"/>
          <w:lang w:val="id-ID" w:eastAsia="id-ID"/>
        </w:rPr>
        <w:t>Pemanfaatan</w:t>
      </w:r>
      <w:r w:rsidR="00A954D0">
        <w:rPr>
          <w:rFonts w:ascii="Bookman Old Style" w:hAnsi="Bookman Old Style" w:cs="Gill Sans Light (Arabid)"/>
          <w:bCs/>
          <w:sz w:val="24"/>
          <w:szCs w:val="24"/>
          <w:lang w:val="id-ID" w:eastAsia="id-ID"/>
        </w:rPr>
        <w:t xml:space="preserve"> </w:t>
      </w:r>
      <w:r w:rsidR="005A4806" w:rsidRPr="00727324">
        <w:rPr>
          <w:rFonts w:ascii="Bookman Old Style" w:hAnsi="Bookman Old Style" w:cs="Gill Sans Light (Arabid)"/>
          <w:bCs/>
          <w:sz w:val="24"/>
          <w:szCs w:val="24"/>
          <w:lang w:val="id-ID" w:eastAsia="id-ID"/>
        </w:rPr>
        <w:t>Insentif</w:t>
      </w:r>
      <w:r w:rsidR="00A954D0">
        <w:rPr>
          <w:rFonts w:ascii="Bookman Old Style" w:hAnsi="Bookman Old Style" w:cs="Gill Sans Light (Arabid)"/>
          <w:bCs/>
          <w:sz w:val="24"/>
          <w:szCs w:val="24"/>
          <w:lang w:val="id-ID" w:eastAsia="id-ID"/>
        </w:rPr>
        <w:t xml:space="preserve"> </w:t>
      </w:r>
      <w:r w:rsidR="005A4806" w:rsidRPr="00727324">
        <w:rPr>
          <w:rFonts w:ascii="Bookman Old Style" w:hAnsi="Bookman Old Style" w:cs="Gill Sans Light (Arabid)"/>
          <w:bCs/>
          <w:sz w:val="24"/>
          <w:szCs w:val="24"/>
          <w:lang w:val="id-ID" w:eastAsia="id-ID"/>
        </w:rPr>
        <w:t>Pemungutan</w:t>
      </w:r>
      <w:r w:rsidR="00A954D0">
        <w:rPr>
          <w:rFonts w:ascii="Bookman Old Style" w:hAnsi="Bookman Old Style" w:cs="Gill Sans Light (Arabid)"/>
          <w:bCs/>
          <w:sz w:val="24"/>
          <w:szCs w:val="24"/>
          <w:lang w:val="id-ID" w:eastAsia="id-ID"/>
        </w:rPr>
        <w:t xml:space="preserve"> </w:t>
      </w:r>
      <w:r w:rsidR="005A4806" w:rsidRPr="00727324">
        <w:rPr>
          <w:rFonts w:ascii="Bookman Old Style" w:hAnsi="Bookman Old Style" w:cs="Gill Sans Light (Arabid)"/>
          <w:bCs/>
          <w:sz w:val="24"/>
          <w:szCs w:val="24"/>
          <w:lang w:val="id-ID" w:eastAsia="id-ID"/>
        </w:rPr>
        <w:t>Pajak</w:t>
      </w:r>
      <w:r w:rsidR="00A954D0">
        <w:rPr>
          <w:rFonts w:ascii="Bookman Old Style" w:hAnsi="Bookman Old Style" w:cs="Gill Sans Light (Arabid)"/>
          <w:bCs/>
          <w:sz w:val="24"/>
          <w:szCs w:val="24"/>
          <w:lang w:val="id-ID" w:eastAsia="id-ID"/>
        </w:rPr>
        <w:t xml:space="preserve"> </w:t>
      </w:r>
      <w:r w:rsidR="005A4806" w:rsidRPr="00727324">
        <w:rPr>
          <w:rFonts w:ascii="Bookman Old Style" w:hAnsi="Bookman Old Style" w:cs="Gill Sans Light (Arabid)"/>
          <w:bCs/>
          <w:sz w:val="24"/>
          <w:szCs w:val="24"/>
          <w:lang w:val="id-ID" w:eastAsia="id-ID"/>
        </w:rPr>
        <w:t>Daerah</w:t>
      </w:r>
      <w:r w:rsidR="00A954D0">
        <w:rPr>
          <w:rFonts w:ascii="Bookman Old Style" w:hAnsi="Bookman Old Style" w:cs="Gill Sans Light (Arabid)"/>
          <w:bCs/>
          <w:sz w:val="24"/>
          <w:szCs w:val="24"/>
          <w:lang w:val="id-ID" w:eastAsia="id-ID"/>
        </w:rPr>
        <w:t xml:space="preserve"> </w:t>
      </w:r>
      <w:r w:rsidR="005A4806" w:rsidRPr="00727324">
        <w:rPr>
          <w:rFonts w:ascii="Bookman Old Style" w:hAnsi="Bookman Old Style" w:cs="Gill Sans Light (Arabid)"/>
          <w:bCs/>
          <w:sz w:val="24"/>
          <w:szCs w:val="24"/>
          <w:lang w:val="id-ID" w:eastAsia="id-ID"/>
        </w:rPr>
        <w:t>dan</w:t>
      </w:r>
      <w:r w:rsidR="00A954D0">
        <w:rPr>
          <w:rFonts w:ascii="Bookman Old Style" w:hAnsi="Bookman Old Style" w:cs="Gill Sans Light (Arabid)"/>
          <w:bCs/>
          <w:sz w:val="24"/>
          <w:szCs w:val="24"/>
          <w:lang w:val="id-ID" w:eastAsia="id-ID"/>
        </w:rPr>
        <w:t xml:space="preserve"> </w:t>
      </w:r>
      <w:r w:rsidR="005A4806" w:rsidRPr="00727324">
        <w:rPr>
          <w:rFonts w:ascii="Bookman Old Style" w:hAnsi="Bookman Old Style" w:cs="Gill Sans Light (Arabid)"/>
          <w:bCs/>
          <w:sz w:val="24"/>
          <w:szCs w:val="24"/>
          <w:lang w:val="id-ID" w:eastAsia="id-ID"/>
        </w:rPr>
        <w:t>Retribusi</w:t>
      </w:r>
      <w:r w:rsidR="00A954D0">
        <w:rPr>
          <w:rFonts w:ascii="Bookman Old Style" w:hAnsi="Bookman Old Style" w:cs="Gill Sans Light (Arabid)"/>
          <w:bCs/>
          <w:sz w:val="24"/>
          <w:szCs w:val="24"/>
          <w:lang w:val="id-ID" w:eastAsia="id-ID"/>
        </w:rPr>
        <w:t xml:space="preserve"> </w:t>
      </w:r>
      <w:r w:rsidR="005A4806" w:rsidRPr="00727324">
        <w:rPr>
          <w:rFonts w:ascii="Bookman Old Style" w:hAnsi="Bookman Old Style" w:cs="Gill Sans Light (Arabid)"/>
          <w:bCs/>
          <w:sz w:val="24"/>
          <w:szCs w:val="24"/>
          <w:lang w:val="id-ID" w:eastAsia="id-ID"/>
        </w:rPr>
        <w:t>Daerah</w:t>
      </w:r>
      <w:r w:rsidR="00A954D0">
        <w:rPr>
          <w:rFonts w:ascii="Bookman Old Style" w:hAnsi="Bookman Old Style" w:cs="Gill Sans Light (Arabid)"/>
          <w:bCs/>
          <w:sz w:val="24"/>
          <w:szCs w:val="24"/>
          <w:lang w:val="id-ID" w:eastAsia="id-ID"/>
        </w:rPr>
        <w:t xml:space="preserve"> </w:t>
      </w:r>
      <w:r w:rsidR="005A4806" w:rsidRPr="00727324">
        <w:rPr>
          <w:rFonts w:ascii="Bookman Old Style" w:hAnsi="Bookman Old Style" w:cs="Gill Sans Light (Arabid)"/>
          <w:bCs/>
          <w:sz w:val="24"/>
          <w:szCs w:val="24"/>
          <w:lang w:val="id-ID" w:eastAsia="id-ID"/>
        </w:rPr>
        <w:t>untuk</w:t>
      </w:r>
      <w:r w:rsidR="00A954D0">
        <w:rPr>
          <w:rFonts w:ascii="Bookman Old Style" w:hAnsi="Bookman Old Style" w:cs="Gill Sans Light (Arabid)"/>
          <w:bCs/>
          <w:sz w:val="24"/>
          <w:szCs w:val="24"/>
          <w:lang w:val="id-ID" w:eastAsia="id-ID"/>
        </w:rPr>
        <w:t xml:space="preserve"> </w:t>
      </w:r>
      <w:r w:rsidR="005A4806" w:rsidRPr="00727324">
        <w:rPr>
          <w:rFonts w:ascii="Bookman Old Style" w:hAnsi="Bookman Old Style" w:cs="Gill Sans Light (Arabid)"/>
          <w:bCs/>
          <w:sz w:val="24"/>
          <w:szCs w:val="24"/>
          <w:lang w:val="id-ID" w:eastAsia="id-ID"/>
        </w:rPr>
        <w:t>insentif</w:t>
      </w:r>
      <w:r w:rsidR="00A954D0">
        <w:rPr>
          <w:rFonts w:ascii="Bookman Old Style" w:hAnsi="Bookman Old Style" w:cs="Gill Sans Light (Arabid)"/>
          <w:bCs/>
          <w:sz w:val="24"/>
          <w:szCs w:val="24"/>
          <w:lang w:val="id-ID" w:eastAsia="id-ID"/>
        </w:rPr>
        <w:t xml:space="preserve"> </w:t>
      </w:r>
      <w:r w:rsidR="005A4806" w:rsidRPr="00727324">
        <w:rPr>
          <w:rFonts w:ascii="Bookman Old Style" w:hAnsi="Bookman Old Style" w:cs="Gill Sans Light (Arabid)"/>
          <w:bCs/>
          <w:sz w:val="24"/>
          <w:szCs w:val="24"/>
          <w:lang w:val="id-ID" w:eastAsia="id-ID"/>
        </w:rPr>
        <w:t>pajak</w:t>
      </w:r>
      <w:r w:rsidR="00A954D0">
        <w:rPr>
          <w:rFonts w:ascii="Bookman Old Style" w:hAnsi="Bookman Old Style" w:cs="Gill Sans Light (Arabid)"/>
          <w:bCs/>
          <w:sz w:val="24"/>
          <w:szCs w:val="24"/>
          <w:lang w:val="id-ID" w:eastAsia="id-ID"/>
        </w:rPr>
        <w:t xml:space="preserve"> </w:t>
      </w:r>
      <w:r w:rsidR="005A4806" w:rsidRPr="00727324">
        <w:rPr>
          <w:rFonts w:ascii="Bookman Old Style" w:hAnsi="Bookman Old Style" w:cs="Gill Sans Light (Arabid)"/>
          <w:bCs/>
          <w:sz w:val="24"/>
          <w:szCs w:val="24"/>
          <w:lang w:val="id-ID" w:eastAsia="id-ID"/>
        </w:rPr>
        <w:t>daerah</w:t>
      </w:r>
      <w:r w:rsidR="00A954D0">
        <w:rPr>
          <w:rFonts w:ascii="Bookman Old Style" w:hAnsi="Bookman Old Style" w:cs="Gill Sans Light (Arabid)"/>
          <w:bCs/>
          <w:sz w:val="24"/>
          <w:szCs w:val="24"/>
          <w:lang w:val="id-ID" w:eastAsia="id-ID"/>
        </w:rPr>
        <w:t xml:space="preserve"> </w:t>
      </w:r>
      <w:r w:rsidR="005A4806" w:rsidRPr="00727324">
        <w:rPr>
          <w:rFonts w:ascii="Bookman Old Style" w:hAnsi="Bookman Old Style" w:cs="Gill Sans Light (Arabid)"/>
          <w:bCs/>
          <w:sz w:val="24"/>
          <w:szCs w:val="24"/>
          <w:lang w:val="id-ID" w:eastAsia="id-ID"/>
        </w:rPr>
        <w:t>dan</w:t>
      </w:r>
      <w:r w:rsidR="00A954D0">
        <w:rPr>
          <w:rFonts w:ascii="Bookman Old Style" w:hAnsi="Bookman Old Style" w:cs="Gill Sans Light (Arabid)"/>
          <w:bCs/>
          <w:sz w:val="24"/>
          <w:szCs w:val="24"/>
          <w:lang w:val="id-ID" w:eastAsia="id-ID"/>
        </w:rPr>
        <w:t xml:space="preserve"> </w:t>
      </w:r>
      <w:r w:rsidR="005A4806" w:rsidRPr="00727324">
        <w:rPr>
          <w:rFonts w:ascii="Bookman Old Style" w:hAnsi="Bookman Old Style" w:cs="Gill Sans Light (Arabid)"/>
          <w:bCs/>
          <w:sz w:val="24"/>
          <w:szCs w:val="24"/>
          <w:lang w:val="id-ID" w:eastAsia="id-ID"/>
        </w:rPr>
        <w:t>retribusi</w:t>
      </w:r>
      <w:r w:rsidR="00A954D0">
        <w:rPr>
          <w:rFonts w:ascii="Bookman Old Style" w:hAnsi="Bookman Old Style" w:cs="Gill Sans Light (Arabid)"/>
          <w:bCs/>
          <w:sz w:val="24"/>
          <w:szCs w:val="24"/>
          <w:lang w:val="id-ID" w:eastAsia="id-ID"/>
        </w:rPr>
        <w:t xml:space="preserve"> </w:t>
      </w:r>
      <w:r w:rsidR="005A4806" w:rsidRPr="00727324">
        <w:rPr>
          <w:rFonts w:ascii="Bookman Old Style" w:hAnsi="Bookman Old Style" w:cs="Gill Sans Light (Arabid)"/>
          <w:bCs/>
          <w:sz w:val="24"/>
          <w:szCs w:val="24"/>
          <w:lang w:val="id-ID" w:eastAsia="id-ID"/>
        </w:rPr>
        <w:t>daerah,</w:t>
      </w:r>
      <w:r w:rsidR="00A954D0">
        <w:rPr>
          <w:rFonts w:ascii="Bookman Old Style" w:hAnsi="Bookman Old Style" w:cs="Gill Sans Light (Arabid)"/>
          <w:bCs/>
          <w:sz w:val="24"/>
          <w:szCs w:val="24"/>
          <w:lang w:val="id-ID" w:eastAsia="id-ID"/>
        </w:rPr>
        <w:t xml:space="preserve"> </w:t>
      </w:r>
      <w:r w:rsidR="005A4806" w:rsidRPr="00727324">
        <w:rPr>
          <w:rFonts w:ascii="Bookman Old Style" w:hAnsi="Bookman Old Style" w:cs="Gill Sans Light (Arabid)"/>
          <w:bCs/>
          <w:sz w:val="24"/>
          <w:szCs w:val="24"/>
          <w:lang w:val="id-ID" w:eastAsia="id-ID"/>
        </w:rPr>
        <w:t>butir</w:t>
      </w:r>
      <w:r w:rsidR="00A954D0">
        <w:rPr>
          <w:rFonts w:ascii="Bookman Old Style" w:hAnsi="Bookman Old Style" w:cs="Gill Sans Light (Arabid)"/>
          <w:bCs/>
          <w:sz w:val="24"/>
          <w:szCs w:val="24"/>
          <w:lang w:val="id-ID" w:eastAsia="id-ID"/>
        </w:rPr>
        <w:t xml:space="preserve"> </w:t>
      </w:r>
      <w:r w:rsidR="005A4806" w:rsidRPr="00727324">
        <w:rPr>
          <w:rFonts w:ascii="Bookman Old Style" w:hAnsi="Bookman Old Style" w:cs="Gill Sans Light (Arabid)"/>
          <w:bCs/>
          <w:sz w:val="24"/>
          <w:szCs w:val="24"/>
          <w:lang w:val="id-ID" w:eastAsia="id-ID"/>
        </w:rPr>
        <w:t>3.4.1.1.2.</w:t>
      </w:r>
      <w:r w:rsidR="005A4806" w:rsidRPr="00727324">
        <w:rPr>
          <w:rFonts w:ascii="Bookman Old Style" w:hAnsi="Bookman Old Style" w:cs="Arial"/>
          <w:sz w:val="24"/>
          <w:szCs w:val="24"/>
          <w:lang w:val="id-ID"/>
        </w:rPr>
        <w:t>e.6),</w:t>
      </w:r>
      <w:r w:rsidR="00A954D0">
        <w:rPr>
          <w:rFonts w:ascii="Bookman Old Style" w:hAnsi="Bookman Old Style" w:cs="Arial"/>
          <w:sz w:val="24"/>
          <w:szCs w:val="24"/>
          <w:lang w:val="id-ID"/>
        </w:rPr>
        <w:t xml:space="preserve"> </w:t>
      </w:r>
      <w:r w:rsidR="005A4806" w:rsidRPr="00727324">
        <w:rPr>
          <w:rFonts w:ascii="Bookman Old Style" w:hAnsi="Bookman Old Style" w:cs="Arial"/>
          <w:sz w:val="24"/>
          <w:szCs w:val="24"/>
          <w:lang w:val="id-ID"/>
        </w:rPr>
        <w:t>butir</w:t>
      </w:r>
      <w:r w:rsidR="00A954D0">
        <w:rPr>
          <w:rFonts w:ascii="Bookman Old Style" w:hAnsi="Bookman Old Style" w:cs="Arial"/>
          <w:sz w:val="24"/>
          <w:szCs w:val="24"/>
          <w:lang w:val="id-ID"/>
        </w:rPr>
        <w:t xml:space="preserve"> </w:t>
      </w:r>
      <w:r w:rsidR="005A4806" w:rsidRPr="00727324">
        <w:rPr>
          <w:rFonts w:ascii="Bookman Old Style" w:hAnsi="Bookman Old Style" w:cs="Arial"/>
          <w:sz w:val="24"/>
          <w:szCs w:val="24"/>
          <w:lang w:val="id-ID"/>
        </w:rPr>
        <w:t>3.4.1.1.2.f.9)</w:t>
      </w:r>
      <w:r w:rsidR="00A954D0">
        <w:rPr>
          <w:rFonts w:ascii="Bookman Old Style" w:hAnsi="Bookman Old Style" w:cs="Arial"/>
          <w:sz w:val="24"/>
          <w:szCs w:val="24"/>
          <w:lang w:val="id-ID"/>
        </w:rPr>
        <w:t xml:space="preserve"> </w:t>
      </w:r>
      <w:r w:rsidR="005A4806" w:rsidRPr="00727324">
        <w:rPr>
          <w:rFonts w:ascii="Bookman Old Style" w:hAnsi="Bookman Old Style" w:cs="Arial"/>
          <w:sz w:val="24"/>
          <w:szCs w:val="24"/>
          <w:lang w:val="id-ID"/>
        </w:rPr>
        <w:t>Lampiran</w:t>
      </w:r>
      <w:r w:rsidR="00A954D0">
        <w:rPr>
          <w:rFonts w:ascii="Bookman Old Style" w:hAnsi="Bookman Old Style" w:cs="Arial"/>
          <w:sz w:val="24"/>
          <w:szCs w:val="24"/>
          <w:lang w:val="id-ID"/>
        </w:rPr>
        <w:t xml:space="preserve"> </w:t>
      </w:r>
      <w:r w:rsidR="005A4806" w:rsidRPr="00727324">
        <w:rPr>
          <w:rFonts w:ascii="Bookman Old Style" w:hAnsi="Bookman Old Style" w:cs="Arial"/>
          <w:sz w:val="24"/>
          <w:szCs w:val="24"/>
          <w:lang w:val="id-ID"/>
        </w:rPr>
        <w:t>Peraturan</w:t>
      </w:r>
      <w:r w:rsidR="00A954D0">
        <w:rPr>
          <w:rFonts w:ascii="Bookman Old Style" w:hAnsi="Bookman Old Style" w:cs="Arial"/>
          <w:sz w:val="24"/>
          <w:szCs w:val="24"/>
          <w:lang w:val="id-ID"/>
        </w:rPr>
        <w:t xml:space="preserve"> </w:t>
      </w:r>
      <w:r w:rsidR="005A4806" w:rsidRPr="00727324">
        <w:rPr>
          <w:rFonts w:ascii="Bookman Old Style" w:hAnsi="Bookman Old Style" w:cs="Arial"/>
          <w:sz w:val="24"/>
          <w:szCs w:val="24"/>
          <w:lang w:val="id-ID"/>
        </w:rPr>
        <w:t>Menteri</w:t>
      </w:r>
      <w:r w:rsidR="00A954D0">
        <w:rPr>
          <w:rFonts w:ascii="Bookman Old Style" w:hAnsi="Bookman Old Style" w:cs="Arial"/>
          <w:sz w:val="24"/>
          <w:szCs w:val="24"/>
          <w:lang w:val="id-ID"/>
        </w:rPr>
        <w:t xml:space="preserve"> </w:t>
      </w:r>
      <w:r w:rsidR="005A4806" w:rsidRPr="00727324">
        <w:rPr>
          <w:rFonts w:ascii="Bookman Old Style" w:hAnsi="Bookman Old Style" w:cs="Arial"/>
          <w:sz w:val="24"/>
          <w:szCs w:val="24"/>
          <w:lang w:val="id-ID"/>
        </w:rPr>
        <w:t>Dalam</w:t>
      </w:r>
      <w:r w:rsidR="00A954D0">
        <w:rPr>
          <w:rFonts w:ascii="Bookman Old Style" w:hAnsi="Bookman Old Style" w:cs="Arial"/>
          <w:sz w:val="24"/>
          <w:szCs w:val="24"/>
          <w:lang w:val="id-ID"/>
        </w:rPr>
        <w:t xml:space="preserve"> </w:t>
      </w:r>
      <w:r w:rsidR="005A4806" w:rsidRPr="00727324">
        <w:rPr>
          <w:rFonts w:ascii="Bookman Old Style" w:hAnsi="Bookman Old Style" w:cs="Arial"/>
          <w:sz w:val="24"/>
          <w:szCs w:val="24"/>
          <w:lang w:val="id-ID"/>
        </w:rPr>
        <w:t>Negeri</w:t>
      </w:r>
      <w:r w:rsidR="00A954D0">
        <w:rPr>
          <w:rFonts w:ascii="Bookman Old Style" w:hAnsi="Bookman Old Style" w:cs="Arial"/>
          <w:sz w:val="24"/>
          <w:szCs w:val="24"/>
          <w:lang w:val="id-ID"/>
        </w:rPr>
        <w:t xml:space="preserve"> </w:t>
      </w:r>
      <w:r w:rsidR="005A4806" w:rsidRPr="00727324">
        <w:rPr>
          <w:rFonts w:ascii="Bookman Old Style" w:hAnsi="Bookman Old Style" w:cs="Arial"/>
          <w:sz w:val="24"/>
          <w:szCs w:val="24"/>
          <w:lang w:val="id-ID"/>
        </w:rPr>
        <w:t>Nomor</w:t>
      </w:r>
      <w:r w:rsidR="00A954D0">
        <w:rPr>
          <w:rFonts w:ascii="Bookman Old Style" w:hAnsi="Bookman Old Style" w:cs="Arial"/>
          <w:sz w:val="24"/>
          <w:szCs w:val="24"/>
          <w:lang w:val="id-ID"/>
        </w:rPr>
        <w:t xml:space="preserve"> </w:t>
      </w:r>
      <w:r w:rsidR="005A4806" w:rsidRPr="00727324">
        <w:rPr>
          <w:rFonts w:ascii="Bookman Old Style" w:hAnsi="Bookman Old Style" w:cs="Arial"/>
          <w:sz w:val="24"/>
          <w:szCs w:val="24"/>
          <w:lang w:val="id-ID"/>
        </w:rPr>
        <w:t>15</w:t>
      </w:r>
      <w:r w:rsidR="00A954D0">
        <w:rPr>
          <w:rFonts w:ascii="Bookman Old Style" w:hAnsi="Bookman Old Style" w:cs="Arial"/>
          <w:sz w:val="24"/>
          <w:szCs w:val="24"/>
          <w:lang w:val="id-ID"/>
        </w:rPr>
        <w:t xml:space="preserve"> </w:t>
      </w:r>
      <w:r w:rsidR="005A4806" w:rsidRPr="00727324">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005A4806" w:rsidRPr="00727324">
        <w:rPr>
          <w:rFonts w:ascii="Bookman Old Style" w:hAnsi="Bookman Old Style" w:cs="Arial"/>
          <w:sz w:val="24"/>
          <w:szCs w:val="24"/>
          <w:lang w:val="id-ID"/>
        </w:rPr>
        <w:t>2024</w:t>
      </w:r>
      <w:r w:rsidR="005A4806" w:rsidRPr="00727324">
        <w:rPr>
          <w:rFonts w:ascii="Bookman Old Style" w:hAnsi="Bookman Old Style" w:cs="Gill Sans Light (Arabid)"/>
          <w:bCs/>
          <w:sz w:val="24"/>
          <w:szCs w:val="24"/>
          <w:lang w:val="id-ID" w:eastAsia="id-ID"/>
        </w:rPr>
        <w:t>.</w:t>
      </w:r>
    </w:p>
    <w:p w14:paraId="2CDE30F7" w14:textId="5D4FB9BF" w:rsidR="005B5724" w:rsidRPr="00352ACE" w:rsidRDefault="005A4806" w:rsidP="00F639B5">
      <w:pPr>
        <w:pStyle w:val="ListParagraph"/>
        <w:spacing w:before="60" w:after="0" w:line="276" w:lineRule="auto"/>
        <w:ind w:left="2268"/>
        <w:contextualSpacing w:val="0"/>
        <w:jc w:val="both"/>
        <w:rPr>
          <w:rFonts w:ascii="Bookman Old Style" w:hAnsi="Bookman Old Style" w:cs="Gill Sans Light (Arabid)"/>
          <w:bCs/>
          <w:sz w:val="24"/>
          <w:szCs w:val="24"/>
          <w:lang w:eastAsia="id-ID"/>
        </w:rPr>
      </w:pPr>
      <w:r w:rsidRPr="00727324">
        <w:rPr>
          <w:rFonts w:ascii="Bookman Old Style" w:hAnsi="Bookman Old Style" w:cs="Gill Sans Light (Arabid)"/>
          <w:bCs/>
          <w:sz w:val="24"/>
          <w:szCs w:val="24"/>
          <w:lang w:val="id-ID" w:eastAsia="id-ID"/>
        </w:rPr>
        <w:t>Dari</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aspek</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teknis</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penganggaran,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penganggaran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t-IT" w:eastAsia="id-ID"/>
        </w:rPr>
        <w:t>Tambahan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Penghasilan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berdasarkan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Pertimbangan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Objektif</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Lainnya</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harus</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dialihkan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ke</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dalam</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rincian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objek</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belanja</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Tambahan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Penghasilan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Pegawai</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ASN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sebagaimana</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maksud</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Keputusan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Menteri</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Dalam</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Negeri</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Nomor</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900.1.15.5-3406</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Tahun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2024</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tentang</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Perubahan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Kedua</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Atas</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Keputusan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Menteri</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Dalam</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Negeri</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Nomor</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050-5889</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Tahun</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2021</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tentang</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Hasil</w:t>
      </w:r>
      <w:r w:rsidR="00A954D0">
        <w:rPr>
          <w:rFonts w:ascii="Bookman Old Style" w:hAnsi="Bookman Old Style" w:cs="Gill Sans Light (Arabid)"/>
          <w:bCs/>
          <w:sz w:val="24"/>
          <w:szCs w:val="24"/>
          <w:lang w:val="id-ID" w:eastAsia="id-ID"/>
        </w:rPr>
        <w:t xml:space="preserve"> </w:t>
      </w:r>
      <w:r w:rsidRPr="00727324">
        <w:rPr>
          <w:rFonts w:ascii="Bookman Old Style" w:hAnsi="Bookman Old Style" w:cs="Gill Sans Light (Arabid)"/>
          <w:bCs/>
          <w:sz w:val="24"/>
          <w:szCs w:val="24"/>
          <w:lang w:val="id-ID" w:eastAsia="id-ID"/>
        </w:rPr>
        <w:t>Verifikasi</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dan</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Validasi</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Pemutakhiran</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Klasifikasi,</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Kodefikasi</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dan</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Nomenklatur</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Perencanaan</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Pembangunan</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dan</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Keuangan</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Daerah</w:t>
      </w:r>
      <w:r w:rsidRPr="00352ACE">
        <w:rPr>
          <w:rFonts w:ascii="Bookman Old Style" w:hAnsi="Bookman Old Style" w:cs="Gill Sans Light (Arabid)"/>
          <w:bCs/>
          <w:sz w:val="24"/>
          <w:szCs w:val="24"/>
          <w:lang w:eastAsia="id-ID"/>
        </w:rPr>
        <w:t>.</w:t>
      </w:r>
    </w:p>
    <w:p w14:paraId="7E824E51" w14:textId="1DCD7A34" w:rsidR="001315E9" w:rsidRPr="00352ACE" w:rsidRDefault="001315E9" w:rsidP="00F639B5">
      <w:pPr>
        <w:pStyle w:val="ListParagraph"/>
        <w:numPr>
          <w:ilvl w:val="0"/>
          <w:numId w:val="13"/>
        </w:numPr>
        <w:spacing w:before="60" w:after="0" w:line="276" w:lineRule="auto"/>
        <w:ind w:left="2268" w:hanging="567"/>
        <w:contextualSpacing w:val="0"/>
        <w:jc w:val="both"/>
        <w:rPr>
          <w:rFonts w:ascii="Bookman Old Style" w:hAnsi="Bookman Old Style" w:cs="Gill Sans Light (Arabid)"/>
          <w:bCs/>
          <w:sz w:val="24"/>
          <w:szCs w:val="24"/>
          <w:lang w:val="id-ID" w:eastAsia="id-ID"/>
        </w:rPr>
      </w:pPr>
      <w:r w:rsidRPr="003255BC">
        <w:rPr>
          <w:rFonts w:ascii="Bookman Old Style" w:hAnsi="Bookman Old Style" w:cs="Gill Sans Light (Arabid)"/>
          <w:bCs/>
          <w:sz w:val="24"/>
          <w:szCs w:val="24"/>
          <w:lang w:val="sv-FI" w:eastAsia="id-ID"/>
        </w:rPr>
        <w:t>Insentif</w:t>
      </w:r>
      <w:r w:rsidR="00A954D0" w:rsidRPr="003255BC">
        <w:rPr>
          <w:rFonts w:ascii="Bookman Old Style" w:hAnsi="Bookman Old Style" w:cs="Gill Sans Light (Arabid)"/>
          <w:bCs/>
          <w:sz w:val="24"/>
          <w:szCs w:val="24"/>
          <w:lang w:val="sv-FI" w:eastAsia="id-ID"/>
        </w:rPr>
        <w:t xml:space="preserve"> </w:t>
      </w:r>
      <w:r w:rsidRPr="003255BC">
        <w:rPr>
          <w:rFonts w:ascii="Bookman Old Style" w:hAnsi="Bookman Old Style" w:cs="Gill Sans Light (Arabid)"/>
          <w:bCs/>
          <w:sz w:val="24"/>
          <w:szCs w:val="24"/>
          <w:lang w:val="sv-FI" w:eastAsia="id-ID"/>
        </w:rPr>
        <w:t>atas</w:t>
      </w:r>
      <w:r w:rsidR="00A954D0" w:rsidRPr="003255BC">
        <w:rPr>
          <w:rFonts w:ascii="Bookman Old Style" w:hAnsi="Bookman Old Style" w:cs="Gill Sans Light (Arabid)"/>
          <w:bCs/>
          <w:sz w:val="24"/>
          <w:szCs w:val="24"/>
          <w:lang w:val="sv-FI" w:eastAsia="id-ID"/>
        </w:rPr>
        <w:t xml:space="preserve"> </w:t>
      </w:r>
      <w:r w:rsidRPr="003255BC">
        <w:rPr>
          <w:rFonts w:ascii="Bookman Old Style" w:hAnsi="Bookman Old Style" w:cs="Gill Sans Light (Arabid)"/>
          <w:bCs/>
          <w:sz w:val="24"/>
          <w:szCs w:val="24"/>
          <w:lang w:val="sv-FI" w:eastAsia="id-ID"/>
        </w:rPr>
        <w:t>Pemungutan</w:t>
      </w:r>
      <w:r w:rsidR="00A954D0" w:rsidRPr="003255BC">
        <w:rPr>
          <w:rFonts w:ascii="Bookman Old Style" w:hAnsi="Bookman Old Style" w:cs="Gill Sans Light (Arabid)"/>
          <w:bCs/>
          <w:sz w:val="24"/>
          <w:szCs w:val="24"/>
          <w:lang w:val="sv-FI" w:eastAsia="id-ID"/>
        </w:rPr>
        <w:t xml:space="preserve"> </w:t>
      </w:r>
      <w:r w:rsidRPr="003255BC">
        <w:rPr>
          <w:rFonts w:ascii="Bookman Old Style" w:hAnsi="Bookman Old Style" w:cs="Gill Sans Light (Arabid)"/>
          <w:bCs/>
          <w:sz w:val="24"/>
          <w:szCs w:val="24"/>
          <w:lang w:val="sv-FI" w:eastAsia="id-ID"/>
        </w:rPr>
        <w:t>Pajak</w:t>
      </w:r>
      <w:r w:rsidR="00A954D0" w:rsidRPr="003255BC">
        <w:rPr>
          <w:rFonts w:ascii="Bookman Old Style" w:hAnsi="Bookman Old Style" w:cs="Gill Sans Light (Arabid)"/>
          <w:bCs/>
          <w:sz w:val="24"/>
          <w:szCs w:val="24"/>
          <w:lang w:val="sv-FI" w:eastAsia="id-ID"/>
        </w:rPr>
        <w:t xml:space="preserve"> </w:t>
      </w:r>
      <w:r w:rsidRPr="003255BC">
        <w:rPr>
          <w:rFonts w:ascii="Bookman Old Style" w:hAnsi="Bookman Old Style" w:cs="Gill Sans Light (Arabid)"/>
          <w:bCs/>
          <w:sz w:val="24"/>
          <w:szCs w:val="24"/>
          <w:lang w:val="sv-FI" w:eastAsia="id-ID"/>
        </w:rPr>
        <w:t>Daerah</w:t>
      </w:r>
      <w:r w:rsidR="00A954D0" w:rsidRPr="003255BC">
        <w:rPr>
          <w:rFonts w:ascii="Bookman Old Style" w:hAnsi="Bookman Old Style" w:cs="Gill Sans Light (Arabid)"/>
          <w:bCs/>
          <w:sz w:val="24"/>
          <w:szCs w:val="24"/>
          <w:lang w:val="sv-FI" w:eastAsia="id-ID"/>
        </w:rPr>
        <w:t xml:space="preserve"> </w:t>
      </w:r>
      <w:r w:rsidRPr="003255BC">
        <w:rPr>
          <w:rFonts w:ascii="Bookman Old Style" w:hAnsi="Bookman Old Style" w:cs="Gill Sans Light (Arabid)"/>
          <w:bCs/>
          <w:sz w:val="24"/>
          <w:szCs w:val="24"/>
          <w:lang w:val="sv-FI" w:eastAsia="id-ID"/>
        </w:rPr>
        <w:t>dan</w:t>
      </w:r>
      <w:r w:rsidR="00A954D0" w:rsidRPr="003255BC">
        <w:rPr>
          <w:rFonts w:ascii="Bookman Old Style" w:hAnsi="Bookman Old Style" w:cs="Gill Sans Light (Arabid)"/>
          <w:bCs/>
          <w:sz w:val="24"/>
          <w:szCs w:val="24"/>
          <w:lang w:val="sv-FI" w:eastAsia="id-ID"/>
        </w:rPr>
        <w:t xml:space="preserve"> </w:t>
      </w:r>
      <w:r w:rsidRPr="003255BC">
        <w:rPr>
          <w:rFonts w:ascii="Bookman Old Style" w:hAnsi="Bookman Old Style" w:cs="Gill Sans Light (Arabid)"/>
          <w:bCs/>
          <w:sz w:val="24"/>
          <w:szCs w:val="24"/>
          <w:lang w:val="sv-FI" w:eastAsia="id-ID"/>
        </w:rPr>
        <w:t>Retribusi</w:t>
      </w:r>
      <w:r w:rsidRPr="003255BC">
        <w:rPr>
          <w:rFonts w:ascii="Bookman Old Style" w:hAnsi="Bookman Old Style" w:cs="Gill Sans Light (Arabid)"/>
          <w:bCs/>
          <w:sz w:val="24"/>
          <w:szCs w:val="24"/>
          <w:lang w:val="sv-FI" w:eastAsia="id-ID"/>
        </w:rPr>
        <w:br/>
        <w:t>Daerah</w:t>
      </w:r>
    </w:p>
    <w:p w14:paraId="584B5544" w14:textId="0BDF72B3" w:rsidR="001315E9" w:rsidRPr="00352ACE" w:rsidRDefault="001315E9" w:rsidP="00F639B5">
      <w:pPr>
        <w:pStyle w:val="ListParagraph"/>
        <w:spacing w:before="60" w:line="276" w:lineRule="auto"/>
        <w:ind w:left="2268"/>
        <w:jc w:val="both"/>
        <w:rPr>
          <w:rFonts w:ascii="Bookman Old Style" w:hAnsi="Bookman Old Style" w:cs="Gill Sans Light (Arabid)"/>
          <w:bCs/>
          <w:sz w:val="24"/>
          <w:szCs w:val="24"/>
          <w:lang w:val="id-ID" w:eastAsia="id-ID"/>
        </w:rPr>
      </w:pPr>
      <w:r w:rsidRPr="00352ACE">
        <w:rPr>
          <w:rFonts w:ascii="Bookman Old Style" w:hAnsi="Bookman Old Style" w:cs="Gill Sans Light (Arabid)"/>
          <w:bCs/>
          <w:sz w:val="24"/>
          <w:szCs w:val="24"/>
          <w:lang w:val="id-ID" w:eastAsia="id-ID"/>
        </w:rPr>
        <w:t>Penyediaan</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anggaran</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Insentif</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atas</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Pemungutan</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Pajak</w:t>
      </w:r>
      <w:r w:rsidR="0017642C" w:rsidRPr="0017642C">
        <w:rPr>
          <w:rFonts w:ascii="Bookman Old Style" w:hAnsi="Bookman Old Style" w:cs="Gill Sans Light (Arabid)"/>
          <w:bCs/>
          <w:sz w:val="24"/>
          <w:szCs w:val="24"/>
          <w:lang w:val="sv-FI" w:eastAsia="id-ID"/>
        </w:rPr>
        <w:t xml:space="preserve"> </w:t>
      </w:r>
      <w:r w:rsidRPr="00352ACE">
        <w:rPr>
          <w:rFonts w:ascii="Bookman Old Style" w:hAnsi="Bookman Old Style" w:cs="Gill Sans Light (Arabid)"/>
          <w:bCs/>
          <w:sz w:val="24"/>
          <w:szCs w:val="24"/>
          <w:lang w:val="id-ID" w:eastAsia="id-ID"/>
        </w:rPr>
        <w:t>Daerah</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dan</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Retribusi</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Daerah,</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yang</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diuraikan</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pada:</w:t>
      </w:r>
    </w:p>
    <w:p w14:paraId="5113687C" w14:textId="66751085" w:rsidR="001315E9" w:rsidRPr="00352ACE" w:rsidRDefault="001315E9" w:rsidP="00F639B5">
      <w:pPr>
        <w:pStyle w:val="ListParagraph"/>
        <w:numPr>
          <w:ilvl w:val="0"/>
          <w:numId w:val="255"/>
        </w:numPr>
        <w:spacing w:before="60" w:line="276" w:lineRule="auto"/>
        <w:ind w:left="2694" w:hanging="425"/>
        <w:jc w:val="both"/>
        <w:rPr>
          <w:rFonts w:ascii="Bookman Old Style" w:hAnsi="Bookman Old Style" w:cs="Gill Sans Light (Arabid)"/>
          <w:bCs/>
          <w:sz w:val="24"/>
          <w:szCs w:val="24"/>
          <w:lang w:val="id-ID" w:eastAsia="id-ID"/>
        </w:rPr>
      </w:pPr>
      <w:r w:rsidRPr="00352ACE">
        <w:rPr>
          <w:rFonts w:ascii="Bookman Old Style" w:hAnsi="Bookman Old Style" w:cs="Gill Sans Light (Arabid)"/>
          <w:bCs/>
          <w:sz w:val="24"/>
          <w:szCs w:val="24"/>
          <w:lang w:val="id-ID" w:eastAsia="id-ID"/>
        </w:rPr>
        <w:t>Insentif</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atas</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Pemungutan</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Pajak</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Daerah</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Rp66.913.829.016,00</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atau</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2,48%</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dari</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target</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Pajak</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lastRenderedPageBreak/>
        <w:t>Daerah</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Rp</w:t>
      </w:r>
      <w:r w:rsidR="003630B4" w:rsidRPr="00352ACE">
        <w:rPr>
          <w:rFonts w:ascii="Bookman Old Style" w:hAnsi="Bookman Old Style" w:cs="Gill Sans Light (Arabid)"/>
          <w:bCs/>
          <w:sz w:val="24"/>
          <w:szCs w:val="24"/>
          <w:lang w:val="id-ID" w:eastAsia="id-ID"/>
        </w:rPr>
        <w:t>2.699.738.217.010,00</w:t>
      </w:r>
      <w:r w:rsidRPr="00352ACE">
        <w:rPr>
          <w:rFonts w:ascii="Bookman Old Style" w:hAnsi="Bookman Old Style" w:cs="Gill Sans Light (Arabid)"/>
          <w:bCs/>
          <w:sz w:val="24"/>
          <w:szCs w:val="24"/>
          <w:lang w:val="id-ID" w:eastAsia="id-ID"/>
        </w:rPr>
        <w:t>,</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yang</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diuraikan</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ke</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dalam:</w:t>
      </w:r>
    </w:p>
    <w:p w14:paraId="37678F21" w14:textId="53199D26" w:rsidR="003630B4" w:rsidRPr="00352ACE" w:rsidRDefault="001315E9" w:rsidP="009E2C94">
      <w:pPr>
        <w:pStyle w:val="ListParagraph"/>
        <w:numPr>
          <w:ilvl w:val="0"/>
          <w:numId w:val="256"/>
        </w:numPr>
        <w:spacing w:before="60" w:line="276" w:lineRule="auto"/>
        <w:ind w:left="3261" w:hanging="284"/>
        <w:jc w:val="both"/>
        <w:rPr>
          <w:rFonts w:ascii="Bookman Old Style" w:hAnsi="Bookman Old Style" w:cs="Gill Sans Light (Arabid)"/>
          <w:bCs/>
          <w:sz w:val="24"/>
          <w:szCs w:val="24"/>
          <w:lang w:val="id-ID" w:eastAsia="id-ID"/>
        </w:rPr>
      </w:pPr>
      <w:r w:rsidRPr="00352ACE">
        <w:rPr>
          <w:rFonts w:ascii="Bookman Old Style" w:hAnsi="Bookman Old Style" w:cs="Gill Sans Light (Arabid)"/>
          <w:bCs/>
          <w:sz w:val="24"/>
          <w:szCs w:val="24"/>
          <w:lang w:val="id-ID" w:eastAsia="id-ID"/>
        </w:rPr>
        <w:t>Belanja</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Insentif</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bagi</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ASN</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atas</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Pemungutan</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Pajak</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Daerah</w:t>
      </w:r>
      <w:r w:rsidR="00A954D0">
        <w:rPr>
          <w:rFonts w:ascii="Bookman Old Style" w:hAnsi="Bookman Old Style" w:cs="Gill Sans Light (Arabid)"/>
          <w:bCs/>
          <w:sz w:val="24"/>
          <w:szCs w:val="24"/>
          <w:lang w:val="id-ID" w:eastAsia="id-ID"/>
        </w:rPr>
        <w:t xml:space="preserve"> </w:t>
      </w:r>
      <w:r w:rsidR="00352ACE">
        <w:rPr>
          <w:rFonts w:ascii="Bookman Old Style" w:hAnsi="Bookman Old Style" w:cs="Gill Sans Light (Arabid)"/>
          <w:bCs/>
          <w:sz w:val="24"/>
          <w:szCs w:val="24"/>
          <w:lang w:val="id-ID" w:eastAsia="id-ID"/>
        </w:rPr>
        <w:t>Rp</w:t>
      </w:r>
      <w:r w:rsidR="006033D1" w:rsidRPr="00352ACE">
        <w:rPr>
          <w:rFonts w:ascii="Bookman Old Style" w:hAnsi="Bookman Old Style" w:cs="Gill Sans Light (Arabid)"/>
          <w:bCs/>
          <w:sz w:val="24"/>
          <w:szCs w:val="24"/>
          <w:lang w:val="id-ID" w:eastAsia="id-ID"/>
        </w:rPr>
        <w:t>65.902.012.056,00</w:t>
      </w:r>
      <w:r w:rsidRPr="00352ACE">
        <w:rPr>
          <w:rFonts w:ascii="Bookman Old Style" w:hAnsi="Bookman Old Style" w:cs="Gill Sans Light (Arabid)"/>
          <w:bCs/>
          <w:sz w:val="24"/>
          <w:szCs w:val="24"/>
          <w:lang w:val="id-ID" w:eastAsia="id-ID"/>
        </w:rPr>
        <w:t>;</w:t>
      </w:r>
    </w:p>
    <w:p w14:paraId="3288F8DF" w14:textId="37DAC23E" w:rsidR="003630B4" w:rsidRPr="00352ACE" w:rsidRDefault="001315E9" w:rsidP="009E2C94">
      <w:pPr>
        <w:pStyle w:val="ListParagraph"/>
        <w:numPr>
          <w:ilvl w:val="0"/>
          <w:numId w:val="256"/>
        </w:numPr>
        <w:spacing w:before="60" w:line="276" w:lineRule="auto"/>
        <w:ind w:left="3261" w:hanging="284"/>
        <w:jc w:val="both"/>
        <w:rPr>
          <w:rFonts w:ascii="Bookman Old Style" w:hAnsi="Bookman Old Style" w:cs="Gill Sans Light (Arabid)"/>
          <w:bCs/>
          <w:sz w:val="24"/>
          <w:szCs w:val="24"/>
          <w:lang w:val="id-ID" w:eastAsia="id-ID"/>
        </w:rPr>
      </w:pPr>
      <w:r w:rsidRPr="00352ACE">
        <w:rPr>
          <w:rFonts w:ascii="Bookman Old Style" w:hAnsi="Bookman Old Style" w:cs="Gill Sans Light (Arabid)"/>
          <w:bCs/>
          <w:sz w:val="24"/>
          <w:szCs w:val="24"/>
          <w:lang w:val="id-ID" w:eastAsia="id-ID"/>
        </w:rPr>
        <w:t>Belanja</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Insentif</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bagi</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Pegawai</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Non</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ASN</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atas</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Pemungutan</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Pajak</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Daerah</w:t>
      </w:r>
      <w:r w:rsidR="00A954D0">
        <w:rPr>
          <w:rFonts w:ascii="Bookman Old Style" w:hAnsi="Bookman Old Style" w:cs="Gill Sans Light (Arabid)"/>
          <w:bCs/>
          <w:sz w:val="24"/>
          <w:szCs w:val="24"/>
          <w:lang w:val="id-ID" w:eastAsia="id-ID"/>
        </w:rPr>
        <w:t xml:space="preserve"> </w:t>
      </w:r>
      <w:r w:rsidR="006033D1" w:rsidRPr="00352ACE">
        <w:rPr>
          <w:rFonts w:ascii="Bookman Old Style" w:hAnsi="Bookman Old Style" w:cs="Gill Sans Light (Arabid)"/>
          <w:bCs/>
          <w:sz w:val="24"/>
          <w:szCs w:val="24"/>
          <w:lang w:val="id-ID" w:eastAsia="id-ID"/>
        </w:rPr>
        <w:t>tidak</w:t>
      </w:r>
      <w:r w:rsidR="00A954D0">
        <w:rPr>
          <w:rFonts w:ascii="Bookman Old Style" w:hAnsi="Bookman Old Style" w:cs="Gill Sans Light (Arabid)"/>
          <w:bCs/>
          <w:sz w:val="24"/>
          <w:szCs w:val="24"/>
          <w:lang w:val="id-ID" w:eastAsia="id-ID"/>
        </w:rPr>
        <w:t xml:space="preserve"> </w:t>
      </w:r>
      <w:r w:rsidR="006033D1" w:rsidRPr="00352ACE">
        <w:rPr>
          <w:rFonts w:ascii="Bookman Old Style" w:hAnsi="Bookman Old Style" w:cs="Gill Sans Light (Arabid)"/>
          <w:bCs/>
          <w:sz w:val="24"/>
          <w:szCs w:val="24"/>
          <w:lang w:val="id-ID" w:eastAsia="id-ID"/>
        </w:rPr>
        <w:t>dianggarkan</w:t>
      </w:r>
      <w:r w:rsidR="003630B4" w:rsidRPr="00352ACE">
        <w:rPr>
          <w:rFonts w:ascii="Bookman Old Style" w:hAnsi="Bookman Old Style" w:cs="Gill Sans Light (Arabid)"/>
          <w:bCs/>
          <w:sz w:val="24"/>
          <w:szCs w:val="24"/>
          <w:lang w:val="id-ID" w:eastAsia="id-ID"/>
        </w:rPr>
        <w:t>;</w:t>
      </w:r>
    </w:p>
    <w:p w14:paraId="5B7BE740" w14:textId="42BC6B38" w:rsidR="001315E9" w:rsidRPr="00352ACE" w:rsidRDefault="001315E9" w:rsidP="009E2C94">
      <w:pPr>
        <w:pStyle w:val="ListParagraph"/>
        <w:numPr>
          <w:ilvl w:val="0"/>
          <w:numId w:val="256"/>
        </w:numPr>
        <w:spacing w:before="60" w:line="276" w:lineRule="auto"/>
        <w:ind w:left="3261" w:hanging="284"/>
        <w:jc w:val="both"/>
        <w:rPr>
          <w:rFonts w:ascii="Bookman Old Style" w:hAnsi="Bookman Old Style" w:cs="Gill Sans Light (Arabid)"/>
          <w:bCs/>
          <w:sz w:val="24"/>
          <w:szCs w:val="24"/>
          <w:lang w:val="id-ID" w:eastAsia="id-ID"/>
        </w:rPr>
      </w:pPr>
      <w:r w:rsidRPr="00352ACE">
        <w:rPr>
          <w:rFonts w:ascii="Bookman Old Style" w:hAnsi="Bookman Old Style" w:cs="Gill Sans Light (Arabid)"/>
          <w:bCs/>
          <w:sz w:val="24"/>
          <w:szCs w:val="24"/>
          <w:lang w:val="id-ID" w:eastAsia="id-ID"/>
        </w:rPr>
        <w:t>Belanja</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Insentif</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KDH/WKDH</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atas</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Pemungutan</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Pajak</w:t>
      </w:r>
      <w:r w:rsidR="00A954D0">
        <w:rPr>
          <w:rFonts w:ascii="Bookman Old Style" w:hAnsi="Bookman Old Style" w:cs="Gill Sans Light (Arabid)"/>
          <w:bCs/>
          <w:sz w:val="24"/>
          <w:szCs w:val="24"/>
          <w:lang w:val="id-ID" w:eastAsia="id-ID"/>
        </w:rPr>
        <w:t xml:space="preserve"> </w:t>
      </w:r>
      <w:r w:rsidR="006033D1" w:rsidRPr="00352ACE">
        <w:rPr>
          <w:rFonts w:ascii="Bookman Old Style" w:hAnsi="Bookman Old Style" w:cs="Gill Sans Light (Arabid)"/>
          <w:bCs/>
          <w:sz w:val="24"/>
          <w:szCs w:val="24"/>
          <w:lang w:val="id-ID" w:eastAsia="id-ID"/>
        </w:rPr>
        <w:t>Daerah</w:t>
      </w:r>
      <w:r w:rsidR="00A954D0">
        <w:rPr>
          <w:rFonts w:ascii="Bookman Old Style" w:hAnsi="Bookman Old Style" w:cs="Gill Sans Light (Arabid)"/>
          <w:bCs/>
          <w:sz w:val="24"/>
          <w:szCs w:val="24"/>
          <w:lang w:val="id-ID" w:eastAsia="id-ID"/>
        </w:rPr>
        <w:t xml:space="preserve"> </w:t>
      </w:r>
      <w:r w:rsidR="006033D1" w:rsidRPr="00352ACE">
        <w:rPr>
          <w:rFonts w:ascii="Bookman Old Style" w:hAnsi="Bookman Old Style" w:cs="Gill Sans Light (Arabid)"/>
          <w:bCs/>
          <w:sz w:val="24"/>
          <w:szCs w:val="24"/>
          <w:lang w:val="id-ID" w:eastAsia="id-ID"/>
        </w:rPr>
        <w:t>Rp1.011.816.960,00</w:t>
      </w:r>
      <w:r w:rsidRPr="00352ACE">
        <w:rPr>
          <w:rFonts w:ascii="Bookman Old Style" w:hAnsi="Bookman Old Style" w:cs="Gill Sans Light (Arabid)"/>
          <w:bCs/>
          <w:sz w:val="24"/>
          <w:szCs w:val="24"/>
          <w:lang w:val="id-ID" w:eastAsia="id-ID"/>
        </w:rPr>
        <w:t>.</w:t>
      </w:r>
    </w:p>
    <w:p w14:paraId="1EB32D01" w14:textId="68F70C2A" w:rsidR="001315E9" w:rsidRPr="00352ACE" w:rsidRDefault="001315E9" w:rsidP="009E2C94">
      <w:pPr>
        <w:pStyle w:val="ListParagraph"/>
        <w:numPr>
          <w:ilvl w:val="0"/>
          <w:numId w:val="255"/>
        </w:numPr>
        <w:spacing w:before="60" w:line="276" w:lineRule="auto"/>
        <w:ind w:left="2694" w:hanging="425"/>
        <w:jc w:val="both"/>
        <w:rPr>
          <w:rFonts w:ascii="Bookman Old Style" w:hAnsi="Bookman Old Style" w:cs="Gill Sans Light (Arabid)"/>
          <w:bCs/>
          <w:sz w:val="24"/>
          <w:szCs w:val="24"/>
          <w:lang w:val="id-ID" w:eastAsia="id-ID"/>
        </w:rPr>
      </w:pPr>
      <w:r w:rsidRPr="00352ACE">
        <w:rPr>
          <w:rFonts w:ascii="Bookman Old Style" w:hAnsi="Bookman Old Style" w:cs="Gill Sans Light (Arabid)"/>
          <w:bCs/>
          <w:sz w:val="24"/>
          <w:szCs w:val="24"/>
          <w:lang w:val="id-ID" w:eastAsia="id-ID"/>
        </w:rPr>
        <w:t>Insentif</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atas</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Pemungutan</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Retribusi</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Daerah</w:t>
      </w:r>
      <w:r w:rsidR="00A954D0">
        <w:rPr>
          <w:rFonts w:ascii="Bookman Old Style" w:hAnsi="Bookman Old Style" w:cs="Gill Sans Light (Arabid)"/>
          <w:bCs/>
          <w:sz w:val="24"/>
          <w:szCs w:val="24"/>
          <w:lang w:val="id-ID" w:eastAsia="id-ID"/>
        </w:rPr>
        <w:t xml:space="preserve"> </w:t>
      </w:r>
      <w:r w:rsidR="004C540C" w:rsidRPr="00352ACE">
        <w:rPr>
          <w:rFonts w:ascii="Bookman Old Style" w:hAnsi="Bookman Old Style" w:cs="Gill Sans Light (Arabid)"/>
          <w:bCs/>
          <w:sz w:val="24"/>
          <w:szCs w:val="24"/>
          <w:lang w:val="id-ID" w:eastAsia="id-ID"/>
        </w:rPr>
        <w:t>Rp3.099.042.390,00</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atau</w:t>
      </w:r>
      <w:r w:rsidR="00A954D0">
        <w:rPr>
          <w:rFonts w:ascii="Bookman Old Style" w:hAnsi="Bookman Old Style" w:cs="Gill Sans Light (Arabid)"/>
          <w:bCs/>
          <w:sz w:val="24"/>
          <w:szCs w:val="24"/>
          <w:lang w:val="id-ID" w:eastAsia="id-ID"/>
        </w:rPr>
        <w:t xml:space="preserve"> </w:t>
      </w:r>
      <w:r w:rsidR="004C540C" w:rsidRPr="00352ACE">
        <w:rPr>
          <w:rFonts w:ascii="Bookman Old Style" w:hAnsi="Bookman Old Style" w:cs="Gill Sans Light (Arabid)"/>
          <w:bCs/>
          <w:sz w:val="24"/>
          <w:szCs w:val="24"/>
          <w:lang w:val="id-ID" w:eastAsia="id-ID"/>
        </w:rPr>
        <w:t>3,61</w:t>
      </w:r>
      <w:r w:rsidRPr="00352ACE">
        <w:rPr>
          <w:rFonts w:ascii="Bookman Old Style" w:hAnsi="Bookman Old Style" w:cs="Gill Sans Light (Arabid)"/>
          <w:bCs/>
          <w:sz w:val="24"/>
          <w:szCs w:val="24"/>
          <w:lang w:val="id-ID" w:eastAsia="id-ID"/>
        </w:rPr>
        <w:t>%</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dari</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target</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Retribusi</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Daerah</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diluar</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yang</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bersumber</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dari</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BLUD</w:t>
      </w:r>
      <w:r w:rsidR="00A954D0">
        <w:rPr>
          <w:rFonts w:ascii="Bookman Old Style" w:hAnsi="Bookman Old Style" w:cs="Gill Sans Light (Arabid)"/>
          <w:bCs/>
          <w:sz w:val="24"/>
          <w:szCs w:val="24"/>
          <w:lang w:val="id-ID" w:eastAsia="id-ID"/>
        </w:rPr>
        <w:t xml:space="preserve"> </w:t>
      </w:r>
      <w:r w:rsidR="004C540C" w:rsidRPr="00352ACE">
        <w:rPr>
          <w:rFonts w:ascii="Bookman Old Style" w:hAnsi="Bookman Old Style" w:cs="Gill Sans Light (Arabid)"/>
          <w:bCs/>
          <w:sz w:val="24"/>
          <w:szCs w:val="24"/>
          <w:lang w:val="id-ID" w:eastAsia="id-ID"/>
        </w:rPr>
        <w:t>Rp85.728.044.795,00</w:t>
      </w:r>
      <w:r w:rsidRPr="00352ACE">
        <w:rPr>
          <w:rFonts w:ascii="Bookman Old Style" w:hAnsi="Bookman Old Style" w:cs="Gill Sans Light (Arabid)"/>
          <w:bCs/>
          <w:sz w:val="24"/>
          <w:szCs w:val="24"/>
          <w:lang w:val="id-ID" w:eastAsia="id-ID"/>
        </w:rPr>
        <w:t>,</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yang</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diuraikan</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ke</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dalam:</w:t>
      </w:r>
    </w:p>
    <w:p w14:paraId="4C9EF7A8" w14:textId="46D33D10" w:rsidR="001315E9" w:rsidRPr="00352ACE" w:rsidRDefault="001315E9" w:rsidP="009E2C94">
      <w:pPr>
        <w:pStyle w:val="ListParagraph"/>
        <w:numPr>
          <w:ilvl w:val="0"/>
          <w:numId w:val="257"/>
        </w:numPr>
        <w:spacing w:before="60" w:line="276" w:lineRule="auto"/>
        <w:ind w:left="3261" w:hanging="284"/>
        <w:jc w:val="both"/>
        <w:rPr>
          <w:rFonts w:ascii="Bookman Old Style" w:hAnsi="Bookman Old Style" w:cs="Gill Sans Light (Arabid)"/>
          <w:bCs/>
          <w:sz w:val="24"/>
          <w:szCs w:val="24"/>
          <w:lang w:val="id-ID" w:eastAsia="id-ID"/>
        </w:rPr>
      </w:pPr>
      <w:r w:rsidRPr="00352ACE">
        <w:rPr>
          <w:rFonts w:ascii="Bookman Old Style" w:hAnsi="Bookman Old Style" w:cs="Gill Sans Light (Arabid)"/>
          <w:bCs/>
          <w:sz w:val="24"/>
          <w:szCs w:val="24"/>
          <w:lang w:val="id-ID" w:eastAsia="id-ID"/>
        </w:rPr>
        <w:t>Belanja</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Insentif</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bagi</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ASN</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atas</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Pemungutan</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Retribusi</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Daerah</w:t>
      </w:r>
      <w:r w:rsidR="00A954D0">
        <w:rPr>
          <w:rFonts w:ascii="Bookman Old Style" w:hAnsi="Bookman Old Style" w:cs="Gill Sans Light (Arabid)"/>
          <w:bCs/>
          <w:sz w:val="24"/>
          <w:szCs w:val="24"/>
          <w:lang w:val="id-ID" w:eastAsia="id-ID"/>
        </w:rPr>
        <w:t xml:space="preserve"> </w:t>
      </w:r>
      <w:r w:rsidR="006033D1" w:rsidRPr="00352ACE">
        <w:rPr>
          <w:rFonts w:ascii="Bookman Old Style" w:hAnsi="Bookman Old Style" w:cs="Gill Sans Light (Arabid)"/>
          <w:bCs/>
          <w:sz w:val="24"/>
          <w:szCs w:val="24"/>
          <w:lang w:val="id-ID" w:eastAsia="id-ID"/>
        </w:rPr>
        <w:t>Rp3.099.042.390,00</w:t>
      </w:r>
      <w:r w:rsidR="000974F9">
        <w:rPr>
          <w:rFonts w:ascii="Bookman Old Style" w:hAnsi="Bookman Old Style" w:cs="Gill Sans Light (Arabid)"/>
          <w:bCs/>
          <w:sz w:val="24"/>
          <w:szCs w:val="24"/>
          <w:lang w:val="id-ID" w:eastAsia="id-ID"/>
        </w:rPr>
        <w:t>;</w:t>
      </w:r>
    </w:p>
    <w:p w14:paraId="7FEB1427" w14:textId="0FE66156" w:rsidR="001315E9" w:rsidRPr="00352ACE" w:rsidRDefault="001315E9" w:rsidP="009E2C94">
      <w:pPr>
        <w:pStyle w:val="ListParagraph"/>
        <w:numPr>
          <w:ilvl w:val="0"/>
          <w:numId w:val="257"/>
        </w:numPr>
        <w:spacing w:before="60" w:line="276" w:lineRule="auto"/>
        <w:ind w:left="3261" w:hanging="284"/>
        <w:jc w:val="both"/>
        <w:rPr>
          <w:rFonts w:ascii="Bookman Old Style" w:hAnsi="Bookman Old Style" w:cs="Gill Sans Light (Arabid)"/>
          <w:bCs/>
          <w:sz w:val="24"/>
          <w:szCs w:val="24"/>
          <w:lang w:val="id-ID" w:eastAsia="id-ID"/>
        </w:rPr>
      </w:pPr>
      <w:r w:rsidRPr="00352ACE">
        <w:rPr>
          <w:rFonts w:ascii="Bookman Old Style" w:hAnsi="Bookman Old Style" w:cs="Gill Sans Light (Arabid)"/>
          <w:bCs/>
          <w:sz w:val="24"/>
          <w:szCs w:val="24"/>
          <w:lang w:val="id-ID" w:eastAsia="id-ID"/>
        </w:rPr>
        <w:t>Belanja</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Insentif</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bagi</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KDH/WKDH</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atas</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Pemungutan</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Retribusi</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Daerah</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tidak</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dianggarkan</w:t>
      </w:r>
      <w:r w:rsidR="000974F9">
        <w:rPr>
          <w:rFonts w:ascii="Bookman Old Style" w:hAnsi="Bookman Old Style" w:cs="Gill Sans Light (Arabid)"/>
          <w:bCs/>
          <w:sz w:val="24"/>
          <w:szCs w:val="24"/>
          <w:lang w:val="id-ID" w:eastAsia="id-ID"/>
        </w:rPr>
        <w:t>;</w:t>
      </w:r>
    </w:p>
    <w:p w14:paraId="27D1B830" w14:textId="17FC7466" w:rsidR="001315E9" w:rsidRPr="00352ACE" w:rsidRDefault="001315E9" w:rsidP="009E2C94">
      <w:pPr>
        <w:pStyle w:val="ListParagraph"/>
        <w:numPr>
          <w:ilvl w:val="0"/>
          <w:numId w:val="257"/>
        </w:numPr>
        <w:spacing w:before="60" w:line="276" w:lineRule="auto"/>
        <w:ind w:left="3261" w:hanging="284"/>
        <w:jc w:val="both"/>
        <w:rPr>
          <w:rFonts w:ascii="Bookman Old Style" w:hAnsi="Bookman Old Style" w:cs="Gill Sans Light (Arabid)"/>
          <w:bCs/>
          <w:sz w:val="24"/>
          <w:szCs w:val="24"/>
          <w:lang w:val="id-ID" w:eastAsia="id-ID"/>
        </w:rPr>
      </w:pPr>
      <w:r w:rsidRPr="00352ACE">
        <w:rPr>
          <w:rFonts w:ascii="Bookman Old Style" w:hAnsi="Bookman Old Style" w:cs="Gill Sans Light (Arabid)"/>
          <w:bCs/>
          <w:sz w:val="24"/>
          <w:szCs w:val="24"/>
          <w:lang w:val="id-ID" w:eastAsia="id-ID"/>
        </w:rPr>
        <w:t>Belanja</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Insentif</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bagi</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Pegawai</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Non</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ASN</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atas</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Pemungutan</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Retribusi</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Daerah</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tidak</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dianggarkan.</w:t>
      </w:r>
    </w:p>
    <w:p w14:paraId="15EA3BE8" w14:textId="432A4F81" w:rsidR="001315E9" w:rsidRPr="00770F22" w:rsidRDefault="001315E9" w:rsidP="008B21D9">
      <w:pPr>
        <w:pStyle w:val="ListParagraph"/>
        <w:spacing w:before="60" w:after="120" w:line="276" w:lineRule="auto"/>
        <w:ind w:left="2268"/>
        <w:contextualSpacing w:val="0"/>
        <w:jc w:val="both"/>
        <w:rPr>
          <w:rFonts w:ascii="Bookman Old Style" w:hAnsi="Bookman Old Style" w:cs="Gill Sans Light (Arabid)"/>
          <w:bCs/>
          <w:sz w:val="24"/>
          <w:szCs w:val="24"/>
          <w:highlight w:val="yellow"/>
          <w:lang w:val="id-ID" w:eastAsia="id-ID"/>
        </w:rPr>
      </w:pPr>
      <w:r w:rsidRPr="00352ACE">
        <w:rPr>
          <w:rFonts w:ascii="Bookman Old Style" w:hAnsi="Bookman Old Style" w:cs="Gill Sans Light (Arabid)"/>
          <w:bCs/>
          <w:sz w:val="24"/>
          <w:szCs w:val="24"/>
          <w:lang w:val="id-ID" w:eastAsia="id-ID"/>
        </w:rPr>
        <w:t>Penyediaan</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anggaran</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Insentif</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atas</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Pemungutan</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Pajak</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Daerah</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dan</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Retribusi</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Daerah</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telah</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sesuai</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ketentuan</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paling</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tinggi</w:t>
      </w:r>
      <w:r w:rsidR="00A954D0">
        <w:rPr>
          <w:rFonts w:ascii="Bookman Old Style" w:hAnsi="Bookman Old Style" w:cs="Gill Sans Light (Arabid)"/>
          <w:bCs/>
          <w:sz w:val="24"/>
          <w:szCs w:val="24"/>
          <w:lang w:val="id-ID" w:eastAsia="id-ID"/>
        </w:rPr>
        <w:t xml:space="preserve"> </w:t>
      </w:r>
      <w:r w:rsidRPr="00352ACE">
        <w:rPr>
          <w:rFonts w:ascii="Bookman Old Style" w:hAnsi="Bookman Old Style" w:cs="Gill Sans Light (Arabid)"/>
          <w:bCs/>
          <w:sz w:val="24"/>
          <w:szCs w:val="24"/>
          <w:lang w:val="id-ID" w:eastAsia="id-ID"/>
        </w:rPr>
        <w:t>5%</w:t>
      </w:r>
      <w:r w:rsidR="00A954D0">
        <w:rPr>
          <w:rFonts w:ascii="Bookman Old Style" w:hAnsi="Bookman Old Style" w:cs="Gill Sans Light (Arabid)"/>
          <w:bCs/>
          <w:sz w:val="24"/>
          <w:szCs w:val="24"/>
          <w:lang w:val="id-ID" w:eastAsia="id-ID"/>
        </w:rPr>
        <w:t xml:space="preserve"> </w:t>
      </w:r>
      <w:r w:rsidRPr="001315E9">
        <w:rPr>
          <w:rFonts w:ascii="Bookman Old Style" w:hAnsi="Bookman Old Style" w:cs="Gill Sans Light (Arabid)"/>
          <w:bCs/>
          <w:sz w:val="24"/>
          <w:szCs w:val="24"/>
          <w:lang w:val="id-ID" w:eastAsia="id-ID"/>
        </w:rPr>
        <w:t>dari</w:t>
      </w:r>
      <w:r w:rsidR="00A954D0">
        <w:rPr>
          <w:rFonts w:ascii="Bookman Old Style" w:hAnsi="Bookman Old Style" w:cs="Gill Sans Light (Arabid)"/>
          <w:bCs/>
          <w:sz w:val="24"/>
          <w:szCs w:val="24"/>
          <w:lang w:val="id-ID" w:eastAsia="id-ID"/>
        </w:rPr>
        <w:t xml:space="preserve"> </w:t>
      </w:r>
      <w:r w:rsidRPr="001315E9">
        <w:rPr>
          <w:rFonts w:ascii="Bookman Old Style" w:hAnsi="Bookman Old Style" w:cs="Gill Sans Light (Arabid)"/>
          <w:bCs/>
          <w:sz w:val="24"/>
          <w:szCs w:val="24"/>
          <w:lang w:val="id-ID" w:eastAsia="id-ID"/>
        </w:rPr>
        <w:t>rencana</w:t>
      </w:r>
      <w:r w:rsidR="00A954D0">
        <w:rPr>
          <w:rFonts w:ascii="Bookman Old Style" w:hAnsi="Bookman Old Style" w:cs="Gill Sans Light (Arabid)"/>
          <w:bCs/>
          <w:sz w:val="24"/>
          <w:szCs w:val="24"/>
          <w:lang w:val="id-ID" w:eastAsia="id-ID"/>
        </w:rPr>
        <w:t xml:space="preserve"> </w:t>
      </w:r>
      <w:r w:rsidRPr="001315E9">
        <w:rPr>
          <w:rFonts w:ascii="Bookman Old Style" w:hAnsi="Bookman Old Style" w:cs="Gill Sans Light (Arabid)"/>
          <w:bCs/>
          <w:sz w:val="24"/>
          <w:szCs w:val="24"/>
          <w:lang w:val="id-ID" w:eastAsia="id-ID"/>
        </w:rPr>
        <w:t>penerimaan</w:t>
      </w:r>
      <w:r w:rsidR="00A954D0">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Pajak</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daerah</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dan</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retribusi</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daerah</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dalam</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Rancangan</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Peraturan</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Daerah</w:t>
      </w:r>
      <w:r w:rsidR="00A954D0" w:rsidRPr="003255BC">
        <w:rPr>
          <w:rFonts w:ascii="Bookman Old Style" w:hAnsi="Bookman Old Style" w:cs="Gill Sans Light (Arabid)"/>
          <w:bCs/>
          <w:sz w:val="24"/>
          <w:szCs w:val="24"/>
          <w:lang w:val="id-ID" w:eastAsia="id-ID"/>
        </w:rPr>
        <w:t xml:space="preserve"> </w:t>
      </w:r>
      <w:r w:rsidR="0090591E" w:rsidRPr="003255BC">
        <w:rPr>
          <w:rFonts w:ascii="Bookman Old Style" w:hAnsi="Bookman Old Style" w:cs="Gill Sans Light (Arabid)"/>
          <w:bCs/>
          <w:sz w:val="24"/>
          <w:szCs w:val="24"/>
          <w:lang w:val="id-ID" w:eastAsia="id-ID"/>
        </w:rPr>
        <w:t>Kota</w:t>
      </w:r>
      <w:r w:rsidR="00A954D0" w:rsidRPr="003255BC">
        <w:rPr>
          <w:rFonts w:ascii="Bookman Old Style" w:hAnsi="Bookman Old Style" w:cs="Gill Sans Light (Arabid)"/>
          <w:bCs/>
          <w:sz w:val="24"/>
          <w:szCs w:val="24"/>
          <w:lang w:val="id-ID" w:eastAsia="id-ID"/>
        </w:rPr>
        <w:t xml:space="preserve"> </w:t>
      </w:r>
      <w:r w:rsidR="0090591E" w:rsidRPr="003255BC">
        <w:rPr>
          <w:rFonts w:ascii="Bookman Old Style" w:hAnsi="Bookman Old Style" w:cs="Gill Sans Light (Arabid)"/>
          <w:bCs/>
          <w:sz w:val="24"/>
          <w:szCs w:val="24"/>
          <w:lang w:val="id-ID" w:eastAsia="id-ID"/>
        </w:rPr>
        <w:t>Tangerang</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tentang</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APBD</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Tahun</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Anggaran</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2025</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sebagaimana</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ketentuan</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Pasal</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6</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ayat</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(1)</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huruf</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b</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Peraturan</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Pemerintah</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Nomor</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69</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Tahun</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2010</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tentang</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Tata</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Cara</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Pemberian</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dan</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Pemanfaatan</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Insentif</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Pemungutan</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Pajak</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Daerah</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dan</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Retribusi</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Daerah</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untuk</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insentif</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pajak</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daerah</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dan</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retribusi</w:t>
      </w:r>
      <w:r w:rsidR="00A954D0" w:rsidRPr="003255BC">
        <w:rPr>
          <w:rFonts w:ascii="Bookman Old Style" w:hAnsi="Bookman Old Style" w:cs="Gill Sans Light (Arabid)"/>
          <w:bCs/>
          <w:sz w:val="24"/>
          <w:szCs w:val="24"/>
          <w:lang w:val="id-ID" w:eastAsia="id-ID"/>
        </w:rPr>
        <w:t xml:space="preserve"> </w:t>
      </w:r>
      <w:r w:rsidRPr="003255BC">
        <w:rPr>
          <w:rFonts w:ascii="Bookman Old Style" w:hAnsi="Bookman Old Style" w:cs="Gill Sans Light (Arabid)"/>
          <w:bCs/>
          <w:sz w:val="24"/>
          <w:szCs w:val="24"/>
          <w:lang w:val="id-ID" w:eastAsia="id-ID"/>
        </w:rPr>
        <w:t>daerah.</w:t>
      </w:r>
    </w:p>
    <w:p w14:paraId="7C8BA9E1" w14:textId="4CD83EAA" w:rsidR="00800B4D" w:rsidRPr="00876722" w:rsidRDefault="0025275D" w:rsidP="009E2C94">
      <w:pPr>
        <w:pStyle w:val="ListParagraph"/>
        <w:numPr>
          <w:ilvl w:val="0"/>
          <w:numId w:val="15"/>
        </w:numPr>
        <w:spacing w:before="60" w:after="0" w:line="276" w:lineRule="auto"/>
        <w:ind w:left="1701" w:hanging="425"/>
        <w:contextualSpacing w:val="0"/>
        <w:jc w:val="both"/>
        <w:rPr>
          <w:rFonts w:ascii="Bookman Old Style" w:hAnsi="Bookman Old Style"/>
          <w:sz w:val="24"/>
          <w:szCs w:val="24"/>
        </w:rPr>
      </w:pPr>
      <w:r w:rsidRPr="00876722">
        <w:rPr>
          <w:rFonts w:ascii="Bookman Old Style" w:hAnsi="Bookman Old Style"/>
          <w:sz w:val="24"/>
          <w:szCs w:val="24"/>
        </w:rPr>
        <w:t>Belanja</w:t>
      </w:r>
      <w:r w:rsidR="00A954D0">
        <w:rPr>
          <w:rFonts w:ascii="Bookman Old Style" w:hAnsi="Bookman Old Style"/>
          <w:sz w:val="24"/>
          <w:szCs w:val="24"/>
        </w:rPr>
        <w:t xml:space="preserve"> </w:t>
      </w:r>
      <w:r w:rsidRPr="00876722">
        <w:rPr>
          <w:rFonts w:ascii="Bookman Old Style" w:hAnsi="Bookman Old Style"/>
          <w:sz w:val="24"/>
          <w:szCs w:val="24"/>
        </w:rPr>
        <w:t>Barang</w:t>
      </w:r>
      <w:r w:rsidR="00A954D0">
        <w:rPr>
          <w:rFonts w:ascii="Bookman Old Style" w:hAnsi="Bookman Old Style"/>
          <w:sz w:val="24"/>
          <w:szCs w:val="24"/>
        </w:rPr>
        <w:t xml:space="preserve"> </w:t>
      </w:r>
      <w:r w:rsidR="00CF3BD3" w:rsidRPr="00876722">
        <w:rPr>
          <w:rFonts w:ascii="Bookman Old Style" w:hAnsi="Bookman Old Style"/>
          <w:sz w:val="24"/>
          <w:szCs w:val="24"/>
        </w:rPr>
        <w:t>dan</w:t>
      </w:r>
      <w:r w:rsidR="00A954D0">
        <w:rPr>
          <w:rFonts w:ascii="Bookman Old Style" w:hAnsi="Bookman Old Style"/>
          <w:sz w:val="24"/>
          <w:szCs w:val="24"/>
        </w:rPr>
        <w:t xml:space="preserve"> </w:t>
      </w:r>
      <w:r w:rsidRPr="00876722">
        <w:rPr>
          <w:rFonts w:ascii="Bookman Old Style" w:hAnsi="Bookman Old Style"/>
          <w:sz w:val="24"/>
          <w:szCs w:val="24"/>
        </w:rPr>
        <w:t>Jasa</w:t>
      </w:r>
    </w:p>
    <w:p w14:paraId="49168679" w14:textId="356C7797" w:rsidR="00924629" w:rsidRPr="00876722" w:rsidRDefault="00924629" w:rsidP="009E2C94">
      <w:pPr>
        <w:pStyle w:val="ListParagraph"/>
        <w:spacing w:before="60" w:after="0" w:line="276" w:lineRule="auto"/>
        <w:ind w:left="1701"/>
        <w:contextualSpacing w:val="0"/>
        <w:jc w:val="both"/>
        <w:rPr>
          <w:rFonts w:ascii="Bookman Old Style" w:hAnsi="Bookman Old Style"/>
          <w:sz w:val="24"/>
          <w:szCs w:val="24"/>
        </w:rPr>
      </w:pPr>
      <w:r w:rsidRPr="00876722">
        <w:rPr>
          <w:rFonts w:ascii="Bookman Old Style" w:hAnsi="Bookman Old Style"/>
          <w:sz w:val="24"/>
          <w:szCs w:val="24"/>
        </w:rPr>
        <w:t>Penyediaan</w:t>
      </w:r>
      <w:r w:rsidR="00A954D0">
        <w:rPr>
          <w:rFonts w:ascii="Bookman Old Style" w:hAnsi="Bookman Old Style"/>
          <w:sz w:val="24"/>
          <w:szCs w:val="24"/>
        </w:rPr>
        <w:t xml:space="preserve"> </w:t>
      </w:r>
      <w:r w:rsidRPr="00876722">
        <w:rPr>
          <w:rFonts w:ascii="Bookman Old Style" w:hAnsi="Bookman Old Style"/>
          <w:sz w:val="24"/>
          <w:szCs w:val="24"/>
        </w:rPr>
        <w:t>anggaran</w:t>
      </w:r>
      <w:r w:rsidR="00A954D0">
        <w:rPr>
          <w:rFonts w:ascii="Bookman Old Style" w:hAnsi="Bookman Old Style"/>
          <w:sz w:val="24"/>
          <w:szCs w:val="24"/>
        </w:rPr>
        <w:t xml:space="preserve"> </w:t>
      </w:r>
      <w:r w:rsidRPr="00876722">
        <w:rPr>
          <w:rFonts w:ascii="Bookman Old Style" w:hAnsi="Bookman Old Style"/>
          <w:sz w:val="24"/>
          <w:szCs w:val="24"/>
        </w:rPr>
        <w:t>Belanja</w:t>
      </w:r>
      <w:r w:rsidR="00A954D0">
        <w:rPr>
          <w:rFonts w:ascii="Bookman Old Style" w:hAnsi="Bookman Old Style"/>
          <w:sz w:val="24"/>
          <w:szCs w:val="24"/>
        </w:rPr>
        <w:t xml:space="preserve"> </w:t>
      </w:r>
      <w:r w:rsidRPr="00876722">
        <w:rPr>
          <w:rFonts w:ascii="Bookman Old Style" w:hAnsi="Bookman Old Style"/>
          <w:sz w:val="24"/>
          <w:szCs w:val="24"/>
        </w:rPr>
        <w:t>Barang</w:t>
      </w:r>
      <w:r w:rsidR="00A954D0">
        <w:rPr>
          <w:rFonts w:ascii="Bookman Old Style" w:hAnsi="Bookman Old Style"/>
          <w:sz w:val="24"/>
          <w:szCs w:val="24"/>
        </w:rPr>
        <w:t xml:space="preserve"> </w:t>
      </w:r>
      <w:r w:rsidRPr="00876722">
        <w:rPr>
          <w:rFonts w:ascii="Bookman Old Style" w:hAnsi="Bookman Old Style"/>
          <w:sz w:val="24"/>
          <w:szCs w:val="24"/>
        </w:rPr>
        <w:t>dan</w:t>
      </w:r>
      <w:r w:rsidR="00A954D0">
        <w:rPr>
          <w:rFonts w:ascii="Bookman Old Style" w:hAnsi="Bookman Old Style"/>
          <w:sz w:val="24"/>
          <w:szCs w:val="24"/>
        </w:rPr>
        <w:t xml:space="preserve"> </w:t>
      </w:r>
      <w:r w:rsidRPr="00876722">
        <w:rPr>
          <w:rFonts w:ascii="Bookman Old Style" w:hAnsi="Bookman Old Style"/>
          <w:sz w:val="24"/>
          <w:szCs w:val="24"/>
        </w:rPr>
        <w:t>Jasa</w:t>
      </w:r>
      <w:r w:rsidR="00A954D0">
        <w:rPr>
          <w:rFonts w:ascii="Bookman Old Style" w:hAnsi="Bookman Old Style"/>
          <w:sz w:val="24"/>
          <w:szCs w:val="24"/>
        </w:rPr>
        <w:t xml:space="preserve"> </w:t>
      </w:r>
      <w:r w:rsidR="005110AD" w:rsidRPr="00876722">
        <w:rPr>
          <w:rFonts w:ascii="Bookman Old Style" w:hAnsi="Bookman Old Style"/>
          <w:sz w:val="24"/>
          <w:szCs w:val="24"/>
        </w:rPr>
        <w:t>Rp2.312.050.578.361,00</w:t>
      </w:r>
      <w:r w:rsidR="00A954D0">
        <w:rPr>
          <w:rFonts w:ascii="Bookman Old Style" w:hAnsi="Bookman Old Style"/>
          <w:sz w:val="24"/>
          <w:szCs w:val="24"/>
        </w:rPr>
        <w:t xml:space="preserve"> </w:t>
      </w:r>
      <w:r w:rsidR="005110AD" w:rsidRPr="00876722">
        <w:rPr>
          <w:rFonts w:ascii="Bookman Old Style" w:hAnsi="Bookman Old Style"/>
          <w:sz w:val="24"/>
          <w:szCs w:val="24"/>
        </w:rPr>
        <w:t>atau</w:t>
      </w:r>
      <w:r w:rsidR="00A954D0">
        <w:rPr>
          <w:rFonts w:ascii="Bookman Old Style" w:hAnsi="Bookman Old Style"/>
          <w:sz w:val="24"/>
          <w:szCs w:val="24"/>
        </w:rPr>
        <w:t xml:space="preserve"> </w:t>
      </w:r>
      <w:r w:rsidR="005110AD" w:rsidRPr="00876722">
        <w:rPr>
          <w:rFonts w:ascii="Bookman Old Style" w:hAnsi="Bookman Old Style"/>
          <w:sz w:val="24"/>
          <w:szCs w:val="24"/>
        </w:rPr>
        <w:t>40,52%</w:t>
      </w:r>
      <w:r w:rsidR="00A954D0">
        <w:rPr>
          <w:rFonts w:ascii="Bookman Old Style" w:hAnsi="Bookman Old Style" w:cs="Tahoma,Bold"/>
          <w:bCs/>
          <w:sz w:val="24"/>
          <w:szCs w:val="24"/>
          <w:lang w:val="en-US" w:eastAsia="id-ID"/>
        </w:rPr>
        <w:t xml:space="preserve"> </w:t>
      </w:r>
      <w:r w:rsidRPr="00876722">
        <w:rPr>
          <w:rFonts w:ascii="Bookman Old Style" w:hAnsi="Bookman Old Style"/>
          <w:sz w:val="24"/>
          <w:szCs w:val="24"/>
        </w:rPr>
        <w:t>dari</w:t>
      </w:r>
      <w:r w:rsidR="00A954D0">
        <w:rPr>
          <w:rFonts w:ascii="Bookman Old Style" w:hAnsi="Bookman Old Style"/>
          <w:sz w:val="24"/>
          <w:szCs w:val="24"/>
        </w:rPr>
        <w:t xml:space="preserve"> </w:t>
      </w:r>
      <w:r w:rsidRPr="00876722">
        <w:rPr>
          <w:rFonts w:ascii="Bookman Old Style" w:hAnsi="Bookman Old Style"/>
          <w:sz w:val="24"/>
          <w:szCs w:val="24"/>
        </w:rPr>
        <w:t>total</w:t>
      </w:r>
      <w:r w:rsidR="00A954D0">
        <w:rPr>
          <w:rFonts w:ascii="Bookman Old Style" w:hAnsi="Bookman Old Style"/>
          <w:sz w:val="24"/>
          <w:szCs w:val="24"/>
        </w:rPr>
        <w:t xml:space="preserve"> </w:t>
      </w:r>
      <w:r w:rsidRPr="00876722">
        <w:rPr>
          <w:rFonts w:ascii="Bookman Old Style" w:hAnsi="Bookman Old Style"/>
          <w:sz w:val="24"/>
          <w:szCs w:val="24"/>
        </w:rPr>
        <w:t>belanja</w:t>
      </w:r>
      <w:r w:rsidR="00A954D0">
        <w:rPr>
          <w:rFonts w:ascii="Bookman Old Style" w:hAnsi="Bookman Old Style"/>
          <w:sz w:val="24"/>
          <w:szCs w:val="24"/>
        </w:rPr>
        <w:t xml:space="preserve"> </w:t>
      </w:r>
      <w:r w:rsidRPr="00876722">
        <w:rPr>
          <w:rFonts w:ascii="Bookman Old Style" w:hAnsi="Bookman Old Style"/>
          <w:sz w:val="24"/>
          <w:szCs w:val="24"/>
        </w:rPr>
        <w:t>daerah</w:t>
      </w:r>
      <w:r w:rsidR="00A954D0">
        <w:rPr>
          <w:rFonts w:ascii="Bookman Old Style" w:hAnsi="Bookman Old Style"/>
          <w:sz w:val="24"/>
          <w:szCs w:val="24"/>
        </w:rPr>
        <w:t xml:space="preserve"> </w:t>
      </w:r>
      <w:r w:rsidRPr="00876722">
        <w:rPr>
          <w:rFonts w:ascii="Bookman Old Style" w:hAnsi="Bookman Old Style"/>
          <w:sz w:val="24"/>
          <w:szCs w:val="24"/>
        </w:rPr>
        <w:t>dalam</w:t>
      </w:r>
      <w:r w:rsidR="00A954D0">
        <w:rPr>
          <w:rFonts w:ascii="Bookman Old Style" w:hAnsi="Bookman Old Style"/>
          <w:sz w:val="24"/>
          <w:szCs w:val="24"/>
        </w:rPr>
        <w:t xml:space="preserve"> </w:t>
      </w:r>
      <w:r w:rsidRPr="00876722">
        <w:rPr>
          <w:rFonts w:ascii="Bookman Old Style" w:hAnsi="Bookman Old Style"/>
          <w:sz w:val="24"/>
          <w:szCs w:val="24"/>
        </w:rPr>
        <w:t>Rancangan</w:t>
      </w:r>
      <w:r w:rsidR="00A954D0">
        <w:rPr>
          <w:rFonts w:ascii="Bookman Old Style" w:hAnsi="Bookman Old Style"/>
          <w:sz w:val="24"/>
          <w:szCs w:val="24"/>
        </w:rPr>
        <w:t xml:space="preserve"> </w:t>
      </w:r>
      <w:r w:rsidRPr="00876722">
        <w:rPr>
          <w:rFonts w:ascii="Bookman Old Style" w:hAnsi="Bookman Old Style"/>
          <w:sz w:val="24"/>
          <w:szCs w:val="24"/>
        </w:rPr>
        <w:t>Peraturan</w:t>
      </w:r>
      <w:r w:rsidR="00A954D0">
        <w:rPr>
          <w:rFonts w:ascii="Bookman Old Style" w:hAnsi="Bookman Old Style"/>
          <w:sz w:val="24"/>
          <w:szCs w:val="24"/>
        </w:rPr>
        <w:t xml:space="preserve"> </w:t>
      </w:r>
      <w:r w:rsidRPr="00876722">
        <w:rPr>
          <w:rFonts w:ascii="Bookman Old Style" w:hAnsi="Bookman Old Style"/>
          <w:sz w:val="24"/>
          <w:szCs w:val="24"/>
        </w:rPr>
        <w:t>Daerah</w:t>
      </w:r>
      <w:r w:rsidR="00A954D0">
        <w:rPr>
          <w:rFonts w:ascii="Bookman Old Style" w:hAnsi="Bookman Old Style"/>
          <w:sz w:val="24"/>
          <w:szCs w:val="24"/>
          <w:lang w:val="id-ID"/>
        </w:rPr>
        <w:t xml:space="preserve"> </w:t>
      </w:r>
      <w:r w:rsidR="00B055C5" w:rsidRPr="00876722">
        <w:rPr>
          <w:rFonts w:ascii="Bookman Old Style" w:hAnsi="Bookman Old Style"/>
          <w:sz w:val="24"/>
          <w:szCs w:val="24"/>
          <w:lang w:val="id-ID"/>
        </w:rPr>
        <w:t>Kota</w:t>
      </w:r>
      <w:r w:rsidR="00A954D0">
        <w:rPr>
          <w:rFonts w:ascii="Bookman Old Style" w:hAnsi="Bookman Old Style"/>
          <w:sz w:val="24"/>
          <w:szCs w:val="24"/>
          <w:lang w:val="id-ID"/>
        </w:rPr>
        <w:t xml:space="preserve"> </w:t>
      </w:r>
      <w:r w:rsidR="00770F22" w:rsidRPr="00876722">
        <w:rPr>
          <w:rFonts w:ascii="Bookman Old Style" w:hAnsi="Bookman Old Style"/>
          <w:sz w:val="24"/>
          <w:szCs w:val="24"/>
          <w:lang w:val="id-ID"/>
        </w:rPr>
        <w:t>Tangerang</w:t>
      </w:r>
      <w:r w:rsidR="00A954D0">
        <w:rPr>
          <w:rFonts w:ascii="Bookman Old Style" w:hAnsi="Bookman Old Style"/>
          <w:sz w:val="24"/>
          <w:szCs w:val="24"/>
          <w:lang w:val="id-ID"/>
        </w:rPr>
        <w:t xml:space="preserve"> </w:t>
      </w:r>
      <w:r w:rsidR="00BE6ED9" w:rsidRPr="00876722">
        <w:rPr>
          <w:rFonts w:ascii="Bookman Old Style" w:hAnsi="Bookman Old Style"/>
          <w:sz w:val="24"/>
          <w:szCs w:val="24"/>
          <w:lang w:val="id-ID"/>
        </w:rPr>
        <w:t>tentang</w:t>
      </w:r>
      <w:r w:rsidR="00A954D0">
        <w:rPr>
          <w:rFonts w:ascii="Bookman Old Style" w:hAnsi="Bookman Old Style"/>
          <w:sz w:val="24"/>
          <w:szCs w:val="24"/>
          <w:lang w:val="id-ID"/>
        </w:rPr>
        <w:t xml:space="preserve"> </w:t>
      </w:r>
      <w:r w:rsidR="00BE6ED9" w:rsidRPr="00876722">
        <w:rPr>
          <w:rFonts w:ascii="Bookman Old Style" w:hAnsi="Bookman Old Style"/>
          <w:sz w:val="24"/>
          <w:szCs w:val="24"/>
          <w:lang w:val="id-ID"/>
        </w:rPr>
        <w:t>APBD</w:t>
      </w:r>
      <w:r w:rsidR="00A954D0">
        <w:rPr>
          <w:rFonts w:ascii="Bookman Old Style" w:hAnsi="Bookman Old Style"/>
          <w:sz w:val="24"/>
          <w:szCs w:val="24"/>
        </w:rPr>
        <w:t xml:space="preserve"> </w:t>
      </w:r>
      <w:r w:rsidRPr="00876722">
        <w:rPr>
          <w:rFonts w:ascii="Bookman Old Style" w:hAnsi="Bookman Old Style"/>
          <w:sz w:val="24"/>
          <w:szCs w:val="24"/>
        </w:rPr>
        <w:t>Tahun</w:t>
      </w:r>
      <w:r w:rsidR="00A954D0">
        <w:rPr>
          <w:rFonts w:ascii="Bookman Old Style" w:hAnsi="Bookman Old Style"/>
          <w:sz w:val="24"/>
          <w:szCs w:val="24"/>
        </w:rPr>
        <w:t xml:space="preserve"> </w:t>
      </w:r>
      <w:r w:rsidRPr="00876722">
        <w:rPr>
          <w:rFonts w:ascii="Bookman Old Style" w:hAnsi="Bookman Old Style"/>
          <w:sz w:val="24"/>
          <w:szCs w:val="24"/>
        </w:rPr>
        <w:t>Anggaran</w:t>
      </w:r>
      <w:r w:rsidR="00A954D0">
        <w:rPr>
          <w:rFonts w:ascii="Bookman Old Style" w:hAnsi="Bookman Old Style"/>
          <w:sz w:val="24"/>
          <w:szCs w:val="24"/>
        </w:rPr>
        <w:t xml:space="preserve"> </w:t>
      </w:r>
      <w:r w:rsidRPr="00876722">
        <w:rPr>
          <w:rFonts w:ascii="Bookman Old Style" w:hAnsi="Bookman Old Style"/>
          <w:sz w:val="24"/>
          <w:szCs w:val="24"/>
        </w:rPr>
        <w:t>202</w:t>
      </w:r>
      <w:r w:rsidR="00B15BAC" w:rsidRPr="00876722">
        <w:rPr>
          <w:rFonts w:ascii="Bookman Old Style" w:hAnsi="Bookman Old Style"/>
          <w:sz w:val="24"/>
          <w:szCs w:val="24"/>
          <w:lang w:val="en-US"/>
        </w:rPr>
        <w:t>5</w:t>
      </w:r>
      <w:r w:rsidRPr="00876722">
        <w:rPr>
          <w:rFonts w:ascii="Bookman Old Style" w:hAnsi="Bookman Old Style"/>
          <w:sz w:val="24"/>
          <w:szCs w:val="24"/>
          <w:lang w:val="en-US"/>
        </w:rPr>
        <w:t>,</w:t>
      </w:r>
      <w:r w:rsidR="00A954D0">
        <w:rPr>
          <w:rFonts w:ascii="Bookman Old Style" w:hAnsi="Bookman Old Style"/>
          <w:sz w:val="24"/>
          <w:szCs w:val="24"/>
        </w:rPr>
        <w:t xml:space="preserve"> </w:t>
      </w:r>
      <w:r w:rsidR="00B15BAC" w:rsidRPr="00876722">
        <w:rPr>
          <w:rFonts w:ascii="Bookman Old Style" w:hAnsi="Bookman Old Style"/>
          <w:sz w:val="24"/>
          <w:szCs w:val="24"/>
          <w:lang w:val="id-ID"/>
        </w:rPr>
        <w:t>h</w:t>
      </w:r>
      <w:r w:rsidR="00B15BAC" w:rsidRPr="00876722">
        <w:rPr>
          <w:rFonts w:ascii="Bookman Old Style" w:hAnsi="Bookman Old Style"/>
          <w:sz w:val="24"/>
          <w:szCs w:val="24"/>
        </w:rPr>
        <w:t>arus</w:t>
      </w:r>
      <w:r w:rsidR="00A954D0">
        <w:rPr>
          <w:rFonts w:ascii="Bookman Old Style" w:hAnsi="Bookman Old Style"/>
          <w:sz w:val="24"/>
          <w:szCs w:val="24"/>
        </w:rPr>
        <w:t xml:space="preserve"> </w:t>
      </w:r>
      <w:r w:rsidR="00B15BAC" w:rsidRPr="00876722">
        <w:rPr>
          <w:rFonts w:ascii="Bookman Old Style" w:hAnsi="Bookman Old Style"/>
          <w:sz w:val="24"/>
          <w:szCs w:val="24"/>
        </w:rPr>
        <w:t>digunakan</w:t>
      </w:r>
      <w:r w:rsidR="00A954D0">
        <w:rPr>
          <w:rFonts w:ascii="Bookman Old Style" w:hAnsi="Bookman Old Style"/>
          <w:sz w:val="24"/>
          <w:szCs w:val="24"/>
        </w:rPr>
        <w:t xml:space="preserve"> </w:t>
      </w:r>
      <w:r w:rsidR="00B15BAC" w:rsidRPr="00876722">
        <w:rPr>
          <w:rFonts w:ascii="Bookman Old Style" w:hAnsi="Bookman Old Style"/>
          <w:sz w:val="24"/>
          <w:szCs w:val="24"/>
        </w:rPr>
        <w:t>untuk</w:t>
      </w:r>
      <w:r w:rsidR="00A954D0">
        <w:rPr>
          <w:rFonts w:ascii="Bookman Old Style" w:hAnsi="Bookman Old Style"/>
          <w:sz w:val="24"/>
          <w:szCs w:val="24"/>
        </w:rPr>
        <w:t xml:space="preserve"> </w:t>
      </w:r>
      <w:r w:rsidR="00B15BAC" w:rsidRPr="00876722">
        <w:rPr>
          <w:rFonts w:ascii="Bookman Old Style" w:hAnsi="Bookman Old Style"/>
          <w:sz w:val="24"/>
          <w:szCs w:val="24"/>
        </w:rPr>
        <w:t>pengadaan</w:t>
      </w:r>
      <w:r w:rsidR="00A954D0">
        <w:rPr>
          <w:rFonts w:ascii="Bookman Old Style" w:hAnsi="Bookman Old Style"/>
          <w:sz w:val="24"/>
          <w:szCs w:val="24"/>
        </w:rPr>
        <w:t xml:space="preserve"> </w:t>
      </w:r>
      <w:r w:rsidR="00B15BAC" w:rsidRPr="00876722">
        <w:rPr>
          <w:rFonts w:ascii="Bookman Old Style" w:hAnsi="Bookman Old Style"/>
          <w:sz w:val="24"/>
          <w:szCs w:val="24"/>
        </w:rPr>
        <w:t>barang/jasa</w:t>
      </w:r>
      <w:r w:rsidR="00A954D0">
        <w:rPr>
          <w:rFonts w:ascii="Bookman Old Style" w:hAnsi="Bookman Old Style"/>
          <w:sz w:val="24"/>
          <w:szCs w:val="24"/>
        </w:rPr>
        <w:t xml:space="preserve"> </w:t>
      </w:r>
      <w:r w:rsidR="00B15BAC" w:rsidRPr="00876722">
        <w:rPr>
          <w:rFonts w:ascii="Bookman Old Style" w:hAnsi="Bookman Old Style"/>
          <w:sz w:val="24"/>
          <w:szCs w:val="24"/>
        </w:rPr>
        <w:t>yang</w:t>
      </w:r>
      <w:r w:rsidR="00A954D0">
        <w:rPr>
          <w:rFonts w:ascii="Bookman Old Style" w:hAnsi="Bookman Old Style"/>
          <w:sz w:val="24"/>
          <w:szCs w:val="24"/>
        </w:rPr>
        <w:t xml:space="preserve"> </w:t>
      </w:r>
      <w:r w:rsidR="00B15BAC" w:rsidRPr="00876722">
        <w:rPr>
          <w:rFonts w:ascii="Bookman Old Style" w:hAnsi="Bookman Old Style"/>
          <w:sz w:val="24"/>
          <w:szCs w:val="24"/>
        </w:rPr>
        <w:t>nilai</w:t>
      </w:r>
      <w:r w:rsidR="00A954D0">
        <w:rPr>
          <w:rFonts w:ascii="Bookman Old Style" w:hAnsi="Bookman Old Style"/>
          <w:sz w:val="24"/>
          <w:szCs w:val="24"/>
        </w:rPr>
        <w:t xml:space="preserve"> </w:t>
      </w:r>
      <w:r w:rsidR="00B15BAC" w:rsidRPr="00876722">
        <w:rPr>
          <w:rFonts w:ascii="Bookman Old Style" w:hAnsi="Bookman Old Style"/>
          <w:sz w:val="24"/>
          <w:szCs w:val="24"/>
        </w:rPr>
        <w:t>manfaatnya</w:t>
      </w:r>
      <w:r w:rsidR="00A954D0">
        <w:rPr>
          <w:rFonts w:ascii="Bookman Old Style" w:hAnsi="Bookman Old Style"/>
          <w:sz w:val="24"/>
          <w:szCs w:val="24"/>
        </w:rPr>
        <w:t xml:space="preserve"> </w:t>
      </w:r>
      <w:r w:rsidR="00B15BAC" w:rsidRPr="00876722">
        <w:rPr>
          <w:rFonts w:ascii="Bookman Old Style" w:hAnsi="Bookman Old Style"/>
          <w:sz w:val="24"/>
          <w:szCs w:val="24"/>
        </w:rPr>
        <w:t>kurang</w:t>
      </w:r>
      <w:r w:rsidR="00A954D0">
        <w:rPr>
          <w:rFonts w:ascii="Bookman Old Style" w:hAnsi="Bookman Old Style"/>
          <w:sz w:val="24"/>
          <w:szCs w:val="24"/>
        </w:rPr>
        <w:t xml:space="preserve"> </w:t>
      </w:r>
      <w:r w:rsidR="00B15BAC" w:rsidRPr="00876722">
        <w:rPr>
          <w:rFonts w:ascii="Bookman Old Style" w:hAnsi="Bookman Old Style"/>
          <w:sz w:val="24"/>
          <w:szCs w:val="24"/>
        </w:rPr>
        <w:t>dari</w:t>
      </w:r>
      <w:r w:rsidR="00A954D0">
        <w:rPr>
          <w:rFonts w:ascii="Bookman Old Style" w:hAnsi="Bookman Old Style"/>
          <w:sz w:val="24"/>
          <w:szCs w:val="24"/>
          <w:lang w:val="id-ID"/>
        </w:rPr>
        <w:t xml:space="preserve"> </w:t>
      </w:r>
      <w:r w:rsidR="00B15BAC" w:rsidRPr="00876722">
        <w:rPr>
          <w:rFonts w:ascii="Bookman Old Style" w:hAnsi="Bookman Old Style"/>
          <w:sz w:val="24"/>
          <w:szCs w:val="24"/>
        </w:rPr>
        <w:t>12</w:t>
      </w:r>
      <w:r w:rsidR="00A954D0">
        <w:rPr>
          <w:rFonts w:ascii="Bookman Old Style" w:hAnsi="Bookman Old Style"/>
          <w:sz w:val="24"/>
          <w:szCs w:val="24"/>
        </w:rPr>
        <w:t xml:space="preserve"> </w:t>
      </w:r>
      <w:r w:rsidR="00B15BAC" w:rsidRPr="00876722">
        <w:rPr>
          <w:rFonts w:ascii="Bookman Old Style" w:hAnsi="Bookman Old Style"/>
          <w:sz w:val="24"/>
          <w:szCs w:val="24"/>
        </w:rPr>
        <w:t>(dua</w:t>
      </w:r>
      <w:r w:rsidR="00A954D0">
        <w:rPr>
          <w:rFonts w:ascii="Bookman Old Style" w:hAnsi="Bookman Old Style"/>
          <w:sz w:val="24"/>
          <w:szCs w:val="24"/>
        </w:rPr>
        <w:t xml:space="preserve"> </w:t>
      </w:r>
      <w:r w:rsidR="00B15BAC" w:rsidRPr="00876722">
        <w:rPr>
          <w:rFonts w:ascii="Bookman Old Style" w:hAnsi="Bookman Old Style"/>
          <w:sz w:val="24"/>
          <w:szCs w:val="24"/>
        </w:rPr>
        <w:t>belas)</w:t>
      </w:r>
      <w:r w:rsidR="00A954D0">
        <w:rPr>
          <w:rFonts w:ascii="Bookman Old Style" w:hAnsi="Bookman Old Style"/>
          <w:sz w:val="24"/>
          <w:szCs w:val="24"/>
        </w:rPr>
        <w:t xml:space="preserve"> </w:t>
      </w:r>
      <w:r w:rsidR="00B15BAC" w:rsidRPr="00876722">
        <w:rPr>
          <w:rFonts w:ascii="Bookman Old Style" w:hAnsi="Bookman Old Style"/>
          <w:sz w:val="24"/>
          <w:szCs w:val="24"/>
        </w:rPr>
        <w:t>bulan,</w:t>
      </w:r>
      <w:r w:rsidR="00A954D0">
        <w:rPr>
          <w:rFonts w:ascii="Bookman Old Style" w:hAnsi="Bookman Old Style"/>
          <w:sz w:val="24"/>
          <w:szCs w:val="24"/>
        </w:rPr>
        <w:t xml:space="preserve"> </w:t>
      </w:r>
      <w:r w:rsidR="00B15BAC" w:rsidRPr="00876722">
        <w:rPr>
          <w:rFonts w:ascii="Bookman Old Style" w:hAnsi="Bookman Old Style"/>
          <w:sz w:val="24"/>
          <w:szCs w:val="24"/>
        </w:rPr>
        <w:t>termasuk</w:t>
      </w:r>
      <w:r w:rsidR="00A954D0">
        <w:rPr>
          <w:rFonts w:ascii="Bookman Old Style" w:hAnsi="Bookman Old Style"/>
          <w:sz w:val="24"/>
          <w:szCs w:val="24"/>
        </w:rPr>
        <w:t xml:space="preserve"> </w:t>
      </w:r>
      <w:r w:rsidR="00B15BAC" w:rsidRPr="00876722">
        <w:rPr>
          <w:rFonts w:ascii="Bookman Old Style" w:hAnsi="Bookman Old Style"/>
          <w:sz w:val="24"/>
          <w:szCs w:val="24"/>
        </w:rPr>
        <w:t>barang/jasa</w:t>
      </w:r>
      <w:r w:rsidR="00A954D0">
        <w:rPr>
          <w:rFonts w:ascii="Bookman Old Style" w:hAnsi="Bookman Old Style"/>
          <w:sz w:val="24"/>
          <w:szCs w:val="24"/>
        </w:rPr>
        <w:t xml:space="preserve"> </w:t>
      </w:r>
      <w:r w:rsidR="00B15BAC" w:rsidRPr="00876722">
        <w:rPr>
          <w:rFonts w:ascii="Bookman Old Style" w:hAnsi="Bookman Old Style"/>
          <w:sz w:val="24"/>
          <w:szCs w:val="24"/>
        </w:rPr>
        <w:t>yang</w:t>
      </w:r>
      <w:r w:rsidR="00A954D0">
        <w:rPr>
          <w:rFonts w:ascii="Bookman Old Style" w:hAnsi="Bookman Old Style"/>
          <w:sz w:val="24"/>
          <w:szCs w:val="24"/>
        </w:rPr>
        <w:t xml:space="preserve"> </w:t>
      </w:r>
      <w:r w:rsidR="00B15BAC" w:rsidRPr="00876722">
        <w:rPr>
          <w:rFonts w:ascii="Bookman Old Style" w:hAnsi="Bookman Old Style"/>
          <w:sz w:val="24"/>
          <w:szCs w:val="24"/>
        </w:rPr>
        <w:t>akan</w:t>
      </w:r>
      <w:r w:rsidR="00A954D0">
        <w:rPr>
          <w:rFonts w:ascii="Bookman Old Style" w:hAnsi="Bookman Old Style"/>
          <w:sz w:val="24"/>
          <w:szCs w:val="24"/>
          <w:lang w:val="id-ID"/>
        </w:rPr>
        <w:t xml:space="preserve"> </w:t>
      </w:r>
      <w:r w:rsidR="00B15BAC" w:rsidRPr="00876722">
        <w:rPr>
          <w:rFonts w:ascii="Bookman Old Style" w:hAnsi="Bookman Old Style"/>
          <w:sz w:val="24"/>
          <w:szCs w:val="24"/>
        </w:rPr>
        <w:t>diserahkan</w:t>
      </w:r>
      <w:r w:rsidR="00A954D0">
        <w:rPr>
          <w:rFonts w:ascii="Bookman Old Style" w:hAnsi="Bookman Old Style"/>
          <w:sz w:val="24"/>
          <w:szCs w:val="24"/>
        </w:rPr>
        <w:t xml:space="preserve"> </w:t>
      </w:r>
      <w:r w:rsidR="00B15BAC" w:rsidRPr="00876722">
        <w:rPr>
          <w:rFonts w:ascii="Bookman Old Style" w:hAnsi="Bookman Old Style"/>
          <w:sz w:val="24"/>
          <w:szCs w:val="24"/>
        </w:rPr>
        <w:t>atau</w:t>
      </w:r>
      <w:r w:rsidR="00A954D0">
        <w:rPr>
          <w:rFonts w:ascii="Bookman Old Style" w:hAnsi="Bookman Old Style"/>
          <w:sz w:val="24"/>
          <w:szCs w:val="24"/>
        </w:rPr>
        <w:t xml:space="preserve"> </w:t>
      </w:r>
      <w:r w:rsidR="00B15BAC" w:rsidRPr="00876722">
        <w:rPr>
          <w:rFonts w:ascii="Bookman Old Style" w:hAnsi="Bookman Old Style"/>
          <w:sz w:val="24"/>
          <w:szCs w:val="24"/>
        </w:rPr>
        <w:t>dijual</w:t>
      </w:r>
      <w:r w:rsidR="00A954D0">
        <w:rPr>
          <w:rFonts w:ascii="Bookman Old Style" w:hAnsi="Bookman Old Style"/>
          <w:sz w:val="24"/>
          <w:szCs w:val="24"/>
        </w:rPr>
        <w:t xml:space="preserve"> </w:t>
      </w:r>
      <w:r w:rsidR="00B15BAC" w:rsidRPr="00876722">
        <w:rPr>
          <w:rFonts w:ascii="Bookman Old Style" w:hAnsi="Bookman Old Style"/>
          <w:sz w:val="24"/>
          <w:szCs w:val="24"/>
        </w:rPr>
        <w:t>kepada</w:t>
      </w:r>
      <w:r w:rsidR="00A954D0">
        <w:rPr>
          <w:rFonts w:ascii="Bookman Old Style" w:hAnsi="Bookman Old Style"/>
          <w:sz w:val="24"/>
          <w:szCs w:val="24"/>
        </w:rPr>
        <w:t xml:space="preserve"> </w:t>
      </w:r>
      <w:r w:rsidR="00B15BAC" w:rsidRPr="00876722">
        <w:rPr>
          <w:rFonts w:ascii="Bookman Old Style" w:hAnsi="Bookman Old Style"/>
          <w:sz w:val="24"/>
          <w:szCs w:val="24"/>
        </w:rPr>
        <w:t>masyarakat/pihak</w:t>
      </w:r>
      <w:r w:rsidR="00A954D0">
        <w:rPr>
          <w:rFonts w:ascii="Bookman Old Style" w:hAnsi="Bookman Old Style"/>
          <w:sz w:val="24"/>
          <w:szCs w:val="24"/>
        </w:rPr>
        <w:t xml:space="preserve"> </w:t>
      </w:r>
      <w:r w:rsidR="00B15BAC" w:rsidRPr="00876722">
        <w:rPr>
          <w:rFonts w:ascii="Bookman Old Style" w:hAnsi="Bookman Old Style"/>
          <w:sz w:val="24"/>
          <w:szCs w:val="24"/>
        </w:rPr>
        <w:t>lain</w:t>
      </w:r>
      <w:r w:rsidR="00A954D0">
        <w:rPr>
          <w:rFonts w:ascii="Bookman Old Style" w:hAnsi="Bookman Old Style"/>
          <w:sz w:val="24"/>
          <w:szCs w:val="24"/>
          <w:lang w:val="id-ID"/>
        </w:rPr>
        <w:t xml:space="preserve"> </w:t>
      </w:r>
      <w:r w:rsidR="00B15BAC" w:rsidRPr="00876722">
        <w:rPr>
          <w:rFonts w:ascii="Bookman Old Style" w:hAnsi="Bookman Old Style"/>
          <w:sz w:val="24"/>
          <w:szCs w:val="24"/>
        </w:rPr>
        <w:t>dalam</w:t>
      </w:r>
      <w:r w:rsidR="00A954D0">
        <w:rPr>
          <w:rFonts w:ascii="Bookman Old Style" w:hAnsi="Bookman Old Style"/>
          <w:sz w:val="24"/>
          <w:szCs w:val="24"/>
        </w:rPr>
        <w:t xml:space="preserve"> </w:t>
      </w:r>
      <w:r w:rsidR="00B15BAC" w:rsidRPr="00876722">
        <w:rPr>
          <w:rFonts w:ascii="Bookman Old Style" w:hAnsi="Bookman Old Style"/>
          <w:sz w:val="24"/>
          <w:szCs w:val="24"/>
        </w:rPr>
        <w:t>rangka</w:t>
      </w:r>
      <w:r w:rsidR="00A954D0">
        <w:rPr>
          <w:rFonts w:ascii="Bookman Old Style" w:hAnsi="Bookman Old Style"/>
          <w:sz w:val="24"/>
          <w:szCs w:val="24"/>
        </w:rPr>
        <w:t xml:space="preserve"> </w:t>
      </w:r>
      <w:r w:rsidR="00B15BAC" w:rsidRPr="00876722">
        <w:rPr>
          <w:rFonts w:ascii="Bookman Old Style" w:hAnsi="Bookman Old Style"/>
          <w:sz w:val="24"/>
          <w:szCs w:val="24"/>
        </w:rPr>
        <w:t>melaksanakan</w:t>
      </w:r>
      <w:r w:rsidR="00A954D0">
        <w:rPr>
          <w:rFonts w:ascii="Bookman Old Style" w:hAnsi="Bookman Old Style"/>
          <w:sz w:val="24"/>
          <w:szCs w:val="24"/>
        </w:rPr>
        <w:t xml:space="preserve"> </w:t>
      </w:r>
      <w:r w:rsidR="00B15BAC" w:rsidRPr="00876722">
        <w:rPr>
          <w:rFonts w:ascii="Bookman Old Style" w:hAnsi="Bookman Old Style"/>
          <w:sz w:val="24"/>
          <w:szCs w:val="24"/>
        </w:rPr>
        <w:t>program,</w:t>
      </w:r>
      <w:r w:rsidR="00A954D0">
        <w:rPr>
          <w:rFonts w:ascii="Bookman Old Style" w:hAnsi="Bookman Old Style"/>
          <w:sz w:val="24"/>
          <w:szCs w:val="24"/>
        </w:rPr>
        <w:t xml:space="preserve"> </w:t>
      </w:r>
      <w:r w:rsidR="00B15BAC" w:rsidRPr="00876722">
        <w:rPr>
          <w:rFonts w:ascii="Bookman Old Style" w:hAnsi="Bookman Old Style"/>
          <w:sz w:val="24"/>
          <w:szCs w:val="24"/>
        </w:rPr>
        <w:t>kegiatan</w:t>
      </w:r>
      <w:r w:rsidR="00A954D0">
        <w:rPr>
          <w:rFonts w:ascii="Bookman Old Style" w:hAnsi="Bookman Old Style"/>
          <w:sz w:val="24"/>
          <w:szCs w:val="24"/>
        </w:rPr>
        <w:t xml:space="preserve"> </w:t>
      </w:r>
      <w:r w:rsidR="00B15BAC" w:rsidRPr="00876722">
        <w:rPr>
          <w:rFonts w:ascii="Bookman Old Style" w:hAnsi="Bookman Old Style"/>
          <w:sz w:val="24"/>
          <w:szCs w:val="24"/>
        </w:rPr>
        <w:t>dan</w:t>
      </w:r>
      <w:r w:rsidR="00A954D0">
        <w:rPr>
          <w:rFonts w:ascii="Bookman Old Style" w:hAnsi="Bookman Old Style"/>
          <w:sz w:val="24"/>
          <w:szCs w:val="24"/>
        </w:rPr>
        <w:t xml:space="preserve"> </w:t>
      </w:r>
      <w:r w:rsidR="00B15BAC" w:rsidRPr="00876722">
        <w:rPr>
          <w:rFonts w:ascii="Bookman Old Style" w:hAnsi="Bookman Old Style"/>
          <w:sz w:val="24"/>
          <w:szCs w:val="24"/>
        </w:rPr>
        <w:t>sub</w:t>
      </w:r>
      <w:r w:rsidR="00A954D0">
        <w:rPr>
          <w:rFonts w:ascii="Bookman Old Style" w:hAnsi="Bookman Old Style"/>
          <w:sz w:val="24"/>
          <w:szCs w:val="24"/>
          <w:lang w:val="id-ID"/>
        </w:rPr>
        <w:t xml:space="preserve"> </w:t>
      </w:r>
      <w:r w:rsidR="00B15BAC" w:rsidRPr="00876722">
        <w:rPr>
          <w:rFonts w:ascii="Bookman Old Style" w:hAnsi="Bookman Old Style"/>
          <w:sz w:val="24"/>
          <w:szCs w:val="24"/>
        </w:rPr>
        <w:t>kegiatan</w:t>
      </w:r>
      <w:r w:rsidR="00A954D0">
        <w:rPr>
          <w:rFonts w:ascii="Bookman Old Style" w:hAnsi="Bookman Old Style"/>
          <w:sz w:val="24"/>
          <w:szCs w:val="24"/>
        </w:rPr>
        <w:t xml:space="preserve"> </w:t>
      </w:r>
      <w:r w:rsidR="00B15BAC" w:rsidRPr="00876722">
        <w:rPr>
          <w:rFonts w:ascii="Bookman Old Style" w:hAnsi="Bookman Old Style"/>
          <w:sz w:val="24"/>
          <w:szCs w:val="24"/>
        </w:rPr>
        <w:t>Pemerintahan</w:t>
      </w:r>
      <w:r w:rsidR="00A954D0">
        <w:rPr>
          <w:rFonts w:ascii="Bookman Old Style" w:hAnsi="Bookman Old Style"/>
          <w:sz w:val="24"/>
          <w:szCs w:val="24"/>
        </w:rPr>
        <w:t xml:space="preserve"> </w:t>
      </w:r>
      <w:r w:rsidR="00B15BAC" w:rsidRPr="00876722">
        <w:rPr>
          <w:rFonts w:ascii="Bookman Old Style" w:hAnsi="Bookman Old Style"/>
          <w:sz w:val="24"/>
          <w:szCs w:val="24"/>
        </w:rPr>
        <w:t>Daerah</w:t>
      </w:r>
      <w:r w:rsidR="00A954D0">
        <w:rPr>
          <w:rFonts w:ascii="Bookman Old Style" w:hAnsi="Bookman Old Style"/>
          <w:sz w:val="24"/>
          <w:szCs w:val="24"/>
        </w:rPr>
        <w:t xml:space="preserve"> </w:t>
      </w:r>
      <w:r w:rsidR="00B15BAC" w:rsidRPr="00876722">
        <w:rPr>
          <w:rFonts w:ascii="Bookman Old Style" w:hAnsi="Bookman Old Style"/>
          <w:sz w:val="24"/>
          <w:szCs w:val="24"/>
        </w:rPr>
        <w:t>guna</w:t>
      </w:r>
      <w:r w:rsidR="00A954D0">
        <w:rPr>
          <w:rFonts w:ascii="Bookman Old Style" w:hAnsi="Bookman Old Style"/>
          <w:sz w:val="24"/>
          <w:szCs w:val="24"/>
        </w:rPr>
        <w:t xml:space="preserve"> </w:t>
      </w:r>
      <w:r w:rsidR="00B15BAC" w:rsidRPr="00876722">
        <w:rPr>
          <w:rFonts w:ascii="Bookman Old Style" w:hAnsi="Bookman Old Style"/>
          <w:sz w:val="24"/>
          <w:szCs w:val="24"/>
        </w:rPr>
        <w:t>pencapaian</w:t>
      </w:r>
      <w:r w:rsidR="00A954D0">
        <w:rPr>
          <w:rFonts w:ascii="Bookman Old Style" w:hAnsi="Bookman Old Style"/>
          <w:sz w:val="24"/>
          <w:szCs w:val="24"/>
        </w:rPr>
        <w:t xml:space="preserve"> </w:t>
      </w:r>
      <w:r w:rsidR="00B15BAC" w:rsidRPr="00876722">
        <w:rPr>
          <w:rFonts w:ascii="Bookman Old Style" w:hAnsi="Bookman Old Style"/>
          <w:sz w:val="24"/>
          <w:szCs w:val="24"/>
        </w:rPr>
        <w:t>sasaran</w:t>
      </w:r>
      <w:r w:rsidR="00A954D0">
        <w:rPr>
          <w:rFonts w:ascii="Bookman Old Style" w:hAnsi="Bookman Old Style"/>
          <w:sz w:val="24"/>
          <w:szCs w:val="24"/>
          <w:lang w:val="id-ID"/>
        </w:rPr>
        <w:t xml:space="preserve"> </w:t>
      </w:r>
      <w:r w:rsidR="00B15BAC" w:rsidRPr="00876722">
        <w:rPr>
          <w:rFonts w:ascii="Bookman Old Style" w:hAnsi="Bookman Old Style"/>
          <w:sz w:val="24"/>
          <w:szCs w:val="24"/>
        </w:rPr>
        <w:t>prioritas</w:t>
      </w:r>
      <w:r w:rsidR="00A954D0">
        <w:rPr>
          <w:rFonts w:ascii="Bookman Old Style" w:hAnsi="Bookman Old Style"/>
          <w:sz w:val="24"/>
          <w:szCs w:val="24"/>
        </w:rPr>
        <w:t xml:space="preserve"> </w:t>
      </w:r>
      <w:r w:rsidR="00B15BAC" w:rsidRPr="00876722">
        <w:rPr>
          <w:rFonts w:ascii="Bookman Old Style" w:hAnsi="Bookman Old Style"/>
          <w:sz w:val="24"/>
          <w:szCs w:val="24"/>
        </w:rPr>
        <w:t>daerah</w:t>
      </w:r>
      <w:r w:rsidR="00A954D0">
        <w:rPr>
          <w:rFonts w:ascii="Bookman Old Style" w:hAnsi="Bookman Old Style"/>
          <w:sz w:val="24"/>
          <w:szCs w:val="24"/>
        </w:rPr>
        <w:t xml:space="preserve"> </w:t>
      </w:r>
      <w:r w:rsidR="00B15BAC" w:rsidRPr="00876722">
        <w:rPr>
          <w:rFonts w:ascii="Bookman Old Style" w:hAnsi="Bookman Old Style"/>
          <w:sz w:val="24"/>
          <w:szCs w:val="24"/>
        </w:rPr>
        <w:t>yang</w:t>
      </w:r>
      <w:r w:rsidR="00A954D0">
        <w:rPr>
          <w:rFonts w:ascii="Bookman Old Style" w:hAnsi="Bookman Old Style"/>
          <w:sz w:val="24"/>
          <w:szCs w:val="24"/>
        </w:rPr>
        <w:t xml:space="preserve"> </w:t>
      </w:r>
      <w:r w:rsidR="00B15BAC" w:rsidRPr="00876722">
        <w:rPr>
          <w:rFonts w:ascii="Bookman Old Style" w:hAnsi="Bookman Old Style"/>
          <w:sz w:val="24"/>
          <w:szCs w:val="24"/>
        </w:rPr>
        <w:t>tercantum</w:t>
      </w:r>
      <w:r w:rsidR="00A954D0">
        <w:rPr>
          <w:rFonts w:ascii="Bookman Old Style" w:hAnsi="Bookman Old Style"/>
          <w:sz w:val="24"/>
          <w:szCs w:val="24"/>
        </w:rPr>
        <w:t xml:space="preserve"> </w:t>
      </w:r>
      <w:r w:rsidR="00B15BAC" w:rsidRPr="00876722">
        <w:rPr>
          <w:rFonts w:ascii="Bookman Old Style" w:hAnsi="Bookman Old Style"/>
          <w:sz w:val="24"/>
          <w:szCs w:val="24"/>
        </w:rPr>
        <w:t>dalam</w:t>
      </w:r>
      <w:r w:rsidR="00A954D0">
        <w:rPr>
          <w:rFonts w:ascii="Bookman Old Style" w:hAnsi="Bookman Old Style"/>
          <w:sz w:val="24"/>
          <w:szCs w:val="24"/>
        </w:rPr>
        <w:t xml:space="preserve"> </w:t>
      </w:r>
      <w:r w:rsidR="00B15BAC" w:rsidRPr="00876722">
        <w:rPr>
          <w:rFonts w:ascii="Bookman Old Style" w:hAnsi="Bookman Old Style"/>
          <w:sz w:val="24"/>
          <w:szCs w:val="24"/>
        </w:rPr>
        <w:t>RPJMD</w:t>
      </w:r>
      <w:r w:rsidR="00B15BAC" w:rsidRPr="00876722">
        <w:rPr>
          <w:rFonts w:ascii="Bookman Old Style" w:hAnsi="Bookman Old Style"/>
          <w:sz w:val="24"/>
          <w:szCs w:val="24"/>
          <w:lang w:val="en-US"/>
        </w:rPr>
        <w:t>/Rencana</w:t>
      </w:r>
      <w:r w:rsidR="00A954D0">
        <w:rPr>
          <w:rFonts w:ascii="Bookman Old Style" w:hAnsi="Bookman Old Style"/>
          <w:sz w:val="24"/>
          <w:szCs w:val="24"/>
          <w:lang w:val="en-US"/>
        </w:rPr>
        <w:t xml:space="preserve"> </w:t>
      </w:r>
      <w:r w:rsidR="00B15BAC" w:rsidRPr="00876722">
        <w:rPr>
          <w:rFonts w:ascii="Bookman Old Style" w:hAnsi="Bookman Old Style"/>
          <w:sz w:val="24"/>
          <w:szCs w:val="24"/>
          <w:lang w:val="en-US"/>
        </w:rPr>
        <w:t>Pembangunan</w:t>
      </w:r>
      <w:r w:rsidR="00A954D0">
        <w:rPr>
          <w:rFonts w:ascii="Bookman Old Style" w:hAnsi="Bookman Old Style"/>
          <w:sz w:val="24"/>
          <w:szCs w:val="24"/>
          <w:lang w:val="en-US"/>
        </w:rPr>
        <w:t xml:space="preserve"> </w:t>
      </w:r>
      <w:r w:rsidR="00B15BAC" w:rsidRPr="00876722">
        <w:rPr>
          <w:rFonts w:ascii="Bookman Old Style" w:hAnsi="Bookman Old Style"/>
          <w:sz w:val="24"/>
          <w:szCs w:val="24"/>
          <w:lang w:val="en-US"/>
        </w:rPr>
        <w:t>Daerah</w:t>
      </w:r>
      <w:r w:rsidR="00A954D0">
        <w:rPr>
          <w:rFonts w:ascii="Bookman Old Style" w:hAnsi="Bookman Old Style"/>
          <w:sz w:val="24"/>
          <w:szCs w:val="24"/>
          <w:lang w:val="en-US"/>
        </w:rPr>
        <w:t xml:space="preserve"> </w:t>
      </w:r>
      <w:r w:rsidR="00B15BAC" w:rsidRPr="00876722">
        <w:rPr>
          <w:rFonts w:ascii="Bookman Old Style" w:hAnsi="Bookman Old Style"/>
          <w:sz w:val="24"/>
          <w:szCs w:val="24"/>
          <w:lang w:val="en-US"/>
        </w:rPr>
        <w:t>(RPD)</w:t>
      </w:r>
      <w:r w:rsidR="00A954D0">
        <w:rPr>
          <w:rFonts w:ascii="Bookman Old Style" w:hAnsi="Bookman Old Style"/>
          <w:sz w:val="24"/>
          <w:szCs w:val="24"/>
        </w:rPr>
        <w:t xml:space="preserve"> </w:t>
      </w:r>
      <w:r w:rsidR="00B15BAC" w:rsidRPr="00876722">
        <w:rPr>
          <w:rFonts w:ascii="Bookman Old Style" w:hAnsi="Bookman Old Style"/>
          <w:sz w:val="24"/>
          <w:szCs w:val="24"/>
        </w:rPr>
        <w:t>pada</w:t>
      </w:r>
      <w:r w:rsidR="00A954D0">
        <w:rPr>
          <w:rFonts w:ascii="Bookman Old Style" w:hAnsi="Bookman Old Style"/>
          <w:sz w:val="24"/>
          <w:szCs w:val="24"/>
        </w:rPr>
        <w:t xml:space="preserve"> </w:t>
      </w:r>
      <w:r w:rsidR="00B15BAC" w:rsidRPr="00876722">
        <w:rPr>
          <w:rFonts w:ascii="Bookman Old Style" w:hAnsi="Bookman Old Style"/>
          <w:sz w:val="24"/>
          <w:szCs w:val="24"/>
        </w:rPr>
        <w:t>SKPD</w:t>
      </w:r>
      <w:r w:rsidR="00A954D0">
        <w:rPr>
          <w:rFonts w:ascii="Bookman Old Style" w:hAnsi="Bookman Old Style"/>
          <w:sz w:val="24"/>
          <w:szCs w:val="24"/>
          <w:lang w:val="id-ID"/>
        </w:rPr>
        <w:t xml:space="preserve"> </w:t>
      </w:r>
      <w:r w:rsidR="00B15BAC" w:rsidRPr="00876722">
        <w:rPr>
          <w:rFonts w:ascii="Bookman Old Style" w:hAnsi="Bookman Old Style"/>
          <w:sz w:val="24"/>
          <w:szCs w:val="24"/>
        </w:rPr>
        <w:t>terkait</w:t>
      </w:r>
      <w:r w:rsidR="00A954D0">
        <w:rPr>
          <w:rFonts w:ascii="Bookman Old Style" w:hAnsi="Bookman Old Style"/>
          <w:sz w:val="24"/>
          <w:szCs w:val="24"/>
        </w:rPr>
        <w:t xml:space="preserve"> </w:t>
      </w:r>
      <w:r w:rsidR="00B15BAC" w:rsidRPr="00876722">
        <w:rPr>
          <w:rFonts w:ascii="Bookman Old Style" w:hAnsi="Bookman Old Style"/>
          <w:sz w:val="24"/>
          <w:szCs w:val="24"/>
        </w:rPr>
        <w:t>dengan</w:t>
      </w:r>
      <w:r w:rsidR="00A954D0">
        <w:rPr>
          <w:rFonts w:ascii="Bookman Old Style" w:hAnsi="Bookman Old Style"/>
          <w:sz w:val="24"/>
          <w:szCs w:val="24"/>
        </w:rPr>
        <w:t xml:space="preserve"> </w:t>
      </w:r>
      <w:r w:rsidR="00B15BAC" w:rsidRPr="00876722">
        <w:rPr>
          <w:rFonts w:ascii="Bookman Old Style" w:hAnsi="Bookman Old Style"/>
          <w:sz w:val="24"/>
          <w:szCs w:val="24"/>
        </w:rPr>
        <w:t>memperhatikan</w:t>
      </w:r>
      <w:r w:rsidR="00A954D0">
        <w:rPr>
          <w:rFonts w:ascii="Bookman Old Style" w:hAnsi="Bookman Old Style"/>
          <w:sz w:val="24"/>
          <w:szCs w:val="24"/>
        </w:rPr>
        <w:t xml:space="preserve"> </w:t>
      </w:r>
      <w:r w:rsidR="00B15BAC" w:rsidRPr="00876722">
        <w:rPr>
          <w:rFonts w:ascii="Bookman Old Style" w:hAnsi="Bookman Old Style"/>
          <w:sz w:val="24"/>
          <w:szCs w:val="24"/>
        </w:rPr>
        <w:t>aspek</w:t>
      </w:r>
      <w:r w:rsidR="00A954D0">
        <w:rPr>
          <w:rFonts w:ascii="Bookman Old Style" w:hAnsi="Bookman Old Style"/>
          <w:sz w:val="24"/>
          <w:szCs w:val="24"/>
        </w:rPr>
        <w:t xml:space="preserve"> </w:t>
      </w:r>
      <w:r w:rsidR="00B15BAC" w:rsidRPr="00876722">
        <w:rPr>
          <w:rFonts w:ascii="Bookman Old Style" w:hAnsi="Bookman Old Style"/>
          <w:sz w:val="24"/>
          <w:szCs w:val="24"/>
        </w:rPr>
        <w:t>efektivitas,</w:t>
      </w:r>
      <w:r w:rsidR="00A954D0">
        <w:rPr>
          <w:rFonts w:ascii="Bookman Old Style" w:hAnsi="Bookman Old Style"/>
          <w:sz w:val="24"/>
          <w:szCs w:val="24"/>
        </w:rPr>
        <w:t xml:space="preserve"> </w:t>
      </w:r>
      <w:r w:rsidR="00B15BAC" w:rsidRPr="00876722">
        <w:rPr>
          <w:rFonts w:ascii="Bookman Old Style" w:hAnsi="Bookman Old Style"/>
          <w:sz w:val="24"/>
          <w:szCs w:val="24"/>
        </w:rPr>
        <w:t>efisiensi,</w:t>
      </w:r>
      <w:r w:rsidR="00A954D0">
        <w:rPr>
          <w:rFonts w:ascii="Bookman Old Style" w:hAnsi="Bookman Old Style"/>
          <w:sz w:val="24"/>
          <w:szCs w:val="24"/>
        </w:rPr>
        <w:t xml:space="preserve"> </w:t>
      </w:r>
      <w:r w:rsidR="00B15BAC" w:rsidRPr="00876722">
        <w:rPr>
          <w:rFonts w:ascii="Bookman Old Style" w:hAnsi="Bookman Old Style"/>
          <w:sz w:val="24"/>
          <w:szCs w:val="24"/>
        </w:rPr>
        <w:t>kepatutan</w:t>
      </w:r>
      <w:r w:rsidR="00A954D0">
        <w:rPr>
          <w:rFonts w:ascii="Bookman Old Style" w:hAnsi="Bookman Old Style"/>
          <w:sz w:val="24"/>
          <w:szCs w:val="24"/>
        </w:rPr>
        <w:t xml:space="preserve"> </w:t>
      </w:r>
      <w:r w:rsidR="00B15BAC" w:rsidRPr="00876722">
        <w:rPr>
          <w:rFonts w:ascii="Bookman Old Style" w:hAnsi="Bookman Old Style"/>
          <w:sz w:val="24"/>
          <w:szCs w:val="24"/>
        </w:rPr>
        <w:t>dan</w:t>
      </w:r>
      <w:r w:rsidR="00A954D0">
        <w:rPr>
          <w:rFonts w:ascii="Bookman Old Style" w:hAnsi="Bookman Old Style"/>
          <w:sz w:val="24"/>
          <w:szCs w:val="24"/>
        </w:rPr>
        <w:t xml:space="preserve"> </w:t>
      </w:r>
      <w:r w:rsidR="00B15BAC" w:rsidRPr="00876722">
        <w:rPr>
          <w:rFonts w:ascii="Bookman Old Style" w:hAnsi="Bookman Old Style"/>
          <w:sz w:val="24"/>
          <w:szCs w:val="24"/>
        </w:rPr>
        <w:t>kewajaran</w:t>
      </w:r>
      <w:r w:rsidR="00A954D0">
        <w:rPr>
          <w:rFonts w:ascii="Bookman Old Style" w:hAnsi="Bookman Old Style"/>
          <w:sz w:val="24"/>
          <w:szCs w:val="24"/>
        </w:rPr>
        <w:t xml:space="preserve"> </w:t>
      </w:r>
      <w:r w:rsidR="00B15BAC" w:rsidRPr="00876722">
        <w:rPr>
          <w:rFonts w:ascii="Bookman Old Style" w:hAnsi="Bookman Old Style"/>
          <w:sz w:val="24"/>
          <w:szCs w:val="24"/>
        </w:rPr>
        <w:t>penggunaan</w:t>
      </w:r>
      <w:r w:rsidR="00A954D0">
        <w:rPr>
          <w:rFonts w:ascii="Bookman Old Style" w:hAnsi="Bookman Old Style"/>
          <w:sz w:val="24"/>
          <w:szCs w:val="24"/>
        </w:rPr>
        <w:t xml:space="preserve"> </w:t>
      </w:r>
      <w:r w:rsidR="00B15BAC" w:rsidRPr="00876722">
        <w:rPr>
          <w:rFonts w:ascii="Bookman Old Style" w:hAnsi="Bookman Old Style"/>
          <w:sz w:val="24"/>
          <w:szCs w:val="24"/>
        </w:rPr>
        <w:t>anggaran</w:t>
      </w:r>
      <w:r w:rsidR="00A954D0">
        <w:rPr>
          <w:rFonts w:ascii="Bookman Old Style" w:hAnsi="Bookman Old Style"/>
          <w:sz w:val="24"/>
          <w:szCs w:val="24"/>
        </w:rPr>
        <w:t xml:space="preserve"> </w:t>
      </w:r>
      <w:r w:rsidR="00B15BAC" w:rsidRPr="00876722">
        <w:rPr>
          <w:rFonts w:ascii="Bookman Old Style" w:hAnsi="Bookman Old Style"/>
          <w:sz w:val="24"/>
          <w:szCs w:val="24"/>
        </w:rPr>
        <w:t>sebagaimana</w:t>
      </w:r>
      <w:r w:rsidR="00A954D0">
        <w:rPr>
          <w:rFonts w:ascii="Bookman Old Style" w:hAnsi="Bookman Old Style"/>
          <w:sz w:val="24"/>
          <w:szCs w:val="24"/>
        </w:rPr>
        <w:t xml:space="preserve"> </w:t>
      </w:r>
      <w:r w:rsidR="00B15BAC" w:rsidRPr="00876722">
        <w:rPr>
          <w:rFonts w:ascii="Bookman Old Style" w:hAnsi="Bookman Old Style"/>
          <w:sz w:val="24"/>
          <w:szCs w:val="24"/>
        </w:rPr>
        <w:t>maksud</w:t>
      </w:r>
      <w:r w:rsidR="00A954D0">
        <w:rPr>
          <w:rFonts w:ascii="Bookman Old Style" w:hAnsi="Bookman Old Style"/>
          <w:sz w:val="24"/>
          <w:szCs w:val="24"/>
        </w:rPr>
        <w:t xml:space="preserve"> </w:t>
      </w:r>
      <w:r w:rsidR="00B15BAC" w:rsidRPr="00876722">
        <w:rPr>
          <w:rFonts w:ascii="Bookman Old Style" w:hAnsi="Bookman Old Style"/>
          <w:sz w:val="24"/>
          <w:szCs w:val="24"/>
        </w:rPr>
        <w:t>Pasal</w:t>
      </w:r>
      <w:r w:rsidR="00A954D0">
        <w:rPr>
          <w:rFonts w:ascii="Bookman Old Style" w:hAnsi="Bookman Old Style"/>
          <w:sz w:val="24"/>
          <w:szCs w:val="24"/>
        </w:rPr>
        <w:t xml:space="preserve"> </w:t>
      </w:r>
      <w:r w:rsidR="00B15BAC" w:rsidRPr="00876722">
        <w:rPr>
          <w:rFonts w:ascii="Bookman Old Style" w:hAnsi="Bookman Old Style"/>
          <w:sz w:val="24"/>
          <w:szCs w:val="24"/>
        </w:rPr>
        <w:t>3</w:t>
      </w:r>
      <w:r w:rsidR="00A954D0">
        <w:rPr>
          <w:rFonts w:ascii="Bookman Old Style" w:hAnsi="Bookman Old Style"/>
          <w:sz w:val="24"/>
          <w:szCs w:val="24"/>
        </w:rPr>
        <w:t xml:space="preserve"> </w:t>
      </w:r>
      <w:r w:rsidR="00B15BAC" w:rsidRPr="00876722">
        <w:rPr>
          <w:rFonts w:ascii="Bookman Old Style" w:hAnsi="Bookman Old Style"/>
          <w:sz w:val="24"/>
          <w:szCs w:val="24"/>
        </w:rPr>
        <w:t>ayat</w:t>
      </w:r>
      <w:r w:rsidR="00A954D0">
        <w:rPr>
          <w:rFonts w:ascii="Bookman Old Style" w:hAnsi="Bookman Old Style"/>
          <w:sz w:val="24"/>
          <w:szCs w:val="24"/>
        </w:rPr>
        <w:t xml:space="preserve"> </w:t>
      </w:r>
      <w:r w:rsidR="00B15BAC" w:rsidRPr="00876722">
        <w:rPr>
          <w:rFonts w:ascii="Bookman Old Style" w:hAnsi="Bookman Old Style"/>
          <w:sz w:val="24"/>
          <w:szCs w:val="24"/>
        </w:rPr>
        <w:t>(1)</w:t>
      </w:r>
      <w:r w:rsidR="00A954D0">
        <w:rPr>
          <w:rFonts w:ascii="Bookman Old Style" w:hAnsi="Bookman Old Style"/>
          <w:sz w:val="24"/>
          <w:szCs w:val="24"/>
        </w:rPr>
        <w:t xml:space="preserve"> </w:t>
      </w:r>
      <w:r w:rsidR="00B15BAC" w:rsidRPr="00876722">
        <w:rPr>
          <w:rFonts w:ascii="Bookman Old Style" w:hAnsi="Bookman Old Style"/>
          <w:sz w:val="24"/>
          <w:szCs w:val="24"/>
        </w:rPr>
        <w:t>dan</w:t>
      </w:r>
      <w:r w:rsidR="00A954D0">
        <w:rPr>
          <w:rFonts w:ascii="Bookman Old Style" w:hAnsi="Bookman Old Style"/>
          <w:sz w:val="24"/>
          <w:szCs w:val="24"/>
        </w:rPr>
        <w:t xml:space="preserve"> </w:t>
      </w:r>
      <w:r w:rsidR="00B15BAC" w:rsidRPr="00876722">
        <w:rPr>
          <w:rFonts w:ascii="Bookman Old Style" w:hAnsi="Bookman Old Style"/>
          <w:sz w:val="24"/>
          <w:szCs w:val="24"/>
        </w:rPr>
        <w:t>Pasal</w:t>
      </w:r>
      <w:r w:rsidR="00A954D0">
        <w:rPr>
          <w:rFonts w:ascii="Bookman Old Style" w:hAnsi="Bookman Old Style"/>
          <w:sz w:val="24"/>
          <w:szCs w:val="24"/>
        </w:rPr>
        <w:t xml:space="preserve"> </w:t>
      </w:r>
      <w:r w:rsidR="00B15BAC" w:rsidRPr="00876722">
        <w:rPr>
          <w:rFonts w:ascii="Bookman Old Style" w:hAnsi="Bookman Old Style"/>
          <w:sz w:val="24"/>
          <w:szCs w:val="24"/>
        </w:rPr>
        <w:t>59</w:t>
      </w:r>
      <w:r w:rsidR="00A954D0">
        <w:rPr>
          <w:rFonts w:ascii="Bookman Old Style" w:hAnsi="Bookman Old Style"/>
          <w:sz w:val="24"/>
          <w:szCs w:val="24"/>
        </w:rPr>
        <w:t xml:space="preserve"> </w:t>
      </w:r>
      <w:r w:rsidR="00B15BAC" w:rsidRPr="00876722">
        <w:rPr>
          <w:rFonts w:ascii="Bookman Old Style" w:hAnsi="Bookman Old Style"/>
          <w:sz w:val="24"/>
          <w:szCs w:val="24"/>
        </w:rPr>
        <w:t>Peraturan</w:t>
      </w:r>
      <w:r w:rsidR="00A954D0">
        <w:rPr>
          <w:rFonts w:ascii="Bookman Old Style" w:hAnsi="Bookman Old Style"/>
          <w:sz w:val="24"/>
          <w:szCs w:val="24"/>
        </w:rPr>
        <w:t xml:space="preserve"> </w:t>
      </w:r>
      <w:r w:rsidR="00B15BAC" w:rsidRPr="00876722">
        <w:rPr>
          <w:rFonts w:ascii="Bookman Old Style" w:hAnsi="Bookman Old Style"/>
          <w:sz w:val="24"/>
          <w:szCs w:val="24"/>
        </w:rPr>
        <w:t>Pemerintah</w:t>
      </w:r>
      <w:r w:rsidR="00A954D0">
        <w:rPr>
          <w:rFonts w:ascii="Bookman Old Style" w:hAnsi="Bookman Old Style"/>
          <w:sz w:val="24"/>
          <w:szCs w:val="24"/>
        </w:rPr>
        <w:t xml:space="preserve"> </w:t>
      </w:r>
      <w:r w:rsidR="00B15BAC" w:rsidRPr="00876722">
        <w:rPr>
          <w:rFonts w:ascii="Bookman Old Style" w:hAnsi="Bookman Old Style"/>
          <w:sz w:val="24"/>
          <w:szCs w:val="24"/>
        </w:rPr>
        <w:t>Nomor</w:t>
      </w:r>
      <w:r w:rsidR="00A954D0">
        <w:rPr>
          <w:rFonts w:ascii="Bookman Old Style" w:hAnsi="Bookman Old Style"/>
          <w:sz w:val="24"/>
          <w:szCs w:val="24"/>
        </w:rPr>
        <w:t xml:space="preserve"> </w:t>
      </w:r>
      <w:r w:rsidR="00B15BAC" w:rsidRPr="00876722">
        <w:rPr>
          <w:rFonts w:ascii="Bookman Old Style" w:hAnsi="Bookman Old Style"/>
          <w:sz w:val="24"/>
          <w:szCs w:val="24"/>
        </w:rPr>
        <w:t>12</w:t>
      </w:r>
      <w:r w:rsidR="00A954D0">
        <w:rPr>
          <w:rFonts w:ascii="Bookman Old Style" w:hAnsi="Bookman Old Style"/>
          <w:sz w:val="24"/>
          <w:szCs w:val="24"/>
        </w:rPr>
        <w:t xml:space="preserve"> </w:t>
      </w:r>
      <w:r w:rsidR="00B15BAC" w:rsidRPr="00876722">
        <w:rPr>
          <w:rFonts w:ascii="Bookman Old Style" w:hAnsi="Bookman Old Style"/>
          <w:sz w:val="24"/>
          <w:szCs w:val="24"/>
        </w:rPr>
        <w:t>Tahun</w:t>
      </w:r>
      <w:r w:rsidR="00A954D0">
        <w:rPr>
          <w:rFonts w:ascii="Bookman Old Style" w:hAnsi="Bookman Old Style"/>
          <w:sz w:val="24"/>
          <w:szCs w:val="24"/>
        </w:rPr>
        <w:t xml:space="preserve"> </w:t>
      </w:r>
      <w:r w:rsidR="00B15BAC" w:rsidRPr="00876722">
        <w:rPr>
          <w:rFonts w:ascii="Bookman Old Style" w:hAnsi="Bookman Old Style"/>
          <w:sz w:val="24"/>
          <w:szCs w:val="24"/>
        </w:rPr>
        <w:t>2019</w:t>
      </w:r>
      <w:r w:rsidR="00A954D0">
        <w:rPr>
          <w:rFonts w:ascii="Bookman Old Style" w:hAnsi="Bookman Old Style"/>
          <w:sz w:val="24"/>
          <w:szCs w:val="24"/>
          <w:lang w:val="en-US"/>
        </w:rPr>
        <w:t xml:space="preserve"> </w:t>
      </w:r>
      <w:r w:rsidR="00B15BAC" w:rsidRPr="00876722">
        <w:rPr>
          <w:rFonts w:ascii="Bookman Old Style" w:hAnsi="Bookman Old Style"/>
          <w:sz w:val="24"/>
          <w:szCs w:val="24"/>
          <w:lang w:val="id-ID"/>
        </w:rPr>
        <w:t>dan</w:t>
      </w:r>
      <w:r w:rsidR="00A954D0">
        <w:rPr>
          <w:rFonts w:ascii="Bookman Old Style" w:hAnsi="Bookman Old Style"/>
          <w:sz w:val="24"/>
          <w:szCs w:val="24"/>
          <w:lang w:val="id-ID"/>
        </w:rPr>
        <w:t xml:space="preserve"> </w:t>
      </w:r>
      <w:r w:rsidR="00B15BAC" w:rsidRPr="00876722">
        <w:rPr>
          <w:rFonts w:ascii="Bookman Old Style" w:hAnsi="Bookman Old Style" w:cs="Arial"/>
          <w:sz w:val="24"/>
          <w:szCs w:val="24"/>
        </w:rPr>
        <w:t>butir</w:t>
      </w:r>
      <w:r w:rsidR="00A954D0">
        <w:rPr>
          <w:rFonts w:ascii="Bookman Old Style" w:hAnsi="Bookman Old Style" w:cs="Arial"/>
          <w:sz w:val="24"/>
          <w:szCs w:val="24"/>
        </w:rPr>
        <w:t xml:space="preserve"> </w:t>
      </w:r>
      <w:r w:rsidR="00B15BAC" w:rsidRPr="00876722">
        <w:rPr>
          <w:rFonts w:ascii="Bookman Old Style" w:hAnsi="Bookman Old Style"/>
          <w:sz w:val="24"/>
          <w:szCs w:val="24"/>
          <w:lang w:val="en-US"/>
        </w:rPr>
        <w:lastRenderedPageBreak/>
        <w:t>3.4.1.2.a</w:t>
      </w:r>
      <w:r w:rsidR="00A954D0">
        <w:rPr>
          <w:rFonts w:ascii="Bookman Old Style" w:hAnsi="Bookman Old Style"/>
          <w:sz w:val="24"/>
          <w:szCs w:val="24"/>
          <w:lang w:val="id-ID"/>
        </w:rPr>
        <w:t xml:space="preserve"> </w:t>
      </w:r>
      <w:r w:rsidR="00B15BAC" w:rsidRPr="00876722">
        <w:rPr>
          <w:rFonts w:ascii="Bookman Old Style" w:hAnsi="Bookman Old Style"/>
          <w:sz w:val="24"/>
          <w:szCs w:val="24"/>
          <w:lang w:val="id-ID"/>
        </w:rPr>
        <w:t>Lampiran</w:t>
      </w:r>
      <w:r w:rsidR="00A954D0">
        <w:rPr>
          <w:rFonts w:ascii="Bookman Old Style" w:hAnsi="Bookman Old Style"/>
          <w:sz w:val="24"/>
          <w:szCs w:val="24"/>
          <w:lang w:val="id-ID"/>
        </w:rPr>
        <w:t xml:space="preserve"> </w:t>
      </w:r>
      <w:r w:rsidR="00B15BAC" w:rsidRPr="00876722">
        <w:rPr>
          <w:rFonts w:ascii="Bookman Old Style" w:hAnsi="Bookman Old Style"/>
          <w:sz w:val="24"/>
          <w:szCs w:val="24"/>
          <w:lang w:val="id-ID"/>
        </w:rPr>
        <w:t>Peraturan</w:t>
      </w:r>
      <w:r w:rsidR="00A954D0">
        <w:rPr>
          <w:rFonts w:ascii="Bookman Old Style" w:hAnsi="Bookman Old Style"/>
          <w:sz w:val="24"/>
          <w:szCs w:val="24"/>
          <w:lang w:val="id-ID"/>
        </w:rPr>
        <w:t xml:space="preserve"> </w:t>
      </w:r>
      <w:r w:rsidR="00B15BAC" w:rsidRPr="00876722">
        <w:rPr>
          <w:rFonts w:ascii="Bookman Old Style" w:hAnsi="Bookman Old Style"/>
          <w:sz w:val="24"/>
          <w:szCs w:val="24"/>
          <w:lang w:val="id-ID"/>
        </w:rPr>
        <w:t>Menteri</w:t>
      </w:r>
      <w:r w:rsidR="00A954D0">
        <w:rPr>
          <w:rFonts w:ascii="Bookman Old Style" w:hAnsi="Bookman Old Style"/>
          <w:sz w:val="24"/>
          <w:szCs w:val="24"/>
          <w:lang w:val="id-ID"/>
        </w:rPr>
        <w:t xml:space="preserve"> </w:t>
      </w:r>
      <w:r w:rsidR="00B15BAC" w:rsidRPr="00876722">
        <w:rPr>
          <w:rFonts w:ascii="Bookman Old Style" w:hAnsi="Bookman Old Style"/>
          <w:sz w:val="24"/>
          <w:szCs w:val="24"/>
          <w:lang w:val="id-ID"/>
        </w:rPr>
        <w:t>Dalam</w:t>
      </w:r>
      <w:r w:rsidR="00A954D0">
        <w:rPr>
          <w:rFonts w:ascii="Bookman Old Style" w:hAnsi="Bookman Old Style"/>
          <w:sz w:val="24"/>
          <w:szCs w:val="24"/>
          <w:lang w:val="id-ID"/>
        </w:rPr>
        <w:t xml:space="preserve"> </w:t>
      </w:r>
      <w:r w:rsidR="00B15BAC" w:rsidRPr="00876722">
        <w:rPr>
          <w:rFonts w:ascii="Bookman Old Style" w:hAnsi="Bookman Old Style"/>
          <w:sz w:val="24"/>
          <w:szCs w:val="24"/>
          <w:lang w:val="id-ID"/>
        </w:rPr>
        <w:t>Negeri</w:t>
      </w:r>
      <w:r w:rsidR="00A954D0">
        <w:rPr>
          <w:rFonts w:ascii="Bookman Old Style" w:hAnsi="Bookman Old Style"/>
          <w:sz w:val="24"/>
          <w:szCs w:val="24"/>
          <w:lang w:val="id-ID"/>
        </w:rPr>
        <w:t xml:space="preserve"> </w:t>
      </w:r>
      <w:r w:rsidR="00B15BAC" w:rsidRPr="00876722">
        <w:rPr>
          <w:rFonts w:ascii="Bookman Old Style" w:hAnsi="Bookman Old Style"/>
          <w:sz w:val="24"/>
          <w:szCs w:val="24"/>
          <w:lang w:val="id-ID"/>
        </w:rPr>
        <w:t>Nomor</w:t>
      </w:r>
      <w:r w:rsidR="00A954D0">
        <w:rPr>
          <w:rFonts w:ascii="Bookman Old Style" w:hAnsi="Bookman Old Style"/>
          <w:sz w:val="24"/>
          <w:szCs w:val="24"/>
          <w:lang w:val="id-ID"/>
        </w:rPr>
        <w:t xml:space="preserve"> </w:t>
      </w:r>
      <w:r w:rsidR="00B15BAC" w:rsidRPr="00876722">
        <w:rPr>
          <w:rFonts w:ascii="Bookman Old Style" w:hAnsi="Bookman Old Style"/>
          <w:sz w:val="24"/>
          <w:szCs w:val="24"/>
          <w:lang w:val="en-US"/>
        </w:rPr>
        <w:t>15</w:t>
      </w:r>
      <w:r w:rsidR="00A954D0">
        <w:rPr>
          <w:rFonts w:ascii="Bookman Old Style" w:hAnsi="Bookman Old Style"/>
          <w:sz w:val="24"/>
          <w:szCs w:val="24"/>
          <w:lang w:val="id-ID"/>
        </w:rPr>
        <w:t xml:space="preserve"> </w:t>
      </w:r>
      <w:r w:rsidR="00B15BAC" w:rsidRPr="00876722">
        <w:rPr>
          <w:rFonts w:ascii="Bookman Old Style" w:hAnsi="Bookman Old Style"/>
          <w:sz w:val="24"/>
          <w:szCs w:val="24"/>
          <w:lang w:val="id-ID"/>
        </w:rPr>
        <w:t>Tahun</w:t>
      </w:r>
      <w:r w:rsidR="00A954D0">
        <w:rPr>
          <w:rFonts w:ascii="Bookman Old Style" w:hAnsi="Bookman Old Style"/>
          <w:sz w:val="24"/>
          <w:szCs w:val="24"/>
          <w:lang w:val="id-ID"/>
        </w:rPr>
        <w:t xml:space="preserve"> </w:t>
      </w:r>
      <w:r w:rsidR="00B15BAC" w:rsidRPr="00876722">
        <w:rPr>
          <w:rFonts w:ascii="Bookman Old Style" w:hAnsi="Bookman Old Style"/>
          <w:sz w:val="24"/>
          <w:szCs w:val="24"/>
          <w:lang w:val="id-ID"/>
        </w:rPr>
        <w:t>202</w:t>
      </w:r>
      <w:r w:rsidR="00B15BAC" w:rsidRPr="00876722">
        <w:rPr>
          <w:rFonts w:ascii="Bookman Old Style" w:hAnsi="Bookman Old Style"/>
          <w:sz w:val="24"/>
          <w:szCs w:val="24"/>
          <w:lang w:val="en-US"/>
        </w:rPr>
        <w:t>4</w:t>
      </w:r>
      <w:r w:rsidRPr="00876722">
        <w:rPr>
          <w:rFonts w:ascii="Bookman Old Style" w:hAnsi="Bookman Old Style"/>
          <w:sz w:val="24"/>
          <w:szCs w:val="24"/>
        </w:rPr>
        <w:t>.</w:t>
      </w:r>
    </w:p>
    <w:p w14:paraId="0031A7DA" w14:textId="1F691BB8" w:rsidR="00924629" w:rsidRDefault="00924629" w:rsidP="008B21D9">
      <w:pPr>
        <w:pStyle w:val="ListParagraph"/>
        <w:spacing w:before="60" w:after="0" w:line="276" w:lineRule="auto"/>
        <w:ind w:left="1701"/>
        <w:contextualSpacing w:val="0"/>
        <w:jc w:val="both"/>
        <w:rPr>
          <w:rFonts w:ascii="Bookman Old Style" w:hAnsi="Bookman Old Style"/>
          <w:sz w:val="24"/>
          <w:szCs w:val="24"/>
          <w:lang w:val="id-ID"/>
        </w:rPr>
      </w:pPr>
      <w:r w:rsidRPr="00561267">
        <w:rPr>
          <w:rFonts w:ascii="Bookman Old Style" w:hAnsi="Bookman Old Style"/>
          <w:sz w:val="24"/>
          <w:szCs w:val="24"/>
        </w:rPr>
        <w:t>Penyediaan</w:t>
      </w:r>
      <w:r w:rsidR="00A954D0">
        <w:rPr>
          <w:rFonts w:ascii="Bookman Old Style" w:hAnsi="Bookman Old Style"/>
          <w:sz w:val="24"/>
          <w:szCs w:val="24"/>
        </w:rPr>
        <w:t xml:space="preserve"> </w:t>
      </w:r>
      <w:r w:rsidRPr="00561267">
        <w:rPr>
          <w:rFonts w:ascii="Bookman Old Style" w:hAnsi="Bookman Old Style"/>
          <w:sz w:val="24"/>
          <w:szCs w:val="24"/>
        </w:rPr>
        <w:t>anggaran</w:t>
      </w:r>
      <w:r w:rsidR="00A954D0">
        <w:rPr>
          <w:rFonts w:ascii="Bookman Old Style" w:hAnsi="Bookman Old Style"/>
          <w:sz w:val="24"/>
          <w:szCs w:val="24"/>
        </w:rPr>
        <w:t xml:space="preserve"> </w:t>
      </w:r>
      <w:r w:rsidRPr="00561267">
        <w:rPr>
          <w:rFonts w:ascii="Bookman Old Style" w:hAnsi="Bookman Old Style"/>
          <w:sz w:val="24"/>
          <w:szCs w:val="24"/>
        </w:rPr>
        <w:t>Belanja</w:t>
      </w:r>
      <w:r w:rsidR="00A954D0">
        <w:rPr>
          <w:rFonts w:ascii="Bookman Old Style" w:hAnsi="Bookman Old Style"/>
          <w:sz w:val="24"/>
          <w:szCs w:val="24"/>
        </w:rPr>
        <w:t xml:space="preserve"> </w:t>
      </w:r>
      <w:r w:rsidRPr="00561267">
        <w:rPr>
          <w:rFonts w:ascii="Bookman Old Style" w:hAnsi="Bookman Old Style"/>
          <w:sz w:val="24"/>
          <w:szCs w:val="24"/>
        </w:rPr>
        <w:t>Barang</w:t>
      </w:r>
      <w:r w:rsidR="00A954D0">
        <w:rPr>
          <w:rFonts w:ascii="Bookman Old Style" w:hAnsi="Bookman Old Style"/>
          <w:sz w:val="24"/>
          <w:szCs w:val="24"/>
        </w:rPr>
        <w:t xml:space="preserve"> </w:t>
      </w:r>
      <w:r w:rsidRPr="00561267">
        <w:rPr>
          <w:rFonts w:ascii="Bookman Old Style" w:hAnsi="Bookman Old Style"/>
          <w:sz w:val="24"/>
          <w:szCs w:val="24"/>
        </w:rPr>
        <w:t>dan</w:t>
      </w:r>
      <w:r w:rsidR="00A954D0">
        <w:rPr>
          <w:rFonts w:ascii="Bookman Old Style" w:hAnsi="Bookman Old Style"/>
          <w:sz w:val="24"/>
          <w:szCs w:val="24"/>
        </w:rPr>
        <w:t xml:space="preserve"> </w:t>
      </w:r>
      <w:r w:rsidRPr="00561267">
        <w:rPr>
          <w:rFonts w:ascii="Bookman Old Style" w:hAnsi="Bookman Old Style"/>
          <w:sz w:val="24"/>
          <w:szCs w:val="24"/>
        </w:rPr>
        <w:t>Jasa</w:t>
      </w:r>
      <w:r w:rsidR="00A954D0">
        <w:rPr>
          <w:rFonts w:ascii="Bookman Old Style" w:hAnsi="Bookman Old Style"/>
          <w:sz w:val="24"/>
          <w:szCs w:val="24"/>
        </w:rPr>
        <w:t xml:space="preserve"> </w:t>
      </w:r>
      <w:r w:rsidRPr="00561267">
        <w:rPr>
          <w:rFonts w:ascii="Bookman Old Style" w:hAnsi="Bookman Old Style"/>
          <w:sz w:val="24"/>
          <w:szCs w:val="24"/>
        </w:rPr>
        <w:t>yang</w:t>
      </w:r>
      <w:r w:rsidR="00A954D0">
        <w:rPr>
          <w:rFonts w:ascii="Bookman Old Style" w:hAnsi="Bookman Old Style"/>
          <w:sz w:val="24"/>
          <w:szCs w:val="24"/>
        </w:rPr>
        <w:t xml:space="preserve"> </w:t>
      </w:r>
      <w:r w:rsidRPr="00561267">
        <w:rPr>
          <w:rFonts w:ascii="Bookman Old Style" w:hAnsi="Bookman Old Style"/>
          <w:sz w:val="24"/>
          <w:szCs w:val="24"/>
        </w:rPr>
        <w:t>antara</w:t>
      </w:r>
      <w:r w:rsidR="00A954D0">
        <w:rPr>
          <w:rFonts w:ascii="Bookman Old Style" w:hAnsi="Bookman Old Style"/>
          <w:sz w:val="24"/>
          <w:szCs w:val="24"/>
        </w:rPr>
        <w:t xml:space="preserve"> </w:t>
      </w:r>
      <w:r w:rsidRPr="00561267">
        <w:rPr>
          <w:rFonts w:ascii="Bookman Old Style" w:hAnsi="Bookman Old Style"/>
          <w:sz w:val="24"/>
          <w:szCs w:val="24"/>
        </w:rPr>
        <w:t>lain</w:t>
      </w:r>
      <w:r w:rsidR="00A954D0">
        <w:rPr>
          <w:rFonts w:ascii="Bookman Old Style" w:hAnsi="Bookman Old Style"/>
          <w:sz w:val="24"/>
          <w:szCs w:val="24"/>
        </w:rPr>
        <w:t xml:space="preserve"> </w:t>
      </w:r>
      <w:r w:rsidRPr="00561267">
        <w:rPr>
          <w:rFonts w:ascii="Bookman Old Style" w:hAnsi="Bookman Old Style"/>
          <w:sz w:val="24"/>
          <w:szCs w:val="24"/>
        </w:rPr>
        <w:t>tercantum</w:t>
      </w:r>
      <w:r w:rsidR="00A954D0">
        <w:rPr>
          <w:rFonts w:ascii="Bookman Old Style" w:hAnsi="Bookman Old Style"/>
          <w:sz w:val="24"/>
          <w:szCs w:val="24"/>
        </w:rPr>
        <w:t xml:space="preserve"> </w:t>
      </w:r>
      <w:r w:rsidRPr="00561267">
        <w:rPr>
          <w:rFonts w:ascii="Bookman Old Style" w:hAnsi="Bookman Old Style"/>
          <w:sz w:val="24"/>
          <w:szCs w:val="24"/>
        </w:rPr>
        <w:t>pada</w:t>
      </w:r>
      <w:r w:rsidR="00A954D0">
        <w:rPr>
          <w:rFonts w:ascii="Bookman Old Style" w:hAnsi="Bookman Old Style"/>
          <w:sz w:val="24"/>
          <w:szCs w:val="24"/>
        </w:rPr>
        <w:t xml:space="preserve"> </w:t>
      </w:r>
      <w:r w:rsidRPr="00561267">
        <w:rPr>
          <w:rFonts w:ascii="Bookman Old Style" w:hAnsi="Bookman Old Style"/>
          <w:sz w:val="24"/>
          <w:szCs w:val="24"/>
        </w:rPr>
        <w:t>objek</w:t>
      </w:r>
      <w:r w:rsidR="00A954D0">
        <w:rPr>
          <w:rFonts w:ascii="Bookman Old Style" w:hAnsi="Bookman Old Style"/>
          <w:sz w:val="24"/>
          <w:szCs w:val="24"/>
          <w:lang w:val="sv-FI"/>
        </w:rPr>
        <w:t xml:space="preserve"> </w:t>
      </w:r>
      <w:r w:rsidRPr="00561267">
        <w:rPr>
          <w:rFonts w:ascii="Bookman Old Style" w:hAnsi="Bookman Old Style"/>
          <w:sz w:val="24"/>
          <w:szCs w:val="24"/>
          <w:lang w:val="sv-FI"/>
        </w:rPr>
        <w:t>belanja</w:t>
      </w:r>
      <w:r w:rsidRPr="00561267">
        <w:rPr>
          <w:rFonts w:ascii="Bookman Old Style" w:hAnsi="Bookman Old Style"/>
          <w:sz w:val="24"/>
          <w:szCs w:val="24"/>
        </w:rPr>
        <w:t>:</w:t>
      </w:r>
    </w:p>
    <w:p w14:paraId="6BEF8754" w14:textId="5CF2412C" w:rsidR="00DE7BA2" w:rsidRPr="00561267" w:rsidRDefault="00504972" w:rsidP="008B21D9">
      <w:pPr>
        <w:pStyle w:val="ListParagraph"/>
        <w:numPr>
          <w:ilvl w:val="0"/>
          <w:numId w:val="26"/>
        </w:numPr>
        <w:spacing w:before="60" w:after="0" w:line="276" w:lineRule="auto"/>
        <w:ind w:left="2268" w:hanging="567"/>
        <w:contextualSpacing w:val="0"/>
        <w:jc w:val="both"/>
        <w:rPr>
          <w:rFonts w:ascii="Bookman Old Style" w:hAnsi="Bookman Old Style"/>
          <w:sz w:val="24"/>
          <w:szCs w:val="24"/>
        </w:rPr>
      </w:pPr>
      <w:r w:rsidRPr="00561267">
        <w:rPr>
          <w:rFonts w:ascii="Bookman Old Style" w:hAnsi="Bookman Old Style"/>
          <w:sz w:val="24"/>
          <w:szCs w:val="24"/>
        </w:rPr>
        <w:t>Belanja</w:t>
      </w:r>
      <w:r w:rsidR="00A954D0">
        <w:rPr>
          <w:rFonts w:ascii="Bookman Old Style" w:hAnsi="Bookman Old Style"/>
          <w:sz w:val="24"/>
          <w:szCs w:val="24"/>
        </w:rPr>
        <w:t xml:space="preserve"> </w:t>
      </w:r>
      <w:r w:rsidRPr="00561267">
        <w:rPr>
          <w:rFonts w:ascii="Bookman Old Style" w:hAnsi="Bookman Old Style"/>
          <w:sz w:val="24"/>
          <w:szCs w:val="24"/>
        </w:rPr>
        <w:t>Barang</w:t>
      </w:r>
    </w:p>
    <w:p w14:paraId="581BBAA6" w14:textId="2662B52A" w:rsidR="00266CF2" w:rsidRPr="00561267" w:rsidRDefault="00924629" w:rsidP="008B21D9">
      <w:pPr>
        <w:pStyle w:val="ListParagraph"/>
        <w:spacing w:before="60" w:after="0" w:line="276" w:lineRule="auto"/>
        <w:ind w:left="2268"/>
        <w:contextualSpacing w:val="0"/>
        <w:jc w:val="both"/>
        <w:rPr>
          <w:rFonts w:ascii="Bookman Old Style" w:hAnsi="Bookman Old Style"/>
          <w:sz w:val="24"/>
          <w:szCs w:val="24"/>
        </w:rPr>
      </w:pPr>
      <w:r w:rsidRPr="00561267">
        <w:rPr>
          <w:rFonts w:ascii="Bookman Old Style" w:hAnsi="Bookman Old Style"/>
          <w:sz w:val="24"/>
          <w:szCs w:val="24"/>
        </w:rPr>
        <w:t>Penganggaran</w:t>
      </w:r>
      <w:r w:rsidR="00A954D0">
        <w:rPr>
          <w:rFonts w:ascii="Bookman Old Style" w:hAnsi="Bookman Old Style" w:cs="Arial"/>
          <w:sz w:val="24"/>
          <w:szCs w:val="24"/>
          <w:lang w:val="sv-FI"/>
        </w:rPr>
        <w:t xml:space="preserve"> </w:t>
      </w:r>
      <w:r w:rsidRPr="00561267">
        <w:rPr>
          <w:rFonts w:ascii="Bookman Old Style" w:hAnsi="Bookman Old Style" w:cs="Arial"/>
          <w:sz w:val="24"/>
          <w:szCs w:val="24"/>
          <w:lang w:val="sv-FI"/>
        </w:rPr>
        <w:t>Belanja</w:t>
      </w:r>
      <w:r w:rsidR="00A954D0">
        <w:rPr>
          <w:rFonts w:ascii="Bookman Old Style" w:hAnsi="Bookman Old Style" w:cs="Arial"/>
          <w:sz w:val="24"/>
          <w:szCs w:val="24"/>
          <w:lang w:val="sv-FI"/>
        </w:rPr>
        <w:t xml:space="preserve"> </w:t>
      </w:r>
      <w:r w:rsidRPr="00561267">
        <w:rPr>
          <w:rFonts w:ascii="Bookman Old Style" w:hAnsi="Bookman Old Style" w:cs="Arial"/>
          <w:sz w:val="24"/>
          <w:szCs w:val="24"/>
          <w:lang w:val="sv-FI"/>
        </w:rPr>
        <w:t>Barang</w:t>
      </w:r>
      <w:r w:rsidR="00A954D0">
        <w:rPr>
          <w:rFonts w:ascii="Bookman Old Style" w:hAnsi="Bookman Old Style" w:cs="Arial"/>
          <w:sz w:val="24"/>
          <w:szCs w:val="24"/>
          <w:lang w:val="sv-FI"/>
        </w:rPr>
        <w:t xml:space="preserve"> </w:t>
      </w:r>
      <w:r w:rsidR="00F41BD3" w:rsidRPr="00561267">
        <w:rPr>
          <w:rFonts w:ascii="Bookman Old Style" w:hAnsi="Bookman Old Style" w:cs="Arial"/>
          <w:sz w:val="24"/>
          <w:szCs w:val="24"/>
          <w:lang w:val="sv-FI"/>
        </w:rPr>
        <w:t>Rp436.842.107.435,00</w:t>
      </w:r>
      <w:r w:rsidR="00A954D0">
        <w:rPr>
          <w:rFonts w:ascii="Bookman Old Style" w:hAnsi="Bookman Old Style" w:cs="Arial"/>
          <w:sz w:val="24"/>
          <w:szCs w:val="24"/>
          <w:lang w:val="sv-FI"/>
        </w:rPr>
        <w:t xml:space="preserve"> </w:t>
      </w:r>
      <w:r w:rsidR="00F41BD3" w:rsidRPr="00561267">
        <w:rPr>
          <w:rFonts w:ascii="Bookman Old Style" w:hAnsi="Bookman Old Style" w:cs="Arial"/>
          <w:sz w:val="24"/>
          <w:szCs w:val="24"/>
          <w:lang w:val="sv-FI"/>
        </w:rPr>
        <w:t>atau</w:t>
      </w:r>
      <w:r w:rsidR="00A954D0">
        <w:rPr>
          <w:rFonts w:ascii="Bookman Old Style" w:hAnsi="Bookman Old Style" w:cs="Arial"/>
          <w:sz w:val="24"/>
          <w:szCs w:val="24"/>
          <w:lang w:val="sv-FI"/>
        </w:rPr>
        <w:t xml:space="preserve"> </w:t>
      </w:r>
      <w:r w:rsidR="00F41BD3" w:rsidRPr="00561267">
        <w:rPr>
          <w:rFonts w:ascii="Bookman Old Style" w:hAnsi="Bookman Old Style" w:cs="Arial"/>
          <w:sz w:val="24"/>
          <w:szCs w:val="24"/>
          <w:lang w:val="sv-FI"/>
        </w:rPr>
        <w:t>7,66%</w:t>
      </w:r>
      <w:r w:rsidR="00A954D0">
        <w:rPr>
          <w:rFonts w:ascii="Bookman Old Style" w:hAnsi="Bookman Old Style" w:cs="Arial"/>
          <w:sz w:val="24"/>
          <w:szCs w:val="24"/>
          <w:lang w:val="sv-FI"/>
        </w:rPr>
        <w:t xml:space="preserve"> </w:t>
      </w:r>
      <w:r w:rsidRPr="00561267">
        <w:rPr>
          <w:rFonts w:ascii="Bookman Old Style" w:hAnsi="Bookman Old Style"/>
          <w:sz w:val="24"/>
          <w:szCs w:val="24"/>
        </w:rPr>
        <w:t>dari</w:t>
      </w:r>
      <w:r w:rsidR="00A954D0">
        <w:rPr>
          <w:rFonts w:ascii="Bookman Old Style" w:hAnsi="Bookman Old Style"/>
          <w:sz w:val="24"/>
          <w:szCs w:val="24"/>
        </w:rPr>
        <w:t xml:space="preserve"> </w:t>
      </w:r>
      <w:r w:rsidRPr="00561267">
        <w:rPr>
          <w:rFonts w:ascii="Bookman Old Style" w:hAnsi="Bookman Old Style"/>
          <w:sz w:val="24"/>
          <w:szCs w:val="24"/>
        </w:rPr>
        <w:t>total</w:t>
      </w:r>
      <w:r w:rsidR="00A954D0">
        <w:rPr>
          <w:rFonts w:ascii="Bookman Old Style" w:hAnsi="Bookman Old Style"/>
          <w:sz w:val="24"/>
          <w:szCs w:val="24"/>
        </w:rPr>
        <w:t xml:space="preserve"> </w:t>
      </w:r>
      <w:r w:rsidRPr="00561267">
        <w:rPr>
          <w:rFonts w:ascii="Bookman Old Style" w:hAnsi="Bookman Old Style"/>
          <w:sz w:val="24"/>
          <w:szCs w:val="24"/>
        </w:rPr>
        <w:t>belanja</w:t>
      </w:r>
      <w:r w:rsidR="00A954D0">
        <w:rPr>
          <w:rFonts w:ascii="Bookman Old Style" w:hAnsi="Bookman Old Style"/>
          <w:sz w:val="24"/>
          <w:szCs w:val="24"/>
        </w:rPr>
        <w:t xml:space="preserve"> </w:t>
      </w:r>
      <w:r w:rsidRPr="00561267">
        <w:rPr>
          <w:rFonts w:ascii="Bookman Old Style" w:hAnsi="Bookman Old Style"/>
          <w:sz w:val="24"/>
          <w:szCs w:val="24"/>
        </w:rPr>
        <w:t>daerah</w:t>
      </w:r>
      <w:r w:rsidR="00A954D0">
        <w:rPr>
          <w:rFonts w:ascii="Bookman Old Style" w:hAnsi="Bookman Old Style"/>
          <w:sz w:val="24"/>
          <w:szCs w:val="24"/>
        </w:rPr>
        <w:t xml:space="preserve"> </w:t>
      </w:r>
      <w:r w:rsidRPr="00561267">
        <w:rPr>
          <w:rFonts w:ascii="Bookman Old Style" w:hAnsi="Bookman Old Style"/>
          <w:sz w:val="24"/>
          <w:szCs w:val="24"/>
        </w:rPr>
        <w:t>dalam</w:t>
      </w:r>
      <w:r w:rsidR="00A954D0">
        <w:rPr>
          <w:rFonts w:ascii="Bookman Old Style" w:hAnsi="Bookman Old Style"/>
          <w:sz w:val="24"/>
          <w:szCs w:val="24"/>
        </w:rPr>
        <w:t xml:space="preserve"> </w:t>
      </w:r>
      <w:r w:rsidRPr="00561267">
        <w:rPr>
          <w:rFonts w:ascii="Bookman Old Style" w:hAnsi="Bookman Old Style"/>
          <w:sz w:val="24"/>
          <w:szCs w:val="24"/>
        </w:rPr>
        <w:t>Rancangan</w:t>
      </w:r>
      <w:r w:rsidR="00A954D0">
        <w:rPr>
          <w:rFonts w:ascii="Bookman Old Style" w:hAnsi="Bookman Old Style"/>
          <w:sz w:val="24"/>
          <w:szCs w:val="24"/>
        </w:rPr>
        <w:t xml:space="preserve"> </w:t>
      </w:r>
      <w:r w:rsidRPr="00561267">
        <w:rPr>
          <w:rFonts w:ascii="Bookman Old Style" w:hAnsi="Bookman Old Style"/>
          <w:sz w:val="24"/>
          <w:szCs w:val="24"/>
        </w:rPr>
        <w:t>Peraturan</w:t>
      </w:r>
      <w:r w:rsidR="00A954D0">
        <w:rPr>
          <w:rFonts w:ascii="Bookman Old Style" w:hAnsi="Bookman Old Style"/>
          <w:sz w:val="24"/>
          <w:szCs w:val="24"/>
        </w:rPr>
        <w:t xml:space="preserve"> </w:t>
      </w:r>
      <w:r w:rsidRPr="00561267">
        <w:rPr>
          <w:rFonts w:ascii="Bookman Old Style" w:hAnsi="Bookman Old Style"/>
          <w:sz w:val="24"/>
          <w:szCs w:val="24"/>
        </w:rPr>
        <w:t>Daerah</w:t>
      </w:r>
      <w:r w:rsidR="00A954D0">
        <w:rPr>
          <w:rFonts w:ascii="Bookman Old Style" w:hAnsi="Bookman Old Style"/>
          <w:sz w:val="24"/>
          <w:szCs w:val="24"/>
          <w:lang w:val="id-ID"/>
        </w:rPr>
        <w:t xml:space="preserve"> </w:t>
      </w:r>
      <w:r w:rsidR="00B055C5" w:rsidRPr="00561267">
        <w:rPr>
          <w:rFonts w:ascii="Bookman Old Style" w:hAnsi="Bookman Old Style"/>
          <w:sz w:val="24"/>
          <w:szCs w:val="24"/>
          <w:lang w:val="id-ID"/>
        </w:rPr>
        <w:t>Kota</w:t>
      </w:r>
      <w:r w:rsidR="00A954D0">
        <w:rPr>
          <w:rFonts w:ascii="Bookman Old Style" w:hAnsi="Bookman Old Style"/>
          <w:sz w:val="24"/>
          <w:szCs w:val="24"/>
          <w:lang w:val="id-ID"/>
        </w:rPr>
        <w:t xml:space="preserve"> </w:t>
      </w:r>
      <w:r w:rsidR="00770F22" w:rsidRPr="00561267">
        <w:rPr>
          <w:rFonts w:ascii="Bookman Old Style" w:hAnsi="Bookman Old Style"/>
          <w:sz w:val="24"/>
          <w:szCs w:val="24"/>
          <w:lang w:val="id-ID"/>
        </w:rPr>
        <w:t>Tangerang</w:t>
      </w:r>
      <w:r w:rsidR="00A954D0">
        <w:rPr>
          <w:rFonts w:ascii="Bookman Old Style" w:hAnsi="Bookman Old Style"/>
          <w:sz w:val="24"/>
          <w:szCs w:val="24"/>
          <w:lang w:val="id-ID"/>
        </w:rPr>
        <w:t xml:space="preserve"> </w:t>
      </w:r>
      <w:r w:rsidR="00BE6ED9" w:rsidRPr="00561267">
        <w:rPr>
          <w:rFonts w:ascii="Bookman Old Style" w:hAnsi="Bookman Old Style"/>
          <w:sz w:val="24"/>
          <w:szCs w:val="24"/>
          <w:lang w:val="id-ID"/>
        </w:rPr>
        <w:t>tentang</w:t>
      </w:r>
      <w:r w:rsidR="00A954D0">
        <w:rPr>
          <w:rFonts w:ascii="Bookman Old Style" w:hAnsi="Bookman Old Style"/>
          <w:sz w:val="24"/>
          <w:szCs w:val="24"/>
          <w:lang w:val="id-ID"/>
        </w:rPr>
        <w:t xml:space="preserve"> </w:t>
      </w:r>
      <w:r w:rsidR="00BE6ED9" w:rsidRPr="00561267">
        <w:rPr>
          <w:rFonts w:ascii="Bookman Old Style" w:hAnsi="Bookman Old Style"/>
          <w:sz w:val="24"/>
          <w:szCs w:val="24"/>
          <w:lang w:val="id-ID"/>
        </w:rPr>
        <w:t>APBD</w:t>
      </w:r>
      <w:r w:rsidR="00A954D0">
        <w:rPr>
          <w:rFonts w:ascii="Bookman Old Style" w:hAnsi="Bookman Old Style"/>
          <w:sz w:val="24"/>
          <w:szCs w:val="24"/>
        </w:rPr>
        <w:t xml:space="preserve"> </w:t>
      </w:r>
      <w:r w:rsidRPr="00561267">
        <w:rPr>
          <w:rFonts w:ascii="Bookman Old Style" w:hAnsi="Bookman Old Style"/>
          <w:sz w:val="24"/>
          <w:szCs w:val="24"/>
        </w:rPr>
        <w:t>Tahun</w:t>
      </w:r>
      <w:r w:rsidR="00A954D0">
        <w:rPr>
          <w:rFonts w:ascii="Bookman Old Style" w:hAnsi="Bookman Old Style"/>
          <w:sz w:val="24"/>
          <w:szCs w:val="24"/>
        </w:rPr>
        <w:t xml:space="preserve"> </w:t>
      </w:r>
      <w:r w:rsidRPr="00561267">
        <w:rPr>
          <w:rFonts w:ascii="Bookman Old Style" w:hAnsi="Bookman Old Style"/>
          <w:sz w:val="24"/>
          <w:szCs w:val="24"/>
        </w:rPr>
        <w:t>Anggaran</w:t>
      </w:r>
      <w:r w:rsidR="00A954D0">
        <w:rPr>
          <w:rFonts w:ascii="Bookman Old Style" w:hAnsi="Bookman Old Style"/>
          <w:sz w:val="24"/>
          <w:szCs w:val="24"/>
        </w:rPr>
        <w:t xml:space="preserve"> </w:t>
      </w:r>
      <w:r w:rsidRPr="00561267">
        <w:rPr>
          <w:rFonts w:ascii="Bookman Old Style" w:hAnsi="Bookman Old Style"/>
          <w:sz w:val="24"/>
          <w:szCs w:val="24"/>
        </w:rPr>
        <w:t>202</w:t>
      </w:r>
      <w:r w:rsidR="00B15BAC" w:rsidRPr="003255BC">
        <w:rPr>
          <w:rFonts w:ascii="Bookman Old Style" w:hAnsi="Bookman Old Style"/>
          <w:sz w:val="24"/>
          <w:szCs w:val="24"/>
          <w:lang w:val="sv-FI"/>
        </w:rPr>
        <w:t>5</w:t>
      </w:r>
      <w:r w:rsidRPr="00561267">
        <w:rPr>
          <w:rFonts w:ascii="Bookman Old Style" w:hAnsi="Bookman Old Style"/>
          <w:sz w:val="24"/>
          <w:szCs w:val="24"/>
        </w:rPr>
        <w:t>,</w:t>
      </w:r>
      <w:r w:rsidR="00A954D0">
        <w:rPr>
          <w:rFonts w:ascii="Bookman Old Style" w:hAnsi="Bookman Old Style"/>
          <w:sz w:val="24"/>
          <w:szCs w:val="24"/>
        </w:rPr>
        <w:t xml:space="preserve"> </w:t>
      </w:r>
      <w:r w:rsidRPr="00561267">
        <w:rPr>
          <w:rFonts w:ascii="Bookman Old Style" w:hAnsi="Bookman Old Style"/>
          <w:sz w:val="24"/>
          <w:szCs w:val="24"/>
        </w:rPr>
        <w:t>yang</w:t>
      </w:r>
      <w:r w:rsidR="00A954D0">
        <w:rPr>
          <w:rFonts w:ascii="Bookman Old Style" w:hAnsi="Bookman Old Style"/>
          <w:sz w:val="24"/>
          <w:szCs w:val="24"/>
        </w:rPr>
        <w:t xml:space="preserve"> </w:t>
      </w:r>
      <w:r w:rsidRPr="00561267">
        <w:rPr>
          <w:rFonts w:ascii="Bookman Old Style" w:hAnsi="Bookman Old Style"/>
          <w:sz w:val="24"/>
          <w:szCs w:val="24"/>
        </w:rPr>
        <w:t>diuraikan</w:t>
      </w:r>
      <w:r w:rsidR="00A954D0">
        <w:rPr>
          <w:rFonts w:ascii="Bookman Old Style" w:hAnsi="Bookman Old Style"/>
          <w:sz w:val="24"/>
          <w:szCs w:val="24"/>
        </w:rPr>
        <w:t xml:space="preserve"> </w:t>
      </w:r>
      <w:r w:rsidRPr="00561267">
        <w:rPr>
          <w:rFonts w:ascii="Bookman Old Style" w:hAnsi="Bookman Old Style"/>
          <w:sz w:val="24"/>
          <w:szCs w:val="24"/>
        </w:rPr>
        <w:t>ke</w:t>
      </w:r>
      <w:r w:rsidR="00A954D0">
        <w:rPr>
          <w:rFonts w:ascii="Bookman Old Style" w:hAnsi="Bookman Old Style"/>
          <w:sz w:val="24"/>
          <w:szCs w:val="24"/>
        </w:rPr>
        <w:t xml:space="preserve"> </w:t>
      </w:r>
      <w:r w:rsidRPr="00561267">
        <w:rPr>
          <w:rFonts w:ascii="Bookman Old Style" w:hAnsi="Bookman Old Style"/>
          <w:sz w:val="24"/>
          <w:szCs w:val="24"/>
        </w:rPr>
        <w:t>dalam</w:t>
      </w:r>
      <w:r w:rsidR="00A954D0">
        <w:rPr>
          <w:rFonts w:ascii="Bookman Old Style" w:hAnsi="Bookman Old Style"/>
          <w:sz w:val="24"/>
          <w:szCs w:val="24"/>
        </w:rPr>
        <w:t xml:space="preserve"> </w:t>
      </w:r>
      <w:r w:rsidRPr="00561267">
        <w:rPr>
          <w:rFonts w:ascii="Bookman Old Style" w:hAnsi="Bookman Old Style"/>
          <w:sz w:val="24"/>
          <w:szCs w:val="24"/>
        </w:rPr>
        <w:t>rincian</w:t>
      </w:r>
      <w:r w:rsidR="00A954D0">
        <w:rPr>
          <w:rFonts w:ascii="Bookman Old Style" w:hAnsi="Bookman Old Style"/>
          <w:sz w:val="24"/>
          <w:szCs w:val="24"/>
        </w:rPr>
        <w:t xml:space="preserve"> </w:t>
      </w:r>
      <w:r w:rsidRPr="00561267">
        <w:rPr>
          <w:rFonts w:ascii="Bookman Old Style" w:hAnsi="Bookman Old Style"/>
          <w:sz w:val="24"/>
          <w:szCs w:val="24"/>
        </w:rPr>
        <w:t>objek</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belanja:</w:t>
      </w:r>
      <w:r w:rsidR="00A954D0">
        <w:rPr>
          <w:rFonts w:ascii="Bookman Old Style" w:hAnsi="Bookman Old Style"/>
          <w:sz w:val="24"/>
          <w:szCs w:val="24"/>
          <w:lang w:val="id-ID"/>
        </w:rPr>
        <w:t xml:space="preserve"> </w:t>
      </w:r>
    </w:p>
    <w:p w14:paraId="168FCFEC" w14:textId="67F966AD" w:rsidR="00B15BAC" w:rsidRPr="00561267" w:rsidRDefault="001C2C53" w:rsidP="008B21D9">
      <w:pPr>
        <w:pStyle w:val="ListParagraph"/>
        <w:numPr>
          <w:ilvl w:val="0"/>
          <w:numId w:val="41"/>
        </w:numPr>
        <w:snapToGrid w:val="0"/>
        <w:spacing w:before="60" w:after="0" w:line="276" w:lineRule="auto"/>
        <w:ind w:left="2694" w:hanging="425"/>
        <w:contextualSpacing w:val="0"/>
        <w:jc w:val="both"/>
        <w:rPr>
          <w:rFonts w:ascii="Bookman Old Style" w:hAnsi="Bookman Old Style"/>
          <w:sz w:val="24"/>
          <w:szCs w:val="24"/>
        </w:rPr>
      </w:pPr>
      <w:r w:rsidRPr="00561267">
        <w:rPr>
          <w:rFonts w:ascii="Bookman Old Style" w:hAnsi="Bookman Old Style"/>
          <w:sz w:val="24"/>
          <w:szCs w:val="24"/>
        </w:rPr>
        <w:t>Belanja</w:t>
      </w:r>
      <w:r w:rsidR="00A954D0">
        <w:rPr>
          <w:rFonts w:ascii="Bookman Old Style" w:hAnsi="Bookman Old Style"/>
          <w:sz w:val="24"/>
          <w:szCs w:val="24"/>
        </w:rPr>
        <w:t xml:space="preserve"> </w:t>
      </w:r>
      <w:r w:rsidRPr="00561267">
        <w:rPr>
          <w:rFonts w:ascii="Bookman Old Style" w:hAnsi="Bookman Old Style"/>
          <w:sz w:val="24"/>
          <w:szCs w:val="24"/>
          <w:lang w:val="en-US"/>
        </w:rPr>
        <w:t>Barang</w:t>
      </w:r>
      <w:r w:rsidR="00A954D0">
        <w:rPr>
          <w:rFonts w:ascii="Bookman Old Style" w:hAnsi="Bookman Old Style"/>
          <w:sz w:val="24"/>
          <w:szCs w:val="24"/>
        </w:rPr>
        <w:t xml:space="preserve"> </w:t>
      </w:r>
      <w:r w:rsidRPr="00561267">
        <w:rPr>
          <w:rFonts w:ascii="Bookman Old Style" w:hAnsi="Bookman Old Style"/>
          <w:sz w:val="24"/>
          <w:szCs w:val="24"/>
        </w:rPr>
        <w:t>Pakai</w:t>
      </w:r>
      <w:r w:rsidR="00A954D0">
        <w:rPr>
          <w:rFonts w:ascii="Bookman Old Style" w:hAnsi="Bookman Old Style"/>
          <w:sz w:val="24"/>
          <w:szCs w:val="24"/>
        </w:rPr>
        <w:t xml:space="preserve"> </w:t>
      </w:r>
      <w:r w:rsidRPr="00561267">
        <w:rPr>
          <w:rFonts w:ascii="Bookman Old Style" w:hAnsi="Bookman Old Style"/>
          <w:sz w:val="24"/>
          <w:szCs w:val="24"/>
        </w:rPr>
        <w:t>Habis</w:t>
      </w:r>
      <w:r w:rsidR="00A954D0">
        <w:rPr>
          <w:rFonts w:ascii="Bookman Old Style" w:hAnsi="Bookman Old Style"/>
          <w:sz w:val="24"/>
          <w:szCs w:val="24"/>
          <w:lang w:val="id-ID"/>
        </w:rPr>
        <w:t xml:space="preserve"> </w:t>
      </w:r>
      <w:r w:rsidR="007B62C4" w:rsidRPr="00561267">
        <w:rPr>
          <w:rFonts w:ascii="Bookman Old Style" w:hAnsi="Bookman Old Style"/>
          <w:sz w:val="24"/>
          <w:szCs w:val="24"/>
          <w:lang w:val="sv-FI"/>
        </w:rPr>
        <w:t>Rp435.383.955.435,00</w:t>
      </w:r>
      <w:r w:rsidR="00A954D0">
        <w:rPr>
          <w:rFonts w:ascii="Bookman Old Style" w:hAnsi="Bookman Old Style"/>
          <w:sz w:val="24"/>
          <w:szCs w:val="24"/>
          <w:lang w:val="sv-FI"/>
        </w:rPr>
        <w:t xml:space="preserve"> </w:t>
      </w:r>
      <w:r w:rsidR="007B62C4" w:rsidRPr="00561267">
        <w:rPr>
          <w:rFonts w:ascii="Bookman Old Style" w:hAnsi="Bookman Old Style"/>
          <w:sz w:val="24"/>
          <w:szCs w:val="24"/>
          <w:lang w:val="sv-FI"/>
        </w:rPr>
        <w:t>atau</w:t>
      </w:r>
      <w:r w:rsidR="00A954D0">
        <w:rPr>
          <w:rFonts w:ascii="Bookman Old Style" w:hAnsi="Bookman Old Style"/>
          <w:sz w:val="24"/>
          <w:szCs w:val="24"/>
          <w:lang w:val="sv-FI"/>
        </w:rPr>
        <w:t xml:space="preserve"> </w:t>
      </w:r>
      <w:r w:rsidR="007B62C4" w:rsidRPr="00561267">
        <w:rPr>
          <w:rFonts w:ascii="Bookman Old Style" w:hAnsi="Bookman Old Style"/>
          <w:sz w:val="24"/>
          <w:szCs w:val="24"/>
          <w:lang w:val="sv-FI"/>
        </w:rPr>
        <w:t>7,63%</w:t>
      </w:r>
      <w:r w:rsidR="00A954D0">
        <w:rPr>
          <w:rFonts w:ascii="Bookman Old Style" w:hAnsi="Bookman Old Style"/>
          <w:sz w:val="24"/>
          <w:szCs w:val="24"/>
          <w:lang w:val="sv-FI"/>
        </w:rPr>
        <w:t xml:space="preserve"> </w:t>
      </w:r>
      <w:r w:rsidR="00504972" w:rsidRPr="00561267">
        <w:rPr>
          <w:rFonts w:ascii="Bookman Old Style" w:hAnsi="Bookman Old Style"/>
          <w:sz w:val="24"/>
          <w:szCs w:val="24"/>
        </w:rPr>
        <w:t>dari</w:t>
      </w:r>
      <w:r w:rsidR="00A954D0">
        <w:rPr>
          <w:rFonts w:ascii="Bookman Old Style" w:hAnsi="Bookman Old Style"/>
          <w:sz w:val="24"/>
          <w:szCs w:val="24"/>
        </w:rPr>
        <w:t xml:space="preserve"> </w:t>
      </w:r>
      <w:r w:rsidR="00504972" w:rsidRPr="00561267">
        <w:rPr>
          <w:rFonts w:ascii="Bookman Old Style" w:hAnsi="Bookman Old Style"/>
          <w:sz w:val="24"/>
          <w:szCs w:val="24"/>
        </w:rPr>
        <w:t>total</w:t>
      </w:r>
      <w:r w:rsidR="00A954D0">
        <w:rPr>
          <w:rFonts w:ascii="Bookman Old Style" w:hAnsi="Bookman Old Style"/>
          <w:sz w:val="24"/>
          <w:szCs w:val="24"/>
        </w:rPr>
        <w:t xml:space="preserve"> </w:t>
      </w:r>
      <w:r w:rsidR="00504972" w:rsidRPr="00561267">
        <w:rPr>
          <w:rFonts w:ascii="Bookman Old Style" w:hAnsi="Bookman Old Style"/>
          <w:sz w:val="24"/>
          <w:szCs w:val="24"/>
        </w:rPr>
        <w:t>belanja</w:t>
      </w:r>
      <w:r w:rsidR="00A954D0">
        <w:rPr>
          <w:rFonts w:ascii="Bookman Old Style" w:hAnsi="Bookman Old Style"/>
          <w:sz w:val="24"/>
          <w:szCs w:val="24"/>
        </w:rPr>
        <w:t xml:space="preserve"> </w:t>
      </w:r>
      <w:r w:rsidR="00504972" w:rsidRPr="00561267">
        <w:rPr>
          <w:rFonts w:ascii="Bookman Old Style" w:hAnsi="Bookman Old Style"/>
          <w:sz w:val="24"/>
          <w:szCs w:val="24"/>
        </w:rPr>
        <w:t>daerah</w:t>
      </w:r>
      <w:r w:rsidR="00A954D0">
        <w:rPr>
          <w:rFonts w:ascii="Bookman Old Style" w:hAnsi="Bookman Old Style"/>
          <w:sz w:val="24"/>
          <w:szCs w:val="24"/>
        </w:rPr>
        <w:t xml:space="preserve"> </w:t>
      </w:r>
      <w:r w:rsidR="00504972" w:rsidRPr="00561267">
        <w:rPr>
          <w:rFonts w:ascii="Bookman Old Style" w:hAnsi="Bookman Old Style"/>
          <w:sz w:val="24"/>
          <w:szCs w:val="24"/>
        </w:rPr>
        <w:t>dalam</w:t>
      </w:r>
      <w:r w:rsidR="00A954D0">
        <w:rPr>
          <w:rFonts w:ascii="Bookman Old Style" w:hAnsi="Bookman Old Style"/>
          <w:sz w:val="24"/>
          <w:szCs w:val="24"/>
        </w:rPr>
        <w:t xml:space="preserve"> </w:t>
      </w:r>
      <w:r w:rsidR="000B0B5B" w:rsidRPr="00561267">
        <w:rPr>
          <w:rFonts w:ascii="Bookman Old Style" w:hAnsi="Bookman Old Style"/>
          <w:sz w:val="24"/>
          <w:szCs w:val="24"/>
        </w:rPr>
        <w:t>Rancangan</w:t>
      </w:r>
      <w:r w:rsidR="00A954D0">
        <w:rPr>
          <w:rFonts w:ascii="Bookman Old Style" w:hAnsi="Bookman Old Style"/>
          <w:sz w:val="24"/>
          <w:szCs w:val="24"/>
        </w:rPr>
        <w:t xml:space="preserve"> </w:t>
      </w:r>
      <w:r w:rsidR="000B0B5B" w:rsidRPr="00561267">
        <w:rPr>
          <w:rFonts w:ascii="Bookman Old Style" w:hAnsi="Bookman Old Style"/>
          <w:sz w:val="24"/>
          <w:szCs w:val="24"/>
        </w:rPr>
        <w:t>Peraturan</w:t>
      </w:r>
      <w:r w:rsidR="00A954D0">
        <w:rPr>
          <w:rFonts w:ascii="Bookman Old Style" w:hAnsi="Bookman Old Style"/>
          <w:sz w:val="24"/>
          <w:szCs w:val="24"/>
        </w:rPr>
        <w:t xml:space="preserve"> </w:t>
      </w:r>
      <w:r w:rsidR="000B0B5B" w:rsidRPr="00561267">
        <w:rPr>
          <w:rFonts w:ascii="Bookman Old Style" w:hAnsi="Bookman Old Style"/>
          <w:sz w:val="24"/>
          <w:szCs w:val="24"/>
        </w:rPr>
        <w:t>Daerah</w:t>
      </w:r>
      <w:r w:rsidR="00A954D0">
        <w:rPr>
          <w:rFonts w:ascii="Bookman Old Style" w:hAnsi="Bookman Old Style"/>
          <w:sz w:val="24"/>
          <w:szCs w:val="24"/>
          <w:lang w:val="id-ID"/>
        </w:rPr>
        <w:t xml:space="preserve"> </w:t>
      </w:r>
      <w:bookmarkStart w:id="27" w:name="_Hlk182902858"/>
      <w:r w:rsidR="00B055C5" w:rsidRPr="00561267">
        <w:rPr>
          <w:rFonts w:ascii="Bookman Old Style" w:hAnsi="Bookman Old Style"/>
          <w:sz w:val="24"/>
          <w:szCs w:val="24"/>
          <w:lang w:val="id-ID"/>
        </w:rPr>
        <w:t>Kota</w:t>
      </w:r>
      <w:r w:rsidR="00A954D0">
        <w:rPr>
          <w:rFonts w:ascii="Bookman Old Style" w:hAnsi="Bookman Old Style"/>
          <w:sz w:val="24"/>
          <w:szCs w:val="24"/>
          <w:lang w:val="id-ID"/>
        </w:rPr>
        <w:t xml:space="preserve"> </w:t>
      </w:r>
      <w:bookmarkEnd w:id="27"/>
      <w:r w:rsidR="00770F22" w:rsidRPr="00561267">
        <w:rPr>
          <w:rFonts w:ascii="Bookman Old Style" w:hAnsi="Bookman Old Style"/>
          <w:sz w:val="24"/>
          <w:szCs w:val="24"/>
          <w:lang w:val="id-ID"/>
        </w:rPr>
        <w:t>Tangerang</w:t>
      </w:r>
      <w:r w:rsidR="00A954D0">
        <w:rPr>
          <w:rFonts w:ascii="Bookman Old Style" w:hAnsi="Bookman Old Style"/>
          <w:sz w:val="24"/>
          <w:szCs w:val="24"/>
          <w:lang w:val="id-ID"/>
        </w:rPr>
        <w:t xml:space="preserve"> </w:t>
      </w:r>
      <w:r w:rsidR="00BE6ED9" w:rsidRPr="00561267">
        <w:rPr>
          <w:rFonts w:ascii="Bookman Old Style" w:hAnsi="Bookman Old Style"/>
          <w:sz w:val="24"/>
          <w:szCs w:val="24"/>
          <w:lang w:val="id-ID"/>
        </w:rPr>
        <w:t>tentang</w:t>
      </w:r>
      <w:r w:rsidR="00A954D0">
        <w:rPr>
          <w:rFonts w:ascii="Bookman Old Style" w:hAnsi="Bookman Old Style"/>
          <w:sz w:val="24"/>
          <w:szCs w:val="24"/>
          <w:lang w:val="id-ID"/>
        </w:rPr>
        <w:t xml:space="preserve"> </w:t>
      </w:r>
      <w:r w:rsidR="00BE6ED9" w:rsidRPr="00561267">
        <w:rPr>
          <w:rFonts w:ascii="Bookman Old Style" w:hAnsi="Bookman Old Style"/>
          <w:sz w:val="24"/>
          <w:szCs w:val="24"/>
          <w:lang w:val="id-ID"/>
        </w:rPr>
        <w:t>APBD</w:t>
      </w:r>
      <w:r w:rsidR="00A954D0">
        <w:rPr>
          <w:rFonts w:ascii="Bookman Old Style" w:hAnsi="Bookman Old Style"/>
          <w:sz w:val="24"/>
          <w:szCs w:val="24"/>
        </w:rPr>
        <w:t xml:space="preserve"> </w:t>
      </w:r>
      <w:r w:rsidR="00504972" w:rsidRPr="00561267">
        <w:rPr>
          <w:rFonts w:ascii="Bookman Old Style" w:hAnsi="Bookman Old Style"/>
          <w:sz w:val="24"/>
          <w:szCs w:val="24"/>
        </w:rPr>
        <w:t>Tahun</w:t>
      </w:r>
      <w:r w:rsidR="00A954D0">
        <w:rPr>
          <w:rFonts w:ascii="Bookman Old Style" w:hAnsi="Bookman Old Style"/>
          <w:sz w:val="24"/>
          <w:szCs w:val="24"/>
        </w:rPr>
        <w:t xml:space="preserve"> </w:t>
      </w:r>
      <w:r w:rsidR="00504972" w:rsidRPr="00561267">
        <w:rPr>
          <w:rFonts w:ascii="Bookman Old Style" w:hAnsi="Bookman Old Style"/>
          <w:sz w:val="24"/>
          <w:szCs w:val="24"/>
        </w:rPr>
        <w:t>Anggaran</w:t>
      </w:r>
      <w:r w:rsidR="00A954D0">
        <w:rPr>
          <w:rFonts w:ascii="Bookman Old Style" w:hAnsi="Bookman Old Style"/>
          <w:sz w:val="24"/>
          <w:szCs w:val="24"/>
        </w:rPr>
        <w:t xml:space="preserve"> </w:t>
      </w:r>
      <w:r w:rsidR="00504972" w:rsidRPr="00561267">
        <w:rPr>
          <w:rFonts w:ascii="Bookman Old Style" w:hAnsi="Bookman Old Style"/>
          <w:sz w:val="24"/>
          <w:szCs w:val="24"/>
        </w:rPr>
        <w:t>202</w:t>
      </w:r>
      <w:r w:rsidR="00B15BAC" w:rsidRPr="00561267">
        <w:rPr>
          <w:rFonts w:ascii="Bookman Old Style" w:hAnsi="Bookman Old Style"/>
          <w:sz w:val="24"/>
          <w:szCs w:val="24"/>
          <w:lang w:val="en-US"/>
        </w:rPr>
        <w:t>5</w:t>
      </w:r>
      <w:r w:rsidR="00504972" w:rsidRPr="00561267">
        <w:rPr>
          <w:rFonts w:ascii="Bookman Old Style" w:hAnsi="Bookman Old Style"/>
          <w:sz w:val="24"/>
          <w:szCs w:val="24"/>
        </w:rPr>
        <w:t>,</w:t>
      </w:r>
      <w:r w:rsidR="00A954D0">
        <w:rPr>
          <w:rFonts w:ascii="Bookman Old Style" w:hAnsi="Bookman Old Style"/>
          <w:sz w:val="24"/>
          <w:szCs w:val="24"/>
        </w:rPr>
        <w:t xml:space="preserve"> </w:t>
      </w:r>
      <w:r w:rsidR="00B15BAC" w:rsidRPr="00561267">
        <w:rPr>
          <w:rFonts w:ascii="Bookman Old Style" w:hAnsi="Bookman Old Style"/>
          <w:sz w:val="24"/>
          <w:szCs w:val="24"/>
        </w:rPr>
        <w:t>yang</w:t>
      </w:r>
      <w:r w:rsidR="00A954D0">
        <w:rPr>
          <w:rFonts w:ascii="Bookman Old Style" w:hAnsi="Bookman Old Style"/>
          <w:sz w:val="24"/>
          <w:szCs w:val="24"/>
        </w:rPr>
        <w:t xml:space="preserve"> </w:t>
      </w:r>
      <w:r w:rsidR="00B15BAC" w:rsidRPr="00561267">
        <w:rPr>
          <w:rFonts w:ascii="Bookman Old Style" w:hAnsi="Bookman Old Style"/>
          <w:sz w:val="24"/>
          <w:szCs w:val="24"/>
        </w:rPr>
        <w:t>antara</w:t>
      </w:r>
      <w:r w:rsidR="00A954D0">
        <w:rPr>
          <w:rFonts w:ascii="Bookman Old Style" w:hAnsi="Bookman Old Style"/>
          <w:sz w:val="24"/>
          <w:szCs w:val="24"/>
        </w:rPr>
        <w:t xml:space="preserve"> </w:t>
      </w:r>
      <w:r w:rsidR="00B15BAC" w:rsidRPr="00561267">
        <w:rPr>
          <w:rFonts w:ascii="Bookman Old Style" w:hAnsi="Bookman Old Style"/>
          <w:sz w:val="24"/>
          <w:szCs w:val="24"/>
        </w:rPr>
        <w:t>lain</w:t>
      </w:r>
      <w:r w:rsidR="00A954D0">
        <w:rPr>
          <w:rFonts w:ascii="Bookman Old Style" w:hAnsi="Bookman Old Style"/>
          <w:sz w:val="24"/>
          <w:szCs w:val="24"/>
          <w:lang w:val="en-US"/>
        </w:rPr>
        <w:t xml:space="preserve"> </w:t>
      </w:r>
      <w:r w:rsidR="00B15BAC" w:rsidRPr="00561267">
        <w:rPr>
          <w:rFonts w:ascii="Bookman Old Style" w:hAnsi="Bookman Old Style"/>
          <w:sz w:val="24"/>
          <w:szCs w:val="24"/>
        </w:rPr>
        <w:t>diuraikan</w:t>
      </w:r>
      <w:r w:rsidR="00A954D0">
        <w:rPr>
          <w:rFonts w:ascii="Bookman Old Style" w:hAnsi="Bookman Old Style"/>
          <w:sz w:val="24"/>
          <w:szCs w:val="24"/>
        </w:rPr>
        <w:t xml:space="preserve"> </w:t>
      </w:r>
      <w:r w:rsidR="00B15BAC" w:rsidRPr="00561267">
        <w:rPr>
          <w:rFonts w:ascii="Bookman Old Style" w:hAnsi="Bookman Old Style"/>
          <w:sz w:val="24"/>
          <w:szCs w:val="24"/>
        </w:rPr>
        <w:t>ke</w:t>
      </w:r>
      <w:r w:rsidR="00A954D0">
        <w:rPr>
          <w:rFonts w:ascii="Bookman Old Style" w:hAnsi="Bookman Old Style"/>
          <w:sz w:val="24"/>
          <w:szCs w:val="24"/>
        </w:rPr>
        <w:t xml:space="preserve"> </w:t>
      </w:r>
      <w:r w:rsidR="00B15BAC" w:rsidRPr="00561267">
        <w:rPr>
          <w:rFonts w:ascii="Bookman Old Style" w:hAnsi="Bookman Old Style"/>
          <w:sz w:val="24"/>
          <w:szCs w:val="24"/>
        </w:rPr>
        <w:t>dalam</w:t>
      </w:r>
      <w:r w:rsidR="00A954D0">
        <w:rPr>
          <w:rFonts w:ascii="Bookman Old Style" w:hAnsi="Bookman Old Style"/>
          <w:sz w:val="24"/>
          <w:szCs w:val="24"/>
        </w:rPr>
        <w:t xml:space="preserve"> </w:t>
      </w:r>
      <w:r w:rsidR="00B15BAC" w:rsidRPr="00561267">
        <w:rPr>
          <w:rFonts w:ascii="Bookman Old Style" w:hAnsi="Bookman Old Style"/>
          <w:sz w:val="24"/>
          <w:szCs w:val="24"/>
        </w:rPr>
        <w:t>sub</w:t>
      </w:r>
      <w:r w:rsidR="00A954D0">
        <w:rPr>
          <w:rFonts w:ascii="Bookman Old Style" w:hAnsi="Bookman Old Style"/>
          <w:sz w:val="24"/>
          <w:szCs w:val="24"/>
        </w:rPr>
        <w:t xml:space="preserve"> </w:t>
      </w:r>
      <w:r w:rsidR="00B15BAC" w:rsidRPr="00561267">
        <w:rPr>
          <w:rFonts w:ascii="Bookman Old Style" w:hAnsi="Bookman Old Style"/>
          <w:sz w:val="24"/>
          <w:szCs w:val="24"/>
        </w:rPr>
        <w:t>rincian</w:t>
      </w:r>
      <w:r w:rsidR="00A954D0">
        <w:rPr>
          <w:rFonts w:ascii="Bookman Old Style" w:hAnsi="Bookman Old Style"/>
          <w:sz w:val="24"/>
          <w:szCs w:val="24"/>
        </w:rPr>
        <w:t xml:space="preserve"> </w:t>
      </w:r>
      <w:r w:rsidR="00B15BAC" w:rsidRPr="00561267">
        <w:rPr>
          <w:rFonts w:ascii="Bookman Old Style" w:hAnsi="Bookman Old Style"/>
          <w:sz w:val="24"/>
          <w:szCs w:val="24"/>
        </w:rPr>
        <w:t>objek</w:t>
      </w:r>
      <w:r w:rsidR="00A954D0">
        <w:rPr>
          <w:rFonts w:ascii="Bookman Old Style" w:hAnsi="Bookman Old Style"/>
          <w:sz w:val="24"/>
          <w:szCs w:val="24"/>
          <w:lang w:val="en-US"/>
        </w:rPr>
        <w:t xml:space="preserve"> </w:t>
      </w:r>
      <w:r w:rsidR="00B15BAC" w:rsidRPr="00561267">
        <w:rPr>
          <w:rFonts w:ascii="Bookman Old Style" w:hAnsi="Bookman Old Style"/>
          <w:sz w:val="24"/>
          <w:szCs w:val="24"/>
          <w:lang w:val="en-US"/>
        </w:rPr>
        <w:t>belanja</w:t>
      </w:r>
      <w:r w:rsidR="00B15BAC" w:rsidRPr="00561267">
        <w:rPr>
          <w:rFonts w:ascii="Bookman Old Style" w:hAnsi="Bookman Old Style"/>
          <w:sz w:val="24"/>
          <w:szCs w:val="24"/>
        </w:rPr>
        <w:t>:</w:t>
      </w:r>
    </w:p>
    <w:p w14:paraId="31A323F2" w14:textId="42E19EC7" w:rsidR="006F0384" w:rsidRPr="00561267" w:rsidRDefault="006F0384" w:rsidP="008B21D9">
      <w:pPr>
        <w:pStyle w:val="ListParagraph"/>
        <w:numPr>
          <w:ilvl w:val="0"/>
          <w:numId w:val="49"/>
        </w:numPr>
        <w:spacing w:before="60" w:after="0" w:line="276" w:lineRule="auto"/>
        <w:ind w:left="3261" w:hanging="250"/>
        <w:contextualSpacing w:val="0"/>
        <w:jc w:val="both"/>
        <w:rPr>
          <w:rFonts w:ascii="Bookman Old Style" w:hAnsi="Bookman Old Style" w:cs="Gill Sans Light (Arabid)"/>
          <w:bCs/>
          <w:sz w:val="24"/>
          <w:szCs w:val="24"/>
          <w:lang w:eastAsia="id-ID"/>
        </w:rPr>
      </w:pPr>
      <w:r w:rsidRPr="00561267">
        <w:rPr>
          <w:rFonts w:ascii="Bookman Old Style" w:hAnsi="Bookman Old Style" w:cs="Gill Sans Light (Arabid)"/>
          <w:bCs/>
          <w:sz w:val="24"/>
          <w:szCs w:val="24"/>
          <w:lang w:eastAsia="id-ID"/>
        </w:rPr>
        <w:t>Belanja</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Bahan-Bahan</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Bangunan</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dan</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Konstruksi</w:t>
      </w:r>
      <w:r w:rsidR="00A954D0">
        <w:rPr>
          <w:rFonts w:ascii="Bookman Old Style" w:hAnsi="Bookman Old Style" w:cs="Gill Sans Light (Arabid)"/>
          <w:bCs/>
          <w:sz w:val="24"/>
          <w:szCs w:val="24"/>
          <w:lang w:eastAsia="id-ID"/>
        </w:rPr>
        <w:t xml:space="preserve"> </w:t>
      </w:r>
      <w:r w:rsidR="00F77ABC" w:rsidRPr="00561267">
        <w:rPr>
          <w:rFonts w:ascii="Bookman Old Style" w:hAnsi="Bookman Old Style" w:cs="Gill Sans Light (Arabid)"/>
          <w:bCs/>
          <w:sz w:val="24"/>
          <w:szCs w:val="24"/>
          <w:lang w:eastAsia="id-ID"/>
        </w:rPr>
        <w:t>Rp36.752.708.010,00</w:t>
      </w:r>
      <w:r w:rsidR="002D75FB" w:rsidRPr="00561267">
        <w:rPr>
          <w:rFonts w:ascii="Bookman Old Style" w:hAnsi="Bookman Old Style" w:cs="Gill Sans Light (Arabid)"/>
          <w:bCs/>
          <w:sz w:val="24"/>
          <w:szCs w:val="24"/>
          <w:lang w:eastAsia="id-ID"/>
        </w:rPr>
        <w:t>;</w:t>
      </w:r>
    </w:p>
    <w:p w14:paraId="26285EF6" w14:textId="54FA07DC" w:rsidR="00B15BAC" w:rsidRPr="00561267" w:rsidRDefault="00B15BAC" w:rsidP="008B21D9">
      <w:pPr>
        <w:pStyle w:val="ListParagraph"/>
        <w:numPr>
          <w:ilvl w:val="0"/>
          <w:numId w:val="49"/>
        </w:numPr>
        <w:spacing w:before="60" w:after="0" w:line="276" w:lineRule="auto"/>
        <w:ind w:left="3261" w:hanging="250"/>
        <w:contextualSpacing w:val="0"/>
        <w:jc w:val="both"/>
        <w:rPr>
          <w:rFonts w:ascii="Bookman Old Style" w:hAnsi="Bookman Old Style" w:cs="Gill Sans Light (Arabid)"/>
          <w:bCs/>
          <w:sz w:val="24"/>
          <w:szCs w:val="24"/>
          <w:lang w:eastAsia="id-ID"/>
        </w:rPr>
      </w:pPr>
      <w:r w:rsidRPr="00561267">
        <w:rPr>
          <w:rFonts w:ascii="Bookman Old Style" w:hAnsi="Bookman Old Style" w:cs="Gill Sans Light (Arabid)"/>
          <w:bCs/>
          <w:sz w:val="24"/>
          <w:szCs w:val="24"/>
          <w:lang w:eastAsia="id-ID"/>
        </w:rPr>
        <w:t>Belanja</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Bahan-Bahan</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Kimia</w:t>
      </w:r>
      <w:r w:rsidR="00A954D0">
        <w:rPr>
          <w:rFonts w:ascii="Bookman Old Style" w:hAnsi="Bookman Old Style" w:cs="Gill Sans Light (Arabid)"/>
          <w:bCs/>
          <w:sz w:val="24"/>
          <w:szCs w:val="24"/>
          <w:lang w:eastAsia="id-ID"/>
        </w:rPr>
        <w:t xml:space="preserve"> </w:t>
      </w:r>
      <w:r w:rsidR="00F77ABC" w:rsidRPr="00561267">
        <w:rPr>
          <w:rFonts w:ascii="Bookman Old Style" w:hAnsi="Bookman Old Style" w:cs="Gill Sans Light (Arabid)"/>
          <w:bCs/>
          <w:sz w:val="24"/>
          <w:szCs w:val="24"/>
          <w:lang w:eastAsia="id-ID"/>
        </w:rPr>
        <w:t>Rp23.904.000.290,00</w:t>
      </w:r>
      <w:r w:rsidRPr="00561267">
        <w:rPr>
          <w:rFonts w:ascii="Bookman Old Style" w:hAnsi="Bookman Old Style" w:cs="Gill Sans Light (Arabid)"/>
          <w:bCs/>
          <w:sz w:val="24"/>
          <w:szCs w:val="24"/>
          <w:lang w:val="id-ID" w:eastAsia="id-ID"/>
        </w:rPr>
        <w:t>;</w:t>
      </w:r>
    </w:p>
    <w:p w14:paraId="75CFCF1E" w14:textId="07B33EFC" w:rsidR="00B15BAC" w:rsidRPr="00561267" w:rsidRDefault="006F0384" w:rsidP="008B21D9">
      <w:pPr>
        <w:pStyle w:val="ListParagraph"/>
        <w:numPr>
          <w:ilvl w:val="0"/>
          <w:numId w:val="49"/>
        </w:numPr>
        <w:spacing w:before="60" w:after="0" w:line="276" w:lineRule="auto"/>
        <w:ind w:left="3261" w:hanging="250"/>
        <w:contextualSpacing w:val="0"/>
        <w:jc w:val="both"/>
        <w:rPr>
          <w:rFonts w:ascii="Bookman Old Style" w:hAnsi="Bookman Old Style" w:cs="Gill Sans Light (Arabid)"/>
          <w:bCs/>
          <w:sz w:val="24"/>
          <w:szCs w:val="24"/>
          <w:lang w:eastAsia="id-ID"/>
        </w:rPr>
      </w:pPr>
      <w:r w:rsidRPr="00561267">
        <w:rPr>
          <w:rFonts w:ascii="Bookman Old Style" w:hAnsi="Bookman Old Style" w:cs="Gill Sans Light (Arabid)"/>
          <w:bCs/>
          <w:sz w:val="24"/>
          <w:szCs w:val="24"/>
          <w:lang w:eastAsia="id-ID"/>
        </w:rPr>
        <w:t>Belanja</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Bahan-Bahan</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Bakar</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dan</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Pelumas</w:t>
      </w:r>
      <w:r w:rsidR="00A954D0">
        <w:rPr>
          <w:rFonts w:ascii="Bookman Old Style" w:hAnsi="Bookman Old Style" w:cs="Gill Sans Light (Arabid)"/>
          <w:bCs/>
          <w:sz w:val="24"/>
          <w:szCs w:val="24"/>
          <w:lang w:eastAsia="id-ID"/>
        </w:rPr>
        <w:t xml:space="preserve"> </w:t>
      </w:r>
      <w:r w:rsidR="00F77ABC" w:rsidRPr="00561267">
        <w:rPr>
          <w:rFonts w:ascii="Bookman Old Style" w:hAnsi="Bookman Old Style" w:cs="Gill Sans Light (Arabid)"/>
          <w:bCs/>
          <w:sz w:val="24"/>
          <w:szCs w:val="24"/>
          <w:lang w:eastAsia="id-ID"/>
        </w:rPr>
        <w:t>Rp78.830.176.305,00</w:t>
      </w:r>
      <w:r w:rsidR="00B15BAC" w:rsidRPr="00561267">
        <w:rPr>
          <w:rFonts w:ascii="Bookman Old Style" w:hAnsi="Bookman Old Style" w:cs="Gill Sans Light (Arabid)"/>
          <w:bCs/>
          <w:sz w:val="24"/>
          <w:szCs w:val="24"/>
          <w:lang w:eastAsia="id-ID"/>
        </w:rPr>
        <w:t>;</w:t>
      </w:r>
    </w:p>
    <w:p w14:paraId="21B7F4EA" w14:textId="4D63943F" w:rsidR="00756021" w:rsidRPr="00561267" w:rsidRDefault="00756021" w:rsidP="008B21D9">
      <w:pPr>
        <w:pStyle w:val="ListParagraph"/>
        <w:numPr>
          <w:ilvl w:val="0"/>
          <w:numId w:val="49"/>
        </w:numPr>
        <w:spacing w:before="60" w:after="0" w:line="276" w:lineRule="auto"/>
        <w:ind w:left="3261" w:hanging="250"/>
        <w:contextualSpacing w:val="0"/>
        <w:jc w:val="both"/>
        <w:rPr>
          <w:rFonts w:ascii="Bookman Old Style" w:hAnsi="Bookman Old Style" w:cs="Gill Sans Light (Arabid)"/>
          <w:bCs/>
          <w:sz w:val="24"/>
          <w:szCs w:val="24"/>
          <w:lang w:eastAsia="id-ID"/>
        </w:rPr>
      </w:pPr>
      <w:bookmarkStart w:id="28" w:name="_Hlk181024149"/>
      <w:r w:rsidRPr="00561267">
        <w:rPr>
          <w:rFonts w:ascii="Bookman Old Style" w:hAnsi="Bookman Old Style" w:cs="Gill Sans Light (Arabid)"/>
          <w:bCs/>
          <w:sz w:val="24"/>
          <w:szCs w:val="24"/>
          <w:lang w:eastAsia="id-ID"/>
        </w:rPr>
        <w:t>Belanja</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Bahan-Bahan</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Lainnya</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Rp9.118.351.256,00</w:t>
      </w:r>
      <w:r w:rsidR="00813E25" w:rsidRPr="00561267">
        <w:rPr>
          <w:rFonts w:ascii="Bookman Old Style" w:hAnsi="Bookman Old Style" w:cs="Gill Sans Light (Arabid)"/>
          <w:bCs/>
          <w:sz w:val="24"/>
          <w:szCs w:val="24"/>
          <w:lang w:eastAsia="id-ID"/>
        </w:rPr>
        <w:t>;</w:t>
      </w:r>
    </w:p>
    <w:p w14:paraId="323611A7" w14:textId="51F49C02" w:rsidR="006F0384" w:rsidRPr="00561267" w:rsidRDefault="006F0384" w:rsidP="008B21D9">
      <w:pPr>
        <w:pStyle w:val="ListParagraph"/>
        <w:numPr>
          <w:ilvl w:val="0"/>
          <w:numId w:val="49"/>
        </w:numPr>
        <w:spacing w:before="60" w:after="0" w:line="276" w:lineRule="auto"/>
        <w:ind w:left="3261" w:hanging="250"/>
        <w:contextualSpacing w:val="0"/>
        <w:jc w:val="both"/>
        <w:rPr>
          <w:rFonts w:ascii="Bookman Old Style" w:hAnsi="Bookman Old Style" w:cs="Gill Sans Light (Arabid)"/>
          <w:bCs/>
          <w:sz w:val="24"/>
          <w:szCs w:val="24"/>
          <w:lang w:eastAsia="id-ID"/>
        </w:rPr>
      </w:pPr>
      <w:r w:rsidRPr="00561267">
        <w:rPr>
          <w:rFonts w:ascii="Bookman Old Style" w:hAnsi="Bookman Old Style" w:cs="Gill Sans Light (Arabid)"/>
          <w:bCs/>
          <w:sz w:val="24"/>
          <w:szCs w:val="24"/>
          <w:lang w:eastAsia="id-ID"/>
        </w:rPr>
        <w:t>Belanja</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Suku</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Cadang-Suku</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Cadang</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Alat</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Angkutan</w:t>
      </w:r>
      <w:r w:rsidR="00A954D0">
        <w:rPr>
          <w:rFonts w:ascii="Bookman Old Style" w:hAnsi="Bookman Old Style" w:cs="Gill Sans Light (Arabid)"/>
          <w:bCs/>
          <w:sz w:val="24"/>
          <w:szCs w:val="24"/>
          <w:lang w:eastAsia="id-ID"/>
        </w:rPr>
        <w:t xml:space="preserve"> </w:t>
      </w:r>
      <w:r w:rsidR="00756021" w:rsidRPr="00561267">
        <w:rPr>
          <w:rFonts w:ascii="Bookman Old Style" w:hAnsi="Bookman Old Style" w:cs="Gill Sans Light (Arabid)"/>
          <w:bCs/>
          <w:sz w:val="24"/>
          <w:szCs w:val="24"/>
          <w:lang w:eastAsia="id-ID"/>
        </w:rPr>
        <w:t>Rp19.403.161.200,00</w:t>
      </w:r>
      <w:r w:rsidR="00FA0147" w:rsidRPr="00561267">
        <w:rPr>
          <w:rFonts w:ascii="Bookman Old Style" w:hAnsi="Bookman Old Style" w:cs="Gill Sans Light (Arabid)"/>
          <w:bCs/>
          <w:sz w:val="24"/>
          <w:szCs w:val="24"/>
          <w:lang w:eastAsia="id-ID"/>
        </w:rPr>
        <w:t>;</w:t>
      </w:r>
    </w:p>
    <w:p w14:paraId="6D12E178" w14:textId="265798AD" w:rsidR="002521B6" w:rsidRPr="00561267" w:rsidRDefault="002521B6" w:rsidP="008B21D9">
      <w:pPr>
        <w:pStyle w:val="ListParagraph"/>
        <w:numPr>
          <w:ilvl w:val="0"/>
          <w:numId w:val="49"/>
        </w:numPr>
        <w:spacing w:before="60" w:after="0" w:line="276" w:lineRule="auto"/>
        <w:ind w:left="3261" w:hanging="250"/>
        <w:contextualSpacing w:val="0"/>
        <w:jc w:val="both"/>
        <w:rPr>
          <w:rFonts w:ascii="Bookman Old Style" w:hAnsi="Bookman Old Style" w:cs="Gill Sans Light (Arabid)"/>
          <w:bCs/>
          <w:sz w:val="24"/>
          <w:szCs w:val="24"/>
          <w:lang w:eastAsia="id-ID"/>
        </w:rPr>
      </w:pPr>
      <w:r w:rsidRPr="00561267">
        <w:rPr>
          <w:rFonts w:ascii="Bookman Old Style" w:hAnsi="Bookman Old Style" w:cs="Gill Sans Light (Arabid)"/>
          <w:bCs/>
          <w:sz w:val="24"/>
          <w:szCs w:val="24"/>
          <w:lang w:eastAsia="id-ID"/>
        </w:rPr>
        <w:t>Belanja</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Suku</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Cadang-Suku</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Cadang</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Lainnya</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Rp4.264.668.758,00</w:t>
      </w:r>
      <w:r w:rsidR="00BC1B18" w:rsidRPr="00561267">
        <w:rPr>
          <w:rFonts w:ascii="Bookman Old Style" w:hAnsi="Bookman Old Style" w:cs="Gill Sans Light (Arabid)"/>
          <w:bCs/>
          <w:sz w:val="24"/>
          <w:szCs w:val="24"/>
          <w:lang w:eastAsia="id-ID"/>
        </w:rPr>
        <w:t>;</w:t>
      </w:r>
    </w:p>
    <w:p w14:paraId="4049A43D" w14:textId="16843A36" w:rsidR="00B15BAC" w:rsidRPr="00561267" w:rsidRDefault="00B15BAC" w:rsidP="008B21D9">
      <w:pPr>
        <w:pStyle w:val="ListParagraph"/>
        <w:numPr>
          <w:ilvl w:val="0"/>
          <w:numId w:val="49"/>
        </w:numPr>
        <w:spacing w:before="60" w:after="0" w:line="276" w:lineRule="auto"/>
        <w:ind w:left="3261" w:hanging="250"/>
        <w:contextualSpacing w:val="0"/>
        <w:jc w:val="both"/>
        <w:rPr>
          <w:rFonts w:ascii="Bookman Old Style" w:hAnsi="Bookman Old Style" w:cs="Gill Sans Light (Arabid)"/>
          <w:bCs/>
          <w:sz w:val="24"/>
          <w:szCs w:val="24"/>
          <w:lang w:eastAsia="id-ID"/>
        </w:rPr>
      </w:pPr>
      <w:r w:rsidRPr="00561267">
        <w:rPr>
          <w:rFonts w:ascii="Bookman Old Style" w:hAnsi="Bookman Old Style" w:cs="Gill Sans Light (Arabid)"/>
          <w:bCs/>
          <w:sz w:val="24"/>
          <w:szCs w:val="24"/>
          <w:lang w:eastAsia="id-ID"/>
        </w:rPr>
        <w:t>Belanja</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Alat/Bahan</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untuk</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Kegiatan</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Kantor-Alat</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Tulis</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Kantor</w:t>
      </w:r>
      <w:r w:rsidR="00A954D0">
        <w:rPr>
          <w:rFonts w:ascii="Bookman Old Style" w:hAnsi="Bookman Old Style" w:cs="Gill Sans Light (Arabid)"/>
          <w:bCs/>
          <w:sz w:val="24"/>
          <w:szCs w:val="24"/>
          <w:lang w:eastAsia="id-ID"/>
        </w:rPr>
        <w:t xml:space="preserve"> </w:t>
      </w:r>
      <w:bookmarkEnd w:id="28"/>
      <w:r w:rsidR="00112867" w:rsidRPr="00561267">
        <w:rPr>
          <w:rFonts w:ascii="Bookman Old Style" w:hAnsi="Bookman Old Style" w:cs="Gill Sans Light (Arabid)"/>
          <w:bCs/>
          <w:sz w:val="24"/>
          <w:szCs w:val="24"/>
          <w:lang w:eastAsia="id-ID"/>
        </w:rPr>
        <w:t>Rp16.929.530.509,00</w:t>
      </w:r>
      <w:r w:rsidRPr="00561267">
        <w:rPr>
          <w:rFonts w:ascii="Bookman Old Style" w:hAnsi="Bookman Old Style" w:cs="Gill Sans Light (Arabid)"/>
          <w:bCs/>
          <w:sz w:val="24"/>
          <w:szCs w:val="24"/>
          <w:lang w:eastAsia="id-ID"/>
        </w:rPr>
        <w:t>;</w:t>
      </w:r>
    </w:p>
    <w:p w14:paraId="3FC42911" w14:textId="3C2670AB" w:rsidR="00B15BAC" w:rsidRPr="00561267" w:rsidRDefault="00B15BAC" w:rsidP="008B21D9">
      <w:pPr>
        <w:pStyle w:val="ListParagraph"/>
        <w:numPr>
          <w:ilvl w:val="0"/>
          <w:numId w:val="49"/>
        </w:numPr>
        <w:spacing w:before="60" w:after="0" w:line="276" w:lineRule="auto"/>
        <w:ind w:left="3261" w:hanging="250"/>
        <w:contextualSpacing w:val="0"/>
        <w:jc w:val="both"/>
        <w:rPr>
          <w:rFonts w:ascii="Bookman Old Style" w:hAnsi="Bookman Old Style" w:cs="Gill Sans Light (Arabid)"/>
          <w:bCs/>
          <w:sz w:val="24"/>
          <w:szCs w:val="24"/>
          <w:lang w:eastAsia="id-ID"/>
        </w:rPr>
      </w:pPr>
      <w:r w:rsidRPr="00561267">
        <w:rPr>
          <w:rFonts w:ascii="Bookman Old Style" w:hAnsi="Bookman Old Style" w:cs="Gill Sans Light (Arabid)"/>
          <w:bCs/>
          <w:sz w:val="24"/>
          <w:szCs w:val="24"/>
          <w:lang w:eastAsia="id-ID"/>
        </w:rPr>
        <w:t>Belanja</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Alat/Bahan</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untuk</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Kegiatan</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Kantor-</w:t>
      </w:r>
      <w:r w:rsidR="00112867" w:rsidRPr="00561267">
        <w:rPr>
          <w:rFonts w:ascii="Bookman Old Style" w:hAnsi="Bookman Old Style" w:cs="Gill Sans Light (Arabid)"/>
          <w:bCs/>
          <w:sz w:val="24"/>
          <w:szCs w:val="24"/>
          <w:lang w:eastAsia="id-ID"/>
        </w:rPr>
        <w:t>Bahan</w:t>
      </w:r>
      <w:r w:rsidR="00A954D0">
        <w:rPr>
          <w:rFonts w:ascii="Bookman Old Style" w:hAnsi="Bookman Old Style" w:cs="Gill Sans Light (Arabid)"/>
          <w:bCs/>
          <w:sz w:val="24"/>
          <w:szCs w:val="24"/>
          <w:lang w:eastAsia="id-ID"/>
        </w:rPr>
        <w:t xml:space="preserve"> </w:t>
      </w:r>
      <w:r w:rsidR="00112867" w:rsidRPr="00561267">
        <w:rPr>
          <w:rFonts w:ascii="Bookman Old Style" w:hAnsi="Bookman Old Style" w:cs="Gill Sans Light (Arabid)"/>
          <w:bCs/>
          <w:sz w:val="24"/>
          <w:szCs w:val="24"/>
          <w:lang w:eastAsia="id-ID"/>
        </w:rPr>
        <w:t>Cetak</w:t>
      </w:r>
      <w:r w:rsidR="00A954D0">
        <w:rPr>
          <w:rFonts w:ascii="Bookman Old Style" w:hAnsi="Bookman Old Style" w:cs="Gill Sans Light (Arabid)"/>
          <w:bCs/>
          <w:sz w:val="24"/>
          <w:szCs w:val="24"/>
          <w:lang w:eastAsia="id-ID"/>
        </w:rPr>
        <w:t xml:space="preserve"> </w:t>
      </w:r>
      <w:r w:rsidR="00112867" w:rsidRPr="00561267">
        <w:rPr>
          <w:rFonts w:ascii="Bookman Old Style" w:hAnsi="Bookman Old Style" w:cs="Gill Sans Light (Arabid)"/>
          <w:bCs/>
          <w:sz w:val="24"/>
          <w:szCs w:val="24"/>
          <w:lang w:eastAsia="id-ID"/>
        </w:rPr>
        <w:t>Rp40.976.761.141,00</w:t>
      </w:r>
      <w:r w:rsidRPr="00561267">
        <w:rPr>
          <w:rFonts w:ascii="Bookman Old Style" w:hAnsi="Bookman Old Style" w:cs="Gill Sans Light (Arabid)"/>
          <w:bCs/>
          <w:sz w:val="24"/>
          <w:szCs w:val="24"/>
          <w:lang w:eastAsia="id-ID"/>
        </w:rPr>
        <w:t>;</w:t>
      </w:r>
    </w:p>
    <w:p w14:paraId="6368441F" w14:textId="573ACFE1" w:rsidR="00B15BAC" w:rsidRPr="00561267" w:rsidRDefault="00B15BAC" w:rsidP="008B21D9">
      <w:pPr>
        <w:pStyle w:val="ListParagraph"/>
        <w:numPr>
          <w:ilvl w:val="0"/>
          <w:numId w:val="49"/>
        </w:numPr>
        <w:spacing w:before="60" w:after="0" w:line="276" w:lineRule="auto"/>
        <w:ind w:left="3261" w:hanging="250"/>
        <w:contextualSpacing w:val="0"/>
        <w:jc w:val="both"/>
        <w:rPr>
          <w:rFonts w:ascii="Bookman Old Style" w:hAnsi="Bookman Old Style" w:cs="Gill Sans Light (Arabid)"/>
          <w:bCs/>
          <w:sz w:val="24"/>
          <w:szCs w:val="24"/>
          <w:lang w:eastAsia="id-ID"/>
        </w:rPr>
      </w:pPr>
      <w:r w:rsidRPr="00561267">
        <w:rPr>
          <w:rFonts w:ascii="Bookman Old Style" w:hAnsi="Bookman Old Style" w:cs="Gill Sans Light (Arabid)"/>
          <w:bCs/>
          <w:sz w:val="24"/>
          <w:szCs w:val="24"/>
          <w:lang w:eastAsia="id-ID"/>
        </w:rPr>
        <w:t>Belanja</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Alat/Bahan</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untuk</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Kegiatan</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Kantor-Alat</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Listrik</w:t>
      </w:r>
      <w:r w:rsidR="00A954D0">
        <w:rPr>
          <w:rFonts w:ascii="Bookman Old Style" w:hAnsi="Bookman Old Style" w:cs="Gill Sans Light (Arabid)"/>
          <w:bCs/>
          <w:sz w:val="24"/>
          <w:szCs w:val="24"/>
          <w:lang w:eastAsia="id-ID"/>
        </w:rPr>
        <w:t xml:space="preserve"> </w:t>
      </w:r>
      <w:r w:rsidR="00257AE7" w:rsidRPr="00561267">
        <w:rPr>
          <w:rFonts w:ascii="Bookman Old Style" w:hAnsi="Bookman Old Style" w:cs="Gill Sans Light (Arabid)"/>
          <w:bCs/>
          <w:sz w:val="24"/>
          <w:szCs w:val="24"/>
          <w:lang w:eastAsia="id-ID"/>
        </w:rPr>
        <w:t>Rp7.739.303.800,00</w:t>
      </w:r>
      <w:r w:rsidRPr="00561267">
        <w:rPr>
          <w:rFonts w:ascii="Bookman Old Style" w:hAnsi="Bookman Old Style" w:cs="Gill Sans Light (Arabid)"/>
          <w:bCs/>
          <w:sz w:val="24"/>
          <w:szCs w:val="24"/>
          <w:lang w:eastAsia="id-ID"/>
        </w:rPr>
        <w:t>;</w:t>
      </w:r>
    </w:p>
    <w:p w14:paraId="320A3606" w14:textId="1737DB0D" w:rsidR="00B15BAC" w:rsidRPr="00561267" w:rsidRDefault="00B15BAC" w:rsidP="008B21D9">
      <w:pPr>
        <w:pStyle w:val="ListParagraph"/>
        <w:numPr>
          <w:ilvl w:val="0"/>
          <w:numId w:val="49"/>
        </w:numPr>
        <w:spacing w:before="60" w:after="0" w:line="276" w:lineRule="auto"/>
        <w:ind w:left="3261" w:hanging="250"/>
        <w:contextualSpacing w:val="0"/>
        <w:jc w:val="both"/>
        <w:rPr>
          <w:rFonts w:ascii="Bookman Old Style" w:hAnsi="Bookman Old Style" w:cs="Gill Sans Light (Arabid)"/>
          <w:bCs/>
          <w:sz w:val="24"/>
          <w:szCs w:val="24"/>
          <w:lang w:eastAsia="id-ID"/>
        </w:rPr>
      </w:pPr>
      <w:r w:rsidRPr="00561267">
        <w:rPr>
          <w:rFonts w:ascii="Bookman Old Style" w:hAnsi="Bookman Old Style" w:cs="Gill Sans Light (Arabid)"/>
          <w:bCs/>
          <w:sz w:val="24"/>
          <w:szCs w:val="24"/>
          <w:lang w:eastAsia="id-ID"/>
        </w:rPr>
        <w:t>Belanja</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Alat/Bahan</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untuk</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Kegiatan</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Kantor-Suvenir/Cendera</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Mata</w:t>
      </w:r>
      <w:r w:rsidR="00A954D0">
        <w:rPr>
          <w:rFonts w:ascii="Bookman Old Style" w:hAnsi="Bookman Old Style" w:cs="Gill Sans Light (Arabid)"/>
          <w:bCs/>
          <w:sz w:val="24"/>
          <w:szCs w:val="24"/>
          <w:lang w:eastAsia="id-ID"/>
        </w:rPr>
        <w:t xml:space="preserve"> </w:t>
      </w:r>
      <w:r w:rsidR="00B555DE" w:rsidRPr="00561267">
        <w:rPr>
          <w:rFonts w:ascii="Bookman Old Style" w:hAnsi="Bookman Old Style" w:cs="Gill Sans Light (Arabid)"/>
          <w:bCs/>
          <w:sz w:val="24"/>
          <w:szCs w:val="24"/>
          <w:lang w:eastAsia="id-ID"/>
        </w:rPr>
        <w:t>Rp4.233.474.200,00</w:t>
      </w:r>
      <w:r w:rsidRPr="00561267">
        <w:rPr>
          <w:rFonts w:ascii="Bookman Old Style" w:hAnsi="Bookman Old Style" w:cs="Gill Sans Light (Arabid)"/>
          <w:bCs/>
          <w:sz w:val="24"/>
          <w:szCs w:val="24"/>
          <w:lang w:eastAsia="id-ID"/>
        </w:rPr>
        <w:t>;</w:t>
      </w:r>
    </w:p>
    <w:p w14:paraId="4A360D1A" w14:textId="0AFDF728" w:rsidR="00B555DE" w:rsidRPr="00561267" w:rsidRDefault="00B555DE" w:rsidP="008B21D9">
      <w:pPr>
        <w:pStyle w:val="ListParagraph"/>
        <w:numPr>
          <w:ilvl w:val="0"/>
          <w:numId w:val="49"/>
        </w:numPr>
        <w:spacing w:before="60" w:after="0" w:line="276" w:lineRule="auto"/>
        <w:ind w:left="3261" w:hanging="250"/>
        <w:contextualSpacing w:val="0"/>
        <w:jc w:val="both"/>
        <w:rPr>
          <w:rFonts w:ascii="Bookman Old Style" w:hAnsi="Bookman Old Style" w:cs="Gill Sans Light (Arabid)"/>
          <w:bCs/>
          <w:sz w:val="24"/>
          <w:szCs w:val="24"/>
          <w:lang w:eastAsia="id-ID"/>
        </w:rPr>
      </w:pPr>
      <w:r w:rsidRPr="00561267">
        <w:rPr>
          <w:rFonts w:ascii="Bookman Old Style" w:hAnsi="Bookman Old Style" w:cs="Gill Sans Light (Arabid)"/>
          <w:bCs/>
          <w:sz w:val="24"/>
          <w:szCs w:val="24"/>
          <w:lang w:eastAsia="id-ID"/>
        </w:rPr>
        <w:t>Belanja</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Alat/Bahan</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untuk</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Kegiatan</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Kantor-Alat/Bahan</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untuk</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Kegiatan</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Kantor</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Lainnya</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Rp10.948.773.499,00;</w:t>
      </w:r>
    </w:p>
    <w:p w14:paraId="4CC75913" w14:textId="0B2C57A1" w:rsidR="00B15BAC" w:rsidRPr="00561267" w:rsidRDefault="00B15BAC" w:rsidP="008B21D9">
      <w:pPr>
        <w:pStyle w:val="ListParagraph"/>
        <w:numPr>
          <w:ilvl w:val="0"/>
          <w:numId w:val="49"/>
        </w:numPr>
        <w:spacing w:before="60" w:after="0" w:line="276" w:lineRule="auto"/>
        <w:ind w:left="3261" w:hanging="250"/>
        <w:contextualSpacing w:val="0"/>
        <w:jc w:val="both"/>
        <w:rPr>
          <w:rFonts w:ascii="Bookman Old Style" w:hAnsi="Bookman Old Style" w:cs="Gill Sans Light (Arabid)"/>
          <w:bCs/>
          <w:sz w:val="24"/>
          <w:szCs w:val="24"/>
          <w:lang w:eastAsia="id-ID"/>
        </w:rPr>
      </w:pPr>
      <w:r w:rsidRPr="00561267">
        <w:rPr>
          <w:rFonts w:ascii="Bookman Old Style" w:hAnsi="Bookman Old Style" w:cs="Gill Sans Light (Arabid)"/>
          <w:bCs/>
          <w:sz w:val="24"/>
          <w:szCs w:val="24"/>
          <w:lang w:eastAsia="id-ID"/>
        </w:rPr>
        <w:t>Belanja</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Obat-Obatan-Obat</w:t>
      </w:r>
      <w:r w:rsidR="00A954D0">
        <w:rPr>
          <w:rFonts w:ascii="Bookman Old Style" w:hAnsi="Bookman Old Style" w:cs="Gill Sans Light (Arabid)"/>
          <w:bCs/>
          <w:sz w:val="24"/>
          <w:szCs w:val="24"/>
          <w:lang w:eastAsia="id-ID"/>
        </w:rPr>
        <w:t xml:space="preserve"> </w:t>
      </w:r>
      <w:r w:rsidR="00B555DE" w:rsidRPr="00561267">
        <w:rPr>
          <w:rFonts w:ascii="Bookman Old Style" w:hAnsi="Bookman Old Style" w:cs="Gill Sans Light (Arabid)"/>
          <w:bCs/>
          <w:sz w:val="24"/>
          <w:szCs w:val="24"/>
          <w:lang w:eastAsia="id-ID"/>
        </w:rPr>
        <w:t>Rp6.161.693.400,00</w:t>
      </w:r>
      <w:r w:rsidRPr="00561267">
        <w:rPr>
          <w:rFonts w:ascii="Bookman Old Style" w:hAnsi="Bookman Old Style" w:cs="Gill Sans Light (Arabid)"/>
          <w:bCs/>
          <w:sz w:val="24"/>
          <w:szCs w:val="24"/>
          <w:lang w:eastAsia="id-ID"/>
        </w:rPr>
        <w:t>;</w:t>
      </w:r>
    </w:p>
    <w:p w14:paraId="15199B06" w14:textId="0C181FDD" w:rsidR="006F0384" w:rsidRPr="00561267" w:rsidRDefault="006F0384" w:rsidP="008B21D9">
      <w:pPr>
        <w:pStyle w:val="ListParagraph"/>
        <w:numPr>
          <w:ilvl w:val="0"/>
          <w:numId w:val="49"/>
        </w:numPr>
        <w:spacing w:before="60" w:after="0" w:line="276" w:lineRule="auto"/>
        <w:ind w:left="3261" w:hanging="250"/>
        <w:contextualSpacing w:val="0"/>
        <w:jc w:val="both"/>
        <w:rPr>
          <w:rFonts w:ascii="Bookman Old Style" w:hAnsi="Bookman Old Style" w:cs="Gill Sans Light (Arabid)"/>
          <w:bCs/>
          <w:sz w:val="24"/>
          <w:szCs w:val="24"/>
          <w:lang w:eastAsia="id-ID"/>
        </w:rPr>
      </w:pPr>
      <w:r w:rsidRPr="00561267">
        <w:rPr>
          <w:rFonts w:ascii="Bookman Old Style" w:hAnsi="Bookman Old Style" w:cs="Gill Sans Light (Arabid)"/>
          <w:bCs/>
          <w:sz w:val="24"/>
          <w:szCs w:val="24"/>
          <w:lang w:eastAsia="id-ID"/>
        </w:rPr>
        <w:t>Belanja</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Barang</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untuk</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Dijual/Diserahkan</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kepada</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Masyarakat</w:t>
      </w:r>
      <w:r w:rsidR="00A954D0">
        <w:rPr>
          <w:rFonts w:ascii="Bookman Old Style" w:hAnsi="Bookman Old Style" w:cs="Gill Sans Light (Arabid)"/>
          <w:bCs/>
          <w:sz w:val="24"/>
          <w:szCs w:val="24"/>
          <w:lang w:eastAsia="id-ID"/>
        </w:rPr>
        <w:t xml:space="preserve"> </w:t>
      </w:r>
      <w:r w:rsidR="007F62AA" w:rsidRPr="00561267">
        <w:rPr>
          <w:rFonts w:ascii="Bookman Old Style" w:hAnsi="Bookman Old Style" w:cs="Gill Sans Light (Arabid)"/>
          <w:bCs/>
          <w:sz w:val="24"/>
          <w:szCs w:val="24"/>
          <w:lang w:eastAsia="id-ID"/>
        </w:rPr>
        <w:t>Rp46.225.579.596,00</w:t>
      </w:r>
      <w:r w:rsidR="00FA0147" w:rsidRPr="00561267">
        <w:rPr>
          <w:rFonts w:ascii="Bookman Old Style" w:hAnsi="Bookman Old Style" w:cs="Gill Sans Light (Arabid)"/>
          <w:bCs/>
          <w:sz w:val="24"/>
          <w:szCs w:val="24"/>
          <w:lang w:eastAsia="id-ID"/>
        </w:rPr>
        <w:t>;</w:t>
      </w:r>
    </w:p>
    <w:p w14:paraId="16B10007" w14:textId="25BEA841" w:rsidR="00B15BAC" w:rsidRPr="00561267" w:rsidRDefault="00B15BAC" w:rsidP="008B21D9">
      <w:pPr>
        <w:pStyle w:val="ListParagraph"/>
        <w:numPr>
          <w:ilvl w:val="0"/>
          <w:numId w:val="49"/>
        </w:numPr>
        <w:spacing w:before="60" w:after="0" w:line="276" w:lineRule="auto"/>
        <w:ind w:left="3261" w:hanging="250"/>
        <w:contextualSpacing w:val="0"/>
        <w:jc w:val="both"/>
        <w:rPr>
          <w:rFonts w:ascii="Bookman Old Style" w:hAnsi="Bookman Old Style" w:cs="Gill Sans Light (Arabid)"/>
          <w:bCs/>
          <w:sz w:val="24"/>
          <w:szCs w:val="24"/>
          <w:lang w:eastAsia="id-ID"/>
        </w:rPr>
      </w:pPr>
      <w:r w:rsidRPr="00561267">
        <w:rPr>
          <w:rFonts w:ascii="Bookman Old Style" w:hAnsi="Bookman Old Style" w:cs="Gill Sans Light (Arabid)"/>
          <w:bCs/>
          <w:sz w:val="24"/>
          <w:szCs w:val="24"/>
          <w:lang w:eastAsia="id-ID"/>
        </w:rPr>
        <w:t>Belanja</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Natura</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dan</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Pakan-Natura</w:t>
      </w:r>
      <w:r w:rsidR="00A954D0">
        <w:rPr>
          <w:rFonts w:ascii="Bookman Old Style" w:hAnsi="Bookman Old Style" w:cs="Gill Sans Light (Arabid)"/>
          <w:bCs/>
          <w:sz w:val="24"/>
          <w:szCs w:val="24"/>
          <w:lang w:eastAsia="id-ID"/>
        </w:rPr>
        <w:t xml:space="preserve"> </w:t>
      </w:r>
      <w:r w:rsidR="00906536" w:rsidRPr="00561267">
        <w:rPr>
          <w:rFonts w:ascii="Bookman Old Style" w:hAnsi="Bookman Old Style" w:cs="Gill Sans Light (Arabid)"/>
          <w:bCs/>
          <w:sz w:val="24"/>
          <w:szCs w:val="24"/>
          <w:lang w:eastAsia="id-ID"/>
        </w:rPr>
        <w:t>Rp7.141.999.000,00</w:t>
      </w:r>
      <w:r w:rsidRPr="00561267">
        <w:rPr>
          <w:rFonts w:ascii="Bookman Old Style" w:hAnsi="Bookman Old Style" w:cs="Gill Sans Light (Arabid)"/>
          <w:bCs/>
          <w:sz w:val="24"/>
          <w:szCs w:val="24"/>
          <w:lang w:eastAsia="id-ID"/>
        </w:rPr>
        <w:t>;</w:t>
      </w:r>
    </w:p>
    <w:p w14:paraId="1F5AC305" w14:textId="34022B1B" w:rsidR="00B15BAC" w:rsidRPr="00561267" w:rsidRDefault="00B15BAC" w:rsidP="008B21D9">
      <w:pPr>
        <w:pStyle w:val="ListParagraph"/>
        <w:numPr>
          <w:ilvl w:val="0"/>
          <w:numId w:val="49"/>
        </w:numPr>
        <w:spacing w:before="60" w:after="0" w:line="276" w:lineRule="auto"/>
        <w:ind w:left="3261" w:hanging="250"/>
        <w:contextualSpacing w:val="0"/>
        <w:jc w:val="both"/>
        <w:rPr>
          <w:rFonts w:ascii="Bookman Old Style" w:hAnsi="Bookman Old Style" w:cs="Gill Sans Light (Arabid)"/>
          <w:bCs/>
          <w:sz w:val="24"/>
          <w:szCs w:val="24"/>
          <w:lang w:eastAsia="id-ID"/>
        </w:rPr>
      </w:pPr>
      <w:r w:rsidRPr="00561267">
        <w:rPr>
          <w:rFonts w:ascii="Bookman Old Style" w:hAnsi="Bookman Old Style" w:cs="Gill Sans Light (Arabid)"/>
          <w:bCs/>
          <w:sz w:val="24"/>
          <w:szCs w:val="24"/>
          <w:lang w:eastAsia="id-ID"/>
        </w:rPr>
        <w:lastRenderedPageBreak/>
        <w:t>Belanja</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Makanan</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dan</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Minuman</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Rapat</w:t>
      </w:r>
      <w:r w:rsidR="00A954D0">
        <w:rPr>
          <w:rFonts w:ascii="Bookman Old Style" w:hAnsi="Bookman Old Style" w:cs="Gill Sans Light (Arabid)"/>
          <w:bCs/>
          <w:sz w:val="24"/>
          <w:szCs w:val="24"/>
          <w:lang w:eastAsia="id-ID"/>
        </w:rPr>
        <w:t xml:space="preserve"> </w:t>
      </w:r>
      <w:r w:rsidR="00906536" w:rsidRPr="00561267">
        <w:rPr>
          <w:rFonts w:ascii="Bookman Old Style" w:hAnsi="Bookman Old Style" w:cs="Gill Sans Light (Arabid)"/>
          <w:bCs/>
          <w:sz w:val="24"/>
          <w:szCs w:val="24"/>
          <w:lang w:eastAsia="id-ID"/>
        </w:rPr>
        <w:t>Rp28.296.446.600,00</w:t>
      </w:r>
      <w:r w:rsidRPr="00561267">
        <w:rPr>
          <w:rFonts w:ascii="Bookman Old Style" w:hAnsi="Bookman Old Style" w:cs="Gill Sans Light (Arabid)"/>
          <w:bCs/>
          <w:sz w:val="24"/>
          <w:szCs w:val="24"/>
          <w:lang w:eastAsia="id-ID"/>
        </w:rPr>
        <w:t>;</w:t>
      </w:r>
    </w:p>
    <w:p w14:paraId="1E156BDF" w14:textId="2B669AED" w:rsidR="00906536" w:rsidRDefault="00906536" w:rsidP="008B21D9">
      <w:pPr>
        <w:pStyle w:val="ListParagraph"/>
        <w:numPr>
          <w:ilvl w:val="0"/>
          <w:numId w:val="49"/>
        </w:numPr>
        <w:spacing w:before="60" w:after="0" w:line="276" w:lineRule="auto"/>
        <w:ind w:left="3261" w:hanging="250"/>
        <w:contextualSpacing w:val="0"/>
        <w:jc w:val="both"/>
        <w:rPr>
          <w:rFonts w:ascii="Bookman Old Style" w:hAnsi="Bookman Old Style" w:cs="Gill Sans Light (Arabid)"/>
          <w:bCs/>
          <w:sz w:val="24"/>
          <w:szCs w:val="24"/>
          <w:lang w:eastAsia="id-ID"/>
        </w:rPr>
      </w:pPr>
      <w:r w:rsidRPr="00561267">
        <w:rPr>
          <w:rFonts w:ascii="Bookman Old Style" w:hAnsi="Bookman Old Style" w:cs="Gill Sans Light (Arabid)"/>
          <w:bCs/>
          <w:sz w:val="24"/>
          <w:szCs w:val="24"/>
          <w:lang w:eastAsia="id-ID"/>
        </w:rPr>
        <w:t>Belanja</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Makanan</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dan</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Minuman</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pada</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Fasilitas</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Pelayanan</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Urusan</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Pendidikan</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Rp35.399.365.500,00;</w:t>
      </w:r>
    </w:p>
    <w:p w14:paraId="1BF96F28" w14:textId="663FE4B4" w:rsidR="00D05183" w:rsidRPr="00561267" w:rsidRDefault="00D05183" w:rsidP="008B21D9">
      <w:pPr>
        <w:pStyle w:val="ListParagraph"/>
        <w:numPr>
          <w:ilvl w:val="0"/>
          <w:numId w:val="49"/>
        </w:numPr>
        <w:spacing w:before="60" w:after="0" w:line="276" w:lineRule="auto"/>
        <w:ind w:left="3261" w:hanging="250"/>
        <w:contextualSpacing w:val="0"/>
        <w:jc w:val="both"/>
        <w:rPr>
          <w:rFonts w:ascii="Bookman Old Style" w:hAnsi="Bookman Old Style" w:cs="Gill Sans Light (Arabid)"/>
          <w:bCs/>
          <w:sz w:val="24"/>
          <w:szCs w:val="24"/>
          <w:lang w:eastAsia="id-ID"/>
        </w:rPr>
      </w:pPr>
      <w:r w:rsidRPr="00D05183">
        <w:rPr>
          <w:rFonts w:ascii="Bookman Old Style" w:hAnsi="Bookman Old Style" w:cs="Gill Sans Light (Arabid)"/>
          <w:bCs/>
          <w:sz w:val="24"/>
          <w:szCs w:val="24"/>
          <w:lang w:eastAsia="id-ID"/>
        </w:rPr>
        <w:t>Belanja</w:t>
      </w:r>
      <w:r w:rsidR="00A954D0">
        <w:rPr>
          <w:rFonts w:ascii="Bookman Old Style" w:hAnsi="Bookman Old Style" w:cs="Gill Sans Light (Arabid)"/>
          <w:bCs/>
          <w:sz w:val="24"/>
          <w:szCs w:val="24"/>
          <w:lang w:eastAsia="id-ID"/>
        </w:rPr>
        <w:t xml:space="preserve"> </w:t>
      </w:r>
      <w:r w:rsidRPr="00D05183">
        <w:rPr>
          <w:rFonts w:ascii="Bookman Old Style" w:hAnsi="Bookman Old Style" w:cs="Gill Sans Light (Arabid)"/>
          <w:bCs/>
          <w:sz w:val="24"/>
          <w:szCs w:val="24"/>
          <w:lang w:eastAsia="id-ID"/>
        </w:rPr>
        <w:t>Makanan</w:t>
      </w:r>
      <w:r w:rsidR="00A954D0">
        <w:rPr>
          <w:rFonts w:ascii="Bookman Old Style" w:hAnsi="Bookman Old Style" w:cs="Gill Sans Light (Arabid)"/>
          <w:bCs/>
          <w:sz w:val="24"/>
          <w:szCs w:val="24"/>
          <w:lang w:eastAsia="id-ID"/>
        </w:rPr>
        <w:t xml:space="preserve"> </w:t>
      </w:r>
      <w:r w:rsidRPr="00D05183">
        <w:rPr>
          <w:rFonts w:ascii="Bookman Old Style" w:hAnsi="Bookman Old Style" w:cs="Gill Sans Light (Arabid)"/>
          <w:bCs/>
          <w:sz w:val="24"/>
          <w:szCs w:val="24"/>
          <w:lang w:eastAsia="id-ID"/>
        </w:rPr>
        <w:t>dan</w:t>
      </w:r>
      <w:r w:rsidR="00A954D0">
        <w:rPr>
          <w:rFonts w:ascii="Bookman Old Style" w:hAnsi="Bookman Old Style" w:cs="Gill Sans Light (Arabid)"/>
          <w:bCs/>
          <w:sz w:val="24"/>
          <w:szCs w:val="24"/>
          <w:lang w:eastAsia="id-ID"/>
        </w:rPr>
        <w:t xml:space="preserve"> </w:t>
      </w:r>
      <w:r w:rsidRPr="00D05183">
        <w:rPr>
          <w:rFonts w:ascii="Bookman Old Style" w:hAnsi="Bookman Old Style" w:cs="Gill Sans Light (Arabid)"/>
          <w:bCs/>
          <w:sz w:val="24"/>
          <w:szCs w:val="24"/>
          <w:lang w:eastAsia="id-ID"/>
        </w:rPr>
        <w:t>Minuman</w:t>
      </w:r>
      <w:r w:rsidR="00A954D0">
        <w:rPr>
          <w:rFonts w:ascii="Bookman Old Style" w:hAnsi="Bookman Old Style" w:cs="Gill Sans Light (Arabid)"/>
          <w:bCs/>
          <w:sz w:val="24"/>
          <w:szCs w:val="24"/>
          <w:lang w:eastAsia="id-ID"/>
        </w:rPr>
        <w:t xml:space="preserve"> </w:t>
      </w:r>
      <w:r w:rsidRPr="00D05183">
        <w:rPr>
          <w:rFonts w:ascii="Bookman Old Style" w:hAnsi="Bookman Old Style" w:cs="Gill Sans Light (Arabid)"/>
          <w:bCs/>
          <w:sz w:val="24"/>
          <w:szCs w:val="24"/>
          <w:lang w:eastAsia="id-ID"/>
        </w:rPr>
        <w:t>pada</w:t>
      </w:r>
      <w:r w:rsidR="00A954D0">
        <w:rPr>
          <w:rFonts w:ascii="Bookman Old Style" w:hAnsi="Bookman Old Style" w:cs="Gill Sans Light (Arabid)"/>
          <w:bCs/>
          <w:sz w:val="24"/>
          <w:szCs w:val="24"/>
          <w:lang w:eastAsia="id-ID"/>
        </w:rPr>
        <w:t xml:space="preserve"> </w:t>
      </w:r>
      <w:r w:rsidRPr="00D05183">
        <w:rPr>
          <w:rFonts w:ascii="Bookman Old Style" w:hAnsi="Bookman Old Style" w:cs="Gill Sans Light (Arabid)"/>
          <w:bCs/>
          <w:sz w:val="24"/>
          <w:szCs w:val="24"/>
          <w:lang w:eastAsia="id-ID"/>
        </w:rPr>
        <w:t>Fasilitas</w:t>
      </w:r>
      <w:r w:rsidR="00A954D0">
        <w:rPr>
          <w:rFonts w:ascii="Bookman Old Style" w:hAnsi="Bookman Old Style" w:cs="Gill Sans Light (Arabid)"/>
          <w:bCs/>
          <w:sz w:val="24"/>
          <w:szCs w:val="24"/>
          <w:lang w:eastAsia="id-ID"/>
        </w:rPr>
        <w:t xml:space="preserve"> </w:t>
      </w:r>
      <w:r w:rsidRPr="00D05183">
        <w:rPr>
          <w:rFonts w:ascii="Bookman Old Style" w:hAnsi="Bookman Old Style" w:cs="Gill Sans Light (Arabid)"/>
          <w:bCs/>
          <w:sz w:val="24"/>
          <w:szCs w:val="24"/>
          <w:lang w:eastAsia="id-ID"/>
        </w:rPr>
        <w:t>Pelayanan</w:t>
      </w:r>
      <w:r w:rsidR="00A954D0">
        <w:rPr>
          <w:rFonts w:ascii="Bookman Old Style" w:hAnsi="Bookman Old Style" w:cs="Gill Sans Light (Arabid)"/>
          <w:bCs/>
          <w:sz w:val="24"/>
          <w:szCs w:val="24"/>
          <w:lang w:eastAsia="id-ID"/>
        </w:rPr>
        <w:t xml:space="preserve"> </w:t>
      </w:r>
      <w:r w:rsidRPr="00D05183">
        <w:rPr>
          <w:rFonts w:ascii="Bookman Old Style" w:hAnsi="Bookman Old Style" w:cs="Gill Sans Light (Arabid)"/>
          <w:bCs/>
          <w:sz w:val="24"/>
          <w:szCs w:val="24"/>
          <w:lang w:eastAsia="id-ID"/>
        </w:rPr>
        <w:t>Urusan</w:t>
      </w:r>
      <w:r w:rsidR="00A954D0">
        <w:rPr>
          <w:rFonts w:ascii="Bookman Old Style" w:hAnsi="Bookman Old Style" w:cs="Gill Sans Light (Arabid)"/>
          <w:bCs/>
          <w:sz w:val="24"/>
          <w:szCs w:val="24"/>
          <w:lang w:eastAsia="id-ID"/>
        </w:rPr>
        <w:t xml:space="preserve"> </w:t>
      </w:r>
      <w:r w:rsidRPr="00D05183">
        <w:rPr>
          <w:rFonts w:ascii="Bookman Old Style" w:hAnsi="Bookman Old Style" w:cs="Gill Sans Light (Arabid)"/>
          <w:bCs/>
          <w:sz w:val="24"/>
          <w:szCs w:val="24"/>
          <w:lang w:eastAsia="id-ID"/>
        </w:rPr>
        <w:t>Kesehatan</w:t>
      </w:r>
      <w:r w:rsidR="00A954D0">
        <w:rPr>
          <w:rFonts w:ascii="Bookman Old Style" w:hAnsi="Bookman Old Style" w:cs="Gill Sans Light (Arabid)"/>
          <w:bCs/>
          <w:sz w:val="24"/>
          <w:szCs w:val="24"/>
          <w:lang w:eastAsia="id-ID"/>
        </w:rPr>
        <w:t xml:space="preserve"> </w:t>
      </w:r>
      <w:r w:rsidRPr="00D05183">
        <w:rPr>
          <w:rFonts w:ascii="Bookman Old Style" w:hAnsi="Bookman Old Style" w:cs="Gill Sans Light (Arabid)"/>
          <w:bCs/>
          <w:sz w:val="24"/>
          <w:szCs w:val="24"/>
          <w:lang w:eastAsia="id-ID"/>
        </w:rPr>
        <w:t>Rp9.611.083.900,00</w:t>
      </w:r>
      <w:r>
        <w:rPr>
          <w:rFonts w:ascii="Bookman Old Style" w:hAnsi="Bookman Old Style" w:cs="Gill Sans Light (Arabid)"/>
          <w:bCs/>
          <w:sz w:val="24"/>
          <w:szCs w:val="24"/>
          <w:lang w:eastAsia="id-ID"/>
        </w:rPr>
        <w:t>;</w:t>
      </w:r>
    </w:p>
    <w:p w14:paraId="51A30A3C" w14:textId="333AF796" w:rsidR="00906536" w:rsidRPr="00561267" w:rsidRDefault="00906536" w:rsidP="008B21D9">
      <w:pPr>
        <w:pStyle w:val="ListParagraph"/>
        <w:numPr>
          <w:ilvl w:val="0"/>
          <w:numId w:val="49"/>
        </w:numPr>
        <w:spacing w:before="60" w:after="0" w:line="276" w:lineRule="auto"/>
        <w:ind w:left="3261" w:hanging="250"/>
        <w:contextualSpacing w:val="0"/>
        <w:jc w:val="both"/>
        <w:rPr>
          <w:rFonts w:ascii="Bookman Old Style" w:hAnsi="Bookman Old Style" w:cs="Gill Sans Light (Arabid)"/>
          <w:bCs/>
          <w:sz w:val="24"/>
          <w:szCs w:val="24"/>
          <w:lang w:eastAsia="id-ID"/>
        </w:rPr>
      </w:pPr>
      <w:r w:rsidRPr="00561267">
        <w:rPr>
          <w:rFonts w:ascii="Bookman Old Style" w:hAnsi="Bookman Old Style" w:cs="Gill Sans Light (Arabid)"/>
          <w:bCs/>
          <w:sz w:val="24"/>
          <w:szCs w:val="24"/>
          <w:lang w:eastAsia="id-ID"/>
        </w:rPr>
        <w:t>Belanja</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Makanan</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dan</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Minuman</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Aktivitas</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Lapangan</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Rp7.630.291.900,00;</w:t>
      </w:r>
    </w:p>
    <w:p w14:paraId="363C35EE" w14:textId="01853297" w:rsidR="00906536" w:rsidRPr="00561267" w:rsidRDefault="00906536" w:rsidP="008B21D9">
      <w:pPr>
        <w:pStyle w:val="ListParagraph"/>
        <w:numPr>
          <w:ilvl w:val="0"/>
          <w:numId w:val="49"/>
        </w:numPr>
        <w:spacing w:before="60" w:after="0" w:line="276" w:lineRule="auto"/>
        <w:ind w:left="3261" w:hanging="250"/>
        <w:contextualSpacing w:val="0"/>
        <w:jc w:val="both"/>
        <w:rPr>
          <w:rFonts w:ascii="Bookman Old Style" w:hAnsi="Bookman Old Style" w:cs="Gill Sans Light (Arabid)"/>
          <w:bCs/>
          <w:sz w:val="24"/>
          <w:szCs w:val="24"/>
          <w:lang w:eastAsia="id-ID"/>
        </w:rPr>
      </w:pPr>
      <w:r w:rsidRPr="00561267">
        <w:rPr>
          <w:rFonts w:ascii="Bookman Old Style" w:hAnsi="Bookman Old Style" w:cs="Gill Sans Light (Arabid)"/>
          <w:bCs/>
          <w:sz w:val="24"/>
          <w:szCs w:val="24"/>
          <w:lang w:eastAsia="id-ID"/>
        </w:rPr>
        <w:t>Belanja</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Pakaian</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Dinas</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Lapangan</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(PDL)</w:t>
      </w:r>
      <w:r w:rsidR="00A954D0">
        <w:rPr>
          <w:rFonts w:ascii="Bookman Old Style" w:hAnsi="Bookman Old Style" w:cs="Gill Sans Light (Arabid)"/>
          <w:bCs/>
          <w:sz w:val="24"/>
          <w:szCs w:val="24"/>
          <w:lang w:eastAsia="id-ID"/>
        </w:rPr>
        <w:t xml:space="preserve"> </w:t>
      </w:r>
      <w:r w:rsidRPr="00561267">
        <w:rPr>
          <w:rFonts w:ascii="Bookman Old Style" w:hAnsi="Bookman Old Style" w:cs="Gill Sans Light (Arabid)"/>
          <w:bCs/>
          <w:sz w:val="24"/>
          <w:szCs w:val="24"/>
          <w:lang w:eastAsia="id-ID"/>
        </w:rPr>
        <w:t>Rp5.713.759.680,00</w:t>
      </w:r>
      <w:r w:rsidR="008B21D9" w:rsidRPr="008B21D9">
        <w:rPr>
          <w:rFonts w:ascii="Bookman Old Style" w:hAnsi="Bookman Old Style" w:cs="Gill Sans Light (Arabid)"/>
          <w:bCs/>
          <w:sz w:val="24"/>
          <w:szCs w:val="24"/>
          <w:lang w:val="sv-FI" w:eastAsia="id-ID"/>
        </w:rPr>
        <w:t>.</w:t>
      </w:r>
    </w:p>
    <w:p w14:paraId="100A43C9" w14:textId="639D2169" w:rsidR="00B15BAC" w:rsidRPr="00561267" w:rsidRDefault="00B15BAC" w:rsidP="008B21D9">
      <w:pPr>
        <w:pStyle w:val="ListParagraph"/>
        <w:numPr>
          <w:ilvl w:val="0"/>
          <w:numId w:val="41"/>
        </w:numPr>
        <w:snapToGrid w:val="0"/>
        <w:spacing w:before="60" w:after="0" w:line="276" w:lineRule="auto"/>
        <w:ind w:left="2694" w:hanging="425"/>
        <w:contextualSpacing w:val="0"/>
        <w:jc w:val="both"/>
        <w:rPr>
          <w:rFonts w:ascii="Bookman Old Style" w:hAnsi="Bookman Old Style"/>
          <w:sz w:val="24"/>
          <w:szCs w:val="24"/>
        </w:rPr>
      </w:pPr>
      <w:r w:rsidRPr="00561267">
        <w:rPr>
          <w:rFonts w:ascii="Bookman Old Style" w:hAnsi="Bookman Old Style"/>
          <w:sz w:val="24"/>
          <w:szCs w:val="24"/>
        </w:rPr>
        <w:t>Belanja</w:t>
      </w:r>
      <w:r w:rsidR="00A954D0">
        <w:rPr>
          <w:rFonts w:ascii="Bookman Old Style" w:hAnsi="Bookman Old Style"/>
          <w:sz w:val="24"/>
          <w:szCs w:val="24"/>
        </w:rPr>
        <w:t xml:space="preserve"> </w:t>
      </w:r>
      <w:r w:rsidRPr="00561267">
        <w:rPr>
          <w:rFonts w:ascii="Bookman Old Style" w:hAnsi="Bookman Old Style"/>
          <w:sz w:val="24"/>
          <w:szCs w:val="24"/>
        </w:rPr>
        <w:t>Barang</w:t>
      </w:r>
      <w:r w:rsidR="00A954D0">
        <w:rPr>
          <w:rFonts w:ascii="Bookman Old Style" w:hAnsi="Bookman Old Style"/>
          <w:sz w:val="24"/>
          <w:szCs w:val="24"/>
        </w:rPr>
        <w:t xml:space="preserve"> </w:t>
      </w:r>
      <w:r w:rsidRPr="00561267">
        <w:rPr>
          <w:rFonts w:ascii="Bookman Old Style" w:hAnsi="Bookman Old Style"/>
          <w:sz w:val="24"/>
          <w:szCs w:val="24"/>
        </w:rPr>
        <w:t>Tak</w:t>
      </w:r>
      <w:r w:rsidR="00A954D0">
        <w:rPr>
          <w:rFonts w:ascii="Bookman Old Style" w:hAnsi="Bookman Old Style"/>
          <w:sz w:val="24"/>
          <w:szCs w:val="24"/>
        </w:rPr>
        <w:t xml:space="preserve"> </w:t>
      </w:r>
      <w:r w:rsidRPr="00561267">
        <w:rPr>
          <w:rFonts w:ascii="Bookman Old Style" w:hAnsi="Bookman Old Style"/>
          <w:sz w:val="24"/>
          <w:szCs w:val="24"/>
        </w:rPr>
        <w:t>Habis</w:t>
      </w:r>
      <w:r w:rsidR="00A954D0">
        <w:rPr>
          <w:rFonts w:ascii="Bookman Old Style" w:hAnsi="Bookman Old Style"/>
          <w:sz w:val="24"/>
          <w:szCs w:val="24"/>
        </w:rPr>
        <w:t xml:space="preserve"> </w:t>
      </w:r>
      <w:r w:rsidRPr="00561267">
        <w:rPr>
          <w:rFonts w:ascii="Bookman Old Style" w:hAnsi="Bookman Old Style"/>
          <w:sz w:val="24"/>
          <w:szCs w:val="24"/>
        </w:rPr>
        <w:t>Pakai</w:t>
      </w:r>
      <w:r w:rsidR="00A954D0">
        <w:rPr>
          <w:rFonts w:ascii="Bookman Old Style" w:hAnsi="Bookman Old Style"/>
          <w:sz w:val="24"/>
          <w:szCs w:val="24"/>
          <w:lang w:val="id-ID"/>
        </w:rPr>
        <w:t xml:space="preserve"> </w:t>
      </w:r>
      <w:r w:rsidR="00F04481" w:rsidRPr="00561267">
        <w:rPr>
          <w:rFonts w:ascii="Bookman Old Style" w:hAnsi="Bookman Old Style"/>
          <w:sz w:val="24"/>
          <w:szCs w:val="24"/>
          <w:lang w:val="id-ID"/>
        </w:rPr>
        <w:t>Rp127.276.000,00</w:t>
      </w:r>
      <w:r w:rsidR="00A954D0">
        <w:rPr>
          <w:rFonts w:ascii="Bookman Old Style" w:hAnsi="Bookman Old Style"/>
          <w:sz w:val="24"/>
          <w:szCs w:val="24"/>
          <w:lang w:val="id-ID"/>
        </w:rPr>
        <w:t xml:space="preserve"> </w:t>
      </w:r>
      <w:r w:rsidR="00F04481" w:rsidRPr="00561267">
        <w:rPr>
          <w:rFonts w:ascii="Bookman Old Style" w:hAnsi="Bookman Old Style"/>
          <w:sz w:val="24"/>
          <w:szCs w:val="24"/>
          <w:lang w:val="id-ID"/>
        </w:rPr>
        <w:t>atau</w:t>
      </w:r>
      <w:r w:rsidR="00A954D0">
        <w:rPr>
          <w:rFonts w:ascii="Bookman Old Style" w:hAnsi="Bookman Old Style"/>
          <w:sz w:val="24"/>
          <w:szCs w:val="24"/>
          <w:lang w:val="id-ID"/>
        </w:rPr>
        <w:t xml:space="preserve"> </w:t>
      </w:r>
      <w:r w:rsidR="00F04481" w:rsidRPr="00561267">
        <w:rPr>
          <w:rFonts w:ascii="Bookman Old Style" w:hAnsi="Bookman Old Style"/>
          <w:sz w:val="24"/>
          <w:szCs w:val="24"/>
          <w:lang w:val="id-ID"/>
        </w:rPr>
        <w:t>0,002%</w:t>
      </w:r>
      <w:r w:rsidR="00A954D0">
        <w:rPr>
          <w:rFonts w:ascii="Bookman Old Style" w:hAnsi="Bookman Old Style"/>
          <w:sz w:val="24"/>
          <w:szCs w:val="24"/>
          <w:lang w:val="id-ID"/>
        </w:rPr>
        <w:t xml:space="preserve"> </w:t>
      </w:r>
      <w:r w:rsidRPr="00561267">
        <w:rPr>
          <w:rFonts w:ascii="Bookman Old Style" w:hAnsi="Bookman Old Style"/>
          <w:sz w:val="24"/>
          <w:szCs w:val="24"/>
        </w:rPr>
        <w:t>dari</w:t>
      </w:r>
      <w:r w:rsidR="00A954D0">
        <w:rPr>
          <w:rFonts w:ascii="Bookman Old Style" w:hAnsi="Bookman Old Style"/>
          <w:sz w:val="24"/>
          <w:szCs w:val="24"/>
        </w:rPr>
        <w:t xml:space="preserve"> </w:t>
      </w:r>
      <w:r w:rsidRPr="00561267">
        <w:rPr>
          <w:rFonts w:ascii="Bookman Old Style" w:hAnsi="Bookman Old Style"/>
          <w:sz w:val="24"/>
          <w:szCs w:val="24"/>
        </w:rPr>
        <w:t>total</w:t>
      </w:r>
      <w:r w:rsidR="00A954D0">
        <w:rPr>
          <w:rFonts w:ascii="Bookman Old Style" w:hAnsi="Bookman Old Style"/>
          <w:sz w:val="24"/>
          <w:szCs w:val="24"/>
        </w:rPr>
        <w:t xml:space="preserve"> </w:t>
      </w:r>
      <w:r w:rsidRPr="00561267">
        <w:rPr>
          <w:rFonts w:ascii="Bookman Old Style" w:hAnsi="Bookman Old Style"/>
          <w:sz w:val="24"/>
          <w:szCs w:val="24"/>
        </w:rPr>
        <w:t>belanja</w:t>
      </w:r>
      <w:r w:rsidR="00A954D0">
        <w:rPr>
          <w:rFonts w:ascii="Bookman Old Style" w:hAnsi="Bookman Old Style"/>
          <w:sz w:val="24"/>
          <w:szCs w:val="24"/>
        </w:rPr>
        <w:t xml:space="preserve"> </w:t>
      </w:r>
      <w:r w:rsidRPr="00561267">
        <w:rPr>
          <w:rFonts w:ascii="Bookman Old Style" w:hAnsi="Bookman Old Style"/>
          <w:sz w:val="24"/>
          <w:szCs w:val="24"/>
        </w:rPr>
        <w:t>daerah</w:t>
      </w:r>
      <w:r w:rsidR="00A954D0">
        <w:rPr>
          <w:rFonts w:ascii="Bookman Old Style" w:hAnsi="Bookman Old Style"/>
          <w:sz w:val="24"/>
          <w:szCs w:val="24"/>
        </w:rPr>
        <w:t xml:space="preserve"> </w:t>
      </w:r>
      <w:r w:rsidRPr="00561267">
        <w:rPr>
          <w:rFonts w:ascii="Bookman Old Style" w:hAnsi="Bookman Old Style"/>
          <w:sz w:val="24"/>
          <w:szCs w:val="24"/>
        </w:rPr>
        <w:t>dalam</w:t>
      </w:r>
      <w:r w:rsidR="00A954D0">
        <w:rPr>
          <w:rFonts w:ascii="Bookman Old Style" w:hAnsi="Bookman Old Style"/>
          <w:sz w:val="24"/>
          <w:szCs w:val="24"/>
        </w:rPr>
        <w:t xml:space="preserve"> </w:t>
      </w:r>
      <w:r w:rsidRPr="00561267">
        <w:rPr>
          <w:rFonts w:ascii="Bookman Old Style" w:hAnsi="Bookman Old Style"/>
          <w:sz w:val="24"/>
          <w:szCs w:val="24"/>
        </w:rPr>
        <w:t>Rancangan</w:t>
      </w:r>
      <w:r w:rsidR="00A954D0">
        <w:rPr>
          <w:rFonts w:ascii="Bookman Old Style" w:hAnsi="Bookman Old Style"/>
          <w:sz w:val="24"/>
          <w:szCs w:val="24"/>
        </w:rPr>
        <w:t xml:space="preserve"> </w:t>
      </w:r>
      <w:r w:rsidRPr="00561267">
        <w:rPr>
          <w:rFonts w:ascii="Bookman Old Style" w:hAnsi="Bookman Old Style"/>
          <w:sz w:val="24"/>
          <w:szCs w:val="24"/>
        </w:rPr>
        <w:t>Peraturan</w:t>
      </w:r>
      <w:r w:rsidR="00A954D0">
        <w:rPr>
          <w:rFonts w:ascii="Bookman Old Style" w:hAnsi="Bookman Old Style"/>
          <w:sz w:val="24"/>
          <w:szCs w:val="24"/>
        </w:rPr>
        <w:t xml:space="preserve"> </w:t>
      </w:r>
      <w:r w:rsidRPr="00561267">
        <w:rPr>
          <w:rFonts w:ascii="Bookman Old Style" w:hAnsi="Bookman Old Style"/>
          <w:sz w:val="24"/>
          <w:szCs w:val="24"/>
        </w:rPr>
        <w:t>Daerah</w:t>
      </w:r>
      <w:r w:rsidR="00A954D0">
        <w:rPr>
          <w:rFonts w:ascii="Bookman Old Style" w:hAnsi="Bookman Old Style"/>
          <w:sz w:val="24"/>
          <w:szCs w:val="24"/>
        </w:rPr>
        <w:t xml:space="preserve"> </w:t>
      </w:r>
      <w:r w:rsidR="00B055C5" w:rsidRPr="00561267">
        <w:rPr>
          <w:rFonts w:ascii="Bookman Old Style" w:hAnsi="Bookman Old Style"/>
          <w:sz w:val="24"/>
          <w:szCs w:val="24"/>
          <w:lang w:val="id-ID"/>
        </w:rPr>
        <w:t>Kota</w:t>
      </w:r>
      <w:r w:rsidR="00A954D0">
        <w:rPr>
          <w:rFonts w:ascii="Bookman Old Style" w:hAnsi="Bookman Old Style"/>
          <w:sz w:val="24"/>
          <w:szCs w:val="24"/>
          <w:lang w:val="id-ID"/>
        </w:rPr>
        <w:t xml:space="preserve"> </w:t>
      </w:r>
      <w:r w:rsidR="00770F22" w:rsidRPr="00561267">
        <w:rPr>
          <w:rFonts w:ascii="Bookman Old Style" w:hAnsi="Bookman Old Style"/>
          <w:sz w:val="24"/>
          <w:szCs w:val="24"/>
          <w:lang w:val="id-ID"/>
        </w:rPr>
        <w:t>Tangerang</w:t>
      </w:r>
      <w:r w:rsidR="00A954D0">
        <w:rPr>
          <w:rFonts w:ascii="Bookman Old Style" w:hAnsi="Bookman Old Style"/>
          <w:sz w:val="24"/>
          <w:szCs w:val="24"/>
          <w:lang w:val="id-ID"/>
        </w:rPr>
        <w:t xml:space="preserve"> </w:t>
      </w:r>
      <w:r w:rsidR="00BE6ED9" w:rsidRPr="00561267">
        <w:rPr>
          <w:rFonts w:ascii="Bookman Old Style" w:hAnsi="Bookman Old Style"/>
          <w:sz w:val="24"/>
          <w:szCs w:val="24"/>
          <w:lang w:val="id-ID"/>
        </w:rPr>
        <w:t>tentang</w:t>
      </w:r>
      <w:r w:rsidR="00A954D0">
        <w:rPr>
          <w:rFonts w:ascii="Bookman Old Style" w:hAnsi="Bookman Old Style"/>
          <w:sz w:val="24"/>
          <w:szCs w:val="24"/>
          <w:lang w:val="id-ID"/>
        </w:rPr>
        <w:t xml:space="preserve"> </w:t>
      </w:r>
      <w:r w:rsidR="00BE6ED9" w:rsidRPr="00561267">
        <w:rPr>
          <w:rFonts w:ascii="Bookman Old Style" w:hAnsi="Bookman Old Style"/>
          <w:sz w:val="24"/>
          <w:szCs w:val="24"/>
          <w:lang w:val="id-ID"/>
        </w:rPr>
        <w:t>APBD</w:t>
      </w:r>
      <w:r w:rsidR="00A954D0">
        <w:rPr>
          <w:rFonts w:ascii="Bookman Old Style" w:hAnsi="Bookman Old Style"/>
          <w:sz w:val="24"/>
          <w:szCs w:val="24"/>
        </w:rPr>
        <w:t xml:space="preserve"> </w:t>
      </w:r>
      <w:r w:rsidRPr="00561267">
        <w:rPr>
          <w:rFonts w:ascii="Bookman Old Style" w:hAnsi="Bookman Old Style"/>
          <w:sz w:val="24"/>
          <w:szCs w:val="24"/>
        </w:rPr>
        <w:t>Tahun</w:t>
      </w:r>
      <w:r w:rsidR="00A954D0">
        <w:rPr>
          <w:rFonts w:ascii="Bookman Old Style" w:hAnsi="Bookman Old Style"/>
          <w:sz w:val="24"/>
          <w:szCs w:val="24"/>
        </w:rPr>
        <w:t xml:space="preserve"> </w:t>
      </w:r>
      <w:r w:rsidRPr="00561267">
        <w:rPr>
          <w:rFonts w:ascii="Bookman Old Style" w:hAnsi="Bookman Old Style"/>
          <w:sz w:val="24"/>
          <w:szCs w:val="24"/>
        </w:rPr>
        <w:t>Anggaran</w:t>
      </w:r>
      <w:r w:rsidR="00A954D0">
        <w:rPr>
          <w:rFonts w:ascii="Bookman Old Style" w:hAnsi="Bookman Old Style"/>
          <w:sz w:val="24"/>
          <w:szCs w:val="24"/>
        </w:rPr>
        <w:t xml:space="preserve"> </w:t>
      </w:r>
      <w:r w:rsidRPr="00561267">
        <w:rPr>
          <w:rFonts w:ascii="Bookman Old Style" w:hAnsi="Bookman Old Style"/>
          <w:sz w:val="24"/>
          <w:szCs w:val="24"/>
        </w:rPr>
        <w:t>2025,</w:t>
      </w:r>
      <w:r w:rsidR="00A954D0">
        <w:rPr>
          <w:rFonts w:ascii="Bookman Old Style" w:hAnsi="Bookman Old Style"/>
          <w:sz w:val="24"/>
          <w:szCs w:val="24"/>
        </w:rPr>
        <w:t xml:space="preserve"> </w:t>
      </w:r>
      <w:r w:rsidRPr="00561267">
        <w:rPr>
          <w:rFonts w:ascii="Bookman Old Style" w:hAnsi="Bookman Old Style"/>
          <w:sz w:val="24"/>
          <w:szCs w:val="24"/>
        </w:rPr>
        <w:t>yang</w:t>
      </w:r>
      <w:r w:rsidR="00A954D0">
        <w:rPr>
          <w:rFonts w:ascii="Bookman Old Style" w:hAnsi="Bookman Old Style"/>
          <w:sz w:val="24"/>
          <w:szCs w:val="24"/>
        </w:rPr>
        <w:t xml:space="preserve"> </w:t>
      </w:r>
      <w:r w:rsidR="00C5431E" w:rsidRPr="00561267">
        <w:rPr>
          <w:rFonts w:ascii="Bookman Old Style" w:hAnsi="Bookman Old Style"/>
          <w:sz w:val="24"/>
          <w:szCs w:val="24"/>
          <w:lang w:val="en-US"/>
        </w:rPr>
        <w:t>antara</w:t>
      </w:r>
      <w:r w:rsidR="00A954D0">
        <w:rPr>
          <w:rFonts w:ascii="Bookman Old Style" w:hAnsi="Bookman Old Style"/>
          <w:sz w:val="24"/>
          <w:szCs w:val="24"/>
          <w:lang w:val="en-US"/>
        </w:rPr>
        <w:t xml:space="preserve"> </w:t>
      </w:r>
      <w:r w:rsidR="00C5431E" w:rsidRPr="00561267">
        <w:rPr>
          <w:rFonts w:ascii="Bookman Old Style" w:hAnsi="Bookman Old Style"/>
          <w:sz w:val="24"/>
          <w:szCs w:val="24"/>
          <w:lang w:val="en-US"/>
        </w:rPr>
        <w:t>lain</w:t>
      </w:r>
      <w:r w:rsidR="00A954D0">
        <w:rPr>
          <w:rFonts w:ascii="Bookman Old Style" w:hAnsi="Bookman Old Style"/>
          <w:sz w:val="24"/>
          <w:szCs w:val="24"/>
        </w:rPr>
        <w:t xml:space="preserve"> </w:t>
      </w:r>
      <w:r w:rsidRPr="00561267">
        <w:rPr>
          <w:rFonts w:ascii="Bookman Old Style" w:hAnsi="Bookman Old Style"/>
          <w:sz w:val="24"/>
          <w:szCs w:val="24"/>
        </w:rPr>
        <w:t>diuraikan</w:t>
      </w:r>
      <w:r w:rsidR="00A954D0">
        <w:rPr>
          <w:rFonts w:ascii="Bookman Old Style" w:hAnsi="Bookman Old Style"/>
          <w:sz w:val="24"/>
          <w:szCs w:val="24"/>
        </w:rPr>
        <w:t xml:space="preserve"> </w:t>
      </w:r>
      <w:r w:rsidRPr="00561267">
        <w:rPr>
          <w:rFonts w:ascii="Bookman Old Style" w:hAnsi="Bookman Old Style"/>
          <w:sz w:val="24"/>
          <w:szCs w:val="24"/>
        </w:rPr>
        <w:t>ke</w:t>
      </w:r>
      <w:r w:rsidR="00A954D0">
        <w:rPr>
          <w:rFonts w:ascii="Bookman Old Style" w:hAnsi="Bookman Old Style"/>
          <w:sz w:val="24"/>
          <w:szCs w:val="24"/>
        </w:rPr>
        <w:t xml:space="preserve"> </w:t>
      </w:r>
      <w:r w:rsidRPr="00561267">
        <w:rPr>
          <w:rFonts w:ascii="Bookman Old Style" w:hAnsi="Bookman Old Style"/>
          <w:sz w:val="24"/>
          <w:szCs w:val="24"/>
        </w:rPr>
        <w:t>dalam</w:t>
      </w:r>
      <w:r w:rsidR="00A954D0">
        <w:rPr>
          <w:rFonts w:ascii="Bookman Old Style" w:hAnsi="Bookman Old Style"/>
          <w:sz w:val="24"/>
          <w:szCs w:val="24"/>
        </w:rPr>
        <w:t xml:space="preserve"> </w:t>
      </w:r>
      <w:r w:rsidRPr="00561267">
        <w:rPr>
          <w:rFonts w:ascii="Bookman Old Style" w:hAnsi="Bookman Old Style"/>
          <w:sz w:val="24"/>
          <w:szCs w:val="24"/>
        </w:rPr>
        <w:t>sub</w:t>
      </w:r>
      <w:r w:rsidR="00A954D0">
        <w:rPr>
          <w:rFonts w:ascii="Bookman Old Style" w:hAnsi="Bookman Old Style"/>
          <w:sz w:val="24"/>
          <w:szCs w:val="24"/>
        </w:rPr>
        <w:t xml:space="preserve"> </w:t>
      </w:r>
      <w:r w:rsidRPr="00561267">
        <w:rPr>
          <w:rFonts w:ascii="Bookman Old Style" w:hAnsi="Bookman Old Style"/>
          <w:sz w:val="24"/>
          <w:szCs w:val="24"/>
        </w:rPr>
        <w:t>rincian</w:t>
      </w:r>
      <w:r w:rsidR="00A954D0">
        <w:rPr>
          <w:rFonts w:ascii="Bookman Old Style" w:hAnsi="Bookman Old Style"/>
          <w:sz w:val="24"/>
          <w:szCs w:val="24"/>
        </w:rPr>
        <w:t xml:space="preserve"> </w:t>
      </w:r>
      <w:r w:rsidRPr="00561267">
        <w:rPr>
          <w:rFonts w:ascii="Bookman Old Style" w:hAnsi="Bookman Old Style"/>
          <w:sz w:val="24"/>
          <w:szCs w:val="24"/>
        </w:rPr>
        <w:t>objek</w:t>
      </w:r>
      <w:r w:rsidR="00A954D0">
        <w:rPr>
          <w:rFonts w:ascii="Bookman Old Style" w:hAnsi="Bookman Old Style"/>
          <w:sz w:val="24"/>
          <w:szCs w:val="24"/>
          <w:lang w:val="en-US"/>
        </w:rPr>
        <w:t xml:space="preserve"> </w:t>
      </w:r>
      <w:r w:rsidR="00C5431E" w:rsidRPr="00561267">
        <w:rPr>
          <w:rFonts w:ascii="Bookman Old Style" w:hAnsi="Bookman Old Style" w:cs="Gill Sans Light (Arabid)"/>
          <w:bCs/>
          <w:sz w:val="24"/>
          <w:szCs w:val="24"/>
          <w:lang w:eastAsia="id-ID"/>
        </w:rPr>
        <w:t>Belanja</w:t>
      </w:r>
      <w:r w:rsidR="00A954D0">
        <w:rPr>
          <w:rFonts w:ascii="Bookman Old Style" w:hAnsi="Bookman Old Style" w:cs="Gill Sans Light (Arabid)"/>
          <w:bCs/>
          <w:sz w:val="24"/>
          <w:szCs w:val="24"/>
          <w:lang w:eastAsia="id-ID"/>
        </w:rPr>
        <w:t xml:space="preserve"> </w:t>
      </w:r>
      <w:r w:rsidR="00C5431E" w:rsidRPr="00561267">
        <w:rPr>
          <w:rFonts w:ascii="Bookman Old Style" w:hAnsi="Bookman Old Style" w:cs="Gill Sans Light (Arabid)"/>
          <w:bCs/>
          <w:sz w:val="24"/>
          <w:szCs w:val="24"/>
          <w:lang w:eastAsia="id-ID"/>
        </w:rPr>
        <w:t>Komponen-Komponen</w:t>
      </w:r>
      <w:r w:rsidR="00A954D0">
        <w:rPr>
          <w:rFonts w:ascii="Bookman Old Style" w:hAnsi="Bookman Old Style" w:cs="Gill Sans Light (Arabid)"/>
          <w:bCs/>
          <w:sz w:val="24"/>
          <w:szCs w:val="24"/>
          <w:lang w:eastAsia="id-ID"/>
        </w:rPr>
        <w:t xml:space="preserve"> </w:t>
      </w:r>
      <w:r w:rsidR="00C5431E" w:rsidRPr="00561267">
        <w:rPr>
          <w:rFonts w:ascii="Bookman Old Style" w:hAnsi="Bookman Old Style" w:cs="Gill Sans Light (Arabid)"/>
          <w:bCs/>
          <w:sz w:val="24"/>
          <w:szCs w:val="24"/>
          <w:lang w:eastAsia="id-ID"/>
        </w:rPr>
        <w:t>Rambu-Rambu</w:t>
      </w:r>
      <w:r w:rsidR="00A954D0">
        <w:rPr>
          <w:rFonts w:ascii="Bookman Old Style" w:hAnsi="Bookman Old Style" w:cs="Gill Sans Light (Arabid)"/>
          <w:bCs/>
          <w:sz w:val="24"/>
          <w:szCs w:val="24"/>
          <w:lang w:eastAsia="id-ID"/>
        </w:rPr>
        <w:t xml:space="preserve"> </w:t>
      </w:r>
      <w:r w:rsidR="00873DBA" w:rsidRPr="00561267">
        <w:rPr>
          <w:rFonts w:ascii="Bookman Old Style" w:hAnsi="Bookman Old Style" w:cs="Gill Sans Light (Arabid)"/>
          <w:bCs/>
          <w:sz w:val="24"/>
          <w:szCs w:val="24"/>
          <w:lang w:eastAsia="id-ID"/>
        </w:rPr>
        <w:t>Rp102.500.000,00</w:t>
      </w:r>
      <w:r w:rsidRPr="00561267">
        <w:rPr>
          <w:rFonts w:ascii="Bookman Old Style" w:hAnsi="Bookman Old Style"/>
          <w:sz w:val="24"/>
          <w:szCs w:val="24"/>
          <w:lang w:val="en-US"/>
        </w:rPr>
        <w:t>;</w:t>
      </w:r>
    </w:p>
    <w:p w14:paraId="74D72F1D" w14:textId="0626FD35" w:rsidR="00B15BAC" w:rsidRPr="00561267" w:rsidRDefault="00B15BAC" w:rsidP="008B21D9">
      <w:pPr>
        <w:pStyle w:val="ListParagraph"/>
        <w:numPr>
          <w:ilvl w:val="0"/>
          <w:numId w:val="41"/>
        </w:numPr>
        <w:snapToGrid w:val="0"/>
        <w:spacing w:before="60" w:after="0" w:line="276" w:lineRule="auto"/>
        <w:ind w:left="2694" w:hanging="425"/>
        <w:contextualSpacing w:val="0"/>
        <w:jc w:val="both"/>
        <w:rPr>
          <w:rFonts w:ascii="Bookman Old Style" w:hAnsi="Bookman Old Style"/>
          <w:sz w:val="24"/>
          <w:szCs w:val="24"/>
        </w:rPr>
      </w:pPr>
      <w:r w:rsidRPr="00561267">
        <w:rPr>
          <w:rFonts w:ascii="Bookman Old Style" w:hAnsi="Bookman Old Style"/>
          <w:sz w:val="24"/>
          <w:szCs w:val="24"/>
        </w:rPr>
        <w:t>Belanja</w:t>
      </w:r>
      <w:r w:rsidR="00A954D0">
        <w:rPr>
          <w:rFonts w:ascii="Bookman Old Style" w:hAnsi="Bookman Old Style"/>
          <w:sz w:val="24"/>
          <w:szCs w:val="24"/>
        </w:rPr>
        <w:t xml:space="preserve"> </w:t>
      </w:r>
      <w:r w:rsidRPr="00561267">
        <w:rPr>
          <w:rFonts w:ascii="Bookman Old Style" w:hAnsi="Bookman Old Style"/>
          <w:sz w:val="24"/>
          <w:szCs w:val="24"/>
        </w:rPr>
        <w:t>Aset</w:t>
      </w:r>
      <w:r w:rsidR="00A954D0">
        <w:rPr>
          <w:rFonts w:ascii="Bookman Old Style" w:hAnsi="Bookman Old Style"/>
          <w:sz w:val="24"/>
          <w:szCs w:val="24"/>
        </w:rPr>
        <w:t xml:space="preserve"> </w:t>
      </w:r>
      <w:r w:rsidRPr="00561267">
        <w:rPr>
          <w:rFonts w:ascii="Bookman Old Style" w:hAnsi="Bookman Old Style"/>
          <w:sz w:val="24"/>
          <w:szCs w:val="24"/>
        </w:rPr>
        <w:t>Tetap</w:t>
      </w:r>
      <w:r w:rsidR="00A954D0">
        <w:rPr>
          <w:rFonts w:ascii="Bookman Old Style" w:hAnsi="Bookman Old Style"/>
          <w:sz w:val="24"/>
          <w:szCs w:val="24"/>
        </w:rPr>
        <w:t xml:space="preserve"> </w:t>
      </w:r>
      <w:r w:rsidRPr="00561267">
        <w:rPr>
          <w:rFonts w:ascii="Bookman Old Style" w:hAnsi="Bookman Old Style"/>
          <w:sz w:val="24"/>
          <w:szCs w:val="24"/>
        </w:rPr>
        <w:t>yang</w:t>
      </w:r>
      <w:r w:rsidR="00A954D0">
        <w:rPr>
          <w:rFonts w:ascii="Bookman Old Style" w:hAnsi="Bookman Old Style"/>
          <w:sz w:val="24"/>
          <w:szCs w:val="24"/>
        </w:rPr>
        <w:t xml:space="preserve"> </w:t>
      </w:r>
      <w:r w:rsidRPr="00561267">
        <w:rPr>
          <w:rFonts w:ascii="Bookman Old Style" w:hAnsi="Bookman Old Style"/>
          <w:sz w:val="24"/>
          <w:szCs w:val="24"/>
        </w:rPr>
        <w:t>Tidak</w:t>
      </w:r>
      <w:r w:rsidR="00A954D0">
        <w:rPr>
          <w:rFonts w:ascii="Bookman Old Style" w:hAnsi="Bookman Old Style"/>
          <w:sz w:val="24"/>
          <w:szCs w:val="24"/>
        </w:rPr>
        <w:t xml:space="preserve"> </w:t>
      </w:r>
      <w:r w:rsidRPr="00561267">
        <w:rPr>
          <w:rFonts w:ascii="Bookman Old Style" w:hAnsi="Bookman Old Style"/>
          <w:sz w:val="24"/>
          <w:szCs w:val="24"/>
        </w:rPr>
        <w:t>Memenuhi</w:t>
      </w:r>
      <w:r w:rsidR="00A954D0">
        <w:rPr>
          <w:rFonts w:ascii="Bookman Old Style" w:hAnsi="Bookman Old Style"/>
          <w:sz w:val="24"/>
          <w:szCs w:val="24"/>
        </w:rPr>
        <w:t xml:space="preserve"> </w:t>
      </w:r>
      <w:r w:rsidRPr="00561267">
        <w:rPr>
          <w:rFonts w:ascii="Bookman Old Style" w:hAnsi="Bookman Old Style"/>
          <w:sz w:val="24"/>
          <w:szCs w:val="24"/>
        </w:rPr>
        <w:t>Kriteria</w:t>
      </w:r>
      <w:r w:rsidR="00A954D0">
        <w:rPr>
          <w:rFonts w:ascii="Bookman Old Style" w:hAnsi="Bookman Old Style"/>
          <w:sz w:val="24"/>
          <w:szCs w:val="24"/>
        </w:rPr>
        <w:t xml:space="preserve"> </w:t>
      </w:r>
      <w:r w:rsidRPr="00561267">
        <w:rPr>
          <w:rFonts w:ascii="Bookman Old Style" w:hAnsi="Bookman Old Style"/>
          <w:sz w:val="24"/>
          <w:szCs w:val="24"/>
        </w:rPr>
        <w:t>Kapitalisasi</w:t>
      </w:r>
      <w:r w:rsidR="00A954D0">
        <w:rPr>
          <w:rFonts w:ascii="Bookman Old Style" w:hAnsi="Bookman Old Style"/>
          <w:sz w:val="24"/>
          <w:szCs w:val="24"/>
        </w:rPr>
        <w:t xml:space="preserve"> </w:t>
      </w:r>
      <w:r w:rsidR="002A1CDF" w:rsidRPr="003255BC">
        <w:rPr>
          <w:rFonts w:ascii="Bookman Old Style" w:hAnsi="Bookman Old Style"/>
          <w:sz w:val="24"/>
          <w:szCs w:val="24"/>
          <w:lang w:val="sv-FI"/>
        </w:rPr>
        <w:t>Rp1.330.876.000,00</w:t>
      </w:r>
      <w:r w:rsidR="00A954D0" w:rsidRPr="003255BC">
        <w:rPr>
          <w:rFonts w:ascii="Bookman Old Style" w:hAnsi="Bookman Old Style"/>
          <w:sz w:val="24"/>
          <w:szCs w:val="24"/>
          <w:lang w:val="sv-FI"/>
        </w:rPr>
        <w:t xml:space="preserve"> </w:t>
      </w:r>
      <w:r w:rsidR="002A1CDF" w:rsidRPr="003255BC">
        <w:rPr>
          <w:rFonts w:ascii="Bookman Old Style" w:hAnsi="Bookman Old Style"/>
          <w:sz w:val="24"/>
          <w:szCs w:val="24"/>
          <w:lang w:val="sv-FI"/>
        </w:rPr>
        <w:t>atau</w:t>
      </w:r>
      <w:r w:rsidR="00A954D0" w:rsidRPr="003255BC">
        <w:rPr>
          <w:rFonts w:ascii="Bookman Old Style" w:hAnsi="Bookman Old Style"/>
          <w:sz w:val="24"/>
          <w:szCs w:val="24"/>
          <w:lang w:val="sv-FI"/>
        </w:rPr>
        <w:t xml:space="preserve"> </w:t>
      </w:r>
      <w:r w:rsidR="002A1CDF" w:rsidRPr="003255BC">
        <w:rPr>
          <w:rFonts w:ascii="Bookman Old Style" w:hAnsi="Bookman Old Style"/>
          <w:sz w:val="24"/>
          <w:szCs w:val="24"/>
          <w:lang w:val="sv-FI"/>
        </w:rPr>
        <w:t>0,02%</w:t>
      </w:r>
      <w:r w:rsidR="00A954D0">
        <w:rPr>
          <w:rFonts w:ascii="Bookman Old Style" w:hAnsi="Bookman Old Style" w:cs="Arial"/>
          <w:sz w:val="24"/>
          <w:szCs w:val="24"/>
          <w:lang w:val="id-ID"/>
        </w:rPr>
        <w:t xml:space="preserve"> </w:t>
      </w:r>
      <w:r w:rsidRPr="00561267">
        <w:rPr>
          <w:rFonts w:ascii="Bookman Old Style" w:hAnsi="Bookman Old Style"/>
          <w:sz w:val="24"/>
          <w:szCs w:val="24"/>
        </w:rPr>
        <w:t>dari</w:t>
      </w:r>
      <w:r w:rsidR="00A954D0">
        <w:rPr>
          <w:rFonts w:ascii="Bookman Old Style" w:hAnsi="Bookman Old Style"/>
          <w:sz w:val="24"/>
          <w:szCs w:val="24"/>
        </w:rPr>
        <w:t xml:space="preserve"> </w:t>
      </w:r>
      <w:r w:rsidRPr="00561267">
        <w:rPr>
          <w:rFonts w:ascii="Bookman Old Style" w:hAnsi="Bookman Old Style"/>
          <w:sz w:val="24"/>
          <w:szCs w:val="24"/>
        </w:rPr>
        <w:t>total</w:t>
      </w:r>
      <w:r w:rsidR="00A954D0">
        <w:rPr>
          <w:rFonts w:ascii="Bookman Old Style" w:hAnsi="Bookman Old Style"/>
          <w:sz w:val="24"/>
          <w:szCs w:val="24"/>
        </w:rPr>
        <w:t xml:space="preserve"> </w:t>
      </w:r>
      <w:r w:rsidRPr="00561267">
        <w:rPr>
          <w:rFonts w:ascii="Bookman Old Style" w:hAnsi="Bookman Old Style" w:cs="Gill Sans Light (Arabid)"/>
          <w:bCs/>
          <w:sz w:val="24"/>
          <w:szCs w:val="24"/>
          <w:lang w:eastAsia="id-ID"/>
        </w:rPr>
        <w:t>belanja</w:t>
      </w:r>
      <w:r w:rsidR="00A954D0">
        <w:rPr>
          <w:rFonts w:ascii="Bookman Old Style" w:hAnsi="Bookman Old Style"/>
          <w:sz w:val="24"/>
          <w:szCs w:val="24"/>
        </w:rPr>
        <w:t xml:space="preserve"> </w:t>
      </w:r>
      <w:r w:rsidRPr="00561267">
        <w:rPr>
          <w:rFonts w:ascii="Bookman Old Style" w:hAnsi="Bookman Old Style"/>
          <w:sz w:val="24"/>
          <w:szCs w:val="24"/>
        </w:rPr>
        <w:t>daerah</w:t>
      </w:r>
      <w:r w:rsidR="00A954D0">
        <w:rPr>
          <w:rFonts w:ascii="Bookman Old Style" w:hAnsi="Bookman Old Style"/>
          <w:sz w:val="24"/>
          <w:szCs w:val="24"/>
        </w:rPr>
        <w:t xml:space="preserve"> </w:t>
      </w:r>
      <w:r w:rsidRPr="00561267">
        <w:rPr>
          <w:rFonts w:ascii="Bookman Old Style" w:hAnsi="Bookman Old Style"/>
          <w:sz w:val="24"/>
          <w:szCs w:val="24"/>
        </w:rPr>
        <w:t>dalam</w:t>
      </w:r>
      <w:r w:rsidR="00A954D0">
        <w:rPr>
          <w:rFonts w:ascii="Bookman Old Style" w:hAnsi="Bookman Old Style"/>
          <w:sz w:val="24"/>
          <w:szCs w:val="24"/>
        </w:rPr>
        <w:t xml:space="preserve"> </w:t>
      </w:r>
      <w:r w:rsidRPr="00561267">
        <w:rPr>
          <w:rFonts w:ascii="Bookman Old Style" w:hAnsi="Bookman Old Style"/>
          <w:sz w:val="24"/>
          <w:szCs w:val="24"/>
        </w:rPr>
        <w:t>Rancangan</w:t>
      </w:r>
      <w:r w:rsidR="00A954D0">
        <w:rPr>
          <w:rFonts w:ascii="Bookman Old Style" w:hAnsi="Bookman Old Style"/>
          <w:sz w:val="24"/>
          <w:szCs w:val="24"/>
        </w:rPr>
        <w:t xml:space="preserve"> </w:t>
      </w:r>
      <w:r w:rsidRPr="00561267">
        <w:rPr>
          <w:rFonts w:ascii="Bookman Old Style" w:hAnsi="Bookman Old Style"/>
          <w:sz w:val="24"/>
          <w:szCs w:val="24"/>
        </w:rPr>
        <w:t>Peraturan</w:t>
      </w:r>
      <w:r w:rsidR="00A954D0">
        <w:rPr>
          <w:rFonts w:ascii="Bookman Old Style" w:hAnsi="Bookman Old Style"/>
          <w:sz w:val="24"/>
          <w:szCs w:val="24"/>
        </w:rPr>
        <w:t xml:space="preserve"> </w:t>
      </w:r>
      <w:r w:rsidRPr="00561267">
        <w:rPr>
          <w:rFonts w:ascii="Bookman Old Style" w:hAnsi="Bookman Old Style"/>
          <w:sz w:val="24"/>
          <w:szCs w:val="24"/>
        </w:rPr>
        <w:t>Daerah</w:t>
      </w:r>
      <w:r w:rsidR="00A954D0">
        <w:rPr>
          <w:rFonts w:ascii="Bookman Old Style" w:hAnsi="Bookman Old Style"/>
          <w:sz w:val="24"/>
          <w:szCs w:val="24"/>
        </w:rPr>
        <w:t xml:space="preserve"> </w:t>
      </w:r>
      <w:r w:rsidR="00B055C5" w:rsidRPr="00561267">
        <w:rPr>
          <w:rFonts w:ascii="Bookman Old Style" w:hAnsi="Bookman Old Style"/>
          <w:sz w:val="24"/>
          <w:szCs w:val="24"/>
          <w:lang w:val="id-ID"/>
        </w:rPr>
        <w:t>Kota</w:t>
      </w:r>
      <w:r w:rsidR="00A954D0">
        <w:rPr>
          <w:rFonts w:ascii="Bookman Old Style" w:hAnsi="Bookman Old Style"/>
          <w:sz w:val="24"/>
          <w:szCs w:val="24"/>
          <w:lang w:val="id-ID"/>
        </w:rPr>
        <w:t xml:space="preserve"> </w:t>
      </w:r>
      <w:r w:rsidR="00770F22" w:rsidRPr="00561267">
        <w:rPr>
          <w:rFonts w:ascii="Bookman Old Style" w:hAnsi="Bookman Old Style"/>
          <w:sz w:val="24"/>
          <w:szCs w:val="24"/>
          <w:lang w:val="id-ID"/>
        </w:rPr>
        <w:t>Tangerang</w:t>
      </w:r>
      <w:r w:rsidR="00A954D0">
        <w:rPr>
          <w:rFonts w:ascii="Bookman Old Style" w:hAnsi="Bookman Old Style"/>
          <w:sz w:val="24"/>
          <w:szCs w:val="24"/>
          <w:lang w:val="id-ID"/>
        </w:rPr>
        <w:t xml:space="preserve"> </w:t>
      </w:r>
      <w:r w:rsidR="00BE6ED9" w:rsidRPr="00561267">
        <w:rPr>
          <w:rFonts w:ascii="Bookman Old Style" w:hAnsi="Bookman Old Style"/>
          <w:sz w:val="24"/>
          <w:szCs w:val="24"/>
          <w:lang w:val="id-ID"/>
        </w:rPr>
        <w:t>tentang</w:t>
      </w:r>
      <w:r w:rsidR="00A954D0">
        <w:rPr>
          <w:rFonts w:ascii="Bookman Old Style" w:hAnsi="Bookman Old Style"/>
          <w:sz w:val="24"/>
          <w:szCs w:val="24"/>
          <w:lang w:val="id-ID"/>
        </w:rPr>
        <w:t xml:space="preserve"> </w:t>
      </w:r>
      <w:r w:rsidR="00BE6ED9" w:rsidRPr="00561267">
        <w:rPr>
          <w:rFonts w:ascii="Bookman Old Style" w:hAnsi="Bookman Old Style"/>
          <w:sz w:val="24"/>
          <w:szCs w:val="24"/>
          <w:lang w:val="id-ID"/>
        </w:rPr>
        <w:t>APBD</w:t>
      </w:r>
      <w:r w:rsidR="00A954D0">
        <w:rPr>
          <w:rFonts w:ascii="Bookman Old Style" w:hAnsi="Bookman Old Style"/>
          <w:sz w:val="24"/>
          <w:szCs w:val="24"/>
        </w:rPr>
        <w:t xml:space="preserve"> </w:t>
      </w:r>
      <w:r w:rsidRPr="00561267">
        <w:rPr>
          <w:rFonts w:ascii="Bookman Old Style" w:hAnsi="Bookman Old Style"/>
          <w:sz w:val="24"/>
          <w:szCs w:val="24"/>
        </w:rPr>
        <w:t>Tahun</w:t>
      </w:r>
      <w:r w:rsidR="00A954D0">
        <w:rPr>
          <w:rFonts w:ascii="Bookman Old Style" w:hAnsi="Bookman Old Style"/>
          <w:sz w:val="24"/>
          <w:szCs w:val="24"/>
        </w:rPr>
        <w:t xml:space="preserve"> </w:t>
      </w:r>
      <w:r w:rsidRPr="00561267">
        <w:rPr>
          <w:rFonts w:ascii="Bookman Old Style" w:hAnsi="Bookman Old Style"/>
          <w:sz w:val="24"/>
          <w:szCs w:val="24"/>
        </w:rPr>
        <w:t>Anggaran</w:t>
      </w:r>
      <w:r w:rsidR="00A954D0">
        <w:rPr>
          <w:rFonts w:ascii="Bookman Old Style" w:hAnsi="Bookman Old Style"/>
          <w:sz w:val="24"/>
          <w:szCs w:val="24"/>
        </w:rPr>
        <w:t xml:space="preserve"> </w:t>
      </w:r>
      <w:r w:rsidRPr="00561267">
        <w:rPr>
          <w:rFonts w:ascii="Bookman Old Style" w:hAnsi="Bookman Old Style"/>
          <w:sz w:val="24"/>
          <w:szCs w:val="24"/>
        </w:rPr>
        <w:t>2025,</w:t>
      </w:r>
      <w:r w:rsidR="00A954D0">
        <w:rPr>
          <w:rFonts w:ascii="Bookman Old Style" w:hAnsi="Bookman Old Style"/>
          <w:sz w:val="24"/>
          <w:szCs w:val="24"/>
        </w:rPr>
        <w:t xml:space="preserve"> </w:t>
      </w:r>
      <w:r w:rsidRPr="00561267">
        <w:rPr>
          <w:rFonts w:ascii="Bookman Old Style" w:hAnsi="Bookman Old Style"/>
          <w:sz w:val="24"/>
          <w:szCs w:val="24"/>
        </w:rPr>
        <w:t>yang</w:t>
      </w:r>
      <w:r w:rsidR="00A954D0">
        <w:rPr>
          <w:rFonts w:ascii="Bookman Old Style" w:hAnsi="Bookman Old Style"/>
          <w:sz w:val="24"/>
          <w:szCs w:val="24"/>
        </w:rPr>
        <w:t xml:space="preserve"> </w:t>
      </w:r>
      <w:r w:rsidRPr="003255BC">
        <w:rPr>
          <w:rFonts w:ascii="Bookman Old Style" w:hAnsi="Bookman Old Style"/>
          <w:sz w:val="24"/>
          <w:szCs w:val="24"/>
          <w:lang w:val="sv-FI"/>
        </w:rPr>
        <w:t>antara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lain</w:t>
      </w:r>
      <w:r w:rsidR="00A954D0">
        <w:rPr>
          <w:rFonts w:ascii="Bookman Old Style" w:hAnsi="Bookman Old Style"/>
          <w:sz w:val="24"/>
          <w:szCs w:val="24"/>
        </w:rPr>
        <w:t xml:space="preserve"> </w:t>
      </w:r>
      <w:r w:rsidRPr="00561267">
        <w:rPr>
          <w:rFonts w:ascii="Bookman Old Style" w:hAnsi="Bookman Old Style"/>
          <w:sz w:val="24"/>
          <w:szCs w:val="24"/>
        </w:rPr>
        <w:t>diuraikan</w:t>
      </w:r>
      <w:r w:rsidR="00A954D0">
        <w:rPr>
          <w:rFonts w:ascii="Bookman Old Style" w:hAnsi="Bookman Old Style"/>
          <w:sz w:val="24"/>
          <w:szCs w:val="24"/>
        </w:rPr>
        <w:t xml:space="preserve"> </w:t>
      </w:r>
      <w:r w:rsidRPr="00561267">
        <w:rPr>
          <w:rFonts w:ascii="Bookman Old Style" w:hAnsi="Bookman Old Style"/>
          <w:sz w:val="24"/>
          <w:szCs w:val="24"/>
        </w:rPr>
        <w:t>ke</w:t>
      </w:r>
      <w:r w:rsidR="00A954D0">
        <w:rPr>
          <w:rFonts w:ascii="Bookman Old Style" w:hAnsi="Bookman Old Style"/>
          <w:sz w:val="24"/>
          <w:szCs w:val="24"/>
        </w:rPr>
        <w:t xml:space="preserve"> </w:t>
      </w:r>
      <w:r w:rsidRPr="00561267">
        <w:rPr>
          <w:rFonts w:ascii="Bookman Old Style" w:hAnsi="Bookman Old Style"/>
          <w:sz w:val="24"/>
          <w:szCs w:val="24"/>
        </w:rPr>
        <w:t>dalam</w:t>
      </w:r>
      <w:r w:rsidR="00A954D0">
        <w:rPr>
          <w:rFonts w:ascii="Bookman Old Style" w:hAnsi="Bookman Old Style"/>
          <w:sz w:val="24"/>
          <w:szCs w:val="24"/>
        </w:rPr>
        <w:t xml:space="preserve"> </w:t>
      </w:r>
      <w:r w:rsidRPr="00561267">
        <w:rPr>
          <w:rFonts w:ascii="Bookman Old Style" w:hAnsi="Bookman Old Style"/>
          <w:sz w:val="24"/>
          <w:szCs w:val="24"/>
        </w:rPr>
        <w:t>sub</w:t>
      </w:r>
      <w:r w:rsidR="00A954D0">
        <w:rPr>
          <w:rFonts w:ascii="Bookman Old Style" w:hAnsi="Bookman Old Style"/>
          <w:sz w:val="24"/>
          <w:szCs w:val="24"/>
        </w:rPr>
        <w:t xml:space="preserve"> </w:t>
      </w:r>
      <w:r w:rsidRPr="00561267">
        <w:rPr>
          <w:rFonts w:ascii="Bookman Old Style" w:hAnsi="Bookman Old Style"/>
          <w:sz w:val="24"/>
          <w:szCs w:val="24"/>
        </w:rPr>
        <w:t>rincian</w:t>
      </w:r>
      <w:r w:rsidR="00A954D0">
        <w:rPr>
          <w:rFonts w:ascii="Bookman Old Style" w:hAnsi="Bookman Old Style"/>
          <w:sz w:val="24"/>
          <w:szCs w:val="24"/>
        </w:rPr>
        <w:t xml:space="preserve"> </w:t>
      </w:r>
      <w:r w:rsidRPr="00561267">
        <w:rPr>
          <w:rFonts w:ascii="Bookman Old Style" w:hAnsi="Bookman Old Style"/>
          <w:sz w:val="24"/>
          <w:szCs w:val="24"/>
        </w:rPr>
        <w:t>objek</w:t>
      </w:r>
      <w:r w:rsidR="00A954D0" w:rsidRPr="003255BC">
        <w:rPr>
          <w:rFonts w:ascii="Bookman Old Style" w:hAnsi="Bookman Old Style"/>
          <w:sz w:val="24"/>
          <w:szCs w:val="24"/>
          <w:lang w:val="sv-FI"/>
        </w:rPr>
        <w:t xml:space="preserve"> </w:t>
      </w:r>
      <w:r w:rsidR="002E460A" w:rsidRPr="003255BC">
        <w:rPr>
          <w:rFonts w:ascii="Bookman Old Style" w:hAnsi="Bookman Old Style"/>
          <w:sz w:val="24"/>
          <w:szCs w:val="24"/>
          <w:lang w:val="sv-FI"/>
        </w:rPr>
        <w:t>Belanja</w:t>
      </w:r>
      <w:r w:rsidR="00A954D0" w:rsidRPr="003255BC">
        <w:rPr>
          <w:rFonts w:ascii="Bookman Old Style" w:hAnsi="Bookman Old Style"/>
          <w:sz w:val="24"/>
          <w:szCs w:val="24"/>
          <w:lang w:val="sv-FI"/>
        </w:rPr>
        <w:t xml:space="preserve"> </w:t>
      </w:r>
      <w:r w:rsidR="002E460A" w:rsidRPr="003255BC">
        <w:rPr>
          <w:rFonts w:ascii="Bookman Old Style" w:hAnsi="Bookman Old Style"/>
          <w:sz w:val="24"/>
          <w:szCs w:val="24"/>
          <w:lang w:val="sv-FI"/>
        </w:rPr>
        <w:t>Peralatan</w:t>
      </w:r>
      <w:r w:rsidR="00A954D0" w:rsidRPr="003255BC">
        <w:rPr>
          <w:rFonts w:ascii="Bookman Old Style" w:hAnsi="Bookman Old Style"/>
          <w:sz w:val="24"/>
          <w:szCs w:val="24"/>
          <w:lang w:val="sv-FI"/>
        </w:rPr>
        <w:t xml:space="preserve"> </w:t>
      </w:r>
      <w:r w:rsidR="002E460A" w:rsidRPr="003255BC">
        <w:rPr>
          <w:rFonts w:ascii="Bookman Old Style" w:hAnsi="Bookman Old Style"/>
          <w:sz w:val="24"/>
          <w:szCs w:val="24"/>
          <w:lang w:val="sv-FI"/>
        </w:rPr>
        <w:t>dan</w:t>
      </w:r>
      <w:r w:rsidR="00A954D0" w:rsidRPr="003255BC">
        <w:rPr>
          <w:rFonts w:ascii="Bookman Old Style" w:hAnsi="Bookman Old Style"/>
          <w:sz w:val="24"/>
          <w:szCs w:val="24"/>
          <w:lang w:val="sv-FI"/>
        </w:rPr>
        <w:t xml:space="preserve"> </w:t>
      </w:r>
      <w:r w:rsidR="002E460A" w:rsidRPr="003255BC">
        <w:rPr>
          <w:rFonts w:ascii="Bookman Old Style" w:hAnsi="Bookman Old Style"/>
          <w:sz w:val="24"/>
          <w:szCs w:val="24"/>
          <w:lang w:val="sv-FI"/>
        </w:rPr>
        <w:t>Mesin-Alat</w:t>
      </w:r>
      <w:r w:rsidR="00A954D0" w:rsidRPr="003255BC">
        <w:rPr>
          <w:rFonts w:ascii="Bookman Old Style" w:hAnsi="Bookman Old Style"/>
          <w:sz w:val="24"/>
          <w:szCs w:val="24"/>
          <w:lang w:val="sv-FI"/>
        </w:rPr>
        <w:t xml:space="preserve"> </w:t>
      </w:r>
      <w:r w:rsidR="002E460A" w:rsidRPr="003255BC">
        <w:rPr>
          <w:rFonts w:ascii="Bookman Old Style" w:hAnsi="Bookman Old Style"/>
          <w:sz w:val="24"/>
          <w:szCs w:val="24"/>
          <w:lang w:val="sv-FI"/>
        </w:rPr>
        <w:t>Laboratorium-Alat</w:t>
      </w:r>
      <w:r w:rsidR="00A954D0" w:rsidRPr="003255BC">
        <w:rPr>
          <w:rFonts w:ascii="Bookman Old Style" w:hAnsi="Bookman Old Style"/>
          <w:sz w:val="24"/>
          <w:szCs w:val="24"/>
          <w:lang w:val="sv-FI"/>
        </w:rPr>
        <w:t xml:space="preserve"> </w:t>
      </w:r>
      <w:r w:rsidR="002E460A" w:rsidRPr="003255BC">
        <w:rPr>
          <w:rFonts w:ascii="Bookman Old Style" w:hAnsi="Bookman Old Style"/>
          <w:sz w:val="24"/>
          <w:szCs w:val="24"/>
          <w:lang w:val="sv-FI"/>
        </w:rPr>
        <w:t>Peraga</w:t>
      </w:r>
      <w:r w:rsidR="00A954D0" w:rsidRPr="003255BC">
        <w:rPr>
          <w:rFonts w:ascii="Bookman Old Style" w:hAnsi="Bookman Old Style"/>
          <w:sz w:val="24"/>
          <w:szCs w:val="24"/>
          <w:lang w:val="sv-FI"/>
        </w:rPr>
        <w:t xml:space="preserve"> </w:t>
      </w:r>
      <w:r w:rsidR="002E460A" w:rsidRPr="003255BC">
        <w:rPr>
          <w:rFonts w:ascii="Bookman Old Style" w:hAnsi="Bookman Old Style"/>
          <w:sz w:val="24"/>
          <w:szCs w:val="24"/>
          <w:lang w:val="sv-FI"/>
        </w:rPr>
        <w:t>Praktik</w:t>
      </w:r>
      <w:r w:rsidR="00A954D0" w:rsidRPr="003255BC">
        <w:rPr>
          <w:rFonts w:ascii="Bookman Old Style" w:hAnsi="Bookman Old Style"/>
          <w:sz w:val="24"/>
          <w:szCs w:val="24"/>
          <w:lang w:val="sv-FI"/>
        </w:rPr>
        <w:t xml:space="preserve"> </w:t>
      </w:r>
      <w:r w:rsidR="002E460A" w:rsidRPr="003255BC">
        <w:rPr>
          <w:rFonts w:ascii="Bookman Old Style" w:hAnsi="Bookman Old Style"/>
          <w:sz w:val="24"/>
          <w:szCs w:val="24"/>
          <w:lang w:val="sv-FI"/>
        </w:rPr>
        <w:t>Sekolah</w:t>
      </w:r>
      <w:r w:rsidR="00B06139" w:rsidRPr="003255BC">
        <w:rPr>
          <w:rFonts w:ascii="Bookman Old Style" w:hAnsi="Bookman Old Style"/>
          <w:sz w:val="24"/>
          <w:szCs w:val="24"/>
          <w:lang w:val="sv-FI"/>
        </w:rPr>
        <w:t>-</w:t>
      </w:r>
      <w:r w:rsidR="002E460A" w:rsidRPr="003255BC">
        <w:rPr>
          <w:rFonts w:ascii="Bookman Old Style" w:hAnsi="Bookman Old Style"/>
          <w:sz w:val="24"/>
          <w:szCs w:val="24"/>
          <w:lang w:val="sv-FI"/>
        </w:rPr>
        <w:t>Alat</w:t>
      </w:r>
      <w:r w:rsidR="00A954D0" w:rsidRPr="003255BC">
        <w:rPr>
          <w:rFonts w:ascii="Bookman Old Style" w:hAnsi="Bookman Old Style"/>
          <w:sz w:val="24"/>
          <w:szCs w:val="24"/>
          <w:lang w:val="sv-FI"/>
        </w:rPr>
        <w:t xml:space="preserve"> </w:t>
      </w:r>
      <w:r w:rsidR="002E460A" w:rsidRPr="003255BC">
        <w:rPr>
          <w:rFonts w:ascii="Bookman Old Style" w:hAnsi="Bookman Old Style"/>
          <w:sz w:val="24"/>
          <w:szCs w:val="24"/>
          <w:lang w:val="sv-FI"/>
        </w:rPr>
        <w:t>Peraga</w:t>
      </w:r>
      <w:r w:rsidR="00A954D0" w:rsidRPr="003255BC">
        <w:rPr>
          <w:rFonts w:ascii="Bookman Old Style" w:hAnsi="Bookman Old Style"/>
          <w:sz w:val="24"/>
          <w:szCs w:val="24"/>
          <w:lang w:val="sv-FI"/>
        </w:rPr>
        <w:t xml:space="preserve"> </w:t>
      </w:r>
      <w:r w:rsidR="002E460A" w:rsidRPr="003255BC">
        <w:rPr>
          <w:rFonts w:ascii="Bookman Old Style" w:hAnsi="Bookman Old Style"/>
          <w:sz w:val="24"/>
          <w:szCs w:val="24"/>
          <w:lang w:val="sv-FI"/>
        </w:rPr>
        <w:t>PAUD/TK</w:t>
      </w:r>
      <w:r w:rsidR="00A954D0" w:rsidRPr="003255BC">
        <w:rPr>
          <w:rFonts w:ascii="Bookman Old Style" w:hAnsi="Bookman Old Style"/>
          <w:sz w:val="24"/>
          <w:szCs w:val="24"/>
          <w:lang w:val="sv-FI"/>
        </w:rPr>
        <w:t xml:space="preserve"> </w:t>
      </w:r>
      <w:r w:rsidR="002E460A" w:rsidRPr="003255BC">
        <w:rPr>
          <w:rFonts w:ascii="Bookman Old Style" w:hAnsi="Bookman Old Style"/>
          <w:sz w:val="24"/>
          <w:szCs w:val="24"/>
          <w:lang w:val="sv-FI"/>
        </w:rPr>
        <w:t>Rp1.299.500.000,00</w:t>
      </w:r>
      <w:r w:rsidR="006165D7" w:rsidRPr="003255BC">
        <w:rPr>
          <w:rFonts w:ascii="Bookman Old Style" w:hAnsi="Bookman Old Style"/>
          <w:sz w:val="24"/>
          <w:szCs w:val="24"/>
          <w:lang w:val="sv-FI"/>
        </w:rPr>
        <w:t>.</w:t>
      </w:r>
    </w:p>
    <w:p w14:paraId="55D7A23C" w14:textId="4A062DD0" w:rsidR="00B15BAC" w:rsidRPr="00EF0482" w:rsidRDefault="008B21D9" w:rsidP="008B21D9">
      <w:pPr>
        <w:pStyle w:val="ListParagraph"/>
        <w:spacing w:before="60" w:after="0" w:line="276" w:lineRule="auto"/>
        <w:ind w:left="2694"/>
        <w:contextualSpacing w:val="0"/>
        <w:jc w:val="both"/>
        <w:rPr>
          <w:rFonts w:ascii="Bookman Old Style" w:hAnsi="Bookman Old Style"/>
          <w:sz w:val="24"/>
          <w:szCs w:val="24"/>
        </w:rPr>
      </w:pPr>
      <w:r>
        <w:rPr>
          <w:rFonts w:ascii="Bookman Old Style" w:hAnsi="Bookman Old Style" w:cs="Tahoma,Bold"/>
          <w:bCs/>
          <w:sz w:val="24"/>
          <w:szCs w:val="24"/>
          <w:lang w:val="en-US" w:eastAsia="id-ID"/>
        </w:rPr>
        <w:t>D</w:t>
      </w:r>
      <w:r w:rsidR="00B15BAC" w:rsidRPr="00561267">
        <w:rPr>
          <w:rFonts w:ascii="Bookman Old Style" w:hAnsi="Bookman Old Style" w:cs="Tahoma,Bold"/>
          <w:bCs/>
          <w:sz w:val="24"/>
          <w:szCs w:val="24"/>
          <w:lang w:eastAsia="id-ID"/>
        </w:rPr>
        <w:t>ianggarkan</w:t>
      </w:r>
      <w:r w:rsidR="00A954D0">
        <w:rPr>
          <w:rFonts w:ascii="Bookman Old Style" w:hAnsi="Bookman Old Style"/>
          <w:sz w:val="24"/>
          <w:szCs w:val="24"/>
          <w:lang w:val="id-ID"/>
        </w:rPr>
        <w:t xml:space="preserve"> </w:t>
      </w:r>
      <w:r w:rsidR="00B15BAC" w:rsidRPr="00561267">
        <w:rPr>
          <w:rFonts w:ascii="Bookman Old Style" w:hAnsi="Bookman Old Style"/>
          <w:sz w:val="24"/>
          <w:szCs w:val="24"/>
        </w:rPr>
        <w:t>dalam</w:t>
      </w:r>
      <w:r w:rsidR="00A954D0">
        <w:rPr>
          <w:rFonts w:ascii="Bookman Old Style" w:hAnsi="Bookman Old Style"/>
          <w:sz w:val="24"/>
          <w:szCs w:val="24"/>
        </w:rPr>
        <w:t xml:space="preserve"> </w:t>
      </w:r>
      <w:r w:rsidR="00B15BAC" w:rsidRPr="00561267">
        <w:rPr>
          <w:rFonts w:ascii="Bookman Old Style" w:hAnsi="Bookman Old Style"/>
          <w:sz w:val="24"/>
          <w:szCs w:val="24"/>
        </w:rPr>
        <w:t>Rancangan</w:t>
      </w:r>
      <w:r w:rsidR="00A954D0">
        <w:rPr>
          <w:rFonts w:ascii="Bookman Old Style" w:hAnsi="Bookman Old Style"/>
          <w:sz w:val="24"/>
          <w:szCs w:val="24"/>
        </w:rPr>
        <w:t xml:space="preserve"> </w:t>
      </w:r>
      <w:r w:rsidR="00B15BAC" w:rsidRPr="00561267">
        <w:rPr>
          <w:rFonts w:ascii="Bookman Old Style" w:hAnsi="Bookman Old Style"/>
          <w:sz w:val="24"/>
          <w:szCs w:val="24"/>
        </w:rPr>
        <w:t>Peraturan</w:t>
      </w:r>
      <w:r w:rsidR="00A954D0">
        <w:rPr>
          <w:rFonts w:ascii="Bookman Old Style" w:hAnsi="Bookman Old Style"/>
          <w:sz w:val="24"/>
          <w:szCs w:val="24"/>
        </w:rPr>
        <w:t xml:space="preserve"> </w:t>
      </w:r>
      <w:r w:rsidR="00B15BAC" w:rsidRPr="00561267">
        <w:rPr>
          <w:rFonts w:ascii="Bookman Old Style" w:hAnsi="Bookman Old Style"/>
          <w:sz w:val="24"/>
          <w:szCs w:val="24"/>
        </w:rPr>
        <w:t>Daerah</w:t>
      </w:r>
      <w:r w:rsidR="00A954D0">
        <w:rPr>
          <w:rFonts w:ascii="Bookman Old Style" w:hAnsi="Bookman Old Style"/>
          <w:sz w:val="24"/>
          <w:szCs w:val="24"/>
        </w:rPr>
        <w:t xml:space="preserve"> </w:t>
      </w:r>
      <w:r w:rsidR="00B055C5" w:rsidRPr="00561267">
        <w:rPr>
          <w:rFonts w:ascii="Bookman Old Style" w:hAnsi="Bookman Old Style"/>
          <w:sz w:val="24"/>
          <w:szCs w:val="24"/>
          <w:lang w:val="id-ID"/>
        </w:rPr>
        <w:t>Kota</w:t>
      </w:r>
      <w:r w:rsidR="00A954D0">
        <w:rPr>
          <w:rFonts w:ascii="Bookman Old Style" w:hAnsi="Bookman Old Style"/>
          <w:sz w:val="24"/>
          <w:szCs w:val="24"/>
          <w:lang w:val="id-ID"/>
        </w:rPr>
        <w:t xml:space="preserve"> </w:t>
      </w:r>
      <w:r w:rsidR="00770F22" w:rsidRPr="00561267">
        <w:rPr>
          <w:rFonts w:ascii="Bookman Old Style" w:hAnsi="Bookman Old Style"/>
          <w:sz w:val="24"/>
          <w:szCs w:val="24"/>
          <w:lang w:val="id-ID"/>
        </w:rPr>
        <w:t>Tangerang</w:t>
      </w:r>
      <w:r w:rsidR="00A954D0">
        <w:rPr>
          <w:rFonts w:ascii="Bookman Old Style" w:hAnsi="Bookman Old Style"/>
          <w:sz w:val="24"/>
          <w:szCs w:val="24"/>
          <w:lang w:val="id-ID"/>
        </w:rPr>
        <w:t xml:space="preserve"> </w:t>
      </w:r>
      <w:r w:rsidR="00BE6ED9" w:rsidRPr="00561267">
        <w:rPr>
          <w:rFonts w:ascii="Bookman Old Style" w:hAnsi="Bookman Old Style"/>
          <w:sz w:val="24"/>
          <w:szCs w:val="24"/>
          <w:lang w:val="id-ID"/>
        </w:rPr>
        <w:t>tentang</w:t>
      </w:r>
      <w:r w:rsidR="00A954D0">
        <w:rPr>
          <w:rFonts w:ascii="Bookman Old Style" w:hAnsi="Bookman Old Style"/>
          <w:sz w:val="24"/>
          <w:szCs w:val="24"/>
          <w:lang w:val="id-ID"/>
        </w:rPr>
        <w:t xml:space="preserve"> </w:t>
      </w:r>
      <w:r w:rsidR="00BE6ED9" w:rsidRPr="00561267">
        <w:rPr>
          <w:rFonts w:ascii="Bookman Old Style" w:hAnsi="Bookman Old Style"/>
          <w:sz w:val="24"/>
          <w:szCs w:val="24"/>
          <w:lang w:val="id-ID"/>
        </w:rPr>
        <w:t>APBD</w:t>
      </w:r>
      <w:r w:rsidR="00A954D0">
        <w:rPr>
          <w:rFonts w:ascii="Bookman Old Style" w:hAnsi="Bookman Old Style"/>
          <w:sz w:val="24"/>
          <w:szCs w:val="24"/>
        </w:rPr>
        <w:t xml:space="preserve"> </w:t>
      </w:r>
      <w:r w:rsidR="00B15BAC" w:rsidRPr="00561267">
        <w:rPr>
          <w:rFonts w:ascii="Bookman Old Style" w:hAnsi="Bookman Old Style"/>
          <w:sz w:val="24"/>
          <w:szCs w:val="24"/>
        </w:rPr>
        <w:t>Tahun</w:t>
      </w:r>
      <w:r w:rsidR="00A954D0">
        <w:rPr>
          <w:rFonts w:ascii="Bookman Old Style" w:hAnsi="Bookman Old Style"/>
          <w:sz w:val="24"/>
          <w:szCs w:val="24"/>
        </w:rPr>
        <w:t xml:space="preserve"> </w:t>
      </w:r>
      <w:r w:rsidR="00B15BAC" w:rsidRPr="00561267">
        <w:rPr>
          <w:rFonts w:ascii="Bookman Old Style" w:hAnsi="Bookman Old Style"/>
          <w:sz w:val="24"/>
          <w:szCs w:val="24"/>
        </w:rPr>
        <w:t>Anggaran</w:t>
      </w:r>
      <w:r w:rsidR="00A954D0">
        <w:rPr>
          <w:rFonts w:ascii="Bookman Old Style" w:hAnsi="Bookman Old Style"/>
          <w:sz w:val="24"/>
          <w:szCs w:val="24"/>
        </w:rPr>
        <w:t xml:space="preserve"> </w:t>
      </w:r>
      <w:r w:rsidR="00B15BAC" w:rsidRPr="00561267">
        <w:rPr>
          <w:rFonts w:ascii="Bookman Old Style" w:hAnsi="Bookman Old Style"/>
          <w:sz w:val="24"/>
          <w:szCs w:val="24"/>
        </w:rPr>
        <w:t>2025,</w:t>
      </w:r>
      <w:r w:rsidR="00A954D0">
        <w:rPr>
          <w:rFonts w:ascii="Bookman Old Style" w:hAnsi="Bookman Old Style"/>
          <w:sz w:val="24"/>
          <w:szCs w:val="24"/>
          <w:lang w:val="id-ID"/>
        </w:rPr>
        <w:t xml:space="preserve"> </w:t>
      </w:r>
      <w:r w:rsidR="00B15BAC" w:rsidRPr="00561267">
        <w:rPr>
          <w:rFonts w:ascii="Bookman Old Style" w:hAnsi="Bookman Old Style"/>
          <w:sz w:val="24"/>
          <w:szCs w:val="24"/>
          <w:lang w:val="id-ID"/>
        </w:rPr>
        <w:t>namun</w:t>
      </w:r>
      <w:r w:rsidR="00A954D0">
        <w:rPr>
          <w:rFonts w:ascii="Bookman Old Style" w:hAnsi="Bookman Old Style"/>
          <w:sz w:val="24"/>
          <w:szCs w:val="24"/>
          <w:lang w:val="id-ID"/>
        </w:rPr>
        <w:t xml:space="preserve"> </w:t>
      </w:r>
      <w:r w:rsidR="00B15BAC" w:rsidRPr="00561267">
        <w:rPr>
          <w:rFonts w:ascii="Bookman Old Style" w:hAnsi="Bookman Old Style"/>
          <w:sz w:val="24"/>
          <w:szCs w:val="24"/>
          <w:lang w:val="id-ID"/>
        </w:rPr>
        <w:t>dalam</w:t>
      </w:r>
      <w:r w:rsidR="00A954D0">
        <w:rPr>
          <w:rFonts w:ascii="Bookman Old Style" w:hAnsi="Bookman Old Style"/>
          <w:sz w:val="24"/>
          <w:szCs w:val="24"/>
          <w:lang w:val="id-ID"/>
        </w:rPr>
        <w:t xml:space="preserve"> </w:t>
      </w:r>
      <w:r w:rsidR="00B15BAC" w:rsidRPr="00561267">
        <w:rPr>
          <w:rFonts w:ascii="Bookman Old Style" w:hAnsi="Bookman Old Style"/>
          <w:sz w:val="24"/>
          <w:szCs w:val="24"/>
          <w:lang w:val="id-ID"/>
        </w:rPr>
        <w:t>pelaksanaannya</w:t>
      </w:r>
      <w:r w:rsidR="00A954D0">
        <w:rPr>
          <w:rFonts w:ascii="Bookman Old Style" w:hAnsi="Bookman Old Style"/>
          <w:sz w:val="24"/>
          <w:szCs w:val="24"/>
        </w:rPr>
        <w:t xml:space="preserve"> </w:t>
      </w:r>
      <w:r w:rsidR="00B15BAC" w:rsidRPr="00561267">
        <w:rPr>
          <w:rFonts w:ascii="Bookman Old Style" w:hAnsi="Bookman Old Style"/>
          <w:sz w:val="24"/>
          <w:szCs w:val="24"/>
        </w:rPr>
        <w:t>disesuaikan</w:t>
      </w:r>
      <w:r w:rsidR="00A954D0">
        <w:rPr>
          <w:rFonts w:ascii="Bookman Old Style" w:hAnsi="Bookman Old Style"/>
          <w:sz w:val="24"/>
          <w:szCs w:val="24"/>
        </w:rPr>
        <w:t xml:space="preserve"> </w:t>
      </w:r>
      <w:r w:rsidR="00B15BAC" w:rsidRPr="00561267">
        <w:rPr>
          <w:rFonts w:ascii="Bookman Old Style" w:hAnsi="Bookman Old Style"/>
          <w:sz w:val="24"/>
          <w:szCs w:val="24"/>
        </w:rPr>
        <w:t>dengan</w:t>
      </w:r>
      <w:r w:rsidR="00A954D0">
        <w:rPr>
          <w:rFonts w:ascii="Bookman Old Style" w:hAnsi="Bookman Old Style"/>
          <w:sz w:val="24"/>
          <w:szCs w:val="24"/>
        </w:rPr>
        <w:t xml:space="preserve"> </w:t>
      </w:r>
      <w:r w:rsidR="00B15BAC" w:rsidRPr="00561267">
        <w:rPr>
          <w:rFonts w:ascii="Bookman Old Style" w:hAnsi="Bookman Old Style"/>
          <w:sz w:val="24"/>
          <w:szCs w:val="24"/>
        </w:rPr>
        <w:t>kebutuhan</w:t>
      </w:r>
      <w:r w:rsidR="00A954D0">
        <w:rPr>
          <w:rFonts w:ascii="Bookman Old Style" w:hAnsi="Bookman Old Style"/>
          <w:sz w:val="24"/>
          <w:szCs w:val="24"/>
        </w:rPr>
        <w:t xml:space="preserve"> </w:t>
      </w:r>
      <w:r w:rsidR="00B15BAC" w:rsidRPr="00561267">
        <w:rPr>
          <w:rFonts w:ascii="Bookman Old Style" w:hAnsi="Bookman Old Style"/>
          <w:sz w:val="24"/>
          <w:szCs w:val="24"/>
        </w:rPr>
        <w:t>nyata</w:t>
      </w:r>
      <w:r w:rsidR="00A954D0">
        <w:rPr>
          <w:rFonts w:ascii="Bookman Old Style" w:hAnsi="Bookman Old Style"/>
          <w:sz w:val="24"/>
          <w:szCs w:val="24"/>
        </w:rPr>
        <w:t xml:space="preserve"> </w:t>
      </w:r>
      <w:r w:rsidR="00B15BAC" w:rsidRPr="00561267">
        <w:rPr>
          <w:rFonts w:ascii="Bookman Old Style" w:hAnsi="Bookman Old Style"/>
          <w:sz w:val="24"/>
          <w:szCs w:val="24"/>
        </w:rPr>
        <w:t>yang</w:t>
      </w:r>
      <w:r w:rsidR="00A954D0">
        <w:rPr>
          <w:rFonts w:ascii="Bookman Old Style" w:hAnsi="Bookman Old Style"/>
          <w:sz w:val="24"/>
          <w:szCs w:val="24"/>
          <w:lang w:val="id-ID"/>
        </w:rPr>
        <w:t xml:space="preserve"> </w:t>
      </w:r>
      <w:r w:rsidR="00B15BAC" w:rsidRPr="00561267">
        <w:rPr>
          <w:rFonts w:ascii="Bookman Old Style" w:hAnsi="Bookman Old Style"/>
          <w:sz w:val="24"/>
          <w:szCs w:val="24"/>
        </w:rPr>
        <w:t>didasarkan</w:t>
      </w:r>
      <w:r w:rsidR="00A954D0">
        <w:rPr>
          <w:rFonts w:ascii="Bookman Old Style" w:hAnsi="Bookman Old Style"/>
          <w:sz w:val="24"/>
          <w:szCs w:val="24"/>
        </w:rPr>
        <w:t xml:space="preserve"> </w:t>
      </w:r>
      <w:r w:rsidR="00B15BAC" w:rsidRPr="00561267">
        <w:rPr>
          <w:rFonts w:ascii="Bookman Old Style" w:hAnsi="Bookman Old Style"/>
          <w:sz w:val="24"/>
          <w:szCs w:val="24"/>
        </w:rPr>
        <w:t>atas</w:t>
      </w:r>
      <w:r w:rsidR="00A954D0">
        <w:rPr>
          <w:rFonts w:ascii="Bookman Old Style" w:hAnsi="Bookman Old Style"/>
          <w:sz w:val="24"/>
          <w:szCs w:val="24"/>
        </w:rPr>
        <w:t xml:space="preserve"> </w:t>
      </w:r>
      <w:r w:rsidR="00B15BAC" w:rsidRPr="00561267">
        <w:rPr>
          <w:rFonts w:ascii="Bookman Old Style" w:hAnsi="Bookman Old Style"/>
          <w:sz w:val="24"/>
          <w:szCs w:val="24"/>
        </w:rPr>
        <w:t>pelaksanaan</w:t>
      </w:r>
      <w:r w:rsidR="00A954D0">
        <w:rPr>
          <w:rFonts w:ascii="Bookman Old Style" w:hAnsi="Bookman Old Style"/>
          <w:sz w:val="24"/>
          <w:szCs w:val="24"/>
        </w:rPr>
        <w:t xml:space="preserve"> </w:t>
      </w:r>
      <w:r w:rsidR="00B15BAC" w:rsidRPr="00561267">
        <w:rPr>
          <w:rFonts w:ascii="Bookman Old Style" w:hAnsi="Bookman Old Style"/>
          <w:sz w:val="24"/>
          <w:szCs w:val="24"/>
        </w:rPr>
        <w:t>tugas</w:t>
      </w:r>
      <w:r w:rsidR="00A954D0">
        <w:rPr>
          <w:rFonts w:ascii="Bookman Old Style" w:hAnsi="Bookman Old Style"/>
          <w:sz w:val="24"/>
          <w:szCs w:val="24"/>
        </w:rPr>
        <w:t xml:space="preserve"> </w:t>
      </w:r>
      <w:r w:rsidR="00B15BAC" w:rsidRPr="00561267">
        <w:rPr>
          <w:rFonts w:ascii="Bookman Old Style" w:hAnsi="Bookman Old Style"/>
          <w:sz w:val="24"/>
          <w:szCs w:val="24"/>
        </w:rPr>
        <w:t>dan</w:t>
      </w:r>
      <w:r w:rsidR="00A954D0">
        <w:rPr>
          <w:rFonts w:ascii="Bookman Old Style" w:hAnsi="Bookman Old Style"/>
          <w:sz w:val="24"/>
          <w:szCs w:val="24"/>
        </w:rPr>
        <w:t xml:space="preserve"> </w:t>
      </w:r>
      <w:r w:rsidR="00B15BAC" w:rsidRPr="00561267">
        <w:rPr>
          <w:rFonts w:ascii="Bookman Old Style" w:hAnsi="Bookman Old Style"/>
          <w:sz w:val="24"/>
          <w:szCs w:val="24"/>
        </w:rPr>
        <w:t>fungsi</w:t>
      </w:r>
      <w:r w:rsidR="00A954D0">
        <w:rPr>
          <w:rFonts w:ascii="Bookman Old Style" w:hAnsi="Bookman Old Style"/>
          <w:sz w:val="24"/>
          <w:szCs w:val="24"/>
          <w:lang w:val="id-ID"/>
        </w:rPr>
        <w:t xml:space="preserve"> </w:t>
      </w:r>
      <w:r w:rsidR="00B15BAC" w:rsidRPr="00561267">
        <w:rPr>
          <w:rFonts w:ascii="Bookman Old Style" w:hAnsi="Bookman Old Style"/>
          <w:sz w:val="24"/>
          <w:szCs w:val="24"/>
        </w:rPr>
        <w:t>SKPD,</w:t>
      </w:r>
      <w:r w:rsidR="00A954D0">
        <w:rPr>
          <w:rFonts w:ascii="Bookman Old Style" w:hAnsi="Bookman Old Style"/>
          <w:sz w:val="24"/>
          <w:szCs w:val="24"/>
        </w:rPr>
        <w:t xml:space="preserve"> </w:t>
      </w:r>
      <w:r w:rsidR="00B15BAC" w:rsidRPr="00561267">
        <w:rPr>
          <w:rFonts w:ascii="Bookman Old Style" w:hAnsi="Bookman Old Style"/>
          <w:sz w:val="24"/>
          <w:szCs w:val="24"/>
        </w:rPr>
        <w:t>standar</w:t>
      </w:r>
      <w:r w:rsidR="00A954D0">
        <w:rPr>
          <w:rFonts w:ascii="Bookman Old Style" w:hAnsi="Bookman Old Style"/>
          <w:sz w:val="24"/>
          <w:szCs w:val="24"/>
        </w:rPr>
        <w:t xml:space="preserve"> </w:t>
      </w:r>
      <w:r w:rsidR="00B15BAC" w:rsidRPr="00561267">
        <w:rPr>
          <w:rFonts w:ascii="Bookman Old Style" w:hAnsi="Bookman Old Style"/>
          <w:sz w:val="24"/>
          <w:szCs w:val="24"/>
        </w:rPr>
        <w:t>kebutuhan</w:t>
      </w:r>
      <w:r w:rsidR="00A954D0">
        <w:rPr>
          <w:rFonts w:ascii="Bookman Old Style" w:hAnsi="Bookman Old Style"/>
          <w:sz w:val="24"/>
          <w:szCs w:val="24"/>
        </w:rPr>
        <w:t xml:space="preserve"> </w:t>
      </w:r>
      <w:r w:rsidR="00B15BAC" w:rsidRPr="00561267">
        <w:rPr>
          <w:rFonts w:ascii="Bookman Old Style" w:hAnsi="Bookman Old Style"/>
          <w:sz w:val="24"/>
          <w:szCs w:val="24"/>
        </w:rPr>
        <w:t>yang</w:t>
      </w:r>
      <w:r w:rsidR="00A954D0">
        <w:rPr>
          <w:rFonts w:ascii="Bookman Old Style" w:hAnsi="Bookman Old Style"/>
          <w:sz w:val="24"/>
          <w:szCs w:val="24"/>
        </w:rPr>
        <w:t xml:space="preserve"> </w:t>
      </w:r>
      <w:r w:rsidR="00B15BAC" w:rsidRPr="00561267">
        <w:rPr>
          <w:rFonts w:ascii="Bookman Old Style" w:hAnsi="Bookman Old Style"/>
          <w:sz w:val="24"/>
          <w:szCs w:val="24"/>
        </w:rPr>
        <w:t>ditetapkan</w:t>
      </w:r>
      <w:r w:rsidR="00A954D0">
        <w:rPr>
          <w:rFonts w:ascii="Bookman Old Style" w:hAnsi="Bookman Old Style"/>
          <w:sz w:val="24"/>
          <w:szCs w:val="24"/>
        </w:rPr>
        <w:t xml:space="preserve"> </w:t>
      </w:r>
      <w:r w:rsidR="00B15BAC" w:rsidRPr="00561267">
        <w:rPr>
          <w:rFonts w:ascii="Bookman Old Style" w:hAnsi="Bookman Old Style"/>
          <w:sz w:val="24"/>
          <w:szCs w:val="24"/>
        </w:rPr>
        <w:t>oleh</w:t>
      </w:r>
      <w:r w:rsidR="00A954D0">
        <w:rPr>
          <w:rFonts w:ascii="Bookman Old Style" w:hAnsi="Bookman Old Style"/>
          <w:sz w:val="24"/>
          <w:szCs w:val="24"/>
          <w:lang w:val="id-ID"/>
        </w:rPr>
        <w:t xml:space="preserve"> </w:t>
      </w:r>
      <w:r w:rsidR="00B15BAC" w:rsidRPr="00561267">
        <w:rPr>
          <w:rFonts w:ascii="Bookman Old Style" w:hAnsi="Bookman Old Style"/>
          <w:sz w:val="24"/>
          <w:szCs w:val="24"/>
        </w:rPr>
        <w:t>Kepala</w:t>
      </w:r>
      <w:r w:rsidR="00A954D0">
        <w:rPr>
          <w:rFonts w:ascii="Bookman Old Style" w:hAnsi="Bookman Old Style"/>
          <w:sz w:val="24"/>
          <w:szCs w:val="24"/>
        </w:rPr>
        <w:t xml:space="preserve"> </w:t>
      </w:r>
      <w:r w:rsidR="00B15BAC" w:rsidRPr="00561267">
        <w:rPr>
          <w:rFonts w:ascii="Bookman Old Style" w:hAnsi="Bookman Old Style"/>
          <w:sz w:val="24"/>
          <w:szCs w:val="24"/>
        </w:rPr>
        <w:t>Daerah,</w:t>
      </w:r>
      <w:r w:rsidR="00A954D0">
        <w:rPr>
          <w:rFonts w:ascii="Bookman Old Style" w:hAnsi="Bookman Old Style"/>
          <w:sz w:val="24"/>
          <w:szCs w:val="24"/>
        </w:rPr>
        <w:t xml:space="preserve"> </w:t>
      </w:r>
      <w:r w:rsidR="00B15BAC" w:rsidRPr="00561267">
        <w:rPr>
          <w:rFonts w:ascii="Bookman Old Style" w:hAnsi="Bookman Old Style"/>
          <w:sz w:val="24"/>
          <w:szCs w:val="24"/>
        </w:rPr>
        <w:t>jumlah</w:t>
      </w:r>
      <w:r w:rsidR="00A954D0">
        <w:rPr>
          <w:rFonts w:ascii="Bookman Old Style" w:hAnsi="Bookman Old Style"/>
          <w:sz w:val="24"/>
          <w:szCs w:val="24"/>
        </w:rPr>
        <w:t xml:space="preserve"> </w:t>
      </w:r>
      <w:r w:rsidR="00B15BAC" w:rsidRPr="00561267">
        <w:rPr>
          <w:rFonts w:ascii="Bookman Old Style" w:hAnsi="Bookman Old Style"/>
          <w:sz w:val="24"/>
          <w:szCs w:val="24"/>
        </w:rPr>
        <w:t>pegawai</w:t>
      </w:r>
      <w:r w:rsidR="00A954D0">
        <w:rPr>
          <w:rFonts w:ascii="Bookman Old Style" w:hAnsi="Bookman Old Style"/>
          <w:sz w:val="24"/>
          <w:szCs w:val="24"/>
        </w:rPr>
        <w:t xml:space="preserve"> </w:t>
      </w:r>
      <w:r w:rsidR="00B15BAC" w:rsidRPr="00561267">
        <w:rPr>
          <w:rFonts w:ascii="Bookman Old Style" w:hAnsi="Bookman Old Style"/>
          <w:sz w:val="24"/>
          <w:szCs w:val="24"/>
        </w:rPr>
        <w:t>dan</w:t>
      </w:r>
      <w:r w:rsidR="00A954D0">
        <w:rPr>
          <w:rFonts w:ascii="Bookman Old Style" w:hAnsi="Bookman Old Style"/>
          <w:sz w:val="24"/>
          <w:szCs w:val="24"/>
        </w:rPr>
        <w:t xml:space="preserve"> </w:t>
      </w:r>
      <w:r w:rsidR="00B15BAC" w:rsidRPr="00561267">
        <w:rPr>
          <w:rFonts w:ascii="Bookman Old Style" w:hAnsi="Bookman Old Style"/>
          <w:sz w:val="24"/>
          <w:szCs w:val="24"/>
        </w:rPr>
        <w:t>volume</w:t>
      </w:r>
      <w:r w:rsidR="00A954D0">
        <w:rPr>
          <w:rFonts w:ascii="Bookman Old Style" w:hAnsi="Bookman Old Style"/>
          <w:sz w:val="24"/>
          <w:szCs w:val="24"/>
          <w:lang w:val="id-ID"/>
        </w:rPr>
        <w:t xml:space="preserve"> </w:t>
      </w:r>
      <w:r w:rsidR="00B15BAC" w:rsidRPr="00561267">
        <w:rPr>
          <w:rFonts w:ascii="Bookman Old Style" w:hAnsi="Bookman Old Style"/>
          <w:sz w:val="24"/>
          <w:szCs w:val="24"/>
        </w:rPr>
        <w:t>pekerjaan</w:t>
      </w:r>
      <w:r w:rsidR="00A954D0">
        <w:rPr>
          <w:rFonts w:ascii="Bookman Old Style" w:hAnsi="Bookman Old Style"/>
          <w:sz w:val="24"/>
          <w:szCs w:val="24"/>
        </w:rPr>
        <w:t xml:space="preserve"> </w:t>
      </w:r>
      <w:r w:rsidR="00B15BAC" w:rsidRPr="00561267">
        <w:rPr>
          <w:rFonts w:ascii="Bookman Old Style" w:hAnsi="Bookman Old Style"/>
          <w:sz w:val="24"/>
          <w:szCs w:val="24"/>
        </w:rPr>
        <w:t>serta</w:t>
      </w:r>
      <w:r w:rsidR="00A954D0">
        <w:rPr>
          <w:rFonts w:ascii="Bookman Old Style" w:hAnsi="Bookman Old Style"/>
          <w:sz w:val="24"/>
          <w:szCs w:val="24"/>
        </w:rPr>
        <w:t xml:space="preserve"> </w:t>
      </w:r>
      <w:r w:rsidR="00B15BAC" w:rsidRPr="00561267">
        <w:rPr>
          <w:rFonts w:ascii="Bookman Old Style" w:hAnsi="Bookman Old Style"/>
          <w:sz w:val="24"/>
          <w:szCs w:val="24"/>
        </w:rPr>
        <w:t>memperhitungkan</w:t>
      </w:r>
      <w:r w:rsidR="00A954D0">
        <w:rPr>
          <w:rFonts w:ascii="Bookman Old Style" w:hAnsi="Bookman Old Style"/>
          <w:sz w:val="24"/>
          <w:szCs w:val="24"/>
        </w:rPr>
        <w:t xml:space="preserve"> </w:t>
      </w:r>
      <w:r w:rsidR="00B15BAC" w:rsidRPr="00561267">
        <w:rPr>
          <w:rFonts w:ascii="Bookman Old Style" w:hAnsi="Bookman Old Style"/>
          <w:sz w:val="24"/>
          <w:szCs w:val="24"/>
        </w:rPr>
        <w:t>estimasi</w:t>
      </w:r>
      <w:r w:rsidR="00A954D0">
        <w:rPr>
          <w:rFonts w:ascii="Bookman Old Style" w:hAnsi="Bookman Old Style"/>
          <w:sz w:val="24"/>
          <w:szCs w:val="24"/>
        </w:rPr>
        <w:t xml:space="preserve"> </w:t>
      </w:r>
      <w:r w:rsidR="00B15BAC" w:rsidRPr="00561267">
        <w:rPr>
          <w:rFonts w:ascii="Bookman Old Style" w:hAnsi="Bookman Old Style"/>
          <w:sz w:val="24"/>
          <w:szCs w:val="24"/>
        </w:rPr>
        <w:t>sisa</w:t>
      </w:r>
      <w:r w:rsidR="00A954D0">
        <w:rPr>
          <w:rFonts w:ascii="Bookman Old Style" w:hAnsi="Bookman Old Style"/>
          <w:sz w:val="24"/>
          <w:szCs w:val="24"/>
          <w:lang w:val="id-ID"/>
        </w:rPr>
        <w:t xml:space="preserve"> </w:t>
      </w:r>
      <w:r w:rsidR="00B15BAC" w:rsidRPr="00561267">
        <w:rPr>
          <w:rFonts w:ascii="Bookman Old Style" w:hAnsi="Bookman Old Style"/>
          <w:sz w:val="24"/>
          <w:szCs w:val="24"/>
        </w:rPr>
        <w:t>persediaan</w:t>
      </w:r>
      <w:r w:rsidR="00A954D0">
        <w:rPr>
          <w:rFonts w:ascii="Bookman Old Style" w:hAnsi="Bookman Old Style"/>
          <w:sz w:val="24"/>
          <w:szCs w:val="24"/>
        </w:rPr>
        <w:t xml:space="preserve"> </w:t>
      </w:r>
      <w:r w:rsidR="00B15BAC" w:rsidRPr="00561267">
        <w:rPr>
          <w:rFonts w:ascii="Bookman Old Style" w:hAnsi="Bookman Old Style"/>
          <w:sz w:val="24"/>
          <w:szCs w:val="24"/>
        </w:rPr>
        <w:t>barang</w:t>
      </w:r>
      <w:r w:rsidR="00A954D0">
        <w:rPr>
          <w:rFonts w:ascii="Bookman Old Style" w:hAnsi="Bookman Old Style"/>
          <w:sz w:val="24"/>
          <w:szCs w:val="24"/>
        </w:rPr>
        <w:t xml:space="preserve"> </w:t>
      </w:r>
      <w:r w:rsidR="00B15BAC" w:rsidRPr="00561267">
        <w:rPr>
          <w:rFonts w:ascii="Bookman Old Style" w:hAnsi="Bookman Old Style"/>
          <w:sz w:val="24"/>
          <w:szCs w:val="24"/>
        </w:rPr>
        <w:t>Tahun</w:t>
      </w:r>
      <w:r w:rsidR="00A954D0">
        <w:rPr>
          <w:rFonts w:ascii="Bookman Old Style" w:hAnsi="Bookman Old Style"/>
          <w:sz w:val="24"/>
          <w:szCs w:val="24"/>
        </w:rPr>
        <w:t xml:space="preserve"> </w:t>
      </w:r>
      <w:r w:rsidR="00B15BAC" w:rsidRPr="00561267">
        <w:rPr>
          <w:rFonts w:ascii="Bookman Old Style" w:hAnsi="Bookman Old Style"/>
          <w:sz w:val="24"/>
          <w:szCs w:val="24"/>
        </w:rPr>
        <w:t>Anggaran</w:t>
      </w:r>
      <w:r w:rsidR="00A954D0">
        <w:rPr>
          <w:rFonts w:ascii="Bookman Old Style" w:hAnsi="Bookman Old Style"/>
          <w:sz w:val="24"/>
          <w:szCs w:val="24"/>
        </w:rPr>
        <w:t xml:space="preserve"> </w:t>
      </w:r>
      <w:r w:rsidR="00B15BAC" w:rsidRPr="00561267">
        <w:rPr>
          <w:rFonts w:ascii="Bookman Old Style" w:hAnsi="Bookman Old Style"/>
          <w:sz w:val="24"/>
          <w:szCs w:val="24"/>
        </w:rPr>
        <w:t>2024</w:t>
      </w:r>
      <w:r w:rsidR="00A954D0">
        <w:rPr>
          <w:rFonts w:ascii="Bookman Old Style" w:hAnsi="Bookman Old Style" w:cs="Arial"/>
          <w:sz w:val="24"/>
          <w:szCs w:val="24"/>
          <w:lang w:val="fr-FR"/>
        </w:rPr>
        <w:t xml:space="preserve"> </w:t>
      </w:r>
      <w:r w:rsidR="00B15BAC" w:rsidRPr="00561267">
        <w:rPr>
          <w:rFonts w:ascii="Bookman Old Style" w:hAnsi="Bookman Old Style" w:cs="Arial"/>
          <w:sz w:val="24"/>
          <w:szCs w:val="24"/>
          <w:lang w:val="fr-FR"/>
        </w:rPr>
        <w:t>dengan</w:t>
      </w:r>
      <w:r w:rsidR="00A954D0">
        <w:rPr>
          <w:rFonts w:ascii="Bookman Old Style" w:hAnsi="Bookman Old Style" w:cs="Arial"/>
          <w:sz w:val="24"/>
          <w:szCs w:val="24"/>
          <w:lang w:val="fr-FR"/>
        </w:rPr>
        <w:t xml:space="preserve"> </w:t>
      </w:r>
      <w:r w:rsidR="00B15BAC" w:rsidRPr="00561267">
        <w:rPr>
          <w:rFonts w:ascii="Bookman Old Style" w:hAnsi="Bookman Old Style" w:cs="Arial"/>
          <w:sz w:val="24"/>
          <w:szCs w:val="24"/>
          <w:lang w:val="fr-FR"/>
        </w:rPr>
        <w:t>menerapkan</w:t>
      </w:r>
      <w:r w:rsidR="00A954D0">
        <w:rPr>
          <w:rFonts w:ascii="Bookman Old Style" w:hAnsi="Bookman Old Style" w:cs="Arial"/>
          <w:sz w:val="24"/>
          <w:szCs w:val="24"/>
          <w:lang w:val="fr-FR"/>
        </w:rPr>
        <w:t xml:space="preserve"> </w:t>
      </w:r>
      <w:r w:rsidR="00B15BAC" w:rsidRPr="00561267">
        <w:rPr>
          <w:rFonts w:ascii="Bookman Old Style" w:hAnsi="Bookman Old Style" w:cs="Arial"/>
          <w:sz w:val="24"/>
          <w:szCs w:val="24"/>
          <w:lang w:val="fr-FR"/>
        </w:rPr>
        <w:t>digitalisasi</w:t>
      </w:r>
      <w:r w:rsidR="00A954D0">
        <w:rPr>
          <w:rFonts w:ascii="Bookman Old Style" w:hAnsi="Bookman Old Style" w:cs="Arial"/>
          <w:sz w:val="24"/>
          <w:szCs w:val="24"/>
          <w:lang w:val="fr-FR"/>
        </w:rPr>
        <w:t xml:space="preserve"> </w:t>
      </w:r>
      <w:r w:rsidR="00B15BAC" w:rsidRPr="00561267">
        <w:rPr>
          <w:rFonts w:ascii="Bookman Old Style" w:hAnsi="Bookman Old Style" w:cs="Arial"/>
          <w:sz w:val="24"/>
          <w:szCs w:val="24"/>
          <w:lang w:val="fr-FR"/>
        </w:rPr>
        <w:t>pengelolaan</w:t>
      </w:r>
      <w:r w:rsidR="00A954D0">
        <w:rPr>
          <w:rFonts w:ascii="Bookman Old Style" w:hAnsi="Bookman Old Style" w:cs="Arial"/>
          <w:sz w:val="24"/>
          <w:szCs w:val="24"/>
          <w:lang w:val="id-ID"/>
        </w:rPr>
        <w:t xml:space="preserve"> </w:t>
      </w:r>
      <w:r w:rsidR="00B15BAC" w:rsidRPr="00561267">
        <w:rPr>
          <w:rFonts w:ascii="Bookman Old Style" w:hAnsi="Bookman Old Style" w:cs="Arial"/>
          <w:sz w:val="24"/>
          <w:szCs w:val="24"/>
          <w:lang w:val="fr-FR"/>
        </w:rPr>
        <w:t>administrasi</w:t>
      </w:r>
      <w:r w:rsidR="00A954D0">
        <w:rPr>
          <w:rFonts w:ascii="Bookman Old Style" w:hAnsi="Bookman Old Style" w:cs="Arial"/>
          <w:sz w:val="24"/>
          <w:szCs w:val="24"/>
          <w:lang w:val="fr-FR"/>
        </w:rPr>
        <w:t xml:space="preserve"> </w:t>
      </w:r>
      <w:r w:rsidR="00B15BAC" w:rsidRPr="00561267">
        <w:rPr>
          <w:rFonts w:ascii="Bookman Old Style" w:hAnsi="Bookman Old Style" w:cs="Arial"/>
          <w:sz w:val="24"/>
          <w:szCs w:val="24"/>
          <w:lang w:val="fr-FR"/>
        </w:rPr>
        <w:t>dalam</w:t>
      </w:r>
      <w:r w:rsidR="00A954D0">
        <w:rPr>
          <w:rFonts w:ascii="Bookman Old Style" w:hAnsi="Bookman Old Style" w:cs="Arial"/>
          <w:sz w:val="24"/>
          <w:szCs w:val="24"/>
          <w:lang w:val="fr-FR"/>
        </w:rPr>
        <w:t xml:space="preserve"> </w:t>
      </w:r>
      <w:r w:rsidR="00B15BAC" w:rsidRPr="00561267">
        <w:rPr>
          <w:rFonts w:ascii="Bookman Old Style" w:hAnsi="Bookman Old Style" w:cs="Arial"/>
          <w:sz w:val="24"/>
          <w:szCs w:val="24"/>
          <w:lang w:val="fr-FR"/>
        </w:rPr>
        <w:t>rangka</w:t>
      </w:r>
      <w:r w:rsidR="00A954D0">
        <w:rPr>
          <w:rFonts w:ascii="Bookman Old Style" w:hAnsi="Bookman Old Style" w:cs="Arial"/>
          <w:sz w:val="24"/>
          <w:szCs w:val="24"/>
          <w:lang w:val="fr-FR"/>
        </w:rPr>
        <w:t xml:space="preserve"> </w:t>
      </w:r>
      <w:r w:rsidR="00B15BAC" w:rsidRPr="00561267">
        <w:rPr>
          <w:rFonts w:ascii="Bookman Old Style" w:hAnsi="Bookman Old Style" w:cs="Arial"/>
          <w:sz w:val="24"/>
          <w:szCs w:val="24"/>
          <w:lang w:val="fr-FR"/>
        </w:rPr>
        <w:t>efisiensi</w:t>
      </w:r>
      <w:r w:rsidR="00A954D0">
        <w:rPr>
          <w:rFonts w:ascii="Bookman Old Style" w:hAnsi="Bookman Old Style" w:cs="Arial"/>
          <w:sz w:val="24"/>
          <w:szCs w:val="24"/>
          <w:lang w:val="fr-FR"/>
        </w:rPr>
        <w:t xml:space="preserve"> </w:t>
      </w:r>
      <w:r w:rsidR="00B15BAC" w:rsidRPr="00561267">
        <w:rPr>
          <w:rFonts w:ascii="Bookman Old Style" w:hAnsi="Bookman Old Style" w:cs="Arial"/>
          <w:sz w:val="24"/>
          <w:szCs w:val="24"/>
          <w:lang w:val="fr-FR"/>
        </w:rPr>
        <w:t>dan</w:t>
      </w:r>
      <w:r w:rsidR="00A954D0">
        <w:rPr>
          <w:rFonts w:ascii="Bookman Old Style" w:hAnsi="Bookman Old Style" w:cs="Arial"/>
          <w:sz w:val="24"/>
          <w:szCs w:val="24"/>
          <w:lang w:val="fr-FR"/>
        </w:rPr>
        <w:t xml:space="preserve"> </w:t>
      </w:r>
      <w:r w:rsidR="00B15BAC" w:rsidRPr="00561267">
        <w:rPr>
          <w:rFonts w:ascii="Bookman Old Style" w:hAnsi="Bookman Old Style" w:cs="Arial"/>
          <w:sz w:val="24"/>
          <w:szCs w:val="24"/>
          <w:lang w:val="fr-FR"/>
        </w:rPr>
        <w:t>efektivitas</w:t>
      </w:r>
      <w:r w:rsidR="00A954D0">
        <w:rPr>
          <w:rFonts w:ascii="Bookman Old Style" w:hAnsi="Bookman Old Style" w:cs="Arial"/>
          <w:sz w:val="24"/>
          <w:szCs w:val="24"/>
          <w:lang w:val="fr-FR"/>
        </w:rPr>
        <w:t xml:space="preserve"> </w:t>
      </w:r>
      <w:r w:rsidR="00B15BAC" w:rsidRPr="00561267">
        <w:rPr>
          <w:rFonts w:ascii="Bookman Old Style" w:hAnsi="Bookman Old Style" w:cs="Arial"/>
          <w:sz w:val="24"/>
          <w:szCs w:val="24"/>
          <w:lang w:val="fr-FR"/>
        </w:rPr>
        <w:t>penggunaannya</w:t>
      </w:r>
      <w:r w:rsidR="00A954D0">
        <w:rPr>
          <w:rFonts w:ascii="Bookman Old Style" w:hAnsi="Bookman Old Style" w:cs="Arial"/>
          <w:sz w:val="24"/>
          <w:szCs w:val="24"/>
          <w:lang w:val="fr-FR"/>
        </w:rPr>
        <w:t xml:space="preserve"> </w:t>
      </w:r>
      <w:r w:rsidR="00B15BAC" w:rsidRPr="00561267">
        <w:rPr>
          <w:rFonts w:ascii="Bookman Old Style" w:hAnsi="Bookman Old Style"/>
          <w:sz w:val="24"/>
          <w:szCs w:val="24"/>
        </w:rPr>
        <w:t>sebagaimana</w:t>
      </w:r>
      <w:r w:rsidR="00A954D0">
        <w:rPr>
          <w:rFonts w:ascii="Bookman Old Style" w:hAnsi="Bookman Old Style"/>
          <w:sz w:val="24"/>
          <w:szCs w:val="24"/>
        </w:rPr>
        <w:t xml:space="preserve"> </w:t>
      </w:r>
      <w:r w:rsidR="00B15BAC" w:rsidRPr="00561267">
        <w:rPr>
          <w:rFonts w:ascii="Bookman Old Style" w:hAnsi="Bookman Old Style"/>
          <w:sz w:val="24"/>
          <w:szCs w:val="24"/>
        </w:rPr>
        <w:t>maksud</w:t>
      </w:r>
      <w:r w:rsidR="00A954D0">
        <w:rPr>
          <w:rFonts w:ascii="Bookman Old Style" w:hAnsi="Bookman Old Style"/>
          <w:sz w:val="24"/>
          <w:szCs w:val="24"/>
        </w:rPr>
        <w:t xml:space="preserve"> </w:t>
      </w:r>
      <w:r w:rsidR="00B15BAC" w:rsidRPr="00561267">
        <w:rPr>
          <w:rFonts w:ascii="Bookman Old Style" w:hAnsi="Bookman Old Style"/>
          <w:sz w:val="24"/>
          <w:szCs w:val="24"/>
        </w:rPr>
        <w:t>Pasal</w:t>
      </w:r>
      <w:r w:rsidR="00A954D0">
        <w:rPr>
          <w:rFonts w:ascii="Bookman Old Style" w:hAnsi="Bookman Old Style"/>
          <w:sz w:val="24"/>
          <w:szCs w:val="24"/>
        </w:rPr>
        <w:t xml:space="preserve"> </w:t>
      </w:r>
      <w:r w:rsidR="00B15BAC" w:rsidRPr="00561267">
        <w:rPr>
          <w:rFonts w:ascii="Bookman Old Style" w:hAnsi="Bookman Old Style"/>
          <w:sz w:val="24"/>
          <w:szCs w:val="24"/>
        </w:rPr>
        <w:t>9</w:t>
      </w:r>
      <w:r w:rsidR="00A954D0">
        <w:rPr>
          <w:rFonts w:ascii="Bookman Old Style" w:hAnsi="Bookman Old Style"/>
          <w:sz w:val="24"/>
          <w:szCs w:val="24"/>
        </w:rPr>
        <w:t xml:space="preserve"> </w:t>
      </w:r>
      <w:r w:rsidR="00B15BAC" w:rsidRPr="00561267">
        <w:rPr>
          <w:rFonts w:ascii="Bookman Old Style" w:hAnsi="Bookman Old Style"/>
          <w:sz w:val="24"/>
          <w:szCs w:val="24"/>
        </w:rPr>
        <w:t>Peraturan</w:t>
      </w:r>
      <w:r w:rsidR="00A954D0">
        <w:rPr>
          <w:rFonts w:ascii="Bookman Old Style" w:hAnsi="Bookman Old Style"/>
          <w:sz w:val="24"/>
          <w:szCs w:val="24"/>
        </w:rPr>
        <w:t xml:space="preserve"> </w:t>
      </w:r>
      <w:r w:rsidR="00B15BAC" w:rsidRPr="00561267">
        <w:rPr>
          <w:rFonts w:ascii="Bookman Old Style" w:hAnsi="Bookman Old Style"/>
          <w:sz w:val="24"/>
          <w:szCs w:val="24"/>
        </w:rPr>
        <w:t>Pemerintah</w:t>
      </w:r>
      <w:r w:rsidR="00A954D0">
        <w:rPr>
          <w:rFonts w:ascii="Bookman Old Style" w:hAnsi="Bookman Old Style"/>
          <w:sz w:val="24"/>
          <w:szCs w:val="24"/>
        </w:rPr>
        <w:t xml:space="preserve"> </w:t>
      </w:r>
      <w:r w:rsidR="00B15BAC" w:rsidRPr="00561267">
        <w:rPr>
          <w:rFonts w:ascii="Bookman Old Style" w:hAnsi="Bookman Old Style"/>
          <w:sz w:val="24"/>
          <w:szCs w:val="24"/>
        </w:rPr>
        <w:t>Nomor</w:t>
      </w:r>
      <w:r w:rsidR="00A954D0">
        <w:rPr>
          <w:rFonts w:ascii="Bookman Old Style" w:hAnsi="Bookman Old Style"/>
          <w:sz w:val="24"/>
          <w:szCs w:val="24"/>
        </w:rPr>
        <w:t xml:space="preserve"> </w:t>
      </w:r>
      <w:r w:rsidR="00B15BAC" w:rsidRPr="00561267">
        <w:rPr>
          <w:rFonts w:ascii="Bookman Old Style" w:hAnsi="Bookman Old Style"/>
          <w:sz w:val="24"/>
          <w:szCs w:val="24"/>
        </w:rPr>
        <w:t>27</w:t>
      </w:r>
      <w:r w:rsidR="00A954D0">
        <w:rPr>
          <w:rFonts w:ascii="Bookman Old Style" w:hAnsi="Bookman Old Style"/>
          <w:sz w:val="24"/>
          <w:szCs w:val="24"/>
        </w:rPr>
        <w:t xml:space="preserve"> </w:t>
      </w:r>
      <w:r w:rsidR="00B15BAC" w:rsidRPr="00561267">
        <w:rPr>
          <w:rFonts w:ascii="Bookman Old Style" w:hAnsi="Bookman Old Style"/>
          <w:sz w:val="24"/>
          <w:szCs w:val="24"/>
        </w:rPr>
        <w:t>Tahun</w:t>
      </w:r>
      <w:r w:rsidR="00A954D0">
        <w:rPr>
          <w:rFonts w:ascii="Bookman Old Style" w:hAnsi="Bookman Old Style"/>
          <w:sz w:val="24"/>
          <w:szCs w:val="24"/>
        </w:rPr>
        <w:t xml:space="preserve"> </w:t>
      </w:r>
      <w:r w:rsidR="00B15BAC" w:rsidRPr="00561267">
        <w:rPr>
          <w:rFonts w:ascii="Bookman Old Style" w:hAnsi="Bookman Old Style"/>
          <w:sz w:val="24"/>
          <w:szCs w:val="24"/>
        </w:rPr>
        <w:t>2014,</w:t>
      </w:r>
      <w:r w:rsidR="00A954D0">
        <w:rPr>
          <w:rFonts w:ascii="Bookman Old Style" w:hAnsi="Bookman Old Style"/>
          <w:sz w:val="24"/>
          <w:szCs w:val="24"/>
        </w:rPr>
        <w:t xml:space="preserve"> </w:t>
      </w:r>
      <w:r w:rsidR="00B15BAC" w:rsidRPr="00561267">
        <w:rPr>
          <w:rFonts w:ascii="Bookman Old Style" w:hAnsi="Bookman Old Style"/>
          <w:sz w:val="24"/>
          <w:szCs w:val="24"/>
        </w:rPr>
        <w:t>sebagaimana</w:t>
      </w:r>
      <w:r w:rsidR="00A954D0">
        <w:rPr>
          <w:rFonts w:ascii="Bookman Old Style" w:hAnsi="Bookman Old Style"/>
          <w:sz w:val="24"/>
          <w:szCs w:val="24"/>
        </w:rPr>
        <w:t xml:space="preserve"> </w:t>
      </w:r>
      <w:r w:rsidR="00B15BAC" w:rsidRPr="00561267">
        <w:rPr>
          <w:rFonts w:ascii="Bookman Old Style" w:hAnsi="Bookman Old Style"/>
          <w:sz w:val="24"/>
          <w:szCs w:val="24"/>
        </w:rPr>
        <w:t>telah</w:t>
      </w:r>
      <w:r w:rsidR="00A954D0">
        <w:rPr>
          <w:rFonts w:ascii="Bookman Old Style" w:hAnsi="Bookman Old Style"/>
          <w:sz w:val="24"/>
          <w:szCs w:val="24"/>
        </w:rPr>
        <w:t xml:space="preserve"> </w:t>
      </w:r>
      <w:r w:rsidR="00B15BAC" w:rsidRPr="00561267">
        <w:rPr>
          <w:rFonts w:ascii="Bookman Old Style" w:hAnsi="Bookman Old Style"/>
          <w:sz w:val="24"/>
          <w:szCs w:val="24"/>
        </w:rPr>
        <w:t>diubah</w:t>
      </w:r>
      <w:r w:rsidR="00A954D0">
        <w:rPr>
          <w:rFonts w:ascii="Bookman Old Style" w:hAnsi="Bookman Old Style"/>
          <w:sz w:val="24"/>
          <w:szCs w:val="24"/>
          <w:lang w:val="id-ID"/>
        </w:rPr>
        <w:t xml:space="preserve"> </w:t>
      </w:r>
      <w:r w:rsidR="00B15BAC" w:rsidRPr="00561267">
        <w:rPr>
          <w:rFonts w:ascii="Bookman Old Style" w:hAnsi="Bookman Old Style"/>
          <w:sz w:val="24"/>
          <w:szCs w:val="24"/>
          <w:lang w:val="id-ID"/>
        </w:rPr>
        <w:t>dengan</w:t>
      </w:r>
      <w:r w:rsidR="00A954D0">
        <w:rPr>
          <w:rFonts w:ascii="Bookman Old Style" w:hAnsi="Bookman Old Style"/>
          <w:sz w:val="24"/>
          <w:szCs w:val="24"/>
          <w:lang w:val="id-ID"/>
        </w:rPr>
        <w:t xml:space="preserve"> </w:t>
      </w:r>
      <w:r w:rsidR="00B15BAC" w:rsidRPr="00561267">
        <w:rPr>
          <w:rFonts w:ascii="Bookman Old Style" w:hAnsi="Bookman Old Style"/>
          <w:sz w:val="24"/>
          <w:szCs w:val="24"/>
          <w:lang w:val="id-ID"/>
        </w:rPr>
        <w:t>Peraturan</w:t>
      </w:r>
      <w:r w:rsidR="00A954D0">
        <w:rPr>
          <w:rFonts w:ascii="Bookman Old Style" w:hAnsi="Bookman Old Style"/>
          <w:sz w:val="24"/>
          <w:szCs w:val="24"/>
          <w:lang w:val="id-ID"/>
        </w:rPr>
        <w:t xml:space="preserve"> </w:t>
      </w:r>
      <w:r w:rsidR="00B15BAC" w:rsidRPr="00561267">
        <w:rPr>
          <w:rFonts w:ascii="Bookman Old Style" w:hAnsi="Bookman Old Style"/>
          <w:sz w:val="24"/>
          <w:szCs w:val="24"/>
          <w:lang w:val="id-ID"/>
        </w:rPr>
        <w:t>Pemerintah</w:t>
      </w:r>
      <w:r w:rsidR="00A954D0">
        <w:rPr>
          <w:rFonts w:ascii="Bookman Old Style" w:hAnsi="Bookman Old Style"/>
          <w:sz w:val="24"/>
          <w:szCs w:val="24"/>
          <w:lang w:val="id-ID"/>
        </w:rPr>
        <w:t xml:space="preserve"> </w:t>
      </w:r>
      <w:r w:rsidR="00B15BAC" w:rsidRPr="00561267">
        <w:rPr>
          <w:rFonts w:ascii="Bookman Old Style" w:hAnsi="Bookman Old Style"/>
          <w:sz w:val="24"/>
          <w:szCs w:val="24"/>
          <w:lang w:val="id-ID"/>
        </w:rPr>
        <w:t>Nomor</w:t>
      </w:r>
      <w:r w:rsidR="00A954D0">
        <w:rPr>
          <w:rFonts w:ascii="Bookman Old Style" w:hAnsi="Bookman Old Style"/>
          <w:sz w:val="24"/>
          <w:szCs w:val="24"/>
          <w:lang w:val="id-ID"/>
        </w:rPr>
        <w:t xml:space="preserve"> </w:t>
      </w:r>
      <w:r w:rsidR="00B15BAC" w:rsidRPr="00561267">
        <w:rPr>
          <w:rFonts w:ascii="Bookman Old Style" w:hAnsi="Bookman Old Style"/>
          <w:sz w:val="24"/>
          <w:szCs w:val="24"/>
          <w:lang w:val="id-ID"/>
        </w:rPr>
        <w:t>28</w:t>
      </w:r>
      <w:r w:rsidR="00A954D0">
        <w:rPr>
          <w:rFonts w:ascii="Bookman Old Style" w:hAnsi="Bookman Old Style"/>
          <w:sz w:val="24"/>
          <w:szCs w:val="24"/>
          <w:lang w:val="id-ID"/>
        </w:rPr>
        <w:t xml:space="preserve"> </w:t>
      </w:r>
      <w:r w:rsidR="00B15BAC" w:rsidRPr="00561267">
        <w:rPr>
          <w:rFonts w:ascii="Bookman Old Style" w:hAnsi="Bookman Old Style"/>
          <w:sz w:val="24"/>
          <w:szCs w:val="24"/>
          <w:lang w:val="id-ID"/>
        </w:rPr>
        <w:t>Tahun</w:t>
      </w:r>
      <w:r w:rsidR="00A954D0">
        <w:rPr>
          <w:rFonts w:ascii="Bookman Old Style" w:hAnsi="Bookman Old Style"/>
          <w:sz w:val="24"/>
          <w:szCs w:val="24"/>
          <w:lang w:val="id-ID"/>
        </w:rPr>
        <w:t xml:space="preserve"> </w:t>
      </w:r>
      <w:r w:rsidR="00B15BAC" w:rsidRPr="00561267">
        <w:rPr>
          <w:rFonts w:ascii="Bookman Old Style" w:hAnsi="Bookman Old Style"/>
          <w:sz w:val="24"/>
          <w:szCs w:val="24"/>
          <w:lang w:val="id-ID"/>
        </w:rPr>
        <w:t>2020,</w:t>
      </w:r>
      <w:r w:rsidR="00A954D0">
        <w:rPr>
          <w:rFonts w:ascii="Bookman Old Style" w:hAnsi="Bookman Old Style"/>
          <w:sz w:val="24"/>
          <w:szCs w:val="24"/>
          <w:lang w:val="id-ID"/>
        </w:rPr>
        <w:t xml:space="preserve"> </w:t>
      </w:r>
      <w:r w:rsidR="00B15BAC" w:rsidRPr="00561267">
        <w:rPr>
          <w:rFonts w:ascii="Bookman Old Style" w:hAnsi="Bookman Old Style"/>
          <w:sz w:val="24"/>
          <w:szCs w:val="24"/>
          <w:lang w:val="id-ID"/>
        </w:rPr>
        <w:t>Pasal</w:t>
      </w:r>
      <w:r w:rsidR="00A954D0">
        <w:rPr>
          <w:rFonts w:ascii="Bookman Old Style" w:hAnsi="Bookman Old Style"/>
          <w:sz w:val="24"/>
          <w:szCs w:val="24"/>
          <w:lang w:val="id-ID"/>
        </w:rPr>
        <w:t xml:space="preserve"> </w:t>
      </w:r>
      <w:r w:rsidR="00B15BAC" w:rsidRPr="00561267">
        <w:rPr>
          <w:rFonts w:ascii="Bookman Old Style" w:hAnsi="Bookman Old Style"/>
          <w:sz w:val="24"/>
          <w:szCs w:val="24"/>
          <w:lang w:val="id-ID"/>
        </w:rPr>
        <w:t>3</w:t>
      </w:r>
      <w:r w:rsidR="00A954D0">
        <w:rPr>
          <w:rFonts w:ascii="Bookman Old Style" w:hAnsi="Bookman Old Style"/>
          <w:sz w:val="24"/>
          <w:szCs w:val="24"/>
          <w:lang w:val="id-ID"/>
        </w:rPr>
        <w:t xml:space="preserve"> </w:t>
      </w:r>
      <w:r w:rsidR="00B15BAC" w:rsidRPr="00561267">
        <w:rPr>
          <w:rFonts w:ascii="Bookman Old Style" w:hAnsi="Bookman Old Style"/>
          <w:sz w:val="24"/>
          <w:szCs w:val="24"/>
          <w:lang w:val="id-ID"/>
        </w:rPr>
        <w:t>ayat</w:t>
      </w:r>
      <w:r w:rsidR="00A954D0">
        <w:rPr>
          <w:rFonts w:ascii="Bookman Old Style" w:hAnsi="Bookman Old Style"/>
          <w:sz w:val="24"/>
          <w:szCs w:val="24"/>
          <w:lang w:val="id-ID"/>
        </w:rPr>
        <w:t xml:space="preserve"> </w:t>
      </w:r>
      <w:r w:rsidR="00B15BAC" w:rsidRPr="00561267">
        <w:rPr>
          <w:rFonts w:ascii="Bookman Old Style" w:hAnsi="Bookman Old Style"/>
          <w:sz w:val="24"/>
          <w:szCs w:val="24"/>
          <w:lang w:val="id-ID"/>
        </w:rPr>
        <w:t>(1)</w:t>
      </w:r>
      <w:r w:rsidR="00A954D0">
        <w:rPr>
          <w:rFonts w:ascii="Bookman Old Style" w:hAnsi="Bookman Old Style"/>
          <w:sz w:val="24"/>
          <w:szCs w:val="24"/>
          <w:lang w:val="id-ID"/>
        </w:rPr>
        <w:t xml:space="preserve"> </w:t>
      </w:r>
      <w:r w:rsidR="00B15BAC" w:rsidRPr="00561267">
        <w:rPr>
          <w:rFonts w:ascii="Bookman Old Style" w:hAnsi="Bookman Old Style"/>
          <w:sz w:val="24"/>
          <w:szCs w:val="24"/>
          <w:lang w:val="id-ID"/>
        </w:rPr>
        <w:t>Peraturan</w:t>
      </w:r>
      <w:r w:rsidR="00A954D0">
        <w:rPr>
          <w:rFonts w:ascii="Bookman Old Style" w:hAnsi="Bookman Old Style"/>
          <w:sz w:val="24"/>
          <w:szCs w:val="24"/>
          <w:lang w:val="id-ID"/>
        </w:rPr>
        <w:t xml:space="preserve"> </w:t>
      </w:r>
      <w:r w:rsidR="00B15BAC" w:rsidRPr="00561267">
        <w:rPr>
          <w:rFonts w:ascii="Bookman Old Style" w:hAnsi="Bookman Old Style"/>
          <w:sz w:val="24"/>
          <w:szCs w:val="24"/>
          <w:lang w:val="id-ID"/>
        </w:rPr>
        <w:t>Pemerintah</w:t>
      </w:r>
      <w:r w:rsidR="00A954D0">
        <w:rPr>
          <w:rFonts w:ascii="Bookman Old Style" w:hAnsi="Bookman Old Style"/>
          <w:sz w:val="24"/>
          <w:szCs w:val="24"/>
        </w:rPr>
        <w:t xml:space="preserve"> </w:t>
      </w:r>
      <w:r w:rsidR="00B15BAC" w:rsidRPr="00561267">
        <w:rPr>
          <w:rFonts w:ascii="Bookman Old Style" w:hAnsi="Bookman Old Style"/>
          <w:sz w:val="24"/>
          <w:szCs w:val="24"/>
        </w:rPr>
        <w:t>Nomor</w:t>
      </w:r>
      <w:r w:rsidR="00A954D0">
        <w:rPr>
          <w:rFonts w:ascii="Bookman Old Style" w:hAnsi="Bookman Old Style"/>
          <w:sz w:val="24"/>
          <w:szCs w:val="24"/>
        </w:rPr>
        <w:t xml:space="preserve"> </w:t>
      </w:r>
      <w:r w:rsidR="00B15BAC" w:rsidRPr="00561267">
        <w:rPr>
          <w:rFonts w:ascii="Bookman Old Style" w:hAnsi="Bookman Old Style"/>
          <w:sz w:val="24"/>
          <w:szCs w:val="24"/>
        </w:rPr>
        <w:t>12</w:t>
      </w:r>
      <w:r w:rsidR="00A954D0">
        <w:rPr>
          <w:rFonts w:ascii="Bookman Old Style" w:hAnsi="Bookman Old Style"/>
          <w:sz w:val="24"/>
          <w:szCs w:val="24"/>
        </w:rPr>
        <w:t xml:space="preserve"> </w:t>
      </w:r>
      <w:r w:rsidR="00B15BAC" w:rsidRPr="00561267">
        <w:rPr>
          <w:rFonts w:ascii="Bookman Old Style" w:hAnsi="Bookman Old Style"/>
          <w:sz w:val="24"/>
          <w:szCs w:val="24"/>
        </w:rPr>
        <w:t>Tahun</w:t>
      </w:r>
      <w:r w:rsidR="00A954D0">
        <w:rPr>
          <w:rFonts w:ascii="Bookman Old Style" w:hAnsi="Bookman Old Style"/>
          <w:sz w:val="24"/>
          <w:szCs w:val="24"/>
        </w:rPr>
        <w:t xml:space="preserve"> </w:t>
      </w:r>
      <w:r w:rsidR="00B15BAC" w:rsidRPr="00561267">
        <w:rPr>
          <w:rFonts w:ascii="Bookman Old Style" w:hAnsi="Bookman Old Style"/>
          <w:sz w:val="24"/>
          <w:szCs w:val="24"/>
        </w:rPr>
        <w:t>2019</w:t>
      </w:r>
      <w:r w:rsidR="00B15BAC" w:rsidRPr="00561267">
        <w:rPr>
          <w:rFonts w:ascii="Bookman Old Style" w:hAnsi="Bookman Old Style"/>
          <w:sz w:val="24"/>
          <w:szCs w:val="24"/>
          <w:lang w:val="id-ID"/>
        </w:rPr>
        <w:t>,</w:t>
      </w:r>
      <w:r w:rsidR="00A954D0">
        <w:rPr>
          <w:rFonts w:ascii="Bookman Old Style" w:hAnsi="Bookman Old Style"/>
          <w:sz w:val="24"/>
          <w:szCs w:val="24"/>
          <w:lang w:val="id-ID"/>
        </w:rPr>
        <w:t xml:space="preserve"> </w:t>
      </w:r>
      <w:r w:rsidR="00B15BAC" w:rsidRPr="00561267">
        <w:rPr>
          <w:rFonts w:ascii="Bookman Old Style" w:hAnsi="Bookman Old Style"/>
          <w:sz w:val="24"/>
          <w:szCs w:val="24"/>
        </w:rPr>
        <w:t>Pasal</w:t>
      </w:r>
      <w:r w:rsidR="00A954D0">
        <w:rPr>
          <w:rFonts w:ascii="Bookman Old Style" w:hAnsi="Bookman Old Style"/>
          <w:sz w:val="24"/>
          <w:szCs w:val="24"/>
        </w:rPr>
        <w:t xml:space="preserve"> </w:t>
      </w:r>
      <w:r w:rsidR="00B15BAC" w:rsidRPr="00561267">
        <w:rPr>
          <w:rFonts w:ascii="Bookman Old Style" w:hAnsi="Bookman Old Style"/>
          <w:sz w:val="24"/>
          <w:szCs w:val="24"/>
        </w:rPr>
        <w:t>28</w:t>
      </w:r>
      <w:r w:rsidR="00A954D0">
        <w:rPr>
          <w:rFonts w:ascii="Bookman Old Style" w:hAnsi="Bookman Old Style"/>
          <w:sz w:val="24"/>
          <w:szCs w:val="24"/>
        </w:rPr>
        <w:t xml:space="preserve"> </w:t>
      </w:r>
      <w:r w:rsidR="00B15BAC" w:rsidRPr="00561267">
        <w:rPr>
          <w:rFonts w:ascii="Bookman Old Style" w:hAnsi="Bookman Old Style"/>
          <w:sz w:val="24"/>
          <w:szCs w:val="24"/>
        </w:rPr>
        <w:t>Peraturan</w:t>
      </w:r>
      <w:r w:rsidR="00A954D0">
        <w:rPr>
          <w:rFonts w:ascii="Bookman Old Style" w:hAnsi="Bookman Old Style"/>
          <w:sz w:val="24"/>
          <w:szCs w:val="24"/>
        </w:rPr>
        <w:t xml:space="preserve"> </w:t>
      </w:r>
      <w:r w:rsidR="00B15BAC" w:rsidRPr="00561267">
        <w:rPr>
          <w:rFonts w:ascii="Bookman Old Style" w:hAnsi="Bookman Old Style"/>
          <w:sz w:val="24"/>
          <w:szCs w:val="24"/>
        </w:rPr>
        <w:t>Menteri</w:t>
      </w:r>
      <w:r w:rsidR="00A954D0">
        <w:rPr>
          <w:rFonts w:ascii="Bookman Old Style" w:hAnsi="Bookman Old Style"/>
          <w:sz w:val="24"/>
          <w:szCs w:val="24"/>
        </w:rPr>
        <w:t xml:space="preserve"> </w:t>
      </w:r>
      <w:r w:rsidR="00B15BAC" w:rsidRPr="00561267">
        <w:rPr>
          <w:rFonts w:ascii="Bookman Old Style" w:hAnsi="Bookman Old Style"/>
          <w:sz w:val="24"/>
          <w:szCs w:val="24"/>
        </w:rPr>
        <w:t>Dalam</w:t>
      </w:r>
      <w:r w:rsidR="00A954D0">
        <w:rPr>
          <w:rFonts w:ascii="Bookman Old Style" w:hAnsi="Bookman Old Style"/>
          <w:sz w:val="24"/>
          <w:szCs w:val="24"/>
        </w:rPr>
        <w:t xml:space="preserve"> </w:t>
      </w:r>
      <w:r w:rsidR="00B15BAC" w:rsidRPr="00561267">
        <w:rPr>
          <w:rFonts w:ascii="Bookman Old Style" w:hAnsi="Bookman Old Style"/>
          <w:sz w:val="24"/>
          <w:szCs w:val="24"/>
        </w:rPr>
        <w:t>Negeri</w:t>
      </w:r>
      <w:r w:rsidR="00A954D0">
        <w:rPr>
          <w:rFonts w:ascii="Bookman Old Style" w:hAnsi="Bookman Old Style"/>
          <w:sz w:val="24"/>
          <w:szCs w:val="24"/>
        </w:rPr>
        <w:t xml:space="preserve"> </w:t>
      </w:r>
      <w:r w:rsidR="00B15BAC" w:rsidRPr="00561267">
        <w:rPr>
          <w:rFonts w:ascii="Bookman Old Style" w:hAnsi="Bookman Old Style"/>
          <w:sz w:val="24"/>
          <w:szCs w:val="24"/>
        </w:rPr>
        <w:t>Nomor</w:t>
      </w:r>
      <w:r w:rsidR="00A954D0">
        <w:rPr>
          <w:rFonts w:ascii="Bookman Old Style" w:hAnsi="Bookman Old Style"/>
          <w:sz w:val="24"/>
          <w:szCs w:val="24"/>
        </w:rPr>
        <w:t xml:space="preserve"> </w:t>
      </w:r>
      <w:r w:rsidR="00B15BAC" w:rsidRPr="00561267">
        <w:rPr>
          <w:rFonts w:ascii="Bookman Old Style" w:hAnsi="Bookman Old Style"/>
          <w:sz w:val="24"/>
          <w:szCs w:val="24"/>
        </w:rPr>
        <w:t>19</w:t>
      </w:r>
      <w:r w:rsidR="00A954D0">
        <w:rPr>
          <w:rFonts w:ascii="Bookman Old Style" w:hAnsi="Bookman Old Style"/>
          <w:sz w:val="24"/>
          <w:szCs w:val="24"/>
        </w:rPr>
        <w:t xml:space="preserve"> </w:t>
      </w:r>
      <w:r w:rsidR="00B15BAC" w:rsidRPr="00EF0482">
        <w:rPr>
          <w:rFonts w:ascii="Bookman Old Style" w:hAnsi="Bookman Old Style"/>
          <w:sz w:val="24"/>
          <w:szCs w:val="24"/>
        </w:rPr>
        <w:t>Tahun</w:t>
      </w:r>
      <w:r w:rsidR="00A954D0">
        <w:rPr>
          <w:rFonts w:ascii="Bookman Old Style" w:hAnsi="Bookman Old Style"/>
          <w:sz w:val="24"/>
          <w:szCs w:val="24"/>
        </w:rPr>
        <w:t xml:space="preserve"> </w:t>
      </w:r>
      <w:r w:rsidR="00B15BAC" w:rsidRPr="00EF0482">
        <w:rPr>
          <w:rFonts w:ascii="Bookman Old Style" w:hAnsi="Bookman Old Style"/>
          <w:sz w:val="24"/>
          <w:szCs w:val="24"/>
        </w:rPr>
        <w:t>2016,</w:t>
      </w:r>
      <w:r w:rsidR="00A954D0">
        <w:rPr>
          <w:rFonts w:ascii="Bookman Old Style" w:hAnsi="Bookman Old Style"/>
          <w:sz w:val="24"/>
          <w:szCs w:val="24"/>
        </w:rPr>
        <w:t xml:space="preserve"> </w:t>
      </w:r>
      <w:r w:rsidR="00B15BAC" w:rsidRPr="00EF0482">
        <w:rPr>
          <w:rFonts w:ascii="Bookman Old Style" w:hAnsi="Bookman Old Style"/>
          <w:sz w:val="24"/>
          <w:szCs w:val="24"/>
        </w:rPr>
        <w:t>sebagaimana</w:t>
      </w:r>
      <w:r w:rsidR="00A954D0">
        <w:rPr>
          <w:rFonts w:ascii="Bookman Old Style" w:hAnsi="Bookman Old Style"/>
          <w:sz w:val="24"/>
          <w:szCs w:val="24"/>
        </w:rPr>
        <w:t xml:space="preserve"> </w:t>
      </w:r>
      <w:r w:rsidR="00B15BAC" w:rsidRPr="00EF0482">
        <w:rPr>
          <w:rFonts w:ascii="Bookman Old Style" w:hAnsi="Bookman Old Style"/>
          <w:sz w:val="24"/>
          <w:szCs w:val="24"/>
        </w:rPr>
        <w:t>maksud</w:t>
      </w:r>
      <w:r w:rsidR="00A954D0">
        <w:rPr>
          <w:rFonts w:ascii="Bookman Old Style" w:hAnsi="Bookman Old Style"/>
          <w:sz w:val="24"/>
          <w:szCs w:val="24"/>
        </w:rPr>
        <w:t xml:space="preserve"> </w:t>
      </w:r>
      <w:r w:rsidR="00B15BAC" w:rsidRPr="00EF0482">
        <w:rPr>
          <w:rFonts w:ascii="Bookman Old Style" w:hAnsi="Bookman Old Style"/>
          <w:sz w:val="24"/>
          <w:szCs w:val="24"/>
        </w:rPr>
        <w:t>butir</w:t>
      </w:r>
      <w:r w:rsidR="00A954D0">
        <w:rPr>
          <w:rFonts w:ascii="Bookman Old Style" w:hAnsi="Bookman Old Style"/>
          <w:sz w:val="24"/>
          <w:szCs w:val="24"/>
        </w:rPr>
        <w:t xml:space="preserve"> </w:t>
      </w:r>
      <w:r w:rsidR="00B15BAC" w:rsidRPr="00EF0482">
        <w:rPr>
          <w:rFonts w:ascii="Bookman Old Style" w:hAnsi="Bookman Old Style"/>
          <w:sz w:val="24"/>
          <w:szCs w:val="24"/>
          <w:lang w:val="en-US"/>
        </w:rPr>
        <w:t>3.4.1.2.1.a</w:t>
      </w:r>
      <w:r w:rsidR="00A954D0">
        <w:rPr>
          <w:rFonts w:ascii="Bookman Old Style" w:hAnsi="Bookman Old Style"/>
          <w:sz w:val="24"/>
          <w:szCs w:val="24"/>
          <w:lang w:val="id-ID"/>
        </w:rPr>
        <w:t xml:space="preserve"> </w:t>
      </w:r>
      <w:r w:rsidR="00B15BAC" w:rsidRPr="00EF0482">
        <w:rPr>
          <w:rFonts w:ascii="Bookman Old Style" w:hAnsi="Bookman Old Style"/>
          <w:sz w:val="24"/>
          <w:szCs w:val="24"/>
          <w:lang w:val="id-ID"/>
        </w:rPr>
        <w:lastRenderedPageBreak/>
        <w:t>Lampiran</w:t>
      </w:r>
      <w:r w:rsidR="00A954D0">
        <w:rPr>
          <w:rFonts w:ascii="Bookman Old Style" w:hAnsi="Bookman Old Style"/>
          <w:sz w:val="24"/>
          <w:szCs w:val="24"/>
          <w:lang w:val="id-ID"/>
        </w:rPr>
        <w:t xml:space="preserve"> </w:t>
      </w:r>
      <w:r w:rsidR="00B15BAC" w:rsidRPr="00EF0482">
        <w:rPr>
          <w:rFonts w:ascii="Bookman Old Style" w:hAnsi="Bookman Old Style"/>
          <w:sz w:val="24"/>
          <w:szCs w:val="24"/>
          <w:lang w:val="id-ID"/>
        </w:rPr>
        <w:t>Peraturan</w:t>
      </w:r>
      <w:r w:rsidR="00A954D0">
        <w:rPr>
          <w:rFonts w:ascii="Bookman Old Style" w:hAnsi="Bookman Old Style"/>
          <w:sz w:val="24"/>
          <w:szCs w:val="24"/>
          <w:lang w:val="id-ID"/>
        </w:rPr>
        <w:t xml:space="preserve"> </w:t>
      </w:r>
      <w:r w:rsidR="00B15BAC" w:rsidRPr="00EF0482">
        <w:rPr>
          <w:rFonts w:ascii="Bookman Old Style" w:hAnsi="Bookman Old Style"/>
          <w:sz w:val="24"/>
          <w:szCs w:val="24"/>
          <w:lang w:val="id-ID"/>
        </w:rPr>
        <w:t>Menteri</w:t>
      </w:r>
      <w:r w:rsidR="00A954D0">
        <w:rPr>
          <w:rFonts w:ascii="Bookman Old Style" w:hAnsi="Bookman Old Style"/>
          <w:sz w:val="24"/>
          <w:szCs w:val="24"/>
          <w:lang w:val="id-ID"/>
        </w:rPr>
        <w:t xml:space="preserve"> </w:t>
      </w:r>
      <w:r w:rsidR="00B15BAC" w:rsidRPr="00EF0482">
        <w:rPr>
          <w:rFonts w:ascii="Bookman Old Style" w:hAnsi="Bookman Old Style"/>
          <w:sz w:val="24"/>
          <w:szCs w:val="24"/>
          <w:lang w:val="id-ID"/>
        </w:rPr>
        <w:t>Dalam</w:t>
      </w:r>
      <w:r w:rsidR="00A954D0">
        <w:rPr>
          <w:rFonts w:ascii="Bookman Old Style" w:hAnsi="Bookman Old Style"/>
          <w:sz w:val="24"/>
          <w:szCs w:val="24"/>
          <w:lang w:val="id-ID"/>
        </w:rPr>
        <w:t xml:space="preserve"> </w:t>
      </w:r>
      <w:r w:rsidR="00B15BAC" w:rsidRPr="00EF0482">
        <w:rPr>
          <w:rFonts w:ascii="Bookman Old Style" w:hAnsi="Bookman Old Style"/>
          <w:sz w:val="24"/>
          <w:szCs w:val="24"/>
          <w:lang w:val="id-ID"/>
        </w:rPr>
        <w:t>Negeri</w:t>
      </w:r>
      <w:r w:rsidR="00A954D0">
        <w:rPr>
          <w:rFonts w:ascii="Bookman Old Style" w:hAnsi="Bookman Old Style"/>
          <w:sz w:val="24"/>
          <w:szCs w:val="24"/>
          <w:lang w:val="id-ID"/>
        </w:rPr>
        <w:t xml:space="preserve"> </w:t>
      </w:r>
      <w:r w:rsidR="00B15BAC" w:rsidRPr="00EF0482">
        <w:rPr>
          <w:rFonts w:ascii="Bookman Old Style" w:hAnsi="Bookman Old Style"/>
          <w:sz w:val="24"/>
          <w:szCs w:val="24"/>
          <w:lang w:val="id-ID"/>
        </w:rPr>
        <w:t>Nomor</w:t>
      </w:r>
      <w:r w:rsidR="00A954D0">
        <w:rPr>
          <w:rFonts w:ascii="Bookman Old Style" w:hAnsi="Bookman Old Style"/>
          <w:sz w:val="24"/>
          <w:szCs w:val="24"/>
          <w:lang w:val="id-ID"/>
        </w:rPr>
        <w:t xml:space="preserve"> </w:t>
      </w:r>
      <w:r w:rsidR="00B15BAC" w:rsidRPr="00EF0482">
        <w:rPr>
          <w:rFonts w:ascii="Bookman Old Style" w:hAnsi="Bookman Old Style"/>
          <w:sz w:val="24"/>
          <w:szCs w:val="24"/>
        </w:rPr>
        <w:t>15</w:t>
      </w:r>
      <w:r w:rsidR="00A954D0">
        <w:rPr>
          <w:rFonts w:ascii="Bookman Old Style" w:hAnsi="Bookman Old Style"/>
          <w:sz w:val="24"/>
          <w:szCs w:val="24"/>
          <w:lang w:val="id-ID"/>
        </w:rPr>
        <w:t xml:space="preserve"> </w:t>
      </w:r>
      <w:r w:rsidR="00B15BAC" w:rsidRPr="00EF0482">
        <w:rPr>
          <w:rFonts w:ascii="Bookman Old Style" w:hAnsi="Bookman Old Style"/>
          <w:sz w:val="24"/>
          <w:szCs w:val="24"/>
          <w:lang w:val="id-ID"/>
        </w:rPr>
        <w:t>Tahun</w:t>
      </w:r>
      <w:r w:rsidR="00A954D0">
        <w:rPr>
          <w:rFonts w:ascii="Bookman Old Style" w:hAnsi="Bookman Old Style"/>
          <w:sz w:val="24"/>
          <w:szCs w:val="24"/>
          <w:lang w:val="id-ID"/>
        </w:rPr>
        <w:t xml:space="preserve"> </w:t>
      </w:r>
      <w:r w:rsidR="00B15BAC" w:rsidRPr="00EF0482">
        <w:rPr>
          <w:rFonts w:ascii="Bookman Old Style" w:hAnsi="Bookman Old Style"/>
          <w:sz w:val="24"/>
          <w:szCs w:val="24"/>
          <w:lang w:val="id-ID"/>
        </w:rPr>
        <w:t>202</w:t>
      </w:r>
      <w:r w:rsidR="00B15BAC" w:rsidRPr="00EF0482">
        <w:rPr>
          <w:rFonts w:ascii="Bookman Old Style" w:hAnsi="Bookman Old Style"/>
          <w:sz w:val="24"/>
          <w:szCs w:val="24"/>
        </w:rPr>
        <w:t>4.</w:t>
      </w:r>
      <w:r w:rsidR="00A954D0">
        <w:rPr>
          <w:rFonts w:ascii="Bookman Old Style" w:hAnsi="Bookman Old Style"/>
          <w:sz w:val="24"/>
          <w:szCs w:val="24"/>
        </w:rPr>
        <w:t xml:space="preserve"> </w:t>
      </w:r>
    </w:p>
    <w:p w14:paraId="4C77AAD1" w14:textId="420E65F3" w:rsidR="00B15BAC" w:rsidRPr="003255BC" w:rsidRDefault="00B15BAC" w:rsidP="008B21D9">
      <w:pPr>
        <w:pStyle w:val="ListParagraph"/>
        <w:numPr>
          <w:ilvl w:val="0"/>
          <w:numId w:val="41"/>
        </w:numPr>
        <w:snapToGrid w:val="0"/>
        <w:spacing w:before="60" w:after="0" w:line="276" w:lineRule="auto"/>
        <w:ind w:left="2694" w:hanging="426"/>
        <w:contextualSpacing w:val="0"/>
        <w:jc w:val="both"/>
        <w:rPr>
          <w:rFonts w:ascii="Bookman Old Style" w:hAnsi="Bookman Old Style"/>
          <w:sz w:val="24"/>
          <w:szCs w:val="24"/>
          <w:lang w:val="sv-FI"/>
        </w:rPr>
      </w:pPr>
      <w:r w:rsidRPr="003255BC">
        <w:rPr>
          <w:rFonts w:ascii="Bookman Old Style" w:hAnsi="Bookman Old Style"/>
          <w:sz w:val="24"/>
          <w:szCs w:val="24"/>
          <w:lang w:val="sv-FI"/>
        </w:rPr>
        <w:t>Selain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itu,</w:t>
      </w:r>
      <w:r w:rsidR="00A954D0" w:rsidRPr="003255BC">
        <w:rPr>
          <w:rFonts w:ascii="Bookman Old Style" w:hAnsi="Bookman Old Style"/>
          <w:sz w:val="24"/>
          <w:szCs w:val="24"/>
          <w:lang w:val="sv-FI"/>
        </w:rPr>
        <w:t xml:space="preserve"> </w:t>
      </w:r>
      <w:r w:rsidRPr="003255BC">
        <w:rPr>
          <w:rFonts w:ascii="Bookman Old Style" w:hAnsi="Bookman Old Style" w:cs="Arial"/>
          <w:sz w:val="24"/>
          <w:szCs w:val="24"/>
          <w:lang w:val="sv-FI"/>
        </w:rPr>
        <w:t>Pemerintah</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Daerah</w:t>
      </w:r>
      <w:r w:rsidR="00A954D0" w:rsidRPr="003255BC">
        <w:rPr>
          <w:rFonts w:ascii="Bookman Old Style" w:hAnsi="Bookman Old Style" w:cs="Arial"/>
          <w:sz w:val="24"/>
          <w:szCs w:val="24"/>
          <w:lang w:val="sv-FI"/>
        </w:rPr>
        <w:t xml:space="preserve"> </w:t>
      </w:r>
      <w:r w:rsidR="00046408" w:rsidRPr="00EF0482">
        <w:rPr>
          <w:rFonts w:ascii="Bookman Old Style" w:hAnsi="Bookman Old Style"/>
          <w:sz w:val="24"/>
          <w:szCs w:val="24"/>
          <w:lang w:val="id-ID"/>
        </w:rPr>
        <w:t>Kota</w:t>
      </w:r>
      <w:r w:rsidR="00A954D0">
        <w:rPr>
          <w:rFonts w:ascii="Bookman Old Style" w:hAnsi="Bookman Old Style"/>
          <w:sz w:val="24"/>
          <w:szCs w:val="24"/>
          <w:lang w:val="id-ID"/>
        </w:rPr>
        <w:t xml:space="preserve"> </w:t>
      </w:r>
      <w:r w:rsidR="00770F22" w:rsidRPr="00EF0482">
        <w:rPr>
          <w:rFonts w:ascii="Bookman Old Style" w:hAnsi="Bookman Old Style"/>
          <w:sz w:val="24"/>
          <w:szCs w:val="24"/>
          <w:lang w:val="id-ID"/>
        </w:rPr>
        <w:t>Tangerang</w:t>
      </w:r>
      <w:r w:rsidR="00A954D0">
        <w:rPr>
          <w:rFonts w:ascii="Bookman Old Style" w:hAnsi="Bookman Old Style"/>
          <w:sz w:val="24"/>
          <w:szCs w:val="24"/>
          <w:lang w:val="id-ID"/>
        </w:rPr>
        <w:t xml:space="preserve"> </w:t>
      </w:r>
      <w:r w:rsidRPr="003255BC">
        <w:rPr>
          <w:rFonts w:ascii="Bookman Old Style" w:hAnsi="Bookman Old Style"/>
          <w:sz w:val="24"/>
          <w:szCs w:val="24"/>
          <w:lang w:val="sv-FI"/>
        </w:rPr>
        <w:t>memperhatikan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jumlah</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alokasi</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belanja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barang</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terbesar</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yang</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antara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lain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tercantum</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dalam</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belanja:</w:t>
      </w:r>
    </w:p>
    <w:p w14:paraId="7AD9AF3B" w14:textId="5D859060" w:rsidR="007150C5" w:rsidRPr="007150C5" w:rsidRDefault="007150C5" w:rsidP="008B21D9">
      <w:pPr>
        <w:pStyle w:val="ListParagraph"/>
        <w:numPr>
          <w:ilvl w:val="0"/>
          <w:numId w:val="132"/>
        </w:numPr>
        <w:spacing w:before="60" w:after="0" w:line="276" w:lineRule="auto"/>
        <w:ind w:left="3246" w:hanging="552"/>
        <w:contextualSpacing w:val="0"/>
        <w:jc w:val="both"/>
        <w:rPr>
          <w:rFonts w:ascii="Bookman Old Style" w:hAnsi="Bookman Old Style" w:cs="Gill Sans Light (Arabid)"/>
          <w:bCs/>
          <w:sz w:val="24"/>
          <w:szCs w:val="24"/>
          <w:lang w:eastAsia="id-ID"/>
        </w:rPr>
      </w:pPr>
      <w:r w:rsidRPr="007150C5">
        <w:rPr>
          <w:rFonts w:ascii="Bookman Old Style" w:hAnsi="Bookman Old Style" w:cs="Gill Sans Light (Arabid)"/>
          <w:bCs/>
          <w:sz w:val="24"/>
          <w:szCs w:val="24"/>
          <w:lang w:eastAsia="id-ID"/>
        </w:rPr>
        <w:t>Belanja</w:t>
      </w:r>
      <w:r w:rsidR="00A954D0">
        <w:rPr>
          <w:rFonts w:ascii="Bookman Old Style" w:hAnsi="Bookman Old Style" w:cs="Gill Sans Light (Arabid)"/>
          <w:bCs/>
          <w:sz w:val="24"/>
          <w:szCs w:val="24"/>
          <w:lang w:eastAsia="id-ID"/>
        </w:rPr>
        <w:t xml:space="preserve"> </w:t>
      </w:r>
      <w:r w:rsidRPr="007150C5">
        <w:rPr>
          <w:rFonts w:ascii="Bookman Old Style" w:hAnsi="Bookman Old Style" w:cs="Gill Sans Light (Arabid)"/>
          <w:bCs/>
          <w:sz w:val="24"/>
          <w:szCs w:val="24"/>
          <w:lang w:eastAsia="id-ID"/>
        </w:rPr>
        <w:t>Bahan-Bahan</w:t>
      </w:r>
      <w:r w:rsidR="00A954D0">
        <w:rPr>
          <w:rFonts w:ascii="Bookman Old Style" w:hAnsi="Bookman Old Style" w:cs="Gill Sans Light (Arabid)"/>
          <w:bCs/>
          <w:sz w:val="24"/>
          <w:szCs w:val="24"/>
          <w:lang w:eastAsia="id-ID"/>
        </w:rPr>
        <w:t xml:space="preserve"> </w:t>
      </w:r>
      <w:r w:rsidRPr="007150C5">
        <w:rPr>
          <w:rFonts w:ascii="Bookman Old Style" w:hAnsi="Bookman Old Style" w:cs="Gill Sans Light (Arabid)"/>
          <w:bCs/>
          <w:sz w:val="24"/>
          <w:szCs w:val="24"/>
          <w:lang w:eastAsia="id-ID"/>
        </w:rPr>
        <w:t>Bangunan</w:t>
      </w:r>
      <w:r w:rsidR="00A954D0">
        <w:rPr>
          <w:rFonts w:ascii="Bookman Old Style" w:hAnsi="Bookman Old Style" w:cs="Gill Sans Light (Arabid)"/>
          <w:bCs/>
          <w:sz w:val="24"/>
          <w:szCs w:val="24"/>
          <w:lang w:eastAsia="id-ID"/>
        </w:rPr>
        <w:t xml:space="preserve"> </w:t>
      </w:r>
      <w:r w:rsidRPr="007150C5">
        <w:rPr>
          <w:rFonts w:ascii="Bookman Old Style" w:hAnsi="Bookman Old Style" w:cs="Gill Sans Light (Arabid)"/>
          <w:bCs/>
          <w:sz w:val="24"/>
          <w:szCs w:val="24"/>
          <w:lang w:eastAsia="id-ID"/>
        </w:rPr>
        <w:t>dan</w:t>
      </w:r>
      <w:r w:rsidR="00A954D0">
        <w:rPr>
          <w:rFonts w:ascii="Bookman Old Style" w:hAnsi="Bookman Old Style" w:cs="Gill Sans Light (Arabid)"/>
          <w:bCs/>
          <w:sz w:val="24"/>
          <w:szCs w:val="24"/>
          <w:lang w:eastAsia="id-ID"/>
        </w:rPr>
        <w:t xml:space="preserve"> </w:t>
      </w:r>
      <w:r w:rsidRPr="007150C5">
        <w:rPr>
          <w:rFonts w:ascii="Bookman Old Style" w:hAnsi="Bookman Old Style" w:cs="Gill Sans Light (Arabid)"/>
          <w:bCs/>
          <w:sz w:val="24"/>
          <w:szCs w:val="24"/>
          <w:lang w:eastAsia="id-ID"/>
        </w:rPr>
        <w:t>Konstruksi</w:t>
      </w:r>
      <w:r w:rsidR="00A954D0">
        <w:rPr>
          <w:rFonts w:ascii="Bookman Old Style" w:hAnsi="Bookman Old Style" w:cs="Gill Sans Light (Arabid)"/>
          <w:bCs/>
          <w:sz w:val="24"/>
          <w:szCs w:val="24"/>
          <w:lang w:eastAsia="id-ID"/>
        </w:rPr>
        <w:t xml:space="preserve"> </w:t>
      </w:r>
      <w:r w:rsidRPr="007150C5">
        <w:rPr>
          <w:rFonts w:ascii="Bookman Old Style" w:hAnsi="Bookman Old Style" w:cs="Gill Sans Light (Arabid)"/>
          <w:bCs/>
          <w:sz w:val="24"/>
          <w:szCs w:val="24"/>
          <w:lang w:eastAsia="id-ID"/>
        </w:rPr>
        <w:t>Rp36.752.708.010,00</w:t>
      </w:r>
      <w:r w:rsidRPr="00EF0482">
        <w:rPr>
          <w:rFonts w:ascii="Bookman Old Style" w:hAnsi="Bookman Old Style" w:cs="Gill Sans Light (Arabid)"/>
          <w:bCs/>
          <w:sz w:val="24"/>
          <w:szCs w:val="24"/>
          <w:lang w:eastAsia="id-ID"/>
        </w:rPr>
        <w:t>,</w:t>
      </w:r>
      <w:r w:rsidR="00A954D0">
        <w:rPr>
          <w:rFonts w:ascii="Bookman Old Style" w:hAnsi="Bookman Old Style" w:cs="Gill Sans Light (Arabid)"/>
          <w:bCs/>
          <w:sz w:val="24"/>
          <w:szCs w:val="24"/>
          <w:lang w:eastAsia="id-ID"/>
        </w:rPr>
        <w:t xml:space="preserve"> </w:t>
      </w:r>
      <w:r w:rsidRPr="003255BC">
        <w:rPr>
          <w:rFonts w:ascii="Bookman Old Style" w:hAnsi="Bookman Old Style" w:cs="Arial"/>
          <w:sz w:val="24"/>
          <w:szCs w:val="24"/>
          <w:lang w:val="sv-FI"/>
        </w:rPr>
        <w:t>yang</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antara</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lain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diuraikan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pada:</w:t>
      </w:r>
    </w:p>
    <w:p w14:paraId="3DF8A9B4" w14:textId="4C79C6C0" w:rsidR="007150C5" w:rsidRDefault="007150C5">
      <w:pPr>
        <w:pStyle w:val="ListParagraph"/>
        <w:numPr>
          <w:ilvl w:val="0"/>
          <w:numId w:val="133"/>
        </w:numPr>
        <w:spacing w:before="60" w:after="0" w:line="276" w:lineRule="auto"/>
        <w:ind w:left="3672" w:hanging="426"/>
        <w:contextualSpacing w:val="0"/>
        <w:jc w:val="both"/>
        <w:rPr>
          <w:rFonts w:ascii="Bookman Old Style" w:hAnsi="Bookman Old Style" w:cs="Gill Sans Light (Arabid)"/>
          <w:bCs/>
          <w:sz w:val="24"/>
          <w:szCs w:val="24"/>
          <w:lang w:eastAsia="id-ID"/>
        </w:rPr>
      </w:pPr>
      <w:r w:rsidRPr="00256727">
        <w:rPr>
          <w:rFonts w:ascii="Bookman Old Style" w:hAnsi="Bookman Old Style"/>
          <w:sz w:val="24"/>
          <w:szCs w:val="24"/>
          <w:lang w:val="sv-FI"/>
        </w:rPr>
        <w:t>Dinas</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Pekerjaan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Umum</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dan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Penataan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Ruang</w:t>
      </w:r>
      <w:r w:rsidR="00A954D0">
        <w:rPr>
          <w:rFonts w:ascii="Bookman Old Style" w:hAnsi="Bookman Old Style" w:cs="Gill Sans Light (Arabid)"/>
          <w:bCs/>
          <w:sz w:val="24"/>
          <w:szCs w:val="24"/>
          <w:lang w:eastAsia="id-ID"/>
        </w:rPr>
        <w:t xml:space="preserve"> </w:t>
      </w:r>
      <w:r w:rsidRPr="007150C5">
        <w:rPr>
          <w:rFonts w:ascii="Bookman Old Style" w:hAnsi="Bookman Old Style" w:cs="Gill Sans Light (Arabid)"/>
          <w:bCs/>
          <w:sz w:val="24"/>
          <w:szCs w:val="24"/>
          <w:lang w:eastAsia="id-ID"/>
        </w:rPr>
        <w:t>Rp33.026.179.005,00</w:t>
      </w:r>
      <w:r w:rsidR="00A954D0">
        <w:rPr>
          <w:rFonts w:ascii="Bookman Old Style" w:hAnsi="Bookman Old Style" w:cs="Gill Sans Light (Arabid)"/>
          <w:bCs/>
          <w:sz w:val="24"/>
          <w:szCs w:val="24"/>
          <w:lang w:eastAsia="id-ID"/>
        </w:rPr>
        <w:t xml:space="preserve"> </w:t>
      </w:r>
      <w:r w:rsidRPr="007150C5">
        <w:rPr>
          <w:rFonts w:ascii="Bookman Old Style" w:hAnsi="Bookman Old Style" w:cs="Gill Sans Light (Arabid)"/>
          <w:bCs/>
          <w:sz w:val="24"/>
          <w:szCs w:val="24"/>
          <w:lang w:eastAsia="id-ID"/>
        </w:rPr>
        <w:t>atau</w:t>
      </w:r>
      <w:r w:rsidR="00A954D0">
        <w:rPr>
          <w:rFonts w:ascii="Bookman Old Style" w:hAnsi="Bookman Old Style" w:cs="Gill Sans Light (Arabid)"/>
          <w:bCs/>
          <w:sz w:val="24"/>
          <w:szCs w:val="24"/>
          <w:lang w:eastAsia="id-ID"/>
        </w:rPr>
        <w:t xml:space="preserve"> </w:t>
      </w:r>
      <w:r w:rsidRPr="007150C5">
        <w:rPr>
          <w:rFonts w:ascii="Bookman Old Style" w:hAnsi="Bookman Old Style" w:cs="Gill Sans Light (Arabid)"/>
          <w:bCs/>
          <w:sz w:val="24"/>
          <w:szCs w:val="24"/>
          <w:lang w:eastAsia="id-ID"/>
        </w:rPr>
        <w:t>89,86%</w:t>
      </w:r>
      <w:r w:rsidR="00A954D0">
        <w:rPr>
          <w:rFonts w:ascii="Bookman Old Style" w:hAnsi="Bookman Old Style" w:cs="Gill Sans Light (Arabid)"/>
          <w:bCs/>
          <w:sz w:val="24"/>
          <w:szCs w:val="24"/>
          <w:lang w:eastAsia="id-ID"/>
        </w:rPr>
        <w:t xml:space="preserve"> </w:t>
      </w:r>
      <w:r>
        <w:rPr>
          <w:rFonts w:ascii="Bookman Old Style" w:hAnsi="Bookman Old Style" w:cs="Gill Sans Light (Arabid)"/>
          <w:bCs/>
          <w:sz w:val="24"/>
          <w:szCs w:val="24"/>
          <w:lang w:eastAsia="id-ID"/>
        </w:rPr>
        <w:t>dari</w:t>
      </w:r>
      <w:r w:rsidR="00A954D0">
        <w:rPr>
          <w:rFonts w:ascii="Bookman Old Style" w:hAnsi="Bookman Old Style" w:cs="Gill Sans Light (Arabid)"/>
          <w:bCs/>
          <w:sz w:val="24"/>
          <w:szCs w:val="24"/>
          <w:lang w:eastAsia="id-ID"/>
        </w:rPr>
        <w:t xml:space="preserve"> </w:t>
      </w:r>
      <w:r>
        <w:rPr>
          <w:rFonts w:ascii="Bookman Old Style" w:hAnsi="Bookman Old Style" w:cs="Gill Sans Light (Arabid)"/>
          <w:bCs/>
          <w:sz w:val="24"/>
          <w:szCs w:val="24"/>
          <w:lang w:eastAsia="id-ID"/>
        </w:rPr>
        <w:t>total</w:t>
      </w:r>
      <w:r w:rsidR="00A954D0">
        <w:rPr>
          <w:rFonts w:ascii="Bookman Old Style" w:hAnsi="Bookman Old Style" w:cs="Gill Sans Light (Arabid)"/>
          <w:bCs/>
          <w:sz w:val="24"/>
          <w:szCs w:val="24"/>
          <w:lang w:eastAsia="id-ID"/>
        </w:rPr>
        <w:t xml:space="preserve"> </w:t>
      </w:r>
      <w:r w:rsidRPr="007150C5">
        <w:rPr>
          <w:rFonts w:ascii="Bookman Old Style" w:hAnsi="Bookman Old Style" w:cs="Gill Sans Light (Arabid)"/>
          <w:bCs/>
          <w:sz w:val="24"/>
          <w:szCs w:val="24"/>
          <w:lang w:eastAsia="id-ID"/>
        </w:rPr>
        <w:t>Belanja</w:t>
      </w:r>
      <w:r w:rsidR="00A954D0">
        <w:rPr>
          <w:rFonts w:ascii="Bookman Old Style" w:hAnsi="Bookman Old Style" w:cs="Gill Sans Light (Arabid)"/>
          <w:bCs/>
          <w:sz w:val="24"/>
          <w:szCs w:val="24"/>
          <w:lang w:eastAsia="id-ID"/>
        </w:rPr>
        <w:t xml:space="preserve"> </w:t>
      </w:r>
      <w:r w:rsidRPr="007150C5">
        <w:rPr>
          <w:rFonts w:ascii="Bookman Old Style" w:hAnsi="Bookman Old Style" w:cs="Gill Sans Light (Arabid)"/>
          <w:bCs/>
          <w:sz w:val="24"/>
          <w:szCs w:val="24"/>
          <w:lang w:eastAsia="id-ID"/>
        </w:rPr>
        <w:t>Bahan-Bahan</w:t>
      </w:r>
      <w:r w:rsidR="00A954D0">
        <w:rPr>
          <w:rFonts w:ascii="Bookman Old Style" w:hAnsi="Bookman Old Style" w:cs="Gill Sans Light (Arabid)"/>
          <w:bCs/>
          <w:sz w:val="24"/>
          <w:szCs w:val="24"/>
          <w:lang w:eastAsia="id-ID"/>
        </w:rPr>
        <w:t xml:space="preserve"> </w:t>
      </w:r>
      <w:r w:rsidRPr="007150C5">
        <w:rPr>
          <w:rFonts w:ascii="Bookman Old Style" w:hAnsi="Bookman Old Style" w:cs="Gill Sans Light (Arabid)"/>
          <w:bCs/>
          <w:sz w:val="24"/>
          <w:szCs w:val="24"/>
          <w:lang w:eastAsia="id-ID"/>
        </w:rPr>
        <w:t>Bangunan</w:t>
      </w:r>
      <w:r w:rsidR="00A954D0">
        <w:rPr>
          <w:rFonts w:ascii="Bookman Old Style" w:hAnsi="Bookman Old Style" w:cs="Gill Sans Light (Arabid)"/>
          <w:bCs/>
          <w:sz w:val="24"/>
          <w:szCs w:val="24"/>
          <w:lang w:eastAsia="id-ID"/>
        </w:rPr>
        <w:t xml:space="preserve"> </w:t>
      </w:r>
      <w:r w:rsidRPr="007150C5">
        <w:rPr>
          <w:rFonts w:ascii="Bookman Old Style" w:hAnsi="Bookman Old Style" w:cs="Gill Sans Light (Arabid)"/>
          <w:bCs/>
          <w:sz w:val="24"/>
          <w:szCs w:val="24"/>
          <w:lang w:eastAsia="id-ID"/>
        </w:rPr>
        <w:t>dan</w:t>
      </w:r>
      <w:r w:rsidR="00A954D0">
        <w:rPr>
          <w:rFonts w:ascii="Bookman Old Style" w:hAnsi="Bookman Old Style" w:cs="Gill Sans Light (Arabid)"/>
          <w:bCs/>
          <w:sz w:val="24"/>
          <w:szCs w:val="24"/>
          <w:lang w:eastAsia="id-ID"/>
        </w:rPr>
        <w:t xml:space="preserve"> </w:t>
      </w:r>
      <w:r w:rsidRPr="007150C5">
        <w:rPr>
          <w:rFonts w:ascii="Bookman Old Style" w:hAnsi="Bookman Old Style" w:cs="Gill Sans Light (Arabid)"/>
          <w:bCs/>
          <w:sz w:val="24"/>
          <w:szCs w:val="24"/>
          <w:lang w:eastAsia="id-ID"/>
        </w:rPr>
        <w:t>Konstruksi</w:t>
      </w:r>
      <w:r w:rsidR="00D31CE7">
        <w:rPr>
          <w:rFonts w:ascii="Bookman Old Style" w:hAnsi="Bookman Old Style" w:cs="Gill Sans Light (Arabid)"/>
          <w:bCs/>
          <w:sz w:val="24"/>
          <w:szCs w:val="24"/>
          <w:lang w:eastAsia="id-ID"/>
        </w:rPr>
        <w:t>;</w:t>
      </w:r>
    </w:p>
    <w:p w14:paraId="300233EC" w14:textId="2A245589" w:rsidR="007150C5" w:rsidRDefault="007150C5">
      <w:pPr>
        <w:pStyle w:val="ListParagraph"/>
        <w:numPr>
          <w:ilvl w:val="0"/>
          <w:numId w:val="133"/>
        </w:numPr>
        <w:spacing w:before="60" w:after="0" w:line="276" w:lineRule="auto"/>
        <w:ind w:left="3672" w:hanging="426"/>
        <w:contextualSpacing w:val="0"/>
        <w:jc w:val="both"/>
        <w:rPr>
          <w:rFonts w:ascii="Bookman Old Style" w:hAnsi="Bookman Old Style" w:cs="Gill Sans Light (Arabid)"/>
          <w:bCs/>
          <w:sz w:val="24"/>
          <w:szCs w:val="24"/>
          <w:lang w:eastAsia="id-ID"/>
        </w:rPr>
      </w:pPr>
      <w:r>
        <w:rPr>
          <w:rFonts w:ascii="Bookman Old Style" w:hAnsi="Bookman Old Style" w:cs="Gill Sans Light (Arabid)"/>
          <w:bCs/>
          <w:sz w:val="24"/>
          <w:szCs w:val="24"/>
          <w:lang w:eastAsia="id-ID"/>
        </w:rPr>
        <w:t>D</w:t>
      </w:r>
      <w:r w:rsidR="00D31CE7">
        <w:rPr>
          <w:rFonts w:ascii="Bookman Old Style" w:hAnsi="Bookman Old Style" w:cs="Gill Sans Light (Arabid)"/>
          <w:bCs/>
          <w:sz w:val="24"/>
          <w:szCs w:val="24"/>
          <w:lang w:eastAsia="id-ID"/>
        </w:rPr>
        <w:t>inas</w:t>
      </w:r>
      <w:r w:rsidR="00A954D0">
        <w:rPr>
          <w:rFonts w:ascii="Bookman Old Style" w:hAnsi="Bookman Old Style" w:cs="Gill Sans Light (Arabid)"/>
          <w:bCs/>
          <w:sz w:val="24"/>
          <w:szCs w:val="24"/>
          <w:lang w:eastAsia="id-ID"/>
        </w:rPr>
        <w:t xml:space="preserve"> </w:t>
      </w:r>
      <w:r w:rsidR="00D31CE7">
        <w:rPr>
          <w:rFonts w:ascii="Bookman Old Style" w:hAnsi="Bookman Old Style" w:cs="Gill Sans Light (Arabid)"/>
          <w:bCs/>
          <w:sz w:val="24"/>
          <w:szCs w:val="24"/>
          <w:lang w:eastAsia="id-ID"/>
        </w:rPr>
        <w:t>Kepemudaan</w:t>
      </w:r>
      <w:r w:rsidR="00A954D0">
        <w:rPr>
          <w:rFonts w:ascii="Bookman Old Style" w:hAnsi="Bookman Old Style" w:cs="Gill Sans Light (Arabid)"/>
          <w:bCs/>
          <w:sz w:val="24"/>
          <w:szCs w:val="24"/>
          <w:lang w:eastAsia="id-ID"/>
        </w:rPr>
        <w:t xml:space="preserve"> </w:t>
      </w:r>
      <w:r w:rsidR="00D31CE7">
        <w:rPr>
          <w:rFonts w:ascii="Bookman Old Style" w:hAnsi="Bookman Old Style" w:cs="Gill Sans Light (Arabid)"/>
          <w:bCs/>
          <w:sz w:val="24"/>
          <w:szCs w:val="24"/>
          <w:lang w:eastAsia="id-ID"/>
        </w:rPr>
        <w:t>dan</w:t>
      </w:r>
      <w:r w:rsidR="00A954D0">
        <w:rPr>
          <w:rFonts w:ascii="Bookman Old Style" w:hAnsi="Bookman Old Style" w:cs="Gill Sans Light (Arabid)"/>
          <w:bCs/>
          <w:sz w:val="24"/>
          <w:szCs w:val="24"/>
          <w:lang w:eastAsia="id-ID"/>
        </w:rPr>
        <w:t xml:space="preserve"> </w:t>
      </w:r>
      <w:r w:rsidR="00D31CE7">
        <w:rPr>
          <w:rFonts w:ascii="Bookman Old Style" w:hAnsi="Bookman Old Style" w:cs="Gill Sans Light (Arabid)"/>
          <w:bCs/>
          <w:sz w:val="24"/>
          <w:szCs w:val="24"/>
          <w:lang w:eastAsia="id-ID"/>
        </w:rPr>
        <w:t>Olahraga</w:t>
      </w:r>
      <w:r w:rsidR="00A954D0">
        <w:t xml:space="preserve"> </w:t>
      </w:r>
      <w:r w:rsidR="00D31CE7" w:rsidRPr="00D31CE7">
        <w:rPr>
          <w:rFonts w:ascii="Bookman Old Style" w:hAnsi="Bookman Old Style" w:cs="Gill Sans Light (Arabid)"/>
          <w:bCs/>
          <w:sz w:val="24"/>
          <w:szCs w:val="24"/>
          <w:lang w:eastAsia="id-ID"/>
        </w:rPr>
        <w:t>Rp1.380.199.700,00</w:t>
      </w:r>
      <w:r w:rsidR="00A954D0">
        <w:rPr>
          <w:rFonts w:ascii="Bookman Old Style" w:hAnsi="Bookman Old Style" w:cs="Gill Sans Light (Arabid)"/>
          <w:bCs/>
          <w:sz w:val="24"/>
          <w:szCs w:val="24"/>
          <w:lang w:eastAsia="id-ID"/>
        </w:rPr>
        <w:t xml:space="preserve"> </w:t>
      </w:r>
      <w:r w:rsidR="00D31CE7" w:rsidRPr="00D31CE7">
        <w:rPr>
          <w:rFonts w:ascii="Bookman Old Style" w:hAnsi="Bookman Old Style" w:cs="Gill Sans Light (Arabid)"/>
          <w:bCs/>
          <w:sz w:val="24"/>
          <w:szCs w:val="24"/>
          <w:lang w:eastAsia="id-ID"/>
        </w:rPr>
        <w:t>atau</w:t>
      </w:r>
      <w:r w:rsidR="00A954D0">
        <w:rPr>
          <w:rFonts w:ascii="Bookman Old Style" w:hAnsi="Bookman Old Style" w:cs="Gill Sans Light (Arabid)"/>
          <w:bCs/>
          <w:sz w:val="24"/>
          <w:szCs w:val="24"/>
          <w:lang w:eastAsia="id-ID"/>
        </w:rPr>
        <w:t xml:space="preserve"> </w:t>
      </w:r>
      <w:r w:rsidR="00D31CE7" w:rsidRPr="00D31CE7">
        <w:rPr>
          <w:rFonts w:ascii="Bookman Old Style" w:hAnsi="Bookman Old Style" w:cs="Gill Sans Light (Arabid)"/>
          <w:bCs/>
          <w:sz w:val="24"/>
          <w:szCs w:val="24"/>
          <w:lang w:eastAsia="id-ID"/>
        </w:rPr>
        <w:t>3,76%</w:t>
      </w:r>
      <w:r w:rsidR="00A954D0">
        <w:rPr>
          <w:rFonts w:ascii="Bookman Old Style" w:hAnsi="Bookman Old Style" w:cs="Gill Sans Light (Arabid)"/>
          <w:bCs/>
          <w:sz w:val="24"/>
          <w:szCs w:val="24"/>
          <w:lang w:eastAsia="id-ID"/>
        </w:rPr>
        <w:t xml:space="preserve"> </w:t>
      </w:r>
      <w:r w:rsidR="00D31CE7">
        <w:rPr>
          <w:rFonts w:ascii="Bookman Old Style" w:hAnsi="Bookman Old Style" w:cs="Gill Sans Light (Arabid)"/>
          <w:bCs/>
          <w:sz w:val="24"/>
          <w:szCs w:val="24"/>
          <w:lang w:eastAsia="id-ID"/>
        </w:rPr>
        <w:t>dari</w:t>
      </w:r>
      <w:r w:rsidR="00A954D0">
        <w:rPr>
          <w:rFonts w:ascii="Bookman Old Style" w:hAnsi="Bookman Old Style" w:cs="Gill Sans Light (Arabid)"/>
          <w:bCs/>
          <w:sz w:val="24"/>
          <w:szCs w:val="24"/>
          <w:lang w:eastAsia="id-ID"/>
        </w:rPr>
        <w:t xml:space="preserve"> </w:t>
      </w:r>
      <w:r w:rsidR="00D31CE7">
        <w:rPr>
          <w:rFonts w:ascii="Bookman Old Style" w:hAnsi="Bookman Old Style" w:cs="Gill Sans Light (Arabid)"/>
          <w:bCs/>
          <w:sz w:val="24"/>
          <w:szCs w:val="24"/>
          <w:lang w:eastAsia="id-ID"/>
        </w:rPr>
        <w:t>total</w:t>
      </w:r>
      <w:r w:rsidR="00A954D0">
        <w:rPr>
          <w:rFonts w:ascii="Bookman Old Style" w:hAnsi="Bookman Old Style" w:cs="Gill Sans Light (Arabid)"/>
          <w:bCs/>
          <w:sz w:val="24"/>
          <w:szCs w:val="24"/>
          <w:lang w:eastAsia="id-ID"/>
        </w:rPr>
        <w:t xml:space="preserve"> </w:t>
      </w:r>
      <w:r w:rsidR="00D31CE7" w:rsidRPr="007150C5">
        <w:rPr>
          <w:rFonts w:ascii="Bookman Old Style" w:hAnsi="Bookman Old Style" w:cs="Gill Sans Light (Arabid)"/>
          <w:bCs/>
          <w:sz w:val="24"/>
          <w:szCs w:val="24"/>
          <w:lang w:eastAsia="id-ID"/>
        </w:rPr>
        <w:t>Belanja</w:t>
      </w:r>
      <w:r w:rsidR="00A954D0">
        <w:rPr>
          <w:rFonts w:ascii="Bookman Old Style" w:hAnsi="Bookman Old Style" w:cs="Gill Sans Light (Arabid)"/>
          <w:bCs/>
          <w:sz w:val="24"/>
          <w:szCs w:val="24"/>
          <w:lang w:eastAsia="id-ID"/>
        </w:rPr>
        <w:t xml:space="preserve"> </w:t>
      </w:r>
      <w:r w:rsidR="00D31CE7" w:rsidRPr="007150C5">
        <w:rPr>
          <w:rFonts w:ascii="Bookman Old Style" w:hAnsi="Bookman Old Style" w:cs="Gill Sans Light (Arabid)"/>
          <w:bCs/>
          <w:sz w:val="24"/>
          <w:szCs w:val="24"/>
          <w:lang w:eastAsia="id-ID"/>
        </w:rPr>
        <w:t>Bahan-Bahan</w:t>
      </w:r>
      <w:r w:rsidR="00A954D0">
        <w:rPr>
          <w:rFonts w:ascii="Bookman Old Style" w:hAnsi="Bookman Old Style" w:cs="Gill Sans Light (Arabid)"/>
          <w:bCs/>
          <w:sz w:val="24"/>
          <w:szCs w:val="24"/>
          <w:lang w:eastAsia="id-ID"/>
        </w:rPr>
        <w:t xml:space="preserve"> </w:t>
      </w:r>
      <w:r w:rsidR="00D31CE7" w:rsidRPr="007150C5">
        <w:rPr>
          <w:rFonts w:ascii="Bookman Old Style" w:hAnsi="Bookman Old Style" w:cs="Gill Sans Light (Arabid)"/>
          <w:bCs/>
          <w:sz w:val="24"/>
          <w:szCs w:val="24"/>
          <w:lang w:eastAsia="id-ID"/>
        </w:rPr>
        <w:t>Bangunan</w:t>
      </w:r>
      <w:r w:rsidR="00A954D0">
        <w:rPr>
          <w:rFonts w:ascii="Bookman Old Style" w:hAnsi="Bookman Old Style" w:cs="Gill Sans Light (Arabid)"/>
          <w:bCs/>
          <w:sz w:val="24"/>
          <w:szCs w:val="24"/>
          <w:lang w:eastAsia="id-ID"/>
        </w:rPr>
        <w:t xml:space="preserve"> </w:t>
      </w:r>
      <w:r w:rsidR="00D31CE7" w:rsidRPr="007150C5">
        <w:rPr>
          <w:rFonts w:ascii="Bookman Old Style" w:hAnsi="Bookman Old Style" w:cs="Gill Sans Light (Arabid)"/>
          <w:bCs/>
          <w:sz w:val="24"/>
          <w:szCs w:val="24"/>
          <w:lang w:eastAsia="id-ID"/>
        </w:rPr>
        <w:t>dan</w:t>
      </w:r>
      <w:r w:rsidR="00A954D0">
        <w:rPr>
          <w:rFonts w:ascii="Bookman Old Style" w:hAnsi="Bookman Old Style" w:cs="Gill Sans Light (Arabid)"/>
          <w:bCs/>
          <w:sz w:val="24"/>
          <w:szCs w:val="24"/>
          <w:lang w:eastAsia="id-ID"/>
        </w:rPr>
        <w:t xml:space="preserve"> </w:t>
      </w:r>
      <w:r w:rsidR="00D31CE7" w:rsidRPr="007150C5">
        <w:rPr>
          <w:rFonts w:ascii="Bookman Old Style" w:hAnsi="Bookman Old Style" w:cs="Gill Sans Light (Arabid)"/>
          <w:bCs/>
          <w:sz w:val="24"/>
          <w:szCs w:val="24"/>
          <w:lang w:eastAsia="id-ID"/>
        </w:rPr>
        <w:t>Konstruksi</w:t>
      </w:r>
      <w:r w:rsidR="008B21D9" w:rsidRPr="008B21D9">
        <w:rPr>
          <w:rFonts w:ascii="Bookman Old Style" w:hAnsi="Bookman Old Style" w:cs="Gill Sans Light (Arabid)"/>
          <w:bCs/>
          <w:sz w:val="24"/>
          <w:szCs w:val="24"/>
          <w:lang w:val="sv-FI" w:eastAsia="id-ID"/>
        </w:rPr>
        <w:t>.</w:t>
      </w:r>
    </w:p>
    <w:p w14:paraId="25E0F7A8" w14:textId="67378A6B" w:rsidR="00B15BAC" w:rsidRPr="00EF0482" w:rsidRDefault="00DE3208" w:rsidP="008B21D9">
      <w:pPr>
        <w:pStyle w:val="ListParagraph"/>
        <w:numPr>
          <w:ilvl w:val="0"/>
          <w:numId w:val="132"/>
        </w:numPr>
        <w:spacing w:before="60" w:after="0" w:line="276" w:lineRule="auto"/>
        <w:ind w:left="3246" w:hanging="552"/>
        <w:contextualSpacing w:val="0"/>
        <w:jc w:val="both"/>
        <w:rPr>
          <w:rFonts w:ascii="Bookman Old Style" w:hAnsi="Bookman Old Style" w:cs="Gill Sans Light (Arabid)"/>
          <w:bCs/>
          <w:sz w:val="24"/>
          <w:szCs w:val="24"/>
          <w:lang w:eastAsia="id-ID"/>
        </w:rPr>
      </w:pPr>
      <w:r w:rsidRPr="00EF0482">
        <w:rPr>
          <w:rFonts w:ascii="Bookman Old Style" w:hAnsi="Bookman Old Style" w:cs="Gill Sans Light (Arabid)"/>
          <w:bCs/>
          <w:sz w:val="24"/>
          <w:szCs w:val="24"/>
          <w:lang w:eastAsia="id-ID"/>
        </w:rPr>
        <w:t>Belanja</w:t>
      </w:r>
      <w:r w:rsidR="00A954D0">
        <w:rPr>
          <w:rFonts w:ascii="Bookman Old Style" w:hAnsi="Bookman Old Style" w:cs="Gill Sans Light (Arabid)"/>
          <w:bCs/>
          <w:sz w:val="24"/>
          <w:szCs w:val="24"/>
          <w:lang w:eastAsia="id-ID"/>
        </w:rPr>
        <w:t xml:space="preserve"> </w:t>
      </w:r>
      <w:r w:rsidRPr="00EF0482">
        <w:rPr>
          <w:rFonts w:ascii="Bookman Old Style" w:hAnsi="Bookman Old Style" w:cs="Gill Sans Light (Arabid)"/>
          <w:bCs/>
          <w:sz w:val="24"/>
          <w:szCs w:val="24"/>
          <w:lang w:eastAsia="id-ID"/>
        </w:rPr>
        <w:t>Bahan-Bahan</w:t>
      </w:r>
      <w:r w:rsidR="00A954D0">
        <w:rPr>
          <w:rFonts w:ascii="Bookman Old Style" w:hAnsi="Bookman Old Style" w:cs="Gill Sans Light (Arabid)"/>
          <w:bCs/>
          <w:sz w:val="24"/>
          <w:szCs w:val="24"/>
          <w:lang w:eastAsia="id-ID"/>
        </w:rPr>
        <w:t xml:space="preserve"> </w:t>
      </w:r>
      <w:r w:rsidRPr="00EF0482">
        <w:rPr>
          <w:rFonts w:ascii="Bookman Old Style" w:hAnsi="Bookman Old Style" w:cs="Gill Sans Light (Arabid)"/>
          <w:bCs/>
          <w:sz w:val="24"/>
          <w:szCs w:val="24"/>
          <w:lang w:eastAsia="id-ID"/>
        </w:rPr>
        <w:t>Bakar</w:t>
      </w:r>
      <w:r w:rsidR="00A954D0">
        <w:rPr>
          <w:rFonts w:ascii="Bookman Old Style" w:hAnsi="Bookman Old Style" w:cs="Gill Sans Light (Arabid)"/>
          <w:bCs/>
          <w:sz w:val="24"/>
          <w:szCs w:val="24"/>
          <w:lang w:eastAsia="id-ID"/>
        </w:rPr>
        <w:t xml:space="preserve"> </w:t>
      </w:r>
      <w:r w:rsidRPr="00EF0482">
        <w:rPr>
          <w:rFonts w:ascii="Bookman Old Style" w:hAnsi="Bookman Old Style" w:cs="Gill Sans Light (Arabid)"/>
          <w:bCs/>
          <w:sz w:val="24"/>
          <w:szCs w:val="24"/>
          <w:lang w:eastAsia="id-ID"/>
        </w:rPr>
        <w:t>dan</w:t>
      </w:r>
      <w:r w:rsidR="00A954D0">
        <w:rPr>
          <w:rFonts w:ascii="Bookman Old Style" w:hAnsi="Bookman Old Style" w:cs="Gill Sans Light (Arabid)"/>
          <w:bCs/>
          <w:sz w:val="24"/>
          <w:szCs w:val="24"/>
          <w:lang w:eastAsia="id-ID"/>
        </w:rPr>
        <w:t xml:space="preserve"> </w:t>
      </w:r>
      <w:r w:rsidRPr="00EF0482">
        <w:rPr>
          <w:rFonts w:ascii="Bookman Old Style" w:hAnsi="Bookman Old Style" w:cs="Gill Sans Light (Arabid)"/>
          <w:bCs/>
          <w:sz w:val="24"/>
          <w:szCs w:val="24"/>
          <w:lang w:eastAsia="id-ID"/>
        </w:rPr>
        <w:t>Pelumas</w:t>
      </w:r>
      <w:r w:rsidR="00A954D0">
        <w:rPr>
          <w:rFonts w:ascii="Bookman Old Style" w:hAnsi="Bookman Old Style" w:cs="Gill Sans Light (Arabid)"/>
          <w:bCs/>
          <w:sz w:val="24"/>
          <w:szCs w:val="24"/>
          <w:lang w:eastAsia="id-ID"/>
        </w:rPr>
        <w:t xml:space="preserve"> </w:t>
      </w:r>
      <w:r w:rsidRPr="00EF0482">
        <w:rPr>
          <w:rFonts w:ascii="Bookman Old Style" w:hAnsi="Bookman Old Style" w:cs="Gill Sans Light (Arabid)"/>
          <w:bCs/>
          <w:sz w:val="24"/>
          <w:szCs w:val="24"/>
          <w:lang w:eastAsia="id-ID"/>
        </w:rPr>
        <w:t>Rp78.830.176.305,00</w:t>
      </w:r>
      <w:r w:rsidR="002D75FB" w:rsidRPr="00EF0482">
        <w:rPr>
          <w:rFonts w:ascii="Bookman Old Style" w:hAnsi="Bookman Old Style" w:cs="Gill Sans Light (Arabid)"/>
          <w:bCs/>
          <w:sz w:val="24"/>
          <w:szCs w:val="24"/>
          <w:lang w:eastAsia="id-ID"/>
        </w:rPr>
        <w:t>,</w:t>
      </w:r>
      <w:r w:rsidR="00A954D0">
        <w:rPr>
          <w:rFonts w:ascii="Bookman Old Style" w:hAnsi="Bookman Old Style" w:cs="Gill Sans Light (Arabid)"/>
          <w:bCs/>
          <w:sz w:val="24"/>
          <w:szCs w:val="24"/>
          <w:lang w:eastAsia="id-ID"/>
        </w:rPr>
        <w:t xml:space="preserve"> </w:t>
      </w:r>
      <w:r w:rsidR="00B15BAC" w:rsidRPr="003255BC">
        <w:rPr>
          <w:rFonts w:ascii="Bookman Old Style" w:hAnsi="Bookman Old Style" w:cs="Arial"/>
          <w:sz w:val="24"/>
          <w:szCs w:val="24"/>
          <w:lang w:val="sv-FI"/>
        </w:rPr>
        <w:t>yang</w:t>
      </w:r>
      <w:r w:rsidR="00A954D0" w:rsidRPr="003255BC">
        <w:rPr>
          <w:rFonts w:ascii="Bookman Old Style" w:hAnsi="Bookman Old Style" w:cs="Arial"/>
          <w:sz w:val="24"/>
          <w:szCs w:val="24"/>
          <w:lang w:val="sv-FI"/>
        </w:rPr>
        <w:t xml:space="preserve"> </w:t>
      </w:r>
      <w:r w:rsidR="00B15BAC" w:rsidRPr="003255BC">
        <w:rPr>
          <w:rFonts w:ascii="Bookman Old Style" w:hAnsi="Bookman Old Style" w:cs="Arial"/>
          <w:sz w:val="24"/>
          <w:szCs w:val="24"/>
          <w:lang w:val="sv-FI"/>
        </w:rPr>
        <w:t>antara</w:t>
      </w:r>
      <w:r w:rsidR="00A954D0" w:rsidRPr="003255BC">
        <w:rPr>
          <w:rFonts w:ascii="Bookman Old Style" w:hAnsi="Bookman Old Style" w:cs="Arial"/>
          <w:sz w:val="24"/>
          <w:szCs w:val="24"/>
          <w:lang w:val="sv-FI"/>
        </w:rPr>
        <w:t xml:space="preserve"> </w:t>
      </w:r>
      <w:r w:rsidR="00B15BAC" w:rsidRPr="003255BC">
        <w:rPr>
          <w:rFonts w:ascii="Bookman Old Style" w:hAnsi="Bookman Old Style" w:cs="Arial"/>
          <w:sz w:val="24"/>
          <w:szCs w:val="24"/>
          <w:lang w:val="sv-FI"/>
        </w:rPr>
        <w:t>lain</w:t>
      </w:r>
      <w:r w:rsidR="00A954D0" w:rsidRPr="003255BC">
        <w:rPr>
          <w:rFonts w:ascii="Bookman Old Style" w:hAnsi="Bookman Old Style" w:cs="Arial"/>
          <w:sz w:val="24"/>
          <w:szCs w:val="24"/>
          <w:lang w:val="sv-FI"/>
        </w:rPr>
        <w:t xml:space="preserve"> </w:t>
      </w:r>
      <w:r w:rsidR="00B15BAC" w:rsidRPr="003255BC">
        <w:rPr>
          <w:rFonts w:ascii="Bookman Old Style" w:hAnsi="Bookman Old Style" w:cs="Arial"/>
          <w:sz w:val="24"/>
          <w:szCs w:val="24"/>
          <w:lang w:val="sv-FI"/>
        </w:rPr>
        <w:t>diuraikan</w:t>
      </w:r>
      <w:r w:rsidR="00A954D0" w:rsidRPr="003255BC">
        <w:rPr>
          <w:rFonts w:ascii="Bookman Old Style" w:hAnsi="Bookman Old Style" w:cs="Arial"/>
          <w:sz w:val="24"/>
          <w:szCs w:val="24"/>
          <w:lang w:val="sv-FI"/>
        </w:rPr>
        <w:t xml:space="preserve"> </w:t>
      </w:r>
      <w:r w:rsidR="00B15BAC" w:rsidRPr="003255BC">
        <w:rPr>
          <w:rFonts w:ascii="Bookman Old Style" w:hAnsi="Bookman Old Style" w:cs="Arial"/>
          <w:sz w:val="24"/>
          <w:szCs w:val="24"/>
          <w:lang w:val="sv-FI"/>
        </w:rPr>
        <w:t>pada:</w:t>
      </w:r>
    </w:p>
    <w:p w14:paraId="4289B8CE" w14:textId="20F8AEEB" w:rsidR="00B15BAC" w:rsidRPr="00DE5065" w:rsidRDefault="002D75FB">
      <w:pPr>
        <w:pStyle w:val="ListParagraph"/>
        <w:numPr>
          <w:ilvl w:val="0"/>
          <w:numId w:val="258"/>
        </w:numPr>
        <w:spacing w:before="60" w:after="0" w:line="276" w:lineRule="auto"/>
        <w:ind w:left="3672" w:hanging="426"/>
        <w:contextualSpacing w:val="0"/>
        <w:jc w:val="both"/>
        <w:rPr>
          <w:rFonts w:ascii="Bookman Old Style" w:hAnsi="Bookman Old Style"/>
          <w:sz w:val="24"/>
          <w:szCs w:val="24"/>
        </w:rPr>
      </w:pPr>
      <w:r w:rsidRPr="00256727">
        <w:rPr>
          <w:rFonts w:ascii="Bookman Old Style" w:hAnsi="Bookman Old Style"/>
          <w:sz w:val="24"/>
          <w:szCs w:val="24"/>
          <w:lang w:val="sv-FI"/>
        </w:rPr>
        <w:t>Dinas</w:t>
      </w:r>
      <w:r w:rsidR="00A954D0" w:rsidRPr="00256727">
        <w:rPr>
          <w:rFonts w:ascii="Bookman Old Style" w:hAnsi="Bookman Old Style"/>
          <w:sz w:val="24"/>
          <w:szCs w:val="24"/>
          <w:lang w:val="sv-FI"/>
        </w:rPr>
        <w:t xml:space="preserve"> </w:t>
      </w:r>
      <w:r w:rsidR="00CC49D8" w:rsidRPr="00256727">
        <w:rPr>
          <w:rFonts w:ascii="Bookman Old Style" w:hAnsi="Bookman Old Style"/>
          <w:sz w:val="24"/>
          <w:szCs w:val="24"/>
          <w:lang w:val="sv-FI"/>
        </w:rPr>
        <w:t>Lingkungan</w:t>
      </w:r>
      <w:r w:rsidR="00A954D0" w:rsidRPr="00256727">
        <w:rPr>
          <w:rFonts w:ascii="Bookman Old Style" w:hAnsi="Bookman Old Style"/>
          <w:sz w:val="24"/>
          <w:szCs w:val="24"/>
          <w:lang w:val="sv-FI"/>
        </w:rPr>
        <w:t xml:space="preserve"> </w:t>
      </w:r>
      <w:r w:rsidR="00CC49D8" w:rsidRPr="00256727">
        <w:rPr>
          <w:rFonts w:ascii="Bookman Old Style" w:hAnsi="Bookman Old Style"/>
          <w:sz w:val="24"/>
          <w:szCs w:val="24"/>
          <w:lang w:val="sv-FI"/>
        </w:rPr>
        <w:t>Hidup</w:t>
      </w:r>
      <w:r w:rsidR="00A954D0" w:rsidRPr="00256727">
        <w:rPr>
          <w:rFonts w:ascii="Bookman Old Style" w:hAnsi="Bookman Old Style"/>
          <w:sz w:val="24"/>
          <w:szCs w:val="24"/>
          <w:lang w:val="sv-FI"/>
        </w:rPr>
        <w:t xml:space="preserve"> </w:t>
      </w:r>
      <w:r w:rsidR="00561267" w:rsidRPr="00256727">
        <w:rPr>
          <w:rFonts w:ascii="Bookman Old Style" w:hAnsi="Bookman Old Style"/>
          <w:sz w:val="24"/>
          <w:szCs w:val="24"/>
          <w:lang w:val="sv-FI"/>
        </w:rPr>
        <w:t>Rp32.101.960.976,00</w:t>
      </w:r>
      <w:r w:rsidR="00A954D0" w:rsidRPr="00256727">
        <w:rPr>
          <w:rFonts w:ascii="Bookman Old Style" w:hAnsi="Bookman Old Style"/>
          <w:sz w:val="24"/>
          <w:szCs w:val="24"/>
          <w:lang w:val="sv-FI"/>
        </w:rPr>
        <w:t xml:space="preserve"> </w:t>
      </w:r>
      <w:r w:rsidR="00561267" w:rsidRPr="00256727">
        <w:rPr>
          <w:rFonts w:ascii="Bookman Old Style" w:hAnsi="Bookman Old Style"/>
          <w:sz w:val="24"/>
          <w:szCs w:val="24"/>
          <w:lang w:val="sv-FI"/>
        </w:rPr>
        <w:t>atau</w:t>
      </w:r>
      <w:r w:rsidR="00A954D0" w:rsidRPr="00256727">
        <w:rPr>
          <w:rFonts w:ascii="Bookman Old Style" w:hAnsi="Bookman Old Style"/>
          <w:sz w:val="24"/>
          <w:szCs w:val="24"/>
          <w:lang w:val="sv-FI"/>
        </w:rPr>
        <w:t xml:space="preserve"> </w:t>
      </w:r>
      <w:r w:rsidR="00561267" w:rsidRPr="00256727">
        <w:rPr>
          <w:rFonts w:ascii="Bookman Old Style" w:hAnsi="Bookman Old Style"/>
          <w:sz w:val="24"/>
          <w:szCs w:val="24"/>
          <w:lang w:val="sv-FI"/>
        </w:rPr>
        <w:t>40,72%</w:t>
      </w:r>
      <w:r w:rsidR="00A954D0">
        <w:rPr>
          <w:rFonts w:ascii="Bookman Old Style" w:hAnsi="Bookman Old Style"/>
          <w:sz w:val="24"/>
          <w:szCs w:val="24"/>
        </w:rPr>
        <w:t xml:space="preserve"> </w:t>
      </w:r>
      <w:r w:rsidR="00B15BAC" w:rsidRPr="00D67F6C">
        <w:rPr>
          <w:rFonts w:ascii="Bookman Old Style" w:hAnsi="Bookman Old Style"/>
          <w:sz w:val="24"/>
          <w:szCs w:val="24"/>
        </w:rPr>
        <w:t>dari</w:t>
      </w:r>
      <w:r w:rsidR="00A954D0">
        <w:rPr>
          <w:rFonts w:ascii="Bookman Old Style" w:hAnsi="Bookman Old Style"/>
          <w:sz w:val="24"/>
          <w:szCs w:val="24"/>
        </w:rPr>
        <w:t xml:space="preserve"> </w:t>
      </w:r>
      <w:r w:rsidR="00B15BAC" w:rsidRPr="00D67F6C">
        <w:rPr>
          <w:rFonts w:ascii="Bookman Old Style" w:hAnsi="Bookman Old Style"/>
          <w:sz w:val="24"/>
          <w:szCs w:val="24"/>
        </w:rPr>
        <w:t>total</w:t>
      </w:r>
      <w:r w:rsidR="00A954D0">
        <w:rPr>
          <w:rFonts w:ascii="Bookman Old Style" w:hAnsi="Bookman Old Style"/>
          <w:sz w:val="24"/>
          <w:szCs w:val="24"/>
        </w:rPr>
        <w:t xml:space="preserve"> </w:t>
      </w:r>
      <w:r w:rsidR="00270E88" w:rsidRPr="00D67F6C">
        <w:rPr>
          <w:rFonts w:ascii="Bookman Old Style" w:hAnsi="Bookman Old Style" w:cs="Gill Sans Light (Arabid)"/>
          <w:bCs/>
          <w:sz w:val="24"/>
          <w:szCs w:val="24"/>
          <w:lang w:eastAsia="id-ID"/>
        </w:rPr>
        <w:t>Belanja</w:t>
      </w:r>
      <w:r w:rsidR="00A954D0">
        <w:rPr>
          <w:rFonts w:ascii="Bookman Old Style" w:hAnsi="Bookman Old Style" w:cs="Gill Sans Light (Arabid)"/>
          <w:bCs/>
          <w:sz w:val="24"/>
          <w:szCs w:val="24"/>
          <w:lang w:eastAsia="id-ID"/>
        </w:rPr>
        <w:t xml:space="preserve"> </w:t>
      </w:r>
      <w:r w:rsidR="00270E88" w:rsidRPr="00DE5065">
        <w:rPr>
          <w:rFonts w:ascii="Bookman Old Style" w:hAnsi="Bookman Old Style" w:cs="Gill Sans Light (Arabid)"/>
          <w:bCs/>
          <w:sz w:val="24"/>
          <w:szCs w:val="24"/>
          <w:lang w:eastAsia="id-ID"/>
        </w:rPr>
        <w:t>Bahan-Bahan</w:t>
      </w:r>
      <w:r w:rsidR="00A954D0">
        <w:rPr>
          <w:rFonts w:ascii="Bookman Old Style" w:hAnsi="Bookman Old Style" w:cs="Gill Sans Light (Arabid)"/>
          <w:bCs/>
          <w:sz w:val="24"/>
          <w:szCs w:val="24"/>
          <w:lang w:eastAsia="id-ID"/>
        </w:rPr>
        <w:t xml:space="preserve"> </w:t>
      </w:r>
      <w:r w:rsidR="00270E88" w:rsidRPr="00DE5065">
        <w:rPr>
          <w:rFonts w:ascii="Bookman Old Style" w:hAnsi="Bookman Old Style" w:cs="Gill Sans Light (Arabid)"/>
          <w:bCs/>
          <w:sz w:val="24"/>
          <w:szCs w:val="24"/>
          <w:lang w:eastAsia="id-ID"/>
        </w:rPr>
        <w:t>Bakar</w:t>
      </w:r>
      <w:r w:rsidR="00A954D0">
        <w:rPr>
          <w:rFonts w:ascii="Bookman Old Style" w:hAnsi="Bookman Old Style" w:cs="Gill Sans Light (Arabid)"/>
          <w:bCs/>
          <w:sz w:val="24"/>
          <w:szCs w:val="24"/>
          <w:lang w:eastAsia="id-ID"/>
        </w:rPr>
        <w:t xml:space="preserve"> </w:t>
      </w:r>
      <w:r w:rsidR="00270E88" w:rsidRPr="00DE5065">
        <w:rPr>
          <w:rFonts w:ascii="Bookman Old Style" w:hAnsi="Bookman Old Style" w:cs="Gill Sans Light (Arabid)"/>
          <w:bCs/>
          <w:sz w:val="24"/>
          <w:szCs w:val="24"/>
          <w:lang w:eastAsia="id-ID"/>
        </w:rPr>
        <w:t>dan</w:t>
      </w:r>
      <w:r w:rsidR="00A954D0">
        <w:rPr>
          <w:rFonts w:ascii="Bookman Old Style" w:hAnsi="Bookman Old Style" w:cs="Gill Sans Light (Arabid)"/>
          <w:bCs/>
          <w:sz w:val="24"/>
          <w:szCs w:val="24"/>
          <w:lang w:eastAsia="id-ID"/>
        </w:rPr>
        <w:t xml:space="preserve"> </w:t>
      </w:r>
      <w:r w:rsidR="00270E88" w:rsidRPr="00DE5065">
        <w:rPr>
          <w:rFonts w:ascii="Bookman Old Style" w:hAnsi="Bookman Old Style" w:cs="Gill Sans Light (Arabid)"/>
          <w:bCs/>
          <w:sz w:val="24"/>
          <w:szCs w:val="24"/>
          <w:lang w:eastAsia="id-ID"/>
        </w:rPr>
        <w:t>Pelumas</w:t>
      </w:r>
      <w:r w:rsidR="00B15BAC" w:rsidRPr="00256727">
        <w:rPr>
          <w:rFonts w:ascii="Bookman Old Style" w:hAnsi="Bookman Old Style"/>
          <w:sz w:val="24"/>
          <w:szCs w:val="24"/>
          <w:lang w:val="sv-FI"/>
        </w:rPr>
        <w:t>;</w:t>
      </w:r>
    </w:p>
    <w:p w14:paraId="38838955" w14:textId="563D4076" w:rsidR="00B15BAC" w:rsidRPr="00256727" w:rsidRDefault="00D67F6C">
      <w:pPr>
        <w:pStyle w:val="ListParagraph"/>
        <w:numPr>
          <w:ilvl w:val="0"/>
          <w:numId w:val="258"/>
        </w:numPr>
        <w:spacing w:before="60" w:after="0" w:line="276" w:lineRule="auto"/>
        <w:ind w:left="3672" w:hanging="426"/>
        <w:contextualSpacing w:val="0"/>
        <w:jc w:val="both"/>
        <w:rPr>
          <w:rFonts w:ascii="Bookman Old Style" w:hAnsi="Bookman Old Style"/>
          <w:sz w:val="24"/>
          <w:szCs w:val="24"/>
          <w:lang w:val="sv-FI"/>
        </w:rPr>
      </w:pPr>
      <w:r w:rsidRPr="00256727">
        <w:rPr>
          <w:rFonts w:ascii="Bookman Old Style" w:hAnsi="Bookman Old Style"/>
          <w:sz w:val="24"/>
          <w:szCs w:val="24"/>
          <w:lang w:val="sv-FI"/>
        </w:rPr>
        <w:t>Dinas</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Pekerjaan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Umum</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dan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Penataan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Ruang</w:t>
      </w:r>
      <w:r w:rsidR="00A954D0" w:rsidRPr="00256727">
        <w:rPr>
          <w:rFonts w:ascii="Bookman Old Style" w:hAnsi="Bookman Old Style"/>
          <w:sz w:val="24"/>
          <w:szCs w:val="24"/>
          <w:lang w:val="sv-FI"/>
        </w:rPr>
        <w:t xml:space="preserve"> </w:t>
      </w:r>
      <w:r w:rsidR="00EF0482" w:rsidRPr="00256727">
        <w:rPr>
          <w:rFonts w:ascii="Bookman Old Style" w:hAnsi="Bookman Old Style"/>
          <w:sz w:val="24"/>
          <w:szCs w:val="24"/>
          <w:lang w:val="sv-FI"/>
        </w:rPr>
        <w:t>Rp13.050.456.931,00</w:t>
      </w:r>
      <w:r w:rsidR="00A954D0" w:rsidRPr="00256727">
        <w:rPr>
          <w:rFonts w:ascii="Bookman Old Style" w:hAnsi="Bookman Old Style"/>
          <w:sz w:val="24"/>
          <w:szCs w:val="24"/>
          <w:lang w:val="sv-FI"/>
        </w:rPr>
        <w:t xml:space="preserve"> </w:t>
      </w:r>
      <w:r w:rsidR="00EF0482" w:rsidRPr="00256727">
        <w:rPr>
          <w:rFonts w:ascii="Bookman Old Style" w:hAnsi="Bookman Old Style"/>
          <w:sz w:val="24"/>
          <w:szCs w:val="24"/>
          <w:lang w:val="sv-FI"/>
        </w:rPr>
        <w:t>atau</w:t>
      </w:r>
      <w:r w:rsidR="00A954D0" w:rsidRPr="00256727">
        <w:rPr>
          <w:rFonts w:ascii="Bookman Old Style" w:hAnsi="Bookman Old Style"/>
          <w:sz w:val="24"/>
          <w:szCs w:val="24"/>
          <w:lang w:val="sv-FI"/>
        </w:rPr>
        <w:t xml:space="preserve"> </w:t>
      </w:r>
      <w:r w:rsidR="00EF0482" w:rsidRPr="00256727">
        <w:rPr>
          <w:rFonts w:ascii="Bookman Old Style" w:hAnsi="Bookman Old Style"/>
          <w:sz w:val="24"/>
          <w:szCs w:val="24"/>
          <w:lang w:val="sv-FI"/>
        </w:rPr>
        <w:t>16,56%</w:t>
      </w:r>
      <w:r w:rsidR="00A954D0">
        <w:rPr>
          <w:rFonts w:ascii="Bookman Old Style" w:hAnsi="Bookman Old Style"/>
          <w:sz w:val="24"/>
          <w:szCs w:val="24"/>
        </w:rPr>
        <w:t xml:space="preserve"> </w:t>
      </w:r>
      <w:r w:rsidR="00B15BAC" w:rsidRPr="00256727">
        <w:rPr>
          <w:rFonts w:ascii="Bookman Old Style" w:hAnsi="Bookman Old Style"/>
          <w:sz w:val="24"/>
          <w:szCs w:val="24"/>
          <w:lang w:val="sv-FI"/>
        </w:rPr>
        <w:t>dari</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total</w:t>
      </w:r>
      <w:r w:rsidR="00A954D0" w:rsidRPr="00256727">
        <w:rPr>
          <w:rFonts w:ascii="Bookman Old Style" w:hAnsi="Bookman Old Style"/>
          <w:sz w:val="24"/>
          <w:szCs w:val="24"/>
          <w:lang w:val="sv-FI"/>
        </w:rPr>
        <w:t xml:space="preserve"> </w:t>
      </w:r>
      <w:r w:rsidR="00270E88" w:rsidRPr="00DE5065">
        <w:rPr>
          <w:rFonts w:ascii="Bookman Old Style" w:hAnsi="Bookman Old Style" w:cs="Gill Sans Light (Arabid)"/>
          <w:bCs/>
          <w:sz w:val="24"/>
          <w:szCs w:val="24"/>
          <w:lang w:eastAsia="id-ID"/>
        </w:rPr>
        <w:t>Belanja</w:t>
      </w:r>
      <w:r w:rsidR="00A954D0">
        <w:rPr>
          <w:rFonts w:ascii="Bookman Old Style" w:hAnsi="Bookman Old Style" w:cs="Gill Sans Light (Arabid)"/>
          <w:bCs/>
          <w:sz w:val="24"/>
          <w:szCs w:val="24"/>
          <w:lang w:eastAsia="id-ID"/>
        </w:rPr>
        <w:t xml:space="preserve"> </w:t>
      </w:r>
      <w:r w:rsidR="00270E88" w:rsidRPr="00DE5065">
        <w:rPr>
          <w:rFonts w:ascii="Bookman Old Style" w:hAnsi="Bookman Old Style" w:cs="Gill Sans Light (Arabid)"/>
          <w:bCs/>
          <w:sz w:val="24"/>
          <w:szCs w:val="24"/>
          <w:lang w:eastAsia="id-ID"/>
        </w:rPr>
        <w:t>Bahan-Bahan</w:t>
      </w:r>
      <w:r w:rsidR="00A954D0">
        <w:rPr>
          <w:rFonts w:ascii="Bookman Old Style" w:hAnsi="Bookman Old Style" w:cs="Gill Sans Light (Arabid)"/>
          <w:bCs/>
          <w:sz w:val="24"/>
          <w:szCs w:val="24"/>
          <w:lang w:eastAsia="id-ID"/>
        </w:rPr>
        <w:t xml:space="preserve"> </w:t>
      </w:r>
      <w:r w:rsidR="00270E88" w:rsidRPr="00DE5065">
        <w:rPr>
          <w:rFonts w:ascii="Bookman Old Style" w:hAnsi="Bookman Old Style" w:cs="Gill Sans Light (Arabid)"/>
          <w:bCs/>
          <w:sz w:val="24"/>
          <w:szCs w:val="24"/>
          <w:lang w:eastAsia="id-ID"/>
        </w:rPr>
        <w:t>Bakar</w:t>
      </w:r>
      <w:r w:rsidR="00A954D0">
        <w:rPr>
          <w:rFonts w:ascii="Bookman Old Style" w:hAnsi="Bookman Old Style" w:cs="Gill Sans Light (Arabid)"/>
          <w:bCs/>
          <w:sz w:val="24"/>
          <w:szCs w:val="24"/>
          <w:lang w:eastAsia="id-ID"/>
        </w:rPr>
        <w:t xml:space="preserve"> </w:t>
      </w:r>
      <w:r w:rsidR="00270E88" w:rsidRPr="00DE5065">
        <w:rPr>
          <w:rFonts w:ascii="Bookman Old Style" w:hAnsi="Bookman Old Style" w:cs="Gill Sans Light (Arabid)"/>
          <w:bCs/>
          <w:sz w:val="24"/>
          <w:szCs w:val="24"/>
          <w:lang w:eastAsia="id-ID"/>
        </w:rPr>
        <w:t>dan</w:t>
      </w:r>
      <w:r w:rsidR="00A954D0">
        <w:rPr>
          <w:rFonts w:ascii="Bookman Old Style" w:hAnsi="Bookman Old Style" w:cs="Gill Sans Light (Arabid)"/>
          <w:bCs/>
          <w:sz w:val="24"/>
          <w:szCs w:val="24"/>
          <w:lang w:eastAsia="id-ID"/>
        </w:rPr>
        <w:t xml:space="preserve"> </w:t>
      </w:r>
      <w:r w:rsidR="00270E88" w:rsidRPr="00DE5065">
        <w:rPr>
          <w:rFonts w:ascii="Bookman Old Style" w:hAnsi="Bookman Old Style" w:cs="Gill Sans Light (Arabid)"/>
          <w:bCs/>
          <w:sz w:val="24"/>
          <w:szCs w:val="24"/>
          <w:lang w:eastAsia="id-ID"/>
        </w:rPr>
        <w:t>Pelumas</w:t>
      </w:r>
      <w:r w:rsidR="00B15BAC" w:rsidRPr="00256727">
        <w:rPr>
          <w:rFonts w:ascii="Bookman Old Style" w:hAnsi="Bookman Old Style"/>
          <w:sz w:val="24"/>
          <w:szCs w:val="24"/>
          <w:lang w:val="sv-FI"/>
        </w:rPr>
        <w:t>;</w:t>
      </w:r>
    </w:p>
    <w:p w14:paraId="29385B32" w14:textId="31838D09" w:rsidR="00B15BAC" w:rsidRPr="006E5335" w:rsidRDefault="00956DEE">
      <w:pPr>
        <w:pStyle w:val="ListParagraph"/>
        <w:numPr>
          <w:ilvl w:val="0"/>
          <w:numId w:val="258"/>
        </w:numPr>
        <w:spacing w:before="60" w:after="0" w:line="276" w:lineRule="auto"/>
        <w:ind w:left="3672" w:hanging="426"/>
        <w:contextualSpacing w:val="0"/>
        <w:jc w:val="both"/>
        <w:rPr>
          <w:rFonts w:ascii="Bookman Old Style" w:hAnsi="Bookman Old Style"/>
          <w:sz w:val="24"/>
          <w:szCs w:val="24"/>
        </w:rPr>
      </w:pPr>
      <w:r w:rsidRPr="00256727">
        <w:rPr>
          <w:rFonts w:ascii="Bookman Old Style" w:hAnsi="Bookman Old Style"/>
          <w:sz w:val="24"/>
          <w:szCs w:val="24"/>
          <w:lang w:val="sv-FI"/>
        </w:rPr>
        <w:t>Dinas</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Per</w:t>
      </w:r>
      <w:r w:rsidR="00DE5065" w:rsidRPr="00256727">
        <w:rPr>
          <w:rFonts w:ascii="Bookman Old Style" w:hAnsi="Bookman Old Style"/>
          <w:sz w:val="24"/>
          <w:szCs w:val="24"/>
          <w:lang w:val="sv-FI"/>
        </w:rPr>
        <w:t>hubungan</w:t>
      </w:r>
      <w:r w:rsidR="00A954D0" w:rsidRPr="00256727">
        <w:rPr>
          <w:rFonts w:ascii="Bookman Old Style" w:hAnsi="Bookman Old Style"/>
          <w:sz w:val="24"/>
          <w:szCs w:val="24"/>
          <w:lang w:val="sv-FI"/>
        </w:rPr>
        <w:t xml:space="preserve"> </w:t>
      </w:r>
      <w:r w:rsidR="00C10D88" w:rsidRPr="00256727">
        <w:rPr>
          <w:rFonts w:ascii="Bookman Old Style" w:hAnsi="Bookman Old Style"/>
          <w:sz w:val="24"/>
          <w:szCs w:val="24"/>
          <w:lang w:val="sv-FI"/>
        </w:rPr>
        <w:t>Rp4.660.012.400,00</w:t>
      </w:r>
      <w:r w:rsidR="00A954D0" w:rsidRPr="00256727">
        <w:rPr>
          <w:rFonts w:ascii="Bookman Old Style" w:hAnsi="Bookman Old Style"/>
          <w:sz w:val="24"/>
          <w:szCs w:val="24"/>
          <w:lang w:val="sv-FI"/>
        </w:rPr>
        <w:t xml:space="preserve"> </w:t>
      </w:r>
      <w:r w:rsidR="00C10D88" w:rsidRPr="00256727">
        <w:rPr>
          <w:rFonts w:ascii="Bookman Old Style" w:hAnsi="Bookman Old Style"/>
          <w:sz w:val="24"/>
          <w:szCs w:val="24"/>
          <w:lang w:val="sv-FI"/>
        </w:rPr>
        <w:t>atau</w:t>
      </w:r>
      <w:r w:rsidR="00A954D0" w:rsidRPr="00256727">
        <w:rPr>
          <w:rFonts w:ascii="Bookman Old Style" w:hAnsi="Bookman Old Style"/>
          <w:sz w:val="24"/>
          <w:szCs w:val="24"/>
          <w:lang w:val="sv-FI"/>
        </w:rPr>
        <w:t xml:space="preserve"> </w:t>
      </w:r>
      <w:r w:rsidR="00C10D88" w:rsidRPr="00256727">
        <w:rPr>
          <w:rFonts w:ascii="Bookman Old Style" w:hAnsi="Bookman Old Style"/>
          <w:sz w:val="24"/>
          <w:szCs w:val="24"/>
          <w:lang w:val="sv-FI"/>
        </w:rPr>
        <w:t>5,91%</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dari</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total</w:t>
      </w:r>
      <w:r w:rsidR="00A954D0" w:rsidRPr="00256727">
        <w:rPr>
          <w:rFonts w:ascii="Bookman Old Style" w:hAnsi="Bookman Old Style"/>
          <w:sz w:val="24"/>
          <w:szCs w:val="24"/>
          <w:lang w:val="sv-FI"/>
        </w:rPr>
        <w:t xml:space="preserve"> </w:t>
      </w:r>
      <w:r w:rsidR="00270E88" w:rsidRPr="006E5335">
        <w:rPr>
          <w:rFonts w:ascii="Bookman Old Style" w:hAnsi="Bookman Old Style" w:cs="Gill Sans Light (Arabid)"/>
          <w:bCs/>
          <w:sz w:val="24"/>
          <w:szCs w:val="24"/>
          <w:lang w:eastAsia="id-ID"/>
        </w:rPr>
        <w:t>Belanja</w:t>
      </w:r>
      <w:r w:rsidR="00A954D0">
        <w:rPr>
          <w:rFonts w:ascii="Bookman Old Style" w:hAnsi="Bookman Old Style" w:cs="Gill Sans Light (Arabid)"/>
          <w:bCs/>
          <w:sz w:val="24"/>
          <w:szCs w:val="24"/>
          <w:lang w:eastAsia="id-ID"/>
        </w:rPr>
        <w:t xml:space="preserve"> </w:t>
      </w:r>
      <w:r w:rsidR="00270E88" w:rsidRPr="006E5335">
        <w:rPr>
          <w:rFonts w:ascii="Bookman Old Style" w:hAnsi="Bookman Old Style" w:cs="Gill Sans Light (Arabid)"/>
          <w:bCs/>
          <w:sz w:val="24"/>
          <w:szCs w:val="24"/>
          <w:lang w:eastAsia="id-ID"/>
        </w:rPr>
        <w:t>Bahan-Bahan</w:t>
      </w:r>
      <w:r w:rsidR="00A954D0">
        <w:rPr>
          <w:rFonts w:ascii="Bookman Old Style" w:hAnsi="Bookman Old Style" w:cs="Gill Sans Light (Arabid)"/>
          <w:bCs/>
          <w:sz w:val="24"/>
          <w:szCs w:val="24"/>
          <w:lang w:eastAsia="id-ID"/>
        </w:rPr>
        <w:t xml:space="preserve"> </w:t>
      </w:r>
      <w:r w:rsidR="00270E88" w:rsidRPr="006E5335">
        <w:rPr>
          <w:rFonts w:ascii="Bookman Old Style" w:hAnsi="Bookman Old Style" w:cs="Gill Sans Light (Arabid)"/>
          <w:bCs/>
          <w:sz w:val="24"/>
          <w:szCs w:val="24"/>
          <w:lang w:eastAsia="id-ID"/>
        </w:rPr>
        <w:t>Bakar</w:t>
      </w:r>
      <w:r w:rsidR="00A954D0">
        <w:rPr>
          <w:rFonts w:ascii="Bookman Old Style" w:hAnsi="Bookman Old Style" w:cs="Gill Sans Light (Arabid)"/>
          <w:bCs/>
          <w:sz w:val="24"/>
          <w:szCs w:val="24"/>
          <w:lang w:eastAsia="id-ID"/>
        </w:rPr>
        <w:t xml:space="preserve"> </w:t>
      </w:r>
      <w:r w:rsidR="00270E88" w:rsidRPr="006E5335">
        <w:rPr>
          <w:rFonts w:ascii="Bookman Old Style" w:hAnsi="Bookman Old Style" w:cs="Gill Sans Light (Arabid)"/>
          <w:bCs/>
          <w:sz w:val="24"/>
          <w:szCs w:val="24"/>
          <w:lang w:eastAsia="id-ID"/>
        </w:rPr>
        <w:t>dan</w:t>
      </w:r>
      <w:r w:rsidR="00A954D0">
        <w:rPr>
          <w:rFonts w:ascii="Bookman Old Style" w:hAnsi="Bookman Old Style" w:cs="Gill Sans Light (Arabid)"/>
          <w:bCs/>
          <w:sz w:val="24"/>
          <w:szCs w:val="24"/>
          <w:lang w:eastAsia="id-ID"/>
        </w:rPr>
        <w:t xml:space="preserve"> </w:t>
      </w:r>
      <w:r w:rsidR="00270E88" w:rsidRPr="006E5335">
        <w:rPr>
          <w:rFonts w:ascii="Bookman Old Style" w:hAnsi="Bookman Old Style" w:cs="Gill Sans Light (Arabid)"/>
          <w:bCs/>
          <w:sz w:val="24"/>
          <w:szCs w:val="24"/>
          <w:lang w:eastAsia="id-ID"/>
        </w:rPr>
        <w:t>Pelumas</w:t>
      </w:r>
      <w:r w:rsidR="008B21D9">
        <w:rPr>
          <w:rFonts w:ascii="Bookman Old Style" w:hAnsi="Bookman Old Style"/>
          <w:sz w:val="24"/>
          <w:szCs w:val="24"/>
          <w:lang w:val="sv-FI"/>
        </w:rPr>
        <w:t>.</w:t>
      </w:r>
    </w:p>
    <w:p w14:paraId="720F546B" w14:textId="67FB2BA7" w:rsidR="00B15BAC" w:rsidRPr="00FF4F11" w:rsidRDefault="00DE5065" w:rsidP="008B21D9">
      <w:pPr>
        <w:pStyle w:val="ListParagraph"/>
        <w:numPr>
          <w:ilvl w:val="0"/>
          <w:numId w:val="132"/>
        </w:numPr>
        <w:spacing w:before="60" w:after="0" w:line="276" w:lineRule="auto"/>
        <w:ind w:left="3246" w:hanging="552"/>
        <w:contextualSpacing w:val="0"/>
        <w:jc w:val="both"/>
        <w:rPr>
          <w:rFonts w:ascii="Bookman Old Style" w:hAnsi="Bookman Old Style" w:cs="Gill Sans Light (Arabid)"/>
          <w:bCs/>
          <w:sz w:val="24"/>
          <w:szCs w:val="24"/>
          <w:lang w:eastAsia="id-ID"/>
        </w:rPr>
      </w:pPr>
      <w:r w:rsidRPr="00FF4F11">
        <w:rPr>
          <w:rFonts w:ascii="Bookman Old Style" w:hAnsi="Bookman Old Style" w:cs="Gill Sans Light (Arabid)"/>
          <w:bCs/>
          <w:sz w:val="24"/>
          <w:szCs w:val="24"/>
          <w:lang w:eastAsia="id-ID"/>
        </w:rPr>
        <w:t>Belanja</w:t>
      </w:r>
      <w:r w:rsidR="00A954D0">
        <w:rPr>
          <w:rFonts w:ascii="Bookman Old Style" w:hAnsi="Bookman Old Style" w:cs="Gill Sans Light (Arabid)"/>
          <w:bCs/>
          <w:sz w:val="24"/>
          <w:szCs w:val="24"/>
          <w:lang w:eastAsia="id-ID"/>
        </w:rPr>
        <w:t xml:space="preserve"> </w:t>
      </w:r>
      <w:r w:rsidRPr="00FF4F11">
        <w:rPr>
          <w:rFonts w:ascii="Bookman Old Style" w:hAnsi="Bookman Old Style" w:cs="Gill Sans Light (Arabid)"/>
          <w:bCs/>
          <w:sz w:val="24"/>
          <w:szCs w:val="24"/>
          <w:lang w:eastAsia="id-ID"/>
        </w:rPr>
        <w:t>Alat/Bahan</w:t>
      </w:r>
      <w:r w:rsidR="00A954D0">
        <w:rPr>
          <w:rFonts w:ascii="Bookman Old Style" w:hAnsi="Bookman Old Style" w:cs="Gill Sans Light (Arabid)"/>
          <w:bCs/>
          <w:sz w:val="24"/>
          <w:szCs w:val="24"/>
          <w:lang w:eastAsia="id-ID"/>
        </w:rPr>
        <w:t xml:space="preserve"> </w:t>
      </w:r>
      <w:r w:rsidRPr="00FF4F11">
        <w:rPr>
          <w:rFonts w:ascii="Bookman Old Style" w:hAnsi="Bookman Old Style" w:cs="Gill Sans Light (Arabid)"/>
          <w:bCs/>
          <w:sz w:val="24"/>
          <w:szCs w:val="24"/>
          <w:lang w:eastAsia="id-ID"/>
        </w:rPr>
        <w:t>untuk</w:t>
      </w:r>
      <w:r w:rsidR="00A954D0">
        <w:rPr>
          <w:rFonts w:ascii="Bookman Old Style" w:hAnsi="Bookman Old Style" w:cs="Gill Sans Light (Arabid)"/>
          <w:bCs/>
          <w:sz w:val="24"/>
          <w:szCs w:val="24"/>
          <w:lang w:eastAsia="id-ID"/>
        </w:rPr>
        <w:t xml:space="preserve"> </w:t>
      </w:r>
      <w:r w:rsidRPr="00FF4F11">
        <w:rPr>
          <w:rFonts w:ascii="Bookman Old Style" w:hAnsi="Bookman Old Style" w:cs="Gill Sans Light (Arabid)"/>
          <w:bCs/>
          <w:sz w:val="24"/>
          <w:szCs w:val="24"/>
          <w:lang w:eastAsia="id-ID"/>
        </w:rPr>
        <w:t>Kegiatan</w:t>
      </w:r>
      <w:r w:rsidR="00A954D0">
        <w:rPr>
          <w:rFonts w:ascii="Bookman Old Style" w:hAnsi="Bookman Old Style" w:cs="Gill Sans Light (Arabid)"/>
          <w:bCs/>
          <w:sz w:val="24"/>
          <w:szCs w:val="24"/>
          <w:lang w:eastAsia="id-ID"/>
        </w:rPr>
        <w:t xml:space="preserve"> </w:t>
      </w:r>
      <w:r w:rsidR="00877A06">
        <w:rPr>
          <w:rFonts w:ascii="Bookman Old Style" w:hAnsi="Bookman Old Style" w:cs="Gill Sans Light (Arabid)"/>
          <w:bCs/>
          <w:sz w:val="24"/>
          <w:szCs w:val="24"/>
          <w:lang w:eastAsia="id-ID"/>
        </w:rPr>
        <w:t>Kantor-Bahan</w:t>
      </w:r>
      <w:r w:rsidR="00A954D0">
        <w:rPr>
          <w:rFonts w:ascii="Bookman Old Style" w:hAnsi="Bookman Old Style" w:cs="Gill Sans Light (Arabid)"/>
          <w:bCs/>
          <w:sz w:val="24"/>
          <w:szCs w:val="24"/>
          <w:lang w:eastAsia="id-ID"/>
        </w:rPr>
        <w:t xml:space="preserve"> </w:t>
      </w:r>
      <w:r w:rsidR="00877A06">
        <w:rPr>
          <w:rFonts w:ascii="Bookman Old Style" w:hAnsi="Bookman Old Style" w:cs="Gill Sans Light (Arabid)"/>
          <w:bCs/>
          <w:sz w:val="24"/>
          <w:szCs w:val="24"/>
          <w:lang w:eastAsia="id-ID"/>
        </w:rPr>
        <w:t>Cetak</w:t>
      </w:r>
      <w:r w:rsidR="00A954D0">
        <w:rPr>
          <w:rFonts w:ascii="Bookman Old Style" w:hAnsi="Bookman Old Style" w:cs="Gill Sans Light (Arabid)"/>
          <w:bCs/>
          <w:sz w:val="24"/>
          <w:szCs w:val="24"/>
          <w:lang w:eastAsia="id-ID"/>
        </w:rPr>
        <w:t xml:space="preserve"> </w:t>
      </w:r>
      <w:r w:rsidRPr="00FF4F11">
        <w:rPr>
          <w:rFonts w:ascii="Bookman Old Style" w:hAnsi="Bookman Old Style" w:cs="Gill Sans Light (Arabid)"/>
          <w:bCs/>
          <w:sz w:val="24"/>
          <w:szCs w:val="24"/>
          <w:lang w:eastAsia="id-ID"/>
        </w:rPr>
        <w:t>Rp40.976.761.141,00</w:t>
      </w:r>
      <w:r w:rsidR="00A954D0" w:rsidRPr="003255BC">
        <w:rPr>
          <w:rFonts w:ascii="Bookman Old Style" w:hAnsi="Bookman Old Style" w:cs="Gill Sans Light (Arabid)"/>
          <w:bCs/>
          <w:sz w:val="24"/>
          <w:szCs w:val="24"/>
          <w:lang w:val="sv-FI" w:eastAsia="id-ID"/>
        </w:rPr>
        <w:t xml:space="preserve"> </w:t>
      </w:r>
      <w:r w:rsidR="00B15BAC" w:rsidRPr="003255BC">
        <w:rPr>
          <w:rFonts w:ascii="Bookman Old Style" w:hAnsi="Bookman Old Style" w:cs="Arial"/>
          <w:sz w:val="24"/>
          <w:szCs w:val="24"/>
          <w:lang w:val="sv-FI"/>
        </w:rPr>
        <w:t>yang</w:t>
      </w:r>
      <w:r w:rsidR="00A954D0" w:rsidRPr="003255BC">
        <w:rPr>
          <w:rFonts w:ascii="Bookman Old Style" w:hAnsi="Bookman Old Style" w:cs="Arial"/>
          <w:sz w:val="24"/>
          <w:szCs w:val="24"/>
          <w:lang w:val="sv-FI"/>
        </w:rPr>
        <w:t xml:space="preserve"> </w:t>
      </w:r>
      <w:r w:rsidR="00B15BAC" w:rsidRPr="003255BC">
        <w:rPr>
          <w:rFonts w:ascii="Bookman Old Style" w:hAnsi="Bookman Old Style" w:cs="Arial"/>
          <w:sz w:val="24"/>
          <w:szCs w:val="24"/>
          <w:lang w:val="sv-FI"/>
        </w:rPr>
        <w:t>antara</w:t>
      </w:r>
      <w:r w:rsidR="00A954D0" w:rsidRPr="003255BC">
        <w:rPr>
          <w:rFonts w:ascii="Bookman Old Style" w:hAnsi="Bookman Old Style" w:cs="Arial"/>
          <w:sz w:val="24"/>
          <w:szCs w:val="24"/>
          <w:lang w:val="sv-FI"/>
        </w:rPr>
        <w:t xml:space="preserve"> </w:t>
      </w:r>
      <w:r w:rsidR="00B15BAC" w:rsidRPr="003255BC">
        <w:rPr>
          <w:rFonts w:ascii="Bookman Old Style" w:hAnsi="Bookman Old Style" w:cs="Arial"/>
          <w:sz w:val="24"/>
          <w:szCs w:val="24"/>
          <w:lang w:val="sv-FI"/>
        </w:rPr>
        <w:t>lain</w:t>
      </w:r>
      <w:r w:rsidR="00A954D0" w:rsidRPr="003255BC">
        <w:rPr>
          <w:rFonts w:ascii="Bookman Old Style" w:hAnsi="Bookman Old Style" w:cs="Arial"/>
          <w:sz w:val="24"/>
          <w:szCs w:val="24"/>
          <w:lang w:val="sv-FI"/>
        </w:rPr>
        <w:t xml:space="preserve"> </w:t>
      </w:r>
      <w:r w:rsidR="00B15BAC" w:rsidRPr="003255BC">
        <w:rPr>
          <w:rFonts w:ascii="Bookman Old Style" w:hAnsi="Bookman Old Style" w:cs="Arial"/>
          <w:sz w:val="24"/>
          <w:szCs w:val="24"/>
          <w:lang w:val="sv-FI"/>
        </w:rPr>
        <w:t>diuraikan</w:t>
      </w:r>
      <w:r w:rsidR="00A954D0" w:rsidRPr="003255BC">
        <w:rPr>
          <w:rFonts w:ascii="Bookman Old Style" w:hAnsi="Bookman Old Style" w:cs="Arial"/>
          <w:sz w:val="24"/>
          <w:szCs w:val="24"/>
          <w:lang w:val="sv-FI"/>
        </w:rPr>
        <w:t xml:space="preserve"> </w:t>
      </w:r>
      <w:r w:rsidR="00B15BAC" w:rsidRPr="003255BC">
        <w:rPr>
          <w:rFonts w:ascii="Bookman Old Style" w:hAnsi="Bookman Old Style" w:cs="Arial"/>
          <w:sz w:val="24"/>
          <w:szCs w:val="24"/>
          <w:lang w:val="sv-FI"/>
        </w:rPr>
        <w:t>pada:</w:t>
      </w:r>
    </w:p>
    <w:p w14:paraId="5126831B" w14:textId="5DF0B4FD" w:rsidR="00B15BAC" w:rsidRPr="00256727" w:rsidRDefault="00310A4C">
      <w:pPr>
        <w:pStyle w:val="ListParagraph"/>
        <w:numPr>
          <w:ilvl w:val="0"/>
          <w:numId w:val="134"/>
        </w:numPr>
        <w:spacing w:before="60" w:after="0" w:line="276" w:lineRule="auto"/>
        <w:ind w:left="3672" w:hanging="426"/>
        <w:contextualSpacing w:val="0"/>
        <w:jc w:val="both"/>
        <w:rPr>
          <w:rFonts w:ascii="Bookman Old Style" w:hAnsi="Bookman Old Style"/>
          <w:sz w:val="24"/>
          <w:szCs w:val="24"/>
          <w:lang w:val="sv-FI"/>
        </w:rPr>
      </w:pPr>
      <w:r w:rsidRPr="00256727">
        <w:rPr>
          <w:rFonts w:ascii="Bookman Old Style" w:hAnsi="Bookman Old Style"/>
          <w:sz w:val="24"/>
          <w:szCs w:val="24"/>
          <w:lang w:val="sv-FI"/>
        </w:rPr>
        <w:t>Dinas</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Pe</w:t>
      </w:r>
      <w:r w:rsidR="0034020A" w:rsidRPr="00256727">
        <w:rPr>
          <w:rFonts w:ascii="Bookman Old Style" w:hAnsi="Bookman Old Style"/>
          <w:sz w:val="24"/>
          <w:szCs w:val="24"/>
          <w:lang w:val="sv-FI"/>
        </w:rPr>
        <w:t>ndidikan</w:t>
      </w:r>
      <w:r w:rsidR="00A954D0" w:rsidRPr="00256727">
        <w:rPr>
          <w:rFonts w:ascii="Bookman Old Style" w:hAnsi="Bookman Old Style"/>
          <w:sz w:val="24"/>
          <w:szCs w:val="24"/>
          <w:lang w:val="sv-FI"/>
        </w:rPr>
        <w:t xml:space="preserve"> </w:t>
      </w:r>
      <w:r w:rsidR="00A4221F" w:rsidRPr="00256727">
        <w:rPr>
          <w:rFonts w:ascii="Bookman Old Style" w:hAnsi="Bookman Old Style"/>
          <w:sz w:val="24"/>
          <w:szCs w:val="24"/>
          <w:lang w:val="sv-FI"/>
        </w:rPr>
        <w:t>Rp21.362.749.145,00</w:t>
      </w:r>
      <w:r w:rsidR="00A954D0" w:rsidRPr="00256727">
        <w:rPr>
          <w:rFonts w:ascii="Bookman Old Style" w:hAnsi="Bookman Old Style"/>
          <w:sz w:val="24"/>
          <w:szCs w:val="24"/>
          <w:lang w:val="sv-FI"/>
        </w:rPr>
        <w:t xml:space="preserve"> </w:t>
      </w:r>
      <w:r w:rsidR="00A4221F" w:rsidRPr="00256727">
        <w:rPr>
          <w:rFonts w:ascii="Bookman Old Style" w:hAnsi="Bookman Old Style"/>
          <w:sz w:val="24"/>
          <w:szCs w:val="24"/>
          <w:lang w:val="sv-FI"/>
        </w:rPr>
        <w:t>atau</w:t>
      </w:r>
      <w:r w:rsidR="00A954D0" w:rsidRPr="00256727">
        <w:rPr>
          <w:rFonts w:ascii="Bookman Old Style" w:hAnsi="Bookman Old Style"/>
          <w:sz w:val="24"/>
          <w:szCs w:val="24"/>
          <w:lang w:val="sv-FI"/>
        </w:rPr>
        <w:t xml:space="preserve"> </w:t>
      </w:r>
      <w:r w:rsidR="00A4221F" w:rsidRPr="00256727">
        <w:rPr>
          <w:rFonts w:ascii="Bookman Old Style" w:hAnsi="Bookman Old Style"/>
          <w:sz w:val="24"/>
          <w:szCs w:val="24"/>
          <w:lang w:val="sv-FI"/>
        </w:rPr>
        <w:t>52,13%</w:t>
      </w:r>
      <w:r w:rsidR="00A954D0">
        <w:rPr>
          <w:rFonts w:ascii="Bookman Old Style" w:hAnsi="Bookman Old Style"/>
          <w:sz w:val="24"/>
          <w:szCs w:val="24"/>
        </w:rPr>
        <w:t xml:space="preserve"> </w:t>
      </w:r>
      <w:r w:rsidR="00B15BAC" w:rsidRPr="00FF4F11">
        <w:rPr>
          <w:rFonts w:ascii="Bookman Old Style" w:hAnsi="Bookman Old Style"/>
          <w:sz w:val="24"/>
          <w:szCs w:val="24"/>
        </w:rPr>
        <w:t>dari</w:t>
      </w:r>
      <w:r w:rsidR="00A954D0">
        <w:rPr>
          <w:rFonts w:ascii="Bookman Old Style" w:hAnsi="Bookman Old Style"/>
          <w:sz w:val="24"/>
          <w:szCs w:val="24"/>
        </w:rPr>
        <w:t xml:space="preserve"> </w:t>
      </w:r>
      <w:r w:rsidR="00B15BAC" w:rsidRPr="00FF4F11">
        <w:rPr>
          <w:rFonts w:ascii="Bookman Old Style" w:hAnsi="Bookman Old Style"/>
          <w:sz w:val="24"/>
          <w:szCs w:val="24"/>
        </w:rPr>
        <w:t>total</w:t>
      </w:r>
      <w:r w:rsidR="00A954D0">
        <w:rPr>
          <w:rFonts w:ascii="Bookman Old Style" w:hAnsi="Bookman Old Style"/>
          <w:sz w:val="24"/>
          <w:szCs w:val="24"/>
        </w:rPr>
        <w:t xml:space="preserve"> </w:t>
      </w:r>
      <w:r w:rsidR="00665093" w:rsidRPr="00FF4F11">
        <w:rPr>
          <w:rFonts w:ascii="Bookman Old Style" w:hAnsi="Bookman Old Style" w:cs="Gill Sans Light (Arabid)"/>
          <w:bCs/>
          <w:sz w:val="24"/>
          <w:szCs w:val="24"/>
          <w:lang w:eastAsia="id-ID"/>
        </w:rPr>
        <w:t>Belanja</w:t>
      </w:r>
      <w:r w:rsidR="00A954D0">
        <w:rPr>
          <w:rFonts w:ascii="Bookman Old Style" w:hAnsi="Bookman Old Style" w:cs="Gill Sans Light (Arabid)"/>
          <w:bCs/>
          <w:sz w:val="24"/>
          <w:szCs w:val="24"/>
          <w:lang w:eastAsia="id-ID"/>
        </w:rPr>
        <w:t xml:space="preserve"> </w:t>
      </w:r>
      <w:r w:rsidR="00665093" w:rsidRPr="00FF4F11">
        <w:rPr>
          <w:rFonts w:ascii="Bookman Old Style" w:hAnsi="Bookman Old Style" w:cs="Gill Sans Light (Arabid)"/>
          <w:bCs/>
          <w:sz w:val="24"/>
          <w:szCs w:val="24"/>
          <w:lang w:eastAsia="id-ID"/>
        </w:rPr>
        <w:t>Alat/Bahan</w:t>
      </w:r>
      <w:r w:rsidR="00A954D0">
        <w:rPr>
          <w:rFonts w:ascii="Bookman Old Style" w:hAnsi="Bookman Old Style" w:cs="Gill Sans Light (Arabid)"/>
          <w:bCs/>
          <w:sz w:val="24"/>
          <w:szCs w:val="24"/>
          <w:lang w:eastAsia="id-ID"/>
        </w:rPr>
        <w:t xml:space="preserve"> </w:t>
      </w:r>
      <w:r w:rsidR="00665093" w:rsidRPr="00FF4F11">
        <w:rPr>
          <w:rFonts w:ascii="Bookman Old Style" w:hAnsi="Bookman Old Style" w:cs="Gill Sans Light (Arabid)"/>
          <w:bCs/>
          <w:sz w:val="24"/>
          <w:szCs w:val="24"/>
          <w:lang w:eastAsia="id-ID"/>
        </w:rPr>
        <w:t>untuk</w:t>
      </w:r>
      <w:r w:rsidR="00A954D0">
        <w:rPr>
          <w:rFonts w:ascii="Bookman Old Style" w:hAnsi="Bookman Old Style" w:cs="Gill Sans Light (Arabid)"/>
          <w:bCs/>
          <w:sz w:val="24"/>
          <w:szCs w:val="24"/>
          <w:lang w:eastAsia="id-ID"/>
        </w:rPr>
        <w:t xml:space="preserve"> </w:t>
      </w:r>
      <w:r w:rsidR="00665093" w:rsidRPr="00FF4F11">
        <w:rPr>
          <w:rFonts w:ascii="Bookman Old Style" w:hAnsi="Bookman Old Style" w:cs="Gill Sans Light (Arabid)"/>
          <w:bCs/>
          <w:sz w:val="24"/>
          <w:szCs w:val="24"/>
          <w:lang w:eastAsia="id-ID"/>
        </w:rPr>
        <w:t>Kegiatan</w:t>
      </w:r>
      <w:r w:rsidR="00A954D0">
        <w:rPr>
          <w:rFonts w:ascii="Bookman Old Style" w:hAnsi="Bookman Old Style" w:cs="Gill Sans Light (Arabid)"/>
          <w:bCs/>
          <w:sz w:val="24"/>
          <w:szCs w:val="24"/>
          <w:lang w:eastAsia="id-ID"/>
        </w:rPr>
        <w:t xml:space="preserve"> </w:t>
      </w:r>
      <w:r w:rsidR="00877A06">
        <w:rPr>
          <w:rFonts w:ascii="Bookman Old Style" w:hAnsi="Bookman Old Style" w:cs="Gill Sans Light (Arabid)"/>
          <w:bCs/>
          <w:sz w:val="24"/>
          <w:szCs w:val="24"/>
          <w:lang w:eastAsia="id-ID"/>
        </w:rPr>
        <w:t>Kantor-Bahan</w:t>
      </w:r>
      <w:r w:rsidR="00A954D0">
        <w:rPr>
          <w:rFonts w:ascii="Bookman Old Style" w:hAnsi="Bookman Old Style" w:cs="Gill Sans Light (Arabid)"/>
          <w:bCs/>
          <w:sz w:val="24"/>
          <w:szCs w:val="24"/>
          <w:lang w:eastAsia="id-ID"/>
        </w:rPr>
        <w:t xml:space="preserve"> </w:t>
      </w:r>
      <w:r w:rsidR="00877A06">
        <w:rPr>
          <w:rFonts w:ascii="Bookman Old Style" w:hAnsi="Bookman Old Style" w:cs="Gill Sans Light (Arabid)"/>
          <w:bCs/>
          <w:sz w:val="24"/>
          <w:szCs w:val="24"/>
          <w:lang w:eastAsia="id-ID"/>
        </w:rPr>
        <w:t>Cetak</w:t>
      </w:r>
      <w:r w:rsidR="00B15BAC" w:rsidRPr="00256727">
        <w:rPr>
          <w:rFonts w:ascii="Bookman Old Style" w:hAnsi="Bookman Old Style"/>
          <w:sz w:val="24"/>
          <w:szCs w:val="24"/>
          <w:lang w:val="sv-FI"/>
        </w:rPr>
        <w:t>;</w:t>
      </w:r>
    </w:p>
    <w:p w14:paraId="4D8094ED" w14:textId="42CCAEF1" w:rsidR="00B15BAC" w:rsidRPr="00256727" w:rsidRDefault="0060414D">
      <w:pPr>
        <w:pStyle w:val="ListParagraph"/>
        <w:numPr>
          <w:ilvl w:val="0"/>
          <w:numId w:val="134"/>
        </w:numPr>
        <w:spacing w:before="60" w:after="0" w:line="276" w:lineRule="auto"/>
        <w:ind w:left="3672" w:hanging="426"/>
        <w:contextualSpacing w:val="0"/>
        <w:jc w:val="both"/>
        <w:rPr>
          <w:rFonts w:ascii="Bookman Old Style" w:hAnsi="Bookman Old Style"/>
          <w:sz w:val="24"/>
          <w:szCs w:val="24"/>
          <w:lang w:val="sv-FI"/>
        </w:rPr>
      </w:pPr>
      <w:r w:rsidRPr="00256727">
        <w:rPr>
          <w:rFonts w:ascii="Bookman Old Style" w:hAnsi="Bookman Old Style"/>
          <w:sz w:val="24"/>
          <w:szCs w:val="24"/>
          <w:lang w:val="sv-FI"/>
        </w:rPr>
        <w:t>Dinas</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Komunikasi</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dan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Informatika</w:t>
      </w:r>
      <w:r w:rsidR="00A954D0" w:rsidRPr="00256727">
        <w:rPr>
          <w:rFonts w:ascii="Bookman Old Style" w:hAnsi="Bookman Old Style"/>
          <w:sz w:val="24"/>
          <w:szCs w:val="24"/>
          <w:lang w:val="sv-FI"/>
        </w:rPr>
        <w:t xml:space="preserve"> </w:t>
      </w:r>
      <w:r w:rsidR="00E72D32" w:rsidRPr="00256727">
        <w:rPr>
          <w:rFonts w:ascii="Bookman Old Style" w:hAnsi="Bookman Old Style"/>
          <w:sz w:val="24"/>
          <w:szCs w:val="24"/>
          <w:lang w:val="sv-FI"/>
        </w:rPr>
        <w:t>Rp1.902.311.000,00</w:t>
      </w:r>
      <w:r w:rsidR="00A954D0" w:rsidRPr="00256727">
        <w:rPr>
          <w:rFonts w:ascii="Bookman Old Style" w:hAnsi="Bookman Old Style"/>
          <w:sz w:val="24"/>
          <w:szCs w:val="24"/>
          <w:lang w:val="sv-FI"/>
        </w:rPr>
        <w:t xml:space="preserve"> </w:t>
      </w:r>
      <w:r w:rsidR="00E72D32" w:rsidRPr="00256727">
        <w:rPr>
          <w:rFonts w:ascii="Bookman Old Style" w:hAnsi="Bookman Old Style"/>
          <w:sz w:val="24"/>
          <w:szCs w:val="24"/>
          <w:lang w:val="sv-FI"/>
        </w:rPr>
        <w:t>atau</w:t>
      </w:r>
      <w:r w:rsidR="00A954D0" w:rsidRPr="00256727">
        <w:rPr>
          <w:rFonts w:ascii="Bookman Old Style" w:hAnsi="Bookman Old Style"/>
          <w:sz w:val="24"/>
          <w:szCs w:val="24"/>
          <w:lang w:val="sv-FI"/>
        </w:rPr>
        <w:t xml:space="preserve"> </w:t>
      </w:r>
      <w:r w:rsidR="00E72D32" w:rsidRPr="00256727">
        <w:rPr>
          <w:rFonts w:ascii="Bookman Old Style" w:hAnsi="Bookman Old Style"/>
          <w:sz w:val="24"/>
          <w:szCs w:val="24"/>
          <w:lang w:val="sv-FI"/>
        </w:rPr>
        <w:t>4,64%</w:t>
      </w:r>
      <w:r w:rsidR="00A954D0">
        <w:rPr>
          <w:rFonts w:ascii="Bookman Old Style" w:hAnsi="Bookman Old Style"/>
          <w:sz w:val="24"/>
          <w:szCs w:val="24"/>
        </w:rPr>
        <w:t xml:space="preserve"> </w:t>
      </w:r>
      <w:r w:rsidR="00B15BAC" w:rsidRPr="00FF4F11">
        <w:rPr>
          <w:rFonts w:ascii="Bookman Old Style" w:hAnsi="Bookman Old Style"/>
          <w:sz w:val="24"/>
          <w:szCs w:val="24"/>
        </w:rPr>
        <w:t>dari</w:t>
      </w:r>
      <w:r w:rsidR="00A954D0">
        <w:rPr>
          <w:rFonts w:ascii="Bookman Old Style" w:hAnsi="Bookman Old Style"/>
          <w:sz w:val="24"/>
          <w:szCs w:val="24"/>
        </w:rPr>
        <w:t xml:space="preserve"> </w:t>
      </w:r>
      <w:r w:rsidR="00B15BAC" w:rsidRPr="00FF4F11">
        <w:rPr>
          <w:rFonts w:ascii="Bookman Old Style" w:hAnsi="Bookman Old Style"/>
          <w:sz w:val="24"/>
          <w:szCs w:val="24"/>
        </w:rPr>
        <w:t>total</w:t>
      </w:r>
      <w:r w:rsidR="00A954D0">
        <w:rPr>
          <w:rFonts w:ascii="Bookman Old Style" w:hAnsi="Bookman Old Style"/>
          <w:sz w:val="24"/>
          <w:szCs w:val="24"/>
        </w:rPr>
        <w:t xml:space="preserve"> </w:t>
      </w:r>
      <w:r w:rsidR="00665093" w:rsidRPr="00FF4F11">
        <w:rPr>
          <w:rFonts w:ascii="Bookman Old Style" w:hAnsi="Bookman Old Style" w:cs="Gill Sans Light (Arabid)"/>
          <w:bCs/>
          <w:sz w:val="24"/>
          <w:szCs w:val="24"/>
          <w:lang w:eastAsia="id-ID"/>
        </w:rPr>
        <w:t>Belanja</w:t>
      </w:r>
      <w:r w:rsidR="00A954D0">
        <w:rPr>
          <w:rFonts w:ascii="Bookman Old Style" w:hAnsi="Bookman Old Style" w:cs="Gill Sans Light (Arabid)"/>
          <w:bCs/>
          <w:sz w:val="24"/>
          <w:szCs w:val="24"/>
          <w:lang w:eastAsia="id-ID"/>
        </w:rPr>
        <w:t xml:space="preserve"> </w:t>
      </w:r>
      <w:r w:rsidR="00665093" w:rsidRPr="00FF4F11">
        <w:rPr>
          <w:rFonts w:ascii="Bookman Old Style" w:hAnsi="Bookman Old Style" w:cs="Gill Sans Light (Arabid)"/>
          <w:bCs/>
          <w:sz w:val="24"/>
          <w:szCs w:val="24"/>
          <w:lang w:eastAsia="id-ID"/>
        </w:rPr>
        <w:t>Alat/Bahan</w:t>
      </w:r>
      <w:r w:rsidR="00A954D0">
        <w:rPr>
          <w:rFonts w:ascii="Bookman Old Style" w:hAnsi="Bookman Old Style" w:cs="Gill Sans Light (Arabid)"/>
          <w:bCs/>
          <w:sz w:val="24"/>
          <w:szCs w:val="24"/>
          <w:lang w:eastAsia="id-ID"/>
        </w:rPr>
        <w:t xml:space="preserve"> </w:t>
      </w:r>
      <w:r w:rsidR="00665093" w:rsidRPr="00FF4F11">
        <w:rPr>
          <w:rFonts w:ascii="Bookman Old Style" w:hAnsi="Bookman Old Style" w:cs="Gill Sans Light (Arabid)"/>
          <w:bCs/>
          <w:sz w:val="24"/>
          <w:szCs w:val="24"/>
          <w:lang w:eastAsia="id-ID"/>
        </w:rPr>
        <w:t>untuk</w:t>
      </w:r>
      <w:r w:rsidR="00A954D0">
        <w:rPr>
          <w:rFonts w:ascii="Bookman Old Style" w:hAnsi="Bookman Old Style" w:cs="Gill Sans Light (Arabid)"/>
          <w:bCs/>
          <w:sz w:val="24"/>
          <w:szCs w:val="24"/>
          <w:lang w:eastAsia="id-ID"/>
        </w:rPr>
        <w:t xml:space="preserve"> </w:t>
      </w:r>
      <w:r w:rsidR="00665093" w:rsidRPr="00FF4F11">
        <w:rPr>
          <w:rFonts w:ascii="Bookman Old Style" w:hAnsi="Bookman Old Style" w:cs="Gill Sans Light (Arabid)"/>
          <w:bCs/>
          <w:sz w:val="24"/>
          <w:szCs w:val="24"/>
          <w:lang w:eastAsia="id-ID"/>
        </w:rPr>
        <w:t>Kegiatan</w:t>
      </w:r>
      <w:r w:rsidR="00A954D0">
        <w:rPr>
          <w:rFonts w:ascii="Bookman Old Style" w:hAnsi="Bookman Old Style" w:cs="Gill Sans Light (Arabid)"/>
          <w:bCs/>
          <w:sz w:val="24"/>
          <w:szCs w:val="24"/>
          <w:lang w:eastAsia="id-ID"/>
        </w:rPr>
        <w:t xml:space="preserve"> </w:t>
      </w:r>
      <w:r w:rsidR="00877A06">
        <w:rPr>
          <w:rFonts w:ascii="Bookman Old Style" w:hAnsi="Bookman Old Style" w:cs="Gill Sans Light (Arabid)"/>
          <w:bCs/>
          <w:sz w:val="24"/>
          <w:szCs w:val="24"/>
          <w:lang w:eastAsia="id-ID"/>
        </w:rPr>
        <w:t>Kantor-Bahan</w:t>
      </w:r>
      <w:r w:rsidR="00A954D0">
        <w:rPr>
          <w:rFonts w:ascii="Bookman Old Style" w:hAnsi="Bookman Old Style" w:cs="Gill Sans Light (Arabid)"/>
          <w:bCs/>
          <w:sz w:val="24"/>
          <w:szCs w:val="24"/>
          <w:lang w:eastAsia="id-ID"/>
        </w:rPr>
        <w:t xml:space="preserve"> </w:t>
      </w:r>
      <w:r w:rsidR="00877A06">
        <w:rPr>
          <w:rFonts w:ascii="Bookman Old Style" w:hAnsi="Bookman Old Style" w:cs="Gill Sans Light (Arabid)"/>
          <w:bCs/>
          <w:sz w:val="24"/>
          <w:szCs w:val="24"/>
          <w:lang w:eastAsia="id-ID"/>
        </w:rPr>
        <w:t>Cetak</w:t>
      </w:r>
      <w:r w:rsidR="00B15BAC" w:rsidRPr="00256727">
        <w:rPr>
          <w:rFonts w:ascii="Bookman Old Style" w:hAnsi="Bookman Old Style"/>
          <w:sz w:val="24"/>
          <w:szCs w:val="24"/>
          <w:lang w:val="sv-FI"/>
        </w:rPr>
        <w:t>;</w:t>
      </w:r>
    </w:p>
    <w:p w14:paraId="58DE1413" w14:textId="36BB1FFE" w:rsidR="00B15BAC" w:rsidRPr="00FF4F11" w:rsidRDefault="00DC21A7">
      <w:pPr>
        <w:pStyle w:val="ListParagraph"/>
        <w:numPr>
          <w:ilvl w:val="0"/>
          <w:numId w:val="134"/>
        </w:numPr>
        <w:spacing w:before="60" w:after="0" w:line="276" w:lineRule="auto"/>
        <w:ind w:left="3672" w:hanging="426"/>
        <w:contextualSpacing w:val="0"/>
        <w:jc w:val="both"/>
        <w:rPr>
          <w:rFonts w:ascii="Bookman Old Style" w:hAnsi="Bookman Old Style" w:cs="Gill Sans Light (Arabid)"/>
          <w:bCs/>
          <w:sz w:val="24"/>
          <w:szCs w:val="24"/>
          <w:lang w:eastAsia="id-ID"/>
        </w:rPr>
      </w:pPr>
      <w:r w:rsidRPr="00256727">
        <w:rPr>
          <w:rFonts w:ascii="Bookman Old Style" w:hAnsi="Bookman Old Style"/>
          <w:sz w:val="24"/>
          <w:szCs w:val="24"/>
          <w:lang w:val="sv-FI"/>
        </w:rPr>
        <w:t>Sekretariat</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Daerah</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Rp2.404.061.700,00</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atau</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5,87%</w:t>
      </w:r>
      <w:r w:rsidR="00A954D0">
        <w:rPr>
          <w:rFonts w:ascii="Bookman Old Style" w:hAnsi="Bookman Old Style"/>
          <w:sz w:val="24"/>
          <w:szCs w:val="24"/>
        </w:rPr>
        <w:t xml:space="preserve"> </w:t>
      </w:r>
      <w:r w:rsidR="00B15BAC" w:rsidRPr="00FF4F11">
        <w:rPr>
          <w:rFonts w:ascii="Bookman Old Style" w:hAnsi="Bookman Old Style"/>
          <w:sz w:val="24"/>
          <w:szCs w:val="24"/>
        </w:rPr>
        <w:t>dari</w:t>
      </w:r>
      <w:r w:rsidR="00A954D0">
        <w:rPr>
          <w:rFonts w:ascii="Bookman Old Style" w:hAnsi="Bookman Old Style"/>
          <w:sz w:val="24"/>
          <w:szCs w:val="24"/>
        </w:rPr>
        <w:t xml:space="preserve"> </w:t>
      </w:r>
      <w:r w:rsidR="00B15BAC" w:rsidRPr="00FF4F11">
        <w:rPr>
          <w:rFonts w:ascii="Bookman Old Style" w:hAnsi="Bookman Old Style"/>
          <w:sz w:val="24"/>
          <w:szCs w:val="24"/>
        </w:rPr>
        <w:t>total</w:t>
      </w:r>
      <w:r w:rsidR="00A954D0">
        <w:rPr>
          <w:rFonts w:ascii="Bookman Old Style" w:hAnsi="Bookman Old Style"/>
          <w:sz w:val="24"/>
          <w:szCs w:val="24"/>
        </w:rPr>
        <w:t xml:space="preserve"> </w:t>
      </w:r>
      <w:r w:rsidR="00665093" w:rsidRPr="00FF4F11">
        <w:rPr>
          <w:rFonts w:ascii="Bookman Old Style" w:hAnsi="Bookman Old Style" w:cs="Gill Sans Light (Arabid)"/>
          <w:bCs/>
          <w:sz w:val="24"/>
          <w:szCs w:val="24"/>
          <w:lang w:eastAsia="id-ID"/>
        </w:rPr>
        <w:t>Belanja</w:t>
      </w:r>
      <w:r w:rsidR="00A954D0">
        <w:rPr>
          <w:rFonts w:ascii="Bookman Old Style" w:hAnsi="Bookman Old Style" w:cs="Gill Sans Light (Arabid)"/>
          <w:bCs/>
          <w:sz w:val="24"/>
          <w:szCs w:val="24"/>
          <w:lang w:eastAsia="id-ID"/>
        </w:rPr>
        <w:t xml:space="preserve"> </w:t>
      </w:r>
      <w:r w:rsidR="00665093" w:rsidRPr="00FF4F11">
        <w:rPr>
          <w:rFonts w:ascii="Bookman Old Style" w:hAnsi="Bookman Old Style" w:cs="Gill Sans Light (Arabid)"/>
          <w:bCs/>
          <w:sz w:val="24"/>
          <w:szCs w:val="24"/>
          <w:lang w:eastAsia="id-ID"/>
        </w:rPr>
        <w:t>Alat/Bahan</w:t>
      </w:r>
      <w:r w:rsidR="00A954D0">
        <w:rPr>
          <w:rFonts w:ascii="Bookman Old Style" w:hAnsi="Bookman Old Style" w:cs="Gill Sans Light (Arabid)"/>
          <w:bCs/>
          <w:sz w:val="24"/>
          <w:szCs w:val="24"/>
          <w:lang w:eastAsia="id-ID"/>
        </w:rPr>
        <w:t xml:space="preserve"> </w:t>
      </w:r>
      <w:r w:rsidR="00665093" w:rsidRPr="00FF4F11">
        <w:rPr>
          <w:rFonts w:ascii="Bookman Old Style" w:hAnsi="Bookman Old Style" w:cs="Gill Sans Light (Arabid)"/>
          <w:bCs/>
          <w:sz w:val="24"/>
          <w:szCs w:val="24"/>
          <w:lang w:eastAsia="id-ID"/>
        </w:rPr>
        <w:t>untuk</w:t>
      </w:r>
      <w:r w:rsidR="00A954D0">
        <w:rPr>
          <w:rFonts w:ascii="Bookman Old Style" w:hAnsi="Bookman Old Style" w:cs="Gill Sans Light (Arabid)"/>
          <w:bCs/>
          <w:sz w:val="24"/>
          <w:szCs w:val="24"/>
          <w:lang w:eastAsia="id-ID"/>
        </w:rPr>
        <w:t xml:space="preserve"> </w:t>
      </w:r>
      <w:r w:rsidR="00665093" w:rsidRPr="00FF4F11">
        <w:rPr>
          <w:rFonts w:ascii="Bookman Old Style" w:hAnsi="Bookman Old Style" w:cs="Gill Sans Light (Arabid)"/>
          <w:bCs/>
          <w:sz w:val="24"/>
          <w:szCs w:val="24"/>
          <w:lang w:eastAsia="id-ID"/>
        </w:rPr>
        <w:t>Kegiatan</w:t>
      </w:r>
      <w:r w:rsidR="00A954D0">
        <w:rPr>
          <w:rFonts w:ascii="Bookman Old Style" w:hAnsi="Bookman Old Style" w:cs="Gill Sans Light (Arabid)"/>
          <w:bCs/>
          <w:sz w:val="24"/>
          <w:szCs w:val="24"/>
          <w:lang w:eastAsia="id-ID"/>
        </w:rPr>
        <w:t xml:space="preserve"> </w:t>
      </w:r>
      <w:r w:rsidR="00877A06">
        <w:rPr>
          <w:rFonts w:ascii="Bookman Old Style" w:hAnsi="Bookman Old Style" w:cs="Gill Sans Light (Arabid)"/>
          <w:bCs/>
          <w:sz w:val="24"/>
          <w:szCs w:val="24"/>
          <w:lang w:eastAsia="id-ID"/>
        </w:rPr>
        <w:t>Kantor-Bahan</w:t>
      </w:r>
      <w:r w:rsidR="00A954D0">
        <w:rPr>
          <w:rFonts w:ascii="Bookman Old Style" w:hAnsi="Bookman Old Style" w:cs="Gill Sans Light (Arabid)"/>
          <w:bCs/>
          <w:sz w:val="24"/>
          <w:szCs w:val="24"/>
          <w:lang w:eastAsia="id-ID"/>
        </w:rPr>
        <w:t xml:space="preserve"> </w:t>
      </w:r>
      <w:r w:rsidR="00877A06">
        <w:rPr>
          <w:rFonts w:ascii="Bookman Old Style" w:hAnsi="Bookman Old Style" w:cs="Gill Sans Light (Arabid)"/>
          <w:bCs/>
          <w:sz w:val="24"/>
          <w:szCs w:val="24"/>
          <w:lang w:eastAsia="id-ID"/>
        </w:rPr>
        <w:t>Cetak</w:t>
      </w:r>
      <w:r w:rsidR="008B21D9">
        <w:rPr>
          <w:rFonts w:ascii="Bookman Old Style" w:hAnsi="Bookman Old Style"/>
          <w:sz w:val="24"/>
          <w:szCs w:val="24"/>
          <w:lang w:val="sv-FI"/>
        </w:rPr>
        <w:t>.</w:t>
      </w:r>
    </w:p>
    <w:p w14:paraId="5AB4FDC9" w14:textId="2B41C59D" w:rsidR="00B15BAC" w:rsidRPr="003255BC" w:rsidRDefault="00724BA6" w:rsidP="008B21D9">
      <w:pPr>
        <w:pStyle w:val="ListParagraph"/>
        <w:numPr>
          <w:ilvl w:val="0"/>
          <w:numId w:val="132"/>
        </w:numPr>
        <w:spacing w:before="60" w:after="0" w:line="276" w:lineRule="auto"/>
        <w:ind w:left="3246" w:hanging="552"/>
        <w:contextualSpacing w:val="0"/>
        <w:jc w:val="both"/>
        <w:rPr>
          <w:rFonts w:ascii="Bookman Old Style" w:hAnsi="Bookman Old Style"/>
          <w:sz w:val="24"/>
          <w:szCs w:val="24"/>
          <w:lang w:val="sv-FI"/>
        </w:rPr>
      </w:pPr>
      <w:r w:rsidRPr="00FF4F11">
        <w:rPr>
          <w:rFonts w:ascii="Bookman Old Style" w:hAnsi="Bookman Old Style" w:cs="Gill Sans Light (Arabid)"/>
          <w:bCs/>
          <w:sz w:val="24"/>
          <w:szCs w:val="24"/>
          <w:lang w:eastAsia="id-ID"/>
        </w:rPr>
        <w:lastRenderedPageBreak/>
        <w:t>Belanja</w:t>
      </w:r>
      <w:r w:rsidR="00A954D0">
        <w:rPr>
          <w:rFonts w:ascii="Bookman Old Style" w:hAnsi="Bookman Old Style" w:cs="Gill Sans Light (Arabid)"/>
          <w:bCs/>
          <w:sz w:val="24"/>
          <w:szCs w:val="24"/>
          <w:lang w:eastAsia="id-ID"/>
        </w:rPr>
        <w:t xml:space="preserve"> </w:t>
      </w:r>
      <w:r w:rsidRPr="00FF4F11">
        <w:rPr>
          <w:rFonts w:ascii="Bookman Old Style" w:hAnsi="Bookman Old Style" w:cs="Gill Sans Light (Arabid)"/>
          <w:bCs/>
          <w:sz w:val="24"/>
          <w:szCs w:val="24"/>
          <w:lang w:eastAsia="id-ID"/>
        </w:rPr>
        <w:t>Barang</w:t>
      </w:r>
      <w:r w:rsidR="00A954D0">
        <w:rPr>
          <w:rFonts w:ascii="Bookman Old Style" w:hAnsi="Bookman Old Style" w:cs="Gill Sans Light (Arabid)"/>
          <w:bCs/>
          <w:sz w:val="24"/>
          <w:szCs w:val="24"/>
          <w:lang w:eastAsia="id-ID"/>
        </w:rPr>
        <w:t xml:space="preserve"> </w:t>
      </w:r>
      <w:r w:rsidRPr="00FF4F11">
        <w:rPr>
          <w:rFonts w:ascii="Bookman Old Style" w:hAnsi="Bookman Old Style" w:cs="Gill Sans Light (Arabid)"/>
          <w:bCs/>
          <w:sz w:val="24"/>
          <w:szCs w:val="24"/>
          <w:lang w:eastAsia="id-ID"/>
        </w:rPr>
        <w:t>untuk</w:t>
      </w:r>
      <w:r w:rsidR="00A954D0">
        <w:rPr>
          <w:rFonts w:ascii="Bookman Old Style" w:hAnsi="Bookman Old Style" w:cs="Gill Sans Light (Arabid)"/>
          <w:bCs/>
          <w:sz w:val="24"/>
          <w:szCs w:val="24"/>
          <w:lang w:eastAsia="id-ID"/>
        </w:rPr>
        <w:t xml:space="preserve"> </w:t>
      </w:r>
      <w:r w:rsidRPr="00FF4F11">
        <w:rPr>
          <w:rFonts w:ascii="Bookman Old Style" w:hAnsi="Bookman Old Style" w:cs="Gill Sans Light (Arabid)"/>
          <w:bCs/>
          <w:sz w:val="24"/>
          <w:szCs w:val="24"/>
          <w:lang w:eastAsia="id-ID"/>
        </w:rPr>
        <w:t>Dijual/Diserahkan</w:t>
      </w:r>
      <w:r w:rsidR="00A954D0">
        <w:rPr>
          <w:rFonts w:ascii="Bookman Old Style" w:hAnsi="Bookman Old Style" w:cs="Gill Sans Light (Arabid)"/>
          <w:bCs/>
          <w:sz w:val="24"/>
          <w:szCs w:val="24"/>
          <w:lang w:eastAsia="id-ID"/>
        </w:rPr>
        <w:t xml:space="preserve"> </w:t>
      </w:r>
      <w:r w:rsidRPr="00FF4F11">
        <w:rPr>
          <w:rFonts w:ascii="Bookman Old Style" w:hAnsi="Bookman Old Style" w:cs="Gill Sans Light (Arabid)"/>
          <w:bCs/>
          <w:sz w:val="24"/>
          <w:szCs w:val="24"/>
          <w:lang w:eastAsia="id-ID"/>
        </w:rPr>
        <w:t>kepada</w:t>
      </w:r>
      <w:r w:rsidR="00A954D0">
        <w:rPr>
          <w:rFonts w:ascii="Bookman Old Style" w:hAnsi="Bookman Old Style" w:cs="Gill Sans Light (Arabid)"/>
          <w:bCs/>
          <w:sz w:val="24"/>
          <w:szCs w:val="24"/>
          <w:lang w:eastAsia="id-ID"/>
        </w:rPr>
        <w:t xml:space="preserve"> </w:t>
      </w:r>
      <w:r w:rsidRPr="00FF4F11">
        <w:rPr>
          <w:rFonts w:ascii="Bookman Old Style" w:hAnsi="Bookman Old Style" w:cs="Gill Sans Light (Arabid)"/>
          <w:bCs/>
          <w:sz w:val="24"/>
          <w:szCs w:val="24"/>
          <w:lang w:eastAsia="id-ID"/>
        </w:rPr>
        <w:t>Masyarakat</w:t>
      </w:r>
      <w:r w:rsidR="00A954D0">
        <w:rPr>
          <w:rFonts w:ascii="Bookman Old Style" w:hAnsi="Bookman Old Style" w:cs="Gill Sans Light (Arabid)"/>
          <w:bCs/>
          <w:sz w:val="24"/>
          <w:szCs w:val="24"/>
          <w:lang w:eastAsia="id-ID"/>
        </w:rPr>
        <w:t xml:space="preserve"> </w:t>
      </w:r>
      <w:r w:rsidRPr="00FF4F11">
        <w:rPr>
          <w:rFonts w:ascii="Bookman Old Style" w:hAnsi="Bookman Old Style" w:cs="Gill Sans Light (Arabid)"/>
          <w:bCs/>
          <w:sz w:val="24"/>
          <w:szCs w:val="24"/>
          <w:lang w:eastAsia="id-ID"/>
        </w:rPr>
        <w:t>Rp46.225.579.596,00</w:t>
      </w:r>
      <w:r w:rsidR="00A954D0" w:rsidRPr="003255BC">
        <w:rPr>
          <w:rFonts w:ascii="Bookman Old Style" w:hAnsi="Bookman Old Style" w:cs="Gill Sans Light (Arabid)"/>
          <w:bCs/>
          <w:sz w:val="24"/>
          <w:szCs w:val="24"/>
          <w:lang w:val="sv-FI" w:eastAsia="id-ID"/>
        </w:rPr>
        <w:t xml:space="preserve"> </w:t>
      </w:r>
      <w:r w:rsidR="00B15BAC" w:rsidRPr="003255BC">
        <w:rPr>
          <w:rFonts w:ascii="Bookman Old Style" w:hAnsi="Bookman Old Style" w:cs="Arial"/>
          <w:sz w:val="24"/>
          <w:szCs w:val="24"/>
          <w:lang w:val="sv-FI"/>
        </w:rPr>
        <w:t>yang</w:t>
      </w:r>
      <w:r w:rsidR="00A954D0" w:rsidRPr="003255BC">
        <w:rPr>
          <w:rFonts w:ascii="Bookman Old Style" w:hAnsi="Bookman Old Style" w:cs="Arial"/>
          <w:sz w:val="24"/>
          <w:szCs w:val="24"/>
          <w:lang w:val="sv-FI"/>
        </w:rPr>
        <w:t xml:space="preserve"> </w:t>
      </w:r>
      <w:r w:rsidR="00B15BAC" w:rsidRPr="003255BC">
        <w:rPr>
          <w:rFonts w:ascii="Bookman Old Style" w:hAnsi="Bookman Old Style" w:cs="Arial"/>
          <w:sz w:val="24"/>
          <w:szCs w:val="24"/>
          <w:lang w:val="sv-FI"/>
        </w:rPr>
        <w:t>antara</w:t>
      </w:r>
      <w:r w:rsidR="00A954D0" w:rsidRPr="003255BC">
        <w:rPr>
          <w:rFonts w:ascii="Bookman Old Style" w:hAnsi="Bookman Old Style" w:cs="Arial"/>
          <w:sz w:val="24"/>
          <w:szCs w:val="24"/>
          <w:lang w:val="sv-FI"/>
        </w:rPr>
        <w:t xml:space="preserve"> </w:t>
      </w:r>
      <w:r w:rsidR="00B15BAC" w:rsidRPr="003255BC">
        <w:rPr>
          <w:rFonts w:ascii="Bookman Old Style" w:hAnsi="Bookman Old Style" w:cs="Arial"/>
          <w:sz w:val="24"/>
          <w:szCs w:val="24"/>
          <w:lang w:val="sv-FI"/>
        </w:rPr>
        <w:t>lain</w:t>
      </w:r>
      <w:r w:rsidR="00A954D0" w:rsidRPr="003255BC">
        <w:rPr>
          <w:rFonts w:ascii="Bookman Old Style" w:hAnsi="Bookman Old Style" w:cs="Arial"/>
          <w:sz w:val="24"/>
          <w:szCs w:val="24"/>
          <w:lang w:val="sv-FI"/>
        </w:rPr>
        <w:t xml:space="preserve"> </w:t>
      </w:r>
      <w:r w:rsidR="00B15BAC" w:rsidRPr="003255BC">
        <w:rPr>
          <w:rFonts w:ascii="Bookman Old Style" w:hAnsi="Bookman Old Style" w:cs="Arial"/>
          <w:sz w:val="24"/>
          <w:szCs w:val="24"/>
          <w:lang w:val="sv-FI"/>
        </w:rPr>
        <w:t>diuraikan</w:t>
      </w:r>
      <w:r w:rsidR="00A954D0" w:rsidRPr="003255BC">
        <w:rPr>
          <w:rFonts w:ascii="Bookman Old Style" w:hAnsi="Bookman Old Style" w:cs="Arial"/>
          <w:sz w:val="24"/>
          <w:szCs w:val="24"/>
          <w:lang w:val="sv-FI"/>
        </w:rPr>
        <w:t xml:space="preserve"> </w:t>
      </w:r>
      <w:r w:rsidR="00B15BAC" w:rsidRPr="003255BC">
        <w:rPr>
          <w:rFonts w:ascii="Bookman Old Style" w:hAnsi="Bookman Old Style" w:cs="Arial"/>
          <w:sz w:val="24"/>
          <w:szCs w:val="24"/>
          <w:lang w:val="sv-FI"/>
        </w:rPr>
        <w:t>pada:</w:t>
      </w:r>
    </w:p>
    <w:p w14:paraId="6C78DC89" w14:textId="3017418C" w:rsidR="00B15BAC" w:rsidRPr="00256727" w:rsidRDefault="002B3096">
      <w:pPr>
        <w:pStyle w:val="ListParagraph"/>
        <w:numPr>
          <w:ilvl w:val="0"/>
          <w:numId w:val="135"/>
        </w:numPr>
        <w:spacing w:before="60" w:after="0" w:line="276" w:lineRule="auto"/>
        <w:ind w:left="3672" w:hanging="426"/>
        <w:contextualSpacing w:val="0"/>
        <w:jc w:val="both"/>
        <w:rPr>
          <w:rFonts w:ascii="Bookman Old Style" w:hAnsi="Bookman Old Style"/>
          <w:sz w:val="24"/>
          <w:szCs w:val="24"/>
          <w:lang w:val="sv-FI"/>
        </w:rPr>
      </w:pPr>
      <w:r w:rsidRPr="00256727">
        <w:rPr>
          <w:rFonts w:ascii="Bookman Old Style" w:hAnsi="Bookman Old Style"/>
          <w:sz w:val="24"/>
          <w:szCs w:val="24"/>
          <w:lang w:val="sv-FI"/>
        </w:rPr>
        <w:t>Dinas</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Perumahan,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Permukiman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dan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Pertanahan</w:t>
      </w:r>
      <w:r w:rsidR="00A954D0" w:rsidRPr="00256727">
        <w:rPr>
          <w:rFonts w:ascii="Bookman Old Style" w:hAnsi="Bookman Old Style"/>
          <w:sz w:val="24"/>
          <w:szCs w:val="24"/>
          <w:lang w:val="sv-FI"/>
        </w:rPr>
        <w:t xml:space="preserve"> </w:t>
      </w:r>
      <w:r w:rsidR="00A746E4" w:rsidRPr="00256727">
        <w:rPr>
          <w:rFonts w:ascii="Bookman Old Style" w:hAnsi="Bookman Old Style"/>
          <w:sz w:val="24"/>
          <w:szCs w:val="24"/>
          <w:lang w:val="sv-FI"/>
        </w:rPr>
        <w:t>Rp32.224.846.096,00</w:t>
      </w:r>
      <w:r w:rsidR="00A954D0" w:rsidRPr="00256727">
        <w:rPr>
          <w:rFonts w:ascii="Bookman Old Style" w:hAnsi="Bookman Old Style"/>
          <w:sz w:val="24"/>
          <w:szCs w:val="24"/>
          <w:lang w:val="sv-FI"/>
        </w:rPr>
        <w:t xml:space="preserve"> </w:t>
      </w:r>
      <w:r w:rsidR="00A746E4" w:rsidRPr="00256727">
        <w:rPr>
          <w:rFonts w:ascii="Bookman Old Style" w:hAnsi="Bookman Old Style"/>
          <w:sz w:val="24"/>
          <w:szCs w:val="24"/>
          <w:lang w:val="sv-FI"/>
        </w:rPr>
        <w:t>atau</w:t>
      </w:r>
      <w:r w:rsidR="00A954D0" w:rsidRPr="00256727">
        <w:rPr>
          <w:rFonts w:ascii="Bookman Old Style" w:hAnsi="Bookman Old Style"/>
          <w:sz w:val="24"/>
          <w:szCs w:val="24"/>
          <w:lang w:val="sv-FI"/>
        </w:rPr>
        <w:t xml:space="preserve"> </w:t>
      </w:r>
      <w:r w:rsidR="00A746E4" w:rsidRPr="00256727">
        <w:rPr>
          <w:rFonts w:ascii="Bookman Old Style" w:hAnsi="Bookman Old Style"/>
          <w:sz w:val="24"/>
          <w:szCs w:val="24"/>
          <w:lang w:val="sv-FI"/>
        </w:rPr>
        <w:t>69,71%</w:t>
      </w:r>
      <w:r w:rsidR="00A954D0">
        <w:rPr>
          <w:rFonts w:ascii="Bookman Old Style" w:hAnsi="Bookman Old Style"/>
          <w:sz w:val="24"/>
          <w:szCs w:val="24"/>
        </w:rPr>
        <w:t xml:space="preserve"> </w:t>
      </w:r>
      <w:r w:rsidR="00B15BAC" w:rsidRPr="00FF4F11">
        <w:rPr>
          <w:rFonts w:ascii="Bookman Old Style" w:hAnsi="Bookman Old Style"/>
          <w:sz w:val="24"/>
          <w:szCs w:val="24"/>
        </w:rPr>
        <w:t>dari</w:t>
      </w:r>
      <w:r w:rsidR="00A954D0">
        <w:rPr>
          <w:rFonts w:ascii="Bookman Old Style" w:hAnsi="Bookman Old Style"/>
          <w:sz w:val="24"/>
          <w:szCs w:val="24"/>
        </w:rPr>
        <w:t xml:space="preserve"> </w:t>
      </w:r>
      <w:r w:rsidR="00B15BAC" w:rsidRPr="00FF4F11">
        <w:rPr>
          <w:rFonts w:ascii="Bookman Old Style" w:hAnsi="Bookman Old Style"/>
          <w:sz w:val="24"/>
          <w:szCs w:val="24"/>
        </w:rPr>
        <w:t>total</w:t>
      </w:r>
      <w:r w:rsidR="00A954D0">
        <w:rPr>
          <w:rFonts w:ascii="Bookman Old Style" w:hAnsi="Bookman Old Style"/>
          <w:sz w:val="24"/>
          <w:szCs w:val="24"/>
        </w:rPr>
        <w:t xml:space="preserve"> </w:t>
      </w:r>
      <w:r w:rsidR="00724BA6" w:rsidRPr="00FF4F11">
        <w:rPr>
          <w:rFonts w:ascii="Bookman Old Style" w:hAnsi="Bookman Old Style" w:cs="Gill Sans Light (Arabid)"/>
          <w:bCs/>
          <w:sz w:val="24"/>
          <w:szCs w:val="24"/>
          <w:lang w:eastAsia="id-ID"/>
        </w:rPr>
        <w:t>Belanja</w:t>
      </w:r>
      <w:r w:rsidR="00A954D0">
        <w:rPr>
          <w:rFonts w:ascii="Bookman Old Style" w:hAnsi="Bookman Old Style" w:cs="Gill Sans Light (Arabid)"/>
          <w:bCs/>
          <w:sz w:val="24"/>
          <w:szCs w:val="24"/>
          <w:lang w:eastAsia="id-ID"/>
        </w:rPr>
        <w:t xml:space="preserve"> </w:t>
      </w:r>
      <w:r w:rsidR="00724BA6" w:rsidRPr="00FF4F11">
        <w:rPr>
          <w:rFonts w:ascii="Bookman Old Style" w:hAnsi="Bookman Old Style" w:cs="Gill Sans Light (Arabid)"/>
          <w:bCs/>
          <w:sz w:val="24"/>
          <w:szCs w:val="24"/>
          <w:lang w:eastAsia="id-ID"/>
        </w:rPr>
        <w:t>Barang</w:t>
      </w:r>
      <w:r w:rsidR="00A954D0">
        <w:rPr>
          <w:rFonts w:ascii="Bookman Old Style" w:hAnsi="Bookman Old Style" w:cs="Gill Sans Light (Arabid)"/>
          <w:bCs/>
          <w:sz w:val="24"/>
          <w:szCs w:val="24"/>
          <w:lang w:eastAsia="id-ID"/>
        </w:rPr>
        <w:t xml:space="preserve"> </w:t>
      </w:r>
      <w:r w:rsidR="00724BA6" w:rsidRPr="00FF4F11">
        <w:rPr>
          <w:rFonts w:ascii="Bookman Old Style" w:hAnsi="Bookman Old Style" w:cs="Gill Sans Light (Arabid)"/>
          <w:bCs/>
          <w:sz w:val="24"/>
          <w:szCs w:val="24"/>
          <w:lang w:eastAsia="id-ID"/>
        </w:rPr>
        <w:t>untuk</w:t>
      </w:r>
      <w:r w:rsidR="00A954D0">
        <w:rPr>
          <w:rFonts w:ascii="Bookman Old Style" w:hAnsi="Bookman Old Style" w:cs="Gill Sans Light (Arabid)"/>
          <w:bCs/>
          <w:sz w:val="24"/>
          <w:szCs w:val="24"/>
          <w:lang w:eastAsia="id-ID"/>
        </w:rPr>
        <w:t xml:space="preserve"> </w:t>
      </w:r>
      <w:r w:rsidR="00724BA6" w:rsidRPr="00FF4F11">
        <w:rPr>
          <w:rFonts w:ascii="Bookman Old Style" w:hAnsi="Bookman Old Style" w:cs="Gill Sans Light (Arabid)"/>
          <w:bCs/>
          <w:sz w:val="24"/>
          <w:szCs w:val="24"/>
          <w:lang w:eastAsia="id-ID"/>
        </w:rPr>
        <w:t>Dijual/Diserahkan</w:t>
      </w:r>
      <w:r w:rsidR="00A954D0">
        <w:rPr>
          <w:rFonts w:ascii="Bookman Old Style" w:hAnsi="Bookman Old Style" w:cs="Gill Sans Light (Arabid)"/>
          <w:bCs/>
          <w:sz w:val="24"/>
          <w:szCs w:val="24"/>
          <w:lang w:eastAsia="id-ID"/>
        </w:rPr>
        <w:t xml:space="preserve"> </w:t>
      </w:r>
      <w:r w:rsidR="00724BA6" w:rsidRPr="00FF4F11">
        <w:rPr>
          <w:rFonts w:ascii="Bookman Old Style" w:hAnsi="Bookman Old Style" w:cs="Gill Sans Light (Arabid)"/>
          <w:bCs/>
          <w:sz w:val="24"/>
          <w:szCs w:val="24"/>
          <w:lang w:eastAsia="id-ID"/>
        </w:rPr>
        <w:t>kepada</w:t>
      </w:r>
      <w:r w:rsidR="00A954D0">
        <w:rPr>
          <w:rFonts w:ascii="Bookman Old Style" w:hAnsi="Bookman Old Style" w:cs="Gill Sans Light (Arabid)"/>
          <w:bCs/>
          <w:sz w:val="24"/>
          <w:szCs w:val="24"/>
          <w:lang w:eastAsia="id-ID"/>
        </w:rPr>
        <w:t xml:space="preserve"> </w:t>
      </w:r>
      <w:r w:rsidR="00724BA6" w:rsidRPr="00FF4F11">
        <w:rPr>
          <w:rFonts w:ascii="Bookman Old Style" w:hAnsi="Bookman Old Style" w:cs="Gill Sans Light (Arabid)"/>
          <w:bCs/>
          <w:sz w:val="24"/>
          <w:szCs w:val="24"/>
          <w:lang w:eastAsia="id-ID"/>
        </w:rPr>
        <w:t>Masyarakat</w:t>
      </w:r>
      <w:r w:rsidR="00B15BAC" w:rsidRPr="00256727">
        <w:rPr>
          <w:rFonts w:ascii="Bookman Old Style" w:hAnsi="Bookman Old Style"/>
          <w:sz w:val="24"/>
          <w:szCs w:val="24"/>
          <w:lang w:val="sv-FI"/>
        </w:rPr>
        <w:t>;</w:t>
      </w:r>
    </w:p>
    <w:p w14:paraId="73B16FC6" w14:textId="02F5960F" w:rsidR="00B15BAC" w:rsidRPr="00256727" w:rsidRDefault="00A746E4">
      <w:pPr>
        <w:pStyle w:val="ListParagraph"/>
        <w:numPr>
          <w:ilvl w:val="0"/>
          <w:numId w:val="135"/>
        </w:numPr>
        <w:spacing w:before="60" w:after="0" w:line="276" w:lineRule="auto"/>
        <w:ind w:left="3672" w:hanging="426"/>
        <w:contextualSpacing w:val="0"/>
        <w:jc w:val="both"/>
        <w:rPr>
          <w:rFonts w:ascii="Bookman Old Style" w:hAnsi="Bookman Old Style"/>
          <w:sz w:val="24"/>
          <w:szCs w:val="24"/>
          <w:lang w:val="sv-FI"/>
        </w:rPr>
      </w:pPr>
      <w:r w:rsidRPr="00256727">
        <w:rPr>
          <w:rFonts w:ascii="Bookman Old Style" w:hAnsi="Bookman Old Style"/>
          <w:sz w:val="24"/>
          <w:szCs w:val="24"/>
          <w:lang w:val="sv-FI"/>
        </w:rPr>
        <w:t>Dinas</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Sosial</w:t>
      </w:r>
      <w:r w:rsidR="00A954D0" w:rsidRPr="00256727">
        <w:rPr>
          <w:rFonts w:ascii="Bookman Old Style" w:hAnsi="Bookman Old Style"/>
          <w:sz w:val="24"/>
          <w:szCs w:val="24"/>
          <w:lang w:val="sv-FI"/>
        </w:rPr>
        <w:t xml:space="preserve"> </w:t>
      </w:r>
      <w:r w:rsidR="0098454E" w:rsidRPr="00256727">
        <w:rPr>
          <w:rFonts w:ascii="Bookman Old Style" w:hAnsi="Bookman Old Style"/>
          <w:sz w:val="24"/>
          <w:szCs w:val="24"/>
          <w:lang w:val="sv-FI"/>
        </w:rPr>
        <w:t>Rp10.589.481.200,00</w:t>
      </w:r>
      <w:r w:rsidR="00A954D0" w:rsidRPr="00256727">
        <w:rPr>
          <w:rFonts w:ascii="Bookman Old Style" w:hAnsi="Bookman Old Style"/>
          <w:sz w:val="24"/>
          <w:szCs w:val="24"/>
          <w:lang w:val="sv-FI"/>
        </w:rPr>
        <w:t xml:space="preserve"> </w:t>
      </w:r>
      <w:r w:rsidR="0098454E" w:rsidRPr="00256727">
        <w:rPr>
          <w:rFonts w:ascii="Bookman Old Style" w:hAnsi="Bookman Old Style"/>
          <w:sz w:val="24"/>
          <w:szCs w:val="24"/>
          <w:lang w:val="sv-FI"/>
        </w:rPr>
        <w:t>atau</w:t>
      </w:r>
      <w:r w:rsidR="00A954D0" w:rsidRPr="00256727">
        <w:rPr>
          <w:rFonts w:ascii="Bookman Old Style" w:hAnsi="Bookman Old Style"/>
          <w:sz w:val="24"/>
          <w:szCs w:val="24"/>
          <w:lang w:val="sv-FI"/>
        </w:rPr>
        <w:t xml:space="preserve"> </w:t>
      </w:r>
      <w:r w:rsidR="0098454E" w:rsidRPr="00256727">
        <w:rPr>
          <w:rFonts w:ascii="Bookman Old Style" w:hAnsi="Bookman Old Style"/>
          <w:sz w:val="24"/>
          <w:szCs w:val="24"/>
          <w:lang w:val="sv-FI"/>
        </w:rPr>
        <w:t>22,91%</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dari</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total</w:t>
      </w:r>
      <w:r w:rsidR="00A954D0" w:rsidRPr="00256727">
        <w:rPr>
          <w:rFonts w:ascii="Bookman Old Style" w:hAnsi="Bookman Old Style"/>
          <w:sz w:val="24"/>
          <w:szCs w:val="24"/>
          <w:lang w:val="sv-FI"/>
        </w:rPr>
        <w:t xml:space="preserve"> </w:t>
      </w:r>
      <w:r w:rsidR="00724BA6" w:rsidRPr="00FF4F11">
        <w:rPr>
          <w:rFonts w:ascii="Bookman Old Style" w:hAnsi="Bookman Old Style" w:cs="Gill Sans Light (Arabid)"/>
          <w:bCs/>
          <w:sz w:val="24"/>
          <w:szCs w:val="24"/>
          <w:lang w:eastAsia="id-ID"/>
        </w:rPr>
        <w:t>Belanja</w:t>
      </w:r>
      <w:r w:rsidR="00A954D0">
        <w:rPr>
          <w:rFonts w:ascii="Bookman Old Style" w:hAnsi="Bookman Old Style" w:cs="Gill Sans Light (Arabid)"/>
          <w:bCs/>
          <w:sz w:val="24"/>
          <w:szCs w:val="24"/>
          <w:lang w:eastAsia="id-ID"/>
        </w:rPr>
        <w:t xml:space="preserve"> </w:t>
      </w:r>
      <w:r w:rsidR="00724BA6" w:rsidRPr="00FF4F11">
        <w:rPr>
          <w:rFonts w:ascii="Bookman Old Style" w:hAnsi="Bookman Old Style" w:cs="Gill Sans Light (Arabid)"/>
          <w:bCs/>
          <w:sz w:val="24"/>
          <w:szCs w:val="24"/>
          <w:lang w:eastAsia="id-ID"/>
        </w:rPr>
        <w:t>Barang</w:t>
      </w:r>
      <w:r w:rsidR="00A954D0">
        <w:rPr>
          <w:rFonts w:ascii="Bookman Old Style" w:hAnsi="Bookman Old Style" w:cs="Gill Sans Light (Arabid)"/>
          <w:bCs/>
          <w:sz w:val="24"/>
          <w:szCs w:val="24"/>
          <w:lang w:eastAsia="id-ID"/>
        </w:rPr>
        <w:t xml:space="preserve"> </w:t>
      </w:r>
      <w:r w:rsidR="00724BA6" w:rsidRPr="00FF4F11">
        <w:rPr>
          <w:rFonts w:ascii="Bookman Old Style" w:hAnsi="Bookman Old Style" w:cs="Gill Sans Light (Arabid)"/>
          <w:bCs/>
          <w:sz w:val="24"/>
          <w:szCs w:val="24"/>
          <w:lang w:eastAsia="id-ID"/>
        </w:rPr>
        <w:t>untuk</w:t>
      </w:r>
      <w:r w:rsidR="00A954D0">
        <w:rPr>
          <w:rFonts w:ascii="Bookman Old Style" w:hAnsi="Bookman Old Style" w:cs="Gill Sans Light (Arabid)"/>
          <w:bCs/>
          <w:sz w:val="24"/>
          <w:szCs w:val="24"/>
          <w:lang w:eastAsia="id-ID"/>
        </w:rPr>
        <w:t xml:space="preserve"> </w:t>
      </w:r>
      <w:r w:rsidR="00724BA6" w:rsidRPr="00FF4F11">
        <w:rPr>
          <w:rFonts w:ascii="Bookman Old Style" w:hAnsi="Bookman Old Style" w:cs="Gill Sans Light (Arabid)"/>
          <w:bCs/>
          <w:sz w:val="24"/>
          <w:szCs w:val="24"/>
          <w:lang w:eastAsia="id-ID"/>
        </w:rPr>
        <w:t>Dijual/Diserahkan</w:t>
      </w:r>
      <w:r w:rsidR="00A954D0">
        <w:rPr>
          <w:rFonts w:ascii="Bookman Old Style" w:hAnsi="Bookman Old Style" w:cs="Gill Sans Light (Arabid)"/>
          <w:bCs/>
          <w:sz w:val="24"/>
          <w:szCs w:val="24"/>
          <w:lang w:eastAsia="id-ID"/>
        </w:rPr>
        <w:t xml:space="preserve"> </w:t>
      </w:r>
      <w:r w:rsidR="00724BA6" w:rsidRPr="00FF4F11">
        <w:rPr>
          <w:rFonts w:ascii="Bookman Old Style" w:hAnsi="Bookman Old Style" w:cs="Gill Sans Light (Arabid)"/>
          <w:bCs/>
          <w:sz w:val="24"/>
          <w:szCs w:val="24"/>
          <w:lang w:eastAsia="id-ID"/>
        </w:rPr>
        <w:t>kepada</w:t>
      </w:r>
      <w:r w:rsidR="00A954D0">
        <w:rPr>
          <w:rFonts w:ascii="Bookman Old Style" w:hAnsi="Bookman Old Style" w:cs="Gill Sans Light (Arabid)"/>
          <w:bCs/>
          <w:sz w:val="24"/>
          <w:szCs w:val="24"/>
          <w:lang w:eastAsia="id-ID"/>
        </w:rPr>
        <w:t xml:space="preserve"> </w:t>
      </w:r>
      <w:r w:rsidR="00724BA6" w:rsidRPr="00FF4F11">
        <w:rPr>
          <w:rFonts w:ascii="Bookman Old Style" w:hAnsi="Bookman Old Style" w:cs="Gill Sans Light (Arabid)"/>
          <w:bCs/>
          <w:sz w:val="24"/>
          <w:szCs w:val="24"/>
          <w:lang w:eastAsia="id-ID"/>
        </w:rPr>
        <w:t>Masyarakat</w:t>
      </w:r>
      <w:r w:rsidR="008B21D9">
        <w:rPr>
          <w:rFonts w:ascii="Bookman Old Style" w:hAnsi="Bookman Old Style"/>
          <w:sz w:val="24"/>
          <w:szCs w:val="24"/>
          <w:lang w:val="sv-FI"/>
        </w:rPr>
        <w:t>.</w:t>
      </w:r>
    </w:p>
    <w:p w14:paraId="26CE7748" w14:textId="35431874" w:rsidR="00B15BAC" w:rsidRPr="00224E10" w:rsidRDefault="008B21D9" w:rsidP="008B21D9">
      <w:pPr>
        <w:pStyle w:val="ListParagraph"/>
        <w:snapToGrid w:val="0"/>
        <w:spacing w:before="60" w:after="0" w:line="276" w:lineRule="auto"/>
        <w:ind w:left="2694"/>
        <w:contextualSpacing w:val="0"/>
        <w:jc w:val="both"/>
        <w:rPr>
          <w:rFonts w:ascii="Bookman Old Style" w:hAnsi="Bookman Old Style"/>
          <w:sz w:val="24"/>
          <w:szCs w:val="24"/>
        </w:rPr>
      </w:pPr>
      <w:r>
        <w:rPr>
          <w:rFonts w:ascii="Bookman Old Style" w:hAnsi="Bookman Old Style"/>
          <w:sz w:val="24"/>
          <w:szCs w:val="24"/>
          <w:lang w:val="sv-FI"/>
        </w:rPr>
        <w:t>U</w:t>
      </w:r>
      <w:r w:rsidR="00B15BAC" w:rsidRPr="00256727">
        <w:rPr>
          <w:rFonts w:ascii="Bookman Old Style" w:hAnsi="Bookman Old Style"/>
          <w:sz w:val="24"/>
          <w:szCs w:val="24"/>
          <w:lang w:val="sv-FI"/>
        </w:rPr>
        <w:t>ntuk</w:t>
      </w:r>
      <w:r w:rsidR="00A954D0" w:rsidRPr="00256727">
        <w:rPr>
          <w:rFonts w:ascii="Bookman Old Style" w:hAnsi="Bookman Old Style"/>
          <w:sz w:val="24"/>
          <w:szCs w:val="24"/>
          <w:lang w:val="sv-FI"/>
        </w:rPr>
        <w:t xml:space="preserve"> </w:t>
      </w:r>
      <w:r w:rsidR="00B15BAC" w:rsidRPr="00FF4F11">
        <w:rPr>
          <w:rFonts w:ascii="Bookman Old Style" w:hAnsi="Bookman Old Style"/>
          <w:sz w:val="24"/>
          <w:szCs w:val="24"/>
        </w:rPr>
        <w:t>dirasionalkan</w:t>
      </w:r>
      <w:r w:rsidR="00A954D0">
        <w:rPr>
          <w:rFonts w:ascii="Bookman Old Style" w:hAnsi="Bookman Old Style"/>
          <w:sz w:val="24"/>
          <w:szCs w:val="24"/>
        </w:rPr>
        <w:t xml:space="preserve"> </w:t>
      </w:r>
      <w:r w:rsidR="00B15BAC" w:rsidRPr="00256727">
        <w:rPr>
          <w:rFonts w:ascii="Bookman Old Style" w:hAnsi="Bookman Old Style"/>
          <w:sz w:val="24"/>
          <w:szCs w:val="24"/>
          <w:lang w:val="sv-FI"/>
        </w:rPr>
        <w:t>besaran</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alokasi</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anggarannya</w:t>
      </w:r>
      <w:r w:rsidR="00A954D0" w:rsidRPr="00256727">
        <w:rPr>
          <w:rFonts w:ascii="Bookman Old Style" w:hAnsi="Bookman Old Style"/>
          <w:sz w:val="24"/>
          <w:szCs w:val="24"/>
          <w:lang w:val="sv-FI"/>
        </w:rPr>
        <w:t xml:space="preserve"> </w:t>
      </w:r>
      <w:r w:rsidR="00B15BAC" w:rsidRPr="00FF4F11">
        <w:rPr>
          <w:rFonts w:ascii="Bookman Old Style" w:hAnsi="Bookman Old Style"/>
          <w:sz w:val="24"/>
          <w:szCs w:val="24"/>
        </w:rPr>
        <w:t>dengan</w:t>
      </w:r>
      <w:r w:rsidR="00A954D0">
        <w:rPr>
          <w:rFonts w:ascii="Bookman Old Style" w:hAnsi="Bookman Old Style"/>
          <w:sz w:val="24"/>
          <w:szCs w:val="24"/>
        </w:rPr>
        <w:t xml:space="preserve"> </w:t>
      </w:r>
      <w:r w:rsidR="00B15BAC" w:rsidRPr="00FF4F11">
        <w:rPr>
          <w:rFonts w:ascii="Bookman Old Style" w:hAnsi="Bookman Old Style"/>
          <w:sz w:val="24"/>
          <w:szCs w:val="24"/>
        </w:rPr>
        <w:t>memperhatikan</w:t>
      </w:r>
      <w:r w:rsidR="00A954D0">
        <w:rPr>
          <w:rFonts w:ascii="Bookman Old Style" w:hAnsi="Bookman Old Style"/>
          <w:sz w:val="24"/>
          <w:szCs w:val="24"/>
        </w:rPr>
        <w:t xml:space="preserve"> </w:t>
      </w:r>
      <w:r w:rsidR="00B15BAC" w:rsidRPr="00FF4F11">
        <w:rPr>
          <w:rFonts w:ascii="Bookman Old Style" w:hAnsi="Bookman Old Style"/>
          <w:sz w:val="24"/>
          <w:szCs w:val="24"/>
        </w:rPr>
        <w:t>aspek</w:t>
      </w:r>
      <w:r w:rsidR="00A954D0">
        <w:rPr>
          <w:rFonts w:ascii="Bookman Old Style" w:hAnsi="Bookman Old Style"/>
          <w:sz w:val="24"/>
          <w:szCs w:val="24"/>
        </w:rPr>
        <w:t xml:space="preserve"> </w:t>
      </w:r>
      <w:r w:rsidR="00B15BAC" w:rsidRPr="00FF4F11">
        <w:rPr>
          <w:rFonts w:ascii="Bookman Old Style" w:hAnsi="Bookman Old Style"/>
          <w:sz w:val="24"/>
          <w:szCs w:val="24"/>
        </w:rPr>
        <w:t>efektivitas,</w:t>
      </w:r>
      <w:r w:rsidR="00A954D0">
        <w:rPr>
          <w:rFonts w:ascii="Bookman Old Style" w:hAnsi="Bookman Old Style"/>
          <w:sz w:val="24"/>
          <w:szCs w:val="24"/>
        </w:rPr>
        <w:t xml:space="preserve"> </w:t>
      </w:r>
      <w:r w:rsidR="00B15BAC" w:rsidRPr="00FF4F11">
        <w:rPr>
          <w:rFonts w:ascii="Bookman Old Style" w:hAnsi="Bookman Old Style"/>
          <w:sz w:val="24"/>
          <w:szCs w:val="24"/>
        </w:rPr>
        <w:t>efisiensi,</w:t>
      </w:r>
      <w:r w:rsidR="00A954D0">
        <w:rPr>
          <w:rFonts w:ascii="Bookman Old Style" w:hAnsi="Bookman Old Style"/>
          <w:sz w:val="24"/>
          <w:szCs w:val="24"/>
        </w:rPr>
        <w:t xml:space="preserve"> </w:t>
      </w:r>
      <w:r w:rsidR="00B15BAC" w:rsidRPr="00FF4F11">
        <w:rPr>
          <w:rFonts w:ascii="Bookman Old Style" w:hAnsi="Bookman Old Style"/>
          <w:sz w:val="24"/>
          <w:szCs w:val="24"/>
        </w:rPr>
        <w:t>kepatutan</w:t>
      </w:r>
      <w:r w:rsidR="00A954D0">
        <w:rPr>
          <w:rFonts w:ascii="Bookman Old Style" w:hAnsi="Bookman Old Style"/>
          <w:sz w:val="24"/>
          <w:szCs w:val="24"/>
        </w:rPr>
        <w:t xml:space="preserve"> </w:t>
      </w:r>
      <w:r w:rsidR="00B15BAC" w:rsidRPr="00FF4F11">
        <w:rPr>
          <w:rFonts w:ascii="Bookman Old Style" w:hAnsi="Bookman Old Style"/>
          <w:sz w:val="24"/>
          <w:szCs w:val="24"/>
        </w:rPr>
        <w:t>dan</w:t>
      </w:r>
      <w:r w:rsidR="00A954D0">
        <w:rPr>
          <w:rFonts w:ascii="Bookman Old Style" w:hAnsi="Bookman Old Style"/>
          <w:sz w:val="24"/>
          <w:szCs w:val="24"/>
        </w:rPr>
        <w:t xml:space="preserve"> </w:t>
      </w:r>
      <w:r w:rsidR="00B15BAC" w:rsidRPr="00FF4F11">
        <w:rPr>
          <w:rFonts w:ascii="Bookman Old Style" w:hAnsi="Bookman Old Style"/>
          <w:sz w:val="24"/>
          <w:szCs w:val="24"/>
        </w:rPr>
        <w:t>kewajaran</w:t>
      </w:r>
      <w:r w:rsidR="00A954D0">
        <w:rPr>
          <w:rFonts w:ascii="Bookman Old Style" w:hAnsi="Bookman Old Style"/>
          <w:sz w:val="24"/>
          <w:szCs w:val="24"/>
        </w:rPr>
        <w:t xml:space="preserve"> </w:t>
      </w:r>
      <w:r w:rsidR="00B15BAC" w:rsidRPr="00FF4F11">
        <w:rPr>
          <w:rFonts w:ascii="Bookman Old Style" w:hAnsi="Bookman Old Style"/>
          <w:sz w:val="24"/>
          <w:szCs w:val="24"/>
        </w:rPr>
        <w:t>serta</w:t>
      </w:r>
      <w:r w:rsidR="00A954D0">
        <w:rPr>
          <w:rFonts w:ascii="Bookman Old Style" w:hAnsi="Bookman Old Style"/>
          <w:sz w:val="24"/>
          <w:szCs w:val="24"/>
        </w:rPr>
        <w:t xml:space="preserve"> </w:t>
      </w:r>
      <w:r w:rsidR="00B15BAC" w:rsidRPr="00FF4F11">
        <w:rPr>
          <w:rFonts w:ascii="Bookman Old Style" w:hAnsi="Bookman Old Style"/>
          <w:sz w:val="24"/>
          <w:szCs w:val="24"/>
        </w:rPr>
        <w:t>penghematan</w:t>
      </w:r>
      <w:r w:rsidR="00A954D0">
        <w:rPr>
          <w:rFonts w:ascii="Bookman Old Style" w:hAnsi="Bookman Old Style"/>
          <w:sz w:val="24"/>
          <w:szCs w:val="24"/>
        </w:rPr>
        <w:t xml:space="preserve"> </w:t>
      </w:r>
      <w:r w:rsidR="00B15BAC" w:rsidRPr="00FF4F11">
        <w:rPr>
          <w:rFonts w:ascii="Bookman Old Style" w:hAnsi="Bookman Old Style"/>
          <w:sz w:val="24"/>
          <w:szCs w:val="24"/>
        </w:rPr>
        <w:t>penggunaan</w:t>
      </w:r>
      <w:r w:rsidR="00A954D0">
        <w:rPr>
          <w:rFonts w:ascii="Bookman Old Style" w:hAnsi="Bookman Old Style"/>
          <w:sz w:val="24"/>
          <w:szCs w:val="24"/>
        </w:rPr>
        <w:t xml:space="preserve"> </w:t>
      </w:r>
      <w:r w:rsidR="00B15BAC" w:rsidRPr="00FF4F11">
        <w:rPr>
          <w:rFonts w:ascii="Bookman Old Style" w:hAnsi="Bookman Old Style"/>
          <w:sz w:val="24"/>
          <w:szCs w:val="24"/>
        </w:rPr>
        <w:t>anggaran</w:t>
      </w:r>
      <w:r w:rsidR="00A954D0">
        <w:rPr>
          <w:rFonts w:ascii="Bookman Old Style" w:hAnsi="Bookman Old Style"/>
          <w:sz w:val="24"/>
          <w:szCs w:val="24"/>
        </w:rPr>
        <w:t xml:space="preserve"> </w:t>
      </w:r>
      <w:r w:rsidR="00B15BAC" w:rsidRPr="00FF4F11">
        <w:rPr>
          <w:rFonts w:ascii="Bookman Old Style" w:hAnsi="Bookman Old Style"/>
          <w:sz w:val="24"/>
          <w:szCs w:val="24"/>
        </w:rPr>
        <w:t>dan</w:t>
      </w:r>
      <w:r w:rsidR="00A954D0">
        <w:rPr>
          <w:rFonts w:ascii="Bookman Old Style" w:hAnsi="Bookman Old Style"/>
          <w:sz w:val="24"/>
          <w:szCs w:val="24"/>
        </w:rPr>
        <w:t xml:space="preserve"> </w:t>
      </w:r>
      <w:r w:rsidR="00B15BAC" w:rsidRPr="00FF4F11">
        <w:rPr>
          <w:rFonts w:ascii="Bookman Old Style" w:hAnsi="Bookman Old Style"/>
          <w:sz w:val="24"/>
          <w:szCs w:val="24"/>
        </w:rPr>
        <w:t>disesuaikan</w:t>
      </w:r>
      <w:r w:rsidR="00A954D0">
        <w:rPr>
          <w:rFonts w:ascii="Bookman Old Style" w:hAnsi="Bookman Old Style"/>
          <w:sz w:val="24"/>
          <w:szCs w:val="24"/>
        </w:rPr>
        <w:t xml:space="preserve"> </w:t>
      </w:r>
      <w:r w:rsidR="00B15BAC" w:rsidRPr="00FF4F11">
        <w:rPr>
          <w:rFonts w:ascii="Bookman Old Style" w:hAnsi="Bookman Old Style"/>
          <w:sz w:val="24"/>
          <w:szCs w:val="24"/>
          <w:lang w:val="id-ID"/>
        </w:rPr>
        <w:t>dengan</w:t>
      </w:r>
      <w:r w:rsidR="00A954D0">
        <w:rPr>
          <w:rFonts w:ascii="Bookman Old Style" w:hAnsi="Bookman Old Style"/>
          <w:sz w:val="24"/>
          <w:szCs w:val="24"/>
        </w:rPr>
        <w:t xml:space="preserve"> </w:t>
      </w:r>
      <w:r w:rsidR="00B15BAC" w:rsidRPr="00FF4F11">
        <w:rPr>
          <w:rFonts w:ascii="Bookman Old Style" w:hAnsi="Bookman Old Style"/>
          <w:sz w:val="24"/>
          <w:szCs w:val="24"/>
        </w:rPr>
        <w:t>kebutuhan</w:t>
      </w:r>
      <w:r w:rsidR="00A954D0">
        <w:rPr>
          <w:rFonts w:ascii="Bookman Old Style" w:hAnsi="Bookman Old Style"/>
          <w:sz w:val="24"/>
          <w:szCs w:val="24"/>
        </w:rPr>
        <w:t xml:space="preserve"> </w:t>
      </w:r>
      <w:r w:rsidR="00B15BAC" w:rsidRPr="00FF4F11">
        <w:rPr>
          <w:rFonts w:ascii="Bookman Old Style" w:hAnsi="Bookman Old Style"/>
          <w:sz w:val="24"/>
          <w:szCs w:val="24"/>
        </w:rPr>
        <w:t>nyata</w:t>
      </w:r>
      <w:r w:rsidR="00A954D0">
        <w:rPr>
          <w:rFonts w:ascii="Bookman Old Style" w:hAnsi="Bookman Old Style"/>
          <w:sz w:val="24"/>
          <w:szCs w:val="24"/>
        </w:rPr>
        <w:t xml:space="preserve"> </w:t>
      </w:r>
      <w:r w:rsidR="00B15BAC" w:rsidRPr="00FF4F11">
        <w:rPr>
          <w:rFonts w:ascii="Bookman Old Style" w:hAnsi="Bookman Old Style"/>
          <w:sz w:val="24"/>
          <w:szCs w:val="24"/>
        </w:rPr>
        <w:t>pada</w:t>
      </w:r>
      <w:r w:rsidR="00A954D0">
        <w:rPr>
          <w:rFonts w:ascii="Bookman Old Style" w:hAnsi="Bookman Old Style"/>
          <w:sz w:val="24"/>
          <w:szCs w:val="24"/>
        </w:rPr>
        <w:t xml:space="preserve"> </w:t>
      </w:r>
      <w:r w:rsidR="00B15BAC" w:rsidRPr="00FF4F11">
        <w:rPr>
          <w:rFonts w:ascii="Bookman Old Style" w:hAnsi="Bookman Old Style"/>
          <w:sz w:val="24"/>
          <w:szCs w:val="24"/>
        </w:rPr>
        <w:t>masing-masing</w:t>
      </w:r>
      <w:r w:rsidR="00A954D0">
        <w:rPr>
          <w:rFonts w:ascii="Bookman Old Style" w:hAnsi="Bookman Old Style"/>
          <w:sz w:val="24"/>
          <w:szCs w:val="24"/>
        </w:rPr>
        <w:t xml:space="preserve"> </w:t>
      </w:r>
      <w:r w:rsidR="00B15BAC" w:rsidRPr="00FF4F11">
        <w:rPr>
          <w:rFonts w:ascii="Bookman Old Style" w:hAnsi="Bookman Old Style"/>
          <w:sz w:val="24"/>
          <w:szCs w:val="24"/>
        </w:rPr>
        <w:t>kegiatan</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dan</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sub</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kegiatan</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yang</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didasarkan</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atas</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pelaksanaan</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tugas</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dan</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fungsi</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SKPD</w:t>
      </w:r>
      <w:r w:rsidR="00A954D0">
        <w:rPr>
          <w:rFonts w:ascii="Bookman Old Style" w:hAnsi="Bookman Old Style"/>
          <w:sz w:val="24"/>
          <w:szCs w:val="24"/>
          <w:lang w:val="id-ID"/>
        </w:rPr>
        <w:t xml:space="preserve"> </w:t>
      </w:r>
      <w:r w:rsidR="00B15BAC" w:rsidRPr="00FF4F11">
        <w:rPr>
          <w:rFonts w:ascii="Bookman Old Style" w:hAnsi="Bookman Old Style"/>
          <w:sz w:val="24"/>
          <w:szCs w:val="24"/>
          <w:lang w:val="id-ID"/>
        </w:rPr>
        <w:t>untuk</w:t>
      </w:r>
      <w:r w:rsidR="00A954D0">
        <w:rPr>
          <w:rFonts w:ascii="Bookman Old Style" w:hAnsi="Bookman Old Style"/>
          <w:sz w:val="24"/>
          <w:szCs w:val="24"/>
          <w:lang w:val="id-ID"/>
        </w:rPr>
        <w:t xml:space="preserve"> </w:t>
      </w:r>
      <w:r w:rsidR="00B15BAC" w:rsidRPr="00FF4F11">
        <w:rPr>
          <w:rFonts w:ascii="Bookman Old Style" w:hAnsi="Bookman Old Style"/>
          <w:sz w:val="24"/>
          <w:szCs w:val="24"/>
          <w:lang w:val="id-ID"/>
        </w:rPr>
        <w:t>hal-hal</w:t>
      </w:r>
      <w:r w:rsidR="00A954D0">
        <w:rPr>
          <w:rFonts w:ascii="Bookman Old Style" w:hAnsi="Bookman Old Style"/>
          <w:sz w:val="24"/>
          <w:szCs w:val="24"/>
          <w:lang w:val="id-ID"/>
        </w:rPr>
        <w:t xml:space="preserve"> </w:t>
      </w:r>
      <w:r w:rsidR="00B15BAC" w:rsidRPr="00FF4F11">
        <w:rPr>
          <w:rFonts w:ascii="Bookman Old Style" w:hAnsi="Bookman Old Style"/>
          <w:sz w:val="24"/>
          <w:szCs w:val="24"/>
          <w:lang w:val="id-ID"/>
        </w:rPr>
        <w:t>yang</w:t>
      </w:r>
      <w:r w:rsidR="00A954D0">
        <w:rPr>
          <w:rFonts w:ascii="Bookman Old Style" w:hAnsi="Bookman Old Style"/>
          <w:sz w:val="24"/>
          <w:szCs w:val="24"/>
          <w:lang w:val="id-ID"/>
        </w:rPr>
        <w:t xml:space="preserve"> </w:t>
      </w:r>
      <w:r w:rsidR="00B15BAC" w:rsidRPr="00FF4F11">
        <w:rPr>
          <w:rFonts w:ascii="Bookman Old Style" w:hAnsi="Bookman Old Style"/>
          <w:sz w:val="24"/>
          <w:szCs w:val="24"/>
          <w:lang w:val="id-ID"/>
        </w:rPr>
        <w:t>mempunyai</w:t>
      </w:r>
      <w:r w:rsidR="00A954D0">
        <w:rPr>
          <w:rFonts w:ascii="Bookman Old Style" w:hAnsi="Bookman Old Style"/>
          <w:sz w:val="24"/>
          <w:szCs w:val="24"/>
          <w:lang w:val="id-ID"/>
        </w:rPr>
        <w:t xml:space="preserve"> </w:t>
      </w:r>
      <w:r w:rsidR="00B15BAC" w:rsidRPr="00FF4F11">
        <w:rPr>
          <w:rFonts w:ascii="Bookman Old Style" w:hAnsi="Bookman Old Style"/>
          <w:sz w:val="24"/>
          <w:szCs w:val="24"/>
          <w:lang w:val="id-ID"/>
        </w:rPr>
        <w:t>prioritas</w:t>
      </w:r>
      <w:r w:rsidR="00A954D0">
        <w:rPr>
          <w:rFonts w:ascii="Bookman Old Style" w:hAnsi="Bookman Old Style"/>
          <w:sz w:val="24"/>
          <w:szCs w:val="24"/>
          <w:lang w:val="id-ID"/>
        </w:rPr>
        <w:t xml:space="preserve"> </w:t>
      </w:r>
      <w:r w:rsidR="00B15BAC" w:rsidRPr="00FF4F11">
        <w:rPr>
          <w:rFonts w:ascii="Bookman Old Style" w:hAnsi="Bookman Old Style"/>
          <w:sz w:val="24"/>
          <w:szCs w:val="24"/>
          <w:lang w:val="id-ID"/>
        </w:rPr>
        <w:t>tinggi</w:t>
      </w:r>
      <w:r w:rsidR="00A954D0">
        <w:rPr>
          <w:rFonts w:ascii="Bookman Old Style" w:hAnsi="Bookman Old Style"/>
          <w:sz w:val="24"/>
          <w:szCs w:val="24"/>
          <w:lang w:val="id-ID"/>
        </w:rPr>
        <w:t xml:space="preserve"> </w:t>
      </w:r>
      <w:r w:rsidR="00B15BAC" w:rsidRPr="00FF4F11">
        <w:rPr>
          <w:rFonts w:ascii="Bookman Old Style" w:hAnsi="Bookman Old Style"/>
          <w:sz w:val="24"/>
          <w:szCs w:val="24"/>
          <w:lang w:val="id-ID"/>
        </w:rPr>
        <w:t>dan</w:t>
      </w:r>
      <w:r w:rsidR="00A954D0">
        <w:rPr>
          <w:rFonts w:ascii="Bookman Old Style" w:hAnsi="Bookman Old Style"/>
          <w:sz w:val="24"/>
          <w:szCs w:val="24"/>
          <w:lang w:val="id-ID"/>
        </w:rPr>
        <w:t xml:space="preserve"> </w:t>
      </w:r>
      <w:r w:rsidR="00B15BAC" w:rsidRPr="00FF4F11">
        <w:rPr>
          <w:rFonts w:ascii="Bookman Old Style" w:hAnsi="Bookman Old Style"/>
          <w:sz w:val="24"/>
          <w:szCs w:val="24"/>
          <w:lang w:val="id-ID"/>
        </w:rPr>
        <w:t>penting,</w:t>
      </w:r>
      <w:r w:rsidR="00A954D0">
        <w:rPr>
          <w:rFonts w:ascii="Bookman Old Style" w:hAnsi="Bookman Old Style"/>
          <w:sz w:val="24"/>
          <w:szCs w:val="24"/>
          <w:lang w:val="id-ID"/>
        </w:rPr>
        <w:t xml:space="preserve"> </w:t>
      </w:r>
      <w:r w:rsidR="00B15BAC" w:rsidRPr="00FF4F11">
        <w:rPr>
          <w:rFonts w:ascii="Bookman Old Style" w:hAnsi="Bookman Old Style"/>
          <w:sz w:val="24"/>
          <w:szCs w:val="24"/>
          <w:lang w:val="id-ID"/>
        </w:rPr>
        <w:t>dilakukan</w:t>
      </w:r>
      <w:r w:rsidR="00A954D0">
        <w:rPr>
          <w:rFonts w:ascii="Bookman Old Style" w:hAnsi="Bookman Old Style"/>
          <w:sz w:val="24"/>
          <w:szCs w:val="24"/>
        </w:rPr>
        <w:t xml:space="preserve"> </w:t>
      </w:r>
      <w:r w:rsidR="00B15BAC" w:rsidRPr="00FF4F11">
        <w:rPr>
          <w:rFonts w:ascii="Bookman Old Style" w:hAnsi="Bookman Old Style"/>
          <w:sz w:val="24"/>
          <w:szCs w:val="24"/>
        </w:rPr>
        <w:t>secara</w:t>
      </w:r>
      <w:r w:rsidR="00A954D0">
        <w:rPr>
          <w:rFonts w:ascii="Bookman Old Style" w:hAnsi="Bookman Old Style"/>
          <w:sz w:val="24"/>
          <w:szCs w:val="24"/>
        </w:rPr>
        <w:t xml:space="preserve"> </w:t>
      </w:r>
      <w:r w:rsidR="00B15BAC" w:rsidRPr="00FF4F11">
        <w:rPr>
          <w:rFonts w:ascii="Bookman Old Style" w:hAnsi="Bookman Old Style"/>
          <w:sz w:val="24"/>
          <w:szCs w:val="24"/>
        </w:rPr>
        <w:t>selektif</w:t>
      </w:r>
      <w:r w:rsidR="00B15BAC" w:rsidRPr="00256727">
        <w:rPr>
          <w:rFonts w:ascii="Bookman Old Style" w:hAnsi="Bookman Old Style"/>
          <w:sz w:val="24"/>
          <w:szCs w:val="24"/>
          <w:lang w:val="sv-FI"/>
        </w:rPr>
        <w:t>,</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berpedoman</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pada</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standar</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kebutuhan</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yang</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ditetapkan</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oleh</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Kepala</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Daerah</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serta</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memperhitungkan</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estimasi</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sisa</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persediaan</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barang</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Tahun</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Anggaran</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202</w:t>
      </w:r>
      <w:r w:rsidR="00E672F3" w:rsidRPr="00256727">
        <w:rPr>
          <w:rFonts w:ascii="Bookman Old Style" w:hAnsi="Bookman Old Style"/>
          <w:sz w:val="24"/>
          <w:szCs w:val="24"/>
          <w:lang w:val="sv-FI"/>
        </w:rPr>
        <w:t>4</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dengan</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menerapkan</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digitalisasi</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pengelolaan</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administrasi</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dalam</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rangka</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efisiensi</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dan</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efektivitas</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penggunaannya</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sesuai</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dengan</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ketentuan</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peraturan</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perundang-undangan,</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sebagaimana</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maksud</w:t>
      </w:r>
      <w:r w:rsidR="00A954D0" w:rsidRPr="00256727">
        <w:rPr>
          <w:rFonts w:ascii="Bookman Old Style" w:hAnsi="Bookman Old Style"/>
          <w:sz w:val="24"/>
          <w:szCs w:val="24"/>
          <w:lang w:val="sv-FI"/>
        </w:rPr>
        <w:t xml:space="preserve"> </w:t>
      </w:r>
      <w:r w:rsidR="00B15BAC" w:rsidRPr="00FF4F11">
        <w:rPr>
          <w:rFonts w:ascii="Bookman Old Style" w:hAnsi="Bookman Old Style"/>
          <w:sz w:val="24"/>
          <w:szCs w:val="24"/>
        </w:rPr>
        <w:t>Pasal</w:t>
      </w:r>
      <w:r w:rsidR="00A954D0">
        <w:rPr>
          <w:rFonts w:ascii="Bookman Old Style" w:hAnsi="Bookman Old Style"/>
          <w:sz w:val="24"/>
          <w:szCs w:val="24"/>
        </w:rPr>
        <w:t xml:space="preserve"> </w:t>
      </w:r>
      <w:r w:rsidR="00B15BAC" w:rsidRPr="00FF4F11">
        <w:rPr>
          <w:rFonts w:ascii="Bookman Old Style" w:hAnsi="Bookman Old Style"/>
          <w:sz w:val="24"/>
          <w:szCs w:val="24"/>
        </w:rPr>
        <w:t>3</w:t>
      </w:r>
      <w:r w:rsidR="00A954D0">
        <w:rPr>
          <w:rFonts w:ascii="Bookman Old Style" w:hAnsi="Bookman Old Style"/>
          <w:sz w:val="24"/>
          <w:szCs w:val="24"/>
        </w:rPr>
        <w:t xml:space="preserve"> </w:t>
      </w:r>
      <w:r w:rsidR="00B15BAC" w:rsidRPr="00FF4F11">
        <w:rPr>
          <w:rFonts w:ascii="Bookman Old Style" w:hAnsi="Bookman Old Style"/>
          <w:sz w:val="24"/>
          <w:szCs w:val="24"/>
        </w:rPr>
        <w:t>ayat</w:t>
      </w:r>
      <w:r w:rsidR="00A954D0">
        <w:rPr>
          <w:rFonts w:ascii="Bookman Old Style" w:hAnsi="Bookman Old Style"/>
          <w:sz w:val="24"/>
          <w:szCs w:val="24"/>
        </w:rPr>
        <w:t xml:space="preserve"> </w:t>
      </w:r>
      <w:r w:rsidR="00B15BAC" w:rsidRPr="00FF4F11">
        <w:rPr>
          <w:rFonts w:ascii="Bookman Old Style" w:hAnsi="Bookman Old Style"/>
          <w:sz w:val="24"/>
          <w:szCs w:val="24"/>
        </w:rPr>
        <w:t>(1)</w:t>
      </w:r>
      <w:r w:rsidR="00A954D0">
        <w:rPr>
          <w:rFonts w:ascii="Bookman Old Style" w:hAnsi="Bookman Old Style"/>
          <w:sz w:val="24"/>
          <w:szCs w:val="24"/>
        </w:rPr>
        <w:t xml:space="preserve"> </w:t>
      </w:r>
      <w:r w:rsidR="00B15BAC" w:rsidRPr="00FF4F11">
        <w:rPr>
          <w:rFonts w:ascii="Bookman Old Style" w:hAnsi="Bookman Old Style"/>
          <w:sz w:val="24"/>
          <w:szCs w:val="24"/>
        </w:rPr>
        <w:t>Peraturan</w:t>
      </w:r>
      <w:r w:rsidR="00A954D0">
        <w:rPr>
          <w:rFonts w:ascii="Bookman Old Style" w:hAnsi="Bookman Old Style"/>
          <w:sz w:val="24"/>
          <w:szCs w:val="24"/>
        </w:rPr>
        <w:t xml:space="preserve"> </w:t>
      </w:r>
      <w:r w:rsidR="00B15BAC" w:rsidRPr="00FF4F11">
        <w:rPr>
          <w:rFonts w:ascii="Bookman Old Style" w:hAnsi="Bookman Old Style"/>
          <w:sz w:val="24"/>
          <w:szCs w:val="24"/>
        </w:rPr>
        <w:t>Pemerintah</w:t>
      </w:r>
      <w:r w:rsidR="00A954D0">
        <w:rPr>
          <w:rFonts w:ascii="Bookman Old Style" w:hAnsi="Bookman Old Style"/>
          <w:sz w:val="24"/>
          <w:szCs w:val="24"/>
        </w:rPr>
        <w:t xml:space="preserve"> </w:t>
      </w:r>
      <w:r w:rsidR="00B15BAC" w:rsidRPr="00FF4F11">
        <w:rPr>
          <w:rFonts w:ascii="Bookman Old Style" w:hAnsi="Bookman Old Style"/>
          <w:sz w:val="24"/>
          <w:szCs w:val="24"/>
        </w:rPr>
        <w:t>Nomor</w:t>
      </w:r>
      <w:r w:rsidR="00A954D0">
        <w:rPr>
          <w:rFonts w:ascii="Bookman Old Style" w:hAnsi="Bookman Old Style"/>
          <w:sz w:val="24"/>
          <w:szCs w:val="24"/>
        </w:rPr>
        <w:t xml:space="preserve"> </w:t>
      </w:r>
      <w:r w:rsidR="00B15BAC" w:rsidRPr="00FF4F11">
        <w:rPr>
          <w:rFonts w:ascii="Bookman Old Style" w:hAnsi="Bookman Old Style"/>
          <w:sz w:val="24"/>
          <w:szCs w:val="24"/>
        </w:rPr>
        <w:t>12</w:t>
      </w:r>
      <w:r w:rsidR="00A954D0">
        <w:rPr>
          <w:rFonts w:ascii="Bookman Old Style" w:hAnsi="Bookman Old Style"/>
          <w:sz w:val="24"/>
          <w:szCs w:val="24"/>
        </w:rPr>
        <w:t xml:space="preserve"> </w:t>
      </w:r>
      <w:r w:rsidR="00B15BAC" w:rsidRPr="00FF4F11">
        <w:rPr>
          <w:rFonts w:ascii="Bookman Old Style" w:hAnsi="Bookman Old Style"/>
          <w:sz w:val="24"/>
          <w:szCs w:val="24"/>
        </w:rPr>
        <w:t>Tahun</w:t>
      </w:r>
      <w:r w:rsidR="00A954D0">
        <w:rPr>
          <w:rFonts w:ascii="Bookman Old Style" w:hAnsi="Bookman Old Style"/>
          <w:sz w:val="24"/>
          <w:szCs w:val="24"/>
        </w:rPr>
        <w:t xml:space="preserve"> </w:t>
      </w:r>
      <w:r w:rsidR="00B15BAC" w:rsidRPr="00FF4F11">
        <w:rPr>
          <w:rFonts w:ascii="Bookman Old Style" w:hAnsi="Bookman Old Style"/>
          <w:sz w:val="24"/>
          <w:szCs w:val="24"/>
        </w:rPr>
        <w:t>2019</w:t>
      </w:r>
      <w:r w:rsidR="00B15BAC" w:rsidRPr="00256727">
        <w:rPr>
          <w:rFonts w:ascii="Bookman Old Style" w:hAnsi="Bookman Old Style"/>
          <w:sz w:val="24"/>
          <w:szCs w:val="24"/>
          <w:lang w:val="sv-FI"/>
        </w:rPr>
        <w:t>,</w:t>
      </w:r>
      <w:r w:rsidR="00A954D0">
        <w:rPr>
          <w:rFonts w:ascii="Bookman Old Style" w:hAnsi="Bookman Old Style"/>
          <w:sz w:val="24"/>
          <w:szCs w:val="24"/>
        </w:rPr>
        <w:t xml:space="preserve"> </w:t>
      </w:r>
      <w:r w:rsidR="00B15BAC" w:rsidRPr="00256727">
        <w:rPr>
          <w:rFonts w:ascii="Bookman Old Style" w:hAnsi="Bookman Old Style"/>
          <w:sz w:val="24"/>
          <w:szCs w:val="24"/>
          <w:lang w:val="sv-FI"/>
        </w:rPr>
        <w:t>Pasal</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9</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Peraturan</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Pemerintah</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Nomor</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27</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Tahun</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2014,</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sebagaimana</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telah</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diubah</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dengan</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Peraturan</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Pemerintah</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Nomor</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28</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Tahun</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2020,</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Pasal</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3</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ayat</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(1)</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Peraturan</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Pemerintah</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Nomor</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12</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Tahun</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2019,</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Pasal</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28</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Peraturan</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Menteri</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Dalam</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Negeri</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Nomor</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19</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Tahun</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2016,</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dan</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butir</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3.4.1.2.1.a</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Lampiran</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Peraturan</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Menteri</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Dalam</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Negeri</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Nomor</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15</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Tahun</w:t>
      </w:r>
      <w:r w:rsidR="00A954D0" w:rsidRPr="00256727">
        <w:rPr>
          <w:rFonts w:ascii="Bookman Old Style" w:hAnsi="Bookman Old Style"/>
          <w:sz w:val="24"/>
          <w:szCs w:val="24"/>
          <w:lang w:val="sv-FI"/>
        </w:rPr>
        <w:t xml:space="preserve"> </w:t>
      </w:r>
      <w:r w:rsidR="00B15BAC" w:rsidRPr="00256727">
        <w:rPr>
          <w:rFonts w:ascii="Bookman Old Style" w:hAnsi="Bookman Old Style"/>
          <w:sz w:val="24"/>
          <w:szCs w:val="24"/>
          <w:lang w:val="sv-FI"/>
        </w:rPr>
        <w:t>2024.</w:t>
      </w:r>
    </w:p>
    <w:p w14:paraId="59C2DED8" w14:textId="12345BD3" w:rsidR="00B15BAC" w:rsidRPr="00224E10" w:rsidRDefault="00B15BAC" w:rsidP="008B21D9">
      <w:pPr>
        <w:pStyle w:val="ListParagraph"/>
        <w:numPr>
          <w:ilvl w:val="0"/>
          <w:numId w:val="41"/>
        </w:numPr>
        <w:snapToGrid w:val="0"/>
        <w:spacing w:before="60" w:after="0" w:line="276" w:lineRule="auto"/>
        <w:ind w:left="2694" w:hanging="426"/>
        <w:contextualSpacing w:val="0"/>
        <w:jc w:val="both"/>
        <w:rPr>
          <w:rFonts w:ascii="Bookman Old Style" w:hAnsi="Bookman Old Style"/>
          <w:sz w:val="24"/>
          <w:szCs w:val="24"/>
        </w:rPr>
      </w:pPr>
      <w:r w:rsidRPr="00224E10">
        <w:rPr>
          <w:rFonts w:ascii="Bookman Old Style" w:hAnsi="Bookman Old Style"/>
          <w:sz w:val="24"/>
          <w:szCs w:val="24"/>
          <w:lang w:val="en-US"/>
        </w:rPr>
        <w:t>Penyediaan</w:t>
      </w:r>
      <w:r w:rsidR="00A954D0">
        <w:rPr>
          <w:rFonts w:ascii="Bookman Old Style" w:hAnsi="Bookman Old Style"/>
          <w:sz w:val="24"/>
          <w:szCs w:val="24"/>
          <w:lang w:val="id-ID"/>
        </w:rPr>
        <w:t xml:space="preserve"> </w:t>
      </w:r>
      <w:r w:rsidRPr="00224E10">
        <w:rPr>
          <w:rFonts w:ascii="Bookman Old Style" w:hAnsi="Bookman Old Style"/>
          <w:sz w:val="24"/>
          <w:szCs w:val="24"/>
        </w:rPr>
        <w:t>anggaran</w:t>
      </w:r>
      <w:r w:rsidR="00A954D0">
        <w:rPr>
          <w:rFonts w:ascii="Bookman Old Style" w:hAnsi="Bookman Old Style"/>
          <w:sz w:val="24"/>
          <w:szCs w:val="24"/>
        </w:rPr>
        <w:t xml:space="preserve"> </w:t>
      </w:r>
      <w:r w:rsidRPr="00224E10">
        <w:rPr>
          <w:rFonts w:ascii="Bookman Old Style" w:hAnsi="Bookman Old Style"/>
          <w:sz w:val="24"/>
          <w:szCs w:val="24"/>
        </w:rPr>
        <w:t>yang</w:t>
      </w:r>
      <w:r w:rsidR="00A954D0">
        <w:rPr>
          <w:rFonts w:ascii="Bookman Old Style" w:hAnsi="Bookman Old Style"/>
          <w:sz w:val="24"/>
          <w:szCs w:val="24"/>
        </w:rPr>
        <w:t xml:space="preserve"> </w:t>
      </w:r>
      <w:r w:rsidRPr="00224E10">
        <w:rPr>
          <w:rFonts w:ascii="Bookman Old Style" w:hAnsi="Bookman Old Style"/>
          <w:sz w:val="24"/>
          <w:szCs w:val="24"/>
        </w:rPr>
        <w:t>tercantum</w:t>
      </w:r>
      <w:r w:rsidR="00A954D0">
        <w:rPr>
          <w:rFonts w:ascii="Bookman Old Style" w:hAnsi="Bookman Old Style"/>
          <w:sz w:val="24"/>
          <w:szCs w:val="24"/>
        </w:rPr>
        <w:t xml:space="preserve"> </w:t>
      </w:r>
      <w:r w:rsidRPr="00224E10">
        <w:rPr>
          <w:rFonts w:ascii="Bookman Old Style" w:hAnsi="Bookman Old Style"/>
          <w:sz w:val="24"/>
          <w:szCs w:val="24"/>
        </w:rPr>
        <w:t>pada:</w:t>
      </w:r>
    </w:p>
    <w:p w14:paraId="23EBEE92" w14:textId="6FC261BA" w:rsidR="00B15BAC" w:rsidRPr="00224E10" w:rsidRDefault="00B15BAC" w:rsidP="008B21D9">
      <w:pPr>
        <w:pStyle w:val="ListParagraph"/>
        <w:numPr>
          <w:ilvl w:val="0"/>
          <w:numId w:val="128"/>
        </w:numPr>
        <w:spacing w:before="60" w:after="0" w:line="276" w:lineRule="auto"/>
        <w:ind w:left="3261" w:hanging="567"/>
        <w:contextualSpacing w:val="0"/>
        <w:jc w:val="both"/>
        <w:rPr>
          <w:rFonts w:ascii="Bookman Old Style" w:hAnsi="Bookman Old Style" w:cs="Gill Sans Light (Arabid)"/>
          <w:bCs/>
          <w:sz w:val="24"/>
          <w:szCs w:val="24"/>
          <w:lang w:eastAsia="id-ID"/>
        </w:rPr>
      </w:pPr>
      <w:r w:rsidRPr="00224E10">
        <w:rPr>
          <w:rFonts w:ascii="Bookman Old Style" w:hAnsi="Bookman Old Style"/>
          <w:sz w:val="24"/>
          <w:szCs w:val="24"/>
        </w:rPr>
        <w:t>Belanja</w:t>
      </w:r>
      <w:r w:rsidR="00A954D0">
        <w:rPr>
          <w:rFonts w:ascii="Bookman Old Style" w:hAnsi="Bookman Old Style"/>
          <w:sz w:val="24"/>
          <w:szCs w:val="24"/>
        </w:rPr>
        <w:t xml:space="preserve"> </w:t>
      </w:r>
      <w:r w:rsidRPr="00224E10">
        <w:rPr>
          <w:rFonts w:ascii="Bookman Old Style" w:hAnsi="Bookman Old Style"/>
          <w:sz w:val="24"/>
          <w:szCs w:val="24"/>
        </w:rPr>
        <w:t>Barang</w:t>
      </w:r>
      <w:r w:rsidR="00A954D0">
        <w:rPr>
          <w:rFonts w:ascii="Bookman Old Style" w:hAnsi="Bookman Old Style"/>
          <w:sz w:val="24"/>
          <w:szCs w:val="24"/>
        </w:rPr>
        <w:t xml:space="preserve"> </w:t>
      </w:r>
      <w:r w:rsidRPr="00224E10">
        <w:rPr>
          <w:rFonts w:ascii="Bookman Old Style" w:hAnsi="Bookman Old Style"/>
          <w:sz w:val="24"/>
          <w:szCs w:val="24"/>
        </w:rPr>
        <w:t>untuk</w:t>
      </w:r>
      <w:r w:rsidR="00A954D0">
        <w:rPr>
          <w:rFonts w:ascii="Bookman Old Style" w:hAnsi="Bookman Old Style"/>
          <w:sz w:val="24"/>
          <w:szCs w:val="24"/>
        </w:rPr>
        <w:t xml:space="preserve"> </w:t>
      </w:r>
      <w:r w:rsidRPr="00224E10">
        <w:rPr>
          <w:rFonts w:ascii="Bookman Old Style" w:hAnsi="Bookman Old Style"/>
          <w:sz w:val="24"/>
          <w:szCs w:val="24"/>
        </w:rPr>
        <w:t>Dijual/Diserahkan</w:t>
      </w:r>
      <w:r w:rsidR="00A954D0">
        <w:rPr>
          <w:rFonts w:ascii="Bookman Old Style" w:hAnsi="Bookman Old Style"/>
          <w:sz w:val="24"/>
          <w:szCs w:val="24"/>
        </w:rPr>
        <w:t xml:space="preserve"> </w:t>
      </w:r>
      <w:r w:rsidRPr="00224E10">
        <w:rPr>
          <w:rFonts w:ascii="Bookman Old Style" w:hAnsi="Bookman Old Style"/>
          <w:sz w:val="24"/>
          <w:szCs w:val="24"/>
        </w:rPr>
        <w:t>kepada</w:t>
      </w:r>
      <w:r w:rsidR="00A954D0">
        <w:rPr>
          <w:rFonts w:ascii="Bookman Old Style" w:hAnsi="Bookman Old Style"/>
          <w:sz w:val="24"/>
          <w:szCs w:val="24"/>
        </w:rPr>
        <w:t xml:space="preserve"> </w:t>
      </w:r>
      <w:r w:rsidRPr="00224E10">
        <w:rPr>
          <w:rFonts w:ascii="Bookman Old Style" w:hAnsi="Bookman Old Style"/>
          <w:sz w:val="24"/>
          <w:szCs w:val="24"/>
        </w:rPr>
        <w:t>Masyarakat</w:t>
      </w:r>
      <w:r w:rsidRPr="003255BC">
        <w:rPr>
          <w:rFonts w:ascii="Bookman Old Style" w:hAnsi="Bookman Old Style"/>
          <w:sz w:val="24"/>
          <w:szCs w:val="24"/>
          <w:lang w:val="sv-FI"/>
        </w:rPr>
        <w:t>,</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Pihak</w:t>
      </w:r>
      <w:r w:rsidR="00A954D0" w:rsidRPr="003255BC">
        <w:rPr>
          <w:rFonts w:ascii="Bookman Old Style" w:hAnsi="Bookman Old Style"/>
          <w:sz w:val="24"/>
          <w:szCs w:val="24"/>
          <w:lang w:val="sv-FI"/>
        </w:rPr>
        <w:t xml:space="preserve"> </w:t>
      </w:r>
      <w:r w:rsidRPr="00224E10">
        <w:rPr>
          <w:rFonts w:ascii="Bookman Old Style" w:hAnsi="Bookman Old Style"/>
          <w:sz w:val="24"/>
          <w:szCs w:val="24"/>
        </w:rPr>
        <w:t>Ketiga/Pihak</w:t>
      </w:r>
      <w:r w:rsidR="00A954D0">
        <w:rPr>
          <w:rFonts w:ascii="Bookman Old Style" w:hAnsi="Bookman Old Style"/>
          <w:sz w:val="24"/>
          <w:szCs w:val="24"/>
        </w:rPr>
        <w:t xml:space="preserve"> </w:t>
      </w:r>
      <w:r w:rsidRPr="00224E10">
        <w:rPr>
          <w:rFonts w:ascii="Bookman Old Style" w:hAnsi="Bookman Old Style"/>
          <w:sz w:val="24"/>
          <w:szCs w:val="24"/>
        </w:rPr>
        <w:t>Lain</w:t>
      </w:r>
      <w:r w:rsidR="00FF3AD2" w:rsidRPr="00224E10">
        <w:rPr>
          <w:rFonts w:ascii="Bookman Old Style" w:hAnsi="Bookman Old Style"/>
          <w:sz w:val="24"/>
          <w:szCs w:val="24"/>
        </w:rPr>
        <w:t>:</w:t>
      </w:r>
    </w:p>
    <w:p w14:paraId="2D2C124F" w14:textId="77CB2D25" w:rsidR="00B15BAC" w:rsidRPr="00361FD8" w:rsidRDefault="00B15BAC">
      <w:pPr>
        <w:pStyle w:val="ListParagraph"/>
        <w:numPr>
          <w:ilvl w:val="0"/>
          <w:numId w:val="129"/>
        </w:numPr>
        <w:spacing w:before="60" w:after="0" w:line="276" w:lineRule="auto"/>
        <w:ind w:left="3686" w:hanging="425"/>
        <w:contextualSpacing w:val="0"/>
        <w:jc w:val="both"/>
        <w:rPr>
          <w:rFonts w:ascii="Bookman Old Style" w:hAnsi="Bookman Old Style" w:cs="Gill Sans Light (Arabid)"/>
          <w:bCs/>
          <w:sz w:val="24"/>
          <w:szCs w:val="24"/>
          <w:lang w:eastAsia="id-ID"/>
        </w:rPr>
      </w:pPr>
      <w:r w:rsidRPr="00361FD8">
        <w:rPr>
          <w:rFonts w:ascii="Bookman Old Style" w:hAnsi="Bookman Old Style" w:cs="Gill Sans Light (Arabid)"/>
          <w:bCs/>
          <w:sz w:val="24"/>
          <w:szCs w:val="24"/>
          <w:lang w:eastAsia="id-ID"/>
        </w:rPr>
        <w:t>Belanja</w:t>
      </w:r>
      <w:r w:rsidR="00A954D0">
        <w:rPr>
          <w:rFonts w:ascii="Bookman Old Style" w:hAnsi="Bookman Old Style" w:cs="Gill Sans Light (Arabid)"/>
          <w:bCs/>
          <w:sz w:val="24"/>
          <w:szCs w:val="24"/>
          <w:lang w:eastAsia="id-ID"/>
        </w:rPr>
        <w:t xml:space="preserve"> </w:t>
      </w:r>
      <w:r w:rsidRPr="00361FD8">
        <w:rPr>
          <w:rFonts w:ascii="Bookman Old Style" w:hAnsi="Bookman Old Style" w:cs="Gill Sans Light (Arabid)"/>
          <w:bCs/>
          <w:sz w:val="24"/>
          <w:szCs w:val="24"/>
          <w:lang w:eastAsia="id-ID"/>
        </w:rPr>
        <w:t>Barang</w:t>
      </w:r>
      <w:r w:rsidR="00A954D0">
        <w:rPr>
          <w:rFonts w:ascii="Bookman Old Style" w:hAnsi="Bookman Old Style" w:cs="Gill Sans Light (Arabid)"/>
          <w:bCs/>
          <w:sz w:val="24"/>
          <w:szCs w:val="24"/>
          <w:lang w:eastAsia="id-ID"/>
        </w:rPr>
        <w:t xml:space="preserve"> </w:t>
      </w:r>
      <w:r w:rsidRPr="00361FD8">
        <w:rPr>
          <w:rFonts w:ascii="Bookman Old Style" w:hAnsi="Bookman Old Style" w:cs="Gill Sans Light (Arabid)"/>
          <w:bCs/>
          <w:sz w:val="24"/>
          <w:szCs w:val="24"/>
          <w:lang w:eastAsia="id-ID"/>
        </w:rPr>
        <w:t>untuk</w:t>
      </w:r>
      <w:r w:rsidR="00A954D0">
        <w:rPr>
          <w:rFonts w:ascii="Bookman Old Style" w:hAnsi="Bookman Old Style" w:cs="Gill Sans Light (Arabid)"/>
          <w:bCs/>
          <w:sz w:val="24"/>
          <w:szCs w:val="24"/>
          <w:lang w:eastAsia="id-ID"/>
        </w:rPr>
        <w:t xml:space="preserve"> </w:t>
      </w:r>
      <w:r w:rsidRPr="00361FD8">
        <w:rPr>
          <w:rFonts w:ascii="Bookman Old Style" w:hAnsi="Bookman Old Style" w:cs="Gill Sans Light (Arabid)"/>
          <w:bCs/>
          <w:sz w:val="24"/>
          <w:szCs w:val="24"/>
          <w:lang w:eastAsia="id-ID"/>
        </w:rPr>
        <w:t>Dijual/Diserahkan</w:t>
      </w:r>
      <w:r w:rsidR="00A954D0">
        <w:rPr>
          <w:rFonts w:ascii="Bookman Old Style" w:hAnsi="Bookman Old Style" w:cs="Gill Sans Light (Arabid)"/>
          <w:bCs/>
          <w:sz w:val="24"/>
          <w:szCs w:val="24"/>
          <w:lang w:eastAsia="id-ID"/>
        </w:rPr>
        <w:t xml:space="preserve"> </w:t>
      </w:r>
      <w:r w:rsidRPr="00361FD8">
        <w:rPr>
          <w:rFonts w:ascii="Bookman Old Style" w:hAnsi="Bookman Old Style" w:cs="Gill Sans Light (Arabid)"/>
          <w:bCs/>
          <w:sz w:val="24"/>
          <w:szCs w:val="24"/>
          <w:lang w:eastAsia="id-ID"/>
        </w:rPr>
        <w:t>kepada</w:t>
      </w:r>
      <w:r w:rsidR="00A954D0">
        <w:rPr>
          <w:rFonts w:ascii="Bookman Old Style" w:hAnsi="Bookman Old Style" w:cs="Gill Sans Light (Arabid)"/>
          <w:bCs/>
          <w:sz w:val="24"/>
          <w:szCs w:val="24"/>
          <w:lang w:eastAsia="id-ID"/>
        </w:rPr>
        <w:t xml:space="preserve"> </w:t>
      </w:r>
      <w:r w:rsidRPr="00361FD8">
        <w:rPr>
          <w:rFonts w:ascii="Bookman Old Style" w:hAnsi="Bookman Old Style" w:cs="Gill Sans Light (Arabid)"/>
          <w:bCs/>
          <w:sz w:val="24"/>
          <w:szCs w:val="24"/>
          <w:lang w:eastAsia="id-ID"/>
        </w:rPr>
        <w:t>Masyarakat</w:t>
      </w:r>
      <w:r w:rsidR="00A954D0">
        <w:rPr>
          <w:rFonts w:ascii="Bookman Old Style" w:hAnsi="Bookman Old Style" w:cs="Gill Sans Light (Arabid)"/>
          <w:bCs/>
          <w:sz w:val="24"/>
          <w:szCs w:val="24"/>
          <w:lang w:eastAsia="id-ID"/>
        </w:rPr>
        <w:t xml:space="preserve"> </w:t>
      </w:r>
      <w:r w:rsidR="00FF4F11" w:rsidRPr="00361FD8">
        <w:rPr>
          <w:rFonts w:ascii="Bookman Old Style" w:hAnsi="Bookman Old Style" w:cs="Gill Sans Light (Arabid)"/>
          <w:bCs/>
          <w:sz w:val="24"/>
          <w:szCs w:val="24"/>
          <w:lang w:eastAsia="id-ID"/>
        </w:rPr>
        <w:t>Rp46.225.579.596,00</w:t>
      </w:r>
      <w:r w:rsidRPr="003255BC">
        <w:rPr>
          <w:rFonts w:ascii="Bookman Old Style" w:hAnsi="Bookman Old Style" w:cs="Gill Sans Light (Arabid)"/>
          <w:bCs/>
          <w:sz w:val="24"/>
          <w:szCs w:val="24"/>
          <w:lang w:val="sv-FI" w:eastAsia="id-ID"/>
        </w:rPr>
        <w:t>;</w:t>
      </w:r>
    </w:p>
    <w:p w14:paraId="0EC72E2E" w14:textId="294A34C4" w:rsidR="00B15BAC" w:rsidRPr="00361FD8" w:rsidRDefault="00B15BAC">
      <w:pPr>
        <w:pStyle w:val="ListParagraph"/>
        <w:numPr>
          <w:ilvl w:val="0"/>
          <w:numId w:val="129"/>
        </w:numPr>
        <w:spacing w:before="60" w:after="0" w:line="276" w:lineRule="auto"/>
        <w:ind w:left="3686" w:hanging="425"/>
        <w:contextualSpacing w:val="0"/>
        <w:jc w:val="both"/>
        <w:rPr>
          <w:rFonts w:ascii="Bookman Old Style" w:hAnsi="Bookman Old Style"/>
          <w:sz w:val="24"/>
          <w:szCs w:val="24"/>
        </w:rPr>
      </w:pPr>
      <w:r w:rsidRPr="00361FD8">
        <w:rPr>
          <w:rFonts w:ascii="Bookman Old Style" w:hAnsi="Bookman Old Style" w:cs="Gill Sans Light (Arabid)"/>
          <w:bCs/>
          <w:sz w:val="24"/>
          <w:szCs w:val="24"/>
          <w:lang w:eastAsia="id-ID"/>
        </w:rPr>
        <w:t>Belanja</w:t>
      </w:r>
      <w:r w:rsidR="00A954D0">
        <w:rPr>
          <w:rFonts w:ascii="Bookman Old Style" w:hAnsi="Bookman Old Style" w:cs="Gill Sans Light (Arabid)"/>
          <w:bCs/>
          <w:sz w:val="24"/>
          <w:szCs w:val="24"/>
          <w:lang w:eastAsia="id-ID"/>
        </w:rPr>
        <w:t xml:space="preserve"> </w:t>
      </w:r>
      <w:r w:rsidRPr="00361FD8">
        <w:rPr>
          <w:rFonts w:ascii="Bookman Old Style" w:hAnsi="Bookman Old Style" w:cs="Gill Sans Light (Arabid)"/>
          <w:bCs/>
          <w:sz w:val="24"/>
          <w:szCs w:val="24"/>
          <w:lang w:eastAsia="id-ID"/>
        </w:rPr>
        <w:t>Barang</w:t>
      </w:r>
      <w:r w:rsidR="00A954D0">
        <w:rPr>
          <w:rFonts w:ascii="Bookman Old Style" w:hAnsi="Bookman Old Style" w:cs="Gill Sans Light (Arabid)"/>
          <w:bCs/>
          <w:sz w:val="24"/>
          <w:szCs w:val="24"/>
          <w:lang w:eastAsia="id-ID"/>
        </w:rPr>
        <w:t xml:space="preserve"> </w:t>
      </w:r>
      <w:r w:rsidRPr="00361FD8">
        <w:rPr>
          <w:rFonts w:ascii="Bookman Old Style" w:hAnsi="Bookman Old Style" w:cs="Gill Sans Light (Arabid)"/>
          <w:bCs/>
          <w:sz w:val="24"/>
          <w:szCs w:val="24"/>
          <w:lang w:eastAsia="id-ID"/>
        </w:rPr>
        <w:t>untuk</w:t>
      </w:r>
      <w:r w:rsidR="00A954D0">
        <w:rPr>
          <w:rFonts w:ascii="Bookman Old Style" w:hAnsi="Bookman Old Style" w:cs="Gill Sans Light (Arabid)"/>
          <w:bCs/>
          <w:sz w:val="24"/>
          <w:szCs w:val="24"/>
          <w:lang w:eastAsia="id-ID"/>
        </w:rPr>
        <w:t xml:space="preserve"> </w:t>
      </w:r>
      <w:r w:rsidRPr="00361FD8">
        <w:rPr>
          <w:rFonts w:ascii="Bookman Old Style" w:hAnsi="Bookman Old Style" w:cs="Gill Sans Light (Arabid)"/>
          <w:bCs/>
          <w:sz w:val="24"/>
          <w:szCs w:val="24"/>
          <w:lang w:eastAsia="id-ID"/>
        </w:rPr>
        <w:t>Dijual/Diserahkan</w:t>
      </w:r>
      <w:r w:rsidR="00A954D0">
        <w:rPr>
          <w:rFonts w:ascii="Bookman Old Style" w:hAnsi="Bookman Old Style" w:cs="Gill Sans Light (Arabid)"/>
          <w:bCs/>
          <w:sz w:val="24"/>
          <w:szCs w:val="24"/>
          <w:lang w:eastAsia="id-ID"/>
        </w:rPr>
        <w:t xml:space="preserve"> </w:t>
      </w:r>
      <w:r w:rsidRPr="00361FD8">
        <w:rPr>
          <w:rFonts w:ascii="Bookman Old Style" w:hAnsi="Bookman Old Style" w:cs="Gill Sans Light (Arabid)"/>
          <w:bCs/>
          <w:sz w:val="24"/>
          <w:szCs w:val="24"/>
          <w:lang w:eastAsia="id-ID"/>
        </w:rPr>
        <w:t>kepada</w:t>
      </w:r>
      <w:r w:rsidR="00A954D0">
        <w:rPr>
          <w:rFonts w:ascii="Bookman Old Style" w:hAnsi="Bookman Old Style" w:cs="Gill Sans Light (Arabid)"/>
          <w:bCs/>
          <w:sz w:val="24"/>
          <w:szCs w:val="24"/>
          <w:lang w:eastAsia="id-ID"/>
        </w:rPr>
        <w:t xml:space="preserve"> </w:t>
      </w:r>
      <w:r w:rsidRPr="00361FD8">
        <w:rPr>
          <w:rFonts w:ascii="Bookman Old Style" w:hAnsi="Bookman Old Style" w:cs="Gill Sans Light (Arabid)"/>
          <w:bCs/>
          <w:sz w:val="24"/>
          <w:szCs w:val="24"/>
          <w:lang w:eastAsia="id-ID"/>
        </w:rPr>
        <w:t>Pihak</w:t>
      </w:r>
      <w:r w:rsidR="00A954D0">
        <w:rPr>
          <w:rFonts w:ascii="Bookman Old Style" w:hAnsi="Bookman Old Style" w:cs="Gill Sans Light (Arabid)"/>
          <w:bCs/>
          <w:sz w:val="24"/>
          <w:szCs w:val="24"/>
          <w:lang w:eastAsia="id-ID"/>
        </w:rPr>
        <w:t xml:space="preserve"> </w:t>
      </w:r>
      <w:r w:rsidRPr="00361FD8">
        <w:rPr>
          <w:rFonts w:ascii="Bookman Old Style" w:hAnsi="Bookman Old Style" w:cs="Gill Sans Light (Arabid)"/>
          <w:bCs/>
          <w:sz w:val="24"/>
          <w:szCs w:val="24"/>
          <w:lang w:eastAsia="id-ID"/>
        </w:rPr>
        <w:t>Ketiga/Pihak</w:t>
      </w:r>
      <w:r w:rsidR="00A954D0">
        <w:rPr>
          <w:rFonts w:ascii="Bookman Old Style" w:hAnsi="Bookman Old Style" w:cs="Gill Sans Light (Arabid)"/>
          <w:bCs/>
          <w:sz w:val="24"/>
          <w:szCs w:val="24"/>
          <w:lang w:eastAsia="id-ID"/>
        </w:rPr>
        <w:t xml:space="preserve"> </w:t>
      </w:r>
      <w:r w:rsidRPr="00361FD8">
        <w:rPr>
          <w:rFonts w:ascii="Bookman Old Style" w:hAnsi="Bookman Old Style" w:cs="Gill Sans Light (Arabid)"/>
          <w:bCs/>
          <w:sz w:val="24"/>
          <w:szCs w:val="24"/>
          <w:lang w:eastAsia="id-ID"/>
        </w:rPr>
        <w:t>Lain</w:t>
      </w:r>
      <w:r w:rsidR="00A954D0">
        <w:rPr>
          <w:rFonts w:ascii="Bookman Old Style" w:hAnsi="Bookman Old Style" w:cs="Gill Sans Light (Arabid)"/>
          <w:bCs/>
          <w:sz w:val="24"/>
          <w:szCs w:val="24"/>
          <w:lang w:eastAsia="id-ID"/>
        </w:rPr>
        <w:t xml:space="preserve"> </w:t>
      </w:r>
      <w:r w:rsidR="00FF4F11" w:rsidRPr="00361FD8">
        <w:rPr>
          <w:rFonts w:ascii="Bookman Old Style" w:hAnsi="Bookman Old Style" w:cs="Gill Sans Light (Arabid)"/>
          <w:bCs/>
          <w:sz w:val="24"/>
          <w:szCs w:val="24"/>
          <w:lang w:eastAsia="id-ID"/>
        </w:rPr>
        <w:t>Rp883.295.000,00</w:t>
      </w:r>
      <w:r w:rsidR="008B21D9">
        <w:rPr>
          <w:rFonts w:ascii="Bookman Old Style" w:hAnsi="Bookman Old Style" w:cs="Gill Sans Light (Arabid)"/>
          <w:bCs/>
          <w:sz w:val="24"/>
          <w:szCs w:val="24"/>
          <w:lang w:val="sv-FI" w:eastAsia="id-ID"/>
        </w:rPr>
        <w:t>.</w:t>
      </w:r>
    </w:p>
    <w:p w14:paraId="0A434726" w14:textId="3BA4D623" w:rsidR="00B15BAC" w:rsidRPr="00361FD8" w:rsidRDefault="008B21D9" w:rsidP="00355834">
      <w:pPr>
        <w:pStyle w:val="ListParagraph"/>
        <w:spacing w:before="60" w:after="0" w:line="276" w:lineRule="auto"/>
        <w:ind w:left="3261"/>
        <w:contextualSpacing w:val="0"/>
        <w:jc w:val="both"/>
        <w:rPr>
          <w:rFonts w:ascii="Bookman Old Style" w:hAnsi="Bookman Old Style"/>
          <w:sz w:val="24"/>
          <w:szCs w:val="24"/>
          <w:lang w:val="id-ID"/>
        </w:rPr>
      </w:pPr>
      <w:r>
        <w:rPr>
          <w:rFonts w:ascii="Bookman Old Style" w:hAnsi="Bookman Old Style"/>
          <w:sz w:val="24"/>
          <w:szCs w:val="24"/>
          <w:lang w:val="en-US"/>
        </w:rPr>
        <w:t>D</w:t>
      </w:r>
      <w:r w:rsidR="00B15BAC" w:rsidRPr="00361FD8">
        <w:rPr>
          <w:rFonts w:ascii="Bookman Old Style" w:hAnsi="Bookman Old Style"/>
          <w:sz w:val="24"/>
          <w:szCs w:val="24"/>
          <w:lang w:val="id-ID"/>
        </w:rPr>
        <w:t>ianggarkan</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dalam</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Rancangan</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Peraturan</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Daerah</w:t>
      </w:r>
      <w:r w:rsidR="00A954D0">
        <w:rPr>
          <w:rFonts w:ascii="Bookman Old Style" w:hAnsi="Bookman Old Style"/>
          <w:sz w:val="24"/>
          <w:szCs w:val="24"/>
          <w:lang w:val="id-ID"/>
        </w:rPr>
        <w:t xml:space="preserve"> </w:t>
      </w:r>
      <w:r w:rsidR="00B055C5" w:rsidRPr="00361FD8">
        <w:rPr>
          <w:rFonts w:ascii="Bookman Old Style" w:hAnsi="Bookman Old Style"/>
          <w:sz w:val="24"/>
          <w:szCs w:val="24"/>
          <w:lang w:val="id-ID"/>
        </w:rPr>
        <w:t>Kota</w:t>
      </w:r>
      <w:r w:rsidR="00A954D0">
        <w:rPr>
          <w:rFonts w:ascii="Bookman Old Style" w:hAnsi="Bookman Old Style"/>
          <w:sz w:val="24"/>
          <w:szCs w:val="24"/>
          <w:lang w:val="id-ID"/>
        </w:rPr>
        <w:t xml:space="preserve"> </w:t>
      </w:r>
      <w:r w:rsidR="00770F22" w:rsidRPr="00361FD8">
        <w:rPr>
          <w:rFonts w:ascii="Bookman Old Style" w:hAnsi="Bookman Old Style"/>
          <w:sz w:val="24"/>
          <w:szCs w:val="24"/>
          <w:lang w:val="id-ID"/>
        </w:rPr>
        <w:t>Tangerang</w:t>
      </w:r>
      <w:r w:rsidR="00A954D0">
        <w:rPr>
          <w:rFonts w:ascii="Bookman Old Style" w:hAnsi="Bookman Old Style"/>
          <w:sz w:val="24"/>
          <w:szCs w:val="24"/>
          <w:lang w:val="id-ID"/>
        </w:rPr>
        <w:t xml:space="preserve"> </w:t>
      </w:r>
      <w:r w:rsidR="00BE6ED9" w:rsidRPr="00361FD8">
        <w:rPr>
          <w:rFonts w:ascii="Bookman Old Style" w:hAnsi="Bookman Old Style"/>
          <w:sz w:val="24"/>
          <w:szCs w:val="24"/>
          <w:lang w:val="id-ID"/>
        </w:rPr>
        <w:t>tentang</w:t>
      </w:r>
      <w:r w:rsidR="00A954D0">
        <w:rPr>
          <w:rFonts w:ascii="Bookman Old Style" w:hAnsi="Bookman Old Style"/>
          <w:sz w:val="24"/>
          <w:szCs w:val="24"/>
          <w:lang w:val="id-ID"/>
        </w:rPr>
        <w:t xml:space="preserve"> </w:t>
      </w:r>
      <w:r w:rsidR="00BE6ED9" w:rsidRPr="00361FD8">
        <w:rPr>
          <w:rFonts w:ascii="Bookman Old Style" w:hAnsi="Bookman Old Style"/>
          <w:sz w:val="24"/>
          <w:szCs w:val="24"/>
          <w:lang w:val="id-ID"/>
        </w:rPr>
        <w:t>APBD</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Tahun</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lastRenderedPageBreak/>
        <w:t>Anggaran</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2025</w:t>
      </w:r>
      <w:r w:rsidR="00A954D0">
        <w:rPr>
          <w:rFonts w:ascii="Bookman Old Style" w:hAnsi="Bookman Old Style"/>
          <w:sz w:val="24"/>
          <w:szCs w:val="24"/>
          <w:lang w:val="id-ID"/>
        </w:rPr>
        <w:t xml:space="preserve"> </w:t>
      </w:r>
      <w:r w:rsidR="00B15BAC" w:rsidRPr="00361FD8">
        <w:rPr>
          <w:rFonts w:ascii="Bookman Old Style" w:hAnsi="Bookman Old Style" w:cs="Arial"/>
          <w:sz w:val="24"/>
          <w:szCs w:val="24"/>
          <w:lang w:val="en-US"/>
        </w:rPr>
        <w:t>dengan</w:t>
      </w:r>
      <w:r w:rsidR="00A954D0">
        <w:rPr>
          <w:rFonts w:ascii="Bookman Old Style" w:hAnsi="Bookman Old Style" w:cs="Arial"/>
          <w:sz w:val="24"/>
          <w:szCs w:val="24"/>
          <w:lang w:val="en-US"/>
        </w:rPr>
        <w:t xml:space="preserve"> </w:t>
      </w:r>
      <w:r w:rsidR="00B15BAC" w:rsidRPr="00361FD8">
        <w:rPr>
          <w:rFonts w:ascii="Bookman Old Style" w:hAnsi="Bookman Old Style"/>
          <w:sz w:val="24"/>
          <w:szCs w:val="24"/>
        </w:rPr>
        <w:t>memperhatikan</w:t>
      </w:r>
      <w:r w:rsidR="00A954D0">
        <w:rPr>
          <w:rFonts w:ascii="Bookman Old Style" w:hAnsi="Bookman Old Style" w:cs="Arial"/>
          <w:sz w:val="24"/>
          <w:szCs w:val="24"/>
        </w:rPr>
        <w:t xml:space="preserve"> </w:t>
      </w:r>
      <w:r w:rsidR="00B15BAC" w:rsidRPr="00361FD8">
        <w:rPr>
          <w:rFonts w:ascii="Bookman Old Style" w:hAnsi="Bookman Old Style" w:cs="Arial"/>
          <w:sz w:val="24"/>
          <w:szCs w:val="24"/>
        </w:rPr>
        <w:t>asas</w:t>
      </w:r>
      <w:r w:rsidR="00A954D0">
        <w:rPr>
          <w:rFonts w:ascii="Bookman Old Style" w:hAnsi="Bookman Old Style" w:cs="Arial"/>
          <w:sz w:val="24"/>
          <w:szCs w:val="24"/>
        </w:rPr>
        <w:t xml:space="preserve"> </w:t>
      </w:r>
      <w:r w:rsidR="00B15BAC" w:rsidRPr="00361FD8">
        <w:rPr>
          <w:rFonts w:ascii="Bookman Old Style" w:hAnsi="Bookman Old Style" w:cs="Arial"/>
          <w:sz w:val="24"/>
          <w:szCs w:val="24"/>
        </w:rPr>
        <w:t>kepatutan,</w:t>
      </w:r>
      <w:r w:rsidR="00A954D0">
        <w:rPr>
          <w:rFonts w:ascii="Bookman Old Style" w:hAnsi="Bookman Old Style" w:cs="Arial"/>
          <w:sz w:val="24"/>
          <w:szCs w:val="24"/>
        </w:rPr>
        <w:t xml:space="preserve"> </w:t>
      </w:r>
      <w:r w:rsidR="00B15BAC" w:rsidRPr="00361FD8">
        <w:rPr>
          <w:rFonts w:ascii="Bookman Old Style" w:hAnsi="Bookman Old Style" w:cs="Arial"/>
          <w:sz w:val="24"/>
          <w:szCs w:val="24"/>
        </w:rPr>
        <w:t>kewajaran,</w:t>
      </w:r>
      <w:r w:rsidR="00A954D0">
        <w:rPr>
          <w:rFonts w:ascii="Bookman Old Style" w:hAnsi="Bookman Old Style" w:cs="Arial"/>
          <w:sz w:val="24"/>
          <w:szCs w:val="24"/>
        </w:rPr>
        <w:t xml:space="preserve"> </w:t>
      </w:r>
      <w:r w:rsidR="00B15BAC" w:rsidRPr="00361FD8">
        <w:rPr>
          <w:rFonts w:ascii="Bookman Old Style" w:hAnsi="Bookman Old Style" w:cs="Arial"/>
          <w:sz w:val="24"/>
          <w:szCs w:val="24"/>
        </w:rPr>
        <w:t>rasionalitas</w:t>
      </w:r>
      <w:r w:rsidR="00A954D0">
        <w:rPr>
          <w:rFonts w:ascii="Bookman Old Style" w:hAnsi="Bookman Old Style" w:cs="Arial"/>
          <w:sz w:val="24"/>
          <w:szCs w:val="24"/>
        </w:rPr>
        <w:t xml:space="preserve"> </w:t>
      </w:r>
      <w:r w:rsidR="00B15BAC" w:rsidRPr="00361FD8">
        <w:rPr>
          <w:rFonts w:ascii="Bookman Old Style" w:hAnsi="Bookman Old Style" w:cs="Arial"/>
          <w:sz w:val="24"/>
          <w:szCs w:val="24"/>
        </w:rPr>
        <w:t>dan</w:t>
      </w:r>
      <w:r w:rsidR="00A954D0">
        <w:rPr>
          <w:rFonts w:ascii="Bookman Old Style" w:hAnsi="Bookman Old Style" w:cs="Arial"/>
          <w:sz w:val="24"/>
          <w:szCs w:val="24"/>
        </w:rPr>
        <w:t xml:space="preserve"> </w:t>
      </w:r>
      <w:r w:rsidR="00B15BAC" w:rsidRPr="00361FD8">
        <w:rPr>
          <w:rFonts w:ascii="Bookman Old Style" w:hAnsi="Bookman Old Style"/>
          <w:sz w:val="24"/>
          <w:szCs w:val="24"/>
          <w:lang w:val="id-ID"/>
        </w:rPr>
        <w:t>efektivitas</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dalam</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pencapaian</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sasaran</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program,</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kegiatan</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dan</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sub</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kegiatan</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pemerintahan</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daerah</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guna</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mencapai</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target</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kinerja</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yang</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ditetapkan</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berdasarkan</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visi</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dan</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misi</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kepala</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daerah</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yang</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tertuang</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dalam</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RPJMD/RPD</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dan</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dijabarkan</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dalam</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en-US"/>
        </w:rPr>
        <w:t>RKPD</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sebagaimana</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maksud</w:t>
      </w:r>
      <w:r w:rsidR="00A954D0">
        <w:rPr>
          <w:rFonts w:ascii="Bookman Old Style" w:hAnsi="Bookman Old Style"/>
          <w:sz w:val="24"/>
          <w:szCs w:val="24"/>
          <w:lang w:val="id-ID"/>
        </w:rPr>
        <w:t xml:space="preserve"> </w:t>
      </w:r>
      <w:r w:rsidR="00B15BAC" w:rsidRPr="00361FD8">
        <w:rPr>
          <w:rFonts w:ascii="Bookman Old Style" w:hAnsi="Bookman Old Style"/>
          <w:sz w:val="24"/>
          <w:szCs w:val="24"/>
          <w:shd w:val="clear" w:color="auto" w:fill="FFFFFF" w:themeFill="background1"/>
          <w:lang w:val="id-ID"/>
        </w:rPr>
        <w:t>butir</w:t>
      </w:r>
      <w:r w:rsidR="00A954D0">
        <w:rPr>
          <w:rFonts w:ascii="Bookman Old Style" w:hAnsi="Bookman Old Style"/>
          <w:sz w:val="24"/>
          <w:szCs w:val="24"/>
          <w:shd w:val="clear" w:color="auto" w:fill="FFFFFF" w:themeFill="background1"/>
          <w:lang w:val="id-ID"/>
        </w:rPr>
        <w:t xml:space="preserve"> </w:t>
      </w:r>
      <w:r w:rsidR="00B15BAC" w:rsidRPr="00361FD8">
        <w:rPr>
          <w:rFonts w:ascii="Bookman Old Style" w:hAnsi="Bookman Old Style"/>
          <w:sz w:val="24"/>
          <w:szCs w:val="24"/>
          <w:lang w:val="en-US"/>
        </w:rPr>
        <w:t>3.4.1.2.1.c</w:t>
      </w:r>
      <w:r w:rsidR="00A954D0">
        <w:rPr>
          <w:rFonts w:ascii="Bookman Old Style" w:hAnsi="Bookman Old Style"/>
          <w:sz w:val="24"/>
          <w:szCs w:val="24"/>
        </w:rPr>
        <w:t xml:space="preserve"> </w:t>
      </w:r>
      <w:r w:rsidR="00B15BAC" w:rsidRPr="00361FD8">
        <w:rPr>
          <w:rFonts w:ascii="Bookman Old Style" w:hAnsi="Bookman Old Style" w:cs="Arial"/>
          <w:sz w:val="24"/>
          <w:szCs w:val="24"/>
        </w:rPr>
        <w:t>Lampiran</w:t>
      </w:r>
      <w:r w:rsidR="00A954D0">
        <w:rPr>
          <w:rFonts w:ascii="Bookman Old Style" w:hAnsi="Bookman Old Style" w:cs="Arial"/>
          <w:sz w:val="24"/>
          <w:szCs w:val="24"/>
        </w:rPr>
        <w:t xml:space="preserve"> </w:t>
      </w:r>
      <w:r w:rsidR="00B15BAC" w:rsidRPr="00361FD8">
        <w:rPr>
          <w:rFonts w:ascii="Bookman Old Style" w:hAnsi="Bookman Old Style" w:cs="Arial"/>
          <w:sz w:val="24"/>
          <w:szCs w:val="24"/>
        </w:rPr>
        <w:t>Peraturan</w:t>
      </w:r>
      <w:r w:rsidR="00A954D0">
        <w:rPr>
          <w:rFonts w:ascii="Bookman Old Style" w:hAnsi="Bookman Old Style" w:cs="Arial"/>
          <w:sz w:val="24"/>
          <w:szCs w:val="24"/>
        </w:rPr>
        <w:t xml:space="preserve"> </w:t>
      </w:r>
      <w:r w:rsidR="00B15BAC" w:rsidRPr="00361FD8">
        <w:rPr>
          <w:rFonts w:ascii="Bookman Old Style" w:hAnsi="Bookman Old Style" w:cs="Arial"/>
          <w:sz w:val="24"/>
          <w:szCs w:val="24"/>
        </w:rPr>
        <w:t>Menteri</w:t>
      </w:r>
      <w:r w:rsidR="00A954D0">
        <w:rPr>
          <w:rFonts w:ascii="Bookman Old Style" w:hAnsi="Bookman Old Style" w:cs="Arial"/>
          <w:sz w:val="24"/>
          <w:szCs w:val="24"/>
        </w:rPr>
        <w:t xml:space="preserve"> </w:t>
      </w:r>
      <w:r w:rsidR="00B15BAC" w:rsidRPr="00361FD8">
        <w:rPr>
          <w:rFonts w:ascii="Bookman Old Style" w:hAnsi="Bookman Old Style" w:cs="Arial"/>
          <w:sz w:val="24"/>
          <w:szCs w:val="24"/>
        </w:rPr>
        <w:t>Dalam</w:t>
      </w:r>
      <w:r w:rsidR="00A954D0">
        <w:rPr>
          <w:rFonts w:ascii="Bookman Old Style" w:hAnsi="Bookman Old Style" w:cs="Arial"/>
          <w:sz w:val="24"/>
          <w:szCs w:val="24"/>
        </w:rPr>
        <w:t xml:space="preserve"> </w:t>
      </w:r>
      <w:r w:rsidR="00B15BAC" w:rsidRPr="00361FD8">
        <w:rPr>
          <w:rFonts w:ascii="Bookman Old Style" w:hAnsi="Bookman Old Style" w:cs="Arial"/>
          <w:sz w:val="24"/>
          <w:szCs w:val="24"/>
        </w:rPr>
        <w:t>Negeri</w:t>
      </w:r>
      <w:r w:rsidR="00A954D0">
        <w:rPr>
          <w:rFonts w:ascii="Bookman Old Style" w:hAnsi="Bookman Old Style" w:cs="Arial"/>
          <w:sz w:val="24"/>
          <w:szCs w:val="24"/>
        </w:rPr>
        <w:t xml:space="preserve"> </w:t>
      </w:r>
      <w:r w:rsidR="00B15BAC" w:rsidRPr="00361FD8">
        <w:rPr>
          <w:rFonts w:ascii="Bookman Old Style" w:hAnsi="Bookman Old Style" w:cs="Arial"/>
          <w:sz w:val="24"/>
          <w:szCs w:val="24"/>
        </w:rPr>
        <w:t>Nomor</w:t>
      </w:r>
      <w:r w:rsidR="00A954D0">
        <w:rPr>
          <w:rFonts w:ascii="Bookman Old Style" w:hAnsi="Bookman Old Style" w:cs="Arial"/>
          <w:sz w:val="24"/>
          <w:szCs w:val="24"/>
        </w:rPr>
        <w:t xml:space="preserve"> </w:t>
      </w:r>
      <w:r w:rsidR="00B15BAC" w:rsidRPr="00361FD8">
        <w:rPr>
          <w:rFonts w:ascii="Bookman Old Style" w:hAnsi="Bookman Old Style" w:cs="Arial"/>
          <w:sz w:val="24"/>
          <w:szCs w:val="24"/>
          <w:lang w:val="en-US"/>
        </w:rPr>
        <w:t>15</w:t>
      </w:r>
      <w:r w:rsidR="00A954D0">
        <w:rPr>
          <w:rFonts w:ascii="Bookman Old Style" w:hAnsi="Bookman Old Style" w:cs="Arial"/>
          <w:sz w:val="24"/>
          <w:szCs w:val="24"/>
        </w:rPr>
        <w:t xml:space="preserve"> </w:t>
      </w:r>
      <w:r w:rsidR="00B15BAC" w:rsidRPr="00361FD8">
        <w:rPr>
          <w:rFonts w:ascii="Bookman Old Style" w:hAnsi="Bookman Old Style" w:cs="Arial"/>
          <w:sz w:val="24"/>
          <w:szCs w:val="24"/>
        </w:rPr>
        <w:t>Tahun</w:t>
      </w:r>
      <w:r w:rsidR="00A954D0">
        <w:rPr>
          <w:rFonts w:ascii="Bookman Old Style" w:hAnsi="Bookman Old Style" w:cs="Arial"/>
          <w:sz w:val="24"/>
          <w:szCs w:val="24"/>
        </w:rPr>
        <w:t xml:space="preserve"> </w:t>
      </w:r>
      <w:r w:rsidR="00B15BAC" w:rsidRPr="00361FD8">
        <w:rPr>
          <w:rFonts w:ascii="Bookman Old Style" w:hAnsi="Bookman Old Style" w:cs="Arial"/>
          <w:sz w:val="24"/>
          <w:szCs w:val="24"/>
        </w:rPr>
        <w:t>202</w:t>
      </w:r>
      <w:r w:rsidR="00B15BAC" w:rsidRPr="00361FD8">
        <w:rPr>
          <w:rFonts w:ascii="Bookman Old Style" w:hAnsi="Bookman Old Style" w:cs="Arial"/>
          <w:sz w:val="24"/>
          <w:szCs w:val="24"/>
          <w:lang w:val="en-US"/>
        </w:rPr>
        <w:t>4</w:t>
      </w:r>
      <w:r w:rsidR="00A954D0">
        <w:rPr>
          <w:rFonts w:ascii="Bookman Old Style" w:hAnsi="Bookman Old Style" w:cs="Arial"/>
          <w:sz w:val="24"/>
          <w:szCs w:val="24"/>
          <w:lang w:val="en-US"/>
        </w:rPr>
        <w:t xml:space="preserve"> </w:t>
      </w:r>
      <w:r w:rsidR="00B15BAC" w:rsidRPr="00361FD8">
        <w:rPr>
          <w:rFonts w:ascii="Bookman Old Style" w:hAnsi="Bookman Old Style"/>
          <w:sz w:val="24"/>
          <w:szCs w:val="24"/>
        </w:rPr>
        <w:t>dan</w:t>
      </w:r>
      <w:r w:rsidR="00A954D0">
        <w:rPr>
          <w:rFonts w:ascii="Bookman Old Style" w:hAnsi="Bookman Old Style"/>
          <w:sz w:val="24"/>
          <w:szCs w:val="24"/>
        </w:rPr>
        <w:t xml:space="preserve"> </w:t>
      </w:r>
      <w:r w:rsidR="00B15BAC" w:rsidRPr="00361FD8">
        <w:rPr>
          <w:rFonts w:ascii="Bookman Old Style" w:hAnsi="Bookman Old Style"/>
          <w:sz w:val="24"/>
          <w:szCs w:val="24"/>
        </w:rPr>
        <w:t>dalam</w:t>
      </w:r>
      <w:r w:rsidR="00A954D0">
        <w:rPr>
          <w:rFonts w:ascii="Bookman Old Style" w:hAnsi="Bookman Old Style"/>
          <w:sz w:val="24"/>
          <w:szCs w:val="24"/>
        </w:rPr>
        <w:t xml:space="preserve"> </w:t>
      </w:r>
      <w:r w:rsidR="00B15BAC" w:rsidRPr="00361FD8">
        <w:rPr>
          <w:rFonts w:ascii="Bookman Old Style" w:hAnsi="Bookman Old Style"/>
          <w:sz w:val="24"/>
          <w:szCs w:val="24"/>
        </w:rPr>
        <w:t>pelaksanaannya</w:t>
      </w:r>
      <w:r w:rsidR="00A954D0">
        <w:rPr>
          <w:rFonts w:ascii="Bookman Old Style" w:hAnsi="Bookman Old Style"/>
          <w:sz w:val="24"/>
          <w:szCs w:val="24"/>
        </w:rPr>
        <w:t xml:space="preserve"> </w:t>
      </w:r>
      <w:r w:rsidR="00B15BAC" w:rsidRPr="00361FD8">
        <w:rPr>
          <w:rFonts w:ascii="Bookman Old Style" w:hAnsi="Bookman Old Style"/>
          <w:sz w:val="24"/>
          <w:szCs w:val="24"/>
        </w:rPr>
        <w:t>tetap</w:t>
      </w:r>
      <w:r w:rsidR="00A954D0">
        <w:rPr>
          <w:rFonts w:ascii="Bookman Old Style" w:hAnsi="Bookman Old Style"/>
          <w:sz w:val="24"/>
          <w:szCs w:val="24"/>
        </w:rPr>
        <w:t xml:space="preserve"> </w:t>
      </w:r>
      <w:r w:rsidR="00B15BAC" w:rsidRPr="00361FD8">
        <w:rPr>
          <w:rFonts w:ascii="Bookman Old Style" w:hAnsi="Bookman Old Style"/>
          <w:sz w:val="24"/>
          <w:szCs w:val="24"/>
        </w:rPr>
        <w:t>memperhatikan</w:t>
      </w:r>
      <w:r w:rsidR="00A954D0">
        <w:rPr>
          <w:rFonts w:ascii="Bookman Old Style" w:hAnsi="Bookman Old Style"/>
          <w:sz w:val="24"/>
          <w:szCs w:val="24"/>
        </w:rPr>
        <w:t xml:space="preserve"> </w:t>
      </w:r>
      <w:r w:rsidR="00B15BAC" w:rsidRPr="00361FD8">
        <w:rPr>
          <w:rFonts w:ascii="Bookman Old Style" w:hAnsi="Bookman Old Style"/>
          <w:sz w:val="24"/>
          <w:szCs w:val="24"/>
        </w:rPr>
        <w:t>aspek</w:t>
      </w:r>
      <w:r w:rsidR="00A954D0">
        <w:rPr>
          <w:rFonts w:ascii="Bookman Old Style" w:hAnsi="Bookman Old Style"/>
          <w:sz w:val="24"/>
          <w:szCs w:val="24"/>
        </w:rPr>
        <w:t xml:space="preserve"> </w:t>
      </w:r>
      <w:r w:rsidR="00B15BAC" w:rsidRPr="00361FD8">
        <w:rPr>
          <w:rFonts w:ascii="Bookman Old Style" w:hAnsi="Bookman Old Style"/>
          <w:sz w:val="24"/>
          <w:szCs w:val="24"/>
        </w:rPr>
        <w:t>efisiensi,</w:t>
      </w:r>
      <w:r w:rsidR="00A954D0">
        <w:rPr>
          <w:rFonts w:ascii="Bookman Old Style" w:hAnsi="Bookman Old Style"/>
          <w:sz w:val="24"/>
          <w:szCs w:val="24"/>
        </w:rPr>
        <w:t xml:space="preserve"> </w:t>
      </w:r>
      <w:r w:rsidR="00B15BAC" w:rsidRPr="00361FD8">
        <w:rPr>
          <w:rFonts w:ascii="Bookman Old Style" w:hAnsi="Bookman Old Style"/>
          <w:sz w:val="24"/>
          <w:szCs w:val="24"/>
        </w:rPr>
        <w:t>serta</w:t>
      </w:r>
      <w:r w:rsidR="00A954D0">
        <w:rPr>
          <w:rFonts w:ascii="Bookman Old Style" w:hAnsi="Bookman Old Style"/>
          <w:sz w:val="24"/>
          <w:szCs w:val="24"/>
        </w:rPr>
        <w:t xml:space="preserve"> </w:t>
      </w:r>
      <w:r w:rsidR="00B15BAC" w:rsidRPr="00361FD8">
        <w:rPr>
          <w:rFonts w:ascii="Bookman Old Style" w:hAnsi="Bookman Old Style"/>
          <w:sz w:val="24"/>
          <w:szCs w:val="24"/>
        </w:rPr>
        <w:t>penghematan</w:t>
      </w:r>
      <w:r w:rsidR="00A954D0">
        <w:rPr>
          <w:rFonts w:ascii="Bookman Old Style" w:hAnsi="Bookman Old Style"/>
          <w:sz w:val="24"/>
          <w:szCs w:val="24"/>
        </w:rPr>
        <w:t xml:space="preserve"> </w:t>
      </w:r>
      <w:r w:rsidR="00B15BAC" w:rsidRPr="00361FD8">
        <w:rPr>
          <w:rFonts w:ascii="Bookman Old Style" w:hAnsi="Bookman Old Style"/>
          <w:sz w:val="24"/>
          <w:szCs w:val="24"/>
        </w:rPr>
        <w:t>penggunaan</w:t>
      </w:r>
      <w:r w:rsidR="00A954D0">
        <w:rPr>
          <w:rFonts w:ascii="Bookman Old Style" w:hAnsi="Bookman Old Style"/>
          <w:sz w:val="24"/>
          <w:szCs w:val="24"/>
        </w:rPr>
        <w:t xml:space="preserve"> </w:t>
      </w:r>
      <w:r w:rsidR="00B15BAC" w:rsidRPr="00361FD8">
        <w:rPr>
          <w:rFonts w:ascii="Bookman Old Style" w:hAnsi="Bookman Old Style"/>
          <w:sz w:val="24"/>
          <w:szCs w:val="24"/>
        </w:rPr>
        <w:t>anggaran</w:t>
      </w:r>
      <w:r w:rsidR="00A954D0">
        <w:rPr>
          <w:rFonts w:ascii="Bookman Old Style" w:hAnsi="Bookman Old Style"/>
          <w:sz w:val="24"/>
          <w:szCs w:val="24"/>
        </w:rPr>
        <w:t xml:space="preserve"> </w:t>
      </w:r>
      <w:r w:rsidR="00B15BAC" w:rsidRPr="00361FD8">
        <w:rPr>
          <w:rFonts w:ascii="Bookman Old Style" w:hAnsi="Bookman Old Style"/>
          <w:sz w:val="24"/>
          <w:szCs w:val="24"/>
        </w:rPr>
        <w:t>dan</w:t>
      </w:r>
      <w:r w:rsidR="00A954D0">
        <w:rPr>
          <w:rFonts w:ascii="Bookman Old Style" w:hAnsi="Bookman Old Style"/>
          <w:sz w:val="24"/>
          <w:szCs w:val="24"/>
        </w:rPr>
        <w:t xml:space="preserve"> </w:t>
      </w:r>
      <w:r w:rsidR="00B15BAC" w:rsidRPr="00361FD8">
        <w:rPr>
          <w:rFonts w:ascii="Bookman Old Style" w:hAnsi="Bookman Old Style"/>
          <w:sz w:val="24"/>
          <w:szCs w:val="24"/>
        </w:rPr>
        <w:t>disesuaikan</w:t>
      </w:r>
      <w:r w:rsidR="00A954D0">
        <w:rPr>
          <w:rFonts w:ascii="Bookman Old Style" w:hAnsi="Bookman Old Style"/>
          <w:sz w:val="24"/>
          <w:szCs w:val="24"/>
        </w:rPr>
        <w:t xml:space="preserve"> </w:t>
      </w:r>
      <w:r w:rsidR="00B15BAC" w:rsidRPr="00361FD8">
        <w:rPr>
          <w:rFonts w:ascii="Bookman Old Style" w:hAnsi="Bookman Old Style"/>
          <w:sz w:val="24"/>
          <w:szCs w:val="24"/>
        </w:rPr>
        <w:t>dengan</w:t>
      </w:r>
      <w:r w:rsidR="00A954D0">
        <w:rPr>
          <w:rFonts w:ascii="Bookman Old Style" w:hAnsi="Bookman Old Style"/>
          <w:sz w:val="24"/>
          <w:szCs w:val="24"/>
        </w:rPr>
        <w:t xml:space="preserve"> </w:t>
      </w:r>
      <w:r w:rsidR="00B15BAC" w:rsidRPr="00361FD8">
        <w:rPr>
          <w:rFonts w:ascii="Bookman Old Style" w:hAnsi="Bookman Old Style"/>
          <w:sz w:val="24"/>
          <w:szCs w:val="24"/>
        </w:rPr>
        <w:t>kebutuhan</w:t>
      </w:r>
      <w:r w:rsidR="00A954D0">
        <w:rPr>
          <w:rFonts w:ascii="Bookman Old Style" w:hAnsi="Bookman Old Style"/>
          <w:sz w:val="24"/>
          <w:szCs w:val="24"/>
        </w:rPr>
        <w:t xml:space="preserve"> </w:t>
      </w:r>
      <w:r w:rsidR="00B15BAC" w:rsidRPr="00361FD8">
        <w:rPr>
          <w:rFonts w:ascii="Bookman Old Style" w:hAnsi="Bookman Old Style"/>
          <w:sz w:val="24"/>
          <w:szCs w:val="24"/>
        </w:rPr>
        <w:t>nyata</w:t>
      </w:r>
      <w:r w:rsidR="00A954D0">
        <w:rPr>
          <w:rFonts w:ascii="Bookman Old Style" w:hAnsi="Bookman Old Style"/>
          <w:sz w:val="24"/>
          <w:szCs w:val="24"/>
        </w:rPr>
        <w:t xml:space="preserve"> </w:t>
      </w:r>
      <w:r w:rsidR="00B15BAC" w:rsidRPr="00361FD8">
        <w:rPr>
          <w:rFonts w:ascii="Bookman Old Style" w:hAnsi="Bookman Old Style"/>
          <w:sz w:val="24"/>
          <w:szCs w:val="24"/>
        </w:rPr>
        <w:t>pada</w:t>
      </w:r>
      <w:r w:rsidR="00A954D0">
        <w:rPr>
          <w:rFonts w:ascii="Bookman Old Style" w:hAnsi="Bookman Old Style"/>
          <w:sz w:val="24"/>
          <w:szCs w:val="24"/>
        </w:rPr>
        <w:t xml:space="preserve"> </w:t>
      </w:r>
      <w:r w:rsidR="00B15BAC" w:rsidRPr="00361FD8">
        <w:rPr>
          <w:rFonts w:ascii="Bookman Old Style" w:hAnsi="Bookman Old Style"/>
          <w:sz w:val="24"/>
          <w:szCs w:val="24"/>
        </w:rPr>
        <w:t>masing-masing</w:t>
      </w:r>
      <w:r w:rsidR="00A954D0">
        <w:rPr>
          <w:rFonts w:ascii="Bookman Old Style" w:hAnsi="Bookman Old Style"/>
          <w:sz w:val="24"/>
          <w:szCs w:val="24"/>
        </w:rPr>
        <w:t xml:space="preserve"> </w:t>
      </w:r>
      <w:r w:rsidR="00B15BAC" w:rsidRPr="00361FD8">
        <w:rPr>
          <w:rFonts w:ascii="Bookman Old Style" w:hAnsi="Bookman Old Style"/>
          <w:sz w:val="24"/>
          <w:szCs w:val="24"/>
        </w:rPr>
        <w:t>kegiatan</w:t>
      </w:r>
      <w:r w:rsidR="00A954D0">
        <w:rPr>
          <w:rFonts w:ascii="Bookman Old Style" w:hAnsi="Bookman Old Style"/>
          <w:sz w:val="24"/>
          <w:szCs w:val="24"/>
        </w:rPr>
        <w:t xml:space="preserve"> </w:t>
      </w:r>
      <w:r w:rsidR="00B15BAC" w:rsidRPr="00361FD8">
        <w:rPr>
          <w:rFonts w:ascii="Bookman Old Style" w:hAnsi="Bookman Old Style"/>
          <w:sz w:val="24"/>
          <w:szCs w:val="24"/>
        </w:rPr>
        <w:t>sebagaimana</w:t>
      </w:r>
      <w:r w:rsidR="00A954D0">
        <w:rPr>
          <w:rFonts w:ascii="Bookman Old Style" w:hAnsi="Bookman Old Style"/>
          <w:sz w:val="24"/>
          <w:szCs w:val="24"/>
        </w:rPr>
        <w:t xml:space="preserve"> </w:t>
      </w:r>
      <w:r w:rsidR="00B15BAC" w:rsidRPr="00361FD8">
        <w:rPr>
          <w:rFonts w:ascii="Bookman Old Style" w:hAnsi="Bookman Old Style"/>
          <w:sz w:val="24"/>
          <w:szCs w:val="24"/>
        </w:rPr>
        <w:t>maksud</w:t>
      </w:r>
      <w:r w:rsidR="00A954D0">
        <w:rPr>
          <w:rFonts w:ascii="Bookman Old Style" w:hAnsi="Bookman Old Style"/>
          <w:sz w:val="24"/>
          <w:szCs w:val="24"/>
        </w:rPr>
        <w:t xml:space="preserve"> </w:t>
      </w:r>
      <w:r w:rsidR="00B15BAC" w:rsidRPr="00361FD8">
        <w:rPr>
          <w:rFonts w:ascii="Bookman Old Style" w:hAnsi="Bookman Old Style"/>
          <w:sz w:val="24"/>
          <w:szCs w:val="24"/>
        </w:rPr>
        <w:t>Pasal</w:t>
      </w:r>
      <w:r w:rsidR="00A954D0">
        <w:rPr>
          <w:rFonts w:ascii="Bookman Old Style" w:hAnsi="Bookman Old Style"/>
          <w:sz w:val="24"/>
          <w:szCs w:val="24"/>
        </w:rPr>
        <w:t xml:space="preserve"> </w:t>
      </w:r>
      <w:r w:rsidR="00B15BAC" w:rsidRPr="00361FD8">
        <w:rPr>
          <w:rFonts w:ascii="Bookman Old Style" w:hAnsi="Bookman Old Style"/>
          <w:sz w:val="24"/>
          <w:szCs w:val="24"/>
        </w:rPr>
        <w:t>3</w:t>
      </w:r>
      <w:r w:rsidR="00A954D0">
        <w:rPr>
          <w:rFonts w:ascii="Bookman Old Style" w:hAnsi="Bookman Old Style"/>
          <w:sz w:val="24"/>
          <w:szCs w:val="24"/>
        </w:rPr>
        <w:t xml:space="preserve"> </w:t>
      </w:r>
      <w:r w:rsidR="00B15BAC" w:rsidRPr="00361FD8">
        <w:rPr>
          <w:rFonts w:ascii="Bookman Old Style" w:hAnsi="Bookman Old Style"/>
          <w:sz w:val="24"/>
          <w:szCs w:val="24"/>
        </w:rPr>
        <w:t>ayat</w:t>
      </w:r>
      <w:r w:rsidR="00A954D0">
        <w:rPr>
          <w:rFonts w:ascii="Bookman Old Style" w:hAnsi="Bookman Old Style"/>
          <w:sz w:val="24"/>
          <w:szCs w:val="24"/>
        </w:rPr>
        <w:t xml:space="preserve"> </w:t>
      </w:r>
      <w:r w:rsidR="00B15BAC" w:rsidRPr="00361FD8">
        <w:rPr>
          <w:rFonts w:ascii="Bookman Old Style" w:hAnsi="Bookman Old Style"/>
          <w:sz w:val="24"/>
          <w:szCs w:val="24"/>
        </w:rPr>
        <w:t>(1)</w:t>
      </w:r>
      <w:r w:rsidR="00A954D0">
        <w:rPr>
          <w:rFonts w:ascii="Bookman Old Style" w:hAnsi="Bookman Old Style"/>
          <w:sz w:val="24"/>
          <w:szCs w:val="24"/>
        </w:rPr>
        <w:t xml:space="preserve"> </w:t>
      </w:r>
      <w:r w:rsidR="00B15BAC" w:rsidRPr="00361FD8">
        <w:rPr>
          <w:rFonts w:ascii="Bookman Old Style" w:hAnsi="Bookman Old Style"/>
          <w:sz w:val="24"/>
          <w:szCs w:val="24"/>
        </w:rPr>
        <w:t>Peraturan</w:t>
      </w:r>
      <w:r w:rsidR="00A954D0">
        <w:rPr>
          <w:rFonts w:ascii="Bookman Old Style" w:hAnsi="Bookman Old Style"/>
          <w:sz w:val="24"/>
          <w:szCs w:val="24"/>
        </w:rPr>
        <w:t xml:space="preserve"> </w:t>
      </w:r>
      <w:r w:rsidR="00B15BAC" w:rsidRPr="00361FD8">
        <w:rPr>
          <w:rFonts w:ascii="Bookman Old Style" w:hAnsi="Bookman Old Style"/>
          <w:sz w:val="24"/>
          <w:szCs w:val="24"/>
        </w:rPr>
        <w:t>Pemerintah</w:t>
      </w:r>
      <w:r w:rsidR="00A954D0">
        <w:rPr>
          <w:rFonts w:ascii="Bookman Old Style" w:hAnsi="Bookman Old Style"/>
          <w:sz w:val="24"/>
          <w:szCs w:val="24"/>
        </w:rPr>
        <w:t xml:space="preserve"> </w:t>
      </w:r>
      <w:r w:rsidR="00B15BAC" w:rsidRPr="00361FD8">
        <w:rPr>
          <w:rFonts w:ascii="Bookman Old Style" w:hAnsi="Bookman Old Style"/>
          <w:sz w:val="24"/>
          <w:szCs w:val="24"/>
        </w:rPr>
        <w:t>Nomor</w:t>
      </w:r>
      <w:r w:rsidR="00A954D0">
        <w:rPr>
          <w:rFonts w:ascii="Bookman Old Style" w:hAnsi="Bookman Old Style"/>
          <w:sz w:val="24"/>
          <w:szCs w:val="24"/>
        </w:rPr>
        <w:t xml:space="preserve"> </w:t>
      </w:r>
      <w:r w:rsidR="00B15BAC" w:rsidRPr="00361FD8">
        <w:rPr>
          <w:rFonts w:ascii="Bookman Old Style" w:hAnsi="Bookman Old Style"/>
          <w:sz w:val="24"/>
          <w:szCs w:val="24"/>
        </w:rPr>
        <w:t>12</w:t>
      </w:r>
      <w:r w:rsidR="00A954D0">
        <w:rPr>
          <w:rFonts w:ascii="Bookman Old Style" w:hAnsi="Bookman Old Style"/>
          <w:sz w:val="24"/>
          <w:szCs w:val="24"/>
        </w:rPr>
        <w:t xml:space="preserve"> </w:t>
      </w:r>
      <w:r w:rsidR="00B15BAC" w:rsidRPr="00361FD8">
        <w:rPr>
          <w:rFonts w:ascii="Bookman Old Style" w:hAnsi="Bookman Old Style"/>
          <w:sz w:val="24"/>
          <w:szCs w:val="24"/>
        </w:rPr>
        <w:t>Tahun</w:t>
      </w:r>
      <w:r w:rsidR="00A954D0">
        <w:rPr>
          <w:rFonts w:ascii="Bookman Old Style" w:hAnsi="Bookman Old Style"/>
          <w:sz w:val="24"/>
          <w:szCs w:val="24"/>
        </w:rPr>
        <w:t xml:space="preserve"> </w:t>
      </w:r>
      <w:r w:rsidR="00B15BAC" w:rsidRPr="00361FD8">
        <w:rPr>
          <w:rFonts w:ascii="Bookman Old Style" w:hAnsi="Bookman Old Style"/>
          <w:sz w:val="24"/>
          <w:szCs w:val="24"/>
        </w:rPr>
        <w:t>2019.</w:t>
      </w:r>
    </w:p>
    <w:p w14:paraId="520D2544" w14:textId="3B0325F9" w:rsidR="00B15BAC" w:rsidRPr="00361FD8" w:rsidRDefault="00B15BAC" w:rsidP="00355834">
      <w:pPr>
        <w:pStyle w:val="ListParagraph"/>
        <w:spacing w:before="60" w:after="0" w:line="276" w:lineRule="auto"/>
        <w:ind w:left="3261"/>
        <w:contextualSpacing w:val="0"/>
        <w:jc w:val="both"/>
        <w:rPr>
          <w:rFonts w:ascii="Bookman Old Style" w:hAnsi="Bookman Old Style" w:cs="Arial"/>
          <w:sz w:val="24"/>
          <w:szCs w:val="24"/>
          <w:lang w:val="id-ID"/>
        </w:rPr>
      </w:pPr>
      <w:r w:rsidRPr="00361FD8">
        <w:rPr>
          <w:rFonts w:ascii="Bookman Old Style" w:hAnsi="Bookman Old Style" w:cs="Arial"/>
          <w:sz w:val="24"/>
          <w:szCs w:val="24"/>
          <w:lang w:val="id-ID"/>
        </w:rPr>
        <w:t>Pengadaan</w:t>
      </w:r>
      <w:r w:rsidR="00A954D0">
        <w:rPr>
          <w:rFonts w:ascii="Bookman Old Style" w:hAnsi="Bookman Old Style" w:cs="Arial"/>
          <w:sz w:val="24"/>
          <w:szCs w:val="24"/>
          <w:lang w:val="id-ID"/>
        </w:rPr>
        <w:t xml:space="preserve"> </w:t>
      </w:r>
      <w:r w:rsidRPr="00361FD8">
        <w:rPr>
          <w:rFonts w:ascii="Bookman Old Style" w:hAnsi="Bookman Old Style" w:cs="Arial"/>
          <w:sz w:val="24"/>
          <w:szCs w:val="24"/>
          <w:lang w:val="id-ID"/>
        </w:rPr>
        <w:t>belanja</w:t>
      </w:r>
      <w:r w:rsidR="00A954D0">
        <w:rPr>
          <w:rFonts w:ascii="Bookman Old Style" w:hAnsi="Bookman Old Style" w:cs="Arial"/>
          <w:sz w:val="24"/>
          <w:szCs w:val="24"/>
          <w:lang w:val="id-ID"/>
        </w:rPr>
        <w:t xml:space="preserve"> </w:t>
      </w:r>
      <w:r w:rsidRPr="00361FD8">
        <w:rPr>
          <w:rFonts w:ascii="Bookman Old Style" w:hAnsi="Bookman Old Style" w:cs="Arial"/>
          <w:sz w:val="24"/>
          <w:szCs w:val="24"/>
          <w:lang w:val="id-ID"/>
        </w:rPr>
        <w:t>barang</w:t>
      </w:r>
      <w:r w:rsidR="00A954D0">
        <w:rPr>
          <w:rFonts w:ascii="Bookman Old Style" w:hAnsi="Bookman Old Style" w:cs="Arial"/>
          <w:sz w:val="24"/>
          <w:szCs w:val="24"/>
          <w:lang w:val="id-ID"/>
        </w:rPr>
        <w:t xml:space="preserve"> </w:t>
      </w:r>
      <w:r w:rsidRPr="00361FD8">
        <w:rPr>
          <w:rFonts w:ascii="Bookman Old Style" w:hAnsi="Bookman Old Style" w:cs="Arial"/>
          <w:sz w:val="24"/>
          <w:szCs w:val="24"/>
          <w:lang w:val="id-ID"/>
        </w:rPr>
        <w:t>untuk</w:t>
      </w:r>
      <w:r w:rsidR="00A954D0">
        <w:rPr>
          <w:rFonts w:ascii="Bookman Old Style" w:hAnsi="Bookman Old Style" w:cs="Arial"/>
          <w:sz w:val="24"/>
          <w:szCs w:val="24"/>
          <w:lang w:val="id-ID"/>
        </w:rPr>
        <w:t xml:space="preserve"> </w:t>
      </w:r>
      <w:r w:rsidRPr="00361FD8">
        <w:rPr>
          <w:rFonts w:ascii="Bookman Old Style" w:hAnsi="Bookman Old Style" w:cs="Arial"/>
          <w:sz w:val="24"/>
          <w:szCs w:val="24"/>
          <w:lang w:val="id-ID"/>
        </w:rPr>
        <w:t>dijual/diserahkan</w:t>
      </w:r>
      <w:r w:rsidR="00A954D0">
        <w:rPr>
          <w:rFonts w:ascii="Bookman Old Style" w:hAnsi="Bookman Old Style" w:cs="Arial"/>
          <w:sz w:val="24"/>
          <w:szCs w:val="24"/>
          <w:lang w:val="id-ID"/>
        </w:rPr>
        <w:t xml:space="preserve"> </w:t>
      </w:r>
      <w:r w:rsidRPr="00361FD8">
        <w:rPr>
          <w:rFonts w:ascii="Bookman Old Style" w:hAnsi="Bookman Old Style" w:cs="Arial"/>
          <w:sz w:val="24"/>
          <w:szCs w:val="24"/>
          <w:lang w:val="id-ID"/>
        </w:rPr>
        <w:t>kepada</w:t>
      </w:r>
      <w:r w:rsidR="00A954D0">
        <w:rPr>
          <w:rFonts w:ascii="Bookman Old Style" w:hAnsi="Bookman Old Style" w:cs="Arial"/>
          <w:sz w:val="24"/>
          <w:szCs w:val="24"/>
          <w:lang w:val="id-ID"/>
        </w:rPr>
        <w:t xml:space="preserve"> </w:t>
      </w:r>
      <w:r w:rsidRPr="00361FD8">
        <w:rPr>
          <w:rFonts w:ascii="Bookman Old Style" w:hAnsi="Bookman Old Style" w:cs="Arial"/>
          <w:sz w:val="24"/>
          <w:szCs w:val="24"/>
          <w:lang w:val="id-ID"/>
        </w:rPr>
        <w:t>masyarakat/pihak</w:t>
      </w:r>
      <w:r w:rsidR="00A954D0">
        <w:rPr>
          <w:rFonts w:ascii="Bookman Old Style" w:hAnsi="Bookman Old Style" w:cs="Arial"/>
          <w:sz w:val="24"/>
          <w:szCs w:val="24"/>
          <w:lang w:val="id-ID"/>
        </w:rPr>
        <w:t xml:space="preserve"> </w:t>
      </w:r>
      <w:r w:rsidRPr="00361FD8">
        <w:rPr>
          <w:rFonts w:ascii="Bookman Old Style" w:hAnsi="Bookman Old Style" w:cs="Arial"/>
          <w:sz w:val="24"/>
          <w:szCs w:val="24"/>
          <w:lang w:val="id-ID"/>
        </w:rPr>
        <w:t>ketiga/pihak</w:t>
      </w:r>
      <w:r w:rsidR="00A954D0">
        <w:rPr>
          <w:rFonts w:ascii="Bookman Old Style" w:hAnsi="Bookman Old Style" w:cs="Arial"/>
          <w:sz w:val="24"/>
          <w:szCs w:val="24"/>
          <w:lang w:val="id-ID"/>
        </w:rPr>
        <w:t xml:space="preserve"> </w:t>
      </w:r>
      <w:r w:rsidRPr="00361FD8">
        <w:rPr>
          <w:rFonts w:ascii="Bookman Old Style" w:hAnsi="Bookman Old Style" w:cs="Arial"/>
          <w:sz w:val="24"/>
          <w:szCs w:val="24"/>
          <w:lang w:val="id-ID"/>
        </w:rPr>
        <w:t>lain</w:t>
      </w:r>
      <w:r w:rsidR="00A954D0">
        <w:rPr>
          <w:rFonts w:ascii="Bookman Old Style" w:hAnsi="Bookman Old Style" w:cs="Arial"/>
          <w:sz w:val="24"/>
          <w:szCs w:val="24"/>
          <w:lang w:val="id-ID"/>
        </w:rPr>
        <w:t xml:space="preserve"> </w:t>
      </w:r>
      <w:r w:rsidRPr="00361FD8">
        <w:rPr>
          <w:rFonts w:ascii="Bookman Old Style" w:hAnsi="Bookman Old Style" w:cs="Arial"/>
          <w:sz w:val="24"/>
          <w:szCs w:val="24"/>
          <w:lang w:val="id-ID"/>
        </w:rPr>
        <w:t>dianggarkan</w:t>
      </w:r>
      <w:r w:rsidR="00A954D0">
        <w:rPr>
          <w:rFonts w:ascii="Bookman Old Style" w:hAnsi="Bookman Old Style" w:cs="Arial"/>
          <w:sz w:val="24"/>
          <w:szCs w:val="24"/>
          <w:lang w:val="id-ID"/>
        </w:rPr>
        <w:t xml:space="preserve"> </w:t>
      </w:r>
      <w:r w:rsidRPr="00361FD8">
        <w:rPr>
          <w:rFonts w:ascii="Bookman Old Style" w:hAnsi="Bookman Old Style" w:cs="Arial"/>
          <w:sz w:val="24"/>
          <w:szCs w:val="24"/>
          <w:lang w:val="id-ID"/>
        </w:rPr>
        <w:t>sebesar</w:t>
      </w:r>
      <w:r w:rsidR="00A954D0">
        <w:rPr>
          <w:rFonts w:ascii="Bookman Old Style" w:hAnsi="Bookman Old Style" w:cs="Arial"/>
          <w:sz w:val="24"/>
          <w:szCs w:val="24"/>
          <w:lang w:val="id-ID"/>
        </w:rPr>
        <w:t xml:space="preserve"> </w:t>
      </w:r>
      <w:r w:rsidRPr="00361FD8">
        <w:rPr>
          <w:rFonts w:ascii="Bookman Old Style" w:hAnsi="Bookman Old Style" w:cs="Arial"/>
          <w:sz w:val="24"/>
          <w:szCs w:val="24"/>
          <w:lang w:val="id-ID"/>
        </w:rPr>
        <w:t>harga</w:t>
      </w:r>
      <w:r w:rsidR="00A954D0">
        <w:rPr>
          <w:rFonts w:ascii="Bookman Old Style" w:hAnsi="Bookman Old Style" w:cs="Arial"/>
          <w:sz w:val="24"/>
          <w:szCs w:val="24"/>
          <w:lang w:val="id-ID"/>
        </w:rPr>
        <w:t xml:space="preserve"> </w:t>
      </w:r>
      <w:r w:rsidRPr="00361FD8">
        <w:rPr>
          <w:rFonts w:ascii="Bookman Old Style" w:hAnsi="Bookman Old Style" w:cs="Arial"/>
          <w:sz w:val="24"/>
          <w:szCs w:val="24"/>
          <w:lang w:val="id-ID"/>
        </w:rPr>
        <w:t>beli/bangun</w:t>
      </w:r>
      <w:r w:rsidR="00A954D0">
        <w:rPr>
          <w:rFonts w:ascii="Bookman Old Style" w:hAnsi="Bookman Old Style" w:cs="Arial"/>
          <w:sz w:val="24"/>
          <w:szCs w:val="24"/>
          <w:lang w:val="id-ID"/>
        </w:rPr>
        <w:t xml:space="preserve"> </w:t>
      </w:r>
      <w:r w:rsidRPr="00361FD8">
        <w:rPr>
          <w:rFonts w:ascii="Bookman Old Style" w:hAnsi="Bookman Old Style" w:cs="Arial"/>
          <w:sz w:val="24"/>
          <w:szCs w:val="24"/>
          <w:lang w:val="id-ID"/>
        </w:rPr>
        <w:t>atas</w:t>
      </w:r>
      <w:r w:rsidR="00A954D0">
        <w:rPr>
          <w:rFonts w:ascii="Bookman Old Style" w:hAnsi="Bookman Old Style" w:cs="Arial"/>
          <w:sz w:val="24"/>
          <w:szCs w:val="24"/>
          <w:lang w:val="id-ID"/>
        </w:rPr>
        <w:t xml:space="preserve"> </w:t>
      </w:r>
      <w:r w:rsidRPr="00361FD8">
        <w:rPr>
          <w:rFonts w:ascii="Bookman Old Style" w:hAnsi="Bookman Old Style" w:cs="Arial"/>
          <w:sz w:val="24"/>
          <w:szCs w:val="24"/>
          <w:lang w:val="id-ID"/>
        </w:rPr>
        <w:t>barang</w:t>
      </w:r>
      <w:r w:rsidR="00A954D0">
        <w:rPr>
          <w:rFonts w:ascii="Bookman Old Style" w:hAnsi="Bookman Old Style" w:cs="Arial"/>
          <w:sz w:val="24"/>
          <w:szCs w:val="24"/>
          <w:lang w:val="id-ID"/>
        </w:rPr>
        <w:t xml:space="preserve"> </w:t>
      </w:r>
      <w:r w:rsidRPr="00361FD8">
        <w:rPr>
          <w:rFonts w:ascii="Bookman Old Style" w:hAnsi="Bookman Old Style" w:cs="Arial"/>
          <w:sz w:val="24"/>
          <w:szCs w:val="24"/>
          <w:lang w:val="id-ID"/>
        </w:rPr>
        <w:t>yang</w:t>
      </w:r>
      <w:r w:rsidR="00A954D0">
        <w:rPr>
          <w:rFonts w:ascii="Bookman Old Style" w:hAnsi="Bookman Old Style" w:cs="Arial"/>
          <w:sz w:val="24"/>
          <w:szCs w:val="24"/>
          <w:lang w:val="id-ID"/>
        </w:rPr>
        <w:t xml:space="preserve"> </w:t>
      </w:r>
      <w:r w:rsidRPr="00361FD8">
        <w:rPr>
          <w:rFonts w:ascii="Bookman Old Style" w:hAnsi="Bookman Old Style" w:cs="Arial"/>
          <w:sz w:val="24"/>
          <w:szCs w:val="24"/>
          <w:lang w:val="id-ID"/>
        </w:rPr>
        <w:t>akan</w:t>
      </w:r>
      <w:r w:rsidR="00A954D0">
        <w:rPr>
          <w:rFonts w:ascii="Bookman Old Style" w:hAnsi="Bookman Old Style" w:cs="Arial"/>
          <w:sz w:val="24"/>
          <w:szCs w:val="24"/>
          <w:lang w:val="id-ID"/>
        </w:rPr>
        <w:t xml:space="preserve"> </w:t>
      </w:r>
      <w:r w:rsidRPr="00361FD8">
        <w:rPr>
          <w:rFonts w:ascii="Bookman Old Style" w:hAnsi="Bookman Old Style" w:cs="Arial"/>
          <w:sz w:val="24"/>
          <w:szCs w:val="24"/>
          <w:lang w:val="id-ID"/>
        </w:rPr>
        <w:t>diserahkan</w:t>
      </w:r>
      <w:r w:rsidR="00A954D0">
        <w:rPr>
          <w:rFonts w:ascii="Bookman Old Style" w:hAnsi="Bookman Old Style" w:cs="Arial"/>
          <w:sz w:val="24"/>
          <w:szCs w:val="24"/>
          <w:lang w:val="id-ID"/>
        </w:rPr>
        <w:t xml:space="preserve"> </w:t>
      </w:r>
      <w:r w:rsidRPr="00361FD8">
        <w:rPr>
          <w:rFonts w:ascii="Bookman Old Style" w:hAnsi="Bookman Old Style" w:cs="Arial"/>
          <w:sz w:val="24"/>
          <w:szCs w:val="24"/>
          <w:lang w:val="id-ID"/>
        </w:rPr>
        <w:t>kepada</w:t>
      </w:r>
      <w:r w:rsidR="00A954D0">
        <w:rPr>
          <w:rFonts w:ascii="Bookman Old Style" w:hAnsi="Bookman Old Style" w:cs="Arial"/>
          <w:sz w:val="24"/>
          <w:szCs w:val="24"/>
          <w:lang w:val="id-ID"/>
        </w:rPr>
        <w:t xml:space="preserve"> </w:t>
      </w:r>
      <w:r w:rsidRPr="00361FD8">
        <w:rPr>
          <w:rFonts w:ascii="Bookman Old Style" w:hAnsi="Bookman Old Style" w:cs="Arial"/>
          <w:sz w:val="24"/>
          <w:szCs w:val="24"/>
          <w:lang w:val="id-ID"/>
        </w:rPr>
        <w:t>masyarakat/pihak</w:t>
      </w:r>
      <w:r w:rsidR="00A954D0">
        <w:rPr>
          <w:rFonts w:ascii="Bookman Old Style" w:hAnsi="Bookman Old Style" w:cs="Arial"/>
          <w:sz w:val="24"/>
          <w:szCs w:val="24"/>
          <w:lang w:val="id-ID"/>
        </w:rPr>
        <w:t xml:space="preserve"> </w:t>
      </w:r>
      <w:r w:rsidRPr="00361FD8">
        <w:rPr>
          <w:rFonts w:ascii="Bookman Old Style" w:hAnsi="Bookman Old Style" w:cs="Arial"/>
          <w:sz w:val="24"/>
          <w:szCs w:val="24"/>
          <w:lang w:val="id-ID"/>
        </w:rPr>
        <w:t>ketiga/pihak</w:t>
      </w:r>
      <w:r w:rsidR="00A954D0">
        <w:rPr>
          <w:rFonts w:ascii="Bookman Old Style" w:hAnsi="Bookman Old Style" w:cs="Arial"/>
          <w:sz w:val="24"/>
          <w:szCs w:val="24"/>
          <w:lang w:val="id-ID"/>
        </w:rPr>
        <w:t xml:space="preserve"> </w:t>
      </w:r>
      <w:r w:rsidRPr="00361FD8">
        <w:rPr>
          <w:rFonts w:ascii="Bookman Old Style" w:hAnsi="Bookman Old Style" w:cs="Arial"/>
          <w:sz w:val="24"/>
          <w:szCs w:val="24"/>
          <w:lang w:val="id-ID"/>
        </w:rPr>
        <w:t>lain</w:t>
      </w:r>
      <w:r w:rsidR="00A954D0">
        <w:rPr>
          <w:rFonts w:ascii="Bookman Old Style" w:hAnsi="Bookman Old Style" w:cs="Arial"/>
          <w:sz w:val="24"/>
          <w:szCs w:val="24"/>
          <w:lang w:val="id-ID"/>
        </w:rPr>
        <w:t xml:space="preserve"> </w:t>
      </w:r>
      <w:r w:rsidRPr="00361FD8">
        <w:rPr>
          <w:rFonts w:ascii="Bookman Old Style" w:hAnsi="Bookman Old Style" w:cs="Arial"/>
          <w:sz w:val="24"/>
          <w:szCs w:val="24"/>
          <w:lang w:val="id-ID"/>
        </w:rPr>
        <w:t>ditambah</w:t>
      </w:r>
      <w:r w:rsidR="00A954D0">
        <w:rPr>
          <w:rFonts w:ascii="Bookman Old Style" w:hAnsi="Bookman Old Style" w:cs="Arial"/>
          <w:sz w:val="24"/>
          <w:szCs w:val="24"/>
          <w:lang w:val="id-ID"/>
        </w:rPr>
        <w:t xml:space="preserve"> </w:t>
      </w:r>
      <w:r w:rsidRPr="00361FD8">
        <w:rPr>
          <w:rFonts w:ascii="Bookman Old Style" w:hAnsi="Bookman Old Style" w:cs="Arial"/>
          <w:sz w:val="24"/>
          <w:szCs w:val="24"/>
          <w:lang w:val="id-ID"/>
        </w:rPr>
        <w:t>belanja</w:t>
      </w:r>
      <w:r w:rsidR="00A954D0">
        <w:rPr>
          <w:rFonts w:ascii="Bookman Old Style" w:hAnsi="Bookman Old Style" w:cs="Arial"/>
          <w:sz w:val="24"/>
          <w:szCs w:val="24"/>
          <w:lang w:val="id-ID"/>
        </w:rPr>
        <w:t xml:space="preserve"> </w:t>
      </w:r>
      <w:r w:rsidRPr="00361FD8">
        <w:rPr>
          <w:rFonts w:ascii="Bookman Old Style" w:hAnsi="Bookman Old Style" w:cs="Arial"/>
          <w:sz w:val="24"/>
          <w:szCs w:val="24"/>
          <w:lang w:val="id-ID"/>
        </w:rPr>
        <w:t>yang</w:t>
      </w:r>
      <w:r w:rsidR="00A954D0">
        <w:rPr>
          <w:rFonts w:ascii="Bookman Old Style" w:hAnsi="Bookman Old Style" w:cs="Arial"/>
          <w:sz w:val="24"/>
          <w:szCs w:val="24"/>
          <w:lang w:val="id-ID"/>
        </w:rPr>
        <w:t xml:space="preserve"> </w:t>
      </w:r>
      <w:r w:rsidRPr="00361FD8">
        <w:rPr>
          <w:rFonts w:ascii="Bookman Old Style" w:hAnsi="Bookman Old Style" w:cs="Arial"/>
          <w:sz w:val="24"/>
          <w:szCs w:val="24"/>
          <w:lang w:val="id-ID"/>
        </w:rPr>
        <w:t>terkait</w:t>
      </w:r>
      <w:r w:rsidR="00A954D0">
        <w:rPr>
          <w:rFonts w:ascii="Bookman Old Style" w:hAnsi="Bookman Old Style" w:cs="Arial"/>
          <w:sz w:val="24"/>
          <w:szCs w:val="24"/>
          <w:lang w:val="id-ID"/>
        </w:rPr>
        <w:t xml:space="preserve"> </w:t>
      </w:r>
      <w:r w:rsidRPr="00361FD8">
        <w:rPr>
          <w:rFonts w:ascii="Bookman Old Style" w:hAnsi="Bookman Old Style" w:cs="Arial"/>
          <w:sz w:val="24"/>
          <w:szCs w:val="24"/>
          <w:lang w:val="id-ID"/>
        </w:rPr>
        <w:t>langsung</w:t>
      </w:r>
      <w:r w:rsidR="00A954D0">
        <w:rPr>
          <w:rFonts w:ascii="Bookman Old Style" w:hAnsi="Bookman Old Style" w:cs="Arial"/>
          <w:sz w:val="24"/>
          <w:szCs w:val="24"/>
          <w:lang w:val="id-ID"/>
        </w:rPr>
        <w:t xml:space="preserve"> </w:t>
      </w:r>
      <w:r w:rsidRPr="00361FD8">
        <w:rPr>
          <w:rFonts w:ascii="Bookman Old Style" w:hAnsi="Bookman Old Style" w:cs="Arial"/>
          <w:sz w:val="24"/>
          <w:szCs w:val="24"/>
          <w:lang w:val="id-ID"/>
        </w:rPr>
        <w:t>dengan</w:t>
      </w:r>
      <w:r w:rsidR="00A954D0">
        <w:rPr>
          <w:rFonts w:ascii="Bookman Old Style" w:hAnsi="Bookman Old Style" w:cs="Arial"/>
          <w:sz w:val="24"/>
          <w:szCs w:val="24"/>
          <w:lang w:val="id-ID"/>
        </w:rPr>
        <w:t xml:space="preserve"> </w:t>
      </w:r>
      <w:r w:rsidRPr="00361FD8">
        <w:rPr>
          <w:rFonts w:ascii="Bookman Old Style" w:hAnsi="Bookman Old Style" w:cs="Arial"/>
          <w:sz w:val="24"/>
          <w:szCs w:val="24"/>
          <w:lang w:val="id-ID"/>
        </w:rPr>
        <w:t>pengadaan/pembangunan</w:t>
      </w:r>
      <w:r w:rsidR="00A954D0">
        <w:rPr>
          <w:rFonts w:ascii="Bookman Old Style" w:hAnsi="Bookman Old Style" w:cs="Arial"/>
          <w:sz w:val="24"/>
          <w:szCs w:val="24"/>
          <w:lang w:val="id-ID"/>
        </w:rPr>
        <w:t xml:space="preserve"> </w:t>
      </w:r>
      <w:r w:rsidRPr="00361FD8">
        <w:rPr>
          <w:rFonts w:ascii="Bookman Old Style" w:hAnsi="Bookman Old Style" w:cs="Arial"/>
          <w:sz w:val="24"/>
          <w:szCs w:val="24"/>
          <w:lang w:val="id-ID"/>
        </w:rPr>
        <w:t>sampai</w:t>
      </w:r>
      <w:r w:rsidR="00A954D0">
        <w:rPr>
          <w:rFonts w:ascii="Bookman Old Style" w:hAnsi="Bookman Old Style" w:cs="Arial"/>
          <w:sz w:val="24"/>
          <w:szCs w:val="24"/>
          <w:lang w:val="id-ID"/>
        </w:rPr>
        <w:t xml:space="preserve"> </w:t>
      </w:r>
      <w:r w:rsidRPr="00361FD8">
        <w:rPr>
          <w:rFonts w:ascii="Bookman Old Style" w:hAnsi="Bookman Old Style" w:cs="Arial"/>
          <w:sz w:val="24"/>
          <w:szCs w:val="24"/>
          <w:lang w:val="id-ID"/>
        </w:rPr>
        <w:t>siap</w:t>
      </w:r>
      <w:r w:rsidR="00A954D0">
        <w:rPr>
          <w:rFonts w:ascii="Bookman Old Style" w:hAnsi="Bookman Old Style" w:cs="Arial"/>
          <w:sz w:val="24"/>
          <w:szCs w:val="24"/>
          <w:lang w:val="id-ID"/>
        </w:rPr>
        <w:t xml:space="preserve"> </w:t>
      </w:r>
      <w:r w:rsidRPr="00361FD8">
        <w:rPr>
          <w:rFonts w:ascii="Bookman Old Style" w:hAnsi="Bookman Old Style" w:cs="Arial"/>
          <w:sz w:val="24"/>
          <w:szCs w:val="24"/>
          <w:lang w:val="id-ID"/>
        </w:rPr>
        <w:t>diberikan,</w:t>
      </w:r>
      <w:r w:rsidR="00A954D0">
        <w:rPr>
          <w:rFonts w:ascii="Bookman Old Style" w:hAnsi="Bookman Old Style" w:cs="Arial"/>
          <w:sz w:val="24"/>
          <w:szCs w:val="24"/>
          <w:lang w:val="id-ID"/>
        </w:rPr>
        <w:t xml:space="preserve"> </w:t>
      </w:r>
      <w:r w:rsidRPr="00361FD8">
        <w:rPr>
          <w:rFonts w:ascii="Bookman Old Style" w:hAnsi="Bookman Old Style" w:cs="Arial"/>
          <w:sz w:val="24"/>
          <w:szCs w:val="24"/>
          <w:lang w:val="id-ID"/>
        </w:rPr>
        <w:t>sebagaimana</w:t>
      </w:r>
      <w:r w:rsidR="00A954D0">
        <w:rPr>
          <w:rFonts w:ascii="Bookman Old Style" w:hAnsi="Bookman Old Style" w:cs="Arial"/>
          <w:sz w:val="24"/>
          <w:szCs w:val="24"/>
          <w:lang w:val="id-ID"/>
        </w:rPr>
        <w:t xml:space="preserve"> </w:t>
      </w:r>
      <w:r w:rsidRPr="00361FD8">
        <w:rPr>
          <w:rFonts w:ascii="Bookman Old Style" w:hAnsi="Bookman Old Style" w:cs="Arial"/>
          <w:sz w:val="24"/>
          <w:szCs w:val="24"/>
          <w:lang w:val="id-ID"/>
        </w:rPr>
        <w:t>maksud</w:t>
      </w:r>
      <w:r w:rsidR="00A954D0">
        <w:rPr>
          <w:rFonts w:ascii="Bookman Old Style" w:hAnsi="Bookman Old Style" w:cs="Arial"/>
          <w:sz w:val="24"/>
          <w:szCs w:val="24"/>
          <w:lang w:val="id-ID"/>
        </w:rPr>
        <w:t xml:space="preserve"> </w:t>
      </w:r>
      <w:r w:rsidRPr="00361FD8">
        <w:rPr>
          <w:rFonts w:ascii="Bookman Old Style" w:hAnsi="Bookman Old Style"/>
          <w:sz w:val="24"/>
          <w:szCs w:val="24"/>
          <w:shd w:val="clear" w:color="auto" w:fill="FFFFFF" w:themeFill="background1"/>
          <w:lang w:val="id-ID"/>
        </w:rPr>
        <w:t>butir</w:t>
      </w:r>
      <w:r w:rsidR="00A954D0">
        <w:rPr>
          <w:rFonts w:ascii="Bookman Old Style" w:hAnsi="Bookman Old Style"/>
          <w:sz w:val="24"/>
          <w:szCs w:val="24"/>
          <w:shd w:val="clear" w:color="auto" w:fill="FFFFFF" w:themeFill="background1"/>
          <w:lang w:val="id-ID"/>
        </w:rPr>
        <w:t xml:space="preserve"> </w:t>
      </w:r>
      <w:r w:rsidRPr="00361FD8">
        <w:rPr>
          <w:rFonts w:ascii="Bookman Old Style" w:hAnsi="Bookman Old Style"/>
          <w:sz w:val="24"/>
          <w:szCs w:val="24"/>
          <w:lang w:val="id-ID"/>
        </w:rPr>
        <w:t>3.4.1.2.1.e</w:t>
      </w:r>
      <w:r w:rsidR="00A954D0">
        <w:rPr>
          <w:rFonts w:ascii="Bookman Old Style" w:hAnsi="Bookman Old Style"/>
          <w:sz w:val="24"/>
          <w:szCs w:val="24"/>
        </w:rPr>
        <w:t xml:space="preserve"> </w:t>
      </w:r>
      <w:r w:rsidRPr="00361FD8">
        <w:rPr>
          <w:rFonts w:ascii="Bookman Old Style" w:hAnsi="Bookman Old Style" w:cs="Arial"/>
          <w:sz w:val="24"/>
          <w:szCs w:val="24"/>
        </w:rPr>
        <w:t>Lampiran</w:t>
      </w:r>
      <w:r w:rsidR="00A954D0">
        <w:rPr>
          <w:rFonts w:ascii="Bookman Old Style" w:hAnsi="Bookman Old Style" w:cs="Arial"/>
          <w:sz w:val="24"/>
          <w:szCs w:val="24"/>
        </w:rPr>
        <w:t xml:space="preserve"> </w:t>
      </w:r>
      <w:r w:rsidRPr="00361FD8">
        <w:rPr>
          <w:rFonts w:ascii="Bookman Old Style" w:hAnsi="Bookman Old Style" w:cs="Arial"/>
          <w:sz w:val="24"/>
          <w:szCs w:val="24"/>
        </w:rPr>
        <w:t>Peraturan</w:t>
      </w:r>
      <w:r w:rsidR="00A954D0">
        <w:rPr>
          <w:rFonts w:ascii="Bookman Old Style" w:hAnsi="Bookman Old Style" w:cs="Arial"/>
          <w:sz w:val="24"/>
          <w:szCs w:val="24"/>
        </w:rPr>
        <w:t xml:space="preserve"> </w:t>
      </w:r>
      <w:r w:rsidRPr="00361FD8">
        <w:rPr>
          <w:rFonts w:ascii="Bookman Old Style" w:hAnsi="Bookman Old Style" w:cs="Arial"/>
          <w:sz w:val="24"/>
          <w:szCs w:val="24"/>
        </w:rPr>
        <w:t>Menteri</w:t>
      </w:r>
      <w:r w:rsidR="00A954D0">
        <w:rPr>
          <w:rFonts w:ascii="Bookman Old Style" w:hAnsi="Bookman Old Style" w:cs="Arial"/>
          <w:sz w:val="24"/>
          <w:szCs w:val="24"/>
        </w:rPr>
        <w:t xml:space="preserve"> </w:t>
      </w:r>
      <w:r w:rsidRPr="00361FD8">
        <w:rPr>
          <w:rFonts w:ascii="Bookman Old Style" w:hAnsi="Bookman Old Style" w:cs="Arial"/>
          <w:sz w:val="24"/>
          <w:szCs w:val="24"/>
        </w:rPr>
        <w:t>Dalam</w:t>
      </w:r>
      <w:r w:rsidR="00A954D0">
        <w:rPr>
          <w:rFonts w:ascii="Bookman Old Style" w:hAnsi="Bookman Old Style" w:cs="Arial"/>
          <w:sz w:val="24"/>
          <w:szCs w:val="24"/>
        </w:rPr>
        <w:t xml:space="preserve"> </w:t>
      </w:r>
      <w:r w:rsidRPr="00361FD8">
        <w:rPr>
          <w:rFonts w:ascii="Bookman Old Style" w:hAnsi="Bookman Old Style" w:cs="Arial"/>
          <w:sz w:val="24"/>
          <w:szCs w:val="24"/>
        </w:rPr>
        <w:t>Negeri</w:t>
      </w:r>
      <w:r w:rsidR="00A954D0">
        <w:rPr>
          <w:rFonts w:ascii="Bookman Old Style" w:hAnsi="Bookman Old Style" w:cs="Arial"/>
          <w:sz w:val="24"/>
          <w:szCs w:val="24"/>
        </w:rPr>
        <w:t xml:space="preserve"> </w:t>
      </w:r>
      <w:r w:rsidRPr="00361FD8">
        <w:rPr>
          <w:rFonts w:ascii="Bookman Old Style" w:hAnsi="Bookman Old Style" w:cs="Arial"/>
          <w:sz w:val="24"/>
          <w:szCs w:val="24"/>
        </w:rPr>
        <w:t>Nomor</w:t>
      </w:r>
      <w:r w:rsidR="00A954D0">
        <w:rPr>
          <w:rFonts w:ascii="Bookman Old Style" w:hAnsi="Bookman Old Style" w:cs="Arial"/>
          <w:sz w:val="24"/>
          <w:szCs w:val="24"/>
        </w:rPr>
        <w:t xml:space="preserve"> </w:t>
      </w:r>
      <w:r w:rsidRPr="00361FD8">
        <w:rPr>
          <w:rFonts w:ascii="Bookman Old Style" w:hAnsi="Bookman Old Style" w:cs="Arial"/>
          <w:sz w:val="24"/>
          <w:szCs w:val="24"/>
          <w:lang w:val="id-ID"/>
        </w:rPr>
        <w:t>15</w:t>
      </w:r>
      <w:r w:rsidR="00A954D0">
        <w:rPr>
          <w:rFonts w:ascii="Bookman Old Style" w:hAnsi="Bookman Old Style" w:cs="Arial"/>
          <w:sz w:val="24"/>
          <w:szCs w:val="24"/>
        </w:rPr>
        <w:t xml:space="preserve"> </w:t>
      </w:r>
      <w:r w:rsidRPr="00361FD8">
        <w:rPr>
          <w:rFonts w:ascii="Bookman Old Style" w:hAnsi="Bookman Old Style" w:cs="Arial"/>
          <w:sz w:val="24"/>
          <w:szCs w:val="24"/>
        </w:rPr>
        <w:t>Tahun</w:t>
      </w:r>
      <w:r w:rsidR="00A954D0">
        <w:rPr>
          <w:rFonts w:ascii="Bookman Old Style" w:hAnsi="Bookman Old Style" w:cs="Arial"/>
          <w:sz w:val="24"/>
          <w:szCs w:val="24"/>
        </w:rPr>
        <w:t xml:space="preserve"> </w:t>
      </w:r>
      <w:r w:rsidRPr="00361FD8">
        <w:rPr>
          <w:rFonts w:ascii="Bookman Old Style" w:hAnsi="Bookman Old Style" w:cs="Arial"/>
          <w:sz w:val="24"/>
          <w:szCs w:val="24"/>
        </w:rPr>
        <w:t>202</w:t>
      </w:r>
      <w:r w:rsidRPr="00361FD8">
        <w:rPr>
          <w:rFonts w:ascii="Bookman Old Style" w:hAnsi="Bookman Old Style" w:cs="Arial"/>
          <w:sz w:val="24"/>
          <w:szCs w:val="24"/>
          <w:lang w:val="id-ID"/>
        </w:rPr>
        <w:t>4.</w:t>
      </w:r>
    </w:p>
    <w:p w14:paraId="5D5B7ED6" w14:textId="1DC0A304" w:rsidR="00B15BAC" w:rsidRPr="00361FD8" w:rsidRDefault="00B15BAC" w:rsidP="008B21D9">
      <w:pPr>
        <w:pStyle w:val="ListParagraph"/>
        <w:numPr>
          <w:ilvl w:val="0"/>
          <w:numId w:val="128"/>
        </w:numPr>
        <w:spacing w:before="60" w:after="0" w:line="276" w:lineRule="auto"/>
        <w:ind w:left="3261" w:hanging="567"/>
        <w:contextualSpacing w:val="0"/>
        <w:jc w:val="both"/>
        <w:rPr>
          <w:rFonts w:ascii="Bookman Old Style" w:hAnsi="Bookman Old Style"/>
          <w:sz w:val="24"/>
          <w:szCs w:val="24"/>
          <w:lang w:val="id-ID"/>
        </w:rPr>
      </w:pPr>
      <w:r w:rsidRPr="00361FD8">
        <w:rPr>
          <w:rFonts w:ascii="Bookman Old Style" w:hAnsi="Bookman Old Style"/>
          <w:sz w:val="24"/>
          <w:szCs w:val="24"/>
        </w:rPr>
        <w:t>Belanja</w:t>
      </w:r>
      <w:r w:rsidR="00A954D0">
        <w:rPr>
          <w:rFonts w:ascii="Bookman Old Style" w:hAnsi="Bookman Old Style"/>
          <w:sz w:val="24"/>
          <w:szCs w:val="24"/>
        </w:rPr>
        <w:t xml:space="preserve"> </w:t>
      </w:r>
      <w:r w:rsidRPr="00361FD8">
        <w:rPr>
          <w:rFonts w:ascii="Bookman Old Style" w:hAnsi="Bookman Old Style"/>
          <w:sz w:val="24"/>
          <w:szCs w:val="24"/>
        </w:rPr>
        <w:t>Uang</w:t>
      </w:r>
      <w:r w:rsidR="00A954D0">
        <w:rPr>
          <w:rFonts w:ascii="Bookman Old Style" w:hAnsi="Bookman Old Style"/>
          <w:sz w:val="24"/>
          <w:szCs w:val="24"/>
        </w:rPr>
        <w:t xml:space="preserve"> </w:t>
      </w:r>
      <w:r w:rsidRPr="00361FD8">
        <w:rPr>
          <w:rFonts w:ascii="Bookman Old Style" w:hAnsi="Bookman Old Style"/>
          <w:sz w:val="24"/>
          <w:szCs w:val="24"/>
        </w:rPr>
        <w:t>dan/atau</w:t>
      </w:r>
      <w:r w:rsidR="00A954D0">
        <w:rPr>
          <w:rFonts w:ascii="Bookman Old Style" w:hAnsi="Bookman Old Style"/>
          <w:sz w:val="24"/>
          <w:szCs w:val="24"/>
        </w:rPr>
        <w:t xml:space="preserve"> </w:t>
      </w:r>
      <w:r w:rsidRPr="00361FD8">
        <w:rPr>
          <w:rFonts w:ascii="Bookman Old Style" w:hAnsi="Bookman Old Style"/>
          <w:sz w:val="24"/>
          <w:szCs w:val="24"/>
        </w:rPr>
        <w:t>Jasa</w:t>
      </w:r>
      <w:r w:rsidR="00A954D0">
        <w:rPr>
          <w:rFonts w:ascii="Bookman Old Style" w:hAnsi="Bookman Old Style"/>
          <w:sz w:val="24"/>
          <w:szCs w:val="24"/>
        </w:rPr>
        <w:t xml:space="preserve"> </w:t>
      </w:r>
      <w:r w:rsidRPr="00361FD8">
        <w:rPr>
          <w:rFonts w:ascii="Bookman Old Style" w:hAnsi="Bookman Old Style"/>
          <w:sz w:val="24"/>
          <w:szCs w:val="24"/>
        </w:rPr>
        <w:t>untuk</w:t>
      </w:r>
      <w:r w:rsidR="00A954D0">
        <w:rPr>
          <w:rFonts w:ascii="Bookman Old Style" w:hAnsi="Bookman Old Style"/>
          <w:sz w:val="24"/>
          <w:szCs w:val="24"/>
        </w:rPr>
        <w:t xml:space="preserve"> </w:t>
      </w:r>
      <w:r w:rsidRPr="00361FD8">
        <w:rPr>
          <w:rFonts w:ascii="Bookman Old Style" w:hAnsi="Bookman Old Style"/>
          <w:sz w:val="24"/>
          <w:szCs w:val="24"/>
        </w:rPr>
        <w:t>Diberikan</w:t>
      </w:r>
      <w:r w:rsidR="00A954D0">
        <w:rPr>
          <w:rFonts w:ascii="Bookman Old Style" w:hAnsi="Bookman Old Style"/>
          <w:sz w:val="24"/>
          <w:szCs w:val="24"/>
        </w:rPr>
        <w:t xml:space="preserve"> </w:t>
      </w:r>
      <w:r w:rsidRPr="00361FD8">
        <w:rPr>
          <w:rFonts w:ascii="Bookman Old Style" w:hAnsi="Bookman Old Style"/>
          <w:sz w:val="24"/>
          <w:szCs w:val="24"/>
        </w:rPr>
        <w:t>kepada</w:t>
      </w:r>
      <w:r w:rsidR="00A954D0">
        <w:rPr>
          <w:rFonts w:ascii="Bookman Old Style" w:hAnsi="Bookman Old Style"/>
          <w:sz w:val="24"/>
          <w:szCs w:val="24"/>
        </w:rPr>
        <w:t xml:space="preserve"> </w:t>
      </w:r>
      <w:r w:rsidRPr="00361FD8">
        <w:rPr>
          <w:rFonts w:ascii="Bookman Old Style" w:hAnsi="Bookman Old Style"/>
          <w:sz w:val="24"/>
          <w:szCs w:val="24"/>
        </w:rPr>
        <w:t>Pihak</w:t>
      </w:r>
      <w:r w:rsidR="00A954D0">
        <w:rPr>
          <w:rFonts w:ascii="Bookman Old Style" w:hAnsi="Bookman Old Style"/>
          <w:sz w:val="24"/>
          <w:szCs w:val="24"/>
        </w:rPr>
        <w:t xml:space="preserve"> </w:t>
      </w:r>
      <w:r w:rsidRPr="00361FD8">
        <w:rPr>
          <w:rFonts w:ascii="Bookman Old Style" w:hAnsi="Bookman Old Style"/>
          <w:sz w:val="24"/>
          <w:szCs w:val="24"/>
        </w:rPr>
        <w:t>Ketiga/Pihak</w:t>
      </w:r>
      <w:r w:rsidR="00A954D0">
        <w:rPr>
          <w:rFonts w:ascii="Bookman Old Style" w:hAnsi="Bookman Old Style"/>
          <w:sz w:val="24"/>
          <w:szCs w:val="24"/>
        </w:rPr>
        <w:t xml:space="preserve"> </w:t>
      </w:r>
      <w:r w:rsidRPr="00361FD8">
        <w:rPr>
          <w:rFonts w:ascii="Bookman Old Style" w:hAnsi="Bookman Old Style"/>
          <w:sz w:val="24"/>
          <w:szCs w:val="24"/>
        </w:rPr>
        <w:t>Lain/Masyarakat</w:t>
      </w:r>
      <w:r w:rsidR="00A954D0">
        <w:rPr>
          <w:rFonts w:ascii="Bookman Old Style" w:hAnsi="Bookman Old Style"/>
          <w:sz w:val="24"/>
          <w:szCs w:val="24"/>
        </w:rPr>
        <w:t xml:space="preserve"> </w:t>
      </w:r>
      <w:r w:rsidR="0062593F" w:rsidRPr="00361FD8">
        <w:rPr>
          <w:rFonts w:ascii="Bookman Old Style" w:hAnsi="Bookman Old Style"/>
          <w:sz w:val="24"/>
          <w:szCs w:val="24"/>
          <w:lang w:val="id-ID"/>
        </w:rPr>
        <w:t>Rp153.622.383.745,00</w:t>
      </w:r>
      <w:r w:rsidR="00A954D0">
        <w:rPr>
          <w:rFonts w:ascii="Bookman Old Style" w:hAnsi="Bookman Old Style"/>
          <w:sz w:val="24"/>
          <w:szCs w:val="24"/>
          <w:lang w:val="id-ID"/>
        </w:rPr>
        <w:t xml:space="preserve"> </w:t>
      </w:r>
      <w:r w:rsidR="0062593F" w:rsidRPr="00361FD8">
        <w:rPr>
          <w:rFonts w:ascii="Bookman Old Style" w:hAnsi="Bookman Old Style"/>
          <w:sz w:val="24"/>
          <w:szCs w:val="24"/>
          <w:lang w:val="id-ID"/>
        </w:rPr>
        <w:t>atau</w:t>
      </w:r>
      <w:r w:rsidR="00A954D0">
        <w:rPr>
          <w:rFonts w:ascii="Bookman Old Style" w:hAnsi="Bookman Old Style"/>
          <w:sz w:val="24"/>
          <w:szCs w:val="24"/>
          <w:lang w:val="id-ID"/>
        </w:rPr>
        <w:t xml:space="preserve"> </w:t>
      </w:r>
      <w:r w:rsidR="0062593F" w:rsidRPr="00361FD8">
        <w:rPr>
          <w:rFonts w:ascii="Bookman Old Style" w:hAnsi="Bookman Old Style"/>
          <w:sz w:val="24"/>
          <w:szCs w:val="24"/>
          <w:lang w:val="id-ID"/>
        </w:rPr>
        <w:t>2,69%</w:t>
      </w:r>
      <w:r w:rsidR="00A954D0">
        <w:rPr>
          <w:rFonts w:ascii="Bookman Old Style" w:hAnsi="Bookman Old Style"/>
          <w:sz w:val="24"/>
          <w:szCs w:val="24"/>
          <w:lang w:val="id-ID"/>
        </w:rPr>
        <w:t xml:space="preserve"> </w:t>
      </w:r>
      <w:r w:rsidRPr="00361FD8">
        <w:rPr>
          <w:rFonts w:ascii="Bookman Old Style" w:hAnsi="Bookman Old Style"/>
          <w:sz w:val="24"/>
          <w:szCs w:val="24"/>
        </w:rPr>
        <w:t>dari</w:t>
      </w:r>
      <w:r w:rsidR="00A954D0">
        <w:rPr>
          <w:rFonts w:ascii="Bookman Old Style" w:hAnsi="Bookman Old Style"/>
          <w:sz w:val="24"/>
          <w:szCs w:val="24"/>
        </w:rPr>
        <w:t xml:space="preserve"> </w:t>
      </w:r>
      <w:r w:rsidRPr="00361FD8">
        <w:rPr>
          <w:rFonts w:ascii="Bookman Old Style" w:hAnsi="Bookman Old Style"/>
          <w:sz w:val="24"/>
          <w:szCs w:val="24"/>
        </w:rPr>
        <w:t>total</w:t>
      </w:r>
      <w:r w:rsidR="00A954D0">
        <w:rPr>
          <w:rFonts w:ascii="Bookman Old Style" w:hAnsi="Bookman Old Style"/>
          <w:sz w:val="24"/>
          <w:szCs w:val="24"/>
        </w:rPr>
        <w:t xml:space="preserve"> </w:t>
      </w:r>
      <w:r w:rsidRPr="00361FD8">
        <w:rPr>
          <w:rFonts w:ascii="Bookman Old Style" w:hAnsi="Bookman Old Style"/>
          <w:sz w:val="24"/>
          <w:szCs w:val="24"/>
        </w:rPr>
        <w:t>belanja</w:t>
      </w:r>
      <w:r w:rsidR="00A954D0">
        <w:rPr>
          <w:rFonts w:ascii="Bookman Old Style" w:hAnsi="Bookman Old Style"/>
          <w:sz w:val="24"/>
          <w:szCs w:val="24"/>
        </w:rPr>
        <w:t xml:space="preserve"> </w:t>
      </w:r>
      <w:r w:rsidRPr="00361FD8">
        <w:rPr>
          <w:rFonts w:ascii="Bookman Old Style" w:hAnsi="Bookman Old Style"/>
          <w:sz w:val="24"/>
          <w:szCs w:val="24"/>
        </w:rPr>
        <w:t>daerah</w:t>
      </w:r>
      <w:r w:rsidR="00A954D0">
        <w:rPr>
          <w:rFonts w:ascii="Bookman Old Style" w:hAnsi="Bookman Old Style"/>
          <w:sz w:val="24"/>
          <w:szCs w:val="24"/>
        </w:rPr>
        <w:t xml:space="preserve"> </w:t>
      </w:r>
      <w:r w:rsidRPr="00361FD8">
        <w:rPr>
          <w:rFonts w:ascii="Bookman Old Style" w:hAnsi="Bookman Old Style"/>
          <w:sz w:val="24"/>
          <w:szCs w:val="24"/>
        </w:rPr>
        <w:t>dalam</w:t>
      </w:r>
      <w:r w:rsidR="00A954D0">
        <w:rPr>
          <w:rFonts w:ascii="Bookman Old Style" w:hAnsi="Bookman Old Style"/>
          <w:sz w:val="24"/>
          <w:szCs w:val="24"/>
        </w:rPr>
        <w:t xml:space="preserve"> </w:t>
      </w:r>
      <w:r w:rsidRPr="00361FD8">
        <w:rPr>
          <w:rFonts w:ascii="Bookman Old Style" w:hAnsi="Bookman Old Style"/>
          <w:sz w:val="24"/>
          <w:szCs w:val="24"/>
        </w:rPr>
        <w:t>Rancangan</w:t>
      </w:r>
      <w:r w:rsidR="00A954D0">
        <w:rPr>
          <w:rFonts w:ascii="Bookman Old Style" w:hAnsi="Bookman Old Style"/>
          <w:sz w:val="24"/>
          <w:szCs w:val="24"/>
        </w:rPr>
        <w:t xml:space="preserve"> </w:t>
      </w:r>
      <w:r w:rsidRPr="00361FD8">
        <w:rPr>
          <w:rFonts w:ascii="Bookman Old Style" w:hAnsi="Bookman Old Style"/>
          <w:sz w:val="24"/>
          <w:szCs w:val="24"/>
        </w:rPr>
        <w:t>Peraturan</w:t>
      </w:r>
      <w:r w:rsidR="00A954D0">
        <w:rPr>
          <w:rFonts w:ascii="Bookman Old Style" w:hAnsi="Bookman Old Style"/>
          <w:sz w:val="24"/>
          <w:szCs w:val="24"/>
        </w:rPr>
        <w:t xml:space="preserve"> </w:t>
      </w:r>
      <w:r w:rsidRPr="00361FD8">
        <w:rPr>
          <w:rFonts w:ascii="Bookman Old Style" w:hAnsi="Bookman Old Style"/>
          <w:sz w:val="24"/>
          <w:szCs w:val="24"/>
        </w:rPr>
        <w:t>Daerah</w:t>
      </w:r>
      <w:r w:rsidR="00A954D0">
        <w:rPr>
          <w:rFonts w:ascii="Bookman Old Style" w:hAnsi="Bookman Old Style"/>
          <w:sz w:val="24"/>
          <w:szCs w:val="24"/>
        </w:rPr>
        <w:t xml:space="preserve"> </w:t>
      </w:r>
      <w:r w:rsidR="00B055C5" w:rsidRPr="00361FD8">
        <w:rPr>
          <w:rFonts w:ascii="Bookman Old Style" w:hAnsi="Bookman Old Style"/>
          <w:sz w:val="24"/>
          <w:szCs w:val="24"/>
        </w:rPr>
        <w:t>Kota</w:t>
      </w:r>
      <w:r w:rsidR="00A954D0">
        <w:rPr>
          <w:rFonts w:ascii="Bookman Old Style" w:hAnsi="Bookman Old Style"/>
          <w:sz w:val="24"/>
          <w:szCs w:val="24"/>
        </w:rPr>
        <w:t xml:space="preserve"> </w:t>
      </w:r>
      <w:r w:rsidR="00770F22" w:rsidRPr="00361FD8">
        <w:rPr>
          <w:rFonts w:ascii="Bookman Old Style" w:hAnsi="Bookman Old Style"/>
          <w:sz w:val="24"/>
          <w:szCs w:val="24"/>
        </w:rPr>
        <w:t>Tangerang</w:t>
      </w:r>
      <w:r w:rsidR="00A954D0">
        <w:rPr>
          <w:rFonts w:ascii="Bookman Old Style" w:hAnsi="Bookman Old Style"/>
          <w:sz w:val="24"/>
          <w:szCs w:val="24"/>
        </w:rPr>
        <w:t xml:space="preserve"> </w:t>
      </w:r>
      <w:r w:rsidR="00BE6ED9" w:rsidRPr="00361FD8">
        <w:rPr>
          <w:rFonts w:ascii="Bookman Old Style" w:hAnsi="Bookman Old Style"/>
          <w:sz w:val="24"/>
          <w:szCs w:val="24"/>
        </w:rPr>
        <w:t>tentang</w:t>
      </w:r>
      <w:r w:rsidR="00A954D0">
        <w:rPr>
          <w:rFonts w:ascii="Bookman Old Style" w:hAnsi="Bookman Old Style"/>
          <w:sz w:val="24"/>
          <w:szCs w:val="24"/>
        </w:rPr>
        <w:t xml:space="preserve"> </w:t>
      </w:r>
      <w:r w:rsidR="00BE6ED9" w:rsidRPr="00361FD8">
        <w:rPr>
          <w:rFonts w:ascii="Bookman Old Style" w:hAnsi="Bookman Old Style"/>
          <w:sz w:val="24"/>
          <w:szCs w:val="24"/>
        </w:rPr>
        <w:t>APBD</w:t>
      </w:r>
      <w:r w:rsidR="00A954D0">
        <w:rPr>
          <w:rFonts w:ascii="Bookman Old Style" w:hAnsi="Bookman Old Style"/>
          <w:sz w:val="24"/>
          <w:szCs w:val="24"/>
        </w:rPr>
        <w:t xml:space="preserve"> </w:t>
      </w:r>
      <w:r w:rsidRPr="00361FD8">
        <w:rPr>
          <w:rFonts w:ascii="Bookman Old Style" w:hAnsi="Bookman Old Style"/>
          <w:sz w:val="24"/>
          <w:szCs w:val="24"/>
        </w:rPr>
        <w:t>Tahun</w:t>
      </w:r>
      <w:r w:rsidR="00A954D0">
        <w:rPr>
          <w:rFonts w:ascii="Bookman Old Style" w:hAnsi="Bookman Old Style"/>
          <w:sz w:val="24"/>
          <w:szCs w:val="24"/>
        </w:rPr>
        <w:t xml:space="preserve"> </w:t>
      </w:r>
      <w:r w:rsidRPr="00361FD8">
        <w:rPr>
          <w:rFonts w:ascii="Bookman Old Style" w:hAnsi="Bookman Old Style"/>
          <w:sz w:val="24"/>
          <w:szCs w:val="24"/>
        </w:rPr>
        <w:t>Anggaran</w:t>
      </w:r>
      <w:r w:rsidR="00A954D0">
        <w:rPr>
          <w:rFonts w:ascii="Bookman Old Style" w:hAnsi="Bookman Old Style"/>
          <w:sz w:val="24"/>
          <w:szCs w:val="24"/>
        </w:rPr>
        <w:t xml:space="preserve"> </w:t>
      </w:r>
      <w:r w:rsidRPr="00361FD8">
        <w:rPr>
          <w:rFonts w:ascii="Bookman Old Style" w:hAnsi="Bookman Old Style"/>
          <w:sz w:val="24"/>
          <w:szCs w:val="24"/>
        </w:rPr>
        <w:t>2025</w:t>
      </w:r>
      <w:r w:rsidRPr="00361FD8">
        <w:rPr>
          <w:rFonts w:ascii="Bookman Old Style" w:hAnsi="Bookman Old Style"/>
          <w:sz w:val="24"/>
          <w:szCs w:val="24"/>
          <w:lang w:val="id-ID"/>
        </w:rPr>
        <w:t>,</w:t>
      </w:r>
      <w:r w:rsidR="00A954D0">
        <w:rPr>
          <w:rFonts w:ascii="Bookman Old Style" w:hAnsi="Bookman Old Style"/>
          <w:sz w:val="24"/>
          <w:szCs w:val="24"/>
          <w:lang w:val="id-ID"/>
        </w:rPr>
        <w:t xml:space="preserve"> </w:t>
      </w:r>
      <w:r w:rsidRPr="00361FD8">
        <w:rPr>
          <w:rFonts w:ascii="Bookman Old Style" w:hAnsi="Bookman Old Style"/>
          <w:sz w:val="24"/>
          <w:szCs w:val="24"/>
        </w:rPr>
        <w:t>yang</w:t>
      </w:r>
      <w:r w:rsidR="00A954D0">
        <w:rPr>
          <w:rFonts w:ascii="Bookman Old Style" w:hAnsi="Bookman Old Style"/>
          <w:sz w:val="24"/>
          <w:szCs w:val="24"/>
        </w:rPr>
        <w:t xml:space="preserve"> </w:t>
      </w:r>
      <w:r w:rsidRPr="00361FD8">
        <w:rPr>
          <w:rFonts w:ascii="Bookman Old Style" w:hAnsi="Bookman Old Style"/>
          <w:sz w:val="24"/>
          <w:szCs w:val="24"/>
        </w:rPr>
        <w:t>diuraikan</w:t>
      </w:r>
      <w:r w:rsidR="00A954D0">
        <w:rPr>
          <w:rFonts w:ascii="Bookman Old Style" w:hAnsi="Bookman Old Style"/>
          <w:sz w:val="24"/>
          <w:szCs w:val="24"/>
        </w:rPr>
        <w:t xml:space="preserve"> </w:t>
      </w:r>
      <w:r w:rsidRPr="00361FD8">
        <w:rPr>
          <w:rFonts w:ascii="Bookman Old Style" w:hAnsi="Bookman Old Style"/>
          <w:sz w:val="24"/>
          <w:szCs w:val="24"/>
        </w:rPr>
        <w:t>ke</w:t>
      </w:r>
      <w:r w:rsidR="00A954D0">
        <w:rPr>
          <w:rFonts w:ascii="Bookman Old Style" w:hAnsi="Bookman Old Style"/>
          <w:sz w:val="24"/>
          <w:szCs w:val="24"/>
        </w:rPr>
        <w:t xml:space="preserve"> </w:t>
      </w:r>
      <w:r w:rsidRPr="00361FD8">
        <w:rPr>
          <w:rFonts w:ascii="Bookman Old Style" w:hAnsi="Bookman Old Style"/>
          <w:sz w:val="24"/>
          <w:szCs w:val="24"/>
        </w:rPr>
        <w:t>dalam</w:t>
      </w:r>
      <w:r w:rsidR="00A954D0">
        <w:rPr>
          <w:rFonts w:ascii="Bookman Old Style" w:hAnsi="Bookman Old Style"/>
          <w:sz w:val="24"/>
          <w:szCs w:val="24"/>
        </w:rPr>
        <w:t xml:space="preserve"> </w:t>
      </w:r>
      <w:r w:rsidRPr="00361FD8">
        <w:rPr>
          <w:rFonts w:ascii="Bookman Old Style" w:hAnsi="Bookman Old Style"/>
          <w:sz w:val="24"/>
          <w:szCs w:val="24"/>
        </w:rPr>
        <w:t>rincian</w:t>
      </w:r>
      <w:r w:rsidR="00A954D0">
        <w:rPr>
          <w:rFonts w:ascii="Bookman Old Style" w:hAnsi="Bookman Old Style"/>
          <w:sz w:val="24"/>
          <w:szCs w:val="24"/>
        </w:rPr>
        <w:t xml:space="preserve"> </w:t>
      </w:r>
      <w:r w:rsidRPr="00361FD8">
        <w:rPr>
          <w:rFonts w:ascii="Bookman Old Style" w:hAnsi="Bookman Old Style"/>
          <w:sz w:val="24"/>
          <w:szCs w:val="24"/>
        </w:rPr>
        <w:t>ob</w:t>
      </w:r>
      <w:r w:rsidRPr="00361FD8">
        <w:rPr>
          <w:rFonts w:ascii="Bookman Old Style" w:hAnsi="Bookman Old Style"/>
          <w:sz w:val="24"/>
          <w:szCs w:val="24"/>
          <w:lang w:val="id-ID"/>
        </w:rPr>
        <w:t>j</w:t>
      </w:r>
      <w:r w:rsidRPr="00361FD8">
        <w:rPr>
          <w:rFonts w:ascii="Bookman Old Style" w:hAnsi="Bookman Old Style"/>
          <w:sz w:val="24"/>
          <w:szCs w:val="24"/>
        </w:rPr>
        <w:t>ek</w:t>
      </w:r>
      <w:r w:rsidR="00A954D0">
        <w:rPr>
          <w:rFonts w:ascii="Bookman Old Style" w:hAnsi="Bookman Old Style"/>
          <w:sz w:val="24"/>
          <w:szCs w:val="24"/>
        </w:rPr>
        <w:t xml:space="preserve"> </w:t>
      </w:r>
      <w:r w:rsidRPr="00361FD8">
        <w:rPr>
          <w:rFonts w:ascii="Bookman Old Style" w:hAnsi="Bookman Old Style"/>
          <w:sz w:val="24"/>
          <w:szCs w:val="24"/>
        </w:rPr>
        <w:t>belanja:</w:t>
      </w:r>
    </w:p>
    <w:p w14:paraId="1A1DCF7B" w14:textId="14317185" w:rsidR="00B15BAC" w:rsidRPr="00361FD8" w:rsidRDefault="00B15BAC">
      <w:pPr>
        <w:pStyle w:val="ListParagraph"/>
        <w:numPr>
          <w:ilvl w:val="0"/>
          <w:numId w:val="131"/>
        </w:numPr>
        <w:spacing w:before="60" w:after="0" w:line="276" w:lineRule="auto"/>
        <w:ind w:left="3686" w:hanging="425"/>
        <w:contextualSpacing w:val="0"/>
        <w:jc w:val="both"/>
        <w:rPr>
          <w:rFonts w:ascii="Bookman Old Style" w:hAnsi="Bookman Old Style"/>
          <w:sz w:val="24"/>
          <w:szCs w:val="24"/>
          <w:lang w:val="id-ID"/>
        </w:rPr>
      </w:pPr>
      <w:r w:rsidRPr="00361FD8">
        <w:rPr>
          <w:rFonts w:ascii="Bookman Old Style" w:hAnsi="Bookman Old Style" w:cs="Gill Sans Light (Arabid)"/>
          <w:bCs/>
          <w:sz w:val="24"/>
          <w:szCs w:val="24"/>
          <w:lang w:eastAsia="id-ID"/>
        </w:rPr>
        <w:t>Belanja</w:t>
      </w:r>
      <w:r w:rsidR="00A954D0">
        <w:rPr>
          <w:rFonts w:ascii="Bookman Old Style" w:hAnsi="Bookman Old Style"/>
          <w:sz w:val="24"/>
          <w:szCs w:val="24"/>
        </w:rPr>
        <w:t xml:space="preserve"> </w:t>
      </w:r>
      <w:r w:rsidRPr="00361FD8">
        <w:rPr>
          <w:rFonts w:ascii="Bookman Old Style" w:hAnsi="Bookman Old Style"/>
          <w:sz w:val="24"/>
          <w:szCs w:val="24"/>
        </w:rPr>
        <w:t>Uang</w:t>
      </w:r>
      <w:r w:rsidR="00A954D0">
        <w:rPr>
          <w:rFonts w:ascii="Bookman Old Style" w:hAnsi="Bookman Old Style"/>
          <w:sz w:val="24"/>
          <w:szCs w:val="24"/>
        </w:rPr>
        <w:t xml:space="preserve"> </w:t>
      </w:r>
      <w:r w:rsidRPr="00361FD8">
        <w:rPr>
          <w:rFonts w:ascii="Bookman Old Style" w:hAnsi="Bookman Old Style"/>
          <w:sz w:val="24"/>
          <w:szCs w:val="24"/>
        </w:rPr>
        <w:t>yang</w:t>
      </w:r>
      <w:r w:rsidR="00A954D0">
        <w:rPr>
          <w:rFonts w:ascii="Bookman Old Style" w:hAnsi="Bookman Old Style"/>
          <w:sz w:val="24"/>
          <w:szCs w:val="24"/>
        </w:rPr>
        <w:t xml:space="preserve"> </w:t>
      </w:r>
      <w:r w:rsidRPr="00361FD8">
        <w:rPr>
          <w:rFonts w:ascii="Bookman Old Style" w:hAnsi="Bookman Old Style"/>
          <w:sz w:val="24"/>
          <w:szCs w:val="24"/>
        </w:rPr>
        <w:t>Diberikan</w:t>
      </w:r>
      <w:r w:rsidR="00A954D0">
        <w:rPr>
          <w:rFonts w:ascii="Bookman Old Style" w:hAnsi="Bookman Old Style"/>
          <w:sz w:val="24"/>
          <w:szCs w:val="24"/>
        </w:rPr>
        <w:t xml:space="preserve"> </w:t>
      </w:r>
      <w:r w:rsidRPr="00361FD8">
        <w:rPr>
          <w:rFonts w:ascii="Bookman Old Style" w:hAnsi="Bookman Old Style"/>
          <w:sz w:val="24"/>
          <w:szCs w:val="24"/>
        </w:rPr>
        <w:t>kepada</w:t>
      </w:r>
      <w:r w:rsidR="00A954D0">
        <w:rPr>
          <w:rFonts w:ascii="Bookman Old Style" w:hAnsi="Bookman Old Style"/>
          <w:sz w:val="24"/>
          <w:szCs w:val="24"/>
        </w:rPr>
        <w:t xml:space="preserve"> </w:t>
      </w:r>
      <w:r w:rsidRPr="00361FD8">
        <w:rPr>
          <w:rFonts w:ascii="Bookman Old Style" w:hAnsi="Bookman Old Style"/>
          <w:sz w:val="24"/>
          <w:szCs w:val="24"/>
        </w:rPr>
        <w:t>Pihak</w:t>
      </w:r>
      <w:r w:rsidR="00A954D0">
        <w:rPr>
          <w:rFonts w:ascii="Bookman Old Style" w:hAnsi="Bookman Old Style"/>
          <w:sz w:val="24"/>
          <w:szCs w:val="24"/>
        </w:rPr>
        <w:t xml:space="preserve"> </w:t>
      </w:r>
      <w:r w:rsidRPr="00361FD8">
        <w:rPr>
          <w:rFonts w:ascii="Bookman Old Style" w:hAnsi="Bookman Old Style"/>
          <w:sz w:val="24"/>
          <w:szCs w:val="24"/>
        </w:rPr>
        <w:t>Ketiga/Pihak</w:t>
      </w:r>
      <w:r w:rsidR="00A954D0">
        <w:rPr>
          <w:rFonts w:ascii="Bookman Old Style" w:hAnsi="Bookman Old Style"/>
          <w:sz w:val="24"/>
          <w:szCs w:val="24"/>
        </w:rPr>
        <w:t xml:space="preserve"> </w:t>
      </w:r>
      <w:r w:rsidRPr="00361FD8">
        <w:rPr>
          <w:rFonts w:ascii="Bookman Old Style" w:hAnsi="Bookman Old Style"/>
          <w:sz w:val="24"/>
          <w:szCs w:val="24"/>
        </w:rPr>
        <w:t>Lain/Masyarakat</w:t>
      </w:r>
      <w:r w:rsidR="00A954D0">
        <w:rPr>
          <w:rFonts w:ascii="Bookman Old Style" w:hAnsi="Bookman Old Style"/>
          <w:sz w:val="24"/>
          <w:szCs w:val="24"/>
        </w:rPr>
        <w:t xml:space="preserve"> </w:t>
      </w:r>
      <w:r w:rsidR="0008756D" w:rsidRPr="00361FD8">
        <w:rPr>
          <w:rFonts w:ascii="Bookman Old Style" w:hAnsi="Bookman Old Style"/>
          <w:sz w:val="24"/>
          <w:szCs w:val="24"/>
          <w:lang w:val="id-ID"/>
        </w:rPr>
        <w:t>Rp63.154.619.300,00</w:t>
      </w:r>
      <w:r w:rsidR="00A954D0">
        <w:rPr>
          <w:rFonts w:ascii="Bookman Old Style" w:hAnsi="Bookman Old Style"/>
          <w:sz w:val="24"/>
          <w:szCs w:val="24"/>
          <w:lang w:val="id-ID"/>
        </w:rPr>
        <w:t xml:space="preserve"> </w:t>
      </w:r>
      <w:r w:rsidRPr="00361FD8">
        <w:rPr>
          <w:rFonts w:ascii="Bookman Old Style" w:hAnsi="Bookman Old Style"/>
          <w:sz w:val="24"/>
          <w:szCs w:val="24"/>
        </w:rPr>
        <w:t>yang</w:t>
      </w:r>
      <w:r w:rsidR="00A954D0">
        <w:rPr>
          <w:rFonts w:ascii="Bookman Old Style" w:hAnsi="Bookman Old Style"/>
          <w:sz w:val="24"/>
          <w:szCs w:val="24"/>
        </w:rPr>
        <w:t xml:space="preserve"> </w:t>
      </w:r>
      <w:r w:rsidRPr="00361FD8">
        <w:rPr>
          <w:rFonts w:ascii="Bookman Old Style" w:hAnsi="Bookman Old Style"/>
          <w:sz w:val="24"/>
          <w:szCs w:val="24"/>
        </w:rPr>
        <w:t>diuraikan</w:t>
      </w:r>
      <w:r w:rsidR="00A954D0">
        <w:rPr>
          <w:rFonts w:ascii="Bookman Old Style" w:hAnsi="Bookman Old Style"/>
          <w:sz w:val="24"/>
          <w:szCs w:val="24"/>
        </w:rPr>
        <w:t xml:space="preserve"> </w:t>
      </w:r>
      <w:r w:rsidRPr="00361FD8">
        <w:rPr>
          <w:rFonts w:ascii="Bookman Old Style" w:hAnsi="Bookman Old Style"/>
          <w:sz w:val="24"/>
          <w:szCs w:val="24"/>
        </w:rPr>
        <w:t>ke</w:t>
      </w:r>
      <w:r w:rsidR="00A954D0">
        <w:rPr>
          <w:rFonts w:ascii="Bookman Old Style" w:hAnsi="Bookman Old Style"/>
          <w:sz w:val="24"/>
          <w:szCs w:val="24"/>
        </w:rPr>
        <w:t xml:space="preserve"> </w:t>
      </w:r>
      <w:r w:rsidRPr="00361FD8">
        <w:rPr>
          <w:rFonts w:ascii="Bookman Old Style" w:hAnsi="Bookman Old Style"/>
          <w:sz w:val="24"/>
          <w:szCs w:val="24"/>
        </w:rPr>
        <w:t>dalam</w:t>
      </w:r>
      <w:r w:rsidR="00A954D0">
        <w:rPr>
          <w:rFonts w:ascii="Bookman Old Style" w:hAnsi="Bookman Old Style"/>
          <w:sz w:val="24"/>
          <w:szCs w:val="24"/>
        </w:rPr>
        <w:t xml:space="preserve"> </w:t>
      </w:r>
      <w:r w:rsidRPr="00361FD8">
        <w:rPr>
          <w:rFonts w:ascii="Bookman Old Style" w:hAnsi="Bookman Old Style"/>
          <w:sz w:val="24"/>
          <w:szCs w:val="24"/>
        </w:rPr>
        <w:t>sub</w:t>
      </w:r>
      <w:r w:rsidR="00A954D0">
        <w:rPr>
          <w:rFonts w:ascii="Bookman Old Style" w:hAnsi="Bookman Old Style"/>
          <w:sz w:val="24"/>
          <w:szCs w:val="24"/>
        </w:rPr>
        <w:t xml:space="preserve"> </w:t>
      </w:r>
      <w:r w:rsidRPr="00361FD8">
        <w:rPr>
          <w:rFonts w:ascii="Bookman Old Style" w:hAnsi="Bookman Old Style"/>
          <w:sz w:val="24"/>
          <w:szCs w:val="24"/>
        </w:rPr>
        <w:t>rincian</w:t>
      </w:r>
      <w:r w:rsidR="00A954D0">
        <w:rPr>
          <w:rFonts w:ascii="Bookman Old Style" w:hAnsi="Bookman Old Style"/>
          <w:sz w:val="24"/>
          <w:szCs w:val="24"/>
        </w:rPr>
        <w:t xml:space="preserve"> </w:t>
      </w:r>
      <w:r w:rsidRPr="00361FD8">
        <w:rPr>
          <w:rFonts w:ascii="Bookman Old Style" w:hAnsi="Bookman Old Style"/>
          <w:sz w:val="24"/>
          <w:szCs w:val="24"/>
        </w:rPr>
        <w:t>objek</w:t>
      </w:r>
      <w:r w:rsidR="00A954D0">
        <w:rPr>
          <w:rFonts w:ascii="Bookman Old Style" w:hAnsi="Bookman Old Style"/>
          <w:sz w:val="24"/>
          <w:szCs w:val="24"/>
          <w:lang w:val="id-ID"/>
        </w:rPr>
        <w:t xml:space="preserve"> </w:t>
      </w:r>
      <w:r w:rsidRPr="00361FD8">
        <w:rPr>
          <w:rFonts w:ascii="Bookman Old Style" w:hAnsi="Bookman Old Style"/>
          <w:sz w:val="24"/>
          <w:szCs w:val="24"/>
          <w:lang w:val="id-ID"/>
        </w:rPr>
        <w:t>belanja:</w:t>
      </w:r>
    </w:p>
    <w:p w14:paraId="1BC41E7E" w14:textId="703BBBBE" w:rsidR="0008756D" w:rsidRPr="00361FD8" w:rsidRDefault="0008756D">
      <w:pPr>
        <w:pStyle w:val="ListParagraph"/>
        <w:numPr>
          <w:ilvl w:val="0"/>
          <w:numId w:val="136"/>
        </w:numPr>
        <w:spacing w:before="60" w:line="276" w:lineRule="auto"/>
        <w:ind w:left="4111" w:hanging="142"/>
        <w:jc w:val="both"/>
        <w:rPr>
          <w:rFonts w:ascii="Bookman Old Style" w:hAnsi="Bookman Old Style"/>
          <w:sz w:val="24"/>
          <w:szCs w:val="24"/>
        </w:rPr>
      </w:pPr>
      <w:r w:rsidRPr="00361FD8">
        <w:rPr>
          <w:rFonts w:ascii="Bookman Old Style" w:hAnsi="Bookman Old Style"/>
          <w:sz w:val="24"/>
          <w:szCs w:val="24"/>
        </w:rPr>
        <w:t>Belanja</w:t>
      </w:r>
      <w:r w:rsidR="00A954D0">
        <w:rPr>
          <w:rFonts w:ascii="Bookman Old Style" w:hAnsi="Bookman Old Style"/>
          <w:sz w:val="24"/>
          <w:szCs w:val="24"/>
        </w:rPr>
        <w:t xml:space="preserve"> </w:t>
      </w:r>
      <w:r w:rsidRPr="00361FD8">
        <w:rPr>
          <w:rFonts w:ascii="Bookman Old Style" w:hAnsi="Bookman Old Style"/>
          <w:sz w:val="24"/>
          <w:szCs w:val="24"/>
        </w:rPr>
        <w:t>Hadiah</w:t>
      </w:r>
      <w:r w:rsidR="00A954D0">
        <w:rPr>
          <w:rFonts w:ascii="Bookman Old Style" w:hAnsi="Bookman Old Style"/>
          <w:sz w:val="24"/>
          <w:szCs w:val="24"/>
        </w:rPr>
        <w:t xml:space="preserve"> </w:t>
      </w:r>
      <w:r w:rsidRPr="00361FD8">
        <w:rPr>
          <w:rFonts w:ascii="Bookman Old Style" w:hAnsi="Bookman Old Style"/>
          <w:sz w:val="24"/>
          <w:szCs w:val="24"/>
        </w:rPr>
        <w:t>yang</w:t>
      </w:r>
      <w:r w:rsidR="00A954D0">
        <w:rPr>
          <w:rFonts w:ascii="Bookman Old Style" w:hAnsi="Bookman Old Style"/>
          <w:sz w:val="24"/>
          <w:szCs w:val="24"/>
        </w:rPr>
        <w:t xml:space="preserve"> </w:t>
      </w:r>
      <w:r w:rsidRPr="00361FD8">
        <w:rPr>
          <w:rFonts w:ascii="Bookman Old Style" w:hAnsi="Bookman Old Style"/>
          <w:sz w:val="24"/>
          <w:szCs w:val="24"/>
        </w:rPr>
        <w:t>Bersifat</w:t>
      </w:r>
      <w:r w:rsidR="00A954D0">
        <w:rPr>
          <w:rFonts w:ascii="Bookman Old Style" w:hAnsi="Bookman Old Style"/>
          <w:sz w:val="24"/>
          <w:szCs w:val="24"/>
        </w:rPr>
        <w:t xml:space="preserve"> </w:t>
      </w:r>
      <w:r w:rsidRPr="00361FD8">
        <w:rPr>
          <w:rFonts w:ascii="Bookman Old Style" w:hAnsi="Bookman Old Style"/>
          <w:sz w:val="24"/>
          <w:szCs w:val="24"/>
        </w:rPr>
        <w:t>Perlombaan</w:t>
      </w:r>
      <w:r w:rsidR="00A954D0">
        <w:rPr>
          <w:rFonts w:ascii="Bookman Old Style" w:hAnsi="Bookman Old Style"/>
          <w:sz w:val="24"/>
          <w:szCs w:val="24"/>
        </w:rPr>
        <w:t xml:space="preserve"> </w:t>
      </w:r>
      <w:r w:rsidRPr="00361FD8">
        <w:rPr>
          <w:rFonts w:ascii="Bookman Old Style" w:hAnsi="Bookman Old Style"/>
          <w:sz w:val="24"/>
          <w:szCs w:val="24"/>
        </w:rPr>
        <w:t>Rp6.723.244.500,00;</w:t>
      </w:r>
    </w:p>
    <w:p w14:paraId="4DD29732" w14:textId="365F462C" w:rsidR="0008756D" w:rsidRPr="00361FD8" w:rsidRDefault="0008756D">
      <w:pPr>
        <w:pStyle w:val="ListParagraph"/>
        <w:numPr>
          <w:ilvl w:val="0"/>
          <w:numId w:val="136"/>
        </w:numPr>
        <w:spacing w:before="60" w:line="276" w:lineRule="auto"/>
        <w:ind w:left="4111" w:hanging="142"/>
        <w:jc w:val="both"/>
        <w:rPr>
          <w:rFonts w:ascii="Bookman Old Style" w:hAnsi="Bookman Old Style"/>
          <w:sz w:val="24"/>
          <w:szCs w:val="24"/>
        </w:rPr>
      </w:pPr>
      <w:r w:rsidRPr="00361FD8">
        <w:rPr>
          <w:rFonts w:ascii="Bookman Old Style" w:hAnsi="Bookman Old Style"/>
          <w:sz w:val="24"/>
          <w:szCs w:val="24"/>
        </w:rPr>
        <w:t>Belanja</w:t>
      </w:r>
      <w:r w:rsidR="00A954D0">
        <w:rPr>
          <w:rFonts w:ascii="Bookman Old Style" w:hAnsi="Bookman Old Style"/>
          <w:sz w:val="24"/>
          <w:szCs w:val="24"/>
        </w:rPr>
        <w:t xml:space="preserve"> </w:t>
      </w:r>
      <w:r w:rsidRPr="00361FD8">
        <w:rPr>
          <w:rFonts w:ascii="Bookman Old Style" w:hAnsi="Bookman Old Style"/>
          <w:sz w:val="24"/>
          <w:szCs w:val="24"/>
        </w:rPr>
        <w:t>Penghargaan</w:t>
      </w:r>
      <w:r w:rsidR="00A954D0">
        <w:rPr>
          <w:rFonts w:ascii="Bookman Old Style" w:hAnsi="Bookman Old Style"/>
          <w:sz w:val="24"/>
          <w:szCs w:val="24"/>
        </w:rPr>
        <w:t xml:space="preserve"> </w:t>
      </w:r>
      <w:r w:rsidRPr="00361FD8">
        <w:rPr>
          <w:rFonts w:ascii="Bookman Old Style" w:hAnsi="Bookman Old Style"/>
          <w:sz w:val="24"/>
          <w:szCs w:val="24"/>
        </w:rPr>
        <w:t>atas</w:t>
      </w:r>
      <w:r w:rsidR="00A954D0">
        <w:rPr>
          <w:rFonts w:ascii="Bookman Old Style" w:hAnsi="Bookman Old Style"/>
          <w:sz w:val="24"/>
          <w:szCs w:val="24"/>
        </w:rPr>
        <w:t xml:space="preserve"> </w:t>
      </w:r>
      <w:r w:rsidRPr="00361FD8">
        <w:rPr>
          <w:rFonts w:ascii="Bookman Old Style" w:hAnsi="Bookman Old Style"/>
          <w:sz w:val="24"/>
          <w:szCs w:val="24"/>
        </w:rPr>
        <w:t>Suatu</w:t>
      </w:r>
      <w:r w:rsidR="00A954D0">
        <w:rPr>
          <w:rFonts w:ascii="Bookman Old Style" w:hAnsi="Bookman Old Style"/>
          <w:sz w:val="24"/>
          <w:szCs w:val="24"/>
        </w:rPr>
        <w:t xml:space="preserve"> </w:t>
      </w:r>
      <w:r w:rsidRPr="00361FD8">
        <w:rPr>
          <w:rFonts w:ascii="Bookman Old Style" w:hAnsi="Bookman Old Style"/>
          <w:sz w:val="24"/>
          <w:szCs w:val="24"/>
        </w:rPr>
        <w:t>Prestasi</w:t>
      </w:r>
      <w:r w:rsidR="00A954D0">
        <w:rPr>
          <w:rFonts w:ascii="Bookman Old Style" w:hAnsi="Bookman Old Style"/>
          <w:sz w:val="24"/>
          <w:szCs w:val="24"/>
        </w:rPr>
        <w:t xml:space="preserve"> </w:t>
      </w:r>
      <w:r w:rsidRPr="00361FD8">
        <w:rPr>
          <w:rFonts w:ascii="Bookman Old Style" w:hAnsi="Bookman Old Style"/>
          <w:sz w:val="24"/>
          <w:szCs w:val="24"/>
        </w:rPr>
        <w:t>Rp372.914.800,00;</w:t>
      </w:r>
    </w:p>
    <w:p w14:paraId="22FF47AF" w14:textId="4E3FB9DF" w:rsidR="0008756D" w:rsidRDefault="0008756D">
      <w:pPr>
        <w:pStyle w:val="ListParagraph"/>
        <w:numPr>
          <w:ilvl w:val="0"/>
          <w:numId w:val="136"/>
        </w:numPr>
        <w:spacing w:before="60" w:line="276" w:lineRule="auto"/>
        <w:ind w:left="4111" w:hanging="142"/>
        <w:jc w:val="both"/>
        <w:rPr>
          <w:rFonts w:ascii="Bookman Old Style" w:hAnsi="Bookman Old Style"/>
          <w:sz w:val="24"/>
          <w:szCs w:val="24"/>
        </w:rPr>
      </w:pPr>
      <w:r w:rsidRPr="00361FD8">
        <w:rPr>
          <w:rFonts w:ascii="Bookman Old Style" w:hAnsi="Bookman Old Style"/>
          <w:sz w:val="24"/>
          <w:szCs w:val="24"/>
        </w:rPr>
        <w:t>Belanja</w:t>
      </w:r>
      <w:r w:rsidR="00A954D0">
        <w:rPr>
          <w:rFonts w:ascii="Bookman Old Style" w:hAnsi="Bookman Old Style"/>
          <w:sz w:val="24"/>
          <w:szCs w:val="24"/>
        </w:rPr>
        <w:t xml:space="preserve"> </w:t>
      </w:r>
      <w:r w:rsidRPr="00361FD8">
        <w:rPr>
          <w:rFonts w:ascii="Bookman Old Style" w:hAnsi="Bookman Old Style"/>
          <w:sz w:val="24"/>
          <w:szCs w:val="24"/>
        </w:rPr>
        <w:t>Beasiswa</w:t>
      </w:r>
      <w:r w:rsidR="00A954D0">
        <w:rPr>
          <w:rFonts w:ascii="Bookman Old Style" w:hAnsi="Bookman Old Style"/>
          <w:sz w:val="24"/>
          <w:szCs w:val="24"/>
        </w:rPr>
        <w:t xml:space="preserve"> </w:t>
      </w:r>
      <w:r w:rsidRPr="00361FD8">
        <w:rPr>
          <w:rFonts w:ascii="Bookman Old Style" w:hAnsi="Bookman Old Style"/>
          <w:sz w:val="24"/>
          <w:szCs w:val="24"/>
        </w:rPr>
        <w:t>Rp56.052.960.000,00;</w:t>
      </w:r>
    </w:p>
    <w:p w14:paraId="06C788C3" w14:textId="78D2853F" w:rsidR="001A061D" w:rsidRPr="008B21D9" w:rsidRDefault="00A67D42" w:rsidP="001A061D">
      <w:pPr>
        <w:pStyle w:val="ListParagraph"/>
        <w:spacing w:before="60" w:line="276" w:lineRule="auto"/>
        <w:ind w:left="4111"/>
        <w:jc w:val="both"/>
        <w:rPr>
          <w:rFonts w:ascii="Bookman Old Style" w:hAnsi="Bookman Old Style"/>
          <w:sz w:val="24"/>
          <w:szCs w:val="24"/>
          <w:lang w:val="sv-FI"/>
        </w:rPr>
      </w:pPr>
      <w:r>
        <w:rPr>
          <w:rFonts w:ascii="Bookman Old Style" w:hAnsi="Bookman Old Style"/>
          <w:sz w:val="24"/>
          <w:szCs w:val="24"/>
        </w:rPr>
        <w:t xml:space="preserve">Dalam hal beasiswa diperuntukan bagi </w:t>
      </w:r>
      <w:r w:rsidR="00F34F2E">
        <w:rPr>
          <w:rFonts w:ascii="Bookman Old Style" w:hAnsi="Bookman Old Style"/>
          <w:sz w:val="24"/>
          <w:szCs w:val="24"/>
        </w:rPr>
        <w:t xml:space="preserve">tingkat sarjana/pendidikan tinggi yang </w:t>
      </w:r>
      <w:r w:rsidR="00F34F2E">
        <w:rPr>
          <w:rFonts w:ascii="Bookman Old Style" w:hAnsi="Bookman Old Style"/>
          <w:sz w:val="24"/>
          <w:szCs w:val="24"/>
        </w:rPr>
        <w:lastRenderedPageBreak/>
        <w:t>bukan merupakan urusan dan kewenangan Pemerintah Daerah Kota Tangerang sesuai ketentuan peraturan perundang-undangan agar dialihkan pada Sekretariat Daerah</w:t>
      </w:r>
      <w:r w:rsidR="008B21D9" w:rsidRPr="008B21D9">
        <w:rPr>
          <w:rFonts w:ascii="Bookman Old Style" w:hAnsi="Bookman Old Style"/>
          <w:sz w:val="24"/>
          <w:szCs w:val="24"/>
          <w:lang w:val="sv-FI"/>
        </w:rPr>
        <w:t>;</w:t>
      </w:r>
    </w:p>
    <w:p w14:paraId="093E1C6B" w14:textId="47E3C748" w:rsidR="00B15BAC" w:rsidRPr="00361FD8" w:rsidRDefault="0008756D">
      <w:pPr>
        <w:pStyle w:val="ListParagraph"/>
        <w:numPr>
          <w:ilvl w:val="0"/>
          <w:numId w:val="136"/>
        </w:numPr>
        <w:spacing w:before="60" w:after="0" w:line="276" w:lineRule="auto"/>
        <w:ind w:left="4111" w:hanging="142"/>
        <w:contextualSpacing w:val="0"/>
        <w:jc w:val="both"/>
        <w:rPr>
          <w:rFonts w:ascii="Bookman Old Style" w:hAnsi="Bookman Old Style"/>
          <w:sz w:val="24"/>
          <w:szCs w:val="24"/>
          <w:lang w:val="fi-FI"/>
        </w:rPr>
      </w:pPr>
      <w:r w:rsidRPr="00361FD8">
        <w:rPr>
          <w:rFonts w:ascii="Bookman Old Style" w:hAnsi="Bookman Old Style"/>
          <w:sz w:val="24"/>
          <w:szCs w:val="24"/>
        </w:rPr>
        <w:t>Belanja</w:t>
      </w:r>
      <w:r w:rsidR="00A954D0">
        <w:rPr>
          <w:rFonts w:ascii="Bookman Old Style" w:hAnsi="Bookman Old Style"/>
          <w:sz w:val="24"/>
          <w:szCs w:val="24"/>
        </w:rPr>
        <w:t xml:space="preserve"> </w:t>
      </w:r>
      <w:r w:rsidRPr="00361FD8">
        <w:rPr>
          <w:rFonts w:ascii="Bookman Old Style" w:hAnsi="Bookman Old Style"/>
          <w:sz w:val="24"/>
          <w:szCs w:val="24"/>
        </w:rPr>
        <w:t>Penanganan</w:t>
      </w:r>
      <w:r w:rsidR="00A954D0">
        <w:rPr>
          <w:rFonts w:ascii="Bookman Old Style" w:hAnsi="Bookman Old Style"/>
          <w:sz w:val="24"/>
          <w:szCs w:val="24"/>
        </w:rPr>
        <w:t xml:space="preserve"> </w:t>
      </w:r>
      <w:r w:rsidRPr="00361FD8">
        <w:rPr>
          <w:rFonts w:ascii="Bookman Old Style" w:hAnsi="Bookman Old Style"/>
          <w:sz w:val="24"/>
          <w:szCs w:val="24"/>
        </w:rPr>
        <w:t>Dampak</w:t>
      </w:r>
      <w:r w:rsidR="00A954D0">
        <w:rPr>
          <w:rFonts w:ascii="Bookman Old Style" w:hAnsi="Bookman Old Style"/>
          <w:sz w:val="24"/>
          <w:szCs w:val="24"/>
        </w:rPr>
        <w:t xml:space="preserve"> </w:t>
      </w:r>
      <w:r w:rsidRPr="00361FD8">
        <w:rPr>
          <w:rFonts w:ascii="Bookman Old Style" w:hAnsi="Bookman Old Style"/>
          <w:sz w:val="24"/>
          <w:szCs w:val="24"/>
        </w:rPr>
        <w:t>Sosial</w:t>
      </w:r>
      <w:r w:rsidR="00A954D0">
        <w:rPr>
          <w:rFonts w:ascii="Bookman Old Style" w:hAnsi="Bookman Old Style"/>
          <w:sz w:val="24"/>
          <w:szCs w:val="24"/>
        </w:rPr>
        <w:t xml:space="preserve"> </w:t>
      </w:r>
      <w:r w:rsidRPr="00361FD8">
        <w:rPr>
          <w:rFonts w:ascii="Bookman Old Style" w:hAnsi="Bookman Old Style"/>
          <w:sz w:val="24"/>
          <w:szCs w:val="24"/>
        </w:rPr>
        <w:t>Kemasyarakatan</w:t>
      </w:r>
      <w:r w:rsidR="00A954D0">
        <w:rPr>
          <w:rFonts w:ascii="Bookman Old Style" w:hAnsi="Bookman Old Style"/>
          <w:sz w:val="24"/>
          <w:szCs w:val="24"/>
        </w:rPr>
        <w:t xml:space="preserve"> </w:t>
      </w:r>
      <w:r w:rsidRPr="00361FD8">
        <w:rPr>
          <w:rFonts w:ascii="Bookman Old Style" w:hAnsi="Bookman Old Style"/>
          <w:sz w:val="24"/>
          <w:szCs w:val="24"/>
        </w:rPr>
        <w:t>Rp5.500.000,00</w:t>
      </w:r>
      <w:r w:rsidR="008B21D9">
        <w:rPr>
          <w:rFonts w:ascii="Bookman Old Style" w:hAnsi="Bookman Old Style"/>
          <w:sz w:val="24"/>
          <w:szCs w:val="24"/>
          <w:lang w:val="fi-FI"/>
        </w:rPr>
        <w:t>.</w:t>
      </w:r>
    </w:p>
    <w:p w14:paraId="12AA1422" w14:textId="1FF9E720" w:rsidR="00D07682" w:rsidRPr="00361FD8" w:rsidRDefault="00B15BAC">
      <w:pPr>
        <w:pStyle w:val="ListParagraph"/>
        <w:numPr>
          <w:ilvl w:val="0"/>
          <w:numId w:val="131"/>
        </w:numPr>
        <w:spacing w:before="60" w:after="0" w:line="276" w:lineRule="auto"/>
        <w:ind w:left="3686" w:hanging="425"/>
        <w:contextualSpacing w:val="0"/>
        <w:jc w:val="both"/>
        <w:rPr>
          <w:rFonts w:ascii="Bookman Old Style" w:hAnsi="Bookman Old Style"/>
          <w:sz w:val="24"/>
          <w:szCs w:val="24"/>
          <w:lang w:val="fi-FI"/>
        </w:rPr>
      </w:pPr>
      <w:r w:rsidRPr="009E7FF3">
        <w:rPr>
          <w:rFonts w:ascii="Bookman Old Style" w:hAnsi="Bookman Old Style" w:cs="Gill Sans Light (Arabid)"/>
          <w:bCs/>
          <w:sz w:val="24"/>
          <w:szCs w:val="24"/>
          <w:lang w:eastAsia="id-ID"/>
        </w:rPr>
        <w:t>Belanja</w:t>
      </w:r>
      <w:r w:rsidR="00A954D0">
        <w:rPr>
          <w:rFonts w:ascii="Bookman Old Style" w:hAnsi="Bookman Old Style"/>
          <w:sz w:val="24"/>
          <w:szCs w:val="24"/>
          <w:lang w:val="fi-FI"/>
        </w:rPr>
        <w:t xml:space="preserve"> </w:t>
      </w:r>
      <w:r w:rsidRPr="00361FD8">
        <w:rPr>
          <w:rFonts w:ascii="Bookman Old Style" w:hAnsi="Bookman Old Style"/>
          <w:sz w:val="24"/>
          <w:szCs w:val="24"/>
          <w:lang w:val="fi-FI"/>
        </w:rPr>
        <w:t>Jasa</w:t>
      </w:r>
      <w:r w:rsidR="00A954D0">
        <w:rPr>
          <w:rFonts w:ascii="Bookman Old Style" w:hAnsi="Bookman Old Style"/>
          <w:sz w:val="24"/>
          <w:szCs w:val="24"/>
          <w:lang w:val="fi-FI"/>
        </w:rPr>
        <w:t xml:space="preserve"> </w:t>
      </w:r>
      <w:r w:rsidRPr="00361FD8">
        <w:rPr>
          <w:rFonts w:ascii="Bookman Old Style" w:hAnsi="Bookman Old Style"/>
          <w:sz w:val="24"/>
          <w:szCs w:val="24"/>
          <w:lang w:val="fi-FI"/>
        </w:rPr>
        <w:t>yang</w:t>
      </w:r>
      <w:r w:rsidR="00A954D0">
        <w:rPr>
          <w:rFonts w:ascii="Bookman Old Style" w:hAnsi="Bookman Old Style"/>
          <w:sz w:val="24"/>
          <w:szCs w:val="24"/>
          <w:lang w:val="fi-FI"/>
        </w:rPr>
        <w:t xml:space="preserve"> </w:t>
      </w:r>
      <w:r w:rsidRPr="00361FD8">
        <w:rPr>
          <w:rFonts w:ascii="Bookman Old Style" w:hAnsi="Bookman Old Style"/>
          <w:sz w:val="24"/>
          <w:szCs w:val="24"/>
          <w:lang w:val="fi-FI"/>
        </w:rPr>
        <w:t>Diberikan</w:t>
      </w:r>
      <w:r w:rsidR="00A954D0">
        <w:rPr>
          <w:rFonts w:ascii="Bookman Old Style" w:hAnsi="Bookman Old Style"/>
          <w:sz w:val="24"/>
          <w:szCs w:val="24"/>
          <w:lang w:val="fi-FI"/>
        </w:rPr>
        <w:t xml:space="preserve"> </w:t>
      </w:r>
      <w:r w:rsidRPr="00361FD8">
        <w:rPr>
          <w:rFonts w:ascii="Bookman Old Style" w:hAnsi="Bookman Old Style"/>
          <w:sz w:val="24"/>
          <w:szCs w:val="24"/>
          <w:lang w:val="fi-FI"/>
        </w:rPr>
        <w:t>kepada</w:t>
      </w:r>
      <w:r w:rsidR="00A954D0">
        <w:rPr>
          <w:rFonts w:ascii="Bookman Old Style" w:hAnsi="Bookman Old Style"/>
          <w:sz w:val="24"/>
          <w:szCs w:val="24"/>
          <w:lang w:val="fi-FI"/>
        </w:rPr>
        <w:t xml:space="preserve"> </w:t>
      </w:r>
      <w:r w:rsidRPr="00361FD8">
        <w:rPr>
          <w:rFonts w:ascii="Bookman Old Style" w:hAnsi="Bookman Old Style"/>
          <w:sz w:val="24"/>
          <w:szCs w:val="24"/>
          <w:lang w:val="fi-FI"/>
        </w:rPr>
        <w:t>Pihak</w:t>
      </w:r>
      <w:r w:rsidR="00A954D0">
        <w:rPr>
          <w:rFonts w:ascii="Bookman Old Style" w:hAnsi="Bookman Old Style"/>
          <w:sz w:val="24"/>
          <w:szCs w:val="24"/>
          <w:lang w:val="fi-FI"/>
        </w:rPr>
        <w:t xml:space="preserve"> </w:t>
      </w:r>
      <w:r w:rsidRPr="00361FD8">
        <w:rPr>
          <w:rFonts w:ascii="Bookman Old Style" w:hAnsi="Bookman Old Style"/>
          <w:sz w:val="24"/>
          <w:szCs w:val="24"/>
          <w:lang w:val="fi-FI"/>
        </w:rPr>
        <w:t>Ketiga/Pihak</w:t>
      </w:r>
      <w:r w:rsidR="00A954D0">
        <w:rPr>
          <w:rFonts w:ascii="Bookman Old Style" w:hAnsi="Bookman Old Style"/>
          <w:sz w:val="24"/>
          <w:szCs w:val="24"/>
          <w:lang w:val="fi-FI"/>
        </w:rPr>
        <w:t xml:space="preserve"> </w:t>
      </w:r>
      <w:r w:rsidRPr="00361FD8">
        <w:rPr>
          <w:rFonts w:ascii="Bookman Old Style" w:hAnsi="Bookman Old Style"/>
          <w:sz w:val="24"/>
          <w:szCs w:val="24"/>
          <w:lang w:val="fi-FI"/>
        </w:rPr>
        <w:t>Lain/Masyarakat</w:t>
      </w:r>
      <w:r w:rsidR="00A954D0">
        <w:rPr>
          <w:rFonts w:ascii="Bookman Old Style" w:hAnsi="Bookman Old Style"/>
          <w:sz w:val="24"/>
          <w:szCs w:val="24"/>
          <w:lang w:val="fi-FI"/>
        </w:rPr>
        <w:t xml:space="preserve"> </w:t>
      </w:r>
      <w:r w:rsidR="00734A3E" w:rsidRPr="00361FD8">
        <w:rPr>
          <w:rFonts w:ascii="Bookman Old Style" w:hAnsi="Bookman Old Style"/>
          <w:sz w:val="24"/>
          <w:szCs w:val="24"/>
          <w:lang w:val="fi-FI"/>
        </w:rPr>
        <w:t>Rp90.467.764.445,00</w:t>
      </w:r>
      <w:r w:rsidR="00A954D0">
        <w:rPr>
          <w:rFonts w:ascii="Bookman Old Style" w:hAnsi="Bookman Old Style"/>
          <w:sz w:val="24"/>
          <w:szCs w:val="24"/>
          <w:lang w:val="fi-FI"/>
        </w:rPr>
        <w:t xml:space="preserve"> </w:t>
      </w:r>
      <w:r w:rsidRPr="00361FD8">
        <w:rPr>
          <w:rFonts w:ascii="Bookman Old Style" w:hAnsi="Bookman Old Style"/>
          <w:sz w:val="24"/>
          <w:szCs w:val="24"/>
        </w:rPr>
        <w:t>yang</w:t>
      </w:r>
      <w:r w:rsidR="00A954D0">
        <w:rPr>
          <w:rFonts w:ascii="Bookman Old Style" w:hAnsi="Bookman Old Style"/>
          <w:sz w:val="24"/>
          <w:szCs w:val="24"/>
        </w:rPr>
        <w:t xml:space="preserve"> </w:t>
      </w:r>
      <w:r w:rsidRPr="00361FD8">
        <w:rPr>
          <w:rFonts w:ascii="Bookman Old Style" w:hAnsi="Bookman Old Style"/>
          <w:sz w:val="24"/>
          <w:szCs w:val="24"/>
        </w:rPr>
        <w:t>diuraikan</w:t>
      </w:r>
      <w:r w:rsidR="00A954D0">
        <w:rPr>
          <w:rFonts w:ascii="Bookman Old Style" w:hAnsi="Bookman Old Style"/>
          <w:sz w:val="24"/>
          <w:szCs w:val="24"/>
        </w:rPr>
        <w:t xml:space="preserve"> </w:t>
      </w:r>
      <w:r w:rsidRPr="00361FD8">
        <w:rPr>
          <w:rFonts w:ascii="Bookman Old Style" w:hAnsi="Bookman Old Style"/>
          <w:sz w:val="24"/>
          <w:szCs w:val="24"/>
        </w:rPr>
        <w:t>ke</w:t>
      </w:r>
      <w:r w:rsidR="00A954D0">
        <w:rPr>
          <w:rFonts w:ascii="Bookman Old Style" w:hAnsi="Bookman Old Style"/>
          <w:sz w:val="24"/>
          <w:szCs w:val="24"/>
        </w:rPr>
        <w:t xml:space="preserve"> </w:t>
      </w:r>
      <w:r w:rsidRPr="00361FD8">
        <w:rPr>
          <w:rFonts w:ascii="Bookman Old Style" w:hAnsi="Bookman Old Style"/>
          <w:sz w:val="24"/>
          <w:szCs w:val="24"/>
        </w:rPr>
        <w:t>dalam</w:t>
      </w:r>
      <w:r w:rsidR="00A954D0">
        <w:rPr>
          <w:rFonts w:ascii="Bookman Old Style" w:hAnsi="Bookman Old Style"/>
          <w:sz w:val="24"/>
          <w:szCs w:val="24"/>
        </w:rPr>
        <w:t xml:space="preserve"> </w:t>
      </w:r>
      <w:r w:rsidRPr="00361FD8">
        <w:rPr>
          <w:rFonts w:ascii="Bookman Old Style" w:hAnsi="Bookman Old Style"/>
          <w:sz w:val="24"/>
          <w:szCs w:val="24"/>
        </w:rPr>
        <w:t>sub</w:t>
      </w:r>
      <w:r w:rsidR="00A954D0">
        <w:rPr>
          <w:rFonts w:ascii="Bookman Old Style" w:hAnsi="Bookman Old Style"/>
          <w:sz w:val="24"/>
          <w:szCs w:val="24"/>
        </w:rPr>
        <w:t xml:space="preserve"> </w:t>
      </w:r>
      <w:r w:rsidRPr="00361FD8">
        <w:rPr>
          <w:rFonts w:ascii="Bookman Old Style" w:hAnsi="Bookman Old Style"/>
          <w:sz w:val="24"/>
          <w:szCs w:val="24"/>
        </w:rPr>
        <w:t>rincian</w:t>
      </w:r>
      <w:r w:rsidR="00A954D0">
        <w:rPr>
          <w:rFonts w:ascii="Bookman Old Style" w:hAnsi="Bookman Old Style"/>
          <w:sz w:val="24"/>
          <w:szCs w:val="24"/>
        </w:rPr>
        <w:t xml:space="preserve"> </w:t>
      </w:r>
      <w:r w:rsidRPr="00361FD8">
        <w:rPr>
          <w:rFonts w:ascii="Bookman Old Style" w:hAnsi="Bookman Old Style"/>
          <w:sz w:val="24"/>
          <w:szCs w:val="24"/>
        </w:rPr>
        <w:t>objek</w:t>
      </w:r>
      <w:r w:rsidR="00A954D0">
        <w:rPr>
          <w:rFonts w:ascii="Bookman Old Style" w:hAnsi="Bookman Old Style"/>
          <w:sz w:val="24"/>
          <w:szCs w:val="24"/>
          <w:lang w:val="fi-FI"/>
        </w:rPr>
        <w:t xml:space="preserve"> </w:t>
      </w:r>
      <w:r w:rsidR="00D07682" w:rsidRPr="00361FD8">
        <w:rPr>
          <w:rFonts w:ascii="Bookman Old Style" w:hAnsi="Bookman Old Style"/>
          <w:sz w:val="24"/>
          <w:szCs w:val="24"/>
          <w:lang w:val="fi-FI"/>
        </w:rPr>
        <w:t>belanja:</w:t>
      </w:r>
    </w:p>
    <w:p w14:paraId="2ED4E893" w14:textId="12C29A8B" w:rsidR="00B15BAC" w:rsidRPr="00361FD8" w:rsidRDefault="00B15BAC">
      <w:pPr>
        <w:pStyle w:val="ListParagraph"/>
        <w:numPr>
          <w:ilvl w:val="0"/>
          <w:numId w:val="224"/>
        </w:numPr>
        <w:spacing w:before="60" w:after="0" w:line="276" w:lineRule="auto"/>
        <w:ind w:left="4111" w:hanging="142"/>
        <w:contextualSpacing w:val="0"/>
        <w:jc w:val="both"/>
        <w:rPr>
          <w:rFonts w:ascii="Bookman Old Style" w:hAnsi="Bookman Old Style"/>
          <w:sz w:val="24"/>
          <w:szCs w:val="24"/>
          <w:lang w:val="fi-FI"/>
        </w:rPr>
      </w:pPr>
      <w:r w:rsidRPr="00361FD8">
        <w:rPr>
          <w:rFonts w:ascii="Bookman Old Style" w:hAnsi="Bookman Old Style"/>
          <w:sz w:val="24"/>
          <w:szCs w:val="24"/>
        </w:rPr>
        <w:t>Belanja</w:t>
      </w:r>
      <w:r w:rsidR="00A954D0">
        <w:rPr>
          <w:rFonts w:ascii="Bookman Old Style" w:hAnsi="Bookman Old Style"/>
          <w:sz w:val="24"/>
          <w:szCs w:val="24"/>
          <w:lang w:val="fi-FI"/>
        </w:rPr>
        <w:t xml:space="preserve"> </w:t>
      </w:r>
      <w:r w:rsidRPr="00361FD8">
        <w:rPr>
          <w:rFonts w:ascii="Bookman Old Style" w:hAnsi="Bookman Old Style"/>
          <w:sz w:val="24"/>
          <w:szCs w:val="24"/>
          <w:lang w:val="fi-FI"/>
        </w:rPr>
        <w:t>Jasa</w:t>
      </w:r>
      <w:r w:rsidR="00A954D0">
        <w:rPr>
          <w:rFonts w:ascii="Bookman Old Style" w:hAnsi="Bookman Old Style"/>
          <w:sz w:val="24"/>
          <w:szCs w:val="24"/>
          <w:lang w:val="fi-FI"/>
        </w:rPr>
        <w:t xml:space="preserve"> </w:t>
      </w:r>
      <w:r w:rsidRPr="00361FD8">
        <w:rPr>
          <w:rFonts w:ascii="Bookman Old Style" w:hAnsi="Bookman Old Style"/>
          <w:sz w:val="24"/>
          <w:szCs w:val="24"/>
          <w:lang w:val="fi-FI"/>
        </w:rPr>
        <w:t>yang</w:t>
      </w:r>
      <w:r w:rsidR="00A954D0">
        <w:rPr>
          <w:rFonts w:ascii="Bookman Old Style" w:hAnsi="Bookman Old Style"/>
          <w:sz w:val="24"/>
          <w:szCs w:val="24"/>
          <w:lang w:val="fi-FI"/>
        </w:rPr>
        <w:t xml:space="preserve"> </w:t>
      </w:r>
      <w:r w:rsidRPr="00361FD8">
        <w:rPr>
          <w:rFonts w:ascii="Bookman Old Style" w:hAnsi="Bookman Old Style"/>
          <w:sz w:val="24"/>
          <w:szCs w:val="24"/>
          <w:lang w:val="fi-FI"/>
        </w:rPr>
        <w:t>Diberikan</w:t>
      </w:r>
      <w:r w:rsidR="00A954D0">
        <w:rPr>
          <w:rFonts w:ascii="Bookman Old Style" w:hAnsi="Bookman Old Style"/>
          <w:sz w:val="24"/>
          <w:szCs w:val="24"/>
          <w:lang w:val="fi-FI"/>
        </w:rPr>
        <w:t xml:space="preserve"> </w:t>
      </w:r>
      <w:r w:rsidRPr="00361FD8">
        <w:rPr>
          <w:rFonts w:ascii="Bookman Old Style" w:hAnsi="Bookman Old Style"/>
          <w:sz w:val="24"/>
          <w:szCs w:val="24"/>
          <w:lang w:val="fi-FI"/>
        </w:rPr>
        <w:t>kepada</w:t>
      </w:r>
      <w:r w:rsidR="00A954D0">
        <w:rPr>
          <w:rFonts w:ascii="Bookman Old Style" w:hAnsi="Bookman Old Style"/>
          <w:sz w:val="24"/>
          <w:szCs w:val="24"/>
          <w:lang w:val="fi-FI"/>
        </w:rPr>
        <w:t xml:space="preserve"> </w:t>
      </w:r>
      <w:r w:rsidRPr="00361FD8">
        <w:rPr>
          <w:rFonts w:ascii="Bookman Old Style" w:hAnsi="Bookman Old Style"/>
          <w:sz w:val="24"/>
          <w:szCs w:val="24"/>
          <w:lang w:val="fi-FI"/>
        </w:rPr>
        <w:t>Pihak</w:t>
      </w:r>
      <w:r w:rsidR="00A954D0">
        <w:rPr>
          <w:rFonts w:ascii="Bookman Old Style" w:hAnsi="Bookman Old Style"/>
          <w:sz w:val="24"/>
          <w:szCs w:val="24"/>
          <w:lang w:val="fi-FI"/>
        </w:rPr>
        <w:t xml:space="preserve"> </w:t>
      </w:r>
      <w:r w:rsidRPr="00361FD8">
        <w:rPr>
          <w:rFonts w:ascii="Bookman Old Style" w:hAnsi="Bookman Old Style"/>
          <w:sz w:val="24"/>
          <w:szCs w:val="24"/>
          <w:lang w:val="fi-FI"/>
        </w:rPr>
        <w:t>Ketiga/Pihak</w:t>
      </w:r>
      <w:r w:rsidR="00A954D0">
        <w:rPr>
          <w:rFonts w:ascii="Bookman Old Style" w:hAnsi="Bookman Old Style"/>
          <w:sz w:val="24"/>
          <w:szCs w:val="24"/>
          <w:lang w:val="fi-FI"/>
        </w:rPr>
        <w:t xml:space="preserve"> </w:t>
      </w:r>
      <w:r w:rsidRPr="00361FD8">
        <w:rPr>
          <w:rFonts w:ascii="Bookman Old Style" w:hAnsi="Bookman Old Style"/>
          <w:sz w:val="24"/>
          <w:szCs w:val="24"/>
          <w:lang w:val="fi-FI"/>
        </w:rPr>
        <w:t>Lain</w:t>
      </w:r>
      <w:r w:rsidR="00A954D0">
        <w:t xml:space="preserve"> </w:t>
      </w:r>
      <w:r w:rsidR="00D07682" w:rsidRPr="00361FD8">
        <w:rPr>
          <w:rFonts w:ascii="Bookman Old Style" w:hAnsi="Bookman Old Style"/>
          <w:sz w:val="24"/>
          <w:szCs w:val="24"/>
          <w:lang w:val="fi-FI"/>
        </w:rPr>
        <w:t>Rp1.980.483.645,00</w:t>
      </w:r>
      <w:r w:rsidRPr="00361FD8">
        <w:rPr>
          <w:rFonts w:ascii="Bookman Old Style" w:hAnsi="Bookman Old Style"/>
          <w:sz w:val="24"/>
          <w:szCs w:val="24"/>
          <w:lang w:val="fi-FI"/>
        </w:rPr>
        <w:t>;</w:t>
      </w:r>
    </w:p>
    <w:p w14:paraId="08E70199" w14:textId="0B360D5F" w:rsidR="00D07682" w:rsidRDefault="00D07682">
      <w:pPr>
        <w:pStyle w:val="ListParagraph"/>
        <w:numPr>
          <w:ilvl w:val="0"/>
          <w:numId w:val="224"/>
        </w:numPr>
        <w:spacing w:before="60" w:after="0" w:line="276" w:lineRule="auto"/>
        <w:ind w:left="4111" w:hanging="142"/>
        <w:contextualSpacing w:val="0"/>
        <w:jc w:val="both"/>
        <w:rPr>
          <w:rFonts w:ascii="Bookman Old Style" w:hAnsi="Bookman Old Style"/>
          <w:sz w:val="24"/>
          <w:szCs w:val="24"/>
          <w:lang w:val="fi-FI"/>
        </w:rPr>
      </w:pPr>
      <w:r w:rsidRPr="00361FD8">
        <w:rPr>
          <w:rFonts w:ascii="Bookman Old Style" w:hAnsi="Bookman Old Style"/>
          <w:sz w:val="24"/>
          <w:szCs w:val="24"/>
          <w:lang w:val="fi-FI"/>
        </w:rPr>
        <w:t>Belanja</w:t>
      </w:r>
      <w:r w:rsidR="00A954D0">
        <w:rPr>
          <w:rFonts w:ascii="Bookman Old Style" w:hAnsi="Bookman Old Style"/>
          <w:sz w:val="24"/>
          <w:szCs w:val="24"/>
          <w:lang w:val="fi-FI"/>
        </w:rPr>
        <w:t xml:space="preserve"> </w:t>
      </w:r>
      <w:r w:rsidRPr="00361FD8">
        <w:rPr>
          <w:rFonts w:ascii="Bookman Old Style" w:hAnsi="Bookman Old Style"/>
          <w:sz w:val="24"/>
          <w:szCs w:val="24"/>
          <w:lang w:val="fi-FI"/>
        </w:rPr>
        <w:t>Jasa</w:t>
      </w:r>
      <w:r w:rsidR="00A954D0">
        <w:rPr>
          <w:rFonts w:ascii="Bookman Old Style" w:hAnsi="Bookman Old Style"/>
          <w:sz w:val="24"/>
          <w:szCs w:val="24"/>
          <w:lang w:val="fi-FI"/>
        </w:rPr>
        <w:t xml:space="preserve"> </w:t>
      </w:r>
      <w:r w:rsidRPr="00361FD8">
        <w:rPr>
          <w:rFonts w:ascii="Bookman Old Style" w:hAnsi="Bookman Old Style"/>
          <w:sz w:val="24"/>
          <w:szCs w:val="24"/>
          <w:lang w:val="fi-FI"/>
        </w:rPr>
        <w:t>yang</w:t>
      </w:r>
      <w:r w:rsidR="00A954D0">
        <w:rPr>
          <w:rFonts w:ascii="Bookman Old Style" w:hAnsi="Bookman Old Style"/>
          <w:sz w:val="24"/>
          <w:szCs w:val="24"/>
          <w:lang w:val="fi-FI"/>
        </w:rPr>
        <w:t xml:space="preserve"> </w:t>
      </w:r>
      <w:r w:rsidRPr="00361FD8">
        <w:rPr>
          <w:rFonts w:ascii="Bookman Old Style" w:hAnsi="Bookman Old Style"/>
          <w:sz w:val="24"/>
          <w:szCs w:val="24"/>
          <w:lang w:val="fi-FI"/>
        </w:rPr>
        <w:t>Diberikan</w:t>
      </w:r>
      <w:r w:rsidR="00A954D0">
        <w:rPr>
          <w:rFonts w:ascii="Bookman Old Style" w:hAnsi="Bookman Old Style"/>
          <w:sz w:val="24"/>
          <w:szCs w:val="24"/>
          <w:lang w:val="fi-FI"/>
        </w:rPr>
        <w:t xml:space="preserve"> </w:t>
      </w:r>
      <w:r w:rsidRPr="00361FD8">
        <w:rPr>
          <w:rFonts w:ascii="Bookman Old Style" w:hAnsi="Bookman Old Style"/>
          <w:sz w:val="24"/>
          <w:szCs w:val="24"/>
          <w:lang w:val="fi-FI"/>
        </w:rPr>
        <w:t>kepada</w:t>
      </w:r>
      <w:r w:rsidR="00A954D0">
        <w:rPr>
          <w:rFonts w:ascii="Bookman Old Style" w:hAnsi="Bookman Old Style"/>
          <w:sz w:val="24"/>
          <w:szCs w:val="24"/>
          <w:lang w:val="fi-FI"/>
        </w:rPr>
        <w:t xml:space="preserve"> </w:t>
      </w:r>
      <w:r w:rsidRPr="00361FD8">
        <w:rPr>
          <w:rFonts w:ascii="Bookman Old Style" w:hAnsi="Bookman Old Style"/>
          <w:sz w:val="24"/>
          <w:szCs w:val="24"/>
          <w:lang w:val="fi-FI"/>
        </w:rPr>
        <w:t>Masyarakat</w:t>
      </w:r>
      <w:r w:rsidR="00A954D0">
        <w:rPr>
          <w:rFonts w:ascii="Bookman Old Style" w:hAnsi="Bookman Old Style"/>
          <w:sz w:val="24"/>
          <w:szCs w:val="24"/>
          <w:lang w:val="fi-FI"/>
        </w:rPr>
        <w:t xml:space="preserve"> </w:t>
      </w:r>
      <w:r w:rsidRPr="00361FD8">
        <w:rPr>
          <w:rFonts w:ascii="Bookman Old Style" w:hAnsi="Bookman Old Style"/>
          <w:sz w:val="24"/>
          <w:szCs w:val="24"/>
          <w:lang w:val="fi-FI"/>
        </w:rPr>
        <w:t>Rp88.487.280.800,00</w:t>
      </w:r>
      <w:r w:rsidR="008B21D9">
        <w:rPr>
          <w:rFonts w:ascii="Bookman Old Style" w:hAnsi="Bookman Old Style"/>
          <w:sz w:val="24"/>
          <w:szCs w:val="24"/>
          <w:lang w:val="fi-FI"/>
        </w:rPr>
        <w:t>.</w:t>
      </w:r>
    </w:p>
    <w:p w14:paraId="38EB0F9E" w14:textId="5B032924" w:rsidR="00B15BAC" w:rsidRPr="00361FD8" w:rsidRDefault="008B21D9" w:rsidP="00355834">
      <w:pPr>
        <w:pStyle w:val="ListParagraph"/>
        <w:spacing w:before="60" w:after="0" w:line="276" w:lineRule="auto"/>
        <w:ind w:left="3261"/>
        <w:contextualSpacing w:val="0"/>
        <w:jc w:val="both"/>
        <w:rPr>
          <w:rFonts w:ascii="Bookman Old Style" w:hAnsi="Bookman Old Style"/>
          <w:sz w:val="24"/>
          <w:szCs w:val="24"/>
          <w:lang w:val="fi-FI"/>
        </w:rPr>
      </w:pPr>
      <w:r w:rsidRPr="008B21D9">
        <w:rPr>
          <w:rFonts w:ascii="Bookman Old Style" w:hAnsi="Bookman Old Style"/>
          <w:sz w:val="24"/>
          <w:szCs w:val="24"/>
          <w:lang w:val="fi-FI"/>
        </w:rPr>
        <w:t>D</w:t>
      </w:r>
      <w:r w:rsidR="00B15BAC" w:rsidRPr="00361FD8">
        <w:rPr>
          <w:rFonts w:ascii="Bookman Old Style" w:hAnsi="Bookman Old Style"/>
          <w:sz w:val="24"/>
          <w:szCs w:val="24"/>
          <w:lang w:val="id-ID"/>
        </w:rPr>
        <w:t>ianggarkan</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dalam</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Rancangan</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Peraturan</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Daerah</w:t>
      </w:r>
      <w:r w:rsidR="00A954D0">
        <w:rPr>
          <w:rFonts w:ascii="Bookman Old Style" w:hAnsi="Bookman Old Style"/>
          <w:sz w:val="24"/>
          <w:szCs w:val="24"/>
          <w:lang w:val="id-ID"/>
        </w:rPr>
        <w:t xml:space="preserve"> </w:t>
      </w:r>
      <w:r w:rsidR="00B055C5" w:rsidRPr="00361FD8">
        <w:rPr>
          <w:rFonts w:ascii="Bookman Old Style" w:hAnsi="Bookman Old Style"/>
          <w:sz w:val="24"/>
          <w:szCs w:val="24"/>
          <w:lang w:val="id-ID"/>
        </w:rPr>
        <w:t>Kota</w:t>
      </w:r>
      <w:r w:rsidR="00A954D0">
        <w:rPr>
          <w:rFonts w:ascii="Bookman Old Style" w:hAnsi="Bookman Old Style"/>
          <w:sz w:val="24"/>
          <w:szCs w:val="24"/>
          <w:lang w:val="id-ID"/>
        </w:rPr>
        <w:t xml:space="preserve"> </w:t>
      </w:r>
      <w:r w:rsidR="00770F22" w:rsidRPr="00361FD8">
        <w:rPr>
          <w:rFonts w:ascii="Bookman Old Style" w:hAnsi="Bookman Old Style"/>
          <w:sz w:val="24"/>
          <w:szCs w:val="24"/>
          <w:lang w:val="id-ID"/>
        </w:rPr>
        <w:t>Tangerang</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tentang</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APBD</w:t>
      </w:r>
      <w:r w:rsidR="00A954D0">
        <w:rPr>
          <w:rFonts w:ascii="Bookman Old Style" w:hAnsi="Bookman Old Style"/>
          <w:sz w:val="24"/>
          <w:szCs w:val="24"/>
          <w:lang w:val="id-ID"/>
        </w:rPr>
        <w:t xml:space="preserve"> </w:t>
      </w:r>
      <w:r w:rsidR="00B15BAC" w:rsidRPr="00361FD8">
        <w:rPr>
          <w:rFonts w:ascii="Bookman Old Style" w:hAnsi="Bookman Old Style"/>
          <w:sz w:val="24"/>
          <w:szCs w:val="24"/>
        </w:rPr>
        <w:t>Tahun</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Anggaran</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2025</w:t>
      </w:r>
      <w:r w:rsidR="00A954D0">
        <w:rPr>
          <w:rFonts w:ascii="Bookman Old Style" w:hAnsi="Bookman Old Style"/>
          <w:sz w:val="24"/>
          <w:szCs w:val="24"/>
          <w:lang w:val="fi-FI"/>
        </w:rPr>
        <w:t xml:space="preserve"> </w:t>
      </w:r>
      <w:r w:rsidR="00B15BAC" w:rsidRPr="00361FD8">
        <w:rPr>
          <w:rFonts w:ascii="Bookman Old Style" w:hAnsi="Bookman Old Style"/>
          <w:sz w:val="24"/>
          <w:szCs w:val="24"/>
          <w:lang w:val="fi-FI"/>
        </w:rPr>
        <w:t>dengan</w:t>
      </w:r>
      <w:r w:rsidR="00A954D0">
        <w:rPr>
          <w:rFonts w:ascii="Bookman Old Style" w:hAnsi="Bookman Old Style"/>
          <w:sz w:val="24"/>
          <w:szCs w:val="24"/>
          <w:lang w:val="fi-FI"/>
        </w:rPr>
        <w:t xml:space="preserve"> </w:t>
      </w:r>
      <w:r w:rsidR="00B15BAC" w:rsidRPr="00361FD8">
        <w:rPr>
          <w:rFonts w:ascii="Bookman Old Style" w:hAnsi="Bookman Old Style"/>
          <w:sz w:val="24"/>
          <w:szCs w:val="24"/>
          <w:lang w:val="fi-FI"/>
        </w:rPr>
        <w:t>memperhatikan</w:t>
      </w:r>
      <w:r w:rsidR="00A954D0">
        <w:rPr>
          <w:rFonts w:ascii="Bookman Old Style" w:hAnsi="Bookman Old Style"/>
          <w:sz w:val="24"/>
          <w:szCs w:val="24"/>
          <w:lang w:val="fi-FI"/>
        </w:rPr>
        <w:t xml:space="preserve"> </w:t>
      </w:r>
      <w:r w:rsidR="00B15BAC" w:rsidRPr="00361FD8">
        <w:rPr>
          <w:rFonts w:ascii="Bookman Old Style" w:hAnsi="Bookman Old Style"/>
          <w:sz w:val="24"/>
          <w:szCs w:val="24"/>
          <w:lang w:val="fi-FI"/>
        </w:rPr>
        <w:t>asas</w:t>
      </w:r>
      <w:r w:rsidR="00A954D0">
        <w:rPr>
          <w:rFonts w:ascii="Bookman Old Style" w:hAnsi="Bookman Old Style"/>
          <w:sz w:val="24"/>
          <w:szCs w:val="24"/>
          <w:lang w:val="fi-FI"/>
        </w:rPr>
        <w:t xml:space="preserve"> </w:t>
      </w:r>
      <w:r w:rsidR="00B15BAC" w:rsidRPr="00361FD8">
        <w:rPr>
          <w:rFonts w:ascii="Bookman Old Style" w:hAnsi="Bookman Old Style"/>
          <w:sz w:val="24"/>
          <w:szCs w:val="24"/>
          <w:lang w:val="fi-FI"/>
        </w:rPr>
        <w:t>kepatutan,</w:t>
      </w:r>
      <w:r w:rsidR="00A954D0">
        <w:rPr>
          <w:rFonts w:ascii="Bookman Old Style" w:hAnsi="Bookman Old Style"/>
          <w:sz w:val="24"/>
          <w:szCs w:val="24"/>
          <w:lang w:val="fi-FI"/>
        </w:rPr>
        <w:t xml:space="preserve"> </w:t>
      </w:r>
      <w:r w:rsidR="00B15BAC" w:rsidRPr="00361FD8">
        <w:rPr>
          <w:rFonts w:ascii="Bookman Old Style" w:hAnsi="Bookman Old Style"/>
          <w:sz w:val="24"/>
          <w:szCs w:val="24"/>
          <w:lang w:val="fi-FI"/>
        </w:rPr>
        <w:t>kewajaran,</w:t>
      </w:r>
      <w:r w:rsidR="00A954D0">
        <w:rPr>
          <w:rFonts w:ascii="Bookman Old Style" w:hAnsi="Bookman Old Style"/>
          <w:sz w:val="24"/>
          <w:szCs w:val="24"/>
          <w:lang w:val="fi-FI"/>
        </w:rPr>
        <w:t xml:space="preserve"> </w:t>
      </w:r>
      <w:r w:rsidR="00B15BAC" w:rsidRPr="00361FD8">
        <w:rPr>
          <w:rFonts w:ascii="Bookman Old Style" w:hAnsi="Bookman Old Style"/>
          <w:sz w:val="24"/>
          <w:szCs w:val="24"/>
          <w:lang w:val="fi-FI"/>
        </w:rPr>
        <w:t>rasionalitas</w:t>
      </w:r>
      <w:r w:rsidR="00A954D0">
        <w:rPr>
          <w:rFonts w:ascii="Bookman Old Style" w:hAnsi="Bookman Old Style"/>
          <w:sz w:val="24"/>
          <w:szCs w:val="24"/>
          <w:lang w:val="fi-FI"/>
        </w:rPr>
        <w:t xml:space="preserve"> </w:t>
      </w:r>
      <w:r w:rsidR="00B15BAC" w:rsidRPr="00361FD8">
        <w:rPr>
          <w:rFonts w:ascii="Bookman Old Style" w:hAnsi="Bookman Old Style"/>
          <w:sz w:val="24"/>
          <w:szCs w:val="24"/>
          <w:lang w:val="fi-FI"/>
        </w:rPr>
        <w:t>dan</w:t>
      </w:r>
      <w:r w:rsidR="00A954D0">
        <w:rPr>
          <w:rFonts w:ascii="Bookman Old Style" w:hAnsi="Bookman Old Style"/>
          <w:sz w:val="24"/>
          <w:szCs w:val="24"/>
          <w:lang w:val="fi-FI"/>
        </w:rPr>
        <w:t xml:space="preserve"> </w:t>
      </w:r>
      <w:r w:rsidR="00B15BAC" w:rsidRPr="00361FD8">
        <w:rPr>
          <w:rFonts w:ascii="Bookman Old Style" w:hAnsi="Bookman Old Style"/>
          <w:sz w:val="24"/>
          <w:szCs w:val="24"/>
          <w:lang w:val="fi-FI"/>
        </w:rPr>
        <w:t>efektivitas</w:t>
      </w:r>
      <w:r w:rsidR="00A954D0">
        <w:rPr>
          <w:rFonts w:ascii="Bookman Old Style" w:hAnsi="Bookman Old Style"/>
          <w:sz w:val="24"/>
          <w:szCs w:val="24"/>
          <w:lang w:val="fi-FI"/>
        </w:rPr>
        <w:t xml:space="preserve"> </w:t>
      </w:r>
      <w:r w:rsidR="00B15BAC" w:rsidRPr="00361FD8">
        <w:rPr>
          <w:rFonts w:ascii="Bookman Old Style" w:hAnsi="Bookman Old Style"/>
          <w:sz w:val="24"/>
          <w:szCs w:val="24"/>
          <w:lang w:val="fi-FI"/>
        </w:rPr>
        <w:t>dalam</w:t>
      </w:r>
      <w:r w:rsidR="00A954D0">
        <w:rPr>
          <w:rFonts w:ascii="Bookman Old Style" w:hAnsi="Bookman Old Style"/>
          <w:sz w:val="24"/>
          <w:szCs w:val="24"/>
          <w:lang w:val="fi-FI"/>
        </w:rPr>
        <w:t xml:space="preserve"> </w:t>
      </w:r>
      <w:r w:rsidR="00B15BAC" w:rsidRPr="00361FD8">
        <w:rPr>
          <w:rFonts w:ascii="Bookman Old Style" w:hAnsi="Bookman Old Style"/>
          <w:sz w:val="24"/>
          <w:szCs w:val="24"/>
          <w:lang w:val="fi-FI"/>
        </w:rPr>
        <w:t>pencapaian</w:t>
      </w:r>
      <w:r w:rsidR="00A954D0">
        <w:rPr>
          <w:rFonts w:ascii="Bookman Old Style" w:hAnsi="Bookman Old Style"/>
          <w:sz w:val="24"/>
          <w:szCs w:val="24"/>
          <w:lang w:val="fi-FI"/>
        </w:rPr>
        <w:t xml:space="preserve"> </w:t>
      </w:r>
      <w:r w:rsidR="00B15BAC" w:rsidRPr="00361FD8">
        <w:rPr>
          <w:rFonts w:ascii="Bookman Old Style" w:hAnsi="Bookman Old Style"/>
          <w:sz w:val="24"/>
          <w:szCs w:val="24"/>
          <w:lang w:val="fi-FI"/>
        </w:rPr>
        <w:t>sasaran</w:t>
      </w:r>
      <w:r w:rsidR="00A954D0">
        <w:rPr>
          <w:rFonts w:ascii="Bookman Old Style" w:hAnsi="Bookman Old Style"/>
          <w:sz w:val="24"/>
          <w:szCs w:val="24"/>
          <w:lang w:val="fi-FI"/>
        </w:rPr>
        <w:t xml:space="preserve"> </w:t>
      </w:r>
      <w:r w:rsidR="00B15BAC" w:rsidRPr="00361FD8">
        <w:rPr>
          <w:rFonts w:ascii="Bookman Old Style" w:hAnsi="Bookman Old Style"/>
          <w:sz w:val="24"/>
          <w:szCs w:val="24"/>
          <w:lang w:val="fi-FI"/>
        </w:rPr>
        <w:t>program,</w:t>
      </w:r>
      <w:r w:rsidR="00A954D0">
        <w:rPr>
          <w:rFonts w:ascii="Bookman Old Style" w:hAnsi="Bookman Old Style"/>
          <w:sz w:val="24"/>
          <w:szCs w:val="24"/>
          <w:lang w:val="fi-FI"/>
        </w:rPr>
        <w:t xml:space="preserve"> </w:t>
      </w:r>
      <w:r w:rsidR="00B15BAC" w:rsidRPr="00361FD8">
        <w:rPr>
          <w:rFonts w:ascii="Bookman Old Style" w:hAnsi="Bookman Old Style"/>
          <w:sz w:val="24"/>
          <w:szCs w:val="24"/>
          <w:lang w:val="fi-FI"/>
        </w:rPr>
        <w:t>kegiatan</w:t>
      </w:r>
      <w:r w:rsidR="00A954D0">
        <w:rPr>
          <w:rFonts w:ascii="Bookman Old Style" w:hAnsi="Bookman Old Style"/>
          <w:sz w:val="24"/>
          <w:szCs w:val="24"/>
          <w:lang w:val="fi-FI"/>
        </w:rPr>
        <w:t xml:space="preserve"> </w:t>
      </w:r>
      <w:r w:rsidR="00B15BAC" w:rsidRPr="00361FD8">
        <w:rPr>
          <w:rFonts w:ascii="Bookman Old Style" w:hAnsi="Bookman Old Style"/>
          <w:sz w:val="24"/>
          <w:szCs w:val="24"/>
          <w:lang w:val="fi-FI"/>
        </w:rPr>
        <w:t>dan</w:t>
      </w:r>
      <w:r w:rsidR="00A954D0">
        <w:rPr>
          <w:rFonts w:ascii="Bookman Old Style" w:hAnsi="Bookman Old Style"/>
          <w:sz w:val="24"/>
          <w:szCs w:val="24"/>
          <w:lang w:val="fi-FI"/>
        </w:rPr>
        <w:t xml:space="preserve"> </w:t>
      </w:r>
      <w:r w:rsidR="00B15BAC" w:rsidRPr="00361FD8">
        <w:rPr>
          <w:rFonts w:ascii="Bookman Old Style" w:hAnsi="Bookman Old Style"/>
          <w:sz w:val="24"/>
          <w:szCs w:val="24"/>
          <w:lang w:val="fi-FI"/>
        </w:rPr>
        <w:t>sub</w:t>
      </w:r>
      <w:r w:rsidR="00A954D0">
        <w:rPr>
          <w:rFonts w:ascii="Bookman Old Style" w:hAnsi="Bookman Old Style"/>
          <w:sz w:val="24"/>
          <w:szCs w:val="24"/>
          <w:lang w:val="fi-FI"/>
        </w:rPr>
        <w:t xml:space="preserve"> </w:t>
      </w:r>
      <w:r w:rsidR="00B15BAC" w:rsidRPr="00361FD8">
        <w:rPr>
          <w:rFonts w:ascii="Bookman Old Style" w:hAnsi="Bookman Old Style"/>
          <w:sz w:val="24"/>
          <w:szCs w:val="24"/>
          <w:lang w:val="fi-FI"/>
        </w:rPr>
        <w:t>kegiatan</w:t>
      </w:r>
      <w:r w:rsidR="00A954D0">
        <w:rPr>
          <w:rFonts w:ascii="Bookman Old Style" w:hAnsi="Bookman Old Style"/>
          <w:sz w:val="24"/>
          <w:szCs w:val="24"/>
          <w:lang w:val="fi-FI"/>
        </w:rPr>
        <w:t xml:space="preserve"> </w:t>
      </w:r>
      <w:r w:rsidR="00B15BAC" w:rsidRPr="00361FD8">
        <w:rPr>
          <w:rFonts w:ascii="Bookman Old Style" w:hAnsi="Bookman Old Style"/>
          <w:sz w:val="24"/>
          <w:szCs w:val="24"/>
          <w:lang w:val="fi-FI"/>
        </w:rPr>
        <w:t>pemerintahan</w:t>
      </w:r>
      <w:r w:rsidR="00A954D0">
        <w:rPr>
          <w:rFonts w:ascii="Bookman Old Style" w:hAnsi="Bookman Old Style"/>
          <w:sz w:val="24"/>
          <w:szCs w:val="24"/>
          <w:lang w:val="fi-FI"/>
        </w:rPr>
        <w:t xml:space="preserve"> </w:t>
      </w:r>
      <w:r w:rsidR="00B15BAC" w:rsidRPr="00361FD8">
        <w:rPr>
          <w:rFonts w:ascii="Bookman Old Style" w:hAnsi="Bookman Old Style"/>
          <w:sz w:val="24"/>
          <w:szCs w:val="24"/>
          <w:lang w:val="fi-FI"/>
        </w:rPr>
        <w:t>daerah</w:t>
      </w:r>
      <w:r w:rsidR="00A954D0">
        <w:rPr>
          <w:rFonts w:ascii="Bookman Old Style" w:hAnsi="Bookman Old Style"/>
          <w:sz w:val="24"/>
          <w:szCs w:val="24"/>
          <w:lang w:val="fi-FI"/>
        </w:rPr>
        <w:t xml:space="preserve"> </w:t>
      </w:r>
      <w:r w:rsidR="00B15BAC" w:rsidRPr="00361FD8">
        <w:rPr>
          <w:rFonts w:ascii="Bookman Old Style" w:hAnsi="Bookman Old Style"/>
          <w:sz w:val="24"/>
          <w:szCs w:val="24"/>
          <w:lang w:val="fi-FI"/>
        </w:rPr>
        <w:t>guna</w:t>
      </w:r>
      <w:r w:rsidR="00A954D0">
        <w:rPr>
          <w:rFonts w:ascii="Bookman Old Style" w:hAnsi="Bookman Old Style"/>
          <w:sz w:val="24"/>
          <w:szCs w:val="24"/>
          <w:lang w:val="fi-FI"/>
        </w:rPr>
        <w:t xml:space="preserve"> </w:t>
      </w:r>
      <w:r w:rsidR="00B15BAC" w:rsidRPr="00361FD8">
        <w:rPr>
          <w:rFonts w:ascii="Bookman Old Style" w:hAnsi="Bookman Old Style"/>
          <w:sz w:val="24"/>
          <w:szCs w:val="24"/>
          <w:lang w:val="fi-FI"/>
        </w:rPr>
        <w:t>mencapai</w:t>
      </w:r>
      <w:r w:rsidR="00A954D0">
        <w:rPr>
          <w:rFonts w:ascii="Bookman Old Style" w:hAnsi="Bookman Old Style"/>
          <w:sz w:val="24"/>
          <w:szCs w:val="24"/>
          <w:lang w:val="fi-FI"/>
        </w:rPr>
        <w:t xml:space="preserve"> </w:t>
      </w:r>
      <w:r w:rsidR="00B15BAC" w:rsidRPr="00361FD8">
        <w:rPr>
          <w:rFonts w:ascii="Bookman Old Style" w:hAnsi="Bookman Old Style"/>
          <w:sz w:val="24"/>
          <w:szCs w:val="24"/>
          <w:lang w:val="fi-FI"/>
        </w:rPr>
        <w:t>target</w:t>
      </w:r>
      <w:r w:rsidR="00A954D0">
        <w:rPr>
          <w:rFonts w:ascii="Bookman Old Style" w:hAnsi="Bookman Old Style"/>
          <w:sz w:val="24"/>
          <w:szCs w:val="24"/>
          <w:lang w:val="fi-FI"/>
        </w:rPr>
        <w:t xml:space="preserve"> </w:t>
      </w:r>
      <w:r w:rsidR="00B15BAC" w:rsidRPr="00361FD8">
        <w:rPr>
          <w:rFonts w:ascii="Bookman Old Style" w:hAnsi="Bookman Old Style"/>
          <w:sz w:val="24"/>
          <w:szCs w:val="24"/>
          <w:lang w:val="fi-FI"/>
        </w:rPr>
        <w:t>kinerja</w:t>
      </w:r>
      <w:r w:rsidR="00A954D0">
        <w:rPr>
          <w:rFonts w:ascii="Bookman Old Style" w:hAnsi="Bookman Old Style"/>
          <w:sz w:val="24"/>
          <w:szCs w:val="24"/>
          <w:lang w:val="fi-FI"/>
        </w:rPr>
        <w:t xml:space="preserve"> </w:t>
      </w:r>
      <w:r w:rsidR="00B15BAC" w:rsidRPr="00361FD8">
        <w:rPr>
          <w:rFonts w:ascii="Bookman Old Style" w:hAnsi="Bookman Old Style"/>
          <w:sz w:val="24"/>
          <w:szCs w:val="24"/>
          <w:lang w:val="fi-FI"/>
        </w:rPr>
        <w:t>yang</w:t>
      </w:r>
      <w:r w:rsidR="00A954D0">
        <w:rPr>
          <w:rFonts w:ascii="Bookman Old Style" w:hAnsi="Bookman Old Style"/>
          <w:sz w:val="24"/>
          <w:szCs w:val="24"/>
          <w:lang w:val="fi-FI"/>
        </w:rPr>
        <w:t xml:space="preserve"> </w:t>
      </w:r>
      <w:r w:rsidR="00B15BAC" w:rsidRPr="00361FD8">
        <w:rPr>
          <w:rFonts w:ascii="Bookman Old Style" w:hAnsi="Bookman Old Style"/>
          <w:sz w:val="24"/>
          <w:szCs w:val="24"/>
          <w:lang w:val="fi-FI"/>
        </w:rPr>
        <w:t>ditetapkan</w:t>
      </w:r>
      <w:r w:rsidR="00A954D0">
        <w:rPr>
          <w:rFonts w:ascii="Bookman Old Style" w:hAnsi="Bookman Old Style"/>
          <w:sz w:val="24"/>
          <w:szCs w:val="24"/>
          <w:lang w:val="fi-FI"/>
        </w:rPr>
        <w:t xml:space="preserve"> </w:t>
      </w:r>
      <w:r w:rsidR="00B15BAC" w:rsidRPr="00361FD8">
        <w:rPr>
          <w:rFonts w:ascii="Bookman Old Style" w:hAnsi="Bookman Old Style"/>
          <w:sz w:val="24"/>
          <w:szCs w:val="24"/>
          <w:lang w:val="fi-FI"/>
        </w:rPr>
        <w:t>berdasarkan</w:t>
      </w:r>
      <w:r w:rsidR="00A954D0">
        <w:rPr>
          <w:rFonts w:ascii="Bookman Old Style" w:hAnsi="Bookman Old Style"/>
          <w:sz w:val="24"/>
          <w:szCs w:val="24"/>
          <w:lang w:val="fi-FI"/>
        </w:rPr>
        <w:t xml:space="preserve"> </w:t>
      </w:r>
      <w:r w:rsidR="00B15BAC" w:rsidRPr="00361FD8">
        <w:rPr>
          <w:rFonts w:ascii="Bookman Old Style" w:hAnsi="Bookman Old Style"/>
          <w:sz w:val="24"/>
          <w:szCs w:val="24"/>
          <w:lang w:val="fi-FI"/>
        </w:rPr>
        <w:t>visi</w:t>
      </w:r>
      <w:r w:rsidR="00A954D0">
        <w:rPr>
          <w:rFonts w:ascii="Bookman Old Style" w:hAnsi="Bookman Old Style"/>
          <w:sz w:val="24"/>
          <w:szCs w:val="24"/>
          <w:lang w:val="fi-FI"/>
        </w:rPr>
        <w:t xml:space="preserve"> </w:t>
      </w:r>
      <w:r w:rsidR="00B15BAC" w:rsidRPr="00361FD8">
        <w:rPr>
          <w:rFonts w:ascii="Bookman Old Style" w:hAnsi="Bookman Old Style"/>
          <w:sz w:val="24"/>
          <w:szCs w:val="24"/>
          <w:lang w:val="fi-FI"/>
        </w:rPr>
        <w:t>dan</w:t>
      </w:r>
      <w:r w:rsidR="00A954D0">
        <w:rPr>
          <w:rFonts w:ascii="Bookman Old Style" w:hAnsi="Bookman Old Style"/>
          <w:sz w:val="24"/>
          <w:szCs w:val="24"/>
          <w:lang w:val="fi-FI"/>
        </w:rPr>
        <w:t xml:space="preserve"> </w:t>
      </w:r>
      <w:r w:rsidR="00B15BAC" w:rsidRPr="00361FD8">
        <w:rPr>
          <w:rFonts w:ascii="Bookman Old Style" w:hAnsi="Bookman Old Style"/>
          <w:sz w:val="24"/>
          <w:szCs w:val="24"/>
          <w:lang w:val="fi-FI"/>
        </w:rPr>
        <w:t>misi</w:t>
      </w:r>
      <w:r w:rsidR="00A954D0">
        <w:rPr>
          <w:rFonts w:ascii="Bookman Old Style" w:hAnsi="Bookman Old Style"/>
          <w:sz w:val="24"/>
          <w:szCs w:val="24"/>
          <w:lang w:val="fi-FI"/>
        </w:rPr>
        <w:t xml:space="preserve"> </w:t>
      </w:r>
      <w:r w:rsidR="00B15BAC" w:rsidRPr="00361FD8">
        <w:rPr>
          <w:rFonts w:ascii="Bookman Old Style" w:hAnsi="Bookman Old Style"/>
          <w:sz w:val="24"/>
          <w:szCs w:val="24"/>
          <w:lang w:val="fi-FI"/>
        </w:rPr>
        <w:t>kepala</w:t>
      </w:r>
      <w:r w:rsidR="00A954D0">
        <w:rPr>
          <w:rFonts w:ascii="Bookman Old Style" w:hAnsi="Bookman Old Style"/>
          <w:sz w:val="24"/>
          <w:szCs w:val="24"/>
          <w:lang w:val="fi-FI"/>
        </w:rPr>
        <w:t xml:space="preserve"> </w:t>
      </w:r>
      <w:r w:rsidR="00B15BAC" w:rsidRPr="00361FD8">
        <w:rPr>
          <w:rFonts w:ascii="Bookman Old Style" w:hAnsi="Bookman Old Style"/>
          <w:sz w:val="24"/>
          <w:szCs w:val="24"/>
          <w:lang w:val="fi-FI"/>
        </w:rPr>
        <w:t>daerah</w:t>
      </w:r>
      <w:r w:rsidR="00A954D0">
        <w:rPr>
          <w:rFonts w:ascii="Bookman Old Style" w:hAnsi="Bookman Old Style"/>
          <w:sz w:val="24"/>
          <w:szCs w:val="24"/>
          <w:lang w:val="fi-FI"/>
        </w:rPr>
        <w:t xml:space="preserve"> </w:t>
      </w:r>
      <w:r w:rsidR="00B15BAC" w:rsidRPr="00361FD8">
        <w:rPr>
          <w:rFonts w:ascii="Bookman Old Style" w:hAnsi="Bookman Old Style"/>
          <w:sz w:val="24"/>
          <w:szCs w:val="24"/>
          <w:lang w:val="fi-FI"/>
        </w:rPr>
        <w:t>yang</w:t>
      </w:r>
      <w:r w:rsidR="00A954D0">
        <w:rPr>
          <w:rFonts w:ascii="Bookman Old Style" w:hAnsi="Bookman Old Style"/>
          <w:sz w:val="24"/>
          <w:szCs w:val="24"/>
          <w:lang w:val="fi-FI"/>
        </w:rPr>
        <w:t xml:space="preserve"> </w:t>
      </w:r>
      <w:r w:rsidR="00B15BAC" w:rsidRPr="00361FD8">
        <w:rPr>
          <w:rFonts w:ascii="Bookman Old Style" w:hAnsi="Bookman Old Style"/>
          <w:sz w:val="24"/>
          <w:szCs w:val="24"/>
          <w:lang w:val="fi-FI"/>
        </w:rPr>
        <w:t>tertuang</w:t>
      </w:r>
      <w:r w:rsidR="00A954D0">
        <w:rPr>
          <w:rFonts w:ascii="Bookman Old Style" w:hAnsi="Bookman Old Style"/>
          <w:sz w:val="24"/>
          <w:szCs w:val="24"/>
          <w:lang w:val="fi-FI"/>
        </w:rPr>
        <w:t xml:space="preserve"> </w:t>
      </w:r>
      <w:r w:rsidR="00B15BAC" w:rsidRPr="00361FD8">
        <w:rPr>
          <w:rFonts w:ascii="Bookman Old Style" w:hAnsi="Bookman Old Style"/>
          <w:sz w:val="24"/>
          <w:szCs w:val="24"/>
          <w:lang w:val="fi-FI"/>
        </w:rPr>
        <w:t>dalam</w:t>
      </w:r>
      <w:r w:rsidR="00A954D0">
        <w:rPr>
          <w:rFonts w:ascii="Bookman Old Style" w:hAnsi="Bookman Old Style"/>
          <w:sz w:val="24"/>
          <w:szCs w:val="24"/>
          <w:lang w:val="fi-FI"/>
        </w:rPr>
        <w:t xml:space="preserve"> </w:t>
      </w:r>
      <w:r w:rsidR="00B15BAC" w:rsidRPr="00361FD8">
        <w:rPr>
          <w:rFonts w:ascii="Bookman Old Style" w:hAnsi="Bookman Old Style"/>
          <w:sz w:val="24"/>
          <w:szCs w:val="24"/>
          <w:lang w:val="fi-FI"/>
        </w:rPr>
        <w:t>RPJMD/RPD</w:t>
      </w:r>
      <w:r w:rsidR="00A954D0">
        <w:rPr>
          <w:rFonts w:ascii="Bookman Old Style" w:hAnsi="Bookman Old Style"/>
          <w:sz w:val="24"/>
          <w:szCs w:val="24"/>
          <w:lang w:val="fi-FI"/>
        </w:rPr>
        <w:t xml:space="preserve"> </w:t>
      </w:r>
      <w:r w:rsidR="00B15BAC" w:rsidRPr="00361FD8">
        <w:rPr>
          <w:rFonts w:ascii="Bookman Old Style" w:hAnsi="Bookman Old Style"/>
          <w:sz w:val="24"/>
          <w:szCs w:val="24"/>
          <w:lang w:val="fi-FI"/>
        </w:rPr>
        <w:t>dan</w:t>
      </w:r>
      <w:r w:rsidR="00A954D0">
        <w:rPr>
          <w:rFonts w:ascii="Bookman Old Style" w:hAnsi="Bookman Old Style"/>
          <w:sz w:val="24"/>
          <w:szCs w:val="24"/>
          <w:lang w:val="fi-FI"/>
        </w:rPr>
        <w:t xml:space="preserve"> </w:t>
      </w:r>
      <w:r w:rsidR="00B15BAC" w:rsidRPr="00361FD8">
        <w:rPr>
          <w:rFonts w:ascii="Bookman Old Style" w:hAnsi="Bookman Old Style"/>
          <w:sz w:val="24"/>
          <w:szCs w:val="24"/>
          <w:lang w:val="fi-FI"/>
        </w:rPr>
        <w:t>dijabarkan</w:t>
      </w:r>
      <w:r w:rsidR="00A954D0">
        <w:rPr>
          <w:rFonts w:ascii="Bookman Old Style" w:hAnsi="Bookman Old Style"/>
          <w:sz w:val="24"/>
          <w:szCs w:val="24"/>
          <w:lang w:val="fi-FI"/>
        </w:rPr>
        <w:t xml:space="preserve"> </w:t>
      </w:r>
      <w:r w:rsidR="00B15BAC" w:rsidRPr="00361FD8">
        <w:rPr>
          <w:rFonts w:ascii="Bookman Old Style" w:hAnsi="Bookman Old Style"/>
          <w:sz w:val="24"/>
          <w:szCs w:val="24"/>
          <w:lang w:val="fi-FI"/>
        </w:rPr>
        <w:t>dalam</w:t>
      </w:r>
      <w:r w:rsidR="00A954D0">
        <w:rPr>
          <w:rFonts w:ascii="Bookman Old Style" w:hAnsi="Bookman Old Style"/>
          <w:sz w:val="24"/>
          <w:szCs w:val="24"/>
          <w:lang w:val="fi-FI"/>
        </w:rPr>
        <w:t xml:space="preserve"> </w:t>
      </w:r>
      <w:r w:rsidR="00B15BAC" w:rsidRPr="00361FD8">
        <w:rPr>
          <w:rFonts w:ascii="Bookman Old Style" w:hAnsi="Bookman Old Style"/>
          <w:sz w:val="24"/>
          <w:szCs w:val="24"/>
          <w:lang w:val="fi-FI"/>
        </w:rPr>
        <w:t>RKPD,</w:t>
      </w:r>
      <w:r w:rsidR="00A954D0">
        <w:rPr>
          <w:rFonts w:ascii="Bookman Old Style" w:hAnsi="Bookman Old Style"/>
          <w:sz w:val="24"/>
          <w:szCs w:val="24"/>
          <w:lang w:val="fi-FI"/>
        </w:rPr>
        <w:t xml:space="preserve"> </w:t>
      </w:r>
      <w:r w:rsidR="00B15BAC" w:rsidRPr="00361FD8">
        <w:rPr>
          <w:rFonts w:ascii="Bookman Old Style" w:hAnsi="Bookman Old Style"/>
          <w:sz w:val="24"/>
          <w:szCs w:val="24"/>
          <w:lang w:val="id-ID"/>
        </w:rPr>
        <w:t>sebagaimana</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maksud</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d-ID"/>
        </w:rPr>
        <w:t>butir</w:t>
      </w:r>
      <w:r w:rsidR="00A954D0">
        <w:rPr>
          <w:rFonts w:ascii="Bookman Old Style" w:hAnsi="Bookman Old Style"/>
          <w:sz w:val="24"/>
          <w:szCs w:val="24"/>
          <w:lang w:val="id-ID"/>
        </w:rPr>
        <w:t xml:space="preserve"> </w:t>
      </w:r>
      <w:r w:rsidR="00B15BAC" w:rsidRPr="00361FD8">
        <w:rPr>
          <w:rFonts w:ascii="Bookman Old Style" w:hAnsi="Bookman Old Style"/>
          <w:sz w:val="24"/>
          <w:szCs w:val="24"/>
          <w:shd w:val="clear" w:color="auto" w:fill="FFFFFF" w:themeFill="background1"/>
          <w:lang w:val="id-ID"/>
        </w:rPr>
        <w:t>butir</w:t>
      </w:r>
      <w:r w:rsidR="00A954D0">
        <w:rPr>
          <w:rFonts w:ascii="Bookman Old Style" w:hAnsi="Bookman Old Style"/>
          <w:sz w:val="24"/>
          <w:szCs w:val="24"/>
          <w:shd w:val="clear" w:color="auto" w:fill="FFFFFF" w:themeFill="background1"/>
          <w:lang w:val="id-ID"/>
        </w:rPr>
        <w:t xml:space="preserve"> </w:t>
      </w:r>
      <w:r w:rsidR="00B15BAC" w:rsidRPr="00361FD8">
        <w:rPr>
          <w:rFonts w:ascii="Bookman Old Style" w:hAnsi="Bookman Old Style"/>
          <w:sz w:val="24"/>
          <w:szCs w:val="24"/>
          <w:lang w:val="fi-FI"/>
        </w:rPr>
        <w:t>3.4.1.2.5.b</w:t>
      </w:r>
      <w:r w:rsidR="00A954D0">
        <w:rPr>
          <w:rFonts w:ascii="Bookman Old Style" w:hAnsi="Bookman Old Style"/>
          <w:sz w:val="24"/>
          <w:szCs w:val="24"/>
        </w:rPr>
        <w:t xml:space="preserve"> </w:t>
      </w:r>
      <w:r w:rsidR="00B15BAC" w:rsidRPr="00361FD8">
        <w:rPr>
          <w:rFonts w:ascii="Bookman Old Style" w:hAnsi="Bookman Old Style" w:cs="Arial"/>
          <w:sz w:val="24"/>
          <w:szCs w:val="24"/>
        </w:rPr>
        <w:t>Lampiran</w:t>
      </w:r>
      <w:r w:rsidR="00A954D0">
        <w:rPr>
          <w:rFonts w:ascii="Bookman Old Style" w:hAnsi="Bookman Old Style" w:cs="Arial"/>
          <w:sz w:val="24"/>
          <w:szCs w:val="24"/>
        </w:rPr>
        <w:t xml:space="preserve"> </w:t>
      </w:r>
      <w:r w:rsidR="00B15BAC" w:rsidRPr="00361FD8">
        <w:rPr>
          <w:rFonts w:ascii="Bookman Old Style" w:hAnsi="Bookman Old Style" w:cs="Arial"/>
          <w:sz w:val="24"/>
          <w:szCs w:val="24"/>
        </w:rPr>
        <w:t>Peraturan</w:t>
      </w:r>
      <w:r w:rsidR="00A954D0">
        <w:rPr>
          <w:rFonts w:ascii="Bookman Old Style" w:hAnsi="Bookman Old Style" w:cs="Arial"/>
          <w:sz w:val="24"/>
          <w:szCs w:val="24"/>
        </w:rPr>
        <w:t xml:space="preserve"> </w:t>
      </w:r>
      <w:r w:rsidR="00B15BAC" w:rsidRPr="00361FD8">
        <w:rPr>
          <w:rFonts w:ascii="Bookman Old Style" w:hAnsi="Bookman Old Style" w:cs="Arial"/>
          <w:sz w:val="24"/>
          <w:szCs w:val="24"/>
        </w:rPr>
        <w:t>Menteri</w:t>
      </w:r>
      <w:r w:rsidR="00A954D0">
        <w:rPr>
          <w:rFonts w:ascii="Bookman Old Style" w:hAnsi="Bookman Old Style" w:cs="Arial"/>
          <w:sz w:val="24"/>
          <w:szCs w:val="24"/>
        </w:rPr>
        <w:t xml:space="preserve"> </w:t>
      </w:r>
      <w:r w:rsidR="00B15BAC" w:rsidRPr="00361FD8">
        <w:rPr>
          <w:rFonts w:ascii="Bookman Old Style" w:hAnsi="Bookman Old Style" w:cs="Arial"/>
          <w:sz w:val="24"/>
          <w:szCs w:val="24"/>
        </w:rPr>
        <w:t>Dalam</w:t>
      </w:r>
      <w:r w:rsidR="00A954D0">
        <w:rPr>
          <w:rFonts w:ascii="Bookman Old Style" w:hAnsi="Bookman Old Style" w:cs="Arial"/>
          <w:sz w:val="24"/>
          <w:szCs w:val="24"/>
        </w:rPr>
        <w:t xml:space="preserve"> </w:t>
      </w:r>
      <w:r w:rsidR="00B15BAC" w:rsidRPr="00361FD8">
        <w:rPr>
          <w:rFonts w:ascii="Bookman Old Style" w:hAnsi="Bookman Old Style" w:cs="Arial"/>
          <w:sz w:val="24"/>
          <w:szCs w:val="24"/>
        </w:rPr>
        <w:t>Negeri</w:t>
      </w:r>
      <w:r w:rsidR="00A954D0">
        <w:rPr>
          <w:rFonts w:ascii="Bookman Old Style" w:hAnsi="Bookman Old Style" w:cs="Arial"/>
          <w:sz w:val="24"/>
          <w:szCs w:val="24"/>
        </w:rPr>
        <w:t xml:space="preserve"> </w:t>
      </w:r>
      <w:r w:rsidR="00B15BAC" w:rsidRPr="00361FD8">
        <w:rPr>
          <w:rFonts w:ascii="Bookman Old Style" w:hAnsi="Bookman Old Style" w:cs="Arial"/>
          <w:sz w:val="24"/>
          <w:szCs w:val="24"/>
        </w:rPr>
        <w:t>Nomor</w:t>
      </w:r>
      <w:r w:rsidR="00A954D0">
        <w:rPr>
          <w:rFonts w:ascii="Bookman Old Style" w:hAnsi="Bookman Old Style" w:cs="Arial"/>
          <w:sz w:val="24"/>
          <w:szCs w:val="24"/>
        </w:rPr>
        <w:t xml:space="preserve"> </w:t>
      </w:r>
      <w:r w:rsidR="00B15BAC" w:rsidRPr="00361FD8">
        <w:rPr>
          <w:rFonts w:ascii="Bookman Old Style" w:hAnsi="Bookman Old Style" w:cs="Arial"/>
          <w:sz w:val="24"/>
          <w:szCs w:val="24"/>
          <w:lang w:val="fi-FI"/>
        </w:rPr>
        <w:t>15</w:t>
      </w:r>
      <w:r w:rsidR="00A954D0">
        <w:rPr>
          <w:rFonts w:ascii="Bookman Old Style" w:hAnsi="Bookman Old Style" w:cs="Arial"/>
          <w:sz w:val="24"/>
          <w:szCs w:val="24"/>
        </w:rPr>
        <w:t xml:space="preserve"> </w:t>
      </w:r>
      <w:r w:rsidR="00B15BAC" w:rsidRPr="00361FD8">
        <w:rPr>
          <w:rFonts w:ascii="Bookman Old Style" w:hAnsi="Bookman Old Style" w:cs="Arial"/>
          <w:sz w:val="24"/>
          <w:szCs w:val="24"/>
        </w:rPr>
        <w:t>Tahun</w:t>
      </w:r>
      <w:r w:rsidR="00A954D0">
        <w:rPr>
          <w:rFonts w:ascii="Bookman Old Style" w:hAnsi="Bookman Old Style" w:cs="Arial"/>
          <w:sz w:val="24"/>
          <w:szCs w:val="24"/>
        </w:rPr>
        <w:t xml:space="preserve"> </w:t>
      </w:r>
      <w:r w:rsidR="00B15BAC" w:rsidRPr="00361FD8">
        <w:rPr>
          <w:rFonts w:ascii="Bookman Old Style" w:hAnsi="Bookman Old Style" w:cs="Arial"/>
          <w:sz w:val="24"/>
          <w:szCs w:val="24"/>
        </w:rPr>
        <w:t>202</w:t>
      </w:r>
      <w:r w:rsidR="00B15BAC" w:rsidRPr="00361FD8">
        <w:rPr>
          <w:rFonts w:ascii="Bookman Old Style" w:hAnsi="Bookman Old Style" w:cs="Arial"/>
          <w:sz w:val="24"/>
          <w:szCs w:val="24"/>
          <w:lang w:val="fi-FI"/>
        </w:rPr>
        <w:t>4</w:t>
      </w:r>
      <w:r w:rsidR="00B15BAC" w:rsidRPr="00361FD8">
        <w:rPr>
          <w:rFonts w:ascii="Bookman Old Style" w:hAnsi="Bookman Old Style"/>
          <w:sz w:val="24"/>
          <w:szCs w:val="24"/>
          <w:lang w:val="id-ID"/>
        </w:rPr>
        <w:t>.</w:t>
      </w:r>
    </w:p>
    <w:p w14:paraId="2CC2ED6D" w14:textId="222BA8FC" w:rsidR="00B15BAC" w:rsidRPr="00361FD8" w:rsidRDefault="00B15BAC" w:rsidP="00355834">
      <w:pPr>
        <w:pStyle w:val="ListParagraph"/>
        <w:spacing w:before="60" w:after="0" w:line="276" w:lineRule="auto"/>
        <w:ind w:left="3261"/>
        <w:contextualSpacing w:val="0"/>
        <w:jc w:val="both"/>
        <w:rPr>
          <w:rFonts w:ascii="Bookman Old Style" w:hAnsi="Bookman Old Style"/>
          <w:sz w:val="24"/>
          <w:szCs w:val="24"/>
        </w:rPr>
      </w:pPr>
      <w:r w:rsidRPr="00361FD8">
        <w:rPr>
          <w:rFonts w:ascii="Bookman Old Style" w:hAnsi="Bookman Old Style"/>
          <w:sz w:val="24"/>
          <w:szCs w:val="24"/>
          <w:lang w:val="id-ID"/>
        </w:rPr>
        <w:t>Selanjutnya,</w:t>
      </w:r>
      <w:r w:rsidR="00A954D0">
        <w:rPr>
          <w:rFonts w:ascii="Bookman Old Style" w:hAnsi="Bookman Old Style"/>
          <w:sz w:val="24"/>
          <w:szCs w:val="24"/>
          <w:lang w:val="id-ID"/>
        </w:rPr>
        <w:t xml:space="preserve"> </w:t>
      </w:r>
      <w:r w:rsidRPr="00361FD8">
        <w:rPr>
          <w:rFonts w:ascii="Bookman Old Style" w:hAnsi="Bookman Old Style"/>
          <w:sz w:val="24"/>
          <w:szCs w:val="24"/>
          <w:lang w:val="id-ID"/>
        </w:rPr>
        <w:t>penyediaan</w:t>
      </w:r>
      <w:r w:rsidR="00A954D0">
        <w:rPr>
          <w:rFonts w:ascii="Bookman Old Style" w:hAnsi="Bookman Old Style"/>
          <w:sz w:val="24"/>
          <w:szCs w:val="24"/>
          <w:lang w:val="id-ID"/>
        </w:rPr>
        <w:t xml:space="preserve"> </w:t>
      </w:r>
      <w:r w:rsidRPr="00361FD8">
        <w:rPr>
          <w:rFonts w:ascii="Bookman Old Style" w:hAnsi="Bookman Old Style"/>
          <w:sz w:val="24"/>
          <w:szCs w:val="24"/>
          <w:lang w:val="id-ID"/>
        </w:rPr>
        <w:t>alokasi</w:t>
      </w:r>
      <w:r w:rsidR="00A954D0">
        <w:rPr>
          <w:rFonts w:ascii="Bookman Old Style" w:hAnsi="Bookman Old Style"/>
          <w:sz w:val="24"/>
          <w:szCs w:val="24"/>
          <w:lang w:val="id-ID"/>
        </w:rPr>
        <w:t xml:space="preserve"> </w:t>
      </w:r>
      <w:r w:rsidRPr="00361FD8">
        <w:rPr>
          <w:rFonts w:ascii="Bookman Old Style" w:hAnsi="Bookman Old Style"/>
          <w:sz w:val="24"/>
          <w:szCs w:val="24"/>
          <w:lang w:val="id-ID"/>
        </w:rPr>
        <w:t>anggaran</w:t>
      </w:r>
      <w:r w:rsidR="00A954D0">
        <w:rPr>
          <w:rFonts w:ascii="Bookman Old Style" w:hAnsi="Bookman Old Style"/>
          <w:sz w:val="24"/>
          <w:szCs w:val="24"/>
          <w:lang w:val="id-ID"/>
        </w:rPr>
        <w:t xml:space="preserve"> </w:t>
      </w:r>
      <w:r w:rsidRPr="00361FD8">
        <w:rPr>
          <w:rFonts w:ascii="Bookman Old Style" w:hAnsi="Bookman Old Style"/>
          <w:sz w:val="24"/>
          <w:szCs w:val="24"/>
        </w:rPr>
        <w:t>Belanja</w:t>
      </w:r>
      <w:r w:rsidR="00A954D0">
        <w:rPr>
          <w:rFonts w:ascii="Bookman Old Style" w:hAnsi="Bookman Old Style"/>
          <w:sz w:val="24"/>
          <w:szCs w:val="24"/>
        </w:rPr>
        <w:t xml:space="preserve"> </w:t>
      </w:r>
      <w:r w:rsidRPr="00361FD8">
        <w:rPr>
          <w:rFonts w:ascii="Bookman Old Style" w:hAnsi="Bookman Old Style"/>
          <w:sz w:val="24"/>
          <w:szCs w:val="24"/>
        </w:rPr>
        <w:t>Uang</w:t>
      </w:r>
      <w:r w:rsidR="00A954D0">
        <w:rPr>
          <w:rFonts w:ascii="Bookman Old Style" w:hAnsi="Bookman Old Style"/>
          <w:sz w:val="24"/>
          <w:szCs w:val="24"/>
        </w:rPr>
        <w:t xml:space="preserve"> </w:t>
      </w:r>
      <w:r w:rsidRPr="00361FD8">
        <w:rPr>
          <w:rFonts w:ascii="Bookman Old Style" w:hAnsi="Bookman Old Style"/>
          <w:sz w:val="24"/>
          <w:szCs w:val="24"/>
        </w:rPr>
        <w:t>yang</w:t>
      </w:r>
      <w:r w:rsidR="00A954D0">
        <w:rPr>
          <w:rFonts w:ascii="Bookman Old Style" w:hAnsi="Bookman Old Style"/>
          <w:sz w:val="24"/>
          <w:szCs w:val="24"/>
        </w:rPr>
        <w:t xml:space="preserve"> </w:t>
      </w:r>
      <w:r w:rsidRPr="00361FD8">
        <w:rPr>
          <w:rFonts w:ascii="Bookman Old Style" w:hAnsi="Bookman Old Style" w:cs="Arial"/>
          <w:sz w:val="24"/>
          <w:szCs w:val="24"/>
        </w:rPr>
        <w:t>Diberikan</w:t>
      </w:r>
      <w:r w:rsidR="00A954D0">
        <w:rPr>
          <w:rFonts w:ascii="Bookman Old Style" w:hAnsi="Bookman Old Style"/>
          <w:sz w:val="24"/>
          <w:szCs w:val="24"/>
        </w:rPr>
        <w:t xml:space="preserve"> </w:t>
      </w:r>
      <w:r w:rsidRPr="00361FD8">
        <w:rPr>
          <w:rFonts w:ascii="Bookman Old Style" w:hAnsi="Bookman Old Style"/>
          <w:sz w:val="24"/>
          <w:szCs w:val="24"/>
        </w:rPr>
        <w:t>kepada</w:t>
      </w:r>
      <w:r w:rsidR="00A954D0">
        <w:rPr>
          <w:rFonts w:ascii="Bookman Old Style" w:hAnsi="Bookman Old Style"/>
          <w:sz w:val="24"/>
          <w:szCs w:val="24"/>
        </w:rPr>
        <w:t xml:space="preserve"> </w:t>
      </w:r>
      <w:r w:rsidRPr="00361FD8">
        <w:rPr>
          <w:rFonts w:ascii="Bookman Old Style" w:hAnsi="Bookman Old Style"/>
          <w:sz w:val="24"/>
          <w:szCs w:val="24"/>
        </w:rPr>
        <w:t>Pihak</w:t>
      </w:r>
      <w:r w:rsidR="00A954D0">
        <w:rPr>
          <w:rFonts w:ascii="Bookman Old Style" w:hAnsi="Bookman Old Style"/>
          <w:sz w:val="24"/>
          <w:szCs w:val="24"/>
        </w:rPr>
        <w:t xml:space="preserve"> </w:t>
      </w:r>
      <w:r w:rsidRPr="00361FD8">
        <w:rPr>
          <w:rFonts w:ascii="Bookman Old Style" w:hAnsi="Bookman Old Style"/>
          <w:sz w:val="24"/>
          <w:szCs w:val="24"/>
        </w:rPr>
        <w:t>Ketiga/Pihak</w:t>
      </w:r>
      <w:r w:rsidR="00A954D0">
        <w:rPr>
          <w:rFonts w:ascii="Bookman Old Style" w:hAnsi="Bookman Old Style"/>
          <w:sz w:val="24"/>
          <w:szCs w:val="24"/>
        </w:rPr>
        <w:t xml:space="preserve"> </w:t>
      </w:r>
      <w:r w:rsidRPr="00361FD8">
        <w:rPr>
          <w:rFonts w:ascii="Bookman Old Style" w:hAnsi="Bookman Old Style"/>
          <w:sz w:val="24"/>
          <w:szCs w:val="24"/>
        </w:rPr>
        <w:t>Lain/Masyarakat</w:t>
      </w:r>
      <w:r w:rsidR="00A954D0">
        <w:rPr>
          <w:rFonts w:ascii="Bookman Old Style" w:hAnsi="Bookman Old Style"/>
          <w:sz w:val="24"/>
          <w:szCs w:val="24"/>
          <w:lang w:val="id-ID"/>
        </w:rPr>
        <w:t xml:space="preserve"> </w:t>
      </w:r>
      <w:r w:rsidRPr="00361FD8">
        <w:rPr>
          <w:rFonts w:ascii="Bookman Old Style" w:hAnsi="Bookman Old Style"/>
          <w:sz w:val="24"/>
          <w:szCs w:val="24"/>
          <w:lang w:val="id-ID"/>
        </w:rPr>
        <w:t>dimaksud</w:t>
      </w:r>
      <w:r w:rsidR="00A954D0">
        <w:rPr>
          <w:rFonts w:ascii="Bookman Old Style" w:hAnsi="Bookman Old Style"/>
          <w:sz w:val="24"/>
          <w:szCs w:val="24"/>
          <w:lang w:val="id-ID"/>
        </w:rPr>
        <w:t xml:space="preserve"> </w:t>
      </w:r>
      <w:r w:rsidRPr="00361FD8">
        <w:rPr>
          <w:rFonts w:ascii="Bookman Old Style" w:hAnsi="Bookman Old Style"/>
          <w:sz w:val="24"/>
          <w:szCs w:val="24"/>
          <w:lang w:val="fi-FI"/>
        </w:rPr>
        <w:t>diberikan</w:t>
      </w:r>
      <w:r w:rsidR="00A954D0">
        <w:rPr>
          <w:rFonts w:ascii="Bookman Old Style" w:hAnsi="Bookman Old Style"/>
          <w:sz w:val="24"/>
          <w:szCs w:val="24"/>
          <w:lang w:val="id-ID"/>
        </w:rPr>
        <w:t xml:space="preserve"> </w:t>
      </w:r>
      <w:r w:rsidRPr="00361FD8">
        <w:rPr>
          <w:rFonts w:ascii="Bookman Old Style" w:hAnsi="Bookman Old Style"/>
          <w:sz w:val="24"/>
          <w:szCs w:val="24"/>
          <w:lang w:val="id-ID"/>
        </w:rPr>
        <w:t>antara</w:t>
      </w:r>
      <w:r w:rsidR="00A954D0">
        <w:rPr>
          <w:rFonts w:ascii="Bookman Old Style" w:hAnsi="Bookman Old Style"/>
          <w:sz w:val="24"/>
          <w:szCs w:val="24"/>
          <w:lang w:val="id-ID"/>
        </w:rPr>
        <w:t xml:space="preserve"> </w:t>
      </w:r>
      <w:r w:rsidRPr="00361FD8">
        <w:rPr>
          <w:rFonts w:ascii="Bookman Old Style" w:hAnsi="Bookman Old Style"/>
          <w:sz w:val="24"/>
          <w:szCs w:val="24"/>
          <w:lang w:val="id-ID"/>
        </w:rPr>
        <w:t>lain</w:t>
      </w:r>
      <w:r w:rsidR="00A954D0">
        <w:rPr>
          <w:rFonts w:ascii="Bookman Old Style" w:hAnsi="Bookman Old Style"/>
          <w:sz w:val="24"/>
          <w:szCs w:val="24"/>
          <w:lang w:val="id-ID"/>
        </w:rPr>
        <w:t xml:space="preserve"> </w:t>
      </w:r>
      <w:r w:rsidRPr="00361FD8">
        <w:rPr>
          <w:rFonts w:ascii="Bookman Old Style" w:hAnsi="Bookman Old Style"/>
          <w:sz w:val="24"/>
          <w:szCs w:val="24"/>
          <w:lang w:val="id-ID"/>
        </w:rPr>
        <w:t>dalam</w:t>
      </w:r>
      <w:r w:rsidR="00A954D0">
        <w:rPr>
          <w:rFonts w:ascii="Bookman Old Style" w:hAnsi="Bookman Old Style"/>
          <w:sz w:val="24"/>
          <w:szCs w:val="24"/>
          <w:lang w:val="id-ID"/>
        </w:rPr>
        <w:t xml:space="preserve"> </w:t>
      </w:r>
      <w:r w:rsidRPr="00361FD8">
        <w:rPr>
          <w:rFonts w:ascii="Bookman Old Style" w:hAnsi="Bookman Old Style"/>
          <w:sz w:val="24"/>
          <w:szCs w:val="24"/>
          <w:lang w:val="id-ID"/>
        </w:rPr>
        <w:t>bentuk</w:t>
      </w:r>
      <w:r w:rsidR="00A954D0">
        <w:rPr>
          <w:rFonts w:ascii="Bookman Old Style" w:hAnsi="Bookman Old Style"/>
          <w:sz w:val="24"/>
          <w:szCs w:val="24"/>
          <w:lang w:val="id-ID"/>
        </w:rPr>
        <w:t xml:space="preserve"> </w:t>
      </w:r>
      <w:r w:rsidRPr="00361FD8">
        <w:rPr>
          <w:rFonts w:ascii="Bookman Old Style" w:hAnsi="Bookman Old Style"/>
          <w:sz w:val="24"/>
          <w:szCs w:val="24"/>
        </w:rPr>
        <w:t>pemberian</w:t>
      </w:r>
      <w:r w:rsidR="00A954D0">
        <w:rPr>
          <w:rFonts w:ascii="Bookman Old Style" w:hAnsi="Bookman Old Style"/>
          <w:sz w:val="24"/>
          <w:szCs w:val="24"/>
        </w:rPr>
        <w:t xml:space="preserve"> </w:t>
      </w:r>
      <w:r w:rsidRPr="00361FD8">
        <w:rPr>
          <w:rFonts w:ascii="Bookman Old Style" w:hAnsi="Bookman Old Style"/>
          <w:sz w:val="24"/>
          <w:szCs w:val="24"/>
        </w:rPr>
        <w:t>hadiah</w:t>
      </w:r>
      <w:r w:rsidR="00A954D0">
        <w:rPr>
          <w:rFonts w:ascii="Bookman Old Style" w:hAnsi="Bookman Old Style"/>
          <w:sz w:val="24"/>
          <w:szCs w:val="24"/>
        </w:rPr>
        <w:t xml:space="preserve"> </w:t>
      </w:r>
      <w:r w:rsidRPr="00361FD8">
        <w:rPr>
          <w:rFonts w:ascii="Bookman Old Style" w:hAnsi="Bookman Old Style"/>
          <w:sz w:val="24"/>
          <w:szCs w:val="24"/>
        </w:rPr>
        <w:t>pada</w:t>
      </w:r>
      <w:r w:rsidR="00A954D0">
        <w:rPr>
          <w:rFonts w:ascii="Bookman Old Style" w:hAnsi="Bookman Old Style"/>
          <w:sz w:val="24"/>
          <w:szCs w:val="24"/>
        </w:rPr>
        <w:t xml:space="preserve"> </w:t>
      </w:r>
      <w:r w:rsidRPr="00361FD8">
        <w:rPr>
          <w:rFonts w:ascii="Bookman Old Style" w:hAnsi="Bookman Old Style" w:cs="Arial"/>
          <w:sz w:val="24"/>
          <w:szCs w:val="24"/>
        </w:rPr>
        <w:t>kegiatan</w:t>
      </w:r>
      <w:r w:rsidR="00A954D0">
        <w:rPr>
          <w:rFonts w:ascii="Bookman Old Style" w:hAnsi="Bookman Old Style"/>
          <w:sz w:val="24"/>
          <w:szCs w:val="24"/>
        </w:rPr>
        <w:t xml:space="preserve"> </w:t>
      </w:r>
      <w:r w:rsidRPr="00361FD8">
        <w:rPr>
          <w:rFonts w:ascii="Bookman Old Style" w:hAnsi="Bookman Old Style"/>
          <w:sz w:val="24"/>
          <w:szCs w:val="24"/>
        </w:rPr>
        <w:t>yang</w:t>
      </w:r>
      <w:r w:rsidR="00A954D0">
        <w:rPr>
          <w:rFonts w:ascii="Bookman Old Style" w:hAnsi="Bookman Old Style"/>
          <w:sz w:val="24"/>
          <w:szCs w:val="24"/>
        </w:rPr>
        <w:t xml:space="preserve"> </w:t>
      </w:r>
      <w:r w:rsidRPr="00361FD8">
        <w:rPr>
          <w:rFonts w:ascii="Bookman Old Style" w:hAnsi="Bookman Old Style"/>
          <w:sz w:val="24"/>
          <w:szCs w:val="24"/>
        </w:rPr>
        <w:t>bersifat</w:t>
      </w:r>
      <w:r w:rsidR="00A954D0">
        <w:rPr>
          <w:rFonts w:ascii="Bookman Old Style" w:hAnsi="Bookman Old Style"/>
          <w:sz w:val="24"/>
          <w:szCs w:val="24"/>
        </w:rPr>
        <w:t xml:space="preserve"> </w:t>
      </w:r>
      <w:r w:rsidRPr="00361FD8">
        <w:rPr>
          <w:rFonts w:ascii="Bookman Old Style" w:hAnsi="Bookman Old Style"/>
          <w:sz w:val="24"/>
          <w:szCs w:val="24"/>
        </w:rPr>
        <w:t>perlombaan</w:t>
      </w:r>
      <w:r w:rsidR="00A954D0">
        <w:rPr>
          <w:rFonts w:ascii="Bookman Old Style" w:hAnsi="Bookman Old Style"/>
          <w:sz w:val="24"/>
          <w:szCs w:val="24"/>
        </w:rPr>
        <w:t xml:space="preserve"> </w:t>
      </w:r>
      <w:r w:rsidRPr="00361FD8">
        <w:rPr>
          <w:rFonts w:ascii="Bookman Old Style" w:hAnsi="Bookman Old Style"/>
          <w:sz w:val="24"/>
          <w:szCs w:val="24"/>
        </w:rPr>
        <w:t>atau</w:t>
      </w:r>
      <w:r w:rsidR="00A954D0">
        <w:rPr>
          <w:rFonts w:ascii="Bookman Old Style" w:hAnsi="Bookman Old Style"/>
          <w:sz w:val="24"/>
          <w:szCs w:val="24"/>
        </w:rPr>
        <w:t xml:space="preserve"> </w:t>
      </w:r>
      <w:r w:rsidRPr="00361FD8">
        <w:rPr>
          <w:rFonts w:ascii="Bookman Old Style" w:hAnsi="Bookman Old Style"/>
          <w:sz w:val="24"/>
          <w:szCs w:val="24"/>
        </w:rPr>
        <w:t>penghargaan</w:t>
      </w:r>
      <w:r w:rsidR="00A954D0">
        <w:rPr>
          <w:rFonts w:ascii="Bookman Old Style" w:hAnsi="Bookman Old Style"/>
          <w:sz w:val="24"/>
          <w:szCs w:val="24"/>
        </w:rPr>
        <w:t xml:space="preserve"> </w:t>
      </w:r>
      <w:r w:rsidRPr="00361FD8">
        <w:rPr>
          <w:rFonts w:ascii="Bookman Old Style" w:hAnsi="Bookman Old Style"/>
          <w:sz w:val="24"/>
          <w:szCs w:val="24"/>
        </w:rPr>
        <w:t>atas</w:t>
      </w:r>
      <w:r w:rsidR="00A954D0">
        <w:rPr>
          <w:rFonts w:ascii="Bookman Old Style" w:hAnsi="Bookman Old Style"/>
          <w:sz w:val="24"/>
          <w:szCs w:val="24"/>
        </w:rPr>
        <w:t xml:space="preserve"> </w:t>
      </w:r>
      <w:r w:rsidRPr="00361FD8">
        <w:rPr>
          <w:rFonts w:ascii="Bookman Old Style" w:hAnsi="Bookman Old Style"/>
          <w:sz w:val="24"/>
          <w:szCs w:val="24"/>
        </w:rPr>
        <w:t>suatu</w:t>
      </w:r>
      <w:r w:rsidR="00A954D0">
        <w:rPr>
          <w:rFonts w:ascii="Bookman Old Style" w:hAnsi="Bookman Old Style"/>
          <w:sz w:val="24"/>
          <w:szCs w:val="24"/>
        </w:rPr>
        <w:t xml:space="preserve"> </w:t>
      </w:r>
      <w:r w:rsidRPr="00361FD8">
        <w:rPr>
          <w:rFonts w:ascii="Bookman Old Style" w:hAnsi="Bookman Old Style"/>
          <w:sz w:val="24"/>
          <w:szCs w:val="24"/>
        </w:rPr>
        <w:t>prestasi,</w:t>
      </w:r>
      <w:r w:rsidR="00A954D0">
        <w:rPr>
          <w:rFonts w:ascii="Bookman Old Style" w:hAnsi="Bookman Old Style"/>
          <w:sz w:val="24"/>
          <w:szCs w:val="24"/>
        </w:rPr>
        <w:t xml:space="preserve"> </w:t>
      </w:r>
      <w:r w:rsidRPr="00361FD8">
        <w:rPr>
          <w:rFonts w:ascii="Bookman Old Style" w:hAnsi="Bookman Old Style"/>
          <w:sz w:val="24"/>
          <w:szCs w:val="24"/>
        </w:rPr>
        <w:t>beasiswa</w:t>
      </w:r>
      <w:r w:rsidR="00A954D0">
        <w:rPr>
          <w:rFonts w:ascii="Bookman Old Style" w:hAnsi="Bookman Old Style"/>
          <w:sz w:val="24"/>
          <w:szCs w:val="24"/>
        </w:rPr>
        <w:t xml:space="preserve"> </w:t>
      </w:r>
      <w:r w:rsidRPr="00361FD8">
        <w:rPr>
          <w:rFonts w:ascii="Bookman Old Style" w:hAnsi="Bookman Old Style"/>
          <w:sz w:val="24"/>
          <w:szCs w:val="24"/>
        </w:rPr>
        <w:t>kepada</w:t>
      </w:r>
      <w:r w:rsidR="00A954D0">
        <w:rPr>
          <w:rFonts w:ascii="Bookman Old Style" w:hAnsi="Bookman Old Style"/>
          <w:sz w:val="24"/>
          <w:szCs w:val="24"/>
        </w:rPr>
        <w:t xml:space="preserve"> </w:t>
      </w:r>
      <w:r w:rsidRPr="00361FD8">
        <w:rPr>
          <w:rFonts w:ascii="Bookman Old Style" w:hAnsi="Bookman Old Style"/>
          <w:sz w:val="24"/>
          <w:szCs w:val="24"/>
        </w:rPr>
        <w:t>masyarakat,</w:t>
      </w:r>
      <w:r w:rsidR="00A954D0">
        <w:rPr>
          <w:rFonts w:ascii="Bookman Old Style" w:hAnsi="Bookman Old Style"/>
          <w:sz w:val="24"/>
          <w:szCs w:val="24"/>
        </w:rPr>
        <w:t xml:space="preserve"> </w:t>
      </w:r>
      <w:r w:rsidRPr="00361FD8">
        <w:rPr>
          <w:rFonts w:ascii="Bookman Old Style" w:hAnsi="Bookman Old Style"/>
          <w:sz w:val="24"/>
          <w:szCs w:val="24"/>
        </w:rPr>
        <w:t>penanganan</w:t>
      </w:r>
      <w:r w:rsidR="00A954D0">
        <w:rPr>
          <w:rFonts w:ascii="Bookman Old Style" w:hAnsi="Bookman Old Style"/>
          <w:sz w:val="24"/>
          <w:szCs w:val="24"/>
        </w:rPr>
        <w:t xml:space="preserve"> </w:t>
      </w:r>
      <w:r w:rsidRPr="00361FD8">
        <w:rPr>
          <w:rFonts w:ascii="Bookman Old Style" w:hAnsi="Bookman Old Style"/>
          <w:sz w:val="24"/>
          <w:szCs w:val="24"/>
        </w:rPr>
        <w:t>dampak</w:t>
      </w:r>
      <w:r w:rsidR="00A954D0">
        <w:rPr>
          <w:rFonts w:ascii="Bookman Old Style" w:hAnsi="Bookman Old Style"/>
          <w:sz w:val="24"/>
          <w:szCs w:val="24"/>
        </w:rPr>
        <w:t xml:space="preserve"> </w:t>
      </w:r>
      <w:r w:rsidRPr="00361FD8">
        <w:rPr>
          <w:rFonts w:ascii="Bookman Old Style" w:hAnsi="Bookman Old Style"/>
          <w:sz w:val="24"/>
          <w:szCs w:val="24"/>
        </w:rPr>
        <w:t>sosial</w:t>
      </w:r>
      <w:r w:rsidR="00A954D0">
        <w:rPr>
          <w:rFonts w:ascii="Bookman Old Style" w:hAnsi="Bookman Old Style"/>
          <w:sz w:val="24"/>
          <w:szCs w:val="24"/>
        </w:rPr>
        <w:t xml:space="preserve"> </w:t>
      </w:r>
      <w:r w:rsidRPr="00361FD8">
        <w:rPr>
          <w:rFonts w:ascii="Bookman Old Style" w:hAnsi="Bookman Old Style"/>
          <w:sz w:val="24"/>
          <w:szCs w:val="24"/>
        </w:rPr>
        <w:t>kemasyarakatan</w:t>
      </w:r>
      <w:r w:rsidR="00A954D0">
        <w:rPr>
          <w:rFonts w:ascii="Bookman Old Style" w:hAnsi="Bookman Old Style"/>
          <w:sz w:val="24"/>
          <w:szCs w:val="24"/>
        </w:rPr>
        <w:t xml:space="preserve"> </w:t>
      </w:r>
      <w:r w:rsidRPr="00361FD8">
        <w:rPr>
          <w:rFonts w:ascii="Bookman Old Style" w:hAnsi="Bookman Old Style"/>
          <w:sz w:val="24"/>
          <w:szCs w:val="24"/>
        </w:rPr>
        <w:t>akibat</w:t>
      </w:r>
      <w:r w:rsidR="00A954D0">
        <w:rPr>
          <w:rFonts w:ascii="Bookman Old Style" w:hAnsi="Bookman Old Style"/>
          <w:sz w:val="24"/>
          <w:szCs w:val="24"/>
        </w:rPr>
        <w:t xml:space="preserve"> </w:t>
      </w:r>
      <w:r w:rsidRPr="00361FD8">
        <w:rPr>
          <w:rFonts w:ascii="Bookman Old Style" w:hAnsi="Bookman Old Style"/>
          <w:sz w:val="24"/>
          <w:szCs w:val="24"/>
        </w:rPr>
        <w:t>penggunaan</w:t>
      </w:r>
      <w:r w:rsidR="00A954D0">
        <w:rPr>
          <w:rFonts w:ascii="Bookman Old Style" w:hAnsi="Bookman Old Style"/>
          <w:sz w:val="24"/>
          <w:szCs w:val="24"/>
        </w:rPr>
        <w:t xml:space="preserve"> </w:t>
      </w:r>
      <w:r w:rsidRPr="00361FD8">
        <w:rPr>
          <w:rFonts w:ascii="Bookman Old Style" w:hAnsi="Bookman Old Style"/>
          <w:sz w:val="24"/>
          <w:szCs w:val="24"/>
        </w:rPr>
        <w:t>tanah</w:t>
      </w:r>
      <w:r w:rsidR="00A954D0">
        <w:rPr>
          <w:rFonts w:ascii="Bookman Old Style" w:hAnsi="Bookman Old Style"/>
          <w:sz w:val="24"/>
          <w:szCs w:val="24"/>
        </w:rPr>
        <w:t xml:space="preserve"> </w:t>
      </w:r>
      <w:r w:rsidRPr="00361FD8">
        <w:rPr>
          <w:rFonts w:ascii="Bookman Old Style" w:hAnsi="Bookman Old Style"/>
          <w:sz w:val="24"/>
          <w:szCs w:val="24"/>
        </w:rPr>
        <w:t>milik</w:t>
      </w:r>
      <w:r w:rsidR="00A954D0">
        <w:rPr>
          <w:rFonts w:ascii="Bookman Old Style" w:hAnsi="Bookman Old Style"/>
          <w:sz w:val="24"/>
          <w:szCs w:val="24"/>
        </w:rPr>
        <w:t xml:space="preserve"> </w:t>
      </w:r>
      <w:r w:rsidRPr="00361FD8">
        <w:rPr>
          <w:rFonts w:ascii="Bookman Old Style" w:hAnsi="Bookman Old Style"/>
          <w:sz w:val="24"/>
          <w:szCs w:val="24"/>
        </w:rPr>
        <w:t>Pemerintah</w:t>
      </w:r>
      <w:r w:rsidR="00A954D0">
        <w:rPr>
          <w:rFonts w:ascii="Bookman Old Style" w:hAnsi="Bookman Old Style"/>
          <w:sz w:val="24"/>
          <w:szCs w:val="24"/>
        </w:rPr>
        <w:t xml:space="preserve"> </w:t>
      </w:r>
      <w:r w:rsidRPr="00361FD8">
        <w:rPr>
          <w:rFonts w:ascii="Bookman Old Style" w:hAnsi="Bookman Old Style"/>
          <w:sz w:val="24"/>
          <w:szCs w:val="24"/>
        </w:rPr>
        <w:t>Daerah</w:t>
      </w:r>
      <w:r w:rsidR="00A954D0">
        <w:rPr>
          <w:rFonts w:ascii="Bookman Old Style" w:hAnsi="Bookman Old Style"/>
          <w:sz w:val="24"/>
          <w:szCs w:val="24"/>
        </w:rPr>
        <w:t xml:space="preserve"> </w:t>
      </w:r>
      <w:r w:rsidR="00046408" w:rsidRPr="00361FD8">
        <w:rPr>
          <w:rFonts w:ascii="Bookman Old Style" w:hAnsi="Bookman Old Style"/>
          <w:sz w:val="24"/>
          <w:szCs w:val="24"/>
        </w:rPr>
        <w:t>Kota</w:t>
      </w:r>
      <w:r w:rsidR="00A954D0">
        <w:rPr>
          <w:rFonts w:ascii="Bookman Old Style" w:hAnsi="Bookman Old Style"/>
          <w:sz w:val="24"/>
          <w:szCs w:val="24"/>
        </w:rPr>
        <w:t xml:space="preserve"> </w:t>
      </w:r>
      <w:r w:rsidR="00770F22" w:rsidRPr="00361FD8">
        <w:rPr>
          <w:rFonts w:ascii="Bookman Old Style" w:hAnsi="Bookman Old Style"/>
          <w:sz w:val="24"/>
          <w:szCs w:val="24"/>
        </w:rPr>
        <w:t>Tangerang</w:t>
      </w:r>
      <w:r w:rsidR="00A954D0">
        <w:rPr>
          <w:rFonts w:ascii="Bookman Old Style" w:hAnsi="Bookman Old Style"/>
          <w:sz w:val="24"/>
          <w:szCs w:val="24"/>
        </w:rPr>
        <w:t xml:space="preserve"> </w:t>
      </w:r>
      <w:r w:rsidRPr="00361FD8">
        <w:rPr>
          <w:rFonts w:ascii="Bookman Old Style" w:hAnsi="Bookman Old Style"/>
          <w:sz w:val="24"/>
          <w:szCs w:val="24"/>
        </w:rPr>
        <w:t>untuk</w:t>
      </w:r>
      <w:r w:rsidR="00A954D0">
        <w:rPr>
          <w:rFonts w:ascii="Bookman Old Style" w:hAnsi="Bookman Old Style"/>
          <w:sz w:val="24"/>
          <w:szCs w:val="24"/>
        </w:rPr>
        <w:t xml:space="preserve"> </w:t>
      </w:r>
      <w:r w:rsidRPr="00361FD8">
        <w:rPr>
          <w:rFonts w:ascii="Bookman Old Style" w:hAnsi="Bookman Old Style"/>
          <w:sz w:val="24"/>
          <w:szCs w:val="24"/>
        </w:rPr>
        <w:t>pelaksanaan</w:t>
      </w:r>
      <w:r w:rsidR="00A954D0">
        <w:rPr>
          <w:rFonts w:ascii="Bookman Old Style" w:hAnsi="Bookman Old Style"/>
          <w:sz w:val="24"/>
          <w:szCs w:val="24"/>
        </w:rPr>
        <w:t xml:space="preserve"> </w:t>
      </w:r>
      <w:r w:rsidRPr="00361FD8">
        <w:rPr>
          <w:rFonts w:ascii="Bookman Old Style" w:hAnsi="Bookman Old Style"/>
          <w:sz w:val="24"/>
          <w:szCs w:val="24"/>
        </w:rPr>
        <w:t>pembangunan</w:t>
      </w:r>
      <w:r w:rsidR="00A954D0">
        <w:rPr>
          <w:rFonts w:ascii="Bookman Old Style" w:hAnsi="Bookman Old Style"/>
          <w:sz w:val="24"/>
          <w:szCs w:val="24"/>
        </w:rPr>
        <w:t xml:space="preserve"> </w:t>
      </w:r>
      <w:r w:rsidRPr="00361FD8">
        <w:rPr>
          <w:rFonts w:ascii="Bookman Old Style" w:hAnsi="Bookman Old Style"/>
          <w:sz w:val="24"/>
          <w:szCs w:val="24"/>
        </w:rPr>
        <w:t>proyek</w:t>
      </w:r>
      <w:r w:rsidR="00A954D0">
        <w:rPr>
          <w:rFonts w:ascii="Bookman Old Style" w:hAnsi="Bookman Old Style"/>
          <w:sz w:val="24"/>
          <w:szCs w:val="24"/>
        </w:rPr>
        <w:t xml:space="preserve"> </w:t>
      </w:r>
      <w:r w:rsidRPr="00361FD8">
        <w:rPr>
          <w:rFonts w:ascii="Bookman Old Style" w:hAnsi="Bookman Old Style"/>
          <w:sz w:val="24"/>
          <w:szCs w:val="24"/>
        </w:rPr>
        <w:t>strategis</w:t>
      </w:r>
      <w:r w:rsidR="00A954D0">
        <w:rPr>
          <w:rFonts w:ascii="Bookman Old Style" w:hAnsi="Bookman Old Style"/>
          <w:sz w:val="24"/>
          <w:szCs w:val="24"/>
        </w:rPr>
        <w:t xml:space="preserve"> </w:t>
      </w:r>
      <w:r w:rsidRPr="00361FD8">
        <w:rPr>
          <w:rFonts w:ascii="Bookman Old Style" w:hAnsi="Bookman Old Style"/>
          <w:sz w:val="24"/>
          <w:szCs w:val="24"/>
        </w:rPr>
        <w:t>nasional</w:t>
      </w:r>
      <w:r w:rsidR="00A954D0">
        <w:rPr>
          <w:rFonts w:ascii="Bookman Old Style" w:hAnsi="Bookman Old Style"/>
          <w:sz w:val="24"/>
          <w:szCs w:val="24"/>
        </w:rPr>
        <w:t xml:space="preserve"> </w:t>
      </w:r>
      <w:r w:rsidRPr="00361FD8">
        <w:rPr>
          <w:rFonts w:ascii="Bookman Old Style" w:hAnsi="Bookman Old Style"/>
          <w:sz w:val="24"/>
          <w:szCs w:val="24"/>
        </w:rPr>
        <w:t>dan</w:t>
      </w:r>
      <w:r w:rsidR="00A954D0">
        <w:rPr>
          <w:rFonts w:ascii="Bookman Old Style" w:hAnsi="Bookman Old Style"/>
          <w:sz w:val="24"/>
          <w:szCs w:val="24"/>
        </w:rPr>
        <w:t xml:space="preserve"> </w:t>
      </w:r>
      <w:r w:rsidRPr="00361FD8">
        <w:rPr>
          <w:rFonts w:ascii="Bookman Old Style" w:hAnsi="Bookman Old Style"/>
          <w:sz w:val="24"/>
          <w:szCs w:val="24"/>
        </w:rPr>
        <w:t>non</w:t>
      </w:r>
      <w:r w:rsidR="00A954D0">
        <w:rPr>
          <w:rFonts w:ascii="Bookman Old Style" w:hAnsi="Bookman Old Style"/>
          <w:sz w:val="24"/>
          <w:szCs w:val="24"/>
        </w:rPr>
        <w:t xml:space="preserve"> </w:t>
      </w:r>
      <w:r w:rsidRPr="00361FD8">
        <w:rPr>
          <w:rFonts w:ascii="Bookman Old Style" w:hAnsi="Bookman Old Style"/>
          <w:sz w:val="24"/>
          <w:szCs w:val="24"/>
        </w:rPr>
        <w:t>proyek</w:t>
      </w:r>
      <w:r w:rsidR="00A954D0">
        <w:rPr>
          <w:rFonts w:ascii="Bookman Old Style" w:hAnsi="Bookman Old Style"/>
          <w:sz w:val="24"/>
          <w:szCs w:val="24"/>
        </w:rPr>
        <w:t xml:space="preserve"> </w:t>
      </w:r>
      <w:r w:rsidRPr="00361FD8">
        <w:rPr>
          <w:rFonts w:ascii="Bookman Old Style" w:hAnsi="Bookman Old Style"/>
          <w:sz w:val="24"/>
          <w:szCs w:val="24"/>
        </w:rPr>
        <w:t>strategis</w:t>
      </w:r>
      <w:r w:rsidR="00A954D0">
        <w:rPr>
          <w:rFonts w:ascii="Bookman Old Style" w:hAnsi="Bookman Old Style"/>
          <w:sz w:val="24"/>
          <w:szCs w:val="24"/>
        </w:rPr>
        <w:t xml:space="preserve"> </w:t>
      </w:r>
      <w:r w:rsidRPr="00361FD8">
        <w:rPr>
          <w:rFonts w:ascii="Bookman Old Style" w:hAnsi="Bookman Old Style"/>
          <w:sz w:val="24"/>
          <w:szCs w:val="24"/>
        </w:rPr>
        <w:t>nasional</w:t>
      </w:r>
      <w:r w:rsidR="00A954D0">
        <w:rPr>
          <w:rFonts w:ascii="Bookman Old Style" w:hAnsi="Bookman Old Style"/>
          <w:sz w:val="24"/>
          <w:szCs w:val="24"/>
        </w:rPr>
        <w:t xml:space="preserve"> </w:t>
      </w:r>
      <w:r w:rsidRPr="00361FD8">
        <w:rPr>
          <w:rFonts w:ascii="Bookman Old Style" w:hAnsi="Bookman Old Style"/>
          <w:sz w:val="24"/>
          <w:szCs w:val="24"/>
          <w:lang w:val="id-ID"/>
        </w:rPr>
        <w:t>sebagaimana</w:t>
      </w:r>
      <w:r w:rsidR="00A954D0">
        <w:rPr>
          <w:rFonts w:ascii="Bookman Old Style" w:hAnsi="Bookman Old Style"/>
          <w:sz w:val="24"/>
          <w:szCs w:val="24"/>
          <w:lang w:val="id-ID"/>
        </w:rPr>
        <w:t xml:space="preserve"> </w:t>
      </w:r>
      <w:r w:rsidRPr="00361FD8">
        <w:rPr>
          <w:rFonts w:ascii="Bookman Old Style" w:hAnsi="Bookman Old Style"/>
          <w:sz w:val="24"/>
          <w:szCs w:val="24"/>
          <w:lang w:val="id-ID"/>
        </w:rPr>
        <w:t>maksud</w:t>
      </w:r>
      <w:r w:rsidR="00A954D0">
        <w:rPr>
          <w:rFonts w:ascii="Bookman Old Style" w:hAnsi="Bookman Old Style"/>
          <w:sz w:val="24"/>
          <w:szCs w:val="24"/>
          <w:lang w:val="id-ID"/>
        </w:rPr>
        <w:t xml:space="preserve"> </w:t>
      </w:r>
      <w:r w:rsidRPr="00361FD8">
        <w:rPr>
          <w:rFonts w:ascii="Bookman Old Style" w:hAnsi="Bookman Old Style"/>
          <w:sz w:val="24"/>
          <w:szCs w:val="24"/>
          <w:lang w:val="id-ID"/>
        </w:rPr>
        <w:t>butir</w:t>
      </w:r>
      <w:r w:rsidR="00A954D0">
        <w:rPr>
          <w:rFonts w:ascii="Bookman Old Style" w:hAnsi="Bookman Old Style"/>
          <w:sz w:val="24"/>
          <w:szCs w:val="24"/>
          <w:lang w:val="id-ID"/>
        </w:rPr>
        <w:t xml:space="preserve"> </w:t>
      </w:r>
      <w:r w:rsidRPr="00361FD8">
        <w:rPr>
          <w:rFonts w:ascii="Bookman Old Style" w:hAnsi="Bookman Old Style"/>
          <w:sz w:val="24"/>
          <w:szCs w:val="24"/>
          <w:lang w:val="fi-FI"/>
        </w:rPr>
        <w:t>3.4.1.2.5.b</w:t>
      </w:r>
      <w:r w:rsidR="00A954D0">
        <w:rPr>
          <w:rFonts w:ascii="Bookman Old Style" w:hAnsi="Bookman Old Style"/>
          <w:sz w:val="24"/>
          <w:szCs w:val="24"/>
        </w:rPr>
        <w:t xml:space="preserve"> </w:t>
      </w:r>
      <w:r w:rsidRPr="00361FD8">
        <w:rPr>
          <w:rFonts w:ascii="Bookman Old Style" w:hAnsi="Bookman Old Style" w:cs="Arial"/>
          <w:sz w:val="24"/>
          <w:szCs w:val="24"/>
        </w:rPr>
        <w:t>Lampiran</w:t>
      </w:r>
      <w:r w:rsidR="00A954D0">
        <w:rPr>
          <w:rFonts w:ascii="Bookman Old Style" w:hAnsi="Bookman Old Style" w:cs="Arial"/>
          <w:sz w:val="24"/>
          <w:szCs w:val="24"/>
        </w:rPr>
        <w:t xml:space="preserve"> </w:t>
      </w:r>
      <w:r w:rsidRPr="00361FD8">
        <w:rPr>
          <w:rFonts w:ascii="Bookman Old Style" w:hAnsi="Bookman Old Style" w:cs="Arial"/>
          <w:sz w:val="24"/>
          <w:szCs w:val="24"/>
        </w:rPr>
        <w:t>Peraturan</w:t>
      </w:r>
      <w:r w:rsidR="00A954D0">
        <w:rPr>
          <w:rFonts w:ascii="Bookman Old Style" w:hAnsi="Bookman Old Style" w:cs="Arial"/>
          <w:sz w:val="24"/>
          <w:szCs w:val="24"/>
        </w:rPr>
        <w:t xml:space="preserve"> </w:t>
      </w:r>
      <w:r w:rsidRPr="00361FD8">
        <w:rPr>
          <w:rFonts w:ascii="Bookman Old Style" w:hAnsi="Bookman Old Style" w:cs="Arial"/>
          <w:sz w:val="24"/>
          <w:szCs w:val="24"/>
        </w:rPr>
        <w:t>Menteri</w:t>
      </w:r>
      <w:r w:rsidR="00A954D0">
        <w:rPr>
          <w:rFonts w:ascii="Bookman Old Style" w:hAnsi="Bookman Old Style" w:cs="Arial"/>
          <w:sz w:val="24"/>
          <w:szCs w:val="24"/>
        </w:rPr>
        <w:t xml:space="preserve"> </w:t>
      </w:r>
      <w:r w:rsidRPr="00361FD8">
        <w:rPr>
          <w:rFonts w:ascii="Bookman Old Style" w:hAnsi="Bookman Old Style" w:cs="Arial"/>
          <w:sz w:val="24"/>
          <w:szCs w:val="24"/>
        </w:rPr>
        <w:t>Dalam</w:t>
      </w:r>
      <w:r w:rsidR="00A954D0">
        <w:rPr>
          <w:rFonts w:ascii="Bookman Old Style" w:hAnsi="Bookman Old Style" w:cs="Arial"/>
          <w:sz w:val="24"/>
          <w:szCs w:val="24"/>
        </w:rPr>
        <w:t xml:space="preserve"> </w:t>
      </w:r>
      <w:r w:rsidRPr="00361FD8">
        <w:rPr>
          <w:rFonts w:ascii="Bookman Old Style" w:hAnsi="Bookman Old Style" w:cs="Arial"/>
          <w:sz w:val="24"/>
          <w:szCs w:val="24"/>
        </w:rPr>
        <w:t>Negeri</w:t>
      </w:r>
      <w:r w:rsidR="00A954D0">
        <w:rPr>
          <w:rFonts w:ascii="Bookman Old Style" w:hAnsi="Bookman Old Style" w:cs="Arial"/>
          <w:sz w:val="24"/>
          <w:szCs w:val="24"/>
        </w:rPr>
        <w:t xml:space="preserve"> </w:t>
      </w:r>
      <w:r w:rsidRPr="00361FD8">
        <w:rPr>
          <w:rFonts w:ascii="Bookman Old Style" w:hAnsi="Bookman Old Style" w:cs="Arial"/>
          <w:sz w:val="24"/>
          <w:szCs w:val="24"/>
        </w:rPr>
        <w:t>Nomor</w:t>
      </w:r>
      <w:r w:rsidR="00A954D0">
        <w:rPr>
          <w:rFonts w:ascii="Bookman Old Style" w:hAnsi="Bookman Old Style" w:cs="Arial"/>
          <w:sz w:val="24"/>
          <w:szCs w:val="24"/>
        </w:rPr>
        <w:t xml:space="preserve"> </w:t>
      </w:r>
      <w:r w:rsidRPr="00361FD8">
        <w:rPr>
          <w:rFonts w:ascii="Bookman Old Style" w:hAnsi="Bookman Old Style" w:cs="Arial"/>
          <w:sz w:val="24"/>
          <w:szCs w:val="24"/>
          <w:lang w:val="fi-FI"/>
        </w:rPr>
        <w:t>15</w:t>
      </w:r>
      <w:r w:rsidR="00A954D0">
        <w:rPr>
          <w:rFonts w:ascii="Bookman Old Style" w:hAnsi="Bookman Old Style" w:cs="Arial"/>
          <w:sz w:val="24"/>
          <w:szCs w:val="24"/>
        </w:rPr>
        <w:t xml:space="preserve"> </w:t>
      </w:r>
      <w:r w:rsidRPr="00361FD8">
        <w:rPr>
          <w:rFonts w:ascii="Bookman Old Style" w:hAnsi="Bookman Old Style" w:cs="Arial"/>
          <w:sz w:val="24"/>
          <w:szCs w:val="24"/>
        </w:rPr>
        <w:t>Tahun</w:t>
      </w:r>
      <w:r w:rsidR="00A954D0">
        <w:rPr>
          <w:rFonts w:ascii="Bookman Old Style" w:hAnsi="Bookman Old Style" w:cs="Arial"/>
          <w:sz w:val="24"/>
          <w:szCs w:val="24"/>
        </w:rPr>
        <w:t xml:space="preserve"> </w:t>
      </w:r>
      <w:r w:rsidRPr="00361FD8">
        <w:rPr>
          <w:rFonts w:ascii="Bookman Old Style" w:hAnsi="Bookman Old Style" w:cs="Arial"/>
          <w:sz w:val="24"/>
          <w:szCs w:val="24"/>
        </w:rPr>
        <w:t>202</w:t>
      </w:r>
      <w:r w:rsidRPr="00361FD8">
        <w:rPr>
          <w:rFonts w:ascii="Bookman Old Style" w:hAnsi="Bookman Old Style" w:cs="Arial"/>
          <w:sz w:val="24"/>
          <w:szCs w:val="24"/>
          <w:lang w:val="fi-FI"/>
        </w:rPr>
        <w:t>4</w:t>
      </w:r>
      <w:r w:rsidRPr="00361FD8">
        <w:rPr>
          <w:rFonts w:ascii="Bookman Old Style" w:hAnsi="Bookman Old Style"/>
          <w:sz w:val="24"/>
          <w:szCs w:val="24"/>
        </w:rPr>
        <w:t>.</w:t>
      </w:r>
    </w:p>
    <w:p w14:paraId="4D1B3DF2" w14:textId="78A48656" w:rsidR="00B15BAC" w:rsidRPr="00361FD8" w:rsidRDefault="00B15BAC" w:rsidP="00355834">
      <w:pPr>
        <w:pStyle w:val="ListParagraph"/>
        <w:spacing w:before="60" w:after="0" w:line="276" w:lineRule="auto"/>
        <w:ind w:left="3261"/>
        <w:contextualSpacing w:val="0"/>
        <w:jc w:val="both"/>
        <w:rPr>
          <w:rFonts w:ascii="Bookman Old Style" w:hAnsi="Bookman Old Style" w:cs="Arial"/>
          <w:sz w:val="24"/>
          <w:szCs w:val="24"/>
          <w:lang w:val="fr-FR"/>
        </w:rPr>
      </w:pPr>
      <w:r w:rsidRPr="00361FD8">
        <w:rPr>
          <w:rFonts w:ascii="Bookman Old Style" w:hAnsi="Bookman Old Style"/>
          <w:sz w:val="24"/>
          <w:szCs w:val="24"/>
          <w:lang w:val="en-US"/>
        </w:rPr>
        <w:t>Berkaitan</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dengan</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hal</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tersebut,</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penyediaan</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anggaran</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Belanja</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Barang</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untuk</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Dijual/Diserahkan</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serta</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Belanja</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Uang</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dan/atau</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Jasa</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untuk</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Diberikan</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Kepada</w:t>
      </w:r>
      <w:r w:rsidR="00A954D0">
        <w:rPr>
          <w:rFonts w:ascii="Bookman Old Style" w:hAnsi="Bookman Old Style" w:cs="Arial"/>
          <w:sz w:val="24"/>
          <w:szCs w:val="24"/>
          <w:lang w:val="fr-FR"/>
        </w:rPr>
        <w:t xml:space="preserve"> </w:t>
      </w:r>
      <w:r w:rsidRPr="00361FD8">
        <w:rPr>
          <w:rFonts w:ascii="Bookman Old Style" w:hAnsi="Bookman Old Style"/>
          <w:sz w:val="24"/>
          <w:szCs w:val="24"/>
        </w:rPr>
        <w:lastRenderedPageBreak/>
        <w:t>Masyarakat</w:t>
      </w:r>
      <w:r w:rsidRPr="00361FD8">
        <w:rPr>
          <w:rFonts w:ascii="Bookman Old Style" w:hAnsi="Bookman Old Style" w:cs="Arial"/>
          <w:sz w:val="24"/>
          <w:szCs w:val="24"/>
          <w:lang w:val="fr-FR"/>
        </w:rPr>
        <w:t>/Pihak</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Ketiga/Pihak</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Lain</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agar</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memperhatikan:</w:t>
      </w:r>
    </w:p>
    <w:p w14:paraId="29245477" w14:textId="7C0FA76C" w:rsidR="00B15BAC" w:rsidRPr="00361FD8" w:rsidRDefault="00B15BAC">
      <w:pPr>
        <w:pStyle w:val="ListParagraph"/>
        <w:numPr>
          <w:ilvl w:val="0"/>
          <w:numId w:val="130"/>
        </w:numPr>
        <w:spacing w:before="60" w:after="0" w:line="276" w:lineRule="auto"/>
        <w:ind w:left="3686" w:hanging="425"/>
        <w:contextualSpacing w:val="0"/>
        <w:jc w:val="both"/>
        <w:rPr>
          <w:rFonts w:ascii="Bookman Old Style" w:hAnsi="Bookman Old Style" w:cs="Arial"/>
          <w:sz w:val="24"/>
          <w:szCs w:val="24"/>
          <w:lang w:val="fr-FR"/>
        </w:rPr>
      </w:pPr>
      <w:r w:rsidRPr="00361FD8">
        <w:rPr>
          <w:rFonts w:ascii="Bookman Old Style" w:hAnsi="Bookman Old Style" w:cs="Arial"/>
          <w:sz w:val="24"/>
          <w:szCs w:val="24"/>
          <w:lang w:val="fr-FR"/>
        </w:rPr>
        <w:t>bagian</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yang</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tidak</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terpisahkan</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dari</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rangkaian</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pencapaian</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target</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kinerja</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yang</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tertuang</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dalam</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RPJMD/RPD</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dan</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dijabarkan</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dalam</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RKPD;</w:t>
      </w:r>
    </w:p>
    <w:p w14:paraId="71C9341E" w14:textId="1057589A" w:rsidR="00B15BAC" w:rsidRPr="00361FD8" w:rsidRDefault="00B15BAC">
      <w:pPr>
        <w:pStyle w:val="ListParagraph"/>
        <w:numPr>
          <w:ilvl w:val="0"/>
          <w:numId w:val="130"/>
        </w:numPr>
        <w:spacing w:before="60" w:after="0" w:line="276" w:lineRule="auto"/>
        <w:ind w:left="3686" w:hanging="425"/>
        <w:contextualSpacing w:val="0"/>
        <w:jc w:val="both"/>
        <w:rPr>
          <w:rFonts w:ascii="Bookman Old Style" w:hAnsi="Bookman Old Style" w:cs="Arial"/>
          <w:sz w:val="24"/>
          <w:szCs w:val="24"/>
          <w:lang w:val="fr-FR"/>
        </w:rPr>
      </w:pPr>
      <w:r w:rsidRPr="00361FD8">
        <w:rPr>
          <w:rFonts w:ascii="Bookman Old Style" w:hAnsi="Bookman Old Style" w:cs="Arial"/>
          <w:sz w:val="24"/>
          <w:szCs w:val="24"/>
          <w:lang w:val="fr-FR"/>
        </w:rPr>
        <w:t>tujuan</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kegiatannya</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tidak</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termasuk</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dalam</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kriteria</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hibah</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dan</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bantuan</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sosial;</w:t>
      </w:r>
    </w:p>
    <w:p w14:paraId="4EE14966" w14:textId="2A2F7C00" w:rsidR="00B15BAC" w:rsidRPr="00361FD8" w:rsidRDefault="00B15BAC">
      <w:pPr>
        <w:pStyle w:val="ListParagraph"/>
        <w:numPr>
          <w:ilvl w:val="0"/>
          <w:numId w:val="130"/>
        </w:numPr>
        <w:spacing w:before="60" w:after="0" w:line="276" w:lineRule="auto"/>
        <w:ind w:left="3686" w:hanging="425"/>
        <w:contextualSpacing w:val="0"/>
        <w:jc w:val="both"/>
        <w:rPr>
          <w:rFonts w:ascii="Bookman Old Style" w:hAnsi="Bookman Old Style" w:cs="Arial"/>
          <w:sz w:val="24"/>
          <w:szCs w:val="24"/>
          <w:lang w:val="fr-FR"/>
        </w:rPr>
      </w:pPr>
      <w:r w:rsidRPr="00361FD8">
        <w:rPr>
          <w:rFonts w:ascii="Bookman Old Style" w:hAnsi="Bookman Old Style" w:cs="Arial"/>
          <w:sz w:val="24"/>
          <w:szCs w:val="24"/>
          <w:lang w:val="fr-FR"/>
        </w:rPr>
        <w:t>memiliki</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data</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dan</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informasi</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yang</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telah</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diverifikasi</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oleh</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SKPD</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terkait;</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dan</w:t>
      </w:r>
    </w:p>
    <w:p w14:paraId="33C9BA7A" w14:textId="49A35D74" w:rsidR="00B15BAC" w:rsidRPr="00361FD8" w:rsidRDefault="00B15BAC">
      <w:pPr>
        <w:pStyle w:val="ListParagraph"/>
        <w:numPr>
          <w:ilvl w:val="0"/>
          <w:numId w:val="130"/>
        </w:numPr>
        <w:spacing w:before="60" w:after="0" w:line="276" w:lineRule="auto"/>
        <w:ind w:left="3686" w:hanging="425"/>
        <w:contextualSpacing w:val="0"/>
        <w:jc w:val="both"/>
        <w:rPr>
          <w:rFonts w:ascii="Bookman Old Style" w:hAnsi="Bookman Old Style" w:cs="Arial"/>
          <w:sz w:val="24"/>
          <w:szCs w:val="24"/>
        </w:rPr>
      </w:pPr>
      <w:r w:rsidRPr="00450E86">
        <w:rPr>
          <w:rFonts w:ascii="Bookman Old Style" w:hAnsi="Bookman Old Style" w:cs="Arial"/>
          <w:sz w:val="24"/>
          <w:szCs w:val="24"/>
          <w:lang w:val="fr-FR"/>
        </w:rPr>
        <w:t>usulan</w:t>
      </w:r>
      <w:r w:rsidR="00A954D0">
        <w:rPr>
          <w:rFonts w:ascii="Bookman Old Style" w:hAnsi="Bookman Old Style" w:cs="Arial"/>
          <w:sz w:val="24"/>
          <w:szCs w:val="24"/>
          <w:lang w:val="fr-FR"/>
        </w:rPr>
        <w:t xml:space="preserve"> </w:t>
      </w:r>
      <w:r w:rsidRPr="00450E86">
        <w:rPr>
          <w:rFonts w:ascii="Bookman Old Style" w:hAnsi="Bookman Old Style" w:cs="Arial"/>
          <w:sz w:val="24"/>
          <w:szCs w:val="24"/>
          <w:lang w:val="fr-FR"/>
        </w:rPr>
        <w:t>atas</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barang,</w:t>
      </w:r>
      <w:r w:rsidR="00A954D0">
        <w:rPr>
          <w:rFonts w:ascii="Bookman Old Style" w:hAnsi="Bookman Old Style" w:cs="Arial"/>
          <w:sz w:val="24"/>
          <w:szCs w:val="24"/>
          <w:lang w:val="fr-FR"/>
        </w:rPr>
        <w:t xml:space="preserve"> </w:t>
      </w:r>
      <w:r w:rsidRPr="00361FD8">
        <w:rPr>
          <w:rFonts w:ascii="Bookman Old Style" w:hAnsi="Bookman Old Style" w:cs="Arial"/>
          <w:sz w:val="24"/>
          <w:szCs w:val="24"/>
          <w:lang w:val="fr-FR"/>
        </w:rPr>
        <w:t>u</w:t>
      </w:r>
      <w:r w:rsidRPr="00450E86">
        <w:rPr>
          <w:rFonts w:ascii="Bookman Old Style" w:hAnsi="Bookman Old Style" w:cs="Arial"/>
          <w:sz w:val="24"/>
          <w:szCs w:val="24"/>
          <w:lang w:val="fr-FR"/>
        </w:rPr>
        <w:t>ang</w:t>
      </w:r>
      <w:r w:rsidR="00A954D0">
        <w:rPr>
          <w:rFonts w:ascii="Bookman Old Style" w:hAnsi="Bookman Old Style" w:cs="Arial"/>
          <w:sz w:val="24"/>
          <w:szCs w:val="24"/>
          <w:lang w:val="fr-FR"/>
        </w:rPr>
        <w:t xml:space="preserve"> </w:t>
      </w:r>
      <w:r w:rsidRPr="00450E86">
        <w:rPr>
          <w:rFonts w:ascii="Bookman Old Style" w:hAnsi="Bookman Old Style" w:cs="Arial"/>
          <w:sz w:val="24"/>
          <w:szCs w:val="24"/>
          <w:lang w:val="fr-FR"/>
        </w:rPr>
        <w:t>dan/atau</w:t>
      </w:r>
      <w:r w:rsidR="00A954D0">
        <w:rPr>
          <w:rFonts w:ascii="Bookman Old Style" w:hAnsi="Bookman Old Style" w:cs="Arial"/>
          <w:sz w:val="24"/>
          <w:szCs w:val="24"/>
          <w:lang w:val="fr-FR"/>
        </w:rPr>
        <w:t xml:space="preserve"> </w:t>
      </w:r>
      <w:r w:rsidRPr="00450E86">
        <w:rPr>
          <w:rFonts w:ascii="Bookman Old Style" w:hAnsi="Bookman Old Style" w:cs="Arial"/>
          <w:sz w:val="24"/>
          <w:szCs w:val="24"/>
          <w:lang w:val="fr-FR"/>
        </w:rPr>
        <w:t>jasa</w:t>
      </w:r>
      <w:r w:rsidR="00A954D0">
        <w:rPr>
          <w:rFonts w:ascii="Bookman Old Style" w:hAnsi="Bookman Old Style" w:cs="Arial"/>
          <w:sz w:val="24"/>
          <w:szCs w:val="24"/>
          <w:lang w:val="fr-FR"/>
        </w:rPr>
        <w:t xml:space="preserve"> </w:t>
      </w:r>
      <w:r w:rsidRPr="00450E86">
        <w:rPr>
          <w:rFonts w:ascii="Bookman Old Style" w:hAnsi="Bookman Old Style" w:cs="Arial"/>
          <w:sz w:val="24"/>
          <w:szCs w:val="24"/>
          <w:lang w:val="fr-FR"/>
        </w:rPr>
        <w:t>dimaksud</w:t>
      </w:r>
      <w:r w:rsidR="00A954D0">
        <w:rPr>
          <w:rFonts w:ascii="Bookman Old Style" w:hAnsi="Bookman Old Style" w:cs="Arial"/>
          <w:sz w:val="24"/>
          <w:szCs w:val="24"/>
        </w:rPr>
        <w:t xml:space="preserve"> </w:t>
      </w:r>
      <w:r w:rsidRPr="00361FD8">
        <w:rPr>
          <w:rFonts w:ascii="Bookman Old Style" w:hAnsi="Bookman Old Style" w:cs="Arial"/>
          <w:sz w:val="24"/>
          <w:szCs w:val="24"/>
        </w:rPr>
        <w:t>dilakukan</w:t>
      </w:r>
      <w:r w:rsidR="00A954D0">
        <w:rPr>
          <w:rFonts w:ascii="Bookman Old Style" w:hAnsi="Bookman Old Style" w:cs="Arial"/>
          <w:sz w:val="24"/>
          <w:szCs w:val="24"/>
        </w:rPr>
        <w:t xml:space="preserve"> </w:t>
      </w:r>
      <w:r w:rsidRPr="00361FD8">
        <w:rPr>
          <w:rFonts w:ascii="Bookman Old Style" w:hAnsi="Bookman Old Style" w:cs="Arial"/>
          <w:sz w:val="24"/>
          <w:szCs w:val="24"/>
        </w:rPr>
        <w:t>oleh</w:t>
      </w:r>
      <w:r w:rsidR="00A954D0">
        <w:rPr>
          <w:rFonts w:ascii="Bookman Old Style" w:hAnsi="Bookman Old Style" w:cs="Arial"/>
          <w:sz w:val="24"/>
          <w:szCs w:val="24"/>
        </w:rPr>
        <w:t xml:space="preserve"> </w:t>
      </w:r>
      <w:r w:rsidRPr="00361FD8">
        <w:rPr>
          <w:rFonts w:ascii="Bookman Old Style" w:hAnsi="Bookman Old Style" w:cs="Arial"/>
          <w:sz w:val="24"/>
          <w:szCs w:val="24"/>
        </w:rPr>
        <w:t>SKPD</w:t>
      </w:r>
      <w:r w:rsidR="00A954D0">
        <w:rPr>
          <w:rFonts w:ascii="Bookman Old Style" w:hAnsi="Bookman Old Style" w:cs="Arial"/>
          <w:sz w:val="24"/>
          <w:szCs w:val="24"/>
        </w:rPr>
        <w:t xml:space="preserve"> </w:t>
      </w:r>
      <w:r w:rsidRPr="00361FD8">
        <w:rPr>
          <w:rFonts w:ascii="Bookman Old Style" w:hAnsi="Bookman Old Style" w:cs="Arial"/>
          <w:sz w:val="24"/>
          <w:szCs w:val="24"/>
        </w:rPr>
        <w:t>terkait</w:t>
      </w:r>
      <w:r w:rsidR="00A954D0">
        <w:rPr>
          <w:rFonts w:ascii="Bookman Old Style" w:hAnsi="Bookman Old Style" w:cs="Arial"/>
          <w:sz w:val="24"/>
          <w:szCs w:val="24"/>
        </w:rPr>
        <w:t xml:space="preserve"> </w:t>
      </w:r>
      <w:r w:rsidRPr="00361FD8">
        <w:rPr>
          <w:rFonts w:ascii="Bookman Old Style" w:hAnsi="Bookman Old Style" w:cs="Arial"/>
          <w:sz w:val="24"/>
          <w:szCs w:val="24"/>
          <w:lang w:val="fr-FR"/>
        </w:rPr>
        <w:t>tanpa</w:t>
      </w:r>
      <w:r w:rsidR="00A954D0">
        <w:rPr>
          <w:rFonts w:ascii="Bookman Old Style" w:hAnsi="Bookman Old Style" w:cs="Arial"/>
          <w:sz w:val="24"/>
          <w:szCs w:val="24"/>
        </w:rPr>
        <w:t xml:space="preserve"> </w:t>
      </w:r>
      <w:r w:rsidRPr="00361FD8">
        <w:rPr>
          <w:rFonts w:ascii="Bookman Old Style" w:hAnsi="Bookman Old Style" w:cs="Arial"/>
          <w:sz w:val="24"/>
          <w:szCs w:val="24"/>
        </w:rPr>
        <w:t>ada</w:t>
      </w:r>
      <w:r w:rsidR="00A954D0">
        <w:rPr>
          <w:rFonts w:ascii="Bookman Old Style" w:hAnsi="Bookman Old Style" w:cs="Arial"/>
          <w:sz w:val="24"/>
          <w:szCs w:val="24"/>
        </w:rPr>
        <w:t xml:space="preserve"> </w:t>
      </w:r>
      <w:r w:rsidRPr="00361FD8">
        <w:rPr>
          <w:rFonts w:ascii="Bookman Old Style" w:hAnsi="Bookman Old Style" w:cs="Arial"/>
          <w:sz w:val="24"/>
          <w:szCs w:val="24"/>
        </w:rPr>
        <w:t>pengajuan</w:t>
      </w:r>
      <w:r w:rsidR="00A954D0">
        <w:rPr>
          <w:rFonts w:ascii="Bookman Old Style" w:hAnsi="Bookman Old Style" w:cs="Arial"/>
          <w:sz w:val="24"/>
          <w:szCs w:val="24"/>
        </w:rPr>
        <w:t xml:space="preserve"> </w:t>
      </w:r>
      <w:r w:rsidRPr="00361FD8">
        <w:rPr>
          <w:rFonts w:ascii="Bookman Old Style" w:hAnsi="Bookman Old Style" w:cs="Arial"/>
          <w:sz w:val="24"/>
          <w:szCs w:val="24"/>
        </w:rPr>
        <w:t>proposal</w:t>
      </w:r>
      <w:r w:rsidR="00A954D0">
        <w:rPr>
          <w:rFonts w:ascii="Bookman Old Style" w:hAnsi="Bookman Old Style" w:cs="Arial"/>
          <w:sz w:val="24"/>
          <w:szCs w:val="24"/>
        </w:rPr>
        <w:t xml:space="preserve"> </w:t>
      </w:r>
      <w:r w:rsidRPr="00361FD8">
        <w:rPr>
          <w:rFonts w:ascii="Bookman Old Style" w:hAnsi="Bookman Old Style" w:cs="Arial"/>
          <w:sz w:val="24"/>
          <w:szCs w:val="24"/>
        </w:rPr>
        <w:t>dari</w:t>
      </w:r>
      <w:r w:rsidR="00A954D0">
        <w:rPr>
          <w:rFonts w:ascii="Bookman Old Style" w:hAnsi="Bookman Old Style" w:cs="Arial"/>
          <w:sz w:val="24"/>
          <w:szCs w:val="24"/>
        </w:rPr>
        <w:t xml:space="preserve"> </w:t>
      </w:r>
      <w:r w:rsidRPr="00361FD8">
        <w:rPr>
          <w:rFonts w:ascii="Bookman Old Style" w:hAnsi="Bookman Old Style" w:cs="Arial"/>
          <w:sz w:val="24"/>
          <w:szCs w:val="24"/>
        </w:rPr>
        <w:t>calon</w:t>
      </w:r>
      <w:r w:rsidR="00A954D0">
        <w:rPr>
          <w:rFonts w:ascii="Bookman Old Style" w:hAnsi="Bookman Old Style" w:cs="Arial"/>
          <w:sz w:val="24"/>
          <w:szCs w:val="24"/>
        </w:rPr>
        <w:t xml:space="preserve"> </w:t>
      </w:r>
      <w:r w:rsidRPr="00361FD8">
        <w:rPr>
          <w:rFonts w:ascii="Bookman Old Style" w:hAnsi="Bookman Old Style" w:cs="Arial"/>
          <w:sz w:val="24"/>
          <w:szCs w:val="24"/>
        </w:rPr>
        <w:t>penerima</w:t>
      </w:r>
      <w:r w:rsidR="008B21D9">
        <w:rPr>
          <w:rFonts w:ascii="Bookman Old Style" w:hAnsi="Bookman Old Style" w:cs="Arial"/>
          <w:sz w:val="24"/>
          <w:szCs w:val="24"/>
          <w:lang w:val="fr-FR"/>
        </w:rPr>
        <w:t>.</w:t>
      </w:r>
    </w:p>
    <w:p w14:paraId="3C1DB3E7" w14:textId="1B44FD7D" w:rsidR="009A0467" w:rsidRDefault="008B21D9" w:rsidP="00355834">
      <w:pPr>
        <w:pStyle w:val="ListParagraph"/>
        <w:spacing w:before="60" w:after="0" w:line="276" w:lineRule="auto"/>
        <w:ind w:left="3261"/>
        <w:contextualSpacing w:val="0"/>
        <w:jc w:val="both"/>
        <w:rPr>
          <w:rFonts w:ascii="Bookman Old Style" w:hAnsi="Bookman Old Style" w:cs="Arial"/>
          <w:sz w:val="24"/>
          <w:szCs w:val="24"/>
          <w:lang w:val="sv-FI"/>
        </w:rPr>
      </w:pPr>
      <w:r>
        <w:rPr>
          <w:rFonts w:ascii="Bookman Old Style" w:hAnsi="Bookman Old Style" w:cs="Arial"/>
          <w:sz w:val="24"/>
          <w:szCs w:val="24"/>
          <w:lang w:val="fr-FR"/>
        </w:rPr>
        <w:t>S</w:t>
      </w:r>
      <w:r w:rsidR="00B15BAC" w:rsidRPr="00361FD8">
        <w:rPr>
          <w:rFonts w:ascii="Bookman Old Style" w:hAnsi="Bookman Old Style" w:cs="Arial"/>
          <w:sz w:val="24"/>
          <w:szCs w:val="24"/>
          <w:lang w:val="fr-FR"/>
        </w:rPr>
        <w:t>ebagaimana</w:t>
      </w:r>
      <w:r w:rsidR="00A954D0">
        <w:rPr>
          <w:rFonts w:ascii="Bookman Old Style" w:hAnsi="Bookman Old Style" w:cs="Arial"/>
          <w:sz w:val="24"/>
          <w:szCs w:val="24"/>
          <w:lang w:val="it-IT"/>
        </w:rPr>
        <w:t xml:space="preserve"> </w:t>
      </w:r>
      <w:r w:rsidR="00B15BAC" w:rsidRPr="00361FD8">
        <w:rPr>
          <w:rFonts w:ascii="Bookman Old Style" w:hAnsi="Bookman Old Style" w:cs="Arial"/>
          <w:sz w:val="24"/>
          <w:szCs w:val="24"/>
          <w:lang w:val="it-IT"/>
        </w:rPr>
        <w:t>maksud</w:t>
      </w:r>
      <w:r w:rsidR="00A954D0">
        <w:rPr>
          <w:rFonts w:ascii="Bookman Old Style" w:hAnsi="Bookman Old Style" w:cs="Arial"/>
          <w:sz w:val="24"/>
          <w:szCs w:val="24"/>
          <w:lang w:val="it-IT"/>
        </w:rPr>
        <w:t xml:space="preserve"> </w:t>
      </w:r>
      <w:r w:rsidR="00B15BAC" w:rsidRPr="00361FD8">
        <w:rPr>
          <w:rFonts w:ascii="Bookman Old Style" w:hAnsi="Bookman Old Style"/>
          <w:sz w:val="24"/>
          <w:szCs w:val="24"/>
          <w:lang w:val="id-ID"/>
        </w:rPr>
        <w:t>butir</w:t>
      </w:r>
      <w:r w:rsidR="00A954D0">
        <w:rPr>
          <w:rFonts w:ascii="Bookman Old Style" w:hAnsi="Bookman Old Style"/>
          <w:sz w:val="24"/>
          <w:szCs w:val="24"/>
          <w:lang w:val="id-ID"/>
        </w:rPr>
        <w:t xml:space="preserve"> </w:t>
      </w:r>
      <w:r w:rsidR="00B15BAC" w:rsidRPr="00361FD8">
        <w:rPr>
          <w:rFonts w:ascii="Bookman Old Style" w:hAnsi="Bookman Old Style"/>
          <w:sz w:val="24"/>
          <w:szCs w:val="24"/>
          <w:lang w:val="it-IT"/>
        </w:rPr>
        <w:t>3.4.1.2.5.d</w:t>
      </w:r>
      <w:r w:rsidR="00A954D0">
        <w:rPr>
          <w:rFonts w:ascii="Bookman Old Style" w:hAnsi="Bookman Old Style"/>
          <w:sz w:val="24"/>
          <w:szCs w:val="24"/>
          <w:lang w:val="it-IT"/>
        </w:rPr>
        <w:t xml:space="preserve"> </w:t>
      </w:r>
      <w:r w:rsidR="00B15BAC" w:rsidRPr="00361FD8">
        <w:rPr>
          <w:rFonts w:ascii="Bookman Old Style" w:hAnsi="Bookman Old Style" w:cs="Arial"/>
          <w:sz w:val="24"/>
          <w:szCs w:val="24"/>
          <w:lang w:val="it-IT"/>
        </w:rPr>
        <w:t>Lampiran</w:t>
      </w:r>
      <w:r w:rsidR="00A954D0">
        <w:rPr>
          <w:rFonts w:ascii="Bookman Old Style" w:hAnsi="Bookman Old Style" w:cs="Arial"/>
          <w:sz w:val="24"/>
          <w:szCs w:val="24"/>
          <w:lang w:val="it-IT"/>
        </w:rPr>
        <w:t xml:space="preserve"> </w:t>
      </w:r>
      <w:r w:rsidR="00B15BAC" w:rsidRPr="00361FD8">
        <w:rPr>
          <w:rFonts w:ascii="Bookman Old Style" w:hAnsi="Bookman Old Style" w:cs="Arial"/>
          <w:sz w:val="24"/>
          <w:szCs w:val="24"/>
          <w:lang w:val="it-IT"/>
        </w:rPr>
        <w:t>Peraturan</w:t>
      </w:r>
      <w:r w:rsidR="00A954D0">
        <w:rPr>
          <w:rFonts w:ascii="Bookman Old Style" w:hAnsi="Bookman Old Style" w:cs="Arial"/>
          <w:sz w:val="24"/>
          <w:szCs w:val="24"/>
          <w:lang w:val="it-IT"/>
        </w:rPr>
        <w:t xml:space="preserve"> </w:t>
      </w:r>
      <w:r w:rsidR="00B15BAC" w:rsidRPr="00361FD8">
        <w:rPr>
          <w:rFonts w:ascii="Bookman Old Style" w:hAnsi="Bookman Old Style" w:cs="Arial"/>
          <w:sz w:val="24"/>
          <w:szCs w:val="24"/>
          <w:lang w:val="it-IT"/>
        </w:rPr>
        <w:t>Menteri</w:t>
      </w:r>
      <w:r w:rsidR="00A954D0">
        <w:rPr>
          <w:rFonts w:ascii="Bookman Old Style" w:hAnsi="Bookman Old Style" w:cs="Arial"/>
          <w:sz w:val="24"/>
          <w:szCs w:val="24"/>
          <w:lang w:val="it-IT"/>
        </w:rPr>
        <w:t xml:space="preserve"> </w:t>
      </w:r>
      <w:r w:rsidR="00B15BAC" w:rsidRPr="00361FD8">
        <w:rPr>
          <w:rFonts w:ascii="Bookman Old Style" w:hAnsi="Bookman Old Style" w:cs="Arial"/>
          <w:sz w:val="24"/>
          <w:szCs w:val="24"/>
          <w:lang w:val="it-IT"/>
        </w:rPr>
        <w:t>Dalam</w:t>
      </w:r>
      <w:r w:rsidR="00A954D0">
        <w:rPr>
          <w:rFonts w:ascii="Bookman Old Style" w:hAnsi="Bookman Old Style" w:cs="Arial"/>
          <w:sz w:val="24"/>
          <w:szCs w:val="24"/>
          <w:lang w:val="it-IT"/>
        </w:rPr>
        <w:t xml:space="preserve"> </w:t>
      </w:r>
      <w:r w:rsidR="00B15BAC" w:rsidRPr="00361FD8">
        <w:rPr>
          <w:rFonts w:ascii="Bookman Old Style" w:hAnsi="Bookman Old Style" w:cs="Arial"/>
          <w:sz w:val="24"/>
          <w:szCs w:val="24"/>
          <w:lang w:val="it-IT"/>
        </w:rPr>
        <w:t>Negeri</w:t>
      </w:r>
      <w:r w:rsidR="00A954D0">
        <w:rPr>
          <w:rFonts w:ascii="Bookman Old Style" w:hAnsi="Bookman Old Style" w:cs="Arial"/>
          <w:sz w:val="24"/>
          <w:szCs w:val="24"/>
          <w:lang w:val="it-IT"/>
        </w:rPr>
        <w:t xml:space="preserve"> </w:t>
      </w:r>
      <w:r w:rsidR="00B15BAC" w:rsidRPr="00361FD8">
        <w:rPr>
          <w:rFonts w:ascii="Bookman Old Style" w:hAnsi="Bookman Old Style" w:cs="Arial"/>
          <w:sz w:val="24"/>
          <w:szCs w:val="24"/>
          <w:lang w:val="it-IT"/>
        </w:rPr>
        <w:t>Nomor</w:t>
      </w:r>
      <w:r w:rsidR="00A954D0">
        <w:rPr>
          <w:rFonts w:ascii="Bookman Old Style" w:hAnsi="Bookman Old Style" w:cs="Arial"/>
          <w:sz w:val="24"/>
          <w:szCs w:val="24"/>
          <w:lang w:val="it-IT"/>
        </w:rPr>
        <w:t xml:space="preserve"> </w:t>
      </w:r>
      <w:r w:rsidR="00B15BAC" w:rsidRPr="00361FD8">
        <w:rPr>
          <w:rFonts w:ascii="Bookman Old Style" w:hAnsi="Bookman Old Style" w:cs="Arial"/>
          <w:sz w:val="24"/>
          <w:szCs w:val="24"/>
          <w:lang w:val="it-IT"/>
        </w:rPr>
        <w:t>15</w:t>
      </w:r>
      <w:r w:rsidR="00A954D0">
        <w:rPr>
          <w:rFonts w:ascii="Bookman Old Style" w:hAnsi="Bookman Old Style" w:cs="Arial"/>
          <w:sz w:val="24"/>
          <w:szCs w:val="24"/>
          <w:lang w:val="it-IT"/>
        </w:rPr>
        <w:t xml:space="preserve"> </w:t>
      </w:r>
      <w:r w:rsidR="00B15BAC" w:rsidRPr="00361FD8">
        <w:rPr>
          <w:rFonts w:ascii="Bookman Old Style" w:hAnsi="Bookman Old Style" w:cs="Arial"/>
          <w:sz w:val="24"/>
          <w:szCs w:val="24"/>
          <w:lang w:val="it-IT"/>
        </w:rPr>
        <w:t>Tahun</w:t>
      </w:r>
      <w:r w:rsidR="00A954D0">
        <w:rPr>
          <w:rFonts w:ascii="Bookman Old Style" w:hAnsi="Bookman Old Style" w:cs="Arial"/>
          <w:sz w:val="24"/>
          <w:szCs w:val="24"/>
          <w:lang w:val="it-IT"/>
        </w:rPr>
        <w:t xml:space="preserve"> </w:t>
      </w:r>
      <w:r w:rsidR="00B15BAC" w:rsidRPr="00361FD8">
        <w:rPr>
          <w:rFonts w:ascii="Bookman Old Style" w:hAnsi="Bookman Old Style" w:cs="Arial"/>
          <w:sz w:val="24"/>
          <w:szCs w:val="24"/>
          <w:lang w:val="it-IT"/>
        </w:rPr>
        <w:t>2024</w:t>
      </w:r>
      <w:r w:rsidR="009A0467" w:rsidRPr="00256727">
        <w:rPr>
          <w:rFonts w:ascii="Bookman Old Style" w:hAnsi="Bookman Old Style" w:cs="Arial"/>
          <w:sz w:val="24"/>
          <w:szCs w:val="24"/>
          <w:lang w:val="sv-FI"/>
        </w:rPr>
        <w:t>.</w:t>
      </w:r>
    </w:p>
    <w:p w14:paraId="47BED286" w14:textId="51EA6C24" w:rsidR="003B7FE4" w:rsidRPr="001F068E" w:rsidRDefault="003B7FE4" w:rsidP="008B21D9">
      <w:pPr>
        <w:pStyle w:val="ListParagraph"/>
        <w:numPr>
          <w:ilvl w:val="0"/>
          <w:numId w:val="26"/>
        </w:numPr>
        <w:spacing w:before="60" w:after="0" w:line="276" w:lineRule="auto"/>
        <w:ind w:left="2268" w:hanging="567"/>
        <w:contextualSpacing w:val="0"/>
        <w:jc w:val="both"/>
        <w:rPr>
          <w:rFonts w:ascii="Bookman Old Style" w:hAnsi="Bookman Old Style"/>
          <w:sz w:val="24"/>
          <w:szCs w:val="24"/>
        </w:rPr>
      </w:pPr>
      <w:r w:rsidRPr="001F068E">
        <w:rPr>
          <w:rFonts w:ascii="Bookman Old Style" w:hAnsi="Bookman Old Style"/>
          <w:sz w:val="24"/>
          <w:szCs w:val="24"/>
        </w:rPr>
        <w:t>Belanja</w:t>
      </w:r>
      <w:r w:rsidR="00A954D0">
        <w:rPr>
          <w:rFonts w:ascii="Bookman Old Style" w:hAnsi="Bookman Old Style"/>
          <w:sz w:val="24"/>
          <w:szCs w:val="24"/>
        </w:rPr>
        <w:t xml:space="preserve"> </w:t>
      </w:r>
      <w:r w:rsidRPr="001F068E">
        <w:rPr>
          <w:rFonts w:ascii="Bookman Old Style" w:hAnsi="Bookman Old Style"/>
          <w:sz w:val="24"/>
          <w:szCs w:val="24"/>
        </w:rPr>
        <w:t>Jasa</w:t>
      </w:r>
    </w:p>
    <w:p w14:paraId="7E9F2C27" w14:textId="20001DED" w:rsidR="003B7FE4" w:rsidRPr="001F068E" w:rsidRDefault="003B7FE4" w:rsidP="008B21D9">
      <w:pPr>
        <w:pStyle w:val="ListParagraph"/>
        <w:spacing w:before="60" w:after="0" w:line="276" w:lineRule="auto"/>
        <w:ind w:left="2268"/>
        <w:contextualSpacing w:val="0"/>
        <w:jc w:val="both"/>
        <w:rPr>
          <w:rFonts w:ascii="Bookman Old Style" w:hAnsi="Bookman Old Style"/>
          <w:sz w:val="24"/>
          <w:szCs w:val="24"/>
        </w:rPr>
      </w:pPr>
      <w:r w:rsidRPr="001F068E">
        <w:rPr>
          <w:rFonts w:ascii="Bookman Old Style" w:hAnsi="Bookman Old Style"/>
          <w:sz w:val="24"/>
          <w:szCs w:val="24"/>
          <w:lang w:val="en-US"/>
        </w:rPr>
        <w:t>Penganggaran</w:t>
      </w:r>
      <w:r w:rsidR="00A954D0">
        <w:rPr>
          <w:rFonts w:ascii="Bookman Old Style" w:hAnsi="Bookman Old Style"/>
          <w:sz w:val="24"/>
          <w:szCs w:val="24"/>
          <w:lang w:val="en-US"/>
        </w:rPr>
        <w:t xml:space="preserve"> </w:t>
      </w:r>
      <w:r w:rsidRPr="001F068E">
        <w:rPr>
          <w:rFonts w:ascii="Bookman Old Style" w:hAnsi="Bookman Old Style"/>
          <w:sz w:val="24"/>
          <w:szCs w:val="24"/>
          <w:lang w:val="en-US"/>
        </w:rPr>
        <w:t>Belanja</w:t>
      </w:r>
      <w:r w:rsidR="00A954D0">
        <w:rPr>
          <w:rFonts w:ascii="Bookman Old Style" w:hAnsi="Bookman Old Style"/>
          <w:sz w:val="24"/>
          <w:szCs w:val="24"/>
          <w:lang w:val="en-US"/>
        </w:rPr>
        <w:t xml:space="preserve"> </w:t>
      </w:r>
      <w:r w:rsidRPr="001F068E">
        <w:rPr>
          <w:rFonts w:ascii="Bookman Old Style" w:hAnsi="Bookman Old Style"/>
          <w:sz w:val="24"/>
          <w:szCs w:val="24"/>
          <w:lang w:val="en-US"/>
        </w:rPr>
        <w:t>Jasa</w:t>
      </w:r>
      <w:r w:rsidR="00A954D0">
        <w:rPr>
          <w:rFonts w:ascii="Bookman Old Style" w:hAnsi="Bookman Old Style"/>
          <w:sz w:val="24"/>
          <w:szCs w:val="24"/>
          <w:lang w:val="en-US"/>
        </w:rPr>
        <w:t xml:space="preserve"> </w:t>
      </w:r>
      <w:r w:rsidR="006737A7" w:rsidRPr="001F068E">
        <w:rPr>
          <w:rFonts w:ascii="Bookman Old Style" w:hAnsi="Bookman Old Style"/>
          <w:sz w:val="24"/>
          <w:szCs w:val="24"/>
          <w:lang w:val="en-US"/>
        </w:rPr>
        <w:t>Rp1.189.431.548.328,00</w:t>
      </w:r>
      <w:r w:rsidR="00A954D0">
        <w:rPr>
          <w:rFonts w:ascii="Bookman Old Style" w:hAnsi="Bookman Old Style"/>
          <w:sz w:val="24"/>
          <w:szCs w:val="24"/>
          <w:lang w:val="en-US"/>
        </w:rPr>
        <w:t xml:space="preserve"> </w:t>
      </w:r>
      <w:r w:rsidR="006737A7" w:rsidRPr="001F068E">
        <w:rPr>
          <w:rFonts w:ascii="Bookman Old Style" w:hAnsi="Bookman Old Style"/>
          <w:sz w:val="24"/>
          <w:szCs w:val="24"/>
          <w:lang w:val="en-US"/>
        </w:rPr>
        <w:t>atau</w:t>
      </w:r>
      <w:r w:rsidR="00A954D0">
        <w:rPr>
          <w:rFonts w:ascii="Bookman Old Style" w:hAnsi="Bookman Old Style"/>
          <w:sz w:val="24"/>
          <w:szCs w:val="24"/>
          <w:lang w:val="en-US"/>
        </w:rPr>
        <w:t xml:space="preserve"> </w:t>
      </w:r>
      <w:r w:rsidR="006737A7" w:rsidRPr="001F068E">
        <w:rPr>
          <w:rFonts w:ascii="Bookman Old Style" w:hAnsi="Bookman Old Style"/>
          <w:sz w:val="24"/>
          <w:szCs w:val="24"/>
          <w:lang w:val="en-US"/>
        </w:rPr>
        <w:t>20,84%</w:t>
      </w:r>
      <w:r w:rsidR="00A954D0">
        <w:rPr>
          <w:rFonts w:ascii="Bookman Old Style" w:hAnsi="Bookman Old Style"/>
          <w:sz w:val="24"/>
          <w:szCs w:val="24"/>
          <w:lang w:val="en-US"/>
        </w:rPr>
        <w:t xml:space="preserve"> </w:t>
      </w:r>
      <w:r w:rsidRPr="001F068E">
        <w:rPr>
          <w:rFonts w:ascii="Bookman Old Style" w:hAnsi="Bookman Old Style"/>
          <w:sz w:val="24"/>
          <w:szCs w:val="24"/>
        </w:rPr>
        <w:t>dari</w:t>
      </w:r>
      <w:r w:rsidR="00A954D0">
        <w:rPr>
          <w:rFonts w:ascii="Bookman Old Style" w:hAnsi="Bookman Old Style"/>
          <w:sz w:val="24"/>
          <w:szCs w:val="24"/>
        </w:rPr>
        <w:t xml:space="preserve"> </w:t>
      </w:r>
      <w:r w:rsidRPr="001F068E">
        <w:rPr>
          <w:rFonts w:ascii="Bookman Old Style" w:hAnsi="Bookman Old Style"/>
          <w:sz w:val="24"/>
          <w:szCs w:val="24"/>
        </w:rPr>
        <w:t>total</w:t>
      </w:r>
      <w:r w:rsidR="00A954D0">
        <w:rPr>
          <w:rFonts w:ascii="Bookman Old Style" w:hAnsi="Bookman Old Style"/>
          <w:sz w:val="24"/>
          <w:szCs w:val="24"/>
        </w:rPr>
        <w:t xml:space="preserve"> </w:t>
      </w:r>
      <w:r w:rsidRPr="001F068E">
        <w:rPr>
          <w:rFonts w:ascii="Bookman Old Style" w:hAnsi="Bookman Old Style"/>
          <w:sz w:val="24"/>
          <w:szCs w:val="24"/>
        </w:rPr>
        <w:t>belanja</w:t>
      </w:r>
      <w:r w:rsidR="00A954D0">
        <w:rPr>
          <w:rFonts w:ascii="Bookman Old Style" w:hAnsi="Bookman Old Style"/>
          <w:sz w:val="24"/>
          <w:szCs w:val="24"/>
        </w:rPr>
        <w:t xml:space="preserve"> </w:t>
      </w:r>
      <w:r w:rsidRPr="001F068E">
        <w:rPr>
          <w:rFonts w:ascii="Bookman Old Style" w:hAnsi="Bookman Old Style"/>
          <w:sz w:val="24"/>
          <w:szCs w:val="24"/>
        </w:rPr>
        <w:t>daerah</w:t>
      </w:r>
      <w:r w:rsidR="00A954D0">
        <w:rPr>
          <w:rFonts w:ascii="Bookman Old Style" w:hAnsi="Bookman Old Style"/>
          <w:sz w:val="24"/>
          <w:szCs w:val="24"/>
        </w:rPr>
        <w:t xml:space="preserve"> </w:t>
      </w:r>
      <w:r w:rsidRPr="001F068E">
        <w:rPr>
          <w:rFonts w:ascii="Bookman Old Style" w:hAnsi="Bookman Old Style"/>
          <w:sz w:val="24"/>
          <w:szCs w:val="24"/>
        </w:rPr>
        <w:t>dalam</w:t>
      </w:r>
      <w:r w:rsidR="00A954D0">
        <w:rPr>
          <w:rFonts w:ascii="Bookman Old Style" w:hAnsi="Bookman Old Style"/>
          <w:sz w:val="24"/>
          <w:szCs w:val="24"/>
        </w:rPr>
        <w:t xml:space="preserve"> </w:t>
      </w:r>
      <w:r w:rsidRPr="001F068E">
        <w:rPr>
          <w:rFonts w:ascii="Bookman Old Style" w:hAnsi="Bookman Old Style"/>
          <w:sz w:val="24"/>
          <w:szCs w:val="24"/>
        </w:rPr>
        <w:t>Rancangan</w:t>
      </w:r>
      <w:r w:rsidR="00A954D0">
        <w:rPr>
          <w:rFonts w:ascii="Bookman Old Style" w:hAnsi="Bookman Old Style"/>
          <w:sz w:val="24"/>
          <w:szCs w:val="24"/>
        </w:rPr>
        <w:t xml:space="preserve"> </w:t>
      </w:r>
      <w:r w:rsidRPr="001F068E">
        <w:rPr>
          <w:rFonts w:ascii="Bookman Old Style" w:hAnsi="Bookman Old Style"/>
          <w:sz w:val="24"/>
          <w:szCs w:val="24"/>
        </w:rPr>
        <w:t>Peraturan</w:t>
      </w:r>
      <w:r w:rsidR="00A954D0">
        <w:rPr>
          <w:rFonts w:ascii="Bookman Old Style" w:hAnsi="Bookman Old Style"/>
          <w:sz w:val="24"/>
          <w:szCs w:val="24"/>
        </w:rPr>
        <w:t xml:space="preserve"> </w:t>
      </w:r>
      <w:r w:rsidRPr="001F068E">
        <w:rPr>
          <w:rFonts w:ascii="Bookman Old Style" w:hAnsi="Bookman Old Style"/>
          <w:sz w:val="24"/>
          <w:szCs w:val="24"/>
        </w:rPr>
        <w:t>Daerah</w:t>
      </w:r>
      <w:r w:rsidR="00A954D0">
        <w:rPr>
          <w:rFonts w:ascii="Bookman Old Style" w:hAnsi="Bookman Old Style"/>
          <w:sz w:val="24"/>
          <w:szCs w:val="24"/>
        </w:rPr>
        <w:t xml:space="preserve"> </w:t>
      </w:r>
      <w:r w:rsidR="00B055C5" w:rsidRPr="001F068E">
        <w:rPr>
          <w:rFonts w:ascii="Bookman Old Style" w:hAnsi="Bookman Old Style"/>
          <w:sz w:val="24"/>
          <w:szCs w:val="24"/>
        </w:rPr>
        <w:t>Kota</w:t>
      </w:r>
      <w:r w:rsidR="00A954D0">
        <w:rPr>
          <w:rFonts w:ascii="Bookman Old Style" w:hAnsi="Bookman Old Style"/>
          <w:sz w:val="24"/>
          <w:szCs w:val="24"/>
        </w:rPr>
        <w:t xml:space="preserve"> </w:t>
      </w:r>
      <w:r w:rsidR="00770F22" w:rsidRPr="001F068E">
        <w:rPr>
          <w:rFonts w:ascii="Bookman Old Style" w:hAnsi="Bookman Old Style"/>
          <w:sz w:val="24"/>
          <w:szCs w:val="24"/>
        </w:rPr>
        <w:t>Tangerang</w:t>
      </w:r>
      <w:r w:rsidR="00A954D0">
        <w:rPr>
          <w:rFonts w:ascii="Bookman Old Style" w:hAnsi="Bookman Old Style"/>
          <w:sz w:val="24"/>
          <w:szCs w:val="24"/>
        </w:rPr>
        <w:t xml:space="preserve"> </w:t>
      </w:r>
      <w:r w:rsidR="00BE6ED9" w:rsidRPr="001F068E">
        <w:rPr>
          <w:rFonts w:ascii="Bookman Old Style" w:hAnsi="Bookman Old Style"/>
          <w:sz w:val="24"/>
          <w:szCs w:val="24"/>
        </w:rPr>
        <w:t>tentang</w:t>
      </w:r>
      <w:r w:rsidR="00A954D0">
        <w:rPr>
          <w:rFonts w:ascii="Bookman Old Style" w:hAnsi="Bookman Old Style"/>
          <w:sz w:val="24"/>
          <w:szCs w:val="24"/>
        </w:rPr>
        <w:t xml:space="preserve"> </w:t>
      </w:r>
      <w:r w:rsidR="00BE6ED9" w:rsidRPr="001F068E">
        <w:rPr>
          <w:rFonts w:ascii="Bookman Old Style" w:hAnsi="Bookman Old Style"/>
          <w:sz w:val="24"/>
          <w:szCs w:val="24"/>
        </w:rPr>
        <w:t>APBD</w:t>
      </w:r>
      <w:r w:rsidR="00A954D0">
        <w:rPr>
          <w:rFonts w:ascii="Bookman Old Style" w:hAnsi="Bookman Old Style"/>
          <w:sz w:val="24"/>
          <w:szCs w:val="24"/>
        </w:rPr>
        <w:t xml:space="preserve"> </w:t>
      </w:r>
      <w:r w:rsidRPr="001F068E">
        <w:rPr>
          <w:rFonts w:ascii="Bookman Old Style" w:hAnsi="Bookman Old Style"/>
          <w:sz w:val="24"/>
          <w:szCs w:val="24"/>
        </w:rPr>
        <w:t>Tahun</w:t>
      </w:r>
      <w:r w:rsidR="00A954D0">
        <w:rPr>
          <w:rFonts w:ascii="Bookman Old Style" w:hAnsi="Bookman Old Style"/>
          <w:sz w:val="24"/>
          <w:szCs w:val="24"/>
        </w:rPr>
        <w:t xml:space="preserve"> </w:t>
      </w:r>
      <w:r w:rsidRPr="001F068E">
        <w:rPr>
          <w:rFonts w:ascii="Bookman Old Style" w:hAnsi="Bookman Old Style"/>
          <w:sz w:val="24"/>
          <w:szCs w:val="24"/>
        </w:rPr>
        <w:t>Anggaran</w:t>
      </w:r>
      <w:r w:rsidR="00A954D0">
        <w:rPr>
          <w:rFonts w:ascii="Bookman Old Style" w:hAnsi="Bookman Old Style"/>
          <w:sz w:val="24"/>
          <w:szCs w:val="24"/>
        </w:rPr>
        <w:t xml:space="preserve"> </w:t>
      </w:r>
      <w:r w:rsidRPr="001F068E">
        <w:rPr>
          <w:rFonts w:ascii="Bookman Old Style" w:hAnsi="Bookman Old Style"/>
          <w:sz w:val="24"/>
          <w:szCs w:val="24"/>
        </w:rPr>
        <w:t>2025,</w:t>
      </w:r>
      <w:r w:rsidR="00A954D0">
        <w:rPr>
          <w:rFonts w:ascii="Bookman Old Style" w:hAnsi="Bookman Old Style"/>
          <w:sz w:val="24"/>
          <w:szCs w:val="24"/>
        </w:rPr>
        <w:t xml:space="preserve"> </w:t>
      </w:r>
      <w:r w:rsidRPr="001F068E">
        <w:rPr>
          <w:rFonts w:ascii="Bookman Old Style" w:hAnsi="Bookman Old Style"/>
          <w:sz w:val="24"/>
          <w:szCs w:val="24"/>
        </w:rPr>
        <w:t>yang</w:t>
      </w:r>
      <w:r w:rsidR="00A954D0">
        <w:rPr>
          <w:rFonts w:ascii="Bookman Old Style" w:hAnsi="Bookman Old Style"/>
          <w:sz w:val="24"/>
          <w:szCs w:val="24"/>
        </w:rPr>
        <w:t xml:space="preserve"> </w:t>
      </w:r>
      <w:r w:rsidRPr="001F068E">
        <w:rPr>
          <w:rFonts w:ascii="Bookman Old Style" w:hAnsi="Bookman Old Style"/>
          <w:sz w:val="24"/>
          <w:szCs w:val="24"/>
        </w:rPr>
        <w:t>antara</w:t>
      </w:r>
      <w:r w:rsidR="00A954D0">
        <w:rPr>
          <w:rFonts w:ascii="Bookman Old Style" w:hAnsi="Bookman Old Style"/>
          <w:sz w:val="24"/>
          <w:szCs w:val="24"/>
        </w:rPr>
        <w:t xml:space="preserve"> </w:t>
      </w:r>
      <w:r w:rsidRPr="001F068E">
        <w:rPr>
          <w:rFonts w:ascii="Bookman Old Style" w:hAnsi="Bookman Old Style"/>
          <w:sz w:val="24"/>
          <w:szCs w:val="24"/>
        </w:rPr>
        <w:t>lain</w:t>
      </w:r>
      <w:r w:rsidR="00A954D0">
        <w:rPr>
          <w:rFonts w:ascii="Bookman Old Style" w:hAnsi="Bookman Old Style"/>
          <w:sz w:val="24"/>
          <w:szCs w:val="24"/>
        </w:rPr>
        <w:t xml:space="preserve"> </w:t>
      </w:r>
      <w:r w:rsidRPr="001F068E">
        <w:rPr>
          <w:rFonts w:ascii="Bookman Old Style" w:hAnsi="Bookman Old Style"/>
          <w:sz w:val="24"/>
          <w:szCs w:val="24"/>
        </w:rPr>
        <w:t>diuraikan</w:t>
      </w:r>
      <w:r w:rsidR="00A954D0">
        <w:rPr>
          <w:rFonts w:ascii="Bookman Old Style" w:hAnsi="Bookman Old Style"/>
          <w:sz w:val="24"/>
          <w:szCs w:val="24"/>
        </w:rPr>
        <w:t xml:space="preserve"> </w:t>
      </w:r>
      <w:r w:rsidRPr="001F068E">
        <w:rPr>
          <w:rFonts w:ascii="Bookman Old Style" w:hAnsi="Bookman Old Style"/>
          <w:sz w:val="24"/>
          <w:szCs w:val="24"/>
        </w:rPr>
        <w:t>ke</w:t>
      </w:r>
      <w:r w:rsidR="00A954D0">
        <w:rPr>
          <w:rFonts w:ascii="Bookman Old Style" w:hAnsi="Bookman Old Style"/>
          <w:sz w:val="24"/>
          <w:szCs w:val="24"/>
        </w:rPr>
        <w:t xml:space="preserve"> </w:t>
      </w:r>
      <w:r w:rsidRPr="001F068E">
        <w:rPr>
          <w:rFonts w:ascii="Bookman Old Style" w:hAnsi="Bookman Old Style"/>
          <w:sz w:val="24"/>
          <w:szCs w:val="24"/>
        </w:rPr>
        <w:t>dalam</w:t>
      </w:r>
      <w:r w:rsidR="00A954D0">
        <w:rPr>
          <w:rFonts w:ascii="Bookman Old Style" w:hAnsi="Bookman Old Style"/>
          <w:sz w:val="24"/>
          <w:szCs w:val="24"/>
        </w:rPr>
        <w:t xml:space="preserve"> </w:t>
      </w:r>
      <w:r w:rsidRPr="001F068E">
        <w:rPr>
          <w:rFonts w:ascii="Bookman Old Style" w:hAnsi="Bookman Old Style"/>
          <w:sz w:val="24"/>
          <w:szCs w:val="24"/>
        </w:rPr>
        <w:t>rincian</w:t>
      </w:r>
      <w:r w:rsidR="00A954D0">
        <w:rPr>
          <w:rFonts w:ascii="Bookman Old Style" w:hAnsi="Bookman Old Style"/>
          <w:sz w:val="24"/>
          <w:szCs w:val="24"/>
        </w:rPr>
        <w:t xml:space="preserve"> </w:t>
      </w:r>
      <w:r w:rsidRPr="001F068E">
        <w:rPr>
          <w:rFonts w:ascii="Bookman Old Style" w:hAnsi="Bookman Old Style"/>
          <w:sz w:val="24"/>
          <w:szCs w:val="24"/>
        </w:rPr>
        <w:t>objek</w:t>
      </w:r>
      <w:r w:rsidR="00A954D0">
        <w:rPr>
          <w:rFonts w:ascii="Bookman Old Style" w:hAnsi="Bookman Old Style"/>
          <w:sz w:val="24"/>
          <w:szCs w:val="24"/>
          <w:lang w:val="en-US"/>
        </w:rPr>
        <w:t xml:space="preserve"> </w:t>
      </w:r>
      <w:r w:rsidRPr="001F068E">
        <w:rPr>
          <w:rFonts w:ascii="Bookman Old Style" w:hAnsi="Bookman Old Style"/>
          <w:sz w:val="24"/>
          <w:szCs w:val="24"/>
          <w:lang w:val="en-US"/>
        </w:rPr>
        <w:t>belanja</w:t>
      </w:r>
      <w:r w:rsidRPr="001F068E">
        <w:rPr>
          <w:rFonts w:ascii="Bookman Old Style" w:hAnsi="Bookman Old Style"/>
          <w:sz w:val="24"/>
          <w:szCs w:val="24"/>
        </w:rPr>
        <w:t>:</w:t>
      </w:r>
    </w:p>
    <w:p w14:paraId="3B6DCD54" w14:textId="5262BA8F" w:rsidR="003B7FE4" w:rsidRPr="001F068E" w:rsidRDefault="003B7FE4" w:rsidP="008B21D9">
      <w:pPr>
        <w:pStyle w:val="ListParagraph"/>
        <w:numPr>
          <w:ilvl w:val="0"/>
          <w:numId w:val="22"/>
        </w:numPr>
        <w:snapToGrid w:val="0"/>
        <w:spacing w:before="60" w:after="0" w:line="276" w:lineRule="auto"/>
        <w:ind w:left="2694" w:hanging="426"/>
        <w:contextualSpacing w:val="0"/>
        <w:jc w:val="both"/>
        <w:rPr>
          <w:rFonts w:ascii="Bookman Old Style" w:hAnsi="Bookman Old Style"/>
          <w:sz w:val="24"/>
          <w:szCs w:val="24"/>
        </w:rPr>
      </w:pPr>
      <w:r w:rsidRPr="001F068E">
        <w:rPr>
          <w:rFonts w:ascii="Bookman Old Style" w:hAnsi="Bookman Old Style"/>
          <w:sz w:val="24"/>
          <w:szCs w:val="24"/>
        </w:rPr>
        <w:t>Belanja</w:t>
      </w:r>
      <w:r w:rsidR="00A954D0">
        <w:rPr>
          <w:rFonts w:ascii="Bookman Old Style" w:hAnsi="Bookman Old Style"/>
          <w:sz w:val="24"/>
          <w:szCs w:val="24"/>
        </w:rPr>
        <w:t xml:space="preserve"> </w:t>
      </w:r>
      <w:r w:rsidRPr="001F068E">
        <w:rPr>
          <w:rFonts w:ascii="Bookman Old Style" w:hAnsi="Bookman Old Style"/>
          <w:sz w:val="24"/>
          <w:szCs w:val="24"/>
        </w:rPr>
        <w:t>Jasa</w:t>
      </w:r>
      <w:r w:rsidR="00A954D0">
        <w:rPr>
          <w:rFonts w:ascii="Bookman Old Style" w:hAnsi="Bookman Old Style"/>
          <w:sz w:val="24"/>
          <w:szCs w:val="24"/>
        </w:rPr>
        <w:t xml:space="preserve"> </w:t>
      </w:r>
      <w:r w:rsidRPr="001F068E">
        <w:rPr>
          <w:rFonts w:ascii="Bookman Old Style" w:hAnsi="Bookman Old Style"/>
          <w:sz w:val="24"/>
          <w:szCs w:val="24"/>
        </w:rPr>
        <w:t>Kantor</w:t>
      </w:r>
      <w:r w:rsidR="00A954D0">
        <w:rPr>
          <w:rFonts w:ascii="Bookman Old Style" w:hAnsi="Bookman Old Style"/>
          <w:sz w:val="24"/>
          <w:szCs w:val="24"/>
        </w:rPr>
        <w:t xml:space="preserve"> </w:t>
      </w:r>
      <w:r w:rsidR="00F94012" w:rsidRPr="001F068E">
        <w:rPr>
          <w:rFonts w:ascii="Bookman Old Style" w:hAnsi="Bookman Old Style"/>
          <w:sz w:val="24"/>
          <w:szCs w:val="24"/>
        </w:rPr>
        <w:t>Rp850.556.380.570,00</w:t>
      </w:r>
      <w:r w:rsidR="00A954D0">
        <w:rPr>
          <w:rFonts w:ascii="Bookman Old Style" w:hAnsi="Bookman Old Style"/>
          <w:sz w:val="24"/>
          <w:szCs w:val="24"/>
        </w:rPr>
        <w:t xml:space="preserve"> </w:t>
      </w:r>
      <w:r w:rsidR="00F94012" w:rsidRPr="001F068E">
        <w:rPr>
          <w:rFonts w:ascii="Bookman Old Style" w:hAnsi="Bookman Old Style"/>
          <w:sz w:val="24"/>
          <w:szCs w:val="24"/>
        </w:rPr>
        <w:t>atau</w:t>
      </w:r>
      <w:r w:rsidR="00A954D0">
        <w:rPr>
          <w:rFonts w:ascii="Bookman Old Style" w:hAnsi="Bookman Old Style"/>
          <w:sz w:val="24"/>
          <w:szCs w:val="24"/>
        </w:rPr>
        <w:t xml:space="preserve"> </w:t>
      </w:r>
      <w:r w:rsidR="00F94012" w:rsidRPr="001F068E">
        <w:rPr>
          <w:rFonts w:ascii="Bookman Old Style" w:hAnsi="Bookman Old Style"/>
          <w:sz w:val="24"/>
          <w:szCs w:val="24"/>
        </w:rPr>
        <w:t>14,90%</w:t>
      </w:r>
      <w:r w:rsidR="00A954D0">
        <w:rPr>
          <w:rFonts w:ascii="Bookman Old Style" w:hAnsi="Bookman Old Style"/>
          <w:sz w:val="24"/>
          <w:szCs w:val="24"/>
          <w:lang w:val="en-US"/>
        </w:rPr>
        <w:t xml:space="preserve"> </w:t>
      </w:r>
      <w:r w:rsidRPr="001F068E">
        <w:rPr>
          <w:rFonts w:ascii="Bookman Old Style" w:hAnsi="Bookman Old Style"/>
          <w:sz w:val="24"/>
          <w:szCs w:val="24"/>
        </w:rPr>
        <w:t>dari</w:t>
      </w:r>
      <w:r w:rsidR="00A954D0">
        <w:rPr>
          <w:rFonts w:ascii="Bookman Old Style" w:hAnsi="Bookman Old Style"/>
          <w:sz w:val="24"/>
          <w:szCs w:val="24"/>
        </w:rPr>
        <w:t xml:space="preserve"> </w:t>
      </w:r>
      <w:r w:rsidRPr="001F068E">
        <w:rPr>
          <w:rFonts w:ascii="Bookman Old Style" w:hAnsi="Bookman Old Style"/>
          <w:sz w:val="24"/>
          <w:szCs w:val="24"/>
        </w:rPr>
        <w:t>total</w:t>
      </w:r>
      <w:r w:rsidR="00A954D0">
        <w:rPr>
          <w:rFonts w:ascii="Bookman Old Style" w:hAnsi="Bookman Old Style"/>
          <w:sz w:val="24"/>
          <w:szCs w:val="24"/>
        </w:rPr>
        <w:t xml:space="preserve"> </w:t>
      </w:r>
      <w:r w:rsidRPr="001F068E">
        <w:rPr>
          <w:rFonts w:ascii="Bookman Old Style" w:hAnsi="Bookman Old Style"/>
          <w:sz w:val="24"/>
          <w:szCs w:val="24"/>
        </w:rPr>
        <w:t>belanja</w:t>
      </w:r>
      <w:r w:rsidR="00A954D0">
        <w:rPr>
          <w:rFonts w:ascii="Bookman Old Style" w:hAnsi="Bookman Old Style"/>
          <w:sz w:val="24"/>
          <w:szCs w:val="24"/>
        </w:rPr>
        <w:t xml:space="preserve"> </w:t>
      </w:r>
      <w:r w:rsidRPr="001F068E">
        <w:rPr>
          <w:rFonts w:ascii="Bookman Old Style" w:hAnsi="Bookman Old Style"/>
          <w:sz w:val="24"/>
          <w:szCs w:val="24"/>
        </w:rPr>
        <w:t>daerah</w:t>
      </w:r>
      <w:r w:rsidR="00A954D0">
        <w:rPr>
          <w:rFonts w:ascii="Bookman Old Style" w:hAnsi="Bookman Old Style"/>
          <w:sz w:val="24"/>
          <w:szCs w:val="24"/>
        </w:rPr>
        <w:t xml:space="preserve"> </w:t>
      </w:r>
      <w:r w:rsidRPr="001F068E">
        <w:rPr>
          <w:rFonts w:ascii="Bookman Old Style" w:hAnsi="Bookman Old Style"/>
          <w:sz w:val="24"/>
          <w:szCs w:val="24"/>
        </w:rPr>
        <w:t>dalam</w:t>
      </w:r>
      <w:r w:rsidR="00A954D0">
        <w:rPr>
          <w:rFonts w:ascii="Bookman Old Style" w:hAnsi="Bookman Old Style"/>
          <w:sz w:val="24"/>
          <w:szCs w:val="24"/>
        </w:rPr>
        <w:t xml:space="preserve"> </w:t>
      </w:r>
      <w:r w:rsidRPr="001F068E">
        <w:rPr>
          <w:rFonts w:ascii="Bookman Old Style" w:hAnsi="Bookman Old Style"/>
          <w:sz w:val="24"/>
          <w:szCs w:val="24"/>
        </w:rPr>
        <w:t>Rancangan</w:t>
      </w:r>
      <w:r w:rsidR="00A954D0">
        <w:rPr>
          <w:rFonts w:ascii="Bookman Old Style" w:hAnsi="Bookman Old Style"/>
          <w:sz w:val="24"/>
          <w:szCs w:val="24"/>
        </w:rPr>
        <w:t xml:space="preserve"> </w:t>
      </w:r>
      <w:r w:rsidRPr="001F068E">
        <w:rPr>
          <w:rFonts w:ascii="Bookman Old Style" w:hAnsi="Bookman Old Style"/>
          <w:sz w:val="24"/>
          <w:szCs w:val="24"/>
        </w:rPr>
        <w:t>Peraturan</w:t>
      </w:r>
      <w:r w:rsidR="00A954D0">
        <w:rPr>
          <w:rFonts w:ascii="Bookman Old Style" w:hAnsi="Bookman Old Style"/>
          <w:sz w:val="24"/>
          <w:szCs w:val="24"/>
        </w:rPr>
        <w:t xml:space="preserve"> </w:t>
      </w:r>
      <w:r w:rsidRPr="001F068E">
        <w:rPr>
          <w:rFonts w:ascii="Bookman Old Style" w:hAnsi="Bookman Old Style"/>
          <w:sz w:val="24"/>
          <w:szCs w:val="24"/>
        </w:rPr>
        <w:t>Daerah</w:t>
      </w:r>
      <w:r w:rsidR="00A954D0">
        <w:rPr>
          <w:rFonts w:ascii="Bookman Old Style" w:hAnsi="Bookman Old Style"/>
          <w:sz w:val="24"/>
          <w:szCs w:val="24"/>
        </w:rPr>
        <w:t xml:space="preserve"> </w:t>
      </w:r>
      <w:r w:rsidR="00B055C5" w:rsidRPr="001F068E">
        <w:rPr>
          <w:rFonts w:ascii="Bookman Old Style" w:hAnsi="Bookman Old Style"/>
          <w:sz w:val="24"/>
          <w:szCs w:val="24"/>
        </w:rPr>
        <w:t>Kota</w:t>
      </w:r>
      <w:r w:rsidR="00A954D0">
        <w:rPr>
          <w:rFonts w:ascii="Bookman Old Style" w:hAnsi="Bookman Old Style"/>
          <w:sz w:val="24"/>
          <w:szCs w:val="24"/>
        </w:rPr>
        <w:t xml:space="preserve"> </w:t>
      </w:r>
      <w:r w:rsidR="00770F22" w:rsidRPr="001F068E">
        <w:rPr>
          <w:rFonts w:ascii="Bookman Old Style" w:hAnsi="Bookman Old Style"/>
          <w:sz w:val="24"/>
          <w:szCs w:val="24"/>
        </w:rPr>
        <w:t>Tangerang</w:t>
      </w:r>
      <w:r w:rsidR="00A954D0">
        <w:rPr>
          <w:rFonts w:ascii="Bookman Old Style" w:hAnsi="Bookman Old Style"/>
          <w:sz w:val="24"/>
          <w:szCs w:val="24"/>
        </w:rPr>
        <w:t xml:space="preserve"> </w:t>
      </w:r>
      <w:r w:rsidR="00BE6ED9" w:rsidRPr="001F068E">
        <w:rPr>
          <w:rFonts w:ascii="Bookman Old Style" w:hAnsi="Bookman Old Style"/>
          <w:sz w:val="24"/>
          <w:szCs w:val="24"/>
        </w:rPr>
        <w:t>tentang</w:t>
      </w:r>
      <w:r w:rsidR="00A954D0">
        <w:rPr>
          <w:rFonts w:ascii="Bookman Old Style" w:hAnsi="Bookman Old Style"/>
          <w:sz w:val="24"/>
          <w:szCs w:val="24"/>
        </w:rPr>
        <w:t xml:space="preserve"> </w:t>
      </w:r>
      <w:r w:rsidR="00BE6ED9" w:rsidRPr="001F068E">
        <w:rPr>
          <w:rFonts w:ascii="Bookman Old Style" w:hAnsi="Bookman Old Style"/>
          <w:sz w:val="24"/>
          <w:szCs w:val="24"/>
        </w:rPr>
        <w:t>APBD</w:t>
      </w:r>
      <w:r w:rsidR="00A954D0">
        <w:rPr>
          <w:rFonts w:ascii="Bookman Old Style" w:hAnsi="Bookman Old Style"/>
          <w:sz w:val="24"/>
          <w:szCs w:val="24"/>
        </w:rPr>
        <w:t xml:space="preserve"> </w:t>
      </w:r>
      <w:r w:rsidRPr="001F068E">
        <w:rPr>
          <w:rFonts w:ascii="Bookman Old Style" w:hAnsi="Bookman Old Style"/>
          <w:sz w:val="24"/>
          <w:szCs w:val="24"/>
        </w:rPr>
        <w:t>Tahun</w:t>
      </w:r>
      <w:r w:rsidR="00A954D0">
        <w:rPr>
          <w:rFonts w:ascii="Bookman Old Style" w:hAnsi="Bookman Old Style"/>
          <w:sz w:val="24"/>
          <w:szCs w:val="24"/>
        </w:rPr>
        <w:t xml:space="preserve"> </w:t>
      </w:r>
      <w:r w:rsidRPr="001F068E">
        <w:rPr>
          <w:rFonts w:ascii="Bookman Old Style" w:hAnsi="Bookman Old Style"/>
          <w:sz w:val="24"/>
          <w:szCs w:val="24"/>
        </w:rPr>
        <w:t>Anggaran</w:t>
      </w:r>
      <w:r w:rsidR="00A954D0">
        <w:rPr>
          <w:rFonts w:ascii="Bookman Old Style" w:hAnsi="Bookman Old Style"/>
          <w:sz w:val="24"/>
          <w:szCs w:val="24"/>
        </w:rPr>
        <w:t xml:space="preserve"> </w:t>
      </w:r>
      <w:r w:rsidRPr="001F068E">
        <w:rPr>
          <w:rFonts w:ascii="Bookman Old Style" w:hAnsi="Bookman Old Style"/>
          <w:sz w:val="24"/>
          <w:szCs w:val="24"/>
        </w:rPr>
        <w:t>2025,</w:t>
      </w:r>
      <w:r w:rsidR="00A954D0">
        <w:rPr>
          <w:rFonts w:ascii="Bookman Old Style" w:hAnsi="Bookman Old Style"/>
          <w:sz w:val="24"/>
          <w:szCs w:val="24"/>
        </w:rPr>
        <w:t xml:space="preserve"> </w:t>
      </w:r>
      <w:r w:rsidRPr="001F068E">
        <w:rPr>
          <w:rFonts w:ascii="Bookman Old Style" w:hAnsi="Bookman Old Style"/>
          <w:sz w:val="24"/>
          <w:szCs w:val="24"/>
        </w:rPr>
        <w:t>yang</w:t>
      </w:r>
      <w:r w:rsidR="00A954D0">
        <w:rPr>
          <w:rFonts w:ascii="Bookman Old Style" w:hAnsi="Bookman Old Style"/>
          <w:sz w:val="24"/>
          <w:szCs w:val="24"/>
        </w:rPr>
        <w:t xml:space="preserve"> </w:t>
      </w:r>
      <w:r w:rsidRPr="001F068E">
        <w:rPr>
          <w:rFonts w:ascii="Bookman Old Style" w:hAnsi="Bookman Old Style"/>
          <w:sz w:val="24"/>
          <w:szCs w:val="24"/>
        </w:rPr>
        <w:t>antara</w:t>
      </w:r>
      <w:r w:rsidR="00A954D0">
        <w:rPr>
          <w:rFonts w:ascii="Bookman Old Style" w:hAnsi="Bookman Old Style"/>
          <w:sz w:val="24"/>
          <w:szCs w:val="24"/>
        </w:rPr>
        <w:t xml:space="preserve"> </w:t>
      </w:r>
      <w:r w:rsidRPr="001F068E">
        <w:rPr>
          <w:rFonts w:ascii="Bookman Old Style" w:hAnsi="Bookman Old Style"/>
          <w:sz w:val="24"/>
          <w:szCs w:val="24"/>
        </w:rPr>
        <w:t>lain</w:t>
      </w:r>
      <w:r w:rsidR="00A954D0">
        <w:rPr>
          <w:rFonts w:ascii="Bookman Old Style" w:hAnsi="Bookman Old Style"/>
          <w:sz w:val="24"/>
          <w:szCs w:val="24"/>
        </w:rPr>
        <w:t xml:space="preserve"> </w:t>
      </w:r>
      <w:r w:rsidRPr="001F068E">
        <w:rPr>
          <w:rFonts w:ascii="Bookman Old Style" w:hAnsi="Bookman Old Style"/>
          <w:sz w:val="24"/>
          <w:szCs w:val="24"/>
        </w:rPr>
        <w:t>diuraikan</w:t>
      </w:r>
      <w:r w:rsidR="00A954D0">
        <w:rPr>
          <w:rFonts w:ascii="Bookman Old Style" w:hAnsi="Bookman Old Style"/>
          <w:sz w:val="24"/>
          <w:szCs w:val="24"/>
        </w:rPr>
        <w:t xml:space="preserve"> </w:t>
      </w:r>
      <w:r w:rsidRPr="001F068E">
        <w:rPr>
          <w:rFonts w:ascii="Bookman Old Style" w:hAnsi="Bookman Old Style"/>
          <w:sz w:val="24"/>
          <w:szCs w:val="24"/>
        </w:rPr>
        <w:t>ke</w:t>
      </w:r>
      <w:r w:rsidR="00A954D0">
        <w:rPr>
          <w:rFonts w:ascii="Bookman Old Style" w:hAnsi="Bookman Old Style"/>
          <w:sz w:val="24"/>
          <w:szCs w:val="24"/>
        </w:rPr>
        <w:t xml:space="preserve"> </w:t>
      </w:r>
      <w:r w:rsidRPr="001F068E">
        <w:rPr>
          <w:rFonts w:ascii="Bookman Old Style" w:hAnsi="Bookman Old Style"/>
          <w:sz w:val="24"/>
          <w:szCs w:val="24"/>
        </w:rPr>
        <w:t>dalam</w:t>
      </w:r>
      <w:r w:rsidR="00A954D0">
        <w:rPr>
          <w:rFonts w:ascii="Bookman Old Style" w:hAnsi="Bookman Old Style"/>
          <w:sz w:val="24"/>
          <w:szCs w:val="24"/>
        </w:rPr>
        <w:t xml:space="preserve"> </w:t>
      </w:r>
      <w:r w:rsidRPr="001F068E">
        <w:rPr>
          <w:rFonts w:ascii="Bookman Old Style" w:hAnsi="Bookman Old Style"/>
          <w:sz w:val="24"/>
          <w:szCs w:val="24"/>
        </w:rPr>
        <w:t>sub</w:t>
      </w:r>
      <w:r w:rsidR="00A954D0">
        <w:rPr>
          <w:rFonts w:ascii="Bookman Old Style" w:hAnsi="Bookman Old Style"/>
          <w:sz w:val="24"/>
          <w:szCs w:val="24"/>
        </w:rPr>
        <w:t xml:space="preserve"> </w:t>
      </w:r>
      <w:r w:rsidRPr="001F068E">
        <w:rPr>
          <w:rFonts w:ascii="Bookman Old Style" w:hAnsi="Bookman Old Style"/>
          <w:sz w:val="24"/>
          <w:szCs w:val="24"/>
        </w:rPr>
        <w:t>rincian</w:t>
      </w:r>
      <w:r w:rsidR="00A954D0">
        <w:rPr>
          <w:rFonts w:ascii="Bookman Old Style" w:hAnsi="Bookman Old Style"/>
          <w:sz w:val="24"/>
          <w:szCs w:val="24"/>
        </w:rPr>
        <w:t xml:space="preserve"> </w:t>
      </w:r>
      <w:r w:rsidRPr="001F068E">
        <w:rPr>
          <w:rFonts w:ascii="Bookman Old Style" w:hAnsi="Bookman Old Style"/>
          <w:sz w:val="24"/>
          <w:szCs w:val="24"/>
        </w:rPr>
        <w:t>objek</w:t>
      </w:r>
      <w:r w:rsidR="00A954D0">
        <w:rPr>
          <w:rFonts w:ascii="Bookman Old Style" w:hAnsi="Bookman Old Style"/>
          <w:sz w:val="24"/>
          <w:szCs w:val="24"/>
        </w:rPr>
        <w:t xml:space="preserve"> </w:t>
      </w:r>
      <w:r w:rsidRPr="001F068E">
        <w:rPr>
          <w:rFonts w:ascii="Bookman Old Style" w:hAnsi="Bookman Old Style"/>
          <w:sz w:val="24"/>
          <w:szCs w:val="24"/>
        </w:rPr>
        <w:t>belanja</w:t>
      </w:r>
      <w:r w:rsidRPr="001F068E">
        <w:rPr>
          <w:rFonts w:ascii="Bookman Old Style" w:hAnsi="Bookman Old Style"/>
          <w:sz w:val="24"/>
          <w:szCs w:val="24"/>
          <w:lang w:val="id-ID"/>
        </w:rPr>
        <w:t>:</w:t>
      </w:r>
    </w:p>
    <w:p w14:paraId="053F6F4D" w14:textId="2F47B0E6" w:rsidR="0023341A" w:rsidRPr="001F068E" w:rsidRDefault="0023341A" w:rsidP="00EA103E">
      <w:pPr>
        <w:pStyle w:val="ListParagraph"/>
        <w:numPr>
          <w:ilvl w:val="0"/>
          <w:numId w:val="145"/>
        </w:numPr>
        <w:spacing w:before="60" w:after="0" w:line="276" w:lineRule="auto"/>
        <w:ind w:left="3270" w:hanging="576"/>
        <w:contextualSpacing w:val="0"/>
        <w:jc w:val="both"/>
        <w:rPr>
          <w:rFonts w:ascii="Bookman Old Style" w:hAnsi="Bookman Old Style"/>
          <w:sz w:val="24"/>
          <w:szCs w:val="24"/>
        </w:rPr>
      </w:pPr>
      <w:r w:rsidRPr="001F068E">
        <w:rPr>
          <w:rFonts w:ascii="Bookman Old Style" w:hAnsi="Bookman Old Style"/>
          <w:sz w:val="24"/>
          <w:szCs w:val="24"/>
        </w:rPr>
        <w:t>Honorarium</w:t>
      </w:r>
      <w:r w:rsidR="00A954D0">
        <w:rPr>
          <w:rFonts w:ascii="Bookman Old Style" w:hAnsi="Bookman Old Style"/>
          <w:sz w:val="24"/>
          <w:szCs w:val="24"/>
        </w:rPr>
        <w:t xml:space="preserve"> </w:t>
      </w:r>
      <w:r w:rsidRPr="001F068E">
        <w:rPr>
          <w:rFonts w:ascii="Bookman Old Style" w:hAnsi="Bookman Old Style"/>
          <w:sz w:val="24"/>
          <w:szCs w:val="24"/>
        </w:rPr>
        <w:t>Narasumber</w:t>
      </w:r>
      <w:r w:rsidR="00A954D0">
        <w:rPr>
          <w:rFonts w:ascii="Bookman Old Style" w:hAnsi="Bookman Old Style"/>
          <w:sz w:val="24"/>
          <w:szCs w:val="24"/>
        </w:rPr>
        <w:t xml:space="preserve"> </w:t>
      </w:r>
      <w:r w:rsidRPr="001F068E">
        <w:rPr>
          <w:rFonts w:ascii="Bookman Old Style" w:hAnsi="Bookman Old Style"/>
          <w:sz w:val="24"/>
          <w:szCs w:val="24"/>
        </w:rPr>
        <w:t>atau</w:t>
      </w:r>
      <w:r w:rsidR="00A954D0">
        <w:rPr>
          <w:rFonts w:ascii="Bookman Old Style" w:hAnsi="Bookman Old Style"/>
          <w:sz w:val="24"/>
          <w:szCs w:val="24"/>
        </w:rPr>
        <w:t xml:space="preserve"> </w:t>
      </w:r>
      <w:r w:rsidRPr="001F068E">
        <w:rPr>
          <w:rFonts w:ascii="Bookman Old Style" w:hAnsi="Bookman Old Style"/>
          <w:sz w:val="24"/>
          <w:szCs w:val="24"/>
        </w:rPr>
        <w:t>Pembahas,</w:t>
      </w:r>
      <w:r w:rsidR="00A954D0">
        <w:rPr>
          <w:rFonts w:ascii="Bookman Old Style" w:hAnsi="Bookman Old Style"/>
          <w:sz w:val="24"/>
          <w:szCs w:val="24"/>
        </w:rPr>
        <w:t xml:space="preserve"> </w:t>
      </w:r>
      <w:r w:rsidRPr="001F068E">
        <w:rPr>
          <w:rFonts w:ascii="Bookman Old Style" w:hAnsi="Bookman Old Style"/>
          <w:sz w:val="24"/>
          <w:szCs w:val="24"/>
        </w:rPr>
        <w:t>Moderator,</w:t>
      </w:r>
      <w:r w:rsidR="00A954D0">
        <w:rPr>
          <w:rFonts w:ascii="Bookman Old Style" w:hAnsi="Bookman Old Style"/>
          <w:sz w:val="24"/>
          <w:szCs w:val="24"/>
        </w:rPr>
        <w:t xml:space="preserve"> </w:t>
      </w:r>
      <w:r w:rsidRPr="001F068E">
        <w:rPr>
          <w:rFonts w:ascii="Bookman Old Style" w:hAnsi="Bookman Old Style"/>
          <w:sz w:val="24"/>
          <w:szCs w:val="24"/>
        </w:rPr>
        <w:t>Pembawa</w:t>
      </w:r>
      <w:r w:rsidR="00A954D0">
        <w:rPr>
          <w:rFonts w:ascii="Bookman Old Style" w:hAnsi="Bookman Old Style"/>
          <w:sz w:val="24"/>
          <w:szCs w:val="24"/>
        </w:rPr>
        <w:t xml:space="preserve"> </w:t>
      </w:r>
      <w:r w:rsidRPr="001F068E">
        <w:rPr>
          <w:rFonts w:ascii="Bookman Old Style" w:hAnsi="Bookman Old Style"/>
          <w:sz w:val="24"/>
          <w:szCs w:val="24"/>
        </w:rPr>
        <w:t>Acara,</w:t>
      </w:r>
      <w:r w:rsidR="00A954D0">
        <w:rPr>
          <w:rFonts w:ascii="Bookman Old Style" w:hAnsi="Bookman Old Style"/>
          <w:sz w:val="24"/>
          <w:szCs w:val="24"/>
        </w:rPr>
        <w:t xml:space="preserve"> </w:t>
      </w:r>
      <w:r w:rsidRPr="001F068E">
        <w:rPr>
          <w:rFonts w:ascii="Bookman Old Style" w:hAnsi="Bookman Old Style"/>
          <w:sz w:val="24"/>
          <w:szCs w:val="24"/>
        </w:rPr>
        <w:t>dan</w:t>
      </w:r>
      <w:r w:rsidR="00A954D0">
        <w:rPr>
          <w:rFonts w:ascii="Bookman Old Style" w:hAnsi="Bookman Old Style"/>
          <w:sz w:val="24"/>
          <w:szCs w:val="24"/>
        </w:rPr>
        <w:t xml:space="preserve"> </w:t>
      </w:r>
      <w:r w:rsidRPr="001F068E">
        <w:rPr>
          <w:rFonts w:ascii="Bookman Old Style" w:hAnsi="Bookman Old Style"/>
          <w:sz w:val="24"/>
          <w:szCs w:val="24"/>
        </w:rPr>
        <w:t>Panitia</w:t>
      </w:r>
      <w:r w:rsidR="00A954D0">
        <w:rPr>
          <w:rFonts w:ascii="Bookman Old Style" w:hAnsi="Bookman Old Style"/>
          <w:sz w:val="24"/>
          <w:szCs w:val="24"/>
        </w:rPr>
        <w:t xml:space="preserve"> </w:t>
      </w:r>
      <w:r w:rsidRPr="001F068E">
        <w:rPr>
          <w:rFonts w:ascii="Bookman Old Style" w:hAnsi="Bookman Old Style"/>
          <w:sz w:val="24"/>
          <w:szCs w:val="24"/>
        </w:rPr>
        <w:t>Rp38.736.280.000,00</w:t>
      </w:r>
      <w:r w:rsidR="00E376E8" w:rsidRPr="001F068E">
        <w:rPr>
          <w:rFonts w:ascii="Bookman Old Style" w:hAnsi="Bookman Old Style"/>
          <w:sz w:val="24"/>
          <w:szCs w:val="24"/>
        </w:rPr>
        <w:t>;</w:t>
      </w:r>
    </w:p>
    <w:p w14:paraId="6824B693" w14:textId="1A0F1809" w:rsidR="0023341A" w:rsidRPr="001F068E" w:rsidRDefault="0023341A" w:rsidP="00EA103E">
      <w:pPr>
        <w:pStyle w:val="ListParagraph"/>
        <w:numPr>
          <w:ilvl w:val="0"/>
          <w:numId w:val="145"/>
        </w:numPr>
        <w:spacing w:before="60" w:after="0" w:line="276" w:lineRule="auto"/>
        <w:ind w:left="3270" w:hanging="576"/>
        <w:contextualSpacing w:val="0"/>
        <w:jc w:val="both"/>
        <w:rPr>
          <w:rFonts w:ascii="Bookman Old Style" w:hAnsi="Bookman Old Style"/>
          <w:sz w:val="24"/>
          <w:szCs w:val="24"/>
        </w:rPr>
      </w:pPr>
      <w:r w:rsidRPr="001F068E">
        <w:rPr>
          <w:rFonts w:ascii="Bookman Old Style" w:hAnsi="Bookman Old Style"/>
          <w:sz w:val="24"/>
          <w:szCs w:val="24"/>
        </w:rPr>
        <w:t>Honorarium</w:t>
      </w:r>
      <w:r w:rsidR="00A954D0">
        <w:rPr>
          <w:rFonts w:ascii="Bookman Old Style" w:hAnsi="Bookman Old Style"/>
          <w:sz w:val="24"/>
          <w:szCs w:val="24"/>
        </w:rPr>
        <w:t xml:space="preserve"> </w:t>
      </w:r>
      <w:r w:rsidRPr="001F068E">
        <w:rPr>
          <w:rFonts w:ascii="Bookman Old Style" w:hAnsi="Bookman Old Style"/>
          <w:sz w:val="24"/>
          <w:szCs w:val="24"/>
        </w:rPr>
        <w:t>Tim</w:t>
      </w:r>
      <w:r w:rsidR="00A954D0">
        <w:rPr>
          <w:rFonts w:ascii="Bookman Old Style" w:hAnsi="Bookman Old Style"/>
          <w:sz w:val="24"/>
          <w:szCs w:val="24"/>
        </w:rPr>
        <w:t xml:space="preserve"> </w:t>
      </w:r>
      <w:r w:rsidRPr="001F068E">
        <w:rPr>
          <w:rFonts w:ascii="Bookman Old Style" w:hAnsi="Bookman Old Style"/>
          <w:sz w:val="24"/>
          <w:szCs w:val="24"/>
        </w:rPr>
        <w:t>Pelaksana</w:t>
      </w:r>
      <w:r w:rsidR="00A954D0">
        <w:rPr>
          <w:rFonts w:ascii="Bookman Old Style" w:hAnsi="Bookman Old Style"/>
          <w:sz w:val="24"/>
          <w:szCs w:val="24"/>
        </w:rPr>
        <w:t xml:space="preserve"> </w:t>
      </w:r>
      <w:r w:rsidRPr="001F068E">
        <w:rPr>
          <w:rFonts w:ascii="Bookman Old Style" w:hAnsi="Bookman Old Style"/>
          <w:sz w:val="24"/>
          <w:szCs w:val="24"/>
        </w:rPr>
        <w:t>Kegiatan</w:t>
      </w:r>
      <w:r w:rsidR="00A954D0">
        <w:rPr>
          <w:rFonts w:ascii="Bookman Old Style" w:hAnsi="Bookman Old Style"/>
          <w:sz w:val="24"/>
          <w:szCs w:val="24"/>
        </w:rPr>
        <w:t xml:space="preserve"> </w:t>
      </w:r>
      <w:r w:rsidRPr="001F068E">
        <w:rPr>
          <w:rFonts w:ascii="Bookman Old Style" w:hAnsi="Bookman Old Style"/>
          <w:sz w:val="24"/>
          <w:szCs w:val="24"/>
        </w:rPr>
        <w:t>dan</w:t>
      </w:r>
      <w:r w:rsidR="00A954D0">
        <w:rPr>
          <w:rFonts w:ascii="Bookman Old Style" w:hAnsi="Bookman Old Style"/>
          <w:sz w:val="24"/>
          <w:szCs w:val="24"/>
        </w:rPr>
        <w:t xml:space="preserve"> </w:t>
      </w:r>
      <w:r w:rsidRPr="001F068E">
        <w:rPr>
          <w:rFonts w:ascii="Bookman Old Style" w:hAnsi="Bookman Old Style"/>
          <w:sz w:val="24"/>
          <w:szCs w:val="24"/>
        </w:rPr>
        <w:t>Sekretariat</w:t>
      </w:r>
      <w:r w:rsidR="00A954D0">
        <w:rPr>
          <w:rFonts w:ascii="Bookman Old Style" w:hAnsi="Bookman Old Style"/>
          <w:sz w:val="24"/>
          <w:szCs w:val="24"/>
        </w:rPr>
        <w:t xml:space="preserve"> </w:t>
      </w:r>
      <w:r w:rsidRPr="001F068E">
        <w:rPr>
          <w:rFonts w:ascii="Bookman Old Style" w:hAnsi="Bookman Old Style"/>
          <w:sz w:val="24"/>
          <w:szCs w:val="24"/>
        </w:rPr>
        <w:t>Tim</w:t>
      </w:r>
      <w:r w:rsidR="00A954D0">
        <w:rPr>
          <w:rFonts w:ascii="Bookman Old Style" w:hAnsi="Bookman Old Style"/>
          <w:sz w:val="24"/>
          <w:szCs w:val="24"/>
        </w:rPr>
        <w:t xml:space="preserve"> </w:t>
      </w:r>
      <w:r w:rsidRPr="001F068E">
        <w:rPr>
          <w:rFonts w:ascii="Bookman Old Style" w:hAnsi="Bookman Old Style"/>
          <w:sz w:val="24"/>
          <w:szCs w:val="24"/>
        </w:rPr>
        <w:t>Pelaksana</w:t>
      </w:r>
      <w:r w:rsidR="00A954D0">
        <w:rPr>
          <w:rFonts w:ascii="Bookman Old Style" w:hAnsi="Bookman Old Style"/>
          <w:sz w:val="24"/>
          <w:szCs w:val="24"/>
        </w:rPr>
        <w:t xml:space="preserve"> </w:t>
      </w:r>
      <w:r w:rsidRPr="001F068E">
        <w:rPr>
          <w:rFonts w:ascii="Bookman Old Style" w:hAnsi="Bookman Old Style"/>
          <w:sz w:val="24"/>
          <w:szCs w:val="24"/>
        </w:rPr>
        <w:t>Kegiatan</w:t>
      </w:r>
      <w:r w:rsidR="00A954D0">
        <w:rPr>
          <w:rFonts w:ascii="Bookman Old Style" w:hAnsi="Bookman Old Style"/>
          <w:sz w:val="24"/>
          <w:szCs w:val="24"/>
        </w:rPr>
        <w:t xml:space="preserve"> </w:t>
      </w:r>
      <w:r w:rsidRPr="001F068E">
        <w:rPr>
          <w:rFonts w:ascii="Bookman Old Style" w:hAnsi="Bookman Old Style"/>
          <w:sz w:val="24"/>
          <w:szCs w:val="24"/>
        </w:rPr>
        <w:t>Rp6.494.350.000,00</w:t>
      </w:r>
      <w:r w:rsidR="00E376E8" w:rsidRPr="001F068E">
        <w:rPr>
          <w:rFonts w:ascii="Bookman Old Style" w:hAnsi="Bookman Old Style"/>
          <w:sz w:val="24"/>
          <w:szCs w:val="24"/>
        </w:rPr>
        <w:t>;</w:t>
      </w:r>
    </w:p>
    <w:p w14:paraId="33E4433B" w14:textId="3B3FA83D" w:rsidR="00E376E8" w:rsidRPr="001F068E" w:rsidRDefault="00E376E8" w:rsidP="00EA103E">
      <w:pPr>
        <w:pStyle w:val="ListParagraph"/>
        <w:numPr>
          <w:ilvl w:val="0"/>
          <w:numId w:val="145"/>
        </w:numPr>
        <w:spacing w:before="60" w:after="0" w:line="276" w:lineRule="auto"/>
        <w:ind w:left="3270" w:hanging="576"/>
        <w:contextualSpacing w:val="0"/>
        <w:jc w:val="both"/>
        <w:rPr>
          <w:rFonts w:ascii="Bookman Old Style" w:hAnsi="Bookman Old Style"/>
          <w:sz w:val="24"/>
          <w:szCs w:val="24"/>
        </w:rPr>
      </w:pPr>
      <w:r w:rsidRPr="001F068E">
        <w:rPr>
          <w:rFonts w:ascii="Bookman Old Style" w:hAnsi="Bookman Old Style"/>
          <w:sz w:val="24"/>
          <w:szCs w:val="24"/>
        </w:rPr>
        <w:t>Belanja</w:t>
      </w:r>
      <w:r w:rsidR="00A954D0">
        <w:rPr>
          <w:rFonts w:ascii="Bookman Old Style" w:hAnsi="Bookman Old Style"/>
          <w:sz w:val="24"/>
          <w:szCs w:val="24"/>
        </w:rPr>
        <w:t xml:space="preserve"> </w:t>
      </w:r>
      <w:r w:rsidRPr="001F068E">
        <w:rPr>
          <w:rFonts w:ascii="Bookman Old Style" w:hAnsi="Bookman Old Style"/>
          <w:sz w:val="24"/>
          <w:szCs w:val="24"/>
        </w:rPr>
        <w:t>Jasa</w:t>
      </w:r>
      <w:r w:rsidR="00A954D0">
        <w:rPr>
          <w:rFonts w:ascii="Bookman Old Style" w:hAnsi="Bookman Old Style"/>
          <w:sz w:val="24"/>
          <w:szCs w:val="24"/>
        </w:rPr>
        <w:t xml:space="preserve"> </w:t>
      </w:r>
      <w:r w:rsidRPr="001F068E">
        <w:rPr>
          <w:rFonts w:ascii="Bookman Old Style" w:hAnsi="Bookman Old Style"/>
          <w:sz w:val="24"/>
          <w:szCs w:val="24"/>
        </w:rPr>
        <w:t>Tenaga</w:t>
      </w:r>
      <w:r w:rsidR="00A954D0">
        <w:rPr>
          <w:rFonts w:ascii="Bookman Old Style" w:hAnsi="Bookman Old Style"/>
          <w:sz w:val="24"/>
          <w:szCs w:val="24"/>
        </w:rPr>
        <w:t xml:space="preserve"> </w:t>
      </w:r>
      <w:r w:rsidRPr="001F068E">
        <w:rPr>
          <w:rFonts w:ascii="Bookman Old Style" w:hAnsi="Bookman Old Style"/>
          <w:sz w:val="24"/>
          <w:szCs w:val="24"/>
        </w:rPr>
        <w:t>Pendidikan</w:t>
      </w:r>
      <w:r w:rsidR="00A954D0">
        <w:rPr>
          <w:rFonts w:ascii="Bookman Old Style" w:hAnsi="Bookman Old Style"/>
          <w:sz w:val="24"/>
          <w:szCs w:val="24"/>
        </w:rPr>
        <w:t xml:space="preserve"> </w:t>
      </w:r>
      <w:r w:rsidRPr="001F068E">
        <w:rPr>
          <w:rFonts w:ascii="Bookman Old Style" w:hAnsi="Bookman Old Style"/>
          <w:sz w:val="24"/>
          <w:szCs w:val="24"/>
        </w:rPr>
        <w:t>Rp257.663.773.140,00;</w:t>
      </w:r>
    </w:p>
    <w:p w14:paraId="64D44052" w14:textId="59C9CAA5" w:rsidR="003B7FE4" w:rsidRPr="001F068E" w:rsidRDefault="00E376E8" w:rsidP="00EA103E">
      <w:pPr>
        <w:pStyle w:val="ListParagraph"/>
        <w:numPr>
          <w:ilvl w:val="0"/>
          <w:numId w:val="145"/>
        </w:numPr>
        <w:spacing w:before="60" w:after="0" w:line="276" w:lineRule="auto"/>
        <w:ind w:left="3270" w:hanging="576"/>
        <w:contextualSpacing w:val="0"/>
        <w:jc w:val="both"/>
        <w:rPr>
          <w:rFonts w:ascii="Bookman Old Style" w:hAnsi="Bookman Old Style"/>
          <w:sz w:val="24"/>
          <w:szCs w:val="24"/>
        </w:rPr>
      </w:pPr>
      <w:r w:rsidRPr="001F068E">
        <w:rPr>
          <w:rFonts w:ascii="Bookman Old Style" w:hAnsi="Bookman Old Style"/>
          <w:sz w:val="24"/>
          <w:szCs w:val="24"/>
        </w:rPr>
        <w:t>Belanja</w:t>
      </w:r>
      <w:r w:rsidR="00A954D0">
        <w:rPr>
          <w:rFonts w:ascii="Bookman Old Style" w:hAnsi="Bookman Old Style"/>
          <w:sz w:val="24"/>
          <w:szCs w:val="24"/>
        </w:rPr>
        <w:t xml:space="preserve"> </w:t>
      </w:r>
      <w:r w:rsidRPr="001F068E">
        <w:rPr>
          <w:rFonts w:ascii="Bookman Old Style" w:hAnsi="Bookman Old Style"/>
          <w:sz w:val="24"/>
          <w:szCs w:val="24"/>
        </w:rPr>
        <w:t>Jasa</w:t>
      </w:r>
      <w:r w:rsidR="00A954D0">
        <w:rPr>
          <w:rFonts w:ascii="Bookman Old Style" w:hAnsi="Bookman Old Style"/>
          <w:sz w:val="24"/>
          <w:szCs w:val="24"/>
        </w:rPr>
        <w:t xml:space="preserve"> </w:t>
      </w:r>
      <w:r w:rsidRPr="001F068E">
        <w:rPr>
          <w:rFonts w:ascii="Bookman Old Style" w:hAnsi="Bookman Old Style"/>
          <w:sz w:val="24"/>
          <w:szCs w:val="24"/>
        </w:rPr>
        <w:t>Tenaga</w:t>
      </w:r>
      <w:r w:rsidR="00A954D0">
        <w:rPr>
          <w:rFonts w:ascii="Bookman Old Style" w:hAnsi="Bookman Old Style"/>
          <w:sz w:val="24"/>
          <w:szCs w:val="24"/>
        </w:rPr>
        <w:t xml:space="preserve"> </w:t>
      </w:r>
      <w:r w:rsidRPr="001F068E">
        <w:rPr>
          <w:rFonts w:ascii="Bookman Old Style" w:hAnsi="Bookman Old Style"/>
          <w:sz w:val="24"/>
          <w:szCs w:val="24"/>
        </w:rPr>
        <w:t>Kesehatan</w:t>
      </w:r>
      <w:r w:rsidR="00A954D0">
        <w:rPr>
          <w:rFonts w:ascii="Bookman Old Style" w:hAnsi="Bookman Old Style"/>
          <w:sz w:val="24"/>
          <w:szCs w:val="24"/>
        </w:rPr>
        <w:t xml:space="preserve"> </w:t>
      </w:r>
      <w:r w:rsidRPr="001F068E">
        <w:rPr>
          <w:rFonts w:ascii="Bookman Old Style" w:hAnsi="Bookman Old Style"/>
          <w:sz w:val="24"/>
          <w:szCs w:val="24"/>
        </w:rPr>
        <w:t>Rp11.395.335.980,00;</w:t>
      </w:r>
    </w:p>
    <w:p w14:paraId="0F63E3F7" w14:textId="682F0673" w:rsidR="00E376E8" w:rsidRPr="001F068E" w:rsidRDefault="00E376E8" w:rsidP="00EA103E">
      <w:pPr>
        <w:pStyle w:val="ListParagraph"/>
        <w:numPr>
          <w:ilvl w:val="0"/>
          <w:numId w:val="145"/>
        </w:numPr>
        <w:spacing w:before="60" w:after="0" w:line="276" w:lineRule="auto"/>
        <w:ind w:left="3270" w:hanging="576"/>
        <w:contextualSpacing w:val="0"/>
        <w:jc w:val="both"/>
        <w:rPr>
          <w:rFonts w:ascii="Bookman Old Style" w:hAnsi="Bookman Old Style"/>
          <w:sz w:val="24"/>
          <w:szCs w:val="24"/>
        </w:rPr>
      </w:pPr>
      <w:r w:rsidRPr="001F068E">
        <w:rPr>
          <w:rFonts w:ascii="Bookman Old Style" w:hAnsi="Bookman Old Style"/>
          <w:sz w:val="24"/>
          <w:szCs w:val="24"/>
        </w:rPr>
        <w:t>Belanja</w:t>
      </w:r>
      <w:r w:rsidR="00A954D0">
        <w:rPr>
          <w:rFonts w:ascii="Bookman Old Style" w:hAnsi="Bookman Old Style"/>
          <w:sz w:val="24"/>
          <w:szCs w:val="24"/>
        </w:rPr>
        <w:t xml:space="preserve"> </w:t>
      </w:r>
      <w:r w:rsidRPr="001F068E">
        <w:rPr>
          <w:rFonts w:ascii="Bookman Old Style" w:hAnsi="Bookman Old Style"/>
          <w:sz w:val="24"/>
          <w:szCs w:val="24"/>
        </w:rPr>
        <w:t>Jasa</w:t>
      </w:r>
      <w:r w:rsidR="00A954D0">
        <w:rPr>
          <w:rFonts w:ascii="Bookman Old Style" w:hAnsi="Bookman Old Style"/>
          <w:sz w:val="24"/>
          <w:szCs w:val="24"/>
        </w:rPr>
        <w:t xml:space="preserve"> </w:t>
      </w:r>
      <w:r w:rsidRPr="001F068E">
        <w:rPr>
          <w:rFonts w:ascii="Bookman Old Style" w:hAnsi="Bookman Old Style"/>
          <w:sz w:val="24"/>
          <w:szCs w:val="24"/>
        </w:rPr>
        <w:t>Tenaga</w:t>
      </w:r>
      <w:r w:rsidR="00A954D0">
        <w:rPr>
          <w:rFonts w:ascii="Bookman Old Style" w:hAnsi="Bookman Old Style"/>
          <w:sz w:val="24"/>
          <w:szCs w:val="24"/>
        </w:rPr>
        <w:t xml:space="preserve"> </w:t>
      </w:r>
      <w:r w:rsidRPr="001F068E">
        <w:rPr>
          <w:rFonts w:ascii="Bookman Old Style" w:hAnsi="Bookman Old Style"/>
          <w:sz w:val="24"/>
          <w:szCs w:val="24"/>
        </w:rPr>
        <w:t>Penanganan</w:t>
      </w:r>
      <w:r w:rsidR="00A954D0">
        <w:rPr>
          <w:rFonts w:ascii="Bookman Old Style" w:hAnsi="Bookman Old Style"/>
          <w:sz w:val="24"/>
          <w:szCs w:val="24"/>
        </w:rPr>
        <w:t xml:space="preserve"> </w:t>
      </w:r>
      <w:r w:rsidRPr="001F068E">
        <w:rPr>
          <w:rFonts w:ascii="Bookman Old Style" w:hAnsi="Bookman Old Style"/>
          <w:sz w:val="24"/>
          <w:szCs w:val="24"/>
        </w:rPr>
        <w:t>Prasarana</w:t>
      </w:r>
      <w:r w:rsidR="00A954D0">
        <w:rPr>
          <w:rFonts w:ascii="Bookman Old Style" w:hAnsi="Bookman Old Style"/>
          <w:sz w:val="24"/>
          <w:szCs w:val="24"/>
        </w:rPr>
        <w:t xml:space="preserve"> </w:t>
      </w:r>
      <w:r w:rsidRPr="001F068E">
        <w:rPr>
          <w:rFonts w:ascii="Bookman Old Style" w:hAnsi="Bookman Old Style"/>
          <w:sz w:val="24"/>
          <w:szCs w:val="24"/>
        </w:rPr>
        <w:t>dan</w:t>
      </w:r>
      <w:r w:rsidR="00A954D0">
        <w:rPr>
          <w:rFonts w:ascii="Bookman Old Style" w:hAnsi="Bookman Old Style"/>
          <w:sz w:val="24"/>
          <w:szCs w:val="24"/>
        </w:rPr>
        <w:t xml:space="preserve"> </w:t>
      </w:r>
      <w:r w:rsidRPr="001F068E">
        <w:rPr>
          <w:rFonts w:ascii="Bookman Old Style" w:hAnsi="Bookman Old Style"/>
          <w:sz w:val="24"/>
          <w:szCs w:val="24"/>
        </w:rPr>
        <w:t>Sarana</w:t>
      </w:r>
      <w:r w:rsidR="00A954D0">
        <w:rPr>
          <w:rFonts w:ascii="Bookman Old Style" w:hAnsi="Bookman Old Style"/>
          <w:sz w:val="24"/>
          <w:szCs w:val="24"/>
        </w:rPr>
        <w:t xml:space="preserve"> </w:t>
      </w:r>
      <w:r w:rsidRPr="001F068E">
        <w:rPr>
          <w:rFonts w:ascii="Bookman Old Style" w:hAnsi="Bookman Old Style"/>
          <w:sz w:val="24"/>
          <w:szCs w:val="24"/>
        </w:rPr>
        <w:t>Umum</w:t>
      </w:r>
      <w:r w:rsidR="00A954D0">
        <w:rPr>
          <w:rFonts w:ascii="Bookman Old Style" w:hAnsi="Bookman Old Style"/>
          <w:sz w:val="24"/>
          <w:szCs w:val="24"/>
        </w:rPr>
        <w:t xml:space="preserve"> </w:t>
      </w:r>
      <w:r w:rsidRPr="001F068E">
        <w:rPr>
          <w:rFonts w:ascii="Bookman Old Style" w:hAnsi="Bookman Old Style"/>
          <w:sz w:val="24"/>
          <w:szCs w:val="24"/>
        </w:rPr>
        <w:t>Rp69.536.933.260,00;</w:t>
      </w:r>
    </w:p>
    <w:p w14:paraId="062D351A" w14:textId="07C01128" w:rsidR="00E376E8" w:rsidRPr="001F068E" w:rsidRDefault="00E376E8" w:rsidP="00EA103E">
      <w:pPr>
        <w:pStyle w:val="ListParagraph"/>
        <w:numPr>
          <w:ilvl w:val="0"/>
          <w:numId w:val="145"/>
        </w:numPr>
        <w:spacing w:before="60" w:after="0" w:line="276" w:lineRule="auto"/>
        <w:ind w:left="3270" w:hanging="576"/>
        <w:contextualSpacing w:val="0"/>
        <w:jc w:val="both"/>
        <w:rPr>
          <w:rFonts w:ascii="Bookman Old Style" w:hAnsi="Bookman Old Style"/>
          <w:sz w:val="24"/>
          <w:szCs w:val="24"/>
        </w:rPr>
      </w:pPr>
      <w:r w:rsidRPr="001F068E">
        <w:rPr>
          <w:rFonts w:ascii="Bookman Old Style" w:hAnsi="Bookman Old Style"/>
          <w:sz w:val="24"/>
          <w:szCs w:val="24"/>
        </w:rPr>
        <w:t>Belanja</w:t>
      </w:r>
      <w:r w:rsidR="00A954D0">
        <w:rPr>
          <w:rFonts w:ascii="Bookman Old Style" w:hAnsi="Bookman Old Style"/>
          <w:sz w:val="24"/>
          <w:szCs w:val="24"/>
        </w:rPr>
        <w:t xml:space="preserve"> </w:t>
      </w:r>
      <w:r w:rsidRPr="001F068E">
        <w:rPr>
          <w:rFonts w:ascii="Bookman Old Style" w:hAnsi="Bookman Old Style"/>
          <w:sz w:val="24"/>
          <w:szCs w:val="24"/>
        </w:rPr>
        <w:t>Jasa</w:t>
      </w:r>
      <w:r w:rsidR="00A954D0">
        <w:rPr>
          <w:rFonts w:ascii="Bookman Old Style" w:hAnsi="Bookman Old Style"/>
          <w:sz w:val="24"/>
          <w:szCs w:val="24"/>
        </w:rPr>
        <w:t xml:space="preserve"> </w:t>
      </w:r>
      <w:r w:rsidRPr="001F068E">
        <w:rPr>
          <w:rFonts w:ascii="Bookman Old Style" w:hAnsi="Bookman Old Style"/>
          <w:sz w:val="24"/>
          <w:szCs w:val="24"/>
        </w:rPr>
        <w:t>Tenaga</w:t>
      </w:r>
      <w:r w:rsidR="00A954D0">
        <w:rPr>
          <w:rFonts w:ascii="Bookman Old Style" w:hAnsi="Bookman Old Style"/>
          <w:sz w:val="24"/>
          <w:szCs w:val="24"/>
        </w:rPr>
        <w:t xml:space="preserve"> </w:t>
      </w:r>
      <w:r w:rsidRPr="001F068E">
        <w:rPr>
          <w:rFonts w:ascii="Bookman Old Style" w:hAnsi="Bookman Old Style"/>
          <w:sz w:val="24"/>
          <w:szCs w:val="24"/>
        </w:rPr>
        <w:t>Ketenteraman,</w:t>
      </w:r>
      <w:r w:rsidR="00A954D0">
        <w:rPr>
          <w:rFonts w:ascii="Bookman Old Style" w:hAnsi="Bookman Old Style"/>
          <w:sz w:val="24"/>
          <w:szCs w:val="24"/>
        </w:rPr>
        <w:t xml:space="preserve"> </w:t>
      </w:r>
      <w:r w:rsidRPr="001F068E">
        <w:rPr>
          <w:rFonts w:ascii="Bookman Old Style" w:hAnsi="Bookman Old Style"/>
          <w:sz w:val="24"/>
          <w:szCs w:val="24"/>
        </w:rPr>
        <w:t>Ketertiban</w:t>
      </w:r>
      <w:r w:rsidR="00A954D0">
        <w:rPr>
          <w:rFonts w:ascii="Bookman Old Style" w:hAnsi="Bookman Old Style"/>
          <w:sz w:val="24"/>
          <w:szCs w:val="24"/>
        </w:rPr>
        <w:t xml:space="preserve"> </w:t>
      </w:r>
      <w:r w:rsidRPr="001F068E">
        <w:rPr>
          <w:rFonts w:ascii="Bookman Old Style" w:hAnsi="Bookman Old Style"/>
          <w:sz w:val="24"/>
          <w:szCs w:val="24"/>
        </w:rPr>
        <w:t>Umum,</w:t>
      </w:r>
      <w:r w:rsidR="00A954D0">
        <w:rPr>
          <w:rFonts w:ascii="Bookman Old Style" w:hAnsi="Bookman Old Style"/>
          <w:sz w:val="24"/>
          <w:szCs w:val="24"/>
        </w:rPr>
        <w:t xml:space="preserve"> </w:t>
      </w:r>
      <w:r w:rsidRPr="001F068E">
        <w:rPr>
          <w:rFonts w:ascii="Bookman Old Style" w:hAnsi="Bookman Old Style"/>
          <w:sz w:val="24"/>
          <w:szCs w:val="24"/>
        </w:rPr>
        <w:t>dan</w:t>
      </w:r>
      <w:r w:rsidR="00A954D0">
        <w:rPr>
          <w:rFonts w:ascii="Bookman Old Style" w:hAnsi="Bookman Old Style"/>
          <w:sz w:val="24"/>
          <w:szCs w:val="24"/>
        </w:rPr>
        <w:t xml:space="preserve"> </w:t>
      </w:r>
      <w:r w:rsidRPr="001F068E">
        <w:rPr>
          <w:rFonts w:ascii="Bookman Old Style" w:hAnsi="Bookman Old Style"/>
          <w:sz w:val="24"/>
          <w:szCs w:val="24"/>
        </w:rPr>
        <w:t>Perlindungan</w:t>
      </w:r>
      <w:r w:rsidR="00A954D0">
        <w:rPr>
          <w:rFonts w:ascii="Bookman Old Style" w:hAnsi="Bookman Old Style"/>
          <w:sz w:val="24"/>
          <w:szCs w:val="24"/>
        </w:rPr>
        <w:t xml:space="preserve"> </w:t>
      </w:r>
      <w:r w:rsidRPr="001F068E">
        <w:rPr>
          <w:rFonts w:ascii="Bookman Old Style" w:hAnsi="Bookman Old Style"/>
          <w:sz w:val="24"/>
          <w:szCs w:val="24"/>
        </w:rPr>
        <w:t>Masyarakat</w:t>
      </w:r>
      <w:r w:rsidR="00A954D0">
        <w:rPr>
          <w:rFonts w:ascii="Bookman Old Style" w:hAnsi="Bookman Old Style"/>
          <w:sz w:val="24"/>
          <w:szCs w:val="24"/>
        </w:rPr>
        <w:t xml:space="preserve"> </w:t>
      </w:r>
      <w:r w:rsidRPr="001F068E">
        <w:rPr>
          <w:rFonts w:ascii="Bookman Old Style" w:hAnsi="Bookman Old Style"/>
          <w:sz w:val="24"/>
          <w:szCs w:val="24"/>
        </w:rPr>
        <w:t>Rp14.854.666.800,00;</w:t>
      </w:r>
    </w:p>
    <w:p w14:paraId="0F5AED08" w14:textId="51E74D79" w:rsidR="00E376E8" w:rsidRPr="001F068E" w:rsidRDefault="00E376E8" w:rsidP="00EA103E">
      <w:pPr>
        <w:pStyle w:val="ListParagraph"/>
        <w:numPr>
          <w:ilvl w:val="0"/>
          <w:numId w:val="145"/>
        </w:numPr>
        <w:spacing w:before="60" w:after="0" w:line="276" w:lineRule="auto"/>
        <w:ind w:left="3270" w:hanging="576"/>
        <w:contextualSpacing w:val="0"/>
        <w:jc w:val="both"/>
        <w:rPr>
          <w:rFonts w:ascii="Bookman Old Style" w:hAnsi="Bookman Old Style"/>
          <w:sz w:val="24"/>
          <w:szCs w:val="24"/>
        </w:rPr>
      </w:pPr>
      <w:r w:rsidRPr="001F068E">
        <w:rPr>
          <w:rFonts w:ascii="Bookman Old Style" w:hAnsi="Bookman Old Style"/>
          <w:sz w:val="24"/>
          <w:szCs w:val="24"/>
        </w:rPr>
        <w:lastRenderedPageBreak/>
        <w:t>Belanja</w:t>
      </w:r>
      <w:r w:rsidR="00A954D0">
        <w:rPr>
          <w:rFonts w:ascii="Bookman Old Style" w:hAnsi="Bookman Old Style"/>
          <w:sz w:val="24"/>
          <w:szCs w:val="24"/>
        </w:rPr>
        <w:t xml:space="preserve"> </w:t>
      </w:r>
      <w:r w:rsidRPr="001F068E">
        <w:rPr>
          <w:rFonts w:ascii="Bookman Old Style" w:hAnsi="Bookman Old Style"/>
          <w:sz w:val="24"/>
          <w:szCs w:val="24"/>
        </w:rPr>
        <w:t>Jasa</w:t>
      </w:r>
      <w:r w:rsidR="00A954D0">
        <w:rPr>
          <w:rFonts w:ascii="Bookman Old Style" w:hAnsi="Bookman Old Style"/>
          <w:sz w:val="24"/>
          <w:szCs w:val="24"/>
        </w:rPr>
        <w:t xml:space="preserve"> </w:t>
      </w:r>
      <w:r w:rsidRPr="001F068E">
        <w:rPr>
          <w:rFonts w:ascii="Bookman Old Style" w:hAnsi="Bookman Old Style"/>
          <w:sz w:val="24"/>
          <w:szCs w:val="24"/>
        </w:rPr>
        <w:t>Tenaga</w:t>
      </w:r>
      <w:r w:rsidR="00A954D0">
        <w:rPr>
          <w:rFonts w:ascii="Bookman Old Style" w:hAnsi="Bookman Old Style"/>
          <w:sz w:val="24"/>
          <w:szCs w:val="24"/>
        </w:rPr>
        <w:t xml:space="preserve"> </w:t>
      </w:r>
      <w:r w:rsidRPr="001F068E">
        <w:rPr>
          <w:rFonts w:ascii="Bookman Old Style" w:hAnsi="Bookman Old Style"/>
          <w:sz w:val="24"/>
          <w:szCs w:val="24"/>
        </w:rPr>
        <w:t>Penanganan</w:t>
      </w:r>
      <w:r w:rsidR="00A954D0">
        <w:rPr>
          <w:rFonts w:ascii="Bookman Old Style" w:hAnsi="Bookman Old Style"/>
          <w:sz w:val="24"/>
          <w:szCs w:val="24"/>
        </w:rPr>
        <w:t xml:space="preserve"> </w:t>
      </w:r>
      <w:r w:rsidRPr="001F068E">
        <w:rPr>
          <w:rFonts w:ascii="Bookman Old Style" w:hAnsi="Bookman Old Style"/>
          <w:sz w:val="24"/>
          <w:szCs w:val="24"/>
        </w:rPr>
        <w:t>Bencana</w:t>
      </w:r>
      <w:r w:rsidR="00A954D0">
        <w:rPr>
          <w:rFonts w:ascii="Bookman Old Style" w:hAnsi="Bookman Old Style"/>
          <w:sz w:val="24"/>
          <w:szCs w:val="24"/>
        </w:rPr>
        <w:t xml:space="preserve"> </w:t>
      </w:r>
      <w:r w:rsidRPr="001F068E">
        <w:rPr>
          <w:rFonts w:ascii="Bookman Old Style" w:hAnsi="Bookman Old Style"/>
          <w:sz w:val="24"/>
          <w:szCs w:val="24"/>
        </w:rPr>
        <w:t>Rp11.488.152.000,00;</w:t>
      </w:r>
    </w:p>
    <w:p w14:paraId="3DB47071" w14:textId="798452DA" w:rsidR="003B7FE4" w:rsidRPr="001F068E" w:rsidRDefault="00E376E8" w:rsidP="00EA103E">
      <w:pPr>
        <w:pStyle w:val="ListParagraph"/>
        <w:numPr>
          <w:ilvl w:val="0"/>
          <w:numId w:val="145"/>
        </w:numPr>
        <w:spacing w:before="60" w:after="0" w:line="276" w:lineRule="auto"/>
        <w:ind w:left="3270" w:hanging="576"/>
        <w:contextualSpacing w:val="0"/>
        <w:jc w:val="both"/>
        <w:rPr>
          <w:rFonts w:ascii="Bookman Old Style" w:hAnsi="Bookman Old Style"/>
          <w:sz w:val="24"/>
          <w:szCs w:val="24"/>
        </w:rPr>
      </w:pPr>
      <w:r w:rsidRPr="001F068E">
        <w:rPr>
          <w:rFonts w:ascii="Bookman Old Style" w:hAnsi="Bookman Old Style"/>
          <w:sz w:val="24"/>
          <w:szCs w:val="24"/>
        </w:rPr>
        <w:t>Belanja</w:t>
      </w:r>
      <w:r w:rsidR="00A954D0">
        <w:rPr>
          <w:rFonts w:ascii="Bookman Old Style" w:hAnsi="Bookman Old Style"/>
          <w:sz w:val="24"/>
          <w:szCs w:val="24"/>
        </w:rPr>
        <w:t xml:space="preserve"> </w:t>
      </w:r>
      <w:r w:rsidRPr="001F068E">
        <w:rPr>
          <w:rFonts w:ascii="Bookman Old Style" w:hAnsi="Bookman Old Style"/>
          <w:sz w:val="24"/>
          <w:szCs w:val="24"/>
        </w:rPr>
        <w:t>Jasa</w:t>
      </w:r>
      <w:r w:rsidR="00A954D0">
        <w:rPr>
          <w:rFonts w:ascii="Bookman Old Style" w:hAnsi="Bookman Old Style"/>
          <w:sz w:val="24"/>
          <w:szCs w:val="24"/>
        </w:rPr>
        <w:t xml:space="preserve"> </w:t>
      </w:r>
      <w:r w:rsidRPr="001F068E">
        <w:rPr>
          <w:rFonts w:ascii="Bookman Old Style" w:hAnsi="Bookman Old Style"/>
          <w:sz w:val="24"/>
          <w:szCs w:val="24"/>
        </w:rPr>
        <w:t>Tenaga</w:t>
      </w:r>
      <w:r w:rsidR="00A954D0">
        <w:rPr>
          <w:rFonts w:ascii="Bookman Old Style" w:hAnsi="Bookman Old Style"/>
          <w:sz w:val="24"/>
          <w:szCs w:val="24"/>
        </w:rPr>
        <w:t xml:space="preserve"> </w:t>
      </w:r>
      <w:r w:rsidRPr="001F068E">
        <w:rPr>
          <w:rFonts w:ascii="Bookman Old Style" w:hAnsi="Bookman Old Style"/>
          <w:sz w:val="24"/>
          <w:szCs w:val="24"/>
        </w:rPr>
        <w:t>Penanganan</w:t>
      </w:r>
      <w:r w:rsidR="00A954D0">
        <w:rPr>
          <w:rFonts w:ascii="Bookman Old Style" w:hAnsi="Bookman Old Style"/>
          <w:sz w:val="24"/>
          <w:szCs w:val="24"/>
        </w:rPr>
        <w:t xml:space="preserve"> </w:t>
      </w:r>
      <w:r w:rsidRPr="001F068E">
        <w:rPr>
          <w:rFonts w:ascii="Bookman Old Style" w:hAnsi="Bookman Old Style"/>
          <w:sz w:val="24"/>
          <w:szCs w:val="24"/>
        </w:rPr>
        <w:t>Sosial</w:t>
      </w:r>
      <w:r w:rsidR="00A954D0">
        <w:rPr>
          <w:rFonts w:ascii="Bookman Old Style" w:hAnsi="Bookman Old Style"/>
          <w:sz w:val="24"/>
          <w:szCs w:val="24"/>
        </w:rPr>
        <w:t xml:space="preserve"> </w:t>
      </w:r>
      <w:r w:rsidRPr="001F068E">
        <w:rPr>
          <w:rFonts w:ascii="Bookman Old Style" w:hAnsi="Bookman Old Style"/>
          <w:sz w:val="24"/>
          <w:szCs w:val="24"/>
        </w:rPr>
        <w:t>Rp8.111.220.000,00;</w:t>
      </w:r>
    </w:p>
    <w:p w14:paraId="4E4A730B" w14:textId="40F5ADD9" w:rsidR="003B7FE4" w:rsidRPr="001F068E" w:rsidRDefault="00E376E8" w:rsidP="00EA103E">
      <w:pPr>
        <w:pStyle w:val="ListParagraph"/>
        <w:numPr>
          <w:ilvl w:val="0"/>
          <w:numId w:val="145"/>
        </w:numPr>
        <w:spacing w:before="60" w:after="0" w:line="276" w:lineRule="auto"/>
        <w:ind w:left="3270" w:hanging="576"/>
        <w:contextualSpacing w:val="0"/>
        <w:jc w:val="both"/>
        <w:rPr>
          <w:rFonts w:ascii="Bookman Old Style" w:hAnsi="Bookman Old Style"/>
          <w:sz w:val="24"/>
          <w:szCs w:val="24"/>
        </w:rPr>
      </w:pPr>
      <w:r w:rsidRPr="001F068E">
        <w:rPr>
          <w:rFonts w:ascii="Bookman Old Style" w:hAnsi="Bookman Old Style"/>
          <w:sz w:val="24"/>
          <w:szCs w:val="24"/>
        </w:rPr>
        <w:t>Belanja</w:t>
      </w:r>
      <w:r w:rsidR="00A954D0">
        <w:rPr>
          <w:rFonts w:ascii="Bookman Old Style" w:hAnsi="Bookman Old Style"/>
          <w:sz w:val="24"/>
          <w:szCs w:val="24"/>
        </w:rPr>
        <w:t xml:space="preserve"> </w:t>
      </w:r>
      <w:r w:rsidRPr="001F068E">
        <w:rPr>
          <w:rFonts w:ascii="Bookman Old Style" w:hAnsi="Bookman Old Style"/>
          <w:sz w:val="24"/>
          <w:szCs w:val="24"/>
        </w:rPr>
        <w:t>Jasa</w:t>
      </w:r>
      <w:r w:rsidR="00A954D0">
        <w:rPr>
          <w:rFonts w:ascii="Bookman Old Style" w:hAnsi="Bookman Old Style"/>
          <w:sz w:val="24"/>
          <w:szCs w:val="24"/>
        </w:rPr>
        <w:t xml:space="preserve"> </w:t>
      </w:r>
      <w:r w:rsidRPr="001F068E">
        <w:rPr>
          <w:rFonts w:ascii="Bookman Old Style" w:hAnsi="Bookman Old Style"/>
          <w:sz w:val="24"/>
          <w:szCs w:val="24"/>
        </w:rPr>
        <w:t>Tenaga</w:t>
      </w:r>
      <w:r w:rsidR="00A954D0">
        <w:rPr>
          <w:rFonts w:ascii="Bookman Old Style" w:hAnsi="Bookman Old Style"/>
          <w:sz w:val="24"/>
          <w:szCs w:val="24"/>
        </w:rPr>
        <w:t xml:space="preserve"> </w:t>
      </w:r>
      <w:r w:rsidRPr="001F068E">
        <w:rPr>
          <w:rFonts w:ascii="Bookman Old Style" w:hAnsi="Bookman Old Style"/>
          <w:sz w:val="24"/>
          <w:szCs w:val="24"/>
        </w:rPr>
        <w:t>Perhubungan</w:t>
      </w:r>
      <w:r w:rsidR="00A954D0">
        <w:rPr>
          <w:rFonts w:ascii="Bookman Old Style" w:hAnsi="Bookman Old Style"/>
          <w:sz w:val="24"/>
          <w:szCs w:val="24"/>
        </w:rPr>
        <w:t xml:space="preserve"> </w:t>
      </w:r>
      <w:r w:rsidRPr="001F068E">
        <w:rPr>
          <w:rFonts w:ascii="Bookman Old Style" w:hAnsi="Bookman Old Style"/>
          <w:sz w:val="24"/>
          <w:szCs w:val="24"/>
        </w:rPr>
        <w:t>Rp11.170.224.000,00</w:t>
      </w:r>
      <w:r w:rsidR="003B7FE4" w:rsidRPr="001F068E">
        <w:rPr>
          <w:rFonts w:ascii="Bookman Old Style" w:hAnsi="Bookman Old Style"/>
          <w:sz w:val="24"/>
          <w:szCs w:val="24"/>
        </w:rPr>
        <w:t>;</w:t>
      </w:r>
    </w:p>
    <w:p w14:paraId="44022AE7" w14:textId="01F1494A" w:rsidR="00930FF7" w:rsidRPr="001F068E" w:rsidRDefault="00E376E8" w:rsidP="00EA103E">
      <w:pPr>
        <w:pStyle w:val="ListParagraph"/>
        <w:numPr>
          <w:ilvl w:val="0"/>
          <w:numId w:val="145"/>
        </w:numPr>
        <w:spacing w:before="60" w:after="0" w:line="276" w:lineRule="auto"/>
        <w:ind w:left="3270" w:hanging="576"/>
        <w:contextualSpacing w:val="0"/>
        <w:jc w:val="both"/>
        <w:rPr>
          <w:rFonts w:ascii="Bookman Old Style" w:hAnsi="Bookman Old Style"/>
          <w:sz w:val="24"/>
          <w:szCs w:val="24"/>
        </w:rPr>
      </w:pPr>
      <w:r w:rsidRPr="001F068E">
        <w:rPr>
          <w:rFonts w:ascii="Bookman Old Style" w:hAnsi="Bookman Old Style"/>
          <w:sz w:val="24"/>
          <w:szCs w:val="24"/>
        </w:rPr>
        <w:t>Belanja</w:t>
      </w:r>
      <w:r w:rsidR="00A954D0">
        <w:rPr>
          <w:rFonts w:ascii="Bookman Old Style" w:hAnsi="Bookman Old Style"/>
          <w:sz w:val="24"/>
          <w:szCs w:val="24"/>
        </w:rPr>
        <w:t xml:space="preserve"> </w:t>
      </w:r>
      <w:r w:rsidRPr="001F068E">
        <w:rPr>
          <w:rFonts w:ascii="Bookman Old Style" w:hAnsi="Bookman Old Style"/>
          <w:sz w:val="24"/>
          <w:szCs w:val="24"/>
        </w:rPr>
        <w:t>Jasa</w:t>
      </w:r>
      <w:r w:rsidR="00A954D0">
        <w:rPr>
          <w:rFonts w:ascii="Bookman Old Style" w:hAnsi="Bookman Old Style"/>
          <w:sz w:val="24"/>
          <w:szCs w:val="24"/>
        </w:rPr>
        <w:t xml:space="preserve"> </w:t>
      </w:r>
      <w:r w:rsidRPr="001F068E">
        <w:rPr>
          <w:rFonts w:ascii="Bookman Old Style" w:hAnsi="Bookman Old Style"/>
          <w:sz w:val="24"/>
          <w:szCs w:val="24"/>
        </w:rPr>
        <w:t>Tenaga</w:t>
      </w:r>
      <w:r w:rsidR="00A954D0">
        <w:rPr>
          <w:rFonts w:ascii="Bookman Old Style" w:hAnsi="Bookman Old Style"/>
          <w:sz w:val="24"/>
          <w:szCs w:val="24"/>
        </w:rPr>
        <w:t xml:space="preserve"> </w:t>
      </w:r>
      <w:r w:rsidRPr="001F068E">
        <w:rPr>
          <w:rFonts w:ascii="Bookman Old Style" w:hAnsi="Bookman Old Style"/>
          <w:sz w:val="24"/>
          <w:szCs w:val="24"/>
        </w:rPr>
        <w:t>Administrasi</w:t>
      </w:r>
      <w:r w:rsidR="00A954D0">
        <w:rPr>
          <w:rFonts w:ascii="Bookman Old Style" w:hAnsi="Bookman Old Style"/>
          <w:sz w:val="24"/>
          <w:szCs w:val="24"/>
        </w:rPr>
        <w:t xml:space="preserve"> </w:t>
      </w:r>
      <w:r w:rsidRPr="001F068E">
        <w:rPr>
          <w:rFonts w:ascii="Bookman Old Style" w:hAnsi="Bookman Old Style"/>
          <w:sz w:val="24"/>
          <w:szCs w:val="24"/>
        </w:rPr>
        <w:t>Rp57.923.269.564,00</w:t>
      </w:r>
      <w:r w:rsidR="00624BE9" w:rsidRPr="001F068E">
        <w:rPr>
          <w:rFonts w:ascii="Bookman Old Style" w:hAnsi="Bookman Old Style"/>
          <w:sz w:val="24"/>
          <w:szCs w:val="24"/>
        </w:rPr>
        <w:t>;</w:t>
      </w:r>
    </w:p>
    <w:p w14:paraId="0B8D13E0" w14:textId="16EAB6B0" w:rsidR="00E376E8" w:rsidRPr="001F068E" w:rsidRDefault="00E376E8" w:rsidP="00EA103E">
      <w:pPr>
        <w:pStyle w:val="ListParagraph"/>
        <w:numPr>
          <w:ilvl w:val="0"/>
          <w:numId w:val="145"/>
        </w:numPr>
        <w:spacing w:before="60" w:after="0" w:line="276" w:lineRule="auto"/>
        <w:ind w:left="3270" w:hanging="576"/>
        <w:contextualSpacing w:val="0"/>
        <w:jc w:val="both"/>
        <w:rPr>
          <w:rFonts w:ascii="Bookman Old Style" w:hAnsi="Bookman Old Style"/>
          <w:sz w:val="24"/>
          <w:szCs w:val="24"/>
        </w:rPr>
      </w:pPr>
      <w:r w:rsidRPr="001F068E">
        <w:rPr>
          <w:rFonts w:ascii="Bookman Old Style" w:hAnsi="Bookman Old Style"/>
          <w:sz w:val="24"/>
          <w:szCs w:val="24"/>
        </w:rPr>
        <w:t>Belanja</w:t>
      </w:r>
      <w:r w:rsidR="00A954D0">
        <w:rPr>
          <w:rFonts w:ascii="Bookman Old Style" w:hAnsi="Bookman Old Style"/>
          <w:sz w:val="24"/>
          <w:szCs w:val="24"/>
        </w:rPr>
        <w:t xml:space="preserve"> </w:t>
      </w:r>
      <w:r w:rsidRPr="001F068E">
        <w:rPr>
          <w:rFonts w:ascii="Bookman Old Style" w:hAnsi="Bookman Old Style"/>
          <w:sz w:val="24"/>
          <w:szCs w:val="24"/>
        </w:rPr>
        <w:t>Jasa</w:t>
      </w:r>
      <w:r w:rsidR="00A954D0">
        <w:rPr>
          <w:rFonts w:ascii="Bookman Old Style" w:hAnsi="Bookman Old Style"/>
          <w:sz w:val="24"/>
          <w:szCs w:val="24"/>
        </w:rPr>
        <w:t xml:space="preserve"> </w:t>
      </w:r>
      <w:r w:rsidRPr="001F068E">
        <w:rPr>
          <w:rFonts w:ascii="Bookman Old Style" w:hAnsi="Bookman Old Style"/>
          <w:sz w:val="24"/>
          <w:szCs w:val="24"/>
        </w:rPr>
        <w:t>Tenaga</w:t>
      </w:r>
      <w:r w:rsidR="00A954D0">
        <w:rPr>
          <w:rFonts w:ascii="Bookman Old Style" w:hAnsi="Bookman Old Style"/>
          <w:sz w:val="24"/>
          <w:szCs w:val="24"/>
        </w:rPr>
        <w:t xml:space="preserve"> </w:t>
      </w:r>
      <w:r w:rsidRPr="001F068E">
        <w:rPr>
          <w:rFonts w:ascii="Bookman Old Style" w:hAnsi="Bookman Old Style"/>
          <w:sz w:val="24"/>
          <w:szCs w:val="24"/>
        </w:rPr>
        <w:t>Pelayanan</w:t>
      </w:r>
      <w:r w:rsidR="00A954D0">
        <w:rPr>
          <w:rFonts w:ascii="Bookman Old Style" w:hAnsi="Bookman Old Style"/>
          <w:sz w:val="24"/>
          <w:szCs w:val="24"/>
        </w:rPr>
        <w:t xml:space="preserve"> </w:t>
      </w:r>
      <w:r w:rsidRPr="001F068E">
        <w:rPr>
          <w:rFonts w:ascii="Bookman Old Style" w:hAnsi="Bookman Old Style"/>
          <w:sz w:val="24"/>
          <w:szCs w:val="24"/>
        </w:rPr>
        <w:t>Umum</w:t>
      </w:r>
      <w:r w:rsidR="00A954D0">
        <w:rPr>
          <w:rFonts w:ascii="Bookman Old Style" w:hAnsi="Bookman Old Style"/>
          <w:sz w:val="24"/>
          <w:szCs w:val="24"/>
        </w:rPr>
        <w:t xml:space="preserve"> </w:t>
      </w:r>
      <w:r w:rsidRPr="001F068E">
        <w:rPr>
          <w:rFonts w:ascii="Bookman Old Style" w:hAnsi="Bookman Old Style"/>
          <w:sz w:val="24"/>
          <w:szCs w:val="24"/>
        </w:rPr>
        <w:t>Rp9.167.206.520,00;</w:t>
      </w:r>
    </w:p>
    <w:p w14:paraId="3E403AE9" w14:textId="616401B8" w:rsidR="00E376E8" w:rsidRPr="001F068E" w:rsidRDefault="00E376E8" w:rsidP="00EA103E">
      <w:pPr>
        <w:pStyle w:val="ListParagraph"/>
        <w:numPr>
          <w:ilvl w:val="0"/>
          <w:numId w:val="145"/>
        </w:numPr>
        <w:spacing w:before="60" w:after="0" w:line="276" w:lineRule="auto"/>
        <w:ind w:left="3270" w:hanging="576"/>
        <w:contextualSpacing w:val="0"/>
        <w:jc w:val="both"/>
        <w:rPr>
          <w:rFonts w:ascii="Bookman Old Style" w:hAnsi="Bookman Old Style"/>
          <w:sz w:val="24"/>
          <w:szCs w:val="24"/>
        </w:rPr>
      </w:pPr>
      <w:r w:rsidRPr="001F068E">
        <w:rPr>
          <w:rFonts w:ascii="Bookman Old Style" w:hAnsi="Bookman Old Style"/>
          <w:sz w:val="24"/>
          <w:szCs w:val="24"/>
        </w:rPr>
        <w:t>Belanja</w:t>
      </w:r>
      <w:r w:rsidR="00A954D0">
        <w:rPr>
          <w:rFonts w:ascii="Bookman Old Style" w:hAnsi="Bookman Old Style"/>
          <w:sz w:val="24"/>
          <w:szCs w:val="24"/>
        </w:rPr>
        <w:t xml:space="preserve"> </w:t>
      </w:r>
      <w:r w:rsidRPr="001F068E">
        <w:rPr>
          <w:rFonts w:ascii="Bookman Old Style" w:hAnsi="Bookman Old Style"/>
          <w:sz w:val="24"/>
          <w:szCs w:val="24"/>
        </w:rPr>
        <w:t>Jasa</w:t>
      </w:r>
      <w:r w:rsidR="00A954D0">
        <w:rPr>
          <w:rFonts w:ascii="Bookman Old Style" w:hAnsi="Bookman Old Style"/>
          <w:sz w:val="24"/>
          <w:szCs w:val="24"/>
        </w:rPr>
        <w:t xml:space="preserve"> </w:t>
      </w:r>
      <w:r w:rsidRPr="001F068E">
        <w:rPr>
          <w:rFonts w:ascii="Bookman Old Style" w:hAnsi="Bookman Old Style"/>
          <w:sz w:val="24"/>
          <w:szCs w:val="24"/>
        </w:rPr>
        <w:t>Tenaga</w:t>
      </w:r>
      <w:r w:rsidR="00A954D0">
        <w:rPr>
          <w:rFonts w:ascii="Bookman Old Style" w:hAnsi="Bookman Old Style"/>
          <w:sz w:val="24"/>
          <w:szCs w:val="24"/>
        </w:rPr>
        <w:t xml:space="preserve"> </w:t>
      </w:r>
      <w:r w:rsidRPr="001F068E">
        <w:rPr>
          <w:rFonts w:ascii="Bookman Old Style" w:hAnsi="Bookman Old Style"/>
          <w:sz w:val="24"/>
          <w:szCs w:val="24"/>
        </w:rPr>
        <w:t>Ahli</w:t>
      </w:r>
      <w:r w:rsidR="00A954D0">
        <w:rPr>
          <w:rFonts w:ascii="Bookman Old Style" w:hAnsi="Bookman Old Style"/>
          <w:sz w:val="24"/>
          <w:szCs w:val="24"/>
        </w:rPr>
        <w:t xml:space="preserve"> </w:t>
      </w:r>
      <w:r w:rsidRPr="001F068E">
        <w:rPr>
          <w:rFonts w:ascii="Bookman Old Style" w:hAnsi="Bookman Old Style"/>
          <w:sz w:val="24"/>
          <w:szCs w:val="24"/>
        </w:rPr>
        <w:t>Rp10.474.047.300,00;</w:t>
      </w:r>
    </w:p>
    <w:p w14:paraId="4120E1DF" w14:textId="6EB95925" w:rsidR="00E376E8" w:rsidRPr="001F068E" w:rsidRDefault="00E376E8" w:rsidP="00EA103E">
      <w:pPr>
        <w:pStyle w:val="ListParagraph"/>
        <w:numPr>
          <w:ilvl w:val="0"/>
          <w:numId w:val="145"/>
        </w:numPr>
        <w:spacing w:before="60" w:after="0" w:line="276" w:lineRule="auto"/>
        <w:ind w:left="3270" w:hanging="576"/>
        <w:contextualSpacing w:val="0"/>
        <w:jc w:val="both"/>
        <w:rPr>
          <w:rFonts w:ascii="Bookman Old Style" w:hAnsi="Bookman Old Style"/>
          <w:sz w:val="24"/>
          <w:szCs w:val="24"/>
        </w:rPr>
      </w:pPr>
      <w:r w:rsidRPr="001F068E">
        <w:rPr>
          <w:rFonts w:ascii="Bookman Old Style" w:hAnsi="Bookman Old Style"/>
          <w:sz w:val="24"/>
          <w:szCs w:val="24"/>
        </w:rPr>
        <w:t>Belanja</w:t>
      </w:r>
      <w:r w:rsidR="00A954D0">
        <w:rPr>
          <w:rFonts w:ascii="Bookman Old Style" w:hAnsi="Bookman Old Style"/>
          <w:sz w:val="24"/>
          <w:szCs w:val="24"/>
        </w:rPr>
        <w:t xml:space="preserve"> </w:t>
      </w:r>
      <w:r w:rsidRPr="001F068E">
        <w:rPr>
          <w:rFonts w:ascii="Bookman Old Style" w:hAnsi="Bookman Old Style"/>
          <w:sz w:val="24"/>
          <w:szCs w:val="24"/>
        </w:rPr>
        <w:t>Jasa</w:t>
      </w:r>
      <w:r w:rsidR="00A954D0">
        <w:rPr>
          <w:rFonts w:ascii="Bookman Old Style" w:hAnsi="Bookman Old Style"/>
          <w:sz w:val="24"/>
          <w:szCs w:val="24"/>
        </w:rPr>
        <w:t xml:space="preserve"> </w:t>
      </w:r>
      <w:r w:rsidRPr="001F068E">
        <w:rPr>
          <w:rFonts w:ascii="Bookman Old Style" w:hAnsi="Bookman Old Style"/>
          <w:sz w:val="24"/>
          <w:szCs w:val="24"/>
        </w:rPr>
        <w:t>Tenaga</w:t>
      </w:r>
      <w:r w:rsidR="00A954D0">
        <w:rPr>
          <w:rFonts w:ascii="Bookman Old Style" w:hAnsi="Bookman Old Style"/>
          <w:sz w:val="24"/>
          <w:szCs w:val="24"/>
        </w:rPr>
        <w:t xml:space="preserve"> </w:t>
      </w:r>
      <w:r w:rsidRPr="001F068E">
        <w:rPr>
          <w:rFonts w:ascii="Bookman Old Style" w:hAnsi="Bookman Old Style"/>
          <w:sz w:val="24"/>
          <w:szCs w:val="24"/>
        </w:rPr>
        <w:t>Kebersihan</w:t>
      </w:r>
      <w:r w:rsidR="00A954D0">
        <w:rPr>
          <w:rFonts w:ascii="Bookman Old Style" w:hAnsi="Bookman Old Style"/>
          <w:sz w:val="24"/>
          <w:szCs w:val="24"/>
        </w:rPr>
        <w:t xml:space="preserve"> </w:t>
      </w:r>
      <w:r w:rsidRPr="001F068E">
        <w:rPr>
          <w:rFonts w:ascii="Bookman Old Style" w:hAnsi="Bookman Old Style"/>
          <w:sz w:val="24"/>
          <w:szCs w:val="24"/>
        </w:rPr>
        <w:t>Rp133.023.540.400,00;</w:t>
      </w:r>
    </w:p>
    <w:p w14:paraId="25861110" w14:textId="23814817" w:rsidR="00E376E8" w:rsidRPr="001F068E" w:rsidRDefault="00E376E8" w:rsidP="00EA103E">
      <w:pPr>
        <w:pStyle w:val="ListParagraph"/>
        <w:numPr>
          <w:ilvl w:val="0"/>
          <w:numId w:val="145"/>
        </w:numPr>
        <w:spacing w:before="60" w:after="0" w:line="276" w:lineRule="auto"/>
        <w:ind w:left="3270" w:hanging="576"/>
        <w:contextualSpacing w:val="0"/>
        <w:jc w:val="both"/>
        <w:rPr>
          <w:rFonts w:ascii="Bookman Old Style" w:hAnsi="Bookman Old Style"/>
          <w:sz w:val="24"/>
          <w:szCs w:val="24"/>
        </w:rPr>
      </w:pPr>
      <w:r w:rsidRPr="001F068E">
        <w:rPr>
          <w:rFonts w:ascii="Bookman Old Style" w:hAnsi="Bookman Old Style"/>
          <w:sz w:val="24"/>
          <w:szCs w:val="24"/>
        </w:rPr>
        <w:t>Belanja</w:t>
      </w:r>
      <w:r w:rsidR="00A954D0">
        <w:rPr>
          <w:rFonts w:ascii="Bookman Old Style" w:hAnsi="Bookman Old Style"/>
          <w:sz w:val="24"/>
          <w:szCs w:val="24"/>
        </w:rPr>
        <w:t xml:space="preserve"> </w:t>
      </w:r>
      <w:r w:rsidRPr="001F068E">
        <w:rPr>
          <w:rFonts w:ascii="Bookman Old Style" w:hAnsi="Bookman Old Style"/>
          <w:sz w:val="24"/>
          <w:szCs w:val="24"/>
        </w:rPr>
        <w:t>Jasa</w:t>
      </w:r>
      <w:r w:rsidR="00A954D0">
        <w:rPr>
          <w:rFonts w:ascii="Bookman Old Style" w:hAnsi="Bookman Old Style"/>
          <w:sz w:val="24"/>
          <w:szCs w:val="24"/>
        </w:rPr>
        <w:t xml:space="preserve"> </w:t>
      </w:r>
      <w:r w:rsidRPr="001F068E">
        <w:rPr>
          <w:rFonts w:ascii="Bookman Old Style" w:hAnsi="Bookman Old Style"/>
          <w:sz w:val="24"/>
          <w:szCs w:val="24"/>
        </w:rPr>
        <w:t>Tenaga</w:t>
      </w:r>
      <w:r w:rsidR="00A954D0">
        <w:rPr>
          <w:rFonts w:ascii="Bookman Old Style" w:hAnsi="Bookman Old Style"/>
          <w:sz w:val="24"/>
          <w:szCs w:val="24"/>
        </w:rPr>
        <w:t xml:space="preserve"> </w:t>
      </w:r>
      <w:r w:rsidRPr="001F068E">
        <w:rPr>
          <w:rFonts w:ascii="Bookman Old Style" w:hAnsi="Bookman Old Style"/>
          <w:sz w:val="24"/>
          <w:szCs w:val="24"/>
        </w:rPr>
        <w:t>Keamanan</w:t>
      </w:r>
      <w:r w:rsidR="00A954D0">
        <w:rPr>
          <w:rFonts w:ascii="Bookman Old Style" w:hAnsi="Bookman Old Style"/>
          <w:sz w:val="24"/>
          <w:szCs w:val="24"/>
        </w:rPr>
        <w:t xml:space="preserve"> </w:t>
      </w:r>
      <w:r w:rsidRPr="001F068E">
        <w:rPr>
          <w:rFonts w:ascii="Bookman Old Style" w:hAnsi="Bookman Old Style"/>
          <w:sz w:val="24"/>
          <w:szCs w:val="24"/>
        </w:rPr>
        <w:t>Rp40.491.466.800,00;</w:t>
      </w:r>
    </w:p>
    <w:p w14:paraId="23495F9E" w14:textId="1FB7FFCF" w:rsidR="00E376E8" w:rsidRPr="001F068E" w:rsidRDefault="00E376E8" w:rsidP="00EA103E">
      <w:pPr>
        <w:pStyle w:val="ListParagraph"/>
        <w:numPr>
          <w:ilvl w:val="0"/>
          <w:numId w:val="145"/>
        </w:numPr>
        <w:spacing w:before="60" w:after="0" w:line="276" w:lineRule="auto"/>
        <w:ind w:left="3270" w:hanging="576"/>
        <w:contextualSpacing w:val="0"/>
        <w:jc w:val="both"/>
        <w:rPr>
          <w:rFonts w:ascii="Bookman Old Style" w:hAnsi="Bookman Old Style"/>
          <w:sz w:val="24"/>
          <w:szCs w:val="24"/>
        </w:rPr>
      </w:pPr>
      <w:r w:rsidRPr="001F068E">
        <w:rPr>
          <w:rFonts w:ascii="Bookman Old Style" w:hAnsi="Bookman Old Style"/>
          <w:sz w:val="24"/>
          <w:szCs w:val="24"/>
        </w:rPr>
        <w:t>Belanja</w:t>
      </w:r>
      <w:r w:rsidR="00A954D0">
        <w:rPr>
          <w:rFonts w:ascii="Bookman Old Style" w:hAnsi="Bookman Old Style"/>
          <w:sz w:val="24"/>
          <w:szCs w:val="24"/>
        </w:rPr>
        <w:t xml:space="preserve"> </w:t>
      </w:r>
      <w:r w:rsidRPr="001F068E">
        <w:rPr>
          <w:rFonts w:ascii="Bookman Old Style" w:hAnsi="Bookman Old Style"/>
          <w:sz w:val="24"/>
          <w:szCs w:val="24"/>
        </w:rPr>
        <w:t>Jasa</w:t>
      </w:r>
      <w:r w:rsidR="00A954D0">
        <w:rPr>
          <w:rFonts w:ascii="Bookman Old Style" w:hAnsi="Bookman Old Style"/>
          <w:sz w:val="24"/>
          <w:szCs w:val="24"/>
        </w:rPr>
        <w:t xml:space="preserve"> </w:t>
      </w:r>
      <w:r w:rsidRPr="001F068E">
        <w:rPr>
          <w:rFonts w:ascii="Bookman Old Style" w:hAnsi="Bookman Old Style"/>
          <w:sz w:val="24"/>
          <w:szCs w:val="24"/>
        </w:rPr>
        <w:t>Tenaga</w:t>
      </w:r>
      <w:r w:rsidR="00A954D0">
        <w:rPr>
          <w:rFonts w:ascii="Bookman Old Style" w:hAnsi="Bookman Old Style"/>
          <w:sz w:val="24"/>
          <w:szCs w:val="24"/>
        </w:rPr>
        <w:t xml:space="preserve"> </w:t>
      </w:r>
      <w:r w:rsidRPr="001F068E">
        <w:rPr>
          <w:rFonts w:ascii="Bookman Old Style" w:hAnsi="Bookman Old Style"/>
          <w:sz w:val="24"/>
          <w:szCs w:val="24"/>
        </w:rPr>
        <w:t>Supir</w:t>
      </w:r>
      <w:r w:rsidR="00A954D0">
        <w:rPr>
          <w:rFonts w:ascii="Bookman Old Style" w:hAnsi="Bookman Old Style"/>
          <w:sz w:val="24"/>
          <w:szCs w:val="24"/>
        </w:rPr>
        <w:t xml:space="preserve"> </w:t>
      </w:r>
      <w:r w:rsidRPr="001F068E">
        <w:rPr>
          <w:rFonts w:ascii="Bookman Old Style" w:hAnsi="Bookman Old Style"/>
          <w:sz w:val="24"/>
          <w:szCs w:val="24"/>
        </w:rPr>
        <w:t>Rp6.874.359.600,00;</w:t>
      </w:r>
    </w:p>
    <w:p w14:paraId="08E4ED62" w14:textId="1281396B" w:rsidR="003B7FE4" w:rsidRPr="001F068E" w:rsidRDefault="00E376E8" w:rsidP="00EA103E">
      <w:pPr>
        <w:pStyle w:val="ListParagraph"/>
        <w:numPr>
          <w:ilvl w:val="0"/>
          <w:numId w:val="145"/>
        </w:numPr>
        <w:spacing w:before="60" w:after="0" w:line="276" w:lineRule="auto"/>
        <w:ind w:left="3270" w:hanging="576"/>
        <w:contextualSpacing w:val="0"/>
        <w:jc w:val="both"/>
        <w:rPr>
          <w:rFonts w:ascii="Bookman Old Style" w:hAnsi="Bookman Old Style"/>
          <w:sz w:val="24"/>
          <w:szCs w:val="24"/>
        </w:rPr>
      </w:pPr>
      <w:r w:rsidRPr="001F068E">
        <w:rPr>
          <w:rFonts w:ascii="Bookman Old Style" w:hAnsi="Bookman Old Style"/>
          <w:sz w:val="24"/>
          <w:szCs w:val="24"/>
        </w:rPr>
        <w:t>Belanja</w:t>
      </w:r>
      <w:r w:rsidR="00A954D0">
        <w:rPr>
          <w:rFonts w:ascii="Bookman Old Style" w:hAnsi="Bookman Old Style"/>
          <w:sz w:val="24"/>
          <w:szCs w:val="24"/>
        </w:rPr>
        <w:t xml:space="preserve"> </w:t>
      </w:r>
      <w:r w:rsidRPr="001F068E">
        <w:rPr>
          <w:rFonts w:ascii="Bookman Old Style" w:hAnsi="Bookman Old Style"/>
          <w:sz w:val="24"/>
          <w:szCs w:val="24"/>
        </w:rPr>
        <w:t>Jasa</w:t>
      </w:r>
      <w:r w:rsidR="00A954D0">
        <w:rPr>
          <w:rFonts w:ascii="Bookman Old Style" w:hAnsi="Bookman Old Style"/>
          <w:sz w:val="24"/>
          <w:szCs w:val="24"/>
        </w:rPr>
        <w:t xml:space="preserve"> </w:t>
      </w:r>
      <w:r w:rsidRPr="001F068E">
        <w:rPr>
          <w:rFonts w:ascii="Bookman Old Style" w:hAnsi="Bookman Old Style"/>
          <w:sz w:val="24"/>
          <w:szCs w:val="24"/>
        </w:rPr>
        <w:t>Tenaga</w:t>
      </w:r>
      <w:r w:rsidR="00A954D0">
        <w:rPr>
          <w:rFonts w:ascii="Bookman Old Style" w:hAnsi="Bookman Old Style"/>
          <w:sz w:val="24"/>
          <w:szCs w:val="24"/>
        </w:rPr>
        <w:t xml:space="preserve"> </w:t>
      </w:r>
      <w:r w:rsidRPr="001F068E">
        <w:rPr>
          <w:rFonts w:ascii="Bookman Old Style" w:hAnsi="Bookman Old Style"/>
          <w:sz w:val="24"/>
          <w:szCs w:val="24"/>
        </w:rPr>
        <w:t>Teknisi</w:t>
      </w:r>
      <w:r w:rsidR="00A954D0">
        <w:rPr>
          <w:rFonts w:ascii="Bookman Old Style" w:hAnsi="Bookman Old Style"/>
          <w:sz w:val="24"/>
          <w:szCs w:val="24"/>
        </w:rPr>
        <w:t xml:space="preserve"> </w:t>
      </w:r>
      <w:r w:rsidRPr="001F068E">
        <w:rPr>
          <w:rFonts w:ascii="Bookman Old Style" w:hAnsi="Bookman Old Style"/>
          <w:sz w:val="24"/>
          <w:szCs w:val="24"/>
        </w:rPr>
        <w:t>Mekanik</w:t>
      </w:r>
      <w:r w:rsidR="00A954D0">
        <w:rPr>
          <w:rFonts w:ascii="Bookman Old Style" w:hAnsi="Bookman Old Style"/>
          <w:sz w:val="24"/>
          <w:szCs w:val="24"/>
        </w:rPr>
        <w:t xml:space="preserve"> </w:t>
      </w:r>
      <w:r w:rsidRPr="001F068E">
        <w:rPr>
          <w:rFonts w:ascii="Bookman Old Style" w:hAnsi="Bookman Old Style"/>
          <w:sz w:val="24"/>
          <w:szCs w:val="24"/>
        </w:rPr>
        <w:t>dan</w:t>
      </w:r>
      <w:r w:rsidR="00A954D0">
        <w:rPr>
          <w:rFonts w:ascii="Bookman Old Style" w:hAnsi="Bookman Old Style"/>
          <w:sz w:val="24"/>
          <w:szCs w:val="24"/>
        </w:rPr>
        <w:t xml:space="preserve"> </w:t>
      </w:r>
      <w:r w:rsidRPr="001F068E">
        <w:rPr>
          <w:rFonts w:ascii="Bookman Old Style" w:hAnsi="Bookman Old Style"/>
          <w:sz w:val="24"/>
          <w:szCs w:val="24"/>
        </w:rPr>
        <w:t>Listrik</w:t>
      </w:r>
      <w:r w:rsidR="00A954D0">
        <w:rPr>
          <w:rFonts w:ascii="Bookman Old Style" w:hAnsi="Bookman Old Style"/>
          <w:sz w:val="24"/>
          <w:szCs w:val="24"/>
        </w:rPr>
        <w:t xml:space="preserve"> </w:t>
      </w:r>
      <w:r w:rsidRPr="001F068E">
        <w:rPr>
          <w:rFonts w:ascii="Bookman Old Style" w:hAnsi="Bookman Old Style"/>
          <w:sz w:val="24"/>
          <w:szCs w:val="24"/>
        </w:rPr>
        <w:t>Rp5.802.555.520,00</w:t>
      </w:r>
      <w:r w:rsidR="003B7FE4" w:rsidRPr="001F068E">
        <w:rPr>
          <w:rFonts w:ascii="Bookman Old Style" w:hAnsi="Bookman Old Style"/>
          <w:sz w:val="24"/>
          <w:szCs w:val="24"/>
        </w:rPr>
        <w:t>;</w:t>
      </w:r>
    </w:p>
    <w:p w14:paraId="7EF448BB" w14:textId="0C88EE4C" w:rsidR="00E376E8" w:rsidRPr="001F068E" w:rsidRDefault="00E376E8" w:rsidP="00EA103E">
      <w:pPr>
        <w:pStyle w:val="ListParagraph"/>
        <w:numPr>
          <w:ilvl w:val="0"/>
          <w:numId w:val="145"/>
        </w:numPr>
        <w:spacing w:before="60" w:after="0" w:line="276" w:lineRule="auto"/>
        <w:ind w:left="3270" w:hanging="576"/>
        <w:contextualSpacing w:val="0"/>
        <w:jc w:val="both"/>
        <w:rPr>
          <w:rFonts w:ascii="Bookman Old Style" w:hAnsi="Bookman Old Style"/>
          <w:sz w:val="24"/>
          <w:szCs w:val="24"/>
        </w:rPr>
      </w:pPr>
      <w:r w:rsidRPr="001F068E">
        <w:rPr>
          <w:rFonts w:ascii="Bookman Old Style" w:hAnsi="Bookman Old Style"/>
          <w:sz w:val="24"/>
          <w:szCs w:val="24"/>
        </w:rPr>
        <w:t>Belanja</w:t>
      </w:r>
      <w:r w:rsidR="00A954D0">
        <w:rPr>
          <w:rFonts w:ascii="Bookman Old Style" w:hAnsi="Bookman Old Style"/>
          <w:sz w:val="24"/>
          <w:szCs w:val="24"/>
        </w:rPr>
        <w:t xml:space="preserve"> </w:t>
      </w:r>
      <w:r w:rsidRPr="001F068E">
        <w:rPr>
          <w:rFonts w:ascii="Bookman Old Style" w:hAnsi="Bookman Old Style"/>
          <w:sz w:val="24"/>
          <w:szCs w:val="24"/>
        </w:rPr>
        <w:t>Jasa</w:t>
      </w:r>
      <w:r w:rsidR="00A954D0">
        <w:rPr>
          <w:rFonts w:ascii="Bookman Old Style" w:hAnsi="Bookman Old Style"/>
          <w:sz w:val="24"/>
          <w:szCs w:val="24"/>
        </w:rPr>
        <w:t xml:space="preserve"> </w:t>
      </w:r>
      <w:r w:rsidRPr="001F068E">
        <w:rPr>
          <w:rFonts w:ascii="Bookman Old Style" w:hAnsi="Bookman Old Style"/>
          <w:sz w:val="24"/>
          <w:szCs w:val="24"/>
        </w:rPr>
        <w:t>Iklan/Reklame,</w:t>
      </w:r>
      <w:r w:rsidR="00A954D0">
        <w:rPr>
          <w:rFonts w:ascii="Bookman Old Style" w:hAnsi="Bookman Old Style"/>
          <w:sz w:val="24"/>
          <w:szCs w:val="24"/>
        </w:rPr>
        <w:t xml:space="preserve"> </w:t>
      </w:r>
      <w:r w:rsidRPr="001F068E">
        <w:rPr>
          <w:rFonts w:ascii="Bookman Old Style" w:hAnsi="Bookman Old Style"/>
          <w:sz w:val="24"/>
          <w:szCs w:val="24"/>
        </w:rPr>
        <w:t>Film,</w:t>
      </w:r>
      <w:r w:rsidR="00A954D0">
        <w:rPr>
          <w:rFonts w:ascii="Bookman Old Style" w:hAnsi="Bookman Old Style"/>
          <w:sz w:val="24"/>
          <w:szCs w:val="24"/>
        </w:rPr>
        <w:t xml:space="preserve"> </w:t>
      </w:r>
      <w:r w:rsidRPr="001F068E">
        <w:rPr>
          <w:rFonts w:ascii="Bookman Old Style" w:hAnsi="Bookman Old Style"/>
          <w:sz w:val="24"/>
          <w:szCs w:val="24"/>
        </w:rPr>
        <w:t>dan</w:t>
      </w:r>
      <w:r w:rsidR="00A954D0">
        <w:rPr>
          <w:rFonts w:ascii="Bookman Old Style" w:hAnsi="Bookman Old Style"/>
          <w:sz w:val="24"/>
          <w:szCs w:val="24"/>
        </w:rPr>
        <w:t xml:space="preserve"> </w:t>
      </w:r>
      <w:r w:rsidRPr="001F068E">
        <w:rPr>
          <w:rFonts w:ascii="Bookman Old Style" w:hAnsi="Bookman Old Style"/>
          <w:sz w:val="24"/>
          <w:szCs w:val="24"/>
        </w:rPr>
        <w:t>Pemotretan</w:t>
      </w:r>
      <w:r w:rsidR="00A954D0">
        <w:rPr>
          <w:rFonts w:ascii="Bookman Old Style" w:hAnsi="Bookman Old Style"/>
          <w:sz w:val="24"/>
          <w:szCs w:val="24"/>
        </w:rPr>
        <w:t xml:space="preserve"> </w:t>
      </w:r>
      <w:r w:rsidRPr="001F068E">
        <w:rPr>
          <w:rFonts w:ascii="Bookman Old Style" w:hAnsi="Bookman Old Style"/>
          <w:sz w:val="24"/>
          <w:szCs w:val="24"/>
        </w:rPr>
        <w:t>Rp15.584.821.000,00;</w:t>
      </w:r>
    </w:p>
    <w:p w14:paraId="51738A76" w14:textId="5C000B59" w:rsidR="003B7FE4" w:rsidRPr="001F068E" w:rsidRDefault="00930FF7" w:rsidP="00EA103E">
      <w:pPr>
        <w:pStyle w:val="ListParagraph"/>
        <w:numPr>
          <w:ilvl w:val="0"/>
          <w:numId w:val="145"/>
        </w:numPr>
        <w:spacing w:before="60" w:after="0" w:line="276" w:lineRule="auto"/>
        <w:ind w:left="3270" w:hanging="576"/>
        <w:contextualSpacing w:val="0"/>
        <w:jc w:val="both"/>
        <w:rPr>
          <w:rFonts w:ascii="Bookman Old Style" w:hAnsi="Bookman Old Style"/>
          <w:sz w:val="24"/>
          <w:szCs w:val="24"/>
        </w:rPr>
      </w:pPr>
      <w:r w:rsidRPr="001F068E">
        <w:rPr>
          <w:rFonts w:ascii="Bookman Old Style" w:hAnsi="Bookman Old Style"/>
          <w:sz w:val="24"/>
          <w:szCs w:val="24"/>
        </w:rPr>
        <w:t>Belanja</w:t>
      </w:r>
      <w:r w:rsidR="00A954D0">
        <w:rPr>
          <w:rFonts w:ascii="Bookman Old Style" w:hAnsi="Bookman Old Style"/>
          <w:sz w:val="24"/>
          <w:szCs w:val="24"/>
        </w:rPr>
        <w:t xml:space="preserve"> </w:t>
      </w:r>
      <w:r w:rsidRPr="001F068E">
        <w:rPr>
          <w:rFonts w:ascii="Bookman Old Style" w:hAnsi="Bookman Old Style"/>
          <w:sz w:val="24"/>
          <w:szCs w:val="24"/>
        </w:rPr>
        <w:t>Tagihan</w:t>
      </w:r>
      <w:r w:rsidR="00A954D0">
        <w:rPr>
          <w:rFonts w:ascii="Bookman Old Style" w:hAnsi="Bookman Old Style"/>
          <w:sz w:val="24"/>
          <w:szCs w:val="24"/>
        </w:rPr>
        <w:t xml:space="preserve"> </w:t>
      </w:r>
      <w:r w:rsidRPr="001F068E">
        <w:rPr>
          <w:rFonts w:ascii="Bookman Old Style" w:hAnsi="Bookman Old Style"/>
          <w:sz w:val="24"/>
          <w:szCs w:val="24"/>
        </w:rPr>
        <w:t>Listrik</w:t>
      </w:r>
      <w:r w:rsidR="00A954D0">
        <w:rPr>
          <w:rFonts w:ascii="Bookman Old Style" w:hAnsi="Bookman Old Style"/>
          <w:sz w:val="24"/>
          <w:szCs w:val="24"/>
        </w:rPr>
        <w:t xml:space="preserve"> </w:t>
      </w:r>
      <w:r w:rsidR="00E376E8" w:rsidRPr="001F068E">
        <w:rPr>
          <w:rFonts w:ascii="Bookman Old Style" w:hAnsi="Bookman Old Style"/>
          <w:sz w:val="24"/>
          <w:szCs w:val="24"/>
        </w:rPr>
        <w:t>Rp89.116.892.541,00</w:t>
      </w:r>
      <w:r w:rsidR="003B7FE4" w:rsidRPr="001F068E">
        <w:rPr>
          <w:rFonts w:ascii="Bookman Old Style" w:hAnsi="Bookman Old Style"/>
          <w:sz w:val="24"/>
          <w:szCs w:val="24"/>
        </w:rPr>
        <w:t>;</w:t>
      </w:r>
      <w:r w:rsidR="00A954D0">
        <w:rPr>
          <w:rFonts w:ascii="Bookman Old Style" w:hAnsi="Bookman Old Style"/>
          <w:sz w:val="24"/>
          <w:szCs w:val="24"/>
        </w:rPr>
        <w:t xml:space="preserve"> </w:t>
      </w:r>
      <w:r w:rsidR="003B7FE4" w:rsidRPr="001F068E">
        <w:rPr>
          <w:rFonts w:ascii="Bookman Old Style" w:hAnsi="Bookman Old Style"/>
          <w:sz w:val="24"/>
          <w:szCs w:val="24"/>
        </w:rPr>
        <w:t>dan</w:t>
      </w:r>
    </w:p>
    <w:p w14:paraId="5893C41B" w14:textId="6CE13C1E" w:rsidR="003B7FE4" w:rsidRPr="001F068E" w:rsidRDefault="00930FF7" w:rsidP="00EA103E">
      <w:pPr>
        <w:pStyle w:val="ListParagraph"/>
        <w:numPr>
          <w:ilvl w:val="0"/>
          <w:numId w:val="145"/>
        </w:numPr>
        <w:spacing w:before="60" w:after="0" w:line="276" w:lineRule="auto"/>
        <w:ind w:left="3270" w:hanging="576"/>
        <w:contextualSpacing w:val="0"/>
        <w:jc w:val="both"/>
        <w:rPr>
          <w:rFonts w:ascii="Bookman Old Style" w:hAnsi="Bookman Old Style"/>
          <w:color w:val="FF0000"/>
          <w:sz w:val="24"/>
          <w:szCs w:val="24"/>
        </w:rPr>
      </w:pPr>
      <w:r w:rsidRPr="001F068E">
        <w:rPr>
          <w:rFonts w:ascii="Bookman Old Style" w:hAnsi="Bookman Old Style"/>
          <w:sz w:val="24"/>
          <w:szCs w:val="24"/>
        </w:rPr>
        <w:t>Belanja</w:t>
      </w:r>
      <w:r w:rsidR="00A954D0">
        <w:rPr>
          <w:rFonts w:ascii="Bookman Old Style" w:hAnsi="Bookman Old Style"/>
          <w:sz w:val="24"/>
          <w:szCs w:val="24"/>
        </w:rPr>
        <w:t xml:space="preserve"> </w:t>
      </w:r>
      <w:r w:rsidRPr="001F068E">
        <w:rPr>
          <w:rFonts w:ascii="Bookman Old Style" w:hAnsi="Bookman Old Style"/>
          <w:sz w:val="24"/>
          <w:szCs w:val="24"/>
        </w:rPr>
        <w:t>Kawat/Faksimili/Internet/TV</w:t>
      </w:r>
      <w:r w:rsidR="00A954D0">
        <w:rPr>
          <w:rFonts w:ascii="Bookman Old Style" w:hAnsi="Bookman Old Style"/>
          <w:sz w:val="24"/>
          <w:szCs w:val="24"/>
        </w:rPr>
        <w:t xml:space="preserve"> </w:t>
      </w:r>
      <w:r w:rsidRPr="001F068E">
        <w:rPr>
          <w:rFonts w:ascii="Bookman Old Style" w:hAnsi="Bookman Old Style"/>
          <w:sz w:val="24"/>
          <w:szCs w:val="24"/>
        </w:rPr>
        <w:t>Berlangganan</w:t>
      </w:r>
      <w:r w:rsidR="00A954D0">
        <w:rPr>
          <w:rFonts w:ascii="Bookman Old Style" w:hAnsi="Bookman Old Style"/>
          <w:sz w:val="24"/>
          <w:szCs w:val="24"/>
        </w:rPr>
        <w:t xml:space="preserve"> </w:t>
      </w:r>
      <w:r w:rsidR="00E376E8" w:rsidRPr="001F068E">
        <w:rPr>
          <w:rFonts w:ascii="Bookman Old Style" w:hAnsi="Bookman Old Style"/>
          <w:sz w:val="24"/>
          <w:szCs w:val="24"/>
        </w:rPr>
        <w:t>Rp16.336.082.620,00</w:t>
      </w:r>
      <w:r w:rsidR="00EA103E">
        <w:rPr>
          <w:rFonts w:ascii="Bookman Old Style" w:hAnsi="Bookman Old Style"/>
          <w:sz w:val="24"/>
          <w:szCs w:val="24"/>
          <w:lang w:val="sv-FI"/>
        </w:rPr>
        <w:t>.</w:t>
      </w:r>
    </w:p>
    <w:p w14:paraId="37D72796" w14:textId="10A6D602" w:rsidR="003B7FE4" w:rsidRPr="00BB628C" w:rsidRDefault="00EA103E" w:rsidP="00EA103E">
      <w:pPr>
        <w:pStyle w:val="ListParagraph"/>
        <w:spacing w:before="60" w:after="0" w:line="276" w:lineRule="auto"/>
        <w:ind w:left="2694"/>
        <w:contextualSpacing w:val="0"/>
        <w:jc w:val="both"/>
        <w:rPr>
          <w:rFonts w:ascii="Bookman Old Style" w:hAnsi="Bookman Old Style"/>
          <w:sz w:val="24"/>
          <w:szCs w:val="24"/>
        </w:rPr>
      </w:pPr>
      <w:r>
        <w:rPr>
          <w:rFonts w:ascii="Bookman Old Style" w:hAnsi="Bookman Old Style" w:cs="Tahoma,Bold"/>
          <w:bCs/>
          <w:sz w:val="24"/>
          <w:szCs w:val="24"/>
          <w:lang w:val="en-US" w:eastAsia="id-ID"/>
        </w:rPr>
        <w:t>D</w:t>
      </w:r>
      <w:r w:rsidR="003B7FE4" w:rsidRPr="00BB628C">
        <w:rPr>
          <w:rFonts w:ascii="Bookman Old Style" w:hAnsi="Bookman Old Style" w:cs="Tahoma,Bold"/>
          <w:bCs/>
          <w:sz w:val="24"/>
          <w:szCs w:val="24"/>
          <w:lang w:eastAsia="id-ID"/>
        </w:rPr>
        <w:t>ianggarkan</w:t>
      </w:r>
      <w:r w:rsidR="00A954D0">
        <w:rPr>
          <w:rFonts w:ascii="Bookman Old Style" w:hAnsi="Bookman Old Style"/>
          <w:sz w:val="24"/>
          <w:szCs w:val="24"/>
          <w:lang w:val="id-ID"/>
        </w:rPr>
        <w:t xml:space="preserve"> </w:t>
      </w:r>
      <w:r w:rsidR="003B7FE4" w:rsidRPr="00BB628C">
        <w:rPr>
          <w:rFonts w:ascii="Bookman Old Style" w:hAnsi="Bookman Old Style"/>
          <w:sz w:val="24"/>
          <w:szCs w:val="24"/>
        </w:rPr>
        <w:t>dalam</w:t>
      </w:r>
      <w:r w:rsidR="00A954D0">
        <w:rPr>
          <w:rFonts w:ascii="Bookman Old Style" w:hAnsi="Bookman Old Style"/>
          <w:sz w:val="24"/>
          <w:szCs w:val="24"/>
        </w:rPr>
        <w:t xml:space="preserve"> </w:t>
      </w:r>
      <w:r w:rsidR="003B7FE4" w:rsidRPr="00BB628C">
        <w:rPr>
          <w:rFonts w:ascii="Bookman Old Style" w:hAnsi="Bookman Old Style"/>
          <w:sz w:val="24"/>
          <w:szCs w:val="24"/>
        </w:rPr>
        <w:t>Rancangan</w:t>
      </w:r>
      <w:r w:rsidR="00A954D0">
        <w:rPr>
          <w:rFonts w:ascii="Bookman Old Style" w:hAnsi="Bookman Old Style"/>
          <w:sz w:val="24"/>
          <w:szCs w:val="24"/>
        </w:rPr>
        <w:t xml:space="preserve"> </w:t>
      </w:r>
      <w:r w:rsidR="003B7FE4" w:rsidRPr="00BB628C">
        <w:rPr>
          <w:rFonts w:ascii="Bookman Old Style" w:hAnsi="Bookman Old Style"/>
          <w:sz w:val="24"/>
          <w:szCs w:val="24"/>
        </w:rPr>
        <w:t>Peraturan</w:t>
      </w:r>
      <w:r w:rsidR="00A954D0">
        <w:rPr>
          <w:rFonts w:ascii="Bookman Old Style" w:hAnsi="Bookman Old Style"/>
          <w:sz w:val="24"/>
          <w:szCs w:val="24"/>
        </w:rPr>
        <w:t xml:space="preserve"> </w:t>
      </w:r>
      <w:r w:rsidR="003B7FE4" w:rsidRPr="00BB628C">
        <w:rPr>
          <w:rFonts w:ascii="Bookman Old Style" w:hAnsi="Bookman Old Style"/>
          <w:sz w:val="24"/>
          <w:szCs w:val="24"/>
        </w:rPr>
        <w:t>Daerah</w:t>
      </w:r>
      <w:r w:rsidR="00A954D0">
        <w:rPr>
          <w:rFonts w:ascii="Bookman Old Style" w:hAnsi="Bookman Old Style"/>
          <w:sz w:val="24"/>
          <w:szCs w:val="24"/>
        </w:rPr>
        <w:t xml:space="preserve"> </w:t>
      </w:r>
      <w:r w:rsidR="00B055C5" w:rsidRPr="00BB628C">
        <w:rPr>
          <w:rFonts w:ascii="Bookman Old Style" w:hAnsi="Bookman Old Style"/>
          <w:sz w:val="24"/>
          <w:szCs w:val="24"/>
        </w:rPr>
        <w:t>Kota</w:t>
      </w:r>
      <w:r w:rsidR="00A954D0">
        <w:rPr>
          <w:rFonts w:ascii="Bookman Old Style" w:hAnsi="Bookman Old Style"/>
          <w:sz w:val="24"/>
          <w:szCs w:val="24"/>
        </w:rPr>
        <w:t xml:space="preserve"> </w:t>
      </w:r>
      <w:r w:rsidR="00770F22" w:rsidRPr="00BB628C">
        <w:rPr>
          <w:rFonts w:ascii="Bookman Old Style" w:hAnsi="Bookman Old Style"/>
          <w:sz w:val="24"/>
          <w:szCs w:val="24"/>
        </w:rPr>
        <w:t>Tangerang</w:t>
      </w:r>
      <w:r w:rsidR="00A954D0">
        <w:rPr>
          <w:rFonts w:ascii="Bookman Old Style" w:hAnsi="Bookman Old Style"/>
          <w:sz w:val="24"/>
          <w:szCs w:val="24"/>
        </w:rPr>
        <w:t xml:space="preserve"> </w:t>
      </w:r>
      <w:r w:rsidR="00BE6ED9" w:rsidRPr="00BB628C">
        <w:rPr>
          <w:rFonts w:ascii="Bookman Old Style" w:hAnsi="Bookman Old Style"/>
          <w:sz w:val="24"/>
          <w:szCs w:val="24"/>
        </w:rPr>
        <w:t>tentang</w:t>
      </w:r>
      <w:r w:rsidR="00A954D0">
        <w:rPr>
          <w:rFonts w:ascii="Bookman Old Style" w:hAnsi="Bookman Old Style"/>
          <w:sz w:val="24"/>
          <w:szCs w:val="24"/>
        </w:rPr>
        <w:t xml:space="preserve"> </w:t>
      </w:r>
      <w:r w:rsidR="00BE6ED9" w:rsidRPr="00BB628C">
        <w:rPr>
          <w:rFonts w:ascii="Bookman Old Style" w:hAnsi="Bookman Old Style"/>
          <w:sz w:val="24"/>
          <w:szCs w:val="24"/>
        </w:rPr>
        <w:t>APBD</w:t>
      </w:r>
      <w:r w:rsidR="00A954D0">
        <w:rPr>
          <w:rFonts w:ascii="Bookman Old Style" w:hAnsi="Bookman Old Style"/>
          <w:sz w:val="24"/>
          <w:szCs w:val="24"/>
        </w:rPr>
        <w:t xml:space="preserve"> </w:t>
      </w:r>
      <w:r w:rsidR="003B7FE4" w:rsidRPr="00BB628C">
        <w:rPr>
          <w:rFonts w:ascii="Bookman Old Style" w:hAnsi="Bookman Old Style"/>
          <w:sz w:val="24"/>
          <w:szCs w:val="24"/>
        </w:rPr>
        <w:t>Tahun</w:t>
      </w:r>
      <w:r w:rsidR="00A954D0">
        <w:rPr>
          <w:rFonts w:ascii="Bookman Old Style" w:hAnsi="Bookman Old Style"/>
          <w:sz w:val="24"/>
          <w:szCs w:val="24"/>
        </w:rPr>
        <w:t xml:space="preserve"> </w:t>
      </w:r>
      <w:r w:rsidR="003B7FE4" w:rsidRPr="00BB628C">
        <w:rPr>
          <w:rFonts w:ascii="Bookman Old Style" w:hAnsi="Bookman Old Style"/>
          <w:sz w:val="24"/>
          <w:szCs w:val="24"/>
        </w:rPr>
        <w:t>Anggaran</w:t>
      </w:r>
      <w:r w:rsidR="00A954D0">
        <w:rPr>
          <w:rFonts w:ascii="Bookman Old Style" w:hAnsi="Bookman Old Style"/>
          <w:sz w:val="24"/>
          <w:szCs w:val="24"/>
        </w:rPr>
        <w:t xml:space="preserve"> </w:t>
      </w:r>
      <w:r w:rsidR="003B7FE4" w:rsidRPr="00BB628C">
        <w:rPr>
          <w:rFonts w:ascii="Bookman Old Style" w:hAnsi="Bookman Old Style"/>
          <w:sz w:val="24"/>
          <w:szCs w:val="24"/>
        </w:rPr>
        <w:t>2025</w:t>
      </w:r>
      <w:r w:rsidR="00A954D0">
        <w:rPr>
          <w:rFonts w:ascii="Bookman Old Style" w:hAnsi="Bookman Old Style"/>
          <w:sz w:val="24"/>
          <w:szCs w:val="24"/>
          <w:lang w:val="id-ID"/>
        </w:rPr>
        <w:t xml:space="preserve"> </w:t>
      </w:r>
      <w:r w:rsidR="003B7FE4" w:rsidRPr="00BB628C">
        <w:rPr>
          <w:rFonts w:ascii="Bookman Old Style" w:hAnsi="Bookman Old Style"/>
          <w:sz w:val="24"/>
          <w:szCs w:val="24"/>
          <w:lang w:val="id-ID"/>
        </w:rPr>
        <w:t>namun</w:t>
      </w:r>
      <w:r w:rsidR="00A954D0">
        <w:rPr>
          <w:rFonts w:ascii="Bookman Old Style" w:hAnsi="Bookman Old Style"/>
          <w:sz w:val="24"/>
          <w:szCs w:val="24"/>
          <w:lang w:val="id-ID"/>
        </w:rPr>
        <w:t xml:space="preserve"> </w:t>
      </w:r>
      <w:r w:rsidR="003B7FE4" w:rsidRPr="00BB628C">
        <w:rPr>
          <w:rFonts w:ascii="Bookman Old Style" w:hAnsi="Bookman Old Style"/>
          <w:sz w:val="24"/>
          <w:szCs w:val="24"/>
          <w:lang w:val="id-ID"/>
        </w:rPr>
        <w:t>dalam</w:t>
      </w:r>
      <w:r w:rsidR="00A954D0">
        <w:rPr>
          <w:rFonts w:ascii="Bookman Old Style" w:hAnsi="Bookman Old Style"/>
          <w:sz w:val="24"/>
          <w:szCs w:val="24"/>
          <w:lang w:val="id-ID"/>
        </w:rPr>
        <w:t xml:space="preserve"> </w:t>
      </w:r>
      <w:r w:rsidR="003B7FE4" w:rsidRPr="00BB628C">
        <w:rPr>
          <w:rFonts w:ascii="Bookman Old Style" w:hAnsi="Bookman Old Style"/>
          <w:sz w:val="24"/>
          <w:szCs w:val="24"/>
          <w:lang w:val="id-ID"/>
        </w:rPr>
        <w:t>pelaksanaannya</w:t>
      </w:r>
      <w:r w:rsidR="00A954D0">
        <w:rPr>
          <w:rFonts w:ascii="Bookman Old Style" w:hAnsi="Bookman Old Style"/>
          <w:sz w:val="24"/>
          <w:szCs w:val="24"/>
        </w:rPr>
        <w:t xml:space="preserve"> </w:t>
      </w:r>
      <w:r w:rsidR="003B7FE4" w:rsidRPr="00BB628C">
        <w:rPr>
          <w:rFonts w:ascii="Bookman Old Style" w:hAnsi="Bookman Old Style"/>
          <w:sz w:val="24"/>
          <w:szCs w:val="24"/>
        </w:rPr>
        <w:t>harus</w:t>
      </w:r>
      <w:r w:rsidR="00A954D0">
        <w:rPr>
          <w:rFonts w:ascii="Bookman Old Style" w:hAnsi="Bookman Old Style"/>
          <w:sz w:val="24"/>
          <w:szCs w:val="24"/>
        </w:rPr>
        <w:t xml:space="preserve"> </w:t>
      </w:r>
      <w:r w:rsidR="003B7FE4" w:rsidRPr="00BB628C">
        <w:rPr>
          <w:rFonts w:ascii="Bookman Old Style" w:hAnsi="Bookman Old Style"/>
          <w:sz w:val="24"/>
          <w:szCs w:val="24"/>
        </w:rPr>
        <w:t>memperhatikan</w:t>
      </w:r>
      <w:r w:rsidR="00A954D0">
        <w:rPr>
          <w:rFonts w:ascii="Bookman Old Style" w:hAnsi="Bookman Old Style"/>
          <w:sz w:val="24"/>
          <w:szCs w:val="24"/>
        </w:rPr>
        <w:t xml:space="preserve"> </w:t>
      </w:r>
      <w:r w:rsidR="003B7FE4" w:rsidRPr="00BB628C">
        <w:rPr>
          <w:rFonts w:ascii="Bookman Old Style" w:hAnsi="Bookman Old Style"/>
          <w:sz w:val="24"/>
          <w:szCs w:val="24"/>
        </w:rPr>
        <w:t>asas</w:t>
      </w:r>
      <w:r w:rsidR="00A954D0">
        <w:rPr>
          <w:rFonts w:ascii="Bookman Old Style" w:hAnsi="Bookman Old Style"/>
          <w:sz w:val="24"/>
          <w:szCs w:val="24"/>
        </w:rPr>
        <w:t xml:space="preserve"> </w:t>
      </w:r>
      <w:r w:rsidR="003B7FE4" w:rsidRPr="00BB628C">
        <w:rPr>
          <w:rFonts w:ascii="Bookman Old Style" w:hAnsi="Bookman Old Style"/>
          <w:sz w:val="24"/>
          <w:szCs w:val="24"/>
        </w:rPr>
        <w:t>kepatutan,</w:t>
      </w:r>
      <w:r w:rsidR="00A954D0">
        <w:rPr>
          <w:rFonts w:ascii="Bookman Old Style" w:hAnsi="Bookman Old Style"/>
          <w:sz w:val="24"/>
          <w:szCs w:val="24"/>
        </w:rPr>
        <w:t xml:space="preserve"> </w:t>
      </w:r>
      <w:r w:rsidR="003B7FE4" w:rsidRPr="00BB628C">
        <w:rPr>
          <w:rFonts w:ascii="Bookman Old Style" w:hAnsi="Bookman Old Style"/>
          <w:sz w:val="24"/>
          <w:szCs w:val="24"/>
        </w:rPr>
        <w:t>kewajaran,</w:t>
      </w:r>
      <w:r w:rsidR="00A954D0">
        <w:rPr>
          <w:rFonts w:ascii="Bookman Old Style" w:hAnsi="Bookman Old Style"/>
          <w:sz w:val="24"/>
          <w:szCs w:val="24"/>
        </w:rPr>
        <w:t xml:space="preserve"> </w:t>
      </w:r>
      <w:r w:rsidR="003B7FE4" w:rsidRPr="00BB628C">
        <w:rPr>
          <w:rFonts w:ascii="Bookman Old Style" w:hAnsi="Bookman Old Style"/>
          <w:sz w:val="24"/>
          <w:szCs w:val="24"/>
        </w:rPr>
        <w:t>rasionalitas</w:t>
      </w:r>
      <w:r w:rsidR="00A954D0">
        <w:rPr>
          <w:rFonts w:ascii="Bookman Old Style" w:hAnsi="Bookman Old Style"/>
          <w:sz w:val="24"/>
          <w:szCs w:val="24"/>
        </w:rPr>
        <w:t xml:space="preserve"> </w:t>
      </w:r>
      <w:r w:rsidR="003B7FE4" w:rsidRPr="00BB628C">
        <w:rPr>
          <w:rFonts w:ascii="Bookman Old Style" w:hAnsi="Bookman Old Style"/>
          <w:sz w:val="24"/>
          <w:szCs w:val="24"/>
        </w:rPr>
        <w:t>dan</w:t>
      </w:r>
      <w:r w:rsidR="00A954D0">
        <w:rPr>
          <w:rFonts w:ascii="Bookman Old Style" w:hAnsi="Bookman Old Style"/>
          <w:sz w:val="24"/>
          <w:szCs w:val="24"/>
        </w:rPr>
        <w:t xml:space="preserve"> </w:t>
      </w:r>
      <w:r w:rsidR="003B7FE4" w:rsidRPr="00BB628C">
        <w:rPr>
          <w:rFonts w:ascii="Bookman Old Style" w:hAnsi="Bookman Old Style"/>
          <w:sz w:val="24"/>
          <w:szCs w:val="24"/>
        </w:rPr>
        <w:t>efektivitas</w:t>
      </w:r>
      <w:r w:rsidR="00A954D0">
        <w:rPr>
          <w:rFonts w:ascii="Bookman Old Style" w:hAnsi="Bookman Old Style"/>
          <w:sz w:val="24"/>
          <w:szCs w:val="24"/>
        </w:rPr>
        <w:t xml:space="preserve"> </w:t>
      </w:r>
      <w:r w:rsidR="003B7FE4" w:rsidRPr="00BB628C">
        <w:rPr>
          <w:rFonts w:ascii="Bookman Old Style" w:hAnsi="Bookman Old Style"/>
          <w:sz w:val="24"/>
          <w:szCs w:val="24"/>
        </w:rPr>
        <w:t>dalam</w:t>
      </w:r>
      <w:r w:rsidR="00A954D0">
        <w:rPr>
          <w:rFonts w:ascii="Bookman Old Style" w:hAnsi="Bookman Old Style"/>
          <w:sz w:val="24"/>
          <w:szCs w:val="24"/>
        </w:rPr>
        <w:t xml:space="preserve"> </w:t>
      </w:r>
      <w:r w:rsidR="003B7FE4" w:rsidRPr="00BB628C">
        <w:rPr>
          <w:rFonts w:ascii="Bookman Old Style" w:hAnsi="Bookman Old Style"/>
          <w:sz w:val="24"/>
          <w:szCs w:val="24"/>
        </w:rPr>
        <w:t>pencapaian</w:t>
      </w:r>
      <w:r w:rsidR="00A954D0">
        <w:rPr>
          <w:rFonts w:ascii="Bookman Old Style" w:hAnsi="Bookman Old Style"/>
          <w:sz w:val="24"/>
          <w:szCs w:val="24"/>
        </w:rPr>
        <w:t xml:space="preserve"> </w:t>
      </w:r>
      <w:r w:rsidR="003B7FE4" w:rsidRPr="00BB628C">
        <w:rPr>
          <w:rFonts w:ascii="Bookman Old Style" w:hAnsi="Bookman Old Style"/>
          <w:sz w:val="24"/>
          <w:szCs w:val="24"/>
        </w:rPr>
        <w:t>sasaran</w:t>
      </w:r>
      <w:r w:rsidR="00A954D0">
        <w:rPr>
          <w:rFonts w:ascii="Bookman Old Style" w:hAnsi="Bookman Old Style"/>
          <w:sz w:val="24"/>
          <w:szCs w:val="24"/>
        </w:rPr>
        <w:t xml:space="preserve"> </w:t>
      </w:r>
      <w:r w:rsidR="003B7FE4" w:rsidRPr="00BB628C">
        <w:rPr>
          <w:rFonts w:ascii="Bookman Old Style" w:hAnsi="Bookman Old Style"/>
          <w:sz w:val="24"/>
          <w:szCs w:val="24"/>
        </w:rPr>
        <w:t>program,</w:t>
      </w:r>
      <w:r w:rsidR="00A954D0">
        <w:rPr>
          <w:rFonts w:ascii="Bookman Old Style" w:hAnsi="Bookman Old Style"/>
          <w:sz w:val="24"/>
          <w:szCs w:val="24"/>
        </w:rPr>
        <w:t xml:space="preserve"> </w:t>
      </w:r>
      <w:r w:rsidR="003B7FE4" w:rsidRPr="00BB628C">
        <w:rPr>
          <w:rFonts w:ascii="Bookman Old Style" w:hAnsi="Bookman Old Style"/>
          <w:sz w:val="24"/>
          <w:szCs w:val="24"/>
        </w:rPr>
        <w:t>kegiatan</w:t>
      </w:r>
      <w:r w:rsidR="00A954D0">
        <w:rPr>
          <w:rFonts w:ascii="Bookman Old Style" w:hAnsi="Bookman Old Style"/>
          <w:sz w:val="24"/>
          <w:szCs w:val="24"/>
        </w:rPr>
        <w:t xml:space="preserve"> </w:t>
      </w:r>
      <w:r w:rsidR="003B7FE4" w:rsidRPr="00BB628C">
        <w:rPr>
          <w:rFonts w:ascii="Bookman Old Style" w:hAnsi="Bookman Old Style"/>
          <w:sz w:val="24"/>
          <w:szCs w:val="24"/>
        </w:rPr>
        <w:t>dan</w:t>
      </w:r>
      <w:r w:rsidR="00A954D0">
        <w:rPr>
          <w:rFonts w:ascii="Bookman Old Style" w:hAnsi="Bookman Old Style"/>
          <w:sz w:val="24"/>
          <w:szCs w:val="24"/>
        </w:rPr>
        <w:t xml:space="preserve"> </w:t>
      </w:r>
      <w:r w:rsidR="003B7FE4" w:rsidRPr="00BB628C">
        <w:rPr>
          <w:rFonts w:ascii="Bookman Old Style" w:hAnsi="Bookman Old Style"/>
          <w:sz w:val="24"/>
          <w:szCs w:val="24"/>
        </w:rPr>
        <w:t>sub</w:t>
      </w:r>
      <w:r w:rsidR="00A954D0">
        <w:rPr>
          <w:rFonts w:ascii="Bookman Old Style" w:hAnsi="Bookman Old Style"/>
          <w:sz w:val="24"/>
          <w:szCs w:val="24"/>
        </w:rPr>
        <w:t xml:space="preserve"> </w:t>
      </w:r>
      <w:r w:rsidR="003B7FE4" w:rsidRPr="00BB628C">
        <w:rPr>
          <w:rFonts w:ascii="Bookman Old Style" w:hAnsi="Bookman Old Style"/>
          <w:sz w:val="24"/>
          <w:szCs w:val="24"/>
        </w:rPr>
        <w:t>kegiatan</w:t>
      </w:r>
      <w:r w:rsidR="00A954D0">
        <w:rPr>
          <w:rFonts w:ascii="Bookman Old Style" w:hAnsi="Bookman Old Style"/>
          <w:sz w:val="24"/>
          <w:szCs w:val="24"/>
        </w:rPr>
        <w:t xml:space="preserve"> </w:t>
      </w:r>
      <w:r w:rsidR="003B7FE4" w:rsidRPr="00BB628C">
        <w:rPr>
          <w:rFonts w:ascii="Bookman Old Style" w:hAnsi="Bookman Old Style"/>
          <w:sz w:val="24"/>
          <w:szCs w:val="24"/>
        </w:rPr>
        <w:t>sesuai</w:t>
      </w:r>
      <w:r w:rsidR="00A954D0">
        <w:rPr>
          <w:rFonts w:ascii="Bookman Old Style" w:hAnsi="Bookman Old Style"/>
          <w:sz w:val="24"/>
          <w:szCs w:val="24"/>
        </w:rPr>
        <w:t xml:space="preserve"> </w:t>
      </w:r>
      <w:r w:rsidR="003B7FE4" w:rsidRPr="00BB628C">
        <w:rPr>
          <w:rFonts w:ascii="Bookman Old Style" w:hAnsi="Bookman Old Style"/>
          <w:sz w:val="24"/>
          <w:szCs w:val="24"/>
        </w:rPr>
        <w:t>dengan</w:t>
      </w:r>
      <w:r w:rsidR="00A954D0">
        <w:rPr>
          <w:rFonts w:ascii="Bookman Old Style" w:hAnsi="Bookman Old Style"/>
          <w:sz w:val="24"/>
          <w:szCs w:val="24"/>
        </w:rPr>
        <w:t xml:space="preserve"> </w:t>
      </w:r>
      <w:r w:rsidR="003B7FE4" w:rsidRPr="00BB628C">
        <w:rPr>
          <w:rFonts w:ascii="Bookman Old Style" w:hAnsi="Bookman Old Style"/>
          <w:sz w:val="24"/>
          <w:szCs w:val="24"/>
        </w:rPr>
        <w:t>kebutuhan</w:t>
      </w:r>
      <w:r w:rsidR="00A954D0">
        <w:rPr>
          <w:rFonts w:ascii="Bookman Old Style" w:hAnsi="Bookman Old Style"/>
          <w:sz w:val="24"/>
          <w:szCs w:val="24"/>
        </w:rPr>
        <w:t xml:space="preserve"> </w:t>
      </w:r>
      <w:r w:rsidR="003B7FE4" w:rsidRPr="00BB628C">
        <w:rPr>
          <w:rFonts w:ascii="Bookman Old Style" w:hAnsi="Bookman Old Style"/>
          <w:sz w:val="24"/>
          <w:szCs w:val="24"/>
        </w:rPr>
        <w:t>dan</w:t>
      </w:r>
      <w:r w:rsidR="00A954D0">
        <w:rPr>
          <w:rFonts w:ascii="Bookman Old Style" w:hAnsi="Bookman Old Style"/>
          <w:sz w:val="24"/>
          <w:szCs w:val="24"/>
        </w:rPr>
        <w:t xml:space="preserve"> </w:t>
      </w:r>
      <w:r w:rsidR="003B7FE4" w:rsidRPr="00BB628C">
        <w:rPr>
          <w:rFonts w:ascii="Bookman Old Style" w:hAnsi="Bookman Old Style"/>
          <w:sz w:val="24"/>
          <w:szCs w:val="24"/>
        </w:rPr>
        <w:t>waktu</w:t>
      </w:r>
      <w:r w:rsidR="00A954D0">
        <w:rPr>
          <w:rFonts w:ascii="Bookman Old Style" w:hAnsi="Bookman Old Style"/>
          <w:sz w:val="24"/>
          <w:szCs w:val="24"/>
        </w:rPr>
        <w:t xml:space="preserve"> </w:t>
      </w:r>
      <w:r w:rsidR="003B7FE4" w:rsidRPr="00BB628C">
        <w:rPr>
          <w:rFonts w:ascii="Bookman Old Style" w:hAnsi="Bookman Old Style"/>
          <w:sz w:val="24"/>
          <w:szCs w:val="24"/>
        </w:rPr>
        <w:t>pelaksanaan</w:t>
      </w:r>
      <w:r w:rsidR="00A954D0">
        <w:rPr>
          <w:rFonts w:ascii="Bookman Old Style" w:hAnsi="Bookman Old Style"/>
          <w:sz w:val="24"/>
          <w:szCs w:val="24"/>
        </w:rPr>
        <w:t xml:space="preserve"> </w:t>
      </w:r>
      <w:r w:rsidR="003B7FE4" w:rsidRPr="00BB628C">
        <w:rPr>
          <w:rFonts w:ascii="Bookman Old Style" w:hAnsi="Bookman Old Style"/>
          <w:sz w:val="24"/>
          <w:szCs w:val="24"/>
        </w:rPr>
        <w:t>sub</w:t>
      </w:r>
      <w:r w:rsidR="00A954D0">
        <w:rPr>
          <w:rFonts w:ascii="Bookman Old Style" w:hAnsi="Bookman Old Style"/>
          <w:sz w:val="24"/>
          <w:szCs w:val="24"/>
        </w:rPr>
        <w:t xml:space="preserve"> </w:t>
      </w:r>
      <w:r w:rsidR="003B7FE4" w:rsidRPr="00BB628C">
        <w:rPr>
          <w:rFonts w:ascii="Bookman Old Style" w:hAnsi="Bookman Old Style"/>
          <w:sz w:val="24"/>
          <w:szCs w:val="24"/>
        </w:rPr>
        <w:t>kegiatan</w:t>
      </w:r>
      <w:r w:rsidR="00A954D0">
        <w:rPr>
          <w:rFonts w:ascii="Bookman Old Style" w:hAnsi="Bookman Old Style"/>
          <w:sz w:val="24"/>
          <w:szCs w:val="24"/>
        </w:rPr>
        <w:t xml:space="preserve"> </w:t>
      </w:r>
      <w:r w:rsidR="003B7FE4" w:rsidRPr="00BB628C">
        <w:rPr>
          <w:rFonts w:ascii="Bookman Old Style" w:hAnsi="Bookman Old Style"/>
          <w:sz w:val="24"/>
          <w:szCs w:val="24"/>
        </w:rPr>
        <w:t>dalam</w:t>
      </w:r>
      <w:r w:rsidR="00A954D0">
        <w:rPr>
          <w:rFonts w:ascii="Bookman Old Style" w:hAnsi="Bookman Old Style"/>
          <w:sz w:val="24"/>
          <w:szCs w:val="24"/>
        </w:rPr>
        <w:t xml:space="preserve"> </w:t>
      </w:r>
      <w:r w:rsidR="003B7FE4" w:rsidRPr="00BB628C">
        <w:rPr>
          <w:rFonts w:ascii="Bookman Old Style" w:hAnsi="Bookman Old Style"/>
          <w:sz w:val="24"/>
          <w:szCs w:val="24"/>
        </w:rPr>
        <w:t>rangka</w:t>
      </w:r>
      <w:r w:rsidR="00A954D0">
        <w:rPr>
          <w:rFonts w:ascii="Bookman Old Style" w:hAnsi="Bookman Old Style"/>
          <w:sz w:val="24"/>
          <w:szCs w:val="24"/>
        </w:rPr>
        <w:t xml:space="preserve"> </w:t>
      </w:r>
      <w:r w:rsidR="003B7FE4" w:rsidRPr="00BB628C">
        <w:rPr>
          <w:rFonts w:ascii="Bookman Old Style" w:hAnsi="Bookman Old Style"/>
          <w:sz w:val="24"/>
          <w:szCs w:val="24"/>
        </w:rPr>
        <w:t>mencapai</w:t>
      </w:r>
      <w:r w:rsidR="00A954D0">
        <w:rPr>
          <w:rFonts w:ascii="Bookman Old Style" w:hAnsi="Bookman Old Style"/>
          <w:sz w:val="24"/>
          <w:szCs w:val="24"/>
        </w:rPr>
        <w:t xml:space="preserve"> </w:t>
      </w:r>
      <w:r w:rsidR="003B7FE4" w:rsidRPr="00BB628C">
        <w:rPr>
          <w:rFonts w:ascii="Bookman Old Style" w:hAnsi="Bookman Old Style"/>
          <w:sz w:val="24"/>
          <w:szCs w:val="24"/>
        </w:rPr>
        <w:t>target</w:t>
      </w:r>
      <w:r w:rsidR="00A954D0">
        <w:rPr>
          <w:rFonts w:ascii="Bookman Old Style" w:hAnsi="Bookman Old Style"/>
          <w:sz w:val="24"/>
          <w:szCs w:val="24"/>
        </w:rPr>
        <w:t xml:space="preserve"> </w:t>
      </w:r>
      <w:r w:rsidR="003B7FE4" w:rsidRPr="00BB628C">
        <w:rPr>
          <w:rFonts w:ascii="Bookman Old Style" w:hAnsi="Bookman Old Style"/>
          <w:sz w:val="24"/>
          <w:szCs w:val="24"/>
        </w:rPr>
        <w:t>kinerja</w:t>
      </w:r>
      <w:r w:rsidR="00A954D0">
        <w:rPr>
          <w:rFonts w:ascii="Bookman Old Style" w:hAnsi="Bookman Old Style"/>
          <w:sz w:val="24"/>
          <w:szCs w:val="24"/>
        </w:rPr>
        <w:t xml:space="preserve"> </w:t>
      </w:r>
      <w:r w:rsidR="003B7FE4" w:rsidRPr="00BB628C">
        <w:rPr>
          <w:rFonts w:ascii="Bookman Old Style" w:hAnsi="Bookman Old Style"/>
          <w:sz w:val="24"/>
          <w:szCs w:val="24"/>
        </w:rPr>
        <w:t>sub</w:t>
      </w:r>
      <w:r w:rsidR="00A954D0">
        <w:rPr>
          <w:rFonts w:ascii="Bookman Old Style" w:hAnsi="Bookman Old Style"/>
          <w:sz w:val="24"/>
          <w:szCs w:val="24"/>
        </w:rPr>
        <w:t xml:space="preserve"> </w:t>
      </w:r>
      <w:r w:rsidR="003B7FE4" w:rsidRPr="00BB628C">
        <w:rPr>
          <w:rFonts w:ascii="Bookman Old Style" w:hAnsi="Bookman Old Style"/>
          <w:sz w:val="24"/>
          <w:szCs w:val="24"/>
        </w:rPr>
        <w:t>kegiatan</w:t>
      </w:r>
      <w:r w:rsidR="00A954D0">
        <w:rPr>
          <w:rFonts w:ascii="Bookman Old Style" w:hAnsi="Bookman Old Style"/>
          <w:sz w:val="24"/>
          <w:szCs w:val="24"/>
        </w:rPr>
        <w:t xml:space="preserve"> </w:t>
      </w:r>
      <w:r w:rsidR="003B7FE4" w:rsidRPr="00BB628C">
        <w:rPr>
          <w:rFonts w:ascii="Bookman Old Style" w:hAnsi="Bookman Old Style"/>
          <w:sz w:val="24"/>
          <w:szCs w:val="24"/>
        </w:rPr>
        <w:t>dimaksud</w:t>
      </w:r>
      <w:r w:rsidR="00A954D0">
        <w:rPr>
          <w:rFonts w:ascii="Bookman Old Style" w:hAnsi="Bookman Old Style"/>
          <w:sz w:val="24"/>
          <w:szCs w:val="24"/>
        </w:rPr>
        <w:t xml:space="preserve"> </w:t>
      </w:r>
      <w:r w:rsidR="003B7FE4" w:rsidRPr="00BB628C">
        <w:rPr>
          <w:rFonts w:ascii="Bookman Old Style" w:hAnsi="Bookman Old Style"/>
          <w:sz w:val="24"/>
          <w:szCs w:val="24"/>
        </w:rPr>
        <w:t>serta</w:t>
      </w:r>
      <w:r w:rsidR="00A954D0">
        <w:rPr>
          <w:rFonts w:ascii="Bookman Old Style" w:hAnsi="Bookman Old Style"/>
          <w:sz w:val="24"/>
          <w:szCs w:val="24"/>
        </w:rPr>
        <w:t xml:space="preserve"> </w:t>
      </w:r>
      <w:r w:rsidR="003B7FE4" w:rsidRPr="00BB628C">
        <w:rPr>
          <w:rFonts w:ascii="Bookman Old Style" w:hAnsi="Bookman Old Style"/>
          <w:sz w:val="24"/>
          <w:szCs w:val="24"/>
        </w:rPr>
        <w:t>standar</w:t>
      </w:r>
      <w:r w:rsidR="00A954D0">
        <w:rPr>
          <w:rFonts w:ascii="Bookman Old Style" w:hAnsi="Bookman Old Style"/>
          <w:sz w:val="24"/>
          <w:szCs w:val="24"/>
        </w:rPr>
        <w:t xml:space="preserve"> </w:t>
      </w:r>
      <w:r w:rsidR="003B7FE4" w:rsidRPr="00BB628C">
        <w:rPr>
          <w:rFonts w:ascii="Bookman Old Style" w:hAnsi="Bookman Old Style"/>
          <w:sz w:val="24"/>
          <w:szCs w:val="24"/>
        </w:rPr>
        <w:t>harga</w:t>
      </w:r>
      <w:r w:rsidR="00A954D0">
        <w:rPr>
          <w:rFonts w:ascii="Bookman Old Style" w:hAnsi="Bookman Old Style"/>
          <w:sz w:val="24"/>
          <w:szCs w:val="24"/>
        </w:rPr>
        <w:t xml:space="preserve"> </w:t>
      </w:r>
      <w:r w:rsidR="003B7FE4" w:rsidRPr="00BB628C">
        <w:rPr>
          <w:rFonts w:ascii="Bookman Old Style" w:hAnsi="Bookman Old Style"/>
          <w:sz w:val="24"/>
          <w:szCs w:val="24"/>
        </w:rPr>
        <w:t>satuan</w:t>
      </w:r>
      <w:r w:rsidR="00A954D0">
        <w:rPr>
          <w:rFonts w:ascii="Bookman Old Style" w:hAnsi="Bookman Old Style"/>
          <w:sz w:val="24"/>
          <w:szCs w:val="24"/>
        </w:rPr>
        <w:t xml:space="preserve"> </w:t>
      </w:r>
      <w:r w:rsidR="003B7FE4" w:rsidRPr="00BB628C">
        <w:rPr>
          <w:rFonts w:ascii="Bookman Old Style" w:hAnsi="Bookman Old Style"/>
          <w:sz w:val="24"/>
          <w:szCs w:val="24"/>
        </w:rPr>
        <w:t>yang</w:t>
      </w:r>
      <w:r w:rsidR="00A954D0">
        <w:rPr>
          <w:rFonts w:ascii="Bookman Old Style" w:hAnsi="Bookman Old Style"/>
          <w:sz w:val="24"/>
          <w:szCs w:val="24"/>
        </w:rPr>
        <w:t xml:space="preserve"> </w:t>
      </w:r>
      <w:r w:rsidR="003B7FE4" w:rsidRPr="00BB628C">
        <w:rPr>
          <w:rFonts w:ascii="Bookman Old Style" w:hAnsi="Bookman Old Style"/>
          <w:sz w:val="24"/>
          <w:szCs w:val="24"/>
        </w:rPr>
        <w:t>ditetapkan</w:t>
      </w:r>
      <w:r w:rsidR="00A954D0">
        <w:rPr>
          <w:rFonts w:ascii="Bookman Old Style" w:hAnsi="Bookman Old Style"/>
          <w:sz w:val="24"/>
          <w:szCs w:val="24"/>
        </w:rPr>
        <w:t xml:space="preserve"> </w:t>
      </w:r>
      <w:r w:rsidR="003B7FE4" w:rsidRPr="00BB628C">
        <w:rPr>
          <w:rFonts w:ascii="Bookman Old Style" w:hAnsi="Bookman Old Style"/>
          <w:sz w:val="24"/>
          <w:szCs w:val="24"/>
        </w:rPr>
        <w:t>oleh</w:t>
      </w:r>
      <w:r w:rsidR="00A954D0">
        <w:rPr>
          <w:rFonts w:ascii="Bookman Old Style" w:hAnsi="Bookman Old Style"/>
          <w:sz w:val="24"/>
          <w:szCs w:val="24"/>
        </w:rPr>
        <w:t xml:space="preserve"> </w:t>
      </w:r>
      <w:r w:rsidR="003B7FE4" w:rsidRPr="00BB628C">
        <w:rPr>
          <w:rFonts w:ascii="Bookman Old Style" w:hAnsi="Bookman Old Style"/>
          <w:sz w:val="24"/>
          <w:szCs w:val="24"/>
        </w:rPr>
        <w:t>Kepala</w:t>
      </w:r>
      <w:r w:rsidR="00A954D0">
        <w:rPr>
          <w:rFonts w:ascii="Bookman Old Style" w:hAnsi="Bookman Old Style"/>
          <w:sz w:val="24"/>
          <w:szCs w:val="24"/>
        </w:rPr>
        <w:t xml:space="preserve"> </w:t>
      </w:r>
      <w:r w:rsidR="003B7FE4" w:rsidRPr="00BB628C">
        <w:rPr>
          <w:rFonts w:ascii="Bookman Old Style" w:hAnsi="Bookman Old Style"/>
          <w:sz w:val="24"/>
          <w:szCs w:val="24"/>
        </w:rPr>
        <w:t>Daerah</w:t>
      </w:r>
      <w:r w:rsidR="00A954D0">
        <w:rPr>
          <w:rFonts w:ascii="Bookman Old Style" w:hAnsi="Bookman Old Style"/>
          <w:sz w:val="24"/>
          <w:szCs w:val="24"/>
        </w:rPr>
        <w:t xml:space="preserve"> </w:t>
      </w:r>
      <w:r w:rsidR="003B7FE4" w:rsidRPr="00BB628C">
        <w:rPr>
          <w:rFonts w:ascii="Bookman Old Style" w:hAnsi="Bookman Old Style"/>
          <w:sz w:val="24"/>
          <w:szCs w:val="24"/>
        </w:rPr>
        <w:t>sebagaimana</w:t>
      </w:r>
      <w:r w:rsidR="00A954D0">
        <w:rPr>
          <w:rFonts w:ascii="Bookman Old Style" w:hAnsi="Bookman Old Style"/>
          <w:sz w:val="24"/>
          <w:szCs w:val="24"/>
        </w:rPr>
        <w:t xml:space="preserve"> </w:t>
      </w:r>
      <w:r w:rsidR="003B7FE4" w:rsidRPr="00BB628C">
        <w:rPr>
          <w:rFonts w:ascii="Bookman Old Style" w:hAnsi="Bookman Old Style"/>
          <w:sz w:val="24"/>
          <w:szCs w:val="24"/>
        </w:rPr>
        <w:t>maksud</w:t>
      </w:r>
      <w:r w:rsidR="00A954D0">
        <w:rPr>
          <w:rFonts w:ascii="Bookman Old Style" w:hAnsi="Bookman Old Style"/>
          <w:sz w:val="24"/>
          <w:szCs w:val="24"/>
        </w:rPr>
        <w:t xml:space="preserve"> </w:t>
      </w:r>
      <w:r w:rsidR="003B7FE4" w:rsidRPr="00BB628C">
        <w:rPr>
          <w:rFonts w:ascii="Bookman Old Style" w:hAnsi="Bookman Old Style"/>
          <w:sz w:val="24"/>
          <w:szCs w:val="24"/>
        </w:rPr>
        <w:t>Pasal</w:t>
      </w:r>
      <w:r w:rsidR="00A954D0">
        <w:rPr>
          <w:rFonts w:ascii="Bookman Old Style" w:hAnsi="Bookman Old Style"/>
          <w:sz w:val="24"/>
          <w:szCs w:val="24"/>
        </w:rPr>
        <w:t xml:space="preserve"> </w:t>
      </w:r>
      <w:r w:rsidR="003B7FE4" w:rsidRPr="00BB628C">
        <w:rPr>
          <w:rFonts w:ascii="Bookman Old Style" w:hAnsi="Bookman Old Style"/>
          <w:sz w:val="24"/>
          <w:szCs w:val="24"/>
        </w:rPr>
        <w:t>3</w:t>
      </w:r>
      <w:r w:rsidR="00A954D0">
        <w:rPr>
          <w:rFonts w:ascii="Bookman Old Style" w:hAnsi="Bookman Old Style"/>
          <w:sz w:val="24"/>
          <w:szCs w:val="24"/>
        </w:rPr>
        <w:t xml:space="preserve"> </w:t>
      </w:r>
      <w:r w:rsidR="003B7FE4" w:rsidRPr="00BB628C">
        <w:rPr>
          <w:rFonts w:ascii="Bookman Old Style" w:hAnsi="Bookman Old Style"/>
          <w:sz w:val="24"/>
          <w:szCs w:val="24"/>
        </w:rPr>
        <w:t>ayat</w:t>
      </w:r>
      <w:r w:rsidR="00A954D0">
        <w:rPr>
          <w:rFonts w:ascii="Bookman Old Style" w:hAnsi="Bookman Old Style"/>
          <w:sz w:val="24"/>
          <w:szCs w:val="24"/>
        </w:rPr>
        <w:t xml:space="preserve"> </w:t>
      </w:r>
      <w:r w:rsidR="003B7FE4" w:rsidRPr="00BB628C">
        <w:rPr>
          <w:rFonts w:ascii="Bookman Old Style" w:hAnsi="Bookman Old Style"/>
          <w:sz w:val="24"/>
          <w:szCs w:val="24"/>
        </w:rPr>
        <w:t>(1)</w:t>
      </w:r>
      <w:r w:rsidR="00A954D0">
        <w:rPr>
          <w:rFonts w:ascii="Bookman Old Style" w:hAnsi="Bookman Old Style"/>
          <w:sz w:val="24"/>
          <w:szCs w:val="24"/>
        </w:rPr>
        <w:t xml:space="preserve"> </w:t>
      </w:r>
      <w:r w:rsidR="003B7FE4" w:rsidRPr="00BB628C">
        <w:rPr>
          <w:rFonts w:ascii="Bookman Old Style" w:hAnsi="Bookman Old Style"/>
          <w:sz w:val="24"/>
          <w:szCs w:val="24"/>
        </w:rPr>
        <w:t>dan</w:t>
      </w:r>
      <w:r w:rsidR="00A954D0">
        <w:rPr>
          <w:rFonts w:ascii="Bookman Old Style" w:hAnsi="Bookman Old Style"/>
          <w:sz w:val="24"/>
          <w:szCs w:val="24"/>
        </w:rPr>
        <w:t xml:space="preserve"> </w:t>
      </w:r>
      <w:r w:rsidR="003B7FE4" w:rsidRPr="00BB628C">
        <w:rPr>
          <w:rFonts w:ascii="Bookman Old Style" w:hAnsi="Bookman Old Style"/>
          <w:sz w:val="24"/>
          <w:szCs w:val="24"/>
        </w:rPr>
        <w:t>Pasal</w:t>
      </w:r>
      <w:r w:rsidR="00A954D0">
        <w:rPr>
          <w:rFonts w:ascii="Bookman Old Style" w:hAnsi="Bookman Old Style"/>
          <w:sz w:val="24"/>
          <w:szCs w:val="24"/>
        </w:rPr>
        <w:t xml:space="preserve"> </w:t>
      </w:r>
      <w:r w:rsidR="003B7FE4" w:rsidRPr="00BB628C">
        <w:rPr>
          <w:rFonts w:ascii="Bookman Old Style" w:hAnsi="Bookman Old Style"/>
          <w:sz w:val="24"/>
          <w:szCs w:val="24"/>
        </w:rPr>
        <w:t>5</w:t>
      </w:r>
      <w:r w:rsidR="003B7FE4" w:rsidRPr="00BB628C">
        <w:rPr>
          <w:rFonts w:ascii="Bookman Old Style" w:hAnsi="Bookman Old Style"/>
          <w:sz w:val="24"/>
          <w:szCs w:val="24"/>
          <w:lang w:val="en-US"/>
        </w:rPr>
        <w:t>4</w:t>
      </w:r>
      <w:r w:rsidR="00A954D0">
        <w:rPr>
          <w:rFonts w:ascii="Bookman Old Style" w:hAnsi="Bookman Old Style"/>
          <w:sz w:val="24"/>
          <w:szCs w:val="24"/>
          <w:lang w:val="en-US"/>
        </w:rPr>
        <w:t xml:space="preserve"> </w:t>
      </w:r>
      <w:r w:rsidR="003B7FE4" w:rsidRPr="00BB628C">
        <w:rPr>
          <w:rFonts w:ascii="Bookman Old Style" w:hAnsi="Bookman Old Style"/>
          <w:sz w:val="24"/>
          <w:szCs w:val="24"/>
        </w:rPr>
        <w:t>Peraturan</w:t>
      </w:r>
      <w:r w:rsidR="00A954D0">
        <w:rPr>
          <w:rFonts w:ascii="Bookman Old Style" w:hAnsi="Bookman Old Style"/>
          <w:sz w:val="24"/>
          <w:szCs w:val="24"/>
        </w:rPr>
        <w:t xml:space="preserve"> </w:t>
      </w:r>
      <w:r w:rsidR="003B7FE4" w:rsidRPr="00BB628C">
        <w:rPr>
          <w:rFonts w:ascii="Bookman Old Style" w:hAnsi="Bookman Old Style"/>
          <w:sz w:val="24"/>
          <w:szCs w:val="24"/>
        </w:rPr>
        <w:t>Pemerintah</w:t>
      </w:r>
      <w:r w:rsidR="00A954D0">
        <w:rPr>
          <w:rFonts w:ascii="Bookman Old Style" w:hAnsi="Bookman Old Style"/>
          <w:sz w:val="24"/>
          <w:szCs w:val="24"/>
        </w:rPr>
        <w:t xml:space="preserve"> </w:t>
      </w:r>
      <w:r w:rsidR="003B7FE4" w:rsidRPr="00BB628C">
        <w:rPr>
          <w:rFonts w:ascii="Bookman Old Style" w:hAnsi="Bookman Old Style"/>
          <w:sz w:val="24"/>
          <w:szCs w:val="24"/>
        </w:rPr>
        <w:t>Nomor</w:t>
      </w:r>
      <w:r w:rsidR="00A954D0">
        <w:rPr>
          <w:rFonts w:ascii="Bookman Old Style" w:hAnsi="Bookman Old Style"/>
          <w:sz w:val="24"/>
          <w:szCs w:val="24"/>
        </w:rPr>
        <w:t xml:space="preserve"> </w:t>
      </w:r>
      <w:r w:rsidR="003B7FE4" w:rsidRPr="00BB628C">
        <w:rPr>
          <w:rFonts w:ascii="Bookman Old Style" w:hAnsi="Bookman Old Style"/>
          <w:sz w:val="24"/>
          <w:szCs w:val="24"/>
        </w:rPr>
        <w:t>12</w:t>
      </w:r>
      <w:r w:rsidR="00A954D0">
        <w:rPr>
          <w:rFonts w:ascii="Bookman Old Style" w:hAnsi="Bookman Old Style"/>
          <w:sz w:val="24"/>
          <w:szCs w:val="24"/>
        </w:rPr>
        <w:t xml:space="preserve"> </w:t>
      </w:r>
      <w:r w:rsidR="003B7FE4" w:rsidRPr="00BB628C">
        <w:rPr>
          <w:rFonts w:ascii="Bookman Old Style" w:hAnsi="Bookman Old Style"/>
          <w:sz w:val="24"/>
          <w:szCs w:val="24"/>
        </w:rPr>
        <w:t>Tahun</w:t>
      </w:r>
      <w:r w:rsidR="00A954D0">
        <w:rPr>
          <w:rFonts w:ascii="Bookman Old Style" w:hAnsi="Bookman Old Style"/>
          <w:sz w:val="24"/>
          <w:szCs w:val="24"/>
        </w:rPr>
        <w:t xml:space="preserve"> </w:t>
      </w:r>
      <w:r w:rsidR="003B7FE4" w:rsidRPr="00BB628C">
        <w:rPr>
          <w:rFonts w:ascii="Bookman Old Style" w:hAnsi="Bookman Old Style"/>
          <w:sz w:val="24"/>
          <w:szCs w:val="24"/>
        </w:rPr>
        <w:t>2019.</w:t>
      </w:r>
    </w:p>
    <w:p w14:paraId="54166EEC" w14:textId="3E0C1A43" w:rsidR="003B7FE4" w:rsidRPr="00BB628C" w:rsidRDefault="003B7FE4" w:rsidP="00EA103E">
      <w:pPr>
        <w:pStyle w:val="ListParagraph"/>
        <w:spacing w:before="60" w:after="0" w:line="276" w:lineRule="auto"/>
        <w:ind w:left="2694"/>
        <w:contextualSpacing w:val="0"/>
        <w:jc w:val="both"/>
        <w:rPr>
          <w:rFonts w:ascii="Bookman Old Style" w:hAnsi="Bookman Old Style" w:cs="Arial"/>
          <w:sz w:val="24"/>
          <w:szCs w:val="24"/>
          <w:lang w:val="en-US"/>
        </w:rPr>
      </w:pPr>
      <w:r w:rsidRPr="00BB628C">
        <w:rPr>
          <w:rFonts w:ascii="Bookman Old Style" w:hAnsi="Bookman Old Style"/>
          <w:sz w:val="24"/>
          <w:szCs w:val="24"/>
        </w:rPr>
        <w:t>Selanjutnya,</w:t>
      </w:r>
      <w:r w:rsidR="00A954D0">
        <w:rPr>
          <w:rFonts w:ascii="Bookman Old Style" w:hAnsi="Bookman Old Style"/>
          <w:sz w:val="24"/>
          <w:szCs w:val="24"/>
        </w:rPr>
        <w:t xml:space="preserve"> </w:t>
      </w:r>
      <w:r w:rsidRPr="00BB628C">
        <w:rPr>
          <w:rFonts w:ascii="Bookman Old Style" w:hAnsi="Bookman Old Style"/>
          <w:sz w:val="24"/>
          <w:szCs w:val="24"/>
          <w:lang w:val="en-US"/>
        </w:rPr>
        <w:t>Belanja</w:t>
      </w:r>
      <w:r w:rsidR="00A954D0">
        <w:rPr>
          <w:rFonts w:ascii="Bookman Old Style" w:hAnsi="Bookman Old Style"/>
          <w:sz w:val="24"/>
          <w:szCs w:val="24"/>
          <w:lang w:val="en-US"/>
        </w:rPr>
        <w:t xml:space="preserve"> </w:t>
      </w:r>
      <w:r w:rsidRPr="00BB628C">
        <w:rPr>
          <w:rFonts w:ascii="Bookman Old Style" w:hAnsi="Bookman Old Style"/>
          <w:sz w:val="24"/>
          <w:szCs w:val="24"/>
          <w:lang w:val="en-US"/>
        </w:rPr>
        <w:t>Jasa</w:t>
      </w:r>
      <w:r w:rsidR="00A954D0">
        <w:rPr>
          <w:rFonts w:ascii="Bookman Old Style" w:hAnsi="Bookman Old Style"/>
          <w:sz w:val="24"/>
          <w:szCs w:val="24"/>
          <w:lang w:val="en-US"/>
        </w:rPr>
        <w:t xml:space="preserve"> </w:t>
      </w:r>
      <w:r w:rsidRPr="00BB628C">
        <w:rPr>
          <w:rFonts w:ascii="Bookman Old Style" w:hAnsi="Bookman Old Style" w:cs="Arial"/>
          <w:sz w:val="24"/>
          <w:szCs w:val="24"/>
        </w:rPr>
        <w:t>digunakan</w:t>
      </w:r>
      <w:r w:rsidR="00A954D0">
        <w:rPr>
          <w:rFonts w:ascii="Bookman Old Style" w:hAnsi="Bookman Old Style" w:cs="Arial"/>
          <w:sz w:val="24"/>
          <w:szCs w:val="24"/>
        </w:rPr>
        <w:t xml:space="preserve"> </w:t>
      </w:r>
      <w:r w:rsidRPr="00BB628C">
        <w:rPr>
          <w:rFonts w:ascii="Bookman Old Style" w:hAnsi="Bookman Old Style" w:cs="Arial"/>
          <w:sz w:val="24"/>
          <w:szCs w:val="24"/>
        </w:rPr>
        <w:t>untuk</w:t>
      </w:r>
      <w:r w:rsidR="00A954D0">
        <w:rPr>
          <w:rFonts w:ascii="Bookman Old Style" w:hAnsi="Bookman Old Style" w:cs="Arial"/>
          <w:sz w:val="24"/>
          <w:szCs w:val="24"/>
        </w:rPr>
        <w:t xml:space="preserve"> </w:t>
      </w:r>
      <w:r w:rsidRPr="00BB628C">
        <w:rPr>
          <w:rFonts w:ascii="Bookman Old Style" w:hAnsi="Bookman Old Style" w:cs="Arial"/>
          <w:sz w:val="24"/>
          <w:szCs w:val="24"/>
        </w:rPr>
        <w:t>menganggarkan</w:t>
      </w:r>
      <w:r w:rsidR="00A954D0">
        <w:rPr>
          <w:rFonts w:ascii="Bookman Old Style" w:hAnsi="Bookman Old Style" w:cs="Arial"/>
          <w:sz w:val="24"/>
          <w:szCs w:val="24"/>
        </w:rPr>
        <w:t xml:space="preserve"> </w:t>
      </w:r>
      <w:r w:rsidRPr="00BB628C">
        <w:rPr>
          <w:rFonts w:ascii="Bookman Old Style" w:hAnsi="Bookman Old Style" w:cs="Arial"/>
          <w:sz w:val="24"/>
          <w:szCs w:val="24"/>
        </w:rPr>
        <w:t>pengadaan</w:t>
      </w:r>
      <w:r w:rsidR="00A954D0">
        <w:rPr>
          <w:rFonts w:ascii="Bookman Old Style" w:hAnsi="Bookman Old Style" w:cs="Arial"/>
          <w:sz w:val="24"/>
          <w:szCs w:val="24"/>
        </w:rPr>
        <w:t xml:space="preserve"> </w:t>
      </w:r>
      <w:r w:rsidRPr="00BB628C">
        <w:rPr>
          <w:rFonts w:ascii="Bookman Old Style" w:hAnsi="Bookman Old Style" w:cs="Arial"/>
          <w:sz w:val="24"/>
          <w:szCs w:val="24"/>
        </w:rPr>
        <w:t>jasa</w:t>
      </w:r>
      <w:r w:rsidR="00A954D0">
        <w:rPr>
          <w:rFonts w:ascii="Bookman Old Style" w:hAnsi="Bookman Old Style" w:cs="Arial"/>
          <w:sz w:val="24"/>
          <w:szCs w:val="24"/>
        </w:rPr>
        <w:t xml:space="preserve"> </w:t>
      </w:r>
      <w:r w:rsidRPr="00BB628C">
        <w:rPr>
          <w:rFonts w:ascii="Bookman Old Style" w:hAnsi="Bookman Old Style" w:cs="Arial"/>
          <w:sz w:val="24"/>
          <w:szCs w:val="24"/>
        </w:rPr>
        <w:t>yang</w:t>
      </w:r>
      <w:r w:rsidR="00A954D0">
        <w:rPr>
          <w:rFonts w:ascii="Bookman Old Style" w:hAnsi="Bookman Old Style" w:cs="Arial"/>
          <w:sz w:val="24"/>
          <w:szCs w:val="24"/>
        </w:rPr>
        <w:t xml:space="preserve"> </w:t>
      </w:r>
      <w:r w:rsidRPr="00BB628C">
        <w:rPr>
          <w:rFonts w:ascii="Bookman Old Style" w:hAnsi="Bookman Old Style" w:cs="Arial"/>
          <w:sz w:val="24"/>
          <w:szCs w:val="24"/>
        </w:rPr>
        <w:t>didasarkan</w:t>
      </w:r>
      <w:r w:rsidR="00A954D0">
        <w:rPr>
          <w:rFonts w:ascii="Bookman Old Style" w:hAnsi="Bookman Old Style" w:cs="Arial"/>
          <w:sz w:val="24"/>
          <w:szCs w:val="24"/>
        </w:rPr>
        <w:t xml:space="preserve"> </w:t>
      </w:r>
      <w:r w:rsidRPr="00BB628C">
        <w:rPr>
          <w:rFonts w:ascii="Bookman Old Style" w:hAnsi="Bookman Old Style" w:cs="Arial"/>
          <w:sz w:val="24"/>
          <w:szCs w:val="24"/>
        </w:rPr>
        <w:t>pada</w:t>
      </w:r>
      <w:r w:rsidR="00A954D0">
        <w:rPr>
          <w:rFonts w:ascii="Bookman Old Style" w:hAnsi="Bookman Old Style" w:cs="Arial"/>
          <w:sz w:val="24"/>
          <w:szCs w:val="24"/>
        </w:rPr>
        <w:t xml:space="preserve"> </w:t>
      </w:r>
      <w:r w:rsidRPr="00BB628C">
        <w:rPr>
          <w:rFonts w:ascii="Bookman Old Style" w:hAnsi="Bookman Old Style" w:cs="Arial"/>
          <w:sz w:val="24"/>
          <w:szCs w:val="24"/>
        </w:rPr>
        <w:t>pertimbangan</w:t>
      </w:r>
      <w:r w:rsidR="00A954D0">
        <w:rPr>
          <w:rFonts w:ascii="Bookman Old Style" w:hAnsi="Bookman Old Style" w:cs="Arial"/>
          <w:sz w:val="24"/>
          <w:szCs w:val="24"/>
        </w:rPr>
        <w:t xml:space="preserve"> </w:t>
      </w:r>
      <w:r w:rsidRPr="00BB628C">
        <w:rPr>
          <w:rFonts w:ascii="Bookman Old Style" w:hAnsi="Bookman Old Style" w:cs="Arial"/>
          <w:sz w:val="24"/>
          <w:szCs w:val="24"/>
        </w:rPr>
        <w:t>bahwa</w:t>
      </w:r>
      <w:r w:rsidR="00A954D0">
        <w:rPr>
          <w:rFonts w:ascii="Bookman Old Style" w:hAnsi="Bookman Old Style" w:cs="Arial"/>
          <w:sz w:val="24"/>
          <w:szCs w:val="24"/>
        </w:rPr>
        <w:t xml:space="preserve"> </w:t>
      </w:r>
      <w:r w:rsidRPr="00BB628C">
        <w:rPr>
          <w:rFonts w:ascii="Bookman Old Style" w:hAnsi="Bookman Old Style" w:cs="Arial"/>
          <w:sz w:val="24"/>
          <w:szCs w:val="24"/>
        </w:rPr>
        <w:t>keberadaannya</w:t>
      </w:r>
      <w:r w:rsidR="00A954D0">
        <w:rPr>
          <w:rFonts w:ascii="Bookman Old Style" w:hAnsi="Bookman Old Style" w:cs="Arial"/>
          <w:sz w:val="24"/>
          <w:szCs w:val="24"/>
        </w:rPr>
        <w:t xml:space="preserve"> </w:t>
      </w:r>
      <w:r w:rsidRPr="00BB628C">
        <w:rPr>
          <w:rFonts w:ascii="Bookman Old Style" w:hAnsi="Bookman Old Style" w:cs="Arial"/>
          <w:sz w:val="24"/>
          <w:szCs w:val="24"/>
        </w:rPr>
        <w:t>memiliki</w:t>
      </w:r>
      <w:r w:rsidR="00A954D0">
        <w:rPr>
          <w:rFonts w:ascii="Bookman Old Style" w:hAnsi="Bookman Old Style" w:cs="Arial"/>
          <w:sz w:val="24"/>
          <w:szCs w:val="24"/>
        </w:rPr>
        <w:t xml:space="preserve"> </w:t>
      </w:r>
      <w:r w:rsidRPr="00BB628C">
        <w:rPr>
          <w:rFonts w:ascii="Bookman Old Style" w:hAnsi="Bookman Old Style" w:cs="Arial"/>
          <w:sz w:val="24"/>
          <w:szCs w:val="24"/>
        </w:rPr>
        <w:t>peranan</w:t>
      </w:r>
      <w:r w:rsidR="00A954D0">
        <w:rPr>
          <w:rFonts w:ascii="Bookman Old Style" w:hAnsi="Bookman Old Style" w:cs="Arial"/>
          <w:sz w:val="24"/>
          <w:szCs w:val="24"/>
        </w:rPr>
        <w:t xml:space="preserve"> </w:t>
      </w:r>
      <w:r w:rsidRPr="00BB628C">
        <w:rPr>
          <w:rFonts w:ascii="Bookman Old Style" w:hAnsi="Bookman Old Style" w:cs="Arial"/>
          <w:sz w:val="24"/>
          <w:szCs w:val="24"/>
        </w:rPr>
        <w:t>dan</w:t>
      </w:r>
      <w:r w:rsidR="00A954D0">
        <w:rPr>
          <w:rFonts w:ascii="Bookman Old Style" w:hAnsi="Bookman Old Style" w:cs="Arial"/>
          <w:sz w:val="24"/>
          <w:szCs w:val="24"/>
        </w:rPr>
        <w:t xml:space="preserve"> </w:t>
      </w:r>
      <w:r w:rsidRPr="00BB628C">
        <w:rPr>
          <w:rFonts w:ascii="Bookman Old Style" w:hAnsi="Bookman Old Style" w:cs="Arial"/>
          <w:sz w:val="24"/>
          <w:szCs w:val="24"/>
        </w:rPr>
        <w:t>kontribusi</w:t>
      </w:r>
      <w:r w:rsidR="00A954D0">
        <w:rPr>
          <w:rFonts w:ascii="Bookman Old Style" w:hAnsi="Bookman Old Style" w:cs="Arial"/>
          <w:sz w:val="24"/>
          <w:szCs w:val="24"/>
        </w:rPr>
        <w:t xml:space="preserve"> </w:t>
      </w:r>
      <w:r w:rsidRPr="00BB628C">
        <w:rPr>
          <w:rFonts w:ascii="Bookman Old Style" w:hAnsi="Bookman Old Style" w:cs="Arial"/>
          <w:sz w:val="24"/>
          <w:szCs w:val="24"/>
        </w:rPr>
        <w:t>nyata</w:t>
      </w:r>
      <w:r w:rsidR="00A954D0">
        <w:rPr>
          <w:rFonts w:ascii="Bookman Old Style" w:hAnsi="Bookman Old Style" w:cs="Arial"/>
          <w:sz w:val="24"/>
          <w:szCs w:val="24"/>
        </w:rPr>
        <w:t xml:space="preserve"> </w:t>
      </w:r>
      <w:r w:rsidRPr="00BB628C">
        <w:rPr>
          <w:rFonts w:ascii="Bookman Old Style" w:hAnsi="Bookman Old Style" w:cs="Arial"/>
          <w:sz w:val="24"/>
          <w:szCs w:val="24"/>
        </w:rPr>
        <w:t>terhadap</w:t>
      </w:r>
      <w:r w:rsidR="00A954D0">
        <w:rPr>
          <w:rFonts w:ascii="Bookman Old Style" w:hAnsi="Bookman Old Style" w:cs="Arial"/>
          <w:sz w:val="24"/>
          <w:szCs w:val="24"/>
        </w:rPr>
        <w:t xml:space="preserve"> </w:t>
      </w:r>
      <w:r w:rsidRPr="00BB628C">
        <w:rPr>
          <w:rFonts w:ascii="Bookman Old Style" w:hAnsi="Bookman Old Style" w:cs="Arial"/>
          <w:sz w:val="24"/>
          <w:szCs w:val="24"/>
        </w:rPr>
        <w:t>pencapaian</w:t>
      </w:r>
      <w:r w:rsidR="00A954D0">
        <w:rPr>
          <w:rFonts w:ascii="Bookman Old Style" w:hAnsi="Bookman Old Style" w:cs="Arial"/>
          <w:sz w:val="24"/>
          <w:szCs w:val="24"/>
        </w:rPr>
        <w:t xml:space="preserve"> </w:t>
      </w:r>
      <w:r w:rsidRPr="00BB628C">
        <w:rPr>
          <w:rFonts w:ascii="Bookman Old Style" w:hAnsi="Bookman Old Style" w:cs="Arial"/>
          <w:sz w:val="24"/>
          <w:szCs w:val="24"/>
        </w:rPr>
        <w:t>kinerja</w:t>
      </w:r>
      <w:r w:rsidR="00A954D0">
        <w:rPr>
          <w:rFonts w:ascii="Bookman Old Style" w:hAnsi="Bookman Old Style" w:cs="Arial"/>
          <w:sz w:val="24"/>
          <w:szCs w:val="24"/>
        </w:rPr>
        <w:t xml:space="preserve"> </w:t>
      </w:r>
      <w:r w:rsidRPr="00BB628C">
        <w:rPr>
          <w:rFonts w:ascii="Bookman Old Style" w:hAnsi="Bookman Old Style" w:cs="Arial"/>
          <w:sz w:val="24"/>
          <w:szCs w:val="24"/>
        </w:rPr>
        <w:t>pelaksanaan</w:t>
      </w:r>
      <w:r w:rsidR="00A954D0">
        <w:rPr>
          <w:rFonts w:ascii="Bookman Old Style" w:hAnsi="Bookman Old Style" w:cs="Arial"/>
          <w:sz w:val="24"/>
          <w:szCs w:val="24"/>
        </w:rPr>
        <w:t xml:space="preserve"> </w:t>
      </w:r>
      <w:r w:rsidRPr="00BB628C">
        <w:rPr>
          <w:rFonts w:ascii="Bookman Old Style" w:hAnsi="Bookman Old Style" w:cs="Arial"/>
          <w:sz w:val="24"/>
          <w:szCs w:val="24"/>
          <w:lang w:val="en-US"/>
        </w:rPr>
        <w:t>program,</w:t>
      </w:r>
      <w:r w:rsidR="00A954D0">
        <w:rPr>
          <w:rFonts w:ascii="Bookman Old Style" w:hAnsi="Bookman Old Style" w:cs="Arial"/>
          <w:sz w:val="24"/>
          <w:szCs w:val="24"/>
          <w:lang w:val="en-US"/>
        </w:rPr>
        <w:t xml:space="preserve"> </w:t>
      </w:r>
      <w:r w:rsidRPr="00BB628C">
        <w:rPr>
          <w:rFonts w:ascii="Bookman Old Style" w:hAnsi="Bookman Old Style" w:cs="Arial"/>
          <w:sz w:val="24"/>
          <w:szCs w:val="24"/>
          <w:lang w:val="en-US"/>
        </w:rPr>
        <w:t>kegiatan,</w:t>
      </w:r>
      <w:r w:rsidR="00A954D0">
        <w:rPr>
          <w:rFonts w:ascii="Bookman Old Style" w:hAnsi="Bookman Old Style" w:cs="Arial"/>
          <w:sz w:val="24"/>
          <w:szCs w:val="24"/>
          <w:lang w:val="en-US"/>
        </w:rPr>
        <w:t xml:space="preserve"> </w:t>
      </w:r>
      <w:r w:rsidRPr="00BB628C">
        <w:rPr>
          <w:rFonts w:ascii="Bookman Old Style" w:hAnsi="Bookman Old Style" w:cs="Arial"/>
          <w:sz w:val="24"/>
          <w:szCs w:val="24"/>
          <w:lang w:val="en-US"/>
        </w:rPr>
        <w:t>dan</w:t>
      </w:r>
      <w:r w:rsidR="00A954D0">
        <w:rPr>
          <w:rFonts w:ascii="Bookman Old Style" w:hAnsi="Bookman Old Style" w:cs="Arial"/>
          <w:sz w:val="24"/>
          <w:szCs w:val="24"/>
          <w:lang w:val="en-US"/>
        </w:rPr>
        <w:t xml:space="preserve"> </w:t>
      </w:r>
      <w:r w:rsidRPr="00BB628C">
        <w:rPr>
          <w:rFonts w:ascii="Bookman Old Style" w:hAnsi="Bookman Old Style" w:cs="Arial"/>
          <w:sz w:val="24"/>
          <w:szCs w:val="24"/>
        </w:rPr>
        <w:t>sub</w:t>
      </w:r>
      <w:r w:rsidR="00A954D0">
        <w:rPr>
          <w:rFonts w:ascii="Bookman Old Style" w:hAnsi="Bookman Old Style" w:cs="Arial"/>
          <w:sz w:val="24"/>
          <w:szCs w:val="24"/>
        </w:rPr>
        <w:t xml:space="preserve"> </w:t>
      </w:r>
      <w:r w:rsidRPr="00BB628C">
        <w:rPr>
          <w:rFonts w:ascii="Bookman Old Style" w:hAnsi="Bookman Old Style" w:cs="Arial"/>
          <w:sz w:val="24"/>
          <w:szCs w:val="24"/>
        </w:rPr>
        <w:t>kegiatan</w:t>
      </w:r>
      <w:r w:rsidRPr="00BB628C">
        <w:rPr>
          <w:rFonts w:ascii="Bookman Old Style" w:hAnsi="Bookman Old Style" w:cs="Arial"/>
          <w:sz w:val="24"/>
          <w:szCs w:val="24"/>
          <w:lang w:val="en-US"/>
        </w:rPr>
        <w:t>.</w:t>
      </w:r>
      <w:r w:rsidR="00A954D0">
        <w:rPr>
          <w:rFonts w:ascii="Bookman Old Style" w:hAnsi="Bookman Old Style" w:cs="Arial"/>
          <w:sz w:val="24"/>
          <w:szCs w:val="24"/>
          <w:lang w:val="en-US"/>
        </w:rPr>
        <w:t xml:space="preserve"> </w:t>
      </w:r>
      <w:r w:rsidRPr="00BB628C">
        <w:rPr>
          <w:rFonts w:ascii="Bookman Old Style" w:hAnsi="Bookman Old Style" w:cs="Arial"/>
          <w:sz w:val="24"/>
          <w:szCs w:val="24"/>
          <w:lang w:val="en-US"/>
        </w:rPr>
        <w:t>Penyediaan</w:t>
      </w:r>
      <w:r w:rsidR="00A954D0">
        <w:rPr>
          <w:rFonts w:ascii="Bookman Old Style" w:hAnsi="Bookman Old Style" w:cs="Arial"/>
          <w:sz w:val="24"/>
          <w:szCs w:val="24"/>
          <w:lang w:val="en-US"/>
        </w:rPr>
        <w:t xml:space="preserve"> </w:t>
      </w:r>
      <w:r w:rsidRPr="00BB628C">
        <w:rPr>
          <w:rFonts w:ascii="Bookman Old Style" w:hAnsi="Bookman Old Style" w:cs="Arial"/>
          <w:sz w:val="24"/>
          <w:szCs w:val="24"/>
          <w:lang w:val="en-US"/>
        </w:rPr>
        <w:t>anggaran</w:t>
      </w:r>
      <w:r w:rsidR="00A954D0">
        <w:rPr>
          <w:rFonts w:ascii="Bookman Old Style" w:hAnsi="Bookman Old Style" w:cs="Arial"/>
          <w:sz w:val="24"/>
          <w:szCs w:val="24"/>
          <w:lang w:val="en-US"/>
        </w:rPr>
        <w:t xml:space="preserve"> </w:t>
      </w:r>
      <w:r w:rsidRPr="00BB628C">
        <w:rPr>
          <w:rFonts w:ascii="Bookman Old Style" w:hAnsi="Bookman Old Style" w:cs="Arial"/>
          <w:sz w:val="24"/>
          <w:szCs w:val="24"/>
          <w:lang w:val="en-US"/>
        </w:rPr>
        <w:t>Belanja</w:t>
      </w:r>
      <w:r w:rsidR="00A954D0">
        <w:rPr>
          <w:rFonts w:ascii="Bookman Old Style" w:hAnsi="Bookman Old Style" w:cs="Arial"/>
          <w:sz w:val="24"/>
          <w:szCs w:val="24"/>
        </w:rPr>
        <w:t xml:space="preserve"> </w:t>
      </w:r>
      <w:r w:rsidRPr="00BB628C">
        <w:rPr>
          <w:rFonts w:ascii="Bookman Old Style" w:hAnsi="Bookman Old Style" w:cs="Arial"/>
          <w:sz w:val="24"/>
          <w:szCs w:val="24"/>
        </w:rPr>
        <w:t>Jasa</w:t>
      </w:r>
      <w:r w:rsidR="00A954D0">
        <w:rPr>
          <w:rFonts w:ascii="Bookman Old Style" w:hAnsi="Bookman Old Style" w:cs="Arial"/>
          <w:sz w:val="24"/>
          <w:szCs w:val="24"/>
        </w:rPr>
        <w:t xml:space="preserve"> </w:t>
      </w:r>
      <w:r w:rsidRPr="00BB628C">
        <w:rPr>
          <w:rFonts w:ascii="Bookman Old Style" w:hAnsi="Bookman Old Style" w:cs="Arial"/>
          <w:sz w:val="24"/>
          <w:szCs w:val="24"/>
        </w:rPr>
        <w:lastRenderedPageBreak/>
        <w:t>sebagai</w:t>
      </w:r>
      <w:r w:rsidR="00A954D0">
        <w:rPr>
          <w:rFonts w:ascii="Bookman Old Style" w:hAnsi="Bookman Old Style" w:cs="Arial"/>
          <w:sz w:val="24"/>
          <w:szCs w:val="24"/>
        </w:rPr>
        <w:t xml:space="preserve"> </w:t>
      </w:r>
      <w:r w:rsidRPr="00BB628C">
        <w:rPr>
          <w:rFonts w:ascii="Bookman Old Style" w:hAnsi="Bookman Old Style" w:cs="Arial"/>
          <w:sz w:val="24"/>
          <w:szCs w:val="24"/>
        </w:rPr>
        <w:t>imbalan</w:t>
      </w:r>
      <w:r w:rsidR="00A954D0">
        <w:rPr>
          <w:rFonts w:ascii="Bookman Old Style" w:hAnsi="Bookman Old Style" w:cs="Arial"/>
          <w:sz w:val="24"/>
          <w:szCs w:val="24"/>
        </w:rPr>
        <w:t xml:space="preserve"> </w:t>
      </w:r>
      <w:r w:rsidRPr="00BB628C">
        <w:rPr>
          <w:rFonts w:ascii="Bookman Old Style" w:hAnsi="Bookman Old Style" w:cs="Arial"/>
          <w:sz w:val="24"/>
          <w:szCs w:val="24"/>
        </w:rPr>
        <w:t>yang</w:t>
      </w:r>
      <w:r w:rsidR="00A954D0">
        <w:rPr>
          <w:rFonts w:ascii="Bookman Old Style" w:hAnsi="Bookman Old Style" w:cs="Arial"/>
          <w:sz w:val="24"/>
          <w:szCs w:val="24"/>
        </w:rPr>
        <w:t xml:space="preserve"> </w:t>
      </w:r>
      <w:r w:rsidRPr="00BB628C">
        <w:rPr>
          <w:rFonts w:ascii="Bookman Old Style" w:hAnsi="Bookman Old Style" w:cs="Arial"/>
          <w:sz w:val="24"/>
          <w:szCs w:val="24"/>
        </w:rPr>
        <w:t>diberikan</w:t>
      </w:r>
      <w:r w:rsidR="00A954D0">
        <w:rPr>
          <w:rFonts w:ascii="Bookman Old Style" w:hAnsi="Bookman Old Style" w:cs="Arial"/>
          <w:sz w:val="24"/>
          <w:szCs w:val="24"/>
        </w:rPr>
        <w:t xml:space="preserve"> </w:t>
      </w:r>
      <w:r w:rsidRPr="00BB628C">
        <w:rPr>
          <w:rFonts w:ascii="Bookman Old Style" w:hAnsi="Bookman Old Style" w:cs="Arial"/>
          <w:sz w:val="24"/>
          <w:szCs w:val="24"/>
        </w:rPr>
        <w:t>kepada</w:t>
      </w:r>
      <w:r w:rsidR="00A954D0">
        <w:rPr>
          <w:rFonts w:ascii="Bookman Old Style" w:hAnsi="Bookman Old Style" w:cs="Arial"/>
          <w:sz w:val="24"/>
          <w:szCs w:val="24"/>
        </w:rPr>
        <w:t xml:space="preserve"> </w:t>
      </w:r>
      <w:r w:rsidRPr="00BB628C">
        <w:rPr>
          <w:rFonts w:ascii="Bookman Old Style" w:hAnsi="Bookman Old Style" w:cs="Arial"/>
          <w:sz w:val="24"/>
          <w:szCs w:val="24"/>
        </w:rPr>
        <w:t>ASN</w:t>
      </w:r>
      <w:r w:rsidR="00A954D0">
        <w:rPr>
          <w:rFonts w:ascii="Bookman Old Style" w:hAnsi="Bookman Old Style" w:cs="Arial"/>
          <w:sz w:val="24"/>
          <w:szCs w:val="24"/>
        </w:rPr>
        <w:t xml:space="preserve"> </w:t>
      </w:r>
      <w:r w:rsidRPr="00BB628C">
        <w:rPr>
          <w:rFonts w:ascii="Bookman Old Style" w:hAnsi="Bookman Old Style" w:cs="Arial"/>
          <w:sz w:val="24"/>
          <w:szCs w:val="24"/>
        </w:rPr>
        <w:t>dan</w:t>
      </w:r>
      <w:r w:rsidRPr="00BB628C">
        <w:rPr>
          <w:rFonts w:ascii="Bookman Old Style" w:hAnsi="Bookman Old Style" w:cs="Arial"/>
          <w:sz w:val="24"/>
          <w:szCs w:val="24"/>
          <w:lang w:val="en-US"/>
        </w:rPr>
        <w:t>/atau</w:t>
      </w:r>
      <w:r w:rsidR="00A954D0">
        <w:rPr>
          <w:rFonts w:ascii="Bookman Old Style" w:hAnsi="Bookman Old Style" w:cs="Arial"/>
          <w:sz w:val="24"/>
          <w:szCs w:val="24"/>
        </w:rPr>
        <w:t xml:space="preserve"> </w:t>
      </w:r>
      <w:r w:rsidRPr="00BB628C">
        <w:rPr>
          <w:rFonts w:ascii="Bookman Old Style" w:hAnsi="Bookman Old Style" w:cs="Arial"/>
          <w:sz w:val="24"/>
          <w:szCs w:val="24"/>
        </w:rPr>
        <w:t>Non</w:t>
      </w:r>
      <w:r w:rsidR="00A954D0">
        <w:rPr>
          <w:rFonts w:ascii="Bookman Old Style" w:hAnsi="Bookman Old Style" w:cs="Arial"/>
          <w:sz w:val="24"/>
          <w:szCs w:val="24"/>
        </w:rPr>
        <w:t xml:space="preserve"> </w:t>
      </w:r>
      <w:r w:rsidRPr="00BB628C">
        <w:rPr>
          <w:rFonts w:ascii="Bookman Old Style" w:hAnsi="Bookman Old Style" w:cs="Arial"/>
          <w:sz w:val="24"/>
          <w:szCs w:val="24"/>
        </w:rPr>
        <w:t>ASN</w:t>
      </w:r>
      <w:r w:rsidR="00A954D0">
        <w:rPr>
          <w:rFonts w:ascii="Bookman Old Style" w:hAnsi="Bookman Old Style" w:cs="Arial"/>
          <w:sz w:val="24"/>
          <w:szCs w:val="24"/>
        </w:rPr>
        <w:t xml:space="preserve"> </w:t>
      </w:r>
      <w:r w:rsidRPr="00BB628C">
        <w:rPr>
          <w:rFonts w:ascii="Bookman Old Style" w:hAnsi="Bookman Old Style" w:cs="Arial"/>
          <w:sz w:val="24"/>
          <w:szCs w:val="24"/>
        </w:rPr>
        <w:t>berdasarkan</w:t>
      </w:r>
      <w:r w:rsidR="00A954D0">
        <w:rPr>
          <w:rFonts w:ascii="Bookman Old Style" w:hAnsi="Bookman Old Style" w:cs="Arial"/>
          <w:sz w:val="24"/>
          <w:szCs w:val="24"/>
        </w:rPr>
        <w:t xml:space="preserve"> </w:t>
      </w:r>
      <w:r w:rsidRPr="00BB628C">
        <w:rPr>
          <w:rFonts w:ascii="Bookman Old Style" w:hAnsi="Bookman Old Style" w:cs="Arial"/>
          <w:sz w:val="24"/>
          <w:szCs w:val="24"/>
        </w:rPr>
        <w:t>keahlian/profesi</w:t>
      </w:r>
      <w:r w:rsidR="00A954D0">
        <w:rPr>
          <w:rFonts w:ascii="Bookman Old Style" w:hAnsi="Bookman Old Style" w:cs="Arial"/>
          <w:sz w:val="24"/>
          <w:szCs w:val="24"/>
        </w:rPr>
        <w:t xml:space="preserve"> </w:t>
      </w:r>
      <w:r w:rsidRPr="00BB628C">
        <w:rPr>
          <w:rFonts w:ascii="Bookman Old Style" w:hAnsi="Bookman Old Style" w:cs="Arial"/>
          <w:sz w:val="24"/>
          <w:szCs w:val="24"/>
        </w:rPr>
        <w:t>secara</w:t>
      </w:r>
      <w:r w:rsidR="00A954D0">
        <w:rPr>
          <w:rFonts w:ascii="Bookman Old Style" w:hAnsi="Bookman Old Style" w:cs="Arial"/>
          <w:sz w:val="24"/>
          <w:szCs w:val="24"/>
        </w:rPr>
        <w:t xml:space="preserve"> </w:t>
      </w:r>
      <w:r w:rsidRPr="00BB628C">
        <w:rPr>
          <w:rFonts w:ascii="Bookman Old Style" w:hAnsi="Bookman Old Style" w:cs="Arial"/>
          <w:sz w:val="24"/>
          <w:szCs w:val="24"/>
        </w:rPr>
        <w:t>spesifik</w:t>
      </w:r>
      <w:r w:rsidR="00A954D0">
        <w:rPr>
          <w:rFonts w:ascii="Bookman Old Style" w:hAnsi="Bookman Old Style" w:cs="Arial"/>
          <w:sz w:val="24"/>
          <w:szCs w:val="24"/>
        </w:rPr>
        <w:t xml:space="preserve"> </w:t>
      </w:r>
      <w:r w:rsidRPr="00BB628C">
        <w:rPr>
          <w:rFonts w:ascii="Bookman Old Style" w:hAnsi="Bookman Old Style" w:cs="Arial"/>
          <w:sz w:val="24"/>
          <w:szCs w:val="24"/>
        </w:rPr>
        <w:t>yang</w:t>
      </w:r>
      <w:r w:rsidR="00A954D0">
        <w:rPr>
          <w:rFonts w:ascii="Bookman Old Style" w:hAnsi="Bookman Old Style" w:cs="Arial"/>
          <w:sz w:val="24"/>
          <w:szCs w:val="24"/>
        </w:rPr>
        <w:t xml:space="preserve"> </w:t>
      </w:r>
      <w:r w:rsidRPr="00BB628C">
        <w:rPr>
          <w:rFonts w:ascii="Bookman Old Style" w:hAnsi="Bookman Old Style" w:cs="Arial"/>
          <w:sz w:val="24"/>
          <w:szCs w:val="24"/>
        </w:rPr>
        <w:t>dituangkan</w:t>
      </w:r>
      <w:r w:rsidR="00A954D0">
        <w:rPr>
          <w:rFonts w:ascii="Bookman Old Style" w:hAnsi="Bookman Old Style" w:cs="Arial"/>
          <w:sz w:val="24"/>
          <w:szCs w:val="24"/>
        </w:rPr>
        <w:t xml:space="preserve"> </w:t>
      </w:r>
      <w:r w:rsidRPr="00BB628C">
        <w:rPr>
          <w:rFonts w:ascii="Bookman Old Style" w:hAnsi="Bookman Old Style" w:cs="Arial"/>
          <w:sz w:val="24"/>
          <w:szCs w:val="24"/>
        </w:rPr>
        <w:t>dalam</w:t>
      </w:r>
      <w:r w:rsidR="00A954D0">
        <w:rPr>
          <w:rFonts w:ascii="Bookman Old Style" w:hAnsi="Bookman Old Style" w:cs="Arial"/>
          <w:sz w:val="24"/>
          <w:szCs w:val="24"/>
        </w:rPr>
        <w:t xml:space="preserve"> </w:t>
      </w:r>
      <w:r w:rsidRPr="00BB628C">
        <w:rPr>
          <w:rFonts w:ascii="Bookman Old Style" w:hAnsi="Bookman Old Style" w:cs="Arial"/>
          <w:sz w:val="24"/>
          <w:szCs w:val="24"/>
        </w:rPr>
        <w:t>perjanjian/penugasan</w:t>
      </w:r>
      <w:r w:rsidR="00A954D0">
        <w:rPr>
          <w:rFonts w:ascii="Bookman Old Style" w:hAnsi="Bookman Old Style" w:cs="Arial"/>
          <w:sz w:val="24"/>
          <w:szCs w:val="24"/>
        </w:rPr>
        <w:t xml:space="preserve"> </w:t>
      </w:r>
      <w:r w:rsidRPr="00BB628C">
        <w:rPr>
          <w:rFonts w:ascii="Bookman Old Style" w:hAnsi="Bookman Old Style" w:cs="Arial"/>
          <w:sz w:val="24"/>
          <w:szCs w:val="24"/>
        </w:rPr>
        <w:t>dan</w:t>
      </w:r>
      <w:r w:rsidR="00A954D0">
        <w:rPr>
          <w:rFonts w:ascii="Bookman Old Style" w:hAnsi="Bookman Old Style" w:cs="Arial"/>
          <w:sz w:val="24"/>
          <w:szCs w:val="24"/>
        </w:rPr>
        <w:t xml:space="preserve"> </w:t>
      </w:r>
      <w:r w:rsidRPr="00BB628C">
        <w:rPr>
          <w:rFonts w:ascii="Bookman Old Style" w:hAnsi="Bookman Old Style" w:cs="Arial"/>
          <w:sz w:val="24"/>
          <w:szCs w:val="24"/>
        </w:rPr>
        <w:t>besarannya</w:t>
      </w:r>
      <w:r w:rsidR="00A954D0">
        <w:rPr>
          <w:rFonts w:ascii="Bookman Old Style" w:hAnsi="Bookman Old Style" w:cs="Arial"/>
          <w:sz w:val="24"/>
          <w:szCs w:val="24"/>
        </w:rPr>
        <w:t xml:space="preserve"> </w:t>
      </w:r>
      <w:r w:rsidRPr="00BB628C">
        <w:rPr>
          <w:rFonts w:ascii="Bookman Old Style" w:hAnsi="Bookman Old Style" w:cs="Arial"/>
          <w:sz w:val="24"/>
          <w:szCs w:val="24"/>
        </w:rPr>
        <w:t>sesuai</w:t>
      </w:r>
      <w:r w:rsidR="00A954D0">
        <w:rPr>
          <w:rFonts w:ascii="Bookman Old Style" w:hAnsi="Bookman Old Style" w:cs="Arial"/>
          <w:sz w:val="24"/>
          <w:szCs w:val="24"/>
        </w:rPr>
        <w:t xml:space="preserve"> </w:t>
      </w:r>
      <w:r w:rsidRPr="00BB628C">
        <w:rPr>
          <w:rFonts w:ascii="Bookman Old Style" w:hAnsi="Bookman Old Style" w:cs="Arial"/>
          <w:sz w:val="24"/>
          <w:szCs w:val="24"/>
        </w:rPr>
        <w:t>dengan</w:t>
      </w:r>
      <w:r w:rsidR="00A954D0">
        <w:rPr>
          <w:rFonts w:ascii="Bookman Old Style" w:hAnsi="Bookman Old Style" w:cs="Arial"/>
          <w:sz w:val="24"/>
          <w:szCs w:val="24"/>
        </w:rPr>
        <w:t xml:space="preserve"> </w:t>
      </w:r>
      <w:r w:rsidRPr="00BB628C">
        <w:rPr>
          <w:rFonts w:ascii="Bookman Old Style" w:hAnsi="Bookman Old Style" w:cs="Arial"/>
          <w:sz w:val="24"/>
          <w:szCs w:val="24"/>
        </w:rPr>
        <w:t>ketentuan</w:t>
      </w:r>
      <w:r w:rsidR="00A954D0">
        <w:rPr>
          <w:rFonts w:ascii="Bookman Old Style" w:hAnsi="Bookman Old Style" w:cs="Arial"/>
          <w:sz w:val="24"/>
          <w:szCs w:val="24"/>
        </w:rPr>
        <w:t xml:space="preserve"> </w:t>
      </w:r>
      <w:r w:rsidRPr="00BB628C">
        <w:rPr>
          <w:rFonts w:ascii="Bookman Old Style" w:hAnsi="Bookman Old Style" w:cs="Arial"/>
          <w:sz w:val="24"/>
          <w:szCs w:val="24"/>
        </w:rPr>
        <w:t>peraturan</w:t>
      </w:r>
      <w:r w:rsidR="00A954D0">
        <w:rPr>
          <w:rFonts w:ascii="Bookman Old Style" w:hAnsi="Bookman Old Style" w:cs="Arial"/>
          <w:sz w:val="24"/>
          <w:szCs w:val="24"/>
        </w:rPr>
        <w:t xml:space="preserve"> </w:t>
      </w:r>
      <w:r w:rsidRPr="00BB628C">
        <w:rPr>
          <w:rFonts w:ascii="Bookman Old Style" w:hAnsi="Bookman Old Style" w:cs="Arial"/>
          <w:sz w:val="24"/>
          <w:szCs w:val="24"/>
        </w:rPr>
        <w:t>perundang-undangan</w:t>
      </w:r>
      <w:r w:rsidR="00A954D0">
        <w:rPr>
          <w:rFonts w:ascii="Bookman Old Style" w:hAnsi="Bookman Old Style" w:cs="Arial"/>
          <w:sz w:val="24"/>
          <w:szCs w:val="24"/>
          <w:lang w:val="en-US"/>
        </w:rPr>
        <w:t xml:space="preserve"> </w:t>
      </w:r>
      <w:r w:rsidRPr="00BB628C">
        <w:rPr>
          <w:rFonts w:ascii="Bookman Old Style" w:hAnsi="Bookman Old Style" w:cs="Arial"/>
          <w:sz w:val="24"/>
          <w:szCs w:val="24"/>
          <w:lang w:val="en-US"/>
        </w:rPr>
        <w:t>serta</w:t>
      </w:r>
      <w:r w:rsidR="00A954D0">
        <w:rPr>
          <w:rFonts w:ascii="Bookman Old Style" w:hAnsi="Bookman Old Style" w:cs="Arial"/>
          <w:sz w:val="24"/>
          <w:szCs w:val="24"/>
          <w:lang w:val="en-US"/>
        </w:rPr>
        <w:t xml:space="preserve"> </w:t>
      </w:r>
      <w:r w:rsidRPr="00BB628C">
        <w:rPr>
          <w:rFonts w:ascii="Bookman Old Style" w:hAnsi="Bookman Old Style" w:cs="Arial"/>
          <w:sz w:val="24"/>
          <w:szCs w:val="24"/>
        </w:rPr>
        <w:t>sebagai</w:t>
      </w:r>
      <w:r w:rsidR="00A954D0">
        <w:rPr>
          <w:rFonts w:ascii="Bookman Old Style" w:hAnsi="Bookman Old Style" w:cs="Arial"/>
          <w:sz w:val="24"/>
          <w:szCs w:val="24"/>
        </w:rPr>
        <w:t xml:space="preserve"> </w:t>
      </w:r>
      <w:r w:rsidRPr="00BB628C">
        <w:rPr>
          <w:rFonts w:ascii="Bookman Old Style" w:hAnsi="Bookman Old Style" w:cs="Arial"/>
          <w:sz w:val="24"/>
          <w:szCs w:val="24"/>
        </w:rPr>
        <w:t>imbalan</w:t>
      </w:r>
      <w:r w:rsidR="00A954D0">
        <w:rPr>
          <w:rFonts w:ascii="Bookman Old Style" w:hAnsi="Bookman Old Style" w:cs="Arial"/>
          <w:sz w:val="24"/>
          <w:szCs w:val="24"/>
        </w:rPr>
        <w:t xml:space="preserve"> </w:t>
      </w:r>
      <w:r w:rsidRPr="00BB628C">
        <w:rPr>
          <w:rFonts w:ascii="Bookman Old Style" w:hAnsi="Bookman Old Style" w:cs="Arial"/>
          <w:sz w:val="24"/>
          <w:szCs w:val="24"/>
        </w:rPr>
        <w:t>yang</w:t>
      </w:r>
      <w:r w:rsidR="00A954D0">
        <w:rPr>
          <w:rFonts w:ascii="Bookman Old Style" w:hAnsi="Bookman Old Style" w:cs="Arial"/>
          <w:sz w:val="24"/>
          <w:szCs w:val="24"/>
        </w:rPr>
        <w:t xml:space="preserve"> </w:t>
      </w:r>
      <w:r w:rsidRPr="00BB628C">
        <w:rPr>
          <w:rFonts w:ascii="Bookman Old Style" w:hAnsi="Bookman Old Style" w:cs="Arial"/>
          <w:sz w:val="24"/>
          <w:szCs w:val="24"/>
        </w:rPr>
        <w:t>diberikan</w:t>
      </w:r>
      <w:r w:rsidR="00A954D0">
        <w:rPr>
          <w:rFonts w:ascii="Bookman Old Style" w:hAnsi="Bookman Old Style" w:cs="Arial"/>
          <w:sz w:val="24"/>
          <w:szCs w:val="24"/>
        </w:rPr>
        <w:t xml:space="preserve"> </w:t>
      </w:r>
      <w:r w:rsidRPr="00BB628C">
        <w:rPr>
          <w:rFonts w:ascii="Bookman Old Style" w:hAnsi="Bookman Old Style" w:cs="Arial"/>
          <w:sz w:val="24"/>
          <w:szCs w:val="24"/>
        </w:rPr>
        <w:t>kepada</w:t>
      </w:r>
      <w:r w:rsidR="00A954D0">
        <w:rPr>
          <w:rFonts w:ascii="Bookman Old Style" w:hAnsi="Bookman Old Style" w:cs="Arial"/>
          <w:sz w:val="24"/>
          <w:szCs w:val="24"/>
        </w:rPr>
        <w:t xml:space="preserve"> </w:t>
      </w:r>
      <w:r w:rsidRPr="00BB628C">
        <w:rPr>
          <w:rFonts w:ascii="Bookman Old Style" w:hAnsi="Bookman Old Style" w:cs="Arial"/>
          <w:sz w:val="24"/>
          <w:szCs w:val="24"/>
        </w:rPr>
        <w:t>pihak</w:t>
      </w:r>
      <w:r w:rsidR="00A954D0">
        <w:rPr>
          <w:rFonts w:ascii="Bookman Old Style" w:hAnsi="Bookman Old Style" w:cs="Arial"/>
          <w:sz w:val="24"/>
          <w:szCs w:val="24"/>
        </w:rPr>
        <w:t xml:space="preserve"> </w:t>
      </w:r>
      <w:r w:rsidRPr="00BB628C">
        <w:rPr>
          <w:rFonts w:ascii="Bookman Old Style" w:hAnsi="Bookman Old Style" w:cs="Arial"/>
          <w:sz w:val="24"/>
          <w:szCs w:val="24"/>
        </w:rPr>
        <w:t>lain</w:t>
      </w:r>
      <w:r w:rsidR="00A954D0">
        <w:rPr>
          <w:rFonts w:ascii="Bookman Old Style" w:hAnsi="Bookman Old Style" w:cs="Arial"/>
          <w:sz w:val="24"/>
          <w:szCs w:val="24"/>
        </w:rPr>
        <w:t xml:space="preserve"> </w:t>
      </w:r>
      <w:r w:rsidRPr="00BB628C">
        <w:rPr>
          <w:rFonts w:ascii="Bookman Old Style" w:hAnsi="Bookman Old Style" w:cs="Arial"/>
          <w:sz w:val="24"/>
          <w:szCs w:val="24"/>
        </w:rPr>
        <w:t>atas</w:t>
      </w:r>
      <w:r w:rsidR="00A954D0">
        <w:rPr>
          <w:rFonts w:ascii="Bookman Old Style" w:hAnsi="Bookman Old Style" w:cs="Arial"/>
          <w:sz w:val="24"/>
          <w:szCs w:val="24"/>
        </w:rPr>
        <w:t xml:space="preserve"> </w:t>
      </w:r>
      <w:r w:rsidRPr="00BB628C">
        <w:rPr>
          <w:rFonts w:ascii="Bookman Old Style" w:hAnsi="Bookman Old Style" w:cs="Arial"/>
          <w:sz w:val="24"/>
          <w:szCs w:val="24"/>
        </w:rPr>
        <w:t>pemberian</w:t>
      </w:r>
      <w:r w:rsidR="00A954D0">
        <w:rPr>
          <w:rFonts w:ascii="Bookman Old Style" w:hAnsi="Bookman Old Style" w:cs="Arial"/>
          <w:sz w:val="24"/>
          <w:szCs w:val="24"/>
        </w:rPr>
        <w:t xml:space="preserve"> </w:t>
      </w:r>
      <w:r w:rsidRPr="00BB628C">
        <w:rPr>
          <w:rFonts w:ascii="Bookman Old Style" w:hAnsi="Bookman Old Style" w:cs="Arial"/>
          <w:sz w:val="24"/>
          <w:szCs w:val="24"/>
        </w:rPr>
        <w:t>layanan</w:t>
      </w:r>
      <w:r w:rsidR="00A954D0">
        <w:rPr>
          <w:rFonts w:ascii="Bookman Old Style" w:hAnsi="Bookman Old Style" w:cs="Arial"/>
          <w:sz w:val="24"/>
          <w:szCs w:val="24"/>
        </w:rPr>
        <w:t xml:space="preserve"> </w:t>
      </w:r>
      <w:r w:rsidRPr="00BB628C">
        <w:rPr>
          <w:rFonts w:ascii="Bookman Old Style" w:hAnsi="Bookman Old Style" w:cs="Arial"/>
          <w:sz w:val="24"/>
          <w:szCs w:val="24"/>
        </w:rPr>
        <w:t>antara</w:t>
      </w:r>
      <w:r w:rsidR="00A954D0">
        <w:rPr>
          <w:rFonts w:ascii="Bookman Old Style" w:hAnsi="Bookman Old Style" w:cs="Arial"/>
          <w:sz w:val="24"/>
          <w:szCs w:val="24"/>
        </w:rPr>
        <w:t xml:space="preserve"> </w:t>
      </w:r>
      <w:r w:rsidRPr="00BB628C">
        <w:rPr>
          <w:rFonts w:ascii="Bookman Old Style" w:hAnsi="Bookman Old Style" w:cs="Arial"/>
          <w:sz w:val="24"/>
          <w:szCs w:val="24"/>
        </w:rPr>
        <w:t>lain</w:t>
      </w:r>
      <w:r w:rsidR="00A954D0">
        <w:rPr>
          <w:rFonts w:ascii="Bookman Old Style" w:hAnsi="Bookman Old Style" w:cs="Arial"/>
          <w:sz w:val="24"/>
          <w:szCs w:val="24"/>
        </w:rPr>
        <w:t xml:space="preserve"> </w:t>
      </w:r>
      <w:r w:rsidRPr="00BB628C">
        <w:rPr>
          <w:rFonts w:ascii="Bookman Old Style" w:hAnsi="Bookman Old Style" w:cs="Arial"/>
          <w:sz w:val="24"/>
          <w:szCs w:val="24"/>
        </w:rPr>
        <w:t>listrik,</w:t>
      </w:r>
      <w:r w:rsidR="00A954D0">
        <w:rPr>
          <w:rFonts w:ascii="Bookman Old Style" w:hAnsi="Bookman Old Style" w:cs="Arial"/>
          <w:sz w:val="24"/>
          <w:szCs w:val="24"/>
        </w:rPr>
        <w:t xml:space="preserve"> </w:t>
      </w:r>
      <w:r w:rsidRPr="00BB628C">
        <w:rPr>
          <w:rFonts w:ascii="Bookman Old Style" w:hAnsi="Bookman Old Style" w:cs="Arial"/>
          <w:sz w:val="24"/>
          <w:szCs w:val="24"/>
        </w:rPr>
        <w:t>air,</w:t>
      </w:r>
      <w:r w:rsidR="00A954D0">
        <w:rPr>
          <w:rFonts w:ascii="Bookman Old Style" w:hAnsi="Bookman Old Style" w:cs="Arial"/>
          <w:sz w:val="24"/>
          <w:szCs w:val="24"/>
        </w:rPr>
        <w:t xml:space="preserve"> </w:t>
      </w:r>
      <w:r w:rsidRPr="00BB628C">
        <w:rPr>
          <w:rFonts w:ascii="Bookman Old Style" w:hAnsi="Bookman Old Style" w:cs="Arial"/>
          <w:sz w:val="24"/>
          <w:szCs w:val="24"/>
        </w:rPr>
        <w:t>telepon,</w:t>
      </w:r>
      <w:r w:rsidR="00A954D0">
        <w:rPr>
          <w:rFonts w:ascii="Bookman Old Style" w:hAnsi="Bookman Old Style" w:cs="Arial"/>
          <w:sz w:val="24"/>
          <w:szCs w:val="24"/>
        </w:rPr>
        <w:t xml:space="preserve"> </w:t>
      </w:r>
      <w:r w:rsidRPr="00BB628C">
        <w:rPr>
          <w:rFonts w:ascii="Bookman Old Style" w:hAnsi="Bookman Old Style" w:cs="Arial"/>
          <w:i/>
          <w:sz w:val="24"/>
          <w:szCs w:val="24"/>
        </w:rPr>
        <w:t>internet</w:t>
      </w:r>
      <w:r w:rsidR="00A954D0">
        <w:rPr>
          <w:rFonts w:ascii="Bookman Old Style" w:hAnsi="Bookman Old Style" w:cs="Arial"/>
          <w:sz w:val="24"/>
          <w:szCs w:val="24"/>
        </w:rPr>
        <w:t xml:space="preserve"> </w:t>
      </w:r>
      <w:r w:rsidRPr="00BB628C">
        <w:rPr>
          <w:rFonts w:ascii="Bookman Old Style" w:hAnsi="Bookman Old Style" w:cs="Arial"/>
          <w:sz w:val="24"/>
          <w:szCs w:val="24"/>
        </w:rPr>
        <w:t>dan</w:t>
      </w:r>
      <w:r w:rsidR="00A954D0">
        <w:rPr>
          <w:rFonts w:ascii="Bookman Old Style" w:hAnsi="Bookman Old Style" w:cs="Arial"/>
          <w:sz w:val="24"/>
          <w:szCs w:val="24"/>
        </w:rPr>
        <w:t xml:space="preserve"> </w:t>
      </w:r>
      <w:r w:rsidRPr="00BB628C">
        <w:rPr>
          <w:rFonts w:ascii="Bookman Old Style" w:hAnsi="Bookman Old Style" w:cs="Arial"/>
          <w:sz w:val="24"/>
          <w:szCs w:val="24"/>
        </w:rPr>
        <w:t>jasa-jasa</w:t>
      </w:r>
      <w:r w:rsidR="00A954D0">
        <w:rPr>
          <w:rFonts w:ascii="Bookman Old Style" w:hAnsi="Bookman Old Style" w:cs="Arial"/>
          <w:sz w:val="24"/>
          <w:szCs w:val="24"/>
        </w:rPr>
        <w:t xml:space="preserve"> </w:t>
      </w:r>
      <w:r w:rsidRPr="00BB628C">
        <w:rPr>
          <w:rFonts w:ascii="Bookman Old Style" w:hAnsi="Bookman Old Style" w:cs="Arial"/>
          <w:sz w:val="24"/>
          <w:szCs w:val="24"/>
        </w:rPr>
        <w:t>lainnya</w:t>
      </w:r>
      <w:r w:rsidRPr="00BB628C">
        <w:rPr>
          <w:rFonts w:ascii="Bookman Old Style" w:hAnsi="Bookman Old Style" w:cs="Arial"/>
          <w:sz w:val="24"/>
          <w:szCs w:val="24"/>
          <w:lang w:val="en-US"/>
        </w:rPr>
        <w:t>,</w:t>
      </w:r>
      <w:r w:rsidR="00A954D0">
        <w:rPr>
          <w:rFonts w:ascii="Bookman Old Style" w:hAnsi="Bookman Old Style" w:cs="Arial"/>
          <w:sz w:val="24"/>
          <w:szCs w:val="24"/>
        </w:rPr>
        <w:t xml:space="preserve"> </w:t>
      </w:r>
      <w:r w:rsidRPr="00BB628C">
        <w:rPr>
          <w:rFonts w:ascii="Bookman Old Style" w:hAnsi="Bookman Old Style" w:cs="Arial"/>
          <w:sz w:val="24"/>
          <w:szCs w:val="24"/>
        </w:rPr>
        <w:t>sebagaimana</w:t>
      </w:r>
      <w:r w:rsidR="00A954D0">
        <w:rPr>
          <w:rFonts w:ascii="Bookman Old Style" w:hAnsi="Bookman Old Style" w:cs="Arial"/>
          <w:sz w:val="24"/>
          <w:szCs w:val="24"/>
        </w:rPr>
        <w:t xml:space="preserve"> </w:t>
      </w:r>
      <w:r w:rsidRPr="00BB628C">
        <w:rPr>
          <w:rFonts w:ascii="Bookman Old Style" w:hAnsi="Bookman Old Style" w:cs="Arial"/>
          <w:sz w:val="24"/>
          <w:szCs w:val="24"/>
        </w:rPr>
        <w:t>maksud</w:t>
      </w:r>
      <w:r w:rsidR="00A954D0">
        <w:rPr>
          <w:rFonts w:ascii="Bookman Old Style" w:hAnsi="Bookman Old Style" w:cs="Arial"/>
          <w:sz w:val="24"/>
          <w:szCs w:val="24"/>
        </w:rPr>
        <w:t xml:space="preserve"> </w:t>
      </w:r>
      <w:r w:rsidRPr="00BB628C">
        <w:rPr>
          <w:rFonts w:ascii="Bookman Old Style" w:hAnsi="Bookman Old Style" w:cs="Arial"/>
          <w:sz w:val="24"/>
          <w:szCs w:val="24"/>
        </w:rPr>
        <w:t>butir</w:t>
      </w:r>
      <w:r w:rsidR="00A954D0">
        <w:rPr>
          <w:rFonts w:ascii="Bookman Old Style" w:hAnsi="Bookman Old Style" w:cs="Arial"/>
          <w:sz w:val="24"/>
          <w:szCs w:val="24"/>
        </w:rPr>
        <w:t xml:space="preserve"> </w:t>
      </w:r>
      <w:r w:rsidRPr="00BB628C">
        <w:rPr>
          <w:rFonts w:ascii="Bookman Old Style" w:hAnsi="Bookman Old Style"/>
          <w:sz w:val="24"/>
          <w:szCs w:val="24"/>
          <w:lang w:val="en-US"/>
        </w:rPr>
        <w:t>3.4.1.2.2.a</w:t>
      </w:r>
      <w:r w:rsidR="00A954D0">
        <w:rPr>
          <w:rFonts w:ascii="Bookman Old Style" w:hAnsi="Bookman Old Style" w:cs="Arial"/>
          <w:sz w:val="24"/>
          <w:szCs w:val="24"/>
        </w:rPr>
        <w:t xml:space="preserve"> </w:t>
      </w:r>
      <w:r w:rsidRPr="00BB628C">
        <w:rPr>
          <w:rFonts w:ascii="Bookman Old Style" w:hAnsi="Bookman Old Style" w:cs="Arial"/>
          <w:sz w:val="24"/>
          <w:szCs w:val="24"/>
        </w:rPr>
        <w:t>Lampiran</w:t>
      </w:r>
      <w:r w:rsidR="00A954D0">
        <w:rPr>
          <w:rFonts w:ascii="Bookman Old Style" w:hAnsi="Bookman Old Style" w:cs="Arial"/>
          <w:sz w:val="24"/>
          <w:szCs w:val="24"/>
        </w:rPr>
        <w:t xml:space="preserve"> </w:t>
      </w:r>
      <w:r w:rsidRPr="00BB628C">
        <w:rPr>
          <w:rFonts w:ascii="Bookman Old Style" w:hAnsi="Bookman Old Style" w:cs="Arial"/>
          <w:sz w:val="24"/>
          <w:szCs w:val="24"/>
        </w:rPr>
        <w:t>Peraturan</w:t>
      </w:r>
      <w:r w:rsidR="00A954D0">
        <w:rPr>
          <w:rFonts w:ascii="Bookman Old Style" w:hAnsi="Bookman Old Style" w:cs="Arial"/>
          <w:sz w:val="24"/>
          <w:szCs w:val="24"/>
        </w:rPr>
        <w:t xml:space="preserve"> </w:t>
      </w:r>
      <w:r w:rsidRPr="00BB628C">
        <w:rPr>
          <w:rFonts w:ascii="Bookman Old Style" w:hAnsi="Bookman Old Style" w:cs="Arial"/>
          <w:sz w:val="24"/>
          <w:szCs w:val="24"/>
        </w:rPr>
        <w:t>Menteri</w:t>
      </w:r>
      <w:r w:rsidR="00A954D0">
        <w:rPr>
          <w:rFonts w:ascii="Bookman Old Style" w:hAnsi="Bookman Old Style" w:cs="Arial"/>
          <w:sz w:val="24"/>
          <w:szCs w:val="24"/>
        </w:rPr>
        <w:t xml:space="preserve"> </w:t>
      </w:r>
      <w:r w:rsidRPr="00BB628C">
        <w:rPr>
          <w:rFonts w:ascii="Bookman Old Style" w:hAnsi="Bookman Old Style" w:cs="Arial"/>
          <w:sz w:val="24"/>
          <w:szCs w:val="24"/>
        </w:rPr>
        <w:t>Dalam</w:t>
      </w:r>
      <w:r w:rsidR="00A954D0">
        <w:rPr>
          <w:rFonts w:ascii="Bookman Old Style" w:hAnsi="Bookman Old Style" w:cs="Arial"/>
          <w:sz w:val="24"/>
          <w:szCs w:val="24"/>
        </w:rPr>
        <w:t xml:space="preserve"> </w:t>
      </w:r>
      <w:r w:rsidRPr="00BB628C">
        <w:rPr>
          <w:rFonts w:ascii="Bookman Old Style" w:hAnsi="Bookman Old Style" w:cs="Arial"/>
          <w:sz w:val="24"/>
          <w:szCs w:val="24"/>
        </w:rPr>
        <w:t>Negeri</w:t>
      </w:r>
      <w:r w:rsidR="00A954D0">
        <w:rPr>
          <w:rFonts w:ascii="Bookman Old Style" w:hAnsi="Bookman Old Style" w:cs="Arial"/>
          <w:sz w:val="24"/>
          <w:szCs w:val="24"/>
        </w:rPr>
        <w:t xml:space="preserve"> </w:t>
      </w:r>
      <w:r w:rsidRPr="00BB628C">
        <w:rPr>
          <w:rFonts w:ascii="Bookman Old Style" w:hAnsi="Bookman Old Style" w:cs="Arial"/>
          <w:sz w:val="24"/>
          <w:szCs w:val="24"/>
        </w:rPr>
        <w:t>Nomor</w:t>
      </w:r>
      <w:r w:rsidR="00A954D0">
        <w:rPr>
          <w:rFonts w:ascii="Bookman Old Style" w:hAnsi="Bookman Old Style" w:cs="Arial"/>
          <w:sz w:val="24"/>
          <w:szCs w:val="24"/>
        </w:rPr>
        <w:t xml:space="preserve"> </w:t>
      </w:r>
      <w:r w:rsidRPr="00BB628C">
        <w:rPr>
          <w:rFonts w:ascii="Bookman Old Style" w:hAnsi="Bookman Old Style" w:cs="Arial"/>
          <w:sz w:val="24"/>
          <w:szCs w:val="24"/>
          <w:lang w:val="en-US"/>
        </w:rPr>
        <w:t>15</w:t>
      </w:r>
      <w:r w:rsidR="00A954D0">
        <w:rPr>
          <w:rFonts w:ascii="Bookman Old Style" w:hAnsi="Bookman Old Style" w:cs="Arial"/>
          <w:sz w:val="24"/>
          <w:szCs w:val="24"/>
        </w:rPr>
        <w:t xml:space="preserve"> </w:t>
      </w:r>
      <w:r w:rsidRPr="00BB628C">
        <w:rPr>
          <w:rFonts w:ascii="Bookman Old Style" w:hAnsi="Bookman Old Style" w:cs="Arial"/>
          <w:sz w:val="24"/>
          <w:szCs w:val="24"/>
        </w:rPr>
        <w:t>Tahun</w:t>
      </w:r>
      <w:r w:rsidR="00A954D0">
        <w:rPr>
          <w:rFonts w:ascii="Bookman Old Style" w:hAnsi="Bookman Old Style" w:cs="Arial"/>
          <w:sz w:val="24"/>
          <w:szCs w:val="24"/>
        </w:rPr>
        <w:t xml:space="preserve"> </w:t>
      </w:r>
      <w:r w:rsidRPr="00BB628C">
        <w:rPr>
          <w:rFonts w:ascii="Bookman Old Style" w:hAnsi="Bookman Old Style" w:cs="Arial"/>
          <w:sz w:val="24"/>
          <w:szCs w:val="24"/>
        </w:rPr>
        <w:t>202</w:t>
      </w:r>
      <w:r w:rsidRPr="00BB628C">
        <w:rPr>
          <w:rFonts w:ascii="Bookman Old Style" w:hAnsi="Bookman Old Style" w:cs="Arial"/>
          <w:sz w:val="24"/>
          <w:szCs w:val="24"/>
          <w:lang w:val="en-US"/>
        </w:rPr>
        <w:t>4.</w:t>
      </w:r>
    </w:p>
    <w:p w14:paraId="7BAA2DDF" w14:textId="2F7B805C" w:rsidR="003B7FE4" w:rsidRPr="00BB628C" w:rsidRDefault="003B7FE4" w:rsidP="00EA103E">
      <w:pPr>
        <w:pStyle w:val="ListParagraph"/>
        <w:numPr>
          <w:ilvl w:val="0"/>
          <w:numId w:val="22"/>
        </w:numPr>
        <w:spacing w:before="60" w:after="0" w:line="276" w:lineRule="auto"/>
        <w:ind w:left="2694" w:hanging="426"/>
        <w:contextualSpacing w:val="0"/>
        <w:jc w:val="both"/>
        <w:rPr>
          <w:rFonts w:ascii="Bookman Old Style" w:hAnsi="Bookman Old Style"/>
          <w:sz w:val="24"/>
          <w:szCs w:val="24"/>
          <w:lang w:val="id-ID"/>
        </w:rPr>
      </w:pPr>
      <w:r w:rsidRPr="00BB628C">
        <w:rPr>
          <w:rFonts w:ascii="Bookman Old Style" w:hAnsi="Bookman Old Style"/>
          <w:sz w:val="24"/>
          <w:szCs w:val="24"/>
        </w:rPr>
        <w:t>Belanja</w:t>
      </w:r>
      <w:r w:rsidR="00A954D0">
        <w:rPr>
          <w:rFonts w:ascii="Bookman Old Style" w:hAnsi="Bookman Old Style"/>
          <w:sz w:val="24"/>
          <w:szCs w:val="24"/>
        </w:rPr>
        <w:t xml:space="preserve"> </w:t>
      </w:r>
      <w:r w:rsidRPr="00BB628C">
        <w:rPr>
          <w:rFonts w:ascii="Bookman Old Style" w:hAnsi="Bookman Old Style"/>
          <w:sz w:val="24"/>
          <w:szCs w:val="24"/>
        </w:rPr>
        <w:t>Iuran</w:t>
      </w:r>
      <w:r w:rsidR="00A954D0">
        <w:rPr>
          <w:rFonts w:ascii="Bookman Old Style" w:hAnsi="Bookman Old Style"/>
          <w:sz w:val="24"/>
          <w:szCs w:val="24"/>
        </w:rPr>
        <w:t xml:space="preserve"> </w:t>
      </w:r>
      <w:r w:rsidRPr="00BB628C">
        <w:rPr>
          <w:rFonts w:ascii="Bookman Old Style" w:hAnsi="Bookman Old Style"/>
          <w:sz w:val="24"/>
          <w:szCs w:val="24"/>
        </w:rPr>
        <w:t>Jaminan/Asuransi</w:t>
      </w:r>
      <w:r w:rsidR="00A954D0">
        <w:rPr>
          <w:rFonts w:ascii="Bookman Old Style" w:hAnsi="Bookman Old Style"/>
          <w:sz w:val="24"/>
          <w:szCs w:val="24"/>
        </w:rPr>
        <w:t xml:space="preserve"> </w:t>
      </w:r>
      <w:r w:rsidR="00B44335" w:rsidRPr="00BB628C">
        <w:rPr>
          <w:rFonts w:ascii="Bookman Old Style" w:hAnsi="Bookman Old Style"/>
          <w:sz w:val="24"/>
          <w:szCs w:val="24"/>
        </w:rPr>
        <w:t>Rp240.827.904.029,00</w:t>
      </w:r>
      <w:r w:rsidR="00A954D0">
        <w:rPr>
          <w:rFonts w:ascii="Bookman Old Style" w:hAnsi="Bookman Old Style"/>
          <w:sz w:val="24"/>
          <w:szCs w:val="24"/>
        </w:rPr>
        <w:t xml:space="preserve"> </w:t>
      </w:r>
      <w:r w:rsidR="00B44335" w:rsidRPr="00BB628C">
        <w:rPr>
          <w:rFonts w:ascii="Bookman Old Style" w:hAnsi="Bookman Old Style"/>
          <w:sz w:val="24"/>
          <w:szCs w:val="24"/>
        </w:rPr>
        <w:t>atau</w:t>
      </w:r>
      <w:r w:rsidR="00A954D0">
        <w:rPr>
          <w:rFonts w:ascii="Bookman Old Style" w:hAnsi="Bookman Old Style"/>
          <w:sz w:val="24"/>
          <w:szCs w:val="24"/>
        </w:rPr>
        <w:t xml:space="preserve"> </w:t>
      </w:r>
      <w:r w:rsidR="00B44335" w:rsidRPr="00BB628C">
        <w:rPr>
          <w:rFonts w:ascii="Bookman Old Style" w:hAnsi="Bookman Old Style"/>
          <w:sz w:val="24"/>
          <w:szCs w:val="24"/>
        </w:rPr>
        <w:t>4,22%</w:t>
      </w:r>
      <w:r w:rsidR="00A954D0">
        <w:rPr>
          <w:rFonts w:ascii="Bookman Old Style" w:hAnsi="Bookman Old Style"/>
          <w:sz w:val="24"/>
          <w:szCs w:val="24"/>
          <w:lang w:val="en-US"/>
        </w:rPr>
        <w:t xml:space="preserve"> </w:t>
      </w:r>
      <w:r w:rsidRPr="00BB628C">
        <w:rPr>
          <w:rFonts w:ascii="Bookman Old Style" w:hAnsi="Bookman Old Style"/>
          <w:sz w:val="24"/>
          <w:szCs w:val="24"/>
          <w:lang w:val="en-US"/>
        </w:rPr>
        <w:t>dari</w:t>
      </w:r>
      <w:r w:rsidR="00A954D0">
        <w:rPr>
          <w:rFonts w:ascii="Bookman Old Style" w:hAnsi="Bookman Old Style"/>
          <w:sz w:val="24"/>
          <w:szCs w:val="24"/>
          <w:lang w:val="en-US"/>
        </w:rPr>
        <w:t xml:space="preserve"> </w:t>
      </w:r>
      <w:r w:rsidRPr="00BB628C">
        <w:rPr>
          <w:rFonts w:ascii="Bookman Old Style" w:hAnsi="Bookman Old Style"/>
          <w:sz w:val="24"/>
          <w:szCs w:val="24"/>
          <w:lang w:val="en-US"/>
        </w:rPr>
        <w:t>total</w:t>
      </w:r>
      <w:r w:rsidR="00A954D0">
        <w:rPr>
          <w:rFonts w:ascii="Bookman Old Style" w:hAnsi="Bookman Old Style"/>
          <w:sz w:val="24"/>
          <w:szCs w:val="24"/>
          <w:lang w:val="en-US"/>
        </w:rPr>
        <w:t xml:space="preserve"> </w:t>
      </w:r>
      <w:r w:rsidRPr="00BB628C">
        <w:rPr>
          <w:rFonts w:ascii="Bookman Old Style" w:hAnsi="Bookman Old Style"/>
          <w:sz w:val="24"/>
          <w:szCs w:val="24"/>
          <w:lang w:val="en-US"/>
        </w:rPr>
        <w:t>belanja</w:t>
      </w:r>
      <w:r w:rsidR="00A954D0">
        <w:rPr>
          <w:rFonts w:ascii="Bookman Old Style" w:hAnsi="Bookman Old Style"/>
          <w:sz w:val="24"/>
          <w:szCs w:val="24"/>
          <w:lang w:val="en-US"/>
        </w:rPr>
        <w:t xml:space="preserve"> </w:t>
      </w:r>
      <w:r w:rsidRPr="00BB628C">
        <w:rPr>
          <w:rFonts w:ascii="Bookman Old Style" w:hAnsi="Bookman Old Style"/>
          <w:sz w:val="24"/>
          <w:szCs w:val="24"/>
          <w:lang w:val="en-US"/>
        </w:rPr>
        <w:t>daerah</w:t>
      </w:r>
      <w:r w:rsidR="00A954D0">
        <w:rPr>
          <w:rFonts w:ascii="Bookman Old Style" w:hAnsi="Bookman Old Style"/>
          <w:sz w:val="24"/>
          <w:szCs w:val="24"/>
          <w:lang w:val="en-US"/>
        </w:rPr>
        <w:t xml:space="preserve"> </w:t>
      </w:r>
      <w:r w:rsidRPr="00BB628C">
        <w:rPr>
          <w:rFonts w:ascii="Bookman Old Style" w:hAnsi="Bookman Old Style"/>
          <w:sz w:val="24"/>
          <w:szCs w:val="24"/>
          <w:lang w:val="en-US"/>
        </w:rPr>
        <w:t>dalam</w:t>
      </w:r>
      <w:r w:rsidR="00A954D0">
        <w:rPr>
          <w:rFonts w:ascii="Bookman Old Style" w:hAnsi="Bookman Old Style"/>
          <w:sz w:val="24"/>
          <w:szCs w:val="24"/>
          <w:lang w:val="en-US"/>
        </w:rPr>
        <w:t xml:space="preserve"> </w:t>
      </w:r>
      <w:r w:rsidRPr="00BB628C">
        <w:rPr>
          <w:rFonts w:ascii="Bookman Old Style" w:hAnsi="Bookman Old Style"/>
          <w:sz w:val="24"/>
          <w:szCs w:val="24"/>
          <w:lang w:val="en-US"/>
        </w:rPr>
        <w:t>Rancangan</w:t>
      </w:r>
      <w:r w:rsidR="00A954D0">
        <w:rPr>
          <w:rFonts w:ascii="Bookman Old Style" w:hAnsi="Bookman Old Style"/>
          <w:sz w:val="24"/>
          <w:szCs w:val="24"/>
          <w:lang w:val="en-US"/>
        </w:rPr>
        <w:t xml:space="preserve"> </w:t>
      </w:r>
      <w:r w:rsidRPr="00BB628C">
        <w:rPr>
          <w:rFonts w:ascii="Bookman Old Style" w:hAnsi="Bookman Old Style"/>
          <w:sz w:val="24"/>
          <w:szCs w:val="24"/>
          <w:lang w:val="en-US"/>
        </w:rPr>
        <w:t>Peraturan</w:t>
      </w:r>
      <w:r w:rsidR="00A954D0">
        <w:rPr>
          <w:rFonts w:ascii="Bookman Old Style" w:hAnsi="Bookman Old Style"/>
          <w:sz w:val="24"/>
          <w:szCs w:val="24"/>
          <w:lang w:val="en-US"/>
        </w:rPr>
        <w:t xml:space="preserve"> </w:t>
      </w:r>
      <w:r w:rsidRPr="00BB628C">
        <w:rPr>
          <w:rFonts w:ascii="Bookman Old Style" w:hAnsi="Bookman Old Style"/>
          <w:sz w:val="24"/>
          <w:szCs w:val="24"/>
          <w:lang w:val="en-US"/>
        </w:rPr>
        <w:t>Daerah</w:t>
      </w:r>
      <w:r w:rsidR="00A954D0">
        <w:rPr>
          <w:rFonts w:ascii="Bookman Old Style" w:hAnsi="Bookman Old Style"/>
          <w:sz w:val="24"/>
          <w:szCs w:val="24"/>
          <w:lang w:val="en-US"/>
        </w:rPr>
        <w:t xml:space="preserve"> </w:t>
      </w:r>
      <w:r w:rsidR="00B055C5" w:rsidRPr="00BB628C">
        <w:rPr>
          <w:rFonts w:ascii="Bookman Old Style" w:hAnsi="Bookman Old Style"/>
          <w:sz w:val="24"/>
          <w:szCs w:val="24"/>
          <w:lang w:val="en-US"/>
        </w:rPr>
        <w:t>Kota</w:t>
      </w:r>
      <w:r w:rsidR="00A954D0">
        <w:rPr>
          <w:rFonts w:ascii="Bookman Old Style" w:hAnsi="Bookman Old Style"/>
          <w:sz w:val="24"/>
          <w:szCs w:val="24"/>
          <w:lang w:val="en-US"/>
        </w:rPr>
        <w:t xml:space="preserve"> </w:t>
      </w:r>
      <w:r w:rsidR="00770F22" w:rsidRPr="00BB628C">
        <w:rPr>
          <w:rFonts w:ascii="Bookman Old Style" w:hAnsi="Bookman Old Style"/>
          <w:sz w:val="24"/>
          <w:szCs w:val="24"/>
          <w:lang w:val="en-US"/>
        </w:rPr>
        <w:t>Tangerang</w:t>
      </w:r>
      <w:r w:rsidR="00A954D0">
        <w:rPr>
          <w:rFonts w:ascii="Bookman Old Style" w:hAnsi="Bookman Old Style"/>
          <w:sz w:val="24"/>
          <w:szCs w:val="24"/>
          <w:lang w:val="en-US"/>
        </w:rPr>
        <w:t xml:space="preserve"> </w:t>
      </w:r>
      <w:r w:rsidR="00BE6ED9" w:rsidRPr="00BB628C">
        <w:rPr>
          <w:rFonts w:ascii="Bookman Old Style" w:hAnsi="Bookman Old Style"/>
          <w:sz w:val="24"/>
          <w:szCs w:val="24"/>
          <w:lang w:val="en-US"/>
        </w:rPr>
        <w:t>tentang</w:t>
      </w:r>
      <w:r w:rsidR="00A954D0">
        <w:rPr>
          <w:rFonts w:ascii="Bookman Old Style" w:hAnsi="Bookman Old Style"/>
          <w:sz w:val="24"/>
          <w:szCs w:val="24"/>
          <w:lang w:val="en-US"/>
        </w:rPr>
        <w:t xml:space="preserve"> </w:t>
      </w:r>
      <w:r w:rsidR="00BE6ED9" w:rsidRPr="00BB628C">
        <w:rPr>
          <w:rFonts w:ascii="Bookman Old Style" w:hAnsi="Bookman Old Style"/>
          <w:sz w:val="24"/>
          <w:szCs w:val="24"/>
          <w:lang w:val="en-US"/>
        </w:rPr>
        <w:t>APBD</w:t>
      </w:r>
      <w:r w:rsidR="00A954D0">
        <w:rPr>
          <w:rFonts w:ascii="Bookman Old Style" w:hAnsi="Bookman Old Style"/>
          <w:sz w:val="24"/>
          <w:szCs w:val="24"/>
          <w:lang w:val="en-US"/>
        </w:rPr>
        <w:t xml:space="preserve"> </w:t>
      </w:r>
      <w:r w:rsidRPr="00BB628C">
        <w:rPr>
          <w:rFonts w:ascii="Bookman Old Style" w:hAnsi="Bookman Old Style"/>
          <w:sz w:val="24"/>
          <w:szCs w:val="24"/>
          <w:lang w:val="en-US"/>
        </w:rPr>
        <w:t>Tahun</w:t>
      </w:r>
      <w:r w:rsidR="00A954D0">
        <w:rPr>
          <w:rFonts w:ascii="Bookman Old Style" w:hAnsi="Bookman Old Style"/>
          <w:sz w:val="24"/>
          <w:szCs w:val="24"/>
          <w:lang w:val="en-US"/>
        </w:rPr>
        <w:t xml:space="preserve"> </w:t>
      </w:r>
      <w:r w:rsidRPr="00BB628C">
        <w:rPr>
          <w:rFonts w:ascii="Bookman Old Style" w:hAnsi="Bookman Old Style"/>
          <w:sz w:val="24"/>
          <w:szCs w:val="24"/>
          <w:lang w:val="en-US"/>
        </w:rPr>
        <w:t>Anggaran</w:t>
      </w:r>
      <w:r w:rsidR="00A954D0">
        <w:rPr>
          <w:rFonts w:ascii="Bookman Old Style" w:hAnsi="Bookman Old Style"/>
          <w:sz w:val="24"/>
          <w:szCs w:val="24"/>
          <w:lang w:val="en-US"/>
        </w:rPr>
        <w:t xml:space="preserve"> </w:t>
      </w:r>
      <w:r w:rsidRPr="00BB628C">
        <w:rPr>
          <w:rFonts w:ascii="Bookman Old Style" w:hAnsi="Bookman Old Style"/>
          <w:sz w:val="24"/>
          <w:szCs w:val="24"/>
          <w:lang w:val="en-US"/>
        </w:rPr>
        <w:t>2025,</w:t>
      </w:r>
      <w:r w:rsidR="00A954D0">
        <w:rPr>
          <w:rFonts w:ascii="Bookman Old Style" w:hAnsi="Bookman Old Style"/>
          <w:sz w:val="24"/>
          <w:szCs w:val="24"/>
          <w:lang w:val="en-US"/>
        </w:rPr>
        <w:t xml:space="preserve"> </w:t>
      </w:r>
      <w:r w:rsidRPr="00BB628C">
        <w:rPr>
          <w:rFonts w:ascii="Bookman Old Style" w:hAnsi="Bookman Old Style"/>
          <w:sz w:val="24"/>
          <w:szCs w:val="24"/>
          <w:lang w:val="en-US"/>
        </w:rPr>
        <w:t>yang</w:t>
      </w:r>
      <w:r w:rsidR="00A954D0">
        <w:rPr>
          <w:rFonts w:ascii="Bookman Old Style" w:hAnsi="Bookman Old Style"/>
          <w:sz w:val="24"/>
          <w:szCs w:val="24"/>
          <w:lang w:val="en-US"/>
        </w:rPr>
        <w:t xml:space="preserve"> </w:t>
      </w:r>
      <w:r w:rsidRPr="00BB628C">
        <w:rPr>
          <w:rFonts w:ascii="Bookman Old Style" w:hAnsi="Bookman Old Style"/>
          <w:sz w:val="24"/>
          <w:szCs w:val="24"/>
          <w:lang w:val="en-US"/>
        </w:rPr>
        <w:t>antara</w:t>
      </w:r>
      <w:r w:rsidR="00A954D0">
        <w:rPr>
          <w:rFonts w:ascii="Bookman Old Style" w:hAnsi="Bookman Old Style"/>
          <w:sz w:val="24"/>
          <w:szCs w:val="24"/>
          <w:lang w:val="en-US"/>
        </w:rPr>
        <w:t xml:space="preserve"> </w:t>
      </w:r>
      <w:r w:rsidRPr="00BB628C">
        <w:rPr>
          <w:rFonts w:ascii="Bookman Old Style" w:hAnsi="Bookman Old Style"/>
          <w:sz w:val="24"/>
          <w:szCs w:val="24"/>
          <w:lang w:val="en-US"/>
        </w:rPr>
        <w:t>lain</w:t>
      </w:r>
      <w:r w:rsidR="00A954D0">
        <w:rPr>
          <w:rFonts w:ascii="Bookman Old Style" w:hAnsi="Bookman Old Style"/>
          <w:sz w:val="24"/>
          <w:szCs w:val="24"/>
          <w:lang w:val="en-US"/>
        </w:rPr>
        <w:t xml:space="preserve"> </w:t>
      </w:r>
      <w:r w:rsidRPr="00BB628C">
        <w:rPr>
          <w:rFonts w:ascii="Bookman Old Style" w:hAnsi="Bookman Old Style"/>
          <w:sz w:val="24"/>
          <w:szCs w:val="24"/>
          <w:lang w:val="en-US"/>
        </w:rPr>
        <w:t>diuraikan</w:t>
      </w:r>
      <w:r w:rsidR="00A954D0">
        <w:rPr>
          <w:rFonts w:ascii="Bookman Old Style" w:hAnsi="Bookman Old Style"/>
          <w:sz w:val="24"/>
          <w:szCs w:val="24"/>
          <w:lang w:val="en-US"/>
        </w:rPr>
        <w:t xml:space="preserve"> </w:t>
      </w:r>
      <w:r w:rsidRPr="00BB628C">
        <w:rPr>
          <w:rFonts w:ascii="Bookman Old Style" w:hAnsi="Bookman Old Style"/>
          <w:sz w:val="24"/>
          <w:szCs w:val="24"/>
          <w:lang w:val="en-US"/>
        </w:rPr>
        <w:t>ke</w:t>
      </w:r>
      <w:r w:rsidR="00A954D0">
        <w:rPr>
          <w:rFonts w:ascii="Bookman Old Style" w:hAnsi="Bookman Old Style"/>
          <w:sz w:val="24"/>
          <w:szCs w:val="24"/>
          <w:lang w:val="en-US"/>
        </w:rPr>
        <w:t xml:space="preserve"> </w:t>
      </w:r>
      <w:r w:rsidRPr="00BB628C">
        <w:rPr>
          <w:rFonts w:ascii="Bookman Old Style" w:hAnsi="Bookman Old Style"/>
          <w:sz w:val="24"/>
          <w:szCs w:val="24"/>
          <w:lang w:val="en-US"/>
        </w:rPr>
        <w:t>dalam</w:t>
      </w:r>
      <w:r w:rsidR="00A954D0">
        <w:rPr>
          <w:rFonts w:ascii="Bookman Old Style" w:hAnsi="Bookman Old Style"/>
          <w:sz w:val="24"/>
          <w:szCs w:val="24"/>
          <w:lang w:val="en-US"/>
        </w:rPr>
        <w:t xml:space="preserve"> </w:t>
      </w:r>
      <w:r w:rsidRPr="00BB628C">
        <w:rPr>
          <w:rFonts w:ascii="Bookman Old Style" w:hAnsi="Bookman Old Style"/>
          <w:sz w:val="24"/>
          <w:szCs w:val="24"/>
          <w:lang w:val="en-US"/>
        </w:rPr>
        <w:t>sub</w:t>
      </w:r>
      <w:r w:rsidR="00A954D0">
        <w:rPr>
          <w:rFonts w:ascii="Bookman Old Style" w:hAnsi="Bookman Old Style"/>
          <w:sz w:val="24"/>
          <w:szCs w:val="24"/>
          <w:lang w:val="en-US"/>
        </w:rPr>
        <w:t xml:space="preserve"> </w:t>
      </w:r>
      <w:r w:rsidRPr="00BB628C">
        <w:rPr>
          <w:rFonts w:ascii="Bookman Old Style" w:hAnsi="Bookman Old Style"/>
          <w:sz w:val="24"/>
          <w:szCs w:val="24"/>
          <w:lang w:val="en-US"/>
        </w:rPr>
        <w:t>rincian</w:t>
      </w:r>
      <w:r w:rsidR="00A954D0">
        <w:rPr>
          <w:rFonts w:ascii="Bookman Old Style" w:hAnsi="Bookman Old Style"/>
          <w:sz w:val="24"/>
          <w:szCs w:val="24"/>
          <w:lang w:val="en-US"/>
        </w:rPr>
        <w:t xml:space="preserve"> </w:t>
      </w:r>
      <w:r w:rsidRPr="00BB628C">
        <w:rPr>
          <w:rFonts w:ascii="Bookman Old Style" w:hAnsi="Bookman Old Style"/>
          <w:sz w:val="24"/>
          <w:szCs w:val="24"/>
          <w:lang w:val="en-US"/>
        </w:rPr>
        <w:t>objek</w:t>
      </w:r>
      <w:r w:rsidR="00A954D0">
        <w:rPr>
          <w:rFonts w:ascii="Bookman Old Style" w:hAnsi="Bookman Old Style"/>
          <w:sz w:val="24"/>
          <w:szCs w:val="24"/>
          <w:lang w:val="en-US"/>
        </w:rPr>
        <w:t xml:space="preserve"> </w:t>
      </w:r>
      <w:r w:rsidRPr="00BB628C">
        <w:rPr>
          <w:rFonts w:ascii="Bookman Old Style" w:hAnsi="Bookman Old Style"/>
          <w:sz w:val="24"/>
          <w:szCs w:val="24"/>
          <w:lang w:val="en-US"/>
        </w:rPr>
        <w:t>belanja:</w:t>
      </w:r>
    </w:p>
    <w:p w14:paraId="4AAEB18E" w14:textId="25CEBCC7" w:rsidR="003B7FE4" w:rsidRPr="00BB628C" w:rsidRDefault="003B7FE4" w:rsidP="00EA103E">
      <w:pPr>
        <w:pStyle w:val="ListParagraph"/>
        <w:numPr>
          <w:ilvl w:val="1"/>
          <w:numId w:val="32"/>
        </w:numPr>
        <w:spacing w:before="60" w:after="0" w:line="276" w:lineRule="auto"/>
        <w:ind w:left="3261" w:hanging="567"/>
        <w:contextualSpacing w:val="0"/>
        <w:jc w:val="both"/>
        <w:rPr>
          <w:rFonts w:ascii="Bookman Old Style" w:hAnsi="Bookman Old Style"/>
          <w:sz w:val="24"/>
          <w:szCs w:val="24"/>
          <w:lang w:val="en-US"/>
        </w:rPr>
      </w:pPr>
      <w:r w:rsidRPr="00BB628C">
        <w:rPr>
          <w:rFonts w:ascii="Bookman Old Style" w:hAnsi="Bookman Old Style"/>
          <w:sz w:val="24"/>
          <w:szCs w:val="24"/>
          <w:lang w:val="en-US"/>
        </w:rPr>
        <w:t>Dalam</w:t>
      </w:r>
      <w:r w:rsidR="00A954D0">
        <w:rPr>
          <w:rFonts w:ascii="Bookman Old Style" w:hAnsi="Bookman Old Style"/>
          <w:sz w:val="24"/>
          <w:szCs w:val="24"/>
          <w:lang w:val="en-US"/>
        </w:rPr>
        <w:t xml:space="preserve"> </w:t>
      </w:r>
      <w:r w:rsidRPr="00BB628C">
        <w:rPr>
          <w:rFonts w:ascii="Bookman Old Style" w:hAnsi="Bookman Old Style"/>
          <w:sz w:val="24"/>
          <w:szCs w:val="24"/>
          <w:lang w:val="en-US"/>
        </w:rPr>
        <w:t>rangka</w:t>
      </w:r>
      <w:r w:rsidR="00A954D0">
        <w:rPr>
          <w:rFonts w:ascii="Bookman Old Style" w:hAnsi="Bookman Old Style"/>
          <w:sz w:val="24"/>
          <w:szCs w:val="24"/>
          <w:lang w:val="en-US"/>
        </w:rPr>
        <w:t xml:space="preserve"> </w:t>
      </w:r>
      <w:r w:rsidRPr="00BB628C">
        <w:rPr>
          <w:rFonts w:ascii="Bookman Old Style" w:hAnsi="Bookman Old Style"/>
          <w:sz w:val="24"/>
          <w:szCs w:val="24"/>
          <w:lang w:val="en-US"/>
        </w:rPr>
        <w:t>mewujudkan</w:t>
      </w:r>
      <w:r w:rsidR="00A954D0">
        <w:rPr>
          <w:rFonts w:ascii="Bookman Old Style" w:hAnsi="Bookman Old Style"/>
          <w:sz w:val="24"/>
          <w:szCs w:val="24"/>
          <w:lang w:val="en-US"/>
        </w:rPr>
        <w:t xml:space="preserve"> </w:t>
      </w:r>
      <w:r w:rsidRPr="00BB628C">
        <w:rPr>
          <w:rFonts w:ascii="Bookman Old Style" w:hAnsi="Bookman Old Style"/>
          <w:i/>
          <w:iCs/>
          <w:sz w:val="24"/>
          <w:szCs w:val="24"/>
          <w:lang w:val="en-US"/>
        </w:rPr>
        <w:t>Universal</w:t>
      </w:r>
      <w:r w:rsidR="00A954D0">
        <w:rPr>
          <w:rFonts w:ascii="Bookman Old Style" w:hAnsi="Bookman Old Style"/>
          <w:i/>
          <w:iCs/>
          <w:sz w:val="24"/>
          <w:szCs w:val="24"/>
          <w:lang w:val="en-US"/>
        </w:rPr>
        <w:t xml:space="preserve"> </w:t>
      </w:r>
      <w:r w:rsidRPr="00BB628C">
        <w:rPr>
          <w:rFonts w:ascii="Bookman Old Style" w:hAnsi="Bookman Old Style"/>
          <w:i/>
          <w:iCs/>
          <w:sz w:val="24"/>
          <w:szCs w:val="24"/>
          <w:lang w:val="en-US"/>
        </w:rPr>
        <w:t>Health</w:t>
      </w:r>
      <w:r w:rsidR="00A954D0">
        <w:rPr>
          <w:rFonts w:ascii="Bookman Old Style" w:hAnsi="Bookman Old Style"/>
          <w:i/>
          <w:iCs/>
          <w:sz w:val="24"/>
          <w:szCs w:val="24"/>
          <w:lang w:val="en-US"/>
        </w:rPr>
        <w:t xml:space="preserve"> </w:t>
      </w:r>
      <w:r w:rsidRPr="00BB628C">
        <w:rPr>
          <w:rFonts w:ascii="Bookman Old Style" w:hAnsi="Bookman Old Style"/>
          <w:i/>
          <w:iCs/>
          <w:sz w:val="24"/>
          <w:szCs w:val="24"/>
          <w:lang w:val="en-US"/>
        </w:rPr>
        <w:t>Coverage</w:t>
      </w:r>
      <w:r w:rsidR="00A954D0">
        <w:rPr>
          <w:rFonts w:ascii="Bookman Old Style" w:hAnsi="Bookman Old Style"/>
          <w:sz w:val="24"/>
          <w:szCs w:val="24"/>
          <w:lang w:val="en-US"/>
        </w:rPr>
        <w:t xml:space="preserve"> </w:t>
      </w:r>
      <w:r w:rsidRPr="00BB628C">
        <w:rPr>
          <w:rFonts w:ascii="Bookman Old Style" w:hAnsi="Bookman Old Style"/>
          <w:sz w:val="24"/>
          <w:szCs w:val="24"/>
          <w:lang w:val="en-US"/>
        </w:rPr>
        <w:t>(UHC)</w:t>
      </w:r>
      <w:r w:rsidR="00A954D0">
        <w:rPr>
          <w:rFonts w:ascii="Bookman Old Style" w:hAnsi="Bookman Old Style"/>
          <w:sz w:val="24"/>
          <w:szCs w:val="24"/>
          <w:lang w:val="en-US"/>
        </w:rPr>
        <w:t xml:space="preserve"> </w:t>
      </w:r>
      <w:r w:rsidRPr="00BB628C">
        <w:rPr>
          <w:rFonts w:ascii="Bookman Old Style" w:hAnsi="Bookman Old Style"/>
          <w:sz w:val="24"/>
          <w:szCs w:val="24"/>
          <w:lang w:val="en-US"/>
        </w:rPr>
        <w:t>yang</w:t>
      </w:r>
      <w:r w:rsidR="00A954D0">
        <w:rPr>
          <w:rFonts w:ascii="Bookman Old Style" w:hAnsi="Bookman Old Style"/>
          <w:sz w:val="24"/>
          <w:szCs w:val="24"/>
          <w:lang w:val="en-US"/>
        </w:rPr>
        <w:t xml:space="preserve"> </w:t>
      </w:r>
      <w:r w:rsidRPr="00BB628C">
        <w:rPr>
          <w:rFonts w:ascii="Bookman Old Style" w:hAnsi="Bookman Old Style"/>
          <w:sz w:val="24"/>
          <w:szCs w:val="24"/>
          <w:lang w:val="en-US"/>
        </w:rPr>
        <w:t>tercantum</w:t>
      </w:r>
      <w:r w:rsidR="00A954D0">
        <w:rPr>
          <w:rFonts w:ascii="Bookman Old Style" w:hAnsi="Bookman Old Style"/>
          <w:sz w:val="24"/>
          <w:szCs w:val="24"/>
          <w:lang w:val="en-US"/>
        </w:rPr>
        <w:t xml:space="preserve"> </w:t>
      </w:r>
      <w:r w:rsidRPr="00BB628C">
        <w:rPr>
          <w:rFonts w:ascii="Bookman Old Style" w:hAnsi="Bookman Old Style"/>
          <w:sz w:val="24"/>
          <w:szCs w:val="24"/>
          <w:lang w:val="en-US"/>
        </w:rPr>
        <w:t>pada:</w:t>
      </w:r>
    </w:p>
    <w:p w14:paraId="2986CA4F" w14:textId="0BF0298D" w:rsidR="004F10FF" w:rsidRPr="00BB628C" w:rsidRDefault="004F10FF" w:rsidP="005668F0">
      <w:pPr>
        <w:pStyle w:val="ListParagraph"/>
        <w:numPr>
          <w:ilvl w:val="0"/>
          <w:numId w:val="147"/>
        </w:numPr>
        <w:spacing w:before="60" w:after="0" w:line="276" w:lineRule="auto"/>
        <w:ind w:left="3686" w:hanging="425"/>
        <w:contextualSpacing w:val="0"/>
        <w:jc w:val="both"/>
        <w:rPr>
          <w:rFonts w:ascii="Bookman Old Style" w:hAnsi="Bookman Old Style"/>
          <w:sz w:val="24"/>
          <w:szCs w:val="24"/>
        </w:rPr>
      </w:pPr>
      <w:r w:rsidRPr="00BB628C">
        <w:rPr>
          <w:rFonts w:ascii="Bookman Old Style" w:hAnsi="Bookman Old Style"/>
          <w:sz w:val="24"/>
          <w:szCs w:val="24"/>
        </w:rPr>
        <w:t>Belanja</w:t>
      </w:r>
      <w:r w:rsidR="00A954D0">
        <w:rPr>
          <w:rFonts w:ascii="Bookman Old Style" w:hAnsi="Bookman Old Style"/>
          <w:sz w:val="24"/>
          <w:szCs w:val="24"/>
        </w:rPr>
        <w:t xml:space="preserve"> </w:t>
      </w:r>
      <w:r w:rsidRPr="00BB628C">
        <w:rPr>
          <w:rFonts w:ascii="Bookman Old Style" w:hAnsi="Bookman Old Style"/>
          <w:sz w:val="24"/>
          <w:szCs w:val="24"/>
        </w:rPr>
        <w:t>Iuran</w:t>
      </w:r>
      <w:r w:rsidR="00A954D0">
        <w:rPr>
          <w:rFonts w:ascii="Bookman Old Style" w:hAnsi="Bookman Old Style"/>
          <w:sz w:val="24"/>
          <w:szCs w:val="24"/>
        </w:rPr>
        <w:t xml:space="preserve"> </w:t>
      </w:r>
      <w:r w:rsidRPr="00BB628C">
        <w:rPr>
          <w:rFonts w:ascii="Bookman Old Style" w:hAnsi="Bookman Old Style"/>
          <w:sz w:val="24"/>
          <w:szCs w:val="24"/>
        </w:rPr>
        <w:t>Jaminan</w:t>
      </w:r>
      <w:r w:rsidR="00A954D0">
        <w:rPr>
          <w:rFonts w:ascii="Bookman Old Style" w:hAnsi="Bookman Old Style"/>
          <w:sz w:val="24"/>
          <w:szCs w:val="24"/>
        </w:rPr>
        <w:t xml:space="preserve"> </w:t>
      </w:r>
      <w:r w:rsidRPr="00BB628C">
        <w:rPr>
          <w:rFonts w:ascii="Bookman Old Style" w:hAnsi="Bookman Old Style"/>
          <w:sz w:val="24"/>
          <w:szCs w:val="24"/>
        </w:rPr>
        <w:t>Kesehatan</w:t>
      </w:r>
      <w:r w:rsidR="00A954D0">
        <w:rPr>
          <w:rFonts w:ascii="Bookman Old Style" w:hAnsi="Bookman Old Style"/>
          <w:sz w:val="24"/>
          <w:szCs w:val="24"/>
        </w:rPr>
        <w:t xml:space="preserve"> </w:t>
      </w:r>
      <w:r w:rsidRPr="00BB628C">
        <w:rPr>
          <w:rFonts w:ascii="Bookman Old Style" w:hAnsi="Bookman Old Style"/>
          <w:sz w:val="24"/>
          <w:szCs w:val="24"/>
        </w:rPr>
        <w:t>bagi</w:t>
      </w:r>
      <w:r w:rsidR="00A954D0">
        <w:rPr>
          <w:rFonts w:ascii="Bookman Old Style" w:hAnsi="Bookman Old Style"/>
          <w:sz w:val="24"/>
          <w:szCs w:val="24"/>
        </w:rPr>
        <w:t xml:space="preserve"> </w:t>
      </w:r>
      <w:r w:rsidRPr="00BB628C">
        <w:rPr>
          <w:rFonts w:ascii="Bookman Old Style" w:hAnsi="Bookman Old Style"/>
          <w:sz w:val="24"/>
          <w:szCs w:val="24"/>
        </w:rPr>
        <w:t>Peserta</w:t>
      </w:r>
      <w:r w:rsidR="00A954D0">
        <w:rPr>
          <w:rFonts w:ascii="Bookman Old Style" w:hAnsi="Bookman Old Style"/>
          <w:sz w:val="24"/>
          <w:szCs w:val="24"/>
        </w:rPr>
        <w:t xml:space="preserve"> </w:t>
      </w:r>
      <w:r w:rsidRPr="00BB628C">
        <w:rPr>
          <w:rFonts w:ascii="Bookman Old Style" w:hAnsi="Bookman Old Style"/>
          <w:sz w:val="24"/>
          <w:szCs w:val="24"/>
        </w:rPr>
        <w:t>PBPU</w:t>
      </w:r>
      <w:r w:rsidR="00A954D0">
        <w:rPr>
          <w:rFonts w:ascii="Bookman Old Style" w:hAnsi="Bookman Old Style"/>
          <w:sz w:val="24"/>
          <w:szCs w:val="24"/>
        </w:rPr>
        <w:t xml:space="preserve"> </w:t>
      </w:r>
      <w:r w:rsidRPr="00BB628C">
        <w:rPr>
          <w:rFonts w:ascii="Bookman Old Style" w:hAnsi="Bookman Old Style"/>
          <w:sz w:val="24"/>
          <w:szCs w:val="24"/>
        </w:rPr>
        <w:t>dan</w:t>
      </w:r>
      <w:r w:rsidR="00A954D0">
        <w:rPr>
          <w:rFonts w:ascii="Bookman Old Style" w:hAnsi="Bookman Old Style"/>
          <w:sz w:val="24"/>
          <w:szCs w:val="24"/>
        </w:rPr>
        <w:t xml:space="preserve"> </w:t>
      </w:r>
      <w:r w:rsidRPr="00BB628C">
        <w:rPr>
          <w:rFonts w:ascii="Bookman Old Style" w:hAnsi="Bookman Old Style"/>
          <w:sz w:val="24"/>
          <w:szCs w:val="24"/>
        </w:rPr>
        <w:t>BP</w:t>
      </w:r>
      <w:r w:rsidR="00A954D0">
        <w:rPr>
          <w:rFonts w:ascii="Bookman Old Style" w:hAnsi="Bookman Old Style"/>
          <w:sz w:val="24"/>
          <w:szCs w:val="24"/>
        </w:rPr>
        <w:t xml:space="preserve"> </w:t>
      </w:r>
      <w:r w:rsidRPr="00BB628C">
        <w:rPr>
          <w:rFonts w:ascii="Bookman Old Style" w:hAnsi="Bookman Old Style"/>
          <w:sz w:val="24"/>
          <w:szCs w:val="24"/>
        </w:rPr>
        <w:t>Kelas</w:t>
      </w:r>
      <w:r w:rsidR="00A954D0">
        <w:rPr>
          <w:rFonts w:ascii="Bookman Old Style" w:hAnsi="Bookman Old Style"/>
          <w:sz w:val="24"/>
          <w:szCs w:val="24"/>
        </w:rPr>
        <w:t xml:space="preserve"> </w:t>
      </w:r>
      <w:r w:rsidRPr="00BB628C">
        <w:rPr>
          <w:rFonts w:ascii="Bookman Old Style" w:hAnsi="Bookman Old Style"/>
          <w:sz w:val="24"/>
          <w:szCs w:val="24"/>
        </w:rPr>
        <w:t>3</w:t>
      </w:r>
      <w:r w:rsidR="00A954D0">
        <w:rPr>
          <w:rFonts w:ascii="Bookman Old Style" w:hAnsi="Bookman Old Style"/>
          <w:sz w:val="24"/>
          <w:szCs w:val="24"/>
        </w:rPr>
        <w:t xml:space="preserve"> </w:t>
      </w:r>
      <w:r w:rsidRPr="00BB628C">
        <w:rPr>
          <w:rFonts w:ascii="Bookman Old Style" w:hAnsi="Bookman Old Style"/>
          <w:sz w:val="24"/>
          <w:szCs w:val="24"/>
        </w:rPr>
        <w:t>Rp216.857.667.583,00</w:t>
      </w:r>
      <w:r w:rsidR="005668F0" w:rsidRPr="005668F0">
        <w:rPr>
          <w:rFonts w:ascii="Bookman Old Style" w:hAnsi="Bookman Old Style"/>
          <w:sz w:val="24"/>
          <w:szCs w:val="24"/>
          <w:lang w:val="sv-FI"/>
        </w:rPr>
        <w:t>;</w:t>
      </w:r>
    </w:p>
    <w:p w14:paraId="357AF806" w14:textId="7D5157EA" w:rsidR="003B7FE4" w:rsidRPr="00BB628C" w:rsidRDefault="004F10FF" w:rsidP="005668F0">
      <w:pPr>
        <w:pStyle w:val="ListParagraph"/>
        <w:numPr>
          <w:ilvl w:val="0"/>
          <w:numId w:val="147"/>
        </w:numPr>
        <w:spacing w:before="60" w:after="0" w:line="276" w:lineRule="auto"/>
        <w:ind w:left="3686" w:hanging="425"/>
        <w:contextualSpacing w:val="0"/>
        <w:jc w:val="both"/>
        <w:rPr>
          <w:rFonts w:ascii="Bookman Old Style" w:hAnsi="Bookman Old Style"/>
          <w:sz w:val="24"/>
          <w:szCs w:val="24"/>
          <w:lang w:val="fi-FI"/>
        </w:rPr>
      </w:pPr>
      <w:r w:rsidRPr="00BB628C">
        <w:rPr>
          <w:rFonts w:ascii="Bookman Old Style" w:hAnsi="Bookman Old Style"/>
          <w:sz w:val="24"/>
          <w:szCs w:val="24"/>
        </w:rPr>
        <w:t>Belanja</w:t>
      </w:r>
      <w:r w:rsidR="00A954D0">
        <w:rPr>
          <w:rFonts w:ascii="Bookman Old Style" w:hAnsi="Bookman Old Style"/>
          <w:sz w:val="24"/>
          <w:szCs w:val="24"/>
        </w:rPr>
        <w:t xml:space="preserve"> </w:t>
      </w:r>
      <w:r w:rsidRPr="00BB628C">
        <w:rPr>
          <w:rFonts w:ascii="Bookman Old Style" w:hAnsi="Bookman Old Style"/>
          <w:sz w:val="24"/>
          <w:szCs w:val="24"/>
        </w:rPr>
        <w:t>Iuran</w:t>
      </w:r>
      <w:r w:rsidR="00A954D0">
        <w:rPr>
          <w:rFonts w:ascii="Bookman Old Style" w:hAnsi="Bookman Old Style"/>
          <w:sz w:val="24"/>
          <w:szCs w:val="24"/>
        </w:rPr>
        <w:t xml:space="preserve"> </w:t>
      </w:r>
      <w:r w:rsidRPr="00BB628C">
        <w:rPr>
          <w:rFonts w:ascii="Bookman Old Style" w:hAnsi="Bookman Old Style"/>
          <w:sz w:val="24"/>
          <w:szCs w:val="24"/>
        </w:rPr>
        <w:t>Jaminan</w:t>
      </w:r>
      <w:r w:rsidR="00A954D0">
        <w:rPr>
          <w:rFonts w:ascii="Bookman Old Style" w:hAnsi="Bookman Old Style"/>
          <w:sz w:val="24"/>
          <w:szCs w:val="24"/>
        </w:rPr>
        <w:t xml:space="preserve"> </w:t>
      </w:r>
      <w:r w:rsidRPr="00BB628C">
        <w:rPr>
          <w:rFonts w:ascii="Bookman Old Style" w:hAnsi="Bookman Old Style"/>
          <w:sz w:val="24"/>
          <w:szCs w:val="24"/>
        </w:rPr>
        <w:t>Kesehatan</w:t>
      </w:r>
      <w:r w:rsidR="00A954D0">
        <w:rPr>
          <w:rFonts w:ascii="Bookman Old Style" w:hAnsi="Bookman Old Style"/>
          <w:sz w:val="24"/>
          <w:szCs w:val="24"/>
        </w:rPr>
        <w:t xml:space="preserve"> </w:t>
      </w:r>
      <w:r w:rsidRPr="00BB628C">
        <w:rPr>
          <w:rFonts w:ascii="Bookman Old Style" w:hAnsi="Bookman Old Style"/>
          <w:sz w:val="24"/>
          <w:szCs w:val="24"/>
        </w:rPr>
        <w:t>bagi</w:t>
      </w:r>
      <w:r w:rsidR="00A954D0">
        <w:rPr>
          <w:rFonts w:ascii="Bookman Old Style" w:hAnsi="Bookman Old Style"/>
          <w:sz w:val="24"/>
          <w:szCs w:val="24"/>
        </w:rPr>
        <w:t xml:space="preserve"> </w:t>
      </w:r>
      <w:r w:rsidRPr="00BB628C">
        <w:rPr>
          <w:rFonts w:ascii="Bookman Old Style" w:hAnsi="Bookman Old Style"/>
          <w:sz w:val="24"/>
          <w:szCs w:val="24"/>
        </w:rPr>
        <w:t>Non</w:t>
      </w:r>
      <w:r w:rsidR="00A954D0">
        <w:rPr>
          <w:rFonts w:ascii="Bookman Old Style" w:hAnsi="Bookman Old Style"/>
          <w:sz w:val="24"/>
          <w:szCs w:val="24"/>
        </w:rPr>
        <w:t xml:space="preserve"> </w:t>
      </w:r>
      <w:r w:rsidRPr="00BB628C">
        <w:rPr>
          <w:rFonts w:ascii="Bookman Old Style" w:hAnsi="Bookman Old Style"/>
          <w:sz w:val="24"/>
          <w:szCs w:val="24"/>
        </w:rPr>
        <w:t>ASN</w:t>
      </w:r>
      <w:r w:rsidR="00A954D0">
        <w:rPr>
          <w:rFonts w:ascii="Bookman Old Style" w:hAnsi="Bookman Old Style"/>
          <w:sz w:val="24"/>
          <w:szCs w:val="24"/>
        </w:rPr>
        <w:t xml:space="preserve"> </w:t>
      </w:r>
      <w:r w:rsidRPr="00BB628C">
        <w:rPr>
          <w:rFonts w:ascii="Bookman Old Style" w:hAnsi="Bookman Old Style"/>
          <w:sz w:val="24"/>
          <w:szCs w:val="24"/>
        </w:rPr>
        <w:t>Rp20.539.214.996,00</w:t>
      </w:r>
      <w:r w:rsidR="003B7FE4" w:rsidRPr="00BB628C">
        <w:rPr>
          <w:rFonts w:ascii="Bookman Old Style" w:hAnsi="Bookman Old Style"/>
          <w:sz w:val="24"/>
          <w:szCs w:val="24"/>
          <w:lang w:val="id-ID"/>
        </w:rPr>
        <w:t>;</w:t>
      </w:r>
    </w:p>
    <w:p w14:paraId="475C2714" w14:textId="4179B14B" w:rsidR="00E84AB1" w:rsidRPr="00BB628C" w:rsidRDefault="00E84AB1" w:rsidP="005668F0">
      <w:pPr>
        <w:pStyle w:val="ListParagraph"/>
        <w:numPr>
          <w:ilvl w:val="0"/>
          <w:numId w:val="147"/>
        </w:numPr>
        <w:spacing w:before="60" w:after="0" w:line="276" w:lineRule="auto"/>
        <w:ind w:left="3686" w:hanging="425"/>
        <w:contextualSpacing w:val="0"/>
        <w:jc w:val="both"/>
        <w:rPr>
          <w:rFonts w:ascii="Bookman Old Style" w:hAnsi="Bookman Old Style"/>
          <w:sz w:val="24"/>
          <w:szCs w:val="24"/>
          <w:lang w:val="fi-FI"/>
        </w:rPr>
      </w:pPr>
      <w:r w:rsidRPr="00BB628C">
        <w:rPr>
          <w:rFonts w:ascii="Bookman Old Style" w:hAnsi="Bookman Old Style"/>
          <w:sz w:val="24"/>
          <w:szCs w:val="24"/>
        </w:rPr>
        <w:t>Belanja</w:t>
      </w:r>
      <w:r w:rsidR="00A954D0">
        <w:rPr>
          <w:rFonts w:ascii="Bookman Old Style" w:hAnsi="Bookman Old Style"/>
          <w:sz w:val="24"/>
          <w:szCs w:val="24"/>
        </w:rPr>
        <w:t xml:space="preserve"> </w:t>
      </w:r>
      <w:r w:rsidRPr="00BB628C">
        <w:rPr>
          <w:rFonts w:ascii="Bookman Old Style" w:hAnsi="Bookman Old Style"/>
          <w:sz w:val="24"/>
          <w:szCs w:val="24"/>
        </w:rPr>
        <w:t>Pembayaran</w:t>
      </w:r>
      <w:r w:rsidR="00A954D0">
        <w:rPr>
          <w:rFonts w:ascii="Bookman Old Style" w:hAnsi="Bookman Old Style"/>
          <w:sz w:val="24"/>
          <w:szCs w:val="24"/>
        </w:rPr>
        <w:t xml:space="preserve"> </w:t>
      </w:r>
      <w:r w:rsidRPr="00BB628C">
        <w:rPr>
          <w:rFonts w:ascii="Bookman Old Style" w:hAnsi="Bookman Old Style"/>
          <w:sz w:val="24"/>
          <w:szCs w:val="24"/>
        </w:rPr>
        <w:t>Pelayanan</w:t>
      </w:r>
      <w:r w:rsidR="00A954D0">
        <w:rPr>
          <w:rFonts w:ascii="Bookman Old Style" w:hAnsi="Bookman Old Style"/>
          <w:sz w:val="24"/>
          <w:szCs w:val="24"/>
        </w:rPr>
        <w:t xml:space="preserve"> </w:t>
      </w:r>
      <w:r w:rsidRPr="00BB628C">
        <w:rPr>
          <w:rFonts w:ascii="Bookman Old Style" w:hAnsi="Bookman Old Style"/>
          <w:sz w:val="24"/>
          <w:szCs w:val="24"/>
        </w:rPr>
        <w:t>Kesehatan</w:t>
      </w:r>
      <w:r w:rsidR="00A954D0">
        <w:rPr>
          <w:rFonts w:ascii="Bookman Old Style" w:hAnsi="Bookman Old Style"/>
          <w:sz w:val="24"/>
          <w:szCs w:val="24"/>
        </w:rPr>
        <w:t xml:space="preserve"> </w:t>
      </w:r>
      <w:r w:rsidRPr="00BB628C">
        <w:rPr>
          <w:rFonts w:ascii="Bookman Old Style" w:hAnsi="Bookman Old Style"/>
          <w:sz w:val="24"/>
          <w:szCs w:val="24"/>
        </w:rPr>
        <w:t>di</w:t>
      </w:r>
      <w:r w:rsidR="00A954D0">
        <w:rPr>
          <w:rFonts w:ascii="Bookman Old Style" w:hAnsi="Bookman Old Style"/>
          <w:sz w:val="24"/>
          <w:szCs w:val="24"/>
        </w:rPr>
        <w:t xml:space="preserve"> </w:t>
      </w:r>
      <w:r w:rsidRPr="00BB628C">
        <w:rPr>
          <w:rFonts w:ascii="Bookman Old Style" w:hAnsi="Bookman Old Style"/>
          <w:sz w:val="24"/>
          <w:szCs w:val="24"/>
        </w:rPr>
        <w:t>luar</w:t>
      </w:r>
      <w:r w:rsidR="00A954D0">
        <w:rPr>
          <w:rFonts w:ascii="Bookman Old Style" w:hAnsi="Bookman Old Style"/>
          <w:sz w:val="24"/>
          <w:szCs w:val="24"/>
        </w:rPr>
        <w:t xml:space="preserve"> </w:t>
      </w:r>
      <w:r w:rsidRPr="00BB628C">
        <w:rPr>
          <w:rFonts w:ascii="Bookman Old Style" w:hAnsi="Bookman Old Style"/>
          <w:sz w:val="24"/>
          <w:szCs w:val="24"/>
        </w:rPr>
        <w:t>Cakupan</w:t>
      </w:r>
      <w:r w:rsidR="00A954D0">
        <w:rPr>
          <w:rFonts w:ascii="Bookman Old Style" w:hAnsi="Bookman Old Style"/>
          <w:sz w:val="24"/>
          <w:szCs w:val="24"/>
        </w:rPr>
        <w:t xml:space="preserve"> </w:t>
      </w:r>
      <w:r w:rsidRPr="00BB628C">
        <w:rPr>
          <w:rFonts w:ascii="Bookman Old Style" w:hAnsi="Bookman Old Style"/>
          <w:sz w:val="24"/>
          <w:szCs w:val="24"/>
        </w:rPr>
        <w:t>Layanan</w:t>
      </w:r>
      <w:r w:rsidR="00A954D0">
        <w:rPr>
          <w:rFonts w:ascii="Bookman Old Style" w:hAnsi="Bookman Old Style"/>
          <w:sz w:val="24"/>
          <w:szCs w:val="24"/>
        </w:rPr>
        <w:t xml:space="preserve"> </w:t>
      </w:r>
      <w:r w:rsidRPr="00BB628C">
        <w:rPr>
          <w:rFonts w:ascii="Bookman Old Style" w:hAnsi="Bookman Old Style"/>
          <w:sz w:val="24"/>
          <w:szCs w:val="24"/>
        </w:rPr>
        <w:t>BPJS</w:t>
      </w:r>
      <w:r w:rsidR="00A954D0">
        <w:rPr>
          <w:rFonts w:ascii="Bookman Old Style" w:hAnsi="Bookman Old Style"/>
          <w:sz w:val="24"/>
          <w:szCs w:val="24"/>
        </w:rPr>
        <w:t xml:space="preserve"> </w:t>
      </w:r>
      <w:r w:rsidRPr="00BB628C">
        <w:rPr>
          <w:rFonts w:ascii="Bookman Old Style" w:hAnsi="Bookman Old Style"/>
          <w:sz w:val="24"/>
          <w:szCs w:val="24"/>
        </w:rPr>
        <w:t>Rp10.000.000,00</w:t>
      </w:r>
      <w:r w:rsidR="005668F0" w:rsidRPr="005668F0">
        <w:rPr>
          <w:rFonts w:ascii="Bookman Old Style" w:hAnsi="Bookman Old Style"/>
          <w:sz w:val="24"/>
          <w:szCs w:val="24"/>
          <w:lang w:val="sv-FI"/>
        </w:rPr>
        <w:t>.</w:t>
      </w:r>
    </w:p>
    <w:p w14:paraId="487BC620" w14:textId="7E238FCE" w:rsidR="003B7FE4" w:rsidRPr="00467119" w:rsidRDefault="002A4C01" w:rsidP="005668F0">
      <w:pPr>
        <w:pStyle w:val="ListParagraph"/>
        <w:spacing w:before="60" w:after="0" w:line="276" w:lineRule="auto"/>
        <w:ind w:left="3261"/>
        <w:contextualSpacing w:val="0"/>
        <w:jc w:val="both"/>
        <w:rPr>
          <w:rFonts w:ascii="Bookman Old Style" w:hAnsi="Bookman Old Style"/>
          <w:sz w:val="24"/>
          <w:szCs w:val="24"/>
          <w:lang w:val="fi-FI"/>
        </w:rPr>
      </w:pPr>
      <w:r w:rsidRPr="00467119">
        <w:rPr>
          <w:rFonts w:ascii="Bookman Old Style" w:hAnsi="Bookman Old Style"/>
          <w:sz w:val="24"/>
          <w:szCs w:val="24"/>
          <w:lang w:val="fi-FI"/>
        </w:rPr>
        <w:t>Belanja</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Iuran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Jaminan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Kesehatan</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dianggarkan</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dalam</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Rancangan</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Peraturan</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Daerah</w:t>
      </w:r>
      <w:r w:rsidR="00A954D0">
        <w:rPr>
          <w:rFonts w:ascii="Bookman Old Style" w:hAnsi="Bookman Old Style"/>
          <w:sz w:val="24"/>
          <w:szCs w:val="24"/>
          <w:lang w:val="fi-FI"/>
        </w:rPr>
        <w:t xml:space="preserve"> </w:t>
      </w:r>
      <w:r w:rsidR="00B055C5" w:rsidRPr="00467119">
        <w:rPr>
          <w:rFonts w:ascii="Bookman Old Style" w:hAnsi="Bookman Old Style"/>
          <w:sz w:val="24"/>
          <w:szCs w:val="24"/>
          <w:lang w:val="fi-FI"/>
        </w:rPr>
        <w:t>Kota</w:t>
      </w:r>
      <w:r w:rsidR="00A954D0">
        <w:rPr>
          <w:rFonts w:ascii="Bookman Old Style" w:hAnsi="Bookman Old Style"/>
          <w:sz w:val="24"/>
          <w:szCs w:val="24"/>
          <w:lang w:val="fi-FI"/>
        </w:rPr>
        <w:t xml:space="preserve"> </w:t>
      </w:r>
      <w:r w:rsidR="00770F22" w:rsidRPr="00467119">
        <w:rPr>
          <w:rFonts w:ascii="Bookman Old Style" w:hAnsi="Bookman Old Style"/>
          <w:sz w:val="24"/>
          <w:szCs w:val="24"/>
          <w:lang w:val="fi-FI"/>
        </w:rPr>
        <w:t>Tangerang</w:t>
      </w:r>
      <w:r w:rsidR="00A954D0">
        <w:rPr>
          <w:rFonts w:ascii="Bookman Old Style" w:hAnsi="Bookman Old Style"/>
          <w:sz w:val="24"/>
          <w:szCs w:val="24"/>
          <w:lang w:val="fi-FI"/>
        </w:rPr>
        <w:t xml:space="preserve"> </w:t>
      </w:r>
      <w:r w:rsidR="00BE6ED9" w:rsidRPr="00467119">
        <w:rPr>
          <w:rFonts w:ascii="Bookman Old Style" w:hAnsi="Bookman Old Style"/>
          <w:sz w:val="24"/>
          <w:szCs w:val="24"/>
          <w:lang w:val="fi-FI"/>
        </w:rPr>
        <w:t>tentang</w:t>
      </w:r>
      <w:r w:rsidR="00A954D0">
        <w:rPr>
          <w:rFonts w:ascii="Bookman Old Style" w:hAnsi="Bookman Old Style"/>
          <w:sz w:val="24"/>
          <w:szCs w:val="24"/>
          <w:lang w:val="fi-FI"/>
        </w:rPr>
        <w:t xml:space="preserve"> </w:t>
      </w:r>
      <w:r w:rsidR="00BE6ED9" w:rsidRPr="00467119">
        <w:rPr>
          <w:rFonts w:ascii="Bookman Old Style" w:hAnsi="Bookman Old Style"/>
          <w:sz w:val="24"/>
          <w:szCs w:val="24"/>
          <w:lang w:val="fi-FI"/>
        </w:rPr>
        <w:t>APBD</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Tahun</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Anggaran</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2025</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dalam</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rangka</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menjamin</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keberlangsungan</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dan</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ketersediaan</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pembiayaan</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atas</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jaminan</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layanan</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Kesehatan</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sesuai</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dengan</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kapasitas</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fiskal</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daerah</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dan</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sebesar</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kebutuhan</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Penerima</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Bantuan</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Iuran</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(PBI)</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jaminan</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kesehatan</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dan</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menganggarkan</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pembayaran</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bantuan</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luran</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bagi</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penduduk</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yang</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mendaftar</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secara</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mandiri</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dengan</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manfaat</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pelayanan</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di</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Kelas</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Rawat</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Inap</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Standar/Ruang</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Perawatan</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Kelas</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III</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untuk</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pembiayaan</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1</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(satu)</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tahun</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anggaran</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yang</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dianggarkan</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pada</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SKPD</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yang</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menyelenggarakan</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Urusan</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Pemerintahan</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di</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Bidang</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Kesehatan</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pemberi</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pelayanan</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kesehatan,</w:t>
      </w:r>
      <w:r w:rsidR="00A954D0">
        <w:rPr>
          <w:rFonts w:ascii="Bookman Old Style" w:hAnsi="Bookman Old Style" w:cs="Arial"/>
          <w:sz w:val="24"/>
          <w:szCs w:val="24"/>
        </w:rPr>
        <w:t xml:space="preserve"> </w:t>
      </w:r>
      <w:r w:rsidR="003B7FE4" w:rsidRPr="00467119">
        <w:rPr>
          <w:rFonts w:ascii="Bookman Old Style" w:hAnsi="Bookman Old Style" w:cs="Arial"/>
          <w:sz w:val="24"/>
          <w:szCs w:val="24"/>
        </w:rPr>
        <w:t>sebagaimana</w:t>
      </w:r>
      <w:r w:rsidR="00A954D0">
        <w:rPr>
          <w:rFonts w:ascii="Bookman Old Style" w:hAnsi="Bookman Old Style" w:cs="Arial"/>
          <w:sz w:val="24"/>
          <w:szCs w:val="24"/>
        </w:rPr>
        <w:t xml:space="preserve"> </w:t>
      </w:r>
      <w:r w:rsidR="003B7FE4" w:rsidRPr="00467119">
        <w:rPr>
          <w:rFonts w:ascii="Bookman Old Style" w:hAnsi="Bookman Old Style" w:cs="Arial"/>
          <w:sz w:val="24"/>
          <w:szCs w:val="24"/>
        </w:rPr>
        <w:t>maksud</w:t>
      </w:r>
      <w:r w:rsidR="00A954D0">
        <w:rPr>
          <w:rFonts w:ascii="Bookman Old Style" w:hAnsi="Bookman Old Style" w:cs="Arial"/>
          <w:sz w:val="24"/>
          <w:szCs w:val="24"/>
        </w:rPr>
        <w:t xml:space="preserve"> </w:t>
      </w:r>
      <w:r w:rsidR="003B7FE4" w:rsidRPr="00467119">
        <w:rPr>
          <w:rFonts w:ascii="Bookman Old Style" w:hAnsi="Bookman Old Style" w:cs="Arial"/>
          <w:sz w:val="24"/>
          <w:szCs w:val="24"/>
        </w:rPr>
        <w:t>butir</w:t>
      </w:r>
      <w:r w:rsidR="00A954D0">
        <w:rPr>
          <w:rFonts w:ascii="Bookman Old Style" w:hAnsi="Bookman Old Style" w:cs="Arial"/>
          <w:sz w:val="24"/>
          <w:szCs w:val="24"/>
        </w:rPr>
        <w:t xml:space="preserve"> </w:t>
      </w:r>
      <w:r w:rsidR="003B7FE4" w:rsidRPr="00467119">
        <w:rPr>
          <w:rFonts w:ascii="Bookman Old Style" w:hAnsi="Bookman Old Style" w:cs="Arial"/>
          <w:sz w:val="24"/>
          <w:szCs w:val="24"/>
          <w:lang w:val="fi-FI"/>
        </w:rPr>
        <w:t>3.4.1.2.2.b.6).a)</w:t>
      </w:r>
      <w:r w:rsidR="003B7FE4" w:rsidRPr="00467119">
        <w:rPr>
          <w:rFonts w:ascii="Bookman Old Style" w:hAnsi="Bookman Old Style"/>
          <w:sz w:val="24"/>
          <w:szCs w:val="24"/>
          <w:lang w:val="fi-FI"/>
        </w:rPr>
        <w:t>,</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butir</w:t>
      </w:r>
      <w:r w:rsidR="00A954D0">
        <w:rPr>
          <w:rFonts w:ascii="Bookman Old Style" w:hAnsi="Bookman Old Style"/>
          <w:sz w:val="24"/>
          <w:szCs w:val="24"/>
          <w:lang w:val="fi-FI"/>
        </w:rPr>
        <w:t xml:space="preserve"> </w:t>
      </w:r>
      <w:r w:rsidR="003B7FE4" w:rsidRPr="00467119">
        <w:rPr>
          <w:rFonts w:ascii="Bookman Old Style" w:hAnsi="Bookman Old Style" w:cs="Arial"/>
          <w:sz w:val="24"/>
          <w:szCs w:val="24"/>
        </w:rPr>
        <w:t>butir</w:t>
      </w:r>
      <w:r w:rsidR="00A954D0">
        <w:rPr>
          <w:rFonts w:ascii="Bookman Old Style" w:hAnsi="Bookman Old Style" w:cs="Arial"/>
          <w:sz w:val="24"/>
          <w:szCs w:val="24"/>
        </w:rPr>
        <w:t xml:space="preserve"> </w:t>
      </w:r>
      <w:r w:rsidR="003B7FE4" w:rsidRPr="00467119">
        <w:rPr>
          <w:rFonts w:ascii="Bookman Old Style" w:hAnsi="Bookman Old Style" w:cs="Arial"/>
          <w:sz w:val="24"/>
          <w:szCs w:val="24"/>
          <w:lang w:val="fi-FI"/>
        </w:rPr>
        <w:t>3.4.1.2.2.b.6).b)</w:t>
      </w:r>
      <w:r w:rsidR="003B7FE4" w:rsidRPr="00467119">
        <w:rPr>
          <w:rFonts w:ascii="Bookman Old Style" w:hAnsi="Bookman Old Style"/>
          <w:sz w:val="24"/>
          <w:szCs w:val="24"/>
          <w:lang w:val="fi-FI"/>
        </w:rPr>
        <w:t>,</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lastRenderedPageBreak/>
        <w:t>butir</w:t>
      </w:r>
      <w:r w:rsidR="00A954D0">
        <w:rPr>
          <w:rFonts w:ascii="Bookman Old Style" w:hAnsi="Bookman Old Style"/>
          <w:sz w:val="24"/>
          <w:szCs w:val="24"/>
          <w:lang w:val="fi-FI"/>
        </w:rPr>
        <w:t xml:space="preserve"> </w:t>
      </w:r>
      <w:r w:rsidR="003B7FE4" w:rsidRPr="00467119">
        <w:rPr>
          <w:rFonts w:ascii="Bookman Old Style" w:hAnsi="Bookman Old Style" w:cs="Arial"/>
          <w:sz w:val="24"/>
          <w:szCs w:val="24"/>
        </w:rPr>
        <w:t>butir</w:t>
      </w:r>
      <w:r w:rsidR="00A954D0">
        <w:rPr>
          <w:rFonts w:ascii="Bookman Old Style" w:hAnsi="Bookman Old Style" w:cs="Arial"/>
          <w:sz w:val="24"/>
          <w:szCs w:val="24"/>
        </w:rPr>
        <w:t xml:space="preserve"> </w:t>
      </w:r>
      <w:r w:rsidR="003B7FE4" w:rsidRPr="00467119">
        <w:rPr>
          <w:rFonts w:ascii="Bookman Old Style" w:hAnsi="Bookman Old Style" w:cs="Arial"/>
          <w:sz w:val="24"/>
          <w:szCs w:val="24"/>
          <w:lang w:val="fi-FI"/>
        </w:rPr>
        <w:t>3.4.1.2.2.b.6).c)</w:t>
      </w:r>
      <w:r w:rsidR="003B7FE4" w:rsidRPr="00467119">
        <w:rPr>
          <w:rFonts w:ascii="Bookman Old Style" w:hAnsi="Bookman Old Style"/>
          <w:sz w:val="24"/>
          <w:szCs w:val="24"/>
          <w:lang w:val="fi-FI"/>
        </w:rPr>
        <w:t>,</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dan</w:t>
      </w:r>
      <w:r w:rsidR="00A954D0">
        <w:rPr>
          <w:rFonts w:ascii="Bookman Old Style" w:hAnsi="Bookman Old Style"/>
          <w:sz w:val="24"/>
          <w:szCs w:val="24"/>
          <w:lang w:val="fi-FI"/>
        </w:rPr>
        <w:t xml:space="preserve"> </w:t>
      </w:r>
      <w:r w:rsidR="003B7FE4" w:rsidRPr="00467119">
        <w:rPr>
          <w:rFonts w:ascii="Bookman Old Style" w:hAnsi="Bookman Old Style"/>
          <w:sz w:val="24"/>
          <w:szCs w:val="24"/>
          <w:lang w:val="fi-FI"/>
        </w:rPr>
        <w:t>butir</w:t>
      </w:r>
      <w:r w:rsidR="00A954D0">
        <w:rPr>
          <w:rFonts w:ascii="Bookman Old Style" w:hAnsi="Bookman Old Style"/>
          <w:sz w:val="24"/>
          <w:szCs w:val="24"/>
          <w:lang w:val="fi-FI"/>
        </w:rPr>
        <w:t xml:space="preserve"> </w:t>
      </w:r>
      <w:r w:rsidR="003B7FE4" w:rsidRPr="00467119">
        <w:rPr>
          <w:rFonts w:ascii="Bookman Old Style" w:hAnsi="Bookman Old Style" w:cs="Arial"/>
          <w:sz w:val="24"/>
          <w:szCs w:val="24"/>
        </w:rPr>
        <w:t>butir</w:t>
      </w:r>
      <w:r w:rsidR="00A954D0">
        <w:rPr>
          <w:rFonts w:ascii="Bookman Old Style" w:hAnsi="Bookman Old Style" w:cs="Arial"/>
          <w:sz w:val="24"/>
          <w:szCs w:val="24"/>
        </w:rPr>
        <w:t xml:space="preserve"> </w:t>
      </w:r>
      <w:r w:rsidR="003B7FE4" w:rsidRPr="00467119">
        <w:rPr>
          <w:rFonts w:ascii="Bookman Old Style" w:hAnsi="Bookman Old Style" w:cs="Arial"/>
          <w:sz w:val="24"/>
          <w:szCs w:val="24"/>
          <w:lang w:val="fi-FI"/>
        </w:rPr>
        <w:t>3.4.1.2.2.b.6).d)</w:t>
      </w:r>
      <w:r w:rsidR="00A954D0">
        <w:rPr>
          <w:rFonts w:ascii="Bookman Old Style" w:hAnsi="Bookman Old Style"/>
          <w:sz w:val="24"/>
          <w:szCs w:val="24"/>
          <w:lang w:val="fi-FI"/>
        </w:rPr>
        <w:t xml:space="preserve"> </w:t>
      </w:r>
      <w:r w:rsidR="003B7FE4" w:rsidRPr="00467119">
        <w:rPr>
          <w:rFonts w:ascii="Bookman Old Style" w:hAnsi="Bookman Old Style" w:cs="Arial"/>
          <w:sz w:val="24"/>
          <w:szCs w:val="24"/>
        </w:rPr>
        <w:t>Lampiran</w:t>
      </w:r>
      <w:r w:rsidR="00A954D0">
        <w:rPr>
          <w:rFonts w:ascii="Bookman Old Style" w:hAnsi="Bookman Old Style" w:cs="Arial"/>
          <w:sz w:val="24"/>
          <w:szCs w:val="24"/>
        </w:rPr>
        <w:t xml:space="preserve"> </w:t>
      </w:r>
      <w:r w:rsidR="003B7FE4" w:rsidRPr="00467119">
        <w:rPr>
          <w:rFonts w:ascii="Bookman Old Style" w:hAnsi="Bookman Old Style" w:cs="Arial"/>
          <w:sz w:val="24"/>
          <w:szCs w:val="24"/>
        </w:rPr>
        <w:t>Peraturan</w:t>
      </w:r>
      <w:r w:rsidR="00A954D0">
        <w:rPr>
          <w:rFonts w:ascii="Bookman Old Style" w:hAnsi="Bookman Old Style" w:cs="Arial"/>
          <w:sz w:val="24"/>
          <w:szCs w:val="24"/>
        </w:rPr>
        <w:t xml:space="preserve"> </w:t>
      </w:r>
      <w:r w:rsidR="003B7FE4" w:rsidRPr="00467119">
        <w:rPr>
          <w:rFonts w:ascii="Bookman Old Style" w:hAnsi="Bookman Old Style" w:cs="Arial"/>
          <w:sz w:val="24"/>
          <w:szCs w:val="24"/>
        </w:rPr>
        <w:t>Menteri</w:t>
      </w:r>
      <w:r w:rsidR="00A954D0">
        <w:rPr>
          <w:rFonts w:ascii="Bookman Old Style" w:hAnsi="Bookman Old Style" w:cs="Arial"/>
          <w:sz w:val="24"/>
          <w:szCs w:val="24"/>
        </w:rPr>
        <w:t xml:space="preserve"> </w:t>
      </w:r>
      <w:r w:rsidR="003B7FE4" w:rsidRPr="00467119">
        <w:rPr>
          <w:rFonts w:ascii="Bookman Old Style" w:hAnsi="Bookman Old Style" w:cs="Arial"/>
          <w:sz w:val="24"/>
          <w:szCs w:val="24"/>
        </w:rPr>
        <w:t>Dalam</w:t>
      </w:r>
      <w:r w:rsidR="00A954D0">
        <w:rPr>
          <w:rFonts w:ascii="Bookman Old Style" w:hAnsi="Bookman Old Style" w:cs="Arial"/>
          <w:sz w:val="24"/>
          <w:szCs w:val="24"/>
        </w:rPr>
        <w:t xml:space="preserve"> </w:t>
      </w:r>
      <w:r w:rsidR="003B7FE4" w:rsidRPr="00467119">
        <w:rPr>
          <w:rFonts w:ascii="Bookman Old Style" w:hAnsi="Bookman Old Style" w:cs="Arial"/>
          <w:sz w:val="24"/>
          <w:szCs w:val="24"/>
        </w:rPr>
        <w:t>Negeri</w:t>
      </w:r>
      <w:r w:rsidR="00A954D0">
        <w:rPr>
          <w:rFonts w:ascii="Bookman Old Style" w:hAnsi="Bookman Old Style" w:cs="Arial"/>
          <w:sz w:val="24"/>
          <w:szCs w:val="24"/>
        </w:rPr>
        <w:t xml:space="preserve"> </w:t>
      </w:r>
      <w:r w:rsidR="003B7FE4" w:rsidRPr="00467119">
        <w:rPr>
          <w:rFonts w:ascii="Bookman Old Style" w:hAnsi="Bookman Old Style" w:cs="Arial"/>
          <w:sz w:val="24"/>
          <w:szCs w:val="24"/>
        </w:rPr>
        <w:t>Nomor</w:t>
      </w:r>
      <w:r w:rsidR="00A954D0">
        <w:rPr>
          <w:rFonts w:ascii="Bookman Old Style" w:hAnsi="Bookman Old Style" w:cs="Arial"/>
          <w:sz w:val="24"/>
          <w:szCs w:val="24"/>
        </w:rPr>
        <w:t xml:space="preserve"> </w:t>
      </w:r>
      <w:r w:rsidR="003B7FE4" w:rsidRPr="00467119">
        <w:rPr>
          <w:rFonts w:ascii="Bookman Old Style" w:hAnsi="Bookman Old Style" w:cs="Arial"/>
          <w:sz w:val="24"/>
          <w:szCs w:val="24"/>
          <w:lang w:val="id-ID"/>
        </w:rPr>
        <w:t>15</w:t>
      </w:r>
      <w:r w:rsidR="00A954D0">
        <w:rPr>
          <w:rFonts w:ascii="Bookman Old Style" w:hAnsi="Bookman Old Style" w:cs="Arial"/>
          <w:sz w:val="24"/>
          <w:szCs w:val="24"/>
        </w:rPr>
        <w:t xml:space="preserve"> </w:t>
      </w:r>
      <w:r w:rsidR="003B7FE4" w:rsidRPr="00467119">
        <w:rPr>
          <w:rFonts w:ascii="Bookman Old Style" w:hAnsi="Bookman Old Style" w:cs="Arial"/>
          <w:sz w:val="24"/>
          <w:szCs w:val="24"/>
        </w:rPr>
        <w:t>Tahun</w:t>
      </w:r>
      <w:r w:rsidR="00A954D0">
        <w:rPr>
          <w:rFonts w:ascii="Bookman Old Style" w:hAnsi="Bookman Old Style" w:cs="Arial"/>
          <w:sz w:val="24"/>
          <w:szCs w:val="24"/>
        </w:rPr>
        <w:t xml:space="preserve"> </w:t>
      </w:r>
      <w:r w:rsidR="003B7FE4" w:rsidRPr="00467119">
        <w:rPr>
          <w:rFonts w:ascii="Bookman Old Style" w:hAnsi="Bookman Old Style" w:cs="Arial"/>
          <w:sz w:val="24"/>
          <w:szCs w:val="24"/>
        </w:rPr>
        <w:t>202</w:t>
      </w:r>
      <w:r w:rsidR="003B7FE4" w:rsidRPr="00467119">
        <w:rPr>
          <w:rFonts w:ascii="Bookman Old Style" w:hAnsi="Bookman Old Style" w:cs="Arial"/>
          <w:sz w:val="24"/>
          <w:szCs w:val="24"/>
          <w:lang w:val="id-ID"/>
        </w:rPr>
        <w:t>4.</w:t>
      </w:r>
      <w:r w:rsidR="00A954D0">
        <w:rPr>
          <w:rFonts w:ascii="Bookman Old Style" w:hAnsi="Bookman Old Style"/>
          <w:sz w:val="24"/>
          <w:szCs w:val="24"/>
          <w:lang w:val="fi-FI"/>
        </w:rPr>
        <w:t xml:space="preserve"> </w:t>
      </w:r>
    </w:p>
    <w:p w14:paraId="4F6C9AF5" w14:textId="553A412A" w:rsidR="003B7FE4" w:rsidRPr="00467119" w:rsidRDefault="003B7FE4" w:rsidP="005668F0">
      <w:pPr>
        <w:pStyle w:val="ListParagraph"/>
        <w:spacing w:before="60" w:after="0" w:line="276" w:lineRule="auto"/>
        <w:ind w:left="3261"/>
        <w:contextualSpacing w:val="0"/>
        <w:jc w:val="both"/>
        <w:rPr>
          <w:rFonts w:ascii="Bookman Old Style" w:hAnsi="Bookman Old Style"/>
          <w:sz w:val="24"/>
          <w:szCs w:val="24"/>
          <w:lang w:val="fi-FI"/>
        </w:rPr>
      </w:pPr>
      <w:r w:rsidRPr="00467119">
        <w:rPr>
          <w:rFonts w:ascii="Bookman Old Style" w:hAnsi="Bookman Old Style"/>
          <w:sz w:val="24"/>
          <w:szCs w:val="24"/>
          <w:lang w:val="fi-FI"/>
        </w:rPr>
        <w:t>Selanjutnya,</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dalam</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rangka</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mewujudkan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UHC</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mencapai</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minimal</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98%</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(sembilan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puluh</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delapan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persen)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dari</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total</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penduduk</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pada</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tahun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2025</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sebagaimana</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telah</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diamanatkan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diamanatkan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Peraturan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Presiden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Nomor</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36</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Tahun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2023</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tentang</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Peta</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Jalan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Jaminan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Sosial</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Tahun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2023-2024,</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Pemerintah</w:t>
      </w:r>
      <w:r w:rsidR="00A954D0">
        <w:rPr>
          <w:rFonts w:ascii="Bookman Old Style" w:hAnsi="Bookman Old Style"/>
          <w:sz w:val="24"/>
          <w:szCs w:val="24"/>
          <w:lang w:val="fi-FI"/>
        </w:rPr>
        <w:t xml:space="preserve"> </w:t>
      </w:r>
      <w:r w:rsidRPr="00467119">
        <w:rPr>
          <w:rFonts w:ascii="Bookman Old Style" w:hAnsi="Bookman Old Style"/>
          <w:sz w:val="24"/>
          <w:szCs w:val="24"/>
        </w:rPr>
        <w:t>Daerah</w:t>
      </w:r>
      <w:r w:rsidR="00A954D0">
        <w:rPr>
          <w:rFonts w:ascii="Bookman Old Style" w:hAnsi="Bookman Old Style"/>
          <w:sz w:val="24"/>
          <w:szCs w:val="24"/>
        </w:rPr>
        <w:t xml:space="preserve"> </w:t>
      </w:r>
      <w:r w:rsidR="00046408" w:rsidRPr="00467119">
        <w:rPr>
          <w:rFonts w:ascii="Bookman Old Style" w:hAnsi="Bookman Old Style"/>
          <w:sz w:val="24"/>
          <w:szCs w:val="24"/>
        </w:rPr>
        <w:t>Kota</w:t>
      </w:r>
      <w:r w:rsidR="00A954D0">
        <w:rPr>
          <w:rFonts w:ascii="Bookman Old Style" w:hAnsi="Bookman Old Style"/>
          <w:sz w:val="24"/>
          <w:szCs w:val="24"/>
        </w:rPr>
        <w:t xml:space="preserve"> </w:t>
      </w:r>
      <w:r w:rsidR="00770F22" w:rsidRPr="00467119">
        <w:rPr>
          <w:rFonts w:ascii="Bookman Old Style" w:hAnsi="Bookman Old Style"/>
          <w:sz w:val="24"/>
          <w:szCs w:val="24"/>
        </w:rPr>
        <w:t>Tangerang</w:t>
      </w:r>
      <w:r w:rsidR="00A954D0">
        <w:rPr>
          <w:rFonts w:ascii="Bookman Old Style" w:hAnsi="Bookman Old Style"/>
          <w:sz w:val="24"/>
          <w:szCs w:val="24"/>
        </w:rPr>
        <w:t xml:space="preserve"> </w:t>
      </w:r>
      <w:r w:rsidRPr="00467119">
        <w:rPr>
          <w:rFonts w:ascii="Bookman Old Style" w:hAnsi="Bookman Old Style"/>
          <w:sz w:val="24"/>
          <w:szCs w:val="24"/>
          <w:lang w:val="fi-FI"/>
        </w:rPr>
        <w:t>untuk</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menganggarkan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iuran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baik</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sebagian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atau</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seluruhnya</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bagi</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setiap</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penduduk</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yang</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didaftarkan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oleh</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pemerintah</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daerah</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dengan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manfaat</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pelayanan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di</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Kelas</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Rawat</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Inap</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Standar/Ruang</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Perawatan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Kelas</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III</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selain</w:t>
      </w:r>
      <w:r w:rsidR="00A954D0">
        <w:rPr>
          <w:rFonts w:ascii="Bookman Old Style" w:hAnsi="Bookman Old Style"/>
          <w:sz w:val="24"/>
          <w:szCs w:val="24"/>
          <w:lang w:val="fi-FI"/>
        </w:rPr>
        <w:t xml:space="preserve"> </w:t>
      </w:r>
      <w:r w:rsidRPr="00467119">
        <w:rPr>
          <w:rFonts w:ascii="Bookman Old Style" w:hAnsi="Bookman Old Style"/>
          <w:sz w:val="24"/>
          <w:szCs w:val="24"/>
          <w:lang w:val="id-ID"/>
        </w:rPr>
        <w:t>Pekerja</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Penerima</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Upah</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(PPU)</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dan</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PBI</w:t>
      </w:r>
      <w:r w:rsidRPr="00467119">
        <w:rPr>
          <w:rFonts w:ascii="Bookman Old Style" w:hAnsi="Bookman Old Style"/>
          <w:sz w:val="24"/>
          <w:szCs w:val="24"/>
          <w:lang w:val="fi-FI"/>
        </w:rPr>
        <w:t>,</w:t>
      </w:r>
      <w:r w:rsidR="00A954D0">
        <w:rPr>
          <w:rFonts w:ascii="Bookman Old Style" w:hAnsi="Bookman Old Style"/>
          <w:sz w:val="24"/>
          <w:szCs w:val="24"/>
          <w:lang w:val="fi-FI"/>
        </w:rPr>
        <w:t xml:space="preserve"> </w:t>
      </w:r>
      <w:r w:rsidRPr="00467119">
        <w:rPr>
          <w:rFonts w:ascii="Bookman Old Style" w:hAnsi="Bookman Old Style"/>
          <w:sz w:val="24"/>
          <w:szCs w:val="24"/>
          <w:lang w:val="id-ID"/>
        </w:rPr>
        <w:t>wajib</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melakukan</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integrasi</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jaminan</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kesehatan</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daerah</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dengan</w:t>
      </w:r>
      <w:r w:rsidR="00A954D0">
        <w:rPr>
          <w:rFonts w:ascii="Bookman Old Style" w:hAnsi="Bookman Old Style"/>
          <w:sz w:val="24"/>
          <w:szCs w:val="24"/>
          <w:lang w:val="id-ID"/>
        </w:rPr>
        <w:t xml:space="preserve"> </w:t>
      </w:r>
      <w:r w:rsidRPr="00467119">
        <w:rPr>
          <w:rFonts w:ascii="Bookman Old Style" w:hAnsi="Bookman Old Style"/>
          <w:sz w:val="24"/>
          <w:szCs w:val="24"/>
          <w:lang w:val="fi-FI"/>
        </w:rPr>
        <w:t>JKN</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melalui</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kerja</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sama</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pendaftaran</w:t>
      </w:r>
      <w:r w:rsidR="00A954D0">
        <w:rPr>
          <w:rFonts w:ascii="Bookman Old Style" w:hAnsi="Bookman Old Style"/>
          <w:sz w:val="24"/>
          <w:szCs w:val="24"/>
          <w:lang w:val="id-ID"/>
        </w:rPr>
        <w:t xml:space="preserve"> </w:t>
      </w:r>
      <w:r w:rsidRPr="00467119">
        <w:rPr>
          <w:rFonts w:ascii="Bookman Old Style" w:eastAsia="Bookman Old Style" w:hAnsi="Bookman Old Style" w:cs="Arial"/>
          <w:sz w:val="24"/>
          <w:szCs w:val="24"/>
          <w:lang w:val="id-ID"/>
        </w:rPr>
        <w:t>Pekerja</w:t>
      </w:r>
      <w:r w:rsidR="00A954D0">
        <w:rPr>
          <w:rFonts w:ascii="Bookman Old Style" w:eastAsia="Bookman Old Style" w:hAnsi="Bookman Old Style" w:cs="Arial"/>
          <w:sz w:val="24"/>
          <w:szCs w:val="24"/>
          <w:lang w:val="id-ID"/>
        </w:rPr>
        <w:t xml:space="preserve"> </w:t>
      </w:r>
      <w:r w:rsidRPr="00467119">
        <w:rPr>
          <w:rFonts w:ascii="Bookman Old Style" w:eastAsia="Bookman Old Style" w:hAnsi="Bookman Old Style" w:cs="Arial"/>
          <w:sz w:val="24"/>
          <w:szCs w:val="24"/>
          <w:lang w:val="id-ID"/>
        </w:rPr>
        <w:t>Bukan</w:t>
      </w:r>
      <w:r w:rsidR="00A954D0">
        <w:rPr>
          <w:rFonts w:ascii="Bookman Old Style" w:eastAsia="Bookman Old Style" w:hAnsi="Bookman Old Style" w:cs="Arial"/>
          <w:sz w:val="24"/>
          <w:szCs w:val="24"/>
          <w:lang w:val="id-ID"/>
        </w:rPr>
        <w:t xml:space="preserve"> </w:t>
      </w:r>
      <w:r w:rsidRPr="00467119">
        <w:rPr>
          <w:rFonts w:ascii="Bookman Old Style" w:eastAsia="Bookman Old Style" w:hAnsi="Bookman Old Style" w:cs="Arial"/>
          <w:sz w:val="24"/>
          <w:szCs w:val="24"/>
          <w:lang w:val="id-ID"/>
        </w:rPr>
        <w:t>Penerima</w:t>
      </w:r>
      <w:r w:rsidR="00A954D0">
        <w:rPr>
          <w:rFonts w:ascii="Bookman Old Style" w:eastAsia="Bookman Old Style" w:hAnsi="Bookman Old Style" w:cs="Arial"/>
          <w:sz w:val="24"/>
          <w:szCs w:val="24"/>
          <w:lang w:val="id-ID"/>
        </w:rPr>
        <w:t xml:space="preserve"> </w:t>
      </w:r>
      <w:r w:rsidRPr="00467119">
        <w:rPr>
          <w:rFonts w:ascii="Bookman Old Style" w:eastAsia="Bookman Old Style" w:hAnsi="Bookman Old Style" w:cs="Arial"/>
          <w:sz w:val="24"/>
          <w:szCs w:val="24"/>
          <w:lang w:val="id-ID"/>
        </w:rPr>
        <w:t>Upah</w:t>
      </w:r>
      <w:r w:rsidR="00A954D0">
        <w:rPr>
          <w:rFonts w:ascii="Bookman Old Style" w:hAnsi="Bookman Old Style"/>
          <w:sz w:val="24"/>
          <w:szCs w:val="24"/>
          <w:lang w:val="id-ID"/>
        </w:rPr>
        <w:t xml:space="preserve"> </w:t>
      </w:r>
      <w:r w:rsidRPr="00467119">
        <w:rPr>
          <w:rFonts w:ascii="Bookman Old Style" w:hAnsi="Bookman Old Style"/>
          <w:sz w:val="24"/>
          <w:szCs w:val="24"/>
          <w:lang w:val="fi-FI"/>
        </w:rPr>
        <w:t>(</w:t>
      </w:r>
      <w:r w:rsidRPr="00467119">
        <w:rPr>
          <w:rFonts w:ascii="Bookman Old Style" w:hAnsi="Bookman Old Style"/>
          <w:sz w:val="24"/>
          <w:szCs w:val="24"/>
          <w:lang w:val="id-ID"/>
        </w:rPr>
        <w:t>PBPU</w:t>
      </w:r>
      <w:r w:rsidRPr="00467119">
        <w:rPr>
          <w:rFonts w:ascii="Bookman Old Style" w:hAnsi="Bookman Old Style"/>
          <w:sz w:val="24"/>
          <w:szCs w:val="24"/>
          <w:lang w:val="fi-FI"/>
        </w:rPr>
        <w:t>)</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dan</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Bukan</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Pekerja</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(BP)</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Pemerintah</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Daerah</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dengan</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BPJS</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Kesehatan</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guna</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terselenggaranya</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jaminan</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kesehatan</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bagi</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seluruh</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penduduk</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dan</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tidak</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melakukan</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realokasi</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atas</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penganggaran</w:t>
      </w:r>
      <w:r w:rsidR="00A954D0">
        <w:rPr>
          <w:rFonts w:ascii="Bookman Old Style" w:hAnsi="Bookman Old Style"/>
          <w:sz w:val="24"/>
          <w:szCs w:val="24"/>
          <w:lang w:val="id-ID"/>
        </w:rPr>
        <w:t xml:space="preserve"> </w:t>
      </w:r>
      <w:r w:rsidRPr="00467119">
        <w:rPr>
          <w:rFonts w:ascii="Bookman Old Style" w:hAnsi="Bookman Old Style"/>
          <w:sz w:val="24"/>
          <w:szCs w:val="24"/>
          <w:lang w:val="fi-FI"/>
        </w:rPr>
        <w:t>JKN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dan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menganggarkan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kerja</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sama</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dalam</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pendaftaran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PBPU</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dan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BP</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dengan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BPJS</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Kesehatan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untuk</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12</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(dua</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belas)</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bulan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dengan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berpedoman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pada</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Pasal</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12</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Peraturan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Presiden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Nomor</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82</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Tahun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2018</w:t>
      </w:r>
      <w:r w:rsidR="00A954D0">
        <w:rPr>
          <w:rFonts w:ascii="Bookman Old Style" w:hAnsi="Bookman Old Style"/>
          <w:sz w:val="24"/>
          <w:szCs w:val="24"/>
          <w:lang w:val="fi-FI"/>
        </w:rPr>
        <w:t xml:space="preserve"> </w:t>
      </w:r>
      <w:r w:rsidRPr="00467119">
        <w:rPr>
          <w:rFonts w:ascii="Bookman Old Style" w:hAnsi="Bookman Old Style"/>
          <w:sz w:val="24"/>
          <w:szCs w:val="24"/>
          <w:lang w:val="id-ID"/>
        </w:rPr>
        <w:t>sebagaimana</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telah</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diubah</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beberapa</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kali</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terakhir</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dengan</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Peraturan</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Presiden</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Nomor</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64</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Tahun</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2020</w:t>
      </w:r>
      <w:r w:rsidRPr="00467119">
        <w:rPr>
          <w:rFonts w:ascii="Bookman Old Style" w:hAnsi="Bookman Old Style"/>
          <w:sz w:val="24"/>
          <w:szCs w:val="24"/>
          <w:lang w:val="fi-FI"/>
        </w:rPr>
        <w:t>,</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Peraturan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Badan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Penyelenggara</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Jaminan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Sosial</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Kesehatan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Nomor</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6</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Tahun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2018</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tentang</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Administrasi</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Kepesertaan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Program</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Jaminan</w:t>
      </w:r>
      <w:r w:rsidR="00A954D0">
        <w:rPr>
          <w:rFonts w:ascii="Bookman Old Style" w:hAnsi="Bookman Old Style"/>
          <w:sz w:val="24"/>
          <w:szCs w:val="24"/>
          <w:lang w:val="fi-FI"/>
        </w:rPr>
        <w:t xml:space="preserve"> </w:t>
      </w:r>
      <w:r w:rsidRPr="00467119">
        <w:rPr>
          <w:rFonts w:ascii="Bookman Old Style" w:hAnsi="Bookman Old Style"/>
          <w:sz w:val="24"/>
          <w:szCs w:val="24"/>
          <w:lang w:val="fi-FI"/>
        </w:rPr>
        <w:t>Kesehatan</w:t>
      </w:r>
      <w:r w:rsidRPr="00467119">
        <w:rPr>
          <w:rFonts w:ascii="Bookman Old Style" w:hAnsi="Bookman Old Style"/>
          <w:sz w:val="24"/>
          <w:szCs w:val="24"/>
          <w:lang w:val="id-ID"/>
        </w:rPr>
        <w:t>,</w:t>
      </w:r>
      <w:r w:rsidR="00A954D0">
        <w:rPr>
          <w:rFonts w:ascii="Bookman Old Style" w:hAnsi="Bookman Old Style"/>
          <w:sz w:val="24"/>
          <w:szCs w:val="24"/>
          <w:lang w:val="id-ID"/>
        </w:rPr>
        <w:t xml:space="preserve"> </w:t>
      </w:r>
      <w:r w:rsidRPr="00467119">
        <w:rPr>
          <w:rFonts w:ascii="Bookman Old Style" w:hAnsi="Bookman Old Style" w:cs="Arial"/>
          <w:sz w:val="24"/>
          <w:szCs w:val="24"/>
          <w:lang w:val="fi-FI"/>
        </w:rPr>
        <w:t>dan</w:t>
      </w:r>
      <w:r w:rsidR="00A954D0">
        <w:rPr>
          <w:rFonts w:ascii="Bookman Old Style" w:hAnsi="Bookman Old Style" w:cs="Arial"/>
          <w:sz w:val="24"/>
          <w:szCs w:val="24"/>
        </w:rPr>
        <w:t xml:space="preserve"> </w:t>
      </w:r>
      <w:r w:rsidRPr="00467119">
        <w:rPr>
          <w:rFonts w:ascii="Bookman Old Style" w:hAnsi="Bookman Old Style" w:cs="Arial"/>
          <w:sz w:val="24"/>
          <w:szCs w:val="24"/>
        </w:rPr>
        <w:t>maksud</w:t>
      </w:r>
      <w:r w:rsidR="00A954D0">
        <w:rPr>
          <w:rFonts w:ascii="Bookman Old Style" w:hAnsi="Bookman Old Style" w:cs="Arial"/>
          <w:sz w:val="24"/>
          <w:szCs w:val="24"/>
        </w:rPr>
        <w:t xml:space="preserve"> </w:t>
      </w:r>
      <w:r w:rsidRPr="00467119">
        <w:rPr>
          <w:rFonts w:ascii="Bookman Old Style" w:hAnsi="Bookman Old Style" w:cs="Arial"/>
          <w:sz w:val="24"/>
          <w:szCs w:val="24"/>
        </w:rPr>
        <w:t>butir</w:t>
      </w:r>
      <w:r w:rsidR="00A954D0">
        <w:rPr>
          <w:rFonts w:ascii="Bookman Old Style" w:hAnsi="Bookman Old Style" w:cs="Arial"/>
          <w:sz w:val="24"/>
          <w:szCs w:val="24"/>
        </w:rPr>
        <w:t xml:space="preserve"> </w:t>
      </w:r>
      <w:r w:rsidRPr="00467119">
        <w:rPr>
          <w:rFonts w:ascii="Bookman Old Style" w:hAnsi="Bookman Old Style" w:cs="Arial"/>
          <w:sz w:val="24"/>
          <w:szCs w:val="24"/>
          <w:lang w:val="fi-FI"/>
        </w:rPr>
        <w:t>3.4.1.2.2.b.6).g)</w:t>
      </w:r>
      <w:r w:rsidR="00A954D0">
        <w:rPr>
          <w:rFonts w:ascii="Bookman Old Style" w:hAnsi="Bookman Old Style" w:cs="Arial"/>
          <w:sz w:val="24"/>
          <w:szCs w:val="24"/>
          <w:lang w:val="id-ID"/>
        </w:rPr>
        <w:t xml:space="preserve"> </w:t>
      </w:r>
      <w:r w:rsidRPr="00467119">
        <w:rPr>
          <w:rFonts w:ascii="Bookman Old Style" w:hAnsi="Bookman Old Style" w:cs="Arial"/>
          <w:sz w:val="24"/>
          <w:szCs w:val="24"/>
        </w:rPr>
        <w:t>Lampiran</w:t>
      </w:r>
      <w:r w:rsidR="00A954D0">
        <w:rPr>
          <w:rFonts w:ascii="Bookman Old Style" w:hAnsi="Bookman Old Style" w:cs="Arial"/>
          <w:sz w:val="24"/>
          <w:szCs w:val="24"/>
        </w:rPr>
        <w:t xml:space="preserve"> </w:t>
      </w:r>
      <w:r w:rsidRPr="00467119">
        <w:rPr>
          <w:rFonts w:ascii="Bookman Old Style" w:hAnsi="Bookman Old Style" w:cs="Arial"/>
          <w:sz w:val="24"/>
          <w:szCs w:val="24"/>
        </w:rPr>
        <w:t>Peraturan</w:t>
      </w:r>
      <w:r w:rsidR="00A954D0">
        <w:rPr>
          <w:rFonts w:ascii="Bookman Old Style" w:hAnsi="Bookman Old Style" w:cs="Arial"/>
          <w:sz w:val="24"/>
          <w:szCs w:val="24"/>
        </w:rPr>
        <w:t xml:space="preserve"> </w:t>
      </w:r>
      <w:r w:rsidRPr="00467119">
        <w:rPr>
          <w:rFonts w:ascii="Bookman Old Style" w:hAnsi="Bookman Old Style" w:cs="Arial"/>
          <w:sz w:val="24"/>
          <w:szCs w:val="24"/>
        </w:rPr>
        <w:t>Menteri</w:t>
      </w:r>
      <w:r w:rsidR="00A954D0">
        <w:rPr>
          <w:rFonts w:ascii="Bookman Old Style" w:hAnsi="Bookman Old Style" w:cs="Arial"/>
          <w:sz w:val="24"/>
          <w:szCs w:val="24"/>
        </w:rPr>
        <w:t xml:space="preserve"> </w:t>
      </w:r>
      <w:r w:rsidRPr="00467119">
        <w:rPr>
          <w:rFonts w:ascii="Bookman Old Style" w:hAnsi="Bookman Old Style" w:cs="Arial"/>
          <w:sz w:val="24"/>
          <w:szCs w:val="24"/>
        </w:rPr>
        <w:t>Dalam</w:t>
      </w:r>
      <w:r w:rsidR="00A954D0">
        <w:rPr>
          <w:rFonts w:ascii="Bookman Old Style" w:hAnsi="Bookman Old Style" w:cs="Arial"/>
          <w:sz w:val="24"/>
          <w:szCs w:val="24"/>
        </w:rPr>
        <w:t xml:space="preserve"> </w:t>
      </w:r>
      <w:r w:rsidRPr="00467119">
        <w:rPr>
          <w:rFonts w:ascii="Bookman Old Style" w:hAnsi="Bookman Old Style" w:cs="Arial"/>
          <w:sz w:val="24"/>
          <w:szCs w:val="24"/>
        </w:rPr>
        <w:t>Negeri</w:t>
      </w:r>
      <w:r w:rsidR="00A954D0">
        <w:rPr>
          <w:rFonts w:ascii="Bookman Old Style" w:hAnsi="Bookman Old Style" w:cs="Arial"/>
          <w:sz w:val="24"/>
          <w:szCs w:val="24"/>
        </w:rPr>
        <w:t xml:space="preserve"> </w:t>
      </w:r>
      <w:r w:rsidRPr="00467119">
        <w:rPr>
          <w:rFonts w:ascii="Bookman Old Style" w:hAnsi="Bookman Old Style" w:cs="Arial"/>
          <w:sz w:val="24"/>
          <w:szCs w:val="24"/>
        </w:rPr>
        <w:t>Nomor</w:t>
      </w:r>
      <w:r w:rsidR="00A954D0">
        <w:rPr>
          <w:rFonts w:ascii="Bookman Old Style" w:hAnsi="Bookman Old Style" w:cs="Arial"/>
          <w:sz w:val="24"/>
          <w:szCs w:val="24"/>
        </w:rPr>
        <w:t xml:space="preserve"> </w:t>
      </w:r>
      <w:r w:rsidRPr="00467119">
        <w:rPr>
          <w:rFonts w:ascii="Bookman Old Style" w:hAnsi="Bookman Old Style" w:cs="Arial"/>
          <w:sz w:val="24"/>
          <w:szCs w:val="24"/>
          <w:lang w:val="id-ID"/>
        </w:rPr>
        <w:t>15</w:t>
      </w:r>
      <w:r w:rsidR="00A954D0">
        <w:rPr>
          <w:rFonts w:ascii="Bookman Old Style" w:hAnsi="Bookman Old Style" w:cs="Arial"/>
          <w:sz w:val="24"/>
          <w:szCs w:val="24"/>
        </w:rPr>
        <w:t xml:space="preserve"> </w:t>
      </w:r>
      <w:r w:rsidRPr="00467119">
        <w:rPr>
          <w:rFonts w:ascii="Bookman Old Style" w:hAnsi="Bookman Old Style" w:cs="Arial"/>
          <w:sz w:val="24"/>
          <w:szCs w:val="24"/>
        </w:rPr>
        <w:t>Tahun</w:t>
      </w:r>
      <w:r w:rsidR="00A954D0">
        <w:rPr>
          <w:rFonts w:ascii="Bookman Old Style" w:hAnsi="Bookman Old Style" w:cs="Arial"/>
          <w:sz w:val="24"/>
          <w:szCs w:val="24"/>
        </w:rPr>
        <w:t xml:space="preserve"> </w:t>
      </w:r>
      <w:r w:rsidRPr="00467119">
        <w:rPr>
          <w:rFonts w:ascii="Bookman Old Style" w:hAnsi="Bookman Old Style" w:cs="Arial"/>
          <w:sz w:val="24"/>
          <w:szCs w:val="24"/>
        </w:rPr>
        <w:t>202</w:t>
      </w:r>
      <w:r w:rsidRPr="00467119">
        <w:rPr>
          <w:rFonts w:ascii="Bookman Old Style" w:hAnsi="Bookman Old Style" w:cs="Arial"/>
          <w:sz w:val="24"/>
          <w:szCs w:val="24"/>
          <w:lang w:val="id-ID"/>
        </w:rPr>
        <w:t>4.</w:t>
      </w:r>
    </w:p>
    <w:p w14:paraId="148180F9" w14:textId="3FC9FE71" w:rsidR="003B7FE4" w:rsidRPr="00467119" w:rsidRDefault="003B7FE4" w:rsidP="005668F0">
      <w:pPr>
        <w:pStyle w:val="ListParagraph"/>
        <w:spacing w:before="60" w:after="0" w:line="276" w:lineRule="auto"/>
        <w:ind w:left="3261"/>
        <w:contextualSpacing w:val="0"/>
        <w:jc w:val="both"/>
        <w:rPr>
          <w:rFonts w:ascii="Bookman Old Style" w:hAnsi="Bookman Old Style"/>
          <w:sz w:val="24"/>
          <w:szCs w:val="24"/>
          <w:lang w:val="id-ID"/>
        </w:rPr>
      </w:pPr>
      <w:r w:rsidRPr="00467119">
        <w:rPr>
          <w:rFonts w:ascii="Bookman Old Style" w:hAnsi="Bookman Old Style"/>
          <w:sz w:val="24"/>
          <w:szCs w:val="24"/>
          <w:lang w:val="fi-FI"/>
        </w:rPr>
        <w:t>Berkaitan</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dengan</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hal</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tersebut,</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Pemerintah</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Daerah</w:t>
      </w:r>
      <w:r w:rsidR="00A954D0">
        <w:rPr>
          <w:rFonts w:ascii="Bookman Old Style" w:hAnsi="Bookman Old Style"/>
          <w:sz w:val="24"/>
          <w:szCs w:val="24"/>
          <w:lang w:val="id-ID"/>
        </w:rPr>
        <w:t xml:space="preserve"> </w:t>
      </w:r>
      <w:r w:rsidR="00046408" w:rsidRPr="00467119">
        <w:rPr>
          <w:rFonts w:ascii="Bookman Old Style" w:hAnsi="Bookman Old Style"/>
          <w:sz w:val="24"/>
          <w:szCs w:val="24"/>
          <w:lang w:val="id-ID"/>
        </w:rPr>
        <w:t>Kota</w:t>
      </w:r>
      <w:r w:rsidR="00A954D0">
        <w:rPr>
          <w:rFonts w:ascii="Bookman Old Style" w:hAnsi="Bookman Old Style"/>
          <w:sz w:val="24"/>
          <w:szCs w:val="24"/>
          <w:lang w:val="id-ID"/>
        </w:rPr>
        <w:t xml:space="preserve"> </w:t>
      </w:r>
      <w:r w:rsidR="00770F22" w:rsidRPr="00467119">
        <w:rPr>
          <w:rFonts w:ascii="Bookman Old Style" w:hAnsi="Bookman Old Style"/>
          <w:sz w:val="24"/>
          <w:szCs w:val="24"/>
          <w:lang w:val="id-ID"/>
        </w:rPr>
        <w:t>Tangerang</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tidak</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diperkenankan</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mengelola</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sendiri</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(sebagian</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atau</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seluruhnya)</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Jaminan</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Kesehatan</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Daerahnya</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dengan</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manfaat</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yang</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sama</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dengan</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JKN,</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termasuk</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mengelola</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sebagian</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Jaminan</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Kesehatan</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Daerahnya</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dengan</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skema</w:t>
      </w:r>
      <w:r w:rsidR="00A954D0">
        <w:rPr>
          <w:rFonts w:ascii="Bookman Old Style" w:hAnsi="Bookman Old Style"/>
          <w:sz w:val="24"/>
          <w:szCs w:val="24"/>
          <w:lang w:val="id-ID"/>
        </w:rPr>
        <w:t xml:space="preserve"> </w:t>
      </w:r>
      <w:r w:rsidRPr="00467119">
        <w:rPr>
          <w:rFonts w:ascii="Bookman Old Style" w:hAnsi="Bookman Old Style" w:cs="Arial"/>
          <w:sz w:val="24"/>
          <w:szCs w:val="24"/>
          <w:lang w:val="fr-FR"/>
        </w:rPr>
        <w:t>di</w:t>
      </w:r>
      <w:r w:rsidR="00A954D0">
        <w:rPr>
          <w:rFonts w:ascii="Bookman Old Style" w:hAnsi="Bookman Old Style" w:cs="Arial"/>
          <w:sz w:val="24"/>
          <w:szCs w:val="24"/>
          <w:lang w:val="fr-FR"/>
        </w:rPr>
        <w:t xml:space="preserve"> </w:t>
      </w:r>
      <w:r w:rsidRPr="00467119">
        <w:rPr>
          <w:rFonts w:ascii="Bookman Old Style" w:hAnsi="Bookman Old Style" w:cs="Arial"/>
          <w:sz w:val="24"/>
          <w:szCs w:val="24"/>
          <w:lang w:val="fr-FR"/>
        </w:rPr>
        <w:t>luar</w:t>
      </w:r>
      <w:r w:rsidR="00A954D0">
        <w:rPr>
          <w:rFonts w:ascii="Bookman Old Style" w:hAnsi="Bookman Old Style" w:cs="Arial"/>
          <w:sz w:val="24"/>
          <w:szCs w:val="24"/>
          <w:lang w:val="fr-FR"/>
        </w:rPr>
        <w:t xml:space="preserve"> </w:t>
      </w:r>
      <w:r w:rsidRPr="00467119">
        <w:rPr>
          <w:rFonts w:ascii="Bookman Old Style" w:hAnsi="Bookman Old Style" w:cs="Arial"/>
          <w:sz w:val="24"/>
          <w:szCs w:val="24"/>
          <w:lang w:val="fr-FR"/>
        </w:rPr>
        <w:t>program</w:t>
      </w:r>
      <w:r w:rsidR="00A954D0">
        <w:rPr>
          <w:rFonts w:ascii="Bookman Old Style" w:hAnsi="Bookman Old Style" w:cs="Arial"/>
          <w:sz w:val="24"/>
          <w:szCs w:val="24"/>
          <w:lang w:val="fr-FR"/>
        </w:rPr>
        <w:t xml:space="preserve"> </w:t>
      </w:r>
      <w:r w:rsidRPr="00467119">
        <w:rPr>
          <w:rFonts w:ascii="Bookman Old Style" w:hAnsi="Bookman Old Style" w:cs="Arial"/>
          <w:sz w:val="24"/>
          <w:szCs w:val="24"/>
          <w:lang w:val="fr-FR"/>
        </w:rPr>
        <w:t>JKN</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(skema</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ganda),</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sebagaimana</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maksud</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butir</w:t>
      </w:r>
      <w:r w:rsidR="00A954D0">
        <w:rPr>
          <w:rFonts w:ascii="Bookman Old Style" w:hAnsi="Bookman Old Style"/>
          <w:sz w:val="24"/>
          <w:szCs w:val="24"/>
          <w:lang w:val="id-ID"/>
        </w:rPr>
        <w:t xml:space="preserve"> </w:t>
      </w:r>
      <w:r w:rsidRPr="00467119">
        <w:rPr>
          <w:rFonts w:ascii="Bookman Old Style" w:hAnsi="Bookman Old Style" w:cs="Arial"/>
          <w:sz w:val="24"/>
          <w:szCs w:val="24"/>
          <w:lang w:val="fi-FI"/>
        </w:rPr>
        <w:t>3.4.1.2.2.b.7)</w:t>
      </w:r>
      <w:r w:rsidR="00A954D0">
        <w:rPr>
          <w:rFonts w:ascii="Bookman Old Style" w:hAnsi="Bookman Old Style" w:cs="Arial"/>
          <w:sz w:val="24"/>
          <w:szCs w:val="24"/>
          <w:lang w:val="id-ID"/>
        </w:rPr>
        <w:t xml:space="preserve"> </w:t>
      </w:r>
      <w:r w:rsidRPr="00467119">
        <w:rPr>
          <w:rFonts w:ascii="Bookman Old Style" w:hAnsi="Bookman Old Style"/>
          <w:sz w:val="24"/>
          <w:szCs w:val="24"/>
          <w:lang w:val="id-ID"/>
        </w:rPr>
        <w:t>Lampiran</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Peraturan</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Menteri</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Dalam</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Negeri</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Nomor</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15</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Tahun</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2024.</w:t>
      </w:r>
    </w:p>
    <w:p w14:paraId="473D8D60" w14:textId="3C0D5124" w:rsidR="003B7FE4" w:rsidRPr="00467119" w:rsidRDefault="003B7FE4" w:rsidP="005668F0">
      <w:pPr>
        <w:spacing w:before="60" w:line="276" w:lineRule="auto"/>
        <w:ind w:left="3261"/>
        <w:jc w:val="both"/>
        <w:rPr>
          <w:rFonts w:ascii="Bookman Old Style" w:hAnsi="Bookman Old Style"/>
          <w:lang w:val="id-ID"/>
        </w:rPr>
      </w:pPr>
      <w:r w:rsidRPr="00467119">
        <w:rPr>
          <w:rFonts w:ascii="Bookman Old Style" w:hAnsi="Bookman Old Style"/>
          <w:lang w:val="id-ID"/>
        </w:rPr>
        <w:lastRenderedPageBreak/>
        <w:t>Selanjutnya,</w:t>
      </w:r>
      <w:r w:rsidR="00A954D0">
        <w:rPr>
          <w:rFonts w:ascii="Bookman Old Style" w:hAnsi="Bookman Old Style"/>
          <w:lang w:val="id-ID"/>
        </w:rPr>
        <w:t xml:space="preserve"> </w:t>
      </w:r>
      <w:r w:rsidRPr="00467119">
        <w:rPr>
          <w:rFonts w:ascii="Bookman Old Style" w:hAnsi="Bookman Old Style"/>
          <w:lang w:val="id-ID"/>
        </w:rPr>
        <w:t>dalam</w:t>
      </w:r>
      <w:r w:rsidR="00A954D0">
        <w:rPr>
          <w:rFonts w:ascii="Bookman Old Style" w:hAnsi="Bookman Old Style"/>
          <w:lang w:val="id-ID"/>
        </w:rPr>
        <w:t xml:space="preserve"> </w:t>
      </w:r>
      <w:r w:rsidRPr="00467119">
        <w:rPr>
          <w:rFonts w:ascii="Bookman Old Style" w:hAnsi="Bookman Old Style"/>
          <w:lang w:val="id-ID"/>
        </w:rPr>
        <w:t>hal</w:t>
      </w:r>
      <w:r w:rsidR="00A954D0">
        <w:rPr>
          <w:rFonts w:ascii="Bookman Old Style" w:hAnsi="Bookman Old Style"/>
          <w:lang w:val="id-ID"/>
        </w:rPr>
        <w:t xml:space="preserve"> </w:t>
      </w:r>
      <w:r w:rsidRPr="00467119">
        <w:rPr>
          <w:rFonts w:ascii="Bookman Old Style" w:hAnsi="Bookman Old Style"/>
          <w:lang w:val="id-ID"/>
        </w:rPr>
        <w:t>Pemerintah</w:t>
      </w:r>
      <w:r w:rsidR="00A954D0">
        <w:rPr>
          <w:rFonts w:ascii="Bookman Old Style" w:hAnsi="Bookman Old Style"/>
          <w:lang w:val="id-ID"/>
        </w:rPr>
        <w:t xml:space="preserve"> </w:t>
      </w:r>
      <w:r w:rsidRPr="00467119">
        <w:rPr>
          <w:rFonts w:ascii="Bookman Old Style" w:hAnsi="Bookman Old Style"/>
          <w:lang w:val="id-ID"/>
        </w:rPr>
        <w:t>Daerah</w:t>
      </w:r>
      <w:r w:rsidR="00A954D0">
        <w:rPr>
          <w:rFonts w:ascii="Bookman Old Style" w:hAnsi="Bookman Old Style"/>
          <w:lang w:val="id-ID"/>
        </w:rPr>
        <w:t xml:space="preserve"> </w:t>
      </w:r>
      <w:r w:rsidR="00046408" w:rsidRPr="00467119">
        <w:rPr>
          <w:rFonts w:ascii="Bookman Old Style" w:hAnsi="Bookman Old Style"/>
          <w:lang w:val="id-ID"/>
        </w:rPr>
        <w:t>Kota</w:t>
      </w:r>
      <w:r w:rsidR="00A954D0">
        <w:rPr>
          <w:rFonts w:ascii="Bookman Old Style" w:hAnsi="Bookman Old Style"/>
          <w:lang w:val="id-ID"/>
        </w:rPr>
        <w:t xml:space="preserve"> </w:t>
      </w:r>
      <w:r w:rsidR="00770F22" w:rsidRPr="00467119">
        <w:rPr>
          <w:rFonts w:ascii="Bookman Old Style" w:hAnsi="Bookman Old Style"/>
          <w:lang w:val="id-ID"/>
        </w:rPr>
        <w:t>Tangerang</w:t>
      </w:r>
      <w:r w:rsidR="00A954D0">
        <w:rPr>
          <w:rFonts w:ascii="Bookman Old Style" w:hAnsi="Bookman Old Style"/>
          <w:lang w:val="id-ID"/>
        </w:rPr>
        <w:t xml:space="preserve"> </w:t>
      </w:r>
      <w:r w:rsidRPr="00467119">
        <w:rPr>
          <w:rFonts w:ascii="Bookman Old Style" w:hAnsi="Bookman Old Style"/>
          <w:lang w:val="id-ID"/>
        </w:rPr>
        <w:t>memiliki</w:t>
      </w:r>
      <w:r w:rsidR="00A954D0">
        <w:rPr>
          <w:rFonts w:ascii="Bookman Old Style" w:hAnsi="Bookman Old Style"/>
          <w:lang w:val="id-ID"/>
        </w:rPr>
        <w:t xml:space="preserve"> </w:t>
      </w:r>
      <w:r w:rsidRPr="00467119">
        <w:rPr>
          <w:rFonts w:ascii="Bookman Old Style" w:hAnsi="Bookman Old Style"/>
          <w:lang w:val="id-ID"/>
        </w:rPr>
        <w:t>tunggakan</w:t>
      </w:r>
      <w:r w:rsidR="00A954D0">
        <w:rPr>
          <w:rFonts w:ascii="Bookman Old Style" w:hAnsi="Bookman Old Style"/>
          <w:lang w:val="id-ID"/>
        </w:rPr>
        <w:t xml:space="preserve"> </w:t>
      </w:r>
      <w:r w:rsidRPr="00467119">
        <w:rPr>
          <w:rFonts w:ascii="Bookman Old Style" w:hAnsi="Bookman Old Style"/>
          <w:lang w:val="id-ID"/>
        </w:rPr>
        <w:t>atas</w:t>
      </w:r>
      <w:r w:rsidR="00A954D0">
        <w:rPr>
          <w:rFonts w:ascii="Bookman Old Style" w:hAnsi="Bookman Old Style"/>
          <w:lang w:val="id-ID"/>
        </w:rPr>
        <w:t xml:space="preserve"> </w:t>
      </w:r>
      <w:r w:rsidRPr="00467119">
        <w:rPr>
          <w:rFonts w:ascii="Bookman Old Style" w:hAnsi="Bookman Old Style"/>
          <w:lang w:val="id-ID"/>
        </w:rPr>
        <w:t>Iuran</w:t>
      </w:r>
      <w:r w:rsidR="00A954D0">
        <w:rPr>
          <w:rFonts w:ascii="Bookman Old Style" w:hAnsi="Bookman Old Style"/>
          <w:lang w:val="id-ID"/>
        </w:rPr>
        <w:t xml:space="preserve"> </w:t>
      </w:r>
      <w:r w:rsidRPr="00467119">
        <w:rPr>
          <w:rFonts w:ascii="Bookman Old Style" w:hAnsi="Bookman Old Style"/>
          <w:lang w:val="id-ID"/>
        </w:rPr>
        <w:t>Wajib</w:t>
      </w:r>
      <w:r w:rsidR="00A954D0">
        <w:rPr>
          <w:rFonts w:ascii="Bookman Old Style" w:hAnsi="Bookman Old Style"/>
          <w:lang w:val="id-ID"/>
        </w:rPr>
        <w:t xml:space="preserve"> </w:t>
      </w:r>
      <w:r w:rsidRPr="00467119">
        <w:rPr>
          <w:rFonts w:ascii="Bookman Old Style" w:hAnsi="Bookman Old Style"/>
          <w:lang w:val="id-ID"/>
        </w:rPr>
        <w:t>(IW)</w:t>
      </w:r>
      <w:r w:rsidR="00A954D0">
        <w:rPr>
          <w:rFonts w:ascii="Bookman Old Style" w:hAnsi="Bookman Old Style"/>
          <w:lang w:val="id-ID"/>
        </w:rPr>
        <w:t xml:space="preserve"> </w:t>
      </w:r>
      <w:r w:rsidRPr="00467119">
        <w:rPr>
          <w:rFonts w:ascii="Bookman Old Style" w:hAnsi="Bookman Old Style"/>
          <w:lang w:val="id-ID"/>
        </w:rPr>
        <w:t>bagi</w:t>
      </w:r>
      <w:r w:rsidR="00A954D0">
        <w:rPr>
          <w:rFonts w:ascii="Bookman Old Style" w:hAnsi="Bookman Old Style"/>
          <w:lang w:val="id-ID"/>
        </w:rPr>
        <w:t xml:space="preserve"> </w:t>
      </w:r>
      <w:r w:rsidRPr="00467119">
        <w:rPr>
          <w:rFonts w:ascii="Bookman Old Style" w:hAnsi="Bookman Old Style"/>
          <w:lang w:val="id-ID"/>
        </w:rPr>
        <w:t>Pekerja</w:t>
      </w:r>
      <w:r w:rsidR="00A954D0">
        <w:rPr>
          <w:rFonts w:ascii="Bookman Old Style" w:hAnsi="Bookman Old Style"/>
          <w:lang w:val="id-ID"/>
        </w:rPr>
        <w:t xml:space="preserve"> </w:t>
      </w:r>
      <w:r w:rsidRPr="00467119">
        <w:rPr>
          <w:rFonts w:ascii="Bookman Old Style" w:hAnsi="Bookman Old Style"/>
          <w:lang w:val="id-ID"/>
        </w:rPr>
        <w:t>Penerima</w:t>
      </w:r>
      <w:r w:rsidR="00A954D0">
        <w:rPr>
          <w:rFonts w:ascii="Bookman Old Style" w:hAnsi="Bookman Old Style"/>
          <w:lang w:val="id-ID"/>
        </w:rPr>
        <w:t xml:space="preserve"> </w:t>
      </w:r>
      <w:r w:rsidRPr="00467119">
        <w:rPr>
          <w:rFonts w:ascii="Bookman Old Style" w:hAnsi="Bookman Old Style"/>
          <w:lang w:val="id-ID"/>
        </w:rPr>
        <w:t>Upah</w:t>
      </w:r>
      <w:r w:rsidR="00A954D0">
        <w:rPr>
          <w:rFonts w:ascii="Bookman Old Style" w:hAnsi="Bookman Old Style"/>
          <w:lang w:val="id-ID"/>
        </w:rPr>
        <w:t xml:space="preserve"> </w:t>
      </w:r>
      <w:r w:rsidRPr="00467119">
        <w:rPr>
          <w:rFonts w:ascii="Bookman Old Style" w:hAnsi="Bookman Old Style"/>
          <w:lang w:val="id-ID"/>
        </w:rPr>
        <w:t>(PPU)</w:t>
      </w:r>
      <w:r w:rsidR="00A954D0">
        <w:rPr>
          <w:rFonts w:ascii="Bookman Old Style" w:hAnsi="Bookman Old Style"/>
          <w:lang w:val="id-ID"/>
        </w:rPr>
        <w:t xml:space="preserve"> </w:t>
      </w:r>
      <w:r w:rsidRPr="00467119">
        <w:rPr>
          <w:rFonts w:ascii="Bookman Old Style" w:hAnsi="Bookman Old Style"/>
          <w:lang w:val="id-ID"/>
        </w:rPr>
        <w:t>Pemerintah</w:t>
      </w:r>
      <w:r w:rsidR="00A954D0">
        <w:rPr>
          <w:rFonts w:ascii="Bookman Old Style" w:hAnsi="Bookman Old Style"/>
          <w:lang w:val="id-ID"/>
        </w:rPr>
        <w:t xml:space="preserve"> </w:t>
      </w:r>
      <w:r w:rsidRPr="00467119">
        <w:rPr>
          <w:rFonts w:ascii="Bookman Old Style" w:hAnsi="Bookman Old Style"/>
          <w:lang w:val="id-ID"/>
        </w:rPr>
        <w:t>Daerah,</w:t>
      </w:r>
      <w:r w:rsidR="00A954D0">
        <w:rPr>
          <w:rFonts w:ascii="Bookman Old Style" w:hAnsi="Bookman Old Style"/>
          <w:lang w:val="id-ID"/>
        </w:rPr>
        <w:t xml:space="preserve"> </w:t>
      </w:r>
      <w:r w:rsidRPr="00467119">
        <w:rPr>
          <w:rFonts w:ascii="Bookman Old Style" w:hAnsi="Bookman Old Style"/>
          <w:lang w:val="id-ID"/>
        </w:rPr>
        <w:t>iuran</w:t>
      </w:r>
      <w:r w:rsidR="00A954D0">
        <w:rPr>
          <w:rFonts w:ascii="Bookman Old Style" w:hAnsi="Bookman Old Style"/>
          <w:lang w:val="id-ID"/>
        </w:rPr>
        <w:t xml:space="preserve"> </w:t>
      </w:r>
      <w:r w:rsidRPr="00467119">
        <w:rPr>
          <w:rFonts w:ascii="Bookman Old Style" w:hAnsi="Bookman Old Style"/>
          <w:lang w:val="id-ID"/>
        </w:rPr>
        <w:t>Kepala</w:t>
      </w:r>
      <w:r w:rsidR="00A954D0">
        <w:rPr>
          <w:rFonts w:ascii="Bookman Old Style" w:hAnsi="Bookman Old Style"/>
          <w:lang w:val="id-ID"/>
        </w:rPr>
        <w:t xml:space="preserve"> </w:t>
      </w:r>
      <w:r w:rsidRPr="00467119">
        <w:rPr>
          <w:rFonts w:ascii="Bookman Old Style" w:hAnsi="Bookman Old Style"/>
          <w:lang w:val="id-ID"/>
        </w:rPr>
        <w:t>Desa</w:t>
      </w:r>
      <w:r w:rsidR="00A954D0">
        <w:rPr>
          <w:rFonts w:ascii="Bookman Old Style" w:hAnsi="Bookman Old Style"/>
          <w:lang w:val="id-ID"/>
        </w:rPr>
        <w:t xml:space="preserve"> </w:t>
      </w:r>
      <w:r w:rsidRPr="00467119">
        <w:rPr>
          <w:rFonts w:ascii="Bookman Old Style" w:hAnsi="Bookman Old Style"/>
          <w:lang w:val="id-ID"/>
        </w:rPr>
        <w:t>dan</w:t>
      </w:r>
      <w:r w:rsidR="00A954D0">
        <w:rPr>
          <w:rFonts w:ascii="Bookman Old Style" w:hAnsi="Bookman Old Style"/>
          <w:lang w:val="id-ID"/>
        </w:rPr>
        <w:t xml:space="preserve"> </w:t>
      </w:r>
      <w:r w:rsidRPr="00467119">
        <w:rPr>
          <w:rFonts w:ascii="Bookman Old Style" w:hAnsi="Bookman Old Style"/>
          <w:lang w:val="id-ID"/>
        </w:rPr>
        <w:t>Perangkat</w:t>
      </w:r>
      <w:r w:rsidR="00A954D0">
        <w:rPr>
          <w:rFonts w:ascii="Bookman Old Style" w:hAnsi="Bookman Old Style"/>
          <w:lang w:val="id-ID"/>
        </w:rPr>
        <w:t xml:space="preserve"> </w:t>
      </w:r>
      <w:r w:rsidRPr="00467119">
        <w:rPr>
          <w:rFonts w:ascii="Bookman Old Style" w:hAnsi="Bookman Old Style"/>
          <w:lang w:val="id-ID"/>
        </w:rPr>
        <w:t>Desa</w:t>
      </w:r>
      <w:r w:rsidR="00A954D0">
        <w:rPr>
          <w:rFonts w:ascii="Bookman Old Style" w:hAnsi="Bookman Old Style"/>
          <w:lang w:val="id-ID"/>
        </w:rPr>
        <w:t xml:space="preserve"> </w:t>
      </w:r>
      <w:r w:rsidRPr="00467119">
        <w:rPr>
          <w:rFonts w:ascii="Bookman Old Style" w:hAnsi="Bookman Old Style"/>
          <w:lang w:val="id-ID"/>
        </w:rPr>
        <w:t>(KP</w:t>
      </w:r>
      <w:r w:rsidR="00A954D0">
        <w:rPr>
          <w:rFonts w:ascii="Bookman Old Style" w:hAnsi="Bookman Old Style"/>
          <w:lang w:val="id-ID"/>
        </w:rPr>
        <w:t xml:space="preserve"> </w:t>
      </w:r>
      <w:r w:rsidRPr="00467119">
        <w:rPr>
          <w:rFonts w:ascii="Bookman Old Style" w:hAnsi="Bookman Old Style"/>
          <w:lang w:val="id-ID"/>
        </w:rPr>
        <w:t>Desa),</w:t>
      </w:r>
      <w:r w:rsidR="00A954D0">
        <w:rPr>
          <w:rFonts w:ascii="Bookman Old Style" w:hAnsi="Bookman Old Style"/>
          <w:lang w:val="id-ID"/>
        </w:rPr>
        <w:t xml:space="preserve"> </w:t>
      </w:r>
      <w:r w:rsidRPr="00467119">
        <w:rPr>
          <w:rFonts w:ascii="Bookman Old Style" w:hAnsi="Bookman Old Style"/>
          <w:lang w:val="id-ID"/>
        </w:rPr>
        <w:t>kontribusi</w:t>
      </w:r>
      <w:r w:rsidR="00A954D0">
        <w:rPr>
          <w:rFonts w:ascii="Bookman Old Style" w:hAnsi="Bookman Old Style"/>
          <w:lang w:val="id-ID"/>
        </w:rPr>
        <w:t xml:space="preserve"> </w:t>
      </w:r>
      <w:r w:rsidRPr="00467119">
        <w:rPr>
          <w:rFonts w:ascii="Bookman Old Style" w:hAnsi="Bookman Old Style"/>
          <w:lang w:val="id-ID"/>
        </w:rPr>
        <w:t>iuran</w:t>
      </w:r>
      <w:r w:rsidR="00A954D0">
        <w:rPr>
          <w:rFonts w:ascii="Bookman Old Style" w:hAnsi="Bookman Old Style"/>
          <w:lang w:val="id-ID"/>
        </w:rPr>
        <w:t xml:space="preserve"> </w:t>
      </w:r>
      <w:r w:rsidRPr="00467119">
        <w:rPr>
          <w:rFonts w:ascii="Bookman Old Style" w:hAnsi="Bookman Old Style"/>
          <w:lang w:val="id-ID"/>
        </w:rPr>
        <w:t>bagi</w:t>
      </w:r>
      <w:r w:rsidR="00A954D0">
        <w:rPr>
          <w:rFonts w:ascii="Bookman Old Style" w:hAnsi="Bookman Old Style"/>
          <w:lang w:val="id-ID"/>
        </w:rPr>
        <w:t xml:space="preserve"> </w:t>
      </w:r>
      <w:r w:rsidRPr="00467119">
        <w:rPr>
          <w:rFonts w:ascii="Bookman Old Style" w:hAnsi="Bookman Old Style"/>
          <w:lang w:val="id-ID"/>
        </w:rPr>
        <w:t>peserta</w:t>
      </w:r>
      <w:r w:rsidR="00A954D0">
        <w:rPr>
          <w:rFonts w:ascii="Bookman Old Style" w:hAnsi="Bookman Old Style"/>
          <w:lang w:val="id-ID"/>
        </w:rPr>
        <w:t xml:space="preserve"> </w:t>
      </w:r>
      <w:r w:rsidRPr="00467119">
        <w:rPr>
          <w:rFonts w:ascii="Bookman Old Style" w:hAnsi="Bookman Old Style"/>
          <w:lang w:val="id-ID"/>
        </w:rPr>
        <w:t>PBI,</w:t>
      </w:r>
      <w:r w:rsidR="00A954D0">
        <w:rPr>
          <w:rFonts w:ascii="Bookman Old Style" w:hAnsi="Bookman Old Style"/>
          <w:lang w:val="id-ID"/>
        </w:rPr>
        <w:t xml:space="preserve"> </w:t>
      </w:r>
      <w:r w:rsidRPr="00467119">
        <w:rPr>
          <w:rFonts w:ascii="Bookman Old Style" w:hAnsi="Bookman Old Style"/>
          <w:lang w:val="id-ID"/>
        </w:rPr>
        <w:t>iuran</w:t>
      </w:r>
      <w:r w:rsidR="00A954D0">
        <w:rPr>
          <w:rFonts w:ascii="Bookman Old Style" w:hAnsi="Bookman Old Style"/>
          <w:lang w:val="id-ID"/>
        </w:rPr>
        <w:t xml:space="preserve"> </w:t>
      </w:r>
      <w:r w:rsidRPr="00467119">
        <w:rPr>
          <w:rFonts w:ascii="Bookman Old Style" w:hAnsi="Bookman Old Style"/>
          <w:lang w:val="id-ID"/>
        </w:rPr>
        <w:t>PBPU</w:t>
      </w:r>
      <w:r w:rsidR="00A954D0">
        <w:rPr>
          <w:rFonts w:ascii="Bookman Old Style" w:hAnsi="Bookman Old Style"/>
          <w:lang w:val="id-ID"/>
        </w:rPr>
        <w:t xml:space="preserve"> </w:t>
      </w:r>
      <w:r w:rsidRPr="00467119">
        <w:rPr>
          <w:rFonts w:ascii="Bookman Old Style" w:hAnsi="Bookman Old Style"/>
          <w:lang w:val="id-ID"/>
        </w:rPr>
        <w:t>Pemerintah</w:t>
      </w:r>
      <w:r w:rsidR="00A954D0">
        <w:rPr>
          <w:rFonts w:ascii="Bookman Old Style" w:hAnsi="Bookman Old Style"/>
          <w:lang w:val="id-ID"/>
        </w:rPr>
        <w:t xml:space="preserve"> </w:t>
      </w:r>
      <w:r w:rsidRPr="00467119">
        <w:rPr>
          <w:rFonts w:ascii="Bookman Old Style" w:hAnsi="Bookman Old Style"/>
          <w:lang w:val="id-ID"/>
        </w:rPr>
        <w:t>Daerah,</w:t>
      </w:r>
      <w:r w:rsidR="00A954D0">
        <w:rPr>
          <w:rFonts w:ascii="Bookman Old Style" w:hAnsi="Bookman Old Style"/>
          <w:lang w:val="id-ID"/>
        </w:rPr>
        <w:t xml:space="preserve"> </w:t>
      </w:r>
      <w:r w:rsidRPr="00467119">
        <w:rPr>
          <w:rFonts w:ascii="Bookman Old Style" w:hAnsi="Bookman Old Style"/>
          <w:lang w:val="id-ID"/>
        </w:rPr>
        <w:t>bantuan</w:t>
      </w:r>
      <w:r w:rsidR="00A954D0">
        <w:rPr>
          <w:rFonts w:ascii="Bookman Old Style" w:hAnsi="Bookman Old Style"/>
          <w:lang w:val="id-ID"/>
        </w:rPr>
        <w:t xml:space="preserve"> </w:t>
      </w:r>
      <w:r w:rsidRPr="00467119">
        <w:rPr>
          <w:rFonts w:ascii="Bookman Old Style" w:hAnsi="Bookman Old Style"/>
          <w:lang w:val="id-ID"/>
        </w:rPr>
        <w:t>iuran</w:t>
      </w:r>
      <w:r w:rsidR="00A954D0">
        <w:rPr>
          <w:rFonts w:ascii="Bookman Old Style" w:hAnsi="Bookman Old Style"/>
          <w:lang w:val="id-ID"/>
        </w:rPr>
        <w:t xml:space="preserve"> </w:t>
      </w:r>
      <w:r w:rsidRPr="00467119">
        <w:rPr>
          <w:rFonts w:ascii="Bookman Old Style" w:hAnsi="Bookman Old Style"/>
          <w:lang w:val="id-ID"/>
        </w:rPr>
        <w:t>PBPU/BP</w:t>
      </w:r>
      <w:r w:rsidR="00A954D0">
        <w:rPr>
          <w:rFonts w:ascii="Bookman Old Style" w:hAnsi="Bookman Old Style"/>
          <w:lang w:val="id-ID"/>
        </w:rPr>
        <w:t xml:space="preserve"> </w:t>
      </w:r>
      <w:r w:rsidRPr="00467119">
        <w:rPr>
          <w:rFonts w:ascii="Bookman Old Style" w:hAnsi="Bookman Old Style"/>
          <w:lang w:val="id-ID"/>
        </w:rPr>
        <w:t>dan</w:t>
      </w:r>
      <w:r w:rsidR="00A954D0">
        <w:rPr>
          <w:rFonts w:ascii="Bookman Old Style" w:hAnsi="Bookman Old Style"/>
          <w:lang w:val="id-ID"/>
        </w:rPr>
        <w:t xml:space="preserve"> </w:t>
      </w:r>
      <w:r w:rsidRPr="00467119">
        <w:rPr>
          <w:rFonts w:ascii="Bookman Old Style" w:hAnsi="Bookman Old Style"/>
          <w:lang w:val="id-ID"/>
        </w:rPr>
        <w:t>iuran</w:t>
      </w:r>
      <w:r w:rsidR="00A954D0">
        <w:rPr>
          <w:rFonts w:ascii="Bookman Old Style" w:hAnsi="Bookman Old Style"/>
          <w:lang w:val="id-ID"/>
        </w:rPr>
        <w:t xml:space="preserve"> </w:t>
      </w:r>
      <w:r w:rsidRPr="00467119">
        <w:rPr>
          <w:rFonts w:ascii="Bookman Old Style" w:hAnsi="Bookman Old Style"/>
          <w:lang w:val="id-ID"/>
        </w:rPr>
        <w:t>dan</w:t>
      </w:r>
      <w:r w:rsidR="00A954D0">
        <w:rPr>
          <w:rFonts w:ascii="Bookman Old Style" w:hAnsi="Bookman Old Style"/>
          <w:lang w:val="id-ID"/>
        </w:rPr>
        <w:t xml:space="preserve"> </w:t>
      </w:r>
      <w:r w:rsidRPr="00467119">
        <w:rPr>
          <w:rFonts w:ascii="Bookman Old Style" w:hAnsi="Bookman Old Style"/>
          <w:lang w:val="id-ID"/>
        </w:rPr>
        <w:t>bantuan</w:t>
      </w:r>
      <w:r w:rsidR="00A954D0">
        <w:rPr>
          <w:rFonts w:ascii="Bookman Old Style" w:hAnsi="Bookman Old Style"/>
          <w:lang w:val="id-ID"/>
        </w:rPr>
        <w:t xml:space="preserve"> </w:t>
      </w:r>
      <w:r w:rsidRPr="00467119">
        <w:rPr>
          <w:rFonts w:ascii="Bookman Old Style" w:hAnsi="Bookman Old Style"/>
          <w:lang w:val="id-ID"/>
        </w:rPr>
        <w:t>iuran</w:t>
      </w:r>
      <w:r w:rsidR="00A954D0">
        <w:rPr>
          <w:rFonts w:ascii="Bookman Old Style" w:hAnsi="Bookman Old Style"/>
          <w:lang w:val="id-ID"/>
        </w:rPr>
        <w:t xml:space="preserve"> </w:t>
      </w:r>
      <w:r w:rsidRPr="00467119">
        <w:rPr>
          <w:rFonts w:ascii="Bookman Old Style" w:hAnsi="Bookman Old Style"/>
          <w:lang w:val="id-ID"/>
        </w:rPr>
        <w:t>PBPU</w:t>
      </w:r>
      <w:r w:rsidR="00A954D0">
        <w:rPr>
          <w:rFonts w:ascii="Bookman Old Style" w:hAnsi="Bookman Old Style"/>
          <w:lang w:val="id-ID"/>
        </w:rPr>
        <w:t xml:space="preserve"> </w:t>
      </w:r>
      <w:r w:rsidRPr="00467119">
        <w:rPr>
          <w:rFonts w:ascii="Bookman Old Style" w:hAnsi="Bookman Old Style"/>
          <w:lang w:val="id-ID"/>
        </w:rPr>
        <w:t>mandiri</w:t>
      </w:r>
      <w:r w:rsidR="00A954D0">
        <w:rPr>
          <w:rFonts w:ascii="Bookman Old Style" w:hAnsi="Bookman Old Style"/>
          <w:lang w:val="id-ID"/>
        </w:rPr>
        <w:t xml:space="preserve"> </w:t>
      </w:r>
      <w:r w:rsidRPr="00467119">
        <w:rPr>
          <w:rFonts w:ascii="Bookman Old Style" w:hAnsi="Bookman Old Style"/>
          <w:lang w:val="id-ID"/>
        </w:rPr>
        <w:t>tahun</w:t>
      </w:r>
      <w:r w:rsidR="00A954D0">
        <w:rPr>
          <w:rFonts w:ascii="Bookman Old Style" w:hAnsi="Bookman Old Style"/>
          <w:lang w:val="id-ID"/>
        </w:rPr>
        <w:t xml:space="preserve"> </w:t>
      </w:r>
      <w:r w:rsidRPr="00467119">
        <w:rPr>
          <w:rFonts w:ascii="Bookman Old Style" w:hAnsi="Bookman Old Style"/>
          <w:lang w:val="id-ID"/>
        </w:rPr>
        <w:t>anggaran</w:t>
      </w:r>
      <w:r w:rsidR="00A954D0">
        <w:rPr>
          <w:rFonts w:ascii="Bookman Old Style" w:hAnsi="Bookman Old Style"/>
          <w:lang w:val="id-ID"/>
        </w:rPr>
        <w:t xml:space="preserve"> </w:t>
      </w:r>
      <w:r w:rsidRPr="00467119">
        <w:rPr>
          <w:rFonts w:ascii="Bookman Old Style" w:hAnsi="Bookman Old Style"/>
          <w:lang w:val="id-ID"/>
        </w:rPr>
        <w:t>sebelumnya,</w:t>
      </w:r>
      <w:r w:rsidR="00A954D0">
        <w:rPr>
          <w:rFonts w:ascii="Bookman Old Style" w:hAnsi="Bookman Old Style"/>
          <w:lang w:val="id-ID"/>
        </w:rPr>
        <w:t xml:space="preserve"> </w:t>
      </w:r>
      <w:r w:rsidRPr="00467119">
        <w:rPr>
          <w:rFonts w:ascii="Bookman Old Style" w:hAnsi="Bookman Old Style"/>
          <w:lang w:val="id-ID"/>
        </w:rPr>
        <w:t>maka</w:t>
      </w:r>
      <w:r w:rsidR="00A954D0">
        <w:rPr>
          <w:rFonts w:ascii="Bookman Old Style" w:hAnsi="Bookman Old Style"/>
          <w:lang w:val="id-ID"/>
        </w:rPr>
        <w:t xml:space="preserve"> </w:t>
      </w:r>
      <w:r w:rsidRPr="00467119">
        <w:rPr>
          <w:rFonts w:ascii="Bookman Old Style" w:hAnsi="Bookman Old Style"/>
          <w:lang w:val="id-ID"/>
        </w:rPr>
        <w:t>Pemerintah</w:t>
      </w:r>
      <w:r w:rsidR="00A954D0">
        <w:rPr>
          <w:rFonts w:ascii="Bookman Old Style" w:hAnsi="Bookman Old Style"/>
          <w:lang w:val="id-ID"/>
        </w:rPr>
        <w:t xml:space="preserve"> </w:t>
      </w:r>
      <w:r w:rsidRPr="00467119">
        <w:rPr>
          <w:rFonts w:ascii="Bookman Old Style" w:hAnsi="Bookman Old Style"/>
          <w:lang w:val="id-ID"/>
        </w:rPr>
        <w:t>Daerah</w:t>
      </w:r>
      <w:r w:rsidR="00A954D0">
        <w:rPr>
          <w:rFonts w:ascii="Bookman Old Style" w:hAnsi="Bookman Old Style"/>
          <w:lang w:val="id-ID"/>
        </w:rPr>
        <w:t xml:space="preserve"> </w:t>
      </w:r>
      <w:r w:rsidR="00046408" w:rsidRPr="00467119">
        <w:rPr>
          <w:rFonts w:ascii="Bookman Old Style" w:hAnsi="Bookman Old Style"/>
          <w:lang w:val="id-ID"/>
        </w:rPr>
        <w:t>Kota</w:t>
      </w:r>
      <w:r w:rsidR="00A954D0">
        <w:rPr>
          <w:rFonts w:ascii="Bookman Old Style" w:hAnsi="Bookman Old Style"/>
          <w:lang w:val="id-ID"/>
        </w:rPr>
        <w:t xml:space="preserve"> </w:t>
      </w:r>
      <w:r w:rsidR="00770F22" w:rsidRPr="00467119">
        <w:rPr>
          <w:rFonts w:ascii="Bookman Old Style" w:hAnsi="Bookman Old Style"/>
          <w:lang w:val="id-ID"/>
        </w:rPr>
        <w:t>Tangerang</w:t>
      </w:r>
      <w:r w:rsidR="00A954D0">
        <w:rPr>
          <w:rFonts w:ascii="Bookman Old Style" w:hAnsi="Bookman Old Style"/>
          <w:lang w:val="id-ID"/>
        </w:rPr>
        <w:t xml:space="preserve"> </w:t>
      </w:r>
      <w:r w:rsidRPr="00467119">
        <w:rPr>
          <w:rFonts w:ascii="Bookman Old Style" w:hAnsi="Bookman Old Style"/>
          <w:lang w:val="id-ID"/>
        </w:rPr>
        <w:t>untuk</w:t>
      </w:r>
      <w:r w:rsidR="00A954D0">
        <w:rPr>
          <w:rFonts w:ascii="Bookman Old Style" w:hAnsi="Bookman Old Style"/>
          <w:lang w:val="id-ID"/>
        </w:rPr>
        <w:t xml:space="preserve"> </w:t>
      </w:r>
      <w:r w:rsidRPr="00467119">
        <w:rPr>
          <w:rFonts w:ascii="Bookman Old Style" w:hAnsi="Bookman Old Style"/>
          <w:lang w:val="id-ID"/>
        </w:rPr>
        <w:t>menganggarkan</w:t>
      </w:r>
      <w:r w:rsidR="00A954D0">
        <w:rPr>
          <w:rFonts w:ascii="Bookman Old Style" w:hAnsi="Bookman Old Style"/>
          <w:lang w:val="id-ID"/>
        </w:rPr>
        <w:t xml:space="preserve"> </w:t>
      </w:r>
      <w:r w:rsidRPr="00467119">
        <w:rPr>
          <w:rFonts w:ascii="Bookman Old Style" w:hAnsi="Bookman Old Style"/>
          <w:lang w:val="id-ID"/>
        </w:rPr>
        <w:t>kewajiban</w:t>
      </w:r>
      <w:r w:rsidR="00A954D0">
        <w:rPr>
          <w:rFonts w:ascii="Bookman Old Style" w:hAnsi="Bookman Old Style"/>
          <w:lang w:val="id-ID"/>
        </w:rPr>
        <w:t xml:space="preserve"> </w:t>
      </w:r>
      <w:r w:rsidRPr="00467119">
        <w:rPr>
          <w:rFonts w:ascii="Bookman Old Style" w:hAnsi="Bookman Old Style"/>
          <w:lang w:val="id-ID"/>
        </w:rPr>
        <w:t>tunggakan</w:t>
      </w:r>
      <w:r w:rsidR="00A954D0">
        <w:rPr>
          <w:rFonts w:ascii="Bookman Old Style" w:hAnsi="Bookman Old Style"/>
          <w:lang w:val="id-ID"/>
        </w:rPr>
        <w:t xml:space="preserve"> </w:t>
      </w:r>
      <w:r w:rsidRPr="00467119">
        <w:rPr>
          <w:rFonts w:ascii="Bookman Old Style" w:hAnsi="Bookman Old Style"/>
          <w:lang w:val="id-ID"/>
        </w:rPr>
        <w:t>atas</w:t>
      </w:r>
      <w:r w:rsidR="00A954D0">
        <w:rPr>
          <w:rFonts w:ascii="Bookman Old Style" w:hAnsi="Bookman Old Style"/>
          <w:lang w:val="id-ID"/>
        </w:rPr>
        <w:t xml:space="preserve"> </w:t>
      </w:r>
      <w:r w:rsidRPr="00467119">
        <w:rPr>
          <w:rFonts w:ascii="Bookman Old Style" w:hAnsi="Bookman Old Style"/>
          <w:lang w:val="id-ID"/>
        </w:rPr>
        <w:t>IW</w:t>
      </w:r>
      <w:r w:rsidR="00A954D0">
        <w:rPr>
          <w:rFonts w:ascii="Bookman Old Style" w:hAnsi="Bookman Old Style"/>
          <w:lang w:val="id-ID"/>
        </w:rPr>
        <w:t xml:space="preserve"> </w:t>
      </w:r>
      <w:r w:rsidRPr="00467119">
        <w:rPr>
          <w:rFonts w:ascii="Bookman Old Style" w:hAnsi="Bookman Old Style"/>
          <w:lang w:val="id-ID"/>
        </w:rPr>
        <w:t>bagi</w:t>
      </w:r>
      <w:r w:rsidR="00A954D0">
        <w:rPr>
          <w:rFonts w:ascii="Bookman Old Style" w:hAnsi="Bookman Old Style"/>
          <w:lang w:val="id-ID"/>
        </w:rPr>
        <w:t xml:space="preserve"> </w:t>
      </w:r>
      <w:r w:rsidRPr="00467119">
        <w:rPr>
          <w:rFonts w:ascii="Bookman Old Style" w:hAnsi="Bookman Old Style"/>
          <w:lang w:val="id-ID"/>
        </w:rPr>
        <w:t>PPU</w:t>
      </w:r>
      <w:r w:rsidR="00A954D0">
        <w:rPr>
          <w:rFonts w:ascii="Bookman Old Style" w:hAnsi="Bookman Old Style"/>
          <w:lang w:val="id-ID"/>
        </w:rPr>
        <w:t xml:space="preserve"> </w:t>
      </w:r>
      <w:r w:rsidRPr="00467119">
        <w:rPr>
          <w:rFonts w:ascii="Bookman Old Style" w:hAnsi="Bookman Old Style"/>
          <w:lang w:val="id-ID"/>
        </w:rPr>
        <w:t>Pemerintah</w:t>
      </w:r>
      <w:r w:rsidR="00A954D0">
        <w:rPr>
          <w:rFonts w:ascii="Bookman Old Style" w:hAnsi="Bookman Old Style"/>
          <w:lang w:val="id-ID"/>
        </w:rPr>
        <w:t xml:space="preserve"> </w:t>
      </w:r>
      <w:r w:rsidRPr="00467119">
        <w:rPr>
          <w:rFonts w:ascii="Bookman Old Style" w:hAnsi="Bookman Old Style"/>
          <w:lang w:val="id-ID"/>
        </w:rPr>
        <w:t>Daerah,</w:t>
      </w:r>
      <w:r w:rsidR="00A954D0">
        <w:rPr>
          <w:rFonts w:ascii="Bookman Old Style" w:hAnsi="Bookman Old Style"/>
          <w:lang w:val="id-ID"/>
        </w:rPr>
        <w:t xml:space="preserve"> </w:t>
      </w:r>
      <w:r w:rsidRPr="00467119">
        <w:rPr>
          <w:rFonts w:ascii="Bookman Old Style" w:hAnsi="Bookman Old Style"/>
          <w:lang w:val="id-ID"/>
        </w:rPr>
        <w:t>iuran</w:t>
      </w:r>
      <w:r w:rsidR="00A954D0">
        <w:rPr>
          <w:rFonts w:ascii="Bookman Old Style" w:hAnsi="Bookman Old Style"/>
          <w:lang w:val="id-ID"/>
        </w:rPr>
        <w:t xml:space="preserve"> </w:t>
      </w:r>
      <w:r w:rsidRPr="00467119">
        <w:rPr>
          <w:rFonts w:ascii="Bookman Old Style" w:hAnsi="Bookman Old Style"/>
          <w:lang w:val="id-ID"/>
        </w:rPr>
        <w:t>KP</w:t>
      </w:r>
      <w:r w:rsidR="00A954D0">
        <w:rPr>
          <w:rFonts w:ascii="Bookman Old Style" w:hAnsi="Bookman Old Style"/>
          <w:lang w:val="id-ID"/>
        </w:rPr>
        <w:t xml:space="preserve"> </w:t>
      </w:r>
      <w:r w:rsidRPr="00467119">
        <w:rPr>
          <w:rFonts w:ascii="Bookman Old Style" w:hAnsi="Bookman Old Style"/>
          <w:lang w:val="id-ID"/>
        </w:rPr>
        <w:t>Desa,</w:t>
      </w:r>
      <w:r w:rsidR="00A954D0">
        <w:rPr>
          <w:rFonts w:ascii="Bookman Old Style" w:hAnsi="Bookman Old Style"/>
          <w:lang w:val="id-ID"/>
        </w:rPr>
        <w:t xml:space="preserve"> </w:t>
      </w:r>
      <w:r w:rsidRPr="00467119">
        <w:rPr>
          <w:rFonts w:ascii="Bookman Old Style" w:hAnsi="Bookman Old Style"/>
          <w:lang w:val="id-ID"/>
        </w:rPr>
        <w:t>kontribusi</w:t>
      </w:r>
      <w:r w:rsidR="00A954D0">
        <w:rPr>
          <w:rFonts w:ascii="Bookman Old Style" w:hAnsi="Bookman Old Style"/>
          <w:lang w:val="id-ID"/>
        </w:rPr>
        <w:t xml:space="preserve"> </w:t>
      </w:r>
      <w:r w:rsidRPr="00467119">
        <w:rPr>
          <w:rFonts w:ascii="Bookman Old Style" w:hAnsi="Bookman Old Style"/>
          <w:lang w:val="id-ID"/>
        </w:rPr>
        <w:t>iuran</w:t>
      </w:r>
      <w:r w:rsidR="00A954D0">
        <w:rPr>
          <w:rFonts w:ascii="Bookman Old Style" w:hAnsi="Bookman Old Style"/>
          <w:lang w:val="id-ID"/>
        </w:rPr>
        <w:t xml:space="preserve"> </w:t>
      </w:r>
      <w:r w:rsidRPr="00467119">
        <w:rPr>
          <w:rFonts w:ascii="Bookman Old Style" w:hAnsi="Bookman Old Style"/>
          <w:lang w:val="id-ID"/>
        </w:rPr>
        <w:t>bagi</w:t>
      </w:r>
      <w:r w:rsidR="00A954D0">
        <w:rPr>
          <w:rFonts w:ascii="Bookman Old Style" w:hAnsi="Bookman Old Style"/>
          <w:lang w:val="id-ID"/>
        </w:rPr>
        <w:t xml:space="preserve"> </w:t>
      </w:r>
      <w:r w:rsidRPr="00467119">
        <w:rPr>
          <w:rFonts w:ascii="Bookman Old Style" w:hAnsi="Bookman Old Style"/>
          <w:lang w:val="id-ID"/>
        </w:rPr>
        <w:t>peserta</w:t>
      </w:r>
      <w:r w:rsidR="00A954D0">
        <w:rPr>
          <w:rFonts w:ascii="Bookman Old Style" w:hAnsi="Bookman Old Style"/>
          <w:lang w:val="id-ID"/>
        </w:rPr>
        <w:t xml:space="preserve"> </w:t>
      </w:r>
      <w:r w:rsidRPr="00467119">
        <w:rPr>
          <w:rFonts w:ascii="Bookman Old Style" w:hAnsi="Bookman Old Style"/>
          <w:lang w:val="id-ID"/>
        </w:rPr>
        <w:t>PBI,</w:t>
      </w:r>
      <w:r w:rsidR="00A954D0">
        <w:rPr>
          <w:rFonts w:ascii="Bookman Old Style" w:hAnsi="Bookman Old Style"/>
          <w:lang w:val="id-ID"/>
        </w:rPr>
        <w:t xml:space="preserve"> </w:t>
      </w:r>
      <w:r w:rsidRPr="00467119">
        <w:rPr>
          <w:rFonts w:ascii="Bookman Old Style" w:hAnsi="Bookman Old Style"/>
          <w:lang w:val="id-ID"/>
        </w:rPr>
        <w:t>iuran</w:t>
      </w:r>
      <w:r w:rsidR="00A954D0">
        <w:rPr>
          <w:rFonts w:ascii="Bookman Old Style" w:hAnsi="Bookman Old Style"/>
          <w:lang w:val="id-ID"/>
        </w:rPr>
        <w:t xml:space="preserve"> </w:t>
      </w:r>
      <w:r w:rsidRPr="00467119">
        <w:rPr>
          <w:rFonts w:ascii="Bookman Old Style" w:hAnsi="Bookman Old Style"/>
          <w:lang w:val="id-ID"/>
        </w:rPr>
        <w:t>PBPU</w:t>
      </w:r>
      <w:r w:rsidR="00A954D0">
        <w:rPr>
          <w:rFonts w:ascii="Bookman Old Style" w:hAnsi="Bookman Old Style"/>
          <w:lang w:val="id-ID"/>
        </w:rPr>
        <w:t xml:space="preserve"> </w:t>
      </w:r>
      <w:r w:rsidRPr="00467119">
        <w:rPr>
          <w:rFonts w:ascii="Bookman Old Style" w:hAnsi="Bookman Old Style"/>
          <w:lang w:val="id-ID"/>
        </w:rPr>
        <w:t>Pemerintah</w:t>
      </w:r>
      <w:r w:rsidR="00A954D0">
        <w:rPr>
          <w:rFonts w:ascii="Bookman Old Style" w:hAnsi="Bookman Old Style"/>
          <w:lang w:val="id-ID"/>
        </w:rPr>
        <w:t xml:space="preserve"> </w:t>
      </w:r>
      <w:r w:rsidRPr="00467119">
        <w:rPr>
          <w:rFonts w:ascii="Bookman Old Style" w:hAnsi="Bookman Old Style"/>
          <w:lang w:val="id-ID"/>
        </w:rPr>
        <w:t>Daerah,</w:t>
      </w:r>
      <w:r w:rsidR="00A954D0">
        <w:rPr>
          <w:rFonts w:ascii="Bookman Old Style" w:hAnsi="Bookman Old Style"/>
          <w:lang w:val="id-ID"/>
        </w:rPr>
        <w:t xml:space="preserve"> </w:t>
      </w:r>
      <w:r w:rsidRPr="00467119">
        <w:rPr>
          <w:rFonts w:ascii="Bookman Old Style" w:hAnsi="Bookman Old Style"/>
          <w:lang w:val="id-ID"/>
        </w:rPr>
        <w:t>bantuan</w:t>
      </w:r>
      <w:r w:rsidR="00A954D0">
        <w:rPr>
          <w:rFonts w:ascii="Bookman Old Style" w:hAnsi="Bookman Old Style"/>
          <w:lang w:val="id-ID"/>
        </w:rPr>
        <w:t xml:space="preserve"> </w:t>
      </w:r>
      <w:r w:rsidRPr="00467119">
        <w:rPr>
          <w:rFonts w:ascii="Bookman Old Style" w:hAnsi="Bookman Old Style"/>
          <w:lang w:val="id-ID"/>
        </w:rPr>
        <w:t>iuran</w:t>
      </w:r>
      <w:r w:rsidR="00A954D0">
        <w:rPr>
          <w:rFonts w:ascii="Bookman Old Style" w:hAnsi="Bookman Old Style"/>
          <w:lang w:val="id-ID"/>
        </w:rPr>
        <w:t xml:space="preserve"> </w:t>
      </w:r>
      <w:r w:rsidRPr="00467119">
        <w:rPr>
          <w:rFonts w:ascii="Bookman Old Style" w:hAnsi="Bookman Old Style"/>
          <w:lang w:val="id-ID"/>
        </w:rPr>
        <w:t>PBPU/BP</w:t>
      </w:r>
      <w:r w:rsidR="00A954D0">
        <w:rPr>
          <w:rFonts w:ascii="Bookman Old Style" w:hAnsi="Bookman Old Style"/>
          <w:lang w:val="id-ID"/>
        </w:rPr>
        <w:t xml:space="preserve"> </w:t>
      </w:r>
      <w:r w:rsidRPr="00467119">
        <w:rPr>
          <w:rFonts w:ascii="Bookman Old Style" w:hAnsi="Bookman Old Style"/>
          <w:lang w:val="id-ID"/>
        </w:rPr>
        <w:t>dan</w:t>
      </w:r>
      <w:r w:rsidR="00A954D0">
        <w:rPr>
          <w:rFonts w:ascii="Bookman Old Style" w:hAnsi="Bookman Old Style"/>
          <w:lang w:val="id-ID"/>
        </w:rPr>
        <w:t xml:space="preserve"> </w:t>
      </w:r>
      <w:r w:rsidRPr="00467119">
        <w:rPr>
          <w:rFonts w:ascii="Bookman Old Style" w:hAnsi="Bookman Old Style"/>
          <w:lang w:val="id-ID"/>
        </w:rPr>
        <w:t>iuran</w:t>
      </w:r>
      <w:r w:rsidR="00A954D0">
        <w:rPr>
          <w:rFonts w:ascii="Bookman Old Style" w:hAnsi="Bookman Old Style"/>
          <w:lang w:val="id-ID"/>
        </w:rPr>
        <w:t xml:space="preserve"> </w:t>
      </w:r>
      <w:r w:rsidRPr="00467119">
        <w:rPr>
          <w:rFonts w:ascii="Bookman Old Style" w:hAnsi="Bookman Old Style"/>
          <w:lang w:val="id-ID"/>
        </w:rPr>
        <w:t>dan</w:t>
      </w:r>
      <w:r w:rsidR="00A954D0">
        <w:rPr>
          <w:rFonts w:ascii="Bookman Old Style" w:hAnsi="Bookman Old Style"/>
          <w:lang w:val="id-ID"/>
        </w:rPr>
        <w:t xml:space="preserve"> </w:t>
      </w:r>
      <w:r w:rsidRPr="00467119">
        <w:rPr>
          <w:rFonts w:ascii="Bookman Old Style" w:hAnsi="Bookman Old Style"/>
          <w:lang w:val="id-ID"/>
        </w:rPr>
        <w:t>bantuan</w:t>
      </w:r>
      <w:r w:rsidR="00A954D0">
        <w:rPr>
          <w:rFonts w:ascii="Bookman Old Style" w:hAnsi="Bookman Old Style"/>
          <w:lang w:val="id-ID"/>
        </w:rPr>
        <w:t xml:space="preserve"> </w:t>
      </w:r>
      <w:r w:rsidRPr="00467119">
        <w:rPr>
          <w:rFonts w:ascii="Bookman Old Style" w:hAnsi="Bookman Old Style"/>
          <w:lang w:val="id-ID"/>
        </w:rPr>
        <w:t>iuran</w:t>
      </w:r>
      <w:r w:rsidR="00A954D0">
        <w:rPr>
          <w:rFonts w:ascii="Bookman Old Style" w:hAnsi="Bookman Old Style"/>
          <w:lang w:val="id-ID"/>
        </w:rPr>
        <w:t xml:space="preserve"> </w:t>
      </w:r>
      <w:r w:rsidRPr="00467119">
        <w:rPr>
          <w:rFonts w:ascii="Bookman Old Style" w:hAnsi="Bookman Old Style"/>
          <w:lang w:val="id-ID"/>
        </w:rPr>
        <w:t>PBPU</w:t>
      </w:r>
      <w:r w:rsidR="00A954D0">
        <w:rPr>
          <w:rFonts w:ascii="Bookman Old Style" w:hAnsi="Bookman Old Style"/>
          <w:lang w:val="id-ID"/>
        </w:rPr>
        <w:t xml:space="preserve"> </w:t>
      </w:r>
      <w:r w:rsidRPr="00467119">
        <w:rPr>
          <w:rFonts w:ascii="Bookman Old Style" w:hAnsi="Bookman Old Style"/>
          <w:lang w:val="id-ID"/>
        </w:rPr>
        <w:t>mandiri</w:t>
      </w:r>
      <w:r w:rsidR="00A954D0">
        <w:rPr>
          <w:rFonts w:ascii="Bookman Old Style" w:hAnsi="Bookman Old Style"/>
          <w:lang w:val="id-ID"/>
        </w:rPr>
        <w:t xml:space="preserve"> </w:t>
      </w:r>
      <w:r w:rsidRPr="00467119">
        <w:rPr>
          <w:rFonts w:ascii="Bookman Old Style" w:hAnsi="Bookman Old Style"/>
          <w:lang w:val="id-ID"/>
        </w:rPr>
        <w:t>dimaksud</w:t>
      </w:r>
      <w:r w:rsidR="00A954D0">
        <w:rPr>
          <w:rFonts w:ascii="Bookman Old Style" w:hAnsi="Bookman Old Style"/>
          <w:lang w:val="id-ID"/>
        </w:rPr>
        <w:t xml:space="preserve"> </w:t>
      </w:r>
      <w:r w:rsidRPr="00467119">
        <w:rPr>
          <w:rFonts w:ascii="Bookman Old Style" w:hAnsi="Bookman Old Style"/>
          <w:lang w:val="id-ID"/>
        </w:rPr>
        <w:t>dalam</w:t>
      </w:r>
      <w:r w:rsidR="00A954D0">
        <w:rPr>
          <w:rFonts w:ascii="Bookman Old Style" w:hAnsi="Bookman Old Style"/>
          <w:lang w:val="id-ID"/>
        </w:rPr>
        <w:t xml:space="preserve"> </w:t>
      </w:r>
      <w:r w:rsidRPr="00467119">
        <w:rPr>
          <w:rFonts w:ascii="Bookman Old Style" w:hAnsi="Bookman Old Style"/>
          <w:lang w:val="id-ID"/>
        </w:rPr>
        <w:t>Rancangan</w:t>
      </w:r>
      <w:r w:rsidR="00A954D0">
        <w:rPr>
          <w:rFonts w:ascii="Bookman Old Style" w:hAnsi="Bookman Old Style"/>
          <w:lang w:val="id-ID"/>
        </w:rPr>
        <w:t xml:space="preserve"> </w:t>
      </w:r>
      <w:r w:rsidRPr="00467119">
        <w:rPr>
          <w:rFonts w:ascii="Bookman Old Style" w:hAnsi="Bookman Old Style"/>
          <w:lang w:val="id-ID"/>
        </w:rPr>
        <w:t>Peraturan</w:t>
      </w:r>
      <w:r w:rsidR="00A954D0">
        <w:rPr>
          <w:rFonts w:ascii="Bookman Old Style" w:hAnsi="Bookman Old Style"/>
          <w:lang w:val="id-ID"/>
        </w:rPr>
        <w:t xml:space="preserve"> </w:t>
      </w:r>
      <w:r w:rsidRPr="00467119">
        <w:rPr>
          <w:rFonts w:ascii="Bookman Old Style" w:hAnsi="Bookman Old Style"/>
          <w:lang w:val="id-ID"/>
        </w:rPr>
        <w:t>Daerah</w:t>
      </w:r>
      <w:r w:rsidR="00A954D0">
        <w:rPr>
          <w:rFonts w:ascii="Bookman Old Style" w:hAnsi="Bookman Old Style"/>
          <w:lang w:val="id-ID"/>
        </w:rPr>
        <w:t xml:space="preserve"> </w:t>
      </w:r>
      <w:r w:rsidR="00B055C5" w:rsidRPr="00467119">
        <w:rPr>
          <w:rFonts w:ascii="Bookman Old Style" w:hAnsi="Bookman Old Style"/>
          <w:lang w:val="id-ID"/>
        </w:rPr>
        <w:t>Kota</w:t>
      </w:r>
      <w:r w:rsidR="00A954D0">
        <w:rPr>
          <w:rFonts w:ascii="Bookman Old Style" w:hAnsi="Bookman Old Style"/>
          <w:lang w:val="id-ID"/>
        </w:rPr>
        <w:t xml:space="preserve"> </w:t>
      </w:r>
      <w:r w:rsidR="00770F22" w:rsidRPr="00467119">
        <w:rPr>
          <w:rFonts w:ascii="Bookman Old Style" w:hAnsi="Bookman Old Style"/>
          <w:lang w:val="id-ID"/>
        </w:rPr>
        <w:t>Tangerang</w:t>
      </w:r>
      <w:r w:rsidR="00A954D0">
        <w:rPr>
          <w:rFonts w:ascii="Bookman Old Style" w:hAnsi="Bookman Old Style"/>
          <w:lang w:val="id-ID"/>
        </w:rPr>
        <w:t xml:space="preserve"> </w:t>
      </w:r>
      <w:r w:rsidR="00BE6ED9" w:rsidRPr="00467119">
        <w:rPr>
          <w:rFonts w:ascii="Bookman Old Style" w:hAnsi="Bookman Old Style"/>
          <w:lang w:val="id-ID"/>
        </w:rPr>
        <w:t>tentang</w:t>
      </w:r>
      <w:r w:rsidR="00A954D0">
        <w:rPr>
          <w:rFonts w:ascii="Bookman Old Style" w:hAnsi="Bookman Old Style"/>
          <w:lang w:val="id-ID"/>
        </w:rPr>
        <w:t xml:space="preserve"> </w:t>
      </w:r>
      <w:r w:rsidR="00BE6ED9" w:rsidRPr="00467119">
        <w:rPr>
          <w:rFonts w:ascii="Bookman Old Style" w:hAnsi="Bookman Old Style"/>
          <w:lang w:val="id-ID"/>
        </w:rPr>
        <w:t>APBD</w:t>
      </w:r>
      <w:r w:rsidR="00A954D0">
        <w:rPr>
          <w:rFonts w:ascii="Bookman Old Style" w:hAnsi="Bookman Old Style"/>
          <w:lang w:val="id-ID"/>
        </w:rPr>
        <w:t xml:space="preserve"> </w:t>
      </w:r>
      <w:r w:rsidRPr="00467119">
        <w:rPr>
          <w:rFonts w:ascii="Bookman Old Style" w:hAnsi="Bookman Old Style"/>
          <w:lang w:val="id-ID"/>
        </w:rPr>
        <w:t>Tahun</w:t>
      </w:r>
      <w:r w:rsidR="00A954D0">
        <w:rPr>
          <w:rFonts w:ascii="Bookman Old Style" w:hAnsi="Bookman Old Style"/>
          <w:lang w:val="id-ID"/>
        </w:rPr>
        <w:t xml:space="preserve"> </w:t>
      </w:r>
      <w:r w:rsidRPr="00467119">
        <w:rPr>
          <w:rFonts w:ascii="Bookman Old Style" w:hAnsi="Bookman Old Style"/>
          <w:lang w:val="id-ID"/>
        </w:rPr>
        <w:t>Anggaran</w:t>
      </w:r>
      <w:r w:rsidR="00A954D0">
        <w:rPr>
          <w:rFonts w:ascii="Bookman Old Style" w:hAnsi="Bookman Old Style"/>
          <w:lang w:val="id-ID"/>
        </w:rPr>
        <w:t xml:space="preserve"> </w:t>
      </w:r>
      <w:r w:rsidRPr="00467119">
        <w:rPr>
          <w:rFonts w:ascii="Bookman Old Style" w:hAnsi="Bookman Old Style"/>
          <w:lang w:val="id-ID"/>
        </w:rPr>
        <w:t>2025,</w:t>
      </w:r>
      <w:r w:rsidR="00A954D0">
        <w:rPr>
          <w:rFonts w:ascii="Bookman Old Style" w:hAnsi="Bookman Old Style"/>
          <w:lang w:val="id-ID"/>
        </w:rPr>
        <w:t xml:space="preserve"> </w:t>
      </w:r>
      <w:r w:rsidRPr="00467119">
        <w:rPr>
          <w:rFonts w:ascii="Bookman Old Style" w:hAnsi="Bookman Old Style"/>
          <w:lang w:val="id-ID"/>
        </w:rPr>
        <w:t>sebagaimana</w:t>
      </w:r>
      <w:r w:rsidR="00A954D0">
        <w:rPr>
          <w:rFonts w:ascii="Bookman Old Style" w:hAnsi="Bookman Old Style"/>
          <w:lang w:val="id-ID"/>
        </w:rPr>
        <w:t xml:space="preserve"> </w:t>
      </w:r>
      <w:r w:rsidRPr="00467119">
        <w:rPr>
          <w:rFonts w:ascii="Bookman Old Style" w:hAnsi="Bookman Old Style"/>
          <w:lang w:val="id-ID"/>
        </w:rPr>
        <w:t>maksud</w:t>
      </w:r>
      <w:r w:rsidR="00A954D0">
        <w:rPr>
          <w:rFonts w:ascii="Bookman Old Style" w:hAnsi="Bookman Old Style"/>
          <w:lang w:val="id-ID"/>
        </w:rPr>
        <w:t xml:space="preserve"> </w:t>
      </w:r>
      <w:r w:rsidRPr="00467119">
        <w:rPr>
          <w:rFonts w:ascii="Bookman Old Style" w:hAnsi="Bookman Old Style"/>
          <w:lang w:val="id-ID"/>
        </w:rPr>
        <w:t>butir</w:t>
      </w:r>
      <w:r w:rsidR="00A954D0">
        <w:rPr>
          <w:rFonts w:ascii="Bookman Old Style" w:hAnsi="Bookman Old Style" w:cs="Arial"/>
          <w:lang w:val="id-ID"/>
        </w:rPr>
        <w:t xml:space="preserve"> </w:t>
      </w:r>
      <w:r w:rsidRPr="00467119">
        <w:rPr>
          <w:rFonts w:ascii="Bookman Old Style" w:hAnsi="Bookman Old Style" w:cs="Arial"/>
          <w:lang w:val="id-ID"/>
        </w:rPr>
        <w:t>3.4.1.2.2.b.6).f)</w:t>
      </w:r>
      <w:r w:rsidR="00A954D0">
        <w:rPr>
          <w:rFonts w:ascii="Bookman Old Style" w:hAnsi="Bookman Old Style" w:cs="Arial"/>
          <w:lang w:val="id-ID"/>
        </w:rPr>
        <w:t xml:space="preserve"> </w:t>
      </w:r>
      <w:r w:rsidRPr="00467119">
        <w:rPr>
          <w:rFonts w:ascii="Bookman Old Style" w:hAnsi="Bookman Old Style"/>
          <w:lang w:val="id-ID"/>
        </w:rPr>
        <w:t>Lampiran</w:t>
      </w:r>
      <w:r w:rsidR="00A954D0">
        <w:rPr>
          <w:rFonts w:ascii="Bookman Old Style" w:hAnsi="Bookman Old Style"/>
          <w:lang w:val="id-ID"/>
        </w:rPr>
        <w:t xml:space="preserve"> </w:t>
      </w:r>
      <w:r w:rsidRPr="00467119">
        <w:rPr>
          <w:rFonts w:ascii="Bookman Old Style" w:hAnsi="Bookman Old Style"/>
          <w:lang w:val="id-ID"/>
        </w:rPr>
        <w:t>Peraturan</w:t>
      </w:r>
      <w:r w:rsidR="00A954D0">
        <w:rPr>
          <w:rFonts w:ascii="Bookman Old Style" w:hAnsi="Bookman Old Style"/>
          <w:lang w:val="id-ID"/>
        </w:rPr>
        <w:t xml:space="preserve"> </w:t>
      </w:r>
      <w:r w:rsidRPr="00467119">
        <w:rPr>
          <w:rFonts w:ascii="Bookman Old Style" w:hAnsi="Bookman Old Style"/>
          <w:lang w:val="id-ID"/>
        </w:rPr>
        <w:t>Menteri</w:t>
      </w:r>
      <w:r w:rsidR="00A954D0">
        <w:rPr>
          <w:rFonts w:ascii="Bookman Old Style" w:hAnsi="Bookman Old Style"/>
          <w:lang w:val="id-ID"/>
        </w:rPr>
        <w:t xml:space="preserve"> </w:t>
      </w:r>
      <w:r w:rsidRPr="00467119">
        <w:rPr>
          <w:rFonts w:ascii="Bookman Old Style" w:hAnsi="Bookman Old Style"/>
          <w:lang w:val="id-ID"/>
        </w:rPr>
        <w:t>Dalam</w:t>
      </w:r>
      <w:r w:rsidR="00A954D0">
        <w:rPr>
          <w:rFonts w:ascii="Bookman Old Style" w:hAnsi="Bookman Old Style"/>
          <w:lang w:val="id-ID"/>
        </w:rPr>
        <w:t xml:space="preserve"> </w:t>
      </w:r>
      <w:r w:rsidRPr="00467119">
        <w:rPr>
          <w:rFonts w:ascii="Bookman Old Style" w:hAnsi="Bookman Old Style"/>
          <w:lang w:val="id-ID"/>
        </w:rPr>
        <w:t>Negeri</w:t>
      </w:r>
      <w:r w:rsidR="00A954D0">
        <w:rPr>
          <w:rFonts w:ascii="Bookman Old Style" w:hAnsi="Bookman Old Style"/>
          <w:lang w:val="id-ID"/>
        </w:rPr>
        <w:t xml:space="preserve"> </w:t>
      </w:r>
      <w:r w:rsidRPr="00467119">
        <w:rPr>
          <w:rFonts w:ascii="Bookman Old Style" w:hAnsi="Bookman Old Style"/>
          <w:lang w:val="id-ID"/>
        </w:rPr>
        <w:t>Nomor</w:t>
      </w:r>
      <w:r w:rsidR="00A954D0">
        <w:rPr>
          <w:rFonts w:ascii="Bookman Old Style" w:hAnsi="Bookman Old Style"/>
          <w:lang w:val="id-ID"/>
        </w:rPr>
        <w:t xml:space="preserve"> </w:t>
      </w:r>
      <w:r w:rsidRPr="00467119">
        <w:rPr>
          <w:rFonts w:ascii="Bookman Old Style" w:hAnsi="Bookman Old Style"/>
          <w:lang w:val="id-ID"/>
        </w:rPr>
        <w:t>15</w:t>
      </w:r>
      <w:r w:rsidR="00A954D0">
        <w:rPr>
          <w:rFonts w:ascii="Bookman Old Style" w:hAnsi="Bookman Old Style"/>
          <w:lang w:val="id-ID"/>
        </w:rPr>
        <w:t xml:space="preserve"> </w:t>
      </w:r>
      <w:r w:rsidRPr="00467119">
        <w:rPr>
          <w:rFonts w:ascii="Bookman Old Style" w:hAnsi="Bookman Old Style"/>
          <w:lang w:val="id-ID"/>
        </w:rPr>
        <w:t>Tahun</w:t>
      </w:r>
      <w:r w:rsidR="00A954D0">
        <w:rPr>
          <w:rFonts w:ascii="Bookman Old Style" w:hAnsi="Bookman Old Style"/>
          <w:lang w:val="id-ID"/>
        </w:rPr>
        <w:t xml:space="preserve"> </w:t>
      </w:r>
      <w:r w:rsidRPr="00467119">
        <w:rPr>
          <w:rFonts w:ascii="Bookman Old Style" w:hAnsi="Bookman Old Style"/>
          <w:lang w:val="id-ID"/>
        </w:rPr>
        <w:t>2024.</w:t>
      </w:r>
    </w:p>
    <w:p w14:paraId="1F656934" w14:textId="3EE8077F" w:rsidR="003B7FE4" w:rsidRPr="00467119" w:rsidRDefault="003B7FE4" w:rsidP="005668F0">
      <w:pPr>
        <w:pStyle w:val="ListParagraph"/>
        <w:numPr>
          <w:ilvl w:val="1"/>
          <w:numId w:val="32"/>
        </w:numPr>
        <w:spacing w:before="60" w:after="0" w:line="276" w:lineRule="auto"/>
        <w:ind w:left="3261" w:hanging="567"/>
        <w:contextualSpacing w:val="0"/>
        <w:jc w:val="both"/>
        <w:rPr>
          <w:rFonts w:ascii="Bookman Old Style" w:hAnsi="Bookman Old Style"/>
          <w:sz w:val="24"/>
          <w:szCs w:val="24"/>
          <w:lang w:val="id-ID"/>
        </w:rPr>
      </w:pPr>
      <w:r w:rsidRPr="00467119">
        <w:rPr>
          <w:rFonts w:ascii="Bookman Old Style" w:hAnsi="Bookman Old Style"/>
          <w:sz w:val="24"/>
          <w:szCs w:val="24"/>
          <w:lang w:val="en-US"/>
        </w:rPr>
        <w:t>P</w:t>
      </w:r>
      <w:r w:rsidRPr="00467119">
        <w:rPr>
          <w:rFonts w:ascii="Bookman Old Style" w:hAnsi="Bookman Old Style"/>
          <w:sz w:val="24"/>
          <w:szCs w:val="24"/>
          <w:lang w:val="id-ID"/>
        </w:rPr>
        <w:t>enyediaan</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anggaran</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yang</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tercantum</w:t>
      </w:r>
      <w:r w:rsidR="00A954D0">
        <w:rPr>
          <w:rFonts w:ascii="Bookman Old Style" w:hAnsi="Bookman Old Style"/>
          <w:sz w:val="24"/>
          <w:szCs w:val="24"/>
          <w:lang w:val="id-ID"/>
        </w:rPr>
        <w:t xml:space="preserve"> </w:t>
      </w:r>
      <w:r w:rsidRPr="00467119">
        <w:rPr>
          <w:rFonts w:ascii="Bookman Old Style" w:hAnsi="Bookman Old Style"/>
          <w:sz w:val="24"/>
          <w:szCs w:val="24"/>
          <w:lang w:val="id-ID"/>
        </w:rPr>
        <w:t>pada:</w:t>
      </w:r>
    </w:p>
    <w:p w14:paraId="1081B4C1" w14:textId="1DAA52F5" w:rsidR="003B7FE4" w:rsidRPr="00467119" w:rsidRDefault="003B7FE4" w:rsidP="005668F0">
      <w:pPr>
        <w:pStyle w:val="ListParagraph"/>
        <w:numPr>
          <w:ilvl w:val="0"/>
          <w:numId w:val="58"/>
        </w:numPr>
        <w:spacing w:before="60" w:after="0" w:line="276" w:lineRule="auto"/>
        <w:ind w:left="3686" w:hanging="425"/>
        <w:contextualSpacing w:val="0"/>
        <w:jc w:val="both"/>
        <w:rPr>
          <w:rFonts w:ascii="Bookman Old Style" w:hAnsi="Bookman Old Style"/>
          <w:sz w:val="24"/>
          <w:szCs w:val="24"/>
        </w:rPr>
      </w:pPr>
      <w:r w:rsidRPr="00467119">
        <w:rPr>
          <w:rFonts w:ascii="Bookman Old Style" w:hAnsi="Bookman Old Style"/>
          <w:sz w:val="24"/>
          <w:szCs w:val="24"/>
        </w:rPr>
        <w:t>Belanja</w:t>
      </w:r>
      <w:r w:rsidR="00A954D0">
        <w:rPr>
          <w:rFonts w:ascii="Bookman Old Style" w:hAnsi="Bookman Old Style"/>
          <w:sz w:val="24"/>
          <w:szCs w:val="24"/>
        </w:rPr>
        <w:t xml:space="preserve"> </w:t>
      </w:r>
      <w:r w:rsidRPr="00467119">
        <w:rPr>
          <w:rFonts w:ascii="Bookman Old Style" w:hAnsi="Bookman Old Style"/>
          <w:sz w:val="24"/>
          <w:szCs w:val="24"/>
        </w:rPr>
        <w:t>Iuran</w:t>
      </w:r>
      <w:r w:rsidR="00A954D0">
        <w:rPr>
          <w:rFonts w:ascii="Bookman Old Style" w:hAnsi="Bookman Old Style"/>
          <w:sz w:val="24"/>
          <w:szCs w:val="24"/>
        </w:rPr>
        <w:t xml:space="preserve"> </w:t>
      </w:r>
      <w:r w:rsidRPr="00467119">
        <w:rPr>
          <w:rFonts w:ascii="Bookman Old Style" w:hAnsi="Bookman Old Style"/>
          <w:sz w:val="24"/>
          <w:szCs w:val="24"/>
        </w:rPr>
        <w:t>Jaminan</w:t>
      </w:r>
      <w:r w:rsidR="00A954D0">
        <w:rPr>
          <w:rFonts w:ascii="Bookman Old Style" w:hAnsi="Bookman Old Style"/>
          <w:sz w:val="24"/>
          <w:szCs w:val="24"/>
        </w:rPr>
        <w:t xml:space="preserve"> </w:t>
      </w:r>
      <w:r w:rsidRPr="00467119">
        <w:rPr>
          <w:rFonts w:ascii="Bookman Old Style" w:hAnsi="Bookman Old Style"/>
          <w:sz w:val="24"/>
          <w:szCs w:val="24"/>
        </w:rPr>
        <w:t>Kecelakaan</w:t>
      </w:r>
      <w:r w:rsidR="00A954D0">
        <w:rPr>
          <w:rFonts w:ascii="Bookman Old Style" w:hAnsi="Bookman Old Style"/>
          <w:sz w:val="24"/>
          <w:szCs w:val="24"/>
        </w:rPr>
        <w:t xml:space="preserve"> </w:t>
      </w:r>
      <w:r w:rsidRPr="00467119">
        <w:rPr>
          <w:rFonts w:ascii="Bookman Old Style" w:hAnsi="Bookman Old Style"/>
          <w:sz w:val="24"/>
          <w:szCs w:val="24"/>
        </w:rPr>
        <w:t>Kerja</w:t>
      </w:r>
      <w:r w:rsidR="00A954D0">
        <w:rPr>
          <w:rFonts w:ascii="Bookman Old Style" w:hAnsi="Bookman Old Style"/>
          <w:sz w:val="24"/>
          <w:szCs w:val="24"/>
        </w:rPr>
        <w:t xml:space="preserve"> </w:t>
      </w:r>
      <w:r w:rsidRPr="00467119">
        <w:rPr>
          <w:rFonts w:ascii="Bookman Old Style" w:hAnsi="Bookman Old Style"/>
          <w:sz w:val="24"/>
          <w:szCs w:val="24"/>
        </w:rPr>
        <w:t>bagi</w:t>
      </w:r>
      <w:r w:rsidR="00A954D0">
        <w:rPr>
          <w:rFonts w:ascii="Bookman Old Style" w:hAnsi="Bookman Old Style"/>
          <w:sz w:val="24"/>
          <w:szCs w:val="24"/>
        </w:rPr>
        <w:t xml:space="preserve"> </w:t>
      </w:r>
      <w:r w:rsidRPr="00467119">
        <w:rPr>
          <w:rFonts w:ascii="Bookman Old Style" w:hAnsi="Bookman Old Style"/>
          <w:sz w:val="24"/>
          <w:szCs w:val="24"/>
        </w:rPr>
        <w:t>Non</w:t>
      </w:r>
      <w:r w:rsidR="00A954D0">
        <w:rPr>
          <w:rFonts w:ascii="Bookman Old Style" w:hAnsi="Bookman Old Style"/>
          <w:sz w:val="24"/>
          <w:szCs w:val="24"/>
        </w:rPr>
        <w:t xml:space="preserve"> </w:t>
      </w:r>
      <w:r w:rsidRPr="00467119">
        <w:rPr>
          <w:rFonts w:ascii="Bookman Old Style" w:hAnsi="Bookman Old Style"/>
          <w:sz w:val="24"/>
          <w:szCs w:val="24"/>
        </w:rPr>
        <w:t>ASN</w:t>
      </w:r>
      <w:r w:rsidR="00A954D0">
        <w:rPr>
          <w:rFonts w:ascii="Bookman Old Style" w:hAnsi="Bookman Old Style"/>
          <w:sz w:val="24"/>
          <w:szCs w:val="24"/>
        </w:rPr>
        <w:t xml:space="preserve"> </w:t>
      </w:r>
      <w:r w:rsidR="00F45797" w:rsidRPr="00467119">
        <w:rPr>
          <w:rFonts w:ascii="Bookman Old Style" w:hAnsi="Bookman Old Style"/>
          <w:sz w:val="24"/>
          <w:szCs w:val="24"/>
        </w:rPr>
        <w:t>Rp1.357.642.686,00</w:t>
      </w:r>
      <w:r w:rsidRPr="00467119">
        <w:rPr>
          <w:rFonts w:ascii="Bookman Old Style" w:hAnsi="Bookman Old Style"/>
          <w:sz w:val="24"/>
          <w:szCs w:val="24"/>
          <w:lang w:val="id-ID"/>
        </w:rPr>
        <w:t>;</w:t>
      </w:r>
    </w:p>
    <w:p w14:paraId="5B0000D1" w14:textId="5E13B264" w:rsidR="003B7FE4" w:rsidRPr="00467119" w:rsidRDefault="003B7FE4" w:rsidP="005668F0">
      <w:pPr>
        <w:pStyle w:val="ListParagraph"/>
        <w:numPr>
          <w:ilvl w:val="0"/>
          <w:numId w:val="58"/>
        </w:numPr>
        <w:spacing w:before="60" w:after="0" w:line="276" w:lineRule="auto"/>
        <w:ind w:left="3686" w:hanging="425"/>
        <w:contextualSpacing w:val="0"/>
        <w:jc w:val="both"/>
        <w:rPr>
          <w:rFonts w:ascii="Bookman Old Style" w:hAnsi="Bookman Old Style"/>
          <w:sz w:val="24"/>
          <w:szCs w:val="24"/>
        </w:rPr>
      </w:pPr>
      <w:r w:rsidRPr="00467119">
        <w:rPr>
          <w:rFonts w:ascii="Bookman Old Style" w:hAnsi="Bookman Old Style"/>
          <w:sz w:val="24"/>
          <w:szCs w:val="24"/>
        </w:rPr>
        <w:t>Belanja</w:t>
      </w:r>
      <w:r w:rsidR="00A954D0">
        <w:rPr>
          <w:rFonts w:ascii="Bookman Old Style" w:hAnsi="Bookman Old Style"/>
          <w:sz w:val="24"/>
          <w:szCs w:val="24"/>
        </w:rPr>
        <w:t xml:space="preserve"> </w:t>
      </w:r>
      <w:r w:rsidRPr="00467119">
        <w:rPr>
          <w:rFonts w:ascii="Bookman Old Style" w:hAnsi="Bookman Old Style"/>
          <w:sz w:val="24"/>
          <w:szCs w:val="24"/>
        </w:rPr>
        <w:t>Iuran</w:t>
      </w:r>
      <w:r w:rsidR="00A954D0">
        <w:rPr>
          <w:rFonts w:ascii="Bookman Old Style" w:hAnsi="Bookman Old Style"/>
          <w:sz w:val="24"/>
          <w:szCs w:val="24"/>
        </w:rPr>
        <w:t xml:space="preserve"> </w:t>
      </w:r>
      <w:r w:rsidRPr="00467119">
        <w:rPr>
          <w:rFonts w:ascii="Bookman Old Style" w:hAnsi="Bookman Old Style"/>
          <w:sz w:val="24"/>
          <w:szCs w:val="24"/>
        </w:rPr>
        <w:t>Jaminan</w:t>
      </w:r>
      <w:r w:rsidR="00A954D0">
        <w:rPr>
          <w:rFonts w:ascii="Bookman Old Style" w:hAnsi="Bookman Old Style"/>
          <w:sz w:val="24"/>
          <w:szCs w:val="24"/>
        </w:rPr>
        <w:t xml:space="preserve"> </w:t>
      </w:r>
      <w:r w:rsidRPr="00467119">
        <w:rPr>
          <w:rFonts w:ascii="Bookman Old Style" w:hAnsi="Bookman Old Style"/>
          <w:sz w:val="24"/>
          <w:szCs w:val="24"/>
        </w:rPr>
        <w:t>Kematian</w:t>
      </w:r>
      <w:r w:rsidR="00A954D0">
        <w:rPr>
          <w:rFonts w:ascii="Bookman Old Style" w:hAnsi="Bookman Old Style"/>
          <w:sz w:val="24"/>
          <w:szCs w:val="24"/>
        </w:rPr>
        <w:t xml:space="preserve"> </w:t>
      </w:r>
      <w:r w:rsidRPr="00467119">
        <w:rPr>
          <w:rFonts w:ascii="Bookman Old Style" w:hAnsi="Bookman Old Style"/>
          <w:sz w:val="24"/>
          <w:szCs w:val="24"/>
        </w:rPr>
        <w:t>bagi</w:t>
      </w:r>
      <w:r w:rsidR="00A954D0">
        <w:rPr>
          <w:rFonts w:ascii="Bookman Old Style" w:hAnsi="Bookman Old Style"/>
          <w:sz w:val="24"/>
          <w:szCs w:val="24"/>
        </w:rPr>
        <w:t xml:space="preserve"> </w:t>
      </w:r>
      <w:r w:rsidRPr="00467119">
        <w:rPr>
          <w:rFonts w:ascii="Bookman Old Style" w:hAnsi="Bookman Old Style"/>
          <w:sz w:val="24"/>
          <w:szCs w:val="24"/>
        </w:rPr>
        <w:t>Non</w:t>
      </w:r>
      <w:r w:rsidR="00A954D0">
        <w:rPr>
          <w:rFonts w:ascii="Bookman Old Style" w:hAnsi="Bookman Old Style"/>
          <w:sz w:val="24"/>
          <w:szCs w:val="24"/>
        </w:rPr>
        <w:t xml:space="preserve"> </w:t>
      </w:r>
      <w:r w:rsidRPr="00467119">
        <w:rPr>
          <w:rFonts w:ascii="Bookman Old Style" w:hAnsi="Bookman Old Style"/>
          <w:sz w:val="24"/>
          <w:szCs w:val="24"/>
        </w:rPr>
        <w:t>ASN</w:t>
      </w:r>
      <w:r w:rsidR="00A954D0">
        <w:rPr>
          <w:rFonts w:ascii="Bookman Old Style" w:hAnsi="Bookman Old Style"/>
          <w:sz w:val="24"/>
          <w:szCs w:val="24"/>
        </w:rPr>
        <w:t xml:space="preserve"> </w:t>
      </w:r>
      <w:r w:rsidR="00F45797" w:rsidRPr="00467119">
        <w:rPr>
          <w:rFonts w:ascii="Bookman Old Style" w:hAnsi="Bookman Old Style"/>
          <w:sz w:val="24"/>
          <w:szCs w:val="24"/>
        </w:rPr>
        <w:t>Rp1.418.178.764,00</w:t>
      </w:r>
      <w:r w:rsidRPr="00467119">
        <w:rPr>
          <w:rFonts w:ascii="Bookman Old Style" w:hAnsi="Bookman Old Style"/>
          <w:sz w:val="24"/>
          <w:szCs w:val="24"/>
          <w:lang w:val="id-ID"/>
        </w:rPr>
        <w:t>;</w:t>
      </w:r>
    </w:p>
    <w:p w14:paraId="57636DD2" w14:textId="6A3616F0" w:rsidR="00DA1B2F" w:rsidRDefault="00DA1B2F" w:rsidP="005668F0">
      <w:pPr>
        <w:pStyle w:val="ListParagraph"/>
        <w:numPr>
          <w:ilvl w:val="0"/>
          <w:numId w:val="58"/>
        </w:numPr>
        <w:spacing w:before="60" w:after="0" w:line="276" w:lineRule="auto"/>
        <w:ind w:left="3686" w:hanging="425"/>
        <w:contextualSpacing w:val="0"/>
        <w:jc w:val="both"/>
        <w:rPr>
          <w:rFonts w:ascii="Bookman Old Style" w:hAnsi="Bookman Old Style"/>
          <w:sz w:val="24"/>
          <w:szCs w:val="24"/>
        </w:rPr>
      </w:pPr>
      <w:r w:rsidRPr="00467119">
        <w:rPr>
          <w:rFonts w:ascii="Bookman Old Style" w:hAnsi="Bookman Old Style"/>
          <w:sz w:val="24"/>
          <w:szCs w:val="24"/>
        </w:rPr>
        <w:t>Belanja</w:t>
      </w:r>
      <w:r w:rsidR="00A954D0">
        <w:rPr>
          <w:rFonts w:ascii="Bookman Old Style" w:hAnsi="Bookman Old Style"/>
          <w:sz w:val="24"/>
          <w:szCs w:val="24"/>
        </w:rPr>
        <w:t xml:space="preserve"> </w:t>
      </w:r>
      <w:r w:rsidRPr="00467119">
        <w:rPr>
          <w:rFonts w:ascii="Bookman Old Style" w:hAnsi="Bookman Old Style"/>
          <w:sz w:val="24"/>
          <w:szCs w:val="24"/>
        </w:rPr>
        <w:t>Iuran</w:t>
      </w:r>
      <w:r w:rsidR="00A954D0">
        <w:rPr>
          <w:rFonts w:ascii="Bookman Old Style" w:hAnsi="Bookman Old Style"/>
          <w:sz w:val="24"/>
          <w:szCs w:val="24"/>
        </w:rPr>
        <w:t xml:space="preserve"> </w:t>
      </w:r>
      <w:r w:rsidRPr="00467119">
        <w:rPr>
          <w:rFonts w:ascii="Bookman Old Style" w:hAnsi="Bookman Old Style"/>
          <w:sz w:val="24"/>
          <w:szCs w:val="24"/>
        </w:rPr>
        <w:t>Jaminan</w:t>
      </w:r>
      <w:r w:rsidR="00A954D0">
        <w:rPr>
          <w:rFonts w:ascii="Bookman Old Style" w:hAnsi="Bookman Old Style"/>
          <w:sz w:val="24"/>
          <w:szCs w:val="24"/>
        </w:rPr>
        <w:t xml:space="preserve"> </w:t>
      </w:r>
      <w:r w:rsidRPr="00467119">
        <w:rPr>
          <w:rFonts w:ascii="Bookman Old Style" w:hAnsi="Bookman Old Style"/>
          <w:sz w:val="24"/>
          <w:szCs w:val="24"/>
        </w:rPr>
        <w:t>Kecelakaan</w:t>
      </w:r>
      <w:r w:rsidR="00A954D0">
        <w:rPr>
          <w:rFonts w:ascii="Bookman Old Style" w:hAnsi="Bookman Old Style"/>
          <w:sz w:val="24"/>
          <w:szCs w:val="24"/>
        </w:rPr>
        <w:t xml:space="preserve"> </w:t>
      </w:r>
      <w:r w:rsidRPr="00467119">
        <w:rPr>
          <w:rFonts w:ascii="Bookman Old Style" w:hAnsi="Bookman Old Style"/>
          <w:sz w:val="24"/>
          <w:szCs w:val="24"/>
        </w:rPr>
        <w:t>Kerja</w:t>
      </w:r>
      <w:r w:rsidR="00A954D0">
        <w:rPr>
          <w:rFonts w:ascii="Bookman Old Style" w:hAnsi="Bookman Old Style"/>
          <w:sz w:val="24"/>
          <w:szCs w:val="24"/>
        </w:rPr>
        <w:t xml:space="preserve"> </w:t>
      </w:r>
      <w:r w:rsidRPr="00467119">
        <w:rPr>
          <w:rFonts w:ascii="Bookman Old Style" w:hAnsi="Bookman Old Style"/>
          <w:sz w:val="24"/>
          <w:szCs w:val="24"/>
        </w:rPr>
        <w:t>bagi</w:t>
      </w:r>
      <w:r w:rsidR="00A954D0">
        <w:rPr>
          <w:rFonts w:ascii="Bookman Old Style" w:hAnsi="Bookman Old Style"/>
          <w:sz w:val="24"/>
          <w:szCs w:val="24"/>
        </w:rPr>
        <w:t xml:space="preserve"> </w:t>
      </w:r>
      <w:r w:rsidRPr="00467119">
        <w:rPr>
          <w:rFonts w:ascii="Bookman Old Style" w:hAnsi="Bookman Old Style"/>
          <w:sz w:val="24"/>
          <w:szCs w:val="24"/>
        </w:rPr>
        <w:t>Pekerja</w:t>
      </w:r>
      <w:r w:rsidR="00A954D0">
        <w:rPr>
          <w:rFonts w:ascii="Bookman Old Style" w:hAnsi="Bookman Old Style"/>
          <w:sz w:val="24"/>
          <w:szCs w:val="24"/>
        </w:rPr>
        <w:t xml:space="preserve"> </w:t>
      </w:r>
      <w:r w:rsidRPr="00467119">
        <w:rPr>
          <w:rFonts w:ascii="Bookman Old Style" w:hAnsi="Bookman Old Style"/>
          <w:sz w:val="24"/>
          <w:szCs w:val="24"/>
        </w:rPr>
        <w:t>Rentan</w:t>
      </w:r>
      <w:r w:rsidR="00A954D0">
        <w:rPr>
          <w:rFonts w:ascii="Bookman Old Style" w:hAnsi="Bookman Old Style"/>
          <w:sz w:val="24"/>
          <w:szCs w:val="24"/>
        </w:rPr>
        <w:t xml:space="preserve"> </w:t>
      </w:r>
      <w:r w:rsidR="00BE5EFB" w:rsidRPr="00467119">
        <w:rPr>
          <w:rFonts w:ascii="Bookman Old Style" w:hAnsi="Bookman Old Style"/>
          <w:sz w:val="24"/>
          <w:szCs w:val="24"/>
        </w:rPr>
        <w:t>Rp595.200.000,00</w:t>
      </w:r>
      <w:r w:rsidR="005668F0" w:rsidRPr="005668F0">
        <w:rPr>
          <w:rFonts w:ascii="Bookman Old Style" w:hAnsi="Bookman Old Style"/>
          <w:sz w:val="24"/>
          <w:szCs w:val="24"/>
          <w:lang w:val="sv-FI"/>
        </w:rPr>
        <w:t>.</w:t>
      </w:r>
    </w:p>
    <w:p w14:paraId="2A2C2E50" w14:textId="39ACBF6A" w:rsidR="003B7FE4" w:rsidRPr="00B70AFB" w:rsidRDefault="005668F0" w:rsidP="005668F0">
      <w:pPr>
        <w:spacing w:before="60" w:line="276" w:lineRule="auto"/>
        <w:ind w:left="3261"/>
        <w:jc w:val="both"/>
        <w:rPr>
          <w:rFonts w:ascii="Bookman Old Style" w:hAnsi="Bookman Old Style" w:cs="Arial"/>
        </w:rPr>
      </w:pPr>
      <w:r>
        <w:rPr>
          <w:rFonts w:ascii="Bookman Old Style" w:hAnsi="Bookman Old Style"/>
          <w:lang w:val="en-US"/>
        </w:rPr>
        <w:t>D</w:t>
      </w:r>
      <w:r w:rsidR="003B7FE4" w:rsidRPr="00BE5EFB">
        <w:rPr>
          <w:rFonts w:ascii="Bookman Old Style" w:hAnsi="Bookman Old Style"/>
          <w:lang w:val="id-ID"/>
        </w:rPr>
        <w:t>ianggarkan</w:t>
      </w:r>
      <w:r w:rsidR="00A954D0">
        <w:rPr>
          <w:rFonts w:ascii="Bookman Old Style" w:hAnsi="Bookman Old Style"/>
          <w:lang w:val="id-ID"/>
        </w:rPr>
        <w:t xml:space="preserve"> </w:t>
      </w:r>
      <w:r w:rsidR="003B7FE4" w:rsidRPr="00BE5EFB">
        <w:rPr>
          <w:rFonts w:ascii="Bookman Old Style" w:hAnsi="Bookman Old Style"/>
          <w:lang w:val="id-ID"/>
        </w:rPr>
        <w:t>dalam</w:t>
      </w:r>
      <w:r w:rsidR="00A954D0">
        <w:rPr>
          <w:rFonts w:ascii="Bookman Old Style" w:hAnsi="Bookman Old Style"/>
          <w:lang w:val="id-ID"/>
        </w:rPr>
        <w:t xml:space="preserve"> </w:t>
      </w:r>
      <w:r w:rsidR="003B7FE4" w:rsidRPr="00BE5EFB">
        <w:rPr>
          <w:rFonts w:ascii="Bookman Old Style" w:hAnsi="Bookman Old Style"/>
          <w:lang w:val="id-ID"/>
        </w:rPr>
        <w:t>Rancangan</w:t>
      </w:r>
      <w:r w:rsidR="00A954D0">
        <w:rPr>
          <w:rFonts w:ascii="Bookman Old Style" w:hAnsi="Bookman Old Style"/>
          <w:lang w:val="id-ID"/>
        </w:rPr>
        <w:t xml:space="preserve"> </w:t>
      </w:r>
      <w:r w:rsidR="003B7FE4" w:rsidRPr="00BE5EFB">
        <w:rPr>
          <w:rFonts w:ascii="Bookman Old Style" w:hAnsi="Bookman Old Style"/>
          <w:lang w:val="id-ID"/>
        </w:rPr>
        <w:t>Peraturan</w:t>
      </w:r>
      <w:r w:rsidR="00A954D0">
        <w:rPr>
          <w:rFonts w:ascii="Bookman Old Style" w:hAnsi="Bookman Old Style"/>
          <w:lang w:val="id-ID"/>
        </w:rPr>
        <w:t xml:space="preserve"> </w:t>
      </w:r>
      <w:r w:rsidR="003B7FE4" w:rsidRPr="00BE5EFB">
        <w:rPr>
          <w:rFonts w:ascii="Bookman Old Style" w:hAnsi="Bookman Old Style"/>
          <w:lang w:val="id-ID"/>
        </w:rPr>
        <w:t>Daerah</w:t>
      </w:r>
      <w:r w:rsidR="00A954D0">
        <w:rPr>
          <w:rFonts w:ascii="Bookman Old Style" w:hAnsi="Bookman Old Style"/>
          <w:lang w:val="id-ID"/>
        </w:rPr>
        <w:t xml:space="preserve"> </w:t>
      </w:r>
      <w:r w:rsidR="00B055C5" w:rsidRPr="00BE5EFB">
        <w:rPr>
          <w:rFonts w:ascii="Bookman Old Style" w:hAnsi="Bookman Old Style"/>
          <w:lang w:val="id-ID"/>
        </w:rPr>
        <w:t>Kota</w:t>
      </w:r>
      <w:r w:rsidR="00A954D0">
        <w:rPr>
          <w:rFonts w:ascii="Bookman Old Style" w:hAnsi="Bookman Old Style"/>
          <w:lang w:val="id-ID"/>
        </w:rPr>
        <w:t xml:space="preserve"> </w:t>
      </w:r>
      <w:r w:rsidR="00770F22" w:rsidRPr="00BE5EFB">
        <w:rPr>
          <w:rFonts w:ascii="Bookman Old Style" w:hAnsi="Bookman Old Style"/>
          <w:lang w:val="id-ID"/>
        </w:rPr>
        <w:t>Tangerang</w:t>
      </w:r>
      <w:r w:rsidR="00A954D0">
        <w:rPr>
          <w:rFonts w:ascii="Bookman Old Style" w:hAnsi="Bookman Old Style"/>
          <w:lang w:val="id-ID"/>
        </w:rPr>
        <w:t xml:space="preserve"> </w:t>
      </w:r>
      <w:r w:rsidR="00BE6ED9" w:rsidRPr="00BE5EFB">
        <w:rPr>
          <w:rFonts w:ascii="Bookman Old Style" w:hAnsi="Bookman Old Style"/>
          <w:lang w:val="id-ID"/>
        </w:rPr>
        <w:t>tentang</w:t>
      </w:r>
      <w:r w:rsidR="00A954D0">
        <w:rPr>
          <w:rFonts w:ascii="Bookman Old Style" w:hAnsi="Bookman Old Style"/>
          <w:lang w:val="id-ID"/>
        </w:rPr>
        <w:t xml:space="preserve"> </w:t>
      </w:r>
      <w:r w:rsidR="00BE6ED9" w:rsidRPr="00BE5EFB">
        <w:rPr>
          <w:rFonts w:ascii="Bookman Old Style" w:hAnsi="Bookman Old Style"/>
          <w:lang w:val="id-ID"/>
        </w:rPr>
        <w:t>APBD</w:t>
      </w:r>
      <w:r w:rsidR="00A954D0">
        <w:rPr>
          <w:rFonts w:ascii="Bookman Old Style" w:hAnsi="Bookman Old Style"/>
          <w:lang w:val="id-ID"/>
        </w:rPr>
        <w:t xml:space="preserve"> </w:t>
      </w:r>
      <w:r w:rsidR="003B7FE4" w:rsidRPr="00BE5EFB">
        <w:rPr>
          <w:rFonts w:ascii="Bookman Old Style" w:hAnsi="Bookman Old Style"/>
          <w:lang w:val="id-ID"/>
        </w:rPr>
        <w:t>Tahun</w:t>
      </w:r>
      <w:r w:rsidR="00A954D0">
        <w:rPr>
          <w:rFonts w:ascii="Bookman Old Style" w:hAnsi="Bookman Old Style"/>
          <w:lang w:val="id-ID"/>
        </w:rPr>
        <w:t xml:space="preserve"> </w:t>
      </w:r>
      <w:r w:rsidR="003B7FE4" w:rsidRPr="00BE5EFB">
        <w:rPr>
          <w:rFonts w:ascii="Bookman Old Style" w:hAnsi="Bookman Old Style"/>
          <w:lang w:val="id-ID"/>
        </w:rPr>
        <w:t>Anggaran</w:t>
      </w:r>
      <w:r w:rsidR="00A954D0">
        <w:rPr>
          <w:rFonts w:ascii="Bookman Old Style" w:hAnsi="Bookman Old Style"/>
          <w:lang w:val="id-ID"/>
        </w:rPr>
        <w:t xml:space="preserve"> </w:t>
      </w:r>
      <w:r w:rsidR="003B7FE4" w:rsidRPr="00BE5EFB">
        <w:rPr>
          <w:rFonts w:ascii="Bookman Old Style" w:hAnsi="Bookman Old Style"/>
          <w:lang w:val="id-ID"/>
        </w:rPr>
        <w:t>2025</w:t>
      </w:r>
      <w:r w:rsidR="00A954D0">
        <w:rPr>
          <w:rFonts w:ascii="Bookman Old Style" w:hAnsi="Bookman Old Style"/>
          <w:lang w:val="id-ID"/>
        </w:rPr>
        <w:t xml:space="preserve"> </w:t>
      </w:r>
      <w:r w:rsidR="003B7FE4" w:rsidRPr="00BE5EFB">
        <w:rPr>
          <w:rFonts w:ascii="Bookman Old Style" w:hAnsi="Bookman Old Style"/>
          <w:lang w:val="id-ID"/>
        </w:rPr>
        <w:t>bagi</w:t>
      </w:r>
      <w:r w:rsidR="00A954D0">
        <w:rPr>
          <w:rFonts w:ascii="Bookman Old Style" w:hAnsi="Bookman Old Style"/>
          <w:lang w:val="id-ID"/>
        </w:rPr>
        <w:t xml:space="preserve"> </w:t>
      </w:r>
      <w:r w:rsidR="003B7FE4" w:rsidRPr="00BE5EFB">
        <w:rPr>
          <w:rFonts w:ascii="Bookman Old Style" w:hAnsi="Bookman Old Style"/>
          <w:lang w:val="id-ID"/>
        </w:rPr>
        <w:t>pekerja/pegawai</w:t>
      </w:r>
      <w:r w:rsidR="00A954D0">
        <w:rPr>
          <w:rFonts w:ascii="Bookman Old Style" w:hAnsi="Bookman Old Style"/>
          <w:lang w:val="id-ID"/>
        </w:rPr>
        <w:t xml:space="preserve"> </w:t>
      </w:r>
      <w:r w:rsidR="003B7FE4" w:rsidRPr="00BE5EFB">
        <w:rPr>
          <w:rFonts w:ascii="Bookman Old Style" w:hAnsi="Bookman Old Style"/>
          <w:lang w:val="id-ID"/>
        </w:rPr>
        <w:t>yang</w:t>
      </w:r>
      <w:r w:rsidR="00A954D0">
        <w:rPr>
          <w:rFonts w:ascii="Bookman Old Style" w:hAnsi="Bookman Old Style"/>
          <w:lang w:val="id-ID"/>
        </w:rPr>
        <w:t xml:space="preserve"> </w:t>
      </w:r>
      <w:r w:rsidR="003B7FE4" w:rsidRPr="00BE5EFB">
        <w:rPr>
          <w:rFonts w:ascii="Bookman Old Style" w:hAnsi="Bookman Old Style"/>
          <w:lang w:val="id-ID"/>
        </w:rPr>
        <w:t>menerima</w:t>
      </w:r>
      <w:r w:rsidR="00A954D0">
        <w:rPr>
          <w:rFonts w:ascii="Bookman Old Style" w:hAnsi="Bookman Old Style"/>
          <w:lang w:val="id-ID"/>
        </w:rPr>
        <w:t xml:space="preserve"> </w:t>
      </w:r>
      <w:r w:rsidR="003B7FE4" w:rsidRPr="00BE5EFB">
        <w:rPr>
          <w:rFonts w:ascii="Bookman Old Style" w:hAnsi="Bookman Old Style"/>
          <w:lang w:val="id-ID"/>
        </w:rPr>
        <w:t>gaji/upah</w:t>
      </w:r>
      <w:r w:rsidR="00A954D0">
        <w:rPr>
          <w:rFonts w:ascii="Bookman Old Style" w:hAnsi="Bookman Old Style"/>
          <w:lang w:val="id-ID"/>
        </w:rPr>
        <w:t xml:space="preserve"> </w:t>
      </w:r>
      <w:r w:rsidR="003B7FE4" w:rsidRPr="00BE5EFB">
        <w:rPr>
          <w:rFonts w:ascii="Bookman Old Style" w:hAnsi="Bookman Old Style"/>
          <w:lang w:val="id-ID"/>
        </w:rPr>
        <w:t>antara</w:t>
      </w:r>
      <w:r w:rsidR="00A954D0">
        <w:rPr>
          <w:rFonts w:ascii="Bookman Old Style" w:hAnsi="Bookman Old Style"/>
          <w:lang w:val="id-ID"/>
        </w:rPr>
        <w:t xml:space="preserve"> </w:t>
      </w:r>
      <w:r w:rsidR="003B7FE4" w:rsidRPr="00BE5EFB">
        <w:rPr>
          <w:rFonts w:ascii="Bookman Old Style" w:hAnsi="Bookman Old Style"/>
          <w:lang w:val="id-ID"/>
        </w:rPr>
        <w:t>lain</w:t>
      </w:r>
      <w:r w:rsidR="00A954D0">
        <w:rPr>
          <w:rFonts w:ascii="Bookman Old Style" w:hAnsi="Bookman Old Style"/>
          <w:lang w:val="id-ID"/>
        </w:rPr>
        <w:t xml:space="preserve"> </w:t>
      </w:r>
      <w:r w:rsidR="003B7FE4" w:rsidRPr="00BE5EFB">
        <w:rPr>
          <w:rFonts w:ascii="Bookman Old Style" w:hAnsi="Bookman Old Style"/>
          <w:lang w:val="id-ID"/>
        </w:rPr>
        <w:t>Pegawai</w:t>
      </w:r>
      <w:r w:rsidR="00A954D0">
        <w:rPr>
          <w:rFonts w:ascii="Bookman Old Style" w:hAnsi="Bookman Old Style"/>
          <w:lang w:val="id-ID"/>
        </w:rPr>
        <w:t xml:space="preserve"> </w:t>
      </w:r>
      <w:r w:rsidR="003B7FE4" w:rsidRPr="00BE5EFB">
        <w:rPr>
          <w:rFonts w:ascii="Bookman Old Style" w:hAnsi="Bookman Old Style"/>
          <w:lang w:val="id-ID"/>
        </w:rPr>
        <w:t>Non</w:t>
      </w:r>
      <w:r w:rsidR="00A954D0">
        <w:rPr>
          <w:rFonts w:ascii="Bookman Old Style" w:hAnsi="Bookman Old Style"/>
          <w:lang w:val="id-ID"/>
        </w:rPr>
        <w:t xml:space="preserve"> </w:t>
      </w:r>
      <w:r w:rsidR="003B7FE4" w:rsidRPr="00BE5EFB">
        <w:rPr>
          <w:rFonts w:ascii="Bookman Old Style" w:hAnsi="Bookman Old Style"/>
          <w:lang w:val="id-ID"/>
        </w:rPr>
        <w:t>Pegawai</w:t>
      </w:r>
      <w:r w:rsidR="00A954D0">
        <w:rPr>
          <w:rFonts w:ascii="Bookman Old Style" w:hAnsi="Bookman Old Style"/>
          <w:lang w:val="id-ID"/>
        </w:rPr>
        <w:t xml:space="preserve"> </w:t>
      </w:r>
      <w:r w:rsidR="003B7FE4" w:rsidRPr="00BE5EFB">
        <w:rPr>
          <w:rFonts w:ascii="Bookman Old Style" w:hAnsi="Bookman Old Style"/>
          <w:lang w:val="id-ID"/>
        </w:rPr>
        <w:t>Negeri</w:t>
      </w:r>
      <w:r w:rsidR="00A954D0">
        <w:rPr>
          <w:rFonts w:ascii="Bookman Old Style" w:hAnsi="Bookman Old Style"/>
          <w:lang w:val="id-ID"/>
        </w:rPr>
        <w:t xml:space="preserve"> </w:t>
      </w:r>
      <w:r w:rsidR="003B7FE4" w:rsidRPr="00BE5EFB">
        <w:rPr>
          <w:rFonts w:ascii="Bookman Old Style" w:hAnsi="Bookman Old Style"/>
          <w:lang w:val="id-ID"/>
        </w:rPr>
        <w:t>Sipil</w:t>
      </w:r>
      <w:r w:rsidR="00A954D0">
        <w:rPr>
          <w:rFonts w:ascii="Bookman Old Style" w:hAnsi="Bookman Old Style"/>
          <w:lang w:val="id-ID"/>
        </w:rPr>
        <w:t xml:space="preserve"> </w:t>
      </w:r>
      <w:r w:rsidR="003B7FE4" w:rsidRPr="00BE5EFB">
        <w:rPr>
          <w:rFonts w:ascii="Bookman Old Style" w:hAnsi="Bookman Old Style"/>
          <w:lang w:val="id-ID"/>
        </w:rPr>
        <w:t>Daerah</w:t>
      </w:r>
      <w:r w:rsidR="00A954D0">
        <w:rPr>
          <w:rFonts w:ascii="Bookman Old Style" w:hAnsi="Bookman Old Style"/>
          <w:lang w:val="id-ID"/>
        </w:rPr>
        <w:t xml:space="preserve"> </w:t>
      </w:r>
      <w:r w:rsidR="003B7FE4" w:rsidRPr="00BE5EFB">
        <w:rPr>
          <w:rFonts w:ascii="Bookman Old Style" w:hAnsi="Bookman Old Style"/>
          <w:lang w:val="id-ID"/>
        </w:rPr>
        <w:t>(PNPNSD)</w:t>
      </w:r>
      <w:r w:rsidR="00A954D0">
        <w:rPr>
          <w:rFonts w:ascii="Bookman Old Style" w:hAnsi="Bookman Old Style"/>
          <w:lang w:val="id-ID"/>
        </w:rPr>
        <w:t xml:space="preserve"> </w:t>
      </w:r>
      <w:r w:rsidR="003B7FE4" w:rsidRPr="00BE5EFB">
        <w:rPr>
          <w:rFonts w:ascii="Bookman Old Style" w:hAnsi="Bookman Old Style"/>
          <w:lang w:val="id-ID"/>
        </w:rPr>
        <w:t>yang</w:t>
      </w:r>
      <w:r w:rsidR="00A954D0">
        <w:rPr>
          <w:rFonts w:ascii="Bookman Old Style" w:hAnsi="Bookman Old Style"/>
          <w:lang w:val="id-ID"/>
        </w:rPr>
        <w:t xml:space="preserve"> </w:t>
      </w:r>
      <w:r w:rsidR="003B7FE4" w:rsidRPr="00BE5EFB">
        <w:rPr>
          <w:rFonts w:ascii="Bookman Old Style" w:hAnsi="Bookman Old Style"/>
          <w:lang w:val="id-ID"/>
        </w:rPr>
        <w:t>dipekerjakan</w:t>
      </w:r>
      <w:r w:rsidR="00A954D0">
        <w:rPr>
          <w:rFonts w:ascii="Bookman Old Style" w:hAnsi="Bookman Old Style"/>
          <w:lang w:val="id-ID"/>
        </w:rPr>
        <w:t xml:space="preserve"> </w:t>
      </w:r>
      <w:r w:rsidR="003B7FE4" w:rsidRPr="00BE5EFB">
        <w:rPr>
          <w:rFonts w:ascii="Bookman Old Style" w:hAnsi="Bookman Old Style"/>
          <w:lang w:val="id-ID"/>
        </w:rPr>
        <w:t>melalui</w:t>
      </w:r>
      <w:r w:rsidR="00A954D0">
        <w:rPr>
          <w:rFonts w:ascii="Bookman Old Style" w:hAnsi="Bookman Old Style"/>
          <w:lang w:val="id-ID"/>
        </w:rPr>
        <w:t xml:space="preserve"> </w:t>
      </w:r>
      <w:r w:rsidR="003B7FE4" w:rsidRPr="00BE5EFB">
        <w:rPr>
          <w:rFonts w:ascii="Bookman Old Style" w:hAnsi="Bookman Old Style"/>
          <w:lang w:val="id-ID"/>
        </w:rPr>
        <w:t>perjanjian</w:t>
      </w:r>
      <w:r w:rsidR="00A954D0">
        <w:rPr>
          <w:rFonts w:ascii="Bookman Old Style" w:hAnsi="Bookman Old Style"/>
          <w:lang w:val="id-ID"/>
        </w:rPr>
        <w:t xml:space="preserve"> </w:t>
      </w:r>
      <w:r w:rsidR="003B7FE4" w:rsidRPr="00BE5EFB">
        <w:rPr>
          <w:rFonts w:ascii="Bookman Old Style" w:hAnsi="Bookman Old Style"/>
          <w:lang w:val="id-ID"/>
        </w:rPr>
        <w:t>kerja/kontrak</w:t>
      </w:r>
      <w:r w:rsidR="00A954D0">
        <w:rPr>
          <w:rFonts w:ascii="Bookman Old Style" w:hAnsi="Bookman Old Style"/>
          <w:lang w:val="id-ID"/>
        </w:rPr>
        <w:t xml:space="preserve"> </w:t>
      </w:r>
      <w:r w:rsidR="003B7FE4" w:rsidRPr="00BE5EFB">
        <w:rPr>
          <w:rFonts w:ascii="Bookman Old Style" w:hAnsi="Bookman Old Style"/>
          <w:lang w:val="id-ID"/>
        </w:rPr>
        <w:t>sebagai</w:t>
      </w:r>
      <w:r w:rsidR="00A954D0">
        <w:rPr>
          <w:rFonts w:ascii="Bookman Old Style" w:hAnsi="Bookman Old Style"/>
          <w:lang w:val="id-ID"/>
        </w:rPr>
        <w:t xml:space="preserve"> </w:t>
      </w:r>
      <w:r w:rsidR="003B7FE4" w:rsidRPr="00BE5EFB">
        <w:rPr>
          <w:rFonts w:ascii="Bookman Old Style" w:hAnsi="Bookman Old Style"/>
          <w:lang w:val="id-ID"/>
        </w:rPr>
        <w:t>perlindungan</w:t>
      </w:r>
      <w:r w:rsidR="00A954D0">
        <w:rPr>
          <w:rFonts w:ascii="Bookman Old Style" w:hAnsi="Bookman Old Style"/>
          <w:lang w:val="id-ID"/>
        </w:rPr>
        <w:t xml:space="preserve"> </w:t>
      </w:r>
      <w:r w:rsidR="003B7FE4" w:rsidRPr="00BE5EFB">
        <w:rPr>
          <w:rFonts w:ascii="Bookman Old Style" w:hAnsi="Bookman Old Style"/>
          <w:lang w:val="id-ID"/>
        </w:rPr>
        <w:t>kesehatan,</w:t>
      </w:r>
      <w:r w:rsidR="00A954D0">
        <w:rPr>
          <w:rFonts w:ascii="Bookman Old Style" w:hAnsi="Bookman Old Style"/>
          <w:lang w:val="id-ID"/>
        </w:rPr>
        <w:t xml:space="preserve"> </w:t>
      </w:r>
      <w:r w:rsidR="003B7FE4" w:rsidRPr="00BE5EFB">
        <w:rPr>
          <w:rFonts w:ascii="Bookman Old Style" w:hAnsi="Bookman Old Style"/>
          <w:lang w:val="id-ID"/>
        </w:rPr>
        <w:t>perlindungan</w:t>
      </w:r>
      <w:r w:rsidR="00A954D0">
        <w:rPr>
          <w:rFonts w:ascii="Bookman Old Style" w:hAnsi="Bookman Old Style"/>
          <w:lang w:val="id-ID"/>
        </w:rPr>
        <w:t xml:space="preserve"> </w:t>
      </w:r>
      <w:r w:rsidR="003B7FE4" w:rsidRPr="00BE5EFB">
        <w:rPr>
          <w:rFonts w:ascii="Bookman Old Style" w:hAnsi="Bookman Old Style"/>
          <w:lang w:val="id-ID"/>
        </w:rPr>
        <w:t>atas</w:t>
      </w:r>
      <w:r w:rsidR="00A954D0">
        <w:rPr>
          <w:rFonts w:ascii="Bookman Old Style" w:hAnsi="Bookman Old Style"/>
          <w:lang w:val="id-ID"/>
        </w:rPr>
        <w:t xml:space="preserve"> </w:t>
      </w:r>
      <w:r w:rsidR="003B7FE4" w:rsidRPr="00B70AFB">
        <w:rPr>
          <w:rFonts w:ascii="Bookman Old Style" w:hAnsi="Bookman Old Style"/>
          <w:lang w:val="id-ID"/>
        </w:rPr>
        <w:t>risiko</w:t>
      </w:r>
      <w:r w:rsidR="00A954D0">
        <w:rPr>
          <w:rFonts w:ascii="Bookman Old Style" w:hAnsi="Bookman Old Style"/>
          <w:lang w:val="id-ID"/>
        </w:rPr>
        <w:t xml:space="preserve"> </w:t>
      </w:r>
      <w:r w:rsidR="003B7FE4" w:rsidRPr="00B70AFB">
        <w:rPr>
          <w:rFonts w:ascii="Bookman Old Style" w:hAnsi="Bookman Old Style"/>
          <w:lang w:val="id-ID"/>
        </w:rPr>
        <w:t>kecelakaan</w:t>
      </w:r>
      <w:r w:rsidR="00A954D0">
        <w:rPr>
          <w:rFonts w:ascii="Bookman Old Style" w:hAnsi="Bookman Old Style"/>
          <w:lang w:val="id-ID"/>
        </w:rPr>
        <w:t xml:space="preserve"> </w:t>
      </w:r>
      <w:r w:rsidR="003B7FE4" w:rsidRPr="00B70AFB">
        <w:rPr>
          <w:rFonts w:ascii="Bookman Old Style" w:hAnsi="Bookman Old Style"/>
          <w:lang w:val="id-ID"/>
        </w:rPr>
        <w:t>kerja</w:t>
      </w:r>
      <w:r w:rsidR="00A954D0">
        <w:rPr>
          <w:rFonts w:ascii="Bookman Old Style" w:hAnsi="Bookman Old Style"/>
          <w:lang w:val="id-ID"/>
        </w:rPr>
        <w:t xml:space="preserve"> </w:t>
      </w:r>
      <w:r w:rsidR="003B7FE4" w:rsidRPr="00B70AFB">
        <w:rPr>
          <w:rFonts w:ascii="Bookman Old Style" w:hAnsi="Bookman Old Style"/>
          <w:lang w:val="id-ID"/>
        </w:rPr>
        <w:t>atau</w:t>
      </w:r>
      <w:r w:rsidR="00A954D0">
        <w:rPr>
          <w:rFonts w:ascii="Bookman Old Style" w:hAnsi="Bookman Old Style"/>
          <w:lang w:val="id-ID"/>
        </w:rPr>
        <w:t xml:space="preserve"> </w:t>
      </w:r>
      <w:r w:rsidR="003B7FE4" w:rsidRPr="00B70AFB">
        <w:rPr>
          <w:rFonts w:ascii="Bookman Old Style" w:hAnsi="Bookman Old Style"/>
          <w:lang w:val="id-ID"/>
        </w:rPr>
        <w:t>penyakit</w:t>
      </w:r>
      <w:r w:rsidR="00A954D0">
        <w:rPr>
          <w:rFonts w:ascii="Bookman Old Style" w:hAnsi="Bookman Old Style"/>
          <w:lang w:val="id-ID"/>
        </w:rPr>
        <w:t xml:space="preserve"> </w:t>
      </w:r>
      <w:r w:rsidR="003B7FE4" w:rsidRPr="00B70AFB">
        <w:rPr>
          <w:rFonts w:ascii="Bookman Old Style" w:hAnsi="Bookman Old Style"/>
          <w:lang w:val="id-ID"/>
        </w:rPr>
        <w:t>akibat</w:t>
      </w:r>
      <w:r w:rsidR="00A954D0">
        <w:rPr>
          <w:rFonts w:ascii="Bookman Old Style" w:hAnsi="Bookman Old Style"/>
          <w:lang w:val="id-ID"/>
        </w:rPr>
        <w:t xml:space="preserve"> </w:t>
      </w:r>
      <w:r w:rsidR="003B7FE4" w:rsidRPr="00B70AFB">
        <w:rPr>
          <w:rFonts w:ascii="Bookman Old Style" w:hAnsi="Bookman Old Style"/>
          <w:lang w:val="id-ID"/>
        </w:rPr>
        <w:t>kerja</w:t>
      </w:r>
      <w:r w:rsidR="00A954D0">
        <w:rPr>
          <w:rFonts w:ascii="Bookman Old Style" w:hAnsi="Bookman Old Style"/>
          <w:lang w:val="id-ID"/>
        </w:rPr>
        <w:t xml:space="preserve"> </w:t>
      </w:r>
      <w:r w:rsidR="003B7FE4" w:rsidRPr="00B70AFB">
        <w:rPr>
          <w:rFonts w:ascii="Bookman Old Style" w:hAnsi="Bookman Old Style"/>
          <w:lang w:val="id-ID"/>
        </w:rPr>
        <w:t>berupa</w:t>
      </w:r>
      <w:r w:rsidR="00A954D0">
        <w:rPr>
          <w:rFonts w:ascii="Bookman Old Style" w:hAnsi="Bookman Old Style"/>
          <w:lang w:val="id-ID"/>
        </w:rPr>
        <w:t xml:space="preserve"> </w:t>
      </w:r>
      <w:r w:rsidR="003B7FE4" w:rsidRPr="00B70AFB">
        <w:rPr>
          <w:rFonts w:ascii="Bookman Old Style" w:hAnsi="Bookman Old Style"/>
          <w:lang w:val="id-ID"/>
        </w:rPr>
        <w:t>perawatan,</w:t>
      </w:r>
      <w:r w:rsidR="00A954D0">
        <w:rPr>
          <w:rFonts w:ascii="Bookman Old Style" w:hAnsi="Bookman Old Style"/>
          <w:lang w:val="id-ID"/>
        </w:rPr>
        <w:t xml:space="preserve"> </w:t>
      </w:r>
      <w:r w:rsidR="003B7FE4" w:rsidRPr="00B70AFB">
        <w:rPr>
          <w:rFonts w:ascii="Bookman Old Style" w:hAnsi="Bookman Old Style"/>
          <w:lang w:val="id-ID"/>
        </w:rPr>
        <w:t>santunan,</w:t>
      </w:r>
      <w:r w:rsidR="00A954D0">
        <w:rPr>
          <w:rFonts w:ascii="Bookman Old Style" w:hAnsi="Bookman Old Style"/>
          <w:lang w:val="id-ID"/>
        </w:rPr>
        <w:t xml:space="preserve"> </w:t>
      </w:r>
      <w:r w:rsidR="003B7FE4" w:rsidRPr="00B70AFB">
        <w:rPr>
          <w:rFonts w:ascii="Bookman Old Style" w:hAnsi="Bookman Old Style"/>
          <w:lang w:val="id-ID"/>
        </w:rPr>
        <w:t>dan</w:t>
      </w:r>
      <w:r w:rsidR="00A954D0">
        <w:rPr>
          <w:rFonts w:ascii="Bookman Old Style" w:hAnsi="Bookman Old Style"/>
          <w:lang w:val="id-ID"/>
        </w:rPr>
        <w:t xml:space="preserve"> </w:t>
      </w:r>
      <w:r w:rsidR="003B7FE4" w:rsidRPr="00B70AFB">
        <w:rPr>
          <w:rFonts w:ascii="Bookman Old Style" w:hAnsi="Bookman Old Style"/>
          <w:lang w:val="id-ID"/>
        </w:rPr>
        <w:t>tunjangan</w:t>
      </w:r>
      <w:r w:rsidR="00A954D0">
        <w:rPr>
          <w:rFonts w:ascii="Bookman Old Style" w:hAnsi="Bookman Old Style"/>
          <w:lang w:val="id-ID"/>
        </w:rPr>
        <w:t xml:space="preserve"> </w:t>
      </w:r>
      <w:r w:rsidR="003B7FE4" w:rsidRPr="00B70AFB">
        <w:rPr>
          <w:rFonts w:ascii="Bookman Old Style" w:hAnsi="Bookman Old Style"/>
          <w:lang w:val="id-ID"/>
        </w:rPr>
        <w:t>cacat,</w:t>
      </w:r>
      <w:r w:rsidR="00A954D0">
        <w:rPr>
          <w:rFonts w:ascii="Bookman Old Style" w:hAnsi="Bookman Old Style"/>
          <w:lang w:val="id-ID"/>
        </w:rPr>
        <w:t xml:space="preserve"> </w:t>
      </w:r>
      <w:r w:rsidR="003B7FE4" w:rsidRPr="00B70AFB">
        <w:rPr>
          <w:rFonts w:ascii="Bookman Old Style" w:hAnsi="Bookman Old Style"/>
          <w:lang w:val="id-ID"/>
        </w:rPr>
        <w:t>serta</w:t>
      </w:r>
      <w:r w:rsidR="00A954D0">
        <w:rPr>
          <w:rFonts w:ascii="Bookman Old Style" w:hAnsi="Bookman Old Style"/>
          <w:lang w:val="id-ID"/>
        </w:rPr>
        <w:t xml:space="preserve"> </w:t>
      </w:r>
      <w:r w:rsidR="003B7FE4" w:rsidRPr="00B70AFB">
        <w:rPr>
          <w:rFonts w:ascii="Bookman Old Style" w:hAnsi="Bookman Old Style"/>
          <w:lang w:val="id-ID"/>
        </w:rPr>
        <w:t>sebagai</w:t>
      </w:r>
      <w:r w:rsidR="00A954D0">
        <w:rPr>
          <w:rFonts w:ascii="Bookman Old Style" w:hAnsi="Bookman Old Style"/>
          <w:lang w:val="id-ID"/>
        </w:rPr>
        <w:t xml:space="preserve"> </w:t>
      </w:r>
      <w:r w:rsidR="003B7FE4" w:rsidRPr="00B70AFB">
        <w:rPr>
          <w:rFonts w:ascii="Bookman Old Style" w:hAnsi="Bookman Old Style"/>
          <w:lang w:val="id-ID"/>
        </w:rPr>
        <w:t>perlindungan</w:t>
      </w:r>
      <w:r w:rsidR="00A954D0">
        <w:rPr>
          <w:rFonts w:ascii="Bookman Old Style" w:hAnsi="Bookman Old Style"/>
          <w:lang w:val="id-ID"/>
        </w:rPr>
        <w:t xml:space="preserve"> </w:t>
      </w:r>
      <w:r w:rsidR="003B7FE4" w:rsidRPr="00B70AFB">
        <w:rPr>
          <w:rFonts w:ascii="Bookman Old Style" w:hAnsi="Bookman Old Style"/>
          <w:lang w:val="id-ID"/>
        </w:rPr>
        <w:t>atas</w:t>
      </w:r>
      <w:r w:rsidR="00A954D0">
        <w:rPr>
          <w:rFonts w:ascii="Bookman Old Style" w:hAnsi="Bookman Old Style"/>
          <w:lang w:val="id-ID"/>
        </w:rPr>
        <w:t xml:space="preserve"> </w:t>
      </w:r>
      <w:r w:rsidR="003B7FE4" w:rsidRPr="00B70AFB">
        <w:rPr>
          <w:rFonts w:ascii="Bookman Old Style" w:hAnsi="Bookman Old Style"/>
          <w:lang w:val="id-ID"/>
        </w:rPr>
        <w:t>risiko</w:t>
      </w:r>
      <w:r w:rsidR="00A954D0">
        <w:rPr>
          <w:rFonts w:ascii="Bookman Old Style" w:hAnsi="Bookman Old Style"/>
          <w:lang w:val="id-ID"/>
        </w:rPr>
        <w:t xml:space="preserve"> </w:t>
      </w:r>
      <w:r w:rsidR="003B7FE4" w:rsidRPr="00B70AFB">
        <w:rPr>
          <w:rFonts w:ascii="Bookman Old Style" w:hAnsi="Bookman Old Style"/>
          <w:lang w:val="id-ID"/>
        </w:rPr>
        <w:t>kematian</w:t>
      </w:r>
      <w:r w:rsidR="00A954D0">
        <w:rPr>
          <w:rFonts w:ascii="Bookman Old Style" w:hAnsi="Bookman Old Style"/>
          <w:lang w:val="id-ID"/>
        </w:rPr>
        <w:t xml:space="preserve"> </w:t>
      </w:r>
      <w:r w:rsidR="003B7FE4" w:rsidRPr="00B70AFB">
        <w:rPr>
          <w:rFonts w:ascii="Bookman Old Style" w:hAnsi="Bookman Old Style"/>
          <w:lang w:val="id-ID"/>
        </w:rPr>
        <w:t>bukan</w:t>
      </w:r>
      <w:r w:rsidR="00A954D0">
        <w:rPr>
          <w:rFonts w:ascii="Bookman Old Style" w:hAnsi="Bookman Old Style"/>
          <w:lang w:val="id-ID"/>
        </w:rPr>
        <w:t xml:space="preserve"> </w:t>
      </w:r>
      <w:r w:rsidR="003B7FE4" w:rsidRPr="00B70AFB">
        <w:rPr>
          <w:rFonts w:ascii="Bookman Old Style" w:hAnsi="Bookman Old Style"/>
          <w:lang w:val="id-ID"/>
        </w:rPr>
        <w:t>akibat</w:t>
      </w:r>
      <w:r w:rsidR="00A954D0">
        <w:rPr>
          <w:rFonts w:ascii="Bookman Old Style" w:hAnsi="Bookman Old Style"/>
          <w:lang w:val="id-ID"/>
        </w:rPr>
        <w:t xml:space="preserve"> </w:t>
      </w:r>
      <w:r w:rsidR="003B7FE4" w:rsidRPr="00B70AFB">
        <w:rPr>
          <w:rFonts w:ascii="Bookman Old Style" w:hAnsi="Bookman Old Style"/>
          <w:lang w:val="id-ID"/>
        </w:rPr>
        <w:t>kecelakaan</w:t>
      </w:r>
      <w:r w:rsidR="00A954D0">
        <w:rPr>
          <w:rFonts w:ascii="Bookman Old Style" w:hAnsi="Bookman Old Style"/>
          <w:lang w:val="id-ID"/>
        </w:rPr>
        <w:t xml:space="preserve"> </w:t>
      </w:r>
      <w:r w:rsidR="003B7FE4" w:rsidRPr="00B70AFB">
        <w:rPr>
          <w:rFonts w:ascii="Bookman Old Style" w:hAnsi="Bookman Old Style"/>
          <w:lang w:val="id-ID"/>
        </w:rPr>
        <w:t>kerja</w:t>
      </w:r>
      <w:r w:rsidR="00A954D0">
        <w:rPr>
          <w:rFonts w:ascii="Bookman Old Style" w:hAnsi="Bookman Old Style"/>
          <w:lang w:val="id-ID"/>
        </w:rPr>
        <w:t xml:space="preserve"> </w:t>
      </w:r>
      <w:r w:rsidR="003B7FE4" w:rsidRPr="00B70AFB">
        <w:rPr>
          <w:rFonts w:ascii="Bookman Old Style" w:hAnsi="Bookman Old Style"/>
          <w:lang w:val="id-ID"/>
        </w:rPr>
        <w:t>berupa</w:t>
      </w:r>
      <w:r w:rsidR="00A954D0">
        <w:rPr>
          <w:rFonts w:ascii="Bookman Old Style" w:hAnsi="Bookman Old Style"/>
          <w:lang w:val="id-ID"/>
        </w:rPr>
        <w:t xml:space="preserve"> </w:t>
      </w:r>
      <w:r w:rsidR="003B7FE4" w:rsidRPr="00B70AFB">
        <w:rPr>
          <w:rFonts w:ascii="Bookman Old Style" w:hAnsi="Bookman Old Style"/>
          <w:lang w:val="id-ID"/>
        </w:rPr>
        <w:t>santunan</w:t>
      </w:r>
      <w:r w:rsidR="00A954D0">
        <w:rPr>
          <w:rFonts w:ascii="Bookman Old Style" w:hAnsi="Bookman Old Style"/>
          <w:lang w:val="id-ID"/>
        </w:rPr>
        <w:t xml:space="preserve"> </w:t>
      </w:r>
      <w:r w:rsidR="003B7FE4" w:rsidRPr="00B70AFB">
        <w:rPr>
          <w:rFonts w:ascii="Bookman Old Style" w:hAnsi="Bookman Old Style"/>
          <w:lang w:val="id-ID"/>
        </w:rPr>
        <w:t>kematian</w:t>
      </w:r>
      <w:r w:rsidR="003B7FE4" w:rsidRPr="00B70AFB">
        <w:rPr>
          <w:rFonts w:ascii="Bookman Old Style" w:hAnsi="Bookman Old Style"/>
          <w:lang w:val="en-US"/>
        </w:rPr>
        <w:t>,</w:t>
      </w:r>
      <w:r w:rsidR="00A954D0">
        <w:rPr>
          <w:rFonts w:ascii="Bookman Old Style" w:hAnsi="Bookman Old Style"/>
          <w:lang w:val="id-ID"/>
        </w:rPr>
        <w:t xml:space="preserve"> </w:t>
      </w:r>
      <w:r w:rsidR="003B7FE4" w:rsidRPr="00B70AFB">
        <w:rPr>
          <w:rFonts w:ascii="Bookman Old Style" w:hAnsi="Bookman Old Style" w:cs="Arial"/>
        </w:rPr>
        <w:t>sebagaimana</w:t>
      </w:r>
      <w:r w:rsidR="00A954D0">
        <w:rPr>
          <w:rFonts w:ascii="Bookman Old Style" w:hAnsi="Bookman Old Style" w:cs="Arial"/>
        </w:rPr>
        <w:t xml:space="preserve"> </w:t>
      </w:r>
      <w:r w:rsidR="003B7FE4" w:rsidRPr="00B70AFB">
        <w:rPr>
          <w:rFonts w:ascii="Bookman Old Style" w:hAnsi="Bookman Old Style" w:cs="Arial"/>
        </w:rPr>
        <w:t>maksud</w:t>
      </w:r>
      <w:r w:rsidR="00A954D0">
        <w:rPr>
          <w:rFonts w:ascii="Bookman Old Style" w:hAnsi="Bookman Old Style" w:cs="Arial"/>
        </w:rPr>
        <w:t xml:space="preserve"> </w:t>
      </w:r>
      <w:r w:rsidR="003B7FE4" w:rsidRPr="00B70AFB">
        <w:rPr>
          <w:rFonts w:ascii="Bookman Old Style" w:hAnsi="Bookman Old Style" w:cs="Arial"/>
        </w:rPr>
        <w:t>butir</w:t>
      </w:r>
      <w:r w:rsidR="00A954D0">
        <w:rPr>
          <w:rFonts w:ascii="Bookman Old Style" w:hAnsi="Bookman Old Style" w:cs="Arial"/>
        </w:rPr>
        <w:t xml:space="preserve"> </w:t>
      </w:r>
      <w:r w:rsidR="003B7FE4" w:rsidRPr="00B70AFB">
        <w:rPr>
          <w:rFonts w:ascii="Bookman Old Style" w:hAnsi="Bookman Old Style" w:cs="Arial"/>
          <w:lang w:val="en-US"/>
        </w:rPr>
        <w:t>3.4.1.2.2.b.11)</w:t>
      </w:r>
      <w:r w:rsidR="00A954D0">
        <w:rPr>
          <w:rFonts w:ascii="Bookman Old Style" w:hAnsi="Bookman Old Style" w:cs="Arial"/>
          <w:lang w:val="id-ID"/>
        </w:rPr>
        <w:t xml:space="preserve"> </w:t>
      </w:r>
      <w:r w:rsidR="003B7FE4" w:rsidRPr="00B70AFB">
        <w:rPr>
          <w:rFonts w:ascii="Bookman Old Style" w:hAnsi="Bookman Old Style" w:cs="Arial"/>
          <w:lang w:val="en-US"/>
        </w:rPr>
        <w:t>dan</w:t>
      </w:r>
      <w:r w:rsidR="00A954D0">
        <w:rPr>
          <w:rFonts w:ascii="Bookman Old Style" w:hAnsi="Bookman Old Style" w:cs="Arial"/>
          <w:lang w:val="en-US"/>
        </w:rPr>
        <w:t xml:space="preserve"> </w:t>
      </w:r>
      <w:r w:rsidR="003B7FE4" w:rsidRPr="00B70AFB">
        <w:rPr>
          <w:rFonts w:ascii="Bookman Old Style" w:hAnsi="Bookman Old Style" w:cs="Arial"/>
        </w:rPr>
        <w:t>butir</w:t>
      </w:r>
      <w:r w:rsidR="00A954D0">
        <w:rPr>
          <w:rFonts w:ascii="Bookman Old Style" w:hAnsi="Bookman Old Style" w:cs="Arial"/>
        </w:rPr>
        <w:t xml:space="preserve"> </w:t>
      </w:r>
      <w:r w:rsidR="003B7FE4" w:rsidRPr="00B70AFB">
        <w:rPr>
          <w:rFonts w:ascii="Bookman Old Style" w:hAnsi="Bookman Old Style" w:cs="Arial"/>
          <w:lang w:val="en-US"/>
        </w:rPr>
        <w:t>3.4.1.2.2.b.12)</w:t>
      </w:r>
      <w:r w:rsidR="00A954D0">
        <w:rPr>
          <w:rFonts w:ascii="Bookman Old Style" w:hAnsi="Bookman Old Style" w:cs="Arial"/>
          <w:lang w:val="en-US"/>
        </w:rPr>
        <w:t xml:space="preserve"> </w:t>
      </w:r>
      <w:r w:rsidR="003B7FE4" w:rsidRPr="00B70AFB">
        <w:rPr>
          <w:rFonts w:ascii="Bookman Old Style" w:hAnsi="Bookman Old Style"/>
          <w:lang w:val="id-ID"/>
        </w:rPr>
        <w:t>Lampiran</w:t>
      </w:r>
      <w:r w:rsidR="00A954D0">
        <w:rPr>
          <w:rFonts w:ascii="Bookman Old Style" w:hAnsi="Bookman Old Style"/>
          <w:lang w:val="id-ID"/>
        </w:rPr>
        <w:t xml:space="preserve"> </w:t>
      </w:r>
      <w:r w:rsidR="003B7FE4" w:rsidRPr="00B70AFB">
        <w:rPr>
          <w:rFonts w:ascii="Bookman Old Style" w:hAnsi="Bookman Old Style"/>
          <w:lang w:val="id-ID"/>
        </w:rPr>
        <w:t>Peraturan</w:t>
      </w:r>
      <w:r w:rsidR="00A954D0">
        <w:rPr>
          <w:rFonts w:ascii="Bookman Old Style" w:hAnsi="Bookman Old Style"/>
          <w:lang w:val="id-ID"/>
        </w:rPr>
        <w:t xml:space="preserve"> </w:t>
      </w:r>
      <w:r w:rsidR="003B7FE4" w:rsidRPr="00B70AFB">
        <w:rPr>
          <w:rFonts w:ascii="Bookman Old Style" w:hAnsi="Bookman Old Style"/>
          <w:lang w:val="id-ID"/>
        </w:rPr>
        <w:t>Menteri</w:t>
      </w:r>
      <w:r w:rsidR="00A954D0">
        <w:rPr>
          <w:rFonts w:ascii="Bookman Old Style" w:hAnsi="Bookman Old Style"/>
          <w:lang w:val="id-ID"/>
        </w:rPr>
        <w:t xml:space="preserve"> </w:t>
      </w:r>
      <w:r w:rsidR="003B7FE4" w:rsidRPr="00B70AFB">
        <w:rPr>
          <w:rFonts w:ascii="Bookman Old Style" w:hAnsi="Bookman Old Style"/>
          <w:lang w:val="id-ID"/>
        </w:rPr>
        <w:t>Dalam</w:t>
      </w:r>
      <w:r w:rsidR="00A954D0">
        <w:rPr>
          <w:rFonts w:ascii="Bookman Old Style" w:hAnsi="Bookman Old Style"/>
          <w:lang w:val="id-ID"/>
        </w:rPr>
        <w:t xml:space="preserve"> </w:t>
      </w:r>
      <w:r w:rsidR="003B7FE4" w:rsidRPr="00B70AFB">
        <w:rPr>
          <w:rFonts w:ascii="Bookman Old Style" w:hAnsi="Bookman Old Style"/>
          <w:lang w:val="id-ID"/>
        </w:rPr>
        <w:t>Negeri</w:t>
      </w:r>
      <w:r w:rsidR="00A954D0">
        <w:rPr>
          <w:rFonts w:ascii="Bookman Old Style" w:hAnsi="Bookman Old Style"/>
          <w:lang w:val="id-ID"/>
        </w:rPr>
        <w:t xml:space="preserve"> </w:t>
      </w:r>
      <w:r w:rsidR="003B7FE4" w:rsidRPr="00B70AFB">
        <w:rPr>
          <w:rFonts w:ascii="Bookman Old Style" w:hAnsi="Bookman Old Style"/>
          <w:lang w:val="id-ID"/>
        </w:rPr>
        <w:t>Nomor</w:t>
      </w:r>
      <w:r w:rsidR="00A954D0">
        <w:rPr>
          <w:rFonts w:ascii="Bookman Old Style" w:hAnsi="Bookman Old Style"/>
          <w:lang w:val="id-ID"/>
        </w:rPr>
        <w:t xml:space="preserve"> </w:t>
      </w:r>
      <w:r w:rsidR="003B7FE4" w:rsidRPr="00B70AFB">
        <w:rPr>
          <w:rFonts w:ascii="Bookman Old Style" w:hAnsi="Bookman Old Style"/>
          <w:lang w:val="id-ID"/>
        </w:rPr>
        <w:t>15</w:t>
      </w:r>
      <w:r w:rsidR="00A954D0">
        <w:rPr>
          <w:rFonts w:ascii="Bookman Old Style" w:hAnsi="Bookman Old Style"/>
          <w:lang w:val="id-ID"/>
        </w:rPr>
        <w:t xml:space="preserve"> </w:t>
      </w:r>
      <w:r w:rsidR="003B7FE4" w:rsidRPr="00B70AFB">
        <w:rPr>
          <w:rFonts w:ascii="Bookman Old Style" w:hAnsi="Bookman Old Style"/>
          <w:lang w:val="id-ID"/>
        </w:rPr>
        <w:t>Tahun</w:t>
      </w:r>
      <w:r w:rsidR="00A954D0">
        <w:rPr>
          <w:rFonts w:ascii="Bookman Old Style" w:hAnsi="Bookman Old Style"/>
          <w:lang w:val="id-ID"/>
        </w:rPr>
        <w:t xml:space="preserve"> </w:t>
      </w:r>
      <w:r w:rsidR="003B7FE4" w:rsidRPr="00B70AFB">
        <w:rPr>
          <w:rFonts w:ascii="Bookman Old Style" w:hAnsi="Bookman Old Style"/>
          <w:lang w:val="id-ID"/>
        </w:rPr>
        <w:t>2024</w:t>
      </w:r>
      <w:r w:rsidR="003B7FE4" w:rsidRPr="00B70AFB">
        <w:rPr>
          <w:rFonts w:ascii="Bookman Old Style" w:hAnsi="Bookman Old Style" w:cs="Arial"/>
        </w:rPr>
        <w:t>.</w:t>
      </w:r>
    </w:p>
    <w:p w14:paraId="16F9CE39" w14:textId="7AE8ED36" w:rsidR="00FF6439" w:rsidRPr="00B70AFB" w:rsidRDefault="00FF6439" w:rsidP="005668F0">
      <w:pPr>
        <w:pStyle w:val="ListParagraph"/>
        <w:numPr>
          <w:ilvl w:val="1"/>
          <w:numId w:val="32"/>
        </w:numPr>
        <w:spacing w:before="60" w:after="0" w:line="276" w:lineRule="auto"/>
        <w:ind w:left="3261" w:hanging="508"/>
        <w:contextualSpacing w:val="0"/>
        <w:jc w:val="both"/>
        <w:rPr>
          <w:rFonts w:ascii="Bookman Old Style" w:hAnsi="Bookman Old Style"/>
          <w:sz w:val="28"/>
          <w:szCs w:val="28"/>
        </w:rPr>
      </w:pPr>
      <w:r w:rsidRPr="00B70AFB">
        <w:rPr>
          <w:rFonts w:ascii="Bookman Old Style" w:hAnsi="Bookman Old Style"/>
          <w:sz w:val="24"/>
          <w:szCs w:val="24"/>
          <w:lang w:val="en-US"/>
        </w:rPr>
        <w:t>P</w:t>
      </w:r>
      <w:r w:rsidRPr="00B70AFB">
        <w:rPr>
          <w:rFonts w:ascii="Bookman Old Style" w:hAnsi="Bookman Old Style"/>
          <w:sz w:val="24"/>
          <w:szCs w:val="24"/>
          <w:lang w:val="id-ID"/>
        </w:rPr>
        <w:t>enyediaan</w:t>
      </w:r>
      <w:r w:rsidR="00A954D0">
        <w:rPr>
          <w:rFonts w:ascii="Bookman Old Style" w:hAnsi="Bookman Old Style"/>
          <w:sz w:val="24"/>
          <w:szCs w:val="24"/>
          <w:lang w:val="id-ID"/>
        </w:rPr>
        <w:t xml:space="preserve"> </w:t>
      </w:r>
      <w:r w:rsidRPr="00B70AFB">
        <w:rPr>
          <w:rFonts w:ascii="Bookman Old Style" w:hAnsi="Bookman Old Style"/>
          <w:sz w:val="24"/>
          <w:szCs w:val="24"/>
          <w:lang w:val="id-ID"/>
        </w:rPr>
        <w:t>anggaran</w:t>
      </w:r>
      <w:r w:rsidR="00A954D0">
        <w:rPr>
          <w:rFonts w:ascii="Bookman Old Style" w:hAnsi="Bookman Old Style"/>
          <w:sz w:val="24"/>
          <w:szCs w:val="24"/>
          <w:lang w:val="id-ID"/>
        </w:rPr>
        <w:t xml:space="preserve"> </w:t>
      </w:r>
      <w:r w:rsidRPr="00B70AFB">
        <w:rPr>
          <w:rFonts w:ascii="Bookman Old Style" w:hAnsi="Bookman Old Style"/>
          <w:sz w:val="24"/>
          <w:szCs w:val="24"/>
        </w:rPr>
        <w:t>Belanja</w:t>
      </w:r>
      <w:r w:rsidR="00A954D0">
        <w:rPr>
          <w:rFonts w:ascii="Bookman Old Style" w:hAnsi="Bookman Old Style"/>
          <w:sz w:val="24"/>
          <w:szCs w:val="24"/>
        </w:rPr>
        <w:t xml:space="preserve"> </w:t>
      </w:r>
      <w:r w:rsidRPr="00B70AFB">
        <w:rPr>
          <w:rFonts w:ascii="Bookman Old Style" w:hAnsi="Bookman Old Style"/>
          <w:sz w:val="24"/>
          <w:szCs w:val="24"/>
        </w:rPr>
        <w:t>Asuransi</w:t>
      </w:r>
      <w:r w:rsidR="00A954D0">
        <w:rPr>
          <w:rFonts w:ascii="Bookman Old Style" w:hAnsi="Bookman Old Style"/>
          <w:sz w:val="24"/>
          <w:szCs w:val="24"/>
        </w:rPr>
        <w:t xml:space="preserve"> </w:t>
      </w:r>
      <w:r w:rsidRPr="00B70AFB">
        <w:rPr>
          <w:rFonts w:ascii="Bookman Old Style" w:hAnsi="Bookman Old Style"/>
          <w:sz w:val="24"/>
          <w:szCs w:val="24"/>
        </w:rPr>
        <w:t>Barang</w:t>
      </w:r>
      <w:r w:rsidR="00A954D0">
        <w:rPr>
          <w:rFonts w:ascii="Bookman Old Style" w:hAnsi="Bookman Old Style"/>
          <w:sz w:val="24"/>
          <w:szCs w:val="24"/>
        </w:rPr>
        <w:t xml:space="preserve"> </w:t>
      </w:r>
      <w:r w:rsidRPr="00B70AFB">
        <w:rPr>
          <w:rFonts w:ascii="Bookman Old Style" w:hAnsi="Bookman Old Style"/>
          <w:sz w:val="24"/>
          <w:szCs w:val="24"/>
        </w:rPr>
        <w:t>Milik</w:t>
      </w:r>
      <w:r w:rsidR="00A954D0">
        <w:rPr>
          <w:rFonts w:ascii="Bookman Old Style" w:hAnsi="Bookman Old Style"/>
          <w:sz w:val="24"/>
          <w:szCs w:val="24"/>
        </w:rPr>
        <w:t xml:space="preserve"> </w:t>
      </w:r>
      <w:r w:rsidRPr="00B70AFB">
        <w:rPr>
          <w:rFonts w:ascii="Bookman Old Style" w:hAnsi="Bookman Old Style"/>
          <w:sz w:val="24"/>
          <w:szCs w:val="24"/>
        </w:rPr>
        <w:t>Daerah</w:t>
      </w:r>
      <w:r w:rsidR="00A954D0">
        <w:rPr>
          <w:rFonts w:ascii="Bookman Old Style" w:hAnsi="Bookman Old Style"/>
          <w:sz w:val="24"/>
          <w:szCs w:val="24"/>
        </w:rPr>
        <w:t xml:space="preserve"> </w:t>
      </w:r>
      <w:r w:rsidR="00C76A2A" w:rsidRPr="00B70AFB">
        <w:rPr>
          <w:rFonts w:ascii="Bookman Old Style" w:hAnsi="Bookman Old Style"/>
          <w:sz w:val="24"/>
          <w:szCs w:val="24"/>
        </w:rPr>
        <w:t>Rp50.000.000,00</w:t>
      </w:r>
      <w:r w:rsidR="00A954D0">
        <w:rPr>
          <w:rFonts w:ascii="Bookman Old Style" w:hAnsi="Bookman Old Style"/>
          <w:sz w:val="24"/>
          <w:szCs w:val="24"/>
        </w:rPr>
        <w:t xml:space="preserve"> </w:t>
      </w:r>
      <w:r w:rsidR="00C76A2A" w:rsidRPr="00B70AFB">
        <w:rPr>
          <w:rFonts w:ascii="Bookman Old Style" w:hAnsi="Bookman Old Style"/>
          <w:sz w:val="24"/>
          <w:szCs w:val="24"/>
        </w:rPr>
        <w:t>atau</w:t>
      </w:r>
      <w:r w:rsidR="00A954D0">
        <w:rPr>
          <w:rFonts w:ascii="Bookman Old Style" w:hAnsi="Bookman Old Style"/>
          <w:sz w:val="24"/>
          <w:szCs w:val="24"/>
        </w:rPr>
        <w:t xml:space="preserve"> </w:t>
      </w:r>
      <w:r w:rsidR="00C76A2A" w:rsidRPr="00B70AFB">
        <w:rPr>
          <w:rFonts w:ascii="Bookman Old Style" w:hAnsi="Bookman Old Style"/>
          <w:sz w:val="24"/>
          <w:szCs w:val="24"/>
        </w:rPr>
        <w:t>0,001%</w:t>
      </w:r>
      <w:r w:rsidR="00A954D0">
        <w:rPr>
          <w:rFonts w:ascii="Bookman Old Style" w:hAnsi="Bookman Old Style"/>
          <w:sz w:val="24"/>
          <w:szCs w:val="24"/>
        </w:rPr>
        <w:t xml:space="preserve"> </w:t>
      </w:r>
      <w:r w:rsidR="00132442" w:rsidRPr="00B70AFB">
        <w:rPr>
          <w:rFonts w:ascii="Bookman Old Style" w:hAnsi="Bookman Old Style"/>
          <w:sz w:val="24"/>
          <w:szCs w:val="24"/>
        </w:rPr>
        <w:t>dari</w:t>
      </w:r>
      <w:r w:rsidR="00A954D0">
        <w:rPr>
          <w:rFonts w:ascii="Bookman Old Style" w:hAnsi="Bookman Old Style"/>
          <w:sz w:val="24"/>
          <w:szCs w:val="24"/>
        </w:rPr>
        <w:t xml:space="preserve"> </w:t>
      </w:r>
      <w:r w:rsidR="00132442" w:rsidRPr="00B70AFB">
        <w:rPr>
          <w:rFonts w:ascii="Bookman Old Style" w:hAnsi="Bookman Old Style"/>
          <w:sz w:val="24"/>
          <w:szCs w:val="24"/>
        </w:rPr>
        <w:t>total</w:t>
      </w:r>
      <w:r w:rsidR="00A954D0">
        <w:rPr>
          <w:rFonts w:ascii="Bookman Old Style" w:hAnsi="Bookman Old Style"/>
          <w:sz w:val="24"/>
          <w:szCs w:val="24"/>
        </w:rPr>
        <w:t xml:space="preserve"> </w:t>
      </w:r>
      <w:r w:rsidR="00132442" w:rsidRPr="00B70AFB">
        <w:rPr>
          <w:rFonts w:ascii="Bookman Old Style" w:hAnsi="Bookman Old Style"/>
          <w:sz w:val="24"/>
          <w:szCs w:val="24"/>
        </w:rPr>
        <w:t>belanja</w:t>
      </w:r>
      <w:r w:rsidR="00A954D0">
        <w:rPr>
          <w:rFonts w:ascii="Bookman Old Style" w:hAnsi="Bookman Old Style"/>
          <w:sz w:val="24"/>
          <w:szCs w:val="24"/>
        </w:rPr>
        <w:t xml:space="preserve"> </w:t>
      </w:r>
      <w:r w:rsidR="00132442" w:rsidRPr="00B70AFB">
        <w:rPr>
          <w:rFonts w:ascii="Bookman Old Style" w:hAnsi="Bookman Old Style"/>
          <w:sz w:val="24"/>
          <w:szCs w:val="24"/>
        </w:rPr>
        <w:t>daerah</w:t>
      </w:r>
      <w:r w:rsidR="00A954D0">
        <w:rPr>
          <w:rFonts w:ascii="Bookman Old Style" w:hAnsi="Bookman Old Style"/>
          <w:sz w:val="24"/>
          <w:szCs w:val="24"/>
        </w:rPr>
        <w:t xml:space="preserve"> </w:t>
      </w:r>
      <w:r w:rsidRPr="00B70AFB">
        <w:rPr>
          <w:rFonts w:ascii="Bookman Old Style" w:hAnsi="Bookman Old Style"/>
          <w:sz w:val="24"/>
          <w:szCs w:val="24"/>
          <w:lang w:val="id-ID"/>
        </w:rPr>
        <w:t>dalam</w:t>
      </w:r>
      <w:r w:rsidR="00A954D0">
        <w:rPr>
          <w:rFonts w:ascii="Bookman Old Style" w:hAnsi="Bookman Old Style"/>
          <w:sz w:val="24"/>
          <w:szCs w:val="24"/>
          <w:lang w:val="id-ID"/>
        </w:rPr>
        <w:t xml:space="preserve"> </w:t>
      </w:r>
      <w:r w:rsidRPr="00B70AFB">
        <w:rPr>
          <w:rFonts w:ascii="Bookman Old Style" w:hAnsi="Bookman Old Style"/>
          <w:sz w:val="24"/>
          <w:szCs w:val="24"/>
          <w:lang w:val="id-ID"/>
        </w:rPr>
        <w:t>Rancangan</w:t>
      </w:r>
      <w:r w:rsidR="00A954D0">
        <w:rPr>
          <w:rFonts w:ascii="Bookman Old Style" w:hAnsi="Bookman Old Style"/>
          <w:sz w:val="24"/>
          <w:szCs w:val="24"/>
          <w:lang w:val="id-ID"/>
        </w:rPr>
        <w:t xml:space="preserve"> </w:t>
      </w:r>
      <w:r w:rsidRPr="00B70AFB">
        <w:rPr>
          <w:rFonts w:ascii="Bookman Old Style" w:hAnsi="Bookman Old Style"/>
          <w:sz w:val="24"/>
          <w:szCs w:val="24"/>
          <w:lang w:val="id-ID"/>
        </w:rPr>
        <w:t>Peraturan</w:t>
      </w:r>
      <w:r w:rsidR="00A954D0">
        <w:rPr>
          <w:rFonts w:ascii="Bookman Old Style" w:hAnsi="Bookman Old Style"/>
          <w:sz w:val="24"/>
          <w:szCs w:val="24"/>
          <w:lang w:val="id-ID"/>
        </w:rPr>
        <w:t xml:space="preserve"> </w:t>
      </w:r>
      <w:r w:rsidRPr="00B70AFB">
        <w:rPr>
          <w:rFonts w:ascii="Bookman Old Style" w:hAnsi="Bookman Old Style"/>
          <w:sz w:val="24"/>
          <w:szCs w:val="24"/>
          <w:lang w:val="id-ID"/>
        </w:rPr>
        <w:t>Daerah</w:t>
      </w:r>
      <w:r w:rsidR="00A954D0">
        <w:rPr>
          <w:rFonts w:ascii="Bookman Old Style" w:hAnsi="Bookman Old Style"/>
          <w:sz w:val="24"/>
          <w:szCs w:val="24"/>
          <w:lang w:val="id-ID"/>
        </w:rPr>
        <w:t xml:space="preserve"> </w:t>
      </w:r>
      <w:r w:rsidRPr="00B70AFB">
        <w:rPr>
          <w:rFonts w:ascii="Bookman Old Style" w:hAnsi="Bookman Old Style"/>
          <w:sz w:val="24"/>
          <w:szCs w:val="24"/>
          <w:lang w:val="id-ID"/>
        </w:rPr>
        <w:t>Kota</w:t>
      </w:r>
      <w:r w:rsidR="00A954D0">
        <w:rPr>
          <w:rFonts w:ascii="Bookman Old Style" w:hAnsi="Bookman Old Style"/>
          <w:sz w:val="24"/>
          <w:szCs w:val="24"/>
          <w:lang w:val="id-ID"/>
        </w:rPr>
        <w:t xml:space="preserve"> </w:t>
      </w:r>
      <w:r w:rsidR="00770F22" w:rsidRPr="00B70AFB">
        <w:rPr>
          <w:rFonts w:ascii="Bookman Old Style" w:hAnsi="Bookman Old Style"/>
          <w:sz w:val="24"/>
          <w:szCs w:val="24"/>
          <w:lang w:val="id-ID"/>
        </w:rPr>
        <w:t>Tangerang</w:t>
      </w:r>
      <w:r w:rsidR="00A954D0">
        <w:rPr>
          <w:rFonts w:ascii="Bookman Old Style" w:hAnsi="Bookman Old Style"/>
          <w:sz w:val="24"/>
          <w:szCs w:val="24"/>
          <w:lang w:val="id-ID"/>
        </w:rPr>
        <w:t xml:space="preserve"> </w:t>
      </w:r>
      <w:r w:rsidRPr="00B70AFB">
        <w:rPr>
          <w:rFonts w:ascii="Bookman Old Style" w:hAnsi="Bookman Old Style"/>
          <w:sz w:val="24"/>
          <w:szCs w:val="24"/>
          <w:lang w:val="id-ID"/>
        </w:rPr>
        <w:t>tentang</w:t>
      </w:r>
      <w:r w:rsidR="00A954D0">
        <w:rPr>
          <w:rFonts w:ascii="Bookman Old Style" w:hAnsi="Bookman Old Style"/>
          <w:sz w:val="24"/>
          <w:szCs w:val="24"/>
          <w:lang w:val="id-ID"/>
        </w:rPr>
        <w:t xml:space="preserve"> </w:t>
      </w:r>
      <w:r w:rsidRPr="00B70AFB">
        <w:rPr>
          <w:rFonts w:ascii="Bookman Old Style" w:hAnsi="Bookman Old Style"/>
          <w:sz w:val="24"/>
          <w:szCs w:val="24"/>
          <w:lang w:val="id-ID"/>
        </w:rPr>
        <w:lastRenderedPageBreak/>
        <w:t>APBD</w:t>
      </w:r>
      <w:r w:rsidR="00A954D0">
        <w:rPr>
          <w:rFonts w:ascii="Bookman Old Style" w:hAnsi="Bookman Old Style"/>
          <w:sz w:val="24"/>
          <w:szCs w:val="24"/>
          <w:lang w:val="id-ID"/>
        </w:rPr>
        <w:t xml:space="preserve"> </w:t>
      </w:r>
      <w:r w:rsidRPr="00B70AFB">
        <w:rPr>
          <w:rFonts w:ascii="Bookman Old Style" w:hAnsi="Bookman Old Style"/>
          <w:sz w:val="24"/>
          <w:szCs w:val="24"/>
          <w:lang w:val="id-ID"/>
        </w:rPr>
        <w:t>Tahun</w:t>
      </w:r>
      <w:r w:rsidR="00A954D0">
        <w:rPr>
          <w:rFonts w:ascii="Bookman Old Style" w:hAnsi="Bookman Old Style"/>
          <w:sz w:val="24"/>
          <w:szCs w:val="24"/>
          <w:lang w:val="id-ID"/>
        </w:rPr>
        <w:t xml:space="preserve"> </w:t>
      </w:r>
      <w:r w:rsidRPr="00B70AFB">
        <w:rPr>
          <w:rFonts w:ascii="Bookman Old Style" w:hAnsi="Bookman Old Style"/>
          <w:sz w:val="24"/>
          <w:szCs w:val="24"/>
          <w:lang w:val="id-ID"/>
        </w:rPr>
        <w:t>Anggaran</w:t>
      </w:r>
      <w:r w:rsidR="00A954D0">
        <w:rPr>
          <w:rFonts w:ascii="Bookman Old Style" w:hAnsi="Bookman Old Style"/>
          <w:sz w:val="24"/>
          <w:szCs w:val="24"/>
          <w:lang w:val="id-ID"/>
        </w:rPr>
        <w:t xml:space="preserve"> </w:t>
      </w:r>
      <w:r w:rsidRPr="00B70AFB">
        <w:rPr>
          <w:rFonts w:ascii="Bookman Old Style" w:hAnsi="Bookman Old Style"/>
          <w:sz w:val="24"/>
          <w:szCs w:val="24"/>
          <w:lang w:val="id-ID"/>
        </w:rPr>
        <w:t>2025</w:t>
      </w:r>
      <w:r w:rsidR="00A954D0">
        <w:rPr>
          <w:rFonts w:ascii="Bookman Old Style" w:hAnsi="Bookman Old Style"/>
          <w:sz w:val="24"/>
          <w:szCs w:val="24"/>
          <w:lang w:val="id-ID"/>
        </w:rPr>
        <w:t xml:space="preserve"> </w:t>
      </w:r>
      <w:r w:rsidR="00132442" w:rsidRPr="00B70AFB">
        <w:rPr>
          <w:rFonts w:ascii="Bookman Old Style" w:hAnsi="Bookman Old Style"/>
          <w:sz w:val="24"/>
          <w:szCs w:val="24"/>
          <w:lang w:val="id-ID"/>
        </w:rPr>
        <w:t>berpedoman</w:t>
      </w:r>
      <w:r w:rsidR="00A954D0">
        <w:rPr>
          <w:rFonts w:ascii="Bookman Old Style" w:hAnsi="Bookman Old Style"/>
          <w:sz w:val="24"/>
          <w:szCs w:val="24"/>
          <w:lang w:val="id-ID"/>
        </w:rPr>
        <w:t xml:space="preserve"> </w:t>
      </w:r>
      <w:r w:rsidR="00132442" w:rsidRPr="00B70AFB">
        <w:rPr>
          <w:rFonts w:ascii="Bookman Old Style" w:hAnsi="Bookman Old Style"/>
          <w:sz w:val="24"/>
          <w:szCs w:val="24"/>
          <w:lang w:val="id-ID"/>
        </w:rPr>
        <w:t>pada</w:t>
      </w:r>
      <w:r w:rsidR="00A954D0">
        <w:rPr>
          <w:rFonts w:ascii="Bookman Old Style" w:hAnsi="Bookman Old Style"/>
          <w:sz w:val="24"/>
          <w:szCs w:val="24"/>
          <w:lang w:val="id-ID"/>
        </w:rPr>
        <w:t xml:space="preserve"> </w:t>
      </w:r>
      <w:r w:rsidR="00132442" w:rsidRPr="00B70AFB">
        <w:rPr>
          <w:rFonts w:ascii="Bookman Old Style" w:hAnsi="Bookman Old Style"/>
          <w:sz w:val="24"/>
          <w:szCs w:val="24"/>
          <w:lang w:val="id-ID"/>
        </w:rPr>
        <w:t>Peraturan</w:t>
      </w:r>
      <w:r w:rsidR="00A954D0">
        <w:rPr>
          <w:rFonts w:ascii="Bookman Old Style" w:hAnsi="Bookman Old Style"/>
          <w:sz w:val="24"/>
          <w:szCs w:val="24"/>
          <w:lang w:val="id-ID"/>
        </w:rPr>
        <w:t xml:space="preserve"> </w:t>
      </w:r>
      <w:r w:rsidR="00132442" w:rsidRPr="00B70AFB">
        <w:rPr>
          <w:rFonts w:ascii="Bookman Old Style" w:hAnsi="Bookman Old Style"/>
          <w:sz w:val="24"/>
          <w:szCs w:val="24"/>
          <w:lang w:val="id-ID"/>
        </w:rPr>
        <w:t>Pemerintah</w:t>
      </w:r>
      <w:r w:rsidR="00A954D0">
        <w:rPr>
          <w:rFonts w:ascii="Bookman Old Style" w:hAnsi="Bookman Old Style"/>
          <w:sz w:val="24"/>
          <w:szCs w:val="24"/>
          <w:lang w:val="id-ID"/>
        </w:rPr>
        <w:t xml:space="preserve"> </w:t>
      </w:r>
      <w:r w:rsidR="00132442" w:rsidRPr="00B70AFB">
        <w:rPr>
          <w:rFonts w:ascii="Bookman Old Style" w:hAnsi="Bookman Old Style"/>
          <w:sz w:val="24"/>
          <w:szCs w:val="24"/>
          <w:lang w:val="id-ID"/>
        </w:rPr>
        <w:t>Nomor</w:t>
      </w:r>
      <w:r w:rsidR="00A954D0">
        <w:rPr>
          <w:rFonts w:ascii="Bookman Old Style" w:hAnsi="Bookman Old Style"/>
          <w:sz w:val="24"/>
          <w:szCs w:val="24"/>
          <w:lang w:val="id-ID"/>
        </w:rPr>
        <w:t xml:space="preserve"> </w:t>
      </w:r>
      <w:r w:rsidR="00132442" w:rsidRPr="00B70AFB">
        <w:rPr>
          <w:rFonts w:ascii="Bookman Old Style" w:hAnsi="Bookman Old Style"/>
          <w:sz w:val="24"/>
          <w:szCs w:val="24"/>
          <w:lang w:val="id-ID"/>
        </w:rPr>
        <w:t>27</w:t>
      </w:r>
      <w:r w:rsidR="00A954D0">
        <w:rPr>
          <w:rFonts w:ascii="Bookman Old Style" w:hAnsi="Bookman Old Style"/>
          <w:sz w:val="24"/>
          <w:szCs w:val="24"/>
          <w:lang w:val="id-ID"/>
        </w:rPr>
        <w:t xml:space="preserve"> </w:t>
      </w:r>
      <w:r w:rsidR="00132442" w:rsidRPr="00B70AFB">
        <w:rPr>
          <w:rFonts w:ascii="Bookman Old Style" w:hAnsi="Bookman Old Style"/>
          <w:sz w:val="24"/>
          <w:szCs w:val="24"/>
          <w:lang w:val="id-ID"/>
        </w:rPr>
        <w:t>Tahun</w:t>
      </w:r>
      <w:r w:rsidR="00A954D0">
        <w:rPr>
          <w:rFonts w:ascii="Bookman Old Style" w:hAnsi="Bookman Old Style"/>
          <w:sz w:val="24"/>
          <w:szCs w:val="24"/>
          <w:lang w:val="id-ID"/>
        </w:rPr>
        <w:t xml:space="preserve"> </w:t>
      </w:r>
      <w:r w:rsidR="00132442" w:rsidRPr="00B70AFB">
        <w:rPr>
          <w:rFonts w:ascii="Bookman Old Style" w:hAnsi="Bookman Old Style"/>
          <w:sz w:val="24"/>
          <w:szCs w:val="24"/>
          <w:lang w:val="id-ID"/>
        </w:rPr>
        <w:t>2014</w:t>
      </w:r>
      <w:r w:rsidR="00A954D0">
        <w:rPr>
          <w:rFonts w:ascii="Bookman Old Style" w:hAnsi="Bookman Old Style"/>
          <w:sz w:val="24"/>
          <w:szCs w:val="24"/>
          <w:lang w:val="id-ID"/>
        </w:rPr>
        <w:t xml:space="preserve"> </w:t>
      </w:r>
      <w:r w:rsidR="00132442" w:rsidRPr="00B70AFB">
        <w:rPr>
          <w:rFonts w:ascii="Bookman Old Style" w:hAnsi="Bookman Old Style"/>
          <w:sz w:val="24"/>
          <w:szCs w:val="24"/>
          <w:lang w:val="id-ID"/>
        </w:rPr>
        <w:t>sebagaimana</w:t>
      </w:r>
      <w:r w:rsidR="00A954D0">
        <w:rPr>
          <w:rFonts w:ascii="Bookman Old Style" w:hAnsi="Bookman Old Style"/>
          <w:sz w:val="24"/>
          <w:szCs w:val="24"/>
          <w:lang w:val="id-ID"/>
        </w:rPr>
        <w:t xml:space="preserve"> </w:t>
      </w:r>
      <w:r w:rsidR="00132442" w:rsidRPr="00B70AFB">
        <w:rPr>
          <w:rFonts w:ascii="Bookman Old Style" w:hAnsi="Bookman Old Style"/>
          <w:sz w:val="24"/>
          <w:szCs w:val="24"/>
          <w:lang w:val="id-ID"/>
        </w:rPr>
        <w:t>telah</w:t>
      </w:r>
      <w:r w:rsidR="00A954D0">
        <w:rPr>
          <w:rFonts w:ascii="Bookman Old Style" w:hAnsi="Bookman Old Style"/>
          <w:sz w:val="24"/>
          <w:szCs w:val="24"/>
          <w:lang w:val="id-ID"/>
        </w:rPr>
        <w:t xml:space="preserve"> </w:t>
      </w:r>
      <w:r w:rsidR="00132442" w:rsidRPr="00B70AFB">
        <w:rPr>
          <w:rFonts w:ascii="Bookman Old Style" w:hAnsi="Bookman Old Style"/>
          <w:sz w:val="24"/>
          <w:szCs w:val="24"/>
          <w:lang w:val="id-ID"/>
        </w:rPr>
        <w:t>diubah</w:t>
      </w:r>
      <w:r w:rsidR="00A954D0">
        <w:rPr>
          <w:rFonts w:ascii="Bookman Old Style" w:hAnsi="Bookman Old Style"/>
          <w:sz w:val="24"/>
          <w:szCs w:val="24"/>
          <w:lang w:val="id-ID"/>
        </w:rPr>
        <w:t xml:space="preserve"> </w:t>
      </w:r>
      <w:r w:rsidR="00132442" w:rsidRPr="00B70AFB">
        <w:rPr>
          <w:rFonts w:ascii="Bookman Old Style" w:hAnsi="Bookman Old Style"/>
          <w:sz w:val="24"/>
          <w:szCs w:val="24"/>
          <w:lang w:val="id-ID"/>
        </w:rPr>
        <w:t>dengan</w:t>
      </w:r>
      <w:r w:rsidR="00A954D0">
        <w:rPr>
          <w:rFonts w:ascii="Bookman Old Style" w:hAnsi="Bookman Old Style"/>
          <w:sz w:val="24"/>
          <w:szCs w:val="24"/>
          <w:lang w:val="id-ID"/>
        </w:rPr>
        <w:t xml:space="preserve"> </w:t>
      </w:r>
      <w:r w:rsidR="00132442" w:rsidRPr="00B70AFB">
        <w:rPr>
          <w:rFonts w:ascii="Bookman Old Style" w:hAnsi="Bookman Old Style"/>
          <w:sz w:val="24"/>
          <w:szCs w:val="24"/>
          <w:lang w:val="id-ID"/>
        </w:rPr>
        <w:t>Peraturan</w:t>
      </w:r>
      <w:r w:rsidR="00A954D0">
        <w:rPr>
          <w:rFonts w:ascii="Bookman Old Style" w:hAnsi="Bookman Old Style"/>
          <w:sz w:val="24"/>
          <w:szCs w:val="24"/>
          <w:lang w:val="id-ID"/>
        </w:rPr>
        <w:t xml:space="preserve"> </w:t>
      </w:r>
      <w:r w:rsidR="00132442" w:rsidRPr="00B70AFB">
        <w:rPr>
          <w:rFonts w:ascii="Bookman Old Style" w:hAnsi="Bookman Old Style"/>
          <w:sz w:val="24"/>
          <w:szCs w:val="24"/>
          <w:lang w:val="id-ID"/>
        </w:rPr>
        <w:t>Pemerintah</w:t>
      </w:r>
      <w:r w:rsidR="00A954D0">
        <w:rPr>
          <w:rFonts w:ascii="Bookman Old Style" w:hAnsi="Bookman Old Style"/>
          <w:sz w:val="24"/>
          <w:szCs w:val="24"/>
          <w:lang w:val="id-ID"/>
        </w:rPr>
        <w:t xml:space="preserve"> </w:t>
      </w:r>
      <w:r w:rsidR="00132442" w:rsidRPr="00B70AFB">
        <w:rPr>
          <w:rFonts w:ascii="Bookman Old Style" w:hAnsi="Bookman Old Style"/>
          <w:sz w:val="24"/>
          <w:szCs w:val="24"/>
          <w:lang w:val="id-ID"/>
        </w:rPr>
        <w:t>Nomor</w:t>
      </w:r>
      <w:r w:rsidR="00A954D0">
        <w:rPr>
          <w:rFonts w:ascii="Bookman Old Style" w:hAnsi="Bookman Old Style"/>
          <w:sz w:val="24"/>
          <w:szCs w:val="24"/>
          <w:lang w:val="id-ID"/>
        </w:rPr>
        <w:t xml:space="preserve"> </w:t>
      </w:r>
      <w:r w:rsidR="00132442" w:rsidRPr="00B70AFB">
        <w:rPr>
          <w:rFonts w:ascii="Bookman Old Style" w:hAnsi="Bookman Old Style"/>
          <w:sz w:val="24"/>
          <w:szCs w:val="24"/>
          <w:lang w:val="id-ID"/>
        </w:rPr>
        <w:t>28</w:t>
      </w:r>
      <w:r w:rsidR="00A954D0">
        <w:rPr>
          <w:rFonts w:ascii="Bookman Old Style" w:hAnsi="Bookman Old Style"/>
          <w:sz w:val="24"/>
          <w:szCs w:val="24"/>
          <w:lang w:val="id-ID"/>
        </w:rPr>
        <w:t xml:space="preserve"> </w:t>
      </w:r>
      <w:r w:rsidR="00132442" w:rsidRPr="00B70AFB">
        <w:rPr>
          <w:rFonts w:ascii="Bookman Old Style" w:hAnsi="Bookman Old Style"/>
          <w:sz w:val="24"/>
          <w:szCs w:val="24"/>
          <w:lang w:val="id-ID"/>
        </w:rPr>
        <w:t>Tahun</w:t>
      </w:r>
      <w:r w:rsidR="00A954D0">
        <w:rPr>
          <w:rFonts w:ascii="Bookman Old Style" w:hAnsi="Bookman Old Style"/>
          <w:sz w:val="24"/>
          <w:szCs w:val="24"/>
          <w:lang w:val="id-ID"/>
        </w:rPr>
        <w:t xml:space="preserve"> </w:t>
      </w:r>
      <w:r w:rsidR="00132442" w:rsidRPr="00B70AFB">
        <w:rPr>
          <w:rFonts w:ascii="Bookman Old Style" w:hAnsi="Bookman Old Style"/>
          <w:sz w:val="24"/>
          <w:szCs w:val="24"/>
          <w:lang w:val="id-ID"/>
        </w:rPr>
        <w:t>2020.</w:t>
      </w:r>
    </w:p>
    <w:p w14:paraId="7BF98B79" w14:textId="473AEA6A" w:rsidR="003B7FE4" w:rsidRPr="00B70AFB" w:rsidRDefault="003B7FE4" w:rsidP="005668F0">
      <w:pPr>
        <w:pStyle w:val="ListParagraph"/>
        <w:numPr>
          <w:ilvl w:val="0"/>
          <w:numId w:val="22"/>
        </w:numPr>
        <w:spacing w:before="60" w:after="0" w:line="276" w:lineRule="auto"/>
        <w:ind w:left="2694" w:hanging="426"/>
        <w:contextualSpacing w:val="0"/>
        <w:jc w:val="both"/>
        <w:rPr>
          <w:rFonts w:ascii="Bookman Old Style" w:hAnsi="Bookman Old Style"/>
          <w:sz w:val="24"/>
          <w:szCs w:val="24"/>
        </w:rPr>
      </w:pPr>
      <w:r w:rsidRPr="00B70AFB">
        <w:rPr>
          <w:rFonts w:ascii="Bookman Old Style" w:hAnsi="Bookman Old Style"/>
          <w:sz w:val="24"/>
          <w:szCs w:val="24"/>
        </w:rPr>
        <w:t>Penyediaan</w:t>
      </w:r>
      <w:r w:rsidR="00A954D0">
        <w:rPr>
          <w:rFonts w:ascii="Bookman Old Style" w:hAnsi="Bookman Old Style"/>
          <w:sz w:val="24"/>
          <w:szCs w:val="24"/>
        </w:rPr>
        <w:t xml:space="preserve"> </w:t>
      </w:r>
      <w:r w:rsidRPr="00B70AFB">
        <w:rPr>
          <w:rFonts w:ascii="Bookman Old Style" w:hAnsi="Bookman Old Style"/>
          <w:sz w:val="24"/>
          <w:szCs w:val="24"/>
        </w:rPr>
        <w:t>anggaran</w:t>
      </w:r>
      <w:r w:rsidR="00A954D0">
        <w:rPr>
          <w:rFonts w:ascii="Bookman Old Style" w:hAnsi="Bookman Old Style"/>
          <w:sz w:val="24"/>
          <w:szCs w:val="24"/>
        </w:rPr>
        <w:t xml:space="preserve"> </w:t>
      </w:r>
      <w:r w:rsidRPr="00B70AFB">
        <w:rPr>
          <w:rFonts w:ascii="Bookman Old Style" w:hAnsi="Bookman Old Style"/>
          <w:sz w:val="24"/>
          <w:szCs w:val="24"/>
        </w:rPr>
        <w:t>yang</w:t>
      </w:r>
      <w:r w:rsidR="00A954D0">
        <w:rPr>
          <w:rFonts w:ascii="Bookman Old Style" w:hAnsi="Bookman Old Style"/>
          <w:sz w:val="24"/>
          <w:szCs w:val="24"/>
        </w:rPr>
        <w:t xml:space="preserve"> </w:t>
      </w:r>
      <w:r w:rsidRPr="00B70AFB">
        <w:rPr>
          <w:rFonts w:ascii="Bookman Old Style" w:hAnsi="Bookman Old Style"/>
          <w:sz w:val="24"/>
          <w:szCs w:val="24"/>
        </w:rPr>
        <w:t>tercantum</w:t>
      </w:r>
      <w:r w:rsidR="00A954D0">
        <w:rPr>
          <w:rFonts w:ascii="Bookman Old Style" w:hAnsi="Bookman Old Style"/>
          <w:sz w:val="24"/>
          <w:szCs w:val="24"/>
        </w:rPr>
        <w:t xml:space="preserve"> </w:t>
      </w:r>
      <w:r w:rsidRPr="00B70AFB">
        <w:rPr>
          <w:rFonts w:ascii="Bookman Old Style" w:hAnsi="Bookman Old Style"/>
          <w:sz w:val="24"/>
          <w:szCs w:val="24"/>
        </w:rPr>
        <w:t>pada:</w:t>
      </w:r>
    </w:p>
    <w:p w14:paraId="1F51E565" w14:textId="2A7EE14E" w:rsidR="001628BC" w:rsidRPr="00B70AFB" w:rsidRDefault="001628BC" w:rsidP="005668F0">
      <w:pPr>
        <w:pStyle w:val="ListParagraph"/>
        <w:numPr>
          <w:ilvl w:val="0"/>
          <w:numId w:val="142"/>
        </w:numPr>
        <w:spacing w:before="60" w:after="0" w:line="276" w:lineRule="auto"/>
        <w:ind w:left="3261" w:hanging="567"/>
        <w:contextualSpacing w:val="0"/>
        <w:jc w:val="both"/>
        <w:rPr>
          <w:rFonts w:ascii="Bookman Old Style" w:hAnsi="Bookman Old Style"/>
          <w:sz w:val="24"/>
          <w:szCs w:val="24"/>
          <w:lang w:val="en-US"/>
        </w:rPr>
      </w:pPr>
      <w:r w:rsidRPr="00B70AFB">
        <w:rPr>
          <w:rFonts w:ascii="Bookman Old Style" w:hAnsi="Bookman Old Style"/>
          <w:sz w:val="24"/>
          <w:szCs w:val="24"/>
          <w:lang w:val="en-US"/>
        </w:rPr>
        <w:t>Belanja</w:t>
      </w:r>
      <w:r w:rsidR="00A954D0">
        <w:rPr>
          <w:rFonts w:ascii="Bookman Old Style" w:hAnsi="Bookman Old Style"/>
          <w:sz w:val="24"/>
          <w:szCs w:val="24"/>
          <w:lang w:val="en-US"/>
        </w:rPr>
        <w:t xml:space="preserve"> </w:t>
      </w:r>
      <w:r w:rsidRPr="00B70AFB">
        <w:rPr>
          <w:rFonts w:ascii="Bookman Old Style" w:hAnsi="Bookman Old Style"/>
          <w:sz w:val="24"/>
          <w:szCs w:val="24"/>
          <w:lang w:val="en-US"/>
        </w:rPr>
        <w:t>Sewa</w:t>
      </w:r>
      <w:r w:rsidR="00A954D0">
        <w:rPr>
          <w:rFonts w:ascii="Bookman Old Style" w:hAnsi="Bookman Old Style"/>
          <w:sz w:val="24"/>
          <w:szCs w:val="24"/>
          <w:lang w:val="en-US"/>
        </w:rPr>
        <w:t xml:space="preserve"> </w:t>
      </w:r>
      <w:r w:rsidRPr="00B70AFB">
        <w:rPr>
          <w:rFonts w:ascii="Bookman Old Style" w:hAnsi="Bookman Old Style"/>
          <w:sz w:val="24"/>
          <w:szCs w:val="24"/>
          <w:lang w:val="en-US"/>
        </w:rPr>
        <w:t>Tanah</w:t>
      </w:r>
      <w:r w:rsidR="00A954D0">
        <w:rPr>
          <w:rFonts w:ascii="Bookman Old Style" w:hAnsi="Bookman Old Style"/>
          <w:sz w:val="24"/>
          <w:szCs w:val="24"/>
          <w:lang w:val="en-US"/>
        </w:rPr>
        <w:t xml:space="preserve"> </w:t>
      </w:r>
      <w:r w:rsidR="001645E4" w:rsidRPr="00B70AFB">
        <w:rPr>
          <w:rFonts w:ascii="Bookman Old Style" w:hAnsi="Bookman Old Style"/>
          <w:sz w:val="24"/>
          <w:szCs w:val="24"/>
          <w:lang w:val="en-US"/>
        </w:rPr>
        <w:t>Rp1.049.946.000,00</w:t>
      </w:r>
      <w:r w:rsidR="00A954D0">
        <w:rPr>
          <w:rFonts w:ascii="Bookman Old Style" w:hAnsi="Bookman Old Style"/>
          <w:sz w:val="24"/>
          <w:szCs w:val="24"/>
          <w:lang w:val="en-US"/>
        </w:rPr>
        <w:t xml:space="preserve"> </w:t>
      </w:r>
      <w:r w:rsidR="001645E4" w:rsidRPr="00B70AFB">
        <w:rPr>
          <w:rFonts w:ascii="Bookman Old Style" w:hAnsi="Bookman Old Style"/>
          <w:sz w:val="24"/>
          <w:szCs w:val="24"/>
          <w:lang w:val="en-US"/>
        </w:rPr>
        <w:t>atau</w:t>
      </w:r>
      <w:r w:rsidR="00A954D0">
        <w:rPr>
          <w:rFonts w:ascii="Bookman Old Style" w:hAnsi="Bookman Old Style"/>
          <w:sz w:val="24"/>
          <w:szCs w:val="24"/>
          <w:lang w:val="en-US"/>
        </w:rPr>
        <w:t xml:space="preserve"> </w:t>
      </w:r>
      <w:r w:rsidR="001645E4" w:rsidRPr="00B70AFB">
        <w:rPr>
          <w:rFonts w:ascii="Bookman Old Style" w:hAnsi="Bookman Old Style"/>
          <w:sz w:val="24"/>
          <w:szCs w:val="24"/>
          <w:lang w:val="en-US"/>
        </w:rPr>
        <w:t>0,02%</w:t>
      </w:r>
      <w:r w:rsidR="00A954D0">
        <w:rPr>
          <w:rFonts w:ascii="Bookman Old Style" w:hAnsi="Bookman Old Style"/>
          <w:sz w:val="24"/>
          <w:szCs w:val="24"/>
        </w:rPr>
        <w:t xml:space="preserve"> </w:t>
      </w:r>
      <w:r w:rsidRPr="00B70AFB">
        <w:rPr>
          <w:rFonts w:ascii="Bookman Old Style" w:hAnsi="Bookman Old Style"/>
          <w:sz w:val="24"/>
          <w:szCs w:val="24"/>
        </w:rPr>
        <w:t>dari</w:t>
      </w:r>
      <w:r w:rsidR="00A954D0">
        <w:rPr>
          <w:rFonts w:ascii="Bookman Old Style" w:hAnsi="Bookman Old Style"/>
          <w:sz w:val="24"/>
          <w:szCs w:val="24"/>
        </w:rPr>
        <w:t xml:space="preserve"> </w:t>
      </w:r>
      <w:r w:rsidRPr="00B70AFB">
        <w:rPr>
          <w:rFonts w:ascii="Bookman Old Style" w:hAnsi="Bookman Old Style"/>
          <w:sz w:val="24"/>
          <w:szCs w:val="24"/>
        </w:rPr>
        <w:t>total</w:t>
      </w:r>
      <w:r w:rsidR="00A954D0">
        <w:rPr>
          <w:rFonts w:ascii="Bookman Old Style" w:hAnsi="Bookman Old Style"/>
          <w:sz w:val="24"/>
          <w:szCs w:val="24"/>
        </w:rPr>
        <w:t xml:space="preserve"> </w:t>
      </w:r>
      <w:r w:rsidRPr="00B70AFB">
        <w:rPr>
          <w:rFonts w:ascii="Bookman Old Style" w:hAnsi="Bookman Old Style"/>
          <w:sz w:val="24"/>
          <w:szCs w:val="24"/>
        </w:rPr>
        <w:t>belanja</w:t>
      </w:r>
      <w:r w:rsidR="00A954D0">
        <w:rPr>
          <w:rFonts w:ascii="Bookman Old Style" w:hAnsi="Bookman Old Style"/>
          <w:sz w:val="24"/>
          <w:szCs w:val="24"/>
        </w:rPr>
        <w:t xml:space="preserve"> </w:t>
      </w:r>
      <w:r w:rsidRPr="00B70AFB">
        <w:rPr>
          <w:rFonts w:ascii="Bookman Old Style" w:hAnsi="Bookman Old Style"/>
          <w:sz w:val="24"/>
          <w:szCs w:val="24"/>
        </w:rPr>
        <w:t>daerah</w:t>
      </w:r>
      <w:r w:rsidR="00A954D0">
        <w:rPr>
          <w:rFonts w:ascii="Bookman Old Style" w:hAnsi="Bookman Old Style"/>
          <w:sz w:val="24"/>
          <w:szCs w:val="24"/>
        </w:rPr>
        <w:t xml:space="preserve"> </w:t>
      </w:r>
      <w:r w:rsidRPr="00B70AFB">
        <w:rPr>
          <w:rFonts w:ascii="Bookman Old Style" w:hAnsi="Bookman Old Style"/>
          <w:sz w:val="24"/>
          <w:szCs w:val="24"/>
        </w:rPr>
        <w:t>dalam</w:t>
      </w:r>
      <w:r w:rsidR="00A954D0">
        <w:rPr>
          <w:rFonts w:ascii="Bookman Old Style" w:hAnsi="Bookman Old Style"/>
          <w:sz w:val="24"/>
          <w:szCs w:val="24"/>
        </w:rPr>
        <w:t xml:space="preserve"> </w:t>
      </w:r>
      <w:r w:rsidRPr="00B70AFB">
        <w:rPr>
          <w:rFonts w:ascii="Bookman Old Style" w:hAnsi="Bookman Old Style"/>
          <w:sz w:val="24"/>
          <w:szCs w:val="24"/>
        </w:rPr>
        <w:t>Rancangan</w:t>
      </w:r>
      <w:r w:rsidR="00A954D0">
        <w:rPr>
          <w:rFonts w:ascii="Bookman Old Style" w:hAnsi="Bookman Old Style"/>
          <w:sz w:val="24"/>
          <w:szCs w:val="24"/>
        </w:rPr>
        <w:t xml:space="preserve"> </w:t>
      </w:r>
      <w:r w:rsidRPr="00B70AFB">
        <w:rPr>
          <w:rFonts w:ascii="Bookman Old Style" w:hAnsi="Bookman Old Style"/>
          <w:sz w:val="24"/>
          <w:szCs w:val="24"/>
        </w:rPr>
        <w:t>Peraturan</w:t>
      </w:r>
      <w:r w:rsidR="00A954D0">
        <w:rPr>
          <w:rFonts w:ascii="Bookman Old Style" w:hAnsi="Bookman Old Style"/>
          <w:sz w:val="24"/>
          <w:szCs w:val="24"/>
        </w:rPr>
        <w:t xml:space="preserve"> </w:t>
      </w:r>
      <w:r w:rsidRPr="00B70AFB">
        <w:rPr>
          <w:rFonts w:ascii="Bookman Old Style" w:hAnsi="Bookman Old Style"/>
          <w:sz w:val="24"/>
          <w:szCs w:val="24"/>
        </w:rPr>
        <w:t>Daerah</w:t>
      </w:r>
      <w:r w:rsidR="00A954D0">
        <w:rPr>
          <w:rFonts w:ascii="Bookman Old Style" w:hAnsi="Bookman Old Style"/>
          <w:sz w:val="24"/>
          <w:szCs w:val="24"/>
        </w:rPr>
        <w:t xml:space="preserve"> </w:t>
      </w:r>
      <w:r w:rsidRPr="00B70AFB">
        <w:rPr>
          <w:rFonts w:ascii="Bookman Old Style" w:hAnsi="Bookman Old Style"/>
          <w:sz w:val="24"/>
          <w:szCs w:val="24"/>
        </w:rPr>
        <w:t>Kota</w:t>
      </w:r>
      <w:r w:rsidR="00A954D0">
        <w:rPr>
          <w:rFonts w:ascii="Bookman Old Style" w:hAnsi="Bookman Old Style"/>
          <w:sz w:val="24"/>
          <w:szCs w:val="24"/>
        </w:rPr>
        <w:t xml:space="preserve"> </w:t>
      </w:r>
      <w:r w:rsidR="00770F22" w:rsidRPr="00B70AFB">
        <w:rPr>
          <w:rFonts w:ascii="Bookman Old Style" w:hAnsi="Bookman Old Style"/>
          <w:sz w:val="24"/>
          <w:szCs w:val="24"/>
        </w:rPr>
        <w:t>Tangerang</w:t>
      </w:r>
      <w:r w:rsidR="00A954D0">
        <w:rPr>
          <w:rFonts w:ascii="Bookman Old Style" w:hAnsi="Bookman Old Style"/>
          <w:sz w:val="24"/>
          <w:szCs w:val="24"/>
        </w:rPr>
        <w:t xml:space="preserve"> </w:t>
      </w:r>
      <w:r w:rsidRPr="00B70AFB">
        <w:rPr>
          <w:rFonts w:ascii="Bookman Old Style" w:hAnsi="Bookman Old Style"/>
          <w:sz w:val="24"/>
          <w:szCs w:val="24"/>
        </w:rPr>
        <w:t>tentang</w:t>
      </w:r>
      <w:r w:rsidR="00A954D0">
        <w:rPr>
          <w:rFonts w:ascii="Bookman Old Style" w:hAnsi="Bookman Old Style"/>
          <w:sz w:val="24"/>
          <w:szCs w:val="24"/>
        </w:rPr>
        <w:t xml:space="preserve"> </w:t>
      </w:r>
      <w:r w:rsidRPr="00B70AFB">
        <w:rPr>
          <w:rFonts w:ascii="Bookman Old Style" w:hAnsi="Bookman Old Style"/>
          <w:sz w:val="24"/>
          <w:szCs w:val="24"/>
        </w:rPr>
        <w:t>APBD</w:t>
      </w:r>
      <w:r w:rsidR="00A954D0">
        <w:rPr>
          <w:rFonts w:ascii="Bookman Old Style" w:hAnsi="Bookman Old Style"/>
          <w:sz w:val="24"/>
          <w:szCs w:val="24"/>
        </w:rPr>
        <w:t xml:space="preserve"> </w:t>
      </w:r>
      <w:r w:rsidRPr="00B70AFB">
        <w:rPr>
          <w:rFonts w:ascii="Bookman Old Style" w:hAnsi="Bookman Old Style"/>
          <w:sz w:val="24"/>
          <w:szCs w:val="24"/>
        </w:rPr>
        <w:t>Tahun</w:t>
      </w:r>
      <w:r w:rsidR="00A954D0">
        <w:rPr>
          <w:rFonts w:ascii="Bookman Old Style" w:hAnsi="Bookman Old Style"/>
          <w:sz w:val="24"/>
          <w:szCs w:val="24"/>
        </w:rPr>
        <w:t xml:space="preserve"> </w:t>
      </w:r>
      <w:r w:rsidRPr="00B70AFB">
        <w:rPr>
          <w:rFonts w:ascii="Bookman Old Style" w:hAnsi="Bookman Old Style"/>
          <w:sz w:val="24"/>
          <w:szCs w:val="24"/>
        </w:rPr>
        <w:t>Anggaran</w:t>
      </w:r>
      <w:r w:rsidR="00A954D0">
        <w:rPr>
          <w:rFonts w:ascii="Bookman Old Style" w:hAnsi="Bookman Old Style"/>
          <w:sz w:val="24"/>
          <w:szCs w:val="24"/>
        </w:rPr>
        <w:t xml:space="preserve"> </w:t>
      </w:r>
      <w:r w:rsidRPr="00B70AFB">
        <w:rPr>
          <w:rFonts w:ascii="Bookman Old Style" w:hAnsi="Bookman Old Style"/>
          <w:sz w:val="24"/>
          <w:szCs w:val="24"/>
        </w:rPr>
        <w:t>2025,</w:t>
      </w:r>
      <w:r w:rsidR="00A954D0">
        <w:rPr>
          <w:rFonts w:ascii="Bookman Old Style" w:hAnsi="Bookman Old Style"/>
          <w:sz w:val="24"/>
          <w:szCs w:val="24"/>
        </w:rPr>
        <w:t xml:space="preserve"> </w:t>
      </w:r>
      <w:r w:rsidRPr="00B70AFB">
        <w:rPr>
          <w:rFonts w:ascii="Bookman Old Style" w:hAnsi="Bookman Old Style"/>
          <w:sz w:val="24"/>
          <w:szCs w:val="24"/>
        </w:rPr>
        <w:t>yang</w:t>
      </w:r>
      <w:r w:rsidR="00A954D0">
        <w:rPr>
          <w:rFonts w:ascii="Bookman Old Style" w:hAnsi="Bookman Old Style"/>
          <w:sz w:val="24"/>
          <w:szCs w:val="24"/>
        </w:rPr>
        <w:t xml:space="preserve"> </w:t>
      </w:r>
      <w:r w:rsidRPr="00B70AFB">
        <w:rPr>
          <w:rFonts w:ascii="Bookman Old Style" w:hAnsi="Bookman Old Style"/>
          <w:sz w:val="24"/>
          <w:szCs w:val="24"/>
        </w:rPr>
        <w:t>diuraikan</w:t>
      </w:r>
      <w:r w:rsidR="00A954D0">
        <w:rPr>
          <w:rFonts w:ascii="Bookman Old Style" w:hAnsi="Bookman Old Style"/>
          <w:sz w:val="24"/>
          <w:szCs w:val="24"/>
        </w:rPr>
        <w:t xml:space="preserve"> </w:t>
      </w:r>
      <w:r w:rsidRPr="00B70AFB">
        <w:rPr>
          <w:rFonts w:ascii="Bookman Old Style" w:hAnsi="Bookman Old Style"/>
          <w:sz w:val="24"/>
          <w:szCs w:val="24"/>
        </w:rPr>
        <w:t>ke</w:t>
      </w:r>
      <w:r w:rsidR="00A954D0">
        <w:rPr>
          <w:rFonts w:ascii="Bookman Old Style" w:hAnsi="Bookman Old Style"/>
          <w:sz w:val="24"/>
          <w:szCs w:val="24"/>
        </w:rPr>
        <w:t xml:space="preserve"> </w:t>
      </w:r>
      <w:r w:rsidRPr="00B70AFB">
        <w:rPr>
          <w:rFonts w:ascii="Bookman Old Style" w:hAnsi="Bookman Old Style"/>
          <w:sz w:val="24"/>
          <w:szCs w:val="24"/>
        </w:rPr>
        <w:t>dalam</w:t>
      </w:r>
      <w:r w:rsidR="00A954D0">
        <w:rPr>
          <w:rFonts w:ascii="Bookman Old Style" w:hAnsi="Bookman Old Style"/>
          <w:sz w:val="24"/>
          <w:szCs w:val="24"/>
        </w:rPr>
        <w:t xml:space="preserve"> </w:t>
      </w:r>
      <w:r w:rsidRPr="00B70AFB">
        <w:rPr>
          <w:rFonts w:ascii="Bookman Old Style" w:hAnsi="Bookman Old Style"/>
          <w:sz w:val="24"/>
          <w:szCs w:val="24"/>
        </w:rPr>
        <w:t>sub</w:t>
      </w:r>
      <w:r w:rsidR="00A954D0">
        <w:rPr>
          <w:rFonts w:ascii="Bookman Old Style" w:hAnsi="Bookman Old Style"/>
          <w:sz w:val="24"/>
          <w:szCs w:val="24"/>
        </w:rPr>
        <w:t xml:space="preserve"> </w:t>
      </w:r>
      <w:r w:rsidRPr="00B70AFB">
        <w:rPr>
          <w:rFonts w:ascii="Bookman Old Style" w:hAnsi="Bookman Old Style"/>
          <w:sz w:val="24"/>
          <w:szCs w:val="24"/>
        </w:rPr>
        <w:t>rincian</w:t>
      </w:r>
      <w:r w:rsidR="00A954D0">
        <w:rPr>
          <w:rFonts w:ascii="Bookman Old Style" w:hAnsi="Bookman Old Style"/>
          <w:sz w:val="24"/>
          <w:szCs w:val="24"/>
        </w:rPr>
        <w:t xml:space="preserve"> </w:t>
      </w:r>
      <w:r w:rsidRPr="00B70AFB">
        <w:rPr>
          <w:rFonts w:ascii="Bookman Old Style" w:hAnsi="Bookman Old Style"/>
          <w:sz w:val="24"/>
          <w:szCs w:val="24"/>
        </w:rPr>
        <w:t>objek</w:t>
      </w:r>
      <w:r w:rsidR="00A954D0">
        <w:rPr>
          <w:rFonts w:ascii="Bookman Old Style" w:hAnsi="Bookman Old Style"/>
          <w:sz w:val="24"/>
          <w:szCs w:val="24"/>
          <w:lang w:val="en-US"/>
        </w:rPr>
        <w:t xml:space="preserve"> </w:t>
      </w:r>
      <w:r w:rsidR="006B1B7D" w:rsidRPr="00B70AFB">
        <w:rPr>
          <w:rFonts w:ascii="Bookman Old Style" w:hAnsi="Bookman Old Style"/>
          <w:sz w:val="24"/>
          <w:szCs w:val="24"/>
          <w:lang w:val="en-US"/>
        </w:rPr>
        <w:t>Belanja</w:t>
      </w:r>
      <w:r w:rsidR="00A954D0">
        <w:rPr>
          <w:rFonts w:ascii="Bookman Old Style" w:hAnsi="Bookman Old Style"/>
          <w:sz w:val="24"/>
          <w:szCs w:val="24"/>
          <w:lang w:val="en-US"/>
        </w:rPr>
        <w:t xml:space="preserve"> </w:t>
      </w:r>
      <w:r w:rsidR="006B1B7D" w:rsidRPr="00B70AFB">
        <w:rPr>
          <w:rFonts w:ascii="Bookman Old Style" w:hAnsi="Bookman Old Style"/>
          <w:sz w:val="24"/>
          <w:szCs w:val="24"/>
          <w:lang w:val="en-US"/>
        </w:rPr>
        <w:t>Sewa</w:t>
      </w:r>
      <w:r w:rsidR="00A954D0">
        <w:rPr>
          <w:rFonts w:ascii="Bookman Old Style" w:hAnsi="Bookman Old Style"/>
          <w:sz w:val="24"/>
          <w:szCs w:val="24"/>
          <w:lang w:val="en-US"/>
        </w:rPr>
        <w:t xml:space="preserve"> </w:t>
      </w:r>
      <w:r w:rsidR="006B1B7D" w:rsidRPr="00B70AFB">
        <w:rPr>
          <w:rFonts w:ascii="Bookman Old Style" w:hAnsi="Bookman Old Style"/>
          <w:sz w:val="24"/>
          <w:szCs w:val="24"/>
          <w:lang w:val="en-US"/>
        </w:rPr>
        <w:t>Tanah</w:t>
      </w:r>
      <w:r w:rsidR="00A954D0">
        <w:rPr>
          <w:rFonts w:ascii="Bookman Old Style" w:hAnsi="Bookman Old Style"/>
          <w:sz w:val="24"/>
          <w:szCs w:val="24"/>
          <w:lang w:val="en-US"/>
        </w:rPr>
        <w:t xml:space="preserve"> </w:t>
      </w:r>
      <w:r w:rsidR="006B1B7D" w:rsidRPr="00B70AFB">
        <w:rPr>
          <w:rFonts w:ascii="Bookman Old Style" w:hAnsi="Bookman Old Style"/>
          <w:sz w:val="24"/>
          <w:szCs w:val="24"/>
          <w:lang w:val="en-US"/>
        </w:rPr>
        <w:t>untuk</w:t>
      </w:r>
      <w:r w:rsidR="00A954D0">
        <w:rPr>
          <w:rFonts w:ascii="Bookman Old Style" w:hAnsi="Bookman Old Style"/>
          <w:sz w:val="24"/>
          <w:szCs w:val="24"/>
          <w:lang w:val="en-US"/>
        </w:rPr>
        <w:t xml:space="preserve"> </w:t>
      </w:r>
      <w:r w:rsidR="006B1B7D" w:rsidRPr="00B70AFB">
        <w:rPr>
          <w:rFonts w:ascii="Bookman Old Style" w:hAnsi="Bookman Old Style"/>
          <w:sz w:val="24"/>
          <w:szCs w:val="24"/>
          <w:lang w:val="en-US"/>
        </w:rPr>
        <w:t>Bangunan</w:t>
      </w:r>
      <w:r w:rsidR="00A954D0">
        <w:rPr>
          <w:rFonts w:ascii="Bookman Old Style" w:hAnsi="Bookman Old Style"/>
          <w:sz w:val="24"/>
          <w:szCs w:val="24"/>
          <w:lang w:val="en-US"/>
        </w:rPr>
        <w:t xml:space="preserve"> </w:t>
      </w:r>
      <w:r w:rsidR="006B1B7D" w:rsidRPr="00B70AFB">
        <w:rPr>
          <w:rFonts w:ascii="Bookman Old Style" w:hAnsi="Bookman Old Style"/>
          <w:sz w:val="24"/>
          <w:szCs w:val="24"/>
          <w:lang w:val="en-US"/>
        </w:rPr>
        <w:t>Tempat</w:t>
      </w:r>
      <w:r w:rsidR="00A954D0">
        <w:rPr>
          <w:rFonts w:ascii="Bookman Old Style" w:hAnsi="Bookman Old Style"/>
          <w:sz w:val="24"/>
          <w:szCs w:val="24"/>
          <w:lang w:val="en-US"/>
        </w:rPr>
        <w:t xml:space="preserve"> </w:t>
      </w:r>
      <w:r w:rsidR="006B1B7D" w:rsidRPr="00B70AFB">
        <w:rPr>
          <w:rFonts w:ascii="Bookman Old Style" w:hAnsi="Bookman Old Style"/>
          <w:sz w:val="24"/>
          <w:szCs w:val="24"/>
          <w:lang w:val="en-US"/>
        </w:rPr>
        <w:t>Kerja</w:t>
      </w:r>
      <w:r w:rsidRPr="00B70AFB">
        <w:rPr>
          <w:rFonts w:ascii="Bookman Old Style" w:hAnsi="Bookman Old Style"/>
          <w:sz w:val="24"/>
          <w:szCs w:val="24"/>
          <w:lang w:val="en-US"/>
        </w:rPr>
        <w:t>;</w:t>
      </w:r>
    </w:p>
    <w:p w14:paraId="2F68AE0C" w14:textId="14ED8BA9" w:rsidR="003B7FE4" w:rsidRPr="00B70AFB" w:rsidRDefault="003B7FE4" w:rsidP="005668F0">
      <w:pPr>
        <w:pStyle w:val="ListParagraph"/>
        <w:numPr>
          <w:ilvl w:val="0"/>
          <w:numId w:val="142"/>
        </w:numPr>
        <w:spacing w:before="60" w:after="0" w:line="276" w:lineRule="auto"/>
        <w:ind w:left="3261" w:hanging="567"/>
        <w:contextualSpacing w:val="0"/>
        <w:jc w:val="both"/>
        <w:rPr>
          <w:rFonts w:ascii="Bookman Old Style" w:hAnsi="Bookman Old Style"/>
          <w:sz w:val="24"/>
          <w:szCs w:val="24"/>
          <w:lang w:val="en-US"/>
        </w:rPr>
      </w:pPr>
      <w:r w:rsidRPr="00B70AFB">
        <w:rPr>
          <w:rFonts w:ascii="Bookman Old Style" w:hAnsi="Bookman Old Style"/>
          <w:sz w:val="24"/>
          <w:szCs w:val="24"/>
        </w:rPr>
        <w:t>Belanja</w:t>
      </w:r>
      <w:r w:rsidR="00A954D0">
        <w:rPr>
          <w:rFonts w:ascii="Bookman Old Style" w:hAnsi="Bookman Old Style"/>
          <w:sz w:val="24"/>
          <w:szCs w:val="24"/>
        </w:rPr>
        <w:t xml:space="preserve"> </w:t>
      </w:r>
      <w:r w:rsidRPr="00B70AFB">
        <w:rPr>
          <w:rFonts w:ascii="Bookman Old Style" w:hAnsi="Bookman Old Style"/>
          <w:sz w:val="24"/>
          <w:szCs w:val="24"/>
        </w:rPr>
        <w:t>Sewa</w:t>
      </w:r>
      <w:r w:rsidR="00A954D0">
        <w:rPr>
          <w:rFonts w:ascii="Bookman Old Style" w:hAnsi="Bookman Old Style"/>
          <w:sz w:val="24"/>
          <w:szCs w:val="24"/>
        </w:rPr>
        <w:t xml:space="preserve"> </w:t>
      </w:r>
      <w:r w:rsidRPr="00B70AFB">
        <w:rPr>
          <w:rFonts w:ascii="Bookman Old Style" w:hAnsi="Bookman Old Style"/>
          <w:sz w:val="24"/>
          <w:szCs w:val="24"/>
        </w:rPr>
        <w:t>Peralatan</w:t>
      </w:r>
      <w:r w:rsidR="00A954D0">
        <w:rPr>
          <w:rFonts w:ascii="Bookman Old Style" w:hAnsi="Bookman Old Style"/>
          <w:sz w:val="24"/>
          <w:szCs w:val="24"/>
        </w:rPr>
        <w:t xml:space="preserve"> </w:t>
      </w:r>
      <w:r w:rsidRPr="00B70AFB">
        <w:rPr>
          <w:rFonts w:ascii="Bookman Old Style" w:hAnsi="Bookman Old Style"/>
          <w:sz w:val="24"/>
          <w:szCs w:val="24"/>
        </w:rPr>
        <w:t>dan</w:t>
      </w:r>
      <w:r w:rsidR="00A954D0">
        <w:rPr>
          <w:rFonts w:ascii="Bookman Old Style" w:hAnsi="Bookman Old Style"/>
          <w:sz w:val="24"/>
          <w:szCs w:val="24"/>
        </w:rPr>
        <w:t xml:space="preserve"> </w:t>
      </w:r>
      <w:r w:rsidRPr="00B70AFB">
        <w:rPr>
          <w:rFonts w:ascii="Bookman Old Style" w:hAnsi="Bookman Old Style"/>
          <w:sz w:val="24"/>
          <w:szCs w:val="24"/>
        </w:rPr>
        <w:t>Mesin</w:t>
      </w:r>
      <w:r w:rsidR="00A954D0">
        <w:rPr>
          <w:rFonts w:ascii="Bookman Old Style" w:hAnsi="Bookman Old Style"/>
          <w:sz w:val="24"/>
          <w:szCs w:val="24"/>
        </w:rPr>
        <w:t xml:space="preserve"> </w:t>
      </w:r>
      <w:r w:rsidR="008250C5" w:rsidRPr="00B70AFB">
        <w:rPr>
          <w:rFonts w:ascii="Bookman Old Style" w:hAnsi="Bookman Old Style"/>
          <w:sz w:val="24"/>
          <w:szCs w:val="24"/>
        </w:rPr>
        <w:t>Rp22.930.864.460,00</w:t>
      </w:r>
      <w:r w:rsidR="00A954D0">
        <w:rPr>
          <w:rFonts w:ascii="Bookman Old Style" w:hAnsi="Bookman Old Style"/>
          <w:sz w:val="24"/>
          <w:szCs w:val="24"/>
        </w:rPr>
        <w:t xml:space="preserve"> </w:t>
      </w:r>
      <w:r w:rsidR="008250C5" w:rsidRPr="00B70AFB">
        <w:rPr>
          <w:rFonts w:ascii="Bookman Old Style" w:hAnsi="Bookman Old Style"/>
          <w:sz w:val="24"/>
          <w:szCs w:val="24"/>
        </w:rPr>
        <w:t>atau</w:t>
      </w:r>
      <w:r w:rsidR="00A954D0">
        <w:rPr>
          <w:rFonts w:ascii="Bookman Old Style" w:hAnsi="Bookman Old Style"/>
          <w:sz w:val="24"/>
          <w:szCs w:val="24"/>
        </w:rPr>
        <w:t xml:space="preserve"> </w:t>
      </w:r>
      <w:r w:rsidR="008250C5" w:rsidRPr="00B70AFB">
        <w:rPr>
          <w:rFonts w:ascii="Bookman Old Style" w:hAnsi="Bookman Old Style"/>
          <w:sz w:val="24"/>
          <w:szCs w:val="24"/>
        </w:rPr>
        <w:t>0,40%</w:t>
      </w:r>
      <w:r w:rsidR="00A954D0">
        <w:rPr>
          <w:rFonts w:ascii="Bookman Old Style" w:hAnsi="Bookman Old Style"/>
          <w:sz w:val="24"/>
          <w:szCs w:val="24"/>
        </w:rPr>
        <w:t xml:space="preserve"> </w:t>
      </w:r>
      <w:r w:rsidRPr="00B70AFB">
        <w:rPr>
          <w:rFonts w:ascii="Bookman Old Style" w:hAnsi="Bookman Old Style"/>
          <w:sz w:val="24"/>
          <w:szCs w:val="24"/>
        </w:rPr>
        <w:t>dari</w:t>
      </w:r>
      <w:r w:rsidR="00A954D0">
        <w:rPr>
          <w:rFonts w:ascii="Bookman Old Style" w:hAnsi="Bookman Old Style"/>
          <w:sz w:val="24"/>
          <w:szCs w:val="24"/>
        </w:rPr>
        <w:t xml:space="preserve"> </w:t>
      </w:r>
      <w:r w:rsidRPr="00B70AFB">
        <w:rPr>
          <w:rFonts w:ascii="Bookman Old Style" w:hAnsi="Bookman Old Style"/>
          <w:sz w:val="24"/>
          <w:szCs w:val="24"/>
        </w:rPr>
        <w:t>total</w:t>
      </w:r>
      <w:r w:rsidR="00A954D0">
        <w:rPr>
          <w:rFonts w:ascii="Bookman Old Style" w:hAnsi="Bookman Old Style"/>
          <w:sz w:val="24"/>
          <w:szCs w:val="24"/>
        </w:rPr>
        <w:t xml:space="preserve"> </w:t>
      </w:r>
      <w:r w:rsidRPr="00B70AFB">
        <w:rPr>
          <w:rFonts w:ascii="Bookman Old Style" w:hAnsi="Bookman Old Style"/>
          <w:sz w:val="24"/>
          <w:szCs w:val="24"/>
        </w:rPr>
        <w:t>belanja</w:t>
      </w:r>
      <w:r w:rsidR="00A954D0">
        <w:rPr>
          <w:rFonts w:ascii="Bookman Old Style" w:hAnsi="Bookman Old Style"/>
          <w:sz w:val="24"/>
          <w:szCs w:val="24"/>
        </w:rPr>
        <w:t xml:space="preserve"> </w:t>
      </w:r>
      <w:r w:rsidRPr="00B70AFB">
        <w:rPr>
          <w:rFonts w:ascii="Bookman Old Style" w:hAnsi="Bookman Old Style"/>
          <w:sz w:val="24"/>
          <w:szCs w:val="24"/>
        </w:rPr>
        <w:t>daerah</w:t>
      </w:r>
      <w:r w:rsidR="00A954D0">
        <w:rPr>
          <w:rFonts w:ascii="Bookman Old Style" w:hAnsi="Bookman Old Style"/>
          <w:sz w:val="24"/>
          <w:szCs w:val="24"/>
        </w:rPr>
        <w:t xml:space="preserve"> </w:t>
      </w:r>
      <w:r w:rsidRPr="00B70AFB">
        <w:rPr>
          <w:rFonts w:ascii="Bookman Old Style" w:hAnsi="Bookman Old Style"/>
          <w:sz w:val="24"/>
          <w:szCs w:val="24"/>
        </w:rPr>
        <w:t>dalam</w:t>
      </w:r>
      <w:r w:rsidR="00A954D0">
        <w:rPr>
          <w:rFonts w:ascii="Bookman Old Style" w:hAnsi="Bookman Old Style"/>
          <w:sz w:val="24"/>
          <w:szCs w:val="24"/>
        </w:rPr>
        <w:t xml:space="preserve"> </w:t>
      </w:r>
      <w:r w:rsidRPr="00B70AFB">
        <w:rPr>
          <w:rFonts w:ascii="Bookman Old Style" w:hAnsi="Bookman Old Style"/>
          <w:sz w:val="24"/>
          <w:szCs w:val="24"/>
        </w:rPr>
        <w:t>Rancangan</w:t>
      </w:r>
      <w:r w:rsidR="00A954D0">
        <w:rPr>
          <w:rFonts w:ascii="Bookman Old Style" w:hAnsi="Bookman Old Style"/>
          <w:sz w:val="24"/>
          <w:szCs w:val="24"/>
        </w:rPr>
        <w:t xml:space="preserve"> </w:t>
      </w:r>
      <w:r w:rsidRPr="00B70AFB">
        <w:rPr>
          <w:rFonts w:ascii="Bookman Old Style" w:hAnsi="Bookman Old Style"/>
          <w:sz w:val="24"/>
          <w:szCs w:val="24"/>
        </w:rPr>
        <w:t>Peraturan</w:t>
      </w:r>
      <w:r w:rsidR="00A954D0">
        <w:rPr>
          <w:rFonts w:ascii="Bookman Old Style" w:hAnsi="Bookman Old Style"/>
          <w:sz w:val="24"/>
          <w:szCs w:val="24"/>
        </w:rPr>
        <w:t xml:space="preserve"> </w:t>
      </w:r>
      <w:r w:rsidRPr="00B70AFB">
        <w:rPr>
          <w:rFonts w:ascii="Bookman Old Style" w:hAnsi="Bookman Old Style"/>
          <w:sz w:val="24"/>
          <w:szCs w:val="24"/>
        </w:rPr>
        <w:t>Daerah</w:t>
      </w:r>
      <w:r w:rsidR="00A954D0">
        <w:rPr>
          <w:rFonts w:ascii="Bookman Old Style" w:hAnsi="Bookman Old Style"/>
          <w:sz w:val="24"/>
          <w:szCs w:val="24"/>
        </w:rPr>
        <w:t xml:space="preserve"> </w:t>
      </w:r>
      <w:r w:rsidR="00B055C5" w:rsidRPr="00B70AFB">
        <w:rPr>
          <w:rFonts w:ascii="Bookman Old Style" w:hAnsi="Bookman Old Style"/>
          <w:sz w:val="24"/>
          <w:szCs w:val="24"/>
        </w:rPr>
        <w:t>Kota</w:t>
      </w:r>
      <w:r w:rsidR="00A954D0">
        <w:rPr>
          <w:rFonts w:ascii="Bookman Old Style" w:hAnsi="Bookman Old Style"/>
          <w:sz w:val="24"/>
          <w:szCs w:val="24"/>
        </w:rPr>
        <w:t xml:space="preserve"> </w:t>
      </w:r>
      <w:r w:rsidR="00770F22" w:rsidRPr="00B70AFB">
        <w:rPr>
          <w:rFonts w:ascii="Bookman Old Style" w:hAnsi="Bookman Old Style"/>
          <w:sz w:val="24"/>
          <w:szCs w:val="24"/>
        </w:rPr>
        <w:t>Tangerang</w:t>
      </w:r>
      <w:r w:rsidR="00A954D0">
        <w:rPr>
          <w:rFonts w:ascii="Bookman Old Style" w:hAnsi="Bookman Old Style"/>
          <w:sz w:val="24"/>
          <w:szCs w:val="24"/>
        </w:rPr>
        <w:t xml:space="preserve"> </w:t>
      </w:r>
      <w:r w:rsidR="00BE6ED9" w:rsidRPr="00B70AFB">
        <w:rPr>
          <w:rFonts w:ascii="Bookman Old Style" w:hAnsi="Bookman Old Style"/>
          <w:sz w:val="24"/>
          <w:szCs w:val="24"/>
        </w:rPr>
        <w:t>tentang</w:t>
      </w:r>
      <w:r w:rsidR="00A954D0">
        <w:rPr>
          <w:rFonts w:ascii="Bookman Old Style" w:hAnsi="Bookman Old Style"/>
          <w:sz w:val="24"/>
          <w:szCs w:val="24"/>
        </w:rPr>
        <w:t xml:space="preserve"> </w:t>
      </w:r>
      <w:r w:rsidR="00BE6ED9" w:rsidRPr="00B70AFB">
        <w:rPr>
          <w:rFonts w:ascii="Bookman Old Style" w:hAnsi="Bookman Old Style"/>
          <w:sz w:val="24"/>
          <w:szCs w:val="24"/>
        </w:rPr>
        <w:t>APBD</w:t>
      </w:r>
      <w:r w:rsidR="00A954D0">
        <w:rPr>
          <w:rFonts w:ascii="Bookman Old Style" w:hAnsi="Bookman Old Style"/>
          <w:sz w:val="24"/>
          <w:szCs w:val="24"/>
        </w:rPr>
        <w:t xml:space="preserve"> </w:t>
      </w:r>
      <w:r w:rsidRPr="00B70AFB">
        <w:rPr>
          <w:rFonts w:ascii="Bookman Old Style" w:hAnsi="Bookman Old Style"/>
          <w:sz w:val="24"/>
          <w:szCs w:val="24"/>
        </w:rPr>
        <w:t>Tahun</w:t>
      </w:r>
      <w:r w:rsidR="00A954D0">
        <w:rPr>
          <w:rFonts w:ascii="Bookman Old Style" w:hAnsi="Bookman Old Style"/>
          <w:sz w:val="24"/>
          <w:szCs w:val="24"/>
        </w:rPr>
        <w:t xml:space="preserve"> </w:t>
      </w:r>
      <w:r w:rsidRPr="00B70AFB">
        <w:rPr>
          <w:rFonts w:ascii="Bookman Old Style" w:hAnsi="Bookman Old Style"/>
          <w:sz w:val="24"/>
          <w:szCs w:val="24"/>
        </w:rPr>
        <w:t>Anggaran</w:t>
      </w:r>
      <w:r w:rsidR="00A954D0">
        <w:rPr>
          <w:rFonts w:ascii="Bookman Old Style" w:hAnsi="Bookman Old Style"/>
          <w:sz w:val="24"/>
          <w:szCs w:val="24"/>
        </w:rPr>
        <w:t xml:space="preserve"> </w:t>
      </w:r>
      <w:r w:rsidRPr="00B70AFB">
        <w:rPr>
          <w:rFonts w:ascii="Bookman Old Style" w:hAnsi="Bookman Old Style"/>
          <w:sz w:val="24"/>
          <w:szCs w:val="24"/>
        </w:rPr>
        <w:t>2025,</w:t>
      </w:r>
      <w:r w:rsidR="00A954D0">
        <w:rPr>
          <w:rFonts w:ascii="Bookman Old Style" w:hAnsi="Bookman Old Style"/>
          <w:sz w:val="24"/>
          <w:szCs w:val="24"/>
        </w:rPr>
        <w:t xml:space="preserve"> </w:t>
      </w:r>
      <w:r w:rsidRPr="00B70AFB">
        <w:rPr>
          <w:rFonts w:ascii="Bookman Old Style" w:hAnsi="Bookman Old Style"/>
          <w:sz w:val="24"/>
          <w:szCs w:val="24"/>
        </w:rPr>
        <w:t>yang</w:t>
      </w:r>
      <w:r w:rsidR="00A954D0">
        <w:rPr>
          <w:rFonts w:ascii="Bookman Old Style" w:hAnsi="Bookman Old Style"/>
          <w:sz w:val="24"/>
          <w:szCs w:val="24"/>
        </w:rPr>
        <w:t xml:space="preserve"> </w:t>
      </w:r>
      <w:r w:rsidRPr="00B70AFB">
        <w:rPr>
          <w:rFonts w:ascii="Bookman Old Style" w:hAnsi="Bookman Old Style"/>
          <w:sz w:val="24"/>
          <w:szCs w:val="24"/>
        </w:rPr>
        <w:t>antara</w:t>
      </w:r>
      <w:r w:rsidR="00A954D0">
        <w:rPr>
          <w:rFonts w:ascii="Bookman Old Style" w:hAnsi="Bookman Old Style"/>
          <w:sz w:val="24"/>
          <w:szCs w:val="24"/>
        </w:rPr>
        <w:t xml:space="preserve"> </w:t>
      </w:r>
      <w:r w:rsidRPr="00B70AFB">
        <w:rPr>
          <w:rFonts w:ascii="Bookman Old Style" w:hAnsi="Bookman Old Style"/>
          <w:sz w:val="24"/>
          <w:szCs w:val="24"/>
        </w:rPr>
        <w:t>lain</w:t>
      </w:r>
      <w:r w:rsidR="00A954D0">
        <w:rPr>
          <w:rFonts w:ascii="Bookman Old Style" w:hAnsi="Bookman Old Style"/>
          <w:sz w:val="24"/>
          <w:szCs w:val="24"/>
        </w:rPr>
        <w:t xml:space="preserve"> </w:t>
      </w:r>
      <w:r w:rsidRPr="00B70AFB">
        <w:rPr>
          <w:rFonts w:ascii="Bookman Old Style" w:hAnsi="Bookman Old Style"/>
          <w:sz w:val="24"/>
          <w:szCs w:val="24"/>
        </w:rPr>
        <w:t>diuraikan</w:t>
      </w:r>
      <w:r w:rsidR="00A954D0">
        <w:rPr>
          <w:rFonts w:ascii="Bookman Old Style" w:hAnsi="Bookman Old Style"/>
          <w:sz w:val="24"/>
          <w:szCs w:val="24"/>
        </w:rPr>
        <w:t xml:space="preserve"> </w:t>
      </w:r>
      <w:r w:rsidRPr="00B70AFB">
        <w:rPr>
          <w:rFonts w:ascii="Bookman Old Style" w:hAnsi="Bookman Old Style"/>
          <w:sz w:val="24"/>
          <w:szCs w:val="24"/>
        </w:rPr>
        <w:t>ke</w:t>
      </w:r>
      <w:r w:rsidR="00A954D0">
        <w:rPr>
          <w:rFonts w:ascii="Bookman Old Style" w:hAnsi="Bookman Old Style"/>
          <w:sz w:val="24"/>
          <w:szCs w:val="24"/>
        </w:rPr>
        <w:t xml:space="preserve"> </w:t>
      </w:r>
      <w:r w:rsidRPr="00B70AFB">
        <w:rPr>
          <w:rFonts w:ascii="Bookman Old Style" w:hAnsi="Bookman Old Style"/>
          <w:sz w:val="24"/>
          <w:szCs w:val="24"/>
        </w:rPr>
        <w:t>dalam</w:t>
      </w:r>
      <w:r w:rsidR="00A954D0">
        <w:rPr>
          <w:rFonts w:ascii="Bookman Old Style" w:hAnsi="Bookman Old Style"/>
          <w:sz w:val="24"/>
          <w:szCs w:val="24"/>
        </w:rPr>
        <w:t xml:space="preserve"> </w:t>
      </w:r>
      <w:r w:rsidRPr="00B70AFB">
        <w:rPr>
          <w:rFonts w:ascii="Bookman Old Style" w:hAnsi="Bookman Old Style"/>
          <w:sz w:val="24"/>
          <w:szCs w:val="24"/>
        </w:rPr>
        <w:t>sub</w:t>
      </w:r>
      <w:r w:rsidR="00A954D0">
        <w:rPr>
          <w:rFonts w:ascii="Bookman Old Style" w:hAnsi="Bookman Old Style"/>
          <w:sz w:val="24"/>
          <w:szCs w:val="24"/>
        </w:rPr>
        <w:t xml:space="preserve"> </w:t>
      </w:r>
      <w:r w:rsidRPr="00B70AFB">
        <w:rPr>
          <w:rFonts w:ascii="Bookman Old Style" w:hAnsi="Bookman Old Style"/>
          <w:sz w:val="24"/>
          <w:szCs w:val="24"/>
        </w:rPr>
        <w:t>rincian</w:t>
      </w:r>
      <w:r w:rsidR="00A954D0">
        <w:rPr>
          <w:rFonts w:ascii="Bookman Old Style" w:hAnsi="Bookman Old Style"/>
          <w:sz w:val="24"/>
          <w:szCs w:val="24"/>
        </w:rPr>
        <w:t xml:space="preserve"> </w:t>
      </w:r>
      <w:r w:rsidRPr="00B70AFB">
        <w:rPr>
          <w:rFonts w:ascii="Bookman Old Style" w:hAnsi="Bookman Old Style"/>
          <w:sz w:val="24"/>
          <w:szCs w:val="24"/>
        </w:rPr>
        <w:t>objek</w:t>
      </w:r>
      <w:r w:rsidR="00A954D0">
        <w:rPr>
          <w:rFonts w:ascii="Bookman Old Style" w:hAnsi="Bookman Old Style"/>
          <w:sz w:val="24"/>
          <w:szCs w:val="24"/>
          <w:lang w:val="en-US"/>
        </w:rPr>
        <w:t xml:space="preserve"> </w:t>
      </w:r>
      <w:r w:rsidRPr="00B70AFB">
        <w:rPr>
          <w:rFonts w:ascii="Bookman Old Style" w:hAnsi="Bookman Old Style"/>
          <w:sz w:val="24"/>
          <w:szCs w:val="24"/>
          <w:lang w:val="en-US"/>
        </w:rPr>
        <w:t>belanja</w:t>
      </w:r>
      <w:r w:rsidRPr="00B70AFB">
        <w:rPr>
          <w:rFonts w:ascii="Bookman Old Style" w:hAnsi="Bookman Old Style"/>
          <w:sz w:val="24"/>
          <w:szCs w:val="24"/>
          <w:lang w:val="id-ID"/>
        </w:rPr>
        <w:t>:</w:t>
      </w:r>
    </w:p>
    <w:p w14:paraId="5DE9DD65" w14:textId="3E614A15" w:rsidR="003B7FE4" w:rsidRPr="00B70AFB" w:rsidRDefault="00244D6F" w:rsidP="005668F0">
      <w:pPr>
        <w:pStyle w:val="ListParagraph"/>
        <w:numPr>
          <w:ilvl w:val="0"/>
          <w:numId w:val="73"/>
        </w:numPr>
        <w:spacing w:before="60" w:after="0" w:line="276" w:lineRule="auto"/>
        <w:ind w:left="3686" w:hanging="425"/>
        <w:contextualSpacing w:val="0"/>
        <w:jc w:val="both"/>
        <w:rPr>
          <w:rFonts w:ascii="Bookman Old Style" w:hAnsi="Bookman Old Style"/>
          <w:sz w:val="24"/>
          <w:szCs w:val="24"/>
        </w:rPr>
      </w:pPr>
      <w:r w:rsidRPr="00B70AFB">
        <w:rPr>
          <w:rFonts w:ascii="Bookman Old Style" w:hAnsi="Bookman Old Style"/>
          <w:sz w:val="24"/>
          <w:szCs w:val="24"/>
        </w:rPr>
        <w:t>Belanja</w:t>
      </w:r>
      <w:r w:rsidR="00A954D0">
        <w:rPr>
          <w:rFonts w:ascii="Bookman Old Style" w:hAnsi="Bookman Old Style"/>
          <w:sz w:val="24"/>
          <w:szCs w:val="24"/>
        </w:rPr>
        <w:t xml:space="preserve"> </w:t>
      </w:r>
      <w:r w:rsidRPr="00B70AFB">
        <w:rPr>
          <w:rFonts w:ascii="Bookman Old Style" w:hAnsi="Bookman Old Style"/>
          <w:sz w:val="24"/>
          <w:szCs w:val="24"/>
        </w:rPr>
        <w:t>Sewa</w:t>
      </w:r>
      <w:r w:rsidR="00A954D0">
        <w:rPr>
          <w:rFonts w:ascii="Bookman Old Style" w:hAnsi="Bookman Old Style"/>
          <w:sz w:val="24"/>
          <w:szCs w:val="24"/>
        </w:rPr>
        <w:t xml:space="preserve"> </w:t>
      </w:r>
      <w:r w:rsidRPr="00B70AFB">
        <w:rPr>
          <w:rFonts w:ascii="Bookman Old Style" w:hAnsi="Bookman Old Style"/>
          <w:sz w:val="24"/>
          <w:szCs w:val="24"/>
        </w:rPr>
        <w:t>Kendaraan</w:t>
      </w:r>
      <w:r w:rsidR="00A954D0">
        <w:rPr>
          <w:rFonts w:ascii="Bookman Old Style" w:hAnsi="Bookman Old Style"/>
          <w:sz w:val="24"/>
          <w:szCs w:val="24"/>
        </w:rPr>
        <w:t xml:space="preserve"> </w:t>
      </w:r>
      <w:r w:rsidRPr="00B70AFB">
        <w:rPr>
          <w:rFonts w:ascii="Bookman Old Style" w:hAnsi="Bookman Old Style"/>
          <w:sz w:val="24"/>
          <w:szCs w:val="24"/>
        </w:rPr>
        <w:t>Dinas</w:t>
      </w:r>
      <w:r w:rsidR="00A954D0">
        <w:rPr>
          <w:rFonts w:ascii="Bookman Old Style" w:hAnsi="Bookman Old Style"/>
          <w:sz w:val="24"/>
          <w:szCs w:val="24"/>
        </w:rPr>
        <w:t xml:space="preserve"> </w:t>
      </w:r>
      <w:r w:rsidRPr="00B70AFB">
        <w:rPr>
          <w:rFonts w:ascii="Bookman Old Style" w:hAnsi="Bookman Old Style"/>
          <w:sz w:val="24"/>
          <w:szCs w:val="24"/>
        </w:rPr>
        <w:t>Bermotor</w:t>
      </w:r>
      <w:r w:rsidR="00A954D0">
        <w:rPr>
          <w:rFonts w:ascii="Bookman Old Style" w:hAnsi="Bookman Old Style"/>
          <w:sz w:val="24"/>
          <w:szCs w:val="24"/>
        </w:rPr>
        <w:t xml:space="preserve"> </w:t>
      </w:r>
      <w:r w:rsidRPr="00B70AFB">
        <w:rPr>
          <w:rFonts w:ascii="Bookman Old Style" w:hAnsi="Bookman Old Style"/>
          <w:sz w:val="24"/>
          <w:szCs w:val="24"/>
        </w:rPr>
        <w:t>Perorangan</w:t>
      </w:r>
      <w:r w:rsidR="00A954D0">
        <w:rPr>
          <w:rFonts w:ascii="Bookman Old Style" w:hAnsi="Bookman Old Style"/>
          <w:sz w:val="24"/>
          <w:szCs w:val="24"/>
        </w:rPr>
        <w:t xml:space="preserve"> </w:t>
      </w:r>
      <w:r w:rsidRPr="00B70AFB">
        <w:rPr>
          <w:rFonts w:ascii="Bookman Old Style" w:hAnsi="Bookman Old Style"/>
          <w:sz w:val="24"/>
          <w:szCs w:val="24"/>
        </w:rPr>
        <w:t>Rp2.359.800.000,00</w:t>
      </w:r>
      <w:r w:rsidR="003B7FE4" w:rsidRPr="00B70AFB">
        <w:rPr>
          <w:rFonts w:ascii="Bookman Old Style" w:hAnsi="Bookman Old Style"/>
          <w:sz w:val="24"/>
          <w:szCs w:val="24"/>
        </w:rPr>
        <w:t>;</w:t>
      </w:r>
    </w:p>
    <w:p w14:paraId="6FDF6021" w14:textId="2C9576B7" w:rsidR="003B7FE4" w:rsidRPr="00B70AFB" w:rsidRDefault="003B7FE4" w:rsidP="005668F0">
      <w:pPr>
        <w:pStyle w:val="ListParagraph"/>
        <w:numPr>
          <w:ilvl w:val="0"/>
          <w:numId w:val="73"/>
        </w:numPr>
        <w:spacing w:before="60" w:after="0" w:line="276" w:lineRule="auto"/>
        <w:ind w:left="3686" w:hanging="425"/>
        <w:contextualSpacing w:val="0"/>
        <w:jc w:val="both"/>
        <w:rPr>
          <w:rFonts w:ascii="Bookman Old Style" w:hAnsi="Bookman Old Style"/>
          <w:sz w:val="24"/>
          <w:szCs w:val="24"/>
        </w:rPr>
      </w:pPr>
      <w:r w:rsidRPr="00B70AFB">
        <w:rPr>
          <w:rFonts w:ascii="Bookman Old Style" w:hAnsi="Bookman Old Style"/>
          <w:sz w:val="24"/>
          <w:szCs w:val="24"/>
        </w:rPr>
        <w:t>Belanja</w:t>
      </w:r>
      <w:r w:rsidR="00A954D0">
        <w:rPr>
          <w:rFonts w:ascii="Bookman Old Style" w:hAnsi="Bookman Old Style"/>
          <w:sz w:val="24"/>
          <w:szCs w:val="24"/>
        </w:rPr>
        <w:t xml:space="preserve"> </w:t>
      </w:r>
      <w:r w:rsidRPr="00B70AFB">
        <w:rPr>
          <w:rFonts w:ascii="Bookman Old Style" w:hAnsi="Bookman Old Style"/>
          <w:sz w:val="24"/>
          <w:szCs w:val="24"/>
        </w:rPr>
        <w:t>Sewa</w:t>
      </w:r>
      <w:r w:rsidR="00A954D0">
        <w:rPr>
          <w:rFonts w:ascii="Bookman Old Style" w:hAnsi="Bookman Old Style"/>
          <w:sz w:val="24"/>
          <w:szCs w:val="24"/>
        </w:rPr>
        <w:t xml:space="preserve"> </w:t>
      </w:r>
      <w:r w:rsidRPr="00B70AFB">
        <w:rPr>
          <w:rFonts w:ascii="Bookman Old Style" w:hAnsi="Bookman Old Style"/>
          <w:sz w:val="24"/>
          <w:szCs w:val="24"/>
        </w:rPr>
        <w:t>Kendaraan</w:t>
      </w:r>
      <w:r w:rsidR="00A954D0">
        <w:rPr>
          <w:rFonts w:ascii="Bookman Old Style" w:hAnsi="Bookman Old Style"/>
          <w:sz w:val="24"/>
          <w:szCs w:val="24"/>
        </w:rPr>
        <w:t xml:space="preserve"> </w:t>
      </w:r>
      <w:r w:rsidRPr="00B70AFB">
        <w:rPr>
          <w:rFonts w:ascii="Bookman Old Style" w:hAnsi="Bookman Old Style"/>
          <w:sz w:val="24"/>
          <w:szCs w:val="24"/>
        </w:rPr>
        <w:t>Bermotor</w:t>
      </w:r>
      <w:r w:rsidR="00A954D0">
        <w:rPr>
          <w:rFonts w:ascii="Bookman Old Style" w:hAnsi="Bookman Old Style"/>
          <w:sz w:val="24"/>
          <w:szCs w:val="24"/>
        </w:rPr>
        <w:t xml:space="preserve"> </w:t>
      </w:r>
      <w:r w:rsidRPr="00B70AFB">
        <w:rPr>
          <w:rFonts w:ascii="Bookman Old Style" w:hAnsi="Bookman Old Style"/>
          <w:sz w:val="24"/>
          <w:szCs w:val="24"/>
        </w:rPr>
        <w:t>Penumpang</w:t>
      </w:r>
      <w:r w:rsidR="00A954D0">
        <w:rPr>
          <w:rFonts w:ascii="Bookman Old Style" w:hAnsi="Bookman Old Style"/>
          <w:sz w:val="24"/>
          <w:szCs w:val="24"/>
        </w:rPr>
        <w:t xml:space="preserve"> </w:t>
      </w:r>
      <w:r w:rsidR="00F7379B" w:rsidRPr="00B70AFB">
        <w:rPr>
          <w:rFonts w:ascii="Bookman Old Style" w:hAnsi="Bookman Old Style"/>
          <w:sz w:val="24"/>
          <w:szCs w:val="24"/>
        </w:rPr>
        <w:t>Rp3.528.082.200,00</w:t>
      </w:r>
      <w:r w:rsidRPr="00B70AFB">
        <w:rPr>
          <w:rFonts w:ascii="Bookman Old Style" w:hAnsi="Bookman Old Style"/>
          <w:sz w:val="24"/>
          <w:szCs w:val="24"/>
          <w:lang w:val="id-ID"/>
        </w:rPr>
        <w:t>;</w:t>
      </w:r>
    </w:p>
    <w:p w14:paraId="6777B62A" w14:textId="30BE28AC" w:rsidR="003B7FE4" w:rsidRPr="00B70AFB" w:rsidRDefault="003B7FE4" w:rsidP="005668F0">
      <w:pPr>
        <w:pStyle w:val="ListParagraph"/>
        <w:numPr>
          <w:ilvl w:val="0"/>
          <w:numId w:val="73"/>
        </w:numPr>
        <w:spacing w:before="60" w:after="0" w:line="276" w:lineRule="auto"/>
        <w:ind w:left="3686" w:hanging="425"/>
        <w:contextualSpacing w:val="0"/>
        <w:jc w:val="both"/>
        <w:rPr>
          <w:rFonts w:ascii="Bookman Old Style" w:hAnsi="Bookman Old Style"/>
          <w:sz w:val="24"/>
          <w:szCs w:val="24"/>
        </w:rPr>
      </w:pPr>
      <w:r w:rsidRPr="00B70AFB">
        <w:rPr>
          <w:rFonts w:ascii="Bookman Old Style" w:hAnsi="Bookman Old Style"/>
          <w:sz w:val="24"/>
          <w:szCs w:val="24"/>
        </w:rPr>
        <w:t>Belanja</w:t>
      </w:r>
      <w:r w:rsidR="00A954D0">
        <w:rPr>
          <w:rFonts w:ascii="Bookman Old Style" w:hAnsi="Bookman Old Style"/>
          <w:sz w:val="24"/>
          <w:szCs w:val="24"/>
        </w:rPr>
        <w:t xml:space="preserve"> </w:t>
      </w:r>
      <w:r w:rsidRPr="00B70AFB">
        <w:rPr>
          <w:rFonts w:ascii="Bookman Old Style" w:hAnsi="Bookman Old Style"/>
          <w:sz w:val="24"/>
          <w:szCs w:val="24"/>
        </w:rPr>
        <w:t>Sewa</w:t>
      </w:r>
      <w:r w:rsidR="00A954D0">
        <w:rPr>
          <w:rFonts w:ascii="Bookman Old Style" w:hAnsi="Bookman Old Style"/>
          <w:sz w:val="24"/>
          <w:szCs w:val="24"/>
        </w:rPr>
        <w:t xml:space="preserve"> </w:t>
      </w:r>
      <w:r w:rsidRPr="00B70AFB">
        <w:rPr>
          <w:rFonts w:ascii="Bookman Old Style" w:hAnsi="Bookman Old Style"/>
          <w:sz w:val="24"/>
          <w:szCs w:val="24"/>
        </w:rPr>
        <w:t>Alat</w:t>
      </w:r>
      <w:r w:rsidR="00A954D0">
        <w:rPr>
          <w:rFonts w:ascii="Bookman Old Style" w:hAnsi="Bookman Old Style"/>
          <w:sz w:val="24"/>
          <w:szCs w:val="24"/>
        </w:rPr>
        <w:t xml:space="preserve"> </w:t>
      </w:r>
      <w:r w:rsidRPr="00B70AFB">
        <w:rPr>
          <w:rFonts w:ascii="Bookman Old Style" w:hAnsi="Bookman Old Style"/>
          <w:sz w:val="24"/>
          <w:szCs w:val="24"/>
        </w:rPr>
        <w:t>Kantor</w:t>
      </w:r>
      <w:r w:rsidR="00A954D0">
        <w:rPr>
          <w:rFonts w:ascii="Bookman Old Style" w:hAnsi="Bookman Old Style"/>
          <w:sz w:val="24"/>
          <w:szCs w:val="24"/>
        </w:rPr>
        <w:t xml:space="preserve"> </w:t>
      </w:r>
      <w:r w:rsidRPr="00B70AFB">
        <w:rPr>
          <w:rFonts w:ascii="Bookman Old Style" w:hAnsi="Bookman Old Style"/>
          <w:sz w:val="24"/>
          <w:szCs w:val="24"/>
        </w:rPr>
        <w:t>Lainnya</w:t>
      </w:r>
      <w:r w:rsidR="00A954D0">
        <w:rPr>
          <w:rFonts w:ascii="Bookman Old Style" w:hAnsi="Bookman Old Style"/>
          <w:sz w:val="24"/>
          <w:szCs w:val="24"/>
        </w:rPr>
        <w:t xml:space="preserve"> </w:t>
      </w:r>
      <w:r w:rsidR="00F7379B" w:rsidRPr="00B70AFB">
        <w:rPr>
          <w:rFonts w:ascii="Bookman Old Style" w:hAnsi="Bookman Old Style"/>
          <w:sz w:val="24"/>
          <w:szCs w:val="24"/>
        </w:rPr>
        <w:t>Rp10.891.834.360,00</w:t>
      </w:r>
      <w:r w:rsidR="00E272FF" w:rsidRPr="00B70AFB">
        <w:rPr>
          <w:rFonts w:ascii="Bookman Old Style" w:hAnsi="Bookman Old Style"/>
          <w:sz w:val="24"/>
          <w:szCs w:val="24"/>
          <w:lang w:val="id-ID"/>
        </w:rPr>
        <w:t>;</w:t>
      </w:r>
    </w:p>
    <w:p w14:paraId="1813CAC8" w14:textId="6EA2C168" w:rsidR="0008480A" w:rsidRPr="00B70AFB" w:rsidRDefault="0008480A" w:rsidP="005668F0">
      <w:pPr>
        <w:pStyle w:val="ListParagraph"/>
        <w:numPr>
          <w:ilvl w:val="0"/>
          <w:numId w:val="73"/>
        </w:numPr>
        <w:spacing w:before="60" w:after="0" w:line="276" w:lineRule="auto"/>
        <w:ind w:left="3686" w:hanging="425"/>
        <w:contextualSpacing w:val="0"/>
        <w:jc w:val="both"/>
        <w:rPr>
          <w:rFonts w:ascii="Bookman Old Style" w:hAnsi="Bookman Old Style"/>
          <w:sz w:val="24"/>
          <w:szCs w:val="24"/>
        </w:rPr>
      </w:pPr>
      <w:r w:rsidRPr="00B70AFB">
        <w:rPr>
          <w:rFonts w:ascii="Bookman Old Style" w:hAnsi="Bookman Old Style"/>
          <w:sz w:val="24"/>
          <w:szCs w:val="24"/>
        </w:rPr>
        <w:t>Belanja</w:t>
      </w:r>
      <w:r w:rsidR="00A954D0">
        <w:rPr>
          <w:rFonts w:ascii="Bookman Old Style" w:hAnsi="Bookman Old Style"/>
          <w:sz w:val="24"/>
          <w:szCs w:val="24"/>
        </w:rPr>
        <w:t xml:space="preserve"> </w:t>
      </w:r>
      <w:r w:rsidRPr="00B70AFB">
        <w:rPr>
          <w:rFonts w:ascii="Bookman Old Style" w:hAnsi="Bookman Old Style"/>
          <w:sz w:val="24"/>
          <w:szCs w:val="24"/>
        </w:rPr>
        <w:t>Sewa</w:t>
      </w:r>
      <w:r w:rsidR="00A954D0">
        <w:rPr>
          <w:rFonts w:ascii="Bookman Old Style" w:hAnsi="Bookman Old Style"/>
          <w:sz w:val="24"/>
          <w:szCs w:val="24"/>
        </w:rPr>
        <w:t xml:space="preserve"> </w:t>
      </w:r>
      <w:r w:rsidRPr="00B70AFB">
        <w:rPr>
          <w:rFonts w:ascii="Bookman Old Style" w:hAnsi="Bookman Old Style"/>
          <w:sz w:val="24"/>
          <w:szCs w:val="24"/>
        </w:rPr>
        <w:t>Peralatan</w:t>
      </w:r>
      <w:r w:rsidR="00A954D0">
        <w:rPr>
          <w:rFonts w:ascii="Bookman Old Style" w:hAnsi="Bookman Old Style"/>
          <w:sz w:val="24"/>
          <w:szCs w:val="24"/>
        </w:rPr>
        <w:t xml:space="preserve"> </w:t>
      </w:r>
      <w:r w:rsidRPr="00B70AFB">
        <w:rPr>
          <w:rFonts w:ascii="Bookman Old Style" w:hAnsi="Bookman Old Style"/>
          <w:sz w:val="24"/>
          <w:szCs w:val="24"/>
        </w:rPr>
        <w:t>Umum</w:t>
      </w:r>
      <w:r w:rsidR="00A954D0">
        <w:rPr>
          <w:rFonts w:ascii="Bookman Old Style" w:hAnsi="Bookman Old Style"/>
          <w:sz w:val="24"/>
          <w:szCs w:val="24"/>
        </w:rPr>
        <w:t xml:space="preserve"> </w:t>
      </w:r>
      <w:r w:rsidRPr="00B70AFB">
        <w:rPr>
          <w:rFonts w:ascii="Bookman Old Style" w:hAnsi="Bookman Old Style"/>
          <w:sz w:val="24"/>
          <w:szCs w:val="24"/>
        </w:rPr>
        <w:t>Rp2.930.962.200,00</w:t>
      </w:r>
      <w:r w:rsidR="004E4F01" w:rsidRPr="00B70AFB">
        <w:rPr>
          <w:rFonts w:ascii="Bookman Old Style" w:hAnsi="Bookman Old Style"/>
          <w:sz w:val="24"/>
          <w:szCs w:val="24"/>
        </w:rPr>
        <w:t>;</w:t>
      </w:r>
    </w:p>
    <w:p w14:paraId="03410BE7" w14:textId="406F9065" w:rsidR="00E272FF" w:rsidRPr="00B70AFB" w:rsidRDefault="0008480A" w:rsidP="005668F0">
      <w:pPr>
        <w:pStyle w:val="ListParagraph"/>
        <w:numPr>
          <w:ilvl w:val="0"/>
          <w:numId w:val="73"/>
        </w:numPr>
        <w:spacing w:before="60" w:after="0" w:line="276" w:lineRule="auto"/>
        <w:ind w:left="3686" w:hanging="425"/>
        <w:contextualSpacing w:val="0"/>
        <w:jc w:val="both"/>
        <w:rPr>
          <w:rFonts w:ascii="Bookman Old Style" w:hAnsi="Bookman Old Style"/>
          <w:sz w:val="24"/>
          <w:szCs w:val="24"/>
        </w:rPr>
      </w:pPr>
      <w:r w:rsidRPr="00B70AFB">
        <w:rPr>
          <w:rFonts w:ascii="Bookman Old Style" w:hAnsi="Bookman Old Style"/>
          <w:sz w:val="24"/>
          <w:szCs w:val="24"/>
        </w:rPr>
        <w:t>Belanja</w:t>
      </w:r>
      <w:r w:rsidR="00A954D0">
        <w:rPr>
          <w:rFonts w:ascii="Bookman Old Style" w:hAnsi="Bookman Old Style"/>
          <w:sz w:val="24"/>
          <w:szCs w:val="24"/>
        </w:rPr>
        <w:t xml:space="preserve"> </w:t>
      </w:r>
      <w:r w:rsidRPr="00B70AFB">
        <w:rPr>
          <w:rFonts w:ascii="Bookman Old Style" w:hAnsi="Bookman Old Style"/>
          <w:sz w:val="24"/>
          <w:szCs w:val="24"/>
        </w:rPr>
        <w:t>Sewa</w:t>
      </w:r>
      <w:r w:rsidR="00A954D0">
        <w:rPr>
          <w:rFonts w:ascii="Bookman Old Style" w:hAnsi="Bookman Old Style"/>
          <w:sz w:val="24"/>
          <w:szCs w:val="24"/>
        </w:rPr>
        <w:t xml:space="preserve"> </w:t>
      </w:r>
      <w:r w:rsidRPr="00B70AFB">
        <w:rPr>
          <w:rFonts w:ascii="Bookman Old Style" w:hAnsi="Bookman Old Style"/>
          <w:sz w:val="24"/>
          <w:szCs w:val="24"/>
        </w:rPr>
        <w:t>Komputer</w:t>
      </w:r>
      <w:r w:rsidR="00A954D0">
        <w:rPr>
          <w:rFonts w:ascii="Bookman Old Style" w:hAnsi="Bookman Old Style"/>
          <w:sz w:val="24"/>
          <w:szCs w:val="24"/>
        </w:rPr>
        <w:t xml:space="preserve"> </w:t>
      </w:r>
      <w:r w:rsidRPr="00B70AFB">
        <w:rPr>
          <w:rFonts w:ascii="Bookman Old Style" w:hAnsi="Bookman Old Style"/>
          <w:sz w:val="24"/>
          <w:szCs w:val="24"/>
        </w:rPr>
        <w:t>Jaringan</w:t>
      </w:r>
      <w:r w:rsidR="00A954D0">
        <w:rPr>
          <w:rFonts w:ascii="Bookman Old Style" w:hAnsi="Bookman Old Style"/>
          <w:sz w:val="24"/>
          <w:szCs w:val="24"/>
        </w:rPr>
        <w:t xml:space="preserve"> </w:t>
      </w:r>
      <w:r w:rsidRPr="00B70AFB">
        <w:rPr>
          <w:rFonts w:ascii="Bookman Old Style" w:hAnsi="Bookman Old Style"/>
          <w:sz w:val="24"/>
          <w:szCs w:val="24"/>
        </w:rPr>
        <w:t>Rp1.002.836.600,00</w:t>
      </w:r>
      <w:r w:rsidR="005668F0" w:rsidRPr="005668F0">
        <w:rPr>
          <w:rFonts w:ascii="Bookman Old Style" w:hAnsi="Bookman Old Style"/>
          <w:sz w:val="24"/>
          <w:szCs w:val="24"/>
          <w:lang w:val="sv-FI"/>
        </w:rPr>
        <w:t>.</w:t>
      </w:r>
    </w:p>
    <w:p w14:paraId="769463EA" w14:textId="24D50F2F" w:rsidR="003B7FE4" w:rsidRPr="00B70AFB" w:rsidRDefault="003B7FE4" w:rsidP="005668F0">
      <w:pPr>
        <w:pStyle w:val="ListParagraph"/>
        <w:numPr>
          <w:ilvl w:val="0"/>
          <w:numId w:val="142"/>
        </w:numPr>
        <w:spacing w:before="60" w:after="0" w:line="276" w:lineRule="auto"/>
        <w:ind w:left="3261" w:hanging="567"/>
        <w:contextualSpacing w:val="0"/>
        <w:jc w:val="both"/>
        <w:rPr>
          <w:rFonts w:ascii="Bookman Old Style" w:hAnsi="Bookman Old Style"/>
          <w:sz w:val="24"/>
          <w:szCs w:val="24"/>
          <w:lang w:val="en-US"/>
        </w:rPr>
      </w:pPr>
      <w:r w:rsidRPr="00B70AFB">
        <w:rPr>
          <w:rFonts w:ascii="Bookman Old Style" w:hAnsi="Bookman Old Style"/>
          <w:sz w:val="24"/>
          <w:szCs w:val="24"/>
        </w:rPr>
        <w:t>Belanja</w:t>
      </w:r>
      <w:r w:rsidR="00A954D0">
        <w:rPr>
          <w:rFonts w:ascii="Bookman Old Style" w:hAnsi="Bookman Old Style"/>
          <w:sz w:val="24"/>
          <w:szCs w:val="24"/>
        </w:rPr>
        <w:t xml:space="preserve"> </w:t>
      </w:r>
      <w:r w:rsidRPr="00B70AFB">
        <w:rPr>
          <w:rFonts w:ascii="Bookman Old Style" w:hAnsi="Bookman Old Style"/>
          <w:sz w:val="24"/>
          <w:szCs w:val="24"/>
        </w:rPr>
        <w:t>Sewa</w:t>
      </w:r>
      <w:r w:rsidR="00A954D0">
        <w:rPr>
          <w:rFonts w:ascii="Bookman Old Style" w:hAnsi="Bookman Old Style"/>
          <w:sz w:val="24"/>
          <w:szCs w:val="24"/>
        </w:rPr>
        <w:t xml:space="preserve"> </w:t>
      </w:r>
      <w:r w:rsidRPr="00B70AFB">
        <w:rPr>
          <w:rFonts w:ascii="Bookman Old Style" w:hAnsi="Bookman Old Style"/>
          <w:sz w:val="24"/>
          <w:szCs w:val="24"/>
        </w:rPr>
        <w:t>Gedung</w:t>
      </w:r>
      <w:r w:rsidR="00A954D0">
        <w:rPr>
          <w:rFonts w:ascii="Bookman Old Style" w:hAnsi="Bookman Old Style"/>
          <w:sz w:val="24"/>
          <w:szCs w:val="24"/>
        </w:rPr>
        <w:t xml:space="preserve"> </w:t>
      </w:r>
      <w:r w:rsidRPr="00B70AFB">
        <w:rPr>
          <w:rFonts w:ascii="Bookman Old Style" w:hAnsi="Bookman Old Style"/>
          <w:sz w:val="24"/>
          <w:szCs w:val="24"/>
        </w:rPr>
        <w:t>dan</w:t>
      </w:r>
      <w:r w:rsidR="00A954D0">
        <w:rPr>
          <w:rFonts w:ascii="Bookman Old Style" w:hAnsi="Bookman Old Style"/>
          <w:sz w:val="24"/>
          <w:szCs w:val="24"/>
        </w:rPr>
        <w:t xml:space="preserve"> </w:t>
      </w:r>
      <w:r w:rsidRPr="00B70AFB">
        <w:rPr>
          <w:rFonts w:ascii="Bookman Old Style" w:hAnsi="Bookman Old Style"/>
          <w:sz w:val="24"/>
          <w:szCs w:val="24"/>
        </w:rPr>
        <w:t>Bangunan</w:t>
      </w:r>
      <w:r w:rsidR="00A954D0">
        <w:rPr>
          <w:rFonts w:ascii="Bookman Old Style" w:hAnsi="Bookman Old Style"/>
          <w:sz w:val="24"/>
          <w:szCs w:val="24"/>
          <w:lang w:val="id-ID"/>
        </w:rPr>
        <w:t xml:space="preserve"> </w:t>
      </w:r>
      <w:r w:rsidR="004E4F01" w:rsidRPr="00B70AFB">
        <w:rPr>
          <w:rFonts w:ascii="Bookman Old Style" w:hAnsi="Bookman Old Style"/>
          <w:sz w:val="24"/>
          <w:szCs w:val="24"/>
        </w:rPr>
        <w:t>Rp4.548.470.000,00</w:t>
      </w:r>
      <w:r w:rsidR="00A954D0">
        <w:rPr>
          <w:rFonts w:ascii="Bookman Old Style" w:hAnsi="Bookman Old Style"/>
          <w:sz w:val="24"/>
          <w:szCs w:val="24"/>
        </w:rPr>
        <w:t xml:space="preserve"> </w:t>
      </w:r>
      <w:r w:rsidR="004E4F01" w:rsidRPr="00B70AFB">
        <w:rPr>
          <w:rFonts w:ascii="Bookman Old Style" w:hAnsi="Bookman Old Style"/>
          <w:sz w:val="24"/>
          <w:szCs w:val="24"/>
        </w:rPr>
        <w:t>atau</w:t>
      </w:r>
      <w:r w:rsidR="00A954D0">
        <w:rPr>
          <w:rFonts w:ascii="Bookman Old Style" w:hAnsi="Bookman Old Style"/>
          <w:sz w:val="24"/>
          <w:szCs w:val="24"/>
        </w:rPr>
        <w:t xml:space="preserve"> </w:t>
      </w:r>
      <w:r w:rsidR="004E4F01" w:rsidRPr="00B70AFB">
        <w:rPr>
          <w:rFonts w:ascii="Bookman Old Style" w:hAnsi="Bookman Old Style"/>
          <w:sz w:val="24"/>
          <w:szCs w:val="24"/>
        </w:rPr>
        <w:t>0,08%</w:t>
      </w:r>
      <w:r w:rsidR="00A954D0">
        <w:rPr>
          <w:rFonts w:ascii="Bookman Old Style" w:hAnsi="Bookman Old Style"/>
          <w:sz w:val="24"/>
          <w:szCs w:val="24"/>
          <w:lang w:val="id-ID"/>
        </w:rPr>
        <w:t xml:space="preserve"> </w:t>
      </w:r>
      <w:r w:rsidRPr="00B70AFB">
        <w:rPr>
          <w:rFonts w:ascii="Bookman Old Style" w:hAnsi="Bookman Old Style"/>
          <w:sz w:val="24"/>
          <w:szCs w:val="24"/>
        </w:rPr>
        <w:t>dari</w:t>
      </w:r>
      <w:r w:rsidR="00A954D0">
        <w:rPr>
          <w:rFonts w:ascii="Bookman Old Style" w:hAnsi="Bookman Old Style"/>
          <w:sz w:val="24"/>
          <w:szCs w:val="24"/>
        </w:rPr>
        <w:t xml:space="preserve"> </w:t>
      </w:r>
      <w:r w:rsidRPr="00B70AFB">
        <w:rPr>
          <w:rFonts w:ascii="Bookman Old Style" w:hAnsi="Bookman Old Style"/>
          <w:sz w:val="24"/>
          <w:szCs w:val="24"/>
        </w:rPr>
        <w:t>total</w:t>
      </w:r>
      <w:r w:rsidR="00A954D0">
        <w:rPr>
          <w:rFonts w:ascii="Bookman Old Style" w:hAnsi="Bookman Old Style"/>
          <w:sz w:val="24"/>
          <w:szCs w:val="24"/>
        </w:rPr>
        <w:t xml:space="preserve"> </w:t>
      </w:r>
      <w:r w:rsidRPr="00B70AFB">
        <w:rPr>
          <w:rFonts w:ascii="Bookman Old Style" w:hAnsi="Bookman Old Style"/>
          <w:sz w:val="24"/>
          <w:szCs w:val="24"/>
        </w:rPr>
        <w:t>belanja</w:t>
      </w:r>
      <w:r w:rsidR="00A954D0">
        <w:rPr>
          <w:rFonts w:ascii="Bookman Old Style" w:hAnsi="Bookman Old Style"/>
          <w:sz w:val="24"/>
          <w:szCs w:val="24"/>
        </w:rPr>
        <w:t xml:space="preserve"> </w:t>
      </w:r>
      <w:r w:rsidRPr="00B70AFB">
        <w:rPr>
          <w:rFonts w:ascii="Bookman Old Style" w:hAnsi="Bookman Old Style"/>
          <w:sz w:val="24"/>
          <w:szCs w:val="24"/>
        </w:rPr>
        <w:t>daerah</w:t>
      </w:r>
      <w:r w:rsidR="00A954D0">
        <w:rPr>
          <w:rFonts w:ascii="Bookman Old Style" w:hAnsi="Bookman Old Style"/>
          <w:sz w:val="24"/>
          <w:szCs w:val="24"/>
        </w:rPr>
        <w:t xml:space="preserve"> </w:t>
      </w:r>
      <w:r w:rsidRPr="00B70AFB">
        <w:rPr>
          <w:rFonts w:ascii="Bookman Old Style" w:hAnsi="Bookman Old Style"/>
          <w:sz w:val="24"/>
          <w:szCs w:val="24"/>
        </w:rPr>
        <w:t>dalam</w:t>
      </w:r>
      <w:r w:rsidR="00A954D0">
        <w:rPr>
          <w:rFonts w:ascii="Bookman Old Style" w:hAnsi="Bookman Old Style"/>
          <w:sz w:val="24"/>
          <w:szCs w:val="24"/>
        </w:rPr>
        <w:t xml:space="preserve"> </w:t>
      </w:r>
      <w:r w:rsidRPr="00B70AFB">
        <w:rPr>
          <w:rFonts w:ascii="Bookman Old Style" w:hAnsi="Bookman Old Style"/>
          <w:sz w:val="24"/>
          <w:szCs w:val="24"/>
        </w:rPr>
        <w:t>Rancangan</w:t>
      </w:r>
      <w:r w:rsidR="00A954D0">
        <w:rPr>
          <w:rFonts w:ascii="Bookman Old Style" w:hAnsi="Bookman Old Style"/>
          <w:sz w:val="24"/>
          <w:szCs w:val="24"/>
        </w:rPr>
        <w:t xml:space="preserve"> </w:t>
      </w:r>
      <w:r w:rsidRPr="00B70AFB">
        <w:rPr>
          <w:rFonts w:ascii="Bookman Old Style" w:hAnsi="Bookman Old Style"/>
          <w:sz w:val="24"/>
          <w:szCs w:val="24"/>
        </w:rPr>
        <w:t>Peraturan</w:t>
      </w:r>
      <w:r w:rsidR="00A954D0">
        <w:rPr>
          <w:rFonts w:ascii="Bookman Old Style" w:hAnsi="Bookman Old Style"/>
          <w:sz w:val="24"/>
          <w:szCs w:val="24"/>
        </w:rPr>
        <w:t xml:space="preserve"> </w:t>
      </w:r>
      <w:r w:rsidRPr="00B70AFB">
        <w:rPr>
          <w:rFonts w:ascii="Bookman Old Style" w:hAnsi="Bookman Old Style"/>
          <w:sz w:val="24"/>
          <w:szCs w:val="24"/>
        </w:rPr>
        <w:t>Daerah</w:t>
      </w:r>
      <w:r w:rsidR="00A954D0">
        <w:rPr>
          <w:rFonts w:ascii="Bookman Old Style" w:hAnsi="Bookman Old Style"/>
          <w:sz w:val="24"/>
          <w:szCs w:val="24"/>
        </w:rPr>
        <w:t xml:space="preserve"> </w:t>
      </w:r>
      <w:r w:rsidR="00B055C5" w:rsidRPr="00B70AFB">
        <w:rPr>
          <w:rFonts w:ascii="Bookman Old Style" w:hAnsi="Bookman Old Style"/>
          <w:sz w:val="24"/>
          <w:szCs w:val="24"/>
        </w:rPr>
        <w:t>Kota</w:t>
      </w:r>
      <w:r w:rsidR="00A954D0">
        <w:rPr>
          <w:rFonts w:ascii="Bookman Old Style" w:hAnsi="Bookman Old Style"/>
          <w:sz w:val="24"/>
          <w:szCs w:val="24"/>
        </w:rPr>
        <w:t xml:space="preserve"> </w:t>
      </w:r>
      <w:r w:rsidR="00770F22" w:rsidRPr="00B70AFB">
        <w:rPr>
          <w:rFonts w:ascii="Bookman Old Style" w:hAnsi="Bookman Old Style"/>
          <w:sz w:val="24"/>
          <w:szCs w:val="24"/>
        </w:rPr>
        <w:t>Tangerang</w:t>
      </w:r>
      <w:r w:rsidR="00A954D0">
        <w:rPr>
          <w:rFonts w:ascii="Bookman Old Style" w:hAnsi="Bookman Old Style"/>
          <w:sz w:val="24"/>
          <w:szCs w:val="24"/>
        </w:rPr>
        <w:t xml:space="preserve"> </w:t>
      </w:r>
      <w:r w:rsidR="00BE6ED9" w:rsidRPr="00B70AFB">
        <w:rPr>
          <w:rFonts w:ascii="Bookman Old Style" w:hAnsi="Bookman Old Style"/>
          <w:sz w:val="24"/>
          <w:szCs w:val="24"/>
        </w:rPr>
        <w:t>tentang</w:t>
      </w:r>
      <w:r w:rsidR="00A954D0">
        <w:rPr>
          <w:rFonts w:ascii="Bookman Old Style" w:hAnsi="Bookman Old Style"/>
          <w:sz w:val="24"/>
          <w:szCs w:val="24"/>
        </w:rPr>
        <w:t xml:space="preserve"> </w:t>
      </w:r>
      <w:r w:rsidR="00BE6ED9" w:rsidRPr="00B70AFB">
        <w:rPr>
          <w:rFonts w:ascii="Bookman Old Style" w:hAnsi="Bookman Old Style"/>
          <w:sz w:val="24"/>
          <w:szCs w:val="24"/>
        </w:rPr>
        <w:t>APBD</w:t>
      </w:r>
      <w:r w:rsidR="00A954D0">
        <w:rPr>
          <w:rFonts w:ascii="Bookman Old Style" w:hAnsi="Bookman Old Style"/>
          <w:sz w:val="24"/>
          <w:szCs w:val="24"/>
        </w:rPr>
        <w:t xml:space="preserve"> </w:t>
      </w:r>
      <w:r w:rsidRPr="00B70AFB">
        <w:rPr>
          <w:rFonts w:ascii="Bookman Old Style" w:hAnsi="Bookman Old Style"/>
          <w:sz w:val="24"/>
          <w:szCs w:val="24"/>
        </w:rPr>
        <w:t>Tahun</w:t>
      </w:r>
      <w:r w:rsidR="00A954D0">
        <w:rPr>
          <w:rFonts w:ascii="Bookman Old Style" w:hAnsi="Bookman Old Style"/>
          <w:sz w:val="24"/>
          <w:szCs w:val="24"/>
        </w:rPr>
        <w:t xml:space="preserve"> </w:t>
      </w:r>
      <w:r w:rsidRPr="00B70AFB">
        <w:rPr>
          <w:rFonts w:ascii="Bookman Old Style" w:hAnsi="Bookman Old Style"/>
          <w:sz w:val="24"/>
          <w:szCs w:val="24"/>
        </w:rPr>
        <w:t>Anggaran</w:t>
      </w:r>
      <w:r w:rsidR="00A954D0">
        <w:rPr>
          <w:rFonts w:ascii="Bookman Old Style" w:hAnsi="Bookman Old Style"/>
          <w:sz w:val="24"/>
          <w:szCs w:val="24"/>
        </w:rPr>
        <w:t xml:space="preserve"> </w:t>
      </w:r>
      <w:r w:rsidRPr="00B70AFB">
        <w:rPr>
          <w:rFonts w:ascii="Bookman Old Style" w:hAnsi="Bookman Old Style"/>
          <w:sz w:val="24"/>
          <w:szCs w:val="24"/>
        </w:rPr>
        <w:t>2025,</w:t>
      </w:r>
      <w:r w:rsidR="00A954D0">
        <w:rPr>
          <w:rFonts w:ascii="Bookman Old Style" w:hAnsi="Bookman Old Style"/>
          <w:sz w:val="24"/>
          <w:szCs w:val="24"/>
        </w:rPr>
        <w:t xml:space="preserve"> </w:t>
      </w:r>
      <w:r w:rsidRPr="00B70AFB">
        <w:rPr>
          <w:rFonts w:ascii="Bookman Old Style" w:hAnsi="Bookman Old Style"/>
          <w:sz w:val="24"/>
          <w:szCs w:val="24"/>
        </w:rPr>
        <w:t>yang</w:t>
      </w:r>
      <w:r w:rsidR="00A954D0">
        <w:rPr>
          <w:rFonts w:ascii="Bookman Old Style" w:hAnsi="Bookman Old Style"/>
          <w:sz w:val="24"/>
          <w:szCs w:val="24"/>
        </w:rPr>
        <w:t xml:space="preserve"> </w:t>
      </w:r>
      <w:r w:rsidRPr="00B70AFB">
        <w:rPr>
          <w:rFonts w:ascii="Bookman Old Style" w:hAnsi="Bookman Old Style"/>
          <w:sz w:val="24"/>
          <w:szCs w:val="24"/>
        </w:rPr>
        <w:t>antara</w:t>
      </w:r>
      <w:r w:rsidR="00A954D0">
        <w:rPr>
          <w:rFonts w:ascii="Bookman Old Style" w:hAnsi="Bookman Old Style"/>
          <w:sz w:val="24"/>
          <w:szCs w:val="24"/>
        </w:rPr>
        <w:t xml:space="preserve"> </w:t>
      </w:r>
      <w:r w:rsidRPr="00B70AFB">
        <w:rPr>
          <w:rFonts w:ascii="Bookman Old Style" w:hAnsi="Bookman Old Style"/>
          <w:sz w:val="24"/>
          <w:szCs w:val="24"/>
        </w:rPr>
        <w:t>lain</w:t>
      </w:r>
      <w:r w:rsidR="00A954D0">
        <w:rPr>
          <w:rFonts w:ascii="Bookman Old Style" w:hAnsi="Bookman Old Style"/>
          <w:sz w:val="24"/>
          <w:szCs w:val="24"/>
        </w:rPr>
        <w:t xml:space="preserve"> </w:t>
      </w:r>
      <w:r w:rsidRPr="00B70AFB">
        <w:rPr>
          <w:rFonts w:ascii="Bookman Old Style" w:hAnsi="Bookman Old Style"/>
          <w:sz w:val="24"/>
          <w:szCs w:val="24"/>
        </w:rPr>
        <w:t>diuraikan</w:t>
      </w:r>
      <w:r w:rsidR="00A954D0">
        <w:rPr>
          <w:rFonts w:ascii="Bookman Old Style" w:hAnsi="Bookman Old Style"/>
          <w:sz w:val="24"/>
          <w:szCs w:val="24"/>
        </w:rPr>
        <w:t xml:space="preserve"> </w:t>
      </w:r>
      <w:r w:rsidRPr="00B70AFB">
        <w:rPr>
          <w:rFonts w:ascii="Bookman Old Style" w:hAnsi="Bookman Old Style"/>
          <w:sz w:val="24"/>
          <w:szCs w:val="24"/>
        </w:rPr>
        <w:t>ke</w:t>
      </w:r>
      <w:r w:rsidR="00A954D0">
        <w:rPr>
          <w:rFonts w:ascii="Bookman Old Style" w:hAnsi="Bookman Old Style"/>
          <w:sz w:val="24"/>
          <w:szCs w:val="24"/>
        </w:rPr>
        <w:t xml:space="preserve"> </w:t>
      </w:r>
      <w:r w:rsidRPr="00B70AFB">
        <w:rPr>
          <w:rFonts w:ascii="Bookman Old Style" w:hAnsi="Bookman Old Style"/>
          <w:sz w:val="24"/>
          <w:szCs w:val="24"/>
        </w:rPr>
        <w:t>dalam</w:t>
      </w:r>
      <w:r w:rsidR="00A954D0">
        <w:rPr>
          <w:rFonts w:ascii="Bookman Old Style" w:hAnsi="Bookman Old Style"/>
          <w:sz w:val="24"/>
          <w:szCs w:val="24"/>
        </w:rPr>
        <w:t xml:space="preserve"> </w:t>
      </w:r>
      <w:r w:rsidRPr="00B70AFB">
        <w:rPr>
          <w:rFonts w:ascii="Bookman Old Style" w:hAnsi="Bookman Old Style"/>
          <w:sz w:val="24"/>
          <w:szCs w:val="24"/>
        </w:rPr>
        <w:t>sub</w:t>
      </w:r>
      <w:r w:rsidR="00A954D0">
        <w:rPr>
          <w:rFonts w:ascii="Bookman Old Style" w:hAnsi="Bookman Old Style"/>
          <w:sz w:val="24"/>
          <w:szCs w:val="24"/>
        </w:rPr>
        <w:t xml:space="preserve"> </w:t>
      </w:r>
      <w:r w:rsidRPr="00B70AFB">
        <w:rPr>
          <w:rFonts w:ascii="Bookman Old Style" w:hAnsi="Bookman Old Style"/>
          <w:sz w:val="24"/>
          <w:szCs w:val="24"/>
        </w:rPr>
        <w:t>rincian</w:t>
      </w:r>
      <w:r w:rsidR="00A954D0">
        <w:rPr>
          <w:rFonts w:ascii="Bookman Old Style" w:hAnsi="Bookman Old Style"/>
          <w:sz w:val="24"/>
          <w:szCs w:val="24"/>
        </w:rPr>
        <w:t xml:space="preserve"> </w:t>
      </w:r>
      <w:r w:rsidRPr="00B70AFB">
        <w:rPr>
          <w:rFonts w:ascii="Bookman Old Style" w:hAnsi="Bookman Old Style"/>
          <w:sz w:val="24"/>
          <w:szCs w:val="24"/>
        </w:rPr>
        <w:t>objek</w:t>
      </w:r>
      <w:r w:rsidR="00A954D0">
        <w:rPr>
          <w:rFonts w:ascii="Bookman Old Style" w:hAnsi="Bookman Old Style"/>
          <w:sz w:val="24"/>
          <w:szCs w:val="24"/>
          <w:lang w:val="en-US"/>
        </w:rPr>
        <w:t xml:space="preserve"> </w:t>
      </w:r>
      <w:r w:rsidRPr="00B70AFB">
        <w:rPr>
          <w:rFonts w:ascii="Bookman Old Style" w:hAnsi="Bookman Old Style"/>
          <w:sz w:val="24"/>
          <w:szCs w:val="24"/>
          <w:lang w:val="en-US"/>
        </w:rPr>
        <w:t>belanja:</w:t>
      </w:r>
    </w:p>
    <w:p w14:paraId="35C9EF1C" w14:textId="32E38870" w:rsidR="003B7FE4" w:rsidRPr="003255BC" w:rsidRDefault="00A47A99" w:rsidP="005668F0">
      <w:pPr>
        <w:pStyle w:val="ListParagraph"/>
        <w:numPr>
          <w:ilvl w:val="0"/>
          <w:numId w:val="150"/>
        </w:numPr>
        <w:spacing w:before="60" w:after="0" w:line="276" w:lineRule="auto"/>
        <w:ind w:left="3686" w:hanging="425"/>
        <w:contextualSpacing w:val="0"/>
        <w:jc w:val="both"/>
        <w:rPr>
          <w:rFonts w:ascii="Bookman Old Style" w:hAnsi="Bookman Old Style"/>
          <w:sz w:val="24"/>
          <w:szCs w:val="24"/>
          <w:lang w:val="sv-FI"/>
        </w:rPr>
      </w:pPr>
      <w:r w:rsidRPr="003255BC">
        <w:rPr>
          <w:rFonts w:ascii="Bookman Old Style" w:hAnsi="Bookman Old Style"/>
          <w:sz w:val="24"/>
          <w:szCs w:val="24"/>
          <w:lang w:val="sv-FI"/>
        </w:rPr>
        <w:t>Belanja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Sewa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Bangunan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Gudang</w:t>
      </w:r>
      <w:r w:rsidR="00A954D0" w:rsidRPr="003255BC">
        <w:rPr>
          <w:rFonts w:ascii="Bookman Old Style" w:hAnsi="Bookman Old Style"/>
          <w:sz w:val="24"/>
          <w:szCs w:val="24"/>
          <w:lang w:val="sv-FI"/>
        </w:rPr>
        <w:t xml:space="preserve"> </w:t>
      </w:r>
      <w:r w:rsidR="00E07B59" w:rsidRPr="003255BC">
        <w:rPr>
          <w:rFonts w:ascii="Bookman Old Style" w:hAnsi="Bookman Old Style"/>
          <w:sz w:val="24"/>
          <w:szCs w:val="24"/>
          <w:lang w:val="sv-FI"/>
        </w:rPr>
        <w:t>Rp2.272.800.000,00</w:t>
      </w:r>
      <w:r w:rsidR="003B7FE4" w:rsidRPr="00B70AFB">
        <w:rPr>
          <w:rFonts w:ascii="Bookman Old Style" w:hAnsi="Bookman Old Style"/>
          <w:sz w:val="24"/>
          <w:szCs w:val="24"/>
          <w:lang w:val="id-ID"/>
        </w:rPr>
        <w:t>;</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dan</w:t>
      </w:r>
    </w:p>
    <w:p w14:paraId="1EE6DC9E" w14:textId="2B6901EE" w:rsidR="003B7FE4" w:rsidRPr="00256727" w:rsidRDefault="00E07B59" w:rsidP="005668F0">
      <w:pPr>
        <w:pStyle w:val="ListParagraph"/>
        <w:numPr>
          <w:ilvl w:val="0"/>
          <w:numId w:val="150"/>
        </w:numPr>
        <w:spacing w:before="60" w:after="0" w:line="276" w:lineRule="auto"/>
        <w:ind w:left="3686" w:hanging="425"/>
        <w:contextualSpacing w:val="0"/>
        <w:jc w:val="both"/>
        <w:rPr>
          <w:rFonts w:ascii="Bookman Old Style" w:hAnsi="Bookman Old Style"/>
          <w:sz w:val="24"/>
          <w:szCs w:val="24"/>
          <w:lang w:val="sv-FI"/>
        </w:rPr>
      </w:pPr>
      <w:r w:rsidRPr="00256727">
        <w:rPr>
          <w:rFonts w:ascii="Bookman Old Style" w:hAnsi="Bookman Old Style"/>
          <w:sz w:val="24"/>
          <w:szCs w:val="24"/>
          <w:lang w:val="sv-FI"/>
        </w:rPr>
        <w:t>Belanja</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Sewa</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Bangunan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Terbuka</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Rp1.374.750.000,00</w:t>
      </w:r>
      <w:r w:rsidR="005668F0">
        <w:rPr>
          <w:rFonts w:ascii="Bookman Old Style" w:hAnsi="Bookman Old Style"/>
          <w:sz w:val="24"/>
          <w:szCs w:val="24"/>
          <w:lang w:val="sv-FI"/>
        </w:rPr>
        <w:t>.</w:t>
      </w:r>
    </w:p>
    <w:p w14:paraId="352EA0BB" w14:textId="6F127738" w:rsidR="003B7FE4" w:rsidRPr="00B70AFB" w:rsidRDefault="003B7FE4" w:rsidP="005668F0">
      <w:pPr>
        <w:pStyle w:val="ListParagraph"/>
        <w:numPr>
          <w:ilvl w:val="0"/>
          <w:numId w:val="142"/>
        </w:numPr>
        <w:spacing w:before="60" w:after="0" w:line="276" w:lineRule="auto"/>
        <w:ind w:left="3261" w:hanging="567"/>
        <w:contextualSpacing w:val="0"/>
        <w:jc w:val="both"/>
        <w:rPr>
          <w:rFonts w:ascii="Bookman Old Style" w:hAnsi="Bookman Old Style"/>
          <w:sz w:val="24"/>
          <w:szCs w:val="24"/>
        </w:rPr>
      </w:pPr>
      <w:r w:rsidRPr="00B70AFB">
        <w:rPr>
          <w:rFonts w:ascii="Bookman Old Style" w:hAnsi="Bookman Old Style"/>
          <w:sz w:val="24"/>
          <w:szCs w:val="24"/>
        </w:rPr>
        <w:t>Belanja</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Sewa</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Aset</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Tetap</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Lainnya</w:t>
      </w:r>
      <w:r w:rsidR="00A954D0" w:rsidRPr="00256727">
        <w:rPr>
          <w:rFonts w:ascii="Bookman Old Style" w:hAnsi="Bookman Old Style"/>
          <w:sz w:val="24"/>
          <w:szCs w:val="24"/>
          <w:lang w:val="sv-FI"/>
        </w:rPr>
        <w:t xml:space="preserve"> </w:t>
      </w:r>
      <w:r w:rsidR="00CB4C9C" w:rsidRPr="00256727">
        <w:rPr>
          <w:rFonts w:ascii="Bookman Old Style" w:hAnsi="Bookman Old Style"/>
          <w:sz w:val="24"/>
          <w:szCs w:val="24"/>
          <w:lang w:val="sv-FI"/>
        </w:rPr>
        <w:t>Rp663.300.000,00</w:t>
      </w:r>
      <w:r w:rsidR="00A954D0" w:rsidRPr="00256727">
        <w:rPr>
          <w:rFonts w:ascii="Bookman Old Style" w:hAnsi="Bookman Old Style"/>
          <w:sz w:val="24"/>
          <w:szCs w:val="24"/>
          <w:lang w:val="sv-FI"/>
        </w:rPr>
        <w:t xml:space="preserve"> </w:t>
      </w:r>
      <w:r w:rsidR="00CB4C9C" w:rsidRPr="00256727">
        <w:rPr>
          <w:rFonts w:ascii="Bookman Old Style" w:hAnsi="Bookman Old Style"/>
          <w:sz w:val="24"/>
          <w:szCs w:val="24"/>
          <w:lang w:val="sv-FI"/>
        </w:rPr>
        <w:t>atau</w:t>
      </w:r>
      <w:r w:rsidR="00A954D0" w:rsidRPr="00256727">
        <w:rPr>
          <w:rFonts w:ascii="Bookman Old Style" w:hAnsi="Bookman Old Style"/>
          <w:sz w:val="24"/>
          <w:szCs w:val="24"/>
          <w:lang w:val="sv-FI"/>
        </w:rPr>
        <w:t xml:space="preserve"> </w:t>
      </w:r>
      <w:r w:rsidR="00CB4C9C" w:rsidRPr="00256727">
        <w:rPr>
          <w:rFonts w:ascii="Bookman Old Style" w:hAnsi="Bookman Old Style"/>
          <w:sz w:val="24"/>
          <w:szCs w:val="24"/>
          <w:lang w:val="sv-FI"/>
        </w:rPr>
        <w:t>0,01%</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dari</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total</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belanja</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daerah</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dalam</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Rancangan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Peraturan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Daerah</w:t>
      </w:r>
      <w:r w:rsidR="00A954D0" w:rsidRPr="00256727">
        <w:rPr>
          <w:rFonts w:ascii="Bookman Old Style" w:hAnsi="Bookman Old Style"/>
          <w:sz w:val="24"/>
          <w:szCs w:val="24"/>
          <w:lang w:val="sv-FI"/>
        </w:rPr>
        <w:t xml:space="preserve"> </w:t>
      </w:r>
      <w:r w:rsidR="00B055C5" w:rsidRPr="00256727">
        <w:rPr>
          <w:rFonts w:ascii="Bookman Old Style" w:hAnsi="Bookman Old Style"/>
          <w:sz w:val="24"/>
          <w:szCs w:val="24"/>
          <w:lang w:val="sv-FI"/>
        </w:rPr>
        <w:t>Kota</w:t>
      </w:r>
      <w:r w:rsidR="00A954D0" w:rsidRPr="00256727">
        <w:rPr>
          <w:rFonts w:ascii="Bookman Old Style" w:hAnsi="Bookman Old Style"/>
          <w:sz w:val="24"/>
          <w:szCs w:val="24"/>
          <w:lang w:val="sv-FI"/>
        </w:rPr>
        <w:t xml:space="preserve"> </w:t>
      </w:r>
      <w:r w:rsidR="00770F22" w:rsidRPr="00256727">
        <w:rPr>
          <w:rFonts w:ascii="Bookman Old Style" w:hAnsi="Bookman Old Style"/>
          <w:sz w:val="24"/>
          <w:szCs w:val="24"/>
          <w:lang w:val="sv-FI"/>
        </w:rPr>
        <w:t>Tangerang</w:t>
      </w:r>
      <w:r w:rsidR="00A954D0" w:rsidRPr="00256727">
        <w:rPr>
          <w:rFonts w:ascii="Bookman Old Style" w:hAnsi="Bookman Old Style"/>
          <w:sz w:val="24"/>
          <w:szCs w:val="24"/>
          <w:lang w:val="sv-FI"/>
        </w:rPr>
        <w:t xml:space="preserve"> </w:t>
      </w:r>
      <w:r w:rsidR="00BE6ED9" w:rsidRPr="00256727">
        <w:rPr>
          <w:rFonts w:ascii="Bookman Old Style" w:hAnsi="Bookman Old Style"/>
          <w:sz w:val="24"/>
          <w:szCs w:val="24"/>
          <w:lang w:val="sv-FI"/>
        </w:rPr>
        <w:t>tentang</w:t>
      </w:r>
      <w:r w:rsidR="00A954D0" w:rsidRPr="00256727">
        <w:rPr>
          <w:rFonts w:ascii="Bookman Old Style" w:hAnsi="Bookman Old Style"/>
          <w:sz w:val="24"/>
          <w:szCs w:val="24"/>
          <w:lang w:val="sv-FI"/>
        </w:rPr>
        <w:t xml:space="preserve"> </w:t>
      </w:r>
      <w:r w:rsidR="00BE6ED9" w:rsidRPr="00256727">
        <w:rPr>
          <w:rFonts w:ascii="Bookman Old Style" w:hAnsi="Bookman Old Style"/>
          <w:sz w:val="24"/>
          <w:szCs w:val="24"/>
          <w:lang w:val="sv-FI"/>
        </w:rPr>
        <w:t>APBD</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Tahun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Anggaran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2025,</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yang</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antara</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lain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diuraikan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ke</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dalam</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sub</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rincian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objek</w:t>
      </w:r>
      <w:r w:rsidR="00A954D0" w:rsidRPr="00256727">
        <w:rPr>
          <w:rFonts w:ascii="Bookman Old Style" w:hAnsi="Bookman Old Style"/>
          <w:sz w:val="24"/>
          <w:szCs w:val="24"/>
          <w:lang w:val="sv-FI"/>
        </w:rPr>
        <w:t xml:space="preserve"> </w:t>
      </w:r>
      <w:r w:rsidR="00CB5B10" w:rsidRPr="00256727">
        <w:rPr>
          <w:rFonts w:ascii="Bookman Old Style" w:hAnsi="Bookman Old Style"/>
          <w:sz w:val="24"/>
          <w:szCs w:val="24"/>
          <w:lang w:val="sv-FI"/>
        </w:rPr>
        <w:t>Belanja</w:t>
      </w:r>
      <w:r w:rsidR="00A954D0" w:rsidRPr="00256727">
        <w:rPr>
          <w:rFonts w:ascii="Bookman Old Style" w:hAnsi="Bookman Old Style"/>
          <w:sz w:val="24"/>
          <w:szCs w:val="24"/>
          <w:lang w:val="sv-FI"/>
        </w:rPr>
        <w:t xml:space="preserve"> </w:t>
      </w:r>
      <w:r w:rsidR="00CB5B10" w:rsidRPr="00256727">
        <w:rPr>
          <w:rFonts w:ascii="Bookman Old Style" w:hAnsi="Bookman Old Style"/>
          <w:sz w:val="24"/>
          <w:szCs w:val="24"/>
          <w:lang w:val="sv-FI"/>
        </w:rPr>
        <w:t>Sewa</w:t>
      </w:r>
      <w:r w:rsidR="00A954D0" w:rsidRPr="00256727">
        <w:rPr>
          <w:rFonts w:ascii="Bookman Old Style" w:hAnsi="Bookman Old Style"/>
          <w:sz w:val="24"/>
          <w:szCs w:val="24"/>
          <w:lang w:val="sv-FI"/>
        </w:rPr>
        <w:t xml:space="preserve"> </w:t>
      </w:r>
      <w:r w:rsidR="00CB5B10" w:rsidRPr="00256727">
        <w:rPr>
          <w:rFonts w:ascii="Bookman Old Style" w:hAnsi="Bookman Old Style"/>
          <w:sz w:val="24"/>
          <w:szCs w:val="24"/>
          <w:lang w:val="sv-FI"/>
        </w:rPr>
        <w:t>Musik</w:t>
      </w:r>
      <w:r w:rsidR="00A954D0" w:rsidRPr="00256727">
        <w:rPr>
          <w:rFonts w:ascii="Bookman Old Style" w:hAnsi="Bookman Old Style"/>
          <w:sz w:val="24"/>
          <w:szCs w:val="24"/>
          <w:lang w:val="sv-FI"/>
        </w:rPr>
        <w:t xml:space="preserve"> </w:t>
      </w:r>
      <w:r w:rsidR="00CB5B10" w:rsidRPr="00256727">
        <w:rPr>
          <w:rFonts w:ascii="Bookman Old Style" w:hAnsi="Bookman Old Style"/>
          <w:sz w:val="24"/>
          <w:szCs w:val="24"/>
          <w:lang w:val="sv-FI"/>
        </w:rPr>
        <w:t>Lainnya</w:t>
      </w:r>
      <w:r w:rsidR="00A954D0" w:rsidRPr="00256727">
        <w:rPr>
          <w:rFonts w:ascii="Bookman Old Style" w:hAnsi="Bookman Old Style"/>
          <w:sz w:val="24"/>
          <w:szCs w:val="24"/>
          <w:lang w:val="sv-FI"/>
        </w:rPr>
        <w:t xml:space="preserve"> </w:t>
      </w:r>
      <w:r w:rsidR="00CB5B10" w:rsidRPr="00256727">
        <w:rPr>
          <w:rFonts w:ascii="Bookman Old Style" w:hAnsi="Bookman Old Style"/>
          <w:sz w:val="24"/>
          <w:szCs w:val="24"/>
          <w:lang w:val="sv-FI"/>
        </w:rPr>
        <w:t>Rp484.400.000,00</w:t>
      </w:r>
      <w:r w:rsidR="005668F0">
        <w:rPr>
          <w:rFonts w:ascii="Bookman Old Style" w:hAnsi="Bookman Old Style"/>
          <w:sz w:val="24"/>
          <w:szCs w:val="24"/>
          <w:lang w:val="sv-FI"/>
        </w:rPr>
        <w:t>.</w:t>
      </w:r>
    </w:p>
    <w:p w14:paraId="6D5D736A" w14:textId="3AAFE282" w:rsidR="009363C1" w:rsidRPr="00B70AFB" w:rsidRDefault="005668F0" w:rsidP="005668F0">
      <w:pPr>
        <w:pStyle w:val="ListParagraph"/>
        <w:spacing w:before="60" w:after="0" w:line="276" w:lineRule="auto"/>
        <w:ind w:left="2694"/>
        <w:contextualSpacing w:val="0"/>
        <w:jc w:val="both"/>
        <w:rPr>
          <w:rFonts w:ascii="Bookman Old Style" w:hAnsi="Bookman Old Style"/>
          <w:sz w:val="24"/>
          <w:szCs w:val="24"/>
        </w:rPr>
      </w:pPr>
      <w:r>
        <w:rPr>
          <w:rFonts w:ascii="Bookman Old Style" w:hAnsi="Bookman Old Style"/>
          <w:sz w:val="24"/>
          <w:szCs w:val="24"/>
          <w:lang w:val="en-US"/>
        </w:rPr>
        <w:lastRenderedPageBreak/>
        <w:t>D</w:t>
      </w:r>
      <w:r w:rsidR="003B7FE4" w:rsidRPr="00B70AFB">
        <w:rPr>
          <w:rFonts w:ascii="Bookman Old Style" w:hAnsi="Bookman Old Style"/>
          <w:sz w:val="24"/>
          <w:szCs w:val="24"/>
        </w:rPr>
        <w:t>ianggarkan</w:t>
      </w:r>
      <w:r w:rsidR="00A954D0">
        <w:rPr>
          <w:rFonts w:ascii="Bookman Old Style" w:hAnsi="Bookman Old Style"/>
          <w:sz w:val="24"/>
          <w:szCs w:val="24"/>
        </w:rPr>
        <w:t xml:space="preserve"> </w:t>
      </w:r>
      <w:r w:rsidR="003B7FE4" w:rsidRPr="00B70AFB">
        <w:rPr>
          <w:rFonts w:ascii="Bookman Old Style" w:hAnsi="Bookman Old Style"/>
          <w:sz w:val="24"/>
          <w:szCs w:val="24"/>
        </w:rPr>
        <w:t>dalam</w:t>
      </w:r>
      <w:r w:rsidR="00A954D0">
        <w:rPr>
          <w:rFonts w:ascii="Bookman Old Style" w:hAnsi="Bookman Old Style"/>
          <w:sz w:val="24"/>
          <w:szCs w:val="24"/>
        </w:rPr>
        <w:t xml:space="preserve"> </w:t>
      </w:r>
      <w:r w:rsidR="003B7FE4" w:rsidRPr="00B70AFB">
        <w:rPr>
          <w:rFonts w:ascii="Bookman Old Style" w:hAnsi="Bookman Old Style"/>
          <w:sz w:val="24"/>
          <w:szCs w:val="24"/>
        </w:rPr>
        <w:t>Rancangan</w:t>
      </w:r>
      <w:r w:rsidR="00A954D0">
        <w:rPr>
          <w:rFonts w:ascii="Bookman Old Style" w:hAnsi="Bookman Old Style"/>
          <w:sz w:val="24"/>
          <w:szCs w:val="24"/>
        </w:rPr>
        <w:t xml:space="preserve"> </w:t>
      </w:r>
      <w:r w:rsidR="003B7FE4" w:rsidRPr="00B70AFB">
        <w:rPr>
          <w:rFonts w:ascii="Bookman Old Style" w:hAnsi="Bookman Old Style"/>
          <w:sz w:val="24"/>
          <w:szCs w:val="24"/>
        </w:rPr>
        <w:t>Peraturan</w:t>
      </w:r>
      <w:r w:rsidR="00A954D0">
        <w:rPr>
          <w:rFonts w:ascii="Bookman Old Style" w:hAnsi="Bookman Old Style"/>
          <w:sz w:val="24"/>
          <w:szCs w:val="24"/>
        </w:rPr>
        <w:t xml:space="preserve"> </w:t>
      </w:r>
      <w:r w:rsidR="003B7FE4" w:rsidRPr="00B70AFB">
        <w:rPr>
          <w:rFonts w:ascii="Bookman Old Style" w:hAnsi="Bookman Old Style"/>
          <w:sz w:val="24"/>
          <w:szCs w:val="24"/>
        </w:rPr>
        <w:t>Daerah</w:t>
      </w:r>
      <w:r w:rsidR="00A954D0">
        <w:rPr>
          <w:rFonts w:ascii="Bookman Old Style" w:hAnsi="Bookman Old Style"/>
          <w:sz w:val="24"/>
          <w:szCs w:val="24"/>
        </w:rPr>
        <w:t xml:space="preserve"> </w:t>
      </w:r>
      <w:r w:rsidR="00B055C5" w:rsidRPr="00B70AFB">
        <w:rPr>
          <w:rFonts w:ascii="Bookman Old Style" w:hAnsi="Bookman Old Style"/>
          <w:sz w:val="24"/>
          <w:szCs w:val="24"/>
        </w:rPr>
        <w:t>Kota</w:t>
      </w:r>
      <w:r w:rsidR="00A954D0">
        <w:rPr>
          <w:rFonts w:ascii="Bookman Old Style" w:hAnsi="Bookman Old Style"/>
          <w:sz w:val="24"/>
          <w:szCs w:val="24"/>
        </w:rPr>
        <w:t xml:space="preserve"> </w:t>
      </w:r>
      <w:r w:rsidR="00770F22" w:rsidRPr="00B70AFB">
        <w:rPr>
          <w:rFonts w:ascii="Bookman Old Style" w:hAnsi="Bookman Old Style"/>
          <w:sz w:val="24"/>
          <w:szCs w:val="24"/>
        </w:rPr>
        <w:t>Tangerang</w:t>
      </w:r>
      <w:r w:rsidR="00A954D0">
        <w:rPr>
          <w:rFonts w:ascii="Bookman Old Style" w:hAnsi="Bookman Old Style"/>
          <w:sz w:val="24"/>
          <w:szCs w:val="24"/>
        </w:rPr>
        <w:t xml:space="preserve"> </w:t>
      </w:r>
      <w:r w:rsidR="00BE6ED9" w:rsidRPr="00B70AFB">
        <w:rPr>
          <w:rFonts w:ascii="Bookman Old Style" w:hAnsi="Bookman Old Style"/>
          <w:sz w:val="24"/>
          <w:szCs w:val="24"/>
        </w:rPr>
        <w:t>tentang</w:t>
      </w:r>
      <w:r w:rsidR="00A954D0">
        <w:rPr>
          <w:rFonts w:ascii="Bookman Old Style" w:hAnsi="Bookman Old Style"/>
          <w:sz w:val="24"/>
          <w:szCs w:val="24"/>
        </w:rPr>
        <w:t xml:space="preserve"> </w:t>
      </w:r>
      <w:r w:rsidR="00BE6ED9" w:rsidRPr="00B70AFB">
        <w:rPr>
          <w:rFonts w:ascii="Bookman Old Style" w:hAnsi="Bookman Old Style"/>
          <w:sz w:val="24"/>
          <w:szCs w:val="24"/>
        </w:rPr>
        <w:t>APBD</w:t>
      </w:r>
      <w:r w:rsidR="00A954D0">
        <w:rPr>
          <w:rFonts w:ascii="Bookman Old Style" w:hAnsi="Bookman Old Style"/>
          <w:sz w:val="24"/>
          <w:szCs w:val="24"/>
        </w:rPr>
        <w:t xml:space="preserve"> </w:t>
      </w:r>
      <w:r w:rsidR="003B7FE4" w:rsidRPr="00B70AFB">
        <w:rPr>
          <w:rFonts w:ascii="Bookman Old Style" w:hAnsi="Bookman Old Style"/>
          <w:sz w:val="24"/>
          <w:szCs w:val="24"/>
        </w:rPr>
        <w:t>Tahun</w:t>
      </w:r>
      <w:r w:rsidR="00A954D0">
        <w:rPr>
          <w:rFonts w:ascii="Bookman Old Style" w:hAnsi="Bookman Old Style"/>
          <w:sz w:val="24"/>
          <w:szCs w:val="24"/>
        </w:rPr>
        <w:t xml:space="preserve"> </w:t>
      </w:r>
      <w:r w:rsidR="003B7FE4" w:rsidRPr="00B70AFB">
        <w:rPr>
          <w:rFonts w:ascii="Bookman Old Style" w:hAnsi="Bookman Old Style"/>
          <w:sz w:val="24"/>
          <w:szCs w:val="24"/>
        </w:rPr>
        <w:t>Anggaran</w:t>
      </w:r>
      <w:r w:rsidR="00A954D0">
        <w:rPr>
          <w:rFonts w:ascii="Bookman Old Style" w:hAnsi="Bookman Old Style"/>
          <w:sz w:val="24"/>
          <w:szCs w:val="24"/>
        </w:rPr>
        <w:t xml:space="preserve"> </w:t>
      </w:r>
      <w:r w:rsidR="003B7FE4" w:rsidRPr="00B70AFB">
        <w:rPr>
          <w:rFonts w:ascii="Bookman Old Style" w:hAnsi="Bookman Old Style"/>
          <w:sz w:val="24"/>
          <w:szCs w:val="24"/>
        </w:rPr>
        <w:t>2025,</w:t>
      </w:r>
      <w:r w:rsidR="00A954D0">
        <w:rPr>
          <w:rFonts w:ascii="Bookman Old Style" w:hAnsi="Bookman Old Style"/>
          <w:sz w:val="24"/>
          <w:szCs w:val="24"/>
        </w:rPr>
        <w:t xml:space="preserve"> </w:t>
      </w:r>
      <w:r w:rsidR="003B7FE4" w:rsidRPr="00B70AFB">
        <w:rPr>
          <w:rFonts w:ascii="Bookman Old Style" w:hAnsi="Bookman Old Style"/>
          <w:sz w:val="24"/>
          <w:szCs w:val="24"/>
        </w:rPr>
        <w:t>namun</w:t>
      </w:r>
      <w:r w:rsidR="00A954D0">
        <w:rPr>
          <w:rFonts w:ascii="Bookman Old Style" w:hAnsi="Bookman Old Style"/>
          <w:sz w:val="24"/>
          <w:szCs w:val="24"/>
        </w:rPr>
        <w:t xml:space="preserve"> </w:t>
      </w:r>
      <w:r w:rsidR="003B7FE4" w:rsidRPr="00B70AFB">
        <w:rPr>
          <w:rFonts w:ascii="Bookman Old Style" w:hAnsi="Bookman Old Style"/>
          <w:sz w:val="24"/>
          <w:szCs w:val="24"/>
        </w:rPr>
        <w:t>dalam</w:t>
      </w:r>
      <w:r w:rsidR="00A954D0">
        <w:rPr>
          <w:rFonts w:ascii="Bookman Old Style" w:hAnsi="Bookman Old Style"/>
          <w:sz w:val="24"/>
          <w:szCs w:val="24"/>
        </w:rPr>
        <w:t xml:space="preserve"> </w:t>
      </w:r>
      <w:r w:rsidR="003B7FE4" w:rsidRPr="00B70AFB">
        <w:rPr>
          <w:rFonts w:ascii="Bookman Old Style" w:hAnsi="Bookman Old Style"/>
          <w:sz w:val="24"/>
          <w:szCs w:val="24"/>
        </w:rPr>
        <w:t>pelaksanaannya</w:t>
      </w:r>
      <w:r w:rsidR="00A954D0">
        <w:rPr>
          <w:rFonts w:ascii="Bookman Old Style" w:hAnsi="Bookman Old Style"/>
          <w:sz w:val="24"/>
          <w:szCs w:val="24"/>
        </w:rPr>
        <w:t xml:space="preserve"> </w:t>
      </w:r>
      <w:r w:rsidR="003B7FE4" w:rsidRPr="00B70AFB">
        <w:rPr>
          <w:rFonts w:ascii="Bookman Old Style" w:hAnsi="Bookman Old Style"/>
          <w:sz w:val="24"/>
          <w:szCs w:val="24"/>
        </w:rPr>
        <w:t>disesuaikan</w:t>
      </w:r>
      <w:r w:rsidR="00A954D0">
        <w:rPr>
          <w:rFonts w:ascii="Bookman Old Style" w:hAnsi="Bookman Old Style"/>
          <w:sz w:val="24"/>
          <w:szCs w:val="24"/>
        </w:rPr>
        <w:t xml:space="preserve"> </w:t>
      </w:r>
      <w:r w:rsidR="003B7FE4" w:rsidRPr="00B70AFB">
        <w:rPr>
          <w:rFonts w:ascii="Bookman Old Style" w:hAnsi="Bookman Old Style"/>
          <w:sz w:val="24"/>
          <w:szCs w:val="24"/>
        </w:rPr>
        <w:t>dengan</w:t>
      </w:r>
      <w:r w:rsidR="00A954D0">
        <w:rPr>
          <w:rFonts w:ascii="Bookman Old Style" w:hAnsi="Bookman Old Style"/>
          <w:sz w:val="24"/>
          <w:szCs w:val="24"/>
        </w:rPr>
        <w:t xml:space="preserve"> </w:t>
      </w:r>
      <w:r w:rsidR="003B7FE4" w:rsidRPr="00B70AFB">
        <w:rPr>
          <w:rFonts w:ascii="Bookman Old Style" w:hAnsi="Bookman Old Style"/>
          <w:sz w:val="24"/>
          <w:szCs w:val="24"/>
        </w:rPr>
        <w:t>kebutuhan</w:t>
      </w:r>
      <w:r w:rsidR="00A954D0">
        <w:rPr>
          <w:rFonts w:ascii="Bookman Old Style" w:hAnsi="Bookman Old Style"/>
          <w:sz w:val="24"/>
          <w:szCs w:val="24"/>
        </w:rPr>
        <w:t xml:space="preserve"> </w:t>
      </w:r>
      <w:r w:rsidR="003B7FE4" w:rsidRPr="00B70AFB">
        <w:rPr>
          <w:rFonts w:ascii="Bookman Old Style" w:hAnsi="Bookman Old Style"/>
          <w:sz w:val="24"/>
          <w:szCs w:val="24"/>
        </w:rPr>
        <w:t>nyata</w:t>
      </w:r>
      <w:r w:rsidR="00A954D0">
        <w:rPr>
          <w:rFonts w:ascii="Bookman Old Style" w:hAnsi="Bookman Old Style"/>
          <w:sz w:val="24"/>
          <w:szCs w:val="24"/>
        </w:rPr>
        <w:t xml:space="preserve"> </w:t>
      </w:r>
      <w:r w:rsidR="003B7FE4" w:rsidRPr="00B70AFB">
        <w:rPr>
          <w:rFonts w:ascii="Bookman Old Style" w:hAnsi="Bookman Old Style"/>
          <w:sz w:val="24"/>
          <w:szCs w:val="24"/>
        </w:rPr>
        <w:t>pada</w:t>
      </w:r>
      <w:r w:rsidR="00A954D0">
        <w:rPr>
          <w:rFonts w:ascii="Bookman Old Style" w:hAnsi="Bookman Old Style"/>
          <w:sz w:val="24"/>
          <w:szCs w:val="24"/>
        </w:rPr>
        <w:t xml:space="preserve"> </w:t>
      </w:r>
      <w:r w:rsidR="003B7FE4" w:rsidRPr="00B70AFB">
        <w:rPr>
          <w:rFonts w:ascii="Bookman Old Style" w:hAnsi="Bookman Old Style"/>
          <w:sz w:val="24"/>
          <w:szCs w:val="24"/>
        </w:rPr>
        <w:t>masing-masing</w:t>
      </w:r>
      <w:r w:rsidR="00A954D0">
        <w:rPr>
          <w:rFonts w:ascii="Bookman Old Style" w:hAnsi="Bookman Old Style"/>
          <w:sz w:val="24"/>
          <w:szCs w:val="24"/>
        </w:rPr>
        <w:t xml:space="preserve"> </w:t>
      </w:r>
      <w:r w:rsidR="003B7FE4" w:rsidRPr="00B70AFB">
        <w:rPr>
          <w:rFonts w:ascii="Bookman Old Style" w:hAnsi="Bookman Old Style"/>
          <w:sz w:val="24"/>
          <w:szCs w:val="24"/>
        </w:rPr>
        <w:t>kegiatan</w:t>
      </w:r>
      <w:r w:rsidR="00A954D0">
        <w:rPr>
          <w:rFonts w:ascii="Bookman Old Style" w:hAnsi="Bookman Old Style"/>
          <w:sz w:val="24"/>
          <w:szCs w:val="24"/>
        </w:rPr>
        <w:t xml:space="preserve"> </w:t>
      </w:r>
      <w:r w:rsidR="003B7FE4" w:rsidRPr="00B70AFB">
        <w:rPr>
          <w:rFonts w:ascii="Bookman Old Style" w:hAnsi="Bookman Old Style"/>
          <w:sz w:val="24"/>
          <w:szCs w:val="24"/>
        </w:rPr>
        <w:t>dengan</w:t>
      </w:r>
      <w:r w:rsidR="00A954D0">
        <w:rPr>
          <w:rFonts w:ascii="Bookman Old Style" w:hAnsi="Bookman Old Style"/>
          <w:sz w:val="24"/>
          <w:szCs w:val="24"/>
        </w:rPr>
        <w:t xml:space="preserve"> </w:t>
      </w:r>
      <w:r w:rsidR="003B7FE4" w:rsidRPr="00B70AFB">
        <w:rPr>
          <w:rFonts w:ascii="Bookman Old Style" w:hAnsi="Bookman Old Style"/>
          <w:sz w:val="24"/>
          <w:szCs w:val="24"/>
        </w:rPr>
        <w:t>memprioritaskan</w:t>
      </w:r>
      <w:r w:rsidR="00A954D0">
        <w:rPr>
          <w:rFonts w:ascii="Bookman Old Style" w:hAnsi="Bookman Old Style"/>
          <w:sz w:val="24"/>
          <w:szCs w:val="24"/>
        </w:rPr>
        <w:t xml:space="preserve"> </w:t>
      </w:r>
      <w:r w:rsidR="003B7FE4" w:rsidRPr="00B70AFB">
        <w:rPr>
          <w:rFonts w:ascii="Bookman Old Style" w:hAnsi="Bookman Old Style"/>
          <w:sz w:val="24"/>
          <w:szCs w:val="24"/>
        </w:rPr>
        <w:t>terlebih</w:t>
      </w:r>
      <w:r w:rsidR="00A954D0">
        <w:rPr>
          <w:rFonts w:ascii="Bookman Old Style" w:hAnsi="Bookman Old Style"/>
          <w:sz w:val="24"/>
          <w:szCs w:val="24"/>
        </w:rPr>
        <w:t xml:space="preserve"> </w:t>
      </w:r>
      <w:r w:rsidR="003B7FE4" w:rsidRPr="00B70AFB">
        <w:rPr>
          <w:rFonts w:ascii="Bookman Old Style" w:hAnsi="Bookman Old Style"/>
          <w:sz w:val="24"/>
          <w:szCs w:val="24"/>
        </w:rPr>
        <w:t>dahulu</w:t>
      </w:r>
      <w:r w:rsidR="00A954D0">
        <w:rPr>
          <w:rFonts w:ascii="Bookman Old Style" w:hAnsi="Bookman Old Style"/>
          <w:sz w:val="24"/>
          <w:szCs w:val="24"/>
        </w:rPr>
        <w:t xml:space="preserve"> </w:t>
      </w:r>
      <w:r w:rsidR="003B7FE4" w:rsidRPr="00B70AFB">
        <w:rPr>
          <w:rFonts w:ascii="Bookman Old Style" w:hAnsi="Bookman Old Style"/>
          <w:sz w:val="24"/>
          <w:szCs w:val="24"/>
        </w:rPr>
        <w:t>penggunaan</w:t>
      </w:r>
      <w:r w:rsidR="00A954D0">
        <w:rPr>
          <w:rFonts w:ascii="Bookman Old Style" w:hAnsi="Bookman Old Style"/>
          <w:sz w:val="24"/>
          <w:szCs w:val="24"/>
        </w:rPr>
        <w:t xml:space="preserve"> </w:t>
      </w:r>
      <w:r w:rsidR="003B7FE4" w:rsidRPr="00B70AFB">
        <w:rPr>
          <w:rFonts w:ascii="Bookman Old Style" w:hAnsi="Bookman Old Style"/>
          <w:sz w:val="24"/>
          <w:szCs w:val="24"/>
          <w:lang w:val="en-US"/>
        </w:rPr>
        <w:t>BMD</w:t>
      </w:r>
      <w:r w:rsidR="003B7FE4" w:rsidRPr="00B70AFB">
        <w:rPr>
          <w:rFonts w:ascii="Bookman Old Style" w:hAnsi="Bookman Old Style"/>
          <w:sz w:val="24"/>
          <w:szCs w:val="24"/>
        </w:rPr>
        <w:t>.</w:t>
      </w:r>
      <w:r w:rsidR="00A954D0">
        <w:rPr>
          <w:rFonts w:ascii="Bookman Old Style" w:hAnsi="Bookman Old Style"/>
          <w:sz w:val="24"/>
          <w:szCs w:val="24"/>
        </w:rPr>
        <w:t xml:space="preserve"> </w:t>
      </w:r>
    </w:p>
    <w:p w14:paraId="23883A99" w14:textId="797B1407" w:rsidR="003B7FE4" w:rsidRPr="00B70AFB" w:rsidRDefault="003B7FE4" w:rsidP="005668F0">
      <w:pPr>
        <w:pStyle w:val="ListParagraph"/>
        <w:spacing w:before="60" w:after="0" w:line="276" w:lineRule="auto"/>
        <w:ind w:left="2694"/>
        <w:contextualSpacing w:val="0"/>
        <w:jc w:val="both"/>
        <w:rPr>
          <w:rFonts w:ascii="Bookman Old Style" w:hAnsi="Bookman Old Style"/>
          <w:sz w:val="24"/>
          <w:szCs w:val="24"/>
        </w:rPr>
      </w:pPr>
      <w:r w:rsidRPr="00B70AFB">
        <w:rPr>
          <w:rFonts w:ascii="Bookman Old Style" w:hAnsi="Bookman Old Style"/>
          <w:sz w:val="24"/>
          <w:szCs w:val="24"/>
        </w:rPr>
        <w:t>Selanjutnya,</w:t>
      </w:r>
      <w:r w:rsidR="00A954D0">
        <w:rPr>
          <w:rFonts w:ascii="Bookman Old Style" w:hAnsi="Bookman Old Style"/>
          <w:sz w:val="24"/>
          <w:szCs w:val="24"/>
        </w:rPr>
        <w:t xml:space="preserve"> </w:t>
      </w:r>
      <w:r w:rsidRPr="00B70AFB">
        <w:rPr>
          <w:rFonts w:ascii="Bookman Old Style" w:hAnsi="Bookman Old Style"/>
          <w:sz w:val="24"/>
          <w:szCs w:val="24"/>
        </w:rPr>
        <w:t>apabila</w:t>
      </w:r>
      <w:r w:rsidR="00A954D0">
        <w:rPr>
          <w:rFonts w:ascii="Bookman Old Style" w:hAnsi="Bookman Old Style"/>
          <w:sz w:val="24"/>
          <w:szCs w:val="24"/>
        </w:rPr>
        <w:t xml:space="preserve"> </w:t>
      </w:r>
      <w:r w:rsidRPr="00B70AFB">
        <w:rPr>
          <w:rFonts w:ascii="Bookman Old Style" w:hAnsi="Bookman Old Style"/>
          <w:sz w:val="24"/>
          <w:szCs w:val="24"/>
        </w:rPr>
        <w:t>tidak</w:t>
      </w:r>
      <w:r w:rsidR="00A954D0">
        <w:rPr>
          <w:rFonts w:ascii="Bookman Old Style" w:hAnsi="Bookman Old Style"/>
          <w:sz w:val="24"/>
          <w:szCs w:val="24"/>
        </w:rPr>
        <w:t xml:space="preserve"> </w:t>
      </w:r>
      <w:r w:rsidRPr="00B70AFB">
        <w:rPr>
          <w:rFonts w:ascii="Bookman Old Style" w:hAnsi="Bookman Old Style"/>
          <w:sz w:val="24"/>
          <w:szCs w:val="24"/>
        </w:rPr>
        <w:t>terdapat</w:t>
      </w:r>
      <w:r w:rsidR="00A954D0">
        <w:rPr>
          <w:rFonts w:ascii="Bookman Old Style" w:hAnsi="Bookman Old Style"/>
          <w:sz w:val="24"/>
          <w:szCs w:val="24"/>
        </w:rPr>
        <w:t xml:space="preserve"> </w:t>
      </w:r>
      <w:r w:rsidRPr="00B70AFB">
        <w:rPr>
          <w:rFonts w:ascii="Bookman Old Style" w:hAnsi="Bookman Old Style"/>
          <w:sz w:val="24"/>
          <w:szCs w:val="24"/>
          <w:lang w:val="en-US"/>
        </w:rPr>
        <w:t>BMD</w:t>
      </w:r>
      <w:r w:rsidR="00A954D0">
        <w:rPr>
          <w:rFonts w:ascii="Bookman Old Style" w:hAnsi="Bookman Old Style"/>
          <w:sz w:val="24"/>
          <w:szCs w:val="24"/>
        </w:rPr>
        <w:t xml:space="preserve"> </w:t>
      </w:r>
      <w:r w:rsidRPr="00B70AFB">
        <w:rPr>
          <w:rFonts w:ascii="Bookman Old Style" w:hAnsi="Bookman Old Style"/>
          <w:sz w:val="24"/>
          <w:szCs w:val="24"/>
        </w:rPr>
        <w:t>terkait</w:t>
      </w:r>
      <w:r w:rsidR="00A954D0">
        <w:rPr>
          <w:rFonts w:ascii="Bookman Old Style" w:hAnsi="Bookman Old Style"/>
          <w:sz w:val="24"/>
          <w:szCs w:val="24"/>
        </w:rPr>
        <w:t xml:space="preserve"> </w:t>
      </w:r>
      <w:r w:rsidRPr="00B70AFB">
        <w:rPr>
          <w:rFonts w:ascii="Bookman Old Style" w:hAnsi="Bookman Old Style"/>
          <w:sz w:val="24"/>
          <w:szCs w:val="24"/>
        </w:rPr>
        <w:t>maka</w:t>
      </w:r>
      <w:r w:rsidR="00A954D0">
        <w:rPr>
          <w:rFonts w:ascii="Bookman Old Style" w:hAnsi="Bookman Old Style"/>
          <w:sz w:val="24"/>
          <w:szCs w:val="24"/>
        </w:rPr>
        <w:t xml:space="preserve"> </w:t>
      </w:r>
      <w:r w:rsidRPr="00B70AFB">
        <w:rPr>
          <w:rFonts w:ascii="Bookman Old Style" w:hAnsi="Bookman Old Style"/>
          <w:sz w:val="24"/>
          <w:szCs w:val="24"/>
        </w:rPr>
        <w:t>penganggaran</w:t>
      </w:r>
      <w:r w:rsidR="00A954D0">
        <w:rPr>
          <w:rFonts w:ascii="Bookman Old Style" w:hAnsi="Bookman Old Style"/>
          <w:sz w:val="24"/>
          <w:szCs w:val="24"/>
        </w:rPr>
        <w:t xml:space="preserve"> </w:t>
      </w:r>
      <w:r w:rsidRPr="00B70AFB">
        <w:rPr>
          <w:rFonts w:ascii="Bookman Old Style" w:hAnsi="Bookman Old Style"/>
          <w:sz w:val="24"/>
          <w:szCs w:val="24"/>
        </w:rPr>
        <w:t>dan</w:t>
      </w:r>
      <w:r w:rsidR="00A954D0">
        <w:rPr>
          <w:rFonts w:ascii="Bookman Old Style" w:hAnsi="Bookman Old Style"/>
          <w:sz w:val="24"/>
          <w:szCs w:val="24"/>
        </w:rPr>
        <w:t xml:space="preserve"> </w:t>
      </w:r>
      <w:r w:rsidRPr="00B70AFB">
        <w:rPr>
          <w:rFonts w:ascii="Bookman Old Style" w:hAnsi="Bookman Old Style"/>
          <w:sz w:val="24"/>
          <w:szCs w:val="24"/>
        </w:rPr>
        <w:t>pelaksanaan</w:t>
      </w:r>
      <w:r w:rsidR="00A954D0">
        <w:rPr>
          <w:rFonts w:ascii="Bookman Old Style" w:hAnsi="Bookman Old Style"/>
          <w:sz w:val="24"/>
          <w:szCs w:val="24"/>
        </w:rPr>
        <w:t xml:space="preserve"> </w:t>
      </w:r>
      <w:r w:rsidRPr="00B70AFB">
        <w:rPr>
          <w:rFonts w:ascii="Bookman Old Style" w:hAnsi="Bookman Old Style"/>
          <w:sz w:val="24"/>
          <w:szCs w:val="24"/>
        </w:rPr>
        <w:t>kegiatan</w:t>
      </w:r>
      <w:r w:rsidR="00A954D0">
        <w:rPr>
          <w:rFonts w:ascii="Bookman Old Style" w:hAnsi="Bookman Old Style"/>
          <w:sz w:val="24"/>
          <w:szCs w:val="24"/>
        </w:rPr>
        <w:t xml:space="preserve"> </w:t>
      </w:r>
      <w:r w:rsidRPr="00B70AFB">
        <w:rPr>
          <w:rFonts w:ascii="Bookman Old Style" w:hAnsi="Bookman Old Style"/>
          <w:sz w:val="24"/>
          <w:szCs w:val="24"/>
        </w:rPr>
        <w:t>dimaksud</w:t>
      </w:r>
      <w:r w:rsidR="00A954D0">
        <w:rPr>
          <w:rFonts w:ascii="Bookman Old Style" w:hAnsi="Bookman Old Style"/>
          <w:sz w:val="24"/>
          <w:szCs w:val="24"/>
        </w:rPr>
        <w:t xml:space="preserve"> </w:t>
      </w:r>
      <w:r w:rsidRPr="00B70AFB">
        <w:rPr>
          <w:rFonts w:ascii="Bookman Old Style" w:hAnsi="Bookman Old Style"/>
          <w:sz w:val="24"/>
          <w:szCs w:val="24"/>
        </w:rPr>
        <w:t>tetap</w:t>
      </w:r>
      <w:r w:rsidR="00A954D0">
        <w:rPr>
          <w:rFonts w:ascii="Bookman Old Style" w:hAnsi="Bookman Old Style"/>
          <w:sz w:val="24"/>
          <w:szCs w:val="24"/>
        </w:rPr>
        <w:t xml:space="preserve"> </w:t>
      </w:r>
      <w:r w:rsidRPr="00B70AFB">
        <w:rPr>
          <w:rFonts w:ascii="Bookman Old Style" w:hAnsi="Bookman Old Style"/>
          <w:sz w:val="24"/>
          <w:szCs w:val="24"/>
        </w:rPr>
        <w:t>memperhatikan</w:t>
      </w:r>
      <w:r w:rsidR="00A954D0">
        <w:rPr>
          <w:rFonts w:ascii="Bookman Old Style" w:hAnsi="Bookman Old Style"/>
          <w:sz w:val="24"/>
          <w:szCs w:val="24"/>
        </w:rPr>
        <w:t xml:space="preserve"> </w:t>
      </w:r>
      <w:r w:rsidRPr="00B70AFB">
        <w:rPr>
          <w:rFonts w:ascii="Bookman Old Style" w:hAnsi="Bookman Old Style"/>
          <w:sz w:val="24"/>
          <w:szCs w:val="24"/>
        </w:rPr>
        <w:t>aspek</w:t>
      </w:r>
      <w:r w:rsidR="00A954D0">
        <w:rPr>
          <w:rFonts w:ascii="Bookman Old Style" w:hAnsi="Bookman Old Style"/>
          <w:sz w:val="24"/>
          <w:szCs w:val="24"/>
        </w:rPr>
        <w:t xml:space="preserve"> </w:t>
      </w:r>
      <w:r w:rsidRPr="00B70AFB">
        <w:rPr>
          <w:rFonts w:ascii="Bookman Old Style" w:hAnsi="Bookman Old Style"/>
          <w:sz w:val="24"/>
          <w:szCs w:val="24"/>
        </w:rPr>
        <w:t>efektivitas,</w:t>
      </w:r>
      <w:r w:rsidR="00A954D0">
        <w:rPr>
          <w:rFonts w:ascii="Bookman Old Style" w:hAnsi="Bookman Old Style"/>
          <w:sz w:val="24"/>
          <w:szCs w:val="24"/>
        </w:rPr>
        <w:t xml:space="preserve"> </w:t>
      </w:r>
      <w:r w:rsidRPr="00B70AFB">
        <w:rPr>
          <w:rFonts w:ascii="Bookman Old Style" w:hAnsi="Bookman Old Style"/>
          <w:sz w:val="24"/>
          <w:szCs w:val="24"/>
        </w:rPr>
        <w:t>efisiensi,</w:t>
      </w:r>
      <w:r w:rsidR="00A954D0">
        <w:rPr>
          <w:rFonts w:ascii="Bookman Old Style" w:hAnsi="Bookman Old Style"/>
          <w:sz w:val="24"/>
          <w:szCs w:val="24"/>
        </w:rPr>
        <w:t xml:space="preserve"> </w:t>
      </w:r>
      <w:r w:rsidRPr="00B70AFB">
        <w:rPr>
          <w:rFonts w:ascii="Bookman Old Style" w:hAnsi="Bookman Old Style"/>
          <w:sz w:val="24"/>
          <w:szCs w:val="24"/>
        </w:rPr>
        <w:t>kepatutan</w:t>
      </w:r>
      <w:r w:rsidR="00A954D0">
        <w:rPr>
          <w:rFonts w:ascii="Bookman Old Style" w:hAnsi="Bookman Old Style"/>
          <w:sz w:val="24"/>
          <w:szCs w:val="24"/>
        </w:rPr>
        <w:t xml:space="preserve"> </w:t>
      </w:r>
      <w:r w:rsidRPr="00B70AFB">
        <w:rPr>
          <w:rFonts w:ascii="Bookman Old Style" w:hAnsi="Bookman Old Style"/>
          <w:sz w:val="24"/>
          <w:szCs w:val="24"/>
        </w:rPr>
        <w:t>dan</w:t>
      </w:r>
      <w:r w:rsidR="00A954D0">
        <w:rPr>
          <w:rFonts w:ascii="Bookman Old Style" w:hAnsi="Bookman Old Style"/>
          <w:sz w:val="24"/>
          <w:szCs w:val="24"/>
        </w:rPr>
        <w:t xml:space="preserve"> </w:t>
      </w:r>
      <w:r w:rsidRPr="00B70AFB">
        <w:rPr>
          <w:rFonts w:ascii="Bookman Old Style" w:hAnsi="Bookman Old Style"/>
          <w:sz w:val="24"/>
          <w:szCs w:val="24"/>
        </w:rPr>
        <w:t>kewajaran</w:t>
      </w:r>
      <w:r w:rsidR="00A954D0">
        <w:rPr>
          <w:rFonts w:ascii="Bookman Old Style" w:hAnsi="Bookman Old Style"/>
          <w:sz w:val="24"/>
          <w:szCs w:val="24"/>
        </w:rPr>
        <w:t xml:space="preserve"> </w:t>
      </w:r>
      <w:r w:rsidRPr="00B70AFB">
        <w:rPr>
          <w:rFonts w:ascii="Bookman Old Style" w:hAnsi="Bookman Old Style"/>
          <w:sz w:val="24"/>
          <w:szCs w:val="24"/>
        </w:rPr>
        <w:t>serta</w:t>
      </w:r>
      <w:r w:rsidR="00A954D0">
        <w:rPr>
          <w:rFonts w:ascii="Bookman Old Style" w:hAnsi="Bookman Old Style"/>
          <w:sz w:val="24"/>
          <w:szCs w:val="24"/>
        </w:rPr>
        <w:t xml:space="preserve"> </w:t>
      </w:r>
      <w:r w:rsidRPr="00B70AFB">
        <w:rPr>
          <w:rFonts w:ascii="Bookman Old Style" w:hAnsi="Bookman Old Style"/>
          <w:sz w:val="24"/>
          <w:szCs w:val="24"/>
        </w:rPr>
        <w:t>penghematan</w:t>
      </w:r>
      <w:r w:rsidR="00A954D0">
        <w:rPr>
          <w:rFonts w:ascii="Bookman Old Style" w:hAnsi="Bookman Old Style"/>
          <w:sz w:val="24"/>
          <w:szCs w:val="24"/>
        </w:rPr>
        <w:t xml:space="preserve"> </w:t>
      </w:r>
      <w:r w:rsidRPr="00B70AFB">
        <w:rPr>
          <w:rFonts w:ascii="Bookman Old Style" w:hAnsi="Bookman Old Style"/>
          <w:sz w:val="24"/>
          <w:szCs w:val="24"/>
        </w:rPr>
        <w:t>penggunaan</w:t>
      </w:r>
      <w:r w:rsidR="00A954D0">
        <w:rPr>
          <w:rFonts w:ascii="Bookman Old Style" w:hAnsi="Bookman Old Style"/>
          <w:sz w:val="24"/>
          <w:szCs w:val="24"/>
        </w:rPr>
        <w:t xml:space="preserve"> </w:t>
      </w:r>
      <w:r w:rsidRPr="00B70AFB">
        <w:rPr>
          <w:rFonts w:ascii="Bookman Old Style" w:hAnsi="Bookman Old Style"/>
          <w:sz w:val="24"/>
          <w:szCs w:val="24"/>
        </w:rPr>
        <w:t>anggaran</w:t>
      </w:r>
      <w:r w:rsidR="00A954D0">
        <w:rPr>
          <w:rFonts w:ascii="Bookman Old Style" w:hAnsi="Bookman Old Style"/>
          <w:sz w:val="24"/>
          <w:szCs w:val="24"/>
        </w:rPr>
        <w:t xml:space="preserve"> </w:t>
      </w:r>
      <w:r w:rsidRPr="00B70AFB">
        <w:rPr>
          <w:rFonts w:ascii="Bookman Old Style" w:hAnsi="Bookman Old Style"/>
          <w:sz w:val="24"/>
          <w:szCs w:val="24"/>
        </w:rPr>
        <w:t>sebagaimana</w:t>
      </w:r>
      <w:r w:rsidR="00A954D0">
        <w:rPr>
          <w:rFonts w:ascii="Bookman Old Style" w:hAnsi="Bookman Old Style"/>
          <w:sz w:val="24"/>
          <w:szCs w:val="24"/>
        </w:rPr>
        <w:t xml:space="preserve"> </w:t>
      </w:r>
      <w:r w:rsidRPr="00B70AFB">
        <w:rPr>
          <w:rFonts w:ascii="Bookman Old Style" w:hAnsi="Bookman Old Style"/>
          <w:sz w:val="24"/>
          <w:szCs w:val="24"/>
        </w:rPr>
        <w:t>maksud</w:t>
      </w:r>
      <w:r w:rsidR="00A954D0">
        <w:rPr>
          <w:rFonts w:ascii="Bookman Old Style" w:hAnsi="Bookman Old Style"/>
          <w:sz w:val="24"/>
          <w:szCs w:val="24"/>
        </w:rPr>
        <w:t xml:space="preserve"> </w:t>
      </w:r>
      <w:r w:rsidRPr="00B70AFB">
        <w:rPr>
          <w:rFonts w:ascii="Bookman Old Style" w:hAnsi="Bookman Old Style"/>
          <w:sz w:val="24"/>
          <w:szCs w:val="24"/>
        </w:rPr>
        <w:t>Pasal</w:t>
      </w:r>
      <w:r w:rsidR="00A954D0">
        <w:rPr>
          <w:rFonts w:ascii="Bookman Old Style" w:hAnsi="Bookman Old Style"/>
          <w:sz w:val="24"/>
          <w:szCs w:val="24"/>
        </w:rPr>
        <w:t xml:space="preserve"> </w:t>
      </w:r>
      <w:r w:rsidRPr="00B70AFB">
        <w:rPr>
          <w:rFonts w:ascii="Bookman Old Style" w:hAnsi="Bookman Old Style"/>
          <w:sz w:val="24"/>
          <w:szCs w:val="24"/>
        </w:rPr>
        <w:t>3</w:t>
      </w:r>
      <w:r w:rsidR="00A954D0">
        <w:rPr>
          <w:rFonts w:ascii="Bookman Old Style" w:hAnsi="Bookman Old Style"/>
          <w:sz w:val="24"/>
          <w:szCs w:val="24"/>
        </w:rPr>
        <w:t xml:space="preserve"> </w:t>
      </w:r>
      <w:r w:rsidRPr="00B70AFB">
        <w:rPr>
          <w:rFonts w:ascii="Bookman Old Style" w:hAnsi="Bookman Old Style"/>
          <w:sz w:val="24"/>
          <w:szCs w:val="24"/>
        </w:rPr>
        <w:t>ayat</w:t>
      </w:r>
      <w:r w:rsidR="00A954D0">
        <w:rPr>
          <w:rFonts w:ascii="Bookman Old Style" w:hAnsi="Bookman Old Style"/>
          <w:sz w:val="24"/>
          <w:szCs w:val="24"/>
        </w:rPr>
        <w:t xml:space="preserve"> </w:t>
      </w:r>
      <w:r w:rsidRPr="00B70AFB">
        <w:rPr>
          <w:rFonts w:ascii="Bookman Old Style" w:hAnsi="Bookman Old Style"/>
          <w:sz w:val="24"/>
          <w:szCs w:val="24"/>
        </w:rPr>
        <w:t>(1)</w:t>
      </w:r>
      <w:r w:rsidR="00A954D0">
        <w:rPr>
          <w:rFonts w:ascii="Bookman Old Style" w:hAnsi="Bookman Old Style"/>
          <w:sz w:val="24"/>
          <w:szCs w:val="24"/>
        </w:rPr>
        <w:t xml:space="preserve"> </w:t>
      </w:r>
      <w:r w:rsidRPr="00B70AFB">
        <w:rPr>
          <w:rFonts w:ascii="Bookman Old Style" w:hAnsi="Bookman Old Style"/>
          <w:sz w:val="24"/>
          <w:szCs w:val="24"/>
        </w:rPr>
        <w:t>Peraturan</w:t>
      </w:r>
      <w:r w:rsidR="00A954D0">
        <w:rPr>
          <w:rFonts w:ascii="Bookman Old Style" w:hAnsi="Bookman Old Style"/>
          <w:sz w:val="24"/>
          <w:szCs w:val="24"/>
        </w:rPr>
        <w:t xml:space="preserve"> </w:t>
      </w:r>
      <w:r w:rsidRPr="00B70AFB">
        <w:rPr>
          <w:rFonts w:ascii="Bookman Old Style" w:hAnsi="Bookman Old Style"/>
          <w:sz w:val="24"/>
          <w:szCs w:val="24"/>
        </w:rPr>
        <w:t>Pemerintah</w:t>
      </w:r>
      <w:r w:rsidR="00A954D0">
        <w:rPr>
          <w:rFonts w:ascii="Bookman Old Style" w:hAnsi="Bookman Old Style"/>
          <w:sz w:val="24"/>
          <w:szCs w:val="24"/>
        </w:rPr>
        <w:t xml:space="preserve"> </w:t>
      </w:r>
      <w:r w:rsidRPr="00B70AFB">
        <w:rPr>
          <w:rFonts w:ascii="Bookman Old Style" w:hAnsi="Bookman Old Style"/>
          <w:sz w:val="24"/>
          <w:szCs w:val="24"/>
        </w:rPr>
        <w:t>Nomor</w:t>
      </w:r>
      <w:r w:rsidR="00A954D0">
        <w:rPr>
          <w:rFonts w:ascii="Bookman Old Style" w:hAnsi="Bookman Old Style"/>
          <w:sz w:val="24"/>
          <w:szCs w:val="24"/>
        </w:rPr>
        <w:t xml:space="preserve"> </w:t>
      </w:r>
      <w:r w:rsidRPr="00B70AFB">
        <w:rPr>
          <w:rFonts w:ascii="Bookman Old Style" w:hAnsi="Bookman Old Style"/>
          <w:sz w:val="24"/>
          <w:szCs w:val="24"/>
        </w:rPr>
        <w:t>12</w:t>
      </w:r>
      <w:r w:rsidR="00A954D0">
        <w:rPr>
          <w:rFonts w:ascii="Bookman Old Style" w:hAnsi="Bookman Old Style"/>
          <w:sz w:val="24"/>
          <w:szCs w:val="24"/>
        </w:rPr>
        <w:t xml:space="preserve"> </w:t>
      </w:r>
      <w:r w:rsidRPr="00B70AFB">
        <w:rPr>
          <w:rFonts w:ascii="Bookman Old Style" w:hAnsi="Bookman Old Style"/>
          <w:sz w:val="24"/>
          <w:szCs w:val="24"/>
        </w:rPr>
        <w:t>Tahun</w:t>
      </w:r>
      <w:r w:rsidR="00A954D0">
        <w:rPr>
          <w:rFonts w:ascii="Bookman Old Style" w:hAnsi="Bookman Old Style"/>
          <w:sz w:val="24"/>
          <w:szCs w:val="24"/>
        </w:rPr>
        <w:t xml:space="preserve"> </w:t>
      </w:r>
      <w:r w:rsidRPr="00B70AFB">
        <w:rPr>
          <w:rFonts w:ascii="Bookman Old Style" w:hAnsi="Bookman Old Style"/>
          <w:sz w:val="24"/>
          <w:szCs w:val="24"/>
        </w:rPr>
        <w:t>2019.</w:t>
      </w:r>
    </w:p>
    <w:p w14:paraId="3C3CC81D" w14:textId="33EA5FE0" w:rsidR="003B7FE4" w:rsidRPr="003255BC" w:rsidRDefault="003B7FE4" w:rsidP="005668F0">
      <w:pPr>
        <w:pStyle w:val="ListParagraph"/>
        <w:spacing w:before="60" w:after="0" w:line="276" w:lineRule="auto"/>
        <w:ind w:left="2694"/>
        <w:contextualSpacing w:val="0"/>
        <w:jc w:val="both"/>
        <w:rPr>
          <w:rFonts w:ascii="Bookman Old Style" w:hAnsi="Bookman Old Style"/>
          <w:sz w:val="24"/>
          <w:szCs w:val="24"/>
          <w:lang w:val="sv-FI"/>
        </w:rPr>
      </w:pPr>
      <w:r w:rsidRPr="00B70AFB">
        <w:rPr>
          <w:rFonts w:ascii="Bookman Old Style" w:hAnsi="Bookman Old Style"/>
          <w:sz w:val="24"/>
          <w:szCs w:val="24"/>
        </w:rPr>
        <w:t>Selanjutnya,</w:t>
      </w:r>
      <w:r w:rsidR="00A954D0">
        <w:rPr>
          <w:rFonts w:ascii="Bookman Old Style" w:hAnsi="Bookman Old Style"/>
          <w:sz w:val="24"/>
          <w:szCs w:val="24"/>
        </w:rPr>
        <w:t xml:space="preserve"> </w:t>
      </w:r>
      <w:r w:rsidRPr="00B70AFB">
        <w:rPr>
          <w:rFonts w:ascii="Bookman Old Style" w:hAnsi="Bookman Old Style"/>
          <w:sz w:val="24"/>
          <w:szCs w:val="24"/>
        </w:rPr>
        <w:t>selisih</w:t>
      </w:r>
      <w:r w:rsidR="00A954D0">
        <w:rPr>
          <w:rFonts w:ascii="Bookman Old Style" w:hAnsi="Bookman Old Style"/>
          <w:sz w:val="24"/>
          <w:szCs w:val="24"/>
        </w:rPr>
        <w:t xml:space="preserve"> </w:t>
      </w:r>
      <w:r w:rsidRPr="00B70AFB">
        <w:rPr>
          <w:rFonts w:ascii="Bookman Old Style" w:hAnsi="Bookman Old Style"/>
          <w:sz w:val="24"/>
          <w:szCs w:val="24"/>
        </w:rPr>
        <w:t>lebih</w:t>
      </w:r>
      <w:r w:rsidR="00A954D0">
        <w:rPr>
          <w:rFonts w:ascii="Bookman Old Style" w:hAnsi="Bookman Old Style"/>
          <w:sz w:val="24"/>
          <w:szCs w:val="24"/>
        </w:rPr>
        <w:t xml:space="preserve"> </w:t>
      </w:r>
      <w:r w:rsidRPr="00B70AFB">
        <w:rPr>
          <w:rFonts w:ascii="Bookman Old Style" w:hAnsi="Bookman Old Style"/>
          <w:sz w:val="24"/>
          <w:szCs w:val="24"/>
        </w:rPr>
        <w:t>dari</w:t>
      </w:r>
      <w:r w:rsidR="00A954D0">
        <w:rPr>
          <w:rFonts w:ascii="Bookman Old Style" w:hAnsi="Bookman Old Style"/>
          <w:sz w:val="24"/>
          <w:szCs w:val="24"/>
        </w:rPr>
        <w:t xml:space="preserve"> </w:t>
      </w:r>
      <w:r w:rsidRPr="00B70AFB">
        <w:rPr>
          <w:rFonts w:ascii="Bookman Old Style" w:hAnsi="Bookman Old Style"/>
          <w:sz w:val="24"/>
          <w:szCs w:val="24"/>
        </w:rPr>
        <w:t>efisiensi</w:t>
      </w:r>
      <w:r w:rsidR="00A954D0">
        <w:rPr>
          <w:rFonts w:ascii="Bookman Old Style" w:hAnsi="Bookman Old Style"/>
          <w:sz w:val="24"/>
          <w:szCs w:val="24"/>
        </w:rPr>
        <w:t xml:space="preserve"> </w:t>
      </w:r>
      <w:r w:rsidRPr="00B70AFB">
        <w:rPr>
          <w:rFonts w:ascii="Bookman Old Style" w:hAnsi="Bookman Old Style"/>
          <w:sz w:val="24"/>
          <w:szCs w:val="24"/>
        </w:rPr>
        <w:t>penyediaan</w:t>
      </w:r>
      <w:r w:rsidR="00A954D0">
        <w:rPr>
          <w:rFonts w:ascii="Bookman Old Style" w:hAnsi="Bookman Old Style"/>
          <w:sz w:val="24"/>
          <w:szCs w:val="24"/>
        </w:rPr>
        <w:t xml:space="preserve"> </w:t>
      </w:r>
      <w:r w:rsidRPr="00B70AFB">
        <w:rPr>
          <w:rFonts w:ascii="Bookman Old Style" w:hAnsi="Bookman Old Style"/>
          <w:sz w:val="24"/>
          <w:szCs w:val="24"/>
        </w:rPr>
        <w:t>anggaran</w:t>
      </w:r>
      <w:r w:rsidR="00A954D0">
        <w:rPr>
          <w:rFonts w:ascii="Bookman Old Style" w:hAnsi="Bookman Old Style"/>
          <w:sz w:val="24"/>
          <w:szCs w:val="24"/>
        </w:rPr>
        <w:t xml:space="preserve"> </w:t>
      </w:r>
      <w:r w:rsidRPr="00B70AFB">
        <w:rPr>
          <w:rFonts w:ascii="Bookman Old Style" w:hAnsi="Bookman Old Style"/>
          <w:sz w:val="24"/>
          <w:szCs w:val="24"/>
        </w:rPr>
        <w:t>tersebut</w:t>
      </w:r>
      <w:r w:rsidR="00A954D0">
        <w:rPr>
          <w:rFonts w:ascii="Bookman Old Style" w:hAnsi="Bookman Old Style"/>
          <w:sz w:val="24"/>
          <w:szCs w:val="24"/>
        </w:rPr>
        <w:t xml:space="preserve"> </w:t>
      </w:r>
      <w:r w:rsidRPr="00B70AFB">
        <w:rPr>
          <w:rFonts w:ascii="Bookman Old Style" w:hAnsi="Bookman Old Style"/>
          <w:sz w:val="24"/>
          <w:szCs w:val="24"/>
        </w:rPr>
        <w:t>dialihkan</w:t>
      </w:r>
      <w:r w:rsidR="00A954D0">
        <w:rPr>
          <w:rFonts w:ascii="Bookman Old Style" w:hAnsi="Bookman Old Style"/>
          <w:sz w:val="24"/>
          <w:szCs w:val="24"/>
        </w:rPr>
        <w:t xml:space="preserve"> </w:t>
      </w:r>
      <w:r w:rsidRPr="00B70AFB">
        <w:rPr>
          <w:rFonts w:ascii="Bookman Old Style" w:hAnsi="Bookman Old Style"/>
          <w:sz w:val="24"/>
          <w:szCs w:val="24"/>
        </w:rPr>
        <w:t>pada</w:t>
      </w:r>
      <w:r w:rsidR="00A954D0">
        <w:rPr>
          <w:rFonts w:ascii="Bookman Old Style" w:hAnsi="Bookman Old Style"/>
          <w:sz w:val="24"/>
          <w:szCs w:val="24"/>
        </w:rPr>
        <w:t xml:space="preserve"> </w:t>
      </w:r>
      <w:r w:rsidRPr="00B70AFB">
        <w:rPr>
          <w:rFonts w:ascii="Bookman Old Style" w:hAnsi="Bookman Old Style"/>
          <w:sz w:val="24"/>
          <w:szCs w:val="24"/>
        </w:rPr>
        <w:t>jenis</w:t>
      </w:r>
      <w:r w:rsidR="00A954D0">
        <w:rPr>
          <w:rFonts w:ascii="Bookman Old Style" w:hAnsi="Bookman Old Style"/>
          <w:sz w:val="24"/>
          <w:szCs w:val="24"/>
        </w:rPr>
        <w:t xml:space="preserve"> </w:t>
      </w:r>
      <w:r w:rsidRPr="00B70AFB">
        <w:rPr>
          <w:rFonts w:ascii="Bookman Old Style" w:hAnsi="Bookman Old Style"/>
          <w:sz w:val="24"/>
          <w:szCs w:val="24"/>
          <w:lang w:val="en-US"/>
        </w:rPr>
        <w:t>B</w:t>
      </w:r>
      <w:r w:rsidRPr="00B70AFB">
        <w:rPr>
          <w:rFonts w:ascii="Bookman Old Style" w:hAnsi="Bookman Old Style"/>
          <w:sz w:val="24"/>
          <w:szCs w:val="24"/>
        </w:rPr>
        <w:t>elanja</w:t>
      </w:r>
      <w:r w:rsidR="00A954D0">
        <w:rPr>
          <w:rFonts w:ascii="Bookman Old Style" w:hAnsi="Bookman Old Style"/>
          <w:sz w:val="24"/>
          <w:szCs w:val="24"/>
        </w:rPr>
        <w:t xml:space="preserve"> </w:t>
      </w:r>
      <w:r w:rsidRPr="00B70AFB">
        <w:rPr>
          <w:rFonts w:ascii="Bookman Old Style" w:hAnsi="Bookman Old Style"/>
          <w:sz w:val="24"/>
          <w:szCs w:val="24"/>
        </w:rPr>
        <w:t>Modal</w:t>
      </w:r>
      <w:r w:rsidR="00A954D0">
        <w:rPr>
          <w:rFonts w:ascii="Bookman Old Style" w:hAnsi="Bookman Old Style"/>
          <w:sz w:val="24"/>
          <w:szCs w:val="24"/>
        </w:rPr>
        <w:t xml:space="preserve"> </w:t>
      </w:r>
      <w:r w:rsidRPr="00B70AFB">
        <w:rPr>
          <w:rFonts w:ascii="Bookman Old Style" w:hAnsi="Bookman Old Style"/>
          <w:sz w:val="24"/>
          <w:szCs w:val="24"/>
        </w:rPr>
        <w:t>dalam</w:t>
      </w:r>
      <w:r w:rsidR="00A954D0">
        <w:rPr>
          <w:rFonts w:ascii="Bookman Old Style" w:hAnsi="Bookman Old Style"/>
          <w:sz w:val="24"/>
          <w:szCs w:val="24"/>
        </w:rPr>
        <w:t xml:space="preserve"> </w:t>
      </w:r>
      <w:r w:rsidRPr="00B70AFB">
        <w:rPr>
          <w:rFonts w:ascii="Bookman Old Style" w:hAnsi="Bookman Old Style"/>
          <w:sz w:val="24"/>
          <w:szCs w:val="24"/>
        </w:rPr>
        <w:t>rangka</w:t>
      </w:r>
      <w:r w:rsidR="00A954D0">
        <w:rPr>
          <w:rFonts w:ascii="Bookman Old Style" w:hAnsi="Bookman Old Style"/>
          <w:sz w:val="24"/>
          <w:szCs w:val="24"/>
        </w:rPr>
        <w:t xml:space="preserve"> </w:t>
      </w:r>
      <w:r w:rsidRPr="00B70AFB">
        <w:rPr>
          <w:rFonts w:ascii="Bookman Old Style" w:hAnsi="Bookman Old Style"/>
          <w:sz w:val="24"/>
          <w:szCs w:val="24"/>
        </w:rPr>
        <w:t>peningkatan</w:t>
      </w:r>
      <w:r w:rsidR="00A954D0">
        <w:rPr>
          <w:rFonts w:ascii="Bookman Old Style" w:hAnsi="Bookman Old Style"/>
          <w:sz w:val="24"/>
          <w:szCs w:val="24"/>
        </w:rPr>
        <w:t xml:space="preserve"> </w:t>
      </w:r>
      <w:r w:rsidRPr="00B70AFB">
        <w:rPr>
          <w:rFonts w:ascii="Bookman Old Style" w:hAnsi="Bookman Old Style"/>
          <w:sz w:val="24"/>
          <w:szCs w:val="24"/>
        </w:rPr>
        <w:t>kuantitas</w:t>
      </w:r>
      <w:r w:rsidR="00A954D0">
        <w:rPr>
          <w:rFonts w:ascii="Bookman Old Style" w:hAnsi="Bookman Old Style"/>
          <w:sz w:val="24"/>
          <w:szCs w:val="24"/>
        </w:rPr>
        <w:t xml:space="preserve"> </w:t>
      </w:r>
      <w:r w:rsidRPr="00B70AFB">
        <w:rPr>
          <w:rFonts w:ascii="Bookman Old Style" w:hAnsi="Bookman Old Style"/>
          <w:sz w:val="24"/>
          <w:szCs w:val="24"/>
        </w:rPr>
        <w:t>dan</w:t>
      </w:r>
      <w:r w:rsidR="00A954D0">
        <w:rPr>
          <w:rFonts w:ascii="Bookman Old Style" w:hAnsi="Bookman Old Style"/>
          <w:sz w:val="24"/>
          <w:szCs w:val="24"/>
        </w:rPr>
        <w:t xml:space="preserve"> </w:t>
      </w:r>
      <w:r w:rsidRPr="00B70AFB">
        <w:rPr>
          <w:rFonts w:ascii="Bookman Old Style" w:hAnsi="Bookman Old Style"/>
          <w:sz w:val="24"/>
          <w:szCs w:val="24"/>
        </w:rPr>
        <w:t>kualitas</w:t>
      </w:r>
      <w:r w:rsidR="00A954D0">
        <w:rPr>
          <w:rFonts w:ascii="Bookman Old Style" w:hAnsi="Bookman Old Style"/>
          <w:sz w:val="24"/>
          <w:szCs w:val="24"/>
        </w:rPr>
        <w:t xml:space="preserve"> </w:t>
      </w:r>
      <w:r w:rsidRPr="00B70AFB">
        <w:rPr>
          <w:rFonts w:ascii="Bookman Old Style" w:hAnsi="Bookman Old Style"/>
          <w:sz w:val="24"/>
          <w:szCs w:val="24"/>
        </w:rPr>
        <w:t>fasilitas</w:t>
      </w:r>
      <w:r w:rsidR="00A954D0">
        <w:rPr>
          <w:rFonts w:ascii="Bookman Old Style" w:hAnsi="Bookman Old Style"/>
          <w:sz w:val="24"/>
          <w:szCs w:val="24"/>
        </w:rPr>
        <w:t xml:space="preserve"> </w:t>
      </w:r>
      <w:r w:rsidRPr="00B70AFB">
        <w:rPr>
          <w:rFonts w:ascii="Bookman Old Style" w:hAnsi="Bookman Old Style"/>
          <w:sz w:val="24"/>
          <w:szCs w:val="24"/>
        </w:rPr>
        <w:t>aset</w:t>
      </w:r>
      <w:r w:rsidR="00A954D0">
        <w:rPr>
          <w:rFonts w:ascii="Bookman Old Style" w:hAnsi="Bookman Old Style"/>
          <w:sz w:val="24"/>
          <w:szCs w:val="24"/>
        </w:rPr>
        <w:t xml:space="preserve"> </w:t>
      </w:r>
      <w:r w:rsidRPr="00B70AFB">
        <w:rPr>
          <w:rFonts w:ascii="Bookman Old Style" w:hAnsi="Bookman Old Style"/>
          <w:sz w:val="24"/>
          <w:szCs w:val="24"/>
        </w:rPr>
        <w:t>daerah</w:t>
      </w:r>
      <w:r w:rsidR="00A954D0">
        <w:rPr>
          <w:rFonts w:ascii="Bookman Old Style" w:hAnsi="Bookman Old Style"/>
          <w:sz w:val="24"/>
          <w:szCs w:val="24"/>
        </w:rPr>
        <w:t xml:space="preserve"> </w:t>
      </w:r>
      <w:r w:rsidRPr="00B70AFB">
        <w:rPr>
          <w:rFonts w:ascii="Bookman Old Style" w:hAnsi="Bookman Old Style"/>
          <w:sz w:val="24"/>
          <w:szCs w:val="24"/>
        </w:rPr>
        <w:t>dengan</w:t>
      </w:r>
      <w:r w:rsidR="00A954D0">
        <w:rPr>
          <w:rFonts w:ascii="Bookman Old Style" w:hAnsi="Bookman Old Style"/>
          <w:sz w:val="24"/>
          <w:szCs w:val="24"/>
        </w:rPr>
        <w:t xml:space="preserve"> </w:t>
      </w:r>
      <w:r w:rsidRPr="00B70AFB">
        <w:rPr>
          <w:rFonts w:ascii="Bookman Old Style" w:hAnsi="Bookman Old Style"/>
          <w:sz w:val="24"/>
          <w:szCs w:val="24"/>
        </w:rPr>
        <w:t>didasarkan</w:t>
      </w:r>
      <w:r w:rsidR="00A954D0">
        <w:rPr>
          <w:rFonts w:ascii="Bookman Old Style" w:hAnsi="Bookman Old Style"/>
          <w:sz w:val="24"/>
          <w:szCs w:val="24"/>
        </w:rPr>
        <w:t xml:space="preserve"> </w:t>
      </w:r>
      <w:r w:rsidRPr="00B70AFB">
        <w:rPr>
          <w:rFonts w:ascii="Bookman Old Style" w:hAnsi="Bookman Old Style"/>
          <w:sz w:val="24"/>
          <w:szCs w:val="24"/>
        </w:rPr>
        <w:t>pada</w:t>
      </w:r>
      <w:r w:rsidR="00A954D0">
        <w:rPr>
          <w:rFonts w:ascii="Bookman Old Style" w:hAnsi="Bookman Old Style"/>
          <w:sz w:val="24"/>
          <w:szCs w:val="24"/>
        </w:rPr>
        <w:t xml:space="preserve"> </w:t>
      </w:r>
      <w:r w:rsidRPr="00B70AFB">
        <w:rPr>
          <w:rFonts w:ascii="Bookman Old Style" w:hAnsi="Bookman Old Style"/>
          <w:sz w:val="24"/>
          <w:szCs w:val="24"/>
        </w:rPr>
        <w:t>perencanaan</w:t>
      </w:r>
      <w:r w:rsidR="00A954D0">
        <w:rPr>
          <w:rFonts w:ascii="Bookman Old Style" w:hAnsi="Bookman Old Style"/>
          <w:sz w:val="24"/>
          <w:szCs w:val="24"/>
        </w:rPr>
        <w:t xml:space="preserve"> </w:t>
      </w:r>
      <w:r w:rsidRPr="00B70AFB">
        <w:rPr>
          <w:rFonts w:ascii="Bookman Old Style" w:hAnsi="Bookman Old Style"/>
          <w:sz w:val="24"/>
          <w:szCs w:val="24"/>
        </w:rPr>
        <w:t>kebutuhan</w:t>
      </w:r>
      <w:r w:rsidR="00A954D0">
        <w:rPr>
          <w:rFonts w:ascii="Bookman Old Style" w:hAnsi="Bookman Old Style"/>
          <w:sz w:val="24"/>
          <w:szCs w:val="24"/>
        </w:rPr>
        <w:t xml:space="preserve"> </w:t>
      </w:r>
      <w:r w:rsidRPr="00B70AFB">
        <w:rPr>
          <w:rFonts w:ascii="Bookman Old Style" w:hAnsi="Bookman Old Style"/>
          <w:sz w:val="24"/>
          <w:szCs w:val="24"/>
          <w:lang w:val="en-US"/>
        </w:rPr>
        <w:t>BMD</w:t>
      </w:r>
      <w:r w:rsidR="00A954D0">
        <w:rPr>
          <w:rFonts w:ascii="Bookman Old Style" w:hAnsi="Bookman Old Style"/>
          <w:sz w:val="24"/>
          <w:szCs w:val="24"/>
        </w:rPr>
        <w:t xml:space="preserve"> </w:t>
      </w:r>
      <w:r w:rsidRPr="00B70AFB">
        <w:rPr>
          <w:rFonts w:ascii="Bookman Old Style" w:hAnsi="Bookman Old Style"/>
          <w:sz w:val="24"/>
          <w:szCs w:val="24"/>
        </w:rPr>
        <w:t>yang</w:t>
      </w:r>
      <w:r w:rsidR="00A954D0">
        <w:rPr>
          <w:rFonts w:ascii="Bookman Old Style" w:hAnsi="Bookman Old Style"/>
          <w:sz w:val="24"/>
          <w:szCs w:val="24"/>
        </w:rPr>
        <w:t xml:space="preserve"> </w:t>
      </w:r>
      <w:r w:rsidRPr="00B70AFB">
        <w:rPr>
          <w:rFonts w:ascii="Bookman Old Style" w:hAnsi="Bookman Old Style"/>
          <w:sz w:val="24"/>
          <w:szCs w:val="24"/>
        </w:rPr>
        <w:t>disusun</w:t>
      </w:r>
      <w:r w:rsidR="00A954D0">
        <w:rPr>
          <w:rFonts w:ascii="Bookman Old Style" w:hAnsi="Bookman Old Style"/>
          <w:sz w:val="24"/>
          <w:szCs w:val="24"/>
        </w:rPr>
        <w:t xml:space="preserve"> </w:t>
      </w:r>
      <w:r w:rsidRPr="00B70AFB">
        <w:rPr>
          <w:rFonts w:ascii="Bookman Old Style" w:hAnsi="Bookman Old Style"/>
          <w:sz w:val="24"/>
          <w:szCs w:val="24"/>
        </w:rPr>
        <w:t>dengan</w:t>
      </w:r>
      <w:r w:rsidR="00A954D0">
        <w:rPr>
          <w:rFonts w:ascii="Bookman Old Style" w:hAnsi="Bookman Old Style"/>
          <w:sz w:val="24"/>
          <w:szCs w:val="24"/>
        </w:rPr>
        <w:t xml:space="preserve"> </w:t>
      </w:r>
      <w:r w:rsidRPr="00B70AFB">
        <w:rPr>
          <w:rFonts w:ascii="Bookman Old Style" w:hAnsi="Bookman Old Style"/>
          <w:sz w:val="24"/>
          <w:szCs w:val="24"/>
        </w:rPr>
        <w:t>memperhatikan</w:t>
      </w:r>
      <w:r w:rsidR="00A954D0">
        <w:rPr>
          <w:rFonts w:ascii="Bookman Old Style" w:hAnsi="Bookman Old Style"/>
          <w:sz w:val="24"/>
          <w:szCs w:val="24"/>
        </w:rPr>
        <w:t xml:space="preserve"> </w:t>
      </w:r>
      <w:r w:rsidRPr="00B70AFB">
        <w:rPr>
          <w:rFonts w:ascii="Bookman Old Style" w:hAnsi="Bookman Old Style"/>
          <w:sz w:val="24"/>
          <w:szCs w:val="24"/>
        </w:rPr>
        <w:t>kebutuhan</w:t>
      </w:r>
      <w:r w:rsidR="00A954D0">
        <w:rPr>
          <w:rFonts w:ascii="Bookman Old Style" w:hAnsi="Bookman Old Style"/>
          <w:sz w:val="24"/>
          <w:szCs w:val="24"/>
        </w:rPr>
        <w:t xml:space="preserve"> </w:t>
      </w:r>
      <w:r w:rsidRPr="00B70AFB">
        <w:rPr>
          <w:rFonts w:ascii="Bookman Old Style" w:hAnsi="Bookman Old Style"/>
          <w:sz w:val="24"/>
          <w:szCs w:val="24"/>
        </w:rPr>
        <w:t>serta</w:t>
      </w:r>
      <w:r w:rsidR="00A954D0">
        <w:rPr>
          <w:rFonts w:ascii="Bookman Old Style" w:hAnsi="Bookman Old Style"/>
          <w:sz w:val="24"/>
          <w:szCs w:val="24"/>
        </w:rPr>
        <w:t xml:space="preserve"> </w:t>
      </w:r>
      <w:r w:rsidRPr="00B70AFB">
        <w:rPr>
          <w:rFonts w:ascii="Bookman Old Style" w:hAnsi="Bookman Old Style"/>
          <w:sz w:val="24"/>
          <w:szCs w:val="24"/>
        </w:rPr>
        <w:t>ketersediaan</w:t>
      </w:r>
      <w:r w:rsidR="00A954D0">
        <w:rPr>
          <w:rFonts w:ascii="Bookman Old Style" w:hAnsi="Bookman Old Style"/>
          <w:sz w:val="24"/>
          <w:szCs w:val="24"/>
        </w:rPr>
        <w:t xml:space="preserve"> </w:t>
      </w:r>
      <w:r w:rsidRPr="00B70AFB">
        <w:rPr>
          <w:rFonts w:ascii="Bookman Old Style" w:hAnsi="Bookman Old Style"/>
          <w:sz w:val="24"/>
          <w:szCs w:val="24"/>
          <w:lang w:val="en-US"/>
        </w:rPr>
        <w:t>BMD</w:t>
      </w:r>
      <w:r w:rsidR="00A954D0">
        <w:rPr>
          <w:rFonts w:ascii="Bookman Old Style" w:hAnsi="Bookman Old Style"/>
          <w:sz w:val="24"/>
          <w:szCs w:val="24"/>
        </w:rPr>
        <w:t xml:space="preserve"> </w:t>
      </w:r>
      <w:r w:rsidRPr="00B70AFB">
        <w:rPr>
          <w:rFonts w:ascii="Bookman Old Style" w:hAnsi="Bookman Old Style"/>
          <w:sz w:val="24"/>
          <w:szCs w:val="24"/>
        </w:rPr>
        <w:t>yang</w:t>
      </w:r>
      <w:r w:rsidR="00A954D0">
        <w:rPr>
          <w:rFonts w:ascii="Bookman Old Style" w:hAnsi="Bookman Old Style"/>
          <w:sz w:val="24"/>
          <w:szCs w:val="24"/>
        </w:rPr>
        <w:t xml:space="preserve"> </w:t>
      </w:r>
      <w:r w:rsidRPr="00B70AFB">
        <w:rPr>
          <w:rFonts w:ascii="Bookman Old Style" w:hAnsi="Bookman Old Style"/>
          <w:sz w:val="24"/>
          <w:szCs w:val="24"/>
        </w:rPr>
        <w:t>ada.</w:t>
      </w:r>
      <w:r w:rsidR="00A954D0">
        <w:rPr>
          <w:rFonts w:ascii="Bookman Old Style" w:hAnsi="Bookman Old Style"/>
          <w:sz w:val="24"/>
          <w:szCs w:val="24"/>
        </w:rPr>
        <w:t xml:space="preserve"> </w:t>
      </w:r>
      <w:r w:rsidRPr="00B70AFB">
        <w:rPr>
          <w:rFonts w:ascii="Bookman Old Style" w:hAnsi="Bookman Old Style"/>
          <w:sz w:val="24"/>
          <w:szCs w:val="24"/>
        </w:rPr>
        <w:t>Perencanaan</w:t>
      </w:r>
      <w:r w:rsidR="00A954D0">
        <w:rPr>
          <w:rFonts w:ascii="Bookman Old Style" w:hAnsi="Bookman Old Style"/>
          <w:sz w:val="24"/>
          <w:szCs w:val="24"/>
        </w:rPr>
        <w:t xml:space="preserve"> </w:t>
      </w:r>
      <w:r w:rsidRPr="00B70AFB">
        <w:rPr>
          <w:rFonts w:ascii="Bookman Old Style" w:hAnsi="Bookman Old Style"/>
          <w:sz w:val="24"/>
          <w:szCs w:val="24"/>
        </w:rPr>
        <w:t>kebutuhan</w:t>
      </w:r>
      <w:r w:rsidR="00A954D0">
        <w:rPr>
          <w:rFonts w:ascii="Bookman Old Style" w:hAnsi="Bookman Old Style"/>
          <w:sz w:val="24"/>
          <w:szCs w:val="24"/>
        </w:rPr>
        <w:t xml:space="preserve"> </w:t>
      </w:r>
      <w:r w:rsidRPr="003255BC">
        <w:rPr>
          <w:rFonts w:ascii="Bookman Old Style" w:hAnsi="Bookman Old Style"/>
          <w:sz w:val="24"/>
          <w:szCs w:val="24"/>
          <w:lang w:val="sv-FI"/>
        </w:rPr>
        <w:t>BMD</w:t>
      </w:r>
      <w:r w:rsidR="00A954D0">
        <w:rPr>
          <w:rFonts w:ascii="Bookman Old Style" w:hAnsi="Bookman Old Style"/>
          <w:sz w:val="24"/>
          <w:szCs w:val="24"/>
        </w:rPr>
        <w:t xml:space="preserve"> </w:t>
      </w:r>
      <w:r w:rsidRPr="00B70AFB">
        <w:rPr>
          <w:rFonts w:ascii="Bookman Old Style" w:hAnsi="Bookman Old Style"/>
          <w:sz w:val="24"/>
          <w:szCs w:val="24"/>
        </w:rPr>
        <w:t>dimaksud</w:t>
      </w:r>
      <w:r w:rsidR="00A954D0">
        <w:rPr>
          <w:rFonts w:ascii="Bookman Old Style" w:hAnsi="Bookman Old Style"/>
          <w:sz w:val="24"/>
          <w:szCs w:val="24"/>
        </w:rPr>
        <w:t xml:space="preserve"> </w:t>
      </w:r>
      <w:r w:rsidRPr="00B70AFB">
        <w:rPr>
          <w:rFonts w:ascii="Bookman Old Style" w:hAnsi="Bookman Old Style"/>
          <w:sz w:val="24"/>
          <w:szCs w:val="24"/>
        </w:rPr>
        <w:t>berpedoman</w:t>
      </w:r>
      <w:r w:rsidR="00A954D0">
        <w:rPr>
          <w:rFonts w:ascii="Bookman Old Style" w:hAnsi="Bookman Old Style"/>
          <w:sz w:val="24"/>
          <w:szCs w:val="24"/>
        </w:rPr>
        <w:t xml:space="preserve"> </w:t>
      </w:r>
      <w:r w:rsidRPr="00B70AFB">
        <w:rPr>
          <w:rFonts w:ascii="Bookman Old Style" w:hAnsi="Bookman Old Style"/>
          <w:sz w:val="24"/>
          <w:szCs w:val="24"/>
        </w:rPr>
        <w:t>pada</w:t>
      </w:r>
      <w:r w:rsidR="00A954D0">
        <w:rPr>
          <w:rFonts w:ascii="Bookman Old Style" w:hAnsi="Bookman Old Style"/>
          <w:sz w:val="24"/>
          <w:szCs w:val="24"/>
        </w:rPr>
        <w:t xml:space="preserve"> </w:t>
      </w:r>
      <w:r w:rsidRPr="00B70AFB">
        <w:rPr>
          <w:rFonts w:ascii="Bookman Old Style" w:hAnsi="Bookman Old Style"/>
          <w:sz w:val="24"/>
          <w:szCs w:val="24"/>
        </w:rPr>
        <w:t>standar</w:t>
      </w:r>
      <w:r w:rsidR="00A954D0">
        <w:rPr>
          <w:rFonts w:ascii="Bookman Old Style" w:hAnsi="Bookman Old Style"/>
          <w:sz w:val="24"/>
          <w:szCs w:val="24"/>
        </w:rPr>
        <w:t xml:space="preserve"> </w:t>
      </w:r>
      <w:r w:rsidRPr="00B70AFB">
        <w:rPr>
          <w:rFonts w:ascii="Bookman Old Style" w:hAnsi="Bookman Old Style"/>
          <w:sz w:val="24"/>
          <w:szCs w:val="24"/>
        </w:rPr>
        <w:t>barang,</w:t>
      </w:r>
      <w:r w:rsidR="00A954D0">
        <w:rPr>
          <w:rFonts w:ascii="Bookman Old Style" w:hAnsi="Bookman Old Style"/>
          <w:sz w:val="24"/>
          <w:szCs w:val="24"/>
        </w:rPr>
        <w:t xml:space="preserve"> </w:t>
      </w:r>
      <w:r w:rsidRPr="00B70AFB">
        <w:rPr>
          <w:rFonts w:ascii="Bookman Old Style" w:hAnsi="Bookman Old Style"/>
          <w:sz w:val="24"/>
          <w:szCs w:val="24"/>
        </w:rPr>
        <w:t>standar</w:t>
      </w:r>
      <w:r w:rsidR="00A954D0">
        <w:rPr>
          <w:rFonts w:ascii="Bookman Old Style" w:hAnsi="Bookman Old Style"/>
          <w:sz w:val="24"/>
          <w:szCs w:val="24"/>
        </w:rPr>
        <w:t xml:space="preserve"> </w:t>
      </w:r>
      <w:r w:rsidRPr="00B70AFB">
        <w:rPr>
          <w:rFonts w:ascii="Bookman Old Style" w:hAnsi="Bookman Old Style"/>
          <w:sz w:val="24"/>
          <w:szCs w:val="24"/>
        </w:rPr>
        <w:t>kebutuhan</w:t>
      </w:r>
      <w:r w:rsidR="00A954D0">
        <w:rPr>
          <w:rFonts w:ascii="Bookman Old Style" w:hAnsi="Bookman Old Style"/>
          <w:sz w:val="24"/>
          <w:szCs w:val="24"/>
        </w:rPr>
        <w:t xml:space="preserve"> </w:t>
      </w:r>
      <w:r w:rsidRPr="00B70AFB">
        <w:rPr>
          <w:rFonts w:ascii="Bookman Old Style" w:hAnsi="Bookman Old Style"/>
          <w:sz w:val="24"/>
          <w:szCs w:val="24"/>
        </w:rPr>
        <w:t>dan/atau</w:t>
      </w:r>
      <w:r w:rsidR="00A954D0">
        <w:rPr>
          <w:rFonts w:ascii="Bookman Old Style" w:hAnsi="Bookman Old Style"/>
          <w:sz w:val="24"/>
          <w:szCs w:val="24"/>
        </w:rPr>
        <w:t xml:space="preserve"> </w:t>
      </w:r>
      <w:r w:rsidRPr="00B70AFB">
        <w:rPr>
          <w:rFonts w:ascii="Bookman Old Style" w:hAnsi="Bookman Old Style"/>
          <w:sz w:val="24"/>
          <w:szCs w:val="24"/>
        </w:rPr>
        <w:t>standar</w:t>
      </w:r>
      <w:r w:rsidR="00A954D0">
        <w:rPr>
          <w:rFonts w:ascii="Bookman Old Style" w:hAnsi="Bookman Old Style"/>
          <w:sz w:val="24"/>
          <w:szCs w:val="24"/>
        </w:rPr>
        <w:t xml:space="preserve"> </w:t>
      </w:r>
      <w:r w:rsidRPr="00B70AFB">
        <w:rPr>
          <w:rFonts w:ascii="Bookman Old Style" w:hAnsi="Bookman Old Style"/>
          <w:sz w:val="24"/>
          <w:szCs w:val="24"/>
        </w:rPr>
        <w:t>harga</w:t>
      </w:r>
      <w:r w:rsidR="00A954D0">
        <w:rPr>
          <w:rFonts w:ascii="Bookman Old Style" w:hAnsi="Bookman Old Style"/>
          <w:sz w:val="24"/>
          <w:szCs w:val="24"/>
        </w:rPr>
        <w:t xml:space="preserve"> </w:t>
      </w:r>
      <w:r w:rsidRPr="003255BC">
        <w:rPr>
          <w:rFonts w:ascii="Bookman Old Style" w:hAnsi="Bookman Old Style"/>
          <w:sz w:val="24"/>
          <w:szCs w:val="24"/>
          <w:lang w:val="sv-FI"/>
        </w:rPr>
        <w:t>sebagaimana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maksud</w:t>
      </w:r>
      <w:r w:rsidR="00A954D0">
        <w:rPr>
          <w:rFonts w:ascii="Bookman Old Style" w:hAnsi="Bookman Old Style"/>
          <w:sz w:val="24"/>
          <w:szCs w:val="24"/>
          <w:lang w:val="id-ID"/>
        </w:rPr>
        <w:t xml:space="preserve"> </w:t>
      </w:r>
      <w:r w:rsidRPr="00B70AFB">
        <w:rPr>
          <w:rFonts w:ascii="Bookman Old Style" w:hAnsi="Bookman Old Style" w:cs="Arial"/>
          <w:sz w:val="24"/>
          <w:szCs w:val="24"/>
        </w:rPr>
        <w:t>Peraturan</w:t>
      </w:r>
      <w:r w:rsidR="00A954D0">
        <w:rPr>
          <w:rFonts w:ascii="Bookman Old Style" w:hAnsi="Bookman Old Style" w:cs="Arial"/>
          <w:sz w:val="24"/>
          <w:szCs w:val="24"/>
        </w:rPr>
        <w:t xml:space="preserve"> </w:t>
      </w:r>
      <w:r w:rsidRPr="00B70AFB">
        <w:rPr>
          <w:rFonts w:ascii="Bookman Old Style" w:hAnsi="Bookman Old Style" w:cs="Arial"/>
          <w:sz w:val="24"/>
          <w:szCs w:val="24"/>
        </w:rPr>
        <w:t>Pemerintah</w:t>
      </w:r>
      <w:r w:rsidR="00A954D0">
        <w:rPr>
          <w:rFonts w:ascii="Bookman Old Style" w:hAnsi="Bookman Old Style" w:cs="Arial"/>
          <w:sz w:val="24"/>
          <w:szCs w:val="24"/>
        </w:rPr>
        <w:t xml:space="preserve"> </w:t>
      </w:r>
      <w:r w:rsidRPr="00B70AFB">
        <w:rPr>
          <w:rFonts w:ascii="Bookman Old Style" w:hAnsi="Bookman Old Style" w:cs="Arial"/>
          <w:sz w:val="24"/>
          <w:szCs w:val="24"/>
        </w:rPr>
        <w:t>Nomor</w:t>
      </w:r>
      <w:r w:rsidR="00A954D0">
        <w:rPr>
          <w:rFonts w:ascii="Bookman Old Style" w:hAnsi="Bookman Old Style" w:cs="Arial"/>
          <w:sz w:val="24"/>
          <w:szCs w:val="24"/>
        </w:rPr>
        <w:t xml:space="preserve"> </w:t>
      </w:r>
      <w:r w:rsidRPr="00B70AFB">
        <w:rPr>
          <w:rFonts w:ascii="Bookman Old Style" w:hAnsi="Bookman Old Style" w:cs="Arial"/>
          <w:sz w:val="24"/>
          <w:szCs w:val="24"/>
        </w:rPr>
        <w:t>27</w:t>
      </w:r>
      <w:r w:rsidR="00A954D0">
        <w:rPr>
          <w:rFonts w:ascii="Bookman Old Style" w:hAnsi="Bookman Old Style" w:cs="Arial"/>
          <w:sz w:val="24"/>
          <w:szCs w:val="24"/>
        </w:rPr>
        <w:t xml:space="preserve"> </w:t>
      </w:r>
      <w:r w:rsidRPr="00B70AFB">
        <w:rPr>
          <w:rFonts w:ascii="Bookman Old Style" w:hAnsi="Bookman Old Style" w:cs="Arial"/>
          <w:sz w:val="24"/>
          <w:szCs w:val="24"/>
        </w:rPr>
        <w:t>Tahun</w:t>
      </w:r>
      <w:r w:rsidR="00A954D0">
        <w:rPr>
          <w:rFonts w:ascii="Bookman Old Style" w:hAnsi="Bookman Old Style" w:cs="Arial"/>
          <w:sz w:val="24"/>
          <w:szCs w:val="24"/>
        </w:rPr>
        <w:t xml:space="preserve"> </w:t>
      </w:r>
      <w:r w:rsidRPr="00B70AFB">
        <w:rPr>
          <w:rFonts w:ascii="Bookman Old Style" w:hAnsi="Bookman Old Style" w:cs="Arial"/>
          <w:sz w:val="24"/>
          <w:szCs w:val="24"/>
        </w:rPr>
        <w:t>2014</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sebagaimana</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telah</w:t>
      </w:r>
      <w:r w:rsidR="00A954D0" w:rsidRPr="003255BC">
        <w:rPr>
          <w:rFonts w:ascii="Bookman Old Style" w:hAnsi="Bookman Old Style" w:cs="Arial"/>
          <w:sz w:val="24"/>
          <w:szCs w:val="24"/>
          <w:lang w:val="sv-FI"/>
        </w:rPr>
        <w:t xml:space="preserve"> </w:t>
      </w:r>
      <w:r w:rsidRPr="00B70AFB">
        <w:rPr>
          <w:rFonts w:ascii="Bookman Old Style" w:hAnsi="Bookman Old Style"/>
          <w:sz w:val="24"/>
          <w:szCs w:val="24"/>
          <w:lang w:val="id-ID"/>
        </w:rPr>
        <w:t>diubah</w:t>
      </w:r>
      <w:r w:rsidR="00A954D0">
        <w:rPr>
          <w:rFonts w:ascii="Bookman Old Style" w:hAnsi="Bookman Old Style"/>
          <w:sz w:val="24"/>
          <w:szCs w:val="24"/>
          <w:lang w:val="id-ID"/>
        </w:rPr>
        <w:t xml:space="preserve"> </w:t>
      </w:r>
      <w:r w:rsidRPr="00B70AFB">
        <w:rPr>
          <w:rFonts w:ascii="Bookman Old Style" w:hAnsi="Bookman Old Style"/>
          <w:sz w:val="24"/>
          <w:szCs w:val="24"/>
          <w:lang w:val="id-ID"/>
        </w:rPr>
        <w:t>dengan</w:t>
      </w:r>
      <w:r w:rsidR="00A954D0">
        <w:rPr>
          <w:rFonts w:ascii="Bookman Old Style" w:hAnsi="Bookman Old Style"/>
          <w:sz w:val="24"/>
          <w:szCs w:val="24"/>
          <w:lang w:val="id-ID"/>
        </w:rPr>
        <w:t xml:space="preserve"> </w:t>
      </w:r>
      <w:r w:rsidRPr="00B70AFB">
        <w:rPr>
          <w:rFonts w:ascii="Bookman Old Style" w:hAnsi="Bookman Old Style"/>
          <w:sz w:val="24"/>
          <w:szCs w:val="24"/>
          <w:lang w:val="id-ID"/>
        </w:rPr>
        <w:t>Peraturan</w:t>
      </w:r>
      <w:r w:rsidR="00A954D0">
        <w:rPr>
          <w:rFonts w:ascii="Bookman Old Style" w:hAnsi="Bookman Old Style"/>
          <w:sz w:val="24"/>
          <w:szCs w:val="24"/>
          <w:lang w:val="id-ID"/>
        </w:rPr>
        <w:t xml:space="preserve"> </w:t>
      </w:r>
      <w:r w:rsidRPr="00B70AFB">
        <w:rPr>
          <w:rFonts w:ascii="Bookman Old Style" w:hAnsi="Bookman Old Style"/>
          <w:sz w:val="24"/>
          <w:szCs w:val="24"/>
          <w:lang w:val="id-ID"/>
        </w:rPr>
        <w:t>Pemerintah</w:t>
      </w:r>
      <w:r w:rsidR="00A954D0">
        <w:rPr>
          <w:rFonts w:ascii="Bookman Old Style" w:hAnsi="Bookman Old Style"/>
          <w:sz w:val="24"/>
          <w:szCs w:val="24"/>
          <w:lang w:val="id-ID"/>
        </w:rPr>
        <w:t xml:space="preserve"> </w:t>
      </w:r>
      <w:r w:rsidRPr="00B70AFB">
        <w:rPr>
          <w:rFonts w:ascii="Bookman Old Style" w:hAnsi="Bookman Old Style"/>
          <w:sz w:val="24"/>
          <w:szCs w:val="24"/>
          <w:lang w:val="id-ID"/>
        </w:rPr>
        <w:t>Nomor</w:t>
      </w:r>
      <w:r w:rsidR="00A954D0">
        <w:rPr>
          <w:rFonts w:ascii="Bookman Old Style" w:hAnsi="Bookman Old Style"/>
          <w:sz w:val="24"/>
          <w:szCs w:val="24"/>
          <w:lang w:val="id-ID"/>
        </w:rPr>
        <w:t xml:space="preserve"> </w:t>
      </w:r>
      <w:r w:rsidRPr="00B70AFB">
        <w:rPr>
          <w:rFonts w:ascii="Bookman Old Style" w:hAnsi="Bookman Old Style"/>
          <w:sz w:val="24"/>
          <w:szCs w:val="24"/>
          <w:lang w:val="id-ID"/>
        </w:rPr>
        <w:t>28</w:t>
      </w:r>
      <w:r w:rsidR="00A954D0">
        <w:rPr>
          <w:rFonts w:ascii="Bookman Old Style" w:hAnsi="Bookman Old Style"/>
          <w:sz w:val="24"/>
          <w:szCs w:val="24"/>
          <w:lang w:val="id-ID"/>
        </w:rPr>
        <w:t xml:space="preserve"> </w:t>
      </w:r>
      <w:r w:rsidRPr="00B70AFB">
        <w:rPr>
          <w:rFonts w:ascii="Bookman Old Style" w:hAnsi="Bookman Old Style"/>
          <w:sz w:val="24"/>
          <w:szCs w:val="24"/>
          <w:lang w:val="id-ID"/>
        </w:rPr>
        <w:t>Tahun</w:t>
      </w:r>
      <w:r w:rsidR="00A954D0">
        <w:rPr>
          <w:rFonts w:ascii="Bookman Old Style" w:hAnsi="Bookman Old Style"/>
          <w:sz w:val="24"/>
          <w:szCs w:val="24"/>
          <w:lang w:val="id-ID"/>
        </w:rPr>
        <w:t xml:space="preserve"> </w:t>
      </w:r>
      <w:r w:rsidRPr="00B70AFB">
        <w:rPr>
          <w:rFonts w:ascii="Bookman Old Style" w:hAnsi="Bookman Old Style"/>
          <w:sz w:val="24"/>
          <w:szCs w:val="24"/>
          <w:lang w:val="id-ID"/>
        </w:rPr>
        <w:t>2020</w:t>
      </w:r>
      <w:r w:rsidRPr="003255BC">
        <w:rPr>
          <w:rFonts w:ascii="Bookman Old Style" w:hAnsi="Bookman Old Style" w:cs="Arial"/>
          <w:sz w:val="24"/>
          <w:szCs w:val="24"/>
          <w:lang w:val="sv-FI"/>
        </w:rPr>
        <w:t>,</w:t>
      </w:r>
      <w:r w:rsidR="00A954D0" w:rsidRPr="003255BC">
        <w:rPr>
          <w:rFonts w:ascii="Bookman Old Style" w:hAnsi="Bookman Old Style" w:cs="Arial"/>
          <w:sz w:val="24"/>
          <w:szCs w:val="24"/>
          <w:lang w:val="sv-FI"/>
        </w:rPr>
        <w:t xml:space="preserve"> </w:t>
      </w:r>
      <w:r w:rsidRPr="00B70AFB">
        <w:rPr>
          <w:rFonts w:ascii="Bookman Old Style" w:hAnsi="Bookman Old Style" w:cs="Arial"/>
          <w:sz w:val="24"/>
          <w:szCs w:val="24"/>
        </w:rPr>
        <w:t>Peraturan</w:t>
      </w:r>
      <w:r w:rsidR="00A954D0">
        <w:rPr>
          <w:rFonts w:ascii="Bookman Old Style" w:hAnsi="Bookman Old Style" w:cs="Arial"/>
          <w:sz w:val="24"/>
          <w:szCs w:val="24"/>
        </w:rPr>
        <w:t xml:space="preserve"> </w:t>
      </w:r>
      <w:r w:rsidRPr="00B70AFB">
        <w:rPr>
          <w:rFonts w:ascii="Bookman Old Style" w:hAnsi="Bookman Old Style" w:cs="Arial"/>
          <w:sz w:val="24"/>
          <w:szCs w:val="24"/>
        </w:rPr>
        <w:t>Menteri</w:t>
      </w:r>
      <w:r w:rsidR="00A954D0">
        <w:rPr>
          <w:rFonts w:ascii="Bookman Old Style" w:hAnsi="Bookman Old Style" w:cs="Arial"/>
          <w:sz w:val="24"/>
          <w:szCs w:val="24"/>
        </w:rPr>
        <w:t xml:space="preserve"> </w:t>
      </w:r>
      <w:r w:rsidRPr="00B70AFB">
        <w:rPr>
          <w:rFonts w:ascii="Bookman Old Style" w:hAnsi="Bookman Old Style" w:cs="Arial"/>
          <w:sz w:val="24"/>
          <w:szCs w:val="24"/>
        </w:rPr>
        <w:t>Dalam</w:t>
      </w:r>
      <w:r w:rsidR="00A954D0">
        <w:rPr>
          <w:rFonts w:ascii="Bookman Old Style" w:hAnsi="Bookman Old Style" w:cs="Arial"/>
          <w:sz w:val="24"/>
          <w:szCs w:val="24"/>
        </w:rPr>
        <w:t xml:space="preserve"> </w:t>
      </w:r>
      <w:r w:rsidRPr="00B70AFB">
        <w:rPr>
          <w:rFonts w:ascii="Bookman Old Style" w:hAnsi="Bookman Old Style" w:cs="Arial"/>
          <w:sz w:val="24"/>
          <w:szCs w:val="24"/>
        </w:rPr>
        <w:t>Negeri</w:t>
      </w:r>
      <w:r w:rsidR="00A954D0">
        <w:rPr>
          <w:rFonts w:ascii="Bookman Old Style" w:hAnsi="Bookman Old Style" w:cs="Arial"/>
          <w:sz w:val="24"/>
          <w:szCs w:val="24"/>
        </w:rPr>
        <w:t xml:space="preserve"> </w:t>
      </w:r>
      <w:r w:rsidRPr="00B70AFB">
        <w:rPr>
          <w:rFonts w:ascii="Bookman Old Style" w:hAnsi="Bookman Old Style" w:cs="Arial"/>
          <w:sz w:val="24"/>
          <w:szCs w:val="24"/>
        </w:rPr>
        <w:t>Nomor</w:t>
      </w:r>
      <w:r w:rsidR="00A954D0">
        <w:rPr>
          <w:rFonts w:ascii="Bookman Old Style" w:hAnsi="Bookman Old Style" w:cs="Arial"/>
          <w:sz w:val="24"/>
          <w:szCs w:val="24"/>
        </w:rPr>
        <w:t xml:space="preserve"> </w:t>
      </w:r>
      <w:r w:rsidRPr="00B70AFB">
        <w:rPr>
          <w:rFonts w:ascii="Bookman Old Style" w:hAnsi="Bookman Old Style" w:cs="Arial"/>
          <w:sz w:val="24"/>
          <w:szCs w:val="24"/>
        </w:rPr>
        <w:t>19</w:t>
      </w:r>
      <w:r w:rsidR="00A954D0">
        <w:rPr>
          <w:rFonts w:ascii="Bookman Old Style" w:hAnsi="Bookman Old Style" w:cs="Arial"/>
          <w:sz w:val="24"/>
          <w:szCs w:val="24"/>
        </w:rPr>
        <w:t xml:space="preserve"> </w:t>
      </w:r>
      <w:r w:rsidRPr="00B70AFB">
        <w:rPr>
          <w:rFonts w:ascii="Bookman Old Style" w:hAnsi="Bookman Old Style" w:cs="Arial"/>
          <w:sz w:val="24"/>
          <w:szCs w:val="24"/>
        </w:rPr>
        <w:t>Tahun</w:t>
      </w:r>
      <w:r w:rsidR="00A954D0">
        <w:rPr>
          <w:rFonts w:ascii="Bookman Old Style" w:hAnsi="Bookman Old Style" w:cs="Arial"/>
          <w:sz w:val="24"/>
          <w:szCs w:val="24"/>
        </w:rPr>
        <w:t xml:space="preserve"> </w:t>
      </w:r>
      <w:r w:rsidRPr="00B70AFB">
        <w:rPr>
          <w:rFonts w:ascii="Bookman Old Style" w:hAnsi="Bookman Old Style" w:cs="Arial"/>
          <w:sz w:val="24"/>
          <w:szCs w:val="24"/>
        </w:rPr>
        <w:t>2016</w:t>
      </w:r>
      <w:r w:rsidR="00A954D0">
        <w:rPr>
          <w:rFonts w:ascii="Bookman Old Style" w:hAnsi="Bookman Old Style" w:cs="Arial"/>
          <w:sz w:val="24"/>
          <w:szCs w:val="24"/>
          <w:lang w:val="id-ID"/>
        </w:rPr>
        <w:t xml:space="preserve"> </w:t>
      </w:r>
      <w:r w:rsidRPr="003255BC">
        <w:rPr>
          <w:rFonts w:ascii="Bookman Old Style" w:hAnsi="Bookman Old Style"/>
          <w:sz w:val="24"/>
          <w:szCs w:val="24"/>
          <w:lang w:val="sv-FI"/>
        </w:rPr>
        <w:t>dan</w:t>
      </w:r>
      <w:r w:rsidR="00A954D0" w:rsidRPr="003255BC">
        <w:rPr>
          <w:rFonts w:ascii="Bookman Old Style" w:hAnsi="Bookman Old Style"/>
          <w:sz w:val="24"/>
          <w:szCs w:val="24"/>
          <w:lang w:val="sv-FI"/>
        </w:rPr>
        <w:t xml:space="preserve"> </w:t>
      </w:r>
      <w:r w:rsidRPr="00B70AFB">
        <w:rPr>
          <w:rFonts w:ascii="Bookman Old Style" w:hAnsi="Bookman Old Style" w:cs="Arial"/>
          <w:sz w:val="24"/>
          <w:szCs w:val="24"/>
        </w:rPr>
        <w:t>butir</w:t>
      </w:r>
      <w:r w:rsidR="00A954D0">
        <w:rPr>
          <w:rFonts w:ascii="Bookman Old Style" w:hAnsi="Bookman Old Style" w:cs="Arial"/>
          <w:sz w:val="24"/>
          <w:szCs w:val="24"/>
        </w:rPr>
        <w:t xml:space="preserve"> </w:t>
      </w:r>
      <w:r w:rsidRPr="003255BC">
        <w:rPr>
          <w:rFonts w:ascii="Bookman Old Style" w:hAnsi="Bookman Old Style" w:cs="Arial"/>
          <w:sz w:val="24"/>
          <w:szCs w:val="24"/>
          <w:lang w:val="sv-FI"/>
        </w:rPr>
        <w:t>3.4.2.</w:t>
      </w:r>
      <w:r w:rsidRPr="003255BC">
        <w:rPr>
          <w:rFonts w:ascii="Bookman Old Style" w:hAnsi="Bookman Old Style"/>
          <w:sz w:val="24"/>
          <w:szCs w:val="24"/>
          <w:lang w:val="sv-FI"/>
        </w:rPr>
        <w:t>i</w:t>
      </w:r>
      <w:r w:rsidR="00A954D0" w:rsidRPr="003255BC">
        <w:rPr>
          <w:rFonts w:ascii="Bookman Old Style" w:hAnsi="Bookman Old Style"/>
          <w:sz w:val="24"/>
          <w:szCs w:val="24"/>
          <w:lang w:val="sv-FI"/>
        </w:rPr>
        <w:t xml:space="preserve"> </w:t>
      </w:r>
      <w:r w:rsidRPr="00B70AFB">
        <w:rPr>
          <w:rFonts w:ascii="Bookman Old Style" w:hAnsi="Bookman Old Style" w:cs="Arial"/>
          <w:sz w:val="24"/>
          <w:szCs w:val="24"/>
        </w:rPr>
        <w:t>Lampiran</w:t>
      </w:r>
      <w:r w:rsidR="00A954D0">
        <w:rPr>
          <w:rFonts w:ascii="Bookman Old Style" w:hAnsi="Bookman Old Style" w:cs="Arial"/>
          <w:sz w:val="24"/>
          <w:szCs w:val="24"/>
        </w:rPr>
        <w:t xml:space="preserve"> </w:t>
      </w:r>
      <w:r w:rsidRPr="00B70AFB">
        <w:rPr>
          <w:rFonts w:ascii="Bookman Old Style" w:hAnsi="Bookman Old Style" w:cs="Arial"/>
          <w:sz w:val="24"/>
          <w:szCs w:val="24"/>
        </w:rPr>
        <w:t>Peraturan</w:t>
      </w:r>
      <w:r w:rsidR="00A954D0">
        <w:rPr>
          <w:rFonts w:ascii="Bookman Old Style" w:hAnsi="Bookman Old Style" w:cs="Arial"/>
          <w:sz w:val="24"/>
          <w:szCs w:val="24"/>
        </w:rPr>
        <w:t xml:space="preserve"> </w:t>
      </w:r>
      <w:r w:rsidRPr="00966E6E">
        <w:rPr>
          <w:rFonts w:ascii="Bookman Old Style" w:hAnsi="Bookman Old Style" w:cs="Arial"/>
          <w:sz w:val="24"/>
          <w:szCs w:val="24"/>
        </w:rPr>
        <w:t>Menteri</w:t>
      </w:r>
      <w:r w:rsidR="00A954D0">
        <w:rPr>
          <w:rFonts w:ascii="Bookman Old Style" w:hAnsi="Bookman Old Style" w:cs="Arial"/>
          <w:sz w:val="24"/>
          <w:szCs w:val="24"/>
        </w:rPr>
        <w:t xml:space="preserve"> </w:t>
      </w:r>
      <w:r w:rsidRPr="00966E6E">
        <w:rPr>
          <w:rFonts w:ascii="Bookman Old Style" w:hAnsi="Bookman Old Style" w:cs="Arial"/>
          <w:sz w:val="24"/>
          <w:szCs w:val="24"/>
        </w:rPr>
        <w:t>Dalam</w:t>
      </w:r>
      <w:r w:rsidR="00A954D0">
        <w:rPr>
          <w:rFonts w:ascii="Bookman Old Style" w:hAnsi="Bookman Old Style" w:cs="Arial"/>
          <w:sz w:val="24"/>
          <w:szCs w:val="24"/>
        </w:rPr>
        <w:t xml:space="preserve"> </w:t>
      </w:r>
      <w:r w:rsidRPr="00966E6E">
        <w:rPr>
          <w:rFonts w:ascii="Bookman Old Style" w:hAnsi="Bookman Old Style" w:cs="Arial"/>
          <w:sz w:val="24"/>
          <w:szCs w:val="24"/>
        </w:rPr>
        <w:t>Negeri</w:t>
      </w:r>
      <w:r w:rsidR="00A954D0">
        <w:rPr>
          <w:rFonts w:ascii="Bookman Old Style" w:hAnsi="Bookman Old Style" w:cs="Arial"/>
          <w:sz w:val="24"/>
          <w:szCs w:val="24"/>
        </w:rPr>
        <w:t xml:space="preserve"> </w:t>
      </w:r>
      <w:r w:rsidRPr="00966E6E">
        <w:rPr>
          <w:rFonts w:ascii="Bookman Old Style" w:hAnsi="Bookman Old Style" w:cs="Arial"/>
          <w:sz w:val="24"/>
          <w:szCs w:val="24"/>
        </w:rPr>
        <w:t>Nomor</w:t>
      </w:r>
      <w:r w:rsidR="00A954D0">
        <w:rPr>
          <w:rFonts w:ascii="Bookman Old Style" w:hAnsi="Bookman Old Style" w:cs="Arial"/>
          <w:sz w:val="24"/>
          <w:szCs w:val="24"/>
        </w:rPr>
        <w:t xml:space="preserve"> </w:t>
      </w:r>
      <w:r w:rsidRPr="003255BC">
        <w:rPr>
          <w:rFonts w:ascii="Bookman Old Style" w:hAnsi="Bookman Old Style" w:cs="Arial"/>
          <w:sz w:val="24"/>
          <w:szCs w:val="24"/>
          <w:lang w:val="sv-FI"/>
        </w:rPr>
        <w:t>15</w:t>
      </w:r>
      <w:r w:rsidR="00A954D0">
        <w:rPr>
          <w:rFonts w:ascii="Bookman Old Style" w:hAnsi="Bookman Old Style" w:cs="Arial"/>
          <w:sz w:val="24"/>
          <w:szCs w:val="24"/>
        </w:rPr>
        <w:t xml:space="preserve"> </w:t>
      </w:r>
      <w:r w:rsidRPr="00966E6E">
        <w:rPr>
          <w:rFonts w:ascii="Bookman Old Style" w:hAnsi="Bookman Old Style" w:cs="Arial"/>
          <w:sz w:val="24"/>
          <w:szCs w:val="24"/>
        </w:rPr>
        <w:t>Tahun</w:t>
      </w:r>
      <w:r w:rsidR="00A954D0">
        <w:rPr>
          <w:rFonts w:ascii="Bookman Old Style" w:hAnsi="Bookman Old Style" w:cs="Arial"/>
          <w:sz w:val="24"/>
          <w:szCs w:val="24"/>
        </w:rPr>
        <w:t xml:space="preserve"> </w:t>
      </w:r>
      <w:r w:rsidRPr="00966E6E">
        <w:rPr>
          <w:rFonts w:ascii="Bookman Old Style" w:hAnsi="Bookman Old Style" w:cs="Arial"/>
          <w:sz w:val="24"/>
          <w:szCs w:val="24"/>
        </w:rPr>
        <w:t>202</w:t>
      </w:r>
      <w:r w:rsidRPr="003255BC">
        <w:rPr>
          <w:rFonts w:ascii="Bookman Old Style" w:hAnsi="Bookman Old Style" w:cs="Arial"/>
          <w:sz w:val="24"/>
          <w:szCs w:val="24"/>
          <w:lang w:val="sv-FI"/>
        </w:rPr>
        <w:t>4</w:t>
      </w:r>
      <w:r w:rsidRPr="00966E6E">
        <w:rPr>
          <w:rFonts w:ascii="Bookman Old Style" w:hAnsi="Bookman Old Style"/>
          <w:sz w:val="24"/>
          <w:szCs w:val="24"/>
        </w:rPr>
        <w:t>.</w:t>
      </w:r>
    </w:p>
    <w:p w14:paraId="02D5D3C9" w14:textId="74E79673" w:rsidR="003B7FE4" w:rsidRPr="00966E6E" w:rsidRDefault="003B7FE4" w:rsidP="005668F0">
      <w:pPr>
        <w:pStyle w:val="ListParagraph"/>
        <w:numPr>
          <w:ilvl w:val="0"/>
          <w:numId w:val="22"/>
        </w:numPr>
        <w:spacing w:before="60" w:after="0" w:line="276" w:lineRule="auto"/>
        <w:ind w:left="2694" w:hanging="426"/>
        <w:contextualSpacing w:val="0"/>
        <w:jc w:val="both"/>
        <w:rPr>
          <w:rFonts w:ascii="Bookman Old Style" w:hAnsi="Bookman Old Style"/>
          <w:sz w:val="24"/>
          <w:szCs w:val="24"/>
          <w:lang w:val="id-ID"/>
        </w:rPr>
      </w:pPr>
      <w:r w:rsidRPr="00966E6E">
        <w:rPr>
          <w:rFonts w:ascii="Bookman Old Style" w:hAnsi="Bookman Old Style"/>
          <w:sz w:val="24"/>
          <w:szCs w:val="24"/>
        </w:rPr>
        <w:t>Penyediaan</w:t>
      </w:r>
      <w:r w:rsidR="00A954D0">
        <w:rPr>
          <w:rFonts w:ascii="Bookman Old Style" w:hAnsi="Bookman Old Style"/>
          <w:sz w:val="24"/>
          <w:szCs w:val="24"/>
        </w:rPr>
        <w:t xml:space="preserve"> </w:t>
      </w:r>
      <w:r w:rsidRPr="00966E6E">
        <w:rPr>
          <w:rFonts w:ascii="Bookman Old Style" w:hAnsi="Bookman Old Style"/>
          <w:sz w:val="24"/>
          <w:szCs w:val="24"/>
        </w:rPr>
        <w:t>anggaran</w:t>
      </w:r>
      <w:r w:rsidR="00A954D0">
        <w:rPr>
          <w:rFonts w:ascii="Bookman Old Style" w:hAnsi="Bookman Old Style"/>
          <w:sz w:val="24"/>
          <w:szCs w:val="24"/>
        </w:rPr>
        <w:t xml:space="preserve"> </w:t>
      </w:r>
      <w:r w:rsidRPr="00966E6E">
        <w:rPr>
          <w:rFonts w:ascii="Bookman Old Style" w:hAnsi="Bookman Old Style"/>
          <w:sz w:val="24"/>
          <w:szCs w:val="24"/>
        </w:rPr>
        <w:t>yang</w:t>
      </w:r>
      <w:r w:rsidR="00A954D0">
        <w:rPr>
          <w:rFonts w:ascii="Bookman Old Style" w:hAnsi="Bookman Old Style"/>
          <w:sz w:val="24"/>
          <w:szCs w:val="24"/>
        </w:rPr>
        <w:t xml:space="preserve"> </w:t>
      </w:r>
      <w:r w:rsidRPr="00966E6E">
        <w:rPr>
          <w:rFonts w:ascii="Bookman Old Style" w:hAnsi="Bookman Old Style"/>
          <w:sz w:val="24"/>
          <w:szCs w:val="24"/>
        </w:rPr>
        <w:t>tercantum</w:t>
      </w:r>
      <w:r w:rsidR="00A954D0">
        <w:rPr>
          <w:rFonts w:ascii="Bookman Old Style" w:hAnsi="Bookman Old Style"/>
          <w:sz w:val="24"/>
          <w:szCs w:val="24"/>
        </w:rPr>
        <w:t xml:space="preserve"> </w:t>
      </w:r>
      <w:r w:rsidRPr="00966E6E">
        <w:rPr>
          <w:rFonts w:ascii="Bookman Old Style" w:hAnsi="Bookman Old Style"/>
          <w:sz w:val="24"/>
          <w:szCs w:val="24"/>
        </w:rPr>
        <w:t>pada</w:t>
      </w:r>
      <w:r w:rsidRPr="00966E6E">
        <w:rPr>
          <w:rFonts w:ascii="Bookman Old Style" w:hAnsi="Bookman Old Style"/>
          <w:sz w:val="24"/>
          <w:szCs w:val="24"/>
          <w:lang w:val="id-ID"/>
        </w:rPr>
        <w:t>:</w:t>
      </w:r>
    </w:p>
    <w:p w14:paraId="602A71ED" w14:textId="266B9E3E" w:rsidR="003B7FE4" w:rsidRPr="00966E6E" w:rsidRDefault="003B7FE4" w:rsidP="005668F0">
      <w:pPr>
        <w:pStyle w:val="ListParagraph"/>
        <w:numPr>
          <w:ilvl w:val="0"/>
          <w:numId w:val="143"/>
        </w:numPr>
        <w:snapToGrid w:val="0"/>
        <w:spacing w:before="60" w:after="0" w:line="276" w:lineRule="auto"/>
        <w:ind w:left="3261" w:hanging="567"/>
        <w:contextualSpacing w:val="0"/>
        <w:jc w:val="both"/>
        <w:rPr>
          <w:rFonts w:ascii="Bookman Old Style" w:hAnsi="Bookman Old Style"/>
          <w:sz w:val="24"/>
          <w:szCs w:val="24"/>
          <w:lang w:val="id-ID"/>
        </w:rPr>
      </w:pPr>
      <w:r w:rsidRPr="00966E6E">
        <w:rPr>
          <w:rFonts w:ascii="Bookman Old Style" w:hAnsi="Bookman Old Style"/>
          <w:sz w:val="24"/>
          <w:szCs w:val="24"/>
          <w:lang w:val="id-ID"/>
        </w:rPr>
        <w:t>Belanja</w:t>
      </w:r>
      <w:r w:rsidR="00A954D0">
        <w:rPr>
          <w:rFonts w:ascii="Bookman Old Style" w:hAnsi="Bookman Old Style"/>
          <w:sz w:val="24"/>
          <w:szCs w:val="24"/>
          <w:lang w:val="id-ID"/>
        </w:rPr>
        <w:t xml:space="preserve"> </w:t>
      </w:r>
      <w:r w:rsidRPr="00966E6E">
        <w:rPr>
          <w:rFonts w:ascii="Bookman Old Style" w:hAnsi="Bookman Old Style"/>
          <w:sz w:val="24"/>
          <w:szCs w:val="24"/>
          <w:lang w:val="id-ID"/>
        </w:rPr>
        <w:t>Jasa</w:t>
      </w:r>
      <w:r w:rsidR="00A954D0">
        <w:rPr>
          <w:rFonts w:ascii="Bookman Old Style" w:hAnsi="Bookman Old Style"/>
          <w:sz w:val="24"/>
          <w:szCs w:val="24"/>
          <w:lang w:val="id-ID"/>
        </w:rPr>
        <w:t xml:space="preserve"> </w:t>
      </w:r>
      <w:r w:rsidRPr="00966E6E">
        <w:rPr>
          <w:rFonts w:ascii="Bookman Old Style" w:hAnsi="Bookman Old Style"/>
          <w:sz w:val="24"/>
          <w:szCs w:val="24"/>
          <w:lang w:val="id-ID"/>
        </w:rPr>
        <w:t>Konsultansi</w:t>
      </w:r>
      <w:r w:rsidR="00A954D0">
        <w:rPr>
          <w:rFonts w:ascii="Bookman Old Style" w:hAnsi="Bookman Old Style"/>
          <w:sz w:val="24"/>
          <w:szCs w:val="24"/>
          <w:lang w:val="id-ID"/>
        </w:rPr>
        <w:t xml:space="preserve"> </w:t>
      </w:r>
      <w:r w:rsidRPr="00966E6E">
        <w:rPr>
          <w:rFonts w:ascii="Bookman Old Style" w:hAnsi="Bookman Old Style"/>
          <w:sz w:val="24"/>
          <w:szCs w:val="24"/>
          <w:lang w:val="id-ID"/>
        </w:rPr>
        <w:t>Konstruksi</w:t>
      </w:r>
      <w:r w:rsidR="00A954D0">
        <w:rPr>
          <w:rFonts w:ascii="Bookman Old Style" w:hAnsi="Bookman Old Style"/>
          <w:sz w:val="24"/>
          <w:szCs w:val="24"/>
          <w:lang w:val="id-ID"/>
        </w:rPr>
        <w:t xml:space="preserve"> </w:t>
      </w:r>
      <w:r w:rsidR="00B70AFB" w:rsidRPr="00966E6E">
        <w:rPr>
          <w:rFonts w:ascii="Bookman Old Style" w:hAnsi="Bookman Old Style"/>
          <w:sz w:val="24"/>
          <w:szCs w:val="24"/>
          <w:lang w:val="id-ID"/>
        </w:rPr>
        <w:t>Rp21.991.843.069,00</w:t>
      </w:r>
      <w:r w:rsidR="00A954D0">
        <w:rPr>
          <w:rFonts w:ascii="Bookman Old Style" w:hAnsi="Bookman Old Style"/>
          <w:sz w:val="24"/>
          <w:szCs w:val="24"/>
          <w:lang w:val="id-ID"/>
        </w:rPr>
        <w:t xml:space="preserve"> </w:t>
      </w:r>
      <w:r w:rsidR="00B70AFB" w:rsidRPr="00966E6E">
        <w:rPr>
          <w:rFonts w:ascii="Bookman Old Style" w:hAnsi="Bookman Old Style"/>
          <w:sz w:val="24"/>
          <w:szCs w:val="24"/>
          <w:lang w:val="id-ID"/>
        </w:rPr>
        <w:t>atau</w:t>
      </w:r>
      <w:r w:rsidR="00A954D0">
        <w:rPr>
          <w:rFonts w:ascii="Bookman Old Style" w:hAnsi="Bookman Old Style"/>
          <w:sz w:val="24"/>
          <w:szCs w:val="24"/>
          <w:lang w:val="id-ID"/>
        </w:rPr>
        <w:t xml:space="preserve"> </w:t>
      </w:r>
      <w:r w:rsidR="00B70AFB" w:rsidRPr="00966E6E">
        <w:rPr>
          <w:rFonts w:ascii="Bookman Old Style" w:hAnsi="Bookman Old Style"/>
          <w:sz w:val="24"/>
          <w:szCs w:val="24"/>
          <w:lang w:val="id-ID"/>
        </w:rPr>
        <w:t>0,39%</w:t>
      </w:r>
      <w:r w:rsidR="00A954D0">
        <w:rPr>
          <w:rFonts w:ascii="Bookman Old Style" w:hAnsi="Bookman Old Style"/>
          <w:sz w:val="24"/>
          <w:szCs w:val="24"/>
          <w:lang w:val="id-ID"/>
        </w:rPr>
        <w:t xml:space="preserve"> </w:t>
      </w:r>
      <w:r w:rsidRPr="00966E6E">
        <w:rPr>
          <w:rFonts w:ascii="Bookman Old Style" w:hAnsi="Bookman Old Style"/>
          <w:sz w:val="24"/>
          <w:szCs w:val="24"/>
          <w:lang w:val="id-ID"/>
        </w:rPr>
        <w:t>dari</w:t>
      </w:r>
      <w:r w:rsidR="00A954D0">
        <w:rPr>
          <w:rFonts w:ascii="Bookman Old Style" w:hAnsi="Bookman Old Style"/>
          <w:sz w:val="24"/>
          <w:szCs w:val="24"/>
          <w:lang w:val="id-ID"/>
        </w:rPr>
        <w:t xml:space="preserve"> </w:t>
      </w:r>
      <w:r w:rsidRPr="00966E6E">
        <w:rPr>
          <w:rFonts w:ascii="Bookman Old Style" w:hAnsi="Bookman Old Style"/>
          <w:sz w:val="24"/>
          <w:szCs w:val="24"/>
          <w:lang w:val="id-ID"/>
        </w:rPr>
        <w:t>total</w:t>
      </w:r>
      <w:r w:rsidR="00A954D0">
        <w:rPr>
          <w:rFonts w:ascii="Bookman Old Style" w:hAnsi="Bookman Old Style"/>
          <w:sz w:val="24"/>
          <w:szCs w:val="24"/>
          <w:lang w:val="id-ID"/>
        </w:rPr>
        <w:t xml:space="preserve"> </w:t>
      </w:r>
      <w:r w:rsidRPr="00966E6E">
        <w:rPr>
          <w:rFonts w:ascii="Bookman Old Style" w:hAnsi="Bookman Old Style"/>
          <w:sz w:val="24"/>
          <w:szCs w:val="24"/>
          <w:lang w:val="id-ID"/>
        </w:rPr>
        <w:t>belanja</w:t>
      </w:r>
      <w:r w:rsidR="00A954D0">
        <w:rPr>
          <w:rFonts w:ascii="Bookman Old Style" w:hAnsi="Bookman Old Style"/>
          <w:sz w:val="24"/>
          <w:szCs w:val="24"/>
          <w:lang w:val="id-ID"/>
        </w:rPr>
        <w:t xml:space="preserve"> </w:t>
      </w:r>
      <w:r w:rsidRPr="00966E6E">
        <w:rPr>
          <w:rFonts w:ascii="Bookman Old Style" w:hAnsi="Bookman Old Style"/>
          <w:sz w:val="24"/>
          <w:szCs w:val="24"/>
          <w:lang w:val="id-ID"/>
        </w:rPr>
        <w:t>daerah</w:t>
      </w:r>
      <w:r w:rsidR="00A954D0">
        <w:rPr>
          <w:rFonts w:ascii="Bookman Old Style" w:hAnsi="Bookman Old Style"/>
          <w:sz w:val="24"/>
          <w:szCs w:val="24"/>
          <w:lang w:val="id-ID"/>
        </w:rPr>
        <w:t xml:space="preserve"> </w:t>
      </w:r>
      <w:r w:rsidRPr="00966E6E">
        <w:rPr>
          <w:rFonts w:ascii="Bookman Old Style" w:hAnsi="Bookman Old Style"/>
          <w:sz w:val="24"/>
          <w:szCs w:val="24"/>
          <w:lang w:val="id-ID"/>
        </w:rPr>
        <w:t>dalam</w:t>
      </w:r>
      <w:r w:rsidR="00A954D0">
        <w:rPr>
          <w:rFonts w:ascii="Bookman Old Style" w:hAnsi="Bookman Old Style"/>
          <w:sz w:val="24"/>
          <w:szCs w:val="24"/>
          <w:lang w:val="id-ID"/>
        </w:rPr>
        <w:t xml:space="preserve"> </w:t>
      </w:r>
      <w:r w:rsidRPr="00966E6E">
        <w:rPr>
          <w:rFonts w:ascii="Bookman Old Style" w:hAnsi="Bookman Old Style"/>
          <w:sz w:val="24"/>
          <w:szCs w:val="24"/>
          <w:lang w:val="id-ID"/>
        </w:rPr>
        <w:t>Rancangan</w:t>
      </w:r>
      <w:r w:rsidR="00A954D0">
        <w:rPr>
          <w:rFonts w:ascii="Bookman Old Style" w:hAnsi="Bookman Old Style"/>
          <w:sz w:val="24"/>
          <w:szCs w:val="24"/>
          <w:lang w:val="id-ID"/>
        </w:rPr>
        <w:t xml:space="preserve"> </w:t>
      </w:r>
      <w:r w:rsidRPr="00966E6E">
        <w:rPr>
          <w:rFonts w:ascii="Bookman Old Style" w:hAnsi="Bookman Old Style"/>
          <w:sz w:val="24"/>
          <w:szCs w:val="24"/>
          <w:lang w:val="id-ID"/>
        </w:rPr>
        <w:t>Peraturan</w:t>
      </w:r>
      <w:r w:rsidR="00A954D0">
        <w:rPr>
          <w:rFonts w:ascii="Bookman Old Style" w:hAnsi="Bookman Old Style"/>
          <w:sz w:val="24"/>
          <w:szCs w:val="24"/>
          <w:lang w:val="id-ID"/>
        </w:rPr>
        <w:t xml:space="preserve"> </w:t>
      </w:r>
      <w:r w:rsidRPr="00966E6E">
        <w:rPr>
          <w:rFonts w:ascii="Bookman Old Style" w:hAnsi="Bookman Old Style"/>
          <w:sz w:val="24"/>
          <w:szCs w:val="24"/>
          <w:lang w:val="id-ID"/>
        </w:rPr>
        <w:t>Daerah</w:t>
      </w:r>
      <w:r w:rsidR="00A954D0">
        <w:rPr>
          <w:rFonts w:ascii="Bookman Old Style" w:hAnsi="Bookman Old Style"/>
          <w:sz w:val="24"/>
          <w:szCs w:val="24"/>
          <w:lang w:val="id-ID"/>
        </w:rPr>
        <w:t xml:space="preserve"> </w:t>
      </w:r>
      <w:r w:rsidR="00B055C5" w:rsidRPr="00966E6E">
        <w:rPr>
          <w:rFonts w:ascii="Bookman Old Style" w:hAnsi="Bookman Old Style"/>
          <w:sz w:val="24"/>
          <w:szCs w:val="24"/>
          <w:lang w:val="id-ID"/>
        </w:rPr>
        <w:t>Kota</w:t>
      </w:r>
      <w:r w:rsidR="00A954D0">
        <w:rPr>
          <w:rFonts w:ascii="Bookman Old Style" w:hAnsi="Bookman Old Style"/>
          <w:sz w:val="24"/>
          <w:szCs w:val="24"/>
          <w:lang w:val="id-ID"/>
        </w:rPr>
        <w:t xml:space="preserve"> </w:t>
      </w:r>
      <w:r w:rsidR="00770F22" w:rsidRPr="00966E6E">
        <w:rPr>
          <w:rFonts w:ascii="Bookman Old Style" w:hAnsi="Bookman Old Style"/>
          <w:sz w:val="24"/>
          <w:szCs w:val="24"/>
          <w:lang w:val="id-ID"/>
        </w:rPr>
        <w:t>Tangerang</w:t>
      </w:r>
      <w:r w:rsidR="00A954D0">
        <w:rPr>
          <w:rFonts w:ascii="Bookman Old Style" w:hAnsi="Bookman Old Style"/>
          <w:sz w:val="24"/>
          <w:szCs w:val="24"/>
          <w:lang w:val="id-ID"/>
        </w:rPr>
        <w:t xml:space="preserve"> </w:t>
      </w:r>
      <w:r w:rsidR="00BE6ED9" w:rsidRPr="00966E6E">
        <w:rPr>
          <w:rFonts w:ascii="Bookman Old Style" w:hAnsi="Bookman Old Style"/>
          <w:sz w:val="24"/>
          <w:szCs w:val="24"/>
          <w:lang w:val="id-ID"/>
        </w:rPr>
        <w:t>tentang</w:t>
      </w:r>
      <w:r w:rsidR="00A954D0">
        <w:rPr>
          <w:rFonts w:ascii="Bookman Old Style" w:hAnsi="Bookman Old Style"/>
          <w:sz w:val="24"/>
          <w:szCs w:val="24"/>
          <w:lang w:val="id-ID"/>
        </w:rPr>
        <w:t xml:space="preserve"> </w:t>
      </w:r>
      <w:r w:rsidR="00BE6ED9" w:rsidRPr="00966E6E">
        <w:rPr>
          <w:rFonts w:ascii="Bookman Old Style" w:hAnsi="Bookman Old Style"/>
          <w:sz w:val="24"/>
          <w:szCs w:val="24"/>
          <w:lang w:val="id-ID"/>
        </w:rPr>
        <w:t>APBD</w:t>
      </w:r>
      <w:r w:rsidR="00A954D0">
        <w:rPr>
          <w:rFonts w:ascii="Bookman Old Style" w:hAnsi="Bookman Old Style"/>
          <w:sz w:val="24"/>
          <w:szCs w:val="24"/>
          <w:lang w:val="id-ID"/>
        </w:rPr>
        <w:t xml:space="preserve"> </w:t>
      </w:r>
      <w:r w:rsidRPr="00966E6E">
        <w:rPr>
          <w:rFonts w:ascii="Bookman Old Style" w:hAnsi="Bookman Old Style"/>
          <w:sz w:val="24"/>
          <w:szCs w:val="24"/>
          <w:lang w:val="id-ID"/>
        </w:rPr>
        <w:t>Tahun</w:t>
      </w:r>
      <w:r w:rsidR="00A954D0">
        <w:rPr>
          <w:rFonts w:ascii="Bookman Old Style" w:hAnsi="Bookman Old Style"/>
          <w:sz w:val="24"/>
          <w:szCs w:val="24"/>
          <w:lang w:val="id-ID"/>
        </w:rPr>
        <w:t xml:space="preserve"> </w:t>
      </w:r>
      <w:r w:rsidRPr="00966E6E">
        <w:rPr>
          <w:rFonts w:ascii="Bookman Old Style" w:hAnsi="Bookman Old Style"/>
          <w:sz w:val="24"/>
          <w:szCs w:val="24"/>
          <w:lang w:val="id-ID"/>
        </w:rPr>
        <w:t>Anggaran</w:t>
      </w:r>
      <w:r w:rsidR="00A954D0">
        <w:rPr>
          <w:rFonts w:ascii="Bookman Old Style" w:hAnsi="Bookman Old Style"/>
          <w:sz w:val="24"/>
          <w:szCs w:val="24"/>
          <w:lang w:val="id-ID"/>
        </w:rPr>
        <w:t xml:space="preserve"> </w:t>
      </w:r>
      <w:r w:rsidRPr="00966E6E">
        <w:rPr>
          <w:rFonts w:ascii="Bookman Old Style" w:hAnsi="Bookman Old Style"/>
          <w:sz w:val="24"/>
          <w:szCs w:val="24"/>
          <w:lang w:val="id-ID"/>
        </w:rPr>
        <w:t>2025,</w:t>
      </w:r>
      <w:r w:rsidR="00A954D0">
        <w:rPr>
          <w:rFonts w:ascii="Bookman Old Style" w:hAnsi="Bookman Old Style"/>
          <w:sz w:val="24"/>
          <w:szCs w:val="24"/>
          <w:lang w:val="id-ID"/>
        </w:rPr>
        <w:t xml:space="preserve"> </w:t>
      </w:r>
      <w:r w:rsidRPr="00966E6E">
        <w:rPr>
          <w:rFonts w:ascii="Bookman Old Style" w:hAnsi="Bookman Old Style"/>
          <w:sz w:val="24"/>
          <w:szCs w:val="24"/>
          <w:lang w:val="id-ID"/>
        </w:rPr>
        <w:t>yang</w:t>
      </w:r>
      <w:r w:rsidR="00A954D0">
        <w:rPr>
          <w:rFonts w:ascii="Bookman Old Style" w:hAnsi="Bookman Old Style"/>
          <w:sz w:val="24"/>
          <w:szCs w:val="24"/>
          <w:lang w:val="id-ID"/>
        </w:rPr>
        <w:t xml:space="preserve"> </w:t>
      </w:r>
      <w:r w:rsidRPr="00966E6E">
        <w:rPr>
          <w:rFonts w:ascii="Bookman Old Style" w:hAnsi="Bookman Old Style"/>
          <w:sz w:val="24"/>
          <w:szCs w:val="24"/>
          <w:lang w:val="id-ID"/>
        </w:rPr>
        <w:t>antara</w:t>
      </w:r>
      <w:r w:rsidR="00A954D0">
        <w:rPr>
          <w:rFonts w:ascii="Bookman Old Style" w:hAnsi="Bookman Old Style"/>
          <w:sz w:val="24"/>
          <w:szCs w:val="24"/>
          <w:lang w:val="id-ID"/>
        </w:rPr>
        <w:t xml:space="preserve"> </w:t>
      </w:r>
      <w:r w:rsidRPr="00966E6E">
        <w:rPr>
          <w:rFonts w:ascii="Bookman Old Style" w:hAnsi="Bookman Old Style"/>
          <w:sz w:val="24"/>
          <w:szCs w:val="24"/>
          <w:lang w:val="id-ID"/>
        </w:rPr>
        <w:t>lain</w:t>
      </w:r>
      <w:r w:rsidR="00A954D0">
        <w:rPr>
          <w:rFonts w:ascii="Bookman Old Style" w:hAnsi="Bookman Old Style"/>
          <w:sz w:val="24"/>
          <w:szCs w:val="24"/>
          <w:lang w:val="id-ID"/>
        </w:rPr>
        <w:t xml:space="preserve"> </w:t>
      </w:r>
      <w:r w:rsidRPr="00966E6E">
        <w:rPr>
          <w:rFonts w:ascii="Bookman Old Style" w:hAnsi="Bookman Old Style"/>
          <w:sz w:val="24"/>
          <w:szCs w:val="24"/>
          <w:lang w:val="id-ID"/>
        </w:rPr>
        <w:t>diuraikan</w:t>
      </w:r>
      <w:r w:rsidR="00A954D0">
        <w:rPr>
          <w:rFonts w:ascii="Bookman Old Style" w:hAnsi="Bookman Old Style"/>
          <w:sz w:val="24"/>
          <w:szCs w:val="24"/>
          <w:lang w:val="id-ID"/>
        </w:rPr>
        <w:t xml:space="preserve"> </w:t>
      </w:r>
      <w:r w:rsidRPr="00966E6E">
        <w:rPr>
          <w:rFonts w:ascii="Bookman Old Style" w:hAnsi="Bookman Old Style"/>
          <w:sz w:val="24"/>
          <w:szCs w:val="24"/>
          <w:lang w:val="id-ID"/>
        </w:rPr>
        <w:t>ke</w:t>
      </w:r>
      <w:r w:rsidR="00A954D0">
        <w:rPr>
          <w:rFonts w:ascii="Bookman Old Style" w:hAnsi="Bookman Old Style"/>
          <w:sz w:val="24"/>
          <w:szCs w:val="24"/>
          <w:lang w:val="id-ID"/>
        </w:rPr>
        <w:t xml:space="preserve"> </w:t>
      </w:r>
      <w:r w:rsidRPr="00966E6E">
        <w:rPr>
          <w:rFonts w:ascii="Bookman Old Style" w:hAnsi="Bookman Old Style"/>
          <w:sz w:val="24"/>
          <w:szCs w:val="24"/>
          <w:lang w:val="id-ID"/>
        </w:rPr>
        <w:t>dalam</w:t>
      </w:r>
      <w:r w:rsidR="00A954D0">
        <w:rPr>
          <w:rFonts w:ascii="Bookman Old Style" w:hAnsi="Bookman Old Style"/>
          <w:sz w:val="24"/>
          <w:szCs w:val="24"/>
          <w:lang w:val="id-ID"/>
        </w:rPr>
        <w:t xml:space="preserve"> </w:t>
      </w:r>
      <w:r w:rsidRPr="00966E6E">
        <w:rPr>
          <w:rFonts w:ascii="Bookman Old Style" w:hAnsi="Bookman Old Style"/>
          <w:sz w:val="24"/>
          <w:szCs w:val="24"/>
          <w:lang w:val="id-ID"/>
        </w:rPr>
        <w:t>sub</w:t>
      </w:r>
      <w:r w:rsidR="00A954D0">
        <w:rPr>
          <w:rFonts w:ascii="Bookman Old Style" w:hAnsi="Bookman Old Style"/>
          <w:sz w:val="24"/>
          <w:szCs w:val="24"/>
          <w:lang w:val="id-ID"/>
        </w:rPr>
        <w:t xml:space="preserve"> </w:t>
      </w:r>
      <w:r w:rsidRPr="00966E6E">
        <w:rPr>
          <w:rFonts w:ascii="Bookman Old Style" w:hAnsi="Bookman Old Style"/>
          <w:sz w:val="24"/>
          <w:szCs w:val="24"/>
          <w:lang w:val="id-ID"/>
        </w:rPr>
        <w:t>rincian</w:t>
      </w:r>
      <w:r w:rsidR="00A954D0">
        <w:rPr>
          <w:rFonts w:ascii="Bookman Old Style" w:hAnsi="Bookman Old Style"/>
          <w:sz w:val="24"/>
          <w:szCs w:val="24"/>
          <w:lang w:val="id-ID"/>
        </w:rPr>
        <w:t xml:space="preserve"> </w:t>
      </w:r>
      <w:r w:rsidRPr="00966E6E">
        <w:rPr>
          <w:rFonts w:ascii="Bookman Old Style" w:hAnsi="Bookman Old Style"/>
          <w:sz w:val="24"/>
          <w:szCs w:val="24"/>
          <w:lang w:val="id-ID"/>
        </w:rPr>
        <w:t>objek</w:t>
      </w:r>
      <w:r w:rsidR="00A954D0">
        <w:rPr>
          <w:rFonts w:ascii="Bookman Old Style" w:hAnsi="Bookman Old Style"/>
          <w:sz w:val="24"/>
          <w:szCs w:val="24"/>
          <w:lang w:val="id-ID"/>
        </w:rPr>
        <w:t xml:space="preserve"> </w:t>
      </w:r>
      <w:r w:rsidRPr="00966E6E">
        <w:rPr>
          <w:rFonts w:ascii="Bookman Old Style" w:hAnsi="Bookman Old Style"/>
          <w:sz w:val="24"/>
          <w:szCs w:val="24"/>
          <w:lang w:val="id-ID"/>
        </w:rPr>
        <w:t>belanja:</w:t>
      </w:r>
    </w:p>
    <w:p w14:paraId="6D8E15FC" w14:textId="60485952" w:rsidR="00797D7D" w:rsidRPr="00966E6E" w:rsidRDefault="00797D7D" w:rsidP="005668F0">
      <w:pPr>
        <w:pStyle w:val="ListParagraph"/>
        <w:numPr>
          <w:ilvl w:val="0"/>
          <w:numId w:val="127"/>
        </w:numPr>
        <w:spacing w:before="60" w:after="0" w:line="276" w:lineRule="auto"/>
        <w:ind w:left="3686" w:hanging="425"/>
        <w:contextualSpacing w:val="0"/>
        <w:jc w:val="both"/>
        <w:rPr>
          <w:rFonts w:ascii="Bookman Old Style" w:hAnsi="Bookman Old Style"/>
          <w:sz w:val="24"/>
          <w:szCs w:val="24"/>
        </w:rPr>
      </w:pPr>
      <w:r w:rsidRPr="00966E6E">
        <w:rPr>
          <w:rFonts w:ascii="Bookman Old Style" w:hAnsi="Bookman Old Style"/>
          <w:sz w:val="24"/>
          <w:szCs w:val="24"/>
        </w:rPr>
        <w:t>Belanja</w:t>
      </w:r>
      <w:r w:rsidR="00A954D0">
        <w:rPr>
          <w:rFonts w:ascii="Bookman Old Style" w:hAnsi="Bookman Old Style"/>
          <w:sz w:val="24"/>
          <w:szCs w:val="24"/>
        </w:rPr>
        <w:t xml:space="preserve"> </w:t>
      </w:r>
      <w:r w:rsidRPr="00966E6E">
        <w:rPr>
          <w:rFonts w:ascii="Bookman Old Style" w:hAnsi="Bookman Old Style"/>
          <w:sz w:val="24"/>
          <w:szCs w:val="24"/>
        </w:rPr>
        <w:t>Jasa</w:t>
      </w:r>
      <w:r w:rsidR="00A954D0">
        <w:rPr>
          <w:rFonts w:ascii="Bookman Old Style" w:hAnsi="Bookman Old Style"/>
          <w:sz w:val="24"/>
          <w:szCs w:val="24"/>
        </w:rPr>
        <w:t xml:space="preserve"> </w:t>
      </w:r>
      <w:r w:rsidRPr="00966E6E">
        <w:rPr>
          <w:rFonts w:ascii="Bookman Old Style" w:hAnsi="Bookman Old Style"/>
          <w:sz w:val="24"/>
          <w:szCs w:val="24"/>
        </w:rPr>
        <w:t>Konsultansi</w:t>
      </w:r>
      <w:r w:rsidR="00A954D0">
        <w:rPr>
          <w:rFonts w:ascii="Bookman Old Style" w:hAnsi="Bookman Old Style"/>
          <w:sz w:val="24"/>
          <w:szCs w:val="24"/>
        </w:rPr>
        <w:t xml:space="preserve"> </w:t>
      </w:r>
      <w:r w:rsidRPr="00966E6E">
        <w:rPr>
          <w:rFonts w:ascii="Bookman Old Style" w:hAnsi="Bookman Old Style"/>
          <w:sz w:val="24"/>
          <w:szCs w:val="24"/>
        </w:rPr>
        <w:t>Perencanaan</w:t>
      </w:r>
      <w:r w:rsidR="00A954D0">
        <w:rPr>
          <w:rFonts w:ascii="Bookman Old Style" w:hAnsi="Bookman Old Style"/>
          <w:sz w:val="24"/>
          <w:szCs w:val="24"/>
        </w:rPr>
        <w:t xml:space="preserve"> </w:t>
      </w:r>
      <w:r w:rsidRPr="00966E6E">
        <w:rPr>
          <w:rFonts w:ascii="Bookman Old Style" w:hAnsi="Bookman Old Style"/>
          <w:sz w:val="24"/>
          <w:szCs w:val="24"/>
        </w:rPr>
        <w:t>Arsitektur-Jasa</w:t>
      </w:r>
      <w:r w:rsidR="00A954D0">
        <w:rPr>
          <w:rFonts w:ascii="Bookman Old Style" w:hAnsi="Bookman Old Style"/>
          <w:sz w:val="24"/>
          <w:szCs w:val="24"/>
        </w:rPr>
        <w:t xml:space="preserve"> </w:t>
      </w:r>
      <w:r w:rsidRPr="00966E6E">
        <w:rPr>
          <w:rFonts w:ascii="Bookman Old Style" w:hAnsi="Bookman Old Style"/>
          <w:sz w:val="24"/>
          <w:szCs w:val="24"/>
        </w:rPr>
        <w:t>Desain</w:t>
      </w:r>
      <w:r w:rsidR="00A954D0">
        <w:rPr>
          <w:rFonts w:ascii="Bookman Old Style" w:hAnsi="Bookman Old Style"/>
          <w:sz w:val="24"/>
          <w:szCs w:val="24"/>
        </w:rPr>
        <w:t xml:space="preserve"> </w:t>
      </w:r>
      <w:r w:rsidRPr="00966E6E">
        <w:rPr>
          <w:rFonts w:ascii="Bookman Old Style" w:hAnsi="Bookman Old Style"/>
          <w:sz w:val="24"/>
          <w:szCs w:val="24"/>
        </w:rPr>
        <w:t>Arsitektural</w:t>
      </w:r>
      <w:r w:rsidR="00A954D0">
        <w:rPr>
          <w:rFonts w:ascii="Bookman Old Style" w:hAnsi="Bookman Old Style"/>
          <w:sz w:val="24"/>
          <w:szCs w:val="24"/>
        </w:rPr>
        <w:t xml:space="preserve"> </w:t>
      </w:r>
      <w:r w:rsidRPr="00966E6E">
        <w:rPr>
          <w:rFonts w:ascii="Bookman Old Style" w:hAnsi="Bookman Old Style"/>
          <w:sz w:val="24"/>
          <w:szCs w:val="24"/>
        </w:rPr>
        <w:t>Rp3.159.639.000,00</w:t>
      </w:r>
      <w:r w:rsidR="00735D93">
        <w:rPr>
          <w:rFonts w:ascii="Bookman Old Style" w:hAnsi="Bookman Old Style"/>
          <w:sz w:val="24"/>
          <w:szCs w:val="24"/>
        </w:rPr>
        <w:t>;</w:t>
      </w:r>
    </w:p>
    <w:p w14:paraId="7EEE5084" w14:textId="68269146" w:rsidR="00797D7D" w:rsidRPr="00966E6E" w:rsidRDefault="00797D7D" w:rsidP="005668F0">
      <w:pPr>
        <w:pStyle w:val="ListParagraph"/>
        <w:numPr>
          <w:ilvl w:val="0"/>
          <w:numId w:val="127"/>
        </w:numPr>
        <w:spacing w:before="60" w:after="0" w:line="276" w:lineRule="auto"/>
        <w:ind w:left="3686" w:hanging="425"/>
        <w:contextualSpacing w:val="0"/>
        <w:jc w:val="both"/>
        <w:rPr>
          <w:rFonts w:ascii="Bookman Old Style" w:hAnsi="Bookman Old Style"/>
          <w:sz w:val="24"/>
          <w:szCs w:val="24"/>
        </w:rPr>
      </w:pPr>
      <w:r w:rsidRPr="00966E6E">
        <w:rPr>
          <w:rFonts w:ascii="Bookman Old Style" w:hAnsi="Bookman Old Style"/>
          <w:sz w:val="24"/>
          <w:szCs w:val="24"/>
        </w:rPr>
        <w:t>Belanja</w:t>
      </w:r>
      <w:r w:rsidR="00A954D0">
        <w:rPr>
          <w:rFonts w:ascii="Bookman Old Style" w:hAnsi="Bookman Old Style"/>
          <w:sz w:val="24"/>
          <w:szCs w:val="24"/>
        </w:rPr>
        <w:t xml:space="preserve"> </w:t>
      </w:r>
      <w:r w:rsidRPr="00966E6E">
        <w:rPr>
          <w:rFonts w:ascii="Bookman Old Style" w:hAnsi="Bookman Old Style"/>
          <w:sz w:val="24"/>
          <w:szCs w:val="24"/>
        </w:rPr>
        <w:t>Jasa</w:t>
      </w:r>
      <w:r w:rsidR="00A954D0">
        <w:rPr>
          <w:rFonts w:ascii="Bookman Old Style" w:hAnsi="Bookman Old Style"/>
          <w:sz w:val="24"/>
          <w:szCs w:val="24"/>
        </w:rPr>
        <w:t xml:space="preserve"> </w:t>
      </w:r>
      <w:r w:rsidRPr="00966E6E">
        <w:rPr>
          <w:rFonts w:ascii="Bookman Old Style" w:hAnsi="Bookman Old Style"/>
          <w:sz w:val="24"/>
          <w:szCs w:val="24"/>
        </w:rPr>
        <w:t>Konsultansi</w:t>
      </w:r>
      <w:r w:rsidR="00A954D0">
        <w:rPr>
          <w:rFonts w:ascii="Bookman Old Style" w:hAnsi="Bookman Old Style"/>
          <w:sz w:val="24"/>
          <w:szCs w:val="24"/>
        </w:rPr>
        <w:t xml:space="preserve"> </w:t>
      </w:r>
      <w:r w:rsidRPr="00966E6E">
        <w:rPr>
          <w:rFonts w:ascii="Bookman Old Style" w:hAnsi="Bookman Old Style"/>
          <w:sz w:val="24"/>
          <w:szCs w:val="24"/>
        </w:rPr>
        <w:t>Perencanaan</w:t>
      </w:r>
      <w:r w:rsidR="00A954D0">
        <w:rPr>
          <w:rFonts w:ascii="Bookman Old Style" w:hAnsi="Bookman Old Style"/>
          <w:sz w:val="24"/>
          <w:szCs w:val="24"/>
        </w:rPr>
        <w:t xml:space="preserve"> </w:t>
      </w:r>
      <w:r w:rsidRPr="00966E6E">
        <w:rPr>
          <w:rFonts w:ascii="Bookman Old Style" w:hAnsi="Bookman Old Style"/>
          <w:sz w:val="24"/>
          <w:szCs w:val="24"/>
        </w:rPr>
        <w:t>Rekayasa-Jasa</w:t>
      </w:r>
      <w:r w:rsidR="00A954D0">
        <w:rPr>
          <w:rFonts w:ascii="Bookman Old Style" w:hAnsi="Bookman Old Style"/>
          <w:sz w:val="24"/>
          <w:szCs w:val="24"/>
        </w:rPr>
        <w:t xml:space="preserve"> </w:t>
      </w:r>
      <w:r w:rsidRPr="00966E6E">
        <w:rPr>
          <w:rFonts w:ascii="Bookman Old Style" w:hAnsi="Bookman Old Style"/>
          <w:sz w:val="24"/>
          <w:szCs w:val="24"/>
        </w:rPr>
        <w:t>Desain</w:t>
      </w:r>
      <w:r w:rsidR="00A954D0">
        <w:rPr>
          <w:rFonts w:ascii="Bookman Old Style" w:hAnsi="Bookman Old Style"/>
          <w:sz w:val="24"/>
          <w:szCs w:val="24"/>
        </w:rPr>
        <w:t xml:space="preserve"> </w:t>
      </w:r>
      <w:r w:rsidRPr="00966E6E">
        <w:rPr>
          <w:rFonts w:ascii="Bookman Old Style" w:hAnsi="Bookman Old Style"/>
          <w:sz w:val="24"/>
          <w:szCs w:val="24"/>
        </w:rPr>
        <w:t>Rekayasa</w:t>
      </w:r>
      <w:r w:rsidR="00A954D0">
        <w:rPr>
          <w:rFonts w:ascii="Bookman Old Style" w:hAnsi="Bookman Old Style"/>
          <w:sz w:val="24"/>
          <w:szCs w:val="24"/>
        </w:rPr>
        <w:t xml:space="preserve"> </w:t>
      </w:r>
      <w:r w:rsidRPr="00966E6E">
        <w:rPr>
          <w:rFonts w:ascii="Bookman Old Style" w:hAnsi="Bookman Old Style"/>
          <w:sz w:val="24"/>
          <w:szCs w:val="24"/>
        </w:rPr>
        <w:t>untuk</w:t>
      </w:r>
      <w:r w:rsidR="00A954D0">
        <w:rPr>
          <w:rFonts w:ascii="Bookman Old Style" w:hAnsi="Bookman Old Style"/>
          <w:sz w:val="24"/>
          <w:szCs w:val="24"/>
        </w:rPr>
        <w:t xml:space="preserve"> </w:t>
      </w:r>
      <w:r w:rsidRPr="00966E6E">
        <w:rPr>
          <w:rFonts w:ascii="Bookman Old Style" w:hAnsi="Bookman Old Style"/>
          <w:sz w:val="24"/>
          <w:szCs w:val="24"/>
        </w:rPr>
        <w:t>Pekerjaan</w:t>
      </w:r>
      <w:r w:rsidR="00A954D0">
        <w:rPr>
          <w:rFonts w:ascii="Bookman Old Style" w:hAnsi="Bookman Old Style"/>
          <w:sz w:val="24"/>
          <w:szCs w:val="24"/>
        </w:rPr>
        <w:t xml:space="preserve"> </w:t>
      </w:r>
      <w:r w:rsidRPr="00966E6E">
        <w:rPr>
          <w:rFonts w:ascii="Bookman Old Style" w:hAnsi="Bookman Old Style"/>
          <w:sz w:val="24"/>
          <w:szCs w:val="24"/>
        </w:rPr>
        <w:t>Teknik</w:t>
      </w:r>
      <w:r w:rsidR="00A954D0">
        <w:rPr>
          <w:rFonts w:ascii="Bookman Old Style" w:hAnsi="Bookman Old Style"/>
          <w:sz w:val="24"/>
          <w:szCs w:val="24"/>
        </w:rPr>
        <w:t xml:space="preserve"> </w:t>
      </w:r>
      <w:r w:rsidRPr="00966E6E">
        <w:rPr>
          <w:rFonts w:ascii="Bookman Old Style" w:hAnsi="Bookman Old Style"/>
          <w:sz w:val="24"/>
          <w:szCs w:val="24"/>
        </w:rPr>
        <w:t>Sipil</w:t>
      </w:r>
      <w:r w:rsidR="00A954D0">
        <w:rPr>
          <w:rFonts w:ascii="Bookman Old Style" w:hAnsi="Bookman Old Style"/>
          <w:sz w:val="24"/>
          <w:szCs w:val="24"/>
        </w:rPr>
        <w:t xml:space="preserve"> </w:t>
      </w:r>
      <w:r w:rsidRPr="00966E6E">
        <w:rPr>
          <w:rFonts w:ascii="Bookman Old Style" w:hAnsi="Bookman Old Style"/>
          <w:sz w:val="24"/>
          <w:szCs w:val="24"/>
        </w:rPr>
        <w:t>Air</w:t>
      </w:r>
      <w:r w:rsidR="00A954D0">
        <w:rPr>
          <w:rFonts w:ascii="Bookman Old Style" w:hAnsi="Bookman Old Style"/>
          <w:sz w:val="24"/>
          <w:szCs w:val="24"/>
        </w:rPr>
        <w:t xml:space="preserve"> </w:t>
      </w:r>
      <w:r w:rsidRPr="00966E6E">
        <w:rPr>
          <w:rFonts w:ascii="Bookman Old Style" w:hAnsi="Bookman Old Style"/>
          <w:sz w:val="24"/>
          <w:szCs w:val="24"/>
        </w:rPr>
        <w:t>Rp2.203.441.700,00</w:t>
      </w:r>
      <w:r w:rsidR="00B6606B" w:rsidRPr="00966E6E">
        <w:rPr>
          <w:rFonts w:ascii="Bookman Old Style" w:hAnsi="Bookman Old Style"/>
          <w:sz w:val="24"/>
          <w:szCs w:val="24"/>
        </w:rPr>
        <w:t>;</w:t>
      </w:r>
    </w:p>
    <w:p w14:paraId="57617BDF" w14:textId="3F04B6B8" w:rsidR="003B7FE4" w:rsidRPr="00966E6E" w:rsidRDefault="00797D7D" w:rsidP="005668F0">
      <w:pPr>
        <w:pStyle w:val="ListParagraph"/>
        <w:numPr>
          <w:ilvl w:val="0"/>
          <w:numId w:val="127"/>
        </w:numPr>
        <w:spacing w:before="60" w:after="0" w:line="276" w:lineRule="auto"/>
        <w:ind w:left="3686" w:hanging="425"/>
        <w:contextualSpacing w:val="0"/>
        <w:jc w:val="both"/>
        <w:rPr>
          <w:rFonts w:ascii="Bookman Old Style" w:hAnsi="Bookman Old Style"/>
          <w:sz w:val="24"/>
          <w:szCs w:val="24"/>
        </w:rPr>
      </w:pPr>
      <w:r w:rsidRPr="00966E6E">
        <w:rPr>
          <w:rFonts w:ascii="Bookman Old Style" w:hAnsi="Bookman Old Style"/>
          <w:sz w:val="24"/>
          <w:szCs w:val="24"/>
        </w:rPr>
        <w:t>Belanja</w:t>
      </w:r>
      <w:r w:rsidR="00A954D0">
        <w:rPr>
          <w:rFonts w:ascii="Bookman Old Style" w:hAnsi="Bookman Old Style"/>
          <w:sz w:val="24"/>
          <w:szCs w:val="24"/>
        </w:rPr>
        <w:t xml:space="preserve"> </w:t>
      </w:r>
      <w:r w:rsidRPr="00966E6E">
        <w:rPr>
          <w:rFonts w:ascii="Bookman Old Style" w:hAnsi="Bookman Old Style"/>
          <w:sz w:val="24"/>
          <w:szCs w:val="24"/>
        </w:rPr>
        <w:t>Jasa</w:t>
      </w:r>
      <w:r w:rsidR="00A954D0">
        <w:rPr>
          <w:rFonts w:ascii="Bookman Old Style" w:hAnsi="Bookman Old Style"/>
          <w:sz w:val="24"/>
          <w:szCs w:val="24"/>
        </w:rPr>
        <w:t xml:space="preserve"> </w:t>
      </w:r>
      <w:r w:rsidRPr="00966E6E">
        <w:rPr>
          <w:rFonts w:ascii="Bookman Old Style" w:hAnsi="Bookman Old Style"/>
          <w:sz w:val="24"/>
          <w:szCs w:val="24"/>
        </w:rPr>
        <w:t>Konsultansi</w:t>
      </w:r>
      <w:r w:rsidR="00A954D0">
        <w:rPr>
          <w:rFonts w:ascii="Bookman Old Style" w:hAnsi="Bookman Old Style"/>
          <w:sz w:val="24"/>
          <w:szCs w:val="24"/>
        </w:rPr>
        <w:t xml:space="preserve"> </w:t>
      </w:r>
      <w:r w:rsidRPr="00966E6E">
        <w:rPr>
          <w:rFonts w:ascii="Bookman Old Style" w:hAnsi="Bookman Old Style"/>
          <w:sz w:val="24"/>
          <w:szCs w:val="24"/>
        </w:rPr>
        <w:t>Perencanaan</w:t>
      </w:r>
      <w:r w:rsidR="00A954D0">
        <w:rPr>
          <w:rFonts w:ascii="Bookman Old Style" w:hAnsi="Bookman Old Style"/>
          <w:sz w:val="24"/>
          <w:szCs w:val="24"/>
        </w:rPr>
        <w:t xml:space="preserve"> </w:t>
      </w:r>
      <w:r w:rsidRPr="00966E6E">
        <w:rPr>
          <w:rFonts w:ascii="Bookman Old Style" w:hAnsi="Bookman Old Style"/>
          <w:sz w:val="24"/>
          <w:szCs w:val="24"/>
        </w:rPr>
        <w:t>Rekayasa-Jasa</w:t>
      </w:r>
      <w:r w:rsidR="00A954D0">
        <w:rPr>
          <w:rFonts w:ascii="Bookman Old Style" w:hAnsi="Bookman Old Style"/>
          <w:sz w:val="24"/>
          <w:szCs w:val="24"/>
        </w:rPr>
        <w:t xml:space="preserve"> </w:t>
      </w:r>
      <w:r w:rsidRPr="00966E6E">
        <w:rPr>
          <w:rFonts w:ascii="Bookman Old Style" w:hAnsi="Bookman Old Style"/>
          <w:sz w:val="24"/>
          <w:szCs w:val="24"/>
        </w:rPr>
        <w:t>Desain</w:t>
      </w:r>
      <w:r w:rsidR="00A954D0">
        <w:rPr>
          <w:rFonts w:ascii="Bookman Old Style" w:hAnsi="Bookman Old Style"/>
          <w:sz w:val="24"/>
          <w:szCs w:val="24"/>
        </w:rPr>
        <w:t xml:space="preserve"> </w:t>
      </w:r>
      <w:r w:rsidRPr="00966E6E">
        <w:rPr>
          <w:rFonts w:ascii="Bookman Old Style" w:hAnsi="Bookman Old Style"/>
          <w:sz w:val="24"/>
          <w:szCs w:val="24"/>
        </w:rPr>
        <w:t>Rekayasa</w:t>
      </w:r>
      <w:r w:rsidR="00A954D0">
        <w:rPr>
          <w:rFonts w:ascii="Bookman Old Style" w:hAnsi="Bookman Old Style"/>
          <w:sz w:val="24"/>
          <w:szCs w:val="24"/>
        </w:rPr>
        <w:t xml:space="preserve"> </w:t>
      </w:r>
      <w:r w:rsidRPr="00966E6E">
        <w:rPr>
          <w:rFonts w:ascii="Bookman Old Style" w:hAnsi="Bookman Old Style"/>
          <w:sz w:val="24"/>
          <w:szCs w:val="24"/>
        </w:rPr>
        <w:t>untuk</w:t>
      </w:r>
      <w:r w:rsidR="00A954D0">
        <w:rPr>
          <w:rFonts w:ascii="Bookman Old Style" w:hAnsi="Bookman Old Style"/>
          <w:sz w:val="24"/>
          <w:szCs w:val="24"/>
        </w:rPr>
        <w:t xml:space="preserve"> </w:t>
      </w:r>
      <w:r w:rsidRPr="00966E6E">
        <w:rPr>
          <w:rFonts w:ascii="Bookman Old Style" w:hAnsi="Bookman Old Style"/>
          <w:sz w:val="24"/>
          <w:szCs w:val="24"/>
        </w:rPr>
        <w:lastRenderedPageBreak/>
        <w:t>Pekerjaan</w:t>
      </w:r>
      <w:r w:rsidR="00A954D0">
        <w:rPr>
          <w:rFonts w:ascii="Bookman Old Style" w:hAnsi="Bookman Old Style"/>
          <w:sz w:val="24"/>
          <w:szCs w:val="24"/>
        </w:rPr>
        <w:t xml:space="preserve"> </w:t>
      </w:r>
      <w:r w:rsidRPr="00966E6E">
        <w:rPr>
          <w:rFonts w:ascii="Bookman Old Style" w:hAnsi="Bookman Old Style"/>
          <w:sz w:val="24"/>
          <w:szCs w:val="24"/>
        </w:rPr>
        <w:t>Teknik</w:t>
      </w:r>
      <w:r w:rsidR="00A954D0">
        <w:rPr>
          <w:rFonts w:ascii="Bookman Old Style" w:hAnsi="Bookman Old Style"/>
          <w:sz w:val="24"/>
          <w:szCs w:val="24"/>
        </w:rPr>
        <w:t xml:space="preserve"> </w:t>
      </w:r>
      <w:r w:rsidRPr="00966E6E">
        <w:rPr>
          <w:rFonts w:ascii="Bookman Old Style" w:hAnsi="Bookman Old Style"/>
          <w:sz w:val="24"/>
          <w:szCs w:val="24"/>
        </w:rPr>
        <w:t>Sipil</w:t>
      </w:r>
      <w:r w:rsidR="00A954D0">
        <w:rPr>
          <w:rFonts w:ascii="Bookman Old Style" w:hAnsi="Bookman Old Style"/>
          <w:sz w:val="24"/>
          <w:szCs w:val="24"/>
        </w:rPr>
        <w:t xml:space="preserve"> </w:t>
      </w:r>
      <w:r w:rsidRPr="00966E6E">
        <w:rPr>
          <w:rFonts w:ascii="Bookman Old Style" w:hAnsi="Bookman Old Style"/>
          <w:sz w:val="24"/>
          <w:szCs w:val="24"/>
        </w:rPr>
        <w:t>Transportasi</w:t>
      </w:r>
      <w:r w:rsidR="00A954D0">
        <w:rPr>
          <w:rFonts w:ascii="Bookman Old Style" w:hAnsi="Bookman Old Style"/>
          <w:sz w:val="24"/>
          <w:szCs w:val="24"/>
        </w:rPr>
        <w:t xml:space="preserve"> </w:t>
      </w:r>
      <w:r w:rsidRPr="00966E6E">
        <w:rPr>
          <w:rFonts w:ascii="Bookman Old Style" w:hAnsi="Bookman Old Style"/>
          <w:sz w:val="24"/>
          <w:szCs w:val="24"/>
        </w:rPr>
        <w:t>Rp2.386.479.900,00</w:t>
      </w:r>
      <w:r w:rsidR="003B7FE4" w:rsidRPr="00966E6E">
        <w:rPr>
          <w:rFonts w:ascii="Bookman Old Style" w:hAnsi="Bookman Old Style"/>
          <w:sz w:val="24"/>
          <w:szCs w:val="24"/>
          <w:lang w:val="id-ID"/>
        </w:rPr>
        <w:t>;</w:t>
      </w:r>
    </w:p>
    <w:p w14:paraId="51DA04A2" w14:textId="1F3DF417" w:rsidR="003B7FE4" w:rsidRPr="00966E6E" w:rsidRDefault="00797D7D" w:rsidP="005668F0">
      <w:pPr>
        <w:pStyle w:val="ListParagraph"/>
        <w:numPr>
          <w:ilvl w:val="0"/>
          <w:numId w:val="127"/>
        </w:numPr>
        <w:spacing w:before="60" w:after="0" w:line="276" w:lineRule="auto"/>
        <w:ind w:left="3686" w:hanging="425"/>
        <w:contextualSpacing w:val="0"/>
        <w:jc w:val="both"/>
        <w:rPr>
          <w:rFonts w:ascii="Bookman Old Style" w:hAnsi="Bookman Old Style"/>
          <w:sz w:val="24"/>
          <w:szCs w:val="24"/>
        </w:rPr>
      </w:pPr>
      <w:r w:rsidRPr="00966E6E">
        <w:rPr>
          <w:rFonts w:ascii="Bookman Old Style" w:hAnsi="Bookman Old Style"/>
          <w:sz w:val="24"/>
          <w:szCs w:val="24"/>
        </w:rPr>
        <w:t>Belanja</w:t>
      </w:r>
      <w:r w:rsidR="00A954D0">
        <w:rPr>
          <w:rFonts w:ascii="Bookman Old Style" w:hAnsi="Bookman Old Style"/>
          <w:sz w:val="24"/>
          <w:szCs w:val="24"/>
        </w:rPr>
        <w:t xml:space="preserve"> </w:t>
      </w:r>
      <w:r w:rsidRPr="00966E6E">
        <w:rPr>
          <w:rFonts w:ascii="Bookman Old Style" w:hAnsi="Bookman Old Style"/>
          <w:sz w:val="24"/>
          <w:szCs w:val="24"/>
        </w:rPr>
        <w:t>Jasa</w:t>
      </w:r>
      <w:r w:rsidR="00A954D0">
        <w:rPr>
          <w:rFonts w:ascii="Bookman Old Style" w:hAnsi="Bookman Old Style"/>
          <w:sz w:val="24"/>
          <w:szCs w:val="24"/>
        </w:rPr>
        <w:t xml:space="preserve"> </w:t>
      </w:r>
      <w:r w:rsidRPr="00966E6E">
        <w:rPr>
          <w:rFonts w:ascii="Bookman Old Style" w:hAnsi="Bookman Old Style"/>
          <w:sz w:val="24"/>
          <w:szCs w:val="24"/>
        </w:rPr>
        <w:t>Konsultansi</w:t>
      </w:r>
      <w:r w:rsidR="00A954D0">
        <w:rPr>
          <w:rFonts w:ascii="Bookman Old Style" w:hAnsi="Bookman Old Style"/>
          <w:sz w:val="24"/>
          <w:szCs w:val="24"/>
        </w:rPr>
        <w:t xml:space="preserve"> </w:t>
      </w:r>
      <w:r w:rsidRPr="00966E6E">
        <w:rPr>
          <w:rFonts w:ascii="Bookman Old Style" w:hAnsi="Bookman Old Style"/>
          <w:sz w:val="24"/>
          <w:szCs w:val="24"/>
        </w:rPr>
        <w:t>Perencanaan</w:t>
      </w:r>
      <w:r w:rsidR="00A954D0">
        <w:rPr>
          <w:rFonts w:ascii="Bookman Old Style" w:hAnsi="Bookman Old Style"/>
          <w:sz w:val="24"/>
          <w:szCs w:val="24"/>
        </w:rPr>
        <w:t xml:space="preserve"> </w:t>
      </w:r>
      <w:r w:rsidRPr="00966E6E">
        <w:rPr>
          <w:rFonts w:ascii="Bookman Old Style" w:hAnsi="Bookman Old Style"/>
          <w:sz w:val="24"/>
          <w:szCs w:val="24"/>
        </w:rPr>
        <w:t>Penataan</w:t>
      </w:r>
      <w:r w:rsidR="00A954D0">
        <w:rPr>
          <w:rFonts w:ascii="Bookman Old Style" w:hAnsi="Bookman Old Style"/>
          <w:sz w:val="24"/>
          <w:szCs w:val="24"/>
        </w:rPr>
        <w:t xml:space="preserve"> </w:t>
      </w:r>
      <w:r w:rsidRPr="00966E6E">
        <w:rPr>
          <w:rFonts w:ascii="Bookman Old Style" w:hAnsi="Bookman Old Style"/>
          <w:sz w:val="24"/>
          <w:szCs w:val="24"/>
        </w:rPr>
        <w:t>Ruang-Jasa</w:t>
      </w:r>
      <w:r w:rsidR="00A954D0">
        <w:rPr>
          <w:rFonts w:ascii="Bookman Old Style" w:hAnsi="Bookman Old Style"/>
          <w:sz w:val="24"/>
          <w:szCs w:val="24"/>
        </w:rPr>
        <w:t xml:space="preserve"> </w:t>
      </w:r>
      <w:r w:rsidRPr="00966E6E">
        <w:rPr>
          <w:rFonts w:ascii="Bookman Old Style" w:hAnsi="Bookman Old Style"/>
          <w:sz w:val="24"/>
          <w:szCs w:val="24"/>
        </w:rPr>
        <w:t>Perencanaan</w:t>
      </w:r>
      <w:r w:rsidR="00A954D0">
        <w:rPr>
          <w:rFonts w:ascii="Bookman Old Style" w:hAnsi="Bookman Old Style"/>
          <w:sz w:val="24"/>
          <w:szCs w:val="24"/>
        </w:rPr>
        <w:t xml:space="preserve"> </w:t>
      </w:r>
      <w:r w:rsidRPr="00966E6E">
        <w:rPr>
          <w:rFonts w:ascii="Bookman Old Style" w:hAnsi="Bookman Old Style"/>
          <w:sz w:val="24"/>
          <w:szCs w:val="24"/>
        </w:rPr>
        <w:t>dan</w:t>
      </w:r>
      <w:r w:rsidR="00A954D0">
        <w:rPr>
          <w:rFonts w:ascii="Bookman Old Style" w:hAnsi="Bookman Old Style"/>
          <w:sz w:val="24"/>
          <w:szCs w:val="24"/>
        </w:rPr>
        <w:t xml:space="preserve"> </w:t>
      </w:r>
      <w:r w:rsidRPr="00966E6E">
        <w:rPr>
          <w:rFonts w:ascii="Bookman Old Style" w:hAnsi="Bookman Old Style"/>
          <w:sz w:val="24"/>
          <w:szCs w:val="24"/>
        </w:rPr>
        <w:t>Perancangan</w:t>
      </w:r>
      <w:r w:rsidR="00A954D0">
        <w:rPr>
          <w:rFonts w:ascii="Bookman Old Style" w:hAnsi="Bookman Old Style"/>
          <w:sz w:val="24"/>
          <w:szCs w:val="24"/>
        </w:rPr>
        <w:t xml:space="preserve"> </w:t>
      </w:r>
      <w:r w:rsidRPr="00966E6E">
        <w:rPr>
          <w:rFonts w:ascii="Bookman Old Style" w:hAnsi="Bookman Old Style"/>
          <w:sz w:val="24"/>
          <w:szCs w:val="24"/>
        </w:rPr>
        <w:t>Lingkungan</w:t>
      </w:r>
      <w:r w:rsidR="00A954D0">
        <w:rPr>
          <w:rFonts w:ascii="Bookman Old Style" w:hAnsi="Bookman Old Style"/>
          <w:sz w:val="24"/>
          <w:szCs w:val="24"/>
        </w:rPr>
        <w:t xml:space="preserve"> </w:t>
      </w:r>
      <w:r w:rsidRPr="00966E6E">
        <w:rPr>
          <w:rFonts w:ascii="Bookman Old Style" w:hAnsi="Bookman Old Style"/>
          <w:sz w:val="24"/>
          <w:szCs w:val="24"/>
        </w:rPr>
        <w:t>Bangunan</w:t>
      </w:r>
      <w:r w:rsidR="00A954D0">
        <w:rPr>
          <w:rFonts w:ascii="Bookman Old Style" w:hAnsi="Bookman Old Style"/>
          <w:sz w:val="24"/>
          <w:szCs w:val="24"/>
        </w:rPr>
        <w:t xml:space="preserve"> </w:t>
      </w:r>
      <w:r w:rsidRPr="00966E6E">
        <w:rPr>
          <w:rFonts w:ascii="Bookman Old Style" w:hAnsi="Bookman Old Style"/>
          <w:sz w:val="24"/>
          <w:szCs w:val="24"/>
        </w:rPr>
        <w:t>dan</w:t>
      </w:r>
      <w:r w:rsidR="00A954D0">
        <w:rPr>
          <w:rFonts w:ascii="Bookman Old Style" w:hAnsi="Bookman Old Style"/>
          <w:sz w:val="24"/>
          <w:szCs w:val="24"/>
        </w:rPr>
        <w:t xml:space="preserve"> </w:t>
      </w:r>
      <w:r w:rsidRPr="00966E6E">
        <w:rPr>
          <w:rFonts w:ascii="Bookman Old Style" w:hAnsi="Bookman Old Style"/>
          <w:sz w:val="24"/>
          <w:szCs w:val="24"/>
        </w:rPr>
        <w:t>Landscape</w:t>
      </w:r>
      <w:r w:rsidR="00A954D0">
        <w:rPr>
          <w:rFonts w:ascii="Bookman Old Style" w:hAnsi="Bookman Old Style"/>
          <w:sz w:val="24"/>
          <w:szCs w:val="24"/>
        </w:rPr>
        <w:t xml:space="preserve"> </w:t>
      </w:r>
      <w:r w:rsidRPr="00966E6E">
        <w:rPr>
          <w:rFonts w:ascii="Bookman Old Style" w:hAnsi="Bookman Old Style"/>
          <w:sz w:val="24"/>
          <w:szCs w:val="24"/>
        </w:rPr>
        <w:t>Rp2.267.635.000,00</w:t>
      </w:r>
      <w:r w:rsidR="003B7FE4" w:rsidRPr="00966E6E">
        <w:rPr>
          <w:rFonts w:ascii="Bookman Old Style" w:hAnsi="Bookman Old Style"/>
          <w:sz w:val="24"/>
          <w:szCs w:val="24"/>
          <w:lang w:val="id-ID"/>
        </w:rPr>
        <w:t>;</w:t>
      </w:r>
    </w:p>
    <w:p w14:paraId="30BEB08E" w14:textId="2729B154" w:rsidR="00797D7D" w:rsidRPr="00966E6E" w:rsidRDefault="00797D7D" w:rsidP="005668F0">
      <w:pPr>
        <w:pStyle w:val="ListParagraph"/>
        <w:numPr>
          <w:ilvl w:val="0"/>
          <w:numId w:val="127"/>
        </w:numPr>
        <w:spacing w:before="60" w:after="0" w:line="276" w:lineRule="auto"/>
        <w:ind w:left="3686" w:hanging="425"/>
        <w:contextualSpacing w:val="0"/>
        <w:jc w:val="both"/>
        <w:rPr>
          <w:rFonts w:ascii="Bookman Old Style" w:hAnsi="Bookman Old Style"/>
          <w:sz w:val="24"/>
          <w:szCs w:val="24"/>
        </w:rPr>
      </w:pPr>
      <w:r w:rsidRPr="00966E6E">
        <w:rPr>
          <w:rFonts w:ascii="Bookman Old Style" w:hAnsi="Bookman Old Style"/>
          <w:sz w:val="24"/>
          <w:szCs w:val="24"/>
        </w:rPr>
        <w:t>Belanja</w:t>
      </w:r>
      <w:r w:rsidR="00A954D0">
        <w:rPr>
          <w:rFonts w:ascii="Bookman Old Style" w:hAnsi="Bookman Old Style"/>
          <w:sz w:val="24"/>
          <w:szCs w:val="24"/>
        </w:rPr>
        <w:t xml:space="preserve"> </w:t>
      </w:r>
      <w:r w:rsidRPr="00966E6E">
        <w:rPr>
          <w:rFonts w:ascii="Bookman Old Style" w:hAnsi="Bookman Old Style"/>
          <w:sz w:val="24"/>
          <w:szCs w:val="24"/>
        </w:rPr>
        <w:t>Jasa</w:t>
      </w:r>
      <w:r w:rsidR="00A954D0">
        <w:rPr>
          <w:rFonts w:ascii="Bookman Old Style" w:hAnsi="Bookman Old Style"/>
          <w:sz w:val="24"/>
          <w:szCs w:val="24"/>
        </w:rPr>
        <w:t xml:space="preserve"> </w:t>
      </w:r>
      <w:r w:rsidRPr="00966E6E">
        <w:rPr>
          <w:rFonts w:ascii="Bookman Old Style" w:hAnsi="Bookman Old Style"/>
          <w:sz w:val="24"/>
          <w:szCs w:val="24"/>
        </w:rPr>
        <w:t>Konsultansi</w:t>
      </w:r>
      <w:r w:rsidR="00A954D0">
        <w:rPr>
          <w:rFonts w:ascii="Bookman Old Style" w:hAnsi="Bookman Old Style"/>
          <w:sz w:val="24"/>
          <w:szCs w:val="24"/>
        </w:rPr>
        <w:t xml:space="preserve"> </w:t>
      </w:r>
      <w:r w:rsidRPr="00966E6E">
        <w:rPr>
          <w:rFonts w:ascii="Bookman Old Style" w:hAnsi="Bookman Old Style"/>
          <w:sz w:val="24"/>
          <w:szCs w:val="24"/>
        </w:rPr>
        <w:t>Pengawasan</w:t>
      </w:r>
      <w:r w:rsidR="00A954D0">
        <w:rPr>
          <w:rFonts w:ascii="Bookman Old Style" w:hAnsi="Bookman Old Style"/>
          <w:sz w:val="24"/>
          <w:szCs w:val="24"/>
        </w:rPr>
        <w:t xml:space="preserve"> </w:t>
      </w:r>
      <w:r w:rsidRPr="00966E6E">
        <w:rPr>
          <w:rFonts w:ascii="Bookman Old Style" w:hAnsi="Bookman Old Style"/>
          <w:sz w:val="24"/>
          <w:szCs w:val="24"/>
        </w:rPr>
        <w:t>Rekayasa-Jasa</w:t>
      </w:r>
      <w:r w:rsidR="00A954D0">
        <w:rPr>
          <w:rFonts w:ascii="Bookman Old Style" w:hAnsi="Bookman Old Style"/>
          <w:sz w:val="24"/>
          <w:szCs w:val="24"/>
        </w:rPr>
        <w:t xml:space="preserve"> </w:t>
      </w:r>
      <w:r w:rsidRPr="00966E6E">
        <w:rPr>
          <w:rFonts w:ascii="Bookman Old Style" w:hAnsi="Bookman Old Style"/>
          <w:sz w:val="24"/>
          <w:szCs w:val="24"/>
        </w:rPr>
        <w:t>Pengawas</w:t>
      </w:r>
      <w:r w:rsidR="00A954D0">
        <w:rPr>
          <w:rFonts w:ascii="Bookman Old Style" w:hAnsi="Bookman Old Style"/>
          <w:sz w:val="24"/>
          <w:szCs w:val="24"/>
        </w:rPr>
        <w:t xml:space="preserve"> </w:t>
      </w:r>
      <w:r w:rsidRPr="00966E6E">
        <w:rPr>
          <w:rFonts w:ascii="Bookman Old Style" w:hAnsi="Bookman Old Style"/>
          <w:sz w:val="24"/>
          <w:szCs w:val="24"/>
        </w:rPr>
        <w:t>Pekerjaan</w:t>
      </w:r>
      <w:r w:rsidR="00A954D0">
        <w:rPr>
          <w:rFonts w:ascii="Bookman Old Style" w:hAnsi="Bookman Old Style"/>
          <w:sz w:val="24"/>
          <w:szCs w:val="24"/>
        </w:rPr>
        <w:t xml:space="preserve"> </w:t>
      </w:r>
      <w:r w:rsidRPr="00966E6E">
        <w:rPr>
          <w:rFonts w:ascii="Bookman Old Style" w:hAnsi="Bookman Old Style"/>
          <w:sz w:val="24"/>
          <w:szCs w:val="24"/>
        </w:rPr>
        <w:t>Konstruksi</w:t>
      </w:r>
      <w:r w:rsidR="00A954D0">
        <w:rPr>
          <w:rFonts w:ascii="Bookman Old Style" w:hAnsi="Bookman Old Style"/>
          <w:sz w:val="24"/>
          <w:szCs w:val="24"/>
        </w:rPr>
        <w:t xml:space="preserve"> </w:t>
      </w:r>
      <w:r w:rsidRPr="00966E6E">
        <w:rPr>
          <w:rFonts w:ascii="Bookman Old Style" w:hAnsi="Bookman Old Style"/>
          <w:sz w:val="24"/>
          <w:szCs w:val="24"/>
        </w:rPr>
        <w:t>Teknik</w:t>
      </w:r>
      <w:r w:rsidR="00A954D0">
        <w:rPr>
          <w:rFonts w:ascii="Bookman Old Style" w:hAnsi="Bookman Old Style"/>
          <w:sz w:val="24"/>
          <w:szCs w:val="24"/>
        </w:rPr>
        <w:t xml:space="preserve"> </w:t>
      </w:r>
      <w:r w:rsidRPr="00966E6E">
        <w:rPr>
          <w:rFonts w:ascii="Bookman Old Style" w:hAnsi="Bookman Old Style"/>
          <w:sz w:val="24"/>
          <w:szCs w:val="24"/>
        </w:rPr>
        <w:t>Sipil</w:t>
      </w:r>
      <w:r w:rsidR="00A954D0">
        <w:rPr>
          <w:rFonts w:ascii="Bookman Old Style" w:hAnsi="Bookman Old Style"/>
          <w:sz w:val="24"/>
          <w:szCs w:val="24"/>
        </w:rPr>
        <w:t xml:space="preserve"> </w:t>
      </w:r>
      <w:r w:rsidRPr="00966E6E">
        <w:rPr>
          <w:rFonts w:ascii="Bookman Old Style" w:hAnsi="Bookman Old Style"/>
          <w:sz w:val="24"/>
          <w:szCs w:val="24"/>
        </w:rPr>
        <w:t>Transportasi</w:t>
      </w:r>
      <w:r w:rsidR="00A954D0">
        <w:rPr>
          <w:rFonts w:ascii="Bookman Old Style" w:hAnsi="Bookman Old Style"/>
          <w:sz w:val="24"/>
          <w:szCs w:val="24"/>
        </w:rPr>
        <w:t xml:space="preserve"> </w:t>
      </w:r>
      <w:r w:rsidRPr="00966E6E">
        <w:rPr>
          <w:rFonts w:ascii="Bookman Old Style" w:hAnsi="Bookman Old Style"/>
          <w:sz w:val="24"/>
          <w:szCs w:val="24"/>
        </w:rPr>
        <w:t>Rp4.381.397.069,00</w:t>
      </w:r>
      <w:r w:rsidR="00B6606B" w:rsidRPr="00966E6E">
        <w:rPr>
          <w:rFonts w:ascii="Bookman Old Style" w:hAnsi="Bookman Old Style"/>
          <w:sz w:val="24"/>
          <w:szCs w:val="24"/>
        </w:rPr>
        <w:t>;</w:t>
      </w:r>
    </w:p>
    <w:p w14:paraId="33F0A6E6" w14:textId="101CE3C5" w:rsidR="003B7FE4" w:rsidRPr="005E0EFB" w:rsidRDefault="00797D7D" w:rsidP="005668F0">
      <w:pPr>
        <w:pStyle w:val="ListParagraph"/>
        <w:numPr>
          <w:ilvl w:val="0"/>
          <w:numId w:val="127"/>
        </w:numPr>
        <w:spacing w:before="60" w:after="0" w:line="276" w:lineRule="auto"/>
        <w:ind w:left="3686" w:hanging="425"/>
        <w:contextualSpacing w:val="0"/>
        <w:jc w:val="both"/>
        <w:rPr>
          <w:rFonts w:ascii="Bookman Old Style" w:hAnsi="Bookman Old Style"/>
          <w:sz w:val="24"/>
          <w:szCs w:val="24"/>
        </w:rPr>
      </w:pPr>
      <w:r w:rsidRPr="00966E6E">
        <w:rPr>
          <w:rFonts w:ascii="Bookman Old Style" w:hAnsi="Bookman Old Style"/>
          <w:sz w:val="24"/>
          <w:szCs w:val="24"/>
        </w:rPr>
        <w:t>Belanja</w:t>
      </w:r>
      <w:r w:rsidR="00A954D0">
        <w:rPr>
          <w:rFonts w:ascii="Bookman Old Style" w:hAnsi="Bookman Old Style"/>
          <w:sz w:val="24"/>
          <w:szCs w:val="24"/>
        </w:rPr>
        <w:t xml:space="preserve"> </w:t>
      </w:r>
      <w:r w:rsidRPr="00966E6E">
        <w:rPr>
          <w:rFonts w:ascii="Bookman Old Style" w:hAnsi="Bookman Old Style"/>
          <w:sz w:val="24"/>
          <w:szCs w:val="24"/>
        </w:rPr>
        <w:t>Jasa</w:t>
      </w:r>
      <w:r w:rsidR="00A954D0">
        <w:rPr>
          <w:rFonts w:ascii="Bookman Old Style" w:hAnsi="Bookman Old Style"/>
          <w:sz w:val="24"/>
          <w:szCs w:val="24"/>
        </w:rPr>
        <w:t xml:space="preserve"> </w:t>
      </w:r>
      <w:r w:rsidRPr="00966E6E">
        <w:rPr>
          <w:rFonts w:ascii="Bookman Old Style" w:hAnsi="Bookman Old Style"/>
          <w:sz w:val="24"/>
          <w:szCs w:val="24"/>
        </w:rPr>
        <w:t>Konsultansi</w:t>
      </w:r>
      <w:r w:rsidR="00A954D0">
        <w:rPr>
          <w:rFonts w:ascii="Bookman Old Style" w:hAnsi="Bookman Old Style"/>
          <w:sz w:val="24"/>
          <w:szCs w:val="24"/>
        </w:rPr>
        <w:t xml:space="preserve"> </w:t>
      </w:r>
      <w:r w:rsidRPr="00966E6E">
        <w:rPr>
          <w:rFonts w:ascii="Bookman Old Style" w:hAnsi="Bookman Old Style"/>
          <w:sz w:val="24"/>
          <w:szCs w:val="24"/>
        </w:rPr>
        <w:t>Pengawasan</w:t>
      </w:r>
      <w:r w:rsidR="00A954D0">
        <w:rPr>
          <w:rFonts w:ascii="Bookman Old Style" w:hAnsi="Bookman Old Style"/>
          <w:sz w:val="24"/>
          <w:szCs w:val="24"/>
        </w:rPr>
        <w:t xml:space="preserve"> </w:t>
      </w:r>
      <w:r w:rsidRPr="00966E6E">
        <w:rPr>
          <w:rFonts w:ascii="Bookman Old Style" w:hAnsi="Bookman Old Style"/>
          <w:sz w:val="24"/>
          <w:szCs w:val="24"/>
        </w:rPr>
        <w:t>Rekayasa-Jasa</w:t>
      </w:r>
      <w:r w:rsidR="00A954D0">
        <w:rPr>
          <w:rFonts w:ascii="Bookman Old Style" w:hAnsi="Bookman Old Style"/>
          <w:sz w:val="24"/>
          <w:szCs w:val="24"/>
        </w:rPr>
        <w:t xml:space="preserve"> </w:t>
      </w:r>
      <w:r w:rsidRPr="00966E6E">
        <w:rPr>
          <w:rFonts w:ascii="Bookman Old Style" w:hAnsi="Bookman Old Style"/>
          <w:sz w:val="24"/>
          <w:szCs w:val="24"/>
        </w:rPr>
        <w:t>Pengawas</w:t>
      </w:r>
      <w:r w:rsidR="00A954D0">
        <w:rPr>
          <w:rFonts w:ascii="Bookman Old Style" w:hAnsi="Bookman Old Style"/>
          <w:sz w:val="24"/>
          <w:szCs w:val="24"/>
        </w:rPr>
        <w:t xml:space="preserve"> </w:t>
      </w:r>
      <w:r w:rsidRPr="00966E6E">
        <w:rPr>
          <w:rFonts w:ascii="Bookman Old Style" w:hAnsi="Bookman Old Style"/>
          <w:sz w:val="24"/>
          <w:szCs w:val="24"/>
        </w:rPr>
        <w:t>Pekerjaan</w:t>
      </w:r>
      <w:r w:rsidR="00A954D0">
        <w:rPr>
          <w:rFonts w:ascii="Bookman Old Style" w:hAnsi="Bookman Old Style"/>
          <w:sz w:val="24"/>
          <w:szCs w:val="24"/>
        </w:rPr>
        <w:t xml:space="preserve"> </w:t>
      </w:r>
      <w:r w:rsidRPr="005E0EFB">
        <w:rPr>
          <w:rFonts w:ascii="Bookman Old Style" w:hAnsi="Bookman Old Style"/>
          <w:sz w:val="24"/>
          <w:szCs w:val="24"/>
        </w:rPr>
        <w:t>Konstruksi</w:t>
      </w:r>
      <w:r w:rsidR="00A954D0">
        <w:rPr>
          <w:rFonts w:ascii="Bookman Old Style" w:hAnsi="Bookman Old Style"/>
          <w:sz w:val="24"/>
          <w:szCs w:val="24"/>
        </w:rPr>
        <w:t xml:space="preserve"> </w:t>
      </w:r>
      <w:r w:rsidRPr="005E0EFB">
        <w:rPr>
          <w:rFonts w:ascii="Bookman Old Style" w:hAnsi="Bookman Old Style"/>
          <w:sz w:val="24"/>
          <w:szCs w:val="24"/>
        </w:rPr>
        <w:t>Teknik</w:t>
      </w:r>
      <w:r w:rsidR="00A954D0">
        <w:rPr>
          <w:rFonts w:ascii="Bookman Old Style" w:hAnsi="Bookman Old Style"/>
          <w:sz w:val="24"/>
          <w:szCs w:val="24"/>
        </w:rPr>
        <w:t xml:space="preserve"> </w:t>
      </w:r>
      <w:r w:rsidRPr="005E0EFB">
        <w:rPr>
          <w:rFonts w:ascii="Bookman Old Style" w:hAnsi="Bookman Old Style"/>
          <w:sz w:val="24"/>
          <w:szCs w:val="24"/>
        </w:rPr>
        <w:t>Sipil</w:t>
      </w:r>
      <w:r w:rsidR="00A954D0">
        <w:rPr>
          <w:rFonts w:ascii="Bookman Old Style" w:hAnsi="Bookman Old Style"/>
          <w:sz w:val="24"/>
          <w:szCs w:val="24"/>
        </w:rPr>
        <w:t xml:space="preserve"> </w:t>
      </w:r>
      <w:r w:rsidRPr="005E0EFB">
        <w:rPr>
          <w:rFonts w:ascii="Bookman Old Style" w:hAnsi="Bookman Old Style"/>
          <w:sz w:val="24"/>
          <w:szCs w:val="24"/>
        </w:rPr>
        <w:t>Air</w:t>
      </w:r>
      <w:r w:rsidR="00A954D0">
        <w:rPr>
          <w:rFonts w:ascii="Bookman Old Style" w:hAnsi="Bookman Old Style"/>
          <w:sz w:val="24"/>
          <w:szCs w:val="24"/>
        </w:rPr>
        <w:t xml:space="preserve"> </w:t>
      </w:r>
      <w:r w:rsidRPr="005E0EFB">
        <w:rPr>
          <w:rFonts w:ascii="Bookman Old Style" w:hAnsi="Bookman Old Style"/>
          <w:sz w:val="24"/>
          <w:szCs w:val="24"/>
        </w:rPr>
        <w:t>Rp4.768.371.000,00</w:t>
      </w:r>
      <w:r w:rsidR="005668F0" w:rsidRPr="005668F0">
        <w:rPr>
          <w:rFonts w:ascii="Bookman Old Style" w:hAnsi="Bookman Old Style"/>
          <w:sz w:val="24"/>
          <w:szCs w:val="24"/>
          <w:lang w:val="sv-FI"/>
        </w:rPr>
        <w:t>.</w:t>
      </w:r>
    </w:p>
    <w:p w14:paraId="323F9C8C" w14:textId="11769CA5" w:rsidR="003B7FE4" w:rsidRPr="005E0EFB" w:rsidRDefault="003B7FE4" w:rsidP="005668F0">
      <w:pPr>
        <w:pStyle w:val="ListParagraph"/>
        <w:numPr>
          <w:ilvl w:val="0"/>
          <w:numId w:val="143"/>
        </w:numPr>
        <w:snapToGrid w:val="0"/>
        <w:spacing w:before="60" w:after="0" w:line="276" w:lineRule="auto"/>
        <w:ind w:left="3261" w:hanging="567"/>
        <w:contextualSpacing w:val="0"/>
        <w:jc w:val="both"/>
        <w:rPr>
          <w:rFonts w:ascii="Bookman Old Style" w:hAnsi="Bookman Old Style"/>
          <w:sz w:val="24"/>
          <w:szCs w:val="24"/>
        </w:rPr>
      </w:pPr>
      <w:r w:rsidRPr="005E0EFB">
        <w:rPr>
          <w:rFonts w:ascii="Bookman Old Style" w:hAnsi="Bookman Old Style"/>
          <w:sz w:val="24"/>
          <w:szCs w:val="24"/>
          <w:lang w:val="id-ID"/>
        </w:rPr>
        <w:t>Belanja</w:t>
      </w:r>
      <w:r w:rsidR="00A954D0">
        <w:rPr>
          <w:rFonts w:ascii="Bookman Old Style" w:hAnsi="Bookman Old Style"/>
          <w:sz w:val="24"/>
          <w:szCs w:val="24"/>
        </w:rPr>
        <w:t xml:space="preserve"> </w:t>
      </w:r>
      <w:r w:rsidRPr="005E0EFB">
        <w:rPr>
          <w:rFonts w:ascii="Bookman Old Style" w:hAnsi="Bookman Old Style"/>
          <w:sz w:val="24"/>
          <w:szCs w:val="24"/>
        </w:rPr>
        <w:t>Jasa</w:t>
      </w:r>
      <w:r w:rsidR="00A954D0">
        <w:rPr>
          <w:rFonts w:ascii="Bookman Old Style" w:hAnsi="Bookman Old Style"/>
          <w:sz w:val="24"/>
          <w:szCs w:val="24"/>
        </w:rPr>
        <w:t xml:space="preserve"> </w:t>
      </w:r>
      <w:r w:rsidRPr="005E0EFB">
        <w:rPr>
          <w:rFonts w:ascii="Bookman Old Style" w:hAnsi="Bookman Old Style"/>
          <w:sz w:val="24"/>
          <w:szCs w:val="24"/>
        </w:rPr>
        <w:t>Konsultansi</w:t>
      </w:r>
      <w:r w:rsidR="00A954D0">
        <w:rPr>
          <w:rFonts w:ascii="Bookman Old Style" w:hAnsi="Bookman Old Style"/>
          <w:sz w:val="24"/>
          <w:szCs w:val="24"/>
        </w:rPr>
        <w:t xml:space="preserve"> </w:t>
      </w:r>
      <w:r w:rsidRPr="005E0EFB">
        <w:rPr>
          <w:rFonts w:ascii="Bookman Old Style" w:hAnsi="Bookman Old Style"/>
          <w:sz w:val="24"/>
          <w:szCs w:val="24"/>
        </w:rPr>
        <w:t>Non</w:t>
      </w:r>
      <w:r w:rsidR="00A954D0">
        <w:rPr>
          <w:rFonts w:ascii="Bookman Old Style" w:hAnsi="Bookman Old Style"/>
          <w:sz w:val="24"/>
          <w:szCs w:val="24"/>
        </w:rPr>
        <w:t xml:space="preserve"> </w:t>
      </w:r>
      <w:r w:rsidRPr="005E0EFB">
        <w:rPr>
          <w:rFonts w:ascii="Bookman Old Style" w:hAnsi="Bookman Old Style"/>
          <w:sz w:val="24"/>
          <w:szCs w:val="24"/>
        </w:rPr>
        <w:t>Konstruksi</w:t>
      </w:r>
      <w:r w:rsidR="00A954D0">
        <w:rPr>
          <w:rFonts w:ascii="Bookman Old Style" w:hAnsi="Bookman Old Style"/>
          <w:sz w:val="24"/>
          <w:szCs w:val="24"/>
        </w:rPr>
        <w:t xml:space="preserve"> </w:t>
      </w:r>
      <w:r w:rsidR="0093312B" w:rsidRPr="005E0EFB">
        <w:rPr>
          <w:rFonts w:ascii="Bookman Old Style" w:hAnsi="Bookman Old Style"/>
          <w:sz w:val="24"/>
          <w:szCs w:val="24"/>
          <w:lang w:val="en-US"/>
        </w:rPr>
        <w:t>Rp30.433.621.700,00</w:t>
      </w:r>
      <w:r w:rsidR="00A954D0">
        <w:rPr>
          <w:rFonts w:ascii="Bookman Old Style" w:hAnsi="Bookman Old Style"/>
          <w:sz w:val="24"/>
          <w:szCs w:val="24"/>
          <w:lang w:val="en-US"/>
        </w:rPr>
        <w:t xml:space="preserve"> </w:t>
      </w:r>
      <w:r w:rsidR="0093312B" w:rsidRPr="005E0EFB">
        <w:rPr>
          <w:rFonts w:ascii="Bookman Old Style" w:hAnsi="Bookman Old Style"/>
          <w:sz w:val="24"/>
          <w:szCs w:val="24"/>
          <w:lang w:val="en-US"/>
        </w:rPr>
        <w:t>atau</w:t>
      </w:r>
      <w:r w:rsidR="00A954D0">
        <w:rPr>
          <w:rFonts w:ascii="Bookman Old Style" w:hAnsi="Bookman Old Style"/>
          <w:sz w:val="24"/>
          <w:szCs w:val="24"/>
          <w:lang w:val="en-US"/>
        </w:rPr>
        <w:t xml:space="preserve"> </w:t>
      </w:r>
      <w:r w:rsidR="0093312B" w:rsidRPr="005E0EFB">
        <w:rPr>
          <w:rFonts w:ascii="Bookman Old Style" w:hAnsi="Bookman Old Style"/>
          <w:sz w:val="24"/>
          <w:szCs w:val="24"/>
          <w:lang w:val="en-US"/>
        </w:rPr>
        <w:t>0,53%</w:t>
      </w:r>
      <w:r w:rsidR="00A954D0">
        <w:rPr>
          <w:rFonts w:ascii="Bookman Old Style" w:hAnsi="Bookman Old Style"/>
          <w:sz w:val="24"/>
          <w:szCs w:val="24"/>
        </w:rPr>
        <w:t xml:space="preserve"> </w:t>
      </w:r>
      <w:r w:rsidRPr="005E0EFB">
        <w:rPr>
          <w:rFonts w:ascii="Bookman Old Style" w:hAnsi="Bookman Old Style"/>
          <w:sz w:val="24"/>
          <w:szCs w:val="24"/>
          <w:lang w:val="id-ID"/>
        </w:rPr>
        <w:t>dari</w:t>
      </w:r>
      <w:r w:rsidR="00A954D0">
        <w:rPr>
          <w:rFonts w:ascii="Bookman Old Style" w:hAnsi="Bookman Old Style"/>
          <w:sz w:val="24"/>
          <w:szCs w:val="24"/>
          <w:lang w:val="id-ID"/>
        </w:rPr>
        <w:t xml:space="preserve"> </w:t>
      </w:r>
      <w:r w:rsidRPr="005E0EFB">
        <w:rPr>
          <w:rFonts w:ascii="Bookman Old Style" w:hAnsi="Bookman Old Style"/>
          <w:sz w:val="24"/>
          <w:szCs w:val="24"/>
          <w:lang w:val="id-ID"/>
        </w:rPr>
        <w:t>total</w:t>
      </w:r>
      <w:r w:rsidR="00A954D0">
        <w:rPr>
          <w:rFonts w:ascii="Bookman Old Style" w:hAnsi="Bookman Old Style"/>
          <w:sz w:val="24"/>
          <w:szCs w:val="24"/>
          <w:lang w:val="id-ID"/>
        </w:rPr>
        <w:t xml:space="preserve"> </w:t>
      </w:r>
      <w:r w:rsidRPr="005E0EFB">
        <w:rPr>
          <w:rFonts w:ascii="Bookman Old Style" w:hAnsi="Bookman Old Style"/>
          <w:sz w:val="24"/>
          <w:szCs w:val="24"/>
          <w:lang w:val="id-ID"/>
        </w:rPr>
        <w:t>belanja</w:t>
      </w:r>
      <w:r w:rsidR="00A954D0">
        <w:rPr>
          <w:rFonts w:ascii="Bookman Old Style" w:hAnsi="Bookman Old Style"/>
          <w:sz w:val="24"/>
          <w:szCs w:val="24"/>
          <w:lang w:val="id-ID"/>
        </w:rPr>
        <w:t xml:space="preserve"> </w:t>
      </w:r>
      <w:r w:rsidRPr="005E0EFB">
        <w:rPr>
          <w:rFonts w:ascii="Bookman Old Style" w:hAnsi="Bookman Old Style"/>
          <w:sz w:val="24"/>
          <w:szCs w:val="24"/>
          <w:lang w:val="id-ID"/>
        </w:rPr>
        <w:t>daerah</w:t>
      </w:r>
      <w:r w:rsidR="00A954D0">
        <w:rPr>
          <w:rFonts w:ascii="Bookman Old Style" w:hAnsi="Bookman Old Style"/>
          <w:sz w:val="24"/>
          <w:szCs w:val="24"/>
          <w:lang w:val="id-ID"/>
        </w:rPr>
        <w:t xml:space="preserve"> </w:t>
      </w:r>
      <w:r w:rsidRPr="005E0EFB">
        <w:rPr>
          <w:rFonts w:ascii="Bookman Old Style" w:hAnsi="Bookman Old Style"/>
          <w:sz w:val="24"/>
          <w:szCs w:val="24"/>
          <w:lang w:val="id-ID"/>
        </w:rPr>
        <w:t>dalam</w:t>
      </w:r>
      <w:r w:rsidR="00A954D0">
        <w:rPr>
          <w:rFonts w:ascii="Bookman Old Style" w:hAnsi="Bookman Old Style"/>
          <w:sz w:val="24"/>
          <w:szCs w:val="24"/>
          <w:lang w:val="id-ID"/>
        </w:rPr>
        <w:t xml:space="preserve"> </w:t>
      </w:r>
      <w:r w:rsidRPr="005E0EFB">
        <w:rPr>
          <w:rFonts w:ascii="Bookman Old Style" w:hAnsi="Bookman Old Style"/>
          <w:sz w:val="24"/>
          <w:szCs w:val="24"/>
          <w:lang w:val="id-ID"/>
        </w:rPr>
        <w:t>Rancangan</w:t>
      </w:r>
      <w:r w:rsidR="00A954D0">
        <w:rPr>
          <w:rFonts w:ascii="Bookman Old Style" w:hAnsi="Bookman Old Style"/>
          <w:sz w:val="24"/>
          <w:szCs w:val="24"/>
          <w:lang w:val="id-ID"/>
        </w:rPr>
        <w:t xml:space="preserve"> </w:t>
      </w:r>
      <w:r w:rsidRPr="005E0EFB">
        <w:rPr>
          <w:rFonts w:ascii="Bookman Old Style" w:hAnsi="Bookman Old Style"/>
          <w:sz w:val="24"/>
          <w:szCs w:val="24"/>
          <w:lang w:val="id-ID"/>
        </w:rPr>
        <w:t>Peraturan</w:t>
      </w:r>
      <w:r w:rsidR="00A954D0">
        <w:rPr>
          <w:rFonts w:ascii="Bookman Old Style" w:hAnsi="Bookman Old Style"/>
          <w:sz w:val="24"/>
          <w:szCs w:val="24"/>
          <w:lang w:val="id-ID"/>
        </w:rPr>
        <w:t xml:space="preserve"> </w:t>
      </w:r>
      <w:r w:rsidRPr="005E0EFB">
        <w:rPr>
          <w:rFonts w:ascii="Bookman Old Style" w:hAnsi="Bookman Old Style"/>
          <w:sz w:val="24"/>
          <w:szCs w:val="24"/>
          <w:lang w:val="id-ID"/>
        </w:rPr>
        <w:t>Daerah</w:t>
      </w:r>
      <w:r w:rsidR="00A954D0">
        <w:rPr>
          <w:rFonts w:ascii="Bookman Old Style" w:hAnsi="Bookman Old Style"/>
          <w:sz w:val="24"/>
          <w:szCs w:val="24"/>
          <w:lang w:val="id-ID"/>
        </w:rPr>
        <w:t xml:space="preserve"> </w:t>
      </w:r>
      <w:r w:rsidR="00B055C5" w:rsidRPr="005E0EFB">
        <w:rPr>
          <w:rFonts w:ascii="Bookman Old Style" w:hAnsi="Bookman Old Style"/>
          <w:sz w:val="24"/>
          <w:szCs w:val="24"/>
          <w:lang w:val="id-ID"/>
        </w:rPr>
        <w:t>Kota</w:t>
      </w:r>
      <w:r w:rsidR="00A954D0">
        <w:rPr>
          <w:rFonts w:ascii="Bookman Old Style" w:hAnsi="Bookman Old Style"/>
          <w:sz w:val="24"/>
          <w:szCs w:val="24"/>
          <w:lang w:val="id-ID"/>
        </w:rPr>
        <w:t xml:space="preserve"> </w:t>
      </w:r>
      <w:r w:rsidR="00770F22" w:rsidRPr="005E0EFB">
        <w:rPr>
          <w:rFonts w:ascii="Bookman Old Style" w:hAnsi="Bookman Old Style"/>
          <w:sz w:val="24"/>
          <w:szCs w:val="24"/>
          <w:lang w:val="id-ID"/>
        </w:rPr>
        <w:t>Tangerang</w:t>
      </w:r>
      <w:r w:rsidR="00A954D0">
        <w:rPr>
          <w:rFonts w:ascii="Bookman Old Style" w:hAnsi="Bookman Old Style"/>
          <w:sz w:val="24"/>
          <w:szCs w:val="24"/>
          <w:lang w:val="id-ID"/>
        </w:rPr>
        <w:t xml:space="preserve"> </w:t>
      </w:r>
      <w:r w:rsidR="00BE6ED9" w:rsidRPr="005E0EFB">
        <w:rPr>
          <w:rFonts w:ascii="Bookman Old Style" w:hAnsi="Bookman Old Style"/>
          <w:sz w:val="24"/>
          <w:szCs w:val="24"/>
          <w:lang w:val="id-ID"/>
        </w:rPr>
        <w:t>tentang</w:t>
      </w:r>
      <w:r w:rsidR="00A954D0">
        <w:rPr>
          <w:rFonts w:ascii="Bookman Old Style" w:hAnsi="Bookman Old Style"/>
          <w:sz w:val="24"/>
          <w:szCs w:val="24"/>
          <w:lang w:val="id-ID"/>
        </w:rPr>
        <w:t xml:space="preserve"> </w:t>
      </w:r>
      <w:r w:rsidR="00BE6ED9" w:rsidRPr="005E0EFB">
        <w:rPr>
          <w:rFonts w:ascii="Bookman Old Style" w:hAnsi="Bookman Old Style"/>
          <w:sz w:val="24"/>
          <w:szCs w:val="24"/>
          <w:lang w:val="id-ID"/>
        </w:rPr>
        <w:t>APBD</w:t>
      </w:r>
      <w:r w:rsidR="00A954D0">
        <w:rPr>
          <w:rFonts w:ascii="Bookman Old Style" w:hAnsi="Bookman Old Style"/>
          <w:sz w:val="24"/>
          <w:szCs w:val="24"/>
          <w:lang w:val="id-ID"/>
        </w:rPr>
        <w:t xml:space="preserve"> </w:t>
      </w:r>
      <w:r w:rsidRPr="005E0EFB">
        <w:rPr>
          <w:rFonts w:ascii="Bookman Old Style" w:hAnsi="Bookman Old Style"/>
          <w:sz w:val="24"/>
          <w:szCs w:val="24"/>
          <w:lang w:val="id-ID"/>
        </w:rPr>
        <w:t>Tahun</w:t>
      </w:r>
      <w:r w:rsidR="00A954D0">
        <w:rPr>
          <w:rFonts w:ascii="Bookman Old Style" w:hAnsi="Bookman Old Style"/>
          <w:sz w:val="24"/>
          <w:szCs w:val="24"/>
          <w:lang w:val="id-ID"/>
        </w:rPr>
        <w:t xml:space="preserve"> </w:t>
      </w:r>
      <w:r w:rsidRPr="005E0EFB">
        <w:rPr>
          <w:rFonts w:ascii="Bookman Old Style" w:hAnsi="Bookman Old Style"/>
          <w:sz w:val="24"/>
          <w:szCs w:val="24"/>
          <w:lang w:val="id-ID"/>
        </w:rPr>
        <w:t>Anggaran</w:t>
      </w:r>
      <w:r w:rsidR="00A954D0">
        <w:rPr>
          <w:rFonts w:ascii="Bookman Old Style" w:hAnsi="Bookman Old Style"/>
          <w:sz w:val="24"/>
          <w:szCs w:val="24"/>
          <w:lang w:val="id-ID"/>
        </w:rPr>
        <w:t xml:space="preserve"> </w:t>
      </w:r>
      <w:r w:rsidRPr="005E0EFB">
        <w:rPr>
          <w:rFonts w:ascii="Bookman Old Style" w:hAnsi="Bookman Old Style"/>
          <w:sz w:val="24"/>
          <w:szCs w:val="24"/>
          <w:lang w:val="id-ID"/>
        </w:rPr>
        <w:t>2025,</w:t>
      </w:r>
      <w:r w:rsidR="00A954D0">
        <w:rPr>
          <w:rFonts w:ascii="Bookman Old Style" w:hAnsi="Bookman Old Style"/>
          <w:sz w:val="24"/>
          <w:szCs w:val="24"/>
          <w:lang w:val="id-ID"/>
        </w:rPr>
        <w:t xml:space="preserve"> </w:t>
      </w:r>
      <w:r w:rsidRPr="005E0EFB">
        <w:rPr>
          <w:rFonts w:ascii="Bookman Old Style" w:hAnsi="Bookman Old Style"/>
          <w:sz w:val="24"/>
          <w:szCs w:val="24"/>
          <w:lang w:val="id-ID"/>
        </w:rPr>
        <w:t>yang</w:t>
      </w:r>
      <w:r w:rsidR="00A954D0">
        <w:rPr>
          <w:rFonts w:ascii="Bookman Old Style" w:hAnsi="Bookman Old Style"/>
          <w:sz w:val="24"/>
          <w:szCs w:val="24"/>
          <w:lang w:val="id-ID"/>
        </w:rPr>
        <w:t xml:space="preserve"> </w:t>
      </w:r>
      <w:r w:rsidRPr="005E0EFB">
        <w:rPr>
          <w:rFonts w:ascii="Bookman Old Style" w:hAnsi="Bookman Old Style"/>
          <w:sz w:val="24"/>
          <w:szCs w:val="24"/>
          <w:lang w:val="id-ID"/>
        </w:rPr>
        <w:t>antara</w:t>
      </w:r>
      <w:r w:rsidR="00A954D0">
        <w:rPr>
          <w:rFonts w:ascii="Bookman Old Style" w:hAnsi="Bookman Old Style"/>
          <w:sz w:val="24"/>
          <w:szCs w:val="24"/>
          <w:lang w:val="id-ID"/>
        </w:rPr>
        <w:t xml:space="preserve"> </w:t>
      </w:r>
      <w:r w:rsidRPr="005E0EFB">
        <w:rPr>
          <w:rFonts w:ascii="Bookman Old Style" w:hAnsi="Bookman Old Style"/>
          <w:sz w:val="24"/>
          <w:szCs w:val="24"/>
          <w:lang w:val="id-ID"/>
        </w:rPr>
        <w:t>lain</w:t>
      </w:r>
      <w:r w:rsidR="00A954D0">
        <w:rPr>
          <w:rFonts w:ascii="Bookman Old Style" w:hAnsi="Bookman Old Style"/>
          <w:sz w:val="24"/>
          <w:szCs w:val="24"/>
          <w:lang w:val="id-ID"/>
        </w:rPr>
        <w:t xml:space="preserve"> </w:t>
      </w:r>
      <w:r w:rsidRPr="005E0EFB">
        <w:rPr>
          <w:rFonts w:ascii="Bookman Old Style" w:hAnsi="Bookman Old Style"/>
          <w:sz w:val="24"/>
          <w:szCs w:val="24"/>
          <w:lang w:val="id-ID"/>
        </w:rPr>
        <w:t>diuraikan</w:t>
      </w:r>
      <w:r w:rsidR="00A954D0">
        <w:rPr>
          <w:rFonts w:ascii="Bookman Old Style" w:hAnsi="Bookman Old Style"/>
          <w:sz w:val="24"/>
          <w:szCs w:val="24"/>
          <w:lang w:val="id-ID"/>
        </w:rPr>
        <w:t xml:space="preserve"> </w:t>
      </w:r>
      <w:r w:rsidRPr="005E0EFB">
        <w:rPr>
          <w:rFonts w:ascii="Bookman Old Style" w:hAnsi="Bookman Old Style"/>
          <w:sz w:val="24"/>
          <w:szCs w:val="24"/>
          <w:lang w:val="id-ID"/>
        </w:rPr>
        <w:t>ke</w:t>
      </w:r>
      <w:r w:rsidR="00A954D0">
        <w:rPr>
          <w:rFonts w:ascii="Bookman Old Style" w:hAnsi="Bookman Old Style"/>
          <w:sz w:val="24"/>
          <w:szCs w:val="24"/>
          <w:lang w:val="id-ID"/>
        </w:rPr>
        <w:t xml:space="preserve"> </w:t>
      </w:r>
      <w:r w:rsidRPr="005E0EFB">
        <w:rPr>
          <w:rFonts w:ascii="Bookman Old Style" w:hAnsi="Bookman Old Style"/>
          <w:sz w:val="24"/>
          <w:szCs w:val="24"/>
          <w:lang w:val="id-ID"/>
        </w:rPr>
        <w:t>dalam</w:t>
      </w:r>
      <w:r w:rsidR="00A954D0">
        <w:rPr>
          <w:rFonts w:ascii="Bookman Old Style" w:hAnsi="Bookman Old Style"/>
          <w:sz w:val="24"/>
          <w:szCs w:val="24"/>
          <w:lang w:val="id-ID"/>
        </w:rPr>
        <w:t xml:space="preserve"> </w:t>
      </w:r>
      <w:r w:rsidRPr="005E0EFB">
        <w:rPr>
          <w:rFonts w:ascii="Bookman Old Style" w:hAnsi="Bookman Old Style"/>
          <w:sz w:val="24"/>
          <w:szCs w:val="24"/>
          <w:lang w:val="id-ID"/>
        </w:rPr>
        <w:t>sub</w:t>
      </w:r>
      <w:r w:rsidR="00A954D0">
        <w:rPr>
          <w:rFonts w:ascii="Bookman Old Style" w:hAnsi="Bookman Old Style"/>
          <w:sz w:val="24"/>
          <w:szCs w:val="24"/>
          <w:lang w:val="id-ID"/>
        </w:rPr>
        <w:t xml:space="preserve"> </w:t>
      </w:r>
      <w:r w:rsidRPr="005E0EFB">
        <w:rPr>
          <w:rFonts w:ascii="Bookman Old Style" w:hAnsi="Bookman Old Style"/>
          <w:sz w:val="24"/>
          <w:szCs w:val="24"/>
          <w:lang w:val="id-ID"/>
        </w:rPr>
        <w:t>rincian</w:t>
      </w:r>
      <w:r w:rsidR="00A954D0">
        <w:rPr>
          <w:rFonts w:ascii="Bookman Old Style" w:hAnsi="Bookman Old Style"/>
          <w:sz w:val="24"/>
          <w:szCs w:val="24"/>
          <w:lang w:val="id-ID"/>
        </w:rPr>
        <w:t xml:space="preserve"> </w:t>
      </w:r>
      <w:r w:rsidRPr="005E0EFB">
        <w:rPr>
          <w:rFonts w:ascii="Bookman Old Style" w:hAnsi="Bookman Old Style"/>
          <w:sz w:val="24"/>
          <w:szCs w:val="24"/>
          <w:lang w:val="id-ID"/>
        </w:rPr>
        <w:t>objek</w:t>
      </w:r>
      <w:r w:rsidR="00A954D0">
        <w:rPr>
          <w:rFonts w:ascii="Bookman Old Style" w:hAnsi="Bookman Old Style"/>
          <w:sz w:val="24"/>
          <w:szCs w:val="24"/>
          <w:lang w:val="en-US"/>
        </w:rPr>
        <w:t xml:space="preserve"> </w:t>
      </w:r>
      <w:r w:rsidRPr="005E0EFB">
        <w:rPr>
          <w:rFonts w:ascii="Bookman Old Style" w:hAnsi="Bookman Old Style"/>
          <w:sz w:val="24"/>
          <w:szCs w:val="24"/>
          <w:lang w:val="en-US"/>
        </w:rPr>
        <w:t>belanja:</w:t>
      </w:r>
    </w:p>
    <w:p w14:paraId="47C9814B" w14:textId="75722637" w:rsidR="00A661C2" w:rsidRPr="005E0EFB" w:rsidRDefault="00A661C2" w:rsidP="005668F0">
      <w:pPr>
        <w:pStyle w:val="ListParagraph"/>
        <w:numPr>
          <w:ilvl w:val="0"/>
          <w:numId w:val="144"/>
        </w:numPr>
        <w:spacing w:before="60" w:after="0" w:line="276" w:lineRule="auto"/>
        <w:ind w:left="3686" w:hanging="425"/>
        <w:contextualSpacing w:val="0"/>
        <w:jc w:val="both"/>
        <w:rPr>
          <w:rFonts w:ascii="Bookman Old Style" w:hAnsi="Bookman Old Style"/>
          <w:sz w:val="24"/>
          <w:szCs w:val="24"/>
        </w:rPr>
      </w:pPr>
      <w:r w:rsidRPr="005E0EFB">
        <w:rPr>
          <w:rFonts w:ascii="Bookman Old Style" w:hAnsi="Bookman Old Style"/>
          <w:sz w:val="24"/>
          <w:szCs w:val="24"/>
        </w:rPr>
        <w:t>Belanja</w:t>
      </w:r>
      <w:r w:rsidR="00A954D0">
        <w:rPr>
          <w:rFonts w:ascii="Bookman Old Style" w:hAnsi="Bookman Old Style"/>
          <w:sz w:val="24"/>
          <w:szCs w:val="24"/>
        </w:rPr>
        <w:t xml:space="preserve"> </w:t>
      </w:r>
      <w:r w:rsidRPr="005E0EFB">
        <w:rPr>
          <w:rFonts w:ascii="Bookman Old Style" w:hAnsi="Bookman Old Style"/>
          <w:sz w:val="24"/>
          <w:szCs w:val="24"/>
        </w:rPr>
        <w:t>Jasa</w:t>
      </w:r>
      <w:r w:rsidR="00A954D0">
        <w:rPr>
          <w:rFonts w:ascii="Bookman Old Style" w:hAnsi="Bookman Old Style"/>
          <w:sz w:val="24"/>
          <w:szCs w:val="24"/>
        </w:rPr>
        <w:t xml:space="preserve"> </w:t>
      </w:r>
      <w:r w:rsidRPr="005E0EFB">
        <w:rPr>
          <w:rFonts w:ascii="Bookman Old Style" w:hAnsi="Bookman Old Style"/>
          <w:sz w:val="24"/>
          <w:szCs w:val="24"/>
        </w:rPr>
        <w:t>Konsultansi</w:t>
      </w:r>
      <w:r w:rsidR="00A954D0">
        <w:rPr>
          <w:rFonts w:ascii="Bookman Old Style" w:hAnsi="Bookman Old Style"/>
          <w:sz w:val="24"/>
          <w:szCs w:val="24"/>
        </w:rPr>
        <w:t xml:space="preserve"> </w:t>
      </w:r>
      <w:r w:rsidRPr="005E0EFB">
        <w:rPr>
          <w:rFonts w:ascii="Bookman Old Style" w:hAnsi="Bookman Old Style"/>
          <w:sz w:val="24"/>
          <w:szCs w:val="24"/>
        </w:rPr>
        <w:t>Berorientasi</w:t>
      </w:r>
      <w:r w:rsidR="00A954D0">
        <w:rPr>
          <w:rFonts w:ascii="Bookman Old Style" w:hAnsi="Bookman Old Style"/>
          <w:sz w:val="24"/>
          <w:szCs w:val="24"/>
        </w:rPr>
        <w:t xml:space="preserve"> </w:t>
      </w:r>
      <w:r w:rsidRPr="005E0EFB">
        <w:rPr>
          <w:rFonts w:ascii="Bookman Old Style" w:hAnsi="Bookman Old Style"/>
          <w:sz w:val="24"/>
          <w:szCs w:val="24"/>
        </w:rPr>
        <w:t>Bidang-Transportasi</w:t>
      </w:r>
      <w:r w:rsidR="00A954D0">
        <w:rPr>
          <w:rFonts w:ascii="Bookman Old Style" w:hAnsi="Bookman Old Style"/>
          <w:sz w:val="24"/>
          <w:szCs w:val="24"/>
        </w:rPr>
        <w:t xml:space="preserve"> </w:t>
      </w:r>
      <w:r w:rsidRPr="005E0EFB">
        <w:rPr>
          <w:rFonts w:ascii="Bookman Old Style" w:hAnsi="Bookman Old Style"/>
          <w:sz w:val="24"/>
          <w:szCs w:val="24"/>
        </w:rPr>
        <w:t>Rp1.630.913.000,00;</w:t>
      </w:r>
    </w:p>
    <w:p w14:paraId="77DFA130" w14:textId="302A4EA3" w:rsidR="000D32C1" w:rsidRPr="005E0EFB" w:rsidRDefault="00A661C2" w:rsidP="005668F0">
      <w:pPr>
        <w:pStyle w:val="ListParagraph"/>
        <w:numPr>
          <w:ilvl w:val="0"/>
          <w:numId w:val="144"/>
        </w:numPr>
        <w:spacing w:before="60" w:after="0" w:line="276" w:lineRule="auto"/>
        <w:ind w:left="3686" w:hanging="425"/>
        <w:contextualSpacing w:val="0"/>
        <w:jc w:val="both"/>
        <w:rPr>
          <w:rFonts w:ascii="Bookman Old Style" w:hAnsi="Bookman Old Style"/>
          <w:sz w:val="24"/>
          <w:szCs w:val="24"/>
        </w:rPr>
      </w:pPr>
      <w:r w:rsidRPr="005E0EFB">
        <w:rPr>
          <w:rFonts w:ascii="Bookman Old Style" w:hAnsi="Bookman Old Style"/>
          <w:sz w:val="24"/>
          <w:szCs w:val="24"/>
        </w:rPr>
        <w:t>Belanja</w:t>
      </w:r>
      <w:r w:rsidR="00A954D0">
        <w:rPr>
          <w:rFonts w:ascii="Bookman Old Style" w:hAnsi="Bookman Old Style"/>
          <w:sz w:val="24"/>
          <w:szCs w:val="24"/>
        </w:rPr>
        <w:t xml:space="preserve"> </w:t>
      </w:r>
      <w:r w:rsidRPr="005E0EFB">
        <w:rPr>
          <w:rFonts w:ascii="Bookman Old Style" w:hAnsi="Bookman Old Style"/>
          <w:sz w:val="24"/>
          <w:szCs w:val="24"/>
        </w:rPr>
        <w:t>Jasa</w:t>
      </w:r>
      <w:r w:rsidR="00A954D0">
        <w:rPr>
          <w:rFonts w:ascii="Bookman Old Style" w:hAnsi="Bookman Old Style"/>
          <w:sz w:val="24"/>
          <w:szCs w:val="24"/>
        </w:rPr>
        <w:t xml:space="preserve"> </w:t>
      </w:r>
      <w:r w:rsidRPr="005E0EFB">
        <w:rPr>
          <w:rFonts w:ascii="Bookman Old Style" w:hAnsi="Bookman Old Style"/>
          <w:sz w:val="24"/>
          <w:szCs w:val="24"/>
        </w:rPr>
        <w:t>Konsultansi</w:t>
      </w:r>
      <w:r w:rsidR="00A954D0">
        <w:rPr>
          <w:rFonts w:ascii="Bookman Old Style" w:hAnsi="Bookman Old Style"/>
          <w:sz w:val="24"/>
          <w:szCs w:val="24"/>
        </w:rPr>
        <w:t xml:space="preserve"> </w:t>
      </w:r>
      <w:r w:rsidRPr="005E0EFB">
        <w:rPr>
          <w:rFonts w:ascii="Bookman Old Style" w:hAnsi="Bookman Old Style"/>
          <w:sz w:val="24"/>
          <w:szCs w:val="24"/>
        </w:rPr>
        <w:t>Berorientasi</w:t>
      </w:r>
      <w:r w:rsidR="00A954D0">
        <w:rPr>
          <w:rFonts w:ascii="Bookman Old Style" w:hAnsi="Bookman Old Style"/>
          <w:sz w:val="24"/>
          <w:szCs w:val="24"/>
        </w:rPr>
        <w:t xml:space="preserve"> </w:t>
      </w:r>
      <w:r w:rsidRPr="005E0EFB">
        <w:rPr>
          <w:rFonts w:ascii="Bookman Old Style" w:hAnsi="Bookman Old Style"/>
          <w:sz w:val="24"/>
          <w:szCs w:val="24"/>
        </w:rPr>
        <w:t>Bidang-Telematika</w:t>
      </w:r>
      <w:r w:rsidR="00A954D0">
        <w:rPr>
          <w:rFonts w:ascii="Bookman Old Style" w:hAnsi="Bookman Old Style"/>
          <w:sz w:val="24"/>
          <w:szCs w:val="24"/>
        </w:rPr>
        <w:t xml:space="preserve"> </w:t>
      </w:r>
      <w:r w:rsidRPr="005E0EFB">
        <w:rPr>
          <w:rFonts w:ascii="Bookman Old Style" w:hAnsi="Bookman Old Style"/>
          <w:sz w:val="24"/>
          <w:szCs w:val="24"/>
        </w:rPr>
        <w:t>Rp7.825.532.400,00</w:t>
      </w:r>
      <w:r w:rsidR="00920FCE" w:rsidRPr="005E0EFB">
        <w:rPr>
          <w:rFonts w:ascii="Bookman Old Style" w:hAnsi="Bookman Old Style"/>
          <w:sz w:val="24"/>
          <w:szCs w:val="24"/>
        </w:rPr>
        <w:t>;</w:t>
      </w:r>
    </w:p>
    <w:p w14:paraId="644B55C4" w14:textId="33EEAA77" w:rsidR="00A661C2" w:rsidRPr="005E0EFB" w:rsidRDefault="00A661C2" w:rsidP="005668F0">
      <w:pPr>
        <w:pStyle w:val="ListParagraph"/>
        <w:numPr>
          <w:ilvl w:val="0"/>
          <w:numId w:val="144"/>
        </w:numPr>
        <w:spacing w:before="60" w:after="0" w:line="276" w:lineRule="auto"/>
        <w:ind w:left="3686" w:hanging="425"/>
        <w:contextualSpacing w:val="0"/>
        <w:jc w:val="both"/>
        <w:rPr>
          <w:rFonts w:ascii="Bookman Old Style" w:hAnsi="Bookman Old Style"/>
          <w:sz w:val="24"/>
          <w:szCs w:val="24"/>
        </w:rPr>
      </w:pPr>
      <w:r w:rsidRPr="005E0EFB">
        <w:rPr>
          <w:rFonts w:ascii="Bookman Old Style" w:hAnsi="Bookman Old Style"/>
          <w:sz w:val="24"/>
          <w:szCs w:val="24"/>
        </w:rPr>
        <w:t>Belanja</w:t>
      </w:r>
      <w:r w:rsidR="00A954D0">
        <w:rPr>
          <w:rFonts w:ascii="Bookman Old Style" w:hAnsi="Bookman Old Style"/>
          <w:sz w:val="24"/>
          <w:szCs w:val="24"/>
        </w:rPr>
        <w:t xml:space="preserve"> </w:t>
      </w:r>
      <w:r w:rsidRPr="005E0EFB">
        <w:rPr>
          <w:rFonts w:ascii="Bookman Old Style" w:hAnsi="Bookman Old Style"/>
          <w:sz w:val="24"/>
          <w:szCs w:val="24"/>
        </w:rPr>
        <w:t>Jasa</w:t>
      </w:r>
      <w:r w:rsidR="00A954D0">
        <w:rPr>
          <w:rFonts w:ascii="Bookman Old Style" w:hAnsi="Bookman Old Style"/>
          <w:sz w:val="24"/>
          <w:szCs w:val="24"/>
        </w:rPr>
        <w:t xml:space="preserve"> </w:t>
      </w:r>
      <w:r w:rsidRPr="005E0EFB">
        <w:rPr>
          <w:rFonts w:ascii="Bookman Old Style" w:hAnsi="Bookman Old Style"/>
          <w:sz w:val="24"/>
          <w:szCs w:val="24"/>
        </w:rPr>
        <w:t>Konsultansi</w:t>
      </w:r>
      <w:r w:rsidR="00A954D0">
        <w:rPr>
          <w:rFonts w:ascii="Bookman Old Style" w:hAnsi="Bookman Old Style"/>
          <w:sz w:val="24"/>
          <w:szCs w:val="24"/>
        </w:rPr>
        <w:t xml:space="preserve"> </w:t>
      </w:r>
      <w:r w:rsidRPr="005E0EFB">
        <w:rPr>
          <w:rFonts w:ascii="Bookman Old Style" w:hAnsi="Bookman Old Style"/>
          <w:sz w:val="24"/>
          <w:szCs w:val="24"/>
        </w:rPr>
        <w:t>Berorientasi</w:t>
      </w:r>
      <w:r w:rsidR="00A954D0">
        <w:rPr>
          <w:rFonts w:ascii="Bookman Old Style" w:hAnsi="Bookman Old Style"/>
          <w:sz w:val="24"/>
          <w:szCs w:val="24"/>
        </w:rPr>
        <w:t xml:space="preserve"> </w:t>
      </w:r>
      <w:r w:rsidRPr="005E0EFB">
        <w:rPr>
          <w:rFonts w:ascii="Bookman Old Style" w:hAnsi="Bookman Old Style"/>
          <w:sz w:val="24"/>
          <w:szCs w:val="24"/>
        </w:rPr>
        <w:t>Layanan-Jasa</w:t>
      </w:r>
      <w:r w:rsidR="00A954D0">
        <w:rPr>
          <w:rFonts w:ascii="Bookman Old Style" w:hAnsi="Bookman Old Style"/>
          <w:sz w:val="24"/>
          <w:szCs w:val="24"/>
        </w:rPr>
        <w:t xml:space="preserve"> </w:t>
      </w:r>
      <w:r w:rsidRPr="005E0EFB">
        <w:rPr>
          <w:rFonts w:ascii="Bookman Old Style" w:hAnsi="Bookman Old Style"/>
          <w:sz w:val="24"/>
          <w:szCs w:val="24"/>
        </w:rPr>
        <w:t>Survei</w:t>
      </w:r>
      <w:r w:rsidR="00A954D0">
        <w:rPr>
          <w:rFonts w:ascii="Bookman Old Style" w:hAnsi="Bookman Old Style"/>
          <w:sz w:val="24"/>
          <w:szCs w:val="24"/>
        </w:rPr>
        <w:t xml:space="preserve"> </w:t>
      </w:r>
      <w:r w:rsidRPr="005E0EFB">
        <w:rPr>
          <w:rFonts w:ascii="Bookman Old Style" w:hAnsi="Bookman Old Style"/>
          <w:sz w:val="24"/>
          <w:szCs w:val="24"/>
        </w:rPr>
        <w:t>Rp1.838.863.700,00;</w:t>
      </w:r>
    </w:p>
    <w:p w14:paraId="593793AA" w14:textId="61BB0CAB" w:rsidR="000D32C1" w:rsidRPr="00B439FE" w:rsidRDefault="00A661C2" w:rsidP="005668F0">
      <w:pPr>
        <w:pStyle w:val="ListParagraph"/>
        <w:numPr>
          <w:ilvl w:val="0"/>
          <w:numId w:val="144"/>
        </w:numPr>
        <w:spacing w:before="60" w:after="0" w:line="276" w:lineRule="auto"/>
        <w:ind w:left="3686" w:hanging="425"/>
        <w:contextualSpacing w:val="0"/>
        <w:jc w:val="both"/>
        <w:rPr>
          <w:rFonts w:ascii="Bookman Old Style" w:hAnsi="Bookman Old Style"/>
          <w:sz w:val="24"/>
          <w:szCs w:val="24"/>
        </w:rPr>
      </w:pPr>
      <w:r w:rsidRPr="005E0EFB">
        <w:rPr>
          <w:rFonts w:ascii="Bookman Old Style" w:hAnsi="Bookman Old Style"/>
          <w:sz w:val="24"/>
          <w:szCs w:val="24"/>
        </w:rPr>
        <w:t>Belanja</w:t>
      </w:r>
      <w:r w:rsidR="00A954D0">
        <w:rPr>
          <w:rFonts w:ascii="Bookman Old Style" w:hAnsi="Bookman Old Style"/>
          <w:sz w:val="24"/>
          <w:szCs w:val="24"/>
        </w:rPr>
        <w:t xml:space="preserve"> </w:t>
      </w:r>
      <w:r w:rsidRPr="005E0EFB">
        <w:rPr>
          <w:rFonts w:ascii="Bookman Old Style" w:hAnsi="Bookman Old Style"/>
          <w:sz w:val="24"/>
          <w:szCs w:val="24"/>
        </w:rPr>
        <w:t>Jasa</w:t>
      </w:r>
      <w:r w:rsidR="00A954D0">
        <w:rPr>
          <w:rFonts w:ascii="Bookman Old Style" w:hAnsi="Bookman Old Style"/>
          <w:sz w:val="24"/>
          <w:szCs w:val="24"/>
        </w:rPr>
        <w:t xml:space="preserve"> </w:t>
      </w:r>
      <w:r w:rsidRPr="005E0EFB">
        <w:rPr>
          <w:rFonts w:ascii="Bookman Old Style" w:hAnsi="Bookman Old Style"/>
          <w:sz w:val="24"/>
          <w:szCs w:val="24"/>
        </w:rPr>
        <w:t>Konsultansi</w:t>
      </w:r>
      <w:r w:rsidR="00A954D0">
        <w:rPr>
          <w:rFonts w:ascii="Bookman Old Style" w:hAnsi="Bookman Old Style"/>
          <w:sz w:val="24"/>
          <w:szCs w:val="24"/>
        </w:rPr>
        <w:t xml:space="preserve"> </w:t>
      </w:r>
      <w:r w:rsidRPr="005E0EFB">
        <w:rPr>
          <w:rFonts w:ascii="Bookman Old Style" w:hAnsi="Bookman Old Style"/>
          <w:sz w:val="24"/>
          <w:szCs w:val="24"/>
        </w:rPr>
        <w:t>Berorientasi</w:t>
      </w:r>
      <w:r w:rsidR="00A954D0">
        <w:rPr>
          <w:rFonts w:ascii="Bookman Old Style" w:hAnsi="Bookman Old Style"/>
          <w:sz w:val="24"/>
          <w:szCs w:val="24"/>
        </w:rPr>
        <w:t xml:space="preserve"> </w:t>
      </w:r>
      <w:r w:rsidRPr="005E0EFB">
        <w:rPr>
          <w:rFonts w:ascii="Bookman Old Style" w:hAnsi="Bookman Old Style"/>
          <w:sz w:val="24"/>
          <w:szCs w:val="24"/>
        </w:rPr>
        <w:t>Layanan-Jasa</w:t>
      </w:r>
      <w:r w:rsidR="00A954D0">
        <w:rPr>
          <w:rFonts w:ascii="Bookman Old Style" w:hAnsi="Bookman Old Style"/>
          <w:sz w:val="24"/>
          <w:szCs w:val="24"/>
        </w:rPr>
        <w:t xml:space="preserve"> </w:t>
      </w:r>
      <w:r w:rsidRPr="005E0EFB">
        <w:rPr>
          <w:rFonts w:ascii="Bookman Old Style" w:hAnsi="Bookman Old Style"/>
          <w:sz w:val="24"/>
          <w:szCs w:val="24"/>
        </w:rPr>
        <w:t>Studi</w:t>
      </w:r>
      <w:r w:rsidR="00A954D0">
        <w:rPr>
          <w:rFonts w:ascii="Bookman Old Style" w:hAnsi="Bookman Old Style"/>
          <w:sz w:val="24"/>
          <w:szCs w:val="24"/>
        </w:rPr>
        <w:t xml:space="preserve"> </w:t>
      </w:r>
      <w:r w:rsidRPr="005E0EFB">
        <w:rPr>
          <w:rFonts w:ascii="Bookman Old Style" w:hAnsi="Bookman Old Style"/>
          <w:sz w:val="24"/>
          <w:szCs w:val="24"/>
        </w:rPr>
        <w:t>Penelitian</w:t>
      </w:r>
      <w:r w:rsidR="00A954D0">
        <w:rPr>
          <w:rFonts w:ascii="Bookman Old Style" w:hAnsi="Bookman Old Style"/>
          <w:sz w:val="24"/>
          <w:szCs w:val="24"/>
        </w:rPr>
        <w:t xml:space="preserve"> </w:t>
      </w:r>
      <w:r w:rsidRPr="005E0EFB">
        <w:rPr>
          <w:rFonts w:ascii="Bookman Old Style" w:hAnsi="Bookman Old Style"/>
          <w:sz w:val="24"/>
          <w:szCs w:val="24"/>
        </w:rPr>
        <w:t>dan</w:t>
      </w:r>
      <w:r w:rsidR="00A954D0">
        <w:rPr>
          <w:rFonts w:ascii="Bookman Old Style" w:hAnsi="Bookman Old Style"/>
          <w:sz w:val="24"/>
          <w:szCs w:val="24"/>
        </w:rPr>
        <w:t xml:space="preserve"> </w:t>
      </w:r>
      <w:r w:rsidRPr="005E0EFB">
        <w:rPr>
          <w:rFonts w:ascii="Bookman Old Style" w:hAnsi="Bookman Old Style"/>
          <w:sz w:val="24"/>
          <w:szCs w:val="24"/>
        </w:rPr>
        <w:t>Bantuan</w:t>
      </w:r>
      <w:r w:rsidR="00A954D0">
        <w:rPr>
          <w:rFonts w:ascii="Bookman Old Style" w:hAnsi="Bookman Old Style"/>
          <w:sz w:val="24"/>
          <w:szCs w:val="24"/>
        </w:rPr>
        <w:t xml:space="preserve"> </w:t>
      </w:r>
      <w:r w:rsidRPr="005E0EFB">
        <w:rPr>
          <w:rFonts w:ascii="Bookman Old Style" w:hAnsi="Bookman Old Style"/>
          <w:sz w:val="24"/>
          <w:szCs w:val="24"/>
        </w:rPr>
        <w:t>Teknik</w:t>
      </w:r>
      <w:r w:rsidR="00A954D0">
        <w:rPr>
          <w:rFonts w:ascii="Bookman Old Style" w:hAnsi="Bookman Old Style"/>
          <w:sz w:val="24"/>
          <w:szCs w:val="24"/>
        </w:rPr>
        <w:t xml:space="preserve"> </w:t>
      </w:r>
      <w:r w:rsidRPr="00B439FE">
        <w:rPr>
          <w:rFonts w:ascii="Bookman Old Style" w:hAnsi="Bookman Old Style"/>
          <w:sz w:val="24"/>
          <w:szCs w:val="24"/>
        </w:rPr>
        <w:t>Rp11.147.478.000,00</w:t>
      </w:r>
      <w:r w:rsidR="00920FCE" w:rsidRPr="00B439FE">
        <w:rPr>
          <w:rFonts w:ascii="Bookman Old Style" w:hAnsi="Bookman Old Style"/>
          <w:sz w:val="24"/>
          <w:szCs w:val="24"/>
        </w:rPr>
        <w:t>;</w:t>
      </w:r>
    </w:p>
    <w:p w14:paraId="495D8C54" w14:textId="6F6B9C56" w:rsidR="003B7FE4" w:rsidRPr="00B439FE" w:rsidRDefault="00A661C2" w:rsidP="005668F0">
      <w:pPr>
        <w:pStyle w:val="ListParagraph"/>
        <w:numPr>
          <w:ilvl w:val="0"/>
          <w:numId w:val="144"/>
        </w:numPr>
        <w:spacing w:before="60" w:after="0" w:line="276" w:lineRule="auto"/>
        <w:ind w:left="3686" w:hanging="425"/>
        <w:contextualSpacing w:val="0"/>
        <w:jc w:val="both"/>
        <w:rPr>
          <w:rFonts w:ascii="Bookman Old Style" w:hAnsi="Bookman Old Style"/>
          <w:sz w:val="24"/>
          <w:szCs w:val="24"/>
        </w:rPr>
      </w:pPr>
      <w:r w:rsidRPr="00B439FE">
        <w:rPr>
          <w:rFonts w:ascii="Bookman Old Style" w:hAnsi="Bookman Old Style"/>
          <w:sz w:val="24"/>
          <w:szCs w:val="24"/>
        </w:rPr>
        <w:t>Belanja</w:t>
      </w:r>
      <w:r w:rsidR="00A954D0">
        <w:rPr>
          <w:rFonts w:ascii="Bookman Old Style" w:hAnsi="Bookman Old Style"/>
          <w:sz w:val="24"/>
          <w:szCs w:val="24"/>
        </w:rPr>
        <w:t xml:space="preserve"> </w:t>
      </w:r>
      <w:r w:rsidRPr="00B439FE">
        <w:rPr>
          <w:rFonts w:ascii="Bookman Old Style" w:hAnsi="Bookman Old Style"/>
          <w:sz w:val="24"/>
          <w:szCs w:val="24"/>
        </w:rPr>
        <w:t>Jasa</w:t>
      </w:r>
      <w:r w:rsidR="00A954D0">
        <w:rPr>
          <w:rFonts w:ascii="Bookman Old Style" w:hAnsi="Bookman Old Style"/>
          <w:sz w:val="24"/>
          <w:szCs w:val="24"/>
        </w:rPr>
        <w:t xml:space="preserve"> </w:t>
      </w:r>
      <w:r w:rsidRPr="00B439FE">
        <w:rPr>
          <w:rFonts w:ascii="Bookman Old Style" w:hAnsi="Bookman Old Style"/>
          <w:sz w:val="24"/>
          <w:szCs w:val="24"/>
        </w:rPr>
        <w:t>Konsultansi</w:t>
      </w:r>
      <w:r w:rsidR="00A954D0">
        <w:rPr>
          <w:rFonts w:ascii="Bookman Old Style" w:hAnsi="Bookman Old Style"/>
          <w:sz w:val="24"/>
          <w:szCs w:val="24"/>
        </w:rPr>
        <w:t xml:space="preserve"> </w:t>
      </w:r>
      <w:r w:rsidRPr="00B439FE">
        <w:rPr>
          <w:rFonts w:ascii="Bookman Old Style" w:hAnsi="Bookman Old Style"/>
          <w:sz w:val="24"/>
          <w:szCs w:val="24"/>
        </w:rPr>
        <w:t>Berorientasi</w:t>
      </w:r>
      <w:r w:rsidR="00A954D0">
        <w:rPr>
          <w:rFonts w:ascii="Bookman Old Style" w:hAnsi="Bookman Old Style"/>
          <w:sz w:val="24"/>
          <w:szCs w:val="24"/>
        </w:rPr>
        <w:t xml:space="preserve"> </w:t>
      </w:r>
      <w:r w:rsidRPr="00B439FE">
        <w:rPr>
          <w:rFonts w:ascii="Bookman Old Style" w:hAnsi="Bookman Old Style"/>
          <w:sz w:val="24"/>
          <w:szCs w:val="24"/>
        </w:rPr>
        <w:t>Layanan-Jasa</w:t>
      </w:r>
      <w:r w:rsidR="00A954D0">
        <w:rPr>
          <w:rFonts w:ascii="Bookman Old Style" w:hAnsi="Bookman Old Style"/>
          <w:sz w:val="24"/>
          <w:szCs w:val="24"/>
        </w:rPr>
        <w:t xml:space="preserve"> </w:t>
      </w:r>
      <w:r w:rsidRPr="00B439FE">
        <w:rPr>
          <w:rFonts w:ascii="Bookman Old Style" w:hAnsi="Bookman Old Style"/>
          <w:sz w:val="24"/>
          <w:szCs w:val="24"/>
        </w:rPr>
        <w:t>Khusus</w:t>
      </w:r>
      <w:r w:rsidR="00A954D0">
        <w:rPr>
          <w:rFonts w:ascii="Bookman Old Style" w:hAnsi="Bookman Old Style"/>
          <w:sz w:val="24"/>
          <w:szCs w:val="24"/>
        </w:rPr>
        <w:t xml:space="preserve"> </w:t>
      </w:r>
      <w:r w:rsidRPr="00B439FE">
        <w:rPr>
          <w:rFonts w:ascii="Bookman Old Style" w:hAnsi="Bookman Old Style"/>
          <w:sz w:val="24"/>
          <w:szCs w:val="24"/>
        </w:rPr>
        <w:t>Rp7.138.927.600,00</w:t>
      </w:r>
      <w:r w:rsidR="005668F0" w:rsidRPr="005668F0">
        <w:rPr>
          <w:rFonts w:ascii="Bookman Old Style" w:hAnsi="Bookman Old Style"/>
          <w:sz w:val="24"/>
          <w:szCs w:val="24"/>
          <w:lang w:val="sv-FI"/>
        </w:rPr>
        <w:t>.</w:t>
      </w:r>
    </w:p>
    <w:p w14:paraId="24DD58DF" w14:textId="22F29BD9" w:rsidR="003B7FE4" w:rsidRPr="00B439FE" w:rsidRDefault="005668F0" w:rsidP="005668F0">
      <w:pPr>
        <w:spacing w:before="60" w:line="276" w:lineRule="auto"/>
        <w:ind w:left="2694"/>
        <w:jc w:val="both"/>
        <w:rPr>
          <w:rFonts w:ascii="Bookman Old Style" w:hAnsi="Bookman Old Style"/>
        </w:rPr>
      </w:pPr>
      <w:r>
        <w:rPr>
          <w:rFonts w:ascii="Bookman Old Style" w:hAnsi="Bookman Old Style"/>
        </w:rPr>
        <w:t>D</w:t>
      </w:r>
      <w:r w:rsidR="003B7FE4" w:rsidRPr="00B439FE">
        <w:rPr>
          <w:rFonts w:ascii="Bookman Old Style" w:hAnsi="Bookman Old Style"/>
        </w:rPr>
        <w:t>ianggarkan</w:t>
      </w:r>
      <w:r w:rsidR="00A954D0">
        <w:rPr>
          <w:rFonts w:ascii="Bookman Old Style" w:hAnsi="Bookman Old Style"/>
        </w:rPr>
        <w:t xml:space="preserve"> </w:t>
      </w:r>
      <w:r w:rsidR="003B7FE4" w:rsidRPr="00B439FE">
        <w:rPr>
          <w:rFonts w:ascii="Bookman Old Style" w:hAnsi="Bookman Old Style"/>
        </w:rPr>
        <w:t>dalam</w:t>
      </w:r>
      <w:r w:rsidR="00A954D0">
        <w:rPr>
          <w:rFonts w:ascii="Bookman Old Style" w:hAnsi="Bookman Old Style"/>
        </w:rPr>
        <w:t xml:space="preserve"> </w:t>
      </w:r>
      <w:r w:rsidR="003B7FE4" w:rsidRPr="00B439FE">
        <w:rPr>
          <w:rFonts w:ascii="Bookman Old Style" w:hAnsi="Bookman Old Style"/>
        </w:rPr>
        <w:t>Rancangan</w:t>
      </w:r>
      <w:r w:rsidR="00A954D0">
        <w:rPr>
          <w:rFonts w:ascii="Bookman Old Style" w:hAnsi="Bookman Old Style"/>
        </w:rPr>
        <w:t xml:space="preserve"> </w:t>
      </w:r>
      <w:r w:rsidR="003B7FE4" w:rsidRPr="00B439FE">
        <w:rPr>
          <w:rFonts w:ascii="Bookman Old Style" w:hAnsi="Bookman Old Style"/>
        </w:rPr>
        <w:t>Peraturan</w:t>
      </w:r>
      <w:r w:rsidR="00A954D0">
        <w:rPr>
          <w:rFonts w:ascii="Bookman Old Style" w:hAnsi="Bookman Old Style"/>
        </w:rPr>
        <w:t xml:space="preserve"> </w:t>
      </w:r>
      <w:r w:rsidR="003B7FE4" w:rsidRPr="00B439FE">
        <w:rPr>
          <w:rFonts w:ascii="Bookman Old Style" w:hAnsi="Bookman Old Style"/>
        </w:rPr>
        <w:t>Daerah</w:t>
      </w:r>
      <w:r w:rsidR="00A954D0">
        <w:rPr>
          <w:rFonts w:ascii="Bookman Old Style" w:hAnsi="Bookman Old Style"/>
        </w:rPr>
        <w:t xml:space="preserve"> </w:t>
      </w:r>
      <w:r w:rsidR="00B055C5" w:rsidRPr="00B439FE">
        <w:rPr>
          <w:rFonts w:ascii="Bookman Old Style" w:hAnsi="Bookman Old Style"/>
        </w:rPr>
        <w:t>Kota</w:t>
      </w:r>
      <w:r w:rsidR="00A954D0">
        <w:rPr>
          <w:rFonts w:ascii="Bookman Old Style" w:hAnsi="Bookman Old Style"/>
        </w:rPr>
        <w:t xml:space="preserve"> </w:t>
      </w:r>
      <w:r w:rsidR="00770F22" w:rsidRPr="00B439FE">
        <w:rPr>
          <w:rFonts w:ascii="Bookman Old Style" w:hAnsi="Bookman Old Style"/>
        </w:rPr>
        <w:t>Tangerang</w:t>
      </w:r>
      <w:r w:rsidR="00A954D0">
        <w:rPr>
          <w:rFonts w:ascii="Bookman Old Style" w:hAnsi="Bookman Old Style"/>
        </w:rPr>
        <w:t xml:space="preserve"> </w:t>
      </w:r>
      <w:r w:rsidR="00BE6ED9" w:rsidRPr="00B439FE">
        <w:rPr>
          <w:rFonts w:ascii="Bookman Old Style" w:hAnsi="Bookman Old Style"/>
        </w:rPr>
        <w:t>tentang</w:t>
      </w:r>
      <w:r w:rsidR="00A954D0">
        <w:rPr>
          <w:rFonts w:ascii="Bookman Old Style" w:hAnsi="Bookman Old Style"/>
        </w:rPr>
        <w:t xml:space="preserve"> </w:t>
      </w:r>
      <w:r w:rsidR="00BE6ED9" w:rsidRPr="00B439FE">
        <w:rPr>
          <w:rFonts w:ascii="Bookman Old Style" w:hAnsi="Bookman Old Style"/>
        </w:rPr>
        <w:t>APBD</w:t>
      </w:r>
      <w:r w:rsidR="00A954D0">
        <w:rPr>
          <w:rFonts w:ascii="Bookman Old Style" w:hAnsi="Bookman Old Style"/>
        </w:rPr>
        <w:t xml:space="preserve"> </w:t>
      </w:r>
      <w:r w:rsidR="003B7FE4" w:rsidRPr="00B439FE">
        <w:rPr>
          <w:rFonts w:ascii="Bookman Old Style" w:hAnsi="Bookman Old Style"/>
        </w:rPr>
        <w:t>Tahun</w:t>
      </w:r>
      <w:r w:rsidR="00A954D0">
        <w:rPr>
          <w:rFonts w:ascii="Bookman Old Style" w:hAnsi="Bookman Old Style"/>
        </w:rPr>
        <w:t xml:space="preserve"> </w:t>
      </w:r>
      <w:r w:rsidR="003B7FE4" w:rsidRPr="00B439FE">
        <w:rPr>
          <w:rFonts w:ascii="Bookman Old Style" w:hAnsi="Bookman Old Style"/>
        </w:rPr>
        <w:t>Anggaran</w:t>
      </w:r>
      <w:r w:rsidR="00A954D0">
        <w:rPr>
          <w:rFonts w:ascii="Bookman Old Style" w:hAnsi="Bookman Old Style"/>
        </w:rPr>
        <w:t xml:space="preserve"> </w:t>
      </w:r>
      <w:r w:rsidR="003B7FE4" w:rsidRPr="00B439FE">
        <w:rPr>
          <w:rFonts w:ascii="Bookman Old Style" w:hAnsi="Bookman Old Style"/>
        </w:rPr>
        <w:t>2025,</w:t>
      </w:r>
      <w:r w:rsidR="00A954D0">
        <w:rPr>
          <w:rFonts w:ascii="Bookman Old Style" w:hAnsi="Bookman Old Style"/>
        </w:rPr>
        <w:t xml:space="preserve"> </w:t>
      </w:r>
      <w:r w:rsidR="003B7FE4" w:rsidRPr="00B439FE">
        <w:rPr>
          <w:rFonts w:ascii="Bookman Old Style" w:hAnsi="Bookman Old Style"/>
        </w:rPr>
        <w:t>namun</w:t>
      </w:r>
      <w:r w:rsidR="00A954D0">
        <w:rPr>
          <w:rFonts w:ascii="Bookman Old Style" w:hAnsi="Bookman Old Style"/>
        </w:rPr>
        <w:t xml:space="preserve"> </w:t>
      </w:r>
      <w:r w:rsidR="003B7FE4" w:rsidRPr="00B439FE">
        <w:rPr>
          <w:rFonts w:ascii="Bookman Old Style" w:hAnsi="Bookman Old Style"/>
        </w:rPr>
        <w:t>dalam</w:t>
      </w:r>
      <w:r w:rsidR="00A954D0">
        <w:rPr>
          <w:rFonts w:ascii="Bookman Old Style" w:hAnsi="Bookman Old Style"/>
        </w:rPr>
        <w:t xml:space="preserve"> </w:t>
      </w:r>
      <w:r w:rsidR="003B7FE4" w:rsidRPr="00B439FE">
        <w:rPr>
          <w:rFonts w:ascii="Bookman Old Style" w:hAnsi="Bookman Old Style"/>
        </w:rPr>
        <w:t>pelaksanaannya</w:t>
      </w:r>
      <w:r w:rsidR="00A954D0">
        <w:rPr>
          <w:rFonts w:ascii="Bookman Old Style" w:hAnsi="Bookman Old Style"/>
        </w:rPr>
        <w:t xml:space="preserve"> </w:t>
      </w:r>
      <w:r w:rsidR="003B7FE4" w:rsidRPr="00B439FE">
        <w:rPr>
          <w:rFonts w:ascii="Bookman Old Style" w:hAnsi="Bookman Old Style"/>
        </w:rPr>
        <w:t>tetap</w:t>
      </w:r>
      <w:r w:rsidR="00A954D0">
        <w:rPr>
          <w:rFonts w:ascii="Bookman Old Style" w:hAnsi="Bookman Old Style"/>
        </w:rPr>
        <w:t xml:space="preserve"> </w:t>
      </w:r>
      <w:r w:rsidR="003B7FE4" w:rsidRPr="00B439FE">
        <w:rPr>
          <w:rFonts w:ascii="Bookman Old Style" w:hAnsi="Bookman Old Style"/>
        </w:rPr>
        <w:t>memperhatikan</w:t>
      </w:r>
      <w:r w:rsidR="00A954D0">
        <w:rPr>
          <w:rFonts w:ascii="Bookman Old Style" w:hAnsi="Bookman Old Style"/>
        </w:rPr>
        <w:t xml:space="preserve"> </w:t>
      </w:r>
      <w:r w:rsidR="003B7FE4" w:rsidRPr="00B439FE">
        <w:rPr>
          <w:rFonts w:ascii="Bookman Old Style" w:hAnsi="Bookman Old Style"/>
        </w:rPr>
        <w:t>aspek</w:t>
      </w:r>
      <w:r w:rsidR="00A954D0">
        <w:rPr>
          <w:rFonts w:ascii="Bookman Old Style" w:hAnsi="Bookman Old Style"/>
        </w:rPr>
        <w:t xml:space="preserve"> </w:t>
      </w:r>
      <w:r w:rsidR="003B7FE4" w:rsidRPr="00B439FE">
        <w:rPr>
          <w:rFonts w:ascii="Bookman Old Style" w:hAnsi="Bookman Old Style"/>
        </w:rPr>
        <w:t>efektivitas,</w:t>
      </w:r>
      <w:r w:rsidR="00A954D0">
        <w:rPr>
          <w:rFonts w:ascii="Bookman Old Style" w:hAnsi="Bookman Old Style"/>
        </w:rPr>
        <w:t xml:space="preserve"> </w:t>
      </w:r>
      <w:r w:rsidR="003B7FE4" w:rsidRPr="00B439FE">
        <w:rPr>
          <w:rFonts w:ascii="Bookman Old Style" w:hAnsi="Bookman Old Style"/>
        </w:rPr>
        <w:t>efisiensi,</w:t>
      </w:r>
      <w:r w:rsidR="00A954D0">
        <w:rPr>
          <w:rFonts w:ascii="Bookman Old Style" w:hAnsi="Bookman Old Style"/>
        </w:rPr>
        <w:t xml:space="preserve"> </w:t>
      </w:r>
      <w:r w:rsidR="003B7FE4" w:rsidRPr="00B439FE">
        <w:rPr>
          <w:rFonts w:ascii="Bookman Old Style" w:hAnsi="Bookman Old Style"/>
        </w:rPr>
        <w:t>kepatutan</w:t>
      </w:r>
      <w:r w:rsidR="00A954D0">
        <w:rPr>
          <w:rFonts w:ascii="Bookman Old Style" w:hAnsi="Bookman Old Style"/>
        </w:rPr>
        <w:t xml:space="preserve"> </w:t>
      </w:r>
      <w:r w:rsidR="003B7FE4" w:rsidRPr="00B439FE">
        <w:rPr>
          <w:rFonts w:ascii="Bookman Old Style" w:hAnsi="Bookman Old Style"/>
        </w:rPr>
        <w:t>dan</w:t>
      </w:r>
      <w:r w:rsidR="00A954D0">
        <w:rPr>
          <w:rFonts w:ascii="Bookman Old Style" w:hAnsi="Bookman Old Style"/>
        </w:rPr>
        <w:t xml:space="preserve"> </w:t>
      </w:r>
      <w:r w:rsidR="003B7FE4" w:rsidRPr="00B439FE">
        <w:rPr>
          <w:rFonts w:ascii="Bookman Old Style" w:hAnsi="Bookman Old Style"/>
        </w:rPr>
        <w:t>kewajaran</w:t>
      </w:r>
      <w:r w:rsidR="00A954D0">
        <w:rPr>
          <w:rFonts w:ascii="Bookman Old Style" w:hAnsi="Bookman Old Style"/>
        </w:rPr>
        <w:t xml:space="preserve"> </w:t>
      </w:r>
      <w:r w:rsidR="003B7FE4" w:rsidRPr="00B439FE">
        <w:rPr>
          <w:rFonts w:ascii="Bookman Old Style" w:hAnsi="Bookman Old Style"/>
        </w:rPr>
        <w:t>serta</w:t>
      </w:r>
      <w:r w:rsidR="00A954D0">
        <w:rPr>
          <w:rFonts w:ascii="Bookman Old Style" w:hAnsi="Bookman Old Style"/>
        </w:rPr>
        <w:t xml:space="preserve"> </w:t>
      </w:r>
      <w:r w:rsidR="003B7FE4" w:rsidRPr="00B439FE">
        <w:rPr>
          <w:rFonts w:ascii="Bookman Old Style" w:hAnsi="Bookman Old Style"/>
        </w:rPr>
        <w:t>penghematan</w:t>
      </w:r>
      <w:r w:rsidR="00A954D0">
        <w:rPr>
          <w:rFonts w:ascii="Bookman Old Style" w:hAnsi="Bookman Old Style"/>
        </w:rPr>
        <w:t xml:space="preserve"> </w:t>
      </w:r>
      <w:r w:rsidR="003B7FE4" w:rsidRPr="00B439FE">
        <w:rPr>
          <w:rFonts w:ascii="Bookman Old Style" w:hAnsi="Bookman Old Style"/>
        </w:rPr>
        <w:t>penggunaan</w:t>
      </w:r>
      <w:r w:rsidR="00A954D0">
        <w:rPr>
          <w:rFonts w:ascii="Bookman Old Style" w:hAnsi="Bookman Old Style"/>
        </w:rPr>
        <w:t xml:space="preserve"> </w:t>
      </w:r>
      <w:r w:rsidR="003B7FE4" w:rsidRPr="00B439FE">
        <w:rPr>
          <w:rFonts w:ascii="Bookman Old Style" w:hAnsi="Bookman Old Style"/>
        </w:rPr>
        <w:t>anggaran</w:t>
      </w:r>
      <w:r w:rsidR="00A954D0">
        <w:rPr>
          <w:rFonts w:ascii="Bookman Old Style" w:hAnsi="Bookman Old Style"/>
        </w:rPr>
        <w:t xml:space="preserve"> </w:t>
      </w:r>
      <w:r w:rsidR="003B7FE4" w:rsidRPr="00B439FE">
        <w:rPr>
          <w:rFonts w:ascii="Bookman Old Style" w:hAnsi="Bookman Old Style"/>
        </w:rPr>
        <w:t>dan</w:t>
      </w:r>
      <w:r w:rsidR="00A954D0">
        <w:rPr>
          <w:rFonts w:ascii="Bookman Old Style" w:hAnsi="Bookman Old Style"/>
        </w:rPr>
        <w:t xml:space="preserve"> </w:t>
      </w:r>
      <w:r w:rsidR="003B7FE4" w:rsidRPr="00B439FE">
        <w:rPr>
          <w:rFonts w:ascii="Bookman Old Style" w:hAnsi="Bookman Old Style"/>
        </w:rPr>
        <w:t>disesuaikan</w:t>
      </w:r>
      <w:r w:rsidR="00A954D0">
        <w:rPr>
          <w:rFonts w:ascii="Bookman Old Style" w:hAnsi="Bookman Old Style"/>
        </w:rPr>
        <w:t xml:space="preserve"> </w:t>
      </w:r>
      <w:r w:rsidR="003B7FE4" w:rsidRPr="00B439FE">
        <w:rPr>
          <w:rFonts w:ascii="Bookman Old Style" w:hAnsi="Bookman Old Style"/>
        </w:rPr>
        <w:t>dengan</w:t>
      </w:r>
      <w:r w:rsidR="00A954D0">
        <w:rPr>
          <w:rFonts w:ascii="Bookman Old Style" w:hAnsi="Bookman Old Style"/>
        </w:rPr>
        <w:t xml:space="preserve"> </w:t>
      </w:r>
      <w:r w:rsidR="003B7FE4" w:rsidRPr="00B439FE">
        <w:rPr>
          <w:rFonts w:ascii="Bookman Old Style" w:hAnsi="Bookman Old Style"/>
        </w:rPr>
        <w:t>kebutuhan</w:t>
      </w:r>
      <w:r w:rsidR="00A954D0">
        <w:rPr>
          <w:rFonts w:ascii="Bookman Old Style" w:hAnsi="Bookman Old Style"/>
        </w:rPr>
        <w:t xml:space="preserve"> </w:t>
      </w:r>
      <w:r w:rsidR="003B7FE4" w:rsidRPr="00B439FE">
        <w:rPr>
          <w:rFonts w:ascii="Bookman Old Style" w:hAnsi="Bookman Old Style"/>
        </w:rPr>
        <w:t>nyata</w:t>
      </w:r>
      <w:r w:rsidR="00A954D0">
        <w:rPr>
          <w:rFonts w:ascii="Bookman Old Style" w:hAnsi="Bookman Old Style"/>
        </w:rPr>
        <w:t xml:space="preserve"> </w:t>
      </w:r>
      <w:r w:rsidR="003B7FE4" w:rsidRPr="00B439FE">
        <w:rPr>
          <w:rFonts w:ascii="Bookman Old Style" w:hAnsi="Bookman Old Style"/>
        </w:rPr>
        <w:t>pada</w:t>
      </w:r>
      <w:r w:rsidR="00A954D0">
        <w:rPr>
          <w:rFonts w:ascii="Bookman Old Style" w:hAnsi="Bookman Old Style"/>
        </w:rPr>
        <w:t xml:space="preserve"> </w:t>
      </w:r>
      <w:r w:rsidR="003B7FE4" w:rsidRPr="00B439FE">
        <w:rPr>
          <w:rFonts w:ascii="Bookman Old Style" w:hAnsi="Bookman Old Style"/>
        </w:rPr>
        <w:t>masing-masing</w:t>
      </w:r>
      <w:r w:rsidR="00A954D0">
        <w:rPr>
          <w:rFonts w:ascii="Bookman Old Style" w:hAnsi="Bookman Old Style"/>
        </w:rPr>
        <w:t xml:space="preserve"> </w:t>
      </w:r>
      <w:r w:rsidR="003B7FE4" w:rsidRPr="00B439FE">
        <w:rPr>
          <w:rFonts w:ascii="Bookman Old Style" w:hAnsi="Bookman Old Style"/>
        </w:rPr>
        <w:t>kegiatan</w:t>
      </w:r>
      <w:r w:rsidR="00A954D0">
        <w:rPr>
          <w:rFonts w:ascii="Bookman Old Style" w:hAnsi="Bookman Old Style"/>
        </w:rPr>
        <w:t xml:space="preserve"> </w:t>
      </w:r>
      <w:r w:rsidR="003B7FE4" w:rsidRPr="00B439FE">
        <w:rPr>
          <w:rFonts w:ascii="Bookman Old Style" w:hAnsi="Bookman Old Style"/>
        </w:rPr>
        <w:t>sebagaimana</w:t>
      </w:r>
      <w:r w:rsidR="00A954D0">
        <w:rPr>
          <w:rFonts w:ascii="Bookman Old Style" w:hAnsi="Bookman Old Style"/>
        </w:rPr>
        <w:t xml:space="preserve"> </w:t>
      </w:r>
      <w:r w:rsidR="003B7FE4" w:rsidRPr="00B439FE">
        <w:rPr>
          <w:rFonts w:ascii="Bookman Old Style" w:hAnsi="Bookman Old Style"/>
        </w:rPr>
        <w:t>maksud</w:t>
      </w:r>
      <w:r w:rsidR="00A954D0">
        <w:rPr>
          <w:rFonts w:ascii="Bookman Old Style" w:hAnsi="Bookman Old Style"/>
        </w:rPr>
        <w:t xml:space="preserve"> </w:t>
      </w:r>
      <w:r w:rsidR="003B7FE4" w:rsidRPr="00B439FE">
        <w:rPr>
          <w:rFonts w:ascii="Bookman Old Style" w:hAnsi="Bookman Old Style"/>
        </w:rPr>
        <w:t>Pasal</w:t>
      </w:r>
      <w:r w:rsidR="00A954D0">
        <w:rPr>
          <w:rFonts w:ascii="Bookman Old Style" w:hAnsi="Bookman Old Style"/>
        </w:rPr>
        <w:t xml:space="preserve"> </w:t>
      </w:r>
      <w:r w:rsidR="003B7FE4" w:rsidRPr="00B439FE">
        <w:rPr>
          <w:rFonts w:ascii="Bookman Old Style" w:hAnsi="Bookman Old Style"/>
        </w:rPr>
        <w:t>3</w:t>
      </w:r>
      <w:r w:rsidR="00A954D0">
        <w:rPr>
          <w:rFonts w:ascii="Bookman Old Style" w:hAnsi="Bookman Old Style"/>
        </w:rPr>
        <w:t xml:space="preserve"> </w:t>
      </w:r>
      <w:r w:rsidR="003B7FE4" w:rsidRPr="00B439FE">
        <w:rPr>
          <w:rFonts w:ascii="Bookman Old Style" w:hAnsi="Bookman Old Style"/>
        </w:rPr>
        <w:t>ayat</w:t>
      </w:r>
      <w:r w:rsidR="00A954D0">
        <w:rPr>
          <w:rFonts w:ascii="Bookman Old Style" w:hAnsi="Bookman Old Style"/>
        </w:rPr>
        <w:t xml:space="preserve"> </w:t>
      </w:r>
      <w:r w:rsidR="003B7FE4" w:rsidRPr="00B439FE">
        <w:rPr>
          <w:rFonts w:ascii="Bookman Old Style" w:hAnsi="Bookman Old Style"/>
        </w:rPr>
        <w:t>(1)</w:t>
      </w:r>
      <w:r w:rsidR="00A954D0">
        <w:rPr>
          <w:rFonts w:ascii="Bookman Old Style" w:hAnsi="Bookman Old Style"/>
        </w:rPr>
        <w:t xml:space="preserve"> </w:t>
      </w:r>
      <w:r w:rsidR="003B7FE4" w:rsidRPr="00B439FE">
        <w:rPr>
          <w:rFonts w:ascii="Bookman Old Style" w:hAnsi="Bookman Old Style"/>
        </w:rPr>
        <w:t>Peraturan</w:t>
      </w:r>
      <w:r w:rsidR="00A954D0">
        <w:rPr>
          <w:rFonts w:ascii="Bookman Old Style" w:hAnsi="Bookman Old Style"/>
        </w:rPr>
        <w:t xml:space="preserve"> </w:t>
      </w:r>
      <w:r w:rsidR="003B7FE4" w:rsidRPr="00B439FE">
        <w:rPr>
          <w:rFonts w:ascii="Bookman Old Style" w:hAnsi="Bookman Old Style"/>
        </w:rPr>
        <w:t>Pemerintah</w:t>
      </w:r>
      <w:r w:rsidR="00A954D0">
        <w:rPr>
          <w:rFonts w:ascii="Bookman Old Style" w:hAnsi="Bookman Old Style"/>
        </w:rPr>
        <w:t xml:space="preserve"> </w:t>
      </w:r>
      <w:r w:rsidR="003B7FE4" w:rsidRPr="00B439FE">
        <w:rPr>
          <w:rFonts w:ascii="Bookman Old Style" w:hAnsi="Bookman Old Style"/>
        </w:rPr>
        <w:t>Nomor</w:t>
      </w:r>
      <w:r w:rsidR="00A954D0">
        <w:rPr>
          <w:rFonts w:ascii="Bookman Old Style" w:hAnsi="Bookman Old Style"/>
        </w:rPr>
        <w:t xml:space="preserve"> </w:t>
      </w:r>
      <w:r w:rsidR="003B7FE4" w:rsidRPr="00B439FE">
        <w:rPr>
          <w:rFonts w:ascii="Bookman Old Style" w:hAnsi="Bookman Old Style"/>
        </w:rPr>
        <w:t>12</w:t>
      </w:r>
      <w:r w:rsidR="00A954D0">
        <w:rPr>
          <w:rFonts w:ascii="Bookman Old Style" w:hAnsi="Bookman Old Style"/>
        </w:rPr>
        <w:t xml:space="preserve"> </w:t>
      </w:r>
      <w:r w:rsidR="003B7FE4" w:rsidRPr="00B439FE">
        <w:rPr>
          <w:rFonts w:ascii="Bookman Old Style" w:hAnsi="Bookman Old Style"/>
        </w:rPr>
        <w:t>Tahun</w:t>
      </w:r>
      <w:r w:rsidR="00A954D0">
        <w:rPr>
          <w:rFonts w:ascii="Bookman Old Style" w:hAnsi="Bookman Old Style"/>
        </w:rPr>
        <w:t xml:space="preserve"> </w:t>
      </w:r>
      <w:r w:rsidR="003B7FE4" w:rsidRPr="00B439FE">
        <w:rPr>
          <w:rFonts w:ascii="Bookman Old Style" w:hAnsi="Bookman Old Style"/>
        </w:rPr>
        <w:t>2019.</w:t>
      </w:r>
      <w:r w:rsidR="00A954D0">
        <w:rPr>
          <w:rFonts w:ascii="Bookman Old Style" w:hAnsi="Bookman Old Style"/>
        </w:rPr>
        <w:t xml:space="preserve"> </w:t>
      </w:r>
    </w:p>
    <w:p w14:paraId="5AA71B22" w14:textId="7D558C1A" w:rsidR="003B7FE4" w:rsidRPr="00B439FE" w:rsidRDefault="003B7FE4" w:rsidP="005668F0">
      <w:pPr>
        <w:spacing w:before="60" w:line="276" w:lineRule="auto"/>
        <w:ind w:left="2694"/>
        <w:jc w:val="both"/>
        <w:rPr>
          <w:rFonts w:ascii="Bookman Old Style" w:hAnsi="Bookman Old Style"/>
        </w:rPr>
      </w:pPr>
      <w:r w:rsidRPr="00B439FE">
        <w:rPr>
          <w:rFonts w:ascii="Bookman Old Style" w:hAnsi="Bookman Old Style"/>
        </w:rPr>
        <w:t>Selain</w:t>
      </w:r>
      <w:r w:rsidR="00A954D0">
        <w:rPr>
          <w:rFonts w:ascii="Bookman Old Style" w:hAnsi="Bookman Old Style"/>
        </w:rPr>
        <w:t xml:space="preserve"> </w:t>
      </w:r>
      <w:r w:rsidRPr="00B439FE">
        <w:rPr>
          <w:rFonts w:ascii="Bookman Old Style" w:hAnsi="Bookman Old Style"/>
        </w:rPr>
        <w:t>itu,</w:t>
      </w:r>
      <w:r w:rsidR="00A954D0">
        <w:rPr>
          <w:rFonts w:ascii="Bookman Old Style" w:hAnsi="Bookman Old Style"/>
        </w:rPr>
        <w:t xml:space="preserve"> </w:t>
      </w:r>
      <w:r w:rsidRPr="00B439FE">
        <w:rPr>
          <w:rFonts w:ascii="Bookman Old Style" w:hAnsi="Bookman Old Style"/>
        </w:rPr>
        <w:t>uraian</w:t>
      </w:r>
      <w:r w:rsidR="00A954D0">
        <w:rPr>
          <w:rFonts w:ascii="Bookman Old Style" w:hAnsi="Bookman Old Style"/>
        </w:rPr>
        <w:t xml:space="preserve"> </w:t>
      </w:r>
      <w:r w:rsidRPr="00B439FE">
        <w:rPr>
          <w:rFonts w:ascii="Bookman Old Style" w:hAnsi="Bookman Old Style"/>
        </w:rPr>
        <w:t>tersebut</w:t>
      </w:r>
      <w:r w:rsidR="00A954D0">
        <w:rPr>
          <w:rFonts w:ascii="Bookman Old Style" w:hAnsi="Bookman Old Style"/>
        </w:rPr>
        <w:t xml:space="preserve"> </w:t>
      </w:r>
      <w:r w:rsidRPr="00B439FE">
        <w:rPr>
          <w:rFonts w:ascii="Bookman Old Style" w:hAnsi="Bookman Old Style"/>
        </w:rPr>
        <w:t>di</w:t>
      </w:r>
      <w:r w:rsidR="00A954D0">
        <w:rPr>
          <w:rFonts w:ascii="Bookman Old Style" w:hAnsi="Bookman Old Style"/>
        </w:rPr>
        <w:t xml:space="preserve"> </w:t>
      </w:r>
      <w:r w:rsidRPr="00B439FE">
        <w:rPr>
          <w:rFonts w:ascii="Bookman Old Style" w:hAnsi="Bookman Old Style"/>
        </w:rPr>
        <w:t>atas</w:t>
      </w:r>
      <w:r w:rsidR="00A954D0">
        <w:rPr>
          <w:rFonts w:ascii="Bookman Old Style" w:hAnsi="Bookman Old Style"/>
        </w:rPr>
        <w:t xml:space="preserve"> </w:t>
      </w:r>
      <w:r w:rsidRPr="00B439FE">
        <w:rPr>
          <w:rFonts w:ascii="Bookman Old Style" w:hAnsi="Bookman Old Style"/>
        </w:rPr>
        <w:t>juga</w:t>
      </w:r>
      <w:r w:rsidR="00A954D0">
        <w:rPr>
          <w:rFonts w:ascii="Bookman Old Style" w:hAnsi="Bookman Old Style"/>
        </w:rPr>
        <w:t xml:space="preserve"> </w:t>
      </w:r>
      <w:r w:rsidRPr="00B439FE">
        <w:rPr>
          <w:rFonts w:ascii="Bookman Old Style" w:hAnsi="Bookman Old Style"/>
        </w:rPr>
        <w:t>harus</w:t>
      </w:r>
      <w:r w:rsidR="00A954D0">
        <w:rPr>
          <w:rFonts w:ascii="Bookman Old Style" w:hAnsi="Bookman Old Style"/>
        </w:rPr>
        <w:t xml:space="preserve"> </w:t>
      </w:r>
      <w:r w:rsidRPr="00B439FE">
        <w:rPr>
          <w:rFonts w:ascii="Bookman Old Style" w:hAnsi="Bookman Old Style"/>
        </w:rPr>
        <w:t>memperhatikan</w:t>
      </w:r>
      <w:r w:rsidR="00A954D0">
        <w:rPr>
          <w:rFonts w:ascii="Bookman Old Style" w:hAnsi="Bookman Old Style"/>
        </w:rPr>
        <w:t xml:space="preserve"> </w:t>
      </w:r>
      <w:r w:rsidRPr="00B439FE">
        <w:rPr>
          <w:rFonts w:ascii="Bookman Old Style" w:hAnsi="Bookman Old Style"/>
        </w:rPr>
        <w:t>aspek</w:t>
      </w:r>
      <w:r w:rsidR="00A954D0">
        <w:rPr>
          <w:rFonts w:ascii="Bookman Old Style" w:hAnsi="Bookman Old Style"/>
        </w:rPr>
        <w:t xml:space="preserve"> </w:t>
      </w:r>
      <w:r w:rsidRPr="00B439FE">
        <w:rPr>
          <w:rFonts w:ascii="Bookman Old Style" w:hAnsi="Bookman Old Style"/>
        </w:rPr>
        <w:t>urgensi</w:t>
      </w:r>
      <w:r w:rsidR="00A954D0">
        <w:rPr>
          <w:rFonts w:ascii="Bookman Old Style" w:hAnsi="Bookman Old Style"/>
        </w:rPr>
        <w:t xml:space="preserve"> </w:t>
      </w:r>
      <w:r w:rsidRPr="00B439FE">
        <w:rPr>
          <w:rFonts w:ascii="Bookman Old Style" w:hAnsi="Bookman Old Style"/>
        </w:rPr>
        <w:t>dan</w:t>
      </w:r>
      <w:r w:rsidR="00A954D0">
        <w:rPr>
          <w:rFonts w:ascii="Bookman Old Style" w:hAnsi="Bookman Old Style"/>
        </w:rPr>
        <w:t xml:space="preserve"> </w:t>
      </w:r>
      <w:r w:rsidRPr="00B439FE">
        <w:rPr>
          <w:rFonts w:ascii="Bookman Old Style" w:hAnsi="Bookman Old Style"/>
        </w:rPr>
        <w:t>efektivitas</w:t>
      </w:r>
      <w:r w:rsidR="00A954D0">
        <w:rPr>
          <w:rFonts w:ascii="Bookman Old Style" w:hAnsi="Bookman Old Style"/>
        </w:rPr>
        <w:t xml:space="preserve"> </w:t>
      </w:r>
      <w:r w:rsidRPr="00B439FE">
        <w:rPr>
          <w:rFonts w:ascii="Bookman Old Style" w:hAnsi="Bookman Old Style"/>
        </w:rPr>
        <w:t>hasil</w:t>
      </w:r>
      <w:r w:rsidR="00A954D0">
        <w:rPr>
          <w:rFonts w:ascii="Bookman Old Style" w:hAnsi="Bookman Old Style"/>
        </w:rPr>
        <w:t xml:space="preserve"> </w:t>
      </w:r>
      <w:r w:rsidRPr="00B439FE">
        <w:rPr>
          <w:rFonts w:ascii="Bookman Old Style" w:hAnsi="Bookman Old Style"/>
        </w:rPr>
        <w:t>jasa</w:t>
      </w:r>
      <w:r w:rsidR="00A954D0">
        <w:rPr>
          <w:rFonts w:ascii="Bookman Old Style" w:hAnsi="Bookman Old Style"/>
        </w:rPr>
        <w:t xml:space="preserve"> </w:t>
      </w:r>
      <w:r w:rsidRPr="00B439FE">
        <w:rPr>
          <w:rFonts w:ascii="Bookman Old Style" w:hAnsi="Bookman Old Style"/>
        </w:rPr>
        <w:t>konsultansi</w:t>
      </w:r>
      <w:r w:rsidR="00A954D0">
        <w:rPr>
          <w:rFonts w:ascii="Bookman Old Style" w:hAnsi="Bookman Old Style"/>
        </w:rPr>
        <w:t xml:space="preserve"> </w:t>
      </w:r>
      <w:r w:rsidRPr="00B439FE">
        <w:rPr>
          <w:rFonts w:ascii="Bookman Old Style" w:hAnsi="Bookman Old Style"/>
        </w:rPr>
        <w:t>dimaksud</w:t>
      </w:r>
      <w:r w:rsidR="00A954D0">
        <w:rPr>
          <w:rFonts w:ascii="Bookman Old Style" w:hAnsi="Bookman Old Style"/>
        </w:rPr>
        <w:t xml:space="preserve"> </w:t>
      </w:r>
      <w:r w:rsidRPr="00B439FE">
        <w:rPr>
          <w:rFonts w:ascii="Bookman Old Style" w:hAnsi="Bookman Old Style"/>
        </w:rPr>
        <w:t>terhadap</w:t>
      </w:r>
      <w:r w:rsidR="00A954D0">
        <w:rPr>
          <w:rFonts w:ascii="Bookman Old Style" w:hAnsi="Bookman Old Style"/>
        </w:rPr>
        <w:t xml:space="preserve"> </w:t>
      </w:r>
      <w:r w:rsidRPr="00B439FE">
        <w:rPr>
          <w:rFonts w:ascii="Bookman Old Style" w:hAnsi="Bookman Old Style"/>
        </w:rPr>
        <w:t>kualitas</w:t>
      </w:r>
      <w:r w:rsidR="00A954D0">
        <w:rPr>
          <w:rFonts w:ascii="Bookman Old Style" w:hAnsi="Bookman Old Style"/>
        </w:rPr>
        <w:t xml:space="preserve"> </w:t>
      </w:r>
      <w:r w:rsidRPr="00B439FE">
        <w:rPr>
          <w:rFonts w:ascii="Bookman Old Style" w:hAnsi="Bookman Old Style"/>
        </w:rPr>
        <w:t>perumusan</w:t>
      </w:r>
      <w:r w:rsidR="00A954D0">
        <w:rPr>
          <w:rFonts w:ascii="Bookman Old Style" w:hAnsi="Bookman Old Style"/>
        </w:rPr>
        <w:t xml:space="preserve"> </w:t>
      </w:r>
      <w:r w:rsidRPr="00B439FE">
        <w:rPr>
          <w:rFonts w:ascii="Bookman Old Style" w:hAnsi="Bookman Old Style"/>
        </w:rPr>
        <w:t>kebijakan</w:t>
      </w:r>
      <w:r w:rsidR="00A954D0">
        <w:rPr>
          <w:rFonts w:ascii="Bookman Old Style" w:hAnsi="Bookman Old Style"/>
        </w:rPr>
        <w:t xml:space="preserve"> </w:t>
      </w:r>
      <w:r w:rsidRPr="00B439FE">
        <w:rPr>
          <w:rFonts w:ascii="Bookman Old Style" w:hAnsi="Bookman Old Style"/>
        </w:rPr>
        <w:t>baik</w:t>
      </w:r>
      <w:r w:rsidR="00A954D0">
        <w:rPr>
          <w:rFonts w:ascii="Bookman Old Style" w:hAnsi="Bookman Old Style"/>
        </w:rPr>
        <w:t xml:space="preserve"> </w:t>
      </w:r>
      <w:r w:rsidRPr="00B439FE">
        <w:rPr>
          <w:rFonts w:ascii="Bookman Old Style" w:hAnsi="Bookman Old Style"/>
        </w:rPr>
        <w:t>dibidang</w:t>
      </w:r>
      <w:r w:rsidR="00A954D0">
        <w:rPr>
          <w:rFonts w:ascii="Bookman Old Style" w:hAnsi="Bookman Old Style"/>
        </w:rPr>
        <w:t xml:space="preserve"> </w:t>
      </w:r>
      <w:r w:rsidRPr="00B439FE">
        <w:rPr>
          <w:rFonts w:ascii="Bookman Old Style" w:hAnsi="Bookman Old Style"/>
        </w:rPr>
        <w:t>perencanaan</w:t>
      </w:r>
      <w:r w:rsidR="00A954D0">
        <w:rPr>
          <w:rFonts w:ascii="Bookman Old Style" w:hAnsi="Bookman Old Style"/>
        </w:rPr>
        <w:t xml:space="preserve"> </w:t>
      </w:r>
      <w:r w:rsidRPr="00B439FE">
        <w:rPr>
          <w:rFonts w:ascii="Bookman Old Style" w:hAnsi="Bookman Old Style"/>
        </w:rPr>
        <w:lastRenderedPageBreak/>
        <w:t>dan</w:t>
      </w:r>
      <w:r w:rsidR="00A954D0">
        <w:rPr>
          <w:rFonts w:ascii="Bookman Old Style" w:hAnsi="Bookman Old Style"/>
        </w:rPr>
        <w:t xml:space="preserve"> </w:t>
      </w:r>
      <w:r w:rsidRPr="00B439FE">
        <w:rPr>
          <w:rFonts w:ascii="Bookman Old Style" w:hAnsi="Bookman Old Style"/>
        </w:rPr>
        <w:t>pelaksanaan</w:t>
      </w:r>
      <w:r w:rsidR="00A954D0">
        <w:rPr>
          <w:rFonts w:ascii="Bookman Old Style" w:hAnsi="Bookman Old Style"/>
        </w:rPr>
        <w:t xml:space="preserve"> </w:t>
      </w:r>
      <w:r w:rsidRPr="00B439FE">
        <w:rPr>
          <w:rFonts w:ascii="Bookman Old Style" w:hAnsi="Bookman Old Style"/>
        </w:rPr>
        <w:t>pembangunan</w:t>
      </w:r>
      <w:r w:rsidR="00A954D0">
        <w:rPr>
          <w:rFonts w:ascii="Bookman Old Style" w:hAnsi="Bookman Old Style"/>
        </w:rPr>
        <w:t xml:space="preserve"> </w:t>
      </w:r>
      <w:r w:rsidRPr="00B439FE">
        <w:rPr>
          <w:rFonts w:ascii="Bookman Old Style" w:hAnsi="Bookman Old Style"/>
        </w:rPr>
        <w:t>daerah</w:t>
      </w:r>
      <w:r w:rsidR="00A954D0">
        <w:rPr>
          <w:rFonts w:ascii="Bookman Old Style" w:hAnsi="Bookman Old Style"/>
        </w:rPr>
        <w:t xml:space="preserve"> </w:t>
      </w:r>
      <w:r w:rsidRPr="00B439FE">
        <w:rPr>
          <w:rFonts w:ascii="Bookman Old Style" w:hAnsi="Bookman Old Style"/>
        </w:rPr>
        <w:t>maupun</w:t>
      </w:r>
      <w:r w:rsidR="00A954D0">
        <w:rPr>
          <w:rFonts w:ascii="Bookman Old Style" w:hAnsi="Bookman Old Style"/>
        </w:rPr>
        <w:t xml:space="preserve"> </w:t>
      </w:r>
      <w:r w:rsidRPr="00B439FE">
        <w:rPr>
          <w:rFonts w:ascii="Bookman Old Style" w:hAnsi="Bookman Old Style"/>
        </w:rPr>
        <w:t>pelayanan</w:t>
      </w:r>
      <w:r w:rsidR="00A954D0">
        <w:rPr>
          <w:rFonts w:ascii="Bookman Old Style" w:hAnsi="Bookman Old Style"/>
        </w:rPr>
        <w:t xml:space="preserve"> </w:t>
      </w:r>
      <w:r w:rsidRPr="00B439FE">
        <w:rPr>
          <w:rFonts w:ascii="Bookman Old Style" w:hAnsi="Bookman Old Style"/>
        </w:rPr>
        <w:t>kepada</w:t>
      </w:r>
      <w:r w:rsidR="00A954D0">
        <w:rPr>
          <w:rFonts w:ascii="Bookman Old Style" w:hAnsi="Bookman Old Style"/>
        </w:rPr>
        <w:t xml:space="preserve"> </w:t>
      </w:r>
      <w:r w:rsidRPr="00B439FE">
        <w:rPr>
          <w:rFonts w:ascii="Bookman Old Style" w:hAnsi="Bookman Old Style"/>
        </w:rPr>
        <w:t>masyarakat.</w:t>
      </w:r>
    </w:p>
    <w:p w14:paraId="57C8C310" w14:textId="78F4BD7F" w:rsidR="003B7FE4" w:rsidRPr="00B439FE" w:rsidRDefault="003B7FE4" w:rsidP="005668F0">
      <w:pPr>
        <w:spacing w:before="60" w:line="276" w:lineRule="auto"/>
        <w:ind w:left="2694"/>
        <w:jc w:val="both"/>
        <w:rPr>
          <w:rFonts w:ascii="Bookman Old Style" w:hAnsi="Bookman Old Style" w:cs="Arial"/>
          <w:lang w:val="en-US"/>
        </w:rPr>
      </w:pPr>
      <w:r w:rsidRPr="00B439FE">
        <w:rPr>
          <w:rFonts w:ascii="Bookman Old Style" w:hAnsi="Bookman Old Style"/>
        </w:rPr>
        <w:t>Selanjutnya</w:t>
      </w:r>
      <w:r w:rsidR="00A954D0">
        <w:rPr>
          <w:rFonts w:ascii="Bookman Old Style" w:hAnsi="Bookman Old Style"/>
        </w:rPr>
        <w:t xml:space="preserve"> </w:t>
      </w:r>
      <w:r w:rsidRPr="00B439FE">
        <w:rPr>
          <w:rFonts w:ascii="Bookman Old Style" w:hAnsi="Bookman Old Style"/>
        </w:rPr>
        <w:t>penganggaran</w:t>
      </w:r>
      <w:r w:rsidR="00A954D0">
        <w:rPr>
          <w:rFonts w:ascii="Bookman Old Style" w:hAnsi="Bookman Old Style"/>
        </w:rPr>
        <w:t xml:space="preserve"> </w:t>
      </w:r>
      <w:r w:rsidRPr="00B439FE">
        <w:rPr>
          <w:rFonts w:ascii="Bookman Old Style" w:hAnsi="Bookman Old Style"/>
        </w:rPr>
        <w:t>belanja</w:t>
      </w:r>
      <w:r w:rsidR="00A954D0">
        <w:rPr>
          <w:rFonts w:ascii="Bookman Old Style" w:hAnsi="Bookman Old Style"/>
        </w:rPr>
        <w:t xml:space="preserve"> </w:t>
      </w:r>
      <w:r w:rsidRPr="00B439FE">
        <w:rPr>
          <w:rFonts w:ascii="Bookman Old Style" w:hAnsi="Bookman Old Style"/>
        </w:rPr>
        <w:t>jasa</w:t>
      </w:r>
      <w:r w:rsidR="00A954D0">
        <w:rPr>
          <w:rFonts w:ascii="Bookman Old Style" w:hAnsi="Bookman Old Style"/>
        </w:rPr>
        <w:t xml:space="preserve"> </w:t>
      </w:r>
      <w:r w:rsidRPr="00B439FE">
        <w:rPr>
          <w:rFonts w:ascii="Bookman Old Style" w:hAnsi="Bookman Old Style"/>
        </w:rPr>
        <w:t>konsultansi</w:t>
      </w:r>
      <w:r w:rsidR="00A954D0">
        <w:rPr>
          <w:rFonts w:ascii="Bookman Old Style" w:hAnsi="Bookman Old Style"/>
        </w:rPr>
        <w:t xml:space="preserve"> </w:t>
      </w:r>
      <w:r w:rsidRPr="00B439FE">
        <w:rPr>
          <w:rFonts w:ascii="Bookman Old Style" w:hAnsi="Bookman Old Style"/>
        </w:rPr>
        <w:t>konstruksi</w:t>
      </w:r>
      <w:r w:rsidR="00A954D0">
        <w:rPr>
          <w:rFonts w:ascii="Bookman Old Style" w:hAnsi="Bookman Old Style"/>
        </w:rPr>
        <w:t xml:space="preserve"> </w:t>
      </w:r>
      <w:r w:rsidRPr="00B439FE">
        <w:rPr>
          <w:rFonts w:ascii="Bookman Old Style" w:hAnsi="Bookman Old Style"/>
        </w:rPr>
        <w:t>mengikuti</w:t>
      </w:r>
      <w:r w:rsidR="00A954D0">
        <w:rPr>
          <w:rFonts w:ascii="Bookman Old Style" w:hAnsi="Bookman Old Style"/>
        </w:rPr>
        <w:t xml:space="preserve"> </w:t>
      </w:r>
      <w:r w:rsidRPr="00B439FE">
        <w:rPr>
          <w:rFonts w:ascii="Bookman Old Style" w:hAnsi="Bookman Old Style"/>
        </w:rPr>
        <w:t>konsep</w:t>
      </w:r>
      <w:r w:rsidR="00A954D0">
        <w:rPr>
          <w:rFonts w:ascii="Bookman Old Style" w:hAnsi="Bookman Old Style"/>
        </w:rPr>
        <w:t xml:space="preserve"> </w:t>
      </w:r>
      <w:r w:rsidRPr="00B439FE">
        <w:rPr>
          <w:rFonts w:ascii="Bookman Old Style" w:hAnsi="Bookman Old Style"/>
          <w:i/>
        </w:rPr>
        <w:t>full</w:t>
      </w:r>
      <w:r w:rsidR="00A954D0">
        <w:rPr>
          <w:rFonts w:ascii="Bookman Old Style" w:hAnsi="Bookman Old Style"/>
          <w:i/>
          <w:lang w:val="id-ID"/>
        </w:rPr>
        <w:t xml:space="preserve"> </w:t>
      </w:r>
      <w:r w:rsidRPr="00B439FE">
        <w:rPr>
          <w:rFonts w:ascii="Bookman Old Style" w:hAnsi="Bookman Old Style"/>
          <w:i/>
        </w:rPr>
        <w:t>costing</w:t>
      </w:r>
      <w:r w:rsidR="00A954D0">
        <w:rPr>
          <w:rFonts w:ascii="Bookman Old Style" w:hAnsi="Bookman Old Style"/>
        </w:rPr>
        <w:t xml:space="preserve"> </w:t>
      </w:r>
      <w:r w:rsidRPr="00B439FE">
        <w:rPr>
          <w:rFonts w:ascii="Bookman Old Style" w:hAnsi="Bookman Old Style"/>
        </w:rPr>
        <w:t>atau</w:t>
      </w:r>
      <w:r w:rsidR="00A954D0">
        <w:rPr>
          <w:rFonts w:ascii="Bookman Old Style" w:hAnsi="Bookman Old Style"/>
        </w:rPr>
        <w:t xml:space="preserve"> </w:t>
      </w:r>
      <w:r w:rsidRPr="00B439FE">
        <w:rPr>
          <w:rFonts w:ascii="Bookman Old Style" w:hAnsi="Bookman Old Style"/>
        </w:rPr>
        <w:t>nilai</w:t>
      </w:r>
      <w:r w:rsidR="00A954D0">
        <w:rPr>
          <w:rFonts w:ascii="Bookman Old Style" w:hAnsi="Bookman Old Style"/>
        </w:rPr>
        <w:t xml:space="preserve"> </w:t>
      </w:r>
      <w:r w:rsidRPr="00B439FE">
        <w:rPr>
          <w:rFonts w:ascii="Bookman Old Style" w:hAnsi="Bookman Old Style"/>
        </w:rPr>
        <w:t>aset</w:t>
      </w:r>
      <w:r w:rsidR="00A954D0">
        <w:rPr>
          <w:rFonts w:ascii="Bookman Old Style" w:hAnsi="Bookman Old Style"/>
        </w:rPr>
        <w:t xml:space="preserve"> </w:t>
      </w:r>
      <w:r w:rsidRPr="00B439FE">
        <w:rPr>
          <w:rFonts w:ascii="Bookman Old Style" w:hAnsi="Bookman Old Style"/>
        </w:rPr>
        <w:t>tetap</w:t>
      </w:r>
      <w:r w:rsidR="00A954D0">
        <w:rPr>
          <w:rFonts w:ascii="Bookman Old Style" w:hAnsi="Bookman Old Style"/>
        </w:rPr>
        <w:t xml:space="preserve"> </w:t>
      </w:r>
      <w:r w:rsidRPr="00B439FE">
        <w:rPr>
          <w:rFonts w:ascii="Bookman Old Style" w:hAnsi="Bookman Old Style"/>
        </w:rPr>
        <w:t>yang</w:t>
      </w:r>
      <w:r w:rsidR="00A954D0">
        <w:rPr>
          <w:rFonts w:ascii="Bookman Old Style" w:hAnsi="Bookman Old Style"/>
        </w:rPr>
        <w:t xml:space="preserve"> </w:t>
      </w:r>
      <w:r w:rsidRPr="00B439FE">
        <w:rPr>
          <w:rFonts w:ascii="Bookman Old Style" w:hAnsi="Bookman Old Style"/>
        </w:rPr>
        <w:t>dianggarkan</w:t>
      </w:r>
      <w:r w:rsidR="00A954D0">
        <w:rPr>
          <w:rFonts w:ascii="Bookman Old Style" w:hAnsi="Bookman Old Style"/>
          <w:lang w:val="id-ID"/>
        </w:rPr>
        <w:t xml:space="preserve"> </w:t>
      </w:r>
      <w:r w:rsidRPr="00B439FE">
        <w:rPr>
          <w:rFonts w:ascii="Bookman Old Style" w:hAnsi="Bookman Old Style"/>
        </w:rPr>
        <w:t>dalam</w:t>
      </w:r>
      <w:r w:rsidR="00A954D0">
        <w:rPr>
          <w:rFonts w:ascii="Bookman Old Style" w:hAnsi="Bookman Old Style"/>
        </w:rPr>
        <w:t xml:space="preserve"> </w:t>
      </w:r>
      <w:r w:rsidRPr="00B439FE">
        <w:rPr>
          <w:rFonts w:ascii="Bookman Old Style" w:hAnsi="Bookman Old Style"/>
        </w:rPr>
        <w:t>belanja</w:t>
      </w:r>
      <w:r w:rsidR="00A954D0">
        <w:rPr>
          <w:rFonts w:ascii="Bookman Old Style" w:hAnsi="Bookman Old Style"/>
        </w:rPr>
        <w:t xml:space="preserve"> </w:t>
      </w:r>
      <w:r w:rsidRPr="00B439FE">
        <w:rPr>
          <w:rFonts w:ascii="Bookman Old Style" w:hAnsi="Bookman Old Style"/>
        </w:rPr>
        <w:t>modal</w:t>
      </w:r>
      <w:r w:rsidR="00A954D0">
        <w:rPr>
          <w:rFonts w:ascii="Bookman Old Style" w:hAnsi="Bookman Old Style"/>
        </w:rPr>
        <w:t xml:space="preserve"> </w:t>
      </w:r>
      <w:r w:rsidRPr="00B439FE">
        <w:rPr>
          <w:rFonts w:ascii="Bookman Old Style" w:hAnsi="Bookman Old Style"/>
        </w:rPr>
        <w:t>adalah</w:t>
      </w:r>
      <w:r w:rsidR="00A954D0">
        <w:rPr>
          <w:rFonts w:ascii="Bookman Old Style" w:hAnsi="Bookman Old Style"/>
        </w:rPr>
        <w:t xml:space="preserve"> </w:t>
      </w:r>
      <w:r w:rsidRPr="00B439FE">
        <w:rPr>
          <w:rFonts w:ascii="Bookman Old Style" w:hAnsi="Bookman Old Style"/>
        </w:rPr>
        <w:t>sebesar</w:t>
      </w:r>
      <w:r w:rsidR="00A954D0">
        <w:rPr>
          <w:rFonts w:ascii="Bookman Old Style" w:hAnsi="Bookman Old Style"/>
        </w:rPr>
        <w:t xml:space="preserve"> </w:t>
      </w:r>
      <w:r w:rsidRPr="00B439FE">
        <w:rPr>
          <w:rFonts w:ascii="Bookman Old Style" w:hAnsi="Bookman Old Style"/>
        </w:rPr>
        <w:t>harga</w:t>
      </w:r>
      <w:r w:rsidR="00A954D0">
        <w:rPr>
          <w:rFonts w:ascii="Bookman Old Style" w:hAnsi="Bookman Old Style"/>
          <w:lang w:val="id-ID"/>
        </w:rPr>
        <w:t xml:space="preserve"> </w:t>
      </w:r>
      <w:r w:rsidRPr="00B439FE">
        <w:rPr>
          <w:rFonts w:ascii="Bookman Old Style" w:hAnsi="Bookman Old Style"/>
        </w:rPr>
        <w:t>beli/bangun</w:t>
      </w:r>
      <w:r w:rsidR="00A954D0">
        <w:rPr>
          <w:rFonts w:ascii="Bookman Old Style" w:hAnsi="Bookman Old Style"/>
        </w:rPr>
        <w:t xml:space="preserve"> </w:t>
      </w:r>
      <w:r w:rsidRPr="00B439FE">
        <w:rPr>
          <w:rFonts w:ascii="Bookman Old Style" w:hAnsi="Bookman Old Style"/>
        </w:rPr>
        <w:t>aset</w:t>
      </w:r>
      <w:r w:rsidR="00A954D0">
        <w:rPr>
          <w:rFonts w:ascii="Bookman Old Style" w:hAnsi="Bookman Old Style"/>
        </w:rPr>
        <w:t xml:space="preserve"> </w:t>
      </w:r>
      <w:r w:rsidRPr="00B439FE">
        <w:rPr>
          <w:rFonts w:ascii="Bookman Old Style" w:hAnsi="Bookman Old Style"/>
        </w:rPr>
        <w:t>ditambah</w:t>
      </w:r>
      <w:r w:rsidR="00A954D0">
        <w:rPr>
          <w:rFonts w:ascii="Bookman Old Style" w:hAnsi="Bookman Old Style"/>
        </w:rPr>
        <w:t xml:space="preserve"> </w:t>
      </w:r>
      <w:r w:rsidRPr="00B439FE">
        <w:rPr>
          <w:rFonts w:ascii="Bookman Old Style" w:hAnsi="Bookman Old Style"/>
        </w:rPr>
        <w:t>seluruh</w:t>
      </w:r>
      <w:r w:rsidR="00A954D0">
        <w:rPr>
          <w:rFonts w:ascii="Bookman Old Style" w:hAnsi="Bookman Old Style"/>
        </w:rPr>
        <w:t xml:space="preserve"> </w:t>
      </w:r>
      <w:r w:rsidRPr="00B439FE">
        <w:rPr>
          <w:rFonts w:ascii="Bookman Old Style" w:hAnsi="Bookman Old Style"/>
        </w:rPr>
        <w:t>belanja</w:t>
      </w:r>
      <w:r w:rsidR="00A954D0">
        <w:rPr>
          <w:rFonts w:ascii="Bookman Old Style" w:hAnsi="Bookman Old Style"/>
        </w:rPr>
        <w:t xml:space="preserve"> </w:t>
      </w:r>
      <w:r w:rsidRPr="00B439FE">
        <w:rPr>
          <w:rFonts w:ascii="Bookman Old Style" w:hAnsi="Bookman Old Style"/>
        </w:rPr>
        <w:t>yang</w:t>
      </w:r>
      <w:r w:rsidR="00A954D0">
        <w:rPr>
          <w:rFonts w:ascii="Bookman Old Style" w:hAnsi="Bookman Old Style"/>
          <w:lang w:val="id-ID"/>
        </w:rPr>
        <w:t xml:space="preserve"> </w:t>
      </w:r>
      <w:r w:rsidRPr="00B439FE">
        <w:rPr>
          <w:rFonts w:ascii="Bookman Old Style" w:hAnsi="Bookman Old Style"/>
        </w:rPr>
        <w:t>terkait</w:t>
      </w:r>
      <w:r w:rsidR="00A954D0">
        <w:rPr>
          <w:rFonts w:ascii="Bookman Old Style" w:hAnsi="Bookman Old Style"/>
        </w:rPr>
        <w:t xml:space="preserve"> </w:t>
      </w:r>
      <w:r w:rsidRPr="00B439FE">
        <w:rPr>
          <w:rFonts w:ascii="Bookman Old Style" w:hAnsi="Bookman Old Style"/>
        </w:rPr>
        <w:t>dengan</w:t>
      </w:r>
      <w:r w:rsidR="00A954D0">
        <w:rPr>
          <w:rFonts w:ascii="Bookman Old Style" w:hAnsi="Bookman Old Style"/>
        </w:rPr>
        <w:t xml:space="preserve"> </w:t>
      </w:r>
      <w:r w:rsidRPr="00B439FE">
        <w:rPr>
          <w:rFonts w:ascii="Bookman Old Style" w:hAnsi="Bookman Old Style"/>
        </w:rPr>
        <w:t>pengadaan/pembangunan</w:t>
      </w:r>
      <w:r w:rsidR="00A954D0">
        <w:rPr>
          <w:rFonts w:ascii="Bookman Old Style" w:hAnsi="Bookman Old Style"/>
        </w:rPr>
        <w:t xml:space="preserve"> </w:t>
      </w:r>
      <w:r w:rsidRPr="00B439FE">
        <w:rPr>
          <w:rFonts w:ascii="Bookman Old Style" w:hAnsi="Bookman Old Style"/>
        </w:rPr>
        <w:t>aset</w:t>
      </w:r>
      <w:r w:rsidR="00A954D0">
        <w:rPr>
          <w:rFonts w:ascii="Bookman Old Style" w:hAnsi="Bookman Old Style"/>
          <w:lang w:val="id-ID"/>
        </w:rPr>
        <w:t xml:space="preserve"> </w:t>
      </w:r>
      <w:r w:rsidRPr="00B439FE">
        <w:rPr>
          <w:rFonts w:ascii="Bookman Old Style" w:hAnsi="Bookman Old Style"/>
        </w:rPr>
        <w:t>sampai</w:t>
      </w:r>
      <w:r w:rsidR="00A954D0">
        <w:rPr>
          <w:rFonts w:ascii="Bookman Old Style" w:hAnsi="Bookman Old Style"/>
        </w:rPr>
        <w:t xml:space="preserve"> </w:t>
      </w:r>
      <w:r w:rsidRPr="00B439FE">
        <w:rPr>
          <w:rFonts w:ascii="Bookman Old Style" w:hAnsi="Bookman Old Style"/>
        </w:rPr>
        <w:t>siap</w:t>
      </w:r>
      <w:r w:rsidR="00A954D0">
        <w:rPr>
          <w:rFonts w:ascii="Bookman Old Style" w:hAnsi="Bookman Old Style"/>
        </w:rPr>
        <w:t xml:space="preserve"> </w:t>
      </w:r>
      <w:r w:rsidRPr="00B439FE">
        <w:rPr>
          <w:rFonts w:ascii="Bookman Old Style" w:hAnsi="Bookman Old Style"/>
        </w:rPr>
        <w:t>digunakan,</w:t>
      </w:r>
      <w:r w:rsidR="00A954D0">
        <w:rPr>
          <w:rFonts w:ascii="Bookman Old Style" w:hAnsi="Bookman Old Style"/>
        </w:rPr>
        <w:t xml:space="preserve"> </w:t>
      </w:r>
      <w:r w:rsidRPr="00B439FE">
        <w:rPr>
          <w:rFonts w:ascii="Bookman Old Style" w:hAnsi="Bookman Old Style"/>
        </w:rPr>
        <w:t>kecuali</w:t>
      </w:r>
      <w:r w:rsidR="00A954D0">
        <w:rPr>
          <w:rFonts w:ascii="Bookman Old Style" w:hAnsi="Bookman Old Style"/>
        </w:rPr>
        <w:t xml:space="preserve"> </w:t>
      </w:r>
      <w:r w:rsidRPr="00B439FE">
        <w:rPr>
          <w:rFonts w:ascii="Bookman Old Style" w:hAnsi="Bookman Old Style"/>
        </w:rPr>
        <w:t>diatur</w:t>
      </w:r>
      <w:r w:rsidR="00A954D0">
        <w:rPr>
          <w:rFonts w:ascii="Bookman Old Style" w:hAnsi="Bookman Old Style"/>
        </w:rPr>
        <w:t xml:space="preserve"> </w:t>
      </w:r>
      <w:r w:rsidRPr="00B439FE">
        <w:rPr>
          <w:rFonts w:ascii="Bookman Old Style" w:hAnsi="Bookman Old Style"/>
        </w:rPr>
        <w:t>lain</w:t>
      </w:r>
      <w:r w:rsidR="00A954D0">
        <w:rPr>
          <w:rFonts w:ascii="Bookman Old Style" w:hAnsi="Bookman Old Style"/>
        </w:rPr>
        <w:t xml:space="preserve"> </w:t>
      </w:r>
      <w:r w:rsidRPr="00B439FE">
        <w:rPr>
          <w:rFonts w:ascii="Bookman Old Style" w:hAnsi="Bookman Old Style"/>
        </w:rPr>
        <w:t>oleh</w:t>
      </w:r>
      <w:r w:rsidR="00A954D0">
        <w:rPr>
          <w:rFonts w:ascii="Bookman Old Style" w:hAnsi="Bookman Old Style"/>
        </w:rPr>
        <w:t xml:space="preserve"> </w:t>
      </w:r>
      <w:r w:rsidRPr="00B439FE">
        <w:rPr>
          <w:rFonts w:ascii="Bookman Old Style" w:hAnsi="Bookman Old Style"/>
        </w:rPr>
        <w:t>ketentuan</w:t>
      </w:r>
      <w:r w:rsidR="00A954D0">
        <w:rPr>
          <w:rFonts w:ascii="Bookman Old Style" w:hAnsi="Bookman Old Style"/>
        </w:rPr>
        <w:t xml:space="preserve"> </w:t>
      </w:r>
      <w:r w:rsidRPr="00B439FE">
        <w:rPr>
          <w:rFonts w:ascii="Bookman Old Style" w:hAnsi="Bookman Old Style"/>
        </w:rPr>
        <w:t>peraturan</w:t>
      </w:r>
      <w:r w:rsidR="00A954D0">
        <w:rPr>
          <w:rFonts w:ascii="Bookman Old Style" w:hAnsi="Bookman Old Style"/>
        </w:rPr>
        <w:t xml:space="preserve"> </w:t>
      </w:r>
      <w:r w:rsidRPr="00B439FE">
        <w:rPr>
          <w:rFonts w:ascii="Bookman Old Style" w:hAnsi="Bookman Old Style"/>
        </w:rPr>
        <w:t>perundang-undangan</w:t>
      </w:r>
      <w:r w:rsidR="00A954D0">
        <w:rPr>
          <w:rFonts w:ascii="Bookman Old Style" w:hAnsi="Bookman Old Style"/>
        </w:rPr>
        <w:t xml:space="preserve"> </w:t>
      </w:r>
      <w:r w:rsidRPr="00B439FE">
        <w:rPr>
          <w:rFonts w:ascii="Bookman Old Style" w:hAnsi="Bookman Old Style"/>
        </w:rPr>
        <w:t>dan</w:t>
      </w:r>
      <w:r w:rsidR="00A954D0">
        <w:rPr>
          <w:rFonts w:ascii="Bookman Old Style" w:hAnsi="Bookman Old Style"/>
        </w:rPr>
        <w:t xml:space="preserve"> </w:t>
      </w:r>
      <w:r w:rsidRPr="00B439FE">
        <w:rPr>
          <w:rFonts w:ascii="Bookman Old Style" w:hAnsi="Bookman Old Style"/>
        </w:rPr>
        <w:t>diakui</w:t>
      </w:r>
      <w:r w:rsidR="00A954D0">
        <w:rPr>
          <w:rFonts w:ascii="Bookman Old Style" w:hAnsi="Bookman Old Style"/>
        </w:rPr>
        <w:t xml:space="preserve"> </w:t>
      </w:r>
      <w:r w:rsidRPr="00B439FE">
        <w:rPr>
          <w:rFonts w:ascii="Bookman Old Style" w:hAnsi="Bookman Old Style"/>
        </w:rPr>
        <w:t>sebagai</w:t>
      </w:r>
      <w:r w:rsidR="00A954D0">
        <w:rPr>
          <w:rFonts w:ascii="Bookman Old Style" w:hAnsi="Bookman Old Style"/>
        </w:rPr>
        <w:t xml:space="preserve"> </w:t>
      </w:r>
      <w:r w:rsidRPr="00B439FE">
        <w:rPr>
          <w:rFonts w:ascii="Bookman Old Style" w:hAnsi="Bookman Old Style"/>
        </w:rPr>
        <w:t>Kontruksi</w:t>
      </w:r>
      <w:r w:rsidR="00A954D0">
        <w:rPr>
          <w:rFonts w:ascii="Bookman Old Style" w:hAnsi="Bookman Old Style"/>
        </w:rPr>
        <w:t xml:space="preserve"> </w:t>
      </w:r>
      <w:r w:rsidRPr="00B439FE">
        <w:rPr>
          <w:rFonts w:ascii="Bookman Old Style" w:hAnsi="Bookman Old Style"/>
        </w:rPr>
        <w:t>Dalam</w:t>
      </w:r>
      <w:r w:rsidR="00A954D0">
        <w:rPr>
          <w:rFonts w:ascii="Bookman Old Style" w:hAnsi="Bookman Old Style"/>
        </w:rPr>
        <w:t xml:space="preserve"> </w:t>
      </w:r>
      <w:r w:rsidRPr="00B439FE">
        <w:rPr>
          <w:rFonts w:ascii="Bookman Old Style" w:hAnsi="Bookman Old Style"/>
        </w:rPr>
        <w:t>Pengerjaan</w:t>
      </w:r>
      <w:r w:rsidR="00A954D0">
        <w:rPr>
          <w:rFonts w:ascii="Bookman Old Style" w:hAnsi="Bookman Old Style"/>
        </w:rPr>
        <w:t xml:space="preserve"> </w:t>
      </w:r>
      <w:r w:rsidRPr="00B439FE">
        <w:rPr>
          <w:rFonts w:ascii="Bookman Old Style" w:hAnsi="Bookman Old Style"/>
        </w:rPr>
        <w:t>(KDP)</w:t>
      </w:r>
      <w:r w:rsidRPr="00B439FE">
        <w:rPr>
          <w:rFonts w:ascii="Bookman Old Style" w:hAnsi="Bookman Old Style"/>
          <w:lang w:val="id-ID"/>
        </w:rPr>
        <w:t>,</w:t>
      </w:r>
      <w:r w:rsidR="00A954D0">
        <w:rPr>
          <w:rFonts w:ascii="Bookman Old Style" w:hAnsi="Bookman Old Style"/>
          <w:lang w:val="id-ID"/>
        </w:rPr>
        <w:t xml:space="preserve"> </w:t>
      </w:r>
      <w:r w:rsidRPr="00B439FE">
        <w:rPr>
          <w:rFonts w:ascii="Bookman Old Style" w:hAnsi="Bookman Old Style"/>
        </w:rPr>
        <w:t>dan</w:t>
      </w:r>
      <w:r w:rsidR="00A954D0">
        <w:rPr>
          <w:rFonts w:ascii="Bookman Old Style" w:hAnsi="Bookman Old Style"/>
        </w:rPr>
        <w:t xml:space="preserve"> </w:t>
      </w:r>
      <w:r w:rsidRPr="00B439FE">
        <w:rPr>
          <w:rFonts w:ascii="Bookman Old Style" w:hAnsi="Bookman Old Style"/>
        </w:rPr>
        <w:t>belanja</w:t>
      </w:r>
      <w:r w:rsidR="00A954D0">
        <w:rPr>
          <w:rFonts w:ascii="Bookman Old Style" w:hAnsi="Bookman Old Style"/>
        </w:rPr>
        <w:t xml:space="preserve"> </w:t>
      </w:r>
      <w:r w:rsidRPr="00B439FE">
        <w:rPr>
          <w:rFonts w:ascii="Bookman Old Style" w:hAnsi="Bookman Old Style"/>
        </w:rPr>
        <w:t>jasa</w:t>
      </w:r>
      <w:r w:rsidR="00A954D0">
        <w:rPr>
          <w:rFonts w:ascii="Bookman Old Style" w:hAnsi="Bookman Old Style"/>
        </w:rPr>
        <w:t xml:space="preserve"> </w:t>
      </w:r>
      <w:r w:rsidRPr="00B439FE">
        <w:rPr>
          <w:rFonts w:ascii="Bookman Old Style" w:hAnsi="Bookman Old Style"/>
        </w:rPr>
        <w:t>ketersediaan</w:t>
      </w:r>
      <w:r w:rsidR="00A954D0">
        <w:rPr>
          <w:rFonts w:ascii="Bookman Old Style" w:hAnsi="Bookman Old Style"/>
        </w:rPr>
        <w:t xml:space="preserve"> </w:t>
      </w:r>
      <w:r w:rsidRPr="00B439FE">
        <w:rPr>
          <w:rFonts w:ascii="Bookman Old Style" w:hAnsi="Bookman Old Style"/>
        </w:rPr>
        <w:t>layanan</w:t>
      </w:r>
      <w:r w:rsidR="00A954D0">
        <w:rPr>
          <w:rFonts w:ascii="Bookman Old Style" w:hAnsi="Bookman Old Style"/>
        </w:rPr>
        <w:t xml:space="preserve"> </w:t>
      </w:r>
      <w:r w:rsidRPr="00B439FE">
        <w:rPr>
          <w:rFonts w:ascii="Bookman Old Style" w:hAnsi="Bookman Old Style"/>
          <w:i/>
          <w:iCs/>
        </w:rPr>
        <w:t>(availability</w:t>
      </w:r>
      <w:r w:rsidR="00A954D0">
        <w:rPr>
          <w:rFonts w:ascii="Bookman Old Style" w:hAnsi="Bookman Old Style"/>
          <w:i/>
          <w:iCs/>
        </w:rPr>
        <w:t xml:space="preserve"> </w:t>
      </w:r>
      <w:r w:rsidRPr="00B439FE">
        <w:rPr>
          <w:rFonts w:ascii="Bookman Old Style" w:hAnsi="Bookman Old Style"/>
          <w:i/>
          <w:iCs/>
        </w:rPr>
        <w:t>payment)</w:t>
      </w:r>
      <w:r w:rsidR="00A954D0">
        <w:rPr>
          <w:rFonts w:ascii="Bookman Old Style" w:hAnsi="Bookman Old Style"/>
        </w:rPr>
        <w:t xml:space="preserve"> </w:t>
      </w:r>
      <w:r w:rsidRPr="00B439FE">
        <w:rPr>
          <w:rFonts w:ascii="Bookman Old Style" w:hAnsi="Bookman Old Style"/>
        </w:rPr>
        <w:t>untuk</w:t>
      </w:r>
      <w:r w:rsidR="00A954D0">
        <w:rPr>
          <w:rFonts w:ascii="Bookman Old Style" w:hAnsi="Bookman Old Style"/>
        </w:rPr>
        <w:t xml:space="preserve"> </w:t>
      </w:r>
      <w:r w:rsidRPr="00B439FE">
        <w:rPr>
          <w:rFonts w:ascii="Bookman Old Style" w:hAnsi="Bookman Old Style"/>
        </w:rPr>
        <w:t>pembayaran</w:t>
      </w:r>
      <w:r w:rsidR="00A954D0">
        <w:rPr>
          <w:rFonts w:ascii="Bookman Old Style" w:hAnsi="Bookman Old Style"/>
        </w:rPr>
        <w:t xml:space="preserve"> </w:t>
      </w:r>
      <w:r w:rsidRPr="00B439FE">
        <w:rPr>
          <w:rFonts w:ascii="Bookman Old Style" w:hAnsi="Bookman Old Style"/>
        </w:rPr>
        <w:t>secara</w:t>
      </w:r>
      <w:r w:rsidR="00A954D0">
        <w:rPr>
          <w:rFonts w:ascii="Bookman Old Style" w:hAnsi="Bookman Old Style"/>
        </w:rPr>
        <w:t xml:space="preserve"> </w:t>
      </w:r>
      <w:r w:rsidRPr="00B439FE">
        <w:rPr>
          <w:rFonts w:ascii="Bookman Old Style" w:hAnsi="Bookman Old Style"/>
        </w:rPr>
        <w:t>berkala</w:t>
      </w:r>
      <w:r w:rsidR="00A954D0">
        <w:rPr>
          <w:rFonts w:ascii="Bookman Old Style" w:hAnsi="Bookman Old Style"/>
        </w:rPr>
        <w:t xml:space="preserve"> </w:t>
      </w:r>
      <w:r w:rsidRPr="00B439FE">
        <w:rPr>
          <w:rFonts w:ascii="Bookman Old Style" w:hAnsi="Bookman Old Style"/>
        </w:rPr>
        <w:t>oleh</w:t>
      </w:r>
      <w:r w:rsidR="00A954D0">
        <w:rPr>
          <w:rFonts w:ascii="Bookman Old Style" w:hAnsi="Bookman Old Style"/>
        </w:rPr>
        <w:t xml:space="preserve"> </w:t>
      </w:r>
      <w:r w:rsidRPr="00B439FE">
        <w:rPr>
          <w:rFonts w:ascii="Bookman Old Style" w:hAnsi="Bookman Old Style"/>
        </w:rPr>
        <w:t>kepala</w:t>
      </w:r>
      <w:r w:rsidR="00A954D0">
        <w:rPr>
          <w:rFonts w:ascii="Bookman Old Style" w:hAnsi="Bookman Old Style"/>
        </w:rPr>
        <w:t xml:space="preserve"> </w:t>
      </w:r>
      <w:r w:rsidRPr="00B439FE">
        <w:rPr>
          <w:rFonts w:ascii="Bookman Old Style" w:hAnsi="Bookman Old Style"/>
        </w:rPr>
        <w:t>daerah</w:t>
      </w:r>
      <w:r w:rsidR="00A954D0">
        <w:rPr>
          <w:rFonts w:ascii="Bookman Old Style" w:hAnsi="Bookman Old Style"/>
        </w:rPr>
        <w:t xml:space="preserve"> </w:t>
      </w:r>
      <w:r w:rsidRPr="00B439FE">
        <w:rPr>
          <w:rFonts w:ascii="Bookman Old Style" w:hAnsi="Bookman Old Style"/>
        </w:rPr>
        <w:t>kepada</w:t>
      </w:r>
      <w:r w:rsidR="00A954D0">
        <w:rPr>
          <w:rFonts w:ascii="Bookman Old Style" w:hAnsi="Bookman Old Style"/>
        </w:rPr>
        <w:t xml:space="preserve"> </w:t>
      </w:r>
      <w:r w:rsidRPr="00B439FE">
        <w:rPr>
          <w:rFonts w:ascii="Bookman Old Style" w:hAnsi="Bookman Old Style"/>
        </w:rPr>
        <w:t>badan</w:t>
      </w:r>
      <w:r w:rsidR="00A954D0">
        <w:rPr>
          <w:rFonts w:ascii="Bookman Old Style" w:hAnsi="Bookman Old Style"/>
        </w:rPr>
        <w:t xml:space="preserve"> </w:t>
      </w:r>
      <w:r w:rsidRPr="00B439FE">
        <w:rPr>
          <w:rFonts w:ascii="Bookman Old Style" w:hAnsi="Bookman Old Style"/>
        </w:rPr>
        <w:t>usaha</w:t>
      </w:r>
      <w:r w:rsidR="00A954D0">
        <w:rPr>
          <w:rFonts w:ascii="Bookman Old Style" w:hAnsi="Bookman Old Style"/>
        </w:rPr>
        <w:t xml:space="preserve"> </w:t>
      </w:r>
      <w:r w:rsidRPr="00B439FE">
        <w:rPr>
          <w:rFonts w:ascii="Bookman Old Style" w:hAnsi="Bookman Old Style"/>
        </w:rPr>
        <w:t>pelaksana</w:t>
      </w:r>
      <w:r w:rsidR="00A954D0">
        <w:rPr>
          <w:rFonts w:ascii="Bookman Old Style" w:hAnsi="Bookman Old Style"/>
        </w:rPr>
        <w:t xml:space="preserve"> </w:t>
      </w:r>
      <w:r w:rsidRPr="00B439FE">
        <w:rPr>
          <w:rFonts w:ascii="Bookman Old Style" w:hAnsi="Bookman Old Style"/>
        </w:rPr>
        <w:t>atas</w:t>
      </w:r>
      <w:r w:rsidR="00A954D0">
        <w:rPr>
          <w:rFonts w:ascii="Bookman Old Style" w:hAnsi="Bookman Old Style"/>
        </w:rPr>
        <w:t xml:space="preserve"> </w:t>
      </w:r>
      <w:r w:rsidRPr="00B439FE">
        <w:rPr>
          <w:rFonts w:ascii="Bookman Old Style" w:hAnsi="Bookman Old Style"/>
        </w:rPr>
        <w:t>tersedianya</w:t>
      </w:r>
      <w:r w:rsidR="00A954D0">
        <w:rPr>
          <w:rFonts w:ascii="Bookman Old Style" w:hAnsi="Bookman Old Style"/>
        </w:rPr>
        <w:t xml:space="preserve"> </w:t>
      </w:r>
      <w:r w:rsidRPr="00B439FE">
        <w:rPr>
          <w:rFonts w:ascii="Bookman Old Style" w:hAnsi="Bookman Old Style"/>
        </w:rPr>
        <w:t>layanan</w:t>
      </w:r>
      <w:r w:rsidR="00A954D0">
        <w:rPr>
          <w:rFonts w:ascii="Bookman Old Style" w:hAnsi="Bookman Old Style"/>
        </w:rPr>
        <w:t xml:space="preserve"> </w:t>
      </w:r>
      <w:r w:rsidRPr="00B439FE">
        <w:rPr>
          <w:rFonts w:ascii="Bookman Old Style" w:hAnsi="Bookman Old Style"/>
        </w:rPr>
        <w:t>yang</w:t>
      </w:r>
      <w:r w:rsidR="00A954D0">
        <w:rPr>
          <w:rFonts w:ascii="Bookman Old Style" w:hAnsi="Bookman Old Style"/>
        </w:rPr>
        <w:t xml:space="preserve"> </w:t>
      </w:r>
      <w:r w:rsidRPr="00B439FE">
        <w:rPr>
          <w:rFonts w:ascii="Bookman Old Style" w:hAnsi="Bookman Old Style"/>
        </w:rPr>
        <w:t>sesuai</w:t>
      </w:r>
      <w:r w:rsidR="00A954D0">
        <w:rPr>
          <w:rFonts w:ascii="Bookman Old Style" w:hAnsi="Bookman Old Style"/>
        </w:rPr>
        <w:t xml:space="preserve"> </w:t>
      </w:r>
      <w:r w:rsidRPr="00B439FE">
        <w:rPr>
          <w:rFonts w:ascii="Bookman Old Style" w:hAnsi="Bookman Old Style"/>
        </w:rPr>
        <w:t>dengan</w:t>
      </w:r>
      <w:r w:rsidR="00A954D0">
        <w:rPr>
          <w:rFonts w:ascii="Bookman Old Style" w:hAnsi="Bookman Old Style"/>
        </w:rPr>
        <w:t xml:space="preserve"> </w:t>
      </w:r>
      <w:r w:rsidRPr="00B439FE">
        <w:rPr>
          <w:rFonts w:ascii="Bookman Old Style" w:hAnsi="Bookman Old Style"/>
        </w:rPr>
        <w:t>kualitas</w:t>
      </w:r>
      <w:r w:rsidR="00A954D0">
        <w:rPr>
          <w:rFonts w:ascii="Bookman Old Style" w:hAnsi="Bookman Old Style"/>
        </w:rPr>
        <w:t xml:space="preserve"> </w:t>
      </w:r>
      <w:r w:rsidRPr="00B439FE">
        <w:rPr>
          <w:rFonts w:ascii="Bookman Old Style" w:hAnsi="Bookman Old Style"/>
        </w:rPr>
        <w:t>dan/atau</w:t>
      </w:r>
      <w:r w:rsidR="00A954D0">
        <w:rPr>
          <w:rFonts w:ascii="Bookman Old Style" w:hAnsi="Bookman Old Style"/>
        </w:rPr>
        <w:t xml:space="preserve"> </w:t>
      </w:r>
      <w:r w:rsidRPr="00B439FE">
        <w:rPr>
          <w:rFonts w:ascii="Bookman Old Style" w:hAnsi="Bookman Old Style"/>
        </w:rPr>
        <w:t>kriteria</w:t>
      </w:r>
      <w:r w:rsidR="00A954D0">
        <w:rPr>
          <w:rFonts w:ascii="Bookman Old Style" w:hAnsi="Bookman Old Style"/>
        </w:rPr>
        <w:t xml:space="preserve"> </w:t>
      </w:r>
      <w:r w:rsidRPr="00B439FE">
        <w:rPr>
          <w:rFonts w:ascii="Bookman Old Style" w:hAnsi="Bookman Old Style"/>
        </w:rPr>
        <w:t>sebagaimana</w:t>
      </w:r>
      <w:r w:rsidR="00A954D0">
        <w:rPr>
          <w:rFonts w:ascii="Bookman Old Style" w:hAnsi="Bookman Old Style"/>
        </w:rPr>
        <w:t xml:space="preserve"> </w:t>
      </w:r>
      <w:r w:rsidRPr="00B439FE">
        <w:rPr>
          <w:rFonts w:ascii="Bookman Old Style" w:hAnsi="Bookman Old Style"/>
        </w:rPr>
        <w:t>ditentukan</w:t>
      </w:r>
      <w:r w:rsidR="00A954D0">
        <w:rPr>
          <w:rFonts w:ascii="Bookman Old Style" w:hAnsi="Bookman Old Style"/>
        </w:rPr>
        <w:t xml:space="preserve"> </w:t>
      </w:r>
      <w:r w:rsidRPr="00B439FE">
        <w:rPr>
          <w:rFonts w:ascii="Bookman Old Style" w:hAnsi="Bookman Old Style"/>
        </w:rPr>
        <w:t>dalam</w:t>
      </w:r>
      <w:r w:rsidR="00A954D0">
        <w:rPr>
          <w:rFonts w:ascii="Bookman Old Style" w:hAnsi="Bookman Old Style"/>
        </w:rPr>
        <w:t xml:space="preserve"> </w:t>
      </w:r>
      <w:r w:rsidRPr="00B439FE">
        <w:rPr>
          <w:rFonts w:ascii="Bookman Old Style" w:hAnsi="Bookman Old Style"/>
        </w:rPr>
        <w:t>perjanjian</w:t>
      </w:r>
      <w:r w:rsidR="00A954D0">
        <w:rPr>
          <w:rFonts w:ascii="Bookman Old Style" w:hAnsi="Bookman Old Style"/>
        </w:rPr>
        <w:t xml:space="preserve"> </w:t>
      </w:r>
      <w:r w:rsidRPr="00B439FE">
        <w:rPr>
          <w:rFonts w:ascii="Bookman Old Style" w:hAnsi="Bookman Old Style"/>
        </w:rPr>
        <w:t>kerjasama</w:t>
      </w:r>
      <w:r w:rsidR="00A954D0">
        <w:rPr>
          <w:rFonts w:ascii="Bookman Old Style" w:hAnsi="Bookman Old Style"/>
        </w:rPr>
        <w:t xml:space="preserve"> </w:t>
      </w:r>
      <w:r w:rsidRPr="00B439FE">
        <w:rPr>
          <w:rFonts w:ascii="Bookman Old Style" w:hAnsi="Bookman Old Style"/>
        </w:rPr>
        <w:t>Pemerintah</w:t>
      </w:r>
      <w:r w:rsidR="00A954D0">
        <w:rPr>
          <w:rFonts w:ascii="Bookman Old Style" w:hAnsi="Bookman Old Style"/>
        </w:rPr>
        <w:t xml:space="preserve"> </w:t>
      </w:r>
      <w:r w:rsidRPr="00B439FE">
        <w:rPr>
          <w:rFonts w:ascii="Bookman Old Style" w:hAnsi="Bookman Old Style"/>
        </w:rPr>
        <w:t>Daerah</w:t>
      </w:r>
      <w:r w:rsidR="00A954D0">
        <w:rPr>
          <w:rFonts w:ascii="Bookman Old Style" w:hAnsi="Bookman Old Style"/>
        </w:rPr>
        <w:t xml:space="preserve"> </w:t>
      </w:r>
      <w:r w:rsidRPr="00B439FE">
        <w:rPr>
          <w:rFonts w:ascii="Bookman Old Style" w:hAnsi="Bookman Old Style"/>
        </w:rPr>
        <w:t>dengan</w:t>
      </w:r>
      <w:r w:rsidR="00A954D0">
        <w:rPr>
          <w:rFonts w:ascii="Bookman Old Style" w:hAnsi="Bookman Old Style"/>
        </w:rPr>
        <w:t xml:space="preserve"> </w:t>
      </w:r>
      <w:r w:rsidRPr="00B439FE">
        <w:rPr>
          <w:rFonts w:ascii="Bookman Old Style" w:hAnsi="Bookman Old Style"/>
        </w:rPr>
        <w:t>Badan</w:t>
      </w:r>
      <w:r w:rsidR="00A954D0">
        <w:rPr>
          <w:rFonts w:ascii="Bookman Old Style" w:hAnsi="Bookman Old Style"/>
        </w:rPr>
        <w:t xml:space="preserve"> </w:t>
      </w:r>
      <w:r w:rsidRPr="00B439FE">
        <w:rPr>
          <w:rFonts w:ascii="Bookman Old Style" w:hAnsi="Bookman Old Style"/>
        </w:rPr>
        <w:t>Usaha</w:t>
      </w:r>
      <w:r w:rsidR="00A954D0">
        <w:rPr>
          <w:rFonts w:ascii="Bookman Old Style" w:hAnsi="Bookman Old Style"/>
        </w:rPr>
        <w:t xml:space="preserve"> </w:t>
      </w:r>
      <w:r w:rsidRPr="00B439FE">
        <w:rPr>
          <w:rFonts w:ascii="Bookman Old Style" w:hAnsi="Bookman Old Style"/>
        </w:rPr>
        <w:t>(KPDBU)</w:t>
      </w:r>
      <w:r w:rsidR="00A954D0">
        <w:rPr>
          <w:rFonts w:ascii="Bookman Old Style" w:hAnsi="Bookman Old Style"/>
        </w:rPr>
        <w:t xml:space="preserve"> </w:t>
      </w:r>
      <w:r w:rsidRPr="00B439FE">
        <w:rPr>
          <w:rFonts w:ascii="Bookman Old Style" w:hAnsi="Bookman Old Style"/>
        </w:rPr>
        <w:t>sebagaimana</w:t>
      </w:r>
      <w:r w:rsidR="00A954D0">
        <w:rPr>
          <w:rFonts w:ascii="Bookman Old Style" w:hAnsi="Bookman Old Style"/>
        </w:rPr>
        <w:t xml:space="preserve"> </w:t>
      </w:r>
      <w:r w:rsidRPr="00B439FE">
        <w:rPr>
          <w:rFonts w:ascii="Bookman Old Style" w:hAnsi="Bookman Old Style"/>
        </w:rPr>
        <w:t>maksud</w:t>
      </w:r>
      <w:r w:rsidR="00A954D0">
        <w:rPr>
          <w:rFonts w:ascii="Bookman Old Style" w:hAnsi="Bookman Old Style" w:cs="Arial"/>
        </w:rPr>
        <w:t xml:space="preserve"> </w:t>
      </w:r>
      <w:r w:rsidRPr="00B439FE">
        <w:rPr>
          <w:rFonts w:ascii="Bookman Old Style" w:hAnsi="Bookman Old Style" w:cs="Arial"/>
        </w:rPr>
        <w:t>butir</w:t>
      </w:r>
      <w:r w:rsidR="00A954D0">
        <w:rPr>
          <w:rFonts w:ascii="Bookman Old Style" w:hAnsi="Bookman Old Style" w:cs="Arial"/>
        </w:rPr>
        <w:t xml:space="preserve"> </w:t>
      </w:r>
      <w:r w:rsidRPr="00B439FE">
        <w:rPr>
          <w:rFonts w:ascii="Bookman Old Style" w:hAnsi="Bookman Old Style" w:cs="Arial"/>
          <w:lang w:val="en-US"/>
        </w:rPr>
        <w:t>3.4.1.2.2.d</w:t>
      </w:r>
      <w:r w:rsidR="00A954D0">
        <w:rPr>
          <w:rFonts w:ascii="Bookman Old Style" w:hAnsi="Bookman Old Style" w:cs="Arial"/>
        </w:rPr>
        <w:t xml:space="preserve"> </w:t>
      </w:r>
      <w:r w:rsidRPr="00B439FE">
        <w:rPr>
          <w:rFonts w:ascii="Bookman Old Style" w:hAnsi="Bookman Old Style"/>
          <w:lang w:val="en-US"/>
        </w:rPr>
        <w:t>dan</w:t>
      </w:r>
      <w:r w:rsidR="00A954D0">
        <w:rPr>
          <w:rFonts w:ascii="Bookman Old Style" w:hAnsi="Bookman Old Style"/>
          <w:lang w:val="en-US"/>
        </w:rPr>
        <w:t xml:space="preserve"> </w:t>
      </w:r>
      <w:r w:rsidRPr="00B439FE">
        <w:rPr>
          <w:rFonts w:ascii="Bookman Old Style" w:hAnsi="Bookman Old Style"/>
          <w:lang w:val="id-ID"/>
        </w:rPr>
        <w:t>butir</w:t>
      </w:r>
      <w:r w:rsidR="00A954D0">
        <w:rPr>
          <w:rFonts w:ascii="Bookman Old Style" w:hAnsi="Bookman Old Style"/>
          <w:lang w:val="id-ID"/>
        </w:rPr>
        <w:t xml:space="preserve"> </w:t>
      </w:r>
      <w:r w:rsidRPr="00B439FE">
        <w:rPr>
          <w:rFonts w:ascii="Bookman Old Style" w:hAnsi="Bookman Old Style" w:cs="Arial"/>
          <w:lang w:val="en-US"/>
        </w:rPr>
        <w:t>3.4.1.2.2.e</w:t>
      </w:r>
      <w:r w:rsidR="00A954D0">
        <w:rPr>
          <w:rFonts w:ascii="Bookman Old Style" w:hAnsi="Bookman Old Style" w:cs="Arial"/>
          <w:lang w:val="en-US"/>
        </w:rPr>
        <w:t xml:space="preserve"> </w:t>
      </w:r>
      <w:r w:rsidRPr="00B439FE">
        <w:rPr>
          <w:rFonts w:ascii="Bookman Old Style" w:hAnsi="Bookman Old Style"/>
          <w:lang w:val="id-ID"/>
        </w:rPr>
        <w:t>Lampiran</w:t>
      </w:r>
      <w:r w:rsidR="00A954D0">
        <w:rPr>
          <w:rFonts w:ascii="Bookman Old Style" w:hAnsi="Bookman Old Style"/>
          <w:lang w:val="id-ID"/>
        </w:rPr>
        <w:t xml:space="preserve"> </w:t>
      </w:r>
      <w:r w:rsidRPr="00B439FE">
        <w:rPr>
          <w:rFonts w:ascii="Bookman Old Style" w:hAnsi="Bookman Old Style"/>
          <w:lang w:val="id-ID"/>
        </w:rPr>
        <w:t>Peraturan</w:t>
      </w:r>
      <w:r w:rsidR="00A954D0">
        <w:rPr>
          <w:rFonts w:ascii="Bookman Old Style" w:hAnsi="Bookman Old Style"/>
          <w:lang w:val="id-ID"/>
        </w:rPr>
        <w:t xml:space="preserve"> </w:t>
      </w:r>
      <w:r w:rsidRPr="00B439FE">
        <w:rPr>
          <w:rFonts w:ascii="Bookman Old Style" w:hAnsi="Bookman Old Style"/>
          <w:lang w:val="id-ID"/>
        </w:rPr>
        <w:t>Menteri</w:t>
      </w:r>
      <w:r w:rsidR="00A954D0">
        <w:rPr>
          <w:rFonts w:ascii="Bookman Old Style" w:hAnsi="Bookman Old Style"/>
          <w:lang w:val="id-ID"/>
        </w:rPr>
        <w:t xml:space="preserve"> </w:t>
      </w:r>
      <w:r w:rsidRPr="00B439FE">
        <w:rPr>
          <w:rFonts w:ascii="Bookman Old Style" w:hAnsi="Bookman Old Style"/>
          <w:lang w:val="id-ID"/>
        </w:rPr>
        <w:t>Dalam</w:t>
      </w:r>
      <w:r w:rsidR="00A954D0">
        <w:rPr>
          <w:rFonts w:ascii="Bookman Old Style" w:hAnsi="Bookman Old Style"/>
          <w:lang w:val="id-ID"/>
        </w:rPr>
        <w:t xml:space="preserve"> </w:t>
      </w:r>
      <w:r w:rsidRPr="00B439FE">
        <w:rPr>
          <w:rFonts w:ascii="Bookman Old Style" w:hAnsi="Bookman Old Style"/>
          <w:lang w:val="id-ID"/>
        </w:rPr>
        <w:t>Negeri</w:t>
      </w:r>
      <w:r w:rsidR="00A954D0">
        <w:rPr>
          <w:rFonts w:ascii="Bookman Old Style" w:hAnsi="Bookman Old Style"/>
          <w:lang w:val="id-ID"/>
        </w:rPr>
        <w:t xml:space="preserve"> </w:t>
      </w:r>
      <w:r w:rsidRPr="00B439FE">
        <w:rPr>
          <w:rFonts w:ascii="Bookman Old Style" w:hAnsi="Bookman Old Style"/>
          <w:lang w:val="id-ID"/>
        </w:rPr>
        <w:t>Nomor</w:t>
      </w:r>
      <w:r w:rsidR="00A954D0">
        <w:rPr>
          <w:rFonts w:ascii="Bookman Old Style" w:hAnsi="Bookman Old Style"/>
          <w:lang w:val="id-ID"/>
        </w:rPr>
        <w:t xml:space="preserve"> </w:t>
      </w:r>
      <w:r w:rsidRPr="00B439FE">
        <w:rPr>
          <w:rFonts w:ascii="Bookman Old Style" w:hAnsi="Bookman Old Style"/>
          <w:lang w:val="id-ID"/>
        </w:rPr>
        <w:t>15</w:t>
      </w:r>
      <w:r w:rsidR="00A954D0">
        <w:rPr>
          <w:rFonts w:ascii="Bookman Old Style" w:hAnsi="Bookman Old Style"/>
          <w:lang w:val="id-ID"/>
        </w:rPr>
        <w:t xml:space="preserve"> </w:t>
      </w:r>
      <w:r w:rsidRPr="00B439FE">
        <w:rPr>
          <w:rFonts w:ascii="Bookman Old Style" w:hAnsi="Bookman Old Style"/>
          <w:lang w:val="id-ID"/>
        </w:rPr>
        <w:t>Tahun</w:t>
      </w:r>
      <w:r w:rsidR="00A954D0">
        <w:rPr>
          <w:rFonts w:ascii="Bookman Old Style" w:hAnsi="Bookman Old Style"/>
          <w:lang w:val="id-ID"/>
        </w:rPr>
        <w:t xml:space="preserve"> </w:t>
      </w:r>
      <w:r w:rsidRPr="00B439FE">
        <w:rPr>
          <w:rFonts w:ascii="Bookman Old Style" w:hAnsi="Bookman Old Style"/>
          <w:lang w:val="id-ID"/>
        </w:rPr>
        <w:t>2024</w:t>
      </w:r>
      <w:r w:rsidRPr="00B439FE">
        <w:rPr>
          <w:rFonts w:ascii="Bookman Old Style" w:hAnsi="Bookman Old Style" w:cs="Arial"/>
          <w:lang w:val="en-US"/>
        </w:rPr>
        <w:t>.</w:t>
      </w:r>
      <w:r w:rsidR="00A954D0">
        <w:rPr>
          <w:rFonts w:ascii="Bookman Old Style" w:hAnsi="Bookman Old Style" w:cs="Arial"/>
          <w:lang w:val="en-US"/>
        </w:rPr>
        <w:t xml:space="preserve"> </w:t>
      </w:r>
    </w:p>
    <w:p w14:paraId="79098FB4" w14:textId="4F86B708" w:rsidR="007A287E" w:rsidRPr="00306BF7" w:rsidRDefault="007A287E" w:rsidP="005668F0">
      <w:pPr>
        <w:pStyle w:val="ListParagraph"/>
        <w:numPr>
          <w:ilvl w:val="0"/>
          <w:numId w:val="22"/>
        </w:numPr>
        <w:spacing w:before="60" w:after="0" w:line="276" w:lineRule="auto"/>
        <w:ind w:left="2694" w:hanging="426"/>
        <w:contextualSpacing w:val="0"/>
        <w:jc w:val="both"/>
        <w:rPr>
          <w:rFonts w:ascii="Bookman Old Style" w:hAnsi="Bookman Old Style"/>
          <w:color w:val="000000" w:themeColor="text1"/>
          <w:sz w:val="24"/>
          <w:szCs w:val="24"/>
        </w:rPr>
      </w:pPr>
      <w:r w:rsidRPr="00306BF7">
        <w:rPr>
          <w:rFonts w:ascii="Bookman Old Style" w:hAnsi="Bookman Old Style"/>
          <w:sz w:val="24"/>
          <w:szCs w:val="24"/>
        </w:rPr>
        <w:t>Penyediaan</w:t>
      </w:r>
      <w:r w:rsidR="00A954D0">
        <w:rPr>
          <w:rFonts w:ascii="Bookman Old Style" w:hAnsi="Bookman Old Style"/>
          <w:sz w:val="24"/>
          <w:szCs w:val="24"/>
        </w:rPr>
        <w:t xml:space="preserve"> </w:t>
      </w:r>
      <w:r w:rsidRPr="00306BF7">
        <w:rPr>
          <w:rFonts w:ascii="Bookman Old Style" w:hAnsi="Bookman Old Style"/>
          <w:sz w:val="24"/>
          <w:szCs w:val="24"/>
        </w:rPr>
        <w:t>anggaran</w:t>
      </w:r>
      <w:r w:rsidR="00A954D0">
        <w:rPr>
          <w:rFonts w:ascii="Bookman Old Style" w:hAnsi="Bookman Old Style"/>
          <w:sz w:val="24"/>
          <w:szCs w:val="24"/>
        </w:rPr>
        <w:t xml:space="preserve"> </w:t>
      </w:r>
      <w:r w:rsidRPr="00306BF7">
        <w:rPr>
          <w:rFonts w:ascii="Bookman Old Style" w:hAnsi="Bookman Old Style"/>
          <w:sz w:val="24"/>
          <w:szCs w:val="24"/>
        </w:rPr>
        <w:t>yang</w:t>
      </w:r>
      <w:r w:rsidR="00A954D0">
        <w:rPr>
          <w:rFonts w:ascii="Bookman Old Style" w:hAnsi="Bookman Old Style"/>
          <w:sz w:val="24"/>
          <w:szCs w:val="24"/>
        </w:rPr>
        <w:t xml:space="preserve"> </w:t>
      </w:r>
      <w:r w:rsidRPr="00306BF7">
        <w:rPr>
          <w:rFonts w:ascii="Bookman Old Style" w:hAnsi="Bookman Old Style"/>
          <w:sz w:val="24"/>
          <w:szCs w:val="24"/>
        </w:rPr>
        <w:t>tercantum</w:t>
      </w:r>
      <w:r w:rsidR="00A954D0">
        <w:rPr>
          <w:rFonts w:ascii="Bookman Old Style" w:hAnsi="Bookman Old Style"/>
          <w:sz w:val="24"/>
          <w:szCs w:val="24"/>
        </w:rPr>
        <w:t xml:space="preserve"> </w:t>
      </w:r>
      <w:r w:rsidRPr="00306BF7">
        <w:rPr>
          <w:rFonts w:ascii="Bookman Old Style" w:hAnsi="Bookman Old Style"/>
          <w:sz w:val="24"/>
          <w:szCs w:val="24"/>
        </w:rPr>
        <w:t>pada</w:t>
      </w:r>
      <w:r w:rsidRPr="00306BF7">
        <w:rPr>
          <w:rFonts w:ascii="Bookman Old Style" w:hAnsi="Bookman Old Style"/>
          <w:sz w:val="24"/>
          <w:szCs w:val="24"/>
          <w:lang w:val="id-ID"/>
        </w:rPr>
        <w:t>:</w:t>
      </w:r>
    </w:p>
    <w:p w14:paraId="0AF251ED" w14:textId="13CAF369" w:rsidR="00381462" w:rsidRPr="00306BF7" w:rsidRDefault="00381462" w:rsidP="005668F0">
      <w:pPr>
        <w:pStyle w:val="ListParagraph"/>
        <w:numPr>
          <w:ilvl w:val="0"/>
          <w:numId w:val="200"/>
        </w:numPr>
        <w:snapToGrid w:val="0"/>
        <w:spacing w:before="60" w:after="0" w:line="276" w:lineRule="auto"/>
        <w:ind w:left="3261" w:hanging="567"/>
        <w:contextualSpacing w:val="0"/>
        <w:jc w:val="both"/>
        <w:rPr>
          <w:rFonts w:ascii="Bookman Old Style" w:hAnsi="Bookman Old Style"/>
          <w:color w:val="000000" w:themeColor="text1"/>
          <w:sz w:val="24"/>
          <w:szCs w:val="24"/>
        </w:rPr>
      </w:pPr>
      <w:r w:rsidRPr="00306BF7">
        <w:rPr>
          <w:rFonts w:ascii="Bookman Old Style" w:hAnsi="Bookman Old Style"/>
          <w:sz w:val="24"/>
          <w:szCs w:val="24"/>
          <w:lang w:val="id-ID"/>
        </w:rPr>
        <w:t>Belanja</w:t>
      </w:r>
      <w:r w:rsidR="00A954D0">
        <w:rPr>
          <w:rFonts w:ascii="Bookman Old Style" w:hAnsi="Bookman Old Style"/>
          <w:color w:val="000000" w:themeColor="text1"/>
          <w:sz w:val="24"/>
          <w:szCs w:val="24"/>
        </w:rPr>
        <w:t xml:space="preserve"> </w:t>
      </w:r>
      <w:r w:rsidRPr="00306BF7">
        <w:rPr>
          <w:rFonts w:ascii="Bookman Old Style" w:hAnsi="Bookman Old Style"/>
          <w:color w:val="000000" w:themeColor="text1"/>
          <w:sz w:val="24"/>
          <w:szCs w:val="24"/>
        </w:rPr>
        <w:t>Beasiswa</w:t>
      </w:r>
      <w:r w:rsidR="00A954D0">
        <w:rPr>
          <w:rFonts w:ascii="Bookman Old Style" w:hAnsi="Bookman Old Style"/>
          <w:color w:val="000000" w:themeColor="text1"/>
          <w:sz w:val="24"/>
          <w:szCs w:val="24"/>
        </w:rPr>
        <w:t xml:space="preserve"> </w:t>
      </w:r>
      <w:r w:rsidRPr="00306BF7">
        <w:rPr>
          <w:rFonts w:ascii="Bookman Old Style" w:hAnsi="Bookman Old Style"/>
          <w:color w:val="000000" w:themeColor="text1"/>
          <w:sz w:val="24"/>
          <w:szCs w:val="24"/>
        </w:rPr>
        <w:t>Pendidikan</w:t>
      </w:r>
      <w:r w:rsidR="00A954D0">
        <w:rPr>
          <w:rFonts w:ascii="Bookman Old Style" w:hAnsi="Bookman Old Style"/>
          <w:color w:val="000000" w:themeColor="text1"/>
          <w:sz w:val="24"/>
          <w:szCs w:val="24"/>
        </w:rPr>
        <w:t xml:space="preserve"> </w:t>
      </w:r>
      <w:r w:rsidRPr="00306BF7">
        <w:rPr>
          <w:rFonts w:ascii="Bookman Old Style" w:hAnsi="Bookman Old Style"/>
          <w:color w:val="000000" w:themeColor="text1"/>
          <w:sz w:val="24"/>
          <w:szCs w:val="24"/>
        </w:rPr>
        <w:t>PNS</w:t>
      </w:r>
      <w:r w:rsidR="00A954D0">
        <w:rPr>
          <w:rFonts w:ascii="Bookman Old Style" w:hAnsi="Bookman Old Style"/>
          <w:color w:val="000000" w:themeColor="text1"/>
          <w:sz w:val="24"/>
          <w:szCs w:val="24"/>
        </w:rPr>
        <w:t xml:space="preserve"> </w:t>
      </w:r>
      <w:r w:rsidR="009000F9" w:rsidRPr="00306BF7">
        <w:rPr>
          <w:rFonts w:ascii="Bookman Old Style" w:hAnsi="Bookman Old Style"/>
          <w:color w:val="000000" w:themeColor="text1"/>
          <w:sz w:val="24"/>
          <w:szCs w:val="24"/>
        </w:rPr>
        <w:t>Rp2.107.550.000,00</w:t>
      </w:r>
      <w:r w:rsidR="00A954D0">
        <w:rPr>
          <w:rFonts w:ascii="Bookman Old Style" w:hAnsi="Bookman Old Style"/>
          <w:color w:val="000000" w:themeColor="text1"/>
          <w:sz w:val="24"/>
          <w:szCs w:val="24"/>
        </w:rPr>
        <w:t xml:space="preserve"> </w:t>
      </w:r>
      <w:r w:rsidR="009000F9" w:rsidRPr="00306BF7">
        <w:rPr>
          <w:rFonts w:ascii="Bookman Old Style" w:hAnsi="Bookman Old Style"/>
          <w:color w:val="000000" w:themeColor="text1"/>
          <w:sz w:val="24"/>
          <w:szCs w:val="24"/>
        </w:rPr>
        <w:t>atau</w:t>
      </w:r>
      <w:r w:rsidR="00A954D0">
        <w:rPr>
          <w:rFonts w:ascii="Bookman Old Style" w:hAnsi="Bookman Old Style"/>
          <w:color w:val="000000" w:themeColor="text1"/>
          <w:sz w:val="24"/>
          <w:szCs w:val="24"/>
        </w:rPr>
        <w:t xml:space="preserve"> </w:t>
      </w:r>
      <w:r w:rsidR="009000F9" w:rsidRPr="00306BF7">
        <w:rPr>
          <w:rFonts w:ascii="Bookman Old Style" w:hAnsi="Bookman Old Style"/>
          <w:color w:val="000000" w:themeColor="text1"/>
          <w:sz w:val="24"/>
          <w:szCs w:val="24"/>
        </w:rPr>
        <w:t>0,04%</w:t>
      </w:r>
      <w:r w:rsidR="00A954D0">
        <w:rPr>
          <w:rFonts w:ascii="Bookman Old Style" w:hAnsi="Bookman Old Style"/>
          <w:color w:val="000000" w:themeColor="text1"/>
          <w:sz w:val="24"/>
          <w:szCs w:val="24"/>
        </w:rPr>
        <w:t xml:space="preserve"> </w:t>
      </w:r>
      <w:r w:rsidRPr="00306BF7">
        <w:rPr>
          <w:rFonts w:ascii="Bookman Old Style" w:hAnsi="Bookman Old Style"/>
          <w:sz w:val="24"/>
          <w:szCs w:val="24"/>
          <w:lang w:val="id-ID"/>
        </w:rPr>
        <w:t>dari</w:t>
      </w:r>
      <w:r w:rsidR="00A954D0">
        <w:rPr>
          <w:rFonts w:ascii="Bookman Old Style" w:hAnsi="Bookman Old Style"/>
          <w:sz w:val="24"/>
          <w:szCs w:val="24"/>
          <w:lang w:val="id-ID"/>
        </w:rPr>
        <w:t xml:space="preserve"> </w:t>
      </w:r>
      <w:r w:rsidRPr="00306BF7">
        <w:rPr>
          <w:rFonts w:ascii="Bookman Old Style" w:hAnsi="Bookman Old Style"/>
          <w:sz w:val="24"/>
          <w:szCs w:val="24"/>
          <w:lang w:val="id-ID"/>
        </w:rPr>
        <w:t>total</w:t>
      </w:r>
      <w:r w:rsidR="00A954D0">
        <w:rPr>
          <w:rFonts w:ascii="Bookman Old Style" w:hAnsi="Bookman Old Style"/>
          <w:sz w:val="24"/>
          <w:szCs w:val="24"/>
          <w:lang w:val="id-ID"/>
        </w:rPr>
        <w:t xml:space="preserve"> </w:t>
      </w:r>
      <w:r w:rsidRPr="00306BF7">
        <w:rPr>
          <w:rFonts w:ascii="Bookman Old Style" w:hAnsi="Bookman Old Style"/>
          <w:sz w:val="24"/>
          <w:szCs w:val="24"/>
          <w:lang w:val="id-ID"/>
        </w:rPr>
        <w:t>belanja</w:t>
      </w:r>
      <w:r w:rsidR="00A954D0">
        <w:rPr>
          <w:rFonts w:ascii="Bookman Old Style" w:hAnsi="Bookman Old Style"/>
          <w:sz w:val="24"/>
          <w:szCs w:val="24"/>
          <w:lang w:val="id-ID"/>
        </w:rPr>
        <w:t xml:space="preserve"> </w:t>
      </w:r>
      <w:r w:rsidRPr="00306BF7">
        <w:rPr>
          <w:rFonts w:ascii="Bookman Old Style" w:hAnsi="Bookman Old Style"/>
          <w:sz w:val="24"/>
          <w:szCs w:val="24"/>
          <w:lang w:val="id-ID"/>
        </w:rPr>
        <w:t>daerah</w:t>
      </w:r>
      <w:r w:rsidR="00A954D0">
        <w:rPr>
          <w:rFonts w:ascii="Bookman Old Style" w:hAnsi="Bookman Old Style"/>
          <w:sz w:val="24"/>
          <w:szCs w:val="24"/>
          <w:lang w:val="id-ID"/>
        </w:rPr>
        <w:t xml:space="preserve"> </w:t>
      </w:r>
      <w:r w:rsidRPr="00306BF7">
        <w:rPr>
          <w:rFonts w:ascii="Bookman Old Style" w:hAnsi="Bookman Old Style"/>
          <w:sz w:val="24"/>
          <w:szCs w:val="24"/>
          <w:lang w:val="id-ID"/>
        </w:rPr>
        <w:t>dalam</w:t>
      </w:r>
      <w:r w:rsidR="00A954D0">
        <w:rPr>
          <w:rFonts w:ascii="Bookman Old Style" w:hAnsi="Bookman Old Style"/>
          <w:sz w:val="24"/>
          <w:szCs w:val="24"/>
          <w:lang w:val="id-ID"/>
        </w:rPr>
        <w:t xml:space="preserve"> </w:t>
      </w:r>
      <w:r w:rsidRPr="00306BF7">
        <w:rPr>
          <w:rFonts w:ascii="Bookman Old Style" w:hAnsi="Bookman Old Style"/>
          <w:sz w:val="24"/>
          <w:szCs w:val="24"/>
          <w:lang w:val="id-ID"/>
        </w:rPr>
        <w:t>Rancangan</w:t>
      </w:r>
      <w:r w:rsidR="00A954D0">
        <w:rPr>
          <w:rFonts w:ascii="Bookman Old Style" w:hAnsi="Bookman Old Style"/>
          <w:sz w:val="24"/>
          <w:szCs w:val="24"/>
          <w:lang w:val="id-ID"/>
        </w:rPr>
        <w:t xml:space="preserve"> </w:t>
      </w:r>
      <w:r w:rsidRPr="00306BF7">
        <w:rPr>
          <w:rFonts w:ascii="Bookman Old Style" w:hAnsi="Bookman Old Style"/>
          <w:sz w:val="24"/>
          <w:szCs w:val="24"/>
          <w:lang w:val="id-ID"/>
        </w:rPr>
        <w:t>Peraturan</w:t>
      </w:r>
      <w:r w:rsidR="00A954D0">
        <w:rPr>
          <w:rFonts w:ascii="Bookman Old Style" w:hAnsi="Bookman Old Style"/>
          <w:sz w:val="24"/>
          <w:szCs w:val="24"/>
          <w:lang w:val="id-ID"/>
        </w:rPr>
        <w:t xml:space="preserve"> </w:t>
      </w:r>
      <w:r w:rsidRPr="00306BF7">
        <w:rPr>
          <w:rFonts w:ascii="Bookman Old Style" w:hAnsi="Bookman Old Style"/>
          <w:sz w:val="24"/>
          <w:szCs w:val="24"/>
          <w:lang w:val="id-ID"/>
        </w:rPr>
        <w:t>Daerah</w:t>
      </w:r>
      <w:r w:rsidR="00A954D0">
        <w:rPr>
          <w:rFonts w:ascii="Bookman Old Style" w:hAnsi="Bookman Old Style"/>
          <w:sz w:val="24"/>
          <w:szCs w:val="24"/>
          <w:lang w:val="id-ID"/>
        </w:rPr>
        <w:t xml:space="preserve"> </w:t>
      </w:r>
      <w:r w:rsidRPr="00306BF7">
        <w:rPr>
          <w:rFonts w:ascii="Bookman Old Style" w:hAnsi="Bookman Old Style"/>
          <w:sz w:val="24"/>
          <w:szCs w:val="24"/>
          <w:lang w:val="id-ID"/>
        </w:rPr>
        <w:t>Kota</w:t>
      </w:r>
      <w:r w:rsidR="00A954D0">
        <w:rPr>
          <w:rFonts w:ascii="Bookman Old Style" w:hAnsi="Bookman Old Style"/>
          <w:sz w:val="24"/>
          <w:szCs w:val="24"/>
          <w:lang w:val="id-ID"/>
        </w:rPr>
        <w:t xml:space="preserve"> </w:t>
      </w:r>
      <w:r w:rsidR="00770F22" w:rsidRPr="00306BF7">
        <w:rPr>
          <w:rFonts w:ascii="Bookman Old Style" w:hAnsi="Bookman Old Style"/>
          <w:sz w:val="24"/>
          <w:szCs w:val="24"/>
          <w:lang w:val="id-ID"/>
        </w:rPr>
        <w:t>Tangerang</w:t>
      </w:r>
      <w:r w:rsidR="00A954D0">
        <w:rPr>
          <w:rFonts w:ascii="Bookman Old Style" w:hAnsi="Bookman Old Style"/>
          <w:sz w:val="24"/>
          <w:szCs w:val="24"/>
          <w:lang w:val="id-ID"/>
        </w:rPr>
        <w:t xml:space="preserve"> </w:t>
      </w:r>
      <w:r w:rsidR="00BE6ED9" w:rsidRPr="00306BF7">
        <w:rPr>
          <w:rFonts w:ascii="Bookman Old Style" w:hAnsi="Bookman Old Style"/>
          <w:sz w:val="24"/>
          <w:szCs w:val="24"/>
          <w:lang w:val="id-ID"/>
        </w:rPr>
        <w:t>tentang</w:t>
      </w:r>
      <w:r w:rsidR="00A954D0">
        <w:rPr>
          <w:rFonts w:ascii="Bookman Old Style" w:hAnsi="Bookman Old Style"/>
          <w:sz w:val="24"/>
          <w:szCs w:val="24"/>
          <w:lang w:val="id-ID"/>
        </w:rPr>
        <w:t xml:space="preserve"> </w:t>
      </w:r>
      <w:r w:rsidR="00BE6ED9" w:rsidRPr="00306BF7">
        <w:rPr>
          <w:rFonts w:ascii="Bookman Old Style" w:hAnsi="Bookman Old Style"/>
          <w:sz w:val="24"/>
          <w:szCs w:val="24"/>
          <w:lang w:val="id-ID"/>
        </w:rPr>
        <w:t>APBD</w:t>
      </w:r>
      <w:r w:rsidR="00A954D0">
        <w:rPr>
          <w:rFonts w:ascii="Bookman Old Style" w:hAnsi="Bookman Old Style"/>
          <w:sz w:val="24"/>
          <w:szCs w:val="24"/>
          <w:lang w:val="id-ID"/>
        </w:rPr>
        <w:t xml:space="preserve"> </w:t>
      </w:r>
      <w:r w:rsidRPr="00306BF7">
        <w:rPr>
          <w:rFonts w:ascii="Bookman Old Style" w:hAnsi="Bookman Old Style"/>
          <w:sz w:val="24"/>
          <w:szCs w:val="24"/>
          <w:lang w:val="id-ID"/>
        </w:rPr>
        <w:t>Tahun</w:t>
      </w:r>
      <w:r w:rsidR="00A954D0">
        <w:rPr>
          <w:rFonts w:ascii="Bookman Old Style" w:hAnsi="Bookman Old Style"/>
          <w:sz w:val="24"/>
          <w:szCs w:val="24"/>
          <w:lang w:val="id-ID"/>
        </w:rPr>
        <w:t xml:space="preserve"> </w:t>
      </w:r>
      <w:r w:rsidRPr="00306BF7">
        <w:rPr>
          <w:rFonts w:ascii="Bookman Old Style" w:hAnsi="Bookman Old Style"/>
          <w:sz w:val="24"/>
          <w:szCs w:val="24"/>
          <w:lang w:val="id-ID"/>
        </w:rPr>
        <w:t>Anggaran</w:t>
      </w:r>
      <w:r w:rsidR="00A954D0">
        <w:rPr>
          <w:rFonts w:ascii="Bookman Old Style" w:hAnsi="Bookman Old Style"/>
          <w:sz w:val="24"/>
          <w:szCs w:val="24"/>
          <w:lang w:val="id-ID"/>
        </w:rPr>
        <w:t xml:space="preserve"> </w:t>
      </w:r>
      <w:r w:rsidRPr="00306BF7">
        <w:rPr>
          <w:rFonts w:ascii="Bookman Old Style" w:hAnsi="Bookman Old Style"/>
          <w:sz w:val="24"/>
          <w:szCs w:val="24"/>
          <w:lang w:val="id-ID"/>
        </w:rPr>
        <w:t>2025</w:t>
      </w:r>
      <w:r w:rsidR="00306BF7" w:rsidRPr="00306BF7">
        <w:rPr>
          <w:rFonts w:ascii="Bookman Old Style" w:hAnsi="Bookman Old Style"/>
          <w:sz w:val="24"/>
          <w:szCs w:val="24"/>
          <w:lang w:val="id-ID"/>
        </w:rPr>
        <w:t>,</w:t>
      </w:r>
      <w:r w:rsidR="00A954D0">
        <w:rPr>
          <w:rFonts w:ascii="Bookman Old Style" w:hAnsi="Bookman Old Style"/>
          <w:sz w:val="24"/>
          <w:szCs w:val="24"/>
          <w:lang w:val="id-ID"/>
        </w:rPr>
        <w:t xml:space="preserve"> </w:t>
      </w:r>
      <w:r w:rsidR="00306BF7" w:rsidRPr="00306BF7">
        <w:rPr>
          <w:rFonts w:ascii="Bookman Old Style" w:hAnsi="Bookman Old Style"/>
          <w:sz w:val="24"/>
          <w:szCs w:val="24"/>
        </w:rPr>
        <w:t>yang</w:t>
      </w:r>
      <w:r w:rsidR="00A954D0">
        <w:rPr>
          <w:rFonts w:ascii="Bookman Old Style" w:hAnsi="Bookman Old Style"/>
          <w:sz w:val="24"/>
          <w:szCs w:val="24"/>
        </w:rPr>
        <w:t xml:space="preserve"> </w:t>
      </w:r>
      <w:r w:rsidR="00306BF7" w:rsidRPr="00306BF7">
        <w:rPr>
          <w:rFonts w:ascii="Bookman Old Style" w:hAnsi="Bookman Old Style"/>
          <w:sz w:val="24"/>
          <w:szCs w:val="24"/>
        </w:rPr>
        <w:t>diuraikan</w:t>
      </w:r>
      <w:r w:rsidR="00A954D0">
        <w:rPr>
          <w:rFonts w:ascii="Bookman Old Style" w:hAnsi="Bookman Old Style"/>
          <w:sz w:val="24"/>
          <w:szCs w:val="24"/>
        </w:rPr>
        <w:t xml:space="preserve"> </w:t>
      </w:r>
      <w:r w:rsidR="00306BF7" w:rsidRPr="00306BF7">
        <w:rPr>
          <w:rFonts w:ascii="Bookman Old Style" w:hAnsi="Bookman Old Style"/>
          <w:sz w:val="24"/>
          <w:szCs w:val="24"/>
        </w:rPr>
        <w:t>ke</w:t>
      </w:r>
      <w:r w:rsidR="00A954D0">
        <w:rPr>
          <w:rFonts w:ascii="Bookman Old Style" w:hAnsi="Bookman Old Style"/>
          <w:sz w:val="24"/>
          <w:szCs w:val="24"/>
        </w:rPr>
        <w:t xml:space="preserve"> </w:t>
      </w:r>
      <w:r w:rsidR="00306BF7" w:rsidRPr="00306BF7">
        <w:rPr>
          <w:rFonts w:ascii="Bookman Old Style" w:hAnsi="Bookman Old Style"/>
          <w:sz w:val="24"/>
          <w:szCs w:val="24"/>
        </w:rPr>
        <w:t>dalam</w:t>
      </w:r>
      <w:r w:rsidR="00A954D0">
        <w:rPr>
          <w:rFonts w:ascii="Bookman Old Style" w:hAnsi="Bookman Old Style"/>
          <w:sz w:val="24"/>
          <w:szCs w:val="24"/>
        </w:rPr>
        <w:t xml:space="preserve"> </w:t>
      </w:r>
      <w:r w:rsidR="00306BF7" w:rsidRPr="00306BF7">
        <w:rPr>
          <w:rFonts w:ascii="Bookman Old Style" w:hAnsi="Bookman Old Style"/>
          <w:sz w:val="24"/>
          <w:szCs w:val="24"/>
        </w:rPr>
        <w:t>sub</w:t>
      </w:r>
      <w:r w:rsidR="00A954D0">
        <w:rPr>
          <w:rFonts w:ascii="Bookman Old Style" w:hAnsi="Bookman Old Style"/>
          <w:sz w:val="24"/>
          <w:szCs w:val="24"/>
        </w:rPr>
        <w:t xml:space="preserve"> </w:t>
      </w:r>
      <w:r w:rsidR="00306BF7" w:rsidRPr="00306BF7">
        <w:rPr>
          <w:rFonts w:ascii="Bookman Old Style" w:hAnsi="Bookman Old Style"/>
          <w:sz w:val="24"/>
          <w:szCs w:val="24"/>
        </w:rPr>
        <w:t>rincian</w:t>
      </w:r>
      <w:r w:rsidR="00A954D0">
        <w:rPr>
          <w:rFonts w:ascii="Bookman Old Style" w:hAnsi="Bookman Old Style"/>
          <w:sz w:val="24"/>
          <w:szCs w:val="24"/>
        </w:rPr>
        <w:t xml:space="preserve"> </w:t>
      </w:r>
      <w:r w:rsidR="00306BF7" w:rsidRPr="00306BF7">
        <w:rPr>
          <w:rFonts w:ascii="Bookman Old Style" w:hAnsi="Bookman Old Style"/>
          <w:sz w:val="24"/>
          <w:szCs w:val="24"/>
        </w:rPr>
        <w:t>objek</w:t>
      </w:r>
      <w:r w:rsidR="00A954D0">
        <w:rPr>
          <w:rFonts w:ascii="Bookman Old Style" w:hAnsi="Bookman Old Style"/>
          <w:sz w:val="24"/>
          <w:szCs w:val="24"/>
          <w:lang w:val="en-US"/>
        </w:rPr>
        <w:t xml:space="preserve"> </w:t>
      </w:r>
      <w:r w:rsidR="00306BF7" w:rsidRPr="00306BF7">
        <w:rPr>
          <w:rFonts w:ascii="Bookman Old Style" w:hAnsi="Bookman Old Style"/>
          <w:sz w:val="24"/>
          <w:szCs w:val="24"/>
          <w:lang w:val="en-US"/>
        </w:rPr>
        <w:t>belanja:</w:t>
      </w:r>
    </w:p>
    <w:p w14:paraId="22DB92E0" w14:textId="4E53BE3C" w:rsidR="00306BF7" w:rsidRPr="00306BF7" w:rsidRDefault="00306BF7" w:rsidP="005668F0">
      <w:pPr>
        <w:pStyle w:val="ListParagraph"/>
        <w:numPr>
          <w:ilvl w:val="0"/>
          <w:numId w:val="161"/>
        </w:numPr>
        <w:snapToGrid w:val="0"/>
        <w:spacing w:before="60" w:after="0" w:line="276" w:lineRule="auto"/>
        <w:ind w:left="3686" w:hanging="425"/>
        <w:contextualSpacing w:val="0"/>
        <w:jc w:val="both"/>
        <w:rPr>
          <w:rFonts w:ascii="Bookman Old Style" w:hAnsi="Bookman Old Style"/>
          <w:color w:val="000000" w:themeColor="text1"/>
          <w:sz w:val="24"/>
          <w:szCs w:val="24"/>
        </w:rPr>
      </w:pPr>
      <w:r w:rsidRPr="00306BF7">
        <w:rPr>
          <w:rFonts w:ascii="Bookman Old Style" w:hAnsi="Bookman Old Style"/>
          <w:color w:val="000000" w:themeColor="text1"/>
          <w:sz w:val="24"/>
          <w:szCs w:val="24"/>
        </w:rPr>
        <w:t>Belanja</w:t>
      </w:r>
      <w:r w:rsidR="00A954D0">
        <w:rPr>
          <w:rFonts w:ascii="Bookman Old Style" w:hAnsi="Bookman Old Style"/>
          <w:color w:val="000000" w:themeColor="text1"/>
          <w:sz w:val="24"/>
          <w:szCs w:val="24"/>
        </w:rPr>
        <w:t xml:space="preserve"> </w:t>
      </w:r>
      <w:r w:rsidRPr="00306BF7">
        <w:rPr>
          <w:rFonts w:ascii="Bookman Old Style" w:hAnsi="Bookman Old Style"/>
          <w:color w:val="000000" w:themeColor="text1"/>
          <w:sz w:val="24"/>
          <w:szCs w:val="24"/>
        </w:rPr>
        <w:t>Beasiswa</w:t>
      </w:r>
      <w:r w:rsidR="00A954D0">
        <w:rPr>
          <w:rFonts w:ascii="Bookman Old Style" w:hAnsi="Bookman Old Style"/>
          <w:color w:val="000000" w:themeColor="text1"/>
          <w:sz w:val="24"/>
          <w:szCs w:val="24"/>
        </w:rPr>
        <w:t xml:space="preserve"> </w:t>
      </w:r>
      <w:r w:rsidRPr="00306BF7">
        <w:rPr>
          <w:rFonts w:ascii="Bookman Old Style" w:hAnsi="Bookman Old Style"/>
          <w:color w:val="000000" w:themeColor="text1"/>
          <w:sz w:val="24"/>
          <w:szCs w:val="24"/>
        </w:rPr>
        <w:t>Tugas</w:t>
      </w:r>
      <w:r w:rsidR="00A954D0">
        <w:rPr>
          <w:rFonts w:ascii="Bookman Old Style" w:hAnsi="Bookman Old Style"/>
          <w:color w:val="000000" w:themeColor="text1"/>
          <w:sz w:val="24"/>
          <w:szCs w:val="24"/>
        </w:rPr>
        <w:t xml:space="preserve"> </w:t>
      </w:r>
      <w:r w:rsidRPr="00306BF7">
        <w:rPr>
          <w:rFonts w:ascii="Bookman Old Style" w:hAnsi="Bookman Old Style"/>
          <w:color w:val="000000" w:themeColor="text1"/>
          <w:sz w:val="24"/>
          <w:szCs w:val="24"/>
        </w:rPr>
        <w:t>Belajar</w:t>
      </w:r>
      <w:r w:rsidR="00A954D0">
        <w:rPr>
          <w:rFonts w:ascii="Bookman Old Style" w:hAnsi="Bookman Old Style"/>
          <w:color w:val="000000" w:themeColor="text1"/>
          <w:sz w:val="24"/>
          <w:szCs w:val="24"/>
        </w:rPr>
        <w:t xml:space="preserve"> </w:t>
      </w:r>
      <w:r w:rsidRPr="00306BF7">
        <w:rPr>
          <w:rFonts w:ascii="Bookman Old Style" w:hAnsi="Bookman Old Style"/>
          <w:color w:val="000000" w:themeColor="text1"/>
          <w:sz w:val="24"/>
          <w:szCs w:val="24"/>
        </w:rPr>
        <w:t>S1</w:t>
      </w:r>
      <w:r w:rsidR="00A954D0">
        <w:rPr>
          <w:rFonts w:ascii="Bookman Old Style" w:hAnsi="Bookman Old Style"/>
          <w:color w:val="000000" w:themeColor="text1"/>
          <w:sz w:val="24"/>
          <w:szCs w:val="24"/>
        </w:rPr>
        <w:t xml:space="preserve"> </w:t>
      </w:r>
      <w:r w:rsidRPr="00306BF7">
        <w:rPr>
          <w:rFonts w:ascii="Bookman Old Style" w:hAnsi="Bookman Old Style"/>
          <w:color w:val="000000" w:themeColor="text1"/>
          <w:sz w:val="24"/>
          <w:szCs w:val="24"/>
        </w:rPr>
        <w:t>Rp182.750.000,00</w:t>
      </w:r>
      <w:r w:rsidR="0065744F">
        <w:rPr>
          <w:rFonts w:ascii="Bookman Old Style" w:hAnsi="Bookman Old Style"/>
          <w:color w:val="000000" w:themeColor="text1"/>
          <w:sz w:val="24"/>
          <w:szCs w:val="24"/>
          <w:lang w:val="en-US"/>
        </w:rPr>
        <w:t>;</w:t>
      </w:r>
    </w:p>
    <w:p w14:paraId="5C9E6F38" w14:textId="7DB5DDA2" w:rsidR="00306BF7" w:rsidRPr="005E588F" w:rsidRDefault="00306BF7" w:rsidP="005668F0">
      <w:pPr>
        <w:pStyle w:val="ListParagraph"/>
        <w:numPr>
          <w:ilvl w:val="0"/>
          <w:numId w:val="161"/>
        </w:numPr>
        <w:snapToGrid w:val="0"/>
        <w:spacing w:before="60" w:after="0" w:line="276" w:lineRule="auto"/>
        <w:ind w:left="3686" w:hanging="425"/>
        <w:contextualSpacing w:val="0"/>
        <w:jc w:val="both"/>
        <w:rPr>
          <w:rFonts w:ascii="Bookman Old Style" w:hAnsi="Bookman Old Style"/>
          <w:color w:val="000000" w:themeColor="text1"/>
          <w:sz w:val="24"/>
          <w:szCs w:val="24"/>
        </w:rPr>
      </w:pPr>
      <w:r w:rsidRPr="00306BF7">
        <w:rPr>
          <w:rFonts w:ascii="Bookman Old Style" w:hAnsi="Bookman Old Style"/>
          <w:color w:val="000000" w:themeColor="text1"/>
          <w:sz w:val="24"/>
          <w:szCs w:val="24"/>
        </w:rPr>
        <w:t>Belanja</w:t>
      </w:r>
      <w:r w:rsidR="00A954D0">
        <w:rPr>
          <w:rFonts w:ascii="Bookman Old Style" w:hAnsi="Bookman Old Style"/>
          <w:color w:val="000000" w:themeColor="text1"/>
          <w:sz w:val="24"/>
          <w:szCs w:val="24"/>
        </w:rPr>
        <w:t xml:space="preserve"> </w:t>
      </w:r>
      <w:r w:rsidRPr="005E588F">
        <w:rPr>
          <w:rFonts w:ascii="Bookman Old Style" w:hAnsi="Bookman Old Style"/>
          <w:color w:val="000000" w:themeColor="text1"/>
          <w:sz w:val="24"/>
          <w:szCs w:val="24"/>
        </w:rPr>
        <w:t>Beasiswa</w:t>
      </w:r>
      <w:r w:rsidR="00A954D0">
        <w:rPr>
          <w:rFonts w:ascii="Bookman Old Style" w:hAnsi="Bookman Old Style"/>
          <w:color w:val="000000" w:themeColor="text1"/>
          <w:sz w:val="24"/>
          <w:szCs w:val="24"/>
        </w:rPr>
        <w:t xml:space="preserve"> </w:t>
      </w:r>
      <w:r w:rsidRPr="005E588F">
        <w:rPr>
          <w:rFonts w:ascii="Bookman Old Style" w:hAnsi="Bookman Old Style"/>
          <w:color w:val="000000" w:themeColor="text1"/>
          <w:sz w:val="24"/>
          <w:szCs w:val="24"/>
        </w:rPr>
        <w:t>Tugas</w:t>
      </w:r>
      <w:r w:rsidR="00A954D0">
        <w:rPr>
          <w:rFonts w:ascii="Bookman Old Style" w:hAnsi="Bookman Old Style"/>
          <w:color w:val="000000" w:themeColor="text1"/>
          <w:sz w:val="24"/>
          <w:szCs w:val="24"/>
        </w:rPr>
        <w:t xml:space="preserve"> </w:t>
      </w:r>
      <w:r w:rsidRPr="005E588F">
        <w:rPr>
          <w:rFonts w:ascii="Bookman Old Style" w:hAnsi="Bookman Old Style"/>
          <w:color w:val="000000" w:themeColor="text1"/>
          <w:sz w:val="24"/>
          <w:szCs w:val="24"/>
        </w:rPr>
        <w:t>Belajar</w:t>
      </w:r>
      <w:r w:rsidR="00A954D0">
        <w:rPr>
          <w:rFonts w:ascii="Bookman Old Style" w:hAnsi="Bookman Old Style"/>
          <w:color w:val="000000" w:themeColor="text1"/>
          <w:sz w:val="24"/>
          <w:szCs w:val="24"/>
        </w:rPr>
        <w:t xml:space="preserve"> </w:t>
      </w:r>
      <w:r w:rsidRPr="005E588F">
        <w:rPr>
          <w:rFonts w:ascii="Bookman Old Style" w:hAnsi="Bookman Old Style"/>
          <w:color w:val="000000" w:themeColor="text1"/>
          <w:sz w:val="24"/>
          <w:szCs w:val="24"/>
        </w:rPr>
        <w:t>S2</w:t>
      </w:r>
      <w:r w:rsidR="00A954D0">
        <w:rPr>
          <w:rFonts w:ascii="Bookman Old Style" w:hAnsi="Bookman Old Style"/>
          <w:color w:val="000000" w:themeColor="text1"/>
          <w:sz w:val="24"/>
          <w:szCs w:val="24"/>
        </w:rPr>
        <w:t xml:space="preserve"> </w:t>
      </w:r>
      <w:r w:rsidRPr="005E588F">
        <w:rPr>
          <w:rFonts w:ascii="Bookman Old Style" w:hAnsi="Bookman Old Style"/>
          <w:color w:val="000000" w:themeColor="text1"/>
          <w:sz w:val="24"/>
          <w:szCs w:val="24"/>
        </w:rPr>
        <w:t>Rp1.243.000.000,00</w:t>
      </w:r>
      <w:r w:rsidR="0065744F">
        <w:rPr>
          <w:rFonts w:ascii="Bookman Old Style" w:hAnsi="Bookman Old Style"/>
          <w:color w:val="000000" w:themeColor="text1"/>
          <w:sz w:val="24"/>
          <w:szCs w:val="24"/>
          <w:lang w:val="en-US"/>
        </w:rPr>
        <w:t>;</w:t>
      </w:r>
    </w:p>
    <w:p w14:paraId="301F3C6D" w14:textId="450487E3" w:rsidR="00306BF7" w:rsidRPr="005E588F" w:rsidRDefault="00306BF7" w:rsidP="005668F0">
      <w:pPr>
        <w:pStyle w:val="ListParagraph"/>
        <w:numPr>
          <w:ilvl w:val="0"/>
          <w:numId w:val="161"/>
        </w:numPr>
        <w:snapToGrid w:val="0"/>
        <w:spacing w:before="60" w:after="0" w:line="276" w:lineRule="auto"/>
        <w:ind w:left="3686" w:hanging="425"/>
        <w:contextualSpacing w:val="0"/>
        <w:jc w:val="both"/>
        <w:rPr>
          <w:rFonts w:ascii="Bookman Old Style" w:hAnsi="Bookman Old Style"/>
          <w:color w:val="000000" w:themeColor="text1"/>
          <w:sz w:val="24"/>
          <w:szCs w:val="24"/>
        </w:rPr>
      </w:pPr>
      <w:r w:rsidRPr="005E588F">
        <w:rPr>
          <w:rFonts w:ascii="Bookman Old Style" w:hAnsi="Bookman Old Style"/>
          <w:color w:val="000000" w:themeColor="text1"/>
          <w:sz w:val="24"/>
          <w:szCs w:val="24"/>
        </w:rPr>
        <w:t>Belanja</w:t>
      </w:r>
      <w:r w:rsidR="00A954D0">
        <w:rPr>
          <w:rFonts w:ascii="Bookman Old Style" w:hAnsi="Bookman Old Style"/>
          <w:color w:val="000000" w:themeColor="text1"/>
          <w:sz w:val="24"/>
          <w:szCs w:val="24"/>
        </w:rPr>
        <w:t xml:space="preserve"> </w:t>
      </w:r>
      <w:r w:rsidRPr="005E588F">
        <w:rPr>
          <w:rFonts w:ascii="Bookman Old Style" w:hAnsi="Bookman Old Style"/>
          <w:color w:val="000000" w:themeColor="text1"/>
          <w:sz w:val="24"/>
          <w:szCs w:val="24"/>
        </w:rPr>
        <w:t>Beasiswa</w:t>
      </w:r>
      <w:r w:rsidR="00A954D0">
        <w:rPr>
          <w:rFonts w:ascii="Bookman Old Style" w:hAnsi="Bookman Old Style"/>
          <w:color w:val="000000" w:themeColor="text1"/>
          <w:sz w:val="24"/>
          <w:szCs w:val="24"/>
        </w:rPr>
        <w:t xml:space="preserve"> </w:t>
      </w:r>
      <w:r w:rsidRPr="005E588F">
        <w:rPr>
          <w:rFonts w:ascii="Bookman Old Style" w:hAnsi="Bookman Old Style"/>
          <w:color w:val="000000" w:themeColor="text1"/>
          <w:sz w:val="24"/>
          <w:szCs w:val="24"/>
        </w:rPr>
        <w:t>Tugas</w:t>
      </w:r>
      <w:r w:rsidR="00A954D0">
        <w:rPr>
          <w:rFonts w:ascii="Bookman Old Style" w:hAnsi="Bookman Old Style"/>
          <w:color w:val="000000" w:themeColor="text1"/>
          <w:sz w:val="24"/>
          <w:szCs w:val="24"/>
        </w:rPr>
        <w:t xml:space="preserve"> </w:t>
      </w:r>
      <w:r w:rsidRPr="005E588F">
        <w:rPr>
          <w:rFonts w:ascii="Bookman Old Style" w:hAnsi="Bookman Old Style"/>
          <w:color w:val="000000" w:themeColor="text1"/>
          <w:sz w:val="24"/>
          <w:szCs w:val="24"/>
        </w:rPr>
        <w:t>Belajar</w:t>
      </w:r>
      <w:r w:rsidR="00A954D0">
        <w:rPr>
          <w:rFonts w:ascii="Bookman Old Style" w:hAnsi="Bookman Old Style"/>
          <w:color w:val="000000" w:themeColor="text1"/>
          <w:sz w:val="24"/>
          <w:szCs w:val="24"/>
        </w:rPr>
        <w:t xml:space="preserve"> </w:t>
      </w:r>
      <w:r w:rsidRPr="005E588F">
        <w:rPr>
          <w:rFonts w:ascii="Bookman Old Style" w:hAnsi="Bookman Old Style"/>
          <w:color w:val="000000" w:themeColor="text1"/>
          <w:sz w:val="24"/>
          <w:szCs w:val="24"/>
        </w:rPr>
        <w:t>S3</w:t>
      </w:r>
      <w:r w:rsidR="00A954D0">
        <w:rPr>
          <w:rFonts w:ascii="Bookman Old Style" w:hAnsi="Bookman Old Style"/>
          <w:color w:val="000000" w:themeColor="text1"/>
          <w:sz w:val="24"/>
          <w:szCs w:val="24"/>
        </w:rPr>
        <w:t xml:space="preserve"> </w:t>
      </w:r>
      <w:r w:rsidRPr="005E588F">
        <w:rPr>
          <w:rFonts w:ascii="Bookman Old Style" w:hAnsi="Bookman Old Style"/>
          <w:color w:val="000000" w:themeColor="text1"/>
          <w:sz w:val="24"/>
          <w:szCs w:val="24"/>
        </w:rPr>
        <w:t>Rp681.800.000,00</w:t>
      </w:r>
      <w:r w:rsidR="0065744F">
        <w:rPr>
          <w:rFonts w:ascii="Bookman Old Style" w:hAnsi="Bookman Old Style"/>
          <w:color w:val="000000" w:themeColor="text1"/>
          <w:sz w:val="24"/>
          <w:szCs w:val="24"/>
          <w:lang w:val="en-US"/>
        </w:rPr>
        <w:t>.</w:t>
      </w:r>
    </w:p>
    <w:p w14:paraId="58B2A0E6" w14:textId="50D93DBE" w:rsidR="00381462" w:rsidRPr="00901014" w:rsidRDefault="003B7FE4" w:rsidP="0065744F">
      <w:pPr>
        <w:pStyle w:val="ListParagraph"/>
        <w:numPr>
          <w:ilvl w:val="0"/>
          <w:numId w:val="200"/>
        </w:numPr>
        <w:snapToGrid w:val="0"/>
        <w:spacing w:before="60" w:after="0" w:line="276" w:lineRule="auto"/>
        <w:ind w:left="3261" w:hanging="567"/>
        <w:contextualSpacing w:val="0"/>
        <w:jc w:val="both"/>
        <w:rPr>
          <w:rFonts w:ascii="Bookman Old Style" w:hAnsi="Bookman Old Style"/>
          <w:color w:val="000000" w:themeColor="text1"/>
          <w:sz w:val="24"/>
          <w:szCs w:val="24"/>
        </w:rPr>
      </w:pPr>
      <w:r w:rsidRPr="00901014">
        <w:rPr>
          <w:rFonts w:ascii="Bookman Old Style" w:hAnsi="Bookman Old Style"/>
          <w:sz w:val="24"/>
          <w:szCs w:val="24"/>
          <w:lang w:val="id-ID"/>
        </w:rPr>
        <w:t>Belanja</w:t>
      </w:r>
      <w:r w:rsidR="00A954D0">
        <w:rPr>
          <w:rFonts w:ascii="Bookman Old Style" w:hAnsi="Bookman Old Style"/>
          <w:sz w:val="24"/>
          <w:szCs w:val="24"/>
        </w:rPr>
        <w:t xml:space="preserve"> </w:t>
      </w:r>
      <w:r w:rsidRPr="00901014">
        <w:rPr>
          <w:rFonts w:ascii="Bookman Old Style" w:hAnsi="Bookman Old Style"/>
          <w:sz w:val="24"/>
          <w:szCs w:val="24"/>
        </w:rPr>
        <w:t>Kursus/Pelatihan,</w:t>
      </w:r>
      <w:r w:rsidR="00A954D0">
        <w:rPr>
          <w:rFonts w:ascii="Bookman Old Style" w:hAnsi="Bookman Old Style"/>
          <w:sz w:val="24"/>
          <w:szCs w:val="24"/>
        </w:rPr>
        <w:t xml:space="preserve"> </w:t>
      </w:r>
      <w:r w:rsidRPr="00901014">
        <w:rPr>
          <w:rFonts w:ascii="Bookman Old Style" w:hAnsi="Bookman Old Style"/>
          <w:sz w:val="24"/>
          <w:szCs w:val="24"/>
        </w:rPr>
        <w:t>Sosialisasi,</w:t>
      </w:r>
      <w:r w:rsidR="00A954D0">
        <w:rPr>
          <w:rFonts w:ascii="Bookman Old Style" w:hAnsi="Bookman Old Style"/>
          <w:sz w:val="24"/>
          <w:szCs w:val="24"/>
        </w:rPr>
        <w:t xml:space="preserve"> </w:t>
      </w:r>
      <w:r w:rsidRPr="00901014">
        <w:rPr>
          <w:rFonts w:ascii="Bookman Old Style" w:hAnsi="Bookman Old Style"/>
          <w:color w:val="000000" w:themeColor="text1"/>
          <w:sz w:val="24"/>
          <w:szCs w:val="24"/>
        </w:rPr>
        <w:t>Bimbingan</w:t>
      </w:r>
      <w:r w:rsidR="00A954D0">
        <w:rPr>
          <w:rFonts w:ascii="Bookman Old Style" w:hAnsi="Bookman Old Style"/>
          <w:sz w:val="24"/>
          <w:szCs w:val="24"/>
        </w:rPr>
        <w:t xml:space="preserve"> </w:t>
      </w:r>
      <w:r w:rsidRPr="00901014">
        <w:rPr>
          <w:rFonts w:ascii="Bookman Old Style" w:hAnsi="Bookman Old Style"/>
          <w:sz w:val="24"/>
          <w:szCs w:val="24"/>
        </w:rPr>
        <w:t>Teknis</w:t>
      </w:r>
      <w:r w:rsidR="00A954D0">
        <w:rPr>
          <w:rFonts w:ascii="Bookman Old Style" w:hAnsi="Bookman Old Style"/>
          <w:sz w:val="24"/>
          <w:szCs w:val="24"/>
        </w:rPr>
        <w:t xml:space="preserve"> </w:t>
      </w:r>
      <w:r w:rsidRPr="00901014">
        <w:rPr>
          <w:rFonts w:ascii="Bookman Old Style" w:hAnsi="Bookman Old Style"/>
          <w:sz w:val="24"/>
          <w:szCs w:val="24"/>
        </w:rPr>
        <w:t>serta</w:t>
      </w:r>
      <w:r w:rsidR="00A954D0">
        <w:rPr>
          <w:rFonts w:ascii="Bookman Old Style" w:hAnsi="Bookman Old Style"/>
          <w:sz w:val="24"/>
          <w:szCs w:val="24"/>
        </w:rPr>
        <w:t xml:space="preserve"> </w:t>
      </w:r>
      <w:r w:rsidRPr="00901014">
        <w:rPr>
          <w:rFonts w:ascii="Bookman Old Style" w:hAnsi="Bookman Old Style"/>
          <w:sz w:val="24"/>
          <w:szCs w:val="24"/>
        </w:rPr>
        <w:t>Pendidikan</w:t>
      </w:r>
      <w:r w:rsidR="00A954D0">
        <w:rPr>
          <w:rFonts w:ascii="Bookman Old Style" w:hAnsi="Bookman Old Style"/>
          <w:sz w:val="24"/>
          <w:szCs w:val="24"/>
        </w:rPr>
        <w:t xml:space="preserve"> </w:t>
      </w:r>
      <w:r w:rsidRPr="00901014">
        <w:rPr>
          <w:rFonts w:ascii="Bookman Old Style" w:hAnsi="Bookman Old Style"/>
          <w:sz w:val="24"/>
          <w:szCs w:val="24"/>
        </w:rPr>
        <w:t>dan</w:t>
      </w:r>
      <w:r w:rsidR="00A954D0">
        <w:rPr>
          <w:rFonts w:ascii="Bookman Old Style" w:hAnsi="Bookman Old Style"/>
          <w:sz w:val="24"/>
          <w:szCs w:val="24"/>
        </w:rPr>
        <w:t xml:space="preserve"> </w:t>
      </w:r>
      <w:r w:rsidRPr="00901014">
        <w:rPr>
          <w:rFonts w:ascii="Bookman Old Style" w:hAnsi="Bookman Old Style"/>
          <w:sz w:val="24"/>
          <w:szCs w:val="24"/>
        </w:rPr>
        <w:t>Pelatihan</w:t>
      </w:r>
      <w:r w:rsidR="00A954D0">
        <w:rPr>
          <w:rFonts w:ascii="Bookman Old Style" w:hAnsi="Bookman Old Style"/>
          <w:sz w:val="24"/>
          <w:szCs w:val="24"/>
        </w:rPr>
        <w:t xml:space="preserve"> </w:t>
      </w:r>
      <w:r w:rsidR="00E01DD7" w:rsidRPr="00901014">
        <w:rPr>
          <w:rFonts w:ascii="Bookman Old Style" w:hAnsi="Bookman Old Style"/>
          <w:sz w:val="24"/>
          <w:szCs w:val="24"/>
          <w:lang w:val="en-US"/>
        </w:rPr>
        <w:t>Rp13.793.858.500,00</w:t>
      </w:r>
      <w:r w:rsidR="00A954D0">
        <w:rPr>
          <w:rFonts w:ascii="Bookman Old Style" w:hAnsi="Bookman Old Style"/>
          <w:sz w:val="24"/>
          <w:szCs w:val="24"/>
          <w:lang w:val="en-US"/>
        </w:rPr>
        <w:t xml:space="preserve"> </w:t>
      </w:r>
      <w:r w:rsidR="00E01DD7" w:rsidRPr="00901014">
        <w:rPr>
          <w:rFonts w:ascii="Bookman Old Style" w:hAnsi="Bookman Old Style"/>
          <w:sz w:val="24"/>
          <w:szCs w:val="24"/>
          <w:lang w:val="en-US"/>
        </w:rPr>
        <w:t>atau</w:t>
      </w:r>
      <w:r w:rsidR="00A954D0">
        <w:rPr>
          <w:rFonts w:ascii="Bookman Old Style" w:hAnsi="Bookman Old Style"/>
          <w:sz w:val="24"/>
          <w:szCs w:val="24"/>
          <w:lang w:val="en-US"/>
        </w:rPr>
        <w:t xml:space="preserve"> </w:t>
      </w:r>
      <w:r w:rsidR="00E01DD7" w:rsidRPr="00901014">
        <w:rPr>
          <w:rFonts w:ascii="Bookman Old Style" w:hAnsi="Bookman Old Style"/>
          <w:sz w:val="24"/>
          <w:szCs w:val="24"/>
          <w:lang w:val="en-US"/>
        </w:rPr>
        <w:t>0,24%</w:t>
      </w:r>
      <w:r w:rsidR="00A954D0">
        <w:rPr>
          <w:rFonts w:ascii="Bookman Old Style" w:hAnsi="Bookman Old Style"/>
          <w:sz w:val="24"/>
          <w:szCs w:val="24"/>
          <w:lang w:val="en-US"/>
        </w:rPr>
        <w:t xml:space="preserve"> </w:t>
      </w:r>
      <w:r w:rsidRPr="00901014">
        <w:rPr>
          <w:rFonts w:ascii="Bookman Old Style" w:hAnsi="Bookman Old Style"/>
          <w:sz w:val="24"/>
          <w:szCs w:val="24"/>
        </w:rPr>
        <w:t>dari</w:t>
      </w:r>
      <w:r w:rsidR="00A954D0">
        <w:rPr>
          <w:rFonts w:ascii="Bookman Old Style" w:hAnsi="Bookman Old Style"/>
          <w:sz w:val="24"/>
          <w:szCs w:val="24"/>
        </w:rPr>
        <w:t xml:space="preserve"> </w:t>
      </w:r>
      <w:r w:rsidRPr="00901014">
        <w:rPr>
          <w:rFonts w:ascii="Bookman Old Style" w:hAnsi="Bookman Old Style"/>
          <w:sz w:val="24"/>
          <w:szCs w:val="24"/>
        </w:rPr>
        <w:t>total</w:t>
      </w:r>
      <w:r w:rsidR="00A954D0">
        <w:rPr>
          <w:rFonts w:ascii="Bookman Old Style" w:hAnsi="Bookman Old Style"/>
          <w:sz w:val="24"/>
          <w:szCs w:val="24"/>
        </w:rPr>
        <w:t xml:space="preserve"> </w:t>
      </w:r>
      <w:r w:rsidRPr="00901014">
        <w:rPr>
          <w:rFonts w:ascii="Bookman Old Style" w:hAnsi="Bookman Old Style"/>
          <w:sz w:val="24"/>
          <w:szCs w:val="24"/>
        </w:rPr>
        <w:t>belanja</w:t>
      </w:r>
      <w:r w:rsidR="00A954D0">
        <w:rPr>
          <w:rFonts w:ascii="Bookman Old Style" w:hAnsi="Bookman Old Style"/>
          <w:sz w:val="24"/>
          <w:szCs w:val="24"/>
        </w:rPr>
        <w:t xml:space="preserve"> </w:t>
      </w:r>
      <w:r w:rsidRPr="00901014">
        <w:rPr>
          <w:rFonts w:ascii="Bookman Old Style" w:hAnsi="Bookman Old Style"/>
          <w:sz w:val="24"/>
          <w:szCs w:val="24"/>
        </w:rPr>
        <w:t>daerah</w:t>
      </w:r>
      <w:r w:rsidR="00A954D0">
        <w:rPr>
          <w:rFonts w:ascii="Bookman Old Style" w:hAnsi="Bookman Old Style"/>
          <w:sz w:val="24"/>
          <w:szCs w:val="24"/>
        </w:rPr>
        <w:t xml:space="preserve"> </w:t>
      </w:r>
      <w:r w:rsidRPr="00901014">
        <w:rPr>
          <w:rFonts w:ascii="Bookman Old Style" w:hAnsi="Bookman Old Style"/>
          <w:sz w:val="24"/>
          <w:szCs w:val="24"/>
        </w:rPr>
        <w:t>dalam</w:t>
      </w:r>
      <w:r w:rsidR="00A954D0">
        <w:rPr>
          <w:rFonts w:ascii="Bookman Old Style" w:hAnsi="Bookman Old Style"/>
          <w:sz w:val="24"/>
          <w:szCs w:val="24"/>
        </w:rPr>
        <w:t xml:space="preserve"> </w:t>
      </w:r>
      <w:r w:rsidRPr="00901014">
        <w:rPr>
          <w:rFonts w:ascii="Bookman Old Style" w:hAnsi="Bookman Old Style"/>
          <w:sz w:val="24"/>
          <w:szCs w:val="24"/>
        </w:rPr>
        <w:t>Rancangan</w:t>
      </w:r>
      <w:r w:rsidR="00A954D0">
        <w:rPr>
          <w:rFonts w:ascii="Bookman Old Style" w:hAnsi="Bookman Old Style"/>
          <w:sz w:val="24"/>
          <w:szCs w:val="24"/>
        </w:rPr>
        <w:t xml:space="preserve"> </w:t>
      </w:r>
      <w:r w:rsidRPr="00901014">
        <w:rPr>
          <w:rFonts w:ascii="Bookman Old Style" w:hAnsi="Bookman Old Style"/>
          <w:sz w:val="24"/>
          <w:szCs w:val="24"/>
        </w:rPr>
        <w:t>Peraturan</w:t>
      </w:r>
      <w:r w:rsidR="00A954D0">
        <w:rPr>
          <w:rFonts w:ascii="Bookman Old Style" w:hAnsi="Bookman Old Style"/>
          <w:sz w:val="24"/>
          <w:szCs w:val="24"/>
        </w:rPr>
        <w:t xml:space="preserve"> </w:t>
      </w:r>
      <w:r w:rsidRPr="00901014">
        <w:rPr>
          <w:rFonts w:ascii="Bookman Old Style" w:hAnsi="Bookman Old Style"/>
          <w:sz w:val="24"/>
          <w:szCs w:val="24"/>
        </w:rPr>
        <w:t>Daerah</w:t>
      </w:r>
      <w:r w:rsidR="00A954D0">
        <w:rPr>
          <w:rFonts w:ascii="Bookman Old Style" w:hAnsi="Bookman Old Style"/>
          <w:sz w:val="24"/>
          <w:szCs w:val="24"/>
        </w:rPr>
        <w:t xml:space="preserve"> </w:t>
      </w:r>
      <w:r w:rsidR="00B055C5" w:rsidRPr="00901014">
        <w:rPr>
          <w:rFonts w:ascii="Bookman Old Style" w:hAnsi="Bookman Old Style"/>
          <w:sz w:val="24"/>
          <w:szCs w:val="24"/>
        </w:rPr>
        <w:t>Kota</w:t>
      </w:r>
      <w:r w:rsidR="00A954D0">
        <w:rPr>
          <w:rFonts w:ascii="Bookman Old Style" w:hAnsi="Bookman Old Style"/>
          <w:sz w:val="24"/>
          <w:szCs w:val="24"/>
        </w:rPr>
        <w:t xml:space="preserve"> </w:t>
      </w:r>
      <w:r w:rsidR="00770F22" w:rsidRPr="00901014">
        <w:rPr>
          <w:rFonts w:ascii="Bookman Old Style" w:hAnsi="Bookman Old Style"/>
          <w:sz w:val="24"/>
          <w:szCs w:val="24"/>
        </w:rPr>
        <w:t>Tangerang</w:t>
      </w:r>
      <w:r w:rsidR="00A954D0">
        <w:rPr>
          <w:rFonts w:ascii="Bookman Old Style" w:hAnsi="Bookman Old Style"/>
          <w:sz w:val="24"/>
          <w:szCs w:val="24"/>
        </w:rPr>
        <w:t xml:space="preserve"> </w:t>
      </w:r>
      <w:r w:rsidR="00BE6ED9" w:rsidRPr="00901014">
        <w:rPr>
          <w:rFonts w:ascii="Bookman Old Style" w:hAnsi="Bookman Old Style"/>
          <w:sz w:val="24"/>
          <w:szCs w:val="24"/>
        </w:rPr>
        <w:t>tentang</w:t>
      </w:r>
      <w:r w:rsidR="00A954D0">
        <w:rPr>
          <w:rFonts w:ascii="Bookman Old Style" w:hAnsi="Bookman Old Style"/>
          <w:sz w:val="24"/>
          <w:szCs w:val="24"/>
        </w:rPr>
        <w:t xml:space="preserve"> </w:t>
      </w:r>
      <w:r w:rsidR="00BE6ED9" w:rsidRPr="00901014">
        <w:rPr>
          <w:rFonts w:ascii="Bookman Old Style" w:hAnsi="Bookman Old Style"/>
          <w:sz w:val="24"/>
          <w:szCs w:val="24"/>
        </w:rPr>
        <w:t>APBD</w:t>
      </w:r>
      <w:r w:rsidR="00A954D0">
        <w:rPr>
          <w:rFonts w:ascii="Bookman Old Style" w:hAnsi="Bookman Old Style"/>
          <w:sz w:val="24"/>
          <w:szCs w:val="24"/>
        </w:rPr>
        <w:t xml:space="preserve"> </w:t>
      </w:r>
      <w:r w:rsidRPr="00901014">
        <w:rPr>
          <w:rFonts w:ascii="Bookman Old Style" w:hAnsi="Bookman Old Style"/>
          <w:sz w:val="24"/>
          <w:szCs w:val="24"/>
        </w:rPr>
        <w:t>Tahun</w:t>
      </w:r>
      <w:r w:rsidR="00A954D0">
        <w:rPr>
          <w:rFonts w:ascii="Bookman Old Style" w:hAnsi="Bookman Old Style"/>
          <w:sz w:val="24"/>
          <w:szCs w:val="24"/>
        </w:rPr>
        <w:t xml:space="preserve"> </w:t>
      </w:r>
      <w:r w:rsidRPr="00901014">
        <w:rPr>
          <w:rFonts w:ascii="Bookman Old Style" w:hAnsi="Bookman Old Style"/>
          <w:sz w:val="24"/>
          <w:szCs w:val="24"/>
        </w:rPr>
        <w:t>Anggaran</w:t>
      </w:r>
      <w:r w:rsidR="00A954D0">
        <w:rPr>
          <w:rFonts w:ascii="Bookman Old Style" w:hAnsi="Bookman Old Style"/>
          <w:sz w:val="24"/>
          <w:szCs w:val="24"/>
        </w:rPr>
        <w:t xml:space="preserve"> </w:t>
      </w:r>
      <w:r w:rsidRPr="00901014">
        <w:rPr>
          <w:rFonts w:ascii="Bookman Old Style" w:hAnsi="Bookman Old Style"/>
          <w:sz w:val="24"/>
          <w:szCs w:val="24"/>
        </w:rPr>
        <w:t>2025,</w:t>
      </w:r>
      <w:r w:rsidR="00A954D0">
        <w:rPr>
          <w:rFonts w:ascii="Bookman Old Style" w:hAnsi="Bookman Old Style"/>
          <w:sz w:val="24"/>
          <w:szCs w:val="24"/>
        </w:rPr>
        <w:t xml:space="preserve"> </w:t>
      </w:r>
      <w:r w:rsidRPr="00901014">
        <w:rPr>
          <w:rFonts w:ascii="Bookman Old Style" w:hAnsi="Bookman Old Style"/>
          <w:sz w:val="24"/>
          <w:szCs w:val="24"/>
        </w:rPr>
        <w:t>yang</w:t>
      </w:r>
      <w:r w:rsidR="00A954D0">
        <w:rPr>
          <w:rFonts w:ascii="Bookman Old Style" w:hAnsi="Bookman Old Style"/>
          <w:sz w:val="24"/>
          <w:szCs w:val="24"/>
        </w:rPr>
        <w:t xml:space="preserve"> </w:t>
      </w:r>
      <w:r w:rsidRPr="00901014">
        <w:rPr>
          <w:rFonts w:ascii="Bookman Old Style" w:hAnsi="Bookman Old Style"/>
          <w:sz w:val="24"/>
          <w:szCs w:val="24"/>
        </w:rPr>
        <w:t>diuraikan</w:t>
      </w:r>
      <w:r w:rsidR="00A954D0">
        <w:rPr>
          <w:rFonts w:ascii="Bookman Old Style" w:hAnsi="Bookman Old Style"/>
          <w:sz w:val="24"/>
          <w:szCs w:val="24"/>
        </w:rPr>
        <w:t xml:space="preserve"> </w:t>
      </w:r>
      <w:r w:rsidRPr="00901014">
        <w:rPr>
          <w:rFonts w:ascii="Bookman Old Style" w:hAnsi="Bookman Old Style"/>
          <w:sz w:val="24"/>
          <w:szCs w:val="24"/>
        </w:rPr>
        <w:t>ke</w:t>
      </w:r>
      <w:r w:rsidR="00A954D0">
        <w:rPr>
          <w:rFonts w:ascii="Bookman Old Style" w:hAnsi="Bookman Old Style"/>
          <w:sz w:val="24"/>
          <w:szCs w:val="24"/>
        </w:rPr>
        <w:t xml:space="preserve"> </w:t>
      </w:r>
      <w:r w:rsidRPr="00901014">
        <w:rPr>
          <w:rFonts w:ascii="Bookman Old Style" w:hAnsi="Bookman Old Style"/>
          <w:sz w:val="24"/>
          <w:szCs w:val="24"/>
        </w:rPr>
        <w:t>dalam</w:t>
      </w:r>
      <w:r w:rsidR="00A954D0">
        <w:rPr>
          <w:rFonts w:ascii="Bookman Old Style" w:hAnsi="Bookman Old Style"/>
          <w:sz w:val="24"/>
          <w:szCs w:val="24"/>
        </w:rPr>
        <w:t xml:space="preserve"> </w:t>
      </w:r>
      <w:r w:rsidRPr="00901014">
        <w:rPr>
          <w:rFonts w:ascii="Bookman Old Style" w:hAnsi="Bookman Old Style"/>
          <w:sz w:val="24"/>
          <w:szCs w:val="24"/>
        </w:rPr>
        <w:t>sub</w:t>
      </w:r>
      <w:r w:rsidR="00A954D0">
        <w:rPr>
          <w:rFonts w:ascii="Bookman Old Style" w:hAnsi="Bookman Old Style"/>
          <w:sz w:val="24"/>
          <w:szCs w:val="24"/>
        </w:rPr>
        <w:t xml:space="preserve"> </w:t>
      </w:r>
      <w:r w:rsidRPr="00901014">
        <w:rPr>
          <w:rFonts w:ascii="Bookman Old Style" w:hAnsi="Bookman Old Style"/>
          <w:sz w:val="24"/>
          <w:szCs w:val="24"/>
        </w:rPr>
        <w:t>rincian</w:t>
      </w:r>
      <w:r w:rsidR="00A954D0">
        <w:rPr>
          <w:rFonts w:ascii="Bookman Old Style" w:hAnsi="Bookman Old Style"/>
          <w:sz w:val="24"/>
          <w:szCs w:val="24"/>
        </w:rPr>
        <w:t xml:space="preserve"> </w:t>
      </w:r>
      <w:r w:rsidRPr="00901014">
        <w:rPr>
          <w:rFonts w:ascii="Bookman Old Style" w:hAnsi="Bookman Old Style"/>
          <w:sz w:val="24"/>
          <w:szCs w:val="24"/>
        </w:rPr>
        <w:t>objek</w:t>
      </w:r>
      <w:r w:rsidR="00A954D0">
        <w:rPr>
          <w:rFonts w:ascii="Bookman Old Style" w:hAnsi="Bookman Old Style"/>
          <w:sz w:val="24"/>
          <w:szCs w:val="24"/>
          <w:lang w:val="en-US"/>
        </w:rPr>
        <w:t xml:space="preserve"> </w:t>
      </w:r>
      <w:r w:rsidR="00381462" w:rsidRPr="00901014">
        <w:rPr>
          <w:rFonts w:ascii="Bookman Old Style" w:hAnsi="Bookman Old Style"/>
          <w:sz w:val="24"/>
          <w:szCs w:val="24"/>
          <w:lang w:val="en-US"/>
        </w:rPr>
        <w:t>belanja:</w:t>
      </w:r>
    </w:p>
    <w:p w14:paraId="40292109" w14:textId="238EC07C" w:rsidR="00884BC1" w:rsidRPr="00901014" w:rsidRDefault="00884BC1" w:rsidP="0065744F">
      <w:pPr>
        <w:pStyle w:val="ListParagraph"/>
        <w:numPr>
          <w:ilvl w:val="0"/>
          <w:numId w:val="225"/>
        </w:numPr>
        <w:snapToGrid w:val="0"/>
        <w:spacing w:before="60" w:after="0" w:line="276" w:lineRule="auto"/>
        <w:ind w:left="3686" w:hanging="425"/>
        <w:contextualSpacing w:val="0"/>
        <w:jc w:val="both"/>
        <w:rPr>
          <w:rFonts w:ascii="Bookman Old Style" w:hAnsi="Bookman Old Style"/>
          <w:color w:val="000000" w:themeColor="text1"/>
          <w:sz w:val="24"/>
          <w:szCs w:val="24"/>
        </w:rPr>
      </w:pPr>
      <w:r w:rsidRPr="00901014">
        <w:rPr>
          <w:rFonts w:ascii="Bookman Old Style" w:hAnsi="Bookman Old Style"/>
          <w:color w:val="000000" w:themeColor="text1"/>
          <w:sz w:val="24"/>
          <w:szCs w:val="24"/>
        </w:rPr>
        <w:t>Belanja</w:t>
      </w:r>
      <w:r w:rsidR="00A954D0">
        <w:rPr>
          <w:rFonts w:ascii="Bookman Old Style" w:hAnsi="Bookman Old Style"/>
          <w:color w:val="000000" w:themeColor="text1"/>
          <w:sz w:val="24"/>
          <w:szCs w:val="24"/>
        </w:rPr>
        <w:t xml:space="preserve"> </w:t>
      </w:r>
      <w:r w:rsidRPr="00901014">
        <w:rPr>
          <w:rFonts w:ascii="Bookman Old Style" w:hAnsi="Bookman Old Style"/>
          <w:color w:val="000000" w:themeColor="text1"/>
          <w:sz w:val="24"/>
          <w:szCs w:val="24"/>
        </w:rPr>
        <w:t>Kursus</w:t>
      </w:r>
      <w:r w:rsidR="00A954D0">
        <w:rPr>
          <w:rFonts w:ascii="Bookman Old Style" w:hAnsi="Bookman Old Style"/>
          <w:color w:val="000000" w:themeColor="text1"/>
          <w:sz w:val="24"/>
          <w:szCs w:val="24"/>
        </w:rPr>
        <w:t xml:space="preserve"> </w:t>
      </w:r>
      <w:r w:rsidRPr="00901014">
        <w:rPr>
          <w:rFonts w:ascii="Bookman Old Style" w:hAnsi="Bookman Old Style"/>
          <w:color w:val="000000" w:themeColor="text1"/>
          <w:sz w:val="24"/>
          <w:szCs w:val="24"/>
        </w:rPr>
        <w:t>Singkat/Pelatihan</w:t>
      </w:r>
      <w:r w:rsidR="00A954D0">
        <w:rPr>
          <w:rFonts w:ascii="Bookman Old Style" w:hAnsi="Bookman Old Style"/>
          <w:color w:val="000000" w:themeColor="text1"/>
          <w:sz w:val="24"/>
          <w:szCs w:val="24"/>
        </w:rPr>
        <w:t xml:space="preserve"> </w:t>
      </w:r>
      <w:r w:rsidRPr="00901014">
        <w:rPr>
          <w:rFonts w:ascii="Bookman Old Style" w:hAnsi="Bookman Old Style"/>
          <w:color w:val="000000" w:themeColor="text1"/>
          <w:sz w:val="24"/>
          <w:szCs w:val="24"/>
        </w:rPr>
        <w:t>Rp11.770.154.000,00</w:t>
      </w:r>
      <w:r w:rsidR="00AF6A98" w:rsidRPr="00901014">
        <w:rPr>
          <w:rFonts w:ascii="Bookman Old Style" w:hAnsi="Bookman Old Style"/>
          <w:color w:val="000000" w:themeColor="text1"/>
          <w:sz w:val="24"/>
          <w:szCs w:val="24"/>
        </w:rPr>
        <w:t>;</w:t>
      </w:r>
    </w:p>
    <w:p w14:paraId="04E52459" w14:textId="1CDE3297" w:rsidR="00884BC1" w:rsidRPr="00901014" w:rsidRDefault="00884BC1" w:rsidP="0065744F">
      <w:pPr>
        <w:pStyle w:val="ListParagraph"/>
        <w:numPr>
          <w:ilvl w:val="0"/>
          <w:numId w:val="225"/>
        </w:numPr>
        <w:snapToGrid w:val="0"/>
        <w:spacing w:before="60" w:after="0" w:line="276" w:lineRule="auto"/>
        <w:ind w:left="3686" w:hanging="425"/>
        <w:contextualSpacing w:val="0"/>
        <w:jc w:val="both"/>
        <w:rPr>
          <w:rFonts w:ascii="Bookman Old Style" w:hAnsi="Bookman Old Style"/>
          <w:color w:val="000000" w:themeColor="text1"/>
          <w:sz w:val="24"/>
          <w:szCs w:val="24"/>
        </w:rPr>
      </w:pPr>
      <w:r w:rsidRPr="00901014">
        <w:rPr>
          <w:rFonts w:ascii="Bookman Old Style" w:hAnsi="Bookman Old Style"/>
          <w:color w:val="000000" w:themeColor="text1"/>
          <w:sz w:val="24"/>
          <w:szCs w:val="24"/>
        </w:rPr>
        <w:t>Belanja</w:t>
      </w:r>
      <w:r w:rsidR="00A954D0">
        <w:rPr>
          <w:rFonts w:ascii="Bookman Old Style" w:hAnsi="Bookman Old Style"/>
          <w:color w:val="000000" w:themeColor="text1"/>
          <w:sz w:val="24"/>
          <w:szCs w:val="24"/>
        </w:rPr>
        <w:t xml:space="preserve"> </w:t>
      </w:r>
      <w:r w:rsidRPr="00901014">
        <w:rPr>
          <w:rFonts w:ascii="Bookman Old Style" w:hAnsi="Bookman Old Style"/>
          <w:color w:val="000000" w:themeColor="text1"/>
          <w:sz w:val="24"/>
          <w:szCs w:val="24"/>
        </w:rPr>
        <w:t>Sosialisasi</w:t>
      </w:r>
      <w:r w:rsidR="00A954D0">
        <w:rPr>
          <w:rFonts w:ascii="Bookman Old Style" w:hAnsi="Bookman Old Style"/>
          <w:color w:val="000000" w:themeColor="text1"/>
          <w:sz w:val="24"/>
          <w:szCs w:val="24"/>
        </w:rPr>
        <w:t xml:space="preserve"> </w:t>
      </w:r>
      <w:r w:rsidRPr="00901014">
        <w:rPr>
          <w:rFonts w:ascii="Bookman Old Style" w:hAnsi="Bookman Old Style"/>
          <w:color w:val="000000" w:themeColor="text1"/>
          <w:sz w:val="24"/>
          <w:szCs w:val="24"/>
        </w:rPr>
        <w:t>Rp1.072.404.500,00</w:t>
      </w:r>
      <w:r w:rsidR="00AF6A98" w:rsidRPr="00901014">
        <w:rPr>
          <w:rFonts w:ascii="Bookman Old Style" w:hAnsi="Bookman Old Style"/>
          <w:color w:val="000000" w:themeColor="text1"/>
          <w:sz w:val="24"/>
          <w:szCs w:val="24"/>
        </w:rPr>
        <w:t>;</w:t>
      </w:r>
    </w:p>
    <w:p w14:paraId="0031227E" w14:textId="089FA1CF" w:rsidR="00381462" w:rsidRPr="00901014" w:rsidRDefault="00884BC1" w:rsidP="0065744F">
      <w:pPr>
        <w:pStyle w:val="ListParagraph"/>
        <w:numPr>
          <w:ilvl w:val="0"/>
          <w:numId w:val="225"/>
        </w:numPr>
        <w:snapToGrid w:val="0"/>
        <w:spacing w:before="60" w:after="0" w:line="276" w:lineRule="auto"/>
        <w:ind w:left="3686" w:hanging="425"/>
        <w:contextualSpacing w:val="0"/>
        <w:jc w:val="both"/>
        <w:rPr>
          <w:rFonts w:ascii="Bookman Old Style" w:hAnsi="Bookman Old Style"/>
          <w:sz w:val="24"/>
          <w:szCs w:val="24"/>
          <w:lang w:val="en-US"/>
        </w:rPr>
      </w:pPr>
      <w:r w:rsidRPr="00901014">
        <w:rPr>
          <w:rFonts w:ascii="Bookman Old Style" w:hAnsi="Bookman Old Style"/>
          <w:color w:val="000000" w:themeColor="text1"/>
          <w:sz w:val="24"/>
          <w:szCs w:val="24"/>
        </w:rPr>
        <w:lastRenderedPageBreak/>
        <w:t>Belanja</w:t>
      </w:r>
      <w:r w:rsidR="00A954D0">
        <w:rPr>
          <w:rFonts w:ascii="Bookman Old Style" w:hAnsi="Bookman Old Style"/>
          <w:color w:val="000000" w:themeColor="text1"/>
          <w:sz w:val="24"/>
          <w:szCs w:val="24"/>
        </w:rPr>
        <w:t xml:space="preserve"> </w:t>
      </w:r>
      <w:r w:rsidRPr="00901014">
        <w:rPr>
          <w:rFonts w:ascii="Bookman Old Style" w:hAnsi="Bookman Old Style"/>
          <w:color w:val="000000" w:themeColor="text1"/>
          <w:sz w:val="24"/>
          <w:szCs w:val="24"/>
        </w:rPr>
        <w:t>Bimbingan</w:t>
      </w:r>
      <w:r w:rsidR="00A954D0">
        <w:rPr>
          <w:rFonts w:ascii="Bookman Old Style" w:hAnsi="Bookman Old Style"/>
          <w:color w:val="000000" w:themeColor="text1"/>
          <w:sz w:val="24"/>
          <w:szCs w:val="24"/>
        </w:rPr>
        <w:t xml:space="preserve"> </w:t>
      </w:r>
      <w:r w:rsidRPr="00901014">
        <w:rPr>
          <w:rFonts w:ascii="Bookman Old Style" w:hAnsi="Bookman Old Style"/>
          <w:color w:val="000000" w:themeColor="text1"/>
          <w:sz w:val="24"/>
          <w:szCs w:val="24"/>
        </w:rPr>
        <w:t>Teknis</w:t>
      </w:r>
      <w:r w:rsidR="00A954D0">
        <w:rPr>
          <w:rFonts w:ascii="Bookman Old Style" w:hAnsi="Bookman Old Style"/>
          <w:color w:val="000000" w:themeColor="text1"/>
          <w:sz w:val="24"/>
          <w:szCs w:val="24"/>
        </w:rPr>
        <w:t xml:space="preserve"> </w:t>
      </w:r>
      <w:r w:rsidRPr="00901014">
        <w:rPr>
          <w:rFonts w:ascii="Bookman Old Style" w:hAnsi="Bookman Old Style"/>
          <w:color w:val="000000" w:themeColor="text1"/>
          <w:sz w:val="24"/>
          <w:szCs w:val="24"/>
        </w:rPr>
        <w:t>Rp951.300.000,00</w:t>
      </w:r>
      <w:r w:rsidR="0065744F">
        <w:rPr>
          <w:rFonts w:ascii="Bookman Old Style" w:hAnsi="Bookman Old Style"/>
          <w:sz w:val="24"/>
          <w:szCs w:val="24"/>
          <w:lang w:val="en-US"/>
        </w:rPr>
        <w:t>.</w:t>
      </w:r>
    </w:p>
    <w:p w14:paraId="4BF0233D" w14:textId="00D9ECD1" w:rsidR="003B7FE4" w:rsidRPr="00901014" w:rsidRDefault="0065744F" w:rsidP="0065744F">
      <w:pPr>
        <w:pStyle w:val="ListParagraph"/>
        <w:snapToGrid w:val="0"/>
        <w:spacing w:before="60" w:after="0" w:line="276" w:lineRule="auto"/>
        <w:ind w:left="3261"/>
        <w:contextualSpacing w:val="0"/>
        <w:jc w:val="both"/>
        <w:rPr>
          <w:rFonts w:ascii="Bookman Old Style" w:hAnsi="Bookman Old Style"/>
          <w:color w:val="000000" w:themeColor="text1"/>
          <w:sz w:val="24"/>
          <w:szCs w:val="24"/>
        </w:rPr>
      </w:pPr>
      <w:r>
        <w:rPr>
          <w:rFonts w:ascii="Bookman Old Style" w:hAnsi="Bookman Old Style"/>
          <w:sz w:val="24"/>
          <w:szCs w:val="24"/>
          <w:lang w:val="en-US"/>
        </w:rPr>
        <w:t>D</w:t>
      </w:r>
      <w:r w:rsidR="003B7FE4" w:rsidRPr="00901014">
        <w:rPr>
          <w:rFonts w:ascii="Bookman Old Style" w:hAnsi="Bookman Old Style"/>
          <w:sz w:val="24"/>
          <w:szCs w:val="24"/>
        </w:rPr>
        <w:t>ianggarkan</w:t>
      </w:r>
      <w:r w:rsidR="00A954D0">
        <w:rPr>
          <w:rFonts w:ascii="Bookman Old Style" w:hAnsi="Bookman Old Style"/>
          <w:sz w:val="24"/>
          <w:szCs w:val="24"/>
        </w:rPr>
        <w:t xml:space="preserve"> </w:t>
      </w:r>
      <w:r w:rsidR="003B7FE4" w:rsidRPr="00901014">
        <w:rPr>
          <w:rFonts w:ascii="Bookman Old Style" w:hAnsi="Bookman Old Style"/>
          <w:sz w:val="24"/>
          <w:szCs w:val="24"/>
        </w:rPr>
        <w:t>dalam</w:t>
      </w:r>
      <w:r w:rsidR="00A954D0">
        <w:rPr>
          <w:rFonts w:ascii="Bookman Old Style" w:hAnsi="Bookman Old Style"/>
          <w:sz w:val="24"/>
          <w:szCs w:val="24"/>
        </w:rPr>
        <w:t xml:space="preserve"> </w:t>
      </w:r>
      <w:r w:rsidR="003B7FE4" w:rsidRPr="00901014">
        <w:rPr>
          <w:rFonts w:ascii="Bookman Old Style" w:hAnsi="Bookman Old Style"/>
          <w:sz w:val="24"/>
          <w:szCs w:val="24"/>
        </w:rPr>
        <w:t>Rancangan</w:t>
      </w:r>
      <w:r w:rsidR="00A954D0">
        <w:rPr>
          <w:rFonts w:ascii="Bookman Old Style" w:hAnsi="Bookman Old Style"/>
          <w:sz w:val="24"/>
          <w:szCs w:val="24"/>
        </w:rPr>
        <w:t xml:space="preserve"> </w:t>
      </w:r>
      <w:r w:rsidR="003B7FE4" w:rsidRPr="00901014">
        <w:rPr>
          <w:rFonts w:ascii="Bookman Old Style" w:hAnsi="Bookman Old Style"/>
          <w:sz w:val="24"/>
          <w:szCs w:val="24"/>
        </w:rPr>
        <w:t>Peraturan</w:t>
      </w:r>
      <w:r w:rsidR="00A954D0">
        <w:rPr>
          <w:rFonts w:ascii="Bookman Old Style" w:hAnsi="Bookman Old Style"/>
          <w:sz w:val="24"/>
          <w:szCs w:val="24"/>
        </w:rPr>
        <w:t xml:space="preserve"> </w:t>
      </w:r>
      <w:r w:rsidR="003B7FE4" w:rsidRPr="00901014">
        <w:rPr>
          <w:rFonts w:ascii="Bookman Old Style" w:hAnsi="Bookman Old Style"/>
          <w:sz w:val="24"/>
          <w:szCs w:val="24"/>
        </w:rPr>
        <w:t>Daerah</w:t>
      </w:r>
      <w:r w:rsidR="00A954D0">
        <w:rPr>
          <w:rFonts w:ascii="Bookman Old Style" w:hAnsi="Bookman Old Style"/>
          <w:sz w:val="24"/>
          <w:szCs w:val="24"/>
        </w:rPr>
        <w:t xml:space="preserve"> </w:t>
      </w:r>
      <w:r w:rsidR="00B055C5" w:rsidRPr="00901014">
        <w:rPr>
          <w:rFonts w:ascii="Bookman Old Style" w:hAnsi="Bookman Old Style"/>
          <w:sz w:val="24"/>
          <w:szCs w:val="24"/>
        </w:rPr>
        <w:t>Kota</w:t>
      </w:r>
      <w:r w:rsidR="00A954D0">
        <w:rPr>
          <w:rFonts w:ascii="Bookman Old Style" w:hAnsi="Bookman Old Style"/>
          <w:sz w:val="24"/>
          <w:szCs w:val="24"/>
        </w:rPr>
        <w:t xml:space="preserve"> </w:t>
      </w:r>
      <w:r w:rsidR="00770F22" w:rsidRPr="00901014">
        <w:rPr>
          <w:rFonts w:ascii="Bookman Old Style" w:hAnsi="Bookman Old Style"/>
          <w:sz w:val="24"/>
          <w:szCs w:val="24"/>
        </w:rPr>
        <w:t>Tangerang</w:t>
      </w:r>
      <w:r w:rsidR="00A954D0">
        <w:rPr>
          <w:rFonts w:ascii="Bookman Old Style" w:hAnsi="Bookman Old Style"/>
          <w:sz w:val="24"/>
          <w:szCs w:val="24"/>
        </w:rPr>
        <w:t xml:space="preserve"> </w:t>
      </w:r>
      <w:r w:rsidR="00BE6ED9" w:rsidRPr="00901014">
        <w:rPr>
          <w:rFonts w:ascii="Bookman Old Style" w:hAnsi="Bookman Old Style"/>
          <w:sz w:val="24"/>
          <w:szCs w:val="24"/>
        </w:rPr>
        <w:t>tentang</w:t>
      </w:r>
      <w:r w:rsidR="00A954D0">
        <w:rPr>
          <w:rFonts w:ascii="Bookman Old Style" w:hAnsi="Bookman Old Style"/>
          <w:sz w:val="24"/>
          <w:szCs w:val="24"/>
        </w:rPr>
        <w:t xml:space="preserve"> </w:t>
      </w:r>
      <w:r w:rsidR="00BE6ED9" w:rsidRPr="00901014">
        <w:rPr>
          <w:rFonts w:ascii="Bookman Old Style" w:hAnsi="Bookman Old Style"/>
          <w:sz w:val="24"/>
          <w:szCs w:val="24"/>
        </w:rPr>
        <w:t>APBD</w:t>
      </w:r>
      <w:r w:rsidR="00A954D0">
        <w:rPr>
          <w:rFonts w:ascii="Bookman Old Style" w:hAnsi="Bookman Old Style"/>
          <w:sz w:val="24"/>
          <w:szCs w:val="24"/>
        </w:rPr>
        <w:t xml:space="preserve"> </w:t>
      </w:r>
      <w:r w:rsidR="003B7FE4" w:rsidRPr="00901014">
        <w:rPr>
          <w:rFonts w:ascii="Bookman Old Style" w:hAnsi="Bookman Old Style"/>
          <w:sz w:val="24"/>
          <w:szCs w:val="24"/>
        </w:rPr>
        <w:t>Tahun</w:t>
      </w:r>
      <w:r w:rsidR="00A954D0">
        <w:rPr>
          <w:rFonts w:ascii="Bookman Old Style" w:hAnsi="Bookman Old Style"/>
          <w:sz w:val="24"/>
          <w:szCs w:val="24"/>
        </w:rPr>
        <w:t xml:space="preserve"> </w:t>
      </w:r>
      <w:r w:rsidR="003B7FE4" w:rsidRPr="00901014">
        <w:rPr>
          <w:rFonts w:ascii="Bookman Old Style" w:hAnsi="Bookman Old Style"/>
          <w:sz w:val="24"/>
          <w:szCs w:val="24"/>
        </w:rPr>
        <w:t>Anggaran</w:t>
      </w:r>
      <w:r w:rsidR="00A954D0">
        <w:rPr>
          <w:rFonts w:ascii="Bookman Old Style" w:hAnsi="Bookman Old Style"/>
          <w:sz w:val="24"/>
          <w:szCs w:val="24"/>
        </w:rPr>
        <w:t xml:space="preserve"> </w:t>
      </w:r>
      <w:r w:rsidR="003B7FE4" w:rsidRPr="00901014">
        <w:rPr>
          <w:rFonts w:ascii="Bookman Old Style" w:hAnsi="Bookman Old Style"/>
          <w:sz w:val="24"/>
          <w:szCs w:val="24"/>
        </w:rPr>
        <w:t>2025</w:t>
      </w:r>
      <w:r w:rsidR="00A954D0">
        <w:rPr>
          <w:rFonts w:ascii="Bookman Old Style" w:hAnsi="Bookman Old Style"/>
          <w:sz w:val="24"/>
          <w:szCs w:val="24"/>
          <w:lang w:val="en-US"/>
        </w:rPr>
        <w:t xml:space="preserve"> </w:t>
      </w:r>
      <w:r w:rsidR="003B7FE4" w:rsidRPr="00901014">
        <w:rPr>
          <w:rFonts w:ascii="Bookman Old Style" w:hAnsi="Bookman Old Style"/>
          <w:sz w:val="24"/>
          <w:szCs w:val="24"/>
          <w:lang w:val="en-US"/>
        </w:rPr>
        <w:t>dalam</w:t>
      </w:r>
      <w:r w:rsidR="00A954D0">
        <w:rPr>
          <w:rFonts w:ascii="Bookman Old Style" w:hAnsi="Bookman Old Style"/>
          <w:sz w:val="24"/>
          <w:szCs w:val="24"/>
          <w:lang w:val="en-US"/>
        </w:rPr>
        <w:t xml:space="preserve"> </w:t>
      </w:r>
      <w:r w:rsidR="003B7FE4" w:rsidRPr="00901014">
        <w:rPr>
          <w:rFonts w:ascii="Bookman Old Style" w:hAnsi="Bookman Old Style"/>
          <w:sz w:val="24"/>
          <w:szCs w:val="24"/>
          <w:lang w:val="en-US"/>
        </w:rPr>
        <w:t>rangka</w:t>
      </w:r>
      <w:r w:rsidR="00A954D0">
        <w:rPr>
          <w:rFonts w:ascii="Bookman Old Style" w:hAnsi="Bookman Old Style"/>
          <w:sz w:val="24"/>
          <w:szCs w:val="24"/>
          <w:lang w:val="en-US"/>
        </w:rPr>
        <w:t xml:space="preserve"> </w:t>
      </w:r>
      <w:r w:rsidR="003B7FE4" w:rsidRPr="00901014">
        <w:rPr>
          <w:rFonts w:ascii="Bookman Old Style" w:hAnsi="Bookman Old Style"/>
          <w:sz w:val="24"/>
          <w:szCs w:val="24"/>
        </w:rPr>
        <w:t>peningkatan</w:t>
      </w:r>
      <w:r w:rsidR="00A954D0">
        <w:rPr>
          <w:rFonts w:ascii="Bookman Old Style" w:hAnsi="Bookman Old Style"/>
          <w:sz w:val="24"/>
          <w:szCs w:val="24"/>
        </w:rPr>
        <w:t xml:space="preserve"> </w:t>
      </w:r>
      <w:r w:rsidR="003B7FE4" w:rsidRPr="00901014">
        <w:rPr>
          <w:rFonts w:ascii="Bookman Old Style" w:hAnsi="Bookman Old Style"/>
          <w:sz w:val="24"/>
          <w:szCs w:val="24"/>
        </w:rPr>
        <w:t>kompetensi</w:t>
      </w:r>
      <w:r w:rsidR="00A954D0">
        <w:rPr>
          <w:rFonts w:ascii="Bookman Old Style" w:hAnsi="Bookman Old Style"/>
          <w:sz w:val="24"/>
          <w:szCs w:val="24"/>
        </w:rPr>
        <w:t xml:space="preserve"> </w:t>
      </w:r>
      <w:r w:rsidR="003B7FE4" w:rsidRPr="00901014">
        <w:rPr>
          <w:rFonts w:ascii="Bookman Old Style" w:hAnsi="Bookman Old Style"/>
          <w:sz w:val="24"/>
          <w:szCs w:val="24"/>
        </w:rPr>
        <w:t>melalui</w:t>
      </w:r>
      <w:r w:rsidR="00A954D0">
        <w:rPr>
          <w:rFonts w:ascii="Bookman Old Style" w:hAnsi="Bookman Old Style"/>
          <w:sz w:val="24"/>
          <w:szCs w:val="24"/>
        </w:rPr>
        <w:t xml:space="preserve"> </w:t>
      </w:r>
      <w:r w:rsidR="003B7FE4" w:rsidRPr="00901014">
        <w:rPr>
          <w:rFonts w:ascii="Bookman Old Style" w:hAnsi="Bookman Old Style"/>
          <w:sz w:val="24"/>
          <w:szCs w:val="24"/>
        </w:rPr>
        <w:t>pendidikan</w:t>
      </w:r>
      <w:r w:rsidR="00A954D0">
        <w:rPr>
          <w:rFonts w:ascii="Bookman Old Style" w:hAnsi="Bookman Old Style"/>
          <w:sz w:val="24"/>
          <w:szCs w:val="24"/>
        </w:rPr>
        <w:t xml:space="preserve"> </w:t>
      </w:r>
      <w:r w:rsidR="003B7FE4" w:rsidRPr="00901014">
        <w:rPr>
          <w:rFonts w:ascii="Bookman Old Style" w:hAnsi="Bookman Old Style"/>
          <w:sz w:val="24"/>
          <w:szCs w:val="24"/>
        </w:rPr>
        <w:t>dan</w:t>
      </w:r>
      <w:r w:rsidR="00A954D0">
        <w:rPr>
          <w:rFonts w:ascii="Bookman Old Style" w:hAnsi="Bookman Old Style"/>
          <w:sz w:val="24"/>
          <w:szCs w:val="24"/>
          <w:lang w:val="en-US"/>
        </w:rPr>
        <w:t xml:space="preserve"> </w:t>
      </w:r>
      <w:r w:rsidR="003B7FE4" w:rsidRPr="00901014">
        <w:rPr>
          <w:rFonts w:ascii="Bookman Old Style" w:hAnsi="Bookman Old Style"/>
          <w:sz w:val="24"/>
          <w:szCs w:val="24"/>
        </w:rPr>
        <w:t>pelatihan</w:t>
      </w:r>
      <w:r w:rsidR="00A954D0">
        <w:rPr>
          <w:rFonts w:ascii="Bookman Old Style" w:hAnsi="Bookman Old Style"/>
          <w:sz w:val="24"/>
          <w:szCs w:val="24"/>
        </w:rPr>
        <w:t xml:space="preserve"> </w:t>
      </w:r>
      <w:r w:rsidR="003B7FE4" w:rsidRPr="00901014">
        <w:rPr>
          <w:rFonts w:ascii="Bookman Old Style" w:hAnsi="Bookman Old Style"/>
          <w:sz w:val="24"/>
          <w:szCs w:val="24"/>
        </w:rPr>
        <w:t>atau</w:t>
      </w:r>
      <w:r w:rsidR="00A954D0">
        <w:rPr>
          <w:rFonts w:ascii="Bookman Old Style" w:hAnsi="Bookman Old Style"/>
          <w:sz w:val="24"/>
          <w:szCs w:val="24"/>
        </w:rPr>
        <w:t xml:space="preserve"> </w:t>
      </w:r>
      <w:r w:rsidR="003B7FE4" w:rsidRPr="00901014">
        <w:rPr>
          <w:rFonts w:ascii="Bookman Old Style" w:hAnsi="Bookman Old Style"/>
          <w:sz w:val="24"/>
          <w:szCs w:val="24"/>
        </w:rPr>
        <w:t>kegiatan</w:t>
      </w:r>
      <w:r w:rsidR="00A954D0">
        <w:rPr>
          <w:rFonts w:ascii="Bookman Old Style" w:hAnsi="Bookman Old Style"/>
          <w:sz w:val="24"/>
          <w:szCs w:val="24"/>
        </w:rPr>
        <w:t xml:space="preserve"> </w:t>
      </w:r>
      <w:r w:rsidR="003B7FE4" w:rsidRPr="00901014">
        <w:rPr>
          <w:rFonts w:ascii="Bookman Old Style" w:hAnsi="Bookman Old Style"/>
          <w:sz w:val="24"/>
          <w:szCs w:val="24"/>
        </w:rPr>
        <w:t>sejenis,</w:t>
      </w:r>
      <w:r w:rsidR="00A954D0">
        <w:rPr>
          <w:rFonts w:ascii="Bookman Old Style" w:hAnsi="Bookman Old Style"/>
          <w:sz w:val="24"/>
          <w:szCs w:val="24"/>
        </w:rPr>
        <w:t xml:space="preserve"> </w:t>
      </w:r>
      <w:r w:rsidR="003B7FE4" w:rsidRPr="00901014">
        <w:rPr>
          <w:rFonts w:ascii="Bookman Old Style" w:hAnsi="Bookman Old Style"/>
          <w:sz w:val="24"/>
          <w:szCs w:val="24"/>
        </w:rPr>
        <w:t>uji</w:t>
      </w:r>
      <w:r w:rsidR="00A954D0">
        <w:rPr>
          <w:rFonts w:ascii="Bookman Old Style" w:hAnsi="Bookman Old Style"/>
          <w:sz w:val="24"/>
          <w:szCs w:val="24"/>
        </w:rPr>
        <w:t xml:space="preserve"> </w:t>
      </w:r>
      <w:r w:rsidR="003B7FE4" w:rsidRPr="00901014">
        <w:rPr>
          <w:rFonts w:ascii="Bookman Old Style" w:hAnsi="Bookman Old Style"/>
          <w:sz w:val="24"/>
          <w:szCs w:val="24"/>
        </w:rPr>
        <w:t>kompetensi</w:t>
      </w:r>
      <w:r w:rsidR="00A954D0">
        <w:rPr>
          <w:rFonts w:ascii="Bookman Old Style" w:hAnsi="Bookman Old Style"/>
          <w:sz w:val="24"/>
          <w:szCs w:val="24"/>
          <w:lang w:val="en-US"/>
        </w:rPr>
        <w:t xml:space="preserve"> </w:t>
      </w:r>
      <w:r w:rsidR="003B7FE4" w:rsidRPr="00901014">
        <w:rPr>
          <w:rFonts w:ascii="Bookman Old Style" w:hAnsi="Bookman Old Style"/>
          <w:sz w:val="24"/>
          <w:szCs w:val="24"/>
        </w:rPr>
        <w:t>dalam</w:t>
      </w:r>
      <w:r w:rsidR="00A954D0">
        <w:rPr>
          <w:rFonts w:ascii="Bookman Old Style" w:hAnsi="Bookman Old Style"/>
          <w:sz w:val="24"/>
          <w:szCs w:val="24"/>
        </w:rPr>
        <w:t xml:space="preserve"> </w:t>
      </w:r>
      <w:r w:rsidR="003B7FE4" w:rsidRPr="00901014">
        <w:rPr>
          <w:rFonts w:ascii="Bookman Old Style" w:hAnsi="Bookman Old Style"/>
          <w:sz w:val="24"/>
          <w:szCs w:val="24"/>
        </w:rPr>
        <w:t>rangka</w:t>
      </w:r>
      <w:r w:rsidR="00A954D0">
        <w:rPr>
          <w:rFonts w:ascii="Bookman Old Style" w:hAnsi="Bookman Old Style"/>
          <w:sz w:val="24"/>
          <w:szCs w:val="24"/>
        </w:rPr>
        <w:t xml:space="preserve"> </w:t>
      </w:r>
      <w:r w:rsidR="003B7FE4" w:rsidRPr="00901014">
        <w:rPr>
          <w:rFonts w:ascii="Bookman Old Style" w:hAnsi="Bookman Old Style"/>
          <w:sz w:val="24"/>
          <w:szCs w:val="24"/>
        </w:rPr>
        <w:t>sertifikasi</w:t>
      </w:r>
      <w:r w:rsidR="00A954D0">
        <w:rPr>
          <w:rFonts w:ascii="Bookman Old Style" w:hAnsi="Bookman Old Style"/>
          <w:sz w:val="24"/>
          <w:szCs w:val="24"/>
        </w:rPr>
        <w:t xml:space="preserve"> </w:t>
      </w:r>
      <w:r w:rsidR="003B7FE4" w:rsidRPr="00901014">
        <w:rPr>
          <w:rFonts w:ascii="Bookman Old Style" w:hAnsi="Bookman Old Style"/>
          <w:sz w:val="24"/>
          <w:szCs w:val="24"/>
        </w:rPr>
        <w:t>kompetensi</w:t>
      </w:r>
      <w:r w:rsidR="00A954D0">
        <w:rPr>
          <w:rFonts w:ascii="Bookman Old Style" w:hAnsi="Bookman Old Style"/>
          <w:sz w:val="24"/>
          <w:szCs w:val="24"/>
        </w:rPr>
        <w:t xml:space="preserve"> </w:t>
      </w:r>
      <w:r w:rsidR="003B7FE4" w:rsidRPr="00901014">
        <w:rPr>
          <w:rFonts w:ascii="Bookman Old Style" w:hAnsi="Bookman Old Style"/>
          <w:sz w:val="24"/>
          <w:szCs w:val="24"/>
        </w:rPr>
        <w:t>bagi</w:t>
      </w:r>
      <w:r w:rsidR="00A954D0">
        <w:rPr>
          <w:rFonts w:ascii="Bookman Old Style" w:hAnsi="Bookman Old Style"/>
          <w:sz w:val="24"/>
          <w:szCs w:val="24"/>
        </w:rPr>
        <w:t xml:space="preserve"> </w:t>
      </w:r>
      <w:r w:rsidR="003B7FE4" w:rsidRPr="00901014">
        <w:rPr>
          <w:rFonts w:ascii="Bookman Old Style" w:hAnsi="Bookman Old Style"/>
          <w:sz w:val="24"/>
          <w:szCs w:val="24"/>
        </w:rPr>
        <w:t>setiap</w:t>
      </w:r>
      <w:r w:rsidR="00A954D0">
        <w:rPr>
          <w:rFonts w:ascii="Bookman Old Style" w:hAnsi="Bookman Old Style"/>
          <w:sz w:val="24"/>
          <w:szCs w:val="24"/>
          <w:lang w:val="en-US"/>
        </w:rPr>
        <w:t xml:space="preserve"> </w:t>
      </w:r>
      <w:r w:rsidR="003B7FE4" w:rsidRPr="00901014">
        <w:rPr>
          <w:rFonts w:ascii="Bookman Old Style" w:hAnsi="Bookman Old Style"/>
          <w:sz w:val="24"/>
          <w:szCs w:val="24"/>
        </w:rPr>
        <w:t>ASN</w:t>
      </w:r>
      <w:r w:rsidR="00A954D0">
        <w:rPr>
          <w:rFonts w:ascii="Bookman Old Style" w:hAnsi="Bookman Old Style"/>
          <w:sz w:val="24"/>
          <w:szCs w:val="24"/>
        </w:rPr>
        <w:t xml:space="preserve"> </w:t>
      </w:r>
      <w:r w:rsidR="003B7FE4" w:rsidRPr="00901014">
        <w:rPr>
          <w:rFonts w:ascii="Bookman Old Style" w:hAnsi="Bookman Old Style"/>
          <w:sz w:val="24"/>
          <w:szCs w:val="24"/>
        </w:rPr>
        <w:t>(jabatan</w:t>
      </w:r>
      <w:r w:rsidR="00A954D0">
        <w:rPr>
          <w:rFonts w:ascii="Bookman Old Style" w:hAnsi="Bookman Old Style"/>
          <w:sz w:val="24"/>
          <w:szCs w:val="24"/>
        </w:rPr>
        <w:t xml:space="preserve"> </w:t>
      </w:r>
      <w:r w:rsidR="003B7FE4" w:rsidRPr="00901014">
        <w:rPr>
          <w:rFonts w:ascii="Bookman Old Style" w:hAnsi="Bookman Old Style"/>
          <w:sz w:val="24"/>
          <w:szCs w:val="24"/>
        </w:rPr>
        <w:t>pimpinan</w:t>
      </w:r>
      <w:r w:rsidR="00A954D0">
        <w:rPr>
          <w:rFonts w:ascii="Bookman Old Style" w:hAnsi="Bookman Old Style"/>
          <w:sz w:val="24"/>
          <w:szCs w:val="24"/>
        </w:rPr>
        <w:t xml:space="preserve"> </w:t>
      </w:r>
      <w:r w:rsidR="003B7FE4" w:rsidRPr="00901014">
        <w:rPr>
          <w:rFonts w:ascii="Bookman Old Style" w:hAnsi="Bookman Old Style"/>
          <w:sz w:val="24"/>
          <w:szCs w:val="24"/>
        </w:rPr>
        <w:t>tinggi,</w:t>
      </w:r>
      <w:r w:rsidR="00A954D0">
        <w:rPr>
          <w:rFonts w:ascii="Bookman Old Style" w:hAnsi="Bookman Old Style"/>
          <w:sz w:val="24"/>
          <w:szCs w:val="24"/>
        </w:rPr>
        <w:t xml:space="preserve"> </w:t>
      </w:r>
      <w:r w:rsidR="003B7FE4" w:rsidRPr="00901014">
        <w:rPr>
          <w:rFonts w:ascii="Bookman Old Style" w:hAnsi="Bookman Old Style"/>
          <w:sz w:val="24"/>
          <w:szCs w:val="24"/>
        </w:rPr>
        <w:t>jabatan</w:t>
      </w:r>
      <w:r w:rsidR="00A954D0">
        <w:rPr>
          <w:rFonts w:ascii="Bookman Old Style" w:hAnsi="Bookman Old Style"/>
          <w:sz w:val="24"/>
          <w:szCs w:val="24"/>
          <w:lang w:val="en-US"/>
        </w:rPr>
        <w:t xml:space="preserve"> </w:t>
      </w:r>
      <w:r w:rsidR="003B7FE4" w:rsidRPr="00901014">
        <w:rPr>
          <w:rFonts w:ascii="Bookman Old Style" w:hAnsi="Bookman Old Style"/>
          <w:sz w:val="24"/>
          <w:szCs w:val="24"/>
        </w:rPr>
        <w:t>administrasi,</w:t>
      </w:r>
      <w:r w:rsidR="00A954D0">
        <w:rPr>
          <w:rFonts w:ascii="Bookman Old Style" w:hAnsi="Bookman Old Style"/>
          <w:sz w:val="24"/>
          <w:szCs w:val="24"/>
        </w:rPr>
        <w:t xml:space="preserve"> </w:t>
      </w:r>
      <w:r w:rsidR="003B7FE4" w:rsidRPr="00901014">
        <w:rPr>
          <w:rFonts w:ascii="Bookman Old Style" w:hAnsi="Bookman Old Style"/>
          <w:sz w:val="24"/>
          <w:szCs w:val="24"/>
        </w:rPr>
        <w:t>jabatan</w:t>
      </w:r>
      <w:r w:rsidR="00A954D0">
        <w:rPr>
          <w:rFonts w:ascii="Bookman Old Style" w:hAnsi="Bookman Old Style"/>
          <w:sz w:val="24"/>
          <w:szCs w:val="24"/>
        </w:rPr>
        <w:t xml:space="preserve"> </w:t>
      </w:r>
      <w:r w:rsidR="003B7FE4" w:rsidRPr="00901014">
        <w:rPr>
          <w:rFonts w:ascii="Bookman Old Style" w:hAnsi="Bookman Old Style"/>
          <w:sz w:val="24"/>
          <w:szCs w:val="24"/>
        </w:rPr>
        <w:t>fungsional),</w:t>
      </w:r>
      <w:r w:rsidR="00A954D0">
        <w:rPr>
          <w:rFonts w:ascii="Bookman Old Style" w:hAnsi="Bookman Old Style"/>
          <w:sz w:val="24"/>
          <w:szCs w:val="24"/>
        </w:rPr>
        <w:t xml:space="preserve"> </w:t>
      </w:r>
      <w:r w:rsidR="003B7FE4" w:rsidRPr="00901014">
        <w:rPr>
          <w:rFonts w:ascii="Bookman Old Style" w:hAnsi="Bookman Old Style"/>
          <w:sz w:val="24"/>
          <w:szCs w:val="24"/>
          <w:lang w:val="en-US"/>
        </w:rPr>
        <w:t>P</w:t>
      </w:r>
      <w:r w:rsidR="003B7FE4" w:rsidRPr="00901014">
        <w:rPr>
          <w:rFonts w:ascii="Bookman Old Style" w:hAnsi="Bookman Old Style"/>
          <w:sz w:val="24"/>
          <w:szCs w:val="24"/>
        </w:rPr>
        <w:t>impinan</w:t>
      </w:r>
      <w:r w:rsidR="00A954D0">
        <w:rPr>
          <w:rFonts w:ascii="Bookman Old Style" w:hAnsi="Bookman Old Style"/>
          <w:sz w:val="24"/>
          <w:szCs w:val="24"/>
        </w:rPr>
        <w:t xml:space="preserve"> </w:t>
      </w:r>
      <w:r w:rsidR="003B7FE4" w:rsidRPr="00901014">
        <w:rPr>
          <w:rFonts w:ascii="Bookman Old Style" w:hAnsi="Bookman Old Style"/>
          <w:sz w:val="24"/>
          <w:szCs w:val="24"/>
        </w:rPr>
        <w:t>dan</w:t>
      </w:r>
      <w:r w:rsidR="00A954D0">
        <w:rPr>
          <w:rFonts w:ascii="Bookman Old Style" w:hAnsi="Bookman Old Style"/>
          <w:sz w:val="24"/>
          <w:szCs w:val="24"/>
          <w:lang w:val="en-US"/>
        </w:rPr>
        <w:t xml:space="preserve"> </w:t>
      </w:r>
      <w:r w:rsidR="003B7FE4" w:rsidRPr="00901014">
        <w:rPr>
          <w:rFonts w:ascii="Bookman Old Style" w:hAnsi="Bookman Old Style"/>
          <w:sz w:val="24"/>
          <w:szCs w:val="24"/>
        </w:rPr>
        <w:t>anggota</w:t>
      </w:r>
      <w:r w:rsidR="00A954D0">
        <w:rPr>
          <w:rFonts w:ascii="Bookman Old Style" w:hAnsi="Bookman Old Style"/>
          <w:sz w:val="24"/>
          <w:szCs w:val="24"/>
        </w:rPr>
        <w:t xml:space="preserve"> </w:t>
      </w:r>
      <w:r w:rsidR="003B7FE4" w:rsidRPr="00901014">
        <w:rPr>
          <w:rFonts w:ascii="Bookman Old Style" w:hAnsi="Bookman Old Style"/>
          <w:sz w:val="24"/>
          <w:szCs w:val="24"/>
        </w:rPr>
        <w:t>DPRD,</w:t>
      </w:r>
      <w:r w:rsidR="00A954D0">
        <w:rPr>
          <w:rFonts w:ascii="Bookman Old Style" w:hAnsi="Bookman Old Style"/>
          <w:sz w:val="24"/>
          <w:szCs w:val="24"/>
        </w:rPr>
        <w:t xml:space="preserve"> </w:t>
      </w:r>
      <w:r w:rsidR="003B7FE4" w:rsidRPr="00901014">
        <w:rPr>
          <w:rFonts w:ascii="Bookman Old Style" w:hAnsi="Bookman Old Style"/>
          <w:sz w:val="24"/>
          <w:szCs w:val="24"/>
        </w:rPr>
        <w:t>serta</w:t>
      </w:r>
      <w:r w:rsidR="00A954D0">
        <w:rPr>
          <w:rFonts w:ascii="Bookman Old Style" w:hAnsi="Bookman Old Style"/>
          <w:sz w:val="24"/>
          <w:szCs w:val="24"/>
        </w:rPr>
        <w:t xml:space="preserve"> </w:t>
      </w:r>
      <w:r w:rsidR="003B7FE4" w:rsidRPr="00901014">
        <w:rPr>
          <w:rFonts w:ascii="Bookman Old Style" w:hAnsi="Bookman Old Style"/>
          <w:sz w:val="24"/>
          <w:szCs w:val="24"/>
        </w:rPr>
        <w:t>unsur</w:t>
      </w:r>
      <w:r w:rsidR="00A954D0">
        <w:rPr>
          <w:rFonts w:ascii="Bookman Old Style" w:hAnsi="Bookman Old Style"/>
          <w:sz w:val="24"/>
          <w:szCs w:val="24"/>
        </w:rPr>
        <w:t xml:space="preserve"> </w:t>
      </w:r>
      <w:r w:rsidR="003B7FE4" w:rsidRPr="00901014">
        <w:rPr>
          <w:rFonts w:ascii="Bookman Old Style" w:hAnsi="Bookman Old Style"/>
          <w:sz w:val="24"/>
          <w:szCs w:val="24"/>
        </w:rPr>
        <w:t>lainnya</w:t>
      </w:r>
      <w:r w:rsidR="00A954D0">
        <w:rPr>
          <w:rFonts w:ascii="Bookman Old Style" w:hAnsi="Bookman Old Style"/>
          <w:sz w:val="24"/>
          <w:szCs w:val="24"/>
        </w:rPr>
        <w:t xml:space="preserve"> </w:t>
      </w:r>
      <w:r w:rsidR="003B7FE4" w:rsidRPr="00901014">
        <w:rPr>
          <w:rFonts w:ascii="Bookman Old Style" w:hAnsi="Bookman Old Style"/>
          <w:sz w:val="24"/>
          <w:szCs w:val="24"/>
        </w:rPr>
        <w:t>yang</w:t>
      </w:r>
      <w:r w:rsidR="00A954D0">
        <w:rPr>
          <w:rFonts w:ascii="Bookman Old Style" w:hAnsi="Bookman Old Style"/>
          <w:sz w:val="24"/>
          <w:szCs w:val="24"/>
          <w:lang w:val="en-US"/>
        </w:rPr>
        <w:t xml:space="preserve"> </w:t>
      </w:r>
      <w:r w:rsidR="003B7FE4" w:rsidRPr="00901014">
        <w:rPr>
          <w:rFonts w:ascii="Bookman Old Style" w:hAnsi="Bookman Old Style"/>
          <w:sz w:val="24"/>
          <w:szCs w:val="24"/>
          <w:lang w:val="en-US"/>
        </w:rPr>
        <w:t>dibutuhkan,</w:t>
      </w:r>
      <w:r w:rsidR="00A954D0">
        <w:rPr>
          <w:rFonts w:ascii="Bookman Old Style" w:hAnsi="Bookman Old Style"/>
          <w:sz w:val="24"/>
          <w:szCs w:val="24"/>
          <w:lang w:val="en-US"/>
        </w:rPr>
        <w:t xml:space="preserve"> </w:t>
      </w:r>
      <w:r w:rsidR="003B7FE4" w:rsidRPr="00901014">
        <w:rPr>
          <w:rFonts w:ascii="Bookman Old Style" w:hAnsi="Bookman Old Style"/>
          <w:sz w:val="24"/>
          <w:szCs w:val="24"/>
          <w:lang w:val="en-US"/>
        </w:rPr>
        <w:t>dan</w:t>
      </w:r>
      <w:r w:rsidR="00A954D0">
        <w:rPr>
          <w:rFonts w:ascii="Bookman Old Style" w:hAnsi="Bookman Old Style"/>
          <w:sz w:val="24"/>
          <w:szCs w:val="24"/>
          <w:lang w:val="en-US"/>
        </w:rPr>
        <w:t xml:space="preserve"> </w:t>
      </w:r>
      <w:r w:rsidR="003B7FE4" w:rsidRPr="00901014">
        <w:rPr>
          <w:rFonts w:ascii="Bookman Old Style" w:hAnsi="Bookman Old Style"/>
          <w:sz w:val="24"/>
          <w:szCs w:val="24"/>
        </w:rPr>
        <w:t>dalam</w:t>
      </w:r>
      <w:r w:rsidR="00A954D0">
        <w:rPr>
          <w:rFonts w:ascii="Bookman Old Style" w:hAnsi="Bookman Old Style"/>
          <w:sz w:val="24"/>
          <w:szCs w:val="24"/>
        </w:rPr>
        <w:t xml:space="preserve"> </w:t>
      </w:r>
      <w:r w:rsidR="003B7FE4" w:rsidRPr="00901014">
        <w:rPr>
          <w:rFonts w:ascii="Bookman Old Style" w:hAnsi="Bookman Old Style"/>
          <w:sz w:val="24"/>
          <w:szCs w:val="24"/>
        </w:rPr>
        <w:t>pelaksanaannya</w:t>
      </w:r>
      <w:r w:rsidR="00A954D0">
        <w:rPr>
          <w:rFonts w:ascii="Bookman Old Style" w:hAnsi="Bookman Old Style"/>
          <w:sz w:val="24"/>
          <w:szCs w:val="24"/>
        </w:rPr>
        <w:t xml:space="preserve"> </w:t>
      </w:r>
      <w:r w:rsidR="003B7FE4" w:rsidRPr="00901014">
        <w:rPr>
          <w:rFonts w:ascii="Bookman Old Style" w:hAnsi="Bookman Old Style"/>
          <w:sz w:val="24"/>
          <w:szCs w:val="24"/>
        </w:rPr>
        <w:t>dilakukan</w:t>
      </w:r>
      <w:r w:rsidR="00A954D0">
        <w:rPr>
          <w:rFonts w:ascii="Bookman Old Style" w:hAnsi="Bookman Old Style"/>
          <w:sz w:val="24"/>
          <w:szCs w:val="24"/>
        </w:rPr>
        <w:t xml:space="preserve"> </w:t>
      </w:r>
      <w:r w:rsidR="003B7FE4" w:rsidRPr="00901014">
        <w:rPr>
          <w:rFonts w:ascii="Bookman Old Style" w:hAnsi="Bookman Old Style"/>
          <w:sz w:val="24"/>
          <w:szCs w:val="24"/>
        </w:rPr>
        <w:t>secara</w:t>
      </w:r>
      <w:r w:rsidR="00A954D0">
        <w:rPr>
          <w:rFonts w:ascii="Bookman Old Style" w:hAnsi="Bookman Old Style"/>
          <w:sz w:val="24"/>
          <w:szCs w:val="24"/>
        </w:rPr>
        <w:t xml:space="preserve"> </w:t>
      </w:r>
      <w:r w:rsidR="003B7FE4" w:rsidRPr="00901014">
        <w:rPr>
          <w:rFonts w:ascii="Bookman Old Style" w:hAnsi="Bookman Old Style"/>
          <w:sz w:val="24"/>
          <w:szCs w:val="24"/>
        </w:rPr>
        <w:t>selektif,</w:t>
      </w:r>
      <w:r w:rsidR="00A954D0">
        <w:rPr>
          <w:rFonts w:ascii="Bookman Old Style" w:hAnsi="Bookman Old Style"/>
          <w:sz w:val="24"/>
          <w:szCs w:val="24"/>
        </w:rPr>
        <w:t xml:space="preserve"> </w:t>
      </w:r>
      <w:r w:rsidR="003B7FE4" w:rsidRPr="00901014">
        <w:rPr>
          <w:rFonts w:ascii="Bookman Old Style" w:hAnsi="Bookman Old Style"/>
          <w:sz w:val="24"/>
          <w:szCs w:val="24"/>
        </w:rPr>
        <w:t>efisiensi</w:t>
      </w:r>
      <w:r w:rsidR="00A954D0">
        <w:rPr>
          <w:rFonts w:ascii="Bookman Old Style" w:hAnsi="Bookman Old Style"/>
          <w:sz w:val="24"/>
          <w:szCs w:val="24"/>
          <w:lang w:val="id-ID"/>
        </w:rPr>
        <w:t xml:space="preserve"> </w:t>
      </w:r>
      <w:r w:rsidR="003B7FE4" w:rsidRPr="00901014">
        <w:rPr>
          <w:rFonts w:ascii="Bookman Old Style" w:hAnsi="Bookman Old Style"/>
          <w:sz w:val="24"/>
          <w:szCs w:val="24"/>
        </w:rPr>
        <w:t>dan</w:t>
      </w:r>
      <w:r w:rsidR="00A954D0">
        <w:rPr>
          <w:rFonts w:ascii="Bookman Old Style" w:hAnsi="Bookman Old Style"/>
          <w:sz w:val="24"/>
          <w:szCs w:val="24"/>
        </w:rPr>
        <w:t xml:space="preserve"> </w:t>
      </w:r>
      <w:r w:rsidR="003B7FE4" w:rsidRPr="00901014">
        <w:rPr>
          <w:rFonts w:ascii="Bookman Old Style" w:hAnsi="Bookman Old Style"/>
          <w:sz w:val="24"/>
          <w:szCs w:val="24"/>
        </w:rPr>
        <w:t>efektivitas</w:t>
      </w:r>
      <w:r w:rsidR="00A954D0">
        <w:rPr>
          <w:rFonts w:ascii="Bookman Old Style" w:hAnsi="Bookman Old Style"/>
          <w:sz w:val="24"/>
          <w:szCs w:val="24"/>
        </w:rPr>
        <w:t xml:space="preserve"> </w:t>
      </w:r>
      <w:r w:rsidR="003B7FE4" w:rsidRPr="00901014">
        <w:rPr>
          <w:rFonts w:ascii="Bookman Old Style" w:hAnsi="Bookman Old Style"/>
          <w:sz w:val="24"/>
          <w:szCs w:val="24"/>
        </w:rPr>
        <w:t>penggunaan</w:t>
      </w:r>
      <w:r w:rsidR="00A954D0">
        <w:rPr>
          <w:rFonts w:ascii="Bookman Old Style" w:hAnsi="Bookman Old Style"/>
          <w:sz w:val="24"/>
          <w:szCs w:val="24"/>
        </w:rPr>
        <w:t xml:space="preserve"> </w:t>
      </w:r>
      <w:r w:rsidR="003B7FE4" w:rsidRPr="00901014">
        <w:rPr>
          <w:rFonts w:ascii="Bookman Old Style" w:hAnsi="Bookman Old Style"/>
          <w:sz w:val="24"/>
          <w:szCs w:val="24"/>
        </w:rPr>
        <w:t>anggaran</w:t>
      </w:r>
      <w:r w:rsidR="00A954D0">
        <w:rPr>
          <w:rFonts w:ascii="Bookman Old Style" w:hAnsi="Bookman Old Style"/>
          <w:sz w:val="24"/>
          <w:szCs w:val="24"/>
          <w:lang w:val="id-ID"/>
        </w:rPr>
        <w:t xml:space="preserve"> </w:t>
      </w:r>
      <w:r w:rsidR="003B7FE4" w:rsidRPr="00901014">
        <w:rPr>
          <w:rFonts w:ascii="Bookman Old Style" w:hAnsi="Bookman Old Style"/>
          <w:sz w:val="24"/>
          <w:szCs w:val="24"/>
        </w:rPr>
        <w:t>daerah</w:t>
      </w:r>
      <w:r w:rsidR="00A954D0">
        <w:rPr>
          <w:rFonts w:ascii="Bookman Old Style" w:hAnsi="Bookman Old Style"/>
          <w:sz w:val="24"/>
          <w:szCs w:val="24"/>
        </w:rPr>
        <w:t xml:space="preserve"> </w:t>
      </w:r>
      <w:r w:rsidR="003B7FE4" w:rsidRPr="00901014">
        <w:rPr>
          <w:rFonts w:ascii="Bookman Old Style" w:hAnsi="Bookman Old Style"/>
          <w:sz w:val="24"/>
          <w:szCs w:val="24"/>
        </w:rPr>
        <w:t>serta</w:t>
      </w:r>
      <w:r w:rsidR="00A954D0">
        <w:rPr>
          <w:rFonts w:ascii="Bookman Old Style" w:hAnsi="Bookman Old Style"/>
          <w:sz w:val="24"/>
          <w:szCs w:val="24"/>
        </w:rPr>
        <w:t xml:space="preserve"> </w:t>
      </w:r>
      <w:r w:rsidR="003B7FE4" w:rsidRPr="00901014">
        <w:rPr>
          <w:rFonts w:ascii="Bookman Old Style" w:hAnsi="Bookman Old Style"/>
          <w:sz w:val="24"/>
          <w:szCs w:val="24"/>
        </w:rPr>
        <w:t>tertib</w:t>
      </w:r>
      <w:r w:rsidR="00A954D0">
        <w:rPr>
          <w:rFonts w:ascii="Bookman Old Style" w:hAnsi="Bookman Old Style"/>
          <w:sz w:val="24"/>
          <w:szCs w:val="24"/>
        </w:rPr>
        <w:t xml:space="preserve"> </w:t>
      </w:r>
      <w:r w:rsidR="003B7FE4" w:rsidRPr="00901014">
        <w:rPr>
          <w:rFonts w:ascii="Bookman Old Style" w:hAnsi="Bookman Old Style"/>
          <w:sz w:val="24"/>
          <w:szCs w:val="24"/>
        </w:rPr>
        <w:t>anggaran</w:t>
      </w:r>
      <w:r w:rsidR="00A954D0">
        <w:rPr>
          <w:rFonts w:ascii="Bookman Old Style" w:hAnsi="Bookman Old Style"/>
          <w:sz w:val="24"/>
          <w:szCs w:val="24"/>
        </w:rPr>
        <w:t xml:space="preserve"> </w:t>
      </w:r>
      <w:r w:rsidR="003B7FE4" w:rsidRPr="00901014">
        <w:rPr>
          <w:rFonts w:ascii="Bookman Old Style" w:hAnsi="Bookman Old Style"/>
          <w:sz w:val="24"/>
          <w:szCs w:val="24"/>
        </w:rPr>
        <w:t>dan</w:t>
      </w:r>
      <w:r w:rsidR="00A954D0">
        <w:rPr>
          <w:rFonts w:ascii="Bookman Old Style" w:hAnsi="Bookman Old Style"/>
          <w:sz w:val="24"/>
          <w:szCs w:val="24"/>
          <w:lang w:val="id-ID"/>
        </w:rPr>
        <w:t xml:space="preserve"> </w:t>
      </w:r>
      <w:r w:rsidR="003B7FE4" w:rsidRPr="00901014">
        <w:rPr>
          <w:rFonts w:ascii="Bookman Old Style" w:hAnsi="Bookman Old Style"/>
          <w:sz w:val="24"/>
          <w:szCs w:val="24"/>
        </w:rPr>
        <w:t>administrasi</w:t>
      </w:r>
      <w:r w:rsidR="00A954D0">
        <w:rPr>
          <w:rFonts w:ascii="Bookman Old Style" w:hAnsi="Bookman Old Style"/>
          <w:sz w:val="24"/>
          <w:szCs w:val="24"/>
        </w:rPr>
        <w:t xml:space="preserve"> </w:t>
      </w:r>
      <w:r w:rsidR="003B7FE4" w:rsidRPr="00901014">
        <w:rPr>
          <w:rFonts w:ascii="Bookman Old Style" w:hAnsi="Bookman Old Style"/>
          <w:sz w:val="24"/>
          <w:szCs w:val="24"/>
        </w:rPr>
        <w:t>dengan</w:t>
      </w:r>
      <w:r w:rsidR="00A954D0">
        <w:rPr>
          <w:rFonts w:ascii="Bookman Old Style" w:hAnsi="Bookman Old Style"/>
          <w:sz w:val="24"/>
          <w:szCs w:val="24"/>
        </w:rPr>
        <w:t xml:space="preserve"> </w:t>
      </w:r>
      <w:r w:rsidR="003B7FE4" w:rsidRPr="00901014">
        <w:rPr>
          <w:rFonts w:ascii="Bookman Old Style" w:hAnsi="Bookman Old Style"/>
          <w:sz w:val="24"/>
          <w:szCs w:val="24"/>
        </w:rPr>
        <w:t>memperhatikan</w:t>
      </w:r>
      <w:r w:rsidR="00A954D0">
        <w:rPr>
          <w:rFonts w:ascii="Bookman Old Style" w:hAnsi="Bookman Old Style"/>
          <w:sz w:val="24"/>
          <w:szCs w:val="24"/>
        </w:rPr>
        <w:t xml:space="preserve"> </w:t>
      </w:r>
      <w:r w:rsidR="003B7FE4" w:rsidRPr="00901014">
        <w:rPr>
          <w:rFonts w:ascii="Bookman Old Style" w:hAnsi="Bookman Old Style"/>
          <w:sz w:val="24"/>
          <w:szCs w:val="24"/>
        </w:rPr>
        <w:t>aspek</w:t>
      </w:r>
      <w:r w:rsidR="00A954D0">
        <w:rPr>
          <w:rFonts w:ascii="Bookman Old Style" w:hAnsi="Bookman Old Style"/>
          <w:sz w:val="24"/>
          <w:szCs w:val="24"/>
          <w:lang w:val="id-ID"/>
        </w:rPr>
        <w:t xml:space="preserve"> </w:t>
      </w:r>
      <w:r w:rsidR="003B7FE4" w:rsidRPr="00901014">
        <w:rPr>
          <w:rFonts w:ascii="Bookman Old Style" w:hAnsi="Bookman Old Style"/>
          <w:sz w:val="24"/>
          <w:szCs w:val="24"/>
        </w:rPr>
        <w:t>urgensi,</w:t>
      </w:r>
      <w:r w:rsidR="00A954D0">
        <w:rPr>
          <w:rFonts w:ascii="Bookman Old Style" w:hAnsi="Bookman Old Style"/>
          <w:sz w:val="24"/>
          <w:szCs w:val="24"/>
        </w:rPr>
        <w:t xml:space="preserve"> </w:t>
      </w:r>
      <w:r w:rsidR="003B7FE4" w:rsidRPr="00901014">
        <w:rPr>
          <w:rFonts w:ascii="Bookman Old Style" w:hAnsi="Bookman Old Style"/>
          <w:sz w:val="24"/>
          <w:szCs w:val="24"/>
        </w:rPr>
        <w:t>kualitas</w:t>
      </w:r>
      <w:r w:rsidR="00A954D0">
        <w:rPr>
          <w:rFonts w:ascii="Bookman Old Style" w:hAnsi="Bookman Old Style"/>
          <w:sz w:val="24"/>
          <w:szCs w:val="24"/>
        </w:rPr>
        <w:t xml:space="preserve"> </w:t>
      </w:r>
      <w:r w:rsidR="003B7FE4" w:rsidRPr="00901014">
        <w:rPr>
          <w:rFonts w:ascii="Bookman Old Style" w:hAnsi="Bookman Old Style"/>
          <w:sz w:val="24"/>
          <w:szCs w:val="24"/>
        </w:rPr>
        <w:t>penyelenggaraan,</w:t>
      </w:r>
      <w:r w:rsidR="00A954D0">
        <w:rPr>
          <w:rFonts w:ascii="Bookman Old Style" w:hAnsi="Bookman Old Style"/>
          <w:sz w:val="24"/>
          <w:szCs w:val="24"/>
        </w:rPr>
        <w:t xml:space="preserve"> </w:t>
      </w:r>
      <w:r w:rsidR="003B7FE4" w:rsidRPr="00901014">
        <w:rPr>
          <w:rFonts w:ascii="Bookman Old Style" w:hAnsi="Bookman Old Style"/>
          <w:sz w:val="24"/>
          <w:szCs w:val="24"/>
        </w:rPr>
        <w:t>muatan</w:t>
      </w:r>
      <w:r w:rsidR="00A954D0">
        <w:rPr>
          <w:rFonts w:ascii="Bookman Old Style" w:hAnsi="Bookman Old Style"/>
          <w:sz w:val="24"/>
          <w:szCs w:val="24"/>
          <w:lang w:val="id-ID"/>
        </w:rPr>
        <w:t xml:space="preserve"> </w:t>
      </w:r>
      <w:r w:rsidR="003B7FE4" w:rsidRPr="00901014">
        <w:rPr>
          <w:rFonts w:ascii="Bookman Old Style" w:hAnsi="Bookman Old Style"/>
          <w:sz w:val="24"/>
          <w:szCs w:val="24"/>
        </w:rPr>
        <w:t>substansi,</w:t>
      </w:r>
      <w:r w:rsidR="00A954D0">
        <w:rPr>
          <w:rFonts w:ascii="Bookman Old Style" w:hAnsi="Bookman Old Style"/>
          <w:sz w:val="24"/>
          <w:szCs w:val="24"/>
        </w:rPr>
        <w:t xml:space="preserve"> </w:t>
      </w:r>
      <w:r w:rsidR="003B7FE4" w:rsidRPr="00901014">
        <w:rPr>
          <w:rFonts w:ascii="Bookman Old Style" w:hAnsi="Bookman Old Style"/>
          <w:sz w:val="24"/>
          <w:szCs w:val="24"/>
        </w:rPr>
        <w:t>kompetensi</w:t>
      </w:r>
      <w:r w:rsidR="00A954D0">
        <w:rPr>
          <w:rFonts w:ascii="Bookman Old Style" w:hAnsi="Bookman Old Style"/>
          <w:sz w:val="24"/>
          <w:szCs w:val="24"/>
        </w:rPr>
        <w:t xml:space="preserve"> </w:t>
      </w:r>
      <w:r w:rsidR="003B7FE4" w:rsidRPr="00901014">
        <w:rPr>
          <w:rFonts w:ascii="Bookman Old Style" w:hAnsi="Bookman Old Style"/>
          <w:sz w:val="24"/>
          <w:szCs w:val="24"/>
        </w:rPr>
        <w:t>narasumber,</w:t>
      </w:r>
      <w:r w:rsidR="00A954D0">
        <w:rPr>
          <w:rFonts w:ascii="Bookman Old Style" w:hAnsi="Bookman Old Style"/>
          <w:sz w:val="24"/>
          <w:szCs w:val="24"/>
          <w:lang w:val="id-ID"/>
        </w:rPr>
        <w:t xml:space="preserve"> </w:t>
      </w:r>
      <w:r w:rsidR="003B7FE4" w:rsidRPr="00901014">
        <w:rPr>
          <w:rFonts w:ascii="Bookman Old Style" w:hAnsi="Bookman Old Style"/>
          <w:sz w:val="24"/>
          <w:szCs w:val="24"/>
        </w:rPr>
        <w:t>kualitas</w:t>
      </w:r>
      <w:r w:rsidR="00A954D0">
        <w:rPr>
          <w:rFonts w:ascii="Bookman Old Style" w:hAnsi="Bookman Old Style"/>
          <w:sz w:val="24"/>
          <w:szCs w:val="24"/>
        </w:rPr>
        <w:t xml:space="preserve"> </w:t>
      </w:r>
      <w:r w:rsidR="003B7FE4" w:rsidRPr="00901014">
        <w:rPr>
          <w:rFonts w:ascii="Bookman Old Style" w:hAnsi="Bookman Old Style"/>
          <w:sz w:val="24"/>
          <w:szCs w:val="24"/>
        </w:rPr>
        <w:t>advokasi</w:t>
      </w:r>
      <w:r w:rsidR="00A954D0">
        <w:rPr>
          <w:rFonts w:ascii="Bookman Old Style" w:hAnsi="Bookman Old Style"/>
          <w:sz w:val="24"/>
          <w:szCs w:val="24"/>
        </w:rPr>
        <w:t xml:space="preserve"> </w:t>
      </w:r>
      <w:r w:rsidR="003B7FE4" w:rsidRPr="00901014">
        <w:rPr>
          <w:rFonts w:ascii="Bookman Old Style" w:hAnsi="Bookman Old Style"/>
          <w:sz w:val="24"/>
          <w:szCs w:val="24"/>
        </w:rPr>
        <w:t>dan</w:t>
      </w:r>
      <w:r w:rsidR="00A954D0">
        <w:rPr>
          <w:rFonts w:ascii="Bookman Old Style" w:hAnsi="Bookman Old Style"/>
          <w:sz w:val="24"/>
          <w:szCs w:val="24"/>
        </w:rPr>
        <w:t xml:space="preserve"> </w:t>
      </w:r>
      <w:r w:rsidR="003B7FE4" w:rsidRPr="00901014">
        <w:rPr>
          <w:rFonts w:ascii="Bookman Old Style" w:hAnsi="Bookman Old Style"/>
          <w:sz w:val="24"/>
          <w:szCs w:val="24"/>
        </w:rPr>
        <w:t>pelayanan</w:t>
      </w:r>
      <w:r w:rsidR="00A954D0">
        <w:rPr>
          <w:rFonts w:ascii="Bookman Old Style" w:hAnsi="Bookman Old Style"/>
          <w:sz w:val="24"/>
          <w:szCs w:val="24"/>
          <w:lang w:val="id-ID"/>
        </w:rPr>
        <w:t xml:space="preserve"> </w:t>
      </w:r>
      <w:r w:rsidR="003B7FE4" w:rsidRPr="00901014">
        <w:rPr>
          <w:rFonts w:ascii="Bookman Old Style" w:hAnsi="Bookman Old Style"/>
          <w:sz w:val="24"/>
          <w:szCs w:val="24"/>
        </w:rPr>
        <w:t>penyelenggara</w:t>
      </w:r>
      <w:r w:rsidR="00A954D0">
        <w:rPr>
          <w:rFonts w:ascii="Bookman Old Style" w:hAnsi="Bookman Old Style"/>
          <w:sz w:val="24"/>
          <w:szCs w:val="24"/>
        </w:rPr>
        <w:t xml:space="preserve"> </w:t>
      </w:r>
      <w:r w:rsidR="003B7FE4" w:rsidRPr="00901014">
        <w:rPr>
          <w:rFonts w:ascii="Bookman Old Style" w:hAnsi="Bookman Old Style"/>
          <w:sz w:val="24"/>
          <w:szCs w:val="24"/>
        </w:rPr>
        <w:t>serta</w:t>
      </w:r>
      <w:r w:rsidR="00A954D0">
        <w:rPr>
          <w:rFonts w:ascii="Bookman Old Style" w:hAnsi="Bookman Old Style"/>
          <w:sz w:val="24"/>
          <w:szCs w:val="24"/>
        </w:rPr>
        <w:t xml:space="preserve"> </w:t>
      </w:r>
      <w:r w:rsidR="003B7FE4" w:rsidRPr="00901014">
        <w:rPr>
          <w:rFonts w:ascii="Bookman Old Style" w:hAnsi="Bookman Old Style"/>
          <w:sz w:val="24"/>
          <w:szCs w:val="24"/>
        </w:rPr>
        <w:t>manfaat</w:t>
      </w:r>
      <w:r w:rsidR="00A954D0">
        <w:rPr>
          <w:rFonts w:ascii="Bookman Old Style" w:hAnsi="Bookman Old Style"/>
          <w:sz w:val="24"/>
          <w:szCs w:val="24"/>
        </w:rPr>
        <w:t xml:space="preserve"> </w:t>
      </w:r>
      <w:r w:rsidR="003B7FE4" w:rsidRPr="00901014">
        <w:rPr>
          <w:rFonts w:ascii="Bookman Old Style" w:hAnsi="Bookman Old Style"/>
          <w:sz w:val="24"/>
          <w:szCs w:val="24"/>
        </w:rPr>
        <w:t>yang</w:t>
      </w:r>
      <w:r w:rsidR="00A954D0">
        <w:rPr>
          <w:rFonts w:ascii="Bookman Old Style" w:hAnsi="Bookman Old Style"/>
          <w:sz w:val="24"/>
          <w:szCs w:val="24"/>
        </w:rPr>
        <w:t xml:space="preserve"> </w:t>
      </w:r>
      <w:r w:rsidR="003B7FE4" w:rsidRPr="00901014">
        <w:rPr>
          <w:rFonts w:ascii="Bookman Old Style" w:hAnsi="Bookman Old Style"/>
          <w:sz w:val="24"/>
          <w:szCs w:val="24"/>
        </w:rPr>
        <w:t>akan</w:t>
      </w:r>
      <w:r w:rsidR="00A954D0">
        <w:rPr>
          <w:rFonts w:ascii="Bookman Old Style" w:hAnsi="Bookman Old Style"/>
          <w:sz w:val="24"/>
          <w:szCs w:val="24"/>
          <w:lang w:val="id-ID"/>
        </w:rPr>
        <w:t xml:space="preserve"> </w:t>
      </w:r>
      <w:r w:rsidR="003B7FE4" w:rsidRPr="00901014">
        <w:rPr>
          <w:rFonts w:ascii="Bookman Old Style" w:hAnsi="Bookman Old Style"/>
          <w:sz w:val="24"/>
          <w:szCs w:val="24"/>
        </w:rPr>
        <w:t>diperoleh</w:t>
      </w:r>
      <w:r w:rsidR="00A954D0">
        <w:rPr>
          <w:rFonts w:ascii="Bookman Old Style" w:hAnsi="Bookman Old Style"/>
          <w:sz w:val="24"/>
          <w:szCs w:val="24"/>
        </w:rPr>
        <w:t xml:space="preserve"> </w:t>
      </w:r>
      <w:r w:rsidR="003B7FE4" w:rsidRPr="00901014">
        <w:rPr>
          <w:rFonts w:ascii="Bookman Old Style" w:hAnsi="Bookman Old Style"/>
          <w:sz w:val="24"/>
          <w:szCs w:val="24"/>
          <w:lang w:val="en-US"/>
        </w:rPr>
        <w:t>sebagaimana</w:t>
      </w:r>
      <w:r w:rsidR="00A954D0">
        <w:rPr>
          <w:rFonts w:ascii="Bookman Old Style" w:hAnsi="Bookman Old Style"/>
          <w:sz w:val="24"/>
          <w:szCs w:val="24"/>
          <w:lang w:val="en-US"/>
        </w:rPr>
        <w:t xml:space="preserve"> </w:t>
      </w:r>
      <w:r w:rsidR="003B7FE4" w:rsidRPr="00901014">
        <w:rPr>
          <w:rFonts w:ascii="Bookman Old Style" w:hAnsi="Bookman Old Style"/>
          <w:color w:val="000000" w:themeColor="text1"/>
          <w:sz w:val="24"/>
          <w:szCs w:val="24"/>
          <w:lang w:val="en-US"/>
        </w:rPr>
        <w:t>maksud</w:t>
      </w:r>
      <w:r w:rsidR="00A954D0">
        <w:rPr>
          <w:rFonts w:ascii="Bookman Old Style" w:hAnsi="Bookman Old Style"/>
          <w:color w:val="000000" w:themeColor="text1"/>
          <w:sz w:val="24"/>
          <w:szCs w:val="24"/>
          <w:lang w:val="en-US"/>
        </w:rPr>
        <w:t xml:space="preserve"> </w:t>
      </w:r>
      <w:r w:rsidR="003B7FE4" w:rsidRPr="00901014">
        <w:rPr>
          <w:rFonts w:ascii="Bookman Old Style" w:hAnsi="Bookman Old Style" w:cs="Arial"/>
          <w:color w:val="000000" w:themeColor="text1"/>
          <w:sz w:val="24"/>
          <w:szCs w:val="24"/>
        </w:rPr>
        <w:t>butir</w:t>
      </w:r>
      <w:r w:rsidR="00A954D0">
        <w:rPr>
          <w:rFonts w:ascii="Bookman Old Style" w:hAnsi="Bookman Old Style" w:cs="Arial"/>
          <w:color w:val="000000" w:themeColor="text1"/>
          <w:sz w:val="24"/>
          <w:szCs w:val="24"/>
        </w:rPr>
        <w:t xml:space="preserve"> </w:t>
      </w:r>
      <w:r w:rsidR="003B7FE4" w:rsidRPr="00901014">
        <w:rPr>
          <w:rFonts w:ascii="Bookman Old Style" w:hAnsi="Bookman Old Style" w:cs="Arial"/>
          <w:color w:val="000000" w:themeColor="text1"/>
          <w:sz w:val="24"/>
          <w:szCs w:val="24"/>
          <w:lang w:val="en-US"/>
        </w:rPr>
        <w:t>3.4.1.2.2.f.2)</w:t>
      </w:r>
      <w:r w:rsidR="00A954D0">
        <w:rPr>
          <w:rFonts w:ascii="Bookman Old Style" w:hAnsi="Bookman Old Style" w:cs="Arial"/>
          <w:color w:val="000000" w:themeColor="text1"/>
          <w:sz w:val="24"/>
          <w:szCs w:val="24"/>
          <w:lang w:val="en-US"/>
        </w:rPr>
        <w:t xml:space="preserve"> </w:t>
      </w:r>
      <w:r w:rsidR="003B7FE4" w:rsidRPr="00901014">
        <w:rPr>
          <w:rFonts w:ascii="Bookman Old Style" w:hAnsi="Bookman Old Style" w:cs="Arial"/>
          <w:color w:val="000000" w:themeColor="text1"/>
          <w:sz w:val="24"/>
          <w:szCs w:val="24"/>
          <w:lang w:val="en-US"/>
        </w:rPr>
        <w:t>dan</w:t>
      </w:r>
      <w:r w:rsidR="00A954D0">
        <w:rPr>
          <w:rFonts w:ascii="Bookman Old Style" w:hAnsi="Bookman Old Style" w:cs="Arial"/>
          <w:color w:val="000000" w:themeColor="text1"/>
          <w:sz w:val="24"/>
          <w:szCs w:val="24"/>
        </w:rPr>
        <w:t xml:space="preserve"> </w:t>
      </w:r>
      <w:r w:rsidR="003B7FE4" w:rsidRPr="00901014">
        <w:rPr>
          <w:rFonts w:ascii="Bookman Old Style" w:hAnsi="Bookman Old Style" w:cs="Arial"/>
          <w:color w:val="000000" w:themeColor="text1"/>
          <w:sz w:val="24"/>
          <w:szCs w:val="24"/>
        </w:rPr>
        <w:t>butir</w:t>
      </w:r>
      <w:r w:rsidR="00A954D0">
        <w:rPr>
          <w:rFonts w:ascii="Bookman Old Style" w:hAnsi="Bookman Old Style" w:cs="Arial"/>
          <w:color w:val="000000" w:themeColor="text1"/>
          <w:sz w:val="24"/>
          <w:szCs w:val="24"/>
        </w:rPr>
        <w:t xml:space="preserve"> </w:t>
      </w:r>
      <w:r w:rsidR="003B7FE4" w:rsidRPr="00901014">
        <w:rPr>
          <w:rFonts w:ascii="Bookman Old Style" w:hAnsi="Bookman Old Style" w:cs="Arial"/>
          <w:color w:val="000000" w:themeColor="text1"/>
          <w:sz w:val="24"/>
          <w:szCs w:val="24"/>
          <w:lang w:val="en-US"/>
        </w:rPr>
        <w:t>3.4.1.2.2.f.3)</w:t>
      </w:r>
      <w:r w:rsidR="00A954D0">
        <w:rPr>
          <w:rFonts w:ascii="Bookman Old Style" w:hAnsi="Bookman Old Style" w:cs="Arial"/>
          <w:color w:val="000000" w:themeColor="text1"/>
          <w:sz w:val="24"/>
          <w:szCs w:val="24"/>
          <w:lang w:val="en-US"/>
        </w:rPr>
        <w:t xml:space="preserve"> </w:t>
      </w:r>
      <w:r w:rsidR="003B7FE4" w:rsidRPr="00901014">
        <w:rPr>
          <w:rFonts w:ascii="Bookman Old Style" w:hAnsi="Bookman Old Style"/>
          <w:color w:val="000000" w:themeColor="text1"/>
          <w:sz w:val="24"/>
          <w:szCs w:val="24"/>
          <w:lang w:val="id-ID"/>
        </w:rPr>
        <w:t>Lampiran</w:t>
      </w:r>
      <w:r w:rsidR="00A954D0">
        <w:rPr>
          <w:rFonts w:ascii="Bookman Old Style" w:hAnsi="Bookman Old Style"/>
          <w:color w:val="000000" w:themeColor="text1"/>
          <w:sz w:val="24"/>
          <w:szCs w:val="24"/>
          <w:lang w:val="id-ID"/>
        </w:rPr>
        <w:t xml:space="preserve"> </w:t>
      </w:r>
      <w:r w:rsidR="003B7FE4" w:rsidRPr="00901014">
        <w:rPr>
          <w:rFonts w:ascii="Bookman Old Style" w:hAnsi="Bookman Old Style"/>
          <w:color w:val="000000" w:themeColor="text1"/>
          <w:sz w:val="24"/>
          <w:szCs w:val="24"/>
          <w:lang w:val="id-ID"/>
        </w:rPr>
        <w:t>Peraturan</w:t>
      </w:r>
      <w:r w:rsidR="00A954D0">
        <w:rPr>
          <w:rFonts w:ascii="Bookman Old Style" w:hAnsi="Bookman Old Style"/>
          <w:color w:val="000000" w:themeColor="text1"/>
          <w:sz w:val="24"/>
          <w:szCs w:val="24"/>
          <w:lang w:val="id-ID"/>
        </w:rPr>
        <w:t xml:space="preserve"> </w:t>
      </w:r>
      <w:r w:rsidR="003B7FE4" w:rsidRPr="00901014">
        <w:rPr>
          <w:rFonts w:ascii="Bookman Old Style" w:hAnsi="Bookman Old Style"/>
          <w:color w:val="000000" w:themeColor="text1"/>
          <w:sz w:val="24"/>
          <w:szCs w:val="24"/>
          <w:lang w:val="id-ID"/>
        </w:rPr>
        <w:t>Menteri</w:t>
      </w:r>
      <w:r w:rsidR="00A954D0">
        <w:rPr>
          <w:rFonts w:ascii="Bookman Old Style" w:hAnsi="Bookman Old Style"/>
          <w:color w:val="000000" w:themeColor="text1"/>
          <w:sz w:val="24"/>
          <w:szCs w:val="24"/>
          <w:lang w:val="id-ID"/>
        </w:rPr>
        <w:t xml:space="preserve"> </w:t>
      </w:r>
      <w:r w:rsidR="003B7FE4" w:rsidRPr="00901014">
        <w:rPr>
          <w:rFonts w:ascii="Bookman Old Style" w:hAnsi="Bookman Old Style"/>
          <w:color w:val="000000" w:themeColor="text1"/>
          <w:sz w:val="24"/>
          <w:szCs w:val="24"/>
          <w:lang w:val="id-ID"/>
        </w:rPr>
        <w:t>Dalam</w:t>
      </w:r>
      <w:r w:rsidR="00A954D0">
        <w:rPr>
          <w:rFonts w:ascii="Bookman Old Style" w:hAnsi="Bookman Old Style"/>
          <w:color w:val="000000" w:themeColor="text1"/>
          <w:sz w:val="24"/>
          <w:szCs w:val="24"/>
          <w:lang w:val="id-ID"/>
        </w:rPr>
        <w:t xml:space="preserve"> </w:t>
      </w:r>
      <w:r w:rsidR="003B7FE4" w:rsidRPr="00901014">
        <w:rPr>
          <w:rFonts w:ascii="Bookman Old Style" w:hAnsi="Bookman Old Style"/>
          <w:color w:val="000000" w:themeColor="text1"/>
          <w:sz w:val="24"/>
          <w:szCs w:val="24"/>
          <w:lang w:val="id-ID"/>
        </w:rPr>
        <w:t>Negeri</w:t>
      </w:r>
      <w:r w:rsidR="00A954D0">
        <w:rPr>
          <w:rFonts w:ascii="Bookman Old Style" w:hAnsi="Bookman Old Style"/>
          <w:color w:val="000000" w:themeColor="text1"/>
          <w:sz w:val="24"/>
          <w:szCs w:val="24"/>
          <w:lang w:val="id-ID"/>
        </w:rPr>
        <w:t xml:space="preserve"> </w:t>
      </w:r>
      <w:r w:rsidR="003B7FE4" w:rsidRPr="00901014">
        <w:rPr>
          <w:rFonts w:ascii="Bookman Old Style" w:hAnsi="Bookman Old Style"/>
          <w:color w:val="000000" w:themeColor="text1"/>
          <w:sz w:val="24"/>
          <w:szCs w:val="24"/>
          <w:lang w:val="id-ID"/>
        </w:rPr>
        <w:t>Nomor</w:t>
      </w:r>
      <w:r w:rsidR="00A954D0">
        <w:rPr>
          <w:rFonts w:ascii="Bookman Old Style" w:hAnsi="Bookman Old Style"/>
          <w:color w:val="000000" w:themeColor="text1"/>
          <w:sz w:val="24"/>
          <w:szCs w:val="24"/>
          <w:lang w:val="id-ID"/>
        </w:rPr>
        <w:t xml:space="preserve"> </w:t>
      </w:r>
      <w:r w:rsidR="003B7FE4" w:rsidRPr="00901014">
        <w:rPr>
          <w:rFonts w:ascii="Bookman Old Style" w:hAnsi="Bookman Old Style"/>
          <w:color w:val="000000" w:themeColor="text1"/>
          <w:sz w:val="24"/>
          <w:szCs w:val="24"/>
          <w:lang w:val="id-ID"/>
        </w:rPr>
        <w:t>15</w:t>
      </w:r>
      <w:r w:rsidR="00A954D0">
        <w:rPr>
          <w:rFonts w:ascii="Bookman Old Style" w:hAnsi="Bookman Old Style"/>
          <w:color w:val="000000" w:themeColor="text1"/>
          <w:sz w:val="24"/>
          <w:szCs w:val="24"/>
          <w:lang w:val="id-ID"/>
        </w:rPr>
        <w:t xml:space="preserve"> </w:t>
      </w:r>
      <w:r w:rsidR="003B7FE4" w:rsidRPr="00901014">
        <w:rPr>
          <w:rFonts w:ascii="Bookman Old Style" w:hAnsi="Bookman Old Style"/>
          <w:color w:val="000000" w:themeColor="text1"/>
          <w:sz w:val="24"/>
          <w:szCs w:val="24"/>
          <w:lang w:val="id-ID"/>
        </w:rPr>
        <w:t>Tahun</w:t>
      </w:r>
      <w:r w:rsidR="00A954D0">
        <w:rPr>
          <w:rFonts w:ascii="Bookman Old Style" w:hAnsi="Bookman Old Style"/>
          <w:color w:val="000000" w:themeColor="text1"/>
          <w:sz w:val="24"/>
          <w:szCs w:val="24"/>
          <w:lang w:val="id-ID"/>
        </w:rPr>
        <w:t xml:space="preserve"> </w:t>
      </w:r>
      <w:r w:rsidR="003B7FE4" w:rsidRPr="00901014">
        <w:rPr>
          <w:rFonts w:ascii="Bookman Old Style" w:hAnsi="Bookman Old Style"/>
          <w:color w:val="000000" w:themeColor="text1"/>
          <w:sz w:val="24"/>
          <w:szCs w:val="24"/>
          <w:lang w:val="id-ID"/>
        </w:rPr>
        <w:t>2024</w:t>
      </w:r>
      <w:r w:rsidR="003B7FE4" w:rsidRPr="00901014">
        <w:rPr>
          <w:rFonts w:ascii="Bookman Old Style" w:hAnsi="Bookman Old Style"/>
          <w:color w:val="000000" w:themeColor="text1"/>
          <w:sz w:val="24"/>
          <w:szCs w:val="24"/>
        </w:rPr>
        <w:t>.</w:t>
      </w:r>
    </w:p>
    <w:p w14:paraId="5684C09D" w14:textId="1513B933" w:rsidR="003B7FE4" w:rsidRPr="00901014" w:rsidRDefault="003B7FE4" w:rsidP="0065744F">
      <w:pPr>
        <w:pStyle w:val="ListParagraph"/>
        <w:snapToGrid w:val="0"/>
        <w:spacing w:before="60" w:after="0" w:line="276" w:lineRule="auto"/>
        <w:ind w:left="3261"/>
        <w:contextualSpacing w:val="0"/>
        <w:jc w:val="both"/>
        <w:rPr>
          <w:rFonts w:ascii="Bookman Old Style" w:hAnsi="Bookman Old Style"/>
          <w:color w:val="FF0000"/>
          <w:sz w:val="24"/>
          <w:szCs w:val="24"/>
        </w:rPr>
      </w:pPr>
      <w:r w:rsidRPr="00901014">
        <w:rPr>
          <w:rFonts w:ascii="Bookman Old Style" w:hAnsi="Bookman Old Style"/>
          <w:sz w:val="24"/>
          <w:szCs w:val="24"/>
        </w:rPr>
        <w:t>Selanjutnya</w:t>
      </w:r>
      <w:r w:rsidRPr="00901014">
        <w:rPr>
          <w:rFonts w:ascii="Bookman Old Style" w:hAnsi="Bookman Old Style"/>
          <w:color w:val="000000" w:themeColor="text1"/>
          <w:sz w:val="24"/>
          <w:szCs w:val="24"/>
        </w:rPr>
        <w:t>,</w:t>
      </w:r>
      <w:r w:rsidR="00A954D0">
        <w:rPr>
          <w:rFonts w:ascii="Bookman Old Style" w:hAnsi="Bookman Old Style"/>
          <w:color w:val="000000" w:themeColor="text1"/>
          <w:sz w:val="24"/>
          <w:szCs w:val="24"/>
        </w:rPr>
        <w:t xml:space="preserve"> </w:t>
      </w:r>
      <w:r w:rsidRPr="00901014">
        <w:rPr>
          <w:rFonts w:ascii="Bookman Old Style" w:hAnsi="Bookman Old Style"/>
          <w:color w:val="000000" w:themeColor="text1"/>
          <w:sz w:val="24"/>
          <w:szCs w:val="24"/>
        </w:rPr>
        <w:t>penyediaan</w:t>
      </w:r>
      <w:r w:rsidR="00A954D0">
        <w:rPr>
          <w:rFonts w:ascii="Bookman Old Style" w:hAnsi="Bookman Old Style"/>
          <w:color w:val="000000" w:themeColor="text1"/>
          <w:sz w:val="24"/>
          <w:szCs w:val="24"/>
        </w:rPr>
        <w:t xml:space="preserve"> </w:t>
      </w:r>
      <w:r w:rsidRPr="00901014">
        <w:rPr>
          <w:rFonts w:ascii="Bookman Old Style" w:hAnsi="Bookman Old Style"/>
          <w:color w:val="000000" w:themeColor="text1"/>
          <w:sz w:val="24"/>
          <w:szCs w:val="24"/>
        </w:rPr>
        <w:t>anggaran</w:t>
      </w:r>
      <w:r w:rsidR="00A954D0">
        <w:rPr>
          <w:rFonts w:ascii="Bookman Old Style" w:hAnsi="Bookman Old Style"/>
          <w:color w:val="000000" w:themeColor="text1"/>
          <w:sz w:val="24"/>
          <w:szCs w:val="24"/>
        </w:rPr>
        <w:t xml:space="preserve"> </w:t>
      </w:r>
      <w:r w:rsidRPr="00901014">
        <w:rPr>
          <w:rFonts w:ascii="Bookman Old Style" w:hAnsi="Bookman Old Style"/>
          <w:color w:val="000000" w:themeColor="text1"/>
          <w:sz w:val="24"/>
          <w:szCs w:val="24"/>
        </w:rPr>
        <w:t>yang</w:t>
      </w:r>
      <w:r w:rsidR="00A954D0">
        <w:rPr>
          <w:rFonts w:ascii="Bookman Old Style" w:hAnsi="Bookman Old Style"/>
          <w:color w:val="000000" w:themeColor="text1"/>
          <w:sz w:val="24"/>
          <w:szCs w:val="24"/>
        </w:rPr>
        <w:t xml:space="preserve"> </w:t>
      </w:r>
      <w:r w:rsidRPr="00901014">
        <w:rPr>
          <w:rFonts w:ascii="Bookman Old Style" w:hAnsi="Bookman Old Style"/>
          <w:color w:val="000000" w:themeColor="text1"/>
          <w:sz w:val="24"/>
          <w:szCs w:val="24"/>
        </w:rPr>
        <w:t>tercantum</w:t>
      </w:r>
      <w:r w:rsidR="00A954D0">
        <w:rPr>
          <w:rFonts w:ascii="Bookman Old Style" w:hAnsi="Bookman Old Style"/>
          <w:color w:val="000000" w:themeColor="text1"/>
          <w:sz w:val="24"/>
          <w:szCs w:val="24"/>
        </w:rPr>
        <w:t xml:space="preserve"> </w:t>
      </w:r>
      <w:r w:rsidRPr="00901014">
        <w:rPr>
          <w:rFonts w:ascii="Bookman Old Style" w:hAnsi="Bookman Old Style"/>
          <w:color w:val="000000" w:themeColor="text1"/>
          <w:sz w:val="24"/>
          <w:szCs w:val="24"/>
          <w:lang w:val="id-ID"/>
        </w:rPr>
        <w:t>pada</w:t>
      </w:r>
      <w:r w:rsidR="00A954D0">
        <w:rPr>
          <w:rFonts w:ascii="Bookman Old Style" w:hAnsi="Bookman Old Style"/>
          <w:color w:val="000000" w:themeColor="text1"/>
          <w:sz w:val="24"/>
          <w:szCs w:val="24"/>
          <w:lang w:val="id-ID"/>
        </w:rPr>
        <w:t xml:space="preserve"> </w:t>
      </w:r>
      <w:r w:rsidRPr="00901014">
        <w:rPr>
          <w:rFonts w:ascii="Bookman Old Style" w:hAnsi="Bookman Old Style"/>
          <w:color w:val="000000" w:themeColor="text1"/>
          <w:sz w:val="24"/>
          <w:szCs w:val="24"/>
        </w:rPr>
        <w:t>Kegiatan</w:t>
      </w:r>
      <w:r w:rsidR="00A954D0">
        <w:rPr>
          <w:rFonts w:ascii="Bookman Old Style" w:hAnsi="Bookman Old Style"/>
          <w:color w:val="000000" w:themeColor="text1"/>
          <w:sz w:val="24"/>
          <w:szCs w:val="24"/>
        </w:rPr>
        <w:t xml:space="preserve"> </w:t>
      </w:r>
      <w:r w:rsidRPr="00901014">
        <w:rPr>
          <w:rFonts w:ascii="Bookman Old Style" w:hAnsi="Bookman Old Style"/>
          <w:color w:val="000000" w:themeColor="text1"/>
          <w:sz w:val="24"/>
          <w:szCs w:val="24"/>
        </w:rPr>
        <w:t>Peningkatan</w:t>
      </w:r>
      <w:r w:rsidR="00A954D0">
        <w:rPr>
          <w:rFonts w:ascii="Bookman Old Style" w:hAnsi="Bookman Old Style"/>
          <w:color w:val="000000" w:themeColor="text1"/>
          <w:sz w:val="24"/>
          <w:szCs w:val="24"/>
        </w:rPr>
        <w:t xml:space="preserve"> </w:t>
      </w:r>
      <w:r w:rsidRPr="00901014">
        <w:rPr>
          <w:rFonts w:ascii="Bookman Old Style" w:hAnsi="Bookman Old Style"/>
          <w:color w:val="000000" w:themeColor="text1"/>
          <w:sz w:val="24"/>
          <w:szCs w:val="24"/>
        </w:rPr>
        <w:t>Kapasitas</w:t>
      </w:r>
      <w:r w:rsidR="00A954D0">
        <w:rPr>
          <w:rFonts w:ascii="Bookman Old Style" w:hAnsi="Bookman Old Style"/>
          <w:color w:val="000000" w:themeColor="text1"/>
          <w:sz w:val="24"/>
          <w:szCs w:val="24"/>
        </w:rPr>
        <w:t xml:space="preserve"> </w:t>
      </w:r>
      <w:r w:rsidRPr="00901014">
        <w:rPr>
          <w:rFonts w:ascii="Bookman Old Style" w:hAnsi="Bookman Old Style"/>
          <w:color w:val="000000" w:themeColor="text1"/>
          <w:sz w:val="24"/>
          <w:szCs w:val="24"/>
        </w:rPr>
        <w:t>DPRD</w:t>
      </w:r>
      <w:r w:rsidR="00A954D0">
        <w:rPr>
          <w:rFonts w:ascii="Bookman Old Style" w:hAnsi="Bookman Old Style"/>
          <w:color w:val="000000" w:themeColor="text1"/>
          <w:sz w:val="24"/>
          <w:szCs w:val="24"/>
        </w:rPr>
        <w:t xml:space="preserve"> </w:t>
      </w:r>
      <w:r w:rsidR="00901014" w:rsidRPr="00901014">
        <w:rPr>
          <w:rFonts w:ascii="Bookman Old Style" w:hAnsi="Bookman Old Style"/>
          <w:color w:val="000000" w:themeColor="text1"/>
          <w:sz w:val="24"/>
          <w:szCs w:val="24"/>
          <w:lang w:val="id-ID"/>
        </w:rPr>
        <w:t>Rp11.309.965.600,00</w:t>
      </w:r>
      <w:r w:rsidRPr="00901014">
        <w:rPr>
          <w:rFonts w:ascii="Bookman Old Style" w:hAnsi="Bookman Old Style" w:cs="Calibri"/>
          <w:color w:val="000000" w:themeColor="text1"/>
          <w:sz w:val="24"/>
          <w:szCs w:val="24"/>
        </w:rPr>
        <w:t>,</w:t>
      </w:r>
      <w:r w:rsidR="00A954D0" w:rsidRPr="003255BC">
        <w:rPr>
          <w:rFonts w:ascii="Bookman Old Style" w:hAnsi="Bookman Old Style" w:cs="Calibri"/>
          <w:color w:val="000000" w:themeColor="text1"/>
          <w:sz w:val="24"/>
          <w:szCs w:val="24"/>
          <w:lang w:val="sv-FI"/>
        </w:rPr>
        <w:t xml:space="preserve"> </w:t>
      </w:r>
      <w:r w:rsidRPr="00901014">
        <w:rPr>
          <w:rFonts w:ascii="Bookman Old Style" w:hAnsi="Bookman Old Style"/>
          <w:color w:val="000000" w:themeColor="text1"/>
          <w:sz w:val="24"/>
          <w:szCs w:val="24"/>
        </w:rPr>
        <w:t>dianggarkan</w:t>
      </w:r>
      <w:r w:rsidR="00A954D0">
        <w:rPr>
          <w:rFonts w:ascii="Bookman Old Style" w:hAnsi="Bookman Old Style"/>
          <w:color w:val="000000" w:themeColor="text1"/>
          <w:sz w:val="24"/>
          <w:szCs w:val="24"/>
        </w:rPr>
        <w:t xml:space="preserve"> </w:t>
      </w:r>
      <w:r w:rsidRPr="00901014">
        <w:rPr>
          <w:rFonts w:ascii="Bookman Old Style" w:hAnsi="Bookman Old Style"/>
          <w:sz w:val="24"/>
          <w:szCs w:val="24"/>
        </w:rPr>
        <w:t>dalam</w:t>
      </w:r>
      <w:r w:rsidR="00A954D0">
        <w:rPr>
          <w:rFonts w:ascii="Bookman Old Style" w:hAnsi="Bookman Old Style"/>
          <w:sz w:val="24"/>
          <w:szCs w:val="24"/>
        </w:rPr>
        <w:t xml:space="preserve"> </w:t>
      </w:r>
      <w:r w:rsidRPr="00901014">
        <w:rPr>
          <w:rFonts w:ascii="Bookman Old Style" w:hAnsi="Bookman Old Style"/>
          <w:sz w:val="24"/>
          <w:szCs w:val="24"/>
        </w:rPr>
        <w:t>Rancangan</w:t>
      </w:r>
      <w:r w:rsidR="00A954D0">
        <w:rPr>
          <w:rFonts w:ascii="Bookman Old Style" w:hAnsi="Bookman Old Style"/>
          <w:sz w:val="24"/>
          <w:szCs w:val="24"/>
        </w:rPr>
        <w:t xml:space="preserve"> </w:t>
      </w:r>
      <w:r w:rsidRPr="00901014">
        <w:rPr>
          <w:rFonts w:ascii="Bookman Old Style" w:hAnsi="Bookman Old Style"/>
          <w:sz w:val="24"/>
          <w:szCs w:val="24"/>
        </w:rPr>
        <w:t>Peraturan</w:t>
      </w:r>
      <w:r w:rsidR="00A954D0">
        <w:rPr>
          <w:rFonts w:ascii="Bookman Old Style" w:hAnsi="Bookman Old Style"/>
          <w:sz w:val="24"/>
          <w:szCs w:val="24"/>
        </w:rPr>
        <w:t xml:space="preserve"> </w:t>
      </w:r>
      <w:r w:rsidRPr="00901014">
        <w:rPr>
          <w:rFonts w:ascii="Bookman Old Style" w:hAnsi="Bookman Old Style"/>
          <w:sz w:val="24"/>
          <w:szCs w:val="24"/>
        </w:rPr>
        <w:t>Daerah</w:t>
      </w:r>
      <w:r w:rsidR="00A954D0">
        <w:rPr>
          <w:rFonts w:ascii="Bookman Old Style" w:hAnsi="Bookman Old Style"/>
          <w:sz w:val="24"/>
          <w:szCs w:val="24"/>
        </w:rPr>
        <w:t xml:space="preserve"> </w:t>
      </w:r>
      <w:r w:rsidR="00B055C5" w:rsidRPr="00901014">
        <w:rPr>
          <w:rFonts w:ascii="Bookman Old Style" w:hAnsi="Bookman Old Style"/>
          <w:sz w:val="24"/>
          <w:szCs w:val="24"/>
        </w:rPr>
        <w:t>Kota</w:t>
      </w:r>
      <w:r w:rsidR="00A954D0">
        <w:rPr>
          <w:rFonts w:ascii="Bookman Old Style" w:hAnsi="Bookman Old Style"/>
          <w:sz w:val="24"/>
          <w:szCs w:val="24"/>
        </w:rPr>
        <w:t xml:space="preserve"> </w:t>
      </w:r>
      <w:r w:rsidR="00770F22" w:rsidRPr="00901014">
        <w:rPr>
          <w:rFonts w:ascii="Bookman Old Style" w:hAnsi="Bookman Old Style"/>
          <w:sz w:val="24"/>
          <w:szCs w:val="24"/>
        </w:rPr>
        <w:t>Tangerang</w:t>
      </w:r>
      <w:r w:rsidR="00A954D0">
        <w:rPr>
          <w:rFonts w:ascii="Bookman Old Style" w:hAnsi="Bookman Old Style"/>
          <w:sz w:val="24"/>
          <w:szCs w:val="24"/>
        </w:rPr>
        <w:t xml:space="preserve"> </w:t>
      </w:r>
      <w:r w:rsidR="00BE6ED9" w:rsidRPr="00901014">
        <w:rPr>
          <w:rFonts w:ascii="Bookman Old Style" w:hAnsi="Bookman Old Style"/>
          <w:sz w:val="24"/>
          <w:szCs w:val="24"/>
        </w:rPr>
        <w:t>tentang</w:t>
      </w:r>
      <w:r w:rsidR="00A954D0">
        <w:rPr>
          <w:rFonts w:ascii="Bookman Old Style" w:hAnsi="Bookman Old Style"/>
          <w:sz w:val="24"/>
          <w:szCs w:val="24"/>
        </w:rPr>
        <w:t xml:space="preserve"> </w:t>
      </w:r>
      <w:r w:rsidR="00BE6ED9" w:rsidRPr="00901014">
        <w:rPr>
          <w:rFonts w:ascii="Bookman Old Style" w:hAnsi="Bookman Old Style"/>
          <w:sz w:val="24"/>
          <w:szCs w:val="24"/>
        </w:rPr>
        <w:t>APBD</w:t>
      </w:r>
      <w:r w:rsidR="00A954D0">
        <w:rPr>
          <w:rFonts w:ascii="Bookman Old Style" w:hAnsi="Bookman Old Style"/>
          <w:sz w:val="24"/>
          <w:szCs w:val="24"/>
        </w:rPr>
        <w:t xml:space="preserve"> </w:t>
      </w:r>
      <w:r w:rsidRPr="00901014">
        <w:rPr>
          <w:rFonts w:ascii="Bookman Old Style" w:hAnsi="Bookman Old Style"/>
          <w:sz w:val="24"/>
          <w:szCs w:val="24"/>
        </w:rPr>
        <w:t>Tahun</w:t>
      </w:r>
      <w:r w:rsidR="00A954D0">
        <w:rPr>
          <w:rFonts w:ascii="Bookman Old Style" w:hAnsi="Bookman Old Style"/>
          <w:sz w:val="24"/>
          <w:szCs w:val="24"/>
        </w:rPr>
        <w:t xml:space="preserve"> </w:t>
      </w:r>
      <w:r w:rsidRPr="00901014">
        <w:rPr>
          <w:rFonts w:ascii="Bookman Old Style" w:hAnsi="Bookman Old Style"/>
          <w:sz w:val="24"/>
          <w:szCs w:val="24"/>
        </w:rPr>
        <w:t>Anggaran</w:t>
      </w:r>
      <w:r w:rsidR="00A954D0">
        <w:rPr>
          <w:rFonts w:ascii="Bookman Old Style" w:hAnsi="Bookman Old Style"/>
          <w:sz w:val="24"/>
          <w:szCs w:val="24"/>
        </w:rPr>
        <w:t xml:space="preserve"> </w:t>
      </w:r>
      <w:r w:rsidRPr="00901014">
        <w:rPr>
          <w:rFonts w:ascii="Bookman Old Style" w:hAnsi="Bookman Old Style"/>
          <w:sz w:val="24"/>
          <w:szCs w:val="24"/>
        </w:rPr>
        <w:t>2025</w:t>
      </w:r>
      <w:r w:rsidR="00A954D0">
        <w:rPr>
          <w:rFonts w:ascii="Bookman Old Style" w:hAnsi="Bookman Old Style"/>
          <w:sz w:val="24"/>
          <w:szCs w:val="24"/>
        </w:rPr>
        <w:t xml:space="preserve"> </w:t>
      </w:r>
      <w:r w:rsidRPr="00901014">
        <w:rPr>
          <w:rFonts w:ascii="Bookman Old Style" w:hAnsi="Bookman Old Style"/>
          <w:sz w:val="24"/>
          <w:szCs w:val="24"/>
        </w:rPr>
        <w:t>dengan</w:t>
      </w:r>
      <w:r w:rsidR="00A954D0">
        <w:rPr>
          <w:rFonts w:ascii="Bookman Old Style" w:hAnsi="Bookman Old Style"/>
          <w:sz w:val="24"/>
          <w:szCs w:val="24"/>
        </w:rPr>
        <w:t xml:space="preserve"> </w:t>
      </w:r>
      <w:r w:rsidRPr="00901014">
        <w:rPr>
          <w:rFonts w:ascii="Bookman Old Style" w:hAnsi="Bookman Old Style"/>
          <w:sz w:val="24"/>
          <w:szCs w:val="24"/>
        </w:rPr>
        <w:t>berpedoman</w:t>
      </w:r>
      <w:r w:rsidR="00A954D0">
        <w:rPr>
          <w:rFonts w:ascii="Bookman Old Style" w:hAnsi="Bookman Old Style"/>
          <w:sz w:val="24"/>
          <w:szCs w:val="24"/>
        </w:rPr>
        <w:t xml:space="preserve"> </w:t>
      </w:r>
      <w:r w:rsidRPr="00901014">
        <w:rPr>
          <w:rFonts w:ascii="Bookman Old Style" w:hAnsi="Bookman Old Style"/>
          <w:sz w:val="24"/>
          <w:szCs w:val="24"/>
        </w:rPr>
        <w:t>pada</w:t>
      </w:r>
      <w:r w:rsidR="00A954D0">
        <w:rPr>
          <w:rFonts w:ascii="Bookman Old Style" w:hAnsi="Bookman Old Style"/>
          <w:sz w:val="24"/>
          <w:szCs w:val="24"/>
        </w:rPr>
        <w:t xml:space="preserve"> </w:t>
      </w:r>
      <w:r w:rsidRPr="00901014">
        <w:rPr>
          <w:rFonts w:ascii="Bookman Old Style" w:hAnsi="Bookman Old Style" w:cs="Arial"/>
          <w:sz w:val="24"/>
          <w:szCs w:val="24"/>
        </w:rPr>
        <w:t>Peraturan</w:t>
      </w:r>
      <w:r w:rsidR="00A954D0">
        <w:rPr>
          <w:rFonts w:ascii="Bookman Old Style" w:hAnsi="Bookman Old Style" w:cs="Arial"/>
          <w:sz w:val="24"/>
          <w:szCs w:val="24"/>
        </w:rPr>
        <w:t xml:space="preserve"> </w:t>
      </w:r>
      <w:r w:rsidRPr="00901014">
        <w:rPr>
          <w:rFonts w:ascii="Bookman Old Style" w:hAnsi="Bookman Old Style" w:cs="Arial"/>
          <w:sz w:val="24"/>
          <w:szCs w:val="24"/>
        </w:rPr>
        <w:t>Menteri</w:t>
      </w:r>
      <w:r w:rsidR="00A954D0">
        <w:rPr>
          <w:rFonts w:ascii="Bookman Old Style" w:hAnsi="Bookman Old Style" w:cs="Arial"/>
          <w:sz w:val="24"/>
          <w:szCs w:val="24"/>
        </w:rPr>
        <w:t xml:space="preserve"> </w:t>
      </w:r>
      <w:r w:rsidRPr="00901014">
        <w:rPr>
          <w:rFonts w:ascii="Bookman Old Style" w:hAnsi="Bookman Old Style" w:cs="Arial"/>
          <w:sz w:val="24"/>
          <w:szCs w:val="24"/>
        </w:rPr>
        <w:t>Dalam</w:t>
      </w:r>
      <w:r w:rsidR="00A954D0">
        <w:rPr>
          <w:rFonts w:ascii="Bookman Old Style" w:hAnsi="Bookman Old Style" w:cs="Arial"/>
          <w:sz w:val="24"/>
          <w:szCs w:val="24"/>
        </w:rPr>
        <w:t xml:space="preserve"> </w:t>
      </w:r>
      <w:r w:rsidRPr="00901014">
        <w:rPr>
          <w:rFonts w:ascii="Bookman Old Style" w:hAnsi="Bookman Old Style" w:cs="Arial"/>
          <w:sz w:val="24"/>
          <w:szCs w:val="24"/>
        </w:rPr>
        <w:t>Negeri</w:t>
      </w:r>
      <w:r w:rsidR="00A954D0">
        <w:rPr>
          <w:rFonts w:ascii="Bookman Old Style" w:hAnsi="Bookman Old Style" w:cs="Arial"/>
          <w:sz w:val="24"/>
          <w:szCs w:val="24"/>
        </w:rPr>
        <w:t xml:space="preserve"> </w:t>
      </w:r>
      <w:r w:rsidRPr="00901014">
        <w:rPr>
          <w:rFonts w:ascii="Bookman Old Style" w:hAnsi="Bookman Old Style" w:cs="Arial"/>
          <w:sz w:val="24"/>
          <w:szCs w:val="24"/>
        </w:rPr>
        <w:t>Nomor</w:t>
      </w:r>
      <w:r w:rsidR="00A954D0">
        <w:rPr>
          <w:rFonts w:ascii="Bookman Old Style" w:hAnsi="Bookman Old Style" w:cs="Arial"/>
          <w:sz w:val="24"/>
          <w:szCs w:val="24"/>
        </w:rPr>
        <w:t xml:space="preserve"> </w:t>
      </w:r>
      <w:r w:rsidRPr="00901014">
        <w:rPr>
          <w:rFonts w:ascii="Bookman Old Style" w:hAnsi="Bookman Old Style" w:cs="Arial"/>
          <w:sz w:val="24"/>
          <w:szCs w:val="24"/>
        </w:rPr>
        <w:t>133</w:t>
      </w:r>
      <w:r w:rsidR="00A954D0">
        <w:rPr>
          <w:rFonts w:ascii="Bookman Old Style" w:hAnsi="Bookman Old Style" w:cs="Arial"/>
          <w:sz w:val="24"/>
          <w:szCs w:val="24"/>
        </w:rPr>
        <w:t xml:space="preserve"> </w:t>
      </w:r>
      <w:r w:rsidRPr="00901014">
        <w:rPr>
          <w:rFonts w:ascii="Bookman Old Style" w:hAnsi="Bookman Old Style" w:cs="Arial"/>
          <w:sz w:val="24"/>
          <w:szCs w:val="24"/>
        </w:rPr>
        <w:t>Tahun</w:t>
      </w:r>
      <w:r w:rsidR="00A954D0">
        <w:rPr>
          <w:rFonts w:ascii="Bookman Old Style" w:hAnsi="Bookman Old Style" w:cs="Arial"/>
          <w:sz w:val="24"/>
          <w:szCs w:val="24"/>
        </w:rPr>
        <w:t xml:space="preserve"> </w:t>
      </w:r>
      <w:r w:rsidRPr="00901014">
        <w:rPr>
          <w:rFonts w:ascii="Bookman Old Style" w:hAnsi="Bookman Old Style" w:cs="Arial"/>
          <w:sz w:val="24"/>
          <w:szCs w:val="24"/>
        </w:rPr>
        <w:t>2017</w:t>
      </w:r>
      <w:r w:rsidR="00A954D0">
        <w:rPr>
          <w:rFonts w:ascii="Bookman Old Style" w:hAnsi="Bookman Old Style" w:cs="Arial"/>
          <w:sz w:val="24"/>
          <w:szCs w:val="24"/>
        </w:rPr>
        <w:t xml:space="preserve"> </w:t>
      </w:r>
      <w:r w:rsidRPr="00901014">
        <w:rPr>
          <w:rFonts w:ascii="Bookman Old Style" w:hAnsi="Bookman Old Style" w:cs="Arial"/>
          <w:sz w:val="24"/>
          <w:szCs w:val="24"/>
        </w:rPr>
        <w:t>tentang</w:t>
      </w:r>
      <w:r w:rsidR="00A954D0">
        <w:rPr>
          <w:rFonts w:ascii="Bookman Old Style" w:hAnsi="Bookman Old Style" w:cs="Arial"/>
          <w:sz w:val="24"/>
          <w:szCs w:val="24"/>
        </w:rPr>
        <w:t xml:space="preserve"> </w:t>
      </w:r>
      <w:r w:rsidRPr="00901014">
        <w:rPr>
          <w:rFonts w:ascii="Bookman Old Style" w:hAnsi="Bookman Old Style" w:cs="Arial"/>
          <w:sz w:val="24"/>
          <w:szCs w:val="24"/>
        </w:rPr>
        <w:t>Orientasi</w:t>
      </w:r>
      <w:r w:rsidR="00A954D0">
        <w:rPr>
          <w:rFonts w:ascii="Bookman Old Style" w:hAnsi="Bookman Old Style" w:cs="Arial"/>
          <w:sz w:val="24"/>
          <w:szCs w:val="24"/>
        </w:rPr>
        <w:t xml:space="preserve"> </w:t>
      </w:r>
      <w:r w:rsidRPr="00901014">
        <w:rPr>
          <w:rFonts w:ascii="Bookman Old Style" w:hAnsi="Bookman Old Style" w:cs="Arial"/>
          <w:sz w:val="24"/>
          <w:szCs w:val="24"/>
        </w:rPr>
        <w:t>dan</w:t>
      </w:r>
      <w:r w:rsidR="00A954D0">
        <w:rPr>
          <w:rFonts w:ascii="Bookman Old Style" w:hAnsi="Bookman Old Style" w:cs="Arial"/>
          <w:sz w:val="24"/>
          <w:szCs w:val="24"/>
        </w:rPr>
        <w:t xml:space="preserve"> </w:t>
      </w:r>
      <w:r w:rsidRPr="00901014">
        <w:rPr>
          <w:rFonts w:ascii="Bookman Old Style" w:hAnsi="Bookman Old Style" w:cs="Arial"/>
          <w:sz w:val="24"/>
          <w:szCs w:val="24"/>
        </w:rPr>
        <w:t>Pendalaman</w:t>
      </w:r>
      <w:r w:rsidR="00A954D0">
        <w:rPr>
          <w:rFonts w:ascii="Bookman Old Style" w:hAnsi="Bookman Old Style" w:cs="Arial"/>
          <w:sz w:val="24"/>
          <w:szCs w:val="24"/>
        </w:rPr>
        <w:t xml:space="preserve"> </w:t>
      </w:r>
      <w:r w:rsidRPr="00901014">
        <w:rPr>
          <w:rFonts w:ascii="Bookman Old Style" w:hAnsi="Bookman Old Style" w:cs="Arial"/>
          <w:sz w:val="24"/>
          <w:szCs w:val="24"/>
        </w:rPr>
        <w:t>Tugas</w:t>
      </w:r>
      <w:r w:rsidR="00A954D0">
        <w:rPr>
          <w:rFonts w:ascii="Bookman Old Style" w:hAnsi="Bookman Old Style" w:cs="Arial"/>
          <w:sz w:val="24"/>
          <w:szCs w:val="24"/>
        </w:rPr>
        <w:t xml:space="preserve"> </w:t>
      </w:r>
      <w:r w:rsidRPr="00901014">
        <w:rPr>
          <w:rFonts w:ascii="Bookman Old Style" w:hAnsi="Bookman Old Style" w:cs="Arial"/>
          <w:sz w:val="24"/>
          <w:szCs w:val="24"/>
        </w:rPr>
        <w:t>Anggota</w:t>
      </w:r>
      <w:r w:rsidR="00A954D0">
        <w:rPr>
          <w:rFonts w:ascii="Bookman Old Style" w:hAnsi="Bookman Old Style" w:cs="Arial"/>
          <w:sz w:val="24"/>
          <w:szCs w:val="24"/>
        </w:rPr>
        <w:t xml:space="preserve"> </w:t>
      </w:r>
      <w:r w:rsidRPr="00901014">
        <w:rPr>
          <w:rFonts w:ascii="Bookman Old Style" w:hAnsi="Bookman Old Style" w:cs="Arial"/>
          <w:sz w:val="24"/>
          <w:szCs w:val="24"/>
        </w:rPr>
        <w:t>Dewan</w:t>
      </w:r>
      <w:r w:rsidR="00A954D0">
        <w:rPr>
          <w:rFonts w:ascii="Bookman Old Style" w:hAnsi="Bookman Old Style" w:cs="Arial"/>
          <w:sz w:val="24"/>
          <w:szCs w:val="24"/>
        </w:rPr>
        <w:t xml:space="preserve"> </w:t>
      </w:r>
      <w:r w:rsidRPr="00901014">
        <w:rPr>
          <w:rFonts w:ascii="Bookman Old Style" w:hAnsi="Bookman Old Style" w:cs="Arial"/>
          <w:sz w:val="24"/>
          <w:szCs w:val="24"/>
        </w:rPr>
        <w:t>Perwakilan</w:t>
      </w:r>
      <w:r w:rsidR="00A954D0">
        <w:rPr>
          <w:rFonts w:ascii="Bookman Old Style" w:hAnsi="Bookman Old Style" w:cs="Arial"/>
          <w:sz w:val="24"/>
          <w:szCs w:val="24"/>
        </w:rPr>
        <w:t xml:space="preserve"> </w:t>
      </w:r>
      <w:r w:rsidRPr="00901014">
        <w:rPr>
          <w:rFonts w:ascii="Bookman Old Style" w:hAnsi="Bookman Old Style" w:cs="Arial"/>
          <w:sz w:val="24"/>
          <w:szCs w:val="24"/>
        </w:rPr>
        <w:t>Rakyat</w:t>
      </w:r>
      <w:r w:rsidR="00A954D0">
        <w:rPr>
          <w:rFonts w:ascii="Bookman Old Style" w:hAnsi="Bookman Old Style" w:cs="Arial"/>
          <w:sz w:val="24"/>
          <w:szCs w:val="24"/>
        </w:rPr>
        <w:t xml:space="preserve"> </w:t>
      </w:r>
      <w:r w:rsidRPr="00901014">
        <w:rPr>
          <w:rFonts w:ascii="Bookman Old Style" w:hAnsi="Bookman Old Style" w:cs="Arial"/>
          <w:sz w:val="24"/>
          <w:szCs w:val="24"/>
        </w:rPr>
        <w:t>Daerah</w:t>
      </w:r>
      <w:r w:rsidR="00A954D0">
        <w:rPr>
          <w:rFonts w:ascii="Bookman Old Style" w:hAnsi="Bookman Old Style" w:cs="Arial"/>
          <w:sz w:val="24"/>
          <w:szCs w:val="24"/>
        </w:rPr>
        <w:t xml:space="preserve"> </w:t>
      </w:r>
      <w:r w:rsidRPr="00901014">
        <w:rPr>
          <w:rFonts w:ascii="Bookman Old Style" w:hAnsi="Bookman Old Style" w:cs="Arial"/>
          <w:sz w:val="24"/>
          <w:szCs w:val="24"/>
        </w:rPr>
        <w:t>Provinsi</w:t>
      </w:r>
      <w:r w:rsidR="00A954D0">
        <w:rPr>
          <w:rFonts w:ascii="Bookman Old Style" w:hAnsi="Bookman Old Style" w:cs="Arial"/>
          <w:sz w:val="24"/>
          <w:szCs w:val="24"/>
        </w:rPr>
        <w:t xml:space="preserve"> </w:t>
      </w:r>
      <w:r w:rsidRPr="00901014">
        <w:rPr>
          <w:rFonts w:ascii="Bookman Old Style" w:hAnsi="Bookman Old Style" w:cs="Arial"/>
          <w:sz w:val="24"/>
          <w:szCs w:val="24"/>
        </w:rPr>
        <w:t>dan</w:t>
      </w:r>
      <w:r w:rsidR="00A954D0">
        <w:rPr>
          <w:rFonts w:ascii="Bookman Old Style" w:hAnsi="Bookman Old Style" w:cs="Arial"/>
          <w:sz w:val="24"/>
          <w:szCs w:val="24"/>
        </w:rPr>
        <w:t xml:space="preserve"> </w:t>
      </w:r>
      <w:r w:rsidRPr="00901014">
        <w:rPr>
          <w:rFonts w:ascii="Bookman Old Style" w:hAnsi="Bookman Old Style" w:cs="Arial"/>
          <w:sz w:val="24"/>
          <w:szCs w:val="24"/>
        </w:rPr>
        <w:t>Dewan</w:t>
      </w:r>
      <w:r w:rsidR="00A954D0">
        <w:rPr>
          <w:rFonts w:ascii="Bookman Old Style" w:hAnsi="Bookman Old Style" w:cs="Arial"/>
          <w:sz w:val="24"/>
          <w:szCs w:val="24"/>
        </w:rPr>
        <w:t xml:space="preserve"> </w:t>
      </w:r>
      <w:r w:rsidRPr="00901014">
        <w:rPr>
          <w:rFonts w:ascii="Bookman Old Style" w:hAnsi="Bookman Old Style" w:cs="Arial"/>
          <w:sz w:val="24"/>
          <w:szCs w:val="24"/>
        </w:rPr>
        <w:t>Perwakilan</w:t>
      </w:r>
      <w:r w:rsidR="00A954D0">
        <w:rPr>
          <w:rFonts w:ascii="Bookman Old Style" w:hAnsi="Bookman Old Style" w:cs="Arial"/>
          <w:sz w:val="24"/>
          <w:szCs w:val="24"/>
        </w:rPr>
        <w:t xml:space="preserve"> </w:t>
      </w:r>
      <w:r w:rsidRPr="00901014">
        <w:rPr>
          <w:rFonts w:ascii="Bookman Old Style" w:hAnsi="Bookman Old Style" w:cs="Arial"/>
          <w:sz w:val="24"/>
          <w:szCs w:val="24"/>
        </w:rPr>
        <w:t>Rakyat</w:t>
      </w:r>
      <w:r w:rsidR="00A954D0">
        <w:rPr>
          <w:rFonts w:ascii="Bookman Old Style" w:hAnsi="Bookman Old Style" w:cs="Arial"/>
          <w:sz w:val="24"/>
          <w:szCs w:val="24"/>
        </w:rPr>
        <w:t xml:space="preserve"> </w:t>
      </w:r>
      <w:r w:rsidRPr="00901014">
        <w:rPr>
          <w:rFonts w:ascii="Bookman Old Style" w:hAnsi="Bookman Old Style" w:cs="Arial"/>
          <w:sz w:val="24"/>
          <w:szCs w:val="24"/>
        </w:rPr>
        <w:t>Daerah</w:t>
      </w:r>
      <w:r w:rsidR="00A954D0">
        <w:rPr>
          <w:rFonts w:ascii="Bookman Old Style" w:hAnsi="Bookman Old Style" w:cs="Arial"/>
          <w:sz w:val="24"/>
          <w:szCs w:val="24"/>
        </w:rPr>
        <w:t xml:space="preserve"> </w:t>
      </w:r>
      <w:r w:rsidR="00172E1C">
        <w:rPr>
          <w:rFonts w:ascii="Bookman Old Style" w:hAnsi="Bookman Old Style" w:cs="Arial"/>
          <w:sz w:val="24"/>
          <w:szCs w:val="24"/>
        </w:rPr>
        <w:t>Kabupaten/Kota</w:t>
      </w:r>
      <w:r w:rsidR="00A954D0">
        <w:rPr>
          <w:rFonts w:ascii="Bookman Old Style" w:hAnsi="Bookman Old Style"/>
          <w:sz w:val="24"/>
          <w:szCs w:val="24"/>
        </w:rPr>
        <w:t xml:space="preserve"> </w:t>
      </w:r>
      <w:r w:rsidRPr="00901014">
        <w:rPr>
          <w:rFonts w:ascii="Bookman Old Style" w:hAnsi="Bookman Old Style"/>
          <w:sz w:val="24"/>
          <w:szCs w:val="24"/>
        </w:rPr>
        <w:t>sebagaimana</w:t>
      </w:r>
      <w:r w:rsidR="00A954D0">
        <w:rPr>
          <w:rFonts w:ascii="Bookman Old Style" w:hAnsi="Bookman Old Style"/>
          <w:sz w:val="24"/>
          <w:szCs w:val="24"/>
        </w:rPr>
        <w:t xml:space="preserve"> </w:t>
      </w:r>
      <w:r w:rsidRPr="00901014">
        <w:rPr>
          <w:rFonts w:ascii="Bookman Old Style" w:hAnsi="Bookman Old Style"/>
          <w:sz w:val="24"/>
          <w:szCs w:val="24"/>
        </w:rPr>
        <w:t>telah</w:t>
      </w:r>
      <w:r w:rsidR="00A954D0">
        <w:rPr>
          <w:rFonts w:ascii="Bookman Old Style" w:hAnsi="Bookman Old Style"/>
          <w:sz w:val="24"/>
          <w:szCs w:val="24"/>
        </w:rPr>
        <w:t xml:space="preserve"> </w:t>
      </w:r>
      <w:r w:rsidRPr="00901014">
        <w:rPr>
          <w:rFonts w:ascii="Bookman Old Style" w:hAnsi="Bookman Old Style"/>
          <w:sz w:val="24"/>
          <w:szCs w:val="24"/>
        </w:rPr>
        <w:t>diubah</w:t>
      </w:r>
      <w:r w:rsidR="00A954D0">
        <w:rPr>
          <w:rFonts w:ascii="Bookman Old Style" w:hAnsi="Bookman Old Style"/>
          <w:sz w:val="24"/>
          <w:szCs w:val="24"/>
        </w:rPr>
        <w:t xml:space="preserve"> </w:t>
      </w:r>
      <w:r w:rsidRPr="00901014">
        <w:rPr>
          <w:rFonts w:ascii="Bookman Old Style" w:hAnsi="Bookman Old Style"/>
          <w:sz w:val="24"/>
          <w:szCs w:val="24"/>
        </w:rPr>
        <w:t>dengan</w:t>
      </w:r>
      <w:r w:rsidR="00A954D0">
        <w:rPr>
          <w:rFonts w:ascii="Bookman Old Style" w:hAnsi="Bookman Old Style"/>
          <w:sz w:val="24"/>
          <w:szCs w:val="24"/>
        </w:rPr>
        <w:t xml:space="preserve"> </w:t>
      </w:r>
      <w:r w:rsidRPr="00901014">
        <w:rPr>
          <w:rFonts w:ascii="Bookman Old Style" w:hAnsi="Bookman Old Style"/>
          <w:sz w:val="24"/>
          <w:szCs w:val="24"/>
        </w:rPr>
        <w:t>Peraturan</w:t>
      </w:r>
      <w:r w:rsidR="00A954D0">
        <w:rPr>
          <w:rFonts w:ascii="Bookman Old Style" w:hAnsi="Bookman Old Style"/>
          <w:sz w:val="24"/>
          <w:szCs w:val="24"/>
        </w:rPr>
        <w:t xml:space="preserve"> </w:t>
      </w:r>
      <w:r w:rsidRPr="00901014">
        <w:rPr>
          <w:rFonts w:ascii="Bookman Old Style" w:hAnsi="Bookman Old Style"/>
          <w:sz w:val="24"/>
          <w:szCs w:val="24"/>
        </w:rPr>
        <w:t>Menteri</w:t>
      </w:r>
      <w:r w:rsidR="00A954D0">
        <w:rPr>
          <w:rFonts w:ascii="Bookman Old Style" w:hAnsi="Bookman Old Style"/>
          <w:sz w:val="24"/>
          <w:szCs w:val="24"/>
        </w:rPr>
        <w:t xml:space="preserve"> </w:t>
      </w:r>
      <w:r w:rsidRPr="00901014">
        <w:rPr>
          <w:rFonts w:ascii="Bookman Old Style" w:hAnsi="Bookman Old Style"/>
          <w:sz w:val="24"/>
          <w:szCs w:val="24"/>
        </w:rPr>
        <w:t>Dalam</w:t>
      </w:r>
      <w:r w:rsidR="00A954D0">
        <w:rPr>
          <w:rFonts w:ascii="Bookman Old Style" w:hAnsi="Bookman Old Style"/>
          <w:sz w:val="24"/>
          <w:szCs w:val="24"/>
        </w:rPr>
        <w:t xml:space="preserve"> </w:t>
      </w:r>
      <w:r w:rsidRPr="00901014">
        <w:rPr>
          <w:rFonts w:ascii="Bookman Old Style" w:hAnsi="Bookman Old Style"/>
          <w:sz w:val="24"/>
          <w:szCs w:val="24"/>
        </w:rPr>
        <w:t>Negeri</w:t>
      </w:r>
      <w:r w:rsidR="00A954D0">
        <w:rPr>
          <w:rFonts w:ascii="Bookman Old Style" w:hAnsi="Bookman Old Style"/>
          <w:sz w:val="24"/>
          <w:szCs w:val="24"/>
        </w:rPr>
        <w:t xml:space="preserve"> </w:t>
      </w:r>
      <w:r w:rsidRPr="00901014">
        <w:rPr>
          <w:rFonts w:ascii="Bookman Old Style" w:hAnsi="Bookman Old Style"/>
          <w:sz w:val="24"/>
          <w:szCs w:val="24"/>
        </w:rPr>
        <w:t>Nomor</w:t>
      </w:r>
      <w:r w:rsidR="00A954D0">
        <w:rPr>
          <w:rFonts w:ascii="Bookman Old Style" w:hAnsi="Bookman Old Style"/>
          <w:sz w:val="24"/>
          <w:szCs w:val="24"/>
        </w:rPr>
        <w:t xml:space="preserve"> </w:t>
      </w:r>
      <w:r w:rsidRPr="00901014">
        <w:rPr>
          <w:rFonts w:ascii="Bookman Old Style" w:hAnsi="Bookman Old Style"/>
          <w:sz w:val="24"/>
          <w:szCs w:val="24"/>
        </w:rPr>
        <w:t>14</w:t>
      </w:r>
      <w:r w:rsidR="00A954D0">
        <w:rPr>
          <w:rFonts w:ascii="Bookman Old Style" w:hAnsi="Bookman Old Style"/>
          <w:sz w:val="24"/>
          <w:szCs w:val="24"/>
        </w:rPr>
        <w:t xml:space="preserve"> </w:t>
      </w:r>
      <w:r w:rsidRPr="00901014">
        <w:rPr>
          <w:rFonts w:ascii="Bookman Old Style" w:hAnsi="Bookman Old Style"/>
          <w:sz w:val="24"/>
          <w:szCs w:val="24"/>
        </w:rPr>
        <w:t>Tahun</w:t>
      </w:r>
      <w:r w:rsidR="00A954D0">
        <w:rPr>
          <w:rFonts w:ascii="Bookman Old Style" w:hAnsi="Bookman Old Style"/>
          <w:sz w:val="24"/>
          <w:szCs w:val="24"/>
        </w:rPr>
        <w:t xml:space="preserve"> </w:t>
      </w:r>
      <w:r w:rsidRPr="00901014">
        <w:rPr>
          <w:rFonts w:ascii="Bookman Old Style" w:hAnsi="Bookman Old Style"/>
          <w:sz w:val="24"/>
          <w:szCs w:val="24"/>
        </w:rPr>
        <w:t>2018</w:t>
      </w:r>
      <w:r w:rsidR="00A954D0">
        <w:rPr>
          <w:rFonts w:ascii="Bookman Old Style" w:hAnsi="Bookman Old Style"/>
          <w:sz w:val="24"/>
          <w:szCs w:val="24"/>
        </w:rPr>
        <w:t xml:space="preserve"> </w:t>
      </w:r>
      <w:r w:rsidRPr="00901014">
        <w:rPr>
          <w:rFonts w:ascii="Bookman Old Style" w:hAnsi="Bookman Old Style"/>
          <w:sz w:val="24"/>
          <w:szCs w:val="24"/>
        </w:rPr>
        <w:t>tentang</w:t>
      </w:r>
      <w:r w:rsidR="00A954D0">
        <w:rPr>
          <w:rFonts w:ascii="Bookman Old Style" w:hAnsi="Bookman Old Style"/>
          <w:sz w:val="24"/>
          <w:szCs w:val="24"/>
        </w:rPr>
        <w:t xml:space="preserve"> </w:t>
      </w:r>
      <w:r w:rsidRPr="00901014">
        <w:rPr>
          <w:rFonts w:ascii="Bookman Old Style" w:hAnsi="Bookman Old Style"/>
          <w:sz w:val="24"/>
          <w:szCs w:val="24"/>
        </w:rPr>
        <w:t>Perubahan</w:t>
      </w:r>
      <w:r w:rsidR="00A954D0">
        <w:rPr>
          <w:rFonts w:ascii="Bookman Old Style" w:hAnsi="Bookman Old Style"/>
          <w:sz w:val="24"/>
          <w:szCs w:val="24"/>
        </w:rPr>
        <w:t xml:space="preserve"> </w:t>
      </w:r>
      <w:r w:rsidRPr="003255BC">
        <w:rPr>
          <w:rFonts w:ascii="Bookman Old Style" w:hAnsi="Bookman Old Style"/>
          <w:sz w:val="24"/>
          <w:szCs w:val="24"/>
          <w:lang w:val="sv-FI"/>
        </w:rPr>
        <w:t>a</w:t>
      </w:r>
      <w:r w:rsidRPr="00901014">
        <w:rPr>
          <w:rFonts w:ascii="Bookman Old Style" w:hAnsi="Bookman Old Style"/>
          <w:sz w:val="24"/>
          <w:szCs w:val="24"/>
        </w:rPr>
        <w:t>tas</w:t>
      </w:r>
      <w:r w:rsidR="00A954D0">
        <w:rPr>
          <w:rFonts w:ascii="Bookman Old Style" w:hAnsi="Bookman Old Style"/>
          <w:sz w:val="24"/>
          <w:szCs w:val="24"/>
        </w:rPr>
        <w:t xml:space="preserve"> </w:t>
      </w:r>
      <w:r w:rsidRPr="00901014">
        <w:rPr>
          <w:rFonts w:ascii="Bookman Old Style" w:hAnsi="Bookman Old Style"/>
          <w:sz w:val="24"/>
          <w:szCs w:val="24"/>
        </w:rPr>
        <w:t>Peraturan</w:t>
      </w:r>
      <w:r w:rsidR="00A954D0">
        <w:rPr>
          <w:rFonts w:ascii="Bookman Old Style" w:hAnsi="Bookman Old Style"/>
          <w:sz w:val="24"/>
          <w:szCs w:val="24"/>
        </w:rPr>
        <w:t xml:space="preserve"> </w:t>
      </w:r>
      <w:r w:rsidRPr="00901014">
        <w:rPr>
          <w:rFonts w:ascii="Bookman Old Style" w:hAnsi="Bookman Old Style"/>
          <w:sz w:val="24"/>
          <w:szCs w:val="24"/>
        </w:rPr>
        <w:t>Menteri</w:t>
      </w:r>
      <w:r w:rsidR="00A954D0">
        <w:rPr>
          <w:rFonts w:ascii="Bookman Old Style" w:hAnsi="Bookman Old Style"/>
          <w:sz w:val="24"/>
          <w:szCs w:val="24"/>
        </w:rPr>
        <w:t xml:space="preserve"> </w:t>
      </w:r>
      <w:r w:rsidRPr="00901014">
        <w:rPr>
          <w:rFonts w:ascii="Bookman Old Style" w:hAnsi="Bookman Old Style"/>
          <w:sz w:val="24"/>
          <w:szCs w:val="24"/>
        </w:rPr>
        <w:t>Dalam</w:t>
      </w:r>
      <w:r w:rsidR="00A954D0">
        <w:rPr>
          <w:rFonts w:ascii="Bookman Old Style" w:hAnsi="Bookman Old Style"/>
          <w:sz w:val="24"/>
          <w:szCs w:val="24"/>
        </w:rPr>
        <w:t xml:space="preserve"> </w:t>
      </w:r>
      <w:r w:rsidRPr="00901014">
        <w:rPr>
          <w:rFonts w:ascii="Bookman Old Style" w:hAnsi="Bookman Old Style"/>
          <w:sz w:val="24"/>
          <w:szCs w:val="24"/>
        </w:rPr>
        <w:t>Negeri</w:t>
      </w:r>
      <w:r w:rsidR="00A954D0">
        <w:rPr>
          <w:rFonts w:ascii="Bookman Old Style" w:hAnsi="Bookman Old Style"/>
          <w:sz w:val="24"/>
          <w:szCs w:val="24"/>
        </w:rPr>
        <w:t xml:space="preserve"> </w:t>
      </w:r>
      <w:r w:rsidRPr="00901014">
        <w:rPr>
          <w:rFonts w:ascii="Bookman Old Style" w:hAnsi="Bookman Old Style"/>
          <w:sz w:val="24"/>
          <w:szCs w:val="24"/>
        </w:rPr>
        <w:t>Nomor</w:t>
      </w:r>
      <w:r w:rsidR="00A954D0">
        <w:rPr>
          <w:rFonts w:ascii="Bookman Old Style" w:hAnsi="Bookman Old Style"/>
          <w:sz w:val="24"/>
          <w:szCs w:val="24"/>
        </w:rPr>
        <w:t xml:space="preserve"> </w:t>
      </w:r>
      <w:r w:rsidRPr="00901014">
        <w:rPr>
          <w:rFonts w:ascii="Bookman Old Style" w:hAnsi="Bookman Old Style"/>
          <w:sz w:val="24"/>
          <w:szCs w:val="24"/>
        </w:rPr>
        <w:t>133</w:t>
      </w:r>
      <w:r w:rsidR="00A954D0">
        <w:rPr>
          <w:rFonts w:ascii="Bookman Old Style" w:hAnsi="Bookman Old Style"/>
          <w:sz w:val="24"/>
          <w:szCs w:val="24"/>
        </w:rPr>
        <w:t xml:space="preserve"> </w:t>
      </w:r>
      <w:r w:rsidRPr="00901014">
        <w:rPr>
          <w:rFonts w:ascii="Bookman Old Style" w:hAnsi="Bookman Old Style"/>
          <w:sz w:val="24"/>
          <w:szCs w:val="24"/>
        </w:rPr>
        <w:t>Tahun</w:t>
      </w:r>
      <w:r w:rsidR="00A954D0">
        <w:rPr>
          <w:rFonts w:ascii="Bookman Old Style" w:hAnsi="Bookman Old Style"/>
          <w:sz w:val="24"/>
          <w:szCs w:val="24"/>
        </w:rPr>
        <w:t xml:space="preserve"> </w:t>
      </w:r>
      <w:r w:rsidRPr="00901014">
        <w:rPr>
          <w:rFonts w:ascii="Bookman Old Style" w:hAnsi="Bookman Old Style"/>
          <w:sz w:val="24"/>
          <w:szCs w:val="24"/>
        </w:rPr>
        <w:t>2017</w:t>
      </w:r>
      <w:r w:rsidR="00A954D0">
        <w:rPr>
          <w:rFonts w:ascii="Bookman Old Style" w:hAnsi="Bookman Old Style"/>
          <w:sz w:val="24"/>
          <w:szCs w:val="24"/>
        </w:rPr>
        <w:t xml:space="preserve"> </w:t>
      </w:r>
      <w:r w:rsidRPr="00901014">
        <w:rPr>
          <w:rFonts w:ascii="Bookman Old Style" w:hAnsi="Bookman Old Style"/>
          <w:sz w:val="24"/>
          <w:szCs w:val="24"/>
        </w:rPr>
        <w:t>tentang</w:t>
      </w:r>
      <w:r w:rsidR="00A954D0">
        <w:rPr>
          <w:rFonts w:ascii="Bookman Old Style" w:hAnsi="Bookman Old Style"/>
          <w:sz w:val="24"/>
          <w:szCs w:val="24"/>
        </w:rPr>
        <w:t xml:space="preserve"> </w:t>
      </w:r>
      <w:r w:rsidRPr="00901014">
        <w:rPr>
          <w:rFonts w:ascii="Bookman Old Style" w:hAnsi="Bookman Old Style"/>
          <w:sz w:val="24"/>
          <w:szCs w:val="24"/>
        </w:rPr>
        <w:t>Orientasi</w:t>
      </w:r>
      <w:r w:rsidR="00A954D0">
        <w:rPr>
          <w:rFonts w:ascii="Bookman Old Style" w:hAnsi="Bookman Old Style"/>
          <w:sz w:val="24"/>
          <w:szCs w:val="24"/>
        </w:rPr>
        <w:t xml:space="preserve"> </w:t>
      </w:r>
      <w:r w:rsidRPr="00901014">
        <w:rPr>
          <w:rFonts w:ascii="Bookman Old Style" w:hAnsi="Bookman Old Style"/>
          <w:sz w:val="24"/>
          <w:szCs w:val="24"/>
        </w:rPr>
        <w:t>dan</w:t>
      </w:r>
      <w:r w:rsidR="00A954D0">
        <w:rPr>
          <w:rFonts w:ascii="Bookman Old Style" w:hAnsi="Bookman Old Style"/>
          <w:sz w:val="24"/>
          <w:szCs w:val="24"/>
        </w:rPr>
        <w:t xml:space="preserve"> </w:t>
      </w:r>
      <w:r w:rsidRPr="00901014">
        <w:rPr>
          <w:rFonts w:ascii="Bookman Old Style" w:hAnsi="Bookman Old Style"/>
          <w:sz w:val="24"/>
          <w:szCs w:val="24"/>
        </w:rPr>
        <w:t>Pendalaman</w:t>
      </w:r>
      <w:r w:rsidR="00A954D0">
        <w:rPr>
          <w:rFonts w:ascii="Bookman Old Style" w:hAnsi="Bookman Old Style"/>
          <w:sz w:val="24"/>
          <w:szCs w:val="24"/>
        </w:rPr>
        <w:t xml:space="preserve"> </w:t>
      </w:r>
      <w:r w:rsidRPr="00901014">
        <w:rPr>
          <w:rFonts w:ascii="Bookman Old Style" w:hAnsi="Bookman Old Style"/>
          <w:sz w:val="24"/>
          <w:szCs w:val="24"/>
        </w:rPr>
        <w:t>Tugas</w:t>
      </w:r>
      <w:r w:rsidR="00A954D0">
        <w:rPr>
          <w:rFonts w:ascii="Bookman Old Style" w:hAnsi="Bookman Old Style"/>
          <w:sz w:val="24"/>
          <w:szCs w:val="24"/>
        </w:rPr>
        <w:t xml:space="preserve"> </w:t>
      </w:r>
      <w:r w:rsidRPr="00901014">
        <w:rPr>
          <w:rFonts w:ascii="Bookman Old Style" w:hAnsi="Bookman Old Style"/>
          <w:sz w:val="24"/>
          <w:szCs w:val="24"/>
        </w:rPr>
        <w:t>Anggota</w:t>
      </w:r>
      <w:r w:rsidR="00A954D0">
        <w:rPr>
          <w:rFonts w:ascii="Bookman Old Style" w:hAnsi="Bookman Old Style"/>
          <w:sz w:val="24"/>
          <w:szCs w:val="24"/>
        </w:rPr>
        <w:t xml:space="preserve"> </w:t>
      </w:r>
      <w:r w:rsidRPr="00901014">
        <w:rPr>
          <w:rFonts w:ascii="Bookman Old Style" w:hAnsi="Bookman Old Style"/>
          <w:sz w:val="24"/>
          <w:szCs w:val="24"/>
        </w:rPr>
        <w:t>Dewan</w:t>
      </w:r>
      <w:r w:rsidR="00A954D0">
        <w:rPr>
          <w:rFonts w:ascii="Bookman Old Style" w:hAnsi="Bookman Old Style"/>
          <w:sz w:val="24"/>
          <w:szCs w:val="24"/>
        </w:rPr>
        <w:t xml:space="preserve"> </w:t>
      </w:r>
      <w:r w:rsidRPr="00901014">
        <w:rPr>
          <w:rFonts w:ascii="Bookman Old Style" w:hAnsi="Bookman Old Style"/>
          <w:sz w:val="24"/>
          <w:szCs w:val="24"/>
        </w:rPr>
        <w:t>Perwakilan</w:t>
      </w:r>
      <w:r w:rsidR="00A954D0">
        <w:rPr>
          <w:rFonts w:ascii="Bookman Old Style" w:hAnsi="Bookman Old Style"/>
          <w:sz w:val="24"/>
          <w:szCs w:val="24"/>
        </w:rPr>
        <w:t xml:space="preserve"> </w:t>
      </w:r>
      <w:r w:rsidRPr="00901014">
        <w:rPr>
          <w:rFonts w:ascii="Bookman Old Style" w:hAnsi="Bookman Old Style"/>
          <w:sz w:val="24"/>
          <w:szCs w:val="24"/>
        </w:rPr>
        <w:t>Rakyat</w:t>
      </w:r>
      <w:r w:rsidR="00A954D0">
        <w:rPr>
          <w:rFonts w:ascii="Bookman Old Style" w:hAnsi="Bookman Old Style"/>
          <w:sz w:val="24"/>
          <w:szCs w:val="24"/>
        </w:rPr>
        <w:t xml:space="preserve"> </w:t>
      </w:r>
      <w:r w:rsidRPr="00901014">
        <w:rPr>
          <w:rFonts w:ascii="Bookman Old Style" w:hAnsi="Bookman Old Style"/>
          <w:sz w:val="24"/>
          <w:szCs w:val="24"/>
        </w:rPr>
        <w:t>Daerah</w:t>
      </w:r>
      <w:r w:rsidR="00A954D0">
        <w:rPr>
          <w:rFonts w:ascii="Bookman Old Style" w:hAnsi="Bookman Old Style"/>
          <w:sz w:val="24"/>
          <w:szCs w:val="24"/>
        </w:rPr>
        <w:t xml:space="preserve"> </w:t>
      </w:r>
      <w:r w:rsidRPr="00901014">
        <w:rPr>
          <w:rFonts w:ascii="Bookman Old Style" w:hAnsi="Bookman Old Style"/>
          <w:sz w:val="24"/>
          <w:szCs w:val="24"/>
        </w:rPr>
        <w:t>Provinsi</w:t>
      </w:r>
      <w:r w:rsidR="00A954D0">
        <w:rPr>
          <w:rFonts w:ascii="Bookman Old Style" w:hAnsi="Bookman Old Style"/>
          <w:sz w:val="24"/>
          <w:szCs w:val="24"/>
        </w:rPr>
        <w:t xml:space="preserve"> </w:t>
      </w:r>
      <w:r w:rsidRPr="00901014">
        <w:rPr>
          <w:rFonts w:ascii="Bookman Old Style" w:hAnsi="Bookman Old Style"/>
          <w:sz w:val="24"/>
          <w:szCs w:val="24"/>
        </w:rPr>
        <w:t>dan</w:t>
      </w:r>
      <w:r w:rsidR="00A954D0">
        <w:rPr>
          <w:rFonts w:ascii="Bookman Old Style" w:hAnsi="Bookman Old Style"/>
          <w:sz w:val="24"/>
          <w:szCs w:val="24"/>
        </w:rPr>
        <w:t xml:space="preserve"> </w:t>
      </w:r>
      <w:r w:rsidRPr="00901014">
        <w:rPr>
          <w:rFonts w:ascii="Bookman Old Style" w:hAnsi="Bookman Old Style"/>
          <w:sz w:val="24"/>
          <w:szCs w:val="24"/>
        </w:rPr>
        <w:t>Dewan</w:t>
      </w:r>
      <w:r w:rsidR="00A954D0">
        <w:rPr>
          <w:rFonts w:ascii="Bookman Old Style" w:hAnsi="Bookman Old Style"/>
          <w:sz w:val="24"/>
          <w:szCs w:val="24"/>
        </w:rPr>
        <w:t xml:space="preserve"> </w:t>
      </w:r>
      <w:r w:rsidRPr="00901014">
        <w:rPr>
          <w:rFonts w:ascii="Bookman Old Style" w:hAnsi="Bookman Old Style"/>
          <w:sz w:val="24"/>
          <w:szCs w:val="24"/>
        </w:rPr>
        <w:t>Perwakilan</w:t>
      </w:r>
      <w:r w:rsidR="00A954D0">
        <w:rPr>
          <w:rFonts w:ascii="Bookman Old Style" w:hAnsi="Bookman Old Style"/>
          <w:sz w:val="24"/>
          <w:szCs w:val="24"/>
        </w:rPr>
        <w:t xml:space="preserve"> </w:t>
      </w:r>
      <w:r w:rsidRPr="00901014">
        <w:rPr>
          <w:rFonts w:ascii="Bookman Old Style" w:hAnsi="Bookman Old Style"/>
          <w:sz w:val="24"/>
          <w:szCs w:val="24"/>
        </w:rPr>
        <w:t>Rakyat</w:t>
      </w:r>
      <w:r w:rsidR="00A954D0">
        <w:rPr>
          <w:rFonts w:ascii="Bookman Old Style" w:hAnsi="Bookman Old Style"/>
          <w:sz w:val="24"/>
          <w:szCs w:val="24"/>
        </w:rPr>
        <w:t xml:space="preserve"> </w:t>
      </w:r>
      <w:r w:rsidRPr="00901014">
        <w:rPr>
          <w:rFonts w:ascii="Bookman Old Style" w:hAnsi="Bookman Old Style"/>
          <w:sz w:val="24"/>
          <w:szCs w:val="24"/>
        </w:rPr>
        <w:t>Daerah</w:t>
      </w:r>
      <w:r w:rsidR="00A954D0">
        <w:rPr>
          <w:rFonts w:ascii="Bookman Old Style" w:hAnsi="Bookman Old Style"/>
          <w:sz w:val="24"/>
          <w:szCs w:val="24"/>
        </w:rPr>
        <w:t xml:space="preserve"> </w:t>
      </w:r>
      <w:r w:rsidR="00172E1C">
        <w:rPr>
          <w:rFonts w:ascii="Bookman Old Style" w:hAnsi="Bookman Old Style"/>
          <w:sz w:val="24"/>
          <w:szCs w:val="24"/>
        </w:rPr>
        <w:t>Kabupaten/Kota</w:t>
      </w:r>
      <w:r w:rsidRPr="003255BC">
        <w:rPr>
          <w:rFonts w:ascii="Bookman Old Style" w:hAnsi="Bookman Old Style"/>
          <w:sz w:val="24"/>
          <w:szCs w:val="24"/>
          <w:lang w:val="sv-FI"/>
        </w:rPr>
        <w:t>,</w:t>
      </w:r>
      <w:r w:rsidR="00A954D0">
        <w:rPr>
          <w:rFonts w:ascii="Bookman Old Style" w:hAnsi="Bookman Old Style"/>
          <w:sz w:val="24"/>
          <w:szCs w:val="24"/>
        </w:rPr>
        <w:t xml:space="preserve"> </w:t>
      </w:r>
      <w:r w:rsidRPr="003255BC">
        <w:rPr>
          <w:rFonts w:ascii="Bookman Old Style" w:hAnsi="Bookman Old Style"/>
          <w:sz w:val="24"/>
          <w:szCs w:val="24"/>
          <w:lang w:val="sv-FI"/>
        </w:rPr>
        <w:t>dan</w:t>
      </w:r>
      <w:r w:rsidR="00A954D0" w:rsidRPr="003255BC">
        <w:rPr>
          <w:rFonts w:ascii="Bookman Old Style" w:hAnsi="Bookman Old Style"/>
          <w:sz w:val="24"/>
          <w:szCs w:val="24"/>
          <w:lang w:val="sv-FI"/>
        </w:rPr>
        <w:t xml:space="preserve"> </w:t>
      </w:r>
      <w:r w:rsidRPr="00901014">
        <w:rPr>
          <w:rFonts w:ascii="Bookman Old Style" w:hAnsi="Bookman Old Style" w:cs="Arial"/>
          <w:sz w:val="24"/>
          <w:szCs w:val="24"/>
        </w:rPr>
        <w:t>butir</w:t>
      </w:r>
      <w:r w:rsidR="00A954D0">
        <w:rPr>
          <w:rFonts w:ascii="Bookman Old Style" w:hAnsi="Bookman Old Style" w:cs="Arial"/>
          <w:sz w:val="24"/>
          <w:szCs w:val="24"/>
        </w:rPr>
        <w:t xml:space="preserve"> </w:t>
      </w:r>
      <w:r w:rsidRPr="003255BC">
        <w:rPr>
          <w:rFonts w:ascii="Bookman Old Style" w:hAnsi="Bookman Old Style" w:cs="Arial"/>
          <w:sz w:val="24"/>
          <w:szCs w:val="24"/>
          <w:lang w:val="sv-FI"/>
        </w:rPr>
        <w:t>3.4.1.2.2.</w:t>
      </w:r>
      <w:r w:rsidRPr="003255BC">
        <w:rPr>
          <w:rFonts w:ascii="Bookman Old Style" w:hAnsi="Bookman Old Style"/>
          <w:sz w:val="24"/>
          <w:szCs w:val="24"/>
          <w:lang w:val="sv-FI"/>
        </w:rPr>
        <w:t>f.2)</w:t>
      </w:r>
      <w:r w:rsidR="00A954D0" w:rsidRPr="003255BC">
        <w:rPr>
          <w:rFonts w:ascii="Bookman Old Style" w:hAnsi="Bookman Old Style"/>
          <w:sz w:val="24"/>
          <w:szCs w:val="24"/>
          <w:lang w:val="sv-FI"/>
        </w:rPr>
        <w:t xml:space="preserve"> </w:t>
      </w:r>
      <w:r w:rsidRPr="00901014">
        <w:rPr>
          <w:rFonts w:ascii="Bookman Old Style" w:hAnsi="Bookman Old Style" w:cs="Arial"/>
          <w:sz w:val="24"/>
          <w:szCs w:val="24"/>
        </w:rPr>
        <w:t>Lampiran</w:t>
      </w:r>
      <w:r w:rsidR="00A954D0">
        <w:rPr>
          <w:rFonts w:ascii="Bookman Old Style" w:hAnsi="Bookman Old Style" w:cs="Arial"/>
          <w:sz w:val="24"/>
          <w:szCs w:val="24"/>
        </w:rPr>
        <w:t xml:space="preserve"> </w:t>
      </w:r>
      <w:r w:rsidRPr="00901014">
        <w:rPr>
          <w:rFonts w:ascii="Bookman Old Style" w:hAnsi="Bookman Old Style" w:cs="Arial"/>
          <w:sz w:val="24"/>
          <w:szCs w:val="24"/>
        </w:rPr>
        <w:t>Peraturan</w:t>
      </w:r>
      <w:r w:rsidR="00A954D0">
        <w:rPr>
          <w:rFonts w:ascii="Bookman Old Style" w:hAnsi="Bookman Old Style" w:cs="Arial"/>
          <w:sz w:val="24"/>
          <w:szCs w:val="24"/>
        </w:rPr>
        <w:t xml:space="preserve"> </w:t>
      </w:r>
      <w:r w:rsidRPr="00901014">
        <w:rPr>
          <w:rFonts w:ascii="Bookman Old Style" w:hAnsi="Bookman Old Style" w:cs="Arial"/>
          <w:sz w:val="24"/>
          <w:szCs w:val="24"/>
        </w:rPr>
        <w:t>Menteri</w:t>
      </w:r>
      <w:r w:rsidR="00A954D0">
        <w:rPr>
          <w:rFonts w:ascii="Bookman Old Style" w:hAnsi="Bookman Old Style" w:cs="Arial"/>
          <w:sz w:val="24"/>
          <w:szCs w:val="24"/>
        </w:rPr>
        <w:t xml:space="preserve"> </w:t>
      </w:r>
      <w:r w:rsidRPr="00901014">
        <w:rPr>
          <w:rFonts w:ascii="Bookman Old Style" w:hAnsi="Bookman Old Style" w:cs="Arial"/>
          <w:sz w:val="24"/>
          <w:szCs w:val="24"/>
        </w:rPr>
        <w:t>Dalam</w:t>
      </w:r>
      <w:r w:rsidR="00A954D0">
        <w:rPr>
          <w:rFonts w:ascii="Bookman Old Style" w:hAnsi="Bookman Old Style" w:cs="Arial"/>
          <w:sz w:val="24"/>
          <w:szCs w:val="24"/>
        </w:rPr>
        <w:t xml:space="preserve"> </w:t>
      </w:r>
      <w:r w:rsidRPr="00901014">
        <w:rPr>
          <w:rFonts w:ascii="Bookman Old Style" w:hAnsi="Bookman Old Style" w:cs="Arial"/>
          <w:sz w:val="24"/>
          <w:szCs w:val="24"/>
        </w:rPr>
        <w:t>Negeri</w:t>
      </w:r>
      <w:r w:rsidR="00A954D0">
        <w:rPr>
          <w:rFonts w:ascii="Bookman Old Style" w:hAnsi="Bookman Old Style" w:cs="Arial"/>
          <w:sz w:val="24"/>
          <w:szCs w:val="24"/>
        </w:rPr>
        <w:t xml:space="preserve"> </w:t>
      </w:r>
      <w:r w:rsidRPr="00901014">
        <w:rPr>
          <w:rFonts w:ascii="Bookman Old Style" w:hAnsi="Bookman Old Style" w:cs="Arial"/>
          <w:sz w:val="24"/>
          <w:szCs w:val="24"/>
        </w:rPr>
        <w:t>Nomor</w:t>
      </w:r>
      <w:r w:rsidR="00A954D0">
        <w:rPr>
          <w:rFonts w:ascii="Bookman Old Style" w:hAnsi="Bookman Old Style" w:cs="Arial"/>
          <w:sz w:val="24"/>
          <w:szCs w:val="24"/>
        </w:rPr>
        <w:t xml:space="preserve"> </w:t>
      </w:r>
      <w:r w:rsidRPr="003255BC">
        <w:rPr>
          <w:rFonts w:ascii="Bookman Old Style" w:hAnsi="Bookman Old Style" w:cs="Arial"/>
          <w:sz w:val="24"/>
          <w:szCs w:val="24"/>
          <w:lang w:val="sv-FI"/>
        </w:rPr>
        <w:t>15</w:t>
      </w:r>
      <w:r w:rsidR="00A954D0">
        <w:rPr>
          <w:rFonts w:ascii="Bookman Old Style" w:hAnsi="Bookman Old Style" w:cs="Arial"/>
          <w:sz w:val="24"/>
          <w:szCs w:val="24"/>
        </w:rPr>
        <w:t xml:space="preserve"> </w:t>
      </w:r>
      <w:r w:rsidRPr="00901014">
        <w:rPr>
          <w:rFonts w:ascii="Bookman Old Style" w:hAnsi="Bookman Old Style" w:cs="Arial"/>
          <w:sz w:val="24"/>
          <w:szCs w:val="24"/>
        </w:rPr>
        <w:t>Tahun</w:t>
      </w:r>
      <w:r w:rsidR="00A954D0">
        <w:rPr>
          <w:rFonts w:ascii="Bookman Old Style" w:hAnsi="Bookman Old Style" w:cs="Arial"/>
          <w:sz w:val="24"/>
          <w:szCs w:val="24"/>
        </w:rPr>
        <w:t xml:space="preserve"> </w:t>
      </w:r>
      <w:r w:rsidRPr="00901014">
        <w:rPr>
          <w:rFonts w:ascii="Bookman Old Style" w:hAnsi="Bookman Old Style" w:cs="Arial"/>
          <w:sz w:val="24"/>
          <w:szCs w:val="24"/>
        </w:rPr>
        <w:t>202</w:t>
      </w:r>
      <w:r w:rsidRPr="003255BC">
        <w:rPr>
          <w:rFonts w:ascii="Bookman Old Style" w:hAnsi="Bookman Old Style" w:cs="Arial"/>
          <w:sz w:val="24"/>
          <w:szCs w:val="24"/>
          <w:lang w:val="sv-FI"/>
        </w:rPr>
        <w:t>4</w:t>
      </w:r>
      <w:r w:rsidRPr="00901014">
        <w:rPr>
          <w:rFonts w:ascii="Bookman Old Style" w:hAnsi="Bookman Old Style"/>
          <w:sz w:val="24"/>
          <w:szCs w:val="24"/>
        </w:rPr>
        <w:t>.</w:t>
      </w:r>
    </w:p>
    <w:p w14:paraId="3DDE1EA0" w14:textId="131DF3A0" w:rsidR="003B7FE4" w:rsidRPr="00901014" w:rsidRDefault="003B7FE4" w:rsidP="0065744F">
      <w:pPr>
        <w:pStyle w:val="ListParagraph"/>
        <w:snapToGrid w:val="0"/>
        <w:spacing w:before="60" w:after="0" w:line="276" w:lineRule="auto"/>
        <w:ind w:left="3261"/>
        <w:contextualSpacing w:val="0"/>
        <w:jc w:val="both"/>
        <w:rPr>
          <w:rFonts w:ascii="Bookman Old Style" w:hAnsi="Bookman Old Style"/>
          <w:sz w:val="24"/>
          <w:szCs w:val="24"/>
        </w:rPr>
      </w:pPr>
      <w:r w:rsidRPr="00901014">
        <w:rPr>
          <w:rFonts w:ascii="Bookman Old Style" w:hAnsi="Bookman Old Style"/>
          <w:sz w:val="24"/>
          <w:szCs w:val="24"/>
          <w:lang w:val="en-US"/>
        </w:rPr>
        <w:t>D</w:t>
      </w:r>
      <w:r w:rsidRPr="00901014">
        <w:rPr>
          <w:rFonts w:ascii="Bookman Old Style" w:hAnsi="Bookman Old Style"/>
          <w:sz w:val="24"/>
          <w:szCs w:val="24"/>
        </w:rPr>
        <w:t>alam</w:t>
      </w:r>
      <w:r w:rsidR="00A954D0">
        <w:rPr>
          <w:rFonts w:ascii="Bookman Old Style" w:hAnsi="Bookman Old Style"/>
          <w:sz w:val="24"/>
          <w:szCs w:val="24"/>
        </w:rPr>
        <w:t xml:space="preserve"> </w:t>
      </w:r>
      <w:r w:rsidRPr="00901014">
        <w:rPr>
          <w:rFonts w:ascii="Bookman Old Style" w:hAnsi="Bookman Old Style"/>
          <w:sz w:val="24"/>
          <w:szCs w:val="24"/>
        </w:rPr>
        <w:t>hal</w:t>
      </w:r>
      <w:r w:rsidR="00A954D0">
        <w:rPr>
          <w:rFonts w:ascii="Bookman Old Style" w:hAnsi="Bookman Old Style"/>
          <w:sz w:val="24"/>
          <w:szCs w:val="24"/>
        </w:rPr>
        <w:t xml:space="preserve"> </w:t>
      </w:r>
      <w:r w:rsidRPr="00901014">
        <w:rPr>
          <w:rFonts w:ascii="Bookman Old Style" w:hAnsi="Bookman Old Style"/>
          <w:sz w:val="24"/>
          <w:szCs w:val="24"/>
        </w:rPr>
        <w:t>pendidikan</w:t>
      </w:r>
      <w:r w:rsidR="00A954D0">
        <w:rPr>
          <w:rFonts w:ascii="Bookman Old Style" w:hAnsi="Bookman Old Style"/>
          <w:sz w:val="24"/>
          <w:szCs w:val="24"/>
        </w:rPr>
        <w:t xml:space="preserve"> </w:t>
      </w:r>
      <w:r w:rsidRPr="00901014">
        <w:rPr>
          <w:rFonts w:ascii="Bookman Old Style" w:hAnsi="Bookman Old Style"/>
          <w:sz w:val="24"/>
          <w:szCs w:val="24"/>
        </w:rPr>
        <w:t>dan</w:t>
      </w:r>
      <w:r w:rsidR="00A954D0">
        <w:rPr>
          <w:rFonts w:ascii="Bookman Old Style" w:hAnsi="Bookman Old Style"/>
          <w:sz w:val="24"/>
          <w:szCs w:val="24"/>
        </w:rPr>
        <w:t xml:space="preserve"> </w:t>
      </w:r>
      <w:r w:rsidRPr="00901014">
        <w:rPr>
          <w:rFonts w:ascii="Bookman Old Style" w:hAnsi="Bookman Old Style"/>
          <w:sz w:val="24"/>
          <w:szCs w:val="24"/>
        </w:rPr>
        <w:t>pelatihan,</w:t>
      </w:r>
      <w:r w:rsidR="00A954D0">
        <w:rPr>
          <w:rFonts w:ascii="Bookman Old Style" w:hAnsi="Bookman Old Style"/>
          <w:sz w:val="24"/>
          <w:szCs w:val="24"/>
        </w:rPr>
        <w:t xml:space="preserve"> </w:t>
      </w:r>
      <w:r w:rsidRPr="00901014">
        <w:rPr>
          <w:rFonts w:ascii="Bookman Old Style" w:hAnsi="Bookman Old Style"/>
          <w:sz w:val="24"/>
          <w:szCs w:val="24"/>
        </w:rPr>
        <w:t>bimbingan</w:t>
      </w:r>
      <w:r w:rsidR="00A954D0">
        <w:rPr>
          <w:rFonts w:ascii="Bookman Old Style" w:hAnsi="Bookman Old Style"/>
          <w:sz w:val="24"/>
          <w:szCs w:val="24"/>
        </w:rPr>
        <w:t xml:space="preserve"> </w:t>
      </w:r>
      <w:r w:rsidRPr="00901014">
        <w:rPr>
          <w:rFonts w:ascii="Bookman Old Style" w:hAnsi="Bookman Old Style"/>
          <w:sz w:val="24"/>
          <w:szCs w:val="24"/>
        </w:rPr>
        <w:t>teknis</w:t>
      </w:r>
      <w:r w:rsidR="00A954D0">
        <w:rPr>
          <w:rFonts w:ascii="Bookman Old Style" w:hAnsi="Bookman Old Style"/>
          <w:sz w:val="24"/>
          <w:szCs w:val="24"/>
        </w:rPr>
        <w:t xml:space="preserve"> </w:t>
      </w:r>
      <w:r w:rsidRPr="00901014">
        <w:rPr>
          <w:rFonts w:ascii="Bookman Old Style" w:hAnsi="Bookman Old Style"/>
          <w:sz w:val="24"/>
          <w:szCs w:val="24"/>
        </w:rPr>
        <w:t>atau</w:t>
      </w:r>
      <w:r w:rsidR="00A954D0">
        <w:rPr>
          <w:rFonts w:ascii="Bookman Old Style" w:hAnsi="Bookman Old Style"/>
          <w:sz w:val="24"/>
          <w:szCs w:val="24"/>
        </w:rPr>
        <w:t xml:space="preserve"> </w:t>
      </w:r>
      <w:r w:rsidRPr="00901014">
        <w:rPr>
          <w:rFonts w:ascii="Bookman Old Style" w:hAnsi="Bookman Old Style"/>
          <w:sz w:val="24"/>
          <w:szCs w:val="24"/>
        </w:rPr>
        <w:t>sejenisnya</w:t>
      </w:r>
      <w:r w:rsidR="00A954D0">
        <w:rPr>
          <w:rFonts w:ascii="Bookman Old Style" w:hAnsi="Bookman Old Style"/>
          <w:sz w:val="24"/>
          <w:szCs w:val="24"/>
        </w:rPr>
        <w:t xml:space="preserve"> </w:t>
      </w:r>
      <w:r w:rsidRPr="00901014">
        <w:rPr>
          <w:rFonts w:ascii="Bookman Old Style" w:hAnsi="Bookman Old Style"/>
          <w:sz w:val="24"/>
          <w:szCs w:val="24"/>
        </w:rPr>
        <w:t>tersebut</w:t>
      </w:r>
      <w:r w:rsidR="00A954D0">
        <w:rPr>
          <w:rFonts w:ascii="Bookman Old Style" w:hAnsi="Bookman Old Style"/>
          <w:sz w:val="24"/>
          <w:szCs w:val="24"/>
        </w:rPr>
        <w:t xml:space="preserve"> </w:t>
      </w:r>
      <w:r w:rsidRPr="00901014">
        <w:rPr>
          <w:rFonts w:ascii="Bookman Old Style" w:hAnsi="Bookman Old Style"/>
          <w:sz w:val="24"/>
          <w:szCs w:val="24"/>
        </w:rPr>
        <w:t>diselenggarakan</w:t>
      </w:r>
      <w:r w:rsidR="00A954D0">
        <w:rPr>
          <w:rFonts w:ascii="Bookman Old Style" w:hAnsi="Bookman Old Style"/>
          <w:sz w:val="24"/>
          <w:szCs w:val="24"/>
        </w:rPr>
        <w:t xml:space="preserve"> </w:t>
      </w:r>
      <w:r w:rsidRPr="00901014">
        <w:rPr>
          <w:rFonts w:ascii="Bookman Old Style" w:hAnsi="Bookman Old Style"/>
          <w:sz w:val="24"/>
          <w:szCs w:val="24"/>
        </w:rPr>
        <w:t>di</w:t>
      </w:r>
      <w:r w:rsidR="00A954D0">
        <w:rPr>
          <w:rFonts w:ascii="Bookman Old Style" w:hAnsi="Bookman Old Style"/>
          <w:sz w:val="24"/>
          <w:szCs w:val="24"/>
        </w:rPr>
        <w:t xml:space="preserve"> </w:t>
      </w:r>
      <w:r w:rsidRPr="00901014">
        <w:rPr>
          <w:rFonts w:ascii="Bookman Old Style" w:hAnsi="Bookman Old Style"/>
          <w:sz w:val="24"/>
          <w:szCs w:val="24"/>
        </w:rPr>
        <w:t>luar</w:t>
      </w:r>
      <w:r w:rsidR="00A954D0">
        <w:rPr>
          <w:rFonts w:ascii="Bookman Old Style" w:hAnsi="Bookman Old Style"/>
          <w:sz w:val="24"/>
          <w:szCs w:val="24"/>
        </w:rPr>
        <w:t xml:space="preserve"> </w:t>
      </w:r>
      <w:r w:rsidRPr="00901014">
        <w:rPr>
          <w:rFonts w:ascii="Bookman Old Style" w:hAnsi="Bookman Old Style"/>
          <w:sz w:val="24"/>
          <w:szCs w:val="24"/>
        </w:rPr>
        <w:t>daerah</w:t>
      </w:r>
      <w:r w:rsidR="00A954D0">
        <w:rPr>
          <w:rFonts w:ascii="Bookman Old Style" w:hAnsi="Bookman Old Style"/>
          <w:sz w:val="24"/>
          <w:szCs w:val="24"/>
        </w:rPr>
        <w:t xml:space="preserve"> </w:t>
      </w:r>
      <w:r w:rsidRPr="00901014">
        <w:rPr>
          <w:rFonts w:ascii="Bookman Old Style" w:hAnsi="Bookman Old Style"/>
          <w:sz w:val="24"/>
          <w:szCs w:val="24"/>
        </w:rPr>
        <w:t>harus</w:t>
      </w:r>
      <w:r w:rsidR="00A954D0">
        <w:rPr>
          <w:rFonts w:ascii="Bookman Old Style" w:hAnsi="Bookman Old Style"/>
          <w:sz w:val="24"/>
          <w:szCs w:val="24"/>
        </w:rPr>
        <w:t xml:space="preserve"> </w:t>
      </w:r>
      <w:r w:rsidRPr="00901014">
        <w:rPr>
          <w:rFonts w:ascii="Bookman Old Style" w:hAnsi="Bookman Old Style"/>
          <w:sz w:val="24"/>
          <w:szCs w:val="24"/>
        </w:rPr>
        <w:lastRenderedPageBreak/>
        <w:t>dilakukan</w:t>
      </w:r>
      <w:r w:rsidR="00A954D0">
        <w:rPr>
          <w:rFonts w:ascii="Bookman Old Style" w:hAnsi="Bookman Old Style"/>
          <w:sz w:val="24"/>
          <w:szCs w:val="24"/>
        </w:rPr>
        <w:t xml:space="preserve"> </w:t>
      </w:r>
      <w:r w:rsidRPr="00901014">
        <w:rPr>
          <w:rFonts w:ascii="Bookman Old Style" w:hAnsi="Bookman Old Style"/>
          <w:sz w:val="24"/>
          <w:szCs w:val="24"/>
        </w:rPr>
        <w:t>secara</w:t>
      </w:r>
      <w:r w:rsidR="00A954D0">
        <w:rPr>
          <w:rFonts w:ascii="Bookman Old Style" w:hAnsi="Bookman Old Style"/>
          <w:sz w:val="24"/>
          <w:szCs w:val="24"/>
        </w:rPr>
        <w:t xml:space="preserve"> </w:t>
      </w:r>
      <w:r w:rsidRPr="00901014">
        <w:rPr>
          <w:rFonts w:ascii="Bookman Old Style" w:hAnsi="Bookman Old Style"/>
          <w:sz w:val="24"/>
          <w:szCs w:val="24"/>
        </w:rPr>
        <w:t>sangat</w:t>
      </w:r>
      <w:r w:rsidR="00A954D0">
        <w:rPr>
          <w:rFonts w:ascii="Bookman Old Style" w:hAnsi="Bookman Old Style"/>
          <w:sz w:val="24"/>
          <w:szCs w:val="24"/>
        </w:rPr>
        <w:t xml:space="preserve"> </w:t>
      </w:r>
      <w:r w:rsidRPr="00901014">
        <w:rPr>
          <w:rFonts w:ascii="Bookman Old Style" w:hAnsi="Bookman Old Style"/>
          <w:sz w:val="24"/>
          <w:szCs w:val="24"/>
        </w:rPr>
        <w:t>selektif</w:t>
      </w:r>
      <w:r w:rsidR="00A954D0">
        <w:rPr>
          <w:rFonts w:ascii="Bookman Old Style" w:hAnsi="Bookman Old Style"/>
          <w:sz w:val="24"/>
          <w:szCs w:val="24"/>
        </w:rPr>
        <w:t xml:space="preserve"> </w:t>
      </w:r>
      <w:r w:rsidRPr="00901014">
        <w:rPr>
          <w:rFonts w:ascii="Bookman Old Style" w:hAnsi="Bookman Old Style"/>
          <w:sz w:val="24"/>
          <w:szCs w:val="24"/>
        </w:rPr>
        <w:t>dengan</w:t>
      </w:r>
      <w:r w:rsidR="00A954D0">
        <w:rPr>
          <w:rFonts w:ascii="Bookman Old Style" w:hAnsi="Bookman Old Style"/>
          <w:sz w:val="24"/>
          <w:szCs w:val="24"/>
        </w:rPr>
        <w:t xml:space="preserve"> </w:t>
      </w:r>
      <w:r w:rsidRPr="00901014">
        <w:rPr>
          <w:rFonts w:ascii="Bookman Old Style" w:hAnsi="Bookman Old Style"/>
          <w:sz w:val="24"/>
          <w:szCs w:val="24"/>
        </w:rPr>
        <w:t>mempertimbangkan</w:t>
      </w:r>
      <w:r w:rsidR="00A954D0">
        <w:rPr>
          <w:rFonts w:ascii="Bookman Old Style" w:hAnsi="Bookman Old Style"/>
          <w:sz w:val="24"/>
          <w:szCs w:val="24"/>
        </w:rPr>
        <w:t xml:space="preserve"> </w:t>
      </w:r>
      <w:r w:rsidRPr="00901014">
        <w:rPr>
          <w:rFonts w:ascii="Bookman Old Style" w:hAnsi="Bookman Old Style"/>
          <w:sz w:val="24"/>
          <w:szCs w:val="24"/>
        </w:rPr>
        <w:t>aspek-aspek</w:t>
      </w:r>
      <w:r w:rsidR="00A954D0">
        <w:rPr>
          <w:rFonts w:ascii="Bookman Old Style" w:hAnsi="Bookman Old Style"/>
          <w:sz w:val="24"/>
          <w:szCs w:val="24"/>
        </w:rPr>
        <w:t xml:space="preserve"> </w:t>
      </w:r>
      <w:r w:rsidRPr="00901014">
        <w:rPr>
          <w:rFonts w:ascii="Bookman Old Style" w:hAnsi="Bookman Old Style"/>
          <w:sz w:val="24"/>
          <w:szCs w:val="24"/>
        </w:rPr>
        <w:t>urgensi,</w:t>
      </w:r>
      <w:r w:rsidR="00A954D0">
        <w:rPr>
          <w:rFonts w:ascii="Bookman Old Style" w:hAnsi="Bookman Old Style"/>
          <w:sz w:val="24"/>
          <w:szCs w:val="24"/>
        </w:rPr>
        <w:t xml:space="preserve"> </w:t>
      </w:r>
      <w:r w:rsidRPr="00901014">
        <w:rPr>
          <w:rFonts w:ascii="Bookman Old Style" w:hAnsi="Bookman Old Style"/>
          <w:sz w:val="24"/>
          <w:szCs w:val="24"/>
        </w:rPr>
        <w:t>kualitas</w:t>
      </w:r>
      <w:r w:rsidR="00A954D0">
        <w:rPr>
          <w:rFonts w:ascii="Bookman Old Style" w:hAnsi="Bookman Old Style"/>
          <w:sz w:val="24"/>
          <w:szCs w:val="24"/>
        </w:rPr>
        <w:t xml:space="preserve"> </w:t>
      </w:r>
      <w:r w:rsidRPr="00901014">
        <w:rPr>
          <w:rFonts w:ascii="Bookman Old Style" w:hAnsi="Bookman Old Style"/>
          <w:sz w:val="24"/>
          <w:szCs w:val="24"/>
        </w:rPr>
        <w:t>penyelenggaraan,</w:t>
      </w:r>
      <w:r w:rsidR="00A954D0">
        <w:rPr>
          <w:rFonts w:ascii="Bookman Old Style" w:hAnsi="Bookman Old Style"/>
          <w:sz w:val="24"/>
          <w:szCs w:val="24"/>
        </w:rPr>
        <w:t xml:space="preserve"> </w:t>
      </w:r>
      <w:r w:rsidRPr="00901014">
        <w:rPr>
          <w:rFonts w:ascii="Bookman Old Style" w:hAnsi="Bookman Old Style"/>
          <w:sz w:val="24"/>
          <w:szCs w:val="24"/>
        </w:rPr>
        <w:t>muatan</w:t>
      </w:r>
      <w:r w:rsidR="00A954D0">
        <w:rPr>
          <w:rFonts w:ascii="Bookman Old Style" w:hAnsi="Bookman Old Style"/>
          <w:sz w:val="24"/>
          <w:szCs w:val="24"/>
        </w:rPr>
        <w:t xml:space="preserve"> </w:t>
      </w:r>
      <w:r w:rsidRPr="00901014">
        <w:rPr>
          <w:rFonts w:ascii="Bookman Old Style" w:hAnsi="Bookman Old Style"/>
          <w:sz w:val="24"/>
          <w:szCs w:val="24"/>
        </w:rPr>
        <w:t>substansi,</w:t>
      </w:r>
      <w:r w:rsidR="00A954D0">
        <w:rPr>
          <w:rFonts w:ascii="Bookman Old Style" w:hAnsi="Bookman Old Style"/>
          <w:sz w:val="24"/>
          <w:szCs w:val="24"/>
        </w:rPr>
        <w:t xml:space="preserve"> </w:t>
      </w:r>
      <w:r w:rsidRPr="00901014">
        <w:rPr>
          <w:rFonts w:ascii="Bookman Old Style" w:hAnsi="Bookman Old Style"/>
          <w:sz w:val="24"/>
          <w:szCs w:val="24"/>
        </w:rPr>
        <w:t>kompetensi</w:t>
      </w:r>
      <w:r w:rsidR="00A954D0">
        <w:rPr>
          <w:rFonts w:ascii="Bookman Old Style" w:hAnsi="Bookman Old Style"/>
          <w:sz w:val="24"/>
          <w:szCs w:val="24"/>
        </w:rPr>
        <w:t xml:space="preserve"> </w:t>
      </w:r>
      <w:r w:rsidRPr="00901014">
        <w:rPr>
          <w:rFonts w:ascii="Bookman Old Style" w:hAnsi="Bookman Old Style"/>
          <w:sz w:val="24"/>
          <w:szCs w:val="24"/>
        </w:rPr>
        <w:t>narasumber,</w:t>
      </w:r>
      <w:r w:rsidR="00A954D0">
        <w:rPr>
          <w:rFonts w:ascii="Bookman Old Style" w:hAnsi="Bookman Old Style"/>
          <w:sz w:val="24"/>
          <w:szCs w:val="24"/>
        </w:rPr>
        <w:t xml:space="preserve"> </w:t>
      </w:r>
      <w:r w:rsidRPr="00901014">
        <w:rPr>
          <w:rFonts w:ascii="Bookman Old Style" w:hAnsi="Bookman Old Style"/>
          <w:sz w:val="24"/>
          <w:szCs w:val="24"/>
        </w:rPr>
        <w:t>kualitas</w:t>
      </w:r>
      <w:r w:rsidR="00A954D0">
        <w:rPr>
          <w:rFonts w:ascii="Bookman Old Style" w:hAnsi="Bookman Old Style"/>
          <w:sz w:val="24"/>
          <w:szCs w:val="24"/>
        </w:rPr>
        <w:t xml:space="preserve"> </w:t>
      </w:r>
      <w:r w:rsidRPr="00901014">
        <w:rPr>
          <w:rFonts w:ascii="Bookman Old Style" w:hAnsi="Bookman Old Style"/>
          <w:sz w:val="24"/>
          <w:szCs w:val="24"/>
        </w:rPr>
        <w:t>advokasi</w:t>
      </w:r>
      <w:r w:rsidR="00A954D0">
        <w:rPr>
          <w:rFonts w:ascii="Bookman Old Style" w:hAnsi="Bookman Old Style"/>
          <w:sz w:val="24"/>
          <w:szCs w:val="24"/>
        </w:rPr>
        <w:t xml:space="preserve"> </w:t>
      </w:r>
      <w:r w:rsidRPr="00901014">
        <w:rPr>
          <w:rFonts w:ascii="Bookman Old Style" w:hAnsi="Bookman Old Style"/>
          <w:sz w:val="24"/>
          <w:szCs w:val="24"/>
        </w:rPr>
        <w:t>dan</w:t>
      </w:r>
      <w:r w:rsidR="00A954D0">
        <w:rPr>
          <w:rFonts w:ascii="Bookman Old Style" w:hAnsi="Bookman Old Style"/>
          <w:sz w:val="24"/>
          <w:szCs w:val="24"/>
        </w:rPr>
        <w:t xml:space="preserve"> </w:t>
      </w:r>
      <w:r w:rsidRPr="00901014">
        <w:rPr>
          <w:rFonts w:ascii="Bookman Old Style" w:hAnsi="Bookman Old Style"/>
          <w:sz w:val="24"/>
          <w:szCs w:val="24"/>
        </w:rPr>
        <w:t>pelayanan</w:t>
      </w:r>
      <w:r w:rsidR="00A954D0">
        <w:rPr>
          <w:rFonts w:ascii="Bookman Old Style" w:hAnsi="Bookman Old Style"/>
          <w:sz w:val="24"/>
          <w:szCs w:val="24"/>
        </w:rPr>
        <w:t xml:space="preserve"> </w:t>
      </w:r>
      <w:r w:rsidRPr="00901014">
        <w:rPr>
          <w:rFonts w:ascii="Bookman Old Style" w:hAnsi="Bookman Old Style"/>
          <w:sz w:val="24"/>
          <w:szCs w:val="24"/>
        </w:rPr>
        <w:t>penyelenggara</w:t>
      </w:r>
      <w:r w:rsidR="00A954D0">
        <w:rPr>
          <w:rFonts w:ascii="Bookman Old Style" w:hAnsi="Bookman Old Style"/>
          <w:sz w:val="24"/>
          <w:szCs w:val="24"/>
        </w:rPr>
        <w:t xml:space="preserve"> </w:t>
      </w:r>
      <w:r w:rsidRPr="00901014">
        <w:rPr>
          <w:rFonts w:ascii="Bookman Old Style" w:hAnsi="Bookman Old Style"/>
          <w:sz w:val="24"/>
          <w:szCs w:val="24"/>
        </w:rPr>
        <w:t>serta</w:t>
      </w:r>
      <w:r w:rsidR="00A954D0">
        <w:rPr>
          <w:rFonts w:ascii="Bookman Old Style" w:hAnsi="Bookman Old Style"/>
          <w:sz w:val="24"/>
          <w:szCs w:val="24"/>
        </w:rPr>
        <w:t xml:space="preserve"> </w:t>
      </w:r>
      <w:r w:rsidRPr="00901014">
        <w:rPr>
          <w:rFonts w:ascii="Bookman Old Style" w:hAnsi="Bookman Old Style"/>
          <w:sz w:val="24"/>
          <w:szCs w:val="24"/>
        </w:rPr>
        <w:t>manfaat</w:t>
      </w:r>
      <w:r w:rsidR="00A954D0">
        <w:rPr>
          <w:rFonts w:ascii="Bookman Old Style" w:hAnsi="Bookman Old Style"/>
          <w:sz w:val="24"/>
          <w:szCs w:val="24"/>
        </w:rPr>
        <w:t xml:space="preserve"> </w:t>
      </w:r>
      <w:r w:rsidRPr="00901014">
        <w:rPr>
          <w:rFonts w:ascii="Bookman Old Style" w:hAnsi="Bookman Old Style"/>
          <w:sz w:val="24"/>
          <w:szCs w:val="24"/>
        </w:rPr>
        <w:t>yang</w:t>
      </w:r>
      <w:r w:rsidR="00A954D0">
        <w:rPr>
          <w:rFonts w:ascii="Bookman Old Style" w:hAnsi="Bookman Old Style"/>
          <w:sz w:val="24"/>
          <w:szCs w:val="24"/>
        </w:rPr>
        <w:t xml:space="preserve"> </w:t>
      </w:r>
      <w:r w:rsidRPr="00901014">
        <w:rPr>
          <w:rFonts w:ascii="Bookman Old Style" w:hAnsi="Bookman Old Style"/>
          <w:sz w:val="24"/>
          <w:szCs w:val="24"/>
        </w:rPr>
        <w:t>diperoleh</w:t>
      </w:r>
      <w:r w:rsidR="00A954D0">
        <w:rPr>
          <w:rFonts w:ascii="Bookman Old Style" w:hAnsi="Bookman Old Style"/>
          <w:sz w:val="24"/>
          <w:szCs w:val="24"/>
        </w:rPr>
        <w:t xml:space="preserve"> </w:t>
      </w:r>
      <w:r w:rsidRPr="00901014">
        <w:rPr>
          <w:rFonts w:ascii="Bookman Old Style" w:hAnsi="Bookman Old Style"/>
          <w:sz w:val="24"/>
          <w:szCs w:val="24"/>
        </w:rPr>
        <w:t>dari</w:t>
      </w:r>
      <w:r w:rsidR="00A954D0">
        <w:rPr>
          <w:rFonts w:ascii="Bookman Old Style" w:hAnsi="Bookman Old Style"/>
          <w:sz w:val="24"/>
          <w:szCs w:val="24"/>
        </w:rPr>
        <w:t xml:space="preserve"> </w:t>
      </w:r>
      <w:r w:rsidRPr="00901014">
        <w:rPr>
          <w:rFonts w:ascii="Bookman Old Style" w:hAnsi="Bookman Old Style"/>
          <w:sz w:val="24"/>
          <w:szCs w:val="24"/>
        </w:rPr>
        <w:t>kehadiran</w:t>
      </w:r>
      <w:r w:rsidR="00A954D0">
        <w:rPr>
          <w:rFonts w:ascii="Bookman Old Style" w:hAnsi="Bookman Old Style"/>
          <w:sz w:val="24"/>
          <w:szCs w:val="24"/>
        </w:rPr>
        <w:t xml:space="preserve"> </w:t>
      </w:r>
      <w:r w:rsidRPr="00901014">
        <w:rPr>
          <w:rFonts w:ascii="Bookman Old Style" w:hAnsi="Bookman Old Style"/>
          <w:sz w:val="24"/>
          <w:szCs w:val="24"/>
        </w:rPr>
        <w:t>dalam</w:t>
      </w:r>
      <w:r w:rsidR="00A954D0">
        <w:rPr>
          <w:rFonts w:ascii="Bookman Old Style" w:hAnsi="Bookman Old Style"/>
          <w:sz w:val="24"/>
          <w:szCs w:val="24"/>
        </w:rPr>
        <w:t xml:space="preserve"> </w:t>
      </w:r>
      <w:r w:rsidRPr="00901014">
        <w:rPr>
          <w:rFonts w:ascii="Bookman Old Style" w:hAnsi="Bookman Old Style"/>
          <w:sz w:val="24"/>
          <w:szCs w:val="24"/>
        </w:rPr>
        <w:t>pendidikan</w:t>
      </w:r>
      <w:r w:rsidR="00A954D0">
        <w:rPr>
          <w:rFonts w:ascii="Bookman Old Style" w:hAnsi="Bookman Old Style"/>
          <w:sz w:val="24"/>
          <w:szCs w:val="24"/>
        </w:rPr>
        <w:t xml:space="preserve"> </w:t>
      </w:r>
      <w:r w:rsidRPr="00901014">
        <w:rPr>
          <w:rFonts w:ascii="Bookman Old Style" w:hAnsi="Bookman Old Style"/>
          <w:sz w:val="24"/>
          <w:szCs w:val="24"/>
        </w:rPr>
        <w:t>dan</w:t>
      </w:r>
      <w:r w:rsidR="00A954D0">
        <w:rPr>
          <w:rFonts w:ascii="Bookman Old Style" w:hAnsi="Bookman Old Style"/>
          <w:sz w:val="24"/>
          <w:szCs w:val="24"/>
        </w:rPr>
        <w:t xml:space="preserve"> </w:t>
      </w:r>
      <w:r w:rsidRPr="00901014">
        <w:rPr>
          <w:rFonts w:ascii="Bookman Old Style" w:hAnsi="Bookman Old Style"/>
          <w:sz w:val="24"/>
          <w:szCs w:val="24"/>
        </w:rPr>
        <w:t>pelatihan,</w:t>
      </w:r>
      <w:r w:rsidR="00A954D0">
        <w:rPr>
          <w:rFonts w:ascii="Bookman Old Style" w:hAnsi="Bookman Old Style"/>
          <w:sz w:val="24"/>
          <w:szCs w:val="24"/>
        </w:rPr>
        <w:t xml:space="preserve"> </w:t>
      </w:r>
      <w:r w:rsidRPr="00901014">
        <w:rPr>
          <w:rFonts w:ascii="Bookman Old Style" w:hAnsi="Bookman Old Style"/>
          <w:sz w:val="24"/>
          <w:szCs w:val="24"/>
        </w:rPr>
        <w:t>bimbingan</w:t>
      </w:r>
      <w:r w:rsidR="00A954D0">
        <w:rPr>
          <w:rFonts w:ascii="Bookman Old Style" w:hAnsi="Bookman Old Style"/>
          <w:sz w:val="24"/>
          <w:szCs w:val="24"/>
        </w:rPr>
        <w:t xml:space="preserve"> </w:t>
      </w:r>
      <w:r w:rsidRPr="00901014">
        <w:rPr>
          <w:rFonts w:ascii="Bookman Old Style" w:hAnsi="Bookman Old Style"/>
          <w:sz w:val="24"/>
          <w:szCs w:val="24"/>
        </w:rPr>
        <w:t>teknis</w:t>
      </w:r>
      <w:r w:rsidR="00A954D0">
        <w:rPr>
          <w:rFonts w:ascii="Bookman Old Style" w:hAnsi="Bookman Old Style"/>
          <w:sz w:val="24"/>
          <w:szCs w:val="24"/>
        </w:rPr>
        <w:t xml:space="preserve"> </w:t>
      </w:r>
      <w:r w:rsidRPr="00901014">
        <w:rPr>
          <w:rFonts w:ascii="Bookman Old Style" w:hAnsi="Bookman Old Style"/>
          <w:sz w:val="24"/>
          <w:szCs w:val="24"/>
        </w:rPr>
        <w:t>atau</w:t>
      </w:r>
      <w:r w:rsidR="00A954D0">
        <w:rPr>
          <w:rFonts w:ascii="Bookman Old Style" w:hAnsi="Bookman Old Style"/>
          <w:sz w:val="24"/>
          <w:szCs w:val="24"/>
        </w:rPr>
        <w:t xml:space="preserve"> </w:t>
      </w:r>
      <w:r w:rsidRPr="00901014">
        <w:rPr>
          <w:rFonts w:ascii="Bookman Old Style" w:hAnsi="Bookman Old Style"/>
          <w:sz w:val="24"/>
          <w:szCs w:val="24"/>
        </w:rPr>
        <w:t>sejenisnya</w:t>
      </w:r>
      <w:r w:rsidR="00A954D0">
        <w:rPr>
          <w:rFonts w:ascii="Bookman Old Style" w:hAnsi="Bookman Old Style"/>
          <w:sz w:val="24"/>
          <w:szCs w:val="24"/>
        </w:rPr>
        <w:t xml:space="preserve"> </w:t>
      </w:r>
      <w:r w:rsidRPr="00901014">
        <w:rPr>
          <w:rFonts w:ascii="Bookman Old Style" w:hAnsi="Bookman Old Style"/>
          <w:sz w:val="24"/>
          <w:szCs w:val="24"/>
        </w:rPr>
        <w:t>guna</w:t>
      </w:r>
      <w:r w:rsidR="00A954D0">
        <w:rPr>
          <w:rFonts w:ascii="Bookman Old Style" w:hAnsi="Bookman Old Style"/>
          <w:sz w:val="24"/>
          <w:szCs w:val="24"/>
        </w:rPr>
        <w:t xml:space="preserve"> </w:t>
      </w:r>
      <w:r w:rsidRPr="00901014">
        <w:rPr>
          <w:rFonts w:ascii="Bookman Old Style" w:hAnsi="Bookman Old Style"/>
          <w:sz w:val="24"/>
          <w:szCs w:val="24"/>
        </w:rPr>
        <w:t>efektivitas</w:t>
      </w:r>
      <w:r w:rsidR="00A954D0">
        <w:rPr>
          <w:rFonts w:ascii="Bookman Old Style" w:hAnsi="Bookman Old Style"/>
          <w:sz w:val="24"/>
          <w:szCs w:val="24"/>
        </w:rPr>
        <w:t xml:space="preserve"> </w:t>
      </w:r>
      <w:r w:rsidRPr="00901014">
        <w:rPr>
          <w:rFonts w:ascii="Bookman Old Style" w:hAnsi="Bookman Old Style"/>
          <w:sz w:val="24"/>
          <w:szCs w:val="24"/>
        </w:rPr>
        <w:t>penggunaan</w:t>
      </w:r>
      <w:r w:rsidR="00A954D0">
        <w:rPr>
          <w:rFonts w:ascii="Bookman Old Style" w:hAnsi="Bookman Old Style"/>
          <w:sz w:val="24"/>
          <w:szCs w:val="24"/>
        </w:rPr>
        <w:t xml:space="preserve"> </w:t>
      </w:r>
      <w:r w:rsidRPr="00901014">
        <w:rPr>
          <w:rFonts w:ascii="Bookman Old Style" w:hAnsi="Bookman Old Style"/>
          <w:sz w:val="24"/>
          <w:szCs w:val="24"/>
        </w:rPr>
        <w:t>anggaran</w:t>
      </w:r>
      <w:r w:rsidR="00A954D0">
        <w:rPr>
          <w:rFonts w:ascii="Bookman Old Style" w:hAnsi="Bookman Old Style"/>
          <w:sz w:val="24"/>
          <w:szCs w:val="24"/>
        </w:rPr>
        <w:t xml:space="preserve"> </w:t>
      </w:r>
      <w:r w:rsidRPr="00901014">
        <w:rPr>
          <w:rFonts w:ascii="Bookman Old Style" w:hAnsi="Bookman Old Style"/>
          <w:sz w:val="24"/>
          <w:szCs w:val="24"/>
        </w:rPr>
        <w:t>daerah.</w:t>
      </w:r>
    </w:p>
    <w:p w14:paraId="0D49C6EE" w14:textId="3530B84C" w:rsidR="003B7FE4" w:rsidRPr="000500F3" w:rsidRDefault="003B7FE4" w:rsidP="0065744F">
      <w:pPr>
        <w:pStyle w:val="ListParagraph"/>
        <w:snapToGrid w:val="0"/>
        <w:spacing w:before="60" w:after="0" w:line="276" w:lineRule="auto"/>
        <w:ind w:left="3261"/>
        <w:contextualSpacing w:val="0"/>
        <w:jc w:val="both"/>
        <w:rPr>
          <w:rFonts w:ascii="Bookman Old Style" w:hAnsi="Bookman Old Style"/>
          <w:sz w:val="24"/>
          <w:szCs w:val="24"/>
          <w:lang w:val="en-US"/>
        </w:rPr>
      </w:pPr>
      <w:r w:rsidRPr="00901014">
        <w:rPr>
          <w:rFonts w:ascii="Bookman Old Style" w:hAnsi="Bookman Old Style" w:cs="Arial"/>
          <w:sz w:val="24"/>
          <w:szCs w:val="24"/>
          <w:lang w:val="fr-FR"/>
        </w:rPr>
        <w:t>Selanjutnya,</w:t>
      </w:r>
      <w:r w:rsidR="00A954D0">
        <w:rPr>
          <w:rFonts w:ascii="Bookman Old Style" w:hAnsi="Bookman Old Style" w:cs="Arial"/>
          <w:sz w:val="24"/>
          <w:szCs w:val="24"/>
          <w:lang w:val="fr-FR"/>
        </w:rPr>
        <w:t xml:space="preserve"> </w:t>
      </w:r>
      <w:r w:rsidRPr="00901014">
        <w:rPr>
          <w:rFonts w:ascii="Bookman Old Style" w:hAnsi="Bookman Old Style"/>
          <w:sz w:val="24"/>
          <w:szCs w:val="24"/>
          <w:lang w:val="en-US"/>
        </w:rPr>
        <w:t>d</w:t>
      </w:r>
      <w:r w:rsidRPr="00901014">
        <w:rPr>
          <w:rFonts w:ascii="Bookman Old Style" w:hAnsi="Bookman Old Style"/>
          <w:sz w:val="24"/>
          <w:szCs w:val="24"/>
        </w:rPr>
        <w:t>alam</w:t>
      </w:r>
      <w:r w:rsidR="00A954D0">
        <w:rPr>
          <w:rFonts w:ascii="Bookman Old Style" w:hAnsi="Bookman Old Style"/>
          <w:sz w:val="24"/>
          <w:szCs w:val="24"/>
        </w:rPr>
        <w:t xml:space="preserve"> </w:t>
      </w:r>
      <w:r w:rsidRPr="00901014">
        <w:rPr>
          <w:rFonts w:ascii="Bookman Old Style" w:hAnsi="Bookman Old Style"/>
          <w:sz w:val="24"/>
          <w:szCs w:val="24"/>
        </w:rPr>
        <w:t>rangka</w:t>
      </w:r>
      <w:r w:rsidR="00A954D0">
        <w:rPr>
          <w:rFonts w:ascii="Bookman Old Style" w:hAnsi="Bookman Old Style"/>
          <w:sz w:val="24"/>
          <w:szCs w:val="24"/>
        </w:rPr>
        <w:t xml:space="preserve"> </w:t>
      </w:r>
      <w:r w:rsidRPr="00901014">
        <w:rPr>
          <w:rFonts w:ascii="Bookman Old Style" w:hAnsi="Bookman Old Style"/>
          <w:sz w:val="24"/>
          <w:szCs w:val="24"/>
        </w:rPr>
        <w:t>memaksimalkan</w:t>
      </w:r>
      <w:r w:rsidR="00A954D0">
        <w:rPr>
          <w:rFonts w:ascii="Bookman Old Style" w:hAnsi="Bookman Old Style"/>
          <w:sz w:val="24"/>
          <w:szCs w:val="24"/>
        </w:rPr>
        <w:t xml:space="preserve"> </w:t>
      </w:r>
      <w:r w:rsidRPr="00901014">
        <w:rPr>
          <w:rFonts w:ascii="Bookman Old Style" w:hAnsi="Bookman Old Style"/>
          <w:sz w:val="24"/>
          <w:szCs w:val="24"/>
        </w:rPr>
        <w:t>pemanfaatan</w:t>
      </w:r>
      <w:r w:rsidR="00A954D0">
        <w:rPr>
          <w:rFonts w:ascii="Bookman Old Style" w:hAnsi="Bookman Old Style"/>
          <w:sz w:val="24"/>
          <w:szCs w:val="24"/>
        </w:rPr>
        <w:t xml:space="preserve"> </w:t>
      </w:r>
      <w:r w:rsidRPr="00901014">
        <w:rPr>
          <w:rFonts w:ascii="Bookman Old Style" w:hAnsi="Bookman Old Style"/>
          <w:sz w:val="24"/>
          <w:szCs w:val="24"/>
        </w:rPr>
        <w:t>teknologi</w:t>
      </w:r>
      <w:r w:rsidR="00A954D0">
        <w:rPr>
          <w:rFonts w:ascii="Bookman Old Style" w:hAnsi="Bookman Old Style"/>
          <w:sz w:val="24"/>
          <w:szCs w:val="24"/>
        </w:rPr>
        <w:t xml:space="preserve"> </w:t>
      </w:r>
      <w:r w:rsidRPr="00901014">
        <w:rPr>
          <w:rFonts w:ascii="Bookman Old Style" w:hAnsi="Bookman Old Style"/>
          <w:sz w:val="24"/>
          <w:szCs w:val="24"/>
        </w:rPr>
        <w:t>informasi,</w:t>
      </w:r>
      <w:r w:rsidR="00A954D0">
        <w:rPr>
          <w:rFonts w:ascii="Bookman Old Style" w:hAnsi="Bookman Old Style"/>
          <w:sz w:val="24"/>
          <w:szCs w:val="24"/>
        </w:rPr>
        <w:t xml:space="preserve"> </w:t>
      </w:r>
      <w:r w:rsidRPr="00901014">
        <w:rPr>
          <w:rFonts w:ascii="Bookman Old Style" w:hAnsi="Bookman Old Style"/>
          <w:sz w:val="24"/>
          <w:szCs w:val="24"/>
        </w:rPr>
        <w:t>efektivitas,</w:t>
      </w:r>
      <w:r w:rsidR="00A954D0">
        <w:rPr>
          <w:rFonts w:ascii="Bookman Old Style" w:hAnsi="Bookman Old Style"/>
          <w:sz w:val="24"/>
          <w:szCs w:val="24"/>
        </w:rPr>
        <w:t xml:space="preserve"> </w:t>
      </w:r>
      <w:r w:rsidRPr="00901014">
        <w:rPr>
          <w:rFonts w:ascii="Bookman Old Style" w:hAnsi="Bookman Old Style"/>
          <w:sz w:val="24"/>
          <w:szCs w:val="24"/>
        </w:rPr>
        <w:t>dan</w:t>
      </w:r>
      <w:r w:rsidR="00A954D0">
        <w:rPr>
          <w:rFonts w:ascii="Bookman Old Style" w:hAnsi="Bookman Old Style"/>
          <w:sz w:val="24"/>
          <w:szCs w:val="24"/>
        </w:rPr>
        <w:t xml:space="preserve"> </w:t>
      </w:r>
      <w:r w:rsidRPr="00901014">
        <w:rPr>
          <w:rFonts w:ascii="Bookman Old Style" w:hAnsi="Bookman Old Style"/>
          <w:sz w:val="24"/>
          <w:szCs w:val="24"/>
        </w:rPr>
        <w:t>efisiensi</w:t>
      </w:r>
      <w:r w:rsidR="00A954D0">
        <w:rPr>
          <w:rFonts w:ascii="Bookman Old Style" w:hAnsi="Bookman Old Style"/>
          <w:sz w:val="24"/>
          <w:szCs w:val="24"/>
        </w:rPr>
        <w:t xml:space="preserve"> </w:t>
      </w:r>
      <w:r w:rsidRPr="00901014">
        <w:rPr>
          <w:rFonts w:ascii="Bookman Old Style" w:hAnsi="Bookman Old Style"/>
          <w:sz w:val="24"/>
          <w:szCs w:val="24"/>
        </w:rPr>
        <w:t>pendanaan</w:t>
      </w:r>
      <w:r w:rsidR="00A954D0">
        <w:rPr>
          <w:rFonts w:ascii="Bookman Old Style" w:hAnsi="Bookman Old Style"/>
          <w:sz w:val="24"/>
          <w:szCs w:val="24"/>
        </w:rPr>
        <w:t xml:space="preserve"> </w:t>
      </w:r>
      <w:r w:rsidRPr="00901014">
        <w:rPr>
          <w:rFonts w:ascii="Bookman Old Style" w:hAnsi="Bookman Old Style"/>
          <w:sz w:val="24"/>
          <w:szCs w:val="24"/>
        </w:rPr>
        <w:t>penyelenggaraan</w:t>
      </w:r>
      <w:r w:rsidR="00A954D0">
        <w:rPr>
          <w:rFonts w:ascii="Bookman Old Style" w:hAnsi="Bookman Old Style"/>
          <w:sz w:val="24"/>
          <w:szCs w:val="24"/>
        </w:rPr>
        <w:t xml:space="preserve"> </w:t>
      </w:r>
      <w:r w:rsidRPr="00901014">
        <w:rPr>
          <w:rFonts w:ascii="Bookman Old Style" w:hAnsi="Bookman Old Style" w:cs="Arial"/>
          <w:sz w:val="24"/>
          <w:szCs w:val="24"/>
        </w:rPr>
        <w:t>sertifikasi/uji</w:t>
      </w:r>
      <w:r w:rsidR="00A954D0">
        <w:rPr>
          <w:rFonts w:ascii="Bookman Old Style" w:hAnsi="Bookman Old Style" w:cs="Arial"/>
          <w:sz w:val="24"/>
          <w:szCs w:val="24"/>
        </w:rPr>
        <w:t xml:space="preserve"> </w:t>
      </w:r>
      <w:r w:rsidRPr="00901014">
        <w:rPr>
          <w:rFonts w:ascii="Bookman Old Style" w:hAnsi="Bookman Old Style" w:cs="Arial"/>
          <w:sz w:val="24"/>
          <w:szCs w:val="24"/>
        </w:rPr>
        <w:t>kompetensi,</w:t>
      </w:r>
      <w:r w:rsidR="00A954D0">
        <w:rPr>
          <w:rFonts w:ascii="Bookman Old Style" w:hAnsi="Bookman Old Style" w:cs="Arial"/>
          <w:sz w:val="24"/>
          <w:szCs w:val="24"/>
        </w:rPr>
        <w:t xml:space="preserve"> </w:t>
      </w:r>
      <w:r w:rsidRPr="00901014">
        <w:rPr>
          <w:rFonts w:ascii="Bookman Old Style" w:hAnsi="Bookman Old Style" w:cs="Arial"/>
          <w:sz w:val="24"/>
          <w:szCs w:val="24"/>
        </w:rPr>
        <w:t>dan</w:t>
      </w:r>
      <w:r w:rsidR="00A954D0">
        <w:rPr>
          <w:rFonts w:ascii="Bookman Old Style" w:hAnsi="Bookman Old Style" w:cs="Arial"/>
          <w:sz w:val="24"/>
          <w:szCs w:val="24"/>
        </w:rPr>
        <w:t xml:space="preserve"> </w:t>
      </w:r>
      <w:r w:rsidRPr="00901014">
        <w:rPr>
          <w:rFonts w:ascii="Bookman Old Style" w:hAnsi="Bookman Old Style" w:cs="Arial"/>
          <w:sz w:val="24"/>
          <w:szCs w:val="24"/>
        </w:rPr>
        <w:t>pengembangan</w:t>
      </w:r>
      <w:r w:rsidR="00A954D0">
        <w:rPr>
          <w:rFonts w:ascii="Bookman Old Style" w:hAnsi="Bookman Old Style" w:cs="Arial"/>
          <w:sz w:val="24"/>
          <w:szCs w:val="24"/>
        </w:rPr>
        <w:t xml:space="preserve"> </w:t>
      </w:r>
      <w:r w:rsidRPr="00901014">
        <w:rPr>
          <w:rFonts w:ascii="Bookman Old Style" w:hAnsi="Bookman Old Style"/>
          <w:sz w:val="24"/>
          <w:szCs w:val="24"/>
        </w:rPr>
        <w:t>kompetensi</w:t>
      </w:r>
      <w:r w:rsidR="00A954D0">
        <w:rPr>
          <w:rFonts w:ascii="Bookman Old Style" w:hAnsi="Bookman Old Style" w:cs="Arial"/>
          <w:sz w:val="24"/>
          <w:szCs w:val="24"/>
        </w:rPr>
        <w:t xml:space="preserve"> </w:t>
      </w:r>
      <w:r w:rsidRPr="00901014">
        <w:rPr>
          <w:rFonts w:ascii="Bookman Old Style" w:hAnsi="Bookman Old Style" w:cs="Arial"/>
          <w:sz w:val="24"/>
          <w:szCs w:val="24"/>
        </w:rPr>
        <w:t>SDM</w:t>
      </w:r>
      <w:r w:rsidR="00A954D0">
        <w:rPr>
          <w:rFonts w:ascii="Bookman Old Style" w:hAnsi="Bookman Old Style" w:cs="Arial"/>
          <w:sz w:val="24"/>
          <w:szCs w:val="24"/>
        </w:rPr>
        <w:t xml:space="preserve"> </w:t>
      </w:r>
      <w:r w:rsidRPr="00901014">
        <w:rPr>
          <w:rFonts w:ascii="Bookman Old Style" w:hAnsi="Bookman Old Style" w:cs="Arial"/>
          <w:sz w:val="24"/>
          <w:szCs w:val="24"/>
        </w:rPr>
        <w:t>Aparatur</w:t>
      </w:r>
      <w:r w:rsidR="00A954D0">
        <w:rPr>
          <w:rFonts w:ascii="Bookman Old Style" w:hAnsi="Bookman Old Style" w:cs="Arial"/>
          <w:sz w:val="24"/>
          <w:szCs w:val="24"/>
          <w:lang w:val="en-US"/>
        </w:rPr>
        <w:t xml:space="preserve"> </w:t>
      </w:r>
      <w:r w:rsidRPr="00901014">
        <w:rPr>
          <w:rFonts w:ascii="Bookman Old Style" w:hAnsi="Bookman Old Style"/>
          <w:sz w:val="24"/>
          <w:szCs w:val="24"/>
        </w:rPr>
        <w:t>atau</w:t>
      </w:r>
      <w:r w:rsidR="00A954D0">
        <w:rPr>
          <w:rFonts w:ascii="Bookman Old Style" w:hAnsi="Bookman Old Style"/>
          <w:sz w:val="24"/>
          <w:szCs w:val="24"/>
        </w:rPr>
        <w:t xml:space="preserve"> </w:t>
      </w:r>
      <w:r w:rsidRPr="00901014">
        <w:rPr>
          <w:rFonts w:ascii="Bookman Old Style" w:hAnsi="Bookman Old Style"/>
          <w:sz w:val="24"/>
          <w:szCs w:val="24"/>
        </w:rPr>
        <w:t>sejenisnya</w:t>
      </w:r>
      <w:r w:rsidR="00A954D0">
        <w:rPr>
          <w:rFonts w:ascii="Bookman Old Style" w:hAnsi="Bookman Old Style"/>
          <w:sz w:val="24"/>
          <w:szCs w:val="24"/>
        </w:rPr>
        <w:t xml:space="preserve"> </w:t>
      </w:r>
      <w:r w:rsidRPr="00901014">
        <w:rPr>
          <w:rFonts w:ascii="Bookman Old Style" w:hAnsi="Bookman Old Style"/>
          <w:sz w:val="24"/>
          <w:szCs w:val="24"/>
        </w:rPr>
        <w:t>dapat</w:t>
      </w:r>
      <w:r w:rsidR="00A954D0">
        <w:rPr>
          <w:rFonts w:ascii="Bookman Old Style" w:hAnsi="Bookman Old Style"/>
          <w:sz w:val="24"/>
          <w:szCs w:val="24"/>
        </w:rPr>
        <w:t xml:space="preserve"> </w:t>
      </w:r>
      <w:r w:rsidRPr="00901014">
        <w:rPr>
          <w:rFonts w:ascii="Bookman Old Style" w:hAnsi="Bookman Old Style"/>
          <w:sz w:val="24"/>
          <w:szCs w:val="24"/>
        </w:rPr>
        <w:t>dilaksanakan</w:t>
      </w:r>
      <w:r w:rsidR="00A954D0">
        <w:rPr>
          <w:rFonts w:ascii="Bookman Old Style" w:hAnsi="Bookman Old Style"/>
          <w:sz w:val="24"/>
          <w:szCs w:val="24"/>
        </w:rPr>
        <w:t xml:space="preserve"> </w:t>
      </w:r>
      <w:r w:rsidRPr="000500F3">
        <w:rPr>
          <w:rFonts w:ascii="Bookman Old Style" w:hAnsi="Bookman Old Style"/>
          <w:sz w:val="24"/>
          <w:szCs w:val="24"/>
        </w:rPr>
        <w:t>secara</w:t>
      </w:r>
      <w:r w:rsidR="00A954D0">
        <w:rPr>
          <w:rFonts w:ascii="Bookman Old Style" w:hAnsi="Bookman Old Style"/>
          <w:sz w:val="24"/>
          <w:szCs w:val="24"/>
        </w:rPr>
        <w:t xml:space="preserve"> </w:t>
      </w:r>
      <w:r w:rsidRPr="000500F3">
        <w:rPr>
          <w:rFonts w:ascii="Bookman Old Style" w:hAnsi="Bookman Old Style"/>
          <w:i/>
          <w:sz w:val="24"/>
          <w:szCs w:val="24"/>
        </w:rPr>
        <w:t>virtual</w:t>
      </w:r>
      <w:r w:rsidR="00A954D0">
        <w:rPr>
          <w:rFonts w:ascii="Bookman Old Style" w:hAnsi="Bookman Old Style"/>
          <w:sz w:val="24"/>
          <w:szCs w:val="24"/>
        </w:rPr>
        <w:t xml:space="preserve"> </w:t>
      </w:r>
      <w:r w:rsidRPr="000500F3">
        <w:rPr>
          <w:rFonts w:ascii="Bookman Old Style" w:hAnsi="Bookman Old Style"/>
          <w:sz w:val="24"/>
          <w:szCs w:val="24"/>
        </w:rPr>
        <w:t>maupun</w:t>
      </w:r>
      <w:r w:rsidR="00A954D0">
        <w:rPr>
          <w:rFonts w:ascii="Bookman Old Style" w:hAnsi="Bookman Old Style"/>
          <w:sz w:val="24"/>
          <w:szCs w:val="24"/>
        </w:rPr>
        <w:t xml:space="preserve"> </w:t>
      </w:r>
      <w:r w:rsidRPr="000500F3">
        <w:rPr>
          <w:rFonts w:ascii="Bookman Old Style" w:hAnsi="Bookman Old Style"/>
          <w:i/>
          <w:sz w:val="24"/>
          <w:szCs w:val="24"/>
        </w:rPr>
        <w:t>hybrid</w:t>
      </w:r>
      <w:r w:rsidRPr="000500F3">
        <w:rPr>
          <w:rFonts w:ascii="Bookman Old Style" w:hAnsi="Bookman Old Style"/>
          <w:i/>
          <w:sz w:val="24"/>
          <w:szCs w:val="24"/>
          <w:lang w:val="en-US"/>
        </w:rPr>
        <w:t>,</w:t>
      </w:r>
      <w:r w:rsidR="00A954D0">
        <w:rPr>
          <w:rFonts w:ascii="Bookman Old Style" w:hAnsi="Bookman Old Style"/>
          <w:i/>
          <w:sz w:val="24"/>
          <w:szCs w:val="24"/>
          <w:lang w:val="en-US"/>
        </w:rPr>
        <w:t xml:space="preserve"> </w:t>
      </w:r>
      <w:r w:rsidRPr="000500F3">
        <w:rPr>
          <w:rFonts w:ascii="Bookman Old Style" w:hAnsi="Bookman Old Style"/>
          <w:sz w:val="24"/>
          <w:szCs w:val="24"/>
          <w:lang w:val="en-US"/>
        </w:rPr>
        <w:t>sebagaimana</w:t>
      </w:r>
      <w:r w:rsidR="00A954D0">
        <w:rPr>
          <w:rFonts w:ascii="Bookman Old Style" w:hAnsi="Bookman Old Style"/>
          <w:sz w:val="24"/>
          <w:szCs w:val="24"/>
          <w:lang w:val="en-US"/>
        </w:rPr>
        <w:t xml:space="preserve"> </w:t>
      </w:r>
      <w:r w:rsidRPr="000500F3">
        <w:rPr>
          <w:rFonts w:ascii="Bookman Old Style" w:hAnsi="Bookman Old Style"/>
          <w:sz w:val="24"/>
          <w:szCs w:val="24"/>
          <w:lang w:val="en-US"/>
        </w:rPr>
        <w:t>maksud</w:t>
      </w:r>
      <w:r w:rsidR="00A954D0">
        <w:rPr>
          <w:rFonts w:ascii="Bookman Old Style" w:hAnsi="Bookman Old Style"/>
          <w:sz w:val="24"/>
          <w:szCs w:val="24"/>
          <w:lang w:val="en-US"/>
        </w:rPr>
        <w:t xml:space="preserve"> </w:t>
      </w:r>
      <w:r w:rsidRPr="000500F3">
        <w:rPr>
          <w:rFonts w:ascii="Bookman Old Style" w:hAnsi="Bookman Old Style" w:cs="Arial"/>
          <w:sz w:val="24"/>
          <w:szCs w:val="24"/>
        </w:rPr>
        <w:t>butir</w:t>
      </w:r>
      <w:r w:rsidR="00A954D0">
        <w:rPr>
          <w:rFonts w:ascii="Bookman Old Style" w:hAnsi="Bookman Old Style" w:cs="Arial"/>
          <w:sz w:val="24"/>
          <w:szCs w:val="24"/>
        </w:rPr>
        <w:t xml:space="preserve"> </w:t>
      </w:r>
      <w:r w:rsidRPr="000500F3">
        <w:rPr>
          <w:rFonts w:ascii="Bookman Old Style" w:hAnsi="Bookman Old Style" w:cs="Arial"/>
          <w:sz w:val="24"/>
          <w:szCs w:val="24"/>
          <w:lang w:val="en-US"/>
        </w:rPr>
        <w:t>3.4.1.2.2.f.4)</w:t>
      </w:r>
      <w:r w:rsidR="00A954D0">
        <w:rPr>
          <w:rFonts w:ascii="Bookman Old Style" w:hAnsi="Bookman Old Style" w:cs="Arial"/>
          <w:sz w:val="24"/>
          <w:szCs w:val="24"/>
        </w:rPr>
        <w:t xml:space="preserve"> </w:t>
      </w:r>
      <w:r w:rsidRPr="000500F3">
        <w:rPr>
          <w:rFonts w:ascii="Bookman Old Style" w:hAnsi="Bookman Old Style" w:cs="Arial"/>
          <w:sz w:val="24"/>
          <w:szCs w:val="24"/>
        </w:rPr>
        <w:t>Lampiran</w:t>
      </w:r>
      <w:r w:rsidR="00A954D0">
        <w:rPr>
          <w:rFonts w:ascii="Bookman Old Style" w:hAnsi="Bookman Old Style" w:cs="Arial"/>
          <w:sz w:val="24"/>
          <w:szCs w:val="24"/>
        </w:rPr>
        <w:t xml:space="preserve"> </w:t>
      </w:r>
      <w:r w:rsidRPr="000500F3">
        <w:rPr>
          <w:rFonts w:ascii="Bookman Old Style" w:hAnsi="Bookman Old Style" w:cs="Arial"/>
          <w:sz w:val="24"/>
          <w:szCs w:val="24"/>
        </w:rPr>
        <w:t>Peraturan</w:t>
      </w:r>
      <w:r w:rsidR="00A954D0">
        <w:rPr>
          <w:rFonts w:ascii="Bookman Old Style" w:hAnsi="Bookman Old Style" w:cs="Arial"/>
          <w:sz w:val="24"/>
          <w:szCs w:val="24"/>
        </w:rPr>
        <w:t xml:space="preserve"> </w:t>
      </w:r>
      <w:r w:rsidRPr="000500F3">
        <w:rPr>
          <w:rFonts w:ascii="Bookman Old Style" w:hAnsi="Bookman Old Style" w:cs="Arial"/>
          <w:sz w:val="24"/>
          <w:szCs w:val="24"/>
        </w:rPr>
        <w:t>Menteri</w:t>
      </w:r>
      <w:r w:rsidR="00A954D0">
        <w:rPr>
          <w:rFonts w:ascii="Bookman Old Style" w:hAnsi="Bookman Old Style" w:cs="Arial"/>
          <w:sz w:val="24"/>
          <w:szCs w:val="24"/>
        </w:rPr>
        <w:t xml:space="preserve"> </w:t>
      </w:r>
      <w:r w:rsidRPr="000500F3">
        <w:rPr>
          <w:rFonts w:ascii="Bookman Old Style" w:hAnsi="Bookman Old Style" w:cs="Arial"/>
          <w:sz w:val="24"/>
          <w:szCs w:val="24"/>
        </w:rPr>
        <w:t>Dalam</w:t>
      </w:r>
      <w:r w:rsidR="00A954D0">
        <w:rPr>
          <w:rFonts w:ascii="Bookman Old Style" w:hAnsi="Bookman Old Style" w:cs="Arial"/>
          <w:sz w:val="24"/>
          <w:szCs w:val="24"/>
        </w:rPr>
        <w:t xml:space="preserve"> </w:t>
      </w:r>
      <w:r w:rsidRPr="000500F3">
        <w:rPr>
          <w:rFonts w:ascii="Bookman Old Style" w:hAnsi="Bookman Old Style" w:cs="Arial"/>
          <w:sz w:val="24"/>
          <w:szCs w:val="24"/>
        </w:rPr>
        <w:t>Negeri</w:t>
      </w:r>
      <w:r w:rsidR="00A954D0">
        <w:rPr>
          <w:rFonts w:ascii="Bookman Old Style" w:hAnsi="Bookman Old Style" w:cs="Arial"/>
          <w:sz w:val="24"/>
          <w:szCs w:val="24"/>
        </w:rPr>
        <w:t xml:space="preserve"> </w:t>
      </w:r>
      <w:r w:rsidRPr="000500F3">
        <w:rPr>
          <w:rFonts w:ascii="Bookman Old Style" w:hAnsi="Bookman Old Style" w:cs="Arial"/>
          <w:sz w:val="24"/>
          <w:szCs w:val="24"/>
        </w:rPr>
        <w:t>Nomor</w:t>
      </w:r>
      <w:r w:rsidR="00A954D0">
        <w:rPr>
          <w:rFonts w:ascii="Bookman Old Style" w:hAnsi="Bookman Old Style" w:cs="Arial"/>
          <w:sz w:val="24"/>
          <w:szCs w:val="24"/>
        </w:rPr>
        <w:t xml:space="preserve"> </w:t>
      </w:r>
      <w:r w:rsidRPr="000500F3">
        <w:rPr>
          <w:rFonts w:ascii="Bookman Old Style" w:hAnsi="Bookman Old Style" w:cs="Arial"/>
          <w:sz w:val="24"/>
          <w:szCs w:val="24"/>
          <w:lang w:val="en-US"/>
        </w:rPr>
        <w:t>15</w:t>
      </w:r>
      <w:r w:rsidR="00A954D0">
        <w:rPr>
          <w:rFonts w:ascii="Bookman Old Style" w:hAnsi="Bookman Old Style" w:cs="Arial"/>
          <w:sz w:val="24"/>
          <w:szCs w:val="24"/>
        </w:rPr>
        <w:t xml:space="preserve"> </w:t>
      </w:r>
      <w:r w:rsidRPr="000500F3">
        <w:rPr>
          <w:rFonts w:ascii="Bookman Old Style" w:hAnsi="Bookman Old Style" w:cs="Arial"/>
          <w:sz w:val="24"/>
          <w:szCs w:val="24"/>
        </w:rPr>
        <w:t>Tahun</w:t>
      </w:r>
      <w:r w:rsidR="00A954D0">
        <w:rPr>
          <w:rFonts w:ascii="Bookman Old Style" w:hAnsi="Bookman Old Style" w:cs="Arial"/>
          <w:sz w:val="24"/>
          <w:szCs w:val="24"/>
        </w:rPr>
        <w:t xml:space="preserve"> </w:t>
      </w:r>
      <w:r w:rsidRPr="000500F3">
        <w:rPr>
          <w:rFonts w:ascii="Bookman Old Style" w:hAnsi="Bookman Old Style" w:cs="Arial"/>
          <w:sz w:val="24"/>
          <w:szCs w:val="24"/>
        </w:rPr>
        <w:t>202</w:t>
      </w:r>
      <w:r w:rsidRPr="000500F3">
        <w:rPr>
          <w:rFonts w:ascii="Bookman Old Style" w:hAnsi="Bookman Old Style" w:cs="Arial"/>
          <w:sz w:val="24"/>
          <w:szCs w:val="24"/>
          <w:lang w:val="en-US"/>
        </w:rPr>
        <w:t>4</w:t>
      </w:r>
      <w:r w:rsidRPr="000500F3">
        <w:rPr>
          <w:rFonts w:ascii="Bookman Old Style" w:hAnsi="Bookman Old Style"/>
          <w:sz w:val="24"/>
          <w:szCs w:val="24"/>
        </w:rPr>
        <w:t>.</w:t>
      </w:r>
      <w:r w:rsidR="00A954D0">
        <w:rPr>
          <w:rFonts w:ascii="Bookman Old Style" w:hAnsi="Bookman Old Style"/>
          <w:sz w:val="24"/>
          <w:szCs w:val="24"/>
          <w:lang w:val="en-US"/>
        </w:rPr>
        <w:t xml:space="preserve"> </w:t>
      </w:r>
    </w:p>
    <w:p w14:paraId="6976E407" w14:textId="51E56C2C" w:rsidR="009363C1" w:rsidRPr="000500F3" w:rsidRDefault="009363C1" w:rsidP="0065744F">
      <w:pPr>
        <w:pStyle w:val="ListParagraph"/>
        <w:numPr>
          <w:ilvl w:val="0"/>
          <w:numId w:val="22"/>
        </w:numPr>
        <w:spacing w:before="60" w:after="0" w:line="276" w:lineRule="auto"/>
        <w:ind w:left="2694" w:hanging="426"/>
        <w:contextualSpacing w:val="0"/>
        <w:jc w:val="both"/>
        <w:rPr>
          <w:rFonts w:ascii="Bookman Old Style" w:hAnsi="Bookman Old Style"/>
          <w:sz w:val="24"/>
          <w:szCs w:val="24"/>
        </w:rPr>
      </w:pPr>
      <w:r w:rsidRPr="000500F3">
        <w:rPr>
          <w:rFonts w:ascii="Bookman Old Style" w:hAnsi="Bookman Old Style"/>
          <w:sz w:val="24"/>
          <w:szCs w:val="24"/>
        </w:rPr>
        <w:t>Penyediaan</w:t>
      </w:r>
      <w:r w:rsidR="00A954D0">
        <w:rPr>
          <w:rFonts w:ascii="Bookman Old Style" w:hAnsi="Bookman Old Style"/>
          <w:sz w:val="24"/>
          <w:szCs w:val="24"/>
        </w:rPr>
        <w:t xml:space="preserve"> </w:t>
      </w:r>
      <w:r w:rsidRPr="000500F3">
        <w:rPr>
          <w:rFonts w:ascii="Bookman Old Style" w:hAnsi="Bookman Old Style"/>
          <w:sz w:val="24"/>
          <w:szCs w:val="24"/>
        </w:rPr>
        <w:t>alokasi</w:t>
      </w:r>
      <w:r w:rsidR="00A954D0">
        <w:rPr>
          <w:rFonts w:ascii="Bookman Old Style" w:hAnsi="Bookman Old Style"/>
          <w:sz w:val="24"/>
          <w:szCs w:val="24"/>
        </w:rPr>
        <w:t xml:space="preserve"> </w:t>
      </w:r>
      <w:r w:rsidRPr="000500F3">
        <w:rPr>
          <w:rFonts w:ascii="Bookman Old Style" w:hAnsi="Bookman Old Style"/>
          <w:sz w:val="24"/>
          <w:szCs w:val="24"/>
        </w:rPr>
        <w:t>anggaran</w:t>
      </w:r>
      <w:r w:rsidR="00A954D0">
        <w:rPr>
          <w:rFonts w:ascii="Bookman Old Style" w:hAnsi="Bookman Old Style"/>
          <w:sz w:val="24"/>
          <w:szCs w:val="24"/>
        </w:rPr>
        <w:t xml:space="preserve"> </w:t>
      </w:r>
      <w:r w:rsidRPr="000500F3">
        <w:rPr>
          <w:rFonts w:ascii="Bookman Old Style" w:hAnsi="Bookman Old Style"/>
          <w:sz w:val="24"/>
          <w:szCs w:val="24"/>
        </w:rPr>
        <w:t>yang</w:t>
      </w:r>
      <w:r w:rsidR="00A954D0">
        <w:rPr>
          <w:rFonts w:ascii="Bookman Old Style" w:hAnsi="Bookman Old Style"/>
          <w:sz w:val="24"/>
          <w:szCs w:val="24"/>
        </w:rPr>
        <w:t xml:space="preserve"> </w:t>
      </w:r>
      <w:r w:rsidRPr="000500F3">
        <w:rPr>
          <w:rFonts w:ascii="Bookman Old Style" w:hAnsi="Bookman Old Style"/>
          <w:sz w:val="24"/>
          <w:szCs w:val="24"/>
        </w:rPr>
        <w:t>tercantum</w:t>
      </w:r>
      <w:r w:rsidR="00A954D0">
        <w:rPr>
          <w:rFonts w:ascii="Bookman Old Style" w:hAnsi="Bookman Old Style"/>
          <w:sz w:val="24"/>
          <w:szCs w:val="24"/>
        </w:rPr>
        <w:t xml:space="preserve"> </w:t>
      </w:r>
      <w:r w:rsidRPr="000500F3">
        <w:rPr>
          <w:rFonts w:ascii="Bookman Old Style" w:hAnsi="Bookman Old Style"/>
          <w:sz w:val="24"/>
          <w:szCs w:val="24"/>
        </w:rPr>
        <w:t>pada:</w:t>
      </w:r>
    </w:p>
    <w:p w14:paraId="0926B149" w14:textId="0DC0CAC4" w:rsidR="00A86446" w:rsidRPr="00C257F6" w:rsidRDefault="00C45F78" w:rsidP="0065744F">
      <w:pPr>
        <w:pStyle w:val="ListParagraph"/>
        <w:snapToGrid w:val="0"/>
        <w:spacing w:before="60" w:after="0" w:line="276" w:lineRule="auto"/>
        <w:ind w:left="2694"/>
        <w:contextualSpacing w:val="0"/>
        <w:jc w:val="both"/>
        <w:rPr>
          <w:rFonts w:ascii="Bookman Old Style" w:hAnsi="Bookman Old Style"/>
          <w:sz w:val="24"/>
          <w:szCs w:val="24"/>
        </w:rPr>
      </w:pPr>
      <w:r w:rsidRPr="000500F3">
        <w:rPr>
          <w:rFonts w:ascii="Bookman Old Style" w:hAnsi="Bookman Old Style"/>
          <w:sz w:val="24"/>
          <w:szCs w:val="24"/>
          <w:lang w:val="en-US"/>
        </w:rPr>
        <w:t>Belanja</w:t>
      </w:r>
      <w:r w:rsidR="00A954D0">
        <w:rPr>
          <w:rFonts w:ascii="Bookman Old Style" w:hAnsi="Bookman Old Style"/>
          <w:sz w:val="24"/>
          <w:szCs w:val="24"/>
        </w:rPr>
        <w:t xml:space="preserve"> </w:t>
      </w:r>
      <w:r w:rsidRPr="000500F3">
        <w:rPr>
          <w:rFonts w:ascii="Bookman Old Style" w:hAnsi="Bookman Old Style"/>
          <w:sz w:val="24"/>
          <w:szCs w:val="24"/>
        </w:rPr>
        <w:t>Sewa</w:t>
      </w:r>
      <w:r w:rsidR="00A954D0">
        <w:rPr>
          <w:rFonts w:ascii="Bookman Old Style" w:hAnsi="Bookman Old Style"/>
          <w:sz w:val="24"/>
          <w:szCs w:val="24"/>
        </w:rPr>
        <w:t xml:space="preserve"> </w:t>
      </w:r>
      <w:r w:rsidRPr="000500F3">
        <w:rPr>
          <w:rFonts w:ascii="Bookman Old Style" w:hAnsi="Bookman Old Style"/>
          <w:sz w:val="24"/>
          <w:szCs w:val="24"/>
        </w:rPr>
        <w:t>Aset</w:t>
      </w:r>
      <w:r w:rsidR="00A954D0">
        <w:rPr>
          <w:rFonts w:ascii="Bookman Old Style" w:hAnsi="Bookman Old Style"/>
          <w:sz w:val="24"/>
          <w:szCs w:val="24"/>
        </w:rPr>
        <w:t xml:space="preserve"> </w:t>
      </w:r>
      <w:r w:rsidRPr="000500F3">
        <w:rPr>
          <w:rFonts w:ascii="Bookman Old Style" w:hAnsi="Bookman Old Style"/>
          <w:sz w:val="24"/>
          <w:szCs w:val="24"/>
        </w:rPr>
        <w:t>Tidak</w:t>
      </w:r>
      <w:r w:rsidR="00A954D0">
        <w:rPr>
          <w:rFonts w:ascii="Bookman Old Style" w:hAnsi="Bookman Old Style"/>
          <w:sz w:val="24"/>
          <w:szCs w:val="24"/>
        </w:rPr>
        <w:t xml:space="preserve"> </w:t>
      </w:r>
      <w:r w:rsidRPr="000500F3">
        <w:rPr>
          <w:rFonts w:ascii="Bookman Old Style" w:hAnsi="Bookman Old Style"/>
          <w:sz w:val="24"/>
          <w:szCs w:val="24"/>
        </w:rPr>
        <w:t>Berwujud</w:t>
      </w:r>
      <w:r w:rsidR="00A954D0">
        <w:rPr>
          <w:rFonts w:ascii="Bookman Old Style" w:hAnsi="Bookman Old Style"/>
          <w:sz w:val="24"/>
          <w:szCs w:val="24"/>
        </w:rPr>
        <w:t xml:space="preserve"> </w:t>
      </w:r>
      <w:r w:rsidRPr="000500F3">
        <w:rPr>
          <w:rFonts w:ascii="Bookman Old Style" w:hAnsi="Bookman Old Style"/>
          <w:sz w:val="24"/>
          <w:szCs w:val="24"/>
        </w:rPr>
        <w:t>Rp527.810.000,00</w:t>
      </w:r>
      <w:r w:rsidR="00A954D0">
        <w:rPr>
          <w:rFonts w:ascii="Bookman Old Style" w:hAnsi="Bookman Old Style"/>
          <w:sz w:val="24"/>
          <w:szCs w:val="24"/>
        </w:rPr>
        <w:t xml:space="preserve"> </w:t>
      </w:r>
      <w:r w:rsidRPr="000500F3">
        <w:rPr>
          <w:rFonts w:ascii="Bookman Old Style" w:hAnsi="Bookman Old Style"/>
          <w:sz w:val="24"/>
          <w:szCs w:val="24"/>
        </w:rPr>
        <w:t>atau</w:t>
      </w:r>
      <w:r w:rsidR="00A954D0">
        <w:rPr>
          <w:rFonts w:ascii="Bookman Old Style" w:hAnsi="Bookman Old Style"/>
          <w:sz w:val="24"/>
          <w:szCs w:val="24"/>
        </w:rPr>
        <w:t xml:space="preserve"> </w:t>
      </w:r>
      <w:r w:rsidRPr="000500F3">
        <w:rPr>
          <w:rFonts w:ascii="Bookman Old Style" w:hAnsi="Bookman Old Style"/>
          <w:sz w:val="24"/>
          <w:szCs w:val="24"/>
        </w:rPr>
        <w:t>0,01%</w:t>
      </w:r>
      <w:r w:rsidR="00A954D0">
        <w:t xml:space="preserve"> </w:t>
      </w:r>
      <w:r w:rsidR="00A86446" w:rsidRPr="000500F3">
        <w:rPr>
          <w:rFonts w:ascii="Bookman Old Style" w:hAnsi="Bookman Old Style"/>
          <w:sz w:val="24"/>
          <w:szCs w:val="24"/>
        </w:rPr>
        <w:t>dari</w:t>
      </w:r>
      <w:r w:rsidR="00A954D0">
        <w:rPr>
          <w:rFonts w:ascii="Bookman Old Style" w:hAnsi="Bookman Old Style"/>
          <w:sz w:val="24"/>
          <w:szCs w:val="24"/>
        </w:rPr>
        <w:t xml:space="preserve"> </w:t>
      </w:r>
      <w:r w:rsidR="00A86446" w:rsidRPr="000500F3">
        <w:rPr>
          <w:rFonts w:ascii="Bookman Old Style" w:hAnsi="Bookman Old Style"/>
          <w:sz w:val="24"/>
          <w:szCs w:val="24"/>
        </w:rPr>
        <w:t>total</w:t>
      </w:r>
      <w:r w:rsidR="00A954D0">
        <w:rPr>
          <w:rFonts w:ascii="Bookman Old Style" w:hAnsi="Bookman Old Style"/>
          <w:sz w:val="24"/>
          <w:szCs w:val="24"/>
        </w:rPr>
        <w:t xml:space="preserve"> </w:t>
      </w:r>
      <w:r w:rsidR="00A86446" w:rsidRPr="000500F3">
        <w:rPr>
          <w:rFonts w:ascii="Bookman Old Style" w:hAnsi="Bookman Old Style"/>
          <w:sz w:val="24"/>
          <w:szCs w:val="24"/>
        </w:rPr>
        <w:t>belanja</w:t>
      </w:r>
      <w:r w:rsidR="00A954D0">
        <w:rPr>
          <w:rFonts w:ascii="Bookman Old Style" w:hAnsi="Bookman Old Style"/>
          <w:sz w:val="24"/>
          <w:szCs w:val="24"/>
        </w:rPr>
        <w:t xml:space="preserve"> </w:t>
      </w:r>
      <w:r w:rsidR="00A86446" w:rsidRPr="000500F3">
        <w:rPr>
          <w:rFonts w:ascii="Bookman Old Style" w:hAnsi="Bookman Old Style"/>
          <w:sz w:val="24"/>
          <w:szCs w:val="24"/>
        </w:rPr>
        <w:t>daerah</w:t>
      </w:r>
      <w:r w:rsidR="00A954D0">
        <w:rPr>
          <w:rFonts w:ascii="Bookman Old Style" w:hAnsi="Bookman Old Style"/>
          <w:sz w:val="24"/>
          <w:szCs w:val="24"/>
        </w:rPr>
        <w:t xml:space="preserve"> </w:t>
      </w:r>
      <w:r w:rsidR="00A86446" w:rsidRPr="000500F3">
        <w:rPr>
          <w:rFonts w:ascii="Bookman Old Style" w:hAnsi="Bookman Old Style"/>
          <w:sz w:val="24"/>
          <w:szCs w:val="24"/>
        </w:rPr>
        <w:t>dalam</w:t>
      </w:r>
      <w:r w:rsidR="00A954D0">
        <w:rPr>
          <w:rFonts w:ascii="Bookman Old Style" w:hAnsi="Bookman Old Style"/>
          <w:sz w:val="24"/>
          <w:szCs w:val="24"/>
        </w:rPr>
        <w:t xml:space="preserve"> </w:t>
      </w:r>
      <w:r w:rsidR="00A86446" w:rsidRPr="00C257F6">
        <w:rPr>
          <w:rFonts w:ascii="Bookman Old Style" w:hAnsi="Bookman Old Style"/>
          <w:sz w:val="24"/>
          <w:szCs w:val="24"/>
        </w:rPr>
        <w:t>Rancangan</w:t>
      </w:r>
      <w:r w:rsidR="00A954D0">
        <w:rPr>
          <w:rFonts w:ascii="Bookman Old Style" w:hAnsi="Bookman Old Style"/>
          <w:sz w:val="24"/>
          <w:szCs w:val="24"/>
        </w:rPr>
        <w:t xml:space="preserve"> </w:t>
      </w:r>
      <w:r w:rsidR="00A86446" w:rsidRPr="00C257F6">
        <w:rPr>
          <w:rFonts w:ascii="Bookman Old Style" w:hAnsi="Bookman Old Style"/>
          <w:sz w:val="24"/>
          <w:szCs w:val="24"/>
        </w:rPr>
        <w:t>Peraturan</w:t>
      </w:r>
      <w:r w:rsidR="00A954D0">
        <w:rPr>
          <w:rFonts w:ascii="Bookman Old Style" w:hAnsi="Bookman Old Style"/>
          <w:sz w:val="24"/>
          <w:szCs w:val="24"/>
        </w:rPr>
        <w:t xml:space="preserve"> </w:t>
      </w:r>
      <w:r w:rsidR="00A86446" w:rsidRPr="00C257F6">
        <w:rPr>
          <w:rFonts w:ascii="Bookman Old Style" w:hAnsi="Bookman Old Style"/>
          <w:sz w:val="24"/>
          <w:szCs w:val="24"/>
        </w:rPr>
        <w:t>Daerah</w:t>
      </w:r>
      <w:r w:rsidR="00A954D0">
        <w:rPr>
          <w:rFonts w:ascii="Bookman Old Style" w:hAnsi="Bookman Old Style"/>
          <w:sz w:val="24"/>
          <w:szCs w:val="24"/>
        </w:rPr>
        <w:t xml:space="preserve"> </w:t>
      </w:r>
      <w:r w:rsidR="00A86446" w:rsidRPr="00C257F6">
        <w:rPr>
          <w:rFonts w:ascii="Bookman Old Style" w:hAnsi="Bookman Old Style"/>
          <w:sz w:val="24"/>
          <w:szCs w:val="24"/>
        </w:rPr>
        <w:t>Kota</w:t>
      </w:r>
      <w:r w:rsidR="00A954D0">
        <w:rPr>
          <w:rFonts w:ascii="Bookman Old Style" w:hAnsi="Bookman Old Style"/>
          <w:sz w:val="24"/>
          <w:szCs w:val="24"/>
        </w:rPr>
        <w:t xml:space="preserve"> </w:t>
      </w:r>
      <w:r w:rsidR="00770F22" w:rsidRPr="00C257F6">
        <w:rPr>
          <w:rFonts w:ascii="Bookman Old Style" w:hAnsi="Bookman Old Style"/>
          <w:sz w:val="24"/>
          <w:szCs w:val="24"/>
        </w:rPr>
        <w:t>Tangerang</w:t>
      </w:r>
      <w:r w:rsidR="00A954D0">
        <w:rPr>
          <w:rFonts w:ascii="Bookman Old Style" w:hAnsi="Bookman Old Style"/>
          <w:sz w:val="24"/>
          <w:szCs w:val="24"/>
        </w:rPr>
        <w:t xml:space="preserve"> </w:t>
      </w:r>
      <w:r w:rsidR="00BE6ED9" w:rsidRPr="00C257F6">
        <w:rPr>
          <w:rFonts w:ascii="Bookman Old Style" w:hAnsi="Bookman Old Style"/>
          <w:sz w:val="24"/>
          <w:szCs w:val="24"/>
        </w:rPr>
        <w:t>tentang</w:t>
      </w:r>
      <w:r w:rsidR="00A954D0">
        <w:rPr>
          <w:rFonts w:ascii="Bookman Old Style" w:hAnsi="Bookman Old Style"/>
          <w:sz w:val="24"/>
          <w:szCs w:val="24"/>
        </w:rPr>
        <w:t xml:space="preserve"> </w:t>
      </w:r>
      <w:r w:rsidR="00BE6ED9" w:rsidRPr="00C257F6">
        <w:rPr>
          <w:rFonts w:ascii="Bookman Old Style" w:hAnsi="Bookman Old Style"/>
          <w:sz w:val="24"/>
          <w:szCs w:val="24"/>
        </w:rPr>
        <w:t>APBD</w:t>
      </w:r>
      <w:r w:rsidR="00A954D0">
        <w:rPr>
          <w:rFonts w:ascii="Bookman Old Style" w:hAnsi="Bookman Old Style"/>
          <w:sz w:val="24"/>
          <w:szCs w:val="24"/>
        </w:rPr>
        <w:t xml:space="preserve"> </w:t>
      </w:r>
      <w:r w:rsidR="00A86446" w:rsidRPr="00C257F6">
        <w:rPr>
          <w:rFonts w:ascii="Bookman Old Style" w:hAnsi="Bookman Old Style"/>
          <w:sz w:val="24"/>
          <w:szCs w:val="24"/>
        </w:rPr>
        <w:t>Tahun</w:t>
      </w:r>
      <w:r w:rsidR="00A954D0">
        <w:rPr>
          <w:rFonts w:ascii="Bookman Old Style" w:hAnsi="Bookman Old Style"/>
          <w:sz w:val="24"/>
          <w:szCs w:val="24"/>
        </w:rPr>
        <w:t xml:space="preserve"> </w:t>
      </w:r>
      <w:r w:rsidR="00A86446" w:rsidRPr="00C257F6">
        <w:rPr>
          <w:rFonts w:ascii="Bookman Old Style" w:hAnsi="Bookman Old Style"/>
          <w:sz w:val="24"/>
          <w:szCs w:val="24"/>
        </w:rPr>
        <w:t>Anggaran</w:t>
      </w:r>
      <w:r w:rsidR="00A954D0">
        <w:rPr>
          <w:rFonts w:ascii="Bookman Old Style" w:hAnsi="Bookman Old Style"/>
          <w:sz w:val="24"/>
          <w:szCs w:val="24"/>
        </w:rPr>
        <w:t xml:space="preserve"> </w:t>
      </w:r>
      <w:r w:rsidR="00A86446" w:rsidRPr="00C257F6">
        <w:rPr>
          <w:rFonts w:ascii="Bookman Old Style" w:hAnsi="Bookman Old Style"/>
          <w:sz w:val="24"/>
          <w:szCs w:val="24"/>
        </w:rPr>
        <w:t>2025</w:t>
      </w:r>
      <w:r w:rsidR="000500F3" w:rsidRPr="00C257F6">
        <w:rPr>
          <w:rFonts w:ascii="Bookman Old Style" w:hAnsi="Bookman Old Style"/>
          <w:sz w:val="24"/>
          <w:szCs w:val="24"/>
        </w:rPr>
        <w:t>,</w:t>
      </w:r>
      <w:r w:rsidR="00A954D0">
        <w:rPr>
          <w:rFonts w:ascii="Bookman Old Style" w:hAnsi="Bookman Old Style"/>
          <w:sz w:val="24"/>
          <w:szCs w:val="24"/>
        </w:rPr>
        <w:t xml:space="preserve"> </w:t>
      </w:r>
      <w:r w:rsidR="000500F3" w:rsidRPr="00C257F6">
        <w:rPr>
          <w:rFonts w:ascii="Bookman Old Style" w:hAnsi="Bookman Old Style"/>
          <w:sz w:val="24"/>
          <w:szCs w:val="24"/>
        </w:rPr>
        <w:t>yang</w:t>
      </w:r>
      <w:r w:rsidR="00A954D0">
        <w:rPr>
          <w:rFonts w:ascii="Bookman Old Style" w:hAnsi="Bookman Old Style"/>
          <w:sz w:val="24"/>
          <w:szCs w:val="24"/>
        </w:rPr>
        <w:t xml:space="preserve"> </w:t>
      </w:r>
      <w:r w:rsidR="000500F3" w:rsidRPr="00C257F6">
        <w:rPr>
          <w:rFonts w:ascii="Bookman Old Style" w:hAnsi="Bookman Old Style"/>
          <w:sz w:val="24"/>
          <w:szCs w:val="24"/>
        </w:rPr>
        <w:t>tercsntum</w:t>
      </w:r>
      <w:r w:rsidR="00A954D0">
        <w:rPr>
          <w:rFonts w:ascii="Bookman Old Style" w:hAnsi="Bookman Old Style"/>
          <w:sz w:val="24"/>
          <w:szCs w:val="24"/>
        </w:rPr>
        <w:t xml:space="preserve"> </w:t>
      </w:r>
      <w:r w:rsidR="000500F3" w:rsidRPr="00C257F6">
        <w:rPr>
          <w:rFonts w:ascii="Bookman Old Style" w:hAnsi="Bookman Old Style"/>
          <w:sz w:val="24"/>
          <w:szCs w:val="24"/>
        </w:rPr>
        <w:t>pada:</w:t>
      </w:r>
    </w:p>
    <w:p w14:paraId="7924D610" w14:textId="3F94F9B3" w:rsidR="00CC6185" w:rsidRPr="00C257F6" w:rsidRDefault="00CC6185" w:rsidP="0065744F">
      <w:pPr>
        <w:pStyle w:val="ListParagraph"/>
        <w:numPr>
          <w:ilvl w:val="0"/>
          <w:numId w:val="201"/>
        </w:numPr>
        <w:snapToGrid w:val="0"/>
        <w:spacing w:before="60" w:after="0" w:line="276" w:lineRule="auto"/>
        <w:ind w:left="3261" w:hanging="567"/>
        <w:contextualSpacing w:val="0"/>
        <w:jc w:val="both"/>
        <w:rPr>
          <w:rFonts w:ascii="Bookman Old Style" w:hAnsi="Bookman Old Style"/>
          <w:sz w:val="24"/>
          <w:szCs w:val="24"/>
        </w:rPr>
      </w:pPr>
      <w:r w:rsidRPr="00C257F6">
        <w:rPr>
          <w:rFonts w:ascii="Bookman Old Style" w:hAnsi="Bookman Old Style"/>
          <w:sz w:val="24"/>
          <w:szCs w:val="24"/>
        </w:rPr>
        <w:t>Belanja</w:t>
      </w:r>
      <w:r w:rsidR="00A954D0">
        <w:rPr>
          <w:rFonts w:ascii="Bookman Old Style" w:hAnsi="Bookman Old Style"/>
          <w:sz w:val="24"/>
          <w:szCs w:val="24"/>
        </w:rPr>
        <w:t xml:space="preserve"> </w:t>
      </w:r>
      <w:r w:rsidRPr="00C257F6">
        <w:rPr>
          <w:rFonts w:ascii="Bookman Old Style" w:hAnsi="Bookman Old Style"/>
          <w:sz w:val="24"/>
          <w:szCs w:val="24"/>
        </w:rPr>
        <w:t>Sewa</w:t>
      </w:r>
      <w:r w:rsidR="00A954D0">
        <w:rPr>
          <w:rFonts w:ascii="Bookman Old Style" w:hAnsi="Bookman Old Style"/>
          <w:sz w:val="24"/>
          <w:szCs w:val="24"/>
        </w:rPr>
        <w:t xml:space="preserve"> </w:t>
      </w:r>
      <w:r w:rsidRPr="00C257F6">
        <w:rPr>
          <w:rFonts w:ascii="Bookman Old Style" w:hAnsi="Bookman Old Style"/>
          <w:sz w:val="24"/>
          <w:szCs w:val="24"/>
        </w:rPr>
        <w:t>Aset</w:t>
      </w:r>
      <w:r w:rsidR="00A954D0">
        <w:rPr>
          <w:rFonts w:ascii="Bookman Old Style" w:hAnsi="Bookman Old Style"/>
          <w:sz w:val="24"/>
          <w:szCs w:val="24"/>
        </w:rPr>
        <w:t xml:space="preserve"> </w:t>
      </w:r>
      <w:r w:rsidRPr="00C257F6">
        <w:rPr>
          <w:rFonts w:ascii="Bookman Old Style" w:hAnsi="Bookman Old Style"/>
          <w:sz w:val="24"/>
          <w:szCs w:val="24"/>
        </w:rPr>
        <w:t>Tidak</w:t>
      </w:r>
      <w:r w:rsidR="00A954D0">
        <w:rPr>
          <w:rFonts w:ascii="Bookman Old Style" w:hAnsi="Bookman Old Style"/>
          <w:sz w:val="24"/>
          <w:szCs w:val="24"/>
        </w:rPr>
        <w:t xml:space="preserve"> </w:t>
      </w:r>
      <w:r w:rsidRPr="00C257F6">
        <w:rPr>
          <w:rFonts w:ascii="Bookman Old Style" w:hAnsi="Bookman Old Style"/>
          <w:sz w:val="24"/>
          <w:szCs w:val="24"/>
        </w:rPr>
        <w:t>Berwujud-Lisensi</w:t>
      </w:r>
      <w:r w:rsidR="00A954D0">
        <w:rPr>
          <w:rFonts w:ascii="Bookman Old Style" w:hAnsi="Bookman Old Style"/>
          <w:sz w:val="24"/>
          <w:szCs w:val="24"/>
        </w:rPr>
        <w:t xml:space="preserve"> </w:t>
      </w:r>
      <w:r w:rsidRPr="00C257F6">
        <w:rPr>
          <w:rFonts w:ascii="Bookman Old Style" w:hAnsi="Bookman Old Style"/>
          <w:sz w:val="24"/>
          <w:szCs w:val="24"/>
        </w:rPr>
        <w:t>dan</w:t>
      </w:r>
      <w:r w:rsidR="00A954D0">
        <w:rPr>
          <w:rFonts w:ascii="Bookman Old Style" w:hAnsi="Bookman Old Style"/>
          <w:sz w:val="24"/>
          <w:szCs w:val="24"/>
        </w:rPr>
        <w:t xml:space="preserve"> </w:t>
      </w:r>
      <w:r w:rsidRPr="00C257F6">
        <w:rPr>
          <w:rFonts w:ascii="Bookman Old Style" w:hAnsi="Bookman Old Style"/>
          <w:sz w:val="24"/>
          <w:szCs w:val="24"/>
        </w:rPr>
        <w:t>Franchise</w:t>
      </w:r>
      <w:r w:rsidR="00A954D0">
        <w:rPr>
          <w:rFonts w:ascii="Bookman Old Style" w:hAnsi="Bookman Old Style"/>
          <w:sz w:val="24"/>
          <w:szCs w:val="24"/>
        </w:rPr>
        <w:t xml:space="preserve"> </w:t>
      </w:r>
      <w:r w:rsidRPr="00C257F6">
        <w:rPr>
          <w:rFonts w:ascii="Bookman Old Style" w:hAnsi="Bookman Old Style"/>
          <w:sz w:val="24"/>
          <w:szCs w:val="24"/>
        </w:rPr>
        <w:t>Rp12.210.000,00</w:t>
      </w:r>
      <w:r w:rsidR="006A1590" w:rsidRPr="00C257F6">
        <w:rPr>
          <w:rFonts w:ascii="Bookman Old Style" w:hAnsi="Bookman Old Style"/>
          <w:sz w:val="24"/>
          <w:szCs w:val="24"/>
        </w:rPr>
        <w:t>;</w:t>
      </w:r>
    </w:p>
    <w:p w14:paraId="153527C4" w14:textId="6D5CA144" w:rsidR="00CC6185" w:rsidRPr="00C257F6" w:rsidRDefault="00CC6185" w:rsidP="0065744F">
      <w:pPr>
        <w:pStyle w:val="ListParagraph"/>
        <w:numPr>
          <w:ilvl w:val="0"/>
          <w:numId w:val="201"/>
        </w:numPr>
        <w:snapToGrid w:val="0"/>
        <w:spacing w:before="60" w:after="0" w:line="276" w:lineRule="auto"/>
        <w:ind w:left="3261" w:hanging="567"/>
        <w:contextualSpacing w:val="0"/>
        <w:jc w:val="both"/>
        <w:rPr>
          <w:rFonts w:ascii="Bookman Old Style" w:hAnsi="Bookman Old Style"/>
          <w:sz w:val="24"/>
          <w:szCs w:val="24"/>
        </w:rPr>
      </w:pPr>
      <w:r w:rsidRPr="00C257F6">
        <w:rPr>
          <w:rFonts w:ascii="Bookman Old Style" w:hAnsi="Bookman Old Style"/>
          <w:sz w:val="24"/>
          <w:szCs w:val="24"/>
        </w:rPr>
        <w:t>Belanja</w:t>
      </w:r>
      <w:r w:rsidR="00A954D0">
        <w:rPr>
          <w:rFonts w:ascii="Bookman Old Style" w:hAnsi="Bookman Old Style"/>
          <w:sz w:val="24"/>
          <w:szCs w:val="24"/>
        </w:rPr>
        <w:t xml:space="preserve"> </w:t>
      </w:r>
      <w:r w:rsidRPr="00C257F6">
        <w:rPr>
          <w:rFonts w:ascii="Bookman Old Style" w:hAnsi="Bookman Old Style"/>
          <w:sz w:val="24"/>
          <w:szCs w:val="24"/>
        </w:rPr>
        <w:t>Sewa</w:t>
      </w:r>
      <w:r w:rsidR="00A954D0">
        <w:rPr>
          <w:rFonts w:ascii="Bookman Old Style" w:hAnsi="Bookman Old Style"/>
          <w:sz w:val="24"/>
          <w:szCs w:val="24"/>
        </w:rPr>
        <w:t xml:space="preserve"> </w:t>
      </w:r>
      <w:r w:rsidRPr="00C257F6">
        <w:rPr>
          <w:rFonts w:ascii="Bookman Old Style" w:hAnsi="Bookman Old Style"/>
          <w:sz w:val="24"/>
          <w:szCs w:val="24"/>
        </w:rPr>
        <w:t>Aset</w:t>
      </w:r>
      <w:r w:rsidR="00A954D0">
        <w:rPr>
          <w:rFonts w:ascii="Bookman Old Style" w:hAnsi="Bookman Old Style"/>
          <w:sz w:val="24"/>
          <w:szCs w:val="24"/>
        </w:rPr>
        <w:t xml:space="preserve"> </w:t>
      </w:r>
      <w:r w:rsidRPr="00C257F6">
        <w:rPr>
          <w:rFonts w:ascii="Bookman Old Style" w:hAnsi="Bookman Old Style"/>
          <w:sz w:val="24"/>
          <w:szCs w:val="24"/>
        </w:rPr>
        <w:t>Tidak</w:t>
      </w:r>
      <w:r w:rsidR="00A954D0">
        <w:rPr>
          <w:rFonts w:ascii="Bookman Old Style" w:hAnsi="Bookman Old Style"/>
          <w:sz w:val="24"/>
          <w:szCs w:val="24"/>
        </w:rPr>
        <w:t xml:space="preserve"> </w:t>
      </w:r>
      <w:r w:rsidRPr="00C257F6">
        <w:rPr>
          <w:rFonts w:ascii="Bookman Old Style" w:hAnsi="Bookman Old Style"/>
          <w:sz w:val="24"/>
          <w:szCs w:val="24"/>
        </w:rPr>
        <w:t>Berwujud-Software</w:t>
      </w:r>
      <w:r w:rsidR="00A954D0">
        <w:rPr>
          <w:rFonts w:ascii="Bookman Old Style" w:hAnsi="Bookman Old Style"/>
          <w:sz w:val="24"/>
          <w:szCs w:val="24"/>
        </w:rPr>
        <w:t xml:space="preserve"> </w:t>
      </w:r>
      <w:r w:rsidRPr="00C257F6">
        <w:rPr>
          <w:rFonts w:ascii="Bookman Old Style" w:hAnsi="Bookman Old Style"/>
          <w:sz w:val="24"/>
          <w:szCs w:val="24"/>
        </w:rPr>
        <w:t>Rp15.600.000,00</w:t>
      </w:r>
      <w:r w:rsidR="006A1590" w:rsidRPr="00C257F6">
        <w:rPr>
          <w:rFonts w:ascii="Bookman Old Style" w:hAnsi="Bookman Old Style"/>
          <w:sz w:val="24"/>
          <w:szCs w:val="24"/>
        </w:rPr>
        <w:t>;</w:t>
      </w:r>
    </w:p>
    <w:p w14:paraId="75E0979D" w14:textId="665DE913" w:rsidR="00CC6185" w:rsidRPr="00C257F6" w:rsidRDefault="00CC6185" w:rsidP="0065744F">
      <w:pPr>
        <w:pStyle w:val="ListParagraph"/>
        <w:numPr>
          <w:ilvl w:val="0"/>
          <w:numId w:val="201"/>
        </w:numPr>
        <w:snapToGrid w:val="0"/>
        <w:spacing w:before="60" w:after="0" w:line="276" w:lineRule="auto"/>
        <w:ind w:left="3261" w:hanging="567"/>
        <w:contextualSpacing w:val="0"/>
        <w:jc w:val="both"/>
        <w:rPr>
          <w:rFonts w:ascii="Bookman Old Style" w:hAnsi="Bookman Old Style"/>
          <w:sz w:val="24"/>
          <w:szCs w:val="24"/>
        </w:rPr>
      </w:pPr>
      <w:r w:rsidRPr="00C257F6">
        <w:rPr>
          <w:rFonts w:ascii="Bookman Old Style" w:hAnsi="Bookman Old Style"/>
          <w:sz w:val="24"/>
          <w:szCs w:val="24"/>
        </w:rPr>
        <w:t>Belanja</w:t>
      </w:r>
      <w:r w:rsidR="00A954D0">
        <w:rPr>
          <w:rFonts w:ascii="Bookman Old Style" w:hAnsi="Bookman Old Style"/>
          <w:sz w:val="24"/>
          <w:szCs w:val="24"/>
        </w:rPr>
        <w:t xml:space="preserve"> </w:t>
      </w:r>
      <w:r w:rsidRPr="00C257F6">
        <w:rPr>
          <w:rFonts w:ascii="Bookman Old Style" w:hAnsi="Bookman Old Style"/>
          <w:sz w:val="24"/>
          <w:szCs w:val="24"/>
        </w:rPr>
        <w:t>Sewa</w:t>
      </w:r>
      <w:r w:rsidR="00A954D0">
        <w:rPr>
          <w:rFonts w:ascii="Bookman Old Style" w:hAnsi="Bookman Old Style"/>
          <w:sz w:val="24"/>
          <w:szCs w:val="24"/>
        </w:rPr>
        <w:t xml:space="preserve"> </w:t>
      </w:r>
      <w:r w:rsidRPr="00C257F6">
        <w:rPr>
          <w:rFonts w:ascii="Bookman Old Style" w:hAnsi="Bookman Old Style"/>
          <w:sz w:val="24"/>
          <w:szCs w:val="24"/>
        </w:rPr>
        <w:t>Aset</w:t>
      </w:r>
      <w:r w:rsidR="00A954D0">
        <w:rPr>
          <w:rFonts w:ascii="Bookman Old Style" w:hAnsi="Bookman Old Style"/>
          <w:sz w:val="24"/>
          <w:szCs w:val="24"/>
        </w:rPr>
        <w:t xml:space="preserve"> </w:t>
      </w:r>
      <w:r w:rsidRPr="00C257F6">
        <w:rPr>
          <w:rFonts w:ascii="Bookman Old Style" w:hAnsi="Bookman Old Style"/>
          <w:sz w:val="24"/>
          <w:szCs w:val="24"/>
        </w:rPr>
        <w:t>Tidak</w:t>
      </w:r>
      <w:r w:rsidR="00A954D0">
        <w:rPr>
          <w:rFonts w:ascii="Bookman Old Style" w:hAnsi="Bookman Old Style"/>
          <w:sz w:val="24"/>
          <w:szCs w:val="24"/>
        </w:rPr>
        <w:t xml:space="preserve"> </w:t>
      </w:r>
      <w:r w:rsidRPr="00C257F6">
        <w:rPr>
          <w:rFonts w:ascii="Bookman Old Style" w:hAnsi="Bookman Old Style"/>
          <w:sz w:val="24"/>
          <w:szCs w:val="24"/>
        </w:rPr>
        <w:t>Berwujud-Aset</w:t>
      </w:r>
      <w:r w:rsidR="00A954D0">
        <w:rPr>
          <w:rFonts w:ascii="Bookman Old Style" w:hAnsi="Bookman Old Style"/>
          <w:sz w:val="24"/>
          <w:szCs w:val="24"/>
        </w:rPr>
        <w:t xml:space="preserve"> </w:t>
      </w:r>
      <w:r w:rsidRPr="00C257F6">
        <w:rPr>
          <w:rFonts w:ascii="Bookman Old Style" w:hAnsi="Bookman Old Style"/>
          <w:sz w:val="24"/>
          <w:szCs w:val="24"/>
        </w:rPr>
        <w:t>Tidak</w:t>
      </w:r>
      <w:r w:rsidR="00A954D0">
        <w:rPr>
          <w:rFonts w:ascii="Bookman Old Style" w:hAnsi="Bookman Old Style"/>
          <w:sz w:val="24"/>
          <w:szCs w:val="24"/>
        </w:rPr>
        <w:t xml:space="preserve"> </w:t>
      </w:r>
      <w:r w:rsidRPr="00C257F6">
        <w:rPr>
          <w:rFonts w:ascii="Bookman Old Style" w:hAnsi="Bookman Old Style"/>
          <w:sz w:val="24"/>
          <w:szCs w:val="24"/>
        </w:rPr>
        <w:t>Berwujud</w:t>
      </w:r>
      <w:r w:rsidR="00A954D0">
        <w:rPr>
          <w:rFonts w:ascii="Bookman Old Style" w:hAnsi="Bookman Old Style"/>
          <w:sz w:val="24"/>
          <w:szCs w:val="24"/>
        </w:rPr>
        <w:t xml:space="preserve"> </w:t>
      </w:r>
      <w:r w:rsidRPr="00C257F6">
        <w:rPr>
          <w:rFonts w:ascii="Bookman Old Style" w:hAnsi="Bookman Old Style"/>
          <w:sz w:val="24"/>
          <w:szCs w:val="24"/>
        </w:rPr>
        <w:t>yang</w:t>
      </w:r>
      <w:r w:rsidR="00A954D0">
        <w:rPr>
          <w:rFonts w:ascii="Bookman Old Style" w:hAnsi="Bookman Old Style"/>
          <w:sz w:val="24"/>
          <w:szCs w:val="24"/>
        </w:rPr>
        <w:t xml:space="preserve"> </w:t>
      </w:r>
      <w:r w:rsidRPr="00C257F6">
        <w:rPr>
          <w:rFonts w:ascii="Bookman Old Style" w:hAnsi="Bookman Old Style"/>
          <w:sz w:val="24"/>
          <w:szCs w:val="24"/>
        </w:rPr>
        <w:t>Mempunyai</w:t>
      </w:r>
      <w:r w:rsidR="00A954D0">
        <w:rPr>
          <w:rFonts w:ascii="Bookman Old Style" w:hAnsi="Bookman Old Style"/>
          <w:sz w:val="24"/>
          <w:szCs w:val="24"/>
        </w:rPr>
        <w:t xml:space="preserve"> </w:t>
      </w:r>
      <w:r w:rsidRPr="00C257F6">
        <w:rPr>
          <w:rFonts w:ascii="Bookman Old Style" w:hAnsi="Bookman Old Style"/>
          <w:sz w:val="24"/>
          <w:szCs w:val="24"/>
        </w:rPr>
        <w:t>Nilai</w:t>
      </w:r>
      <w:r w:rsidR="00A954D0">
        <w:rPr>
          <w:rFonts w:ascii="Bookman Old Style" w:hAnsi="Bookman Old Style"/>
          <w:sz w:val="24"/>
          <w:szCs w:val="24"/>
        </w:rPr>
        <w:t xml:space="preserve"> </w:t>
      </w:r>
      <w:r w:rsidRPr="00C257F6">
        <w:rPr>
          <w:rFonts w:ascii="Bookman Old Style" w:hAnsi="Bookman Old Style"/>
          <w:sz w:val="24"/>
          <w:szCs w:val="24"/>
        </w:rPr>
        <w:t>Sejarah/Budaya</w:t>
      </w:r>
      <w:r w:rsidR="00A954D0">
        <w:rPr>
          <w:rFonts w:ascii="Bookman Old Style" w:hAnsi="Bookman Old Style"/>
          <w:sz w:val="24"/>
          <w:szCs w:val="24"/>
        </w:rPr>
        <w:t xml:space="preserve"> </w:t>
      </w:r>
      <w:r w:rsidRPr="00C257F6">
        <w:rPr>
          <w:rFonts w:ascii="Bookman Old Style" w:hAnsi="Bookman Old Style"/>
          <w:sz w:val="24"/>
          <w:szCs w:val="24"/>
        </w:rPr>
        <w:t>Rp500.000.000,00</w:t>
      </w:r>
      <w:r w:rsidR="0065744F">
        <w:rPr>
          <w:rFonts w:ascii="Bookman Old Style" w:hAnsi="Bookman Old Style"/>
          <w:sz w:val="24"/>
          <w:szCs w:val="24"/>
          <w:lang w:val="en-US"/>
        </w:rPr>
        <w:t>.</w:t>
      </w:r>
    </w:p>
    <w:p w14:paraId="62615407" w14:textId="000EC925" w:rsidR="003B7FE4" w:rsidRPr="00C257F6" w:rsidRDefault="003B7FE4" w:rsidP="0065744F">
      <w:pPr>
        <w:pStyle w:val="ListParagraph"/>
        <w:numPr>
          <w:ilvl w:val="0"/>
          <w:numId w:val="26"/>
        </w:numPr>
        <w:spacing w:before="60" w:after="0" w:line="276" w:lineRule="auto"/>
        <w:ind w:left="2268" w:hanging="567"/>
        <w:contextualSpacing w:val="0"/>
        <w:jc w:val="both"/>
        <w:rPr>
          <w:rFonts w:ascii="Bookman Old Style" w:hAnsi="Bookman Old Style"/>
          <w:sz w:val="24"/>
          <w:szCs w:val="24"/>
        </w:rPr>
      </w:pPr>
      <w:r w:rsidRPr="00C257F6">
        <w:rPr>
          <w:rFonts w:ascii="Bookman Old Style" w:hAnsi="Bookman Old Style"/>
          <w:sz w:val="24"/>
          <w:szCs w:val="24"/>
        </w:rPr>
        <w:t>Belanja</w:t>
      </w:r>
      <w:r w:rsidR="00A954D0">
        <w:rPr>
          <w:rFonts w:ascii="Bookman Old Style" w:hAnsi="Bookman Old Style"/>
          <w:sz w:val="24"/>
          <w:szCs w:val="24"/>
        </w:rPr>
        <w:t xml:space="preserve"> </w:t>
      </w:r>
      <w:r w:rsidRPr="00C257F6">
        <w:rPr>
          <w:rFonts w:ascii="Bookman Old Style" w:hAnsi="Bookman Old Style"/>
          <w:sz w:val="24"/>
          <w:szCs w:val="24"/>
        </w:rPr>
        <w:t>Pemeliharaan</w:t>
      </w:r>
      <w:r w:rsidR="00A954D0">
        <w:rPr>
          <w:rFonts w:ascii="Bookman Old Style" w:hAnsi="Bookman Old Style"/>
          <w:sz w:val="24"/>
          <w:szCs w:val="24"/>
        </w:rPr>
        <w:t xml:space="preserve"> </w:t>
      </w:r>
      <w:r w:rsidR="000500F3" w:rsidRPr="00C257F6">
        <w:rPr>
          <w:rFonts w:ascii="Bookman Old Style" w:hAnsi="Bookman Old Style"/>
          <w:sz w:val="24"/>
          <w:szCs w:val="24"/>
        </w:rPr>
        <w:t>Rp72.421.000.831,00</w:t>
      </w:r>
      <w:r w:rsidR="00A954D0">
        <w:rPr>
          <w:rFonts w:ascii="Bookman Old Style" w:hAnsi="Bookman Old Style"/>
          <w:sz w:val="24"/>
          <w:szCs w:val="24"/>
        </w:rPr>
        <w:t xml:space="preserve"> </w:t>
      </w:r>
      <w:r w:rsidR="000500F3" w:rsidRPr="00C257F6">
        <w:rPr>
          <w:rFonts w:ascii="Bookman Old Style" w:hAnsi="Bookman Old Style"/>
          <w:sz w:val="24"/>
          <w:szCs w:val="24"/>
        </w:rPr>
        <w:t>atau</w:t>
      </w:r>
      <w:r w:rsidR="00A954D0">
        <w:rPr>
          <w:rFonts w:ascii="Bookman Old Style" w:hAnsi="Bookman Old Style"/>
          <w:sz w:val="24"/>
          <w:szCs w:val="24"/>
        </w:rPr>
        <w:t xml:space="preserve"> </w:t>
      </w:r>
      <w:r w:rsidR="000500F3" w:rsidRPr="00C257F6">
        <w:rPr>
          <w:rFonts w:ascii="Bookman Old Style" w:hAnsi="Bookman Old Style"/>
          <w:sz w:val="24"/>
          <w:szCs w:val="24"/>
        </w:rPr>
        <w:t>1,27%</w:t>
      </w:r>
      <w:r w:rsidR="00A954D0">
        <w:rPr>
          <w:rFonts w:ascii="Bookman Old Style" w:hAnsi="Bookman Old Style"/>
          <w:sz w:val="24"/>
          <w:szCs w:val="24"/>
          <w:lang w:val="en-US"/>
        </w:rPr>
        <w:t xml:space="preserve"> </w:t>
      </w:r>
      <w:r w:rsidRPr="00C257F6">
        <w:rPr>
          <w:rFonts w:ascii="Bookman Old Style" w:hAnsi="Bookman Old Style"/>
          <w:sz w:val="24"/>
          <w:szCs w:val="24"/>
        </w:rPr>
        <w:t>dari</w:t>
      </w:r>
      <w:r w:rsidR="00A954D0">
        <w:rPr>
          <w:rFonts w:ascii="Bookman Old Style" w:hAnsi="Bookman Old Style"/>
          <w:sz w:val="24"/>
          <w:szCs w:val="24"/>
        </w:rPr>
        <w:t xml:space="preserve"> </w:t>
      </w:r>
      <w:r w:rsidRPr="00C257F6">
        <w:rPr>
          <w:rFonts w:ascii="Bookman Old Style" w:hAnsi="Bookman Old Style"/>
          <w:sz w:val="24"/>
          <w:szCs w:val="24"/>
        </w:rPr>
        <w:t>total</w:t>
      </w:r>
      <w:r w:rsidR="00A954D0">
        <w:rPr>
          <w:rFonts w:ascii="Bookman Old Style" w:hAnsi="Bookman Old Style"/>
          <w:sz w:val="24"/>
          <w:szCs w:val="24"/>
        </w:rPr>
        <w:t xml:space="preserve"> </w:t>
      </w:r>
      <w:r w:rsidRPr="00C257F6">
        <w:rPr>
          <w:rFonts w:ascii="Bookman Old Style" w:hAnsi="Bookman Old Style"/>
          <w:sz w:val="24"/>
          <w:szCs w:val="24"/>
        </w:rPr>
        <w:t>belanja</w:t>
      </w:r>
      <w:r w:rsidR="00A954D0">
        <w:rPr>
          <w:rFonts w:ascii="Bookman Old Style" w:hAnsi="Bookman Old Style"/>
          <w:sz w:val="24"/>
          <w:szCs w:val="24"/>
        </w:rPr>
        <w:t xml:space="preserve"> </w:t>
      </w:r>
      <w:r w:rsidRPr="00C257F6">
        <w:rPr>
          <w:rFonts w:ascii="Bookman Old Style" w:hAnsi="Bookman Old Style"/>
          <w:sz w:val="24"/>
          <w:szCs w:val="24"/>
        </w:rPr>
        <w:t>daerah</w:t>
      </w:r>
      <w:r w:rsidR="00A954D0">
        <w:rPr>
          <w:rFonts w:ascii="Bookman Old Style" w:hAnsi="Bookman Old Style"/>
          <w:sz w:val="24"/>
          <w:szCs w:val="24"/>
        </w:rPr>
        <w:t xml:space="preserve"> </w:t>
      </w:r>
      <w:r w:rsidRPr="00C257F6">
        <w:rPr>
          <w:rFonts w:ascii="Bookman Old Style" w:hAnsi="Bookman Old Style"/>
          <w:sz w:val="24"/>
          <w:szCs w:val="24"/>
        </w:rPr>
        <w:t>dalam</w:t>
      </w:r>
      <w:r w:rsidR="00A954D0">
        <w:rPr>
          <w:rFonts w:ascii="Bookman Old Style" w:hAnsi="Bookman Old Style"/>
          <w:sz w:val="24"/>
          <w:szCs w:val="24"/>
        </w:rPr>
        <w:t xml:space="preserve"> </w:t>
      </w:r>
      <w:r w:rsidRPr="00C257F6">
        <w:rPr>
          <w:rFonts w:ascii="Bookman Old Style" w:hAnsi="Bookman Old Style"/>
          <w:sz w:val="24"/>
          <w:szCs w:val="24"/>
        </w:rPr>
        <w:t>Rancangan</w:t>
      </w:r>
      <w:r w:rsidR="00A954D0">
        <w:rPr>
          <w:rFonts w:ascii="Bookman Old Style" w:hAnsi="Bookman Old Style"/>
          <w:sz w:val="24"/>
          <w:szCs w:val="24"/>
        </w:rPr>
        <w:t xml:space="preserve"> </w:t>
      </w:r>
      <w:r w:rsidRPr="00C257F6">
        <w:rPr>
          <w:rFonts w:ascii="Bookman Old Style" w:hAnsi="Bookman Old Style"/>
          <w:sz w:val="24"/>
          <w:szCs w:val="24"/>
        </w:rPr>
        <w:t>Peraturan</w:t>
      </w:r>
      <w:r w:rsidR="00A954D0">
        <w:rPr>
          <w:rFonts w:ascii="Bookman Old Style" w:hAnsi="Bookman Old Style"/>
          <w:sz w:val="24"/>
          <w:szCs w:val="24"/>
        </w:rPr>
        <w:t xml:space="preserve"> </w:t>
      </w:r>
      <w:r w:rsidRPr="00C257F6">
        <w:rPr>
          <w:rFonts w:ascii="Bookman Old Style" w:hAnsi="Bookman Old Style"/>
          <w:sz w:val="24"/>
          <w:szCs w:val="24"/>
        </w:rPr>
        <w:t>Daerah</w:t>
      </w:r>
      <w:r w:rsidR="00A954D0">
        <w:rPr>
          <w:rFonts w:ascii="Bookman Old Style" w:hAnsi="Bookman Old Style"/>
          <w:sz w:val="24"/>
          <w:szCs w:val="24"/>
        </w:rPr>
        <w:t xml:space="preserve"> </w:t>
      </w:r>
      <w:r w:rsidR="00B055C5" w:rsidRPr="00C257F6">
        <w:rPr>
          <w:rFonts w:ascii="Bookman Old Style" w:hAnsi="Bookman Old Style"/>
          <w:sz w:val="24"/>
          <w:szCs w:val="24"/>
        </w:rPr>
        <w:t>Kota</w:t>
      </w:r>
      <w:r w:rsidR="00A954D0">
        <w:rPr>
          <w:rFonts w:ascii="Bookman Old Style" w:hAnsi="Bookman Old Style"/>
          <w:sz w:val="24"/>
          <w:szCs w:val="24"/>
        </w:rPr>
        <w:t xml:space="preserve"> </w:t>
      </w:r>
      <w:r w:rsidR="00770F22" w:rsidRPr="00C257F6">
        <w:rPr>
          <w:rFonts w:ascii="Bookman Old Style" w:hAnsi="Bookman Old Style"/>
          <w:sz w:val="24"/>
          <w:szCs w:val="24"/>
        </w:rPr>
        <w:t>Tangerang</w:t>
      </w:r>
      <w:r w:rsidR="00A954D0">
        <w:rPr>
          <w:rFonts w:ascii="Bookman Old Style" w:hAnsi="Bookman Old Style"/>
          <w:sz w:val="24"/>
          <w:szCs w:val="24"/>
        </w:rPr>
        <w:t xml:space="preserve"> </w:t>
      </w:r>
      <w:r w:rsidR="00BE6ED9" w:rsidRPr="00C257F6">
        <w:rPr>
          <w:rFonts w:ascii="Bookman Old Style" w:hAnsi="Bookman Old Style"/>
          <w:sz w:val="24"/>
          <w:szCs w:val="24"/>
        </w:rPr>
        <w:t>tentang</w:t>
      </w:r>
      <w:r w:rsidR="00A954D0">
        <w:rPr>
          <w:rFonts w:ascii="Bookman Old Style" w:hAnsi="Bookman Old Style"/>
          <w:sz w:val="24"/>
          <w:szCs w:val="24"/>
        </w:rPr>
        <w:t xml:space="preserve"> </w:t>
      </w:r>
      <w:r w:rsidR="00BE6ED9" w:rsidRPr="00C257F6">
        <w:rPr>
          <w:rFonts w:ascii="Bookman Old Style" w:hAnsi="Bookman Old Style"/>
          <w:sz w:val="24"/>
          <w:szCs w:val="24"/>
        </w:rPr>
        <w:t>APBD</w:t>
      </w:r>
      <w:r w:rsidR="00A954D0">
        <w:rPr>
          <w:rFonts w:ascii="Bookman Old Style" w:hAnsi="Bookman Old Style"/>
          <w:sz w:val="24"/>
          <w:szCs w:val="24"/>
        </w:rPr>
        <w:t xml:space="preserve"> </w:t>
      </w:r>
      <w:r w:rsidRPr="00C257F6">
        <w:rPr>
          <w:rFonts w:ascii="Bookman Old Style" w:hAnsi="Bookman Old Style"/>
          <w:sz w:val="24"/>
          <w:szCs w:val="24"/>
        </w:rPr>
        <w:t>Tahun</w:t>
      </w:r>
      <w:r w:rsidR="00A954D0">
        <w:rPr>
          <w:rFonts w:ascii="Bookman Old Style" w:hAnsi="Bookman Old Style"/>
          <w:sz w:val="24"/>
          <w:szCs w:val="24"/>
        </w:rPr>
        <w:t xml:space="preserve"> </w:t>
      </w:r>
      <w:r w:rsidRPr="00C257F6">
        <w:rPr>
          <w:rFonts w:ascii="Bookman Old Style" w:hAnsi="Bookman Old Style"/>
          <w:sz w:val="24"/>
          <w:szCs w:val="24"/>
        </w:rPr>
        <w:t>Anggaran</w:t>
      </w:r>
      <w:r w:rsidR="00A954D0">
        <w:rPr>
          <w:rFonts w:ascii="Bookman Old Style" w:hAnsi="Bookman Old Style"/>
          <w:sz w:val="24"/>
          <w:szCs w:val="24"/>
        </w:rPr>
        <w:t xml:space="preserve"> </w:t>
      </w:r>
      <w:r w:rsidRPr="00C257F6">
        <w:rPr>
          <w:rFonts w:ascii="Bookman Old Style" w:hAnsi="Bookman Old Style"/>
          <w:sz w:val="24"/>
          <w:szCs w:val="24"/>
        </w:rPr>
        <w:t>2025,</w:t>
      </w:r>
      <w:r w:rsidR="00A954D0">
        <w:rPr>
          <w:rFonts w:ascii="Bookman Old Style" w:hAnsi="Bookman Old Style"/>
          <w:sz w:val="24"/>
          <w:szCs w:val="24"/>
        </w:rPr>
        <w:t xml:space="preserve"> </w:t>
      </w:r>
      <w:r w:rsidRPr="00C257F6">
        <w:rPr>
          <w:rFonts w:ascii="Bookman Old Style" w:hAnsi="Bookman Old Style"/>
          <w:sz w:val="24"/>
          <w:szCs w:val="24"/>
          <w:lang w:val="en-US"/>
        </w:rPr>
        <w:t>yang</w:t>
      </w:r>
      <w:r w:rsidR="00A954D0">
        <w:rPr>
          <w:rFonts w:ascii="Bookman Old Style" w:hAnsi="Bookman Old Style"/>
          <w:sz w:val="24"/>
          <w:szCs w:val="24"/>
          <w:lang w:val="en-US"/>
        </w:rPr>
        <w:t xml:space="preserve"> </w:t>
      </w:r>
      <w:r w:rsidRPr="00C257F6">
        <w:rPr>
          <w:rFonts w:ascii="Bookman Old Style" w:hAnsi="Bookman Old Style"/>
          <w:sz w:val="24"/>
          <w:szCs w:val="24"/>
        </w:rPr>
        <w:t>antara</w:t>
      </w:r>
      <w:r w:rsidR="00A954D0">
        <w:rPr>
          <w:rFonts w:ascii="Bookman Old Style" w:hAnsi="Bookman Old Style"/>
          <w:sz w:val="24"/>
          <w:szCs w:val="24"/>
        </w:rPr>
        <w:t xml:space="preserve"> </w:t>
      </w:r>
      <w:r w:rsidRPr="00C257F6">
        <w:rPr>
          <w:rFonts w:ascii="Bookman Old Style" w:hAnsi="Bookman Old Style"/>
          <w:sz w:val="24"/>
          <w:szCs w:val="24"/>
        </w:rPr>
        <w:t>lain</w:t>
      </w:r>
      <w:r w:rsidR="00A954D0">
        <w:rPr>
          <w:rFonts w:ascii="Bookman Old Style" w:hAnsi="Bookman Old Style"/>
          <w:sz w:val="24"/>
          <w:szCs w:val="24"/>
        </w:rPr>
        <w:t xml:space="preserve"> </w:t>
      </w:r>
      <w:r w:rsidRPr="00C257F6">
        <w:rPr>
          <w:rFonts w:ascii="Bookman Old Style" w:hAnsi="Bookman Old Style"/>
          <w:sz w:val="24"/>
          <w:szCs w:val="24"/>
        </w:rPr>
        <w:t>diuraikan</w:t>
      </w:r>
      <w:r w:rsidR="00A954D0">
        <w:rPr>
          <w:rFonts w:ascii="Bookman Old Style" w:hAnsi="Bookman Old Style"/>
          <w:sz w:val="24"/>
          <w:szCs w:val="24"/>
        </w:rPr>
        <w:t xml:space="preserve"> </w:t>
      </w:r>
      <w:r w:rsidRPr="00C257F6">
        <w:rPr>
          <w:rFonts w:ascii="Bookman Old Style" w:hAnsi="Bookman Old Style"/>
          <w:sz w:val="24"/>
          <w:szCs w:val="24"/>
        </w:rPr>
        <w:t>ke</w:t>
      </w:r>
      <w:r w:rsidR="00A954D0">
        <w:rPr>
          <w:rFonts w:ascii="Bookman Old Style" w:hAnsi="Bookman Old Style"/>
          <w:sz w:val="24"/>
          <w:szCs w:val="24"/>
        </w:rPr>
        <w:t xml:space="preserve"> </w:t>
      </w:r>
      <w:r w:rsidRPr="00C257F6">
        <w:rPr>
          <w:rFonts w:ascii="Bookman Old Style" w:hAnsi="Bookman Old Style"/>
          <w:sz w:val="24"/>
          <w:szCs w:val="24"/>
        </w:rPr>
        <w:t>dalam</w:t>
      </w:r>
      <w:r w:rsidR="00A954D0">
        <w:rPr>
          <w:rFonts w:ascii="Bookman Old Style" w:hAnsi="Bookman Old Style"/>
          <w:sz w:val="24"/>
          <w:szCs w:val="24"/>
        </w:rPr>
        <w:t xml:space="preserve"> </w:t>
      </w:r>
      <w:r w:rsidRPr="00C257F6">
        <w:rPr>
          <w:rFonts w:ascii="Bookman Old Style" w:hAnsi="Bookman Old Style"/>
          <w:sz w:val="24"/>
          <w:szCs w:val="24"/>
        </w:rPr>
        <w:t>rincian</w:t>
      </w:r>
      <w:r w:rsidR="00A954D0">
        <w:rPr>
          <w:rFonts w:ascii="Bookman Old Style" w:hAnsi="Bookman Old Style"/>
          <w:sz w:val="24"/>
          <w:szCs w:val="24"/>
        </w:rPr>
        <w:t xml:space="preserve"> </w:t>
      </w:r>
      <w:r w:rsidRPr="00C257F6">
        <w:rPr>
          <w:rFonts w:ascii="Bookman Old Style" w:hAnsi="Bookman Old Style"/>
          <w:sz w:val="24"/>
          <w:szCs w:val="24"/>
        </w:rPr>
        <w:t>objek</w:t>
      </w:r>
      <w:r w:rsidR="00A954D0">
        <w:rPr>
          <w:rFonts w:ascii="Bookman Old Style" w:hAnsi="Bookman Old Style"/>
          <w:sz w:val="24"/>
          <w:szCs w:val="24"/>
          <w:lang w:val="en-US"/>
        </w:rPr>
        <w:t xml:space="preserve"> </w:t>
      </w:r>
      <w:r w:rsidRPr="00C257F6">
        <w:rPr>
          <w:rFonts w:ascii="Bookman Old Style" w:hAnsi="Bookman Old Style"/>
          <w:sz w:val="24"/>
          <w:szCs w:val="24"/>
          <w:lang w:val="en-US"/>
        </w:rPr>
        <w:t>belanja</w:t>
      </w:r>
      <w:r w:rsidRPr="00C257F6">
        <w:rPr>
          <w:rFonts w:ascii="Bookman Old Style" w:hAnsi="Bookman Old Style"/>
          <w:sz w:val="24"/>
          <w:szCs w:val="24"/>
        </w:rPr>
        <w:t>:</w:t>
      </w:r>
    </w:p>
    <w:p w14:paraId="4AE179E4" w14:textId="0358FADC" w:rsidR="003B7FE4" w:rsidRPr="00C257F6" w:rsidRDefault="003B7FE4" w:rsidP="00C95C10">
      <w:pPr>
        <w:pStyle w:val="ListParagraph"/>
        <w:numPr>
          <w:ilvl w:val="0"/>
          <w:numId w:val="23"/>
        </w:numPr>
        <w:spacing w:before="60" w:after="0" w:line="276" w:lineRule="auto"/>
        <w:ind w:left="2694" w:hanging="426"/>
        <w:contextualSpacing w:val="0"/>
        <w:jc w:val="both"/>
        <w:rPr>
          <w:rFonts w:ascii="Bookman Old Style" w:hAnsi="Bookman Old Style"/>
          <w:sz w:val="24"/>
          <w:szCs w:val="24"/>
        </w:rPr>
      </w:pPr>
      <w:r w:rsidRPr="00C257F6">
        <w:rPr>
          <w:rFonts w:ascii="Bookman Old Style" w:hAnsi="Bookman Old Style"/>
          <w:sz w:val="24"/>
          <w:szCs w:val="24"/>
        </w:rPr>
        <w:t>Belanja</w:t>
      </w:r>
      <w:r w:rsidR="00A954D0">
        <w:rPr>
          <w:rFonts w:ascii="Bookman Old Style" w:hAnsi="Bookman Old Style"/>
          <w:sz w:val="24"/>
          <w:szCs w:val="24"/>
        </w:rPr>
        <w:t xml:space="preserve"> </w:t>
      </w:r>
      <w:r w:rsidRPr="00C257F6">
        <w:rPr>
          <w:rFonts w:ascii="Bookman Old Style" w:hAnsi="Bookman Old Style"/>
          <w:sz w:val="24"/>
          <w:szCs w:val="24"/>
        </w:rPr>
        <w:t>Pemeliharaan</w:t>
      </w:r>
      <w:r w:rsidR="00A954D0">
        <w:rPr>
          <w:rFonts w:ascii="Bookman Old Style" w:hAnsi="Bookman Old Style"/>
          <w:sz w:val="24"/>
          <w:szCs w:val="24"/>
        </w:rPr>
        <w:t xml:space="preserve"> </w:t>
      </w:r>
      <w:r w:rsidRPr="00C257F6">
        <w:rPr>
          <w:rFonts w:ascii="Bookman Old Style" w:hAnsi="Bookman Old Style"/>
          <w:sz w:val="24"/>
          <w:szCs w:val="24"/>
        </w:rPr>
        <w:t>Peralatan</w:t>
      </w:r>
      <w:r w:rsidR="00A954D0">
        <w:rPr>
          <w:rFonts w:ascii="Bookman Old Style" w:hAnsi="Bookman Old Style"/>
          <w:sz w:val="24"/>
          <w:szCs w:val="24"/>
        </w:rPr>
        <w:t xml:space="preserve"> </w:t>
      </w:r>
      <w:r w:rsidRPr="00C257F6">
        <w:rPr>
          <w:rFonts w:ascii="Bookman Old Style" w:hAnsi="Bookman Old Style"/>
          <w:sz w:val="24"/>
          <w:szCs w:val="24"/>
        </w:rPr>
        <w:t>dan</w:t>
      </w:r>
      <w:r w:rsidR="00A954D0">
        <w:rPr>
          <w:rFonts w:ascii="Bookman Old Style" w:hAnsi="Bookman Old Style"/>
          <w:sz w:val="24"/>
          <w:szCs w:val="24"/>
        </w:rPr>
        <w:t xml:space="preserve"> </w:t>
      </w:r>
      <w:r w:rsidRPr="00C257F6">
        <w:rPr>
          <w:rFonts w:ascii="Bookman Old Style" w:hAnsi="Bookman Old Style"/>
          <w:sz w:val="24"/>
          <w:szCs w:val="24"/>
        </w:rPr>
        <w:t>Mesin</w:t>
      </w:r>
      <w:r w:rsidR="00A954D0">
        <w:rPr>
          <w:rFonts w:ascii="Bookman Old Style" w:hAnsi="Bookman Old Style"/>
          <w:sz w:val="24"/>
          <w:szCs w:val="24"/>
        </w:rPr>
        <w:t xml:space="preserve"> </w:t>
      </w:r>
      <w:r w:rsidR="000500F3" w:rsidRPr="00C257F6">
        <w:rPr>
          <w:rFonts w:ascii="Bookman Old Style" w:hAnsi="Bookman Old Style"/>
          <w:sz w:val="24"/>
          <w:szCs w:val="24"/>
          <w:lang w:val="en-US"/>
        </w:rPr>
        <w:t>Rp27.255.802.262,00</w:t>
      </w:r>
      <w:r w:rsidR="00A954D0">
        <w:rPr>
          <w:rFonts w:ascii="Bookman Old Style" w:hAnsi="Bookman Old Style"/>
          <w:sz w:val="24"/>
          <w:szCs w:val="24"/>
          <w:lang w:val="en-US"/>
        </w:rPr>
        <w:t xml:space="preserve"> </w:t>
      </w:r>
      <w:r w:rsidR="000500F3" w:rsidRPr="00C257F6">
        <w:rPr>
          <w:rFonts w:ascii="Bookman Old Style" w:hAnsi="Bookman Old Style"/>
          <w:sz w:val="24"/>
          <w:szCs w:val="24"/>
          <w:lang w:val="en-US"/>
        </w:rPr>
        <w:t>atau</w:t>
      </w:r>
      <w:r w:rsidR="00A954D0">
        <w:rPr>
          <w:rFonts w:ascii="Bookman Old Style" w:hAnsi="Bookman Old Style"/>
          <w:sz w:val="24"/>
          <w:szCs w:val="24"/>
          <w:lang w:val="id-ID"/>
        </w:rPr>
        <w:t xml:space="preserve"> </w:t>
      </w:r>
      <w:r w:rsidR="000500F3" w:rsidRPr="00C257F6">
        <w:rPr>
          <w:rFonts w:ascii="Bookman Old Style" w:hAnsi="Bookman Old Style"/>
          <w:sz w:val="24"/>
          <w:szCs w:val="24"/>
          <w:lang w:val="id-ID"/>
        </w:rPr>
        <w:t>0,48%</w:t>
      </w:r>
      <w:r w:rsidR="00A954D0">
        <w:rPr>
          <w:rFonts w:ascii="Bookman Old Style" w:hAnsi="Bookman Old Style"/>
          <w:sz w:val="24"/>
          <w:szCs w:val="24"/>
          <w:lang w:val="id-ID"/>
        </w:rPr>
        <w:t xml:space="preserve"> </w:t>
      </w:r>
      <w:r w:rsidRPr="00C257F6">
        <w:rPr>
          <w:rFonts w:ascii="Bookman Old Style" w:hAnsi="Bookman Old Style"/>
          <w:sz w:val="24"/>
          <w:szCs w:val="24"/>
        </w:rPr>
        <w:t>dari</w:t>
      </w:r>
      <w:r w:rsidR="00A954D0">
        <w:rPr>
          <w:rFonts w:ascii="Bookman Old Style" w:hAnsi="Bookman Old Style"/>
          <w:sz w:val="24"/>
          <w:szCs w:val="24"/>
        </w:rPr>
        <w:t xml:space="preserve"> </w:t>
      </w:r>
      <w:r w:rsidRPr="00C257F6">
        <w:rPr>
          <w:rFonts w:ascii="Bookman Old Style" w:hAnsi="Bookman Old Style"/>
          <w:sz w:val="24"/>
          <w:szCs w:val="24"/>
        </w:rPr>
        <w:t>total</w:t>
      </w:r>
      <w:r w:rsidR="00A954D0">
        <w:rPr>
          <w:rFonts w:ascii="Bookman Old Style" w:hAnsi="Bookman Old Style"/>
          <w:sz w:val="24"/>
          <w:szCs w:val="24"/>
        </w:rPr>
        <w:t xml:space="preserve"> </w:t>
      </w:r>
      <w:r w:rsidRPr="00C257F6">
        <w:rPr>
          <w:rFonts w:ascii="Bookman Old Style" w:hAnsi="Bookman Old Style"/>
          <w:sz w:val="24"/>
          <w:szCs w:val="24"/>
        </w:rPr>
        <w:t>belanja</w:t>
      </w:r>
      <w:r w:rsidR="00A954D0">
        <w:rPr>
          <w:rFonts w:ascii="Bookman Old Style" w:hAnsi="Bookman Old Style"/>
          <w:sz w:val="24"/>
          <w:szCs w:val="24"/>
        </w:rPr>
        <w:t xml:space="preserve"> </w:t>
      </w:r>
      <w:r w:rsidRPr="00C257F6">
        <w:rPr>
          <w:rFonts w:ascii="Bookman Old Style" w:hAnsi="Bookman Old Style"/>
          <w:sz w:val="24"/>
          <w:szCs w:val="24"/>
        </w:rPr>
        <w:t>daerah</w:t>
      </w:r>
      <w:r w:rsidR="00A954D0">
        <w:rPr>
          <w:rFonts w:ascii="Bookman Old Style" w:hAnsi="Bookman Old Style"/>
          <w:sz w:val="24"/>
          <w:szCs w:val="24"/>
        </w:rPr>
        <w:t xml:space="preserve"> </w:t>
      </w:r>
      <w:r w:rsidRPr="00C257F6">
        <w:rPr>
          <w:rFonts w:ascii="Bookman Old Style" w:hAnsi="Bookman Old Style"/>
          <w:sz w:val="24"/>
          <w:szCs w:val="24"/>
        </w:rPr>
        <w:t>dalam</w:t>
      </w:r>
      <w:r w:rsidR="00A954D0">
        <w:rPr>
          <w:rFonts w:ascii="Bookman Old Style" w:hAnsi="Bookman Old Style"/>
          <w:sz w:val="24"/>
          <w:szCs w:val="24"/>
        </w:rPr>
        <w:t xml:space="preserve"> </w:t>
      </w:r>
      <w:r w:rsidRPr="00C257F6">
        <w:rPr>
          <w:rFonts w:ascii="Bookman Old Style" w:hAnsi="Bookman Old Style"/>
          <w:sz w:val="24"/>
          <w:szCs w:val="24"/>
        </w:rPr>
        <w:t>Rancangan</w:t>
      </w:r>
      <w:r w:rsidR="00A954D0">
        <w:rPr>
          <w:rFonts w:ascii="Bookman Old Style" w:hAnsi="Bookman Old Style"/>
          <w:sz w:val="24"/>
          <w:szCs w:val="24"/>
        </w:rPr>
        <w:t xml:space="preserve"> </w:t>
      </w:r>
      <w:r w:rsidRPr="00C257F6">
        <w:rPr>
          <w:rFonts w:ascii="Bookman Old Style" w:hAnsi="Bookman Old Style"/>
          <w:sz w:val="24"/>
          <w:szCs w:val="24"/>
        </w:rPr>
        <w:t>Peraturan</w:t>
      </w:r>
      <w:r w:rsidR="00A954D0">
        <w:rPr>
          <w:rFonts w:ascii="Bookman Old Style" w:hAnsi="Bookman Old Style"/>
          <w:sz w:val="24"/>
          <w:szCs w:val="24"/>
        </w:rPr>
        <w:t xml:space="preserve"> </w:t>
      </w:r>
      <w:r w:rsidRPr="00C257F6">
        <w:rPr>
          <w:rFonts w:ascii="Bookman Old Style" w:hAnsi="Bookman Old Style"/>
          <w:sz w:val="24"/>
          <w:szCs w:val="24"/>
        </w:rPr>
        <w:t>Daerah</w:t>
      </w:r>
      <w:r w:rsidR="00A954D0">
        <w:rPr>
          <w:rFonts w:ascii="Bookman Old Style" w:hAnsi="Bookman Old Style"/>
          <w:sz w:val="24"/>
          <w:szCs w:val="24"/>
        </w:rPr>
        <w:t xml:space="preserve"> </w:t>
      </w:r>
      <w:r w:rsidR="00B055C5" w:rsidRPr="00C257F6">
        <w:rPr>
          <w:rFonts w:ascii="Bookman Old Style" w:hAnsi="Bookman Old Style"/>
          <w:sz w:val="24"/>
          <w:szCs w:val="24"/>
        </w:rPr>
        <w:t>Kota</w:t>
      </w:r>
      <w:r w:rsidR="00A954D0">
        <w:rPr>
          <w:rFonts w:ascii="Bookman Old Style" w:hAnsi="Bookman Old Style"/>
          <w:sz w:val="24"/>
          <w:szCs w:val="24"/>
        </w:rPr>
        <w:t xml:space="preserve"> </w:t>
      </w:r>
      <w:r w:rsidR="00770F22" w:rsidRPr="00C257F6">
        <w:rPr>
          <w:rFonts w:ascii="Bookman Old Style" w:hAnsi="Bookman Old Style"/>
          <w:sz w:val="24"/>
          <w:szCs w:val="24"/>
        </w:rPr>
        <w:t>Tangerang</w:t>
      </w:r>
      <w:r w:rsidR="00A954D0">
        <w:rPr>
          <w:rFonts w:ascii="Bookman Old Style" w:hAnsi="Bookman Old Style"/>
          <w:sz w:val="24"/>
          <w:szCs w:val="24"/>
        </w:rPr>
        <w:t xml:space="preserve"> </w:t>
      </w:r>
      <w:r w:rsidR="00BE6ED9" w:rsidRPr="00C257F6">
        <w:rPr>
          <w:rFonts w:ascii="Bookman Old Style" w:hAnsi="Bookman Old Style"/>
          <w:sz w:val="24"/>
          <w:szCs w:val="24"/>
        </w:rPr>
        <w:t>tentang</w:t>
      </w:r>
      <w:r w:rsidR="00A954D0">
        <w:rPr>
          <w:rFonts w:ascii="Bookman Old Style" w:hAnsi="Bookman Old Style"/>
          <w:sz w:val="24"/>
          <w:szCs w:val="24"/>
        </w:rPr>
        <w:t xml:space="preserve"> </w:t>
      </w:r>
      <w:r w:rsidR="00BE6ED9" w:rsidRPr="00C257F6">
        <w:rPr>
          <w:rFonts w:ascii="Bookman Old Style" w:hAnsi="Bookman Old Style"/>
          <w:sz w:val="24"/>
          <w:szCs w:val="24"/>
        </w:rPr>
        <w:t>APBD</w:t>
      </w:r>
      <w:r w:rsidR="00A954D0">
        <w:rPr>
          <w:rFonts w:ascii="Bookman Old Style" w:hAnsi="Bookman Old Style"/>
          <w:sz w:val="24"/>
          <w:szCs w:val="24"/>
        </w:rPr>
        <w:t xml:space="preserve"> </w:t>
      </w:r>
      <w:r w:rsidRPr="00C257F6">
        <w:rPr>
          <w:rFonts w:ascii="Bookman Old Style" w:hAnsi="Bookman Old Style"/>
          <w:sz w:val="24"/>
          <w:szCs w:val="24"/>
        </w:rPr>
        <w:t>Tahun</w:t>
      </w:r>
      <w:r w:rsidR="00A954D0">
        <w:rPr>
          <w:rFonts w:ascii="Bookman Old Style" w:hAnsi="Bookman Old Style"/>
          <w:sz w:val="24"/>
          <w:szCs w:val="24"/>
        </w:rPr>
        <w:t xml:space="preserve"> </w:t>
      </w:r>
      <w:r w:rsidRPr="00C257F6">
        <w:rPr>
          <w:rFonts w:ascii="Bookman Old Style" w:hAnsi="Bookman Old Style"/>
          <w:sz w:val="24"/>
          <w:szCs w:val="24"/>
        </w:rPr>
        <w:t>Anggaran</w:t>
      </w:r>
      <w:r w:rsidR="00A954D0">
        <w:rPr>
          <w:rFonts w:ascii="Bookman Old Style" w:hAnsi="Bookman Old Style"/>
          <w:sz w:val="24"/>
          <w:szCs w:val="24"/>
        </w:rPr>
        <w:t xml:space="preserve"> </w:t>
      </w:r>
      <w:r w:rsidRPr="00C257F6">
        <w:rPr>
          <w:rFonts w:ascii="Bookman Old Style" w:hAnsi="Bookman Old Style"/>
          <w:sz w:val="24"/>
          <w:szCs w:val="24"/>
        </w:rPr>
        <w:t>2025,</w:t>
      </w:r>
      <w:r w:rsidR="00A954D0">
        <w:rPr>
          <w:rFonts w:ascii="Bookman Old Style" w:hAnsi="Bookman Old Style"/>
          <w:sz w:val="24"/>
          <w:szCs w:val="24"/>
        </w:rPr>
        <w:t xml:space="preserve"> </w:t>
      </w:r>
      <w:r w:rsidRPr="00C257F6">
        <w:rPr>
          <w:rFonts w:ascii="Bookman Old Style" w:hAnsi="Bookman Old Style"/>
          <w:sz w:val="24"/>
          <w:szCs w:val="24"/>
        </w:rPr>
        <w:t>yang</w:t>
      </w:r>
      <w:r w:rsidR="00A954D0">
        <w:rPr>
          <w:rFonts w:ascii="Bookman Old Style" w:hAnsi="Bookman Old Style"/>
          <w:sz w:val="24"/>
          <w:szCs w:val="24"/>
        </w:rPr>
        <w:t xml:space="preserve"> </w:t>
      </w:r>
      <w:r w:rsidRPr="00C257F6">
        <w:rPr>
          <w:rFonts w:ascii="Bookman Old Style" w:hAnsi="Bookman Old Style"/>
          <w:sz w:val="24"/>
          <w:szCs w:val="24"/>
          <w:lang w:val="en-US"/>
        </w:rPr>
        <w:t>antara</w:t>
      </w:r>
      <w:r w:rsidR="00A954D0">
        <w:rPr>
          <w:rFonts w:ascii="Bookman Old Style" w:hAnsi="Bookman Old Style"/>
          <w:sz w:val="24"/>
          <w:szCs w:val="24"/>
          <w:lang w:val="en-US"/>
        </w:rPr>
        <w:t xml:space="preserve"> </w:t>
      </w:r>
      <w:r w:rsidRPr="00C257F6">
        <w:rPr>
          <w:rFonts w:ascii="Bookman Old Style" w:hAnsi="Bookman Old Style"/>
          <w:sz w:val="24"/>
          <w:szCs w:val="24"/>
          <w:lang w:val="en-US"/>
        </w:rPr>
        <w:t>lain</w:t>
      </w:r>
      <w:r w:rsidR="00A954D0">
        <w:rPr>
          <w:rFonts w:ascii="Bookman Old Style" w:hAnsi="Bookman Old Style"/>
          <w:sz w:val="24"/>
          <w:szCs w:val="24"/>
          <w:lang w:val="en-US"/>
        </w:rPr>
        <w:t xml:space="preserve"> </w:t>
      </w:r>
      <w:r w:rsidRPr="00C257F6">
        <w:rPr>
          <w:rFonts w:ascii="Bookman Old Style" w:hAnsi="Bookman Old Style"/>
          <w:sz w:val="24"/>
          <w:szCs w:val="24"/>
        </w:rPr>
        <w:t>diuraikan</w:t>
      </w:r>
      <w:r w:rsidR="00A954D0">
        <w:rPr>
          <w:rFonts w:ascii="Bookman Old Style" w:hAnsi="Bookman Old Style"/>
          <w:sz w:val="24"/>
          <w:szCs w:val="24"/>
        </w:rPr>
        <w:t xml:space="preserve"> </w:t>
      </w:r>
      <w:r w:rsidRPr="00C257F6">
        <w:rPr>
          <w:rFonts w:ascii="Bookman Old Style" w:hAnsi="Bookman Old Style"/>
          <w:sz w:val="24"/>
          <w:szCs w:val="24"/>
        </w:rPr>
        <w:t>ke</w:t>
      </w:r>
      <w:r w:rsidR="00A954D0">
        <w:rPr>
          <w:rFonts w:ascii="Bookman Old Style" w:hAnsi="Bookman Old Style"/>
          <w:sz w:val="24"/>
          <w:szCs w:val="24"/>
        </w:rPr>
        <w:t xml:space="preserve"> </w:t>
      </w:r>
      <w:r w:rsidRPr="00C257F6">
        <w:rPr>
          <w:rFonts w:ascii="Bookman Old Style" w:hAnsi="Bookman Old Style"/>
          <w:sz w:val="24"/>
          <w:szCs w:val="24"/>
        </w:rPr>
        <w:t>dalam</w:t>
      </w:r>
      <w:r w:rsidR="00A954D0">
        <w:rPr>
          <w:rFonts w:ascii="Bookman Old Style" w:hAnsi="Bookman Old Style"/>
          <w:sz w:val="24"/>
          <w:szCs w:val="24"/>
        </w:rPr>
        <w:t xml:space="preserve"> </w:t>
      </w:r>
      <w:r w:rsidRPr="00C257F6">
        <w:rPr>
          <w:rFonts w:ascii="Bookman Old Style" w:hAnsi="Bookman Old Style"/>
          <w:sz w:val="24"/>
          <w:szCs w:val="24"/>
        </w:rPr>
        <w:t>sub</w:t>
      </w:r>
      <w:r w:rsidR="00A954D0">
        <w:rPr>
          <w:rFonts w:ascii="Bookman Old Style" w:hAnsi="Bookman Old Style"/>
          <w:sz w:val="24"/>
          <w:szCs w:val="24"/>
        </w:rPr>
        <w:t xml:space="preserve"> </w:t>
      </w:r>
      <w:r w:rsidRPr="00C257F6">
        <w:rPr>
          <w:rFonts w:ascii="Bookman Old Style" w:hAnsi="Bookman Old Style"/>
          <w:sz w:val="24"/>
          <w:szCs w:val="24"/>
        </w:rPr>
        <w:t>rincian</w:t>
      </w:r>
      <w:r w:rsidR="00A954D0">
        <w:rPr>
          <w:rFonts w:ascii="Bookman Old Style" w:hAnsi="Bookman Old Style"/>
          <w:sz w:val="24"/>
          <w:szCs w:val="24"/>
        </w:rPr>
        <w:t xml:space="preserve"> </w:t>
      </w:r>
      <w:r w:rsidRPr="00C257F6">
        <w:rPr>
          <w:rFonts w:ascii="Bookman Old Style" w:hAnsi="Bookman Old Style"/>
          <w:sz w:val="24"/>
          <w:szCs w:val="24"/>
        </w:rPr>
        <w:t>objek</w:t>
      </w:r>
      <w:r w:rsidR="00A954D0">
        <w:rPr>
          <w:rFonts w:ascii="Bookman Old Style" w:hAnsi="Bookman Old Style"/>
          <w:sz w:val="24"/>
          <w:szCs w:val="24"/>
          <w:lang w:val="en-US"/>
        </w:rPr>
        <w:t xml:space="preserve"> </w:t>
      </w:r>
      <w:r w:rsidRPr="00C257F6">
        <w:rPr>
          <w:rFonts w:ascii="Bookman Old Style" w:hAnsi="Bookman Old Style"/>
          <w:sz w:val="24"/>
          <w:szCs w:val="24"/>
          <w:lang w:val="en-US"/>
        </w:rPr>
        <w:t>belanja:</w:t>
      </w:r>
    </w:p>
    <w:p w14:paraId="18D30E89" w14:textId="6F4BC2C5" w:rsidR="009836B4" w:rsidRPr="00C257F6" w:rsidRDefault="009836B4" w:rsidP="00C95C10">
      <w:pPr>
        <w:pStyle w:val="ListParagraph"/>
        <w:numPr>
          <w:ilvl w:val="0"/>
          <w:numId w:val="74"/>
        </w:numPr>
        <w:snapToGrid w:val="0"/>
        <w:spacing w:before="60" w:after="0" w:line="276" w:lineRule="auto"/>
        <w:ind w:left="3261" w:hanging="567"/>
        <w:contextualSpacing w:val="0"/>
        <w:jc w:val="both"/>
        <w:rPr>
          <w:rFonts w:ascii="Bookman Old Style" w:hAnsi="Bookman Old Style"/>
          <w:sz w:val="24"/>
          <w:szCs w:val="24"/>
        </w:rPr>
      </w:pPr>
      <w:r w:rsidRPr="00C257F6">
        <w:rPr>
          <w:rFonts w:ascii="Bookman Old Style" w:hAnsi="Bookman Old Style"/>
          <w:sz w:val="24"/>
          <w:szCs w:val="24"/>
        </w:rPr>
        <w:t>Belanja</w:t>
      </w:r>
      <w:r w:rsidR="00A954D0">
        <w:rPr>
          <w:rFonts w:ascii="Bookman Old Style" w:hAnsi="Bookman Old Style"/>
          <w:sz w:val="24"/>
          <w:szCs w:val="24"/>
        </w:rPr>
        <w:t xml:space="preserve"> </w:t>
      </w:r>
      <w:r w:rsidRPr="00C257F6">
        <w:rPr>
          <w:rFonts w:ascii="Bookman Old Style" w:hAnsi="Bookman Old Style"/>
          <w:sz w:val="24"/>
          <w:szCs w:val="24"/>
        </w:rPr>
        <w:t>Pemeliharaan</w:t>
      </w:r>
      <w:r w:rsidR="00A954D0">
        <w:rPr>
          <w:rFonts w:ascii="Bookman Old Style" w:hAnsi="Bookman Old Style"/>
          <w:sz w:val="24"/>
          <w:szCs w:val="24"/>
        </w:rPr>
        <w:t xml:space="preserve"> </w:t>
      </w:r>
      <w:r w:rsidRPr="00C257F6">
        <w:rPr>
          <w:rFonts w:ascii="Bookman Old Style" w:hAnsi="Bookman Old Style"/>
          <w:sz w:val="24"/>
          <w:szCs w:val="24"/>
        </w:rPr>
        <w:t>Alat</w:t>
      </w:r>
      <w:r w:rsidR="00A954D0">
        <w:rPr>
          <w:rFonts w:ascii="Bookman Old Style" w:hAnsi="Bookman Old Style"/>
          <w:sz w:val="24"/>
          <w:szCs w:val="24"/>
        </w:rPr>
        <w:t xml:space="preserve"> </w:t>
      </w:r>
      <w:r w:rsidRPr="00C257F6">
        <w:rPr>
          <w:rFonts w:ascii="Bookman Old Style" w:hAnsi="Bookman Old Style"/>
          <w:sz w:val="24"/>
          <w:szCs w:val="24"/>
        </w:rPr>
        <w:t>Angkutan-Alat</w:t>
      </w:r>
      <w:r w:rsidR="00A954D0">
        <w:rPr>
          <w:rFonts w:ascii="Bookman Old Style" w:hAnsi="Bookman Old Style"/>
          <w:sz w:val="24"/>
          <w:szCs w:val="24"/>
        </w:rPr>
        <w:t xml:space="preserve"> </w:t>
      </w:r>
      <w:r w:rsidRPr="00C257F6">
        <w:rPr>
          <w:rFonts w:ascii="Bookman Old Style" w:hAnsi="Bookman Old Style"/>
          <w:sz w:val="24"/>
          <w:szCs w:val="24"/>
        </w:rPr>
        <w:t>Angkutan</w:t>
      </w:r>
      <w:r w:rsidR="00A954D0">
        <w:rPr>
          <w:rFonts w:ascii="Bookman Old Style" w:hAnsi="Bookman Old Style"/>
          <w:sz w:val="24"/>
          <w:szCs w:val="24"/>
        </w:rPr>
        <w:t xml:space="preserve"> </w:t>
      </w:r>
      <w:r w:rsidRPr="00C257F6">
        <w:rPr>
          <w:rFonts w:ascii="Bookman Old Style" w:hAnsi="Bookman Old Style"/>
          <w:sz w:val="24"/>
          <w:szCs w:val="24"/>
        </w:rPr>
        <w:t>Darat</w:t>
      </w:r>
      <w:r w:rsidR="00A954D0">
        <w:rPr>
          <w:rFonts w:ascii="Bookman Old Style" w:hAnsi="Bookman Old Style"/>
          <w:sz w:val="24"/>
          <w:szCs w:val="24"/>
        </w:rPr>
        <w:t xml:space="preserve"> </w:t>
      </w:r>
      <w:r w:rsidRPr="00C257F6">
        <w:rPr>
          <w:rFonts w:ascii="Bookman Old Style" w:hAnsi="Bookman Old Style"/>
          <w:sz w:val="24"/>
          <w:szCs w:val="24"/>
        </w:rPr>
        <w:t>Bermotor-Kendaraan</w:t>
      </w:r>
      <w:r w:rsidR="00A954D0">
        <w:rPr>
          <w:rFonts w:ascii="Bookman Old Style" w:hAnsi="Bookman Old Style"/>
          <w:sz w:val="24"/>
          <w:szCs w:val="24"/>
        </w:rPr>
        <w:t xml:space="preserve"> </w:t>
      </w:r>
      <w:r w:rsidRPr="00C257F6">
        <w:rPr>
          <w:rFonts w:ascii="Bookman Old Style" w:hAnsi="Bookman Old Style"/>
          <w:sz w:val="24"/>
          <w:szCs w:val="24"/>
        </w:rPr>
        <w:t>Dinas</w:t>
      </w:r>
      <w:r w:rsidR="00A954D0">
        <w:rPr>
          <w:rFonts w:ascii="Bookman Old Style" w:hAnsi="Bookman Old Style"/>
          <w:sz w:val="24"/>
          <w:szCs w:val="24"/>
        </w:rPr>
        <w:t xml:space="preserve"> </w:t>
      </w:r>
      <w:r w:rsidRPr="00C257F6">
        <w:rPr>
          <w:rFonts w:ascii="Bookman Old Style" w:hAnsi="Bookman Old Style"/>
          <w:sz w:val="24"/>
          <w:szCs w:val="24"/>
        </w:rPr>
        <w:t>Bermotor</w:t>
      </w:r>
      <w:r w:rsidR="00A954D0">
        <w:rPr>
          <w:rFonts w:ascii="Bookman Old Style" w:hAnsi="Bookman Old Style"/>
          <w:sz w:val="24"/>
          <w:szCs w:val="24"/>
        </w:rPr>
        <w:t xml:space="preserve"> </w:t>
      </w:r>
      <w:r w:rsidRPr="00C257F6">
        <w:rPr>
          <w:rFonts w:ascii="Bookman Old Style" w:hAnsi="Bookman Old Style"/>
          <w:sz w:val="24"/>
          <w:szCs w:val="24"/>
        </w:rPr>
        <w:t>Perorangan</w:t>
      </w:r>
      <w:r w:rsidR="00A954D0">
        <w:rPr>
          <w:rFonts w:ascii="Bookman Old Style" w:hAnsi="Bookman Old Style"/>
          <w:sz w:val="24"/>
          <w:szCs w:val="24"/>
        </w:rPr>
        <w:t xml:space="preserve"> </w:t>
      </w:r>
      <w:r w:rsidRPr="00C257F6">
        <w:rPr>
          <w:rFonts w:ascii="Bookman Old Style" w:hAnsi="Bookman Old Style"/>
          <w:sz w:val="24"/>
          <w:szCs w:val="24"/>
        </w:rPr>
        <w:t>Rp2.919.950.000,00</w:t>
      </w:r>
      <w:r w:rsidR="006A1590" w:rsidRPr="00C257F6">
        <w:rPr>
          <w:rFonts w:ascii="Bookman Old Style" w:hAnsi="Bookman Old Style"/>
          <w:sz w:val="24"/>
          <w:szCs w:val="24"/>
        </w:rPr>
        <w:t>;</w:t>
      </w:r>
    </w:p>
    <w:p w14:paraId="73E14FF8" w14:textId="3744754F" w:rsidR="009836B4" w:rsidRPr="00C257F6" w:rsidRDefault="009836B4" w:rsidP="00C95C10">
      <w:pPr>
        <w:pStyle w:val="ListParagraph"/>
        <w:numPr>
          <w:ilvl w:val="0"/>
          <w:numId w:val="74"/>
        </w:numPr>
        <w:snapToGrid w:val="0"/>
        <w:spacing w:before="60" w:after="0" w:line="276" w:lineRule="auto"/>
        <w:ind w:left="3261" w:hanging="567"/>
        <w:contextualSpacing w:val="0"/>
        <w:jc w:val="both"/>
        <w:rPr>
          <w:rFonts w:ascii="Bookman Old Style" w:hAnsi="Bookman Old Style"/>
          <w:sz w:val="24"/>
          <w:szCs w:val="24"/>
        </w:rPr>
      </w:pPr>
      <w:r w:rsidRPr="00C257F6">
        <w:rPr>
          <w:rFonts w:ascii="Bookman Old Style" w:hAnsi="Bookman Old Style"/>
          <w:sz w:val="24"/>
          <w:szCs w:val="24"/>
        </w:rPr>
        <w:lastRenderedPageBreak/>
        <w:t>Belanja</w:t>
      </w:r>
      <w:r w:rsidR="00A954D0">
        <w:rPr>
          <w:rFonts w:ascii="Bookman Old Style" w:hAnsi="Bookman Old Style"/>
          <w:sz w:val="24"/>
          <w:szCs w:val="24"/>
        </w:rPr>
        <w:t xml:space="preserve"> </w:t>
      </w:r>
      <w:r w:rsidRPr="00C257F6">
        <w:rPr>
          <w:rFonts w:ascii="Bookman Old Style" w:hAnsi="Bookman Old Style"/>
          <w:sz w:val="24"/>
          <w:szCs w:val="24"/>
        </w:rPr>
        <w:t>Pemeliharaan</w:t>
      </w:r>
      <w:r w:rsidR="00A954D0">
        <w:rPr>
          <w:rFonts w:ascii="Bookman Old Style" w:hAnsi="Bookman Old Style"/>
          <w:sz w:val="24"/>
          <w:szCs w:val="24"/>
        </w:rPr>
        <w:t xml:space="preserve"> </w:t>
      </w:r>
      <w:r w:rsidRPr="00C257F6">
        <w:rPr>
          <w:rFonts w:ascii="Bookman Old Style" w:hAnsi="Bookman Old Style"/>
          <w:sz w:val="24"/>
          <w:szCs w:val="24"/>
        </w:rPr>
        <w:t>Alat</w:t>
      </w:r>
      <w:r w:rsidR="00A954D0">
        <w:rPr>
          <w:rFonts w:ascii="Bookman Old Style" w:hAnsi="Bookman Old Style"/>
          <w:sz w:val="24"/>
          <w:szCs w:val="24"/>
        </w:rPr>
        <w:t xml:space="preserve"> </w:t>
      </w:r>
      <w:r w:rsidRPr="00C257F6">
        <w:rPr>
          <w:rFonts w:ascii="Bookman Old Style" w:hAnsi="Bookman Old Style"/>
          <w:sz w:val="24"/>
          <w:szCs w:val="24"/>
        </w:rPr>
        <w:t>Angkutan-Alat</w:t>
      </w:r>
      <w:r w:rsidR="00A954D0">
        <w:rPr>
          <w:rFonts w:ascii="Bookman Old Style" w:hAnsi="Bookman Old Style"/>
          <w:sz w:val="24"/>
          <w:szCs w:val="24"/>
        </w:rPr>
        <w:t xml:space="preserve"> </w:t>
      </w:r>
      <w:r w:rsidRPr="00C257F6">
        <w:rPr>
          <w:rFonts w:ascii="Bookman Old Style" w:hAnsi="Bookman Old Style"/>
          <w:sz w:val="24"/>
          <w:szCs w:val="24"/>
        </w:rPr>
        <w:t>Angkutan</w:t>
      </w:r>
      <w:r w:rsidR="00A954D0">
        <w:rPr>
          <w:rFonts w:ascii="Bookman Old Style" w:hAnsi="Bookman Old Style"/>
          <w:sz w:val="24"/>
          <w:szCs w:val="24"/>
        </w:rPr>
        <w:t xml:space="preserve"> </w:t>
      </w:r>
      <w:r w:rsidRPr="00C257F6">
        <w:rPr>
          <w:rFonts w:ascii="Bookman Old Style" w:hAnsi="Bookman Old Style"/>
          <w:sz w:val="24"/>
          <w:szCs w:val="24"/>
        </w:rPr>
        <w:t>Darat</w:t>
      </w:r>
      <w:r w:rsidR="00A954D0">
        <w:rPr>
          <w:rFonts w:ascii="Bookman Old Style" w:hAnsi="Bookman Old Style"/>
          <w:sz w:val="24"/>
          <w:szCs w:val="24"/>
        </w:rPr>
        <w:t xml:space="preserve"> </w:t>
      </w:r>
      <w:r w:rsidRPr="00C257F6">
        <w:rPr>
          <w:rFonts w:ascii="Bookman Old Style" w:hAnsi="Bookman Old Style"/>
          <w:sz w:val="24"/>
          <w:szCs w:val="24"/>
        </w:rPr>
        <w:t>Bermotor-Kendaraan</w:t>
      </w:r>
      <w:r w:rsidR="00A954D0">
        <w:rPr>
          <w:rFonts w:ascii="Bookman Old Style" w:hAnsi="Bookman Old Style"/>
          <w:sz w:val="24"/>
          <w:szCs w:val="24"/>
        </w:rPr>
        <w:t xml:space="preserve"> </w:t>
      </w:r>
      <w:r w:rsidRPr="00C257F6">
        <w:rPr>
          <w:rFonts w:ascii="Bookman Old Style" w:hAnsi="Bookman Old Style"/>
          <w:sz w:val="24"/>
          <w:szCs w:val="24"/>
        </w:rPr>
        <w:t>Bermotor</w:t>
      </w:r>
      <w:r w:rsidR="00A954D0">
        <w:rPr>
          <w:rFonts w:ascii="Bookman Old Style" w:hAnsi="Bookman Old Style"/>
          <w:sz w:val="24"/>
          <w:szCs w:val="24"/>
        </w:rPr>
        <w:t xml:space="preserve"> </w:t>
      </w:r>
      <w:r w:rsidRPr="00C257F6">
        <w:rPr>
          <w:rFonts w:ascii="Bookman Old Style" w:hAnsi="Bookman Old Style"/>
          <w:sz w:val="24"/>
          <w:szCs w:val="24"/>
        </w:rPr>
        <w:t>Penumpang</w:t>
      </w:r>
      <w:r w:rsidR="00A954D0">
        <w:rPr>
          <w:rFonts w:ascii="Bookman Old Style" w:hAnsi="Bookman Old Style"/>
          <w:sz w:val="24"/>
          <w:szCs w:val="24"/>
        </w:rPr>
        <w:t xml:space="preserve"> </w:t>
      </w:r>
      <w:r w:rsidRPr="00C257F6">
        <w:rPr>
          <w:rFonts w:ascii="Bookman Old Style" w:hAnsi="Bookman Old Style"/>
          <w:sz w:val="24"/>
          <w:szCs w:val="24"/>
        </w:rPr>
        <w:t>Rp3.761.300.000,00</w:t>
      </w:r>
      <w:r w:rsidR="006A1590" w:rsidRPr="00C257F6">
        <w:rPr>
          <w:rFonts w:ascii="Bookman Old Style" w:hAnsi="Bookman Old Style"/>
          <w:sz w:val="24"/>
          <w:szCs w:val="24"/>
        </w:rPr>
        <w:t>;</w:t>
      </w:r>
    </w:p>
    <w:p w14:paraId="592BB97C" w14:textId="268C3955" w:rsidR="003B7FE4" w:rsidRPr="00C257F6" w:rsidRDefault="009836B4" w:rsidP="00C95C10">
      <w:pPr>
        <w:pStyle w:val="ListParagraph"/>
        <w:numPr>
          <w:ilvl w:val="0"/>
          <w:numId w:val="74"/>
        </w:numPr>
        <w:snapToGrid w:val="0"/>
        <w:spacing w:before="60" w:after="0" w:line="276" w:lineRule="auto"/>
        <w:ind w:left="3261" w:hanging="567"/>
        <w:contextualSpacing w:val="0"/>
        <w:jc w:val="both"/>
        <w:rPr>
          <w:rFonts w:ascii="Bookman Old Style" w:hAnsi="Bookman Old Style"/>
          <w:sz w:val="24"/>
          <w:szCs w:val="24"/>
        </w:rPr>
      </w:pPr>
      <w:r w:rsidRPr="00C257F6">
        <w:rPr>
          <w:rFonts w:ascii="Bookman Old Style" w:hAnsi="Bookman Old Style"/>
          <w:sz w:val="24"/>
          <w:szCs w:val="24"/>
        </w:rPr>
        <w:t>Belanja</w:t>
      </w:r>
      <w:r w:rsidR="00A954D0">
        <w:rPr>
          <w:rFonts w:ascii="Bookman Old Style" w:hAnsi="Bookman Old Style"/>
          <w:sz w:val="24"/>
          <w:szCs w:val="24"/>
        </w:rPr>
        <w:t xml:space="preserve"> </w:t>
      </w:r>
      <w:r w:rsidRPr="00C257F6">
        <w:rPr>
          <w:rFonts w:ascii="Bookman Old Style" w:hAnsi="Bookman Old Style"/>
          <w:sz w:val="24"/>
          <w:szCs w:val="24"/>
        </w:rPr>
        <w:t>Pemeliharaan</w:t>
      </w:r>
      <w:r w:rsidR="00A954D0">
        <w:rPr>
          <w:rFonts w:ascii="Bookman Old Style" w:hAnsi="Bookman Old Style"/>
          <w:sz w:val="24"/>
          <w:szCs w:val="24"/>
        </w:rPr>
        <w:t xml:space="preserve"> </w:t>
      </w:r>
      <w:r w:rsidRPr="00C257F6">
        <w:rPr>
          <w:rFonts w:ascii="Bookman Old Style" w:hAnsi="Bookman Old Style"/>
          <w:sz w:val="24"/>
          <w:szCs w:val="24"/>
        </w:rPr>
        <w:t>Alat</w:t>
      </w:r>
      <w:r w:rsidR="00A954D0">
        <w:rPr>
          <w:rFonts w:ascii="Bookman Old Style" w:hAnsi="Bookman Old Style"/>
          <w:sz w:val="24"/>
          <w:szCs w:val="24"/>
        </w:rPr>
        <w:t xml:space="preserve"> </w:t>
      </w:r>
      <w:r w:rsidRPr="00C257F6">
        <w:rPr>
          <w:rFonts w:ascii="Bookman Old Style" w:hAnsi="Bookman Old Style"/>
          <w:sz w:val="24"/>
          <w:szCs w:val="24"/>
        </w:rPr>
        <w:t>Angkutan-Alat</w:t>
      </w:r>
      <w:r w:rsidR="00A954D0">
        <w:rPr>
          <w:rFonts w:ascii="Bookman Old Style" w:hAnsi="Bookman Old Style"/>
          <w:sz w:val="24"/>
          <w:szCs w:val="24"/>
        </w:rPr>
        <w:t xml:space="preserve"> </w:t>
      </w:r>
      <w:r w:rsidRPr="00C257F6">
        <w:rPr>
          <w:rFonts w:ascii="Bookman Old Style" w:hAnsi="Bookman Old Style"/>
          <w:sz w:val="24"/>
          <w:szCs w:val="24"/>
        </w:rPr>
        <w:t>Angkutan</w:t>
      </w:r>
      <w:r w:rsidR="00A954D0">
        <w:rPr>
          <w:rFonts w:ascii="Bookman Old Style" w:hAnsi="Bookman Old Style"/>
          <w:sz w:val="24"/>
          <w:szCs w:val="24"/>
        </w:rPr>
        <w:t xml:space="preserve"> </w:t>
      </w:r>
      <w:r w:rsidRPr="00C257F6">
        <w:rPr>
          <w:rFonts w:ascii="Bookman Old Style" w:hAnsi="Bookman Old Style"/>
          <w:sz w:val="24"/>
          <w:szCs w:val="24"/>
        </w:rPr>
        <w:t>Darat</w:t>
      </w:r>
      <w:r w:rsidR="00A954D0">
        <w:rPr>
          <w:rFonts w:ascii="Bookman Old Style" w:hAnsi="Bookman Old Style"/>
          <w:sz w:val="24"/>
          <w:szCs w:val="24"/>
        </w:rPr>
        <w:t xml:space="preserve"> </w:t>
      </w:r>
      <w:r w:rsidRPr="00C257F6">
        <w:rPr>
          <w:rFonts w:ascii="Bookman Old Style" w:hAnsi="Bookman Old Style"/>
          <w:sz w:val="24"/>
          <w:szCs w:val="24"/>
        </w:rPr>
        <w:t>Bermotor-Kendaraan</w:t>
      </w:r>
      <w:r w:rsidR="00A954D0">
        <w:rPr>
          <w:rFonts w:ascii="Bookman Old Style" w:hAnsi="Bookman Old Style"/>
          <w:sz w:val="24"/>
          <w:szCs w:val="24"/>
        </w:rPr>
        <w:t xml:space="preserve"> </w:t>
      </w:r>
      <w:r w:rsidRPr="00C257F6">
        <w:rPr>
          <w:rFonts w:ascii="Bookman Old Style" w:hAnsi="Bookman Old Style"/>
          <w:sz w:val="24"/>
          <w:szCs w:val="24"/>
        </w:rPr>
        <w:t>Bermotor</w:t>
      </w:r>
      <w:r w:rsidR="00A954D0">
        <w:rPr>
          <w:rFonts w:ascii="Bookman Old Style" w:hAnsi="Bookman Old Style"/>
          <w:sz w:val="24"/>
          <w:szCs w:val="24"/>
        </w:rPr>
        <w:t xml:space="preserve"> </w:t>
      </w:r>
      <w:r w:rsidRPr="00C257F6">
        <w:rPr>
          <w:rFonts w:ascii="Bookman Old Style" w:hAnsi="Bookman Old Style"/>
          <w:sz w:val="24"/>
          <w:szCs w:val="24"/>
        </w:rPr>
        <w:t>Angkutan</w:t>
      </w:r>
      <w:r w:rsidR="00A954D0">
        <w:rPr>
          <w:rFonts w:ascii="Bookman Old Style" w:hAnsi="Bookman Old Style"/>
          <w:sz w:val="24"/>
          <w:szCs w:val="24"/>
        </w:rPr>
        <w:t xml:space="preserve"> </w:t>
      </w:r>
      <w:r w:rsidRPr="00C257F6">
        <w:rPr>
          <w:rFonts w:ascii="Bookman Old Style" w:hAnsi="Bookman Old Style"/>
          <w:sz w:val="24"/>
          <w:szCs w:val="24"/>
        </w:rPr>
        <w:t>Barang</w:t>
      </w:r>
      <w:r w:rsidR="00A954D0">
        <w:rPr>
          <w:rFonts w:ascii="Bookman Old Style" w:hAnsi="Bookman Old Style"/>
          <w:sz w:val="24"/>
          <w:szCs w:val="24"/>
        </w:rPr>
        <w:t xml:space="preserve"> </w:t>
      </w:r>
      <w:r w:rsidRPr="00C257F6">
        <w:rPr>
          <w:rFonts w:ascii="Bookman Old Style" w:hAnsi="Bookman Old Style"/>
          <w:sz w:val="24"/>
          <w:szCs w:val="24"/>
        </w:rPr>
        <w:t>Rp5.241.964.400,00</w:t>
      </w:r>
      <w:r w:rsidR="003B7FE4" w:rsidRPr="00C257F6">
        <w:rPr>
          <w:rFonts w:ascii="Bookman Old Style" w:hAnsi="Bookman Old Style"/>
          <w:iCs/>
          <w:sz w:val="24"/>
          <w:szCs w:val="24"/>
          <w:lang w:val="id-ID"/>
        </w:rPr>
        <w:t>;</w:t>
      </w:r>
    </w:p>
    <w:p w14:paraId="757791BF" w14:textId="055F2315" w:rsidR="003B7FE4" w:rsidRPr="00C257F6" w:rsidRDefault="009836B4" w:rsidP="00C95C10">
      <w:pPr>
        <w:pStyle w:val="ListParagraph"/>
        <w:numPr>
          <w:ilvl w:val="0"/>
          <w:numId w:val="74"/>
        </w:numPr>
        <w:snapToGrid w:val="0"/>
        <w:spacing w:before="60" w:after="0" w:line="276" w:lineRule="auto"/>
        <w:ind w:left="3261" w:hanging="567"/>
        <w:contextualSpacing w:val="0"/>
        <w:jc w:val="both"/>
        <w:rPr>
          <w:rFonts w:ascii="Bookman Old Style" w:hAnsi="Bookman Old Style"/>
          <w:sz w:val="24"/>
          <w:szCs w:val="24"/>
        </w:rPr>
      </w:pPr>
      <w:r w:rsidRPr="00C257F6">
        <w:rPr>
          <w:rFonts w:ascii="Bookman Old Style" w:hAnsi="Bookman Old Style"/>
          <w:sz w:val="24"/>
          <w:szCs w:val="24"/>
        </w:rPr>
        <w:t>Belanja</w:t>
      </w:r>
      <w:r w:rsidR="00A954D0">
        <w:rPr>
          <w:rFonts w:ascii="Bookman Old Style" w:hAnsi="Bookman Old Style"/>
          <w:sz w:val="24"/>
          <w:szCs w:val="24"/>
        </w:rPr>
        <w:t xml:space="preserve"> </w:t>
      </w:r>
      <w:r w:rsidRPr="00C257F6">
        <w:rPr>
          <w:rFonts w:ascii="Bookman Old Style" w:hAnsi="Bookman Old Style"/>
          <w:sz w:val="24"/>
          <w:szCs w:val="24"/>
        </w:rPr>
        <w:t>Pemeliharaan</w:t>
      </w:r>
      <w:r w:rsidR="00A954D0">
        <w:rPr>
          <w:rFonts w:ascii="Bookman Old Style" w:hAnsi="Bookman Old Style"/>
          <w:sz w:val="24"/>
          <w:szCs w:val="24"/>
        </w:rPr>
        <w:t xml:space="preserve"> </w:t>
      </w:r>
      <w:r w:rsidRPr="00C257F6">
        <w:rPr>
          <w:rFonts w:ascii="Bookman Old Style" w:hAnsi="Bookman Old Style"/>
          <w:sz w:val="24"/>
          <w:szCs w:val="24"/>
        </w:rPr>
        <w:t>Alat</w:t>
      </w:r>
      <w:r w:rsidR="00A954D0">
        <w:rPr>
          <w:rFonts w:ascii="Bookman Old Style" w:hAnsi="Bookman Old Style"/>
          <w:sz w:val="24"/>
          <w:szCs w:val="24"/>
        </w:rPr>
        <w:t xml:space="preserve"> </w:t>
      </w:r>
      <w:r w:rsidRPr="00C257F6">
        <w:rPr>
          <w:rFonts w:ascii="Bookman Old Style" w:hAnsi="Bookman Old Style"/>
          <w:sz w:val="24"/>
          <w:szCs w:val="24"/>
        </w:rPr>
        <w:t>Angkutan-Alat</w:t>
      </w:r>
      <w:r w:rsidR="00A954D0">
        <w:rPr>
          <w:rFonts w:ascii="Bookman Old Style" w:hAnsi="Bookman Old Style"/>
          <w:sz w:val="24"/>
          <w:szCs w:val="24"/>
        </w:rPr>
        <w:t xml:space="preserve"> </w:t>
      </w:r>
      <w:r w:rsidRPr="00C257F6">
        <w:rPr>
          <w:rFonts w:ascii="Bookman Old Style" w:hAnsi="Bookman Old Style"/>
          <w:sz w:val="24"/>
          <w:szCs w:val="24"/>
        </w:rPr>
        <w:t>Angkutan</w:t>
      </w:r>
      <w:r w:rsidR="00A954D0">
        <w:rPr>
          <w:rFonts w:ascii="Bookman Old Style" w:hAnsi="Bookman Old Style"/>
          <w:sz w:val="24"/>
          <w:szCs w:val="24"/>
        </w:rPr>
        <w:t xml:space="preserve"> </w:t>
      </w:r>
      <w:r w:rsidRPr="00C257F6">
        <w:rPr>
          <w:rFonts w:ascii="Bookman Old Style" w:hAnsi="Bookman Old Style"/>
          <w:sz w:val="24"/>
          <w:szCs w:val="24"/>
        </w:rPr>
        <w:t>Darat</w:t>
      </w:r>
      <w:r w:rsidR="00A954D0">
        <w:rPr>
          <w:rFonts w:ascii="Bookman Old Style" w:hAnsi="Bookman Old Style"/>
          <w:sz w:val="24"/>
          <w:szCs w:val="24"/>
        </w:rPr>
        <w:t xml:space="preserve"> </w:t>
      </w:r>
      <w:r w:rsidRPr="00C257F6">
        <w:rPr>
          <w:rFonts w:ascii="Bookman Old Style" w:hAnsi="Bookman Old Style"/>
          <w:sz w:val="24"/>
          <w:szCs w:val="24"/>
        </w:rPr>
        <w:t>Bermotor-Alat</w:t>
      </w:r>
      <w:r w:rsidR="00A954D0">
        <w:rPr>
          <w:rFonts w:ascii="Bookman Old Style" w:hAnsi="Bookman Old Style"/>
          <w:sz w:val="24"/>
          <w:szCs w:val="24"/>
        </w:rPr>
        <w:t xml:space="preserve"> </w:t>
      </w:r>
      <w:r w:rsidRPr="00C257F6">
        <w:rPr>
          <w:rFonts w:ascii="Bookman Old Style" w:hAnsi="Bookman Old Style"/>
          <w:sz w:val="24"/>
          <w:szCs w:val="24"/>
        </w:rPr>
        <w:t>Angkutan</w:t>
      </w:r>
      <w:r w:rsidR="00A954D0">
        <w:rPr>
          <w:rFonts w:ascii="Bookman Old Style" w:hAnsi="Bookman Old Style"/>
          <w:sz w:val="24"/>
          <w:szCs w:val="24"/>
        </w:rPr>
        <w:t xml:space="preserve"> </w:t>
      </w:r>
      <w:r w:rsidRPr="00C257F6">
        <w:rPr>
          <w:rFonts w:ascii="Bookman Old Style" w:hAnsi="Bookman Old Style"/>
          <w:sz w:val="24"/>
          <w:szCs w:val="24"/>
        </w:rPr>
        <w:t>Darat</w:t>
      </w:r>
      <w:r w:rsidR="00A954D0">
        <w:rPr>
          <w:rFonts w:ascii="Bookman Old Style" w:hAnsi="Bookman Old Style"/>
          <w:sz w:val="24"/>
          <w:szCs w:val="24"/>
        </w:rPr>
        <w:t xml:space="preserve"> </w:t>
      </w:r>
      <w:r w:rsidRPr="00C257F6">
        <w:rPr>
          <w:rFonts w:ascii="Bookman Old Style" w:hAnsi="Bookman Old Style"/>
          <w:sz w:val="24"/>
          <w:szCs w:val="24"/>
        </w:rPr>
        <w:t>Bermotor</w:t>
      </w:r>
      <w:r w:rsidR="00A954D0">
        <w:rPr>
          <w:rFonts w:ascii="Bookman Old Style" w:hAnsi="Bookman Old Style"/>
          <w:sz w:val="24"/>
          <w:szCs w:val="24"/>
        </w:rPr>
        <w:t xml:space="preserve"> </w:t>
      </w:r>
      <w:r w:rsidRPr="00C257F6">
        <w:rPr>
          <w:rFonts w:ascii="Bookman Old Style" w:hAnsi="Bookman Old Style"/>
          <w:sz w:val="24"/>
          <w:szCs w:val="24"/>
        </w:rPr>
        <w:t>Lainnya</w:t>
      </w:r>
      <w:r w:rsidR="00A954D0">
        <w:rPr>
          <w:rFonts w:ascii="Bookman Old Style" w:hAnsi="Bookman Old Style"/>
          <w:sz w:val="24"/>
          <w:szCs w:val="24"/>
        </w:rPr>
        <w:t xml:space="preserve"> </w:t>
      </w:r>
      <w:r w:rsidRPr="00C257F6">
        <w:rPr>
          <w:rFonts w:ascii="Bookman Old Style" w:hAnsi="Bookman Old Style"/>
          <w:sz w:val="24"/>
          <w:szCs w:val="24"/>
        </w:rPr>
        <w:t>Rp1.363.154.200,00</w:t>
      </w:r>
      <w:r w:rsidR="003B7FE4" w:rsidRPr="00C257F6">
        <w:rPr>
          <w:rFonts w:ascii="Bookman Old Style" w:hAnsi="Bookman Old Style"/>
          <w:sz w:val="24"/>
          <w:szCs w:val="24"/>
          <w:lang w:val="id-ID"/>
        </w:rPr>
        <w:t>;</w:t>
      </w:r>
    </w:p>
    <w:p w14:paraId="45749FA0" w14:textId="6BD26459" w:rsidR="009836B4" w:rsidRPr="00C257F6" w:rsidRDefault="009836B4" w:rsidP="00C95C10">
      <w:pPr>
        <w:pStyle w:val="ListParagraph"/>
        <w:numPr>
          <w:ilvl w:val="0"/>
          <w:numId w:val="74"/>
        </w:numPr>
        <w:snapToGrid w:val="0"/>
        <w:spacing w:before="60" w:after="0" w:line="276" w:lineRule="auto"/>
        <w:ind w:left="3261" w:hanging="567"/>
        <w:contextualSpacing w:val="0"/>
        <w:jc w:val="both"/>
        <w:rPr>
          <w:rFonts w:ascii="Bookman Old Style" w:hAnsi="Bookman Old Style"/>
          <w:sz w:val="24"/>
          <w:szCs w:val="24"/>
        </w:rPr>
      </w:pPr>
      <w:r w:rsidRPr="00C257F6">
        <w:rPr>
          <w:rFonts w:ascii="Bookman Old Style" w:hAnsi="Bookman Old Style"/>
          <w:sz w:val="24"/>
          <w:szCs w:val="24"/>
        </w:rPr>
        <w:t>Belanja</w:t>
      </w:r>
      <w:r w:rsidR="00A954D0">
        <w:rPr>
          <w:rFonts w:ascii="Bookman Old Style" w:hAnsi="Bookman Old Style"/>
          <w:sz w:val="24"/>
          <w:szCs w:val="24"/>
        </w:rPr>
        <w:t xml:space="preserve"> </w:t>
      </w:r>
      <w:r w:rsidRPr="00C257F6">
        <w:rPr>
          <w:rFonts w:ascii="Bookman Old Style" w:hAnsi="Bookman Old Style"/>
          <w:sz w:val="24"/>
          <w:szCs w:val="24"/>
        </w:rPr>
        <w:t>Pemeliharaan</w:t>
      </w:r>
      <w:r w:rsidR="00A954D0">
        <w:rPr>
          <w:rFonts w:ascii="Bookman Old Style" w:hAnsi="Bookman Old Style"/>
          <w:sz w:val="24"/>
          <w:szCs w:val="24"/>
        </w:rPr>
        <w:t xml:space="preserve"> </w:t>
      </w:r>
      <w:r w:rsidRPr="00C257F6">
        <w:rPr>
          <w:rFonts w:ascii="Bookman Old Style" w:hAnsi="Bookman Old Style"/>
          <w:sz w:val="24"/>
          <w:szCs w:val="24"/>
        </w:rPr>
        <w:t>Alat</w:t>
      </w:r>
      <w:r w:rsidR="00A954D0">
        <w:rPr>
          <w:rFonts w:ascii="Bookman Old Style" w:hAnsi="Bookman Old Style"/>
          <w:sz w:val="24"/>
          <w:szCs w:val="24"/>
        </w:rPr>
        <w:t xml:space="preserve"> </w:t>
      </w:r>
      <w:r w:rsidRPr="00C257F6">
        <w:rPr>
          <w:rFonts w:ascii="Bookman Old Style" w:hAnsi="Bookman Old Style"/>
          <w:sz w:val="24"/>
          <w:szCs w:val="24"/>
        </w:rPr>
        <w:t>Kantor</w:t>
      </w:r>
      <w:r w:rsidR="00A954D0">
        <w:rPr>
          <w:rFonts w:ascii="Bookman Old Style" w:hAnsi="Bookman Old Style"/>
          <w:sz w:val="24"/>
          <w:szCs w:val="24"/>
        </w:rPr>
        <w:t xml:space="preserve"> </w:t>
      </w:r>
      <w:r w:rsidRPr="00C257F6">
        <w:rPr>
          <w:rFonts w:ascii="Bookman Old Style" w:hAnsi="Bookman Old Style"/>
          <w:sz w:val="24"/>
          <w:szCs w:val="24"/>
        </w:rPr>
        <w:t>dan</w:t>
      </w:r>
      <w:r w:rsidR="00A954D0">
        <w:rPr>
          <w:rFonts w:ascii="Bookman Old Style" w:hAnsi="Bookman Old Style"/>
          <w:sz w:val="24"/>
          <w:szCs w:val="24"/>
        </w:rPr>
        <w:t xml:space="preserve"> </w:t>
      </w:r>
      <w:r w:rsidRPr="00C257F6">
        <w:rPr>
          <w:rFonts w:ascii="Bookman Old Style" w:hAnsi="Bookman Old Style"/>
          <w:sz w:val="24"/>
          <w:szCs w:val="24"/>
        </w:rPr>
        <w:t>Rumah</w:t>
      </w:r>
      <w:r w:rsidR="00A954D0">
        <w:rPr>
          <w:rFonts w:ascii="Bookman Old Style" w:hAnsi="Bookman Old Style"/>
          <w:sz w:val="24"/>
          <w:szCs w:val="24"/>
        </w:rPr>
        <w:t xml:space="preserve"> </w:t>
      </w:r>
      <w:r w:rsidRPr="00C257F6">
        <w:rPr>
          <w:rFonts w:ascii="Bookman Old Style" w:hAnsi="Bookman Old Style"/>
          <w:sz w:val="24"/>
          <w:szCs w:val="24"/>
        </w:rPr>
        <w:t>Tangga-Alat</w:t>
      </w:r>
      <w:r w:rsidR="00A954D0">
        <w:rPr>
          <w:rFonts w:ascii="Bookman Old Style" w:hAnsi="Bookman Old Style"/>
          <w:sz w:val="24"/>
          <w:szCs w:val="24"/>
        </w:rPr>
        <w:t xml:space="preserve"> </w:t>
      </w:r>
      <w:r w:rsidRPr="00C257F6">
        <w:rPr>
          <w:rFonts w:ascii="Bookman Old Style" w:hAnsi="Bookman Old Style"/>
          <w:sz w:val="24"/>
          <w:szCs w:val="24"/>
        </w:rPr>
        <w:t>Kantor-Alat</w:t>
      </w:r>
      <w:r w:rsidR="00A954D0">
        <w:rPr>
          <w:rFonts w:ascii="Bookman Old Style" w:hAnsi="Bookman Old Style"/>
          <w:sz w:val="24"/>
          <w:szCs w:val="24"/>
        </w:rPr>
        <w:t xml:space="preserve"> </w:t>
      </w:r>
      <w:r w:rsidRPr="00C257F6">
        <w:rPr>
          <w:rFonts w:ascii="Bookman Old Style" w:hAnsi="Bookman Old Style"/>
          <w:sz w:val="24"/>
          <w:szCs w:val="24"/>
        </w:rPr>
        <w:t>Kantor</w:t>
      </w:r>
      <w:r w:rsidR="00A954D0">
        <w:rPr>
          <w:rFonts w:ascii="Bookman Old Style" w:hAnsi="Bookman Old Style"/>
          <w:sz w:val="24"/>
          <w:szCs w:val="24"/>
        </w:rPr>
        <w:t xml:space="preserve"> </w:t>
      </w:r>
      <w:r w:rsidRPr="00C257F6">
        <w:rPr>
          <w:rFonts w:ascii="Bookman Old Style" w:hAnsi="Bookman Old Style"/>
          <w:sz w:val="24"/>
          <w:szCs w:val="24"/>
        </w:rPr>
        <w:t>Lainnya</w:t>
      </w:r>
      <w:r w:rsidR="00A954D0">
        <w:rPr>
          <w:rFonts w:ascii="Bookman Old Style" w:hAnsi="Bookman Old Style"/>
          <w:sz w:val="24"/>
          <w:szCs w:val="24"/>
        </w:rPr>
        <w:t xml:space="preserve"> </w:t>
      </w:r>
      <w:r w:rsidRPr="00C257F6">
        <w:rPr>
          <w:rFonts w:ascii="Bookman Old Style" w:hAnsi="Bookman Old Style"/>
          <w:sz w:val="24"/>
          <w:szCs w:val="24"/>
        </w:rPr>
        <w:t>Rp5.131.684.558,00;</w:t>
      </w:r>
    </w:p>
    <w:p w14:paraId="63714719" w14:textId="052A0B1D" w:rsidR="009836B4" w:rsidRPr="00C257F6" w:rsidRDefault="009836B4" w:rsidP="00C95C10">
      <w:pPr>
        <w:pStyle w:val="ListParagraph"/>
        <w:numPr>
          <w:ilvl w:val="0"/>
          <w:numId w:val="74"/>
        </w:numPr>
        <w:snapToGrid w:val="0"/>
        <w:spacing w:before="60" w:after="0" w:line="276" w:lineRule="auto"/>
        <w:ind w:left="3261" w:hanging="567"/>
        <w:contextualSpacing w:val="0"/>
        <w:jc w:val="both"/>
        <w:rPr>
          <w:rFonts w:ascii="Bookman Old Style" w:hAnsi="Bookman Old Style"/>
          <w:sz w:val="24"/>
          <w:szCs w:val="24"/>
        </w:rPr>
      </w:pPr>
      <w:r w:rsidRPr="00C257F6">
        <w:rPr>
          <w:rFonts w:ascii="Bookman Old Style" w:hAnsi="Bookman Old Style"/>
          <w:sz w:val="24"/>
          <w:szCs w:val="24"/>
        </w:rPr>
        <w:t>Belanja</w:t>
      </w:r>
      <w:r w:rsidR="00A954D0">
        <w:rPr>
          <w:rFonts w:ascii="Bookman Old Style" w:hAnsi="Bookman Old Style"/>
          <w:sz w:val="24"/>
          <w:szCs w:val="24"/>
        </w:rPr>
        <w:t xml:space="preserve"> </w:t>
      </w:r>
      <w:r w:rsidRPr="00C257F6">
        <w:rPr>
          <w:rFonts w:ascii="Bookman Old Style" w:hAnsi="Bookman Old Style"/>
          <w:sz w:val="24"/>
          <w:szCs w:val="24"/>
        </w:rPr>
        <w:t>Pemeliharaan</w:t>
      </w:r>
      <w:r w:rsidR="00A954D0">
        <w:rPr>
          <w:rFonts w:ascii="Bookman Old Style" w:hAnsi="Bookman Old Style"/>
          <w:sz w:val="24"/>
          <w:szCs w:val="24"/>
        </w:rPr>
        <w:t xml:space="preserve"> </w:t>
      </w:r>
      <w:r w:rsidRPr="00C257F6">
        <w:rPr>
          <w:rFonts w:ascii="Bookman Old Style" w:hAnsi="Bookman Old Style"/>
          <w:sz w:val="24"/>
          <w:szCs w:val="24"/>
        </w:rPr>
        <w:t>Alat</w:t>
      </w:r>
      <w:r w:rsidR="00A954D0">
        <w:rPr>
          <w:rFonts w:ascii="Bookman Old Style" w:hAnsi="Bookman Old Style"/>
          <w:sz w:val="24"/>
          <w:szCs w:val="24"/>
        </w:rPr>
        <w:t xml:space="preserve"> </w:t>
      </w:r>
      <w:r w:rsidRPr="00C257F6">
        <w:rPr>
          <w:rFonts w:ascii="Bookman Old Style" w:hAnsi="Bookman Old Style"/>
          <w:sz w:val="24"/>
          <w:szCs w:val="24"/>
        </w:rPr>
        <w:t>Laboratorium-Unit</w:t>
      </w:r>
      <w:r w:rsidR="00A954D0">
        <w:rPr>
          <w:rFonts w:ascii="Bookman Old Style" w:hAnsi="Bookman Old Style"/>
          <w:sz w:val="24"/>
          <w:szCs w:val="24"/>
        </w:rPr>
        <w:t xml:space="preserve"> </w:t>
      </w:r>
      <w:r w:rsidRPr="00C257F6">
        <w:rPr>
          <w:rFonts w:ascii="Bookman Old Style" w:hAnsi="Bookman Old Style"/>
          <w:sz w:val="24"/>
          <w:szCs w:val="24"/>
        </w:rPr>
        <w:t>Alat</w:t>
      </w:r>
      <w:r w:rsidR="00A954D0">
        <w:rPr>
          <w:rFonts w:ascii="Bookman Old Style" w:hAnsi="Bookman Old Style"/>
          <w:sz w:val="24"/>
          <w:szCs w:val="24"/>
        </w:rPr>
        <w:t xml:space="preserve"> </w:t>
      </w:r>
      <w:r w:rsidRPr="00C257F6">
        <w:rPr>
          <w:rFonts w:ascii="Bookman Old Style" w:hAnsi="Bookman Old Style"/>
          <w:sz w:val="24"/>
          <w:szCs w:val="24"/>
        </w:rPr>
        <w:t>Laboratorium-Alat</w:t>
      </w:r>
      <w:r w:rsidR="00A954D0">
        <w:rPr>
          <w:rFonts w:ascii="Bookman Old Style" w:hAnsi="Bookman Old Style"/>
          <w:sz w:val="24"/>
          <w:szCs w:val="24"/>
        </w:rPr>
        <w:t xml:space="preserve"> </w:t>
      </w:r>
      <w:r w:rsidRPr="00C257F6">
        <w:rPr>
          <w:rFonts w:ascii="Bookman Old Style" w:hAnsi="Bookman Old Style"/>
          <w:sz w:val="24"/>
          <w:szCs w:val="24"/>
        </w:rPr>
        <w:t>Laboratorium</w:t>
      </w:r>
      <w:r w:rsidR="00A954D0">
        <w:rPr>
          <w:rFonts w:ascii="Bookman Old Style" w:hAnsi="Bookman Old Style"/>
          <w:sz w:val="24"/>
          <w:szCs w:val="24"/>
        </w:rPr>
        <w:t xml:space="preserve"> </w:t>
      </w:r>
      <w:r w:rsidRPr="00C257F6">
        <w:rPr>
          <w:rFonts w:ascii="Bookman Old Style" w:hAnsi="Bookman Old Style"/>
          <w:sz w:val="24"/>
          <w:szCs w:val="24"/>
        </w:rPr>
        <w:t>Mikrobiologi</w:t>
      </w:r>
      <w:r w:rsidR="00A954D0">
        <w:rPr>
          <w:rFonts w:ascii="Bookman Old Style" w:hAnsi="Bookman Old Style"/>
          <w:sz w:val="24"/>
          <w:szCs w:val="24"/>
        </w:rPr>
        <w:t xml:space="preserve"> </w:t>
      </w:r>
      <w:r w:rsidRPr="00C257F6">
        <w:rPr>
          <w:rFonts w:ascii="Bookman Old Style" w:hAnsi="Bookman Old Style"/>
          <w:sz w:val="24"/>
          <w:szCs w:val="24"/>
        </w:rPr>
        <w:t>Rp1.184.000.000,00</w:t>
      </w:r>
      <w:r w:rsidR="00C95C10" w:rsidRPr="00C95C10">
        <w:rPr>
          <w:rFonts w:ascii="Bookman Old Style" w:hAnsi="Bookman Old Style"/>
          <w:sz w:val="24"/>
          <w:szCs w:val="24"/>
          <w:lang w:val="sv-FI"/>
        </w:rPr>
        <w:t>.</w:t>
      </w:r>
    </w:p>
    <w:p w14:paraId="69B887FC" w14:textId="66439328" w:rsidR="00C257F6" w:rsidRPr="00C257F6" w:rsidRDefault="003B7FE4" w:rsidP="00C95C10">
      <w:pPr>
        <w:pStyle w:val="ListParagraph"/>
        <w:numPr>
          <w:ilvl w:val="0"/>
          <w:numId w:val="23"/>
        </w:numPr>
        <w:snapToGrid w:val="0"/>
        <w:spacing w:before="60" w:after="0" w:line="276" w:lineRule="auto"/>
        <w:ind w:left="2694" w:hanging="426"/>
        <w:contextualSpacing w:val="0"/>
        <w:jc w:val="both"/>
        <w:rPr>
          <w:rFonts w:ascii="Bookman Old Style" w:hAnsi="Bookman Old Style"/>
          <w:sz w:val="24"/>
          <w:szCs w:val="24"/>
        </w:rPr>
      </w:pPr>
      <w:r w:rsidRPr="00C257F6">
        <w:rPr>
          <w:rFonts w:ascii="Bookman Old Style" w:hAnsi="Bookman Old Style"/>
          <w:sz w:val="24"/>
          <w:szCs w:val="24"/>
        </w:rPr>
        <w:t>Belanja</w:t>
      </w:r>
      <w:r w:rsidR="00A954D0">
        <w:rPr>
          <w:rFonts w:ascii="Bookman Old Style" w:hAnsi="Bookman Old Style"/>
          <w:sz w:val="24"/>
          <w:szCs w:val="24"/>
        </w:rPr>
        <w:t xml:space="preserve"> </w:t>
      </w:r>
      <w:r w:rsidRPr="00C257F6">
        <w:rPr>
          <w:rFonts w:ascii="Bookman Old Style" w:hAnsi="Bookman Old Style"/>
          <w:sz w:val="24"/>
          <w:szCs w:val="24"/>
        </w:rPr>
        <w:t>Pemeliharaan</w:t>
      </w:r>
      <w:r w:rsidR="00A954D0">
        <w:rPr>
          <w:rFonts w:ascii="Bookman Old Style" w:hAnsi="Bookman Old Style"/>
          <w:sz w:val="24"/>
          <w:szCs w:val="24"/>
        </w:rPr>
        <w:t xml:space="preserve"> </w:t>
      </w:r>
      <w:r w:rsidRPr="00C257F6">
        <w:rPr>
          <w:rFonts w:ascii="Bookman Old Style" w:hAnsi="Bookman Old Style"/>
          <w:sz w:val="24"/>
          <w:szCs w:val="24"/>
        </w:rPr>
        <w:t>Gedung</w:t>
      </w:r>
      <w:r w:rsidR="00A954D0">
        <w:rPr>
          <w:rFonts w:ascii="Bookman Old Style" w:hAnsi="Bookman Old Style"/>
          <w:sz w:val="24"/>
          <w:szCs w:val="24"/>
        </w:rPr>
        <w:t xml:space="preserve"> </w:t>
      </w:r>
      <w:r w:rsidRPr="00C257F6">
        <w:rPr>
          <w:rFonts w:ascii="Bookman Old Style" w:hAnsi="Bookman Old Style"/>
          <w:sz w:val="24"/>
          <w:szCs w:val="24"/>
        </w:rPr>
        <w:t>dan</w:t>
      </w:r>
      <w:r w:rsidR="00A954D0">
        <w:rPr>
          <w:rFonts w:ascii="Bookman Old Style" w:hAnsi="Bookman Old Style"/>
          <w:sz w:val="24"/>
          <w:szCs w:val="24"/>
        </w:rPr>
        <w:t xml:space="preserve"> </w:t>
      </w:r>
      <w:r w:rsidRPr="00C257F6">
        <w:rPr>
          <w:rFonts w:ascii="Bookman Old Style" w:hAnsi="Bookman Old Style"/>
          <w:sz w:val="24"/>
          <w:szCs w:val="24"/>
        </w:rPr>
        <w:t>Bangunan</w:t>
      </w:r>
      <w:r w:rsidR="00A954D0">
        <w:rPr>
          <w:rFonts w:ascii="Bookman Old Style" w:hAnsi="Bookman Old Style"/>
          <w:sz w:val="24"/>
          <w:szCs w:val="24"/>
        </w:rPr>
        <w:t xml:space="preserve"> </w:t>
      </w:r>
      <w:r w:rsidR="009836B4" w:rsidRPr="00C257F6">
        <w:rPr>
          <w:rFonts w:ascii="Bookman Old Style" w:hAnsi="Bookman Old Style"/>
          <w:sz w:val="24"/>
          <w:szCs w:val="24"/>
        </w:rPr>
        <w:t>Rp36.806.230.769,00</w:t>
      </w:r>
      <w:r w:rsidR="00A954D0">
        <w:rPr>
          <w:rFonts w:ascii="Bookman Old Style" w:hAnsi="Bookman Old Style"/>
          <w:sz w:val="24"/>
          <w:szCs w:val="24"/>
        </w:rPr>
        <w:t xml:space="preserve"> </w:t>
      </w:r>
      <w:r w:rsidR="009836B4" w:rsidRPr="00C257F6">
        <w:rPr>
          <w:rFonts w:ascii="Bookman Old Style" w:hAnsi="Bookman Old Style"/>
          <w:sz w:val="24"/>
          <w:szCs w:val="24"/>
        </w:rPr>
        <w:t>atau</w:t>
      </w:r>
      <w:r w:rsidR="00A954D0">
        <w:rPr>
          <w:rFonts w:ascii="Bookman Old Style" w:hAnsi="Bookman Old Style"/>
          <w:sz w:val="24"/>
          <w:szCs w:val="24"/>
        </w:rPr>
        <w:t xml:space="preserve"> </w:t>
      </w:r>
      <w:r w:rsidR="009836B4" w:rsidRPr="00C257F6">
        <w:rPr>
          <w:rFonts w:ascii="Bookman Old Style" w:hAnsi="Bookman Old Style"/>
          <w:sz w:val="24"/>
          <w:szCs w:val="24"/>
        </w:rPr>
        <w:t>0,64%</w:t>
      </w:r>
      <w:r w:rsidR="00A954D0">
        <w:rPr>
          <w:rFonts w:ascii="Bookman Old Style" w:hAnsi="Bookman Old Style"/>
          <w:sz w:val="24"/>
          <w:szCs w:val="24"/>
          <w:lang w:val="id-ID"/>
        </w:rPr>
        <w:t xml:space="preserve"> </w:t>
      </w:r>
      <w:r w:rsidRPr="00C257F6">
        <w:rPr>
          <w:rFonts w:ascii="Bookman Old Style" w:hAnsi="Bookman Old Style"/>
          <w:sz w:val="24"/>
          <w:szCs w:val="24"/>
        </w:rPr>
        <w:t>dari</w:t>
      </w:r>
      <w:r w:rsidR="00A954D0">
        <w:rPr>
          <w:rFonts w:ascii="Bookman Old Style" w:hAnsi="Bookman Old Style"/>
          <w:sz w:val="24"/>
          <w:szCs w:val="24"/>
        </w:rPr>
        <w:t xml:space="preserve"> </w:t>
      </w:r>
      <w:r w:rsidRPr="00C257F6">
        <w:rPr>
          <w:rFonts w:ascii="Bookman Old Style" w:hAnsi="Bookman Old Style"/>
          <w:sz w:val="24"/>
          <w:szCs w:val="24"/>
        </w:rPr>
        <w:t>total</w:t>
      </w:r>
      <w:r w:rsidR="00A954D0">
        <w:rPr>
          <w:rFonts w:ascii="Bookman Old Style" w:hAnsi="Bookman Old Style"/>
          <w:sz w:val="24"/>
          <w:szCs w:val="24"/>
        </w:rPr>
        <w:t xml:space="preserve"> </w:t>
      </w:r>
      <w:r w:rsidRPr="00C257F6">
        <w:rPr>
          <w:rFonts w:ascii="Bookman Old Style" w:hAnsi="Bookman Old Style"/>
          <w:sz w:val="24"/>
          <w:szCs w:val="24"/>
        </w:rPr>
        <w:t>belanja</w:t>
      </w:r>
      <w:r w:rsidR="00A954D0">
        <w:rPr>
          <w:rFonts w:ascii="Bookman Old Style" w:hAnsi="Bookman Old Style"/>
          <w:sz w:val="24"/>
          <w:szCs w:val="24"/>
        </w:rPr>
        <w:t xml:space="preserve"> </w:t>
      </w:r>
      <w:r w:rsidRPr="00C257F6">
        <w:rPr>
          <w:rFonts w:ascii="Bookman Old Style" w:hAnsi="Bookman Old Style"/>
          <w:sz w:val="24"/>
          <w:szCs w:val="24"/>
        </w:rPr>
        <w:t>daerah</w:t>
      </w:r>
      <w:r w:rsidR="00A954D0">
        <w:rPr>
          <w:rFonts w:ascii="Bookman Old Style" w:hAnsi="Bookman Old Style"/>
          <w:sz w:val="24"/>
          <w:szCs w:val="24"/>
        </w:rPr>
        <w:t xml:space="preserve"> </w:t>
      </w:r>
      <w:r w:rsidRPr="00C257F6">
        <w:rPr>
          <w:rFonts w:ascii="Bookman Old Style" w:hAnsi="Bookman Old Style"/>
          <w:sz w:val="24"/>
          <w:szCs w:val="24"/>
        </w:rPr>
        <w:t>dalam</w:t>
      </w:r>
      <w:r w:rsidR="00A954D0">
        <w:rPr>
          <w:rFonts w:ascii="Bookman Old Style" w:hAnsi="Bookman Old Style"/>
          <w:sz w:val="24"/>
          <w:szCs w:val="24"/>
        </w:rPr>
        <w:t xml:space="preserve"> </w:t>
      </w:r>
      <w:r w:rsidRPr="00C257F6">
        <w:rPr>
          <w:rFonts w:ascii="Bookman Old Style" w:hAnsi="Bookman Old Style"/>
          <w:sz w:val="24"/>
          <w:szCs w:val="24"/>
        </w:rPr>
        <w:t>Rancangan</w:t>
      </w:r>
      <w:r w:rsidR="00A954D0">
        <w:rPr>
          <w:rFonts w:ascii="Bookman Old Style" w:hAnsi="Bookman Old Style"/>
          <w:sz w:val="24"/>
          <w:szCs w:val="24"/>
        </w:rPr>
        <w:t xml:space="preserve"> </w:t>
      </w:r>
      <w:r w:rsidRPr="00C257F6">
        <w:rPr>
          <w:rFonts w:ascii="Bookman Old Style" w:hAnsi="Bookman Old Style"/>
          <w:sz w:val="24"/>
          <w:szCs w:val="24"/>
        </w:rPr>
        <w:t>Peraturan</w:t>
      </w:r>
      <w:r w:rsidR="00A954D0">
        <w:rPr>
          <w:rFonts w:ascii="Bookman Old Style" w:hAnsi="Bookman Old Style"/>
          <w:sz w:val="24"/>
          <w:szCs w:val="24"/>
        </w:rPr>
        <w:t xml:space="preserve"> </w:t>
      </w:r>
      <w:r w:rsidRPr="00C257F6">
        <w:rPr>
          <w:rFonts w:ascii="Bookman Old Style" w:hAnsi="Bookman Old Style"/>
          <w:sz w:val="24"/>
          <w:szCs w:val="24"/>
        </w:rPr>
        <w:t>Daerah</w:t>
      </w:r>
      <w:r w:rsidR="00A954D0">
        <w:rPr>
          <w:rFonts w:ascii="Bookman Old Style" w:hAnsi="Bookman Old Style"/>
          <w:sz w:val="24"/>
          <w:szCs w:val="24"/>
        </w:rPr>
        <w:t xml:space="preserve"> </w:t>
      </w:r>
      <w:r w:rsidR="00B055C5" w:rsidRPr="00C257F6">
        <w:rPr>
          <w:rFonts w:ascii="Bookman Old Style" w:hAnsi="Bookman Old Style"/>
          <w:sz w:val="24"/>
          <w:szCs w:val="24"/>
        </w:rPr>
        <w:t>Kota</w:t>
      </w:r>
      <w:r w:rsidR="00A954D0">
        <w:rPr>
          <w:rFonts w:ascii="Bookman Old Style" w:hAnsi="Bookman Old Style"/>
          <w:sz w:val="24"/>
          <w:szCs w:val="24"/>
        </w:rPr>
        <w:t xml:space="preserve"> </w:t>
      </w:r>
      <w:r w:rsidR="00770F22" w:rsidRPr="00C257F6">
        <w:rPr>
          <w:rFonts w:ascii="Bookman Old Style" w:hAnsi="Bookman Old Style"/>
          <w:sz w:val="24"/>
          <w:szCs w:val="24"/>
        </w:rPr>
        <w:t>Tangerang</w:t>
      </w:r>
      <w:r w:rsidR="00A954D0">
        <w:rPr>
          <w:rFonts w:ascii="Bookman Old Style" w:hAnsi="Bookman Old Style"/>
          <w:sz w:val="24"/>
          <w:szCs w:val="24"/>
        </w:rPr>
        <w:t xml:space="preserve"> </w:t>
      </w:r>
      <w:r w:rsidR="00BE6ED9" w:rsidRPr="00C257F6">
        <w:rPr>
          <w:rFonts w:ascii="Bookman Old Style" w:hAnsi="Bookman Old Style"/>
          <w:sz w:val="24"/>
          <w:szCs w:val="24"/>
        </w:rPr>
        <w:t>tentang</w:t>
      </w:r>
      <w:r w:rsidR="00A954D0">
        <w:rPr>
          <w:rFonts w:ascii="Bookman Old Style" w:hAnsi="Bookman Old Style"/>
          <w:sz w:val="24"/>
          <w:szCs w:val="24"/>
        </w:rPr>
        <w:t xml:space="preserve"> </w:t>
      </w:r>
      <w:r w:rsidR="00BE6ED9" w:rsidRPr="00C257F6">
        <w:rPr>
          <w:rFonts w:ascii="Bookman Old Style" w:hAnsi="Bookman Old Style"/>
          <w:sz w:val="24"/>
          <w:szCs w:val="24"/>
        </w:rPr>
        <w:t>APBD</w:t>
      </w:r>
      <w:r w:rsidR="00A954D0">
        <w:rPr>
          <w:rFonts w:ascii="Bookman Old Style" w:hAnsi="Bookman Old Style"/>
          <w:sz w:val="24"/>
          <w:szCs w:val="24"/>
        </w:rPr>
        <w:t xml:space="preserve"> </w:t>
      </w:r>
      <w:r w:rsidRPr="00C257F6">
        <w:rPr>
          <w:rFonts w:ascii="Bookman Old Style" w:hAnsi="Bookman Old Style"/>
          <w:sz w:val="24"/>
          <w:szCs w:val="24"/>
        </w:rPr>
        <w:t>Tahun</w:t>
      </w:r>
      <w:r w:rsidR="00A954D0">
        <w:rPr>
          <w:rFonts w:ascii="Bookman Old Style" w:hAnsi="Bookman Old Style"/>
          <w:sz w:val="24"/>
          <w:szCs w:val="24"/>
        </w:rPr>
        <w:t xml:space="preserve"> </w:t>
      </w:r>
      <w:r w:rsidRPr="00C257F6">
        <w:rPr>
          <w:rFonts w:ascii="Bookman Old Style" w:hAnsi="Bookman Old Style"/>
          <w:sz w:val="24"/>
          <w:szCs w:val="24"/>
        </w:rPr>
        <w:t>Anggaran</w:t>
      </w:r>
      <w:r w:rsidR="00A954D0">
        <w:rPr>
          <w:rFonts w:ascii="Bookman Old Style" w:hAnsi="Bookman Old Style"/>
          <w:sz w:val="24"/>
          <w:szCs w:val="24"/>
        </w:rPr>
        <w:t xml:space="preserve"> </w:t>
      </w:r>
      <w:r w:rsidRPr="00C257F6">
        <w:rPr>
          <w:rFonts w:ascii="Bookman Old Style" w:hAnsi="Bookman Old Style"/>
          <w:sz w:val="24"/>
          <w:szCs w:val="24"/>
        </w:rPr>
        <w:t>2025,</w:t>
      </w:r>
      <w:r w:rsidR="00A954D0">
        <w:rPr>
          <w:rFonts w:ascii="Bookman Old Style" w:hAnsi="Bookman Old Style"/>
          <w:sz w:val="24"/>
          <w:szCs w:val="24"/>
        </w:rPr>
        <w:t xml:space="preserve"> </w:t>
      </w:r>
      <w:r w:rsidRPr="00C257F6">
        <w:rPr>
          <w:rFonts w:ascii="Bookman Old Style" w:hAnsi="Bookman Old Style"/>
          <w:sz w:val="24"/>
          <w:szCs w:val="24"/>
          <w:lang w:val="fi-FI"/>
        </w:rPr>
        <w:t>yang</w:t>
      </w:r>
      <w:r w:rsidR="00A954D0">
        <w:rPr>
          <w:rFonts w:ascii="Bookman Old Style" w:hAnsi="Bookman Old Style"/>
          <w:sz w:val="24"/>
          <w:szCs w:val="24"/>
          <w:lang w:val="fi-FI"/>
        </w:rPr>
        <w:t xml:space="preserve"> </w:t>
      </w:r>
      <w:r w:rsidRPr="00C257F6">
        <w:rPr>
          <w:rFonts w:ascii="Bookman Old Style" w:hAnsi="Bookman Old Style"/>
          <w:sz w:val="24"/>
          <w:szCs w:val="24"/>
          <w:lang w:val="fi-FI"/>
        </w:rPr>
        <w:t>antara</w:t>
      </w:r>
      <w:r w:rsidR="00A954D0">
        <w:rPr>
          <w:rFonts w:ascii="Bookman Old Style" w:hAnsi="Bookman Old Style"/>
          <w:sz w:val="24"/>
          <w:szCs w:val="24"/>
          <w:lang w:val="fi-FI"/>
        </w:rPr>
        <w:t xml:space="preserve"> </w:t>
      </w:r>
      <w:r w:rsidRPr="00C257F6">
        <w:rPr>
          <w:rFonts w:ascii="Bookman Old Style" w:hAnsi="Bookman Old Style"/>
          <w:sz w:val="24"/>
          <w:szCs w:val="24"/>
          <w:lang w:val="fi-FI"/>
        </w:rPr>
        <w:t>lain</w:t>
      </w:r>
      <w:r w:rsidR="00A954D0">
        <w:rPr>
          <w:rFonts w:ascii="Bookman Old Style" w:hAnsi="Bookman Old Style"/>
          <w:sz w:val="24"/>
          <w:szCs w:val="24"/>
        </w:rPr>
        <w:t xml:space="preserve"> </w:t>
      </w:r>
      <w:r w:rsidRPr="00C257F6">
        <w:rPr>
          <w:rFonts w:ascii="Bookman Old Style" w:hAnsi="Bookman Old Style"/>
          <w:sz w:val="24"/>
          <w:szCs w:val="24"/>
        </w:rPr>
        <w:t>diuraikan</w:t>
      </w:r>
      <w:r w:rsidR="00A954D0">
        <w:rPr>
          <w:rFonts w:ascii="Bookman Old Style" w:hAnsi="Bookman Old Style"/>
          <w:sz w:val="24"/>
          <w:szCs w:val="24"/>
        </w:rPr>
        <w:t xml:space="preserve"> </w:t>
      </w:r>
      <w:r w:rsidRPr="00C257F6">
        <w:rPr>
          <w:rFonts w:ascii="Bookman Old Style" w:hAnsi="Bookman Old Style"/>
          <w:sz w:val="24"/>
          <w:szCs w:val="24"/>
        </w:rPr>
        <w:t>ke</w:t>
      </w:r>
      <w:r w:rsidR="00A954D0">
        <w:rPr>
          <w:rFonts w:ascii="Bookman Old Style" w:hAnsi="Bookman Old Style"/>
          <w:sz w:val="24"/>
          <w:szCs w:val="24"/>
        </w:rPr>
        <w:t xml:space="preserve"> </w:t>
      </w:r>
      <w:r w:rsidRPr="00C257F6">
        <w:rPr>
          <w:rFonts w:ascii="Bookman Old Style" w:hAnsi="Bookman Old Style"/>
          <w:sz w:val="24"/>
          <w:szCs w:val="24"/>
        </w:rPr>
        <w:t>dalam</w:t>
      </w:r>
      <w:r w:rsidR="00A954D0">
        <w:rPr>
          <w:rFonts w:ascii="Bookman Old Style" w:hAnsi="Bookman Old Style"/>
          <w:sz w:val="24"/>
          <w:szCs w:val="24"/>
        </w:rPr>
        <w:t xml:space="preserve"> </w:t>
      </w:r>
      <w:r w:rsidRPr="00C257F6">
        <w:rPr>
          <w:rFonts w:ascii="Bookman Old Style" w:hAnsi="Bookman Old Style"/>
          <w:sz w:val="24"/>
          <w:szCs w:val="24"/>
        </w:rPr>
        <w:t>sub</w:t>
      </w:r>
      <w:r w:rsidR="00A954D0">
        <w:rPr>
          <w:rFonts w:ascii="Bookman Old Style" w:hAnsi="Bookman Old Style"/>
          <w:sz w:val="24"/>
          <w:szCs w:val="24"/>
        </w:rPr>
        <w:t xml:space="preserve"> </w:t>
      </w:r>
      <w:r w:rsidRPr="00C257F6">
        <w:rPr>
          <w:rFonts w:ascii="Bookman Old Style" w:hAnsi="Bookman Old Style"/>
          <w:sz w:val="24"/>
          <w:szCs w:val="24"/>
        </w:rPr>
        <w:t>rincian</w:t>
      </w:r>
      <w:r w:rsidR="00A954D0">
        <w:rPr>
          <w:rFonts w:ascii="Bookman Old Style" w:hAnsi="Bookman Old Style"/>
          <w:sz w:val="24"/>
          <w:szCs w:val="24"/>
        </w:rPr>
        <w:t xml:space="preserve"> </w:t>
      </w:r>
      <w:r w:rsidRPr="00C257F6">
        <w:rPr>
          <w:rFonts w:ascii="Bookman Old Style" w:hAnsi="Bookman Old Style"/>
          <w:sz w:val="24"/>
          <w:szCs w:val="24"/>
        </w:rPr>
        <w:t>objek</w:t>
      </w:r>
      <w:r w:rsidR="00A954D0">
        <w:rPr>
          <w:rFonts w:ascii="Bookman Old Style" w:hAnsi="Bookman Old Style"/>
          <w:sz w:val="24"/>
          <w:szCs w:val="24"/>
          <w:lang w:val="fi-FI"/>
        </w:rPr>
        <w:t xml:space="preserve"> </w:t>
      </w:r>
      <w:r w:rsidR="00C257F6" w:rsidRPr="00C257F6">
        <w:rPr>
          <w:rFonts w:ascii="Bookman Old Style" w:hAnsi="Bookman Old Style"/>
          <w:sz w:val="24"/>
          <w:szCs w:val="24"/>
          <w:lang w:val="fi-FI"/>
        </w:rPr>
        <w:t>belanja:</w:t>
      </w:r>
    </w:p>
    <w:p w14:paraId="57C1437B" w14:textId="3FFF341A" w:rsidR="003B7FE4" w:rsidRPr="00C257F6" w:rsidRDefault="003B7FE4" w:rsidP="00C95C10">
      <w:pPr>
        <w:pStyle w:val="ListParagraph"/>
        <w:numPr>
          <w:ilvl w:val="0"/>
          <w:numId w:val="226"/>
        </w:numPr>
        <w:snapToGrid w:val="0"/>
        <w:spacing w:before="60" w:after="0" w:line="276" w:lineRule="auto"/>
        <w:ind w:left="3261" w:hanging="567"/>
        <w:contextualSpacing w:val="0"/>
        <w:jc w:val="both"/>
        <w:rPr>
          <w:rFonts w:ascii="Bookman Old Style" w:hAnsi="Bookman Old Style"/>
          <w:sz w:val="24"/>
          <w:szCs w:val="24"/>
        </w:rPr>
      </w:pPr>
      <w:r w:rsidRPr="00C257F6">
        <w:rPr>
          <w:rFonts w:ascii="Bookman Old Style" w:hAnsi="Bookman Old Style"/>
          <w:sz w:val="24"/>
          <w:szCs w:val="24"/>
        </w:rPr>
        <w:t>Belanja</w:t>
      </w:r>
      <w:r w:rsidR="00A954D0">
        <w:rPr>
          <w:rFonts w:ascii="Bookman Old Style" w:hAnsi="Bookman Old Style"/>
          <w:sz w:val="24"/>
          <w:szCs w:val="24"/>
          <w:lang w:val="fi-FI"/>
        </w:rPr>
        <w:t xml:space="preserve"> </w:t>
      </w:r>
      <w:r w:rsidRPr="00C257F6">
        <w:rPr>
          <w:rFonts w:ascii="Bookman Old Style" w:hAnsi="Bookman Old Style"/>
          <w:sz w:val="24"/>
          <w:szCs w:val="24"/>
        </w:rPr>
        <w:t>Pemeliharaan</w:t>
      </w:r>
      <w:r w:rsidR="00A954D0">
        <w:rPr>
          <w:rFonts w:ascii="Bookman Old Style" w:hAnsi="Bookman Old Style"/>
          <w:sz w:val="24"/>
          <w:szCs w:val="24"/>
          <w:lang w:val="fi-FI"/>
        </w:rPr>
        <w:t xml:space="preserve"> </w:t>
      </w:r>
      <w:r w:rsidRPr="00C257F6">
        <w:rPr>
          <w:rFonts w:ascii="Bookman Old Style" w:hAnsi="Bookman Old Style"/>
          <w:sz w:val="24"/>
          <w:szCs w:val="24"/>
          <w:lang w:val="fi-FI"/>
        </w:rPr>
        <w:t>Bangunan</w:t>
      </w:r>
      <w:r w:rsidR="00A954D0">
        <w:rPr>
          <w:rFonts w:ascii="Bookman Old Style" w:hAnsi="Bookman Old Style"/>
          <w:sz w:val="24"/>
          <w:szCs w:val="24"/>
          <w:lang w:val="fi-FI"/>
        </w:rPr>
        <w:t xml:space="preserve"> </w:t>
      </w:r>
      <w:r w:rsidRPr="00C257F6">
        <w:rPr>
          <w:rFonts w:ascii="Bookman Old Style" w:hAnsi="Bookman Old Style"/>
          <w:sz w:val="24"/>
          <w:szCs w:val="24"/>
          <w:lang w:val="fi-FI"/>
        </w:rPr>
        <w:t>Gedung-Bangunan</w:t>
      </w:r>
      <w:r w:rsidR="00A954D0">
        <w:rPr>
          <w:rFonts w:ascii="Bookman Old Style" w:hAnsi="Bookman Old Style"/>
          <w:sz w:val="24"/>
          <w:szCs w:val="24"/>
          <w:lang w:val="fi-FI"/>
        </w:rPr>
        <w:t xml:space="preserve"> </w:t>
      </w:r>
      <w:r w:rsidRPr="00C257F6">
        <w:rPr>
          <w:rFonts w:ascii="Bookman Old Style" w:hAnsi="Bookman Old Style"/>
          <w:sz w:val="24"/>
          <w:szCs w:val="24"/>
          <w:lang w:val="fi-FI"/>
        </w:rPr>
        <w:t>Gedung</w:t>
      </w:r>
      <w:r w:rsidR="00A954D0">
        <w:rPr>
          <w:rFonts w:ascii="Bookman Old Style" w:hAnsi="Bookman Old Style"/>
          <w:sz w:val="24"/>
          <w:szCs w:val="24"/>
          <w:lang w:val="fi-FI"/>
        </w:rPr>
        <w:t xml:space="preserve"> </w:t>
      </w:r>
      <w:r w:rsidRPr="00C257F6">
        <w:rPr>
          <w:rFonts w:ascii="Bookman Old Style" w:hAnsi="Bookman Old Style"/>
          <w:sz w:val="24"/>
          <w:szCs w:val="24"/>
          <w:lang w:val="fi-FI"/>
        </w:rPr>
        <w:t>Tempat</w:t>
      </w:r>
      <w:r w:rsidR="00A954D0">
        <w:rPr>
          <w:rFonts w:ascii="Bookman Old Style" w:hAnsi="Bookman Old Style"/>
          <w:sz w:val="24"/>
          <w:szCs w:val="24"/>
          <w:lang w:val="fi-FI"/>
        </w:rPr>
        <w:t xml:space="preserve"> </w:t>
      </w:r>
      <w:r w:rsidRPr="00C257F6">
        <w:rPr>
          <w:rFonts w:ascii="Bookman Old Style" w:hAnsi="Bookman Old Style"/>
          <w:sz w:val="24"/>
          <w:szCs w:val="24"/>
          <w:lang w:val="fi-FI"/>
        </w:rPr>
        <w:t>Kerja-Bangunan</w:t>
      </w:r>
      <w:r w:rsidR="00A954D0">
        <w:rPr>
          <w:rFonts w:ascii="Bookman Old Style" w:hAnsi="Bookman Old Style"/>
          <w:sz w:val="24"/>
          <w:szCs w:val="24"/>
          <w:lang w:val="fi-FI"/>
        </w:rPr>
        <w:t xml:space="preserve"> </w:t>
      </w:r>
      <w:r w:rsidRPr="00C257F6">
        <w:rPr>
          <w:rFonts w:ascii="Bookman Old Style" w:hAnsi="Bookman Old Style"/>
          <w:sz w:val="24"/>
          <w:szCs w:val="24"/>
          <w:lang w:val="fi-FI"/>
        </w:rPr>
        <w:t>Gedung</w:t>
      </w:r>
      <w:r w:rsidR="00A954D0">
        <w:rPr>
          <w:rFonts w:ascii="Bookman Old Style" w:hAnsi="Bookman Old Style"/>
          <w:sz w:val="24"/>
          <w:szCs w:val="24"/>
          <w:lang w:val="fi-FI"/>
        </w:rPr>
        <w:t xml:space="preserve"> </w:t>
      </w:r>
      <w:r w:rsidRPr="00C257F6">
        <w:rPr>
          <w:rFonts w:ascii="Bookman Old Style" w:hAnsi="Bookman Old Style"/>
          <w:sz w:val="24"/>
          <w:szCs w:val="24"/>
          <w:lang w:val="fi-FI"/>
        </w:rPr>
        <w:t>Kantor</w:t>
      </w:r>
      <w:r w:rsidR="00A954D0">
        <w:rPr>
          <w:rFonts w:ascii="Bookman Old Style" w:hAnsi="Bookman Old Style"/>
          <w:sz w:val="24"/>
          <w:szCs w:val="24"/>
          <w:lang w:val="fi-FI"/>
        </w:rPr>
        <w:t xml:space="preserve"> </w:t>
      </w:r>
      <w:r w:rsidR="00C257F6" w:rsidRPr="00C257F6">
        <w:rPr>
          <w:rFonts w:ascii="Bookman Old Style" w:hAnsi="Bookman Old Style"/>
          <w:sz w:val="24"/>
          <w:szCs w:val="24"/>
        </w:rPr>
        <w:t>Rp22.312.757.740,00</w:t>
      </w:r>
      <w:r w:rsidRPr="00C257F6">
        <w:rPr>
          <w:rFonts w:ascii="Bookman Old Style" w:hAnsi="Bookman Old Style"/>
          <w:sz w:val="24"/>
          <w:szCs w:val="24"/>
          <w:lang w:val="fi-FI"/>
        </w:rPr>
        <w:t>;</w:t>
      </w:r>
    </w:p>
    <w:p w14:paraId="5D59E005" w14:textId="7F1C6260" w:rsidR="00C257F6" w:rsidRPr="00C257F6" w:rsidRDefault="00C257F6" w:rsidP="00C95C10">
      <w:pPr>
        <w:pStyle w:val="ListParagraph"/>
        <w:numPr>
          <w:ilvl w:val="0"/>
          <w:numId w:val="226"/>
        </w:numPr>
        <w:snapToGrid w:val="0"/>
        <w:spacing w:before="60" w:after="0" w:line="276" w:lineRule="auto"/>
        <w:ind w:left="3261" w:hanging="567"/>
        <w:contextualSpacing w:val="0"/>
        <w:jc w:val="both"/>
        <w:rPr>
          <w:rFonts w:ascii="Bookman Old Style" w:hAnsi="Bookman Old Style"/>
          <w:sz w:val="24"/>
          <w:szCs w:val="24"/>
          <w:lang w:val="fi-FI"/>
        </w:rPr>
      </w:pPr>
      <w:r w:rsidRPr="00C257F6">
        <w:rPr>
          <w:rFonts w:ascii="Bookman Old Style" w:hAnsi="Bookman Old Style"/>
          <w:sz w:val="24"/>
          <w:szCs w:val="24"/>
          <w:lang w:val="fi-FI"/>
        </w:rPr>
        <w:t>Belanja</w:t>
      </w:r>
      <w:r w:rsidR="00A954D0">
        <w:rPr>
          <w:rFonts w:ascii="Bookman Old Style" w:hAnsi="Bookman Old Style"/>
          <w:sz w:val="24"/>
          <w:szCs w:val="24"/>
          <w:lang w:val="fi-FI"/>
        </w:rPr>
        <w:t xml:space="preserve"> </w:t>
      </w:r>
      <w:r w:rsidRPr="00C257F6">
        <w:rPr>
          <w:rFonts w:ascii="Bookman Old Style" w:hAnsi="Bookman Old Style"/>
          <w:sz w:val="24"/>
          <w:szCs w:val="24"/>
          <w:lang w:val="fi-FI"/>
        </w:rPr>
        <w:t>Pemeliharaan</w:t>
      </w:r>
      <w:r w:rsidR="00A954D0">
        <w:rPr>
          <w:rFonts w:ascii="Bookman Old Style" w:hAnsi="Bookman Old Style"/>
          <w:sz w:val="24"/>
          <w:szCs w:val="24"/>
          <w:lang w:val="fi-FI"/>
        </w:rPr>
        <w:t xml:space="preserve"> </w:t>
      </w:r>
      <w:r w:rsidRPr="00C257F6">
        <w:rPr>
          <w:rFonts w:ascii="Bookman Old Style" w:hAnsi="Bookman Old Style"/>
          <w:sz w:val="24"/>
          <w:szCs w:val="24"/>
          <w:lang w:val="fi-FI"/>
        </w:rPr>
        <w:t>Bangunan</w:t>
      </w:r>
      <w:r w:rsidR="00A954D0">
        <w:rPr>
          <w:rFonts w:ascii="Bookman Old Style" w:hAnsi="Bookman Old Style"/>
          <w:sz w:val="24"/>
          <w:szCs w:val="24"/>
          <w:lang w:val="fi-FI"/>
        </w:rPr>
        <w:t xml:space="preserve"> </w:t>
      </w:r>
      <w:r w:rsidRPr="00C257F6">
        <w:rPr>
          <w:rFonts w:ascii="Bookman Old Style" w:hAnsi="Bookman Old Style"/>
          <w:sz w:val="24"/>
          <w:szCs w:val="24"/>
          <w:lang w:val="fi-FI"/>
        </w:rPr>
        <w:t>Gedung-Bangunan</w:t>
      </w:r>
      <w:r w:rsidR="00A954D0">
        <w:rPr>
          <w:rFonts w:ascii="Bookman Old Style" w:hAnsi="Bookman Old Style"/>
          <w:sz w:val="24"/>
          <w:szCs w:val="24"/>
          <w:lang w:val="fi-FI"/>
        </w:rPr>
        <w:t xml:space="preserve"> </w:t>
      </w:r>
      <w:r w:rsidRPr="00C257F6">
        <w:rPr>
          <w:rFonts w:ascii="Bookman Old Style" w:hAnsi="Bookman Old Style"/>
          <w:sz w:val="24"/>
          <w:szCs w:val="24"/>
          <w:lang w:val="fi-FI"/>
        </w:rPr>
        <w:t>Gedung</w:t>
      </w:r>
      <w:r w:rsidR="00A954D0">
        <w:rPr>
          <w:rFonts w:ascii="Bookman Old Style" w:hAnsi="Bookman Old Style"/>
          <w:sz w:val="24"/>
          <w:szCs w:val="24"/>
          <w:lang w:val="fi-FI"/>
        </w:rPr>
        <w:t xml:space="preserve"> </w:t>
      </w:r>
      <w:r w:rsidRPr="00C257F6">
        <w:rPr>
          <w:rFonts w:ascii="Bookman Old Style" w:hAnsi="Bookman Old Style"/>
          <w:sz w:val="24"/>
          <w:szCs w:val="24"/>
          <w:lang w:val="fi-FI"/>
        </w:rPr>
        <w:t>Tempat</w:t>
      </w:r>
      <w:r w:rsidR="00A954D0">
        <w:rPr>
          <w:rFonts w:ascii="Bookman Old Style" w:hAnsi="Bookman Old Style"/>
          <w:sz w:val="24"/>
          <w:szCs w:val="24"/>
          <w:lang w:val="fi-FI"/>
        </w:rPr>
        <w:t xml:space="preserve"> </w:t>
      </w:r>
      <w:r w:rsidRPr="00C257F6">
        <w:rPr>
          <w:rFonts w:ascii="Bookman Old Style" w:hAnsi="Bookman Old Style"/>
          <w:sz w:val="24"/>
          <w:szCs w:val="24"/>
          <w:lang w:val="fi-FI"/>
        </w:rPr>
        <w:t>Kerja-Bangunan</w:t>
      </w:r>
      <w:r w:rsidR="00A954D0">
        <w:rPr>
          <w:rFonts w:ascii="Bookman Old Style" w:hAnsi="Bookman Old Style"/>
          <w:sz w:val="24"/>
          <w:szCs w:val="24"/>
          <w:lang w:val="fi-FI"/>
        </w:rPr>
        <w:t xml:space="preserve"> </w:t>
      </w:r>
      <w:r w:rsidRPr="00C257F6">
        <w:rPr>
          <w:rFonts w:ascii="Bookman Old Style" w:hAnsi="Bookman Old Style"/>
          <w:sz w:val="24"/>
          <w:szCs w:val="24"/>
          <w:lang w:val="fi-FI"/>
        </w:rPr>
        <w:t>Gedung</w:t>
      </w:r>
      <w:r w:rsidR="00A954D0">
        <w:rPr>
          <w:rFonts w:ascii="Bookman Old Style" w:hAnsi="Bookman Old Style"/>
          <w:sz w:val="24"/>
          <w:szCs w:val="24"/>
          <w:lang w:val="fi-FI"/>
        </w:rPr>
        <w:t xml:space="preserve"> </w:t>
      </w:r>
      <w:r w:rsidRPr="00C257F6">
        <w:rPr>
          <w:rFonts w:ascii="Bookman Old Style" w:hAnsi="Bookman Old Style"/>
          <w:sz w:val="24"/>
          <w:szCs w:val="24"/>
          <w:lang w:val="fi-FI"/>
        </w:rPr>
        <w:t>Instalasi</w:t>
      </w:r>
      <w:r w:rsidR="00A954D0">
        <w:rPr>
          <w:rFonts w:ascii="Bookman Old Style" w:hAnsi="Bookman Old Style"/>
          <w:sz w:val="24"/>
          <w:szCs w:val="24"/>
          <w:lang w:val="fi-FI"/>
        </w:rPr>
        <w:t xml:space="preserve"> </w:t>
      </w:r>
      <w:r w:rsidRPr="00C257F6">
        <w:rPr>
          <w:rFonts w:ascii="Bookman Old Style" w:hAnsi="Bookman Old Style"/>
          <w:sz w:val="24"/>
          <w:szCs w:val="24"/>
          <w:lang w:val="fi-FI"/>
        </w:rPr>
        <w:t>Rp2.920.904.394,00</w:t>
      </w:r>
      <w:r w:rsidR="00581E68">
        <w:rPr>
          <w:rFonts w:ascii="Bookman Old Style" w:hAnsi="Bookman Old Style"/>
          <w:sz w:val="24"/>
          <w:szCs w:val="24"/>
          <w:lang w:val="fi-FI"/>
        </w:rPr>
        <w:t>;</w:t>
      </w:r>
    </w:p>
    <w:p w14:paraId="183453E6" w14:textId="7EFA223A" w:rsidR="00C257F6" w:rsidRPr="00C257F6" w:rsidRDefault="00C257F6" w:rsidP="00C95C10">
      <w:pPr>
        <w:pStyle w:val="ListParagraph"/>
        <w:numPr>
          <w:ilvl w:val="0"/>
          <w:numId w:val="226"/>
        </w:numPr>
        <w:snapToGrid w:val="0"/>
        <w:spacing w:before="60" w:after="0" w:line="276" w:lineRule="auto"/>
        <w:ind w:left="3261" w:hanging="567"/>
        <w:contextualSpacing w:val="0"/>
        <w:jc w:val="both"/>
        <w:rPr>
          <w:rFonts w:ascii="Bookman Old Style" w:hAnsi="Bookman Old Style"/>
          <w:sz w:val="24"/>
          <w:szCs w:val="24"/>
          <w:lang w:val="fi-FI"/>
        </w:rPr>
      </w:pPr>
      <w:r w:rsidRPr="00C257F6">
        <w:rPr>
          <w:rFonts w:ascii="Bookman Old Style" w:hAnsi="Bookman Old Style"/>
          <w:sz w:val="24"/>
          <w:szCs w:val="24"/>
          <w:lang w:val="fi-FI"/>
        </w:rPr>
        <w:t>Belanja</w:t>
      </w:r>
      <w:r w:rsidR="00A954D0">
        <w:rPr>
          <w:rFonts w:ascii="Bookman Old Style" w:hAnsi="Bookman Old Style"/>
          <w:sz w:val="24"/>
          <w:szCs w:val="24"/>
          <w:lang w:val="fi-FI"/>
        </w:rPr>
        <w:t xml:space="preserve"> </w:t>
      </w:r>
      <w:r w:rsidRPr="00C257F6">
        <w:rPr>
          <w:rFonts w:ascii="Bookman Old Style" w:hAnsi="Bookman Old Style"/>
          <w:sz w:val="24"/>
          <w:szCs w:val="24"/>
          <w:lang w:val="fi-FI"/>
        </w:rPr>
        <w:t>Pemeliharaan</w:t>
      </w:r>
      <w:r w:rsidR="00A954D0">
        <w:rPr>
          <w:rFonts w:ascii="Bookman Old Style" w:hAnsi="Bookman Old Style"/>
          <w:sz w:val="24"/>
          <w:szCs w:val="24"/>
          <w:lang w:val="fi-FI"/>
        </w:rPr>
        <w:t xml:space="preserve"> </w:t>
      </w:r>
      <w:r w:rsidRPr="00C257F6">
        <w:rPr>
          <w:rFonts w:ascii="Bookman Old Style" w:hAnsi="Bookman Old Style"/>
          <w:sz w:val="24"/>
          <w:szCs w:val="24"/>
          <w:lang w:val="fi-FI"/>
        </w:rPr>
        <w:t>Bangunan</w:t>
      </w:r>
      <w:r w:rsidR="00A954D0">
        <w:rPr>
          <w:rFonts w:ascii="Bookman Old Style" w:hAnsi="Bookman Old Style"/>
          <w:sz w:val="24"/>
          <w:szCs w:val="24"/>
          <w:lang w:val="fi-FI"/>
        </w:rPr>
        <w:t xml:space="preserve"> </w:t>
      </w:r>
      <w:r w:rsidRPr="00C257F6">
        <w:rPr>
          <w:rFonts w:ascii="Bookman Old Style" w:hAnsi="Bookman Old Style"/>
          <w:sz w:val="24"/>
          <w:szCs w:val="24"/>
          <w:lang w:val="fi-FI"/>
        </w:rPr>
        <w:t>Gedung-Bangunan</w:t>
      </w:r>
      <w:r w:rsidR="00A954D0">
        <w:rPr>
          <w:rFonts w:ascii="Bookman Old Style" w:hAnsi="Bookman Old Style"/>
          <w:sz w:val="24"/>
          <w:szCs w:val="24"/>
          <w:lang w:val="fi-FI"/>
        </w:rPr>
        <w:t xml:space="preserve"> </w:t>
      </w:r>
      <w:r w:rsidRPr="00C257F6">
        <w:rPr>
          <w:rFonts w:ascii="Bookman Old Style" w:hAnsi="Bookman Old Style"/>
          <w:sz w:val="24"/>
          <w:szCs w:val="24"/>
          <w:lang w:val="fi-FI"/>
        </w:rPr>
        <w:t>Gedung</w:t>
      </w:r>
      <w:r w:rsidR="00A954D0">
        <w:rPr>
          <w:rFonts w:ascii="Bookman Old Style" w:hAnsi="Bookman Old Style"/>
          <w:sz w:val="24"/>
          <w:szCs w:val="24"/>
          <w:lang w:val="fi-FI"/>
        </w:rPr>
        <w:t xml:space="preserve"> </w:t>
      </w:r>
      <w:r w:rsidRPr="00C257F6">
        <w:rPr>
          <w:rFonts w:ascii="Bookman Old Style" w:hAnsi="Bookman Old Style"/>
          <w:sz w:val="24"/>
          <w:szCs w:val="24"/>
          <w:lang w:val="fi-FI"/>
        </w:rPr>
        <w:t>Tempat</w:t>
      </w:r>
      <w:r w:rsidR="00A954D0">
        <w:rPr>
          <w:rFonts w:ascii="Bookman Old Style" w:hAnsi="Bookman Old Style"/>
          <w:sz w:val="24"/>
          <w:szCs w:val="24"/>
          <w:lang w:val="fi-FI"/>
        </w:rPr>
        <w:t xml:space="preserve"> </w:t>
      </w:r>
      <w:r w:rsidRPr="00C257F6">
        <w:rPr>
          <w:rFonts w:ascii="Bookman Old Style" w:hAnsi="Bookman Old Style"/>
          <w:sz w:val="24"/>
          <w:szCs w:val="24"/>
          <w:lang w:val="fi-FI"/>
        </w:rPr>
        <w:t>Kerja-Bangunan</w:t>
      </w:r>
      <w:r w:rsidR="00A954D0">
        <w:rPr>
          <w:rFonts w:ascii="Bookman Old Style" w:hAnsi="Bookman Old Style"/>
          <w:sz w:val="24"/>
          <w:szCs w:val="24"/>
          <w:lang w:val="fi-FI"/>
        </w:rPr>
        <w:t xml:space="preserve"> </w:t>
      </w:r>
      <w:r w:rsidRPr="00C257F6">
        <w:rPr>
          <w:rFonts w:ascii="Bookman Old Style" w:hAnsi="Bookman Old Style"/>
          <w:sz w:val="24"/>
          <w:szCs w:val="24"/>
          <w:lang w:val="fi-FI"/>
        </w:rPr>
        <w:t>Gedung</w:t>
      </w:r>
      <w:r w:rsidR="00A954D0">
        <w:rPr>
          <w:rFonts w:ascii="Bookman Old Style" w:hAnsi="Bookman Old Style"/>
          <w:sz w:val="24"/>
          <w:szCs w:val="24"/>
          <w:lang w:val="fi-FI"/>
        </w:rPr>
        <w:t xml:space="preserve"> </w:t>
      </w:r>
      <w:r w:rsidRPr="00C257F6">
        <w:rPr>
          <w:rFonts w:ascii="Bookman Old Style" w:hAnsi="Bookman Old Style"/>
          <w:sz w:val="24"/>
          <w:szCs w:val="24"/>
          <w:lang w:val="fi-FI"/>
        </w:rPr>
        <w:t>Tempat</w:t>
      </w:r>
      <w:r w:rsidR="00A954D0">
        <w:rPr>
          <w:rFonts w:ascii="Bookman Old Style" w:hAnsi="Bookman Old Style"/>
          <w:sz w:val="24"/>
          <w:szCs w:val="24"/>
          <w:lang w:val="fi-FI"/>
        </w:rPr>
        <w:t xml:space="preserve"> </w:t>
      </w:r>
      <w:r w:rsidRPr="00C257F6">
        <w:rPr>
          <w:rFonts w:ascii="Bookman Old Style" w:hAnsi="Bookman Old Style"/>
          <w:sz w:val="24"/>
          <w:szCs w:val="24"/>
          <w:lang w:val="fi-FI"/>
        </w:rPr>
        <w:t>Pendidikan</w:t>
      </w:r>
      <w:r w:rsidR="00A954D0">
        <w:rPr>
          <w:rFonts w:ascii="Bookman Old Style" w:hAnsi="Bookman Old Style"/>
          <w:sz w:val="24"/>
          <w:szCs w:val="24"/>
          <w:lang w:val="fi-FI"/>
        </w:rPr>
        <w:t xml:space="preserve"> </w:t>
      </w:r>
      <w:r w:rsidRPr="00C257F6">
        <w:rPr>
          <w:rFonts w:ascii="Bookman Old Style" w:hAnsi="Bookman Old Style"/>
          <w:sz w:val="24"/>
          <w:szCs w:val="24"/>
          <w:lang w:val="fi-FI"/>
        </w:rPr>
        <w:t>Rp1.845.694.100,00</w:t>
      </w:r>
      <w:r w:rsidR="00581E68">
        <w:rPr>
          <w:rFonts w:ascii="Bookman Old Style" w:hAnsi="Bookman Old Style"/>
          <w:sz w:val="24"/>
          <w:szCs w:val="24"/>
          <w:lang w:val="fi-FI"/>
        </w:rPr>
        <w:t>;</w:t>
      </w:r>
    </w:p>
    <w:p w14:paraId="64EF1F8D" w14:textId="2E5B9FBF" w:rsidR="00C257F6" w:rsidRPr="00294CC2" w:rsidRDefault="00C257F6" w:rsidP="00C95C10">
      <w:pPr>
        <w:pStyle w:val="ListParagraph"/>
        <w:numPr>
          <w:ilvl w:val="0"/>
          <w:numId w:val="226"/>
        </w:numPr>
        <w:snapToGrid w:val="0"/>
        <w:spacing w:before="60" w:after="0" w:line="276" w:lineRule="auto"/>
        <w:ind w:left="3261" w:hanging="567"/>
        <w:contextualSpacing w:val="0"/>
        <w:jc w:val="both"/>
        <w:rPr>
          <w:rFonts w:ascii="Bookman Old Style" w:hAnsi="Bookman Old Style"/>
          <w:sz w:val="24"/>
          <w:szCs w:val="24"/>
          <w:lang w:val="fi-FI"/>
        </w:rPr>
      </w:pPr>
      <w:r w:rsidRPr="00C257F6">
        <w:rPr>
          <w:rFonts w:ascii="Bookman Old Style" w:hAnsi="Bookman Old Style"/>
          <w:sz w:val="24"/>
          <w:szCs w:val="24"/>
          <w:lang w:val="fi-FI"/>
        </w:rPr>
        <w:t>Belanja</w:t>
      </w:r>
      <w:r w:rsidR="00A954D0">
        <w:rPr>
          <w:rFonts w:ascii="Bookman Old Style" w:hAnsi="Bookman Old Style"/>
          <w:sz w:val="24"/>
          <w:szCs w:val="24"/>
          <w:lang w:val="fi-FI"/>
        </w:rPr>
        <w:t xml:space="preserve"> </w:t>
      </w:r>
      <w:r w:rsidRPr="00294CC2">
        <w:rPr>
          <w:rFonts w:ascii="Bookman Old Style" w:hAnsi="Bookman Old Style"/>
          <w:sz w:val="24"/>
          <w:szCs w:val="24"/>
          <w:lang w:val="fi-FI"/>
        </w:rPr>
        <w:t>Pemeliharaan</w:t>
      </w:r>
      <w:r w:rsidR="00A954D0">
        <w:rPr>
          <w:rFonts w:ascii="Bookman Old Style" w:hAnsi="Bookman Old Style"/>
          <w:sz w:val="24"/>
          <w:szCs w:val="24"/>
          <w:lang w:val="fi-FI"/>
        </w:rPr>
        <w:t xml:space="preserve"> </w:t>
      </w:r>
      <w:r w:rsidRPr="00294CC2">
        <w:rPr>
          <w:rFonts w:ascii="Bookman Old Style" w:hAnsi="Bookman Old Style"/>
          <w:sz w:val="24"/>
          <w:szCs w:val="24"/>
          <w:lang w:val="fi-FI"/>
        </w:rPr>
        <w:t>Bangunan</w:t>
      </w:r>
      <w:r w:rsidR="00A954D0">
        <w:rPr>
          <w:rFonts w:ascii="Bookman Old Style" w:hAnsi="Bookman Old Style"/>
          <w:sz w:val="24"/>
          <w:szCs w:val="24"/>
          <w:lang w:val="fi-FI"/>
        </w:rPr>
        <w:t xml:space="preserve"> </w:t>
      </w:r>
      <w:r w:rsidRPr="00294CC2">
        <w:rPr>
          <w:rFonts w:ascii="Bookman Old Style" w:hAnsi="Bookman Old Style"/>
          <w:sz w:val="24"/>
          <w:szCs w:val="24"/>
          <w:lang w:val="fi-FI"/>
        </w:rPr>
        <w:t>Gedung-Bangunan</w:t>
      </w:r>
      <w:r w:rsidR="00A954D0">
        <w:rPr>
          <w:rFonts w:ascii="Bookman Old Style" w:hAnsi="Bookman Old Style"/>
          <w:sz w:val="24"/>
          <w:szCs w:val="24"/>
          <w:lang w:val="fi-FI"/>
        </w:rPr>
        <w:t xml:space="preserve"> </w:t>
      </w:r>
      <w:r w:rsidRPr="00294CC2">
        <w:rPr>
          <w:rFonts w:ascii="Bookman Old Style" w:hAnsi="Bookman Old Style"/>
          <w:sz w:val="24"/>
          <w:szCs w:val="24"/>
          <w:lang w:val="fi-FI"/>
        </w:rPr>
        <w:t>Gedung</w:t>
      </w:r>
      <w:r w:rsidR="00A954D0">
        <w:rPr>
          <w:rFonts w:ascii="Bookman Old Style" w:hAnsi="Bookman Old Style"/>
          <w:sz w:val="24"/>
          <w:szCs w:val="24"/>
          <w:lang w:val="fi-FI"/>
        </w:rPr>
        <w:t xml:space="preserve"> </w:t>
      </w:r>
      <w:r w:rsidRPr="00294CC2">
        <w:rPr>
          <w:rFonts w:ascii="Bookman Old Style" w:hAnsi="Bookman Old Style"/>
          <w:sz w:val="24"/>
          <w:szCs w:val="24"/>
          <w:lang w:val="fi-FI"/>
        </w:rPr>
        <w:t>Tempat</w:t>
      </w:r>
      <w:r w:rsidR="00A954D0">
        <w:rPr>
          <w:rFonts w:ascii="Bookman Old Style" w:hAnsi="Bookman Old Style"/>
          <w:sz w:val="24"/>
          <w:szCs w:val="24"/>
          <w:lang w:val="fi-FI"/>
        </w:rPr>
        <w:t xml:space="preserve"> </w:t>
      </w:r>
      <w:r w:rsidRPr="00294CC2">
        <w:rPr>
          <w:rFonts w:ascii="Bookman Old Style" w:hAnsi="Bookman Old Style"/>
          <w:sz w:val="24"/>
          <w:szCs w:val="24"/>
          <w:lang w:val="fi-FI"/>
        </w:rPr>
        <w:t>Kerja-Taman</w:t>
      </w:r>
      <w:r w:rsidR="00A954D0">
        <w:rPr>
          <w:rFonts w:ascii="Bookman Old Style" w:hAnsi="Bookman Old Style"/>
          <w:sz w:val="24"/>
          <w:szCs w:val="24"/>
          <w:lang w:val="fi-FI"/>
        </w:rPr>
        <w:t xml:space="preserve"> </w:t>
      </w:r>
      <w:r w:rsidRPr="00294CC2">
        <w:rPr>
          <w:rFonts w:ascii="Bookman Old Style" w:hAnsi="Bookman Old Style"/>
          <w:sz w:val="24"/>
          <w:szCs w:val="24"/>
          <w:lang w:val="fi-FI"/>
        </w:rPr>
        <w:t>Rp6.323.530.295,00</w:t>
      </w:r>
      <w:r w:rsidR="00581E68" w:rsidRPr="00294CC2">
        <w:rPr>
          <w:rFonts w:ascii="Bookman Old Style" w:hAnsi="Bookman Old Style"/>
          <w:sz w:val="24"/>
          <w:szCs w:val="24"/>
          <w:lang w:val="fi-FI"/>
        </w:rPr>
        <w:t>;</w:t>
      </w:r>
    </w:p>
    <w:p w14:paraId="6F495550" w14:textId="2A67BE31" w:rsidR="00C257F6" w:rsidRPr="00294CC2" w:rsidRDefault="00C257F6" w:rsidP="00C95C10">
      <w:pPr>
        <w:pStyle w:val="ListParagraph"/>
        <w:numPr>
          <w:ilvl w:val="0"/>
          <w:numId w:val="226"/>
        </w:numPr>
        <w:snapToGrid w:val="0"/>
        <w:spacing w:before="60" w:after="0" w:line="276" w:lineRule="auto"/>
        <w:ind w:left="3261" w:hanging="567"/>
        <w:contextualSpacing w:val="0"/>
        <w:jc w:val="both"/>
        <w:rPr>
          <w:rFonts w:ascii="Bookman Old Style" w:hAnsi="Bookman Old Style"/>
          <w:sz w:val="24"/>
          <w:szCs w:val="24"/>
        </w:rPr>
      </w:pPr>
      <w:r w:rsidRPr="00294CC2">
        <w:rPr>
          <w:rFonts w:ascii="Bookman Old Style" w:hAnsi="Bookman Old Style"/>
          <w:sz w:val="24"/>
          <w:szCs w:val="24"/>
          <w:lang w:val="fi-FI"/>
        </w:rPr>
        <w:t>Belanja</w:t>
      </w:r>
      <w:r w:rsidR="00A954D0">
        <w:rPr>
          <w:rFonts w:ascii="Bookman Old Style" w:hAnsi="Bookman Old Style"/>
          <w:sz w:val="24"/>
          <w:szCs w:val="24"/>
          <w:lang w:val="fi-FI"/>
        </w:rPr>
        <w:t xml:space="preserve"> </w:t>
      </w:r>
      <w:r w:rsidRPr="00294CC2">
        <w:rPr>
          <w:rFonts w:ascii="Bookman Old Style" w:hAnsi="Bookman Old Style"/>
          <w:sz w:val="24"/>
          <w:szCs w:val="24"/>
          <w:lang w:val="fi-FI"/>
        </w:rPr>
        <w:t>Pemeliharaan</w:t>
      </w:r>
      <w:r w:rsidR="00A954D0">
        <w:rPr>
          <w:rFonts w:ascii="Bookman Old Style" w:hAnsi="Bookman Old Style"/>
          <w:sz w:val="24"/>
          <w:szCs w:val="24"/>
          <w:lang w:val="fi-FI"/>
        </w:rPr>
        <w:t xml:space="preserve"> </w:t>
      </w:r>
      <w:r w:rsidRPr="00294CC2">
        <w:rPr>
          <w:rFonts w:ascii="Bookman Old Style" w:hAnsi="Bookman Old Style"/>
          <w:sz w:val="24"/>
          <w:szCs w:val="24"/>
          <w:lang w:val="fi-FI"/>
        </w:rPr>
        <w:t>Tugu</w:t>
      </w:r>
      <w:r w:rsidR="00A954D0">
        <w:rPr>
          <w:rFonts w:ascii="Bookman Old Style" w:hAnsi="Bookman Old Style"/>
          <w:sz w:val="24"/>
          <w:szCs w:val="24"/>
          <w:lang w:val="fi-FI"/>
        </w:rPr>
        <w:t xml:space="preserve"> </w:t>
      </w:r>
      <w:r w:rsidRPr="00294CC2">
        <w:rPr>
          <w:rFonts w:ascii="Bookman Old Style" w:hAnsi="Bookman Old Style"/>
          <w:sz w:val="24"/>
          <w:szCs w:val="24"/>
          <w:lang w:val="fi-FI"/>
        </w:rPr>
        <w:t>Titik</w:t>
      </w:r>
      <w:r w:rsidR="00A954D0">
        <w:rPr>
          <w:rFonts w:ascii="Bookman Old Style" w:hAnsi="Bookman Old Style"/>
          <w:sz w:val="24"/>
          <w:szCs w:val="24"/>
          <w:lang w:val="fi-FI"/>
        </w:rPr>
        <w:t xml:space="preserve"> </w:t>
      </w:r>
      <w:r w:rsidRPr="00294CC2">
        <w:rPr>
          <w:rFonts w:ascii="Bookman Old Style" w:hAnsi="Bookman Old Style"/>
          <w:sz w:val="24"/>
          <w:szCs w:val="24"/>
          <w:lang w:val="fi-FI"/>
        </w:rPr>
        <w:t>Kontrol/Pasti-Tugu/Tanda</w:t>
      </w:r>
      <w:r w:rsidR="00A954D0">
        <w:rPr>
          <w:rFonts w:ascii="Bookman Old Style" w:hAnsi="Bookman Old Style"/>
          <w:sz w:val="24"/>
          <w:szCs w:val="24"/>
        </w:rPr>
        <w:t xml:space="preserve"> </w:t>
      </w:r>
      <w:r w:rsidRPr="00294CC2">
        <w:rPr>
          <w:rFonts w:ascii="Bookman Old Style" w:hAnsi="Bookman Old Style"/>
          <w:sz w:val="24"/>
          <w:szCs w:val="24"/>
        </w:rPr>
        <w:t>Batas-Tugu/Tanda</w:t>
      </w:r>
      <w:r w:rsidR="00A954D0">
        <w:rPr>
          <w:rFonts w:ascii="Bookman Old Style" w:hAnsi="Bookman Old Style"/>
          <w:sz w:val="24"/>
          <w:szCs w:val="24"/>
        </w:rPr>
        <w:t xml:space="preserve"> </w:t>
      </w:r>
      <w:r w:rsidRPr="00294CC2">
        <w:rPr>
          <w:rFonts w:ascii="Bookman Old Style" w:hAnsi="Bookman Old Style"/>
          <w:sz w:val="24"/>
          <w:szCs w:val="24"/>
        </w:rPr>
        <w:t>Batas</w:t>
      </w:r>
      <w:r w:rsidR="00A954D0">
        <w:rPr>
          <w:rFonts w:ascii="Bookman Old Style" w:hAnsi="Bookman Old Style"/>
          <w:sz w:val="24"/>
          <w:szCs w:val="24"/>
        </w:rPr>
        <w:t xml:space="preserve"> </w:t>
      </w:r>
      <w:r w:rsidRPr="00294CC2">
        <w:rPr>
          <w:rFonts w:ascii="Bookman Old Style" w:hAnsi="Bookman Old Style"/>
          <w:sz w:val="24"/>
          <w:szCs w:val="24"/>
        </w:rPr>
        <w:t>Lainnya</w:t>
      </w:r>
      <w:r w:rsidR="00A954D0">
        <w:rPr>
          <w:rFonts w:ascii="Bookman Old Style" w:hAnsi="Bookman Old Style"/>
          <w:sz w:val="24"/>
          <w:szCs w:val="24"/>
        </w:rPr>
        <w:t xml:space="preserve"> </w:t>
      </w:r>
      <w:r w:rsidRPr="00294CC2">
        <w:rPr>
          <w:rFonts w:ascii="Bookman Old Style" w:hAnsi="Bookman Old Style"/>
          <w:sz w:val="24"/>
          <w:szCs w:val="24"/>
        </w:rPr>
        <w:t>Rp2.401.916.086,00</w:t>
      </w:r>
      <w:r w:rsidR="00C95C10" w:rsidRPr="00C95C10">
        <w:rPr>
          <w:rFonts w:ascii="Bookman Old Style" w:hAnsi="Bookman Old Style"/>
          <w:sz w:val="24"/>
          <w:szCs w:val="24"/>
          <w:lang w:val="sv-FI"/>
        </w:rPr>
        <w:t>.</w:t>
      </w:r>
    </w:p>
    <w:p w14:paraId="247D2CCC" w14:textId="26DB6948" w:rsidR="00B37817" w:rsidRPr="00294CC2" w:rsidRDefault="003B7FE4" w:rsidP="00C95C10">
      <w:pPr>
        <w:pStyle w:val="ListParagraph"/>
        <w:numPr>
          <w:ilvl w:val="0"/>
          <w:numId w:val="23"/>
        </w:numPr>
        <w:spacing w:before="60" w:after="0" w:line="276" w:lineRule="auto"/>
        <w:ind w:left="2694" w:hanging="426"/>
        <w:contextualSpacing w:val="0"/>
        <w:jc w:val="both"/>
        <w:rPr>
          <w:rFonts w:ascii="Bookman Old Style" w:hAnsi="Bookman Old Style"/>
          <w:sz w:val="24"/>
          <w:szCs w:val="24"/>
        </w:rPr>
      </w:pPr>
      <w:r w:rsidRPr="00294CC2">
        <w:rPr>
          <w:rFonts w:ascii="Bookman Old Style" w:hAnsi="Bookman Old Style"/>
          <w:sz w:val="24"/>
          <w:szCs w:val="24"/>
        </w:rPr>
        <w:t>Belanja</w:t>
      </w:r>
      <w:r w:rsidR="00A954D0">
        <w:rPr>
          <w:rFonts w:ascii="Bookman Old Style" w:hAnsi="Bookman Old Style"/>
          <w:sz w:val="24"/>
          <w:szCs w:val="24"/>
        </w:rPr>
        <w:t xml:space="preserve"> </w:t>
      </w:r>
      <w:r w:rsidRPr="00294CC2">
        <w:rPr>
          <w:rFonts w:ascii="Bookman Old Style" w:hAnsi="Bookman Old Style"/>
          <w:sz w:val="24"/>
          <w:szCs w:val="24"/>
        </w:rPr>
        <w:t>Pemeliharaan</w:t>
      </w:r>
      <w:r w:rsidR="00A954D0">
        <w:rPr>
          <w:rFonts w:ascii="Bookman Old Style" w:hAnsi="Bookman Old Style"/>
          <w:sz w:val="24"/>
          <w:szCs w:val="24"/>
        </w:rPr>
        <w:t xml:space="preserve"> </w:t>
      </w:r>
      <w:r w:rsidRPr="00294CC2">
        <w:rPr>
          <w:rFonts w:ascii="Bookman Old Style" w:hAnsi="Bookman Old Style"/>
          <w:sz w:val="24"/>
          <w:szCs w:val="24"/>
        </w:rPr>
        <w:t>Jalan,</w:t>
      </w:r>
      <w:r w:rsidR="00A954D0">
        <w:rPr>
          <w:rFonts w:ascii="Bookman Old Style" w:hAnsi="Bookman Old Style"/>
          <w:sz w:val="24"/>
          <w:szCs w:val="24"/>
        </w:rPr>
        <w:t xml:space="preserve"> </w:t>
      </w:r>
      <w:r w:rsidRPr="00294CC2">
        <w:rPr>
          <w:rFonts w:ascii="Bookman Old Style" w:hAnsi="Bookman Old Style"/>
          <w:sz w:val="24"/>
          <w:szCs w:val="24"/>
        </w:rPr>
        <w:t>Jaringan,</w:t>
      </w:r>
      <w:r w:rsidR="00A954D0">
        <w:rPr>
          <w:rFonts w:ascii="Bookman Old Style" w:hAnsi="Bookman Old Style"/>
          <w:sz w:val="24"/>
          <w:szCs w:val="24"/>
        </w:rPr>
        <w:t xml:space="preserve"> </w:t>
      </w:r>
      <w:r w:rsidRPr="00294CC2">
        <w:rPr>
          <w:rFonts w:ascii="Bookman Old Style" w:hAnsi="Bookman Old Style"/>
          <w:sz w:val="24"/>
          <w:szCs w:val="24"/>
        </w:rPr>
        <w:t>dan</w:t>
      </w:r>
      <w:r w:rsidR="00A954D0">
        <w:rPr>
          <w:rFonts w:ascii="Bookman Old Style" w:hAnsi="Bookman Old Style"/>
          <w:sz w:val="24"/>
          <w:szCs w:val="24"/>
        </w:rPr>
        <w:t xml:space="preserve"> </w:t>
      </w:r>
      <w:r w:rsidRPr="00294CC2">
        <w:rPr>
          <w:rFonts w:ascii="Bookman Old Style" w:hAnsi="Bookman Old Style"/>
          <w:sz w:val="24"/>
          <w:szCs w:val="24"/>
        </w:rPr>
        <w:t>Irigasi</w:t>
      </w:r>
      <w:r w:rsidR="00A954D0">
        <w:rPr>
          <w:rFonts w:ascii="Bookman Old Style" w:hAnsi="Bookman Old Style"/>
          <w:sz w:val="24"/>
          <w:szCs w:val="24"/>
          <w:lang w:val="id-ID"/>
        </w:rPr>
        <w:t xml:space="preserve"> </w:t>
      </w:r>
      <w:r w:rsidR="00581E68" w:rsidRPr="00294CC2">
        <w:rPr>
          <w:rFonts w:ascii="Bookman Old Style" w:hAnsi="Bookman Old Style"/>
          <w:sz w:val="24"/>
          <w:szCs w:val="24"/>
        </w:rPr>
        <w:t>Rp8.059.514.800,00</w:t>
      </w:r>
      <w:r w:rsidR="00A954D0">
        <w:rPr>
          <w:rFonts w:ascii="Bookman Old Style" w:hAnsi="Bookman Old Style"/>
          <w:sz w:val="24"/>
          <w:szCs w:val="24"/>
        </w:rPr>
        <w:t xml:space="preserve"> </w:t>
      </w:r>
      <w:r w:rsidR="00581E68" w:rsidRPr="00294CC2">
        <w:rPr>
          <w:rFonts w:ascii="Bookman Old Style" w:hAnsi="Bookman Old Style"/>
          <w:sz w:val="24"/>
          <w:szCs w:val="24"/>
        </w:rPr>
        <w:t>atau</w:t>
      </w:r>
      <w:r w:rsidR="00A954D0">
        <w:rPr>
          <w:rFonts w:ascii="Bookman Old Style" w:hAnsi="Bookman Old Style"/>
          <w:sz w:val="24"/>
          <w:szCs w:val="24"/>
        </w:rPr>
        <w:t xml:space="preserve"> </w:t>
      </w:r>
      <w:r w:rsidR="00581E68" w:rsidRPr="00294CC2">
        <w:rPr>
          <w:rFonts w:ascii="Bookman Old Style" w:hAnsi="Bookman Old Style"/>
          <w:sz w:val="24"/>
          <w:szCs w:val="24"/>
        </w:rPr>
        <w:t>0,14%</w:t>
      </w:r>
      <w:r w:rsidR="00A954D0">
        <w:rPr>
          <w:rFonts w:ascii="Bookman Old Style" w:hAnsi="Bookman Old Style"/>
          <w:sz w:val="24"/>
          <w:szCs w:val="24"/>
          <w:lang w:val="id-ID"/>
        </w:rPr>
        <w:t xml:space="preserve"> </w:t>
      </w:r>
      <w:r w:rsidRPr="00294CC2">
        <w:rPr>
          <w:rFonts w:ascii="Bookman Old Style" w:hAnsi="Bookman Old Style"/>
          <w:sz w:val="24"/>
          <w:szCs w:val="24"/>
        </w:rPr>
        <w:t>dari</w:t>
      </w:r>
      <w:r w:rsidR="00A954D0">
        <w:rPr>
          <w:rFonts w:ascii="Bookman Old Style" w:hAnsi="Bookman Old Style"/>
          <w:sz w:val="24"/>
          <w:szCs w:val="24"/>
        </w:rPr>
        <w:t xml:space="preserve"> </w:t>
      </w:r>
      <w:r w:rsidRPr="00294CC2">
        <w:rPr>
          <w:rFonts w:ascii="Bookman Old Style" w:hAnsi="Bookman Old Style"/>
          <w:sz w:val="24"/>
          <w:szCs w:val="24"/>
        </w:rPr>
        <w:t>total</w:t>
      </w:r>
      <w:r w:rsidR="00A954D0">
        <w:rPr>
          <w:rFonts w:ascii="Bookman Old Style" w:hAnsi="Bookman Old Style"/>
          <w:sz w:val="24"/>
          <w:szCs w:val="24"/>
        </w:rPr>
        <w:t xml:space="preserve"> </w:t>
      </w:r>
      <w:r w:rsidRPr="00294CC2">
        <w:rPr>
          <w:rFonts w:ascii="Bookman Old Style" w:hAnsi="Bookman Old Style"/>
          <w:sz w:val="24"/>
          <w:szCs w:val="24"/>
        </w:rPr>
        <w:t>belanja</w:t>
      </w:r>
      <w:r w:rsidR="00A954D0">
        <w:rPr>
          <w:rFonts w:ascii="Bookman Old Style" w:hAnsi="Bookman Old Style"/>
          <w:sz w:val="24"/>
          <w:szCs w:val="24"/>
        </w:rPr>
        <w:t xml:space="preserve"> </w:t>
      </w:r>
      <w:r w:rsidRPr="00294CC2">
        <w:rPr>
          <w:rFonts w:ascii="Bookman Old Style" w:hAnsi="Bookman Old Style"/>
          <w:sz w:val="24"/>
          <w:szCs w:val="24"/>
        </w:rPr>
        <w:t>daerah</w:t>
      </w:r>
      <w:r w:rsidR="00A954D0">
        <w:rPr>
          <w:rFonts w:ascii="Bookman Old Style" w:hAnsi="Bookman Old Style"/>
          <w:sz w:val="24"/>
          <w:szCs w:val="24"/>
        </w:rPr>
        <w:t xml:space="preserve"> </w:t>
      </w:r>
      <w:r w:rsidRPr="00294CC2">
        <w:rPr>
          <w:rFonts w:ascii="Bookman Old Style" w:hAnsi="Bookman Old Style"/>
          <w:sz w:val="24"/>
          <w:szCs w:val="24"/>
        </w:rPr>
        <w:t>dalam</w:t>
      </w:r>
      <w:r w:rsidR="00A954D0">
        <w:rPr>
          <w:rFonts w:ascii="Bookman Old Style" w:hAnsi="Bookman Old Style"/>
          <w:sz w:val="24"/>
          <w:szCs w:val="24"/>
        </w:rPr>
        <w:t xml:space="preserve"> </w:t>
      </w:r>
      <w:r w:rsidRPr="00294CC2">
        <w:rPr>
          <w:rFonts w:ascii="Bookman Old Style" w:hAnsi="Bookman Old Style"/>
          <w:sz w:val="24"/>
          <w:szCs w:val="24"/>
        </w:rPr>
        <w:t>Rancangan</w:t>
      </w:r>
      <w:r w:rsidR="00A954D0">
        <w:rPr>
          <w:rFonts w:ascii="Bookman Old Style" w:hAnsi="Bookman Old Style"/>
          <w:sz w:val="24"/>
          <w:szCs w:val="24"/>
        </w:rPr>
        <w:t xml:space="preserve"> </w:t>
      </w:r>
      <w:r w:rsidRPr="00294CC2">
        <w:rPr>
          <w:rFonts w:ascii="Bookman Old Style" w:hAnsi="Bookman Old Style"/>
          <w:sz w:val="24"/>
          <w:szCs w:val="24"/>
        </w:rPr>
        <w:t>Peraturan</w:t>
      </w:r>
      <w:r w:rsidR="00A954D0">
        <w:rPr>
          <w:rFonts w:ascii="Bookman Old Style" w:hAnsi="Bookman Old Style"/>
          <w:sz w:val="24"/>
          <w:szCs w:val="24"/>
        </w:rPr>
        <w:t xml:space="preserve"> </w:t>
      </w:r>
      <w:r w:rsidRPr="00294CC2">
        <w:rPr>
          <w:rFonts w:ascii="Bookman Old Style" w:hAnsi="Bookman Old Style"/>
          <w:sz w:val="24"/>
          <w:szCs w:val="24"/>
        </w:rPr>
        <w:t>Daerah</w:t>
      </w:r>
      <w:r w:rsidR="00A954D0">
        <w:rPr>
          <w:rFonts w:ascii="Bookman Old Style" w:hAnsi="Bookman Old Style"/>
          <w:sz w:val="24"/>
          <w:szCs w:val="24"/>
        </w:rPr>
        <w:t xml:space="preserve"> </w:t>
      </w:r>
      <w:r w:rsidR="00B055C5" w:rsidRPr="00294CC2">
        <w:rPr>
          <w:rFonts w:ascii="Bookman Old Style" w:hAnsi="Bookman Old Style"/>
          <w:sz w:val="24"/>
          <w:szCs w:val="24"/>
        </w:rPr>
        <w:t>Kota</w:t>
      </w:r>
      <w:r w:rsidR="00A954D0">
        <w:rPr>
          <w:rFonts w:ascii="Bookman Old Style" w:hAnsi="Bookman Old Style"/>
          <w:sz w:val="24"/>
          <w:szCs w:val="24"/>
        </w:rPr>
        <w:t xml:space="preserve"> </w:t>
      </w:r>
      <w:r w:rsidR="00770F22" w:rsidRPr="00294CC2">
        <w:rPr>
          <w:rFonts w:ascii="Bookman Old Style" w:hAnsi="Bookman Old Style"/>
          <w:sz w:val="24"/>
          <w:szCs w:val="24"/>
        </w:rPr>
        <w:t>Tangerang</w:t>
      </w:r>
      <w:r w:rsidR="00A954D0">
        <w:rPr>
          <w:rFonts w:ascii="Bookman Old Style" w:hAnsi="Bookman Old Style"/>
          <w:sz w:val="24"/>
          <w:szCs w:val="24"/>
        </w:rPr>
        <w:t xml:space="preserve"> </w:t>
      </w:r>
      <w:r w:rsidR="00BE6ED9" w:rsidRPr="00294CC2">
        <w:rPr>
          <w:rFonts w:ascii="Bookman Old Style" w:hAnsi="Bookman Old Style"/>
          <w:sz w:val="24"/>
          <w:szCs w:val="24"/>
        </w:rPr>
        <w:t>tentang</w:t>
      </w:r>
      <w:r w:rsidR="00A954D0">
        <w:rPr>
          <w:rFonts w:ascii="Bookman Old Style" w:hAnsi="Bookman Old Style"/>
          <w:sz w:val="24"/>
          <w:szCs w:val="24"/>
        </w:rPr>
        <w:t xml:space="preserve"> </w:t>
      </w:r>
      <w:r w:rsidR="00BE6ED9" w:rsidRPr="00294CC2">
        <w:rPr>
          <w:rFonts w:ascii="Bookman Old Style" w:hAnsi="Bookman Old Style"/>
          <w:sz w:val="24"/>
          <w:szCs w:val="24"/>
        </w:rPr>
        <w:t>APBD</w:t>
      </w:r>
      <w:r w:rsidR="00A954D0">
        <w:rPr>
          <w:rFonts w:ascii="Bookman Old Style" w:hAnsi="Bookman Old Style"/>
          <w:sz w:val="24"/>
          <w:szCs w:val="24"/>
        </w:rPr>
        <w:t xml:space="preserve"> </w:t>
      </w:r>
      <w:r w:rsidRPr="00294CC2">
        <w:rPr>
          <w:rFonts w:ascii="Bookman Old Style" w:hAnsi="Bookman Old Style"/>
          <w:sz w:val="24"/>
          <w:szCs w:val="24"/>
        </w:rPr>
        <w:t>Tahun</w:t>
      </w:r>
      <w:r w:rsidR="00A954D0">
        <w:rPr>
          <w:rFonts w:ascii="Bookman Old Style" w:hAnsi="Bookman Old Style"/>
          <w:sz w:val="24"/>
          <w:szCs w:val="24"/>
        </w:rPr>
        <w:t xml:space="preserve"> </w:t>
      </w:r>
      <w:r w:rsidRPr="00294CC2">
        <w:rPr>
          <w:rFonts w:ascii="Bookman Old Style" w:hAnsi="Bookman Old Style"/>
          <w:sz w:val="24"/>
          <w:szCs w:val="24"/>
        </w:rPr>
        <w:t>Anggaran</w:t>
      </w:r>
      <w:r w:rsidR="00A954D0">
        <w:rPr>
          <w:rFonts w:ascii="Bookman Old Style" w:hAnsi="Bookman Old Style"/>
          <w:sz w:val="24"/>
          <w:szCs w:val="24"/>
        </w:rPr>
        <w:t xml:space="preserve"> </w:t>
      </w:r>
      <w:r w:rsidRPr="00294CC2">
        <w:rPr>
          <w:rFonts w:ascii="Bookman Old Style" w:hAnsi="Bookman Old Style"/>
          <w:sz w:val="24"/>
          <w:szCs w:val="24"/>
        </w:rPr>
        <w:t>2025,</w:t>
      </w:r>
      <w:r w:rsidR="00A954D0">
        <w:rPr>
          <w:rFonts w:ascii="Bookman Old Style" w:hAnsi="Bookman Old Style"/>
          <w:sz w:val="24"/>
          <w:szCs w:val="24"/>
        </w:rPr>
        <w:t xml:space="preserve"> </w:t>
      </w:r>
      <w:r w:rsidRPr="00294CC2">
        <w:rPr>
          <w:rFonts w:ascii="Bookman Old Style" w:hAnsi="Bookman Old Style"/>
          <w:sz w:val="24"/>
          <w:szCs w:val="24"/>
          <w:lang w:val="fi-FI"/>
        </w:rPr>
        <w:t>yang</w:t>
      </w:r>
      <w:r w:rsidR="00A954D0">
        <w:rPr>
          <w:rFonts w:ascii="Bookman Old Style" w:hAnsi="Bookman Old Style"/>
          <w:sz w:val="24"/>
          <w:szCs w:val="24"/>
          <w:lang w:val="fi-FI"/>
        </w:rPr>
        <w:t xml:space="preserve"> </w:t>
      </w:r>
      <w:r w:rsidRPr="00294CC2">
        <w:rPr>
          <w:rFonts w:ascii="Bookman Old Style" w:hAnsi="Bookman Old Style"/>
          <w:sz w:val="24"/>
          <w:szCs w:val="24"/>
          <w:lang w:val="fi-FI"/>
        </w:rPr>
        <w:t>antara</w:t>
      </w:r>
      <w:r w:rsidR="00A954D0">
        <w:rPr>
          <w:rFonts w:ascii="Bookman Old Style" w:hAnsi="Bookman Old Style"/>
          <w:sz w:val="24"/>
          <w:szCs w:val="24"/>
          <w:lang w:val="fi-FI"/>
        </w:rPr>
        <w:t xml:space="preserve"> </w:t>
      </w:r>
      <w:r w:rsidRPr="00294CC2">
        <w:rPr>
          <w:rFonts w:ascii="Bookman Old Style" w:hAnsi="Bookman Old Style"/>
          <w:sz w:val="24"/>
          <w:szCs w:val="24"/>
          <w:lang w:val="fi-FI"/>
        </w:rPr>
        <w:t>lain</w:t>
      </w:r>
      <w:r w:rsidR="00A954D0">
        <w:rPr>
          <w:rFonts w:ascii="Bookman Old Style" w:hAnsi="Bookman Old Style"/>
          <w:sz w:val="24"/>
          <w:szCs w:val="24"/>
          <w:lang w:val="fi-FI"/>
        </w:rPr>
        <w:t xml:space="preserve"> </w:t>
      </w:r>
      <w:r w:rsidRPr="00294CC2">
        <w:rPr>
          <w:rFonts w:ascii="Bookman Old Style" w:hAnsi="Bookman Old Style"/>
          <w:sz w:val="24"/>
          <w:szCs w:val="24"/>
        </w:rPr>
        <w:t>diuraikan</w:t>
      </w:r>
      <w:r w:rsidR="00A954D0">
        <w:rPr>
          <w:rFonts w:ascii="Bookman Old Style" w:hAnsi="Bookman Old Style"/>
          <w:sz w:val="24"/>
          <w:szCs w:val="24"/>
        </w:rPr>
        <w:t xml:space="preserve"> </w:t>
      </w:r>
      <w:r w:rsidRPr="00294CC2">
        <w:rPr>
          <w:rFonts w:ascii="Bookman Old Style" w:hAnsi="Bookman Old Style"/>
          <w:sz w:val="24"/>
          <w:szCs w:val="24"/>
        </w:rPr>
        <w:t>ke</w:t>
      </w:r>
      <w:r w:rsidR="00A954D0">
        <w:rPr>
          <w:rFonts w:ascii="Bookman Old Style" w:hAnsi="Bookman Old Style"/>
          <w:sz w:val="24"/>
          <w:szCs w:val="24"/>
        </w:rPr>
        <w:t xml:space="preserve"> </w:t>
      </w:r>
      <w:r w:rsidRPr="00294CC2">
        <w:rPr>
          <w:rFonts w:ascii="Bookman Old Style" w:hAnsi="Bookman Old Style"/>
          <w:sz w:val="24"/>
          <w:szCs w:val="24"/>
        </w:rPr>
        <w:t>dalam</w:t>
      </w:r>
      <w:r w:rsidR="00A954D0">
        <w:rPr>
          <w:rFonts w:ascii="Bookman Old Style" w:hAnsi="Bookman Old Style"/>
          <w:sz w:val="24"/>
          <w:szCs w:val="24"/>
        </w:rPr>
        <w:t xml:space="preserve"> </w:t>
      </w:r>
      <w:r w:rsidRPr="00294CC2">
        <w:rPr>
          <w:rFonts w:ascii="Bookman Old Style" w:hAnsi="Bookman Old Style"/>
          <w:sz w:val="24"/>
          <w:szCs w:val="24"/>
        </w:rPr>
        <w:t>sub</w:t>
      </w:r>
      <w:r w:rsidR="00A954D0">
        <w:rPr>
          <w:rFonts w:ascii="Bookman Old Style" w:hAnsi="Bookman Old Style"/>
          <w:sz w:val="24"/>
          <w:szCs w:val="24"/>
        </w:rPr>
        <w:t xml:space="preserve"> </w:t>
      </w:r>
      <w:r w:rsidRPr="00294CC2">
        <w:rPr>
          <w:rFonts w:ascii="Bookman Old Style" w:hAnsi="Bookman Old Style"/>
          <w:sz w:val="24"/>
          <w:szCs w:val="24"/>
        </w:rPr>
        <w:t>rincian</w:t>
      </w:r>
      <w:r w:rsidR="00A954D0">
        <w:rPr>
          <w:rFonts w:ascii="Bookman Old Style" w:hAnsi="Bookman Old Style"/>
          <w:sz w:val="24"/>
          <w:szCs w:val="24"/>
        </w:rPr>
        <w:t xml:space="preserve"> </w:t>
      </w:r>
      <w:r w:rsidRPr="00294CC2">
        <w:rPr>
          <w:rFonts w:ascii="Bookman Old Style" w:hAnsi="Bookman Old Style"/>
          <w:sz w:val="24"/>
          <w:szCs w:val="24"/>
        </w:rPr>
        <w:t>objek</w:t>
      </w:r>
      <w:r w:rsidR="00A954D0">
        <w:rPr>
          <w:rFonts w:ascii="Bookman Old Style" w:hAnsi="Bookman Old Style"/>
          <w:sz w:val="24"/>
          <w:szCs w:val="24"/>
          <w:lang w:val="en-US"/>
        </w:rPr>
        <w:t xml:space="preserve"> </w:t>
      </w:r>
      <w:r w:rsidR="00B37817" w:rsidRPr="00294CC2">
        <w:rPr>
          <w:rFonts w:ascii="Bookman Old Style" w:hAnsi="Bookman Old Style"/>
          <w:sz w:val="24"/>
          <w:szCs w:val="24"/>
          <w:lang w:val="en-US"/>
        </w:rPr>
        <w:t>belanja:</w:t>
      </w:r>
    </w:p>
    <w:p w14:paraId="5E70A926" w14:textId="134559B1" w:rsidR="00B37817" w:rsidRPr="00294CC2" w:rsidRDefault="00B37817" w:rsidP="00C95C10">
      <w:pPr>
        <w:pStyle w:val="ListParagraph"/>
        <w:numPr>
          <w:ilvl w:val="0"/>
          <w:numId w:val="227"/>
        </w:numPr>
        <w:snapToGrid w:val="0"/>
        <w:spacing w:before="60" w:after="0" w:line="276" w:lineRule="auto"/>
        <w:ind w:left="3261" w:hanging="567"/>
        <w:contextualSpacing w:val="0"/>
        <w:jc w:val="both"/>
        <w:rPr>
          <w:rFonts w:ascii="Bookman Old Style" w:hAnsi="Bookman Old Style"/>
          <w:sz w:val="24"/>
          <w:szCs w:val="24"/>
          <w:lang w:val="fi-FI"/>
        </w:rPr>
      </w:pPr>
      <w:r w:rsidRPr="00294CC2">
        <w:rPr>
          <w:rFonts w:ascii="Bookman Old Style" w:hAnsi="Bookman Old Style"/>
          <w:sz w:val="24"/>
          <w:szCs w:val="24"/>
          <w:lang w:val="fi-FI"/>
        </w:rPr>
        <w:lastRenderedPageBreak/>
        <w:t>Belanja</w:t>
      </w:r>
      <w:r w:rsidR="00A954D0">
        <w:rPr>
          <w:rFonts w:ascii="Bookman Old Style" w:hAnsi="Bookman Old Style"/>
          <w:sz w:val="24"/>
          <w:szCs w:val="24"/>
          <w:lang w:val="fi-FI"/>
        </w:rPr>
        <w:t xml:space="preserve"> </w:t>
      </w:r>
      <w:r w:rsidRPr="00294CC2">
        <w:rPr>
          <w:rFonts w:ascii="Bookman Old Style" w:hAnsi="Bookman Old Style"/>
          <w:sz w:val="24"/>
          <w:szCs w:val="24"/>
          <w:lang w:val="fi-FI"/>
        </w:rPr>
        <w:t>Pemeliharaan</w:t>
      </w:r>
      <w:r w:rsidR="00A954D0">
        <w:rPr>
          <w:rFonts w:ascii="Bookman Old Style" w:hAnsi="Bookman Old Style"/>
          <w:sz w:val="24"/>
          <w:szCs w:val="24"/>
          <w:lang w:val="fi-FI"/>
        </w:rPr>
        <w:t xml:space="preserve"> </w:t>
      </w:r>
      <w:r w:rsidRPr="00294CC2">
        <w:rPr>
          <w:rFonts w:ascii="Bookman Old Style" w:hAnsi="Bookman Old Style"/>
          <w:sz w:val="24"/>
          <w:szCs w:val="24"/>
          <w:lang w:val="fi-FI"/>
        </w:rPr>
        <w:t>Jalan</w:t>
      </w:r>
      <w:r w:rsidR="00A954D0">
        <w:rPr>
          <w:rFonts w:ascii="Bookman Old Style" w:hAnsi="Bookman Old Style"/>
          <w:sz w:val="24"/>
          <w:szCs w:val="24"/>
          <w:lang w:val="fi-FI"/>
        </w:rPr>
        <w:t xml:space="preserve"> </w:t>
      </w:r>
      <w:r w:rsidRPr="00294CC2">
        <w:rPr>
          <w:rFonts w:ascii="Bookman Old Style" w:hAnsi="Bookman Old Style"/>
          <w:sz w:val="24"/>
          <w:szCs w:val="24"/>
          <w:lang w:val="fi-FI"/>
        </w:rPr>
        <w:t>dan</w:t>
      </w:r>
      <w:r w:rsidR="00A954D0">
        <w:rPr>
          <w:rFonts w:ascii="Bookman Old Style" w:hAnsi="Bookman Old Style"/>
          <w:sz w:val="24"/>
          <w:szCs w:val="24"/>
          <w:lang w:val="fi-FI"/>
        </w:rPr>
        <w:t xml:space="preserve"> </w:t>
      </w:r>
      <w:r w:rsidRPr="00294CC2">
        <w:rPr>
          <w:rFonts w:ascii="Bookman Old Style" w:hAnsi="Bookman Old Style"/>
          <w:sz w:val="24"/>
          <w:szCs w:val="24"/>
          <w:lang w:val="fi-FI"/>
        </w:rPr>
        <w:t>Jembatan-Jalan-Jalan</w:t>
      </w:r>
      <w:r w:rsidR="00A954D0">
        <w:rPr>
          <w:rFonts w:ascii="Bookman Old Style" w:hAnsi="Bookman Old Style"/>
          <w:sz w:val="24"/>
          <w:szCs w:val="24"/>
          <w:lang w:val="fi-FI"/>
        </w:rPr>
        <w:t xml:space="preserve"> </w:t>
      </w:r>
      <w:r w:rsidRPr="00294CC2">
        <w:rPr>
          <w:rFonts w:ascii="Bookman Old Style" w:hAnsi="Bookman Old Style"/>
          <w:sz w:val="24"/>
          <w:szCs w:val="24"/>
          <w:lang w:val="fi-FI"/>
        </w:rPr>
        <w:t>Kota</w:t>
      </w:r>
      <w:r w:rsidR="00A954D0">
        <w:rPr>
          <w:rFonts w:ascii="Bookman Old Style" w:hAnsi="Bookman Old Style"/>
          <w:sz w:val="24"/>
          <w:szCs w:val="24"/>
          <w:lang w:val="fi-FI"/>
        </w:rPr>
        <w:t xml:space="preserve"> </w:t>
      </w:r>
      <w:r w:rsidRPr="00294CC2">
        <w:rPr>
          <w:rFonts w:ascii="Bookman Old Style" w:hAnsi="Bookman Old Style"/>
          <w:sz w:val="24"/>
          <w:szCs w:val="24"/>
          <w:lang w:val="fi-FI"/>
        </w:rPr>
        <w:t>Rp1.550.000.000,00</w:t>
      </w:r>
      <w:r w:rsidR="00F4251E" w:rsidRPr="00294CC2">
        <w:rPr>
          <w:rFonts w:ascii="Bookman Old Style" w:hAnsi="Bookman Old Style"/>
          <w:sz w:val="24"/>
          <w:szCs w:val="24"/>
          <w:lang w:val="fi-FI"/>
        </w:rPr>
        <w:t>;</w:t>
      </w:r>
    </w:p>
    <w:p w14:paraId="231610CA" w14:textId="0F83391A" w:rsidR="00B37817" w:rsidRPr="00294CC2" w:rsidRDefault="00B37817" w:rsidP="00C95C10">
      <w:pPr>
        <w:pStyle w:val="ListParagraph"/>
        <w:numPr>
          <w:ilvl w:val="0"/>
          <w:numId w:val="227"/>
        </w:numPr>
        <w:snapToGrid w:val="0"/>
        <w:spacing w:before="60" w:after="0" w:line="276" w:lineRule="auto"/>
        <w:ind w:left="3261" w:hanging="567"/>
        <w:contextualSpacing w:val="0"/>
        <w:jc w:val="both"/>
        <w:rPr>
          <w:rFonts w:ascii="Bookman Old Style" w:hAnsi="Bookman Old Style"/>
          <w:sz w:val="24"/>
          <w:szCs w:val="24"/>
          <w:lang w:val="fi-FI"/>
        </w:rPr>
      </w:pPr>
      <w:r w:rsidRPr="00294CC2">
        <w:rPr>
          <w:rFonts w:ascii="Bookman Old Style" w:hAnsi="Bookman Old Style"/>
          <w:sz w:val="24"/>
          <w:szCs w:val="24"/>
          <w:lang w:val="fi-FI"/>
        </w:rPr>
        <w:t>Belanja</w:t>
      </w:r>
      <w:r w:rsidR="00A954D0">
        <w:rPr>
          <w:rFonts w:ascii="Bookman Old Style" w:hAnsi="Bookman Old Style"/>
          <w:sz w:val="24"/>
          <w:szCs w:val="24"/>
          <w:lang w:val="fi-FI"/>
        </w:rPr>
        <w:t xml:space="preserve"> </w:t>
      </w:r>
      <w:r w:rsidRPr="00294CC2">
        <w:rPr>
          <w:rFonts w:ascii="Bookman Old Style" w:hAnsi="Bookman Old Style"/>
          <w:sz w:val="24"/>
          <w:szCs w:val="24"/>
          <w:lang w:val="fi-FI"/>
        </w:rPr>
        <w:t>Pemeliharaan</w:t>
      </w:r>
      <w:r w:rsidR="00A954D0">
        <w:rPr>
          <w:rFonts w:ascii="Bookman Old Style" w:hAnsi="Bookman Old Style"/>
          <w:sz w:val="24"/>
          <w:szCs w:val="24"/>
          <w:lang w:val="fi-FI"/>
        </w:rPr>
        <w:t xml:space="preserve"> </w:t>
      </w:r>
      <w:r w:rsidRPr="00294CC2">
        <w:rPr>
          <w:rFonts w:ascii="Bookman Old Style" w:hAnsi="Bookman Old Style"/>
          <w:sz w:val="24"/>
          <w:szCs w:val="24"/>
          <w:lang w:val="fi-FI"/>
        </w:rPr>
        <w:t>Jalan</w:t>
      </w:r>
      <w:r w:rsidR="00A954D0">
        <w:rPr>
          <w:rFonts w:ascii="Bookman Old Style" w:hAnsi="Bookman Old Style"/>
          <w:sz w:val="24"/>
          <w:szCs w:val="24"/>
          <w:lang w:val="fi-FI"/>
        </w:rPr>
        <w:t xml:space="preserve"> </w:t>
      </w:r>
      <w:r w:rsidRPr="00294CC2">
        <w:rPr>
          <w:rFonts w:ascii="Bookman Old Style" w:hAnsi="Bookman Old Style"/>
          <w:sz w:val="24"/>
          <w:szCs w:val="24"/>
          <w:lang w:val="fi-FI"/>
        </w:rPr>
        <w:t>dan</w:t>
      </w:r>
      <w:r w:rsidR="00A954D0">
        <w:rPr>
          <w:rFonts w:ascii="Bookman Old Style" w:hAnsi="Bookman Old Style"/>
          <w:sz w:val="24"/>
          <w:szCs w:val="24"/>
          <w:lang w:val="fi-FI"/>
        </w:rPr>
        <w:t xml:space="preserve"> </w:t>
      </w:r>
      <w:r w:rsidRPr="00294CC2">
        <w:rPr>
          <w:rFonts w:ascii="Bookman Old Style" w:hAnsi="Bookman Old Style"/>
          <w:sz w:val="24"/>
          <w:szCs w:val="24"/>
          <w:lang w:val="fi-FI"/>
        </w:rPr>
        <w:t>Jembatan-Jembatan-Jembatan</w:t>
      </w:r>
      <w:r w:rsidR="00A954D0">
        <w:rPr>
          <w:rFonts w:ascii="Bookman Old Style" w:hAnsi="Bookman Old Style"/>
          <w:sz w:val="24"/>
          <w:szCs w:val="24"/>
          <w:lang w:val="fi-FI"/>
        </w:rPr>
        <w:t xml:space="preserve"> </w:t>
      </w:r>
      <w:r w:rsidRPr="00294CC2">
        <w:rPr>
          <w:rFonts w:ascii="Bookman Old Style" w:hAnsi="Bookman Old Style"/>
          <w:sz w:val="24"/>
          <w:szCs w:val="24"/>
          <w:lang w:val="fi-FI"/>
        </w:rPr>
        <w:t>Pengukur</w:t>
      </w:r>
      <w:r w:rsidR="00A954D0">
        <w:rPr>
          <w:rFonts w:ascii="Bookman Old Style" w:hAnsi="Bookman Old Style"/>
          <w:sz w:val="24"/>
          <w:szCs w:val="24"/>
          <w:lang w:val="fi-FI"/>
        </w:rPr>
        <w:t xml:space="preserve"> </w:t>
      </w:r>
      <w:r w:rsidRPr="00294CC2">
        <w:rPr>
          <w:rFonts w:ascii="Bookman Old Style" w:hAnsi="Bookman Old Style"/>
          <w:sz w:val="24"/>
          <w:szCs w:val="24"/>
          <w:lang w:val="fi-FI"/>
        </w:rPr>
        <w:t>Rp78.975.000,00</w:t>
      </w:r>
      <w:r w:rsidR="00F4251E" w:rsidRPr="00294CC2">
        <w:rPr>
          <w:rFonts w:ascii="Bookman Old Style" w:hAnsi="Bookman Old Style"/>
          <w:sz w:val="24"/>
          <w:szCs w:val="24"/>
          <w:lang w:val="fi-FI"/>
        </w:rPr>
        <w:t>;</w:t>
      </w:r>
    </w:p>
    <w:p w14:paraId="2C469CE7" w14:textId="1661AB07" w:rsidR="003B7FE4" w:rsidRPr="00294CC2" w:rsidRDefault="00B37817" w:rsidP="00C95C10">
      <w:pPr>
        <w:pStyle w:val="ListParagraph"/>
        <w:numPr>
          <w:ilvl w:val="0"/>
          <w:numId w:val="227"/>
        </w:numPr>
        <w:snapToGrid w:val="0"/>
        <w:spacing w:before="60" w:after="0" w:line="276" w:lineRule="auto"/>
        <w:ind w:left="3261" w:hanging="567"/>
        <w:contextualSpacing w:val="0"/>
        <w:jc w:val="both"/>
        <w:rPr>
          <w:rFonts w:ascii="Bookman Old Style" w:hAnsi="Bookman Old Style"/>
          <w:sz w:val="24"/>
          <w:szCs w:val="24"/>
        </w:rPr>
      </w:pPr>
      <w:r w:rsidRPr="00294CC2">
        <w:rPr>
          <w:rFonts w:ascii="Bookman Old Style" w:hAnsi="Bookman Old Style"/>
          <w:sz w:val="24"/>
          <w:szCs w:val="24"/>
          <w:lang w:val="fi-FI"/>
        </w:rPr>
        <w:t>Belanja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Pemeliharaan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Jaringan-Jaringan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Listrik-Jaringan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Listrik</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Lainnya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Rp6.430.539.800,00</w:t>
      </w:r>
      <w:r w:rsidR="00C95C10">
        <w:rPr>
          <w:rFonts w:ascii="Bookman Old Style" w:hAnsi="Bookman Old Style"/>
          <w:sz w:val="24"/>
          <w:szCs w:val="24"/>
          <w:lang w:val="sv-FI"/>
        </w:rPr>
        <w:t>.</w:t>
      </w:r>
    </w:p>
    <w:p w14:paraId="6FE021F4" w14:textId="7CC9DEB7" w:rsidR="008D6773" w:rsidRPr="003E2A3A" w:rsidRDefault="003B7FE4" w:rsidP="00C95C10">
      <w:pPr>
        <w:pStyle w:val="ListParagraph"/>
        <w:numPr>
          <w:ilvl w:val="0"/>
          <w:numId w:val="23"/>
        </w:numPr>
        <w:spacing w:before="60" w:after="0" w:line="276" w:lineRule="auto"/>
        <w:ind w:left="2694" w:hanging="426"/>
        <w:contextualSpacing w:val="0"/>
        <w:jc w:val="both"/>
        <w:rPr>
          <w:rFonts w:ascii="Bookman Old Style" w:hAnsi="Bookman Old Style"/>
          <w:sz w:val="24"/>
          <w:szCs w:val="24"/>
          <w:lang w:val="en-US"/>
        </w:rPr>
      </w:pPr>
      <w:r w:rsidRPr="00294CC2">
        <w:rPr>
          <w:rFonts w:ascii="Bookman Old Style" w:hAnsi="Bookman Old Style"/>
          <w:sz w:val="24"/>
          <w:szCs w:val="24"/>
        </w:rPr>
        <w:t>Belanja</w:t>
      </w:r>
      <w:r w:rsidR="00A954D0">
        <w:rPr>
          <w:rFonts w:ascii="Bookman Old Style" w:hAnsi="Bookman Old Style" w:cs="Arial"/>
          <w:sz w:val="24"/>
          <w:szCs w:val="24"/>
          <w:lang w:val="en-US" w:eastAsia="en-US"/>
        </w:rPr>
        <w:t xml:space="preserve"> </w:t>
      </w:r>
      <w:r w:rsidRPr="00294CC2">
        <w:rPr>
          <w:rFonts w:ascii="Bookman Old Style" w:hAnsi="Bookman Old Style"/>
          <w:sz w:val="24"/>
          <w:szCs w:val="24"/>
        </w:rPr>
        <w:t>Pemeliharaan</w:t>
      </w:r>
      <w:r w:rsidR="00A954D0">
        <w:rPr>
          <w:rFonts w:ascii="Bookman Old Style" w:hAnsi="Bookman Old Style"/>
          <w:sz w:val="24"/>
          <w:szCs w:val="24"/>
        </w:rPr>
        <w:t xml:space="preserve"> </w:t>
      </w:r>
      <w:r w:rsidRPr="00294CC2">
        <w:rPr>
          <w:rFonts w:ascii="Bookman Old Style" w:hAnsi="Bookman Old Style"/>
          <w:sz w:val="24"/>
          <w:szCs w:val="24"/>
        </w:rPr>
        <w:t>Aset</w:t>
      </w:r>
      <w:r w:rsidR="00A954D0">
        <w:rPr>
          <w:rFonts w:ascii="Bookman Old Style" w:hAnsi="Bookman Old Style"/>
          <w:sz w:val="24"/>
          <w:szCs w:val="24"/>
        </w:rPr>
        <w:t xml:space="preserve"> </w:t>
      </w:r>
      <w:r w:rsidRPr="00294CC2">
        <w:rPr>
          <w:rFonts w:ascii="Bookman Old Style" w:hAnsi="Bookman Old Style"/>
          <w:sz w:val="24"/>
          <w:szCs w:val="24"/>
        </w:rPr>
        <w:t>Tetap</w:t>
      </w:r>
      <w:r w:rsidR="00A954D0">
        <w:rPr>
          <w:rFonts w:ascii="Bookman Old Style" w:hAnsi="Bookman Old Style"/>
          <w:sz w:val="24"/>
          <w:szCs w:val="24"/>
        </w:rPr>
        <w:t xml:space="preserve"> </w:t>
      </w:r>
      <w:r w:rsidRPr="00294CC2">
        <w:rPr>
          <w:rFonts w:ascii="Bookman Old Style" w:hAnsi="Bookman Old Style"/>
          <w:sz w:val="24"/>
          <w:szCs w:val="24"/>
        </w:rPr>
        <w:t>Lainnya</w:t>
      </w:r>
      <w:r w:rsidR="00A954D0">
        <w:rPr>
          <w:rFonts w:ascii="Bookman Old Style" w:hAnsi="Bookman Old Style"/>
          <w:sz w:val="24"/>
          <w:szCs w:val="24"/>
        </w:rPr>
        <w:t xml:space="preserve"> </w:t>
      </w:r>
      <w:r w:rsidR="00D3136E" w:rsidRPr="00294CC2">
        <w:rPr>
          <w:rFonts w:ascii="Bookman Old Style" w:hAnsi="Bookman Old Style"/>
          <w:sz w:val="24"/>
          <w:szCs w:val="24"/>
        </w:rPr>
        <w:t>Rp299.453.000,00</w:t>
      </w:r>
      <w:r w:rsidR="00A954D0">
        <w:rPr>
          <w:rFonts w:ascii="Bookman Old Style" w:hAnsi="Bookman Old Style"/>
          <w:sz w:val="24"/>
          <w:szCs w:val="24"/>
        </w:rPr>
        <w:t xml:space="preserve"> </w:t>
      </w:r>
      <w:r w:rsidR="00D3136E" w:rsidRPr="00294CC2">
        <w:rPr>
          <w:rFonts w:ascii="Bookman Old Style" w:hAnsi="Bookman Old Style"/>
          <w:sz w:val="24"/>
          <w:szCs w:val="24"/>
        </w:rPr>
        <w:t>atau</w:t>
      </w:r>
      <w:r w:rsidR="00A954D0">
        <w:rPr>
          <w:rFonts w:ascii="Bookman Old Style" w:hAnsi="Bookman Old Style"/>
          <w:sz w:val="24"/>
          <w:szCs w:val="24"/>
        </w:rPr>
        <w:t xml:space="preserve"> </w:t>
      </w:r>
      <w:r w:rsidR="00D3136E" w:rsidRPr="00294CC2">
        <w:rPr>
          <w:rFonts w:ascii="Bookman Old Style" w:hAnsi="Bookman Old Style"/>
          <w:sz w:val="24"/>
          <w:szCs w:val="24"/>
        </w:rPr>
        <w:t>0,01%</w:t>
      </w:r>
      <w:r w:rsidR="00A954D0">
        <w:rPr>
          <w:rFonts w:ascii="Bookman Old Style" w:hAnsi="Bookman Old Style"/>
          <w:sz w:val="24"/>
          <w:szCs w:val="24"/>
          <w:lang w:val="id-ID"/>
        </w:rPr>
        <w:t xml:space="preserve"> </w:t>
      </w:r>
      <w:r w:rsidRPr="00294CC2">
        <w:rPr>
          <w:rFonts w:ascii="Bookman Old Style" w:hAnsi="Bookman Old Style"/>
          <w:sz w:val="24"/>
          <w:szCs w:val="24"/>
        </w:rPr>
        <w:t>dari</w:t>
      </w:r>
      <w:r w:rsidR="00A954D0">
        <w:rPr>
          <w:rFonts w:ascii="Bookman Old Style" w:hAnsi="Bookman Old Style"/>
          <w:sz w:val="24"/>
          <w:szCs w:val="24"/>
        </w:rPr>
        <w:t xml:space="preserve"> </w:t>
      </w:r>
      <w:r w:rsidRPr="00294CC2">
        <w:rPr>
          <w:rFonts w:ascii="Bookman Old Style" w:hAnsi="Bookman Old Style"/>
          <w:sz w:val="24"/>
          <w:szCs w:val="24"/>
        </w:rPr>
        <w:t>total</w:t>
      </w:r>
      <w:r w:rsidR="00A954D0">
        <w:rPr>
          <w:rFonts w:ascii="Bookman Old Style" w:hAnsi="Bookman Old Style"/>
          <w:sz w:val="24"/>
          <w:szCs w:val="24"/>
        </w:rPr>
        <w:t xml:space="preserve"> </w:t>
      </w:r>
      <w:r w:rsidRPr="00294CC2">
        <w:rPr>
          <w:rFonts w:ascii="Bookman Old Style" w:hAnsi="Bookman Old Style"/>
          <w:sz w:val="24"/>
          <w:szCs w:val="24"/>
        </w:rPr>
        <w:t>belanja</w:t>
      </w:r>
      <w:r w:rsidR="00A954D0">
        <w:rPr>
          <w:rFonts w:ascii="Bookman Old Style" w:hAnsi="Bookman Old Style"/>
          <w:sz w:val="24"/>
          <w:szCs w:val="24"/>
        </w:rPr>
        <w:t xml:space="preserve"> </w:t>
      </w:r>
      <w:r w:rsidRPr="00294CC2">
        <w:rPr>
          <w:rFonts w:ascii="Bookman Old Style" w:hAnsi="Bookman Old Style"/>
          <w:sz w:val="24"/>
          <w:szCs w:val="24"/>
        </w:rPr>
        <w:t>daerah</w:t>
      </w:r>
      <w:r w:rsidR="00A954D0">
        <w:rPr>
          <w:rFonts w:ascii="Bookman Old Style" w:hAnsi="Bookman Old Style"/>
          <w:sz w:val="24"/>
          <w:szCs w:val="24"/>
        </w:rPr>
        <w:t xml:space="preserve"> </w:t>
      </w:r>
      <w:r w:rsidRPr="00294CC2">
        <w:rPr>
          <w:rFonts w:ascii="Bookman Old Style" w:hAnsi="Bookman Old Style"/>
          <w:sz w:val="24"/>
          <w:szCs w:val="24"/>
        </w:rPr>
        <w:t>dalam</w:t>
      </w:r>
      <w:r w:rsidR="00A954D0">
        <w:rPr>
          <w:rFonts w:ascii="Bookman Old Style" w:hAnsi="Bookman Old Style"/>
          <w:sz w:val="24"/>
          <w:szCs w:val="24"/>
        </w:rPr>
        <w:t xml:space="preserve"> </w:t>
      </w:r>
      <w:r w:rsidRPr="00294CC2">
        <w:rPr>
          <w:rFonts w:ascii="Bookman Old Style" w:hAnsi="Bookman Old Style"/>
          <w:sz w:val="24"/>
          <w:szCs w:val="24"/>
        </w:rPr>
        <w:t>Rancangan</w:t>
      </w:r>
      <w:r w:rsidR="00A954D0">
        <w:rPr>
          <w:rFonts w:ascii="Bookman Old Style" w:hAnsi="Bookman Old Style"/>
          <w:sz w:val="24"/>
          <w:szCs w:val="24"/>
        </w:rPr>
        <w:t xml:space="preserve"> </w:t>
      </w:r>
      <w:r w:rsidRPr="00294CC2">
        <w:rPr>
          <w:rFonts w:ascii="Bookman Old Style" w:hAnsi="Bookman Old Style"/>
          <w:sz w:val="24"/>
          <w:szCs w:val="24"/>
        </w:rPr>
        <w:t>Peraturan</w:t>
      </w:r>
      <w:r w:rsidR="00A954D0">
        <w:rPr>
          <w:rFonts w:ascii="Bookman Old Style" w:hAnsi="Bookman Old Style"/>
          <w:sz w:val="24"/>
          <w:szCs w:val="24"/>
        </w:rPr>
        <w:t xml:space="preserve"> </w:t>
      </w:r>
      <w:r w:rsidRPr="00294CC2">
        <w:rPr>
          <w:rFonts w:ascii="Bookman Old Style" w:hAnsi="Bookman Old Style"/>
          <w:sz w:val="24"/>
          <w:szCs w:val="24"/>
        </w:rPr>
        <w:t>Daerah</w:t>
      </w:r>
      <w:r w:rsidR="00A954D0">
        <w:rPr>
          <w:rFonts w:ascii="Bookman Old Style" w:hAnsi="Bookman Old Style"/>
          <w:sz w:val="24"/>
          <w:szCs w:val="24"/>
        </w:rPr>
        <w:t xml:space="preserve"> </w:t>
      </w:r>
      <w:r w:rsidR="00B055C5" w:rsidRPr="00294CC2">
        <w:rPr>
          <w:rFonts w:ascii="Bookman Old Style" w:hAnsi="Bookman Old Style"/>
          <w:sz w:val="24"/>
          <w:szCs w:val="24"/>
        </w:rPr>
        <w:t>Kota</w:t>
      </w:r>
      <w:r w:rsidR="00A954D0">
        <w:rPr>
          <w:rFonts w:ascii="Bookman Old Style" w:hAnsi="Bookman Old Style"/>
          <w:sz w:val="24"/>
          <w:szCs w:val="24"/>
        </w:rPr>
        <w:t xml:space="preserve"> </w:t>
      </w:r>
      <w:r w:rsidR="00770F22" w:rsidRPr="00294CC2">
        <w:rPr>
          <w:rFonts w:ascii="Bookman Old Style" w:hAnsi="Bookman Old Style"/>
          <w:sz w:val="24"/>
          <w:szCs w:val="24"/>
        </w:rPr>
        <w:t>Tangerang</w:t>
      </w:r>
      <w:r w:rsidR="00A954D0">
        <w:rPr>
          <w:rFonts w:ascii="Bookman Old Style" w:hAnsi="Bookman Old Style"/>
          <w:sz w:val="24"/>
          <w:szCs w:val="24"/>
        </w:rPr>
        <w:t xml:space="preserve"> </w:t>
      </w:r>
      <w:r w:rsidR="00BE6ED9" w:rsidRPr="003E2A3A">
        <w:rPr>
          <w:rFonts w:ascii="Bookman Old Style" w:hAnsi="Bookman Old Style"/>
          <w:sz w:val="24"/>
          <w:szCs w:val="24"/>
        </w:rPr>
        <w:t>tentang</w:t>
      </w:r>
      <w:r w:rsidR="00A954D0">
        <w:rPr>
          <w:rFonts w:ascii="Bookman Old Style" w:hAnsi="Bookman Old Style"/>
          <w:sz w:val="24"/>
          <w:szCs w:val="24"/>
        </w:rPr>
        <w:t xml:space="preserve"> </w:t>
      </w:r>
      <w:r w:rsidR="00BE6ED9" w:rsidRPr="003E2A3A">
        <w:rPr>
          <w:rFonts w:ascii="Bookman Old Style" w:hAnsi="Bookman Old Style"/>
          <w:sz w:val="24"/>
          <w:szCs w:val="24"/>
        </w:rPr>
        <w:t>APBD</w:t>
      </w:r>
      <w:r w:rsidR="00A954D0">
        <w:rPr>
          <w:rFonts w:ascii="Bookman Old Style" w:hAnsi="Bookman Old Style"/>
          <w:sz w:val="24"/>
          <w:szCs w:val="24"/>
        </w:rPr>
        <w:t xml:space="preserve"> </w:t>
      </w:r>
      <w:r w:rsidRPr="003E2A3A">
        <w:rPr>
          <w:rFonts w:ascii="Bookman Old Style" w:hAnsi="Bookman Old Style"/>
          <w:sz w:val="24"/>
          <w:szCs w:val="24"/>
        </w:rPr>
        <w:t>Tahun</w:t>
      </w:r>
      <w:r w:rsidR="00A954D0">
        <w:rPr>
          <w:rFonts w:ascii="Bookman Old Style" w:hAnsi="Bookman Old Style"/>
          <w:sz w:val="24"/>
          <w:szCs w:val="24"/>
        </w:rPr>
        <w:t xml:space="preserve"> </w:t>
      </w:r>
      <w:r w:rsidRPr="003E2A3A">
        <w:rPr>
          <w:rFonts w:ascii="Bookman Old Style" w:hAnsi="Bookman Old Style"/>
          <w:sz w:val="24"/>
          <w:szCs w:val="24"/>
        </w:rPr>
        <w:t>Anggaran</w:t>
      </w:r>
      <w:r w:rsidR="00A954D0">
        <w:rPr>
          <w:rFonts w:ascii="Bookman Old Style" w:hAnsi="Bookman Old Style"/>
          <w:sz w:val="24"/>
          <w:szCs w:val="24"/>
        </w:rPr>
        <w:t xml:space="preserve"> </w:t>
      </w:r>
      <w:r w:rsidRPr="003E2A3A">
        <w:rPr>
          <w:rFonts w:ascii="Bookman Old Style" w:hAnsi="Bookman Old Style"/>
          <w:sz w:val="24"/>
          <w:szCs w:val="24"/>
        </w:rPr>
        <w:t>2025,</w:t>
      </w:r>
      <w:r w:rsidR="00A954D0">
        <w:rPr>
          <w:rFonts w:ascii="Bookman Old Style" w:hAnsi="Bookman Old Style"/>
          <w:sz w:val="24"/>
          <w:szCs w:val="24"/>
        </w:rPr>
        <w:t xml:space="preserve"> </w:t>
      </w:r>
      <w:r w:rsidRPr="003E2A3A">
        <w:rPr>
          <w:rFonts w:ascii="Bookman Old Style" w:hAnsi="Bookman Old Style"/>
          <w:sz w:val="24"/>
          <w:szCs w:val="24"/>
        </w:rPr>
        <w:t>yang</w:t>
      </w:r>
      <w:r w:rsidR="00A954D0">
        <w:rPr>
          <w:rFonts w:ascii="Bookman Old Style" w:hAnsi="Bookman Old Style"/>
          <w:sz w:val="24"/>
          <w:szCs w:val="24"/>
        </w:rPr>
        <w:t xml:space="preserve"> </w:t>
      </w:r>
      <w:r w:rsidRPr="003E2A3A">
        <w:rPr>
          <w:rFonts w:ascii="Bookman Old Style" w:hAnsi="Bookman Old Style"/>
          <w:sz w:val="24"/>
          <w:szCs w:val="24"/>
        </w:rPr>
        <w:t>diuraikan</w:t>
      </w:r>
      <w:r w:rsidR="00A954D0">
        <w:rPr>
          <w:rFonts w:ascii="Bookman Old Style" w:hAnsi="Bookman Old Style"/>
          <w:sz w:val="24"/>
          <w:szCs w:val="24"/>
        </w:rPr>
        <w:t xml:space="preserve"> </w:t>
      </w:r>
      <w:r w:rsidRPr="003E2A3A">
        <w:rPr>
          <w:rFonts w:ascii="Bookman Old Style" w:hAnsi="Bookman Old Style"/>
          <w:sz w:val="24"/>
          <w:szCs w:val="24"/>
        </w:rPr>
        <w:t>ke</w:t>
      </w:r>
      <w:r w:rsidR="00A954D0">
        <w:rPr>
          <w:rFonts w:ascii="Bookman Old Style" w:hAnsi="Bookman Old Style"/>
          <w:sz w:val="24"/>
          <w:szCs w:val="24"/>
        </w:rPr>
        <w:t xml:space="preserve"> </w:t>
      </w:r>
      <w:r w:rsidRPr="003E2A3A">
        <w:rPr>
          <w:rFonts w:ascii="Bookman Old Style" w:hAnsi="Bookman Old Style"/>
          <w:sz w:val="24"/>
          <w:szCs w:val="24"/>
        </w:rPr>
        <w:t>dalam</w:t>
      </w:r>
      <w:r w:rsidR="00A954D0">
        <w:rPr>
          <w:rFonts w:ascii="Bookman Old Style" w:hAnsi="Bookman Old Style"/>
          <w:sz w:val="24"/>
          <w:szCs w:val="24"/>
        </w:rPr>
        <w:t xml:space="preserve"> </w:t>
      </w:r>
      <w:r w:rsidRPr="003E2A3A">
        <w:rPr>
          <w:rFonts w:ascii="Bookman Old Style" w:hAnsi="Bookman Old Style"/>
          <w:sz w:val="24"/>
          <w:szCs w:val="24"/>
        </w:rPr>
        <w:t>sub</w:t>
      </w:r>
      <w:r w:rsidR="00A954D0">
        <w:rPr>
          <w:rFonts w:ascii="Bookman Old Style" w:hAnsi="Bookman Old Style"/>
          <w:sz w:val="24"/>
          <w:szCs w:val="24"/>
        </w:rPr>
        <w:t xml:space="preserve"> </w:t>
      </w:r>
      <w:r w:rsidRPr="003E2A3A">
        <w:rPr>
          <w:rFonts w:ascii="Bookman Old Style" w:hAnsi="Bookman Old Style"/>
          <w:sz w:val="24"/>
          <w:szCs w:val="24"/>
        </w:rPr>
        <w:t>rincian</w:t>
      </w:r>
      <w:r w:rsidR="00A954D0">
        <w:rPr>
          <w:rFonts w:ascii="Bookman Old Style" w:hAnsi="Bookman Old Style"/>
          <w:sz w:val="24"/>
          <w:szCs w:val="24"/>
        </w:rPr>
        <w:t xml:space="preserve"> </w:t>
      </w:r>
      <w:r w:rsidRPr="003E2A3A">
        <w:rPr>
          <w:rFonts w:ascii="Bookman Old Style" w:hAnsi="Bookman Old Style"/>
          <w:sz w:val="24"/>
          <w:szCs w:val="24"/>
        </w:rPr>
        <w:t>objek</w:t>
      </w:r>
      <w:r w:rsidR="00A954D0">
        <w:rPr>
          <w:rFonts w:ascii="Bookman Old Style" w:hAnsi="Bookman Old Style"/>
          <w:sz w:val="24"/>
          <w:szCs w:val="24"/>
        </w:rPr>
        <w:t xml:space="preserve"> </w:t>
      </w:r>
      <w:r w:rsidR="008D6773" w:rsidRPr="003E2A3A">
        <w:rPr>
          <w:rFonts w:ascii="Bookman Old Style" w:hAnsi="Bookman Old Style"/>
          <w:sz w:val="24"/>
          <w:szCs w:val="24"/>
        </w:rPr>
        <w:t>belanja:</w:t>
      </w:r>
    </w:p>
    <w:p w14:paraId="5362B96D" w14:textId="0BFC4A9D" w:rsidR="008D6773" w:rsidRPr="003E2A3A" w:rsidRDefault="008D6773" w:rsidP="00C95C10">
      <w:pPr>
        <w:pStyle w:val="ListParagraph"/>
        <w:numPr>
          <w:ilvl w:val="0"/>
          <w:numId w:val="228"/>
        </w:numPr>
        <w:snapToGrid w:val="0"/>
        <w:spacing w:before="60" w:after="0" w:line="276" w:lineRule="auto"/>
        <w:ind w:left="3261" w:hanging="567"/>
        <w:contextualSpacing w:val="0"/>
        <w:jc w:val="both"/>
        <w:rPr>
          <w:rFonts w:ascii="Bookman Old Style" w:hAnsi="Bookman Old Style"/>
          <w:sz w:val="24"/>
          <w:szCs w:val="24"/>
          <w:lang w:val="fi-FI"/>
        </w:rPr>
      </w:pPr>
      <w:r w:rsidRPr="00256727">
        <w:rPr>
          <w:rFonts w:ascii="Bookman Old Style" w:hAnsi="Bookman Old Style"/>
          <w:sz w:val="24"/>
          <w:szCs w:val="24"/>
          <w:lang w:val="sv-FI"/>
        </w:rPr>
        <w:t>Belanja</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Pemeliharaan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Barang</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Bercorak</w:t>
      </w:r>
      <w:r w:rsidR="00A954D0" w:rsidRPr="00256727">
        <w:rPr>
          <w:rFonts w:ascii="Bookman Old Style" w:hAnsi="Bookman Old Style"/>
          <w:sz w:val="24"/>
          <w:szCs w:val="24"/>
          <w:lang w:val="sv-FI"/>
        </w:rPr>
        <w:t xml:space="preserve"> </w:t>
      </w:r>
      <w:r w:rsidRPr="003E2A3A">
        <w:rPr>
          <w:rFonts w:ascii="Bookman Old Style" w:hAnsi="Bookman Old Style"/>
          <w:sz w:val="24"/>
          <w:szCs w:val="24"/>
          <w:lang w:val="fi-FI"/>
        </w:rPr>
        <w:t>Kesenian/Kebudayaan/Olahraga-Barang</w:t>
      </w:r>
      <w:r w:rsidR="00A954D0">
        <w:rPr>
          <w:rFonts w:ascii="Bookman Old Style" w:hAnsi="Bookman Old Style"/>
          <w:sz w:val="24"/>
          <w:szCs w:val="24"/>
          <w:lang w:val="fi-FI"/>
        </w:rPr>
        <w:t xml:space="preserve"> </w:t>
      </w:r>
      <w:r w:rsidRPr="003E2A3A">
        <w:rPr>
          <w:rFonts w:ascii="Bookman Old Style" w:hAnsi="Bookman Old Style"/>
          <w:sz w:val="24"/>
          <w:szCs w:val="24"/>
          <w:lang w:val="fi-FI"/>
        </w:rPr>
        <w:t>Bercorak</w:t>
      </w:r>
      <w:r w:rsidR="00A954D0">
        <w:rPr>
          <w:rFonts w:ascii="Bookman Old Style" w:hAnsi="Bookman Old Style"/>
          <w:sz w:val="24"/>
          <w:szCs w:val="24"/>
          <w:lang w:val="fi-FI"/>
        </w:rPr>
        <w:t xml:space="preserve"> </w:t>
      </w:r>
      <w:r w:rsidRPr="003E2A3A">
        <w:rPr>
          <w:rFonts w:ascii="Bookman Old Style" w:hAnsi="Bookman Old Style"/>
          <w:sz w:val="24"/>
          <w:szCs w:val="24"/>
          <w:lang w:val="fi-FI"/>
        </w:rPr>
        <w:t>Kesenian-Alat</w:t>
      </w:r>
      <w:r w:rsidR="00A954D0">
        <w:rPr>
          <w:rFonts w:ascii="Bookman Old Style" w:hAnsi="Bookman Old Style"/>
          <w:sz w:val="24"/>
          <w:szCs w:val="24"/>
          <w:lang w:val="fi-FI"/>
        </w:rPr>
        <w:t xml:space="preserve"> </w:t>
      </w:r>
      <w:r w:rsidRPr="003E2A3A">
        <w:rPr>
          <w:rFonts w:ascii="Bookman Old Style" w:hAnsi="Bookman Old Style"/>
          <w:sz w:val="24"/>
          <w:szCs w:val="24"/>
          <w:lang w:val="fi-FI"/>
        </w:rPr>
        <w:t>Musik</w:t>
      </w:r>
      <w:r w:rsidR="00A954D0">
        <w:rPr>
          <w:rFonts w:ascii="Bookman Old Style" w:hAnsi="Bookman Old Style"/>
          <w:sz w:val="24"/>
          <w:szCs w:val="24"/>
          <w:lang w:val="fi-FI"/>
        </w:rPr>
        <w:t xml:space="preserve"> </w:t>
      </w:r>
      <w:r w:rsidRPr="003E2A3A">
        <w:rPr>
          <w:rFonts w:ascii="Bookman Old Style" w:hAnsi="Bookman Old Style"/>
          <w:sz w:val="24"/>
          <w:szCs w:val="24"/>
          <w:lang w:val="fi-FI"/>
        </w:rPr>
        <w:t>Rp99.453.000,00;</w:t>
      </w:r>
    </w:p>
    <w:p w14:paraId="44FCE655" w14:textId="43F32FFA" w:rsidR="003B7FE4" w:rsidRPr="003255BC" w:rsidRDefault="008D6773" w:rsidP="00C95C10">
      <w:pPr>
        <w:pStyle w:val="ListParagraph"/>
        <w:numPr>
          <w:ilvl w:val="0"/>
          <w:numId w:val="228"/>
        </w:numPr>
        <w:snapToGrid w:val="0"/>
        <w:spacing w:before="60" w:after="0" w:line="276" w:lineRule="auto"/>
        <w:ind w:left="3261" w:hanging="567"/>
        <w:contextualSpacing w:val="0"/>
        <w:jc w:val="both"/>
        <w:rPr>
          <w:rFonts w:ascii="Bookman Old Style" w:hAnsi="Bookman Old Style"/>
          <w:sz w:val="24"/>
          <w:szCs w:val="24"/>
          <w:lang w:val="sv-FI"/>
        </w:rPr>
      </w:pPr>
      <w:r w:rsidRPr="003E2A3A">
        <w:rPr>
          <w:rFonts w:ascii="Bookman Old Style" w:hAnsi="Bookman Old Style"/>
          <w:sz w:val="24"/>
          <w:szCs w:val="24"/>
          <w:lang w:val="fi-FI"/>
        </w:rPr>
        <w:t>Belanja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Pemeliharaan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Tanaman-Tanaman-Tanaman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Rp200.000.000,00</w:t>
      </w:r>
      <w:r w:rsidR="00C95C10">
        <w:rPr>
          <w:rFonts w:ascii="Bookman Old Style" w:hAnsi="Bookman Old Style"/>
          <w:sz w:val="24"/>
          <w:szCs w:val="24"/>
          <w:lang w:val="sv-FI"/>
        </w:rPr>
        <w:t>.</w:t>
      </w:r>
    </w:p>
    <w:p w14:paraId="351D36ED" w14:textId="6DB1AE1E" w:rsidR="003B7FE4" w:rsidRPr="003E2A3A" w:rsidRDefault="00C95C10" w:rsidP="00BD16EB">
      <w:pPr>
        <w:spacing w:before="60" w:line="276" w:lineRule="auto"/>
        <w:ind w:left="2268"/>
        <w:jc w:val="both"/>
        <w:rPr>
          <w:rFonts w:ascii="Bookman Old Style" w:hAnsi="Bookman Old Style" w:cs="Arial"/>
          <w:lang w:val="fi-FI"/>
        </w:rPr>
      </w:pPr>
      <w:r>
        <w:rPr>
          <w:rFonts w:ascii="Bookman Old Style" w:hAnsi="Bookman Old Style" w:cs="Arial"/>
          <w:lang w:val="fi-FI"/>
        </w:rPr>
        <w:t>D</w:t>
      </w:r>
      <w:r w:rsidR="003B7FE4" w:rsidRPr="003E2A3A">
        <w:rPr>
          <w:rFonts w:ascii="Bookman Old Style" w:hAnsi="Bookman Old Style" w:cs="Arial"/>
          <w:lang w:val="fi-FI"/>
        </w:rPr>
        <w:t>ianggarkan</w:t>
      </w:r>
      <w:r w:rsidR="00A954D0">
        <w:rPr>
          <w:rFonts w:ascii="Bookman Old Style" w:hAnsi="Bookman Old Style" w:cs="Arial"/>
          <w:lang w:val="fi-FI"/>
        </w:rPr>
        <w:t xml:space="preserve"> </w:t>
      </w:r>
      <w:r w:rsidR="003B7FE4" w:rsidRPr="003E2A3A">
        <w:rPr>
          <w:rFonts w:ascii="Bookman Old Style" w:hAnsi="Bookman Old Style" w:cs="Arial"/>
          <w:lang w:val="fi-FI"/>
        </w:rPr>
        <w:t>dalam</w:t>
      </w:r>
      <w:r w:rsidR="00A954D0">
        <w:rPr>
          <w:rFonts w:ascii="Bookman Old Style" w:hAnsi="Bookman Old Style" w:cs="Arial"/>
          <w:lang w:val="fi-FI"/>
        </w:rPr>
        <w:t xml:space="preserve"> </w:t>
      </w:r>
      <w:r w:rsidR="003B7FE4" w:rsidRPr="003E2A3A">
        <w:rPr>
          <w:rFonts w:ascii="Bookman Old Style" w:hAnsi="Bookman Old Style" w:cs="Arial"/>
          <w:lang w:val="fi-FI"/>
        </w:rPr>
        <w:t>Rancangan</w:t>
      </w:r>
      <w:r w:rsidR="00A954D0">
        <w:rPr>
          <w:rFonts w:ascii="Bookman Old Style" w:hAnsi="Bookman Old Style" w:cs="Arial"/>
          <w:lang w:val="fi-FI"/>
        </w:rPr>
        <w:t xml:space="preserve"> </w:t>
      </w:r>
      <w:r w:rsidR="003B7FE4" w:rsidRPr="003E2A3A">
        <w:rPr>
          <w:rFonts w:ascii="Bookman Old Style" w:hAnsi="Bookman Old Style" w:cs="Arial"/>
          <w:lang w:val="fi-FI"/>
        </w:rPr>
        <w:t>Peraturan</w:t>
      </w:r>
      <w:r w:rsidR="00A954D0">
        <w:rPr>
          <w:rFonts w:ascii="Bookman Old Style" w:hAnsi="Bookman Old Style" w:cs="Arial"/>
          <w:lang w:val="fi-FI"/>
        </w:rPr>
        <w:t xml:space="preserve"> </w:t>
      </w:r>
      <w:r w:rsidR="003B7FE4" w:rsidRPr="003E2A3A">
        <w:rPr>
          <w:rFonts w:ascii="Bookman Old Style" w:hAnsi="Bookman Old Style" w:cs="Arial"/>
          <w:lang w:val="fi-FI"/>
        </w:rPr>
        <w:t>Daerah</w:t>
      </w:r>
      <w:r w:rsidR="00A954D0">
        <w:rPr>
          <w:rFonts w:ascii="Bookman Old Style" w:hAnsi="Bookman Old Style" w:cs="Arial"/>
          <w:lang w:val="fi-FI"/>
        </w:rPr>
        <w:t xml:space="preserve"> </w:t>
      </w:r>
      <w:r w:rsidR="00B055C5" w:rsidRPr="003E2A3A">
        <w:rPr>
          <w:rFonts w:ascii="Bookman Old Style" w:hAnsi="Bookman Old Style" w:cs="Arial"/>
          <w:lang w:val="fi-FI"/>
        </w:rPr>
        <w:t>Kota</w:t>
      </w:r>
      <w:r w:rsidR="00A954D0">
        <w:rPr>
          <w:rFonts w:ascii="Bookman Old Style" w:hAnsi="Bookman Old Style" w:cs="Arial"/>
          <w:lang w:val="fi-FI"/>
        </w:rPr>
        <w:t xml:space="preserve"> </w:t>
      </w:r>
      <w:r w:rsidR="00770F22" w:rsidRPr="003E2A3A">
        <w:rPr>
          <w:rFonts w:ascii="Bookman Old Style" w:hAnsi="Bookman Old Style" w:cs="Arial"/>
          <w:lang w:val="fi-FI"/>
        </w:rPr>
        <w:t>Tangerang</w:t>
      </w:r>
      <w:r w:rsidR="00A954D0">
        <w:rPr>
          <w:rFonts w:ascii="Bookman Old Style" w:hAnsi="Bookman Old Style" w:cs="Arial"/>
          <w:lang w:val="fi-FI"/>
        </w:rPr>
        <w:t xml:space="preserve"> </w:t>
      </w:r>
      <w:r w:rsidR="00BE6ED9" w:rsidRPr="003E2A3A">
        <w:rPr>
          <w:rFonts w:ascii="Bookman Old Style" w:hAnsi="Bookman Old Style" w:cs="Arial"/>
          <w:lang w:val="fi-FI"/>
        </w:rPr>
        <w:t>tentang</w:t>
      </w:r>
      <w:r w:rsidR="00A954D0">
        <w:rPr>
          <w:rFonts w:ascii="Bookman Old Style" w:hAnsi="Bookman Old Style" w:cs="Arial"/>
          <w:lang w:val="fi-FI"/>
        </w:rPr>
        <w:t xml:space="preserve"> </w:t>
      </w:r>
      <w:r w:rsidR="00BE6ED9" w:rsidRPr="003E2A3A">
        <w:rPr>
          <w:rFonts w:ascii="Bookman Old Style" w:hAnsi="Bookman Old Style" w:cs="Arial"/>
          <w:lang w:val="fi-FI"/>
        </w:rPr>
        <w:t>APBD</w:t>
      </w:r>
      <w:r w:rsidR="00A954D0">
        <w:rPr>
          <w:rFonts w:ascii="Bookman Old Style" w:hAnsi="Bookman Old Style" w:cs="Arial"/>
          <w:lang w:val="fi-FI"/>
        </w:rPr>
        <w:t xml:space="preserve"> </w:t>
      </w:r>
      <w:r w:rsidR="003B7FE4" w:rsidRPr="003E2A3A">
        <w:rPr>
          <w:rFonts w:ascii="Bookman Old Style" w:hAnsi="Bookman Old Style" w:cs="Arial"/>
          <w:lang w:val="fi-FI"/>
        </w:rPr>
        <w:t>Tahun</w:t>
      </w:r>
      <w:r w:rsidR="00A954D0">
        <w:rPr>
          <w:rFonts w:ascii="Bookman Old Style" w:hAnsi="Bookman Old Style" w:cs="Arial"/>
          <w:lang w:val="fi-FI"/>
        </w:rPr>
        <w:t xml:space="preserve"> </w:t>
      </w:r>
      <w:r w:rsidR="003B7FE4" w:rsidRPr="003E2A3A">
        <w:rPr>
          <w:rFonts w:ascii="Bookman Old Style" w:hAnsi="Bookman Old Style" w:cs="Arial"/>
          <w:lang w:val="fi-FI"/>
        </w:rPr>
        <w:t>Anggaran</w:t>
      </w:r>
      <w:r w:rsidR="00A954D0">
        <w:rPr>
          <w:rFonts w:ascii="Bookman Old Style" w:hAnsi="Bookman Old Style" w:cs="Arial"/>
          <w:lang w:val="fi-FI"/>
        </w:rPr>
        <w:t xml:space="preserve"> </w:t>
      </w:r>
      <w:r w:rsidR="003B7FE4" w:rsidRPr="003E2A3A">
        <w:rPr>
          <w:rFonts w:ascii="Bookman Old Style" w:hAnsi="Bookman Old Style" w:cs="Arial"/>
          <w:lang w:val="fi-FI"/>
        </w:rPr>
        <w:t>2025</w:t>
      </w:r>
      <w:r w:rsidR="00A954D0">
        <w:rPr>
          <w:rFonts w:ascii="Bookman Old Style" w:hAnsi="Bookman Old Style" w:cs="Arial"/>
          <w:lang w:val="fi-FI"/>
        </w:rPr>
        <w:t xml:space="preserve"> </w:t>
      </w:r>
      <w:r w:rsidR="003B7FE4" w:rsidRPr="003E2A3A">
        <w:rPr>
          <w:rFonts w:ascii="Bookman Old Style" w:hAnsi="Bookman Old Style" w:cs="Arial"/>
          <w:lang w:val="fi-FI"/>
        </w:rPr>
        <w:t>yang</w:t>
      </w:r>
      <w:r w:rsidR="00A954D0">
        <w:rPr>
          <w:rFonts w:ascii="Bookman Old Style" w:hAnsi="Bookman Old Style" w:cs="Arial"/>
          <w:lang w:val="fi-FI"/>
        </w:rPr>
        <w:t xml:space="preserve"> </w:t>
      </w:r>
      <w:r w:rsidR="003B7FE4" w:rsidRPr="003E2A3A">
        <w:rPr>
          <w:rFonts w:ascii="Bookman Old Style" w:hAnsi="Bookman Old Style" w:cs="Arial"/>
          <w:lang w:val="fi-FI"/>
        </w:rPr>
        <w:t>berada</w:t>
      </w:r>
      <w:r w:rsidR="00A954D0">
        <w:rPr>
          <w:rFonts w:ascii="Bookman Old Style" w:hAnsi="Bookman Old Style" w:cs="Arial"/>
          <w:lang w:val="fi-FI"/>
        </w:rPr>
        <w:t xml:space="preserve"> </w:t>
      </w:r>
      <w:r w:rsidR="003B7FE4" w:rsidRPr="003E2A3A">
        <w:rPr>
          <w:rFonts w:ascii="Bookman Old Style" w:hAnsi="Bookman Old Style" w:cs="Arial"/>
          <w:lang w:val="fi-FI"/>
        </w:rPr>
        <w:t>dalam</w:t>
      </w:r>
      <w:r w:rsidR="00A954D0">
        <w:rPr>
          <w:rFonts w:ascii="Bookman Old Style" w:hAnsi="Bookman Old Style" w:cs="Arial"/>
          <w:lang w:val="fi-FI"/>
        </w:rPr>
        <w:t xml:space="preserve"> </w:t>
      </w:r>
      <w:r w:rsidR="003B7FE4" w:rsidRPr="003E2A3A">
        <w:rPr>
          <w:rFonts w:ascii="Bookman Old Style" w:hAnsi="Bookman Old Style" w:cs="Arial"/>
          <w:lang w:val="fi-FI"/>
        </w:rPr>
        <w:t>penguasaan</w:t>
      </w:r>
      <w:r w:rsidR="00A954D0">
        <w:rPr>
          <w:rFonts w:ascii="Bookman Old Style" w:hAnsi="Bookman Old Style" w:cs="Arial"/>
          <w:lang w:val="fi-FI"/>
        </w:rPr>
        <w:t xml:space="preserve"> </w:t>
      </w:r>
      <w:r w:rsidR="003B7FE4" w:rsidRPr="003E2A3A">
        <w:rPr>
          <w:rFonts w:ascii="Bookman Old Style" w:hAnsi="Bookman Old Style" w:cs="Arial"/>
          <w:lang w:val="fi-FI"/>
        </w:rPr>
        <w:t>pengelola</w:t>
      </w:r>
      <w:r w:rsidR="00A954D0">
        <w:rPr>
          <w:rFonts w:ascii="Bookman Old Style" w:hAnsi="Bookman Old Style" w:cs="Arial"/>
          <w:lang w:val="fi-FI"/>
        </w:rPr>
        <w:t xml:space="preserve"> </w:t>
      </w:r>
      <w:r w:rsidR="003B7FE4" w:rsidRPr="003E2A3A">
        <w:rPr>
          <w:rFonts w:ascii="Bookman Old Style" w:hAnsi="Bookman Old Style" w:cs="Arial"/>
          <w:lang w:val="fi-FI"/>
        </w:rPr>
        <w:t>barang,</w:t>
      </w:r>
      <w:r w:rsidR="00A954D0">
        <w:rPr>
          <w:rFonts w:ascii="Bookman Old Style" w:hAnsi="Bookman Old Style" w:cs="Arial"/>
          <w:lang w:val="fi-FI"/>
        </w:rPr>
        <w:t xml:space="preserve"> </w:t>
      </w:r>
      <w:r w:rsidR="003B7FE4" w:rsidRPr="003E2A3A">
        <w:rPr>
          <w:rFonts w:ascii="Bookman Old Style" w:hAnsi="Bookman Old Style" w:cs="Arial"/>
          <w:lang w:val="fi-FI"/>
        </w:rPr>
        <w:t>pengguna</w:t>
      </w:r>
      <w:r w:rsidR="00A954D0">
        <w:rPr>
          <w:rFonts w:ascii="Bookman Old Style" w:hAnsi="Bookman Old Style" w:cs="Arial"/>
          <w:lang w:val="fi-FI"/>
        </w:rPr>
        <w:t xml:space="preserve"> </w:t>
      </w:r>
      <w:r w:rsidR="003B7FE4" w:rsidRPr="003E2A3A">
        <w:rPr>
          <w:rFonts w:ascii="Bookman Old Style" w:hAnsi="Bookman Old Style" w:cs="Arial"/>
          <w:lang w:val="fi-FI"/>
        </w:rPr>
        <w:t>barang</w:t>
      </w:r>
      <w:r w:rsidR="00A954D0">
        <w:rPr>
          <w:rFonts w:ascii="Bookman Old Style" w:hAnsi="Bookman Old Style" w:cs="Arial"/>
          <w:lang w:val="fi-FI"/>
        </w:rPr>
        <w:t xml:space="preserve"> </w:t>
      </w:r>
      <w:r w:rsidR="003B7FE4" w:rsidRPr="003E2A3A">
        <w:rPr>
          <w:rFonts w:ascii="Bookman Old Style" w:hAnsi="Bookman Old Style" w:cs="Arial"/>
          <w:lang w:val="fi-FI"/>
        </w:rPr>
        <w:t>atau</w:t>
      </w:r>
      <w:r w:rsidR="00A954D0">
        <w:rPr>
          <w:rFonts w:ascii="Bookman Old Style" w:hAnsi="Bookman Old Style" w:cs="Arial"/>
          <w:lang w:val="fi-FI"/>
        </w:rPr>
        <w:t xml:space="preserve"> </w:t>
      </w:r>
      <w:r w:rsidR="003B7FE4" w:rsidRPr="003E2A3A">
        <w:rPr>
          <w:rFonts w:ascii="Bookman Old Style" w:hAnsi="Bookman Old Style" w:cs="Arial"/>
          <w:lang w:val="fi-FI"/>
        </w:rPr>
        <w:t>kuasa</w:t>
      </w:r>
      <w:r w:rsidR="00A954D0">
        <w:rPr>
          <w:rFonts w:ascii="Bookman Old Style" w:hAnsi="Bookman Old Style" w:cs="Arial"/>
          <w:lang w:val="fi-FI"/>
        </w:rPr>
        <w:t xml:space="preserve"> </w:t>
      </w:r>
      <w:r w:rsidR="003B7FE4" w:rsidRPr="003E2A3A">
        <w:rPr>
          <w:rFonts w:ascii="Bookman Old Style" w:hAnsi="Bookman Old Style" w:cs="Arial"/>
          <w:lang w:val="fi-FI"/>
        </w:rPr>
        <w:t>pengguna</w:t>
      </w:r>
      <w:r w:rsidR="00A954D0">
        <w:rPr>
          <w:rFonts w:ascii="Bookman Old Style" w:hAnsi="Bookman Old Style" w:cs="Arial"/>
          <w:lang w:val="fi-FI"/>
        </w:rPr>
        <w:t xml:space="preserve"> </w:t>
      </w:r>
      <w:r w:rsidR="003B7FE4" w:rsidRPr="003E2A3A">
        <w:rPr>
          <w:rFonts w:ascii="Bookman Old Style" w:hAnsi="Bookman Old Style" w:cs="Arial"/>
          <w:lang w:val="fi-FI"/>
        </w:rPr>
        <w:t>barang</w:t>
      </w:r>
      <w:r w:rsidR="00A954D0">
        <w:rPr>
          <w:rFonts w:ascii="Bookman Old Style" w:hAnsi="Bookman Old Style" w:cs="Arial"/>
          <w:lang w:val="fi-FI"/>
        </w:rPr>
        <w:t xml:space="preserve"> </w:t>
      </w:r>
      <w:r w:rsidR="003B7FE4" w:rsidRPr="003E2A3A">
        <w:rPr>
          <w:rFonts w:ascii="Bookman Old Style" w:hAnsi="Bookman Old Style" w:cs="Arial"/>
          <w:lang w:val="fi-FI"/>
        </w:rPr>
        <w:t>dengan</w:t>
      </w:r>
      <w:r w:rsidR="00A954D0">
        <w:rPr>
          <w:rFonts w:ascii="Bookman Old Style" w:hAnsi="Bookman Old Style" w:cs="Arial"/>
          <w:lang w:val="fi-FI"/>
        </w:rPr>
        <w:t xml:space="preserve"> </w:t>
      </w:r>
      <w:r w:rsidR="003B7FE4" w:rsidRPr="003E2A3A">
        <w:rPr>
          <w:rFonts w:ascii="Bookman Old Style" w:hAnsi="Bookman Old Style" w:cs="Arial"/>
          <w:lang w:val="fi-FI"/>
        </w:rPr>
        <w:t>berpedoman</w:t>
      </w:r>
      <w:r w:rsidR="00A954D0">
        <w:rPr>
          <w:rFonts w:ascii="Bookman Old Style" w:hAnsi="Bookman Old Style" w:cs="Arial"/>
          <w:lang w:val="fi-FI"/>
        </w:rPr>
        <w:t xml:space="preserve"> </w:t>
      </w:r>
      <w:r w:rsidR="003B7FE4" w:rsidRPr="003E2A3A">
        <w:rPr>
          <w:rFonts w:ascii="Bookman Old Style" w:hAnsi="Bookman Old Style" w:cs="Arial"/>
          <w:lang w:val="fi-FI"/>
        </w:rPr>
        <w:t>pada</w:t>
      </w:r>
      <w:r w:rsidR="00A954D0">
        <w:rPr>
          <w:rFonts w:ascii="Bookman Old Style" w:hAnsi="Bookman Old Style" w:cs="Arial"/>
          <w:lang w:val="fi-FI"/>
        </w:rPr>
        <w:t xml:space="preserve"> </w:t>
      </w:r>
      <w:r w:rsidR="003B7FE4" w:rsidRPr="003E2A3A">
        <w:rPr>
          <w:rFonts w:ascii="Bookman Old Style" w:hAnsi="Bookman Old Style" w:cs="Arial"/>
          <w:lang w:val="fi-FI"/>
        </w:rPr>
        <w:t>daftar</w:t>
      </w:r>
      <w:r w:rsidR="00A954D0">
        <w:rPr>
          <w:rFonts w:ascii="Bookman Old Style" w:hAnsi="Bookman Old Style" w:cs="Arial"/>
          <w:lang w:val="fi-FI"/>
        </w:rPr>
        <w:t xml:space="preserve"> </w:t>
      </w:r>
      <w:r w:rsidR="003B7FE4" w:rsidRPr="003E2A3A">
        <w:rPr>
          <w:rFonts w:ascii="Bookman Old Style" w:hAnsi="Bookman Old Style" w:cs="Arial"/>
          <w:lang w:val="fi-FI"/>
        </w:rPr>
        <w:t>kebutuhan</w:t>
      </w:r>
      <w:r w:rsidR="00A954D0">
        <w:rPr>
          <w:rFonts w:ascii="Bookman Old Style" w:hAnsi="Bookman Old Style" w:cs="Arial"/>
          <w:lang w:val="fi-FI"/>
        </w:rPr>
        <w:t xml:space="preserve"> </w:t>
      </w:r>
      <w:r w:rsidR="003B7FE4" w:rsidRPr="003E2A3A">
        <w:rPr>
          <w:rFonts w:ascii="Bookman Old Style" w:hAnsi="Bookman Old Style" w:cs="Arial"/>
          <w:lang w:val="fi-FI"/>
        </w:rPr>
        <w:t>pemeliharaan</w:t>
      </w:r>
      <w:r w:rsidR="00A954D0">
        <w:rPr>
          <w:rFonts w:ascii="Bookman Old Style" w:hAnsi="Bookman Old Style" w:cs="Arial"/>
          <w:lang w:val="fi-FI"/>
        </w:rPr>
        <w:t xml:space="preserve"> </w:t>
      </w:r>
      <w:r w:rsidR="003B7FE4" w:rsidRPr="003E2A3A">
        <w:rPr>
          <w:rFonts w:ascii="Bookman Old Style" w:hAnsi="Bookman Old Style" w:cs="Arial"/>
          <w:lang w:val="fi-FI"/>
        </w:rPr>
        <w:t>barang</w:t>
      </w:r>
      <w:r w:rsidR="00A954D0">
        <w:rPr>
          <w:rFonts w:ascii="Bookman Old Style" w:hAnsi="Bookman Old Style" w:cs="Arial"/>
          <w:lang w:val="fi-FI"/>
        </w:rPr>
        <w:t xml:space="preserve"> </w:t>
      </w:r>
      <w:r w:rsidR="003B7FE4" w:rsidRPr="003E2A3A">
        <w:rPr>
          <w:rFonts w:ascii="Bookman Old Style" w:hAnsi="Bookman Old Style" w:cs="Arial"/>
          <w:lang w:val="fi-FI"/>
        </w:rPr>
        <w:t>sesuai</w:t>
      </w:r>
      <w:r w:rsidR="00A954D0">
        <w:rPr>
          <w:rFonts w:ascii="Bookman Old Style" w:hAnsi="Bookman Old Style" w:cs="Arial"/>
          <w:lang w:val="fi-FI"/>
        </w:rPr>
        <w:t xml:space="preserve"> </w:t>
      </w:r>
      <w:r w:rsidR="003B7FE4" w:rsidRPr="003E2A3A">
        <w:rPr>
          <w:rFonts w:ascii="Bookman Old Style" w:hAnsi="Bookman Old Style" w:cs="Arial"/>
          <w:lang w:val="fi-FI"/>
        </w:rPr>
        <w:t>dengan</w:t>
      </w:r>
      <w:r w:rsidR="00A954D0">
        <w:rPr>
          <w:rFonts w:ascii="Bookman Old Style" w:hAnsi="Bookman Old Style" w:cs="Arial"/>
          <w:lang w:val="fi-FI"/>
        </w:rPr>
        <w:t xml:space="preserve"> </w:t>
      </w:r>
      <w:r w:rsidR="003B7FE4" w:rsidRPr="003E2A3A">
        <w:rPr>
          <w:rFonts w:ascii="Bookman Old Style" w:hAnsi="Bookman Old Style" w:cs="Arial"/>
          <w:lang w:val="fi-FI"/>
        </w:rPr>
        <w:t>ketentuan</w:t>
      </w:r>
      <w:r w:rsidR="00A954D0">
        <w:rPr>
          <w:rFonts w:ascii="Bookman Old Style" w:hAnsi="Bookman Old Style" w:cs="Arial"/>
          <w:lang w:val="fi-FI"/>
        </w:rPr>
        <w:t xml:space="preserve"> </w:t>
      </w:r>
      <w:r w:rsidR="003B7FE4" w:rsidRPr="003E2A3A">
        <w:rPr>
          <w:rFonts w:ascii="Bookman Old Style" w:hAnsi="Bookman Old Style" w:cs="Arial"/>
          <w:lang w:val="fi-FI"/>
        </w:rPr>
        <w:t>peraturan</w:t>
      </w:r>
      <w:r w:rsidR="00A954D0">
        <w:rPr>
          <w:rFonts w:ascii="Bookman Old Style" w:hAnsi="Bookman Old Style" w:cs="Arial"/>
          <w:lang w:val="fi-FI"/>
        </w:rPr>
        <w:t xml:space="preserve"> </w:t>
      </w:r>
      <w:r w:rsidR="003B7FE4" w:rsidRPr="003E2A3A">
        <w:rPr>
          <w:rFonts w:ascii="Bookman Old Style" w:hAnsi="Bookman Old Style" w:cs="Arial"/>
          <w:lang w:val="fi-FI"/>
        </w:rPr>
        <w:t>perundang-undangan</w:t>
      </w:r>
      <w:r w:rsidR="00A954D0">
        <w:rPr>
          <w:rFonts w:ascii="Bookman Old Style" w:hAnsi="Bookman Old Style" w:cs="Arial"/>
          <w:lang w:val="fi-FI"/>
        </w:rPr>
        <w:t xml:space="preserve"> </w:t>
      </w:r>
      <w:r w:rsidR="003B7FE4" w:rsidRPr="003E2A3A">
        <w:rPr>
          <w:rFonts w:ascii="Bookman Old Style" w:hAnsi="Bookman Old Style" w:cs="Arial"/>
          <w:lang w:val="fi-FI"/>
        </w:rPr>
        <w:t>mengenai</w:t>
      </w:r>
      <w:r w:rsidR="00A954D0">
        <w:rPr>
          <w:rFonts w:ascii="Bookman Old Style" w:hAnsi="Bookman Old Style" w:cs="Arial"/>
          <w:lang w:val="fi-FI"/>
        </w:rPr>
        <w:t xml:space="preserve"> </w:t>
      </w:r>
      <w:r w:rsidR="003B7FE4" w:rsidRPr="003E2A3A">
        <w:rPr>
          <w:rFonts w:ascii="Bookman Old Style" w:hAnsi="Bookman Old Style" w:cs="Arial"/>
          <w:lang w:val="fi-FI"/>
        </w:rPr>
        <w:t>BMD,</w:t>
      </w:r>
      <w:r w:rsidR="00A954D0">
        <w:rPr>
          <w:rFonts w:ascii="Bookman Old Style" w:hAnsi="Bookman Old Style" w:cs="Arial"/>
          <w:lang w:val="fi-FI"/>
        </w:rPr>
        <w:t xml:space="preserve"> </w:t>
      </w:r>
      <w:r w:rsidR="003B7FE4" w:rsidRPr="003E2A3A">
        <w:rPr>
          <w:rFonts w:ascii="Bookman Old Style" w:hAnsi="Bookman Old Style" w:cs="Arial"/>
          <w:lang w:val="fi-FI"/>
        </w:rPr>
        <w:t>namun</w:t>
      </w:r>
      <w:r w:rsidR="00A954D0">
        <w:rPr>
          <w:rFonts w:ascii="Bookman Old Style" w:hAnsi="Bookman Old Style" w:cs="Arial"/>
          <w:lang w:val="fi-FI"/>
        </w:rPr>
        <w:t xml:space="preserve"> </w:t>
      </w:r>
      <w:r w:rsidR="003B7FE4" w:rsidRPr="003E2A3A">
        <w:rPr>
          <w:rFonts w:ascii="Bookman Old Style" w:hAnsi="Bookman Old Style" w:cs="Arial"/>
          <w:lang w:val="fi-FI"/>
        </w:rPr>
        <w:t>dalam</w:t>
      </w:r>
      <w:r w:rsidR="00A954D0">
        <w:rPr>
          <w:rFonts w:ascii="Bookman Old Style" w:hAnsi="Bookman Old Style" w:cs="Arial"/>
          <w:lang w:val="fi-FI"/>
        </w:rPr>
        <w:t xml:space="preserve"> </w:t>
      </w:r>
      <w:r w:rsidR="003B7FE4" w:rsidRPr="003E2A3A">
        <w:rPr>
          <w:rFonts w:ascii="Bookman Old Style" w:hAnsi="Bookman Old Style" w:cs="Arial"/>
          <w:lang w:val="id-ID"/>
        </w:rPr>
        <w:t>pelaksanaannya</w:t>
      </w:r>
      <w:r w:rsidR="00A954D0">
        <w:rPr>
          <w:rFonts w:ascii="Bookman Old Style" w:hAnsi="Bookman Old Style" w:cs="Arial"/>
          <w:lang w:val="fi-FI"/>
        </w:rPr>
        <w:t xml:space="preserve"> </w:t>
      </w:r>
      <w:r w:rsidR="003B7FE4" w:rsidRPr="003E2A3A">
        <w:rPr>
          <w:rFonts w:ascii="Bookman Old Style" w:hAnsi="Bookman Old Style" w:cs="Arial"/>
          <w:lang w:val="fi-FI"/>
        </w:rPr>
        <w:t>tetap</w:t>
      </w:r>
      <w:r w:rsidR="00A954D0">
        <w:rPr>
          <w:rFonts w:ascii="Bookman Old Style" w:hAnsi="Bookman Old Style" w:cs="Arial"/>
          <w:lang w:val="fi-FI"/>
        </w:rPr>
        <w:t xml:space="preserve"> </w:t>
      </w:r>
      <w:r w:rsidR="003B7FE4" w:rsidRPr="003E2A3A">
        <w:rPr>
          <w:rFonts w:ascii="Bookman Old Style" w:hAnsi="Bookman Old Style" w:cs="Arial"/>
          <w:lang w:val="fi-FI"/>
        </w:rPr>
        <w:t>memperhatikan</w:t>
      </w:r>
      <w:r w:rsidR="00A954D0">
        <w:rPr>
          <w:rFonts w:ascii="Bookman Old Style" w:hAnsi="Bookman Old Style" w:cs="Arial"/>
          <w:lang w:val="fi-FI"/>
        </w:rPr>
        <w:t xml:space="preserve"> </w:t>
      </w:r>
      <w:r w:rsidR="003B7FE4" w:rsidRPr="003E2A3A">
        <w:rPr>
          <w:rFonts w:ascii="Bookman Old Style" w:hAnsi="Bookman Old Style" w:cs="Arial"/>
          <w:lang w:val="fi-FI"/>
        </w:rPr>
        <w:t>aspek</w:t>
      </w:r>
      <w:r w:rsidR="00A954D0">
        <w:rPr>
          <w:rFonts w:ascii="Bookman Old Style" w:hAnsi="Bookman Old Style" w:cs="Arial"/>
          <w:lang w:val="fi-FI"/>
        </w:rPr>
        <w:t xml:space="preserve"> </w:t>
      </w:r>
      <w:r w:rsidR="003B7FE4" w:rsidRPr="003E2A3A">
        <w:rPr>
          <w:rFonts w:ascii="Bookman Old Style" w:hAnsi="Bookman Old Style" w:cs="Arial"/>
          <w:lang w:val="fi-FI"/>
        </w:rPr>
        <w:t>efektivitas,</w:t>
      </w:r>
      <w:r w:rsidR="00A954D0">
        <w:rPr>
          <w:rFonts w:ascii="Bookman Old Style" w:hAnsi="Bookman Old Style" w:cs="Arial"/>
          <w:lang w:val="fi-FI"/>
        </w:rPr>
        <w:t xml:space="preserve"> </w:t>
      </w:r>
      <w:r w:rsidR="003B7FE4" w:rsidRPr="003E2A3A">
        <w:rPr>
          <w:rFonts w:ascii="Bookman Old Style" w:hAnsi="Bookman Old Style" w:cs="Arial"/>
          <w:lang w:val="fi-FI"/>
        </w:rPr>
        <w:t>efisiensi,</w:t>
      </w:r>
      <w:r w:rsidR="00A954D0">
        <w:rPr>
          <w:rFonts w:ascii="Bookman Old Style" w:hAnsi="Bookman Old Style" w:cs="Arial"/>
          <w:lang w:val="fi-FI"/>
        </w:rPr>
        <w:t xml:space="preserve"> </w:t>
      </w:r>
      <w:r w:rsidR="003B7FE4" w:rsidRPr="003E2A3A">
        <w:rPr>
          <w:rFonts w:ascii="Bookman Old Style" w:hAnsi="Bookman Old Style" w:cs="Arial"/>
          <w:lang w:val="fi-FI"/>
        </w:rPr>
        <w:t>kepatutan</w:t>
      </w:r>
      <w:r w:rsidR="00A954D0">
        <w:rPr>
          <w:rFonts w:ascii="Bookman Old Style" w:hAnsi="Bookman Old Style" w:cs="Arial"/>
          <w:lang w:val="fi-FI"/>
        </w:rPr>
        <w:t xml:space="preserve"> </w:t>
      </w:r>
      <w:r w:rsidR="003B7FE4" w:rsidRPr="003E2A3A">
        <w:rPr>
          <w:rFonts w:ascii="Bookman Old Style" w:hAnsi="Bookman Old Style" w:cs="Arial"/>
          <w:lang w:val="fi-FI"/>
        </w:rPr>
        <w:t>dan</w:t>
      </w:r>
      <w:r w:rsidR="00A954D0">
        <w:rPr>
          <w:rFonts w:ascii="Bookman Old Style" w:hAnsi="Bookman Old Style" w:cs="Arial"/>
          <w:lang w:val="fi-FI"/>
        </w:rPr>
        <w:t xml:space="preserve"> </w:t>
      </w:r>
      <w:r w:rsidR="003B7FE4" w:rsidRPr="003E2A3A">
        <w:rPr>
          <w:rFonts w:ascii="Bookman Old Style" w:hAnsi="Bookman Old Style" w:cs="Arial"/>
          <w:lang w:val="fi-FI"/>
        </w:rPr>
        <w:t>kewajaran</w:t>
      </w:r>
      <w:r w:rsidR="00A954D0">
        <w:rPr>
          <w:rFonts w:ascii="Bookman Old Style" w:hAnsi="Bookman Old Style" w:cs="Arial"/>
          <w:lang w:val="fi-FI"/>
        </w:rPr>
        <w:t xml:space="preserve"> </w:t>
      </w:r>
      <w:r w:rsidR="003B7FE4" w:rsidRPr="003E2A3A">
        <w:rPr>
          <w:rFonts w:ascii="Bookman Old Style" w:hAnsi="Bookman Old Style" w:cs="Arial"/>
          <w:lang w:val="fi-FI"/>
        </w:rPr>
        <w:t>serta</w:t>
      </w:r>
      <w:r w:rsidR="00A954D0">
        <w:rPr>
          <w:rFonts w:ascii="Bookman Old Style" w:hAnsi="Bookman Old Style" w:cs="Arial"/>
          <w:lang w:val="fi-FI"/>
        </w:rPr>
        <w:t xml:space="preserve"> </w:t>
      </w:r>
      <w:r w:rsidR="003B7FE4" w:rsidRPr="003E2A3A">
        <w:rPr>
          <w:rFonts w:ascii="Bookman Old Style" w:hAnsi="Bookman Old Style" w:cs="Arial"/>
          <w:lang w:val="fi-FI"/>
        </w:rPr>
        <w:t>penghematan</w:t>
      </w:r>
      <w:r w:rsidR="00A954D0">
        <w:rPr>
          <w:rFonts w:ascii="Bookman Old Style" w:hAnsi="Bookman Old Style" w:cs="Arial"/>
          <w:lang w:val="fi-FI"/>
        </w:rPr>
        <w:t xml:space="preserve"> </w:t>
      </w:r>
      <w:r w:rsidR="003B7FE4" w:rsidRPr="003E2A3A">
        <w:rPr>
          <w:rFonts w:ascii="Bookman Old Style" w:hAnsi="Bookman Old Style" w:cs="Arial"/>
          <w:lang w:val="fi-FI"/>
        </w:rPr>
        <w:t>penggunaan</w:t>
      </w:r>
      <w:r w:rsidR="00A954D0">
        <w:rPr>
          <w:rFonts w:ascii="Bookman Old Style" w:hAnsi="Bookman Old Style" w:cs="Arial"/>
          <w:lang w:val="fi-FI"/>
        </w:rPr>
        <w:t xml:space="preserve"> </w:t>
      </w:r>
      <w:r w:rsidR="003B7FE4" w:rsidRPr="003E2A3A">
        <w:rPr>
          <w:rFonts w:ascii="Bookman Old Style" w:hAnsi="Bookman Old Style" w:cs="Arial"/>
          <w:lang w:val="fi-FI"/>
        </w:rPr>
        <w:t>anggaran</w:t>
      </w:r>
      <w:r w:rsidR="00A954D0">
        <w:rPr>
          <w:rFonts w:ascii="Bookman Old Style" w:hAnsi="Bookman Old Style" w:cs="Arial"/>
          <w:lang w:val="fi-FI"/>
        </w:rPr>
        <w:t xml:space="preserve"> </w:t>
      </w:r>
      <w:r w:rsidR="003B7FE4" w:rsidRPr="003E2A3A">
        <w:rPr>
          <w:rFonts w:ascii="Bookman Old Style" w:hAnsi="Bookman Old Style" w:cs="Arial"/>
          <w:lang w:val="fi-FI"/>
        </w:rPr>
        <w:t>dan</w:t>
      </w:r>
      <w:r w:rsidR="00A954D0">
        <w:rPr>
          <w:rFonts w:ascii="Bookman Old Style" w:hAnsi="Bookman Old Style" w:cs="Arial"/>
          <w:lang w:val="fi-FI"/>
        </w:rPr>
        <w:t xml:space="preserve"> </w:t>
      </w:r>
      <w:r w:rsidR="003B7FE4" w:rsidRPr="003E2A3A">
        <w:rPr>
          <w:rFonts w:ascii="Bookman Old Style" w:hAnsi="Bookman Old Style" w:cs="Arial"/>
          <w:lang w:val="fi-FI"/>
        </w:rPr>
        <w:t>disesuaikan</w:t>
      </w:r>
      <w:r w:rsidR="00A954D0">
        <w:rPr>
          <w:rFonts w:ascii="Bookman Old Style" w:hAnsi="Bookman Old Style" w:cs="Arial"/>
          <w:lang w:val="fi-FI"/>
        </w:rPr>
        <w:t xml:space="preserve"> </w:t>
      </w:r>
      <w:r w:rsidR="003B7FE4" w:rsidRPr="003E2A3A">
        <w:rPr>
          <w:rFonts w:ascii="Bookman Old Style" w:hAnsi="Bookman Old Style" w:cs="Arial"/>
          <w:lang w:val="fi-FI"/>
        </w:rPr>
        <w:t>dengan</w:t>
      </w:r>
      <w:r w:rsidR="00A954D0">
        <w:rPr>
          <w:rFonts w:ascii="Bookman Old Style" w:hAnsi="Bookman Old Style" w:cs="Arial"/>
          <w:lang w:val="fi-FI"/>
        </w:rPr>
        <w:t xml:space="preserve"> </w:t>
      </w:r>
      <w:r w:rsidR="003B7FE4" w:rsidRPr="003E2A3A">
        <w:rPr>
          <w:rFonts w:ascii="Bookman Old Style" w:hAnsi="Bookman Old Style" w:cs="Arial"/>
          <w:lang w:val="fi-FI"/>
        </w:rPr>
        <w:t>kebutuhan</w:t>
      </w:r>
      <w:r w:rsidR="00A954D0">
        <w:rPr>
          <w:rFonts w:ascii="Bookman Old Style" w:hAnsi="Bookman Old Style" w:cs="Arial"/>
          <w:lang w:val="fi-FI"/>
        </w:rPr>
        <w:t xml:space="preserve"> </w:t>
      </w:r>
      <w:r w:rsidR="003B7FE4" w:rsidRPr="003E2A3A">
        <w:rPr>
          <w:rFonts w:ascii="Bookman Old Style" w:hAnsi="Bookman Old Style" w:cs="Arial"/>
          <w:lang w:val="fi-FI"/>
        </w:rPr>
        <w:t>nyata</w:t>
      </w:r>
      <w:r w:rsidR="00A954D0">
        <w:rPr>
          <w:rFonts w:ascii="Bookman Old Style" w:hAnsi="Bookman Old Style" w:cs="Arial"/>
          <w:lang w:val="fi-FI"/>
        </w:rPr>
        <w:t xml:space="preserve"> </w:t>
      </w:r>
      <w:r w:rsidR="003B7FE4" w:rsidRPr="003E2A3A">
        <w:rPr>
          <w:rFonts w:ascii="Bookman Old Style" w:hAnsi="Bookman Old Style" w:cs="Arial"/>
          <w:lang w:val="fi-FI"/>
        </w:rPr>
        <w:t>pada</w:t>
      </w:r>
      <w:r w:rsidR="00A954D0">
        <w:rPr>
          <w:rFonts w:ascii="Bookman Old Style" w:hAnsi="Bookman Old Style" w:cs="Arial"/>
          <w:lang w:val="fi-FI"/>
        </w:rPr>
        <w:t xml:space="preserve"> </w:t>
      </w:r>
      <w:r w:rsidR="003B7FE4" w:rsidRPr="003E2A3A">
        <w:rPr>
          <w:rFonts w:ascii="Bookman Old Style" w:hAnsi="Bookman Old Style" w:cs="Arial"/>
          <w:lang w:val="fi-FI"/>
        </w:rPr>
        <w:t>masing-masing</w:t>
      </w:r>
      <w:r w:rsidR="00A954D0">
        <w:rPr>
          <w:rFonts w:ascii="Bookman Old Style" w:hAnsi="Bookman Old Style" w:cs="Arial"/>
          <w:lang w:val="fi-FI"/>
        </w:rPr>
        <w:t xml:space="preserve"> </w:t>
      </w:r>
      <w:r w:rsidR="003B7FE4" w:rsidRPr="003E2A3A">
        <w:rPr>
          <w:rFonts w:ascii="Bookman Old Style" w:hAnsi="Bookman Old Style" w:cs="Arial"/>
          <w:lang w:val="fi-FI"/>
        </w:rPr>
        <w:t>kegiatan</w:t>
      </w:r>
      <w:r w:rsidR="00A954D0">
        <w:rPr>
          <w:rFonts w:ascii="Bookman Old Style" w:hAnsi="Bookman Old Style" w:cs="Arial"/>
          <w:lang w:val="fi-FI"/>
        </w:rPr>
        <w:t xml:space="preserve"> </w:t>
      </w:r>
      <w:r w:rsidR="003B7FE4" w:rsidRPr="003E2A3A">
        <w:rPr>
          <w:rFonts w:ascii="Bookman Old Style" w:hAnsi="Bookman Old Style" w:cs="Arial"/>
          <w:lang w:val="fi-FI"/>
        </w:rPr>
        <w:t>sebagaimana</w:t>
      </w:r>
      <w:r w:rsidR="00A954D0">
        <w:rPr>
          <w:rFonts w:ascii="Bookman Old Style" w:hAnsi="Bookman Old Style" w:cs="Arial"/>
          <w:lang w:val="fi-FI"/>
        </w:rPr>
        <w:t xml:space="preserve"> </w:t>
      </w:r>
      <w:r w:rsidR="003B7FE4" w:rsidRPr="003E2A3A">
        <w:rPr>
          <w:rFonts w:ascii="Bookman Old Style" w:hAnsi="Bookman Old Style" w:cs="Arial"/>
          <w:lang w:val="fi-FI"/>
        </w:rPr>
        <w:t>maksud</w:t>
      </w:r>
      <w:r w:rsidR="00A954D0">
        <w:rPr>
          <w:rFonts w:ascii="Bookman Old Style" w:hAnsi="Bookman Old Style" w:cs="Arial"/>
          <w:lang w:val="fi-FI"/>
        </w:rPr>
        <w:t xml:space="preserve"> </w:t>
      </w:r>
      <w:r w:rsidR="003B7FE4" w:rsidRPr="003E2A3A">
        <w:rPr>
          <w:rFonts w:ascii="Bookman Old Style" w:hAnsi="Bookman Old Style" w:cs="Arial"/>
          <w:lang w:val="fi-FI"/>
        </w:rPr>
        <w:t>Pasal</w:t>
      </w:r>
      <w:r w:rsidR="00A954D0">
        <w:rPr>
          <w:rFonts w:ascii="Bookman Old Style" w:hAnsi="Bookman Old Style" w:cs="Arial"/>
          <w:lang w:val="fi-FI"/>
        </w:rPr>
        <w:t xml:space="preserve"> </w:t>
      </w:r>
      <w:r w:rsidR="003B7FE4" w:rsidRPr="003E2A3A">
        <w:rPr>
          <w:rFonts w:ascii="Bookman Old Style" w:hAnsi="Bookman Old Style" w:cs="Arial"/>
          <w:lang w:val="fi-FI"/>
        </w:rPr>
        <w:t>3</w:t>
      </w:r>
      <w:r w:rsidR="00A954D0">
        <w:rPr>
          <w:rFonts w:ascii="Bookman Old Style" w:hAnsi="Bookman Old Style" w:cs="Arial"/>
          <w:lang w:val="fi-FI"/>
        </w:rPr>
        <w:t xml:space="preserve"> </w:t>
      </w:r>
      <w:r w:rsidR="003B7FE4" w:rsidRPr="003E2A3A">
        <w:rPr>
          <w:rFonts w:ascii="Bookman Old Style" w:hAnsi="Bookman Old Style" w:cs="Arial"/>
          <w:lang w:val="fi-FI"/>
        </w:rPr>
        <w:t>ayat</w:t>
      </w:r>
      <w:r w:rsidR="00A954D0">
        <w:rPr>
          <w:rFonts w:ascii="Bookman Old Style" w:hAnsi="Bookman Old Style" w:cs="Arial"/>
          <w:lang w:val="fi-FI"/>
        </w:rPr>
        <w:t xml:space="preserve"> </w:t>
      </w:r>
      <w:r w:rsidR="003B7FE4" w:rsidRPr="003E2A3A">
        <w:rPr>
          <w:rFonts w:ascii="Bookman Old Style" w:hAnsi="Bookman Old Style" w:cs="Arial"/>
          <w:lang w:val="fi-FI"/>
        </w:rPr>
        <w:t>(1)</w:t>
      </w:r>
      <w:r w:rsidR="00A954D0">
        <w:rPr>
          <w:rFonts w:ascii="Bookman Old Style" w:hAnsi="Bookman Old Style" w:cs="Arial"/>
          <w:lang w:val="fi-FI"/>
        </w:rPr>
        <w:t xml:space="preserve"> </w:t>
      </w:r>
      <w:r w:rsidR="003B7FE4" w:rsidRPr="003E2A3A">
        <w:rPr>
          <w:rFonts w:ascii="Bookman Old Style" w:hAnsi="Bookman Old Style" w:cs="Arial"/>
          <w:lang w:val="fi-FI"/>
        </w:rPr>
        <w:t>Peraturan</w:t>
      </w:r>
      <w:r w:rsidR="00A954D0">
        <w:rPr>
          <w:rFonts w:ascii="Bookman Old Style" w:hAnsi="Bookman Old Style" w:cs="Arial"/>
          <w:lang w:val="fi-FI"/>
        </w:rPr>
        <w:t xml:space="preserve"> </w:t>
      </w:r>
      <w:r w:rsidR="003B7FE4" w:rsidRPr="003E2A3A">
        <w:rPr>
          <w:rFonts w:ascii="Bookman Old Style" w:hAnsi="Bookman Old Style" w:cs="Arial"/>
          <w:lang w:val="fi-FI"/>
        </w:rPr>
        <w:t>Pemerintah</w:t>
      </w:r>
      <w:r w:rsidR="00A954D0">
        <w:rPr>
          <w:rFonts w:ascii="Bookman Old Style" w:hAnsi="Bookman Old Style" w:cs="Arial"/>
          <w:lang w:val="fi-FI"/>
        </w:rPr>
        <w:t xml:space="preserve"> </w:t>
      </w:r>
      <w:r w:rsidR="003B7FE4" w:rsidRPr="003E2A3A">
        <w:rPr>
          <w:rFonts w:ascii="Bookman Old Style" w:hAnsi="Bookman Old Style" w:cs="Arial"/>
          <w:lang w:val="fi-FI"/>
        </w:rPr>
        <w:t>Nomor</w:t>
      </w:r>
      <w:r w:rsidR="00A954D0">
        <w:rPr>
          <w:rFonts w:ascii="Bookman Old Style" w:hAnsi="Bookman Old Style" w:cs="Arial"/>
          <w:lang w:val="fi-FI"/>
        </w:rPr>
        <w:t xml:space="preserve"> </w:t>
      </w:r>
      <w:r w:rsidR="003B7FE4" w:rsidRPr="003E2A3A">
        <w:rPr>
          <w:rFonts w:ascii="Bookman Old Style" w:hAnsi="Bookman Old Style" w:cs="Arial"/>
          <w:lang w:val="fi-FI"/>
        </w:rPr>
        <w:t>12</w:t>
      </w:r>
      <w:r w:rsidR="00A954D0">
        <w:rPr>
          <w:rFonts w:ascii="Bookman Old Style" w:hAnsi="Bookman Old Style" w:cs="Arial"/>
          <w:lang w:val="fi-FI"/>
        </w:rPr>
        <w:t xml:space="preserve"> </w:t>
      </w:r>
      <w:r w:rsidR="003B7FE4" w:rsidRPr="003E2A3A">
        <w:rPr>
          <w:rFonts w:ascii="Bookman Old Style" w:hAnsi="Bookman Old Style" w:cs="Arial"/>
          <w:lang w:val="fi-FI"/>
        </w:rPr>
        <w:t>Tahun</w:t>
      </w:r>
      <w:r w:rsidR="00A954D0">
        <w:rPr>
          <w:rFonts w:ascii="Bookman Old Style" w:hAnsi="Bookman Old Style" w:cs="Arial"/>
          <w:lang w:val="fi-FI"/>
        </w:rPr>
        <w:t xml:space="preserve"> </w:t>
      </w:r>
      <w:r w:rsidR="003B7FE4" w:rsidRPr="003E2A3A">
        <w:rPr>
          <w:rFonts w:ascii="Bookman Old Style" w:hAnsi="Bookman Old Style" w:cs="Arial"/>
          <w:lang w:val="fi-FI"/>
        </w:rPr>
        <w:t>2019.</w:t>
      </w:r>
    </w:p>
    <w:p w14:paraId="3CD0F917" w14:textId="110812E9" w:rsidR="003B7FE4" w:rsidRPr="003E2A3A" w:rsidRDefault="003B7FE4" w:rsidP="00BD16EB">
      <w:pPr>
        <w:spacing w:before="60" w:line="276" w:lineRule="auto"/>
        <w:ind w:left="2268"/>
        <w:jc w:val="both"/>
        <w:rPr>
          <w:rFonts w:ascii="Bookman Old Style" w:hAnsi="Bookman Old Style" w:cs="Arial"/>
          <w:lang w:val="fi-FI"/>
        </w:rPr>
      </w:pPr>
      <w:r w:rsidRPr="003E2A3A">
        <w:rPr>
          <w:rFonts w:ascii="Bookman Old Style" w:hAnsi="Bookman Old Style" w:cs="Arial"/>
          <w:lang w:val="fi-FI"/>
        </w:rPr>
        <w:t>Selanjutnya,</w:t>
      </w:r>
      <w:r w:rsidR="00A954D0">
        <w:rPr>
          <w:rFonts w:ascii="Bookman Old Style" w:hAnsi="Bookman Old Style" w:cs="Arial"/>
          <w:lang w:val="fi-FI"/>
        </w:rPr>
        <w:t xml:space="preserve"> </w:t>
      </w:r>
      <w:r w:rsidRPr="003E2A3A">
        <w:rPr>
          <w:rFonts w:ascii="Bookman Old Style" w:hAnsi="Bookman Old Style" w:cs="Arial"/>
          <w:lang w:val="fi-FI"/>
        </w:rPr>
        <w:t>penganggaran</w:t>
      </w:r>
      <w:r w:rsidR="00A954D0">
        <w:rPr>
          <w:rFonts w:ascii="Bookman Old Style" w:hAnsi="Bookman Old Style" w:cs="Arial"/>
          <w:lang w:val="fi-FI"/>
        </w:rPr>
        <w:t xml:space="preserve"> </w:t>
      </w:r>
      <w:r w:rsidRPr="003E2A3A">
        <w:rPr>
          <w:rFonts w:ascii="Bookman Old Style" w:hAnsi="Bookman Old Style" w:cs="Arial"/>
          <w:lang w:val="fi-FI"/>
        </w:rPr>
        <w:t>pemeliharaan</w:t>
      </w:r>
      <w:r w:rsidR="00A954D0">
        <w:rPr>
          <w:rFonts w:ascii="Bookman Old Style" w:hAnsi="Bookman Old Style" w:cs="Arial"/>
          <w:lang w:val="fi-FI"/>
        </w:rPr>
        <w:t xml:space="preserve"> </w:t>
      </w:r>
      <w:r w:rsidRPr="003E2A3A">
        <w:rPr>
          <w:rFonts w:ascii="Bookman Old Style" w:hAnsi="Bookman Old Style" w:cs="Arial"/>
          <w:lang w:val="fi-FI"/>
        </w:rPr>
        <w:t>BMD</w:t>
      </w:r>
      <w:r w:rsidR="00A954D0">
        <w:rPr>
          <w:rFonts w:ascii="Bookman Old Style" w:hAnsi="Bookman Old Style" w:cs="Arial"/>
          <w:lang w:val="fi-FI"/>
        </w:rPr>
        <w:t xml:space="preserve"> </w:t>
      </w:r>
      <w:r w:rsidRPr="003E2A3A">
        <w:rPr>
          <w:rFonts w:ascii="Bookman Old Style" w:hAnsi="Bookman Old Style" w:cs="Arial"/>
          <w:lang w:val="fi-FI"/>
        </w:rPr>
        <w:t>yang</w:t>
      </w:r>
      <w:r w:rsidR="00A954D0">
        <w:rPr>
          <w:rFonts w:ascii="Bookman Old Style" w:hAnsi="Bookman Old Style" w:cs="Arial"/>
          <w:lang w:val="fi-FI"/>
        </w:rPr>
        <w:t xml:space="preserve"> </w:t>
      </w:r>
      <w:r w:rsidRPr="003E2A3A">
        <w:rPr>
          <w:rFonts w:ascii="Bookman Old Style" w:hAnsi="Bookman Old Style" w:cs="Arial"/>
          <w:lang w:val="fi-FI"/>
        </w:rPr>
        <w:t>berada</w:t>
      </w:r>
      <w:r w:rsidR="00A954D0">
        <w:rPr>
          <w:rFonts w:ascii="Bookman Old Style" w:hAnsi="Bookman Old Style" w:cs="Arial"/>
          <w:lang w:val="fi-FI"/>
        </w:rPr>
        <w:t xml:space="preserve"> </w:t>
      </w:r>
      <w:r w:rsidRPr="003E2A3A">
        <w:rPr>
          <w:rFonts w:ascii="Bookman Old Style" w:hAnsi="Bookman Old Style" w:cs="Arial"/>
          <w:lang w:val="fi-FI"/>
        </w:rPr>
        <w:t>dalam</w:t>
      </w:r>
      <w:r w:rsidR="00A954D0">
        <w:rPr>
          <w:rFonts w:ascii="Bookman Old Style" w:hAnsi="Bookman Old Style" w:cs="Arial"/>
          <w:lang w:val="fi-FI"/>
        </w:rPr>
        <w:t xml:space="preserve"> </w:t>
      </w:r>
      <w:r w:rsidRPr="003E2A3A">
        <w:rPr>
          <w:rFonts w:ascii="Bookman Old Style" w:hAnsi="Bookman Old Style" w:cs="Arial"/>
          <w:lang w:val="fi-FI"/>
        </w:rPr>
        <w:t>penguasaan</w:t>
      </w:r>
      <w:r w:rsidR="00A954D0">
        <w:rPr>
          <w:rFonts w:ascii="Bookman Old Style" w:hAnsi="Bookman Old Style" w:cs="Arial"/>
          <w:lang w:val="fi-FI"/>
        </w:rPr>
        <w:t xml:space="preserve"> </w:t>
      </w:r>
      <w:r w:rsidRPr="003E2A3A">
        <w:rPr>
          <w:rFonts w:ascii="Bookman Old Style" w:hAnsi="Bookman Old Style" w:cs="Arial"/>
          <w:lang w:val="fi-FI"/>
        </w:rPr>
        <w:t>pengelola</w:t>
      </w:r>
      <w:r w:rsidR="00A954D0">
        <w:rPr>
          <w:rFonts w:ascii="Bookman Old Style" w:hAnsi="Bookman Old Style" w:cs="Arial"/>
          <w:lang w:val="fi-FI"/>
        </w:rPr>
        <w:t xml:space="preserve"> </w:t>
      </w:r>
      <w:r w:rsidRPr="003E2A3A">
        <w:rPr>
          <w:rFonts w:ascii="Bookman Old Style" w:hAnsi="Bookman Old Style" w:cs="Arial"/>
          <w:lang w:val="fi-FI"/>
        </w:rPr>
        <w:t>barang,</w:t>
      </w:r>
      <w:r w:rsidR="00A954D0">
        <w:rPr>
          <w:rFonts w:ascii="Bookman Old Style" w:hAnsi="Bookman Old Style" w:cs="Arial"/>
          <w:lang w:val="fi-FI"/>
        </w:rPr>
        <w:t xml:space="preserve"> </w:t>
      </w:r>
      <w:r w:rsidRPr="003E2A3A">
        <w:rPr>
          <w:rFonts w:ascii="Bookman Old Style" w:hAnsi="Bookman Old Style" w:cs="Arial"/>
          <w:lang w:val="fi-FI"/>
        </w:rPr>
        <w:t>pengguna</w:t>
      </w:r>
      <w:r w:rsidR="00A954D0">
        <w:rPr>
          <w:rFonts w:ascii="Bookman Old Style" w:hAnsi="Bookman Old Style" w:cs="Arial"/>
          <w:lang w:val="fi-FI"/>
        </w:rPr>
        <w:t xml:space="preserve"> </w:t>
      </w:r>
      <w:r w:rsidRPr="003E2A3A">
        <w:rPr>
          <w:rFonts w:ascii="Bookman Old Style" w:hAnsi="Bookman Old Style" w:cs="Arial"/>
          <w:lang w:val="fi-FI"/>
        </w:rPr>
        <w:t>barang</w:t>
      </w:r>
      <w:r w:rsidR="00A954D0">
        <w:rPr>
          <w:rFonts w:ascii="Bookman Old Style" w:hAnsi="Bookman Old Style" w:cs="Arial"/>
          <w:lang w:val="fi-FI"/>
        </w:rPr>
        <w:t xml:space="preserve"> </w:t>
      </w:r>
      <w:r w:rsidRPr="003E2A3A">
        <w:rPr>
          <w:rFonts w:ascii="Bookman Old Style" w:hAnsi="Bookman Old Style" w:cs="Arial"/>
          <w:lang w:val="fi-FI"/>
        </w:rPr>
        <w:t>atau</w:t>
      </w:r>
      <w:r w:rsidR="00A954D0">
        <w:rPr>
          <w:rFonts w:ascii="Bookman Old Style" w:hAnsi="Bookman Old Style" w:cs="Arial"/>
          <w:lang w:val="fi-FI"/>
        </w:rPr>
        <w:t xml:space="preserve"> </w:t>
      </w:r>
      <w:r w:rsidRPr="003E2A3A">
        <w:rPr>
          <w:rFonts w:ascii="Bookman Old Style" w:hAnsi="Bookman Old Style" w:cs="Arial"/>
          <w:lang w:val="fi-FI"/>
        </w:rPr>
        <w:t>kuasa</w:t>
      </w:r>
      <w:r w:rsidR="00A954D0">
        <w:rPr>
          <w:rFonts w:ascii="Bookman Old Style" w:hAnsi="Bookman Old Style" w:cs="Arial"/>
          <w:lang w:val="fi-FI"/>
        </w:rPr>
        <w:t xml:space="preserve"> </w:t>
      </w:r>
      <w:r w:rsidRPr="003E2A3A">
        <w:rPr>
          <w:rFonts w:ascii="Bookman Old Style" w:hAnsi="Bookman Old Style" w:cs="Arial"/>
          <w:lang w:val="fi-FI"/>
        </w:rPr>
        <w:t>pengguna</w:t>
      </w:r>
      <w:r w:rsidR="00A954D0">
        <w:rPr>
          <w:rFonts w:ascii="Bookman Old Style" w:hAnsi="Bookman Old Style" w:cs="Arial"/>
          <w:lang w:val="fi-FI"/>
        </w:rPr>
        <w:t xml:space="preserve"> </w:t>
      </w:r>
      <w:r w:rsidRPr="003E2A3A">
        <w:rPr>
          <w:rFonts w:ascii="Bookman Old Style" w:hAnsi="Bookman Old Style" w:cs="Arial"/>
          <w:lang w:val="fi-FI"/>
        </w:rPr>
        <w:t>barang</w:t>
      </w:r>
      <w:r w:rsidR="00A954D0">
        <w:rPr>
          <w:rFonts w:ascii="Bookman Old Style" w:hAnsi="Bookman Old Style" w:cs="Arial"/>
          <w:lang w:val="fi-FI"/>
        </w:rPr>
        <w:t xml:space="preserve"> </w:t>
      </w:r>
      <w:r w:rsidRPr="003E2A3A">
        <w:rPr>
          <w:rFonts w:ascii="Bookman Old Style" w:hAnsi="Bookman Old Style" w:cs="Arial"/>
          <w:lang w:val="fi-FI"/>
        </w:rPr>
        <w:t>berpedoman</w:t>
      </w:r>
      <w:r w:rsidR="00A954D0">
        <w:rPr>
          <w:rFonts w:ascii="Bookman Old Style" w:hAnsi="Bookman Old Style" w:cs="Arial"/>
          <w:lang w:val="fi-FI"/>
        </w:rPr>
        <w:t xml:space="preserve"> </w:t>
      </w:r>
      <w:r w:rsidRPr="003E2A3A">
        <w:rPr>
          <w:rFonts w:ascii="Bookman Old Style" w:hAnsi="Bookman Old Style" w:cs="Arial"/>
          <w:lang w:val="fi-FI"/>
        </w:rPr>
        <w:t>pada:</w:t>
      </w:r>
    </w:p>
    <w:p w14:paraId="37F0BCC6" w14:textId="556D77B8" w:rsidR="003B7FE4" w:rsidRPr="003E2A3A" w:rsidRDefault="003B7FE4" w:rsidP="00BD16EB">
      <w:pPr>
        <w:pStyle w:val="ListParagraph"/>
        <w:numPr>
          <w:ilvl w:val="0"/>
          <w:numId w:val="78"/>
        </w:numPr>
        <w:spacing w:before="60" w:after="0" w:line="276" w:lineRule="auto"/>
        <w:ind w:left="2694" w:hanging="435"/>
        <w:contextualSpacing w:val="0"/>
        <w:jc w:val="both"/>
        <w:rPr>
          <w:rFonts w:ascii="Bookman Old Style" w:hAnsi="Bookman Old Style" w:cs="Arial"/>
          <w:sz w:val="24"/>
          <w:szCs w:val="24"/>
          <w:lang w:val="fi-FI"/>
        </w:rPr>
      </w:pPr>
      <w:r w:rsidRPr="003E2A3A">
        <w:rPr>
          <w:rFonts w:ascii="Bookman Old Style" w:hAnsi="Bookman Old Style"/>
          <w:sz w:val="24"/>
          <w:szCs w:val="24"/>
        </w:rPr>
        <w:t>daftar</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kebutuhan</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pemeliharaan</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BMD</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sebagaimana</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maksud</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Pasal</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46</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ayat</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(1)</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dan</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ayat</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(2)</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Peraturan</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Pemerintah</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Nomor</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27</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Tahun</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2014</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sebagaimana</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telah</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diubah</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dengan</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Peraturan</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Pemerintah</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Nomor</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28</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Tahun</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2020</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dan</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Peraturan</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Menteri</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Dalam</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Negeri</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Nomor</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19</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Tahun</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2016</w:t>
      </w:r>
      <w:r w:rsidR="00A954D0">
        <w:rPr>
          <w:rFonts w:ascii="Bookman Old Style" w:hAnsi="Bookman Old Style" w:cs="Arial"/>
          <w:sz w:val="24"/>
          <w:szCs w:val="24"/>
          <w:lang w:val="fi-FI"/>
        </w:rPr>
        <w:t xml:space="preserve"> </w:t>
      </w:r>
      <w:r w:rsidR="007D1E06" w:rsidRPr="003255BC">
        <w:rPr>
          <w:rFonts w:ascii="Bookman Old Style" w:hAnsi="Bookman Old Style" w:cs="Arial"/>
          <w:sz w:val="24"/>
          <w:szCs w:val="24"/>
          <w:lang w:val="fi-FI"/>
        </w:rPr>
        <w:t>sebagaimana</w:t>
      </w:r>
      <w:r w:rsidR="00A954D0" w:rsidRPr="003255BC">
        <w:rPr>
          <w:rFonts w:ascii="Bookman Old Style" w:hAnsi="Bookman Old Style" w:cs="Arial"/>
          <w:sz w:val="24"/>
          <w:szCs w:val="24"/>
          <w:lang w:val="fi-FI"/>
        </w:rPr>
        <w:t xml:space="preserve"> </w:t>
      </w:r>
      <w:r w:rsidR="007D1E06" w:rsidRPr="003255BC">
        <w:rPr>
          <w:rFonts w:ascii="Bookman Old Style" w:hAnsi="Bookman Old Style" w:cs="Arial"/>
          <w:sz w:val="24"/>
          <w:szCs w:val="24"/>
          <w:lang w:val="fi-FI"/>
        </w:rPr>
        <w:t>telah</w:t>
      </w:r>
      <w:r w:rsidR="00A954D0" w:rsidRPr="003255BC">
        <w:rPr>
          <w:rFonts w:ascii="Bookman Old Style" w:hAnsi="Bookman Old Style" w:cs="Arial"/>
          <w:sz w:val="24"/>
          <w:szCs w:val="24"/>
          <w:lang w:val="fi-FI"/>
        </w:rPr>
        <w:t xml:space="preserve"> </w:t>
      </w:r>
      <w:r w:rsidR="007D1E06" w:rsidRPr="003255BC">
        <w:rPr>
          <w:rFonts w:ascii="Bookman Old Style" w:hAnsi="Bookman Old Style" w:cs="Arial"/>
          <w:sz w:val="24"/>
          <w:szCs w:val="24"/>
          <w:lang w:val="fi-FI"/>
        </w:rPr>
        <w:t>diubah</w:t>
      </w:r>
      <w:r w:rsidR="00A954D0" w:rsidRPr="003255BC">
        <w:rPr>
          <w:rFonts w:ascii="Bookman Old Style" w:hAnsi="Bookman Old Style" w:cs="Arial"/>
          <w:sz w:val="24"/>
          <w:szCs w:val="24"/>
          <w:lang w:val="fi-FI"/>
        </w:rPr>
        <w:t xml:space="preserve"> </w:t>
      </w:r>
      <w:r w:rsidR="007D1E06" w:rsidRPr="003255BC">
        <w:rPr>
          <w:rFonts w:ascii="Bookman Old Style" w:hAnsi="Bookman Old Style" w:cs="Arial"/>
          <w:sz w:val="24"/>
          <w:szCs w:val="24"/>
          <w:lang w:val="fi-FI"/>
        </w:rPr>
        <w:t>dengan</w:t>
      </w:r>
      <w:r w:rsidR="00A954D0" w:rsidRPr="003255BC">
        <w:rPr>
          <w:rFonts w:ascii="Bookman Old Style" w:hAnsi="Bookman Old Style" w:cs="Arial"/>
          <w:sz w:val="24"/>
          <w:szCs w:val="24"/>
          <w:lang w:val="fi-FI"/>
        </w:rPr>
        <w:t xml:space="preserve"> </w:t>
      </w:r>
      <w:r w:rsidR="007D1E06" w:rsidRPr="003255BC">
        <w:rPr>
          <w:rFonts w:ascii="Bookman Old Style" w:hAnsi="Bookman Old Style" w:cs="Arial"/>
          <w:sz w:val="24"/>
          <w:szCs w:val="24"/>
          <w:lang w:val="fi-FI"/>
        </w:rPr>
        <w:t>Peraturan</w:t>
      </w:r>
      <w:r w:rsidR="00A954D0" w:rsidRPr="003255BC">
        <w:rPr>
          <w:rFonts w:ascii="Bookman Old Style" w:hAnsi="Bookman Old Style" w:cs="Arial"/>
          <w:sz w:val="24"/>
          <w:szCs w:val="24"/>
          <w:lang w:val="fi-FI"/>
        </w:rPr>
        <w:t xml:space="preserve"> </w:t>
      </w:r>
      <w:r w:rsidR="007D1E06" w:rsidRPr="003255BC">
        <w:rPr>
          <w:rFonts w:ascii="Bookman Old Style" w:hAnsi="Bookman Old Style" w:cs="Arial"/>
          <w:sz w:val="24"/>
          <w:szCs w:val="24"/>
          <w:lang w:val="fi-FI"/>
        </w:rPr>
        <w:t>Menteri</w:t>
      </w:r>
      <w:r w:rsidR="00A954D0" w:rsidRPr="003255BC">
        <w:rPr>
          <w:rFonts w:ascii="Bookman Old Style" w:hAnsi="Bookman Old Style" w:cs="Arial"/>
          <w:sz w:val="24"/>
          <w:szCs w:val="24"/>
          <w:lang w:val="fi-FI"/>
        </w:rPr>
        <w:t xml:space="preserve"> </w:t>
      </w:r>
      <w:r w:rsidR="007D1E06" w:rsidRPr="003255BC">
        <w:rPr>
          <w:rFonts w:ascii="Bookman Old Style" w:hAnsi="Bookman Old Style" w:cs="Arial"/>
          <w:sz w:val="24"/>
          <w:szCs w:val="24"/>
          <w:lang w:val="fi-FI"/>
        </w:rPr>
        <w:t>Dalam</w:t>
      </w:r>
      <w:r w:rsidR="00A954D0" w:rsidRPr="003255BC">
        <w:rPr>
          <w:rFonts w:ascii="Bookman Old Style" w:hAnsi="Bookman Old Style" w:cs="Arial"/>
          <w:sz w:val="24"/>
          <w:szCs w:val="24"/>
          <w:lang w:val="fi-FI"/>
        </w:rPr>
        <w:t xml:space="preserve"> </w:t>
      </w:r>
      <w:r w:rsidR="007D1E06" w:rsidRPr="003255BC">
        <w:rPr>
          <w:rFonts w:ascii="Bookman Old Style" w:hAnsi="Bookman Old Style" w:cs="Arial"/>
          <w:sz w:val="24"/>
          <w:szCs w:val="24"/>
          <w:lang w:val="fi-FI"/>
        </w:rPr>
        <w:t>Negeri</w:t>
      </w:r>
      <w:r w:rsidR="00A954D0" w:rsidRPr="003255BC">
        <w:rPr>
          <w:rFonts w:ascii="Bookman Old Style" w:hAnsi="Bookman Old Style" w:cs="Arial"/>
          <w:sz w:val="24"/>
          <w:szCs w:val="24"/>
          <w:lang w:val="fi-FI"/>
        </w:rPr>
        <w:t xml:space="preserve"> </w:t>
      </w:r>
      <w:r w:rsidR="007D1E06" w:rsidRPr="003255BC">
        <w:rPr>
          <w:rFonts w:ascii="Bookman Old Style" w:hAnsi="Bookman Old Style" w:cs="Arial"/>
          <w:sz w:val="24"/>
          <w:szCs w:val="24"/>
          <w:lang w:val="fi-FI"/>
        </w:rPr>
        <w:t>Nomor</w:t>
      </w:r>
      <w:r w:rsidR="00A954D0" w:rsidRPr="003255BC">
        <w:rPr>
          <w:rFonts w:ascii="Bookman Old Style" w:hAnsi="Bookman Old Style" w:cs="Arial"/>
          <w:sz w:val="24"/>
          <w:szCs w:val="24"/>
          <w:lang w:val="fi-FI"/>
        </w:rPr>
        <w:t xml:space="preserve"> </w:t>
      </w:r>
      <w:r w:rsidR="007D1E06" w:rsidRPr="003255BC">
        <w:rPr>
          <w:rFonts w:ascii="Bookman Old Style" w:hAnsi="Bookman Old Style" w:cs="Arial"/>
          <w:sz w:val="24"/>
          <w:szCs w:val="24"/>
          <w:lang w:val="fi-FI"/>
        </w:rPr>
        <w:t>7</w:t>
      </w:r>
      <w:r w:rsidR="00A954D0" w:rsidRPr="003255BC">
        <w:rPr>
          <w:rFonts w:ascii="Bookman Old Style" w:hAnsi="Bookman Old Style" w:cs="Arial"/>
          <w:sz w:val="24"/>
          <w:szCs w:val="24"/>
          <w:lang w:val="fi-FI"/>
        </w:rPr>
        <w:t xml:space="preserve"> </w:t>
      </w:r>
      <w:r w:rsidR="007D1E06" w:rsidRPr="003255BC">
        <w:rPr>
          <w:rFonts w:ascii="Bookman Old Style" w:hAnsi="Bookman Old Style" w:cs="Arial"/>
          <w:sz w:val="24"/>
          <w:szCs w:val="24"/>
          <w:lang w:val="fi-FI"/>
        </w:rPr>
        <w:t>Tahun</w:t>
      </w:r>
      <w:r w:rsidR="00A954D0" w:rsidRPr="003255BC">
        <w:rPr>
          <w:rFonts w:ascii="Bookman Old Style" w:hAnsi="Bookman Old Style" w:cs="Arial"/>
          <w:sz w:val="24"/>
          <w:szCs w:val="24"/>
          <w:lang w:val="fi-FI"/>
        </w:rPr>
        <w:t xml:space="preserve"> </w:t>
      </w:r>
      <w:r w:rsidR="007D1E06" w:rsidRPr="003255BC">
        <w:rPr>
          <w:rFonts w:ascii="Bookman Old Style" w:hAnsi="Bookman Old Style" w:cs="Arial"/>
          <w:sz w:val="24"/>
          <w:szCs w:val="24"/>
          <w:lang w:val="fi-FI"/>
        </w:rPr>
        <w:t>2024</w:t>
      </w:r>
      <w:r w:rsidRPr="003E2A3A">
        <w:rPr>
          <w:rFonts w:ascii="Bookman Old Style" w:hAnsi="Bookman Old Style" w:cs="Arial"/>
          <w:sz w:val="24"/>
          <w:szCs w:val="24"/>
          <w:lang w:val="fi-FI"/>
        </w:rPr>
        <w:t>;</w:t>
      </w:r>
    </w:p>
    <w:p w14:paraId="2986D478" w14:textId="5B3800C7" w:rsidR="003B7FE4" w:rsidRPr="003E2A3A" w:rsidRDefault="003B7FE4" w:rsidP="00BD16EB">
      <w:pPr>
        <w:pStyle w:val="ListParagraph"/>
        <w:numPr>
          <w:ilvl w:val="0"/>
          <w:numId w:val="78"/>
        </w:numPr>
        <w:spacing w:before="60" w:after="0" w:line="276" w:lineRule="auto"/>
        <w:ind w:left="2694" w:hanging="435"/>
        <w:contextualSpacing w:val="0"/>
        <w:jc w:val="both"/>
        <w:rPr>
          <w:rFonts w:ascii="Bookman Old Style" w:hAnsi="Bookman Old Style" w:cs="Arial"/>
          <w:sz w:val="24"/>
          <w:szCs w:val="24"/>
          <w:lang w:val="fi-FI"/>
        </w:rPr>
      </w:pPr>
      <w:r w:rsidRPr="003E2A3A">
        <w:rPr>
          <w:rFonts w:ascii="Bookman Old Style" w:hAnsi="Bookman Old Style" w:cs="Arial"/>
          <w:sz w:val="24"/>
          <w:szCs w:val="24"/>
          <w:lang w:val="fi-FI"/>
        </w:rPr>
        <w:lastRenderedPageBreak/>
        <w:t>standar</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kebutuhan</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dan/atau</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standar</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harga</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pemeliharaan</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untuk</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satuan</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biaya</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pemeliharaan</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gedung</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atau</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bangunan</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dalam</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negeri,</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kendaraan</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dinas</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dan</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sarana</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kantor</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ditetapkan</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dengan</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peraturan</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kepala</w:t>
      </w:r>
      <w:r w:rsidR="00A954D0">
        <w:rPr>
          <w:rFonts w:ascii="Bookman Old Style" w:hAnsi="Bookman Old Style" w:cs="Arial"/>
          <w:sz w:val="24"/>
          <w:szCs w:val="24"/>
          <w:lang w:val="fi-FI"/>
        </w:rPr>
        <w:t xml:space="preserve"> </w:t>
      </w:r>
      <w:r w:rsidRPr="003E2A3A">
        <w:rPr>
          <w:rFonts w:ascii="Bookman Old Style" w:hAnsi="Bookman Old Style" w:cs="Arial"/>
          <w:sz w:val="24"/>
          <w:szCs w:val="24"/>
          <w:lang w:val="fi-FI"/>
        </w:rPr>
        <w:t>daerah</w:t>
      </w:r>
      <w:r w:rsidR="00C95C10">
        <w:rPr>
          <w:rFonts w:ascii="Bookman Old Style" w:hAnsi="Bookman Old Style" w:cs="Arial"/>
          <w:sz w:val="24"/>
          <w:szCs w:val="24"/>
          <w:lang w:val="fi-FI"/>
        </w:rPr>
        <w:t>.</w:t>
      </w:r>
    </w:p>
    <w:p w14:paraId="3491BF95" w14:textId="5C68DC0A" w:rsidR="003B7FE4" w:rsidRPr="001E0127" w:rsidRDefault="00C95C10" w:rsidP="00A03908">
      <w:pPr>
        <w:spacing w:before="60" w:line="276" w:lineRule="auto"/>
        <w:ind w:left="2268"/>
        <w:jc w:val="both"/>
        <w:rPr>
          <w:rFonts w:ascii="Bookman Old Style" w:hAnsi="Bookman Old Style" w:cs="Arial"/>
          <w:lang w:val="it-IT"/>
        </w:rPr>
      </w:pPr>
      <w:r>
        <w:rPr>
          <w:rFonts w:ascii="Bookman Old Style" w:hAnsi="Bookman Old Style" w:cs="Arial"/>
          <w:lang w:val="it-IT"/>
        </w:rPr>
        <w:t>S</w:t>
      </w:r>
      <w:r w:rsidR="003B7FE4" w:rsidRPr="003E2A3A">
        <w:rPr>
          <w:rFonts w:ascii="Bookman Old Style" w:hAnsi="Bookman Old Style" w:cs="Arial"/>
          <w:lang w:val="it-IT"/>
        </w:rPr>
        <w:t>ebagaimana</w:t>
      </w:r>
      <w:r w:rsidR="00A954D0">
        <w:rPr>
          <w:rFonts w:ascii="Bookman Old Style" w:hAnsi="Bookman Old Style" w:cs="Arial"/>
          <w:lang w:val="it-IT"/>
        </w:rPr>
        <w:t xml:space="preserve"> </w:t>
      </w:r>
      <w:r w:rsidR="003B7FE4" w:rsidRPr="003E2A3A">
        <w:rPr>
          <w:rFonts w:ascii="Bookman Old Style" w:hAnsi="Bookman Old Style" w:cs="Arial"/>
          <w:lang w:val="it-IT"/>
        </w:rPr>
        <w:t>maksud</w:t>
      </w:r>
      <w:r w:rsidR="00A954D0">
        <w:rPr>
          <w:rFonts w:ascii="Bookman Old Style" w:hAnsi="Bookman Old Style" w:cs="Arial"/>
          <w:lang w:val="it-IT"/>
        </w:rPr>
        <w:t xml:space="preserve"> </w:t>
      </w:r>
      <w:r w:rsidR="003B7FE4" w:rsidRPr="003E2A3A">
        <w:rPr>
          <w:rFonts w:ascii="Bookman Old Style" w:hAnsi="Bookman Old Style" w:cs="Arial"/>
          <w:lang w:val="it-IT"/>
        </w:rPr>
        <w:t>butir</w:t>
      </w:r>
      <w:r w:rsidR="00A954D0">
        <w:rPr>
          <w:rFonts w:ascii="Bookman Old Style" w:hAnsi="Bookman Old Style" w:cs="Arial"/>
          <w:lang w:val="it-IT"/>
        </w:rPr>
        <w:t xml:space="preserve"> </w:t>
      </w:r>
      <w:r w:rsidR="003B7FE4" w:rsidRPr="003E2A3A">
        <w:rPr>
          <w:rFonts w:ascii="Bookman Old Style" w:hAnsi="Bookman Old Style" w:cs="Arial"/>
          <w:lang w:val="it-IT"/>
        </w:rPr>
        <w:t>3.4.1.2.3.c</w:t>
      </w:r>
      <w:r w:rsidR="00A954D0">
        <w:rPr>
          <w:rFonts w:ascii="Bookman Old Style" w:hAnsi="Bookman Old Style" w:cs="Arial"/>
          <w:lang w:val="it-IT"/>
        </w:rPr>
        <w:t xml:space="preserve"> </w:t>
      </w:r>
      <w:r w:rsidR="003B7FE4" w:rsidRPr="003E2A3A">
        <w:rPr>
          <w:rFonts w:ascii="Bookman Old Style" w:hAnsi="Bookman Old Style" w:cs="Arial"/>
          <w:lang w:val="it-IT"/>
        </w:rPr>
        <w:t>Lampiran</w:t>
      </w:r>
      <w:r w:rsidR="00A954D0">
        <w:rPr>
          <w:rFonts w:ascii="Bookman Old Style" w:hAnsi="Bookman Old Style" w:cs="Arial"/>
          <w:lang w:val="it-IT"/>
        </w:rPr>
        <w:t xml:space="preserve"> </w:t>
      </w:r>
      <w:r w:rsidR="003B7FE4" w:rsidRPr="003E2A3A">
        <w:rPr>
          <w:rFonts w:ascii="Bookman Old Style" w:hAnsi="Bookman Old Style" w:cs="Arial"/>
          <w:lang w:val="it-IT"/>
        </w:rPr>
        <w:t>Peraturan</w:t>
      </w:r>
      <w:r w:rsidR="00A954D0">
        <w:rPr>
          <w:rFonts w:ascii="Bookman Old Style" w:hAnsi="Bookman Old Style" w:cs="Arial"/>
          <w:lang w:val="it-IT"/>
        </w:rPr>
        <w:t xml:space="preserve"> </w:t>
      </w:r>
      <w:r w:rsidR="003B7FE4" w:rsidRPr="003E2A3A">
        <w:rPr>
          <w:rFonts w:ascii="Bookman Old Style" w:hAnsi="Bookman Old Style" w:cs="Arial"/>
          <w:lang w:val="it-IT"/>
        </w:rPr>
        <w:t>Menteri</w:t>
      </w:r>
      <w:r w:rsidR="00A954D0">
        <w:rPr>
          <w:rFonts w:ascii="Bookman Old Style" w:hAnsi="Bookman Old Style" w:cs="Arial"/>
          <w:lang w:val="it-IT"/>
        </w:rPr>
        <w:t xml:space="preserve"> </w:t>
      </w:r>
      <w:r w:rsidR="003B7FE4" w:rsidRPr="003E2A3A">
        <w:rPr>
          <w:rFonts w:ascii="Bookman Old Style" w:hAnsi="Bookman Old Style" w:cs="Arial"/>
          <w:lang w:val="it-IT"/>
        </w:rPr>
        <w:t>Dalam</w:t>
      </w:r>
      <w:r w:rsidR="00A954D0">
        <w:rPr>
          <w:rFonts w:ascii="Bookman Old Style" w:hAnsi="Bookman Old Style" w:cs="Arial"/>
          <w:lang w:val="it-IT"/>
        </w:rPr>
        <w:t xml:space="preserve"> </w:t>
      </w:r>
      <w:r w:rsidR="003B7FE4" w:rsidRPr="003E2A3A">
        <w:rPr>
          <w:rFonts w:ascii="Bookman Old Style" w:hAnsi="Bookman Old Style" w:cs="Arial"/>
          <w:lang w:val="it-IT"/>
        </w:rPr>
        <w:t>Negeri</w:t>
      </w:r>
      <w:r w:rsidR="00A954D0">
        <w:rPr>
          <w:rFonts w:ascii="Bookman Old Style" w:hAnsi="Bookman Old Style" w:cs="Arial"/>
          <w:lang w:val="it-IT"/>
        </w:rPr>
        <w:t xml:space="preserve"> </w:t>
      </w:r>
      <w:r w:rsidR="003B7FE4" w:rsidRPr="003E2A3A">
        <w:rPr>
          <w:rFonts w:ascii="Bookman Old Style" w:hAnsi="Bookman Old Style" w:cs="Arial"/>
          <w:lang w:val="it-IT"/>
        </w:rPr>
        <w:t>Nomor</w:t>
      </w:r>
      <w:r w:rsidR="00A954D0">
        <w:rPr>
          <w:rFonts w:ascii="Bookman Old Style" w:hAnsi="Bookman Old Style" w:cs="Arial"/>
          <w:lang w:val="it-IT"/>
        </w:rPr>
        <w:t xml:space="preserve"> </w:t>
      </w:r>
      <w:r w:rsidR="003B7FE4" w:rsidRPr="003E2A3A">
        <w:rPr>
          <w:rFonts w:ascii="Bookman Old Style" w:hAnsi="Bookman Old Style" w:cs="Arial"/>
          <w:lang w:val="it-IT"/>
        </w:rPr>
        <w:t>15</w:t>
      </w:r>
      <w:r w:rsidR="00A954D0">
        <w:rPr>
          <w:rFonts w:ascii="Bookman Old Style" w:hAnsi="Bookman Old Style" w:cs="Arial"/>
          <w:lang w:val="it-IT"/>
        </w:rPr>
        <w:t xml:space="preserve"> </w:t>
      </w:r>
      <w:r w:rsidR="003B7FE4" w:rsidRPr="003E2A3A">
        <w:rPr>
          <w:rFonts w:ascii="Bookman Old Style" w:hAnsi="Bookman Old Style" w:cs="Arial"/>
          <w:lang w:val="it-IT"/>
        </w:rPr>
        <w:t>Tahun</w:t>
      </w:r>
      <w:r w:rsidR="00A954D0">
        <w:rPr>
          <w:rFonts w:ascii="Bookman Old Style" w:hAnsi="Bookman Old Style" w:cs="Arial"/>
          <w:lang w:val="it-IT"/>
        </w:rPr>
        <w:t xml:space="preserve"> </w:t>
      </w:r>
      <w:r w:rsidR="003B7FE4" w:rsidRPr="003E2A3A">
        <w:rPr>
          <w:rFonts w:ascii="Bookman Old Style" w:hAnsi="Bookman Old Style" w:cs="Arial"/>
          <w:lang w:val="it-IT"/>
        </w:rPr>
        <w:t>2024</w:t>
      </w:r>
      <w:r w:rsidR="003B7FE4" w:rsidRPr="001E0127">
        <w:rPr>
          <w:rFonts w:ascii="Bookman Old Style" w:hAnsi="Bookman Old Style" w:cs="Arial"/>
          <w:lang w:val="it-IT"/>
        </w:rPr>
        <w:t>.</w:t>
      </w:r>
    </w:p>
    <w:p w14:paraId="566F959D" w14:textId="3A1DF516" w:rsidR="003B7FE4" w:rsidRPr="001E0127" w:rsidRDefault="003B7FE4" w:rsidP="00C95C10">
      <w:pPr>
        <w:pStyle w:val="ListParagraph"/>
        <w:numPr>
          <w:ilvl w:val="0"/>
          <w:numId w:val="26"/>
        </w:numPr>
        <w:spacing w:before="60" w:after="0" w:line="276" w:lineRule="auto"/>
        <w:ind w:left="2268" w:hanging="567"/>
        <w:contextualSpacing w:val="0"/>
        <w:jc w:val="both"/>
        <w:rPr>
          <w:rFonts w:ascii="Bookman Old Style" w:hAnsi="Bookman Old Style"/>
          <w:sz w:val="24"/>
          <w:szCs w:val="24"/>
        </w:rPr>
      </w:pPr>
      <w:r w:rsidRPr="001E0127">
        <w:rPr>
          <w:rFonts w:ascii="Bookman Old Style" w:hAnsi="Bookman Old Style"/>
          <w:sz w:val="24"/>
          <w:szCs w:val="24"/>
          <w:lang w:val="it-IT"/>
        </w:rPr>
        <w:t>Belanja</w:t>
      </w:r>
      <w:r w:rsidR="00A954D0">
        <w:rPr>
          <w:rFonts w:ascii="Bookman Old Style" w:hAnsi="Bookman Old Style"/>
          <w:sz w:val="24"/>
          <w:szCs w:val="24"/>
        </w:rPr>
        <w:t xml:space="preserve"> </w:t>
      </w:r>
      <w:r w:rsidRPr="001E0127">
        <w:rPr>
          <w:rFonts w:ascii="Bookman Old Style" w:hAnsi="Bookman Old Style"/>
          <w:sz w:val="24"/>
          <w:szCs w:val="24"/>
        </w:rPr>
        <w:t>Perjalanan</w:t>
      </w:r>
      <w:r w:rsidR="00A954D0">
        <w:rPr>
          <w:rFonts w:ascii="Bookman Old Style" w:hAnsi="Bookman Old Style"/>
          <w:sz w:val="24"/>
          <w:szCs w:val="24"/>
        </w:rPr>
        <w:t xml:space="preserve"> </w:t>
      </w:r>
      <w:r w:rsidRPr="001E0127">
        <w:rPr>
          <w:rFonts w:ascii="Bookman Old Style" w:hAnsi="Bookman Old Style"/>
          <w:sz w:val="24"/>
          <w:szCs w:val="24"/>
        </w:rPr>
        <w:t>Dinas</w:t>
      </w:r>
      <w:r w:rsidR="00A954D0">
        <w:rPr>
          <w:rFonts w:ascii="Bookman Old Style" w:hAnsi="Bookman Old Style"/>
          <w:sz w:val="24"/>
          <w:szCs w:val="24"/>
        </w:rPr>
        <w:t xml:space="preserve"> </w:t>
      </w:r>
      <w:r w:rsidR="0030348B" w:rsidRPr="001E0127">
        <w:rPr>
          <w:rFonts w:ascii="Bookman Old Style" w:hAnsi="Bookman Old Style"/>
          <w:sz w:val="24"/>
          <w:szCs w:val="24"/>
        </w:rPr>
        <w:t>Rp144.961.110.400,00</w:t>
      </w:r>
      <w:r w:rsidR="00A954D0">
        <w:rPr>
          <w:rFonts w:ascii="Bookman Old Style" w:hAnsi="Bookman Old Style"/>
          <w:sz w:val="24"/>
          <w:szCs w:val="24"/>
        </w:rPr>
        <w:t xml:space="preserve"> </w:t>
      </w:r>
      <w:r w:rsidR="0030348B" w:rsidRPr="001E0127">
        <w:rPr>
          <w:rFonts w:ascii="Bookman Old Style" w:hAnsi="Bookman Old Style"/>
          <w:sz w:val="24"/>
          <w:szCs w:val="24"/>
        </w:rPr>
        <w:t>atau</w:t>
      </w:r>
      <w:r w:rsidR="00A954D0">
        <w:rPr>
          <w:rFonts w:ascii="Bookman Old Style" w:hAnsi="Bookman Old Style"/>
          <w:sz w:val="24"/>
          <w:szCs w:val="24"/>
        </w:rPr>
        <w:t xml:space="preserve"> </w:t>
      </w:r>
      <w:r w:rsidR="0030348B" w:rsidRPr="001E0127">
        <w:rPr>
          <w:rFonts w:ascii="Bookman Old Style" w:hAnsi="Bookman Old Style"/>
          <w:sz w:val="24"/>
          <w:szCs w:val="24"/>
        </w:rPr>
        <w:t>2,54%</w:t>
      </w:r>
      <w:r w:rsidR="00A954D0">
        <w:rPr>
          <w:rFonts w:ascii="Bookman Old Style" w:hAnsi="Bookman Old Style"/>
          <w:sz w:val="24"/>
          <w:szCs w:val="24"/>
        </w:rPr>
        <w:t xml:space="preserve"> </w:t>
      </w:r>
      <w:r w:rsidRPr="001E0127">
        <w:rPr>
          <w:rFonts w:ascii="Bookman Old Style" w:hAnsi="Bookman Old Style"/>
          <w:sz w:val="24"/>
          <w:szCs w:val="24"/>
        </w:rPr>
        <w:t>dari</w:t>
      </w:r>
      <w:r w:rsidR="00A954D0">
        <w:rPr>
          <w:rFonts w:ascii="Bookman Old Style" w:hAnsi="Bookman Old Style"/>
          <w:sz w:val="24"/>
          <w:szCs w:val="24"/>
        </w:rPr>
        <w:t xml:space="preserve"> </w:t>
      </w:r>
      <w:r w:rsidRPr="001E0127">
        <w:rPr>
          <w:rFonts w:ascii="Bookman Old Style" w:hAnsi="Bookman Old Style"/>
          <w:sz w:val="24"/>
          <w:szCs w:val="24"/>
        </w:rPr>
        <w:t>total</w:t>
      </w:r>
      <w:r w:rsidR="00A954D0">
        <w:rPr>
          <w:rFonts w:ascii="Bookman Old Style" w:hAnsi="Bookman Old Style"/>
          <w:sz w:val="24"/>
          <w:szCs w:val="24"/>
        </w:rPr>
        <w:t xml:space="preserve"> </w:t>
      </w:r>
      <w:r w:rsidRPr="001E0127">
        <w:rPr>
          <w:rFonts w:ascii="Bookman Old Style" w:hAnsi="Bookman Old Style"/>
          <w:sz w:val="24"/>
          <w:szCs w:val="24"/>
        </w:rPr>
        <w:t>belanja</w:t>
      </w:r>
      <w:r w:rsidR="00A954D0">
        <w:rPr>
          <w:rFonts w:ascii="Bookman Old Style" w:hAnsi="Bookman Old Style"/>
          <w:sz w:val="24"/>
          <w:szCs w:val="24"/>
        </w:rPr>
        <w:t xml:space="preserve"> </w:t>
      </w:r>
      <w:r w:rsidRPr="001E0127">
        <w:rPr>
          <w:rFonts w:ascii="Bookman Old Style" w:hAnsi="Bookman Old Style"/>
          <w:sz w:val="24"/>
          <w:szCs w:val="24"/>
        </w:rPr>
        <w:t>daerah</w:t>
      </w:r>
      <w:r w:rsidR="00A954D0">
        <w:rPr>
          <w:rFonts w:ascii="Bookman Old Style" w:hAnsi="Bookman Old Style"/>
          <w:sz w:val="24"/>
          <w:szCs w:val="24"/>
        </w:rPr>
        <w:t xml:space="preserve"> </w:t>
      </w:r>
      <w:r w:rsidRPr="001E0127">
        <w:rPr>
          <w:rFonts w:ascii="Bookman Old Style" w:hAnsi="Bookman Old Style"/>
          <w:sz w:val="24"/>
          <w:szCs w:val="24"/>
        </w:rPr>
        <w:t>dalam</w:t>
      </w:r>
      <w:r w:rsidR="00A954D0">
        <w:rPr>
          <w:rFonts w:ascii="Bookman Old Style" w:hAnsi="Bookman Old Style"/>
          <w:sz w:val="24"/>
          <w:szCs w:val="24"/>
        </w:rPr>
        <w:t xml:space="preserve"> </w:t>
      </w:r>
      <w:r w:rsidRPr="001E0127">
        <w:rPr>
          <w:rFonts w:ascii="Bookman Old Style" w:hAnsi="Bookman Old Style"/>
          <w:sz w:val="24"/>
          <w:szCs w:val="24"/>
        </w:rPr>
        <w:t>Rancangan</w:t>
      </w:r>
      <w:r w:rsidR="00A954D0">
        <w:rPr>
          <w:rFonts w:ascii="Bookman Old Style" w:hAnsi="Bookman Old Style"/>
          <w:sz w:val="24"/>
          <w:szCs w:val="24"/>
        </w:rPr>
        <w:t xml:space="preserve"> </w:t>
      </w:r>
      <w:r w:rsidRPr="001E0127">
        <w:rPr>
          <w:rFonts w:ascii="Bookman Old Style" w:hAnsi="Bookman Old Style"/>
          <w:sz w:val="24"/>
          <w:szCs w:val="24"/>
        </w:rPr>
        <w:t>Peraturan</w:t>
      </w:r>
      <w:r w:rsidR="00A954D0">
        <w:rPr>
          <w:rFonts w:ascii="Bookman Old Style" w:hAnsi="Bookman Old Style"/>
          <w:sz w:val="24"/>
          <w:szCs w:val="24"/>
        </w:rPr>
        <w:t xml:space="preserve"> </w:t>
      </w:r>
      <w:r w:rsidRPr="001E0127">
        <w:rPr>
          <w:rFonts w:ascii="Bookman Old Style" w:hAnsi="Bookman Old Style"/>
          <w:sz w:val="24"/>
          <w:szCs w:val="24"/>
        </w:rPr>
        <w:t>Daerah</w:t>
      </w:r>
      <w:r w:rsidR="00A954D0">
        <w:rPr>
          <w:rFonts w:ascii="Bookman Old Style" w:hAnsi="Bookman Old Style"/>
          <w:sz w:val="24"/>
          <w:szCs w:val="24"/>
        </w:rPr>
        <w:t xml:space="preserve"> </w:t>
      </w:r>
      <w:r w:rsidR="00B055C5" w:rsidRPr="001E0127">
        <w:rPr>
          <w:rFonts w:ascii="Bookman Old Style" w:hAnsi="Bookman Old Style"/>
          <w:sz w:val="24"/>
          <w:szCs w:val="24"/>
        </w:rPr>
        <w:t>Kota</w:t>
      </w:r>
      <w:r w:rsidR="00A954D0">
        <w:rPr>
          <w:rFonts w:ascii="Bookman Old Style" w:hAnsi="Bookman Old Style"/>
          <w:sz w:val="24"/>
          <w:szCs w:val="24"/>
        </w:rPr>
        <w:t xml:space="preserve"> </w:t>
      </w:r>
      <w:r w:rsidR="00770F22" w:rsidRPr="001E0127">
        <w:rPr>
          <w:rFonts w:ascii="Bookman Old Style" w:hAnsi="Bookman Old Style"/>
          <w:sz w:val="24"/>
          <w:szCs w:val="24"/>
        </w:rPr>
        <w:t>Tangerang</w:t>
      </w:r>
      <w:r w:rsidR="00A954D0">
        <w:rPr>
          <w:rFonts w:ascii="Bookman Old Style" w:hAnsi="Bookman Old Style"/>
          <w:sz w:val="24"/>
          <w:szCs w:val="24"/>
        </w:rPr>
        <w:t xml:space="preserve"> </w:t>
      </w:r>
      <w:r w:rsidR="00BE6ED9" w:rsidRPr="001E0127">
        <w:rPr>
          <w:rFonts w:ascii="Bookman Old Style" w:hAnsi="Bookman Old Style"/>
          <w:sz w:val="24"/>
          <w:szCs w:val="24"/>
        </w:rPr>
        <w:t>tentang</w:t>
      </w:r>
      <w:r w:rsidR="00A954D0">
        <w:rPr>
          <w:rFonts w:ascii="Bookman Old Style" w:hAnsi="Bookman Old Style"/>
          <w:sz w:val="24"/>
          <w:szCs w:val="24"/>
        </w:rPr>
        <w:t xml:space="preserve"> </w:t>
      </w:r>
      <w:r w:rsidR="00BE6ED9" w:rsidRPr="001E0127">
        <w:rPr>
          <w:rFonts w:ascii="Bookman Old Style" w:hAnsi="Bookman Old Style"/>
          <w:sz w:val="24"/>
          <w:szCs w:val="24"/>
        </w:rPr>
        <w:t>APBD</w:t>
      </w:r>
      <w:r w:rsidR="00A954D0">
        <w:rPr>
          <w:rFonts w:ascii="Bookman Old Style" w:hAnsi="Bookman Old Style"/>
          <w:sz w:val="24"/>
          <w:szCs w:val="24"/>
        </w:rPr>
        <w:t xml:space="preserve"> </w:t>
      </w:r>
      <w:r w:rsidRPr="001E0127">
        <w:rPr>
          <w:rFonts w:ascii="Bookman Old Style" w:hAnsi="Bookman Old Style"/>
          <w:sz w:val="24"/>
          <w:szCs w:val="24"/>
        </w:rPr>
        <w:t>Tahun</w:t>
      </w:r>
      <w:r w:rsidR="00A954D0">
        <w:rPr>
          <w:rFonts w:ascii="Bookman Old Style" w:hAnsi="Bookman Old Style"/>
          <w:sz w:val="24"/>
          <w:szCs w:val="24"/>
        </w:rPr>
        <w:t xml:space="preserve"> </w:t>
      </w:r>
      <w:r w:rsidRPr="001E0127">
        <w:rPr>
          <w:rFonts w:ascii="Bookman Old Style" w:hAnsi="Bookman Old Style"/>
          <w:sz w:val="24"/>
          <w:szCs w:val="24"/>
        </w:rPr>
        <w:t>Anggaran</w:t>
      </w:r>
      <w:r w:rsidR="00A954D0">
        <w:rPr>
          <w:rFonts w:ascii="Bookman Old Style" w:hAnsi="Bookman Old Style"/>
          <w:sz w:val="24"/>
          <w:szCs w:val="24"/>
        </w:rPr>
        <w:t xml:space="preserve"> </w:t>
      </w:r>
      <w:r w:rsidRPr="001E0127">
        <w:rPr>
          <w:rFonts w:ascii="Bookman Old Style" w:hAnsi="Bookman Old Style"/>
          <w:sz w:val="24"/>
          <w:szCs w:val="24"/>
        </w:rPr>
        <w:t>2025</w:t>
      </w:r>
      <w:r w:rsidRPr="001E0127">
        <w:rPr>
          <w:rFonts w:ascii="Bookman Old Style" w:hAnsi="Bookman Old Style"/>
          <w:sz w:val="24"/>
          <w:szCs w:val="24"/>
          <w:lang w:val="it-IT"/>
        </w:rPr>
        <w:t>,</w:t>
      </w:r>
      <w:r w:rsidR="00A954D0">
        <w:rPr>
          <w:rFonts w:ascii="Bookman Old Style" w:hAnsi="Bookman Old Style"/>
          <w:sz w:val="24"/>
          <w:szCs w:val="24"/>
        </w:rPr>
        <w:t xml:space="preserve"> </w:t>
      </w:r>
      <w:r w:rsidRPr="001E0127">
        <w:rPr>
          <w:rFonts w:ascii="Bookman Old Style" w:hAnsi="Bookman Old Style"/>
          <w:sz w:val="24"/>
          <w:szCs w:val="24"/>
        </w:rPr>
        <w:t>yang</w:t>
      </w:r>
      <w:r w:rsidR="00A954D0">
        <w:rPr>
          <w:rFonts w:ascii="Bookman Old Style" w:hAnsi="Bookman Old Style"/>
          <w:sz w:val="24"/>
          <w:szCs w:val="24"/>
        </w:rPr>
        <w:t xml:space="preserve"> </w:t>
      </w:r>
      <w:r w:rsidRPr="001E0127">
        <w:rPr>
          <w:rFonts w:ascii="Bookman Old Style" w:hAnsi="Bookman Old Style"/>
          <w:sz w:val="24"/>
          <w:szCs w:val="24"/>
        </w:rPr>
        <w:t>diuraikan</w:t>
      </w:r>
      <w:r w:rsidR="00A954D0">
        <w:rPr>
          <w:rFonts w:ascii="Bookman Old Style" w:hAnsi="Bookman Old Style"/>
          <w:sz w:val="24"/>
          <w:szCs w:val="24"/>
        </w:rPr>
        <w:t xml:space="preserve"> </w:t>
      </w:r>
      <w:r w:rsidRPr="001E0127">
        <w:rPr>
          <w:rFonts w:ascii="Bookman Old Style" w:hAnsi="Bookman Old Style"/>
          <w:sz w:val="24"/>
          <w:szCs w:val="24"/>
        </w:rPr>
        <w:t>ke</w:t>
      </w:r>
      <w:r w:rsidR="00A954D0">
        <w:rPr>
          <w:rFonts w:ascii="Bookman Old Style" w:hAnsi="Bookman Old Style"/>
          <w:sz w:val="24"/>
          <w:szCs w:val="24"/>
        </w:rPr>
        <w:t xml:space="preserve"> </w:t>
      </w:r>
      <w:r w:rsidRPr="001E0127">
        <w:rPr>
          <w:rFonts w:ascii="Bookman Old Style" w:hAnsi="Bookman Old Style"/>
          <w:sz w:val="24"/>
          <w:szCs w:val="24"/>
        </w:rPr>
        <w:t>dalam</w:t>
      </w:r>
      <w:r w:rsidR="00A954D0">
        <w:rPr>
          <w:rFonts w:ascii="Bookman Old Style" w:hAnsi="Bookman Old Style"/>
          <w:sz w:val="24"/>
          <w:szCs w:val="24"/>
        </w:rPr>
        <w:t xml:space="preserve"> </w:t>
      </w:r>
      <w:r w:rsidRPr="001E0127">
        <w:rPr>
          <w:rFonts w:ascii="Bookman Old Style" w:hAnsi="Bookman Old Style"/>
          <w:sz w:val="24"/>
          <w:szCs w:val="24"/>
        </w:rPr>
        <w:t>rincian</w:t>
      </w:r>
      <w:r w:rsidR="00A954D0">
        <w:rPr>
          <w:rFonts w:ascii="Bookman Old Style" w:hAnsi="Bookman Old Style"/>
          <w:sz w:val="24"/>
          <w:szCs w:val="24"/>
        </w:rPr>
        <w:t xml:space="preserve"> </w:t>
      </w:r>
      <w:r w:rsidRPr="001E0127">
        <w:rPr>
          <w:rFonts w:ascii="Bookman Old Style" w:hAnsi="Bookman Old Style"/>
          <w:sz w:val="24"/>
          <w:szCs w:val="24"/>
        </w:rPr>
        <w:t>objek</w:t>
      </w:r>
      <w:r w:rsidRPr="001E0127">
        <w:rPr>
          <w:rFonts w:ascii="Bookman Old Style" w:hAnsi="Bookman Old Style"/>
          <w:sz w:val="24"/>
          <w:szCs w:val="24"/>
          <w:lang w:val="id-ID"/>
        </w:rPr>
        <w:t>:</w:t>
      </w:r>
    </w:p>
    <w:p w14:paraId="1121F65B" w14:textId="5223C3C9" w:rsidR="00B64B58" w:rsidRPr="001E0127" w:rsidRDefault="00B64B58" w:rsidP="00AE2B82">
      <w:pPr>
        <w:pStyle w:val="ListParagraph"/>
        <w:numPr>
          <w:ilvl w:val="0"/>
          <w:numId w:val="137"/>
        </w:numPr>
        <w:spacing w:before="60" w:after="0" w:line="276" w:lineRule="auto"/>
        <w:ind w:left="2694" w:hanging="426"/>
        <w:contextualSpacing w:val="0"/>
        <w:jc w:val="both"/>
        <w:rPr>
          <w:rFonts w:ascii="Bookman Old Style" w:hAnsi="Bookman Old Style"/>
          <w:sz w:val="24"/>
          <w:szCs w:val="24"/>
        </w:rPr>
      </w:pPr>
      <w:r w:rsidRPr="001E0127">
        <w:rPr>
          <w:rFonts w:ascii="Bookman Old Style" w:hAnsi="Bookman Old Style"/>
          <w:sz w:val="24"/>
          <w:szCs w:val="24"/>
          <w:lang w:val="it-IT"/>
        </w:rPr>
        <w:t>Belanja</w:t>
      </w:r>
      <w:r w:rsidR="00A954D0">
        <w:rPr>
          <w:rFonts w:ascii="Bookman Old Style" w:hAnsi="Bookman Old Style"/>
          <w:sz w:val="24"/>
          <w:szCs w:val="24"/>
          <w:lang w:val="it-IT"/>
        </w:rPr>
        <w:t xml:space="preserve"> </w:t>
      </w:r>
      <w:r w:rsidRPr="001E0127">
        <w:rPr>
          <w:rFonts w:ascii="Bookman Old Style" w:hAnsi="Bookman Old Style"/>
          <w:sz w:val="24"/>
          <w:szCs w:val="24"/>
          <w:lang w:val="it-IT"/>
        </w:rPr>
        <w:t>Perjalanan</w:t>
      </w:r>
      <w:r w:rsidR="00A954D0">
        <w:rPr>
          <w:rFonts w:ascii="Bookman Old Style" w:hAnsi="Bookman Old Style"/>
          <w:sz w:val="24"/>
          <w:szCs w:val="24"/>
          <w:lang w:val="it-IT"/>
        </w:rPr>
        <w:t xml:space="preserve"> </w:t>
      </w:r>
      <w:r w:rsidRPr="001E0127">
        <w:rPr>
          <w:rFonts w:ascii="Bookman Old Style" w:hAnsi="Bookman Old Style"/>
          <w:sz w:val="24"/>
          <w:szCs w:val="24"/>
          <w:lang w:val="it-IT"/>
        </w:rPr>
        <w:t>Dinas</w:t>
      </w:r>
      <w:r w:rsidR="00A954D0">
        <w:rPr>
          <w:rFonts w:ascii="Bookman Old Style" w:hAnsi="Bookman Old Style"/>
          <w:sz w:val="24"/>
          <w:szCs w:val="24"/>
          <w:lang w:val="it-IT"/>
        </w:rPr>
        <w:t xml:space="preserve"> </w:t>
      </w:r>
      <w:r w:rsidRPr="001E0127">
        <w:rPr>
          <w:rFonts w:ascii="Bookman Old Style" w:hAnsi="Bookman Old Style"/>
          <w:sz w:val="24"/>
          <w:szCs w:val="24"/>
          <w:lang w:val="it-IT"/>
        </w:rPr>
        <w:t>Dalam</w:t>
      </w:r>
      <w:r w:rsidR="00A954D0">
        <w:rPr>
          <w:rFonts w:ascii="Bookman Old Style" w:hAnsi="Bookman Old Style"/>
          <w:sz w:val="24"/>
          <w:szCs w:val="24"/>
          <w:lang w:val="it-IT"/>
        </w:rPr>
        <w:t xml:space="preserve"> </w:t>
      </w:r>
      <w:r w:rsidRPr="001E0127">
        <w:rPr>
          <w:rFonts w:ascii="Bookman Old Style" w:hAnsi="Bookman Old Style"/>
          <w:sz w:val="24"/>
          <w:szCs w:val="24"/>
          <w:lang w:val="it-IT"/>
        </w:rPr>
        <w:t>Negeri</w:t>
      </w:r>
      <w:r w:rsidR="00A954D0">
        <w:rPr>
          <w:rFonts w:ascii="Bookman Old Style" w:hAnsi="Bookman Old Style"/>
          <w:sz w:val="24"/>
          <w:szCs w:val="24"/>
          <w:lang w:val="it-IT"/>
        </w:rPr>
        <w:t xml:space="preserve"> </w:t>
      </w:r>
      <w:r w:rsidR="00A74139" w:rsidRPr="001E0127">
        <w:rPr>
          <w:rFonts w:ascii="Bookman Old Style" w:hAnsi="Bookman Old Style"/>
          <w:sz w:val="24"/>
          <w:szCs w:val="24"/>
        </w:rPr>
        <w:t>Rp141.424.025.000,00</w:t>
      </w:r>
      <w:r w:rsidR="00A954D0">
        <w:rPr>
          <w:rFonts w:ascii="Bookman Old Style" w:hAnsi="Bookman Old Style"/>
          <w:sz w:val="24"/>
          <w:szCs w:val="24"/>
        </w:rPr>
        <w:t xml:space="preserve"> </w:t>
      </w:r>
      <w:r w:rsidR="00A74139" w:rsidRPr="001E0127">
        <w:rPr>
          <w:rFonts w:ascii="Bookman Old Style" w:hAnsi="Bookman Old Style"/>
          <w:sz w:val="24"/>
          <w:szCs w:val="24"/>
        </w:rPr>
        <w:t>atau</w:t>
      </w:r>
      <w:r w:rsidR="00A954D0">
        <w:rPr>
          <w:rFonts w:ascii="Bookman Old Style" w:hAnsi="Bookman Old Style"/>
          <w:sz w:val="24"/>
          <w:szCs w:val="24"/>
        </w:rPr>
        <w:t xml:space="preserve"> </w:t>
      </w:r>
      <w:r w:rsidR="00A74139" w:rsidRPr="001E0127">
        <w:rPr>
          <w:rFonts w:ascii="Bookman Old Style" w:hAnsi="Bookman Old Style"/>
          <w:sz w:val="24"/>
          <w:szCs w:val="24"/>
        </w:rPr>
        <w:t>2,48%</w:t>
      </w:r>
      <w:r w:rsidR="00A954D0">
        <w:rPr>
          <w:rFonts w:ascii="Bookman Old Style" w:hAnsi="Bookman Old Style"/>
          <w:sz w:val="24"/>
          <w:szCs w:val="24"/>
          <w:lang w:val="id-ID"/>
        </w:rPr>
        <w:t xml:space="preserve"> </w:t>
      </w:r>
      <w:r w:rsidRPr="001E0127">
        <w:rPr>
          <w:rFonts w:ascii="Bookman Old Style" w:hAnsi="Bookman Old Style"/>
          <w:sz w:val="24"/>
          <w:szCs w:val="24"/>
          <w:lang w:val="it-IT"/>
        </w:rPr>
        <w:t>dari</w:t>
      </w:r>
      <w:r w:rsidR="00A954D0">
        <w:rPr>
          <w:rFonts w:ascii="Bookman Old Style" w:hAnsi="Bookman Old Style"/>
          <w:sz w:val="24"/>
          <w:szCs w:val="24"/>
          <w:lang w:val="it-IT"/>
        </w:rPr>
        <w:t xml:space="preserve"> </w:t>
      </w:r>
      <w:r w:rsidRPr="001E0127">
        <w:rPr>
          <w:rFonts w:ascii="Bookman Old Style" w:hAnsi="Bookman Old Style"/>
          <w:sz w:val="24"/>
          <w:szCs w:val="24"/>
          <w:lang w:val="it-IT"/>
        </w:rPr>
        <w:t>total</w:t>
      </w:r>
      <w:r w:rsidR="00A954D0">
        <w:rPr>
          <w:rFonts w:ascii="Bookman Old Style" w:hAnsi="Bookman Old Style"/>
          <w:sz w:val="24"/>
          <w:szCs w:val="24"/>
          <w:lang w:val="it-IT"/>
        </w:rPr>
        <w:t xml:space="preserve"> </w:t>
      </w:r>
      <w:r w:rsidRPr="001E0127">
        <w:rPr>
          <w:rFonts w:ascii="Bookman Old Style" w:hAnsi="Bookman Old Style"/>
          <w:sz w:val="24"/>
          <w:szCs w:val="24"/>
          <w:lang w:val="it-IT"/>
        </w:rPr>
        <w:t>belanja</w:t>
      </w:r>
      <w:r w:rsidR="00A954D0">
        <w:rPr>
          <w:rFonts w:ascii="Bookman Old Style" w:hAnsi="Bookman Old Style"/>
          <w:sz w:val="24"/>
          <w:szCs w:val="24"/>
          <w:lang w:val="it-IT"/>
        </w:rPr>
        <w:t xml:space="preserve"> </w:t>
      </w:r>
      <w:r w:rsidRPr="001E0127">
        <w:rPr>
          <w:rFonts w:ascii="Bookman Old Style" w:hAnsi="Bookman Old Style"/>
          <w:sz w:val="24"/>
          <w:szCs w:val="24"/>
          <w:lang w:val="it-IT"/>
        </w:rPr>
        <w:t>daerah</w:t>
      </w:r>
      <w:r w:rsidR="00A954D0">
        <w:rPr>
          <w:rFonts w:ascii="Bookman Old Style" w:hAnsi="Bookman Old Style"/>
          <w:sz w:val="24"/>
          <w:szCs w:val="24"/>
          <w:lang w:val="it-IT"/>
        </w:rPr>
        <w:t xml:space="preserve"> </w:t>
      </w:r>
      <w:r w:rsidRPr="001E0127">
        <w:rPr>
          <w:rFonts w:ascii="Bookman Old Style" w:hAnsi="Bookman Old Style"/>
          <w:sz w:val="24"/>
          <w:szCs w:val="24"/>
          <w:lang w:val="it-IT"/>
        </w:rPr>
        <w:t>dalam</w:t>
      </w:r>
      <w:r w:rsidR="00A954D0">
        <w:rPr>
          <w:rFonts w:ascii="Bookman Old Style" w:hAnsi="Bookman Old Style"/>
          <w:sz w:val="24"/>
          <w:szCs w:val="24"/>
          <w:lang w:val="it-IT"/>
        </w:rPr>
        <w:t xml:space="preserve"> </w:t>
      </w:r>
      <w:r w:rsidRPr="001E0127">
        <w:rPr>
          <w:rFonts w:ascii="Bookman Old Style" w:hAnsi="Bookman Old Style"/>
          <w:sz w:val="24"/>
          <w:szCs w:val="24"/>
          <w:lang w:val="it-IT"/>
        </w:rPr>
        <w:t>Rancangan</w:t>
      </w:r>
      <w:r w:rsidR="00A954D0">
        <w:rPr>
          <w:rFonts w:ascii="Bookman Old Style" w:hAnsi="Bookman Old Style"/>
          <w:sz w:val="24"/>
          <w:szCs w:val="24"/>
          <w:lang w:val="it-IT"/>
        </w:rPr>
        <w:t xml:space="preserve"> </w:t>
      </w:r>
      <w:r w:rsidRPr="001E0127">
        <w:rPr>
          <w:rFonts w:ascii="Bookman Old Style" w:hAnsi="Bookman Old Style"/>
          <w:sz w:val="24"/>
          <w:szCs w:val="24"/>
          <w:lang w:val="it-IT"/>
        </w:rPr>
        <w:t>Peraturan</w:t>
      </w:r>
      <w:r w:rsidR="00A954D0">
        <w:rPr>
          <w:rFonts w:ascii="Bookman Old Style" w:hAnsi="Bookman Old Style"/>
          <w:sz w:val="24"/>
          <w:szCs w:val="24"/>
          <w:lang w:val="it-IT"/>
        </w:rPr>
        <w:t xml:space="preserve"> </w:t>
      </w:r>
      <w:r w:rsidRPr="001E0127">
        <w:rPr>
          <w:rFonts w:ascii="Bookman Old Style" w:hAnsi="Bookman Old Style"/>
          <w:sz w:val="24"/>
          <w:szCs w:val="24"/>
          <w:lang w:val="it-IT"/>
        </w:rPr>
        <w:t>Daerah</w:t>
      </w:r>
      <w:r w:rsidR="00A954D0">
        <w:rPr>
          <w:rFonts w:ascii="Bookman Old Style" w:hAnsi="Bookman Old Style"/>
          <w:sz w:val="24"/>
          <w:szCs w:val="24"/>
          <w:lang w:val="it-IT"/>
        </w:rPr>
        <w:t xml:space="preserve"> </w:t>
      </w:r>
      <w:r w:rsidRPr="001E0127">
        <w:rPr>
          <w:rFonts w:ascii="Bookman Old Style" w:hAnsi="Bookman Old Style"/>
          <w:sz w:val="24"/>
          <w:szCs w:val="24"/>
          <w:lang w:val="it-IT"/>
        </w:rPr>
        <w:t>Kota</w:t>
      </w:r>
      <w:r w:rsidR="00A954D0">
        <w:rPr>
          <w:rFonts w:ascii="Bookman Old Style" w:hAnsi="Bookman Old Style"/>
          <w:sz w:val="24"/>
          <w:szCs w:val="24"/>
          <w:lang w:val="it-IT"/>
        </w:rPr>
        <w:t xml:space="preserve"> </w:t>
      </w:r>
      <w:r w:rsidR="00770F22" w:rsidRPr="001E0127">
        <w:rPr>
          <w:rFonts w:ascii="Bookman Old Style" w:hAnsi="Bookman Old Style"/>
          <w:sz w:val="24"/>
          <w:szCs w:val="24"/>
          <w:lang w:val="it-IT"/>
        </w:rPr>
        <w:t>Tangerang</w:t>
      </w:r>
      <w:r w:rsidR="00A954D0">
        <w:rPr>
          <w:rFonts w:ascii="Bookman Old Style" w:hAnsi="Bookman Old Style"/>
          <w:sz w:val="24"/>
          <w:szCs w:val="24"/>
          <w:lang w:val="it-IT"/>
        </w:rPr>
        <w:t xml:space="preserve"> </w:t>
      </w:r>
      <w:r w:rsidR="00BE6ED9" w:rsidRPr="001E0127">
        <w:rPr>
          <w:rFonts w:ascii="Bookman Old Style" w:hAnsi="Bookman Old Style"/>
          <w:sz w:val="24"/>
          <w:szCs w:val="24"/>
          <w:lang w:val="it-IT"/>
        </w:rPr>
        <w:t>tentang</w:t>
      </w:r>
      <w:r w:rsidR="00A954D0">
        <w:rPr>
          <w:rFonts w:ascii="Bookman Old Style" w:hAnsi="Bookman Old Style"/>
          <w:sz w:val="24"/>
          <w:szCs w:val="24"/>
          <w:lang w:val="it-IT"/>
        </w:rPr>
        <w:t xml:space="preserve"> </w:t>
      </w:r>
      <w:r w:rsidR="00BE6ED9" w:rsidRPr="001E0127">
        <w:rPr>
          <w:rFonts w:ascii="Bookman Old Style" w:hAnsi="Bookman Old Style"/>
          <w:sz w:val="24"/>
          <w:szCs w:val="24"/>
          <w:lang w:val="it-IT"/>
        </w:rPr>
        <w:t>APBD</w:t>
      </w:r>
      <w:r w:rsidR="00A954D0">
        <w:rPr>
          <w:rFonts w:ascii="Bookman Old Style" w:hAnsi="Bookman Old Style"/>
          <w:sz w:val="24"/>
          <w:szCs w:val="24"/>
          <w:lang w:val="it-IT"/>
        </w:rPr>
        <w:t xml:space="preserve"> </w:t>
      </w:r>
      <w:r w:rsidRPr="001E0127">
        <w:rPr>
          <w:rFonts w:ascii="Bookman Old Style" w:hAnsi="Bookman Old Style"/>
          <w:sz w:val="24"/>
          <w:szCs w:val="24"/>
          <w:lang w:val="it-IT"/>
        </w:rPr>
        <w:t>Tahun</w:t>
      </w:r>
      <w:r w:rsidR="00A954D0">
        <w:rPr>
          <w:rFonts w:ascii="Bookman Old Style" w:hAnsi="Bookman Old Style"/>
          <w:sz w:val="24"/>
          <w:szCs w:val="24"/>
          <w:lang w:val="it-IT"/>
        </w:rPr>
        <w:t xml:space="preserve"> </w:t>
      </w:r>
      <w:r w:rsidRPr="001E0127">
        <w:rPr>
          <w:rFonts w:ascii="Bookman Old Style" w:hAnsi="Bookman Old Style"/>
          <w:sz w:val="24"/>
          <w:szCs w:val="24"/>
          <w:lang w:val="it-IT"/>
        </w:rPr>
        <w:t>Anggaran</w:t>
      </w:r>
      <w:r w:rsidR="00A954D0">
        <w:rPr>
          <w:rFonts w:ascii="Bookman Old Style" w:hAnsi="Bookman Old Style"/>
          <w:sz w:val="24"/>
          <w:szCs w:val="24"/>
          <w:lang w:val="it-IT"/>
        </w:rPr>
        <w:t xml:space="preserve"> </w:t>
      </w:r>
      <w:r w:rsidRPr="001E0127">
        <w:rPr>
          <w:rFonts w:ascii="Bookman Old Style" w:hAnsi="Bookman Old Style"/>
          <w:sz w:val="24"/>
          <w:szCs w:val="24"/>
          <w:lang w:val="it-IT"/>
        </w:rPr>
        <w:t>2025,</w:t>
      </w:r>
      <w:r w:rsidR="00A954D0">
        <w:rPr>
          <w:rFonts w:ascii="Bookman Old Style" w:hAnsi="Bookman Old Style"/>
          <w:sz w:val="24"/>
          <w:szCs w:val="24"/>
          <w:lang w:val="it-IT"/>
        </w:rPr>
        <w:t xml:space="preserve"> </w:t>
      </w:r>
      <w:r w:rsidRPr="001E0127">
        <w:rPr>
          <w:rFonts w:ascii="Bookman Old Style" w:hAnsi="Bookman Old Style"/>
          <w:sz w:val="24"/>
          <w:szCs w:val="24"/>
        </w:rPr>
        <w:t>yang</w:t>
      </w:r>
      <w:r w:rsidR="00A954D0">
        <w:rPr>
          <w:rFonts w:ascii="Bookman Old Style" w:hAnsi="Bookman Old Style"/>
          <w:sz w:val="24"/>
          <w:szCs w:val="24"/>
        </w:rPr>
        <w:t xml:space="preserve"> </w:t>
      </w:r>
      <w:r w:rsidRPr="001E0127">
        <w:rPr>
          <w:rFonts w:ascii="Bookman Old Style" w:hAnsi="Bookman Old Style"/>
          <w:sz w:val="24"/>
          <w:szCs w:val="24"/>
          <w:lang w:val="fi-FI"/>
        </w:rPr>
        <w:t>antara</w:t>
      </w:r>
      <w:r w:rsidR="00A954D0">
        <w:rPr>
          <w:rFonts w:ascii="Bookman Old Style" w:hAnsi="Bookman Old Style"/>
          <w:sz w:val="24"/>
          <w:szCs w:val="24"/>
          <w:lang w:val="fi-FI"/>
        </w:rPr>
        <w:t xml:space="preserve"> </w:t>
      </w:r>
      <w:r w:rsidRPr="001E0127">
        <w:rPr>
          <w:rFonts w:ascii="Bookman Old Style" w:hAnsi="Bookman Old Style"/>
          <w:sz w:val="24"/>
          <w:szCs w:val="24"/>
          <w:lang w:val="fi-FI"/>
        </w:rPr>
        <w:t>lain</w:t>
      </w:r>
      <w:r w:rsidR="00A954D0">
        <w:rPr>
          <w:rFonts w:ascii="Bookman Old Style" w:hAnsi="Bookman Old Style"/>
          <w:sz w:val="24"/>
          <w:szCs w:val="24"/>
          <w:lang w:val="fi-FI"/>
        </w:rPr>
        <w:t xml:space="preserve"> </w:t>
      </w:r>
      <w:r w:rsidRPr="001E0127">
        <w:rPr>
          <w:rFonts w:ascii="Bookman Old Style" w:hAnsi="Bookman Old Style"/>
          <w:sz w:val="24"/>
          <w:szCs w:val="24"/>
        </w:rPr>
        <w:t>diuraikan</w:t>
      </w:r>
      <w:r w:rsidR="00A954D0">
        <w:rPr>
          <w:rFonts w:ascii="Bookman Old Style" w:hAnsi="Bookman Old Style"/>
          <w:sz w:val="24"/>
          <w:szCs w:val="24"/>
        </w:rPr>
        <w:t xml:space="preserve"> </w:t>
      </w:r>
      <w:r w:rsidRPr="001E0127">
        <w:rPr>
          <w:rFonts w:ascii="Bookman Old Style" w:hAnsi="Bookman Old Style"/>
          <w:sz w:val="24"/>
          <w:szCs w:val="24"/>
        </w:rPr>
        <w:t>ke</w:t>
      </w:r>
      <w:r w:rsidR="00A954D0">
        <w:rPr>
          <w:rFonts w:ascii="Bookman Old Style" w:hAnsi="Bookman Old Style"/>
          <w:sz w:val="24"/>
          <w:szCs w:val="24"/>
        </w:rPr>
        <w:t xml:space="preserve"> </w:t>
      </w:r>
      <w:r w:rsidRPr="001E0127">
        <w:rPr>
          <w:rFonts w:ascii="Bookman Old Style" w:hAnsi="Bookman Old Style"/>
          <w:sz w:val="24"/>
          <w:szCs w:val="24"/>
        </w:rPr>
        <w:t>dalam</w:t>
      </w:r>
      <w:r w:rsidR="00A954D0">
        <w:rPr>
          <w:rFonts w:ascii="Bookman Old Style" w:hAnsi="Bookman Old Style"/>
          <w:sz w:val="24"/>
          <w:szCs w:val="24"/>
        </w:rPr>
        <w:t xml:space="preserve"> </w:t>
      </w:r>
      <w:r w:rsidRPr="001E0127">
        <w:rPr>
          <w:rFonts w:ascii="Bookman Old Style" w:hAnsi="Bookman Old Style"/>
          <w:sz w:val="24"/>
          <w:szCs w:val="24"/>
        </w:rPr>
        <w:t>sub</w:t>
      </w:r>
      <w:r w:rsidR="00A954D0">
        <w:rPr>
          <w:rFonts w:ascii="Bookman Old Style" w:hAnsi="Bookman Old Style"/>
          <w:sz w:val="24"/>
          <w:szCs w:val="24"/>
        </w:rPr>
        <w:t xml:space="preserve"> </w:t>
      </w:r>
      <w:r w:rsidRPr="001E0127">
        <w:rPr>
          <w:rFonts w:ascii="Bookman Old Style" w:hAnsi="Bookman Old Style"/>
          <w:sz w:val="24"/>
          <w:szCs w:val="24"/>
        </w:rPr>
        <w:t>rincian</w:t>
      </w:r>
      <w:r w:rsidR="00A954D0">
        <w:rPr>
          <w:rFonts w:ascii="Bookman Old Style" w:hAnsi="Bookman Old Style"/>
          <w:sz w:val="24"/>
          <w:szCs w:val="24"/>
        </w:rPr>
        <w:t xml:space="preserve"> </w:t>
      </w:r>
      <w:r w:rsidRPr="001E0127">
        <w:rPr>
          <w:rFonts w:ascii="Bookman Old Style" w:hAnsi="Bookman Old Style"/>
          <w:sz w:val="24"/>
          <w:szCs w:val="24"/>
        </w:rPr>
        <w:t>objek</w:t>
      </w:r>
      <w:r w:rsidR="00A954D0">
        <w:rPr>
          <w:rFonts w:ascii="Bookman Old Style" w:hAnsi="Bookman Old Style"/>
          <w:sz w:val="24"/>
          <w:szCs w:val="24"/>
          <w:lang w:val="fi-FI"/>
        </w:rPr>
        <w:t xml:space="preserve"> </w:t>
      </w:r>
      <w:r w:rsidRPr="001E0127">
        <w:rPr>
          <w:rFonts w:ascii="Bookman Old Style" w:hAnsi="Bookman Old Style"/>
          <w:sz w:val="24"/>
          <w:szCs w:val="24"/>
          <w:lang w:val="fi-FI"/>
        </w:rPr>
        <w:t>belanja:</w:t>
      </w:r>
    </w:p>
    <w:p w14:paraId="11CB83C0" w14:textId="213734CF" w:rsidR="003B7FE4" w:rsidRPr="001E0127" w:rsidRDefault="003B7FE4" w:rsidP="00AE2B82">
      <w:pPr>
        <w:pStyle w:val="ListParagraph"/>
        <w:numPr>
          <w:ilvl w:val="0"/>
          <w:numId w:val="149"/>
        </w:numPr>
        <w:spacing w:before="60" w:after="0" w:line="276" w:lineRule="auto"/>
        <w:ind w:left="3261" w:hanging="567"/>
        <w:contextualSpacing w:val="0"/>
        <w:jc w:val="both"/>
        <w:rPr>
          <w:rFonts w:ascii="Bookman Old Style" w:hAnsi="Bookman Old Style"/>
          <w:sz w:val="24"/>
          <w:szCs w:val="24"/>
        </w:rPr>
      </w:pPr>
      <w:r w:rsidRPr="001E0127">
        <w:rPr>
          <w:rFonts w:ascii="Bookman Old Style" w:hAnsi="Bookman Old Style"/>
          <w:sz w:val="24"/>
          <w:szCs w:val="24"/>
        </w:rPr>
        <w:t>Belanja</w:t>
      </w:r>
      <w:r w:rsidR="00A954D0">
        <w:rPr>
          <w:rFonts w:ascii="Bookman Old Style" w:hAnsi="Bookman Old Style"/>
          <w:sz w:val="24"/>
          <w:szCs w:val="24"/>
        </w:rPr>
        <w:t xml:space="preserve"> </w:t>
      </w:r>
      <w:r w:rsidRPr="001E0127">
        <w:rPr>
          <w:rFonts w:ascii="Bookman Old Style" w:hAnsi="Bookman Old Style"/>
          <w:sz w:val="24"/>
          <w:szCs w:val="24"/>
        </w:rPr>
        <w:t>Perjalanan</w:t>
      </w:r>
      <w:r w:rsidR="00A954D0">
        <w:rPr>
          <w:rFonts w:ascii="Bookman Old Style" w:hAnsi="Bookman Old Style"/>
          <w:sz w:val="24"/>
          <w:szCs w:val="24"/>
        </w:rPr>
        <w:t xml:space="preserve"> </w:t>
      </w:r>
      <w:r w:rsidRPr="001E0127">
        <w:rPr>
          <w:rFonts w:ascii="Bookman Old Style" w:hAnsi="Bookman Old Style"/>
          <w:sz w:val="24"/>
          <w:szCs w:val="24"/>
        </w:rPr>
        <w:t>Dinas</w:t>
      </w:r>
      <w:r w:rsidR="00A954D0">
        <w:rPr>
          <w:rFonts w:ascii="Bookman Old Style" w:hAnsi="Bookman Old Style"/>
          <w:sz w:val="24"/>
          <w:szCs w:val="24"/>
        </w:rPr>
        <w:t xml:space="preserve"> </w:t>
      </w:r>
      <w:r w:rsidRPr="001E0127">
        <w:rPr>
          <w:rFonts w:ascii="Bookman Old Style" w:hAnsi="Bookman Old Style"/>
          <w:sz w:val="24"/>
          <w:szCs w:val="24"/>
        </w:rPr>
        <w:t>Biasa</w:t>
      </w:r>
      <w:r w:rsidR="00A954D0">
        <w:rPr>
          <w:rFonts w:ascii="Bookman Old Style" w:hAnsi="Bookman Old Style"/>
          <w:sz w:val="24"/>
          <w:szCs w:val="24"/>
        </w:rPr>
        <w:t xml:space="preserve"> </w:t>
      </w:r>
      <w:r w:rsidR="00012BDD" w:rsidRPr="001E0127">
        <w:rPr>
          <w:rFonts w:ascii="Bookman Old Style" w:hAnsi="Bookman Old Style"/>
          <w:sz w:val="24"/>
          <w:szCs w:val="24"/>
        </w:rPr>
        <w:t>Rp99.244.772.000,00</w:t>
      </w:r>
      <w:r w:rsidR="00A954D0">
        <w:rPr>
          <w:rFonts w:ascii="Bookman Old Style" w:hAnsi="Bookman Old Style"/>
          <w:sz w:val="24"/>
          <w:szCs w:val="24"/>
          <w:lang w:val="it-IT"/>
        </w:rPr>
        <w:t xml:space="preserve"> </w:t>
      </w:r>
      <w:r w:rsidRPr="001E0127">
        <w:rPr>
          <w:rFonts w:ascii="Bookman Old Style" w:hAnsi="Bookman Old Style"/>
          <w:sz w:val="24"/>
          <w:szCs w:val="24"/>
          <w:lang w:val="it-IT"/>
        </w:rPr>
        <w:t>yang</w:t>
      </w:r>
      <w:r w:rsidR="00A954D0">
        <w:rPr>
          <w:rFonts w:ascii="Bookman Old Style" w:hAnsi="Bookman Old Style"/>
          <w:sz w:val="24"/>
          <w:szCs w:val="24"/>
          <w:lang w:val="it-IT"/>
        </w:rPr>
        <w:t xml:space="preserve"> </w:t>
      </w:r>
      <w:r w:rsidRPr="001E0127">
        <w:rPr>
          <w:rFonts w:ascii="Bookman Old Style" w:hAnsi="Bookman Old Style"/>
          <w:sz w:val="24"/>
          <w:szCs w:val="24"/>
          <w:lang w:val="it-IT"/>
        </w:rPr>
        <w:t>antara</w:t>
      </w:r>
      <w:r w:rsidR="00A954D0">
        <w:rPr>
          <w:rFonts w:ascii="Bookman Old Style" w:hAnsi="Bookman Old Style"/>
          <w:sz w:val="24"/>
          <w:szCs w:val="24"/>
          <w:lang w:val="it-IT"/>
        </w:rPr>
        <w:t xml:space="preserve"> </w:t>
      </w:r>
      <w:r w:rsidRPr="001E0127">
        <w:rPr>
          <w:rFonts w:ascii="Bookman Old Style" w:hAnsi="Bookman Old Style"/>
          <w:sz w:val="24"/>
          <w:szCs w:val="24"/>
          <w:lang w:val="it-IT"/>
        </w:rPr>
        <w:t>lain</w:t>
      </w:r>
      <w:r w:rsidR="00A954D0">
        <w:rPr>
          <w:rFonts w:ascii="Bookman Old Style" w:hAnsi="Bookman Old Style"/>
          <w:sz w:val="24"/>
          <w:szCs w:val="24"/>
          <w:lang w:val="it-IT"/>
        </w:rPr>
        <w:t xml:space="preserve"> </w:t>
      </w:r>
      <w:r w:rsidRPr="001E0127">
        <w:rPr>
          <w:rFonts w:ascii="Bookman Old Style" w:hAnsi="Bookman Old Style"/>
          <w:sz w:val="24"/>
          <w:szCs w:val="24"/>
          <w:lang w:val="it-IT"/>
        </w:rPr>
        <w:t>tercantum</w:t>
      </w:r>
      <w:r w:rsidR="00A954D0">
        <w:rPr>
          <w:rFonts w:ascii="Bookman Old Style" w:hAnsi="Bookman Old Style"/>
          <w:sz w:val="24"/>
          <w:szCs w:val="24"/>
          <w:lang w:val="it-IT"/>
        </w:rPr>
        <w:t xml:space="preserve"> </w:t>
      </w:r>
      <w:r w:rsidRPr="001E0127">
        <w:rPr>
          <w:rFonts w:ascii="Bookman Old Style" w:hAnsi="Bookman Old Style"/>
          <w:sz w:val="24"/>
          <w:szCs w:val="24"/>
          <w:lang w:val="it-IT"/>
        </w:rPr>
        <w:t>pada</w:t>
      </w:r>
      <w:r w:rsidRPr="001E0127">
        <w:rPr>
          <w:rFonts w:ascii="Bookman Old Style" w:hAnsi="Bookman Old Style"/>
          <w:sz w:val="24"/>
          <w:szCs w:val="24"/>
          <w:lang w:val="fi-FI"/>
        </w:rPr>
        <w:t>:</w:t>
      </w:r>
    </w:p>
    <w:p w14:paraId="478A1CD0" w14:textId="476CD0AF" w:rsidR="003B7FE4" w:rsidRPr="001E0127" w:rsidRDefault="003B7FE4" w:rsidP="00AE2B82">
      <w:pPr>
        <w:pStyle w:val="ListParagraph"/>
        <w:numPr>
          <w:ilvl w:val="0"/>
          <w:numId w:val="162"/>
        </w:numPr>
        <w:spacing w:before="60" w:after="0" w:line="276" w:lineRule="auto"/>
        <w:ind w:left="3686" w:hanging="425"/>
        <w:contextualSpacing w:val="0"/>
        <w:jc w:val="both"/>
        <w:rPr>
          <w:rFonts w:ascii="Bookman Old Style" w:hAnsi="Bookman Old Style"/>
          <w:sz w:val="24"/>
          <w:szCs w:val="24"/>
        </w:rPr>
      </w:pPr>
      <w:r w:rsidRPr="001E0127">
        <w:rPr>
          <w:rFonts w:ascii="Bookman Old Style" w:hAnsi="Bookman Old Style"/>
          <w:sz w:val="24"/>
          <w:szCs w:val="24"/>
        </w:rPr>
        <w:t>Sekretariat</w:t>
      </w:r>
      <w:r w:rsidR="00A954D0">
        <w:rPr>
          <w:rFonts w:ascii="Bookman Old Style" w:hAnsi="Bookman Old Style"/>
          <w:sz w:val="24"/>
          <w:szCs w:val="24"/>
        </w:rPr>
        <w:t xml:space="preserve"> </w:t>
      </w:r>
      <w:r w:rsidRPr="001E0127">
        <w:rPr>
          <w:rFonts w:ascii="Bookman Old Style" w:hAnsi="Bookman Old Style"/>
          <w:sz w:val="24"/>
          <w:szCs w:val="24"/>
        </w:rPr>
        <w:t>DPRD</w:t>
      </w:r>
      <w:r w:rsidR="00A954D0">
        <w:rPr>
          <w:rFonts w:ascii="Bookman Old Style" w:hAnsi="Bookman Old Style"/>
          <w:sz w:val="24"/>
          <w:szCs w:val="24"/>
        </w:rPr>
        <w:t xml:space="preserve"> </w:t>
      </w:r>
      <w:r w:rsidR="00491906" w:rsidRPr="001E0127">
        <w:rPr>
          <w:rFonts w:ascii="Bookman Old Style" w:hAnsi="Bookman Old Style"/>
          <w:sz w:val="24"/>
          <w:szCs w:val="24"/>
        </w:rPr>
        <w:t>Rp66.348.053.000,00</w:t>
      </w:r>
      <w:r w:rsidR="00A954D0">
        <w:rPr>
          <w:rFonts w:ascii="Bookman Old Style" w:hAnsi="Bookman Old Style"/>
          <w:sz w:val="24"/>
          <w:szCs w:val="24"/>
        </w:rPr>
        <w:t xml:space="preserve"> </w:t>
      </w:r>
      <w:r w:rsidR="00491906" w:rsidRPr="001E0127">
        <w:rPr>
          <w:rFonts w:ascii="Bookman Old Style" w:hAnsi="Bookman Old Style"/>
          <w:sz w:val="24"/>
          <w:szCs w:val="24"/>
        </w:rPr>
        <w:t>atau</w:t>
      </w:r>
      <w:r w:rsidR="00A954D0">
        <w:rPr>
          <w:rFonts w:ascii="Bookman Old Style" w:hAnsi="Bookman Old Style"/>
          <w:sz w:val="24"/>
          <w:szCs w:val="24"/>
        </w:rPr>
        <w:t xml:space="preserve"> </w:t>
      </w:r>
      <w:r w:rsidR="00491906" w:rsidRPr="001E0127">
        <w:rPr>
          <w:rFonts w:ascii="Bookman Old Style" w:hAnsi="Bookman Old Style"/>
          <w:sz w:val="24"/>
          <w:szCs w:val="24"/>
        </w:rPr>
        <w:t>66,85%</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dari</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total</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Belanja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Perjalanan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Dinas</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Biasa</w:t>
      </w:r>
      <w:r w:rsidR="005800E4" w:rsidRPr="003255BC">
        <w:rPr>
          <w:rFonts w:ascii="Bookman Old Style" w:hAnsi="Bookman Old Style"/>
          <w:sz w:val="24"/>
          <w:szCs w:val="24"/>
          <w:lang w:val="sv-FI"/>
        </w:rPr>
        <w:t>;</w:t>
      </w:r>
    </w:p>
    <w:p w14:paraId="18803D05" w14:textId="0AB9AF88" w:rsidR="003B7FE4" w:rsidRPr="001E0127" w:rsidRDefault="003B7FE4" w:rsidP="00AE2B82">
      <w:pPr>
        <w:pStyle w:val="ListParagraph"/>
        <w:numPr>
          <w:ilvl w:val="0"/>
          <w:numId w:val="162"/>
        </w:numPr>
        <w:spacing w:before="60" w:after="0" w:line="276" w:lineRule="auto"/>
        <w:ind w:left="3686" w:hanging="425"/>
        <w:contextualSpacing w:val="0"/>
        <w:jc w:val="both"/>
        <w:rPr>
          <w:rFonts w:ascii="Bookman Old Style" w:hAnsi="Bookman Old Style"/>
          <w:sz w:val="24"/>
          <w:szCs w:val="24"/>
        </w:rPr>
      </w:pPr>
      <w:r w:rsidRPr="001E0127">
        <w:rPr>
          <w:rFonts w:ascii="Bookman Old Style" w:hAnsi="Bookman Old Style"/>
          <w:sz w:val="24"/>
          <w:szCs w:val="24"/>
        </w:rPr>
        <w:t>Sekretariat</w:t>
      </w:r>
      <w:r w:rsidR="00A954D0">
        <w:rPr>
          <w:rFonts w:ascii="Bookman Old Style" w:hAnsi="Bookman Old Style"/>
          <w:sz w:val="24"/>
          <w:szCs w:val="24"/>
        </w:rPr>
        <w:t xml:space="preserve"> </w:t>
      </w:r>
      <w:r w:rsidRPr="001E0127">
        <w:rPr>
          <w:rFonts w:ascii="Bookman Old Style" w:hAnsi="Bookman Old Style"/>
          <w:sz w:val="24"/>
          <w:szCs w:val="24"/>
        </w:rPr>
        <w:t>Daerah</w:t>
      </w:r>
      <w:r w:rsidR="00A954D0">
        <w:rPr>
          <w:rFonts w:ascii="Bookman Old Style" w:hAnsi="Bookman Old Style"/>
          <w:sz w:val="24"/>
          <w:szCs w:val="24"/>
        </w:rPr>
        <w:t xml:space="preserve"> </w:t>
      </w:r>
      <w:r w:rsidR="00DA6A6F" w:rsidRPr="001E0127">
        <w:rPr>
          <w:rFonts w:ascii="Bookman Old Style" w:hAnsi="Bookman Old Style"/>
          <w:sz w:val="24"/>
          <w:szCs w:val="24"/>
        </w:rPr>
        <w:t>Rp5.094.149.000,00</w:t>
      </w:r>
      <w:r w:rsidR="00A954D0">
        <w:rPr>
          <w:rFonts w:ascii="Bookman Old Style" w:hAnsi="Bookman Old Style"/>
          <w:sz w:val="24"/>
          <w:szCs w:val="24"/>
        </w:rPr>
        <w:t xml:space="preserve"> </w:t>
      </w:r>
      <w:r w:rsidR="00DA6A6F" w:rsidRPr="001E0127">
        <w:rPr>
          <w:rFonts w:ascii="Bookman Old Style" w:hAnsi="Bookman Old Style"/>
          <w:sz w:val="24"/>
          <w:szCs w:val="24"/>
        </w:rPr>
        <w:t>atau</w:t>
      </w:r>
      <w:r w:rsidR="00A954D0">
        <w:rPr>
          <w:rFonts w:ascii="Bookman Old Style" w:hAnsi="Bookman Old Style"/>
          <w:sz w:val="24"/>
          <w:szCs w:val="24"/>
        </w:rPr>
        <w:t xml:space="preserve"> </w:t>
      </w:r>
      <w:r w:rsidR="00DA6A6F" w:rsidRPr="001E0127">
        <w:rPr>
          <w:rFonts w:ascii="Bookman Old Style" w:hAnsi="Bookman Old Style"/>
          <w:sz w:val="24"/>
          <w:szCs w:val="24"/>
        </w:rPr>
        <w:t>5,13%</w:t>
      </w:r>
      <w:r w:rsidR="00A954D0">
        <w:rPr>
          <w:rFonts w:ascii="Bookman Old Style" w:hAnsi="Bookman Old Style"/>
          <w:sz w:val="24"/>
          <w:szCs w:val="24"/>
          <w:lang w:val="id-ID"/>
        </w:rPr>
        <w:t xml:space="preserve"> </w:t>
      </w:r>
      <w:r w:rsidRPr="003255BC">
        <w:rPr>
          <w:rFonts w:ascii="Bookman Old Style" w:hAnsi="Bookman Old Style"/>
          <w:sz w:val="24"/>
          <w:szCs w:val="24"/>
          <w:lang w:val="sv-FI"/>
        </w:rPr>
        <w:t>dari</w:t>
      </w:r>
      <w:r w:rsidR="00A954D0" w:rsidRPr="003255BC">
        <w:rPr>
          <w:rFonts w:ascii="Bookman Old Style" w:hAnsi="Bookman Old Style"/>
          <w:sz w:val="24"/>
          <w:szCs w:val="24"/>
          <w:lang w:val="sv-FI"/>
        </w:rPr>
        <w:t xml:space="preserve"> </w:t>
      </w:r>
      <w:r w:rsidRPr="001E0127">
        <w:rPr>
          <w:rFonts w:ascii="Bookman Old Style" w:hAnsi="Bookman Old Style"/>
          <w:sz w:val="24"/>
          <w:szCs w:val="24"/>
        </w:rPr>
        <w:t>total</w:t>
      </w:r>
      <w:r w:rsidR="00A954D0">
        <w:rPr>
          <w:rFonts w:ascii="Bookman Old Style" w:hAnsi="Bookman Old Style"/>
          <w:sz w:val="24"/>
          <w:szCs w:val="24"/>
        </w:rPr>
        <w:t xml:space="preserve"> </w:t>
      </w:r>
      <w:r w:rsidRPr="001E0127">
        <w:rPr>
          <w:rFonts w:ascii="Bookman Old Style" w:hAnsi="Bookman Old Style"/>
          <w:sz w:val="24"/>
          <w:szCs w:val="24"/>
        </w:rPr>
        <w:t>Belanja</w:t>
      </w:r>
      <w:r w:rsidR="00A954D0">
        <w:rPr>
          <w:rFonts w:ascii="Bookman Old Style" w:hAnsi="Bookman Old Style"/>
          <w:sz w:val="24"/>
          <w:szCs w:val="24"/>
        </w:rPr>
        <w:t xml:space="preserve"> </w:t>
      </w:r>
      <w:r w:rsidRPr="001E0127">
        <w:rPr>
          <w:rFonts w:ascii="Bookman Old Style" w:hAnsi="Bookman Old Style"/>
          <w:sz w:val="24"/>
          <w:szCs w:val="24"/>
        </w:rPr>
        <w:t>Perjalanan</w:t>
      </w:r>
      <w:r w:rsidR="00A954D0">
        <w:rPr>
          <w:rFonts w:ascii="Bookman Old Style" w:hAnsi="Bookman Old Style"/>
          <w:sz w:val="24"/>
          <w:szCs w:val="24"/>
        </w:rPr>
        <w:t xml:space="preserve"> </w:t>
      </w:r>
      <w:r w:rsidRPr="001E0127">
        <w:rPr>
          <w:rFonts w:ascii="Bookman Old Style" w:hAnsi="Bookman Old Style"/>
          <w:sz w:val="24"/>
          <w:szCs w:val="24"/>
        </w:rPr>
        <w:t>Dinas</w:t>
      </w:r>
      <w:r w:rsidR="00A954D0">
        <w:rPr>
          <w:rFonts w:ascii="Bookman Old Style" w:hAnsi="Bookman Old Style"/>
          <w:sz w:val="24"/>
          <w:szCs w:val="24"/>
        </w:rPr>
        <w:t xml:space="preserve"> </w:t>
      </w:r>
      <w:r w:rsidRPr="001E0127">
        <w:rPr>
          <w:rFonts w:ascii="Bookman Old Style" w:hAnsi="Bookman Old Style"/>
          <w:sz w:val="24"/>
          <w:szCs w:val="24"/>
        </w:rPr>
        <w:t>Biasa;</w:t>
      </w:r>
      <w:r w:rsidR="00A954D0">
        <w:rPr>
          <w:rFonts w:ascii="Bookman Old Style" w:hAnsi="Bookman Old Style"/>
          <w:sz w:val="24"/>
          <w:szCs w:val="24"/>
        </w:rPr>
        <w:t xml:space="preserve"> </w:t>
      </w:r>
      <w:r w:rsidRPr="001E0127">
        <w:rPr>
          <w:rFonts w:ascii="Bookman Old Style" w:hAnsi="Bookman Old Style"/>
          <w:sz w:val="24"/>
          <w:szCs w:val="24"/>
        </w:rPr>
        <w:t>dan</w:t>
      </w:r>
    </w:p>
    <w:p w14:paraId="0AB19A0C" w14:textId="374D14F0" w:rsidR="003B7FE4" w:rsidRPr="001E0127" w:rsidRDefault="00A300EE" w:rsidP="00AE2B82">
      <w:pPr>
        <w:pStyle w:val="ListParagraph"/>
        <w:numPr>
          <w:ilvl w:val="0"/>
          <w:numId w:val="162"/>
        </w:numPr>
        <w:spacing w:before="60" w:after="0" w:line="276" w:lineRule="auto"/>
        <w:ind w:left="3686" w:hanging="425"/>
        <w:contextualSpacing w:val="0"/>
        <w:jc w:val="both"/>
        <w:rPr>
          <w:rFonts w:ascii="Bookman Old Style" w:hAnsi="Bookman Old Style"/>
          <w:sz w:val="24"/>
          <w:szCs w:val="24"/>
        </w:rPr>
      </w:pPr>
      <w:r w:rsidRPr="001E0127">
        <w:rPr>
          <w:rFonts w:ascii="Bookman Old Style" w:hAnsi="Bookman Old Style"/>
          <w:sz w:val="24"/>
          <w:szCs w:val="24"/>
        </w:rPr>
        <w:t>Dinas</w:t>
      </w:r>
      <w:r w:rsidR="00A954D0">
        <w:rPr>
          <w:rFonts w:ascii="Bookman Old Style" w:hAnsi="Bookman Old Style"/>
          <w:sz w:val="24"/>
          <w:szCs w:val="24"/>
        </w:rPr>
        <w:t xml:space="preserve"> </w:t>
      </w:r>
      <w:r w:rsidRPr="001E0127">
        <w:rPr>
          <w:rFonts w:ascii="Bookman Old Style" w:hAnsi="Bookman Old Style"/>
          <w:sz w:val="24"/>
          <w:szCs w:val="24"/>
        </w:rPr>
        <w:t>Pendidikan</w:t>
      </w:r>
      <w:r w:rsidR="00A954D0">
        <w:rPr>
          <w:rFonts w:ascii="Bookman Old Style" w:hAnsi="Bookman Old Style"/>
          <w:sz w:val="24"/>
          <w:szCs w:val="24"/>
        </w:rPr>
        <w:t xml:space="preserve"> </w:t>
      </w:r>
      <w:r w:rsidRPr="001E0127">
        <w:rPr>
          <w:rFonts w:ascii="Bookman Old Style" w:hAnsi="Bookman Old Style"/>
          <w:sz w:val="24"/>
          <w:szCs w:val="24"/>
        </w:rPr>
        <w:t>Rp5.079.448.000,00</w:t>
      </w:r>
      <w:r w:rsidR="00A954D0">
        <w:rPr>
          <w:rFonts w:ascii="Bookman Old Style" w:hAnsi="Bookman Old Style"/>
          <w:sz w:val="24"/>
          <w:szCs w:val="24"/>
        </w:rPr>
        <w:t xml:space="preserve"> </w:t>
      </w:r>
      <w:r w:rsidRPr="001E0127">
        <w:rPr>
          <w:rFonts w:ascii="Bookman Old Style" w:hAnsi="Bookman Old Style"/>
          <w:sz w:val="24"/>
          <w:szCs w:val="24"/>
        </w:rPr>
        <w:t>atau</w:t>
      </w:r>
      <w:r w:rsidR="00A954D0">
        <w:rPr>
          <w:rFonts w:ascii="Bookman Old Style" w:hAnsi="Bookman Old Style"/>
          <w:sz w:val="24"/>
          <w:szCs w:val="24"/>
        </w:rPr>
        <w:t xml:space="preserve"> </w:t>
      </w:r>
      <w:r w:rsidRPr="001E0127">
        <w:rPr>
          <w:rFonts w:ascii="Bookman Old Style" w:hAnsi="Bookman Old Style"/>
          <w:sz w:val="24"/>
          <w:szCs w:val="24"/>
        </w:rPr>
        <w:t>5,12%</w:t>
      </w:r>
      <w:r w:rsidR="00A954D0">
        <w:rPr>
          <w:rFonts w:ascii="Bookman Old Style" w:hAnsi="Bookman Old Style"/>
          <w:sz w:val="24"/>
          <w:szCs w:val="24"/>
        </w:rPr>
        <w:t xml:space="preserve"> </w:t>
      </w:r>
      <w:r w:rsidR="003B7FE4" w:rsidRPr="001E0127">
        <w:rPr>
          <w:rFonts w:ascii="Bookman Old Style" w:hAnsi="Bookman Old Style"/>
          <w:sz w:val="24"/>
          <w:szCs w:val="24"/>
        </w:rPr>
        <w:t>dari</w:t>
      </w:r>
      <w:r w:rsidR="00A954D0">
        <w:rPr>
          <w:rFonts w:ascii="Bookman Old Style" w:hAnsi="Bookman Old Style"/>
          <w:sz w:val="24"/>
          <w:szCs w:val="24"/>
        </w:rPr>
        <w:t xml:space="preserve"> </w:t>
      </w:r>
      <w:r w:rsidR="003B7FE4" w:rsidRPr="001E0127">
        <w:rPr>
          <w:rFonts w:ascii="Bookman Old Style" w:hAnsi="Bookman Old Style"/>
          <w:sz w:val="24"/>
          <w:szCs w:val="24"/>
        </w:rPr>
        <w:t>total</w:t>
      </w:r>
      <w:r w:rsidR="00A954D0">
        <w:rPr>
          <w:rFonts w:ascii="Bookman Old Style" w:hAnsi="Bookman Old Style"/>
          <w:sz w:val="24"/>
          <w:szCs w:val="24"/>
        </w:rPr>
        <w:t xml:space="preserve"> </w:t>
      </w:r>
      <w:r w:rsidR="003B7FE4" w:rsidRPr="001E0127">
        <w:rPr>
          <w:rFonts w:ascii="Bookman Old Style" w:hAnsi="Bookman Old Style"/>
          <w:sz w:val="24"/>
          <w:szCs w:val="24"/>
        </w:rPr>
        <w:t>Belanja</w:t>
      </w:r>
      <w:r w:rsidR="00A954D0">
        <w:rPr>
          <w:rFonts w:ascii="Bookman Old Style" w:hAnsi="Bookman Old Style"/>
          <w:sz w:val="24"/>
          <w:szCs w:val="24"/>
        </w:rPr>
        <w:t xml:space="preserve"> </w:t>
      </w:r>
      <w:r w:rsidR="003B7FE4" w:rsidRPr="001E0127">
        <w:rPr>
          <w:rFonts w:ascii="Bookman Old Style" w:hAnsi="Bookman Old Style"/>
          <w:sz w:val="24"/>
          <w:szCs w:val="24"/>
        </w:rPr>
        <w:t>Perjalanan</w:t>
      </w:r>
      <w:r w:rsidR="00A954D0">
        <w:rPr>
          <w:rFonts w:ascii="Bookman Old Style" w:hAnsi="Bookman Old Style"/>
          <w:sz w:val="24"/>
          <w:szCs w:val="24"/>
        </w:rPr>
        <w:t xml:space="preserve"> </w:t>
      </w:r>
      <w:r w:rsidR="003B7FE4" w:rsidRPr="001E0127">
        <w:rPr>
          <w:rFonts w:ascii="Bookman Old Style" w:hAnsi="Bookman Old Style"/>
          <w:sz w:val="24"/>
          <w:szCs w:val="24"/>
        </w:rPr>
        <w:t>Dinas</w:t>
      </w:r>
      <w:r w:rsidR="00A954D0">
        <w:rPr>
          <w:rFonts w:ascii="Bookman Old Style" w:hAnsi="Bookman Old Style"/>
          <w:sz w:val="24"/>
          <w:szCs w:val="24"/>
        </w:rPr>
        <w:t xml:space="preserve"> </w:t>
      </w:r>
      <w:r w:rsidR="003B7FE4" w:rsidRPr="001E0127">
        <w:rPr>
          <w:rFonts w:ascii="Bookman Old Style" w:hAnsi="Bookman Old Style"/>
          <w:sz w:val="24"/>
          <w:szCs w:val="24"/>
        </w:rPr>
        <w:t>Biasa</w:t>
      </w:r>
      <w:r w:rsidR="00AE2B82" w:rsidRPr="00AE2B82">
        <w:rPr>
          <w:rFonts w:ascii="Bookman Old Style" w:hAnsi="Bookman Old Style"/>
          <w:sz w:val="24"/>
          <w:szCs w:val="24"/>
          <w:lang w:val="sv-FI"/>
        </w:rPr>
        <w:t>.</w:t>
      </w:r>
    </w:p>
    <w:p w14:paraId="413DD7DC" w14:textId="1FD024D9" w:rsidR="003B7FE4" w:rsidRPr="00415CB8" w:rsidRDefault="003B7FE4" w:rsidP="00AE2B82">
      <w:pPr>
        <w:pStyle w:val="ListParagraph"/>
        <w:numPr>
          <w:ilvl w:val="0"/>
          <w:numId w:val="149"/>
        </w:numPr>
        <w:spacing w:before="60" w:after="0" w:line="276" w:lineRule="auto"/>
        <w:ind w:left="3261" w:hanging="567"/>
        <w:contextualSpacing w:val="0"/>
        <w:jc w:val="both"/>
        <w:rPr>
          <w:rFonts w:ascii="Bookman Old Style" w:hAnsi="Bookman Old Style"/>
          <w:sz w:val="24"/>
          <w:szCs w:val="24"/>
        </w:rPr>
      </w:pPr>
      <w:r w:rsidRPr="00415CB8">
        <w:rPr>
          <w:rFonts w:ascii="Bookman Old Style" w:hAnsi="Bookman Old Style"/>
          <w:sz w:val="24"/>
          <w:szCs w:val="24"/>
        </w:rPr>
        <w:t>Belanja</w:t>
      </w:r>
      <w:r w:rsidR="00A954D0">
        <w:rPr>
          <w:rFonts w:ascii="Bookman Old Style" w:hAnsi="Bookman Old Style"/>
          <w:sz w:val="24"/>
          <w:szCs w:val="24"/>
        </w:rPr>
        <w:t xml:space="preserve"> </w:t>
      </w:r>
      <w:r w:rsidRPr="00415CB8">
        <w:rPr>
          <w:rFonts w:ascii="Bookman Old Style" w:hAnsi="Bookman Old Style"/>
          <w:sz w:val="24"/>
          <w:szCs w:val="24"/>
        </w:rPr>
        <w:t>Perjalanan</w:t>
      </w:r>
      <w:r w:rsidR="00A954D0">
        <w:rPr>
          <w:rFonts w:ascii="Bookman Old Style" w:hAnsi="Bookman Old Style"/>
          <w:sz w:val="24"/>
          <w:szCs w:val="24"/>
        </w:rPr>
        <w:t xml:space="preserve"> </w:t>
      </w:r>
      <w:r w:rsidRPr="00415CB8">
        <w:rPr>
          <w:rFonts w:ascii="Bookman Old Style" w:hAnsi="Bookman Old Style"/>
          <w:sz w:val="24"/>
          <w:szCs w:val="24"/>
        </w:rPr>
        <w:t>Dinas</w:t>
      </w:r>
      <w:r w:rsidR="00A954D0">
        <w:rPr>
          <w:rFonts w:ascii="Bookman Old Style" w:hAnsi="Bookman Old Style"/>
          <w:sz w:val="24"/>
          <w:szCs w:val="24"/>
        </w:rPr>
        <w:t xml:space="preserve"> </w:t>
      </w:r>
      <w:r w:rsidRPr="00415CB8">
        <w:rPr>
          <w:rFonts w:ascii="Bookman Old Style" w:hAnsi="Bookman Old Style"/>
          <w:sz w:val="24"/>
          <w:szCs w:val="24"/>
        </w:rPr>
        <w:t>Dalam</w:t>
      </w:r>
      <w:r w:rsidR="00A954D0">
        <w:rPr>
          <w:rFonts w:ascii="Bookman Old Style" w:hAnsi="Bookman Old Style"/>
          <w:sz w:val="24"/>
          <w:szCs w:val="24"/>
        </w:rPr>
        <w:t xml:space="preserve"> </w:t>
      </w:r>
      <w:r w:rsidRPr="00415CB8">
        <w:rPr>
          <w:rFonts w:ascii="Bookman Old Style" w:hAnsi="Bookman Old Style"/>
          <w:sz w:val="24"/>
          <w:szCs w:val="24"/>
        </w:rPr>
        <w:t>Kota</w:t>
      </w:r>
      <w:r w:rsidR="00A954D0">
        <w:rPr>
          <w:rFonts w:ascii="Bookman Old Style" w:hAnsi="Bookman Old Style"/>
          <w:sz w:val="24"/>
          <w:szCs w:val="24"/>
        </w:rPr>
        <w:t xml:space="preserve"> </w:t>
      </w:r>
      <w:r w:rsidR="00415CB8" w:rsidRPr="00415CB8">
        <w:rPr>
          <w:rFonts w:ascii="Bookman Old Style" w:hAnsi="Bookman Old Style"/>
          <w:sz w:val="24"/>
          <w:szCs w:val="24"/>
          <w:lang w:val="it-IT"/>
        </w:rPr>
        <w:t>Rp28.675.139.000,00</w:t>
      </w:r>
      <w:r w:rsidR="00A954D0">
        <w:rPr>
          <w:rFonts w:ascii="Bookman Old Style" w:hAnsi="Bookman Old Style"/>
          <w:sz w:val="24"/>
          <w:szCs w:val="24"/>
          <w:lang w:val="it-IT"/>
        </w:rPr>
        <w:t xml:space="preserve"> </w:t>
      </w:r>
      <w:r w:rsidRPr="00415CB8">
        <w:rPr>
          <w:rFonts w:ascii="Bookman Old Style" w:hAnsi="Bookman Old Style"/>
          <w:sz w:val="24"/>
          <w:szCs w:val="24"/>
          <w:lang w:val="it-IT"/>
        </w:rPr>
        <w:t>yang</w:t>
      </w:r>
      <w:r w:rsidR="00A954D0">
        <w:rPr>
          <w:rFonts w:ascii="Bookman Old Style" w:hAnsi="Bookman Old Style"/>
          <w:sz w:val="24"/>
          <w:szCs w:val="24"/>
          <w:lang w:val="it-IT"/>
        </w:rPr>
        <w:t xml:space="preserve"> </w:t>
      </w:r>
      <w:r w:rsidRPr="00415CB8">
        <w:rPr>
          <w:rFonts w:ascii="Bookman Old Style" w:hAnsi="Bookman Old Style"/>
          <w:sz w:val="24"/>
          <w:szCs w:val="24"/>
          <w:lang w:val="it-IT"/>
        </w:rPr>
        <w:t>antara</w:t>
      </w:r>
      <w:r w:rsidR="00A954D0">
        <w:rPr>
          <w:rFonts w:ascii="Bookman Old Style" w:hAnsi="Bookman Old Style"/>
          <w:sz w:val="24"/>
          <w:szCs w:val="24"/>
          <w:lang w:val="it-IT"/>
        </w:rPr>
        <w:t xml:space="preserve"> </w:t>
      </w:r>
      <w:r w:rsidRPr="00415CB8">
        <w:rPr>
          <w:rFonts w:ascii="Bookman Old Style" w:hAnsi="Bookman Old Style"/>
          <w:sz w:val="24"/>
          <w:szCs w:val="24"/>
          <w:lang w:val="it-IT"/>
        </w:rPr>
        <w:t>lain</w:t>
      </w:r>
      <w:r w:rsidR="00A954D0">
        <w:rPr>
          <w:rFonts w:ascii="Bookman Old Style" w:hAnsi="Bookman Old Style"/>
          <w:sz w:val="24"/>
          <w:szCs w:val="24"/>
          <w:lang w:val="it-IT"/>
        </w:rPr>
        <w:t xml:space="preserve"> </w:t>
      </w:r>
      <w:r w:rsidRPr="00415CB8">
        <w:rPr>
          <w:rFonts w:ascii="Bookman Old Style" w:hAnsi="Bookman Old Style"/>
          <w:sz w:val="24"/>
          <w:szCs w:val="24"/>
          <w:lang w:val="it-IT"/>
        </w:rPr>
        <w:t>tercantum</w:t>
      </w:r>
      <w:r w:rsidR="00A954D0">
        <w:rPr>
          <w:rFonts w:ascii="Bookman Old Style" w:hAnsi="Bookman Old Style"/>
          <w:sz w:val="24"/>
          <w:szCs w:val="24"/>
          <w:lang w:val="it-IT"/>
        </w:rPr>
        <w:t xml:space="preserve"> </w:t>
      </w:r>
      <w:r w:rsidRPr="00415CB8">
        <w:rPr>
          <w:rFonts w:ascii="Bookman Old Style" w:hAnsi="Bookman Old Style"/>
          <w:sz w:val="24"/>
          <w:szCs w:val="24"/>
          <w:lang w:val="it-IT"/>
        </w:rPr>
        <w:t>pada</w:t>
      </w:r>
      <w:r w:rsidRPr="00415CB8">
        <w:rPr>
          <w:rFonts w:ascii="Bookman Old Style" w:hAnsi="Bookman Old Style"/>
          <w:sz w:val="24"/>
          <w:szCs w:val="24"/>
          <w:lang w:val="fi-FI"/>
        </w:rPr>
        <w:t>:</w:t>
      </w:r>
    </w:p>
    <w:p w14:paraId="7C8EFA3F" w14:textId="11597858" w:rsidR="003B7FE4" w:rsidRPr="00415CB8" w:rsidRDefault="00F9097F" w:rsidP="00AE2B82">
      <w:pPr>
        <w:pStyle w:val="ListParagraph"/>
        <w:numPr>
          <w:ilvl w:val="0"/>
          <w:numId w:val="163"/>
        </w:numPr>
        <w:spacing w:before="60" w:after="0" w:line="276" w:lineRule="auto"/>
        <w:ind w:left="3686" w:hanging="425"/>
        <w:contextualSpacing w:val="0"/>
        <w:jc w:val="both"/>
        <w:rPr>
          <w:rFonts w:ascii="Bookman Old Style" w:hAnsi="Bookman Old Style"/>
          <w:sz w:val="24"/>
          <w:szCs w:val="24"/>
        </w:rPr>
      </w:pPr>
      <w:r w:rsidRPr="00415CB8">
        <w:rPr>
          <w:rFonts w:ascii="Bookman Old Style" w:hAnsi="Bookman Old Style"/>
          <w:sz w:val="24"/>
          <w:szCs w:val="24"/>
        </w:rPr>
        <w:t>Dinas</w:t>
      </w:r>
      <w:r w:rsidR="00A954D0">
        <w:rPr>
          <w:rFonts w:ascii="Bookman Old Style" w:hAnsi="Bookman Old Style"/>
          <w:sz w:val="24"/>
          <w:szCs w:val="24"/>
        </w:rPr>
        <w:t xml:space="preserve"> </w:t>
      </w:r>
      <w:r w:rsidRPr="00415CB8">
        <w:rPr>
          <w:rFonts w:ascii="Bookman Old Style" w:hAnsi="Bookman Old Style"/>
          <w:sz w:val="24"/>
          <w:szCs w:val="24"/>
        </w:rPr>
        <w:t>Pemberdayaan</w:t>
      </w:r>
      <w:r w:rsidR="00A954D0">
        <w:rPr>
          <w:rFonts w:ascii="Bookman Old Style" w:hAnsi="Bookman Old Style"/>
          <w:sz w:val="24"/>
          <w:szCs w:val="24"/>
        </w:rPr>
        <w:t xml:space="preserve"> </w:t>
      </w:r>
      <w:r w:rsidRPr="00415CB8">
        <w:rPr>
          <w:rFonts w:ascii="Bookman Old Style" w:hAnsi="Bookman Old Style"/>
          <w:sz w:val="24"/>
          <w:szCs w:val="24"/>
        </w:rPr>
        <w:t>Perempuan,</w:t>
      </w:r>
      <w:r w:rsidR="00A954D0">
        <w:rPr>
          <w:rFonts w:ascii="Bookman Old Style" w:hAnsi="Bookman Old Style"/>
          <w:sz w:val="24"/>
          <w:szCs w:val="24"/>
        </w:rPr>
        <w:t xml:space="preserve"> </w:t>
      </w:r>
      <w:r w:rsidRPr="00415CB8">
        <w:rPr>
          <w:rFonts w:ascii="Bookman Old Style" w:hAnsi="Bookman Old Style"/>
          <w:sz w:val="24"/>
          <w:szCs w:val="24"/>
        </w:rPr>
        <w:t>Perlindungan</w:t>
      </w:r>
      <w:r w:rsidR="00A954D0">
        <w:rPr>
          <w:rFonts w:ascii="Bookman Old Style" w:hAnsi="Bookman Old Style"/>
          <w:sz w:val="24"/>
          <w:szCs w:val="24"/>
        </w:rPr>
        <w:t xml:space="preserve"> </w:t>
      </w:r>
      <w:r w:rsidRPr="00415CB8">
        <w:rPr>
          <w:rFonts w:ascii="Bookman Old Style" w:hAnsi="Bookman Old Style"/>
          <w:sz w:val="24"/>
          <w:szCs w:val="24"/>
        </w:rPr>
        <w:t>Anak,</w:t>
      </w:r>
      <w:r w:rsidR="00A954D0">
        <w:rPr>
          <w:rFonts w:ascii="Bookman Old Style" w:hAnsi="Bookman Old Style"/>
          <w:sz w:val="24"/>
          <w:szCs w:val="24"/>
        </w:rPr>
        <w:t xml:space="preserve"> </w:t>
      </w:r>
      <w:r w:rsidRPr="00415CB8">
        <w:rPr>
          <w:rFonts w:ascii="Bookman Old Style" w:hAnsi="Bookman Old Style"/>
          <w:sz w:val="24"/>
          <w:szCs w:val="24"/>
        </w:rPr>
        <w:t>Pengendalian</w:t>
      </w:r>
      <w:r w:rsidR="00A954D0">
        <w:rPr>
          <w:rFonts w:ascii="Bookman Old Style" w:hAnsi="Bookman Old Style"/>
          <w:sz w:val="24"/>
          <w:szCs w:val="24"/>
        </w:rPr>
        <w:t xml:space="preserve"> </w:t>
      </w:r>
      <w:r w:rsidRPr="00415CB8">
        <w:rPr>
          <w:rFonts w:ascii="Bookman Old Style" w:hAnsi="Bookman Old Style"/>
          <w:sz w:val="24"/>
          <w:szCs w:val="24"/>
        </w:rPr>
        <w:t>Penduduk</w:t>
      </w:r>
      <w:r w:rsidR="00A954D0">
        <w:rPr>
          <w:rFonts w:ascii="Bookman Old Style" w:hAnsi="Bookman Old Style"/>
          <w:sz w:val="24"/>
          <w:szCs w:val="24"/>
        </w:rPr>
        <w:t xml:space="preserve"> </w:t>
      </w:r>
      <w:r w:rsidRPr="00415CB8">
        <w:rPr>
          <w:rFonts w:ascii="Bookman Old Style" w:hAnsi="Bookman Old Style"/>
          <w:sz w:val="24"/>
          <w:szCs w:val="24"/>
        </w:rPr>
        <w:t>dan</w:t>
      </w:r>
      <w:r w:rsidR="00A954D0">
        <w:rPr>
          <w:rFonts w:ascii="Bookman Old Style" w:hAnsi="Bookman Old Style"/>
          <w:sz w:val="24"/>
          <w:szCs w:val="24"/>
        </w:rPr>
        <w:t xml:space="preserve"> </w:t>
      </w:r>
      <w:r w:rsidRPr="00415CB8">
        <w:rPr>
          <w:rFonts w:ascii="Bookman Old Style" w:hAnsi="Bookman Old Style"/>
          <w:sz w:val="24"/>
          <w:szCs w:val="24"/>
        </w:rPr>
        <w:t>Keluarga</w:t>
      </w:r>
      <w:r w:rsidR="00A954D0">
        <w:rPr>
          <w:rFonts w:ascii="Bookman Old Style" w:hAnsi="Bookman Old Style"/>
          <w:sz w:val="24"/>
          <w:szCs w:val="24"/>
        </w:rPr>
        <w:t xml:space="preserve"> </w:t>
      </w:r>
      <w:r w:rsidRPr="00415CB8">
        <w:rPr>
          <w:rFonts w:ascii="Bookman Old Style" w:hAnsi="Bookman Old Style"/>
          <w:sz w:val="24"/>
          <w:szCs w:val="24"/>
        </w:rPr>
        <w:t>Berencana</w:t>
      </w:r>
      <w:r w:rsidR="00A954D0">
        <w:rPr>
          <w:rFonts w:ascii="Bookman Old Style" w:hAnsi="Bookman Old Style"/>
          <w:sz w:val="24"/>
          <w:szCs w:val="24"/>
        </w:rPr>
        <w:t xml:space="preserve"> </w:t>
      </w:r>
      <w:r w:rsidR="005865AD" w:rsidRPr="00415CB8">
        <w:rPr>
          <w:rFonts w:ascii="Bookman Old Style" w:hAnsi="Bookman Old Style"/>
          <w:sz w:val="24"/>
          <w:szCs w:val="24"/>
        </w:rPr>
        <w:t>Rp6.307.550.000,00</w:t>
      </w:r>
      <w:r w:rsidR="00A954D0">
        <w:rPr>
          <w:rFonts w:ascii="Bookman Old Style" w:hAnsi="Bookman Old Style"/>
          <w:sz w:val="24"/>
          <w:szCs w:val="24"/>
        </w:rPr>
        <w:t xml:space="preserve"> </w:t>
      </w:r>
      <w:r w:rsidR="005865AD" w:rsidRPr="00415CB8">
        <w:rPr>
          <w:rFonts w:ascii="Bookman Old Style" w:hAnsi="Bookman Old Style"/>
          <w:sz w:val="24"/>
          <w:szCs w:val="24"/>
        </w:rPr>
        <w:t>atau</w:t>
      </w:r>
      <w:r w:rsidR="00A954D0">
        <w:rPr>
          <w:rFonts w:ascii="Bookman Old Style" w:hAnsi="Bookman Old Style"/>
          <w:sz w:val="24"/>
          <w:szCs w:val="24"/>
        </w:rPr>
        <w:t xml:space="preserve"> </w:t>
      </w:r>
      <w:r w:rsidR="005865AD" w:rsidRPr="00415CB8">
        <w:rPr>
          <w:rFonts w:ascii="Bookman Old Style" w:hAnsi="Bookman Old Style"/>
          <w:sz w:val="24"/>
          <w:szCs w:val="24"/>
        </w:rPr>
        <w:t>22,00%</w:t>
      </w:r>
      <w:r w:rsidR="00A954D0">
        <w:rPr>
          <w:rFonts w:ascii="Bookman Old Style" w:hAnsi="Bookman Old Style"/>
          <w:sz w:val="24"/>
          <w:szCs w:val="24"/>
        </w:rPr>
        <w:t xml:space="preserve"> </w:t>
      </w:r>
      <w:r w:rsidR="003B7FE4" w:rsidRPr="00415CB8">
        <w:rPr>
          <w:rFonts w:ascii="Bookman Old Style" w:hAnsi="Bookman Old Style"/>
          <w:sz w:val="24"/>
          <w:szCs w:val="24"/>
        </w:rPr>
        <w:t>dari</w:t>
      </w:r>
      <w:r w:rsidR="00A954D0">
        <w:rPr>
          <w:rFonts w:ascii="Bookman Old Style" w:hAnsi="Bookman Old Style"/>
          <w:sz w:val="24"/>
          <w:szCs w:val="24"/>
        </w:rPr>
        <w:t xml:space="preserve"> </w:t>
      </w:r>
      <w:r w:rsidR="003B7FE4" w:rsidRPr="00415CB8">
        <w:rPr>
          <w:rFonts w:ascii="Bookman Old Style" w:hAnsi="Bookman Old Style"/>
          <w:sz w:val="24"/>
          <w:szCs w:val="24"/>
        </w:rPr>
        <w:t>total</w:t>
      </w:r>
      <w:r w:rsidR="00A954D0">
        <w:rPr>
          <w:rFonts w:ascii="Bookman Old Style" w:hAnsi="Bookman Old Style"/>
          <w:sz w:val="24"/>
          <w:szCs w:val="24"/>
        </w:rPr>
        <w:t xml:space="preserve"> </w:t>
      </w:r>
      <w:r w:rsidR="003B7FE4" w:rsidRPr="00415CB8">
        <w:rPr>
          <w:rFonts w:ascii="Bookman Old Style" w:hAnsi="Bookman Old Style"/>
          <w:sz w:val="24"/>
          <w:szCs w:val="24"/>
        </w:rPr>
        <w:t>Belanja</w:t>
      </w:r>
      <w:r w:rsidR="00A954D0">
        <w:rPr>
          <w:rFonts w:ascii="Bookman Old Style" w:hAnsi="Bookman Old Style"/>
          <w:sz w:val="24"/>
          <w:szCs w:val="24"/>
        </w:rPr>
        <w:t xml:space="preserve"> </w:t>
      </w:r>
      <w:r w:rsidR="003B7FE4" w:rsidRPr="00415CB8">
        <w:rPr>
          <w:rFonts w:ascii="Bookman Old Style" w:hAnsi="Bookman Old Style"/>
          <w:sz w:val="24"/>
          <w:szCs w:val="24"/>
        </w:rPr>
        <w:t>Perjalanan</w:t>
      </w:r>
      <w:r w:rsidR="00A954D0">
        <w:rPr>
          <w:rFonts w:ascii="Bookman Old Style" w:hAnsi="Bookman Old Style"/>
          <w:sz w:val="24"/>
          <w:szCs w:val="24"/>
        </w:rPr>
        <w:t xml:space="preserve"> </w:t>
      </w:r>
      <w:r w:rsidR="003B7FE4" w:rsidRPr="00415CB8">
        <w:rPr>
          <w:rFonts w:ascii="Bookman Old Style" w:hAnsi="Bookman Old Style"/>
          <w:sz w:val="24"/>
          <w:szCs w:val="24"/>
        </w:rPr>
        <w:t>Dinas</w:t>
      </w:r>
      <w:r w:rsidR="00A954D0">
        <w:rPr>
          <w:rFonts w:ascii="Bookman Old Style" w:hAnsi="Bookman Old Style"/>
          <w:sz w:val="24"/>
          <w:szCs w:val="24"/>
        </w:rPr>
        <w:t xml:space="preserve"> </w:t>
      </w:r>
      <w:r w:rsidR="003B7FE4" w:rsidRPr="00415CB8">
        <w:rPr>
          <w:rFonts w:ascii="Bookman Old Style" w:hAnsi="Bookman Old Style"/>
          <w:sz w:val="24"/>
          <w:szCs w:val="24"/>
        </w:rPr>
        <w:t>Dalam</w:t>
      </w:r>
      <w:r w:rsidR="00A954D0">
        <w:rPr>
          <w:rFonts w:ascii="Bookman Old Style" w:hAnsi="Bookman Old Style"/>
          <w:sz w:val="24"/>
          <w:szCs w:val="24"/>
        </w:rPr>
        <w:t xml:space="preserve"> </w:t>
      </w:r>
      <w:r w:rsidR="003B7FE4" w:rsidRPr="00415CB8">
        <w:rPr>
          <w:rFonts w:ascii="Bookman Old Style" w:hAnsi="Bookman Old Style"/>
          <w:sz w:val="24"/>
          <w:szCs w:val="24"/>
        </w:rPr>
        <w:t>Kota;</w:t>
      </w:r>
    </w:p>
    <w:p w14:paraId="14232F3C" w14:textId="7A826D9B" w:rsidR="003B7FE4" w:rsidRPr="00415CB8" w:rsidRDefault="003C03CB" w:rsidP="00AE2B82">
      <w:pPr>
        <w:pStyle w:val="ListParagraph"/>
        <w:numPr>
          <w:ilvl w:val="0"/>
          <w:numId w:val="163"/>
        </w:numPr>
        <w:spacing w:before="60" w:after="0" w:line="276" w:lineRule="auto"/>
        <w:ind w:left="3686" w:hanging="425"/>
        <w:contextualSpacing w:val="0"/>
        <w:jc w:val="both"/>
        <w:rPr>
          <w:rFonts w:ascii="Bookman Old Style" w:hAnsi="Bookman Old Style"/>
          <w:sz w:val="24"/>
          <w:szCs w:val="24"/>
        </w:rPr>
      </w:pPr>
      <w:r w:rsidRPr="00415CB8">
        <w:rPr>
          <w:rFonts w:ascii="Bookman Old Style" w:hAnsi="Bookman Old Style"/>
          <w:sz w:val="24"/>
          <w:szCs w:val="24"/>
        </w:rPr>
        <w:t>D</w:t>
      </w:r>
      <w:r w:rsidR="003B7FE4" w:rsidRPr="00415CB8">
        <w:rPr>
          <w:rFonts w:ascii="Bookman Old Style" w:hAnsi="Bookman Old Style"/>
          <w:sz w:val="24"/>
          <w:szCs w:val="24"/>
        </w:rPr>
        <w:t>inas</w:t>
      </w:r>
      <w:r w:rsidR="00A954D0">
        <w:rPr>
          <w:rFonts w:ascii="Bookman Old Style" w:hAnsi="Bookman Old Style"/>
          <w:sz w:val="24"/>
          <w:szCs w:val="24"/>
        </w:rPr>
        <w:t xml:space="preserve"> </w:t>
      </w:r>
      <w:r w:rsidR="003B7FE4" w:rsidRPr="00415CB8">
        <w:rPr>
          <w:rFonts w:ascii="Bookman Old Style" w:hAnsi="Bookman Old Style"/>
          <w:sz w:val="24"/>
          <w:szCs w:val="24"/>
        </w:rPr>
        <w:t>Kesehatan</w:t>
      </w:r>
      <w:r w:rsidR="00A954D0">
        <w:rPr>
          <w:rFonts w:ascii="Bookman Old Style" w:hAnsi="Bookman Old Style"/>
          <w:sz w:val="24"/>
          <w:szCs w:val="24"/>
        </w:rPr>
        <w:t xml:space="preserve"> </w:t>
      </w:r>
      <w:r w:rsidR="005865AD" w:rsidRPr="00415CB8">
        <w:rPr>
          <w:rFonts w:ascii="Bookman Old Style" w:hAnsi="Bookman Old Style"/>
          <w:sz w:val="24"/>
          <w:szCs w:val="24"/>
        </w:rPr>
        <w:t>Rp10.530.669.000,00</w:t>
      </w:r>
      <w:r w:rsidR="00A954D0">
        <w:rPr>
          <w:rFonts w:ascii="Bookman Old Style" w:hAnsi="Bookman Old Style"/>
          <w:sz w:val="24"/>
          <w:szCs w:val="24"/>
        </w:rPr>
        <w:t xml:space="preserve"> </w:t>
      </w:r>
      <w:r w:rsidR="005865AD" w:rsidRPr="00415CB8">
        <w:rPr>
          <w:rFonts w:ascii="Bookman Old Style" w:hAnsi="Bookman Old Style"/>
          <w:sz w:val="24"/>
          <w:szCs w:val="24"/>
        </w:rPr>
        <w:t>atau</w:t>
      </w:r>
      <w:r w:rsidR="00A954D0">
        <w:rPr>
          <w:rFonts w:ascii="Bookman Old Style" w:hAnsi="Bookman Old Style"/>
          <w:sz w:val="24"/>
          <w:szCs w:val="24"/>
        </w:rPr>
        <w:t xml:space="preserve"> </w:t>
      </w:r>
      <w:r w:rsidR="005865AD" w:rsidRPr="00415CB8">
        <w:rPr>
          <w:rFonts w:ascii="Bookman Old Style" w:hAnsi="Bookman Old Style"/>
          <w:sz w:val="24"/>
          <w:szCs w:val="24"/>
        </w:rPr>
        <w:t>36,72%</w:t>
      </w:r>
      <w:r w:rsidR="00A954D0">
        <w:rPr>
          <w:rFonts w:ascii="Bookman Old Style" w:hAnsi="Bookman Old Style"/>
          <w:sz w:val="24"/>
          <w:szCs w:val="24"/>
        </w:rPr>
        <w:t xml:space="preserve"> </w:t>
      </w:r>
      <w:r w:rsidR="003B7FE4" w:rsidRPr="00415CB8">
        <w:rPr>
          <w:rFonts w:ascii="Bookman Old Style" w:hAnsi="Bookman Old Style"/>
          <w:sz w:val="24"/>
          <w:szCs w:val="24"/>
        </w:rPr>
        <w:t>dari</w:t>
      </w:r>
      <w:r w:rsidR="00A954D0">
        <w:rPr>
          <w:rFonts w:ascii="Bookman Old Style" w:hAnsi="Bookman Old Style"/>
          <w:sz w:val="24"/>
          <w:szCs w:val="24"/>
        </w:rPr>
        <w:t xml:space="preserve"> </w:t>
      </w:r>
      <w:r w:rsidR="003B7FE4" w:rsidRPr="00415CB8">
        <w:rPr>
          <w:rFonts w:ascii="Bookman Old Style" w:hAnsi="Bookman Old Style"/>
          <w:sz w:val="24"/>
          <w:szCs w:val="24"/>
        </w:rPr>
        <w:t>total</w:t>
      </w:r>
      <w:r w:rsidR="00A954D0">
        <w:rPr>
          <w:rFonts w:ascii="Bookman Old Style" w:hAnsi="Bookman Old Style"/>
          <w:sz w:val="24"/>
          <w:szCs w:val="24"/>
        </w:rPr>
        <w:t xml:space="preserve"> </w:t>
      </w:r>
      <w:r w:rsidR="003B7FE4" w:rsidRPr="00415CB8">
        <w:rPr>
          <w:rFonts w:ascii="Bookman Old Style" w:hAnsi="Bookman Old Style"/>
          <w:sz w:val="24"/>
          <w:szCs w:val="24"/>
        </w:rPr>
        <w:t>Belanja</w:t>
      </w:r>
      <w:r w:rsidR="00A954D0">
        <w:rPr>
          <w:rFonts w:ascii="Bookman Old Style" w:hAnsi="Bookman Old Style"/>
          <w:sz w:val="24"/>
          <w:szCs w:val="24"/>
        </w:rPr>
        <w:t xml:space="preserve"> </w:t>
      </w:r>
      <w:r w:rsidR="003B7FE4" w:rsidRPr="00415CB8">
        <w:rPr>
          <w:rFonts w:ascii="Bookman Old Style" w:hAnsi="Bookman Old Style"/>
          <w:sz w:val="24"/>
          <w:szCs w:val="24"/>
        </w:rPr>
        <w:t>Perjalanan</w:t>
      </w:r>
      <w:r w:rsidR="00A954D0">
        <w:rPr>
          <w:rFonts w:ascii="Bookman Old Style" w:hAnsi="Bookman Old Style"/>
          <w:sz w:val="24"/>
          <w:szCs w:val="24"/>
        </w:rPr>
        <w:t xml:space="preserve"> </w:t>
      </w:r>
      <w:r w:rsidR="003B7FE4" w:rsidRPr="00415CB8">
        <w:rPr>
          <w:rFonts w:ascii="Bookman Old Style" w:hAnsi="Bookman Old Style"/>
          <w:sz w:val="24"/>
          <w:szCs w:val="24"/>
        </w:rPr>
        <w:t>Dinas</w:t>
      </w:r>
      <w:r w:rsidR="00A954D0">
        <w:rPr>
          <w:rFonts w:ascii="Bookman Old Style" w:hAnsi="Bookman Old Style"/>
          <w:sz w:val="24"/>
          <w:szCs w:val="24"/>
        </w:rPr>
        <w:t xml:space="preserve"> </w:t>
      </w:r>
      <w:r w:rsidR="003B7FE4" w:rsidRPr="00415CB8">
        <w:rPr>
          <w:rFonts w:ascii="Bookman Old Style" w:hAnsi="Bookman Old Style"/>
          <w:sz w:val="24"/>
          <w:szCs w:val="24"/>
        </w:rPr>
        <w:t>Dalam</w:t>
      </w:r>
      <w:r w:rsidR="00A954D0">
        <w:rPr>
          <w:rFonts w:ascii="Bookman Old Style" w:hAnsi="Bookman Old Style"/>
          <w:sz w:val="24"/>
          <w:szCs w:val="24"/>
        </w:rPr>
        <w:t xml:space="preserve"> </w:t>
      </w:r>
      <w:r w:rsidR="003B7FE4" w:rsidRPr="00415CB8">
        <w:rPr>
          <w:rFonts w:ascii="Bookman Old Style" w:hAnsi="Bookman Old Style"/>
          <w:sz w:val="24"/>
          <w:szCs w:val="24"/>
        </w:rPr>
        <w:t>Kota;</w:t>
      </w:r>
      <w:r w:rsidR="00A954D0">
        <w:rPr>
          <w:rFonts w:ascii="Bookman Old Style" w:hAnsi="Bookman Old Style"/>
          <w:sz w:val="24"/>
          <w:szCs w:val="24"/>
        </w:rPr>
        <w:t xml:space="preserve"> </w:t>
      </w:r>
      <w:r w:rsidR="003B7FE4" w:rsidRPr="00415CB8">
        <w:rPr>
          <w:rFonts w:ascii="Bookman Old Style" w:hAnsi="Bookman Old Style"/>
          <w:sz w:val="24"/>
          <w:szCs w:val="24"/>
        </w:rPr>
        <w:t>dan</w:t>
      </w:r>
    </w:p>
    <w:p w14:paraId="24D7DD73" w14:textId="42393875" w:rsidR="003B7FE4" w:rsidRPr="0063723D" w:rsidRDefault="004D53DD" w:rsidP="00AE2B82">
      <w:pPr>
        <w:pStyle w:val="ListParagraph"/>
        <w:numPr>
          <w:ilvl w:val="0"/>
          <w:numId w:val="163"/>
        </w:numPr>
        <w:spacing w:before="60" w:after="0" w:line="276" w:lineRule="auto"/>
        <w:ind w:left="3686" w:hanging="425"/>
        <w:contextualSpacing w:val="0"/>
        <w:jc w:val="both"/>
        <w:rPr>
          <w:rFonts w:ascii="Bookman Old Style" w:hAnsi="Bookman Old Style"/>
          <w:sz w:val="24"/>
          <w:szCs w:val="24"/>
          <w:lang w:val="fi-FI"/>
        </w:rPr>
      </w:pPr>
      <w:r w:rsidRPr="0063723D">
        <w:rPr>
          <w:rFonts w:ascii="Bookman Old Style" w:hAnsi="Bookman Old Style"/>
          <w:sz w:val="24"/>
          <w:szCs w:val="24"/>
        </w:rPr>
        <w:t>Dinas</w:t>
      </w:r>
      <w:r w:rsidR="00A954D0">
        <w:rPr>
          <w:rFonts w:ascii="Bookman Old Style" w:hAnsi="Bookman Old Style"/>
          <w:sz w:val="24"/>
          <w:szCs w:val="24"/>
        </w:rPr>
        <w:t xml:space="preserve"> </w:t>
      </w:r>
      <w:r w:rsidR="00415CB8" w:rsidRPr="0063723D">
        <w:rPr>
          <w:rFonts w:ascii="Bookman Old Style" w:hAnsi="Bookman Old Style"/>
          <w:sz w:val="24"/>
          <w:szCs w:val="24"/>
        </w:rPr>
        <w:t>Ketenagakerjaan</w:t>
      </w:r>
      <w:r w:rsidR="00A954D0">
        <w:rPr>
          <w:rFonts w:ascii="Bookman Old Style" w:hAnsi="Bookman Old Style"/>
          <w:sz w:val="24"/>
          <w:szCs w:val="24"/>
        </w:rPr>
        <w:t xml:space="preserve"> </w:t>
      </w:r>
      <w:r w:rsidR="00415CB8" w:rsidRPr="0063723D">
        <w:rPr>
          <w:rFonts w:ascii="Bookman Old Style" w:hAnsi="Bookman Old Style"/>
          <w:sz w:val="24"/>
          <w:szCs w:val="24"/>
        </w:rPr>
        <w:t>Rp1.206.750.000,00</w:t>
      </w:r>
      <w:r w:rsidR="00A954D0">
        <w:rPr>
          <w:rFonts w:ascii="Bookman Old Style" w:hAnsi="Bookman Old Style"/>
          <w:sz w:val="24"/>
          <w:szCs w:val="24"/>
        </w:rPr>
        <w:t xml:space="preserve"> </w:t>
      </w:r>
      <w:r w:rsidR="00415CB8" w:rsidRPr="0063723D">
        <w:rPr>
          <w:rFonts w:ascii="Bookman Old Style" w:hAnsi="Bookman Old Style"/>
          <w:sz w:val="24"/>
          <w:szCs w:val="24"/>
        </w:rPr>
        <w:t>atau</w:t>
      </w:r>
      <w:r w:rsidR="00A954D0">
        <w:rPr>
          <w:rFonts w:ascii="Bookman Old Style" w:hAnsi="Bookman Old Style"/>
          <w:sz w:val="24"/>
          <w:szCs w:val="24"/>
        </w:rPr>
        <w:t xml:space="preserve"> </w:t>
      </w:r>
      <w:r w:rsidR="00415CB8" w:rsidRPr="0063723D">
        <w:rPr>
          <w:rFonts w:ascii="Bookman Old Style" w:hAnsi="Bookman Old Style"/>
          <w:sz w:val="24"/>
          <w:szCs w:val="24"/>
        </w:rPr>
        <w:t>4,21%</w:t>
      </w:r>
      <w:r w:rsidR="00A954D0">
        <w:rPr>
          <w:rFonts w:ascii="Bookman Old Style" w:hAnsi="Bookman Old Style"/>
          <w:sz w:val="24"/>
          <w:szCs w:val="24"/>
        </w:rPr>
        <w:t xml:space="preserve"> </w:t>
      </w:r>
      <w:r w:rsidR="003B7FE4" w:rsidRPr="0063723D">
        <w:rPr>
          <w:rFonts w:ascii="Bookman Old Style" w:hAnsi="Bookman Old Style"/>
          <w:sz w:val="24"/>
          <w:szCs w:val="24"/>
        </w:rPr>
        <w:t>dari</w:t>
      </w:r>
      <w:r w:rsidR="00A954D0">
        <w:rPr>
          <w:rFonts w:ascii="Bookman Old Style" w:hAnsi="Bookman Old Style"/>
          <w:sz w:val="24"/>
          <w:szCs w:val="24"/>
        </w:rPr>
        <w:t xml:space="preserve"> </w:t>
      </w:r>
      <w:r w:rsidR="003B7FE4" w:rsidRPr="0063723D">
        <w:rPr>
          <w:rFonts w:ascii="Bookman Old Style" w:hAnsi="Bookman Old Style"/>
          <w:sz w:val="24"/>
          <w:szCs w:val="24"/>
        </w:rPr>
        <w:t>total</w:t>
      </w:r>
      <w:r w:rsidR="00A954D0">
        <w:rPr>
          <w:rFonts w:ascii="Bookman Old Style" w:hAnsi="Bookman Old Style"/>
          <w:sz w:val="24"/>
          <w:szCs w:val="24"/>
        </w:rPr>
        <w:t xml:space="preserve"> </w:t>
      </w:r>
      <w:r w:rsidR="003B7FE4" w:rsidRPr="0063723D">
        <w:rPr>
          <w:rFonts w:ascii="Bookman Old Style" w:hAnsi="Bookman Old Style"/>
          <w:sz w:val="24"/>
          <w:szCs w:val="24"/>
        </w:rPr>
        <w:t>Belanja</w:t>
      </w:r>
      <w:r w:rsidR="00A954D0">
        <w:rPr>
          <w:rFonts w:ascii="Bookman Old Style" w:hAnsi="Bookman Old Style"/>
          <w:sz w:val="24"/>
          <w:szCs w:val="24"/>
        </w:rPr>
        <w:t xml:space="preserve"> </w:t>
      </w:r>
      <w:r w:rsidR="003B7FE4" w:rsidRPr="0063723D">
        <w:rPr>
          <w:rFonts w:ascii="Bookman Old Style" w:hAnsi="Bookman Old Style"/>
          <w:sz w:val="24"/>
          <w:szCs w:val="24"/>
        </w:rPr>
        <w:t>Perjalanan</w:t>
      </w:r>
      <w:r w:rsidR="00A954D0">
        <w:rPr>
          <w:rFonts w:ascii="Bookman Old Style" w:hAnsi="Bookman Old Style"/>
          <w:sz w:val="24"/>
          <w:szCs w:val="24"/>
        </w:rPr>
        <w:t xml:space="preserve"> </w:t>
      </w:r>
      <w:r w:rsidR="003B7FE4" w:rsidRPr="0063723D">
        <w:rPr>
          <w:rFonts w:ascii="Bookman Old Style" w:hAnsi="Bookman Old Style"/>
          <w:sz w:val="24"/>
          <w:szCs w:val="24"/>
        </w:rPr>
        <w:t>Dinas</w:t>
      </w:r>
      <w:r w:rsidR="00A954D0">
        <w:rPr>
          <w:rFonts w:ascii="Bookman Old Style" w:hAnsi="Bookman Old Style"/>
          <w:sz w:val="24"/>
          <w:szCs w:val="24"/>
        </w:rPr>
        <w:t xml:space="preserve"> </w:t>
      </w:r>
      <w:r w:rsidR="003B7FE4" w:rsidRPr="0063723D">
        <w:rPr>
          <w:rFonts w:ascii="Bookman Old Style" w:hAnsi="Bookman Old Style"/>
          <w:sz w:val="24"/>
          <w:szCs w:val="24"/>
        </w:rPr>
        <w:t>Dalam</w:t>
      </w:r>
      <w:r w:rsidR="00A954D0">
        <w:rPr>
          <w:rFonts w:ascii="Bookman Old Style" w:hAnsi="Bookman Old Style"/>
          <w:sz w:val="24"/>
          <w:szCs w:val="24"/>
        </w:rPr>
        <w:t xml:space="preserve"> </w:t>
      </w:r>
      <w:r w:rsidR="003B7FE4" w:rsidRPr="0063723D">
        <w:rPr>
          <w:rFonts w:ascii="Bookman Old Style" w:hAnsi="Bookman Old Style"/>
          <w:sz w:val="24"/>
          <w:szCs w:val="24"/>
        </w:rPr>
        <w:t>Kota</w:t>
      </w:r>
      <w:r w:rsidR="00AE2B82" w:rsidRPr="00AE2B82">
        <w:rPr>
          <w:rFonts w:ascii="Bookman Old Style" w:hAnsi="Bookman Old Style"/>
          <w:sz w:val="24"/>
          <w:szCs w:val="24"/>
          <w:lang w:val="sv-FI"/>
        </w:rPr>
        <w:t>.</w:t>
      </w:r>
    </w:p>
    <w:p w14:paraId="085757A7" w14:textId="011FECA4" w:rsidR="003B7FE4" w:rsidRPr="0063723D" w:rsidRDefault="003B7FE4" w:rsidP="00AE2B82">
      <w:pPr>
        <w:pStyle w:val="ListParagraph"/>
        <w:numPr>
          <w:ilvl w:val="0"/>
          <w:numId w:val="149"/>
        </w:numPr>
        <w:spacing w:before="60" w:after="0" w:line="276" w:lineRule="auto"/>
        <w:ind w:left="3261" w:hanging="567"/>
        <w:contextualSpacing w:val="0"/>
        <w:jc w:val="both"/>
        <w:rPr>
          <w:rFonts w:ascii="Bookman Old Style" w:hAnsi="Bookman Old Style"/>
          <w:sz w:val="24"/>
          <w:szCs w:val="24"/>
        </w:rPr>
      </w:pPr>
      <w:r w:rsidRPr="0063723D">
        <w:rPr>
          <w:rFonts w:ascii="Bookman Old Style" w:hAnsi="Bookman Old Style"/>
          <w:sz w:val="24"/>
          <w:szCs w:val="24"/>
        </w:rPr>
        <w:lastRenderedPageBreak/>
        <w:t>Belanja</w:t>
      </w:r>
      <w:r w:rsidR="00A954D0">
        <w:rPr>
          <w:rFonts w:ascii="Bookman Old Style" w:hAnsi="Bookman Old Style"/>
          <w:sz w:val="24"/>
          <w:szCs w:val="24"/>
        </w:rPr>
        <w:t xml:space="preserve"> </w:t>
      </w:r>
      <w:r w:rsidRPr="0063723D">
        <w:rPr>
          <w:rFonts w:ascii="Bookman Old Style" w:hAnsi="Bookman Old Style"/>
          <w:sz w:val="24"/>
          <w:szCs w:val="24"/>
        </w:rPr>
        <w:t>Perjalanan</w:t>
      </w:r>
      <w:r w:rsidR="00A954D0">
        <w:rPr>
          <w:rFonts w:ascii="Bookman Old Style" w:hAnsi="Bookman Old Style"/>
          <w:sz w:val="24"/>
          <w:szCs w:val="24"/>
        </w:rPr>
        <w:t xml:space="preserve"> </w:t>
      </w:r>
      <w:r w:rsidRPr="0063723D">
        <w:rPr>
          <w:rFonts w:ascii="Bookman Old Style" w:hAnsi="Bookman Old Style"/>
          <w:sz w:val="24"/>
          <w:szCs w:val="24"/>
        </w:rPr>
        <w:t>Dinas</w:t>
      </w:r>
      <w:r w:rsidR="00A954D0">
        <w:rPr>
          <w:rFonts w:ascii="Bookman Old Style" w:hAnsi="Bookman Old Style"/>
          <w:sz w:val="24"/>
          <w:szCs w:val="24"/>
        </w:rPr>
        <w:t xml:space="preserve"> </w:t>
      </w:r>
      <w:r w:rsidRPr="0063723D">
        <w:rPr>
          <w:rFonts w:ascii="Bookman Old Style" w:hAnsi="Bookman Old Style"/>
          <w:sz w:val="24"/>
          <w:szCs w:val="24"/>
        </w:rPr>
        <w:t>Paket</w:t>
      </w:r>
      <w:r w:rsidR="00A954D0">
        <w:rPr>
          <w:rFonts w:ascii="Bookman Old Style" w:hAnsi="Bookman Old Style"/>
          <w:sz w:val="24"/>
          <w:szCs w:val="24"/>
        </w:rPr>
        <w:t xml:space="preserve"> </w:t>
      </w:r>
      <w:r w:rsidRPr="0063723D">
        <w:rPr>
          <w:rFonts w:ascii="Bookman Old Style" w:hAnsi="Bookman Old Style"/>
          <w:i/>
          <w:sz w:val="24"/>
          <w:szCs w:val="24"/>
        </w:rPr>
        <w:t>Meeting</w:t>
      </w:r>
      <w:r w:rsidR="00A954D0">
        <w:rPr>
          <w:rFonts w:ascii="Bookman Old Style" w:hAnsi="Bookman Old Style"/>
          <w:sz w:val="24"/>
          <w:szCs w:val="24"/>
        </w:rPr>
        <w:t xml:space="preserve"> </w:t>
      </w:r>
      <w:r w:rsidRPr="0063723D">
        <w:rPr>
          <w:rFonts w:ascii="Bookman Old Style" w:hAnsi="Bookman Old Style"/>
          <w:sz w:val="24"/>
          <w:szCs w:val="24"/>
        </w:rPr>
        <w:t>Dalam</w:t>
      </w:r>
      <w:r w:rsidR="00A954D0">
        <w:rPr>
          <w:rFonts w:ascii="Bookman Old Style" w:hAnsi="Bookman Old Style"/>
          <w:sz w:val="24"/>
          <w:szCs w:val="24"/>
        </w:rPr>
        <w:t xml:space="preserve"> </w:t>
      </w:r>
      <w:r w:rsidRPr="0063723D">
        <w:rPr>
          <w:rFonts w:ascii="Bookman Old Style" w:hAnsi="Bookman Old Style"/>
          <w:sz w:val="24"/>
          <w:szCs w:val="24"/>
        </w:rPr>
        <w:t>Kota</w:t>
      </w:r>
      <w:r w:rsidR="00A954D0">
        <w:rPr>
          <w:rFonts w:ascii="Bookman Old Style" w:hAnsi="Bookman Old Style"/>
          <w:sz w:val="24"/>
          <w:szCs w:val="24"/>
        </w:rPr>
        <w:t xml:space="preserve"> </w:t>
      </w:r>
      <w:r w:rsidR="00E96A19" w:rsidRPr="0063723D">
        <w:rPr>
          <w:rFonts w:ascii="Bookman Old Style" w:hAnsi="Bookman Old Style"/>
          <w:sz w:val="24"/>
          <w:szCs w:val="24"/>
        </w:rPr>
        <w:t>Rp1.865.608.000,00</w:t>
      </w:r>
      <w:r w:rsidR="00A954D0">
        <w:rPr>
          <w:rFonts w:ascii="Bookman Old Style" w:hAnsi="Bookman Old Style"/>
          <w:sz w:val="24"/>
          <w:szCs w:val="24"/>
        </w:rPr>
        <w:t xml:space="preserve"> </w:t>
      </w:r>
      <w:r w:rsidRPr="003255BC">
        <w:rPr>
          <w:rFonts w:ascii="Bookman Old Style" w:hAnsi="Bookman Old Style"/>
          <w:sz w:val="24"/>
          <w:szCs w:val="24"/>
          <w:lang w:val="sv-FI"/>
        </w:rPr>
        <w:t>yang</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antara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lain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tercantum</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pada</w:t>
      </w:r>
      <w:r w:rsidRPr="0063723D">
        <w:rPr>
          <w:rFonts w:ascii="Bookman Old Style" w:hAnsi="Bookman Old Style"/>
          <w:sz w:val="24"/>
          <w:szCs w:val="24"/>
          <w:lang w:val="fi-FI"/>
        </w:rPr>
        <w:t>:</w:t>
      </w:r>
    </w:p>
    <w:p w14:paraId="19CA511A" w14:textId="484D00E6" w:rsidR="003B7FE4" w:rsidRPr="0063723D" w:rsidRDefault="009713B7" w:rsidP="00AE2B82">
      <w:pPr>
        <w:pStyle w:val="ListParagraph"/>
        <w:numPr>
          <w:ilvl w:val="0"/>
          <w:numId w:val="164"/>
        </w:numPr>
        <w:spacing w:before="60" w:after="0" w:line="276" w:lineRule="auto"/>
        <w:ind w:left="3686" w:hanging="425"/>
        <w:contextualSpacing w:val="0"/>
        <w:jc w:val="both"/>
        <w:rPr>
          <w:rFonts w:ascii="Bookman Old Style" w:hAnsi="Bookman Old Style"/>
          <w:sz w:val="24"/>
          <w:szCs w:val="24"/>
        </w:rPr>
      </w:pPr>
      <w:r w:rsidRPr="0063723D">
        <w:rPr>
          <w:rFonts w:ascii="Bookman Old Style" w:hAnsi="Bookman Old Style"/>
          <w:sz w:val="24"/>
          <w:szCs w:val="24"/>
        </w:rPr>
        <w:t>Badan</w:t>
      </w:r>
      <w:r w:rsidR="00A954D0">
        <w:rPr>
          <w:rFonts w:ascii="Bookman Old Style" w:hAnsi="Bookman Old Style"/>
          <w:sz w:val="24"/>
          <w:szCs w:val="24"/>
        </w:rPr>
        <w:t xml:space="preserve"> </w:t>
      </w:r>
      <w:r w:rsidRPr="0063723D">
        <w:rPr>
          <w:rFonts w:ascii="Bookman Old Style" w:hAnsi="Bookman Old Style"/>
          <w:sz w:val="24"/>
          <w:szCs w:val="24"/>
        </w:rPr>
        <w:t>Kesatuan</w:t>
      </w:r>
      <w:r w:rsidR="00A954D0">
        <w:rPr>
          <w:rFonts w:ascii="Bookman Old Style" w:hAnsi="Bookman Old Style"/>
          <w:sz w:val="24"/>
          <w:szCs w:val="24"/>
        </w:rPr>
        <w:t xml:space="preserve"> </w:t>
      </w:r>
      <w:r w:rsidRPr="0063723D">
        <w:rPr>
          <w:rFonts w:ascii="Bookman Old Style" w:hAnsi="Bookman Old Style"/>
          <w:sz w:val="24"/>
          <w:szCs w:val="24"/>
        </w:rPr>
        <w:t>Bangsa</w:t>
      </w:r>
      <w:r w:rsidR="00A954D0">
        <w:rPr>
          <w:rFonts w:ascii="Bookman Old Style" w:hAnsi="Bookman Old Style"/>
          <w:sz w:val="24"/>
          <w:szCs w:val="24"/>
        </w:rPr>
        <w:t xml:space="preserve"> </w:t>
      </w:r>
      <w:r w:rsidRPr="0063723D">
        <w:rPr>
          <w:rFonts w:ascii="Bookman Old Style" w:hAnsi="Bookman Old Style"/>
          <w:sz w:val="24"/>
          <w:szCs w:val="24"/>
        </w:rPr>
        <w:t>dan</w:t>
      </w:r>
      <w:r w:rsidR="00A954D0">
        <w:rPr>
          <w:rFonts w:ascii="Bookman Old Style" w:hAnsi="Bookman Old Style"/>
          <w:sz w:val="24"/>
          <w:szCs w:val="24"/>
        </w:rPr>
        <w:t xml:space="preserve"> </w:t>
      </w:r>
      <w:r w:rsidRPr="0063723D">
        <w:rPr>
          <w:rFonts w:ascii="Bookman Old Style" w:hAnsi="Bookman Old Style"/>
          <w:sz w:val="24"/>
          <w:szCs w:val="24"/>
        </w:rPr>
        <w:t>Politik</w:t>
      </w:r>
      <w:r w:rsidR="00A954D0" w:rsidRPr="003255BC">
        <w:rPr>
          <w:rFonts w:ascii="Bookman Old Style" w:hAnsi="Bookman Old Style"/>
          <w:sz w:val="24"/>
          <w:szCs w:val="24"/>
          <w:lang w:val="sv-FI"/>
        </w:rPr>
        <w:t xml:space="preserve"> </w:t>
      </w:r>
      <w:r w:rsidR="00866C2A" w:rsidRPr="0063723D">
        <w:rPr>
          <w:rFonts w:ascii="Bookman Old Style" w:hAnsi="Bookman Old Style"/>
          <w:sz w:val="24"/>
          <w:szCs w:val="24"/>
        </w:rPr>
        <w:t>Rp577.530.000,00</w:t>
      </w:r>
      <w:r w:rsidR="00A954D0">
        <w:rPr>
          <w:rFonts w:ascii="Bookman Old Style" w:hAnsi="Bookman Old Style"/>
          <w:sz w:val="24"/>
          <w:szCs w:val="24"/>
        </w:rPr>
        <w:t xml:space="preserve"> </w:t>
      </w:r>
      <w:r w:rsidR="00866C2A" w:rsidRPr="0063723D">
        <w:rPr>
          <w:rFonts w:ascii="Bookman Old Style" w:hAnsi="Bookman Old Style"/>
          <w:sz w:val="24"/>
          <w:szCs w:val="24"/>
        </w:rPr>
        <w:t>atau</w:t>
      </w:r>
      <w:r w:rsidR="00A954D0">
        <w:rPr>
          <w:rFonts w:ascii="Bookman Old Style" w:hAnsi="Bookman Old Style"/>
          <w:sz w:val="24"/>
          <w:szCs w:val="24"/>
        </w:rPr>
        <w:t xml:space="preserve"> </w:t>
      </w:r>
      <w:r w:rsidR="00866C2A" w:rsidRPr="0063723D">
        <w:rPr>
          <w:rFonts w:ascii="Bookman Old Style" w:hAnsi="Bookman Old Style"/>
          <w:sz w:val="24"/>
          <w:szCs w:val="24"/>
        </w:rPr>
        <w:t>30,96%</w:t>
      </w:r>
      <w:r w:rsidR="00A954D0">
        <w:rPr>
          <w:rFonts w:ascii="Bookman Old Style" w:hAnsi="Bookman Old Style"/>
          <w:sz w:val="24"/>
          <w:szCs w:val="24"/>
          <w:lang w:val="id-ID"/>
        </w:rPr>
        <w:t xml:space="preserve"> </w:t>
      </w:r>
      <w:r w:rsidR="003B7FE4" w:rsidRPr="003255BC">
        <w:rPr>
          <w:rFonts w:ascii="Bookman Old Style" w:hAnsi="Bookman Old Style"/>
          <w:sz w:val="24"/>
          <w:szCs w:val="24"/>
          <w:lang w:val="sv-FI"/>
        </w:rPr>
        <w:t>dari</w:t>
      </w:r>
      <w:r w:rsidR="00A954D0" w:rsidRPr="003255BC">
        <w:rPr>
          <w:rFonts w:ascii="Bookman Old Style" w:hAnsi="Bookman Old Style"/>
          <w:sz w:val="24"/>
          <w:szCs w:val="24"/>
          <w:lang w:val="sv-FI"/>
        </w:rPr>
        <w:t xml:space="preserve"> </w:t>
      </w:r>
      <w:r w:rsidR="003B7FE4" w:rsidRPr="003255BC">
        <w:rPr>
          <w:rFonts w:ascii="Bookman Old Style" w:hAnsi="Bookman Old Style"/>
          <w:sz w:val="24"/>
          <w:szCs w:val="24"/>
          <w:lang w:val="sv-FI"/>
        </w:rPr>
        <w:t>total</w:t>
      </w:r>
      <w:r w:rsidR="00A954D0" w:rsidRPr="003255BC">
        <w:rPr>
          <w:rFonts w:ascii="Bookman Old Style" w:hAnsi="Bookman Old Style"/>
          <w:sz w:val="24"/>
          <w:szCs w:val="24"/>
          <w:lang w:val="sv-FI"/>
        </w:rPr>
        <w:t xml:space="preserve"> </w:t>
      </w:r>
      <w:r w:rsidR="003B7FE4" w:rsidRPr="003255BC">
        <w:rPr>
          <w:rFonts w:ascii="Bookman Old Style" w:hAnsi="Bookman Old Style"/>
          <w:sz w:val="24"/>
          <w:szCs w:val="24"/>
          <w:lang w:val="sv-FI"/>
        </w:rPr>
        <w:t>B</w:t>
      </w:r>
      <w:r w:rsidR="003B7FE4" w:rsidRPr="0063723D">
        <w:rPr>
          <w:rFonts w:ascii="Bookman Old Style" w:hAnsi="Bookman Old Style"/>
          <w:sz w:val="24"/>
          <w:szCs w:val="24"/>
        </w:rPr>
        <w:t>elanja</w:t>
      </w:r>
      <w:r w:rsidR="00A954D0">
        <w:rPr>
          <w:rFonts w:ascii="Bookman Old Style" w:hAnsi="Bookman Old Style"/>
          <w:sz w:val="24"/>
          <w:szCs w:val="24"/>
        </w:rPr>
        <w:t xml:space="preserve"> </w:t>
      </w:r>
      <w:r w:rsidR="003B7FE4" w:rsidRPr="0063723D">
        <w:rPr>
          <w:rFonts w:ascii="Bookman Old Style" w:hAnsi="Bookman Old Style"/>
          <w:sz w:val="24"/>
          <w:szCs w:val="24"/>
        </w:rPr>
        <w:t>Perjalanan</w:t>
      </w:r>
      <w:r w:rsidR="00A954D0">
        <w:rPr>
          <w:rFonts w:ascii="Bookman Old Style" w:hAnsi="Bookman Old Style"/>
          <w:sz w:val="24"/>
          <w:szCs w:val="24"/>
        </w:rPr>
        <w:t xml:space="preserve"> </w:t>
      </w:r>
      <w:r w:rsidR="003B7FE4" w:rsidRPr="0063723D">
        <w:rPr>
          <w:rFonts w:ascii="Bookman Old Style" w:hAnsi="Bookman Old Style"/>
          <w:sz w:val="24"/>
          <w:szCs w:val="24"/>
        </w:rPr>
        <w:t>Dinas</w:t>
      </w:r>
      <w:r w:rsidR="00A954D0">
        <w:rPr>
          <w:rFonts w:ascii="Bookman Old Style" w:hAnsi="Bookman Old Style"/>
          <w:sz w:val="24"/>
          <w:szCs w:val="24"/>
        </w:rPr>
        <w:t xml:space="preserve"> </w:t>
      </w:r>
      <w:r w:rsidR="003B7FE4" w:rsidRPr="0063723D">
        <w:rPr>
          <w:rFonts w:ascii="Bookman Old Style" w:hAnsi="Bookman Old Style"/>
          <w:sz w:val="24"/>
          <w:szCs w:val="24"/>
        </w:rPr>
        <w:t>Paket</w:t>
      </w:r>
      <w:r w:rsidR="00A954D0">
        <w:rPr>
          <w:rFonts w:ascii="Bookman Old Style" w:hAnsi="Bookman Old Style"/>
          <w:sz w:val="24"/>
          <w:szCs w:val="24"/>
        </w:rPr>
        <w:t xml:space="preserve"> </w:t>
      </w:r>
      <w:r w:rsidR="003B7FE4" w:rsidRPr="0063723D">
        <w:rPr>
          <w:rFonts w:ascii="Bookman Old Style" w:hAnsi="Bookman Old Style"/>
          <w:i/>
          <w:sz w:val="24"/>
          <w:szCs w:val="24"/>
        </w:rPr>
        <w:t>Meeting</w:t>
      </w:r>
      <w:r w:rsidR="00A954D0">
        <w:rPr>
          <w:rFonts w:ascii="Bookman Old Style" w:hAnsi="Bookman Old Style"/>
          <w:sz w:val="24"/>
          <w:szCs w:val="24"/>
        </w:rPr>
        <w:t xml:space="preserve"> </w:t>
      </w:r>
      <w:r w:rsidR="003B7FE4" w:rsidRPr="0063723D">
        <w:rPr>
          <w:rFonts w:ascii="Bookman Old Style" w:hAnsi="Bookman Old Style"/>
          <w:sz w:val="24"/>
          <w:szCs w:val="24"/>
        </w:rPr>
        <w:t>Dalam</w:t>
      </w:r>
      <w:r w:rsidR="00A954D0">
        <w:rPr>
          <w:rFonts w:ascii="Bookman Old Style" w:hAnsi="Bookman Old Style"/>
          <w:sz w:val="24"/>
          <w:szCs w:val="24"/>
        </w:rPr>
        <w:t xml:space="preserve"> </w:t>
      </w:r>
      <w:r w:rsidR="003B7FE4" w:rsidRPr="0063723D">
        <w:rPr>
          <w:rFonts w:ascii="Bookman Old Style" w:hAnsi="Bookman Old Style"/>
          <w:sz w:val="24"/>
          <w:szCs w:val="24"/>
        </w:rPr>
        <w:t>Kota;</w:t>
      </w:r>
    </w:p>
    <w:p w14:paraId="0196051A" w14:textId="2ED71FF4" w:rsidR="003B7FE4" w:rsidRPr="0063723D" w:rsidRDefault="005C40C9" w:rsidP="00AE2B82">
      <w:pPr>
        <w:pStyle w:val="ListParagraph"/>
        <w:numPr>
          <w:ilvl w:val="0"/>
          <w:numId w:val="164"/>
        </w:numPr>
        <w:spacing w:before="60" w:after="0" w:line="276" w:lineRule="auto"/>
        <w:ind w:left="3686" w:hanging="425"/>
        <w:contextualSpacing w:val="0"/>
        <w:jc w:val="both"/>
        <w:rPr>
          <w:rFonts w:ascii="Bookman Old Style" w:hAnsi="Bookman Old Style"/>
          <w:sz w:val="24"/>
          <w:szCs w:val="24"/>
        </w:rPr>
      </w:pPr>
      <w:r w:rsidRPr="0063723D">
        <w:rPr>
          <w:rFonts w:ascii="Bookman Old Style" w:hAnsi="Bookman Old Style"/>
          <w:sz w:val="24"/>
          <w:szCs w:val="24"/>
        </w:rPr>
        <w:t>Dinas</w:t>
      </w:r>
      <w:r w:rsidR="00A954D0">
        <w:rPr>
          <w:rFonts w:ascii="Bookman Old Style" w:hAnsi="Bookman Old Style"/>
          <w:sz w:val="24"/>
          <w:szCs w:val="24"/>
        </w:rPr>
        <w:t xml:space="preserve"> </w:t>
      </w:r>
      <w:r w:rsidRPr="0063723D">
        <w:rPr>
          <w:rFonts w:ascii="Bookman Old Style" w:hAnsi="Bookman Old Style"/>
          <w:sz w:val="24"/>
          <w:szCs w:val="24"/>
        </w:rPr>
        <w:t>Kesehatan</w:t>
      </w:r>
      <w:r w:rsidR="00A954D0">
        <w:rPr>
          <w:rFonts w:ascii="Bookman Old Style" w:hAnsi="Bookman Old Style"/>
          <w:sz w:val="24"/>
          <w:szCs w:val="24"/>
        </w:rPr>
        <w:t xml:space="preserve"> </w:t>
      </w:r>
      <w:r w:rsidRPr="0063723D">
        <w:rPr>
          <w:rFonts w:ascii="Bookman Old Style" w:hAnsi="Bookman Old Style"/>
          <w:sz w:val="24"/>
          <w:szCs w:val="24"/>
        </w:rPr>
        <w:t>Rp421.968.000,00</w:t>
      </w:r>
      <w:r w:rsidR="00A954D0">
        <w:rPr>
          <w:rFonts w:ascii="Bookman Old Style" w:hAnsi="Bookman Old Style"/>
          <w:sz w:val="24"/>
          <w:szCs w:val="24"/>
        </w:rPr>
        <w:t xml:space="preserve"> </w:t>
      </w:r>
      <w:r w:rsidRPr="0063723D">
        <w:rPr>
          <w:rFonts w:ascii="Bookman Old Style" w:hAnsi="Bookman Old Style"/>
          <w:sz w:val="24"/>
          <w:szCs w:val="24"/>
        </w:rPr>
        <w:t>atau</w:t>
      </w:r>
      <w:r w:rsidR="00A954D0">
        <w:rPr>
          <w:rFonts w:ascii="Bookman Old Style" w:hAnsi="Bookman Old Style"/>
          <w:sz w:val="24"/>
          <w:szCs w:val="24"/>
        </w:rPr>
        <w:t xml:space="preserve"> </w:t>
      </w:r>
      <w:r w:rsidRPr="0063723D">
        <w:rPr>
          <w:rFonts w:ascii="Bookman Old Style" w:hAnsi="Bookman Old Style"/>
          <w:sz w:val="24"/>
          <w:szCs w:val="24"/>
        </w:rPr>
        <w:t>22,62%</w:t>
      </w:r>
      <w:r w:rsidR="00A954D0">
        <w:rPr>
          <w:rFonts w:ascii="Bookman Old Style" w:hAnsi="Bookman Old Style"/>
          <w:sz w:val="24"/>
          <w:szCs w:val="24"/>
        </w:rPr>
        <w:t xml:space="preserve"> </w:t>
      </w:r>
      <w:r w:rsidR="003B7FE4" w:rsidRPr="0063723D">
        <w:rPr>
          <w:rFonts w:ascii="Bookman Old Style" w:hAnsi="Bookman Old Style"/>
          <w:sz w:val="24"/>
          <w:szCs w:val="24"/>
        </w:rPr>
        <w:t>dari</w:t>
      </w:r>
      <w:r w:rsidR="00A954D0">
        <w:rPr>
          <w:rFonts w:ascii="Bookman Old Style" w:hAnsi="Bookman Old Style"/>
          <w:sz w:val="24"/>
          <w:szCs w:val="24"/>
        </w:rPr>
        <w:t xml:space="preserve"> </w:t>
      </w:r>
      <w:r w:rsidR="003B7FE4" w:rsidRPr="0063723D">
        <w:rPr>
          <w:rFonts w:ascii="Bookman Old Style" w:hAnsi="Bookman Old Style"/>
          <w:sz w:val="24"/>
          <w:szCs w:val="24"/>
        </w:rPr>
        <w:t>total</w:t>
      </w:r>
      <w:r w:rsidR="00A954D0">
        <w:rPr>
          <w:rFonts w:ascii="Bookman Old Style" w:hAnsi="Bookman Old Style"/>
          <w:sz w:val="24"/>
          <w:szCs w:val="24"/>
        </w:rPr>
        <w:t xml:space="preserve"> </w:t>
      </w:r>
      <w:r w:rsidR="003B7FE4" w:rsidRPr="0063723D">
        <w:rPr>
          <w:rFonts w:ascii="Bookman Old Style" w:hAnsi="Bookman Old Style"/>
          <w:sz w:val="24"/>
          <w:szCs w:val="24"/>
        </w:rPr>
        <w:t>Belanja</w:t>
      </w:r>
      <w:r w:rsidR="00A954D0">
        <w:rPr>
          <w:rFonts w:ascii="Bookman Old Style" w:hAnsi="Bookman Old Style"/>
          <w:sz w:val="24"/>
          <w:szCs w:val="24"/>
        </w:rPr>
        <w:t xml:space="preserve"> </w:t>
      </w:r>
      <w:r w:rsidR="003B7FE4" w:rsidRPr="0063723D">
        <w:rPr>
          <w:rFonts w:ascii="Bookman Old Style" w:hAnsi="Bookman Old Style"/>
          <w:sz w:val="24"/>
          <w:szCs w:val="24"/>
        </w:rPr>
        <w:t>Perjalanan</w:t>
      </w:r>
      <w:r w:rsidR="00A954D0">
        <w:rPr>
          <w:rFonts w:ascii="Bookman Old Style" w:hAnsi="Bookman Old Style"/>
          <w:sz w:val="24"/>
          <w:szCs w:val="24"/>
        </w:rPr>
        <w:t xml:space="preserve"> </w:t>
      </w:r>
      <w:r w:rsidR="003B7FE4" w:rsidRPr="0063723D">
        <w:rPr>
          <w:rFonts w:ascii="Bookman Old Style" w:hAnsi="Bookman Old Style"/>
          <w:sz w:val="24"/>
          <w:szCs w:val="24"/>
        </w:rPr>
        <w:t>Dinas</w:t>
      </w:r>
      <w:r w:rsidR="00A954D0">
        <w:rPr>
          <w:rFonts w:ascii="Bookman Old Style" w:hAnsi="Bookman Old Style"/>
          <w:sz w:val="24"/>
          <w:szCs w:val="24"/>
        </w:rPr>
        <w:t xml:space="preserve"> </w:t>
      </w:r>
      <w:r w:rsidR="003B7FE4" w:rsidRPr="0063723D">
        <w:rPr>
          <w:rFonts w:ascii="Bookman Old Style" w:hAnsi="Bookman Old Style"/>
          <w:sz w:val="24"/>
          <w:szCs w:val="24"/>
        </w:rPr>
        <w:t>Paket</w:t>
      </w:r>
      <w:r w:rsidR="00A954D0">
        <w:rPr>
          <w:rFonts w:ascii="Bookman Old Style" w:hAnsi="Bookman Old Style"/>
          <w:sz w:val="24"/>
          <w:szCs w:val="24"/>
        </w:rPr>
        <w:t xml:space="preserve"> </w:t>
      </w:r>
      <w:r w:rsidR="003B7FE4" w:rsidRPr="0063723D">
        <w:rPr>
          <w:rFonts w:ascii="Bookman Old Style" w:hAnsi="Bookman Old Style"/>
          <w:sz w:val="24"/>
          <w:szCs w:val="24"/>
        </w:rPr>
        <w:t>Meeting</w:t>
      </w:r>
      <w:r w:rsidR="00A954D0">
        <w:rPr>
          <w:rFonts w:ascii="Bookman Old Style" w:hAnsi="Bookman Old Style"/>
          <w:sz w:val="24"/>
          <w:szCs w:val="24"/>
        </w:rPr>
        <w:t xml:space="preserve"> </w:t>
      </w:r>
      <w:r w:rsidR="003B7FE4" w:rsidRPr="0063723D">
        <w:rPr>
          <w:rFonts w:ascii="Bookman Old Style" w:hAnsi="Bookman Old Style"/>
          <w:sz w:val="24"/>
          <w:szCs w:val="24"/>
        </w:rPr>
        <w:t>Dalam</w:t>
      </w:r>
      <w:r w:rsidR="00A954D0">
        <w:rPr>
          <w:rFonts w:ascii="Bookman Old Style" w:hAnsi="Bookman Old Style"/>
          <w:sz w:val="24"/>
          <w:szCs w:val="24"/>
        </w:rPr>
        <w:t xml:space="preserve"> </w:t>
      </w:r>
      <w:r w:rsidR="003B7FE4" w:rsidRPr="0063723D">
        <w:rPr>
          <w:rFonts w:ascii="Bookman Old Style" w:hAnsi="Bookman Old Style"/>
          <w:sz w:val="24"/>
          <w:szCs w:val="24"/>
        </w:rPr>
        <w:t>Kota;</w:t>
      </w:r>
    </w:p>
    <w:p w14:paraId="734E61D3" w14:textId="1164B62B" w:rsidR="003B7FE4" w:rsidRPr="007E25C5" w:rsidRDefault="001C1822" w:rsidP="00AE2B82">
      <w:pPr>
        <w:pStyle w:val="ListParagraph"/>
        <w:numPr>
          <w:ilvl w:val="0"/>
          <w:numId w:val="164"/>
        </w:numPr>
        <w:spacing w:before="60" w:after="0" w:line="276" w:lineRule="auto"/>
        <w:ind w:left="3686" w:hanging="425"/>
        <w:contextualSpacing w:val="0"/>
        <w:jc w:val="both"/>
        <w:rPr>
          <w:rFonts w:ascii="Bookman Old Style" w:hAnsi="Bookman Old Style"/>
          <w:sz w:val="24"/>
          <w:szCs w:val="24"/>
        </w:rPr>
      </w:pPr>
      <w:r w:rsidRPr="0063723D">
        <w:rPr>
          <w:rFonts w:ascii="Bookman Old Style" w:hAnsi="Bookman Old Style"/>
          <w:sz w:val="24"/>
          <w:szCs w:val="24"/>
        </w:rPr>
        <w:t>Dinas</w:t>
      </w:r>
      <w:r w:rsidR="00A954D0">
        <w:rPr>
          <w:rFonts w:ascii="Bookman Old Style" w:hAnsi="Bookman Old Style"/>
          <w:sz w:val="24"/>
          <w:szCs w:val="24"/>
        </w:rPr>
        <w:t xml:space="preserve"> </w:t>
      </w:r>
      <w:r w:rsidRPr="0063723D">
        <w:rPr>
          <w:rFonts w:ascii="Bookman Old Style" w:hAnsi="Bookman Old Style"/>
          <w:sz w:val="24"/>
          <w:szCs w:val="24"/>
        </w:rPr>
        <w:t>Perumahan,</w:t>
      </w:r>
      <w:r w:rsidR="00A954D0">
        <w:rPr>
          <w:rFonts w:ascii="Bookman Old Style" w:hAnsi="Bookman Old Style"/>
          <w:sz w:val="24"/>
          <w:szCs w:val="24"/>
        </w:rPr>
        <w:t xml:space="preserve"> </w:t>
      </w:r>
      <w:r w:rsidRPr="0063723D">
        <w:rPr>
          <w:rFonts w:ascii="Bookman Old Style" w:hAnsi="Bookman Old Style"/>
          <w:sz w:val="24"/>
          <w:szCs w:val="24"/>
        </w:rPr>
        <w:t>Permukiman</w:t>
      </w:r>
      <w:r w:rsidR="00A954D0">
        <w:rPr>
          <w:rFonts w:ascii="Bookman Old Style" w:hAnsi="Bookman Old Style"/>
          <w:sz w:val="24"/>
          <w:szCs w:val="24"/>
        </w:rPr>
        <w:t xml:space="preserve"> </w:t>
      </w:r>
      <w:r w:rsidRPr="0063723D">
        <w:rPr>
          <w:rFonts w:ascii="Bookman Old Style" w:hAnsi="Bookman Old Style"/>
          <w:sz w:val="24"/>
          <w:szCs w:val="24"/>
        </w:rPr>
        <w:t>dan</w:t>
      </w:r>
      <w:r w:rsidR="00A954D0">
        <w:rPr>
          <w:rFonts w:ascii="Bookman Old Style" w:hAnsi="Bookman Old Style"/>
          <w:sz w:val="24"/>
          <w:szCs w:val="24"/>
        </w:rPr>
        <w:t xml:space="preserve"> </w:t>
      </w:r>
      <w:r w:rsidRPr="0063723D">
        <w:rPr>
          <w:rFonts w:ascii="Bookman Old Style" w:hAnsi="Bookman Old Style"/>
          <w:sz w:val="24"/>
          <w:szCs w:val="24"/>
        </w:rPr>
        <w:t>Pertanahan</w:t>
      </w:r>
      <w:r w:rsidR="00A954D0">
        <w:rPr>
          <w:rFonts w:ascii="Bookman Old Style" w:hAnsi="Bookman Old Style"/>
          <w:sz w:val="24"/>
          <w:szCs w:val="24"/>
        </w:rPr>
        <w:t xml:space="preserve"> </w:t>
      </w:r>
      <w:r w:rsidR="006152E4" w:rsidRPr="0063723D">
        <w:rPr>
          <w:rFonts w:ascii="Bookman Old Style" w:hAnsi="Bookman Old Style"/>
          <w:sz w:val="24"/>
          <w:szCs w:val="24"/>
        </w:rPr>
        <w:t>Rp367.525.000,00</w:t>
      </w:r>
      <w:r w:rsidR="00A954D0">
        <w:rPr>
          <w:rFonts w:ascii="Bookman Old Style" w:hAnsi="Bookman Old Style"/>
          <w:sz w:val="24"/>
          <w:szCs w:val="24"/>
        </w:rPr>
        <w:t xml:space="preserve"> </w:t>
      </w:r>
      <w:r w:rsidR="006152E4" w:rsidRPr="0063723D">
        <w:rPr>
          <w:rFonts w:ascii="Bookman Old Style" w:hAnsi="Bookman Old Style"/>
          <w:sz w:val="24"/>
          <w:szCs w:val="24"/>
        </w:rPr>
        <w:t>atau</w:t>
      </w:r>
      <w:r w:rsidR="00A954D0">
        <w:rPr>
          <w:rFonts w:ascii="Bookman Old Style" w:hAnsi="Bookman Old Style"/>
          <w:sz w:val="24"/>
          <w:szCs w:val="24"/>
        </w:rPr>
        <w:t xml:space="preserve"> </w:t>
      </w:r>
      <w:r w:rsidR="006152E4" w:rsidRPr="0063723D">
        <w:rPr>
          <w:rFonts w:ascii="Bookman Old Style" w:hAnsi="Bookman Old Style"/>
          <w:sz w:val="24"/>
          <w:szCs w:val="24"/>
        </w:rPr>
        <w:t>19,70%</w:t>
      </w:r>
      <w:r w:rsidR="00A954D0">
        <w:rPr>
          <w:rFonts w:ascii="Bookman Old Style" w:hAnsi="Bookman Old Style"/>
          <w:sz w:val="24"/>
          <w:szCs w:val="24"/>
          <w:lang w:val="id-ID"/>
        </w:rPr>
        <w:t xml:space="preserve"> </w:t>
      </w:r>
      <w:r w:rsidR="003B7FE4" w:rsidRPr="003255BC">
        <w:rPr>
          <w:rFonts w:ascii="Bookman Old Style" w:hAnsi="Bookman Old Style"/>
          <w:sz w:val="24"/>
          <w:szCs w:val="24"/>
          <w:lang w:val="sv-FI"/>
        </w:rPr>
        <w:t>dari</w:t>
      </w:r>
      <w:r w:rsidR="00A954D0" w:rsidRPr="003255BC">
        <w:rPr>
          <w:rFonts w:ascii="Bookman Old Style" w:hAnsi="Bookman Old Style"/>
          <w:sz w:val="24"/>
          <w:szCs w:val="24"/>
          <w:lang w:val="sv-FI"/>
        </w:rPr>
        <w:t xml:space="preserve"> </w:t>
      </w:r>
      <w:r w:rsidR="003B7FE4" w:rsidRPr="003255BC">
        <w:rPr>
          <w:rFonts w:ascii="Bookman Old Style" w:hAnsi="Bookman Old Style"/>
          <w:sz w:val="24"/>
          <w:szCs w:val="24"/>
          <w:lang w:val="sv-FI"/>
        </w:rPr>
        <w:t>total</w:t>
      </w:r>
      <w:r w:rsidR="00A954D0" w:rsidRPr="003255BC">
        <w:rPr>
          <w:rFonts w:ascii="Bookman Old Style" w:hAnsi="Bookman Old Style"/>
          <w:sz w:val="24"/>
          <w:szCs w:val="24"/>
          <w:lang w:val="sv-FI"/>
        </w:rPr>
        <w:t xml:space="preserve"> </w:t>
      </w:r>
      <w:r w:rsidR="003B7FE4" w:rsidRPr="003255BC">
        <w:rPr>
          <w:rFonts w:ascii="Bookman Old Style" w:hAnsi="Bookman Old Style"/>
          <w:sz w:val="24"/>
          <w:szCs w:val="24"/>
          <w:lang w:val="sv-FI"/>
        </w:rPr>
        <w:t>B</w:t>
      </w:r>
      <w:r w:rsidR="003B7FE4" w:rsidRPr="0063723D">
        <w:rPr>
          <w:rFonts w:ascii="Bookman Old Style" w:hAnsi="Bookman Old Style"/>
          <w:sz w:val="24"/>
          <w:szCs w:val="24"/>
        </w:rPr>
        <w:t>elanja</w:t>
      </w:r>
      <w:r w:rsidR="00A954D0">
        <w:rPr>
          <w:rFonts w:ascii="Bookman Old Style" w:hAnsi="Bookman Old Style"/>
          <w:sz w:val="24"/>
          <w:szCs w:val="24"/>
        </w:rPr>
        <w:t xml:space="preserve"> </w:t>
      </w:r>
      <w:r w:rsidR="003B7FE4" w:rsidRPr="0063723D">
        <w:rPr>
          <w:rFonts w:ascii="Bookman Old Style" w:hAnsi="Bookman Old Style"/>
          <w:sz w:val="24"/>
          <w:szCs w:val="24"/>
        </w:rPr>
        <w:t>Perjalanan</w:t>
      </w:r>
      <w:r w:rsidR="00A954D0">
        <w:rPr>
          <w:rFonts w:ascii="Bookman Old Style" w:hAnsi="Bookman Old Style"/>
          <w:sz w:val="24"/>
          <w:szCs w:val="24"/>
        </w:rPr>
        <w:t xml:space="preserve"> </w:t>
      </w:r>
      <w:r w:rsidR="003B7FE4" w:rsidRPr="0063723D">
        <w:rPr>
          <w:rFonts w:ascii="Bookman Old Style" w:hAnsi="Bookman Old Style"/>
          <w:sz w:val="24"/>
          <w:szCs w:val="24"/>
        </w:rPr>
        <w:t>Dinas</w:t>
      </w:r>
      <w:r w:rsidR="00A954D0">
        <w:rPr>
          <w:rFonts w:ascii="Bookman Old Style" w:hAnsi="Bookman Old Style"/>
          <w:sz w:val="24"/>
          <w:szCs w:val="24"/>
        </w:rPr>
        <w:t xml:space="preserve"> </w:t>
      </w:r>
      <w:r w:rsidR="003B7FE4" w:rsidRPr="0063723D">
        <w:rPr>
          <w:rFonts w:ascii="Bookman Old Style" w:hAnsi="Bookman Old Style"/>
          <w:sz w:val="24"/>
          <w:szCs w:val="24"/>
        </w:rPr>
        <w:t>Paket</w:t>
      </w:r>
      <w:r w:rsidR="00A954D0">
        <w:rPr>
          <w:rFonts w:ascii="Bookman Old Style" w:hAnsi="Bookman Old Style"/>
          <w:sz w:val="24"/>
          <w:szCs w:val="24"/>
        </w:rPr>
        <w:t xml:space="preserve"> </w:t>
      </w:r>
      <w:r w:rsidR="003B7FE4" w:rsidRPr="007E25C5">
        <w:rPr>
          <w:rFonts w:ascii="Bookman Old Style" w:hAnsi="Bookman Old Style"/>
          <w:i/>
          <w:sz w:val="24"/>
          <w:szCs w:val="24"/>
        </w:rPr>
        <w:t>Meeting</w:t>
      </w:r>
      <w:r w:rsidR="00A954D0">
        <w:rPr>
          <w:rFonts w:ascii="Bookman Old Style" w:hAnsi="Bookman Old Style"/>
          <w:sz w:val="24"/>
          <w:szCs w:val="24"/>
        </w:rPr>
        <w:t xml:space="preserve"> </w:t>
      </w:r>
      <w:r w:rsidR="003B7FE4" w:rsidRPr="007E25C5">
        <w:rPr>
          <w:rFonts w:ascii="Bookman Old Style" w:hAnsi="Bookman Old Style"/>
          <w:sz w:val="24"/>
          <w:szCs w:val="24"/>
        </w:rPr>
        <w:t>Dalam</w:t>
      </w:r>
      <w:r w:rsidR="00A954D0">
        <w:rPr>
          <w:rFonts w:ascii="Bookman Old Style" w:hAnsi="Bookman Old Style"/>
          <w:sz w:val="24"/>
          <w:szCs w:val="24"/>
        </w:rPr>
        <w:t xml:space="preserve"> </w:t>
      </w:r>
      <w:r w:rsidR="003B7FE4" w:rsidRPr="007E25C5">
        <w:rPr>
          <w:rFonts w:ascii="Bookman Old Style" w:hAnsi="Bookman Old Style"/>
          <w:sz w:val="24"/>
          <w:szCs w:val="24"/>
        </w:rPr>
        <w:t>Kota</w:t>
      </w:r>
      <w:r w:rsidR="00AE2B82" w:rsidRPr="00AE2B82">
        <w:rPr>
          <w:rFonts w:ascii="Bookman Old Style" w:hAnsi="Bookman Old Style"/>
          <w:sz w:val="24"/>
          <w:szCs w:val="24"/>
          <w:lang w:val="sv-FI"/>
        </w:rPr>
        <w:t>.</w:t>
      </w:r>
    </w:p>
    <w:p w14:paraId="210BE260" w14:textId="1294AE9F" w:rsidR="003B7FE4" w:rsidRPr="007E25C5" w:rsidRDefault="003B7FE4" w:rsidP="00AE2B82">
      <w:pPr>
        <w:pStyle w:val="ListParagraph"/>
        <w:numPr>
          <w:ilvl w:val="0"/>
          <w:numId w:val="149"/>
        </w:numPr>
        <w:spacing w:before="60" w:after="0" w:line="276" w:lineRule="auto"/>
        <w:ind w:left="3261" w:hanging="567"/>
        <w:contextualSpacing w:val="0"/>
        <w:jc w:val="both"/>
        <w:rPr>
          <w:rFonts w:ascii="Bookman Old Style" w:hAnsi="Bookman Old Style"/>
          <w:sz w:val="24"/>
          <w:szCs w:val="24"/>
        </w:rPr>
      </w:pPr>
      <w:r w:rsidRPr="007E25C5">
        <w:rPr>
          <w:rFonts w:ascii="Bookman Old Style" w:hAnsi="Bookman Old Style"/>
          <w:sz w:val="24"/>
          <w:szCs w:val="24"/>
        </w:rPr>
        <w:t>Belanja</w:t>
      </w:r>
      <w:r w:rsidR="00A954D0">
        <w:rPr>
          <w:rFonts w:ascii="Bookman Old Style" w:hAnsi="Bookman Old Style"/>
          <w:sz w:val="24"/>
          <w:szCs w:val="24"/>
        </w:rPr>
        <w:t xml:space="preserve"> </w:t>
      </w:r>
      <w:r w:rsidRPr="007E25C5">
        <w:rPr>
          <w:rFonts w:ascii="Bookman Old Style" w:hAnsi="Bookman Old Style"/>
          <w:sz w:val="24"/>
          <w:szCs w:val="24"/>
        </w:rPr>
        <w:t>Perjalanan</w:t>
      </w:r>
      <w:r w:rsidR="00A954D0">
        <w:rPr>
          <w:rFonts w:ascii="Bookman Old Style" w:hAnsi="Bookman Old Style"/>
          <w:sz w:val="24"/>
          <w:szCs w:val="24"/>
        </w:rPr>
        <w:t xml:space="preserve"> </w:t>
      </w:r>
      <w:r w:rsidRPr="007E25C5">
        <w:rPr>
          <w:rFonts w:ascii="Bookman Old Style" w:hAnsi="Bookman Old Style"/>
          <w:sz w:val="24"/>
          <w:szCs w:val="24"/>
        </w:rPr>
        <w:t>Dinas</w:t>
      </w:r>
      <w:r w:rsidR="00A954D0">
        <w:rPr>
          <w:rFonts w:ascii="Bookman Old Style" w:hAnsi="Bookman Old Style"/>
          <w:sz w:val="24"/>
          <w:szCs w:val="24"/>
        </w:rPr>
        <w:t xml:space="preserve"> </w:t>
      </w:r>
      <w:r w:rsidRPr="007E25C5">
        <w:rPr>
          <w:rFonts w:ascii="Bookman Old Style" w:hAnsi="Bookman Old Style"/>
          <w:sz w:val="24"/>
          <w:szCs w:val="24"/>
        </w:rPr>
        <w:t>Paket</w:t>
      </w:r>
      <w:r w:rsidR="00A954D0">
        <w:rPr>
          <w:rFonts w:ascii="Bookman Old Style" w:hAnsi="Bookman Old Style"/>
          <w:sz w:val="24"/>
          <w:szCs w:val="24"/>
        </w:rPr>
        <w:t xml:space="preserve"> </w:t>
      </w:r>
      <w:r w:rsidRPr="007E25C5">
        <w:rPr>
          <w:rFonts w:ascii="Bookman Old Style" w:hAnsi="Bookman Old Style"/>
          <w:i/>
          <w:sz w:val="24"/>
          <w:szCs w:val="24"/>
        </w:rPr>
        <w:t>Meeting</w:t>
      </w:r>
      <w:r w:rsidR="00A954D0">
        <w:rPr>
          <w:rFonts w:ascii="Bookman Old Style" w:hAnsi="Bookman Old Style"/>
          <w:sz w:val="24"/>
          <w:szCs w:val="24"/>
        </w:rPr>
        <w:t xml:space="preserve"> </w:t>
      </w:r>
      <w:r w:rsidRPr="007E25C5">
        <w:rPr>
          <w:rFonts w:ascii="Bookman Old Style" w:hAnsi="Bookman Old Style"/>
          <w:sz w:val="24"/>
          <w:szCs w:val="24"/>
        </w:rPr>
        <w:t>Luar</w:t>
      </w:r>
      <w:r w:rsidR="00A954D0">
        <w:rPr>
          <w:rFonts w:ascii="Bookman Old Style" w:hAnsi="Bookman Old Style"/>
          <w:sz w:val="24"/>
          <w:szCs w:val="24"/>
        </w:rPr>
        <w:t xml:space="preserve"> </w:t>
      </w:r>
      <w:r w:rsidRPr="007E25C5">
        <w:rPr>
          <w:rFonts w:ascii="Bookman Old Style" w:hAnsi="Bookman Old Style"/>
          <w:sz w:val="24"/>
          <w:szCs w:val="24"/>
        </w:rPr>
        <w:t>Kota</w:t>
      </w:r>
      <w:r w:rsidR="00A954D0">
        <w:rPr>
          <w:rFonts w:ascii="Bookman Old Style" w:hAnsi="Bookman Old Style"/>
          <w:sz w:val="24"/>
          <w:szCs w:val="24"/>
        </w:rPr>
        <w:t xml:space="preserve"> </w:t>
      </w:r>
      <w:r w:rsidR="0063723D" w:rsidRPr="007E25C5">
        <w:rPr>
          <w:rFonts w:ascii="Bookman Old Style" w:hAnsi="Bookman Old Style"/>
          <w:sz w:val="24"/>
          <w:szCs w:val="24"/>
        </w:rPr>
        <w:t>Rp11.638.506.000,00</w:t>
      </w:r>
      <w:r w:rsidR="00A954D0">
        <w:rPr>
          <w:rFonts w:ascii="Bookman Old Style" w:hAnsi="Bookman Old Style"/>
          <w:sz w:val="24"/>
          <w:szCs w:val="24"/>
        </w:rPr>
        <w:t xml:space="preserve"> </w:t>
      </w:r>
      <w:r w:rsidRPr="003255BC">
        <w:rPr>
          <w:rFonts w:ascii="Bookman Old Style" w:hAnsi="Bookman Old Style"/>
          <w:sz w:val="24"/>
          <w:szCs w:val="24"/>
          <w:lang w:val="sv-FI"/>
        </w:rPr>
        <w:t>yang</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antara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lain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tercantum</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pada</w:t>
      </w:r>
      <w:r w:rsidRPr="007E25C5">
        <w:rPr>
          <w:rFonts w:ascii="Bookman Old Style" w:hAnsi="Bookman Old Style"/>
          <w:sz w:val="24"/>
          <w:szCs w:val="24"/>
          <w:lang w:val="fi-FI"/>
        </w:rPr>
        <w:t>:</w:t>
      </w:r>
    </w:p>
    <w:p w14:paraId="5FF85284" w14:textId="11230519" w:rsidR="003B7FE4" w:rsidRPr="00202F0A" w:rsidRDefault="002E0350" w:rsidP="00AE2B82">
      <w:pPr>
        <w:pStyle w:val="ListParagraph"/>
        <w:numPr>
          <w:ilvl w:val="0"/>
          <w:numId w:val="165"/>
        </w:numPr>
        <w:spacing w:before="60" w:after="0" w:line="276" w:lineRule="auto"/>
        <w:ind w:left="3686" w:hanging="425"/>
        <w:contextualSpacing w:val="0"/>
        <w:jc w:val="both"/>
        <w:rPr>
          <w:rFonts w:ascii="Bookman Old Style" w:hAnsi="Bookman Old Style"/>
          <w:sz w:val="24"/>
          <w:szCs w:val="24"/>
        </w:rPr>
      </w:pPr>
      <w:r w:rsidRPr="00202F0A">
        <w:rPr>
          <w:rFonts w:ascii="Bookman Old Style" w:hAnsi="Bookman Old Style"/>
          <w:sz w:val="24"/>
          <w:szCs w:val="24"/>
        </w:rPr>
        <w:t>Sekretariat</w:t>
      </w:r>
      <w:r w:rsidR="00A954D0">
        <w:rPr>
          <w:rFonts w:ascii="Bookman Old Style" w:hAnsi="Bookman Old Style"/>
          <w:sz w:val="24"/>
          <w:szCs w:val="24"/>
        </w:rPr>
        <w:t xml:space="preserve"> </w:t>
      </w:r>
      <w:r w:rsidR="007E25C5" w:rsidRPr="00202F0A">
        <w:rPr>
          <w:rFonts w:ascii="Bookman Old Style" w:hAnsi="Bookman Old Style"/>
          <w:sz w:val="24"/>
          <w:szCs w:val="24"/>
        </w:rPr>
        <w:t>Daerah</w:t>
      </w:r>
      <w:r w:rsidR="00A954D0">
        <w:rPr>
          <w:rFonts w:ascii="Bookman Old Style" w:hAnsi="Bookman Old Style"/>
          <w:sz w:val="24"/>
          <w:szCs w:val="24"/>
        </w:rPr>
        <w:t xml:space="preserve"> </w:t>
      </w:r>
      <w:r w:rsidR="009461CB" w:rsidRPr="00202F0A">
        <w:rPr>
          <w:rFonts w:ascii="Bookman Old Style" w:hAnsi="Bookman Old Style"/>
          <w:sz w:val="24"/>
          <w:szCs w:val="24"/>
        </w:rPr>
        <w:t>Rp1.666.638.000,00</w:t>
      </w:r>
      <w:r w:rsidR="00A954D0">
        <w:rPr>
          <w:rFonts w:ascii="Bookman Old Style" w:hAnsi="Bookman Old Style"/>
          <w:sz w:val="24"/>
          <w:szCs w:val="24"/>
        </w:rPr>
        <w:t xml:space="preserve"> </w:t>
      </w:r>
      <w:r w:rsidR="009461CB" w:rsidRPr="00202F0A">
        <w:rPr>
          <w:rFonts w:ascii="Bookman Old Style" w:hAnsi="Bookman Old Style"/>
          <w:sz w:val="24"/>
          <w:szCs w:val="24"/>
        </w:rPr>
        <w:t>atau</w:t>
      </w:r>
      <w:r w:rsidR="00A954D0">
        <w:rPr>
          <w:rFonts w:ascii="Bookman Old Style" w:hAnsi="Bookman Old Style"/>
          <w:sz w:val="24"/>
          <w:szCs w:val="24"/>
        </w:rPr>
        <w:t xml:space="preserve"> </w:t>
      </w:r>
      <w:r w:rsidR="009461CB" w:rsidRPr="00202F0A">
        <w:rPr>
          <w:rFonts w:ascii="Bookman Old Style" w:hAnsi="Bookman Old Style"/>
          <w:sz w:val="24"/>
          <w:szCs w:val="24"/>
        </w:rPr>
        <w:t>14,32%</w:t>
      </w:r>
      <w:r w:rsidR="00A954D0">
        <w:rPr>
          <w:rFonts w:ascii="Bookman Old Style" w:hAnsi="Bookman Old Style"/>
          <w:sz w:val="24"/>
          <w:szCs w:val="24"/>
        </w:rPr>
        <w:t xml:space="preserve"> </w:t>
      </w:r>
      <w:r w:rsidR="003B7FE4" w:rsidRPr="003255BC">
        <w:rPr>
          <w:rFonts w:ascii="Bookman Old Style" w:hAnsi="Bookman Old Style"/>
          <w:sz w:val="24"/>
          <w:szCs w:val="24"/>
          <w:lang w:val="sv-FI"/>
        </w:rPr>
        <w:t>dari</w:t>
      </w:r>
      <w:r w:rsidR="00A954D0" w:rsidRPr="003255BC">
        <w:rPr>
          <w:rFonts w:ascii="Bookman Old Style" w:hAnsi="Bookman Old Style"/>
          <w:sz w:val="24"/>
          <w:szCs w:val="24"/>
          <w:lang w:val="sv-FI"/>
        </w:rPr>
        <w:t xml:space="preserve"> </w:t>
      </w:r>
      <w:r w:rsidR="003B7FE4" w:rsidRPr="003255BC">
        <w:rPr>
          <w:rFonts w:ascii="Bookman Old Style" w:hAnsi="Bookman Old Style"/>
          <w:sz w:val="24"/>
          <w:szCs w:val="24"/>
          <w:lang w:val="sv-FI"/>
        </w:rPr>
        <w:t>total</w:t>
      </w:r>
      <w:r w:rsidR="00A954D0" w:rsidRPr="003255BC">
        <w:rPr>
          <w:rFonts w:ascii="Bookman Old Style" w:hAnsi="Bookman Old Style"/>
          <w:sz w:val="24"/>
          <w:szCs w:val="24"/>
          <w:lang w:val="sv-FI"/>
        </w:rPr>
        <w:t xml:space="preserve"> </w:t>
      </w:r>
      <w:r w:rsidR="003B7FE4" w:rsidRPr="003255BC">
        <w:rPr>
          <w:rFonts w:ascii="Bookman Old Style" w:hAnsi="Bookman Old Style"/>
          <w:sz w:val="24"/>
          <w:szCs w:val="24"/>
          <w:lang w:val="sv-FI"/>
        </w:rPr>
        <w:t>B</w:t>
      </w:r>
      <w:r w:rsidR="003B7FE4" w:rsidRPr="00202F0A">
        <w:rPr>
          <w:rFonts w:ascii="Bookman Old Style" w:hAnsi="Bookman Old Style"/>
          <w:sz w:val="24"/>
          <w:szCs w:val="24"/>
        </w:rPr>
        <w:t>elanja</w:t>
      </w:r>
      <w:r w:rsidR="00A954D0">
        <w:rPr>
          <w:rFonts w:ascii="Bookman Old Style" w:hAnsi="Bookman Old Style"/>
          <w:sz w:val="24"/>
          <w:szCs w:val="24"/>
        </w:rPr>
        <w:t xml:space="preserve"> </w:t>
      </w:r>
      <w:r w:rsidR="003B7FE4" w:rsidRPr="00202F0A">
        <w:rPr>
          <w:rFonts w:ascii="Bookman Old Style" w:hAnsi="Bookman Old Style"/>
          <w:sz w:val="24"/>
          <w:szCs w:val="24"/>
        </w:rPr>
        <w:t>Perjalanan</w:t>
      </w:r>
      <w:r w:rsidR="00A954D0">
        <w:rPr>
          <w:rFonts w:ascii="Bookman Old Style" w:hAnsi="Bookman Old Style"/>
          <w:sz w:val="24"/>
          <w:szCs w:val="24"/>
        </w:rPr>
        <w:t xml:space="preserve"> </w:t>
      </w:r>
      <w:r w:rsidR="003B7FE4" w:rsidRPr="00202F0A">
        <w:rPr>
          <w:rFonts w:ascii="Bookman Old Style" w:hAnsi="Bookman Old Style"/>
          <w:sz w:val="24"/>
          <w:szCs w:val="24"/>
        </w:rPr>
        <w:t>Dinas</w:t>
      </w:r>
      <w:r w:rsidR="00A954D0">
        <w:rPr>
          <w:rFonts w:ascii="Bookman Old Style" w:hAnsi="Bookman Old Style"/>
          <w:sz w:val="24"/>
          <w:szCs w:val="24"/>
        </w:rPr>
        <w:t xml:space="preserve"> </w:t>
      </w:r>
      <w:r w:rsidR="003B7FE4" w:rsidRPr="00202F0A">
        <w:rPr>
          <w:rFonts w:ascii="Bookman Old Style" w:hAnsi="Bookman Old Style"/>
          <w:sz w:val="24"/>
          <w:szCs w:val="24"/>
        </w:rPr>
        <w:t>Paket</w:t>
      </w:r>
      <w:r w:rsidR="00A954D0">
        <w:rPr>
          <w:rFonts w:ascii="Bookman Old Style" w:hAnsi="Bookman Old Style"/>
          <w:sz w:val="24"/>
          <w:szCs w:val="24"/>
        </w:rPr>
        <w:t xml:space="preserve"> </w:t>
      </w:r>
      <w:r w:rsidR="003B7FE4" w:rsidRPr="00202F0A">
        <w:rPr>
          <w:rFonts w:ascii="Bookman Old Style" w:hAnsi="Bookman Old Style"/>
          <w:i/>
          <w:sz w:val="24"/>
          <w:szCs w:val="24"/>
        </w:rPr>
        <w:t>Meeting</w:t>
      </w:r>
      <w:r w:rsidR="00A954D0">
        <w:rPr>
          <w:rFonts w:ascii="Bookman Old Style" w:hAnsi="Bookman Old Style"/>
          <w:sz w:val="24"/>
          <w:szCs w:val="24"/>
        </w:rPr>
        <w:t xml:space="preserve"> </w:t>
      </w:r>
      <w:r w:rsidR="003B7FE4" w:rsidRPr="00202F0A">
        <w:rPr>
          <w:rFonts w:ascii="Bookman Old Style" w:hAnsi="Bookman Old Style"/>
          <w:sz w:val="24"/>
          <w:szCs w:val="24"/>
        </w:rPr>
        <w:t>Luar</w:t>
      </w:r>
      <w:r w:rsidR="00A954D0">
        <w:rPr>
          <w:rFonts w:ascii="Bookman Old Style" w:hAnsi="Bookman Old Style"/>
          <w:sz w:val="24"/>
          <w:szCs w:val="24"/>
        </w:rPr>
        <w:t xml:space="preserve"> </w:t>
      </w:r>
      <w:r w:rsidR="003B7FE4" w:rsidRPr="00202F0A">
        <w:rPr>
          <w:rFonts w:ascii="Bookman Old Style" w:hAnsi="Bookman Old Style"/>
          <w:sz w:val="24"/>
          <w:szCs w:val="24"/>
        </w:rPr>
        <w:t>Kota;</w:t>
      </w:r>
      <w:r w:rsidR="00A954D0">
        <w:rPr>
          <w:rFonts w:ascii="Bookman Old Style" w:hAnsi="Bookman Old Style"/>
          <w:sz w:val="24"/>
          <w:szCs w:val="24"/>
        </w:rPr>
        <w:t xml:space="preserve"> </w:t>
      </w:r>
      <w:r w:rsidR="003B7FE4" w:rsidRPr="00202F0A">
        <w:rPr>
          <w:rFonts w:ascii="Bookman Old Style" w:hAnsi="Bookman Old Style"/>
          <w:sz w:val="24"/>
          <w:szCs w:val="24"/>
        </w:rPr>
        <w:t>dan</w:t>
      </w:r>
    </w:p>
    <w:p w14:paraId="5111B968" w14:textId="22ACCDDD" w:rsidR="00E06B39" w:rsidRPr="00202F0A" w:rsidRDefault="009461CB" w:rsidP="00AE2B82">
      <w:pPr>
        <w:pStyle w:val="ListParagraph"/>
        <w:numPr>
          <w:ilvl w:val="0"/>
          <w:numId w:val="165"/>
        </w:numPr>
        <w:spacing w:before="60" w:after="0" w:line="276" w:lineRule="auto"/>
        <w:ind w:left="3686" w:hanging="425"/>
        <w:contextualSpacing w:val="0"/>
        <w:jc w:val="both"/>
        <w:rPr>
          <w:rFonts w:ascii="Bookman Old Style" w:hAnsi="Bookman Old Style"/>
          <w:sz w:val="24"/>
          <w:szCs w:val="24"/>
        </w:rPr>
      </w:pPr>
      <w:r w:rsidRPr="00202F0A">
        <w:rPr>
          <w:rFonts w:ascii="Bookman Old Style" w:hAnsi="Bookman Old Style"/>
          <w:sz w:val="24"/>
          <w:szCs w:val="24"/>
        </w:rPr>
        <w:t>Sekretariat</w:t>
      </w:r>
      <w:r w:rsidR="00A954D0">
        <w:rPr>
          <w:rFonts w:ascii="Bookman Old Style" w:hAnsi="Bookman Old Style"/>
          <w:sz w:val="24"/>
          <w:szCs w:val="24"/>
        </w:rPr>
        <w:t xml:space="preserve"> </w:t>
      </w:r>
      <w:r w:rsidR="007E25C5" w:rsidRPr="00202F0A">
        <w:rPr>
          <w:rFonts w:ascii="Bookman Old Style" w:hAnsi="Bookman Old Style"/>
          <w:sz w:val="24"/>
          <w:szCs w:val="24"/>
        </w:rPr>
        <w:t>DPRD</w:t>
      </w:r>
      <w:r w:rsidR="00A954D0">
        <w:rPr>
          <w:rFonts w:ascii="Bookman Old Style" w:hAnsi="Bookman Old Style"/>
          <w:sz w:val="24"/>
          <w:szCs w:val="24"/>
        </w:rPr>
        <w:t xml:space="preserve"> </w:t>
      </w:r>
      <w:r w:rsidRPr="00202F0A">
        <w:rPr>
          <w:rFonts w:ascii="Bookman Old Style" w:hAnsi="Bookman Old Style"/>
          <w:sz w:val="24"/>
          <w:szCs w:val="24"/>
        </w:rPr>
        <w:t>Rp898.180.000,00</w:t>
      </w:r>
      <w:r w:rsidR="00A954D0">
        <w:rPr>
          <w:rFonts w:ascii="Bookman Old Style" w:hAnsi="Bookman Old Style"/>
          <w:sz w:val="24"/>
          <w:szCs w:val="24"/>
        </w:rPr>
        <w:t xml:space="preserve"> </w:t>
      </w:r>
      <w:r w:rsidRPr="00202F0A">
        <w:rPr>
          <w:rFonts w:ascii="Bookman Old Style" w:hAnsi="Bookman Old Style"/>
          <w:sz w:val="24"/>
          <w:szCs w:val="24"/>
        </w:rPr>
        <w:t>atau</w:t>
      </w:r>
      <w:r w:rsidR="00A954D0">
        <w:rPr>
          <w:rFonts w:ascii="Bookman Old Style" w:hAnsi="Bookman Old Style"/>
          <w:sz w:val="24"/>
          <w:szCs w:val="24"/>
        </w:rPr>
        <w:t xml:space="preserve"> </w:t>
      </w:r>
      <w:r w:rsidRPr="00202F0A">
        <w:rPr>
          <w:rFonts w:ascii="Bookman Old Style" w:hAnsi="Bookman Old Style"/>
          <w:sz w:val="24"/>
          <w:szCs w:val="24"/>
        </w:rPr>
        <w:t>7,72%</w:t>
      </w:r>
      <w:r w:rsidR="00A954D0" w:rsidRPr="003255BC">
        <w:rPr>
          <w:rFonts w:ascii="Bookman Old Style" w:hAnsi="Bookman Old Style"/>
          <w:sz w:val="24"/>
          <w:szCs w:val="24"/>
          <w:lang w:val="sv-FI"/>
        </w:rPr>
        <w:t xml:space="preserve"> </w:t>
      </w:r>
      <w:r w:rsidR="003B7FE4" w:rsidRPr="00202F0A">
        <w:rPr>
          <w:rFonts w:ascii="Bookman Old Style" w:hAnsi="Bookman Old Style"/>
          <w:sz w:val="24"/>
          <w:szCs w:val="24"/>
        </w:rPr>
        <w:t>dari</w:t>
      </w:r>
      <w:r w:rsidR="00A954D0">
        <w:rPr>
          <w:rFonts w:ascii="Bookman Old Style" w:hAnsi="Bookman Old Style"/>
          <w:sz w:val="24"/>
          <w:szCs w:val="24"/>
        </w:rPr>
        <w:t xml:space="preserve"> </w:t>
      </w:r>
      <w:r w:rsidR="003B7FE4" w:rsidRPr="00202F0A">
        <w:rPr>
          <w:rFonts w:ascii="Bookman Old Style" w:hAnsi="Bookman Old Style"/>
          <w:sz w:val="24"/>
          <w:szCs w:val="24"/>
        </w:rPr>
        <w:t>total</w:t>
      </w:r>
      <w:r w:rsidR="00A954D0">
        <w:rPr>
          <w:rFonts w:ascii="Bookman Old Style" w:hAnsi="Bookman Old Style"/>
          <w:sz w:val="24"/>
          <w:szCs w:val="24"/>
        </w:rPr>
        <w:t xml:space="preserve"> </w:t>
      </w:r>
      <w:r w:rsidR="003B7FE4" w:rsidRPr="00202F0A">
        <w:rPr>
          <w:rFonts w:ascii="Bookman Old Style" w:hAnsi="Bookman Old Style"/>
          <w:sz w:val="24"/>
          <w:szCs w:val="24"/>
        </w:rPr>
        <w:t>Belanja</w:t>
      </w:r>
      <w:r w:rsidR="00A954D0">
        <w:rPr>
          <w:rFonts w:ascii="Bookman Old Style" w:hAnsi="Bookman Old Style"/>
          <w:sz w:val="24"/>
          <w:szCs w:val="24"/>
        </w:rPr>
        <w:t xml:space="preserve"> </w:t>
      </w:r>
      <w:r w:rsidR="003B7FE4" w:rsidRPr="00202F0A">
        <w:rPr>
          <w:rFonts w:ascii="Bookman Old Style" w:hAnsi="Bookman Old Style"/>
          <w:sz w:val="24"/>
          <w:szCs w:val="24"/>
        </w:rPr>
        <w:t>Perjalanan</w:t>
      </w:r>
      <w:r w:rsidR="00A954D0">
        <w:rPr>
          <w:rFonts w:ascii="Bookman Old Style" w:hAnsi="Bookman Old Style"/>
          <w:sz w:val="24"/>
          <w:szCs w:val="24"/>
        </w:rPr>
        <w:t xml:space="preserve"> </w:t>
      </w:r>
      <w:r w:rsidR="003B7FE4" w:rsidRPr="00202F0A">
        <w:rPr>
          <w:rFonts w:ascii="Bookman Old Style" w:hAnsi="Bookman Old Style"/>
          <w:sz w:val="24"/>
          <w:szCs w:val="24"/>
        </w:rPr>
        <w:t>Dinas</w:t>
      </w:r>
      <w:r w:rsidR="00A954D0">
        <w:rPr>
          <w:rFonts w:ascii="Bookman Old Style" w:hAnsi="Bookman Old Style"/>
          <w:sz w:val="24"/>
          <w:szCs w:val="24"/>
        </w:rPr>
        <w:t xml:space="preserve"> </w:t>
      </w:r>
      <w:r w:rsidR="003B7FE4" w:rsidRPr="00202F0A">
        <w:rPr>
          <w:rFonts w:ascii="Bookman Old Style" w:hAnsi="Bookman Old Style"/>
          <w:sz w:val="24"/>
          <w:szCs w:val="24"/>
        </w:rPr>
        <w:t>Paket</w:t>
      </w:r>
      <w:r w:rsidR="00A954D0">
        <w:rPr>
          <w:rFonts w:ascii="Bookman Old Style" w:hAnsi="Bookman Old Style"/>
          <w:sz w:val="24"/>
          <w:szCs w:val="24"/>
        </w:rPr>
        <w:t xml:space="preserve"> </w:t>
      </w:r>
      <w:r w:rsidR="003B7FE4" w:rsidRPr="00202F0A">
        <w:rPr>
          <w:rFonts w:ascii="Bookman Old Style" w:hAnsi="Bookman Old Style"/>
          <w:i/>
          <w:sz w:val="24"/>
          <w:szCs w:val="24"/>
        </w:rPr>
        <w:t>Meeting</w:t>
      </w:r>
      <w:r w:rsidR="00A954D0">
        <w:rPr>
          <w:rFonts w:ascii="Bookman Old Style" w:hAnsi="Bookman Old Style"/>
          <w:sz w:val="24"/>
          <w:szCs w:val="24"/>
        </w:rPr>
        <w:t xml:space="preserve"> </w:t>
      </w:r>
      <w:r w:rsidR="003B7FE4" w:rsidRPr="003255BC">
        <w:rPr>
          <w:rFonts w:ascii="Bookman Old Style" w:hAnsi="Bookman Old Style"/>
          <w:sz w:val="24"/>
          <w:szCs w:val="24"/>
          <w:lang w:val="sv-FI"/>
        </w:rPr>
        <w:t>Luar</w:t>
      </w:r>
      <w:r w:rsidR="00A954D0">
        <w:rPr>
          <w:rFonts w:ascii="Bookman Old Style" w:hAnsi="Bookman Old Style"/>
          <w:sz w:val="24"/>
          <w:szCs w:val="24"/>
        </w:rPr>
        <w:t xml:space="preserve"> </w:t>
      </w:r>
      <w:r w:rsidR="003B7FE4" w:rsidRPr="00202F0A">
        <w:rPr>
          <w:rFonts w:ascii="Bookman Old Style" w:hAnsi="Bookman Old Style"/>
          <w:sz w:val="24"/>
          <w:szCs w:val="24"/>
        </w:rPr>
        <w:t>Kota</w:t>
      </w:r>
      <w:r w:rsidR="00E06B39" w:rsidRPr="00202F0A">
        <w:rPr>
          <w:rFonts w:ascii="Bookman Old Style" w:hAnsi="Bookman Old Style"/>
          <w:sz w:val="24"/>
          <w:szCs w:val="24"/>
        </w:rPr>
        <w:t>;</w:t>
      </w:r>
    </w:p>
    <w:p w14:paraId="54828365" w14:textId="001F66A0" w:rsidR="003B7FE4" w:rsidRPr="00202F0A" w:rsidRDefault="00E06B39" w:rsidP="00AE2B82">
      <w:pPr>
        <w:pStyle w:val="ListParagraph"/>
        <w:numPr>
          <w:ilvl w:val="0"/>
          <w:numId w:val="165"/>
        </w:numPr>
        <w:spacing w:before="60" w:after="0" w:line="276" w:lineRule="auto"/>
        <w:ind w:left="3686" w:hanging="425"/>
        <w:contextualSpacing w:val="0"/>
        <w:jc w:val="both"/>
        <w:rPr>
          <w:rFonts w:ascii="Bookman Old Style" w:hAnsi="Bookman Old Style"/>
          <w:sz w:val="24"/>
          <w:szCs w:val="24"/>
        </w:rPr>
      </w:pPr>
      <w:r w:rsidRPr="00202F0A">
        <w:rPr>
          <w:rFonts w:ascii="Bookman Old Style" w:hAnsi="Bookman Old Style"/>
          <w:sz w:val="24"/>
          <w:szCs w:val="24"/>
        </w:rPr>
        <w:t>Badan</w:t>
      </w:r>
      <w:r w:rsidR="00A954D0">
        <w:rPr>
          <w:rFonts w:ascii="Bookman Old Style" w:hAnsi="Bookman Old Style"/>
          <w:sz w:val="24"/>
          <w:szCs w:val="24"/>
        </w:rPr>
        <w:t xml:space="preserve"> </w:t>
      </w:r>
      <w:r w:rsidRPr="00202F0A">
        <w:rPr>
          <w:rFonts w:ascii="Bookman Old Style" w:hAnsi="Bookman Old Style"/>
          <w:sz w:val="24"/>
          <w:szCs w:val="24"/>
        </w:rPr>
        <w:t>Pengelola</w:t>
      </w:r>
      <w:r w:rsidR="00A954D0">
        <w:rPr>
          <w:rFonts w:ascii="Bookman Old Style" w:hAnsi="Bookman Old Style"/>
          <w:sz w:val="24"/>
          <w:szCs w:val="24"/>
        </w:rPr>
        <w:t xml:space="preserve"> </w:t>
      </w:r>
      <w:r w:rsidRPr="00202F0A">
        <w:rPr>
          <w:rFonts w:ascii="Bookman Old Style" w:hAnsi="Bookman Old Style"/>
          <w:sz w:val="24"/>
          <w:szCs w:val="24"/>
        </w:rPr>
        <w:t>Keuangan</w:t>
      </w:r>
      <w:r w:rsidR="00A954D0">
        <w:rPr>
          <w:rFonts w:ascii="Bookman Old Style" w:hAnsi="Bookman Old Style"/>
          <w:sz w:val="24"/>
          <w:szCs w:val="24"/>
        </w:rPr>
        <w:t xml:space="preserve"> </w:t>
      </w:r>
      <w:r w:rsidRPr="00202F0A">
        <w:rPr>
          <w:rFonts w:ascii="Bookman Old Style" w:hAnsi="Bookman Old Style"/>
          <w:sz w:val="24"/>
          <w:szCs w:val="24"/>
        </w:rPr>
        <w:t>Daerah</w:t>
      </w:r>
      <w:r w:rsidR="00A954D0">
        <w:rPr>
          <w:rFonts w:ascii="Bookman Old Style" w:hAnsi="Bookman Old Style"/>
          <w:sz w:val="24"/>
          <w:szCs w:val="24"/>
        </w:rPr>
        <w:t xml:space="preserve"> </w:t>
      </w:r>
      <w:r w:rsidRPr="00202F0A">
        <w:rPr>
          <w:rFonts w:ascii="Bookman Old Style" w:hAnsi="Bookman Old Style"/>
          <w:sz w:val="24"/>
          <w:szCs w:val="24"/>
        </w:rPr>
        <w:t>Rp2.310.806.000,00</w:t>
      </w:r>
      <w:r w:rsidR="00A954D0">
        <w:rPr>
          <w:rFonts w:ascii="Bookman Old Style" w:hAnsi="Bookman Old Style"/>
          <w:sz w:val="24"/>
          <w:szCs w:val="24"/>
        </w:rPr>
        <w:t xml:space="preserve"> </w:t>
      </w:r>
      <w:r w:rsidRPr="00202F0A">
        <w:rPr>
          <w:rFonts w:ascii="Bookman Old Style" w:hAnsi="Bookman Old Style"/>
          <w:sz w:val="24"/>
          <w:szCs w:val="24"/>
        </w:rPr>
        <w:t>atau</w:t>
      </w:r>
      <w:r w:rsidR="00A954D0">
        <w:rPr>
          <w:rFonts w:ascii="Bookman Old Style" w:hAnsi="Bookman Old Style"/>
          <w:sz w:val="24"/>
          <w:szCs w:val="24"/>
        </w:rPr>
        <w:t xml:space="preserve"> </w:t>
      </w:r>
      <w:r w:rsidRPr="00202F0A">
        <w:rPr>
          <w:rFonts w:ascii="Bookman Old Style" w:hAnsi="Bookman Old Style"/>
          <w:sz w:val="24"/>
          <w:szCs w:val="24"/>
        </w:rPr>
        <w:t>19,85%</w:t>
      </w:r>
      <w:r w:rsidR="00A954D0">
        <w:rPr>
          <w:rFonts w:ascii="Bookman Old Style" w:hAnsi="Bookman Old Style"/>
          <w:sz w:val="24"/>
          <w:szCs w:val="24"/>
        </w:rPr>
        <w:t xml:space="preserve"> </w:t>
      </w:r>
      <w:r w:rsidRPr="00202F0A">
        <w:rPr>
          <w:rFonts w:ascii="Bookman Old Style" w:hAnsi="Bookman Old Style"/>
          <w:sz w:val="24"/>
          <w:szCs w:val="24"/>
        </w:rPr>
        <w:t>dari</w:t>
      </w:r>
      <w:r w:rsidR="00A954D0">
        <w:rPr>
          <w:rFonts w:ascii="Bookman Old Style" w:hAnsi="Bookman Old Style"/>
          <w:sz w:val="24"/>
          <w:szCs w:val="24"/>
        </w:rPr>
        <w:t xml:space="preserve"> </w:t>
      </w:r>
      <w:r w:rsidRPr="00202F0A">
        <w:rPr>
          <w:rFonts w:ascii="Bookman Old Style" w:hAnsi="Bookman Old Style"/>
          <w:sz w:val="24"/>
          <w:szCs w:val="24"/>
        </w:rPr>
        <w:t>total</w:t>
      </w:r>
      <w:r w:rsidR="00A954D0">
        <w:rPr>
          <w:rFonts w:ascii="Bookman Old Style" w:hAnsi="Bookman Old Style"/>
          <w:sz w:val="24"/>
          <w:szCs w:val="24"/>
        </w:rPr>
        <w:t xml:space="preserve"> </w:t>
      </w:r>
      <w:r w:rsidRPr="00202F0A">
        <w:rPr>
          <w:rFonts w:ascii="Bookman Old Style" w:hAnsi="Bookman Old Style"/>
          <w:sz w:val="24"/>
          <w:szCs w:val="24"/>
        </w:rPr>
        <w:t>Belanja</w:t>
      </w:r>
      <w:r w:rsidR="00A954D0">
        <w:rPr>
          <w:rFonts w:ascii="Bookman Old Style" w:hAnsi="Bookman Old Style"/>
          <w:sz w:val="24"/>
          <w:szCs w:val="24"/>
        </w:rPr>
        <w:t xml:space="preserve"> </w:t>
      </w:r>
      <w:r w:rsidRPr="00202F0A">
        <w:rPr>
          <w:rFonts w:ascii="Bookman Old Style" w:hAnsi="Bookman Old Style"/>
          <w:sz w:val="24"/>
          <w:szCs w:val="24"/>
        </w:rPr>
        <w:t>Perjalanan</w:t>
      </w:r>
      <w:r w:rsidR="00A954D0">
        <w:rPr>
          <w:rFonts w:ascii="Bookman Old Style" w:hAnsi="Bookman Old Style"/>
          <w:sz w:val="24"/>
          <w:szCs w:val="24"/>
        </w:rPr>
        <w:t xml:space="preserve"> </w:t>
      </w:r>
      <w:r w:rsidRPr="00202F0A">
        <w:rPr>
          <w:rFonts w:ascii="Bookman Old Style" w:hAnsi="Bookman Old Style"/>
          <w:sz w:val="24"/>
          <w:szCs w:val="24"/>
        </w:rPr>
        <w:t>Dinas</w:t>
      </w:r>
      <w:r w:rsidR="00A954D0">
        <w:rPr>
          <w:rFonts w:ascii="Bookman Old Style" w:hAnsi="Bookman Old Style"/>
          <w:sz w:val="24"/>
          <w:szCs w:val="24"/>
        </w:rPr>
        <w:t xml:space="preserve"> </w:t>
      </w:r>
      <w:r w:rsidRPr="00202F0A">
        <w:rPr>
          <w:rFonts w:ascii="Bookman Old Style" w:hAnsi="Bookman Old Style"/>
          <w:sz w:val="24"/>
          <w:szCs w:val="24"/>
        </w:rPr>
        <w:t>Paket</w:t>
      </w:r>
      <w:r w:rsidR="00A954D0">
        <w:rPr>
          <w:rFonts w:ascii="Bookman Old Style" w:hAnsi="Bookman Old Style"/>
          <w:sz w:val="24"/>
          <w:szCs w:val="24"/>
        </w:rPr>
        <w:t xml:space="preserve"> </w:t>
      </w:r>
      <w:r w:rsidRPr="00202F0A">
        <w:rPr>
          <w:rFonts w:ascii="Bookman Old Style" w:hAnsi="Bookman Old Style"/>
          <w:i/>
          <w:sz w:val="24"/>
          <w:szCs w:val="24"/>
        </w:rPr>
        <w:t>Meeting</w:t>
      </w:r>
      <w:r w:rsidR="00A954D0">
        <w:rPr>
          <w:rFonts w:ascii="Bookman Old Style" w:hAnsi="Bookman Old Style"/>
          <w:sz w:val="24"/>
          <w:szCs w:val="24"/>
        </w:rPr>
        <w:t xml:space="preserve"> </w:t>
      </w:r>
      <w:r w:rsidRPr="003255BC">
        <w:rPr>
          <w:rFonts w:ascii="Bookman Old Style" w:hAnsi="Bookman Old Style"/>
          <w:sz w:val="24"/>
          <w:szCs w:val="24"/>
          <w:lang w:val="sv-FI"/>
        </w:rPr>
        <w:t>Luar</w:t>
      </w:r>
      <w:r w:rsidR="00A954D0">
        <w:rPr>
          <w:rFonts w:ascii="Bookman Old Style" w:hAnsi="Bookman Old Style"/>
          <w:sz w:val="24"/>
          <w:szCs w:val="24"/>
        </w:rPr>
        <w:t xml:space="preserve"> </w:t>
      </w:r>
      <w:r w:rsidRPr="00202F0A">
        <w:rPr>
          <w:rFonts w:ascii="Bookman Old Style" w:hAnsi="Bookman Old Style"/>
          <w:sz w:val="24"/>
          <w:szCs w:val="24"/>
        </w:rPr>
        <w:t>Kota</w:t>
      </w:r>
      <w:r w:rsidR="00AE2B82" w:rsidRPr="00AE2B82">
        <w:rPr>
          <w:rFonts w:ascii="Bookman Old Style" w:hAnsi="Bookman Old Style"/>
          <w:sz w:val="24"/>
          <w:szCs w:val="24"/>
          <w:lang w:val="sv-FI"/>
        </w:rPr>
        <w:t>.</w:t>
      </w:r>
    </w:p>
    <w:p w14:paraId="2BF6DCB7" w14:textId="3BDC9666" w:rsidR="007A4AFC" w:rsidRPr="009920FD" w:rsidRDefault="007A4AFC" w:rsidP="00AE2B82">
      <w:pPr>
        <w:pStyle w:val="ListParagraph"/>
        <w:numPr>
          <w:ilvl w:val="0"/>
          <w:numId w:val="137"/>
        </w:numPr>
        <w:spacing w:before="60" w:after="0" w:line="276" w:lineRule="auto"/>
        <w:ind w:left="2694" w:hanging="426"/>
        <w:contextualSpacing w:val="0"/>
        <w:jc w:val="both"/>
        <w:rPr>
          <w:rFonts w:ascii="Bookman Old Style" w:hAnsi="Bookman Old Style"/>
          <w:sz w:val="24"/>
          <w:szCs w:val="24"/>
        </w:rPr>
      </w:pPr>
      <w:r w:rsidRPr="00202F0A">
        <w:rPr>
          <w:rFonts w:ascii="Bookman Old Style" w:hAnsi="Bookman Old Style"/>
          <w:sz w:val="24"/>
          <w:szCs w:val="24"/>
          <w:lang w:val="it-IT"/>
        </w:rPr>
        <w:t>Belanja</w:t>
      </w:r>
      <w:r w:rsidR="00A954D0">
        <w:rPr>
          <w:rFonts w:ascii="Bookman Old Style" w:hAnsi="Bookman Old Style"/>
          <w:sz w:val="24"/>
          <w:szCs w:val="24"/>
          <w:lang w:val="it-IT"/>
        </w:rPr>
        <w:t xml:space="preserve"> </w:t>
      </w:r>
      <w:r w:rsidRPr="00202F0A">
        <w:rPr>
          <w:rFonts w:ascii="Bookman Old Style" w:hAnsi="Bookman Old Style"/>
          <w:sz w:val="24"/>
          <w:szCs w:val="24"/>
          <w:lang w:val="it-IT"/>
        </w:rPr>
        <w:t>Perjalanan</w:t>
      </w:r>
      <w:r w:rsidR="00A954D0">
        <w:rPr>
          <w:rFonts w:ascii="Bookman Old Style" w:hAnsi="Bookman Old Style"/>
          <w:sz w:val="24"/>
          <w:szCs w:val="24"/>
          <w:lang w:val="it-IT"/>
        </w:rPr>
        <w:t xml:space="preserve"> </w:t>
      </w:r>
      <w:r w:rsidRPr="00202F0A">
        <w:rPr>
          <w:rFonts w:ascii="Bookman Old Style" w:hAnsi="Bookman Old Style"/>
          <w:sz w:val="24"/>
          <w:szCs w:val="24"/>
          <w:lang w:val="it-IT"/>
        </w:rPr>
        <w:t>Dinas</w:t>
      </w:r>
      <w:r w:rsidR="00A954D0">
        <w:rPr>
          <w:rFonts w:ascii="Bookman Old Style" w:hAnsi="Bookman Old Style"/>
          <w:sz w:val="24"/>
          <w:szCs w:val="24"/>
          <w:lang w:val="it-IT"/>
        </w:rPr>
        <w:t xml:space="preserve"> </w:t>
      </w:r>
      <w:r w:rsidRPr="00202F0A">
        <w:rPr>
          <w:rFonts w:ascii="Bookman Old Style" w:hAnsi="Bookman Old Style"/>
          <w:sz w:val="24"/>
          <w:szCs w:val="24"/>
          <w:lang w:val="it-IT"/>
        </w:rPr>
        <w:t>Luar</w:t>
      </w:r>
      <w:r w:rsidR="00A954D0">
        <w:rPr>
          <w:rFonts w:ascii="Bookman Old Style" w:hAnsi="Bookman Old Style"/>
          <w:sz w:val="24"/>
          <w:szCs w:val="24"/>
          <w:lang w:val="it-IT"/>
        </w:rPr>
        <w:t xml:space="preserve"> </w:t>
      </w:r>
      <w:r w:rsidRPr="00202F0A">
        <w:rPr>
          <w:rFonts w:ascii="Bookman Old Style" w:hAnsi="Bookman Old Style"/>
          <w:sz w:val="24"/>
          <w:szCs w:val="24"/>
          <w:lang w:val="it-IT"/>
        </w:rPr>
        <w:t>Negeri</w:t>
      </w:r>
      <w:r w:rsidR="00A954D0">
        <w:rPr>
          <w:rFonts w:ascii="Bookman Old Style" w:hAnsi="Bookman Old Style"/>
          <w:sz w:val="24"/>
          <w:szCs w:val="24"/>
          <w:lang w:val="it-IT"/>
        </w:rPr>
        <w:t xml:space="preserve"> </w:t>
      </w:r>
      <w:r w:rsidR="008A3413" w:rsidRPr="00202F0A">
        <w:rPr>
          <w:rFonts w:ascii="Bookman Old Style" w:hAnsi="Bookman Old Style"/>
          <w:sz w:val="24"/>
          <w:szCs w:val="24"/>
        </w:rPr>
        <w:t>Rp3.537.085.400,00</w:t>
      </w:r>
      <w:r w:rsidR="00A954D0">
        <w:rPr>
          <w:rFonts w:ascii="Bookman Old Style" w:hAnsi="Bookman Old Style"/>
          <w:sz w:val="24"/>
          <w:szCs w:val="24"/>
        </w:rPr>
        <w:t xml:space="preserve"> </w:t>
      </w:r>
      <w:r w:rsidR="008A3413" w:rsidRPr="00202F0A">
        <w:rPr>
          <w:rFonts w:ascii="Bookman Old Style" w:hAnsi="Bookman Old Style"/>
          <w:sz w:val="24"/>
          <w:szCs w:val="24"/>
        </w:rPr>
        <w:t>atau</w:t>
      </w:r>
      <w:r w:rsidR="00A954D0">
        <w:rPr>
          <w:rFonts w:ascii="Bookman Old Style" w:hAnsi="Bookman Old Style"/>
          <w:sz w:val="24"/>
          <w:szCs w:val="24"/>
        </w:rPr>
        <w:t xml:space="preserve"> </w:t>
      </w:r>
      <w:r w:rsidR="008A3413" w:rsidRPr="00202F0A">
        <w:rPr>
          <w:rFonts w:ascii="Bookman Old Style" w:hAnsi="Bookman Old Style"/>
          <w:sz w:val="24"/>
          <w:szCs w:val="24"/>
        </w:rPr>
        <w:t>0,06%</w:t>
      </w:r>
      <w:r w:rsidR="00A954D0">
        <w:rPr>
          <w:rFonts w:ascii="Bookman Old Style" w:hAnsi="Bookman Old Style"/>
          <w:sz w:val="24"/>
          <w:szCs w:val="24"/>
          <w:lang w:val="id-ID"/>
        </w:rPr>
        <w:t xml:space="preserve"> </w:t>
      </w:r>
      <w:r w:rsidRPr="00202F0A">
        <w:rPr>
          <w:rFonts w:ascii="Bookman Old Style" w:hAnsi="Bookman Old Style"/>
          <w:sz w:val="24"/>
          <w:szCs w:val="24"/>
          <w:lang w:val="it-IT"/>
        </w:rPr>
        <w:t>dari</w:t>
      </w:r>
      <w:r w:rsidR="00A954D0">
        <w:rPr>
          <w:rFonts w:ascii="Bookman Old Style" w:hAnsi="Bookman Old Style"/>
          <w:sz w:val="24"/>
          <w:szCs w:val="24"/>
          <w:lang w:val="it-IT"/>
        </w:rPr>
        <w:t xml:space="preserve"> </w:t>
      </w:r>
      <w:r w:rsidRPr="00202F0A">
        <w:rPr>
          <w:rFonts w:ascii="Bookman Old Style" w:hAnsi="Bookman Old Style"/>
          <w:sz w:val="24"/>
          <w:szCs w:val="24"/>
          <w:lang w:val="it-IT"/>
        </w:rPr>
        <w:t>total</w:t>
      </w:r>
      <w:r w:rsidR="00A954D0">
        <w:rPr>
          <w:rFonts w:ascii="Bookman Old Style" w:hAnsi="Bookman Old Style"/>
          <w:sz w:val="24"/>
          <w:szCs w:val="24"/>
          <w:lang w:val="it-IT"/>
        </w:rPr>
        <w:t xml:space="preserve"> </w:t>
      </w:r>
      <w:r w:rsidRPr="00202F0A">
        <w:rPr>
          <w:rFonts w:ascii="Bookman Old Style" w:hAnsi="Bookman Old Style"/>
          <w:sz w:val="24"/>
          <w:szCs w:val="24"/>
          <w:lang w:val="it-IT"/>
        </w:rPr>
        <w:t>belanja</w:t>
      </w:r>
      <w:r w:rsidR="00A954D0">
        <w:rPr>
          <w:rFonts w:ascii="Bookman Old Style" w:hAnsi="Bookman Old Style"/>
          <w:sz w:val="24"/>
          <w:szCs w:val="24"/>
          <w:lang w:val="it-IT"/>
        </w:rPr>
        <w:t xml:space="preserve"> </w:t>
      </w:r>
      <w:r w:rsidRPr="00202F0A">
        <w:rPr>
          <w:rFonts w:ascii="Bookman Old Style" w:hAnsi="Bookman Old Style"/>
          <w:sz w:val="24"/>
          <w:szCs w:val="24"/>
          <w:lang w:val="it-IT"/>
        </w:rPr>
        <w:t>daerah</w:t>
      </w:r>
      <w:r w:rsidR="00A954D0">
        <w:rPr>
          <w:rFonts w:ascii="Bookman Old Style" w:hAnsi="Bookman Old Style"/>
          <w:sz w:val="24"/>
          <w:szCs w:val="24"/>
          <w:lang w:val="it-IT"/>
        </w:rPr>
        <w:t xml:space="preserve"> </w:t>
      </w:r>
      <w:r w:rsidRPr="00202F0A">
        <w:rPr>
          <w:rFonts w:ascii="Bookman Old Style" w:hAnsi="Bookman Old Style"/>
          <w:sz w:val="24"/>
          <w:szCs w:val="24"/>
          <w:lang w:val="it-IT"/>
        </w:rPr>
        <w:t>dalam</w:t>
      </w:r>
      <w:r w:rsidR="00A954D0">
        <w:rPr>
          <w:rFonts w:ascii="Bookman Old Style" w:hAnsi="Bookman Old Style"/>
          <w:sz w:val="24"/>
          <w:szCs w:val="24"/>
          <w:lang w:val="it-IT"/>
        </w:rPr>
        <w:t xml:space="preserve"> </w:t>
      </w:r>
      <w:r w:rsidRPr="00202F0A">
        <w:rPr>
          <w:rFonts w:ascii="Bookman Old Style" w:hAnsi="Bookman Old Style"/>
          <w:sz w:val="24"/>
          <w:szCs w:val="24"/>
          <w:lang w:val="it-IT"/>
        </w:rPr>
        <w:t>Rancangan</w:t>
      </w:r>
      <w:r w:rsidR="00A954D0">
        <w:rPr>
          <w:rFonts w:ascii="Bookman Old Style" w:hAnsi="Bookman Old Style"/>
          <w:sz w:val="24"/>
          <w:szCs w:val="24"/>
          <w:lang w:val="it-IT"/>
        </w:rPr>
        <w:t xml:space="preserve"> </w:t>
      </w:r>
      <w:r w:rsidRPr="00202F0A">
        <w:rPr>
          <w:rFonts w:ascii="Bookman Old Style" w:hAnsi="Bookman Old Style"/>
          <w:sz w:val="24"/>
          <w:szCs w:val="24"/>
          <w:lang w:val="it-IT"/>
        </w:rPr>
        <w:t>Peraturan</w:t>
      </w:r>
      <w:r w:rsidR="00A954D0">
        <w:rPr>
          <w:rFonts w:ascii="Bookman Old Style" w:hAnsi="Bookman Old Style"/>
          <w:sz w:val="24"/>
          <w:szCs w:val="24"/>
          <w:lang w:val="it-IT"/>
        </w:rPr>
        <w:t xml:space="preserve"> </w:t>
      </w:r>
      <w:r w:rsidRPr="00202F0A">
        <w:rPr>
          <w:rFonts w:ascii="Bookman Old Style" w:hAnsi="Bookman Old Style"/>
          <w:sz w:val="24"/>
          <w:szCs w:val="24"/>
          <w:lang w:val="it-IT"/>
        </w:rPr>
        <w:t>Daerah</w:t>
      </w:r>
      <w:r w:rsidR="00A954D0">
        <w:rPr>
          <w:rFonts w:ascii="Bookman Old Style" w:hAnsi="Bookman Old Style"/>
          <w:sz w:val="24"/>
          <w:szCs w:val="24"/>
          <w:lang w:val="it-IT"/>
        </w:rPr>
        <w:t xml:space="preserve"> </w:t>
      </w:r>
      <w:r w:rsidRPr="00202F0A">
        <w:rPr>
          <w:rFonts w:ascii="Bookman Old Style" w:hAnsi="Bookman Old Style"/>
          <w:sz w:val="24"/>
          <w:szCs w:val="24"/>
          <w:lang w:val="it-IT"/>
        </w:rPr>
        <w:t>Kota</w:t>
      </w:r>
      <w:r w:rsidR="00A954D0">
        <w:rPr>
          <w:rFonts w:ascii="Bookman Old Style" w:hAnsi="Bookman Old Style"/>
          <w:sz w:val="24"/>
          <w:szCs w:val="24"/>
          <w:lang w:val="it-IT"/>
        </w:rPr>
        <w:t xml:space="preserve"> </w:t>
      </w:r>
      <w:r w:rsidR="00770F22" w:rsidRPr="00202F0A">
        <w:rPr>
          <w:rFonts w:ascii="Bookman Old Style" w:hAnsi="Bookman Old Style"/>
          <w:sz w:val="24"/>
          <w:szCs w:val="24"/>
          <w:lang w:val="it-IT"/>
        </w:rPr>
        <w:t>Tangerang</w:t>
      </w:r>
      <w:r w:rsidR="00A954D0">
        <w:rPr>
          <w:rFonts w:ascii="Bookman Old Style" w:hAnsi="Bookman Old Style"/>
          <w:sz w:val="24"/>
          <w:szCs w:val="24"/>
          <w:lang w:val="it-IT"/>
        </w:rPr>
        <w:t xml:space="preserve"> </w:t>
      </w:r>
      <w:r w:rsidR="00BE6ED9" w:rsidRPr="00202F0A">
        <w:rPr>
          <w:rFonts w:ascii="Bookman Old Style" w:hAnsi="Bookman Old Style"/>
          <w:sz w:val="24"/>
          <w:szCs w:val="24"/>
          <w:lang w:val="it-IT"/>
        </w:rPr>
        <w:t>tentang</w:t>
      </w:r>
      <w:r w:rsidR="00A954D0">
        <w:rPr>
          <w:rFonts w:ascii="Bookman Old Style" w:hAnsi="Bookman Old Style"/>
          <w:sz w:val="24"/>
          <w:szCs w:val="24"/>
          <w:lang w:val="it-IT"/>
        </w:rPr>
        <w:t xml:space="preserve"> </w:t>
      </w:r>
      <w:r w:rsidR="00BE6ED9" w:rsidRPr="00202F0A">
        <w:rPr>
          <w:rFonts w:ascii="Bookman Old Style" w:hAnsi="Bookman Old Style"/>
          <w:sz w:val="24"/>
          <w:szCs w:val="24"/>
          <w:lang w:val="it-IT"/>
        </w:rPr>
        <w:t>APBD</w:t>
      </w:r>
      <w:r w:rsidR="00A954D0">
        <w:rPr>
          <w:rFonts w:ascii="Bookman Old Style" w:hAnsi="Bookman Old Style"/>
          <w:sz w:val="24"/>
          <w:szCs w:val="24"/>
          <w:lang w:val="it-IT"/>
        </w:rPr>
        <w:t xml:space="preserve"> </w:t>
      </w:r>
      <w:r w:rsidRPr="00202F0A">
        <w:rPr>
          <w:rFonts w:ascii="Bookman Old Style" w:hAnsi="Bookman Old Style"/>
          <w:sz w:val="24"/>
          <w:szCs w:val="24"/>
          <w:lang w:val="it-IT"/>
        </w:rPr>
        <w:t>Tahun</w:t>
      </w:r>
      <w:r w:rsidR="00A954D0">
        <w:rPr>
          <w:rFonts w:ascii="Bookman Old Style" w:hAnsi="Bookman Old Style"/>
          <w:sz w:val="24"/>
          <w:szCs w:val="24"/>
          <w:lang w:val="it-IT"/>
        </w:rPr>
        <w:t xml:space="preserve"> </w:t>
      </w:r>
      <w:r w:rsidRPr="00202F0A">
        <w:rPr>
          <w:rFonts w:ascii="Bookman Old Style" w:hAnsi="Bookman Old Style"/>
          <w:sz w:val="24"/>
          <w:szCs w:val="24"/>
          <w:lang w:val="it-IT"/>
        </w:rPr>
        <w:t>Anggaran</w:t>
      </w:r>
      <w:r w:rsidR="00A954D0">
        <w:rPr>
          <w:rFonts w:ascii="Bookman Old Style" w:hAnsi="Bookman Old Style"/>
          <w:sz w:val="24"/>
          <w:szCs w:val="24"/>
          <w:lang w:val="it-IT"/>
        </w:rPr>
        <w:t xml:space="preserve"> </w:t>
      </w:r>
      <w:r w:rsidRPr="00202F0A">
        <w:rPr>
          <w:rFonts w:ascii="Bookman Old Style" w:hAnsi="Bookman Old Style"/>
          <w:sz w:val="24"/>
          <w:szCs w:val="24"/>
          <w:lang w:val="it-IT"/>
        </w:rPr>
        <w:t>2025,</w:t>
      </w:r>
      <w:r w:rsidR="00A954D0">
        <w:rPr>
          <w:rFonts w:ascii="Bookman Old Style" w:hAnsi="Bookman Old Style"/>
          <w:sz w:val="24"/>
          <w:szCs w:val="24"/>
          <w:lang w:val="it-IT"/>
        </w:rPr>
        <w:t xml:space="preserve"> </w:t>
      </w:r>
      <w:r w:rsidRPr="00202F0A">
        <w:rPr>
          <w:rFonts w:ascii="Bookman Old Style" w:hAnsi="Bookman Old Style"/>
          <w:sz w:val="24"/>
          <w:szCs w:val="24"/>
        </w:rPr>
        <w:t>yang</w:t>
      </w:r>
      <w:r w:rsidR="00A954D0">
        <w:rPr>
          <w:rFonts w:ascii="Bookman Old Style" w:hAnsi="Bookman Old Style"/>
          <w:sz w:val="24"/>
          <w:szCs w:val="24"/>
        </w:rPr>
        <w:t xml:space="preserve"> </w:t>
      </w:r>
      <w:r w:rsidRPr="00202F0A">
        <w:rPr>
          <w:rFonts w:ascii="Bookman Old Style" w:hAnsi="Bookman Old Style"/>
          <w:sz w:val="24"/>
          <w:szCs w:val="24"/>
          <w:lang w:val="fi-FI"/>
        </w:rPr>
        <w:t>hanya</w:t>
      </w:r>
      <w:r w:rsidR="00A954D0">
        <w:rPr>
          <w:rFonts w:ascii="Bookman Old Style" w:hAnsi="Bookman Old Style"/>
          <w:sz w:val="24"/>
          <w:szCs w:val="24"/>
          <w:lang w:val="fi-FI"/>
        </w:rPr>
        <w:t xml:space="preserve"> </w:t>
      </w:r>
      <w:r w:rsidRPr="00202F0A">
        <w:rPr>
          <w:rFonts w:ascii="Bookman Old Style" w:hAnsi="Bookman Old Style"/>
          <w:sz w:val="24"/>
          <w:szCs w:val="24"/>
        </w:rPr>
        <w:t>diuraikan</w:t>
      </w:r>
      <w:r w:rsidR="00A954D0">
        <w:rPr>
          <w:rFonts w:ascii="Bookman Old Style" w:hAnsi="Bookman Old Style"/>
          <w:sz w:val="24"/>
          <w:szCs w:val="24"/>
        </w:rPr>
        <w:t xml:space="preserve"> </w:t>
      </w:r>
      <w:r w:rsidRPr="00202F0A">
        <w:rPr>
          <w:rFonts w:ascii="Bookman Old Style" w:hAnsi="Bookman Old Style"/>
          <w:sz w:val="24"/>
          <w:szCs w:val="24"/>
        </w:rPr>
        <w:t>ke</w:t>
      </w:r>
      <w:r w:rsidR="00A954D0">
        <w:rPr>
          <w:rFonts w:ascii="Bookman Old Style" w:hAnsi="Bookman Old Style"/>
          <w:sz w:val="24"/>
          <w:szCs w:val="24"/>
        </w:rPr>
        <w:t xml:space="preserve"> </w:t>
      </w:r>
      <w:r w:rsidRPr="00202F0A">
        <w:rPr>
          <w:rFonts w:ascii="Bookman Old Style" w:hAnsi="Bookman Old Style"/>
          <w:sz w:val="24"/>
          <w:szCs w:val="24"/>
        </w:rPr>
        <w:t>dalam</w:t>
      </w:r>
      <w:r w:rsidR="00A954D0">
        <w:rPr>
          <w:rFonts w:ascii="Bookman Old Style" w:hAnsi="Bookman Old Style"/>
          <w:sz w:val="24"/>
          <w:szCs w:val="24"/>
        </w:rPr>
        <w:t xml:space="preserve"> </w:t>
      </w:r>
      <w:r w:rsidRPr="00202F0A">
        <w:rPr>
          <w:rFonts w:ascii="Bookman Old Style" w:hAnsi="Bookman Old Style"/>
          <w:sz w:val="24"/>
          <w:szCs w:val="24"/>
        </w:rPr>
        <w:t>sub</w:t>
      </w:r>
      <w:r w:rsidR="00A954D0">
        <w:rPr>
          <w:rFonts w:ascii="Bookman Old Style" w:hAnsi="Bookman Old Style"/>
          <w:sz w:val="24"/>
          <w:szCs w:val="24"/>
        </w:rPr>
        <w:t xml:space="preserve"> </w:t>
      </w:r>
      <w:r w:rsidRPr="00202F0A">
        <w:rPr>
          <w:rFonts w:ascii="Bookman Old Style" w:hAnsi="Bookman Old Style"/>
          <w:sz w:val="24"/>
          <w:szCs w:val="24"/>
        </w:rPr>
        <w:t>rincian</w:t>
      </w:r>
      <w:r w:rsidR="00A954D0">
        <w:rPr>
          <w:rFonts w:ascii="Bookman Old Style" w:hAnsi="Bookman Old Style"/>
          <w:sz w:val="24"/>
          <w:szCs w:val="24"/>
        </w:rPr>
        <w:t xml:space="preserve"> </w:t>
      </w:r>
      <w:r w:rsidRPr="00202F0A">
        <w:rPr>
          <w:rFonts w:ascii="Bookman Old Style" w:hAnsi="Bookman Old Style"/>
          <w:sz w:val="24"/>
          <w:szCs w:val="24"/>
        </w:rPr>
        <w:t>objek</w:t>
      </w:r>
      <w:r w:rsidR="00A954D0">
        <w:rPr>
          <w:rFonts w:ascii="Bookman Old Style" w:hAnsi="Bookman Old Style"/>
          <w:sz w:val="24"/>
          <w:szCs w:val="24"/>
          <w:lang w:val="fi-FI"/>
        </w:rPr>
        <w:t xml:space="preserve"> </w:t>
      </w:r>
      <w:r w:rsidRPr="00202F0A">
        <w:rPr>
          <w:rFonts w:ascii="Bookman Old Style" w:hAnsi="Bookman Old Style"/>
          <w:sz w:val="24"/>
          <w:szCs w:val="24"/>
          <w:lang w:val="fi-FI"/>
        </w:rPr>
        <w:t>Belanja</w:t>
      </w:r>
      <w:r w:rsidR="00A954D0">
        <w:rPr>
          <w:rFonts w:ascii="Bookman Old Style" w:hAnsi="Bookman Old Style"/>
          <w:sz w:val="24"/>
          <w:szCs w:val="24"/>
          <w:lang w:val="fi-FI"/>
        </w:rPr>
        <w:t xml:space="preserve"> </w:t>
      </w:r>
      <w:r w:rsidRPr="00202F0A">
        <w:rPr>
          <w:rFonts w:ascii="Bookman Old Style" w:hAnsi="Bookman Old Style"/>
          <w:sz w:val="24"/>
          <w:szCs w:val="24"/>
          <w:lang w:val="fi-FI"/>
        </w:rPr>
        <w:t>Perjalanan</w:t>
      </w:r>
      <w:r w:rsidR="00A954D0">
        <w:rPr>
          <w:rFonts w:ascii="Bookman Old Style" w:hAnsi="Bookman Old Style"/>
          <w:sz w:val="24"/>
          <w:szCs w:val="24"/>
          <w:lang w:val="fi-FI"/>
        </w:rPr>
        <w:t xml:space="preserve"> </w:t>
      </w:r>
      <w:r w:rsidRPr="00202F0A">
        <w:rPr>
          <w:rFonts w:ascii="Bookman Old Style" w:hAnsi="Bookman Old Style"/>
          <w:sz w:val="24"/>
          <w:szCs w:val="24"/>
          <w:lang w:val="fi-FI"/>
        </w:rPr>
        <w:t>Dinas</w:t>
      </w:r>
      <w:r w:rsidR="00A954D0">
        <w:rPr>
          <w:rFonts w:ascii="Bookman Old Style" w:hAnsi="Bookman Old Style"/>
          <w:sz w:val="24"/>
          <w:szCs w:val="24"/>
          <w:lang w:val="fi-FI"/>
        </w:rPr>
        <w:t xml:space="preserve"> </w:t>
      </w:r>
      <w:r w:rsidRPr="00202F0A">
        <w:rPr>
          <w:rFonts w:ascii="Bookman Old Style" w:hAnsi="Bookman Old Style"/>
          <w:sz w:val="24"/>
          <w:szCs w:val="24"/>
          <w:lang w:val="fi-FI"/>
        </w:rPr>
        <w:t>Biasa</w:t>
      </w:r>
      <w:r w:rsidR="00A954D0">
        <w:rPr>
          <w:rFonts w:ascii="Bookman Old Style" w:hAnsi="Bookman Old Style"/>
          <w:sz w:val="24"/>
          <w:szCs w:val="24"/>
          <w:lang w:val="fi-FI"/>
        </w:rPr>
        <w:t xml:space="preserve"> </w:t>
      </w:r>
      <w:r w:rsidRPr="00202F0A">
        <w:rPr>
          <w:rFonts w:ascii="Bookman Old Style" w:hAnsi="Bookman Old Style"/>
          <w:sz w:val="24"/>
          <w:szCs w:val="24"/>
          <w:lang w:val="fi-FI"/>
        </w:rPr>
        <w:t>Luar</w:t>
      </w:r>
      <w:r w:rsidR="00A954D0">
        <w:rPr>
          <w:rFonts w:ascii="Bookman Old Style" w:hAnsi="Bookman Old Style"/>
          <w:sz w:val="24"/>
          <w:szCs w:val="24"/>
          <w:lang w:val="fi-FI"/>
        </w:rPr>
        <w:t xml:space="preserve"> </w:t>
      </w:r>
      <w:r w:rsidRPr="00202F0A">
        <w:rPr>
          <w:rFonts w:ascii="Bookman Old Style" w:hAnsi="Bookman Old Style"/>
          <w:sz w:val="24"/>
          <w:szCs w:val="24"/>
          <w:lang w:val="fi-FI"/>
        </w:rPr>
        <w:t>Negeri</w:t>
      </w:r>
      <w:r w:rsidR="00AE2B82">
        <w:rPr>
          <w:rFonts w:ascii="Bookman Old Style" w:hAnsi="Bookman Old Style"/>
          <w:sz w:val="24"/>
          <w:szCs w:val="24"/>
          <w:lang w:val="fi-FI"/>
        </w:rPr>
        <w:t>.</w:t>
      </w:r>
    </w:p>
    <w:p w14:paraId="2DF793AF" w14:textId="64D3B4D6" w:rsidR="003B7FE4" w:rsidRPr="00202F0A" w:rsidRDefault="00AE2B82" w:rsidP="00AE2B82">
      <w:pPr>
        <w:pStyle w:val="ListParagraph"/>
        <w:spacing w:before="60" w:after="0" w:line="276" w:lineRule="auto"/>
        <w:ind w:left="2268"/>
        <w:contextualSpacing w:val="0"/>
        <w:jc w:val="both"/>
        <w:rPr>
          <w:rFonts w:ascii="Bookman Old Style" w:hAnsi="Bookman Old Style"/>
          <w:sz w:val="24"/>
          <w:szCs w:val="24"/>
        </w:rPr>
      </w:pPr>
      <w:r w:rsidRPr="00AE2B82">
        <w:rPr>
          <w:rFonts w:ascii="Bookman Old Style" w:hAnsi="Bookman Old Style"/>
          <w:sz w:val="24"/>
          <w:szCs w:val="24"/>
          <w:lang w:val="sv-FI"/>
        </w:rPr>
        <w:t>H</w:t>
      </w:r>
      <w:r w:rsidR="003B7FE4" w:rsidRPr="00202F0A">
        <w:rPr>
          <w:rFonts w:ascii="Bookman Old Style" w:hAnsi="Bookman Old Style"/>
          <w:sz w:val="24"/>
          <w:szCs w:val="24"/>
        </w:rPr>
        <w:t>arus</w:t>
      </w:r>
      <w:r w:rsidR="00A954D0">
        <w:rPr>
          <w:rFonts w:ascii="Bookman Old Style" w:hAnsi="Bookman Old Style"/>
          <w:sz w:val="24"/>
          <w:szCs w:val="24"/>
        </w:rPr>
        <w:t xml:space="preserve"> </w:t>
      </w:r>
      <w:r w:rsidR="003B7FE4" w:rsidRPr="00202F0A">
        <w:rPr>
          <w:rFonts w:ascii="Bookman Old Style" w:hAnsi="Bookman Old Style"/>
          <w:sz w:val="24"/>
          <w:szCs w:val="24"/>
        </w:rPr>
        <w:t>dirasionalkan</w:t>
      </w:r>
      <w:r w:rsidR="00A954D0">
        <w:rPr>
          <w:rFonts w:ascii="Bookman Old Style" w:hAnsi="Bookman Old Style"/>
          <w:sz w:val="24"/>
          <w:szCs w:val="24"/>
        </w:rPr>
        <w:t xml:space="preserve"> </w:t>
      </w:r>
      <w:r w:rsidR="003B7FE4" w:rsidRPr="00202F0A">
        <w:rPr>
          <w:rFonts w:ascii="Bookman Old Style" w:hAnsi="Bookman Old Style"/>
          <w:sz w:val="24"/>
          <w:szCs w:val="24"/>
        </w:rPr>
        <w:t>dengan</w:t>
      </w:r>
      <w:r w:rsidR="00A954D0">
        <w:rPr>
          <w:rFonts w:ascii="Bookman Old Style" w:hAnsi="Bookman Old Style"/>
          <w:sz w:val="24"/>
          <w:szCs w:val="24"/>
        </w:rPr>
        <w:t xml:space="preserve"> </w:t>
      </w:r>
      <w:r w:rsidR="003B7FE4" w:rsidRPr="00202F0A">
        <w:rPr>
          <w:rFonts w:ascii="Bookman Old Style" w:hAnsi="Bookman Old Style"/>
          <w:sz w:val="24"/>
          <w:szCs w:val="24"/>
        </w:rPr>
        <w:t>memperhatikan</w:t>
      </w:r>
      <w:r w:rsidR="00A954D0">
        <w:rPr>
          <w:rFonts w:ascii="Bookman Old Style" w:hAnsi="Bookman Old Style"/>
          <w:sz w:val="24"/>
          <w:szCs w:val="24"/>
        </w:rPr>
        <w:t xml:space="preserve"> </w:t>
      </w:r>
      <w:r w:rsidR="003B7FE4" w:rsidRPr="00202F0A">
        <w:rPr>
          <w:rFonts w:ascii="Bookman Old Style" w:hAnsi="Bookman Old Style"/>
          <w:sz w:val="24"/>
          <w:szCs w:val="24"/>
        </w:rPr>
        <w:t>aspek</w:t>
      </w:r>
      <w:r w:rsidR="00A954D0">
        <w:rPr>
          <w:rFonts w:ascii="Bookman Old Style" w:hAnsi="Bookman Old Style"/>
          <w:sz w:val="24"/>
          <w:szCs w:val="24"/>
        </w:rPr>
        <w:t xml:space="preserve"> </w:t>
      </w:r>
      <w:r w:rsidR="003B7FE4" w:rsidRPr="00202F0A">
        <w:rPr>
          <w:rFonts w:ascii="Bookman Old Style" w:hAnsi="Bookman Old Style"/>
          <w:sz w:val="24"/>
          <w:szCs w:val="24"/>
        </w:rPr>
        <w:t>efektivitas,</w:t>
      </w:r>
      <w:r w:rsidR="00A954D0">
        <w:rPr>
          <w:rFonts w:ascii="Bookman Old Style" w:hAnsi="Bookman Old Style"/>
          <w:sz w:val="24"/>
          <w:szCs w:val="24"/>
        </w:rPr>
        <w:t xml:space="preserve"> </w:t>
      </w:r>
      <w:r w:rsidR="003B7FE4" w:rsidRPr="00202F0A">
        <w:rPr>
          <w:rFonts w:ascii="Bookman Old Style" w:hAnsi="Bookman Old Style"/>
          <w:sz w:val="24"/>
          <w:szCs w:val="24"/>
        </w:rPr>
        <w:t>efisiensi,</w:t>
      </w:r>
      <w:r w:rsidR="00A954D0">
        <w:rPr>
          <w:rFonts w:ascii="Bookman Old Style" w:hAnsi="Bookman Old Style"/>
          <w:sz w:val="24"/>
          <w:szCs w:val="24"/>
        </w:rPr>
        <w:t xml:space="preserve"> </w:t>
      </w:r>
      <w:r w:rsidR="003B7FE4" w:rsidRPr="00202F0A">
        <w:rPr>
          <w:rFonts w:ascii="Bookman Old Style" w:hAnsi="Bookman Old Style"/>
          <w:sz w:val="24"/>
          <w:szCs w:val="24"/>
        </w:rPr>
        <w:t>kepatutan</w:t>
      </w:r>
      <w:r w:rsidR="00A954D0">
        <w:rPr>
          <w:rFonts w:ascii="Bookman Old Style" w:hAnsi="Bookman Old Style"/>
          <w:sz w:val="24"/>
          <w:szCs w:val="24"/>
        </w:rPr>
        <w:t xml:space="preserve"> </w:t>
      </w:r>
      <w:r w:rsidR="003B7FE4" w:rsidRPr="00202F0A">
        <w:rPr>
          <w:rFonts w:ascii="Bookman Old Style" w:hAnsi="Bookman Old Style"/>
          <w:sz w:val="24"/>
          <w:szCs w:val="24"/>
        </w:rPr>
        <w:t>dan</w:t>
      </w:r>
      <w:r w:rsidR="00A954D0">
        <w:rPr>
          <w:rFonts w:ascii="Bookman Old Style" w:hAnsi="Bookman Old Style"/>
          <w:sz w:val="24"/>
          <w:szCs w:val="24"/>
        </w:rPr>
        <w:t xml:space="preserve"> </w:t>
      </w:r>
      <w:r w:rsidR="003B7FE4" w:rsidRPr="00202F0A">
        <w:rPr>
          <w:rFonts w:ascii="Bookman Old Style" w:hAnsi="Bookman Old Style"/>
          <w:sz w:val="24"/>
          <w:szCs w:val="24"/>
        </w:rPr>
        <w:t>kewajaran</w:t>
      </w:r>
      <w:r w:rsidR="00A954D0">
        <w:rPr>
          <w:rFonts w:ascii="Bookman Old Style" w:hAnsi="Bookman Old Style"/>
          <w:sz w:val="24"/>
          <w:szCs w:val="24"/>
        </w:rPr>
        <w:t xml:space="preserve"> </w:t>
      </w:r>
      <w:r w:rsidR="003B7FE4" w:rsidRPr="00202F0A">
        <w:rPr>
          <w:rFonts w:ascii="Bookman Old Style" w:hAnsi="Bookman Old Style"/>
          <w:sz w:val="24"/>
          <w:szCs w:val="24"/>
        </w:rPr>
        <w:t>serta</w:t>
      </w:r>
      <w:r w:rsidR="00A954D0">
        <w:rPr>
          <w:rFonts w:ascii="Bookman Old Style" w:hAnsi="Bookman Old Style"/>
          <w:sz w:val="24"/>
          <w:szCs w:val="24"/>
        </w:rPr>
        <w:t xml:space="preserve"> </w:t>
      </w:r>
      <w:r w:rsidR="003B7FE4" w:rsidRPr="00202F0A">
        <w:rPr>
          <w:rFonts w:ascii="Bookman Old Style" w:hAnsi="Bookman Old Style"/>
          <w:sz w:val="24"/>
          <w:szCs w:val="24"/>
        </w:rPr>
        <w:t>penghematan</w:t>
      </w:r>
      <w:r w:rsidR="00A954D0">
        <w:rPr>
          <w:rFonts w:ascii="Bookman Old Style" w:hAnsi="Bookman Old Style"/>
          <w:sz w:val="24"/>
          <w:szCs w:val="24"/>
        </w:rPr>
        <w:t xml:space="preserve"> </w:t>
      </w:r>
      <w:r w:rsidR="003B7FE4" w:rsidRPr="00202F0A">
        <w:rPr>
          <w:rFonts w:ascii="Bookman Old Style" w:hAnsi="Bookman Old Style"/>
          <w:sz w:val="24"/>
          <w:szCs w:val="24"/>
        </w:rPr>
        <w:t>penggunaan</w:t>
      </w:r>
      <w:r w:rsidR="00A954D0">
        <w:rPr>
          <w:rFonts w:ascii="Bookman Old Style" w:hAnsi="Bookman Old Style"/>
          <w:sz w:val="24"/>
          <w:szCs w:val="24"/>
        </w:rPr>
        <w:t xml:space="preserve"> </w:t>
      </w:r>
      <w:r w:rsidR="003B7FE4" w:rsidRPr="00202F0A">
        <w:rPr>
          <w:rFonts w:ascii="Bookman Old Style" w:hAnsi="Bookman Old Style"/>
          <w:sz w:val="24"/>
          <w:szCs w:val="24"/>
        </w:rPr>
        <w:t>anggaran</w:t>
      </w:r>
      <w:r w:rsidR="00A954D0">
        <w:rPr>
          <w:rFonts w:ascii="Bookman Old Style" w:hAnsi="Bookman Old Style"/>
          <w:sz w:val="24"/>
          <w:szCs w:val="24"/>
        </w:rPr>
        <w:t xml:space="preserve"> </w:t>
      </w:r>
      <w:r w:rsidR="003B7FE4" w:rsidRPr="00202F0A">
        <w:rPr>
          <w:rFonts w:ascii="Bookman Old Style" w:hAnsi="Bookman Old Style"/>
          <w:sz w:val="24"/>
          <w:szCs w:val="24"/>
        </w:rPr>
        <w:t>dan</w:t>
      </w:r>
      <w:r w:rsidR="00A954D0">
        <w:rPr>
          <w:rFonts w:ascii="Bookman Old Style" w:hAnsi="Bookman Old Style"/>
          <w:sz w:val="24"/>
          <w:szCs w:val="24"/>
        </w:rPr>
        <w:t xml:space="preserve"> </w:t>
      </w:r>
      <w:r w:rsidR="003B7FE4" w:rsidRPr="00202F0A">
        <w:rPr>
          <w:rFonts w:ascii="Bookman Old Style" w:hAnsi="Bookman Old Style"/>
          <w:sz w:val="24"/>
          <w:szCs w:val="24"/>
        </w:rPr>
        <w:t>disesuaikan</w:t>
      </w:r>
      <w:r w:rsidR="00A954D0">
        <w:rPr>
          <w:rFonts w:ascii="Bookman Old Style" w:hAnsi="Bookman Old Style"/>
          <w:sz w:val="24"/>
          <w:szCs w:val="24"/>
        </w:rPr>
        <w:t xml:space="preserve"> </w:t>
      </w:r>
      <w:r w:rsidR="003B7FE4" w:rsidRPr="00202F0A">
        <w:rPr>
          <w:rFonts w:ascii="Bookman Old Style" w:hAnsi="Bookman Old Style"/>
          <w:sz w:val="24"/>
          <w:szCs w:val="24"/>
        </w:rPr>
        <w:t>dengan</w:t>
      </w:r>
      <w:r w:rsidR="00A954D0">
        <w:rPr>
          <w:rFonts w:ascii="Bookman Old Style" w:hAnsi="Bookman Old Style"/>
          <w:sz w:val="24"/>
          <w:szCs w:val="24"/>
        </w:rPr>
        <w:t xml:space="preserve"> </w:t>
      </w:r>
      <w:r w:rsidR="003B7FE4" w:rsidRPr="00202F0A">
        <w:rPr>
          <w:rFonts w:ascii="Bookman Old Style" w:hAnsi="Bookman Old Style"/>
          <w:sz w:val="24"/>
          <w:szCs w:val="24"/>
        </w:rPr>
        <w:t>kebutuhan</w:t>
      </w:r>
      <w:r w:rsidR="00A954D0">
        <w:rPr>
          <w:rFonts w:ascii="Bookman Old Style" w:hAnsi="Bookman Old Style"/>
          <w:sz w:val="24"/>
          <w:szCs w:val="24"/>
        </w:rPr>
        <w:t xml:space="preserve"> </w:t>
      </w:r>
      <w:r w:rsidR="003B7FE4" w:rsidRPr="00202F0A">
        <w:rPr>
          <w:rFonts w:ascii="Bookman Old Style" w:hAnsi="Bookman Old Style"/>
          <w:sz w:val="24"/>
          <w:szCs w:val="24"/>
        </w:rPr>
        <w:t>nyata</w:t>
      </w:r>
      <w:r w:rsidR="00A954D0">
        <w:rPr>
          <w:rFonts w:ascii="Bookman Old Style" w:hAnsi="Bookman Old Style"/>
          <w:sz w:val="24"/>
          <w:szCs w:val="24"/>
        </w:rPr>
        <w:t xml:space="preserve"> </w:t>
      </w:r>
      <w:r w:rsidR="003B7FE4" w:rsidRPr="00202F0A">
        <w:rPr>
          <w:rFonts w:ascii="Bookman Old Style" w:hAnsi="Bookman Old Style"/>
          <w:sz w:val="24"/>
          <w:szCs w:val="24"/>
        </w:rPr>
        <w:t>pada</w:t>
      </w:r>
      <w:r w:rsidR="00A954D0">
        <w:rPr>
          <w:rFonts w:ascii="Bookman Old Style" w:hAnsi="Bookman Old Style"/>
          <w:sz w:val="24"/>
          <w:szCs w:val="24"/>
        </w:rPr>
        <w:t xml:space="preserve"> </w:t>
      </w:r>
      <w:r w:rsidR="003B7FE4" w:rsidRPr="00202F0A">
        <w:rPr>
          <w:rFonts w:ascii="Bookman Old Style" w:hAnsi="Bookman Old Style"/>
          <w:sz w:val="24"/>
          <w:szCs w:val="24"/>
        </w:rPr>
        <w:t>masing-masing</w:t>
      </w:r>
      <w:r w:rsidR="00A954D0">
        <w:rPr>
          <w:rFonts w:ascii="Bookman Old Style" w:hAnsi="Bookman Old Style"/>
          <w:sz w:val="24"/>
          <w:szCs w:val="24"/>
        </w:rPr>
        <w:t xml:space="preserve"> </w:t>
      </w:r>
      <w:r w:rsidR="003B7FE4" w:rsidRPr="00202F0A">
        <w:rPr>
          <w:rFonts w:ascii="Bookman Old Style" w:hAnsi="Bookman Old Style"/>
          <w:sz w:val="24"/>
          <w:szCs w:val="24"/>
        </w:rPr>
        <w:t>kegiatan</w:t>
      </w:r>
      <w:r w:rsidR="00A954D0">
        <w:rPr>
          <w:rFonts w:ascii="Bookman Old Style" w:hAnsi="Bookman Old Style"/>
          <w:sz w:val="24"/>
          <w:szCs w:val="24"/>
        </w:rPr>
        <w:t xml:space="preserve"> </w:t>
      </w:r>
      <w:r w:rsidR="003B7FE4" w:rsidRPr="00202F0A">
        <w:rPr>
          <w:rFonts w:ascii="Bookman Old Style" w:hAnsi="Bookman Old Style"/>
          <w:sz w:val="24"/>
          <w:szCs w:val="24"/>
        </w:rPr>
        <w:t>sebagaimana</w:t>
      </w:r>
      <w:r w:rsidR="00A954D0">
        <w:rPr>
          <w:rFonts w:ascii="Bookman Old Style" w:hAnsi="Bookman Old Style"/>
          <w:sz w:val="24"/>
          <w:szCs w:val="24"/>
        </w:rPr>
        <w:t xml:space="preserve"> </w:t>
      </w:r>
      <w:r w:rsidR="003B7FE4" w:rsidRPr="00202F0A">
        <w:rPr>
          <w:rFonts w:ascii="Bookman Old Style" w:hAnsi="Bookman Old Style"/>
          <w:sz w:val="24"/>
          <w:szCs w:val="24"/>
        </w:rPr>
        <w:t>maksud</w:t>
      </w:r>
      <w:r w:rsidR="00A954D0">
        <w:rPr>
          <w:rFonts w:ascii="Bookman Old Style" w:hAnsi="Bookman Old Style"/>
          <w:sz w:val="24"/>
          <w:szCs w:val="24"/>
        </w:rPr>
        <w:t xml:space="preserve"> </w:t>
      </w:r>
      <w:r w:rsidR="003B7FE4" w:rsidRPr="00202F0A">
        <w:rPr>
          <w:rFonts w:ascii="Bookman Old Style" w:hAnsi="Bookman Old Style"/>
          <w:sz w:val="24"/>
          <w:szCs w:val="24"/>
        </w:rPr>
        <w:t>Pasal</w:t>
      </w:r>
      <w:r w:rsidR="00A954D0">
        <w:rPr>
          <w:rFonts w:ascii="Bookman Old Style" w:hAnsi="Bookman Old Style"/>
          <w:sz w:val="24"/>
          <w:szCs w:val="24"/>
        </w:rPr>
        <w:t xml:space="preserve"> </w:t>
      </w:r>
      <w:r w:rsidR="003B7FE4" w:rsidRPr="00202F0A">
        <w:rPr>
          <w:rFonts w:ascii="Bookman Old Style" w:hAnsi="Bookman Old Style"/>
          <w:sz w:val="24"/>
          <w:szCs w:val="24"/>
        </w:rPr>
        <w:t>3</w:t>
      </w:r>
      <w:r w:rsidR="00A954D0">
        <w:rPr>
          <w:rFonts w:ascii="Bookman Old Style" w:hAnsi="Bookman Old Style"/>
          <w:sz w:val="24"/>
          <w:szCs w:val="24"/>
        </w:rPr>
        <w:t xml:space="preserve"> </w:t>
      </w:r>
      <w:r w:rsidR="003B7FE4" w:rsidRPr="00202F0A">
        <w:rPr>
          <w:rFonts w:ascii="Bookman Old Style" w:hAnsi="Bookman Old Style"/>
          <w:sz w:val="24"/>
          <w:szCs w:val="24"/>
        </w:rPr>
        <w:t>ayat</w:t>
      </w:r>
      <w:r w:rsidR="00A954D0">
        <w:rPr>
          <w:rFonts w:ascii="Bookman Old Style" w:hAnsi="Bookman Old Style"/>
          <w:sz w:val="24"/>
          <w:szCs w:val="24"/>
        </w:rPr>
        <w:t xml:space="preserve"> </w:t>
      </w:r>
      <w:r w:rsidR="003B7FE4" w:rsidRPr="00202F0A">
        <w:rPr>
          <w:rFonts w:ascii="Bookman Old Style" w:hAnsi="Bookman Old Style"/>
          <w:sz w:val="24"/>
          <w:szCs w:val="24"/>
        </w:rPr>
        <w:t>(1)</w:t>
      </w:r>
      <w:r w:rsidR="00A954D0">
        <w:rPr>
          <w:rFonts w:ascii="Bookman Old Style" w:hAnsi="Bookman Old Style"/>
          <w:sz w:val="24"/>
          <w:szCs w:val="24"/>
        </w:rPr>
        <w:t xml:space="preserve"> </w:t>
      </w:r>
      <w:r w:rsidR="003B7FE4" w:rsidRPr="00202F0A">
        <w:rPr>
          <w:rFonts w:ascii="Bookman Old Style" w:hAnsi="Bookman Old Style"/>
          <w:sz w:val="24"/>
          <w:szCs w:val="24"/>
        </w:rPr>
        <w:t>Peraturan</w:t>
      </w:r>
      <w:r w:rsidR="00A954D0">
        <w:rPr>
          <w:rFonts w:ascii="Bookman Old Style" w:hAnsi="Bookman Old Style"/>
          <w:sz w:val="24"/>
          <w:szCs w:val="24"/>
        </w:rPr>
        <w:t xml:space="preserve"> </w:t>
      </w:r>
      <w:r w:rsidR="003B7FE4" w:rsidRPr="00202F0A">
        <w:rPr>
          <w:rFonts w:ascii="Bookman Old Style" w:hAnsi="Bookman Old Style"/>
          <w:sz w:val="24"/>
          <w:szCs w:val="24"/>
        </w:rPr>
        <w:t>Pemerintah</w:t>
      </w:r>
      <w:r w:rsidR="00A954D0">
        <w:rPr>
          <w:rFonts w:ascii="Bookman Old Style" w:hAnsi="Bookman Old Style"/>
          <w:sz w:val="24"/>
          <w:szCs w:val="24"/>
        </w:rPr>
        <w:t xml:space="preserve"> </w:t>
      </w:r>
      <w:r w:rsidR="003B7FE4" w:rsidRPr="00202F0A">
        <w:rPr>
          <w:rFonts w:ascii="Bookman Old Style" w:hAnsi="Bookman Old Style"/>
          <w:sz w:val="24"/>
          <w:szCs w:val="24"/>
        </w:rPr>
        <w:t>Nomor</w:t>
      </w:r>
      <w:r w:rsidR="00A954D0">
        <w:rPr>
          <w:rFonts w:ascii="Bookman Old Style" w:hAnsi="Bookman Old Style"/>
          <w:sz w:val="24"/>
          <w:szCs w:val="24"/>
        </w:rPr>
        <w:t xml:space="preserve"> </w:t>
      </w:r>
      <w:r w:rsidR="003B7FE4" w:rsidRPr="00202F0A">
        <w:rPr>
          <w:rFonts w:ascii="Bookman Old Style" w:hAnsi="Bookman Old Style"/>
          <w:sz w:val="24"/>
          <w:szCs w:val="24"/>
        </w:rPr>
        <w:t>12</w:t>
      </w:r>
      <w:r w:rsidR="00A954D0">
        <w:rPr>
          <w:rFonts w:ascii="Bookman Old Style" w:hAnsi="Bookman Old Style"/>
          <w:sz w:val="24"/>
          <w:szCs w:val="24"/>
        </w:rPr>
        <w:t xml:space="preserve"> </w:t>
      </w:r>
      <w:r w:rsidR="003B7FE4" w:rsidRPr="00202F0A">
        <w:rPr>
          <w:rFonts w:ascii="Bookman Old Style" w:hAnsi="Bookman Old Style"/>
          <w:sz w:val="24"/>
          <w:szCs w:val="24"/>
        </w:rPr>
        <w:t>Tahun</w:t>
      </w:r>
      <w:r w:rsidR="00A954D0">
        <w:rPr>
          <w:rFonts w:ascii="Bookman Old Style" w:hAnsi="Bookman Old Style"/>
          <w:sz w:val="24"/>
          <w:szCs w:val="24"/>
        </w:rPr>
        <w:t xml:space="preserve"> </w:t>
      </w:r>
      <w:r w:rsidR="003B7FE4" w:rsidRPr="00202F0A">
        <w:rPr>
          <w:rFonts w:ascii="Bookman Old Style" w:hAnsi="Bookman Old Style"/>
          <w:sz w:val="24"/>
          <w:szCs w:val="24"/>
        </w:rPr>
        <w:t>2019</w:t>
      </w:r>
      <w:r w:rsidR="00A954D0">
        <w:rPr>
          <w:rFonts w:ascii="Bookman Old Style" w:hAnsi="Bookman Old Style"/>
          <w:sz w:val="24"/>
          <w:szCs w:val="24"/>
        </w:rPr>
        <w:t xml:space="preserve"> </w:t>
      </w:r>
      <w:r w:rsidR="003B7FE4" w:rsidRPr="00202F0A">
        <w:rPr>
          <w:rFonts w:ascii="Bookman Old Style" w:hAnsi="Bookman Old Style"/>
          <w:sz w:val="24"/>
          <w:szCs w:val="24"/>
        </w:rPr>
        <w:t>dan</w:t>
      </w:r>
      <w:r w:rsidR="00A954D0">
        <w:rPr>
          <w:rFonts w:ascii="Bookman Old Style" w:hAnsi="Bookman Old Style"/>
          <w:sz w:val="24"/>
          <w:szCs w:val="24"/>
        </w:rPr>
        <w:t xml:space="preserve"> </w:t>
      </w:r>
      <w:r w:rsidR="003B7FE4" w:rsidRPr="00202F0A">
        <w:rPr>
          <w:rFonts w:ascii="Bookman Old Style" w:hAnsi="Bookman Old Style"/>
          <w:sz w:val="24"/>
          <w:szCs w:val="24"/>
        </w:rPr>
        <w:t>dalam</w:t>
      </w:r>
      <w:r w:rsidR="00A954D0">
        <w:rPr>
          <w:rFonts w:ascii="Bookman Old Style" w:hAnsi="Bookman Old Style"/>
          <w:sz w:val="24"/>
          <w:szCs w:val="24"/>
        </w:rPr>
        <w:t xml:space="preserve"> </w:t>
      </w:r>
      <w:r w:rsidR="003B7FE4" w:rsidRPr="00202F0A">
        <w:rPr>
          <w:rFonts w:ascii="Bookman Old Style" w:hAnsi="Bookman Old Style"/>
          <w:sz w:val="24"/>
          <w:szCs w:val="24"/>
        </w:rPr>
        <w:t>pelaksanaannya</w:t>
      </w:r>
      <w:r w:rsidR="00A954D0">
        <w:rPr>
          <w:rFonts w:ascii="Bookman Old Style" w:hAnsi="Bookman Old Style"/>
          <w:sz w:val="24"/>
          <w:szCs w:val="24"/>
        </w:rPr>
        <w:t xml:space="preserve"> </w:t>
      </w:r>
      <w:r w:rsidR="003B7FE4" w:rsidRPr="00202F0A">
        <w:rPr>
          <w:rFonts w:ascii="Bookman Old Style" w:hAnsi="Bookman Old Style"/>
          <w:sz w:val="24"/>
          <w:szCs w:val="24"/>
        </w:rPr>
        <w:t>juga</w:t>
      </w:r>
      <w:r w:rsidR="00A954D0">
        <w:rPr>
          <w:rFonts w:ascii="Bookman Old Style" w:hAnsi="Bookman Old Style"/>
          <w:sz w:val="24"/>
          <w:szCs w:val="24"/>
        </w:rPr>
        <w:t xml:space="preserve"> </w:t>
      </w:r>
      <w:r w:rsidR="003B7FE4" w:rsidRPr="00202F0A">
        <w:rPr>
          <w:rFonts w:ascii="Bookman Old Style" w:hAnsi="Bookman Old Style"/>
          <w:sz w:val="24"/>
          <w:szCs w:val="24"/>
        </w:rPr>
        <w:t>harus</w:t>
      </w:r>
      <w:r w:rsidR="00A954D0">
        <w:rPr>
          <w:rFonts w:ascii="Bookman Old Style" w:hAnsi="Bookman Old Style"/>
          <w:sz w:val="24"/>
          <w:szCs w:val="24"/>
        </w:rPr>
        <w:t xml:space="preserve"> </w:t>
      </w:r>
      <w:r w:rsidR="003B7FE4" w:rsidRPr="00202F0A">
        <w:rPr>
          <w:rFonts w:ascii="Bookman Old Style" w:hAnsi="Bookman Old Style"/>
          <w:sz w:val="24"/>
          <w:szCs w:val="24"/>
        </w:rPr>
        <w:t>dilakukan</w:t>
      </w:r>
      <w:r w:rsidR="00A954D0">
        <w:rPr>
          <w:rFonts w:ascii="Bookman Old Style" w:hAnsi="Bookman Old Style"/>
          <w:sz w:val="24"/>
          <w:szCs w:val="24"/>
          <w:lang w:val="id-ID"/>
        </w:rPr>
        <w:t xml:space="preserve"> </w:t>
      </w:r>
      <w:r w:rsidR="003B7FE4" w:rsidRPr="00202F0A">
        <w:rPr>
          <w:rFonts w:ascii="Bookman Old Style" w:hAnsi="Bookman Old Style"/>
          <w:sz w:val="24"/>
          <w:szCs w:val="24"/>
          <w:lang w:val="id-ID"/>
        </w:rPr>
        <w:t>untuk</w:t>
      </w:r>
      <w:r w:rsidR="00A954D0">
        <w:rPr>
          <w:rFonts w:ascii="Bookman Old Style" w:hAnsi="Bookman Old Style"/>
          <w:sz w:val="24"/>
          <w:szCs w:val="24"/>
          <w:lang w:val="id-ID"/>
        </w:rPr>
        <w:t xml:space="preserve"> </w:t>
      </w:r>
      <w:r w:rsidR="003B7FE4" w:rsidRPr="00202F0A">
        <w:rPr>
          <w:rFonts w:ascii="Bookman Old Style" w:hAnsi="Bookman Old Style"/>
          <w:sz w:val="24"/>
          <w:szCs w:val="24"/>
          <w:lang w:val="id-ID"/>
        </w:rPr>
        <w:t>hal-hal</w:t>
      </w:r>
      <w:r w:rsidR="00A954D0">
        <w:rPr>
          <w:rFonts w:ascii="Bookman Old Style" w:hAnsi="Bookman Old Style"/>
          <w:sz w:val="24"/>
          <w:szCs w:val="24"/>
          <w:lang w:val="id-ID"/>
        </w:rPr>
        <w:t xml:space="preserve"> </w:t>
      </w:r>
      <w:r w:rsidR="003B7FE4" w:rsidRPr="00202F0A">
        <w:rPr>
          <w:rFonts w:ascii="Bookman Old Style" w:hAnsi="Bookman Old Style"/>
          <w:sz w:val="24"/>
          <w:szCs w:val="24"/>
          <w:lang w:val="id-ID"/>
        </w:rPr>
        <w:t>yang</w:t>
      </w:r>
      <w:r w:rsidR="00A954D0">
        <w:rPr>
          <w:rFonts w:ascii="Bookman Old Style" w:hAnsi="Bookman Old Style"/>
          <w:sz w:val="24"/>
          <w:szCs w:val="24"/>
          <w:lang w:val="id-ID"/>
        </w:rPr>
        <w:t xml:space="preserve"> </w:t>
      </w:r>
      <w:r w:rsidR="003B7FE4" w:rsidRPr="00202F0A">
        <w:rPr>
          <w:rFonts w:ascii="Bookman Old Style" w:hAnsi="Bookman Old Style"/>
          <w:sz w:val="24"/>
          <w:szCs w:val="24"/>
          <w:lang w:val="id-ID"/>
        </w:rPr>
        <w:t>mempunyai</w:t>
      </w:r>
      <w:r w:rsidR="00A954D0">
        <w:rPr>
          <w:rFonts w:ascii="Bookman Old Style" w:hAnsi="Bookman Old Style"/>
          <w:sz w:val="24"/>
          <w:szCs w:val="24"/>
          <w:lang w:val="id-ID"/>
        </w:rPr>
        <w:t xml:space="preserve"> </w:t>
      </w:r>
      <w:r w:rsidR="003B7FE4" w:rsidRPr="00202F0A">
        <w:rPr>
          <w:rFonts w:ascii="Bookman Old Style" w:hAnsi="Bookman Old Style"/>
          <w:sz w:val="24"/>
          <w:szCs w:val="24"/>
          <w:lang w:val="id-ID"/>
        </w:rPr>
        <w:t>prioritas</w:t>
      </w:r>
      <w:r w:rsidR="00A954D0">
        <w:rPr>
          <w:rFonts w:ascii="Bookman Old Style" w:hAnsi="Bookman Old Style"/>
          <w:sz w:val="24"/>
          <w:szCs w:val="24"/>
          <w:lang w:val="id-ID"/>
        </w:rPr>
        <w:t xml:space="preserve"> </w:t>
      </w:r>
      <w:r w:rsidR="003B7FE4" w:rsidRPr="00202F0A">
        <w:rPr>
          <w:rFonts w:ascii="Bookman Old Style" w:hAnsi="Bookman Old Style"/>
          <w:sz w:val="24"/>
          <w:szCs w:val="24"/>
          <w:lang w:val="id-ID"/>
        </w:rPr>
        <w:t>tinggi</w:t>
      </w:r>
      <w:r w:rsidR="00A954D0">
        <w:rPr>
          <w:rFonts w:ascii="Bookman Old Style" w:hAnsi="Bookman Old Style"/>
          <w:sz w:val="24"/>
          <w:szCs w:val="24"/>
          <w:lang w:val="id-ID"/>
        </w:rPr>
        <w:t xml:space="preserve"> </w:t>
      </w:r>
      <w:r w:rsidR="003B7FE4" w:rsidRPr="00202F0A">
        <w:rPr>
          <w:rFonts w:ascii="Bookman Old Style" w:hAnsi="Bookman Old Style"/>
          <w:sz w:val="24"/>
          <w:szCs w:val="24"/>
          <w:lang w:val="id-ID"/>
        </w:rPr>
        <w:t>dan</w:t>
      </w:r>
      <w:r w:rsidR="00A954D0">
        <w:rPr>
          <w:rFonts w:ascii="Bookman Old Style" w:hAnsi="Bookman Old Style"/>
          <w:sz w:val="24"/>
          <w:szCs w:val="24"/>
          <w:lang w:val="id-ID"/>
        </w:rPr>
        <w:t xml:space="preserve"> </w:t>
      </w:r>
      <w:r w:rsidR="003B7FE4" w:rsidRPr="00202F0A">
        <w:rPr>
          <w:rFonts w:ascii="Bookman Old Style" w:hAnsi="Bookman Old Style"/>
          <w:sz w:val="24"/>
          <w:szCs w:val="24"/>
          <w:lang w:val="id-ID"/>
        </w:rPr>
        <w:t>penting,</w:t>
      </w:r>
      <w:r w:rsidR="00A954D0">
        <w:rPr>
          <w:rFonts w:ascii="Bookman Old Style" w:hAnsi="Bookman Old Style"/>
          <w:sz w:val="24"/>
          <w:szCs w:val="24"/>
          <w:lang w:val="id-ID"/>
        </w:rPr>
        <w:t xml:space="preserve"> </w:t>
      </w:r>
      <w:r w:rsidR="003B7FE4" w:rsidRPr="00202F0A">
        <w:rPr>
          <w:rFonts w:ascii="Bookman Old Style" w:hAnsi="Bookman Old Style"/>
          <w:sz w:val="24"/>
          <w:szCs w:val="24"/>
          <w:lang w:val="id-ID"/>
        </w:rPr>
        <w:t>dilakukan</w:t>
      </w:r>
      <w:r w:rsidR="00A954D0">
        <w:rPr>
          <w:rFonts w:ascii="Bookman Old Style" w:hAnsi="Bookman Old Style"/>
          <w:sz w:val="24"/>
          <w:szCs w:val="24"/>
        </w:rPr>
        <w:t xml:space="preserve"> </w:t>
      </w:r>
      <w:r w:rsidR="003B7FE4" w:rsidRPr="00202F0A">
        <w:rPr>
          <w:rFonts w:ascii="Bookman Old Style" w:hAnsi="Bookman Old Style"/>
          <w:sz w:val="24"/>
          <w:szCs w:val="24"/>
        </w:rPr>
        <w:t>secara</w:t>
      </w:r>
      <w:r w:rsidR="00A954D0">
        <w:rPr>
          <w:rFonts w:ascii="Bookman Old Style" w:hAnsi="Bookman Old Style"/>
          <w:sz w:val="24"/>
          <w:szCs w:val="24"/>
        </w:rPr>
        <w:t xml:space="preserve"> </w:t>
      </w:r>
      <w:r w:rsidR="003B7FE4" w:rsidRPr="00202F0A">
        <w:rPr>
          <w:rFonts w:ascii="Bookman Old Style" w:hAnsi="Bookman Old Style"/>
          <w:sz w:val="24"/>
          <w:szCs w:val="24"/>
        </w:rPr>
        <w:t>selektif,</w:t>
      </w:r>
      <w:r w:rsidR="00A954D0">
        <w:rPr>
          <w:rFonts w:ascii="Bookman Old Style" w:hAnsi="Bookman Old Style"/>
          <w:sz w:val="24"/>
          <w:szCs w:val="24"/>
        </w:rPr>
        <w:t xml:space="preserve"> </w:t>
      </w:r>
      <w:r w:rsidR="003B7FE4" w:rsidRPr="00202F0A">
        <w:rPr>
          <w:rFonts w:ascii="Bookman Old Style" w:hAnsi="Bookman Old Style"/>
          <w:sz w:val="24"/>
          <w:szCs w:val="24"/>
          <w:lang w:val="id-ID"/>
        </w:rPr>
        <w:t>memperhatikan</w:t>
      </w:r>
      <w:r w:rsidR="00A954D0">
        <w:rPr>
          <w:rFonts w:ascii="Bookman Old Style" w:hAnsi="Bookman Old Style"/>
          <w:sz w:val="24"/>
          <w:szCs w:val="24"/>
          <w:lang w:val="id-ID"/>
        </w:rPr>
        <w:t xml:space="preserve"> </w:t>
      </w:r>
      <w:r w:rsidR="003B7FE4" w:rsidRPr="00202F0A">
        <w:rPr>
          <w:rFonts w:ascii="Bookman Old Style" w:hAnsi="Bookman Old Style"/>
          <w:sz w:val="24"/>
          <w:szCs w:val="24"/>
        </w:rPr>
        <w:t>frekuensi,</w:t>
      </w:r>
      <w:r w:rsidR="00A954D0">
        <w:rPr>
          <w:rFonts w:ascii="Bookman Old Style" w:hAnsi="Bookman Old Style"/>
          <w:sz w:val="24"/>
          <w:szCs w:val="24"/>
        </w:rPr>
        <w:t xml:space="preserve"> </w:t>
      </w:r>
      <w:r w:rsidR="003B7FE4" w:rsidRPr="00202F0A">
        <w:rPr>
          <w:rFonts w:ascii="Bookman Old Style" w:hAnsi="Bookman Old Style"/>
          <w:sz w:val="24"/>
          <w:szCs w:val="24"/>
        </w:rPr>
        <w:t>jumlah</w:t>
      </w:r>
      <w:r w:rsidR="00A954D0">
        <w:rPr>
          <w:rFonts w:ascii="Bookman Old Style" w:hAnsi="Bookman Old Style"/>
          <w:sz w:val="24"/>
          <w:szCs w:val="24"/>
        </w:rPr>
        <w:t xml:space="preserve"> </w:t>
      </w:r>
      <w:r w:rsidR="003B7FE4" w:rsidRPr="00202F0A">
        <w:rPr>
          <w:rFonts w:ascii="Bookman Old Style" w:hAnsi="Bookman Old Style"/>
          <w:sz w:val="24"/>
          <w:szCs w:val="24"/>
        </w:rPr>
        <w:t>hari</w:t>
      </w:r>
      <w:r w:rsidR="00A954D0">
        <w:rPr>
          <w:rFonts w:ascii="Bookman Old Style" w:hAnsi="Bookman Old Style"/>
          <w:sz w:val="24"/>
          <w:szCs w:val="24"/>
        </w:rPr>
        <w:t xml:space="preserve"> </w:t>
      </w:r>
      <w:r w:rsidR="003B7FE4" w:rsidRPr="00202F0A">
        <w:rPr>
          <w:rFonts w:ascii="Bookman Old Style" w:hAnsi="Bookman Old Style"/>
          <w:sz w:val="24"/>
          <w:szCs w:val="24"/>
        </w:rPr>
        <w:t>dan</w:t>
      </w:r>
      <w:r w:rsidR="00A954D0">
        <w:rPr>
          <w:rFonts w:ascii="Bookman Old Style" w:hAnsi="Bookman Old Style"/>
          <w:sz w:val="24"/>
          <w:szCs w:val="24"/>
        </w:rPr>
        <w:t xml:space="preserve"> </w:t>
      </w:r>
      <w:r w:rsidR="003B7FE4" w:rsidRPr="00202F0A">
        <w:rPr>
          <w:rFonts w:ascii="Bookman Old Style" w:hAnsi="Bookman Old Style"/>
          <w:sz w:val="24"/>
          <w:szCs w:val="24"/>
        </w:rPr>
        <w:t>pesertanya</w:t>
      </w:r>
      <w:r w:rsidR="00A954D0">
        <w:rPr>
          <w:rFonts w:ascii="Bookman Old Style" w:hAnsi="Bookman Old Style"/>
          <w:sz w:val="24"/>
          <w:szCs w:val="24"/>
        </w:rPr>
        <w:t xml:space="preserve"> </w:t>
      </w:r>
      <w:r w:rsidR="003B7FE4" w:rsidRPr="00202F0A">
        <w:rPr>
          <w:rFonts w:ascii="Bookman Old Style" w:hAnsi="Bookman Old Style"/>
          <w:sz w:val="24"/>
          <w:szCs w:val="24"/>
        </w:rPr>
        <w:t>dibatasi</w:t>
      </w:r>
      <w:r w:rsidR="00A954D0">
        <w:rPr>
          <w:rFonts w:ascii="Bookman Old Style" w:hAnsi="Bookman Old Style"/>
          <w:sz w:val="24"/>
          <w:szCs w:val="24"/>
        </w:rPr>
        <w:t xml:space="preserve"> </w:t>
      </w:r>
      <w:r w:rsidR="003B7FE4" w:rsidRPr="00202F0A">
        <w:rPr>
          <w:rFonts w:ascii="Bookman Old Style" w:hAnsi="Bookman Old Style"/>
          <w:sz w:val="24"/>
          <w:szCs w:val="24"/>
        </w:rPr>
        <w:t>serta</w:t>
      </w:r>
      <w:r w:rsidR="00A954D0">
        <w:rPr>
          <w:rFonts w:ascii="Bookman Old Style" w:hAnsi="Bookman Old Style"/>
          <w:sz w:val="24"/>
          <w:szCs w:val="24"/>
        </w:rPr>
        <w:t xml:space="preserve"> </w:t>
      </w:r>
      <w:r w:rsidR="003B7FE4" w:rsidRPr="00202F0A">
        <w:rPr>
          <w:rFonts w:ascii="Bookman Old Style" w:hAnsi="Bookman Old Style"/>
          <w:sz w:val="24"/>
          <w:szCs w:val="24"/>
        </w:rPr>
        <w:t>memperhatikan</w:t>
      </w:r>
      <w:r w:rsidR="00A954D0">
        <w:rPr>
          <w:rFonts w:ascii="Bookman Old Style" w:hAnsi="Bookman Old Style"/>
          <w:sz w:val="24"/>
          <w:szCs w:val="24"/>
        </w:rPr>
        <w:t xml:space="preserve"> </w:t>
      </w:r>
      <w:r w:rsidR="003B7FE4" w:rsidRPr="00202F0A">
        <w:rPr>
          <w:rFonts w:ascii="Bookman Old Style" w:hAnsi="Bookman Old Style"/>
          <w:sz w:val="24"/>
          <w:szCs w:val="24"/>
        </w:rPr>
        <w:t>target</w:t>
      </w:r>
      <w:r w:rsidR="00A954D0">
        <w:rPr>
          <w:rFonts w:ascii="Bookman Old Style" w:hAnsi="Bookman Old Style"/>
          <w:sz w:val="24"/>
          <w:szCs w:val="24"/>
        </w:rPr>
        <w:t xml:space="preserve"> </w:t>
      </w:r>
      <w:r w:rsidR="003B7FE4" w:rsidRPr="00202F0A">
        <w:rPr>
          <w:rFonts w:ascii="Bookman Old Style" w:hAnsi="Bookman Old Style"/>
          <w:sz w:val="24"/>
          <w:szCs w:val="24"/>
        </w:rPr>
        <w:t>kinerja</w:t>
      </w:r>
      <w:r w:rsidR="00A954D0">
        <w:rPr>
          <w:rFonts w:ascii="Bookman Old Style" w:hAnsi="Bookman Old Style"/>
          <w:sz w:val="24"/>
          <w:szCs w:val="24"/>
        </w:rPr>
        <w:t xml:space="preserve"> </w:t>
      </w:r>
      <w:r w:rsidR="003B7FE4" w:rsidRPr="00202F0A">
        <w:rPr>
          <w:rFonts w:ascii="Bookman Old Style" w:hAnsi="Bookman Old Style"/>
          <w:sz w:val="24"/>
          <w:szCs w:val="24"/>
        </w:rPr>
        <w:t>dari</w:t>
      </w:r>
      <w:r w:rsidR="00A954D0">
        <w:rPr>
          <w:rFonts w:ascii="Bookman Old Style" w:hAnsi="Bookman Old Style"/>
          <w:sz w:val="24"/>
          <w:szCs w:val="24"/>
        </w:rPr>
        <w:t xml:space="preserve"> </w:t>
      </w:r>
      <w:r w:rsidR="003B7FE4" w:rsidRPr="00202F0A">
        <w:rPr>
          <w:rFonts w:ascii="Bookman Old Style" w:hAnsi="Bookman Old Style"/>
          <w:sz w:val="24"/>
          <w:szCs w:val="24"/>
        </w:rPr>
        <w:t>perjalanan</w:t>
      </w:r>
      <w:r w:rsidR="00A954D0">
        <w:rPr>
          <w:rFonts w:ascii="Bookman Old Style" w:hAnsi="Bookman Old Style"/>
          <w:sz w:val="24"/>
          <w:szCs w:val="24"/>
        </w:rPr>
        <w:t xml:space="preserve"> </w:t>
      </w:r>
      <w:r w:rsidR="003B7FE4" w:rsidRPr="00202F0A">
        <w:rPr>
          <w:rFonts w:ascii="Bookman Old Style" w:hAnsi="Bookman Old Style"/>
          <w:sz w:val="24"/>
          <w:szCs w:val="24"/>
        </w:rPr>
        <w:t>dinas</w:t>
      </w:r>
      <w:r w:rsidR="00A954D0">
        <w:rPr>
          <w:rFonts w:ascii="Bookman Old Style" w:hAnsi="Bookman Old Style"/>
          <w:sz w:val="24"/>
          <w:szCs w:val="24"/>
        </w:rPr>
        <w:t xml:space="preserve"> </w:t>
      </w:r>
      <w:r w:rsidR="003B7FE4" w:rsidRPr="00202F0A">
        <w:rPr>
          <w:rFonts w:ascii="Bookman Old Style" w:hAnsi="Bookman Old Style"/>
          <w:sz w:val="24"/>
          <w:szCs w:val="24"/>
        </w:rPr>
        <w:t>dimaksud</w:t>
      </w:r>
      <w:r w:rsidR="00A954D0">
        <w:rPr>
          <w:rFonts w:ascii="Bookman Old Style" w:hAnsi="Bookman Old Style"/>
          <w:sz w:val="24"/>
          <w:szCs w:val="24"/>
        </w:rPr>
        <w:t xml:space="preserve"> </w:t>
      </w:r>
      <w:r w:rsidR="003B7FE4" w:rsidRPr="00202F0A">
        <w:rPr>
          <w:rFonts w:ascii="Bookman Old Style" w:hAnsi="Bookman Old Style"/>
          <w:sz w:val="24"/>
          <w:szCs w:val="24"/>
        </w:rPr>
        <w:t>sehingga</w:t>
      </w:r>
      <w:r w:rsidR="00A954D0">
        <w:rPr>
          <w:rFonts w:ascii="Bookman Old Style" w:hAnsi="Bookman Old Style"/>
          <w:sz w:val="24"/>
          <w:szCs w:val="24"/>
        </w:rPr>
        <w:t xml:space="preserve"> </w:t>
      </w:r>
      <w:r w:rsidR="003B7FE4" w:rsidRPr="00202F0A">
        <w:rPr>
          <w:rFonts w:ascii="Bookman Old Style" w:hAnsi="Bookman Old Style"/>
          <w:sz w:val="24"/>
          <w:szCs w:val="24"/>
        </w:rPr>
        <w:t>relevan</w:t>
      </w:r>
      <w:r w:rsidR="00A954D0">
        <w:rPr>
          <w:rFonts w:ascii="Bookman Old Style" w:hAnsi="Bookman Old Style"/>
          <w:sz w:val="24"/>
          <w:szCs w:val="24"/>
        </w:rPr>
        <w:t xml:space="preserve"> </w:t>
      </w:r>
      <w:r w:rsidR="003B7FE4" w:rsidRPr="00202F0A">
        <w:rPr>
          <w:rFonts w:ascii="Bookman Old Style" w:hAnsi="Bookman Old Style"/>
          <w:sz w:val="24"/>
          <w:szCs w:val="24"/>
        </w:rPr>
        <w:t>dengan</w:t>
      </w:r>
      <w:r w:rsidR="00A954D0">
        <w:rPr>
          <w:rFonts w:ascii="Bookman Old Style" w:hAnsi="Bookman Old Style"/>
          <w:sz w:val="24"/>
          <w:szCs w:val="24"/>
        </w:rPr>
        <w:t xml:space="preserve"> </w:t>
      </w:r>
      <w:r w:rsidR="003B7FE4" w:rsidRPr="00202F0A">
        <w:rPr>
          <w:rFonts w:ascii="Bookman Old Style" w:hAnsi="Bookman Old Style"/>
          <w:sz w:val="24"/>
          <w:szCs w:val="24"/>
        </w:rPr>
        <w:t>substansi</w:t>
      </w:r>
      <w:r w:rsidR="00A954D0">
        <w:rPr>
          <w:rFonts w:ascii="Bookman Old Style" w:hAnsi="Bookman Old Style"/>
          <w:sz w:val="24"/>
          <w:szCs w:val="24"/>
        </w:rPr>
        <w:t xml:space="preserve"> </w:t>
      </w:r>
      <w:r w:rsidR="003B7FE4" w:rsidRPr="00202F0A">
        <w:rPr>
          <w:rFonts w:ascii="Bookman Old Style" w:hAnsi="Bookman Old Style"/>
          <w:sz w:val="24"/>
          <w:szCs w:val="24"/>
        </w:rPr>
        <w:lastRenderedPageBreak/>
        <w:t>kebijakan</w:t>
      </w:r>
      <w:r w:rsidR="00A954D0">
        <w:rPr>
          <w:rFonts w:ascii="Bookman Old Style" w:hAnsi="Bookman Old Style"/>
          <w:sz w:val="24"/>
          <w:szCs w:val="24"/>
        </w:rPr>
        <w:t xml:space="preserve"> </w:t>
      </w:r>
      <w:r w:rsidR="003B7FE4" w:rsidRPr="00202F0A">
        <w:rPr>
          <w:rFonts w:ascii="Bookman Old Style" w:hAnsi="Bookman Old Style"/>
          <w:sz w:val="24"/>
          <w:szCs w:val="24"/>
        </w:rPr>
        <w:t>pemerintah</w:t>
      </w:r>
      <w:r w:rsidR="00A954D0">
        <w:rPr>
          <w:rFonts w:ascii="Bookman Old Style" w:hAnsi="Bookman Old Style"/>
          <w:sz w:val="24"/>
          <w:szCs w:val="24"/>
        </w:rPr>
        <w:t xml:space="preserve"> </w:t>
      </w:r>
      <w:r w:rsidR="003B7FE4" w:rsidRPr="00202F0A">
        <w:rPr>
          <w:rFonts w:ascii="Bookman Old Style" w:hAnsi="Bookman Old Style"/>
          <w:sz w:val="24"/>
          <w:szCs w:val="24"/>
        </w:rPr>
        <w:t>daerah</w:t>
      </w:r>
      <w:r w:rsidR="00A954D0">
        <w:rPr>
          <w:rFonts w:ascii="Bookman Old Style" w:hAnsi="Bookman Old Style"/>
          <w:sz w:val="24"/>
          <w:szCs w:val="24"/>
        </w:rPr>
        <w:t xml:space="preserve"> </w:t>
      </w:r>
      <w:r w:rsidR="003B7FE4" w:rsidRPr="00202F0A">
        <w:rPr>
          <w:rFonts w:ascii="Bookman Old Style" w:hAnsi="Bookman Old Style"/>
          <w:sz w:val="24"/>
          <w:szCs w:val="24"/>
        </w:rPr>
        <w:t>dan</w:t>
      </w:r>
      <w:r w:rsidR="00A954D0">
        <w:rPr>
          <w:rFonts w:ascii="Bookman Old Style" w:hAnsi="Bookman Old Style"/>
          <w:sz w:val="24"/>
          <w:szCs w:val="24"/>
        </w:rPr>
        <w:t xml:space="preserve"> </w:t>
      </w:r>
      <w:r w:rsidR="003B7FE4" w:rsidRPr="00202F0A">
        <w:rPr>
          <w:rFonts w:ascii="Bookman Old Style" w:hAnsi="Bookman Old Style"/>
          <w:sz w:val="24"/>
          <w:szCs w:val="24"/>
        </w:rPr>
        <w:t>hasilnya</w:t>
      </w:r>
      <w:r w:rsidR="00A954D0">
        <w:rPr>
          <w:rFonts w:ascii="Bookman Old Style" w:hAnsi="Bookman Old Style"/>
          <w:sz w:val="24"/>
          <w:szCs w:val="24"/>
        </w:rPr>
        <w:t xml:space="preserve"> </w:t>
      </w:r>
      <w:r w:rsidR="003B7FE4" w:rsidRPr="00202F0A">
        <w:rPr>
          <w:rFonts w:ascii="Bookman Old Style" w:hAnsi="Bookman Old Style"/>
          <w:sz w:val="24"/>
          <w:szCs w:val="24"/>
        </w:rPr>
        <w:t>dilaporkan</w:t>
      </w:r>
      <w:r w:rsidR="00A954D0">
        <w:rPr>
          <w:rFonts w:ascii="Bookman Old Style" w:hAnsi="Bookman Old Style"/>
          <w:sz w:val="24"/>
          <w:szCs w:val="24"/>
        </w:rPr>
        <w:t xml:space="preserve"> </w:t>
      </w:r>
      <w:r w:rsidR="003B7FE4" w:rsidRPr="00202F0A">
        <w:rPr>
          <w:rFonts w:ascii="Bookman Old Style" w:hAnsi="Bookman Old Style"/>
          <w:sz w:val="24"/>
          <w:szCs w:val="24"/>
        </w:rPr>
        <w:t>secara</w:t>
      </w:r>
      <w:r w:rsidR="00A954D0">
        <w:rPr>
          <w:rFonts w:ascii="Bookman Old Style" w:hAnsi="Bookman Old Style"/>
          <w:sz w:val="24"/>
          <w:szCs w:val="24"/>
        </w:rPr>
        <w:t xml:space="preserve"> </w:t>
      </w:r>
      <w:r w:rsidR="003B7FE4" w:rsidRPr="00202F0A">
        <w:rPr>
          <w:rFonts w:ascii="Bookman Old Style" w:hAnsi="Bookman Old Style"/>
          <w:sz w:val="24"/>
          <w:szCs w:val="24"/>
        </w:rPr>
        <w:t>transparan</w:t>
      </w:r>
      <w:r w:rsidR="00A954D0">
        <w:rPr>
          <w:rFonts w:ascii="Bookman Old Style" w:hAnsi="Bookman Old Style"/>
          <w:sz w:val="24"/>
          <w:szCs w:val="24"/>
        </w:rPr>
        <w:t xml:space="preserve"> </w:t>
      </w:r>
      <w:r w:rsidR="003B7FE4" w:rsidRPr="00202F0A">
        <w:rPr>
          <w:rFonts w:ascii="Bookman Old Style" w:hAnsi="Bookman Old Style"/>
          <w:sz w:val="24"/>
          <w:szCs w:val="24"/>
        </w:rPr>
        <w:t>dan</w:t>
      </w:r>
      <w:r w:rsidR="00A954D0">
        <w:rPr>
          <w:rFonts w:ascii="Bookman Old Style" w:hAnsi="Bookman Old Style"/>
          <w:sz w:val="24"/>
          <w:szCs w:val="24"/>
        </w:rPr>
        <w:t xml:space="preserve"> </w:t>
      </w:r>
      <w:r w:rsidR="003B7FE4" w:rsidRPr="00202F0A">
        <w:rPr>
          <w:rFonts w:ascii="Bookman Old Style" w:hAnsi="Bookman Old Style"/>
          <w:sz w:val="24"/>
          <w:szCs w:val="24"/>
        </w:rPr>
        <w:t>akuntabel</w:t>
      </w:r>
      <w:r w:rsidR="00A954D0">
        <w:rPr>
          <w:rFonts w:ascii="Bookman Old Style" w:hAnsi="Bookman Old Style"/>
          <w:sz w:val="24"/>
          <w:szCs w:val="24"/>
        </w:rPr>
        <w:t xml:space="preserve"> </w:t>
      </w:r>
      <w:r w:rsidR="003B7FE4" w:rsidRPr="00202F0A">
        <w:rPr>
          <w:rFonts w:ascii="Bookman Old Style" w:hAnsi="Bookman Old Style"/>
          <w:sz w:val="24"/>
          <w:szCs w:val="24"/>
        </w:rPr>
        <w:t>sesuai</w:t>
      </w:r>
      <w:r w:rsidR="00A954D0">
        <w:rPr>
          <w:rFonts w:ascii="Bookman Old Style" w:hAnsi="Bookman Old Style"/>
          <w:sz w:val="24"/>
          <w:szCs w:val="24"/>
        </w:rPr>
        <w:t xml:space="preserve"> </w:t>
      </w:r>
      <w:r w:rsidR="003B7FE4" w:rsidRPr="003255BC">
        <w:rPr>
          <w:rFonts w:ascii="Bookman Old Style" w:hAnsi="Bookman Old Style"/>
          <w:sz w:val="24"/>
          <w:szCs w:val="24"/>
          <w:lang w:val="sv-FI"/>
        </w:rPr>
        <w:t>dengan</w:t>
      </w:r>
      <w:r w:rsidR="00A954D0" w:rsidRPr="003255BC">
        <w:rPr>
          <w:rFonts w:ascii="Bookman Old Style" w:hAnsi="Bookman Old Style"/>
          <w:sz w:val="24"/>
          <w:szCs w:val="24"/>
          <w:lang w:val="sv-FI"/>
        </w:rPr>
        <w:t xml:space="preserve"> </w:t>
      </w:r>
      <w:r w:rsidR="003B7FE4" w:rsidRPr="003255BC">
        <w:rPr>
          <w:rFonts w:ascii="Bookman Old Style" w:hAnsi="Bookman Old Style"/>
          <w:sz w:val="24"/>
          <w:szCs w:val="24"/>
          <w:lang w:val="sv-FI"/>
        </w:rPr>
        <w:t>ketentuan</w:t>
      </w:r>
      <w:r w:rsidR="00A954D0" w:rsidRPr="003255BC">
        <w:rPr>
          <w:rFonts w:ascii="Bookman Old Style" w:hAnsi="Bookman Old Style"/>
          <w:sz w:val="24"/>
          <w:szCs w:val="24"/>
          <w:lang w:val="sv-FI"/>
        </w:rPr>
        <w:t xml:space="preserve"> </w:t>
      </w:r>
      <w:r w:rsidR="003B7FE4" w:rsidRPr="00202F0A">
        <w:rPr>
          <w:rFonts w:ascii="Bookman Old Style" w:hAnsi="Bookman Old Style"/>
          <w:sz w:val="24"/>
          <w:szCs w:val="24"/>
        </w:rPr>
        <w:t>peraturan</w:t>
      </w:r>
      <w:r w:rsidR="00A954D0">
        <w:rPr>
          <w:rFonts w:ascii="Bookman Old Style" w:hAnsi="Bookman Old Style"/>
          <w:sz w:val="24"/>
          <w:szCs w:val="24"/>
        </w:rPr>
        <w:t xml:space="preserve"> </w:t>
      </w:r>
      <w:r w:rsidR="003B7FE4" w:rsidRPr="00202F0A">
        <w:rPr>
          <w:rFonts w:ascii="Bookman Old Style" w:hAnsi="Bookman Old Style"/>
          <w:sz w:val="24"/>
          <w:szCs w:val="24"/>
        </w:rPr>
        <w:t>perundang-undangan.</w:t>
      </w:r>
      <w:r w:rsidR="00A954D0">
        <w:rPr>
          <w:rFonts w:ascii="Bookman Old Style" w:hAnsi="Bookman Old Style"/>
          <w:sz w:val="24"/>
          <w:szCs w:val="24"/>
        </w:rPr>
        <w:t xml:space="preserve"> </w:t>
      </w:r>
      <w:r w:rsidR="003B7FE4" w:rsidRPr="003255BC">
        <w:rPr>
          <w:rFonts w:ascii="Bookman Old Style" w:hAnsi="Bookman Old Style"/>
          <w:sz w:val="24"/>
          <w:szCs w:val="24"/>
          <w:lang w:val="sv-FI"/>
        </w:rPr>
        <w:t>Standar</w:t>
      </w:r>
      <w:r w:rsidR="00A954D0" w:rsidRPr="003255BC">
        <w:rPr>
          <w:rFonts w:ascii="Bookman Old Style" w:hAnsi="Bookman Old Style"/>
          <w:sz w:val="24"/>
          <w:szCs w:val="24"/>
          <w:lang w:val="sv-FI"/>
        </w:rPr>
        <w:t xml:space="preserve"> </w:t>
      </w:r>
      <w:r w:rsidR="003B7FE4" w:rsidRPr="003255BC">
        <w:rPr>
          <w:rFonts w:ascii="Bookman Old Style" w:hAnsi="Bookman Old Style"/>
          <w:sz w:val="24"/>
          <w:szCs w:val="24"/>
          <w:lang w:val="sv-FI"/>
        </w:rPr>
        <w:t>satuan</w:t>
      </w:r>
      <w:r w:rsidR="00A954D0" w:rsidRPr="003255BC">
        <w:rPr>
          <w:rFonts w:ascii="Bookman Old Style" w:hAnsi="Bookman Old Style"/>
          <w:sz w:val="24"/>
          <w:szCs w:val="24"/>
          <w:lang w:val="sv-FI"/>
        </w:rPr>
        <w:t xml:space="preserve"> </w:t>
      </w:r>
      <w:r w:rsidR="003B7FE4" w:rsidRPr="003255BC">
        <w:rPr>
          <w:rFonts w:ascii="Bookman Old Style" w:hAnsi="Bookman Old Style"/>
          <w:sz w:val="24"/>
          <w:szCs w:val="24"/>
          <w:lang w:val="sv-FI"/>
        </w:rPr>
        <w:t>biaya</w:t>
      </w:r>
      <w:r w:rsidR="00A954D0" w:rsidRPr="003255BC">
        <w:rPr>
          <w:rFonts w:ascii="Bookman Old Style" w:hAnsi="Bookman Old Style"/>
          <w:sz w:val="24"/>
          <w:szCs w:val="24"/>
          <w:lang w:val="sv-FI"/>
        </w:rPr>
        <w:t xml:space="preserve"> </w:t>
      </w:r>
      <w:r w:rsidR="003B7FE4" w:rsidRPr="003255BC">
        <w:rPr>
          <w:rFonts w:ascii="Bookman Old Style" w:hAnsi="Bookman Old Style"/>
          <w:sz w:val="24"/>
          <w:szCs w:val="24"/>
          <w:lang w:val="sv-FI"/>
        </w:rPr>
        <w:t>untuk</w:t>
      </w:r>
      <w:r w:rsidR="00A954D0" w:rsidRPr="003255BC">
        <w:rPr>
          <w:rFonts w:ascii="Bookman Old Style" w:hAnsi="Bookman Old Style"/>
          <w:sz w:val="24"/>
          <w:szCs w:val="24"/>
          <w:lang w:val="sv-FI"/>
        </w:rPr>
        <w:t xml:space="preserve"> </w:t>
      </w:r>
      <w:r w:rsidR="003B7FE4" w:rsidRPr="003255BC">
        <w:rPr>
          <w:rFonts w:ascii="Bookman Old Style" w:hAnsi="Bookman Old Style"/>
          <w:sz w:val="24"/>
          <w:szCs w:val="24"/>
          <w:lang w:val="sv-FI"/>
        </w:rPr>
        <w:t>belanja</w:t>
      </w:r>
      <w:r w:rsidR="00A954D0" w:rsidRPr="003255BC">
        <w:rPr>
          <w:rFonts w:ascii="Bookman Old Style" w:hAnsi="Bookman Old Style"/>
          <w:sz w:val="24"/>
          <w:szCs w:val="24"/>
          <w:lang w:val="sv-FI"/>
        </w:rPr>
        <w:t xml:space="preserve"> </w:t>
      </w:r>
      <w:r w:rsidR="003B7FE4" w:rsidRPr="003255BC">
        <w:rPr>
          <w:rFonts w:ascii="Bookman Old Style" w:hAnsi="Bookman Old Style"/>
          <w:sz w:val="24"/>
          <w:szCs w:val="24"/>
          <w:lang w:val="sv-FI"/>
        </w:rPr>
        <w:t>perjalanan</w:t>
      </w:r>
      <w:r w:rsidR="00A954D0" w:rsidRPr="003255BC">
        <w:rPr>
          <w:rFonts w:ascii="Bookman Old Style" w:hAnsi="Bookman Old Style"/>
          <w:sz w:val="24"/>
          <w:szCs w:val="24"/>
          <w:lang w:val="sv-FI"/>
        </w:rPr>
        <w:t xml:space="preserve"> </w:t>
      </w:r>
      <w:r w:rsidR="003B7FE4" w:rsidRPr="003255BC">
        <w:rPr>
          <w:rFonts w:ascii="Bookman Old Style" w:hAnsi="Bookman Old Style"/>
          <w:sz w:val="24"/>
          <w:szCs w:val="24"/>
          <w:lang w:val="sv-FI"/>
        </w:rPr>
        <w:t>dinas</w:t>
      </w:r>
      <w:r w:rsidR="00A954D0" w:rsidRPr="003255BC">
        <w:rPr>
          <w:rFonts w:ascii="Bookman Old Style" w:hAnsi="Bookman Old Style"/>
          <w:sz w:val="24"/>
          <w:szCs w:val="24"/>
          <w:lang w:val="sv-FI"/>
        </w:rPr>
        <w:t xml:space="preserve"> </w:t>
      </w:r>
      <w:r w:rsidR="003B7FE4" w:rsidRPr="003255BC">
        <w:rPr>
          <w:rFonts w:ascii="Bookman Old Style" w:hAnsi="Bookman Old Style"/>
          <w:sz w:val="24"/>
          <w:szCs w:val="24"/>
          <w:lang w:val="sv-FI"/>
        </w:rPr>
        <w:t>dalam</w:t>
      </w:r>
      <w:r w:rsidR="00A954D0" w:rsidRPr="003255BC">
        <w:rPr>
          <w:rFonts w:ascii="Bookman Old Style" w:hAnsi="Bookman Old Style"/>
          <w:sz w:val="24"/>
          <w:szCs w:val="24"/>
          <w:lang w:val="sv-FI"/>
        </w:rPr>
        <w:t xml:space="preserve"> </w:t>
      </w:r>
      <w:r w:rsidR="003B7FE4" w:rsidRPr="003255BC">
        <w:rPr>
          <w:rFonts w:ascii="Bookman Old Style" w:hAnsi="Bookman Old Style"/>
          <w:sz w:val="24"/>
          <w:szCs w:val="24"/>
          <w:lang w:val="sv-FI"/>
        </w:rPr>
        <w:t>negeri</w:t>
      </w:r>
      <w:r w:rsidR="00A954D0" w:rsidRPr="003255BC">
        <w:rPr>
          <w:rFonts w:ascii="Bookman Old Style" w:hAnsi="Bookman Old Style"/>
          <w:sz w:val="24"/>
          <w:szCs w:val="24"/>
          <w:lang w:val="sv-FI"/>
        </w:rPr>
        <w:t xml:space="preserve"> </w:t>
      </w:r>
      <w:r w:rsidR="003B7FE4" w:rsidRPr="003255BC">
        <w:rPr>
          <w:rFonts w:ascii="Bookman Old Style" w:hAnsi="Bookman Old Style"/>
          <w:sz w:val="24"/>
          <w:szCs w:val="24"/>
          <w:lang w:val="sv-FI"/>
        </w:rPr>
        <w:t>dan</w:t>
      </w:r>
      <w:r w:rsidR="00A954D0" w:rsidRPr="003255BC">
        <w:rPr>
          <w:rFonts w:ascii="Bookman Old Style" w:hAnsi="Bookman Old Style"/>
          <w:sz w:val="24"/>
          <w:szCs w:val="24"/>
          <w:lang w:val="sv-FI"/>
        </w:rPr>
        <w:t xml:space="preserve"> </w:t>
      </w:r>
      <w:r w:rsidR="003B7FE4" w:rsidRPr="003255BC">
        <w:rPr>
          <w:rFonts w:ascii="Bookman Old Style" w:hAnsi="Bookman Old Style"/>
          <w:sz w:val="24"/>
          <w:szCs w:val="24"/>
          <w:lang w:val="sv-FI"/>
        </w:rPr>
        <w:t>belanja</w:t>
      </w:r>
      <w:r w:rsidR="00A954D0" w:rsidRPr="003255BC">
        <w:rPr>
          <w:rFonts w:ascii="Bookman Old Style" w:hAnsi="Bookman Old Style"/>
          <w:sz w:val="24"/>
          <w:szCs w:val="24"/>
          <w:lang w:val="sv-FI"/>
        </w:rPr>
        <w:t xml:space="preserve"> </w:t>
      </w:r>
      <w:r w:rsidR="003B7FE4" w:rsidRPr="003255BC">
        <w:rPr>
          <w:rFonts w:ascii="Bookman Old Style" w:hAnsi="Bookman Old Style"/>
          <w:sz w:val="24"/>
          <w:szCs w:val="24"/>
          <w:lang w:val="sv-FI"/>
        </w:rPr>
        <w:t>perjalanan</w:t>
      </w:r>
      <w:r w:rsidR="00A954D0" w:rsidRPr="003255BC">
        <w:rPr>
          <w:rFonts w:ascii="Bookman Old Style" w:hAnsi="Bookman Old Style"/>
          <w:sz w:val="24"/>
          <w:szCs w:val="24"/>
          <w:lang w:val="sv-FI"/>
        </w:rPr>
        <w:t xml:space="preserve"> </w:t>
      </w:r>
      <w:r w:rsidR="003B7FE4" w:rsidRPr="003255BC">
        <w:rPr>
          <w:rFonts w:ascii="Bookman Old Style" w:hAnsi="Bookman Old Style"/>
          <w:sz w:val="24"/>
          <w:szCs w:val="24"/>
          <w:lang w:val="sv-FI"/>
        </w:rPr>
        <w:t>dinas</w:t>
      </w:r>
      <w:r w:rsidR="00A954D0" w:rsidRPr="003255BC">
        <w:rPr>
          <w:rFonts w:ascii="Bookman Old Style" w:hAnsi="Bookman Old Style"/>
          <w:sz w:val="24"/>
          <w:szCs w:val="24"/>
          <w:lang w:val="sv-FI"/>
        </w:rPr>
        <w:t xml:space="preserve"> </w:t>
      </w:r>
      <w:r w:rsidR="003B7FE4" w:rsidRPr="003255BC">
        <w:rPr>
          <w:rFonts w:ascii="Bookman Old Style" w:hAnsi="Bookman Old Style"/>
          <w:sz w:val="24"/>
          <w:szCs w:val="24"/>
          <w:lang w:val="sv-FI"/>
        </w:rPr>
        <w:t>luar</w:t>
      </w:r>
      <w:r w:rsidR="00A954D0" w:rsidRPr="003255BC">
        <w:rPr>
          <w:rFonts w:ascii="Bookman Old Style" w:hAnsi="Bookman Old Style"/>
          <w:sz w:val="24"/>
          <w:szCs w:val="24"/>
          <w:lang w:val="sv-FI"/>
        </w:rPr>
        <w:t xml:space="preserve"> </w:t>
      </w:r>
      <w:r w:rsidR="003B7FE4" w:rsidRPr="003255BC">
        <w:rPr>
          <w:rFonts w:ascii="Bookman Old Style" w:hAnsi="Bookman Old Style"/>
          <w:sz w:val="24"/>
          <w:szCs w:val="24"/>
          <w:lang w:val="sv-FI"/>
        </w:rPr>
        <w:t>negeri</w:t>
      </w:r>
      <w:r w:rsidR="00A954D0" w:rsidRPr="003255BC">
        <w:rPr>
          <w:rFonts w:ascii="Bookman Old Style" w:hAnsi="Bookman Old Style"/>
          <w:sz w:val="24"/>
          <w:szCs w:val="24"/>
          <w:lang w:val="sv-FI"/>
        </w:rPr>
        <w:t xml:space="preserve"> </w:t>
      </w:r>
      <w:r w:rsidR="003B7FE4" w:rsidRPr="003255BC">
        <w:rPr>
          <w:rFonts w:ascii="Bookman Old Style" w:hAnsi="Bookman Old Style"/>
          <w:sz w:val="24"/>
          <w:szCs w:val="24"/>
          <w:lang w:val="sv-FI"/>
        </w:rPr>
        <w:t>dianggarkan</w:t>
      </w:r>
      <w:r w:rsidR="00A954D0" w:rsidRPr="003255BC">
        <w:rPr>
          <w:rFonts w:ascii="Bookman Old Style" w:hAnsi="Bookman Old Style"/>
          <w:sz w:val="24"/>
          <w:szCs w:val="24"/>
          <w:lang w:val="sv-FI"/>
        </w:rPr>
        <w:t xml:space="preserve"> </w:t>
      </w:r>
      <w:r w:rsidR="003B7FE4" w:rsidRPr="00202F0A">
        <w:rPr>
          <w:rFonts w:ascii="Bookman Old Style" w:hAnsi="Bookman Old Style"/>
          <w:sz w:val="24"/>
          <w:szCs w:val="24"/>
        </w:rPr>
        <w:t>sesuai</w:t>
      </w:r>
      <w:r w:rsidR="00A954D0" w:rsidRPr="003255BC">
        <w:rPr>
          <w:rFonts w:ascii="Bookman Old Style" w:hAnsi="Bookman Old Style"/>
          <w:sz w:val="24"/>
          <w:szCs w:val="24"/>
          <w:lang w:val="sv-FI"/>
        </w:rPr>
        <w:t xml:space="preserve"> </w:t>
      </w:r>
      <w:r w:rsidR="003B7FE4" w:rsidRPr="00202F0A">
        <w:rPr>
          <w:rFonts w:ascii="Bookman Old Style" w:hAnsi="Bookman Old Style"/>
          <w:sz w:val="24"/>
          <w:szCs w:val="24"/>
        </w:rPr>
        <w:t>dengan</w:t>
      </w:r>
      <w:r w:rsidR="00A954D0">
        <w:rPr>
          <w:rFonts w:ascii="Bookman Old Style" w:hAnsi="Bookman Old Style"/>
          <w:sz w:val="24"/>
          <w:szCs w:val="24"/>
        </w:rPr>
        <w:t xml:space="preserve"> </w:t>
      </w:r>
      <w:r w:rsidR="003B7FE4" w:rsidRPr="00202F0A">
        <w:rPr>
          <w:rFonts w:ascii="Bookman Old Style" w:hAnsi="Bookman Old Style"/>
          <w:sz w:val="24"/>
          <w:szCs w:val="24"/>
        </w:rPr>
        <w:t>ketentuan</w:t>
      </w:r>
      <w:r w:rsidR="00A954D0">
        <w:rPr>
          <w:rFonts w:ascii="Bookman Old Style" w:hAnsi="Bookman Old Style"/>
          <w:sz w:val="24"/>
          <w:szCs w:val="24"/>
        </w:rPr>
        <w:t xml:space="preserve"> </w:t>
      </w:r>
      <w:r w:rsidR="003B7FE4" w:rsidRPr="00202F0A">
        <w:rPr>
          <w:rFonts w:ascii="Bookman Old Style" w:hAnsi="Bookman Old Style"/>
          <w:sz w:val="24"/>
          <w:szCs w:val="24"/>
        </w:rPr>
        <w:t>peraturan</w:t>
      </w:r>
      <w:r w:rsidR="00A954D0">
        <w:rPr>
          <w:rFonts w:ascii="Bookman Old Style" w:hAnsi="Bookman Old Style"/>
          <w:sz w:val="24"/>
          <w:szCs w:val="24"/>
        </w:rPr>
        <w:t xml:space="preserve"> </w:t>
      </w:r>
      <w:r w:rsidR="003B7FE4" w:rsidRPr="00202F0A">
        <w:rPr>
          <w:rFonts w:ascii="Bookman Old Style" w:hAnsi="Bookman Old Style"/>
          <w:sz w:val="24"/>
          <w:szCs w:val="24"/>
        </w:rPr>
        <w:t>perundang-undangan</w:t>
      </w:r>
      <w:r w:rsidR="00A954D0">
        <w:rPr>
          <w:rFonts w:ascii="Bookman Old Style" w:hAnsi="Bookman Old Style"/>
          <w:sz w:val="24"/>
          <w:szCs w:val="24"/>
        </w:rPr>
        <w:t xml:space="preserve"> </w:t>
      </w:r>
      <w:r w:rsidR="003B7FE4" w:rsidRPr="00202F0A">
        <w:rPr>
          <w:rFonts w:ascii="Bookman Old Style" w:hAnsi="Bookman Old Style"/>
          <w:sz w:val="24"/>
          <w:szCs w:val="24"/>
        </w:rPr>
        <w:t>mengenai</w:t>
      </w:r>
      <w:r w:rsidR="00A954D0">
        <w:rPr>
          <w:rFonts w:ascii="Bookman Old Style" w:hAnsi="Bookman Old Style"/>
          <w:sz w:val="24"/>
          <w:szCs w:val="24"/>
        </w:rPr>
        <w:t xml:space="preserve"> </w:t>
      </w:r>
      <w:r w:rsidR="003B7FE4" w:rsidRPr="00202F0A">
        <w:rPr>
          <w:rFonts w:ascii="Bookman Old Style" w:hAnsi="Bookman Old Style"/>
          <w:sz w:val="24"/>
          <w:szCs w:val="24"/>
        </w:rPr>
        <w:t>Standar</w:t>
      </w:r>
      <w:r w:rsidR="00A954D0">
        <w:rPr>
          <w:rFonts w:ascii="Bookman Old Style" w:hAnsi="Bookman Old Style"/>
          <w:sz w:val="24"/>
          <w:szCs w:val="24"/>
        </w:rPr>
        <w:t xml:space="preserve"> </w:t>
      </w:r>
      <w:r w:rsidR="003B7FE4" w:rsidRPr="00202F0A">
        <w:rPr>
          <w:rFonts w:ascii="Bookman Old Style" w:hAnsi="Bookman Old Style"/>
          <w:sz w:val="24"/>
          <w:szCs w:val="24"/>
        </w:rPr>
        <w:t>Harga</w:t>
      </w:r>
      <w:r w:rsidR="00A954D0" w:rsidRPr="003255BC">
        <w:rPr>
          <w:rFonts w:ascii="Bookman Old Style" w:hAnsi="Bookman Old Style"/>
          <w:sz w:val="24"/>
          <w:szCs w:val="24"/>
          <w:lang w:val="sv-FI"/>
        </w:rPr>
        <w:t xml:space="preserve"> </w:t>
      </w:r>
      <w:r w:rsidR="003B7FE4" w:rsidRPr="00202F0A">
        <w:rPr>
          <w:rFonts w:ascii="Bookman Old Style" w:hAnsi="Bookman Old Style"/>
          <w:sz w:val="24"/>
          <w:szCs w:val="24"/>
        </w:rPr>
        <w:t>Satuan</w:t>
      </w:r>
      <w:r w:rsidR="00A954D0">
        <w:rPr>
          <w:rFonts w:ascii="Bookman Old Style" w:hAnsi="Bookman Old Style"/>
          <w:sz w:val="24"/>
          <w:szCs w:val="24"/>
        </w:rPr>
        <w:t xml:space="preserve"> </w:t>
      </w:r>
      <w:r w:rsidR="003B7FE4" w:rsidRPr="00202F0A">
        <w:rPr>
          <w:rFonts w:ascii="Bookman Old Style" w:hAnsi="Bookman Old Style"/>
          <w:sz w:val="24"/>
          <w:szCs w:val="24"/>
        </w:rPr>
        <w:t>Regional</w:t>
      </w:r>
      <w:r w:rsidR="00A954D0" w:rsidRPr="003255BC">
        <w:rPr>
          <w:rFonts w:ascii="Bookman Old Style" w:hAnsi="Bookman Old Style"/>
          <w:sz w:val="24"/>
          <w:szCs w:val="24"/>
          <w:lang w:val="sv-FI"/>
        </w:rPr>
        <w:t xml:space="preserve"> </w:t>
      </w:r>
      <w:r w:rsidR="003B7FE4" w:rsidRPr="00202F0A">
        <w:rPr>
          <w:rFonts w:ascii="Bookman Old Style" w:hAnsi="Bookman Old Style" w:cs="Arial"/>
          <w:sz w:val="24"/>
          <w:szCs w:val="24"/>
        </w:rPr>
        <w:t>butir</w:t>
      </w:r>
      <w:r w:rsidR="00A954D0">
        <w:rPr>
          <w:rFonts w:ascii="Bookman Old Style" w:hAnsi="Bookman Old Style" w:cs="Arial"/>
          <w:sz w:val="24"/>
          <w:szCs w:val="24"/>
        </w:rPr>
        <w:t xml:space="preserve"> </w:t>
      </w:r>
      <w:r w:rsidR="003B7FE4" w:rsidRPr="003255BC">
        <w:rPr>
          <w:rFonts w:ascii="Bookman Old Style" w:hAnsi="Bookman Old Style"/>
          <w:sz w:val="24"/>
          <w:szCs w:val="24"/>
          <w:lang w:val="sv-FI"/>
        </w:rPr>
        <w:t>3.4.1.2.4</w:t>
      </w:r>
      <w:r w:rsidR="00A954D0">
        <w:rPr>
          <w:rFonts w:ascii="Bookman Old Style" w:hAnsi="Bookman Old Style" w:cs="Arial"/>
          <w:sz w:val="24"/>
          <w:szCs w:val="24"/>
        </w:rPr>
        <w:t xml:space="preserve"> </w:t>
      </w:r>
      <w:r w:rsidR="003B7FE4" w:rsidRPr="00202F0A">
        <w:rPr>
          <w:rFonts w:ascii="Bookman Old Style" w:hAnsi="Bookman Old Style" w:cs="Arial"/>
          <w:sz w:val="24"/>
          <w:szCs w:val="24"/>
        </w:rPr>
        <w:t>Lampiran</w:t>
      </w:r>
      <w:r w:rsidR="00A954D0">
        <w:rPr>
          <w:rFonts w:ascii="Bookman Old Style" w:hAnsi="Bookman Old Style" w:cs="Arial"/>
          <w:sz w:val="24"/>
          <w:szCs w:val="24"/>
        </w:rPr>
        <w:t xml:space="preserve"> </w:t>
      </w:r>
      <w:r w:rsidR="003B7FE4" w:rsidRPr="00202F0A">
        <w:rPr>
          <w:rFonts w:ascii="Bookman Old Style" w:hAnsi="Bookman Old Style" w:cs="Arial"/>
          <w:sz w:val="24"/>
          <w:szCs w:val="24"/>
        </w:rPr>
        <w:t>Peraturan</w:t>
      </w:r>
      <w:r w:rsidR="00A954D0">
        <w:rPr>
          <w:rFonts w:ascii="Bookman Old Style" w:hAnsi="Bookman Old Style" w:cs="Arial"/>
          <w:sz w:val="24"/>
          <w:szCs w:val="24"/>
        </w:rPr>
        <w:t xml:space="preserve"> </w:t>
      </w:r>
      <w:r w:rsidR="003B7FE4" w:rsidRPr="00202F0A">
        <w:rPr>
          <w:rFonts w:ascii="Bookman Old Style" w:hAnsi="Bookman Old Style" w:cs="Arial"/>
          <w:sz w:val="24"/>
          <w:szCs w:val="24"/>
        </w:rPr>
        <w:t>Menteri</w:t>
      </w:r>
      <w:r w:rsidR="00A954D0">
        <w:rPr>
          <w:rFonts w:ascii="Bookman Old Style" w:hAnsi="Bookman Old Style" w:cs="Arial"/>
          <w:sz w:val="24"/>
          <w:szCs w:val="24"/>
        </w:rPr>
        <w:t xml:space="preserve"> </w:t>
      </w:r>
      <w:r w:rsidR="003B7FE4" w:rsidRPr="00202F0A">
        <w:rPr>
          <w:rFonts w:ascii="Bookman Old Style" w:hAnsi="Bookman Old Style" w:cs="Arial"/>
          <w:sz w:val="24"/>
          <w:szCs w:val="24"/>
        </w:rPr>
        <w:t>Dalam</w:t>
      </w:r>
      <w:r w:rsidR="00A954D0">
        <w:rPr>
          <w:rFonts w:ascii="Bookman Old Style" w:hAnsi="Bookman Old Style" w:cs="Arial"/>
          <w:sz w:val="24"/>
          <w:szCs w:val="24"/>
        </w:rPr>
        <w:t xml:space="preserve"> </w:t>
      </w:r>
      <w:r w:rsidR="003B7FE4" w:rsidRPr="00202F0A">
        <w:rPr>
          <w:rFonts w:ascii="Bookman Old Style" w:hAnsi="Bookman Old Style" w:cs="Arial"/>
          <w:sz w:val="24"/>
          <w:szCs w:val="24"/>
        </w:rPr>
        <w:t>Negeri</w:t>
      </w:r>
      <w:r w:rsidR="00A954D0">
        <w:rPr>
          <w:rFonts w:ascii="Bookman Old Style" w:hAnsi="Bookman Old Style" w:cs="Arial"/>
          <w:sz w:val="24"/>
          <w:szCs w:val="24"/>
        </w:rPr>
        <w:t xml:space="preserve"> </w:t>
      </w:r>
      <w:r w:rsidR="003B7FE4" w:rsidRPr="00202F0A">
        <w:rPr>
          <w:rFonts w:ascii="Bookman Old Style" w:hAnsi="Bookman Old Style" w:cs="Arial"/>
          <w:sz w:val="24"/>
          <w:szCs w:val="24"/>
        </w:rPr>
        <w:t>Nomor</w:t>
      </w:r>
      <w:r w:rsidR="00A954D0">
        <w:rPr>
          <w:rFonts w:ascii="Bookman Old Style" w:hAnsi="Bookman Old Style" w:cs="Arial"/>
          <w:sz w:val="24"/>
          <w:szCs w:val="24"/>
        </w:rPr>
        <w:t xml:space="preserve"> </w:t>
      </w:r>
      <w:r w:rsidR="003B7FE4" w:rsidRPr="003255BC">
        <w:rPr>
          <w:rFonts w:ascii="Bookman Old Style" w:hAnsi="Bookman Old Style" w:cs="Arial"/>
          <w:sz w:val="24"/>
          <w:szCs w:val="24"/>
          <w:lang w:val="sv-FI"/>
        </w:rPr>
        <w:t>15</w:t>
      </w:r>
      <w:r w:rsidR="00A954D0">
        <w:rPr>
          <w:rFonts w:ascii="Bookman Old Style" w:hAnsi="Bookman Old Style" w:cs="Arial"/>
          <w:sz w:val="24"/>
          <w:szCs w:val="24"/>
        </w:rPr>
        <w:t xml:space="preserve"> </w:t>
      </w:r>
      <w:r w:rsidR="003B7FE4" w:rsidRPr="00202F0A">
        <w:rPr>
          <w:rFonts w:ascii="Bookman Old Style" w:hAnsi="Bookman Old Style" w:cs="Arial"/>
          <w:sz w:val="24"/>
          <w:szCs w:val="24"/>
        </w:rPr>
        <w:t>Tahun</w:t>
      </w:r>
      <w:r w:rsidR="00A954D0">
        <w:rPr>
          <w:rFonts w:ascii="Bookman Old Style" w:hAnsi="Bookman Old Style" w:cs="Arial"/>
          <w:sz w:val="24"/>
          <w:szCs w:val="24"/>
        </w:rPr>
        <w:t xml:space="preserve"> </w:t>
      </w:r>
      <w:r w:rsidR="003B7FE4" w:rsidRPr="00202F0A">
        <w:rPr>
          <w:rFonts w:ascii="Bookman Old Style" w:hAnsi="Bookman Old Style" w:cs="Arial"/>
          <w:sz w:val="24"/>
          <w:szCs w:val="24"/>
        </w:rPr>
        <w:t>202</w:t>
      </w:r>
      <w:r w:rsidR="003B7FE4" w:rsidRPr="003255BC">
        <w:rPr>
          <w:rFonts w:ascii="Bookman Old Style" w:hAnsi="Bookman Old Style" w:cs="Arial"/>
          <w:sz w:val="24"/>
          <w:szCs w:val="24"/>
          <w:lang w:val="sv-FI"/>
        </w:rPr>
        <w:t>4</w:t>
      </w:r>
      <w:r w:rsidR="003B7FE4" w:rsidRPr="003255BC">
        <w:rPr>
          <w:rFonts w:ascii="Bookman Old Style" w:hAnsi="Bookman Old Style"/>
          <w:sz w:val="24"/>
          <w:szCs w:val="24"/>
          <w:lang w:val="sv-FI"/>
        </w:rPr>
        <w:t>.</w:t>
      </w:r>
    </w:p>
    <w:p w14:paraId="0DE959D3" w14:textId="5E65ACEB" w:rsidR="003B7FE4" w:rsidRPr="00202F0A" w:rsidRDefault="003B7FE4" w:rsidP="000B2AAF">
      <w:pPr>
        <w:pStyle w:val="ListParagraph"/>
        <w:spacing w:before="60" w:after="0" w:line="276" w:lineRule="auto"/>
        <w:ind w:left="2268"/>
        <w:contextualSpacing w:val="0"/>
        <w:jc w:val="both"/>
        <w:rPr>
          <w:rFonts w:ascii="Bookman Old Style" w:hAnsi="Bookman Old Style" w:cs="Bookman Old Style"/>
          <w:sz w:val="24"/>
          <w:szCs w:val="24"/>
        </w:rPr>
      </w:pPr>
      <w:r w:rsidRPr="00202F0A">
        <w:rPr>
          <w:rFonts w:ascii="Bookman Old Style" w:hAnsi="Bookman Old Style"/>
          <w:sz w:val="24"/>
          <w:szCs w:val="24"/>
          <w:lang w:val="en-US"/>
        </w:rPr>
        <w:t>Penyediaan</w:t>
      </w:r>
      <w:r w:rsidR="00A954D0">
        <w:rPr>
          <w:rFonts w:ascii="Bookman Old Style" w:hAnsi="Bookman Old Style"/>
          <w:sz w:val="24"/>
          <w:szCs w:val="24"/>
          <w:lang w:val="en-US"/>
        </w:rPr>
        <w:t xml:space="preserve"> </w:t>
      </w:r>
      <w:r w:rsidRPr="00202F0A">
        <w:rPr>
          <w:rFonts w:ascii="Bookman Old Style" w:hAnsi="Bookman Old Style"/>
          <w:sz w:val="24"/>
          <w:szCs w:val="24"/>
          <w:lang w:val="en-US"/>
        </w:rPr>
        <w:t>anggaran</w:t>
      </w:r>
      <w:r w:rsidR="00A954D0">
        <w:rPr>
          <w:rFonts w:ascii="Bookman Old Style" w:hAnsi="Bookman Old Style"/>
          <w:sz w:val="24"/>
          <w:szCs w:val="24"/>
          <w:lang w:val="en-US"/>
        </w:rPr>
        <w:t xml:space="preserve"> </w:t>
      </w:r>
      <w:r w:rsidRPr="00202F0A">
        <w:rPr>
          <w:rFonts w:ascii="Bookman Old Style" w:hAnsi="Bookman Old Style" w:cs="Arial"/>
          <w:sz w:val="24"/>
          <w:szCs w:val="24"/>
        </w:rPr>
        <w:t>belanja</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perjalanan</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dinas</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paket</w:t>
      </w:r>
      <w:r w:rsidR="00A954D0">
        <w:rPr>
          <w:rFonts w:ascii="Bookman Old Style" w:hAnsi="Bookman Old Style" w:cs="Bookman Old Style"/>
          <w:sz w:val="24"/>
          <w:szCs w:val="24"/>
        </w:rPr>
        <w:t xml:space="preserve"> </w:t>
      </w:r>
      <w:r w:rsidRPr="00202F0A">
        <w:rPr>
          <w:rFonts w:ascii="Bookman Old Style" w:hAnsi="Bookman Old Style" w:cs="Bookman Old Style"/>
          <w:i/>
          <w:iCs/>
          <w:sz w:val="24"/>
          <w:szCs w:val="24"/>
        </w:rPr>
        <w:t>meeting</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dalam</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kota</w:t>
      </w:r>
      <w:r w:rsidR="00A954D0">
        <w:rPr>
          <w:rFonts w:ascii="Bookman Old Style" w:hAnsi="Bookman Old Style"/>
          <w:sz w:val="24"/>
          <w:szCs w:val="24"/>
        </w:rPr>
        <w:t xml:space="preserve"> </w:t>
      </w:r>
      <w:r w:rsidRPr="00202F0A">
        <w:rPr>
          <w:rFonts w:ascii="Bookman Old Style" w:hAnsi="Bookman Old Style" w:cs="Bookman Old Style"/>
          <w:sz w:val="24"/>
          <w:szCs w:val="24"/>
        </w:rPr>
        <w:t>digunakan</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untuk</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menganggarkan</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perjalanan</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dinas</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dalam</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rangka</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rapat,</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pertemuan,</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atau</w:t>
      </w:r>
      <w:r w:rsidR="00A954D0">
        <w:rPr>
          <w:rFonts w:ascii="Bookman Old Style" w:hAnsi="Bookman Old Style" w:cs="Bookman Old Style"/>
          <w:sz w:val="24"/>
          <w:szCs w:val="24"/>
          <w:lang w:val="en-US"/>
        </w:rPr>
        <w:t xml:space="preserve"> </w:t>
      </w:r>
      <w:r w:rsidRPr="00202F0A">
        <w:rPr>
          <w:rFonts w:ascii="Bookman Old Style" w:hAnsi="Bookman Old Style" w:cs="Bookman Old Style"/>
          <w:sz w:val="24"/>
          <w:szCs w:val="24"/>
        </w:rPr>
        <w:t>sejenisnya</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yang</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diselenggarakan</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oleh</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pemerintah</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daerah</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di</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dalam</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kota</w:t>
      </w:r>
      <w:r w:rsidR="00A954D0">
        <w:rPr>
          <w:rFonts w:ascii="Bookman Old Style" w:hAnsi="Bookman Old Style" w:cs="Bookman Old Style"/>
          <w:sz w:val="24"/>
          <w:szCs w:val="24"/>
          <w:lang w:val="en-US"/>
        </w:rPr>
        <w:t xml:space="preserve"> </w:t>
      </w:r>
      <w:r w:rsidRPr="00202F0A">
        <w:rPr>
          <w:rFonts w:ascii="Bookman Old Style" w:hAnsi="Bookman Old Style" w:cs="Bookman Old Style"/>
          <w:sz w:val="24"/>
          <w:szCs w:val="24"/>
        </w:rPr>
        <w:t>di</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luar</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kantor</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dalam</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rangka</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penyelesaian</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pekerjaan</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yang</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perlu</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dilakukan</w:t>
      </w:r>
      <w:r w:rsidR="00A954D0">
        <w:rPr>
          <w:rFonts w:ascii="Bookman Old Style" w:hAnsi="Bookman Old Style" w:cs="Bookman Old Style"/>
          <w:sz w:val="24"/>
          <w:szCs w:val="24"/>
          <w:lang w:val="en-US"/>
        </w:rPr>
        <w:t xml:space="preserve"> </w:t>
      </w:r>
      <w:r w:rsidRPr="00202F0A">
        <w:rPr>
          <w:rFonts w:ascii="Bookman Old Style" w:hAnsi="Bookman Old Style" w:cs="Bookman Old Style"/>
          <w:sz w:val="24"/>
          <w:szCs w:val="24"/>
        </w:rPr>
        <w:t>secara</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intensif</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dan</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bersifat</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koordinatif</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yang</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paling</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sedikit</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melibatkan</w:t>
      </w:r>
      <w:r w:rsidR="00A954D0">
        <w:rPr>
          <w:rFonts w:ascii="Bookman Old Style" w:hAnsi="Bookman Old Style" w:cs="Bookman Old Style"/>
          <w:sz w:val="24"/>
          <w:szCs w:val="24"/>
          <w:lang w:val="en-US"/>
        </w:rPr>
        <w:t xml:space="preserve"> </w:t>
      </w:r>
      <w:r w:rsidRPr="00202F0A">
        <w:rPr>
          <w:rFonts w:ascii="Bookman Old Style" w:hAnsi="Bookman Old Style" w:cs="Bookman Old Style"/>
          <w:sz w:val="24"/>
          <w:szCs w:val="24"/>
        </w:rPr>
        <w:t>peserta</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dari</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luar</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Satuan</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Kerja</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Perangkat</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Daerah</w:t>
      </w:r>
      <w:r w:rsidR="00A954D0">
        <w:rPr>
          <w:rFonts w:ascii="Bookman Old Style" w:hAnsi="Bookman Old Style" w:cs="Bookman Old Style"/>
          <w:sz w:val="24"/>
          <w:szCs w:val="24"/>
          <w:lang w:val="en-US"/>
        </w:rPr>
        <w:t xml:space="preserve"> </w:t>
      </w:r>
      <w:r w:rsidRPr="00202F0A">
        <w:rPr>
          <w:rFonts w:ascii="Bookman Old Style" w:hAnsi="Bookman Old Style" w:cs="Bookman Old Style"/>
          <w:sz w:val="24"/>
          <w:szCs w:val="24"/>
          <w:lang w:val="en-US"/>
        </w:rPr>
        <w:t>(SKPD)</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atau</w:t>
      </w:r>
      <w:r w:rsidR="00A954D0">
        <w:rPr>
          <w:rFonts w:ascii="Bookman Old Style" w:hAnsi="Bookman Old Style" w:cs="Bookman Old Style"/>
          <w:sz w:val="24"/>
          <w:szCs w:val="24"/>
        </w:rPr>
        <w:t xml:space="preserve"> </w:t>
      </w:r>
      <w:r w:rsidRPr="00202F0A">
        <w:rPr>
          <w:rFonts w:ascii="Bookman Old Style" w:hAnsi="Bookman Old Style" w:cs="Bookman Old Style"/>
          <w:sz w:val="24"/>
          <w:szCs w:val="24"/>
        </w:rPr>
        <w:t>masyarakat</w:t>
      </w:r>
      <w:r w:rsidR="00A954D0">
        <w:rPr>
          <w:rFonts w:ascii="Bookman Old Style" w:hAnsi="Bookman Old Style"/>
          <w:sz w:val="24"/>
          <w:szCs w:val="24"/>
        </w:rPr>
        <w:t xml:space="preserve"> </w:t>
      </w:r>
      <w:r w:rsidRPr="00202F0A">
        <w:rPr>
          <w:rFonts w:ascii="Bookman Old Style" w:hAnsi="Bookman Old Style"/>
          <w:sz w:val="24"/>
          <w:szCs w:val="24"/>
          <w:lang w:val="en-US"/>
        </w:rPr>
        <w:t>sebagaimana</w:t>
      </w:r>
      <w:r w:rsidR="00A954D0">
        <w:rPr>
          <w:rFonts w:ascii="Bookman Old Style" w:hAnsi="Bookman Old Style"/>
          <w:sz w:val="24"/>
          <w:szCs w:val="24"/>
          <w:lang w:val="en-US"/>
        </w:rPr>
        <w:t xml:space="preserve"> </w:t>
      </w:r>
      <w:r w:rsidRPr="00202F0A">
        <w:rPr>
          <w:rFonts w:ascii="Bookman Old Style" w:hAnsi="Bookman Old Style"/>
          <w:sz w:val="24"/>
          <w:szCs w:val="24"/>
        </w:rPr>
        <w:t>maksud</w:t>
      </w:r>
      <w:r w:rsidR="00A954D0">
        <w:rPr>
          <w:rFonts w:ascii="Bookman Old Style" w:hAnsi="Bookman Old Style" w:cs="Arial"/>
          <w:sz w:val="24"/>
          <w:szCs w:val="24"/>
        </w:rPr>
        <w:t xml:space="preserve"> </w:t>
      </w:r>
      <w:r w:rsidRPr="00202F0A">
        <w:rPr>
          <w:rFonts w:ascii="Bookman Old Style" w:hAnsi="Bookman Old Style" w:cs="Arial"/>
          <w:sz w:val="24"/>
          <w:szCs w:val="24"/>
        </w:rPr>
        <w:t>butir</w:t>
      </w:r>
      <w:r w:rsidR="00A954D0">
        <w:rPr>
          <w:rFonts w:ascii="Bookman Old Style" w:hAnsi="Bookman Old Style" w:cs="Arial"/>
          <w:sz w:val="24"/>
          <w:szCs w:val="24"/>
        </w:rPr>
        <w:t xml:space="preserve"> </w:t>
      </w:r>
      <w:r w:rsidRPr="00202F0A">
        <w:rPr>
          <w:rFonts w:ascii="Bookman Old Style" w:hAnsi="Bookman Old Style"/>
          <w:sz w:val="24"/>
          <w:szCs w:val="24"/>
          <w:lang w:val="en-US"/>
        </w:rPr>
        <w:t>3.4.1.2.4.a).6)</w:t>
      </w:r>
      <w:r w:rsidR="00A954D0">
        <w:rPr>
          <w:rFonts w:ascii="Bookman Old Style" w:hAnsi="Bookman Old Style" w:cs="Arial"/>
          <w:sz w:val="24"/>
          <w:szCs w:val="24"/>
        </w:rPr>
        <w:t xml:space="preserve"> </w:t>
      </w:r>
      <w:r w:rsidRPr="00202F0A">
        <w:rPr>
          <w:rFonts w:ascii="Bookman Old Style" w:hAnsi="Bookman Old Style" w:cs="Arial"/>
          <w:sz w:val="24"/>
          <w:szCs w:val="24"/>
        </w:rPr>
        <w:t>Lampiran</w:t>
      </w:r>
      <w:r w:rsidR="00A954D0">
        <w:rPr>
          <w:rFonts w:ascii="Bookman Old Style" w:hAnsi="Bookman Old Style" w:cs="Arial"/>
          <w:sz w:val="24"/>
          <w:szCs w:val="24"/>
        </w:rPr>
        <w:t xml:space="preserve"> </w:t>
      </w:r>
      <w:r w:rsidRPr="00202F0A">
        <w:rPr>
          <w:rFonts w:ascii="Bookman Old Style" w:hAnsi="Bookman Old Style" w:cs="Arial"/>
          <w:sz w:val="24"/>
          <w:szCs w:val="24"/>
        </w:rPr>
        <w:t>Peraturan</w:t>
      </w:r>
      <w:r w:rsidR="00A954D0">
        <w:rPr>
          <w:rFonts w:ascii="Bookman Old Style" w:hAnsi="Bookman Old Style" w:cs="Arial"/>
          <w:sz w:val="24"/>
          <w:szCs w:val="24"/>
        </w:rPr>
        <w:t xml:space="preserve"> </w:t>
      </w:r>
      <w:r w:rsidRPr="00202F0A">
        <w:rPr>
          <w:rFonts w:ascii="Bookman Old Style" w:hAnsi="Bookman Old Style" w:cs="Arial"/>
          <w:sz w:val="24"/>
          <w:szCs w:val="24"/>
        </w:rPr>
        <w:t>Menteri</w:t>
      </w:r>
      <w:r w:rsidR="00A954D0">
        <w:rPr>
          <w:rFonts w:ascii="Bookman Old Style" w:hAnsi="Bookman Old Style" w:cs="Arial"/>
          <w:sz w:val="24"/>
          <w:szCs w:val="24"/>
        </w:rPr>
        <w:t xml:space="preserve"> </w:t>
      </w:r>
      <w:r w:rsidRPr="00202F0A">
        <w:rPr>
          <w:rFonts w:ascii="Bookman Old Style" w:hAnsi="Bookman Old Style" w:cs="Arial"/>
          <w:sz w:val="24"/>
          <w:szCs w:val="24"/>
        </w:rPr>
        <w:t>Dalam</w:t>
      </w:r>
      <w:r w:rsidR="00A954D0">
        <w:rPr>
          <w:rFonts w:ascii="Bookman Old Style" w:hAnsi="Bookman Old Style" w:cs="Arial"/>
          <w:sz w:val="24"/>
          <w:szCs w:val="24"/>
        </w:rPr>
        <w:t xml:space="preserve"> </w:t>
      </w:r>
      <w:r w:rsidRPr="00202F0A">
        <w:rPr>
          <w:rFonts w:ascii="Bookman Old Style" w:hAnsi="Bookman Old Style" w:cs="Arial"/>
          <w:sz w:val="24"/>
          <w:szCs w:val="24"/>
        </w:rPr>
        <w:t>Negeri</w:t>
      </w:r>
      <w:r w:rsidR="00A954D0">
        <w:rPr>
          <w:rFonts w:ascii="Bookman Old Style" w:hAnsi="Bookman Old Style" w:cs="Arial"/>
          <w:sz w:val="24"/>
          <w:szCs w:val="24"/>
        </w:rPr>
        <w:t xml:space="preserve"> </w:t>
      </w:r>
      <w:r w:rsidRPr="00202F0A">
        <w:rPr>
          <w:rFonts w:ascii="Bookman Old Style" w:hAnsi="Bookman Old Style" w:cs="Arial"/>
          <w:sz w:val="24"/>
          <w:szCs w:val="24"/>
        </w:rPr>
        <w:t>Nomor</w:t>
      </w:r>
      <w:r w:rsidR="00A954D0">
        <w:rPr>
          <w:rFonts w:ascii="Bookman Old Style" w:hAnsi="Bookman Old Style" w:cs="Arial"/>
          <w:sz w:val="24"/>
          <w:szCs w:val="24"/>
        </w:rPr>
        <w:t xml:space="preserve"> </w:t>
      </w:r>
      <w:r w:rsidRPr="00202F0A">
        <w:rPr>
          <w:rFonts w:ascii="Bookman Old Style" w:hAnsi="Bookman Old Style" w:cs="Arial"/>
          <w:sz w:val="24"/>
          <w:szCs w:val="24"/>
          <w:lang w:val="en-US"/>
        </w:rPr>
        <w:t>15</w:t>
      </w:r>
      <w:r w:rsidR="00A954D0">
        <w:rPr>
          <w:rFonts w:ascii="Bookman Old Style" w:hAnsi="Bookman Old Style" w:cs="Arial"/>
          <w:sz w:val="24"/>
          <w:szCs w:val="24"/>
        </w:rPr>
        <w:t xml:space="preserve"> </w:t>
      </w:r>
      <w:r w:rsidRPr="00202F0A">
        <w:rPr>
          <w:rFonts w:ascii="Bookman Old Style" w:hAnsi="Bookman Old Style" w:cs="Arial"/>
          <w:sz w:val="24"/>
          <w:szCs w:val="24"/>
        </w:rPr>
        <w:t>Tahun</w:t>
      </w:r>
      <w:r w:rsidR="00A954D0">
        <w:rPr>
          <w:rFonts w:ascii="Bookman Old Style" w:hAnsi="Bookman Old Style" w:cs="Arial"/>
          <w:sz w:val="24"/>
          <w:szCs w:val="24"/>
        </w:rPr>
        <w:t xml:space="preserve"> </w:t>
      </w:r>
      <w:r w:rsidRPr="00202F0A">
        <w:rPr>
          <w:rFonts w:ascii="Bookman Old Style" w:hAnsi="Bookman Old Style" w:cs="Arial"/>
          <w:sz w:val="24"/>
          <w:szCs w:val="24"/>
        </w:rPr>
        <w:t>202</w:t>
      </w:r>
      <w:r w:rsidRPr="00202F0A">
        <w:rPr>
          <w:rFonts w:ascii="Bookman Old Style" w:hAnsi="Bookman Old Style" w:cs="Arial"/>
          <w:sz w:val="24"/>
          <w:szCs w:val="24"/>
          <w:lang w:val="en-US"/>
        </w:rPr>
        <w:t>4</w:t>
      </w:r>
      <w:r w:rsidRPr="00202F0A">
        <w:rPr>
          <w:rFonts w:ascii="Bookman Old Style" w:hAnsi="Bookman Old Style"/>
          <w:sz w:val="24"/>
          <w:szCs w:val="24"/>
        </w:rPr>
        <w:t>.</w:t>
      </w:r>
    </w:p>
    <w:p w14:paraId="4C279E70" w14:textId="0B47FDD1" w:rsidR="003B7FE4" w:rsidRPr="000E3D99" w:rsidRDefault="003B7FE4" w:rsidP="000B2AAF">
      <w:pPr>
        <w:pStyle w:val="ListParagraph"/>
        <w:spacing w:before="60" w:after="0" w:line="276" w:lineRule="auto"/>
        <w:ind w:left="2268"/>
        <w:contextualSpacing w:val="0"/>
        <w:jc w:val="both"/>
        <w:rPr>
          <w:rFonts w:ascii="Bookman Old Style" w:hAnsi="Bookman Old Style" w:cs="Bookman Old Style"/>
          <w:sz w:val="24"/>
          <w:szCs w:val="24"/>
        </w:rPr>
      </w:pPr>
      <w:r w:rsidRPr="000E3D99">
        <w:rPr>
          <w:rFonts w:ascii="Bookman Old Style" w:hAnsi="Bookman Old Style"/>
          <w:sz w:val="24"/>
          <w:szCs w:val="24"/>
        </w:rPr>
        <w:t>Selanjutnya,</w:t>
      </w:r>
      <w:r w:rsidR="00A954D0">
        <w:rPr>
          <w:rFonts w:ascii="Bookman Old Style" w:hAnsi="Bookman Old Style"/>
          <w:sz w:val="24"/>
          <w:szCs w:val="24"/>
        </w:rPr>
        <w:t xml:space="preserve"> </w:t>
      </w:r>
      <w:r w:rsidRPr="000E3D99">
        <w:rPr>
          <w:rFonts w:ascii="Bookman Old Style" w:hAnsi="Bookman Old Style"/>
          <w:sz w:val="24"/>
          <w:szCs w:val="24"/>
          <w:lang w:val="en-US"/>
        </w:rPr>
        <w:t>Penyediaan</w:t>
      </w:r>
      <w:r w:rsidR="00A954D0">
        <w:rPr>
          <w:rFonts w:ascii="Bookman Old Style" w:hAnsi="Bookman Old Style"/>
          <w:sz w:val="24"/>
          <w:szCs w:val="24"/>
          <w:lang w:val="en-US"/>
        </w:rPr>
        <w:t xml:space="preserve"> </w:t>
      </w:r>
      <w:r w:rsidRPr="000E3D99">
        <w:rPr>
          <w:rFonts w:ascii="Bookman Old Style" w:hAnsi="Bookman Old Style"/>
          <w:sz w:val="24"/>
          <w:szCs w:val="24"/>
          <w:lang w:val="en-US"/>
        </w:rPr>
        <w:t>anggaran</w:t>
      </w:r>
      <w:r w:rsidR="00A954D0">
        <w:rPr>
          <w:rFonts w:ascii="Bookman Old Style" w:hAnsi="Bookman Old Style"/>
          <w:sz w:val="24"/>
          <w:szCs w:val="24"/>
          <w:lang w:val="en-US"/>
        </w:rPr>
        <w:t xml:space="preserve"> </w:t>
      </w:r>
      <w:r w:rsidRPr="000E3D99">
        <w:rPr>
          <w:rFonts w:ascii="Bookman Old Style" w:hAnsi="Bookman Old Style"/>
          <w:sz w:val="24"/>
          <w:szCs w:val="24"/>
          <w:lang w:val="en-US"/>
        </w:rPr>
        <w:t>pada</w:t>
      </w:r>
      <w:r w:rsidR="00A954D0">
        <w:rPr>
          <w:rFonts w:ascii="Bookman Old Style" w:hAnsi="Bookman Old Style"/>
          <w:sz w:val="24"/>
          <w:szCs w:val="24"/>
          <w:lang w:val="en-US"/>
        </w:rPr>
        <w:t xml:space="preserve"> </w:t>
      </w:r>
      <w:r w:rsidRPr="000E3D99">
        <w:rPr>
          <w:rFonts w:ascii="Bookman Old Style" w:hAnsi="Bookman Old Style" w:cs="Arial"/>
          <w:sz w:val="24"/>
          <w:szCs w:val="24"/>
        </w:rPr>
        <w:t>belanja</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perjalanan</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dinas</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paket</w:t>
      </w:r>
      <w:r w:rsidR="00A954D0">
        <w:rPr>
          <w:rFonts w:ascii="Bookman Old Style" w:hAnsi="Bookman Old Style" w:cs="Bookman Old Style"/>
          <w:sz w:val="24"/>
          <w:szCs w:val="24"/>
        </w:rPr>
        <w:t xml:space="preserve"> </w:t>
      </w:r>
      <w:r w:rsidRPr="000E3D99">
        <w:rPr>
          <w:rFonts w:ascii="Bookman Old Style" w:hAnsi="Bookman Old Style" w:cs="Bookman Old Style"/>
          <w:i/>
          <w:iCs/>
          <w:sz w:val="24"/>
          <w:szCs w:val="24"/>
        </w:rPr>
        <w:t>meeting</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luar</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kota</w:t>
      </w:r>
      <w:r w:rsidR="00A954D0">
        <w:rPr>
          <w:rFonts w:ascii="Bookman Old Style" w:hAnsi="Bookman Old Style" w:cs="Bookman Old Style"/>
          <w:sz w:val="24"/>
          <w:szCs w:val="24"/>
          <w:lang w:val="en-US"/>
        </w:rPr>
        <w:t xml:space="preserve"> </w:t>
      </w:r>
      <w:r w:rsidRPr="000E3D99">
        <w:rPr>
          <w:rFonts w:ascii="Bookman Old Style" w:hAnsi="Bookman Old Style" w:cs="Bookman Old Style"/>
          <w:sz w:val="24"/>
          <w:szCs w:val="24"/>
          <w:lang w:val="en-US"/>
        </w:rPr>
        <w:t>d</w:t>
      </w:r>
      <w:r w:rsidRPr="000E3D99">
        <w:rPr>
          <w:rFonts w:ascii="Bookman Old Style" w:hAnsi="Bookman Old Style" w:cs="Bookman Old Style"/>
          <w:sz w:val="24"/>
          <w:szCs w:val="24"/>
        </w:rPr>
        <w:t>igunakan</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untuk</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menganggarkan</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perjalanan</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dinas</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dalam</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rangka</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rapat,</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pertemuan,</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atau</w:t>
      </w:r>
      <w:r w:rsidR="00A954D0">
        <w:rPr>
          <w:rFonts w:ascii="Bookman Old Style" w:hAnsi="Bookman Old Style" w:cs="Bookman Old Style"/>
          <w:sz w:val="24"/>
          <w:szCs w:val="24"/>
          <w:lang w:val="en-US"/>
        </w:rPr>
        <w:t xml:space="preserve"> </w:t>
      </w:r>
      <w:r w:rsidRPr="000E3D99">
        <w:rPr>
          <w:rFonts w:ascii="Bookman Old Style" w:hAnsi="Bookman Old Style" w:cs="Bookman Old Style"/>
          <w:sz w:val="24"/>
          <w:szCs w:val="24"/>
        </w:rPr>
        <w:t>sejenisnya</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yang</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diselenggarakan</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oleh</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pemerintah</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daerah</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di</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luar</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kota</w:t>
      </w:r>
      <w:r w:rsidR="00A954D0">
        <w:rPr>
          <w:rFonts w:ascii="Bookman Old Style" w:hAnsi="Bookman Old Style" w:cs="Bookman Old Style"/>
          <w:sz w:val="24"/>
          <w:szCs w:val="24"/>
          <w:lang w:val="en-US"/>
        </w:rPr>
        <w:t xml:space="preserve"> </w:t>
      </w:r>
      <w:r w:rsidRPr="000E3D99">
        <w:rPr>
          <w:rFonts w:ascii="Bookman Old Style" w:hAnsi="Bookman Old Style" w:cs="Bookman Old Style"/>
          <w:sz w:val="24"/>
          <w:szCs w:val="24"/>
        </w:rPr>
        <w:t>dalam</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rangka</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penyelesaian</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pekerjaan</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yang</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perlu</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dilakukan</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secara</w:t>
      </w:r>
      <w:r w:rsidR="00A954D0">
        <w:rPr>
          <w:rFonts w:ascii="Bookman Old Style" w:hAnsi="Bookman Old Style" w:cs="Bookman Old Style"/>
          <w:sz w:val="24"/>
          <w:szCs w:val="24"/>
          <w:lang w:val="en-US"/>
        </w:rPr>
        <w:t xml:space="preserve"> </w:t>
      </w:r>
      <w:r w:rsidRPr="000E3D99">
        <w:rPr>
          <w:rFonts w:ascii="Bookman Old Style" w:hAnsi="Bookman Old Style" w:cs="Bookman Old Style"/>
          <w:sz w:val="24"/>
          <w:szCs w:val="24"/>
        </w:rPr>
        <w:t>intensif</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dan</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bersifat</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koordinatif</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yang</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paling</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sedikit</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melibatkan</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peserta</w:t>
      </w:r>
      <w:r w:rsidR="00A954D0">
        <w:rPr>
          <w:rFonts w:ascii="Bookman Old Style" w:hAnsi="Bookman Old Style" w:cs="Bookman Old Style"/>
          <w:sz w:val="24"/>
          <w:szCs w:val="24"/>
          <w:lang w:val="en-US"/>
        </w:rPr>
        <w:t xml:space="preserve"> </w:t>
      </w:r>
      <w:r w:rsidRPr="000E3D99">
        <w:rPr>
          <w:rFonts w:ascii="Bookman Old Style" w:hAnsi="Bookman Old Style" w:cs="Bookman Old Style"/>
          <w:sz w:val="24"/>
          <w:szCs w:val="24"/>
        </w:rPr>
        <w:t>dari</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luar</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SKPD</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atau</w:t>
      </w:r>
      <w:r w:rsidR="00A954D0">
        <w:rPr>
          <w:rFonts w:ascii="Bookman Old Style" w:hAnsi="Bookman Old Style" w:cs="Bookman Old Style"/>
          <w:sz w:val="24"/>
          <w:szCs w:val="24"/>
        </w:rPr>
        <w:t xml:space="preserve"> </w:t>
      </w:r>
      <w:r w:rsidRPr="000E3D99">
        <w:rPr>
          <w:rFonts w:ascii="Bookman Old Style" w:hAnsi="Bookman Old Style" w:cs="Bookman Old Style"/>
          <w:sz w:val="24"/>
          <w:szCs w:val="24"/>
        </w:rPr>
        <w:t>masyarakat</w:t>
      </w:r>
      <w:r w:rsidRPr="000E3D99">
        <w:rPr>
          <w:rFonts w:ascii="Bookman Old Style" w:hAnsi="Bookman Old Style" w:cs="Bookman Old Style"/>
          <w:sz w:val="24"/>
          <w:szCs w:val="24"/>
          <w:lang w:val="en-US"/>
        </w:rPr>
        <w:t>,</w:t>
      </w:r>
      <w:r w:rsidR="00A954D0">
        <w:rPr>
          <w:rFonts w:ascii="Bookman Old Style" w:hAnsi="Bookman Old Style"/>
          <w:sz w:val="24"/>
          <w:szCs w:val="24"/>
          <w:lang w:val="en-US"/>
        </w:rPr>
        <w:t xml:space="preserve"> </w:t>
      </w:r>
      <w:r w:rsidRPr="000E3D99">
        <w:rPr>
          <w:rFonts w:ascii="Bookman Old Style" w:hAnsi="Bookman Old Style"/>
          <w:sz w:val="24"/>
          <w:szCs w:val="24"/>
          <w:lang w:val="en-US"/>
        </w:rPr>
        <w:t>sebagaimana</w:t>
      </w:r>
      <w:r w:rsidR="00A954D0">
        <w:rPr>
          <w:rFonts w:ascii="Bookman Old Style" w:hAnsi="Bookman Old Style"/>
          <w:sz w:val="24"/>
          <w:szCs w:val="24"/>
          <w:lang w:val="en-US"/>
        </w:rPr>
        <w:t xml:space="preserve"> </w:t>
      </w:r>
      <w:r w:rsidRPr="000E3D99">
        <w:rPr>
          <w:rFonts w:ascii="Bookman Old Style" w:hAnsi="Bookman Old Style"/>
          <w:sz w:val="24"/>
          <w:szCs w:val="24"/>
        </w:rPr>
        <w:t>maksud</w:t>
      </w:r>
      <w:r w:rsidR="00A954D0">
        <w:rPr>
          <w:rFonts w:ascii="Bookman Old Style" w:hAnsi="Bookman Old Style" w:cs="Arial"/>
          <w:sz w:val="24"/>
          <w:szCs w:val="24"/>
        </w:rPr>
        <w:t xml:space="preserve"> </w:t>
      </w:r>
      <w:r w:rsidRPr="000E3D99">
        <w:rPr>
          <w:rFonts w:ascii="Bookman Old Style" w:hAnsi="Bookman Old Style" w:cs="Arial"/>
          <w:sz w:val="24"/>
          <w:szCs w:val="24"/>
        </w:rPr>
        <w:t>butir</w:t>
      </w:r>
      <w:r w:rsidR="00A954D0">
        <w:rPr>
          <w:rFonts w:ascii="Bookman Old Style" w:hAnsi="Bookman Old Style" w:cs="Arial"/>
          <w:sz w:val="24"/>
          <w:szCs w:val="24"/>
        </w:rPr>
        <w:t xml:space="preserve"> </w:t>
      </w:r>
      <w:r w:rsidRPr="000E3D99">
        <w:rPr>
          <w:rFonts w:ascii="Bookman Old Style" w:hAnsi="Bookman Old Style"/>
          <w:sz w:val="24"/>
          <w:szCs w:val="24"/>
          <w:lang w:val="en-US"/>
        </w:rPr>
        <w:t>3.4.1.2.4.a).7)</w:t>
      </w:r>
      <w:r w:rsidR="00A954D0">
        <w:rPr>
          <w:rFonts w:ascii="Bookman Old Style" w:hAnsi="Bookman Old Style" w:cs="Arial"/>
          <w:sz w:val="24"/>
          <w:szCs w:val="24"/>
        </w:rPr>
        <w:t xml:space="preserve"> </w:t>
      </w:r>
      <w:r w:rsidRPr="000E3D99">
        <w:rPr>
          <w:rFonts w:ascii="Bookman Old Style" w:hAnsi="Bookman Old Style" w:cs="Arial"/>
          <w:sz w:val="24"/>
          <w:szCs w:val="24"/>
        </w:rPr>
        <w:t>Lampiran</w:t>
      </w:r>
      <w:r w:rsidR="00A954D0">
        <w:rPr>
          <w:rFonts w:ascii="Bookman Old Style" w:hAnsi="Bookman Old Style" w:cs="Arial"/>
          <w:sz w:val="24"/>
          <w:szCs w:val="24"/>
        </w:rPr>
        <w:t xml:space="preserve"> </w:t>
      </w:r>
      <w:r w:rsidRPr="000E3D99">
        <w:rPr>
          <w:rFonts w:ascii="Bookman Old Style" w:hAnsi="Bookman Old Style" w:cs="Arial"/>
          <w:sz w:val="24"/>
          <w:szCs w:val="24"/>
        </w:rPr>
        <w:t>Peraturan</w:t>
      </w:r>
      <w:r w:rsidR="00A954D0">
        <w:rPr>
          <w:rFonts w:ascii="Bookman Old Style" w:hAnsi="Bookman Old Style" w:cs="Arial"/>
          <w:sz w:val="24"/>
          <w:szCs w:val="24"/>
        </w:rPr>
        <w:t xml:space="preserve"> </w:t>
      </w:r>
      <w:r w:rsidRPr="000E3D99">
        <w:rPr>
          <w:rFonts w:ascii="Bookman Old Style" w:hAnsi="Bookman Old Style" w:cs="Arial"/>
          <w:sz w:val="24"/>
          <w:szCs w:val="24"/>
        </w:rPr>
        <w:t>Menteri</w:t>
      </w:r>
      <w:r w:rsidR="00A954D0">
        <w:rPr>
          <w:rFonts w:ascii="Bookman Old Style" w:hAnsi="Bookman Old Style" w:cs="Arial"/>
          <w:sz w:val="24"/>
          <w:szCs w:val="24"/>
        </w:rPr>
        <w:t xml:space="preserve"> </w:t>
      </w:r>
      <w:r w:rsidRPr="000E3D99">
        <w:rPr>
          <w:rFonts w:ascii="Bookman Old Style" w:hAnsi="Bookman Old Style" w:cs="Arial"/>
          <w:sz w:val="24"/>
          <w:szCs w:val="24"/>
        </w:rPr>
        <w:t>Dalam</w:t>
      </w:r>
      <w:r w:rsidR="00A954D0">
        <w:rPr>
          <w:rFonts w:ascii="Bookman Old Style" w:hAnsi="Bookman Old Style" w:cs="Arial"/>
          <w:sz w:val="24"/>
          <w:szCs w:val="24"/>
        </w:rPr>
        <w:t xml:space="preserve"> </w:t>
      </w:r>
      <w:r w:rsidRPr="000E3D99">
        <w:rPr>
          <w:rFonts w:ascii="Bookman Old Style" w:hAnsi="Bookman Old Style" w:cs="Arial"/>
          <w:sz w:val="24"/>
          <w:szCs w:val="24"/>
        </w:rPr>
        <w:t>Negeri</w:t>
      </w:r>
      <w:r w:rsidR="00A954D0">
        <w:rPr>
          <w:rFonts w:ascii="Bookman Old Style" w:hAnsi="Bookman Old Style" w:cs="Arial"/>
          <w:sz w:val="24"/>
          <w:szCs w:val="24"/>
        </w:rPr>
        <w:t xml:space="preserve"> </w:t>
      </w:r>
      <w:r w:rsidRPr="000E3D99">
        <w:rPr>
          <w:rFonts w:ascii="Bookman Old Style" w:hAnsi="Bookman Old Style" w:cs="Arial"/>
          <w:sz w:val="24"/>
          <w:szCs w:val="24"/>
        </w:rPr>
        <w:t>Nomor</w:t>
      </w:r>
      <w:r w:rsidR="00A954D0">
        <w:rPr>
          <w:rFonts w:ascii="Bookman Old Style" w:hAnsi="Bookman Old Style" w:cs="Arial"/>
          <w:sz w:val="24"/>
          <w:szCs w:val="24"/>
        </w:rPr>
        <w:t xml:space="preserve"> </w:t>
      </w:r>
      <w:r w:rsidRPr="000E3D99">
        <w:rPr>
          <w:rFonts w:ascii="Bookman Old Style" w:hAnsi="Bookman Old Style" w:cs="Arial"/>
          <w:sz w:val="24"/>
          <w:szCs w:val="24"/>
          <w:lang w:val="en-US"/>
        </w:rPr>
        <w:t>15</w:t>
      </w:r>
      <w:r w:rsidR="00A954D0">
        <w:rPr>
          <w:rFonts w:ascii="Bookman Old Style" w:hAnsi="Bookman Old Style" w:cs="Arial"/>
          <w:sz w:val="24"/>
          <w:szCs w:val="24"/>
        </w:rPr>
        <w:t xml:space="preserve"> </w:t>
      </w:r>
      <w:r w:rsidRPr="000E3D99">
        <w:rPr>
          <w:rFonts w:ascii="Bookman Old Style" w:hAnsi="Bookman Old Style" w:cs="Arial"/>
          <w:sz w:val="24"/>
          <w:szCs w:val="24"/>
        </w:rPr>
        <w:t>Tahun</w:t>
      </w:r>
      <w:r w:rsidR="00A954D0">
        <w:rPr>
          <w:rFonts w:ascii="Bookman Old Style" w:hAnsi="Bookman Old Style" w:cs="Arial"/>
          <w:sz w:val="24"/>
          <w:szCs w:val="24"/>
        </w:rPr>
        <w:t xml:space="preserve"> </w:t>
      </w:r>
      <w:r w:rsidRPr="000E3D99">
        <w:rPr>
          <w:rFonts w:ascii="Bookman Old Style" w:hAnsi="Bookman Old Style" w:cs="Arial"/>
          <w:sz w:val="24"/>
          <w:szCs w:val="24"/>
        </w:rPr>
        <w:t>202</w:t>
      </w:r>
      <w:r w:rsidRPr="000E3D99">
        <w:rPr>
          <w:rFonts w:ascii="Bookman Old Style" w:hAnsi="Bookman Old Style" w:cs="Arial"/>
          <w:sz w:val="24"/>
          <w:szCs w:val="24"/>
          <w:lang w:val="en-US"/>
        </w:rPr>
        <w:t>4</w:t>
      </w:r>
      <w:r w:rsidRPr="000E3D99">
        <w:rPr>
          <w:rFonts w:ascii="Bookman Old Style" w:hAnsi="Bookman Old Style"/>
          <w:sz w:val="24"/>
          <w:szCs w:val="24"/>
        </w:rPr>
        <w:t>.</w:t>
      </w:r>
    </w:p>
    <w:p w14:paraId="26F5FDAA" w14:textId="4F0E91AC" w:rsidR="003B7FE4" w:rsidRPr="000E3D99" w:rsidRDefault="003B7FE4" w:rsidP="000B2AAF">
      <w:pPr>
        <w:pStyle w:val="ListParagraph"/>
        <w:spacing w:before="60" w:after="0" w:line="276" w:lineRule="auto"/>
        <w:ind w:left="2268"/>
        <w:contextualSpacing w:val="0"/>
        <w:jc w:val="both"/>
        <w:rPr>
          <w:rFonts w:ascii="Bookman Old Style" w:hAnsi="Bookman Old Style"/>
          <w:sz w:val="24"/>
          <w:szCs w:val="24"/>
        </w:rPr>
      </w:pPr>
      <w:r w:rsidRPr="003255BC">
        <w:rPr>
          <w:rFonts w:ascii="Bookman Old Style" w:hAnsi="Bookman Old Style"/>
          <w:sz w:val="24"/>
          <w:szCs w:val="24"/>
          <w:lang w:val="sv-FI"/>
        </w:rPr>
        <w:t>Berkaitan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dengan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hal</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tersebut,</w:t>
      </w:r>
      <w:r w:rsidR="00A954D0" w:rsidRPr="003255BC">
        <w:rPr>
          <w:rFonts w:ascii="Bookman Old Style" w:hAnsi="Bookman Old Style"/>
          <w:sz w:val="24"/>
          <w:szCs w:val="24"/>
          <w:lang w:val="sv-FI"/>
        </w:rPr>
        <w:t xml:space="preserve"> </w:t>
      </w:r>
      <w:r w:rsidRPr="000E3D99">
        <w:rPr>
          <w:rFonts w:ascii="Bookman Old Style" w:hAnsi="Bookman Old Style"/>
          <w:sz w:val="24"/>
          <w:szCs w:val="24"/>
        </w:rPr>
        <w:t>penyediaan</w:t>
      </w:r>
      <w:r w:rsidR="00A954D0">
        <w:rPr>
          <w:rFonts w:ascii="Bookman Old Style" w:hAnsi="Bookman Old Style"/>
          <w:sz w:val="24"/>
          <w:szCs w:val="24"/>
        </w:rPr>
        <w:t xml:space="preserve"> </w:t>
      </w:r>
      <w:r w:rsidRPr="000E3D99">
        <w:rPr>
          <w:rFonts w:ascii="Bookman Old Style" w:hAnsi="Bookman Old Style"/>
          <w:sz w:val="24"/>
          <w:szCs w:val="24"/>
        </w:rPr>
        <w:t>anggaran</w:t>
      </w:r>
      <w:r w:rsidR="00A954D0">
        <w:rPr>
          <w:rFonts w:ascii="Bookman Old Style" w:hAnsi="Bookman Old Style"/>
          <w:sz w:val="24"/>
          <w:szCs w:val="24"/>
        </w:rPr>
        <w:t xml:space="preserve"> </w:t>
      </w:r>
      <w:r w:rsidRPr="003255BC">
        <w:rPr>
          <w:rFonts w:ascii="Bookman Old Style" w:hAnsi="Bookman Old Style"/>
          <w:sz w:val="24"/>
          <w:szCs w:val="24"/>
          <w:lang w:val="sv-FI"/>
        </w:rPr>
        <w:t>B</w:t>
      </w:r>
      <w:r w:rsidRPr="000E3D99">
        <w:rPr>
          <w:rFonts w:ascii="Bookman Old Style" w:hAnsi="Bookman Old Style"/>
          <w:sz w:val="24"/>
          <w:szCs w:val="24"/>
        </w:rPr>
        <w:t>elanja</w:t>
      </w:r>
      <w:r w:rsidR="00A954D0">
        <w:rPr>
          <w:rFonts w:ascii="Bookman Old Style" w:hAnsi="Bookman Old Style"/>
          <w:sz w:val="24"/>
          <w:szCs w:val="24"/>
        </w:rPr>
        <w:t xml:space="preserve"> </w:t>
      </w:r>
      <w:r w:rsidRPr="003255BC">
        <w:rPr>
          <w:rFonts w:ascii="Bookman Old Style" w:hAnsi="Bookman Old Style"/>
          <w:sz w:val="24"/>
          <w:szCs w:val="24"/>
          <w:lang w:val="sv-FI"/>
        </w:rPr>
        <w:t>P</w:t>
      </w:r>
      <w:r w:rsidRPr="000E3D99">
        <w:rPr>
          <w:rFonts w:ascii="Bookman Old Style" w:hAnsi="Bookman Old Style"/>
          <w:sz w:val="24"/>
          <w:szCs w:val="24"/>
        </w:rPr>
        <w:t>erjalanan</w:t>
      </w:r>
      <w:r w:rsidR="00A954D0">
        <w:rPr>
          <w:rFonts w:ascii="Bookman Old Style" w:hAnsi="Bookman Old Style"/>
          <w:sz w:val="24"/>
          <w:szCs w:val="24"/>
        </w:rPr>
        <w:t xml:space="preserve"> </w:t>
      </w:r>
      <w:r w:rsidRPr="003255BC">
        <w:rPr>
          <w:rFonts w:ascii="Bookman Old Style" w:hAnsi="Bookman Old Style"/>
          <w:sz w:val="24"/>
          <w:szCs w:val="24"/>
          <w:lang w:val="sv-FI"/>
        </w:rPr>
        <w:t>D</w:t>
      </w:r>
      <w:r w:rsidRPr="000E3D99">
        <w:rPr>
          <w:rFonts w:ascii="Bookman Old Style" w:hAnsi="Bookman Old Style"/>
          <w:sz w:val="24"/>
          <w:szCs w:val="24"/>
        </w:rPr>
        <w:t>inas</w:t>
      </w:r>
      <w:r w:rsidR="00A954D0">
        <w:rPr>
          <w:rFonts w:ascii="Bookman Old Style" w:hAnsi="Bookman Old Style"/>
          <w:sz w:val="24"/>
          <w:szCs w:val="24"/>
        </w:rPr>
        <w:t xml:space="preserve"> </w:t>
      </w:r>
      <w:r w:rsidRPr="000E3D99">
        <w:rPr>
          <w:rFonts w:ascii="Bookman Old Style" w:hAnsi="Bookman Old Style"/>
          <w:sz w:val="24"/>
          <w:szCs w:val="24"/>
        </w:rPr>
        <w:t>ke</w:t>
      </w:r>
      <w:r w:rsidR="00A954D0">
        <w:rPr>
          <w:rFonts w:ascii="Bookman Old Style" w:hAnsi="Bookman Old Style"/>
          <w:sz w:val="24"/>
          <w:szCs w:val="24"/>
        </w:rPr>
        <w:t xml:space="preserve"> </w:t>
      </w:r>
      <w:r w:rsidRPr="003255BC">
        <w:rPr>
          <w:rFonts w:ascii="Bookman Old Style" w:hAnsi="Bookman Old Style"/>
          <w:sz w:val="24"/>
          <w:szCs w:val="24"/>
          <w:lang w:val="sv-FI"/>
        </w:rPr>
        <w:t>L</w:t>
      </w:r>
      <w:r w:rsidRPr="000E3D99">
        <w:rPr>
          <w:rFonts w:ascii="Bookman Old Style" w:hAnsi="Bookman Old Style"/>
          <w:sz w:val="24"/>
          <w:szCs w:val="24"/>
        </w:rPr>
        <w:t>uar</w:t>
      </w:r>
      <w:r w:rsidR="00A954D0">
        <w:rPr>
          <w:rFonts w:ascii="Bookman Old Style" w:hAnsi="Bookman Old Style"/>
          <w:sz w:val="24"/>
          <w:szCs w:val="24"/>
        </w:rPr>
        <w:t xml:space="preserve"> </w:t>
      </w:r>
      <w:r w:rsidRPr="003255BC">
        <w:rPr>
          <w:rFonts w:ascii="Bookman Old Style" w:hAnsi="Bookman Old Style"/>
          <w:sz w:val="24"/>
          <w:szCs w:val="24"/>
          <w:lang w:val="sv-FI"/>
        </w:rPr>
        <w:t>N</w:t>
      </w:r>
      <w:r w:rsidRPr="000E3D99">
        <w:rPr>
          <w:rFonts w:ascii="Bookman Old Style" w:hAnsi="Bookman Old Style"/>
          <w:sz w:val="24"/>
          <w:szCs w:val="24"/>
        </w:rPr>
        <w:t>egeri</w:t>
      </w:r>
      <w:r w:rsidR="00A954D0">
        <w:rPr>
          <w:rFonts w:ascii="Bookman Old Style" w:hAnsi="Bookman Old Style"/>
          <w:sz w:val="24"/>
          <w:szCs w:val="24"/>
        </w:rPr>
        <w:t xml:space="preserve"> </w:t>
      </w:r>
      <w:r w:rsidRPr="000E3D99">
        <w:rPr>
          <w:rFonts w:ascii="Bookman Old Style" w:hAnsi="Bookman Old Style"/>
          <w:sz w:val="24"/>
          <w:szCs w:val="24"/>
        </w:rPr>
        <w:t>dapat</w:t>
      </w:r>
      <w:r w:rsidR="00A954D0">
        <w:rPr>
          <w:rFonts w:ascii="Bookman Old Style" w:hAnsi="Bookman Old Style"/>
          <w:sz w:val="24"/>
          <w:szCs w:val="24"/>
        </w:rPr>
        <w:t xml:space="preserve"> </w:t>
      </w:r>
      <w:r w:rsidRPr="000E3D99">
        <w:rPr>
          <w:rFonts w:ascii="Bookman Old Style" w:hAnsi="Bookman Old Style"/>
          <w:sz w:val="24"/>
          <w:szCs w:val="24"/>
        </w:rPr>
        <w:t>dianggarkan</w:t>
      </w:r>
      <w:r w:rsidR="00A954D0">
        <w:rPr>
          <w:rFonts w:ascii="Bookman Old Style" w:hAnsi="Bookman Old Style"/>
          <w:sz w:val="24"/>
          <w:szCs w:val="24"/>
        </w:rPr>
        <w:t xml:space="preserve"> </w:t>
      </w:r>
      <w:r w:rsidRPr="000E3D99">
        <w:rPr>
          <w:rFonts w:ascii="Bookman Old Style" w:hAnsi="Bookman Old Style"/>
          <w:sz w:val="24"/>
          <w:szCs w:val="24"/>
        </w:rPr>
        <w:t>dalam</w:t>
      </w:r>
      <w:r w:rsidR="00A954D0">
        <w:rPr>
          <w:rFonts w:ascii="Bookman Old Style" w:hAnsi="Bookman Old Style"/>
          <w:sz w:val="24"/>
          <w:szCs w:val="24"/>
        </w:rPr>
        <w:t xml:space="preserve"> </w:t>
      </w:r>
      <w:r w:rsidRPr="000E3D99">
        <w:rPr>
          <w:rFonts w:ascii="Bookman Old Style" w:hAnsi="Bookman Old Style"/>
          <w:sz w:val="24"/>
          <w:szCs w:val="24"/>
        </w:rPr>
        <w:t>Rancangan</w:t>
      </w:r>
      <w:r w:rsidR="00A954D0">
        <w:rPr>
          <w:rFonts w:ascii="Bookman Old Style" w:hAnsi="Bookman Old Style"/>
          <w:sz w:val="24"/>
          <w:szCs w:val="24"/>
        </w:rPr>
        <w:t xml:space="preserve"> </w:t>
      </w:r>
      <w:r w:rsidRPr="000E3D99">
        <w:rPr>
          <w:rFonts w:ascii="Bookman Old Style" w:hAnsi="Bookman Old Style"/>
          <w:sz w:val="24"/>
          <w:szCs w:val="24"/>
        </w:rPr>
        <w:t>Peraturan</w:t>
      </w:r>
      <w:r w:rsidR="00A954D0">
        <w:rPr>
          <w:rFonts w:ascii="Bookman Old Style" w:hAnsi="Bookman Old Style"/>
          <w:sz w:val="24"/>
          <w:szCs w:val="24"/>
        </w:rPr>
        <w:t xml:space="preserve"> </w:t>
      </w:r>
      <w:r w:rsidRPr="000E3D99">
        <w:rPr>
          <w:rFonts w:ascii="Bookman Old Style" w:hAnsi="Bookman Old Style"/>
          <w:sz w:val="24"/>
          <w:szCs w:val="24"/>
        </w:rPr>
        <w:t>Daerah</w:t>
      </w:r>
      <w:r w:rsidR="00A954D0">
        <w:rPr>
          <w:rFonts w:ascii="Bookman Old Style" w:hAnsi="Bookman Old Style"/>
          <w:sz w:val="24"/>
          <w:szCs w:val="24"/>
        </w:rPr>
        <w:t xml:space="preserve"> </w:t>
      </w:r>
      <w:r w:rsidR="00B055C5" w:rsidRPr="000E3D99">
        <w:rPr>
          <w:rFonts w:ascii="Bookman Old Style" w:hAnsi="Bookman Old Style"/>
          <w:sz w:val="24"/>
          <w:szCs w:val="24"/>
        </w:rPr>
        <w:t>Kota</w:t>
      </w:r>
      <w:r w:rsidR="00A954D0">
        <w:rPr>
          <w:rFonts w:ascii="Bookman Old Style" w:hAnsi="Bookman Old Style"/>
          <w:sz w:val="24"/>
          <w:szCs w:val="24"/>
        </w:rPr>
        <w:t xml:space="preserve"> </w:t>
      </w:r>
      <w:r w:rsidR="00770F22" w:rsidRPr="000E3D99">
        <w:rPr>
          <w:rFonts w:ascii="Bookman Old Style" w:hAnsi="Bookman Old Style"/>
          <w:sz w:val="24"/>
          <w:szCs w:val="24"/>
        </w:rPr>
        <w:t>Tangerang</w:t>
      </w:r>
      <w:r w:rsidR="00A954D0">
        <w:rPr>
          <w:rFonts w:ascii="Bookman Old Style" w:hAnsi="Bookman Old Style"/>
          <w:sz w:val="24"/>
          <w:szCs w:val="24"/>
        </w:rPr>
        <w:t xml:space="preserve"> </w:t>
      </w:r>
      <w:r w:rsidR="00BE6ED9" w:rsidRPr="000E3D99">
        <w:rPr>
          <w:rFonts w:ascii="Bookman Old Style" w:hAnsi="Bookman Old Style"/>
          <w:sz w:val="24"/>
          <w:szCs w:val="24"/>
        </w:rPr>
        <w:t>tentang</w:t>
      </w:r>
      <w:r w:rsidR="00A954D0">
        <w:rPr>
          <w:rFonts w:ascii="Bookman Old Style" w:hAnsi="Bookman Old Style"/>
          <w:sz w:val="24"/>
          <w:szCs w:val="24"/>
        </w:rPr>
        <w:t xml:space="preserve"> </w:t>
      </w:r>
      <w:r w:rsidR="00BE6ED9" w:rsidRPr="000E3D99">
        <w:rPr>
          <w:rFonts w:ascii="Bookman Old Style" w:hAnsi="Bookman Old Style"/>
          <w:sz w:val="24"/>
          <w:szCs w:val="24"/>
        </w:rPr>
        <w:t>APBD</w:t>
      </w:r>
      <w:r w:rsidR="00A954D0">
        <w:rPr>
          <w:rFonts w:ascii="Bookman Old Style" w:hAnsi="Bookman Old Style"/>
          <w:sz w:val="24"/>
          <w:szCs w:val="24"/>
        </w:rPr>
        <w:t xml:space="preserve"> </w:t>
      </w:r>
      <w:r w:rsidRPr="000E3D99">
        <w:rPr>
          <w:rFonts w:ascii="Bookman Old Style" w:hAnsi="Bookman Old Style"/>
          <w:sz w:val="24"/>
          <w:szCs w:val="24"/>
        </w:rPr>
        <w:t>Tahun</w:t>
      </w:r>
      <w:r w:rsidR="00A954D0">
        <w:rPr>
          <w:rFonts w:ascii="Bookman Old Style" w:hAnsi="Bookman Old Style"/>
          <w:sz w:val="24"/>
          <w:szCs w:val="24"/>
        </w:rPr>
        <w:t xml:space="preserve"> </w:t>
      </w:r>
      <w:r w:rsidRPr="000E3D99">
        <w:rPr>
          <w:rFonts w:ascii="Bookman Old Style" w:hAnsi="Bookman Old Style"/>
          <w:sz w:val="24"/>
          <w:szCs w:val="24"/>
        </w:rPr>
        <w:t>Anggaran</w:t>
      </w:r>
      <w:r w:rsidR="00A954D0">
        <w:rPr>
          <w:rFonts w:ascii="Bookman Old Style" w:hAnsi="Bookman Old Style"/>
          <w:sz w:val="24"/>
          <w:szCs w:val="24"/>
        </w:rPr>
        <w:t xml:space="preserve"> </w:t>
      </w:r>
      <w:r w:rsidRPr="000E3D99">
        <w:rPr>
          <w:rFonts w:ascii="Bookman Old Style" w:hAnsi="Bookman Old Style"/>
          <w:sz w:val="24"/>
          <w:szCs w:val="24"/>
        </w:rPr>
        <w:t>2025</w:t>
      </w:r>
      <w:r w:rsidR="00A954D0">
        <w:rPr>
          <w:rFonts w:ascii="Bookman Old Style" w:hAnsi="Bookman Old Style"/>
          <w:sz w:val="24"/>
          <w:szCs w:val="24"/>
        </w:rPr>
        <w:t xml:space="preserve"> </w:t>
      </w:r>
      <w:r w:rsidRPr="000E3D99">
        <w:rPr>
          <w:rFonts w:ascii="Bookman Old Style" w:hAnsi="Bookman Old Style"/>
          <w:sz w:val="24"/>
          <w:szCs w:val="24"/>
        </w:rPr>
        <w:t>untuk</w:t>
      </w:r>
      <w:r w:rsidR="00A954D0">
        <w:rPr>
          <w:rFonts w:ascii="Bookman Old Style" w:hAnsi="Bookman Old Style"/>
          <w:sz w:val="24"/>
          <w:szCs w:val="24"/>
        </w:rPr>
        <w:t xml:space="preserve"> </w:t>
      </w:r>
      <w:r w:rsidRPr="000E3D99">
        <w:rPr>
          <w:rFonts w:ascii="Bookman Old Style" w:hAnsi="Bookman Old Style"/>
          <w:sz w:val="24"/>
          <w:szCs w:val="24"/>
        </w:rPr>
        <w:t>kegiatan</w:t>
      </w:r>
      <w:r w:rsidR="00A954D0">
        <w:rPr>
          <w:rFonts w:ascii="Bookman Old Style" w:hAnsi="Bookman Old Style"/>
          <w:sz w:val="24"/>
          <w:szCs w:val="24"/>
        </w:rPr>
        <w:t xml:space="preserve"> </w:t>
      </w:r>
      <w:r w:rsidRPr="000E3D99">
        <w:rPr>
          <w:rFonts w:ascii="Bookman Old Style" w:hAnsi="Bookman Old Style"/>
          <w:sz w:val="24"/>
          <w:szCs w:val="24"/>
        </w:rPr>
        <w:t>yang</w:t>
      </w:r>
      <w:r w:rsidR="00A954D0">
        <w:rPr>
          <w:rFonts w:ascii="Bookman Old Style" w:hAnsi="Bookman Old Style"/>
          <w:sz w:val="24"/>
          <w:szCs w:val="24"/>
        </w:rPr>
        <w:t xml:space="preserve"> </w:t>
      </w:r>
      <w:r w:rsidRPr="000E3D99">
        <w:rPr>
          <w:rFonts w:ascii="Bookman Old Style" w:hAnsi="Bookman Old Style"/>
          <w:sz w:val="24"/>
          <w:szCs w:val="24"/>
        </w:rPr>
        <w:t>bersifat</w:t>
      </w:r>
      <w:r w:rsidR="00A954D0">
        <w:rPr>
          <w:rFonts w:ascii="Bookman Old Style" w:hAnsi="Bookman Old Style"/>
          <w:sz w:val="24"/>
          <w:szCs w:val="24"/>
        </w:rPr>
        <w:t xml:space="preserve"> </w:t>
      </w:r>
      <w:r w:rsidRPr="000E3D99">
        <w:rPr>
          <w:rFonts w:ascii="Bookman Old Style" w:hAnsi="Bookman Old Style"/>
          <w:i/>
          <w:sz w:val="24"/>
          <w:szCs w:val="24"/>
        </w:rPr>
        <w:t>urgent</w:t>
      </w:r>
      <w:r w:rsidR="00A954D0">
        <w:rPr>
          <w:rFonts w:ascii="Bookman Old Style" w:hAnsi="Bookman Old Style"/>
          <w:sz w:val="24"/>
          <w:szCs w:val="24"/>
        </w:rPr>
        <w:t xml:space="preserve"> </w:t>
      </w:r>
      <w:r w:rsidRPr="000E3D99">
        <w:rPr>
          <w:rFonts w:ascii="Bookman Old Style" w:hAnsi="Bookman Old Style"/>
          <w:sz w:val="24"/>
          <w:szCs w:val="24"/>
        </w:rPr>
        <w:t>dan</w:t>
      </w:r>
      <w:r w:rsidR="00A954D0">
        <w:rPr>
          <w:rFonts w:ascii="Bookman Old Style" w:hAnsi="Bookman Old Style"/>
          <w:sz w:val="24"/>
          <w:szCs w:val="24"/>
        </w:rPr>
        <w:t xml:space="preserve"> </w:t>
      </w:r>
      <w:r w:rsidRPr="000E3D99">
        <w:rPr>
          <w:rFonts w:ascii="Bookman Old Style" w:hAnsi="Bookman Old Style"/>
          <w:sz w:val="24"/>
          <w:szCs w:val="24"/>
        </w:rPr>
        <w:t>mendesak</w:t>
      </w:r>
      <w:r w:rsidR="00A954D0">
        <w:rPr>
          <w:rFonts w:ascii="Bookman Old Style" w:hAnsi="Bookman Old Style"/>
          <w:sz w:val="24"/>
          <w:szCs w:val="24"/>
        </w:rPr>
        <w:t xml:space="preserve"> </w:t>
      </w:r>
      <w:r w:rsidRPr="000E3D99">
        <w:rPr>
          <w:rFonts w:ascii="Bookman Old Style" w:hAnsi="Bookman Old Style"/>
          <w:sz w:val="24"/>
          <w:szCs w:val="24"/>
        </w:rPr>
        <w:t>bagi</w:t>
      </w:r>
      <w:r w:rsidR="00A954D0">
        <w:rPr>
          <w:rFonts w:ascii="Bookman Old Style" w:hAnsi="Bookman Old Style"/>
          <w:sz w:val="24"/>
          <w:szCs w:val="24"/>
        </w:rPr>
        <w:t xml:space="preserve"> </w:t>
      </w:r>
      <w:r w:rsidRPr="000E3D99">
        <w:rPr>
          <w:rFonts w:ascii="Bookman Old Style" w:hAnsi="Bookman Old Style"/>
          <w:sz w:val="24"/>
          <w:szCs w:val="24"/>
        </w:rPr>
        <w:t>kepentingan</w:t>
      </w:r>
      <w:r w:rsidR="00A954D0">
        <w:rPr>
          <w:rFonts w:ascii="Bookman Old Style" w:hAnsi="Bookman Old Style"/>
          <w:sz w:val="24"/>
          <w:szCs w:val="24"/>
        </w:rPr>
        <w:t xml:space="preserve"> </w:t>
      </w:r>
      <w:r w:rsidRPr="000E3D99">
        <w:rPr>
          <w:rFonts w:ascii="Bookman Old Style" w:hAnsi="Bookman Old Style"/>
          <w:sz w:val="24"/>
          <w:szCs w:val="24"/>
        </w:rPr>
        <w:t>Pemerintah</w:t>
      </w:r>
      <w:r w:rsidR="00A954D0">
        <w:rPr>
          <w:rFonts w:ascii="Bookman Old Style" w:hAnsi="Bookman Old Style"/>
          <w:sz w:val="24"/>
          <w:szCs w:val="24"/>
        </w:rPr>
        <w:t xml:space="preserve"> </w:t>
      </w:r>
      <w:r w:rsidRPr="000E3D99">
        <w:rPr>
          <w:rFonts w:ascii="Bookman Old Style" w:hAnsi="Bookman Old Style"/>
          <w:sz w:val="24"/>
          <w:szCs w:val="24"/>
        </w:rPr>
        <w:t>Daerah</w:t>
      </w:r>
      <w:r w:rsidR="00A954D0">
        <w:rPr>
          <w:rFonts w:ascii="Bookman Old Style" w:hAnsi="Bookman Old Style"/>
          <w:sz w:val="24"/>
          <w:szCs w:val="24"/>
        </w:rPr>
        <w:t xml:space="preserve"> </w:t>
      </w:r>
      <w:r w:rsidR="00046408" w:rsidRPr="003255BC">
        <w:rPr>
          <w:rFonts w:ascii="Bookman Old Style" w:hAnsi="Bookman Old Style"/>
          <w:sz w:val="24"/>
          <w:szCs w:val="24"/>
          <w:lang w:val="sv-FI"/>
        </w:rPr>
        <w:t>Kota</w:t>
      </w:r>
      <w:r w:rsidR="00A954D0" w:rsidRPr="003255BC">
        <w:rPr>
          <w:rFonts w:ascii="Bookman Old Style" w:hAnsi="Bookman Old Style"/>
          <w:sz w:val="24"/>
          <w:szCs w:val="24"/>
          <w:lang w:val="sv-FI"/>
        </w:rPr>
        <w:t xml:space="preserve"> </w:t>
      </w:r>
      <w:r w:rsidR="00770F22" w:rsidRPr="003255BC">
        <w:rPr>
          <w:rFonts w:ascii="Bookman Old Style" w:hAnsi="Bookman Old Style"/>
          <w:sz w:val="24"/>
          <w:szCs w:val="24"/>
          <w:lang w:val="sv-FI"/>
        </w:rPr>
        <w:t>Tangerang</w:t>
      </w:r>
      <w:r w:rsidRPr="000E3D99">
        <w:rPr>
          <w:rFonts w:ascii="Bookman Old Style" w:hAnsi="Bookman Old Style"/>
          <w:sz w:val="24"/>
          <w:szCs w:val="24"/>
        </w:rPr>
        <w:t>,</w:t>
      </w:r>
      <w:r w:rsidR="00A954D0">
        <w:rPr>
          <w:rFonts w:ascii="Bookman Old Style" w:hAnsi="Bookman Old Style"/>
          <w:sz w:val="24"/>
          <w:szCs w:val="24"/>
        </w:rPr>
        <w:t xml:space="preserve"> </w:t>
      </w:r>
      <w:r w:rsidRPr="000E3D99">
        <w:rPr>
          <w:rFonts w:ascii="Bookman Old Style" w:hAnsi="Bookman Old Style"/>
          <w:sz w:val="24"/>
          <w:szCs w:val="24"/>
        </w:rPr>
        <w:t>antara</w:t>
      </w:r>
      <w:r w:rsidR="00A954D0">
        <w:rPr>
          <w:rFonts w:ascii="Bookman Old Style" w:hAnsi="Bookman Old Style"/>
          <w:sz w:val="24"/>
          <w:szCs w:val="24"/>
        </w:rPr>
        <w:t xml:space="preserve"> </w:t>
      </w:r>
      <w:r w:rsidRPr="000E3D99">
        <w:rPr>
          <w:rFonts w:ascii="Bookman Old Style" w:hAnsi="Bookman Old Style"/>
          <w:sz w:val="24"/>
          <w:szCs w:val="24"/>
        </w:rPr>
        <w:t>lain</w:t>
      </w:r>
      <w:r w:rsidR="00A954D0">
        <w:rPr>
          <w:rFonts w:ascii="Bookman Old Style" w:hAnsi="Bookman Old Style"/>
          <w:sz w:val="24"/>
          <w:szCs w:val="24"/>
        </w:rPr>
        <w:t xml:space="preserve"> </w:t>
      </w:r>
      <w:r w:rsidRPr="000E3D99">
        <w:rPr>
          <w:rFonts w:ascii="Bookman Old Style" w:hAnsi="Bookman Old Style"/>
          <w:sz w:val="24"/>
          <w:szCs w:val="24"/>
        </w:rPr>
        <w:t>telah</w:t>
      </w:r>
      <w:r w:rsidR="00A954D0">
        <w:rPr>
          <w:rFonts w:ascii="Bookman Old Style" w:hAnsi="Bookman Old Style"/>
          <w:sz w:val="24"/>
          <w:szCs w:val="24"/>
        </w:rPr>
        <w:t xml:space="preserve"> </w:t>
      </w:r>
      <w:r w:rsidRPr="000E3D99">
        <w:rPr>
          <w:rFonts w:ascii="Bookman Old Style" w:hAnsi="Bookman Old Style"/>
          <w:sz w:val="24"/>
          <w:szCs w:val="24"/>
        </w:rPr>
        <w:t>memiliki</w:t>
      </w:r>
      <w:r w:rsidR="00A954D0">
        <w:rPr>
          <w:rFonts w:ascii="Bookman Old Style" w:hAnsi="Bookman Old Style"/>
          <w:sz w:val="24"/>
          <w:szCs w:val="24"/>
        </w:rPr>
        <w:t xml:space="preserve"> </w:t>
      </w:r>
      <w:r w:rsidRPr="000E3D99">
        <w:rPr>
          <w:rFonts w:ascii="Bookman Old Style" w:hAnsi="Bookman Old Style"/>
          <w:sz w:val="24"/>
          <w:szCs w:val="24"/>
        </w:rPr>
        <w:t>perjanjian</w:t>
      </w:r>
      <w:r w:rsidR="00A954D0">
        <w:rPr>
          <w:rFonts w:ascii="Bookman Old Style" w:hAnsi="Bookman Old Style"/>
          <w:sz w:val="24"/>
          <w:szCs w:val="24"/>
        </w:rPr>
        <w:t xml:space="preserve"> </w:t>
      </w:r>
      <w:r w:rsidRPr="000E3D99">
        <w:rPr>
          <w:rFonts w:ascii="Bookman Old Style" w:hAnsi="Bookman Old Style"/>
          <w:sz w:val="24"/>
          <w:szCs w:val="24"/>
        </w:rPr>
        <w:t>kerja</w:t>
      </w:r>
      <w:r w:rsidR="00A954D0">
        <w:rPr>
          <w:rFonts w:ascii="Bookman Old Style" w:hAnsi="Bookman Old Style"/>
          <w:sz w:val="24"/>
          <w:szCs w:val="24"/>
        </w:rPr>
        <w:t xml:space="preserve"> </w:t>
      </w:r>
      <w:r w:rsidRPr="000E3D99">
        <w:rPr>
          <w:rFonts w:ascii="Bookman Old Style" w:hAnsi="Bookman Old Style"/>
          <w:sz w:val="24"/>
          <w:szCs w:val="24"/>
        </w:rPr>
        <w:t>sama</w:t>
      </w:r>
      <w:r w:rsidR="00A954D0">
        <w:rPr>
          <w:rFonts w:ascii="Bookman Old Style" w:hAnsi="Bookman Old Style"/>
          <w:sz w:val="24"/>
          <w:szCs w:val="24"/>
        </w:rPr>
        <w:t xml:space="preserve"> </w:t>
      </w:r>
      <w:r w:rsidRPr="000E3D99">
        <w:rPr>
          <w:rFonts w:ascii="Bookman Old Style" w:hAnsi="Bookman Old Style"/>
          <w:sz w:val="24"/>
          <w:szCs w:val="24"/>
        </w:rPr>
        <w:t>antara</w:t>
      </w:r>
      <w:r w:rsidR="00A954D0">
        <w:rPr>
          <w:rFonts w:ascii="Bookman Old Style" w:hAnsi="Bookman Old Style"/>
          <w:sz w:val="24"/>
          <w:szCs w:val="24"/>
        </w:rPr>
        <w:t xml:space="preserve"> </w:t>
      </w:r>
      <w:r w:rsidRPr="000E3D99">
        <w:rPr>
          <w:rFonts w:ascii="Bookman Old Style" w:hAnsi="Bookman Old Style"/>
          <w:sz w:val="24"/>
          <w:szCs w:val="24"/>
        </w:rPr>
        <w:t>Pemerintah</w:t>
      </w:r>
      <w:r w:rsidR="00A954D0">
        <w:rPr>
          <w:rFonts w:ascii="Bookman Old Style" w:hAnsi="Bookman Old Style"/>
          <w:sz w:val="24"/>
          <w:szCs w:val="24"/>
        </w:rPr>
        <w:t xml:space="preserve"> </w:t>
      </w:r>
      <w:r w:rsidRPr="000E3D99">
        <w:rPr>
          <w:rFonts w:ascii="Bookman Old Style" w:hAnsi="Bookman Old Style"/>
          <w:sz w:val="24"/>
          <w:szCs w:val="24"/>
        </w:rPr>
        <w:t>Daerah</w:t>
      </w:r>
      <w:r w:rsidR="00A954D0">
        <w:rPr>
          <w:rFonts w:ascii="Bookman Old Style" w:hAnsi="Bookman Old Style"/>
          <w:sz w:val="24"/>
          <w:szCs w:val="24"/>
        </w:rPr>
        <w:t xml:space="preserve"> </w:t>
      </w:r>
      <w:r w:rsidR="00046408" w:rsidRPr="003255BC">
        <w:rPr>
          <w:rFonts w:ascii="Bookman Old Style" w:hAnsi="Bookman Old Style"/>
          <w:sz w:val="24"/>
          <w:szCs w:val="24"/>
          <w:lang w:val="sv-FI"/>
        </w:rPr>
        <w:t>Kota</w:t>
      </w:r>
      <w:r w:rsidR="00A954D0" w:rsidRPr="003255BC">
        <w:rPr>
          <w:rFonts w:ascii="Bookman Old Style" w:hAnsi="Bookman Old Style"/>
          <w:sz w:val="24"/>
          <w:szCs w:val="24"/>
          <w:lang w:val="sv-FI"/>
        </w:rPr>
        <w:t xml:space="preserve"> </w:t>
      </w:r>
      <w:r w:rsidR="00770F22" w:rsidRPr="003255BC">
        <w:rPr>
          <w:rFonts w:ascii="Bookman Old Style" w:hAnsi="Bookman Old Style"/>
          <w:sz w:val="24"/>
          <w:szCs w:val="24"/>
          <w:lang w:val="sv-FI"/>
        </w:rPr>
        <w:t>Tangerang</w:t>
      </w:r>
      <w:r w:rsidR="00A954D0" w:rsidRPr="003255BC">
        <w:rPr>
          <w:rFonts w:ascii="Bookman Old Style" w:hAnsi="Bookman Old Style"/>
          <w:sz w:val="24"/>
          <w:szCs w:val="24"/>
          <w:lang w:val="sv-FI"/>
        </w:rPr>
        <w:t xml:space="preserve"> </w:t>
      </w:r>
      <w:r w:rsidRPr="000E3D99">
        <w:rPr>
          <w:rFonts w:ascii="Bookman Old Style" w:hAnsi="Bookman Old Style"/>
          <w:sz w:val="24"/>
          <w:szCs w:val="24"/>
        </w:rPr>
        <w:t>dengan</w:t>
      </w:r>
      <w:r w:rsidR="00A954D0">
        <w:rPr>
          <w:rFonts w:ascii="Bookman Old Style" w:hAnsi="Bookman Old Style"/>
          <w:sz w:val="24"/>
          <w:szCs w:val="24"/>
        </w:rPr>
        <w:t xml:space="preserve"> </w:t>
      </w:r>
      <w:r w:rsidRPr="000E3D99">
        <w:rPr>
          <w:rFonts w:ascii="Bookman Old Style" w:hAnsi="Bookman Old Style"/>
          <w:sz w:val="24"/>
          <w:szCs w:val="24"/>
        </w:rPr>
        <w:t>pihak</w:t>
      </w:r>
      <w:r w:rsidR="00A954D0">
        <w:rPr>
          <w:rFonts w:ascii="Bookman Old Style" w:hAnsi="Bookman Old Style"/>
          <w:sz w:val="24"/>
          <w:szCs w:val="24"/>
        </w:rPr>
        <w:t xml:space="preserve"> </w:t>
      </w:r>
      <w:r w:rsidRPr="000E3D99">
        <w:rPr>
          <w:rFonts w:ascii="Bookman Old Style" w:hAnsi="Bookman Old Style"/>
          <w:sz w:val="24"/>
          <w:szCs w:val="24"/>
        </w:rPr>
        <w:t>luar</w:t>
      </w:r>
      <w:r w:rsidR="00A954D0">
        <w:rPr>
          <w:rFonts w:ascii="Bookman Old Style" w:hAnsi="Bookman Old Style"/>
          <w:sz w:val="24"/>
          <w:szCs w:val="24"/>
        </w:rPr>
        <w:t xml:space="preserve"> </w:t>
      </w:r>
      <w:r w:rsidRPr="000E3D99">
        <w:rPr>
          <w:rFonts w:ascii="Bookman Old Style" w:hAnsi="Bookman Old Style"/>
          <w:sz w:val="24"/>
          <w:szCs w:val="24"/>
        </w:rPr>
        <w:t>negeri</w:t>
      </w:r>
      <w:r w:rsidR="00A954D0">
        <w:rPr>
          <w:rFonts w:ascii="Bookman Old Style" w:hAnsi="Bookman Old Style"/>
          <w:sz w:val="24"/>
          <w:szCs w:val="24"/>
        </w:rPr>
        <w:t xml:space="preserve"> </w:t>
      </w:r>
      <w:r w:rsidRPr="000E3D99">
        <w:rPr>
          <w:rFonts w:ascii="Bookman Old Style" w:hAnsi="Bookman Old Style"/>
          <w:sz w:val="24"/>
          <w:szCs w:val="24"/>
        </w:rPr>
        <w:t>dan</w:t>
      </w:r>
      <w:r w:rsidR="00A954D0">
        <w:rPr>
          <w:rFonts w:ascii="Bookman Old Style" w:hAnsi="Bookman Old Style"/>
          <w:sz w:val="24"/>
          <w:szCs w:val="24"/>
        </w:rPr>
        <w:t xml:space="preserve"> </w:t>
      </w:r>
      <w:r w:rsidRPr="000E3D99">
        <w:rPr>
          <w:rFonts w:ascii="Bookman Old Style" w:hAnsi="Bookman Old Style"/>
          <w:sz w:val="24"/>
          <w:szCs w:val="24"/>
        </w:rPr>
        <w:t>dalam</w:t>
      </w:r>
      <w:r w:rsidR="00A954D0">
        <w:rPr>
          <w:rFonts w:ascii="Bookman Old Style" w:hAnsi="Bookman Old Style"/>
          <w:sz w:val="24"/>
          <w:szCs w:val="24"/>
        </w:rPr>
        <w:t xml:space="preserve"> </w:t>
      </w:r>
      <w:r w:rsidRPr="000E3D99">
        <w:rPr>
          <w:rFonts w:ascii="Bookman Old Style" w:hAnsi="Bookman Old Style"/>
          <w:sz w:val="24"/>
          <w:szCs w:val="24"/>
        </w:rPr>
        <w:t>pelaksanaannya</w:t>
      </w:r>
      <w:r w:rsidR="00A954D0">
        <w:rPr>
          <w:rFonts w:ascii="Bookman Old Style" w:hAnsi="Bookman Old Style"/>
          <w:sz w:val="24"/>
          <w:szCs w:val="24"/>
        </w:rPr>
        <w:t xml:space="preserve"> </w:t>
      </w:r>
      <w:r w:rsidRPr="000E3D99">
        <w:rPr>
          <w:rFonts w:ascii="Bookman Old Style" w:hAnsi="Bookman Old Style"/>
          <w:sz w:val="24"/>
          <w:szCs w:val="24"/>
        </w:rPr>
        <w:t>harus</w:t>
      </w:r>
      <w:r w:rsidR="00A954D0">
        <w:rPr>
          <w:rFonts w:ascii="Bookman Old Style" w:hAnsi="Bookman Old Style"/>
          <w:sz w:val="24"/>
          <w:szCs w:val="24"/>
        </w:rPr>
        <w:t xml:space="preserve"> </w:t>
      </w:r>
      <w:r w:rsidRPr="000E3D99">
        <w:rPr>
          <w:rFonts w:ascii="Bookman Old Style" w:hAnsi="Bookman Old Style"/>
          <w:sz w:val="24"/>
          <w:szCs w:val="24"/>
        </w:rPr>
        <w:t>berpedoman</w:t>
      </w:r>
      <w:r w:rsidR="00A954D0">
        <w:rPr>
          <w:rFonts w:ascii="Bookman Old Style" w:hAnsi="Bookman Old Style"/>
          <w:sz w:val="24"/>
          <w:szCs w:val="24"/>
        </w:rPr>
        <w:t xml:space="preserve"> </w:t>
      </w:r>
      <w:r w:rsidRPr="000E3D99">
        <w:rPr>
          <w:rFonts w:ascii="Bookman Old Style" w:hAnsi="Bookman Old Style"/>
          <w:sz w:val="24"/>
          <w:szCs w:val="24"/>
        </w:rPr>
        <w:t>pada</w:t>
      </w:r>
      <w:r w:rsidR="00A954D0" w:rsidRPr="003255BC">
        <w:rPr>
          <w:rFonts w:ascii="Bookman Old Style" w:hAnsi="Bookman Old Style"/>
          <w:sz w:val="24"/>
          <w:szCs w:val="24"/>
          <w:lang w:val="sv-FI"/>
        </w:rPr>
        <w:t xml:space="preserve"> </w:t>
      </w:r>
      <w:r w:rsidRPr="000E3D99">
        <w:rPr>
          <w:rFonts w:ascii="Bookman Old Style" w:hAnsi="Bookman Old Style"/>
          <w:sz w:val="24"/>
          <w:szCs w:val="24"/>
        </w:rPr>
        <w:t>Instruksi</w:t>
      </w:r>
      <w:r w:rsidR="00A954D0">
        <w:rPr>
          <w:rFonts w:ascii="Bookman Old Style" w:hAnsi="Bookman Old Style"/>
          <w:sz w:val="24"/>
          <w:szCs w:val="24"/>
        </w:rPr>
        <w:t xml:space="preserve"> </w:t>
      </w:r>
      <w:r w:rsidRPr="000E3D99">
        <w:rPr>
          <w:rFonts w:ascii="Bookman Old Style" w:hAnsi="Bookman Old Style"/>
          <w:sz w:val="24"/>
          <w:szCs w:val="24"/>
        </w:rPr>
        <w:t>Presiden</w:t>
      </w:r>
      <w:r w:rsidR="00A954D0">
        <w:rPr>
          <w:rFonts w:ascii="Bookman Old Style" w:hAnsi="Bookman Old Style"/>
          <w:sz w:val="24"/>
          <w:szCs w:val="24"/>
        </w:rPr>
        <w:t xml:space="preserve"> </w:t>
      </w:r>
      <w:r w:rsidRPr="000E3D99">
        <w:rPr>
          <w:rFonts w:ascii="Bookman Old Style" w:hAnsi="Bookman Old Style"/>
          <w:sz w:val="24"/>
          <w:szCs w:val="24"/>
        </w:rPr>
        <w:t>Nomor</w:t>
      </w:r>
      <w:r w:rsidR="00A954D0">
        <w:rPr>
          <w:rFonts w:ascii="Bookman Old Style" w:hAnsi="Bookman Old Style"/>
          <w:sz w:val="24"/>
          <w:szCs w:val="24"/>
        </w:rPr>
        <w:t xml:space="preserve"> </w:t>
      </w:r>
      <w:r w:rsidRPr="000E3D99">
        <w:rPr>
          <w:rFonts w:ascii="Bookman Old Style" w:hAnsi="Bookman Old Style"/>
          <w:sz w:val="24"/>
          <w:szCs w:val="24"/>
        </w:rPr>
        <w:t>11</w:t>
      </w:r>
      <w:r w:rsidR="00A954D0">
        <w:rPr>
          <w:rFonts w:ascii="Bookman Old Style" w:hAnsi="Bookman Old Style"/>
          <w:sz w:val="24"/>
          <w:szCs w:val="24"/>
        </w:rPr>
        <w:t xml:space="preserve"> </w:t>
      </w:r>
      <w:r w:rsidRPr="000E3D99">
        <w:rPr>
          <w:rFonts w:ascii="Bookman Old Style" w:hAnsi="Bookman Old Style"/>
          <w:sz w:val="24"/>
          <w:szCs w:val="24"/>
        </w:rPr>
        <w:t>Tahun</w:t>
      </w:r>
      <w:r w:rsidR="00A954D0">
        <w:rPr>
          <w:rFonts w:ascii="Bookman Old Style" w:hAnsi="Bookman Old Style"/>
          <w:sz w:val="24"/>
          <w:szCs w:val="24"/>
        </w:rPr>
        <w:t xml:space="preserve"> </w:t>
      </w:r>
      <w:r w:rsidRPr="000E3D99">
        <w:rPr>
          <w:rFonts w:ascii="Bookman Old Style" w:hAnsi="Bookman Old Style"/>
          <w:sz w:val="24"/>
          <w:szCs w:val="24"/>
        </w:rPr>
        <w:t>2005</w:t>
      </w:r>
      <w:r w:rsidR="00A954D0">
        <w:rPr>
          <w:rFonts w:ascii="Bookman Old Style" w:hAnsi="Bookman Old Style"/>
          <w:sz w:val="24"/>
          <w:szCs w:val="24"/>
        </w:rPr>
        <w:t xml:space="preserve"> </w:t>
      </w:r>
      <w:r w:rsidRPr="000E3D99">
        <w:rPr>
          <w:rFonts w:ascii="Bookman Old Style" w:hAnsi="Bookman Old Style"/>
          <w:sz w:val="24"/>
          <w:szCs w:val="24"/>
        </w:rPr>
        <w:t>tentang</w:t>
      </w:r>
      <w:r w:rsidR="00A954D0">
        <w:rPr>
          <w:rFonts w:ascii="Bookman Old Style" w:hAnsi="Bookman Old Style"/>
          <w:sz w:val="24"/>
          <w:szCs w:val="24"/>
        </w:rPr>
        <w:t xml:space="preserve"> </w:t>
      </w:r>
      <w:r w:rsidRPr="000E3D99">
        <w:rPr>
          <w:rFonts w:ascii="Bookman Old Style" w:hAnsi="Bookman Old Style"/>
          <w:sz w:val="24"/>
          <w:szCs w:val="24"/>
        </w:rPr>
        <w:t>Perjalanan</w:t>
      </w:r>
      <w:r w:rsidR="00A954D0">
        <w:rPr>
          <w:rFonts w:ascii="Bookman Old Style" w:hAnsi="Bookman Old Style"/>
          <w:sz w:val="24"/>
          <w:szCs w:val="24"/>
        </w:rPr>
        <w:t xml:space="preserve"> </w:t>
      </w:r>
      <w:r w:rsidRPr="000E3D99">
        <w:rPr>
          <w:rFonts w:ascii="Bookman Old Style" w:hAnsi="Bookman Old Style"/>
          <w:sz w:val="24"/>
          <w:szCs w:val="24"/>
        </w:rPr>
        <w:t>Dinas</w:t>
      </w:r>
      <w:r w:rsidR="00A954D0">
        <w:rPr>
          <w:rFonts w:ascii="Bookman Old Style" w:hAnsi="Bookman Old Style"/>
          <w:sz w:val="24"/>
          <w:szCs w:val="24"/>
        </w:rPr>
        <w:t xml:space="preserve"> </w:t>
      </w:r>
      <w:r w:rsidRPr="000E3D99">
        <w:rPr>
          <w:rFonts w:ascii="Bookman Old Style" w:hAnsi="Bookman Old Style"/>
          <w:sz w:val="24"/>
          <w:szCs w:val="24"/>
        </w:rPr>
        <w:t>Ke</w:t>
      </w:r>
      <w:r w:rsidR="00A954D0">
        <w:rPr>
          <w:rFonts w:ascii="Bookman Old Style" w:hAnsi="Bookman Old Style"/>
          <w:sz w:val="24"/>
          <w:szCs w:val="24"/>
        </w:rPr>
        <w:t xml:space="preserve"> </w:t>
      </w:r>
      <w:r w:rsidRPr="000E3D99">
        <w:rPr>
          <w:rFonts w:ascii="Bookman Old Style" w:hAnsi="Bookman Old Style"/>
          <w:sz w:val="24"/>
          <w:szCs w:val="24"/>
        </w:rPr>
        <w:t>Luar</w:t>
      </w:r>
      <w:r w:rsidR="00A954D0">
        <w:rPr>
          <w:rFonts w:ascii="Bookman Old Style" w:hAnsi="Bookman Old Style"/>
          <w:sz w:val="24"/>
          <w:szCs w:val="24"/>
        </w:rPr>
        <w:t xml:space="preserve"> </w:t>
      </w:r>
      <w:r w:rsidRPr="000E3D99">
        <w:rPr>
          <w:rFonts w:ascii="Bookman Old Style" w:hAnsi="Bookman Old Style"/>
          <w:sz w:val="24"/>
          <w:szCs w:val="24"/>
        </w:rPr>
        <w:t>Negeri</w:t>
      </w:r>
      <w:r w:rsidRPr="003255BC">
        <w:rPr>
          <w:rFonts w:ascii="Bookman Old Style" w:hAnsi="Bookman Old Style"/>
          <w:sz w:val="24"/>
          <w:szCs w:val="24"/>
          <w:lang w:val="sv-FI"/>
        </w:rPr>
        <w:t>,</w:t>
      </w:r>
      <w:r w:rsidR="00A954D0" w:rsidRPr="003255BC">
        <w:rPr>
          <w:rFonts w:ascii="Bookman Old Style" w:hAnsi="Bookman Old Style"/>
          <w:sz w:val="24"/>
          <w:szCs w:val="24"/>
          <w:lang w:val="sv-FI"/>
        </w:rPr>
        <w:t xml:space="preserve"> </w:t>
      </w:r>
      <w:r w:rsidRPr="000E3D99">
        <w:rPr>
          <w:rFonts w:ascii="Bookman Old Style" w:hAnsi="Bookman Old Style"/>
          <w:sz w:val="24"/>
          <w:szCs w:val="24"/>
        </w:rPr>
        <w:t>Peraturan</w:t>
      </w:r>
      <w:r w:rsidR="00A954D0">
        <w:rPr>
          <w:rFonts w:ascii="Bookman Old Style" w:hAnsi="Bookman Old Style"/>
          <w:sz w:val="24"/>
          <w:szCs w:val="24"/>
        </w:rPr>
        <w:t xml:space="preserve"> </w:t>
      </w:r>
      <w:r w:rsidRPr="000E3D99">
        <w:rPr>
          <w:rFonts w:ascii="Bookman Old Style" w:hAnsi="Bookman Old Style"/>
          <w:sz w:val="24"/>
          <w:szCs w:val="24"/>
        </w:rPr>
        <w:t>Menteri</w:t>
      </w:r>
      <w:r w:rsidR="00A954D0">
        <w:rPr>
          <w:rFonts w:ascii="Bookman Old Style" w:hAnsi="Bookman Old Style"/>
          <w:sz w:val="24"/>
          <w:szCs w:val="24"/>
        </w:rPr>
        <w:t xml:space="preserve"> </w:t>
      </w:r>
      <w:r w:rsidRPr="000E3D99">
        <w:rPr>
          <w:rFonts w:ascii="Bookman Old Style" w:hAnsi="Bookman Old Style"/>
          <w:sz w:val="24"/>
          <w:szCs w:val="24"/>
        </w:rPr>
        <w:t>Dalam</w:t>
      </w:r>
      <w:r w:rsidR="00A954D0">
        <w:rPr>
          <w:rFonts w:ascii="Bookman Old Style" w:hAnsi="Bookman Old Style"/>
          <w:sz w:val="24"/>
          <w:szCs w:val="24"/>
        </w:rPr>
        <w:t xml:space="preserve"> </w:t>
      </w:r>
      <w:r w:rsidRPr="000E3D99">
        <w:rPr>
          <w:rFonts w:ascii="Bookman Old Style" w:hAnsi="Bookman Old Style"/>
          <w:sz w:val="24"/>
          <w:szCs w:val="24"/>
        </w:rPr>
        <w:t>Negeri</w:t>
      </w:r>
      <w:r w:rsidR="00A954D0">
        <w:rPr>
          <w:rFonts w:ascii="Bookman Old Style" w:hAnsi="Bookman Old Style"/>
          <w:sz w:val="24"/>
          <w:szCs w:val="24"/>
        </w:rPr>
        <w:t xml:space="preserve"> </w:t>
      </w:r>
      <w:r w:rsidRPr="000E3D99">
        <w:rPr>
          <w:rFonts w:ascii="Bookman Old Style" w:hAnsi="Bookman Old Style"/>
          <w:sz w:val="24"/>
          <w:szCs w:val="24"/>
        </w:rPr>
        <w:t>Nomor</w:t>
      </w:r>
      <w:r w:rsidR="00A954D0">
        <w:rPr>
          <w:rFonts w:ascii="Bookman Old Style" w:hAnsi="Bookman Old Style"/>
          <w:sz w:val="24"/>
          <w:szCs w:val="24"/>
        </w:rPr>
        <w:t xml:space="preserve"> </w:t>
      </w:r>
      <w:r w:rsidRPr="000E3D99">
        <w:rPr>
          <w:rFonts w:ascii="Bookman Old Style" w:hAnsi="Bookman Old Style"/>
          <w:sz w:val="24"/>
          <w:szCs w:val="24"/>
        </w:rPr>
        <w:t>59</w:t>
      </w:r>
      <w:r w:rsidR="00A954D0">
        <w:rPr>
          <w:rFonts w:ascii="Bookman Old Style" w:hAnsi="Bookman Old Style"/>
          <w:sz w:val="24"/>
          <w:szCs w:val="24"/>
        </w:rPr>
        <w:t xml:space="preserve"> </w:t>
      </w:r>
      <w:r w:rsidRPr="000E3D99">
        <w:rPr>
          <w:rFonts w:ascii="Bookman Old Style" w:hAnsi="Bookman Old Style"/>
          <w:sz w:val="24"/>
          <w:szCs w:val="24"/>
        </w:rPr>
        <w:t>Tahun</w:t>
      </w:r>
      <w:r w:rsidR="00A954D0">
        <w:rPr>
          <w:rFonts w:ascii="Bookman Old Style" w:hAnsi="Bookman Old Style"/>
          <w:sz w:val="24"/>
          <w:szCs w:val="24"/>
        </w:rPr>
        <w:t xml:space="preserve"> </w:t>
      </w:r>
      <w:r w:rsidRPr="000E3D99">
        <w:rPr>
          <w:rFonts w:ascii="Bookman Old Style" w:hAnsi="Bookman Old Style"/>
          <w:sz w:val="24"/>
          <w:szCs w:val="24"/>
        </w:rPr>
        <w:t>2019</w:t>
      </w:r>
      <w:r w:rsidR="00A954D0">
        <w:rPr>
          <w:rFonts w:ascii="Bookman Old Style" w:hAnsi="Bookman Old Style"/>
          <w:sz w:val="24"/>
          <w:szCs w:val="24"/>
        </w:rPr>
        <w:t xml:space="preserve"> </w:t>
      </w:r>
      <w:r w:rsidRPr="000E3D99">
        <w:rPr>
          <w:rFonts w:ascii="Bookman Old Style" w:hAnsi="Bookman Old Style"/>
          <w:sz w:val="24"/>
          <w:szCs w:val="24"/>
        </w:rPr>
        <w:t>tentang</w:t>
      </w:r>
      <w:r w:rsidR="00A954D0">
        <w:rPr>
          <w:rFonts w:ascii="Bookman Old Style" w:hAnsi="Bookman Old Style"/>
          <w:sz w:val="24"/>
          <w:szCs w:val="24"/>
        </w:rPr>
        <w:t xml:space="preserve"> </w:t>
      </w:r>
      <w:r w:rsidRPr="000E3D99">
        <w:rPr>
          <w:rFonts w:ascii="Bookman Old Style" w:hAnsi="Bookman Old Style"/>
          <w:sz w:val="24"/>
          <w:szCs w:val="24"/>
        </w:rPr>
        <w:t>Tata</w:t>
      </w:r>
      <w:r w:rsidR="00A954D0">
        <w:rPr>
          <w:rFonts w:ascii="Bookman Old Style" w:hAnsi="Bookman Old Style"/>
          <w:sz w:val="24"/>
          <w:szCs w:val="24"/>
        </w:rPr>
        <w:t xml:space="preserve"> </w:t>
      </w:r>
      <w:r w:rsidRPr="000E3D99">
        <w:rPr>
          <w:rFonts w:ascii="Bookman Old Style" w:hAnsi="Bookman Old Style"/>
          <w:sz w:val="24"/>
          <w:szCs w:val="24"/>
        </w:rPr>
        <w:t>Cara</w:t>
      </w:r>
      <w:r w:rsidR="00A954D0">
        <w:rPr>
          <w:rFonts w:ascii="Bookman Old Style" w:hAnsi="Bookman Old Style"/>
          <w:sz w:val="24"/>
          <w:szCs w:val="24"/>
        </w:rPr>
        <w:t xml:space="preserve"> </w:t>
      </w:r>
      <w:r w:rsidRPr="000E3D99">
        <w:rPr>
          <w:rFonts w:ascii="Bookman Old Style" w:hAnsi="Bookman Old Style"/>
          <w:sz w:val="24"/>
          <w:szCs w:val="24"/>
        </w:rPr>
        <w:t>Perjalanan</w:t>
      </w:r>
      <w:r w:rsidR="00A954D0">
        <w:rPr>
          <w:rFonts w:ascii="Bookman Old Style" w:hAnsi="Bookman Old Style"/>
          <w:sz w:val="24"/>
          <w:szCs w:val="24"/>
        </w:rPr>
        <w:t xml:space="preserve"> </w:t>
      </w:r>
      <w:r w:rsidRPr="000E3D99">
        <w:rPr>
          <w:rFonts w:ascii="Bookman Old Style" w:hAnsi="Bookman Old Style"/>
          <w:sz w:val="24"/>
          <w:szCs w:val="24"/>
        </w:rPr>
        <w:t>ke</w:t>
      </w:r>
      <w:r w:rsidR="00A954D0">
        <w:rPr>
          <w:rFonts w:ascii="Bookman Old Style" w:hAnsi="Bookman Old Style"/>
          <w:sz w:val="24"/>
          <w:szCs w:val="24"/>
        </w:rPr>
        <w:t xml:space="preserve"> </w:t>
      </w:r>
      <w:r w:rsidRPr="000E3D99">
        <w:rPr>
          <w:rFonts w:ascii="Bookman Old Style" w:hAnsi="Bookman Old Style"/>
          <w:sz w:val="24"/>
          <w:szCs w:val="24"/>
        </w:rPr>
        <w:t>Luar</w:t>
      </w:r>
      <w:r w:rsidR="00A954D0">
        <w:rPr>
          <w:rFonts w:ascii="Bookman Old Style" w:hAnsi="Bookman Old Style"/>
          <w:sz w:val="24"/>
          <w:szCs w:val="24"/>
        </w:rPr>
        <w:t xml:space="preserve"> </w:t>
      </w:r>
      <w:r w:rsidRPr="000E3D99">
        <w:rPr>
          <w:rFonts w:ascii="Bookman Old Style" w:hAnsi="Bookman Old Style"/>
          <w:sz w:val="24"/>
          <w:szCs w:val="24"/>
        </w:rPr>
        <w:t>Negeri</w:t>
      </w:r>
      <w:r w:rsidR="00A954D0">
        <w:rPr>
          <w:rFonts w:ascii="Bookman Old Style" w:hAnsi="Bookman Old Style"/>
          <w:sz w:val="24"/>
          <w:szCs w:val="24"/>
        </w:rPr>
        <w:t xml:space="preserve"> </w:t>
      </w:r>
      <w:r w:rsidRPr="000E3D99">
        <w:rPr>
          <w:rFonts w:ascii="Bookman Old Style" w:hAnsi="Bookman Old Style"/>
          <w:sz w:val="24"/>
          <w:szCs w:val="24"/>
        </w:rPr>
        <w:t>di</w:t>
      </w:r>
      <w:r w:rsidR="00A954D0">
        <w:rPr>
          <w:rFonts w:ascii="Bookman Old Style" w:hAnsi="Bookman Old Style"/>
          <w:sz w:val="24"/>
          <w:szCs w:val="24"/>
        </w:rPr>
        <w:t xml:space="preserve"> </w:t>
      </w:r>
      <w:r w:rsidRPr="000E3D99">
        <w:rPr>
          <w:rFonts w:ascii="Bookman Old Style" w:hAnsi="Bookman Old Style"/>
          <w:sz w:val="24"/>
          <w:szCs w:val="24"/>
        </w:rPr>
        <w:t>Lingkungan</w:t>
      </w:r>
      <w:r w:rsidR="00A954D0">
        <w:rPr>
          <w:rFonts w:ascii="Bookman Old Style" w:hAnsi="Bookman Old Style"/>
          <w:sz w:val="24"/>
          <w:szCs w:val="24"/>
        </w:rPr>
        <w:t xml:space="preserve"> </w:t>
      </w:r>
      <w:r w:rsidRPr="000E3D99">
        <w:rPr>
          <w:rFonts w:ascii="Bookman Old Style" w:hAnsi="Bookman Old Style"/>
          <w:sz w:val="24"/>
          <w:szCs w:val="24"/>
        </w:rPr>
        <w:t>Kementerian</w:t>
      </w:r>
      <w:r w:rsidR="00A954D0">
        <w:rPr>
          <w:rFonts w:ascii="Bookman Old Style" w:hAnsi="Bookman Old Style"/>
          <w:sz w:val="24"/>
          <w:szCs w:val="24"/>
        </w:rPr>
        <w:t xml:space="preserve"> </w:t>
      </w:r>
      <w:r w:rsidRPr="000E3D99">
        <w:rPr>
          <w:rFonts w:ascii="Bookman Old Style" w:hAnsi="Bookman Old Style"/>
          <w:sz w:val="24"/>
          <w:szCs w:val="24"/>
        </w:rPr>
        <w:t>Dalam</w:t>
      </w:r>
      <w:r w:rsidR="00A954D0">
        <w:rPr>
          <w:rFonts w:ascii="Bookman Old Style" w:hAnsi="Bookman Old Style"/>
          <w:sz w:val="24"/>
          <w:szCs w:val="24"/>
        </w:rPr>
        <w:t xml:space="preserve"> </w:t>
      </w:r>
      <w:r w:rsidRPr="000E3D99">
        <w:rPr>
          <w:rFonts w:ascii="Bookman Old Style" w:hAnsi="Bookman Old Style"/>
          <w:sz w:val="24"/>
          <w:szCs w:val="24"/>
        </w:rPr>
        <w:t>Negeri</w:t>
      </w:r>
      <w:r w:rsidRPr="003255BC">
        <w:rPr>
          <w:rFonts w:ascii="Bookman Old Style" w:hAnsi="Bookman Old Style"/>
          <w:sz w:val="24"/>
          <w:szCs w:val="24"/>
          <w:lang w:val="sv-FI"/>
        </w:rPr>
        <w:t>,</w:t>
      </w:r>
      <w:r w:rsidR="00A954D0">
        <w:rPr>
          <w:rFonts w:ascii="Bookman Old Style" w:hAnsi="Bookman Old Style"/>
          <w:sz w:val="24"/>
          <w:szCs w:val="24"/>
        </w:rPr>
        <w:t xml:space="preserve"> </w:t>
      </w:r>
      <w:r w:rsidRPr="003255BC">
        <w:rPr>
          <w:rFonts w:ascii="Bookman Old Style" w:hAnsi="Bookman Old Style"/>
          <w:sz w:val="24"/>
          <w:szCs w:val="24"/>
          <w:lang w:val="sv-FI"/>
        </w:rPr>
        <w:t>dan</w:t>
      </w:r>
      <w:r w:rsidR="00A954D0">
        <w:rPr>
          <w:rFonts w:ascii="Bookman Old Style" w:hAnsi="Bookman Old Style" w:cs="Arial"/>
          <w:sz w:val="24"/>
          <w:szCs w:val="24"/>
        </w:rPr>
        <w:t xml:space="preserve"> </w:t>
      </w:r>
      <w:r w:rsidRPr="000E3D99">
        <w:rPr>
          <w:rFonts w:ascii="Bookman Old Style" w:hAnsi="Bookman Old Style" w:cs="Arial"/>
          <w:sz w:val="24"/>
          <w:szCs w:val="24"/>
        </w:rPr>
        <w:t>butir</w:t>
      </w:r>
      <w:r w:rsidR="00A954D0">
        <w:rPr>
          <w:rFonts w:ascii="Bookman Old Style" w:hAnsi="Bookman Old Style" w:cs="Arial"/>
          <w:sz w:val="24"/>
          <w:szCs w:val="24"/>
        </w:rPr>
        <w:t xml:space="preserve"> </w:t>
      </w:r>
      <w:r w:rsidRPr="003255BC">
        <w:rPr>
          <w:rFonts w:ascii="Bookman Old Style" w:hAnsi="Bookman Old Style"/>
          <w:sz w:val="24"/>
          <w:szCs w:val="24"/>
          <w:lang w:val="sv-FI"/>
        </w:rPr>
        <w:t>3.4.1.2.4.b)</w:t>
      </w:r>
      <w:r w:rsidR="00A954D0">
        <w:rPr>
          <w:rFonts w:ascii="Bookman Old Style" w:hAnsi="Bookman Old Style" w:cs="Arial"/>
          <w:sz w:val="24"/>
          <w:szCs w:val="24"/>
        </w:rPr>
        <w:t xml:space="preserve"> </w:t>
      </w:r>
      <w:r w:rsidRPr="000E3D99">
        <w:rPr>
          <w:rFonts w:ascii="Bookman Old Style" w:hAnsi="Bookman Old Style" w:cs="Arial"/>
          <w:sz w:val="24"/>
          <w:szCs w:val="24"/>
        </w:rPr>
        <w:t>Lampiran</w:t>
      </w:r>
      <w:r w:rsidR="00A954D0">
        <w:rPr>
          <w:rFonts w:ascii="Bookman Old Style" w:hAnsi="Bookman Old Style" w:cs="Arial"/>
          <w:sz w:val="24"/>
          <w:szCs w:val="24"/>
        </w:rPr>
        <w:t xml:space="preserve"> </w:t>
      </w:r>
      <w:r w:rsidRPr="000E3D99">
        <w:rPr>
          <w:rFonts w:ascii="Bookman Old Style" w:hAnsi="Bookman Old Style" w:cs="Arial"/>
          <w:sz w:val="24"/>
          <w:szCs w:val="24"/>
        </w:rPr>
        <w:lastRenderedPageBreak/>
        <w:t>Peraturan</w:t>
      </w:r>
      <w:r w:rsidR="00A954D0">
        <w:rPr>
          <w:rFonts w:ascii="Bookman Old Style" w:hAnsi="Bookman Old Style" w:cs="Arial"/>
          <w:sz w:val="24"/>
          <w:szCs w:val="24"/>
        </w:rPr>
        <w:t xml:space="preserve"> </w:t>
      </w:r>
      <w:r w:rsidRPr="000E3D99">
        <w:rPr>
          <w:rFonts w:ascii="Bookman Old Style" w:hAnsi="Bookman Old Style" w:cs="Arial"/>
          <w:sz w:val="24"/>
          <w:szCs w:val="24"/>
        </w:rPr>
        <w:t>Menteri</w:t>
      </w:r>
      <w:r w:rsidR="00A954D0">
        <w:rPr>
          <w:rFonts w:ascii="Bookman Old Style" w:hAnsi="Bookman Old Style" w:cs="Arial"/>
          <w:sz w:val="24"/>
          <w:szCs w:val="24"/>
        </w:rPr>
        <w:t xml:space="preserve"> </w:t>
      </w:r>
      <w:r w:rsidRPr="000E3D99">
        <w:rPr>
          <w:rFonts w:ascii="Bookman Old Style" w:hAnsi="Bookman Old Style" w:cs="Arial"/>
          <w:sz w:val="24"/>
          <w:szCs w:val="24"/>
        </w:rPr>
        <w:t>Dalam</w:t>
      </w:r>
      <w:r w:rsidR="00A954D0">
        <w:rPr>
          <w:rFonts w:ascii="Bookman Old Style" w:hAnsi="Bookman Old Style" w:cs="Arial"/>
          <w:sz w:val="24"/>
          <w:szCs w:val="24"/>
        </w:rPr>
        <w:t xml:space="preserve"> </w:t>
      </w:r>
      <w:r w:rsidRPr="000E3D99">
        <w:rPr>
          <w:rFonts w:ascii="Bookman Old Style" w:hAnsi="Bookman Old Style" w:cs="Arial"/>
          <w:sz w:val="24"/>
          <w:szCs w:val="24"/>
        </w:rPr>
        <w:t>Negeri</w:t>
      </w:r>
      <w:r w:rsidR="00A954D0">
        <w:rPr>
          <w:rFonts w:ascii="Bookman Old Style" w:hAnsi="Bookman Old Style" w:cs="Arial"/>
          <w:sz w:val="24"/>
          <w:szCs w:val="24"/>
        </w:rPr>
        <w:t xml:space="preserve"> </w:t>
      </w:r>
      <w:r w:rsidRPr="000E3D99">
        <w:rPr>
          <w:rFonts w:ascii="Bookman Old Style" w:hAnsi="Bookman Old Style" w:cs="Arial"/>
          <w:sz w:val="24"/>
          <w:szCs w:val="24"/>
        </w:rPr>
        <w:t>Nomor</w:t>
      </w:r>
      <w:r w:rsidR="00A954D0">
        <w:rPr>
          <w:rFonts w:ascii="Bookman Old Style" w:hAnsi="Bookman Old Style" w:cs="Arial"/>
          <w:sz w:val="24"/>
          <w:szCs w:val="24"/>
        </w:rPr>
        <w:t xml:space="preserve"> </w:t>
      </w:r>
      <w:r w:rsidRPr="003255BC">
        <w:rPr>
          <w:rFonts w:ascii="Bookman Old Style" w:hAnsi="Bookman Old Style" w:cs="Arial"/>
          <w:sz w:val="24"/>
          <w:szCs w:val="24"/>
          <w:lang w:val="sv-FI"/>
        </w:rPr>
        <w:t>15</w:t>
      </w:r>
      <w:r w:rsidR="00A954D0">
        <w:rPr>
          <w:rFonts w:ascii="Bookman Old Style" w:hAnsi="Bookman Old Style" w:cs="Arial"/>
          <w:sz w:val="24"/>
          <w:szCs w:val="24"/>
        </w:rPr>
        <w:t xml:space="preserve"> </w:t>
      </w:r>
      <w:r w:rsidRPr="000E3D99">
        <w:rPr>
          <w:rFonts w:ascii="Bookman Old Style" w:hAnsi="Bookman Old Style" w:cs="Arial"/>
          <w:sz w:val="24"/>
          <w:szCs w:val="24"/>
        </w:rPr>
        <w:t>Tahun</w:t>
      </w:r>
      <w:r w:rsidR="00A954D0">
        <w:rPr>
          <w:rFonts w:ascii="Bookman Old Style" w:hAnsi="Bookman Old Style" w:cs="Arial"/>
          <w:sz w:val="24"/>
          <w:szCs w:val="24"/>
        </w:rPr>
        <w:t xml:space="preserve"> </w:t>
      </w:r>
      <w:r w:rsidRPr="000E3D99">
        <w:rPr>
          <w:rFonts w:ascii="Bookman Old Style" w:hAnsi="Bookman Old Style" w:cs="Arial"/>
          <w:sz w:val="24"/>
          <w:szCs w:val="24"/>
        </w:rPr>
        <w:t>202</w:t>
      </w:r>
      <w:r w:rsidRPr="003255BC">
        <w:rPr>
          <w:rFonts w:ascii="Bookman Old Style" w:hAnsi="Bookman Old Style" w:cs="Arial"/>
          <w:sz w:val="24"/>
          <w:szCs w:val="24"/>
          <w:lang w:val="sv-FI"/>
        </w:rPr>
        <w:t>4</w:t>
      </w:r>
      <w:r w:rsidRPr="000E3D99">
        <w:rPr>
          <w:rFonts w:ascii="Bookman Old Style" w:hAnsi="Bookman Old Style"/>
          <w:sz w:val="24"/>
          <w:szCs w:val="24"/>
        </w:rPr>
        <w:t>.</w:t>
      </w:r>
    </w:p>
    <w:p w14:paraId="46112778" w14:textId="25B37DBA" w:rsidR="003B7FE4" w:rsidRPr="000E3D99" w:rsidRDefault="003B7FE4" w:rsidP="000B2AAF">
      <w:pPr>
        <w:pStyle w:val="ListParagraph"/>
        <w:shd w:val="clear" w:color="auto" w:fill="FFFFFF" w:themeFill="background1"/>
        <w:spacing w:before="60" w:after="0" w:line="276" w:lineRule="auto"/>
        <w:ind w:left="2268"/>
        <w:contextualSpacing w:val="0"/>
        <w:jc w:val="both"/>
        <w:rPr>
          <w:rFonts w:ascii="Bookman Old Style" w:hAnsi="Bookman Old Style"/>
          <w:sz w:val="24"/>
          <w:szCs w:val="24"/>
          <w:lang w:val="id-ID"/>
        </w:rPr>
      </w:pPr>
      <w:r w:rsidRPr="000E3D99">
        <w:rPr>
          <w:rFonts w:ascii="Bookman Old Style" w:hAnsi="Bookman Old Style"/>
          <w:sz w:val="24"/>
          <w:szCs w:val="24"/>
          <w:lang w:val="fi-FI"/>
        </w:rPr>
        <w:t>Selanjutnya</w:t>
      </w:r>
      <w:r w:rsidRPr="000E3D99">
        <w:rPr>
          <w:rFonts w:ascii="Bookman Old Style" w:hAnsi="Bookman Old Style"/>
          <w:sz w:val="24"/>
          <w:szCs w:val="24"/>
        </w:rPr>
        <w:t>,</w:t>
      </w:r>
      <w:r w:rsidR="00A954D0">
        <w:rPr>
          <w:rFonts w:ascii="Bookman Old Style" w:hAnsi="Bookman Old Style"/>
          <w:sz w:val="24"/>
          <w:szCs w:val="24"/>
        </w:rPr>
        <w:t xml:space="preserve"> </w:t>
      </w:r>
      <w:r w:rsidRPr="000E3D99">
        <w:rPr>
          <w:rFonts w:ascii="Bookman Old Style" w:hAnsi="Bookman Old Style"/>
          <w:sz w:val="24"/>
          <w:szCs w:val="24"/>
        </w:rPr>
        <w:t>penyediaan</w:t>
      </w:r>
      <w:r w:rsidR="00A954D0">
        <w:rPr>
          <w:rFonts w:ascii="Bookman Old Style" w:hAnsi="Bookman Old Style"/>
          <w:sz w:val="24"/>
          <w:szCs w:val="24"/>
        </w:rPr>
        <w:t xml:space="preserve"> </w:t>
      </w:r>
      <w:r w:rsidRPr="000E3D99">
        <w:rPr>
          <w:rFonts w:ascii="Bookman Old Style" w:hAnsi="Bookman Old Style"/>
          <w:sz w:val="24"/>
          <w:szCs w:val="24"/>
        </w:rPr>
        <w:t>alokasi</w:t>
      </w:r>
      <w:r w:rsidR="00A954D0">
        <w:rPr>
          <w:rFonts w:ascii="Bookman Old Style" w:hAnsi="Bookman Old Style"/>
          <w:sz w:val="24"/>
          <w:szCs w:val="24"/>
        </w:rPr>
        <w:t xml:space="preserve"> </w:t>
      </w:r>
      <w:r w:rsidRPr="000E3D99">
        <w:rPr>
          <w:rFonts w:ascii="Bookman Old Style" w:hAnsi="Bookman Old Style"/>
          <w:sz w:val="24"/>
          <w:szCs w:val="24"/>
        </w:rPr>
        <w:t>anggaran</w:t>
      </w:r>
      <w:r w:rsidR="00A954D0">
        <w:rPr>
          <w:rFonts w:ascii="Bookman Old Style" w:hAnsi="Bookman Old Style"/>
          <w:sz w:val="24"/>
          <w:szCs w:val="24"/>
        </w:rPr>
        <w:t xml:space="preserve"> </w:t>
      </w:r>
      <w:r w:rsidRPr="000E3D99">
        <w:rPr>
          <w:rFonts w:ascii="Bookman Old Style" w:hAnsi="Bookman Old Style"/>
          <w:sz w:val="24"/>
          <w:szCs w:val="24"/>
        </w:rPr>
        <w:t>perjalanan</w:t>
      </w:r>
      <w:r w:rsidR="00A954D0">
        <w:rPr>
          <w:rFonts w:ascii="Bookman Old Style" w:hAnsi="Bookman Old Style"/>
          <w:sz w:val="24"/>
          <w:szCs w:val="24"/>
        </w:rPr>
        <w:t xml:space="preserve"> </w:t>
      </w:r>
      <w:r w:rsidRPr="000E3D99">
        <w:rPr>
          <w:rFonts w:ascii="Bookman Old Style" w:hAnsi="Bookman Old Style"/>
          <w:sz w:val="24"/>
          <w:szCs w:val="24"/>
        </w:rPr>
        <w:t>dinas</w:t>
      </w:r>
      <w:r w:rsidR="00A954D0">
        <w:rPr>
          <w:rFonts w:ascii="Bookman Old Style" w:hAnsi="Bookman Old Style"/>
          <w:sz w:val="24"/>
          <w:szCs w:val="24"/>
        </w:rPr>
        <w:t xml:space="preserve"> </w:t>
      </w:r>
      <w:r w:rsidRPr="000E3D99">
        <w:rPr>
          <w:rFonts w:ascii="Bookman Old Style" w:hAnsi="Bookman Old Style"/>
          <w:sz w:val="24"/>
          <w:szCs w:val="24"/>
        </w:rPr>
        <w:t>pada</w:t>
      </w:r>
      <w:r w:rsidRPr="000E3D99">
        <w:rPr>
          <w:rFonts w:ascii="Bookman Old Style" w:hAnsi="Bookman Old Style"/>
          <w:sz w:val="24"/>
          <w:szCs w:val="24"/>
          <w:lang w:val="id-ID"/>
        </w:rPr>
        <w:t>:</w:t>
      </w:r>
    </w:p>
    <w:p w14:paraId="1B23EFBA" w14:textId="3156F1B2" w:rsidR="003B7FE4" w:rsidRPr="000E3D99" w:rsidRDefault="003B7FE4" w:rsidP="000B2AAF">
      <w:pPr>
        <w:pStyle w:val="ListParagraph"/>
        <w:numPr>
          <w:ilvl w:val="0"/>
          <w:numId w:val="39"/>
        </w:numPr>
        <w:shd w:val="clear" w:color="auto" w:fill="FFFFFF" w:themeFill="background1"/>
        <w:spacing w:before="60" w:after="0" w:line="276" w:lineRule="auto"/>
        <w:ind w:left="2694" w:hanging="426"/>
        <w:contextualSpacing w:val="0"/>
        <w:jc w:val="both"/>
        <w:rPr>
          <w:rFonts w:ascii="Bookman Old Style" w:hAnsi="Bookman Old Style"/>
          <w:sz w:val="24"/>
          <w:szCs w:val="24"/>
        </w:rPr>
      </w:pPr>
      <w:r w:rsidRPr="000E3D99">
        <w:rPr>
          <w:rFonts w:ascii="Bookman Old Style" w:hAnsi="Bookman Old Style"/>
          <w:sz w:val="24"/>
          <w:szCs w:val="24"/>
        </w:rPr>
        <w:t>Sekretariat</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Daerah</w:t>
      </w:r>
      <w:r w:rsidR="00A954D0">
        <w:rPr>
          <w:rFonts w:ascii="Bookman Old Style" w:hAnsi="Bookman Old Style"/>
          <w:sz w:val="24"/>
          <w:szCs w:val="24"/>
        </w:rPr>
        <w:t xml:space="preserve"> </w:t>
      </w:r>
      <w:r w:rsidR="00202F0A" w:rsidRPr="000E3D99">
        <w:rPr>
          <w:rFonts w:ascii="Bookman Old Style" w:hAnsi="Bookman Old Style"/>
          <w:sz w:val="24"/>
          <w:szCs w:val="24"/>
          <w:lang w:val="id-ID"/>
        </w:rPr>
        <w:t>Rp7.249.223.200,00</w:t>
      </w:r>
      <w:r w:rsidR="00A954D0">
        <w:rPr>
          <w:rFonts w:ascii="Bookman Old Style" w:hAnsi="Bookman Old Style"/>
          <w:sz w:val="24"/>
          <w:szCs w:val="24"/>
          <w:lang w:val="id-ID"/>
        </w:rPr>
        <w:t xml:space="preserve"> </w:t>
      </w:r>
      <w:r w:rsidR="00202F0A" w:rsidRPr="000E3D99">
        <w:rPr>
          <w:rFonts w:ascii="Bookman Old Style" w:hAnsi="Bookman Old Style"/>
          <w:sz w:val="24"/>
          <w:szCs w:val="24"/>
          <w:lang w:val="id-ID"/>
        </w:rPr>
        <w:t>atau</w:t>
      </w:r>
      <w:r w:rsidR="00A954D0">
        <w:rPr>
          <w:rFonts w:ascii="Bookman Old Style" w:hAnsi="Bookman Old Style"/>
          <w:sz w:val="24"/>
          <w:szCs w:val="24"/>
          <w:lang w:val="id-ID"/>
        </w:rPr>
        <w:t xml:space="preserve"> </w:t>
      </w:r>
      <w:r w:rsidR="00202F0A" w:rsidRPr="000E3D99">
        <w:rPr>
          <w:rFonts w:ascii="Bookman Old Style" w:hAnsi="Bookman Old Style"/>
          <w:sz w:val="24"/>
          <w:szCs w:val="24"/>
          <w:lang w:val="id-ID"/>
        </w:rPr>
        <w:t>4,32%</w:t>
      </w:r>
      <w:r w:rsidR="00A954D0">
        <w:rPr>
          <w:rFonts w:ascii="Bookman Old Style" w:hAnsi="Bookman Old Style"/>
          <w:sz w:val="24"/>
          <w:szCs w:val="24"/>
          <w:shd w:val="clear" w:color="auto" w:fill="FFFFFF" w:themeFill="background1"/>
          <w:lang w:val="id-ID"/>
        </w:rPr>
        <w:t xml:space="preserve"> </w:t>
      </w:r>
      <w:r w:rsidRPr="000E3D99">
        <w:rPr>
          <w:rFonts w:ascii="Bookman Old Style" w:hAnsi="Bookman Old Style"/>
          <w:sz w:val="24"/>
          <w:szCs w:val="24"/>
          <w:shd w:val="clear" w:color="auto" w:fill="FFFFFF" w:themeFill="background1"/>
        </w:rPr>
        <w:t>dari</w:t>
      </w:r>
      <w:r w:rsidR="00A954D0">
        <w:rPr>
          <w:rFonts w:ascii="Bookman Old Style" w:hAnsi="Bookman Old Style"/>
          <w:sz w:val="24"/>
          <w:szCs w:val="24"/>
          <w:shd w:val="clear" w:color="auto" w:fill="FFFFFF" w:themeFill="background1"/>
          <w:lang w:val="id-ID"/>
        </w:rPr>
        <w:t xml:space="preserve"> </w:t>
      </w:r>
      <w:r w:rsidRPr="000E3D99">
        <w:rPr>
          <w:rFonts w:ascii="Bookman Old Style" w:hAnsi="Bookman Old Style"/>
          <w:sz w:val="24"/>
          <w:szCs w:val="24"/>
          <w:shd w:val="clear" w:color="auto" w:fill="FFFFFF" w:themeFill="background1"/>
        </w:rPr>
        <w:t>total</w:t>
      </w:r>
      <w:r w:rsidR="00A954D0">
        <w:rPr>
          <w:rFonts w:ascii="Bookman Old Style" w:hAnsi="Bookman Old Style"/>
          <w:sz w:val="24"/>
          <w:szCs w:val="24"/>
          <w:shd w:val="clear" w:color="auto" w:fill="FFFFFF" w:themeFill="background1"/>
        </w:rPr>
        <w:t xml:space="preserve"> </w:t>
      </w:r>
      <w:r w:rsidRPr="000E3D99">
        <w:rPr>
          <w:rFonts w:ascii="Bookman Old Style" w:hAnsi="Bookman Old Style"/>
          <w:sz w:val="24"/>
          <w:szCs w:val="24"/>
          <w:shd w:val="clear" w:color="auto" w:fill="FFFFFF" w:themeFill="background1"/>
          <w:lang w:val="id-ID"/>
        </w:rPr>
        <w:t>belanja</w:t>
      </w:r>
      <w:r w:rsidR="00A954D0">
        <w:rPr>
          <w:rFonts w:ascii="Bookman Old Style" w:hAnsi="Bookman Old Style"/>
          <w:sz w:val="24"/>
          <w:szCs w:val="24"/>
          <w:shd w:val="clear" w:color="auto" w:fill="FFFFFF" w:themeFill="background1"/>
          <w:lang w:val="id-ID"/>
        </w:rPr>
        <w:t xml:space="preserve"> </w:t>
      </w:r>
      <w:r w:rsidRPr="000E3D99">
        <w:rPr>
          <w:rFonts w:ascii="Bookman Old Style" w:hAnsi="Bookman Old Style"/>
          <w:sz w:val="24"/>
          <w:szCs w:val="24"/>
          <w:shd w:val="clear" w:color="auto" w:fill="FFFFFF" w:themeFill="background1"/>
          <w:lang w:val="id-ID"/>
        </w:rPr>
        <w:t>pada</w:t>
      </w:r>
      <w:r w:rsidR="00A954D0">
        <w:rPr>
          <w:rFonts w:ascii="Bookman Old Style" w:hAnsi="Bookman Old Style"/>
          <w:sz w:val="24"/>
          <w:szCs w:val="24"/>
          <w:shd w:val="clear" w:color="auto" w:fill="FFFFFF" w:themeFill="background1"/>
          <w:lang w:val="id-ID"/>
        </w:rPr>
        <w:t xml:space="preserve"> </w:t>
      </w:r>
      <w:r w:rsidRPr="000E3D99">
        <w:rPr>
          <w:rFonts w:ascii="Bookman Old Style" w:hAnsi="Bookman Old Style"/>
          <w:sz w:val="24"/>
          <w:szCs w:val="24"/>
          <w:shd w:val="clear" w:color="auto" w:fill="FFFFFF" w:themeFill="background1"/>
        </w:rPr>
        <w:t>Sekretariat</w:t>
      </w:r>
      <w:r w:rsidR="00A954D0">
        <w:rPr>
          <w:rFonts w:ascii="Bookman Old Style" w:hAnsi="Bookman Old Style"/>
          <w:sz w:val="24"/>
          <w:szCs w:val="24"/>
          <w:shd w:val="clear" w:color="auto" w:fill="FFFFFF" w:themeFill="background1"/>
        </w:rPr>
        <w:t xml:space="preserve"> </w:t>
      </w:r>
      <w:r w:rsidRPr="000E3D99">
        <w:rPr>
          <w:rFonts w:ascii="Bookman Old Style" w:hAnsi="Bookman Old Style"/>
          <w:sz w:val="24"/>
          <w:szCs w:val="24"/>
          <w:shd w:val="clear" w:color="auto" w:fill="FFFFFF" w:themeFill="background1"/>
          <w:lang w:val="id-ID"/>
        </w:rPr>
        <w:t>Daerah</w:t>
      </w:r>
      <w:r w:rsidR="00A954D0">
        <w:rPr>
          <w:rFonts w:ascii="Bookman Old Style" w:hAnsi="Bookman Old Style"/>
          <w:sz w:val="24"/>
          <w:szCs w:val="24"/>
          <w:shd w:val="clear" w:color="auto" w:fill="FFFFFF" w:themeFill="background1"/>
        </w:rPr>
        <w:t xml:space="preserve"> </w:t>
      </w:r>
      <w:r w:rsidR="00DB383A" w:rsidRPr="000E3D99">
        <w:rPr>
          <w:rFonts w:ascii="Bookman Old Style" w:hAnsi="Bookman Old Style"/>
          <w:sz w:val="24"/>
          <w:szCs w:val="24"/>
          <w:shd w:val="clear" w:color="auto" w:fill="FFFFFF" w:themeFill="background1"/>
          <w:lang w:val="id-ID"/>
        </w:rPr>
        <w:t>Rp167.791.674.914,00</w:t>
      </w:r>
      <w:r w:rsidRPr="000E3D99">
        <w:rPr>
          <w:rFonts w:ascii="Bookman Old Style" w:hAnsi="Bookman Old Style"/>
          <w:sz w:val="24"/>
          <w:szCs w:val="24"/>
          <w:lang w:val="id-ID"/>
        </w:rPr>
        <w:t>;</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dan</w:t>
      </w:r>
    </w:p>
    <w:p w14:paraId="4CB070D6" w14:textId="582B93D9" w:rsidR="003B7FE4" w:rsidRPr="000E3D99" w:rsidRDefault="003B7FE4" w:rsidP="000B2AAF">
      <w:pPr>
        <w:pStyle w:val="ListParagraph"/>
        <w:numPr>
          <w:ilvl w:val="0"/>
          <w:numId w:val="39"/>
        </w:numPr>
        <w:shd w:val="clear" w:color="auto" w:fill="FFFFFF" w:themeFill="background1"/>
        <w:spacing w:before="60" w:after="0" w:line="276" w:lineRule="auto"/>
        <w:ind w:left="2694" w:hanging="426"/>
        <w:contextualSpacing w:val="0"/>
        <w:jc w:val="both"/>
        <w:rPr>
          <w:rFonts w:ascii="Bookman Old Style" w:hAnsi="Bookman Old Style"/>
          <w:sz w:val="24"/>
          <w:szCs w:val="24"/>
        </w:rPr>
      </w:pPr>
      <w:r w:rsidRPr="000E3D99">
        <w:rPr>
          <w:rFonts w:ascii="Bookman Old Style" w:hAnsi="Bookman Old Style"/>
          <w:sz w:val="24"/>
          <w:szCs w:val="24"/>
        </w:rPr>
        <w:t>Sekretariat</w:t>
      </w:r>
      <w:r w:rsidR="00A954D0">
        <w:rPr>
          <w:rFonts w:ascii="Bookman Old Style" w:hAnsi="Bookman Old Style"/>
          <w:sz w:val="24"/>
          <w:szCs w:val="24"/>
          <w:lang w:val="id-ID"/>
        </w:rPr>
        <w:t xml:space="preserve"> </w:t>
      </w:r>
      <w:r w:rsidRPr="000E3D99">
        <w:rPr>
          <w:rFonts w:ascii="Bookman Old Style" w:hAnsi="Bookman Old Style"/>
          <w:sz w:val="24"/>
          <w:szCs w:val="24"/>
          <w:lang w:val="it-IT"/>
        </w:rPr>
        <w:t>DPRD</w:t>
      </w:r>
      <w:r w:rsidR="00A954D0">
        <w:rPr>
          <w:rFonts w:ascii="Bookman Old Style" w:hAnsi="Bookman Old Style"/>
          <w:sz w:val="24"/>
          <w:szCs w:val="24"/>
        </w:rPr>
        <w:t xml:space="preserve"> </w:t>
      </w:r>
      <w:r w:rsidR="00580D7F" w:rsidRPr="000E3D99">
        <w:rPr>
          <w:rFonts w:ascii="Bookman Old Style" w:hAnsi="Bookman Old Style"/>
          <w:sz w:val="24"/>
          <w:szCs w:val="24"/>
          <w:lang w:val="it-IT"/>
        </w:rPr>
        <w:t>Rp70.394.632.200,00</w:t>
      </w:r>
      <w:r w:rsidR="00A954D0">
        <w:rPr>
          <w:rFonts w:ascii="Bookman Old Style" w:hAnsi="Bookman Old Style"/>
          <w:sz w:val="24"/>
          <w:szCs w:val="24"/>
          <w:lang w:val="it-IT"/>
        </w:rPr>
        <w:t xml:space="preserve"> </w:t>
      </w:r>
      <w:r w:rsidR="00580D7F" w:rsidRPr="000E3D99">
        <w:rPr>
          <w:rFonts w:ascii="Bookman Old Style" w:hAnsi="Bookman Old Style"/>
          <w:sz w:val="24"/>
          <w:szCs w:val="24"/>
          <w:lang w:val="it-IT"/>
        </w:rPr>
        <w:t>atau</w:t>
      </w:r>
      <w:r w:rsidR="00A954D0">
        <w:rPr>
          <w:rFonts w:ascii="Bookman Old Style" w:hAnsi="Bookman Old Style"/>
          <w:sz w:val="24"/>
          <w:szCs w:val="24"/>
          <w:lang w:val="it-IT"/>
        </w:rPr>
        <w:t xml:space="preserve"> </w:t>
      </w:r>
      <w:r w:rsidR="00580D7F" w:rsidRPr="000E3D99">
        <w:rPr>
          <w:rFonts w:ascii="Bookman Old Style" w:hAnsi="Bookman Old Style"/>
          <w:sz w:val="24"/>
          <w:szCs w:val="24"/>
          <w:lang w:val="it-IT"/>
        </w:rPr>
        <w:t>42,09%</w:t>
      </w:r>
      <w:r w:rsidR="00A954D0">
        <w:rPr>
          <w:rFonts w:ascii="Bookman Old Style" w:hAnsi="Bookman Old Style"/>
          <w:sz w:val="24"/>
          <w:szCs w:val="24"/>
          <w:shd w:val="clear" w:color="auto" w:fill="FFFFFF" w:themeFill="background1"/>
          <w:lang w:val="id-ID"/>
        </w:rPr>
        <w:t xml:space="preserve"> </w:t>
      </w:r>
      <w:r w:rsidRPr="000E3D99">
        <w:rPr>
          <w:rFonts w:ascii="Bookman Old Style" w:hAnsi="Bookman Old Style"/>
          <w:sz w:val="24"/>
          <w:szCs w:val="24"/>
          <w:shd w:val="clear" w:color="auto" w:fill="FFFFFF" w:themeFill="background1"/>
        </w:rPr>
        <w:t>dari</w:t>
      </w:r>
      <w:r w:rsidR="00A954D0">
        <w:rPr>
          <w:rFonts w:ascii="Bookman Old Style" w:hAnsi="Bookman Old Style"/>
          <w:sz w:val="24"/>
          <w:szCs w:val="24"/>
          <w:shd w:val="clear" w:color="auto" w:fill="FFFFFF" w:themeFill="background1"/>
          <w:lang w:val="id-ID"/>
        </w:rPr>
        <w:t xml:space="preserve"> </w:t>
      </w:r>
      <w:r w:rsidRPr="000E3D99">
        <w:rPr>
          <w:rFonts w:ascii="Bookman Old Style" w:hAnsi="Bookman Old Style"/>
          <w:sz w:val="24"/>
          <w:szCs w:val="24"/>
          <w:shd w:val="clear" w:color="auto" w:fill="FFFFFF" w:themeFill="background1"/>
        </w:rPr>
        <w:t>total</w:t>
      </w:r>
      <w:r w:rsidR="00A954D0">
        <w:rPr>
          <w:rFonts w:ascii="Bookman Old Style" w:hAnsi="Bookman Old Style"/>
          <w:sz w:val="24"/>
          <w:szCs w:val="24"/>
          <w:shd w:val="clear" w:color="auto" w:fill="FFFFFF" w:themeFill="background1"/>
        </w:rPr>
        <w:t xml:space="preserve"> </w:t>
      </w:r>
      <w:r w:rsidRPr="000E3D99">
        <w:rPr>
          <w:rFonts w:ascii="Bookman Old Style" w:hAnsi="Bookman Old Style"/>
          <w:sz w:val="24"/>
          <w:szCs w:val="24"/>
          <w:shd w:val="clear" w:color="auto" w:fill="FFFFFF" w:themeFill="background1"/>
          <w:lang w:val="id-ID"/>
        </w:rPr>
        <w:t>belanja</w:t>
      </w:r>
      <w:r w:rsidR="00A954D0">
        <w:rPr>
          <w:rFonts w:ascii="Bookman Old Style" w:hAnsi="Bookman Old Style"/>
          <w:sz w:val="24"/>
          <w:szCs w:val="24"/>
          <w:shd w:val="clear" w:color="auto" w:fill="FFFFFF" w:themeFill="background1"/>
          <w:lang w:val="id-ID"/>
        </w:rPr>
        <w:t xml:space="preserve"> </w:t>
      </w:r>
      <w:r w:rsidRPr="000E3D99">
        <w:rPr>
          <w:rFonts w:ascii="Bookman Old Style" w:hAnsi="Bookman Old Style"/>
          <w:sz w:val="24"/>
          <w:szCs w:val="24"/>
          <w:shd w:val="clear" w:color="auto" w:fill="FFFFFF" w:themeFill="background1"/>
          <w:lang w:val="id-ID"/>
        </w:rPr>
        <w:t>pada</w:t>
      </w:r>
      <w:r w:rsidR="00A954D0">
        <w:rPr>
          <w:rFonts w:ascii="Bookman Old Style" w:hAnsi="Bookman Old Style"/>
          <w:sz w:val="24"/>
          <w:szCs w:val="24"/>
          <w:shd w:val="clear" w:color="auto" w:fill="FFFFFF" w:themeFill="background1"/>
          <w:lang w:val="id-ID"/>
        </w:rPr>
        <w:t xml:space="preserve"> </w:t>
      </w:r>
      <w:r w:rsidRPr="000E3D99">
        <w:rPr>
          <w:rFonts w:ascii="Bookman Old Style" w:hAnsi="Bookman Old Style"/>
          <w:sz w:val="24"/>
          <w:szCs w:val="24"/>
          <w:shd w:val="clear" w:color="auto" w:fill="FFFFFF" w:themeFill="background1"/>
        </w:rPr>
        <w:t>Sekretariat</w:t>
      </w:r>
      <w:r w:rsidR="00A954D0">
        <w:rPr>
          <w:rFonts w:ascii="Bookman Old Style" w:hAnsi="Bookman Old Style"/>
          <w:sz w:val="24"/>
          <w:szCs w:val="24"/>
          <w:shd w:val="clear" w:color="auto" w:fill="FFFFFF" w:themeFill="background1"/>
        </w:rPr>
        <w:t xml:space="preserve"> </w:t>
      </w:r>
      <w:r w:rsidRPr="000E3D99">
        <w:rPr>
          <w:rFonts w:ascii="Bookman Old Style" w:hAnsi="Bookman Old Style"/>
          <w:sz w:val="24"/>
          <w:szCs w:val="24"/>
          <w:shd w:val="clear" w:color="auto" w:fill="FFFFFF" w:themeFill="background1"/>
          <w:lang w:val="id-ID"/>
        </w:rPr>
        <w:t>DPRD</w:t>
      </w:r>
      <w:r w:rsidR="00A954D0">
        <w:rPr>
          <w:rFonts w:ascii="Bookman Old Style" w:hAnsi="Bookman Old Style"/>
          <w:sz w:val="24"/>
          <w:szCs w:val="24"/>
          <w:shd w:val="clear" w:color="auto" w:fill="FFFFFF" w:themeFill="background1"/>
        </w:rPr>
        <w:t xml:space="preserve"> </w:t>
      </w:r>
      <w:r w:rsidR="00641BD0" w:rsidRPr="000E3D99">
        <w:rPr>
          <w:rFonts w:ascii="Bookman Old Style" w:hAnsi="Bookman Old Style"/>
          <w:sz w:val="24"/>
          <w:szCs w:val="24"/>
          <w:shd w:val="clear" w:color="auto" w:fill="FFFFFF" w:themeFill="background1"/>
          <w:lang w:val="id-ID"/>
        </w:rPr>
        <w:t>Rp167.237.323.136,00</w:t>
      </w:r>
      <w:r w:rsidR="000B2AAF" w:rsidRPr="000B2AAF">
        <w:rPr>
          <w:rFonts w:ascii="Bookman Old Style" w:hAnsi="Bookman Old Style"/>
          <w:sz w:val="24"/>
          <w:szCs w:val="24"/>
          <w:lang w:val="sv-FI"/>
        </w:rPr>
        <w:t>.</w:t>
      </w:r>
    </w:p>
    <w:p w14:paraId="27E59969" w14:textId="4972C7BC" w:rsidR="003B7FE4" w:rsidRPr="003255BC" w:rsidRDefault="000B2AAF" w:rsidP="000B2AAF">
      <w:pPr>
        <w:spacing w:before="60" w:line="276" w:lineRule="auto"/>
        <w:ind w:left="2268"/>
        <w:jc w:val="both"/>
        <w:rPr>
          <w:rFonts w:ascii="Bookman Old Style" w:hAnsi="Bookman Old Style"/>
          <w:lang w:val="sv-FI"/>
        </w:rPr>
      </w:pPr>
      <w:r>
        <w:rPr>
          <w:rFonts w:ascii="Bookman Old Style" w:hAnsi="Bookman Old Style"/>
          <w:lang w:val="sv-FI"/>
        </w:rPr>
        <w:t>D</w:t>
      </w:r>
      <w:r w:rsidR="003B7FE4" w:rsidRPr="003255BC">
        <w:rPr>
          <w:rFonts w:ascii="Bookman Old Style" w:hAnsi="Bookman Old Style"/>
          <w:lang w:val="sv-FI"/>
        </w:rPr>
        <w:t>irasionalkan</w:t>
      </w:r>
      <w:r w:rsidR="00A954D0">
        <w:rPr>
          <w:rFonts w:ascii="Bookman Old Style" w:hAnsi="Bookman Old Style"/>
          <w:lang w:val="id-ID"/>
        </w:rPr>
        <w:t xml:space="preserve"> </w:t>
      </w:r>
      <w:r w:rsidR="003B7FE4" w:rsidRPr="003255BC">
        <w:rPr>
          <w:rFonts w:ascii="Bookman Old Style" w:hAnsi="Bookman Old Style"/>
          <w:lang w:val="sv-FI"/>
        </w:rPr>
        <w:t>dengan</w:t>
      </w:r>
      <w:r w:rsidR="00A954D0" w:rsidRPr="003255BC">
        <w:rPr>
          <w:rFonts w:ascii="Bookman Old Style" w:hAnsi="Bookman Old Style"/>
          <w:lang w:val="sv-FI"/>
        </w:rPr>
        <w:t xml:space="preserve"> </w:t>
      </w:r>
      <w:r w:rsidR="003B7FE4" w:rsidRPr="003255BC">
        <w:rPr>
          <w:rFonts w:ascii="Bookman Old Style" w:hAnsi="Bookman Old Style"/>
          <w:lang w:val="sv-FI"/>
        </w:rPr>
        <w:t>memperhatikan</w:t>
      </w:r>
      <w:r w:rsidR="00A954D0" w:rsidRPr="003255BC">
        <w:rPr>
          <w:rFonts w:ascii="Bookman Old Style" w:hAnsi="Bookman Old Style"/>
          <w:lang w:val="sv-FI"/>
        </w:rPr>
        <w:t xml:space="preserve"> </w:t>
      </w:r>
      <w:r w:rsidR="003B7FE4" w:rsidRPr="003255BC">
        <w:rPr>
          <w:rFonts w:ascii="Bookman Old Style" w:hAnsi="Bookman Old Style"/>
          <w:lang w:val="sv-FI"/>
        </w:rPr>
        <w:t>aspek</w:t>
      </w:r>
      <w:r w:rsidR="00A954D0" w:rsidRPr="003255BC">
        <w:rPr>
          <w:rFonts w:ascii="Bookman Old Style" w:hAnsi="Bookman Old Style"/>
          <w:lang w:val="sv-FI"/>
        </w:rPr>
        <w:t xml:space="preserve"> </w:t>
      </w:r>
      <w:r w:rsidR="003B7FE4" w:rsidRPr="003255BC">
        <w:rPr>
          <w:rFonts w:ascii="Bookman Old Style" w:hAnsi="Bookman Old Style"/>
          <w:lang w:val="sv-FI"/>
        </w:rPr>
        <w:t>efektivitas,</w:t>
      </w:r>
      <w:r w:rsidR="00A954D0" w:rsidRPr="003255BC">
        <w:rPr>
          <w:rFonts w:ascii="Bookman Old Style" w:hAnsi="Bookman Old Style"/>
          <w:lang w:val="sv-FI"/>
        </w:rPr>
        <w:t xml:space="preserve"> </w:t>
      </w:r>
      <w:r w:rsidR="003B7FE4" w:rsidRPr="003255BC">
        <w:rPr>
          <w:rFonts w:ascii="Bookman Old Style" w:hAnsi="Bookman Old Style"/>
          <w:lang w:val="sv-FI"/>
        </w:rPr>
        <w:t>efisiensi,</w:t>
      </w:r>
      <w:r w:rsidR="00A954D0" w:rsidRPr="003255BC">
        <w:rPr>
          <w:rFonts w:ascii="Bookman Old Style" w:hAnsi="Bookman Old Style"/>
          <w:lang w:val="sv-FI"/>
        </w:rPr>
        <w:t xml:space="preserve"> </w:t>
      </w:r>
      <w:r w:rsidR="003B7FE4" w:rsidRPr="003255BC">
        <w:rPr>
          <w:rFonts w:ascii="Bookman Old Style" w:hAnsi="Bookman Old Style"/>
          <w:lang w:val="sv-FI"/>
        </w:rPr>
        <w:t>kepatutan</w:t>
      </w:r>
      <w:r w:rsidR="00A954D0" w:rsidRPr="003255BC">
        <w:rPr>
          <w:rFonts w:ascii="Bookman Old Style" w:hAnsi="Bookman Old Style"/>
          <w:lang w:val="sv-FI"/>
        </w:rPr>
        <w:t xml:space="preserve"> </w:t>
      </w:r>
      <w:r w:rsidR="003B7FE4" w:rsidRPr="003255BC">
        <w:rPr>
          <w:rFonts w:ascii="Bookman Old Style" w:hAnsi="Bookman Old Style"/>
          <w:lang w:val="sv-FI"/>
        </w:rPr>
        <w:t>dan</w:t>
      </w:r>
      <w:r w:rsidR="00A954D0" w:rsidRPr="003255BC">
        <w:rPr>
          <w:rFonts w:ascii="Bookman Old Style" w:hAnsi="Bookman Old Style"/>
          <w:lang w:val="sv-FI"/>
        </w:rPr>
        <w:t xml:space="preserve"> </w:t>
      </w:r>
      <w:r w:rsidR="003B7FE4" w:rsidRPr="003255BC">
        <w:rPr>
          <w:rFonts w:ascii="Bookman Old Style" w:hAnsi="Bookman Old Style"/>
          <w:lang w:val="sv-FI"/>
        </w:rPr>
        <w:t>kewajaran</w:t>
      </w:r>
      <w:r w:rsidR="00A954D0">
        <w:rPr>
          <w:rFonts w:ascii="Bookman Old Style" w:hAnsi="Bookman Old Style"/>
          <w:lang w:val="id-ID"/>
        </w:rPr>
        <w:t xml:space="preserve"> </w:t>
      </w:r>
      <w:r w:rsidR="003B7FE4" w:rsidRPr="003255BC">
        <w:rPr>
          <w:rFonts w:ascii="Bookman Old Style" w:hAnsi="Bookman Old Style"/>
          <w:lang w:val="sv-FI"/>
        </w:rPr>
        <w:t>serta</w:t>
      </w:r>
      <w:r w:rsidR="00A954D0" w:rsidRPr="003255BC">
        <w:rPr>
          <w:rFonts w:ascii="Bookman Old Style" w:hAnsi="Bookman Old Style"/>
          <w:lang w:val="sv-FI"/>
        </w:rPr>
        <w:t xml:space="preserve"> </w:t>
      </w:r>
      <w:r w:rsidR="003B7FE4" w:rsidRPr="003255BC">
        <w:rPr>
          <w:rFonts w:ascii="Bookman Old Style" w:hAnsi="Bookman Old Style"/>
          <w:lang w:val="sv-FI"/>
        </w:rPr>
        <w:t>penghematan</w:t>
      </w:r>
      <w:r w:rsidR="00A954D0" w:rsidRPr="003255BC">
        <w:rPr>
          <w:rFonts w:ascii="Bookman Old Style" w:hAnsi="Bookman Old Style"/>
          <w:lang w:val="sv-FI"/>
        </w:rPr>
        <w:t xml:space="preserve"> </w:t>
      </w:r>
      <w:r w:rsidR="003B7FE4" w:rsidRPr="003255BC">
        <w:rPr>
          <w:rFonts w:ascii="Bookman Old Style" w:hAnsi="Bookman Old Style"/>
          <w:lang w:val="sv-FI"/>
        </w:rPr>
        <w:t>penggunaan</w:t>
      </w:r>
      <w:r w:rsidR="00A954D0" w:rsidRPr="003255BC">
        <w:rPr>
          <w:rFonts w:ascii="Bookman Old Style" w:hAnsi="Bookman Old Style"/>
          <w:lang w:val="sv-FI"/>
        </w:rPr>
        <w:t xml:space="preserve"> </w:t>
      </w:r>
      <w:r w:rsidR="003B7FE4" w:rsidRPr="003255BC">
        <w:rPr>
          <w:rFonts w:ascii="Bookman Old Style" w:hAnsi="Bookman Old Style"/>
          <w:lang w:val="sv-FI"/>
        </w:rPr>
        <w:t>anggaran</w:t>
      </w:r>
      <w:r w:rsidR="00A954D0" w:rsidRPr="003255BC">
        <w:rPr>
          <w:rFonts w:ascii="Bookman Old Style" w:hAnsi="Bookman Old Style"/>
          <w:lang w:val="sv-FI"/>
        </w:rPr>
        <w:t xml:space="preserve"> </w:t>
      </w:r>
      <w:r w:rsidR="003B7FE4" w:rsidRPr="003255BC">
        <w:rPr>
          <w:rFonts w:ascii="Bookman Old Style" w:hAnsi="Bookman Old Style"/>
          <w:lang w:val="sv-FI"/>
        </w:rPr>
        <w:t>dan</w:t>
      </w:r>
      <w:r w:rsidR="00A954D0" w:rsidRPr="003255BC">
        <w:rPr>
          <w:rFonts w:ascii="Bookman Old Style" w:hAnsi="Bookman Old Style"/>
          <w:lang w:val="sv-FI"/>
        </w:rPr>
        <w:t xml:space="preserve"> </w:t>
      </w:r>
      <w:r w:rsidR="003B7FE4" w:rsidRPr="003255BC">
        <w:rPr>
          <w:rFonts w:ascii="Bookman Old Style" w:hAnsi="Bookman Old Style"/>
          <w:lang w:val="sv-FI"/>
        </w:rPr>
        <w:t>disesuaikan</w:t>
      </w:r>
      <w:r w:rsidR="00A954D0" w:rsidRPr="003255BC">
        <w:rPr>
          <w:rFonts w:ascii="Bookman Old Style" w:hAnsi="Bookman Old Style"/>
          <w:lang w:val="sv-FI"/>
        </w:rPr>
        <w:t xml:space="preserve"> </w:t>
      </w:r>
      <w:r w:rsidR="003B7FE4" w:rsidRPr="003255BC">
        <w:rPr>
          <w:rFonts w:ascii="Bookman Old Style" w:hAnsi="Bookman Old Style"/>
          <w:lang w:val="sv-FI"/>
        </w:rPr>
        <w:t>dengan</w:t>
      </w:r>
      <w:r w:rsidR="00A954D0" w:rsidRPr="003255BC">
        <w:rPr>
          <w:rFonts w:ascii="Bookman Old Style" w:hAnsi="Bookman Old Style"/>
          <w:lang w:val="sv-FI"/>
        </w:rPr>
        <w:t xml:space="preserve"> </w:t>
      </w:r>
      <w:r w:rsidR="003B7FE4" w:rsidRPr="003255BC">
        <w:rPr>
          <w:rFonts w:ascii="Bookman Old Style" w:hAnsi="Bookman Old Style"/>
          <w:lang w:val="sv-FI"/>
        </w:rPr>
        <w:t>kebutuhan</w:t>
      </w:r>
      <w:r w:rsidR="00A954D0">
        <w:rPr>
          <w:rFonts w:ascii="Bookman Old Style" w:hAnsi="Bookman Old Style"/>
          <w:lang w:val="id-ID"/>
        </w:rPr>
        <w:t xml:space="preserve"> </w:t>
      </w:r>
      <w:r w:rsidR="003B7FE4" w:rsidRPr="003255BC">
        <w:rPr>
          <w:rFonts w:ascii="Bookman Old Style" w:hAnsi="Bookman Old Style"/>
          <w:lang w:val="sv-FI"/>
        </w:rPr>
        <w:t>nyata</w:t>
      </w:r>
      <w:r w:rsidR="00A954D0" w:rsidRPr="003255BC">
        <w:rPr>
          <w:rFonts w:ascii="Bookman Old Style" w:hAnsi="Bookman Old Style"/>
          <w:lang w:val="sv-FI"/>
        </w:rPr>
        <w:t xml:space="preserve"> </w:t>
      </w:r>
      <w:r w:rsidR="003B7FE4" w:rsidRPr="003255BC">
        <w:rPr>
          <w:rFonts w:ascii="Bookman Old Style" w:hAnsi="Bookman Old Style"/>
          <w:lang w:val="sv-FI"/>
        </w:rPr>
        <w:t>pada</w:t>
      </w:r>
      <w:r w:rsidR="00A954D0" w:rsidRPr="003255BC">
        <w:rPr>
          <w:rFonts w:ascii="Bookman Old Style" w:hAnsi="Bookman Old Style"/>
          <w:lang w:val="sv-FI"/>
        </w:rPr>
        <w:t xml:space="preserve"> </w:t>
      </w:r>
      <w:r w:rsidR="003B7FE4" w:rsidRPr="003255BC">
        <w:rPr>
          <w:rFonts w:ascii="Bookman Old Style" w:hAnsi="Bookman Old Style"/>
          <w:lang w:val="sv-FI"/>
        </w:rPr>
        <w:t>masing-masing</w:t>
      </w:r>
      <w:r w:rsidR="00A954D0" w:rsidRPr="003255BC">
        <w:rPr>
          <w:rFonts w:ascii="Bookman Old Style" w:hAnsi="Bookman Old Style"/>
          <w:lang w:val="sv-FI"/>
        </w:rPr>
        <w:t xml:space="preserve"> </w:t>
      </w:r>
      <w:r w:rsidR="003B7FE4" w:rsidRPr="003255BC">
        <w:rPr>
          <w:rFonts w:ascii="Bookman Old Style" w:hAnsi="Bookman Old Style"/>
          <w:lang w:val="sv-FI"/>
        </w:rPr>
        <w:t>kegiatan</w:t>
      </w:r>
      <w:r w:rsidR="00A954D0" w:rsidRPr="003255BC">
        <w:rPr>
          <w:rFonts w:ascii="Bookman Old Style" w:hAnsi="Bookman Old Style"/>
          <w:lang w:val="sv-FI"/>
        </w:rPr>
        <w:t xml:space="preserve"> </w:t>
      </w:r>
      <w:r w:rsidR="003B7FE4" w:rsidRPr="003255BC">
        <w:rPr>
          <w:rFonts w:ascii="Bookman Old Style" w:hAnsi="Bookman Old Style"/>
          <w:lang w:val="sv-FI"/>
        </w:rPr>
        <w:t>sebagaimana</w:t>
      </w:r>
      <w:r w:rsidR="00A954D0" w:rsidRPr="003255BC">
        <w:rPr>
          <w:rFonts w:ascii="Bookman Old Style" w:hAnsi="Bookman Old Style"/>
          <w:lang w:val="sv-FI"/>
        </w:rPr>
        <w:t xml:space="preserve"> </w:t>
      </w:r>
      <w:r w:rsidR="003B7FE4" w:rsidRPr="003255BC">
        <w:rPr>
          <w:rFonts w:ascii="Bookman Old Style" w:hAnsi="Bookman Old Style"/>
          <w:lang w:val="sv-FI"/>
        </w:rPr>
        <w:t>maksud</w:t>
      </w:r>
      <w:r w:rsidR="00A954D0" w:rsidRPr="003255BC">
        <w:rPr>
          <w:rFonts w:ascii="Bookman Old Style" w:hAnsi="Bookman Old Style"/>
          <w:lang w:val="sv-FI"/>
        </w:rPr>
        <w:t xml:space="preserve"> </w:t>
      </w:r>
      <w:r w:rsidR="003B7FE4" w:rsidRPr="003255BC">
        <w:rPr>
          <w:rFonts w:ascii="Bookman Old Style" w:hAnsi="Bookman Old Style"/>
          <w:lang w:val="sv-FI"/>
        </w:rPr>
        <w:t>Pasal</w:t>
      </w:r>
      <w:r w:rsidR="00A954D0" w:rsidRPr="003255BC">
        <w:rPr>
          <w:rFonts w:ascii="Bookman Old Style" w:hAnsi="Bookman Old Style"/>
          <w:lang w:val="sv-FI"/>
        </w:rPr>
        <w:t xml:space="preserve"> </w:t>
      </w:r>
      <w:r w:rsidR="003B7FE4" w:rsidRPr="003255BC">
        <w:rPr>
          <w:rFonts w:ascii="Bookman Old Style" w:hAnsi="Bookman Old Style"/>
          <w:lang w:val="sv-FI"/>
        </w:rPr>
        <w:t>3</w:t>
      </w:r>
      <w:r w:rsidR="00A954D0">
        <w:rPr>
          <w:rFonts w:ascii="Bookman Old Style" w:hAnsi="Bookman Old Style"/>
          <w:lang w:val="id-ID"/>
        </w:rPr>
        <w:t xml:space="preserve"> </w:t>
      </w:r>
      <w:r w:rsidR="003B7FE4" w:rsidRPr="003255BC">
        <w:rPr>
          <w:rFonts w:ascii="Bookman Old Style" w:hAnsi="Bookman Old Style"/>
          <w:lang w:val="sv-FI"/>
        </w:rPr>
        <w:t>ayat</w:t>
      </w:r>
      <w:r w:rsidR="00A954D0" w:rsidRPr="003255BC">
        <w:rPr>
          <w:rFonts w:ascii="Bookman Old Style" w:hAnsi="Bookman Old Style"/>
          <w:lang w:val="sv-FI"/>
        </w:rPr>
        <w:t xml:space="preserve"> </w:t>
      </w:r>
      <w:r w:rsidR="003B7FE4" w:rsidRPr="003255BC">
        <w:rPr>
          <w:rFonts w:ascii="Bookman Old Style" w:hAnsi="Bookman Old Style"/>
          <w:lang w:val="sv-FI"/>
        </w:rPr>
        <w:t>(1)</w:t>
      </w:r>
      <w:r w:rsidR="00A954D0" w:rsidRPr="003255BC">
        <w:rPr>
          <w:rFonts w:ascii="Bookman Old Style" w:hAnsi="Bookman Old Style"/>
          <w:lang w:val="sv-FI"/>
        </w:rPr>
        <w:t xml:space="preserve"> </w:t>
      </w:r>
      <w:r w:rsidR="003B7FE4" w:rsidRPr="003255BC">
        <w:rPr>
          <w:rFonts w:ascii="Bookman Old Style" w:hAnsi="Bookman Old Style"/>
          <w:lang w:val="sv-FI"/>
        </w:rPr>
        <w:t>Peraturan</w:t>
      </w:r>
      <w:r w:rsidR="00A954D0" w:rsidRPr="003255BC">
        <w:rPr>
          <w:rFonts w:ascii="Bookman Old Style" w:hAnsi="Bookman Old Style"/>
          <w:lang w:val="sv-FI"/>
        </w:rPr>
        <w:t xml:space="preserve"> </w:t>
      </w:r>
      <w:r w:rsidR="003B7FE4" w:rsidRPr="003255BC">
        <w:rPr>
          <w:rFonts w:ascii="Bookman Old Style" w:hAnsi="Bookman Old Style"/>
          <w:lang w:val="sv-FI"/>
        </w:rPr>
        <w:t>Pemerintah</w:t>
      </w:r>
      <w:r w:rsidR="00A954D0" w:rsidRPr="003255BC">
        <w:rPr>
          <w:rFonts w:ascii="Bookman Old Style" w:hAnsi="Bookman Old Style"/>
          <w:lang w:val="sv-FI"/>
        </w:rPr>
        <w:t xml:space="preserve"> </w:t>
      </w:r>
      <w:r w:rsidR="003B7FE4" w:rsidRPr="003255BC">
        <w:rPr>
          <w:rFonts w:ascii="Bookman Old Style" w:hAnsi="Bookman Old Style"/>
          <w:lang w:val="sv-FI"/>
        </w:rPr>
        <w:t>Nomor</w:t>
      </w:r>
      <w:r w:rsidR="00A954D0" w:rsidRPr="003255BC">
        <w:rPr>
          <w:rFonts w:ascii="Bookman Old Style" w:hAnsi="Bookman Old Style"/>
          <w:lang w:val="sv-FI"/>
        </w:rPr>
        <w:t xml:space="preserve"> </w:t>
      </w:r>
      <w:r w:rsidR="003B7FE4" w:rsidRPr="003255BC">
        <w:rPr>
          <w:rFonts w:ascii="Bookman Old Style" w:hAnsi="Bookman Old Style"/>
          <w:lang w:val="sv-FI"/>
        </w:rPr>
        <w:t>12</w:t>
      </w:r>
      <w:r w:rsidR="00A954D0" w:rsidRPr="003255BC">
        <w:rPr>
          <w:rFonts w:ascii="Bookman Old Style" w:hAnsi="Bookman Old Style"/>
          <w:lang w:val="sv-FI"/>
        </w:rPr>
        <w:t xml:space="preserve"> </w:t>
      </w:r>
      <w:r w:rsidR="003B7FE4" w:rsidRPr="003255BC">
        <w:rPr>
          <w:rFonts w:ascii="Bookman Old Style" w:hAnsi="Bookman Old Style"/>
          <w:lang w:val="sv-FI"/>
        </w:rPr>
        <w:t>Tahun</w:t>
      </w:r>
      <w:r w:rsidR="00A954D0" w:rsidRPr="003255BC">
        <w:rPr>
          <w:rFonts w:ascii="Bookman Old Style" w:hAnsi="Bookman Old Style"/>
          <w:lang w:val="sv-FI"/>
        </w:rPr>
        <w:t xml:space="preserve"> </w:t>
      </w:r>
      <w:r w:rsidR="003B7FE4" w:rsidRPr="003255BC">
        <w:rPr>
          <w:rFonts w:ascii="Bookman Old Style" w:hAnsi="Bookman Old Style"/>
          <w:lang w:val="sv-FI"/>
        </w:rPr>
        <w:t>2019.</w:t>
      </w:r>
    </w:p>
    <w:p w14:paraId="2E3B188D" w14:textId="4DFAC417" w:rsidR="00BD4045" w:rsidRDefault="003B7FE4" w:rsidP="000B2AAF">
      <w:pPr>
        <w:pStyle w:val="ListParagraph"/>
        <w:spacing w:before="60" w:after="0" w:line="276" w:lineRule="auto"/>
        <w:ind w:left="2268"/>
        <w:contextualSpacing w:val="0"/>
        <w:jc w:val="both"/>
        <w:rPr>
          <w:rFonts w:ascii="Bookman Old Style" w:hAnsi="Bookman Old Style" w:cs="Arial"/>
          <w:sz w:val="24"/>
          <w:szCs w:val="24"/>
          <w:lang w:val="id-ID"/>
        </w:rPr>
      </w:pPr>
      <w:r w:rsidRPr="000E3D99">
        <w:rPr>
          <w:rFonts w:ascii="Bookman Old Style" w:hAnsi="Bookman Old Style"/>
          <w:sz w:val="24"/>
          <w:szCs w:val="24"/>
        </w:rPr>
        <w:t>Selanjutnya,</w:t>
      </w:r>
      <w:r w:rsidR="00A954D0">
        <w:rPr>
          <w:rFonts w:ascii="Bookman Old Style" w:hAnsi="Bookman Old Style"/>
          <w:sz w:val="24"/>
          <w:szCs w:val="24"/>
        </w:rPr>
        <w:t xml:space="preserve"> </w:t>
      </w:r>
      <w:r w:rsidRPr="000E3D99">
        <w:rPr>
          <w:rFonts w:ascii="Bookman Old Style" w:hAnsi="Bookman Old Style"/>
          <w:sz w:val="24"/>
          <w:szCs w:val="24"/>
        </w:rPr>
        <w:t>hasil</w:t>
      </w:r>
      <w:r w:rsidR="00A954D0">
        <w:rPr>
          <w:rFonts w:ascii="Bookman Old Style" w:hAnsi="Bookman Old Style"/>
          <w:sz w:val="24"/>
          <w:szCs w:val="24"/>
        </w:rPr>
        <w:t xml:space="preserve"> </w:t>
      </w:r>
      <w:r w:rsidRPr="000E3D99">
        <w:rPr>
          <w:rFonts w:ascii="Bookman Old Style" w:hAnsi="Bookman Old Style"/>
          <w:sz w:val="24"/>
          <w:szCs w:val="24"/>
        </w:rPr>
        <w:t>rasionalisasi</w:t>
      </w:r>
      <w:r w:rsidR="00A954D0">
        <w:rPr>
          <w:rFonts w:ascii="Bookman Old Style" w:hAnsi="Bookman Old Style"/>
          <w:sz w:val="24"/>
          <w:szCs w:val="24"/>
        </w:rPr>
        <w:t xml:space="preserve"> </w:t>
      </w:r>
      <w:r w:rsidRPr="003255BC">
        <w:rPr>
          <w:rFonts w:ascii="Bookman Old Style" w:hAnsi="Bookman Old Style"/>
          <w:sz w:val="24"/>
          <w:szCs w:val="24"/>
          <w:lang w:val="sv-FI"/>
        </w:rPr>
        <w:t>Belanja</w:t>
      </w:r>
      <w:r w:rsidR="00A954D0">
        <w:rPr>
          <w:rFonts w:ascii="Bookman Old Style" w:hAnsi="Bookman Old Style"/>
          <w:sz w:val="24"/>
          <w:szCs w:val="24"/>
        </w:rPr>
        <w:t xml:space="preserve"> </w:t>
      </w:r>
      <w:r w:rsidRPr="000E3D99">
        <w:rPr>
          <w:rFonts w:ascii="Bookman Old Style" w:hAnsi="Bookman Old Style"/>
          <w:sz w:val="24"/>
          <w:szCs w:val="24"/>
        </w:rPr>
        <w:t>Perjalanan</w:t>
      </w:r>
      <w:r w:rsidR="00A954D0">
        <w:rPr>
          <w:rFonts w:ascii="Bookman Old Style" w:hAnsi="Bookman Old Style"/>
          <w:sz w:val="24"/>
          <w:szCs w:val="24"/>
        </w:rPr>
        <w:t xml:space="preserve"> </w:t>
      </w:r>
      <w:r w:rsidRPr="000E3D99">
        <w:rPr>
          <w:rFonts w:ascii="Bookman Old Style" w:hAnsi="Bookman Old Style"/>
          <w:sz w:val="24"/>
          <w:szCs w:val="24"/>
        </w:rPr>
        <w:t>Dinas</w:t>
      </w:r>
      <w:r w:rsidR="00A954D0">
        <w:rPr>
          <w:rFonts w:ascii="Bookman Old Style" w:hAnsi="Bookman Old Style"/>
          <w:sz w:val="24"/>
          <w:szCs w:val="24"/>
        </w:rPr>
        <w:t xml:space="preserve"> </w:t>
      </w:r>
      <w:r w:rsidRPr="000E3D99">
        <w:rPr>
          <w:rFonts w:ascii="Bookman Old Style" w:hAnsi="Bookman Old Style"/>
          <w:sz w:val="24"/>
          <w:szCs w:val="24"/>
        </w:rPr>
        <w:t>dimaksud</w:t>
      </w:r>
      <w:r w:rsidR="00A954D0">
        <w:rPr>
          <w:rFonts w:ascii="Bookman Old Style" w:hAnsi="Bookman Old Style"/>
          <w:sz w:val="24"/>
          <w:szCs w:val="24"/>
        </w:rPr>
        <w:t xml:space="preserve"> </w:t>
      </w:r>
      <w:r w:rsidRPr="000E3D99">
        <w:rPr>
          <w:rFonts w:ascii="Bookman Old Style" w:hAnsi="Bookman Old Style"/>
          <w:sz w:val="24"/>
          <w:szCs w:val="24"/>
        </w:rPr>
        <w:t>dialihkan</w:t>
      </w:r>
      <w:r w:rsidR="00A954D0">
        <w:rPr>
          <w:rFonts w:ascii="Bookman Old Style" w:hAnsi="Bookman Old Style"/>
          <w:sz w:val="24"/>
          <w:szCs w:val="24"/>
        </w:rPr>
        <w:t xml:space="preserve"> </w:t>
      </w:r>
      <w:r w:rsidRPr="000E3D99">
        <w:rPr>
          <w:rFonts w:ascii="Bookman Old Style" w:hAnsi="Bookman Old Style"/>
          <w:sz w:val="24"/>
          <w:szCs w:val="24"/>
        </w:rPr>
        <w:t>untuk</w:t>
      </w:r>
      <w:r w:rsidR="00A954D0">
        <w:rPr>
          <w:rFonts w:ascii="Bookman Old Style" w:hAnsi="Bookman Old Style"/>
          <w:sz w:val="24"/>
          <w:szCs w:val="24"/>
        </w:rPr>
        <w:t xml:space="preserve"> </w:t>
      </w:r>
      <w:r w:rsidRPr="000E3D99">
        <w:rPr>
          <w:rFonts w:ascii="Bookman Old Style" w:hAnsi="Bookman Old Style"/>
          <w:sz w:val="24"/>
          <w:szCs w:val="24"/>
          <w:lang w:val="id-ID"/>
        </w:rPr>
        <w:t>mendanai</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program,</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kegiatan</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dan</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sub</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kegiatan</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prioritas</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sebagaimana</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tercantum</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dalam</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RKPD,</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KUA</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dan</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PPAS</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yang</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menunjang</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pencapaian</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17</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(tujuh</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belas)</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Program</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Prioritas</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dan</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8</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(delapan)</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misi</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atau</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Asta</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Cita,</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Prioritas</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Pembangunan</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Nasional</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Tahun</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2025</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sesuai</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dengan</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kewenangan</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Pemerintah</w:t>
      </w:r>
      <w:r w:rsidR="00A954D0">
        <w:rPr>
          <w:rFonts w:ascii="Bookman Old Style" w:hAnsi="Bookman Old Style"/>
          <w:sz w:val="24"/>
          <w:szCs w:val="24"/>
          <w:lang w:val="id-ID"/>
        </w:rPr>
        <w:t xml:space="preserve"> </w:t>
      </w:r>
      <w:r w:rsidRPr="000E3D99">
        <w:rPr>
          <w:rFonts w:ascii="Bookman Old Style" w:hAnsi="Bookman Old Style" w:cs="Arial"/>
          <w:sz w:val="24"/>
          <w:szCs w:val="24"/>
          <w:lang w:val="de-DE"/>
        </w:rPr>
        <w:t>Daerah</w:t>
      </w:r>
      <w:r w:rsidR="00A954D0">
        <w:rPr>
          <w:rFonts w:ascii="Bookman Old Style" w:hAnsi="Bookman Old Style" w:cs="Arial"/>
          <w:sz w:val="24"/>
          <w:szCs w:val="24"/>
          <w:lang w:val="de-DE"/>
        </w:rPr>
        <w:t xml:space="preserve"> </w:t>
      </w:r>
      <w:r w:rsidR="00EC6F08" w:rsidRPr="000E3D99">
        <w:rPr>
          <w:rFonts w:ascii="Bookman Old Style" w:hAnsi="Bookman Old Style" w:cs="Arial"/>
          <w:sz w:val="24"/>
          <w:szCs w:val="24"/>
          <w:lang w:val="id-ID"/>
        </w:rPr>
        <w:t>Kota</w:t>
      </w:r>
      <w:r w:rsidR="00A954D0">
        <w:rPr>
          <w:rFonts w:ascii="Bookman Old Style" w:hAnsi="Bookman Old Style" w:cs="Arial"/>
          <w:sz w:val="24"/>
          <w:szCs w:val="24"/>
          <w:lang w:val="id-ID"/>
        </w:rPr>
        <w:t xml:space="preserve"> </w:t>
      </w:r>
      <w:r w:rsidR="00770F22" w:rsidRPr="000E3D99">
        <w:rPr>
          <w:rFonts w:ascii="Bookman Old Style" w:hAnsi="Bookman Old Style" w:cs="Arial"/>
          <w:sz w:val="24"/>
          <w:szCs w:val="24"/>
          <w:lang w:val="id-ID"/>
        </w:rPr>
        <w:t>Tangerang</w:t>
      </w:r>
      <w:r w:rsidRPr="000E3D99">
        <w:rPr>
          <w:rFonts w:ascii="Bookman Old Style" w:hAnsi="Bookman Old Style"/>
          <w:sz w:val="24"/>
          <w:szCs w:val="24"/>
          <w:lang w:val="id-ID"/>
        </w:rPr>
        <w:t>,</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penanganan</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inflasi,</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pemenuhan</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alokasi</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anggaran</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Belanja</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Infrastruktur</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Pelayanan</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Publik</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paling</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rendah</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40%</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(empat</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puluh</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persen)</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dari</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total</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belanja</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daerah</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di</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luar</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Belanja</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Bagi</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Hasil</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dan/atau</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Transfer</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Kepada</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Daerah</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dan/atau</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Desa,</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alokasi</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anggaran</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Penguatan</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Pembinaan</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dan</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Pengawasan</w:t>
      </w:r>
      <w:r w:rsidR="00A954D0">
        <w:rPr>
          <w:rFonts w:ascii="Bookman Old Style" w:hAnsi="Bookman Old Style" w:cs="Arial"/>
          <w:sz w:val="24"/>
          <w:szCs w:val="24"/>
          <w:shd w:val="clear" w:color="auto" w:fill="FFFFFF"/>
          <w:lang w:val="de-DE"/>
        </w:rPr>
        <w:t xml:space="preserve"> </w:t>
      </w:r>
      <w:r w:rsidRPr="000E3D99">
        <w:rPr>
          <w:rFonts w:ascii="Bookman Old Style" w:hAnsi="Bookman Old Style" w:cs="Arial"/>
          <w:sz w:val="24"/>
          <w:szCs w:val="24"/>
          <w:shd w:val="clear" w:color="auto" w:fill="FFFFFF"/>
          <w:lang w:val="de-DE"/>
        </w:rPr>
        <w:t>pada</w:t>
      </w:r>
      <w:r w:rsidR="00A954D0">
        <w:rPr>
          <w:rFonts w:ascii="Bookman Old Style" w:hAnsi="Bookman Old Style" w:cs="Arial"/>
          <w:sz w:val="24"/>
          <w:szCs w:val="24"/>
          <w:shd w:val="clear" w:color="auto" w:fill="FFFFFF"/>
          <w:lang w:val="de-DE"/>
        </w:rPr>
        <w:t xml:space="preserve"> </w:t>
      </w:r>
      <w:r w:rsidRPr="000E3D99">
        <w:rPr>
          <w:rFonts w:ascii="Bookman Old Style" w:hAnsi="Bookman Old Style" w:cs="Arial"/>
          <w:sz w:val="24"/>
          <w:szCs w:val="24"/>
          <w:shd w:val="clear" w:color="auto" w:fill="FFFFFF"/>
          <w:lang w:val="id-ID"/>
        </w:rPr>
        <w:t>I</w:t>
      </w:r>
      <w:r w:rsidRPr="000E3D99">
        <w:rPr>
          <w:rFonts w:ascii="Bookman Old Style" w:hAnsi="Bookman Old Style" w:cs="Arial"/>
          <w:sz w:val="24"/>
          <w:szCs w:val="24"/>
          <w:shd w:val="clear" w:color="auto" w:fill="FFFFFF"/>
          <w:lang w:val="de-DE"/>
        </w:rPr>
        <w:t>nspektorat</w:t>
      </w:r>
      <w:r w:rsidR="00A954D0">
        <w:rPr>
          <w:rFonts w:ascii="Bookman Old Style" w:hAnsi="Bookman Old Style" w:cs="Arial"/>
          <w:sz w:val="24"/>
          <w:szCs w:val="24"/>
          <w:shd w:val="clear" w:color="auto" w:fill="FFFFFF"/>
          <w:lang w:val="de-DE"/>
        </w:rPr>
        <w:t xml:space="preserve"> </w:t>
      </w:r>
      <w:r w:rsidRPr="000E3D99">
        <w:rPr>
          <w:rFonts w:ascii="Bookman Old Style" w:hAnsi="Bookman Old Style" w:cs="Arial"/>
          <w:sz w:val="24"/>
          <w:szCs w:val="24"/>
          <w:lang w:val="de-DE"/>
        </w:rPr>
        <w:t>Daerah</w:t>
      </w:r>
      <w:r w:rsidR="00A954D0">
        <w:rPr>
          <w:rFonts w:ascii="Bookman Old Style" w:hAnsi="Bookman Old Style" w:cs="Arial"/>
          <w:sz w:val="24"/>
          <w:szCs w:val="24"/>
          <w:lang w:val="de-DE"/>
        </w:rPr>
        <w:t xml:space="preserve"> </w:t>
      </w:r>
      <w:r w:rsidRPr="000E3D99">
        <w:rPr>
          <w:rFonts w:ascii="Bookman Old Style" w:hAnsi="Bookman Old Style"/>
          <w:sz w:val="24"/>
          <w:szCs w:val="24"/>
          <w:lang w:val="id-ID"/>
        </w:rPr>
        <w:t>paling</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sedikit</w:t>
      </w:r>
      <w:r w:rsidR="00A954D0">
        <w:rPr>
          <w:rFonts w:ascii="Bookman Old Style" w:hAnsi="Bookman Old Style"/>
          <w:sz w:val="24"/>
          <w:szCs w:val="24"/>
          <w:lang w:val="id-ID"/>
        </w:rPr>
        <w:t xml:space="preserve"> </w:t>
      </w:r>
      <w:r w:rsidRPr="000E3D99">
        <w:rPr>
          <w:rFonts w:ascii="Bookman Old Style" w:hAnsi="Bookman Old Style" w:cs="Arial"/>
          <w:sz w:val="24"/>
          <w:szCs w:val="24"/>
          <w:lang w:val="id-ID"/>
        </w:rPr>
        <w:t>sebesar</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0,</w:t>
      </w:r>
      <w:r w:rsidR="00AE3CE4" w:rsidRPr="000E3D99">
        <w:rPr>
          <w:rFonts w:ascii="Bookman Old Style" w:hAnsi="Bookman Old Style" w:cs="Arial"/>
          <w:sz w:val="24"/>
          <w:szCs w:val="24"/>
          <w:lang w:val="id-ID"/>
        </w:rPr>
        <w:t>5</w:t>
      </w:r>
      <w:r w:rsidRPr="000E3D99">
        <w:rPr>
          <w:rFonts w:ascii="Bookman Old Style" w:hAnsi="Bookman Old Style" w:cs="Arial"/>
          <w:sz w:val="24"/>
          <w:szCs w:val="24"/>
          <w:lang w:val="id-ID"/>
        </w:rPr>
        <w:t>0%</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(nol</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koma</w:t>
      </w:r>
      <w:r w:rsidR="00A954D0">
        <w:rPr>
          <w:rFonts w:ascii="Bookman Old Style" w:hAnsi="Bookman Old Style" w:cs="Arial"/>
          <w:sz w:val="24"/>
          <w:szCs w:val="24"/>
          <w:lang w:val="id-ID"/>
        </w:rPr>
        <w:t xml:space="preserve"> </w:t>
      </w:r>
      <w:r w:rsidR="00AE3CE4" w:rsidRPr="000E3D99">
        <w:rPr>
          <w:rFonts w:ascii="Bookman Old Style" w:hAnsi="Bookman Old Style" w:cs="Arial"/>
          <w:sz w:val="24"/>
          <w:szCs w:val="24"/>
          <w:lang w:val="id-ID"/>
        </w:rPr>
        <w:t>lima</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puluh</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persen)</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dari</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total</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belanja</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daerah</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diatas</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Rp</w:t>
      </w:r>
      <w:r w:rsidR="00AE3CE4" w:rsidRPr="000E3D99">
        <w:rPr>
          <w:rFonts w:ascii="Bookman Old Style" w:hAnsi="Bookman Old Style" w:cs="Arial"/>
          <w:sz w:val="24"/>
          <w:szCs w:val="24"/>
          <w:lang w:val="id-ID"/>
        </w:rPr>
        <w:t>15</w:t>
      </w:r>
      <w:r w:rsidRPr="000E3D99">
        <w:rPr>
          <w:rFonts w:ascii="Bookman Old Style" w:hAnsi="Bookman Old Style" w:cs="Arial"/>
          <w:sz w:val="24"/>
          <w:szCs w:val="24"/>
          <w:lang w:val="id-ID"/>
        </w:rPr>
        <w:t>.000.000.000,00</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w:t>
      </w:r>
      <w:r w:rsidR="00AE3CE4" w:rsidRPr="000E3D99">
        <w:rPr>
          <w:rFonts w:ascii="Bookman Old Style" w:hAnsi="Bookman Old Style" w:cs="Arial"/>
          <w:sz w:val="24"/>
          <w:szCs w:val="24"/>
          <w:lang w:val="id-ID"/>
        </w:rPr>
        <w:t>lima</w:t>
      </w:r>
      <w:r w:rsidR="00A954D0">
        <w:rPr>
          <w:rFonts w:ascii="Bookman Old Style" w:hAnsi="Bookman Old Style" w:cs="Arial"/>
          <w:sz w:val="24"/>
          <w:szCs w:val="24"/>
          <w:lang w:val="id-ID"/>
        </w:rPr>
        <w:t xml:space="preserve"> </w:t>
      </w:r>
      <w:r w:rsidR="00AE3CE4" w:rsidRPr="000E3D99">
        <w:rPr>
          <w:rFonts w:ascii="Bookman Old Style" w:hAnsi="Bookman Old Style" w:cs="Arial"/>
          <w:sz w:val="24"/>
          <w:szCs w:val="24"/>
          <w:lang w:val="id-ID"/>
        </w:rPr>
        <w:t>belas</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miliar</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rupiah)</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tidak</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termasuk</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belanja</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gaji</w:t>
      </w:r>
      <w:r w:rsidR="00AE3CE4" w:rsidRPr="000E3D99">
        <w:rPr>
          <w:rFonts w:ascii="Bookman Old Style" w:hAnsi="Bookman Old Style" w:cs="Arial"/>
          <w:sz w:val="24"/>
          <w:szCs w:val="24"/>
          <w:lang w:val="id-ID"/>
        </w:rPr>
        <w:t>,</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tunjangan</w:t>
      </w:r>
      <w:r w:rsidR="00A954D0">
        <w:rPr>
          <w:rFonts w:ascii="Bookman Old Style" w:hAnsi="Bookman Old Style" w:cs="Arial"/>
          <w:sz w:val="24"/>
          <w:szCs w:val="24"/>
          <w:lang w:val="id-ID"/>
        </w:rPr>
        <w:t xml:space="preserve"> </w:t>
      </w:r>
      <w:r w:rsidR="00AE3CE4" w:rsidRPr="000E3D99">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00AE3CE4" w:rsidRPr="000E3D99">
        <w:rPr>
          <w:rFonts w:ascii="Bookman Old Style" w:hAnsi="Bookman Old Style" w:cs="Arial"/>
          <w:sz w:val="24"/>
          <w:szCs w:val="24"/>
          <w:lang w:val="id-ID"/>
        </w:rPr>
        <w:t>TP</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ASN</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pada</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SKPD</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Inspektorat,</w:t>
      </w:r>
      <w:r w:rsidR="00A954D0">
        <w:rPr>
          <w:rFonts w:ascii="Bookman Old Style" w:hAnsi="Bookman Old Style" w:cs="Arial"/>
          <w:sz w:val="24"/>
          <w:szCs w:val="24"/>
          <w:lang w:val="id-ID"/>
        </w:rPr>
        <w:t xml:space="preserve"> </w:t>
      </w:r>
      <w:r w:rsidRPr="000E3D99">
        <w:rPr>
          <w:rFonts w:ascii="Bookman Old Style" w:hAnsi="Bookman Old Style"/>
          <w:sz w:val="24"/>
          <w:szCs w:val="24"/>
          <w:lang w:val="id-ID"/>
        </w:rPr>
        <w:t>alokasi</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anggaran</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untuk</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pendidikan</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dan</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pelatihan</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bagi</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ASN</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dalam</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rangka</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pengembangan</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kompetensi</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penyelenggara</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pemerintah</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daerah</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paling</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sedikit</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0,</w:t>
      </w:r>
      <w:r w:rsidR="00AE3CE4" w:rsidRPr="000E3D99">
        <w:rPr>
          <w:rFonts w:ascii="Bookman Old Style" w:hAnsi="Bookman Old Style"/>
          <w:sz w:val="24"/>
          <w:szCs w:val="24"/>
          <w:lang w:val="id-ID"/>
        </w:rPr>
        <w:t>16</w:t>
      </w:r>
      <w:r w:rsidRPr="000E3D99">
        <w:rPr>
          <w:rFonts w:ascii="Bookman Old Style" w:hAnsi="Bookman Old Style"/>
          <w:sz w:val="24"/>
          <w:szCs w:val="24"/>
          <w:lang w:val="id-ID"/>
        </w:rPr>
        <w:t>%</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(nol</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koma</w:t>
      </w:r>
      <w:r w:rsidR="00A954D0">
        <w:rPr>
          <w:rFonts w:ascii="Bookman Old Style" w:hAnsi="Bookman Old Style"/>
          <w:sz w:val="24"/>
          <w:szCs w:val="24"/>
          <w:lang w:val="id-ID"/>
        </w:rPr>
        <w:t xml:space="preserve"> </w:t>
      </w:r>
      <w:r w:rsidR="00AE3CE4" w:rsidRPr="000E3D99">
        <w:rPr>
          <w:rFonts w:ascii="Bookman Old Style" w:hAnsi="Bookman Old Style"/>
          <w:sz w:val="24"/>
          <w:szCs w:val="24"/>
          <w:lang w:val="id-ID"/>
        </w:rPr>
        <w:t>enam</w:t>
      </w:r>
      <w:r w:rsidR="00A954D0">
        <w:rPr>
          <w:rFonts w:ascii="Bookman Old Style" w:hAnsi="Bookman Old Style"/>
          <w:sz w:val="24"/>
          <w:szCs w:val="24"/>
          <w:lang w:val="id-ID"/>
        </w:rPr>
        <w:t xml:space="preserve"> </w:t>
      </w:r>
      <w:r w:rsidR="00AE3CE4" w:rsidRPr="000E3D99">
        <w:rPr>
          <w:rFonts w:ascii="Bookman Old Style" w:hAnsi="Bookman Old Style"/>
          <w:sz w:val="24"/>
          <w:szCs w:val="24"/>
          <w:lang w:val="id-ID"/>
        </w:rPr>
        <w:t>belas</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persen)</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dari</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total</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belanja</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daerah</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di</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luar</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Belanja</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Pegawai</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Belanja</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Pemeliharaan,</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de-DE"/>
        </w:rPr>
        <w:t>alokasi</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anggaran</w:t>
      </w:r>
      <w:r w:rsidR="00A954D0">
        <w:rPr>
          <w:rFonts w:ascii="Bookman Old Style" w:hAnsi="Bookman Old Style" w:cs="Arial"/>
          <w:sz w:val="24"/>
          <w:szCs w:val="24"/>
          <w:lang w:val="id-ID"/>
        </w:rPr>
        <w:t xml:space="preserve"> </w:t>
      </w:r>
      <w:r w:rsidRPr="000E3D99">
        <w:rPr>
          <w:rFonts w:ascii="Bookman Old Style" w:hAnsi="Bookman Old Style"/>
          <w:sz w:val="24"/>
          <w:szCs w:val="24"/>
          <w:lang w:val="id-ID"/>
        </w:rPr>
        <w:t>untuk</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Penggunaan</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Produk</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Dalam</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Negeri</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dan</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Produk</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Usaha</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Mikro,</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Usaha</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Kecil</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dan</w:t>
      </w:r>
      <w:r w:rsidR="00A954D0">
        <w:rPr>
          <w:rFonts w:ascii="Bookman Old Style" w:hAnsi="Bookman Old Style"/>
          <w:sz w:val="24"/>
          <w:szCs w:val="24"/>
          <w:lang w:val="id-ID"/>
        </w:rPr>
        <w:t xml:space="preserve"> </w:t>
      </w:r>
      <w:r w:rsidRPr="000E3D99">
        <w:rPr>
          <w:rFonts w:ascii="Bookman Old Style" w:hAnsi="Bookman Old Style"/>
          <w:sz w:val="24"/>
          <w:szCs w:val="24"/>
          <w:lang w:val="id-ID"/>
        </w:rPr>
        <w:t>Menengah</w:t>
      </w:r>
      <w:r w:rsidR="00A954D0">
        <w:rPr>
          <w:rFonts w:ascii="Bookman Old Style" w:hAnsi="Bookman Old Style" w:cs="Arial"/>
          <w:sz w:val="24"/>
          <w:szCs w:val="24"/>
          <w:lang w:val="de-DE"/>
        </w:rPr>
        <w:t xml:space="preserve"> </w:t>
      </w:r>
      <w:r w:rsidRPr="000E3D99">
        <w:rPr>
          <w:rFonts w:ascii="Bookman Old Style" w:hAnsi="Bookman Old Style" w:cs="Arial"/>
          <w:sz w:val="24"/>
          <w:szCs w:val="24"/>
          <w:lang w:val="de-DE"/>
        </w:rPr>
        <w:t>sekurang-kurangnya</w:t>
      </w:r>
      <w:r w:rsidR="00A954D0">
        <w:rPr>
          <w:rFonts w:ascii="Bookman Old Style" w:hAnsi="Bookman Old Style" w:cs="Arial"/>
          <w:sz w:val="24"/>
          <w:szCs w:val="24"/>
          <w:lang w:val="de-DE"/>
        </w:rPr>
        <w:t xml:space="preserve"> </w:t>
      </w:r>
      <w:r w:rsidRPr="000E3D99">
        <w:rPr>
          <w:rFonts w:ascii="Bookman Old Style" w:hAnsi="Bookman Old Style" w:cs="Arial"/>
          <w:sz w:val="24"/>
          <w:szCs w:val="24"/>
          <w:lang w:val="id-ID"/>
        </w:rPr>
        <w:t>4</w:t>
      </w:r>
      <w:r w:rsidRPr="000E3D99">
        <w:rPr>
          <w:rFonts w:ascii="Bookman Old Style" w:hAnsi="Bookman Old Style" w:cs="Arial"/>
          <w:sz w:val="24"/>
          <w:szCs w:val="24"/>
          <w:lang w:val="de-DE"/>
        </w:rPr>
        <w:t>0%</w:t>
      </w:r>
      <w:r w:rsidR="00A954D0">
        <w:rPr>
          <w:rFonts w:ascii="Bookman Old Style" w:hAnsi="Bookman Old Style" w:cs="Arial"/>
          <w:sz w:val="24"/>
          <w:szCs w:val="24"/>
          <w:lang w:val="de-DE"/>
        </w:rPr>
        <w:t xml:space="preserve"> </w:t>
      </w:r>
      <w:r w:rsidRPr="000E3D99">
        <w:rPr>
          <w:rFonts w:ascii="Bookman Old Style" w:hAnsi="Bookman Old Style" w:cs="Arial"/>
          <w:sz w:val="24"/>
          <w:szCs w:val="24"/>
          <w:lang w:val="de-DE"/>
        </w:rPr>
        <w:t>(</w:t>
      </w:r>
      <w:r w:rsidRPr="000E3D99">
        <w:rPr>
          <w:rFonts w:ascii="Bookman Old Style" w:hAnsi="Bookman Old Style" w:cs="Arial"/>
          <w:sz w:val="24"/>
          <w:szCs w:val="24"/>
          <w:lang w:val="id-ID"/>
        </w:rPr>
        <w:t>empat</w:t>
      </w:r>
      <w:r w:rsidR="00A954D0">
        <w:rPr>
          <w:rFonts w:ascii="Bookman Old Style" w:hAnsi="Bookman Old Style" w:cs="Arial"/>
          <w:sz w:val="24"/>
          <w:szCs w:val="24"/>
          <w:lang w:val="de-DE"/>
        </w:rPr>
        <w:t xml:space="preserve"> </w:t>
      </w:r>
      <w:r w:rsidRPr="000E3D99">
        <w:rPr>
          <w:rFonts w:ascii="Bookman Old Style" w:hAnsi="Bookman Old Style" w:cs="Arial"/>
          <w:sz w:val="24"/>
          <w:szCs w:val="24"/>
          <w:lang w:val="de-DE"/>
        </w:rPr>
        <w:t>puluh</w:t>
      </w:r>
      <w:r w:rsidR="00A954D0">
        <w:rPr>
          <w:rFonts w:ascii="Bookman Old Style" w:hAnsi="Bookman Old Style" w:cs="Arial"/>
          <w:sz w:val="24"/>
          <w:szCs w:val="24"/>
          <w:lang w:val="de-DE"/>
        </w:rPr>
        <w:t xml:space="preserve"> </w:t>
      </w:r>
      <w:r w:rsidRPr="000E3D99">
        <w:rPr>
          <w:rFonts w:ascii="Bookman Old Style" w:hAnsi="Bookman Old Style" w:cs="Arial"/>
          <w:sz w:val="24"/>
          <w:szCs w:val="24"/>
          <w:lang w:val="de-DE"/>
        </w:rPr>
        <w:t>persen)</w:t>
      </w:r>
      <w:r w:rsidR="00A954D0">
        <w:rPr>
          <w:rFonts w:ascii="Bookman Old Style" w:hAnsi="Bookman Old Style" w:cs="Arial"/>
          <w:sz w:val="24"/>
          <w:szCs w:val="24"/>
          <w:lang w:val="de-DE"/>
        </w:rPr>
        <w:t xml:space="preserve"> </w:t>
      </w:r>
      <w:r w:rsidRPr="000E3D99">
        <w:rPr>
          <w:rFonts w:ascii="Bookman Old Style" w:hAnsi="Bookman Old Style" w:cs="Arial"/>
          <w:sz w:val="24"/>
          <w:szCs w:val="24"/>
          <w:lang w:val="id-ID"/>
        </w:rPr>
        <w:t>dari</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total</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belanja</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barang</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jasa</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belanja</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modal</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di</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luar</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belanja</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modal</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tanah,</w:t>
      </w:r>
      <w:r w:rsidR="00A954D0">
        <w:rPr>
          <w:rFonts w:ascii="Bookman Old Style" w:hAnsi="Bookman Old Style" w:cs="Arial"/>
          <w:sz w:val="24"/>
          <w:szCs w:val="24"/>
          <w:lang w:val="id-ID"/>
        </w:rPr>
        <w:t xml:space="preserve"> </w:t>
      </w:r>
      <w:r w:rsidRPr="000E3D99">
        <w:rPr>
          <w:rFonts w:ascii="Bookman Old Style" w:hAnsi="Bookman Old Style" w:cs="Arial"/>
          <w:sz w:val="24"/>
          <w:szCs w:val="24"/>
          <w:lang w:val="id-ID"/>
        </w:rPr>
        <w:t>sesuai</w:t>
      </w:r>
      <w:r w:rsidR="00A954D0">
        <w:rPr>
          <w:rFonts w:ascii="Bookman Old Style" w:hAnsi="Bookman Old Style" w:cs="Arial"/>
          <w:sz w:val="24"/>
          <w:szCs w:val="24"/>
          <w:lang w:val="id-ID"/>
        </w:rPr>
        <w:t xml:space="preserve"> </w:t>
      </w:r>
      <w:r w:rsidRPr="008727BB">
        <w:rPr>
          <w:rFonts w:ascii="Bookman Old Style" w:hAnsi="Bookman Old Style" w:cs="Arial"/>
          <w:sz w:val="24"/>
          <w:szCs w:val="24"/>
          <w:lang w:val="id-ID"/>
        </w:rPr>
        <w:t>dengan</w:t>
      </w:r>
      <w:r w:rsidR="00A954D0">
        <w:rPr>
          <w:rFonts w:ascii="Bookman Old Style" w:hAnsi="Bookman Old Style" w:cs="Arial"/>
          <w:sz w:val="24"/>
          <w:szCs w:val="24"/>
          <w:lang w:val="id-ID"/>
        </w:rPr>
        <w:t xml:space="preserve"> </w:t>
      </w:r>
      <w:r w:rsidRPr="008727BB">
        <w:rPr>
          <w:rFonts w:ascii="Bookman Old Style" w:hAnsi="Bookman Old Style" w:cs="Arial"/>
          <w:sz w:val="24"/>
          <w:szCs w:val="24"/>
          <w:lang w:val="id-ID"/>
        </w:rPr>
        <w:t>ketentuan</w:t>
      </w:r>
      <w:r w:rsidR="00A954D0">
        <w:rPr>
          <w:rFonts w:ascii="Bookman Old Style" w:hAnsi="Bookman Old Style" w:cs="Arial"/>
          <w:sz w:val="24"/>
          <w:szCs w:val="24"/>
          <w:lang w:val="id-ID"/>
        </w:rPr>
        <w:t xml:space="preserve"> </w:t>
      </w:r>
      <w:r w:rsidRPr="008727BB">
        <w:rPr>
          <w:rFonts w:ascii="Bookman Old Style" w:hAnsi="Bookman Old Style" w:cs="Arial"/>
          <w:sz w:val="24"/>
          <w:szCs w:val="24"/>
          <w:lang w:val="id-ID"/>
        </w:rPr>
        <w:t>peraturan</w:t>
      </w:r>
      <w:r w:rsidR="00A954D0">
        <w:rPr>
          <w:rFonts w:ascii="Bookman Old Style" w:hAnsi="Bookman Old Style" w:cs="Arial"/>
          <w:sz w:val="24"/>
          <w:szCs w:val="24"/>
          <w:lang w:val="id-ID"/>
        </w:rPr>
        <w:t xml:space="preserve"> </w:t>
      </w:r>
      <w:r w:rsidRPr="008727BB">
        <w:rPr>
          <w:rFonts w:ascii="Bookman Old Style" w:hAnsi="Bookman Old Style" w:cs="Arial"/>
          <w:sz w:val="24"/>
          <w:szCs w:val="24"/>
          <w:lang w:val="id-ID"/>
        </w:rPr>
        <w:t>perundang-undangan.</w:t>
      </w:r>
    </w:p>
    <w:p w14:paraId="28F66E80" w14:textId="77777777" w:rsidR="00034877" w:rsidRPr="008727BB" w:rsidRDefault="00034877" w:rsidP="000B2AAF">
      <w:pPr>
        <w:pStyle w:val="ListParagraph"/>
        <w:spacing w:before="60" w:after="0" w:line="276" w:lineRule="auto"/>
        <w:ind w:left="2268"/>
        <w:contextualSpacing w:val="0"/>
        <w:jc w:val="both"/>
        <w:rPr>
          <w:rFonts w:ascii="Bookman Old Style" w:hAnsi="Bookman Old Style" w:cs="Arial"/>
          <w:sz w:val="24"/>
          <w:szCs w:val="24"/>
          <w:lang w:val="id-ID"/>
        </w:rPr>
      </w:pPr>
    </w:p>
    <w:p w14:paraId="3FDFED80" w14:textId="771BAA96" w:rsidR="00C03C88" w:rsidRDefault="00C03C88" w:rsidP="000B2AAF">
      <w:pPr>
        <w:pStyle w:val="ListParagraph"/>
        <w:numPr>
          <w:ilvl w:val="0"/>
          <w:numId w:val="15"/>
        </w:numPr>
        <w:spacing w:before="60" w:after="0" w:line="276" w:lineRule="auto"/>
        <w:ind w:left="1701" w:hanging="425"/>
        <w:contextualSpacing w:val="0"/>
        <w:jc w:val="both"/>
        <w:rPr>
          <w:rFonts w:ascii="Bookman Old Style" w:hAnsi="Bookman Old Style"/>
          <w:sz w:val="24"/>
          <w:szCs w:val="24"/>
          <w:lang w:val="en-US"/>
        </w:rPr>
      </w:pPr>
      <w:r>
        <w:rPr>
          <w:rFonts w:ascii="Bookman Old Style" w:hAnsi="Bookman Old Style"/>
          <w:sz w:val="24"/>
          <w:szCs w:val="24"/>
          <w:lang w:val="en-US"/>
        </w:rPr>
        <w:lastRenderedPageBreak/>
        <w:t>Belanja</w:t>
      </w:r>
      <w:r w:rsidR="00A954D0">
        <w:rPr>
          <w:rFonts w:ascii="Bookman Old Style" w:hAnsi="Bookman Old Style"/>
          <w:sz w:val="24"/>
          <w:szCs w:val="24"/>
          <w:lang w:val="en-US"/>
        </w:rPr>
        <w:t xml:space="preserve"> </w:t>
      </w:r>
      <w:r>
        <w:rPr>
          <w:rFonts w:ascii="Bookman Old Style" w:hAnsi="Bookman Old Style"/>
          <w:sz w:val="24"/>
          <w:szCs w:val="24"/>
          <w:lang w:val="en-US"/>
        </w:rPr>
        <w:t>Subsidi</w:t>
      </w:r>
    </w:p>
    <w:p w14:paraId="56529A9C" w14:textId="319E44DE" w:rsidR="00C03C88" w:rsidRPr="003255BC" w:rsidRDefault="00C03C88" w:rsidP="00255CC2">
      <w:pPr>
        <w:pStyle w:val="ListParagraph"/>
        <w:spacing w:before="60" w:after="120" w:line="276" w:lineRule="auto"/>
        <w:ind w:left="1701"/>
        <w:contextualSpacing w:val="0"/>
        <w:jc w:val="both"/>
        <w:rPr>
          <w:rFonts w:ascii="Bookman Old Style" w:hAnsi="Bookman Old Style"/>
          <w:sz w:val="24"/>
          <w:szCs w:val="24"/>
          <w:lang w:val="sv-FI"/>
        </w:rPr>
      </w:pPr>
      <w:r w:rsidRPr="00C03C88">
        <w:rPr>
          <w:rFonts w:ascii="Bookman Old Style" w:hAnsi="Bookman Old Style"/>
          <w:sz w:val="24"/>
          <w:szCs w:val="24"/>
          <w:lang w:val="en-US"/>
        </w:rPr>
        <w:t>Penyediaan</w:t>
      </w:r>
      <w:r w:rsidR="00A954D0">
        <w:rPr>
          <w:rFonts w:ascii="Bookman Old Style" w:hAnsi="Bookman Old Style"/>
          <w:sz w:val="24"/>
          <w:szCs w:val="24"/>
          <w:lang w:val="en-US"/>
        </w:rPr>
        <w:t xml:space="preserve"> </w:t>
      </w:r>
      <w:r w:rsidRPr="00C03C88">
        <w:rPr>
          <w:rFonts w:ascii="Bookman Old Style" w:hAnsi="Bookman Old Style"/>
          <w:sz w:val="24"/>
          <w:szCs w:val="24"/>
          <w:lang w:val="en-US"/>
        </w:rPr>
        <w:t>anggaran</w:t>
      </w:r>
      <w:r w:rsidR="00A954D0">
        <w:rPr>
          <w:rFonts w:ascii="Bookman Old Style" w:hAnsi="Bookman Old Style"/>
          <w:sz w:val="24"/>
          <w:szCs w:val="24"/>
          <w:lang w:val="en-US"/>
        </w:rPr>
        <w:t xml:space="preserve"> </w:t>
      </w:r>
      <w:r w:rsidRPr="00C03C88">
        <w:rPr>
          <w:rFonts w:ascii="Bookman Old Style" w:hAnsi="Bookman Old Style"/>
          <w:sz w:val="24"/>
          <w:szCs w:val="24"/>
          <w:lang w:val="en-US"/>
        </w:rPr>
        <w:t>Belanja</w:t>
      </w:r>
      <w:r w:rsidR="00A954D0">
        <w:rPr>
          <w:rFonts w:ascii="Bookman Old Style" w:hAnsi="Bookman Old Style"/>
          <w:sz w:val="24"/>
          <w:szCs w:val="24"/>
          <w:lang w:val="en-US"/>
        </w:rPr>
        <w:t xml:space="preserve"> </w:t>
      </w:r>
      <w:r w:rsidRPr="00C03C88">
        <w:rPr>
          <w:rFonts w:ascii="Bookman Old Style" w:hAnsi="Bookman Old Style"/>
          <w:sz w:val="24"/>
          <w:szCs w:val="24"/>
          <w:lang w:val="en-US"/>
        </w:rPr>
        <w:t>Subsidi</w:t>
      </w:r>
      <w:r w:rsidR="00A954D0">
        <w:rPr>
          <w:rFonts w:ascii="Bookman Old Style" w:hAnsi="Bookman Old Style"/>
          <w:sz w:val="24"/>
          <w:szCs w:val="24"/>
          <w:lang w:val="en-US"/>
        </w:rPr>
        <w:t xml:space="preserve"> </w:t>
      </w:r>
      <w:r w:rsidRPr="00C03C88">
        <w:rPr>
          <w:rFonts w:ascii="Bookman Old Style" w:hAnsi="Bookman Old Style"/>
          <w:sz w:val="24"/>
          <w:szCs w:val="24"/>
          <w:lang w:val="en-US"/>
        </w:rPr>
        <w:t>Rp</w:t>
      </w:r>
      <w:r>
        <w:rPr>
          <w:rFonts w:ascii="Bookman Old Style" w:hAnsi="Bookman Old Style"/>
          <w:sz w:val="24"/>
          <w:szCs w:val="24"/>
          <w:lang w:val="en-US"/>
        </w:rPr>
        <w:t>4</w:t>
      </w:r>
      <w:r w:rsidRPr="00C03C88">
        <w:rPr>
          <w:rFonts w:ascii="Bookman Old Style" w:hAnsi="Bookman Old Style"/>
          <w:sz w:val="24"/>
          <w:szCs w:val="24"/>
          <w:lang w:val="en-US"/>
        </w:rPr>
        <w:t>2.</w:t>
      </w:r>
      <w:r>
        <w:rPr>
          <w:rFonts w:ascii="Bookman Old Style" w:hAnsi="Bookman Old Style"/>
          <w:sz w:val="24"/>
          <w:szCs w:val="24"/>
          <w:lang w:val="en-US"/>
        </w:rPr>
        <w:t>000.</w:t>
      </w:r>
      <w:r w:rsidRPr="00C03C88">
        <w:rPr>
          <w:rFonts w:ascii="Bookman Old Style" w:hAnsi="Bookman Old Style"/>
          <w:sz w:val="24"/>
          <w:szCs w:val="24"/>
          <w:lang w:val="en-US"/>
        </w:rPr>
        <w:t>000.000,00</w:t>
      </w:r>
      <w:r w:rsidR="00A954D0">
        <w:rPr>
          <w:rFonts w:ascii="Bookman Old Style" w:hAnsi="Bookman Old Style"/>
          <w:sz w:val="24"/>
          <w:szCs w:val="24"/>
          <w:lang w:val="en-US"/>
        </w:rPr>
        <w:t xml:space="preserve"> </w:t>
      </w:r>
      <w:r w:rsidRPr="00C03C88">
        <w:rPr>
          <w:rFonts w:ascii="Bookman Old Style" w:hAnsi="Bookman Old Style"/>
          <w:sz w:val="24"/>
          <w:szCs w:val="24"/>
          <w:lang w:val="en-US"/>
        </w:rPr>
        <w:t>atau</w:t>
      </w:r>
      <w:r w:rsidR="00A954D0">
        <w:rPr>
          <w:rFonts w:ascii="Bookman Old Style" w:hAnsi="Bookman Old Style"/>
          <w:sz w:val="24"/>
          <w:szCs w:val="24"/>
          <w:lang w:val="en-US"/>
        </w:rPr>
        <w:t xml:space="preserve"> </w:t>
      </w:r>
      <w:r w:rsidRPr="00C03C88">
        <w:rPr>
          <w:rFonts w:ascii="Bookman Old Style" w:hAnsi="Bookman Old Style"/>
          <w:sz w:val="24"/>
          <w:szCs w:val="24"/>
          <w:lang w:val="en-US"/>
        </w:rPr>
        <w:t>0,</w:t>
      </w:r>
      <w:r>
        <w:rPr>
          <w:rFonts w:ascii="Bookman Old Style" w:hAnsi="Bookman Old Style"/>
          <w:sz w:val="24"/>
          <w:szCs w:val="24"/>
          <w:lang w:val="en-US"/>
        </w:rPr>
        <w:t>74</w:t>
      </w:r>
      <w:r w:rsidRPr="00C03C88">
        <w:rPr>
          <w:rFonts w:ascii="Bookman Old Style" w:hAnsi="Bookman Old Style"/>
          <w:sz w:val="24"/>
          <w:szCs w:val="24"/>
          <w:lang w:val="en-US"/>
        </w:rPr>
        <w:t>%</w:t>
      </w:r>
      <w:r w:rsidR="00A954D0">
        <w:rPr>
          <w:rFonts w:ascii="Bookman Old Style" w:hAnsi="Bookman Old Style"/>
          <w:sz w:val="24"/>
          <w:szCs w:val="24"/>
          <w:lang w:val="en-US"/>
        </w:rPr>
        <w:t xml:space="preserve"> </w:t>
      </w:r>
      <w:r w:rsidRPr="00C03C88">
        <w:rPr>
          <w:rFonts w:ascii="Bookman Old Style" w:hAnsi="Bookman Old Style"/>
          <w:sz w:val="24"/>
          <w:szCs w:val="24"/>
          <w:lang w:val="en-US"/>
        </w:rPr>
        <w:t>dari</w:t>
      </w:r>
      <w:r w:rsidR="00A954D0">
        <w:rPr>
          <w:rFonts w:ascii="Bookman Old Style" w:hAnsi="Bookman Old Style"/>
          <w:sz w:val="24"/>
          <w:szCs w:val="24"/>
          <w:lang w:val="en-US"/>
        </w:rPr>
        <w:t xml:space="preserve"> </w:t>
      </w:r>
      <w:r w:rsidRPr="00C03C88">
        <w:rPr>
          <w:rFonts w:ascii="Bookman Old Style" w:hAnsi="Bookman Old Style"/>
          <w:sz w:val="24"/>
          <w:szCs w:val="24"/>
          <w:lang w:val="en-US"/>
        </w:rPr>
        <w:t>total</w:t>
      </w:r>
      <w:r w:rsidR="00A954D0">
        <w:rPr>
          <w:rFonts w:ascii="Bookman Old Style" w:hAnsi="Bookman Old Style"/>
          <w:sz w:val="24"/>
          <w:szCs w:val="24"/>
          <w:lang w:val="en-US"/>
        </w:rPr>
        <w:t xml:space="preserve"> </w:t>
      </w:r>
      <w:r w:rsidRPr="00C03C88">
        <w:rPr>
          <w:rFonts w:ascii="Bookman Old Style" w:hAnsi="Bookman Old Style"/>
          <w:sz w:val="24"/>
          <w:szCs w:val="24"/>
          <w:lang w:val="en-US"/>
        </w:rPr>
        <w:t>belanja</w:t>
      </w:r>
      <w:r w:rsidR="00A954D0">
        <w:rPr>
          <w:rFonts w:ascii="Bookman Old Style" w:hAnsi="Bookman Old Style"/>
          <w:sz w:val="24"/>
          <w:szCs w:val="24"/>
          <w:lang w:val="en-US"/>
        </w:rPr>
        <w:t xml:space="preserve"> </w:t>
      </w:r>
      <w:r w:rsidRPr="00C03C88">
        <w:rPr>
          <w:rFonts w:ascii="Bookman Old Style" w:hAnsi="Bookman Old Style"/>
          <w:sz w:val="24"/>
          <w:szCs w:val="24"/>
          <w:lang w:val="en-US"/>
        </w:rPr>
        <w:t>daerah</w:t>
      </w:r>
      <w:r w:rsidR="00A954D0">
        <w:rPr>
          <w:rFonts w:ascii="Bookman Old Style" w:hAnsi="Bookman Old Style"/>
          <w:sz w:val="24"/>
          <w:szCs w:val="24"/>
          <w:lang w:val="en-US"/>
        </w:rPr>
        <w:t xml:space="preserve"> </w:t>
      </w:r>
      <w:r w:rsidRPr="00C03C88">
        <w:rPr>
          <w:rFonts w:ascii="Bookman Old Style" w:hAnsi="Bookman Old Style"/>
          <w:sz w:val="24"/>
          <w:szCs w:val="24"/>
          <w:lang w:val="en-US"/>
        </w:rPr>
        <w:t>dalam</w:t>
      </w:r>
      <w:r w:rsidR="00A954D0">
        <w:rPr>
          <w:rFonts w:ascii="Bookman Old Style" w:hAnsi="Bookman Old Style"/>
          <w:sz w:val="24"/>
          <w:szCs w:val="24"/>
          <w:lang w:val="en-US"/>
        </w:rPr>
        <w:t xml:space="preserve"> </w:t>
      </w:r>
      <w:r w:rsidRPr="00C03C88">
        <w:rPr>
          <w:rFonts w:ascii="Bookman Old Style" w:hAnsi="Bookman Old Style"/>
          <w:sz w:val="24"/>
          <w:szCs w:val="24"/>
          <w:lang w:val="en-US"/>
        </w:rPr>
        <w:t>Rancangan</w:t>
      </w:r>
      <w:r w:rsidR="00A954D0">
        <w:rPr>
          <w:rFonts w:ascii="Bookman Old Style" w:hAnsi="Bookman Old Style"/>
          <w:sz w:val="24"/>
          <w:szCs w:val="24"/>
          <w:lang w:val="en-US"/>
        </w:rPr>
        <w:t xml:space="preserve"> </w:t>
      </w:r>
      <w:r w:rsidRPr="00C03C88">
        <w:rPr>
          <w:rFonts w:ascii="Bookman Old Style" w:hAnsi="Bookman Old Style"/>
          <w:sz w:val="24"/>
          <w:szCs w:val="24"/>
          <w:lang w:val="en-US"/>
        </w:rPr>
        <w:t>Peraturan</w:t>
      </w:r>
      <w:r w:rsidR="00A954D0">
        <w:rPr>
          <w:rFonts w:ascii="Bookman Old Style" w:hAnsi="Bookman Old Style"/>
          <w:sz w:val="24"/>
          <w:szCs w:val="24"/>
          <w:lang w:val="en-US"/>
        </w:rPr>
        <w:t xml:space="preserve"> </w:t>
      </w:r>
      <w:r w:rsidRPr="00C03C88">
        <w:rPr>
          <w:rFonts w:ascii="Bookman Old Style" w:hAnsi="Bookman Old Style"/>
          <w:sz w:val="24"/>
          <w:szCs w:val="24"/>
          <w:lang w:val="en-US"/>
        </w:rPr>
        <w:t>Daerah</w:t>
      </w:r>
      <w:r w:rsidR="00A954D0">
        <w:rPr>
          <w:rFonts w:ascii="Bookman Old Style" w:hAnsi="Bookman Old Style"/>
          <w:sz w:val="24"/>
          <w:szCs w:val="24"/>
          <w:lang w:val="en-US"/>
        </w:rPr>
        <w:t xml:space="preserve"> </w:t>
      </w:r>
      <w:r w:rsidR="001F3734">
        <w:rPr>
          <w:rFonts w:ascii="Bookman Old Style" w:hAnsi="Bookman Old Style"/>
          <w:sz w:val="24"/>
          <w:szCs w:val="24"/>
          <w:lang w:val="en-US"/>
        </w:rPr>
        <w:t>Kota</w:t>
      </w:r>
      <w:r w:rsidR="00A954D0">
        <w:rPr>
          <w:rFonts w:ascii="Bookman Old Style" w:hAnsi="Bookman Old Style"/>
          <w:sz w:val="24"/>
          <w:szCs w:val="24"/>
          <w:lang w:val="en-US"/>
        </w:rPr>
        <w:t xml:space="preserve"> </w:t>
      </w:r>
      <w:r w:rsidR="001F3734">
        <w:rPr>
          <w:rFonts w:ascii="Bookman Old Style" w:hAnsi="Bookman Old Style"/>
          <w:sz w:val="24"/>
          <w:szCs w:val="24"/>
          <w:lang w:val="en-US"/>
        </w:rPr>
        <w:t>Tangerang</w:t>
      </w:r>
      <w:r w:rsidR="00A954D0">
        <w:rPr>
          <w:rFonts w:ascii="Bookman Old Style" w:hAnsi="Bookman Old Style"/>
          <w:sz w:val="24"/>
          <w:szCs w:val="24"/>
          <w:lang w:val="en-US"/>
        </w:rPr>
        <w:t xml:space="preserve"> </w:t>
      </w:r>
      <w:r w:rsidRPr="00C03C88">
        <w:rPr>
          <w:rFonts w:ascii="Bookman Old Style" w:hAnsi="Bookman Old Style"/>
          <w:sz w:val="24"/>
          <w:szCs w:val="24"/>
          <w:lang w:val="en-US"/>
        </w:rPr>
        <w:t>tentang</w:t>
      </w:r>
      <w:r w:rsidR="00A954D0">
        <w:rPr>
          <w:rFonts w:ascii="Bookman Old Style" w:hAnsi="Bookman Old Style"/>
          <w:sz w:val="24"/>
          <w:szCs w:val="24"/>
          <w:lang w:val="en-US"/>
        </w:rPr>
        <w:t xml:space="preserve"> </w:t>
      </w:r>
      <w:r w:rsidRPr="00C03C88">
        <w:rPr>
          <w:rFonts w:ascii="Bookman Old Style" w:hAnsi="Bookman Old Style"/>
          <w:sz w:val="24"/>
          <w:szCs w:val="24"/>
          <w:lang w:val="en-US"/>
        </w:rPr>
        <w:t>APBD</w:t>
      </w:r>
      <w:r w:rsidR="00A954D0">
        <w:rPr>
          <w:rFonts w:ascii="Bookman Old Style" w:hAnsi="Bookman Old Style"/>
          <w:sz w:val="24"/>
          <w:szCs w:val="24"/>
          <w:lang w:val="en-US"/>
        </w:rPr>
        <w:t xml:space="preserve"> </w:t>
      </w:r>
      <w:r w:rsidRPr="00C03C88">
        <w:rPr>
          <w:rFonts w:ascii="Bookman Old Style" w:hAnsi="Bookman Old Style"/>
          <w:sz w:val="24"/>
          <w:szCs w:val="24"/>
          <w:lang w:val="en-US"/>
        </w:rPr>
        <w:t>Tahun</w:t>
      </w:r>
      <w:r w:rsidR="00A954D0">
        <w:rPr>
          <w:rFonts w:ascii="Bookman Old Style" w:hAnsi="Bookman Old Style"/>
          <w:sz w:val="24"/>
          <w:szCs w:val="24"/>
          <w:lang w:val="en-US"/>
        </w:rPr>
        <w:t xml:space="preserve"> </w:t>
      </w:r>
      <w:r w:rsidRPr="00C03C88">
        <w:rPr>
          <w:rFonts w:ascii="Bookman Old Style" w:hAnsi="Bookman Old Style"/>
          <w:sz w:val="24"/>
          <w:szCs w:val="24"/>
          <w:lang w:val="en-US"/>
        </w:rPr>
        <w:t>Anggaran</w:t>
      </w:r>
      <w:r w:rsidR="00A954D0">
        <w:rPr>
          <w:rFonts w:ascii="Bookman Old Style" w:hAnsi="Bookman Old Style"/>
          <w:sz w:val="24"/>
          <w:szCs w:val="24"/>
          <w:lang w:val="en-US"/>
        </w:rPr>
        <w:t xml:space="preserve"> </w:t>
      </w:r>
      <w:r w:rsidRPr="00C03C88">
        <w:rPr>
          <w:rFonts w:ascii="Bookman Old Style" w:hAnsi="Bookman Old Style"/>
          <w:sz w:val="24"/>
          <w:szCs w:val="24"/>
          <w:lang w:val="en-US"/>
        </w:rPr>
        <w:t>2025,</w:t>
      </w:r>
      <w:r w:rsidR="00A954D0">
        <w:rPr>
          <w:rFonts w:ascii="Bookman Old Style" w:hAnsi="Bookman Old Style"/>
          <w:sz w:val="24"/>
          <w:szCs w:val="24"/>
          <w:lang w:val="en-US"/>
        </w:rPr>
        <w:t xml:space="preserve"> </w:t>
      </w:r>
      <w:r w:rsidR="001F3734">
        <w:rPr>
          <w:rFonts w:ascii="Bookman Old Style" w:hAnsi="Bookman Old Style"/>
          <w:sz w:val="24"/>
          <w:szCs w:val="24"/>
          <w:lang w:val="en-US"/>
        </w:rPr>
        <w:t>yang</w:t>
      </w:r>
      <w:r w:rsidR="00A954D0">
        <w:rPr>
          <w:rFonts w:ascii="Bookman Old Style" w:hAnsi="Bookman Old Style"/>
          <w:sz w:val="24"/>
          <w:szCs w:val="24"/>
          <w:lang w:val="en-US"/>
        </w:rPr>
        <w:t xml:space="preserve"> </w:t>
      </w:r>
      <w:r w:rsidR="001F3734">
        <w:rPr>
          <w:rFonts w:ascii="Bookman Old Style" w:hAnsi="Bookman Old Style"/>
          <w:sz w:val="24"/>
          <w:szCs w:val="24"/>
          <w:lang w:val="en-US"/>
        </w:rPr>
        <w:t>diuraikan</w:t>
      </w:r>
      <w:r w:rsidR="00A954D0">
        <w:rPr>
          <w:rFonts w:ascii="Bookman Old Style" w:hAnsi="Bookman Old Style"/>
          <w:sz w:val="24"/>
          <w:szCs w:val="24"/>
          <w:lang w:val="en-US"/>
        </w:rPr>
        <w:t xml:space="preserve"> </w:t>
      </w:r>
      <w:r w:rsidR="001F3734">
        <w:rPr>
          <w:rFonts w:ascii="Bookman Old Style" w:hAnsi="Bookman Old Style"/>
          <w:sz w:val="24"/>
          <w:szCs w:val="24"/>
          <w:lang w:val="en-US"/>
        </w:rPr>
        <w:t>dalam</w:t>
      </w:r>
      <w:r w:rsidR="00A954D0">
        <w:rPr>
          <w:rFonts w:ascii="Bookman Old Style" w:hAnsi="Bookman Old Style"/>
          <w:sz w:val="24"/>
          <w:szCs w:val="24"/>
          <w:lang w:val="en-US"/>
        </w:rPr>
        <w:t xml:space="preserve"> </w:t>
      </w:r>
      <w:r w:rsidR="001F3734">
        <w:rPr>
          <w:rFonts w:ascii="Bookman Old Style" w:hAnsi="Bookman Old Style"/>
          <w:sz w:val="24"/>
          <w:szCs w:val="24"/>
          <w:lang w:val="en-US"/>
        </w:rPr>
        <w:t>Belanja</w:t>
      </w:r>
      <w:r w:rsidR="00A954D0">
        <w:rPr>
          <w:rFonts w:ascii="Bookman Old Style" w:hAnsi="Bookman Old Style"/>
          <w:sz w:val="24"/>
          <w:szCs w:val="24"/>
          <w:lang w:val="en-US"/>
        </w:rPr>
        <w:t xml:space="preserve"> </w:t>
      </w:r>
      <w:r w:rsidR="001F3734">
        <w:rPr>
          <w:rFonts w:ascii="Bookman Old Style" w:hAnsi="Bookman Old Style"/>
          <w:sz w:val="24"/>
          <w:szCs w:val="24"/>
          <w:lang w:val="en-US"/>
        </w:rPr>
        <w:t>Subsidi</w:t>
      </w:r>
      <w:r w:rsidR="00A954D0">
        <w:rPr>
          <w:rFonts w:ascii="Bookman Old Style" w:hAnsi="Bookman Old Style"/>
          <w:sz w:val="24"/>
          <w:szCs w:val="24"/>
          <w:lang w:val="en-US"/>
        </w:rPr>
        <w:t xml:space="preserve"> </w:t>
      </w:r>
      <w:r w:rsidR="001F3734">
        <w:rPr>
          <w:rFonts w:ascii="Bookman Old Style" w:hAnsi="Bookman Old Style"/>
          <w:sz w:val="24"/>
          <w:szCs w:val="24"/>
          <w:lang w:val="en-US"/>
        </w:rPr>
        <w:t>kepada</w:t>
      </w:r>
      <w:r w:rsidR="00A954D0">
        <w:rPr>
          <w:rFonts w:ascii="Bookman Old Style" w:hAnsi="Bookman Old Style"/>
          <w:sz w:val="24"/>
          <w:szCs w:val="24"/>
          <w:lang w:val="en-US"/>
        </w:rPr>
        <w:t xml:space="preserve"> </w:t>
      </w:r>
      <w:r w:rsidR="001F3734">
        <w:rPr>
          <w:rFonts w:ascii="Bookman Old Style" w:hAnsi="Bookman Old Style"/>
          <w:sz w:val="24"/>
          <w:szCs w:val="24"/>
          <w:lang w:val="en-US"/>
        </w:rPr>
        <w:t>BUMD.</w:t>
      </w:r>
      <w:r w:rsidR="00A954D0">
        <w:rPr>
          <w:rFonts w:ascii="Bookman Old Style" w:hAnsi="Bookman Old Style"/>
          <w:sz w:val="24"/>
          <w:szCs w:val="24"/>
          <w:lang w:val="en-US"/>
        </w:rPr>
        <w:t xml:space="preserve"> </w:t>
      </w:r>
      <w:r w:rsidR="001F3734" w:rsidRPr="003255BC">
        <w:rPr>
          <w:rFonts w:ascii="Bookman Old Style" w:hAnsi="Bookman Old Style"/>
          <w:sz w:val="24"/>
          <w:szCs w:val="24"/>
          <w:lang w:val="sv-FI"/>
        </w:rPr>
        <w:t>Belanja</w:t>
      </w:r>
      <w:r w:rsidR="00A954D0" w:rsidRPr="003255BC">
        <w:rPr>
          <w:rFonts w:ascii="Bookman Old Style" w:hAnsi="Bookman Old Style"/>
          <w:sz w:val="24"/>
          <w:szCs w:val="24"/>
          <w:lang w:val="sv-FI"/>
        </w:rPr>
        <w:t xml:space="preserve"> </w:t>
      </w:r>
      <w:r w:rsidR="001F3734" w:rsidRPr="003255BC">
        <w:rPr>
          <w:rFonts w:ascii="Bookman Old Style" w:hAnsi="Bookman Old Style"/>
          <w:sz w:val="24"/>
          <w:szCs w:val="24"/>
          <w:lang w:val="sv-FI"/>
        </w:rPr>
        <w:t>subsidi</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dianggarkan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dalam</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Rancangan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Peraturan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Daerah</w:t>
      </w:r>
      <w:r w:rsidR="00A954D0" w:rsidRPr="003255BC">
        <w:rPr>
          <w:rFonts w:ascii="Bookman Old Style" w:hAnsi="Bookman Old Style"/>
          <w:sz w:val="24"/>
          <w:szCs w:val="24"/>
          <w:lang w:val="sv-FI"/>
        </w:rPr>
        <w:t xml:space="preserve"> </w:t>
      </w:r>
      <w:r w:rsidR="001F3734" w:rsidRPr="003255BC">
        <w:rPr>
          <w:rFonts w:ascii="Bookman Old Style" w:hAnsi="Bookman Old Style"/>
          <w:sz w:val="24"/>
          <w:szCs w:val="24"/>
          <w:lang w:val="sv-FI"/>
        </w:rPr>
        <w:t>Kota</w:t>
      </w:r>
      <w:r w:rsidR="00A954D0" w:rsidRPr="003255BC">
        <w:rPr>
          <w:rFonts w:ascii="Bookman Old Style" w:hAnsi="Bookman Old Style"/>
          <w:sz w:val="24"/>
          <w:szCs w:val="24"/>
          <w:lang w:val="sv-FI"/>
        </w:rPr>
        <w:t xml:space="preserve"> </w:t>
      </w:r>
      <w:r w:rsidR="001F3734" w:rsidRPr="003255BC">
        <w:rPr>
          <w:rFonts w:ascii="Bookman Old Style" w:hAnsi="Bookman Old Style"/>
          <w:sz w:val="24"/>
          <w:szCs w:val="24"/>
          <w:lang w:val="sv-FI"/>
        </w:rPr>
        <w:t>Tangerang</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tentang</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APBD</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Tahun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Anggaran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2025</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agar</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harga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jual</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produksi</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atau</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jasa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yang</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dihasilkan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oleh</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badan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usaha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milik</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negara,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BUMD</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dan/atau</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badan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usaha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milik</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swasta,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sesuai</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dengan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ketentuan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peraturan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perundang-undangan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sehingga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dapat</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terjangkau</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oleh</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masyarakat</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sebagaimana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diamanatkan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dalam</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Pasal</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61</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Peraturan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Pemerintah</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Nomor</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12</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Tahun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2019</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dan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butir</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3.4.1.4</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Lampiran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Peraturan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Menteri</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Dalam</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Negeri</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Nomor</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15</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Tahun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2024.</w:t>
      </w:r>
    </w:p>
    <w:p w14:paraId="3A0238F3" w14:textId="06F16AD9" w:rsidR="00C03C88" w:rsidRPr="006A368B" w:rsidRDefault="00C03C88" w:rsidP="00255CC2">
      <w:pPr>
        <w:pStyle w:val="ListParagraph"/>
        <w:spacing w:before="60" w:after="120" w:line="276" w:lineRule="auto"/>
        <w:ind w:left="1701"/>
        <w:contextualSpacing w:val="0"/>
        <w:jc w:val="both"/>
        <w:rPr>
          <w:rFonts w:ascii="Bookman Old Style" w:hAnsi="Bookman Old Style"/>
          <w:sz w:val="24"/>
          <w:szCs w:val="24"/>
          <w:lang w:val="sv-FI"/>
        </w:rPr>
      </w:pPr>
      <w:r w:rsidRPr="003255BC">
        <w:rPr>
          <w:rFonts w:ascii="Bookman Old Style" w:hAnsi="Bookman Old Style"/>
          <w:sz w:val="24"/>
          <w:szCs w:val="24"/>
          <w:lang w:val="sv-FI"/>
        </w:rPr>
        <w:t>Badan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usaha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milik</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negara,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BUMD</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dan/atau</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badan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usaha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milik</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swasta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sesuai</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dengan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ketentuan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peraturan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perundang-undangan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sebagai</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penerima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subsidi,</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terlebih</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dahulu</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dilakukan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pemeriksaan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dengan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tujuan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tertentu</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oleh</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kantor</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akuntan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publik</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sesuai</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dengan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ketentuan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peraturan</w:t>
      </w:r>
      <w:r w:rsidR="00A954D0" w:rsidRPr="003255BC">
        <w:rPr>
          <w:rFonts w:ascii="Bookman Old Style" w:hAnsi="Bookman Old Style"/>
          <w:sz w:val="24"/>
          <w:szCs w:val="24"/>
          <w:lang w:val="sv-FI"/>
        </w:rPr>
        <w:t xml:space="preserve"> </w:t>
      </w:r>
      <w:r w:rsidRPr="006A368B">
        <w:rPr>
          <w:rFonts w:ascii="Bookman Old Style" w:hAnsi="Bookman Old Style"/>
          <w:sz w:val="24"/>
          <w:szCs w:val="24"/>
          <w:lang w:val="sv-FI"/>
        </w:rPr>
        <w:t>perundang-undangan.</w:t>
      </w:r>
    </w:p>
    <w:p w14:paraId="024F99CC" w14:textId="3756B018" w:rsidR="00C03C88" w:rsidRPr="006A368B" w:rsidRDefault="00C03C88" w:rsidP="00255CC2">
      <w:pPr>
        <w:pStyle w:val="ListParagraph"/>
        <w:spacing w:before="120" w:after="120" w:line="276" w:lineRule="auto"/>
        <w:ind w:left="1701"/>
        <w:contextualSpacing w:val="0"/>
        <w:jc w:val="both"/>
        <w:rPr>
          <w:rFonts w:ascii="Bookman Old Style" w:hAnsi="Bookman Old Style"/>
          <w:sz w:val="24"/>
          <w:szCs w:val="24"/>
          <w:lang w:val="sv-FI"/>
        </w:rPr>
      </w:pPr>
      <w:r w:rsidRPr="006A368B">
        <w:rPr>
          <w:rFonts w:ascii="Bookman Old Style" w:hAnsi="Bookman Old Style"/>
          <w:sz w:val="24"/>
          <w:szCs w:val="24"/>
          <w:lang w:val="sv-FI"/>
        </w:rPr>
        <w:t>Tujuan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dan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ruang</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lingkup</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audit</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tujuan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tertentu</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adalah</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memberikan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penilaian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terhadap</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kecukupan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dan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ketepatan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kebijakan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pemberian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subsidi</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termasuk</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keselarasan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kebijakan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pusat</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dan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daerah,</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ketepatan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sasaran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subsidi,</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serta</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memberikan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rekomendasi</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penguatan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tata</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kelola</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dan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peningkatan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akuntabilitas</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subsidi.</w:t>
      </w:r>
    </w:p>
    <w:p w14:paraId="42CBE094" w14:textId="2D518708" w:rsidR="00C03C88" w:rsidRPr="006A368B" w:rsidRDefault="00C03C88" w:rsidP="00E938FD">
      <w:pPr>
        <w:pStyle w:val="ListParagraph"/>
        <w:spacing w:before="60" w:after="120" w:line="276" w:lineRule="auto"/>
        <w:ind w:left="1701"/>
        <w:contextualSpacing w:val="0"/>
        <w:jc w:val="both"/>
        <w:rPr>
          <w:rFonts w:ascii="Bookman Old Style" w:hAnsi="Bookman Old Style"/>
          <w:sz w:val="24"/>
          <w:szCs w:val="24"/>
          <w:lang w:val="sv-FI"/>
        </w:rPr>
      </w:pPr>
      <w:r w:rsidRPr="006A368B">
        <w:rPr>
          <w:rFonts w:ascii="Bookman Old Style" w:hAnsi="Bookman Old Style"/>
          <w:sz w:val="24"/>
          <w:szCs w:val="24"/>
          <w:lang w:val="sv-FI"/>
        </w:rPr>
        <w:t>Dalam</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hal</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tidak</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terdapat</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kantor</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akuntan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publik,</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pemeriksaan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dengan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tujuan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tertentu</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dapat</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dilaksanakan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oleh</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lembaga</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lain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yang</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independen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dan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ditetapkan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oleh</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kepala</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daerah.</w:t>
      </w:r>
    </w:p>
    <w:p w14:paraId="227373D3" w14:textId="161536B9" w:rsidR="00C03C88" w:rsidRPr="006A368B" w:rsidRDefault="00C03C88" w:rsidP="00E938FD">
      <w:pPr>
        <w:pStyle w:val="ListParagraph"/>
        <w:spacing w:before="60" w:after="120" w:line="276" w:lineRule="auto"/>
        <w:ind w:left="1701"/>
        <w:contextualSpacing w:val="0"/>
        <w:jc w:val="both"/>
        <w:rPr>
          <w:rFonts w:ascii="Bookman Old Style" w:hAnsi="Bookman Old Style"/>
          <w:sz w:val="24"/>
          <w:szCs w:val="24"/>
          <w:lang w:val="sv-FI"/>
        </w:rPr>
      </w:pPr>
      <w:r w:rsidRPr="006A368B">
        <w:rPr>
          <w:rFonts w:ascii="Bookman Old Style" w:hAnsi="Bookman Old Style"/>
          <w:sz w:val="24"/>
          <w:szCs w:val="24"/>
          <w:lang w:val="sv-FI"/>
        </w:rPr>
        <w:t>Hasil</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pemeriksaan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dengan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tujuan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tertentu</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menjadi</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dasar</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perencanaan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dan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bahan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pertimbangan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untuk</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memberikan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subsidi</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tahun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anggaran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berikutnya.</w:t>
      </w:r>
    </w:p>
    <w:p w14:paraId="30BBC1E6" w14:textId="2993D0BD" w:rsidR="00C03C88" w:rsidRPr="006A368B" w:rsidRDefault="00C03C88" w:rsidP="000B2AAF">
      <w:pPr>
        <w:pStyle w:val="ListParagraph"/>
        <w:spacing w:before="60" w:after="0" w:line="276" w:lineRule="auto"/>
        <w:ind w:left="1701"/>
        <w:contextualSpacing w:val="0"/>
        <w:jc w:val="both"/>
        <w:rPr>
          <w:rFonts w:ascii="Bookman Old Style" w:hAnsi="Bookman Old Style"/>
          <w:sz w:val="24"/>
          <w:szCs w:val="24"/>
          <w:lang w:val="sv-FI"/>
        </w:rPr>
      </w:pPr>
      <w:r w:rsidRPr="006A368B">
        <w:rPr>
          <w:rFonts w:ascii="Bookman Old Style" w:hAnsi="Bookman Old Style"/>
          <w:sz w:val="24"/>
          <w:szCs w:val="24"/>
          <w:lang w:val="sv-FI"/>
        </w:rPr>
        <w:t>Sehubungan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dengan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hal</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tersebut,</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penyediaan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anggaran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subsidi</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dalam</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Rancangan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Peraturan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Daerah</w:t>
      </w:r>
      <w:r w:rsidR="00A954D0" w:rsidRPr="006A368B">
        <w:rPr>
          <w:rFonts w:ascii="Bookman Old Style" w:hAnsi="Bookman Old Style"/>
          <w:sz w:val="24"/>
          <w:szCs w:val="24"/>
          <w:lang w:val="sv-FI"/>
        </w:rPr>
        <w:t xml:space="preserve"> </w:t>
      </w:r>
      <w:r w:rsidR="001F3734" w:rsidRPr="006A368B">
        <w:rPr>
          <w:rFonts w:ascii="Bookman Old Style" w:hAnsi="Bookman Old Style"/>
          <w:sz w:val="24"/>
          <w:szCs w:val="24"/>
          <w:lang w:val="sv-FI"/>
        </w:rPr>
        <w:t>Kota</w:t>
      </w:r>
      <w:r w:rsidR="00A954D0" w:rsidRPr="006A368B">
        <w:rPr>
          <w:rFonts w:ascii="Bookman Old Style" w:hAnsi="Bookman Old Style"/>
          <w:sz w:val="24"/>
          <w:szCs w:val="24"/>
          <w:lang w:val="sv-FI"/>
        </w:rPr>
        <w:t xml:space="preserve"> </w:t>
      </w:r>
      <w:r w:rsidR="001F3734" w:rsidRPr="006A368B">
        <w:rPr>
          <w:rFonts w:ascii="Bookman Old Style" w:hAnsi="Bookman Old Style"/>
          <w:sz w:val="24"/>
          <w:szCs w:val="24"/>
          <w:lang w:val="sv-FI"/>
        </w:rPr>
        <w:t>Tangerang</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tentang</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APBD</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Tahun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Anggaran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2025</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agar</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berpedoman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pada</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butir</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3.4.1.4</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Lampiran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Peraturan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Menteri</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Dalam</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Negeri.</w:t>
      </w:r>
    </w:p>
    <w:p w14:paraId="4BDED5A9" w14:textId="71C5449E" w:rsidR="003B7FE4" w:rsidRPr="006A368B" w:rsidRDefault="003B7FE4" w:rsidP="000B2AAF">
      <w:pPr>
        <w:pStyle w:val="ListParagraph"/>
        <w:numPr>
          <w:ilvl w:val="0"/>
          <w:numId w:val="15"/>
        </w:numPr>
        <w:spacing w:before="60" w:after="0" w:line="276" w:lineRule="auto"/>
        <w:ind w:left="1701" w:hanging="425"/>
        <w:contextualSpacing w:val="0"/>
        <w:jc w:val="both"/>
        <w:rPr>
          <w:rFonts w:ascii="Bookman Old Style" w:hAnsi="Bookman Old Style"/>
          <w:sz w:val="24"/>
          <w:szCs w:val="24"/>
          <w:lang w:val="en-US"/>
        </w:rPr>
      </w:pPr>
      <w:r w:rsidRPr="006A368B">
        <w:rPr>
          <w:rFonts w:ascii="Bookman Old Style" w:hAnsi="Bookman Old Style"/>
          <w:sz w:val="24"/>
          <w:szCs w:val="24"/>
        </w:rPr>
        <w:t>Belanja</w:t>
      </w:r>
      <w:r w:rsidR="00A954D0" w:rsidRPr="006A368B">
        <w:rPr>
          <w:rFonts w:ascii="Bookman Old Style" w:hAnsi="Bookman Old Style"/>
          <w:sz w:val="24"/>
          <w:szCs w:val="24"/>
        </w:rPr>
        <w:t xml:space="preserve"> </w:t>
      </w:r>
      <w:r w:rsidRPr="006A368B">
        <w:rPr>
          <w:rFonts w:ascii="Bookman Old Style" w:hAnsi="Bookman Old Style"/>
          <w:sz w:val="24"/>
          <w:szCs w:val="24"/>
        </w:rPr>
        <w:t>Hibah</w:t>
      </w:r>
      <w:r w:rsidR="00A954D0" w:rsidRPr="006A368B">
        <w:rPr>
          <w:rFonts w:ascii="Bookman Old Style" w:hAnsi="Bookman Old Style"/>
          <w:sz w:val="24"/>
          <w:szCs w:val="24"/>
        </w:rPr>
        <w:t xml:space="preserve"> </w:t>
      </w:r>
    </w:p>
    <w:p w14:paraId="3EB78551" w14:textId="255135EF" w:rsidR="003B7FE4" w:rsidRPr="006A368B" w:rsidRDefault="00FE27A1" w:rsidP="000B2AAF">
      <w:pPr>
        <w:pStyle w:val="ListParagraph"/>
        <w:spacing w:before="60" w:after="0" w:line="276" w:lineRule="auto"/>
        <w:ind w:left="1701"/>
        <w:contextualSpacing w:val="0"/>
        <w:jc w:val="both"/>
        <w:rPr>
          <w:rFonts w:ascii="Bookman Old Style" w:hAnsi="Bookman Old Style"/>
          <w:sz w:val="24"/>
          <w:szCs w:val="24"/>
          <w:lang w:val="en-US"/>
        </w:rPr>
      </w:pPr>
      <w:r w:rsidRPr="006A368B">
        <w:rPr>
          <w:rFonts w:ascii="Bookman Old Style" w:hAnsi="Bookman Old Style"/>
          <w:sz w:val="24"/>
          <w:szCs w:val="24"/>
        </w:rPr>
        <w:t>Penyediaan</w:t>
      </w:r>
      <w:r w:rsidR="00A954D0" w:rsidRPr="006A368B">
        <w:rPr>
          <w:rFonts w:ascii="Bookman Old Style" w:hAnsi="Bookman Old Style"/>
          <w:sz w:val="24"/>
          <w:szCs w:val="24"/>
        </w:rPr>
        <w:t xml:space="preserve"> </w:t>
      </w:r>
      <w:r w:rsidRPr="006A368B">
        <w:rPr>
          <w:rFonts w:ascii="Bookman Old Style" w:hAnsi="Bookman Old Style"/>
          <w:sz w:val="24"/>
          <w:szCs w:val="24"/>
        </w:rPr>
        <w:t>anggaran</w:t>
      </w:r>
      <w:r w:rsidR="00A954D0" w:rsidRPr="006A368B">
        <w:rPr>
          <w:rFonts w:ascii="Bookman Old Style" w:hAnsi="Bookman Old Style"/>
          <w:sz w:val="24"/>
          <w:szCs w:val="24"/>
        </w:rPr>
        <w:t xml:space="preserve"> </w:t>
      </w:r>
      <w:r w:rsidRPr="006A368B">
        <w:rPr>
          <w:rFonts w:ascii="Bookman Old Style" w:hAnsi="Bookman Old Style"/>
          <w:sz w:val="24"/>
          <w:szCs w:val="24"/>
        </w:rPr>
        <w:t>Belanja</w:t>
      </w:r>
      <w:r w:rsidR="00A954D0" w:rsidRPr="006A368B">
        <w:rPr>
          <w:rFonts w:ascii="Bookman Old Style" w:hAnsi="Bookman Old Style"/>
          <w:sz w:val="24"/>
          <w:szCs w:val="24"/>
          <w:lang w:val="id-ID"/>
        </w:rPr>
        <w:t xml:space="preserve"> </w:t>
      </w:r>
      <w:r w:rsidRPr="006A368B">
        <w:rPr>
          <w:rFonts w:ascii="Bookman Old Style" w:hAnsi="Bookman Old Style"/>
          <w:sz w:val="24"/>
          <w:szCs w:val="24"/>
          <w:lang w:val="id-ID"/>
        </w:rPr>
        <w:t>Hibah</w:t>
      </w:r>
      <w:r w:rsidR="00A954D0" w:rsidRPr="006A368B">
        <w:rPr>
          <w:rFonts w:ascii="Bookman Old Style" w:hAnsi="Bookman Old Style"/>
          <w:sz w:val="24"/>
          <w:szCs w:val="24"/>
          <w:lang w:val="en-US"/>
        </w:rPr>
        <w:t xml:space="preserve"> </w:t>
      </w:r>
      <w:r w:rsidRPr="006A368B">
        <w:rPr>
          <w:rFonts w:ascii="Bookman Old Style" w:hAnsi="Bookman Old Style" w:cs="Arial"/>
          <w:sz w:val="24"/>
          <w:szCs w:val="24"/>
          <w:lang w:val="en-US"/>
        </w:rPr>
        <w:t>Rp161.369.902.220,00</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atau</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2,83</w:t>
      </w:r>
      <w:r w:rsidRPr="006A368B">
        <w:rPr>
          <w:rFonts w:ascii="Bookman Old Style" w:hAnsi="Bookman Old Style" w:cs="Arial"/>
          <w:sz w:val="24"/>
          <w:szCs w:val="24"/>
          <w:lang w:val="id-ID"/>
        </w:rPr>
        <w:t>%</w:t>
      </w:r>
      <w:r w:rsidR="00A954D0" w:rsidRPr="006A368B">
        <w:rPr>
          <w:rFonts w:ascii="Bookman Old Style" w:hAnsi="Bookman Old Style"/>
          <w:sz w:val="24"/>
          <w:szCs w:val="24"/>
        </w:rPr>
        <w:t xml:space="preserve"> </w:t>
      </w:r>
      <w:r w:rsidRPr="006A368B">
        <w:rPr>
          <w:rFonts w:ascii="Bookman Old Style" w:hAnsi="Bookman Old Style"/>
          <w:sz w:val="24"/>
          <w:szCs w:val="24"/>
        </w:rPr>
        <w:t>dari</w:t>
      </w:r>
      <w:r w:rsidR="00A954D0" w:rsidRPr="006A368B">
        <w:rPr>
          <w:rFonts w:ascii="Bookman Old Style" w:hAnsi="Bookman Old Style"/>
          <w:sz w:val="24"/>
          <w:szCs w:val="24"/>
        </w:rPr>
        <w:t xml:space="preserve"> </w:t>
      </w:r>
      <w:r w:rsidRPr="006A368B">
        <w:rPr>
          <w:rFonts w:ascii="Bookman Old Style" w:hAnsi="Bookman Old Style"/>
          <w:sz w:val="24"/>
          <w:szCs w:val="24"/>
        </w:rPr>
        <w:t>total</w:t>
      </w:r>
      <w:r w:rsidR="00A954D0" w:rsidRPr="006A368B">
        <w:rPr>
          <w:rFonts w:ascii="Bookman Old Style" w:hAnsi="Bookman Old Style"/>
          <w:sz w:val="24"/>
          <w:szCs w:val="24"/>
        </w:rPr>
        <w:t xml:space="preserve"> </w:t>
      </w:r>
      <w:r w:rsidRPr="006A368B">
        <w:rPr>
          <w:rFonts w:ascii="Bookman Old Style" w:hAnsi="Bookman Old Style"/>
          <w:sz w:val="24"/>
          <w:szCs w:val="24"/>
        </w:rPr>
        <w:t>belanja</w:t>
      </w:r>
      <w:r w:rsidR="00A954D0" w:rsidRPr="006A368B">
        <w:rPr>
          <w:rFonts w:ascii="Bookman Old Style" w:hAnsi="Bookman Old Style"/>
          <w:sz w:val="24"/>
          <w:szCs w:val="24"/>
        </w:rPr>
        <w:t xml:space="preserve"> </w:t>
      </w:r>
      <w:r w:rsidRPr="006A368B">
        <w:rPr>
          <w:rFonts w:ascii="Bookman Old Style" w:hAnsi="Bookman Old Style"/>
          <w:sz w:val="24"/>
          <w:szCs w:val="24"/>
        </w:rPr>
        <w:t>daerah</w:t>
      </w:r>
      <w:r w:rsidR="00A954D0" w:rsidRPr="006A368B">
        <w:rPr>
          <w:rFonts w:ascii="Bookman Old Style" w:hAnsi="Bookman Old Style"/>
          <w:sz w:val="24"/>
          <w:szCs w:val="24"/>
        </w:rPr>
        <w:t xml:space="preserve"> </w:t>
      </w:r>
      <w:r w:rsidRPr="006A368B">
        <w:rPr>
          <w:rFonts w:ascii="Bookman Old Style" w:hAnsi="Bookman Old Style"/>
          <w:sz w:val="24"/>
          <w:szCs w:val="24"/>
        </w:rPr>
        <w:t>dalam</w:t>
      </w:r>
      <w:r w:rsidR="00A954D0" w:rsidRPr="006A368B">
        <w:rPr>
          <w:rFonts w:ascii="Bookman Old Style" w:hAnsi="Bookman Old Style"/>
          <w:sz w:val="24"/>
          <w:szCs w:val="24"/>
        </w:rPr>
        <w:t xml:space="preserve"> </w:t>
      </w:r>
      <w:r w:rsidRPr="006A368B">
        <w:rPr>
          <w:rFonts w:ascii="Bookman Old Style" w:hAnsi="Bookman Old Style"/>
          <w:sz w:val="24"/>
          <w:szCs w:val="24"/>
        </w:rPr>
        <w:t>Rancangan</w:t>
      </w:r>
      <w:r w:rsidR="00A954D0" w:rsidRPr="006A368B">
        <w:rPr>
          <w:rFonts w:ascii="Bookman Old Style" w:hAnsi="Bookman Old Style"/>
          <w:sz w:val="24"/>
          <w:szCs w:val="24"/>
        </w:rPr>
        <w:t xml:space="preserve"> </w:t>
      </w:r>
      <w:r w:rsidRPr="006A368B">
        <w:rPr>
          <w:rFonts w:ascii="Bookman Old Style" w:hAnsi="Bookman Old Style"/>
          <w:sz w:val="24"/>
          <w:szCs w:val="24"/>
        </w:rPr>
        <w:t>Peraturan</w:t>
      </w:r>
      <w:r w:rsidR="00A954D0" w:rsidRPr="006A368B">
        <w:rPr>
          <w:rFonts w:ascii="Bookman Old Style" w:hAnsi="Bookman Old Style"/>
          <w:sz w:val="24"/>
          <w:szCs w:val="24"/>
        </w:rPr>
        <w:t xml:space="preserve"> </w:t>
      </w:r>
      <w:r w:rsidRPr="006A368B">
        <w:rPr>
          <w:rFonts w:ascii="Bookman Old Style" w:hAnsi="Bookman Old Style"/>
          <w:sz w:val="24"/>
          <w:szCs w:val="24"/>
        </w:rPr>
        <w:t>Daerah</w:t>
      </w:r>
      <w:r w:rsidR="00A954D0" w:rsidRPr="006A368B">
        <w:rPr>
          <w:rFonts w:ascii="Bookman Old Style" w:hAnsi="Bookman Old Style"/>
          <w:sz w:val="24"/>
          <w:szCs w:val="24"/>
        </w:rPr>
        <w:t xml:space="preserve"> </w:t>
      </w:r>
      <w:r w:rsidRPr="006A368B">
        <w:rPr>
          <w:rFonts w:ascii="Bookman Old Style" w:hAnsi="Bookman Old Style"/>
          <w:sz w:val="24"/>
          <w:szCs w:val="24"/>
          <w:lang w:val="en-US"/>
        </w:rPr>
        <w:t>Kota</w:t>
      </w:r>
      <w:r w:rsidR="00A954D0" w:rsidRPr="006A368B">
        <w:rPr>
          <w:rFonts w:ascii="Bookman Old Style" w:hAnsi="Bookman Old Style"/>
          <w:sz w:val="24"/>
          <w:szCs w:val="24"/>
          <w:lang w:val="en-US"/>
        </w:rPr>
        <w:t xml:space="preserve"> </w:t>
      </w:r>
      <w:r w:rsidRPr="006A368B">
        <w:rPr>
          <w:rFonts w:ascii="Bookman Old Style" w:hAnsi="Bookman Old Style"/>
          <w:sz w:val="24"/>
          <w:szCs w:val="24"/>
          <w:lang w:val="en-US"/>
        </w:rPr>
        <w:t>Tangerang</w:t>
      </w:r>
      <w:r w:rsidR="00A954D0" w:rsidRPr="006A368B">
        <w:rPr>
          <w:rFonts w:ascii="Bookman Old Style" w:hAnsi="Bookman Old Style"/>
          <w:sz w:val="24"/>
          <w:szCs w:val="24"/>
        </w:rPr>
        <w:t xml:space="preserve"> </w:t>
      </w:r>
      <w:r w:rsidRPr="006A368B">
        <w:rPr>
          <w:rFonts w:ascii="Bookman Old Style" w:hAnsi="Bookman Old Style"/>
          <w:sz w:val="24"/>
          <w:szCs w:val="24"/>
        </w:rPr>
        <w:t>tentang</w:t>
      </w:r>
      <w:r w:rsidR="00A954D0" w:rsidRPr="006A368B">
        <w:rPr>
          <w:rFonts w:ascii="Bookman Old Style" w:hAnsi="Bookman Old Style"/>
          <w:sz w:val="24"/>
          <w:szCs w:val="24"/>
        </w:rPr>
        <w:t xml:space="preserve"> </w:t>
      </w:r>
      <w:r w:rsidRPr="006A368B">
        <w:rPr>
          <w:rFonts w:ascii="Bookman Old Style" w:hAnsi="Bookman Old Style"/>
          <w:sz w:val="24"/>
          <w:szCs w:val="24"/>
        </w:rPr>
        <w:t>APBD</w:t>
      </w:r>
      <w:r w:rsidR="00A954D0" w:rsidRPr="006A368B">
        <w:rPr>
          <w:rFonts w:ascii="Bookman Old Style" w:hAnsi="Bookman Old Style"/>
          <w:sz w:val="24"/>
          <w:szCs w:val="24"/>
        </w:rPr>
        <w:t xml:space="preserve"> </w:t>
      </w:r>
      <w:r w:rsidRPr="006A368B">
        <w:rPr>
          <w:rFonts w:ascii="Bookman Old Style" w:hAnsi="Bookman Old Style"/>
          <w:sz w:val="24"/>
          <w:szCs w:val="24"/>
        </w:rPr>
        <w:t>Tahun</w:t>
      </w:r>
      <w:r w:rsidR="00A954D0" w:rsidRPr="006A368B">
        <w:rPr>
          <w:rFonts w:ascii="Bookman Old Style" w:hAnsi="Bookman Old Style"/>
          <w:sz w:val="24"/>
          <w:szCs w:val="24"/>
        </w:rPr>
        <w:t xml:space="preserve"> </w:t>
      </w:r>
      <w:r w:rsidRPr="006A368B">
        <w:rPr>
          <w:rFonts w:ascii="Bookman Old Style" w:hAnsi="Bookman Old Style"/>
          <w:sz w:val="24"/>
          <w:szCs w:val="24"/>
        </w:rPr>
        <w:t>Anggaran</w:t>
      </w:r>
      <w:r w:rsidR="00A954D0" w:rsidRPr="006A368B">
        <w:rPr>
          <w:rFonts w:ascii="Bookman Old Style" w:hAnsi="Bookman Old Style"/>
          <w:sz w:val="24"/>
          <w:szCs w:val="24"/>
        </w:rPr>
        <w:t xml:space="preserve"> </w:t>
      </w:r>
      <w:r w:rsidRPr="006A368B">
        <w:rPr>
          <w:rFonts w:ascii="Bookman Old Style" w:hAnsi="Bookman Old Style"/>
          <w:sz w:val="24"/>
          <w:szCs w:val="24"/>
        </w:rPr>
        <w:t>2025</w:t>
      </w:r>
      <w:r w:rsidRPr="006A368B">
        <w:rPr>
          <w:rFonts w:ascii="Bookman Old Style" w:hAnsi="Bookman Old Style"/>
          <w:sz w:val="24"/>
          <w:szCs w:val="24"/>
          <w:lang w:val="en-US"/>
        </w:rPr>
        <w:t>,</w:t>
      </w:r>
      <w:r w:rsidR="00A954D0" w:rsidRPr="006A368B">
        <w:rPr>
          <w:rFonts w:ascii="Bookman Old Style" w:hAnsi="Bookman Old Style"/>
          <w:sz w:val="24"/>
          <w:szCs w:val="24"/>
          <w:lang w:val="en-US"/>
        </w:rPr>
        <w:t xml:space="preserve"> </w:t>
      </w:r>
      <w:r w:rsidRPr="006A368B">
        <w:rPr>
          <w:rFonts w:ascii="Bookman Old Style" w:hAnsi="Bookman Old Style"/>
          <w:sz w:val="24"/>
          <w:szCs w:val="24"/>
          <w:lang w:val="en-US"/>
        </w:rPr>
        <w:t>sebagaimana</w:t>
      </w:r>
      <w:r w:rsidR="00A954D0" w:rsidRPr="006A368B">
        <w:rPr>
          <w:rFonts w:ascii="Bookman Old Style" w:hAnsi="Bookman Old Style"/>
          <w:sz w:val="24"/>
          <w:szCs w:val="24"/>
          <w:lang w:val="en-US"/>
        </w:rPr>
        <w:t xml:space="preserve"> </w:t>
      </w:r>
      <w:r w:rsidRPr="006A368B">
        <w:rPr>
          <w:rFonts w:ascii="Bookman Old Style" w:hAnsi="Bookman Old Style"/>
          <w:sz w:val="24"/>
          <w:szCs w:val="24"/>
          <w:lang w:val="en-US"/>
        </w:rPr>
        <w:t>Tabel</w:t>
      </w:r>
      <w:r w:rsidR="00A954D0" w:rsidRPr="006A368B">
        <w:rPr>
          <w:rFonts w:ascii="Bookman Old Style" w:hAnsi="Bookman Old Style"/>
          <w:sz w:val="24"/>
          <w:szCs w:val="24"/>
          <w:lang w:val="en-US"/>
        </w:rPr>
        <w:t xml:space="preserve"> </w:t>
      </w:r>
      <w:r w:rsidR="004B2568" w:rsidRPr="006A368B">
        <w:rPr>
          <w:rFonts w:ascii="Bookman Old Style" w:hAnsi="Bookman Old Style"/>
          <w:sz w:val="24"/>
          <w:szCs w:val="24"/>
          <w:lang w:val="en-US"/>
        </w:rPr>
        <w:t>24</w:t>
      </w:r>
      <w:r w:rsidRPr="006A368B">
        <w:rPr>
          <w:rFonts w:ascii="Bookman Old Style" w:hAnsi="Bookman Old Style"/>
          <w:sz w:val="24"/>
          <w:szCs w:val="24"/>
          <w:lang w:val="id-ID"/>
        </w:rPr>
        <w:t>,</w:t>
      </w:r>
      <w:r w:rsidR="00A954D0" w:rsidRPr="006A368B">
        <w:rPr>
          <w:rFonts w:ascii="Bookman Old Style" w:hAnsi="Bookman Old Style"/>
          <w:sz w:val="24"/>
          <w:szCs w:val="24"/>
          <w:lang w:val="en-US"/>
        </w:rPr>
        <w:t xml:space="preserve"> </w:t>
      </w:r>
      <w:r w:rsidRPr="006A368B">
        <w:rPr>
          <w:rFonts w:ascii="Bookman Old Style" w:hAnsi="Bookman Old Style"/>
          <w:sz w:val="24"/>
          <w:szCs w:val="24"/>
          <w:lang w:val="en-US"/>
        </w:rPr>
        <w:t>sebagai</w:t>
      </w:r>
      <w:r w:rsidR="00A954D0" w:rsidRPr="006A368B">
        <w:rPr>
          <w:rFonts w:ascii="Bookman Old Style" w:hAnsi="Bookman Old Style"/>
          <w:sz w:val="24"/>
          <w:szCs w:val="24"/>
          <w:lang w:val="en-US"/>
        </w:rPr>
        <w:t xml:space="preserve"> </w:t>
      </w:r>
      <w:r w:rsidRPr="006A368B">
        <w:rPr>
          <w:rFonts w:ascii="Bookman Old Style" w:hAnsi="Bookman Old Style"/>
          <w:sz w:val="24"/>
          <w:szCs w:val="24"/>
          <w:lang w:val="en-US"/>
        </w:rPr>
        <w:t>berikut:</w:t>
      </w:r>
    </w:p>
    <w:p w14:paraId="218254DC" w14:textId="7C1142AF" w:rsidR="003B7FE4" w:rsidRPr="006A368B" w:rsidRDefault="003B7FE4" w:rsidP="00C40941">
      <w:pPr>
        <w:pStyle w:val="ListParagraph"/>
        <w:spacing w:before="60" w:after="0" w:line="276" w:lineRule="auto"/>
        <w:ind w:left="1806"/>
        <w:contextualSpacing w:val="0"/>
        <w:jc w:val="center"/>
        <w:rPr>
          <w:rFonts w:ascii="Bookman Old Style" w:hAnsi="Bookman Old Style"/>
          <w:sz w:val="24"/>
          <w:szCs w:val="24"/>
          <w:lang w:val="en-US"/>
        </w:rPr>
      </w:pPr>
      <w:r w:rsidRPr="006A368B">
        <w:rPr>
          <w:rFonts w:ascii="Bookman Old Style" w:hAnsi="Bookman Old Style"/>
          <w:sz w:val="24"/>
          <w:szCs w:val="24"/>
        </w:rPr>
        <w:lastRenderedPageBreak/>
        <w:t>Tabel</w:t>
      </w:r>
      <w:r w:rsidR="00A954D0" w:rsidRPr="006A368B">
        <w:rPr>
          <w:rFonts w:ascii="Bookman Old Style" w:hAnsi="Bookman Old Style"/>
          <w:sz w:val="24"/>
          <w:szCs w:val="24"/>
        </w:rPr>
        <w:t xml:space="preserve"> </w:t>
      </w:r>
      <w:r w:rsidR="00797E71" w:rsidRPr="006A368B">
        <w:rPr>
          <w:rFonts w:ascii="Bookman Old Style" w:hAnsi="Bookman Old Style"/>
          <w:sz w:val="24"/>
          <w:szCs w:val="24"/>
        </w:rPr>
        <w:t>2</w:t>
      </w:r>
      <w:r w:rsidR="004B2568" w:rsidRPr="006A368B">
        <w:rPr>
          <w:rFonts w:ascii="Bookman Old Style" w:hAnsi="Bookman Old Style"/>
          <w:sz w:val="24"/>
          <w:szCs w:val="24"/>
          <w:lang w:val="en-US"/>
        </w:rPr>
        <w:t>4</w:t>
      </w:r>
    </w:p>
    <w:p w14:paraId="1FFE4CFF" w14:textId="6F721B6E" w:rsidR="003B7FE4" w:rsidRPr="006A368B" w:rsidRDefault="003B7FE4" w:rsidP="00C40941">
      <w:pPr>
        <w:pStyle w:val="ListParagraph"/>
        <w:spacing w:before="60" w:after="120" w:line="276" w:lineRule="auto"/>
        <w:ind w:left="1806"/>
        <w:contextualSpacing w:val="0"/>
        <w:jc w:val="center"/>
        <w:rPr>
          <w:rFonts w:ascii="Bookman Old Style" w:hAnsi="Bookman Old Style"/>
          <w:sz w:val="24"/>
          <w:szCs w:val="24"/>
          <w:lang w:val="sv-FI"/>
        </w:rPr>
      </w:pPr>
      <w:r w:rsidRPr="006A368B">
        <w:rPr>
          <w:rFonts w:ascii="Bookman Old Style" w:hAnsi="Bookman Old Style"/>
          <w:sz w:val="24"/>
          <w:szCs w:val="24"/>
          <w:lang w:val="sv-FI"/>
        </w:rPr>
        <w:t>Tren</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Belanja</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Hibah</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terhadap</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Belanja</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Daerah</w:t>
      </w:r>
    </w:p>
    <w:tbl>
      <w:tblPr>
        <w:tblW w:w="872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2009"/>
        <w:gridCol w:w="2009"/>
        <w:gridCol w:w="721"/>
        <w:gridCol w:w="2179"/>
        <w:gridCol w:w="717"/>
      </w:tblGrid>
      <w:tr w:rsidR="008174DB" w:rsidRPr="006A368B" w14:paraId="79EEF6C1" w14:textId="77777777" w:rsidTr="004B2568">
        <w:trPr>
          <w:trHeight w:val="563"/>
        </w:trPr>
        <w:tc>
          <w:tcPr>
            <w:tcW w:w="1091" w:type="dxa"/>
            <w:shd w:val="clear" w:color="auto" w:fill="auto"/>
            <w:vAlign w:val="center"/>
            <w:hideMark/>
          </w:tcPr>
          <w:p w14:paraId="4E39F913" w14:textId="346D4D68" w:rsidR="007D1E06" w:rsidRPr="006A368B" w:rsidRDefault="007D1E06" w:rsidP="0023341C">
            <w:pPr>
              <w:jc w:val="center"/>
              <w:rPr>
                <w:rFonts w:ascii="Bookman Old Style" w:hAnsi="Bookman Old Style" w:cs="Calibri"/>
                <w:b/>
                <w:bCs/>
                <w:sz w:val="18"/>
                <w:szCs w:val="18"/>
              </w:rPr>
            </w:pPr>
            <w:r w:rsidRPr="006A368B">
              <w:rPr>
                <w:rFonts w:ascii="Bookman Old Style" w:hAnsi="Bookman Old Style" w:cs="Calibri"/>
                <w:b/>
                <w:bCs/>
                <w:sz w:val="18"/>
                <w:szCs w:val="18"/>
              </w:rPr>
              <w:t>Tahun</w:t>
            </w:r>
            <w:r w:rsidR="00A954D0" w:rsidRPr="006A368B">
              <w:rPr>
                <w:rFonts w:ascii="Bookman Old Style" w:hAnsi="Bookman Old Style" w:cs="Calibri"/>
                <w:b/>
                <w:bCs/>
                <w:sz w:val="18"/>
                <w:szCs w:val="18"/>
              </w:rPr>
              <w:t xml:space="preserve"> </w:t>
            </w:r>
            <w:r w:rsidRPr="006A368B">
              <w:rPr>
                <w:rFonts w:ascii="Bookman Old Style" w:hAnsi="Bookman Old Style" w:cs="Calibri"/>
                <w:b/>
                <w:bCs/>
                <w:sz w:val="18"/>
                <w:szCs w:val="18"/>
              </w:rPr>
              <w:t>Anggaran</w:t>
            </w:r>
          </w:p>
        </w:tc>
        <w:tc>
          <w:tcPr>
            <w:tcW w:w="2009" w:type="dxa"/>
            <w:shd w:val="clear" w:color="auto" w:fill="auto"/>
            <w:vAlign w:val="center"/>
            <w:hideMark/>
          </w:tcPr>
          <w:p w14:paraId="2AC557FE" w14:textId="7CCB3FDA" w:rsidR="007D1E06" w:rsidRPr="006A368B" w:rsidRDefault="007D1E06" w:rsidP="0023341C">
            <w:pPr>
              <w:jc w:val="center"/>
              <w:rPr>
                <w:rFonts w:ascii="Bookman Old Style" w:hAnsi="Bookman Old Style" w:cs="Calibri"/>
                <w:b/>
                <w:bCs/>
                <w:sz w:val="18"/>
                <w:szCs w:val="18"/>
              </w:rPr>
            </w:pPr>
            <w:r w:rsidRPr="006A368B">
              <w:rPr>
                <w:rFonts w:ascii="Bookman Old Style" w:hAnsi="Bookman Old Style" w:cs="Calibri"/>
                <w:b/>
                <w:bCs/>
                <w:sz w:val="18"/>
                <w:szCs w:val="18"/>
              </w:rPr>
              <w:t>Belanja</w:t>
            </w:r>
            <w:r w:rsidR="00A954D0" w:rsidRPr="006A368B">
              <w:rPr>
                <w:rFonts w:ascii="Bookman Old Style" w:hAnsi="Bookman Old Style" w:cs="Calibri"/>
                <w:b/>
                <w:bCs/>
                <w:sz w:val="18"/>
                <w:szCs w:val="18"/>
              </w:rPr>
              <w:t xml:space="preserve"> </w:t>
            </w:r>
            <w:r w:rsidRPr="006A368B">
              <w:rPr>
                <w:rFonts w:ascii="Bookman Old Style" w:hAnsi="Bookman Old Style" w:cs="Calibri"/>
                <w:b/>
                <w:bCs/>
                <w:sz w:val="18"/>
                <w:szCs w:val="18"/>
              </w:rPr>
              <w:t>Hibah</w:t>
            </w:r>
          </w:p>
          <w:p w14:paraId="21151F0D" w14:textId="6FCD6DF5" w:rsidR="007D1E06" w:rsidRPr="006A368B" w:rsidRDefault="007D1E06" w:rsidP="0023341C">
            <w:pPr>
              <w:jc w:val="center"/>
              <w:rPr>
                <w:rFonts w:ascii="Bookman Old Style" w:hAnsi="Bookman Old Style" w:cs="Calibri"/>
                <w:b/>
                <w:bCs/>
                <w:sz w:val="18"/>
                <w:szCs w:val="18"/>
              </w:rPr>
            </w:pPr>
            <w:r w:rsidRPr="006A368B">
              <w:rPr>
                <w:rFonts w:ascii="Bookman Old Style" w:hAnsi="Bookman Old Style" w:cs="Calibri"/>
                <w:b/>
                <w:bCs/>
                <w:sz w:val="18"/>
                <w:szCs w:val="18"/>
              </w:rPr>
              <w:t>(Rp)</w:t>
            </w:r>
          </w:p>
        </w:tc>
        <w:tc>
          <w:tcPr>
            <w:tcW w:w="2009" w:type="dxa"/>
            <w:shd w:val="clear" w:color="auto" w:fill="auto"/>
            <w:vAlign w:val="center"/>
            <w:hideMark/>
          </w:tcPr>
          <w:p w14:paraId="58DB0A43" w14:textId="1274D92A" w:rsidR="007D1E06" w:rsidRPr="006A368B" w:rsidRDefault="007D1E06" w:rsidP="0023341C">
            <w:pPr>
              <w:jc w:val="center"/>
              <w:rPr>
                <w:rFonts w:ascii="Bookman Old Style" w:hAnsi="Bookman Old Style" w:cs="Calibri"/>
                <w:b/>
                <w:bCs/>
                <w:sz w:val="18"/>
                <w:szCs w:val="18"/>
              </w:rPr>
            </w:pPr>
            <w:r w:rsidRPr="006A368B">
              <w:rPr>
                <w:rFonts w:ascii="Bookman Old Style" w:hAnsi="Bookman Old Style" w:cs="Calibri"/>
                <w:b/>
                <w:bCs/>
                <w:sz w:val="18"/>
                <w:szCs w:val="18"/>
              </w:rPr>
              <w:t>Realisasi</w:t>
            </w:r>
            <w:r w:rsidR="00A954D0" w:rsidRPr="006A368B">
              <w:rPr>
                <w:rFonts w:ascii="Bookman Old Style" w:hAnsi="Bookman Old Style" w:cs="Calibri"/>
                <w:b/>
                <w:bCs/>
                <w:sz w:val="18"/>
                <w:szCs w:val="18"/>
              </w:rPr>
              <w:t xml:space="preserve"> </w:t>
            </w:r>
            <w:r w:rsidRPr="006A368B">
              <w:rPr>
                <w:rFonts w:ascii="Bookman Old Style" w:hAnsi="Bookman Old Style" w:cs="Calibri"/>
                <w:b/>
                <w:bCs/>
                <w:sz w:val="18"/>
                <w:szCs w:val="18"/>
              </w:rPr>
              <w:t>Belanja</w:t>
            </w:r>
            <w:r w:rsidR="00A954D0" w:rsidRPr="006A368B">
              <w:rPr>
                <w:rFonts w:ascii="Bookman Old Style" w:hAnsi="Bookman Old Style" w:cs="Calibri"/>
                <w:b/>
                <w:bCs/>
                <w:sz w:val="18"/>
                <w:szCs w:val="18"/>
              </w:rPr>
              <w:t xml:space="preserve"> </w:t>
            </w:r>
            <w:r w:rsidRPr="006A368B">
              <w:rPr>
                <w:rFonts w:ascii="Bookman Old Style" w:hAnsi="Bookman Old Style" w:cs="Calibri"/>
                <w:b/>
                <w:bCs/>
                <w:sz w:val="18"/>
                <w:szCs w:val="18"/>
              </w:rPr>
              <w:t>Hibah</w:t>
            </w:r>
          </w:p>
          <w:p w14:paraId="425504B2" w14:textId="6625905E" w:rsidR="007D1E06" w:rsidRPr="006A368B" w:rsidRDefault="007D1E06" w:rsidP="0023341C">
            <w:pPr>
              <w:jc w:val="center"/>
              <w:rPr>
                <w:rFonts w:ascii="Bookman Old Style" w:hAnsi="Bookman Old Style" w:cs="Calibri"/>
                <w:b/>
                <w:bCs/>
                <w:sz w:val="18"/>
                <w:szCs w:val="18"/>
              </w:rPr>
            </w:pPr>
            <w:r w:rsidRPr="006A368B">
              <w:rPr>
                <w:rFonts w:ascii="Bookman Old Style" w:hAnsi="Bookman Old Style" w:cs="Calibri"/>
                <w:b/>
                <w:bCs/>
                <w:sz w:val="18"/>
                <w:szCs w:val="18"/>
              </w:rPr>
              <w:t>(Rp)</w:t>
            </w:r>
          </w:p>
        </w:tc>
        <w:tc>
          <w:tcPr>
            <w:tcW w:w="721" w:type="dxa"/>
            <w:shd w:val="clear" w:color="auto" w:fill="auto"/>
            <w:vAlign w:val="center"/>
            <w:hideMark/>
          </w:tcPr>
          <w:p w14:paraId="52A20BBC" w14:textId="77777777" w:rsidR="007D1E06" w:rsidRPr="006A368B" w:rsidRDefault="007D1E06" w:rsidP="0023341C">
            <w:pPr>
              <w:jc w:val="center"/>
              <w:rPr>
                <w:rFonts w:ascii="Bookman Old Style" w:hAnsi="Bookman Old Style" w:cs="Calibri"/>
                <w:b/>
                <w:bCs/>
                <w:sz w:val="18"/>
                <w:szCs w:val="18"/>
              </w:rPr>
            </w:pPr>
            <w:r w:rsidRPr="006A368B">
              <w:rPr>
                <w:rFonts w:ascii="Bookman Old Style" w:hAnsi="Bookman Old Style" w:cs="Calibri"/>
                <w:b/>
                <w:bCs/>
                <w:sz w:val="18"/>
                <w:szCs w:val="18"/>
              </w:rPr>
              <w:t>%</w:t>
            </w:r>
          </w:p>
        </w:tc>
        <w:tc>
          <w:tcPr>
            <w:tcW w:w="2179" w:type="dxa"/>
            <w:shd w:val="clear" w:color="auto" w:fill="auto"/>
            <w:vAlign w:val="center"/>
            <w:hideMark/>
          </w:tcPr>
          <w:p w14:paraId="075AC9CC" w14:textId="5B9830B0" w:rsidR="007D1E06" w:rsidRPr="006A368B" w:rsidRDefault="007D1E06" w:rsidP="0023341C">
            <w:pPr>
              <w:jc w:val="center"/>
              <w:rPr>
                <w:rFonts w:ascii="Bookman Old Style" w:hAnsi="Bookman Old Style" w:cs="Calibri"/>
                <w:b/>
                <w:bCs/>
                <w:sz w:val="18"/>
                <w:szCs w:val="18"/>
              </w:rPr>
            </w:pPr>
            <w:r w:rsidRPr="006A368B">
              <w:rPr>
                <w:rFonts w:ascii="Bookman Old Style" w:hAnsi="Bookman Old Style" w:cs="Calibri"/>
                <w:b/>
                <w:bCs/>
                <w:sz w:val="18"/>
                <w:szCs w:val="18"/>
              </w:rPr>
              <w:t>Total</w:t>
            </w:r>
            <w:r w:rsidR="00A954D0" w:rsidRPr="006A368B">
              <w:rPr>
                <w:rFonts w:ascii="Bookman Old Style" w:hAnsi="Bookman Old Style" w:cs="Calibri"/>
                <w:b/>
                <w:bCs/>
                <w:sz w:val="18"/>
                <w:szCs w:val="18"/>
              </w:rPr>
              <w:t xml:space="preserve"> </w:t>
            </w:r>
            <w:r w:rsidRPr="006A368B">
              <w:rPr>
                <w:rFonts w:ascii="Bookman Old Style" w:hAnsi="Bookman Old Style" w:cs="Calibri"/>
                <w:b/>
                <w:bCs/>
                <w:sz w:val="18"/>
                <w:szCs w:val="18"/>
              </w:rPr>
              <w:t>Belanja</w:t>
            </w:r>
            <w:r w:rsidR="00A954D0" w:rsidRPr="006A368B">
              <w:rPr>
                <w:rFonts w:ascii="Bookman Old Style" w:hAnsi="Bookman Old Style" w:cs="Calibri"/>
                <w:b/>
                <w:bCs/>
                <w:sz w:val="18"/>
                <w:szCs w:val="18"/>
              </w:rPr>
              <w:t xml:space="preserve"> </w:t>
            </w:r>
            <w:r w:rsidRPr="006A368B">
              <w:rPr>
                <w:rFonts w:ascii="Bookman Old Style" w:hAnsi="Bookman Old Style" w:cs="Calibri"/>
                <w:b/>
                <w:bCs/>
                <w:sz w:val="18"/>
                <w:szCs w:val="18"/>
              </w:rPr>
              <w:t>Daerah</w:t>
            </w:r>
          </w:p>
          <w:p w14:paraId="2DA91ACB" w14:textId="40FC46B0" w:rsidR="007D1E06" w:rsidRPr="006A368B" w:rsidRDefault="007D1E06" w:rsidP="0023341C">
            <w:pPr>
              <w:jc w:val="center"/>
              <w:rPr>
                <w:rFonts w:ascii="Bookman Old Style" w:hAnsi="Bookman Old Style" w:cs="Calibri"/>
                <w:b/>
                <w:bCs/>
                <w:sz w:val="18"/>
                <w:szCs w:val="18"/>
              </w:rPr>
            </w:pPr>
            <w:r w:rsidRPr="006A368B">
              <w:rPr>
                <w:rFonts w:ascii="Bookman Old Style" w:hAnsi="Bookman Old Style" w:cs="Calibri"/>
                <w:b/>
                <w:bCs/>
                <w:sz w:val="18"/>
                <w:szCs w:val="18"/>
              </w:rPr>
              <w:t>(Rp)</w:t>
            </w:r>
          </w:p>
        </w:tc>
        <w:tc>
          <w:tcPr>
            <w:tcW w:w="717" w:type="dxa"/>
            <w:shd w:val="clear" w:color="auto" w:fill="auto"/>
            <w:vAlign w:val="center"/>
            <w:hideMark/>
          </w:tcPr>
          <w:p w14:paraId="4B759C03" w14:textId="77777777" w:rsidR="007D1E06" w:rsidRPr="006A368B" w:rsidRDefault="007D1E06" w:rsidP="0023341C">
            <w:pPr>
              <w:jc w:val="center"/>
              <w:rPr>
                <w:rFonts w:ascii="Bookman Old Style" w:hAnsi="Bookman Old Style" w:cs="Calibri"/>
                <w:b/>
                <w:bCs/>
                <w:sz w:val="18"/>
                <w:szCs w:val="18"/>
              </w:rPr>
            </w:pPr>
            <w:r w:rsidRPr="006A368B">
              <w:rPr>
                <w:rFonts w:ascii="Bookman Old Style" w:hAnsi="Bookman Old Style" w:cs="Calibri"/>
                <w:b/>
                <w:bCs/>
                <w:sz w:val="18"/>
                <w:szCs w:val="18"/>
              </w:rPr>
              <w:t>%</w:t>
            </w:r>
          </w:p>
        </w:tc>
      </w:tr>
      <w:tr w:rsidR="008174DB" w:rsidRPr="006A368B" w14:paraId="6B5B7655" w14:textId="77777777" w:rsidTr="004B2568">
        <w:trPr>
          <w:trHeight w:val="240"/>
        </w:trPr>
        <w:tc>
          <w:tcPr>
            <w:tcW w:w="1091" w:type="dxa"/>
            <w:shd w:val="clear" w:color="auto" w:fill="auto"/>
            <w:vAlign w:val="center"/>
            <w:hideMark/>
          </w:tcPr>
          <w:p w14:paraId="54AADA1F" w14:textId="77777777" w:rsidR="00896FB1" w:rsidRPr="006A368B" w:rsidRDefault="00896FB1" w:rsidP="0023341C">
            <w:pPr>
              <w:jc w:val="center"/>
              <w:rPr>
                <w:rFonts w:ascii="Bookman Old Style" w:hAnsi="Bookman Old Style" w:cs="Calibri"/>
                <w:sz w:val="18"/>
                <w:szCs w:val="18"/>
              </w:rPr>
            </w:pPr>
            <w:r w:rsidRPr="006A368B">
              <w:rPr>
                <w:rFonts w:ascii="Bookman Old Style" w:hAnsi="Bookman Old Style" w:cs="Calibri"/>
                <w:sz w:val="18"/>
                <w:szCs w:val="18"/>
              </w:rPr>
              <w:t>1</w:t>
            </w:r>
          </w:p>
        </w:tc>
        <w:tc>
          <w:tcPr>
            <w:tcW w:w="2009" w:type="dxa"/>
            <w:shd w:val="clear" w:color="auto" w:fill="auto"/>
            <w:vAlign w:val="center"/>
            <w:hideMark/>
          </w:tcPr>
          <w:p w14:paraId="397EB419" w14:textId="77777777" w:rsidR="00896FB1" w:rsidRPr="006A368B" w:rsidRDefault="00896FB1" w:rsidP="0023341C">
            <w:pPr>
              <w:jc w:val="center"/>
              <w:rPr>
                <w:rFonts w:ascii="Bookman Old Style" w:hAnsi="Bookman Old Style" w:cs="Calibri"/>
                <w:sz w:val="18"/>
                <w:szCs w:val="18"/>
              </w:rPr>
            </w:pPr>
            <w:r w:rsidRPr="006A368B">
              <w:rPr>
                <w:rFonts w:ascii="Bookman Old Style" w:hAnsi="Bookman Old Style" w:cs="Calibri"/>
                <w:sz w:val="18"/>
                <w:szCs w:val="18"/>
              </w:rPr>
              <w:t>2</w:t>
            </w:r>
          </w:p>
        </w:tc>
        <w:tc>
          <w:tcPr>
            <w:tcW w:w="2009" w:type="dxa"/>
            <w:shd w:val="clear" w:color="auto" w:fill="auto"/>
            <w:vAlign w:val="center"/>
            <w:hideMark/>
          </w:tcPr>
          <w:p w14:paraId="4CCFFEF2" w14:textId="77777777" w:rsidR="00896FB1" w:rsidRPr="006A368B" w:rsidRDefault="00896FB1" w:rsidP="0023341C">
            <w:pPr>
              <w:jc w:val="center"/>
              <w:rPr>
                <w:rFonts w:ascii="Bookman Old Style" w:hAnsi="Bookman Old Style" w:cs="Calibri"/>
                <w:sz w:val="18"/>
                <w:szCs w:val="18"/>
              </w:rPr>
            </w:pPr>
            <w:r w:rsidRPr="006A368B">
              <w:rPr>
                <w:rFonts w:ascii="Bookman Old Style" w:hAnsi="Bookman Old Style" w:cs="Calibri"/>
                <w:sz w:val="18"/>
                <w:szCs w:val="18"/>
              </w:rPr>
              <w:t>3</w:t>
            </w:r>
          </w:p>
        </w:tc>
        <w:tc>
          <w:tcPr>
            <w:tcW w:w="721" w:type="dxa"/>
            <w:shd w:val="clear" w:color="auto" w:fill="auto"/>
            <w:vAlign w:val="center"/>
            <w:hideMark/>
          </w:tcPr>
          <w:p w14:paraId="627457EA" w14:textId="77777777" w:rsidR="00896FB1" w:rsidRPr="006A368B" w:rsidRDefault="00896FB1" w:rsidP="0023341C">
            <w:pPr>
              <w:jc w:val="center"/>
              <w:rPr>
                <w:rFonts w:ascii="Bookman Old Style" w:hAnsi="Bookman Old Style" w:cs="Calibri"/>
                <w:sz w:val="18"/>
                <w:szCs w:val="18"/>
              </w:rPr>
            </w:pPr>
            <w:r w:rsidRPr="006A368B">
              <w:rPr>
                <w:rFonts w:ascii="Bookman Old Style" w:hAnsi="Bookman Old Style" w:cs="Calibri"/>
                <w:sz w:val="18"/>
                <w:szCs w:val="18"/>
              </w:rPr>
              <w:t>4=3:2</w:t>
            </w:r>
          </w:p>
        </w:tc>
        <w:tc>
          <w:tcPr>
            <w:tcW w:w="2179" w:type="dxa"/>
            <w:shd w:val="clear" w:color="auto" w:fill="auto"/>
            <w:vAlign w:val="center"/>
            <w:hideMark/>
          </w:tcPr>
          <w:p w14:paraId="245D8938" w14:textId="77777777" w:rsidR="00896FB1" w:rsidRPr="006A368B" w:rsidRDefault="00896FB1" w:rsidP="0023341C">
            <w:pPr>
              <w:jc w:val="center"/>
              <w:rPr>
                <w:rFonts w:ascii="Bookman Old Style" w:hAnsi="Bookman Old Style" w:cs="Calibri"/>
                <w:sz w:val="18"/>
                <w:szCs w:val="18"/>
              </w:rPr>
            </w:pPr>
            <w:r w:rsidRPr="006A368B">
              <w:rPr>
                <w:rFonts w:ascii="Bookman Old Style" w:hAnsi="Bookman Old Style" w:cs="Calibri"/>
                <w:sz w:val="18"/>
                <w:szCs w:val="18"/>
              </w:rPr>
              <w:t>5</w:t>
            </w:r>
          </w:p>
        </w:tc>
        <w:tc>
          <w:tcPr>
            <w:tcW w:w="717" w:type="dxa"/>
            <w:shd w:val="clear" w:color="auto" w:fill="auto"/>
            <w:vAlign w:val="center"/>
            <w:hideMark/>
          </w:tcPr>
          <w:p w14:paraId="336601AF" w14:textId="77777777" w:rsidR="00896FB1" w:rsidRPr="006A368B" w:rsidRDefault="00896FB1" w:rsidP="0023341C">
            <w:pPr>
              <w:jc w:val="center"/>
              <w:rPr>
                <w:rFonts w:ascii="Bookman Old Style" w:hAnsi="Bookman Old Style" w:cs="Calibri"/>
                <w:sz w:val="18"/>
                <w:szCs w:val="18"/>
              </w:rPr>
            </w:pPr>
            <w:r w:rsidRPr="006A368B">
              <w:rPr>
                <w:rFonts w:ascii="Bookman Old Style" w:hAnsi="Bookman Old Style" w:cs="Calibri"/>
                <w:sz w:val="18"/>
                <w:szCs w:val="18"/>
              </w:rPr>
              <w:t>6=2:5</w:t>
            </w:r>
          </w:p>
        </w:tc>
      </w:tr>
      <w:tr w:rsidR="008174DB" w:rsidRPr="006A368B" w14:paraId="04D0343C" w14:textId="77777777" w:rsidTr="004B2568">
        <w:trPr>
          <w:trHeight w:val="240"/>
        </w:trPr>
        <w:tc>
          <w:tcPr>
            <w:tcW w:w="1091" w:type="dxa"/>
            <w:shd w:val="clear" w:color="auto" w:fill="auto"/>
            <w:hideMark/>
          </w:tcPr>
          <w:p w14:paraId="2ED779F7" w14:textId="300959B7" w:rsidR="00FE27A1" w:rsidRPr="006A368B" w:rsidRDefault="00FE27A1" w:rsidP="00FE27A1">
            <w:pPr>
              <w:jc w:val="center"/>
              <w:rPr>
                <w:rFonts w:ascii="Bookman Old Style" w:hAnsi="Bookman Old Style" w:cs="Calibri"/>
                <w:sz w:val="18"/>
                <w:szCs w:val="18"/>
              </w:rPr>
            </w:pPr>
            <w:r w:rsidRPr="006A368B">
              <w:rPr>
                <w:rFonts w:ascii="Bookman Old Style" w:hAnsi="Bookman Old Style" w:cs="Calibri"/>
                <w:sz w:val="18"/>
                <w:szCs w:val="18"/>
              </w:rPr>
              <w:t>2022</w:t>
            </w:r>
          </w:p>
        </w:tc>
        <w:tc>
          <w:tcPr>
            <w:tcW w:w="2009" w:type="dxa"/>
            <w:shd w:val="clear" w:color="auto" w:fill="auto"/>
            <w:noWrap/>
            <w:hideMark/>
          </w:tcPr>
          <w:p w14:paraId="1B6EBF8A" w14:textId="6F8A387F" w:rsidR="00FE27A1" w:rsidRPr="006A368B" w:rsidRDefault="00FE27A1" w:rsidP="00FE27A1">
            <w:pPr>
              <w:jc w:val="right"/>
              <w:rPr>
                <w:rFonts w:ascii="Bookman Old Style" w:hAnsi="Bookman Old Style" w:cs="Calibri"/>
                <w:sz w:val="18"/>
                <w:szCs w:val="18"/>
              </w:rPr>
            </w:pPr>
            <w:r w:rsidRPr="006A368B">
              <w:rPr>
                <w:rFonts w:ascii="Bookman Old Style" w:hAnsi="Bookman Old Style"/>
                <w:sz w:val="18"/>
                <w:szCs w:val="18"/>
              </w:rPr>
              <w:t>130.336.688.900,00</w:t>
            </w:r>
          </w:p>
        </w:tc>
        <w:tc>
          <w:tcPr>
            <w:tcW w:w="2009" w:type="dxa"/>
            <w:shd w:val="clear" w:color="auto" w:fill="auto"/>
            <w:hideMark/>
          </w:tcPr>
          <w:p w14:paraId="02B6DD90" w14:textId="1A8C00CE" w:rsidR="00FE27A1" w:rsidRPr="006A368B" w:rsidRDefault="00FE27A1" w:rsidP="00FE27A1">
            <w:pPr>
              <w:jc w:val="right"/>
              <w:rPr>
                <w:rFonts w:ascii="Bookman Old Style" w:hAnsi="Bookman Old Style" w:cs="Calibri"/>
                <w:sz w:val="18"/>
                <w:szCs w:val="18"/>
              </w:rPr>
            </w:pPr>
            <w:r w:rsidRPr="006A368B">
              <w:rPr>
                <w:rFonts w:ascii="Bookman Old Style" w:hAnsi="Bookman Old Style"/>
                <w:sz w:val="18"/>
                <w:szCs w:val="18"/>
              </w:rPr>
              <w:t>123.616.079.071,00</w:t>
            </w:r>
          </w:p>
        </w:tc>
        <w:tc>
          <w:tcPr>
            <w:tcW w:w="721" w:type="dxa"/>
            <w:shd w:val="clear" w:color="auto" w:fill="auto"/>
            <w:hideMark/>
          </w:tcPr>
          <w:p w14:paraId="3C5E9B47" w14:textId="27CC5E7C" w:rsidR="00FE27A1" w:rsidRPr="006A368B" w:rsidRDefault="00FE27A1" w:rsidP="00FE27A1">
            <w:pPr>
              <w:jc w:val="right"/>
              <w:rPr>
                <w:rFonts w:ascii="Bookman Old Style" w:hAnsi="Bookman Old Style" w:cs="Calibri"/>
                <w:sz w:val="18"/>
                <w:szCs w:val="18"/>
              </w:rPr>
            </w:pPr>
            <w:r w:rsidRPr="006A368B">
              <w:rPr>
                <w:rFonts w:ascii="Bookman Old Style" w:hAnsi="Bookman Old Style"/>
                <w:sz w:val="18"/>
                <w:szCs w:val="18"/>
              </w:rPr>
              <w:t>94,84</w:t>
            </w:r>
          </w:p>
        </w:tc>
        <w:tc>
          <w:tcPr>
            <w:tcW w:w="2179" w:type="dxa"/>
            <w:shd w:val="clear" w:color="auto" w:fill="auto"/>
            <w:hideMark/>
          </w:tcPr>
          <w:p w14:paraId="1477D4F4" w14:textId="63940905" w:rsidR="00FE27A1" w:rsidRPr="006A368B" w:rsidRDefault="00FE27A1" w:rsidP="00FE27A1">
            <w:pPr>
              <w:jc w:val="right"/>
              <w:rPr>
                <w:rFonts w:ascii="Bookman Old Style" w:hAnsi="Bookman Old Style" w:cs="Calibri"/>
                <w:sz w:val="18"/>
                <w:szCs w:val="18"/>
              </w:rPr>
            </w:pPr>
            <w:r w:rsidRPr="006A368B">
              <w:rPr>
                <w:rFonts w:ascii="Bookman Old Style" w:hAnsi="Bookman Old Style"/>
                <w:sz w:val="18"/>
                <w:szCs w:val="18"/>
              </w:rPr>
              <w:t>4.910.705.325.360,00</w:t>
            </w:r>
            <w:r w:rsidR="00A954D0" w:rsidRPr="006A368B">
              <w:rPr>
                <w:rFonts w:ascii="Bookman Old Style" w:hAnsi="Bookman Old Style"/>
                <w:sz w:val="18"/>
                <w:szCs w:val="18"/>
              </w:rPr>
              <w:t xml:space="preserve"> </w:t>
            </w:r>
          </w:p>
        </w:tc>
        <w:tc>
          <w:tcPr>
            <w:tcW w:w="717" w:type="dxa"/>
            <w:shd w:val="clear" w:color="auto" w:fill="auto"/>
            <w:hideMark/>
          </w:tcPr>
          <w:p w14:paraId="54315D2C" w14:textId="07483714" w:rsidR="00FE27A1" w:rsidRPr="006A368B" w:rsidRDefault="00FE27A1" w:rsidP="00FE27A1">
            <w:pPr>
              <w:jc w:val="right"/>
              <w:rPr>
                <w:rFonts w:ascii="Bookman Old Style" w:hAnsi="Bookman Old Style" w:cs="Calibri"/>
                <w:sz w:val="18"/>
                <w:szCs w:val="18"/>
              </w:rPr>
            </w:pPr>
            <w:r w:rsidRPr="006A368B">
              <w:rPr>
                <w:rFonts w:ascii="Bookman Old Style" w:hAnsi="Bookman Old Style"/>
                <w:sz w:val="18"/>
                <w:szCs w:val="18"/>
              </w:rPr>
              <w:t>2,65</w:t>
            </w:r>
          </w:p>
        </w:tc>
      </w:tr>
      <w:tr w:rsidR="008174DB" w:rsidRPr="006A368B" w14:paraId="6848AC7B" w14:textId="77777777" w:rsidTr="004B2568">
        <w:trPr>
          <w:trHeight w:val="240"/>
        </w:trPr>
        <w:tc>
          <w:tcPr>
            <w:tcW w:w="1091" w:type="dxa"/>
            <w:shd w:val="clear" w:color="auto" w:fill="auto"/>
            <w:hideMark/>
          </w:tcPr>
          <w:p w14:paraId="42708DB4" w14:textId="71C385BD" w:rsidR="00FE27A1" w:rsidRPr="006A368B" w:rsidRDefault="00FE27A1" w:rsidP="00FE27A1">
            <w:pPr>
              <w:jc w:val="center"/>
              <w:rPr>
                <w:rFonts w:ascii="Bookman Old Style" w:hAnsi="Bookman Old Style" w:cs="Calibri"/>
                <w:sz w:val="18"/>
                <w:szCs w:val="18"/>
              </w:rPr>
            </w:pPr>
            <w:r w:rsidRPr="006A368B">
              <w:rPr>
                <w:rFonts w:ascii="Bookman Old Style" w:hAnsi="Bookman Old Style" w:cs="Calibri"/>
                <w:sz w:val="18"/>
                <w:szCs w:val="18"/>
              </w:rPr>
              <w:t>2023</w:t>
            </w:r>
          </w:p>
        </w:tc>
        <w:tc>
          <w:tcPr>
            <w:tcW w:w="2009" w:type="dxa"/>
            <w:shd w:val="clear" w:color="auto" w:fill="auto"/>
            <w:noWrap/>
            <w:hideMark/>
          </w:tcPr>
          <w:p w14:paraId="72F91D29" w14:textId="5626DD3A" w:rsidR="00FE27A1" w:rsidRPr="006A368B" w:rsidRDefault="00FE27A1" w:rsidP="00FE27A1">
            <w:pPr>
              <w:jc w:val="right"/>
              <w:rPr>
                <w:rFonts w:ascii="Bookman Old Style" w:hAnsi="Bookman Old Style" w:cs="Calibri"/>
                <w:sz w:val="18"/>
                <w:szCs w:val="18"/>
              </w:rPr>
            </w:pPr>
            <w:r w:rsidRPr="006A368B">
              <w:rPr>
                <w:rFonts w:ascii="Bookman Old Style" w:hAnsi="Bookman Old Style"/>
                <w:sz w:val="18"/>
                <w:szCs w:val="18"/>
              </w:rPr>
              <w:t>172.135.169.400,00</w:t>
            </w:r>
          </w:p>
        </w:tc>
        <w:tc>
          <w:tcPr>
            <w:tcW w:w="2009" w:type="dxa"/>
            <w:shd w:val="clear" w:color="auto" w:fill="auto"/>
            <w:hideMark/>
          </w:tcPr>
          <w:p w14:paraId="59E0A7E0" w14:textId="60B7BA73" w:rsidR="00FE27A1" w:rsidRPr="006A368B" w:rsidRDefault="00FE27A1" w:rsidP="00FE27A1">
            <w:pPr>
              <w:jc w:val="right"/>
              <w:rPr>
                <w:rFonts w:ascii="Bookman Old Style" w:hAnsi="Bookman Old Style" w:cs="Calibri"/>
                <w:sz w:val="18"/>
                <w:szCs w:val="18"/>
              </w:rPr>
            </w:pPr>
            <w:r w:rsidRPr="006A368B">
              <w:rPr>
                <w:rFonts w:ascii="Bookman Old Style" w:hAnsi="Bookman Old Style"/>
                <w:sz w:val="18"/>
                <w:szCs w:val="18"/>
              </w:rPr>
              <w:t>171.119.307.754,00</w:t>
            </w:r>
          </w:p>
        </w:tc>
        <w:tc>
          <w:tcPr>
            <w:tcW w:w="721" w:type="dxa"/>
            <w:shd w:val="clear" w:color="auto" w:fill="auto"/>
            <w:hideMark/>
          </w:tcPr>
          <w:p w14:paraId="1A95317E" w14:textId="4702673A" w:rsidR="00FE27A1" w:rsidRPr="006A368B" w:rsidRDefault="00FE27A1" w:rsidP="00FE27A1">
            <w:pPr>
              <w:jc w:val="right"/>
              <w:rPr>
                <w:rFonts w:ascii="Bookman Old Style" w:hAnsi="Bookman Old Style" w:cs="Calibri"/>
                <w:sz w:val="18"/>
                <w:szCs w:val="18"/>
              </w:rPr>
            </w:pPr>
            <w:r w:rsidRPr="006A368B">
              <w:rPr>
                <w:rFonts w:ascii="Bookman Old Style" w:hAnsi="Bookman Old Style"/>
                <w:sz w:val="18"/>
                <w:szCs w:val="18"/>
              </w:rPr>
              <w:t>99,41</w:t>
            </w:r>
          </w:p>
        </w:tc>
        <w:tc>
          <w:tcPr>
            <w:tcW w:w="2179" w:type="dxa"/>
            <w:shd w:val="clear" w:color="auto" w:fill="auto"/>
            <w:hideMark/>
          </w:tcPr>
          <w:p w14:paraId="68985E93" w14:textId="274D4671" w:rsidR="00FE27A1" w:rsidRPr="006A368B" w:rsidRDefault="00FE27A1" w:rsidP="00FE27A1">
            <w:pPr>
              <w:jc w:val="right"/>
              <w:rPr>
                <w:rFonts w:ascii="Bookman Old Style" w:hAnsi="Bookman Old Style" w:cs="Calibri"/>
                <w:sz w:val="18"/>
                <w:szCs w:val="18"/>
              </w:rPr>
            </w:pPr>
            <w:r w:rsidRPr="006A368B">
              <w:rPr>
                <w:rFonts w:ascii="Bookman Old Style" w:hAnsi="Bookman Old Style"/>
                <w:sz w:val="18"/>
                <w:szCs w:val="18"/>
              </w:rPr>
              <w:t>5.060.875.781.078,00</w:t>
            </w:r>
            <w:r w:rsidR="00A954D0" w:rsidRPr="006A368B">
              <w:rPr>
                <w:rFonts w:ascii="Bookman Old Style" w:hAnsi="Bookman Old Style"/>
                <w:sz w:val="18"/>
                <w:szCs w:val="18"/>
              </w:rPr>
              <w:t xml:space="preserve"> </w:t>
            </w:r>
          </w:p>
        </w:tc>
        <w:tc>
          <w:tcPr>
            <w:tcW w:w="717" w:type="dxa"/>
            <w:shd w:val="clear" w:color="auto" w:fill="auto"/>
            <w:hideMark/>
          </w:tcPr>
          <w:p w14:paraId="38712942" w14:textId="7354EA38" w:rsidR="00FE27A1" w:rsidRPr="006A368B" w:rsidRDefault="00FE27A1" w:rsidP="00FE27A1">
            <w:pPr>
              <w:jc w:val="right"/>
              <w:rPr>
                <w:rFonts w:ascii="Bookman Old Style" w:hAnsi="Bookman Old Style" w:cs="Calibri"/>
                <w:sz w:val="18"/>
                <w:szCs w:val="18"/>
              </w:rPr>
            </w:pPr>
            <w:r w:rsidRPr="006A368B">
              <w:rPr>
                <w:rFonts w:ascii="Bookman Old Style" w:hAnsi="Bookman Old Style"/>
                <w:sz w:val="18"/>
                <w:szCs w:val="18"/>
              </w:rPr>
              <w:t>3,40</w:t>
            </w:r>
          </w:p>
        </w:tc>
      </w:tr>
      <w:tr w:rsidR="008174DB" w:rsidRPr="006A368B" w14:paraId="09D67AE9" w14:textId="77777777" w:rsidTr="004B2568">
        <w:trPr>
          <w:trHeight w:val="265"/>
        </w:trPr>
        <w:tc>
          <w:tcPr>
            <w:tcW w:w="1091" w:type="dxa"/>
            <w:shd w:val="clear" w:color="auto" w:fill="auto"/>
            <w:hideMark/>
          </w:tcPr>
          <w:p w14:paraId="470DCCEA" w14:textId="74EE8FB4" w:rsidR="00FE27A1" w:rsidRPr="006A368B" w:rsidRDefault="00FE27A1" w:rsidP="00FE27A1">
            <w:pPr>
              <w:jc w:val="center"/>
              <w:rPr>
                <w:rFonts w:ascii="Bookman Old Style" w:hAnsi="Bookman Old Style" w:cs="Calibri"/>
                <w:sz w:val="18"/>
                <w:szCs w:val="18"/>
              </w:rPr>
            </w:pPr>
            <w:r w:rsidRPr="006A368B">
              <w:rPr>
                <w:rFonts w:ascii="Bookman Old Style" w:hAnsi="Bookman Old Style" w:cs="Calibri"/>
                <w:sz w:val="18"/>
                <w:szCs w:val="18"/>
              </w:rPr>
              <w:t>2024*)</w:t>
            </w:r>
          </w:p>
        </w:tc>
        <w:tc>
          <w:tcPr>
            <w:tcW w:w="2009" w:type="dxa"/>
            <w:shd w:val="clear" w:color="auto" w:fill="auto"/>
            <w:hideMark/>
          </w:tcPr>
          <w:p w14:paraId="777B0BDD" w14:textId="725B041E" w:rsidR="00FE27A1" w:rsidRPr="006A368B" w:rsidRDefault="00FE27A1" w:rsidP="00FE27A1">
            <w:pPr>
              <w:jc w:val="right"/>
              <w:rPr>
                <w:rFonts w:ascii="Bookman Old Style" w:hAnsi="Bookman Old Style" w:cs="Calibri"/>
                <w:sz w:val="18"/>
                <w:szCs w:val="18"/>
              </w:rPr>
            </w:pPr>
            <w:r w:rsidRPr="006A368B">
              <w:rPr>
                <w:rFonts w:ascii="Bookman Old Style" w:hAnsi="Bookman Old Style"/>
                <w:sz w:val="18"/>
                <w:szCs w:val="18"/>
              </w:rPr>
              <w:t>182.283.410.114,00</w:t>
            </w:r>
          </w:p>
        </w:tc>
        <w:tc>
          <w:tcPr>
            <w:tcW w:w="2009" w:type="dxa"/>
            <w:shd w:val="clear" w:color="auto" w:fill="auto"/>
            <w:hideMark/>
          </w:tcPr>
          <w:p w14:paraId="46831BD7" w14:textId="01CC9178" w:rsidR="00FE27A1" w:rsidRPr="006A368B" w:rsidRDefault="00FE27A1" w:rsidP="00FE27A1">
            <w:pPr>
              <w:jc w:val="right"/>
              <w:rPr>
                <w:rFonts w:ascii="Bookman Old Style" w:hAnsi="Bookman Old Style" w:cs="Calibri"/>
                <w:sz w:val="18"/>
                <w:szCs w:val="18"/>
              </w:rPr>
            </w:pPr>
            <w:r w:rsidRPr="006A368B">
              <w:rPr>
                <w:rFonts w:ascii="Bookman Old Style" w:hAnsi="Bookman Old Style"/>
                <w:sz w:val="18"/>
                <w:szCs w:val="18"/>
              </w:rPr>
              <w:t>175.595.393.308,00</w:t>
            </w:r>
          </w:p>
        </w:tc>
        <w:tc>
          <w:tcPr>
            <w:tcW w:w="721" w:type="dxa"/>
            <w:shd w:val="clear" w:color="auto" w:fill="auto"/>
            <w:hideMark/>
          </w:tcPr>
          <w:p w14:paraId="2ECFD901" w14:textId="213922F8" w:rsidR="00FE27A1" w:rsidRPr="006A368B" w:rsidRDefault="00FE27A1" w:rsidP="00FE27A1">
            <w:pPr>
              <w:jc w:val="right"/>
              <w:rPr>
                <w:rFonts w:ascii="Bookman Old Style" w:hAnsi="Bookman Old Style" w:cs="Calibri"/>
                <w:sz w:val="18"/>
                <w:szCs w:val="18"/>
              </w:rPr>
            </w:pPr>
            <w:r w:rsidRPr="006A368B">
              <w:rPr>
                <w:rFonts w:ascii="Bookman Old Style" w:hAnsi="Bookman Old Style"/>
                <w:sz w:val="18"/>
                <w:szCs w:val="18"/>
              </w:rPr>
              <w:t>96,33</w:t>
            </w:r>
          </w:p>
        </w:tc>
        <w:tc>
          <w:tcPr>
            <w:tcW w:w="2179" w:type="dxa"/>
            <w:shd w:val="clear" w:color="auto" w:fill="auto"/>
            <w:hideMark/>
          </w:tcPr>
          <w:p w14:paraId="76C4C34B" w14:textId="05F522DA" w:rsidR="00FE27A1" w:rsidRPr="006A368B" w:rsidRDefault="00FE27A1" w:rsidP="00FE27A1">
            <w:pPr>
              <w:jc w:val="right"/>
              <w:rPr>
                <w:rFonts w:ascii="Bookman Old Style" w:hAnsi="Bookman Old Style" w:cs="Calibri"/>
                <w:sz w:val="18"/>
                <w:szCs w:val="18"/>
              </w:rPr>
            </w:pPr>
            <w:r w:rsidRPr="006A368B">
              <w:rPr>
                <w:rFonts w:ascii="Bookman Old Style" w:hAnsi="Bookman Old Style"/>
                <w:sz w:val="18"/>
                <w:szCs w:val="18"/>
              </w:rPr>
              <w:t>5.355.694.107.251,00</w:t>
            </w:r>
          </w:p>
        </w:tc>
        <w:tc>
          <w:tcPr>
            <w:tcW w:w="717" w:type="dxa"/>
            <w:shd w:val="clear" w:color="auto" w:fill="auto"/>
            <w:hideMark/>
          </w:tcPr>
          <w:p w14:paraId="7584FC78" w14:textId="3BF3B27C" w:rsidR="00FE27A1" w:rsidRPr="006A368B" w:rsidRDefault="00FE27A1" w:rsidP="00FE27A1">
            <w:pPr>
              <w:jc w:val="right"/>
              <w:rPr>
                <w:rFonts w:ascii="Bookman Old Style" w:hAnsi="Bookman Old Style" w:cs="Calibri"/>
                <w:sz w:val="18"/>
                <w:szCs w:val="18"/>
              </w:rPr>
            </w:pPr>
            <w:r w:rsidRPr="006A368B">
              <w:rPr>
                <w:rFonts w:ascii="Bookman Old Style" w:hAnsi="Bookman Old Style"/>
                <w:sz w:val="18"/>
                <w:szCs w:val="18"/>
              </w:rPr>
              <w:t>3,40</w:t>
            </w:r>
          </w:p>
        </w:tc>
      </w:tr>
      <w:tr w:rsidR="008174DB" w:rsidRPr="006A368B" w14:paraId="7AFDD6AB" w14:textId="77777777" w:rsidTr="004B2568">
        <w:trPr>
          <w:trHeight w:val="240"/>
        </w:trPr>
        <w:tc>
          <w:tcPr>
            <w:tcW w:w="1091" w:type="dxa"/>
            <w:shd w:val="clear" w:color="auto" w:fill="auto"/>
            <w:hideMark/>
          </w:tcPr>
          <w:p w14:paraId="0436051B" w14:textId="7F0BE9E4" w:rsidR="00FE27A1" w:rsidRPr="006A368B" w:rsidRDefault="00FE27A1" w:rsidP="00FE27A1">
            <w:pPr>
              <w:jc w:val="center"/>
              <w:rPr>
                <w:rFonts w:ascii="Bookman Old Style" w:hAnsi="Bookman Old Style" w:cs="Calibri"/>
                <w:sz w:val="18"/>
                <w:szCs w:val="18"/>
              </w:rPr>
            </w:pPr>
            <w:r w:rsidRPr="006A368B">
              <w:rPr>
                <w:rFonts w:ascii="Bookman Old Style" w:hAnsi="Bookman Old Style" w:cs="Calibri"/>
                <w:sz w:val="18"/>
                <w:szCs w:val="18"/>
              </w:rPr>
              <w:t>2025</w:t>
            </w:r>
          </w:p>
        </w:tc>
        <w:tc>
          <w:tcPr>
            <w:tcW w:w="2009" w:type="dxa"/>
            <w:shd w:val="clear" w:color="auto" w:fill="auto"/>
            <w:hideMark/>
          </w:tcPr>
          <w:p w14:paraId="276E82B9" w14:textId="02302455" w:rsidR="00FE27A1" w:rsidRPr="006A368B" w:rsidRDefault="00FE27A1" w:rsidP="00FE27A1">
            <w:pPr>
              <w:jc w:val="right"/>
              <w:rPr>
                <w:rFonts w:ascii="Bookman Old Style" w:hAnsi="Bookman Old Style" w:cs="Calibri"/>
                <w:sz w:val="18"/>
                <w:szCs w:val="18"/>
              </w:rPr>
            </w:pPr>
            <w:r w:rsidRPr="006A368B">
              <w:rPr>
                <w:rFonts w:ascii="Bookman Old Style" w:hAnsi="Bookman Old Style"/>
                <w:sz w:val="18"/>
                <w:szCs w:val="18"/>
              </w:rPr>
              <w:t>161.369.902.220,00</w:t>
            </w:r>
            <w:r w:rsidR="00A954D0" w:rsidRPr="006A368B">
              <w:rPr>
                <w:rFonts w:ascii="Bookman Old Style" w:hAnsi="Bookman Old Style"/>
                <w:sz w:val="18"/>
                <w:szCs w:val="18"/>
              </w:rPr>
              <w:t xml:space="preserve"> </w:t>
            </w:r>
          </w:p>
        </w:tc>
        <w:tc>
          <w:tcPr>
            <w:tcW w:w="2009" w:type="dxa"/>
            <w:shd w:val="clear" w:color="auto" w:fill="auto"/>
            <w:hideMark/>
          </w:tcPr>
          <w:p w14:paraId="5599C999" w14:textId="59389EA5" w:rsidR="00FE27A1" w:rsidRPr="006A368B" w:rsidRDefault="00FE27A1" w:rsidP="00FE27A1">
            <w:pPr>
              <w:jc w:val="right"/>
              <w:rPr>
                <w:rFonts w:ascii="Bookman Old Style" w:hAnsi="Bookman Old Style" w:cs="Calibri"/>
                <w:sz w:val="18"/>
                <w:szCs w:val="18"/>
              </w:rPr>
            </w:pPr>
            <w:r w:rsidRPr="006A368B">
              <w:rPr>
                <w:rFonts w:ascii="Bookman Old Style" w:hAnsi="Bookman Old Style"/>
                <w:sz w:val="18"/>
                <w:szCs w:val="18"/>
              </w:rPr>
              <w:t>-</w:t>
            </w:r>
            <w:r w:rsidR="00A954D0" w:rsidRPr="006A368B">
              <w:rPr>
                <w:rFonts w:ascii="Bookman Old Style" w:hAnsi="Bookman Old Style"/>
                <w:sz w:val="18"/>
                <w:szCs w:val="18"/>
              </w:rPr>
              <w:t xml:space="preserve"> </w:t>
            </w:r>
          </w:p>
        </w:tc>
        <w:tc>
          <w:tcPr>
            <w:tcW w:w="721" w:type="dxa"/>
            <w:shd w:val="clear" w:color="auto" w:fill="auto"/>
            <w:hideMark/>
          </w:tcPr>
          <w:p w14:paraId="07D7DCFC" w14:textId="48F0757A" w:rsidR="00FE27A1" w:rsidRPr="006A368B" w:rsidRDefault="00FE27A1" w:rsidP="00FE27A1">
            <w:pPr>
              <w:jc w:val="right"/>
              <w:rPr>
                <w:rFonts w:ascii="Bookman Old Style" w:hAnsi="Bookman Old Style" w:cs="Calibri"/>
                <w:sz w:val="18"/>
                <w:szCs w:val="18"/>
              </w:rPr>
            </w:pPr>
            <w:r w:rsidRPr="006A368B">
              <w:rPr>
                <w:rFonts w:ascii="Bookman Old Style" w:hAnsi="Bookman Old Style"/>
                <w:sz w:val="18"/>
                <w:szCs w:val="18"/>
              </w:rPr>
              <w:t>-</w:t>
            </w:r>
            <w:r w:rsidR="00A954D0" w:rsidRPr="006A368B">
              <w:rPr>
                <w:rFonts w:ascii="Bookman Old Style" w:hAnsi="Bookman Old Style"/>
                <w:sz w:val="18"/>
                <w:szCs w:val="18"/>
              </w:rPr>
              <w:t xml:space="preserve"> </w:t>
            </w:r>
          </w:p>
        </w:tc>
        <w:tc>
          <w:tcPr>
            <w:tcW w:w="2179" w:type="dxa"/>
            <w:shd w:val="clear" w:color="auto" w:fill="auto"/>
            <w:hideMark/>
          </w:tcPr>
          <w:p w14:paraId="7F456052" w14:textId="0D3C401B" w:rsidR="00FE27A1" w:rsidRPr="006A368B" w:rsidRDefault="00FE27A1" w:rsidP="00FE27A1">
            <w:pPr>
              <w:jc w:val="right"/>
              <w:rPr>
                <w:rFonts w:ascii="Bookman Old Style" w:hAnsi="Bookman Old Style" w:cs="Calibri"/>
                <w:sz w:val="18"/>
                <w:szCs w:val="18"/>
              </w:rPr>
            </w:pPr>
            <w:r w:rsidRPr="006A368B">
              <w:rPr>
                <w:rFonts w:ascii="Bookman Old Style" w:hAnsi="Bookman Old Style"/>
                <w:sz w:val="18"/>
                <w:szCs w:val="18"/>
              </w:rPr>
              <w:t>5.706.600.538.955,00</w:t>
            </w:r>
          </w:p>
        </w:tc>
        <w:tc>
          <w:tcPr>
            <w:tcW w:w="717" w:type="dxa"/>
            <w:shd w:val="clear" w:color="auto" w:fill="auto"/>
            <w:hideMark/>
          </w:tcPr>
          <w:p w14:paraId="238D3382" w14:textId="0DE15081" w:rsidR="00FE27A1" w:rsidRPr="006A368B" w:rsidRDefault="00FE27A1" w:rsidP="00FE27A1">
            <w:pPr>
              <w:jc w:val="right"/>
              <w:rPr>
                <w:rFonts w:ascii="Bookman Old Style" w:hAnsi="Bookman Old Style" w:cs="Calibri"/>
                <w:sz w:val="18"/>
                <w:szCs w:val="18"/>
              </w:rPr>
            </w:pPr>
            <w:r w:rsidRPr="006A368B">
              <w:rPr>
                <w:rFonts w:ascii="Bookman Old Style" w:hAnsi="Bookman Old Style"/>
                <w:sz w:val="18"/>
                <w:szCs w:val="18"/>
              </w:rPr>
              <w:t>2,83</w:t>
            </w:r>
          </w:p>
        </w:tc>
      </w:tr>
    </w:tbl>
    <w:p w14:paraId="51795647" w14:textId="00644C12" w:rsidR="003B7FE4" w:rsidRPr="006A368B" w:rsidRDefault="00DC59A7" w:rsidP="003A0FB7">
      <w:pPr>
        <w:pStyle w:val="ListParagraph"/>
        <w:spacing w:before="60" w:after="0" w:line="276" w:lineRule="auto"/>
        <w:ind w:left="709" w:hanging="283"/>
        <w:contextualSpacing w:val="0"/>
        <w:rPr>
          <w:rFonts w:ascii="Bookman Old Style" w:hAnsi="Bookman Old Style" w:cs="Arial"/>
          <w:sz w:val="20"/>
          <w:szCs w:val="20"/>
          <w:lang w:val="id-ID"/>
        </w:rPr>
      </w:pPr>
      <w:r w:rsidRPr="006A368B">
        <w:rPr>
          <w:rFonts w:ascii="Bookman Old Style" w:hAnsi="Bookman Old Style"/>
          <w:i/>
          <w:iCs/>
          <w:sz w:val="18"/>
          <w:szCs w:val="18"/>
        </w:rPr>
        <w:t>*)</w:t>
      </w:r>
      <w:r w:rsidR="00A954D0" w:rsidRPr="006A368B">
        <w:rPr>
          <w:rFonts w:ascii="Bookman Old Style" w:hAnsi="Bookman Old Style"/>
          <w:i/>
          <w:iCs/>
          <w:sz w:val="18"/>
          <w:szCs w:val="18"/>
        </w:rPr>
        <w:t xml:space="preserve"> </w:t>
      </w:r>
      <w:r w:rsidR="003A0FB7">
        <w:rPr>
          <w:rFonts w:ascii="Bookman Old Style" w:hAnsi="Bookman Old Style"/>
          <w:i/>
          <w:iCs/>
          <w:sz w:val="18"/>
          <w:szCs w:val="18"/>
          <w:lang w:val="id-ID"/>
        </w:rPr>
        <w:tab/>
      </w:r>
      <w:r w:rsidRPr="006A368B">
        <w:rPr>
          <w:rFonts w:ascii="Bookman Old Style" w:hAnsi="Bookman Old Style"/>
          <w:i/>
          <w:iCs/>
          <w:sz w:val="18"/>
          <w:szCs w:val="18"/>
        </w:rPr>
        <w:t>Anggaran</w:t>
      </w:r>
      <w:r w:rsidR="00A954D0" w:rsidRPr="006A368B">
        <w:rPr>
          <w:rFonts w:ascii="Bookman Old Style" w:hAnsi="Bookman Old Style"/>
          <w:i/>
          <w:iCs/>
          <w:sz w:val="18"/>
          <w:szCs w:val="18"/>
        </w:rPr>
        <w:t xml:space="preserve"> </w:t>
      </w:r>
      <w:r w:rsidRPr="006A368B">
        <w:rPr>
          <w:rFonts w:ascii="Bookman Old Style" w:hAnsi="Bookman Old Style"/>
          <w:i/>
          <w:iCs/>
          <w:sz w:val="18"/>
          <w:szCs w:val="18"/>
        </w:rPr>
        <w:t>dan</w:t>
      </w:r>
      <w:r w:rsidR="00A954D0" w:rsidRPr="006A368B">
        <w:rPr>
          <w:rFonts w:ascii="Bookman Old Style" w:hAnsi="Bookman Old Style"/>
          <w:i/>
          <w:iCs/>
          <w:sz w:val="18"/>
          <w:szCs w:val="18"/>
        </w:rPr>
        <w:t xml:space="preserve"> </w:t>
      </w:r>
      <w:r w:rsidRPr="006A368B">
        <w:rPr>
          <w:rFonts w:ascii="Bookman Old Style" w:hAnsi="Bookman Old Style"/>
          <w:i/>
          <w:iCs/>
          <w:sz w:val="18"/>
          <w:szCs w:val="18"/>
        </w:rPr>
        <w:t>Realisasi</w:t>
      </w:r>
      <w:r w:rsidR="00A954D0" w:rsidRPr="006A368B">
        <w:rPr>
          <w:rFonts w:ascii="Bookman Old Style" w:hAnsi="Bookman Old Style"/>
          <w:i/>
          <w:iCs/>
          <w:sz w:val="18"/>
          <w:szCs w:val="18"/>
        </w:rPr>
        <w:t xml:space="preserve"> </w:t>
      </w:r>
      <w:r w:rsidRPr="006A368B">
        <w:rPr>
          <w:rFonts w:ascii="Bookman Old Style" w:hAnsi="Bookman Old Style"/>
          <w:i/>
          <w:iCs/>
          <w:sz w:val="18"/>
          <w:szCs w:val="18"/>
        </w:rPr>
        <w:t>Tahun</w:t>
      </w:r>
      <w:r w:rsidR="00A954D0" w:rsidRPr="006A368B">
        <w:rPr>
          <w:rFonts w:ascii="Bookman Old Style" w:hAnsi="Bookman Old Style"/>
          <w:i/>
          <w:iCs/>
          <w:sz w:val="18"/>
          <w:szCs w:val="18"/>
        </w:rPr>
        <w:t xml:space="preserve"> </w:t>
      </w:r>
      <w:r w:rsidRPr="006A368B">
        <w:rPr>
          <w:rFonts w:ascii="Bookman Old Style" w:hAnsi="Bookman Old Style"/>
          <w:i/>
          <w:iCs/>
          <w:sz w:val="18"/>
          <w:szCs w:val="18"/>
        </w:rPr>
        <w:t>2024</w:t>
      </w:r>
      <w:r w:rsidR="00A954D0" w:rsidRPr="006A368B">
        <w:rPr>
          <w:rFonts w:ascii="Bookman Old Style" w:hAnsi="Bookman Old Style"/>
          <w:i/>
          <w:iCs/>
          <w:sz w:val="18"/>
          <w:szCs w:val="18"/>
        </w:rPr>
        <w:t xml:space="preserve"> </w:t>
      </w:r>
      <w:r w:rsidRPr="006A368B">
        <w:rPr>
          <w:rFonts w:ascii="Bookman Old Style" w:hAnsi="Bookman Old Style"/>
          <w:i/>
          <w:iCs/>
          <w:sz w:val="18"/>
          <w:szCs w:val="18"/>
        </w:rPr>
        <w:t>berdasarkan</w:t>
      </w:r>
      <w:r w:rsidR="00A954D0" w:rsidRPr="006A368B">
        <w:rPr>
          <w:rFonts w:ascii="Bookman Old Style" w:hAnsi="Bookman Old Style"/>
          <w:i/>
          <w:iCs/>
          <w:sz w:val="18"/>
          <w:szCs w:val="18"/>
        </w:rPr>
        <w:t xml:space="preserve"> </w:t>
      </w:r>
      <w:r w:rsidRPr="006A368B">
        <w:rPr>
          <w:rFonts w:ascii="Bookman Old Style" w:hAnsi="Bookman Old Style"/>
          <w:i/>
          <w:iCs/>
          <w:sz w:val="18"/>
          <w:szCs w:val="18"/>
        </w:rPr>
        <w:t>Laporan</w:t>
      </w:r>
      <w:r w:rsidR="00A954D0" w:rsidRPr="006A368B">
        <w:rPr>
          <w:rFonts w:ascii="Bookman Old Style" w:hAnsi="Bookman Old Style"/>
          <w:i/>
          <w:iCs/>
          <w:sz w:val="18"/>
          <w:szCs w:val="18"/>
        </w:rPr>
        <w:t xml:space="preserve"> </w:t>
      </w:r>
      <w:r w:rsidRPr="006A368B">
        <w:rPr>
          <w:rFonts w:ascii="Bookman Old Style" w:hAnsi="Bookman Old Style"/>
          <w:i/>
          <w:iCs/>
          <w:sz w:val="18"/>
          <w:szCs w:val="18"/>
        </w:rPr>
        <w:t>Realisasi</w:t>
      </w:r>
      <w:r w:rsidR="00A954D0" w:rsidRPr="006A368B">
        <w:rPr>
          <w:rFonts w:ascii="Bookman Old Style" w:hAnsi="Bookman Old Style"/>
          <w:i/>
          <w:iCs/>
          <w:sz w:val="18"/>
          <w:szCs w:val="18"/>
        </w:rPr>
        <w:t xml:space="preserve"> </w:t>
      </w:r>
      <w:r w:rsidRPr="006A368B">
        <w:rPr>
          <w:rFonts w:ascii="Bookman Old Style" w:hAnsi="Bookman Old Style"/>
          <w:i/>
          <w:iCs/>
          <w:sz w:val="18"/>
          <w:szCs w:val="18"/>
        </w:rPr>
        <w:t>Anggaran</w:t>
      </w:r>
      <w:r w:rsidR="00A954D0" w:rsidRPr="006A368B">
        <w:rPr>
          <w:rFonts w:ascii="Bookman Old Style" w:hAnsi="Bookman Old Style"/>
          <w:i/>
          <w:iCs/>
          <w:sz w:val="18"/>
          <w:szCs w:val="18"/>
        </w:rPr>
        <w:t xml:space="preserve"> </w:t>
      </w:r>
      <w:r w:rsidRPr="006A368B">
        <w:rPr>
          <w:rFonts w:ascii="Bookman Old Style" w:hAnsi="Bookman Old Style"/>
          <w:i/>
          <w:iCs/>
          <w:sz w:val="18"/>
          <w:szCs w:val="18"/>
        </w:rPr>
        <w:t>s.d.</w:t>
      </w:r>
      <w:r w:rsidR="00A954D0" w:rsidRPr="006A368B">
        <w:rPr>
          <w:rFonts w:ascii="Bookman Old Style" w:hAnsi="Bookman Old Style"/>
          <w:i/>
          <w:iCs/>
          <w:sz w:val="18"/>
          <w:szCs w:val="18"/>
        </w:rPr>
        <w:t xml:space="preserve"> </w:t>
      </w:r>
      <w:r w:rsidRPr="006A368B">
        <w:rPr>
          <w:rFonts w:ascii="Bookman Old Style" w:hAnsi="Bookman Old Style"/>
          <w:i/>
          <w:iCs/>
          <w:sz w:val="18"/>
          <w:szCs w:val="18"/>
        </w:rPr>
        <w:t>31</w:t>
      </w:r>
      <w:r w:rsidR="00A954D0" w:rsidRPr="006A368B">
        <w:rPr>
          <w:rFonts w:ascii="Bookman Old Style" w:hAnsi="Bookman Old Style"/>
          <w:i/>
          <w:iCs/>
          <w:sz w:val="18"/>
          <w:szCs w:val="18"/>
        </w:rPr>
        <w:t xml:space="preserve"> </w:t>
      </w:r>
      <w:r w:rsidRPr="006A368B">
        <w:rPr>
          <w:rFonts w:ascii="Bookman Old Style" w:hAnsi="Bookman Old Style"/>
          <w:i/>
          <w:iCs/>
          <w:sz w:val="18"/>
          <w:szCs w:val="18"/>
        </w:rPr>
        <w:t>Oktober</w:t>
      </w:r>
      <w:r w:rsidR="00A954D0" w:rsidRPr="006A368B">
        <w:rPr>
          <w:rFonts w:ascii="Bookman Old Style" w:hAnsi="Bookman Old Style"/>
          <w:i/>
          <w:iCs/>
          <w:sz w:val="18"/>
          <w:szCs w:val="18"/>
        </w:rPr>
        <w:t xml:space="preserve"> </w:t>
      </w:r>
      <w:r w:rsidRPr="006A368B">
        <w:rPr>
          <w:rFonts w:ascii="Bookman Old Style" w:hAnsi="Bookman Old Style"/>
          <w:i/>
          <w:iCs/>
          <w:sz w:val="18"/>
          <w:szCs w:val="18"/>
        </w:rPr>
        <w:t>2024</w:t>
      </w:r>
    </w:p>
    <w:p w14:paraId="0B1D947D" w14:textId="47CEFAD1" w:rsidR="008727BB" w:rsidRPr="006A368B" w:rsidRDefault="008727BB" w:rsidP="004B2568">
      <w:pPr>
        <w:pStyle w:val="ListParagraph"/>
        <w:spacing w:before="60" w:after="0" w:line="276" w:lineRule="auto"/>
        <w:ind w:left="1701"/>
        <w:contextualSpacing w:val="0"/>
        <w:jc w:val="both"/>
        <w:rPr>
          <w:rFonts w:ascii="Bookman Old Style" w:hAnsi="Bookman Old Style"/>
          <w:sz w:val="24"/>
          <w:szCs w:val="24"/>
          <w:lang w:val="sv-FI"/>
        </w:rPr>
      </w:pPr>
      <w:r w:rsidRPr="006A368B">
        <w:rPr>
          <w:rFonts w:ascii="Bookman Old Style" w:hAnsi="Bookman Old Style"/>
          <w:sz w:val="24"/>
          <w:szCs w:val="24"/>
          <w:lang w:val="sv-FI"/>
        </w:rPr>
        <w:t>Selanjutnya,</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p</w:t>
      </w:r>
      <w:r w:rsidRPr="006A368B">
        <w:rPr>
          <w:rFonts w:ascii="Bookman Old Style" w:hAnsi="Bookman Old Style"/>
          <w:sz w:val="24"/>
          <w:szCs w:val="24"/>
        </w:rPr>
        <w:t>enganggaran</w:t>
      </w:r>
      <w:r w:rsidR="00A954D0" w:rsidRPr="006A368B">
        <w:rPr>
          <w:rFonts w:ascii="Bookman Old Style" w:hAnsi="Bookman Old Style"/>
          <w:sz w:val="24"/>
          <w:szCs w:val="24"/>
        </w:rPr>
        <w:t xml:space="preserve"> </w:t>
      </w:r>
      <w:r w:rsidRPr="006A368B">
        <w:rPr>
          <w:rFonts w:ascii="Bookman Old Style" w:hAnsi="Bookman Old Style"/>
          <w:sz w:val="24"/>
          <w:szCs w:val="24"/>
        </w:rPr>
        <w:t>Belanja</w:t>
      </w:r>
      <w:r w:rsidR="00A954D0" w:rsidRPr="006A368B">
        <w:rPr>
          <w:rFonts w:ascii="Bookman Old Style" w:hAnsi="Bookman Old Style"/>
          <w:sz w:val="24"/>
          <w:szCs w:val="24"/>
        </w:rPr>
        <w:t xml:space="preserve"> </w:t>
      </w:r>
      <w:r w:rsidRPr="006A368B">
        <w:rPr>
          <w:rFonts w:ascii="Bookman Old Style" w:hAnsi="Bookman Old Style"/>
          <w:sz w:val="24"/>
          <w:szCs w:val="24"/>
        </w:rPr>
        <w:t>Hibah</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id-ID"/>
        </w:rPr>
        <w:t>yang</w:t>
      </w:r>
      <w:r w:rsidR="00A954D0" w:rsidRPr="006A368B">
        <w:rPr>
          <w:rFonts w:ascii="Bookman Old Style" w:hAnsi="Bookman Old Style"/>
          <w:sz w:val="24"/>
          <w:szCs w:val="24"/>
          <w:lang w:val="id-ID"/>
        </w:rPr>
        <w:t xml:space="preserve"> </w:t>
      </w:r>
      <w:r w:rsidRPr="006A368B">
        <w:rPr>
          <w:rFonts w:ascii="Bookman Old Style" w:hAnsi="Bookman Old Style"/>
          <w:sz w:val="24"/>
          <w:szCs w:val="24"/>
          <w:lang w:val="sv-FI"/>
        </w:rPr>
        <w:t>antara</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lain</w:t>
      </w:r>
      <w:r w:rsidR="00A954D0" w:rsidRPr="006A368B">
        <w:rPr>
          <w:rFonts w:ascii="Bookman Old Style" w:hAnsi="Bookman Old Style"/>
          <w:sz w:val="24"/>
          <w:szCs w:val="24"/>
          <w:lang w:val="sv-FI"/>
        </w:rPr>
        <w:t xml:space="preserve"> </w:t>
      </w:r>
      <w:r w:rsidRPr="006A368B">
        <w:rPr>
          <w:rFonts w:ascii="Bookman Old Style" w:hAnsi="Bookman Old Style"/>
          <w:sz w:val="24"/>
          <w:szCs w:val="24"/>
        </w:rPr>
        <w:t>diuraikan</w:t>
      </w:r>
      <w:r w:rsidR="00A954D0" w:rsidRPr="006A368B">
        <w:rPr>
          <w:rFonts w:ascii="Bookman Old Style" w:hAnsi="Bookman Old Style"/>
          <w:sz w:val="24"/>
          <w:szCs w:val="24"/>
        </w:rPr>
        <w:t xml:space="preserve"> </w:t>
      </w:r>
      <w:r w:rsidRPr="006A368B">
        <w:rPr>
          <w:rFonts w:ascii="Bookman Old Style" w:hAnsi="Bookman Old Style"/>
          <w:sz w:val="24"/>
          <w:szCs w:val="24"/>
        </w:rPr>
        <w:t>ke</w:t>
      </w:r>
      <w:r w:rsidR="00A954D0" w:rsidRPr="006A368B">
        <w:rPr>
          <w:rFonts w:ascii="Bookman Old Style" w:hAnsi="Bookman Old Style"/>
          <w:sz w:val="24"/>
          <w:szCs w:val="24"/>
        </w:rPr>
        <w:t xml:space="preserve"> </w:t>
      </w:r>
      <w:r w:rsidRPr="006A368B">
        <w:rPr>
          <w:rFonts w:ascii="Bookman Old Style" w:hAnsi="Bookman Old Style"/>
          <w:sz w:val="24"/>
          <w:szCs w:val="24"/>
        </w:rPr>
        <w:t>dalam</w:t>
      </w:r>
      <w:r w:rsidR="00A954D0" w:rsidRPr="006A368B">
        <w:rPr>
          <w:rFonts w:ascii="Bookman Old Style" w:hAnsi="Bookman Old Style"/>
          <w:sz w:val="24"/>
          <w:szCs w:val="24"/>
        </w:rPr>
        <w:t xml:space="preserve"> </w:t>
      </w:r>
      <w:r w:rsidRPr="006A368B">
        <w:rPr>
          <w:rFonts w:ascii="Bookman Old Style" w:hAnsi="Bookman Old Style"/>
          <w:sz w:val="24"/>
          <w:szCs w:val="24"/>
        </w:rPr>
        <w:t>objek</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belanja:</w:t>
      </w:r>
    </w:p>
    <w:p w14:paraId="08D633A4" w14:textId="14942413" w:rsidR="008727BB" w:rsidRPr="006A368B" w:rsidRDefault="008727BB" w:rsidP="004B2568">
      <w:pPr>
        <w:pStyle w:val="ListParagraph"/>
        <w:numPr>
          <w:ilvl w:val="0"/>
          <w:numId w:val="72"/>
        </w:numPr>
        <w:snapToGrid w:val="0"/>
        <w:spacing w:before="60" w:after="0" w:line="276" w:lineRule="auto"/>
        <w:ind w:left="2268" w:hanging="567"/>
        <w:contextualSpacing w:val="0"/>
        <w:jc w:val="both"/>
        <w:rPr>
          <w:rFonts w:ascii="Bookman Old Style" w:hAnsi="Bookman Old Style"/>
          <w:sz w:val="24"/>
          <w:szCs w:val="24"/>
        </w:rPr>
      </w:pPr>
      <w:r w:rsidRPr="006A368B">
        <w:rPr>
          <w:rFonts w:ascii="Bookman Old Style" w:hAnsi="Bookman Old Style"/>
          <w:sz w:val="24"/>
          <w:szCs w:val="24"/>
          <w:lang w:val="id-ID"/>
        </w:rPr>
        <w:t>Belanja</w:t>
      </w:r>
      <w:r w:rsidR="00A954D0" w:rsidRPr="006A368B">
        <w:rPr>
          <w:rFonts w:ascii="Bookman Old Style" w:hAnsi="Bookman Old Style"/>
          <w:sz w:val="24"/>
          <w:szCs w:val="24"/>
          <w:lang w:val="id-ID"/>
        </w:rPr>
        <w:t xml:space="preserve"> </w:t>
      </w:r>
      <w:r w:rsidRPr="006A368B">
        <w:rPr>
          <w:rFonts w:ascii="Bookman Old Style" w:hAnsi="Bookman Old Style"/>
          <w:sz w:val="24"/>
          <w:szCs w:val="24"/>
          <w:lang w:val="id-ID"/>
        </w:rPr>
        <w:t>Hibah</w:t>
      </w:r>
      <w:r w:rsidR="00A954D0" w:rsidRPr="006A368B">
        <w:rPr>
          <w:rFonts w:ascii="Bookman Old Style" w:hAnsi="Bookman Old Style"/>
          <w:sz w:val="24"/>
          <w:szCs w:val="24"/>
          <w:lang w:val="id-ID"/>
        </w:rPr>
        <w:t xml:space="preserve"> </w:t>
      </w:r>
      <w:r w:rsidRPr="006A368B">
        <w:rPr>
          <w:rFonts w:ascii="Bookman Old Style" w:hAnsi="Bookman Old Style"/>
          <w:sz w:val="24"/>
          <w:szCs w:val="24"/>
          <w:lang w:val="id-ID"/>
        </w:rPr>
        <w:t>kepada</w:t>
      </w:r>
      <w:r w:rsidR="00A954D0" w:rsidRPr="006A368B">
        <w:rPr>
          <w:rFonts w:ascii="Bookman Old Style" w:hAnsi="Bookman Old Style"/>
          <w:sz w:val="24"/>
          <w:szCs w:val="24"/>
          <w:lang w:val="id-ID"/>
        </w:rPr>
        <w:t xml:space="preserve"> </w:t>
      </w:r>
      <w:r w:rsidRPr="006A368B">
        <w:rPr>
          <w:rFonts w:ascii="Bookman Old Style" w:hAnsi="Bookman Old Style"/>
          <w:sz w:val="24"/>
          <w:szCs w:val="24"/>
          <w:lang w:val="sv-FI"/>
        </w:rPr>
        <w:t>Pemerintah</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Pusat</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Rp</w:t>
      </w:r>
      <w:r w:rsidRPr="006A368B">
        <w:rPr>
          <w:rFonts w:ascii="Bookman Old Style" w:hAnsi="Bookman Old Style"/>
          <w:sz w:val="24"/>
          <w:szCs w:val="24"/>
          <w:lang w:val="id-ID"/>
        </w:rPr>
        <w:t>30.420.726.220,00</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sv-FI"/>
        </w:rPr>
        <w:t>atau</w:t>
      </w:r>
      <w:r w:rsidR="00A954D0" w:rsidRPr="006A368B">
        <w:rPr>
          <w:rFonts w:ascii="Bookman Old Style" w:hAnsi="Bookman Old Style"/>
          <w:sz w:val="24"/>
          <w:szCs w:val="24"/>
          <w:lang w:val="sv-FI"/>
        </w:rPr>
        <w:t xml:space="preserve"> </w:t>
      </w:r>
      <w:r w:rsidRPr="006A368B">
        <w:rPr>
          <w:rFonts w:ascii="Bookman Old Style" w:hAnsi="Bookman Old Style"/>
          <w:sz w:val="24"/>
          <w:szCs w:val="24"/>
          <w:lang w:val="id-ID"/>
        </w:rPr>
        <w:t>0,53</w:t>
      </w:r>
      <w:r w:rsidRPr="006A368B">
        <w:rPr>
          <w:rFonts w:ascii="Bookman Old Style" w:hAnsi="Bookman Old Style"/>
          <w:sz w:val="24"/>
          <w:szCs w:val="24"/>
          <w:lang w:val="sv-FI"/>
        </w:rPr>
        <w:t>%</w:t>
      </w:r>
      <w:r w:rsidR="00A954D0" w:rsidRPr="006A368B">
        <w:rPr>
          <w:rFonts w:ascii="Bookman Old Style" w:hAnsi="Bookman Old Style"/>
          <w:sz w:val="24"/>
          <w:szCs w:val="24"/>
          <w:lang w:val="sv-FI"/>
        </w:rPr>
        <w:t xml:space="preserve"> </w:t>
      </w:r>
      <w:r w:rsidRPr="006A368B">
        <w:rPr>
          <w:rFonts w:ascii="Bookman Old Style" w:hAnsi="Bookman Old Style" w:cs="Arial"/>
          <w:sz w:val="24"/>
          <w:szCs w:val="24"/>
          <w:lang w:val="sv-FI"/>
        </w:rPr>
        <w:t>yang</w:t>
      </w:r>
      <w:r w:rsidR="00A954D0" w:rsidRPr="006A368B">
        <w:rPr>
          <w:rFonts w:ascii="Bookman Old Style" w:hAnsi="Bookman Old Style" w:cs="Arial"/>
          <w:sz w:val="24"/>
          <w:szCs w:val="24"/>
          <w:lang w:val="sv-FI"/>
        </w:rPr>
        <w:t xml:space="preserve"> </w:t>
      </w:r>
      <w:r w:rsidRPr="006A368B">
        <w:rPr>
          <w:rFonts w:ascii="Bookman Old Style" w:hAnsi="Bookman Old Style" w:cs="Arial"/>
          <w:sz w:val="24"/>
          <w:szCs w:val="24"/>
          <w:lang w:val="sv-FI"/>
        </w:rPr>
        <w:t>hanya</w:t>
      </w:r>
      <w:r w:rsidR="00A954D0" w:rsidRPr="006A368B">
        <w:rPr>
          <w:rFonts w:ascii="Bookman Old Style" w:hAnsi="Bookman Old Style" w:cs="Arial"/>
          <w:sz w:val="24"/>
          <w:szCs w:val="24"/>
          <w:lang w:val="sv-FI"/>
        </w:rPr>
        <w:t xml:space="preserve"> </w:t>
      </w:r>
      <w:r w:rsidRPr="006A368B">
        <w:rPr>
          <w:rFonts w:ascii="Bookman Old Style" w:hAnsi="Bookman Old Style" w:cs="Arial"/>
          <w:sz w:val="24"/>
          <w:szCs w:val="24"/>
          <w:lang w:val="sv-FI"/>
        </w:rPr>
        <w:t>diuraikan</w:t>
      </w:r>
      <w:r w:rsidR="00A954D0" w:rsidRPr="006A368B">
        <w:rPr>
          <w:rFonts w:ascii="Bookman Old Style" w:hAnsi="Bookman Old Style" w:cs="Arial"/>
          <w:sz w:val="24"/>
          <w:szCs w:val="24"/>
          <w:lang w:val="sv-FI"/>
        </w:rPr>
        <w:t xml:space="preserve"> </w:t>
      </w:r>
      <w:r w:rsidRPr="006A368B">
        <w:rPr>
          <w:rFonts w:ascii="Bookman Old Style" w:hAnsi="Bookman Old Style" w:cs="Arial"/>
          <w:sz w:val="24"/>
          <w:szCs w:val="24"/>
          <w:lang w:val="sv-FI"/>
        </w:rPr>
        <w:t>ke</w:t>
      </w:r>
      <w:r w:rsidR="00A954D0" w:rsidRPr="006A368B">
        <w:rPr>
          <w:rFonts w:ascii="Bookman Old Style" w:hAnsi="Bookman Old Style" w:cs="Arial"/>
          <w:sz w:val="24"/>
          <w:szCs w:val="24"/>
          <w:lang w:val="sv-FI"/>
        </w:rPr>
        <w:t xml:space="preserve"> </w:t>
      </w:r>
      <w:r w:rsidRPr="006A368B">
        <w:rPr>
          <w:rFonts w:ascii="Bookman Old Style" w:hAnsi="Bookman Old Style" w:cs="Arial"/>
          <w:sz w:val="24"/>
          <w:szCs w:val="24"/>
          <w:lang w:val="sv-FI"/>
        </w:rPr>
        <w:t>dalam</w:t>
      </w:r>
      <w:r w:rsidR="00A954D0" w:rsidRPr="006A368B">
        <w:rPr>
          <w:rFonts w:ascii="Bookman Old Style" w:hAnsi="Bookman Old Style" w:cs="Arial"/>
          <w:sz w:val="24"/>
          <w:szCs w:val="24"/>
          <w:lang w:val="sv-FI"/>
        </w:rPr>
        <w:t xml:space="preserve"> </w:t>
      </w:r>
      <w:r w:rsidRPr="006A368B">
        <w:rPr>
          <w:rFonts w:ascii="Bookman Old Style" w:hAnsi="Bookman Old Style" w:cs="Arial"/>
          <w:sz w:val="24"/>
          <w:szCs w:val="24"/>
          <w:lang w:val="sv-FI"/>
        </w:rPr>
        <w:t>rincian</w:t>
      </w:r>
      <w:r w:rsidR="00A954D0" w:rsidRPr="006A368B">
        <w:rPr>
          <w:rFonts w:ascii="Bookman Old Style" w:hAnsi="Bookman Old Style" w:cs="Arial"/>
          <w:sz w:val="24"/>
          <w:szCs w:val="24"/>
          <w:lang w:val="sv-FI"/>
        </w:rPr>
        <w:t xml:space="preserve"> </w:t>
      </w:r>
      <w:r w:rsidRPr="006A368B">
        <w:rPr>
          <w:rFonts w:ascii="Bookman Old Style" w:hAnsi="Bookman Old Style" w:cs="Arial"/>
          <w:sz w:val="24"/>
          <w:szCs w:val="24"/>
          <w:lang w:val="sv-FI"/>
        </w:rPr>
        <w:t>objek</w:t>
      </w:r>
      <w:r w:rsidR="00A954D0" w:rsidRPr="006A368B">
        <w:rPr>
          <w:rFonts w:ascii="Bookman Old Style" w:hAnsi="Bookman Old Style" w:cs="Arial"/>
          <w:sz w:val="24"/>
          <w:szCs w:val="24"/>
          <w:lang w:val="sv-FI"/>
        </w:rPr>
        <w:t xml:space="preserve"> </w:t>
      </w:r>
      <w:r w:rsidRPr="006A368B">
        <w:rPr>
          <w:rFonts w:ascii="Bookman Old Style" w:hAnsi="Bookman Old Style" w:cs="Arial"/>
          <w:sz w:val="24"/>
          <w:szCs w:val="24"/>
          <w:lang w:val="sv-FI"/>
        </w:rPr>
        <w:t>Belanja</w:t>
      </w:r>
      <w:r w:rsidR="00A954D0" w:rsidRPr="006A368B">
        <w:rPr>
          <w:rFonts w:ascii="Bookman Old Style" w:hAnsi="Bookman Old Style" w:cs="Arial"/>
          <w:sz w:val="24"/>
          <w:szCs w:val="24"/>
          <w:lang w:val="sv-FI"/>
        </w:rPr>
        <w:t xml:space="preserve"> </w:t>
      </w:r>
      <w:r w:rsidRPr="006A368B">
        <w:rPr>
          <w:rFonts w:ascii="Bookman Old Style" w:hAnsi="Bookman Old Style" w:cs="Arial"/>
          <w:sz w:val="24"/>
          <w:szCs w:val="24"/>
          <w:lang w:val="sv-FI"/>
        </w:rPr>
        <w:t>Hibah</w:t>
      </w:r>
      <w:r w:rsidR="00A954D0" w:rsidRPr="006A368B">
        <w:rPr>
          <w:rFonts w:ascii="Bookman Old Style" w:hAnsi="Bookman Old Style" w:cs="Arial"/>
          <w:sz w:val="24"/>
          <w:szCs w:val="24"/>
          <w:lang w:val="sv-FI"/>
        </w:rPr>
        <w:t xml:space="preserve"> </w:t>
      </w:r>
      <w:r w:rsidRPr="006A368B">
        <w:rPr>
          <w:rFonts w:ascii="Bookman Old Style" w:hAnsi="Bookman Old Style" w:cs="Arial"/>
          <w:sz w:val="24"/>
          <w:szCs w:val="24"/>
          <w:lang w:val="sv-FI"/>
        </w:rPr>
        <w:t>Barang</w:t>
      </w:r>
      <w:r w:rsidR="00A954D0" w:rsidRPr="006A368B">
        <w:rPr>
          <w:rFonts w:ascii="Bookman Old Style" w:hAnsi="Bookman Old Style" w:cs="Arial"/>
          <w:sz w:val="24"/>
          <w:szCs w:val="24"/>
          <w:lang w:val="sv-FI"/>
        </w:rPr>
        <w:t xml:space="preserve"> </w:t>
      </w:r>
      <w:r w:rsidRPr="006A368B">
        <w:rPr>
          <w:rFonts w:ascii="Bookman Old Style" w:hAnsi="Bookman Old Style" w:cs="Arial"/>
          <w:sz w:val="24"/>
          <w:szCs w:val="24"/>
          <w:lang w:val="sv-FI"/>
        </w:rPr>
        <w:t>kepada</w:t>
      </w:r>
      <w:r w:rsidR="00A954D0" w:rsidRPr="006A368B">
        <w:rPr>
          <w:rFonts w:ascii="Bookman Old Style" w:hAnsi="Bookman Old Style" w:cs="Arial"/>
          <w:sz w:val="24"/>
          <w:szCs w:val="24"/>
          <w:lang w:val="sv-FI"/>
        </w:rPr>
        <w:t xml:space="preserve"> </w:t>
      </w:r>
      <w:r w:rsidRPr="006A368B">
        <w:rPr>
          <w:rFonts w:ascii="Bookman Old Style" w:hAnsi="Bookman Old Style" w:cs="Arial"/>
          <w:sz w:val="24"/>
          <w:szCs w:val="24"/>
          <w:lang w:val="sv-FI"/>
        </w:rPr>
        <w:t>Pemerintah</w:t>
      </w:r>
      <w:r w:rsidR="00A954D0" w:rsidRPr="006A368B">
        <w:rPr>
          <w:rFonts w:ascii="Bookman Old Style" w:hAnsi="Bookman Old Style" w:cs="Arial"/>
          <w:sz w:val="24"/>
          <w:szCs w:val="24"/>
          <w:lang w:val="sv-FI"/>
        </w:rPr>
        <w:t xml:space="preserve"> </w:t>
      </w:r>
      <w:r w:rsidRPr="006A368B">
        <w:rPr>
          <w:rFonts w:ascii="Bookman Old Style" w:hAnsi="Bookman Old Style" w:cs="Arial"/>
          <w:sz w:val="24"/>
          <w:szCs w:val="24"/>
          <w:lang w:val="sv-FI"/>
        </w:rPr>
        <w:t>Pusat</w:t>
      </w:r>
      <w:r w:rsidR="00A954D0" w:rsidRPr="006A368B">
        <w:rPr>
          <w:rFonts w:ascii="Bookman Old Style" w:hAnsi="Bookman Old Style" w:cs="Arial"/>
          <w:sz w:val="24"/>
          <w:szCs w:val="24"/>
          <w:lang w:val="sv-FI"/>
        </w:rPr>
        <w:t xml:space="preserve"> </w:t>
      </w:r>
      <w:r w:rsidRPr="006A368B">
        <w:rPr>
          <w:rFonts w:ascii="Bookman Old Style" w:hAnsi="Bookman Old Style" w:cs="Arial"/>
          <w:sz w:val="24"/>
          <w:szCs w:val="24"/>
          <w:lang w:val="sv-FI"/>
        </w:rPr>
        <w:t>dan</w:t>
      </w:r>
      <w:r w:rsidR="00A954D0" w:rsidRPr="006A368B">
        <w:rPr>
          <w:rFonts w:ascii="Bookman Old Style" w:hAnsi="Bookman Old Style" w:cs="Arial"/>
          <w:sz w:val="24"/>
          <w:szCs w:val="24"/>
          <w:lang w:val="sv-FI"/>
        </w:rPr>
        <w:t xml:space="preserve"> </w:t>
      </w:r>
      <w:r w:rsidRPr="006A368B">
        <w:rPr>
          <w:rFonts w:ascii="Bookman Old Style" w:hAnsi="Bookman Old Style" w:cs="Arial"/>
          <w:sz w:val="24"/>
          <w:szCs w:val="24"/>
          <w:lang w:val="sv-FI"/>
        </w:rPr>
        <w:t>sub</w:t>
      </w:r>
      <w:r w:rsidR="00A954D0" w:rsidRPr="006A368B">
        <w:rPr>
          <w:rFonts w:ascii="Bookman Old Style" w:hAnsi="Bookman Old Style" w:cs="Arial"/>
          <w:sz w:val="24"/>
          <w:szCs w:val="24"/>
          <w:lang w:val="sv-FI"/>
        </w:rPr>
        <w:t xml:space="preserve"> </w:t>
      </w:r>
      <w:r w:rsidRPr="006A368B">
        <w:rPr>
          <w:rFonts w:ascii="Bookman Old Style" w:hAnsi="Bookman Old Style" w:cs="Arial"/>
          <w:sz w:val="24"/>
          <w:szCs w:val="24"/>
          <w:lang w:val="sv-FI"/>
        </w:rPr>
        <w:t>rincian</w:t>
      </w:r>
      <w:r w:rsidR="00A954D0" w:rsidRPr="006A368B">
        <w:rPr>
          <w:rFonts w:ascii="Bookman Old Style" w:hAnsi="Bookman Old Style" w:cs="Arial"/>
          <w:sz w:val="24"/>
          <w:szCs w:val="24"/>
          <w:lang w:val="sv-FI"/>
        </w:rPr>
        <w:t xml:space="preserve"> </w:t>
      </w:r>
      <w:r w:rsidRPr="006A368B">
        <w:rPr>
          <w:rFonts w:ascii="Bookman Old Style" w:hAnsi="Bookman Old Style" w:cs="Arial"/>
          <w:sz w:val="24"/>
          <w:szCs w:val="24"/>
          <w:lang w:val="sv-FI"/>
        </w:rPr>
        <w:t>objek</w:t>
      </w:r>
      <w:r w:rsidR="00A954D0" w:rsidRPr="006A368B">
        <w:rPr>
          <w:rFonts w:ascii="Bookman Old Style" w:hAnsi="Bookman Old Style" w:cs="Arial"/>
          <w:sz w:val="24"/>
          <w:szCs w:val="24"/>
          <w:lang w:val="sv-FI"/>
        </w:rPr>
        <w:t xml:space="preserve"> </w:t>
      </w:r>
      <w:r w:rsidRPr="006A368B">
        <w:rPr>
          <w:rFonts w:ascii="Bookman Old Style" w:hAnsi="Bookman Old Style" w:cs="Arial"/>
          <w:sz w:val="24"/>
          <w:szCs w:val="24"/>
          <w:lang w:val="sv-FI"/>
        </w:rPr>
        <w:t>Belanja</w:t>
      </w:r>
      <w:r w:rsidR="00A954D0" w:rsidRPr="006A368B">
        <w:rPr>
          <w:rFonts w:ascii="Bookman Old Style" w:hAnsi="Bookman Old Style" w:cs="Arial"/>
          <w:sz w:val="24"/>
          <w:szCs w:val="24"/>
          <w:lang w:val="sv-FI"/>
        </w:rPr>
        <w:t xml:space="preserve"> </w:t>
      </w:r>
      <w:r w:rsidRPr="006A368B">
        <w:rPr>
          <w:rFonts w:ascii="Bookman Old Style" w:hAnsi="Bookman Old Style" w:cs="Arial"/>
          <w:sz w:val="24"/>
          <w:szCs w:val="24"/>
          <w:lang w:val="sv-FI"/>
        </w:rPr>
        <w:t>Hibah</w:t>
      </w:r>
      <w:r w:rsidR="00A954D0" w:rsidRPr="006A368B">
        <w:rPr>
          <w:rFonts w:ascii="Bookman Old Style" w:hAnsi="Bookman Old Style" w:cs="Arial"/>
          <w:sz w:val="24"/>
          <w:szCs w:val="24"/>
          <w:lang w:val="sv-FI"/>
        </w:rPr>
        <w:t xml:space="preserve"> </w:t>
      </w:r>
      <w:r w:rsidRPr="006A368B">
        <w:rPr>
          <w:rFonts w:ascii="Bookman Old Style" w:hAnsi="Bookman Old Style" w:cs="Arial"/>
          <w:sz w:val="24"/>
          <w:szCs w:val="24"/>
          <w:lang w:val="sv-FI"/>
        </w:rPr>
        <w:t>Barang</w:t>
      </w:r>
      <w:r w:rsidR="00A954D0" w:rsidRPr="006A368B">
        <w:rPr>
          <w:rFonts w:ascii="Bookman Old Style" w:hAnsi="Bookman Old Style" w:cs="Arial"/>
          <w:sz w:val="24"/>
          <w:szCs w:val="24"/>
          <w:lang w:val="sv-FI"/>
        </w:rPr>
        <w:t xml:space="preserve"> </w:t>
      </w:r>
      <w:r w:rsidRPr="006A368B">
        <w:rPr>
          <w:rFonts w:ascii="Bookman Old Style" w:hAnsi="Bookman Old Style" w:cs="Arial"/>
          <w:sz w:val="24"/>
          <w:szCs w:val="24"/>
          <w:lang w:val="sv-FI"/>
        </w:rPr>
        <w:t>kepada</w:t>
      </w:r>
      <w:r w:rsidR="00A954D0" w:rsidRPr="006A368B">
        <w:rPr>
          <w:rFonts w:ascii="Bookman Old Style" w:hAnsi="Bookman Old Style" w:cs="Arial"/>
          <w:sz w:val="24"/>
          <w:szCs w:val="24"/>
          <w:lang w:val="sv-FI"/>
        </w:rPr>
        <w:t xml:space="preserve"> </w:t>
      </w:r>
      <w:r w:rsidRPr="006A368B">
        <w:rPr>
          <w:rFonts w:ascii="Bookman Old Style" w:hAnsi="Bookman Old Style" w:cs="Arial"/>
          <w:sz w:val="24"/>
          <w:szCs w:val="24"/>
          <w:lang w:val="sv-FI"/>
        </w:rPr>
        <w:t>Pemerintah</w:t>
      </w:r>
      <w:r w:rsidR="00A954D0" w:rsidRPr="006A368B">
        <w:rPr>
          <w:rFonts w:ascii="Bookman Old Style" w:hAnsi="Bookman Old Style" w:cs="Arial"/>
          <w:sz w:val="24"/>
          <w:szCs w:val="24"/>
          <w:lang w:val="sv-FI"/>
        </w:rPr>
        <w:t xml:space="preserve"> </w:t>
      </w:r>
      <w:r w:rsidRPr="006A368B">
        <w:rPr>
          <w:rFonts w:ascii="Bookman Old Style" w:hAnsi="Bookman Old Style" w:cs="Arial"/>
          <w:sz w:val="24"/>
          <w:szCs w:val="24"/>
          <w:lang w:val="sv-FI"/>
        </w:rPr>
        <w:t>Pusat;</w:t>
      </w:r>
    </w:p>
    <w:p w14:paraId="1C87BED9" w14:textId="665F7AA6" w:rsidR="008727BB" w:rsidRPr="006A368B" w:rsidRDefault="008727BB" w:rsidP="004B2568">
      <w:pPr>
        <w:pStyle w:val="ListParagraph"/>
        <w:numPr>
          <w:ilvl w:val="0"/>
          <w:numId w:val="72"/>
        </w:numPr>
        <w:snapToGrid w:val="0"/>
        <w:spacing w:before="60" w:after="0" w:line="276" w:lineRule="auto"/>
        <w:ind w:left="2268" w:hanging="567"/>
        <w:contextualSpacing w:val="0"/>
        <w:jc w:val="both"/>
        <w:rPr>
          <w:rFonts w:ascii="Bookman Old Style" w:hAnsi="Bookman Old Style"/>
          <w:sz w:val="24"/>
          <w:szCs w:val="24"/>
        </w:rPr>
      </w:pPr>
      <w:r w:rsidRPr="006A368B">
        <w:rPr>
          <w:rFonts w:ascii="Bookman Old Style" w:hAnsi="Bookman Old Style" w:cs="Arial"/>
          <w:sz w:val="24"/>
          <w:szCs w:val="24"/>
          <w:lang w:val="en-US"/>
        </w:rPr>
        <w:t>Belanja</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Hibah</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kepada</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Badan,</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Lembaga,</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Organisasi</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Kemasyarakatan</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yang</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Berbadan</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Hukum</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Indonesia</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Rp57.565.350.000,00</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atau</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1,01%</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yang</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diuraikan</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ke</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dalam</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rincian</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objek</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sebagai</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berikut:</w:t>
      </w:r>
      <w:r w:rsidR="00A954D0" w:rsidRPr="006A368B">
        <w:rPr>
          <w:rFonts w:ascii="Bookman Old Style" w:hAnsi="Bookman Old Style" w:cs="Arial"/>
          <w:sz w:val="24"/>
          <w:szCs w:val="24"/>
          <w:lang w:val="en-US"/>
        </w:rPr>
        <w:t xml:space="preserve"> </w:t>
      </w:r>
    </w:p>
    <w:p w14:paraId="1EB13B03" w14:textId="76DCDBB1" w:rsidR="008727BB" w:rsidRPr="006A368B" w:rsidRDefault="008727BB" w:rsidP="004B2568">
      <w:pPr>
        <w:pStyle w:val="ListParagraph"/>
        <w:numPr>
          <w:ilvl w:val="0"/>
          <w:numId w:val="245"/>
        </w:numPr>
        <w:snapToGrid w:val="0"/>
        <w:spacing w:before="60" w:after="0" w:line="276" w:lineRule="auto"/>
        <w:ind w:left="2694" w:hanging="426"/>
        <w:contextualSpacing w:val="0"/>
        <w:jc w:val="both"/>
        <w:rPr>
          <w:rFonts w:ascii="Bookman Old Style" w:hAnsi="Bookman Old Style" w:cs="Arial"/>
          <w:sz w:val="24"/>
          <w:szCs w:val="24"/>
          <w:lang w:val="en-US"/>
        </w:rPr>
      </w:pPr>
      <w:r w:rsidRPr="006A368B">
        <w:rPr>
          <w:rFonts w:ascii="Bookman Old Style" w:hAnsi="Bookman Old Style"/>
          <w:sz w:val="24"/>
          <w:szCs w:val="24"/>
        </w:rPr>
        <w:t>Belanja</w:t>
      </w:r>
      <w:r w:rsidR="00A954D0" w:rsidRPr="006A368B">
        <w:rPr>
          <w:rFonts w:ascii="Bookman Old Style" w:hAnsi="Bookman Old Style"/>
          <w:sz w:val="24"/>
          <w:szCs w:val="24"/>
        </w:rPr>
        <w:t xml:space="preserve"> </w:t>
      </w:r>
      <w:r w:rsidRPr="006A368B">
        <w:rPr>
          <w:rFonts w:ascii="Bookman Old Style" w:hAnsi="Bookman Old Style"/>
          <w:sz w:val="24"/>
          <w:szCs w:val="24"/>
        </w:rPr>
        <w:t>Hibah</w:t>
      </w:r>
      <w:r w:rsidR="00A954D0" w:rsidRPr="006A368B">
        <w:rPr>
          <w:rFonts w:ascii="Bookman Old Style" w:hAnsi="Bookman Old Style"/>
          <w:sz w:val="24"/>
          <w:szCs w:val="24"/>
        </w:rPr>
        <w:t xml:space="preserve"> </w:t>
      </w:r>
      <w:r w:rsidRPr="006A368B">
        <w:rPr>
          <w:rFonts w:ascii="Bookman Old Style" w:hAnsi="Bookman Old Style"/>
          <w:sz w:val="24"/>
          <w:szCs w:val="24"/>
        </w:rPr>
        <w:t>kepada</w:t>
      </w:r>
      <w:r w:rsidR="00A954D0" w:rsidRPr="006A368B">
        <w:rPr>
          <w:rFonts w:ascii="Bookman Old Style" w:hAnsi="Bookman Old Style"/>
          <w:sz w:val="24"/>
          <w:szCs w:val="24"/>
        </w:rPr>
        <w:t xml:space="preserve"> </w:t>
      </w:r>
      <w:r w:rsidRPr="006A368B">
        <w:rPr>
          <w:rFonts w:ascii="Bookman Old Style" w:hAnsi="Bookman Old Style"/>
          <w:sz w:val="24"/>
          <w:szCs w:val="24"/>
        </w:rPr>
        <w:t>Badan</w:t>
      </w:r>
      <w:r w:rsidR="00A954D0" w:rsidRPr="006A368B">
        <w:rPr>
          <w:rFonts w:ascii="Bookman Old Style" w:hAnsi="Bookman Old Style"/>
          <w:sz w:val="24"/>
          <w:szCs w:val="24"/>
        </w:rPr>
        <w:t xml:space="preserve"> </w:t>
      </w:r>
      <w:r w:rsidRPr="006A368B">
        <w:rPr>
          <w:rFonts w:ascii="Bookman Old Style" w:hAnsi="Bookman Old Style"/>
          <w:sz w:val="24"/>
          <w:szCs w:val="24"/>
        </w:rPr>
        <w:t>dan</w:t>
      </w:r>
      <w:r w:rsidR="00A954D0" w:rsidRPr="006A368B">
        <w:rPr>
          <w:rFonts w:ascii="Bookman Old Style" w:hAnsi="Bookman Old Style"/>
          <w:sz w:val="24"/>
          <w:szCs w:val="24"/>
        </w:rPr>
        <w:t xml:space="preserve"> </w:t>
      </w:r>
      <w:r w:rsidRPr="006A368B">
        <w:rPr>
          <w:rFonts w:ascii="Bookman Old Style" w:hAnsi="Bookman Old Style"/>
          <w:sz w:val="24"/>
          <w:szCs w:val="24"/>
        </w:rPr>
        <w:t>Lembaga</w:t>
      </w:r>
      <w:r w:rsidR="00A954D0" w:rsidRPr="006A368B">
        <w:rPr>
          <w:rFonts w:ascii="Bookman Old Style" w:hAnsi="Bookman Old Style"/>
          <w:sz w:val="24"/>
          <w:szCs w:val="24"/>
        </w:rPr>
        <w:t xml:space="preserve"> </w:t>
      </w:r>
      <w:r w:rsidRPr="006A368B">
        <w:rPr>
          <w:rFonts w:ascii="Bookman Old Style" w:hAnsi="Bookman Old Style"/>
          <w:sz w:val="24"/>
          <w:szCs w:val="24"/>
        </w:rPr>
        <w:t>yang</w:t>
      </w:r>
      <w:r w:rsidR="00A954D0" w:rsidRPr="006A368B">
        <w:rPr>
          <w:rFonts w:ascii="Bookman Old Style" w:hAnsi="Bookman Old Style"/>
          <w:sz w:val="24"/>
          <w:szCs w:val="24"/>
        </w:rPr>
        <w:t xml:space="preserve"> </w:t>
      </w:r>
      <w:r w:rsidRPr="006A368B">
        <w:rPr>
          <w:rFonts w:ascii="Bookman Old Style" w:hAnsi="Bookman Old Style"/>
          <w:sz w:val="24"/>
          <w:szCs w:val="24"/>
        </w:rPr>
        <w:t>Bersifat</w:t>
      </w:r>
      <w:r w:rsidR="00A954D0" w:rsidRPr="006A368B">
        <w:rPr>
          <w:rFonts w:ascii="Bookman Old Style" w:hAnsi="Bookman Old Style"/>
          <w:sz w:val="24"/>
          <w:szCs w:val="24"/>
        </w:rPr>
        <w:t xml:space="preserve"> </w:t>
      </w:r>
      <w:r w:rsidRPr="006A368B">
        <w:rPr>
          <w:rFonts w:ascii="Bookman Old Style" w:hAnsi="Bookman Old Style"/>
          <w:sz w:val="24"/>
          <w:szCs w:val="24"/>
        </w:rPr>
        <w:t>Nirlaba,</w:t>
      </w:r>
      <w:r w:rsidR="00A954D0" w:rsidRPr="006A368B">
        <w:rPr>
          <w:rFonts w:ascii="Bookman Old Style" w:hAnsi="Bookman Old Style"/>
          <w:sz w:val="24"/>
          <w:szCs w:val="24"/>
        </w:rPr>
        <w:t xml:space="preserve"> </w:t>
      </w:r>
      <w:r w:rsidRPr="006A368B">
        <w:rPr>
          <w:rFonts w:ascii="Bookman Old Style" w:hAnsi="Bookman Old Style"/>
          <w:sz w:val="24"/>
          <w:szCs w:val="24"/>
        </w:rPr>
        <w:t>Sukarela</w:t>
      </w:r>
      <w:r w:rsidR="00A954D0" w:rsidRPr="006A368B">
        <w:rPr>
          <w:rFonts w:ascii="Bookman Old Style" w:hAnsi="Bookman Old Style"/>
          <w:sz w:val="24"/>
          <w:szCs w:val="24"/>
        </w:rPr>
        <w:t xml:space="preserve"> </w:t>
      </w:r>
      <w:r w:rsidRPr="006A368B">
        <w:rPr>
          <w:rFonts w:ascii="Bookman Old Style" w:hAnsi="Bookman Old Style"/>
          <w:sz w:val="24"/>
          <w:szCs w:val="24"/>
        </w:rPr>
        <w:t>dan</w:t>
      </w:r>
      <w:r w:rsidR="00A954D0" w:rsidRPr="006A368B">
        <w:rPr>
          <w:rFonts w:ascii="Bookman Old Style" w:hAnsi="Bookman Old Style"/>
          <w:sz w:val="24"/>
          <w:szCs w:val="24"/>
        </w:rPr>
        <w:t xml:space="preserve"> </w:t>
      </w:r>
      <w:r w:rsidRPr="006A368B">
        <w:rPr>
          <w:rFonts w:ascii="Bookman Old Style" w:hAnsi="Bookman Old Style"/>
          <w:sz w:val="24"/>
          <w:szCs w:val="24"/>
        </w:rPr>
        <w:t>Sosial</w:t>
      </w:r>
      <w:r w:rsidR="00A954D0" w:rsidRPr="006A368B">
        <w:rPr>
          <w:rFonts w:ascii="Bookman Old Style" w:hAnsi="Bookman Old Style"/>
          <w:sz w:val="24"/>
          <w:szCs w:val="24"/>
        </w:rPr>
        <w:t xml:space="preserve"> </w:t>
      </w:r>
      <w:r w:rsidRPr="006A368B">
        <w:rPr>
          <w:rFonts w:ascii="Bookman Old Style" w:hAnsi="Bookman Old Style"/>
          <w:sz w:val="24"/>
          <w:szCs w:val="24"/>
        </w:rPr>
        <w:t>yang</w:t>
      </w:r>
      <w:r w:rsidR="00A954D0" w:rsidRPr="006A368B">
        <w:rPr>
          <w:rFonts w:ascii="Bookman Old Style" w:hAnsi="Bookman Old Style"/>
          <w:sz w:val="24"/>
          <w:szCs w:val="24"/>
        </w:rPr>
        <w:t xml:space="preserve"> </w:t>
      </w:r>
      <w:r w:rsidRPr="006A368B">
        <w:rPr>
          <w:rFonts w:ascii="Bookman Old Style" w:hAnsi="Bookman Old Style"/>
          <w:sz w:val="24"/>
          <w:szCs w:val="24"/>
        </w:rPr>
        <w:t>Dibentuk</w:t>
      </w:r>
      <w:r w:rsidR="00A954D0" w:rsidRPr="006A368B">
        <w:rPr>
          <w:rFonts w:ascii="Bookman Old Style" w:hAnsi="Bookman Old Style"/>
          <w:sz w:val="24"/>
          <w:szCs w:val="24"/>
        </w:rPr>
        <w:t xml:space="preserve"> </w:t>
      </w:r>
      <w:r w:rsidRPr="006A368B">
        <w:rPr>
          <w:rFonts w:ascii="Bookman Old Style" w:hAnsi="Bookman Old Style"/>
          <w:sz w:val="24"/>
          <w:szCs w:val="24"/>
        </w:rPr>
        <w:t>Berdasarkan</w:t>
      </w:r>
      <w:r w:rsidR="00A954D0" w:rsidRPr="006A368B">
        <w:rPr>
          <w:rFonts w:ascii="Bookman Old Style" w:hAnsi="Bookman Old Style"/>
          <w:sz w:val="24"/>
          <w:szCs w:val="24"/>
        </w:rPr>
        <w:t xml:space="preserve"> </w:t>
      </w:r>
      <w:r w:rsidRPr="006A368B">
        <w:rPr>
          <w:rFonts w:ascii="Bookman Old Style" w:hAnsi="Bookman Old Style"/>
          <w:sz w:val="24"/>
          <w:szCs w:val="24"/>
        </w:rPr>
        <w:t>Peraturan</w:t>
      </w:r>
      <w:r w:rsidR="00A954D0" w:rsidRPr="006A368B">
        <w:rPr>
          <w:rFonts w:ascii="Bookman Old Style" w:hAnsi="Bookman Old Style"/>
          <w:sz w:val="24"/>
          <w:szCs w:val="24"/>
        </w:rPr>
        <w:t xml:space="preserve"> </w:t>
      </w:r>
      <w:r w:rsidRPr="006A368B">
        <w:rPr>
          <w:rFonts w:ascii="Bookman Old Style" w:hAnsi="Bookman Old Style"/>
          <w:sz w:val="24"/>
          <w:szCs w:val="24"/>
        </w:rPr>
        <w:t>Perundang-Undangan</w:t>
      </w:r>
      <w:r w:rsidR="00A954D0" w:rsidRPr="006A368B">
        <w:rPr>
          <w:rFonts w:ascii="Bookman Old Style" w:hAnsi="Bookman Old Style"/>
          <w:sz w:val="24"/>
          <w:szCs w:val="24"/>
          <w:lang w:val="en-US"/>
        </w:rPr>
        <w:t xml:space="preserve"> </w:t>
      </w:r>
      <w:r w:rsidRPr="006A368B">
        <w:rPr>
          <w:rFonts w:ascii="Bookman Old Style" w:hAnsi="Bookman Old Style"/>
          <w:sz w:val="24"/>
          <w:szCs w:val="24"/>
          <w:lang w:val="en-US"/>
        </w:rPr>
        <w:t>Rp31.850.000.000,00</w:t>
      </w:r>
      <w:r w:rsidR="00A954D0" w:rsidRPr="006A368B">
        <w:rPr>
          <w:rFonts w:ascii="Bookman Old Style" w:hAnsi="Bookman Old Style"/>
          <w:sz w:val="24"/>
          <w:szCs w:val="24"/>
          <w:lang w:val="en-US"/>
        </w:rPr>
        <w:t xml:space="preserve"> </w:t>
      </w:r>
      <w:r w:rsidRPr="006A368B">
        <w:rPr>
          <w:rFonts w:ascii="Bookman Old Style" w:hAnsi="Bookman Old Style"/>
          <w:sz w:val="24"/>
          <w:szCs w:val="24"/>
          <w:lang w:val="en-US"/>
        </w:rPr>
        <w:t>atau</w:t>
      </w:r>
      <w:r w:rsidR="00A954D0" w:rsidRPr="006A368B">
        <w:rPr>
          <w:rFonts w:ascii="Bookman Old Style" w:hAnsi="Bookman Old Style"/>
          <w:sz w:val="24"/>
          <w:szCs w:val="24"/>
          <w:lang w:val="en-US"/>
        </w:rPr>
        <w:t xml:space="preserve"> </w:t>
      </w:r>
      <w:r w:rsidRPr="006A368B">
        <w:rPr>
          <w:rFonts w:ascii="Bookman Old Style" w:hAnsi="Bookman Old Style"/>
          <w:sz w:val="24"/>
          <w:szCs w:val="24"/>
          <w:lang w:val="en-US"/>
        </w:rPr>
        <w:t>0,56%</w:t>
      </w:r>
      <w:r w:rsidR="00A954D0" w:rsidRPr="006A368B">
        <w:rPr>
          <w:rFonts w:ascii="Bookman Old Style" w:hAnsi="Bookman Old Style" w:cs="Arial"/>
          <w:sz w:val="24"/>
          <w:szCs w:val="24"/>
          <w:lang w:val="en-US"/>
        </w:rPr>
        <w:t xml:space="preserve"> </w:t>
      </w:r>
      <w:r w:rsidRPr="006A368B">
        <w:rPr>
          <w:rFonts w:ascii="Bookman Old Style" w:hAnsi="Bookman Old Style"/>
          <w:sz w:val="24"/>
          <w:szCs w:val="24"/>
          <w:lang w:val="en-US"/>
        </w:rPr>
        <w:t>yang</w:t>
      </w:r>
      <w:r w:rsidR="00A954D0" w:rsidRPr="006A368B">
        <w:rPr>
          <w:rFonts w:ascii="Bookman Old Style" w:hAnsi="Bookman Old Style"/>
          <w:sz w:val="24"/>
          <w:szCs w:val="24"/>
          <w:lang w:val="en-US"/>
        </w:rPr>
        <w:t xml:space="preserve"> </w:t>
      </w:r>
      <w:r w:rsidRPr="006A368B">
        <w:rPr>
          <w:rFonts w:ascii="Bookman Old Style" w:hAnsi="Bookman Old Style"/>
          <w:sz w:val="24"/>
          <w:szCs w:val="24"/>
        </w:rPr>
        <w:t>diuraikan</w:t>
      </w:r>
      <w:r w:rsidR="00A954D0" w:rsidRPr="006A368B">
        <w:rPr>
          <w:rFonts w:ascii="Bookman Old Style" w:hAnsi="Bookman Old Style"/>
          <w:sz w:val="24"/>
          <w:szCs w:val="24"/>
        </w:rPr>
        <w:t xml:space="preserve"> </w:t>
      </w:r>
      <w:r w:rsidRPr="006A368B">
        <w:rPr>
          <w:rFonts w:ascii="Bookman Old Style" w:hAnsi="Bookman Old Style"/>
          <w:sz w:val="24"/>
          <w:szCs w:val="24"/>
        </w:rPr>
        <w:t>ke</w:t>
      </w:r>
      <w:r w:rsidR="00A954D0" w:rsidRPr="006A368B">
        <w:rPr>
          <w:rFonts w:ascii="Bookman Old Style" w:hAnsi="Bookman Old Style"/>
          <w:sz w:val="24"/>
          <w:szCs w:val="24"/>
        </w:rPr>
        <w:t xml:space="preserve"> </w:t>
      </w:r>
      <w:r w:rsidRPr="006A368B">
        <w:rPr>
          <w:rFonts w:ascii="Bookman Old Style" w:hAnsi="Bookman Old Style"/>
          <w:sz w:val="24"/>
          <w:szCs w:val="24"/>
        </w:rPr>
        <w:t>dalam</w:t>
      </w:r>
      <w:r w:rsidR="00A954D0" w:rsidRPr="006A368B">
        <w:rPr>
          <w:rFonts w:ascii="Bookman Old Style" w:hAnsi="Bookman Old Style"/>
          <w:sz w:val="24"/>
          <w:szCs w:val="24"/>
        </w:rPr>
        <w:t xml:space="preserve"> </w:t>
      </w:r>
      <w:r w:rsidRPr="006A368B">
        <w:rPr>
          <w:rFonts w:ascii="Bookman Old Style" w:hAnsi="Bookman Old Style"/>
          <w:sz w:val="24"/>
          <w:szCs w:val="24"/>
          <w:lang w:val="en-US"/>
        </w:rPr>
        <w:t>sub</w:t>
      </w:r>
      <w:r w:rsidR="00A954D0" w:rsidRPr="006A368B">
        <w:rPr>
          <w:rFonts w:ascii="Bookman Old Style" w:hAnsi="Bookman Old Style"/>
          <w:sz w:val="24"/>
          <w:szCs w:val="24"/>
          <w:lang w:val="en-US"/>
        </w:rPr>
        <w:t xml:space="preserve"> </w:t>
      </w:r>
      <w:r w:rsidRPr="006A368B">
        <w:rPr>
          <w:rFonts w:ascii="Bookman Old Style" w:hAnsi="Bookman Old Style"/>
          <w:sz w:val="24"/>
          <w:szCs w:val="24"/>
        </w:rPr>
        <w:t>rincian</w:t>
      </w:r>
      <w:r w:rsidR="00A954D0" w:rsidRPr="006A368B">
        <w:rPr>
          <w:rFonts w:ascii="Bookman Old Style" w:hAnsi="Bookman Old Style"/>
          <w:sz w:val="24"/>
          <w:szCs w:val="24"/>
        </w:rPr>
        <w:t xml:space="preserve"> </w:t>
      </w:r>
      <w:r w:rsidRPr="006A368B">
        <w:rPr>
          <w:rFonts w:ascii="Bookman Old Style" w:hAnsi="Bookman Old Style"/>
          <w:sz w:val="24"/>
          <w:szCs w:val="24"/>
        </w:rPr>
        <w:t>objek</w:t>
      </w:r>
      <w:r w:rsidR="00A954D0" w:rsidRPr="006A368B">
        <w:rPr>
          <w:rFonts w:ascii="Bookman Old Style" w:hAnsi="Bookman Old Style"/>
          <w:sz w:val="24"/>
          <w:szCs w:val="24"/>
          <w:lang w:val="en-US"/>
        </w:rPr>
        <w:t xml:space="preserve"> </w:t>
      </w:r>
      <w:r w:rsidRPr="006A368B">
        <w:rPr>
          <w:rFonts w:ascii="Bookman Old Style" w:hAnsi="Bookman Old Style"/>
          <w:sz w:val="24"/>
          <w:szCs w:val="24"/>
        </w:rPr>
        <w:t>Belanja</w:t>
      </w:r>
      <w:r w:rsidR="00A954D0" w:rsidRPr="006A368B">
        <w:rPr>
          <w:rFonts w:ascii="Bookman Old Style" w:hAnsi="Bookman Old Style"/>
          <w:sz w:val="24"/>
          <w:szCs w:val="24"/>
        </w:rPr>
        <w:t xml:space="preserve"> </w:t>
      </w:r>
      <w:r w:rsidRPr="006A368B">
        <w:rPr>
          <w:rFonts w:ascii="Bookman Old Style" w:hAnsi="Bookman Old Style"/>
          <w:sz w:val="24"/>
          <w:szCs w:val="24"/>
        </w:rPr>
        <w:t>Hibah</w:t>
      </w:r>
      <w:r w:rsidR="00A954D0" w:rsidRPr="006A368B">
        <w:rPr>
          <w:rFonts w:ascii="Bookman Old Style" w:hAnsi="Bookman Old Style"/>
          <w:sz w:val="24"/>
          <w:szCs w:val="24"/>
        </w:rPr>
        <w:t xml:space="preserve"> </w:t>
      </w:r>
      <w:r w:rsidRPr="006A368B">
        <w:rPr>
          <w:rFonts w:ascii="Bookman Old Style" w:hAnsi="Bookman Old Style"/>
          <w:sz w:val="24"/>
          <w:szCs w:val="24"/>
        </w:rPr>
        <w:t>Uang</w:t>
      </w:r>
      <w:r w:rsidR="00A954D0" w:rsidRPr="006A368B">
        <w:rPr>
          <w:rFonts w:ascii="Bookman Old Style" w:hAnsi="Bookman Old Style"/>
          <w:sz w:val="24"/>
          <w:szCs w:val="24"/>
        </w:rPr>
        <w:t xml:space="preserve"> </w:t>
      </w:r>
      <w:r w:rsidRPr="006A368B">
        <w:rPr>
          <w:rFonts w:ascii="Bookman Old Style" w:hAnsi="Bookman Old Style"/>
          <w:sz w:val="24"/>
          <w:szCs w:val="24"/>
        </w:rPr>
        <w:t>kepada</w:t>
      </w:r>
      <w:r w:rsidR="00A954D0" w:rsidRPr="006A368B">
        <w:rPr>
          <w:rFonts w:ascii="Bookman Old Style" w:hAnsi="Bookman Old Style"/>
          <w:sz w:val="24"/>
          <w:szCs w:val="24"/>
        </w:rPr>
        <w:t xml:space="preserve"> </w:t>
      </w:r>
      <w:r w:rsidRPr="006A368B">
        <w:rPr>
          <w:rFonts w:ascii="Bookman Old Style" w:hAnsi="Bookman Old Style"/>
          <w:sz w:val="24"/>
          <w:szCs w:val="24"/>
        </w:rPr>
        <w:t>Badan</w:t>
      </w:r>
      <w:r w:rsidR="00A954D0" w:rsidRPr="006A368B">
        <w:rPr>
          <w:rFonts w:ascii="Bookman Old Style" w:hAnsi="Bookman Old Style"/>
          <w:sz w:val="24"/>
          <w:szCs w:val="24"/>
        </w:rPr>
        <w:t xml:space="preserve"> </w:t>
      </w:r>
      <w:r w:rsidRPr="006A368B">
        <w:rPr>
          <w:rFonts w:ascii="Bookman Old Style" w:hAnsi="Bookman Old Style"/>
          <w:sz w:val="24"/>
          <w:szCs w:val="24"/>
        </w:rPr>
        <w:t>dan</w:t>
      </w:r>
      <w:r w:rsidR="00A954D0" w:rsidRPr="006A368B">
        <w:rPr>
          <w:rFonts w:ascii="Bookman Old Style" w:hAnsi="Bookman Old Style"/>
          <w:sz w:val="24"/>
          <w:szCs w:val="24"/>
        </w:rPr>
        <w:t xml:space="preserve"> </w:t>
      </w:r>
      <w:r w:rsidRPr="006A368B">
        <w:rPr>
          <w:rFonts w:ascii="Bookman Old Style" w:hAnsi="Bookman Old Style"/>
          <w:sz w:val="24"/>
          <w:szCs w:val="24"/>
        </w:rPr>
        <w:t>Lembaga</w:t>
      </w:r>
      <w:r w:rsidR="00A954D0" w:rsidRPr="006A368B">
        <w:rPr>
          <w:rFonts w:ascii="Bookman Old Style" w:hAnsi="Bookman Old Style"/>
          <w:sz w:val="24"/>
          <w:szCs w:val="24"/>
        </w:rPr>
        <w:t xml:space="preserve"> </w:t>
      </w:r>
      <w:r w:rsidRPr="006A368B">
        <w:rPr>
          <w:rFonts w:ascii="Bookman Old Style" w:hAnsi="Bookman Old Style"/>
          <w:sz w:val="24"/>
          <w:szCs w:val="24"/>
        </w:rPr>
        <w:t>yang</w:t>
      </w:r>
      <w:r w:rsidR="00A954D0" w:rsidRPr="006A368B">
        <w:rPr>
          <w:rFonts w:ascii="Bookman Old Style" w:hAnsi="Bookman Old Style"/>
          <w:sz w:val="24"/>
          <w:szCs w:val="24"/>
        </w:rPr>
        <w:t xml:space="preserve"> </w:t>
      </w:r>
      <w:r w:rsidRPr="006A368B">
        <w:rPr>
          <w:rFonts w:ascii="Bookman Old Style" w:hAnsi="Bookman Old Style"/>
          <w:sz w:val="24"/>
          <w:szCs w:val="24"/>
        </w:rPr>
        <w:t>Bersifat</w:t>
      </w:r>
      <w:r w:rsidR="00A954D0" w:rsidRPr="006A368B">
        <w:rPr>
          <w:rFonts w:ascii="Bookman Old Style" w:hAnsi="Bookman Old Style"/>
          <w:sz w:val="24"/>
          <w:szCs w:val="24"/>
        </w:rPr>
        <w:t xml:space="preserve"> </w:t>
      </w:r>
      <w:r w:rsidRPr="006A368B">
        <w:rPr>
          <w:rFonts w:ascii="Bookman Old Style" w:hAnsi="Bookman Old Style"/>
          <w:sz w:val="24"/>
          <w:szCs w:val="24"/>
        </w:rPr>
        <w:t>Nirlaba,</w:t>
      </w:r>
      <w:r w:rsidR="00A954D0" w:rsidRPr="006A368B">
        <w:rPr>
          <w:rFonts w:ascii="Bookman Old Style" w:hAnsi="Bookman Old Style"/>
          <w:sz w:val="24"/>
          <w:szCs w:val="24"/>
        </w:rPr>
        <w:t xml:space="preserve"> </w:t>
      </w:r>
      <w:r w:rsidRPr="006A368B">
        <w:rPr>
          <w:rFonts w:ascii="Bookman Old Style" w:hAnsi="Bookman Old Style"/>
          <w:sz w:val="24"/>
          <w:szCs w:val="24"/>
        </w:rPr>
        <w:t>Sukarela</w:t>
      </w:r>
      <w:r w:rsidR="00A954D0" w:rsidRPr="006A368B">
        <w:rPr>
          <w:rFonts w:ascii="Bookman Old Style" w:hAnsi="Bookman Old Style"/>
          <w:sz w:val="24"/>
          <w:szCs w:val="24"/>
        </w:rPr>
        <w:t xml:space="preserve"> </w:t>
      </w:r>
      <w:r w:rsidRPr="006A368B">
        <w:rPr>
          <w:rFonts w:ascii="Bookman Old Style" w:hAnsi="Bookman Old Style"/>
          <w:sz w:val="24"/>
          <w:szCs w:val="24"/>
        </w:rPr>
        <w:t>dan</w:t>
      </w:r>
      <w:r w:rsidR="00A954D0" w:rsidRPr="006A368B">
        <w:rPr>
          <w:rFonts w:ascii="Bookman Old Style" w:hAnsi="Bookman Old Style"/>
          <w:sz w:val="24"/>
          <w:szCs w:val="24"/>
        </w:rPr>
        <w:t xml:space="preserve"> </w:t>
      </w:r>
      <w:r w:rsidRPr="006A368B">
        <w:rPr>
          <w:rFonts w:ascii="Bookman Old Style" w:hAnsi="Bookman Old Style"/>
          <w:sz w:val="24"/>
          <w:szCs w:val="24"/>
        </w:rPr>
        <w:t>Sosial</w:t>
      </w:r>
      <w:r w:rsidR="00A954D0" w:rsidRPr="006A368B">
        <w:rPr>
          <w:rFonts w:ascii="Bookman Old Style" w:hAnsi="Bookman Old Style"/>
          <w:sz w:val="24"/>
          <w:szCs w:val="24"/>
        </w:rPr>
        <w:t xml:space="preserve"> </w:t>
      </w:r>
      <w:r w:rsidRPr="006A368B">
        <w:rPr>
          <w:rFonts w:ascii="Bookman Old Style" w:hAnsi="Bookman Old Style"/>
          <w:sz w:val="24"/>
          <w:szCs w:val="24"/>
        </w:rPr>
        <w:t>yang</w:t>
      </w:r>
      <w:r w:rsidR="00A954D0" w:rsidRPr="006A368B">
        <w:rPr>
          <w:rFonts w:ascii="Bookman Old Style" w:hAnsi="Bookman Old Style"/>
          <w:sz w:val="24"/>
          <w:szCs w:val="24"/>
        </w:rPr>
        <w:t xml:space="preserve"> </w:t>
      </w:r>
      <w:r w:rsidRPr="006A368B">
        <w:rPr>
          <w:rFonts w:ascii="Bookman Old Style" w:hAnsi="Bookman Old Style"/>
          <w:sz w:val="24"/>
          <w:szCs w:val="24"/>
        </w:rPr>
        <w:t>Dibentuk</w:t>
      </w:r>
      <w:r w:rsidR="00A954D0" w:rsidRPr="006A368B">
        <w:rPr>
          <w:rFonts w:ascii="Bookman Old Style" w:hAnsi="Bookman Old Style"/>
          <w:sz w:val="24"/>
          <w:szCs w:val="24"/>
        </w:rPr>
        <w:t xml:space="preserve"> </w:t>
      </w:r>
      <w:r w:rsidRPr="006A368B">
        <w:rPr>
          <w:rFonts w:ascii="Bookman Old Style" w:hAnsi="Bookman Old Style"/>
          <w:sz w:val="24"/>
          <w:szCs w:val="24"/>
        </w:rPr>
        <w:t>Berdasarkan</w:t>
      </w:r>
      <w:r w:rsidR="00A954D0" w:rsidRPr="006A368B">
        <w:rPr>
          <w:rFonts w:ascii="Bookman Old Style" w:hAnsi="Bookman Old Style"/>
          <w:sz w:val="24"/>
          <w:szCs w:val="24"/>
        </w:rPr>
        <w:t xml:space="preserve"> </w:t>
      </w:r>
      <w:r w:rsidRPr="006A368B">
        <w:rPr>
          <w:rFonts w:ascii="Bookman Old Style" w:hAnsi="Bookman Old Style"/>
          <w:sz w:val="24"/>
          <w:szCs w:val="24"/>
        </w:rPr>
        <w:t>Peraturan</w:t>
      </w:r>
      <w:r w:rsidR="00A954D0" w:rsidRPr="006A368B">
        <w:rPr>
          <w:rFonts w:ascii="Bookman Old Style" w:hAnsi="Bookman Old Style"/>
          <w:sz w:val="24"/>
          <w:szCs w:val="24"/>
        </w:rPr>
        <w:t xml:space="preserve"> </w:t>
      </w:r>
      <w:r w:rsidRPr="006A368B">
        <w:rPr>
          <w:rFonts w:ascii="Bookman Old Style" w:hAnsi="Bookman Old Style"/>
          <w:sz w:val="24"/>
          <w:szCs w:val="24"/>
        </w:rPr>
        <w:t>Perundang-Undangan</w:t>
      </w:r>
      <w:r w:rsidRPr="006A368B">
        <w:rPr>
          <w:rFonts w:ascii="Bookman Old Style" w:hAnsi="Bookman Old Style"/>
          <w:sz w:val="24"/>
          <w:szCs w:val="24"/>
          <w:lang w:val="en-US"/>
        </w:rPr>
        <w:t>;</w:t>
      </w:r>
    </w:p>
    <w:p w14:paraId="1031B411" w14:textId="2FE06B68" w:rsidR="008727BB" w:rsidRPr="006A368B" w:rsidRDefault="008727BB">
      <w:pPr>
        <w:pStyle w:val="ListParagraph"/>
        <w:numPr>
          <w:ilvl w:val="0"/>
          <w:numId w:val="245"/>
        </w:numPr>
        <w:snapToGrid w:val="0"/>
        <w:spacing w:before="60" w:after="0" w:line="276" w:lineRule="auto"/>
        <w:ind w:left="2694" w:hanging="426"/>
        <w:contextualSpacing w:val="0"/>
        <w:jc w:val="both"/>
        <w:rPr>
          <w:rFonts w:ascii="Bookman Old Style" w:hAnsi="Bookman Old Style"/>
          <w:sz w:val="24"/>
          <w:szCs w:val="24"/>
        </w:rPr>
      </w:pPr>
      <w:r w:rsidRPr="006A368B">
        <w:rPr>
          <w:rFonts w:ascii="Bookman Old Style" w:hAnsi="Bookman Old Style"/>
          <w:sz w:val="24"/>
          <w:szCs w:val="24"/>
        </w:rPr>
        <w:t>Belanja</w:t>
      </w:r>
      <w:r w:rsidR="00A954D0" w:rsidRPr="006A368B">
        <w:rPr>
          <w:rFonts w:ascii="Bookman Old Style" w:hAnsi="Bookman Old Style"/>
          <w:sz w:val="24"/>
          <w:szCs w:val="24"/>
        </w:rPr>
        <w:t xml:space="preserve"> </w:t>
      </w:r>
      <w:r w:rsidRPr="006A368B">
        <w:rPr>
          <w:rFonts w:ascii="Bookman Old Style" w:hAnsi="Bookman Old Style"/>
          <w:sz w:val="24"/>
          <w:szCs w:val="24"/>
        </w:rPr>
        <w:t>Hibah</w:t>
      </w:r>
      <w:r w:rsidR="00A954D0" w:rsidRPr="006A368B">
        <w:rPr>
          <w:rFonts w:ascii="Bookman Old Style" w:hAnsi="Bookman Old Style"/>
          <w:sz w:val="24"/>
          <w:szCs w:val="24"/>
        </w:rPr>
        <w:t xml:space="preserve"> </w:t>
      </w:r>
      <w:r w:rsidRPr="006A368B">
        <w:rPr>
          <w:rFonts w:ascii="Bookman Old Style" w:hAnsi="Bookman Old Style"/>
          <w:sz w:val="24"/>
          <w:szCs w:val="24"/>
        </w:rPr>
        <w:t>kepada</w:t>
      </w:r>
      <w:r w:rsidR="00A954D0" w:rsidRPr="006A368B">
        <w:rPr>
          <w:rFonts w:ascii="Bookman Old Style" w:hAnsi="Bookman Old Style"/>
          <w:sz w:val="24"/>
          <w:szCs w:val="24"/>
        </w:rPr>
        <w:t xml:space="preserve"> </w:t>
      </w:r>
      <w:r w:rsidRPr="006A368B">
        <w:rPr>
          <w:rFonts w:ascii="Bookman Old Style" w:hAnsi="Bookman Old Style"/>
          <w:sz w:val="24"/>
          <w:szCs w:val="24"/>
        </w:rPr>
        <w:t>Badan</w:t>
      </w:r>
      <w:r w:rsidR="00A954D0" w:rsidRPr="006A368B">
        <w:rPr>
          <w:rFonts w:ascii="Bookman Old Style" w:hAnsi="Bookman Old Style"/>
          <w:sz w:val="24"/>
          <w:szCs w:val="24"/>
        </w:rPr>
        <w:t xml:space="preserve"> </w:t>
      </w:r>
      <w:r w:rsidRPr="006A368B">
        <w:rPr>
          <w:rFonts w:ascii="Bookman Old Style" w:hAnsi="Bookman Old Style"/>
          <w:sz w:val="24"/>
          <w:szCs w:val="24"/>
        </w:rPr>
        <w:t>dan</w:t>
      </w:r>
      <w:r w:rsidR="00A954D0" w:rsidRPr="006A368B">
        <w:rPr>
          <w:rFonts w:ascii="Bookman Old Style" w:hAnsi="Bookman Old Style"/>
          <w:sz w:val="24"/>
          <w:szCs w:val="24"/>
        </w:rPr>
        <w:t xml:space="preserve"> </w:t>
      </w:r>
      <w:r w:rsidRPr="006A368B">
        <w:rPr>
          <w:rFonts w:ascii="Bookman Old Style" w:hAnsi="Bookman Old Style"/>
          <w:sz w:val="24"/>
          <w:szCs w:val="24"/>
        </w:rPr>
        <w:t>Lembaga</w:t>
      </w:r>
      <w:r w:rsidR="00A954D0" w:rsidRPr="006A368B">
        <w:rPr>
          <w:rFonts w:ascii="Bookman Old Style" w:hAnsi="Bookman Old Style"/>
          <w:sz w:val="24"/>
          <w:szCs w:val="24"/>
        </w:rPr>
        <w:t xml:space="preserve"> </w:t>
      </w:r>
      <w:r w:rsidRPr="006A368B">
        <w:rPr>
          <w:rFonts w:ascii="Bookman Old Style" w:hAnsi="Bookman Old Style"/>
          <w:sz w:val="24"/>
          <w:szCs w:val="24"/>
        </w:rPr>
        <w:t>Nirlaba,</w:t>
      </w:r>
      <w:r w:rsidR="00A954D0" w:rsidRPr="006A368B">
        <w:rPr>
          <w:rFonts w:ascii="Bookman Old Style" w:hAnsi="Bookman Old Style"/>
          <w:sz w:val="24"/>
          <w:szCs w:val="24"/>
        </w:rPr>
        <w:t xml:space="preserve"> </w:t>
      </w:r>
      <w:r w:rsidRPr="006A368B">
        <w:rPr>
          <w:rFonts w:ascii="Bookman Old Style" w:hAnsi="Bookman Old Style"/>
          <w:sz w:val="24"/>
          <w:szCs w:val="24"/>
        </w:rPr>
        <w:t>Sukarela</w:t>
      </w:r>
      <w:r w:rsidR="00A954D0" w:rsidRPr="006A368B">
        <w:rPr>
          <w:rFonts w:ascii="Bookman Old Style" w:hAnsi="Bookman Old Style"/>
          <w:sz w:val="24"/>
          <w:szCs w:val="24"/>
        </w:rPr>
        <w:t xml:space="preserve"> </w:t>
      </w:r>
      <w:r w:rsidRPr="006A368B">
        <w:rPr>
          <w:rFonts w:ascii="Bookman Old Style" w:hAnsi="Bookman Old Style"/>
          <w:sz w:val="24"/>
          <w:szCs w:val="24"/>
        </w:rPr>
        <w:t>dan</w:t>
      </w:r>
      <w:r w:rsidR="00A954D0" w:rsidRPr="006A368B">
        <w:rPr>
          <w:rFonts w:ascii="Bookman Old Style" w:hAnsi="Bookman Old Style"/>
          <w:sz w:val="24"/>
          <w:szCs w:val="24"/>
        </w:rPr>
        <w:t xml:space="preserve"> </w:t>
      </w:r>
      <w:r w:rsidRPr="006A368B">
        <w:rPr>
          <w:rFonts w:ascii="Bookman Old Style" w:hAnsi="Bookman Old Style"/>
          <w:sz w:val="24"/>
          <w:szCs w:val="24"/>
        </w:rPr>
        <w:t>Sosial</w:t>
      </w:r>
      <w:r w:rsidR="00A954D0" w:rsidRPr="006A368B">
        <w:rPr>
          <w:rFonts w:ascii="Bookman Old Style" w:hAnsi="Bookman Old Style"/>
          <w:sz w:val="24"/>
          <w:szCs w:val="24"/>
        </w:rPr>
        <w:t xml:space="preserve"> </w:t>
      </w:r>
      <w:r w:rsidRPr="006A368B">
        <w:rPr>
          <w:rFonts w:ascii="Bookman Old Style" w:hAnsi="Bookman Old Style"/>
          <w:sz w:val="24"/>
          <w:szCs w:val="24"/>
        </w:rPr>
        <w:t>yang</w:t>
      </w:r>
      <w:r w:rsidR="00A954D0" w:rsidRPr="006A368B">
        <w:rPr>
          <w:rFonts w:ascii="Bookman Old Style" w:hAnsi="Bookman Old Style"/>
          <w:sz w:val="24"/>
          <w:szCs w:val="24"/>
        </w:rPr>
        <w:t xml:space="preserve"> </w:t>
      </w:r>
      <w:r w:rsidRPr="006A368B">
        <w:rPr>
          <w:rFonts w:ascii="Bookman Old Style" w:hAnsi="Bookman Old Style"/>
          <w:sz w:val="24"/>
          <w:szCs w:val="24"/>
        </w:rPr>
        <w:t>Telah</w:t>
      </w:r>
      <w:r w:rsidR="00A954D0" w:rsidRPr="006A368B">
        <w:rPr>
          <w:rFonts w:ascii="Bookman Old Style" w:hAnsi="Bookman Old Style"/>
          <w:sz w:val="24"/>
          <w:szCs w:val="24"/>
        </w:rPr>
        <w:t xml:space="preserve"> </w:t>
      </w:r>
      <w:r w:rsidRPr="006A368B">
        <w:rPr>
          <w:rFonts w:ascii="Bookman Old Style" w:hAnsi="Bookman Old Style"/>
          <w:sz w:val="24"/>
          <w:szCs w:val="24"/>
        </w:rPr>
        <w:t>Memiliki</w:t>
      </w:r>
      <w:r w:rsidR="00A954D0" w:rsidRPr="006A368B">
        <w:rPr>
          <w:rFonts w:ascii="Bookman Old Style" w:hAnsi="Bookman Old Style"/>
          <w:sz w:val="24"/>
          <w:szCs w:val="24"/>
        </w:rPr>
        <w:t xml:space="preserve"> </w:t>
      </w:r>
      <w:r w:rsidRPr="006A368B">
        <w:rPr>
          <w:rFonts w:ascii="Bookman Old Style" w:hAnsi="Bookman Old Style"/>
          <w:sz w:val="24"/>
          <w:szCs w:val="24"/>
        </w:rPr>
        <w:t>Surat</w:t>
      </w:r>
      <w:r w:rsidR="00A954D0" w:rsidRPr="006A368B">
        <w:rPr>
          <w:rFonts w:ascii="Bookman Old Style" w:hAnsi="Bookman Old Style"/>
          <w:sz w:val="24"/>
          <w:szCs w:val="24"/>
        </w:rPr>
        <w:t xml:space="preserve"> </w:t>
      </w:r>
      <w:r w:rsidRPr="006A368B">
        <w:rPr>
          <w:rFonts w:ascii="Bookman Old Style" w:hAnsi="Bookman Old Style"/>
          <w:sz w:val="24"/>
          <w:szCs w:val="24"/>
        </w:rPr>
        <w:t>Keterangan</w:t>
      </w:r>
      <w:r w:rsidR="00A954D0" w:rsidRPr="006A368B">
        <w:rPr>
          <w:rFonts w:ascii="Bookman Old Style" w:hAnsi="Bookman Old Style"/>
          <w:sz w:val="24"/>
          <w:szCs w:val="24"/>
        </w:rPr>
        <w:t xml:space="preserve"> </w:t>
      </w:r>
      <w:r w:rsidRPr="006A368B">
        <w:rPr>
          <w:rFonts w:ascii="Bookman Old Style" w:hAnsi="Bookman Old Style"/>
          <w:sz w:val="24"/>
          <w:szCs w:val="24"/>
        </w:rPr>
        <w:t>Terdaftar</w:t>
      </w:r>
      <w:r w:rsidR="00A954D0" w:rsidRPr="006A368B">
        <w:rPr>
          <w:rFonts w:ascii="Bookman Old Style" w:hAnsi="Bookman Old Style"/>
          <w:sz w:val="24"/>
          <w:szCs w:val="24"/>
          <w:lang w:val="en-US"/>
        </w:rPr>
        <w:t xml:space="preserve"> </w:t>
      </w:r>
      <w:r w:rsidRPr="006A368B">
        <w:rPr>
          <w:rFonts w:ascii="Bookman Old Style" w:hAnsi="Bookman Old Style"/>
          <w:sz w:val="24"/>
          <w:szCs w:val="24"/>
          <w:lang w:val="en-US"/>
        </w:rPr>
        <w:t>Rp</w:t>
      </w:r>
      <w:r w:rsidRPr="006A368B">
        <w:rPr>
          <w:rFonts w:ascii="Bookman Old Style" w:hAnsi="Bookman Old Style"/>
          <w:sz w:val="24"/>
          <w:szCs w:val="24"/>
        </w:rPr>
        <w:t>5.475.000.000,00</w:t>
      </w:r>
      <w:r w:rsidR="00A954D0" w:rsidRPr="006A368B">
        <w:rPr>
          <w:rFonts w:ascii="Bookman Old Style" w:hAnsi="Bookman Old Style"/>
          <w:sz w:val="24"/>
          <w:szCs w:val="24"/>
          <w:lang w:val="en-US"/>
        </w:rPr>
        <w:t xml:space="preserve"> </w:t>
      </w:r>
      <w:r w:rsidRPr="006A368B">
        <w:rPr>
          <w:rFonts w:ascii="Bookman Old Style" w:hAnsi="Bookman Old Style"/>
          <w:sz w:val="24"/>
          <w:szCs w:val="24"/>
          <w:lang w:val="en-US"/>
        </w:rPr>
        <w:t>atau</w:t>
      </w:r>
      <w:r w:rsidR="00A954D0" w:rsidRPr="006A368B">
        <w:rPr>
          <w:rFonts w:ascii="Bookman Old Style" w:hAnsi="Bookman Old Style"/>
          <w:sz w:val="24"/>
          <w:szCs w:val="24"/>
          <w:lang w:val="en-US"/>
        </w:rPr>
        <w:t xml:space="preserve"> </w:t>
      </w:r>
      <w:r w:rsidRPr="006A368B">
        <w:rPr>
          <w:rFonts w:ascii="Bookman Old Style" w:hAnsi="Bookman Old Style"/>
          <w:sz w:val="24"/>
          <w:szCs w:val="24"/>
        </w:rPr>
        <w:t>0,10</w:t>
      </w:r>
      <w:r w:rsidRPr="006A368B">
        <w:rPr>
          <w:rFonts w:ascii="Bookman Old Style" w:hAnsi="Bookman Old Style"/>
          <w:sz w:val="24"/>
          <w:szCs w:val="24"/>
          <w:lang w:val="en-US"/>
        </w:rPr>
        <w:t>%</w:t>
      </w:r>
      <w:r w:rsidR="00A954D0" w:rsidRPr="006A368B">
        <w:rPr>
          <w:rFonts w:ascii="Bookman Old Style" w:hAnsi="Bookman Old Style"/>
          <w:sz w:val="24"/>
          <w:szCs w:val="24"/>
          <w:lang w:val="en-US"/>
        </w:rPr>
        <w:t xml:space="preserve"> </w:t>
      </w:r>
      <w:r w:rsidRPr="006A368B">
        <w:rPr>
          <w:rFonts w:ascii="Bookman Old Style" w:hAnsi="Bookman Old Style"/>
          <w:sz w:val="24"/>
          <w:szCs w:val="24"/>
          <w:lang w:val="en-US"/>
        </w:rPr>
        <w:t>yang</w:t>
      </w:r>
      <w:r w:rsidR="00A954D0" w:rsidRPr="006A368B">
        <w:rPr>
          <w:rFonts w:ascii="Bookman Old Style" w:hAnsi="Bookman Old Style"/>
          <w:sz w:val="24"/>
          <w:szCs w:val="24"/>
          <w:lang w:val="en-US"/>
        </w:rPr>
        <w:t xml:space="preserve"> </w:t>
      </w:r>
      <w:r w:rsidRPr="006A368B">
        <w:rPr>
          <w:rFonts w:ascii="Bookman Old Style" w:hAnsi="Bookman Old Style"/>
          <w:sz w:val="24"/>
          <w:szCs w:val="24"/>
        </w:rPr>
        <w:t>diuraikan</w:t>
      </w:r>
      <w:r w:rsidR="00A954D0" w:rsidRPr="006A368B">
        <w:rPr>
          <w:rFonts w:ascii="Bookman Old Style" w:hAnsi="Bookman Old Style"/>
          <w:sz w:val="24"/>
          <w:szCs w:val="24"/>
        </w:rPr>
        <w:t xml:space="preserve"> </w:t>
      </w:r>
      <w:r w:rsidRPr="006A368B">
        <w:rPr>
          <w:rFonts w:ascii="Bookman Old Style" w:hAnsi="Bookman Old Style"/>
          <w:sz w:val="24"/>
          <w:szCs w:val="24"/>
        </w:rPr>
        <w:t>ke</w:t>
      </w:r>
      <w:r w:rsidR="00A954D0" w:rsidRPr="006A368B">
        <w:rPr>
          <w:rFonts w:ascii="Bookman Old Style" w:hAnsi="Bookman Old Style"/>
          <w:sz w:val="24"/>
          <w:szCs w:val="24"/>
        </w:rPr>
        <w:t xml:space="preserve"> </w:t>
      </w:r>
      <w:r w:rsidRPr="006A368B">
        <w:rPr>
          <w:rFonts w:ascii="Bookman Old Style" w:hAnsi="Bookman Old Style"/>
          <w:sz w:val="24"/>
          <w:szCs w:val="24"/>
        </w:rPr>
        <w:t>dalam</w:t>
      </w:r>
      <w:r w:rsidR="00A954D0" w:rsidRPr="006A368B">
        <w:rPr>
          <w:rFonts w:ascii="Bookman Old Style" w:hAnsi="Bookman Old Style"/>
          <w:sz w:val="24"/>
          <w:szCs w:val="24"/>
        </w:rPr>
        <w:t xml:space="preserve"> </w:t>
      </w:r>
      <w:r w:rsidRPr="006A368B">
        <w:rPr>
          <w:rFonts w:ascii="Bookman Old Style" w:hAnsi="Bookman Old Style"/>
          <w:sz w:val="24"/>
          <w:szCs w:val="24"/>
          <w:lang w:val="en-US"/>
        </w:rPr>
        <w:t>sub</w:t>
      </w:r>
      <w:r w:rsidR="00A954D0" w:rsidRPr="006A368B">
        <w:rPr>
          <w:rFonts w:ascii="Bookman Old Style" w:hAnsi="Bookman Old Style"/>
          <w:sz w:val="24"/>
          <w:szCs w:val="24"/>
          <w:lang w:val="en-US"/>
        </w:rPr>
        <w:t xml:space="preserve"> </w:t>
      </w:r>
      <w:r w:rsidRPr="006A368B">
        <w:rPr>
          <w:rFonts w:ascii="Bookman Old Style" w:hAnsi="Bookman Old Style"/>
          <w:sz w:val="24"/>
          <w:szCs w:val="24"/>
        </w:rPr>
        <w:t>rincian</w:t>
      </w:r>
      <w:r w:rsidR="00A954D0" w:rsidRPr="006A368B">
        <w:rPr>
          <w:rFonts w:ascii="Bookman Old Style" w:hAnsi="Bookman Old Style"/>
          <w:sz w:val="24"/>
          <w:szCs w:val="24"/>
        </w:rPr>
        <w:t xml:space="preserve"> </w:t>
      </w:r>
      <w:r w:rsidRPr="006A368B">
        <w:rPr>
          <w:rFonts w:ascii="Bookman Old Style" w:hAnsi="Bookman Old Style"/>
          <w:sz w:val="24"/>
          <w:szCs w:val="24"/>
        </w:rPr>
        <w:t>objek</w:t>
      </w:r>
      <w:r w:rsidR="00A954D0" w:rsidRPr="006A368B">
        <w:rPr>
          <w:rFonts w:ascii="Bookman Old Style" w:hAnsi="Bookman Old Style"/>
          <w:sz w:val="24"/>
          <w:szCs w:val="24"/>
          <w:lang w:val="en-US"/>
        </w:rPr>
        <w:t xml:space="preserve"> </w:t>
      </w:r>
      <w:r w:rsidRPr="006A368B">
        <w:rPr>
          <w:rFonts w:ascii="Bookman Old Style" w:hAnsi="Bookman Old Style"/>
          <w:sz w:val="24"/>
          <w:szCs w:val="24"/>
        </w:rPr>
        <w:t>Belanja</w:t>
      </w:r>
      <w:r w:rsidR="00A954D0" w:rsidRPr="006A368B">
        <w:rPr>
          <w:rFonts w:ascii="Bookman Old Style" w:hAnsi="Bookman Old Style"/>
          <w:sz w:val="24"/>
          <w:szCs w:val="24"/>
        </w:rPr>
        <w:t xml:space="preserve"> </w:t>
      </w:r>
      <w:r w:rsidRPr="006A368B">
        <w:rPr>
          <w:rFonts w:ascii="Bookman Old Style" w:hAnsi="Bookman Old Style"/>
          <w:sz w:val="24"/>
          <w:szCs w:val="24"/>
        </w:rPr>
        <w:t>Hibah</w:t>
      </w:r>
      <w:r w:rsidR="00A954D0" w:rsidRPr="006A368B">
        <w:rPr>
          <w:rFonts w:ascii="Bookman Old Style" w:hAnsi="Bookman Old Style"/>
          <w:sz w:val="24"/>
          <w:szCs w:val="24"/>
        </w:rPr>
        <w:t xml:space="preserve"> </w:t>
      </w:r>
      <w:r w:rsidRPr="006A368B">
        <w:rPr>
          <w:rFonts w:ascii="Bookman Old Style" w:hAnsi="Bookman Old Style"/>
          <w:sz w:val="24"/>
          <w:szCs w:val="24"/>
        </w:rPr>
        <w:t>Uang</w:t>
      </w:r>
      <w:r w:rsidR="00A954D0" w:rsidRPr="006A368B">
        <w:rPr>
          <w:rFonts w:ascii="Bookman Old Style" w:hAnsi="Bookman Old Style"/>
          <w:sz w:val="24"/>
          <w:szCs w:val="24"/>
        </w:rPr>
        <w:t xml:space="preserve"> </w:t>
      </w:r>
      <w:r w:rsidRPr="006A368B">
        <w:rPr>
          <w:rFonts w:ascii="Bookman Old Style" w:hAnsi="Bookman Old Style"/>
          <w:sz w:val="24"/>
          <w:szCs w:val="24"/>
        </w:rPr>
        <w:t>kepada</w:t>
      </w:r>
      <w:r w:rsidR="00A954D0" w:rsidRPr="006A368B">
        <w:rPr>
          <w:rFonts w:ascii="Bookman Old Style" w:hAnsi="Bookman Old Style"/>
          <w:sz w:val="24"/>
          <w:szCs w:val="24"/>
        </w:rPr>
        <w:t xml:space="preserve"> </w:t>
      </w:r>
      <w:r w:rsidRPr="006A368B">
        <w:rPr>
          <w:rFonts w:ascii="Bookman Old Style" w:hAnsi="Bookman Old Style"/>
          <w:sz w:val="24"/>
          <w:szCs w:val="24"/>
        </w:rPr>
        <w:t>Badan</w:t>
      </w:r>
      <w:r w:rsidR="00A954D0" w:rsidRPr="006A368B">
        <w:rPr>
          <w:rFonts w:ascii="Bookman Old Style" w:hAnsi="Bookman Old Style"/>
          <w:sz w:val="24"/>
          <w:szCs w:val="24"/>
        </w:rPr>
        <w:t xml:space="preserve"> </w:t>
      </w:r>
      <w:r w:rsidRPr="006A368B">
        <w:rPr>
          <w:rFonts w:ascii="Bookman Old Style" w:hAnsi="Bookman Old Style"/>
          <w:sz w:val="24"/>
          <w:szCs w:val="24"/>
        </w:rPr>
        <w:t>dan</w:t>
      </w:r>
      <w:r w:rsidR="00A954D0" w:rsidRPr="006A368B">
        <w:rPr>
          <w:rFonts w:ascii="Bookman Old Style" w:hAnsi="Bookman Old Style"/>
          <w:sz w:val="24"/>
          <w:szCs w:val="24"/>
        </w:rPr>
        <w:t xml:space="preserve"> </w:t>
      </w:r>
      <w:r w:rsidRPr="006A368B">
        <w:rPr>
          <w:rFonts w:ascii="Bookman Old Style" w:hAnsi="Bookman Old Style"/>
          <w:sz w:val="24"/>
          <w:szCs w:val="24"/>
        </w:rPr>
        <w:t>Lembaga</w:t>
      </w:r>
      <w:r w:rsidR="00A954D0" w:rsidRPr="006A368B">
        <w:rPr>
          <w:rFonts w:ascii="Bookman Old Style" w:hAnsi="Bookman Old Style"/>
          <w:sz w:val="24"/>
          <w:szCs w:val="24"/>
        </w:rPr>
        <w:t xml:space="preserve"> </w:t>
      </w:r>
      <w:r w:rsidRPr="006A368B">
        <w:rPr>
          <w:rFonts w:ascii="Bookman Old Style" w:hAnsi="Bookman Old Style"/>
          <w:sz w:val="24"/>
          <w:szCs w:val="24"/>
        </w:rPr>
        <w:t>Nirlaba,</w:t>
      </w:r>
      <w:r w:rsidR="00A954D0" w:rsidRPr="006A368B">
        <w:rPr>
          <w:rFonts w:ascii="Bookman Old Style" w:hAnsi="Bookman Old Style"/>
          <w:sz w:val="24"/>
          <w:szCs w:val="24"/>
        </w:rPr>
        <w:t xml:space="preserve"> </w:t>
      </w:r>
      <w:r w:rsidRPr="006A368B">
        <w:rPr>
          <w:rFonts w:ascii="Bookman Old Style" w:hAnsi="Bookman Old Style"/>
          <w:sz w:val="24"/>
          <w:szCs w:val="24"/>
        </w:rPr>
        <w:t>Sukarela</w:t>
      </w:r>
      <w:r w:rsidR="00A954D0" w:rsidRPr="006A368B">
        <w:rPr>
          <w:rFonts w:ascii="Bookman Old Style" w:hAnsi="Bookman Old Style"/>
          <w:sz w:val="24"/>
          <w:szCs w:val="24"/>
        </w:rPr>
        <w:t xml:space="preserve"> </w:t>
      </w:r>
      <w:r w:rsidRPr="006A368B">
        <w:rPr>
          <w:rFonts w:ascii="Bookman Old Style" w:hAnsi="Bookman Old Style"/>
          <w:sz w:val="24"/>
          <w:szCs w:val="24"/>
        </w:rPr>
        <w:t>dan</w:t>
      </w:r>
      <w:r w:rsidR="00A954D0" w:rsidRPr="006A368B">
        <w:rPr>
          <w:rFonts w:ascii="Bookman Old Style" w:hAnsi="Bookman Old Style"/>
          <w:sz w:val="24"/>
          <w:szCs w:val="24"/>
        </w:rPr>
        <w:t xml:space="preserve"> </w:t>
      </w:r>
      <w:r w:rsidRPr="006A368B">
        <w:rPr>
          <w:rFonts w:ascii="Bookman Old Style" w:hAnsi="Bookman Old Style"/>
          <w:sz w:val="24"/>
          <w:szCs w:val="24"/>
        </w:rPr>
        <w:t>Sosial</w:t>
      </w:r>
      <w:r w:rsidR="00A954D0" w:rsidRPr="006A368B">
        <w:rPr>
          <w:rFonts w:ascii="Bookman Old Style" w:hAnsi="Bookman Old Style"/>
          <w:sz w:val="24"/>
          <w:szCs w:val="24"/>
        </w:rPr>
        <w:t xml:space="preserve"> </w:t>
      </w:r>
      <w:r w:rsidRPr="006A368B">
        <w:rPr>
          <w:rFonts w:ascii="Bookman Old Style" w:hAnsi="Bookman Old Style"/>
          <w:sz w:val="24"/>
          <w:szCs w:val="24"/>
        </w:rPr>
        <w:t>yang</w:t>
      </w:r>
      <w:r w:rsidR="00A954D0" w:rsidRPr="006A368B">
        <w:rPr>
          <w:rFonts w:ascii="Bookman Old Style" w:hAnsi="Bookman Old Style"/>
          <w:sz w:val="24"/>
          <w:szCs w:val="24"/>
        </w:rPr>
        <w:t xml:space="preserve"> </w:t>
      </w:r>
      <w:r w:rsidRPr="006A368B">
        <w:rPr>
          <w:rFonts w:ascii="Bookman Old Style" w:hAnsi="Bookman Old Style"/>
          <w:sz w:val="24"/>
          <w:szCs w:val="24"/>
        </w:rPr>
        <w:t>Telah</w:t>
      </w:r>
      <w:r w:rsidR="00A954D0" w:rsidRPr="006A368B">
        <w:rPr>
          <w:rFonts w:ascii="Bookman Old Style" w:hAnsi="Bookman Old Style"/>
          <w:sz w:val="24"/>
          <w:szCs w:val="24"/>
        </w:rPr>
        <w:t xml:space="preserve"> </w:t>
      </w:r>
      <w:r w:rsidRPr="006A368B">
        <w:rPr>
          <w:rFonts w:ascii="Bookman Old Style" w:hAnsi="Bookman Old Style"/>
          <w:sz w:val="24"/>
          <w:szCs w:val="24"/>
        </w:rPr>
        <w:t>Memiliki</w:t>
      </w:r>
      <w:r w:rsidR="00A954D0" w:rsidRPr="006A368B">
        <w:rPr>
          <w:rFonts w:ascii="Bookman Old Style" w:hAnsi="Bookman Old Style"/>
          <w:sz w:val="24"/>
          <w:szCs w:val="24"/>
        </w:rPr>
        <w:t xml:space="preserve"> </w:t>
      </w:r>
      <w:r w:rsidRPr="006A368B">
        <w:rPr>
          <w:rFonts w:ascii="Bookman Old Style" w:hAnsi="Bookman Old Style"/>
          <w:sz w:val="24"/>
          <w:szCs w:val="24"/>
        </w:rPr>
        <w:t>Surat</w:t>
      </w:r>
      <w:r w:rsidR="00A954D0" w:rsidRPr="006A368B">
        <w:rPr>
          <w:rFonts w:ascii="Bookman Old Style" w:hAnsi="Bookman Old Style"/>
          <w:sz w:val="24"/>
          <w:szCs w:val="24"/>
        </w:rPr>
        <w:t xml:space="preserve"> </w:t>
      </w:r>
      <w:r w:rsidRPr="006A368B">
        <w:rPr>
          <w:rFonts w:ascii="Bookman Old Style" w:hAnsi="Bookman Old Style"/>
          <w:sz w:val="24"/>
          <w:szCs w:val="24"/>
        </w:rPr>
        <w:t>Keterangan</w:t>
      </w:r>
      <w:r w:rsidR="00A954D0" w:rsidRPr="006A368B">
        <w:rPr>
          <w:rFonts w:ascii="Bookman Old Style" w:hAnsi="Bookman Old Style"/>
          <w:sz w:val="24"/>
          <w:szCs w:val="24"/>
        </w:rPr>
        <w:t xml:space="preserve"> </w:t>
      </w:r>
      <w:r w:rsidRPr="006A368B">
        <w:rPr>
          <w:rFonts w:ascii="Bookman Old Style" w:hAnsi="Bookman Old Style"/>
          <w:sz w:val="24"/>
          <w:szCs w:val="24"/>
        </w:rPr>
        <w:t>Terdaftar;</w:t>
      </w:r>
      <w:r w:rsidR="00A954D0" w:rsidRPr="006A368B">
        <w:rPr>
          <w:rFonts w:ascii="Bookman Old Style" w:hAnsi="Bookman Old Style"/>
          <w:sz w:val="24"/>
          <w:szCs w:val="24"/>
          <w:lang w:val="en-US"/>
        </w:rPr>
        <w:t xml:space="preserve"> </w:t>
      </w:r>
    </w:p>
    <w:p w14:paraId="5DD598B6" w14:textId="42FE2238" w:rsidR="008727BB" w:rsidRDefault="008727BB">
      <w:pPr>
        <w:pStyle w:val="ListParagraph"/>
        <w:numPr>
          <w:ilvl w:val="0"/>
          <w:numId w:val="245"/>
        </w:numPr>
        <w:snapToGrid w:val="0"/>
        <w:spacing w:before="60" w:after="0" w:line="276" w:lineRule="auto"/>
        <w:ind w:left="2694" w:hanging="426"/>
        <w:contextualSpacing w:val="0"/>
        <w:jc w:val="both"/>
        <w:rPr>
          <w:rFonts w:ascii="Bookman Old Style" w:hAnsi="Bookman Old Style"/>
          <w:sz w:val="24"/>
          <w:szCs w:val="24"/>
          <w:lang w:val="en-US"/>
        </w:rPr>
      </w:pPr>
      <w:r w:rsidRPr="006A368B">
        <w:rPr>
          <w:rFonts w:ascii="Bookman Old Style" w:hAnsi="Bookman Old Style"/>
          <w:sz w:val="24"/>
          <w:szCs w:val="24"/>
        </w:rPr>
        <w:t>Belanja</w:t>
      </w:r>
      <w:r w:rsidR="00A954D0" w:rsidRPr="006A368B">
        <w:rPr>
          <w:rFonts w:ascii="Bookman Old Style" w:hAnsi="Bookman Old Style"/>
          <w:sz w:val="24"/>
          <w:szCs w:val="24"/>
        </w:rPr>
        <w:t xml:space="preserve"> </w:t>
      </w:r>
      <w:r w:rsidRPr="006A368B">
        <w:rPr>
          <w:rFonts w:ascii="Bookman Old Style" w:hAnsi="Bookman Old Style"/>
          <w:sz w:val="24"/>
          <w:szCs w:val="24"/>
        </w:rPr>
        <w:t>Hibah</w:t>
      </w:r>
      <w:r w:rsidR="00A954D0" w:rsidRPr="006A368B">
        <w:rPr>
          <w:rFonts w:ascii="Bookman Old Style" w:hAnsi="Bookman Old Style"/>
          <w:sz w:val="24"/>
          <w:szCs w:val="24"/>
        </w:rPr>
        <w:t xml:space="preserve"> </w:t>
      </w:r>
      <w:r w:rsidRPr="006A368B">
        <w:rPr>
          <w:rFonts w:ascii="Bookman Old Style" w:hAnsi="Bookman Old Style"/>
          <w:sz w:val="24"/>
          <w:szCs w:val="24"/>
        </w:rPr>
        <w:t>kepada</w:t>
      </w:r>
      <w:r w:rsidR="00A954D0" w:rsidRPr="006A368B">
        <w:rPr>
          <w:rFonts w:ascii="Bookman Old Style" w:hAnsi="Bookman Old Style"/>
          <w:sz w:val="24"/>
          <w:szCs w:val="24"/>
        </w:rPr>
        <w:t xml:space="preserve"> </w:t>
      </w:r>
      <w:r w:rsidRPr="006A368B">
        <w:rPr>
          <w:rFonts w:ascii="Bookman Old Style" w:hAnsi="Bookman Old Style"/>
          <w:sz w:val="24"/>
          <w:szCs w:val="24"/>
        </w:rPr>
        <w:t>Badan</w:t>
      </w:r>
      <w:r w:rsidR="00A954D0" w:rsidRPr="006A368B">
        <w:rPr>
          <w:rFonts w:ascii="Bookman Old Style" w:hAnsi="Bookman Old Style"/>
          <w:sz w:val="24"/>
          <w:szCs w:val="24"/>
        </w:rPr>
        <w:t xml:space="preserve"> </w:t>
      </w:r>
      <w:r w:rsidRPr="006A368B">
        <w:rPr>
          <w:rFonts w:ascii="Bookman Old Style" w:hAnsi="Bookman Old Style"/>
          <w:sz w:val="24"/>
          <w:szCs w:val="24"/>
        </w:rPr>
        <w:t>dan</w:t>
      </w:r>
      <w:r w:rsidR="00A954D0" w:rsidRPr="006A368B">
        <w:rPr>
          <w:rFonts w:ascii="Bookman Old Style" w:hAnsi="Bookman Old Style"/>
          <w:sz w:val="24"/>
          <w:szCs w:val="24"/>
        </w:rPr>
        <w:t xml:space="preserve"> </w:t>
      </w:r>
      <w:r w:rsidRPr="006A368B">
        <w:rPr>
          <w:rFonts w:ascii="Bookman Old Style" w:hAnsi="Bookman Old Style"/>
          <w:sz w:val="24"/>
          <w:szCs w:val="24"/>
        </w:rPr>
        <w:t>Lembaga</w:t>
      </w:r>
      <w:r w:rsidR="00A954D0" w:rsidRPr="006A368B">
        <w:rPr>
          <w:rFonts w:ascii="Bookman Old Style" w:hAnsi="Bookman Old Style"/>
          <w:sz w:val="24"/>
          <w:szCs w:val="24"/>
        </w:rPr>
        <w:t xml:space="preserve"> </w:t>
      </w:r>
      <w:r w:rsidRPr="006A368B">
        <w:rPr>
          <w:rFonts w:ascii="Bookman Old Style" w:hAnsi="Bookman Old Style"/>
          <w:sz w:val="24"/>
          <w:szCs w:val="24"/>
        </w:rPr>
        <w:t>Nirlaba,</w:t>
      </w:r>
      <w:r w:rsidR="00A954D0" w:rsidRPr="006A368B">
        <w:rPr>
          <w:rFonts w:ascii="Bookman Old Style" w:hAnsi="Bookman Old Style"/>
          <w:sz w:val="24"/>
          <w:szCs w:val="24"/>
        </w:rPr>
        <w:t xml:space="preserve"> </w:t>
      </w:r>
      <w:r w:rsidRPr="006A368B">
        <w:rPr>
          <w:rFonts w:ascii="Bookman Old Style" w:hAnsi="Bookman Old Style"/>
          <w:sz w:val="24"/>
          <w:szCs w:val="24"/>
        </w:rPr>
        <w:t>Sukarela</w:t>
      </w:r>
      <w:r w:rsidR="00A954D0" w:rsidRPr="006A368B">
        <w:rPr>
          <w:rFonts w:ascii="Bookman Old Style" w:hAnsi="Bookman Old Style"/>
          <w:sz w:val="24"/>
          <w:szCs w:val="24"/>
        </w:rPr>
        <w:t xml:space="preserve"> </w:t>
      </w:r>
      <w:r w:rsidRPr="006A368B">
        <w:rPr>
          <w:rFonts w:ascii="Bookman Old Style" w:hAnsi="Bookman Old Style"/>
          <w:sz w:val="24"/>
          <w:szCs w:val="24"/>
        </w:rPr>
        <w:t>Bersifat</w:t>
      </w:r>
      <w:r w:rsidR="00A954D0" w:rsidRPr="006A368B">
        <w:rPr>
          <w:rFonts w:ascii="Bookman Old Style" w:hAnsi="Bookman Old Style"/>
          <w:sz w:val="24"/>
          <w:szCs w:val="24"/>
        </w:rPr>
        <w:t xml:space="preserve"> </w:t>
      </w:r>
      <w:r w:rsidRPr="006A368B">
        <w:rPr>
          <w:rFonts w:ascii="Bookman Old Style" w:hAnsi="Bookman Old Style"/>
          <w:sz w:val="24"/>
          <w:szCs w:val="24"/>
        </w:rPr>
        <w:t>Sosial</w:t>
      </w:r>
      <w:r w:rsidR="00A954D0" w:rsidRPr="006A368B">
        <w:rPr>
          <w:rFonts w:ascii="Bookman Old Style" w:hAnsi="Bookman Old Style"/>
          <w:sz w:val="24"/>
          <w:szCs w:val="24"/>
        </w:rPr>
        <w:t xml:space="preserve"> </w:t>
      </w:r>
      <w:r w:rsidRPr="006A368B">
        <w:rPr>
          <w:rFonts w:ascii="Bookman Old Style" w:hAnsi="Bookman Old Style"/>
          <w:sz w:val="24"/>
          <w:szCs w:val="24"/>
        </w:rPr>
        <w:t>Kemasyarakatan</w:t>
      </w:r>
      <w:r w:rsidR="00A954D0" w:rsidRPr="006A368B">
        <w:rPr>
          <w:rFonts w:ascii="Bookman Old Style" w:hAnsi="Bookman Old Style"/>
          <w:sz w:val="24"/>
          <w:szCs w:val="24"/>
          <w:lang w:val="en-US"/>
        </w:rPr>
        <w:t xml:space="preserve"> </w:t>
      </w:r>
      <w:r w:rsidRPr="006A368B">
        <w:rPr>
          <w:rFonts w:ascii="Bookman Old Style" w:hAnsi="Bookman Old Style"/>
          <w:sz w:val="24"/>
          <w:szCs w:val="24"/>
          <w:lang w:val="en-US"/>
        </w:rPr>
        <w:t>Rp</w:t>
      </w:r>
      <w:r w:rsidRPr="006A368B">
        <w:rPr>
          <w:rFonts w:ascii="Bookman Old Style" w:hAnsi="Bookman Old Style"/>
          <w:sz w:val="24"/>
          <w:szCs w:val="24"/>
        </w:rPr>
        <w:t>20.240.350.000,00</w:t>
      </w:r>
      <w:r w:rsidR="00A954D0" w:rsidRPr="006A368B">
        <w:rPr>
          <w:rFonts w:ascii="Bookman Old Style" w:hAnsi="Bookman Old Style"/>
          <w:sz w:val="24"/>
          <w:szCs w:val="24"/>
          <w:lang w:val="en-US"/>
        </w:rPr>
        <w:t xml:space="preserve"> </w:t>
      </w:r>
      <w:r w:rsidRPr="006A368B">
        <w:rPr>
          <w:rFonts w:ascii="Bookman Old Style" w:hAnsi="Bookman Old Style"/>
          <w:sz w:val="24"/>
          <w:szCs w:val="24"/>
          <w:lang w:val="en-US"/>
        </w:rPr>
        <w:t>atau</w:t>
      </w:r>
      <w:r w:rsidR="00A954D0" w:rsidRPr="006A368B">
        <w:rPr>
          <w:rFonts w:ascii="Bookman Old Style" w:hAnsi="Bookman Old Style"/>
          <w:sz w:val="24"/>
          <w:szCs w:val="24"/>
          <w:lang w:val="en-US"/>
        </w:rPr>
        <w:t xml:space="preserve"> </w:t>
      </w:r>
      <w:r w:rsidRPr="006A368B">
        <w:rPr>
          <w:rFonts w:ascii="Bookman Old Style" w:hAnsi="Bookman Old Style"/>
          <w:sz w:val="24"/>
          <w:szCs w:val="24"/>
        </w:rPr>
        <w:t>0,35</w:t>
      </w:r>
      <w:r w:rsidRPr="006A368B">
        <w:rPr>
          <w:rFonts w:ascii="Bookman Old Style" w:hAnsi="Bookman Old Style"/>
          <w:sz w:val="24"/>
          <w:szCs w:val="24"/>
          <w:lang w:val="en-US"/>
        </w:rPr>
        <w:t>%</w:t>
      </w:r>
      <w:r w:rsidR="00A954D0" w:rsidRPr="006A368B">
        <w:rPr>
          <w:rFonts w:ascii="Bookman Old Style" w:hAnsi="Bookman Old Style"/>
          <w:sz w:val="24"/>
          <w:szCs w:val="24"/>
          <w:lang w:val="en-US"/>
        </w:rPr>
        <w:t xml:space="preserve"> </w:t>
      </w:r>
      <w:r w:rsidRPr="006A368B">
        <w:rPr>
          <w:rFonts w:ascii="Bookman Old Style" w:hAnsi="Bookman Old Style"/>
          <w:sz w:val="24"/>
          <w:szCs w:val="24"/>
          <w:lang w:val="en-US"/>
        </w:rPr>
        <w:t>yang</w:t>
      </w:r>
      <w:r w:rsidR="00A954D0" w:rsidRPr="006A368B">
        <w:rPr>
          <w:rFonts w:ascii="Bookman Old Style" w:hAnsi="Bookman Old Style"/>
          <w:sz w:val="24"/>
          <w:szCs w:val="24"/>
          <w:lang w:val="en-US"/>
        </w:rPr>
        <w:t xml:space="preserve"> </w:t>
      </w:r>
      <w:r w:rsidRPr="006A368B">
        <w:rPr>
          <w:rFonts w:ascii="Bookman Old Style" w:hAnsi="Bookman Old Style"/>
          <w:sz w:val="24"/>
          <w:szCs w:val="24"/>
          <w:lang w:val="id-ID"/>
        </w:rPr>
        <w:t>hanya</w:t>
      </w:r>
      <w:r w:rsidR="00A954D0" w:rsidRPr="006A368B">
        <w:rPr>
          <w:rFonts w:ascii="Bookman Old Style" w:hAnsi="Bookman Old Style"/>
          <w:sz w:val="24"/>
          <w:szCs w:val="24"/>
          <w:lang w:val="en-US"/>
        </w:rPr>
        <w:t xml:space="preserve"> </w:t>
      </w:r>
      <w:r w:rsidRPr="006A368B">
        <w:rPr>
          <w:rFonts w:ascii="Bookman Old Style" w:hAnsi="Bookman Old Style"/>
          <w:sz w:val="24"/>
          <w:szCs w:val="24"/>
        </w:rPr>
        <w:t>diuraikan</w:t>
      </w:r>
      <w:r w:rsidR="00A954D0" w:rsidRPr="006A368B">
        <w:rPr>
          <w:rFonts w:ascii="Bookman Old Style" w:hAnsi="Bookman Old Style"/>
          <w:sz w:val="24"/>
          <w:szCs w:val="24"/>
        </w:rPr>
        <w:t xml:space="preserve"> </w:t>
      </w:r>
      <w:r w:rsidRPr="006A368B">
        <w:rPr>
          <w:rFonts w:ascii="Bookman Old Style" w:hAnsi="Bookman Old Style"/>
          <w:sz w:val="24"/>
          <w:szCs w:val="24"/>
        </w:rPr>
        <w:t>ke</w:t>
      </w:r>
      <w:r w:rsidR="00A954D0" w:rsidRPr="006A368B">
        <w:rPr>
          <w:rFonts w:ascii="Bookman Old Style" w:hAnsi="Bookman Old Style"/>
          <w:sz w:val="24"/>
          <w:szCs w:val="24"/>
        </w:rPr>
        <w:t xml:space="preserve"> </w:t>
      </w:r>
      <w:r w:rsidRPr="006A368B">
        <w:rPr>
          <w:rFonts w:ascii="Bookman Old Style" w:hAnsi="Bookman Old Style"/>
          <w:sz w:val="24"/>
          <w:szCs w:val="24"/>
        </w:rPr>
        <w:t>dalam</w:t>
      </w:r>
      <w:r w:rsidR="00A954D0" w:rsidRPr="006A368B">
        <w:rPr>
          <w:rFonts w:ascii="Bookman Old Style" w:hAnsi="Bookman Old Style"/>
          <w:sz w:val="24"/>
          <w:szCs w:val="24"/>
        </w:rPr>
        <w:t xml:space="preserve"> </w:t>
      </w:r>
      <w:r w:rsidRPr="006A368B">
        <w:rPr>
          <w:rFonts w:ascii="Bookman Old Style" w:hAnsi="Bookman Old Style"/>
          <w:sz w:val="24"/>
          <w:szCs w:val="24"/>
          <w:lang w:val="en-US"/>
        </w:rPr>
        <w:t>sub</w:t>
      </w:r>
      <w:r w:rsidR="00A954D0" w:rsidRPr="006A368B">
        <w:rPr>
          <w:rFonts w:ascii="Bookman Old Style" w:hAnsi="Bookman Old Style"/>
          <w:sz w:val="24"/>
          <w:szCs w:val="24"/>
          <w:lang w:val="en-US"/>
        </w:rPr>
        <w:t xml:space="preserve"> </w:t>
      </w:r>
      <w:r w:rsidRPr="006A368B">
        <w:rPr>
          <w:rFonts w:ascii="Bookman Old Style" w:hAnsi="Bookman Old Style"/>
          <w:sz w:val="24"/>
          <w:szCs w:val="24"/>
        </w:rPr>
        <w:t>rincian</w:t>
      </w:r>
      <w:r w:rsidR="00A954D0" w:rsidRPr="006A368B">
        <w:rPr>
          <w:rFonts w:ascii="Bookman Old Style" w:hAnsi="Bookman Old Style"/>
          <w:sz w:val="24"/>
          <w:szCs w:val="24"/>
        </w:rPr>
        <w:t xml:space="preserve"> </w:t>
      </w:r>
      <w:r w:rsidRPr="006A368B">
        <w:rPr>
          <w:rFonts w:ascii="Bookman Old Style" w:hAnsi="Bookman Old Style"/>
          <w:sz w:val="24"/>
          <w:szCs w:val="24"/>
        </w:rPr>
        <w:t>objek</w:t>
      </w:r>
      <w:r w:rsidR="00A954D0" w:rsidRPr="006A368B">
        <w:rPr>
          <w:rFonts w:ascii="Bookman Old Style" w:hAnsi="Bookman Old Style"/>
          <w:sz w:val="24"/>
          <w:szCs w:val="24"/>
          <w:lang w:val="en-US"/>
        </w:rPr>
        <w:t xml:space="preserve"> </w:t>
      </w:r>
      <w:r w:rsidRPr="006A368B">
        <w:rPr>
          <w:rFonts w:ascii="Bookman Old Style" w:hAnsi="Bookman Old Style"/>
          <w:sz w:val="24"/>
          <w:szCs w:val="24"/>
          <w:lang w:val="en-US"/>
        </w:rPr>
        <w:t>Belanja</w:t>
      </w:r>
      <w:r w:rsidR="00A954D0" w:rsidRPr="006A368B">
        <w:rPr>
          <w:rFonts w:ascii="Bookman Old Style" w:hAnsi="Bookman Old Style"/>
          <w:sz w:val="24"/>
          <w:szCs w:val="24"/>
          <w:lang w:val="en-US"/>
        </w:rPr>
        <w:t xml:space="preserve"> </w:t>
      </w:r>
      <w:r w:rsidRPr="006A368B">
        <w:rPr>
          <w:rFonts w:ascii="Bookman Old Style" w:hAnsi="Bookman Old Style"/>
          <w:sz w:val="24"/>
          <w:szCs w:val="24"/>
          <w:lang w:val="en-US"/>
        </w:rPr>
        <w:t>Hibah</w:t>
      </w:r>
      <w:r w:rsidR="00A954D0" w:rsidRPr="006A368B">
        <w:rPr>
          <w:rFonts w:ascii="Bookman Old Style" w:hAnsi="Bookman Old Style"/>
          <w:sz w:val="24"/>
          <w:szCs w:val="24"/>
          <w:lang w:val="en-US"/>
        </w:rPr>
        <w:t xml:space="preserve"> </w:t>
      </w:r>
      <w:r w:rsidRPr="006A368B">
        <w:rPr>
          <w:rFonts w:ascii="Bookman Old Style" w:hAnsi="Bookman Old Style"/>
          <w:sz w:val="24"/>
          <w:szCs w:val="24"/>
          <w:lang w:val="en-US"/>
        </w:rPr>
        <w:t>Uang</w:t>
      </w:r>
      <w:r w:rsidR="00A954D0" w:rsidRPr="006A368B">
        <w:rPr>
          <w:rFonts w:ascii="Bookman Old Style" w:hAnsi="Bookman Old Style"/>
          <w:sz w:val="24"/>
          <w:szCs w:val="24"/>
          <w:lang w:val="en-US"/>
        </w:rPr>
        <w:t xml:space="preserve"> </w:t>
      </w:r>
      <w:r w:rsidRPr="006A368B">
        <w:rPr>
          <w:rFonts w:ascii="Bookman Old Style" w:hAnsi="Bookman Old Style"/>
          <w:sz w:val="24"/>
          <w:szCs w:val="24"/>
          <w:lang w:val="en-US"/>
        </w:rPr>
        <w:t>kepada</w:t>
      </w:r>
      <w:r w:rsidR="00A954D0" w:rsidRPr="006A368B">
        <w:rPr>
          <w:rFonts w:ascii="Bookman Old Style" w:hAnsi="Bookman Old Style"/>
          <w:sz w:val="24"/>
          <w:szCs w:val="24"/>
          <w:lang w:val="en-US"/>
        </w:rPr>
        <w:t xml:space="preserve"> </w:t>
      </w:r>
      <w:r w:rsidRPr="006A368B">
        <w:rPr>
          <w:rFonts w:ascii="Bookman Old Style" w:hAnsi="Bookman Old Style"/>
          <w:sz w:val="24"/>
          <w:szCs w:val="24"/>
          <w:lang w:val="en-US"/>
        </w:rPr>
        <w:t>Badan</w:t>
      </w:r>
      <w:r w:rsidR="00A954D0" w:rsidRPr="006A368B">
        <w:rPr>
          <w:rFonts w:ascii="Bookman Old Style" w:hAnsi="Bookman Old Style"/>
          <w:sz w:val="24"/>
          <w:szCs w:val="24"/>
          <w:lang w:val="en-US"/>
        </w:rPr>
        <w:t xml:space="preserve"> </w:t>
      </w:r>
      <w:r w:rsidRPr="006A368B">
        <w:rPr>
          <w:rFonts w:ascii="Bookman Old Style" w:hAnsi="Bookman Old Style"/>
          <w:sz w:val="24"/>
          <w:szCs w:val="24"/>
          <w:lang w:val="en-US"/>
        </w:rPr>
        <w:t>dan</w:t>
      </w:r>
      <w:r w:rsidR="00A954D0" w:rsidRPr="006A368B">
        <w:rPr>
          <w:rFonts w:ascii="Bookman Old Style" w:hAnsi="Bookman Old Style"/>
          <w:sz w:val="24"/>
          <w:szCs w:val="24"/>
          <w:lang w:val="en-US"/>
        </w:rPr>
        <w:t xml:space="preserve"> </w:t>
      </w:r>
      <w:r w:rsidRPr="006A368B">
        <w:rPr>
          <w:rFonts w:ascii="Bookman Old Style" w:hAnsi="Bookman Old Style"/>
          <w:sz w:val="24"/>
          <w:szCs w:val="24"/>
          <w:lang w:val="en-US"/>
        </w:rPr>
        <w:t>Lembaga</w:t>
      </w:r>
      <w:r w:rsidR="00A954D0" w:rsidRPr="006A368B">
        <w:rPr>
          <w:rFonts w:ascii="Bookman Old Style" w:hAnsi="Bookman Old Style"/>
          <w:sz w:val="24"/>
          <w:szCs w:val="24"/>
          <w:lang w:val="en-US"/>
        </w:rPr>
        <w:t xml:space="preserve"> </w:t>
      </w:r>
      <w:r w:rsidRPr="006A368B">
        <w:rPr>
          <w:rFonts w:ascii="Bookman Old Style" w:hAnsi="Bookman Old Style"/>
          <w:sz w:val="24"/>
          <w:szCs w:val="24"/>
          <w:lang w:val="en-US"/>
        </w:rPr>
        <w:t>Nirlaba,</w:t>
      </w:r>
      <w:r w:rsidR="00A954D0" w:rsidRPr="006A368B">
        <w:rPr>
          <w:rFonts w:ascii="Bookman Old Style" w:hAnsi="Bookman Old Style"/>
          <w:sz w:val="24"/>
          <w:szCs w:val="24"/>
          <w:lang w:val="en-US"/>
        </w:rPr>
        <w:t xml:space="preserve"> </w:t>
      </w:r>
      <w:r w:rsidRPr="006A368B">
        <w:rPr>
          <w:rFonts w:ascii="Bookman Old Style" w:hAnsi="Bookman Old Style"/>
          <w:sz w:val="24"/>
          <w:szCs w:val="24"/>
          <w:lang w:val="en-US"/>
        </w:rPr>
        <w:t>Sukarela</w:t>
      </w:r>
      <w:r w:rsidR="00A954D0" w:rsidRPr="006A368B">
        <w:rPr>
          <w:rFonts w:ascii="Bookman Old Style" w:hAnsi="Bookman Old Style"/>
          <w:sz w:val="24"/>
          <w:szCs w:val="24"/>
          <w:lang w:val="en-US"/>
        </w:rPr>
        <w:t xml:space="preserve"> </w:t>
      </w:r>
      <w:r w:rsidRPr="006A368B">
        <w:rPr>
          <w:rFonts w:ascii="Bookman Old Style" w:hAnsi="Bookman Old Style"/>
          <w:sz w:val="24"/>
          <w:szCs w:val="24"/>
          <w:lang w:val="en-US"/>
        </w:rPr>
        <w:t>Bersifat</w:t>
      </w:r>
      <w:r w:rsidR="00A954D0" w:rsidRPr="006A368B">
        <w:rPr>
          <w:rFonts w:ascii="Bookman Old Style" w:hAnsi="Bookman Old Style"/>
          <w:sz w:val="24"/>
          <w:szCs w:val="24"/>
          <w:lang w:val="en-US"/>
        </w:rPr>
        <w:t xml:space="preserve"> </w:t>
      </w:r>
      <w:r w:rsidRPr="006A368B">
        <w:rPr>
          <w:rFonts w:ascii="Bookman Old Style" w:hAnsi="Bookman Old Style"/>
          <w:sz w:val="24"/>
          <w:szCs w:val="24"/>
          <w:lang w:val="en-US"/>
        </w:rPr>
        <w:t>Sosial</w:t>
      </w:r>
      <w:r w:rsidR="00A954D0" w:rsidRPr="006A368B">
        <w:rPr>
          <w:rFonts w:ascii="Bookman Old Style" w:hAnsi="Bookman Old Style"/>
          <w:sz w:val="24"/>
          <w:szCs w:val="24"/>
          <w:lang w:val="en-US"/>
        </w:rPr>
        <w:t xml:space="preserve"> </w:t>
      </w:r>
      <w:r w:rsidRPr="006A368B">
        <w:rPr>
          <w:rFonts w:ascii="Bookman Old Style" w:hAnsi="Bookman Old Style"/>
          <w:sz w:val="24"/>
          <w:szCs w:val="24"/>
          <w:lang w:val="en-US"/>
        </w:rPr>
        <w:t>Kemasyarakatan</w:t>
      </w:r>
      <w:r w:rsidR="004B2568" w:rsidRPr="006A368B">
        <w:rPr>
          <w:rFonts w:ascii="Bookman Old Style" w:hAnsi="Bookman Old Style"/>
          <w:sz w:val="24"/>
          <w:szCs w:val="24"/>
          <w:lang w:val="en-US"/>
        </w:rPr>
        <w:t>.</w:t>
      </w:r>
    </w:p>
    <w:p w14:paraId="5CF35713" w14:textId="77777777" w:rsidR="00034877" w:rsidRPr="006A368B" w:rsidRDefault="00034877" w:rsidP="00034877">
      <w:pPr>
        <w:pStyle w:val="ListParagraph"/>
        <w:snapToGrid w:val="0"/>
        <w:spacing w:before="60" w:after="0" w:line="276" w:lineRule="auto"/>
        <w:ind w:left="2694"/>
        <w:contextualSpacing w:val="0"/>
        <w:jc w:val="both"/>
        <w:rPr>
          <w:rFonts w:ascii="Bookman Old Style" w:hAnsi="Bookman Old Style"/>
          <w:sz w:val="24"/>
          <w:szCs w:val="24"/>
          <w:lang w:val="en-US"/>
        </w:rPr>
      </w:pPr>
    </w:p>
    <w:p w14:paraId="66506238" w14:textId="1FCA4BB0" w:rsidR="008727BB" w:rsidRPr="006A368B" w:rsidRDefault="008727BB" w:rsidP="004B2568">
      <w:pPr>
        <w:pStyle w:val="ListParagraph"/>
        <w:numPr>
          <w:ilvl w:val="0"/>
          <w:numId w:val="72"/>
        </w:numPr>
        <w:snapToGrid w:val="0"/>
        <w:spacing w:before="60" w:after="0" w:line="276" w:lineRule="auto"/>
        <w:ind w:left="2268" w:hanging="567"/>
        <w:contextualSpacing w:val="0"/>
        <w:jc w:val="both"/>
        <w:rPr>
          <w:rFonts w:ascii="Bookman Old Style" w:hAnsi="Bookman Old Style" w:cs="Arial"/>
          <w:sz w:val="24"/>
          <w:szCs w:val="24"/>
          <w:lang w:val="en-US"/>
        </w:rPr>
      </w:pPr>
      <w:r w:rsidRPr="006A368B">
        <w:rPr>
          <w:rFonts w:ascii="Bookman Old Style" w:hAnsi="Bookman Old Style" w:cs="Arial"/>
          <w:sz w:val="24"/>
          <w:szCs w:val="24"/>
          <w:lang w:val="en-US"/>
        </w:rPr>
        <w:lastRenderedPageBreak/>
        <w:t>Belanja</w:t>
      </w:r>
      <w:r w:rsidR="00A954D0" w:rsidRPr="006A368B">
        <w:rPr>
          <w:rFonts w:ascii="Bookman Old Style" w:hAnsi="Bookman Old Style"/>
          <w:sz w:val="24"/>
          <w:szCs w:val="24"/>
          <w:lang w:val="id-ID"/>
        </w:rPr>
        <w:t xml:space="preserve"> </w:t>
      </w:r>
      <w:r w:rsidRPr="006A368B">
        <w:rPr>
          <w:rFonts w:ascii="Bookman Old Style" w:hAnsi="Bookman Old Style"/>
          <w:sz w:val="24"/>
          <w:szCs w:val="24"/>
          <w:lang w:val="id-ID"/>
        </w:rPr>
        <w:t>Hibah</w:t>
      </w:r>
      <w:r w:rsidR="00A954D0" w:rsidRPr="006A368B">
        <w:rPr>
          <w:rFonts w:ascii="Bookman Old Style" w:hAnsi="Bookman Old Style"/>
          <w:sz w:val="24"/>
          <w:szCs w:val="24"/>
          <w:lang w:val="id-ID"/>
        </w:rPr>
        <w:t xml:space="preserve"> </w:t>
      </w:r>
      <w:r w:rsidRPr="006A368B">
        <w:rPr>
          <w:rFonts w:ascii="Bookman Old Style" w:hAnsi="Bookman Old Style"/>
          <w:sz w:val="24"/>
          <w:szCs w:val="24"/>
          <w:lang w:val="en-US"/>
        </w:rPr>
        <w:t>Dana</w:t>
      </w:r>
      <w:r w:rsidR="00A954D0" w:rsidRPr="006A368B">
        <w:rPr>
          <w:rFonts w:ascii="Bookman Old Style" w:hAnsi="Bookman Old Style"/>
          <w:sz w:val="24"/>
          <w:szCs w:val="24"/>
          <w:lang w:val="en-US"/>
        </w:rPr>
        <w:t xml:space="preserve"> </w:t>
      </w:r>
      <w:r w:rsidRPr="006A368B">
        <w:rPr>
          <w:rFonts w:ascii="Bookman Old Style" w:hAnsi="Bookman Old Style"/>
          <w:sz w:val="24"/>
          <w:szCs w:val="24"/>
          <w:lang w:val="en-US"/>
        </w:rPr>
        <w:t>BOS</w:t>
      </w:r>
      <w:r w:rsidR="00A954D0" w:rsidRPr="006A368B">
        <w:rPr>
          <w:rFonts w:ascii="Bookman Old Style" w:hAnsi="Bookman Old Style"/>
          <w:sz w:val="24"/>
          <w:szCs w:val="24"/>
          <w:lang w:val="en-US"/>
        </w:rPr>
        <w:t xml:space="preserve"> </w:t>
      </w:r>
      <w:r w:rsidRPr="006A368B">
        <w:rPr>
          <w:rFonts w:ascii="Bookman Old Style" w:hAnsi="Bookman Old Style"/>
          <w:sz w:val="24"/>
          <w:szCs w:val="24"/>
          <w:lang w:val="en-US"/>
        </w:rPr>
        <w:t>Rp66.568.640.000,00</w:t>
      </w:r>
      <w:r w:rsidR="00A954D0" w:rsidRPr="006A368B">
        <w:rPr>
          <w:rFonts w:ascii="Bookman Old Style" w:hAnsi="Bookman Old Style"/>
          <w:sz w:val="24"/>
          <w:szCs w:val="24"/>
          <w:lang w:val="en-US"/>
        </w:rPr>
        <w:t xml:space="preserve"> </w:t>
      </w:r>
      <w:r w:rsidRPr="006A368B">
        <w:rPr>
          <w:rFonts w:ascii="Bookman Old Style" w:hAnsi="Bookman Old Style"/>
          <w:sz w:val="24"/>
          <w:szCs w:val="24"/>
          <w:lang w:val="en-US"/>
        </w:rPr>
        <w:t>atau</w:t>
      </w:r>
      <w:r w:rsidR="00A954D0" w:rsidRPr="006A368B">
        <w:rPr>
          <w:rFonts w:ascii="Bookman Old Style" w:hAnsi="Bookman Old Style"/>
          <w:sz w:val="24"/>
          <w:szCs w:val="24"/>
          <w:lang w:val="en-US"/>
        </w:rPr>
        <w:t xml:space="preserve"> </w:t>
      </w:r>
      <w:r w:rsidRPr="006A368B">
        <w:rPr>
          <w:rFonts w:ascii="Bookman Old Style" w:hAnsi="Bookman Old Style"/>
          <w:sz w:val="24"/>
          <w:szCs w:val="24"/>
          <w:lang w:val="en-US"/>
        </w:rPr>
        <w:t>1,17%</w:t>
      </w:r>
      <w:r w:rsidR="00A954D0" w:rsidRPr="006A368B">
        <w:rPr>
          <w:rFonts w:ascii="Bookman Old Style" w:hAnsi="Bookman Old Style"/>
          <w:sz w:val="24"/>
          <w:szCs w:val="24"/>
          <w:lang w:val="en-US"/>
        </w:rPr>
        <w:t xml:space="preserve"> </w:t>
      </w:r>
      <w:r w:rsidRPr="006A368B">
        <w:rPr>
          <w:rFonts w:ascii="Bookman Old Style" w:hAnsi="Bookman Old Style" w:cs="Arial"/>
          <w:sz w:val="24"/>
          <w:szCs w:val="24"/>
          <w:lang w:val="en-US"/>
        </w:rPr>
        <w:t>yang</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hanya</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diuraikan</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ke</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dalam</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rincian</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objek</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Belanja</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Hibah</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Uang</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Dana</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BOS</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yang</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Diterima</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oleh</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Satdikdas</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Swasta</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dan</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Sub</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Rincian</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Objek</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Belanja</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Hibah</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Uang</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Dana</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BOS</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yang</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Diterima</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oleh</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Satdikdas</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Swasta</w:t>
      </w:r>
      <w:r w:rsidR="00EC723E">
        <w:rPr>
          <w:rFonts w:ascii="Bookman Old Style" w:hAnsi="Bookman Old Style" w:cs="Arial"/>
          <w:sz w:val="24"/>
          <w:szCs w:val="24"/>
          <w:lang w:val="id-ID"/>
        </w:rPr>
        <w:t>;</w:t>
      </w:r>
    </w:p>
    <w:p w14:paraId="34D4F1F6" w14:textId="64FAEE41" w:rsidR="008727BB" w:rsidRPr="006A368B" w:rsidRDefault="008727BB" w:rsidP="004B2568">
      <w:pPr>
        <w:pStyle w:val="ListParagraph"/>
        <w:numPr>
          <w:ilvl w:val="0"/>
          <w:numId w:val="72"/>
        </w:numPr>
        <w:snapToGrid w:val="0"/>
        <w:spacing w:before="60" w:after="0" w:line="276" w:lineRule="auto"/>
        <w:ind w:left="2268" w:hanging="567"/>
        <w:contextualSpacing w:val="0"/>
        <w:jc w:val="both"/>
        <w:rPr>
          <w:rFonts w:ascii="Bookman Old Style" w:hAnsi="Bookman Old Style" w:cs="Arial"/>
          <w:sz w:val="24"/>
          <w:szCs w:val="24"/>
          <w:lang w:val="en-US"/>
        </w:rPr>
      </w:pPr>
      <w:r w:rsidRPr="006A368B">
        <w:rPr>
          <w:rFonts w:ascii="Bookman Old Style" w:hAnsi="Bookman Old Style" w:cs="Arial"/>
          <w:sz w:val="24"/>
          <w:szCs w:val="24"/>
          <w:lang w:val="en-US"/>
        </w:rPr>
        <w:t>Belanja</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Hibah</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Bantuan</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Keuangan</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Kepada</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Partai</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Politik</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Rp6.815.186.000,00</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atau</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0,12%</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yang</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diuraikan</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dalam</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rincian</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objek</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belanja</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Belanja</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Hibah</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Bantuan</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Keuangan</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Kepada</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Partai</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Politik</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yang</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hanya</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diuraikan</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kedalam</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sub</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rincian</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objek</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belanja</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Belanja</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Hibah</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berupa</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Bantuan</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Keuangan</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Kepada</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Partai</w:t>
      </w:r>
      <w:r w:rsidR="00A954D0" w:rsidRPr="006A368B">
        <w:rPr>
          <w:rFonts w:ascii="Bookman Old Style" w:hAnsi="Bookman Old Style" w:cs="Arial"/>
          <w:sz w:val="24"/>
          <w:szCs w:val="24"/>
          <w:lang w:val="en-US"/>
        </w:rPr>
        <w:t xml:space="preserve"> </w:t>
      </w:r>
      <w:r w:rsidRPr="006A368B">
        <w:rPr>
          <w:rFonts w:ascii="Bookman Old Style" w:hAnsi="Bookman Old Style" w:cs="Arial"/>
          <w:sz w:val="24"/>
          <w:szCs w:val="24"/>
          <w:lang w:val="en-US"/>
        </w:rPr>
        <w:t>Politik.</w:t>
      </w:r>
    </w:p>
    <w:p w14:paraId="6A2EB47F" w14:textId="1474F45F" w:rsidR="004C3CE0" w:rsidRPr="006A368B" w:rsidRDefault="006A368B" w:rsidP="006A368B">
      <w:pPr>
        <w:pStyle w:val="ListParagraph"/>
        <w:spacing w:before="60" w:after="0" w:line="276" w:lineRule="auto"/>
        <w:ind w:left="1701"/>
        <w:contextualSpacing w:val="0"/>
        <w:jc w:val="both"/>
        <w:rPr>
          <w:rFonts w:ascii="Bookman Old Style" w:hAnsi="Bookman Old Style"/>
          <w:sz w:val="24"/>
          <w:szCs w:val="24"/>
        </w:rPr>
      </w:pPr>
      <w:r w:rsidRPr="006A368B">
        <w:rPr>
          <w:rFonts w:ascii="Bookman Old Style" w:hAnsi="Bookman Old Style" w:cs="Arial"/>
          <w:sz w:val="24"/>
          <w:szCs w:val="24"/>
          <w:lang w:val="sv-FI"/>
        </w:rPr>
        <w:t>D</w:t>
      </w:r>
      <w:r w:rsidR="004C3CE0" w:rsidRPr="006A368B">
        <w:rPr>
          <w:rFonts w:ascii="Bookman Old Style" w:hAnsi="Bookman Old Style" w:cs="Arial"/>
          <w:sz w:val="24"/>
          <w:szCs w:val="24"/>
          <w:lang w:val="id-ID"/>
        </w:rPr>
        <w:t>ianggarkan</w:t>
      </w:r>
      <w:r w:rsidR="00A954D0" w:rsidRPr="006A368B">
        <w:rPr>
          <w:rFonts w:ascii="Bookman Old Style" w:hAnsi="Bookman Old Style"/>
          <w:sz w:val="24"/>
          <w:szCs w:val="24"/>
        </w:rPr>
        <w:t xml:space="preserve"> </w:t>
      </w:r>
      <w:r w:rsidR="004C3CE0" w:rsidRPr="006A368B">
        <w:rPr>
          <w:rFonts w:ascii="Bookman Old Style" w:hAnsi="Bookman Old Style"/>
          <w:sz w:val="24"/>
          <w:szCs w:val="24"/>
          <w:lang w:val="id-ID"/>
        </w:rPr>
        <w:t>dalam</w:t>
      </w:r>
      <w:r w:rsidR="00A954D0" w:rsidRPr="006A368B">
        <w:rPr>
          <w:rFonts w:ascii="Bookman Old Style" w:hAnsi="Bookman Old Style"/>
          <w:sz w:val="24"/>
          <w:szCs w:val="24"/>
          <w:lang w:val="id-ID"/>
        </w:rPr>
        <w:t xml:space="preserve"> </w:t>
      </w:r>
      <w:r w:rsidR="004C3CE0" w:rsidRPr="006A368B">
        <w:rPr>
          <w:rFonts w:ascii="Bookman Old Style" w:hAnsi="Bookman Old Style"/>
          <w:sz w:val="24"/>
          <w:szCs w:val="24"/>
        </w:rPr>
        <w:t>Rancangan</w:t>
      </w:r>
      <w:r w:rsidR="00A954D0" w:rsidRPr="006A368B">
        <w:rPr>
          <w:rFonts w:ascii="Bookman Old Style" w:hAnsi="Bookman Old Style"/>
          <w:sz w:val="24"/>
          <w:szCs w:val="24"/>
        </w:rPr>
        <w:t xml:space="preserve"> </w:t>
      </w:r>
      <w:r w:rsidR="004C3CE0" w:rsidRPr="006A368B">
        <w:rPr>
          <w:rFonts w:ascii="Bookman Old Style" w:hAnsi="Bookman Old Style"/>
          <w:sz w:val="24"/>
          <w:szCs w:val="24"/>
        </w:rPr>
        <w:t>Peraturan</w:t>
      </w:r>
      <w:r w:rsidR="00A954D0" w:rsidRPr="006A368B">
        <w:rPr>
          <w:rFonts w:ascii="Bookman Old Style" w:hAnsi="Bookman Old Style"/>
          <w:sz w:val="24"/>
          <w:szCs w:val="24"/>
        </w:rPr>
        <w:t xml:space="preserve"> </w:t>
      </w:r>
      <w:r w:rsidR="004C3CE0" w:rsidRPr="006A368B">
        <w:rPr>
          <w:rFonts w:ascii="Bookman Old Style" w:hAnsi="Bookman Old Style"/>
          <w:sz w:val="24"/>
          <w:szCs w:val="24"/>
        </w:rPr>
        <w:t>Daerah</w:t>
      </w:r>
      <w:r w:rsidR="00A954D0" w:rsidRPr="006A368B">
        <w:rPr>
          <w:rFonts w:ascii="Bookman Old Style" w:hAnsi="Bookman Old Style"/>
          <w:sz w:val="24"/>
          <w:szCs w:val="24"/>
        </w:rPr>
        <w:t xml:space="preserve"> </w:t>
      </w:r>
      <w:r w:rsidR="004C3CE0" w:rsidRPr="006A368B">
        <w:rPr>
          <w:rFonts w:ascii="Bookman Old Style" w:hAnsi="Bookman Old Style"/>
          <w:sz w:val="24"/>
          <w:szCs w:val="24"/>
        </w:rPr>
        <w:t>Kota</w:t>
      </w:r>
      <w:r w:rsidR="00A954D0" w:rsidRPr="006A368B">
        <w:rPr>
          <w:rFonts w:ascii="Bookman Old Style" w:hAnsi="Bookman Old Style"/>
          <w:sz w:val="24"/>
          <w:szCs w:val="24"/>
        </w:rPr>
        <w:t xml:space="preserve"> </w:t>
      </w:r>
      <w:r w:rsidR="00770F22" w:rsidRPr="006A368B">
        <w:rPr>
          <w:rFonts w:ascii="Bookman Old Style" w:hAnsi="Bookman Old Style" w:cs="Arial"/>
          <w:sz w:val="24"/>
          <w:szCs w:val="24"/>
          <w:lang w:val="sv-FI"/>
        </w:rPr>
        <w:t>Tangerang</w:t>
      </w:r>
      <w:r w:rsidR="00A954D0" w:rsidRPr="006A368B">
        <w:rPr>
          <w:rFonts w:ascii="Bookman Old Style" w:hAnsi="Bookman Old Style"/>
          <w:sz w:val="24"/>
          <w:szCs w:val="24"/>
        </w:rPr>
        <w:t xml:space="preserve"> </w:t>
      </w:r>
      <w:r w:rsidR="004C3CE0" w:rsidRPr="006A368B">
        <w:rPr>
          <w:rFonts w:ascii="Bookman Old Style" w:hAnsi="Bookman Old Style"/>
          <w:sz w:val="24"/>
          <w:szCs w:val="24"/>
        </w:rPr>
        <w:t>tentang</w:t>
      </w:r>
      <w:r w:rsidR="00A954D0" w:rsidRPr="006A368B">
        <w:rPr>
          <w:rFonts w:ascii="Bookman Old Style" w:hAnsi="Bookman Old Style"/>
          <w:sz w:val="24"/>
          <w:szCs w:val="24"/>
        </w:rPr>
        <w:t xml:space="preserve"> </w:t>
      </w:r>
      <w:r w:rsidR="004C3CE0" w:rsidRPr="006A368B">
        <w:rPr>
          <w:rFonts w:ascii="Bookman Old Style" w:hAnsi="Bookman Old Style"/>
          <w:sz w:val="24"/>
          <w:szCs w:val="24"/>
        </w:rPr>
        <w:t>APBD</w:t>
      </w:r>
      <w:r w:rsidR="00A954D0" w:rsidRPr="006A368B">
        <w:rPr>
          <w:rFonts w:ascii="Bookman Old Style" w:hAnsi="Bookman Old Style"/>
          <w:sz w:val="24"/>
          <w:szCs w:val="24"/>
        </w:rPr>
        <w:t xml:space="preserve"> </w:t>
      </w:r>
      <w:r w:rsidR="004C3CE0" w:rsidRPr="006A368B">
        <w:rPr>
          <w:rFonts w:ascii="Bookman Old Style" w:hAnsi="Bookman Old Style"/>
          <w:sz w:val="24"/>
          <w:szCs w:val="24"/>
        </w:rPr>
        <w:t>Tahun</w:t>
      </w:r>
      <w:r w:rsidR="00A954D0" w:rsidRPr="006A368B">
        <w:rPr>
          <w:rFonts w:ascii="Bookman Old Style" w:hAnsi="Bookman Old Style"/>
          <w:sz w:val="24"/>
          <w:szCs w:val="24"/>
        </w:rPr>
        <w:t xml:space="preserve"> </w:t>
      </w:r>
      <w:r w:rsidR="004C3CE0" w:rsidRPr="006A368B">
        <w:rPr>
          <w:rFonts w:ascii="Bookman Old Style" w:hAnsi="Bookman Old Style"/>
          <w:sz w:val="24"/>
          <w:szCs w:val="24"/>
        </w:rPr>
        <w:t>Anggaran</w:t>
      </w:r>
      <w:r w:rsidR="00A954D0" w:rsidRPr="006A368B">
        <w:rPr>
          <w:rFonts w:ascii="Bookman Old Style" w:hAnsi="Bookman Old Style"/>
          <w:sz w:val="24"/>
          <w:szCs w:val="24"/>
        </w:rPr>
        <w:t xml:space="preserve"> </w:t>
      </w:r>
      <w:r w:rsidR="004C3CE0" w:rsidRPr="006A368B">
        <w:rPr>
          <w:rFonts w:ascii="Bookman Old Style" w:hAnsi="Bookman Old Style"/>
          <w:sz w:val="24"/>
          <w:szCs w:val="24"/>
        </w:rPr>
        <w:t>2025</w:t>
      </w:r>
      <w:r w:rsidR="00A954D0" w:rsidRPr="006A368B">
        <w:rPr>
          <w:rFonts w:ascii="Bookman Old Style" w:hAnsi="Bookman Old Style"/>
          <w:sz w:val="24"/>
          <w:szCs w:val="24"/>
        </w:rPr>
        <w:t xml:space="preserve"> </w:t>
      </w:r>
      <w:r w:rsidR="004C3CE0" w:rsidRPr="006A368B">
        <w:rPr>
          <w:rFonts w:ascii="Bookman Old Style" w:hAnsi="Bookman Old Style"/>
          <w:sz w:val="24"/>
          <w:szCs w:val="24"/>
        </w:rPr>
        <w:t>dengan</w:t>
      </w:r>
      <w:r w:rsidR="00A954D0" w:rsidRPr="006A368B">
        <w:rPr>
          <w:rFonts w:ascii="Bookman Old Style" w:hAnsi="Bookman Old Style"/>
          <w:sz w:val="24"/>
          <w:szCs w:val="24"/>
        </w:rPr>
        <w:t xml:space="preserve"> </w:t>
      </w:r>
      <w:r w:rsidR="004C3CE0" w:rsidRPr="006A368B">
        <w:rPr>
          <w:rFonts w:ascii="Bookman Old Style" w:hAnsi="Bookman Old Style"/>
          <w:sz w:val="24"/>
          <w:szCs w:val="24"/>
        </w:rPr>
        <w:t>berpedoman</w:t>
      </w:r>
      <w:r w:rsidR="00A954D0" w:rsidRPr="006A368B">
        <w:rPr>
          <w:rFonts w:ascii="Bookman Old Style" w:hAnsi="Bookman Old Style"/>
          <w:sz w:val="24"/>
          <w:szCs w:val="24"/>
        </w:rPr>
        <w:t xml:space="preserve"> </w:t>
      </w:r>
      <w:r w:rsidR="004C3CE0" w:rsidRPr="006A368B">
        <w:rPr>
          <w:rFonts w:ascii="Bookman Old Style" w:hAnsi="Bookman Old Style"/>
          <w:sz w:val="24"/>
          <w:szCs w:val="24"/>
        </w:rPr>
        <w:t>pada</w:t>
      </w:r>
      <w:r w:rsidRPr="006A368B">
        <w:rPr>
          <w:rFonts w:ascii="Bookman Old Style" w:hAnsi="Bookman Old Style"/>
          <w:sz w:val="24"/>
          <w:szCs w:val="24"/>
          <w:lang w:val="sv-FI"/>
        </w:rPr>
        <w:t>:</w:t>
      </w:r>
      <w:r w:rsidR="00A954D0" w:rsidRPr="006A368B">
        <w:rPr>
          <w:rFonts w:ascii="Bookman Old Style" w:hAnsi="Bookman Old Style"/>
          <w:sz w:val="24"/>
          <w:szCs w:val="24"/>
        </w:rPr>
        <w:t xml:space="preserve"> </w:t>
      </w:r>
    </w:p>
    <w:p w14:paraId="1CCF68F8" w14:textId="11F59913" w:rsidR="004C3CE0" w:rsidRPr="006A368B" w:rsidRDefault="004C3CE0" w:rsidP="006A368B">
      <w:pPr>
        <w:pStyle w:val="ListParagraph"/>
        <w:numPr>
          <w:ilvl w:val="0"/>
          <w:numId w:val="158"/>
        </w:numPr>
        <w:spacing w:before="60" w:after="0" w:line="276" w:lineRule="auto"/>
        <w:ind w:left="2268" w:hanging="567"/>
        <w:contextualSpacing w:val="0"/>
        <w:jc w:val="both"/>
        <w:rPr>
          <w:rFonts w:ascii="Bookman Old Style" w:hAnsi="Bookman Old Style" w:cs="Arial"/>
          <w:sz w:val="24"/>
          <w:szCs w:val="24"/>
          <w:lang w:val="id-ID"/>
        </w:rPr>
      </w:pPr>
      <w:r w:rsidRPr="006A368B">
        <w:rPr>
          <w:rFonts w:ascii="Bookman Old Style" w:hAnsi="Bookman Old Style"/>
          <w:sz w:val="24"/>
          <w:szCs w:val="24"/>
        </w:rPr>
        <w:t>Pasal</w:t>
      </w:r>
      <w:r w:rsidR="00A954D0" w:rsidRPr="006A368B">
        <w:rPr>
          <w:rFonts w:ascii="Bookman Old Style" w:hAnsi="Bookman Old Style"/>
          <w:sz w:val="24"/>
          <w:szCs w:val="24"/>
        </w:rPr>
        <w:t xml:space="preserve"> </w:t>
      </w:r>
      <w:r w:rsidRPr="006A368B">
        <w:rPr>
          <w:rFonts w:ascii="Bookman Old Style" w:hAnsi="Bookman Old Style"/>
          <w:sz w:val="24"/>
          <w:szCs w:val="24"/>
        </w:rPr>
        <w:t>298</w:t>
      </w:r>
      <w:r w:rsidR="00A954D0" w:rsidRPr="006A368B">
        <w:rPr>
          <w:rFonts w:ascii="Bookman Old Style" w:hAnsi="Bookman Old Style"/>
          <w:sz w:val="24"/>
          <w:szCs w:val="24"/>
        </w:rPr>
        <w:t xml:space="preserve"> </w:t>
      </w:r>
      <w:r w:rsidRPr="006A368B">
        <w:rPr>
          <w:rFonts w:ascii="Bookman Old Style" w:hAnsi="Bookman Old Style"/>
          <w:sz w:val="24"/>
          <w:szCs w:val="24"/>
        </w:rPr>
        <w:t>ayat</w:t>
      </w:r>
      <w:r w:rsidR="00A954D0" w:rsidRPr="006A368B">
        <w:rPr>
          <w:rFonts w:ascii="Bookman Old Style" w:hAnsi="Bookman Old Style"/>
          <w:sz w:val="24"/>
          <w:szCs w:val="24"/>
        </w:rPr>
        <w:t xml:space="preserve"> </w:t>
      </w:r>
      <w:r w:rsidRPr="006A368B">
        <w:rPr>
          <w:rFonts w:ascii="Bookman Old Style" w:hAnsi="Bookman Old Style"/>
          <w:sz w:val="24"/>
          <w:szCs w:val="24"/>
        </w:rPr>
        <w:t>(4)</w:t>
      </w:r>
      <w:r w:rsidR="00A954D0" w:rsidRPr="006A368B">
        <w:rPr>
          <w:rFonts w:ascii="Bookman Old Style" w:hAnsi="Bookman Old Style"/>
          <w:sz w:val="24"/>
          <w:szCs w:val="24"/>
        </w:rPr>
        <w:t xml:space="preserve"> </w:t>
      </w:r>
      <w:r w:rsidRPr="006A368B">
        <w:rPr>
          <w:rFonts w:ascii="Bookman Old Style" w:hAnsi="Bookman Old Style"/>
          <w:sz w:val="24"/>
          <w:szCs w:val="24"/>
        </w:rPr>
        <w:t>dan</w:t>
      </w:r>
      <w:r w:rsidR="00A954D0" w:rsidRPr="006A368B">
        <w:rPr>
          <w:rFonts w:ascii="Bookman Old Style" w:hAnsi="Bookman Old Style"/>
          <w:sz w:val="24"/>
          <w:szCs w:val="24"/>
        </w:rPr>
        <w:t xml:space="preserve"> </w:t>
      </w:r>
      <w:r w:rsidRPr="006A368B">
        <w:rPr>
          <w:rFonts w:ascii="Bookman Old Style" w:hAnsi="Bookman Old Style"/>
          <w:sz w:val="24"/>
          <w:szCs w:val="24"/>
        </w:rPr>
        <w:t>ayat</w:t>
      </w:r>
      <w:r w:rsidR="00A954D0" w:rsidRPr="006A368B">
        <w:rPr>
          <w:rFonts w:ascii="Bookman Old Style" w:hAnsi="Bookman Old Style"/>
          <w:sz w:val="24"/>
          <w:szCs w:val="24"/>
        </w:rPr>
        <w:t xml:space="preserve"> </w:t>
      </w:r>
      <w:r w:rsidRPr="006A368B">
        <w:rPr>
          <w:rFonts w:ascii="Bookman Old Style" w:hAnsi="Bookman Old Style"/>
          <w:sz w:val="24"/>
          <w:szCs w:val="24"/>
        </w:rPr>
        <w:t>(5)</w:t>
      </w:r>
      <w:r w:rsidR="00A954D0" w:rsidRPr="006A368B">
        <w:rPr>
          <w:rFonts w:ascii="Bookman Old Style" w:hAnsi="Bookman Old Style"/>
          <w:sz w:val="24"/>
          <w:szCs w:val="24"/>
        </w:rPr>
        <w:t xml:space="preserve"> </w:t>
      </w:r>
      <w:r w:rsidRPr="006A368B">
        <w:rPr>
          <w:rFonts w:ascii="Bookman Old Style" w:hAnsi="Bookman Old Style"/>
          <w:sz w:val="24"/>
          <w:szCs w:val="24"/>
        </w:rPr>
        <w:t>Undang-Undang</w:t>
      </w:r>
      <w:r w:rsidR="00A954D0" w:rsidRPr="006A368B">
        <w:rPr>
          <w:rFonts w:ascii="Bookman Old Style" w:hAnsi="Bookman Old Style"/>
          <w:sz w:val="24"/>
          <w:szCs w:val="24"/>
        </w:rPr>
        <w:t xml:space="preserve"> </w:t>
      </w:r>
      <w:r w:rsidRPr="006A368B">
        <w:rPr>
          <w:rFonts w:ascii="Bookman Old Style" w:hAnsi="Bookman Old Style"/>
          <w:sz w:val="24"/>
          <w:szCs w:val="24"/>
        </w:rPr>
        <w:t>Nomor</w:t>
      </w:r>
      <w:r w:rsidR="00A954D0" w:rsidRPr="006A368B">
        <w:rPr>
          <w:rFonts w:ascii="Bookman Old Style" w:hAnsi="Bookman Old Style"/>
          <w:sz w:val="24"/>
          <w:szCs w:val="24"/>
        </w:rPr>
        <w:t xml:space="preserve"> </w:t>
      </w:r>
      <w:r w:rsidRPr="006A368B">
        <w:rPr>
          <w:rFonts w:ascii="Bookman Old Style" w:hAnsi="Bookman Old Style"/>
          <w:sz w:val="24"/>
          <w:szCs w:val="24"/>
        </w:rPr>
        <w:t>23</w:t>
      </w:r>
      <w:r w:rsidR="00A954D0" w:rsidRPr="006A368B">
        <w:rPr>
          <w:rFonts w:ascii="Bookman Old Style" w:hAnsi="Bookman Old Style"/>
          <w:sz w:val="24"/>
          <w:szCs w:val="24"/>
        </w:rPr>
        <w:t xml:space="preserve"> </w:t>
      </w:r>
      <w:r w:rsidRPr="006A368B">
        <w:rPr>
          <w:rFonts w:ascii="Bookman Old Style" w:hAnsi="Bookman Old Style"/>
          <w:sz w:val="24"/>
          <w:szCs w:val="24"/>
        </w:rPr>
        <w:t>Tahun</w:t>
      </w:r>
      <w:r w:rsidR="00A954D0" w:rsidRPr="006A368B">
        <w:rPr>
          <w:rFonts w:ascii="Bookman Old Style" w:hAnsi="Bookman Old Style"/>
          <w:sz w:val="24"/>
          <w:szCs w:val="24"/>
        </w:rPr>
        <w:t xml:space="preserve"> </w:t>
      </w:r>
      <w:r w:rsidRPr="006A368B">
        <w:rPr>
          <w:rFonts w:ascii="Bookman Old Style" w:hAnsi="Bookman Old Style"/>
          <w:sz w:val="24"/>
          <w:szCs w:val="24"/>
        </w:rPr>
        <w:t>2014</w:t>
      </w:r>
      <w:r w:rsidRPr="006A368B">
        <w:rPr>
          <w:rFonts w:ascii="Bookman Old Style" w:hAnsi="Bookman Old Style" w:cs="Arial"/>
          <w:sz w:val="24"/>
          <w:szCs w:val="24"/>
        </w:rPr>
        <w:t>,</w:t>
      </w:r>
      <w:r w:rsidR="00A954D0" w:rsidRPr="006A368B">
        <w:rPr>
          <w:rFonts w:ascii="Bookman Old Style" w:hAnsi="Bookman Old Style" w:cs="Arial"/>
          <w:sz w:val="24"/>
          <w:szCs w:val="24"/>
        </w:rPr>
        <w:t xml:space="preserve"> </w:t>
      </w:r>
      <w:r w:rsidRPr="006A368B">
        <w:rPr>
          <w:rFonts w:ascii="Bookman Old Style" w:hAnsi="Bookman Old Style"/>
          <w:spacing w:val="-4"/>
          <w:sz w:val="24"/>
          <w:szCs w:val="24"/>
        </w:rPr>
        <w:t>sebagaimana</w:t>
      </w:r>
      <w:r w:rsidR="00A954D0" w:rsidRPr="006A368B">
        <w:rPr>
          <w:rFonts w:ascii="Bookman Old Style" w:hAnsi="Bookman Old Style"/>
          <w:spacing w:val="-4"/>
          <w:sz w:val="24"/>
          <w:szCs w:val="24"/>
        </w:rPr>
        <w:t xml:space="preserve"> </w:t>
      </w:r>
      <w:r w:rsidRPr="006A368B">
        <w:rPr>
          <w:rFonts w:ascii="Bookman Old Style" w:hAnsi="Bookman Old Style" w:cs="Arial"/>
          <w:spacing w:val="-6"/>
          <w:sz w:val="24"/>
          <w:szCs w:val="24"/>
        </w:rPr>
        <w:t>telah</w:t>
      </w:r>
      <w:r w:rsidR="00A954D0" w:rsidRPr="006A368B">
        <w:rPr>
          <w:rFonts w:ascii="Bookman Old Style" w:hAnsi="Bookman Old Style" w:cs="Arial"/>
          <w:spacing w:val="-6"/>
          <w:sz w:val="24"/>
          <w:szCs w:val="24"/>
          <w:lang w:val="id-ID"/>
        </w:rPr>
        <w:t xml:space="preserve"> </w:t>
      </w:r>
      <w:r w:rsidRPr="006A368B">
        <w:rPr>
          <w:rFonts w:ascii="Bookman Old Style" w:hAnsi="Bookman Old Style" w:cs="Arial"/>
          <w:spacing w:val="-6"/>
          <w:sz w:val="24"/>
          <w:szCs w:val="24"/>
          <w:lang w:val="id-ID"/>
        </w:rPr>
        <w:t>diubah</w:t>
      </w:r>
      <w:r w:rsidR="00A954D0" w:rsidRPr="006A368B">
        <w:rPr>
          <w:rFonts w:ascii="Bookman Old Style" w:hAnsi="Bookman Old Style" w:cs="Arial"/>
          <w:spacing w:val="-6"/>
          <w:sz w:val="24"/>
          <w:szCs w:val="24"/>
        </w:rPr>
        <w:t xml:space="preserve"> </w:t>
      </w:r>
      <w:r w:rsidRPr="006A368B">
        <w:rPr>
          <w:rFonts w:ascii="Bookman Old Style" w:hAnsi="Bookman Old Style" w:cs="Arial"/>
          <w:spacing w:val="-6"/>
          <w:sz w:val="24"/>
          <w:szCs w:val="24"/>
        </w:rPr>
        <w:t>beberapa</w:t>
      </w:r>
      <w:r w:rsidR="00A954D0" w:rsidRPr="006A368B">
        <w:rPr>
          <w:rFonts w:ascii="Bookman Old Style" w:hAnsi="Bookman Old Style" w:cs="Arial"/>
          <w:spacing w:val="-6"/>
          <w:sz w:val="24"/>
          <w:szCs w:val="24"/>
        </w:rPr>
        <w:t xml:space="preserve"> </w:t>
      </w:r>
      <w:r w:rsidRPr="006A368B">
        <w:rPr>
          <w:rFonts w:ascii="Bookman Old Style" w:hAnsi="Bookman Old Style" w:cs="Arial"/>
          <w:spacing w:val="-6"/>
          <w:sz w:val="24"/>
          <w:szCs w:val="24"/>
        </w:rPr>
        <w:t>kali</w:t>
      </w:r>
      <w:r w:rsidR="00A954D0" w:rsidRPr="006A368B">
        <w:rPr>
          <w:rFonts w:ascii="Bookman Old Style" w:hAnsi="Bookman Old Style" w:cs="Arial"/>
          <w:spacing w:val="-6"/>
          <w:sz w:val="24"/>
          <w:szCs w:val="24"/>
        </w:rPr>
        <w:t xml:space="preserve"> </w:t>
      </w:r>
      <w:r w:rsidRPr="006A368B">
        <w:rPr>
          <w:rFonts w:ascii="Bookman Old Style" w:hAnsi="Bookman Old Style" w:cs="Arial"/>
          <w:spacing w:val="-6"/>
          <w:sz w:val="24"/>
          <w:szCs w:val="24"/>
        </w:rPr>
        <w:t>terakhir</w:t>
      </w:r>
      <w:r w:rsidR="00A954D0" w:rsidRPr="006A368B">
        <w:rPr>
          <w:rFonts w:ascii="Bookman Old Style" w:hAnsi="Bookman Old Style" w:cs="Arial"/>
          <w:spacing w:val="-6"/>
          <w:sz w:val="24"/>
          <w:szCs w:val="24"/>
        </w:rPr>
        <w:t xml:space="preserve"> </w:t>
      </w:r>
      <w:r w:rsidRPr="006A368B">
        <w:rPr>
          <w:rFonts w:ascii="Bookman Old Style" w:hAnsi="Bookman Old Style"/>
          <w:spacing w:val="-4"/>
          <w:sz w:val="24"/>
          <w:szCs w:val="24"/>
        </w:rPr>
        <w:t>dengan</w:t>
      </w:r>
      <w:r w:rsidR="00A954D0" w:rsidRPr="006A368B">
        <w:rPr>
          <w:rFonts w:ascii="Bookman Old Style" w:hAnsi="Bookman Old Style"/>
          <w:spacing w:val="-4"/>
          <w:sz w:val="24"/>
          <w:szCs w:val="24"/>
        </w:rPr>
        <w:t xml:space="preserve"> </w:t>
      </w:r>
      <w:r w:rsidRPr="006A368B">
        <w:rPr>
          <w:rFonts w:ascii="Bookman Old Style" w:hAnsi="Bookman Old Style"/>
          <w:spacing w:val="-4"/>
          <w:sz w:val="24"/>
          <w:szCs w:val="24"/>
        </w:rPr>
        <w:t>Undang-Undang</w:t>
      </w:r>
      <w:r w:rsidR="00A954D0" w:rsidRPr="006A368B">
        <w:rPr>
          <w:rFonts w:ascii="Bookman Old Style" w:hAnsi="Bookman Old Style"/>
          <w:spacing w:val="-4"/>
          <w:sz w:val="24"/>
          <w:szCs w:val="24"/>
        </w:rPr>
        <w:t xml:space="preserve"> </w:t>
      </w:r>
      <w:r w:rsidRPr="006A368B">
        <w:rPr>
          <w:rFonts w:ascii="Bookman Old Style" w:hAnsi="Bookman Old Style"/>
          <w:spacing w:val="-4"/>
          <w:sz w:val="24"/>
          <w:szCs w:val="24"/>
        </w:rPr>
        <w:t>Nomor</w:t>
      </w:r>
      <w:r w:rsidR="00A954D0" w:rsidRPr="006A368B">
        <w:rPr>
          <w:rFonts w:ascii="Bookman Old Style" w:hAnsi="Bookman Old Style"/>
          <w:spacing w:val="-4"/>
          <w:sz w:val="24"/>
          <w:szCs w:val="24"/>
        </w:rPr>
        <w:t xml:space="preserve"> </w:t>
      </w:r>
      <w:r w:rsidRPr="006A368B">
        <w:rPr>
          <w:rFonts w:ascii="Bookman Old Style" w:hAnsi="Bookman Old Style"/>
          <w:spacing w:val="-4"/>
          <w:sz w:val="24"/>
          <w:szCs w:val="24"/>
        </w:rPr>
        <w:t>6</w:t>
      </w:r>
      <w:r w:rsidR="00A954D0" w:rsidRPr="006A368B">
        <w:rPr>
          <w:rFonts w:ascii="Bookman Old Style" w:hAnsi="Bookman Old Style"/>
          <w:spacing w:val="-4"/>
          <w:sz w:val="24"/>
          <w:szCs w:val="24"/>
        </w:rPr>
        <w:t xml:space="preserve"> </w:t>
      </w:r>
      <w:r w:rsidRPr="006A368B">
        <w:rPr>
          <w:rFonts w:ascii="Bookman Old Style" w:hAnsi="Bookman Old Style"/>
          <w:spacing w:val="-4"/>
          <w:sz w:val="24"/>
          <w:szCs w:val="24"/>
        </w:rPr>
        <w:t>Tahun</w:t>
      </w:r>
      <w:r w:rsidR="00A954D0" w:rsidRPr="006A368B">
        <w:rPr>
          <w:rFonts w:ascii="Bookman Old Style" w:hAnsi="Bookman Old Style"/>
          <w:spacing w:val="-4"/>
          <w:sz w:val="24"/>
          <w:szCs w:val="24"/>
        </w:rPr>
        <w:t xml:space="preserve"> </w:t>
      </w:r>
      <w:r w:rsidRPr="006A368B">
        <w:rPr>
          <w:rFonts w:ascii="Bookman Old Style" w:hAnsi="Bookman Old Style"/>
          <w:spacing w:val="-4"/>
          <w:sz w:val="24"/>
          <w:szCs w:val="24"/>
        </w:rPr>
        <w:t>2023</w:t>
      </w:r>
      <w:r w:rsidR="00F34F2E" w:rsidRPr="006A368B">
        <w:rPr>
          <w:rFonts w:ascii="Bookman Old Style" w:hAnsi="Bookman Old Style"/>
          <w:sz w:val="24"/>
          <w:szCs w:val="24"/>
        </w:rPr>
        <w:t>;</w:t>
      </w:r>
    </w:p>
    <w:p w14:paraId="5BFABD18" w14:textId="6B14574D" w:rsidR="004C3CE0" w:rsidRPr="006A368B" w:rsidRDefault="004C3CE0" w:rsidP="006A368B">
      <w:pPr>
        <w:pStyle w:val="ListParagraph"/>
        <w:numPr>
          <w:ilvl w:val="0"/>
          <w:numId w:val="158"/>
        </w:numPr>
        <w:spacing w:before="60" w:after="0" w:line="276" w:lineRule="auto"/>
        <w:ind w:left="2268" w:hanging="567"/>
        <w:contextualSpacing w:val="0"/>
        <w:jc w:val="both"/>
        <w:rPr>
          <w:rFonts w:ascii="Bookman Old Style" w:hAnsi="Bookman Old Style" w:cs="Arial"/>
          <w:sz w:val="24"/>
          <w:szCs w:val="24"/>
          <w:lang w:val="id-ID"/>
        </w:rPr>
      </w:pPr>
      <w:r w:rsidRPr="006A368B">
        <w:rPr>
          <w:rFonts w:ascii="Bookman Old Style" w:hAnsi="Bookman Old Style"/>
          <w:sz w:val="24"/>
          <w:szCs w:val="24"/>
        </w:rPr>
        <w:t>Peraturan</w:t>
      </w:r>
      <w:r w:rsidR="00A954D0" w:rsidRPr="006A368B">
        <w:rPr>
          <w:rFonts w:ascii="Bookman Old Style" w:hAnsi="Bookman Old Style"/>
          <w:sz w:val="24"/>
          <w:szCs w:val="24"/>
        </w:rPr>
        <w:t xml:space="preserve"> </w:t>
      </w:r>
      <w:r w:rsidRPr="006A368B">
        <w:rPr>
          <w:rFonts w:ascii="Bookman Old Style" w:hAnsi="Bookman Old Style"/>
          <w:sz w:val="24"/>
          <w:szCs w:val="24"/>
        </w:rPr>
        <w:t>Pemerintah</w:t>
      </w:r>
      <w:r w:rsidR="00A954D0" w:rsidRPr="006A368B">
        <w:rPr>
          <w:rFonts w:ascii="Bookman Old Style" w:hAnsi="Bookman Old Style"/>
          <w:sz w:val="24"/>
          <w:szCs w:val="24"/>
        </w:rPr>
        <w:t xml:space="preserve"> </w:t>
      </w:r>
      <w:r w:rsidRPr="006A368B">
        <w:rPr>
          <w:rFonts w:ascii="Bookman Old Style" w:hAnsi="Bookman Old Style"/>
          <w:sz w:val="24"/>
          <w:szCs w:val="24"/>
        </w:rPr>
        <w:t>Nomor</w:t>
      </w:r>
      <w:r w:rsidR="00A954D0" w:rsidRPr="006A368B">
        <w:rPr>
          <w:rFonts w:ascii="Bookman Old Style" w:hAnsi="Bookman Old Style"/>
          <w:sz w:val="24"/>
          <w:szCs w:val="24"/>
        </w:rPr>
        <w:t xml:space="preserve"> </w:t>
      </w:r>
      <w:r w:rsidRPr="006A368B">
        <w:rPr>
          <w:rFonts w:ascii="Bookman Old Style" w:hAnsi="Bookman Old Style"/>
          <w:sz w:val="24"/>
          <w:szCs w:val="24"/>
        </w:rPr>
        <w:t>2</w:t>
      </w:r>
      <w:r w:rsidR="00A954D0" w:rsidRPr="006A368B">
        <w:rPr>
          <w:rFonts w:ascii="Bookman Old Style" w:hAnsi="Bookman Old Style"/>
          <w:sz w:val="24"/>
          <w:szCs w:val="24"/>
        </w:rPr>
        <w:t xml:space="preserve"> </w:t>
      </w:r>
      <w:r w:rsidRPr="006A368B">
        <w:rPr>
          <w:rFonts w:ascii="Bookman Old Style" w:hAnsi="Bookman Old Style"/>
          <w:sz w:val="24"/>
          <w:szCs w:val="24"/>
        </w:rPr>
        <w:t>Tahun</w:t>
      </w:r>
      <w:r w:rsidR="00A954D0" w:rsidRPr="006A368B">
        <w:rPr>
          <w:rFonts w:ascii="Bookman Old Style" w:hAnsi="Bookman Old Style"/>
          <w:sz w:val="24"/>
          <w:szCs w:val="24"/>
        </w:rPr>
        <w:t xml:space="preserve"> </w:t>
      </w:r>
      <w:r w:rsidRPr="006A368B">
        <w:rPr>
          <w:rFonts w:ascii="Bookman Old Style" w:hAnsi="Bookman Old Style"/>
          <w:sz w:val="24"/>
          <w:szCs w:val="24"/>
        </w:rPr>
        <w:t>2012</w:t>
      </w:r>
      <w:r w:rsidR="00A954D0" w:rsidRPr="006A368B">
        <w:rPr>
          <w:rFonts w:ascii="Bookman Old Style" w:hAnsi="Bookman Old Style"/>
          <w:sz w:val="24"/>
          <w:szCs w:val="24"/>
        </w:rPr>
        <w:t xml:space="preserve"> </w:t>
      </w:r>
      <w:r w:rsidRPr="006A368B">
        <w:rPr>
          <w:rFonts w:ascii="Bookman Old Style" w:hAnsi="Bookman Old Style"/>
          <w:sz w:val="24"/>
          <w:szCs w:val="24"/>
        </w:rPr>
        <w:t>tentang</w:t>
      </w:r>
      <w:r w:rsidR="00A954D0" w:rsidRPr="006A368B">
        <w:rPr>
          <w:rFonts w:ascii="Bookman Old Style" w:hAnsi="Bookman Old Style"/>
          <w:sz w:val="24"/>
          <w:szCs w:val="24"/>
        </w:rPr>
        <w:t xml:space="preserve"> </w:t>
      </w:r>
      <w:r w:rsidRPr="006A368B">
        <w:rPr>
          <w:rFonts w:ascii="Bookman Old Style" w:hAnsi="Bookman Old Style"/>
          <w:sz w:val="24"/>
          <w:szCs w:val="24"/>
        </w:rPr>
        <w:t>Hibah</w:t>
      </w:r>
      <w:r w:rsidR="00A954D0" w:rsidRPr="006A368B">
        <w:rPr>
          <w:rFonts w:ascii="Bookman Old Style" w:hAnsi="Bookman Old Style"/>
          <w:sz w:val="24"/>
          <w:szCs w:val="24"/>
        </w:rPr>
        <w:t xml:space="preserve"> </w:t>
      </w:r>
      <w:r w:rsidRPr="006A368B">
        <w:rPr>
          <w:rFonts w:ascii="Bookman Old Style" w:hAnsi="Bookman Old Style"/>
          <w:sz w:val="24"/>
          <w:szCs w:val="24"/>
        </w:rPr>
        <w:t>Daerah</w:t>
      </w:r>
      <w:r w:rsidR="00F34F2E" w:rsidRPr="006A368B">
        <w:rPr>
          <w:rFonts w:ascii="Bookman Old Style" w:hAnsi="Bookman Old Style"/>
          <w:sz w:val="24"/>
          <w:szCs w:val="24"/>
        </w:rPr>
        <w:t>;</w:t>
      </w:r>
    </w:p>
    <w:p w14:paraId="3D353B1A" w14:textId="39E7FDAB" w:rsidR="004C3CE0" w:rsidRPr="006A368B" w:rsidRDefault="004C3CE0" w:rsidP="006A368B">
      <w:pPr>
        <w:pStyle w:val="ListParagraph"/>
        <w:numPr>
          <w:ilvl w:val="0"/>
          <w:numId w:val="158"/>
        </w:numPr>
        <w:spacing w:before="60" w:after="0" w:line="276" w:lineRule="auto"/>
        <w:ind w:left="2268" w:hanging="567"/>
        <w:contextualSpacing w:val="0"/>
        <w:jc w:val="both"/>
        <w:rPr>
          <w:rFonts w:ascii="Bookman Old Style" w:hAnsi="Bookman Old Style" w:cs="Arial"/>
          <w:sz w:val="24"/>
          <w:szCs w:val="24"/>
          <w:lang w:val="id-ID"/>
        </w:rPr>
      </w:pPr>
      <w:r w:rsidRPr="006A368B">
        <w:rPr>
          <w:rFonts w:ascii="Bookman Old Style" w:hAnsi="Bookman Old Style"/>
          <w:sz w:val="24"/>
          <w:szCs w:val="24"/>
        </w:rPr>
        <w:t>Pasal</w:t>
      </w:r>
      <w:r w:rsidR="00A954D0" w:rsidRPr="006A368B">
        <w:rPr>
          <w:rFonts w:ascii="Bookman Old Style" w:hAnsi="Bookman Old Style"/>
          <w:sz w:val="24"/>
          <w:szCs w:val="24"/>
        </w:rPr>
        <w:t xml:space="preserve"> </w:t>
      </w:r>
      <w:r w:rsidRPr="006A368B">
        <w:rPr>
          <w:rFonts w:ascii="Bookman Old Style" w:hAnsi="Bookman Old Style"/>
          <w:sz w:val="24"/>
          <w:szCs w:val="24"/>
        </w:rPr>
        <w:t>62</w:t>
      </w:r>
      <w:r w:rsidR="00A954D0" w:rsidRPr="006A368B">
        <w:rPr>
          <w:rFonts w:ascii="Bookman Old Style" w:hAnsi="Bookman Old Style"/>
          <w:sz w:val="24"/>
          <w:szCs w:val="24"/>
        </w:rPr>
        <w:t xml:space="preserve"> </w:t>
      </w:r>
      <w:r w:rsidRPr="006A368B">
        <w:rPr>
          <w:rFonts w:ascii="Bookman Old Style" w:hAnsi="Bookman Old Style"/>
          <w:sz w:val="24"/>
          <w:szCs w:val="24"/>
        </w:rPr>
        <w:t>Peraturan</w:t>
      </w:r>
      <w:r w:rsidR="00A954D0" w:rsidRPr="006A368B">
        <w:rPr>
          <w:rFonts w:ascii="Bookman Old Style" w:hAnsi="Bookman Old Style"/>
          <w:sz w:val="24"/>
          <w:szCs w:val="24"/>
        </w:rPr>
        <w:t xml:space="preserve"> </w:t>
      </w:r>
      <w:r w:rsidRPr="006A368B">
        <w:rPr>
          <w:rFonts w:ascii="Bookman Old Style" w:hAnsi="Bookman Old Style"/>
          <w:sz w:val="24"/>
          <w:szCs w:val="24"/>
        </w:rPr>
        <w:t>Pemerintah</w:t>
      </w:r>
      <w:r w:rsidR="00A954D0" w:rsidRPr="006A368B">
        <w:rPr>
          <w:rFonts w:ascii="Bookman Old Style" w:hAnsi="Bookman Old Style"/>
          <w:sz w:val="24"/>
          <w:szCs w:val="24"/>
        </w:rPr>
        <w:t xml:space="preserve"> </w:t>
      </w:r>
      <w:r w:rsidRPr="006A368B">
        <w:rPr>
          <w:rFonts w:ascii="Bookman Old Style" w:hAnsi="Bookman Old Style"/>
          <w:sz w:val="24"/>
          <w:szCs w:val="24"/>
        </w:rPr>
        <w:t>Nomor</w:t>
      </w:r>
      <w:r w:rsidR="00A954D0" w:rsidRPr="006A368B">
        <w:rPr>
          <w:rFonts w:ascii="Bookman Old Style" w:hAnsi="Bookman Old Style"/>
          <w:sz w:val="24"/>
          <w:szCs w:val="24"/>
        </w:rPr>
        <w:t xml:space="preserve"> </w:t>
      </w:r>
      <w:r w:rsidRPr="006A368B">
        <w:rPr>
          <w:rFonts w:ascii="Bookman Old Style" w:hAnsi="Bookman Old Style"/>
          <w:sz w:val="24"/>
          <w:szCs w:val="24"/>
        </w:rPr>
        <w:t>12</w:t>
      </w:r>
      <w:r w:rsidR="00A954D0" w:rsidRPr="006A368B">
        <w:rPr>
          <w:rFonts w:ascii="Bookman Old Style" w:hAnsi="Bookman Old Style"/>
          <w:sz w:val="24"/>
          <w:szCs w:val="24"/>
        </w:rPr>
        <w:t xml:space="preserve"> </w:t>
      </w:r>
      <w:r w:rsidRPr="006A368B">
        <w:rPr>
          <w:rFonts w:ascii="Bookman Old Style" w:hAnsi="Bookman Old Style"/>
          <w:sz w:val="24"/>
          <w:szCs w:val="24"/>
        </w:rPr>
        <w:t>Tahun</w:t>
      </w:r>
      <w:r w:rsidR="00A954D0" w:rsidRPr="006A368B">
        <w:rPr>
          <w:rFonts w:ascii="Bookman Old Style" w:hAnsi="Bookman Old Style"/>
          <w:sz w:val="24"/>
          <w:szCs w:val="24"/>
        </w:rPr>
        <w:t xml:space="preserve"> </w:t>
      </w:r>
      <w:r w:rsidRPr="006A368B">
        <w:rPr>
          <w:rFonts w:ascii="Bookman Old Style" w:hAnsi="Bookman Old Style"/>
          <w:sz w:val="24"/>
          <w:szCs w:val="24"/>
        </w:rPr>
        <w:t>2019</w:t>
      </w:r>
      <w:r w:rsidR="00F34F2E" w:rsidRPr="006A368B">
        <w:rPr>
          <w:rFonts w:ascii="Bookman Old Style" w:hAnsi="Bookman Old Style"/>
          <w:sz w:val="24"/>
          <w:szCs w:val="24"/>
        </w:rPr>
        <w:t>;</w:t>
      </w:r>
    </w:p>
    <w:p w14:paraId="3E29382D" w14:textId="2B80E687" w:rsidR="004C3CE0" w:rsidRPr="006A368B" w:rsidRDefault="004C3CE0" w:rsidP="006A368B">
      <w:pPr>
        <w:pStyle w:val="ListParagraph"/>
        <w:numPr>
          <w:ilvl w:val="0"/>
          <w:numId w:val="158"/>
        </w:numPr>
        <w:spacing w:before="60" w:after="0" w:line="276" w:lineRule="auto"/>
        <w:ind w:left="2268" w:hanging="567"/>
        <w:contextualSpacing w:val="0"/>
        <w:jc w:val="both"/>
        <w:rPr>
          <w:rFonts w:ascii="Bookman Old Style" w:hAnsi="Bookman Old Style" w:cs="Arial"/>
          <w:sz w:val="24"/>
          <w:szCs w:val="24"/>
          <w:lang w:val="id-ID"/>
        </w:rPr>
      </w:pPr>
      <w:r w:rsidRPr="006A368B">
        <w:rPr>
          <w:rFonts w:ascii="Bookman Old Style" w:hAnsi="Bookman Old Style"/>
          <w:sz w:val="24"/>
          <w:szCs w:val="24"/>
        </w:rPr>
        <w:t>Peraturan</w:t>
      </w:r>
      <w:r w:rsidR="00A954D0" w:rsidRPr="006A368B">
        <w:rPr>
          <w:rFonts w:ascii="Bookman Old Style" w:hAnsi="Bookman Old Style"/>
          <w:sz w:val="24"/>
          <w:szCs w:val="24"/>
        </w:rPr>
        <w:t xml:space="preserve"> </w:t>
      </w:r>
      <w:r w:rsidRPr="006A368B">
        <w:rPr>
          <w:rFonts w:ascii="Bookman Old Style" w:hAnsi="Bookman Old Style"/>
          <w:sz w:val="24"/>
          <w:szCs w:val="24"/>
        </w:rPr>
        <w:t>Menteri</w:t>
      </w:r>
      <w:r w:rsidR="00A954D0" w:rsidRPr="006A368B">
        <w:rPr>
          <w:rFonts w:ascii="Bookman Old Style" w:hAnsi="Bookman Old Style"/>
          <w:sz w:val="24"/>
          <w:szCs w:val="24"/>
        </w:rPr>
        <w:t xml:space="preserve"> </w:t>
      </w:r>
      <w:r w:rsidRPr="006A368B">
        <w:rPr>
          <w:rFonts w:ascii="Bookman Old Style" w:hAnsi="Bookman Old Style"/>
          <w:sz w:val="24"/>
          <w:szCs w:val="24"/>
        </w:rPr>
        <w:t>Dalam</w:t>
      </w:r>
      <w:r w:rsidR="00A954D0" w:rsidRPr="006A368B">
        <w:rPr>
          <w:rFonts w:ascii="Bookman Old Style" w:hAnsi="Bookman Old Style"/>
          <w:sz w:val="24"/>
          <w:szCs w:val="24"/>
        </w:rPr>
        <w:t xml:space="preserve"> </w:t>
      </w:r>
      <w:r w:rsidRPr="006A368B">
        <w:rPr>
          <w:rFonts w:ascii="Bookman Old Style" w:hAnsi="Bookman Old Style"/>
          <w:sz w:val="24"/>
          <w:szCs w:val="24"/>
        </w:rPr>
        <w:t>Negeri</w:t>
      </w:r>
      <w:r w:rsidR="00A954D0" w:rsidRPr="006A368B">
        <w:rPr>
          <w:rFonts w:ascii="Bookman Old Style" w:hAnsi="Bookman Old Style"/>
          <w:sz w:val="24"/>
          <w:szCs w:val="24"/>
        </w:rPr>
        <w:t xml:space="preserve"> </w:t>
      </w:r>
      <w:r w:rsidRPr="006A368B">
        <w:rPr>
          <w:rFonts w:ascii="Bookman Old Style" w:hAnsi="Bookman Old Style"/>
          <w:sz w:val="24"/>
          <w:szCs w:val="24"/>
        </w:rPr>
        <w:t>Nomor</w:t>
      </w:r>
      <w:r w:rsidR="00A954D0" w:rsidRPr="006A368B">
        <w:rPr>
          <w:rFonts w:ascii="Bookman Old Style" w:hAnsi="Bookman Old Style"/>
          <w:sz w:val="24"/>
          <w:szCs w:val="24"/>
        </w:rPr>
        <w:t xml:space="preserve"> </w:t>
      </w:r>
      <w:r w:rsidRPr="006A368B">
        <w:rPr>
          <w:rFonts w:ascii="Bookman Old Style" w:hAnsi="Bookman Old Style"/>
          <w:sz w:val="24"/>
          <w:szCs w:val="24"/>
        </w:rPr>
        <w:t>77</w:t>
      </w:r>
      <w:r w:rsidR="00A954D0" w:rsidRPr="006A368B">
        <w:rPr>
          <w:rFonts w:ascii="Bookman Old Style" w:hAnsi="Bookman Old Style"/>
          <w:sz w:val="24"/>
          <w:szCs w:val="24"/>
        </w:rPr>
        <w:t xml:space="preserve"> </w:t>
      </w:r>
      <w:r w:rsidRPr="006A368B">
        <w:rPr>
          <w:rFonts w:ascii="Bookman Old Style" w:hAnsi="Bookman Old Style"/>
          <w:sz w:val="24"/>
          <w:szCs w:val="24"/>
        </w:rPr>
        <w:t>Tahun</w:t>
      </w:r>
      <w:r w:rsidR="00A954D0" w:rsidRPr="006A368B">
        <w:rPr>
          <w:rFonts w:ascii="Bookman Old Style" w:hAnsi="Bookman Old Style"/>
          <w:sz w:val="24"/>
          <w:szCs w:val="24"/>
        </w:rPr>
        <w:t xml:space="preserve"> </w:t>
      </w:r>
      <w:r w:rsidRPr="006A368B">
        <w:rPr>
          <w:rFonts w:ascii="Bookman Old Style" w:hAnsi="Bookman Old Style"/>
          <w:sz w:val="24"/>
          <w:szCs w:val="24"/>
        </w:rPr>
        <w:t>2020</w:t>
      </w:r>
      <w:r w:rsidR="00F34F2E" w:rsidRPr="006A368B">
        <w:rPr>
          <w:rFonts w:ascii="Bookman Old Style" w:hAnsi="Bookman Old Style"/>
          <w:sz w:val="24"/>
          <w:szCs w:val="24"/>
        </w:rPr>
        <w:t>;</w:t>
      </w:r>
      <w:r w:rsidR="00A954D0" w:rsidRPr="006A368B">
        <w:rPr>
          <w:rFonts w:ascii="Bookman Old Style" w:hAnsi="Bookman Old Style"/>
          <w:sz w:val="24"/>
          <w:szCs w:val="24"/>
          <w:lang w:val="id-ID"/>
        </w:rPr>
        <w:t xml:space="preserve"> </w:t>
      </w:r>
    </w:p>
    <w:p w14:paraId="4E5CE71F" w14:textId="0B188EF4" w:rsidR="004C3CE0" w:rsidRPr="006A368B" w:rsidRDefault="004C3CE0" w:rsidP="006A368B">
      <w:pPr>
        <w:pStyle w:val="ListParagraph"/>
        <w:numPr>
          <w:ilvl w:val="0"/>
          <w:numId w:val="158"/>
        </w:numPr>
        <w:spacing w:before="60" w:after="0" w:line="276" w:lineRule="auto"/>
        <w:ind w:left="2268" w:hanging="567"/>
        <w:contextualSpacing w:val="0"/>
        <w:jc w:val="both"/>
        <w:rPr>
          <w:rFonts w:ascii="Bookman Old Style" w:hAnsi="Bookman Old Style" w:cs="Arial"/>
          <w:sz w:val="24"/>
          <w:szCs w:val="24"/>
          <w:lang w:val="id-ID"/>
        </w:rPr>
      </w:pPr>
      <w:r w:rsidRPr="006A368B">
        <w:rPr>
          <w:rFonts w:ascii="Bookman Old Style" w:hAnsi="Bookman Old Style" w:cs="Arial"/>
          <w:sz w:val="24"/>
          <w:szCs w:val="24"/>
        </w:rPr>
        <w:t>butir</w:t>
      </w:r>
      <w:r w:rsidR="00A954D0" w:rsidRPr="006A368B">
        <w:rPr>
          <w:rFonts w:ascii="Bookman Old Style" w:hAnsi="Bookman Old Style" w:cs="Arial"/>
          <w:sz w:val="24"/>
          <w:szCs w:val="24"/>
        </w:rPr>
        <w:t xml:space="preserve"> </w:t>
      </w:r>
      <w:r w:rsidRPr="006A368B">
        <w:rPr>
          <w:rFonts w:ascii="Bookman Old Style" w:hAnsi="Bookman Old Style"/>
          <w:sz w:val="24"/>
          <w:szCs w:val="24"/>
          <w:lang w:val="id-ID"/>
        </w:rPr>
        <w:t>3.4.1.5</w:t>
      </w:r>
      <w:r w:rsidR="00A954D0" w:rsidRPr="006A368B">
        <w:rPr>
          <w:rFonts w:ascii="Bookman Old Style" w:hAnsi="Bookman Old Style" w:cs="Arial"/>
          <w:sz w:val="24"/>
          <w:szCs w:val="24"/>
        </w:rPr>
        <w:t xml:space="preserve"> </w:t>
      </w:r>
      <w:r w:rsidRPr="006A368B">
        <w:rPr>
          <w:rFonts w:ascii="Bookman Old Style" w:hAnsi="Bookman Old Style" w:cs="Arial"/>
          <w:sz w:val="24"/>
          <w:szCs w:val="24"/>
        </w:rPr>
        <w:t>Lampiran</w:t>
      </w:r>
      <w:r w:rsidR="00A954D0" w:rsidRPr="006A368B">
        <w:rPr>
          <w:rFonts w:ascii="Bookman Old Style" w:hAnsi="Bookman Old Style" w:cs="Arial"/>
          <w:sz w:val="24"/>
          <w:szCs w:val="24"/>
        </w:rPr>
        <w:t xml:space="preserve"> </w:t>
      </w:r>
      <w:r w:rsidRPr="006A368B">
        <w:rPr>
          <w:rFonts w:ascii="Bookman Old Style" w:hAnsi="Bookman Old Style" w:cs="Arial"/>
          <w:sz w:val="24"/>
          <w:szCs w:val="24"/>
        </w:rPr>
        <w:t>Peraturan</w:t>
      </w:r>
      <w:r w:rsidR="00A954D0" w:rsidRPr="006A368B">
        <w:rPr>
          <w:rFonts w:ascii="Bookman Old Style" w:hAnsi="Bookman Old Style" w:cs="Arial"/>
          <w:sz w:val="24"/>
          <w:szCs w:val="24"/>
        </w:rPr>
        <w:t xml:space="preserve"> </w:t>
      </w:r>
      <w:r w:rsidRPr="006A368B">
        <w:rPr>
          <w:rFonts w:ascii="Bookman Old Style" w:hAnsi="Bookman Old Style" w:cs="Arial"/>
          <w:sz w:val="24"/>
          <w:szCs w:val="24"/>
        </w:rPr>
        <w:t>Menteri</w:t>
      </w:r>
      <w:r w:rsidR="00A954D0" w:rsidRPr="006A368B">
        <w:rPr>
          <w:rFonts w:ascii="Bookman Old Style" w:hAnsi="Bookman Old Style" w:cs="Arial"/>
          <w:sz w:val="24"/>
          <w:szCs w:val="24"/>
        </w:rPr>
        <w:t xml:space="preserve"> </w:t>
      </w:r>
      <w:r w:rsidRPr="006A368B">
        <w:rPr>
          <w:rFonts w:ascii="Bookman Old Style" w:hAnsi="Bookman Old Style" w:cs="Arial"/>
          <w:sz w:val="24"/>
          <w:szCs w:val="24"/>
        </w:rPr>
        <w:t>Dalam</w:t>
      </w:r>
      <w:r w:rsidR="00A954D0" w:rsidRPr="006A368B">
        <w:rPr>
          <w:rFonts w:ascii="Bookman Old Style" w:hAnsi="Bookman Old Style" w:cs="Arial"/>
          <w:sz w:val="24"/>
          <w:szCs w:val="24"/>
        </w:rPr>
        <w:t xml:space="preserve"> </w:t>
      </w:r>
      <w:r w:rsidRPr="006A368B">
        <w:rPr>
          <w:rFonts w:ascii="Bookman Old Style" w:hAnsi="Bookman Old Style" w:cs="Arial"/>
          <w:sz w:val="24"/>
          <w:szCs w:val="24"/>
        </w:rPr>
        <w:t>Negeri</w:t>
      </w:r>
      <w:r w:rsidR="00A954D0" w:rsidRPr="006A368B">
        <w:rPr>
          <w:rFonts w:ascii="Bookman Old Style" w:hAnsi="Bookman Old Style" w:cs="Arial"/>
          <w:sz w:val="24"/>
          <w:szCs w:val="24"/>
        </w:rPr>
        <w:t xml:space="preserve"> </w:t>
      </w:r>
      <w:r w:rsidRPr="006A368B">
        <w:rPr>
          <w:rFonts w:ascii="Bookman Old Style" w:hAnsi="Bookman Old Style" w:cs="Arial"/>
          <w:sz w:val="24"/>
          <w:szCs w:val="24"/>
        </w:rPr>
        <w:t>Nomor</w:t>
      </w:r>
      <w:r w:rsidR="00A954D0" w:rsidRPr="006A368B">
        <w:rPr>
          <w:rFonts w:ascii="Bookman Old Style" w:hAnsi="Bookman Old Style" w:cs="Arial"/>
          <w:sz w:val="24"/>
          <w:szCs w:val="24"/>
        </w:rPr>
        <w:t xml:space="preserve"> </w:t>
      </w:r>
      <w:r w:rsidRPr="006A368B">
        <w:rPr>
          <w:rFonts w:ascii="Bookman Old Style" w:hAnsi="Bookman Old Style" w:cs="Arial"/>
          <w:sz w:val="24"/>
          <w:szCs w:val="24"/>
          <w:lang w:val="id-ID"/>
        </w:rPr>
        <w:t>15</w:t>
      </w:r>
      <w:r w:rsidR="00A954D0" w:rsidRPr="006A368B">
        <w:rPr>
          <w:rFonts w:ascii="Bookman Old Style" w:hAnsi="Bookman Old Style" w:cs="Arial"/>
          <w:sz w:val="24"/>
          <w:szCs w:val="24"/>
        </w:rPr>
        <w:t xml:space="preserve"> </w:t>
      </w:r>
      <w:r w:rsidRPr="006A368B">
        <w:rPr>
          <w:rFonts w:ascii="Bookman Old Style" w:hAnsi="Bookman Old Style" w:cs="Arial"/>
          <w:sz w:val="24"/>
          <w:szCs w:val="24"/>
        </w:rPr>
        <w:t>Tahun</w:t>
      </w:r>
      <w:r w:rsidR="00A954D0" w:rsidRPr="006A368B">
        <w:rPr>
          <w:rFonts w:ascii="Bookman Old Style" w:hAnsi="Bookman Old Style" w:cs="Arial"/>
          <w:sz w:val="24"/>
          <w:szCs w:val="24"/>
        </w:rPr>
        <w:t xml:space="preserve"> </w:t>
      </w:r>
      <w:r w:rsidRPr="006A368B">
        <w:rPr>
          <w:rFonts w:ascii="Bookman Old Style" w:hAnsi="Bookman Old Style" w:cs="Arial"/>
          <w:sz w:val="24"/>
          <w:szCs w:val="24"/>
        </w:rPr>
        <w:t>202</w:t>
      </w:r>
      <w:r w:rsidRPr="006A368B">
        <w:rPr>
          <w:rFonts w:ascii="Bookman Old Style" w:hAnsi="Bookman Old Style" w:cs="Arial"/>
          <w:sz w:val="24"/>
          <w:szCs w:val="24"/>
          <w:lang w:val="id-ID"/>
        </w:rPr>
        <w:t>4</w:t>
      </w:r>
      <w:r w:rsidR="00F34F2E" w:rsidRPr="006A368B">
        <w:rPr>
          <w:rFonts w:ascii="Bookman Old Style" w:hAnsi="Bookman Old Style" w:cs="Arial"/>
          <w:sz w:val="24"/>
          <w:szCs w:val="24"/>
          <w:lang w:val="id-ID"/>
        </w:rPr>
        <w:t>;</w:t>
      </w:r>
      <w:r w:rsidR="00A954D0" w:rsidRPr="006A368B">
        <w:rPr>
          <w:rFonts w:ascii="Bookman Old Style" w:hAnsi="Bookman Old Style"/>
          <w:sz w:val="24"/>
          <w:szCs w:val="24"/>
          <w:lang w:val="id-ID"/>
        </w:rPr>
        <w:t xml:space="preserve"> </w:t>
      </w:r>
      <w:r w:rsidRPr="006A368B">
        <w:rPr>
          <w:rFonts w:ascii="Bookman Old Style" w:hAnsi="Bookman Old Style"/>
          <w:sz w:val="24"/>
          <w:szCs w:val="24"/>
          <w:lang w:val="id-ID"/>
        </w:rPr>
        <w:t>dan</w:t>
      </w:r>
      <w:r w:rsidR="00A954D0" w:rsidRPr="006A368B">
        <w:rPr>
          <w:rFonts w:ascii="Bookman Old Style" w:hAnsi="Bookman Old Style"/>
          <w:sz w:val="24"/>
          <w:szCs w:val="24"/>
          <w:lang w:val="id-ID"/>
        </w:rPr>
        <w:t xml:space="preserve"> </w:t>
      </w:r>
    </w:p>
    <w:p w14:paraId="5D1B62C2" w14:textId="1E5C369B" w:rsidR="004C3CE0" w:rsidRPr="006A368B" w:rsidRDefault="004C3CE0" w:rsidP="006A368B">
      <w:pPr>
        <w:pStyle w:val="ListParagraph"/>
        <w:numPr>
          <w:ilvl w:val="0"/>
          <w:numId w:val="158"/>
        </w:numPr>
        <w:spacing w:before="60" w:after="0" w:line="276" w:lineRule="auto"/>
        <w:ind w:left="2268" w:hanging="567"/>
        <w:contextualSpacing w:val="0"/>
        <w:jc w:val="both"/>
        <w:rPr>
          <w:rFonts w:ascii="Bookman Old Style" w:hAnsi="Bookman Old Style" w:cs="Arial"/>
          <w:sz w:val="24"/>
          <w:szCs w:val="24"/>
          <w:lang w:val="id-ID"/>
        </w:rPr>
      </w:pPr>
      <w:r w:rsidRPr="006A368B">
        <w:rPr>
          <w:rFonts w:ascii="Bookman Old Style" w:hAnsi="Bookman Old Style"/>
          <w:sz w:val="24"/>
          <w:szCs w:val="24"/>
          <w:lang w:val="id-ID"/>
        </w:rPr>
        <w:t>butir</w:t>
      </w:r>
      <w:r w:rsidR="00A954D0" w:rsidRPr="006A368B">
        <w:rPr>
          <w:rFonts w:ascii="Bookman Old Style" w:hAnsi="Bookman Old Style"/>
          <w:sz w:val="24"/>
          <w:szCs w:val="24"/>
          <w:lang w:val="id-ID"/>
        </w:rPr>
        <w:t xml:space="preserve"> </w:t>
      </w:r>
      <w:r w:rsidRPr="006A368B">
        <w:rPr>
          <w:rFonts w:ascii="Bookman Old Style" w:hAnsi="Bookman Old Style"/>
          <w:sz w:val="24"/>
          <w:szCs w:val="24"/>
          <w:lang w:val="id-ID"/>
        </w:rPr>
        <w:t>2</w:t>
      </w:r>
      <w:r w:rsidR="00A954D0" w:rsidRPr="006A368B">
        <w:rPr>
          <w:rFonts w:ascii="Bookman Old Style" w:hAnsi="Bookman Old Style"/>
          <w:sz w:val="24"/>
          <w:szCs w:val="24"/>
          <w:lang w:val="id-ID"/>
        </w:rPr>
        <w:t xml:space="preserve"> </w:t>
      </w:r>
      <w:r w:rsidRPr="006A368B">
        <w:rPr>
          <w:rFonts w:ascii="Bookman Old Style" w:hAnsi="Bookman Old Style"/>
          <w:sz w:val="24"/>
          <w:szCs w:val="24"/>
          <w:lang w:val="id-ID"/>
        </w:rPr>
        <w:t>Surat</w:t>
      </w:r>
      <w:r w:rsidR="00A954D0" w:rsidRPr="006A368B">
        <w:rPr>
          <w:rFonts w:ascii="Bookman Old Style" w:hAnsi="Bookman Old Style"/>
          <w:sz w:val="24"/>
          <w:szCs w:val="24"/>
          <w:lang w:val="id-ID"/>
        </w:rPr>
        <w:t xml:space="preserve"> </w:t>
      </w:r>
      <w:r w:rsidRPr="006A368B">
        <w:rPr>
          <w:rFonts w:ascii="Bookman Old Style" w:hAnsi="Bookman Old Style"/>
          <w:sz w:val="24"/>
          <w:szCs w:val="24"/>
          <w:lang w:val="id-ID"/>
        </w:rPr>
        <w:t>Edaran</w:t>
      </w:r>
      <w:r w:rsidR="00A954D0" w:rsidRPr="006A368B">
        <w:rPr>
          <w:rFonts w:ascii="Bookman Old Style" w:hAnsi="Bookman Old Style"/>
          <w:sz w:val="24"/>
          <w:szCs w:val="24"/>
          <w:lang w:val="id-ID"/>
        </w:rPr>
        <w:t xml:space="preserve"> </w:t>
      </w:r>
      <w:r w:rsidRPr="006A368B">
        <w:rPr>
          <w:rFonts w:ascii="Bookman Old Style" w:hAnsi="Bookman Old Style"/>
          <w:sz w:val="24"/>
          <w:szCs w:val="24"/>
          <w:lang w:val="id-ID"/>
        </w:rPr>
        <w:t>Pimpinan</w:t>
      </w:r>
      <w:r w:rsidR="00A954D0" w:rsidRPr="006A368B">
        <w:rPr>
          <w:rFonts w:ascii="Bookman Old Style" w:hAnsi="Bookman Old Style"/>
          <w:sz w:val="24"/>
          <w:szCs w:val="24"/>
          <w:lang w:val="id-ID"/>
        </w:rPr>
        <w:t xml:space="preserve"> </w:t>
      </w:r>
      <w:r w:rsidRPr="006A368B">
        <w:rPr>
          <w:rFonts w:ascii="Bookman Old Style" w:hAnsi="Bookman Old Style"/>
          <w:sz w:val="24"/>
          <w:szCs w:val="24"/>
          <w:lang w:val="id-ID"/>
        </w:rPr>
        <w:t>Komisi</w:t>
      </w:r>
      <w:r w:rsidR="00A954D0" w:rsidRPr="006A368B">
        <w:rPr>
          <w:rFonts w:ascii="Bookman Old Style" w:hAnsi="Bookman Old Style"/>
          <w:sz w:val="24"/>
          <w:szCs w:val="24"/>
          <w:lang w:val="id-ID"/>
        </w:rPr>
        <w:t xml:space="preserve"> </w:t>
      </w:r>
      <w:r w:rsidRPr="006A368B">
        <w:rPr>
          <w:rFonts w:ascii="Bookman Old Style" w:hAnsi="Bookman Old Style"/>
          <w:sz w:val="24"/>
          <w:szCs w:val="24"/>
          <w:lang w:val="id-ID"/>
        </w:rPr>
        <w:t>Pemberantasan</w:t>
      </w:r>
      <w:r w:rsidR="00A954D0" w:rsidRPr="006A368B">
        <w:rPr>
          <w:rFonts w:ascii="Bookman Old Style" w:hAnsi="Bookman Old Style"/>
          <w:sz w:val="24"/>
          <w:szCs w:val="24"/>
          <w:lang w:val="id-ID"/>
        </w:rPr>
        <w:t xml:space="preserve"> </w:t>
      </w:r>
      <w:r w:rsidRPr="006A368B">
        <w:rPr>
          <w:rFonts w:ascii="Bookman Old Style" w:hAnsi="Bookman Old Style"/>
          <w:sz w:val="24"/>
          <w:szCs w:val="24"/>
          <w:lang w:val="id-ID"/>
        </w:rPr>
        <w:t>Korupsi</w:t>
      </w:r>
      <w:r w:rsidR="00A954D0" w:rsidRPr="006A368B">
        <w:rPr>
          <w:rFonts w:ascii="Bookman Old Style" w:hAnsi="Bookman Old Style"/>
          <w:sz w:val="24"/>
          <w:szCs w:val="24"/>
          <w:lang w:val="id-ID"/>
        </w:rPr>
        <w:t xml:space="preserve"> </w:t>
      </w:r>
      <w:r w:rsidRPr="006A368B">
        <w:rPr>
          <w:rFonts w:ascii="Bookman Old Style" w:hAnsi="Bookman Old Style"/>
          <w:sz w:val="24"/>
          <w:szCs w:val="24"/>
          <w:lang w:val="id-ID"/>
        </w:rPr>
        <w:t>Nomor</w:t>
      </w:r>
      <w:r w:rsidR="00A954D0" w:rsidRPr="006A368B">
        <w:rPr>
          <w:rFonts w:ascii="Bookman Old Style" w:hAnsi="Bookman Old Style"/>
          <w:sz w:val="24"/>
          <w:szCs w:val="24"/>
          <w:lang w:val="id-ID"/>
        </w:rPr>
        <w:t xml:space="preserve"> </w:t>
      </w:r>
      <w:r w:rsidRPr="006A368B">
        <w:rPr>
          <w:rFonts w:ascii="Bookman Old Style" w:hAnsi="Bookman Old Style"/>
          <w:sz w:val="24"/>
          <w:szCs w:val="24"/>
          <w:lang w:val="id-ID"/>
        </w:rPr>
        <w:t>2</w:t>
      </w:r>
      <w:r w:rsidR="00A954D0" w:rsidRPr="006A368B">
        <w:rPr>
          <w:rFonts w:ascii="Bookman Old Style" w:hAnsi="Bookman Old Style"/>
          <w:sz w:val="24"/>
          <w:szCs w:val="24"/>
          <w:lang w:val="id-ID"/>
        </w:rPr>
        <w:t xml:space="preserve"> </w:t>
      </w:r>
      <w:r w:rsidRPr="006A368B">
        <w:rPr>
          <w:rFonts w:ascii="Bookman Old Style" w:hAnsi="Bookman Old Style"/>
          <w:sz w:val="24"/>
          <w:szCs w:val="24"/>
          <w:lang w:val="id-ID"/>
        </w:rPr>
        <w:t>Tahun</w:t>
      </w:r>
      <w:r w:rsidR="00A954D0" w:rsidRPr="006A368B">
        <w:rPr>
          <w:rFonts w:ascii="Bookman Old Style" w:hAnsi="Bookman Old Style"/>
          <w:sz w:val="24"/>
          <w:szCs w:val="24"/>
          <w:lang w:val="id-ID"/>
        </w:rPr>
        <w:t xml:space="preserve"> </w:t>
      </w:r>
      <w:r w:rsidRPr="006A368B">
        <w:rPr>
          <w:rFonts w:ascii="Bookman Old Style" w:hAnsi="Bookman Old Style"/>
          <w:sz w:val="24"/>
          <w:szCs w:val="24"/>
          <w:lang w:val="id-ID"/>
        </w:rPr>
        <w:t>2024</w:t>
      </w:r>
      <w:r w:rsidR="00A954D0" w:rsidRPr="006A368B">
        <w:rPr>
          <w:rFonts w:ascii="Bookman Old Style" w:hAnsi="Bookman Old Style"/>
          <w:sz w:val="24"/>
          <w:szCs w:val="24"/>
          <w:lang w:val="id-ID"/>
        </w:rPr>
        <w:t xml:space="preserve"> </w:t>
      </w:r>
      <w:r w:rsidRPr="006A368B">
        <w:rPr>
          <w:rFonts w:ascii="Bookman Old Style" w:hAnsi="Bookman Old Style"/>
          <w:sz w:val="24"/>
          <w:szCs w:val="24"/>
          <w:lang w:val="id-ID"/>
        </w:rPr>
        <w:t>tentang</w:t>
      </w:r>
      <w:r w:rsidR="00A954D0" w:rsidRPr="006A368B">
        <w:rPr>
          <w:rFonts w:ascii="Bookman Old Style" w:hAnsi="Bookman Old Style"/>
          <w:sz w:val="24"/>
          <w:szCs w:val="24"/>
          <w:lang w:val="id-ID"/>
        </w:rPr>
        <w:t xml:space="preserve"> </w:t>
      </w:r>
      <w:r w:rsidRPr="006A368B">
        <w:rPr>
          <w:rFonts w:ascii="Bookman Old Style" w:hAnsi="Bookman Old Style"/>
          <w:sz w:val="24"/>
          <w:szCs w:val="24"/>
          <w:lang w:val="id-ID"/>
        </w:rPr>
        <w:t>Pencegahan</w:t>
      </w:r>
      <w:r w:rsidR="00A954D0" w:rsidRPr="006A368B">
        <w:rPr>
          <w:rFonts w:ascii="Bookman Old Style" w:hAnsi="Bookman Old Style"/>
          <w:sz w:val="24"/>
          <w:szCs w:val="24"/>
          <w:lang w:val="id-ID"/>
        </w:rPr>
        <w:t xml:space="preserve"> </w:t>
      </w:r>
      <w:r w:rsidRPr="006A368B">
        <w:rPr>
          <w:rFonts w:ascii="Bookman Old Style" w:hAnsi="Bookman Old Style"/>
          <w:sz w:val="24"/>
          <w:szCs w:val="24"/>
          <w:lang w:val="id-ID"/>
        </w:rPr>
        <w:t>Korupsi</w:t>
      </w:r>
      <w:r w:rsidR="00A954D0" w:rsidRPr="006A368B">
        <w:rPr>
          <w:rFonts w:ascii="Bookman Old Style" w:hAnsi="Bookman Old Style"/>
          <w:sz w:val="24"/>
          <w:szCs w:val="24"/>
          <w:lang w:val="id-ID"/>
        </w:rPr>
        <w:t xml:space="preserve"> </w:t>
      </w:r>
      <w:r w:rsidRPr="006A368B">
        <w:rPr>
          <w:rFonts w:ascii="Bookman Old Style" w:hAnsi="Bookman Old Style"/>
          <w:sz w:val="24"/>
          <w:szCs w:val="24"/>
          <w:lang w:val="id-ID"/>
        </w:rPr>
        <w:t>Terkait</w:t>
      </w:r>
      <w:r w:rsidR="00A954D0" w:rsidRPr="006A368B">
        <w:rPr>
          <w:rFonts w:ascii="Bookman Old Style" w:hAnsi="Bookman Old Style"/>
          <w:sz w:val="24"/>
          <w:szCs w:val="24"/>
          <w:lang w:val="id-ID"/>
        </w:rPr>
        <w:t xml:space="preserve"> </w:t>
      </w:r>
      <w:r w:rsidRPr="006A368B">
        <w:rPr>
          <w:rFonts w:ascii="Bookman Old Style" w:hAnsi="Bookman Old Style"/>
          <w:sz w:val="24"/>
          <w:szCs w:val="24"/>
          <w:lang w:val="id-ID"/>
        </w:rPr>
        <w:t>Proses</w:t>
      </w:r>
      <w:r w:rsidR="00A954D0" w:rsidRPr="006A368B">
        <w:rPr>
          <w:rFonts w:ascii="Bookman Old Style" w:hAnsi="Bookman Old Style"/>
          <w:sz w:val="24"/>
          <w:szCs w:val="24"/>
          <w:lang w:val="id-ID"/>
        </w:rPr>
        <w:t xml:space="preserve"> </w:t>
      </w:r>
      <w:r w:rsidRPr="006A368B">
        <w:rPr>
          <w:rFonts w:ascii="Bookman Old Style" w:hAnsi="Bookman Old Style"/>
          <w:sz w:val="24"/>
          <w:szCs w:val="24"/>
          <w:lang w:val="id-ID"/>
        </w:rPr>
        <w:t>Perencanaan</w:t>
      </w:r>
      <w:r w:rsidR="00A954D0" w:rsidRPr="006A368B">
        <w:rPr>
          <w:rFonts w:ascii="Bookman Old Style" w:hAnsi="Bookman Old Style"/>
          <w:sz w:val="24"/>
          <w:szCs w:val="24"/>
          <w:lang w:val="id-ID"/>
        </w:rPr>
        <w:t xml:space="preserve"> </w:t>
      </w:r>
      <w:r w:rsidRPr="006A368B">
        <w:rPr>
          <w:rFonts w:ascii="Bookman Old Style" w:hAnsi="Bookman Old Style"/>
          <w:sz w:val="24"/>
          <w:szCs w:val="24"/>
          <w:lang w:val="id-ID"/>
        </w:rPr>
        <w:t>dan</w:t>
      </w:r>
      <w:r w:rsidR="00A954D0" w:rsidRPr="006A368B">
        <w:rPr>
          <w:rFonts w:ascii="Bookman Old Style" w:hAnsi="Bookman Old Style"/>
          <w:sz w:val="24"/>
          <w:szCs w:val="24"/>
          <w:lang w:val="id-ID"/>
        </w:rPr>
        <w:t xml:space="preserve"> </w:t>
      </w:r>
      <w:r w:rsidRPr="006A368B">
        <w:rPr>
          <w:rFonts w:ascii="Bookman Old Style" w:hAnsi="Bookman Old Style"/>
          <w:sz w:val="24"/>
          <w:szCs w:val="24"/>
          <w:lang w:val="id-ID"/>
        </w:rPr>
        <w:t>Penganggaran</w:t>
      </w:r>
      <w:r w:rsidR="00A954D0" w:rsidRPr="006A368B">
        <w:rPr>
          <w:rFonts w:ascii="Bookman Old Style" w:hAnsi="Bookman Old Style"/>
          <w:sz w:val="24"/>
          <w:szCs w:val="24"/>
          <w:lang w:val="id-ID"/>
        </w:rPr>
        <w:t xml:space="preserve"> </w:t>
      </w:r>
      <w:r w:rsidRPr="006A368B">
        <w:rPr>
          <w:rFonts w:ascii="Bookman Old Style" w:hAnsi="Bookman Old Style"/>
          <w:sz w:val="24"/>
          <w:szCs w:val="24"/>
          <w:lang w:val="id-ID"/>
        </w:rPr>
        <w:t>APBD</w:t>
      </w:r>
      <w:r w:rsidR="00A954D0" w:rsidRPr="006A368B">
        <w:rPr>
          <w:rFonts w:ascii="Bookman Old Style" w:hAnsi="Bookman Old Style"/>
          <w:sz w:val="24"/>
          <w:szCs w:val="24"/>
          <w:lang w:val="id-ID"/>
        </w:rPr>
        <w:t xml:space="preserve"> </w:t>
      </w:r>
      <w:r w:rsidRPr="006A368B">
        <w:rPr>
          <w:rFonts w:ascii="Bookman Old Style" w:hAnsi="Bookman Old Style"/>
          <w:sz w:val="24"/>
          <w:szCs w:val="24"/>
          <w:lang w:val="id-ID"/>
        </w:rPr>
        <w:t>Tahun</w:t>
      </w:r>
      <w:r w:rsidR="00A954D0" w:rsidRPr="006A368B">
        <w:rPr>
          <w:rFonts w:ascii="Bookman Old Style" w:hAnsi="Bookman Old Style"/>
          <w:sz w:val="24"/>
          <w:szCs w:val="24"/>
          <w:lang w:val="id-ID"/>
        </w:rPr>
        <w:t xml:space="preserve"> </w:t>
      </w:r>
      <w:r w:rsidRPr="006A368B">
        <w:rPr>
          <w:rFonts w:ascii="Bookman Old Style" w:hAnsi="Bookman Old Style"/>
          <w:sz w:val="24"/>
          <w:szCs w:val="24"/>
          <w:lang w:val="id-ID"/>
        </w:rPr>
        <w:t>Anggaran</w:t>
      </w:r>
      <w:r w:rsidR="00A954D0" w:rsidRPr="006A368B">
        <w:rPr>
          <w:rFonts w:ascii="Bookman Old Style" w:hAnsi="Bookman Old Style"/>
          <w:sz w:val="24"/>
          <w:szCs w:val="24"/>
          <w:lang w:val="id-ID"/>
        </w:rPr>
        <w:t xml:space="preserve"> </w:t>
      </w:r>
      <w:r w:rsidRPr="006A368B">
        <w:rPr>
          <w:rFonts w:ascii="Bookman Old Style" w:hAnsi="Bookman Old Style"/>
          <w:sz w:val="24"/>
          <w:szCs w:val="24"/>
          <w:lang w:val="id-ID"/>
        </w:rPr>
        <w:t>2025</w:t>
      </w:r>
      <w:r w:rsidR="00A954D0" w:rsidRPr="006A368B">
        <w:rPr>
          <w:rFonts w:ascii="Bookman Old Style" w:hAnsi="Bookman Old Style"/>
          <w:sz w:val="24"/>
          <w:szCs w:val="24"/>
          <w:lang w:val="id-ID"/>
        </w:rPr>
        <w:t xml:space="preserve"> </w:t>
      </w:r>
      <w:r w:rsidRPr="006A368B">
        <w:rPr>
          <w:rFonts w:ascii="Bookman Old Style" w:hAnsi="Bookman Old Style"/>
          <w:sz w:val="24"/>
          <w:szCs w:val="24"/>
          <w:lang w:val="id-ID"/>
        </w:rPr>
        <w:t>dan</w:t>
      </w:r>
      <w:r w:rsidR="00A954D0" w:rsidRPr="006A368B">
        <w:rPr>
          <w:rFonts w:ascii="Bookman Old Style" w:hAnsi="Bookman Old Style"/>
          <w:sz w:val="24"/>
          <w:szCs w:val="24"/>
          <w:lang w:val="id-ID"/>
        </w:rPr>
        <w:t xml:space="preserve"> </w:t>
      </w:r>
      <w:r w:rsidRPr="006A368B">
        <w:rPr>
          <w:rFonts w:ascii="Bookman Old Style" w:hAnsi="Bookman Old Style"/>
          <w:sz w:val="24"/>
          <w:szCs w:val="24"/>
          <w:lang w:val="id-ID"/>
        </w:rPr>
        <w:t>APBD</w:t>
      </w:r>
      <w:r w:rsidR="00A954D0" w:rsidRPr="006A368B">
        <w:rPr>
          <w:rFonts w:ascii="Bookman Old Style" w:hAnsi="Bookman Old Style"/>
          <w:sz w:val="24"/>
          <w:szCs w:val="24"/>
          <w:lang w:val="id-ID"/>
        </w:rPr>
        <w:t xml:space="preserve"> </w:t>
      </w:r>
      <w:r w:rsidRPr="006A368B">
        <w:rPr>
          <w:rFonts w:ascii="Bookman Old Style" w:hAnsi="Bookman Old Style"/>
          <w:sz w:val="24"/>
          <w:szCs w:val="24"/>
          <w:lang w:val="id-ID"/>
        </w:rPr>
        <w:t>Perubahan</w:t>
      </w:r>
      <w:r w:rsidR="00A954D0" w:rsidRPr="006A368B">
        <w:rPr>
          <w:rFonts w:ascii="Bookman Old Style" w:hAnsi="Bookman Old Style"/>
          <w:sz w:val="24"/>
          <w:szCs w:val="24"/>
          <w:lang w:val="id-ID"/>
        </w:rPr>
        <w:t xml:space="preserve"> </w:t>
      </w:r>
      <w:r w:rsidRPr="006A368B">
        <w:rPr>
          <w:rFonts w:ascii="Bookman Old Style" w:hAnsi="Bookman Old Style"/>
          <w:sz w:val="24"/>
          <w:szCs w:val="24"/>
          <w:lang w:val="id-ID"/>
        </w:rPr>
        <w:t>Tahun</w:t>
      </w:r>
      <w:r w:rsidR="00A954D0" w:rsidRPr="006A368B">
        <w:rPr>
          <w:rFonts w:ascii="Bookman Old Style" w:hAnsi="Bookman Old Style"/>
          <w:sz w:val="24"/>
          <w:szCs w:val="24"/>
          <w:lang w:val="id-ID"/>
        </w:rPr>
        <w:t xml:space="preserve"> </w:t>
      </w:r>
      <w:r w:rsidRPr="006A368B">
        <w:rPr>
          <w:rFonts w:ascii="Bookman Old Style" w:hAnsi="Bookman Old Style"/>
          <w:sz w:val="24"/>
          <w:szCs w:val="24"/>
          <w:lang w:val="id-ID"/>
        </w:rPr>
        <w:t>Anggaran</w:t>
      </w:r>
      <w:r w:rsidR="00A954D0" w:rsidRPr="006A368B">
        <w:rPr>
          <w:rFonts w:ascii="Bookman Old Style" w:hAnsi="Bookman Old Style"/>
          <w:sz w:val="24"/>
          <w:szCs w:val="24"/>
          <w:lang w:val="id-ID"/>
        </w:rPr>
        <w:t xml:space="preserve"> </w:t>
      </w:r>
      <w:r w:rsidRPr="006A368B">
        <w:rPr>
          <w:rFonts w:ascii="Bookman Old Style" w:hAnsi="Bookman Old Style"/>
          <w:sz w:val="24"/>
          <w:szCs w:val="24"/>
          <w:lang w:val="id-ID"/>
        </w:rPr>
        <w:t>2024,</w:t>
      </w:r>
      <w:r w:rsidR="00A954D0" w:rsidRPr="006A368B">
        <w:rPr>
          <w:rFonts w:ascii="Bookman Old Style" w:hAnsi="Bookman Old Style"/>
          <w:sz w:val="24"/>
          <w:szCs w:val="24"/>
          <w:lang w:val="id-ID"/>
        </w:rPr>
        <w:t xml:space="preserve"> </w:t>
      </w:r>
      <w:r w:rsidRPr="006A368B">
        <w:rPr>
          <w:rFonts w:ascii="Bookman Old Style" w:hAnsi="Bookman Old Style"/>
          <w:sz w:val="24"/>
          <w:szCs w:val="24"/>
        </w:rPr>
        <w:t>kecuali</w:t>
      </w:r>
      <w:r w:rsidR="00A954D0" w:rsidRPr="006A368B">
        <w:rPr>
          <w:rFonts w:ascii="Bookman Old Style" w:hAnsi="Bookman Old Style"/>
          <w:sz w:val="24"/>
          <w:szCs w:val="24"/>
        </w:rPr>
        <w:t xml:space="preserve"> </w:t>
      </w:r>
      <w:r w:rsidRPr="006A368B">
        <w:rPr>
          <w:rFonts w:ascii="Bookman Old Style" w:hAnsi="Bookman Old Style"/>
          <w:sz w:val="24"/>
          <w:szCs w:val="24"/>
        </w:rPr>
        <w:t>ditentukan</w:t>
      </w:r>
      <w:r w:rsidR="00A954D0" w:rsidRPr="006A368B">
        <w:rPr>
          <w:rFonts w:ascii="Bookman Old Style" w:hAnsi="Bookman Old Style"/>
          <w:sz w:val="24"/>
          <w:szCs w:val="24"/>
        </w:rPr>
        <w:t xml:space="preserve"> </w:t>
      </w:r>
      <w:r w:rsidRPr="006A368B">
        <w:rPr>
          <w:rFonts w:ascii="Bookman Old Style" w:hAnsi="Bookman Old Style"/>
          <w:sz w:val="24"/>
          <w:szCs w:val="24"/>
        </w:rPr>
        <w:t>lain</w:t>
      </w:r>
      <w:r w:rsidR="00A954D0" w:rsidRPr="006A368B">
        <w:rPr>
          <w:rFonts w:ascii="Bookman Old Style" w:hAnsi="Bookman Old Style"/>
          <w:sz w:val="24"/>
          <w:szCs w:val="24"/>
        </w:rPr>
        <w:t xml:space="preserve"> </w:t>
      </w:r>
      <w:r w:rsidRPr="006A368B">
        <w:rPr>
          <w:rFonts w:ascii="Bookman Old Style" w:hAnsi="Bookman Old Style"/>
          <w:sz w:val="24"/>
          <w:szCs w:val="24"/>
        </w:rPr>
        <w:t>oleh</w:t>
      </w:r>
      <w:r w:rsidR="00A954D0" w:rsidRPr="006A368B">
        <w:rPr>
          <w:rFonts w:ascii="Bookman Old Style" w:hAnsi="Bookman Old Style"/>
          <w:sz w:val="24"/>
          <w:szCs w:val="24"/>
          <w:lang w:val="id-ID"/>
        </w:rPr>
        <w:t xml:space="preserve"> </w:t>
      </w:r>
      <w:r w:rsidRPr="006A368B">
        <w:rPr>
          <w:rFonts w:ascii="Bookman Old Style" w:hAnsi="Bookman Old Style"/>
          <w:sz w:val="24"/>
          <w:szCs w:val="24"/>
          <w:lang w:val="id-ID"/>
        </w:rPr>
        <w:t>ketentuan</w:t>
      </w:r>
      <w:r w:rsidR="00A954D0" w:rsidRPr="006A368B">
        <w:rPr>
          <w:rFonts w:ascii="Bookman Old Style" w:hAnsi="Bookman Old Style"/>
          <w:sz w:val="24"/>
          <w:szCs w:val="24"/>
        </w:rPr>
        <w:t xml:space="preserve"> </w:t>
      </w:r>
      <w:r w:rsidRPr="006A368B">
        <w:rPr>
          <w:rFonts w:ascii="Bookman Old Style" w:hAnsi="Bookman Old Style"/>
          <w:sz w:val="24"/>
          <w:szCs w:val="24"/>
        </w:rPr>
        <w:t>peraturan</w:t>
      </w:r>
      <w:r w:rsidR="00A954D0" w:rsidRPr="006A368B">
        <w:rPr>
          <w:rFonts w:ascii="Bookman Old Style" w:hAnsi="Bookman Old Style"/>
          <w:sz w:val="24"/>
          <w:szCs w:val="24"/>
        </w:rPr>
        <w:t xml:space="preserve"> </w:t>
      </w:r>
      <w:r w:rsidRPr="006A368B">
        <w:rPr>
          <w:rFonts w:ascii="Bookman Old Style" w:hAnsi="Bookman Old Style"/>
          <w:sz w:val="24"/>
          <w:szCs w:val="24"/>
        </w:rPr>
        <w:t>perundang-undangan</w:t>
      </w:r>
      <w:r w:rsidRPr="006A368B">
        <w:rPr>
          <w:rFonts w:ascii="Bookman Old Style" w:hAnsi="Bookman Old Style"/>
          <w:sz w:val="24"/>
          <w:szCs w:val="24"/>
          <w:lang w:val="id-ID"/>
        </w:rPr>
        <w:t>.</w:t>
      </w:r>
    </w:p>
    <w:p w14:paraId="7EA885CA" w14:textId="4E1790C3" w:rsidR="004C3CE0" w:rsidRPr="003255BC" w:rsidRDefault="004C3CE0" w:rsidP="006A368B">
      <w:pPr>
        <w:pStyle w:val="ListParagraph"/>
        <w:spacing w:before="60" w:after="0" w:line="276" w:lineRule="auto"/>
        <w:ind w:left="1701"/>
        <w:contextualSpacing w:val="0"/>
        <w:jc w:val="both"/>
        <w:rPr>
          <w:rFonts w:ascii="Bookman Old Style" w:hAnsi="Bookman Old Style"/>
          <w:sz w:val="24"/>
          <w:szCs w:val="24"/>
          <w:lang w:val="id-ID"/>
        </w:rPr>
      </w:pPr>
      <w:r w:rsidRPr="006A368B">
        <w:rPr>
          <w:rFonts w:ascii="Bookman Old Style" w:hAnsi="Bookman Old Style" w:cs="Arial"/>
          <w:sz w:val="24"/>
          <w:szCs w:val="24"/>
          <w:lang w:val="id-ID"/>
        </w:rPr>
        <w:t>Selanjutnya</w:t>
      </w:r>
      <w:r w:rsidRPr="006A368B">
        <w:rPr>
          <w:rFonts w:ascii="Bookman Old Style" w:hAnsi="Bookman Old Style"/>
          <w:sz w:val="24"/>
          <w:szCs w:val="24"/>
        </w:rPr>
        <w:t>,</w:t>
      </w:r>
      <w:r w:rsidR="00A954D0" w:rsidRPr="006A368B">
        <w:rPr>
          <w:rFonts w:ascii="Bookman Old Style" w:hAnsi="Bookman Old Style"/>
          <w:sz w:val="24"/>
          <w:szCs w:val="24"/>
        </w:rPr>
        <w:t xml:space="preserve"> </w:t>
      </w:r>
      <w:r w:rsidRPr="006A368B">
        <w:rPr>
          <w:rFonts w:ascii="Bookman Old Style" w:hAnsi="Bookman Old Style"/>
          <w:sz w:val="24"/>
          <w:szCs w:val="24"/>
        </w:rPr>
        <w:t>dalam</w:t>
      </w:r>
      <w:r w:rsidR="00A954D0" w:rsidRPr="006A368B">
        <w:rPr>
          <w:rFonts w:ascii="Bookman Old Style" w:hAnsi="Bookman Old Style"/>
          <w:sz w:val="24"/>
          <w:szCs w:val="24"/>
        </w:rPr>
        <w:t xml:space="preserve"> </w:t>
      </w:r>
      <w:r w:rsidRPr="006A368B">
        <w:rPr>
          <w:rFonts w:ascii="Bookman Old Style" w:hAnsi="Bookman Old Style"/>
          <w:sz w:val="24"/>
          <w:szCs w:val="24"/>
        </w:rPr>
        <w:t>hal</w:t>
      </w:r>
      <w:r w:rsidR="00A954D0" w:rsidRPr="006A368B">
        <w:rPr>
          <w:rFonts w:ascii="Bookman Old Style" w:hAnsi="Bookman Old Style"/>
          <w:sz w:val="24"/>
          <w:szCs w:val="24"/>
        </w:rPr>
        <w:t xml:space="preserve"> </w:t>
      </w:r>
      <w:r w:rsidRPr="006A368B">
        <w:rPr>
          <w:rFonts w:ascii="Bookman Old Style" w:hAnsi="Bookman Old Style"/>
          <w:sz w:val="24"/>
          <w:szCs w:val="24"/>
        </w:rPr>
        <w:t>Pemerintah</w:t>
      </w:r>
      <w:r w:rsidR="00A954D0" w:rsidRPr="006A368B">
        <w:rPr>
          <w:rFonts w:ascii="Bookman Old Style" w:hAnsi="Bookman Old Style"/>
          <w:sz w:val="24"/>
          <w:szCs w:val="24"/>
        </w:rPr>
        <w:t xml:space="preserve"> </w:t>
      </w:r>
      <w:r w:rsidRPr="006A368B">
        <w:rPr>
          <w:rFonts w:ascii="Bookman Old Style" w:hAnsi="Bookman Old Style"/>
          <w:sz w:val="24"/>
          <w:szCs w:val="24"/>
        </w:rPr>
        <w:t>Daerah</w:t>
      </w:r>
      <w:r w:rsidR="00A954D0" w:rsidRPr="006A368B">
        <w:rPr>
          <w:rFonts w:ascii="Bookman Old Style" w:hAnsi="Bookman Old Style"/>
          <w:sz w:val="24"/>
          <w:szCs w:val="24"/>
        </w:rPr>
        <w:t xml:space="preserve"> </w:t>
      </w:r>
      <w:r w:rsidRPr="006A368B">
        <w:rPr>
          <w:rFonts w:ascii="Bookman Old Style" w:hAnsi="Bookman Old Style"/>
          <w:sz w:val="24"/>
          <w:szCs w:val="24"/>
        </w:rPr>
        <w:t>Kota</w:t>
      </w:r>
      <w:r w:rsidR="00A954D0" w:rsidRPr="006A368B">
        <w:rPr>
          <w:rFonts w:ascii="Bookman Old Style" w:hAnsi="Bookman Old Style"/>
          <w:sz w:val="24"/>
          <w:szCs w:val="24"/>
        </w:rPr>
        <w:t xml:space="preserve"> </w:t>
      </w:r>
      <w:r w:rsidR="00770F22" w:rsidRPr="006A368B">
        <w:rPr>
          <w:rFonts w:ascii="Bookman Old Style" w:hAnsi="Bookman Old Style"/>
          <w:sz w:val="24"/>
          <w:szCs w:val="24"/>
        </w:rPr>
        <w:t>Tangerang</w:t>
      </w:r>
      <w:r w:rsidR="00A954D0" w:rsidRPr="006A368B">
        <w:rPr>
          <w:rFonts w:ascii="Bookman Old Style" w:hAnsi="Bookman Old Style"/>
          <w:sz w:val="24"/>
          <w:szCs w:val="24"/>
        </w:rPr>
        <w:t xml:space="preserve"> </w:t>
      </w:r>
      <w:r w:rsidRPr="006A368B">
        <w:rPr>
          <w:rFonts w:ascii="Bookman Old Style" w:hAnsi="Bookman Old Style"/>
          <w:sz w:val="24"/>
          <w:szCs w:val="24"/>
        </w:rPr>
        <w:t>belum</w:t>
      </w:r>
      <w:r w:rsidR="00A954D0" w:rsidRPr="006A368B">
        <w:rPr>
          <w:rFonts w:ascii="Bookman Old Style" w:hAnsi="Bookman Old Style"/>
          <w:sz w:val="24"/>
          <w:szCs w:val="24"/>
        </w:rPr>
        <w:t xml:space="preserve"> </w:t>
      </w:r>
      <w:r w:rsidRPr="006A368B">
        <w:rPr>
          <w:rFonts w:ascii="Bookman Old Style" w:hAnsi="Bookman Old Style"/>
          <w:sz w:val="24"/>
          <w:szCs w:val="24"/>
        </w:rPr>
        <w:t>memprioritaskan</w:t>
      </w:r>
      <w:r w:rsidR="00A954D0" w:rsidRPr="006A368B">
        <w:rPr>
          <w:rFonts w:ascii="Bookman Old Style" w:hAnsi="Bookman Old Style"/>
          <w:sz w:val="24"/>
          <w:szCs w:val="24"/>
        </w:rPr>
        <w:t xml:space="preserve"> </w:t>
      </w:r>
      <w:r w:rsidRPr="006A368B">
        <w:rPr>
          <w:rFonts w:ascii="Bookman Old Style" w:hAnsi="Bookman Old Style"/>
          <w:sz w:val="24"/>
          <w:szCs w:val="24"/>
        </w:rPr>
        <w:t>pemenuhan</w:t>
      </w:r>
      <w:r w:rsidR="00A954D0" w:rsidRPr="006A368B">
        <w:rPr>
          <w:rFonts w:ascii="Bookman Old Style" w:hAnsi="Bookman Old Style"/>
          <w:sz w:val="24"/>
          <w:szCs w:val="24"/>
        </w:rPr>
        <w:t xml:space="preserve"> </w:t>
      </w:r>
      <w:r w:rsidRPr="006A368B">
        <w:rPr>
          <w:rFonts w:ascii="Bookman Old Style" w:hAnsi="Bookman Old Style"/>
          <w:sz w:val="24"/>
          <w:szCs w:val="24"/>
        </w:rPr>
        <w:t>belanja</w:t>
      </w:r>
      <w:r w:rsidR="00A954D0">
        <w:rPr>
          <w:rFonts w:ascii="Bookman Old Style" w:hAnsi="Bookman Old Style"/>
          <w:sz w:val="24"/>
          <w:szCs w:val="24"/>
        </w:rPr>
        <w:t xml:space="preserve"> </w:t>
      </w:r>
      <w:r w:rsidRPr="008174DB">
        <w:rPr>
          <w:rFonts w:ascii="Bookman Old Style" w:hAnsi="Bookman Old Style"/>
          <w:sz w:val="24"/>
          <w:szCs w:val="24"/>
        </w:rPr>
        <w:t>untuk</w:t>
      </w:r>
      <w:r w:rsidR="00A954D0">
        <w:rPr>
          <w:rFonts w:ascii="Bookman Old Style" w:hAnsi="Bookman Old Style"/>
          <w:sz w:val="24"/>
          <w:szCs w:val="24"/>
        </w:rPr>
        <w:t xml:space="preserve"> </w:t>
      </w:r>
      <w:r w:rsidRPr="008174DB">
        <w:rPr>
          <w:rFonts w:ascii="Bookman Old Style" w:hAnsi="Bookman Old Style"/>
          <w:sz w:val="24"/>
          <w:szCs w:val="24"/>
        </w:rPr>
        <w:t>mendanai</w:t>
      </w:r>
      <w:r w:rsidR="00A954D0">
        <w:rPr>
          <w:rFonts w:ascii="Bookman Old Style" w:hAnsi="Bookman Old Style"/>
          <w:sz w:val="24"/>
          <w:szCs w:val="24"/>
        </w:rPr>
        <w:t xml:space="preserve"> </w:t>
      </w:r>
      <w:r w:rsidRPr="008174DB">
        <w:rPr>
          <w:rFonts w:ascii="Bookman Old Style" w:hAnsi="Bookman Old Style"/>
          <w:sz w:val="24"/>
          <w:szCs w:val="24"/>
        </w:rPr>
        <w:t>urusan</w:t>
      </w:r>
      <w:r w:rsidR="00A954D0">
        <w:rPr>
          <w:rFonts w:ascii="Bookman Old Style" w:hAnsi="Bookman Old Style"/>
          <w:sz w:val="24"/>
          <w:szCs w:val="24"/>
        </w:rPr>
        <w:t xml:space="preserve"> </w:t>
      </w:r>
      <w:r w:rsidRPr="008174DB">
        <w:rPr>
          <w:rFonts w:ascii="Bookman Old Style" w:hAnsi="Bookman Old Style"/>
          <w:sz w:val="24"/>
          <w:szCs w:val="24"/>
        </w:rPr>
        <w:t>Pemerintahan</w:t>
      </w:r>
      <w:r w:rsidR="00A954D0">
        <w:rPr>
          <w:rFonts w:ascii="Bookman Old Style" w:hAnsi="Bookman Old Style"/>
          <w:sz w:val="24"/>
          <w:szCs w:val="24"/>
        </w:rPr>
        <w:t xml:space="preserve"> </w:t>
      </w:r>
      <w:r w:rsidRPr="008174DB">
        <w:rPr>
          <w:rFonts w:ascii="Bookman Old Style" w:hAnsi="Bookman Old Style"/>
          <w:sz w:val="24"/>
          <w:szCs w:val="24"/>
        </w:rPr>
        <w:t>Wajib</w:t>
      </w:r>
      <w:r w:rsidR="00A954D0">
        <w:rPr>
          <w:rFonts w:ascii="Bookman Old Style" w:hAnsi="Bookman Old Style"/>
          <w:sz w:val="24"/>
          <w:szCs w:val="24"/>
        </w:rPr>
        <w:t xml:space="preserve"> </w:t>
      </w:r>
      <w:r w:rsidRPr="008174DB">
        <w:rPr>
          <w:rFonts w:ascii="Bookman Old Style" w:hAnsi="Bookman Old Style"/>
          <w:sz w:val="24"/>
          <w:szCs w:val="24"/>
        </w:rPr>
        <w:t>dan</w:t>
      </w:r>
      <w:r w:rsidR="00A954D0">
        <w:rPr>
          <w:rFonts w:ascii="Bookman Old Style" w:hAnsi="Bookman Old Style"/>
          <w:sz w:val="24"/>
          <w:szCs w:val="24"/>
        </w:rPr>
        <w:t xml:space="preserve"> </w:t>
      </w:r>
      <w:r w:rsidRPr="008174DB">
        <w:rPr>
          <w:rFonts w:ascii="Bookman Old Style" w:hAnsi="Bookman Old Style"/>
          <w:sz w:val="24"/>
          <w:szCs w:val="24"/>
        </w:rPr>
        <w:t>Urusan</w:t>
      </w:r>
      <w:r w:rsidR="00A954D0">
        <w:rPr>
          <w:rFonts w:ascii="Bookman Old Style" w:hAnsi="Bookman Old Style"/>
          <w:sz w:val="24"/>
          <w:szCs w:val="24"/>
        </w:rPr>
        <w:t xml:space="preserve"> </w:t>
      </w:r>
      <w:r w:rsidRPr="008174DB">
        <w:rPr>
          <w:rFonts w:ascii="Bookman Old Style" w:hAnsi="Bookman Old Style"/>
          <w:sz w:val="24"/>
          <w:szCs w:val="24"/>
        </w:rPr>
        <w:t>Pemerintahan</w:t>
      </w:r>
      <w:r w:rsidR="00A954D0">
        <w:rPr>
          <w:rFonts w:ascii="Bookman Old Style" w:hAnsi="Bookman Old Style"/>
          <w:sz w:val="24"/>
          <w:szCs w:val="24"/>
        </w:rPr>
        <w:t xml:space="preserve"> </w:t>
      </w:r>
      <w:r w:rsidRPr="008174DB">
        <w:rPr>
          <w:rFonts w:ascii="Bookman Old Style" w:hAnsi="Bookman Old Style"/>
          <w:sz w:val="24"/>
          <w:szCs w:val="24"/>
        </w:rPr>
        <w:t>Pilihan</w:t>
      </w:r>
      <w:r w:rsidR="00A954D0">
        <w:rPr>
          <w:rFonts w:ascii="Bookman Old Style" w:hAnsi="Bookman Old Style"/>
          <w:sz w:val="24"/>
          <w:szCs w:val="24"/>
          <w:lang w:val="id-ID"/>
        </w:rPr>
        <w:t xml:space="preserve"> </w:t>
      </w:r>
      <w:r w:rsidRPr="008174DB">
        <w:rPr>
          <w:rFonts w:ascii="Bookman Old Style" w:hAnsi="Bookman Old Style"/>
          <w:sz w:val="24"/>
          <w:szCs w:val="24"/>
          <w:lang w:val="id-ID"/>
        </w:rPr>
        <w:t>sesuai</w:t>
      </w:r>
      <w:r w:rsidR="00A954D0">
        <w:rPr>
          <w:rFonts w:ascii="Bookman Old Style" w:hAnsi="Bookman Old Style"/>
          <w:sz w:val="24"/>
          <w:szCs w:val="24"/>
          <w:lang w:val="id-ID"/>
        </w:rPr>
        <w:t xml:space="preserve"> </w:t>
      </w:r>
      <w:r w:rsidRPr="008174DB">
        <w:rPr>
          <w:rFonts w:ascii="Bookman Old Style" w:hAnsi="Bookman Old Style"/>
          <w:sz w:val="24"/>
          <w:szCs w:val="24"/>
          <w:lang w:val="id-ID"/>
        </w:rPr>
        <w:t>dengan</w:t>
      </w:r>
      <w:r w:rsidR="00A954D0">
        <w:rPr>
          <w:rFonts w:ascii="Bookman Old Style" w:hAnsi="Bookman Old Style"/>
          <w:sz w:val="24"/>
          <w:szCs w:val="24"/>
          <w:lang w:val="id-ID"/>
        </w:rPr>
        <w:t xml:space="preserve"> </w:t>
      </w:r>
      <w:r w:rsidRPr="008174DB">
        <w:rPr>
          <w:rFonts w:ascii="Bookman Old Style" w:hAnsi="Bookman Old Style"/>
          <w:sz w:val="24"/>
          <w:szCs w:val="24"/>
          <w:lang w:val="id-ID"/>
        </w:rPr>
        <w:t>ketentuan</w:t>
      </w:r>
      <w:r w:rsidR="00A954D0">
        <w:rPr>
          <w:rFonts w:ascii="Bookman Old Style" w:hAnsi="Bookman Old Style"/>
          <w:sz w:val="24"/>
          <w:szCs w:val="24"/>
          <w:lang w:val="id-ID"/>
        </w:rPr>
        <w:t xml:space="preserve"> </w:t>
      </w:r>
      <w:r w:rsidRPr="008174DB">
        <w:rPr>
          <w:rFonts w:ascii="Bookman Old Style" w:hAnsi="Bookman Old Style"/>
          <w:sz w:val="24"/>
          <w:szCs w:val="24"/>
        </w:rPr>
        <w:t>peraturan</w:t>
      </w:r>
      <w:r w:rsidR="00A954D0">
        <w:rPr>
          <w:rFonts w:ascii="Bookman Old Style" w:hAnsi="Bookman Old Style"/>
          <w:sz w:val="24"/>
          <w:szCs w:val="24"/>
        </w:rPr>
        <w:t xml:space="preserve"> </w:t>
      </w:r>
      <w:r w:rsidRPr="008174DB">
        <w:rPr>
          <w:rFonts w:ascii="Bookman Old Style" w:hAnsi="Bookman Old Style"/>
          <w:sz w:val="24"/>
          <w:szCs w:val="24"/>
        </w:rPr>
        <w:t>perundang-undangan</w:t>
      </w:r>
      <w:r w:rsidR="00A954D0">
        <w:rPr>
          <w:rFonts w:ascii="Bookman Old Style" w:hAnsi="Bookman Old Style"/>
          <w:sz w:val="24"/>
          <w:szCs w:val="24"/>
        </w:rPr>
        <w:t xml:space="preserve"> </w:t>
      </w:r>
      <w:r w:rsidRPr="008174DB">
        <w:rPr>
          <w:rFonts w:ascii="Bookman Old Style" w:hAnsi="Bookman Old Style"/>
          <w:sz w:val="24"/>
          <w:szCs w:val="24"/>
          <w:lang w:val="id-ID"/>
        </w:rPr>
        <w:t>yang</w:t>
      </w:r>
      <w:r w:rsidR="00A954D0">
        <w:rPr>
          <w:rFonts w:ascii="Bookman Old Style" w:hAnsi="Bookman Old Style"/>
          <w:sz w:val="24"/>
          <w:szCs w:val="24"/>
          <w:lang w:val="id-ID"/>
        </w:rPr>
        <w:t xml:space="preserve"> </w:t>
      </w:r>
      <w:r w:rsidRPr="008174DB">
        <w:rPr>
          <w:rFonts w:ascii="Bookman Old Style" w:hAnsi="Bookman Old Style"/>
          <w:sz w:val="24"/>
          <w:szCs w:val="24"/>
          <w:lang w:val="id-ID"/>
        </w:rPr>
        <w:t>menjadi</w:t>
      </w:r>
      <w:r w:rsidR="00A954D0">
        <w:rPr>
          <w:rFonts w:ascii="Bookman Old Style" w:hAnsi="Bookman Old Style"/>
          <w:sz w:val="24"/>
          <w:szCs w:val="24"/>
        </w:rPr>
        <w:t xml:space="preserve"> </w:t>
      </w:r>
      <w:r w:rsidRPr="008174DB">
        <w:rPr>
          <w:rFonts w:ascii="Bookman Old Style" w:hAnsi="Bookman Old Style"/>
          <w:sz w:val="24"/>
          <w:szCs w:val="24"/>
        </w:rPr>
        <w:t>kewenangan</w:t>
      </w:r>
      <w:r w:rsidR="00A954D0">
        <w:rPr>
          <w:rFonts w:ascii="Bookman Old Style" w:hAnsi="Bookman Old Style"/>
          <w:sz w:val="24"/>
          <w:szCs w:val="24"/>
        </w:rPr>
        <w:t xml:space="preserve"> </w:t>
      </w:r>
      <w:r w:rsidRPr="008174DB">
        <w:rPr>
          <w:rFonts w:ascii="Bookman Old Style" w:hAnsi="Bookman Old Style"/>
          <w:sz w:val="24"/>
          <w:szCs w:val="24"/>
        </w:rPr>
        <w:t>Pemerintah</w:t>
      </w:r>
      <w:r w:rsidR="00A954D0">
        <w:rPr>
          <w:rFonts w:ascii="Bookman Old Style" w:hAnsi="Bookman Old Style"/>
          <w:sz w:val="24"/>
          <w:szCs w:val="24"/>
        </w:rPr>
        <w:t xml:space="preserve"> </w:t>
      </w:r>
      <w:r w:rsidRPr="008174DB">
        <w:rPr>
          <w:rFonts w:ascii="Bookman Old Style" w:hAnsi="Bookman Old Style"/>
          <w:sz w:val="24"/>
          <w:szCs w:val="24"/>
        </w:rPr>
        <w:t>Daerah</w:t>
      </w:r>
      <w:r w:rsidR="00A954D0">
        <w:rPr>
          <w:rFonts w:ascii="Bookman Old Style" w:hAnsi="Bookman Old Style"/>
          <w:sz w:val="24"/>
          <w:szCs w:val="24"/>
        </w:rPr>
        <w:t xml:space="preserve"> </w:t>
      </w:r>
      <w:r w:rsidRPr="008174DB">
        <w:rPr>
          <w:rFonts w:ascii="Bookman Old Style" w:hAnsi="Bookman Old Style"/>
          <w:sz w:val="24"/>
          <w:szCs w:val="24"/>
        </w:rPr>
        <w:t>Kota</w:t>
      </w:r>
      <w:r w:rsidR="00A954D0">
        <w:rPr>
          <w:rFonts w:ascii="Bookman Old Style" w:hAnsi="Bookman Old Style"/>
          <w:sz w:val="24"/>
          <w:szCs w:val="24"/>
        </w:rPr>
        <w:t xml:space="preserve"> </w:t>
      </w:r>
      <w:r w:rsidR="00770F22" w:rsidRPr="008174DB">
        <w:rPr>
          <w:rFonts w:ascii="Bookman Old Style" w:hAnsi="Bookman Old Style"/>
          <w:sz w:val="24"/>
          <w:szCs w:val="24"/>
        </w:rPr>
        <w:t>Tangerang</w:t>
      </w:r>
      <w:r w:rsidR="00A954D0">
        <w:rPr>
          <w:rFonts w:ascii="Bookman Old Style" w:hAnsi="Bookman Old Style"/>
          <w:sz w:val="24"/>
          <w:szCs w:val="24"/>
          <w:lang w:val="id-ID"/>
        </w:rPr>
        <w:t xml:space="preserve"> </w:t>
      </w:r>
      <w:r w:rsidRPr="008174DB">
        <w:rPr>
          <w:rFonts w:ascii="Bookman Old Style" w:hAnsi="Bookman Old Style"/>
          <w:sz w:val="24"/>
          <w:szCs w:val="24"/>
          <w:lang w:val="id-ID"/>
        </w:rPr>
        <w:t>urusan</w:t>
      </w:r>
      <w:r w:rsidR="00A954D0">
        <w:rPr>
          <w:rFonts w:ascii="Bookman Old Style" w:hAnsi="Bookman Old Style"/>
          <w:sz w:val="24"/>
          <w:szCs w:val="24"/>
          <w:lang w:val="id-ID"/>
        </w:rPr>
        <w:t xml:space="preserve"> </w:t>
      </w:r>
      <w:r w:rsidRPr="008174DB">
        <w:rPr>
          <w:rFonts w:ascii="Bookman Old Style" w:hAnsi="Bookman Old Style"/>
          <w:sz w:val="24"/>
          <w:szCs w:val="24"/>
          <w:lang w:val="id-ID"/>
        </w:rPr>
        <w:t>Pemerintahan</w:t>
      </w:r>
      <w:r w:rsidR="00A954D0">
        <w:rPr>
          <w:rFonts w:ascii="Bookman Old Style" w:hAnsi="Bookman Old Style"/>
          <w:sz w:val="24"/>
          <w:szCs w:val="24"/>
          <w:lang w:val="id-ID"/>
        </w:rPr>
        <w:t xml:space="preserve"> </w:t>
      </w:r>
      <w:r w:rsidRPr="008174DB">
        <w:rPr>
          <w:rFonts w:ascii="Bookman Old Style" w:hAnsi="Bookman Old Style"/>
          <w:sz w:val="24"/>
          <w:szCs w:val="24"/>
          <w:lang w:val="id-ID"/>
        </w:rPr>
        <w:t>Wajib</w:t>
      </w:r>
      <w:r w:rsidR="00A954D0">
        <w:rPr>
          <w:rFonts w:ascii="Bookman Old Style" w:hAnsi="Bookman Old Style"/>
          <w:sz w:val="24"/>
          <w:szCs w:val="24"/>
          <w:lang w:val="id-ID"/>
        </w:rPr>
        <w:t xml:space="preserve"> </w:t>
      </w:r>
      <w:r w:rsidRPr="008174DB">
        <w:rPr>
          <w:rFonts w:ascii="Bookman Old Style" w:hAnsi="Bookman Old Style"/>
          <w:sz w:val="24"/>
          <w:szCs w:val="24"/>
          <w:lang w:val="id-ID"/>
        </w:rPr>
        <w:t>berupa</w:t>
      </w:r>
      <w:r w:rsidR="00A954D0">
        <w:rPr>
          <w:rFonts w:ascii="Bookman Old Style" w:hAnsi="Bookman Old Style"/>
          <w:sz w:val="24"/>
          <w:szCs w:val="24"/>
          <w:lang w:val="id-ID"/>
        </w:rPr>
        <w:t xml:space="preserve"> </w:t>
      </w:r>
      <w:r w:rsidRPr="008174DB">
        <w:rPr>
          <w:rFonts w:ascii="Bookman Old Style" w:hAnsi="Bookman Old Style"/>
          <w:sz w:val="24"/>
          <w:szCs w:val="24"/>
          <w:lang w:val="id-ID"/>
        </w:rPr>
        <w:t>pemenuhan</w:t>
      </w:r>
      <w:r w:rsidR="00A954D0">
        <w:rPr>
          <w:rFonts w:ascii="Bookman Old Style" w:hAnsi="Bookman Old Style"/>
          <w:sz w:val="24"/>
          <w:szCs w:val="24"/>
          <w:lang w:val="id-ID"/>
        </w:rPr>
        <w:t xml:space="preserve"> </w:t>
      </w:r>
      <w:r w:rsidRPr="008174DB">
        <w:rPr>
          <w:rFonts w:ascii="Bookman Old Style" w:hAnsi="Bookman Old Style"/>
          <w:sz w:val="24"/>
          <w:szCs w:val="24"/>
          <w:lang w:val="id-ID"/>
        </w:rPr>
        <w:t>SPM</w:t>
      </w:r>
      <w:r w:rsidR="00A954D0">
        <w:rPr>
          <w:rFonts w:ascii="Bookman Old Style" w:hAnsi="Bookman Old Style"/>
          <w:sz w:val="24"/>
          <w:szCs w:val="24"/>
        </w:rPr>
        <w:t xml:space="preserve"> </w:t>
      </w:r>
      <w:r w:rsidRPr="008174DB">
        <w:rPr>
          <w:rFonts w:ascii="Bookman Old Style" w:hAnsi="Bookman Old Style"/>
          <w:sz w:val="24"/>
          <w:szCs w:val="24"/>
        </w:rPr>
        <w:t>serta</w:t>
      </w:r>
      <w:r w:rsidR="00A954D0">
        <w:rPr>
          <w:rFonts w:ascii="Bookman Old Style" w:hAnsi="Bookman Old Style"/>
          <w:sz w:val="24"/>
          <w:szCs w:val="24"/>
        </w:rPr>
        <w:t xml:space="preserve"> </w:t>
      </w:r>
      <w:r w:rsidRPr="008174DB">
        <w:rPr>
          <w:rFonts w:ascii="Bookman Old Style" w:hAnsi="Bookman Old Style"/>
          <w:sz w:val="24"/>
          <w:szCs w:val="24"/>
        </w:rPr>
        <w:t>untuk</w:t>
      </w:r>
      <w:r w:rsidR="00A954D0">
        <w:rPr>
          <w:rFonts w:ascii="Bookman Old Style" w:hAnsi="Bookman Old Style"/>
          <w:sz w:val="24"/>
          <w:szCs w:val="24"/>
        </w:rPr>
        <w:t xml:space="preserve"> </w:t>
      </w:r>
      <w:r w:rsidRPr="008174DB">
        <w:rPr>
          <w:rFonts w:ascii="Bookman Old Style" w:hAnsi="Bookman Old Style"/>
          <w:sz w:val="24"/>
          <w:szCs w:val="24"/>
        </w:rPr>
        <w:t>mendanai</w:t>
      </w:r>
      <w:r w:rsidR="00A954D0">
        <w:rPr>
          <w:rFonts w:ascii="Bookman Old Style" w:hAnsi="Bookman Old Style"/>
          <w:sz w:val="24"/>
          <w:szCs w:val="24"/>
        </w:rPr>
        <w:t xml:space="preserve"> </w:t>
      </w:r>
      <w:r w:rsidRPr="008174DB">
        <w:rPr>
          <w:rFonts w:ascii="Bookman Old Style" w:hAnsi="Bookman Old Style"/>
          <w:sz w:val="24"/>
          <w:szCs w:val="24"/>
        </w:rPr>
        <w:t>program,</w:t>
      </w:r>
      <w:r w:rsidR="00A954D0">
        <w:rPr>
          <w:rFonts w:ascii="Bookman Old Style" w:hAnsi="Bookman Old Style"/>
          <w:sz w:val="24"/>
          <w:szCs w:val="24"/>
        </w:rPr>
        <w:t xml:space="preserve"> </w:t>
      </w:r>
      <w:r w:rsidRPr="008174DB">
        <w:rPr>
          <w:rFonts w:ascii="Bookman Old Style" w:hAnsi="Bookman Old Style"/>
          <w:sz w:val="24"/>
          <w:szCs w:val="24"/>
        </w:rPr>
        <w:t>kegiatan</w:t>
      </w:r>
      <w:r w:rsidR="00A954D0">
        <w:rPr>
          <w:rFonts w:ascii="Bookman Old Style" w:hAnsi="Bookman Old Style"/>
          <w:sz w:val="24"/>
          <w:szCs w:val="24"/>
        </w:rPr>
        <w:t xml:space="preserve"> </w:t>
      </w:r>
      <w:r w:rsidRPr="008174DB">
        <w:rPr>
          <w:rFonts w:ascii="Bookman Old Style" w:hAnsi="Bookman Old Style"/>
          <w:sz w:val="24"/>
          <w:szCs w:val="24"/>
        </w:rPr>
        <w:t>dan</w:t>
      </w:r>
      <w:r w:rsidR="00A954D0">
        <w:rPr>
          <w:rFonts w:ascii="Bookman Old Style" w:hAnsi="Bookman Old Style"/>
          <w:sz w:val="24"/>
          <w:szCs w:val="24"/>
        </w:rPr>
        <w:t xml:space="preserve"> </w:t>
      </w:r>
      <w:r w:rsidRPr="008174DB">
        <w:rPr>
          <w:rFonts w:ascii="Bookman Old Style" w:hAnsi="Bookman Old Style"/>
          <w:sz w:val="24"/>
          <w:szCs w:val="24"/>
        </w:rPr>
        <w:t>sub</w:t>
      </w:r>
      <w:r w:rsidR="00A954D0">
        <w:rPr>
          <w:rFonts w:ascii="Bookman Old Style" w:hAnsi="Bookman Old Style"/>
          <w:sz w:val="24"/>
          <w:szCs w:val="24"/>
        </w:rPr>
        <w:t xml:space="preserve"> </w:t>
      </w:r>
      <w:r w:rsidRPr="008174DB">
        <w:rPr>
          <w:rFonts w:ascii="Bookman Old Style" w:hAnsi="Bookman Old Style"/>
          <w:sz w:val="24"/>
          <w:szCs w:val="24"/>
        </w:rPr>
        <w:t>kegiatan</w:t>
      </w:r>
      <w:r w:rsidR="00A954D0">
        <w:rPr>
          <w:rFonts w:ascii="Bookman Old Style" w:hAnsi="Bookman Old Style"/>
          <w:sz w:val="24"/>
          <w:szCs w:val="24"/>
        </w:rPr>
        <w:t xml:space="preserve"> </w:t>
      </w:r>
      <w:r w:rsidRPr="008174DB">
        <w:rPr>
          <w:rFonts w:ascii="Bookman Old Style" w:hAnsi="Bookman Old Style"/>
          <w:sz w:val="24"/>
          <w:szCs w:val="24"/>
        </w:rPr>
        <w:t>prioritas</w:t>
      </w:r>
      <w:r w:rsidR="00A954D0">
        <w:rPr>
          <w:rFonts w:ascii="Bookman Old Style" w:hAnsi="Bookman Old Style"/>
          <w:sz w:val="24"/>
          <w:szCs w:val="24"/>
        </w:rPr>
        <w:t xml:space="preserve"> </w:t>
      </w:r>
      <w:r w:rsidRPr="008174DB">
        <w:rPr>
          <w:rFonts w:ascii="Bookman Old Style" w:hAnsi="Bookman Old Style"/>
          <w:sz w:val="24"/>
          <w:szCs w:val="24"/>
        </w:rPr>
        <w:t>yang</w:t>
      </w:r>
      <w:r w:rsidR="00A954D0">
        <w:rPr>
          <w:rFonts w:ascii="Bookman Old Style" w:hAnsi="Bookman Old Style"/>
          <w:sz w:val="24"/>
          <w:szCs w:val="24"/>
        </w:rPr>
        <w:t xml:space="preserve"> </w:t>
      </w:r>
      <w:r w:rsidRPr="008174DB">
        <w:rPr>
          <w:rFonts w:ascii="Bookman Old Style" w:hAnsi="Bookman Old Style"/>
          <w:sz w:val="24"/>
          <w:szCs w:val="24"/>
        </w:rPr>
        <w:t>terkait</w:t>
      </w:r>
      <w:r w:rsidR="00A954D0">
        <w:rPr>
          <w:rFonts w:ascii="Bookman Old Style" w:hAnsi="Bookman Old Style"/>
          <w:sz w:val="24"/>
          <w:szCs w:val="24"/>
        </w:rPr>
        <w:t xml:space="preserve"> </w:t>
      </w:r>
      <w:r w:rsidRPr="008174DB">
        <w:rPr>
          <w:rFonts w:ascii="Bookman Old Style" w:hAnsi="Bookman Old Style"/>
          <w:sz w:val="24"/>
          <w:szCs w:val="24"/>
        </w:rPr>
        <w:t>langsung</w:t>
      </w:r>
      <w:r w:rsidR="00A954D0">
        <w:rPr>
          <w:rFonts w:ascii="Bookman Old Style" w:hAnsi="Bookman Old Style"/>
          <w:sz w:val="24"/>
          <w:szCs w:val="24"/>
        </w:rPr>
        <w:t xml:space="preserve"> </w:t>
      </w:r>
      <w:r w:rsidRPr="008174DB">
        <w:rPr>
          <w:rFonts w:ascii="Bookman Old Style" w:hAnsi="Bookman Old Style"/>
          <w:sz w:val="24"/>
          <w:szCs w:val="24"/>
        </w:rPr>
        <w:t>dengan</w:t>
      </w:r>
      <w:r w:rsidR="00A954D0">
        <w:rPr>
          <w:rFonts w:ascii="Bookman Old Style" w:hAnsi="Bookman Old Style"/>
          <w:sz w:val="24"/>
          <w:szCs w:val="24"/>
        </w:rPr>
        <w:t xml:space="preserve"> </w:t>
      </w:r>
      <w:r w:rsidRPr="008174DB">
        <w:rPr>
          <w:rFonts w:ascii="Bookman Old Style" w:hAnsi="Bookman Old Style"/>
          <w:sz w:val="24"/>
          <w:szCs w:val="24"/>
        </w:rPr>
        <w:t>pelayanan</w:t>
      </w:r>
      <w:r w:rsidR="00A954D0">
        <w:rPr>
          <w:rFonts w:ascii="Bookman Old Style" w:hAnsi="Bookman Old Style"/>
          <w:sz w:val="24"/>
          <w:szCs w:val="24"/>
        </w:rPr>
        <w:t xml:space="preserve"> </w:t>
      </w:r>
      <w:r w:rsidRPr="008174DB">
        <w:rPr>
          <w:rFonts w:ascii="Bookman Old Style" w:hAnsi="Bookman Old Style"/>
          <w:sz w:val="24"/>
          <w:szCs w:val="24"/>
        </w:rPr>
        <w:t>dasar</w:t>
      </w:r>
      <w:r w:rsidR="00A954D0">
        <w:rPr>
          <w:rFonts w:ascii="Bookman Old Style" w:hAnsi="Bookman Old Style"/>
          <w:sz w:val="24"/>
          <w:szCs w:val="24"/>
        </w:rPr>
        <w:t xml:space="preserve"> </w:t>
      </w:r>
      <w:r w:rsidRPr="008174DB">
        <w:rPr>
          <w:rFonts w:ascii="Bookman Old Style" w:hAnsi="Bookman Old Style"/>
          <w:sz w:val="24"/>
          <w:szCs w:val="24"/>
        </w:rPr>
        <w:t>masyarakat</w:t>
      </w:r>
      <w:r w:rsidR="00A954D0">
        <w:rPr>
          <w:rFonts w:ascii="Bookman Old Style" w:hAnsi="Bookman Old Style"/>
          <w:sz w:val="24"/>
          <w:szCs w:val="24"/>
        </w:rPr>
        <w:t xml:space="preserve"> </w:t>
      </w:r>
      <w:r w:rsidRPr="008174DB">
        <w:rPr>
          <w:rFonts w:ascii="Bookman Old Style" w:hAnsi="Bookman Old Style"/>
          <w:sz w:val="24"/>
          <w:szCs w:val="24"/>
        </w:rPr>
        <w:t>dimaksud</w:t>
      </w:r>
      <w:r w:rsidRPr="008174DB">
        <w:rPr>
          <w:rFonts w:ascii="Bookman Old Style" w:hAnsi="Bookman Old Style"/>
          <w:sz w:val="24"/>
          <w:szCs w:val="24"/>
          <w:lang w:val="id-ID"/>
        </w:rPr>
        <w:t>,</w:t>
      </w:r>
      <w:r w:rsidR="00A954D0">
        <w:rPr>
          <w:rFonts w:ascii="Bookman Old Style" w:hAnsi="Bookman Old Style"/>
          <w:sz w:val="24"/>
          <w:szCs w:val="24"/>
        </w:rPr>
        <w:t xml:space="preserve"> </w:t>
      </w:r>
      <w:r w:rsidRPr="008174DB">
        <w:rPr>
          <w:rFonts w:ascii="Bookman Old Style" w:hAnsi="Bookman Old Style"/>
          <w:sz w:val="24"/>
          <w:szCs w:val="24"/>
        </w:rPr>
        <w:t>penyediaan</w:t>
      </w:r>
      <w:r w:rsidR="00A954D0">
        <w:rPr>
          <w:rFonts w:ascii="Bookman Old Style" w:hAnsi="Bookman Old Style"/>
          <w:sz w:val="24"/>
          <w:szCs w:val="24"/>
        </w:rPr>
        <w:t xml:space="preserve"> </w:t>
      </w:r>
      <w:r w:rsidRPr="008174DB">
        <w:rPr>
          <w:rFonts w:ascii="Bookman Old Style" w:hAnsi="Bookman Old Style"/>
          <w:sz w:val="24"/>
          <w:szCs w:val="24"/>
          <w:lang w:val="id-ID"/>
        </w:rPr>
        <w:t>anggaran</w:t>
      </w:r>
      <w:r w:rsidR="00A954D0">
        <w:rPr>
          <w:rFonts w:ascii="Bookman Old Style" w:hAnsi="Bookman Old Style"/>
          <w:sz w:val="24"/>
          <w:szCs w:val="24"/>
        </w:rPr>
        <w:t xml:space="preserve"> </w:t>
      </w:r>
      <w:r w:rsidRPr="008174DB">
        <w:rPr>
          <w:rFonts w:ascii="Bookman Old Style" w:hAnsi="Bookman Old Style"/>
          <w:sz w:val="24"/>
          <w:szCs w:val="24"/>
        </w:rPr>
        <w:t>belanja</w:t>
      </w:r>
      <w:r w:rsidR="00A954D0">
        <w:rPr>
          <w:rFonts w:ascii="Bookman Old Style" w:hAnsi="Bookman Old Style"/>
          <w:sz w:val="24"/>
          <w:szCs w:val="24"/>
        </w:rPr>
        <w:t xml:space="preserve"> </w:t>
      </w:r>
      <w:r w:rsidRPr="008174DB">
        <w:rPr>
          <w:rFonts w:ascii="Bookman Old Style" w:hAnsi="Bookman Old Style"/>
          <w:sz w:val="24"/>
          <w:szCs w:val="24"/>
        </w:rPr>
        <w:t>hibah</w:t>
      </w:r>
      <w:r w:rsidR="00A954D0">
        <w:rPr>
          <w:rFonts w:ascii="Bookman Old Style" w:hAnsi="Bookman Old Style"/>
          <w:sz w:val="24"/>
          <w:szCs w:val="24"/>
        </w:rPr>
        <w:t xml:space="preserve"> </w:t>
      </w:r>
      <w:r w:rsidRPr="008174DB">
        <w:rPr>
          <w:rFonts w:ascii="Bookman Old Style" w:hAnsi="Bookman Old Style"/>
          <w:sz w:val="24"/>
          <w:szCs w:val="24"/>
        </w:rPr>
        <w:t>dialihkan</w:t>
      </w:r>
      <w:r w:rsidR="00A954D0">
        <w:rPr>
          <w:rFonts w:ascii="Bookman Old Style" w:hAnsi="Bookman Old Style"/>
          <w:sz w:val="24"/>
          <w:szCs w:val="24"/>
        </w:rPr>
        <w:t xml:space="preserve"> </w:t>
      </w:r>
      <w:r w:rsidRPr="008174DB">
        <w:rPr>
          <w:rFonts w:ascii="Bookman Old Style" w:hAnsi="Bookman Old Style"/>
          <w:sz w:val="24"/>
          <w:szCs w:val="24"/>
        </w:rPr>
        <w:t>untuk</w:t>
      </w:r>
      <w:r w:rsidR="00A954D0">
        <w:rPr>
          <w:rFonts w:ascii="Bookman Old Style" w:hAnsi="Bookman Old Style"/>
          <w:sz w:val="24"/>
          <w:szCs w:val="24"/>
        </w:rPr>
        <w:t xml:space="preserve"> </w:t>
      </w:r>
      <w:r w:rsidRPr="008174DB">
        <w:rPr>
          <w:rFonts w:ascii="Bookman Old Style" w:hAnsi="Bookman Old Style"/>
          <w:sz w:val="24"/>
          <w:szCs w:val="24"/>
          <w:lang w:val="id-ID"/>
        </w:rPr>
        <w:t>mendanai</w:t>
      </w:r>
      <w:r w:rsidRPr="003255BC">
        <w:rPr>
          <w:rFonts w:ascii="Bookman Old Style" w:hAnsi="Bookman Old Style"/>
          <w:sz w:val="24"/>
          <w:szCs w:val="24"/>
          <w:lang w:val="id-ID"/>
        </w:rPr>
        <w:t>:</w:t>
      </w:r>
    </w:p>
    <w:p w14:paraId="22218401" w14:textId="37E3A414" w:rsidR="004C3CE0" w:rsidRPr="003255BC" w:rsidRDefault="004C3CE0" w:rsidP="006A368B">
      <w:pPr>
        <w:pStyle w:val="ListParagraph"/>
        <w:numPr>
          <w:ilvl w:val="0"/>
          <w:numId w:val="159"/>
        </w:numPr>
        <w:spacing w:before="60" w:after="0" w:line="276" w:lineRule="auto"/>
        <w:ind w:left="2268" w:hanging="567"/>
        <w:contextualSpacing w:val="0"/>
        <w:jc w:val="both"/>
        <w:rPr>
          <w:rFonts w:ascii="Bookman Old Style" w:hAnsi="Bookman Old Style"/>
          <w:sz w:val="24"/>
          <w:szCs w:val="24"/>
          <w:lang w:val="id-ID"/>
        </w:rPr>
      </w:pPr>
      <w:r w:rsidRPr="008174DB">
        <w:rPr>
          <w:rFonts w:ascii="Bookman Old Style" w:hAnsi="Bookman Old Style"/>
          <w:sz w:val="24"/>
          <w:szCs w:val="24"/>
          <w:lang w:val="id-ID"/>
        </w:rPr>
        <w:t>program,</w:t>
      </w:r>
      <w:r w:rsidR="00A954D0">
        <w:rPr>
          <w:rFonts w:ascii="Bookman Old Style" w:hAnsi="Bookman Old Style"/>
          <w:sz w:val="24"/>
          <w:szCs w:val="24"/>
          <w:lang w:val="id-ID"/>
        </w:rPr>
        <w:t xml:space="preserve"> </w:t>
      </w:r>
      <w:r w:rsidRPr="008174DB">
        <w:rPr>
          <w:rFonts w:ascii="Bookman Old Style" w:hAnsi="Bookman Old Style"/>
          <w:sz w:val="24"/>
          <w:szCs w:val="24"/>
          <w:lang w:val="id-ID"/>
        </w:rPr>
        <w:t>kegiatan</w:t>
      </w:r>
      <w:r w:rsidR="00A954D0">
        <w:rPr>
          <w:rFonts w:ascii="Bookman Old Style" w:hAnsi="Bookman Old Style"/>
          <w:sz w:val="24"/>
          <w:szCs w:val="24"/>
          <w:lang w:val="id-ID"/>
        </w:rPr>
        <w:t xml:space="preserve"> </w:t>
      </w:r>
      <w:r w:rsidRPr="008174DB">
        <w:rPr>
          <w:rFonts w:ascii="Bookman Old Style" w:hAnsi="Bookman Old Style"/>
          <w:sz w:val="24"/>
          <w:szCs w:val="24"/>
          <w:lang w:val="id-ID"/>
        </w:rPr>
        <w:t>dan</w:t>
      </w:r>
      <w:r w:rsidR="00A954D0">
        <w:rPr>
          <w:rFonts w:ascii="Bookman Old Style" w:hAnsi="Bookman Old Style"/>
          <w:sz w:val="24"/>
          <w:szCs w:val="24"/>
          <w:lang w:val="id-ID"/>
        </w:rPr>
        <w:t xml:space="preserve"> </w:t>
      </w:r>
      <w:r w:rsidRPr="008174DB">
        <w:rPr>
          <w:rFonts w:ascii="Bookman Old Style" w:hAnsi="Bookman Old Style"/>
          <w:sz w:val="24"/>
          <w:szCs w:val="24"/>
          <w:lang w:val="id-ID"/>
        </w:rPr>
        <w:t>sub</w:t>
      </w:r>
      <w:r w:rsidR="00A954D0">
        <w:rPr>
          <w:rFonts w:ascii="Bookman Old Style" w:hAnsi="Bookman Old Style"/>
          <w:sz w:val="24"/>
          <w:szCs w:val="24"/>
          <w:lang w:val="id-ID"/>
        </w:rPr>
        <w:t xml:space="preserve"> </w:t>
      </w:r>
      <w:r w:rsidRPr="008174DB">
        <w:rPr>
          <w:rFonts w:ascii="Bookman Old Style" w:hAnsi="Bookman Old Style"/>
          <w:sz w:val="24"/>
          <w:szCs w:val="24"/>
          <w:lang w:val="id-ID"/>
        </w:rPr>
        <w:t>kegiatan</w:t>
      </w:r>
      <w:r w:rsidR="00A954D0">
        <w:rPr>
          <w:rFonts w:ascii="Bookman Old Style" w:hAnsi="Bookman Old Style"/>
          <w:sz w:val="24"/>
          <w:szCs w:val="24"/>
          <w:lang w:val="id-ID"/>
        </w:rPr>
        <w:t xml:space="preserve"> </w:t>
      </w:r>
      <w:r w:rsidRPr="008174DB">
        <w:rPr>
          <w:rFonts w:ascii="Bookman Old Style" w:hAnsi="Bookman Old Style"/>
          <w:sz w:val="24"/>
          <w:szCs w:val="24"/>
          <w:lang w:val="id-ID"/>
        </w:rPr>
        <w:t>prioritas</w:t>
      </w:r>
      <w:r w:rsidR="00A954D0">
        <w:rPr>
          <w:rFonts w:ascii="Bookman Old Style" w:hAnsi="Bookman Old Style"/>
          <w:sz w:val="24"/>
          <w:szCs w:val="24"/>
          <w:lang w:val="id-ID"/>
        </w:rPr>
        <w:t xml:space="preserve"> </w:t>
      </w:r>
      <w:r w:rsidRPr="008174DB">
        <w:rPr>
          <w:rFonts w:ascii="Bookman Old Style" w:hAnsi="Bookman Old Style"/>
          <w:sz w:val="24"/>
          <w:szCs w:val="24"/>
          <w:lang w:val="id-ID"/>
        </w:rPr>
        <w:t>sebagaimana</w:t>
      </w:r>
      <w:r w:rsidR="00A954D0">
        <w:rPr>
          <w:rFonts w:ascii="Bookman Old Style" w:hAnsi="Bookman Old Style"/>
          <w:sz w:val="24"/>
          <w:szCs w:val="24"/>
          <w:lang w:val="id-ID"/>
        </w:rPr>
        <w:t xml:space="preserve"> </w:t>
      </w:r>
      <w:r w:rsidRPr="008174DB">
        <w:rPr>
          <w:rFonts w:ascii="Bookman Old Style" w:hAnsi="Bookman Old Style"/>
          <w:sz w:val="24"/>
          <w:szCs w:val="24"/>
          <w:lang w:val="id-ID"/>
        </w:rPr>
        <w:t>tercantum</w:t>
      </w:r>
      <w:r w:rsidR="00A954D0">
        <w:rPr>
          <w:rFonts w:ascii="Bookman Old Style" w:hAnsi="Bookman Old Style"/>
          <w:sz w:val="24"/>
          <w:szCs w:val="24"/>
          <w:lang w:val="id-ID"/>
        </w:rPr>
        <w:t xml:space="preserve"> </w:t>
      </w:r>
      <w:r w:rsidRPr="008174DB">
        <w:rPr>
          <w:rFonts w:ascii="Bookman Old Style" w:hAnsi="Bookman Old Style"/>
          <w:sz w:val="24"/>
          <w:szCs w:val="24"/>
          <w:lang w:val="id-ID"/>
        </w:rPr>
        <w:t>dalam</w:t>
      </w:r>
      <w:r w:rsidR="00A954D0">
        <w:rPr>
          <w:rFonts w:ascii="Bookman Old Style" w:hAnsi="Bookman Old Style"/>
          <w:sz w:val="24"/>
          <w:szCs w:val="24"/>
          <w:lang w:val="id-ID"/>
        </w:rPr>
        <w:t xml:space="preserve"> </w:t>
      </w:r>
      <w:r w:rsidRPr="008174DB">
        <w:rPr>
          <w:rFonts w:ascii="Bookman Old Style" w:hAnsi="Bookman Old Style"/>
          <w:sz w:val="24"/>
          <w:szCs w:val="24"/>
          <w:lang w:val="id-ID"/>
        </w:rPr>
        <w:t>RKPD,</w:t>
      </w:r>
      <w:r w:rsidR="00A954D0">
        <w:rPr>
          <w:rFonts w:ascii="Bookman Old Style" w:hAnsi="Bookman Old Style"/>
          <w:sz w:val="24"/>
          <w:szCs w:val="24"/>
          <w:lang w:val="id-ID"/>
        </w:rPr>
        <w:t xml:space="preserve"> </w:t>
      </w:r>
      <w:r w:rsidRPr="008174DB">
        <w:rPr>
          <w:rFonts w:ascii="Bookman Old Style" w:hAnsi="Bookman Old Style"/>
          <w:sz w:val="24"/>
          <w:szCs w:val="24"/>
          <w:lang w:val="id-ID"/>
        </w:rPr>
        <w:t>KUA</w:t>
      </w:r>
      <w:r w:rsidR="00A954D0">
        <w:rPr>
          <w:rFonts w:ascii="Bookman Old Style" w:hAnsi="Bookman Old Style"/>
          <w:sz w:val="24"/>
          <w:szCs w:val="24"/>
          <w:lang w:val="id-ID"/>
        </w:rPr>
        <w:t xml:space="preserve"> </w:t>
      </w:r>
      <w:r w:rsidRPr="008174DB">
        <w:rPr>
          <w:rFonts w:ascii="Bookman Old Style" w:hAnsi="Bookman Old Style"/>
          <w:sz w:val="24"/>
          <w:szCs w:val="24"/>
          <w:lang w:val="id-ID"/>
        </w:rPr>
        <w:t>dan</w:t>
      </w:r>
      <w:r w:rsidR="00A954D0">
        <w:rPr>
          <w:rFonts w:ascii="Bookman Old Style" w:hAnsi="Bookman Old Style"/>
          <w:sz w:val="24"/>
          <w:szCs w:val="24"/>
          <w:lang w:val="id-ID"/>
        </w:rPr>
        <w:t xml:space="preserve"> </w:t>
      </w:r>
      <w:r w:rsidRPr="008174DB">
        <w:rPr>
          <w:rFonts w:ascii="Bookman Old Style" w:hAnsi="Bookman Old Style"/>
          <w:sz w:val="24"/>
          <w:szCs w:val="24"/>
          <w:lang w:val="id-ID"/>
        </w:rPr>
        <w:t>PPAS</w:t>
      </w:r>
      <w:r w:rsidR="00A954D0">
        <w:rPr>
          <w:rFonts w:ascii="Bookman Old Style" w:hAnsi="Bookman Old Style"/>
          <w:sz w:val="24"/>
          <w:szCs w:val="24"/>
          <w:lang w:val="id-ID"/>
        </w:rPr>
        <w:t xml:space="preserve"> </w:t>
      </w:r>
      <w:r w:rsidRPr="008174DB">
        <w:rPr>
          <w:rFonts w:ascii="Bookman Old Style" w:hAnsi="Bookman Old Style"/>
          <w:sz w:val="24"/>
          <w:szCs w:val="24"/>
          <w:lang w:val="id-ID"/>
        </w:rPr>
        <w:t>yang</w:t>
      </w:r>
      <w:r w:rsidR="00A954D0">
        <w:rPr>
          <w:rFonts w:ascii="Bookman Old Style" w:hAnsi="Bookman Old Style"/>
          <w:sz w:val="24"/>
          <w:szCs w:val="24"/>
          <w:lang w:val="id-ID"/>
        </w:rPr>
        <w:t xml:space="preserve"> </w:t>
      </w:r>
      <w:r w:rsidRPr="008174DB">
        <w:rPr>
          <w:rFonts w:ascii="Bookman Old Style" w:hAnsi="Bookman Old Style"/>
          <w:sz w:val="24"/>
          <w:szCs w:val="24"/>
          <w:lang w:val="id-ID"/>
        </w:rPr>
        <w:t>menunjang</w:t>
      </w:r>
      <w:r w:rsidR="00A954D0">
        <w:rPr>
          <w:rFonts w:ascii="Bookman Old Style" w:hAnsi="Bookman Old Style"/>
          <w:sz w:val="24"/>
          <w:szCs w:val="24"/>
          <w:lang w:val="id-ID"/>
        </w:rPr>
        <w:t xml:space="preserve"> </w:t>
      </w:r>
      <w:r w:rsidRPr="008174DB">
        <w:rPr>
          <w:rFonts w:ascii="Bookman Old Style" w:hAnsi="Bookman Old Style"/>
          <w:sz w:val="24"/>
          <w:szCs w:val="24"/>
          <w:lang w:val="id-ID"/>
        </w:rPr>
        <w:t>pencapaian</w:t>
      </w:r>
      <w:r w:rsidR="00A954D0">
        <w:rPr>
          <w:rFonts w:ascii="Bookman Old Style" w:hAnsi="Bookman Old Style"/>
          <w:sz w:val="24"/>
          <w:szCs w:val="24"/>
          <w:lang w:val="id-ID"/>
        </w:rPr>
        <w:t xml:space="preserve"> </w:t>
      </w:r>
      <w:r w:rsidRPr="008174DB">
        <w:rPr>
          <w:rFonts w:ascii="Bookman Old Style" w:hAnsi="Bookman Old Style"/>
          <w:sz w:val="24"/>
          <w:szCs w:val="24"/>
          <w:lang w:val="id-ID"/>
        </w:rPr>
        <w:t>17</w:t>
      </w:r>
      <w:r w:rsidR="00A954D0">
        <w:rPr>
          <w:rFonts w:ascii="Bookman Old Style" w:hAnsi="Bookman Old Style"/>
          <w:sz w:val="24"/>
          <w:szCs w:val="24"/>
          <w:lang w:val="id-ID"/>
        </w:rPr>
        <w:t xml:space="preserve"> </w:t>
      </w:r>
      <w:r w:rsidRPr="008174DB">
        <w:rPr>
          <w:rFonts w:ascii="Bookman Old Style" w:hAnsi="Bookman Old Style"/>
          <w:sz w:val="24"/>
          <w:szCs w:val="24"/>
          <w:lang w:val="id-ID"/>
        </w:rPr>
        <w:t>(tujuh</w:t>
      </w:r>
      <w:r w:rsidR="00A954D0">
        <w:rPr>
          <w:rFonts w:ascii="Bookman Old Style" w:hAnsi="Bookman Old Style"/>
          <w:sz w:val="24"/>
          <w:szCs w:val="24"/>
          <w:lang w:val="id-ID"/>
        </w:rPr>
        <w:t xml:space="preserve"> </w:t>
      </w:r>
      <w:r w:rsidRPr="008174DB">
        <w:rPr>
          <w:rFonts w:ascii="Bookman Old Style" w:hAnsi="Bookman Old Style"/>
          <w:sz w:val="24"/>
          <w:szCs w:val="24"/>
          <w:lang w:val="id-ID"/>
        </w:rPr>
        <w:t>belas)</w:t>
      </w:r>
      <w:r w:rsidR="00A954D0">
        <w:rPr>
          <w:rFonts w:ascii="Bookman Old Style" w:hAnsi="Bookman Old Style"/>
          <w:sz w:val="24"/>
          <w:szCs w:val="24"/>
          <w:lang w:val="id-ID"/>
        </w:rPr>
        <w:t xml:space="preserve"> </w:t>
      </w:r>
      <w:r w:rsidRPr="008174DB">
        <w:rPr>
          <w:rFonts w:ascii="Bookman Old Style" w:hAnsi="Bookman Old Style"/>
          <w:sz w:val="24"/>
          <w:szCs w:val="24"/>
          <w:lang w:val="id-ID"/>
        </w:rPr>
        <w:t>Program</w:t>
      </w:r>
      <w:r w:rsidR="00A954D0">
        <w:rPr>
          <w:rFonts w:ascii="Bookman Old Style" w:hAnsi="Bookman Old Style"/>
          <w:sz w:val="24"/>
          <w:szCs w:val="24"/>
          <w:lang w:val="id-ID"/>
        </w:rPr>
        <w:t xml:space="preserve"> </w:t>
      </w:r>
      <w:r w:rsidRPr="008174DB">
        <w:rPr>
          <w:rFonts w:ascii="Bookman Old Style" w:hAnsi="Bookman Old Style"/>
          <w:sz w:val="24"/>
          <w:szCs w:val="24"/>
          <w:lang w:val="id-ID"/>
        </w:rPr>
        <w:lastRenderedPageBreak/>
        <w:t>Prioritas</w:t>
      </w:r>
      <w:r w:rsidR="00A954D0">
        <w:rPr>
          <w:rFonts w:ascii="Bookman Old Style" w:hAnsi="Bookman Old Style"/>
          <w:sz w:val="24"/>
          <w:szCs w:val="24"/>
          <w:lang w:val="id-ID"/>
        </w:rPr>
        <w:t xml:space="preserve"> </w:t>
      </w:r>
      <w:r w:rsidRPr="008174DB">
        <w:rPr>
          <w:rFonts w:ascii="Bookman Old Style" w:hAnsi="Bookman Old Style"/>
          <w:sz w:val="24"/>
          <w:szCs w:val="24"/>
          <w:lang w:val="id-ID"/>
        </w:rPr>
        <w:t>dan</w:t>
      </w:r>
      <w:r w:rsidR="00A954D0">
        <w:rPr>
          <w:rFonts w:ascii="Bookman Old Style" w:hAnsi="Bookman Old Style"/>
          <w:sz w:val="24"/>
          <w:szCs w:val="24"/>
          <w:lang w:val="id-ID"/>
        </w:rPr>
        <w:t xml:space="preserve"> </w:t>
      </w:r>
      <w:r w:rsidRPr="008174DB">
        <w:rPr>
          <w:rFonts w:ascii="Bookman Old Style" w:hAnsi="Bookman Old Style"/>
          <w:sz w:val="24"/>
          <w:szCs w:val="24"/>
          <w:lang w:val="id-ID"/>
        </w:rPr>
        <w:t>8</w:t>
      </w:r>
      <w:r w:rsidR="00A954D0">
        <w:rPr>
          <w:rFonts w:ascii="Bookman Old Style" w:hAnsi="Bookman Old Style"/>
          <w:sz w:val="24"/>
          <w:szCs w:val="24"/>
          <w:lang w:val="id-ID"/>
        </w:rPr>
        <w:t xml:space="preserve"> </w:t>
      </w:r>
      <w:r w:rsidRPr="008174DB">
        <w:rPr>
          <w:rFonts w:ascii="Bookman Old Style" w:hAnsi="Bookman Old Style"/>
          <w:sz w:val="24"/>
          <w:szCs w:val="24"/>
          <w:lang w:val="id-ID"/>
        </w:rPr>
        <w:t>(delapan)</w:t>
      </w:r>
      <w:r w:rsidR="00A954D0">
        <w:rPr>
          <w:rFonts w:ascii="Bookman Old Style" w:hAnsi="Bookman Old Style"/>
          <w:sz w:val="24"/>
          <w:szCs w:val="24"/>
          <w:lang w:val="id-ID"/>
        </w:rPr>
        <w:t xml:space="preserve"> </w:t>
      </w:r>
      <w:r w:rsidRPr="008174DB">
        <w:rPr>
          <w:rFonts w:ascii="Bookman Old Style" w:hAnsi="Bookman Old Style"/>
          <w:sz w:val="24"/>
          <w:szCs w:val="24"/>
          <w:lang w:val="id-ID"/>
        </w:rPr>
        <w:t>misi</w:t>
      </w:r>
      <w:r w:rsidR="00A954D0">
        <w:rPr>
          <w:rFonts w:ascii="Bookman Old Style" w:hAnsi="Bookman Old Style"/>
          <w:sz w:val="24"/>
          <w:szCs w:val="24"/>
          <w:lang w:val="id-ID"/>
        </w:rPr>
        <w:t xml:space="preserve"> </w:t>
      </w:r>
      <w:r w:rsidRPr="008174DB">
        <w:rPr>
          <w:rFonts w:ascii="Bookman Old Style" w:hAnsi="Bookman Old Style"/>
          <w:sz w:val="24"/>
          <w:szCs w:val="24"/>
          <w:lang w:val="id-ID"/>
        </w:rPr>
        <w:t>atau</w:t>
      </w:r>
      <w:r w:rsidR="00A954D0">
        <w:rPr>
          <w:rFonts w:ascii="Bookman Old Style" w:hAnsi="Bookman Old Style"/>
          <w:sz w:val="24"/>
          <w:szCs w:val="24"/>
          <w:lang w:val="id-ID"/>
        </w:rPr>
        <w:t xml:space="preserve"> </w:t>
      </w:r>
      <w:r w:rsidRPr="008174DB">
        <w:rPr>
          <w:rFonts w:ascii="Bookman Old Style" w:hAnsi="Bookman Old Style"/>
          <w:sz w:val="24"/>
          <w:szCs w:val="24"/>
          <w:lang w:val="id-ID"/>
        </w:rPr>
        <w:t>Asta</w:t>
      </w:r>
      <w:r w:rsidR="00A954D0">
        <w:rPr>
          <w:rFonts w:ascii="Bookman Old Style" w:hAnsi="Bookman Old Style"/>
          <w:sz w:val="24"/>
          <w:szCs w:val="24"/>
          <w:lang w:val="id-ID"/>
        </w:rPr>
        <w:t xml:space="preserve"> </w:t>
      </w:r>
      <w:r w:rsidRPr="008174DB">
        <w:rPr>
          <w:rFonts w:ascii="Bookman Old Style" w:hAnsi="Bookman Old Style"/>
          <w:sz w:val="24"/>
          <w:szCs w:val="24"/>
          <w:lang w:val="id-ID"/>
        </w:rPr>
        <w:t>Cita,</w:t>
      </w:r>
      <w:r w:rsidR="00A954D0">
        <w:rPr>
          <w:rFonts w:ascii="Bookman Old Style" w:hAnsi="Bookman Old Style"/>
          <w:sz w:val="24"/>
          <w:szCs w:val="24"/>
          <w:lang w:val="id-ID"/>
        </w:rPr>
        <w:t xml:space="preserve"> </w:t>
      </w:r>
      <w:r w:rsidRPr="008174DB">
        <w:rPr>
          <w:rFonts w:ascii="Bookman Old Style" w:hAnsi="Bookman Old Style"/>
          <w:sz w:val="24"/>
          <w:szCs w:val="24"/>
        </w:rPr>
        <w:t>Prioritas</w:t>
      </w:r>
      <w:r w:rsidR="00A954D0">
        <w:rPr>
          <w:rFonts w:ascii="Bookman Old Style" w:hAnsi="Bookman Old Style"/>
          <w:sz w:val="24"/>
          <w:szCs w:val="24"/>
        </w:rPr>
        <w:t xml:space="preserve"> </w:t>
      </w:r>
      <w:r w:rsidRPr="008174DB">
        <w:rPr>
          <w:rFonts w:ascii="Bookman Old Style" w:hAnsi="Bookman Old Style"/>
          <w:sz w:val="24"/>
          <w:szCs w:val="24"/>
        </w:rPr>
        <w:t>Pembangunan</w:t>
      </w:r>
      <w:r w:rsidR="00A954D0">
        <w:rPr>
          <w:rFonts w:ascii="Bookman Old Style" w:hAnsi="Bookman Old Style"/>
          <w:sz w:val="24"/>
          <w:szCs w:val="24"/>
        </w:rPr>
        <w:t xml:space="preserve"> </w:t>
      </w:r>
      <w:r w:rsidRPr="008174DB">
        <w:rPr>
          <w:rFonts w:ascii="Bookman Old Style" w:hAnsi="Bookman Old Style"/>
          <w:sz w:val="24"/>
          <w:szCs w:val="24"/>
        </w:rPr>
        <w:t>Nasional</w:t>
      </w:r>
      <w:r w:rsidR="00A954D0">
        <w:rPr>
          <w:rFonts w:ascii="Bookman Old Style" w:hAnsi="Bookman Old Style"/>
          <w:sz w:val="24"/>
          <w:szCs w:val="24"/>
        </w:rPr>
        <w:t xml:space="preserve"> </w:t>
      </w:r>
      <w:r w:rsidRPr="008174DB">
        <w:rPr>
          <w:rFonts w:ascii="Bookman Old Style" w:hAnsi="Bookman Old Style"/>
          <w:sz w:val="24"/>
          <w:szCs w:val="24"/>
        </w:rPr>
        <w:t>Tahun</w:t>
      </w:r>
      <w:r w:rsidR="00A954D0">
        <w:rPr>
          <w:rFonts w:ascii="Bookman Old Style" w:hAnsi="Bookman Old Style"/>
          <w:sz w:val="24"/>
          <w:szCs w:val="24"/>
        </w:rPr>
        <w:t xml:space="preserve"> </w:t>
      </w:r>
      <w:r w:rsidRPr="008174DB">
        <w:rPr>
          <w:rFonts w:ascii="Bookman Old Style" w:hAnsi="Bookman Old Style"/>
          <w:sz w:val="24"/>
          <w:szCs w:val="24"/>
        </w:rPr>
        <w:t>2025</w:t>
      </w:r>
      <w:r w:rsidR="00A954D0">
        <w:rPr>
          <w:rFonts w:ascii="Bookman Old Style" w:hAnsi="Bookman Old Style"/>
          <w:sz w:val="24"/>
          <w:szCs w:val="24"/>
        </w:rPr>
        <w:t xml:space="preserve"> </w:t>
      </w:r>
      <w:r w:rsidRPr="008174DB">
        <w:rPr>
          <w:rFonts w:ascii="Bookman Old Style" w:hAnsi="Bookman Old Style"/>
          <w:sz w:val="24"/>
          <w:szCs w:val="24"/>
        </w:rPr>
        <w:t>sesuai</w:t>
      </w:r>
      <w:r w:rsidR="00A954D0">
        <w:rPr>
          <w:rFonts w:ascii="Bookman Old Style" w:hAnsi="Bookman Old Style"/>
          <w:sz w:val="24"/>
          <w:szCs w:val="24"/>
        </w:rPr>
        <w:t xml:space="preserve"> </w:t>
      </w:r>
      <w:r w:rsidRPr="008174DB">
        <w:rPr>
          <w:rFonts w:ascii="Bookman Old Style" w:hAnsi="Bookman Old Style"/>
          <w:sz w:val="24"/>
          <w:szCs w:val="24"/>
        </w:rPr>
        <w:t>dengan</w:t>
      </w:r>
      <w:r w:rsidR="00A954D0">
        <w:rPr>
          <w:rFonts w:ascii="Bookman Old Style" w:hAnsi="Bookman Old Style"/>
          <w:sz w:val="24"/>
          <w:szCs w:val="24"/>
        </w:rPr>
        <w:t xml:space="preserve"> </w:t>
      </w:r>
      <w:r w:rsidRPr="008174DB">
        <w:rPr>
          <w:rFonts w:ascii="Bookman Old Style" w:hAnsi="Bookman Old Style"/>
          <w:sz w:val="24"/>
          <w:szCs w:val="24"/>
        </w:rPr>
        <w:t>kewenangan</w:t>
      </w:r>
      <w:r w:rsidR="00A954D0">
        <w:rPr>
          <w:rFonts w:ascii="Bookman Old Style" w:hAnsi="Bookman Old Style"/>
          <w:sz w:val="24"/>
          <w:szCs w:val="24"/>
        </w:rPr>
        <w:t xml:space="preserve"> </w:t>
      </w:r>
      <w:r w:rsidRPr="008174DB">
        <w:rPr>
          <w:rFonts w:ascii="Bookman Old Style" w:hAnsi="Bookman Old Style"/>
          <w:sz w:val="24"/>
          <w:szCs w:val="24"/>
        </w:rPr>
        <w:t>Pemerintah</w:t>
      </w:r>
      <w:r w:rsidR="00A954D0">
        <w:rPr>
          <w:rFonts w:ascii="Bookman Old Style" w:hAnsi="Bookman Old Style"/>
          <w:sz w:val="24"/>
          <w:szCs w:val="24"/>
        </w:rPr>
        <w:t xml:space="preserve"> </w:t>
      </w:r>
      <w:r w:rsidRPr="008174DB">
        <w:rPr>
          <w:rFonts w:ascii="Bookman Old Style" w:hAnsi="Bookman Old Style" w:cs="Arial"/>
          <w:sz w:val="24"/>
          <w:szCs w:val="24"/>
          <w:lang w:val="de-DE"/>
        </w:rPr>
        <w:t>Daerah</w:t>
      </w:r>
      <w:r w:rsidR="00A954D0">
        <w:rPr>
          <w:rFonts w:ascii="Bookman Old Style" w:hAnsi="Bookman Old Style" w:cs="Arial"/>
          <w:sz w:val="24"/>
          <w:szCs w:val="24"/>
          <w:lang w:val="de-DE"/>
        </w:rPr>
        <w:t xml:space="preserve"> </w:t>
      </w:r>
      <w:r w:rsidRPr="008174DB">
        <w:rPr>
          <w:rFonts w:ascii="Bookman Old Style" w:hAnsi="Bookman Old Style" w:cs="Arial"/>
          <w:sz w:val="24"/>
          <w:szCs w:val="24"/>
          <w:lang w:val="de-DE"/>
        </w:rPr>
        <w:t>Kota</w:t>
      </w:r>
      <w:r w:rsidR="00A954D0">
        <w:rPr>
          <w:rFonts w:ascii="Bookman Old Style" w:hAnsi="Bookman Old Style" w:cs="Arial"/>
          <w:sz w:val="24"/>
          <w:szCs w:val="24"/>
          <w:lang w:val="de-DE"/>
        </w:rPr>
        <w:t xml:space="preserve"> </w:t>
      </w:r>
      <w:r w:rsidR="00770F22" w:rsidRPr="008174DB">
        <w:rPr>
          <w:rFonts w:ascii="Bookman Old Style" w:hAnsi="Bookman Old Style" w:cs="Arial"/>
          <w:sz w:val="24"/>
          <w:szCs w:val="24"/>
          <w:lang w:val="de-DE"/>
        </w:rPr>
        <w:t>Tangerang</w:t>
      </w:r>
      <w:r w:rsidR="00F34F2E">
        <w:rPr>
          <w:rFonts w:ascii="Bookman Old Style" w:hAnsi="Bookman Old Style"/>
          <w:sz w:val="24"/>
          <w:szCs w:val="24"/>
        </w:rPr>
        <w:t>;</w:t>
      </w:r>
    </w:p>
    <w:p w14:paraId="7AD1EA4F" w14:textId="196CE73C" w:rsidR="004C3CE0" w:rsidRPr="008174DB" w:rsidRDefault="004C3CE0" w:rsidP="006A368B">
      <w:pPr>
        <w:pStyle w:val="ListParagraph"/>
        <w:numPr>
          <w:ilvl w:val="0"/>
          <w:numId w:val="159"/>
        </w:numPr>
        <w:spacing w:before="60" w:after="0" w:line="276" w:lineRule="auto"/>
        <w:ind w:left="2268" w:hanging="567"/>
        <w:contextualSpacing w:val="0"/>
        <w:jc w:val="both"/>
        <w:rPr>
          <w:rFonts w:ascii="Bookman Old Style" w:hAnsi="Bookman Old Style"/>
          <w:sz w:val="24"/>
          <w:szCs w:val="24"/>
          <w:lang w:val="en-US"/>
        </w:rPr>
      </w:pPr>
      <w:r w:rsidRPr="008174DB">
        <w:rPr>
          <w:rFonts w:ascii="Bookman Old Style" w:hAnsi="Bookman Old Style"/>
          <w:sz w:val="24"/>
          <w:szCs w:val="24"/>
        </w:rPr>
        <w:t>penanganan</w:t>
      </w:r>
      <w:r w:rsidR="00A954D0">
        <w:rPr>
          <w:rFonts w:ascii="Bookman Old Style" w:hAnsi="Bookman Old Style"/>
          <w:sz w:val="24"/>
          <w:szCs w:val="24"/>
        </w:rPr>
        <w:t xml:space="preserve"> </w:t>
      </w:r>
      <w:r w:rsidRPr="008174DB">
        <w:rPr>
          <w:rFonts w:ascii="Bookman Old Style" w:hAnsi="Bookman Old Style"/>
          <w:sz w:val="24"/>
          <w:szCs w:val="24"/>
        </w:rPr>
        <w:t>inflasi</w:t>
      </w:r>
      <w:r w:rsidR="00F34F2E">
        <w:rPr>
          <w:rFonts w:ascii="Bookman Old Style" w:hAnsi="Bookman Old Style"/>
          <w:sz w:val="24"/>
          <w:szCs w:val="24"/>
        </w:rPr>
        <w:t>;</w:t>
      </w:r>
    </w:p>
    <w:p w14:paraId="6216D1A2" w14:textId="72AF9691" w:rsidR="004C3CE0" w:rsidRPr="003255BC" w:rsidRDefault="004C3CE0" w:rsidP="006A368B">
      <w:pPr>
        <w:pStyle w:val="ListParagraph"/>
        <w:numPr>
          <w:ilvl w:val="0"/>
          <w:numId w:val="159"/>
        </w:numPr>
        <w:spacing w:before="60" w:after="0" w:line="276" w:lineRule="auto"/>
        <w:ind w:left="2268" w:hanging="567"/>
        <w:contextualSpacing w:val="0"/>
        <w:jc w:val="both"/>
        <w:rPr>
          <w:rFonts w:ascii="Bookman Old Style" w:hAnsi="Bookman Old Style"/>
          <w:sz w:val="24"/>
          <w:szCs w:val="24"/>
          <w:lang w:val="sv-FI"/>
        </w:rPr>
      </w:pPr>
      <w:r w:rsidRPr="008174DB">
        <w:rPr>
          <w:rFonts w:ascii="Bookman Old Style" w:hAnsi="Bookman Old Style"/>
          <w:sz w:val="24"/>
          <w:szCs w:val="24"/>
        </w:rPr>
        <w:t>pemenuhan</w:t>
      </w:r>
      <w:r w:rsidR="00A954D0">
        <w:rPr>
          <w:rFonts w:ascii="Bookman Old Style" w:hAnsi="Bookman Old Style"/>
          <w:sz w:val="24"/>
          <w:szCs w:val="24"/>
        </w:rPr>
        <w:t xml:space="preserve"> </w:t>
      </w:r>
      <w:r w:rsidRPr="008174DB">
        <w:rPr>
          <w:rFonts w:ascii="Bookman Old Style" w:hAnsi="Bookman Old Style"/>
          <w:sz w:val="24"/>
          <w:szCs w:val="24"/>
        </w:rPr>
        <w:t>alokasi</w:t>
      </w:r>
      <w:r w:rsidR="00A954D0">
        <w:rPr>
          <w:rFonts w:ascii="Bookman Old Style" w:hAnsi="Bookman Old Style"/>
          <w:sz w:val="24"/>
          <w:szCs w:val="24"/>
        </w:rPr>
        <w:t xml:space="preserve"> </w:t>
      </w:r>
      <w:r w:rsidRPr="008174DB">
        <w:rPr>
          <w:rFonts w:ascii="Bookman Old Style" w:hAnsi="Bookman Old Style"/>
          <w:sz w:val="24"/>
          <w:szCs w:val="24"/>
        </w:rPr>
        <w:t>anggaran</w:t>
      </w:r>
      <w:r w:rsidR="00A954D0">
        <w:rPr>
          <w:rFonts w:ascii="Bookman Old Style" w:hAnsi="Bookman Old Style"/>
          <w:sz w:val="24"/>
          <w:szCs w:val="24"/>
        </w:rPr>
        <w:t xml:space="preserve"> </w:t>
      </w:r>
      <w:r w:rsidRPr="008174DB">
        <w:rPr>
          <w:rFonts w:ascii="Bookman Old Style" w:hAnsi="Bookman Old Style"/>
          <w:sz w:val="24"/>
          <w:szCs w:val="24"/>
        </w:rPr>
        <w:t>Belanja</w:t>
      </w:r>
      <w:r w:rsidR="00A954D0">
        <w:rPr>
          <w:rFonts w:ascii="Bookman Old Style" w:hAnsi="Bookman Old Style"/>
          <w:sz w:val="24"/>
          <w:szCs w:val="24"/>
        </w:rPr>
        <w:t xml:space="preserve"> </w:t>
      </w:r>
      <w:r w:rsidRPr="008174DB">
        <w:rPr>
          <w:rFonts w:ascii="Bookman Old Style" w:hAnsi="Bookman Old Style"/>
          <w:sz w:val="24"/>
          <w:szCs w:val="24"/>
        </w:rPr>
        <w:t>Infrastruktur</w:t>
      </w:r>
      <w:r w:rsidR="00A954D0">
        <w:rPr>
          <w:rFonts w:ascii="Bookman Old Style" w:hAnsi="Bookman Old Style"/>
          <w:sz w:val="24"/>
          <w:szCs w:val="24"/>
        </w:rPr>
        <w:t xml:space="preserve"> </w:t>
      </w:r>
      <w:r w:rsidRPr="008174DB">
        <w:rPr>
          <w:rFonts w:ascii="Bookman Old Style" w:hAnsi="Bookman Old Style"/>
          <w:sz w:val="24"/>
          <w:szCs w:val="24"/>
        </w:rPr>
        <w:t>Pelayanan</w:t>
      </w:r>
      <w:r w:rsidR="00A954D0">
        <w:rPr>
          <w:rFonts w:ascii="Bookman Old Style" w:hAnsi="Bookman Old Style"/>
          <w:sz w:val="24"/>
          <w:szCs w:val="24"/>
        </w:rPr>
        <w:t xml:space="preserve"> </w:t>
      </w:r>
      <w:r w:rsidRPr="008174DB">
        <w:rPr>
          <w:rFonts w:ascii="Bookman Old Style" w:hAnsi="Bookman Old Style"/>
          <w:sz w:val="24"/>
          <w:szCs w:val="24"/>
        </w:rPr>
        <w:t>Publik</w:t>
      </w:r>
      <w:r w:rsidR="00A954D0">
        <w:rPr>
          <w:rFonts w:ascii="Bookman Old Style" w:hAnsi="Bookman Old Style"/>
          <w:sz w:val="24"/>
          <w:szCs w:val="24"/>
        </w:rPr>
        <w:t xml:space="preserve"> </w:t>
      </w:r>
      <w:r w:rsidRPr="008174DB">
        <w:rPr>
          <w:rFonts w:ascii="Bookman Old Style" w:hAnsi="Bookman Old Style"/>
          <w:sz w:val="24"/>
          <w:szCs w:val="24"/>
        </w:rPr>
        <w:t>paling</w:t>
      </w:r>
      <w:r w:rsidR="00A954D0">
        <w:rPr>
          <w:rFonts w:ascii="Bookman Old Style" w:hAnsi="Bookman Old Style"/>
          <w:sz w:val="24"/>
          <w:szCs w:val="24"/>
        </w:rPr>
        <w:t xml:space="preserve"> </w:t>
      </w:r>
      <w:r w:rsidRPr="008174DB">
        <w:rPr>
          <w:rFonts w:ascii="Bookman Old Style" w:hAnsi="Bookman Old Style"/>
          <w:sz w:val="24"/>
          <w:szCs w:val="24"/>
        </w:rPr>
        <w:t>rendah</w:t>
      </w:r>
      <w:r w:rsidR="00A954D0">
        <w:rPr>
          <w:rFonts w:ascii="Bookman Old Style" w:hAnsi="Bookman Old Style"/>
          <w:sz w:val="24"/>
          <w:szCs w:val="24"/>
        </w:rPr>
        <w:t xml:space="preserve"> </w:t>
      </w:r>
      <w:r w:rsidRPr="008174DB">
        <w:rPr>
          <w:rFonts w:ascii="Bookman Old Style" w:hAnsi="Bookman Old Style"/>
          <w:sz w:val="24"/>
          <w:szCs w:val="24"/>
        </w:rPr>
        <w:t>40%</w:t>
      </w:r>
      <w:r w:rsidR="00A954D0">
        <w:rPr>
          <w:rFonts w:ascii="Bookman Old Style" w:hAnsi="Bookman Old Style"/>
          <w:sz w:val="24"/>
          <w:szCs w:val="24"/>
        </w:rPr>
        <w:t xml:space="preserve"> </w:t>
      </w:r>
      <w:r w:rsidRPr="008174DB">
        <w:rPr>
          <w:rFonts w:ascii="Bookman Old Style" w:hAnsi="Bookman Old Style"/>
          <w:sz w:val="24"/>
          <w:szCs w:val="24"/>
        </w:rPr>
        <w:t>(empat</w:t>
      </w:r>
      <w:r w:rsidR="00A954D0">
        <w:rPr>
          <w:rFonts w:ascii="Bookman Old Style" w:hAnsi="Bookman Old Style"/>
          <w:sz w:val="24"/>
          <w:szCs w:val="24"/>
        </w:rPr>
        <w:t xml:space="preserve"> </w:t>
      </w:r>
      <w:r w:rsidRPr="008174DB">
        <w:rPr>
          <w:rFonts w:ascii="Bookman Old Style" w:hAnsi="Bookman Old Style"/>
          <w:sz w:val="24"/>
          <w:szCs w:val="24"/>
        </w:rPr>
        <w:t>puluh</w:t>
      </w:r>
      <w:r w:rsidR="00A954D0">
        <w:rPr>
          <w:rFonts w:ascii="Bookman Old Style" w:hAnsi="Bookman Old Style"/>
          <w:sz w:val="24"/>
          <w:szCs w:val="24"/>
        </w:rPr>
        <w:t xml:space="preserve"> </w:t>
      </w:r>
      <w:r w:rsidRPr="008174DB">
        <w:rPr>
          <w:rFonts w:ascii="Bookman Old Style" w:hAnsi="Bookman Old Style"/>
          <w:sz w:val="24"/>
          <w:szCs w:val="24"/>
        </w:rPr>
        <w:t>persen)</w:t>
      </w:r>
      <w:r w:rsidR="00A954D0">
        <w:rPr>
          <w:rFonts w:ascii="Bookman Old Style" w:hAnsi="Bookman Old Style"/>
          <w:sz w:val="24"/>
          <w:szCs w:val="24"/>
        </w:rPr>
        <w:t xml:space="preserve"> </w:t>
      </w:r>
      <w:r w:rsidRPr="008174DB">
        <w:rPr>
          <w:rFonts w:ascii="Bookman Old Style" w:hAnsi="Bookman Old Style"/>
          <w:sz w:val="24"/>
          <w:szCs w:val="24"/>
        </w:rPr>
        <w:t>dari</w:t>
      </w:r>
      <w:r w:rsidR="00A954D0">
        <w:rPr>
          <w:rFonts w:ascii="Bookman Old Style" w:hAnsi="Bookman Old Style"/>
          <w:sz w:val="24"/>
          <w:szCs w:val="24"/>
        </w:rPr>
        <w:t xml:space="preserve"> </w:t>
      </w:r>
      <w:r w:rsidRPr="008174DB">
        <w:rPr>
          <w:rFonts w:ascii="Bookman Old Style" w:hAnsi="Bookman Old Style"/>
          <w:sz w:val="24"/>
          <w:szCs w:val="24"/>
        </w:rPr>
        <w:t>total</w:t>
      </w:r>
      <w:r w:rsidR="00A954D0">
        <w:rPr>
          <w:rFonts w:ascii="Bookman Old Style" w:hAnsi="Bookman Old Style"/>
          <w:sz w:val="24"/>
          <w:szCs w:val="24"/>
        </w:rPr>
        <w:t xml:space="preserve"> </w:t>
      </w:r>
      <w:r w:rsidRPr="008174DB">
        <w:rPr>
          <w:rFonts w:ascii="Bookman Old Style" w:hAnsi="Bookman Old Style"/>
          <w:sz w:val="24"/>
          <w:szCs w:val="24"/>
        </w:rPr>
        <w:t>belanja</w:t>
      </w:r>
      <w:r w:rsidR="00A954D0">
        <w:rPr>
          <w:rFonts w:ascii="Bookman Old Style" w:hAnsi="Bookman Old Style"/>
          <w:sz w:val="24"/>
          <w:szCs w:val="24"/>
        </w:rPr>
        <w:t xml:space="preserve"> </w:t>
      </w:r>
      <w:r w:rsidRPr="008174DB">
        <w:rPr>
          <w:rFonts w:ascii="Bookman Old Style" w:hAnsi="Bookman Old Style"/>
          <w:sz w:val="24"/>
          <w:szCs w:val="24"/>
        </w:rPr>
        <w:t>daerah</w:t>
      </w:r>
      <w:r w:rsidR="00A954D0">
        <w:rPr>
          <w:rFonts w:ascii="Bookman Old Style" w:hAnsi="Bookman Old Style"/>
          <w:sz w:val="24"/>
          <w:szCs w:val="24"/>
        </w:rPr>
        <w:t xml:space="preserve"> </w:t>
      </w:r>
      <w:r w:rsidRPr="008174DB">
        <w:rPr>
          <w:rFonts w:ascii="Bookman Old Style" w:hAnsi="Bookman Old Style"/>
          <w:sz w:val="24"/>
          <w:szCs w:val="24"/>
        </w:rPr>
        <w:t>di</w:t>
      </w:r>
      <w:r w:rsidR="00A954D0">
        <w:rPr>
          <w:rFonts w:ascii="Bookman Old Style" w:hAnsi="Bookman Old Style"/>
          <w:sz w:val="24"/>
          <w:szCs w:val="24"/>
        </w:rPr>
        <w:t xml:space="preserve"> </w:t>
      </w:r>
      <w:r w:rsidRPr="008174DB">
        <w:rPr>
          <w:rFonts w:ascii="Bookman Old Style" w:hAnsi="Bookman Old Style"/>
          <w:sz w:val="24"/>
          <w:szCs w:val="24"/>
        </w:rPr>
        <w:t>luar</w:t>
      </w:r>
      <w:r w:rsidR="00A954D0">
        <w:rPr>
          <w:rFonts w:ascii="Bookman Old Style" w:hAnsi="Bookman Old Style"/>
          <w:sz w:val="24"/>
          <w:szCs w:val="24"/>
        </w:rPr>
        <w:t xml:space="preserve"> </w:t>
      </w:r>
      <w:r w:rsidRPr="008174DB">
        <w:rPr>
          <w:rFonts w:ascii="Bookman Old Style" w:hAnsi="Bookman Old Style"/>
          <w:sz w:val="24"/>
          <w:szCs w:val="24"/>
        </w:rPr>
        <w:t>Belanja</w:t>
      </w:r>
      <w:r w:rsidR="00A954D0">
        <w:rPr>
          <w:rFonts w:ascii="Bookman Old Style" w:hAnsi="Bookman Old Style"/>
          <w:sz w:val="24"/>
          <w:szCs w:val="24"/>
        </w:rPr>
        <w:t xml:space="preserve"> </w:t>
      </w:r>
      <w:r w:rsidRPr="008174DB">
        <w:rPr>
          <w:rFonts w:ascii="Bookman Old Style" w:hAnsi="Bookman Old Style"/>
          <w:sz w:val="24"/>
          <w:szCs w:val="24"/>
        </w:rPr>
        <w:t>Bagi</w:t>
      </w:r>
      <w:r w:rsidR="00A954D0">
        <w:rPr>
          <w:rFonts w:ascii="Bookman Old Style" w:hAnsi="Bookman Old Style"/>
          <w:sz w:val="24"/>
          <w:szCs w:val="24"/>
        </w:rPr>
        <w:t xml:space="preserve"> </w:t>
      </w:r>
      <w:r w:rsidRPr="008174DB">
        <w:rPr>
          <w:rFonts w:ascii="Bookman Old Style" w:hAnsi="Bookman Old Style"/>
          <w:sz w:val="24"/>
          <w:szCs w:val="24"/>
        </w:rPr>
        <w:t>Hasil</w:t>
      </w:r>
      <w:r w:rsidR="00A954D0">
        <w:rPr>
          <w:rFonts w:ascii="Bookman Old Style" w:hAnsi="Bookman Old Style"/>
          <w:sz w:val="24"/>
          <w:szCs w:val="24"/>
        </w:rPr>
        <w:t xml:space="preserve"> </w:t>
      </w:r>
      <w:r w:rsidRPr="008174DB">
        <w:rPr>
          <w:rFonts w:ascii="Bookman Old Style" w:hAnsi="Bookman Old Style"/>
          <w:sz w:val="24"/>
          <w:szCs w:val="24"/>
        </w:rPr>
        <w:t>dan/atau</w:t>
      </w:r>
      <w:r w:rsidR="00A954D0">
        <w:rPr>
          <w:rFonts w:ascii="Bookman Old Style" w:hAnsi="Bookman Old Style"/>
          <w:sz w:val="24"/>
          <w:szCs w:val="24"/>
        </w:rPr>
        <w:t xml:space="preserve"> </w:t>
      </w:r>
      <w:r w:rsidRPr="008174DB">
        <w:rPr>
          <w:rFonts w:ascii="Bookman Old Style" w:hAnsi="Bookman Old Style"/>
          <w:sz w:val="24"/>
          <w:szCs w:val="24"/>
        </w:rPr>
        <w:t>Transfer</w:t>
      </w:r>
      <w:r w:rsidR="00A954D0">
        <w:rPr>
          <w:rFonts w:ascii="Bookman Old Style" w:hAnsi="Bookman Old Style"/>
          <w:sz w:val="24"/>
          <w:szCs w:val="24"/>
        </w:rPr>
        <w:t xml:space="preserve"> </w:t>
      </w:r>
      <w:r w:rsidRPr="008174DB">
        <w:rPr>
          <w:rFonts w:ascii="Bookman Old Style" w:hAnsi="Bookman Old Style"/>
          <w:sz w:val="24"/>
          <w:szCs w:val="24"/>
        </w:rPr>
        <w:t>Kepada</w:t>
      </w:r>
      <w:r w:rsidR="00A954D0">
        <w:rPr>
          <w:rFonts w:ascii="Bookman Old Style" w:hAnsi="Bookman Old Style"/>
          <w:sz w:val="24"/>
          <w:szCs w:val="24"/>
        </w:rPr>
        <w:t xml:space="preserve"> </w:t>
      </w:r>
      <w:r w:rsidRPr="008174DB">
        <w:rPr>
          <w:rFonts w:ascii="Bookman Old Style" w:hAnsi="Bookman Old Style"/>
          <w:sz w:val="24"/>
          <w:szCs w:val="24"/>
        </w:rPr>
        <w:t>Daerah</w:t>
      </w:r>
      <w:r w:rsidR="00A954D0">
        <w:rPr>
          <w:rFonts w:ascii="Bookman Old Style" w:hAnsi="Bookman Old Style"/>
          <w:sz w:val="24"/>
          <w:szCs w:val="24"/>
        </w:rPr>
        <w:t xml:space="preserve"> </w:t>
      </w:r>
      <w:r w:rsidRPr="008174DB">
        <w:rPr>
          <w:rFonts w:ascii="Bookman Old Style" w:hAnsi="Bookman Old Style"/>
          <w:sz w:val="24"/>
          <w:szCs w:val="24"/>
        </w:rPr>
        <w:t>dan/atau</w:t>
      </w:r>
      <w:r w:rsidR="00A954D0">
        <w:rPr>
          <w:rFonts w:ascii="Bookman Old Style" w:hAnsi="Bookman Old Style"/>
          <w:sz w:val="24"/>
          <w:szCs w:val="24"/>
        </w:rPr>
        <w:t xml:space="preserve"> </w:t>
      </w:r>
      <w:r w:rsidRPr="008174DB">
        <w:rPr>
          <w:rFonts w:ascii="Bookman Old Style" w:hAnsi="Bookman Old Style"/>
          <w:sz w:val="24"/>
          <w:szCs w:val="24"/>
        </w:rPr>
        <w:t>Desa</w:t>
      </w:r>
      <w:r w:rsidR="00F34F2E">
        <w:rPr>
          <w:rFonts w:ascii="Bookman Old Style" w:hAnsi="Bookman Old Style"/>
          <w:sz w:val="24"/>
          <w:szCs w:val="24"/>
        </w:rPr>
        <w:t>;</w:t>
      </w:r>
    </w:p>
    <w:p w14:paraId="20751449" w14:textId="49013D53" w:rsidR="004C3CE0" w:rsidRPr="003255BC" w:rsidRDefault="004C3CE0" w:rsidP="006A368B">
      <w:pPr>
        <w:pStyle w:val="ListParagraph"/>
        <w:numPr>
          <w:ilvl w:val="0"/>
          <w:numId w:val="159"/>
        </w:numPr>
        <w:spacing w:before="60" w:after="0" w:line="276" w:lineRule="auto"/>
        <w:ind w:left="2268" w:hanging="567"/>
        <w:contextualSpacing w:val="0"/>
        <w:jc w:val="both"/>
        <w:rPr>
          <w:rFonts w:ascii="Bookman Old Style" w:hAnsi="Bookman Old Style"/>
          <w:sz w:val="24"/>
          <w:szCs w:val="24"/>
          <w:lang w:val="sv-FI"/>
        </w:rPr>
      </w:pPr>
      <w:r w:rsidRPr="008174DB">
        <w:rPr>
          <w:rFonts w:ascii="Bookman Old Style" w:hAnsi="Bookman Old Style"/>
          <w:sz w:val="24"/>
          <w:szCs w:val="24"/>
        </w:rPr>
        <w:t>alokasi</w:t>
      </w:r>
      <w:r w:rsidR="00A954D0">
        <w:rPr>
          <w:rFonts w:ascii="Bookman Old Style" w:hAnsi="Bookman Old Style"/>
          <w:sz w:val="24"/>
          <w:szCs w:val="24"/>
        </w:rPr>
        <w:t xml:space="preserve"> </w:t>
      </w:r>
      <w:r w:rsidRPr="008174DB">
        <w:rPr>
          <w:rFonts w:ascii="Bookman Old Style" w:hAnsi="Bookman Old Style"/>
          <w:sz w:val="24"/>
          <w:szCs w:val="24"/>
        </w:rPr>
        <w:t>anggaran</w:t>
      </w:r>
      <w:r w:rsidR="00A954D0">
        <w:rPr>
          <w:rFonts w:ascii="Bookman Old Style" w:hAnsi="Bookman Old Style"/>
          <w:sz w:val="24"/>
          <w:szCs w:val="24"/>
        </w:rPr>
        <w:t xml:space="preserve"> </w:t>
      </w:r>
      <w:r w:rsidRPr="008174DB">
        <w:rPr>
          <w:rFonts w:ascii="Bookman Old Style" w:hAnsi="Bookman Old Style"/>
          <w:sz w:val="24"/>
          <w:szCs w:val="24"/>
        </w:rPr>
        <w:t>Penguatan</w:t>
      </w:r>
      <w:r w:rsidR="00A954D0">
        <w:rPr>
          <w:rFonts w:ascii="Bookman Old Style" w:hAnsi="Bookman Old Style"/>
          <w:sz w:val="24"/>
          <w:szCs w:val="24"/>
        </w:rPr>
        <w:t xml:space="preserve"> </w:t>
      </w:r>
      <w:r w:rsidRPr="008174DB">
        <w:rPr>
          <w:rFonts w:ascii="Bookman Old Style" w:hAnsi="Bookman Old Style"/>
          <w:sz w:val="24"/>
          <w:szCs w:val="24"/>
        </w:rPr>
        <w:t>Pembinaan</w:t>
      </w:r>
      <w:r w:rsidR="00A954D0">
        <w:rPr>
          <w:rFonts w:ascii="Bookman Old Style" w:hAnsi="Bookman Old Style"/>
          <w:sz w:val="24"/>
          <w:szCs w:val="24"/>
        </w:rPr>
        <w:t xml:space="preserve"> </w:t>
      </w:r>
      <w:r w:rsidRPr="008174DB">
        <w:rPr>
          <w:rFonts w:ascii="Bookman Old Style" w:hAnsi="Bookman Old Style"/>
          <w:sz w:val="24"/>
          <w:szCs w:val="24"/>
        </w:rPr>
        <w:t>dan</w:t>
      </w:r>
      <w:r w:rsidR="00A954D0">
        <w:rPr>
          <w:rFonts w:ascii="Bookman Old Style" w:hAnsi="Bookman Old Style"/>
          <w:sz w:val="24"/>
          <w:szCs w:val="24"/>
        </w:rPr>
        <w:t xml:space="preserve"> </w:t>
      </w:r>
      <w:r w:rsidRPr="008174DB">
        <w:rPr>
          <w:rFonts w:ascii="Bookman Old Style" w:hAnsi="Bookman Old Style"/>
          <w:sz w:val="24"/>
          <w:szCs w:val="24"/>
        </w:rPr>
        <w:t>Pengawasan</w:t>
      </w:r>
      <w:r w:rsidR="00A954D0">
        <w:rPr>
          <w:rFonts w:ascii="Bookman Old Style" w:hAnsi="Bookman Old Style" w:cs="Arial"/>
          <w:sz w:val="24"/>
          <w:szCs w:val="24"/>
          <w:shd w:val="clear" w:color="auto" w:fill="FFFFFF"/>
          <w:lang w:val="de-DE"/>
        </w:rPr>
        <w:t xml:space="preserve"> </w:t>
      </w:r>
      <w:r w:rsidRPr="008174DB">
        <w:rPr>
          <w:rFonts w:ascii="Bookman Old Style" w:hAnsi="Bookman Old Style" w:cs="Arial"/>
          <w:sz w:val="24"/>
          <w:szCs w:val="24"/>
          <w:shd w:val="clear" w:color="auto" w:fill="FFFFFF"/>
          <w:lang w:val="de-DE"/>
        </w:rPr>
        <w:t>pada</w:t>
      </w:r>
      <w:r w:rsidR="00A954D0">
        <w:rPr>
          <w:rFonts w:ascii="Bookman Old Style" w:hAnsi="Bookman Old Style" w:cs="Arial"/>
          <w:sz w:val="24"/>
          <w:szCs w:val="24"/>
          <w:shd w:val="clear" w:color="auto" w:fill="FFFFFF"/>
          <w:lang w:val="de-DE"/>
        </w:rPr>
        <w:t xml:space="preserve"> </w:t>
      </w:r>
      <w:r w:rsidRPr="008174DB">
        <w:rPr>
          <w:rFonts w:ascii="Bookman Old Style" w:hAnsi="Bookman Old Style" w:cs="Arial"/>
          <w:sz w:val="24"/>
          <w:szCs w:val="24"/>
          <w:shd w:val="clear" w:color="auto" w:fill="FFFFFF"/>
        </w:rPr>
        <w:t>I</w:t>
      </w:r>
      <w:r w:rsidRPr="008174DB">
        <w:rPr>
          <w:rFonts w:ascii="Bookman Old Style" w:hAnsi="Bookman Old Style" w:cs="Arial"/>
          <w:sz w:val="24"/>
          <w:szCs w:val="24"/>
          <w:shd w:val="clear" w:color="auto" w:fill="FFFFFF"/>
          <w:lang w:val="de-DE"/>
        </w:rPr>
        <w:t>nspektorat</w:t>
      </w:r>
      <w:r w:rsidR="00A954D0">
        <w:rPr>
          <w:rFonts w:ascii="Bookman Old Style" w:hAnsi="Bookman Old Style" w:cs="Arial"/>
          <w:sz w:val="24"/>
          <w:szCs w:val="24"/>
          <w:shd w:val="clear" w:color="auto" w:fill="FFFFFF"/>
          <w:lang w:val="de-DE"/>
        </w:rPr>
        <w:t xml:space="preserve"> </w:t>
      </w:r>
      <w:r w:rsidRPr="008174DB">
        <w:rPr>
          <w:rFonts w:ascii="Bookman Old Style" w:hAnsi="Bookman Old Style" w:cs="Arial"/>
          <w:sz w:val="24"/>
          <w:szCs w:val="24"/>
          <w:lang w:val="de-DE"/>
        </w:rPr>
        <w:t>Daerah</w:t>
      </w:r>
      <w:r w:rsidR="00A954D0">
        <w:rPr>
          <w:rFonts w:ascii="Bookman Old Style" w:hAnsi="Bookman Old Style" w:cs="Arial"/>
          <w:sz w:val="24"/>
          <w:szCs w:val="24"/>
          <w:lang w:val="de-DE"/>
        </w:rPr>
        <w:t xml:space="preserve"> </w:t>
      </w:r>
      <w:r w:rsidRPr="008174DB">
        <w:rPr>
          <w:rFonts w:ascii="Bookman Old Style" w:hAnsi="Bookman Old Style"/>
          <w:sz w:val="24"/>
          <w:szCs w:val="24"/>
        </w:rPr>
        <w:t>paling</w:t>
      </w:r>
      <w:r w:rsidR="00A954D0">
        <w:rPr>
          <w:rFonts w:ascii="Bookman Old Style" w:hAnsi="Bookman Old Style"/>
          <w:sz w:val="24"/>
          <w:szCs w:val="24"/>
        </w:rPr>
        <w:t xml:space="preserve"> </w:t>
      </w:r>
      <w:r w:rsidRPr="008174DB">
        <w:rPr>
          <w:rFonts w:ascii="Bookman Old Style" w:hAnsi="Bookman Old Style"/>
          <w:sz w:val="24"/>
          <w:szCs w:val="24"/>
        </w:rPr>
        <w:t>sedikit</w:t>
      </w:r>
      <w:r w:rsidR="00A954D0">
        <w:rPr>
          <w:rFonts w:ascii="Bookman Old Style" w:hAnsi="Bookman Old Style"/>
          <w:sz w:val="24"/>
          <w:szCs w:val="24"/>
        </w:rPr>
        <w:t xml:space="preserve"> </w:t>
      </w:r>
      <w:r w:rsidRPr="008174DB">
        <w:rPr>
          <w:rFonts w:ascii="Bookman Old Style" w:hAnsi="Bookman Old Style" w:cs="Arial"/>
          <w:sz w:val="24"/>
          <w:szCs w:val="24"/>
        </w:rPr>
        <w:t>sebesar</w:t>
      </w:r>
      <w:r w:rsidR="00A954D0">
        <w:rPr>
          <w:rFonts w:ascii="Bookman Old Style" w:hAnsi="Bookman Old Style" w:cs="Arial"/>
          <w:sz w:val="24"/>
          <w:szCs w:val="24"/>
        </w:rPr>
        <w:t xml:space="preserve"> </w:t>
      </w:r>
      <w:r w:rsidRPr="008174DB">
        <w:rPr>
          <w:rFonts w:ascii="Bookman Old Style" w:hAnsi="Bookman Old Style" w:cs="Arial"/>
          <w:sz w:val="24"/>
          <w:szCs w:val="24"/>
        </w:rPr>
        <w:t>0,50%</w:t>
      </w:r>
      <w:r w:rsidR="00A954D0">
        <w:rPr>
          <w:rFonts w:ascii="Bookman Old Style" w:hAnsi="Bookman Old Style" w:cs="Arial"/>
          <w:sz w:val="24"/>
          <w:szCs w:val="24"/>
        </w:rPr>
        <w:t xml:space="preserve"> </w:t>
      </w:r>
      <w:r w:rsidRPr="008174DB">
        <w:rPr>
          <w:rFonts w:ascii="Bookman Old Style" w:hAnsi="Bookman Old Style" w:cs="Arial"/>
          <w:sz w:val="24"/>
          <w:szCs w:val="24"/>
        </w:rPr>
        <w:t>(nol</w:t>
      </w:r>
      <w:r w:rsidR="00A954D0">
        <w:rPr>
          <w:rFonts w:ascii="Bookman Old Style" w:hAnsi="Bookman Old Style" w:cs="Arial"/>
          <w:sz w:val="24"/>
          <w:szCs w:val="24"/>
        </w:rPr>
        <w:t xml:space="preserve"> </w:t>
      </w:r>
      <w:r w:rsidRPr="008174DB">
        <w:rPr>
          <w:rFonts w:ascii="Bookman Old Style" w:hAnsi="Bookman Old Style" w:cs="Arial"/>
          <w:sz w:val="24"/>
          <w:szCs w:val="24"/>
        </w:rPr>
        <w:t>koma</w:t>
      </w:r>
      <w:r w:rsidR="00A954D0">
        <w:rPr>
          <w:rFonts w:ascii="Bookman Old Style" w:hAnsi="Bookman Old Style" w:cs="Arial"/>
          <w:sz w:val="24"/>
          <w:szCs w:val="24"/>
        </w:rPr>
        <w:t xml:space="preserve"> </w:t>
      </w:r>
      <w:r w:rsidRPr="008174DB">
        <w:rPr>
          <w:rFonts w:ascii="Bookman Old Style" w:hAnsi="Bookman Old Style" w:cs="Arial"/>
          <w:sz w:val="24"/>
          <w:szCs w:val="24"/>
        </w:rPr>
        <w:t>lima</w:t>
      </w:r>
      <w:r w:rsidR="00A954D0">
        <w:rPr>
          <w:rFonts w:ascii="Bookman Old Style" w:hAnsi="Bookman Old Style" w:cs="Arial"/>
          <w:sz w:val="24"/>
          <w:szCs w:val="24"/>
        </w:rPr>
        <w:t xml:space="preserve"> </w:t>
      </w:r>
      <w:r w:rsidRPr="008174DB">
        <w:rPr>
          <w:rFonts w:ascii="Bookman Old Style" w:hAnsi="Bookman Old Style" w:cs="Arial"/>
          <w:sz w:val="24"/>
          <w:szCs w:val="24"/>
        </w:rPr>
        <w:t>puluh</w:t>
      </w:r>
      <w:r w:rsidR="00A954D0">
        <w:rPr>
          <w:rFonts w:ascii="Bookman Old Style" w:hAnsi="Bookman Old Style" w:cs="Arial"/>
          <w:sz w:val="24"/>
          <w:szCs w:val="24"/>
        </w:rPr>
        <w:t xml:space="preserve"> </w:t>
      </w:r>
      <w:r w:rsidRPr="008174DB">
        <w:rPr>
          <w:rFonts w:ascii="Bookman Old Style" w:hAnsi="Bookman Old Style" w:cs="Arial"/>
          <w:sz w:val="24"/>
          <w:szCs w:val="24"/>
        </w:rPr>
        <w:t>persen)</w:t>
      </w:r>
      <w:r w:rsidR="00A954D0">
        <w:rPr>
          <w:rFonts w:ascii="Bookman Old Style" w:hAnsi="Bookman Old Style" w:cs="Arial"/>
          <w:sz w:val="24"/>
          <w:szCs w:val="24"/>
        </w:rPr>
        <w:t xml:space="preserve"> </w:t>
      </w:r>
      <w:r w:rsidRPr="008174DB">
        <w:rPr>
          <w:rFonts w:ascii="Bookman Old Style" w:hAnsi="Bookman Old Style" w:cs="Arial"/>
          <w:sz w:val="24"/>
          <w:szCs w:val="24"/>
        </w:rPr>
        <w:t>dari</w:t>
      </w:r>
      <w:r w:rsidR="00A954D0">
        <w:rPr>
          <w:rFonts w:ascii="Bookman Old Style" w:hAnsi="Bookman Old Style" w:cs="Arial"/>
          <w:sz w:val="24"/>
          <w:szCs w:val="24"/>
        </w:rPr>
        <w:t xml:space="preserve"> </w:t>
      </w:r>
      <w:r w:rsidRPr="008174DB">
        <w:rPr>
          <w:rFonts w:ascii="Bookman Old Style" w:hAnsi="Bookman Old Style" w:cs="Arial"/>
          <w:sz w:val="24"/>
          <w:szCs w:val="24"/>
        </w:rPr>
        <w:t>total</w:t>
      </w:r>
      <w:r w:rsidR="00A954D0">
        <w:rPr>
          <w:rFonts w:ascii="Bookman Old Style" w:hAnsi="Bookman Old Style" w:cs="Arial"/>
          <w:sz w:val="24"/>
          <w:szCs w:val="24"/>
        </w:rPr>
        <w:t xml:space="preserve"> </w:t>
      </w:r>
      <w:r w:rsidRPr="008174DB">
        <w:rPr>
          <w:rFonts w:ascii="Bookman Old Style" w:hAnsi="Bookman Old Style" w:cs="Arial"/>
          <w:sz w:val="24"/>
          <w:szCs w:val="24"/>
        </w:rPr>
        <w:t>belanja</w:t>
      </w:r>
      <w:r w:rsidR="00A954D0">
        <w:rPr>
          <w:rFonts w:ascii="Bookman Old Style" w:hAnsi="Bookman Old Style" w:cs="Arial"/>
          <w:sz w:val="24"/>
          <w:szCs w:val="24"/>
        </w:rPr>
        <w:t xml:space="preserve"> </w:t>
      </w:r>
      <w:r w:rsidRPr="008174DB">
        <w:rPr>
          <w:rFonts w:ascii="Bookman Old Style" w:hAnsi="Bookman Old Style" w:cs="Arial"/>
          <w:sz w:val="24"/>
          <w:szCs w:val="24"/>
        </w:rPr>
        <w:t>daerah</w:t>
      </w:r>
      <w:r w:rsidR="00A954D0">
        <w:rPr>
          <w:rFonts w:ascii="Bookman Old Style" w:hAnsi="Bookman Old Style" w:cs="Arial"/>
          <w:sz w:val="24"/>
          <w:szCs w:val="24"/>
        </w:rPr>
        <w:t xml:space="preserve"> </w:t>
      </w:r>
      <w:r w:rsidRPr="008174DB">
        <w:rPr>
          <w:rFonts w:ascii="Bookman Old Style" w:hAnsi="Bookman Old Style" w:cs="Arial"/>
          <w:sz w:val="24"/>
          <w:szCs w:val="24"/>
        </w:rPr>
        <w:t>dan</w:t>
      </w:r>
      <w:r w:rsidR="00A954D0">
        <w:rPr>
          <w:rFonts w:ascii="Bookman Old Style" w:hAnsi="Bookman Old Style" w:cs="Arial"/>
          <w:sz w:val="24"/>
          <w:szCs w:val="24"/>
        </w:rPr>
        <w:t xml:space="preserve"> </w:t>
      </w:r>
      <w:r w:rsidRPr="008174DB">
        <w:rPr>
          <w:rFonts w:ascii="Bookman Old Style" w:hAnsi="Bookman Old Style" w:cs="Arial"/>
          <w:sz w:val="24"/>
          <w:szCs w:val="24"/>
        </w:rPr>
        <w:t>diatas</w:t>
      </w:r>
      <w:r w:rsidR="00A954D0">
        <w:rPr>
          <w:rFonts w:ascii="Bookman Old Style" w:hAnsi="Bookman Old Style" w:cs="Arial"/>
          <w:sz w:val="24"/>
          <w:szCs w:val="24"/>
        </w:rPr>
        <w:t xml:space="preserve"> </w:t>
      </w:r>
      <w:r w:rsidRPr="008174DB">
        <w:rPr>
          <w:rFonts w:ascii="Bookman Old Style" w:hAnsi="Bookman Old Style" w:cs="Arial"/>
          <w:sz w:val="24"/>
          <w:szCs w:val="24"/>
        </w:rPr>
        <w:t>Rp15.000.000.000,00</w:t>
      </w:r>
      <w:r w:rsidR="00A954D0">
        <w:rPr>
          <w:rFonts w:ascii="Bookman Old Style" w:hAnsi="Bookman Old Style" w:cs="Arial"/>
          <w:sz w:val="24"/>
          <w:szCs w:val="24"/>
        </w:rPr>
        <w:t xml:space="preserve"> </w:t>
      </w:r>
      <w:r w:rsidRPr="008174DB">
        <w:rPr>
          <w:rFonts w:ascii="Bookman Old Style" w:hAnsi="Bookman Old Style" w:cs="Arial"/>
          <w:sz w:val="24"/>
          <w:szCs w:val="24"/>
        </w:rPr>
        <w:t>(lima</w:t>
      </w:r>
      <w:r w:rsidR="00A954D0">
        <w:rPr>
          <w:rFonts w:ascii="Bookman Old Style" w:hAnsi="Bookman Old Style" w:cs="Arial"/>
          <w:sz w:val="24"/>
          <w:szCs w:val="24"/>
        </w:rPr>
        <w:t xml:space="preserve"> </w:t>
      </w:r>
      <w:r w:rsidRPr="008174DB">
        <w:rPr>
          <w:rFonts w:ascii="Bookman Old Style" w:hAnsi="Bookman Old Style" w:cs="Arial"/>
          <w:sz w:val="24"/>
          <w:szCs w:val="24"/>
        </w:rPr>
        <w:t>belas</w:t>
      </w:r>
      <w:r w:rsidR="00A954D0">
        <w:rPr>
          <w:rFonts w:ascii="Bookman Old Style" w:hAnsi="Bookman Old Style" w:cs="Arial"/>
          <w:sz w:val="24"/>
          <w:szCs w:val="24"/>
        </w:rPr>
        <w:t xml:space="preserve"> </w:t>
      </w:r>
      <w:r w:rsidRPr="008174DB">
        <w:rPr>
          <w:rFonts w:ascii="Bookman Old Style" w:hAnsi="Bookman Old Style" w:cs="Arial"/>
          <w:sz w:val="24"/>
          <w:szCs w:val="24"/>
        </w:rPr>
        <w:t>miliar</w:t>
      </w:r>
      <w:r w:rsidR="00A954D0">
        <w:rPr>
          <w:rFonts w:ascii="Bookman Old Style" w:hAnsi="Bookman Old Style" w:cs="Arial"/>
          <w:sz w:val="24"/>
          <w:szCs w:val="24"/>
        </w:rPr>
        <w:t xml:space="preserve"> </w:t>
      </w:r>
      <w:r w:rsidRPr="008174DB">
        <w:rPr>
          <w:rFonts w:ascii="Bookman Old Style" w:hAnsi="Bookman Old Style" w:cs="Arial"/>
          <w:sz w:val="24"/>
          <w:szCs w:val="24"/>
        </w:rPr>
        <w:t>rupiah)</w:t>
      </w:r>
      <w:r w:rsidR="00A954D0">
        <w:rPr>
          <w:rFonts w:ascii="Bookman Old Style" w:hAnsi="Bookman Old Style" w:cs="Arial"/>
          <w:sz w:val="24"/>
          <w:szCs w:val="24"/>
        </w:rPr>
        <w:t xml:space="preserve"> </w:t>
      </w:r>
      <w:r w:rsidRPr="008174DB">
        <w:rPr>
          <w:rFonts w:ascii="Bookman Old Style" w:hAnsi="Bookman Old Style" w:cs="Arial"/>
          <w:sz w:val="24"/>
          <w:szCs w:val="24"/>
        </w:rPr>
        <w:t>tidak</w:t>
      </w:r>
      <w:r w:rsidR="00A954D0">
        <w:rPr>
          <w:rFonts w:ascii="Bookman Old Style" w:hAnsi="Bookman Old Style" w:cs="Arial"/>
          <w:sz w:val="24"/>
          <w:szCs w:val="24"/>
        </w:rPr>
        <w:t xml:space="preserve"> </w:t>
      </w:r>
      <w:r w:rsidRPr="008174DB">
        <w:rPr>
          <w:rFonts w:ascii="Bookman Old Style" w:hAnsi="Bookman Old Style" w:cs="Arial"/>
          <w:sz w:val="24"/>
          <w:szCs w:val="24"/>
        </w:rPr>
        <w:t>termasuk</w:t>
      </w:r>
      <w:r w:rsidR="00A954D0">
        <w:rPr>
          <w:rFonts w:ascii="Bookman Old Style" w:hAnsi="Bookman Old Style" w:cs="Arial"/>
          <w:sz w:val="24"/>
          <w:szCs w:val="24"/>
        </w:rPr>
        <w:t xml:space="preserve"> </w:t>
      </w:r>
      <w:r w:rsidRPr="008174DB">
        <w:rPr>
          <w:rFonts w:ascii="Bookman Old Style" w:hAnsi="Bookman Old Style" w:cs="Arial"/>
          <w:sz w:val="24"/>
          <w:szCs w:val="24"/>
        </w:rPr>
        <w:t>belanja</w:t>
      </w:r>
      <w:r w:rsidR="00A954D0">
        <w:rPr>
          <w:rFonts w:ascii="Bookman Old Style" w:hAnsi="Bookman Old Style" w:cs="Arial"/>
          <w:sz w:val="24"/>
          <w:szCs w:val="24"/>
        </w:rPr>
        <w:t xml:space="preserve"> </w:t>
      </w:r>
      <w:r w:rsidRPr="008174DB">
        <w:rPr>
          <w:rFonts w:ascii="Bookman Old Style" w:hAnsi="Bookman Old Style" w:cs="Arial"/>
          <w:sz w:val="24"/>
          <w:szCs w:val="24"/>
        </w:rPr>
        <w:t>gaji,</w:t>
      </w:r>
      <w:r w:rsidR="00A954D0">
        <w:rPr>
          <w:rFonts w:ascii="Bookman Old Style" w:hAnsi="Bookman Old Style" w:cs="Arial"/>
          <w:sz w:val="24"/>
          <w:szCs w:val="24"/>
        </w:rPr>
        <w:t xml:space="preserve"> </w:t>
      </w:r>
      <w:r w:rsidRPr="008174DB">
        <w:rPr>
          <w:rFonts w:ascii="Bookman Old Style" w:hAnsi="Bookman Old Style" w:cs="Arial"/>
          <w:sz w:val="24"/>
          <w:szCs w:val="24"/>
        </w:rPr>
        <w:t>tunjangan</w:t>
      </w:r>
      <w:r w:rsidR="00A954D0">
        <w:rPr>
          <w:rFonts w:ascii="Bookman Old Style" w:hAnsi="Bookman Old Style" w:cs="Arial"/>
          <w:sz w:val="24"/>
          <w:szCs w:val="24"/>
        </w:rPr>
        <w:t xml:space="preserve"> </w:t>
      </w:r>
      <w:r w:rsidRPr="008174DB">
        <w:rPr>
          <w:rFonts w:ascii="Bookman Old Style" w:hAnsi="Bookman Old Style" w:cs="Arial"/>
          <w:sz w:val="24"/>
          <w:szCs w:val="24"/>
        </w:rPr>
        <w:t>dan</w:t>
      </w:r>
      <w:r w:rsidR="00A954D0">
        <w:rPr>
          <w:rFonts w:ascii="Bookman Old Style" w:hAnsi="Bookman Old Style" w:cs="Arial"/>
          <w:sz w:val="24"/>
          <w:szCs w:val="24"/>
        </w:rPr>
        <w:t xml:space="preserve"> </w:t>
      </w:r>
      <w:r w:rsidRPr="008174DB">
        <w:rPr>
          <w:rFonts w:ascii="Bookman Old Style" w:hAnsi="Bookman Old Style" w:cs="Arial"/>
          <w:sz w:val="24"/>
          <w:szCs w:val="24"/>
        </w:rPr>
        <w:t>TP</w:t>
      </w:r>
      <w:r w:rsidR="00A954D0">
        <w:rPr>
          <w:rFonts w:ascii="Bookman Old Style" w:hAnsi="Bookman Old Style" w:cs="Arial"/>
          <w:sz w:val="24"/>
          <w:szCs w:val="24"/>
        </w:rPr>
        <w:t xml:space="preserve"> </w:t>
      </w:r>
      <w:r w:rsidRPr="008174DB">
        <w:rPr>
          <w:rFonts w:ascii="Bookman Old Style" w:hAnsi="Bookman Old Style" w:cs="Arial"/>
          <w:sz w:val="24"/>
          <w:szCs w:val="24"/>
        </w:rPr>
        <w:t>ASN</w:t>
      </w:r>
      <w:r w:rsidR="00A954D0">
        <w:rPr>
          <w:rFonts w:ascii="Bookman Old Style" w:hAnsi="Bookman Old Style" w:cs="Arial"/>
          <w:sz w:val="24"/>
          <w:szCs w:val="24"/>
        </w:rPr>
        <w:t xml:space="preserve"> </w:t>
      </w:r>
      <w:r w:rsidRPr="008174DB">
        <w:rPr>
          <w:rFonts w:ascii="Bookman Old Style" w:hAnsi="Bookman Old Style" w:cs="Arial"/>
          <w:sz w:val="24"/>
          <w:szCs w:val="24"/>
        </w:rPr>
        <w:t>pada</w:t>
      </w:r>
      <w:r w:rsidR="00A954D0">
        <w:rPr>
          <w:rFonts w:ascii="Bookman Old Style" w:hAnsi="Bookman Old Style" w:cs="Arial"/>
          <w:sz w:val="24"/>
          <w:szCs w:val="24"/>
        </w:rPr>
        <w:t xml:space="preserve"> </w:t>
      </w:r>
      <w:r w:rsidRPr="008174DB">
        <w:rPr>
          <w:rFonts w:ascii="Bookman Old Style" w:hAnsi="Bookman Old Style" w:cs="Arial"/>
          <w:sz w:val="24"/>
          <w:szCs w:val="24"/>
        </w:rPr>
        <w:t>SKPD</w:t>
      </w:r>
      <w:r w:rsidR="00A954D0">
        <w:rPr>
          <w:rFonts w:ascii="Bookman Old Style" w:hAnsi="Bookman Old Style" w:cs="Arial"/>
          <w:sz w:val="24"/>
          <w:szCs w:val="24"/>
        </w:rPr>
        <w:t xml:space="preserve"> </w:t>
      </w:r>
      <w:r w:rsidRPr="008174DB">
        <w:rPr>
          <w:rFonts w:ascii="Bookman Old Style" w:hAnsi="Bookman Old Style" w:cs="Arial"/>
          <w:sz w:val="24"/>
          <w:szCs w:val="24"/>
        </w:rPr>
        <w:t>Inspektorat</w:t>
      </w:r>
      <w:r w:rsidR="00F34F2E">
        <w:rPr>
          <w:rFonts w:ascii="Bookman Old Style" w:hAnsi="Bookman Old Style" w:cs="Arial"/>
          <w:sz w:val="24"/>
          <w:szCs w:val="24"/>
        </w:rPr>
        <w:t>;</w:t>
      </w:r>
    </w:p>
    <w:p w14:paraId="46980598" w14:textId="1EBE9685" w:rsidR="004C3CE0" w:rsidRPr="003255BC" w:rsidRDefault="004C3CE0" w:rsidP="006A368B">
      <w:pPr>
        <w:pStyle w:val="ListParagraph"/>
        <w:numPr>
          <w:ilvl w:val="0"/>
          <w:numId w:val="159"/>
        </w:numPr>
        <w:spacing w:before="60" w:after="0" w:line="276" w:lineRule="auto"/>
        <w:ind w:left="2268" w:hanging="567"/>
        <w:contextualSpacing w:val="0"/>
        <w:jc w:val="both"/>
        <w:rPr>
          <w:rFonts w:ascii="Bookman Old Style" w:hAnsi="Bookman Old Style"/>
          <w:sz w:val="24"/>
          <w:szCs w:val="24"/>
          <w:lang w:val="sv-FI"/>
        </w:rPr>
      </w:pPr>
      <w:r w:rsidRPr="008174DB">
        <w:rPr>
          <w:rFonts w:ascii="Bookman Old Style" w:hAnsi="Bookman Old Style"/>
          <w:sz w:val="24"/>
          <w:szCs w:val="24"/>
        </w:rPr>
        <w:t>alokasi</w:t>
      </w:r>
      <w:r w:rsidR="00A954D0">
        <w:rPr>
          <w:rFonts w:ascii="Bookman Old Style" w:hAnsi="Bookman Old Style"/>
          <w:sz w:val="24"/>
          <w:szCs w:val="24"/>
        </w:rPr>
        <w:t xml:space="preserve"> </w:t>
      </w:r>
      <w:r w:rsidRPr="008174DB">
        <w:rPr>
          <w:rFonts w:ascii="Bookman Old Style" w:hAnsi="Bookman Old Style"/>
          <w:sz w:val="24"/>
          <w:szCs w:val="24"/>
        </w:rPr>
        <w:t>anggaran</w:t>
      </w:r>
      <w:r w:rsidR="00A954D0">
        <w:rPr>
          <w:rFonts w:ascii="Bookman Old Style" w:hAnsi="Bookman Old Style"/>
          <w:sz w:val="24"/>
          <w:szCs w:val="24"/>
        </w:rPr>
        <w:t xml:space="preserve"> </w:t>
      </w:r>
      <w:r w:rsidRPr="008174DB">
        <w:rPr>
          <w:rFonts w:ascii="Bookman Old Style" w:hAnsi="Bookman Old Style"/>
          <w:sz w:val="24"/>
          <w:szCs w:val="24"/>
        </w:rPr>
        <w:t>untuk</w:t>
      </w:r>
      <w:r w:rsidR="00A954D0">
        <w:rPr>
          <w:rFonts w:ascii="Bookman Old Style" w:hAnsi="Bookman Old Style"/>
          <w:sz w:val="24"/>
          <w:szCs w:val="24"/>
        </w:rPr>
        <w:t xml:space="preserve"> </w:t>
      </w:r>
      <w:r w:rsidRPr="008174DB">
        <w:rPr>
          <w:rFonts w:ascii="Bookman Old Style" w:hAnsi="Bookman Old Style"/>
          <w:sz w:val="24"/>
          <w:szCs w:val="24"/>
        </w:rPr>
        <w:t>pendidikan</w:t>
      </w:r>
      <w:r w:rsidR="00A954D0">
        <w:rPr>
          <w:rFonts w:ascii="Bookman Old Style" w:hAnsi="Bookman Old Style"/>
          <w:sz w:val="24"/>
          <w:szCs w:val="24"/>
        </w:rPr>
        <w:t xml:space="preserve"> </w:t>
      </w:r>
      <w:r w:rsidRPr="008174DB">
        <w:rPr>
          <w:rFonts w:ascii="Bookman Old Style" w:hAnsi="Bookman Old Style"/>
          <w:sz w:val="24"/>
          <w:szCs w:val="24"/>
        </w:rPr>
        <w:t>dan</w:t>
      </w:r>
      <w:r w:rsidR="00A954D0">
        <w:rPr>
          <w:rFonts w:ascii="Bookman Old Style" w:hAnsi="Bookman Old Style"/>
          <w:sz w:val="24"/>
          <w:szCs w:val="24"/>
        </w:rPr>
        <w:t xml:space="preserve"> </w:t>
      </w:r>
      <w:r w:rsidRPr="008174DB">
        <w:rPr>
          <w:rFonts w:ascii="Bookman Old Style" w:hAnsi="Bookman Old Style"/>
          <w:sz w:val="24"/>
          <w:szCs w:val="24"/>
        </w:rPr>
        <w:t>pelatihan</w:t>
      </w:r>
      <w:r w:rsidR="00A954D0">
        <w:rPr>
          <w:rFonts w:ascii="Bookman Old Style" w:hAnsi="Bookman Old Style"/>
          <w:sz w:val="24"/>
          <w:szCs w:val="24"/>
        </w:rPr>
        <w:t xml:space="preserve"> </w:t>
      </w:r>
      <w:r w:rsidRPr="008174DB">
        <w:rPr>
          <w:rFonts w:ascii="Bookman Old Style" w:hAnsi="Bookman Old Style"/>
          <w:sz w:val="24"/>
          <w:szCs w:val="24"/>
        </w:rPr>
        <w:t>bagi</w:t>
      </w:r>
      <w:r w:rsidR="00A954D0">
        <w:rPr>
          <w:rFonts w:ascii="Bookman Old Style" w:hAnsi="Bookman Old Style"/>
          <w:sz w:val="24"/>
          <w:szCs w:val="24"/>
        </w:rPr>
        <w:t xml:space="preserve"> </w:t>
      </w:r>
      <w:r w:rsidRPr="008174DB">
        <w:rPr>
          <w:rFonts w:ascii="Bookman Old Style" w:hAnsi="Bookman Old Style"/>
          <w:sz w:val="24"/>
          <w:szCs w:val="24"/>
        </w:rPr>
        <w:t>ASN</w:t>
      </w:r>
      <w:r w:rsidR="00A954D0">
        <w:rPr>
          <w:rFonts w:ascii="Bookman Old Style" w:hAnsi="Bookman Old Style"/>
          <w:sz w:val="24"/>
          <w:szCs w:val="24"/>
        </w:rPr>
        <w:t xml:space="preserve"> </w:t>
      </w:r>
      <w:r w:rsidRPr="008174DB">
        <w:rPr>
          <w:rFonts w:ascii="Bookman Old Style" w:hAnsi="Bookman Old Style"/>
          <w:sz w:val="24"/>
          <w:szCs w:val="24"/>
        </w:rPr>
        <w:t>dalam</w:t>
      </w:r>
      <w:r w:rsidR="00A954D0">
        <w:rPr>
          <w:rFonts w:ascii="Bookman Old Style" w:hAnsi="Bookman Old Style"/>
          <w:sz w:val="24"/>
          <w:szCs w:val="24"/>
        </w:rPr>
        <w:t xml:space="preserve"> </w:t>
      </w:r>
      <w:r w:rsidRPr="008174DB">
        <w:rPr>
          <w:rFonts w:ascii="Bookman Old Style" w:hAnsi="Bookman Old Style"/>
          <w:sz w:val="24"/>
          <w:szCs w:val="24"/>
        </w:rPr>
        <w:t>rangka</w:t>
      </w:r>
      <w:r w:rsidR="00A954D0">
        <w:rPr>
          <w:rFonts w:ascii="Bookman Old Style" w:hAnsi="Bookman Old Style"/>
          <w:sz w:val="24"/>
          <w:szCs w:val="24"/>
        </w:rPr>
        <w:t xml:space="preserve"> </w:t>
      </w:r>
      <w:r w:rsidRPr="008174DB">
        <w:rPr>
          <w:rFonts w:ascii="Bookman Old Style" w:hAnsi="Bookman Old Style"/>
          <w:sz w:val="24"/>
          <w:szCs w:val="24"/>
        </w:rPr>
        <w:t>pengembangan</w:t>
      </w:r>
      <w:r w:rsidR="00A954D0">
        <w:rPr>
          <w:rFonts w:ascii="Bookman Old Style" w:hAnsi="Bookman Old Style"/>
          <w:sz w:val="24"/>
          <w:szCs w:val="24"/>
        </w:rPr>
        <w:t xml:space="preserve"> </w:t>
      </w:r>
      <w:r w:rsidRPr="008174DB">
        <w:rPr>
          <w:rFonts w:ascii="Bookman Old Style" w:hAnsi="Bookman Old Style"/>
          <w:sz w:val="24"/>
          <w:szCs w:val="24"/>
        </w:rPr>
        <w:t>kompetensi</w:t>
      </w:r>
      <w:r w:rsidR="00A954D0">
        <w:rPr>
          <w:rFonts w:ascii="Bookman Old Style" w:hAnsi="Bookman Old Style"/>
          <w:sz w:val="24"/>
          <w:szCs w:val="24"/>
        </w:rPr>
        <w:t xml:space="preserve"> </w:t>
      </w:r>
      <w:r w:rsidRPr="008174DB">
        <w:rPr>
          <w:rFonts w:ascii="Bookman Old Style" w:hAnsi="Bookman Old Style"/>
          <w:sz w:val="24"/>
          <w:szCs w:val="24"/>
        </w:rPr>
        <w:t>penyelenggara</w:t>
      </w:r>
      <w:r w:rsidR="00A954D0">
        <w:rPr>
          <w:rFonts w:ascii="Bookman Old Style" w:hAnsi="Bookman Old Style"/>
          <w:sz w:val="24"/>
          <w:szCs w:val="24"/>
        </w:rPr>
        <w:t xml:space="preserve"> </w:t>
      </w:r>
      <w:r w:rsidRPr="008174DB">
        <w:rPr>
          <w:rFonts w:ascii="Bookman Old Style" w:hAnsi="Bookman Old Style"/>
          <w:sz w:val="24"/>
          <w:szCs w:val="24"/>
        </w:rPr>
        <w:t>pemerintah</w:t>
      </w:r>
      <w:r w:rsidR="00A954D0">
        <w:rPr>
          <w:rFonts w:ascii="Bookman Old Style" w:hAnsi="Bookman Old Style"/>
          <w:sz w:val="24"/>
          <w:szCs w:val="24"/>
        </w:rPr>
        <w:t xml:space="preserve"> </w:t>
      </w:r>
      <w:r w:rsidRPr="008174DB">
        <w:rPr>
          <w:rFonts w:ascii="Bookman Old Style" w:hAnsi="Bookman Old Style"/>
          <w:sz w:val="24"/>
          <w:szCs w:val="24"/>
        </w:rPr>
        <w:t>daerah</w:t>
      </w:r>
      <w:r w:rsidR="00A954D0">
        <w:rPr>
          <w:rFonts w:ascii="Bookman Old Style" w:hAnsi="Bookman Old Style"/>
          <w:sz w:val="24"/>
          <w:szCs w:val="24"/>
        </w:rPr>
        <w:t xml:space="preserve"> </w:t>
      </w:r>
      <w:r w:rsidRPr="008174DB">
        <w:rPr>
          <w:rFonts w:ascii="Bookman Old Style" w:hAnsi="Bookman Old Style"/>
          <w:sz w:val="24"/>
          <w:szCs w:val="24"/>
        </w:rPr>
        <w:t>paling</w:t>
      </w:r>
      <w:r w:rsidR="00A954D0">
        <w:rPr>
          <w:rFonts w:ascii="Bookman Old Style" w:hAnsi="Bookman Old Style"/>
          <w:sz w:val="24"/>
          <w:szCs w:val="24"/>
        </w:rPr>
        <w:t xml:space="preserve"> </w:t>
      </w:r>
      <w:r w:rsidRPr="008174DB">
        <w:rPr>
          <w:rFonts w:ascii="Bookman Old Style" w:hAnsi="Bookman Old Style"/>
          <w:sz w:val="24"/>
          <w:szCs w:val="24"/>
        </w:rPr>
        <w:t>sedikit</w:t>
      </w:r>
      <w:r w:rsidR="00A954D0">
        <w:rPr>
          <w:rFonts w:ascii="Bookman Old Style" w:hAnsi="Bookman Old Style"/>
          <w:sz w:val="24"/>
          <w:szCs w:val="24"/>
        </w:rPr>
        <w:t xml:space="preserve"> </w:t>
      </w:r>
      <w:r w:rsidRPr="008174DB">
        <w:rPr>
          <w:rFonts w:ascii="Bookman Old Style" w:hAnsi="Bookman Old Style"/>
          <w:sz w:val="24"/>
          <w:szCs w:val="24"/>
        </w:rPr>
        <w:t>0,16%</w:t>
      </w:r>
      <w:r w:rsidR="00A954D0">
        <w:rPr>
          <w:rFonts w:ascii="Bookman Old Style" w:hAnsi="Bookman Old Style"/>
          <w:sz w:val="24"/>
          <w:szCs w:val="24"/>
        </w:rPr>
        <w:t xml:space="preserve"> </w:t>
      </w:r>
      <w:r w:rsidRPr="008174DB">
        <w:rPr>
          <w:rFonts w:ascii="Bookman Old Style" w:hAnsi="Bookman Old Style"/>
          <w:sz w:val="24"/>
          <w:szCs w:val="24"/>
        </w:rPr>
        <w:t>(nol</w:t>
      </w:r>
      <w:r w:rsidR="00A954D0">
        <w:rPr>
          <w:rFonts w:ascii="Bookman Old Style" w:hAnsi="Bookman Old Style"/>
          <w:sz w:val="24"/>
          <w:szCs w:val="24"/>
        </w:rPr>
        <w:t xml:space="preserve"> </w:t>
      </w:r>
      <w:r w:rsidRPr="008174DB">
        <w:rPr>
          <w:rFonts w:ascii="Bookman Old Style" w:hAnsi="Bookman Old Style"/>
          <w:sz w:val="24"/>
          <w:szCs w:val="24"/>
        </w:rPr>
        <w:t>koma</w:t>
      </w:r>
      <w:r w:rsidR="00A954D0">
        <w:rPr>
          <w:rFonts w:ascii="Bookman Old Style" w:hAnsi="Bookman Old Style"/>
          <w:sz w:val="24"/>
          <w:szCs w:val="24"/>
        </w:rPr>
        <w:t xml:space="preserve"> </w:t>
      </w:r>
      <w:r w:rsidRPr="008174DB">
        <w:rPr>
          <w:rFonts w:ascii="Bookman Old Style" w:hAnsi="Bookman Old Style"/>
          <w:sz w:val="24"/>
          <w:szCs w:val="24"/>
        </w:rPr>
        <w:t>enam</w:t>
      </w:r>
      <w:r w:rsidR="00A954D0">
        <w:rPr>
          <w:rFonts w:ascii="Bookman Old Style" w:hAnsi="Bookman Old Style"/>
          <w:sz w:val="24"/>
          <w:szCs w:val="24"/>
        </w:rPr>
        <w:t xml:space="preserve"> </w:t>
      </w:r>
      <w:r w:rsidRPr="008174DB">
        <w:rPr>
          <w:rFonts w:ascii="Bookman Old Style" w:hAnsi="Bookman Old Style"/>
          <w:sz w:val="24"/>
          <w:szCs w:val="24"/>
        </w:rPr>
        <w:t>belas</w:t>
      </w:r>
      <w:r w:rsidR="00A954D0">
        <w:rPr>
          <w:rFonts w:ascii="Bookman Old Style" w:hAnsi="Bookman Old Style"/>
          <w:sz w:val="24"/>
          <w:szCs w:val="24"/>
        </w:rPr>
        <w:t xml:space="preserve"> </w:t>
      </w:r>
      <w:r w:rsidRPr="008174DB">
        <w:rPr>
          <w:rFonts w:ascii="Bookman Old Style" w:hAnsi="Bookman Old Style"/>
          <w:sz w:val="24"/>
          <w:szCs w:val="24"/>
        </w:rPr>
        <w:t>persen)</w:t>
      </w:r>
      <w:r w:rsidR="00A954D0">
        <w:rPr>
          <w:rFonts w:ascii="Bookman Old Style" w:hAnsi="Bookman Old Style"/>
          <w:sz w:val="24"/>
          <w:szCs w:val="24"/>
        </w:rPr>
        <w:t xml:space="preserve"> </w:t>
      </w:r>
      <w:r w:rsidRPr="008174DB">
        <w:rPr>
          <w:rFonts w:ascii="Bookman Old Style" w:hAnsi="Bookman Old Style"/>
          <w:sz w:val="24"/>
          <w:szCs w:val="24"/>
        </w:rPr>
        <w:t>dari</w:t>
      </w:r>
      <w:r w:rsidR="00A954D0">
        <w:rPr>
          <w:rFonts w:ascii="Bookman Old Style" w:hAnsi="Bookman Old Style"/>
          <w:sz w:val="24"/>
          <w:szCs w:val="24"/>
        </w:rPr>
        <w:t xml:space="preserve"> </w:t>
      </w:r>
      <w:r w:rsidRPr="008174DB">
        <w:rPr>
          <w:rFonts w:ascii="Bookman Old Style" w:hAnsi="Bookman Old Style"/>
          <w:sz w:val="24"/>
          <w:szCs w:val="24"/>
        </w:rPr>
        <w:t>total</w:t>
      </w:r>
      <w:r w:rsidR="00A954D0">
        <w:rPr>
          <w:rFonts w:ascii="Bookman Old Style" w:hAnsi="Bookman Old Style"/>
          <w:sz w:val="24"/>
          <w:szCs w:val="24"/>
        </w:rPr>
        <w:t xml:space="preserve"> </w:t>
      </w:r>
      <w:r w:rsidRPr="008174DB">
        <w:rPr>
          <w:rFonts w:ascii="Bookman Old Style" w:hAnsi="Bookman Old Style"/>
          <w:sz w:val="24"/>
          <w:szCs w:val="24"/>
        </w:rPr>
        <w:t>belanja</w:t>
      </w:r>
      <w:r w:rsidR="00A954D0">
        <w:rPr>
          <w:rFonts w:ascii="Bookman Old Style" w:hAnsi="Bookman Old Style"/>
          <w:sz w:val="24"/>
          <w:szCs w:val="24"/>
        </w:rPr>
        <w:t xml:space="preserve"> </w:t>
      </w:r>
      <w:r w:rsidRPr="008174DB">
        <w:rPr>
          <w:rFonts w:ascii="Bookman Old Style" w:hAnsi="Bookman Old Style"/>
          <w:sz w:val="24"/>
          <w:szCs w:val="24"/>
        </w:rPr>
        <w:t>daerah</w:t>
      </w:r>
      <w:r w:rsidR="00A954D0">
        <w:rPr>
          <w:rFonts w:ascii="Bookman Old Style" w:hAnsi="Bookman Old Style" w:cs="Arial"/>
          <w:sz w:val="24"/>
          <w:szCs w:val="24"/>
        </w:rPr>
        <w:t xml:space="preserve"> </w:t>
      </w:r>
      <w:r w:rsidRPr="008174DB">
        <w:rPr>
          <w:rFonts w:ascii="Bookman Old Style" w:hAnsi="Bookman Old Style" w:cs="Arial"/>
          <w:sz w:val="24"/>
          <w:szCs w:val="24"/>
        </w:rPr>
        <w:t>di</w:t>
      </w:r>
      <w:r w:rsidR="00A954D0">
        <w:rPr>
          <w:rFonts w:ascii="Bookman Old Style" w:hAnsi="Bookman Old Style" w:cs="Arial"/>
          <w:sz w:val="24"/>
          <w:szCs w:val="24"/>
        </w:rPr>
        <w:t xml:space="preserve"> </w:t>
      </w:r>
      <w:r w:rsidRPr="008174DB">
        <w:rPr>
          <w:rFonts w:ascii="Bookman Old Style" w:hAnsi="Bookman Old Style" w:cs="Arial"/>
          <w:sz w:val="24"/>
          <w:szCs w:val="24"/>
        </w:rPr>
        <w:t>luar</w:t>
      </w:r>
      <w:r w:rsidR="00A954D0">
        <w:rPr>
          <w:rFonts w:ascii="Bookman Old Style" w:hAnsi="Bookman Old Style" w:cs="Arial"/>
          <w:sz w:val="24"/>
          <w:szCs w:val="24"/>
        </w:rPr>
        <w:t xml:space="preserve"> </w:t>
      </w:r>
      <w:r w:rsidRPr="008174DB">
        <w:rPr>
          <w:rFonts w:ascii="Bookman Old Style" w:hAnsi="Bookman Old Style" w:cs="Arial"/>
          <w:sz w:val="24"/>
          <w:szCs w:val="24"/>
        </w:rPr>
        <w:t>Belanja</w:t>
      </w:r>
      <w:r w:rsidR="00A954D0">
        <w:rPr>
          <w:rFonts w:ascii="Bookman Old Style" w:hAnsi="Bookman Old Style" w:cs="Arial"/>
          <w:sz w:val="24"/>
          <w:szCs w:val="24"/>
        </w:rPr>
        <w:t xml:space="preserve"> </w:t>
      </w:r>
      <w:r w:rsidRPr="008174DB">
        <w:rPr>
          <w:rFonts w:ascii="Bookman Old Style" w:hAnsi="Bookman Old Style" w:cs="Arial"/>
          <w:sz w:val="24"/>
          <w:szCs w:val="24"/>
        </w:rPr>
        <w:t>Pegawai</w:t>
      </w:r>
      <w:r w:rsidR="00A954D0">
        <w:rPr>
          <w:rFonts w:ascii="Bookman Old Style" w:hAnsi="Bookman Old Style" w:cs="Arial"/>
          <w:sz w:val="24"/>
          <w:szCs w:val="24"/>
        </w:rPr>
        <w:t xml:space="preserve"> </w:t>
      </w:r>
      <w:r w:rsidRPr="008174DB">
        <w:rPr>
          <w:rFonts w:ascii="Bookman Old Style" w:hAnsi="Bookman Old Style" w:cs="Arial"/>
          <w:sz w:val="24"/>
          <w:szCs w:val="24"/>
        </w:rPr>
        <w:t>dan</w:t>
      </w:r>
      <w:r w:rsidR="00A954D0">
        <w:rPr>
          <w:rFonts w:ascii="Bookman Old Style" w:hAnsi="Bookman Old Style" w:cs="Arial"/>
          <w:sz w:val="24"/>
          <w:szCs w:val="24"/>
        </w:rPr>
        <w:t xml:space="preserve"> </w:t>
      </w:r>
      <w:r w:rsidRPr="008174DB">
        <w:rPr>
          <w:rFonts w:ascii="Bookman Old Style" w:hAnsi="Bookman Old Style" w:cs="Arial"/>
          <w:sz w:val="24"/>
          <w:szCs w:val="24"/>
        </w:rPr>
        <w:t>Belanja</w:t>
      </w:r>
      <w:r w:rsidR="00A954D0">
        <w:rPr>
          <w:rFonts w:ascii="Bookman Old Style" w:hAnsi="Bookman Old Style" w:cs="Arial"/>
          <w:sz w:val="24"/>
          <w:szCs w:val="24"/>
        </w:rPr>
        <w:t xml:space="preserve"> </w:t>
      </w:r>
      <w:r w:rsidRPr="008174DB">
        <w:rPr>
          <w:rFonts w:ascii="Bookman Old Style" w:hAnsi="Bookman Old Style" w:cs="Arial"/>
          <w:sz w:val="24"/>
          <w:szCs w:val="24"/>
        </w:rPr>
        <w:t>Pemeliharaan</w:t>
      </w:r>
      <w:r w:rsidR="00F34F2E">
        <w:rPr>
          <w:rFonts w:ascii="Bookman Old Style" w:hAnsi="Bookman Old Style" w:cs="Arial"/>
          <w:sz w:val="24"/>
          <w:szCs w:val="24"/>
        </w:rPr>
        <w:t>;</w:t>
      </w:r>
    </w:p>
    <w:p w14:paraId="224759E7" w14:textId="67F762EC" w:rsidR="004C3CE0" w:rsidRPr="003255BC" w:rsidRDefault="004C3CE0" w:rsidP="006A368B">
      <w:pPr>
        <w:pStyle w:val="ListParagraph"/>
        <w:numPr>
          <w:ilvl w:val="0"/>
          <w:numId w:val="159"/>
        </w:numPr>
        <w:spacing w:before="60" w:after="0" w:line="276" w:lineRule="auto"/>
        <w:ind w:left="2268" w:hanging="567"/>
        <w:contextualSpacing w:val="0"/>
        <w:jc w:val="both"/>
        <w:rPr>
          <w:rFonts w:ascii="Bookman Old Style" w:hAnsi="Bookman Old Style"/>
          <w:sz w:val="24"/>
          <w:szCs w:val="24"/>
          <w:lang w:val="sv-FI"/>
        </w:rPr>
      </w:pPr>
      <w:r w:rsidRPr="008174DB">
        <w:rPr>
          <w:rFonts w:ascii="Bookman Old Style" w:hAnsi="Bookman Old Style" w:cs="Arial"/>
          <w:sz w:val="24"/>
          <w:szCs w:val="24"/>
          <w:lang w:val="de-DE"/>
        </w:rPr>
        <w:t>alokasi</w:t>
      </w:r>
      <w:r w:rsidR="00A954D0">
        <w:rPr>
          <w:rFonts w:ascii="Bookman Old Style" w:hAnsi="Bookman Old Style" w:cs="Arial"/>
          <w:sz w:val="24"/>
          <w:szCs w:val="24"/>
        </w:rPr>
        <w:t xml:space="preserve"> </w:t>
      </w:r>
      <w:r w:rsidRPr="008174DB">
        <w:rPr>
          <w:rFonts w:ascii="Bookman Old Style" w:hAnsi="Bookman Old Style" w:cs="Arial"/>
          <w:sz w:val="24"/>
          <w:szCs w:val="24"/>
        </w:rPr>
        <w:t>anggaran</w:t>
      </w:r>
      <w:r w:rsidR="00A954D0">
        <w:rPr>
          <w:rFonts w:ascii="Bookman Old Style" w:hAnsi="Bookman Old Style" w:cs="Arial"/>
          <w:sz w:val="24"/>
          <w:szCs w:val="24"/>
        </w:rPr>
        <w:t xml:space="preserve"> </w:t>
      </w:r>
      <w:r w:rsidRPr="008174DB">
        <w:rPr>
          <w:rFonts w:ascii="Bookman Old Style" w:hAnsi="Bookman Old Style"/>
          <w:sz w:val="24"/>
          <w:szCs w:val="24"/>
        </w:rPr>
        <w:t>untuk</w:t>
      </w:r>
      <w:r w:rsidR="00A954D0">
        <w:rPr>
          <w:rFonts w:ascii="Bookman Old Style" w:hAnsi="Bookman Old Style"/>
          <w:sz w:val="24"/>
          <w:szCs w:val="24"/>
        </w:rPr>
        <w:t xml:space="preserve"> </w:t>
      </w:r>
      <w:r w:rsidRPr="008174DB">
        <w:rPr>
          <w:rFonts w:ascii="Bookman Old Style" w:hAnsi="Bookman Old Style"/>
          <w:sz w:val="24"/>
          <w:szCs w:val="24"/>
        </w:rPr>
        <w:t>Penggunaan</w:t>
      </w:r>
      <w:r w:rsidR="00A954D0">
        <w:rPr>
          <w:rFonts w:ascii="Bookman Old Style" w:hAnsi="Bookman Old Style"/>
          <w:sz w:val="24"/>
          <w:szCs w:val="24"/>
        </w:rPr>
        <w:t xml:space="preserve"> </w:t>
      </w:r>
      <w:r w:rsidRPr="008174DB">
        <w:rPr>
          <w:rFonts w:ascii="Bookman Old Style" w:hAnsi="Bookman Old Style"/>
          <w:sz w:val="24"/>
          <w:szCs w:val="24"/>
        </w:rPr>
        <w:t>Produk</w:t>
      </w:r>
      <w:r w:rsidR="00A954D0">
        <w:rPr>
          <w:rFonts w:ascii="Bookman Old Style" w:hAnsi="Bookman Old Style"/>
          <w:sz w:val="24"/>
          <w:szCs w:val="24"/>
        </w:rPr>
        <w:t xml:space="preserve"> </w:t>
      </w:r>
      <w:r w:rsidRPr="008174DB">
        <w:rPr>
          <w:rFonts w:ascii="Bookman Old Style" w:hAnsi="Bookman Old Style"/>
          <w:sz w:val="24"/>
          <w:szCs w:val="24"/>
        </w:rPr>
        <w:t>Dalam</w:t>
      </w:r>
      <w:r w:rsidR="00A954D0">
        <w:rPr>
          <w:rFonts w:ascii="Bookman Old Style" w:hAnsi="Bookman Old Style"/>
          <w:sz w:val="24"/>
          <w:szCs w:val="24"/>
        </w:rPr>
        <w:t xml:space="preserve"> </w:t>
      </w:r>
      <w:r w:rsidRPr="008174DB">
        <w:rPr>
          <w:rFonts w:ascii="Bookman Old Style" w:hAnsi="Bookman Old Style"/>
          <w:sz w:val="24"/>
          <w:szCs w:val="24"/>
        </w:rPr>
        <w:t>Negeri</w:t>
      </w:r>
      <w:r w:rsidR="00A954D0">
        <w:rPr>
          <w:rFonts w:ascii="Bookman Old Style" w:hAnsi="Bookman Old Style"/>
          <w:sz w:val="24"/>
          <w:szCs w:val="24"/>
        </w:rPr>
        <w:t xml:space="preserve"> </w:t>
      </w:r>
      <w:r w:rsidRPr="008174DB">
        <w:rPr>
          <w:rFonts w:ascii="Bookman Old Style" w:hAnsi="Bookman Old Style"/>
          <w:sz w:val="24"/>
          <w:szCs w:val="24"/>
        </w:rPr>
        <w:t>dan</w:t>
      </w:r>
      <w:r w:rsidR="00A954D0">
        <w:rPr>
          <w:rFonts w:ascii="Bookman Old Style" w:hAnsi="Bookman Old Style"/>
          <w:sz w:val="24"/>
          <w:szCs w:val="24"/>
        </w:rPr>
        <w:t xml:space="preserve"> </w:t>
      </w:r>
      <w:r w:rsidRPr="008174DB">
        <w:rPr>
          <w:rFonts w:ascii="Bookman Old Style" w:hAnsi="Bookman Old Style"/>
          <w:sz w:val="24"/>
          <w:szCs w:val="24"/>
        </w:rPr>
        <w:t>Produk</w:t>
      </w:r>
      <w:r w:rsidR="00A954D0">
        <w:rPr>
          <w:rFonts w:ascii="Bookman Old Style" w:hAnsi="Bookman Old Style"/>
          <w:sz w:val="24"/>
          <w:szCs w:val="24"/>
        </w:rPr>
        <w:t xml:space="preserve"> </w:t>
      </w:r>
      <w:r w:rsidRPr="008174DB">
        <w:rPr>
          <w:rFonts w:ascii="Bookman Old Style" w:hAnsi="Bookman Old Style"/>
          <w:sz w:val="24"/>
          <w:szCs w:val="24"/>
        </w:rPr>
        <w:t>Usaha</w:t>
      </w:r>
      <w:r w:rsidR="00A954D0">
        <w:rPr>
          <w:rFonts w:ascii="Bookman Old Style" w:hAnsi="Bookman Old Style"/>
          <w:sz w:val="24"/>
          <w:szCs w:val="24"/>
        </w:rPr>
        <w:t xml:space="preserve"> </w:t>
      </w:r>
      <w:r w:rsidRPr="008174DB">
        <w:rPr>
          <w:rFonts w:ascii="Bookman Old Style" w:hAnsi="Bookman Old Style"/>
          <w:sz w:val="24"/>
          <w:szCs w:val="24"/>
        </w:rPr>
        <w:t>Mikro,</w:t>
      </w:r>
      <w:r w:rsidR="00A954D0">
        <w:rPr>
          <w:rFonts w:ascii="Bookman Old Style" w:hAnsi="Bookman Old Style"/>
          <w:sz w:val="24"/>
          <w:szCs w:val="24"/>
        </w:rPr>
        <w:t xml:space="preserve"> </w:t>
      </w:r>
      <w:r w:rsidRPr="008174DB">
        <w:rPr>
          <w:rFonts w:ascii="Bookman Old Style" w:hAnsi="Bookman Old Style"/>
          <w:sz w:val="24"/>
          <w:szCs w:val="24"/>
        </w:rPr>
        <w:t>Usaha</w:t>
      </w:r>
      <w:r w:rsidR="00A954D0">
        <w:rPr>
          <w:rFonts w:ascii="Bookman Old Style" w:hAnsi="Bookman Old Style"/>
          <w:sz w:val="24"/>
          <w:szCs w:val="24"/>
        </w:rPr>
        <w:t xml:space="preserve"> </w:t>
      </w:r>
      <w:r w:rsidRPr="008174DB">
        <w:rPr>
          <w:rFonts w:ascii="Bookman Old Style" w:hAnsi="Bookman Old Style"/>
          <w:sz w:val="24"/>
          <w:szCs w:val="24"/>
        </w:rPr>
        <w:t>Kecil</w:t>
      </w:r>
      <w:r w:rsidR="00A954D0">
        <w:rPr>
          <w:rFonts w:ascii="Bookman Old Style" w:hAnsi="Bookman Old Style"/>
          <w:sz w:val="24"/>
          <w:szCs w:val="24"/>
        </w:rPr>
        <w:t xml:space="preserve"> </w:t>
      </w:r>
      <w:r w:rsidRPr="008174DB">
        <w:rPr>
          <w:rFonts w:ascii="Bookman Old Style" w:hAnsi="Bookman Old Style"/>
          <w:sz w:val="24"/>
          <w:szCs w:val="24"/>
        </w:rPr>
        <w:t>dan</w:t>
      </w:r>
      <w:r w:rsidR="00A954D0">
        <w:rPr>
          <w:rFonts w:ascii="Bookman Old Style" w:hAnsi="Bookman Old Style"/>
          <w:sz w:val="24"/>
          <w:szCs w:val="24"/>
        </w:rPr>
        <w:t xml:space="preserve"> </w:t>
      </w:r>
      <w:r w:rsidRPr="008174DB">
        <w:rPr>
          <w:rFonts w:ascii="Bookman Old Style" w:hAnsi="Bookman Old Style"/>
          <w:sz w:val="24"/>
          <w:szCs w:val="24"/>
        </w:rPr>
        <w:t>Menengah</w:t>
      </w:r>
      <w:r w:rsidR="00A954D0">
        <w:rPr>
          <w:rFonts w:ascii="Bookman Old Style" w:hAnsi="Bookman Old Style" w:cs="Arial"/>
          <w:sz w:val="24"/>
          <w:szCs w:val="24"/>
          <w:lang w:val="de-DE"/>
        </w:rPr>
        <w:t xml:space="preserve"> </w:t>
      </w:r>
      <w:r w:rsidRPr="008174DB">
        <w:rPr>
          <w:rFonts w:ascii="Bookman Old Style" w:hAnsi="Bookman Old Style" w:cs="Arial"/>
          <w:sz w:val="24"/>
          <w:szCs w:val="24"/>
          <w:lang w:val="de-DE"/>
        </w:rPr>
        <w:t>sekurang-kurangnya</w:t>
      </w:r>
      <w:r w:rsidR="00A954D0">
        <w:rPr>
          <w:rFonts w:ascii="Bookman Old Style" w:hAnsi="Bookman Old Style" w:cs="Arial"/>
          <w:sz w:val="24"/>
          <w:szCs w:val="24"/>
          <w:lang w:val="de-DE"/>
        </w:rPr>
        <w:t xml:space="preserve"> </w:t>
      </w:r>
      <w:r w:rsidRPr="008174DB">
        <w:rPr>
          <w:rFonts w:ascii="Bookman Old Style" w:hAnsi="Bookman Old Style" w:cs="Arial"/>
          <w:sz w:val="24"/>
          <w:szCs w:val="24"/>
        </w:rPr>
        <w:t>4</w:t>
      </w:r>
      <w:r w:rsidRPr="008174DB">
        <w:rPr>
          <w:rFonts w:ascii="Bookman Old Style" w:hAnsi="Bookman Old Style" w:cs="Arial"/>
          <w:sz w:val="24"/>
          <w:szCs w:val="24"/>
          <w:lang w:val="de-DE"/>
        </w:rPr>
        <w:t>0%</w:t>
      </w:r>
      <w:r w:rsidR="00A954D0">
        <w:rPr>
          <w:rFonts w:ascii="Bookman Old Style" w:hAnsi="Bookman Old Style" w:cs="Arial"/>
          <w:sz w:val="24"/>
          <w:szCs w:val="24"/>
          <w:lang w:val="de-DE"/>
        </w:rPr>
        <w:t xml:space="preserve"> </w:t>
      </w:r>
      <w:r w:rsidRPr="008174DB">
        <w:rPr>
          <w:rFonts w:ascii="Bookman Old Style" w:hAnsi="Bookman Old Style" w:cs="Arial"/>
          <w:sz w:val="24"/>
          <w:szCs w:val="24"/>
          <w:lang w:val="de-DE"/>
        </w:rPr>
        <w:t>(</w:t>
      </w:r>
      <w:r w:rsidRPr="008174DB">
        <w:rPr>
          <w:rFonts w:ascii="Bookman Old Style" w:hAnsi="Bookman Old Style" w:cs="Arial"/>
          <w:sz w:val="24"/>
          <w:szCs w:val="24"/>
        </w:rPr>
        <w:t>empat</w:t>
      </w:r>
      <w:r w:rsidR="00A954D0">
        <w:rPr>
          <w:rFonts w:ascii="Bookman Old Style" w:hAnsi="Bookman Old Style" w:cs="Arial"/>
          <w:sz w:val="24"/>
          <w:szCs w:val="24"/>
          <w:lang w:val="de-DE"/>
        </w:rPr>
        <w:t xml:space="preserve"> </w:t>
      </w:r>
      <w:r w:rsidRPr="008174DB">
        <w:rPr>
          <w:rFonts w:ascii="Bookman Old Style" w:hAnsi="Bookman Old Style" w:cs="Arial"/>
          <w:sz w:val="24"/>
          <w:szCs w:val="24"/>
          <w:lang w:val="de-DE"/>
        </w:rPr>
        <w:t>puluh</w:t>
      </w:r>
      <w:r w:rsidR="00A954D0">
        <w:rPr>
          <w:rFonts w:ascii="Bookman Old Style" w:hAnsi="Bookman Old Style" w:cs="Arial"/>
          <w:sz w:val="24"/>
          <w:szCs w:val="24"/>
          <w:lang w:val="de-DE"/>
        </w:rPr>
        <w:t xml:space="preserve"> </w:t>
      </w:r>
      <w:r w:rsidRPr="008174DB">
        <w:rPr>
          <w:rFonts w:ascii="Bookman Old Style" w:hAnsi="Bookman Old Style" w:cs="Arial"/>
          <w:sz w:val="24"/>
          <w:szCs w:val="24"/>
          <w:lang w:val="de-DE"/>
        </w:rPr>
        <w:t>persen)</w:t>
      </w:r>
      <w:r w:rsidR="00A954D0">
        <w:rPr>
          <w:rFonts w:ascii="Bookman Old Style" w:hAnsi="Bookman Old Style" w:cs="Arial"/>
          <w:sz w:val="24"/>
          <w:szCs w:val="24"/>
          <w:lang w:val="de-DE"/>
        </w:rPr>
        <w:t xml:space="preserve"> </w:t>
      </w:r>
      <w:r w:rsidRPr="008174DB">
        <w:rPr>
          <w:rFonts w:ascii="Bookman Old Style" w:hAnsi="Bookman Old Style" w:cs="Arial"/>
          <w:sz w:val="24"/>
          <w:szCs w:val="24"/>
        </w:rPr>
        <w:t>dari</w:t>
      </w:r>
      <w:r w:rsidR="00A954D0">
        <w:rPr>
          <w:rFonts w:ascii="Bookman Old Style" w:hAnsi="Bookman Old Style" w:cs="Arial"/>
          <w:sz w:val="24"/>
          <w:szCs w:val="24"/>
        </w:rPr>
        <w:t xml:space="preserve"> </w:t>
      </w:r>
      <w:r w:rsidRPr="008174DB">
        <w:rPr>
          <w:rFonts w:ascii="Bookman Old Style" w:hAnsi="Bookman Old Style" w:cs="Arial"/>
          <w:sz w:val="24"/>
          <w:szCs w:val="24"/>
        </w:rPr>
        <w:t>total</w:t>
      </w:r>
      <w:r w:rsidR="00A954D0">
        <w:rPr>
          <w:rFonts w:ascii="Bookman Old Style" w:hAnsi="Bookman Old Style" w:cs="Arial"/>
          <w:sz w:val="24"/>
          <w:szCs w:val="24"/>
        </w:rPr>
        <w:t xml:space="preserve"> </w:t>
      </w:r>
      <w:r w:rsidRPr="008174DB">
        <w:rPr>
          <w:rFonts w:ascii="Bookman Old Style" w:hAnsi="Bookman Old Style" w:cs="Arial"/>
          <w:sz w:val="24"/>
          <w:szCs w:val="24"/>
        </w:rPr>
        <w:t>belanja</w:t>
      </w:r>
      <w:r w:rsidR="00A954D0">
        <w:rPr>
          <w:rFonts w:ascii="Bookman Old Style" w:hAnsi="Bookman Old Style" w:cs="Arial"/>
          <w:sz w:val="24"/>
          <w:szCs w:val="24"/>
        </w:rPr>
        <w:t xml:space="preserve"> </w:t>
      </w:r>
      <w:r w:rsidRPr="008174DB">
        <w:rPr>
          <w:rFonts w:ascii="Bookman Old Style" w:hAnsi="Bookman Old Style" w:cs="Arial"/>
          <w:sz w:val="24"/>
          <w:szCs w:val="24"/>
        </w:rPr>
        <w:t>barang</w:t>
      </w:r>
      <w:r w:rsidR="00A954D0">
        <w:rPr>
          <w:rFonts w:ascii="Bookman Old Style" w:hAnsi="Bookman Old Style" w:cs="Arial"/>
          <w:sz w:val="24"/>
          <w:szCs w:val="24"/>
        </w:rPr>
        <w:t xml:space="preserve"> </w:t>
      </w:r>
      <w:r w:rsidRPr="008174DB">
        <w:rPr>
          <w:rFonts w:ascii="Bookman Old Style" w:hAnsi="Bookman Old Style" w:cs="Arial"/>
          <w:sz w:val="24"/>
          <w:szCs w:val="24"/>
        </w:rPr>
        <w:t>dan</w:t>
      </w:r>
      <w:r w:rsidR="00A954D0">
        <w:rPr>
          <w:rFonts w:ascii="Bookman Old Style" w:hAnsi="Bookman Old Style" w:cs="Arial"/>
          <w:sz w:val="24"/>
          <w:szCs w:val="24"/>
        </w:rPr>
        <w:t xml:space="preserve"> </w:t>
      </w:r>
      <w:r w:rsidRPr="008174DB">
        <w:rPr>
          <w:rFonts w:ascii="Bookman Old Style" w:hAnsi="Bookman Old Style" w:cs="Arial"/>
          <w:sz w:val="24"/>
          <w:szCs w:val="24"/>
        </w:rPr>
        <w:t>jasa</w:t>
      </w:r>
      <w:r w:rsidR="00A954D0">
        <w:rPr>
          <w:rFonts w:ascii="Bookman Old Style" w:hAnsi="Bookman Old Style" w:cs="Arial"/>
          <w:sz w:val="24"/>
          <w:szCs w:val="24"/>
        </w:rPr>
        <w:t xml:space="preserve"> </w:t>
      </w:r>
      <w:r w:rsidRPr="008174DB">
        <w:rPr>
          <w:rFonts w:ascii="Bookman Old Style" w:hAnsi="Bookman Old Style" w:cs="Arial"/>
          <w:sz w:val="24"/>
          <w:szCs w:val="24"/>
        </w:rPr>
        <w:t>dan</w:t>
      </w:r>
      <w:r w:rsidR="00A954D0">
        <w:rPr>
          <w:rFonts w:ascii="Bookman Old Style" w:hAnsi="Bookman Old Style" w:cs="Arial"/>
          <w:sz w:val="24"/>
          <w:szCs w:val="24"/>
        </w:rPr>
        <w:t xml:space="preserve"> </w:t>
      </w:r>
      <w:r w:rsidRPr="008174DB">
        <w:rPr>
          <w:rFonts w:ascii="Bookman Old Style" w:hAnsi="Bookman Old Style" w:cs="Arial"/>
          <w:sz w:val="24"/>
          <w:szCs w:val="24"/>
        </w:rPr>
        <w:t>belanja</w:t>
      </w:r>
      <w:r w:rsidR="00A954D0">
        <w:rPr>
          <w:rFonts w:ascii="Bookman Old Style" w:hAnsi="Bookman Old Style" w:cs="Arial"/>
          <w:sz w:val="24"/>
          <w:szCs w:val="24"/>
        </w:rPr>
        <w:t xml:space="preserve"> </w:t>
      </w:r>
      <w:r w:rsidRPr="008174DB">
        <w:rPr>
          <w:rFonts w:ascii="Bookman Old Style" w:hAnsi="Bookman Old Style" w:cs="Arial"/>
          <w:sz w:val="24"/>
          <w:szCs w:val="24"/>
        </w:rPr>
        <w:t>modal</w:t>
      </w:r>
      <w:r w:rsidR="00A954D0">
        <w:rPr>
          <w:rFonts w:ascii="Bookman Old Style" w:hAnsi="Bookman Old Style" w:cs="Arial"/>
          <w:sz w:val="24"/>
          <w:szCs w:val="24"/>
        </w:rPr>
        <w:t xml:space="preserve"> </w:t>
      </w:r>
      <w:r w:rsidRPr="008174DB">
        <w:rPr>
          <w:rFonts w:ascii="Bookman Old Style" w:hAnsi="Bookman Old Style" w:cs="Arial"/>
          <w:sz w:val="24"/>
          <w:szCs w:val="24"/>
        </w:rPr>
        <w:t>di</w:t>
      </w:r>
      <w:r w:rsidR="00A954D0">
        <w:rPr>
          <w:rFonts w:ascii="Bookman Old Style" w:hAnsi="Bookman Old Style" w:cs="Arial"/>
          <w:sz w:val="24"/>
          <w:szCs w:val="24"/>
        </w:rPr>
        <w:t xml:space="preserve"> </w:t>
      </w:r>
      <w:r w:rsidRPr="008174DB">
        <w:rPr>
          <w:rFonts w:ascii="Bookman Old Style" w:hAnsi="Bookman Old Style" w:cs="Arial"/>
          <w:sz w:val="24"/>
          <w:szCs w:val="24"/>
        </w:rPr>
        <w:t>luar</w:t>
      </w:r>
      <w:r w:rsidR="00A954D0">
        <w:rPr>
          <w:rFonts w:ascii="Bookman Old Style" w:hAnsi="Bookman Old Style" w:cs="Arial"/>
          <w:sz w:val="24"/>
          <w:szCs w:val="24"/>
        </w:rPr>
        <w:t xml:space="preserve"> </w:t>
      </w:r>
      <w:r w:rsidRPr="008174DB">
        <w:rPr>
          <w:rFonts w:ascii="Bookman Old Style" w:hAnsi="Bookman Old Style" w:cs="Arial"/>
          <w:sz w:val="24"/>
          <w:szCs w:val="24"/>
        </w:rPr>
        <w:t>belanja</w:t>
      </w:r>
      <w:r w:rsidR="00A954D0">
        <w:rPr>
          <w:rFonts w:ascii="Bookman Old Style" w:hAnsi="Bookman Old Style" w:cs="Arial"/>
          <w:sz w:val="24"/>
          <w:szCs w:val="24"/>
        </w:rPr>
        <w:t xml:space="preserve"> </w:t>
      </w:r>
      <w:r w:rsidRPr="008174DB">
        <w:rPr>
          <w:rFonts w:ascii="Bookman Old Style" w:hAnsi="Bookman Old Style" w:cs="Arial"/>
          <w:sz w:val="24"/>
          <w:szCs w:val="24"/>
        </w:rPr>
        <w:t>modal</w:t>
      </w:r>
      <w:r w:rsidR="00A954D0">
        <w:rPr>
          <w:rFonts w:ascii="Bookman Old Style" w:hAnsi="Bookman Old Style" w:cs="Arial"/>
          <w:sz w:val="24"/>
          <w:szCs w:val="24"/>
        </w:rPr>
        <w:t xml:space="preserve"> </w:t>
      </w:r>
      <w:r w:rsidRPr="008174DB">
        <w:rPr>
          <w:rFonts w:ascii="Bookman Old Style" w:hAnsi="Bookman Old Style" w:cs="Arial"/>
          <w:sz w:val="24"/>
          <w:szCs w:val="24"/>
        </w:rPr>
        <w:t>tanah</w:t>
      </w:r>
      <w:r w:rsidR="00CF200C" w:rsidRPr="003255BC">
        <w:rPr>
          <w:rFonts w:ascii="Bookman Old Style" w:hAnsi="Bookman Old Style" w:cs="Arial"/>
          <w:sz w:val="24"/>
          <w:szCs w:val="24"/>
          <w:lang w:val="sv-FI"/>
        </w:rPr>
        <w:t>.</w:t>
      </w:r>
    </w:p>
    <w:p w14:paraId="2650BBAD" w14:textId="6BBDD3FC" w:rsidR="004C3CE0" w:rsidRPr="008174DB" w:rsidRDefault="004C3CE0" w:rsidP="006A368B">
      <w:pPr>
        <w:pStyle w:val="ListParagraph"/>
        <w:spacing w:before="60" w:after="0" w:line="276" w:lineRule="auto"/>
        <w:ind w:left="1701"/>
        <w:contextualSpacing w:val="0"/>
        <w:jc w:val="both"/>
        <w:rPr>
          <w:rFonts w:ascii="Bookman Old Style" w:hAnsi="Bookman Old Style"/>
          <w:sz w:val="24"/>
          <w:szCs w:val="24"/>
        </w:rPr>
      </w:pPr>
      <w:r w:rsidRPr="003255BC">
        <w:rPr>
          <w:rFonts w:ascii="Bookman Old Style" w:hAnsi="Bookman Old Style" w:cs="Arial"/>
          <w:sz w:val="24"/>
          <w:szCs w:val="24"/>
          <w:lang w:val="sv-FI"/>
        </w:rPr>
        <w:t>Dalam</w:t>
      </w:r>
      <w:r w:rsidR="00A954D0">
        <w:rPr>
          <w:rFonts w:ascii="Bookman Old Style" w:hAnsi="Bookman Old Style"/>
          <w:sz w:val="24"/>
          <w:szCs w:val="24"/>
        </w:rPr>
        <w:t xml:space="preserve"> </w:t>
      </w:r>
      <w:r w:rsidRPr="008174DB">
        <w:rPr>
          <w:rFonts w:ascii="Bookman Old Style" w:hAnsi="Bookman Old Style"/>
          <w:sz w:val="24"/>
          <w:szCs w:val="24"/>
        </w:rPr>
        <w:t>hal</w:t>
      </w:r>
      <w:r w:rsidR="00A954D0">
        <w:rPr>
          <w:rFonts w:ascii="Bookman Old Style" w:hAnsi="Bookman Old Style"/>
          <w:sz w:val="24"/>
          <w:szCs w:val="24"/>
        </w:rPr>
        <w:t xml:space="preserve"> </w:t>
      </w:r>
      <w:r w:rsidRPr="008174DB">
        <w:rPr>
          <w:rFonts w:ascii="Bookman Old Style" w:hAnsi="Bookman Old Style"/>
          <w:sz w:val="24"/>
          <w:szCs w:val="24"/>
        </w:rPr>
        <w:t>Pemerintah</w:t>
      </w:r>
      <w:r w:rsidR="00A954D0">
        <w:rPr>
          <w:rFonts w:ascii="Bookman Old Style" w:hAnsi="Bookman Old Style"/>
          <w:sz w:val="24"/>
          <w:szCs w:val="24"/>
        </w:rPr>
        <w:t xml:space="preserve"> </w:t>
      </w:r>
      <w:r w:rsidRPr="008174DB">
        <w:rPr>
          <w:rFonts w:ascii="Bookman Old Style" w:hAnsi="Bookman Old Style"/>
          <w:sz w:val="24"/>
          <w:szCs w:val="24"/>
        </w:rPr>
        <w:t>Daerah</w:t>
      </w:r>
      <w:r w:rsidR="00A954D0">
        <w:rPr>
          <w:rFonts w:ascii="Bookman Old Style" w:hAnsi="Bookman Old Style"/>
          <w:sz w:val="24"/>
          <w:szCs w:val="24"/>
        </w:rPr>
        <w:t xml:space="preserve"> </w:t>
      </w:r>
      <w:r w:rsidRPr="008174DB">
        <w:rPr>
          <w:rFonts w:ascii="Bookman Old Style" w:hAnsi="Bookman Old Style"/>
          <w:sz w:val="24"/>
          <w:szCs w:val="24"/>
          <w:lang w:val="id-ID"/>
        </w:rPr>
        <w:t>Kota</w:t>
      </w:r>
      <w:r w:rsidR="00A954D0">
        <w:rPr>
          <w:rFonts w:ascii="Bookman Old Style" w:hAnsi="Bookman Old Style"/>
          <w:sz w:val="24"/>
          <w:szCs w:val="24"/>
          <w:lang w:val="id-ID"/>
        </w:rPr>
        <w:t xml:space="preserve"> </w:t>
      </w:r>
      <w:r w:rsidR="00770F22" w:rsidRPr="008174DB">
        <w:rPr>
          <w:rFonts w:ascii="Bookman Old Style" w:hAnsi="Bookman Old Style"/>
          <w:sz w:val="24"/>
          <w:szCs w:val="24"/>
          <w:lang w:val="id-ID"/>
        </w:rPr>
        <w:t>Tangerang</w:t>
      </w:r>
      <w:r w:rsidR="00A954D0">
        <w:rPr>
          <w:rFonts w:ascii="Bookman Old Style" w:hAnsi="Bookman Old Style"/>
          <w:sz w:val="24"/>
          <w:szCs w:val="24"/>
          <w:lang w:val="id-ID"/>
        </w:rPr>
        <w:t xml:space="preserve"> </w:t>
      </w:r>
      <w:r w:rsidRPr="008174DB">
        <w:rPr>
          <w:rFonts w:ascii="Bookman Old Style" w:hAnsi="Bookman Old Style"/>
          <w:sz w:val="24"/>
          <w:szCs w:val="24"/>
        </w:rPr>
        <w:t>telah</w:t>
      </w:r>
      <w:r w:rsidR="00A954D0">
        <w:rPr>
          <w:rFonts w:ascii="Bookman Old Style" w:hAnsi="Bookman Old Style"/>
          <w:sz w:val="24"/>
          <w:szCs w:val="24"/>
        </w:rPr>
        <w:t xml:space="preserve"> </w:t>
      </w:r>
      <w:r w:rsidRPr="008174DB">
        <w:rPr>
          <w:rFonts w:ascii="Bookman Old Style" w:hAnsi="Bookman Old Style"/>
          <w:sz w:val="24"/>
          <w:szCs w:val="24"/>
        </w:rPr>
        <w:t>memprioritaskan</w:t>
      </w:r>
      <w:r w:rsidR="00A954D0">
        <w:rPr>
          <w:rFonts w:ascii="Bookman Old Style" w:hAnsi="Bookman Old Style"/>
          <w:sz w:val="24"/>
          <w:szCs w:val="24"/>
        </w:rPr>
        <w:t xml:space="preserve"> </w:t>
      </w:r>
      <w:r w:rsidRPr="008174DB">
        <w:rPr>
          <w:rFonts w:ascii="Bookman Old Style" w:hAnsi="Bookman Old Style"/>
          <w:sz w:val="24"/>
          <w:szCs w:val="24"/>
        </w:rPr>
        <w:t>pemenuhan</w:t>
      </w:r>
      <w:r w:rsidR="00A954D0">
        <w:rPr>
          <w:rFonts w:ascii="Bookman Old Style" w:hAnsi="Bookman Old Style"/>
          <w:sz w:val="24"/>
          <w:szCs w:val="24"/>
        </w:rPr>
        <w:t xml:space="preserve"> </w:t>
      </w:r>
      <w:r w:rsidRPr="008174DB">
        <w:rPr>
          <w:rFonts w:ascii="Bookman Old Style" w:hAnsi="Bookman Old Style"/>
          <w:sz w:val="24"/>
          <w:szCs w:val="24"/>
        </w:rPr>
        <w:t>belanja</w:t>
      </w:r>
      <w:r w:rsidR="00A954D0">
        <w:rPr>
          <w:rFonts w:ascii="Bookman Old Style" w:hAnsi="Bookman Old Style"/>
          <w:sz w:val="24"/>
          <w:szCs w:val="24"/>
        </w:rPr>
        <w:t xml:space="preserve"> </w:t>
      </w:r>
      <w:r w:rsidRPr="008174DB">
        <w:rPr>
          <w:rFonts w:ascii="Bookman Old Style" w:hAnsi="Bookman Old Style"/>
          <w:sz w:val="24"/>
          <w:szCs w:val="24"/>
        </w:rPr>
        <w:t>untuk</w:t>
      </w:r>
      <w:r w:rsidR="00A954D0">
        <w:rPr>
          <w:rFonts w:ascii="Bookman Old Style" w:hAnsi="Bookman Old Style"/>
          <w:sz w:val="24"/>
          <w:szCs w:val="24"/>
        </w:rPr>
        <w:t xml:space="preserve"> </w:t>
      </w:r>
      <w:r w:rsidRPr="008174DB">
        <w:rPr>
          <w:rFonts w:ascii="Bookman Old Style" w:hAnsi="Bookman Old Style"/>
          <w:sz w:val="24"/>
          <w:szCs w:val="24"/>
        </w:rPr>
        <w:t>mendanai</w:t>
      </w:r>
      <w:r w:rsidR="00A954D0">
        <w:rPr>
          <w:rFonts w:ascii="Bookman Old Style" w:hAnsi="Bookman Old Style"/>
          <w:sz w:val="24"/>
          <w:szCs w:val="24"/>
        </w:rPr>
        <w:t xml:space="preserve"> </w:t>
      </w:r>
      <w:r w:rsidRPr="008174DB">
        <w:rPr>
          <w:rFonts w:ascii="Bookman Old Style" w:hAnsi="Bookman Old Style"/>
          <w:sz w:val="24"/>
          <w:szCs w:val="24"/>
        </w:rPr>
        <w:t>urusan</w:t>
      </w:r>
      <w:r w:rsidR="00A954D0">
        <w:rPr>
          <w:rFonts w:ascii="Bookman Old Style" w:hAnsi="Bookman Old Style"/>
          <w:sz w:val="24"/>
          <w:szCs w:val="24"/>
        </w:rPr>
        <w:t xml:space="preserve"> </w:t>
      </w:r>
      <w:r w:rsidRPr="008174DB">
        <w:rPr>
          <w:rFonts w:ascii="Bookman Old Style" w:hAnsi="Bookman Old Style"/>
          <w:sz w:val="24"/>
          <w:szCs w:val="24"/>
        </w:rPr>
        <w:t>Pemerintahan</w:t>
      </w:r>
      <w:r w:rsidR="00A954D0">
        <w:rPr>
          <w:rFonts w:ascii="Bookman Old Style" w:hAnsi="Bookman Old Style"/>
          <w:sz w:val="24"/>
          <w:szCs w:val="24"/>
        </w:rPr>
        <w:t xml:space="preserve"> </w:t>
      </w:r>
      <w:r w:rsidRPr="008174DB">
        <w:rPr>
          <w:rFonts w:ascii="Bookman Old Style" w:hAnsi="Bookman Old Style"/>
          <w:sz w:val="24"/>
          <w:szCs w:val="24"/>
        </w:rPr>
        <w:t>Wajib</w:t>
      </w:r>
      <w:r w:rsidR="00A954D0">
        <w:rPr>
          <w:rFonts w:ascii="Bookman Old Style" w:hAnsi="Bookman Old Style"/>
          <w:sz w:val="24"/>
          <w:szCs w:val="24"/>
        </w:rPr>
        <w:t xml:space="preserve"> </w:t>
      </w:r>
      <w:r w:rsidRPr="008174DB">
        <w:rPr>
          <w:rFonts w:ascii="Bookman Old Style" w:hAnsi="Bookman Old Style"/>
          <w:sz w:val="24"/>
          <w:szCs w:val="24"/>
        </w:rPr>
        <w:t>dan</w:t>
      </w:r>
      <w:r w:rsidR="00A954D0">
        <w:rPr>
          <w:rFonts w:ascii="Bookman Old Style" w:hAnsi="Bookman Old Style"/>
          <w:sz w:val="24"/>
          <w:szCs w:val="24"/>
        </w:rPr>
        <w:t xml:space="preserve"> </w:t>
      </w:r>
      <w:r w:rsidRPr="008174DB">
        <w:rPr>
          <w:rFonts w:ascii="Bookman Old Style" w:hAnsi="Bookman Old Style"/>
          <w:sz w:val="24"/>
          <w:szCs w:val="24"/>
        </w:rPr>
        <w:t>Urusan</w:t>
      </w:r>
      <w:r w:rsidR="00A954D0">
        <w:rPr>
          <w:rFonts w:ascii="Bookman Old Style" w:hAnsi="Bookman Old Style"/>
          <w:sz w:val="24"/>
          <w:szCs w:val="24"/>
        </w:rPr>
        <w:t xml:space="preserve"> </w:t>
      </w:r>
      <w:r w:rsidRPr="008174DB">
        <w:rPr>
          <w:rFonts w:ascii="Bookman Old Style" w:hAnsi="Bookman Old Style"/>
          <w:sz w:val="24"/>
          <w:szCs w:val="24"/>
        </w:rPr>
        <w:t>Pemerintahan</w:t>
      </w:r>
      <w:r w:rsidR="00A954D0">
        <w:rPr>
          <w:rFonts w:ascii="Bookman Old Style" w:hAnsi="Bookman Old Style"/>
          <w:sz w:val="24"/>
          <w:szCs w:val="24"/>
        </w:rPr>
        <w:t xml:space="preserve"> </w:t>
      </w:r>
      <w:r w:rsidRPr="008174DB">
        <w:rPr>
          <w:rFonts w:ascii="Bookman Old Style" w:hAnsi="Bookman Old Style"/>
          <w:sz w:val="24"/>
          <w:szCs w:val="24"/>
        </w:rPr>
        <w:t>Pilihan</w:t>
      </w:r>
      <w:r w:rsidR="00A954D0">
        <w:rPr>
          <w:rFonts w:ascii="Bookman Old Style" w:hAnsi="Bookman Old Style"/>
          <w:sz w:val="24"/>
          <w:szCs w:val="24"/>
        </w:rPr>
        <w:t xml:space="preserve"> </w:t>
      </w:r>
      <w:r w:rsidRPr="008174DB">
        <w:rPr>
          <w:rFonts w:ascii="Bookman Old Style" w:hAnsi="Bookman Old Style"/>
          <w:sz w:val="24"/>
          <w:szCs w:val="24"/>
        </w:rPr>
        <w:t>yang</w:t>
      </w:r>
      <w:r w:rsidR="00A954D0">
        <w:rPr>
          <w:rFonts w:ascii="Bookman Old Style" w:hAnsi="Bookman Old Style"/>
          <w:sz w:val="24"/>
          <w:szCs w:val="24"/>
        </w:rPr>
        <w:t xml:space="preserve"> </w:t>
      </w:r>
      <w:r w:rsidRPr="008174DB">
        <w:rPr>
          <w:rFonts w:ascii="Bookman Old Style" w:hAnsi="Bookman Old Style"/>
          <w:sz w:val="24"/>
          <w:szCs w:val="24"/>
        </w:rPr>
        <w:t>diwajibkan</w:t>
      </w:r>
      <w:r w:rsidR="00A954D0">
        <w:rPr>
          <w:rFonts w:ascii="Bookman Old Style" w:hAnsi="Bookman Old Style"/>
          <w:sz w:val="24"/>
          <w:szCs w:val="24"/>
        </w:rPr>
        <w:t xml:space="preserve"> </w:t>
      </w:r>
      <w:r w:rsidRPr="008174DB">
        <w:rPr>
          <w:rFonts w:ascii="Bookman Old Style" w:hAnsi="Bookman Old Style"/>
          <w:sz w:val="24"/>
          <w:szCs w:val="24"/>
        </w:rPr>
        <w:t>oleh</w:t>
      </w:r>
      <w:r w:rsidR="00A954D0">
        <w:rPr>
          <w:rFonts w:ascii="Bookman Old Style" w:hAnsi="Bookman Old Style"/>
          <w:sz w:val="24"/>
          <w:szCs w:val="24"/>
        </w:rPr>
        <w:t xml:space="preserve"> </w:t>
      </w:r>
      <w:r w:rsidRPr="008174DB">
        <w:rPr>
          <w:rFonts w:ascii="Bookman Old Style" w:hAnsi="Bookman Old Style"/>
          <w:sz w:val="24"/>
          <w:szCs w:val="24"/>
          <w:lang w:val="id-ID"/>
        </w:rPr>
        <w:t>ketentuan</w:t>
      </w:r>
      <w:r w:rsidR="00A954D0">
        <w:rPr>
          <w:rFonts w:ascii="Bookman Old Style" w:hAnsi="Bookman Old Style"/>
          <w:sz w:val="24"/>
          <w:szCs w:val="24"/>
          <w:lang w:val="id-ID"/>
        </w:rPr>
        <w:t xml:space="preserve"> </w:t>
      </w:r>
      <w:r w:rsidRPr="008174DB">
        <w:rPr>
          <w:rFonts w:ascii="Bookman Old Style" w:hAnsi="Bookman Old Style"/>
          <w:sz w:val="24"/>
          <w:szCs w:val="24"/>
        </w:rPr>
        <w:t>peraturan</w:t>
      </w:r>
      <w:r w:rsidR="00A954D0">
        <w:rPr>
          <w:rFonts w:ascii="Bookman Old Style" w:hAnsi="Bookman Old Style"/>
          <w:sz w:val="24"/>
          <w:szCs w:val="24"/>
        </w:rPr>
        <w:t xml:space="preserve"> </w:t>
      </w:r>
      <w:r w:rsidRPr="008174DB">
        <w:rPr>
          <w:rFonts w:ascii="Bookman Old Style" w:hAnsi="Bookman Old Style"/>
          <w:sz w:val="24"/>
          <w:szCs w:val="24"/>
        </w:rPr>
        <w:t>perundang-undangan</w:t>
      </w:r>
      <w:r w:rsidR="00A954D0">
        <w:rPr>
          <w:rFonts w:ascii="Bookman Old Style" w:hAnsi="Bookman Old Style"/>
          <w:sz w:val="24"/>
          <w:szCs w:val="24"/>
        </w:rPr>
        <w:t xml:space="preserve"> </w:t>
      </w:r>
      <w:r w:rsidRPr="008174DB">
        <w:rPr>
          <w:rFonts w:ascii="Bookman Old Style" w:hAnsi="Bookman Old Style"/>
          <w:sz w:val="24"/>
          <w:szCs w:val="24"/>
        </w:rPr>
        <w:t>sesuai</w:t>
      </w:r>
      <w:r w:rsidR="00A954D0">
        <w:rPr>
          <w:rFonts w:ascii="Bookman Old Style" w:hAnsi="Bookman Old Style"/>
          <w:sz w:val="24"/>
          <w:szCs w:val="24"/>
        </w:rPr>
        <w:t xml:space="preserve"> </w:t>
      </w:r>
      <w:r w:rsidRPr="008174DB">
        <w:rPr>
          <w:rFonts w:ascii="Bookman Old Style" w:hAnsi="Bookman Old Style"/>
          <w:sz w:val="24"/>
          <w:szCs w:val="24"/>
        </w:rPr>
        <w:t>dengan</w:t>
      </w:r>
      <w:r w:rsidR="00A954D0">
        <w:rPr>
          <w:rFonts w:ascii="Bookman Old Style" w:hAnsi="Bookman Old Style"/>
          <w:sz w:val="24"/>
          <w:szCs w:val="24"/>
        </w:rPr>
        <w:t xml:space="preserve"> </w:t>
      </w:r>
      <w:r w:rsidRPr="008174DB">
        <w:rPr>
          <w:rFonts w:ascii="Bookman Old Style" w:hAnsi="Bookman Old Style"/>
          <w:sz w:val="24"/>
          <w:szCs w:val="24"/>
        </w:rPr>
        <w:t>kewenangan</w:t>
      </w:r>
      <w:r w:rsidR="00A954D0">
        <w:rPr>
          <w:rFonts w:ascii="Bookman Old Style" w:hAnsi="Bookman Old Style"/>
          <w:sz w:val="24"/>
          <w:szCs w:val="24"/>
        </w:rPr>
        <w:t xml:space="preserve"> </w:t>
      </w:r>
      <w:r w:rsidRPr="008174DB">
        <w:rPr>
          <w:rFonts w:ascii="Bookman Old Style" w:hAnsi="Bookman Old Style"/>
          <w:sz w:val="24"/>
          <w:szCs w:val="24"/>
        </w:rPr>
        <w:t>Pemerintah</w:t>
      </w:r>
      <w:r w:rsidR="00A954D0">
        <w:rPr>
          <w:rFonts w:ascii="Bookman Old Style" w:hAnsi="Bookman Old Style"/>
          <w:sz w:val="24"/>
          <w:szCs w:val="24"/>
        </w:rPr>
        <w:t xml:space="preserve"> </w:t>
      </w:r>
      <w:r w:rsidRPr="008174DB">
        <w:rPr>
          <w:rFonts w:ascii="Bookman Old Style" w:hAnsi="Bookman Old Style"/>
          <w:sz w:val="24"/>
          <w:szCs w:val="24"/>
        </w:rPr>
        <w:t>Daerah</w:t>
      </w:r>
      <w:r w:rsidR="00A954D0">
        <w:rPr>
          <w:rFonts w:ascii="Bookman Old Style" w:hAnsi="Bookman Old Style"/>
          <w:sz w:val="24"/>
          <w:szCs w:val="24"/>
        </w:rPr>
        <w:t xml:space="preserve"> </w:t>
      </w:r>
      <w:r w:rsidRPr="008174DB">
        <w:rPr>
          <w:rFonts w:ascii="Bookman Old Style" w:hAnsi="Bookman Old Style"/>
          <w:sz w:val="24"/>
          <w:szCs w:val="24"/>
          <w:lang w:val="id-ID"/>
        </w:rPr>
        <w:t>Kota</w:t>
      </w:r>
      <w:r w:rsidR="00A954D0">
        <w:rPr>
          <w:rFonts w:ascii="Bookman Old Style" w:hAnsi="Bookman Old Style"/>
          <w:sz w:val="24"/>
          <w:szCs w:val="24"/>
          <w:lang w:val="id-ID"/>
        </w:rPr>
        <w:t xml:space="preserve"> </w:t>
      </w:r>
      <w:r w:rsidR="00770F22" w:rsidRPr="008174DB">
        <w:rPr>
          <w:rFonts w:ascii="Bookman Old Style" w:hAnsi="Bookman Old Style"/>
          <w:sz w:val="24"/>
          <w:szCs w:val="24"/>
          <w:lang w:val="id-ID"/>
        </w:rPr>
        <w:t>Tangerang</w:t>
      </w:r>
      <w:r w:rsidR="00A954D0">
        <w:rPr>
          <w:rFonts w:ascii="Bookman Old Style" w:hAnsi="Bookman Old Style"/>
          <w:sz w:val="24"/>
          <w:szCs w:val="24"/>
          <w:lang w:val="id-ID"/>
        </w:rPr>
        <w:t xml:space="preserve"> </w:t>
      </w:r>
      <w:r w:rsidRPr="008174DB">
        <w:rPr>
          <w:rFonts w:ascii="Bookman Old Style" w:hAnsi="Bookman Old Style"/>
          <w:sz w:val="24"/>
          <w:szCs w:val="24"/>
        </w:rPr>
        <w:t>serta</w:t>
      </w:r>
      <w:r w:rsidR="00A954D0">
        <w:rPr>
          <w:rFonts w:ascii="Bookman Old Style" w:hAnsi="Bookman Old Style"/>
          <w:sz w:val="24"/>
          <w:szCs w:val="24"/>
        </w:rPr>
        <w:t xml:space="preserve"> </w:t>
      </w:r>
      <w:r w:rsidRPr="008174DB">
        <w:rPr>
          <w:rFonts w:ascii="Bookman Old Style" w:hAnsi="Bookman Old Style"/>
          <w:sz w:val="24"/>
          <w:szCs w:val="24"/>
        </w:rPr>
        <w:t>yang</w:t>
      </w:r>
      <w:r w:rsidR="00A954D0">
        <w:rPr>
          <w:rFonts w:ascii="Bookman Old Style" w:hAnsi="Bookman Old Style"/>
          <w:sz w:val="24"/>
          <w:szCs w:val="24"/>
        </w:rPr>
        <w:t xml:space="preserve"> </w:t>
      </w:r>
      <w:r w:rsidRPr="008174DB">
        <w:rPr>
          <w:rFonts w:ascii="Bookman Old Style" w:hAnsi="Bookman Old Style"/>
          <w:sz w:val="24"/>
          <w:szCs w:val="24"/>
        </w:rPr>
        <w:t>terkait</w:t>
      </w:r>
      <w:r w:rsidR="00A954D0">
        <w:rPr>
          <w:rFonts w:ascii="Bookman Old Style" w:hAnsi="Bookman Old Style"/>
          <w:sz w:val="24"/>
          <w:szCs w:val="24"/>
        </w:rPr>
        <w:t xml:space="preserve"> </w:t>
      </w:r>
      <w:r w:rsidRPr="008174DB">
        <w:rPr>
          <w:rFonts w:ascii="Bookman Old Style" w:hAnsi="Bookman Old Style"/>
          <w:sz w:val="24"/>
          <w:szCs w:val="24"/>
        </w:rPr>
        <w:t>langsung</w:t>
      </w:r>
      <w:r w:rsidR="00A954D0">
        <w:rPr>
          <w:rFonts w:ascii="Bookman Old Style" w:hAnsi="Bookman Old Style"/>
          <w:sz w:val="24"/>
          <w:szCs w:val="24"/>
        </w:rPr>
        <w:t xml:space="preserve"> </w:t>
      </w:r>
      <w:r w:rsidRPr="008174DB">
        <w:rPr>
          <w:rFonts w:ascii="Bookman Old Style" w:hAnsi="Bookman Old Style"/>
          <w:sz w:val="24"/>
          <w:szCs w:val="24"/>
        </w:rPr>
        <w:t>dengan</w:t>
      </w:r>
      <w:r w:rsidR="00A954D0">
        <w:rPr>
          <w:rFonts w:ascii="Bookman Old Style" w:hAnsi="Bookman Old Style"/>
          <w:sz w:val="24"/>
          <w:szCs w:val="24"/>
        </w:rPr>
        <w:t xml:space="preserve"> </w:t>
      </w:r>
      <w:r w:rsidRPr="008174DB">
        <w:rPr>
          <w:rFonts w:ascii="Bookman Old Style" w:hAnsi="Bookman Old Style"/>
          <w:sz w:val="24"/>
          <w:szCs w:val="24"/>
        </w:rPr>
        <w:t>pelayanan</w:t>
      </w:r>
      <w:r w:rsidR="00A954D0">
        <w:rPr>
          <w:rFonts w:ascii="Bookman Old Style" w:hAnsi="Bookman Old Style"/>
          <w:sz w:val="24"/>
          <w:szCs w:val="24"/>
        </w:rPr>
        <w:t xml:space="preserve"> </w:t>
      </w:r>
      <w:r w:rsidRPr="008174DB">
        <w:rPr>
          <w:rFonts w:ascii="Bookman Old Style" w:hAnsi="Bookman Old Style"/>
          <w:sz w:val="24"/>
          <w:szCs w:val="24"/>
        </w:rPr>
        <w:t>dasar</w:t>
      </w:r>
      <w:r w:rsidR="00A954D0">
        <w:rPr>
          <w:rFonts w:ascii="Bookman Old Style" w:hAnsi="Bookman Old Style"/>
          <w:sz w:val="24"/>
          <w:szCs w:val="24"/>
        </w:rPr>
        <w:t xml:space="preserve"> </w:t>
      </w:r>
      <w:r w:rsidRPr="008174DB">
        <w:rPr>
          <w:rFonts w:ascii="Bookman Old Style" w:hAnsi="Bookman Old Style"/>
          <w:sz w:val="24"/>
          <w:szCs w:val="24"/>
        </w:rPr>
        <w:t>kepada</w:t>
      </w:r>
      <w:r w:rsidR="00A954D0">
        <w:rPr>
          <w:rFonts w:ascii="Bookman Old Style" w:hAnsi="Bookman Old Style"/>
          <w:sz w:val="24"/>
          <w:szCs w:val="24"/>
        </w:rPr>
        <w:t xml:space="preserve"> </w:t>
      </w:r>
      <w:r w:rsidRPr="008174DB">
        <w:rPr>
          <w:rFonts w:ascii="Bookman Old Style" w:hAnsi="Bookman Old Style"/>
          <w:sz w:val="24"/>
          <w:szCs w:val="24"/>
        </w:rPr>
        <w:t>masyarakat,</w:t>
      </w:r>
      <w:r w:rsidR="00A954D0">
        <w:rPr>
          <w:rFonts w:ascii="Bookman Old Style" w:hAnsi="Bookman Old Style"/>
          <w:sz w:val="24"/>
          <w:szCs w:val="24"/>
        </w:rPr>
        <w:t xml:space="preserve"> </w:t>
      </w:r>
      <w:r w:rsidRPr="008174DB">
        <w:rPr>
          <w:rFonts w:ascii="Bookman Old Style" w:hAnsi="Bookman Old Style"/>
          <w:sz w:val="24"/>
          <w:szCs w:val="24"/>
        </w:rPr>
        <w:t>penyediaan</w:t>
      </w:r>
      <w:r w:rsidR="00A954D0">
        <w:rPr>
          <w:rFonts w:ascii="Bookman Old Style" w:hAnsi="Bookman Old Style"/>
          <w:sz w:val="24"/>
          <w:szCs w:val="24"/>
        </w:rPr>
        <w:t xml:space="preserve"> </w:t>
      </w:r>
      <w:r w:rsidRPr="003255BC">
        <w:rPr>
          <w:rFonts w:ascii="Bookman Old Style" w:hAnsi="Bookman Old Style"/>
          <w:sz w:val="24"/>
          <w:szCs w:val="24"/>
          <w:lang w:val="sv-FI"/>
        </w:rPr>
        <w:t>anggaran</w:t>
      </w:r>
      <w:r w:rsidR="00A954D0">
        <w:rPr>
          <w:rFonts w:ascii="Bookman Old Style" w:hAnsi="Bookman Old Style"/>
          <w:sz w:val="24"/>
          <w:szCs w:val="24"/>
        </w:rPr>
        <w:t xml:space="preserve"> </w:t>
      </w:r>
      <w:r w:rsidRPr="008174DB">
        <w:rPr>
          <w:rFonts w:ascii="Bookman Old Style" w:hAnsi="Bookman Old Style"/>
          <w:sz w:val="24"/>
          <w:szCs w:val="24"/>
        </w:rPr>
        <w:t>Belanja</w:t>
      </w:r>
      <w:r w:rsidR="00A954D0">
        <w:rPr>
          <w:rFonts w:ascii="Bookman Old Style" w:hAnsi="Bookman Old Style"/>
          <w:sz w:val="24"/>
          <w:szCs w:val="24"/>
        </w:rPr>
        <w:t xml:space="preserve"> </w:t>
      </w:r>
      <w:r w:rsidRPr="008174DB">
        <w:rPr>
          <w:rFonts w:ascii="Bookman Old Style" w:hAnsi="Bookman Old Style"/>
          <w:sz w:val="24"/>
          <w:szCs w:val="24"/>
        </w:rPr>
        <w:t>Hibah</w:t>
      </w:r>
      <w:r w:rsidR="00A954D0">
        <w:rPr>
          <w:rFonts w:ascii="Bookman Old Style" w:hAnsi="Bookman Old Style"/>
          <w:sz w:val="24"/>
          <w:szCs w:val="24"/>
        </w:rPr>
        <w:t xml:space="preserve"> </w:t>
      </w:r>
      <w:r w:rsidRPr="008174DB">
        <w:rPr>
          <w:rFonts w:ascii="Bookman Old Style" w:hAnsi="Bookman Old Style"/>
          <w:sz w:val="24"/>
          <w:szCs w:val="24"/>
        </w:rPr>
        <w:t>dapat</w:t>
      </w:r>
      <w:r w:rsidR="00A954D0">
        <w:rPr>
          <w:rFonts w:ascii="Bookman Old Style" w:hAnsi="Bookman Old Style"/>
          <w:sz w:val="24"/>
          <w:szCs w:val="24"/>
        </w:rPr>
        <w:t xml:space="preserve"> </w:t>
      </w:r>
      <w:r w:rsidRPr="008174DB">
        <w:rPr>
          <w:rFonts w:ascii="Bookman Old Style" w:hAnsi="Bookman Old Style"/>
          <w:sz w:val="24"/>
          <w:szCs w:val="24"/>
        </w:rPr>
        <w:t>dianggarkan</w:t>
      </w:r>
      <w:r w:rsidR="00A954D0">
        <w:rPr>
          <w:rFonts w:ascii="Bookman Old Style" w:hAnsi="Bookman Old Style"/>
          <w:sz w:val="24"/>
          <w:szCs w:val="24"/>
        </w:rPr>
        <w:t xml:space="preserve"> </w:t>
      </w:r>
      <w:r w:rsidRPr="008174DB">
        <w:rPr>
          <w:rFonts w:ascii="Bookman Old Style" w:hAnsi="Bookman Old Style"/>
          <w:sz w:val="24"/>
          <w:szCs w:val="24"/>
        </w:rPr>
        <w:t>sepanjang</w:t>
      </w:r>
      <w:r w:rsidR="00A954D0">
        <w:rPr>
          <w:rFonts w:ascii="Bookman Old Style" w:hAnsi="Bookman Old Style"/>
          <w:sz w:val="24"/>
          <w:szCs w:val="24"/>
        </w:rPr>
        <w:t xml:space="preserve"> </w:t>
      </w:r>
      <w:r w:rsidRPr="008174DB">
        <w:rPr>
          <w:rFonts w:ascii="Bookman Old Style" w:hAnsi="Bookman Old Style"/>
          <w:sz w:val="24"/>
          <w:szCs w:val="24"/>
        </w:rPr>
        <w:t>telah</w:t>
      </w:r>
      <w:r w:rsidR="00A954D0">
        <w:rPr>
          <w:rFonts w:ascii="Bookman Old Style" w:hAnsi="Bookman Old Style"/>
          <w:sz w:val="24"/>
          <w:szCs w:val="24"/>
        </w:rPr>
        <w:t xml:space="preserve"> </w:t>
      </w:r>
      <w:r w:rsidRPr="008174DB">
        <w:rPr>
          <w:rFonts w:ascii="Bookman Old Style" w:hAnsi="Bookman Old Style"/>
          <w:sz w:val="24"/>
          <w:szCs w:val="24"/>
        </w:rPr>
        <w:t>memenuhi</w:t>
      </w:r>
      <w:r w:rsidR="00A954D0">
        <w:rPr>
          <w:rFonts w:ascii="Bookman Old Style" w:hAnsi="Bookman Old Style"/>
          <w:sz w:val="24"/>
          <w:szCs w:val="24"/>
        </w:rPr>
        <w:t xml:space="preserve"> </w:t>
      </w:r>
      <w:r w:rsidRPr="008174DB">
        <w:rPr>
          <w:rFonts w:ascii="Bookman Old Style" w:hAnsi="Bookman Old Style"/>
          <w:sz w:val="24"/>
          <w:szCs w:val="24"/>
        </w:rPr>
        <w:t>persyaratan</w:t>
      </w:r>
      <w:r w:rsidR="00A954D0">
        <w:rPr>
          <w:rFonts w:ascii="Bookman Old Style" w:hAnsi="Bookman Old Style"/>
          <w:sz w:val="24"/>
          <w:szCs w:val="24"/>
        </w:rPr>
        <w:t xml:space="preserve"> </w:t>
      </w:r>
      <w:r w:rsidRPr="008174DB">
        <w:rPr>
          <w:rFonts w:ascii="Bookman Old Style" w:hAnsi="Bookman Old Style"/>
          <w:sz w:val="24"/>
          <w:szCs w:val="24"/>
        </w:rPr>
        <w:t>dalam</w:t>
      </w:r>
      <w:r w:rsidR="00A954D0">
        <w:rPr>
          <w:rFonts w:ascii="Bookman Old Style" w:hAnsi="Bookman Old Style"/>
          <w:sz w:val="24"/>
          <w:szCs w:val="24"/>
        </w:rPr>
        <w:t xml:space="preserve"> </w:t>
      </w:r>
      <w:r w:rsidRPr="008174DB">
        <w:rPr>
          <w:rFonts w:ascii="Bookman Old Style" w:hAnsi="Bookman Old Style"/>
          <w:sz w:val="24"/>
          <w:szCs w:val="24"/>
        </w:rPr>
        <w:t>rangka</w:t>
      </w:r>
      <w:r w:rsidR="00A954D0">
        <w:rPr>
          <w:rFonts w:ascii="Bookman Old Style" w:hAnsi="Bookman Old Style"/>
          <w:sz w:val="24"/>
          <w:szCs w:val="24"/>
        </w:rPr>
        <w:t xml:space="preserve"> </w:t>
      </w:r>
      <w:r w:rsidRPr="008174DB">
        <w:rPr>
          <w:rFonts w:ascii="Bookman Old Style" w:hAnsi="Bookman Old Style"/>
          <w:sz w:val="24"/>
          <w:szCs w:val="24"/>
        </w:rPr>
        <w:t>menunjang</w:t>
      </w:r>
      <w:r w:rsidR="00A954D0">
        <w:rPr>
          <w:rFonts w:ascii="Bookman Old Style" w:hAnsi="Bookman Old Style"/>
          <w:sz w:val="24"/>
          <w:szCs w:val="24"/>
        </w:rPr>
        <w:t xml:space="preserve"> </w:t>
      </w:r>
      <w:r w:rsidRPr="008174DB">
        <w:rPr>
          <w:rFonts w:ascii="Bookman Old Style" w:hAnsi="Bookman Old Style"/>
          <w:sz w:val="24"/>
          <w:szCs w:val="24"/>
        </w:rPr>
        <w:t>pencapaian</w:t>
      </w:r>
      <w:r w:rsidR="00A954D0">
        <w:rPr>
          <w:rFonts w:ascii="Bookman Old Style" w:hAnsi="Bookman Old Style"/>
          <w:sz w:val="24"/>
          <w:szCs w:val="24"/>
        </w:rPr>
        <w:t xml:space="preserve"> </w:t>
      </w:r>
      <w:r w:rsidRPr="008174DB">
        <w:rPr>
          <w:rFonts w:ascii="Bookman Old Style" w:hAnsi="Bookman Old Style"/>
          <w:sz w:val="24"/>
          <w:szCs w:val="24"/>
        </w:rPr>
        <w:t>sasaran</w:t>
      </w:r>
      <w:r w:rsidR="00A954D0">
        <w:rPr>
          <w:rFonts w:ascii="Bookman Old Style" w:hAnsi="Bookman Old Style"/>
          <w:sz w:val="24"/>
          <w:szCs w:val="24"/>
        </w:rPr>
        <w:t xml:space="preserve"> </w:t>
      </w:r>
      <w:r w:rsidRPr="008174DB">
        <w:rPr>
          <w:rFonts w:ascii="Bookman Old Style" w:hAnsi="Bookman Old Style"/>
          <w:sz w:val="24"/>
          <w:szCs w:val="24"/>
        </w:rPr>
        <w:t>program,</w:t>
      </w:r>
      <w:r w:rsidR="00A954D0">
        <w:rPr>
          <w:rFonts w:ascii="Bookman Old Style" w:hAnsi="Bookman Old Style"/>
          <w:sz w:val="24"/>
          <w:szCs w:val="24"/>
        </w:rPr>
        <w:t xml:space="preserve"> </w:t>
      </w:r>
      <w:r w:rsidRPr="008174DB">
        <w:rPr>
          <w:rFonts w:ascii="Bookman Old Style" w:hAnsi="Bookman Old Style"/>
          <w:sz w:val="24"/>
          <w:szCs w:val="24"/>
        </w:rPr>
        <w:t>kegiatan</w:t>
      </w:r>
      <w:r w:rsidR="00A954D0">
        <w:rPr>
          <w:rFonts w:ascii="Bookman Old Style" w:hAnsi="Bookman Old Style"/>
          <w:sz w:val="24"/>
          <w:szCs w:val="24"/>
        </w:rPr>
        <w:t xml:space="preserve"> </w:t>
      </w:r>
      <w:r w:rsidRPr="008174DB">
        <w:rPr>
          <w:rFonts w:ascii="Bookman Old Style" w:hAnsi="Bookman Old Style"/>
          <w:sz w:val="24"/>
          <w:szCs w:val="24"/>
        </w:rPr>
        <w:t>dan</w:t>
      </w:r>
      <w:r w:rsidR="00A954D0">
        <w:rPr>
          <w:rFonts w:ascii="Bookman Old Style" w:hAnsi="Bookman Old Style"/>
          <w:sz w:val="24"/>
          <w:szCs w:val="24"/>
        </w:rPr>
        <w:t xml:space="preserve"> </w:t>
      </w:r>
      <w:r w:rsidRPr="008174DB">
        <w:rPr>
          <w:rFonts w:ascii="Bookman Old Style" w:hAnsi="Bookman Old Style"/>
          <w:sz w:val="24"/>
          <w:szCs w:val="24"/>
        </w:rPr>
        <w:t>sub</w:t>
      </w:r>
      <w:r w:rsidR="00A954D0">
        <w:rPr>
          <w:rFonts w:ascii="Bookman Old Style" w:hAnsi="Bookman Old Style"/>
          <w:sz w:val="24"/>
          <w:szCs w:val="24"/>
        </w:rPr>
        <w:t xml:space="preserve"> </w:t>
      </w:r>
      <w:r w:rsidRPr="008174DB">
        <w:rPr>
          <w:rFonts w:ascii="Bookman Old Style" w:hAnsi="Bookman Old Style"/>
          <w:sz w:val="24"/>
          <w:szCs w:val="24"/>
        </w:rPr>
        <w:t>kegiatan</w:t>
      </w:r>
      <w:r w:rsidR="00A954D0">
        <w:rPr>
          <w:rFonts w:ascii="Bookman Old Style" w:hAnsi="Bookman Old Style"/>
          <w:sz w:val="24"/>
          <w:szCs w:val="24"/>
        </w:rPr>
        <w:t xml:space="preserve"> </w:t>
      </w:r>
      <w:r w:rsidRPr="008174DB">
        <w:rPr>
          <w:rFonts w:ascii="Bookman Old Style" w:hAnsi="Bookman Old Style"/>
          <w:sz w:val="24"/>
          <w:szCs w:val="24"/>
        </w:rPr>
        <w:t>Pemerintah</w:t>
      </w:r>
      <w:r w:rsidR="00A954D0">
        <w:rPr>
          <w:rFonts w:ascii="Bookman Old Style" w:hAnsi="Bookman Old Style"/>
          <w:sz w:val="24"/>
          <w:szCs w:val="24"/>
        </w:rPr>
        <w:t xml:space="preserve"> </w:t>
      </w:r>
      <w:r w:rsidRPr="008174DB">
        <w:rPr>
          <w:rFonts w:ascii="Bookman Old Style" w:hAnsi="Bookman Old Style"/>
          <w:sz w:val="24"/>
          <w:szCs w:val="24"/>
        </w:rPr>
        <w:t>Daerah</w:t>
      </w:r>
      <w:r w:rsidR="00A954D0">
        <w:rPr>
          <w:rFonts w:ascii="Bookman Old Style" w:hAnsi="Bookman Old Style"/>
          <w:sz w:val="24"/>
          <w:szCs w:val="24"/>
        </w:rPr>
        <w:t xml:space="preserve"> </w:t>
      </w:r>
      <w:r w:rsidRPr="008174DB">
        <w:rPr>
          <w:rFonts w:ascii="Bookman Old Style" w:hAnsi="Bookman Old Style"/>
          <w:sz w:val="24"/>
          <w:szCs w:val="24"/>
        </w:rPr>
        <w:t>sesuai</w:t>
      </w:r>
      <w:r w:rsidR="00A954D0">
        <w:rPr>
          <w:rFonts w:ascii="Bookman Old Style" w:hAnsi="Bookman Old Style"/>
          <w:sz w:val="24"/>
          <w:szCs w:val="24"/>
        </w:rPr>
        <w:t xml:space="preserve"> </w:t>
      </w:r>
      <w:r w:rsidRPr="008174DB">
        <w:rPr>
          <w:rFonts w:ascii="Bookman Old Style" w:hAnsi="Bookman Old Style"/>
          <w:sz w:val="24"/>
          <w:szCs w:val="24"/>
        </w:rPr>
        <w:t>urgensi</w:t>
      </w:r>
      <w:r w:rsidR="00A954D0">
        <w:rPr>
          <w:rFonts w:ascii="Bookman Old Style" w:hAnsi="Bookman Old Style"/>
          <w:sz w:val="24"/>
          <w:szCs w:val="24"/>
        </w:rPr>
        <w:t xml:space="preserve"> </w:t>
      </w:r>
      <w:r w:rsidRPr="008174DB">
        <w:rPr>
          <w:rFonts w:ascii="Bookman Old Style" w:hAnsi="Bookman Old Style"/>
          <w:sz w:val="24"/>
          <w:szCs w:val="24"/>
        </w:rPr>
        <w:t>dan</w:t>
      </w:r>
      <w:r w:rsidR="00A954D0">
        <w:rPr>
          <w:rFonts w:ascii="Bookman Old Style" w:hAnsi="Bookman Old Style"/>
          <w:sz w:val="24"/>
          <w:szCs w:val="24"/>
        </w:rPr>
        <w:t xml:space="preserve"> </w:t>
      </w:r>
      <w:r w:rsidRPr="008174DB">
        <w:rPr>
          <w:rFonts w:ascii="Bookman Old Style" w:hAnsi="Bookman Old Style"/>
          <w:sz w:val="24"/>
          <w:szCs w:val="24"/>
        </w:rPr>
        <w:t>kepentingan</w:t>
      </w:r>
      <w:r w:rsidR="00A954D0">
        <w:rPr>
          <w:rFonts w:ascii="Bookman Old Style" w:hAnsi="Bookman Old Style"/>
          <w:sz w:val="24"/>
          <w:szCs w:val="24"/>
        </w:rPr>
        <w:t xml:space="preserve"> </w:t>
      </w:r>
      <w:r w:rsidRPr="008174DB">
        <w:rPr>
          <w:rFonts w:ascii="Bookman Old Style" w:hAnsi="Bookman Old Style"/>
          <w:sz w:val="24"/>
          <w:szCs w:val="24"/>
        </w:rPr>
        <w:t>daerah</w:t>
      </w:r>
      <w:r w:rsidR="00A954D0">
        <w:rPr>
          <w:rFonts w:ascii="Bookman Old Style" w:hAnsi="Bookman Old Style"/>
          <w:sz w:val="24"/>
          <w:szCs w:val="24"/>
        </w:rPr>
        <w:t xml:space="preserve"> </w:t>
      </w:r>
      <w:r w:rsidRPr="008174DB">
        <w:rPr>
          <w:rFonts w:ascii="Bookman Old Style" w:hAnsi="Bookman Old Style"/>
          <w:sz w:val="24"/>
          <w:szCs w:val="24"/>
        </w:rPr>
        <w:t>dalam</w:t>
      </w:r>
      <w:r w:rsidR="00A954D0">
        <w:rPr>
          <w:rFonts w:ascii="Bookman Old Style" w:hAnsi="Bookman Old Style"/>
          <w:sz w:val="24"/>
          <w:szCs w:val="24"/>
        </w:rPr>
        <w:t xml:space="preserve"> </w:t>
      </w:r>
      <w:r w:rsidRPr="008174DB">
        <w:rPr>
          <w:rFonts w:ascii="Bookman Old Style" w:hAnsi="Bookman Old Style"/>
          <w:sz w:val="24"/>
          <w:szCs w:val="24"/>
        </w:rPr>
        <w:t>mendukung</w:t>
      </w:r>
      <w:r w:rsidR="00A954D0">
        <w:rPr>
          <w:rFonts w:ascii="Bookman Old Style" w:hAnsi="Bookman Old Style"/>
          <w:sz w:val="24"/>
          <w:szCs w:val="24"/>
        </w:rPr>
        <w:t xml:space="preserve"> </w:t>
      </w:r>
      <w:r w:rsidRPr="008174DB">
        <w:rPr>
          <w:rFonts w:ascii="Bookman Old Style" w:hAnsi="Bookman Old Style"/>
          <w:sz w:val="24"/>
          <w:szCs w:val="24"/>
        </w:rPr>
        <w:t>terselenggaranya</w:t>
      </w:r>
      <w:r w:rsidR="00A954D0">
        <w:rPr>
          <w:rFonts w:ascii="Bookman Old Style" w:hAnsi="Bookman Old Style"/>
          <w:sz w:val="24"/>
          <w:szCs w:val="24"/>
        </w:rPr>
        <w:t xml:space="preserve"> </w:t>
      </w:r>
      <w:r w:rsidRPr="008174DB">
        <w:rPr>
          <w:rFonts w:ascii="Bookman Old Style" w:hAnsi="Bookman Old Style"/>
          <w:sz w:val="24"/>
          <w:szCs w:val="24"/>
        </w:rPr>
        <w:t>fungsi</w:t>
      </w:r>
      <w:r w:rsidR="00A954D0">
        <w:rPr>
          <w:rFonts w:ascii="Bookman Old Style" w:hAnsi="Bookman Old Style"/>
          <w:sz w:val="24"/>
          <w:szCs w:val="24"/>
        </w:rPr>
        <w:t xml:space="preserve"> </w:t>
      </w:r>
      <w:r w:rsidRPr="008174DB">
        <w:rPr>
          <w:rFonts w:ascii="Bookman Old Style" w:hAnsi="Bookman Old Style"/>
          <w:sz w:val="24"/>
          <w:szCs w:val="24"/>
        </w:rPr>
        <w:t>pemerintahan,</w:t>
      </w:r>
      <w:r w:rsidR="00A954D0">
        <w:rPr>
          <w:rFonts w:ascii="Bookman Old Style" w:hAnsi="Bookman Old Style"/>
          <w:sz w:val="24"/>
          <w:szCs w:val="24"/>
        </w:rPr>
        <w:t xml:space="preserve"> </w:t>
      </w:r>
      <w:r w:rsidRPr="008174DB">
        <w:rPr>
          <w:rFonts w:ascii="Bookman Old Style" w:hAnsi="Bookman Old Style"/>
          <w:sz w:val="24"/>
          <w:szCs w:val="24"/>
        </w:rPr>
        <w:t>pembangunan</w:t>
      </w:r>
      <w:r w:rsidR="00A954D0">
        <w:rPr>
          <w:rFonts w:ascii="Bookman Old Style" w:hAnsi="Bookman Old Style"/>
          <w:sz w:val="24"/>
          <w:szCs w:val="24"/>
        </w:rPr>
        <w:t xml:space="preserve"> </w:t>
      </w:r>
      <w:r w:rsidRPr="008174DB">
        <w:rPr>
          <w:rFonts w:ascii="Bookman Old Style" w:hAnsi="Bookman Old Style"/>
          <w:sz w:val="24"/>
          <w:szCs w:val="24"/>
        </w:rPr>
        <w:t>dan</w:t>
      </w:r>
      <w:r w:rsidR="00A954D0">
        <w:rPr>
          <w:rFonts w:ascii="Bookman Old Style" w:hAnsi="Bookman Old Style"/>
          <w:sz w:val="24"/>
          <w:szCs w:val="24"/>
        </w:rPr>
        <w:t xml:space="preserve"> </w:t>
      </w:r>
      <w:r w:rsidRPr="008174DB">
        <w:rPr>
          <w:rFonts w:ascii="Bookman Old Style" w:hAnsi="Bookman Old Style"/>
          <w:sz w:val="24"/>
          <w:szCs w:val="24"/>
        </w:rPr>
        <w:t>kemasyarakatan</w:t>
      </w:r>
      <w:r w:rsidR="00A954D0">
        <w:rPr>
          <w:rFonts w:ascii="Bookman Old Style" w:hAnsi="Bookman Old Style"/>
          <w:sz w:val="24"/>
          <w:szCs w:val="24"/>
        </w:rPr>
        <w:t xml:space="preserve"> </w:t>
      </w:r>
      <w:r w:rsidRPr="008174DB">
        <w:rPr>
          <w:rFonts w:ascii="Bookman Old Style" w:hAnsi="Bookman Old Style"/>
          <w:sz w:val="24"/>
          <w:szCs w:val="24"/>
        </w:rPr>
        <w:t>dengan</w:t>
      </w:r>
      <w:r w:rsidR="00A954D0">
        <w:rPr>
          <w:rFonts w:ascii="Bookman Old Style" w:hAnsi="Bookman Old Style"/>
          <w:sz w:val="24"/>
          <w:szCs w:val="24"/>
        </w:rPr>
        <w:t xml:space="preserve"> </w:t>
      </w:r>
      <w:r w:rsidRPr="008174DB">
        <w:rPr>
          <w:rFonts w:ascii="Bookman Old Style" w:hAnsi="Bookman Old Style"/>
          <w:sz w:val="24"/>
          <w:szCs w:val="24"/>
        </w:rPr>
        <w:t>memperhatikan</w:t>
      </w:r>
      <w:r w:rsidR="00A954D0">
        <w:rPr>
          <w:rFonts w:ascii="Bookman Old Style" w:hAnsi="Bookman Old Style"/>
          <w:sz w:val="24"/>
          <w:szCs w:val="24"/>
        </w:rPr>
        <w:t xml:space="preserve"> </w:t>
      </w:r>
      <w:r w:rsidRPr="008174DB">
        <w:rPr>
          <w:rFonts w:ascii="Bookman Old Style" w:hAnsi="Bookman Old Style"/>
          <w:sz w:val="24"/>
          <w:szCs w:val="24"/>
        </w:rPr>
        <w:t>asas</w:t>
      </w:r>
      <w:r w:rsidR="00A954D0">
        <w:rPr>
          <w:rFonts w:ascii="Bookman Old Style" w:hAnsi="Bookman Old Style"/>
          <w:sz w:val="24"/>
          <w:szCs w:val="24"/>
        </w:rPr>
        <w:t xml:space="preserve"> </w:t>
      </w:r>
      <w:r w:rsidRPr="008174DB">
        <w:rPr>
          <w:rFonts w:ascii="Bookman Old Style" w:hAnsi="Bookman Old Style"/>
          <w:sz w:val="24"/>
          <w:szCs w:val="24"/>
        </w:rPr>
        <w:t>keadilan,</w:t>
      </w:r>
      <w:r w:rsidR="00A954D0">
        <w:rPr>
          <w:rFonts w:ascii="Bookman Old Style" w:hAnsi="Bookman Old Style"/>
          <w:sz w:val="24"/>
          <w:szCs w:val="24"/>
        </w:rPr>
        <w:t xml:space="preserve"> </w:t>
      </w:r>
      <w:r w:rsidRPr="008174DB">
        <w:rPr>
          <w:rFonts w:ascii="Bookman Old Style" w:hAnsi="Bookman Old Style"/>
          <w:sz w:val="24"/>
          <w:szCs w:val="24"/>
        </w:rPr>
        <w:t>kepatutan,</w:t>
      </w:r>
      <w:r w:rsidR="00A954D0">
        <w:rPr>
          <w:rFonts w:ascii="Bookman Old Style" w:hAnsi="Bookman Old Style"/>
          <w:sz w:val="24"/>
          <w:szCs w:val="24"/>
        </w:rPr>
        <w:t xml:space="preserve"> </w:t>
      </w:r>
      <w:r w:rsidRPr="008174DB">
        <w:rPr>
          <w:rFonts w:ascii="Bookman Old Style" w:hAnsi="Bookman Old Style"/>
          <w:sz w:val="24"/>
          <w:szCs w:val="24"/>
        </w:rPr>
        <w:t>rasionalitas,</w:t>
      </w:r>
      <w:r w:rsidR="00A954D0">
        <w:rPr>
          <w:rFonts w:ascii="Bookman Old Style" w:hAnsi="Bookman Old Style"/>
          <w:sz w:val="24"/>
          <w:szCs w:val="24"/>
        </w:rPr>
        <w:t xml:space="preserve"> </w:t>
      </w:r>
      <w:r w:rsidRPr="008174DB">
        <w:rPr>
          <w:rFonts w:ascii="Bookman Old Style" w:hAnsi="Bookman Old Style"/>
          <w:sz w:val="24"/>
          <w:szCs w:val="24"/>
        </w:rPr>
        <w:t>dan</w:t>
      </w:r>
      <w:r w:rsidR="00A954D0">
        <w:rPr>
          <w:rFonts w:ascii="Bookman Old Style" w:hAnsi="Bookman Old Style"/>
          <w:sz w:val="24"/>
          <w:szCs w:val="24"/>
        </w:rPr>
        <w:t xml:space="preserve"> </w:t>
      </w:r>
      <w:r w:rsidRPr="008174DB">
        <w:rPr>
          <w:rFonts w:ascii="Bookman Old Style" w:hAnsi="Bookman Old Style"/>
          <w:sz w:val="24"/>
          <w:szCs w:val="24"/>
        </w:rPr>
        <w:t>manfaat</w:t>
      </w:r>
      <w:r w:rsidR="00A954D0">
        <w:rPr>
          <w:rFonts w:ascii="Bookman Old Style" w:hAnsi="Bookman Old Style"/>
          <w:sz w:val="24"/>
          <w:szCs w:val="24"/>
        </w:rPr>
        <w:t xml:space="preserve"> </w:t>
      </w:r>
      <w:r w:rsidRPr="008174DB">
        <w:rPr>
          <w:rFonts w:ascii="Bookman Old Style" w:hAnsi="Bookman Old Style"/>
          <w:sz w:val="24"/>
          <w:szCs w:val="24"/>
        </w:rPr>
        <w:t>untuk</w:t>
      </w:r>
      <w:r w:rsidR="00A954D0">
        <w:rPr>
          <w:rFonts w:ascii="Bookman Old Style" w:hAnsi="Bookman Old Style"/>
          <w:sz w:val="24"/>
          <w:szCs w:val="24"/>
        </w:rPr>
        <w:t xml:space="preserve"> </w:t>
      </w:r>
      <w:r w:rsidRPr="008174DB">
        <w:rPr>
          <w:rFonts w:ascii="Bookman Old Style" w:hAnsi="Bookman Old Style"/>
          <w:sz w:val="24"/>
          <w:szCs w:val="24"/>
        </w:rPr>
        <w:t>masyarakat,</w:t>
      </w:r>
      <w:r w:rsidR="00A954D0">
        <w:rPr>
          <w:rFonts w:ascii="Bookman Old Style" w:hAnsi="Bookman Old Style"/>
          <w:sz w:val="24"/>
          <w:szCs w:val="24"/>
        </w:rPr>
        <w:t xml:space="preserve"> </w:t>
      </w:r>
      <w:r w:rsidRPr="008174DB">
        <w:rPr>
          <w:rFonts w:ascii="Bookman Old Style" w:hAnsi="Bookman Old Style"/>
          <w:sz w:val="24"/>
          <w:szCs w:val="24"/>
        </w:rPr>
        <w:t>serta</w:t>
      </w:r>
      <w:r w:rsidR="00A954D0">
        <w:rPr>
          <w:rFonts w:ascii="Bookman Old Style" w:hAnsi="Bookman Old Style"/>
          <w:sz w:val="24"/>
          <w:szCs w:val="24"/>
        </w:rPr>
        <w:t xml:space="preserve"> </w:t>
      </w:r>
      <w:r w:rsidRPr="008174DB">
        <w:rPr>
          <w:rFonts w:ascii="Bookman Old Style" w:hAnsi="Bookman Old Style"/>
          <w:sz w:val="24"/>
          <w:szCs w:val="24"/>
        </w:rPr>
        <w:t>memberikan</w:t>
      </w:r>
      <w:r w:rsidR="00A954D0">
        <w:rPr>
          <w:rFonts w:ascii="Bookman Old Style" w:hAnsi="Bookman Old Style"/>
          <w:sz w:val="24"/>
          <w:szCs w:val="24"/>
        </w:rPr>
        <w:t xml:space="preserve"> </w:t>
      </w:r>
      <w:r w:rsidRPr="008174DB">
        <w:rPr>
          <w:rFonts w:ascii="Bookman Old Style" w:hAnsi="Bookman Old Style"/>
          <w:sz w:val="24"/>
          <w:szCs w:val="24"/>
        </w:rPr>
        <w:t>nilai</w:t>
      </w:r>
      <w:r w:rsidR="00A954D0">
        <w:rPr>
          <w:rFonts w:ascii="Bookman Old Style" w:hAnsi="Bookman Old Style"/>
          <w:sz w:val="24"/>
          <w:szCs w:val="24"/>
        </w:rPr>
        <w:t xml:space="preserve"> </w:t>
      </w:r>
      <w:r w:rsidRPr="008174DB">
        <w:rPr>
          <w:rFonts w:ascii="Bookman Old Style" w:hAnsi="Bookman Old Style"/>
          <w:sz w:val="24"/>
          <w:szCs w:val="24"/>
        </w:rPr>
        <w:t>manfaat</w:t>
      </w:r>
      <w:r w:rsidR="00A954D0">
        <w:rPr>
          <w:rFonts w:ascii="Bookman Old Style" w:hAnsi="Bookman Old Style"/>
          <w:sz w:val="24"/>
          <w:szCs w:val="24"/>
        </w:rPr>
        <w:t xml:space="preserve"> </w:t>
      </w:r>
      <w:r w:rsidRPr="008174DB">
        <w:rPr>
          <w:rFonts w:ascii="Bookman Old Style" w:hAnsi="Bookman Old Style"/>
          <w:sz w:val="24"/>
          <w:szCs w:val="24"/>
        </w:rPr>
        <w:t>bagi</w:t>
      </w:r>
      <w:r w:rsidR="00A954D0">
        <w:rPr>
          <w:rFonts w:ascii="Bookman Old Style" w:hAnsi="Bookman Old Style"/>
          <w:sz w:val="24"/>
          <w:szCs w:val="24"/>
        </w:rPr>
        <w:t xml:space="preserve"> </w:t>
      </w:r>
      <w:r w:rsidRPr="008174DB">
        <w:rPr>
          <w:rFonts w:ascii="Bookman Old Style" w:hAnsi="Bookman Old Style"/>
          <w:sz w:val="24"/>
          <w:szCs w:val="24"/>
        </w:rPr>
        <w:t>Pemerintah</w:t>
      </w:r>
      <w:r w:rsidR="00A954D0">
        <w:rPr>
          <w:rFonts w:ascii="Bookman Old Style" w:hAnsi="Bookman Old Style"/>
          <w:sz w:val="24"/>
          <w:szCs w:val="24"/>
        </w:rPr>
        <w:t xml:space="preserve"> </w:t>
      </w:r>
      <w:r w:rsidRPr="008174DB">
        <w:rPr>
          <w:rFonts w:ascii="Bookman Old Style" w:hAnsi="Bookman Old Style"/>
          <w:sz w:val="24"/>
          <w:szCs w:val="24"/>
        </w:rPr>
        <w:t>Daerah</w:t>
      </w:r>
      <w:r w:rsidR="00A954D0">
        <w:rPr>
          <w:rFonts w:ascii="Bookman Old Style" w:hAnsi="Bookman Old Style"/>
          <w:sz w:val="24"/>
          <w:szCs w:val="24"/>
        </w:rPr>
        <w:t xml:space="preserve"> </w:t>
      </w:r>
      <w:r w:rsidRPr="008174DB">
        <w:rPr>
          <w:rFonts w:ascii="Bookman Old Style" w:hAnsi="Bookman Old Style"/>
          <w:sz w:val="24"/>
          <w:szCs w:val="24"/>
        </w:rPr>
        <w:t>dalam</w:t>
      </w:r>
      <w:r w:rsidR="00A954D0">
        <w:rPr>
          <w:rFonts w:ascii="Bookman Old Style" w:hAnsi="Bookman Old Style"/>
          <w:sz w:val="24"/>
          <w:szCs w:val="24"/>
        </w:rPr>
        <w:t xml:space="preserve"> </w:t>
      </w:r>
      <w:r w:rsidRPr="008174DB">
        <w:rPr>
          <w:rFonts w:ascii="Bookman Old Style" w:hAnsi="Bookman Old Style"/>
          <w:sz w:val="24"/>
          <w:szCs w:val="24"/>
        </w:rPr>
        <w:t>mendukung</w:t>
      </w:r>
      <w:r w:rsidR="00A954D0">
        <w:rPr>
          <w:rFonts w:ascii="Bookman Old Style" w:hAnsi="Bookman Old Style"/>
          <w:sz w:val="24"/>
          <w:szCs w:val="24"/>
        </w:rPr>
        <w:t xml:space="preserve"> </w:t>
      </w:r>
      <w:r w:rsidRPr="008174DB">
        <w:rPr>
          <w:rFonts w:ascii="Bookman Old Style" w:hAnsi="Bookman Old Style"/>
          <w:sz w:val="24"/>
          <w:szCs w:val="24"/>
        </w:rPr>
        <w:t>terselenggaranya</w:t>
      </w:r>
      <w:r w:rsidR="00A954D0">
        <w:rPr>
          <w:rFonts w:ascii="Bookman Old Style" w:hAnsi="Bookman Old Style"/>
          <w:sz w:val="24"/>
          <w:szCs w:val="24"/>
        </w:rPr>
        <w:t xml:space="preserve"> </w:t>
      </w:r>
      <w:r w:rsidRPr="008174DB">
        <w:rPr>
          <w:rFonts w:ascii="Bookman Old Style" w:hAnsi="Bookman Old Style"/>
          <w:sz w:val="24"/>
          <w:szCs w:val="24"/>
        </w:rPr>
        <w:t>fungsi</w:t>
      </w:r>
      <w:r w:rsidR="00A954D0">
        <w:rPr>
          <w:rFonts w:ascii="Bookman Old Style" w:hAnsi="Bookman Old Style"/>
          <w:sz w:val="24"/>
          <w:szCs w:val="24"/>
        </w:rPr>
        <w:t xml:space="preserve"> </w:t>
      </w:r>
      <w:r w:rsidRPr="008174DB">
        <w:rPr>
          <w:rFonts w:ascii="Bookman Old Style" w:hAnsi="Bookman Old Style"/>
          <w:sz w:val="24"/>
          <w:szCs w:val="24"/>
        </w:rPr>
        <w:t>pemerintah,</w:t>
      </w:r>
      <w:r w:rsidR="00A954D0">
        <w:rPr>
          <w:rFonts w:ascii="Bookman Old Style" w:hAnsi="Bookman Old Style"/>
          <w:sz w:val="24"/>
          <w:szCs w:val="24"/>
        </w:rPr>
        <w:t xml:space="preserve"> </w:t>
      </w:r>
      <w:r w:rsidRPr="008174DB">
        <w:rPr>
          <w:rFonts w:ascii="Bookman Old Style" w:hAnsi="Bookman Old Style"/>
          <w:sz w:val="24"/>
          <w:szCs w:val="24"/>
        </w:rPr>
        <w:t>pembangunan</w:t>
      </w:r>
      <w:r w:rsidR="00A954D0">
        <w:rPr>
          <w:rFonts w:ascii="Bookman Old Style" w:hAnsi="Bookman Old Style"/>
          <w:sz w:val="24"/>
          <w:szCs w:val="24"/>
        </w:rPr>
        <w:t xml:space="preserve"> </w:t>
      </w:r>
      <w:r w:rsidRPr="008174DB">
        <w:rPr>
          <w:rFonts w:ascii="Bookman Old Style" w:hAnsi="Bookman Old Style"/>
          <w:sz w:val="24"/>
          <w:szCs w:val="24"/>
        </w:rPr>
        <w:t>dan</w:t>
      </w:r>
      <w:r w:rsidR="00A954D0">
        <w:rPr>
          <w:rFonts w:ascii="Bookman Old Style" w:hAnsi="Bookman Old Style"/>
          <w:sz w:val="24"/>
          <w:szCs w:val="24"/>
        </w:rPr>
        <w:t xml:space="preserve"> </w:t>
      </w:r>
      <w:r w:rsidRPr="008174DB">
        <w:rPr>
          <w:rFonts w:ascii="Bookman Old Style" w:hAnsi="Bookman Old Style"/>
          <w:sz w:val="24"/>
          <w:szCs w:val="24"/>
        </w:rPr>
        <w:t>kemasyarakatan</w:t>
      </w:r>
      <w:r w:rsidR="00A954D0">
        <w:rPr>
          <w:rFonts w:ascii="Bookman Old Style" w:hAnsi="Bookman Old Style"/>
          <w:sz w:val="24"/>
          <w:szCs w:val="24"/>
        </w:rPr>
        <w:t xml:space="preserve"> </w:t>
      </w:r>
      <w:r w:rsidRPr="008174DB">
        <w:rPr>
          <w:rFonts w:ascii="Bookman Old Style" w:hAnsi="Bookman Old Style"/>
          <w:sz w:val="24"/>
          <w:szCs w:val="24"/>
        </w:rPr>
        <w:t>dan</w:t>
      </w:r>
      <w:r w:rsidR="00A954D0">
        <w:rPr>
          <w:rFonts w:ascii="Bookman Old Style" w:hAnsi="Bookman Old Style"/>
          <w:sz w:val="24"/>
          <w:szCs w:val="24"/>
        </w:rPr>
        <w:t xml:space="preserve"> </w:t>
      </w:r>
      <w:r w:rsidRPr="008174DB">
        <w:rPr>
          <w:rFonts w:ascii="Bookman Old Style" w:hAnsi="Bookman Old Style"/>
          <w:sz w:val="24"/>
          <w:szCs w:val="24"/>
        </w:rPr>
        <w:t>dianggarkan</w:t>
      </w:r>
      <w:r w:rsidR="00A954D0">
        <w:rPr>
          <w:rFonts w:ascii="Bookman Old Style" w:hAnsi="Bookman Old Style"/>
          <w:sz w:val="24"/>
          <w:szCs w:val="24"/>
        </w:rPr>
        <w:t xml:space="preserve"> </w:t>
      </w:r>
      <w:r w:rsidRPr="008174DB">
        <w:rPr>
          <w:rFonts w:ascii="Bookman Old Style" w:hAnsi="Bookman Old Style"/>
          <w:sz w:val="24"/>
          <w:szCs w:val="24"/>
        </w:rPr>
        <w:t>pada</w:t>
      </w:r>
      <w:r w:rsidR="00A954D0">
        <w:rPr>
          <w:rFonts w:ascii="Bookman Old Style" w:hAnsi="Bookman Old Style"/>
          <w:sz w:val="24"/>
          <w:szCs w:val="24"/>
        </w:rPr>
        <w:t xml:space="preserve"> </w:t>
      </w:r>
      <w:r w:rsidRPr="008174DB">
        <w:rPr>
          <w:rFonts w:ascii="Bookman Old Style" w:hAnsi="Bookman Old Style"/>
          <w:sz w:val="24"/>
          <w:szCs w:val="24"/>
        </w:rPr>
        <w:t>SKPD</w:t>
      </w:r>
      <w:r w:rsidR="00A954D0">
        <w:rPr>
          <w:rFonts w:ascii="Bookman Old Style" w:hAnsi="Bookman Old Style"/>
          <w:sz w:val="24"/>
          <w:szCs w:val="24"/>
        </w:rPr>
        <w:t xml:space="preserve"> </w:t>
      </w:r>
      <w:r w:rsidRPr="008174DB">
        <w:rPr>
          <w:rFonts w:ascii="Bookman Old Style" w:hAnsi="Bookman Old Style"/>
          <w:sz w:val="24"/>
          <w:szCs w:val="24"/>
        </w:rPr>
        <w:t>terkait</w:t>
      </w:r>
      <w:r w:rsidR="00A954D0">
        <w:rPr>
          <w:rFonts w:ascii="Bookman Old Style" w:hAnsi="Bookman Old Style"/>
          <w:sz w:val="24"/>
          <w:szCs w:val="24"/>
        </w:rPr>
        <w:t xml:space="preserve"> </w:t>
      </w:r>
      <w:r w:rsidRPr="008174DB">
        <w:rPr>
          <w:rFonts w:ascii="Bookman Old Style" w:hAnsi="Bookman Old Style"/>
          <w:sz w:val="24"/>
          <w:szCs w:val="24"/>
        </w:rPr>
        <w:t>dan</w:t>
      </w:r>
      <w:r w:rsidR="00A954D0">
        <w:rPr>
          <w:rFonts w:ascii="Bookman Old Style" w:hAnsi="Bookman Old Style"/>
          <w:sz w:val="24"/>
          <w:szCs w:val="24"/>
        </w:rPr>
        <w:t xml:space="preserve"> </w:t>
      </w:r>
      <w:r w:rsidRPr="008174DB">
        <w:rPr>
          <w:rFonts w:ascii="Bookman Old Style" w:hAnsi="Bookman Old Style"/>
          <w:sz w:val="24"/>
          <w:szCs w:val="24"/>
        </w:rPr>
        <w:t>dirinci</w:t>
      </w:r>
      <w:r w:rsidR="00A954D0">
        <w:rPr>
          <w:rFonts w:ascii="Bookman Old Style" w:hAnsi="Bookman Old Style"/>
          <w:sz w:val="24"/>
          <w:szCs w:val="24"/>
        </w:rPr>
        <w:t xml:space="preserve"> </w:t>
      </w:r>
      <w:r w:rsidRPr="008174DB">
        <w:rPr>
          <w:rFonts w:ascii="Bookman Old Style" w:hAnsi="Bookman Old Style"/>
          <w:sz w:val="24"/>
          <w:szCs w:val="24"/>
        </w:rPr>
        <w:t>menurut</w:t>
      </w:r>
      <w:r w:rsidR="00A954D0">
        <w:rPr>
          <w:rFonts w:ascii="Bookman Old Style" w:hAnsi="Bookman Old Style"/>
          <w:sz w:val="24"/>
          <w:szCs w:val="24"/>
        </w:rPr>
        <w:t xml:space="preserve"> </w:t>
      </w:r>
      <w:r w:rsidRPr="008174DB">
        <w:rPr>
          <w:rFonts w:ascii="Bookman Old Style" w:hAnsi="Bookman Old Style"/>
          <w:sz w:val="24"/>
          <w:szCs w:val="24"/>
        </w:rPr>
        <w:t>objek,</w:t>
      </w:r>
      <w:r w:rsidR="00A954D0">
        <w:rPr>
          <w:rFonts w:ascii="Bookman Old Style" w:hAnsi="Bookman Old Style"/>
          <w:sz w:val="24"/>
          <w:szCs w:val="24"/>
        </w:rPr>
        <w:t xml:space="preserve"> </w:t>
      </w:r>
      <w:r w:rsidRPr="008174DB">
        <w:rPr>
          <w:rFonts w:ascii="Bookman Old Style" w:hAnsi="Bookman Old Style"/>
          <w:sz w:val="24"/>
          <w:szCs w:val="24"/>
        </w:rPr>
        <w:t>rincian</w:t>
      </w:r>
      <w:r w:rsidR="00A954D0">
        <w:rPr>
          <w:rFonts w:ascii="Bookman Old Style" w:hAnsi="Bookman Old Style"/>
          <w:sz w:val="24"/>
          <w:szCs w:val="24"/>
        </w:rPr>
        <w:t xml:space="preserve"> </w:t>
      </w:r>
      <w:r w:rsidRPr="008174DB">
        <w:rPr>
          <w:rFonts w:ascii="Bookman Old Style" w:hAnsi="Bookman Old Style"/>
          <w:sz w:val="24"/>
          <w:szCs w:val="24"/>
        </w:rPr>
        <w:t>objek</w:t>
      </w:r>
      <w:r w:rsidR="00A954D0">
        <w:rPr>
          <w:rFonts w:ascii="Bookman Old Style" w:hAnsi="Bookman Old Style"/>
          <w:sz w:val="24"/>
          <w:szCs w:val="24"/>
        </w:rPr>
        <w:t xml:space="preserve"> </w:t>
      </w:r>
      <w:r w:rsidRPr="008174DB">
        <w:rPr>
          <w:rFonts w:ascii="Bookman Old Style" w:hAnsi="Bookman Old Style"/>
          <w:sz w:val="24"/>
          <w:szCs w:val="24"/>
        </w:rPr>
        <w:t>dan</w:t>
      </w:r>
      <w:r w:rsidR="00A954D0">
        <w:rPr>
          <w:rFonts w:ascii="Bookman Old Style" w:hAnsi="Bookman Old Style"/>
          <w:sz w:val="24"/>
          <w:szCs w:val="24"/>
        </w:rPr>
        <w:t xml:space="preserve"> </w:t>
      </w:r>
      <w:r w:rsidRPr="008174DB">
        <w:rPr>
          <w:rFonts w:ascii="Bookman Old Style" w:hAnsi="Bookman Old Style"/>
          <w:sz w:val="24"/>
          <w:szCs w:val="24"/>
        </w:rPr>
        <w:t>sub</w:t>
      </w:r>
      <w:r w:rsidR="00A954D0">
        <w:rPr>
          <w:rFonts w:ascii="Bookman Old Style" w:hAnsi="Bookman Old Style"/>
          <w:sz w:val="24"/>
          <w:szCs w:val="24"/>
        </w:rPr>
        <w:t xml:space="preserve"> </w:t>
      </w:r>
      <w:r w:rsidRPr="008174DB">
        <w:rPr>
          <w:rFonts w:ascii="Bookman Old Style" w:hAnsi="Bookman Old Style"/>
          <w:sz w:val="24"/>
          <w:szCs w:val="24"/>
        </w:rPr>
        <w:t>rincian</w:t>
      </w:r>
      <w:r w:rsidR="00A954D0">
        <w:rPr>
          <w:rFonts w:ascii="Bookman Old Style" w:hAnsi="Bookman Old Style"/>
          <w:sz w:val="24"/>
          <w:szCs w:val="24"/>
        </w:rPr>
        <w:t xml:space="preserve"> </w:t>
      </w:r>
      <w:r w:rsidRPr="008174DB">
        <w:rPr>
          <w:rFonts w:ascii="Bookman Old Style" w:hAnsi="Bookman Old Style"/>
          <w:sz w:val="24"/>
          <w:szCs w:val="24"/>
        </w:rPr>
        <w:t>objek</w:t>
      </w:r>
      <w:r w:rsidR="00A954D0">
        <w:rPr>
          <w:rFonts w:ascii="Bookman Old Style" w:hAnsi="Bookman Old Style"/>
          <w:sz w:val="24"/>
          <w:szCs w:val="24"/>
        </w:rPr>
        <w:t xml:space="preserve"> </w:t>
      </w:r>
      <w:r w:rsidRPr="008174DB">
        <w:rPr>
          <w:rFonts w:ascii="Bookman Old Style" w:hAnsi="Bookman Old Style"/>
          <w:sz w:val="24"/>
          <w:szCs w:val="24"/>
        </w:rPr>
        <w:t>sebagaimana</w:t>
      </w:r>
      <w:r w:rsidR="00A954D0">
        <w:rPr>
          <w:rFonts w:ascii="Bookman Old Style" w:hAnsi="Bookman Old Style"/>
          <w:sz w:val="24"/>
          <w:szCs w:val="24"/>
        </w:rPr>
        <w:t xml:space="preserve"> </w:t>
      </w:r>
      <w:r w:rsidRPr="008174DB">
        <w:rPr>
          <w:rFonts w:ascii="Bookman Old Style" w:hAnsi="Bookman Old Style"/>
          <w:sz w:val="24"/>
          <w:szCs w:val="24"/>
        </w:rPr>
        <w:t>maksud</w:t>
      </w:r>
      <w:r w:rsidR="00A954D0">
        <w:rPr>
          <w:rFonts w:ascii="Bookman Old Style" w:hAnsi="Bookman Old Style"/>
          <w:sz w:val="24"/>
          <w:szCs w:val="24"/>
        </w:rPr>
        <w:t xml:space="preserve"> </w:t>
      </w:r>
      <w:r w:rsidRPr="008174DB">
        <w:rPr>
          <w:rFonts w:ascii="Bookman Old Style" w:hAnsi="Bookman Old Style"/>
          <w:sz w:val="24"/>
          <w:szCs w:val="24"/>
        </w:rPr>
        <w:t>Pasal</w:t>
      </w:r>
      <w:r w:rsidR="00A954D0">
        <w:rPr>
          <w:rFonts w:ascii="Bookman Old Style" w:hAnsi="Bookman Old Style"/>
          <w:sz w:val="24"/>
          <w:szCs w:val="24"/>
        </w:rPr>
        <w:t xml:space="preserve"> </w:t>
      </w:r>
      <w:r w:rsidRPr="008174DB">
        <w:rPr>
          <w:rFonts w:ascii="Bookman Old Style" w:hAnsi="Bookman Old Style"/>
          <w:sz w:val="24"/>
          <w:szCs w:val="24"/>
        </w:rPr>
        <w:t>298</w:t>
      </w:r>
      <w:r w:rsidR="00A954D0">
        <w:rPr>
          <w:rFonts w:ascii="Bookman Old Style" w:hAnsi="Bookman Old Style"/>
          <w:sz w:val="24"/>
          <w:szCs w:val="24"/>
        </w:rPr>
        <w:t xml:space="preserve"> </w:t>
      </w:r>
      <w:r w:rsidRPr="008174DB">
        <w:rPr>
          <w:rFonts w:ascii="Bookman Old Style" w:hAnsi="Bookman Old Style"/>
          <w:sz w:val="24"/>
          <w:szCs w:val="24"/>
        </w:rPr>
        <w:t>ayat</w:t>
      </w:r>
      <w:r w:rsidR="00A954D0">
        <w:rPr>
          <w:rFonts w:ascii="Bookman Old Style" w:hAnsi="Bookman Old Style"/>
          <w:sz w:val="24"/>
          <w:szCs w:val="24"/>
        </w:rPr>
        <w:t xml:space="preserve"> </w:t>
      </w:r>
      <w:r w:rsidRPr="008174DB">
        <w:rPr>
          <w:rFonts w:ascii="Bookman Old Style" w:hAnsi="Bookman Old Style"/>
          <w:sz w:val="24"/>
          <w:szCs w:val="24"/>
        </w:rPr>
        <w:t>(4)</w:t>
      </w:r>
      <w:r w:rsidR="00A954D0">
        <w:rPr>
          <w:rFonts w:ascii="Bookman Old Style" w:hAnsi="Bookman Old Style"/>
          <w:sz w:val="24"/>
          <w:szCs w:val="24"/>
        </w:rPr>
        <w:t xml:space="preserve"> </w:t>
      </w:r>
      <w:r w:rsidRPr="008174DB">
        <w:rPr>
          <w:rFonts w:ascii="Bookman Old Style" w:hAnsi="Bookman Old Style"/>
          <w:sz w:val="24"/>
          <w:szCs w:val="24"/>
        </w:rPr>
        <w:t>dan</w:t>
      </w:r>
      <w:r w:rsidR="00A954D0">
        <w:rPr>
          <w:rFonts w:ascii="Bookman Old Style" w:hAnsi="Bookman Old Style"/>
          <w:sz w:val="24"/>
          <w:szCs w:val="24"/>
        </w:rPr>
        <w:t xml:space="preserve"> </w:t>
      </w:r>
      <w:r w:rsidRPr="008174DB">
        <w:rPr>
          <w:rFonts w:ascii="Bookman Old Style" w:hAnsi="Bookman Old Style"/>
          <w:sz w:val="24"/>
          <w:szCs w:val="24"/>
        </w:rPr>
        <w:t>ayat</w:t>
      </w:r>
      <w:r w:rsidR="00A954D0">
        <w:rPr>
          <w:rFonts w:ascii="Bookman Old Style" w:hAnsi="Bookman Old Style"/>
          <w:sz w:val="24"/>
          <w:szCs w:val="24"/>
        </w:rPr>
        <w:t xml:space="preserve"> </w:t>
      </w:r>
      <w:r w:rsidRPr="008174DB">
        <w:rPr>
          <w:rFonts w:ascii="Bookman Old Style" w:hAnsi="Bookman Old Style"/>
          <w:sz w:val="24"/>
          <w:szCs w:val="24"/>
        </w:rPr>
        <w:t>(5)</w:t>
      </w:r>
      <w:r w:rsidR="00A954D0">
        <w:rPr>
          <w:rFonts w:ascii="Bookman Old Style" w:hAnsi="Bookman Old Style"/>
          <w:sz w:val="24"/>
          <w:szCs w:val="24"/>
        </w:rPr>
        <w:t xml:space="preserve"> </w:t>
      </w:r>
      <w:r w:rsidRPr="008174DB">
        <w:rPr>
          <w:rFonts w:ascii="Bookman Old Style" w:hAnsi="Bookman Old Style"/>
          <w:sz w:val="24"/>
          <w:szCs w:val="24"/>
        </w:rPr>
        <w:t>Undang-Undang</w:t>
      </w:r>
      <w:r w:rsidR="00A954D0">
        <w:rPr>
          <w:rFonts w:ascii="Bookman Old Style" w:hAnsi="Bookman Old Style"/>
          <w:sz w:val="24"/>
          <w:szCs w:val="24"/>
        </w:rPr>
        <w:t xml:space="preserve"> </w:t>
      </w:r>
      <w:r w:rsidRPr="008174DB">
        <w:rPr>
          <w:rFonts w:ascii="Bookman Old Style" w:hAnsi="Bookman Old Style"/>
          <w:sz w:val="24"/>
          <w:szCs w:val="24"/>
        </w:rPr>
        <w:t>Nomor</w:t>
      </w:r>
      <w:r w:rsidR="00A954D0">
        <w:rPr>
          <w:rFonts w:ascii="Bookman Old Style" w:hAnsi="Bookman Old Style"/>
          <w:sz w:val="24"/>
          <w:szCs w:val="24"/>
        </w:rPr>
        <w:t xml:space="preserve"> </w:t>
      </w:r>
      <w:r w:rsidRPr="008174DB">
        <w:rPr>
          <w:rFonts w:ascii="Bookman Old Style" w:hAnsi="Bookman Old Style"/>
          <w:sz w:val="24"/>
          <w:szCs w:val="24"/>
        </w:rPr>
        <w:t>23</w:t>
      </w:r>
      <w:r w:rsidR="00A954D0">
        <w:rPr>
          <w:rFonts w:ascii="Bookman Old Style" w:hAnsi="Bookman Old Style"/>
          <w:sz w:val="24"/>
          <w:szCs w:val="24"/>
        </w:rPr>
        <w:t xml:space="preserve"> </w:t>
      </w:r>
      <w:r w:rsidRPr="008174DB">
        <w:rPr>
          <w:rFonts w:ascii="Bookman Old Style" w:hAnsi="Bookman Old Style"/>
          <w:sz w:val="24"/>
          <w:szCs w:val="24"/>
        </w:rPr>
        <w:t>Tahun</w:t>
      </w:r>
      <w:r w:rsidR="00A954D0">
        <w:rPr>
          <w:rFonts w:ascii="Bookman Old Style" w:hAnsi="Bookman Old Style"/>
          <w:sz w:val="24"/>
          <w:szCs w:val="24"/>
        </w:rPr>
        <w:t xml:space="preserve"> </w:t>
      </w:r>
      <w:r w:rsidRPr="008174DB">
        <w:rPr>
          <w:rFonts w:ascii="Bookman Old Style" w:hAnsi="Bookman Old Style"/>
          <w:sz w:val="24"/>
          <w:szCs w:val="24"/>
        </w:rPr>
        <w:t>2014</w:t>
      </w:r>
      <w:r w:rsidRPr="008174DB">
        <w:rPr>
          <w:rFonts w:ascii="Bookman Old Style" w:hAnsi="Bookman Old Style" w:cs="Arial"/>
          <w:sz w:val="24"/>
          <w:szCs w:val="24"/>
        </w:rPr>
        <w:t>,</w:t>
      </w:r>
      <w:r w:rsidR="00A954D0">
        <w:rPr>
          <w:rFonts w:ascii="Bookman Old Style" w:hAnsi="Bookman Old Style" w:cs="Arial"/>
          <w:sz w:val="24"/>
          <w:szCs w:val="24"/>
        </w:rPr>
        <w:t xml:space="preserve"> </w:t>
      </w:r>
      <w:r w:rsidRPr="008174DB">
        <w:rPr>
          <w:rFonts w:ascii="Bookman Old Style" w:hAnsi="Bookman Old Style"/>
          <w:spacing w:val="-4"/>
          <w:sz w:val="24"/>
          <w:szCs w:val="24"/>
        </w:rPr>
        <w:lastRenderedPageBreak/>
        <w:t>sebagaimana</w:t>
      </w:r>
      <w:r w:rsidR="00A954D0">
        <w:rPr>
          <w:rFonts w:ascii="Bookman Old Style" w:hAnsi="Bookman Old Style"/>
          <w:spacing w:val="-4"/>
          <w:sz w:val="24"/>
          <w:szCs w:val="24"/>
        </w:rPr>
        <w:t xml:space="preserve"> </w:t>
      </w:r>
      <w:r w:rsidRPr="008174DB">
        <w:rPr>
          <w:rFonts w:ascii="Bookman Old Style" w:hAnsi="Bookman Old Style" w:cs="Arial"/>
          <w:spacing w:val="-6"/>
          <w:sz w:val="24"/>
          <w:szCs w:val="24"/>
        </w:rPr>
        <w:t>telah</w:t>
      </w:r>
      <w:r w:rsidR="00A954D0">
        <w:rPr>
          <w:rFonts w:ascii="Bookman Old Style" w:hAnsi="Bookman Old Style" w:cs="Arial"/>
          <w:spacing w:val="-6"/>
          <w:sz w:val="24"/>
          <w:szCs w:val="24"/>
        </w:rPr>
        <w:t xml:space="preserve"> </w:t>
      </w:r>
      <w:r w:rsidRPr="008174DB">
        <w:rPr>
          <w:rFonts w:ascii="Bookman Old Style" w:hAnsi="Bookman Old Style" w:cs="Arial"/>
          <w:spacing w:val="-6"/>
          <w:sz w:val="24"/>
          <w:szCs w:val="24"/>
        </w:rPr>
        <w:t>diubah</w:t>
      </w:r>
      <w:r w:rsidR="00A954D0">
        <w:rPr>
          <w:rFonts w:ascii="Bookman Old Style" w:hAnsi="Bookman Old Style" w:cs="Arial"/>
          <w:spacing w:val="-6"/>
          <w:sz w:val="24"/>
          <w:szCs w:val="24"/>
        </w:rPr>
        <w:t xml:space="preserve"> </w:t>
      </w:r>
      <w:r w:rsidRPr="008174DB">
        <w:rPr>
          <w:rFonts w:ascii="Bookman Old Style" w:hAnsi="Bookman Old Style" w:cs="Arial"/>
          <w:spacing w:val="-6"/>
          <w:sz w:val="24"/>
          <w:szCs w:val="24"/>
        </w:rPr>
        <w:t>beberapa</w:t>
      </w:r>
      <w:r w:rsidR="00A954D0">
        <w:rPr>
          <w:rFonts w:ascii="Bookman Old Style" w:hAnsi="Bookman Old Style" w:cs="Arial"/>
          <w:spacing w:val="-6"/>
          <w:sz w:val="24"/>
          <w:szCs w:val="24"/>
        </w:rPr>
        <w:t xml:space="preserve"> </w:t>
      </w:r>
      <w:r w:rsidRPr="008174DB">
        <w:rPr>
          <w:rFonts w:ascii="Bookman Old Style" w:hAnsi="Bookman Old Style" w:cs="Arial"/>
          <w:spacing w:val="-6"/>
          <w:sz w:val="24"/>
          <w:szCs w:val="24"/>
        </w:rPr>
        <w:t>kali</w:t>
      </w:r>
      <w:r w:rsidR="00A954D0">
        <w:rPr>
          <w:rFonts w:ascii="Bookman Old Style" w:hAnsi="Bookman Old Style" w:cs="Arial"/>
          <w:spacing w:val="-6"/>
          <w:sz w:val="24"/>
          <w:szCs w:val="24"/>
        </w:rPr>
        <w:t xml:space="preserve"> </w:t>
      </w:r>
      <w:r w:rsidRPr="008174DB">
        <w:rPr>
          <w:rFonts w:ascii="Bookman Old Style" w:hAnsi="Bookman Old Style" w:cs="Arial"/>
          <w:spacing w:val="-6"/>
          <w:sz w:val="24"/>
          <w:szCs w:val="24"/>
        </w:rPr>
        <w:t>terakhir</w:t>
      </w:r>
      <w:r w:rsidR="00A954D0">
        <w:rPr>
          <w:rFonts w:ascii="Bookman Old Style" w:hAnsi="Bookman Old Style" w:cs="Arial"/>
          <w:spacing w:val="-6"/>
          <w:sz w:val="24"/>
          <w:szCs w:val="24"/>
        </w:rPr>
        <w:t xml:space="preserve"> </w:t>
      </w:r>
      <w:r w:rsidRPr="008174DB">
        <w:rPr>
          <w:rFonts w:ascii="Bookman Old Style" w:hAnsi="Bookman Old Style"/>
          <w:spacing w:val="-4"/>
          <w:sz w:val="24"/>
          <w:szCs w:val="24"/>
        </w:rPr>
        <w:t>dengan</w:t>
      </w:r>
      <w:r w:rsidR="00A954D0">
        <w:rPr>
          <w:rFonts w:ascii="Bookman Old Style" w:hAnsi="Bookman Old Style"/>
          <w:spacing w:val="-4"/>
          <w:sz w:val="24"/>
          <w:szCs w:val="24"/>
        </w:rPr>
        <w:t xml:space="preserve"> </w:t>
      </w:r>
      <w:r w:rsidRPr="008174DB">
        <w:rPr>
          <w:rFonts w:ascii="Bookman Old Style" w:hAnsi="Bookman Old Style"/>
          <w:spacing w:val="-4"/>
          <w:sz w:val="24"/>
          <w:szCs w:val="24"/>
        </w:rPr>
        <w:t>Undang-Undang</w:t>
      </w:r>
      <w:r w:rsidR="00A954D0">
        <w:rPr>
          <w:rFonts w:ascii="Bookman Old Style" w:hAnsi="Bookman Old Style"/>
          <w:spacing w:val="-4"/>
          <w:sz w:val="24"/>
          <w:szCs w:val="24"/>
        </w:rPr>
        <w:t xml:space="preserve"> </w:t>
      </w:r>
      <w:r w:rsidRPr="008174DB">
        <w:rPr>
          <w:rFonts w:ascii="Bookman Old Style" w:hAnsi="Bookman Old Style"/>
          <w:spacing w:val="-4"/>
          <w:sz w:val="24"/>
          <w:szCs w:val="24"/>
        </w:rPr>
        <w:t>Nomor</w:t>
      </w:r>
      <w:r w:rsidR="00A954D0">
        <w:rPr>
          <w:rFonts w:ascii="Bookman Old Style" w:hAnsi="Bookman Old Style"/>
          <w:spacing w:val="-4"/>
          <w:sz w:val="24"/>
          <w:szCs w:val="24"/>
        </w:rPr>
        <w:t xml:space="preserve"> </w:t>
      </w:r>
      <w:r w:rsidRPr="008174DB">
        <w:rPr>
          <w:rFonts w:ascii="Bookman Old Style" w:hAnsi="Bookman Old Style"/>
          <w:spacing w:val="-4"/>
          <w:sz w:val="24"/>
          <w:szCs w:val="24"/>
        </w:rPr>
        <w:t>6</w:t>
      </w:r>
      <w:r w:rsidR="00A954D0">
        <w:rPr>
          <w:rFonts w:ascii="Bookman Old Style" w:hAnsi="Bookman Old Style"/>
          <w:spacing w:val="-4"/>
          <w:sz w:val="24"/>
          <w:szCs w:val="24"/>
        </w:rPr>
        <w:t xml:space="preserve"> </w:t>
      </w:r>
      <w:r w:rsidRPr="008174DB">
        <w:rPr>
          <w:rFonts w:ascii="Bookman Old Style" w:hAnsi="Bookman Old Style"/>
          <w:spacing w:val="-4"/>
          <w:sz w:val="24"/>
          <w:szCs w:val="24"/>
        </w:rPr>
        <w:t>Tahun</w:t>
      </w:r>
      <w:r w:rsidR="00A954D0">
        <w:rPr>
          <w:rFonts w:ascii="Bookman Old Style" w:hAnsi="Bookman Old Style"/>
          <w:spacing w:val="-4"/>
          <w:sz w:val="24"/>
          <w:szCs w:val="24"/>
        </w:rPr>
        <w:t xml:space="preserve"> </w:t>
      </w:r>
      <w:r w:rsidRPr="008174DB">
        <w:rPr>
          <w:rFonts w:ascii="Bookman Old Style" w:hAnsi="Bookman Old Style"/>
          <w:spacing w:val="-4"/>
          <w:sz w:val="24"/>
          <w:szCs w:val="24"/>
        </w:rPr>
        <w:t>2023</w:t>
      </w:r>
      <w:r w:rsidRPr="008174DB">
        <w:rPr>
          <w:rFonts w:ascii="Bookman Old Style" w:hAnsi="Bookman Old Style"/>
          <w:sz w:val="24"/>
          <w:szCs w:val="24"/>
        </w:rPr>
        <w:t>,</w:t>
      </w:r>
      <w:r w:rsidR="00A954D0">
        <w:rPr>
          <w:rFonts w:ascii="Bookman Old Style" w:hAnsi="Bookman Old Style"/>
          <w:sz w:val="24"/>
          <w:szCs w:val="24"/>
        </w:rPr>
        <w:t xml:space="preserve"> </w:t>
      </w:r>
      <w:r w:rsidRPr="008174DB">
        <w:rPr>
          <w:rFonts w:ascii="Bookman Old Style" w:hAnsi="Bookman Old Style"/>
          <w:sz w:val="24"/>
          <w:szCs w:val="24"/>
        </w:rPr>
        <w:t>Peraturan</w:t>
      </w:r>
      <w:r w:rsidR="00A954D0">
        <w:rPr>
          <w:rFonts w:ascii="Bookman Old Style" w:hAnsi="Bookman Old Style"/>
          <w:sz w:val="24"/>
          <w:szCs w:val="24"/>
        </w:rPr>
        <w:t xml:space="preserve"> </w:t>
      </w:r>
      <w:r w:rsidRPr="008174DB">
        <w:rPr>
          <w:rFonts w:ascii="Bookman Old Style" w:hAnsi="Bookman Old Style"/>
          <w:sz w:val="24"/>
          <w:szCs w:val="24"/>
        </w:rPr>
        <w:t>Pemerintah</w:t>
      </w:r>
      <w:r w:rsidR="00A954D0">
        <w:rPr>
          <w:rFonts w:ascii="Bookman Old Style" w:hAnsi="Bookman Old Style"/>
          <w:sz w:val="24"/>
          <w:szCs w:val="24"/>
        </w:rPr>
        <w:t xml:space="preserve"> </w:t>
      </w:r>
      <w:r w:rsidRPr="008174DB">
        <w:rPr>
          <w:rFonts w:ascii="Bookman Old Style" w:hAnsi="Bookman Old Style"/>
          <w:sz w:val="24"/>
          <w:szCs w:val="24"/>
        </w:rPr>
        <w:t>Nomor</w:t>
      </w:r>
      <w:r w:rsidR="00A954D0">
        <w:rPr>
          <w:rFonts w:ascii="Bookman Old Style" w:hAnsi="Bookman Old Style"/>
          <w:sz w:val="24"/>
          <w:szCs w:val="24"/>
        </w:rPr>
        <w:t xml:space="preserve"> </w:t>
      </w:r>
      <w:r w:rsidRPr="008174DB">
        <w:rPr>
          <w:rFonts w:ascii="Bookman Old Style" w:hAnsi="Bookman Old Style"/>
          <w:sz w:val="24"/>
          <w:szCs w:val="24"/>
        </w:rPr>
        <w:t>2</w:t>
      </w:r>
      <w:r w:rsidR="00A954D0">
        <w:rPr>
          <w:rFonts w:ascii="Bookman Old Style" w:hAnsi="Bookman Old Style"/>
          <w:sz w:val="24"/>
          <w:szCs w:val="24"/>
        </w:rPr>
        <w:t xml:space="preserve"> </w:t>
      </w:r>
      <w:r w:rsidRPr="008174DB">
        <w:rPr>
          <w:rFonts w:ascii="Bookman Old Style" w:hAnsi="Bookman Old Style"/>
          <w:sz w:val="24"/>
          <w:szCs w:val="24"/>
        </w:rPr>
        <w:t>Tahun</w:t>
      </w:r>
      <w:r w:rsidR="00A954D0">
        <w:rPr>
          <w:rFonts w:ascii="Bookman Old Style" w:hAnsi="Bookman Old Style"/>
          <w:sz w:val="24"/>
          <w:szCs w:val="24"/>
        </w:rPr>
        <w:t xml:space="preserve"> </w:t>
      </w:r>
      <w:r w:rsidRPr="008174DB">
        <w:rPr>
          <w:rFonts w:ascii="Bookman Old Style" w:hAnsi="Bookman Old Style"/>
          <w:sz w:val="24"/>
          <w:szCs w:val="24"/>
        </w:rPr>
        <w:t>2012,</w:t>
      </w:r>
      <w:r w:rsidR="00A954D0">
        <w:rPr>
          <w:rFonts w:ascii="Bookman Old Style" w:hAnsi="Bookman Old Style"/>
          <w:sz w:val="24"/>
          <w:szCs w:val="24"/>
        </w:rPr>
        <w:t xml:space="preserve"> </w:t>
      </w:r>
      <w:r w:rsidRPr="008174DB">
        <w:rPr>
          <w:rFonts w:ascii="Bookman Old Style" w:hAnsi="Bookman Old Style"/>
          <w:sz w:val="24"/>
          <w:szCs w:val="24"/>
        </w:rPr>
        <w:t>Pasal</w:t>
      </w:r>
      <w:r w:rsidR="00A954D0">
        <w:rPr>
          <w:rFonts w:ascii="Bookman Old Style" w:hAnsi="Bookman Old Style"/>
          <w:sz w:val="24"/>
          <w:szCs w:val="24"/>
        </w:rPr>
        <w:t xml:space="preserve"> </w:t>
      </w:r>
      <w:r w:rsidRPr="008174DB">
        <w:rPr>
          <w:rFonts w:ascii="Bookman Old Style" w:hAnsi="Bookman Old Style"/>
          <w:sz w:val="24"/>
          <w:szCs w:val="24"/>
        </w:rPr>
        <w:t>62</w:t>
      </w:r>
      <w:r w:rsidR="00A954D0">
        <w:rPr>
          <w:rFonts w:ascii="Bookman Old Style" w:hAnsi="Bookman Old Style"/>
          <w:sz w:val="24"/>
          <w:szCs w:val="24"/>
        </w:rPr>
        <w:t xml:space="preserve"> </w:t>
      </w:r>
      <w:r w:rsidRPr="008174DB">
        <w:rPr>
          <w:rFonts w:ascii="Bookman Old Style" w:hAnsi="Bookman Old Style"/>
          <w:sz w:val="24"/>
          <w:szCs w:val="24"/>
        </w:rPr>
        <w:t>dan</w:t>
      </w:r>
      <w:r w:rsidR="00A954D0">
        <w:rPr>
          <w:rFonts w:ascii="Bookman Old Style" w:hAnsi="Bookman Old Style"/>
          <w:sz w:val="24"/>
          <w:szCs w:val="24"/>
        </w:rPr>
        <w:t xml:space="preserve"> </w:t>
      </w:r>
      <w:r w:rsidRPr="008174DB">
        <w:rPr>
          <w:rFonts w:ascii="Bookman Old Style" w:hAnsi="Bookman Old Style"/>
          <w:sz w:val="24"/>
          <w:szCs w:val="24"/>
        </w:rPr>
        <w:t>Pasal</w:t>
      </w:r>
      <w:r w:rsidR="00A954D0">
        <w:rPr>
          <w:rFonts w:ascii="Bookman Old Style" w:hAnsi="Bookman Old Style"/>
          <w:sz w:val="24"/>
          <w:szCs w:val="24"/>
        </w:rPr>
        <w:t xml:space="preserve"> </w:t>
      </w:r>
      <w:r w:rsidRPr="008174DB">
        <w:rPr>
          <w:rFonts w:ascii="Bookman Old Style" w:hAnsi="Bookman Old Style"/>
          <w:sz w:val="24"/>
          <w:szCs w:val="24"/>
        </w:rPr>
        <w:t>63</w:t>
      </w:r>
      <w:r w:rsidR="00A954D0">
        <w:rPr>
          <w:rFonts w:ascii="Bookman Old Style" w:hAnsi="Bookman Old Style"/>
          <w:sz w:val="24"/>
          <w:szCs w:val="24"/>
        </w:rPr>
        <w:t xml:space="preserve"> </w:t>
      </w:r>
      <w:r w:rsidRPr="008174DB">
        <w:rPr>
          <w:rFonts w:ascii="Bookman Old Style" w:hAnsi="Bookman Old Style"/>
          <w:sz w:val="24"/>
          <w:szCs w:val="24"/>
        </w:rPr>
        <w:t>Peraturan</w:t>
      </w:r>
      <w:r w:rsidR="00A954D0">
        <w:rPr>
          <w:rFonts w:ascii="Bookman Old Style" w:hAnsi="Bookman Old Style"/>
          <w:sz w:val="24"/>
          <w:szCs w:val="24"/>
        </w:rPr>
        <w:t xml:space="preserve"> </w:t>
      </w:r>
      <w:r w:rsidRPr="008174DB">
        <w:rPr>
          <w:rFonts w:ascii="Bookman Old Style" w:hAnsi="Bookman Old Style"/>
          <w:sz w:val="24"/>
          <w:szCs w:val="24"/>
        </w:rPr>
        <w:t>Pemerintah</w:t>
      </w:r>
      <w:r w:rsidR="00A954D0">
        <w:rPr>
          <w:rFonts w:ascii="Bookman Old Style" w:hAnsi="Bookman Old Style"/>
          <w:sz w:val="24"/>
          <w:szCs w:val="24"/>
        </w:rPr>
        <w:t xml:space="preserve"> </w:t>
      </w:r>
      <w:r w:rsidRPr="008174DB">
        <w:rPr>
          <w:rFonts w:ascii="Bookman Old Style" w:hAnsi="Bookman Old Style"/>
          <w:sz w:val="24"/>
          <w:szCs w:val="24"/>
        </w:rPr>
        <w:t>Nomor</w:t>
      </w:r>
      <w:r w:rsidR="00A954D0">
        <w:rPr>
          <w:rFonts w:ascii="Bookman Old Style" w:hAnsi="Bookman Old Style"/>
          <w:sz w:val="24"/>
          <w:szCs w:val="24"/>
        </w:rPr>
        <w:t xml:space="preserve"> </w:t>
      </w:r>
      <w:r w:rsidRPr="008174DB">
        <w:rPr>
          <w:rFonts w:ascii="Bookman Old Style" w:hAnsi="Bookman Old Style"/>
          <w:sz w:val="24"/>
          <w:szCs w:val="24"/>
        </w:rPr>
        <w:t>12</w:t>
      </w:r>
      <w:r w:rsidR="00A954D0">
        <w:rPr>
          <w:rFonts w:ascii="Bookman Old Style" w:hAnsi="Bookman Old Style"/>
          <w:sz w:val="24"/>
          <w:szCs w:val="24"/>
        </w:rPr>
        <w:t xml:space="preserve"> </w:t>
      </w:r>
      <w:r w:rsidRPr="008174DB">
        <w:rPr>
          <w:rFonts w:ascii="Bookman Old Style" w:hAnsi="Bookman Old Style"/>
          <w:sz w:val="24"/>
          <w:szCs w:val="24"/>
        </w:rPr>
        <w:t>Tahun</w:t>
      </w:r>
      <w:r w:rsidR="00A954D0">
        <w:rPr>
          <w:rFonts w:ascii="Bookman Old Style" w:hAnsi="Bookman Old Style"/>
          <w:sz w:val="24"/>
          <w:szCs w:val="24"/>
        </w:rPr>
        <w:t xml:space="preserve"> </w:t>
      </w:r>
      <w:r w:rsidRPr="008174DB">
        <w:rPr>
          <w:rFonts w:ascii="Bookman Old Style" w:hAnsi="Bookman Old Style"/>
          <w:sz w:val="24"/>
          <w:szCs w:val="24"/>
        </w:rPr>
        <w:t>2019</w:t>
      </w:r>
      <w:r w:rsidR="00A954D0">
        <w:rPr>
          <w:rFonts w:ascii="Bookman Old Style" w:hAnsi="Bookman Old Style"/>
          <w:sz w:val="24"/>
          <w:szCs w:val="24"/>
        </w:rPr>
        <w:t xml:space="preserve"> </w:t>
      </w:r>
      <w:r w:rsidRPr="003255BC">
        <w:rPr>
          <w:rFonts w:ascii="Bookman Old Style" w:hAnsi="Bookman Old Style"/>
          <w:sz w:val="24"/>
          <w:szCs w:val="24"/>
          <w:lang w:val="sv-FI"/>
        </w:rPr>
        <w:t>dan</w:t>
      </w:r>
      <w:r w:rsidR="00A954D0">
        <w:rPr>
          <w:rFonts w:ascii="Bookman Old Style" w:hAnsi="Bookman Old Style"/>
          <w:sz w:val="24"/>
          <w:szCs w:val="24"/>
          <w:lang w:val="id-ID"/>
        </w:rPr>
        <w:t xml:space="preserve"> </w:t>
      </w:r>
      <w:r w:rsidRPr="008174DB">
        <w:rPr>
          <w:rFonts w:ascii="Bookman Old Style" w:hAnsi="Bookman Old Style" w:cs="Arial"/>
          <w:sz w:val="24"/>
          <w:szCs w:val="24"/>
        </w:rPr>
        <w:t>butir</w:t>
      </w:r>
      <w:r w:rsidR="00A954D0">
        <w:rPr>
          <w:rFonts w:ascii="Bookman Old Style" w:hAnsi="Bookman Old Style" w:cs="Arial"/>
          <w:sz w:val="24"/>
          <w:szCs w:val="24"/>
        </w:rPr>
        <w:t xml:space="preserve"> </w:t>
      </w:r>
      <w:r w:rsidRPr="003255BC">
        <w:rPr>
          <w:rFonts w:ascii="Bookman Old Style" w:hAnsi="Bookman Old Style"/>
          <w:sz w:val="24"/>
          <w:szCs w:val="24"/>
          <w:lang w:val="sv-FI"/>
        </w:rPr>
        <w:t>3.4.1.5</w:t>
      </w:r>
      <w:r w:rsidR="00A954D0">
        <w:rPr>
          <w:rFonts w:ascii="Bookman Old Style" w:hAnsi="Bookman Old Style" w:cs="Arial"/>
          <w:sz w:val="24"/>
          <w:szCs w:val="24"/>
        </w:rPr>
        <w:t xml:space="preserve"> </w:t>
      </w:r>
      <w:r w:rsidRPr="008174DB">
        <w:rPr>
          <w:rFonts w:ascii="Bookman Old Style" w:hAnsi="Bookman Old Style" w:cs="Arial"/>
          <w:sz w:val="24"/>
          <w:szCs w:val="24"/>
        </w:rPr>
        <w:t>Lampiran</w:t>
      </w:r>
      <w:r w:rsidR="00A954D0">
        <w:rPr>
          <w:rFonts w:ascii="Bookman Old Style" w:hAnsi="Bookman Old Style" w:cs="Arial"/>
          <w:sz w:val="24"/>
          <w:szCs w:val="24"/>
        </w:rPr>
        <w:t xml:space="preserve"> </w:t>
      </w:r>
      <w:r w:rsidRPr="008174DB">
        <w:rPr>
          <w:rFonts w:ascii="Bookman Old Style" w:hAnsi="Bookman Old Style" w:cs="Arial"/>
          <w:sz w:val="24"/>
          <w:szCs w:val="24"/>
        </w:rPr>
        <w:t>Peraturan</w:t>
      </w:r>
      <w:r w:rsidR="00A954D0">
        <w:rPr>
          <w:rFonts w:ascii="Bookman Old Style" w:hAnsi="Bookman Old Style" w:cs="Arial"/>
          <w:sz w:val="24"/>
          <w:szCs w:val="24"/>
        </w:rPr>
        <w:t xml:space="preserve"> </w:t>
      </w:r>
      <w:r w:rsidRPr="008174DB">
        <w:rPr>
          <w:rFonts w:ascii="Bookman Old Style" w:hAnsi="Bookman Old Style" w:cs="Arial"/>
          <w:sz w:val="24"/>
          <w:szCs w:val="24"/>
        </w:rPr>
        <w:t>Menteri</w:t>
      </w:r>
      <w:r w:rsidR="00A954D0">
        <w:rPr>
          <w:rFonts w:ascii="Bookman Old Style" w:hAnsi="Bookman Old Style" w:cs="Arial"/>
          <w:sz w:val="24"/>
          <w:szCs w:val="24"/>
        </w:rPr>
        <w:t xml:space="preserve"> </w:t>
      </w:r>
      <w:r w:rsidRPr="008174DB">
        <w:rPr>
          <w:rFonts w:ascii="Bookman Old Style" w:hAnsi="Bookman Old Style" w:cs="Arial"/>
          <w:sz w:val="24"/>
          <w:szCs w:val="24"/>
        </w:rPr>
        <w:t>Dalam</w:t>
      </w:r>
      <w:r w:rsidR="00A954D0">
        <w:rPr>
          <w:rFonts w:ascii="Bookman Old Style" w:hAnsi="Bookman Old Style" w:cs="Arial"/>
          <w:sz w:val="24"/>
          <w:szCs w:val="24"/>
        </w:rPr>
        <w:t xml:space="preserve"> </w:t>
      </w:r>
      <w:r w:rsidRPr="008174DB">
        <w:rPr>
          <w:rFonts w:ascii="Bookman Old Style" w:hAnsi="Bookman Old Style" w:cs="Arial"/>
          <w:sz w:val="24"/>
          <w:szCs w:val="24"/>
        </w:rPr>
        <w:t>Negeri</w:t>
      </w:r>
      <w:r w:rsidR="00A954D0">
        <w:rPr>
          <w:rFonts w:ascii="Bookman Old Style" w:hAnsi="Bookman Old Style" w:cs="Arial"/>
          <w:sz w:val="24"/>
          <w:szCs w:val="24"/>
        </w:rPr>
        <w:t xml:space="preserve"> </w:t>
      </w:r>
      <w:r w:rsidRPr="008174DB">
        <w:rPr>
          <w:rFonts w:ascii="Bookman Old Style" w:hAnsi="Bookman Old Style" w:cs="Arial"/>
          <w:sz w:val="24"/>
          <w:szCs w:val="24"/>
        </w:rPr>
        <w:t>Nomor</w:t>
      </w:r>
      <w:r w:rsidR="00A954D0">
        <w:rPr>
          <w:rFonts w:ascii="Bookman Old Style" w:hAnsi="Bookman Old Style" w:cs="Arial"/>
          <w:sz w:val="24"/>
          <w:szCs w:val="24"/>
        </w:rPr>
        <w:t xml:space="preserve"> </w:t>
      </w:r>
      <w:r w:rsidRPr="003255BC">
        <w:rPr>
          <w:rFonts w:ascii="Bookman Old Style" w:hAnsi="Bookman Old Style" w:cs="Arial"/>
          <w:sz w:val="24"/>
          <w:szCs w:val="24"/>
          <w:lang w:val="sv-FI"/>
        </w:rPr>
        <w:t>15</w:t>
      </w:r>
      <w:r w:rsidR="00A954D0">
        <w:rPr>
          <w:rFonts w:ascii="Bookman Old Style" w:hAnsi="Bookman Old Style" w:cs="Arial"/>
          <w:sz w:val="24"/>
          <w:szCs w:val="24"/>
        </w:rPr>
        <w:t xml:space="preserve"> </w:t>
      </w:r>
      <w:r w:rsidRPr="008174DB">
        <w:rPr>
          <w:rFonts w:ascii="Bookman Old Style" w:hAnsi="Bookman Old Style" w:cs="Arial"/>
          <w:sz w:val="24"/>
          <w:szCs w:val="24"/>
        </w:rPr>
        <w:t>Tahun</w:t>
      </w:r>
      <w:r w:rsidR="00A954D0">
        <w:rPr>
          <w:rFonts w:ascii="Bookman Old Style" w:hAnsi="Bookman Old Style" w:cs="Arial"/>
          <w:sz w:val="24"/>
          <w:szCs w:val="24"/>
        </w:rPr>
        <w:t xml:space="preserve"> </w:t>
      </w:r>
      <w:r w:rsidRPr="008174DB">
        <w:rPr>
          <w:rFonts w:ascii="Bookman Old Style" w:hAnsi="Bookman Old Style" w:cs="Arial"/>
          <w:sz w:val="24"/>
          <w:szCs w:val="24"/>
        </w:rPr>
        <w:t>202</w:t>
      </w:r>
      <w:r w:rsidRPr="003255BC">
        <w:rPr>
          <w:rFonts w:ascii="Bookman Old Style" w:hAnsi="Bookman Old Style" w:cs="Arial"/>
          <w:sz w:val="24"/>
          <w:szCs w:val="24"/>
          <w:lang w:val="sv-FI"/>
        </w:rPr>
        <w:t>4</w:t>
      </w:r>
      <w:r w:rsidRPr="008174DB">
        <w:rPr>
          <w:rFonts w:ascii="Bookman Old Style" w:hAnsi="Bookman Old Style"/>
          <w:sz w:val="24"/>
          <w:szCs w:val="24"/>
        </w:rPr>
        <w:t>.</w:t>
      </w:r>
    </w:p>
    <w:p w14:paraId="023C9DA4" w14:textId="4D6F9F34" w:rsidR="004C3CE0" w:rsidRPr="008174DB" w:rsidRDefault="004C3CE0" w:rsidP="006A368B">
      <w:pPr>
        <w:pStyle w:val="ListParagraph"/>
        <w:spacing w:before="60" w:after="0" w:line="276" w:lineRule="auto"/>
        <w:ind w:left="1701"/>
        <w:contextualSpacing w:val="0"/>
        <w:jc w:val="both"/>
        <w:rPr>
          <w:rFonts w:ascii="Bookman Old Style" w:hAnsi="Bookman Old Style"/>
          <w:sz w:val="24"/>
          <w:szCs w:val="24"/>
        </w:rPr>
      </w:pPr>
      <w:r w:rsidRPr="008174DB">
        <w:rPr>
          <w:rFonts w:ascii="Bookman Old Style" w:hAnsi="Bookman Old Style" w:cs="Arial"/>
          <w:sz w:val="24"/>
          <w:szCs w:val="24"/>
          <w:lang w:val="en-US"/>
        </w:rPr>
        <w:t>Pelaksanaan</w:t>
      </w:r>
      <w:r w:rsidR="00A954D0">
        <w:rPr>
          <w:rFonts w:ascii="Bookman Old Style" w:hAnsi="Bookman Old Style"/>
          <w:sz w:val="24"/>
          <w:szCs w:val="24"/>
        </w:rPr>
        <w:t xml:space="preserve"> </w:t>
      </w:r>
      <w:r w:rsidRPr="008174DB">
        <w:rPr>
          <w:rFonts w:ascii="Bookman Old Style" w:hAnsi="Bookman Old Style"/>
          <w:sz w:val="24"/>
          <w:szCs w:val="24"/>
        </w:rPr>
        <w:t>dan</w:t>
      </w:r>
      <w:r w:rsidR="00A954D0">
        <w:rPr>
          <w:rFonts w:ascii="Bookman Old Style" w:hAnsi="Bookman Old Style"/>
          <w:sz w:val="24"/>
          <w:szCs w:val="24"/>
        </w:rPr>
        <w:t xml:space="preserve"> </w:t>
      </w:r>
      <w:r w:rsidRPr="008174DB">
        <w:rPr>
          <w:rFonts w:ascii="Bookman Old Style" w:hAnsi="Bookman Old Style"/>
          <w:sz w:val="24"/>
          <w:szCs w:val="24"/>
        </w:rPr>
        <w:t>pertanggungjawabannya</w:t>
      </w:r>
      <w:r w:rsidR="00A954D0">
        <w:rPr>
          <w:rFonts w:ascii="Bookman Old Style" w:hAnsi="Bookman Old Style"/>
          <w:sz w:val="24"/>
          <w:szCs w:val="24"/>
        </w:rPr>
        <w:t xml:space="preserve"> </w:t>
      </w:r>
      <w:r w:rsidRPr="008174DB">
        <w:rPr>
          <w:rFonts w:ascii="Bookman Old Style" w:hAnsi="Bookman Old Style"/>
          <w:sz w:val="24"/>
          <w:szCs w:val="24"/>
        </w:rPr>
        <w:t>harus</w:t>
      </w:r>
      <w:r w:rsidR="00A954D0">
        <w:rPr>
          <w:rFonts w:ascii="Bookman Old Style" w:hAnsi="Bookman Old Style"/>
          <w:sz w:val="24"/>
          <w:szCs w:val="24"/>
        </w:rPr>
        <w:t xml:space="preserve"> </w:t>
      </w:r>
      <w:r w:rsidRPr="008174DB">
        <w:rPr>
          <w:rFonts w:ascii="Bookman Old Style" w:hAnsi="Bookman Old Style"/>
          <w:sz w:val="24"/>
          <w:szCs w:val="24"/>
        </w:rPr>
        <w:t>dijamin</w:t>
      </w:r>
      <w:r w:rsidR="00A954D0">
        <w:rPr>
          <w:rFonts w:ascii="Bookman Old Style" w:hAnsi="Bookman Old Style"/>
          <w:sz w:val="24"/>
          <w:szCs w:val="24"/>
        </w:rPr>
        <w:t xml:space="preserve"> </w:t>
      </w:r>
      <w:r w:rsidRPr="008174DB">
        <w:rPr>
          <w:rFonts w:ascii="Bookman Old Style" w:hAnsi="Bookman Old Style"/>
          <w:sz w:val="24"/>
          <w:szCs w:val="24"/>
        </w:rPr>
        <w:t>efektivitas</w:t>
      </w:r>
      <w:r w:rsidR="00A954D0">
        <w:rPr>
          <w:rFonts w:ascii="Bookman Old Style" w:hAnsi="Bookman Old Style"/>
          <w:sz w:val="24"/>
          <w:szCs w:val="24"/>
        </w:rPr>
        <w:t xml:space="preserve"> </w:t>
      </w:r>
      <w:r w:rsidRPr="008174DB">
        <w:rPr>
          <w:rFonts w:ascii="Bookman Old Style" w:hAnsi="Bookman Old Style"/>
          <w:sz w:val="24"/>
          <w:szCs w:val="24"/>
        </w:rPr>
        <w:t>kebenaran</w:t>
      </w:r>
      <w:r w:rsidR="00A954D0">
        <w:rPr>
          <w:rFonts w:ascii="Bookman Old Style" w:hAnsi="Bookman Old Style"/>
          <w:sz w:val="24"/>
          <w:szCs w:val="24"/>
        </w:rPr>
        <w:t xml:space="preserve"> </w:t>
      </w:r>
      <w:r w:rsidRPr="008174DB">
        <w:rPr>
          <w:rFonts w:ascii="Bookman Old Style" w:hAnsi="Bookman Old Style"/>
          <w:sz w:val="24"/>
          <w:szCs w:val="24"/>
        </w:rPr>
        <w:t>tujuan</w:t>
      </w:r>
      <w:r w:rsidR="00A954D0">
        <w:rPr>
          <w:rFonts w:ascii="Bookman Old Style" w:hAnsi="Bookman Old Style"/>
          <w:sz w:val="24"/>
          <w:szCs w:val="24"/>
        </w:rPr>
        <w:t xml:space="preserve"> </w:t>
      </w:r>
      <w:r w:rsidRPr="008174DB">
        <w:rPr>
          <w:rFonts w:ascii="Bookman Old Style" w:hAnsi="Bookman Old Style"/>
          <w:sz w:val="24"/>
          <w:szCs w:val="24"/>
        </w:rPr>
        <w:t>dari</w:t>
      </w:r>
      <w:r w:rsidR="00A954D0">
        <w:rPr>
          <w:rFonts w:ascii="Bookman Old Style" w:hAnsi="Bookman Old Style"/>
          <w:sz w:val="24"/>
          <w:szCs w:val="24"/>
        </w:rPr>
        <w:t xml:space="preserve"> </w:t>
      </w:r>
      <w:r w:rsidRPr="008174DB">
        <w:rPr>
          <w:rFonts w:ascii="Bookman Old Style" w:hAnsi="Bookman Old Style"/>
          <w:sz w:val="24"/>
          <w:szCs w:val="24"/>
        </w:rPr>
        <w:t>penyediaan</w:t>
      </w:r>
      <w:r w:rsidR="00A954D0">
        <w:rPr>
          <w:rFonts w:ascii="Bookman Old Style" w:hAnsi="Bookman Old Style"/>
          <w:sz w:val="24"/>
          <w:szCs w:val="24"/>
        </w:rPr>
        <w:t xml:space="preserve"> </w:t>
      </w:r>
      <w:r w:rsidRPr="008174DB">
        <w:rPr>
          <w:rFonts w:ascii="Bookman Old Style" w:hAnsi="Bookman Old Style"/>
          <w:sz w:val="24"/>
          <w:szCs w:val="24"/>
        </w:rPr>
        <w:t>anggaran</w:t>
      </w:r>
      <w:r w:rsidR="00A954D0">
        <w:rPr>
          <w:rFonts w:ascii="Bookman Old Style" w:hAnsi="Bookman Old Style"/>
          <w:sz w:val="24"/>
          <w:szCs w:val="24"/>
        </w:rPr>
        <w:t xml:space="preserve"> </w:t>
      </w:r>
      <w:r w:rsidRPr="008174DB">
        <w:rPr>
          <w:rFonts w:ascii="Bookman Old Style" w:hAnsi="Bookman Old Style"/>
          <w:sz w:val="24"/>
          <w:szCs w:val="24"/>
        </w:rPr>
        <w:t>dimaksud</w:t>
      </w:r>
      <w:r w:rsidR="00A954D0">
        <w:rPr>
          <w:rFonts w:ascii="Bookman Old Style" w:hAnsi="Bookman Old Style"/>
          <w:sz w:val="24"/>
          <w:szCs w:val="24"/>
        </w:rPr>
        <w:t xml:space="preserve"> </w:t>
      </w:r>
      <w:r w:rsidRPr="008174DB">
        <w:rPr>
          <w:rFonts w:ascii="Bookman Old Style" w:hAnsi="Bookman Old Style"/>
          <w:sz w:val="24"/>
          <w:szCs w:val="24"/>
        </w:rPr>
        <w:t>melalui</w:t>
      </w:r>
      <w:r w:rsidR="00A954D0">
        <w:rPr>
          <w:rFonts w:ascii="Bookman Old Style" w:hAnsi="Bookman Old Style"/>
          <w:sz w:val="24"/>
          <w:szCs w:val="24"/>
        </w:rPr>
        <w:t xml:space="preserve"> </w:t>
      </w:r>
      <w:r w:rsidRPr="008174DB">
        <w:rPr>
          <w:rFonts w:ascii="Bookman Old Style" w:hAnsi="Bookman Old Style"/>
          <w:sz w:val="24"/>
          <w:szCs w:val="24"/>
        </w:rPr>
        <w:t>serangkaian</w:t>
      </w:r>
      <w:r w:rsidR="00A954D0">
        <w:rPr>
          <w:rFonts w:ascii="Bookman Old Style" w:hAnsi="Bookman Old Style"/>
          <w:sz w:val="24"/>
          <w:szCs w:val="24"/>
        </w:rPr>
        <w:t xml:space="preserve"> </w:t>
      </w:r>
      <w:r w:rsidRPr="008174DB">
        <w:rPr>
          <w:rFonts w:ascii="Bookman Old Style" w:hAnsi="Bookman Old Style"/>
          <w:sz w:val="24"/>
          <w:szCs w:val="24"/>
        </w:rPr>
        <w:t>proses</w:t>
      </w:r>
      <w:r w:rsidR="00A954D0">
        <w:rPr>
          <w:rFonts w:ascii="Bookman Old Style" w:hAnsi="Bookman Old Style"/>
          <w:sz w:val="24"/>
          <w:szCs w:val="24"/>
        </w:rPr>
        <w:t xml:space="preserve"> </w:t>
      </w:r>
      <w:r w:rsidRPr="008174DB">
        <w:rPr>
          <w:rFonts w:ascii="Bookman Old Style" w:hAnsi="Bookman Old Style"/>
          <w:sz w:val="24"/>
          <w:szCs w:val="24"/>
        </w:rPr>
        <w:t>evaluasi</w:t>
      </w:r>
      <w:r w:rsidR="00A954D0">
        <w:rPr>
          <w:rFonts w:ascii="Bookman Old Style" w:hAnsi="Bookman Old Style"/>
          <w:sz w:val="24"/>
          <w:szCs w:val="24"/>
        </w:rPr>
        <w:t xml:space="preserve"> </w:t>
      </w:r>
      <w:r w:rsidRPr="008174DB">
        <w:rPr>
          <w:rFonts w:ascii="Bookman Old Style" w:hAnsi="Bookman Old Style"/>
          <w:sz w:val="24"/>
          <w:szCs w:val="24"/>
        </w:rPr>
        <w:t>dan</w:t>
      </w:r>
      <w:r w:rsidR="00A954D0">
        <w:rPr>
          <w:rFonts w:ascii="Bookman Old Style" w:hAnsi="Bookman Old Style"/>
          <w:sz w:val="24"/>
          <w:szCs w:val="24"/>
        </w:rPr>
        <w:t xml:space="preserve"> </w:t>
      </w:r>
      <w:r w:rsidRPr="008174DB">
        <w:rPr>
          <w:rFonts w:ascii="Bookman Old Style" w:hAnsi="Bookman Old Style"/>
          <w:sz w:val="24"/>
          <w:szCs w:val="24"/>
        </w:rPr>
        <w:t>rekomendasi</w:t>
      </w:r>
      <w:r w:rsidR="00A954D0">
        <w:rPr>
          <w:rFonts w:ascii="Bookman Old Style" w:hAnsi="Bookman Old Style"/>
          <w:sz w:val="24"/>
          <w:szCs w:val="24"/>
        </w:rPr>
        <w:t xml:space="preserve"> </w:t>
      </w:r>
      <w:r w:rsidRPr="008174DB">
        <w:rPr>
          <w:rFonts w:ascii="Bookman Old Style" w:hAnsi="Bookman Old Style"/>
          <w:sz w:val="24"/>
          <w:szCs w:val="24"/>
        </w:rPr>
        <w:t>dari</w:t>
      </w:r>
      <w:r w:rsidR="00A954D0">
        <w:rPr>
          <w:rFonts w:ascii="Bookman Old Style" w:hAnsi="Bookman Old Style"/>
          <w:sz w:val="24"/>
          <w:szCs w:val="24"/>
        </w:rPr>
        <w:t xml:space="preserve"> </w:t>
      </w:r>
      <w:r w:rsidRPr="008174DB">
        <w:rPr>
          <w:rFonts w:ascii="Bookman Old Style" w:hAnsi="Bookman Old Style"/>
          <w:sz w:val="24"/>
          <w:szCs w:val="24"/>
        </w:rPr>
        <w:t>Kepala</w:t>
      </w:r>
      <w:r w:rsidR="00A954D0">
        <w:rPr>
          <w:rFonts w:ascii="Bookman Old Style" w:hAnsi="Bookman Old Style"/>
          <w:sz w:val="24"/>
          <w:szCs w:val="24"/>
        </w:rPr>
        <w:t xml:space="preserve"> </w:t>
      </w:r>
      <w:r w:rsidRPr="008174DB">
        <w:rPr>
          <w:rFonts w:ascii="Bookman Old Style" w:hAnsi="Bookman Old Style"/>
          <w:sz w:val="24"/>
          <w:szCs w:val="24"/>
        </w:rPr>
        <w:t>Perangkat</w:t>
      </w:r>
      <w:r w:rsidR="00A954D0">
        <w:rPr>
          <w:rFonts w:ascii="Bookman Old Style" w:hAnsi="Bookman Old Style"/>
          <w:sz w:val="24"/>
          <w:szCs w:val="24"/>
        </w:rPr>
        <w:t xml:space="preserve"> </w:t>
      </w:r>
      <w:r w:rsidRPr="008174DB">
        <w:rPr>
          <w:rFonts w:ascii="Bookman Old Style" w:hAnsi="Bookman Old Style"/>
          <w:sz w:val="24"/>
          <w:szCs w:val="24"/>
        </w:rPr>
        <w:t>Daerah</w:t>
      </w:r>
      <w:r w:rsidR="00A954D0">
        <w:rPr>
          <w:rFonts w:ascii="Bookman Old Style" w:hAnsi="Bookman Old Style"/>
          <w:sz w:val="24"/>
          <w:szCs w:val="24"/>
        </w:rPr>
        <w:t xml:space="preserve"> </w:t>
      </w:r>
      <w:r w:rsidRPr="008174DB">
        <w:rPr>
          <w:rFonts w:ascii="Bookman Old Style" w:hAnsi="Bookman Old Style"/>
          <w:sz w:val="24"/>
          <w:szCs w:val="24"/>
        </w:rPr>
        <w:t>berkenaan</w:t>
      </w:r>
      <w:r w:rsidR="00A954D0">
        <w:rPr>
          <w:rFonts w:ascii="Bookman Old Style" w:hAnsi="Bookman Old Style"/>
          <w:sz w:val="24"/>
          <w:szCs w:val="24"/>
        </w:rPr>
        <w:t xml:space="preserve"> </w:t>
      </w:r>
      <w:r w:rsidRPr="008174DB">
        <w:rPr>
          <w:rFonts w:ascii="Bookman Old Style" w:hAnsi="Bookman Old Style"/>
          <w:sz w:val="24"/>
          <w:szCs w:val="24"/>
        </w:rPr>
        <w:t>dan</w:t>
      </w:r>
      <w:r w:rsidR="00A954D0">
        <w:rPr>
          <w:rFonts w:ascii="Bookman Old Style" w:hAnsi="Bookman Old Style"/>
          <w:sz w:val="24"/>
          <w:szCs w:val="24"/>
        </w:rPr>
        <w:t xml:space="preserve"> </w:t>
      </w:r>
      <w:r w:rsidRPr="008174DB">
        <w:rPr>
          <w:rFonts w:ascii="Bookman Old Style" w:hAnsi="Bookman Old Style"/>
          <w:sz w:val="24"/>
          <w:szCs w:val="24"/>
        </w:rPr>
        <w:t>pertimbangan</w:t>
      </w:r>
      <w:r w:rsidR="00A954D0">
        <w:rPr>
          <w:rFonts w:ascii="Bookman Old Style" w:hAnsi="Bookman Old Style"/>
          <w:sz w:val="24"/>
          <w:szCs w:val="24"/>
        </w:rPr>
        <w:t xml:space="preserve"> </w:t>
      </w:r>
      <w:r w:rsidRPr="008174DB">
        <w:rPr>
          <w:rFonts w:ascii="Bookman Old Style" w:hAnsi="Bookman Old Style"/>
          <w:sz w:val="24"/>
          <w:szCs w:val="24"/>
        </w:rPr>
        <w:t>TAPD</w:t>
      </w:r>
      <w:r w:rsidR="00A954D0">
        <w:rPr>
          <w:rFonts w:ascii="Bookman Old Style" w:hAnsi="Bookman Old Style"/>
          <w:sz w:val="24"/>
          <w:szCs w:val="24"/>
          <w:lang w:val="en-US"/>
        </w:rPr>
        <w:t xml:space="preserve"> </w:t>
      </w:r>
      <w:r w:rsidRPr="008174DB">
        <w:rPr>
          <w:rFonts w:ascii="Bookman Old Style" w:hAnsi="Bookman Old Style"/>
          <w:sz w:val="24"/>
          <w:szCs w:val="24"/>
          <w:lang w:val="en-US"/>
        </w:rPr>
        <w:t>serta</w:t>
      </w:r>
      <w:r w:rsidR="00A954D0">
        <w:rPr>
          <w:rFonts w:ascii="Bookman Old Style" w:hAnsi="Bookman Old Style"/>
          <w:sz w:val="24"/>
          <w:szCs w:val="24"/>
          <w:lang w:val="en-US"/>
        </w:rPr>
        <w:t xml:space="preserve"> </w:t>
      </w:r>
      <w:r w:rsidRPr="008174DB">
        <w:rPr>
          <w:rFonts w:ascii="Bookman Old Style" w:hAnsi="Bookman Old Style"/>
          <w:sz w:val="24"/>
          <w:szCs w:val="24"/>
          <w:lang w:val="en-US"/>
        </w:rPr>
        <w:t>berhenti</w:t>
      </w:r>
      <w:r w:rsidR="00A954D0">
        <w:rPr>
          <w:rFonts w:ascii="Bookman Old Style" w:hAnsi="Bookman Old Style"/>
          <w:sz w:val="24"/>
          <w:szCs w:val="24"/>
          <w:lang w:val="en-US"/>
        </w:rPr>
        <w:t xml:space="preserve"> </w:t>
      </w:r>
      <w:r w:rsidRPr="008174DB">
        <w:rPr>
          <w:rFonts w:ascii="Bookman Old Style" w:hAnsi="Bookman Old Style"/>
          <w:sz w:val="24"/>
          <w:szCs w:val="24"/>
          <w:lang w:val="en-US"/>
        </w:rPr>
        <w:t>di</w:t>
      </w:r>
      <w:r w:rsidR="00A954D0">
        <w:rPr>
          <w:rFonts w:ascii="Bookman Old Style" w:hAnsi="Bookman Old Style"/>
          <w:sz w:val="24"/>
          <w:szCs w:val="24"/>
          <w:lang w:val="en-US"/>
        </w:rPr>
        <w:t xml:space="preserve"> </w:t>
      </w:r>
      <w:r w:rsidRPr="008174DB">
        <w:rPr>
          <w:rFonts w:ascii="Bookman Old Style" w:hAnsi="Bookman Old Style"/>
          <w:sz w:val="24"/>
          <w:szCs w:val="24"/>
          <w:lang w:val="en-US"/>
        </w:rPr>
        <w:t>RKPD</w:t>
      </w:r>
      <w:r w:rsidR="00A954D0">
        <w:rPr>
          <w:rFonts w:ascii="Bookman Old Style" w:hAnsi="Bookman Old Style"/>
          <w:sz w:val="24"/>
          <w:szCs w:val="24"/>
          <w:lang w:val="en-US"/>
        </w:rPr>
        <w:t xml:space="preserve"> </w:t>
      </w:r>
      <w:r w:rsidRPr="008174DB">
        <w:rPr>
          <w:rFonts w:ascii="Bookman Old Style" w:hAnsi="Bookman Old Style"/>
          <w:sz w:val="24"/>
          <w:szCs w:val="24"/>
          <w:lang w:val="en-US"/>
        </w:rPr>
        <w:t>Tahun</w:t>
      </w:r>
      <w:r w:rsidR="00A954D0">
        <w:rPr>
          <w:rFonts w:ascii="Bookman Old Style" w:hAnsi="Bookman Old Style"/>
          <w:sz w:val="24"/>
          <w:szCs w:val="24"/>
          <w:lang w:val="en-US"/>
        </w:rPr>
        <w:t xml:space="preserve"> </w:t>
      </w:r>
      <w:r w:rsidRPr="008174DB">
        <w:rPr>
          <w:rFonts w:ascii="Bookman Old Style" w:hAnsi="Bookman Old Style"/>
          <w:sz w:val="24"/>
          <w:szCs w:val="24"/>
          <w:lang w:val="en-US"/>
        </w:rPr>
        <w:t>Anggaran</w:t>
      </w:r>
      <w:r w:rsidR="00A954D0">
        <w:rPr>
          <w:rFonts w:ascii="Bookman Old Style" w:hAnsi="Bookman Old Style"/>
          <w:sz w:val="24"/>
          <w:szCs w:val="24"/>
          <w:lang w:val="en-US"/>
        </w:rPr>
        <w:t xml:space="preserve"> </w:t>
      </w:r>
      <w:r w:rsidRPr="008174DB">
        <w:rPr>
          <w:rFonts w:ascii="Bookman Old Style" w:hAnsi="Bookman Old Style"/>
          <w:sz w:val="24"/>
          <w:szCs w:val="24"/>
          <w:lang w:val="en-US"/>
        </w:rPr>
        <w:t>2025</w:t>
      </w:r>
      <w:r w:rsidRPr="008174DB">
        <w:rPr>
          <w:rFonts w:ascii="Bookman Old Style" w:hAnsi="Bookman Old Style"/>
          <w:sz w:val="24"/>
          <w:szCs w:val="24"/>
        </w:rPr>
        <w:t>,</w:t>
      </w:r>
      <w:r w:rsidR="00A954D0">
        <w:rPr>
          <w:rFonts w:ascii="Bookman Old Style" w:hAnsi="Bookman Old Style"/>
          <w:sz w:val="24"/>
          <w:szCs w:val="24"/>
        </w:rPr>
        <w:t xml:space="preserve"> </w:t>
      </w:r>
      <w:r w:rsidRPr="008174DB">
        <w:rPr>
          <w:rFonts w:ascii="Bookman Old Style" w:hAnsi="Bookman Old Style"/>
          <w:sz w:val="24"/>
          <w:szCs w:val="24"/>
        </w:rPr>
        <w:t>sehingga</w:t>
      </w:r>
      <w:r w:rsidR="00A954D0">
        <w:rPr>
          <w:rFonts w:ascii="Bookman Old Style" w:hAnsi="Bookman Old Style"/>
          <w:sz w:val="24"/>
          <w:szCs w:val="24"/>
        </w:rPr>
        <w:t xml:space="preserve"> </w:t>
      </w:r>
      <w:r w:rsidRPr="008174DB">
        <w:rPr>
          <w:rFonts w:ascii="Bookman Old Style" w:hAnsi="Bookman Old Style"/>
          <w:sz w:val="24"/>
          <w:szCs w:val="24"/>
        </w:rPr>
        <w:t>penyediaan</w:t>
      </w:r>
      <w:r w:rsidR="00A954D0">
        <w:rPr>
          <w:rFonts w:ascii="Bookman Old Style" w:hAnsi="Bookman Old Style"/>
          <w:sz w:val="24"/>
          <w:szCs w:val="24"/>
        </w:rPr>
        <w:t xml:space="preserve"> </w:t>
      </w:r>
      <w:r w:rsidRPr="008174DB">
        <w:rPr>
          <w:rFonts w:ascii="Bookman Old Style" w:hAnsi="Bookman Old Style"/>
          <w:sz w:val="24"/>
          <w:szCs w:val="24"/>
        </w:rPr>
        <w:t>anggaran</w:t>
      </w:r>
      <w:r w:rsidR="00A954D0">
        <w:rPr>
          <w:rFonts w:ascii="Bookman Old Style" w:hAnsi="Bookman Old Style"/>
          <w:sz w:val="24"/>
          <w:szCs w:val="24"/>
        </w:rPr>
        <w:t xml:space="preserve"> </w:t>
      </w:r>
      <w:r w:rsidRPr="008174DB">
        <w:rPr>
          <w:rFonts w:ascii="Bookman Old Style" w:hAnsi="Bookman Old Style"/>
          <w:sz w:val="24"/>
          <w:szCs w:val="24"/>
        </w:rPr>
        <w:t>tersebut</w:t>
      </w:r>
      <w:r w:rsidR="00A954D0">
        <w:rPr>
          <w:rFonts w:ascii="Bookman Old Style" w:hAnsi="Bookman Old Style"/>
          <w:sz w:val="24"/>
          <w:szCs w:val="24"/>
        </w:rPr>
        <w:t xml:space="preserve"> </w:t>
      </w:r>
      <w:r w:rsidRPr="008174DB">
        <w:rPr>
          <w:rFonts w:ascii="Bookman Old Style" w:hAnsi="Bookman Old Style"/>
          <w:sz w:val="24"/>
          <w:szCs w:val="24"/>
        </w:rPr>
        <w:t>tepat</w:t>
      </w:r>
      <w:r w:rsidR="00A954D0">
        <w:rPr>
          <w:rFonts w:ascii="Bookman Old Style" w:hAnsi="Bookman Old Style"/>
          <w:sz w:val="24"/>
          <w:szCs w:val="24"/>
        </w:rPr>
        <w:t xml:space="preserve"> </w:t>
      </w:r>
      <w:r w:rsidRPr="008174DB">
        <w:rPr>
          <w:rFonts w:ascii="Bookman Old Style" w:hAnsi="Bookman Old Style"/>
          <w:sz w:val="24"/>
          <w:szCs w:val="24"/>
        </w:rPr>
        <w:t>sasaran</w:t>
      </w:r>
      <w:r w:rsidR="00A954D0">
        <w:rPr>
          <w:rFonts w:ascii="Bookman Old Style" w:hAnsi="Bookman Old Style"/>
          <w:sz w:val="24"/>
          <w:szCs w:val="24"/>
        </w:rPr>
        <w:t xml:space="preserve"> </w:t>
      </w:r>
      <w:r w:rsidRPr="008174DB">
        <w:rPr>
          <w:rFonts w:ascii="Bookman Old Style" w:hAnsi="Bookman Old Style"/>
          <w:sz w:val="24"/>
          <w:szCs w:val="24"/>
        </w:rPr>
        <w:t>dan</w:t>
      </w:r>
      <w:r w:rsidR="00A954D0">
        <w:rPr>
          <w:rFonts w:ascii="Bookman Old Style" w:hAnsi="Bookman Old Style"/>
          <w:sz w:val="24"/>
          <w:szCs w:val="24"/>
        </w:rPr>
        <w:t xml:space="preserve"> </w:t>
      </w:r>
      <w:r w:rsidRPr="008174DB">
        <w:rPr>
          <w:rFonts w:ascii="Bookman Old Style" w:hAnsi="Bookman Old Style"/>
          <w:sz w:val="24"/>
          <w:szCs w:val="24"/>
        </w:rPr>
        <w:t>tepat</w:t>
      </w:r>
      <w:r w:rsidR="00A954D0">
        <w:rPr>
          <w:rFonts w:ascii="Bookman Old Style" w:hAnsi="Bookman Old Style"/>
          <w:sz w:val="24"/>
          <w:szCs w:val="24"/>
        </w:rPr>
        <w:t xml:space="preserve"> </w:t>
      </w:r>
      <w:r w:rsidRPr="008174DB">
        <w:rPr>
          <w:rFonts w:ascii="Bookman Old Style" w:hAnsi="Bookman Old Style"/>
          <w:sz w:val="24"/>
          <w:szCs w:val="24"/>
        </w:rPr>
        <w:t>jumlah.</w:t>
      </w:r>
    </w:p>
    <w:p w14:paraId="6A783C1F" w14:textId="0CB44442" w:rsidR="004C3CE0" w:rsidRPr="008174DB" w:rsidRDefault="004C3CE0" w:rsidP="006A368B">
      <w:pPr>
        <w:pStyle w:val="ListParagraph"/>
        <w:spacing w:before="60" w:after="0" w:line="276" w:lineRule="auto"/>
        <w:ind w:left="1701"/>
        <w:contextualSpacing w:val="0"/>
        <w:jc w:val="both"/>
        <w:rPr>
          <w:rFonts w:ascii="Bookman Old Style" w:hAnsi="Bookman Old Style"/>
          <w:sz w:val="24"/>
          <w:szCs w:val="24"/>
          <w:lang w:val="en-US"/>
        </w:rPr>
      </w:pPr>
      <w:r w:rsidRPr="008174DB">
        <w:rPr>
          <w:rFonts w:ascii="Bookman Old Style" w:hAnsi="Bookman Old Style" w:cs="Arial"/>
          <w:sz w:val="24"/>
          <w:szCs w:val="24"/>
          <w:lang w:val="en-US"/>
        </w:rPr>
        <w:t>Selanjutnya</w:t>
      </w:r>
      <w:r w:rsidRPr="008174DB">
        <w:rPr>
          <w:rFonts w:ascii="Bookman Old Style" w:hAnsi="Bookman Old Style"/>
          <w:sz w:val="24"/>
          <w:szCs w:val="24"/>
        </w:rPr>
        <w:t>,</w:t>
      </w:r>
      <w:r w:rsidR="00A954D0">
        <w:rPr>
          <w:rFonts w:ascii="Bookman Old Style" w:hAnsi="Bookman Old Style"/>
          <w:sz w:val="24"/>
          <w:szCs w:val="24"/>
        </w:rPr>
        <w:t xml:space="preserve"> </w:t>
      </w:r>
      <w:r w:rsidRPr="008174DB">
        <w:rPr>
          <w:rFonts w:ascii="Bookman Old Style" w:hAnsi="Bookman Old Style"/>
          <w:sz w:val="24"/>
          <w:szCs w:val="24"/>
          <w:lang w:val="en-US"/>
        </w:rPr>
        <w:t>penyediaan</w:t>
      </w:r>
      <w:r w:rsidR="00A954D0">
        <w:rPr>
          <w:rFonts w:ascii="Bookman Old Style" w:hAnsi="Bookman Old Style"/>
          <w:sz w:val="24"/>
          <w:szCs w:val="24"/>
        </w:rPr>
        <w:t xml:space="preserve"> </w:t>
      </w:r>
      <w:r w:rsidRPr="008174DB">
        <w:rPr>
          <w:rFonts w:ascii="Bookman Old Style" w:hAnsi="Bookman Old Style"/>
          <w:sz w:val="24"/>
          <w:szCs w:val="24"/>
        </w:rPr>
        <w:t>anggaran</w:t>
      </w:r>
      <w:r w:rsidR="00A954D0">
        <w:rPr>
          <w:rFonts w:ascii="Bookman Old Style" w:hAnsi="Bookman Old Style"/>
          <w:sz w:val="24"/>
          <w:szCs w:val="24"/>
        </w:rPr>
        <w:t xml:space="preserve"> </w:t>
      </w:r>
      <w:r w:rsidRPr="008174DB">
        <w:rPr>
          <w:rFonts w:ascii="Bookman Old Style" w:hAnsi="Bookman Old Style"/>
          <w:sz w:val="24"/>
          <w:szCs w:val="24"/>
        </w:rPr>
        <w:t>Belanja</w:t>
      </w:r>
      <w:r w:rsidR="00A954D0">
        <w:rPr>
          <w:rFonts w:ascii="Bookman Old Style" w:hAnsi="Bookman Old Style"/>
          <w:sz w:val="24"/>
          <w:szCs w:val="24"/>
        </w:rPr>
        <w:t xml:space="preserve"> </w:t>
      </w:r>
      <w:r w:rsidRPr="008174DB">
        <w:rPr>
          <w:rFonts w:ascii="Bookman Old Style" w:hAnsi="Bookman Old Style"/>
          <w:sz w:val="24"/>
          <w:szCs w:val="24"/>
        </w:rPr>
        <w:t>Hibah</w:t>
      </w:r>
      <w:r w:rsidR="00A954D0">
        <w:rPr>
          <w:rFonts w:ascii="Bookman Old Style" w:hAnsi="Bookman Old Style"/>
          <w:sz w:val="24"/>
          <w:szCs w:val="24"/>
        </w:rPr>
        <w:t xml:space="preserve"> </w:t>
      </w:r>
      <w:r w:rsidRPr="008174DB">
        <w:rPr>
          <w:rFonts w:ascii="Bookman Old Style" w:hAnsi="Bookman Old Style"/>
          <w:sz w:val="24"/>
          <w:szCs w:val="24"/>
        </w:rPr>
        <w:t>yang</w:t>
      </w:r>
      <w:r w:rsidR="00A954D0">
        <w:rPr>
          <w:rFonts w:ascii="Bookman Old Style" w:hAnsi="Bookman Old Style"/>
          <w:sz w:val="24"/>
          <w:szCs w:val="24"/>
        </w:rPr>
        <w:t xml:space="preserve"> </w:t>
      </w:r>
      <w:r w:rsidRPr="008174DB">
        <w:rPr>
          <w:rFonts w:ascii="Bookman Old Style" w:hAnsi="Bookman Old Style"/>
          <w:sz w:val="24"/>
          <w:szCs w:val="24"/>
        </w:rPr>
        <w:t>sifatnya</w:t>
      </w:r>
      <w:r w:rsidR="00A954D0">
        <w:rPr>
          <w:rFonts w:ascii="Bookman Old Style" w:hAnsi="Bookman Old Style"/>
          <w:sz w:val="24"/>
          <w:szCs w:val="24"/>
        </w:rPr>
        <w:t xml:space="preserve"> </w:t>
      </w:r>
      <w:r w:rsidRPr="008174DB">
        <w:rPr>
          <w:rFonts w:ascii="Bookman Old Style" w:hAnsi="Bookman Old Style"/>
          <w:sz w:val="24"/>
          <w:szCs w:val="24"/>
        </w:rPr>
        <w:t>menjadi</w:t>
      </w:r>
      <w:r w:rsidR="00A954D0">
        <w:rPr>
          <w:rFonts w:ascii="Bookman Old Style" w:hAnsi="Bookman Old Style"/>
          <w:sz w:val="24"/>
          <w:szCs w:val="24"/>
        </w:rPr>
        <w:t xml:space="preserve"> </w:t>
      </w:r>
      <w:r w:rsidRPr="008174DB">
        <w:rPr>
          <w:rFonts w:ascii="Bookman Old Style" w:hAnsi="Bookman Old Style"/>
          <w:sz w:val="24"/>
          <w:szCs w:val="24"/>
        </w:rPr>
        <w:t>urusan</w:t>
      </w:r>
      <w:r w:rsidR="00A954D0">
        <w:rPr>
          <w:rFonts w:ascii="Bookman Old Style" w:hAnsi="Bookman Old Style"/>
          <w:sz w:val="24"/>
          <w:szCs w:val="24"/>
        </w:rPr>
        <w:t xml:space="preserve"> </w:t>
      </w:r>
      <w:r w:rsidRPr="008174DB">
        <w:rPr>
          <w:rFonts w:ascii="Bookman Old Style" w:hAnsi="Bookman Old Style"/>
          <w:sz w:val="24"/>
          <w:szCs w:val="24"/>
        </w:rPr>
        <w:t>pemerintah</w:t>
      </w:r>
      <w:r w:rsidR="00A954D0">
        <w:rPr>
          <w:rFonts w:ascii="Bookman Old Style" w:hAnsi="Bookman Old Style"/>
          <w:sz w:val="24"/>
          <w:szCs w:val="24"/>
        </w:rPr>
        <w:t xml:space="preserve"> </w:t>
      </w:r>
      <w:r w:rsidRPr="008174DB">
        <w:rPr>
          <w:rFonts w:ascii="Bookman Old Style" w:hAnsi="Bookman Old Style"/>
          <w:sz w:val="24"/>
          <w:szCs w:val="24"/>
        </w:rPr>
        <w:t>daerah</w:t>
      </w:r>
      <w:r w:rsidR="00A954D0">
        <w:rPr>
          <w:rFonts w:ascii="Bookman Old Style" w:hAnsi="Bookman Old Style"/>
          <w:sz w:val="24"/>
          <w:szCs w:val="24"/>
        </w:rPr>
        <w:t xml:space="preserve"> </w:t>
      </w:r>
      <w:r w:rsidRPr="008174DB">
        <w:rPr>
          <w:rFonts w:ascii="Bookman Old Style" w:hAnsi="Bookman Old Style"/>
          <w:sz w:val="24"/>
          <w:szCs w:val="24"/>
        </w:rPr>
        <w:t>dianggarkan</w:t>
      </w:r>
      <w:r w:rsidR="00A954D0">
        <w:rPr>
          <w:rFonts w:ascii="Bookman Old Style" w:hAnsi="Bookman Old Style"/>
          <w:sz w:val="24"/>
          <w:szCs w:val="24"/>
        </w:rPr>
        <w:t xml:space="preserve"> </w:t>
      </w:r>
      <w:r w:rsidRPr="008174DB">
        <w:rPr>
          <w:rFonts w:ascii="Bookman Old Style" w:hAnsi="Bookman Old Style"/>
          <w:sz w:val="24"/>
          <w:szCs w:val="24"/>
        </w:rPr>
        <w:t>pada</w:t>
      </w:r>
      <w:r w:rsidR="00A954D0">
        <w:rPr>
          <w:rFonts w:ascii="Bookman Old Style" w:hAnsi="Bookman Old Style"/>
          <w:sz w:val="24"/>
          <w:szCs w:val="24"/>
        </w:rPr>
        <w:t xml:space="preserve"> </w:t>
      </w:r>
      <w:r w:rsidRPr="008174DB">
        <w:rPr>
          <w:rFonts w:ascii="Bookman Old Style" w:hAnsi="Bookman Old Style"/>
          <w:sz w:val="24"/>
          <w:szCs w:val="24"/>
        </w:rPr>
        <w:t>masing-masing</w:t>
      </w:r>
      <w:r w:rsidR="00A954D0">
        <w:rPr>
          <w:rFonts w:ascii="Bookman Old Style" w:hAnsi="Bookman Old Style"/>
          <w:sz w:val="24"/>
          <w:szCs w:val="24"/>
        </w:rPr>
        <w:t xml:space="preserve"> </w:t>
      </w:r>
      <w:r w:rsidRPr="008174DB">
        <w:rPr>
          <w:rFonts w:ascii="Bookman Old Style" w:hAnsi="Bookman Old Style"/>
          <w:sz w:val="24"/>
          <w:szCs w:val="24"/>
        </w:rPr>
        <w:t>SKPD,</w:t>
      </w:r>
      <w:r w:rsidR="00A954D0">
        <w:rPr>
          <w:rFonts w:ascii="Bookman Old Style" w:hAnsi="Bookman Old Style"/>
          <w:sz w:val="24"/>
          <w:szCs w:val="24"/>
        </w:rPr>
        <w:t xml:space="preserve"> </w:t>
      </w:r>
      <w:r w:rsidRPr="008174DB">
        <w:rPr>
          <w:rFonts w:ascii="Bookman Old Style" w:hAnsi="Bookman Old Style"/>
          <w:sz w:val="24"/>
          <w:szCs w:val="24"/>
        </w:rPr>
        <w:t>Belanja</w:t>
      </w:r>
      <w:r w:rsidR="00A954D0">
        <w:rPr>
          <w:rFonts w:ascii="Bookman Old Style" w:hAnsi="Bookman Old Style"/>
          <w:sz w:val="24"/>
          <w:szCs w:val="24"/>
        </w:rPr>
        <w:t xml:space="preserve"> </w:t>
      </w:r>
      <w:r w:rsidRPr="008174DB">
        <w:rPr>
          <w:rFonts w:ascii="Bookman Old Style" w:hAnsi="Bookman Old Style"/>
          <w:sz w:val="24"/>
          <w:szCs w:val="24"/>
        </w:rPr>
        <w:t>Hibah</w:t>
      </w:r>
      <w:r w:rsidR="00A954D0">
        <w:rPr>
          <w:rFonts w:ascii="Bookman Old Style" w:hAnsi="Bookman Old Style"/>
          <w:sz w:val="24"/>
          <w:szCs w:val="24"/>
        </w:rPr>
        <w:t xml:space="preserve"> </w:t>
      </w:r>
      <w:r w:rsidRPr="008174DB">
        <w:rPr>
          <w:rFonts w:ascii="Bookman Old Style" w:hAnsi="Bookman Old Style"/>
          <w:sz w:val="24"/>
          <w:szCs w:val="24"/>
        </w:rPr>
        <w:t>terkait</w:t>
      </w:r>
      <w:r w:rsidR="00A954D0">
        <w:rPr>
          <w:rFonts w:ascii="Bookman Old Style" w:hAnsi="Bookman Old Style"/>
          <w:sz w:val="24"/>
          <w:szCs w:val="24"/>
        </w:rPr>
        <w:t xml:space="preserve"> </w:t>
      </w:r>
      <w:r w:rsidRPr="008174DB">
        <w:rPr>
          <w:rFonts w:ascii="Bookman Old Style" w:hAnsi="Bookman Old Style"/>
          <w:sz w:val="24"/>
          <w:szCs w:val="24"/>
        </w:rPr>
        <w:t>hubungan</w:t>
      </w:r>
      <w:r w:rsidR="00A954D0">
        <w:rPr>
          <w:rFonts w:ascii="Bookman Old Style" w:hAnsi="Bookman Old Style"/>
          <w:sz w:val="24"/>
          <w:szCs w:val="24"/>
        </w:rPr>
        <w:t xml:space="preserve"> </w:t>
      </w:r>
      <w:r w:rsidRPr="008174DB">
        <w:rPr>
          <w:rFonts w:ascii="Bookman Old Style" w:hAnsi="Bookman Old Style"/>
          <w:sz w:val="24"/>
          <w:szCs w:val="24"/>
        </w:rPr>
        <w:t>antar</w:t>
      </w:r>
      <w:r w:rsidR="00A954D0">
        <w:rPr>
          <w:rFonts w:ascii="Bookman Old Style" w:hAnsi="Bookman Old Style"/>
          <w:sz w:val="24"/>
          <w:szCs w:val="24"/>
        </w:rPr>
        <w:t xml:space="preserve"> </w:t>
      </w:r>
      <w:r w:rsidRPr="008174DB">
        <w:rPr>
          <w:rFonts w:ascii="Bookman Old Style" w:hAnsi="Bookman Old Style"/>
          <w:sz w:val="24"/>
          <w:szCs w:val="24"/>
        </w:rPr>
        <w:t>lembaga</w:t>
      </w:r>
      <w:r w:rsidR="00A954D0">
        <w:rPr>
          <w:rFonts w:ascii="Bookman Old Style" w:hAnsi="Bookman Old Style"/>
          <w:sz w:val="24"/>
          <w:szCs w:val="24"/>
        </w:rPr>
        <w:t xml:space="preserve"> </w:t>
      </w:r>
      <w:r w:rsidRPr="008174DB">
        <w:rPr>
          <w:rFonts w:ascii="Bookman Old Style" w:hAnsi="Bookman Old Style"/>
          <w:sz w:val="24"/>
          <w:szCs w:val="24"/>
        </w:rPr>
        <w:t>pemerintahan</w:t>
      </w:r>
      <w:r w:rsidR="00A954D0">
        <w:rPr>
          <w:rFonts w:ascii="Bookman Old Style" w:hAnsi="Bookman Old Style"/>
          <w:sz w:val="24"/>
          <w:szCs w:val="24"/>
        </w:rPr>
        <w:t xml:space="preserve"> </w:t>
      </w:r>
      <w:r w:rsidRPr="008174DB">
        <w:rPr>
          <w:rFonts w:ascii="Bookman Old Style" w:hAnsi="Bookman Old Style"/>
          <w:sz w:val="24"/>
          <w:szCs w:val="24"/>
        </w:rPr>
        <w:t>dan/atau</w:t>
      </w:r>
      <w:r w:rsidR="00A954D0">
        <w:rPr>
          <w:rFonts w:ascii="Bookman Old Style" w:hAnsi="Bookman Old Style"/>
          <w:sz w:val="24"/>
          <w:szCs w:val="24"/>
        </w:rPr>
        <w:t xml:space="preserve"> </w:t>
      </w:r>
      <w:r w:rsidRPr="008174DB">
        <w:rPr>
          <w:rFonts w:ascii="Bookman Old Style" w:hAnsi="Bookman Old Style"/>
          <w:sz w:val="24"/>
          <w:szCs w:val="24"/>
        </w:rPr>
        <w:t>instansi</w:t>
      </w:r>
      <w:r w:rsidR="00A954D0">
        <w:rPr>
          <w:rFonts w:ascii="Bookman Old Style" w:hAnsi="Bookman Old Style"/>
          <w:sz w:val="24"/>
          <w:szCs w:val="24"/>
        </w:rPr>
        <w:t xml:space="preserve"> </w:t>
      </w:r>
      <w:r w:rsidRPr="008174DB">
        <w:rPr>
          <w:rFonts w:ascii="Bookman Old Style" w:hAnsi="Bookman Old Style"/>
          <w:sz w:val="24"/>
          <w:szCs w:val="24"/>
        </w:rPr>
        <w:t>vertikal</w:t>
      </w:r>
      <w:r w:rsidR="00A954D0">
        <w:rPr>
          <w:rFonts w:ascii="Bookman Old Style" w:hAnsi="Bookman Old Style"/>
          <w:sz w:val="24"/>
          <w:szCs w:val="24"/>
        </w:rPr>
        <w:t xml:space="preserve"> </w:t>
      </w:r>
      <w:r w:rsidRPr="008174DB">
        <w:rPr>
          <w:rFonts w:ascii="Bookman Old Style" w:hAnsi="Bookman Old Style"/>
          <w:sz w:val="24"/>
          <w:szCs w:val="24"/>
        </w:rPr>
        <w:t>dianggarkan</w:t>
      </w:r>
      <w:r w:rsidR="00A954D0">
        <w:rPr>
          <w:rFonts w:ascii="Bookman Old Style" w:hAnsi="Bookman Old Style"/>
          <w:sz w:val="24"/>
          <w:szCs w:val="24"/>
        </w:rPr>
        <w:t xml:space="preserve"> </w:t>
      </w:r>
      <w:r w:rsidRPr="008174DB">
        <w:rPr>
          <w:rFonts w:ascii="Bookman Old Style" w:hAnsi="Bookman Old Style"/>
          <w:sz w:val="24"/>
          <w:szCs w:val="24"/>
        </w:rPr>
        <w:t>pada</w:t>
      </w:r>
      <w:r w:rsidR="00A954D0">
        <w:rPr>
          <w:rFonts w:ascii="Bookman Old Style" w:hAnsi="Bookman Old Style"/>
          <w:sz w:val="24"/>
          <w:szCs w:val="24"/>
        </w:rPr>
        <w:t xml:space="preserve"> </w:t>
      </w:r>
      <w:r w:rsidRPr="008174DB">
        <w:rPr>
          <w:rFonts w:ascii="Bookman Old Style" w:hAnsi="Bookman Old Style"/>
          <w:sz w:val="24"/>
          <w:szCs w:val="24"/>
        </w:rPr>
        <w:t>SKPD</w:t>
      </w:r>
      <w:r w:rsidR="00A954D0">
        <w:rPr>
          <w:rFonts w:ascii="Bookman Old Style" w:hAnsi="Bookman Old Style"/>
          <w:sz w:val="24"/>
          <w:szCs w:val="24"/>
        </w:rPr>
        <w:t xml:space="preserve"> </w:t>
      </w:r>
      <w:r w:rsidRPr="008174DB">
        <w:rPr>
          <w:rFonts w:ascii="Bookman Old Style" w:hAnsi="Bookman Old Style"/>
          <w:sz w:val="24"/>
          <w:szCs w:val="24"/>
        </w:rPr>
        <w:t>yang</w:t>
      </w:r>
      <w:r w:rsidR="00A954D0">
        <w:rPr>
          <w:rFonts w:ascii="Bookman Old Style" w:hAnsi="Bookman Old Style"/>
          <w:sz w:val="24"/>
          <w:szCs w:val="24"/>
        </w:rPr>
        <w:t xml:space="preserve"> </w:t>
      </w:r>
      <w:r w:rsidRPr="008174DB">
        <w:rPr>
          <w:rFonts w:ascii="Bookman Old Style" w:hAnsi="Bookman Old Style"/>
          <w:sz w:val="24"/>
          <w:szCs w:val="24"/>
        </w:rPr>
        <w:t>melaksanakan</w:t>
      </w:r>
      <w:r w:rsidR="00A954D0">
        <w:rPr>
          <w:rFonts w:ascii="Bookman Old Style" w:hAnsi="Bookman Old Style"/>
          <w:sz w:val="24"/>
          <w:szCs w:val="24"/>
        </w:rPr>
        <w:t xml:space="preserve"> </w:t>
      </w:r>
      <w:r w:rsidRPr="008174DB">
        <w:rPr>
          <w:rFonts w:ascii="Bookman Old Style" w:hAnsi="Bookman Old Style"/>
          <w:sz w:val="24"/>
          <w:szCs w:val="24"/>
        </w:rPr>
        <w:t>urusan</w:t>
      </w:r>
      <w:r w:rsidR="00A954D0">
        <w:rPr>
          <w:rFonts w:ascii="Bookman Old Style" w:hAnsi="Bookman Old Style"/>
          <w:sz w:val="24"/>
          <w:szCs w:val="24"/>
        </w:rPr>
        <w:t xml:space="preserve"> </w:t>
      </w:r>
      <w:r w:rsidRPr="008174DB">
        <w:rPr>
          <w:rFonts w:ascii="Bookman Old Style" w:hAnsi="Bookman Old Style"/>
          <w:sz w:val="24"/>
          <w:szCs w:val="24"/>
        </w:rPr>
        <w:t>Pemerintahan</w:t>
      </w:r>
      <w:r w:rsidR="00A954D0">
        <w:rPr>
          <w:rFonts w:ascii="Bookman Old Style" w:hAnsi="Bookman Old Style"/>
          <w:sz w:val="24"/>
          <w:szCs w:val="24"/>
        </w:rPr>
        <w:t xml:space="preserve"> </w:t>
      </w:r>
      <w:r w:rsidRPr="008174DB">
        <w:rPr>
          <w:rFonts w:ascii="Bookman Old Style" w:hAnsi="Bookman Old Style"/>
          <w:sz w:val="24"/>
          <w:szCs w:val="24"/>
        </w:rPr>
        <w:t>Umum</w:t>
      </w:r>
      <w:r w:rsidR="00A954D0">
        <w:rPr>
          <w:rFonts w:ascii="Bookman Old Style" w:hAnsi="Bookman Old Style"/>
          <w:sz w:val="24"/>
          <w:szCs w:val="24"/>
        </w:rPr>
        <w:t xml:space="preserve"> </w:t>
      </w:r>
      <w:r w:rsidRPr="008174DB">
        <w:rPr>
          <w:rFonts w:ascii="Bookman Old Style" w:hAnsi="Bookman Old Style"/>
          <w:sz w:val="24"/>
          <w:szCs w:val="24"/>
        </w:rPr>
        <w:t>sedangkan</w:t>
      </w:r>
      <w:r w:rsidR="00A954D0">
        <w:rPr>
          <w:rFonts w:ascii="Bookman Old Style" w:hAnsi="Bookman Old Style"/>
          <w:sz w:val="24"/>
          <w:szCs w:val="24"/>
        </w:rPr>
        <w:t xml:space="preserve"> </w:t>
      </w:r>
      <w:r w:rsidRPr="008174DB">
        <w:rPr>
          <w:rFonts w:ascii="Bookman Old Style" w:hAnsi="Bookman Old Style"/>
          <w:sz w:val="24"/>
          <w:szCs w:val="24"/>
        </w:rPr>
        <w:t>Belanja</w:t>
      </w:r>
      <w:r w:rsidR="00A954D0">
        <w:rPr>
          <w:rFonts w:ascii="Bookman Old Style" w:hAnsi="Bookman Old Style"/>
          <w:sz w:val="24"/>
          <w:szCs w:val="24"/>
        </w:rPr>
        <w:t xml:space="preserve"> </w:t>
      </w:r>
      <w:r w:rsidRPr="008174DB">
        <w:rPr>
          <w:rFonts w:ascii="Bookman Old Style" w:hAnsi="Bookman Old Style"/>
          <w:sz w:val="24"/>
          <w:szCs w:val="24"/>
        </w:rPr>
        <w:t>Hibah</w:t>
      </w:r>
      <w:r w:rsidR="00A954D0">
        <w:rPr>
          <w:rFonts w:ascii="Bookman Old Style" w:hAnsi="Bookman Old Style"/>
          <w:sz w:val="24"/>
          <w:szCs w:val="24"/>
        </w:rPr>
        <w:t xml:space="preserve"> </w:t>
      </w:r>
      <w:r w:rsidRPr="008174DB">
        <w:rPr>
          <w:rFonts w:ascii="Bookman Old Style" w:hAnsi="Bookman Old Style"/>
          <w:sz w:val="24"/>
          <w:szCs w:val="24"/>
        </w:rPr>
        <w:t>yang</w:t>
      </w:r>
      <w:r w:rsidR="00A954D0">
        <w:rPr>
          <w:rFonts w:ascii="Bookman Old Style" w:hAnsi="Bookman Old Style"/>
          <w:sz w:val="24"/>
          <w:szCs w:val="24"/>
        </w:rPr>
        <w:t xml:space="preserve"> </w:t>
      </w:r>
      <w:r w:rsidRPr="008174DB">
        <w:rPr>
          <w:rFonts w:ascii="Bookman Old Style" w:hAnsi="Bookman Old Style"/>
          <w:sz w:val="24"/>
          <w:szCs w:val="24"/>
        </w:rPr>
        <w:t>sifatnya</w:t>
      </w:r>
      <w:r w:rsidR="00A954D0">
        <w:rPr>
          <w:rFonts w:ascii="Bookman Old Style" w:hAnsi="Bookman Old Style"/>
          <w:sz w:val="24"/>
          <w:szCs w:val="24"/>
        </w:rPr>
        <w:t xml:space="preserve"> </w:t>
      </w:r>
      <w:r w:rsidRPr="008174DB">
        <w:rPr>
          <w:rFonts w:ascii="Bookman Old Style" w:hAnsi="Bookman Old Style"/>
          <w:sz w:val="24"/>
          <w:szCs w:val="24"/>
        </w:rPr>
        <w:t>bukan</w:t>
      </w:r>
      <w:r w:rsidR="00A954D0">
        <w:rPr>
          <w:rFonts w:ascii="Bookman Old Style" w:hAnsi="Bookman Old Style"/>
          <w:sz w:val="24"/>
          <w:szCs w:val="24"/>
        </w:rPr>
        <w:t xml:space="preserve"> </w:t>
      </w:r>
      <w:r w:rsidRPr="008174DB">
        <w:rPr>
          <w:rFonts w:ascii="Bookman Old Style" w:hAnsi="Bookman Old Style"/>
          <w:sz w:val="24"/>
          <w:szCs w:val="24"/>
        </w:rPr>
        <w:t>menjadi</w:t>
      </w:r>
      <w:r w:rsidR="00A954D0">
        <w:rPr>
          <w:rFonts w:ascii="Bookman Old Style" w:hAnsi="Bookman Old Style"/>
          <w:sz w:val="24"/>
          <w:szCs w:val="24"/>
        </w:rPr>
        <w:t xml:space="preserve"> </w:t>
      </w:r>
      <w:r w:rsidRPr="008174DB">
        <w:rPr>
          <w:rFonts w:ascii="Bookman Old Style" w:hAnsi="Bookman Old Style"/>
          <w:sz w:val="24"/>
          <w:szCs w:val="24"/>
        </w:rPr>
        <w:t>urusan</w:t>
      </w:r>
      <w:r w:rsidR="00A954D0">
        <w:rPr>
          <w:rFonts w:ascii="Bookman Old Style" w:hAnsi="Bookman Old Style"/>
          <w:sz w:val="24"/>
          <w:szCs w:val="24"/>
        </w:rPr>
        <w:t xml:space="preserve"> </w:t>
      </w:r>
      <w:r w:rsidRPr="008174DB">
        <w:rPr>
          <w:rFonts w:ascii="Bookman Old Style" w:hAnsi="Bookman Old Style"/>
          <w:sz w:val="24"/>
          <w:szCs w:val="24"/>
        </w:rPr>
        <w:t>Pemerintah</w:t>
      </w:r>
      <w:r w:rsidR="00A954D0">
        <w:rPr>
          <w:rFonts w:ascii="Bookman Old Style" w:hAnsi="Bookman Old Style"/>
          <w:sz w:val="24"/>
          <w:szCs w:val="24"/>
        </w:rPr>
        <w:t xml:space="preserve"> </w:t>
      </w:r>
      <w:r w:rsidRPr="008174DB">
        <w:rPr>
          <w:rFonts w:ascii="Bookman Old Style" w:hAnsi="Bookman Old Style"/>
          <w:sz w:val="24"/>
          <w:szCs w:val="24"/>
        </w:rPr>
        <w:t>Daerah</w:t>
      </w:r>
      <w:r w:rsidR="00A954D0">
        <w:rPr>
          <w:rFonts w:ascii="Bookman Old Style" w:hAnsi="Bookman Old Style"/>
          <w:sz w:val="24"/>
          <w:szCs w:val="24"/>
        </w:rPr>
        <w:t xml:space="preserve"> </w:t>
      </w:r>
      <w:r w:rsidRPr="008174DB">
        <w:rPr>
          <w:rFonts w:ascii="Bookman Old Style" w:hAnsi="Bookman Old Style"/>
          <w:sz w:val="24"/>
          <w:szCs w:val="24"/>
        </w:rPr>
        <w:t>dianggarkan</w:t>
      </w:r>
      <w:r w:rsidR="00A954D0">
        <w:rPr>
          <w:rFonts w:ascii="Bookman Old Style" w:hAnsi="Bookman Old Style"/>
          <w:sz w:val="24"/>
          <w:szCs w:val="24"/>
        </w:rPr>
        <w:t xml:space="preserve"> </w:t>
      </w:r>
      <w:r w:rsidRPr="008174DB">
        <w:rPr>
          <w:rFonts w:ascii="Bookman Old Style" w:hAnsi="Bookman Old Style"/>
          <w:sz w:val="24"/>
          <w:szCs w:val="24"/>
        </w:rPr>
        <w:t>pada</w:t>
      </w:r>
      <w:r w:rsidR="00A954D0">
        <w:rPr>
          <w:rFonts w:ascii="Bookman Old Style" w:hAnsi="Bookman Old Style"/>
          <w:sz w:val="24"/>
          <w:szCs w:val="24"/>
        </w:rPr>
        <w:t xml:space="preserve"> </w:t>
      </w:r>
      <w:r w:rsidRPr="008174DB">
        <w:rPr>
          <w:rFonts w:ascii="Bookman Old Style" w:hAnsi="Bookman Old Style"/>
          <w:sz w:val="24"/>
          <w:szCs w:val="24"/>
        </w:rPr>
        <w:t>SKPD</w:t>
      </w:r>
      <w:r w:rsidR="00A954D0">
        <w:rPr>
          <w:rFonts w:ascii="Bookman Old Style" w:hAnsi="Bookman Old Style"/>
          <w:sz w:val="24"/>
          <w:szCs w:val="24"/>
        </w:rPr>
        <w:t xml:space="preserve"> </w:t>
      </w:r>
      <w:r w:rsidRPr="008174DB">
        <w:rPr>
          <w:rFonts w:ascii="Bookman Old Style" w:hAnsi="Bookman Old Style"/>
          <w:sz w:val="24"/>
          <w:szCs w:val="24"/>
        </w:rPr>
        <w:t>Sekretariat</w:t>
      </w:r>
      <w:r w:rsidR="00A954D0">
        <w:rPr>
          <w:rFonts w:ascii="Bookman Old Style" w:hAnsi="Bookman Old Style"/>
          <w:sz w:val="24"/>
          <w:szCs w:val="24"/>
        </w:rPr>
        <w:t xml:space="preserve"> </w:t>
      </w:r>
      <w:r w:rsidRPr="008174DB">
        <w:rPr>
          <w:rFonts w:ascii="Bookman Old Style" w:hAnsi="Bookman Old Style"/>
          <w:sz w:val="24"/>
          <w:szCs w:val="24"/>
        </w:rPr>
        <w:t>Daerah.</w:t>
      </w:r>
    </w:p>
    <w:p w14:paraId="21A75D2A" w14:textId="1634500A" w:rsidR="004C3CE0" w:rsidRPr="008174DB" w:rsidRDefault="004C3CE0" w:rsidP="006A368B">
      <w:pPr>
        <w:pStyle w:val="ListParagraph"/>
        <w:spacing w:before="60" w:after="0" w:line="276" w:lineRule="auto"/>
        <w:ind w:left="1701"/>
        <w:contextualSpacing w:val="0"/>
        <w:jc w:val="both"/>
        <w:rPr>
          <w:rFonts w:ascii="Bookman Old Style" w:hAnsi="Bookman Old Style"/>
          <w:sz w:val="24"/>
          <w:szCs w:val="24"/>
        </w:rPr>
      </w:pPr>
      <w:r w:rsidRPr="008174DB">
        <w:rPr>
          <w:rFonts w:ascii="Bookman Old Style" w:hAnsi="Bookman Old Style" w:cs="Arial"/>
          <w:sz w:val="24"/>
          <w:szCs w:val="24"/>
          <w:lang w:val="en-US"/>
        </w:rPr>
        <w:t>Khusus</w:t>
      </w:r>
      <w:r w:rsidR="00A954D0">
        <w:rPr>
          <w:rFonts w:ascii="Bookman Old Style" w:hAnsi="Bookman Old Style"/>
          <w:sz w:val="24"/>
          <w:szCs w:val="24"/>
        </w:rPr>
        <w:t xml:space="preserve"> </w:t>
      </w:r>
      <w:r w:rsidRPr="008174DB">
        <w:rPr>
          <w:rFonts w:ascii="Bookman Old Style" w:hAnsi="Bookman Old Style"/>
          <w:sz w:val="24"/>
          <w:szCs w:val="24"/>
        </w:rPr>
        <w:t>untuk</w:t>
      </w:r>
      <w:r w:rsidR="00A954D0">
        <w:rPr>
          <w:rFonts w:ascii="Bookman Old Style" w:hAnsi="Bookman Old Style"/>
          <w:sz w:val="24"/>
          <w:szCs w:val="24"/>
        </w:rPr>
        <w:t xml:space="preserve"> </w:t>
      </w:r>
      <w:r w:rsidRPr="008174DB">
        <w:rPr>
          <w:rFonts w:ascii="Bookman Old Style" w:hAnsi="Bookman Old Style"/>
          <w:sz w:val="24"/>
          <w:szCs w:val="24"/>
        </w:rPr>
        <w:t>pagu</w:t>
      </w:r>
      <w:r w:rsidR="00A954D0">
        <w:rPr>
          <w:rFonts w:ascii="Bookman Old Style" w:hAnsi="Bookman Old Style"/>
          <w:sz w:val="24"/>
          <w:szCs w:val="24"/>
        </w:rPr>
        <w:t xml:space="preserve"> </w:t>
      </w:r>
      <w:r w:rsidRPr="008174DB">
        <w:rPr>
          <w:rFonts w:ascii="Bookman Old Style" w:hAnsi="Bookman Old Style"/>
          <w:sz w:val="24"/>
          <w:szCs w:val="24"/>
        </w:rPr>
        <w:t>anggaran</w:t>
      </w:r>
      <w:r w:rsidR="00A954D0">
        <w:rPr>
          <w:rFonts w:ascii="Bookman Old Style" w:hAnsi="Bookman Old Style"/>
          <w:sz w:val="24"/>
          <w:szCs w:val="24"/>
        </w:rPr>
        <w:t xml:space="preserve"> </w:t>
      </w:r>
      <w:r w:rsidRPr="008174DB">
        <w:rPr>
          <w:rFonts w:ascii="Bookman Old Style" w:hAnsi="Bookman Old Style"/>
          <w:sz w:val="24"/>
          <w:szCs w:val="24"/>
        </w:rPr>
        <w:t>Belanja</w:t>
      </w:r>
      <w:r w:rsidR="00A954D0">
        <w:rPr>
          <w:rFonts w:ascii="Bookman Old Style" w:hAnsi="Bookman Old Style"/>
          <w:sz w:val="24"/>
          <w:szCs w:val="24"/>
        </w:rPr>
        <w:t xml:space="preserve"> </w:t>
      </w:r>
      <w:r w:rsidRPr="008174DB">
        <w:rPr>
          <w:rFonts w:ascii="Bookman Old Style" w:hAnsi="Bookman Old Style"/>
          <w:sz w:val="24"/>
          <w:szCs w:val="24"/>
        </w:rPr>
        <w:t>Hibah</w:t>
      </w:r>
      <w:r w:rsidR="00A954D0">
        <w:rPr>
          <w:rFonts w:ascii="Bookman Old Style" w:hAnsi="Bookman Old Style"/>
          <w:sz w:val="24"/>
          <w:szCs w:val="24"/>
        </w:rPr>
        <w:t xml:space="preserve"> </w:t>
      </w:r>
      <w:r w:rsidRPr="008174DB">
        <w:rPr>
          <w:rFonts w:ascii="Bookman Old Style" w:hAnsi="Bookman Old Style"/>
          <w:sz w:val="24"/>
          <w:szCs w:val="24"/>
        </w:rPr>
        <w:t>juga</w:t>
      </w:r>
      <w:r w:rsidR="00A954D0">
        <w:rPr>
          <w:rFonts w:ascii="Bookman Old Style" w:hAnsi="Bookman Old Style"/>
          <w:sz w:val="24"/>
          <w:szCs w:val="24"/>
        </w:rPr>
        <w:t xml:space="preserve"> </w:t>
      </w:r>
      <w:r w:rsidRPr="008174DB">
        <w:rPr>
          <w:rFonts w:ascii="Bookman Old Style" w:hAnsi="Bookman Old Style"/>
          <w:sz w:val="24"/>
          <w:szCs w:val="24"/>
        </w:rPr>
        <w:t>harus</w:t>
      </w:r>
      <w:r w:rsidR="00A954D0">
        <w:rPr>
          <w:rFonts w:ascii="Bookman Old Style" w:hAnsi="Bookman Old Style"/>
          <w:sz w:val="24"/>
          <w:szCs w:val="24"/>
        </w:rPr>
        <w:t xml:space="preserve"> </w:t>
      </w:r>
      <w:r w:rsidRPr="008174DB">
        <w:rPr>
          <w:rFonts w:ascii="Bookman Old Style" w:hAnsi="Bookman Old Style"/>
          <w:sz w:val="24"/>
          <w:szCs w:val="24"/>
        </w:rPr>
        <w:t>berpedoman</w:t>
      </w:r>
      <w:r w:rsidR="00A954D0">
        <w:rPr>
          <w:rFonts w:ascii="Bookman Old Style" w:hAnsi="Bookman Old Style"/>
          <w:sz w:val="24"/>
          <w:szCs w:val="24"/>
        </w:rPr>
        <w:t xml:space="preserve"> </w:t>
      </w:r>
      <w:r w:rsidRPr="008174DB">
        <w:rPr>
          <w:rFonts w:ascii="Bookman Old Style" w:hAnsi="Bookman Old Style"/>
          <w:sz w:val="24"/>
          <w:szCs w:val="24"/>
        </w:rPr>
        <w:t>pada</w:t>
      </w:r>
      <w:r w:rsidR="00A954D0">
        <w:rPr>
          <w:rFonts w:ascii="Bookman Old Style" w:hAnsi="Bookman Old Style"/>
          <w:sz w:val="24"/>
          <w:szCs w:val="24"/>
        </w:rPr>
        <w:t xml:space="preserve"> </w:t>
      </w:r>
      <w:r w:rsidRPr="008174DB">
        <w:rPr>
          <w:rFonts w:ascii="Bookman Old Style" w:hAnsi="Bookman Old Style"/>
          <w:sz w:val="24"/>
          <w:szCs w:val="24"/>
        </w:rPr>
        <w:t>pagu</w:t>
      </w:r>
      <w:r w:rsidR="00A954D0">
        <w:rPr>
          <w:rFonts w:ascii="Bookman Old Style" w:hAnsi="Bookman Old Style"/>
          <w:sz w:val="24"/>
          <w:szCs w:val="24"/>
        </w:rPr>
        <w:t xml:space="preserve"> </w:t>
      </w:r>
      <w:r w:rsidRPr="008174DB">
        <w:rPr>
          <w:rFonts w:ascii="Bookman Old Style" w:hAnsi="Bookman Old Style"/>
          <w:sz w:val="24"/>
          <w:szCs w:val="24"/>
        </w:rPr>
        <w:t>anggaran</w:t>
      </w:r>
      <w:r w:rsidR="00A954D0">
        <w:rPr>
          <w:rFonts w:ascii="Bookman Old Style" w:hAnsi="Bookman Old Style"/>
          <w:sz w:val="24"/>
          <w:szCs w:val="24"/>
        </w:rPr>
        <w:t xml:space="preserve"> </w:t>
      </w:r>
      <w:r w:rsidRPr="008174DB">
        <w:rPr>
          <w:rFonts w:ascii="Bookman Old Style" w:hAnsi="Bookman Old Style"/>
          <w:sz w:val="24"/>
          <w:szCs w:val="24"/>
        </w:rPr>
        <w:t>Belanja</w:t>
      </w:r>
      <w:r w:rsidR="00A954D0">
        <w:rPr>
          <w:rFonts w:ascii="Bookman Old Style" w:hAnsi="Bookman Old Style"/>
          <w:sz w:val="24"/>
          <w:szCs w:val="24"/>
        </w:rPr>
        <w:t xml:space="preserve"> </w:t>
      </w:r>
      <w:r w:rsidRPr="008174DB">
        <w:rPr>
          <w:rFonts w:ascii="Bookman Old Style" w:hAnsi="Bookman Old Style"/>
          <w:sz w:val="24"/>
          <w:szCs w:val="24"/>
        </w:rPr>
        <w:t>Hibah</w:t>
      </w:r>
      <w:r w:rsidR="00A954D0">
        <w:rPr>
          <w:rFonts w:ascii="Bookman Old Style" w:hAnsi="Bookman Old Style"/>
          <w:sz w:val="24"/>
          <w:szCs w:val="24"/>
        </w:rPr>
        <w:t xml:space="preserve"> </w:t>
      </w:r>
      <w:r w:rsidRPr="008174DB">
        <w:rPr>
          <w:rFonts w:ascii="Bookman Old Style" w:hAnsi="Bookman Old Style"/>
          <w:sz w:val="24"/>
          <w:szCs w:val="24"/>
        </w:rPr>
        <w:t>yang</w:t>
      </w:r>
      <w:r w:rsidR="00A954D0">
        <w:rPr>
          <w:rFonts w:ascii="Bookman Old Style" w:hAnsi="Bookman Old Style"/>
          <w:sz w:val="24"/>
          <w:szCs w:val="24"/>
        </w:rPr>
        <w:t xml:space="preserve"> </w:t>
      </w:r>
      <w:r w:rsidRPr="008174DB">
        <w:rPr>
          <w:rFonts w:ascii="Bookman Old Style" w:hAnsi="Bookman Old Style"/>
          <w:sz w:val="24"/>
          <w:szCs w:val="24"/>
        </w:rPr>
        <w:t>tercantum</w:t>
      </w:r>
      <w:r w:rsidR="00A954D0">
        <w:rPr>
          <w:rFonts w:ascii="Bookman Old Style" w:hAnsi="Bookman Old Style"/>
          <w:sz w:val="24"/>
          <w:szCs w:val="24"/>
        </w:rPr>
        <w:t xml:space="preserve"> </w:t>
      </w:r>
      <w:r w:rsidRPr="008174DB">
        <w:rPr>
          <w:rFonts w:ascii="Bookman Old Style" w:hAnsi="Bookman Old Style" w:cs="Arial"/>
          <w:sz w:val="24"/>
          <w:szCs w:val="24"/>
          <w:lang w:val="en-US"/>
        </w:rPr>
        <w:t>pada</w:t>
      </w:r>
      <w:r w:rsidR="00A954D0">
        <w:rPr>
          <w:rFonts w:ascii="Bookman Old Style" w:hAnsi="Bookman Old Style"/>
          <w:sz w:val="24"/>
          <w:szCs w:val="24"/>
        </w:rPr>
        <w:t xml:space="preserve"> </w:t>
      </w:r>
      <w:r w:rsidRPr="008174DB">
        <w:rPr>
          <w:rFonts w:ascii="Bookman Old Style" w:hAnsi="Bookman Old Style"/>
          <w:sz w:val="24"/>
          <w:szCs w:val="24"/>
        </w:rPr>
        <w:t>kelompok</w:t>
      </w:r>
      <w:r w:rsidR="00A954D0">
        <w:rPr>
          <w:rFonts w:ascii="Bookman Old Style" w:hAnsi="Bookman Old Style"/>
          <w:sz w:val="24"/>
          <w:szCs w:val="24"/>
        </w:rPr>
        <w:t xml:space="preserve"> </w:t>
      </w:r>
      <w:r w:rsidRPr="008174DB">
        <w:rPr>
          <w:rFonts w:ascii="Bookman Old Style" w:hAnsi="Bookman Old Style"/>
          <w:sz w:val="24"/>
          <w:szCs w:val="24"/>
        </w:rPr>
        <w:t>Belanja</w:t>
      </w:r>
      <w:r w:rsidR="00A954D0">
        <w:rPr>
          <w:rFonts w:ascii="Bookman Old Style" w:hAnsi="Bookman Old Style"/>
          <w:sz w:val="24"/>
          <w:szCs w:val="24"/>
        </w:rPr>
        <w:t xml:space="preserve"> </w:t>
      </w:r>
      <w:r w:rsidRPr="008174DB">
        <w:rPr>
          <w:rFonts w:ascii="Bookman Old Style" w:hAnsi="Bookman Old Style"/>
          <w:sz w:val="24"/>
          <w:szCs w:val="24"/>
        </w:rPr>
        <w:t>Operasi</w:t>
      </w:r>
      <w:r w:rsidR="00A954D0">
        <w:rPr>
          <w:rFonts w:ascii="Bookman Old Style" w:hAnsi="Bookman Old Style"/>
          <w:sz w:val="24"/>
          <w:szCs w:val="24"/>
        </w:rPr>
        <w:t xml:space="preserve"> </w:t>
      </w:r>
      <w:r w:rsidRPr="008174DB">
        <w:rPr>
          <w:rFonts w:ascii="Bookman Old Style" w:hAnsi="Bookman Old Style"/>
          <w:sz w:val="24"/>
          <w:szCs w:val="24"/>
        </w:rPr>
        <w:t>dalam</w:t>
      </w:r>
      <w:r w:rsidR="00A954D0">
        <w:rPr>
          <w:rFonts w:ascii="Bookman Old Style" w:hAnsi="Bookman Old Style"/>
          <w:sz w:val="24"/>
          <w:szCs w:val="24"/>
        </w:rPr>
        <w:t xml:space="preserve"> </w:t>
      </w:r>
      <w:r w:rsidRPr="008174DB">
        <w:rPr>
          <w:rFonts w:ascii="Bookman Old Style" w:hAnsi="Bookman Old Style"/>
          <w:sz w:val="24"/>
          <w:szCs w:val="24"/>
        </w:rPr>
        <w:t>RKPD,</w:t>
      </w:r>
      <w:r w:rsidR="00A954D0">
        <w:rPr>
          <w:rFonts w:ascii="Bookman Old Style" w:hAnsi="Bookman Old Style"/>
          <w:sz w:val="24"/>
          <w:szCs w:val="24"/>
        </w:rPr>
        <w:t xml:space="preserve"> </w:t>
      </w:r>
      <w:r w:rsidRPr="008174DB">
        <w:rPr>
          <w:rFonts w:ascii="Bookman Old Style" w:hAnsi="Bookman Old Style"/>
          <w:sz w:val="24"/>
          <w:szCs w:val="24"/>
        </w:rPr>
        <w:t>KUA</w:t>
      </w:r>
      <w:r w:rsidR="00A954D0">
        <w:rPr>
          <w:rFonts w:ascii="Bookman Old Style" w:hAnsi="Bookman Old Style"/>
          <w:sz w:val="24"/>
          <w:szCs w:val="24"/>
        </w:rPr>
        <w:t xml:space="preserve"> </w:t>
      </w:r>
      <w:r w:rsidRPr="008174DB">
        <w:rPr>
          <w:rFonts w:ascii="Bookman Old Style" w:hAnsi="Bookman Old Style"/>
          <w:sz w:val="24"/>
          <w:szCs w:val="24"/>
        </w:rPr>
        <w:t>dan</w:t>
      </w:r>
      <w:r w:rsidR="00A954D0">
        <w:rPr>
          <w:rFonts w:ascii="Bookman Old Style" w:hAnsi="Bookman Old Style"/>
          <w:sz w:val="24"/>
          <w:szCs w:val="24"/>
        </w:rPr>
        <w:t xml:space="preserve"> </w:t>
      </w:r>
      <w:r w:rsidRPr="008174DB">
        <w:rPr>
          <w:rFonts w:ascii="Bookman Old Style" w:hAnsi="Bookman Old Style"/>
          <w:sz w:val="24"/>
          <w:szCs w:val="24"/>
        </w:rPr>
        <w:t>PPAS.</w:t>
      </w:r>
    </w:p>
    <w:p w14:paraId="2CC744BD" w14:textId="173FDE91" w:rsidR="003B7FE4" w:rsidRDefault="004C3CE0" w:rsidP="006A368B">
      <w:pPr>
        <w:pStyle w:val="ListParagraph"/>
        <w:spacing w:before="60" w:after="0" w:line="276" w:lineRule="auto"/>
        <w:ind w:left="1701"/>
        <w:contextualSpacing w:val="0"/>
        <w:jc w:val="both"/>
        <w:rPr>
          <w:rFonts w:ascii="Bookman Old Style" w:hAnsi="Bookman Old Style"/>
          <w:sz w:val="24"/>
          <w:szCs w:val="24"/>
        </w:rPr>
      </w:pPr>
      <w:r w:rsidRPr="008174DB">
        <w:rPr>
          <w:rFonts w:ascii="Bookman Old Style" w:hAnsi="Bookman Old Style" w:cs="Arial"/>
          <w:sz w:val="24"/>
          <w:szCs w:val="24"/>
          <w:lang w:val="en-US"/>
        </w:rPr>
        <w:t>Selanjutnya</w:t>
      </w:r>
      <w:r w:rsidRPr="008174DB">
        <w:rPr>
          <w:rFonts w:ascii="Bookman Old Style" w:hAnsi="Bookman Old Style"/>
          <w:sz w:val="24"/>
          <w:szCs w:val="24"/>
        </w:rPr>
        <w:t>,</w:t>
      </w:r>
      <w:r w:rsidR="00A954D0">
        <w:rPr>
          <w:rFonts w:ascii="Bookman Old Style" w:hAnsi="Bookman Old Style"/>
          <w:sz w:val="24"/>
          <w:szCs w:val="24"/>
        </w:rPr>
        <w:t xml:space="preserve"> </w:t>
      </w:r>
      <w:r w:rsidRPr="008174DB">
        <w:rPr>
          <w:rFonts w:ascii="Bookman Old Style" w:hAnsi="Bookman Old Style"/>
          <w:sz w:val="24"/>
          <w:szCs w:val="24"/>
        </w:rPr>
        <w:t>penyediaan</w:t>
      </w:r>
      <w:r w:rsidR="00A954D0">
        <w:rPr>
          <w:rFonts w:ascii="Bookman Old Style" w:hAnsi="Bookman Old Style"/>
          <w:sz w:val="24"/>
          <w:szCs w:val="24"/>
        </w:rPr>
        <w:t xml:space="preserve"> </w:t>
      </w:r>
      <w:r w:rsidRPr="008174DB">
        <w:rPr>
          <w:rFonts w:ascii="Bookman Old Style" w:hAnsi="Bookman Old Style"/>
          <w:sz w:val="24"/>
          <w:szCs w:val="24"/>
        </w:rPr>
        <w:t>anggaran</w:t>
      </w:r>
      <w:r w:rsidR="00A954D0">
        <w:rPr>
          <w:rFonts w:ascii="Bookman Old Style" w:hAnsi="Bookman Old Style"/>
          <w:sz w:val="24"/>
          <w:szCs w:val="24"/>
        </w:rPr>
        <w:t xml:space="preserve"> </w:t>
      </w:r>
      <w:r w:rsidRPr="008174DB">
        <w:rPr>
          <w:rFonts w:ascii="Bookman Old Style" w:hAnsi="Bookman Old Style"/>
          <w:sz w:val="24"/>
          <w:szCs w:val="24"/>
        </w:rPr>
        <w:t>yang</w:t>
      </w:r>
      <w:r w:rsidR="00A954D0">
        <w:rPr>
          <w:rFonts w:ascii="Bookman Old Style" w:hAnsi="Bookman Old Style"/>
          <w:sz w:val="24"/>
          <w:szCs w:val="24"/>
        </w:rPr>
        <w:t xml:space="preserve"> </w:t>
      </w:r>
      <w:r w:rsidRPr="008174DB">
        <w:rPr>
          <w:rFonts w:ascii="Bookman Old Style" w:hAnsi="Bookman Old Style"/>
          <w:sz w:val="24"/>
          <w:szCs w:val="24"/>
        </w:rPr>
        <w:t>tercantum</w:t>
      </w:r>
      <w:r w:rsidR="00A954D0">
        <w:rPr>
          <w:rFonts w:ascii="Bookman Old Style" w:hAnsi="Bookman Old Style"/>
          <w:sz w:val="24"/>
          <w:szCs w:val="24"/>
        </w:rPr>
        <w:t xml:space="preserve"> </w:t>
      </w:r>
      <w:r w:rsidRPr="008174DB">
        <w:rPr>
          <w:rFonts w:ascii="Bookman Old Style" w:hAnsi="Bookman Old Style"/>
          <w:sz w:val="24"/>
          <w:szCs w:val="24"/>
        </w:rPr>
        <w:t>pada</w:t>
      </w:r>
      <w:r w:rsidR="00A954D0">
        <w:rPr>
          <w:rFonts w:ascii="Bookman Old Style" w:hAnsi="Bookman Old Style"/>
          <w:sz w:val="24"/>
          <w:szCs w:val="24"/>
        </w:rPr>
        <w:t xml:space="preserve"> </w:t>
      </w:r>
      <w:r w:rsidRPr="008174DB">
        <w:rPr>
          <w:rFonts w:ascii="Bookman Old Style" w:hAnsi="Bookman Old Style"/>
          <w:sz w:val="24"/>
          <w:szCs w:val="24"/>
        </w:rPr>
        <w:t>Belanja</w:t>
      </w:r>
      <w:r w:rsidR="00A954D0">
        <w:rPr>
          <w:rFonts w:ascii="Bookman Old Style" w:hAnsi="Bookman Old Style"/>
          <w:sz w:val="24"/>
          <w:szCs w:val="24"/>
        </w:rPr>
        <w:t xml:space="preserve"> </w:t>
      </w:r>
      <w:r w:rsidRPr="008174DB">
        <w:rPr>
          <w:rFonts w:ascii="Bookman Old Style" w:hAnsi="Bookman Old Style"/>
          <w:sz w:val="24"/>
          <w:szCs w:val="24"/>
        </w:rPr>
        <w:t>Hibah</w:t>
      </w:r>
      <w:r w:rsidR="00A954D0">
        <w:rPr>
          <w:rFonts w:ascii="Bookman Old Style" w:hAnsi="Bookman Old Style"/>
          <w:sz w:val="24"/>
          <w:szCs w:val="24"/>
        </w:rPr>
        <w:t xml:space="preserve"> </w:t>
      </w:r>
      <w:r w:rsidRPr="008174DB">
        <w:rPr>
          <w:rFonts w:ascii="Bookman Old Style" w:hAnsi="Bookman Old Style"/>
          <w:sz w:val="24"/>
          <w:szCs w:val="24"/>
        </w:rPr>
        <w:t>Bantuan</w:t>
      </w:r>
      <w:r w:rsidR="00A954D0">
        <w:rPr>
          <w:rFonts w:ascii="Bookman Old Style" w:hAnsi="Bookman Old Style"/>
          <w:sz w:val="24"/>
          <w:szCs w:val="24"/>
        </w:rPr>
        <w:t xml:space="preserve"> </w:t>
      </w:r>
      <w:r w:rsidRPr="008174DB">
        <w:rPr>
          <w:rFonts w:ascii="Bookman Old Style" w:hAnsi="Bookman Old Style"/>
          <w:sz w:val="24"/>
          <w:szCs w:val="24"/>
        </w:rPr>
        <w:t>Keuangan</w:t>
      </w:r>
      <w:r w:rsidR="00A954D0">
        <w:rPr>
          <w:rFonts w:ascii="Bookman Old Style" w:hAnsi="Bookman Old Style"/>
          <w:sz w:val="24"/>
          <w:szCs w:val="24"/>
        </w:rPr>
        <w:t xml:space="preserve"> </w:t>
      </w:r>
      <w:r w:rsidRPr="008174DB">
        <w:rPr>
          <w:rFonts w:ascii="Bookman Old Style" w:hAnsi="Bookman Old Style"/>
          <w:sz w:val="24"/>
          <w:szCs w:val="24"/>
        </w:rPr>
        <w:t>Kepada</w:t>
      </w:r>
      <w:r w:rsidR="00A954D0">
        <w:rPr>
          <w:rFonts w:ascii="Bookman Old Style" w:hAnsi="Bookman Old Style"/>
          <w:sz w:val="24"/>
          <w:szCs w:val="24"/>
        </w:rPr>
        <w:t xml:space="preserve"> </w:t>
      </w:r>
      <w:r w:rsidRPr="008174DB">
        <w:rPr>
          <w:rFonts w:ascii="Bookman Old Style" w:hAnsi="Bookman Old Style"/>
          <w:sz w:val="24"/>
          <w:szCs w:val="24"/>
        </w:rPr>
        <w:t>Partai</w:t>
      </w:r>
      <w:r w:rsidR="00A954D0">
        <w:rPr>
          <w:rFonts w:ascii="Bookman Old Style" w:hAnsi="Bookman Old Style"/>
          <w:sz w:val="24"/>
          <w:szCs w:val="24"/>
        </w:rPr>
        <w:t xml:space="preserve"> </w:t>
      </w:r>
      <w:r w:rsidRPr="008174DB">
        <w:rPr>
          <w:rFonts w:ascii="Bookman Old Style" w:hAnsi="Bookman Old Style"/>
          <w:sz w:val="24"/>
          <w:szCs w:val="24"/>
          <w:lang w:val="en-US"/>
        </w:rPr>
        <w:t>Politik</w:t>
      </w:r>
      <w:r w:rsidR="00A954D0">
        <w:rPr>
          <w:rFonts w:ascii="Bookman Old Style" w:hAnsi="Bookman Old Style"/>
          <w:sz w:val="24"/>
          <w:szCs w:val="24"/>
          <w:lang w:val="en-US"/>
        </w:rPr>
        <w:t xml:space="preserve"> </w:t>
      </w:r>
      <w:r w:rsidR="00900DBA" w:rsidRPr="008174DB">
        <w:rPr>
          <w:rFonts w:ascii="Bookman Old Style" w:hAnsi="Bookman Old Style"/>
          <w:sz w:val="24"/>
          <w:szCs w:val="24"/>
          <w:lang w:val="en-US"/>
        </w:rPr>
        <w:t>Rp6.815.186.000,00</w:t>
      </w:r>
      <w:r w:rsidR="00A954D0">
        <w:rPr>
          <w:rFonts w:ascii="Bookman Old Style" w:hAnsi="Bookman Old Style"/>
          <w:sz w:val="24"/>
          <w:szCs w:val="24"/>
          <w:lang w:val="en-US"/>
        </w:rPr>
        <w:t xml:space="preserve"> </w:t>
      </w:r>
      <w:r w:rsidR="00900DBA" w:rsidRPr="008174DB">
        <w:rPr>
          <w:rFonts w:ascii="Bookman Old Style" w:hAnsi="Bookman Old Style"/>
          <w:sz w:val="24"/>
          <w:szCs w:val="24"/>
          <w:lang w:val="en-US"/>
        </w:rPr>
        <w:t>atau</w:t>
      </w:r>
      <w:r w:rsidR="00A954D0">
        <w:rPr>
          <w:rFonts w:ascii="Bookman Old Style" w:hAnsi="Bookman Old Style"/>
          <w:sz w:val="24"/>
          <w:szCs w:val="24"/>
          <w:lang w:val="en-US"/>
        </w:rPr>
        <w:t xml:space="preserve"> </w:t>
      </w:r>
      <w:r w:rsidR="00900DBA" w:rsidRPr="008174DB">
        <w:rPr>
          <w:rFonts w:ascii="Bookman Old Style" w:hAnsi="Bookman Old Style"/>
          <w:sz w:val="24"/>
          <w:szCs w:val="24"/>
          <w:lang w:val="en-US"/>
        </w:rPr>
        <w:t>0,12%</w:t>
      </w:r>
      <w:r w:rsidR="00A954D0">
        <w:rPr>
          <w:rFonts w:ascii="Bookman Old Style" w:hAnsi="Bookman Old Style"/>
          <w:sz w:val="24"/>
          <w:szCs w:val="24"/>
          <w:lang w:val="en-US"/>
        </w:rPr>
        <w:t xml:space="preserve"> </w:t>
      </w:r>
      <w:r w:rsidRPr="008174DB">
        <w:rPr>
          <w:rFonts w:ascii="Bookman Old Style" w:hAnsi="Bookman Old Style"/>
          <w:sz w:val="24"/>
          <w:szCs w:val="24"/>
        </w:rPr>
        <w:t>dari</w:t>
      </w:r>
      <w:r w:rsidR="00A954D0">
        <w:rPr>
          <w:rFonts w:ascii="Bookman Old Style" w:hAnsi="Bookman Old Style"/>
          <w:sz w:val="24"/>
          <w:szCs w:val="24"/>
        </w:rPr>
        <w:t xml:space="preserve"> </w:t>
      </w:r>
      <w:r w:rsidRPr="008174DB">
        <w:rPr>
          <w:rFonts w:ascii="Bookman Old Style" w:hAnsi="Bookman Old Style"/>
          <w:sz w:val="24"/>
          <w:szCs w:val="24"/>
        </w:rPr>
        <w:t>total</w:t>
      </w:r>
      <w:r w:rsidR="00A954D0">
        <w:rPr>
          <w:rFonts w:ascii="Bookman Old Style" w:hAnsi="Bookman Old Style"/>
          <w:sz w:val="24"/>
          <w:szCs w:val="24"/>
        </w:rPr>
        <w:t xml:space="preserve"> </w:t>
      </w:r>
      <w:r w:rsidRPr="008174DB">
        <w:rPr>
          <w:rFonts w:ascii="Bookman Old Style" w:hAnsi="Bookman Old Style"/>
          <w:sz w:val="24"/>
          <w:szCs w:val="24"/>
        </w:rPr>
        <w:t>belanja</w:t>
      </w:r>
      <w:r w:rsidR="00A954D0">
        <w:rPr>
          <w:rFonts w:ascii="Bookman Old Style" w:hAnsi="Bookman Old Style"/>
          <w:sz w:val="24"/>
          <w:szCs w:val="24"/>
        </w:rPr>
        <w:t xml:space="preserve"> </w:t>
      </w:r>
      <w:r w:rsidRPr="008174DB">
        <w:rPr>
          <w:rFonts w:ascii="Bookman Old Style" w:hAnsi="Bookman Old Style"/>
          <w:sz w:val="24"/>
          <w:szCs w:val="24"/>
        </w:rPr>
        <w:t>daerah</w:t>
      </w:r>
      <w:r w:rsidR="00A954D0">
        <w:rPr>
          <w:rFonts w:ascii="Bookman Old Style" w:hAnsi="Bookman Old Style"/>
          <w:sz w:val="24"/>
          <w:szCs w:val="24"/>
          <w:lang w:val="en-US"/>
        </w:rPr>
        <w:t xml:space="preserve"> </w:t>
      </w:r>
      <w:r w:rsidRPr="008174DB">
        <w:rPr>
          <w:rFonts w:ascii="Bookman Old Style" w:hAnsi="Bookman Old Style"/>
          <w:sz w:val="24"/>
          <w:szCs w:val="24"/>
        </w:rPr>
        <w:t>dalam</w:t>
      </w:r>
      <w:r w:rsidR="00A954D0">
        <w:rPr>
          <w:rFonts w:ascii="Bookman Old Style" w:hAnsi="Bookman Old Style"/>
          <w:sz w:val="24"/>
          <w:szCs w:val="24"/>
        </w:rPr>
        <w:t xml:space="preserve"> </w:t>
      </w:r>
      <w:r w:rsidRPr="008174DB">
        <w:rPr>
          <w:rFonts w:ascii="Bookman Old Style" w:hAnsi="Bookman Old Style"/>
          <w:sz w:val="24"/>
          <w:szCs w:val="24"/>
        </w:rPr>
        <w:t>Rancangan</w:t>
      </w:r>
      <w:r w:rsidR="00A954D0">
        <w:rPr>
          <w:rFonts w:ascii="Bookman Old Style" w:hAnsi="Bookman Old Style"/>
          <w:sz w:val="24"/>
          <w:szCs w:val="24"/>
        </w:rPr>
        <w:t xml:space="preserve"> </w:t>
      </w:r>
      <w:r w:rsidRPr="008174DB">
        <w:rPr>
          <w:rFonts w:ascii="Bookman Old Style" w:hAnsi="Bookman Old Style"/>
          <w:sz w:val="24"/>
          <w:szCs w:val="24"/>
        </w:rPr>
        <w:t>Peraturan</w:t>
      </w:r>
      <w:r w:rsidR="00A954D0">
        <w:rPr>
          <w:rFonts w:ascii="Bookman Old Style" w:hAnsi="Bookman Old Style"/>
          <w:sz w:val="24"/>
          <w:szCs w:val="24"/>
        </w:rPr>
        <w:t xml:space="preserve"> </w:t>
      </w:r>
      <w:r w:rsidRPr="008174DB">
        <w:rPr>
          <w:rFonts w:ascii="Bookman Old Style" w:hAnsi="Bookman Old Style"/>
          <w:sz w:val="24"/>
          <w:szCs w:val="24"/>
        </w:rPr>
        <w:t>Daerah</w:t>
      </w:r>
      <w:r w:rsidR="00A954D0">
        <w:rPr>
          <w:rFonts w:ascii="Bookman Old Style" w:hAnsi="Bookman Old Style"/>
          <w:sz w:val="24"/>
          <w:szCs w:val="24"/>
        </w:rPr>
        <w:t xml:space="preserve"> </w:t>
      </w:r>
      <w:r w:rsidRPr="008174DB">
        <w:rPr>
          <w:rFonts w:ascii="Bookman Old Style" w:hAnsi="Bookman Old Style"/>
          <w:sz w:val="24"/>
          <w:szCs w:val="24"/>
        </w:rPr>
        <w:t>Kota</w:t>
      </w:r>
      <w:r w:rsidR="00A954D0">
        <w:rPr>
          <w:rFonts w:ascii="Bookman Old Style" w:hAnsi="Bookman Old Style"/>
          <w:sz w:val="24"/>
          <w:szCs w:val="24"/>
        </w:rPr>
        <w:t xml:space="preserve"> </w:t>
      </w:r>
      <w:r w:rsidR="00770F22" w:rsidRPr="008174DB">
        <w:rPr>
          <w:rFonts w:ascii="Bookman Old Style" w:hAnsi="Bookman Old Style"/>
          <w:sz w:val="24"/>
          <w:szCs w:val="24"/>
        </w:rPr>
        <w:t>Tangerang</w:t>
      </w:r>
      <w:r w:rsidR="00A954D0">
        <w:rPr>
          <w:rFonts w:ascii="Bookman Old Style" w:hAnsi="Bookman Old Style"/>
          <w:sz w:val="24"/>
          <w:szCs w:val="24"/>
          <w:lang w:val="en-US"/>
        </w:rPr>
        <w:t xml:space="preserve"> </w:t>
      </w:r>
      <w:r w:rsidRPr="008174DB">
        <w:rPr>
          <w:rFonts w:ascii="Bookman Old Style" w:hAnsi="Bookman Old Style"/>
          <w:sz w:val="24"/>
          <w:szCs w:val="24"/>
        </w:rPr>
        <w:t>tentang</w:t>
      </w:r>
      <w:r w:rsidR="00A954D0">
        <w:rPr>
          <w:rFonts w:ascii="Bookman Old Style" w:hAnsi="Bookman Old Style"/>
          <w:sz w:val="24"/>
          <w:szCs w:val="24"/>
        </w:rPr>
        <w:t xml:space="preserve"> </w:t>
      </w:r>
      <w:r w:rsidRPr="008174DB">
        <w:rPr>
          <w:rFonts w:ascii="Bookman Old Style" w:hAnsi="Bookman Old Style"/>
          <w:sz w:val="24"/>
          <w:szCs w:val="24"/>
        </w:rPr>
        <w:t>APBD</w:t>
      </w:r>
      <w:r w:rsidR="00A954D0">
        <w:rPr>
          <w:rFonts w:ascii="Bookman Old Style" w:hAnsi="Bookman Old Style"/>
          <w:sz w:val="24"/>
          <w:szCs w:val="24"/>
        </w:rPr>
        <w:t xml:space="preserve"> </w:t>
      </w:r>
      <w:r w:rsidRPr="008174DB">
        <w:rPr>
          <w:rFonts w:ascii="Bookman Old Style" w:hAnsi="Bookman Old Style"/>
          <w:sz w:val="24"/>
          <w:szCs w:val="24"/>
        </w:rPr>
        <w:t>Tahun</w:t>
      </w:r>
      <w:r w:rsidR="00A954D0">
        <w:rPr>
          <w:rFonts w:ascii="Bookman Old Style" w:hAnsi="Bookman Old Style"/>
          <w:sz w:val="24"/>
          <w:szCs w:val="24"/>
        </w:rPr>
        <w:t xml:space="preserve"> </w:t>
      </w:r>
      <w:r w:rsidRPr="008174DB">
        <w:rPr>
          <w:rFonts w:ascii="Bookman Old Style" w:hAnsi="Bookman Old Style"/>
          <w:sz w:val="24"/>
          <w:szCs w:val="24"/>
        </w:rPr>
        <w:t>Anggaran</w:t>
      </w:r>
      <w:r w:rsidR="00A954D0">
        <w:rPr>
          <w:rFonts w:ascii="Bookman Old Style" w:hAnsi="Bookman Old Style"/>
          <w:sz w:val="24"/>
          <w:szCs w:val="24"/>
        </w:rPr>
        <w:t xml:space="preserve"> </w:t>
      </w:r>
      <w:r w:rsidRPr="008174DB">
        <w:rPr>
          <w:rFonts w:ascii="Bookman Old Style" w:hAnsi="Bookman Old Style"/>
          <w:sz w:val="24"/>
          <w:szCs w:val="24"/>
        </w:rPr>
        <w:t>2025</w:t>
      </w:r>
      <w:r w:rsidR="00A954D0">
        <w:rPr>
          <w:rFonts w:ascii="Bookman Old Style" w:hAnsi="Bookman Old Style"/>
          <w:sz w:val="24"/>
          <w:szCs w:val="24"/>
          <w:lang w:val="en-US"/>
        </w:rPr>
        <w:t xml:space="preserve"> </w:t>
      </w:r>
      <w:r w:rsidRPr="008174DB">
        <w:rPr>
          <w:rFonts w:ascii="Bookman Old Style" w:hAnsi="Bookman Old Style"/>
          <w:sz w:val="24"/>
          <w:szCs w:val="24"/>
          <w:lang w:val="en-US"/>
        </w:rPr>
        <w:t>yang</w:t>
      </w:r>
      <w:r w:rsidR="00A954D0">
        <w:rPr>
          <w:rFonts w:ascii="Bookman Old Style" w:hAnsi="Bookman Old Style"/>
          <w:sz w:val="24"/>
          <w:szCs w:val="24"/>
          <w:lang w:val="en-US"/>
        </w:rPr>
        <w:t xml:space="preserve"> </w:t>
      </w:r>
      <w:r w:rsidRPr="008174DB">
        <w:rPr>
          <w:rFonts w:ascii="Bookman Old Style" w:hAnsi="Bookman Old Style"/>
          <w:sz w:val="24"/>
          <w:szCs w:val="24"/>
          <w:lang w:val="en-US"/>
        </w:rPr>
        <w:t>diberikan</w:t>
      </w:r>
      <w:r w:rsidR="00A954D0">
        <w:rPr>
          <w:rFonts w:ascii="Bookman Old Style" w:hAnsi="Bookman Old Style"/>
          <w:sz w:val="24"/>
          <w:szCs w:val="24"/>
          <w:lang w:val="en-US"/>
        </w:rPr>
        <w:t xml:space="preserve"> </w:t>
      </w:r>
      <w:r w:rsidRPr="008174DB">
        <w:rPr>
          <w:rFonts w:ascii="Bookman Old Style" w:hAnsi="Bookman Old Style"/>
          <w:sz w:val="24"/>
          <w:szCs w:val="24"/>
          <w:lang w:val="en-US"/>
        </w:rPr>
        <w:t>secara</w:t>
      </w:r>
      <w:r w:rsidR="00A954D0">
        <w:rPr>
          <w:rFonts w:ascii="Bookman Old Style" w:hAnsi="Bookman Old Style"/>
          <w:sz w:val="24"/>
          <w:szCs w:val="24"/>
          <w:lang w:val="en-US"/>
        </w:rPr>
        <w:t xml:space="preserve"> </w:t>
      </w:r>
      <w:r w:rsidRPr="008174DB">
        <w:rPr>
          <w:rFonts w:ascii="Bookman Old Style" w:hAnsi="Bookman Old Style"/>
          <w:sz w:val="24"/>
          <w:szCs w:val="24"/>
          <w:lang w:val="en-US"/>
        </w:rPr>
        <w:t>proporsional</w:t>
      </w:r>
      <w:r w:rsidR="00A954D0">
        <w:rPr>
          <w:rFonts w:ascii="Bookman Old Style" w:hAnsi="Bookman Old Style"/>
          <w:sz w:val="24"/>
          <w:szCs w:val="24"/>
          <w:lang w:val="en-US"/>
        </w:rPr>
        <w:t xml:space="preserve"> </w:t>
      </w:r>
      <w:r w:rsidRPr="008174DB">
        <w:rPr>
          <w:rFonts w:ascii="Bookman Old Style" w:hAnsi="Bookman Old Style"/>
          <w:sz w:val="24"/>
          <w:szCs w:val="24"/>
          <w:lang w:val="en-US"/>
        </w:rPr>
        <w:t>kepada</w:t>
      </w:r>
      <w:r w:rsidR="00A954D0">
        <w:rPr>
          <w:rFonts w:ascii="Bookman Old Style" w:hAnsi="Bookman Old Style"/>
          <w:sz w:val="24"/>
          <w:szCs w:val="24"/>
          <w:lang w:val="en-US"/>
        </w:rPr>
        <w:t xml:space="preserve"> </w:t>
      </w:r>
      <w:r w:rsidRPr="008174DB">
        <w:rPr>
          <w:rFonts w:ascii="Bookman Old Style" w:hAnsi="Bookman Old Style"/>
          <w:sz w:val="24"/>
          <w:szCs w:val="24"/>
          <w:lang w:val="en-US"/>
        </w:rPr>
        <w:t>partai</w:t>
      </w:r>
      <w:r w:rsidR="00A954D0">
        <w:rPr>
          <w:rFonts w:ascii="Bookman Old Style" w:hAnsi="Bookman Old Style"/>
          <w:sz w:val="24"/>
          <w:szCs w:val="24"/>
          <w:lang w:val="en-US"/>
        </w:rPr>
        <w:t xml:space="preserve"> </w:t>
      </w:r>
      <w:r w:rsidRPr="008174DB">
        <w:rPr>
          <w:rFonts w:ascii="Bookman Old Style" w:hAnsi="Bookman Old Style"/>
          <w:sz w:val="24"/>
          <w:szCs w:val="24"/>
          <w:lang w:val="en-US"/>
        </w:rPr>
        <w:t>politik</w:t>
      </w:r>
      <w:r w:rsidR="00A954D0">
        <w:rPr>
          <w:rFonts w:ascii="Bookman Old Style" w:hAnsi="Bookman Old Style"/>
          <w:sz w:val="24"/>
          <w:szCs w:val="24"/>
          <w:lang w:val="en-US"/>
        </w:rPr>
        <w:t xml:space="preserve"> </w:t>
      </w:r>
      <w:r w:rsidRPr="008174DB">
        <w:rPr>
          <w:rFonts w:ascii="Bookman Old Style" w:hAnsi="Bookman Old Style"/>
          <w:sz w:val="24"/>
          <w:szCs w:val="24"/>
          <w:lang w:val="en-US"/>
        </w:rPr>
        <w:t>yang</w:t>
      </w:r>
      <w:r w:rsidR="00A954D0">
        <w:rPr>
          <w:rFonts w:ascii="Bookman Old Style" w:hAnsi="Bookman Old Style"/>
          <w:sz w:val="24"/>
          <w:szCs w:val="24"/>
          <w:lang w:val="en-US"/>
        </w:rPr>
        <w:t xml:space="preserve"> </w:t>
      </w:r>
      <w:r w:rsidRPr="008174DB">
        <w:rPr>
          <w:rFonts w:ascii="Bookman Old Style" w:hAnsi="Bookman Old Style"/>
          <w:sz w:val="24"/>
          <w:szCs w:val="24"/>
          <w:lang w:val="en-US"/>
        </w:rPr>
        <w:t>mendapatkan</w:t>
      </w:r>
      <w:r w:rsidR="00A954D0">
        <w:rPr>
          <w:rFonts w:ascii="Bookman Old Style" w:hAnsi="Bookman Old Style"/>
          <w:sz w:val="24"/>
          <w:szCs w:val="24"/>
          <w:lang w:val="en-US"/>
        </w:rPr>
        <w:t xml:space="preserve"> </w:t>
      </w:r>
      <w:r w:rsidRPr="008174DB">
        <w:rPr>
          <w:rFonts w:ascii="Bookman Old Style" w:hAnsi="Bookman Old Style"/>
          <w:sz w:val="24"/>
          <w:szCs w:val="24"/>
          <w:lang w:val="en-US"/>
        </w:rPr>
        <w:t>kursi</w:t>
      </w:r>
      <w:r w:rsidR="00A954D0">
        <w:rPr>
          <w:rFonts w:ascii="Bookman Old Style" w:hAnsi="Bookman Old Style"/>
          <w:sz w:val="24"/>
          <w:szCs w:val="24"/>
          <w:lang w:val="en-US"/>
        </w:rPr>
        <w:t xml:space="preserve"> </w:t>
      </w:r>
      <w:r w:rsidRPr="008174DB">
        <w:rPr>
          <w:rFonts w:ascii="Bookman Old Style" w:hAnsi="Bookman Old Style"/>
          <w:sz w:val="24"/>
          <w:szCs w:val="24"/>
          <w:lang w:val="en-US"/>
        </w:rPr>
        <w:t>di</w:t>
      </w:r>
      <w:r w:rsidR="00A954D0">
        <w:rPr>
          <w:rFonts w:ascii="Bookman Old Style" w:hAnsi="Bookman Old Style"/>
          <w:sz w:val="24"/>
          <w:szCs w:val="24"/>
          <w:lang w:val="en-US"/>
        </w:rPr>
        <w:t xml:space="preserve"> </w:t>
      </w:r>
      <w:r w:rsidRPr="008174DB">
        <w:rPr>
          <w:rFonts w:ascii="Bookman Old Style" w:hAnsi="Bookman Old Style"/>
          <w:sz w:val="24"/>
          <w:szCs w:val="24"/>
          <w:lang w:val="en-US"/>
        </w:rPr>
        <w:t>DPRD</w:t>
      </w:r>
      <w:r w:rsidR="00A954D0">
        <w:rPr>
          <w:rFonts w:ascii="Bookman Old Style" w:hAnsi="Bookman Old Style"/>
          <w:sz w:val="24"/>
          <w:szCs w:val="24"/>
          <w:lang w:val="en-US"/>
        </w:rPr>
        <w:t xml:space="preserve"> </w:t>
      </w:r>
      <w:r w:rsidRPr="008174DB">
        <w:rPr>
          <w:rFonts w:ascii="Bookman Old Style" w:hAnsi="Bookman Old Style"/>
          <w:sz w:val="24"/>
          <w:szCs w:val="24"/>
          <w:lang w:val="en-US"/>
        </w:rPr>
        <w:t>yang</w:t>
      </w:r>
      <w:r w:rsidR="00A954D0">
        <w:rPr>
          <w:rFonts w:ascii="Bookman Old Style" w:hAnsi="Bookman Old Style"/>
          <w:sz w:val="24"/>
          <w:szCs w:val="24"/>
          <w:lang w:val="en-US"/>
        </w:rPr>
        <w:t xml:space="preserve"> </w:t>
      </w:r>
      <w:r w:rsidRPr="008174DB">
        <w:rPr>
          <w:rFonts w:ascii="Bookman Old Style" w:hAnsi="Bookman Old Style"/>
          <w:sz w:val="24"/>
          <w:szCs w:val="24"/>
          <w:lang w:val="en-US"/>
        </w:rPr>
        <w:t>perhitungannya</w:t>
      </w:r>
      <w:r w:rsidR="00A954D0">
        <w:rPr>
          <w:rFonts w:ascii="Bookman Old Style" w:hAnsi="Bookman Old Style"/>
          <w:sz w:val="24"/>
          <w:szCs w:val="24"/>
          <w:lang w:val="en-US"/>
        </w:rPr>
        <w:t xml:space="preserve"> </w:t>
      </w:r>
      <w:r w:rsidRPr="008174DB">
        <w:rPr>
          <w:rFonts w:ascii="Bookman Old Style" w:hAnsi="Bookman Old Style"/>
          <w:sz w:val="24"/>
          <w:szCs w:val="24"/>
          <w:lang w:val="en-US"/>
        </w:rPr>
        <w:t>berdasarkan</w:t>
      </w:r>
      <w:r w:rsidR="00A954D0">
        <w:rPr>
          <w:rFonts w:ascii="Bookman Old Style" w:hAnsi="Bookman Old Style"/>
          <w:sz w:val="24"/>
          <w:szCs w:val="24"/>
          <w:lang w:val="en-US"/>
        </w:rPr>
        <w:t xml:space="preserve"> </w:t>
      </w:r>
      <w:r w:rsidRPr="008174DB">
        <w:rPr>
          <w:rFonts w:ascii="Bookman Old Style" w:hAnsi="Bookman Old Style"/>
          <w:sz w:val="24"/>
          <w:szCs w:val="24"/>
          <w:lang w:val="en-US"/>
        </w:rPr>
        <w:t>perolehan</w:t>
      </w:r>
      <w:r w:rsidR="00A954D0">
        <w:rPr>
          <w:rFonts w:ascii="Bookman Old Style" w:hAnsi="Bookman Old Style"/>
          <w:sz w:val="24"/>
          <w:szCs w:val="24"/>
          <w:lang w:val="en-US"/>
        </w:rPr>
        <w:t xml:space="preserve"> </w:t>
      </w:r>
      <w:r w:rsidRPr="008174DB">
        <w:rPr>
          <w:rFonts w:ascii="Bookman Old Style" w:hAnsi="Bookman Old Style"/>
          <w:sz w:val="24"/>
          <w:szCs w:val="24"/>
          <w:lang w:val="en-US"/>
        </w:rPr>
        <w:t>suara</w:t>
      </w:r>
      <w:r w:rsidR="00A954D0">
        <w:rPr>
          <w:rFonts w:ascii="Bookman Old Style" w:hAnsi="Bookman Old Style"/>
          <w:sz w:val="24"/>
          <w:szCs w:val="24"/>
          <w:lang w:val="en-US"/>
        </w:rPr>
        <w:t xml:space="preserve"> </w:t>
      </w:r>
      <w:r w:rsidRPr="008174DB">
        <w:rPr>
          <w:rFonts w:ascii="Bookman Old Style" w:hAnsi="Bookman Old Style"/>
          <w:sz w:val="24"/>
          <w:szCs w:val="24"/>
          <w:lang w:val="en-US"/>
        </w:rPr>
        <w:t>hasil</w:t>
      </w:r>
      <w:r w:rsidR="00A954D0">
        <w:rPr>
          <w:rFonts w:ascii="Bookman Old Style" w:hAnsi="Bookman Old Style"/>
          <w:sz w:val="24"/>
          <w:szCs w:val="24"/>
          <w:lang w:val="en-US"/>
        </w:rPr>
        <w:t xml:space="preserve"> </w:t>
      </w:r>
      <w:r w:rsidRPr="008174DB">
        <w:rPr>
          <w:rFonts w:ascii="Bookman Old Style" w:hAnsi="Bookman Old Style"/>
          <w:sz w:val="24"/>
          <w:szCs w:val="24"/>
          <w:lang w:val="en-US"/>
        </w:rPr>
        <w:t>Pemilihan</w:t>
      </w:r>
      <w:r w:rsidR="00A954D0">
        <w:rPr>
          <w:rFonts w:ascii="Bookman Old Style" w:hAnsi="Bookman Old Style"/>
          <w:sz w:val="24"/>
          <w:szCs w:val="24"/>
          <w:lang w:val="en-US"/>
        </w:rPr>
        <w:t xml:space="preserve"> </w:t>
      </w:r>
      <w:r w:rsidRPr="008174DB">
        <w:rPr>
          <w:rFonts w:ascii="Bookman Old Style" w:hAnsi="Bookman Old Style"/>
          <w:sz w:val="24"/>
          <w:szCs w:val="24"/>
          <w:lang w:val="en-US"/>
        </w:rPr>
        <w:t>Umum</w:t>
      </w:r>
      <w:r w:rsidR="00A954D0">
        <w:rPr>
          <w:rFonts w:ascii="Bookman Old Style" w:hAnsi="Bookman Old Style"/>
          <w:sz w:val="24"/>
          <w:szCs w:val="24"/>
          <w:lang w:val="en-US"/>
        </w:rPr>
        <w:t xml:space="preserve"> </w:t>
      </w:r>
      <w:r w:rsidRPr="008174DB">
        <w:rPr>
          <w:rFonts w:ascii="Bookman Old Style" w:hAnsi="Bookman Old Style"/>
          <w:sz w:val="24"/>
          <w:szCs w:val="24"/>
          <w:lang w:val="en-US"/>
        </w:rPr>
        <w:t>Tahun</w:t>
      </w:r>
      <w:r w:rsidR="00A954D0">
        <w:rPr>
          <w:rFonts w:ascii="Bookman Old Style" w:hAnsi="Bookman Old Style"/>
          <w:sz w:val="24"/>
          <w:szCs w:val="24"/>
          <w:lang w:val="en-US"/>
        </w:rPr>
        <w:t xml:space="preserve"> </w:t>
      </w:r>
      <w:r w:rsidRPr="008174DB">
        <w:rPr>
          <w:rFonts w:ascii="Bookman Old Style" w:hAnsi="Bookman Old Style"/>
          <w:sz w:val="24"/>
          <w:szCs w:val="24"/>
          <w:lang w:val="en-US"/>
        </w:rPr>
        <w:t>2024</w:t>
      </w:r>
      <w:r w:rsidR="00A954D0">
        <w:rPr>
          <w:rFonts w:ascii="Bookman Old Style" w:hAnsi="Bookman Old Style"/>
          <w:sz w:val="24"/>
          <w:szCs w:val="24"/>
          <w:lang w:val="en-US"/>
        </w:rPr>
        <w:t xml:space="preserve"> </w:t>
      </w:r>
      <w:r w:rsidRPr="008174DB">
        <w:rPr>
          <w:rFonts w:ascii="Bookman Old Style" w:hAnsi="Bookman Old Style"/>
          <w:sz w:val="24"/>
          <w:szCs w:val="24"/>
          <w:lang w:val="en-US"/>
        </w:rPr>
        <w:t>dengan</w:t>
      </w:r>
      <w:r w:rsidR="00A954D0">
        <w:rPr>
          <w:rFonts w:ascii="Bookman Old Style" w:hAnsi="Bookman Old Style"/>
          <w:sz w:val="24"/>
          <w:szCs w:val="24"/>
          <w:lang w:val="en-US"/>
        </w:rPr>
        <w:t xml:space="preserve"> </w:t>
      </w:r>
      <w:r w:rsidRPr="008174DB">
        <w:rPr>
          <w:rFonts w:ascii="Bookman Old Style" w:hAnsi="Bookman Old Style"/>
          <w:sz w:val="24"/>
          <w:szCs w:val="24"/>
          <w:lang w:val="en-US"/>
        </w:rPr>
        <w:t>berpedoman</w:t>
      </w:r>
      <w:r w:rsidR="00A954D0">
        <w:rPr>
          <w:rFonts w:ascii="Bookman Old Style" w:hAnsi="Bookman Old Style"/>
          <w:sz w:val="24"/>
          <w:szCs w:val="24"/>
          <w:lang w:val="en-US"/>
        </w:rPr>
        <w:t xml:space="preserve"> </w:t>
      </w:r>
      <w:r w:rsidRPr="008174DB">
        <w:rPr>
          <w:rFonts w:ascii="Bookman Old Style" w:hAnsi="Bookman Old Style"/>
          <w:sz w:val="24"/>
          <w:szCs w:val="24"/>
          <w:lang w:val="en-US"/>
        </w:rPr>
        <w:t>pada</w:t>
      </w:r>
      <w:r w:rsidR="00A954D0">
        <w:rPr>
          <w:rFonts w:ascii="Bookman Old Style" w:hAnsi="Bookman Old Style"/>
          <w:sz w:val="24"/>
          <w:szCs w:val="24"/>
        </w:rPr>
        <w:t xml:space="preserve"> </w:t>
      </w:r>
      <w:r w:rsidRPr="008174DB">
        <w:rPr>
          <w:rFonts w:ascii="Bookman Old Style" w:hAnsi="Bookman Old Style"/>
          <w:sz w:val="24"/>
          <w:szCs w:val="24"/>
        </w:rPr>
        <w:t>Peraturan</w:t>
      </w:r>
      <w:r w:rsidR="00A954D0">
        <w:rPr>
          <w:rFonts w:ascii="Bookman Old Style" w:hAnsi="Bookman Old Style"/>
          <w:sz w:val="24"/>
          <w:szCs w:val="24"/>
        </w:rPr>
        <w:t xml:space="preserve"> </w:t>
      </w:r>
      <w:r w:rsidRPr="008174DB">
        <w:rPr>
          <w:rFonts w:ascii="Bookman Old Style" w:hAnsi="Bookman Old Style"/>
          <w:sz w:val="24"/>
          <w:szCs w:val="24"/>
        </w:rPr>
        <w:t>Pemerintah</w:t>
      </w:r>
      <w:r w:rsidR="00A954D0">
        <w:rPr>
          <w:rFonts w:ascii="Bookman Old Style" w:hAnsi="Bookman Old Style"/>
          <w:sz w:val="24"/>
          <w:szCs w:val="24"/>
        </w:rPr>
        <w:t xml:space="preserve"> </w:t>
      </w:r>
      <w:r w:rsidRPr="008174DB">
        <w:rPr>
          <w:rFonts w:ascii="Bookman Old Style" w:hAnsi="Bookman Old Style"/>
          <w:sz w:val="24"/>
          <w:szCs w:val="24"/>
        </w:rPr>
        <w:t>Nomor</w:t>
      </w:r>
      <w:r w:rsidR="00A954D0">
        <w:rPr>
          <w:rFonts w:ascii="Bookman Old Style" w:hAnsi="Bookman Old Style"/>
          <w:sz w:val="24"/>
          <w:szCs w:val="24"/>
        </w:rPr>
        <w:t xml:space="preserve"> </w:t>
      </w:r>
      <w:r w:rsidRPr="008174DB">
        <w:rPr>
          <w:rFonts w:ascii="Bookman Old Style" w:hAnsi="Bookman Old Style"/>
          <w:sz w:val="24"/>
          <w:szCs w:val="24"/>
        </w:rPr>
        <w:t>5</w:t>
      </w:r>
      <w:r w:rsidR="00A954D0">
        <w:rPr>
          <w:rFonts w:ascii="Bookman Old Style" w:hAnsi="Bookman Old Style"/>
          <w:sz w:val="24"/>
          <w:szCs w:val="24"/>
        </w:rPr>
        <w:t xml:space="preserve"> </w:t>
      </w:r>
      <w:r w:rsidRPr="008174DB">
        <w:rPr>
          <w:rFonts w:ascii="Bookman Old Style" w:hAnsi="Bookman Old Style"/>
          <w:sz w:val="24"/>
          <w:szCs w:val="24"/>
        </w:rPr>
        <w:t>Tahun</w:t>
      </w:r>
      <w:r w:rsidR="00A954D0">
        <w:rPr>
          <w:rFonts w:ascii="Bookman Old Style" w:hAnsi="Bookman Old Style"/>
          <w:sz w:val="24"/>
          <w:szCs w:val="24"/>
        </w:rPr>
        <w:t xml:space="preserve"> </w:t>
      </w:r>
      <w:r w:rsidRPr="008174DB">
        <w:rPr>
          <w:rFonts w:ascii="Bookman Old Style" w:hAnsi="Bookman Old Style"/>
          <w:sz w:val="24"/>
          <w:szCs w:val="24"/>
        </w:rPr>
        <w:t>2009</w:t>
      </w:r>
      <w:r w:rsidR="00A954D0">
        <w:rPr>
          <w:rFonts w:ascii="Bookman Old Style" w:hAnsi="Bookman Old Style"/>
          <w:sz w:val="24"/>
          <w:szCs w:val="24"/>
        </w:rPr>
        <w:t xml:space="preserve"> </w:t>
      </w:r>
      <w:r w:rsidRPr="008174DB">
        <w:rPr>
          <w:rFonts w:ascii="Bookman Old Style" w:hAnsi="Bookman Old Style"/>
          <w:sz w:val="24"/>
          <w:szCs w:val="24"/>
        </w:rPr>
        <w:t>tentang</w:t>
      </w:r>
      <w:r w:rsidR="00A954D0">
        <w:rPr>
          <w:rFonts w:ascii="Bookman Old Style" w:hAnsi="Bookman Old Style"/>
          <w:sz w:val="24"/>
          <w:szCs w:val="24"/>
        </w:rPr>
        <w:t xml:space="preserve"> </w:t>
      </w:r>
      <w:r w:rsidRPr="008174DB">
        <w:rPr>
          <w:rFonts w:ascii="Bookman Old Style" w:hAnsi="Bookman Old Style"/>
          <w:sz w:val="24"/>
          <w:szCs w:val="24"/>
        </w:rPr>
        <w:t>Bantuan</w:t>
      </w:r>
      <w:r w:rsidR="00A954D0">
        <w:rPr>
          <w:rFonts w:ascii="Bookman Old Style" w:hAnsi="Bookman Old Style"/>
          <w:sz w:val="24"/>
          <w:szCs w:val="24"/>
        </w:rPr>
        <w:t xml:space="preserve"> </w:t>
      </w:r>
      <w:r w:rsidRPr="008174DB">
        <w:rPr>
          <w:rFonts w:ascii="Bookman Old Style" w:hAnsi="Bookman Old Style"/>
          <w:sz w:val="24"/>
          <w:szCs w:val="24"/>
        </w:rPr>
        <w:t>Keuangan</w:t>
      </w:r>
      <w:r w:rsidR="00A954D0">
        <w:rPr>
          <w:rFonts w:ascii="Bookman Old Style" w:hAnsi="Bookman Old Style"/>
          <w:sz w:val="24"/>
          <w:szCs w:val="24"/>
        </w:rPr>
        <w:t xml:space="preserve"> </w:t>
      </w:r>
      <w:r w:rsidRPr="008174DB">
        <w:rPr>
          <w:rFonts w:ascii="Bookman Old Style" w:hAnsi="Bookman Old Style"/>
          <w:sz w:val="24"/>
          <w:szCs w:val="24"/>
        </w:rPr>
        <w:t>Kepada</w:t>
      </w:r>
      <w:r w:rsidR="00A954D0">
        <w:rPr>
          <w:rFonts w:ascii="Bookman Old Style" w:hAnsi="Bookman Old Style"/>
          <w:sz w:val="24"/>
          <w:szCs w:val="24"/>
        </w:rPr>
        <w:t xml:space="preserve"> </w:t>
      </w:r>
      <w:r w:rsidRPr="008174DB">
        <w:rPr>
          <w:rFonts w:ascii="Bookman Old Style" w:hAnsi="Bookman Old Style"/>
          <w:sz w:val="24"/>
          <w:szCs w:val="24"/>
        </w:rPr>
        <w:t>Partai</w:t>
      </w:r>
      <w:r w:rsidR="00A954D0">
        <w:rPr>
          <w:rFonts w:ascii="Bookman Old Style" w:hAnsi="Bookman Old Style"/>
          <w:sz w:val="24"/>
          <w:szCs w:val="24"/>
        </w:rPr>
        <w:t xml:space="preserve"> </w:t>
      </w:r>
      <w:r w:rsidRPr="008174DB">
        <w:rPr>
          <w:rFonts w:ascii="Bookman Old Style" w:hAnsi="Bookman Old Style"/>
          <w:sz w:val="24"/>
          <w:szCs w:val="24"/>
        </w:rPr>
        <w:t>Politik,</w:t>
      </w:r>
      <w:r w:rsidR="00A954D0">
        <w:rPr>
          <w:rFonts w:ascii="Bookman Old Style" w:hAnsi="Bookman Old Style"/>
          <w:sz w:val="24"/>
          <w:szCs w:val="24"/>
        </w:rPr>
        <w:t xml:space="preserve"> </w:t>
      </w:r>
      <w:r w:rsidRPr="008174DB">
        <w:rPr>
          <w:rFonts w:ascii="Bookman Old Style" w:hAnsi="Bookman Old Style"/>
          <w:sz w:val="24"/>
          <w:szCs w:val="24"/>
        </w:rPr>
        <w:t>sebagaimana</w:t>
      </w:r>
      <w:r w:rsidR="00A954D0">
        <w:rPr>
          <w:rFonts w:ascii="Bookman Old Style" w:hAnsi="Bookman Old Style"/>
          <w:sz w:val="24"/>
          <w:szCs w:val="24"/>
        </w:rPr>
        <w:t xml:space="preserve"> </w:t>
      </w:r>
      <w:r w:rsidRPr="008174DB">
        <w:rPr>
          <w:rFonts w:ascii="Bookman Old Style" w:hAnsi="Bookman Old Style"/>
          <w:sz w:val="24"/>
          <w:szCs w:val="24"/>
        </w:rPr>
        <w:t>telah</w:t>
      </w:r>
      <w:r w:rsidR="00A954D0">
        <w:rPr>
          <w:rFonts w:ascii="Bookman Old Style" w:hAnsi="Bookman Old Style"/>
          <w:sz w:val="24"/>
          <w:szCs w:val="24"/>
        </w:rPr>
        <w:t xml:space="preserve"> </w:t>
      </w:r>
      <w:r w:rsidRPr="008174DB">
        <w:rPr>
          <w:rFonts w:ascii="Bookman Old Style" w:hAnsi="Bookman Old Style"/>
          <w:sz w:val="24"/>
          <w:szCs w:val="24"/>
        </w:rPr>
        <w:t>diubah</w:t>
      </w:r>
      <w:r w:rsidR="00A954D0">
        <w:rPr>
          <w:rFonts w:ascii="Bookman Old Style" w:hAnsi="Bookman Old Style"/>
          <w:sz w:val="24"/>
          <w:szCs w:val="24"/>
        </w:rPr>
        <w:t xml:space="preserve"> </w:t>
      </w:r>
      <w:r w:rsidRPr="008174DB">
        <w:rPr>
          <w:rFonts w:ascii="Bookman Old Style" w:hAnsi="Bookman Old Style"/>
          <w:sz w:val="24"/>
          <w:szCs w:val="24"/>
        </w:rPr>
        <w:t>beberapa</w:t>
      </w:r>
      <w:r w:rsidR="00A954D0">
        <w:rPr>
          <w:rFonts w:ascii="Bookman Old Style" w:hAnsi="Bookman Old Style"/>
          <w:sz w:val="24"/>
          <w:szCs w:val="24"/>
        </w:rPr>
        <w:t xml:space="preserve"> </w:t>
      </w:r>
      <w:r w:rsidRPr="008174DB">
        <w:rPr>
          <w:rFonts w:ascii="Bookman Old Style" w:hAnsi="Bookman Old Style"/>
          <w:sz w:val="24"/>
          <w:szCs w:val="24"/>
        </w:rPr>
        <w:t>kali</w:t>
      </w:r>
      <w:r w:rsidR="00A954D0">
        <w:rPr>
          <w:rFonts w:ascii="Bookman Old Style" w:hAnsi="Bookman Old Style"/>
          <w:sz w:val="24"/>
          <w:szCs w:val="24"/>
        </w:rPr>
        <w:t xml:space="preserve"> </w:t>
      </w:r>
      <w:r w:rsidRPr="008174DB">
        <w:rPr>
          <w:rFonts w:ascii="Bookman Old Style" w:hAnsi="Bookman Old Style"/>
          <w:sz w:val="24"/>
          <w:szCs w:val="24"/>
        </w:rPr>
        <w:t>terakhir</w:t>
      </w:r>
      <w:r w:rsidR="00A954D0">
        <w:rPr>
          <w:rFonts w:ascii="Bookman Old Style" w:hAnsi="Bookman Old Style"/>
          <w:sz w:val="24"/>
          <w:szCs w:val="24"/>
        </w:rPr>
        <w:t xml:space="preserve"> </w:t>
      </w:r>
      <w:r w:rsidRPr="008174DB">
        <w:rPr>
          <w:rFonts w:ascii="Bookman Old Style" w:hAnsi="Bookman Old Style"/>
          <w:sz w:val="24"/>
          <w:szCs w:val="24"/>
        </w:rPr>
        <w:t>dengan</w:t>
      </w:r>
      <w:r w:rsidR="00A954D0">
        <w:rPr>
          <w:rFonts w:ascii="Bookman Old Style" w:hAnsi="Bookman Old Style"/>
          <w:sz w:val="24"/>
          <w:szCs w:val="24"/>
        </w:rPr>
        <w:t xml:space="preserve"> </w:t>
      </w:r>
      <w:r w:rsidRPr="008174DB">
        <w:rPr>
          <w:rFonts w:ascii="Bookman Old Style" w:hAnsi="Bookman Old Style"/>
          <w:sz w:val="24"/>
          <w:szCs w:val="24"/>
        </w:rPr>
        <w:t>Peraturan</w:t>
      </w:r>
      <w:r w:rsidR="00A954D0">
        <w:rPr>
          <w:rFonts w:ascii="Bookman Old Style" w:hAnsi="Bookman Old Style"/>
          <w:sz w:val="24"/>
          <w:szCs w:val="24"/>
        </w:rPr>
        <w:t xml:space="preserve"> </w:t>
      </w:r>
      <w:r w:rsidRPr="008174DB">
        <w:rPr>
          <w:rFonts w:ascii="Bookman Old Style" w:hAnsi="Bookman Old Style"/>
          <w:sz w:val="24"/>
          <w:szCs w:val="24"/>
        </w:rPr>
        <w:t>Pemerintah</w:t>
      </w:r>
      <w:r w:rsidR="00A954D0">
        <w:rPr>
          <w:rFonts w:ascii="Bookman Old Style" w:hAnsi="Bookman Old Style"/>
          <w:sz w:val="24"/>
          <w:szCs w:val="24"/>
        </w:rPr>
        <w:t xml:space="preserve"> </w:t>
      </w:r>
      <w:r w:rsidRPr="008174DB">
        <w:rPr>
          <w:rFonts w:ascii="Bookman Old Style" w:hAnsi="Bookman Old Style"/>
          <w:sz w:val="24"/>
          <w:szCs w:val="24"/>
        </w:rPr>
        <w:t>Nomor</w:t>
      </w:r>
      <w:r w:rsidR="00A954D0">
        <w:rPr>
          <w:rFonts w:ascii="Bookman Old Style" w:hAnsi="Bookman Old Style"/>
          <w:sz w:val="24"/>
          <w:szCs w:val="24"/>
        </w:rPr>
        <w:t xml:space="preserve"> </w:t>
      </w:r>
      <w:r w:rsidRPr="008174DB">
        <w:rPr>
          <w:rFonts w:ascii="Bookman Old Style" w:hAnsi="Bookman Old Style"/>
          <w:sz w:val="24"/>
          <w:szCs w:val="24"/>
        </w:rPr>
        <w:t>1</w:t>
      </w:r>
      <w:r w:rsidR="00A954D0">
        <w:rPr>
          <w:rFonts w:ascii="Bookman Old Style" w:hAnsi="Bookman Old Style"/>
          <w:sz w:val="24"/>
          <w:szCs w:val="24"/>
        </w:rPr>
        <w:t xml:space="preserve"> </w:t>
      </w:r>
      <w:r w:rsidRPr="008174DB">
        <w:rPr>
          <w:rFonts w:ascii="Bookman Old Style" w:hAnsi="Bookman Old Style"/>
          <w:sz w:val="24"/>
          <w:szCs w:val="24"/>
        </w:rPr>
        <w:t>Tahun</w:t>
      </w:r>
      <w:r w:rsidR="00A954D0">
        <w:rPr>
          <w:rFonts w:ascii="Bookman Old Style" w:hAnsi="Bookman Old Style"/>
          <w:sz w:val="24"/>
          <w:szCs w:val="24"/>
        </w:rPr>
        <w:t xml:space="preserve"> </w:t>
      </w:r>
      <w:r w:rsidRPr="008174DB">
        <w:rPr>
          <w:rFonts w:ascii="Bookman Old Style" w:hAnsi="Bookman Old Style"/>
          <w:sz w:val="24"/>
          <w:szCs w:val="24"/>
        </w:rPr>
        <w:t>2018</w:t>
      </w:r>
      <w:r w:rsidR="00A954D0">
        <w:rPr>
          <w:rFonts w:ascii="Bookman Old Style" w:hAnsi="Bookman Old Style"/>
          <w:sz w:val="24"/>
          <w:szCs w:val="24"/>
        </w:rPr>
        <w:t xml:space="preserve"> </w:t>
      </w:r>
      <w:r w:rsidRPr="008174DB">
        <w:rPr>
          <w:rFonts w:ascii="Bookman Old Style" w:hAnsi="Bookman Old Style"/>
          <w:sz w:val="24"/>
          <w:szCs w:val="24"/>
        </w:rPr>
        <w:t>tentang</w:t>
      </w:r>
      <w:r w:rsidR="00A954D0">
        <w:rPr>
          <w:rFonts w:ascii="Bookman Old Style" w:hAnsi="Bookman Old Style"/>
          <w:sz w:val="24"/>
          <w:szCs w:val="24"/>
        </w:rPr>
        <w:t xml:space="preserve"> </w:t>
      </w:r>
      <w:r w:rsidRPr="008174DB">
        <w:rPr>
          <w:rFonts w:ascii="Bookman Old Style" w:hAnsi="Bookman Old Style"/>
          <w:sz w:val="24"/>
          <w:szCs w:val="24"/>
        </w:rPr>
        <w:t>Perubahan</w:t>
      </w:r>
      <w:r w:rsidR="00A954D0">
        <w:rPr>
          <w:rFonts w:ascii="Bookman Old Style" w:hAnsi="Bookman Old Style"/>
          <w:sz w:val="24"/>
          <w:szCs w:val="24"/>
        </w:rPr>
        <w:t xml:space="preserve"> </w:t>
      </w:r>
      <w:r w:rsidRPr="008174DB">
        <w:rPr>
          <w:rFonts w:ascii="Bookman Old Style" w:hAnsi="Bookman Old Style"/>
          <w:sz w:val="24"/>
          <w:szCs w:val="24"/>
        </w:rPr>
        <w:t>Kedua</w:t>
      </w:r>
      <w:r w:rsidR="00A954D0">
        <w:rPr>
          <w:rFonts w:ascii="Bookman Old Style" w:hAnsi="Bookman Old Style"/>
          <w:sz w:val="24"/>
          <w:szCs w:val="24"/>
        </w:rPr>
        <w:t xml:space="preserve"> </w:t>
      </w:r>
      <w:r w:rsidRPr="008174DB">
        <w:rPr>
          <w:rFonts w:ascii="Bookman Old Style" w:hAnsi="Bookman Old Style"/>
          <w:sz w:val="24"/>
          <w:szCs w:val="24"/>
        </w:rPr>
        <w:t>atas</w:t>
      </w:r>
      <w:r w:rsidR="00A954D0">
        <w:rPr>
          <w:rFonts w:ascii="Bookman Old Style" w:hAnsi="Bookman Old Style"/>
          <w:sz w:val="24"/>
          <w:szCs w:val="24"/>
        </w:rPr>
        <w:t xml:space="preserve"> </w:t>
      </w:r>
      <w:r w:rsidRPr="008174DB">
        <w:rPr>
          <w:rFonts w:ascii="Bookman Old Style" w:hAnsi="Bookman Old Style"/>
          <w:sz w:val="24"/>
          <w:szCs w:val="24"/>
        </w:rPr>
        <w:t>Peraturan</w:t>
      </w:r>
      <w:r w:rsidR="00A954D0">
        <w:rPr>
          <w:rFonts w:ascii="Bookman Old Style" w:hAnsi="Bookman Old Style"/>
          <w:sz w:val="24"/>
          <w:szCs w:val="24"/>
        </w:rPr>
        <w:t xml:space="preserve"> </w:t>
      </w:r>
      <w:r w:rsidRPr="008174DB">
        <w:rPr>
          <w:rFonts w:ascii="Bookman Old Style" w:hAnsi="Bookman Old Style"/>
          <w:sz w:val="24"/>
          <w:szCs w:val="24"/>
        </w:rPr>
        <w:t>Pemerintah</w:t>
      </w:r>
      <w:r w:rsidR="00A954D0">
        <w:rPr>
          <w:rFonts w:ascii="Bookman Old Style" w:hAnsi="Bookman Old Style"/>
          <w:sz w:val="24"/>
          <w:szCs w:val="24"/>
        </w:rPr>
        <w:t xml:space="preserve"> </w:t>
      </w:r>
      <w:r w:rsidRPr="008174DB">
        <w:rPr>
          <w:rFonts w:ascii="Bookman Old Style" w:hAnsi="Bookman Old Style"/>
          <w:sz w:val="24"/>
          <w:szCs w:val="24"/>
        </w:rPr>
        <w:t>Nomor</w:t>
      </w:r>
      <w:r w:rsidR="00A954D0">
        <w:rPr>
          <w:rFonts w:ascii="Bookman Old Style" w:hAnsi="Bookman Old Style"/>
          <w:sz w:val="24"/>
          <w:szCs w:val="24"/>
        </w:rPr>
        <w:t xml:space="preserve"> </w:t>
      </w:r>
      <w:r w:rsidRPr="008174DB">
        <w:rPr>
          <w:rFonts w:ascii="Bookman Old Style" w:hAnsi="Bookman Old Style"/>
          <w:sz w:val="24"/>
          <w:szCs w:val="24"/>
        </w:rPr>
        <w:t>5</w:t>
      </w:r>
      <w:r w:rsidR="00A954D0">
        <w:rPr>
          <w:rFonts w:ascii="Bookman Old Style" w:hAnsi="Bookman Old Style"/>
          <w:sz w:val="24"/>
          <w:szCs w:val="24"/>
        </w:rPr>
        <w:t xml:space="preserve"> </w:t>
      </w:r>
      <w:r w:rsidRPr="008174DB">
        <w:rPr>
          <w:rFonts w:ascii="Bookman Old Style" w:hAnsi="Bookman Old Style"/>
          <w:sz w:val="24"/>
          <w:szCs w:val="24"/>
        </w:rPr>
        <w:t>Tahun</w:t>
      </w:r>
      <w:r w:rsidR="00A954D0">
        <w:rPr>
          <w:rFonts w:ascii="Bookman Old Style" w:hAnsi="Bookman Old Style"/>
          <w:sz w:val="24"/>
          <w:szCs w:val="24"/>
        </w:rPr>
        <w:t xml:space="preserve"> </w:t>
      </w:r>
      <w:r w:rsidRPr="008174DB">
        <w:rPr>
          <w:rFonts w:ascii="Bookman Old Style" w:hAnsi="Bookman Old Style"/>
          <w:sz w:val="24"/>
          <w:szCs w:val="24"/>
        </w:rPr>
        <w:t>2009</w:t>
      </w:r>
      <w:r w:rsidR="00A954D0">
        <w:rPr>
          <w:rFonts w:ascii="Bookman Old Style" w:hAnsi="Bookman Old Style"/>
          <w:sz w:val="24"/>
          <w:szCs w:val="24"/>
        </w:rPr>
        <w:t xml:space="preserve"> </w:t>
      </w:r>
      <w:r w:rsidRPr="008174DB">
        <w:rPr>
          <w:rFonts w:ascii="Bookman Old Style" w:hAnsi="Bookman Old Style"/>
          <w:sz w:val="24"/>
          <w:szCs w:val="24"/>
        </w:rPr>
        <w:t>tentang</w:t>
      </w:r>
      <w:r w:rsidR="00A954D0">
        <w:rPr>
          <w:rFonts w:ascii="Bookman Old Style" w:hAnsi="Bookman Old Style"/>
          <w:sz w:val="24"/>
          <w:szCs w:val="24"/>
        </w:rPr>
        <w:t xml:space="preserve"> </w:t>
      </w:r>
      <w:r w:rsidRPr="008174DB">
        <w:rPr>
          <w:rFonts w:ascii="Bookman Old Style" w:hAnsi="Bookman Old Style"/>
          <w:sz w:val="24"/>
          <w:szCs w:val="24"/>
        </w:rPr>
        <w:t>Bantuan</w:t>
      </w:r>
      <w:r w:rsidR="00A954D0">
        <w:rPr>
          <w:rFonts w:ascii="Bookman Old Style" w:hAnsi="Bookman Old Style"/>
          <w:sz w:val="24"/>
          <w:szCs w:val="24"/>
        </w:rPr>
        <w:t xml:space="preserve"> </w:t>
      </w:r>
      <w:r w:rsidRPr="008174DB">
        <w:rPr>
          <w:rFonts w:ascii="Bookman Old Style" w:hAnsi="Bookman Old Style"/>
          <w:sz w:val="24"/>
          <w:szCs w:val="24"/>
        </w:rPr>
        <w:t>Keuangan</w:t>
      </w:r>
      <w:r w:rsidR="00A954D0">
        <w:rPr>
          <w:rFonts w:ascii="Bookman Old Style" w:hAnsi="Bookman Old Style"/>
          <w:sz w:val="24"/>
          <w:szCs w:val="24"/>
        </w:rPr>
        <w:t xml:space="preserve"> </w:t>
      </w:r>
      <w:r w:rsidRPr="008174DB">
        <w:rPr>
          <w:rFonts w:ascii="Bookman Old Style" w:hAnsi="Bookman Old Style"/>
          <w:sz w:val="24"/>
          <w:szCs w:val="24"/>
        </w:rPr>
        <w:t>Kepada</w:t>
      </w:r>
      <w:r w:rsidR="00A954D0">
        <w:rPr>
          <w:rFonts w:ascii="Bookman Old Style" w:hAnsi="Bookman Old Style"/>
          <w:sz w:val="24"/>
          <w:szCs w:val="24"/>
        </w:rPr>
        <w:t xml:space="preserve"> </w:t>
      </w:r>
      <w:r w:rsidRPr="008174DB">
        <w:rPr>
          <w:rFonts w:ascii="Bookman Old Style" w:hAnsi="Bookman Old Style"/>
          <w:sz w:val="24"/>
          <w:szCs w:val="24"/>
        </w:rPr>
        <w:t>Partai</w:t>
      </w:r>
      <w:r w:rsidR="00A954D0">
        <w:rPr>
          <w:rFonts w:ascii="Bookman Old Style" w:hAnsi="Bookman Old Style"/>
          <w:sz w:val="24"/>
          <w:szCs w:val="24"/>
        </w:rPr>
        <w:t xml:space="preserve"> </w:t>
      </w:r>
      <w:r w:rsidRPr="008174DB">
        <w:rPr>
          <w:rFonts w:ascii="Bookman Old Style" w:hAnsi="Bookman Old Style"/>
          <w:sz w:val="24"/>
          <w:szCs w:val="24"/>
        </w:rPr>
        <w:t>Politik</w:t>
      </w:r>
      <w:r w:rsidR="00A954D0">
        <w:rPr>
          <w:rFonts w:ascii="Bookman Old Style" w:hAnsi="Bookman Old Style"/>
          <w:sz w:val="24"/>
          <w:szCs w:val="24"/>
        </w:rPr>
        <w:t xml:space="preserve"> </w:t>
      </w:r>
      <w:r w:rsidRPr="008174DB">
        <w:rPr>
          <w:rFonts w:ascii="Bookman Old Style" w:hAnsi="Bookman Old Style"/>
          <w:sz w:val="24"/>
          <w:szCs w:val="24"/>
        </w:rPr>
        <w:t>dan</w:t>
      </w:r>
      <w:r w:rsidR="00A954D0">
        <w:rPr>
          <w:rFonts w:ascii="Bookman Old Style" w:hAnsi="Bookman Old Style"/>
          <w:sz w:val="24"/>
          <w:szCs w:val="24"/>
        </w:rPr>
        <w:t xml:space="preserve"> </w:t>
      </w:r>
      <w:r w:rsidRPr="008174DB">
        <w:rPr>
          <w:rFonts w:ascii="Bookman Old Style" w:hAnsi="Bookman Old Style"/>
          <w:sz w:val="24"/>
          <w:szCs w:val="24"/>
        </w:rPr>
        <w:t>Peraturan</w:t>
      </w:r>
      <w:r w:rsidR="00A954D0">
        <w:rPr>
          <w:rFonts w:ascii="Bookman Old Style" w:hAnsi="Bookman Old Style"/>
          <w:sz w:val="24"/>
          <w:szCs w:val="24"/>
        </w:rPr>
        <w:t xml:space="preserve"> </w:t>
      </w:r>
      <w:r w:rsidRPr="008174DB">
        <w:rPr>
          <w:rFonts w:ascii="Bookman Old Style" w:hAnsi="Bookman Old Style"/>
          <w:sz w:val="24"/>
          <w:szCs w:val="24"/>
        </w:rPr>
        <w:t>Menteri</w:t>
      </w:r>
      <w:r w:rsidR="00A954D0">
        <w:rPr>
          <w:rFonts w:ascii="Bookman Old Style" w:hAnsi="Bookman Old Style"/>
          <w:sz w:val="24"/>
          <w:szCs w:val="24"/>
        </w:rPr>
        <w:t xml:space="preserve"> </w:t>
      </w:r>
      <w:r w:rsidRPr="008174DB">
        <w:rPr>
          <w:rFonts w:ascii="Bookman Old Style" w:hAnsi="Bookman Old Style"/>
          <w:sz w:val="24"/>
          <w:szCs w:val="24"/>
        </w:rPr>
        <w:t>Dalam</w:t>
      </w:r>
      <w:r w:rsidR="00A954D0">
        <w:rPr>
          <w:rFonts w:ascii="Bookman Old Style" w:hAnsi="Bookman Old Style"/>
          <w:sz w:val="24"/>
          <w:szCs w:val="24"/>
        </w:rPr>
        <w:t xml:space="preserve"> </w:t>
      </w:r>
      <w:r w:rsidRPr="008174DB">
        <w:rPr>
          <w:rFonts w:ascii="Bookman Old Style" w:hAnsi="Bookman Old Style"/>
          <w:sz w:val="24"/>
          <w:szCs w:val="24"/>
        </w:rPr>
        <w:t>Negeri</w:t>
      </w:r>
      <w:r w:rsidR="00A954D0">
        <w:rPr>
          <w:rFonts w:ascii="Bookman Old Style" w:hAnsi="Bookman Old Style"/>
          <w:sz w:val="24"/>
          <w:szCs w:val="24"/>
        </w:rPr>
        <w:t xml:space="preserve"> </w:t>
      </w:r>
      <w:r w:rsidRPr="008174DB">
        <w:rPr>
          <w:rFonts w:ascii="Bookman Old Style" w:hAnsi="Bookman Old Style"/>
          <w:sz w:val="24"/>
          <w:szCs w:val="24"/>
        </w:rPr>
        <w:t>Nomor</w:t>
      </w:r>
      <w:r w:rsidR="00A954D0">
        <w:rPr>
          <w:rFonts w:ascii="Bookman Old Style" w:hAnsi="Bookman Old Style"/>
          <w:sz w:val="24"/>
          <w:szCs w:val="24"/>
        </w:rPr>
        <w:t xml:space="preserve"> </w:t>
      </w:r>
      <w:r w:rsidRPr="008174DB">
        <w:rPr>
          <w:rFonts w:ascii="Bookman Old Style" w:hAnsi="Bookman Old Style"/>
          <w:sz w:val="24"/>
          <w:szCs w:val="24"/>
        </w:rPr>
        <w:t>36</w:t>
      </w:r>
      <w:r w:rsidR="00A954D0">
        <w:rPr>
          <w:rFonts w:ascii="Bookman Old Style" w:hAnsi="Bookman Old Style"/>
          <w:sz w:val="24"/>
          <w:szCs w:val="24"/>
        </w:rPr>
        <w:t xml:space="preserve"> </w:t>
      </w:r>
      <w:r w:rsidRPr="008174DB">
        <w:rPr>
          <w:rFonts w:ascii="Bookman Old Style" w:hAnsi="Bookman Old Style"/>
          <w:sz w:val="24"/>
          <w:szCs w:val="24"/>
        </w:rPr>
        <w:t>Tahun</w:t>
      </w:r>
      <w:r w:rsidR="00A954D0">
        <w:rPr>
          <w:rFonts w:ascii="Bookman Old Style" w:hAnsi="Bookman Old Style"/>
          <w:sz w:val="24"/>
          <w:szCs w:val="24"/>
        </w:rPr>
        <w:t xml:space="preserve"> </w:t>
      </w:r>
      <w:r w:rsidRPr="008174DB">
        <w:rPr>
          <w:rFonts w:ascii="Bookman Old Style" w:hAnsi="Bookman Old Style"/>
          <w:sz w:val="24"/>
          <w:szCs w:val="24"/>
        </w:rPr>
        <w:t>2018</w:t>
      </w:r>
      <w:r w:rsidR="00A954D0">
        <w:rPr>
          <w:rFonts w:ascii="Bookman Old Style" w:hAnsi="Bookman Old Style"/>
          <w:sz w:val="24"/>
          <w:szCs w:val="24"/>
        </w:rPr>
        <w:t xml:space="preserve"> </w:t>
      </w:r>
      <w:r w:rsidRPr="008174DB">
        <w:rPr>
          <w:rFonts w:ascii="Bookman Old Style" w:hAnsi="Bookman Old Style"/>
          <w:sz w:val="24"/>
          <w:szCs w:val="24"/>
        </w:rPr>
        <w:t>sebagaimana</w:t>
      </w:r>
      <w:r w:rsidR="00A954D0">
        <w:rPr>
          <w:rFonts w:ascii="Bookman Old Style" w:hAnsi="Bookman Old Style"/>
          <w:sz w:val="24"/>
          <w:szCs w:val="24"/>
        </w:rPr>
        <w:t xml:space="preserve"> </w:t>
      </w:r>
      <w:r w:rsidRPr="008174DB">
        <w:rPr>
          <w:rFonts w:ascii="Bookman Old Style" w:hAnsi="Bookman Old Style"/>
          <w:sz w:val="24"/>
          <w:szCs w:val="24"/>
        </w:rPr>
        <w:t>telah</w:t>
      </w:r>
      <w:r w:rsidR="00A954D0">
        <w:rPr>
          <w:rFonts w:ascii="Bookman Old Style" w:hAnsi="Bookman Old Style"/>
          <w:sz w:val="24"/>
          <w:szCs w:val="24"/>
        </w:rPr>
        <w:t xml:space="preserve"> </w:t>
      </w:r>
      <w:r w:rsidRPr="008174DB">
        <w:rPr>
          <w:rFonts w:ascii="Bookman Old Style" w:hAnsi="Bookman Old Style"/>
          <w:sz w:val="24"/>
          <w:szCs w:val="24"/>
        </w:rPr>
        <w:t>diubah</w:t>
      </w:r>
      <w:r w:rsidR="00A954D0">
        <w:rPr>
          <w:rFonts w:ascii="Bookman Old Style" w:hAnsi="Bookman Old Style"/>
          <w:sz w:val="24"/>
          <w:szCs w:val="24"/>
        </w:rPr>
        <w:t xml:space="preserve"> </w:t>
      </w:r>
      <w:r w:rsidRPr="008174DB">
        <w:rPr>
          <w:rFonts w:ascii="Bookman Old Style" w:hAnsi="Bookman Old Style"/>
          <w:sz w:val="24"/>
          <w:szCs w:val="24"/>
        </w:rPr>
        <w:t>dengan</w:t>
      </w:r>
      <w:r w:rsidR="00A954D0">
        <w:rPr>
          <w:rFonts w:ascii="Bookman Old Style" w:hAnsi="Bookman Old Style"/>
          <w:sz w:val="24"/>
          <w:szCs w:val="24"/>
        </w:rPr>
        <w:t xml:space="preserve"> </w:t>
      </w:r>
      <w:r w:rsidRPr="008174DB">
        <w:rPr>
          <w:rFonts w:ascii="Bookman Old Style" w:hAnsi="Bookman Old Style"/>
          <w:sz w:val="24"/>
          <w:szCs w:val="24"/>
        </w:rPr>
        <w:t>Peraturan</w:t>
      </w:r>
      <w:r w:rsidR="00A954D0">
        <w:rPr>
          <w:rFonts w:ascii="Bookman Old Style" w:hAnsi="Bookman Old Style"/>
          <w:sz w:val="24"/>
          <w:szCs w:val="24"/>
        </w:rPr>
        <w:t xml:space="preserve"> </w:t>
      </w:r>
      <w:r w:rsidRPr="008174DB">
        <w:rPr>
          <w:rFonts w:ascii="Bookman Old Style" w:hAnsi="Bookman Old Style"/>
          <w:sz w:val="24"/>
          <w:szCs w:val="24"/>
        </w:rPr>
        <w:t>Menteri</w:t>
      </w:r>
      <w:r w:rsidR="00A954D0">
        <w:rPr>
          <w:rFonts w:ascii="Bookman Old Style" w:hAnsi="Bookman Old Style"/>
          <w:sz w:val="24"/>
          <w:szCs w:val="24"/>
        </w:rPr>
        <w:t xml:space="preserve"> </w:t>
      </w:r>
      <w:r w:rsidRPr="008174DB">
        <w:rPr>
          <w:rFonts w:ascii="Bookman Old Style" w:hAnsi="Bookman Old Style"/>
          <w:sz w:val="24"/>
          <w:szCs w:val="24"/>
        </w:rPr>
        <w:t>Dalam</w:t>
      </w:r>
      <w:r w:rsidR="00A954D0">
        <w:rPr>
          <w:rFonts w:ascii="Bookman Old Style" w:hAnsi="Bookman Old Style"/>
          <w:sz w:val="24"/>
          <w:szCs w:val="24"/>
        </w:rPr>
        <w:t xml:space="preserve"> </w:t>
      </w:r>
      <w:r w:rsidRPr="008174DB">
        <w:rPr>
          <w:rFonts w:ascii="Bookman Old Style" w:hAnsi="Bookman Old Style"/>
          <w:sz w:val="24"/>
          <w:szCs w:val="24"/>
        </w:rPr>
        <w:t>Negeri</w:t>
      </w:r>
      <w:r w:rsidR="00A954D0">
        <w:rPr>
          <w:rFonts w:ascii="Bookman Old Style" w:hAnsi="Bookman Old Style"/>
          <w:sz w:val="24"/>
          <w:szCs w:val="24"/>
        </w:rPr>
        <w:t xml:space="preserve"> </w:t>
      </w:r>
      <w:r w:rsidRPr="008174DB">
        <w:rPr>
          <w:rFonts w:ascii="Bookman Old Style" w:hAnsi="Bookman Old Style"/>
          <w:sz w:val="24"/>
          <w:szCs w:val="24"/>
        </w:rPr>
        <w:t>Nomor</w:t>
      </w:r>
      <w:r w:rsidR="00A954D0">
        <w:rPr>
          <w:rFonts w:ascii="Bookman Old Style" w:hAnsi="Bookman Old Style"/>
          <w:sz w:val="24"/>
          <w:szCs w:val="24"/>
        </w:rPr>
        <w:t xml:space="preserve"> </w:t>
      </w:r>
      <w:r w:rsidRPr="008174DB">
        <w:rPr>
          <w:rFonts w:ascii="Bookman Old Style" w:hAnsi="Bookman Old Style"/>
          <w:sz w:val="24"/>
          <w:szCs w:val="24"/>
        </w:rPr>
        <w:t>78</w:t>
      </w:r>
      <w:r w:rsidR="00A954D0">
        <w:rPr>
          <w:rFonts w:ascii="Bookman Old Style" w:hAnsi="Bookman Old Style"/>
          <w:sz w:val="24"/>
          <w:szCs w:val="24"/>
        </w:rPr>
        <w:t xml:space="preserve"> </w:t>
      </w:r>
      <w:r w:rsidRPr="008174DB">
        <w:rPr>
          <w:rFonts w:ascii="Bookman Old Style" w:hAnsi="Bookman Old Style"/>
          <w:sz w:val="24"/>
          <w:szCs w:val="24"/>
        </w:rPr>
        <w:t>Tahun</w:t>
      </w:r>
      <w:r w:rsidR="00A954D0">
        <w:rPr>
          <w:rFonts w:ascii="Bookman Old Style" w:hAnsi="Bookman Old Style"/>
          <w:sz w:val="24"/>
          <w:szCs w:val="24"/>
        </w:rPr>
        <w:t xml:space="preserve"> </w:t>
      </w:r>
      <w:r w:rsidRPr="008174DB">
        <w:rPr>
          <w:rFonts w:ascii="Bookman Old Style" w:hAnsi="Bookman Old Style"/>
          <w:sz w:val="24"/>
          <w:szCs w:val="24"/>
        </w:rPr>
        <w:t>2020</w:t>
      </w:r>
      <w:r w:rsidR="00A954D0">
        <w:rPr>
          <w:rFonts w:ascii="Bookman Old Style" w:hAnsi="Bookman Old Style"/>
          <w:sz w:val="24"/>
          <w:szCs w:val="24"/>
        </w:rPr>
        <w:t xml:space="preserve"> </w:t>
      </w:r>
      <w:r w:rsidRPr="008174DB">
        <w:rPr>
          <w:rFonts w:ascii="Bookman Old Style" w:hAnsi="Bookman Old Style"/>
          <w:sz w:val="24"/>
          <w:szCs w:val="24"/>
        </w:rPr>
        <w:t>dan</w:t>
      </w:r>
      <w:r w:rsidR="00A954D0">
        <w:rPr>
          <w:rFonts w:ascii="Bookman Old Style" w:hAnsi="Bookman Old Style"/>
          <w:sz w:val="24"/>
          <w:szCs w:val="24"/>
        </w:rPr>
        <w:t xml:space="preserve"> </w:t>
      </w:r>
      <w:r w:rsidRPr="008174DB">
        <w:rPr>
          <w:rFonts w:ascii="Bookman Old Style" w:hAnsi="Bookman Old Style"/>
          <w:sz w:val="24"/>
          <w:szCs w:val="24"/>
        </w:rPr>
        <w:t>butir</w:t>
      </w:r>
      <w:r w:rsidR="00A954D0">
        <w:rPr>
          <w:rFonts w:ascii="Bookman Old Style" w:hAnsi="Bookman Old Style"/>
          <w:sz w:val="24"/>
          <w:szCs w:val="24"/>
        </w:rPr>
        <w:t xml:space="preserve"> </w:t>
      </w:r>
      <w:r w:rsidRPr="008174DB">
        <w:rPr>
          <w:rFonts w:ascii="Bookman Old Style" w:hAnsi="Bookman Old Style"/>
          <w:sz w:val="24"/>
          <w:szCs w:val="24"/>
          <w:lang w:val="en-US"/>
        </w:rPr>
        <w:t>3.4.1.5.e.6)</w:t>
      </w:r>
      <w:r w:rsidR="00A954D0">
        <w:rPr>
          <w:rFonts w:ascii="Bookman Old Style" w:hAnsi="Bookman Old Style" w:cs="Arial"/>
          <w:sz w:val="24"/>
          <w:szCs w:val="24"/>
        </w:rPr>
        <w:t xml:space="preserve"> </w:t>
      </w:r>
      <w:r w:rsidRPr="008174DB">
        <w:rPr>
          <w:rFonts w:ascii="Bookman Old Style" w:hAnsi="Bookman Old Style" w:cs="Arial"/>
          <w:sz w:val="24"/>
          <w:szCs w:val="24"/>
        </w:rPr>
        <w:t>Lampiran</w:t>
      </w:r>
      <w:r w:rsidR="00A954D0">
        <w:rPr>
          <w:rFonts w:ascii="Bookman Old Style" w:hAnsi="Bookman Old Style" w:cs="Arial"/>
          <w:sz w:val="24"/>
          <w:szCs w:val="24"/>
        </w:rPr>
        <w:t xml:space="preserve"> </w:t>
      </w:r>
      <w:r w:rsidRPr="008174DB">
        <w:rPr>
          <w:rFonts w:ascii="Bookman Old Style" w:hAnsi="Bookman Old Style" w:cs="Arial"/>
          <w:sz w:val="24"/>
          <w:szCs w:val="24"/>
        </w:rPr>
        <w:t>Peraturan</w:t>
      </w:r>
      <w:r w:rsidR="00A954D0">
        <w:rPr>
          <w:rFonts w:ascii="Bookman Old Style" w:hAnsi="Bookman Old Style" w:cs="Arial"/>
          <w:sz w:val="24"/>
          <w:szCs w:val="24"/>
        </w:rPr>
        <w:t xml:space="preserve"> </w:t>
      </w:r>
      <w:r w:rsidRPr="008174DB">
        <w:rPr>
          <w:rFonts w:ascii="Bookman Old Style" w:hAnsi="Bookman Old Style" w:cs="Arial"/>
          <w:sz w:val="24"/>
          <w:szCs w:val="24"/>
        </w:rPr>
        <w:t>Menteri</w:t>
      </w:r>
      <w:r w:rsidR="00A954D0">
        <w:rPr>
          <w:rFonts w:ascii="Bookman Old Style" w:hAnsi="Bookman Old Style" w:cs="Arial"/>
          <w:sz w:val="24"/>
          <w:szCs w:val="24"/>
        </w:rPr>
        <w:t xml:space="preserve"> </w:t>
      </w:r>
      <w:r w:rsidRPr="008174DB">
        <w:rPr>
          <w:rFonts w:ascii="Bookman Old Style" w:hAnsi="Bookman Old Style" w:cs="Arial"/>
          <w:sz w:val="24"/>
          <w:szCs w:val="24"/>
        </w:rPr>
        <w:t>Dalam</w:t>
      </w:r>
      <w:r w:rsidR="00A954D0">
        <w:rPr>
          <w:rFonts w:ascii="Bookman Old Style" w:hAnsi="Bookman Old Style" w:cs="Arial"/>
          <w:sz w:val="24"/>
          <w:szCs w:val="24"/>
        </w:rPr>
        <w:t xml:space="preserve"> </w:t>
      </w:r>
      <w:r w:rsidRPr="008174DB">
        <w:rPr>
          <w:rFonts w:ascii="Bookman Old Style" w:hAnsi="Bookman Old Style" w:cs="Arial"/>
          <w:sz w:val="24"/>
          <w:szCs w:val="24"/>
        </w:rPr>
        <w:t>Negeri</w:t>
      </w:r>
      <w:r w:rsidR="00A954D0">
        <w:rPr>
          <w:rFonts w:ascii="Bookman Old Style" w:hAnsi="Bookman Old Style" w:cs="Arial"/>
          <w:sz w:val="24"/>
          <w:szCs w:val="24"/>
        </w:rPr>
        <w:t xml:space="preserve"> </w:t>
      </w:r>
      <w:r w:rsidRPr="008174DB">
        <w:rPr>
          <w:rFonts w:ascii="Bookman Old Style" w:hAnsi="Bookman Old Style" w:cs="Arial"/>
          <w:sz w:val="24"/>
          <w:szCs w:val="24"/>
        </w:rPr>
        <w:t>Nomor</w:t>
      </w:r>
      <w:r w:rsidR="00A954D0">
        <w:rPr>
          <w:rFonts w:ascii="Bookman Old Style" w:hAnsi="Bookman Old Style" w:cs="Arial"/>
          <w:sz w:val="24"/>
          <w:szCs w:val="24"/>
        </w:rPr>
        <w:t xml:space="preserve"> </w:t>
      </w:r>
      <w:r w:rsidRPr="008174DB">
        <w:rPr>
          <w:rFonts w:ascii="Bookman Old Style" w:hAnsi="Bookman Old Style" w:cs="Arial"/>
          <w:sz w:val="24"/>
          <w:szCs w:val="24"/>
          <w:lang w:val="en-US"/>
        </w:rPr>
        <w:t>15</w:t>
      </w:r>
      <w:r w:rsidR="00A954D0">
        <w:rPr>
          <w:rFonts w:ascii="Bookman Old Style" w:hAnsi="Bookman Old Style" w:cs="Arial"/>
          <w:sz w:val="24"/>
          <w:szCs w:val="24"/>
        </w:rPr>
        <w:t xml:space="preserve"> </w:t>
      </w:r>
      <w:r w:rsidRPr="008174DB">
        <w:rPr>
          <w:rFonts w:ascii="Bookman Old Style" w:hAnsi="Bookman Old Style" w:cs="Arial"/>
          <w:sz w:val="24"/>
          <w:szCs w:val="24"/>
        </w:rPr>
        <w:t>Tahun</w:t>
      </w:r>
      <w:r w:rsidR="00A954D0">
        <w:rPr>
          <w:rFonts w:ascii="Bookman Old Style" w:hAnsi="Bookman Old Style" w:cs="Arial"/>
          <w:sz w:val="24"/>
          <w:szCs w:val="24"/>
        </w:rPr>
        <w:t xml:space="preserve"> </w:t>
      </w:r>
      <w:r w:rsidRPr="008174DB">
        <w:rPr>
          <w:rFonts w:ascii="Bookman Old Style" w:hAnsi="Bookman Old Style" w:cs="Arial"/>
          <w:sz w:val="24"/>
          <w:szCs w:val="24"/>
        </w:rPr>
        <w:t>202</w:t>
      </w:r>
      <w:r w:rsidRPr="008174DB">
        <w:rPr>
          <w:rFonts w:ascii="Bookman Old Style" w:hAnsi="Bookman Old Style" w:cs="Arial"/>
          <w:sz w:val="24"/>
          <w:szCs w:val="24"/>
          <w:lang w:val="en-US"/>
        </w:rPr>
        <w:t>4</w:t>
      </w:r>
      <w:r w:rsidRPr="008174DB">
        <w:rPr>
          <w:rFonts w:ascii="Bookman Old Style" w:hAnsi="Bookman Old Style"/>
          <w:sz w:val="24"/>
          <w:szCs w:val="24"/>
        </w:rPr>
        <w:t>.</w:t>
      </w:r>
    </w:p>
    <w:p w14:paraId="5375D6F3" w14:textId="77777777" w:rsidR="00034877" w:rsidRDefault="00034877" w:rsidP="006A368B">
      <w:pPr>
        <w:pStyle w:val="ListParagraph"/>
        <w:spacing w:before="60" w:after="0" w:line="276" w:lineRule="auto"/>
        <w:ind w:left="1701"/>
        <w:contextualSpacing w:val="0"/>
        <w:jc w:val="both"/>
        <w:rPr>
          <w:rFonts w:ascii="Bookman Old Style" w:hAnsi="Bookman Old Style"/>
          <w:sz w:val="24"/>
          <w:szCs w:val="24"/>
        </w:rPr>
      </w:pPr>
    </w:p>
    <w:p w14:paraId="7B899677" w14:textId="77777777" w:rsidR="00034877" w:rsidRPr="008174DB" w:rsidRDefault="00034877" w:rsidP="006A368B">
      <w:pPr>
        <w:pStyle w:val="ListParagraph"/>
        <w:spacing w:before="60" w:after="0" w:line="276" w:lineRule="auto"/>
        <w:ind w:left="1701"/>
        <w:contextualSpacing w:val="0"/>
        <w:jc w:val="both"/>
        <w:rPr>
          <w:rFonts w:ascii="Bookman Old Style" w:hAnsi="Bookman Old Style"/>
          <w:sz w:val="24"/>
          <w:szCs w:val="24"/>
        </w:rPr>
      </w:pPr>
    </w:p>
    <w:p w14:paraId="02FEA291" w14:textId="78F78284" w:rsidR="00BB2149" w:rsidRPr="008174DB" w:rsidRDefault="00BB2149" w:rsidP="006A368B">
      <w:pPr>
        <w:pStyle w:val="ListParagraph"/>
        <w:numPr>
          <w:ilvl w:val="0"/>
          <w:numId w:val="15"/>
        </w:numPr>
        <w:spacing w:before="60" w:after="0" w:line="276" w:lineRule="auto"/>
        <w:ind w:left="1701" w:hanging="425"/>
        <w:contextualSpacing w:val="0"/>
        <w:jc w:val="both"/>
        <w:rPr>
          <w:rFonts w:ascii="Bookman Old Style" w:hAnsi="Bookman Old Style"/>
          <w:sz w:val="24"/>
          <w:szCs w:val="24"/>
          <w:lang w:val="en-US"/>
        </w:rPr>
      </w:pPr>
      <w:r w:rsidRPr="008174DB">
        <w:rPr>
          <w:rFonts w:ascii="Bookman Old Style" w:hAnsi="Bookman Old Style"/>
          <w:sz w:val="24"/>
          <w:szCs w:val="24"/>
          <w:lang w:val="en-US"/>
        </w:rPr>
        <w:lastRenderedPageBreak/>
        <w:t>Belanja</w:t>
      </w:r>
      <w:r w:rsidR="00A954D0">
        <w:rPr>
          <w:rFonts w:ascii="Bookman Old Style" w:hAnsi="Bookman Old Style"/>
          <w:sz w:val="24"/>
          <w:szCs w:val="24"/>
          <w:lang w:val="en-US"/>
        </w:rPr>
        <w:t xml:space="preserve"> </w:t>
      </w:r>
      <w:r w:rsidRPr="008174DB">
        <w:rPr>
          <w:rFonts w:ascii="Bookman Old Style" w:hAnsi="Bookman Old Style"/>
          <w:sz w:val="24"/>
          <w:szCs w:val="24"/>
          <w:lang w:val="en-US"/>
        </w:rPr>
        <w:t>Bantuan</w:t>
      </w:r>
      <w:r w:rsidR="00A954D0">
        <w:rPr>
          <w:rFonts w:ascii="Bookman Old Style" w:hAnsi="Bookman Old Style"/>
          <w:sz w:val="24"/>
          <w:szCs w:val="24"/>
          <w:lang w:val="en-US"/>
        </w:rPr>
        <w:t xml:space="preserve"> </w:t>
      </w:r>
      <w:r w:rsidRPr="008174DB">
        <w:rPr>
          <w:rFonts w:ascii="Bookman Old Style" w:hAnsi="Bookman Old Style"/>
          <w:sz w:val="24"/>
          <w:szCs w:val="24"/>
          <w:lang w:val="en-US"/>
        </w:rPr>
        <w:t>Sosial</w:t>
      </w:r>
    </w:p>
    <w:p w14:paraId="7E2B9D4F" w14:textId="65EEC208" w:rsidR="00BB2149" w:rsidRPr="003255BC" w:rsidRDefault="00BB2149" w:rsidP="006A368B">
      <w:pPr>
        <w:pStyle w:val="ListParagraph"/>
        <w:spacing w:before="60" w:after="0" w:line="276" w:lineRule="auto"/>
        <w:ind w:left="1701"/>
        <w:contextualSpacing w:val="0"/>
        <w:jc w:val="both"/>
        <w:rPr>
          <w:rFonts w:ascii="Bookman Old Style" w:hAnsi="Bookman Old Style"/>
          <w:sz w:val="24"/>
          <w:szCs w:val="24"/>
          <w:lang w:val="sv-FI"/>
        </w:rPr>
      </w:pPr>
      <w:r w:rsidRPr="00DA2563">
        <w:rPr>
          <w:rFonts w:ascii="Bookman Old Style" w:hAnsi="Bookman Old Style"/>
          <w:sz w:val="24"/>
          <w:szCs w:val="24"/>
        </w:rPr>
        <w:t>Belanja</w:t>
      </w:r>
      <w:r w:rsidR="00A954D0">
        <w:rPr>
          <w:rFonts w:ascii="Bookman Old Style" w:hAnsi="Bookman Old Style"/>
          <w:sz w:val="24"/>
          <w:szCs w:val="24"/>
        </w:rPr>
        <w:t xml:space="preserve"> </w:t>
      </w:r>
      <w:r w:rsidRPr="00DA2563">
        <w:rPr>
          <w:rFonts w:ascii="Bookman Old Style" w:hAnsi="Bookman Old Style"/>
          <w:sz w:val="24"/>
          <w:szCs w:val="24"/>
        </w:rPr>
        <w:t>Bantuan</w:t>
      </w:r>
      <w:r w:rsidR="00A954D0">
        <w:rPr>
          <w:rFonts w:ascii="Bookman Old Style" w:hAnsi="Bookman Old Style"/>
          <w:sz w:val="24"/>
          <w:szCs w:val="24"/>
        </w:rPr>
        <w:t xml:space="preserve"> </w:t>
      </w:r>
      <w:r w:rsidRPr="00DA2563">
        <w:rPr>
          <w:rFonts w:ascii="Bookman Old Style" w:hAnsi="Bookman Old Style"/>
          <w:sz w:val="24"/>
          <w:szCs w:val="24"/>
        </w:rPr>
        <w:t>Sosial</w:t>
      </w:r>
      <w:r w:rsidR="00A954D0">
        <w:rPr>
          <w:rFonts w:ascii="Bookman Old Style" w:hAnsi="Bookman Old Style"/>
          <w:sz w:val="24"/>
          <w:szCs w:val="24"/>
          <w:lang w:val="id-ID"/>
        </w:rPr>
        <w:t xml:space="preserve"> </w:t>
      </w:r>
      <w:r w:rsidRPr="00DA2563">
        <w:rPr>
          <w:rFonts w:ascii="Bookman Old Style" w:hAnsi="Bookman Old Style"/>
          <w:sz w:val="24"/>
          <w:szCs w:val="24"/>
          <w:lang w:val="en-US"/>
        </w:rPr>
        <w:t>Rp</w:t>
      </w:r>
      <w:r w:rsidRPr="00DA2563">
        <w:rPr>
          <w:rFonts w:ascii="Bookman Old Style" w:hAnsi="Bookman Old Style" w:cs="Arial"/>
          <w:sz w:val="24"/>
          <w:szCs w:val="24"/>
          <w:lang w:val="en-US"/>
        </w:rPr>
        <w:t>4.458.000.000,00</w:t>
      </w:r>
      <w:r w:rsidR="00A954D0">
        <w:rPr>
          <w:rFonts w:ascii="Bookman Old Style" w:hAnsi="Bookman Old Style" w:cs="Arial"/>
          <w:sz w:val="24"/>
          <w:szCs w:val="24"/>
          <w:lang w:val="en-US"/>
        </w:rPr>
        <w:t xml:space="preserve"> </w:t>
      </w:r>
      <w:r w:rsidRPr="00DA2563">
        <w:rPr>
          <w:rFonts w:ascii="Bookman Old Style" w:hAnsi="Bookman Old Style" w:cs="Arial"/>
          <w:sz w:val="24"/>
          <w:szCs w:val="24"/>
          <w:lang w:val="en-US"/>
        </w:rPr>
        <w:t>atau</w:t>
      </w:r>
      <w:r w:rsidR="00A954D0">
        <w:rPr>
          <w:rFonts w:ascii="Bookman Old Style" w:hAnsi="Bookman Old Style" w:cs="Arial"/>
          <w:sz w:val="24"/>
          <w:szCs w:val="24"/>
          <w:lang w:val="en-US"/>
        </w:rPr>
        <w:t xml:space="preserve"> </w:t>
      </w:r>
      <w:r w:rsidRPr="00DA2563">
        <w:rPr>
          <w:rFonts w:ascii="Bookman Old Style" w:hAnsi="Bookman Old Style" w:cs="Arial"/>
          <w:sz w:val="24"/>
          <w:szCs w:val="24"/>
          <w:lang w:val="en-US"/>
        </w:rPr>
        <w:t>0,08%</w:t>
      </w:r>
      <w:r w:rsidR="00A954D0">
        <w:rPr>
          <w:rFonts w:ascii="Bookman Old Style" w:hAnsi="Bookman Old Style" w:cs="Arial"/>
          <w:sz w:val="24"/>
          <w:szCs w:val="24"/>
          <w:lang w:val="en-US"/>
        </w:rPr>
        <w:t xml:space="preserve"> </w:t>
      </w:r>
      <w:r w:rsidRPr="00DA2563">
        <w:rPr>
          <w:rFonts w:ascii="Bookman Old Style" w:hAnsi="Bookman Old Style"/>
          <w:sz w:val="24"/>
          <w:szCs w:val="24"/>
        </w:rPr>
        <w:t>dari</w:t>
      </w:r>
      <w:r w:rsidR="00A954D0">
        <w:rPr>
          <w:rFonts w:ascii="Bookman Old Style" w:hAnsi="Bookman Old Style"/>
          <w:sz w:val="24"/>
          <w:szCs w:val="24"/>
        </w:rPr>
        <w:t xml:space="preserve"> </w:t>
      </w:r>
      <w:r w:rsidRPr="00DA2563">
        <w:rPr>
          <w:rFonts w:ascii="Bookman Old Style" w:hAnsi="Bookman Old Style"/>
          <w:sz w:val="24"/>
          <w:szCs w:val="24"/>
        </w:rPr>
        <w:t>total</w:t>
      </w:r>
      <w:r w:rsidR="00A954D0">
        <w:rPr>
          <w:rFonts w:ascii="Bookman Old Style" w:hAnsi="Bookman Old Style"/>
          <w:sz w:val="24"/>
          <w:szCs w:val="24"/>
        </w:rPr>
        <w:t xml:space="preserve"> </w:t>
      </w:r>
      <w:r w:rsidRPr="00DA2563">
        <w:rPr>
          <w:rFonts w:ascii="Bookman Old Style" w:hAnsi="Bookman Old Style"/>
          <w:sz w:val="24"/>
          <w:szCs w:val="24"/>
        </w:rPr>
        <w:t>belanja</w:t>
      </w:r>
      <w:r w:rsidR="00A954D0">
        <w:rPr>
          <w:rFonts w:ascii="Bookman Old Style" w:hAnsi="Bookman Old Style"/>
          <w:sz w:val="24"/>
          <w:szCs w:val="24"/>
        </w:rPr>
        <w:t xml:space="preserve"> </w:t>
      </w:r>
      <w:r w:rsidRPr="00DA2563">
        <w:rPr>
          <w:rFonts w:ascii="Bookman Old Style" w:hAnsi="Bookman Old Style"/>
          <w:sz w:val="24"/>
          <w:szCs w:val="24"/>
        </w:rPr>
        <w:t>daerah</w:t>
      </w:r>
      <w:r w:rsidR="00A954D0">
        <w:rPr>
          <w:rFonts w:ascii="Bookman Old Style" w:hAnsi="Bookman Old Style"/>
          <w:sz w:val="24"/>
          <w:szCs w:val="24"/>
        </w:rPr>
        <w:t xml:space="preserve"> </w:t>
      </w:r>
      <w:r w:rsidRPr="00DA2563">
        <w:rPr>
          <w:rFonts w:ascii="Bookman Old Style" w:hAnsi="Bookman Old Style"/>
          <w:sz w:val="24"/>
          <w:szCs w:val="24"/>
        </w:rPr>
        <w:t>dalam</w:t>
      </w:r>
      <w:r w:rsidR="00A954D0">
        <w:rPr>
          <w:rFonts w:ascii="Bookman Old Style" w:hAnsi="Bookman Old Style"/>
          <w:sz w:val="24"/>
          <w:szCs w:val="24"/>
        </w:rPr>
        <w:t xml:space="preserve"> </w:t>
      </w:r>
      <w:r w:rsidRPr="00DA2563">
        <w:rPr>
          <w:rFonts w:ascii="Bookman Old Style" w:hAnsi="Bookman Old Style"/>
          <w:sz w:val="24"/>
          <w:szCs w:val="24"/>
        </w:rPr>
        <w:t>Rancangan</w:t>
      </w:r>
      <w:r w:rsidR="00A954D0">
        <w:rPr>
          <w:rFonts w:ascii="Bookman Old Style" w:hAnsi="Bookman Old Style"/>
          <w:sz w:val="24"/>
          <w:szCs w:val="24"/>
        </w:rPr>
        <w:t xml:space="preserve"> </w:t>
      </w:r>
      <w:r w:rsidRPr="00DA2563">
        <w:rPr>
          <w:rFonts w:ascii="Bookman Old Style" w:hAnsi="Bookman Old Style"/>
          <w:sz w:val="24"/>
          <w:szCs w:val="24"/>
        </w:rPr>
        <w:t>Peraturan</w:t>
      </w:r>
      <w:r w:rsidR="00A954D0">
        <w:rPr>
          <w:rFonts w:ascii="Bookman Old Style" w:hAnsi="Bookman Old Style"/>
          <w:sz w:val="24"/>
          <w:szCs w:val="24"/>
        </w:rPr>
        <w:t xml:space="preserve"> </w:t>
      </w:r>
      <w:r w:rsidRPr="00DA2563">
        <w:rPr>
          <w:rFonts w:ascii="Bookman Old Style" w:hAnsi="Bookman Old Style"/>
          <w:sz w:val="24"/>
          <w:szCs w:val="24"/>
        </w:rPr>
        <w:t>Daerah</w:t>
      </w:r>
      <w:r w:rsidR="00A954D0">
        <w:rPr>
          <w:rFonts w:ascii="Bookman Old Style" w:hAnsi="Bookman Old Style"/>
          <w:sz w:val="24"/>
          <w:szCs w:val="24"/>
          <w:lang w:val="en-US"/>
        </w:rPr>
        <w:t xml:space="preserve"> </w:t>
      </w:r>
      <w:r w:rsidRPr="00DA2563">
        <w:rPr>
          <w:rFonts w:ascii="Bookman Old Style" w:hAnsi="Bookman Old Style"/>
          <w:sz w:val="24"/>
          <w:szCs w:val="24"/>
          <w:lang w:val="en-US"/>
        </w:rPr>
        <w:t>Kota</w:t>
      </w:r>
      <w:r w:rsidR="00A954D0">
        <w:rPr>
          <w:rFonts w:ascii="Bookman Old Style" w:hAnsi="Bookman Old Style"/>
          <w:sz w:val="24"/>
          <w:szCs w:val="24"/>
          <w:lang w:val="en-US"/>
        </w:rPr>
        <w:t xml:space="preserve"> </w:t>
      </w:r>
      <w:r w:rsidRPr="00DA2563">
        <w:rPr>
          <w:rFonts w:ascii="Bookman Old Style" w:hAnsi="Bookman Old Style"/>
          <w:sz w:val="24"/>
          <w:szCs w:val="24"/>
          <w:lang w:val="en-US"/>
        </w:rPr>
        <w:t>Tangerang</w:t>
      </w:r>
      <w:r w:rsidR="00A954D0">
        <w:rPr>
          <w:rFonts w:ascii="Bookman Old Style" w:hAnsi="Bookman Old Style"/>
          <w:sz w:val="24"/>
          <w:szCs w:val="24"/>
        </w:rPr>
        <w:t xml:space="preserve"> </w:t>
      </w:r>
      <w:r w:rsidRPr="00DA2563">
        <w:rPr>
          <w:rFonts w:ascii="Bookman Old Style" w:hAnsi="Bookman Old Style"/>
          <w:sz w:val="24"/>
          <w:szCs w:val="24"/>
        </w:rPr>
        <w:t>tentang</w:t>
      </w:r>
      <w:r w:rsidR="00A954D0">
        <w:rPr>
          <w:rFonts w:ascii="Bookman Old Style" w:hAnsi="Bookman Old Style"/>
          <w:sz w:val="24"/>
          <w:szCs w:val="24"/>
        </w:rPr>
        <w:t xml:space="preserve"> </w:t>
      </w:r>
      <w:r w:rsidRPr="00DA2563">
        <w:rPr>
          <w:rFonts w:ascii="Bookman Old Style" w:hAnsi="Bookman Old Style"/>
          <w:sz w:val="24"/>
          <w:szCs w:val="24"/>
        </w:rPr>
        <w:t>APBD</w:t>
      </w:r>
      <w:r w:rsidR="00A954D0">
        <w:rPr>
          <w:rFonts w:ascii="Bookman Old Style" w:hAnsi="Bookman Old Style"/>
          <w:sz w:val="24"/>
          <w:szCs w:val="24"/>
        </w:rPr>
        <w:t xml:space="preserve"> </w:t>
      </w:r>
      <w:r w:rsidRPr="00DA2563">
        <w:rPr>
          <w:rFonts w:ascii="Bookman Old Style" w:hAnsi="Bookman Old Style"/>
          <w:sz w:val="24"/>
          <w:szCs w:val="24"/>
        </w:rPr>
        <w:t>Tahun</w:t>
      </w:r>
      <w:r w:rsidR="00A954D0">
        <w:rPr>
          <w:rFonts w:ascii="Bookman Old Style" w:hAnsi="Bookman Old Style"/>
          <w:sz w:val="24"/>
          <w:szCs w:val="24"/>
        </w:rPr>
        <w:t xml:space="preserve"> </w:t>
      </w:r>
      <w:r w:rsidRPr="00DA2563">
        <w:rPr>
          <w:rFonts w:ascii="Bookman Old Style" w:hAnsi="Bookman Old Style"/>
          <w:sz w:val="24"/>
          <w:szCs w:val="24"/>
        </w:rPr>
        <w:t>Anggaran</w:t>
      </w:r>
      <w:r w:rsidR="00A954D0">
        <w:rPr>
          <w:rFonts w:ascii="Bookman Old Style" w:hAnsi="Bookman Old Style"/>
          <w:sz w:val="24"/>
          <w:szCs w:val="24"/>
        </w:rPr>
        <w:t xml:space="preserve"> </w:t>
      </w:r>
      <w:r w:rsidRPr="00DA2563">
        <w:rPr>
          <w:rFonts w:ascii="Bookman Old Style" w:hAnsi="Bookman Old Style"/>
          <w:sz w:val="24"/>
          <w:szCs w:val="24"/>
        </w:rPr>
        <w:t>2025</w:t>
      </w:r>
      <w:r w:rsidR="00A954D0">
        <w:rPr>
          <w:rFonts w:ascii="Bookman Old Style" w:hAnsi="Bookman Old Style"/>
          <w:sz w:val="24"/>
          <w:szCs w:val="24"/>
        </w:rPr>
        <w:t xml:space="preserve"> </w:t>
      </w:r>
      <w:r w:rsidR="002B2C74">
        <w:rPr>
          <w:rFonts w:ascii="Bookman Old Style" w:hAnsi="Bookman Old Style"/>
          <w:sz w:val="24"/>
          <w:szCs w:val="24"/>
        </w:rPr>
        <w:t>yang</w:t>
      </w:r>
      <w:r w:rsidR="00A954D0">
        <w:rPr>
          <w:rFonts w:ascii="Bookman Old Style" w:hAnsi="Bookman Old Style"/>
          <w:sz w:val="24"/>
          <w:szCs w:val="24"/>
        </w:rPr>
        <w:t xml:space="preserve"> </w:t>
      </w:r>
      <w:r w:rsidR="002B2C74">
        <w:rPr>
          <w:rFonts w:ascii="Bookman Old Style" w:hAnsi="Bookman Old Style"/>
          <w:sz w:val="24"/>
          <w:szCs w:val="24"/>
        </w:rPr>
        <w:t>diuraikan</w:t>
      </w:r>
      <w:r w:rsidR="00A954D0">
        <w:rPr>
          <w:rFonts w:ascii="Bookman Old Style" w:hAnsi="Bookman Old Style"/>
          <w:sz w:val="24"/>
          <w:szCs w:val="24"/>
        </w:rPr>
        <w:t xml:space="preserve"> </w:t>
      </w:r>
      <w:r w:rsidR="002B2C74">
        <w:rPr>
          <w:rFonts w:ascii="Bookman Old Style" w:hAnsi="Bookman Old Style"/>
          <w:sz w:val="24"/>
          <w:szCs w:val="24"/>
        </w:rPr>
        <w:t>dalam</w:t>
      </w:r>
      <w:r w:rsidR="00A954D0">
        <w:rPr>
          <w:rFonts w:ascii="Bookman Old Style" w:hAnsi="Bookman Old Style"/>
          <w:sz w:val="24"/>
          <w:szCs w:val="24"/>
        </w:rPr>
        <w:t xml:space="preserve"> </w:t>
      </w:r>
      <w:r w:rsidR="002B2C74" w:rsidRPr="008174DB">
        <w:rPr>
          <w:rFonts w:ascii="Bookman Old Style" w:hAnsi="Bookman Old Style"/>
          <w:sz w:val="24"/>
          <w:szCs w:val="24"/>
        </w:rPr>
        <w:t>objek</w:t>
      </w:r>
      <w:r w:rsidR="00A954D0">
        <w:rPr>
          <w:rFonts w:ascii="Bookman Old Style" w:hAnsi="Bookman Old Style"/>
          <w:sz w:val="24"/>
          <w:szCs w:val="24"/>
          <w:lang w:val="id-ID"/>
        </w:rPr>
        <w:t xml:space="preserve"> </w:t>
      </w:r>
      <w:r w:rsidR="002B2C74" w:rsidRPr="008174DB">
        <w:rPr>
          <w:rFonts w:ascii="Bookman Old Style" w:hAnsi="Bookman Old Style"/>
          <w:sz w:val="24"/>
          <w:szCs w:val="24"/>
          <w:lang w:val="id-ID"/>
        </w:rPr>
        <w:t>Belanja</w:t>
      </w:r>
      <w:r w:rsidR="00A954D0">
        <w:rPr>
          <w:rFonts w:ascii="Bookman Old Style" w:hAnsi="Bookman Old Style"/>
          <w:sz w:val="24"/>
          <w:szCs w:val="24"/>
          <w:lang w:val="id-ID"/>
        </w:rPr>
        <w:t xml:space="preserve"> </w:t>
      </w:r>
      <w:r w:rsidR="002B2C74" w:rsidRPr="008174DB">
        <w:rPr>
          <w:rFonts w:ascii="Bookman Old Style" w:hAnsi="Bookman Old Style"/>
          <w:sz w:val="24"/>
          <w:szCs w:val="24"/>
          <w:lang w:val="id-ID"/>
        </w:rPr>
        <w:t>Bantuan</w:t>
      </w:r>
      <w:r w:rsidR="00A954D0">
        <w:rPr>
          <w:rFonts w:ascii="Bookman Old Style" w:hAnsi="Bookman Old Style"/>
          <w:sz w:val="24"/>
          <w:szCs w:val="24"/>
          <w:lang w:val="id-ID"/>
        </w:rPr>
        <w:t xml:space="preserve"> </w:t>
      </w:r>
      <w:r w:rsidR="002B2C74" w:rsidRPr="008174DB">
        <w:rPr>
          <w:rFonts w:ascii="Bookman Old Style" w:hAnsi="Bookman Old Style"/>
          <w:sz w:val="24"/>
          <w:szCs w:val="24"/>
          <w:lang w:val="id-ID"/>
        </w:rPr>
        <w:t>Sosial</w:t>
      </w:r>
      <w:r w:rsidR="00A954D0">
        <w:rPr>
          <w:rFonts w:ascii="Bookman Old Style" w:hAnsi="Bookman Old Style"/>
          <w:sz w:val="24"/>
          <w:szCs w:val="24"/>
          <w:lang w:val="id-ID"/>
        </w:rPr>
        <w:t xml:space="preserve"> </w:t>
      </w:r>
      <w:r w:rsidR="002B2C74" w:rsidRPr="008174DB">
        <w:rPr>
          <w:rFonts w:ascii="Bookman Old Style" w:hAnsi="Bookman Old Style"/>
          <w:sz w:val="24"/>
          <w:szCs w:val="24"/>
          <w:lang w:val="id-ID"/>
        </w:rPr>
        <w:t>kepada</w:t>
      </w:r>
      <w:r w:rsidR="00A954D0">
        <w:rPr>
          <w:rFonts w:ascii="Bookman Old Style" w:hAnsi="Bookman Old Style"/>
          <w:sz w:val="24"/>
          <w:szCs w:val="24"/>
          <w:lang w:val="id-ID"/>
        </w:rPr>
        <w:t xml:space="preserve"> </w:t>
      </w:r>
      <w:r w:rsidR="002B2C74" w:rsidRPr="008174DB">
        <w:rPr>
          <w:rFonts w:ascii="Bookman Old Style" w:hAnsi="Bookman Old Style"/>
          <w:sz w:val="24"/>
          <w:szCs w:val="24"/>
          <w:lang w:val="id-ID"/>
        </w:rPr>
        <w:t>Individu</w:t>
      </w:r>
      <w:r w:rsidR="00F810A6">
        <w:rPr>
          <w:rFonts w:ascii="Bookman Old Style" w:hAnsi="Bookman Old Style"/>
          <w:sz w:val="24"/>
          <w:szCs w:val="24"/>
          <w:lang w:val="id-ID"/>
        </w:rPr>
        <w:t>,</w:t>
      </w:r>
      <w:r w:rsidR="00A954D0">
        <w:rPr>
          <w:rFonts w:ascii="Bookman Old Style" w:hAnsi="Bookman Old Style"/>
          <w:sz w:val="24"/>
          <w:szCs w:val="24"/>
          <w:lang w:val="id-ID"/>
        </w:rPr>
        <w:t xml:space="preserve"> </w:t>
      </w:r>
      <w:r w:rsidR="00F810A6" w:rsidRPr="00D167B7">
        <w:rPr>
          <w:rFonts w:ascii="Bookman Old Style" w:hAnsi="Bookman Old Style" w:cs="Arial"/>
          <w:sz w:val="24"/>
          <w:szCs w:val="24"/>
          <w:lang w:val="en-US"/>
        </w:rPr>
        <w:t>rincian</w:t>
      </w:r>
      <w:r w:rsidR="00A954D0">
        <w:rPr>
          <w:rFonts w:ascii="Bookman Old Style" w:hAnsi="Bookman Old Style" w:cs="Arial"/>
          <w:sz w:val="24"/>
          <w:szCs w:val="24"/>
          <w:lang w:val="en-US"/>
        </w:rPr>
        <w:t xml:space="preserve"> </w:t>
      </w:r>
      <w:r w:rsidR="00F810A6" w:rsidRPr="00D167B7">
        <w:rPr>
          <w:rFonts w:ascii="Bookman Old Style" w:hAnsi="Bookman Old Style" w:cs="Arial"/>
          <w:sz w:val="24"/>
          <w:szCs w:val="24"/>
          <w:lang w:val="en-US"/>
        </w:rPr>
        <w:t>objek</w:t>
      </w:r>
      <w:r w:rsidR="00A954D0">
        <w:rPr>
          <w:rFonts w:ascii="Bookman Old Style" w:hAnsi="Bookman Old Style" w:cs="Arial"/>
          <w:sz w:val="24"/>
          <w:szCs w:val="24"/>
          <w:lang w:val="en-US"/>
        </w:rPr>
        <w:t xml:space="preserve"> </w:t>
      </w:r>
      <w:r w:rsidR="00F810A6" w:rsidRPr="00D167B7">
        <w:rPr>
          <w:rFonts w:ascii="Bookman Old Style" w:hAnsi="Bookman Old Style"/>
          <w:sz w:val="24"/>
          <w:szCs w:val="24"/>
          <w:lang w:val="id-ID"/>
        </w:rPr>
        <w:t>Belanja</w:t>
      </w:r>
      <w:r w:rsidR="00A954D0">
        <w:rPr>
          <w:rFonts w:ascii="Bookman Old Style" w:hAnsi="Bookman Old Style"/>
          <w:sz w:val="24"/>
          <w:szCs w:val="24"/>
          <w:lang w:val="id-ID"/>
        </w:rPr>
        <w:t xml:space="preserve"> </w:t>
      </w:r>
      <w:r w:rsidR="00F810A6" w:rsidRPr="00D167B7">
        <w:rPr>
          <w:rFonts w:ascii="Bookman Old Style" w:hAnsi="Bookman Old Style"/>
          <w:sz w:val="24"/>
          <w:szCs w:val="24"/>
          <w:lang w:val="id-ID"/>
        </w:rPr>
        <w:t>Bantuan</w:t>
      </w:r>
      <w:r w:rsidR="00A954D0">
        <w:rPr>
          <w:rFonts w:ascii="Bookman Old Style" w:hAnsi="Bookman Old Style"/>
          <w:sz w:val="24"/>
          <w:szCs w:val="24"/>
          <w:lang w:val="id-ID"/>
        </w:rPr>
        <w:t xml:space="preserve"> </w:t>
      </w:r>
      <w:r w:rsidR="00F810A6" w:rsidRPr="00D167B7">
        <w:rPr>
          <w:rFonts w:ascii="Bookman Old Style" w:hAnsi="Bookman Old Style"/>
          <w:sz w:val="24"/>
          <w:szCs w:val="24"/>
          <w:lang w:val="id-ID"/>
        </w:rPr>
        <w:t>Sosial</w:t>
      </w:r>
      <w:r w:rsidR="00A954D0">
        <w:rPr>
          <w:rFonts w:ascii="Bookman Old Style" w:hAnsi="Bookman Old Style"/>
          <w:sz w:val="24"/>
          <w:szCs w:val="24"/>
          <w:lang w:val="id-ID"/>
        </w:rPr>
        <w:t xml:space="preserve"> </w:t>
      </w:r>
      <w:r w:rsidR="00F810A6" w:rsidRPr="00D167B7">
        <w:rPr>
          <w:rFonts w:ascii="Bookman Old Style" w:hAnsi="Bookman Old Style"/>
          <w:sz w:val="24"/>
          <w:szCs w:val="24"/>
          <w:lang w:val="id-ID"/>
        </w:rPr>
        <w:t>Uang</w:t>
      </w:r>
      <w:r w:rsidR="00A954D0">
        <w:rPr>
          <w:rFonts w:ascii="Bookman Old Style" w:hAnsi="Bookman Old Style"/>
          <w:sz w:val="24"/>
          <w:szCs w:val="24"/>
          <w:lang w:val="id-ID"/>
        </w:rPr>
        <w:t xml:space="preserve"> </w:t>
      </w:r>
      <w:r w:rsidR="00F810A6" w:rsidRPr="00D167B7">
        <w:rPr>
          <w:rFonts w:ascii="Bookman Old Style" w:hAnsi="Bookman Old Style"/>
          <w:sz w:val="24"/>
          <w:szCs w:val="24"/>
          <w:lang w:val="id-ID"/>
        </w:rPr>
        <w:t>yang</w:t>
      </w:r>
      <w:r w:rsidR="00A954D0">
        <w:rPr>
          <w:rFonts w:ascii="Bookman Old Style" w:hAnsi="Bookman Old Style"/>
          <w:sz w:val="24"/>
          <w:szCs w:val="24"/>
          <w:lang w:val="id-ID"/>
        </w:rPr>
        <w:t xml:space="preserve"> </w:t>
      </w:r>
      <w:r w:rsidR="00F810A6" w:rsidRPr="00D167B7">
        <w:rPr>
          <w:rFonts w:ascii="Bookman Old Style" w:hAnsi="Bookman Old Style"/>
          <w:sz w:val="24"/>
          <w:szCs w:val="24"/>
          <w:lang w:val="id-ID"/>
        </w:rPr>
        <w:t>direncanakan</w:t>
      </w:r>
      <w:r w:rsidR="00A954D0">
        <w:rPr>
          <w:rFonts w:ascii="Bookman Old Style" w:hAnsi="Bookman Old Style"/>
          <w:sz w:val="24"/>
          <w:szCs w:val="24"/>
          <w:lang w:val="id-ID"/>
        </w:rPr>
        <w:t xml:space="preserve"> </w:t>
      </w:r>
      <w:r w:rsidR="00F810A6" w:rsidRPr="00D167B7">
        <w:rPr>
          <w:rFonts w:ascii="Bookman Old Style" w:hAnsi="Bookman Old Style"/>
          <w:sz w:val="24"/>
          <w:szCs w:val="24"/>
          <w:lang w:val="id-ID"/>
        </w:rPr>
        <w:t>kepada</w:t>
      </w:r>
      <w:r w:rsidR="00A954D0">
        <w:rPr>
          <w:rFonts w:ascii="Bookman Old Style" w:hAnsi="Bookman Old Style"/>
          <w:sz w:val="24"/>
          <w:szCs w:val="24"/>
          <w:lang w:val="id-ID"/>
        </w:rPr>
        <w:t xml:space="preserve"> </w:t>
      </w:r>
      <w:r w:rsidR="00F810A6" w:rsidRPr="00D167B7">
        <w:rPr>
          <w:rFonts w:ascii="Bookman Old Style" w:hAnsi="Bookman Old Style"/>
          <w:sz w:val="24"/>
          <w:szCs w:val="24"/>
          <w:lang w:val="id-ID"/>
        </w:rPr>
        <w:t>Individ</w:t>
      </w:r>
      <w:r w:rsidR="00F810A6" w:rsidRPr="00D167B7">
        <w:rPr>
          <w:rFonts w:ascii="Bookman Old Style" w:hAnsi="Bookman Old Style"/>
          <w:sz w:val="24"/>
          <w:szCs w:val="24"/>
          <w:lang w:val="en-US"/>
        </w:rPr>
        <w:t>u</w:t>
      </w:r>
      <w:r w:rsidR="00A954D0">
        <w:rPr>
          <w:rFonts w:ascii="Bookman Old Style" w:hAnsi="Bookman Old Style"/>
          <w:sz w:val="24"/>
          <w:szCs w:val="24"/>
          <w:lang w:val="en-US"/>
        </w:rPr>
        <w:t xml:space="preserve"> </w:t>
      </w:r>
      <w:r w:rsidR="00F810A6" w:rsidRPr="00D167B7">
        <w:rPr>
          <w:rFonts w:ascii="Bookman Old Style" w:hAnsi="Bookman Old Style"/>
          <w:sz w:val="24"/>
          <w:szCs w:val="24"/>
          <w:lang w:val="en-US"/>
        </w:rPr>
        <w:t>dan</w:t>
      </w:r>
      <w:r w:rsidR="00A954D0">
        <w:rPr>
          <w:rFonts w:ascii="Bookman Old Style" w:hAnsi="Bookman Old Style"/>
          <w:sz w:val="24"/>
          <w:szCs w:val="24"/>
          <w:lang w:val="en-US"/>
        </w:rPr>
        <w:t xml:space="preserve"> </w:t>
      </w:r>
      <w:r w:rsidR="00F810A6">
        <w:rPr>
          <w:rFonts w:ascii="Bookman Old Style" w:hAnsi="Bookman Old Style"/>
          <w:sz w:val="24"/>
          <w:szCs w:val="24"/>
          <w:lang w:val="en-US"/>
        </w:rPr>
        <w:t>sub</w:t>
      </w:r>
      <w:r w:rsidR="00A954D0">
        <w:rPr>
          <w:rFonts w:ascii="Bookman Old Style" w:hAnsi="Bookman Old Style"/>
          <w:sz w:val="24"/>
          <w:szCs w:val="24"/>
          <w:lang w:val="en-US"/>
        </w:rPr>
        <w:t xml:space="preserve"> </w:t>
      </w:r>
      <w:r w:rsidR="00F810A6" w:rsidRPr="00D167B7">
        <w:rPr>
          <w:rFonts w:ascii="Bookman Old Style" w:hAnsi="Bookman Old Style" w:cs="Arial"/>
          <w:sz w:val="24"/>
          <w:szCs w:val="24"/>
          <w:lang w:val="en-US"/>
        </w:rPr>
        <w:t>rincian</w:t>
      </w:r>
      <w:r w:rsidR="00A954D0">
        <w:rPr>
          <w:rFonts w:ascii="Bookman Old Style" w:hAnsi="Bookman Old Style" w:cs="Arial"/>
          <w:sz w:val="24"/>
          <w:szCs w:val="24"/>
          <w:lang w:val="en-US"/>
        </w:rPr>
        <w:t xml:space="preserve"> </w:t>
      </w:r>
      <w:r w:rsidR="00F810A6" w:rsidRPr="00D167B7">
        <w:rPr>
          <w:rFonts w:ascii="Bookman Old Style" w:hAnsi="Bookman Old Style" w:cs="Arial"/>
          <w:sz w:val="24"/>
          <w:szCs w:val="24"/>
          <w:lang w:val="en-US"/>
        </w:rPr>
        <w:t>objek</w:t>
      </w:r>
      <w:r w:rsidR="00A954D0">
        <w:rPr>
          <w:rFonts w:ascii="Bookman Old Style" w:hAnsi="Bookman Old Style" w:cs="Arial"/>
          <w:sz w:val="24"/>
          <w:szCs w:val="24"/>
          <w:lang w:val="en-US"/>
        </w:rPr>
        <w:t xml:space="preserve"> </w:t>
      </w:r>
      <w:r w:rsidR="00F810A6" w:rsidRPr="00D167B7">
        <w:rPr>
          <w:rFonts w:ascii="Bookman Old Style" w:hAnsi="Bookman Old Style" w:cs="Arial"/>
          <w:sz w:val="24"/>
          <w:szCs w:val="24"/>
          <w:lang w:val="en-US"/>
        </w:rPr>
        <w:t>belanja</w:t>
      </w:r>
      <w:r w:rsidR="00A954D0">
        <w:rPr>
          <w:rFonts w:ascii="Bookman Old Style" w:hAnsi="Bookman Old Style" w:cs="Arial"/>
          <w:sz w:val="24"/>
          <w:szCs w:val="24"/>
          <w:lang w:val="en-US"/>
        </w:rPr>
        <w:t xml:space="preserve"> </w:t>
      </w:r>
      <w:r w:rsidR="00F810A6" w:rsidRPr="00D167B7">
        <w:rPr>
          <w:rFonts w:ascii="Bookman Old Style" w:hAnsi="Bookman Old Style"/>
          <w:sz w:val="24"/>
          <w:szCs w:val="24"/>
          <w:lang w:val="id-ID"/>
        </w:rPr>
        <w:t>Belanja</w:t>
      </w:r>
      <w:r w:rsidR="00A954D0">
        <w:rPr>
          <w:rFonts w:ascii="Bookman Old Style" w:hAnsi="Bookman Old Style"/>
          <w:sz w:val="24"/>
          <w:szCs w:val="24"/>
          <w:lang w:val="id-ID"/>
        </w:rPr>
        <w:t xml:space="preserve"> </w:t>
      </w:r>
      <w:r w:rsidR="00F810A6" w:rsidRPr="00D167B7">
        <w:rPr>
          <w:rFonts w:ascii="Bookman Old Style" w:hAnsi="Bookman Old Style"/>
          <w:sz w:val="24"/>
          <w:szCs w:val="24"/>
          <w:lang w:val="id-ID"/>
        </w:rPr>
        <w:t>Bantuan</w:t>
      </w:r>
      <w:r w:rsidR="00A954D0">
        <w:rPr>
          <w:rFonts w:ascii="Bookman Old Style" w:hAnsi="Bookman Old Style"/>
          <w:sz w:val="24"/>
          <w:szCs w:val="24"/>
          <w:lang w:val="id-ID"/>
        </w:rPr>
        <w:t xml:space="preserve"> </w:t>
      </w:r>
      <w:r w:rsidR="00F810A6" w:rsidRPr="00D167B7">
        <w:rPr>
          <w:rFonts w:ascii="Bookman Old Style" w:hAnsi="Bookman Old Style"/>
          <w:sz w:val="24"/>
          <w:szCs w:val="24"/>
          <w:lang w:val="id-ID"/>
        </w:rPr>
        <w:t>Sosial</w:t>
      </w:r>
      <w:r w:rsidR="00A954D0">
        <w:rPr>
          <w:rFonts w:ascii="Bookman Old Style" w:hAnsi="Bookman Old Style"/>
          <w:sz w:val="24"/>
          <w:szCs w:val="24"/>
          <w:lang w:val="id-ID"/>
        </w:rPr>
        <w:t xml:space="preserve"> </w:t>
      </w:r>
      <w:r w:rsidR="00F810A6" w:rsidRPr="00D167B7">
        <w:rPr>
          <w:rFonts w:ascii="Bookman Old Style" w:hAnsi="Bookman Old Style"/>
          <w:sz w:val="24"/>
          <w:szCs w:val="24"/>
          <w:lang w:val="id-ID"/>
        </w:rPr>
        <w:t>Uang</w:t>
      </w:r>
      <w:r w:rsidR="00A954D0">
        <w:rPr>
          <w:rFonts w:ascii="Bookman Old Style" w:hAnsi="Bookman Old Style"/>
          <w:sz w:val="24"/>
          <w:szCs w:val="24"/>
          <w:lang w:val="id-ID"/>
        </w:rPr>
        <w:t xml:space="preserve"> </w:t>
      </w:r>
      <w:r w:rsidR="00F810A6" w:rsidRPr="00D167B7">
        <w:rPr>
          <w:rFonts w:ascii="Bookman Old Style" w:hAnsi="Bookman Old Style"/>
          <w:sz w:val="24"/>
          <w:szCs w:val="24"/>
          <w:lang w:val="id-ID"/>
        </w:rPr>
        <w:t>yang</w:t>
      </w:r>
      <w:r w:rsidR="00A954D0">
        <w:rPr>
          <w:rFonts w:ascii="Bookman Old Style" w:hAnsi="Bookman Old Style"/>
          <w:sz w:val="24"/>
          <w:szCs w:val="24"/>
          <w:lang w:val="id-ID"/>
        </w:rPr>
        <w:t xml:space="preserve"> </w:t>
      </w:r>
      <w:r w:rsidR="00F810A6" w:rsidRPr="00D167B7">
        <w:rPr>
          <w:rFonts w:ascii="Bookman Old Style" w:hAnsi="Bookman Old Style"/>
          <w:sz w:val="24"/>
          <w:szCs w:val="24"/>
          <w:lang w:val="id-ID"/>
        </w:rPr>
        <w:t>Direncanakan</w:t>
      </w:r>
      <w:r w:rsidR="00A954D0">
        <w:rPr>
          <w:rFonts w:ascii="Bookman Old Style" w:hAnsi="Bookman Old Style"/>
          <w:sz w:val="24"/>
          <w:szCs w:val="24"/>
          <w:lang w:val="id-ID"/>
        </w:rPr>
        <w:t xml:space="preserve"> </w:t>
      </w:r>
      <w:r w:rsidR="00F810A6" w:rsidRPr="00D167B7">
        <w:rPr>
          <w:rFonts w:ascii="Bookman Old Style" w:hAnsi="Bookman Old Style"/>
          <w:sz w:val="24"/>
          <w:szCs w:val="24"/>
          <w:lang w:val="id-ID"/>
        </w:rPr>
        <w:t>kepada</w:t>
      </w:r>
      <w:r w:rsidR="00A954D0">
        <w:rPr>
          <w:rFonts w:ascii="Bookman Old Style" w:hAnsi="Bookman Old Style"/>
          <w:sz w:val="24"/>
          <w:szCs w:val="24"/>
          <w:lang w:val="id-ID"/>
        </w:rPr>
        <w:t xml:space="preserve"> </w:t>
      </w:r>
      <w:r w:rsidR="00F810A6" w:rsidRPr="00D167B7">
        <w:rPr>
          <w:rFonts w:ascii="Bookman Old Style" w:hAnsi="Bookman Old Style"/>
          <w:sz w:val="24"/>
          <w:szCs w:val="24"/>
          <w:lang w:val="id-ID"/>
        </w:rPr>
        <w:t>Individu</w:t>
      </w:r>
      <w:r w:rsidR="00BA1DE0">
        <w:rPr>
          <w:rFonts w:ascii="Bookman Old Style" w:hAnsi="Bookman Old Style"/>
          <w:sz w:val="24"/>
          <w:szCs w:val="24"/>
          <w:lang w:val="id-ID"/>
        </w:rPr>
        <w:t>.</w:t>
      </w:r>
      <w:r w:rsidR="00A954D0">
        <w:rPr>
          <w:rFonts w:ascii="Bookman Old Style" w:hAnsi="Bookman Old Style"/>
          <w:sz w:val="24"/>
          <w:szCs w:val="24"/>
          <w:lang w:val="en-US"/>
        </w:rPr>
        <w:t xml:space="preserve"> </w:t>
      </w:r>
      <w:r w:rsidR="00BA1DE0" w:rsidRPr="003255BC">
        <w:rPr>
          <w:rFonts w:ascii="Bookman Old Style" w:hAnsi="Bookman Old Style"/>
          <w:sz w:val="24"/>
          <w:szCs w:val="24"/>
          <w:lang w:val="sv-FI"/>
        </w:rPr>
        <w:t>Tren</w:t>
      </w:r>
      <w:r w:rsidR="00A954D0" w:rsidRPr="003255BC">
        <w:rPr>
          <w:rFonts w:ascii="Bookman Old Style" w:hAnsi="Bookman Old Style"/>
          <w:sz w:val="24"/>
          <w:szCs w:val="24"/>
          <w:lang w:val="sv-FI"/>
        </w:rPr>
        <w:t xml:space="preserve"> </w:t>
      </w:r>
      <w:r w:rsidR="00BA1DE0" w:rsidRPr="003255BC">
        <w:rPr>
          <w:rFonts w:ascii="Bookman Old Style" w:hAnsi="Bookman Old Style"/>
          <w:sz w:val="24"/>
          <w:szCs w:val="24"/>
          <w:lang w:val="sv-FI"/>
        </w:rPr>
        <w:t>anggaran</w:t>
      </w:r>
      <w:r w:rsidR="00A954D0" w:rsidRPr="003255BC">
        <w:rPr>
          <w:rFonts w:ascii="Bookman Old Style" w:hAnsi="Bookman Old Style"/>
          <w:sz w:val="24"/>
          <w:szCs w:val="24"/>
          <w:lang w:val="sv-FI"/>
        </w:rPr>
        <w:t xml:space="preserve"> </w:t>
      </w:r>
      <w:r w:rsidR="00BA1DE0" w:rsidRPr="003255BC">
        <w:rPr>
          <w:rFonts w:ascii="Bookman Old Style" w:hAnsi="Bookman Old Style"/>
          <w:sz w:val="24"/>
          <w:szCs w:val="24"/>
          <w:lang w:val="sv-FI"/>
        </w:rPr>
        <w:t>dan</w:t>
      </w:r>
      <w:r w:rsidR="00A954D0" w:rsidRPr="003255BC">
        <w:rPr>
          <w:rFonts w:ascii="Bookman Old Style" w:hAnsi="Bookman Old Style"/>
          <w:sz w:val="24"/>
          <w:szCs w:val="24"/>
          <w:lang w:val="sv-FI"/>
        </w:rPr>
        <w:t xml:space="preserve"> </w:t>
      </w:r>
      <w:r w:rsidR="00BA1DE0" w:rsidRPr="003255BC">
        <w:rPr>
          <w:rFonts w:ascii="Bookman Old Style" w:hAnsi="Bookman Old Style"/>
          <w:sz w:val="24"/>
          <w:szCs w:val="24"/>
          <w:lang w:val="sv-FI"/>
        </w:rPr>
        <w:t>realisasi</w:t>
      </w:r>
      <w:r w:rsidR="00A954D0" w:rsidRPr="003255BC">
        <w:rPr>
          <w:rFonts w:ascii="Bookman Old Style" w:hAnsi="Bookman Old Style"/>
          <w:sz w:val="24"/>
          <w:szCs w:val="24"/>
          <w:lang w:val="sv-FI"/>
        </w:rPr>
        <w:t xml:space="preserve"> </w:t>
      </w:r>
      <w:r w:rsidR="00BA1DE0" w:rsidRPr="003255BC">
        <w:rPr>
          <w:rFonts w:ascii="Bookman Old Style" w:hAnsi="Bookman Old Style"/>
          <w:sz w:val="24"/>
          <w:szCs w:val="24"/>
          <w:lang w:val="sv-FI"/>
        </w:rPr>
        <w:t>belanja</w:t>
      </w:r>
      <w:r w:rsidR="00A954D0" w:rsidRPr="003255BC">
        <w:rPr>
          <w:rFonts w:ascii="Bookman Old Style" w:hAnsi="Bookman Old Style"/>
          <w:sz w:val="24"/>
          <w:szCs w:val="24"/>
          <w:lang w:val="sv-FI"/>
        </w:rPr>
        <w:t xml:space="preserve"> </w:t>
      </w:r>
      <w:r w:rsidR="00BA1DE0" w:rsidRPr="003255BC">
        <w:rPr>
          <w:rFonts w:ascii="Bookman Old Style" w:hAnsi="Bookman Old Style"/>
          <w:sz w:val="24"/>
          <w:szCs w:val="24"/>
          <w:lang w:val="sv-FI"/>
        </w:rPr>
        <w:t>bantuan</w:t>
      </w:r>
      <w:r w:rsidR="00A954D0" w:rsidRPr="003255BC">
        <w:rPr>
          <w:rFonts w:ascii="Bookman Old Style" w:hAnsi="Bookman Old Style"/>
          <w:sz w:val="24"/>
          <w:szCs w:val="24"/>
          <w:lang w:val="sv-FI"/>
        </w:rPr>
        <w:t xml:space="preserve"> </w:t>
      </w:r>
      <w:r w:rsidR="00BA1DE0" w:rsidRPr="003255BC">
        <w:rPr>
          <w:rFonts w:ascii="Bookman Old Style" w:hAnsi="Bookman Old Style"/>
          <w:sz w:val="24"/>
          <w:szCs w:val="24"/>
          <w:lang w:val="sv-FI"/>
        </w:rPr>
        <w:t>sosial</w:t>
      </w:r>
      <w:r w:rsidR="00A954D0" w:rsidRPr="003255BC">
        <w:rPr>
          <w:rFonts w:ascii="Bookman Old Style" w:hAnsi="Bookman Old Style"/>
          <w:sz w:val="24"/>
          <w:szCs w:val="24"/>
          <w:lang w:val="sv-FI"/>
        </w:rPr>
        <w:t xml:space="preserve"> </w:t>
      </w:r>
      <w:r w:rsidR="00BA1DE0" w:rsidRPr="003255BC">
        <w:rPr>
          <w:rFonts w:ascii="Bookman Old Style" w:hAnsi="Bookman Old Style"/>
          <w:sz w:val="24"/>
          <w:szCs w:val="24"/>
          <w:lang w:val="sv-FI"/>
        </w:rPr>
        <w:t>terhadap</w:t>
      </w:r>
      <w:r w:rsidR="00A954D0" w:rsidRPr="003255BC">
        <w:rPr>
          <w:rFonts w:ascii="Bookman Old Style" w:hAnsi="Bookman Old Style"/>
          <w:sz w:val="24"/>
          <w:szCs w:val="24"/>
          <w:lang w:val="sv-FI"/>
        </w:rPr>
        <w:t xml:space="preserve"> </w:t>
      </w:r>
      <w:r w:rsidR="00BA1DE0" w:rsidRPr="003255BC">
        <w:rPr>
          <w:rFonts w:ascii="Bookman Old Style" w:hAnsi="Bookman Old Style"/>
          <w:sz w:val="24"/>
          <w:szCs w:val="24"/>
          <w:lang w:val="sv-FI"/>
        </w:rPr>
        <w:t>belanja</w:t>
      </w:r>
      <w:r w:rsidR="00A954D0" w:rsidRPr="003255BC">
        <w:rPr>
          <w:rFonts w:ascii="Bookman Old Style" w:hAnsi="Bookman Old Style"/>
          <w:sz w:val="24"/>
          <w:szCs w:val="24"/>
          <w:lang w:val="sv-FI"/>
        </w:rPr>
        <w:t xml:space="preserve"> </w:t>
      </w:r>
      <w:r w:rsidR="00BA1DE0" w:rsidRPr="003255BC">
        <w:rPr>
          <w:rFonts w:ascii="Bookman Old Style" w:hAnsi="Bookman Old Style"/>
          <w:sz w:val="24"/>
          <w:szCs w:val="24"/>
          <w:lang w:val="sv-FI"/>
        </w:rPr>
        <w:t>daerah</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sebagaimana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Tabel</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2</w:t>
      </w:r>
      <w:r w:rsidR="00B8428D">
        <w:rPr>
          <w:rFonts w:ascii="Bookman Old Style" w:hAnsi="Bookman Old Style"/>
          <w:sz w:val="24"/>
          <w:szCs w:val="24"/>
          <w:lang w:val="sv-FI"/>
        </w:rPr>
        <w:t>5</w:t>
      </w:r>
      <w:r w:rsidRPr="00DA2563">
        <w:rPr>
          <w:rFonts w:ascii="Bookman Old Style" w:hAnsi="Bookman Old Style"/>
          <w:sz w:val="24"/>
          <w:szCs w:val="24"/>
          <w:lang w:val="id-ID"/>
        </w:rPr>
        <w:t>,</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sebagai</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berikut:</w:t>
      </w:r>
    </w:p>
    <w:p w14:paraId="31FA4308" w14:textId="165F1E24" w:rsidR="00BB2149" w:rsidRPr="003255BC" w:rsidRDefault="00BB2149" w:rsidP="00BB2149">
      <w:pPr>
        <w:pStyle w:val="ListParagraph"/>
        <w:spacing w:before="60" w:after="0" w:line="276" w:lineRule="auto"/>
        <w:ind w:left="1806"/>
        <w:contextualSpacing w:val="0"/>
        <w:jc w:val="center"/>
        <w:rPr>
          <w:rFonts w:ascii="Bookman Old Style" w:hAnsi="Bookman Old Style"/>
          <w:sz w:val="24"/>
          <w:szCs w:val="24"/>
          <w:lang w:val="sv-FI"/>
        </w:rPr>
      </w:pPr>
      <w:r w:rsidRPr="008174DB">
        <w:rPr>
          <w:rFonts w:ascii="Bookman Old Style" w:hAnsi="Bookman Old Style"/>
          <w:sz w:val="24"/>
          <w:szCs w:val="24"/>
        </w:rPr>
        <w:t>Tabel</w:t>
      </w:r>
      <w:r w:rsidR="00A954D0">
        <w:rPr>
          <w:rFonts w:ascii="Bookman Old Style" w:hAnsi="Bookman Old Style"/>
          <w:sz w:val="24"/>
          <w:szCs w:val="24"/>
          <w:lang w:val="id-ID"/>
        </w:rPr>
        <w:t xml:space="preserve"> </w:t>
      </w:r>
      <w:r w:rsidRPr="003255BC">
        <w:rPr>
          <w:rFonts w:ascii="Bookman Old Style" w:hAnsi="Bookman Old Style"/>
          <w:sz w:val="24"/>
          <w:szCs w:val="24"/>
          <w:lang w:val="sv-FI"/>
        </w:rPr>
        <w:t>2</w:t>
      </w:r>
      <w:r w:rsidR="00B8428D">
        <w:rPr>
          <w:rFonts w:ascii="Bookman Old Style" w:hAnsi="Bookman Old Style"/>
          <w:sz w:val="24"/>
          <w:szCs w:val="24"/>
          <w:lang w:val="sv-FI"/>
        </w:rPr>
        <w:t>5</w:t>
      </w:r>
    </w:p>
    <w:p w14:paraId="68EA5355" w14:textId="76DAAB55" w:rsidR="00BB2149" w:rsidRPr="003255BC" w:rsidRDefault="00BB2149" w:rsidP="008174DB">
      <w:pPr>
        <w:pStyle w:val="ListParagraph"/>
        <w:spacing w:after="120" w:line="276" w:lineRule="auto"/>
        <w:ind w:left="1809"/>
        <w:contextualSpacing w:val="0"/>
        <w:jc w:val="center"/>
        <w:rPr>
          <w:rFonts w:ascii="Bookman Old Style" w:hAnsi="Bookman Old Style"/>
          <w:sz w:val="24"/>
          <w:szCs w:val="24"/>
          <w:lang w:val="sv-FI"/>
        </w:rPr>
      </w:pPr>
      <w:r w:rsidRPr="003255BC">
        <w:rPr>
          <w:rFonts w:ascii="Bookman Old Style" w:hAnsi="Bookman Old Style"/>
          <w:sz w:val="24"/>
          <w:szCs w:val="24"/>
          <w:lang w:val="sv-FI"/>
        </w:rPr>
        <w:t>Tren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Belanja</w:t>
      </w:r>
      <w:r w:rsidR="00A954D0" w:rsidRPr="003255BC">
        <w:rPr>
          <w:rFonts w:ascii="Bookman Old Style" w:hAnsi="Bookman Old Style"/>
          <w:sz w:val="24"/>
          <w:szCs w:val="24"/>
          <w:lang w:val="sv-FI"/>
        </w:rPr>
        <w:t xml:space="preserve"> </w:t>
      </w:r>
      <w:r w:rsidRPr="008174DB">
        <w:rPr>
          <w:rFonts w:ascii="Bookman Old Style" w:hAnsi="Bookman Old Style"/>
          <w:sz w:val="24"/>
          <w:szCs w:val="24"/>
        </w:rPr>
        <w:t>Bantuan</w:t>
      </w:r>
      <w:r w:rsidR="00A954D0">
        <w:rPr>
          <w:rFonts w:ascii="Bookman Old Style" w:hAnsi="Bookman Old Style"/>
          <w:sz w:val="24"/>
          <w:szCs w:val="24"/>
        </w:rPr>
        <w:t xml:space="preserve"> </w:t>
      </w:r>
      <w:r w:rsidRPr="008174DB">
        <w:rPr>
          <w:rFonts w:ascii="Bookman Old Style" w:hAnsi="Bookman Old Style"/>
          <w:sz w:val="24"/>
          <w:szCs w:val="24"/>
        </w:rPr>
        <w:t>Sosial</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terhadap</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Belanja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Daerah</w:t>
      </w:r>
    </w:p>
    <w:tbl>
      <w:tblPr>
        <w:tblW w:w="8504" w:type="dxa"/>
        <w:tblInd w:w="421" w:type="dxa"/>
        <w:tblLook w:val="04A0" w:firstRow="1" w:lastRow="0" w:firstColumn="1" w:lastColumn="0" w:noHBand="0" w:noVBand="1"/>
      </w:tblPr>
      <w:tblGrid>
        <w:gridCol w:w="1091"/>
        <w:gridCol w:w="1898"/>
        <w:gridCol w:w="1898"/>
        <w:gridCol w:w="721"/>
        <w:gridCol w:w="2179"/>
        <w:gridCol w:w="717"/>
      </w:tblGrid>
      <w:tr w:rsidR="008174DB" w:rsidRPr="00DD7816" w14:paraId="0D28412C" w14:textId="77777777" w:rsidTr="00B8428D">
        <w:trPr>
          <w:trHeight w:val="54"/>
        </w:trPr>
        <w:tc>
          <w:tcPr>
            <w:tcW w:w="10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BE463" w14:textId="1DC8738C" w:rsidR="00B673C0" w:rsidRPr="00DD7816" w:rsidRDefault="00B673C0" w:rsidP="0023341C">
            <w:pPr>
              <w:jc w:val="center"/>
              <w:rPr>
                <w:rFonts w:ascii="Bookman Old Style" w:hAnsi="Bookman Old Style" w:cs="Calibri"/>
                <w:b/>
                <w:bCs/>
                <w:sz w:val="18"/>
                <w:szCs w:val="18"/>
              </w:rPr>
            </w:pPr>
            <w:r w:rsidRPr="00DD7816">
              <w:rPr>
                <w:rFonts w:ascii="Bookman Old Style" w:hAnsi="Bookman Old Style" w:cs="Calibri"/>
                <w:b/>
                <w:bCs/>
                <w:sz w:val="18"/>
                <w:szCs w:val="18"/>
              </w:rPr>
              <w:t>Tahun</w:t>
            </w:r>
            <w:r w:rsidR="00A954D0">
              <w:rPr>
                <w:rFonts w:ascii="Bookman Old Style" w:hAnsi="Bookman Old Style" w:cs="Calibri"/>
                <w:b/>
                <w:bCs/>
                <w:sz w:val="18"/>
                <w:szCs w:val="18"/>
              </w:rPr>
              <w:t xml:space="preserve"> </w:t>
            </w:r>
            <w:r w:rsidRPr="00DD7816">
              <w:rPr>
                <w:rFonts w:ascii="Bookman Old Style" w:hAnsi="Bookman Old Style" w:cs="Calibri"/>
                <w:b/>
                <w:bCs/>
                <w:sz w:val="18"/>
                <w:szCs w:val="18"/>
              </w:rPr>
              <w:t>Anggaran</w:t>
            </w:r>
          </w:p>
        </w:tc>
        <w:tc>
          <w:tcPr>
            <w:tcW w:w="1898" w:type="dxa"/>
            <w:tcBorders>
              <w:top w:val="single" w:sz="4" w:space="0" w:color="auto"/>
              <w:left w:val="nil"/>
              <w:bottom w:val="single" w:sz="4" w:space="0" w:color="auto"/>
              <w:right w:val="single" w:sz="4" w:space="0" w:color="auto"/>
            </w:tcBorders>
            <w:shd w:val="clear" w:color="auto" w:fill="auto"/>
            <w:vAlign w:val="center"/>
            <w:hideMark/>
          </w:tcPr>
          <w:p w14:paraId="40984F4C" w14:textId="27FFF4AE" w:rsidR="00B673C0" w:rsidRPr="00DD7816" w:rsidRDefault="00B673C0" w:rsidP="0023341C">
            <w:pPr>
              <w:jc w:val="center"/>
              <w:rPr>
                <w:rFonts w:ascii="Bookman Old Style" w:hAnsi="Bookman Old Style" w:cs="Calibri"/>
                <w:b/>
                <w:bCs/>
                <w:sz w:val="18"/>
                <w:szCs w:val="18"/>
              </w:rPr>
            </w:pPr>
            <w:r w:rsidRPr="00DD7816">
              <w:rPr>
                <w:rFonts w:ascii="Bookman Old Style" w:hAnsi="Bookman Old Style" w:cs="Calibri"/>
                <w:b/>
                <w:bCs/>
                <w:sz w:val="18"/>
                <w:szCs w:val="18"/>
              </w:rPr>
              <w:t>Belanja</w:t>
            </w:r>
            <w:r w:rsidR="00A954D0">
              <w:rPr>
                <w:rFonts w:ascii="Bookman Old Style" w:hAnsi="Bookman Old Style" w:cs="Calibri"/>
                <w:b/>
                <w:bCs/>
                <w:sz w:val="18"/>
                <w:szCs w:val="18"/>
              </w:rPr>
              <w:t xml:space="preserve"> </w:t>
            </w:r>
            <w:r w:rsidRPr="00DD7816">
              <w:rPr>
                <w:rFonts w:ascii="Bookman Old Style" w:hAnsi="Bookman Old Style" w:cs="Calibri"/>
                <w:b/>
                <w:bCs/>
                <w:sz w:val="18"/>
                <w:szCs w:val="18"/>
              </w:rPr>
              <w:t>Bantuan</w:t>
            </w:r>
            <w:r w:rsidR="00A954D0">
              <w:rPr>
                <w:rFonts w:ascii="Bookman Old Style" w:hAnsi="Bookman Old Style" w:cs="Calibri"/>
                <w:b/>
                <w:bCs/>
                <w:sz w:val="18"/>
                <w:szCs w:val="18"/>
              </w:rPr>
              <w:t xml:space="preserve"> </w:t>
            </w:r>
            <w:r w:rsidRPr="00DD7816">
              <w:rPr>
                <w:rFonts w:ascii="Bookman Old Style" w:hAnsi="Bookman Old Style" w:cs="Calibri"/>
                <w:b/>
                <w:bCs/>
                <w:sz w:val="18"/>
                <w:szCs w:val="18"/>
              </w:rPr>
              <w:t>Sosial</w:t>
            </w:r>
          </w:p>
          <w:p w14:paraId="11C54AC9" w14:textId="2E26E98E" w:rsidR="00B673C0" w:rsidRPr="00DD7816" w:rsidRDefault="00B673C0" w:rsidP="0023341C">
            <w:pPr>
              <w:jc w:val="center"/>
              <w:rPr>
                <w:rFonts w:ascii="Bookman Old Style" w:hAnsi="Bookman Old Style" w:cs="Calibri"/>
                <w:b/>
                <w:bCs/>
                <w:sz w:val="18"/>
                <w:szCs w:val="18"/>
              </w:rPr>
            </w:pPr>
            <w:r w:rsidRPr="00DD7816">
              <w:rPr>
                <w:rFonts w:ascii="Bookman Old Style" w:hAnsi="Bookman Old Style" w:cs="Calibri"/>
                <w:b/>
                <w:bCs/>
                <w:sz w:val="18"/>
                <w:szCs w:val="18"/>
              </w:rPr>
              <w:t>(Rp)</w:t>
            </w:r>
          </w:p>
        </w:tc>
        <w:tc>
          <w:tcPr>
            <w:tcW w:w="1898" w:type="dxa"/>
            <w:tcBorders>
              <w:top w:val="single" w:sz="4" w:space="0" w:color="auto"/>
              <w:left w:val="nil"/>
              <w:bottom w:val="single" w:sz="4" w:space="0" w:color="auto"/>
              <w:right w:val="single" w:sz="4" w:space="0" w:color="auto"/>
            </w:tcBorders>
            <w:shd w:val="clear" w:color="auto" w:fill="auto"/>
            <w:vAlign w:val="center"/>
            <w:hideMark/>
          </w:tcPr>
          <w:p w14:paraId="39198917" w14:textId="079B656D" w:rsidR="00B673C0" w:rsidRPr="003255BC" w:rsidRDefault="00B673C0" w:rsidP="0023341C">
            <w:pPr>
              <w:jc w:val="center"/>
              <w:rPr>
                <w:rFonts w:ascii="Bookman Old Style" w:hAnsi="Bookman Old Style" w:cs="Calibri"/>
                <w:b/>
                <w:bCs/>
                <w:sz w:val="18"/>
                <w:szCs w:val="18"/>
                <w:lang w:val="sv-FI"/>
              </w:rPr>
            </w:pPr>
            <w:r w:rsidRPr="003255BC">
              <w:rPr>
                <w:rFonts w:ascii="Bookman Old Style" w:hAnsi="Bookman Old Style" w:cs="Calibri"/>
                <w:b/>
                <w:bCs/>
                <w:sz w:val="18"/>
                <w:szCs w:val="18"/>
                <w:lang w:val="sv-FI"/>
              </w:rPr>
              <w:t>Realisasi</w:t>
            </w:r>
            <w:r w:rsidR="00A954D0" w:rsidRPr="003255BC">
              <w:rPr>
                <w:rFonts w:ascii="Bookman Old Style" w:hAnsi="Bookman Old Style" w:cs="Calibri"/>
                <w:b/>
                <w:bCs/>
                <w:sz w:val="18"/>
                <w:szCs w:val="18"/>
                <w:lang w:val="sv-FI"/>
              </w:rPr>
              <w:t xml:space="preserve"> </w:t>
            </w:r>
            <w:r w:rsidRPr="003255BC">
              <w:rPr>
                <w:rFonts w:ascii="Bookman Old Style" w:hAnsi="Bookman Old Style" w:cs="Calibri"/>
                <w:b/>
                <w:bCs/>
                <w:sz w:val="18"/>
                <w:szCs w:val="18"/>
                <w:lang w:val="sv-FI"/>
              </w:rPr>
              <w:t>Belanja</w:t>
            </w:r>
            <w:r w:rsidR="00A954D0" w:rsidRPr="003255BC">
              <w:rPr>
                <w:rFonts w:ascii="Bookman Old Style" w:hAnsi="Bookman Old Style" w:cs="Calibri"/>
                <w:b/>
                <w:bCs/>
                <w:sz w:val="18"/>
                <w:szCs w:val="18"/>
                <w:lang w:val="sv-FI"/>
              </w:rPr>
              <w:t xml:space="preserve"> </w:t>
            </w:r>
            <w:r w:rsidRPr="003255BC">
              <w:rPr>
                <w:rFonts w:ascii="Bookman Old Style" w:hAnsi="Bookman Old Style" w:cs="Calibri"/>
                <w:b/>
                <w:bCs/>
                <w:sz w:val="18"/>
                <w:szCs w:val="18"/>
                <w:lang w:val="sv-FI"/>
              </w:rPr>
              <w:t>Bantuan</w:t>
            </w:r>
            <w:r w:rsidR="00A954D0" w:rsidRPr="003255BC">
              <w:rPr>
                <w:rFonts w:ascii="Bookman Old Style" w:hAnsi="Bookman Old Style" w:cs="Calibri"/>
                <w:b/>
                <w:bCs/>
                <w:sz w:val="18"/>
                <w:szCs w:val="18"/>
                <w:lang w:val="sv-FI"/>
              </w:rPr>
              <w:t xml:space="preserve"> </w:t>
            </w:r>
            <w:r w:rsidRPr="003255BC">
              <w:rPr>
                <w:rFonts w:ascii="Bookman Old Style" w:hAnsi="Bookman Old Style" w:cs="Calibri"/>
                <w:b/>
                <w:bCs/>
                <w:sz w:val="18"/>
                <w:szCs w:val="18"/>
                <w:lang w:val="sv-FI"/>
              </w:rPr>
              <w:t>Sosial</w:t>
            </w:r>
          </w:p>
          <w:p w14:paraId="58D2C9ED" w14:textId="23AD1671" w:rsidR="00B673C0" w:rsidRPr="003255BC" w:rsidRDefault="00B673C0" w:rsidP="0023341C">
            <w:pPr>
              <w:jc w:val="center"/>
              <w:rPr>
                <w:rFonts w:ascii="Bookman Old Style" w:hAnsi="Bookman Old Style" w:cs="Calibri"/>
                <w:b/>
                <w:bCs/>
                <w:sz w:val="18"/>
                <w:szCs w:val="18"/>
                <w:lang w:val="sv-FI"/>
              </w:rPr>
            </w:pPr>
            <w:r w:rsidRPr="003255BC">
              <w:rPr>
                <w:rFonts w:ascii="Bookman Old Style" w:hAnsi="Bookman Old Style" w:cs="Calibri"/>
                <w:b/>
                <w:bCs/>
                <w:sz w:val="18"/>
                <w:szCs w:val="18"/>
                <w:lang w:val="sv-FI"/>
              </w:rPr>
              <w:t>(Rp)</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96453" w14:textId="77777777" w:rsidR="00B673C0" w:rsidRPr="00DD7816" w:rsidRDefault="00B673C0" w:rsidP="0023341C">
            <w:pPr>
              <w:jc w:val="center"/>
              <w:rPr>
                <w:rFonts w:ascii="Bookman Old Style" w:hAnsi="Bookman Old Style" w:cs="Calibri"/>
                <w:b/>
                <w:bCs/>
                <w:sz w:val="18"/>
                <w:szCs w:val="18"/>
              </w:rPr>
            </w:pPr>
            <w:r w:rsidRPr="00DD7816">
              <w:rPr>
                <w:rFonts w:ascii="Bookman Old Style" w:hAnsi="Bookman Old Style" w:cs="Calibri"/>
                <w:b/>
                <w:bCs/>
                <w:sz w:val="18"/>
                <w:szCs w:val="18"/>
              </w:rPr>
              <w:t>%</w:t>
            </w:r>
          </w:p>
        </w:tc>
        <w:tc>
          <w:tcPr>
            <w:tcW w:w="2179" w:type="dxa"/>
            <w:tcBorders>
              <w:top w:val="single" w:sz="4" w:space="0" w:color="auto"/>
              <w:left w:val="nil"/>
              <w:bottom w:val="single" w:sz="4" w:space="0" w:color="auto"/>
              <w:right w:val="single" w:sz="4" w:space="0" w:color="auto"/>
            </w:tcBorders>
            <w:shd w:val="clear" w:color="auto" w:fill="auto"/>
            <w:vAlign w:val="center"/>
            <w:hideMark/>
          </w:tcPr>
          <w:p w14:paraId="6E95535E" w14:textId="37215CDE" w:rsidR="00B673C0" w:rsidRPr="00DD7816" w:rsidRDefault="00B673C0" w:rsidP="0023341C">
            <w:pPr>
              <w:jc w:val="center"/>
              <w:rPr>
                <w:rFonts w:ascii="Bookman Old Style" w:hAnsi="Bookman Old Style" w:cs="Calibri"/>
                <w:b/>
                <w:bCs/>
                <w:sz w:val="18"/>
                <w:szCs w:val="18"/>
              </w:rPr>
            </w:pPr>
            <w:r w:rsidRPr="00DD7816">
              <w:rPr>
                <w:rFonts w:ascii="Bookman Old Style" w:hAnsi="Bookman Old Style" w:cs="Calibri"/>
                <w:b/>
                <w:bCs/>
                <w:sz w:val="18"/>
                <w:szCs w:val="18"/>
              </w:rPr>
              <w:t>Total</w:t>
            </w:r>
            <w:r w:rsidR="00A954D0">
              <w:rPr>
                <w:rFonts w:ascii="Bookman Old Style" w:hAnsi="Bookman Old Style" w:cs="Calibri"/>
                <w:b/>
                <w:bCs/>
                <w:sz w:val="18"/>
                <w:szCs w:val="18"/>
              </w:rPr>
              <w:t xml:space="preserve"> </w:t>
            </w:r>
            <w:r w:rsidRPr="00DD7816">
              <w:rPr>
                <w:rFonts w:ascii="Bookman Old Style" w:hAnsi="Bookman Old Style" w:cs="Calibri"/>
                <w:b/>
                <w:bCs/>
                <w:sz w:val="18"/>
                <w:szCs w:val="18"/>
              </w:rPr>
              <w:t>Belanja</w:t>
            </w:r>
            <w:r w:rsidR="00A954D0">
              <w:rPr>
                <w:rFonts w:ascii="Bookman Old Style" w:hAnsi="Bookman Old Style" w:cs="Calibri"/>
                <w:b/>
                <w:bCs/>
                <w:sz w:val="18"/>
                <w:szCs w:val="18"/>
              </w:rPr>
              <w:t xml:space="preserve"> </w:t>
            </w:r>
            <w:r w:rsidRPr="00DD7816">
              <w:rPr>
                <w:rFonts w:ascii="Bookman Old Style" w:hAnsi="Bookman Old Style" w:cs="Calibri"/>
                <w:b/>
                <w:bCs/>
                <w:sz w:val="18"/>
                <w:szCs w:val="18"/>
              </w:rPr>
              <w:t>Daerah</w:t>
            </w:r>
          </w:p>
          <w:p w14:paraId="7CAA906D" w14:textId="71AC24C6" w:rsidR="00B673C0" w:rsidRPr="00DD7816" w:rsidRDefault="00B673C0" w:rsidP="0023341C">
            <w:pPr>
              <w:jc w:val="center"/>
              <w:rPr>
                <w:rFonts w:ascii="Bookman Old Style" w:hAnsi="Bookman Old Style" w:cs="Calibri"/>
                <w:b/>
                <w:bCs/>
                <w:sz w:val="18"/>
                <w:szCs w:val="18"/>
              </w:rPr>
            </w:pPr>
            <w:r w:rsidRPr="00DD7816">
              <w:rPr>
                <w:rFonts w:ascii="Bookman Old Style" w:hAnsi="Bookman Old Style" w:cs="Calibri"/>
                <w:b/>
                <w:bCs/>
                <w:sz w:val="18"/>
                <w:szCs w:val="18"/>
              </w:rPr>
              <w:t>(Rp)</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3A25B" w14:textId="77777777" w:rsidR="00B673C0" w:rsidRPr="00DD7816" w:rsidRDefault="00B673C0" w:rsidP="0023341C">
            <w:pPr>
              <w:jc w:val="center"/>
              <w:rPr>
                <w:rFonts w:ascii="Bookman Old Style" w:hAnsi="Bookman Old Style" w:cs="Calibri"/>
                <w:b/>
                <w:bCs/>
                <w:sz w:val="18"/>
                <w:szCs w:val="18"/>
              </w:rPr>
            </w:pPr>
            <w:r w:rsidRPr="00DD7816">
              <w:rPr>
                <w:rFonts w:ascii="Bookman Old Style" w:hAnsi="Bookman Old Style" w:cs="Calibri"/>
                <w:b/>
                <w:bCs/>
                <w:sz w:val="18"/>
                <w:szCs w:val="18"/>
              </w:rPr>
              <w:t>%</w:t>
            </w:r>
          </w:p>
        </w:tc>
      </w:tr>
      <w:tr w:rsidR="008174DB" w:rsidRPr="00DD7816" w14:paraId="0D420384" w14:textId="77777777" w:rsidTr="00B8428D">
        <w:trPr>
          <w:trHeight w:val="131"/>
        </w:trPr>
        <w:tc>
          <w:tcPr>
            <w:tcW w:w="1091" w:type="dxa"/>
            <w:tcBorders>
              <w:top w:val="nil"/>
              <w:left w:val="single" w:sz="4" w:space="0" w:color="auto"/>
              <w:bottom w:val="single" w:sz="4" w:space="0" w:color="auto"/>
              <w:right w:val="single" w:sz="4" w:space="0" w:color="auto"/>
            </w:tcBorders>
            <w:shd w:val="clear" w:color="auto" w:fill="auto"/>
            <w:vAlign w:val="center"/>
            <w:hideMark/>
          </w:tcPr>
          <w:p w14:paraId="347529B4" w14:textId="77777777" w:rsidR="00BB2149" w:rsidRPr="00DD7816" w:rsidRDefault="00BB2149" w:rsidP="00B673C0">
            <w:pPr>
              <w:jc w:val="center"/>
              <w:rPr>
                <w:rFonts w:ascii="Bookman Old Style" w:hAnsi="Bookman Old Style" w:cs="Calibri"/>
                <w:sz w:val="18"/>
                <w:szCs w:val="18"/>
              </w:rPr>
            </w:pPr>
            <w:r w:rsidRPr="00DD7816">
              <w:rPr>
                <w:rFonts w:ascii="Bookman Old Style" w:hAnsi="Bookman Old Style" w:cs="Calibri"/>
                <w:sz w:val="18"/>
                <w:szCs w:val="18"/>
              </w:rPr>
              <w:t>1</w:t>
            </w:r>
          </w:p>
        </w:tc>
        <w:tc>
          <w:tcPr>
            <w:tcW w:w="1898" w:type="dxa"/>
            <w:tcBorders>
              <w:top w:val="single" w:sz="4" w:space="0" w:color="auto"/>
              <w:left w:val="nil"/>
              <w:bottom w:val="single" w:sz="4" w:space="0" w:color="auto"/>
              <w:right w:val="single" w:sz="4" w:space="0" w:color="auto"/>
            </w:tcBorders>
            <w:shd w:val="clear" w:color="auto" w:fill="auto"/>
            <w:vAlign w:val="center"/>
            <w:hideMark/>
          </w:tcPr>
          <w:p w14:paraId="0DCDB11D" w14:textId="77777777" w:rsidR="00BB2149" w:rsidRPr="00DD7816" w:rsidRDefault="00BB2149" w:rsidP="00B673C0">
            <w:pPr>
              <w:jc w:val="center"/>
              <w:rPr>
                <w:rFonts w:ascii="Bookman Old Style" w:hAnsi="Bookman Old Style" w:cs="Calibri"/>
                <w:sz w:val="18"/>
                <w:szCs w:val="18"/>
              </w:rPr>
            </w:pPr>
            <w:r w:rsidRPr="00DD7816">
              <w:rPr>
                <w:rFonts w:ascii="Bookman Old Style" w:hAnsi="Bookman Old Style" w:cs="Calibri"/>
                <w:sz w:val="18"/>
                <w:szCs w:val="18"/>
              </w:rPr>
              <w:t>2</w:t>
            </w:r>
          </w:p>
        </w:tc>
        <w:tc>
          <w:tcPr>
            <w:tcW w:w="1898" w:type="dxa"/>
            <w:tcBorders>
              <w:top w:val="single" w:sz="4" w:space="0" w:color="auto"/>
              <w:left w:val="nil"/>
              <w:bottom w:val="single" w:sz="4" w:space="0" w:color="auto"/>
              <w:right w:val="single" w:sz="4" w:space="0" w:color="auto"/>
            </w:tcBorders>
            <w:shd w:val="clear" w:color="auto" w:fill="auto"/>
            <w:vAlign w:val="center"/>
            <w:hideMark/>
          </w:tcPr>
          <w:p w14:paraId="27106D65" w14:textId="77777777" w:rsidR="00BB2149" w:rsidRPr="00DD7816" w:rsidRDefault="00BB2149" w:rsidP="00B673C0">
            <w:pPr>
              <w:jc w:val="center"/>
              <w:rPr>
                <w:rFonts w:ascii="Bookman Old Style" w:hAnsi="Bookman Old Style" w:cs="Calibri"/>
                <w:sz w:val="18"/>
                <w:szCs w:val="18"/>
              </w:rPr>
            </w:pPr>
            <w:r w:rsidRPr="00DD7816">
              <w:rPr>
                <w:rFonts w:ascii="Bookman Old Style" w:hAnsi="Bookman Old Style" w:cs="Calibri"/>
                <w:sz w:val="18"/>
                <w:szCs w:val="18"/>
              </w:rPr>
              <w:t>3</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3C417696" w14:textId="77777777" w:rsidR="00BB2149" w:rsidRPr="00DD7816" w:rsidRDefault="00BB2149" w:rsidP="00B673C0">
            <w:pPr>
              <w:jc w:val="center"/>
              <w:rPr>
                <w:rFonts w:ascii="Bookman Old Style" w:hAnsi="Bookman Old Style" w:cs="Calibri"/>
                <w:sz w:val="18"/>
                <w:szCs w:val="18"/>
              </w:rPr>
            </w:pPr>
            <w:r w:rsidRPr="00DD7816">
              <w:rPr>
                <w:rFonts w:ascii="Bookman Old Style" w:hAnsi="Bookman Old Style" w:cs="Calibri"/>
                <w:sz w:val="18"/>
                <w:szCs w:val="18"/>
              </w:rPr>
              <w:t>4=3:2</w:t>
            </w:r>
          </w:p>
        </w:tc>
        <w:tc>
          <w:tcPr>
            <w:tcW w:w="2179" w:type="dxa"/>
            <w:tcBorders>
              <w:top w:val="single" w:sz="4" w:space="0" w:color="auto"/>
              <w:left w:val="nil"/>
              <w:bottom w:val="single" w:sz="4" w:space="0" w:color="auto"/>
              <w:right w:val="single" w:sz="4" w:space="0" w:color="auto"/>
            </w:tcBorders>
            <w:shd w:val="clear" w:color="auto" w:fill="auto"/>
            <w:vAlign w:val="center"/>
            <w:hideMark/>
          </w:tcPr>
          <w:p w14:paraId="366F297E" w14:textId="77777777" w:rsidR="00BB2149" w:rsidRPr="00DD7816" w:rsidRDefault="00BB2149" w:rsidP="00B673C0">
            <w:pPr>
              <w:jc w:val="center"/>
              <w:rPr>
                <w:rFonts w:ascii="Bookman Old Style" w:hAnsi="Bookman Old Style" w:cs="Calibri"/>
                <w:sz w:val="18"/>
                <w:szCs w:val="18"/>
              </w:rPr>
            </w:pPr>
            <w:r w:rsidRPr="00DD7816">
              <w:rPr>
                <w:rFonts w:ascii="Bookman Old Style" w:hAnsi="Bookman Old Style" w:cs="Calibri"/>
                <w:sz w:val="18"/>
                <w:szCs w:val="18"/>
              </w:rPr>
              <w:t>5</w:t>
            </w:r>
          </w:p>
        </w:tc>
        <w:tc>
          <w:tcPr>
            <w:tcW w:w="717" w:type="dxa"/>
            <w:tcBorders>
              <w:top w:val="nil"/>
              <w:left w:val="nil"/>
              <w:bottom w:val="single" w:sz="4" w:space="0" w:color="auto"/>
              <w:right w:val="single" w:sz="4" w:space="0" w:color="auto"/>
            </w:tcBorders>
            <w:shd w:val="clear" w:color="auto" w:fill="auto"/>
            <w:vAlign w:val="center"/>
            <w:hideMark/>
          </w:tcPr>
          <w:p w14:paraId="619787CF" w14:textId="77777777" w:rsidR="00BB2149" w:rsidRPr="00DD7816" w:rsidRDefault="00BB2149" w:rsidP="00B673C0">
            <w:pPr>
              <w:jc w:val="center"/>
              <w:rPr>
                <w:rFonts w:ascii="Bookman Old Style" w:hAnsi="Bookman Old Style" w:cs="Calibri"/>
                <w:sz w:val="18"/>
                <w:szCs w:val="18"/>
              </w:rPr>
            </w:pPr>
            <w:r w:rsidRPr="00DD7816">
              <w:rPr>
                <w:rFonts w:ascii="Bookman Old Style" w:hAnsi="Bookman Old Style" w:cs="Calibri"/>
                <w:sz w:val="18"/>
                <w:szCs w:val="18"/>
              </w:rPr>
              <w:t>6=2:5</w:t>
            </w:r>
          </w:p>
        </w:tc>
      </w:tr>
      <w:tr w:rsidR="008174DB" w:rsidRPr="00DD7816" w14:paraId="1768DFD3" w14:textId="77777777" w:rsidTr="00B8428D">
        <w:trPr>
          <w:trHeight w:val="207"/>
        </w:trPr>
        <w:tc>
          <w:tcPr>
            <w:tcW w:w="1091" w:type="dxa"/>
            <w:tcBorders>
              <w:top w:val="nil"/>
              <w:left w:val="single" w:sz="4" w:space="0" w:color="auto"/>
              <w:bottom w:val="single" w:sz="4" w:space="0" w:color="auto"/>
              <w:right w:val="single" w:sz="4" w:space="0" w:color="auto"/>
            </w:tcBorders>
            <w:shd w:val="clear" w:color="auto" w:fill="auto"/>
            <w:vAlign w:val="center"/>
            <w:hideMark/>
          </w:tcPr>
          <w:p w14:paraId="388DA756" w14:textId="593ABF1B" w:rsidR="00BB2149" w:rsidRPr="00DD7816" w:rsidRDefault="00BB2149" w:rsidP="00B673C0">
            <w:pPr>
              <w:jc w:val="center"/>
              <w:rPr>
                <w:rFonts w:ascii="Bookman Old Style" w:hAnsi="Bookman Old Style" w:cs="Calibri"/>
                <w:sz w:val="18"/>
                <w:szCs w:val="18"/>
              </w:rPr>
            </w:pPr>
            <w:r w:rsidRPr="00DD7816">
              <w:rPr>
                <w:rFonts w:ascii="Bookman Old Style" w:hAnsi="Bookman Old Style" w:cs="Calibri"/>
                <w:sz w:val="18"/>
                <w:szCs w:val="18"/>
              </w:rPr>
              <w:t>2022</w:t>
            </w:r>
          </w:p>
        </w:tc>
        <w:tc>
          <w:tcPr>
            <w:tcW w:w="1898" w:type="dxa"/>
            <w:tcBorders>
              <w:top w:val="nil"/>
              <w:left w:val="nil"/>
              <w:bottom w:val="single" w:sz="4" w:space="0" w:color="auto"/>
              <w:right w:val="single" w:sz="4" w:space="0" w:color="auto"/>
            </w:tcBorders>
            <w:shd w:val="clear" w:color="auto" w:fill="auto"/>
            <w:noWrap/>
            <w:vAlign w:val="center"/>
            <w:hideMark/>
          </w:tcPr>
          <w:p w14:paraId="2D59538D" w14:textId="77777777" w:rsidR="00BB2149" w:rsidRPr="00DD7816" w:rsidRDefault="00BB2149" w:rsidP="00B673C0">
            <w:pPr>
              <w:jc w:val="right"/>
              <w:rPr>
                <w:rFonts w:ascii="Bookman Old Style" w:hAnsi="Bookman Old Style" w:cs="Calibri"/>
                <w:sz w:val="18"/>
                <w:szCs w:val="18"/>
              </w:rPr>
            </w:pPr>
            <w:r w:rsidRPr="00DD7816">
              <w:rPr>
                <w:rFonts w:ascii="Bookman Old Style" w:hAnsi="Bookman Old Style" w:cs="Calibri"/>
                <w:sz w:val="18"/>
                <w:szCs w:val="18"/>
              </w:rPr>
              <w:t>18.474.730.000,00</w:t>
            </w:r>
          </w:p>
        </w:tc>
        <w:tc>
          <w:tcPr>
            <w:tcW w:w="1898" w:type="dxa"/>
            <w:tcBorders>
              <w:top w:val="nil"/>
              <w:left w:val="nil"/>
              <w:bottom w:val="single" w:sz="4" w:space="0" w:color="auto"/>
              <w:right w:val="single" w:sz="4" w:space="0" w:color="auto"/>
            </w:tcBorders>
            <w:shd w:val="clear" w:color="auto" w:fill="auto"/>
            <w:vAlign w:val="center"/>
            <w:hideMark/>
          </w:tcPr>
          <w:p w14:paraId="56E722BC" w14:textId="77777777" w:rsidR="00BB2149" w:rsidRPr="00DD7816" w:rsidRDefault="00BB2149" w:rsidP="00B673C0">
            <w:pPr>
              <w:jc w:val="right"/>
              <w:rPr>
                <w:rFonts w:ascii="Bookman Old Style" w:hAnsi="Bookman Old Style" w:cs="Calibri"/>
                <w:sz w:val="18"/>
                <w:szCs w:val="18"/>
              </w:rPr>
            </w:pPr>
            <w:r w:rsidRPr="00DD7816">
              <w:rPr>
                <w:rFonts w:ascii="Bookman Old Style" w:hAnsi="Bookman Old Style" w:cs="Calibri"/>
                <w:sz w:val="18"/>
                <w:szCs w:val="18"/>
              </w:rPr>
              <w:t>17.658.286.000,00</w:t>
            </w:r>
          </w:p>
        </w:tc>
        <w:tc>
          <w:tcPr>
            <w:tcW w:w="721" w:type="dxa"/>
            <w:tcBorders>
              <w:top w:val="nil"/>
              <w:left w:val="nil"/>
              <w:bottom w:val="single" w:sz="4" w:space="0" w:color="auto"/>
              <w:right w:val="single" w:sz="4" w:space="0" w:color="auto"/>
            </w:tcBorders>
            <w:shd w:val="clear" w:color="auto" w:fill="auto"/>
            <w:vAlign w:val="center"/>
            <w:hideMark/>
          </w:tcPr>
          <w:p w14:paraId="7C2C7051" w14:textId="77777777" w:rsidR="00BB2149" w:rsidRPr="00DD7816" w:rsidRDefault="00BB2149" w:rsidP="00B673C0">
            <w:pPr>
              <w:jc w:val="center"/>
              <w:rPr>
                <w:rFonts w:ascii="Bookman Old Style" w:hAnsi="Bookman Old Style" w:cs="Calibri"/>
                <w:sz w:val="18"/>
                <w:szCs w:val="18"/>
              </w:rPr>
            </w:pPr>
            <w:r w:rsidRPr="00DD7816">
              <w:rPr>
                <w:rFonts w:ascii="Bookman Old Style" w:hAnsi="Bookman Old Style" w:cs="Calibri"/>
                <w:sz w:val="18"/>
                <w:szCs w:val="18"/>
              </w:rPr>
              <w:t>95,58</w:t>
            </w:r>
          </w:p>
        </w:tc>
        <w:tc>
          <w:tcPr>
            <w:tcW w:w="2179" w:type="dxa"/>
            <w:tcBorders>
              <w:top w:val="nil"/>
              <w:left w:val="nil"/>
              <w:bottom w:val="single" w:sz="4" w:space="0" w:color="auto"/>
              <w:right w:val="single" w:sz="4" w:space="0" w:color="auto"/>
            </w:tcBorders>
            <w:shd w:val="clear" w:color="auto" w:fill="auto"/>
            <w:vAlign w:val="center"/>
            <w:hideMark/>
          </w:tcPr>
          <w:p w14:paraId="4FDDD474" w14:textId="72456E51" w:rsidR="00BB2149" w:rsidRPr="00DD7816" w:rsidRDefault="00BB2149" w:rsidP="00B673C0">
            <w:pPr>
              <w:jc w:val="right"/>
              <w:rPr>
                <w:rFonts w:ascii="Bookman Old Style" w:hAnsi="Bookman Old Style" w:cs="Calibri"/>
                <w:sz w:val="18"/>
                <w:szCs w:val="18"/>
              </w:rPr>
            </w:pPr>
            <w:r w:rsidRPr="00DD7816">
              <w:rPr>
                <w:rFonts w:ascii="Bookman Old Style" w:hAnsi="Bookman Old Style" w:cs="Calibri"/>
                <w:sz w:val="18"/>
                <w:szCs w:val="18"/>
              </w:rPr>
              <w:t>4.910.705.325.360,00</w:t>
            </w:r>
          </w:p>
        </w:tc>
        <w:tc>
          <w:tcPr>
            <w:tcW w:w="717" w:type="dxa"/>
            <w:tcBorders>
              <w:top w:val="nil"/>
              <w:left w:val="nil"/>
              <w:bottom w:val="single" w:sz="4" w:space="0" w:color="auto"/>
              <w:right w:val="single" w:sz="4" w:space="0" w:color="auto"/>
            </w:tcBorders>
            <w:shd w:val="clear" w:color="auto" w:fill="auto"/>
            <w:vAlign w:val="center"/>
            <w:hideMark/>
          </w:tcPr>
          <w:p w14:paraId="0C2C37E4" w14:textId="77777777" w:rsidR="00BB2149" w:rsidRPr="00DD7816" w:rsidRDefault="00BB2149" w:rsidP="00B673C0">
            <w:pPr>
              <w:jc w:val="center"/>
              <w:rPr>
                <w:rFonts w:ascii="Bookman Old Style" w:hAnsi="Bookman Old Style" w:cs="Calibri"/>
                <w:sz w:val="18"/>
                <w:szCs w:val="18"/>
              </w:rPr>
            </w:pPr>
            <w:r w:rsidRPr="00DD7816">
              <w:rPr>
                <w:rFonts w:ascii="Bookman Old Style" w:hAnsi="Bookman Old Style" w:cs="Calibri"/>
                <w:sz w:val="18"/>
                <w:szCs w:val="18"/>
              </w:rPr>
              <w:t>0,38</w:t>
            </w:r>
          </w:p>
        </w:tc>
      </w:tr>
      <w:tr w:rsidR="008174DB" w:rsidRPr="00DD7816" w14:paraId="47ECD71D" w14:textId="77777777" w:rsidTr="00B8428D">
        <w:trPr>
          <w:trHeight w:val="139"/>
        </w:trPr>
        <w:tc>
          <w:tcPr>
            <w:tcW w:w="1091" w:type="dxa"/>
            <w:tcBorders>
              <w:top w:val="nil"/>
              <w:left w:val="single" w:sz="4" w:space="0" w:color="auto"/>
              <w:bottom w:val="single" w:sz="4" w:space="0" w:color="auto"/>
              <w:right w:val="single" w:sz="4" w:space="0" w:color="auto"/>
            </w:tcBorders>
            <w:shd w:val="clear" w:color="auto" w:fill="auto"/>
            <w:vAlign w:val="center"/>
            <w:hideMark/>
          </w:tcPr>
          <w:p w14:paraId="2D5F6BC2" w14:textId="3DC24E58" w:rsidR="00BB2149" w:rsidRPr="00DD7816" w:rsidRDefault="00BB2149" w:rsidP="00B673C0">
            <w:pPr>
              <w:jc w:val="center"/>
              <w:rPr>
                <w:rFonts w:ascii="Bookman Old Style" w:hAnsi="Bookman Old Style" w:cs="Calibri"/>
                <w:sz w:val="18"/>
                <w:szCs w:val="18"/>
              </w:rPr>
            </w:pPr>
            <w:r w:rsidRPr="00DD7816">
              <w:rPr>
                <w:rFonts w:ascii="Bookman Old Style" w:hAnsi="Bookman Old Style" w:cs="Calibri"/>
                <w:sz w:val="18"/>
                <w:szCs w:val="18"/>
              </w:rPr>
              <w:t>2023</w:t>
            </w:r>
          </w:p>
        </w:tc>
        <w:tc>
          <w:tcPr>
            <w:tcW w:w="1898" w:type="dxa"/>
            <w:tcBorders>
              <w:top w:val="nil"/>
              <w:left w:val="nil"/>
              <w:bottom w:val="single" w:sz="4" w:space="0" w:color="auto"/>
              <w:right w:val="single" w:sz="4" w:space="0" w:color="auto"/>
            </w:tcBorders>
            <w:shd w:val="clear" w:color="auto" w:fill="auto"/>
            <w:noWrap/>
            <w:vAlign w:val="center"/>
            <w:hideMark/>
          </w:tcPr>
          <w:p w14:paraId="40B5BD9B" w14:textId="77777777" w:rsidR="00BB2149" w:rsidRPr="00DD7816" w:rsidRDefault="00BB2149" w:rsidP="00B673C0">
            <w:pPr>
              <w:jc w:val="right"/>
              <w:rPr>
                <w:rFonts w:ascii="Bookman Old Style" w:hAnsi="Bookman Old Style" w:cs="Calibri"/>
                <w:sz w:val="18"/>
                <w:szCs w:val="18"/>
              </w:rPr>
            </w:pPr>
            <w:r w:rsidRPr="00DD7816">
              <w:rPr>
                <w:rFonts w:ascii="Bookman Old Style" w:hAnsi="Bookman Old Style" w:cs="Calibri"/>
                <w:sz w:val="18"/>
                <w:szCs w:val="18"/>
              </w:rPr>
              <w:t>4.098.000.000,00</w:t>
            </w:r>
          </w:p>
        </w:tc>
        <w:tc>
          <w:tcPr>
            <w:tcW w:w="1898" w:type="dxa"/>
            <w:tcBorders>
              <w:top w:val="nil"/>
              <w:left w:val="nil"/>
              <w:bottom w:val="single" w:sz="4" w:space="0" w:color="auto"/>
              <w:right w:val="single" w:sz="4" w:space="0" w:color="auto"/>
            </w:tcBorders>
            <w:shd w:val="clear" w:color="auto" w:fill="auto"/>
            <w:noWrap/>
            <w:vAlign w:val="center"/>
            <w:hideMark/>
          </w:tcPr>
          <w:p w14:paraId="1737ABC4" w14:textId="77777777" w:rsidR="00BB2149" w:rsidRPr="00DD7816" w:rsidRDefault="00BB2149" w:rsidP="00B673C0">
            <w:pPr>
              <w:jc w:val="right"/>
              <w:rPr>
                <w:rFonts w:ascii="Bookman Old Style" w:hAnsi="Bookman Old Style" w:cs="Calibri"/>
                <w:sz w:val="18"/>
                <w:szCs w:val="18"/>
              </w:rPr>
            </w:pPr>
            <w:r w:rsidRPr="00DD7816">
              <w:rPr>
                <w:rFonts w:ascii="Bookman Old Style" w:hAnsi="Bookman Old Style" w:cs="Calibri"/>
                <w:sz w:val="18"/>
                <w:szCs w:val="18"/>
              </w:rPr>
              <w:t>4.057.500.000,00</w:t>
            </w:r>
          </w:p>
        </w:tc>
        <w:tc>
          <w:tcPr>
            <w:tcW w:w="721" w:type="dxa"/>
            <w:tcBorders>
              <w:top w:val="nil"/>
              <w:left w:val="nil"/>
              <w:bottom w:val="single" w:sz="4" w:space="0" w:color="auto"/>
              <w:right w:val="single" w:sz="4" w:space="0" w:color="auto"/>
            </w:tcBorders>
            <w:shd w:val="clear" w:color="auto" w:fill="auto"/>
            <w:vAlign w:val="center"/>
            <w:hideMark/>
          </w:tcPr>
          <w:p w14:paraId="4DC54A7B" w14:textId="77777777" w:rsidR="00BB2149" w:rsidRPr="00DD7816" w:rsidRDefault="00BB2149" w:rsidP="00B673C0">
            <w:pPr>
              <w:jc w:val="center"/>
              <w:rPr>
                <w:rFonts w:ascii="Bookman Old Style" w:hAnsi="Bookman Old Style" w:cs="Calibri"/>
                <w:sz w:val="18"/>
                <w:szCs w:val="18"/>
              </w:rPr>
            </w:pPr>
            <w:r w:rsidRPr="00DD7816">
              <w:rPr>
                <w:rFonts w:ascii="Bookman Old Style" w:hAnsi="Bookman Old Style" w:cs="Calibri"/>
                <w:sz w:val="18"/>
                <w:szCs w:val="18"/>
              </w:rPr>
              <w:t>99,01</w:t>
            </w:r>
          </w:p>
        </w:tc>
        <w:tc>
          <w:tcPr>
            <w:tcW w:w="2179" w:type="dxa"/>
            <w:tcBorders>
              <w:top w:val="nil"/>
              <w:left w:val="nil"/>
              <w:bottom w:val="single" w:sz="4" w:space="0" w:color="auto"/>
              <w:right w:val="single" w:sz="4" w:space="0" w:color="auto"/>
            </w:tcBorders>
            <w:shd w:val="clear" w:color="auto" w:fill="auto"/>
            <w:vAlign w:val="center"/>
            <w:hideMark/>
          </w:tcPr>
          <w:p w14:paraId="24C72714" w14:textId="373E34C2" w:rsidR="00BB2149" w:rsidRPr="00DD7816" w:rsidRDefault="00BB2149" w:rsidP="00B673C0">
            <w:pPr>
              <w:jc w:val="right"/>
              <w:rPr>
                <w:rFonts w:ascii="Bookman Old Style" w:hAnsi="Bookman Old Style" w:cs="Calibri"/>
                <w:sz w:val="18"/>
                <w:szCs w:val="18"/>
              </w:rPr>
            </w:pPr>
            <w:r w:rsidRPr="00DD7816">
              <w:rPr>
                <w:rFonts w:ascii="Bookman Old Style" w:hAnsi="Bookman Old Style" w:cs="Calibri"/>
                <w:sz w:val="18"/>
                <w:szCs w:val="18"/>
              </w:rPr>
              <w:t>5.060.875.781.078,00</w:t>
            </w:r>
          </w:p>
        </w:tc>
        <w:tc>
          <w:tcPr>
            <w:tcW w:w="717" w:type="dxa"/>
            <w:tcBorders>
              <w:top w:val="nil"/>
              <w:left w:val="nil"/>
              <w:bottom w:val="single" w:sz="4" w:space="0" w:color="auto"/>
              <w:right w:val="single" w:sz="4" w:space="0" w:color="auto"/>
            </w:tcBorders>
            <w:shd w:val="clear" w:color="auto" w:fill="auto"/>
            <w:vAlign w:val="center"/>
            <w:hideMark/>
          </w:tcPr>
          <w:p w14:paraId="0732EE4E" w14:textId="77777777" w:rsidR="00BB2149" w:rsidRPr="00DD7816" w:rsidRDefault="00BB2149" w:rsidP="00B673C0">
            <w:pPr>
              <w:jc w:val="center"/>
              <w:rPr>
                <w:rFonts w:ascii="Bookman Old Style" w:hAnsi="Bookman Old Style" w:cs="Calibri"/>
                <w:sz w:val="18"/>
                <w:szCs w:val="18"/>
              </w:rPr>
            </w:pPr>
            <w:r w:rsidRPr="00DD7816">
              <w:rPr>
                <w:rFonts w:ascii="Bookman Old Style" w:hAnsi="Bookman Old Style" w:cs="Calibri"/>
                <w:sz w:val="18"/>
                <w:szCs w:val="18"/>
              </w:rPr>
              <w:t>0,08</w:t>
            </w:r>
          </w:p>
        </w:tc>
      </w:tr>
      <w:tr w:rsidR="008174DB" w:rsidRPr="00DD7816" w14:paraId="0160EA3E" w14:textId="77777777" w:rsidTr="00B8428D">
        <w:trPr>
          <w:trHeight w:val="130"/>
        </w:trPr>
        <w:tc>
          <w:tcPr>
            <w:tcW w:w="1091" w:type="dxa"/>
            <w:tcBorders>
              <w:top w:val="nil"/>
              <w:left w:val="single" w:sz="4" w:space="0" w:color="auto"/>
              <w:bottom w:val="single" w:sz="4" w:space="0" w:color="auto"/>
              <w:right w:val="single" w:sz="4" w:space="0" w:color="auto"/>
            </w:tcBorders>
            <w:shd w:val="clear" w:color="auto" w:fill="auto"/>
            <w:vAlign w:val="center"/>
            <w:hideMark/>
          </w:tcPr>
          <w:p w14:paraId="640556E3" w14:textId="71C394E6" w:rsidR="00BB2149" w:rsidRPr="00DD7816" w:rsidRDefault="00BB2149" w:rsidP="00B673C0">
            <w:pPr>
              <w:jc w:val="center"/>
              <w:rPr>
                <w:rFonts w:ascii="Bookman Old Style" w:hAnsi="Bookman Old Style" w:cs="Calibri"/>
                <w:sz w:val="18"/>
                <w:szCs w:val="18"/>
              </w:rPr>
            </w:pPr>
            <w:r w:rsidRPr="00DD7816">
              <w:rPr>
                <w:rFonts w:ascii="Bookman Old Style" w:hAnsi="Bookman Old Style" w:cs="Calibri"/>
                <w:sz w:val="18"/>
                <w:szCs w:val="18"/>
              </w:rPr>
              <w:t>2024*</w:t>
            </w:r>
            <w:r w:rsidR="00B673C0" w:rsidRPr="00DD7816">
              <w:rPr>
                <w:rFonts w:ascii="Bookman Old Style" w:hAnsi="Bookman Old Style" w:cs="Calibri"/>
                <w:sz w:val="18"/>
                <w:szCs w:val="18"/>
              </w:rPr>
              <w:t>)</w:t>
            </w:r>
          </w:p>
        </w:tc>
        <w:tc>
          <w:tcPr>
            <w:tcW w:w="1898" w:type="dxa"/>
            <w:tcBorders>
              <w:top w:val="nil"/>
              <w:left w:val="nil"/>
              <w:bottom w:val="single" w:sz="4" w:space="0" w:color="auto"/>
              <w:right w:val="single" w:sz="4" w:space="0" w:color="auto"/>
            </w:tcBorders>
            <w:shd w:val="clear" w:color="auto" w:fill="auto"/>
            <w:vAlign w:val="center"/>
            <w:hideMark/>
          </w:tcPr>
          <w:p w14:paraId="3BE33D1F" w14:textId="77777777" w:rsidR="00BB2149" w:rsidRPr="00DD7816" w:rsidRDefault="00BB2149" w:rsidP="00B673C0">
            <w:pPr>
              <w:jc w:val="right"/>
              <w:rPr>
                <w:rFonts w:ascii="Bookman Old Style" w:hAnsi="Bookman Old Style" w:cs="Calibri"/>
                <w:sz w:val="18"/>
                <w:szCs w:val="18"/>
              </w:rPr>
            </w:pPr>
            <w:r w:rsidRPr="00DD7816">
              <w:rPr>
                <w:rFonts w:ascii="Bookman Old Style" w:hAnsi="Bookman Old Style" w:cs="Calibri"/>
                <w:sz w:val="18"/>
                <w:szCs w:val="18"/>
              </w:rPr>
              <w:t>6.627.400.000,00</w:t>
            </w:r>
          </w:p>
        </w:tc>
        <w:tc>
          <w:tcPr>
            <w:tcW w:w="1898" w:type="dxa"/>
            <w:tcBorders>
              <w:top w:val="nil"/>
              <w:left w:val="nil"/>
              <w:bottom w:val="single" w:sz="4" w:space="0" w:color="auto"/>
              <w:right w:val="single" w:sz="4" w:space="0" w:color="auto"/>
            </w:tcBorders>
            <w:shd w:val="clear" w:color="auto" w:fill="auto"/>
            <w:vAlign w:val="center"/>
            <w:hideMark/>
          </w:tcPr>
          <w:p w14:paraId="17ACB55E" w14:textId="77777777" w:rsidR="00BB2149" w:rsidRPr="00DD7816" w:rsidRDefault="00BB2149" w:rsidP="00B673C0">
            <w:pPr>
              <w:jc w:val="right"/>
              <w:rPr>
                <w:rFonts w:ascii="Bookman Old Style" w:hAnsi="Bookman Old Style" w:cs="Calibri"/>
                <w:sz w:val="18"/>
                <w:szCs w:val="18"/>
              </w:rPr>
            </w:pPr>
            <w:r w:rsidRPr="00DD7816">
              <w:rPr>
                <w:rFonts w:ascii="Bookman Old Style" w:hAnsi="Bookman Old Style" w:cs="Calibri"/>
                <w:sz w:val="18"/>
                <w:szCs w:val="18"/>
              </w:rPr>
              <w:t>1.968.000.000,00</w:t>
            </w:r>
          </w:p>
        </w:tc>
        <w:tc>
          <w:tcPr>
            <w:tcW w:w="721" w:type="dxa"/>
            <w:tcBorders>
              <w:top w:val="nil"/>
              <w:left w:val="nil"/>
              <w:bottom w:val="single" w:sz="4" w:space="0" w:color="auto"/>
              <w:right w:val="single" w:sz="4" w:space="0" w:color="auto"/>
            </w:tcBorders>
            <w:shd w:val="clear" w:color="auto" w:fill="auto"/>
            <w:vAlign w:val="center"/>
            <w:hideMark/>
          </w:tcPr>
          <w:p w14:paraId="57B6883A" w14:textId="77777777" w:rsidR="00BB2149" w:rsidRPr="00DD7816" w:rsidRDefault="00BB2149" w:rsidP="00B673C0">
            <w:pPr>
              <w:jc w:val="center"/>
              <w:rPr>
                <w:rFonts w:ascii="Bookman Old Style" w:hAnsi="Bookman Old Style" w:cs="Calibri"/>
                <w:sz w:val="18"/>
                <w:szCs w:val="18"/>
              </w:rPr>
            </w:pPr>
            <w:r w:rsidRPr="00DD7816">
              <w:rPr>
                <w:rFonts w:ascii="Bookman Old Style" w:hAnsi="Bookman Old Style" w:cs="Calibri"/>
                <w:sz w:val="18"/>
                <w:szCs w:val="18"/>
              </w:rPr>
              <w:t>29,69</w:t>
            </w:r>
          </w:p>
        </w:tc>
        <w:tc>
          <w:tcPr>
            <w:tcW w:w="2179" w:type="dxa"/>
            <w:tcBorders>
              <w:top w:val="nil"/>
              <w:left w:val="nil"/>
              <w:bottom w:val="single" w:sz="4" w:space="0" w:color="auto"/>
              <w:right w:val="single" w:sz="4" w:space="0" w:color="auto"/>
            </w:tcBorders>
            <w:shd w:val="clear" w:color="auto" w:fill="auto"/>
            <w:vAlign w:val="center"/>
            <w:hideMark/>
          </w:tcPr>
          <w:p w14:paraId="1094F1F0" w14:textId="77777777" w:rsidR="00BB2149" w:rsidRPr="00DD7816" w:rsidRDefault="00BB2149" w:rsidP="00B673C0">
            <w:pPr>
              <w:jc w:val="right"/>
              <w:rPr>
                <w:rFonts w:ascii="Bookman Old Style" w:hAnsi="Bookman Old Style" w:cs="Calibri"/>
                <w:sz w:val="18"/>
                <w:szCs w:val="18"/>
              </w:rPr>
            </w:pPr>
            <w:r w:rsidRPr="00DD7816">
              <w:rPr>
                <w:rFonts w:ascii="Bookman Old Style" w:hAnsi="Bookman Old Style" w:cs="Calibri"/>
                <w:sz w:val="18"/>
                <w:szCs w:val="18"/>
              </w:rPr>
              <w:t>5.355.694.107.251,00</w:t>
            </w:r>
          </w:p>
        </w:tc>
        <w:tc>
          <w:tcPr>
            <w:tcW w:w="717" w:type="dxa"/>
            <w:tcBorders>
              <w:top w:val="nil"/>
              <w:left w:val="nil"/>
              <w:bottom w:val="single" w:sz="4" w:space="0" w:color="auto"/>
              <w:right w:val="single" w:sz="4" w:space="0" w:color="auto"/>
            </w:tcBorders>
            <w:shd w:val="clear" w:color="auto" w:fill="auto"/>
            <w:vAlign w:val="center"/>
            <w:hideMark/>
          </w:tcPr>
          <w:p w14:paraId="3D124800" w14:textId="77777777" w:rsidR="00BB2149" w:rsidRPr="00DD7816" w:rsidRDefault="00BB2149" w:rsidP="00B673C0">
            <w:pPr>
              <w:jc w:val="center"/>
              <w:rPr>
                <w:rFonts w:ascii="Bookman Old Style" w:hAnsi="Bookman Old Style" w:cs="Calibri"/>
                <w:sz w:val="18"/>
                <w:szCs w:val="18"/>
              </w:rPr>
            </w:pPr>
            <w:r w:rsidRPr="00DD7816">
              <w:rPr>
                <w:rFonts w:ascii="Bookman Old Style" w:hAnsi="Bookman Old Style" w:cs="Calibri"/>
                <w:sz w:val="18"/>
                <w:szCs w:val="18"/>
              </w:rPr>
              <w:t>0,12</w:t>
            </w:r>
          </w:p>
        </w:tc>
      </w:tr>
      <w:tr w:rsidR="008174DB" w:rsidRPr="00DD7816" w14:paraId="64C0851C" w14:textId="77777777" w:rsidTr="00B8428D">
        <w:trPr>
          <w:trHeight w:val="217"/>
        </w:trPr>
        <w:tc>
          <w:tcPr>
            <w:tcW w:w="1091" w:type="dxa"/>
            <w:tcBorders>
              <w:top w:val="nil"/>
              <w:left w:val="single" w:sz="4" w:space="0" w:color="auto"/>
              <w:bottom w:val="single" w:sz="4" w:space="0" w:color="auto"/>
              <w:right w:val="single" w:sz="4" w:space="0" w:color="auto"/>
            </w:tcBorders>
            <w:shd w:val="clear" w:color="auto" w:fill="auto"/>
            <w:vAlign w:val="center"/>
            <w:hideMark/>
          </w:tcPr>
          <w:p w14:paraId="7E06EF83" w14:textId="77342640" w:rsidR="00BB2149" w:rsidRPr="00DD7816" w:rsidRDefault="00BB2149" w:rsidP="00B673C0">
            <w:pPr>
              <w:jc w:val="center"/>
              <w:rPr>
                <w:rFonts w:ascii="Bookman Old Style" w:hAnsi="Bookman Old Style" w:cs="Calibri"/>
                <w:sz w:val="18"/>
                <w:szCs w:val="18"/>
              </w:rPr>
            </w:pPr>
            <w:r w:rsidRPr="00DD7816">
              <w:rPr>
                <w:rFonts w:ascii="Bookman Old Style" w:hAnsi="Bookman Old Style" w:cs="Calibri"/>
                <w:sz w:val="18"/>
                <w:szCs w:val="18"/>
              </w:rPr>
              <w:t>2025</w:t>
            </w:r>
          </w:p>
        </w:tc>
        <w:tc>
          <w:tcPr>
            <w:tcW w:w="1898" w:type="dxa"/>
            <w:tcBorders>
              <w:top w:val="nil"/>
              <w:left w:val="nil"/>
              <w:bottom w:val="single" w:sz="4" w:space="0" w:color="auto"/>
              <w:right w:val="single" w:sz="4" w:space="0" w:color="auto"/>
            </w:tcBorders>
            <w:shd w:val="clear" w:color="auto" w:fill="auto"/>
            <w:noWrap/>
            <w:vAlign w:val="center"/>
            <w:hideMark/>
          </w:tcPr>
          <w:p w14:paraId="6B1F6E1F" w14:textId="4A7F8622" w:rsidR="00BB2149" w:rsidRPr="00DD7816" w:rsidRDefault="00BB2149" w:rsidP="00B673C0">
            <w:pPr>
              <w:jc w:val="right"/>
              <w:rPr>
                <w:rFonts w:ascii="Bookman Old Style" w:hAnsi="Bookman Old Style" w:cs="Calibri"/>
                <w:sz w:val="18"/>
                <w:szCs w:val="18"/>
              </w:rPr>
            </w:pPr>
            <w:r w:rsidRPr="00DD7816">
              <w:rPr>
                <w:rFonts w:ascii="Bookman Old Style" w:hAnsi="Bookman Old Style" w:cs="Calibri"/>
                <w:sz w:val="18"/>
                <w:szCs w:val="18"/>
              </w:rPr>
              <w:t>4.458.000.000,00</w:t>
            </w:r>
          </w:p>
        </w:tc>
        <w:tc>
          <w:tcPr>
            <w:tcW w:w="1898" w:type="dxa"/>
            <w:tcBorders>
              <w:top w:val="nil"/>
              <w:left w:val="nil"/>
              <w:bottom w:val="single" w:sz="4" w:space="0" w:color="auto"/>
              <w:right w:val="single" w:sz="4" w:space="0" w:color="auto"/>
            </w:tcBorders>
            <w:shd w:val="clear" w:color="auto" w:fill="auto"/>
            <w:noWrap/>
            <w:vAlign w:val="center"/>
            <w:hideMark/>
          </w:tcPr>
          <w:p w14:paraId="2FD09878" w14:textId="37B31390" w:rsidR="00BB2149" w:rsidRPr="00DD7816" w:rsidRDefault="00BB2149" w:rsidP="00B673C0">
            <w:pPr>
              <w:jc w:val="right"/>
              <w:rPr>
                <w:rFonts w:ascii="Bookman Old Style" w:hAnsi="Bookman Old Style" w:cs="Calibri"/>
                <w:sz w:val="18"/>
                <w:szCs w:val="18"/>
              </w:rPr>
            </w:pPr>
            <w:r w:rsidRPr="00DD7816">
              <w:rPr>
                <w:rFonts w:ascii="Bookman Old Style" w:hAnsi="Bookman Old Style" w:cs="Calibri"/>
                <w:sz w:val="18"/>
                <w:szCs w:val="18"/>
              </w:rPr>
              <w:t>-</w:t>
            </w:r>
          </w:p>
        </w:tc>
        <w:tc>
          <w:tcPr>
            <w:tcW w:w="721" w:type="dxa"/>
            <w:tcBorders>
              <w:top w:val="nil"/>
              <w:left w:val="nil"/>
              <w:bottom w:val="single" w:sz="4" w:space="0" w:color="auto"/>
              <w:right w:val="single" w:sz="4" w:space="0" w:color="auto"/>
            </w:tcBorders>
            <w:shd w:val="clear" w:color="auto" w:fill="auto"/>
            <w:noWrap/>
            <w:vAlign w:val="center"/>
            <w:hideMark/>
          </w:tcPr>
          <w:p w14:paraId="7075FB26" w14:textId="2CE634BE" w:rsidR="00BB2149" w:rsidRPr="00DD7816" w:rsidRDefault="00BB2149" w:rsidP="00B673C0">
            <w:pPr>
              <w:jc w:val="center"/>
              <w:rPr>
                <w:rFonts w:ascii="Bookman Old Style" w:hAnsi="Bookman Old Style" w:cs="Calibri"/>
                <w:sz w:val="18"/>
                <w:szCs w:val="18"/>
              </w:rPr>
            </w:pPr>
            <w:r w:rsidRPr="00DD7816">
              <w:rPr>
                <w:rFonts w:ascii="Bookman Old Style" w:hAnsi="Bookman Old Style" w:cs="Calibri"/>
                <w:sz w:val="18"/>
                <w:szCs w:val="18"/>
              </w:rPr>
              <w:t>-</w:t>
            </w:r>
          </w:p>
        </w:tc>
        <w:tc>
          <w:tcPr>
            <w:tcW w:w="2179" w:type="dxa"/>
            <w:tcBorders>
              <w:top w:val="nil"/>
              <w:left w:val="nil"/>
              <w:bottom w:val="single" w:sz="4" w:space="0" w:color="auto"/>
              <w:right w:val="single" w:sz="4" w:space="0" w:color="auto"/>
            </w:tcBorders>
            <w:shd w:val="clear" w:color="auto" w:fill="auto"/>
            <w:noWrap/>
            <w:vAlign w:val="center"/>
            <w:hideMark/>
          </w:tcPr>
          <w:p w14:paraId="7930CC8C" w14:textId="1B549B69" w:rsidR="00BB2149" w:rsidRPr="00DD7816" w:rsidRDefault="00BB2149" w:rsidP="00B673C0">
            <w:pPr>
              <w:jc w:val="right"/>
              <w:rPr>
                <w:rFonts w:ascii="Bookman Old Style" w:hAnsi="Bookman Old Style" w:cs="Calibri"/>
                <w:sz w:val="18"/>
                <w:szCs w:val="18"/>
              </w:rPr>
            </w:pPr>
            <w:r w:rsidRPr="00DD7816">
              <w:rPr>
                <w:rFonts w:ascii="Bookman Old Style" w:hAnsi="Bookman Old Style" w:cs="Calibri"/>
                <w:sz w:val="18"/>
                <w:szCs w:val="18"/>
              </w:rPr>
              <w:t>5.706.600.538.955,00</w:t>
            </w:r>
          </w:p>
        </w:tc>
        <w:tc>
          <w:tcPr>
            <w:tcW w:w="717" w:type="dxa"/>
            <w:tcBorders>
              <w:top w:val="nil"/>
              <w:left w:val="nil"/>
              <w:bottom w:val="single" w:sz="4" w:space="0" w:color="auto"/>
              <w:right w:val="single" w:sz="4" w:space="0" w:color="auto"/>
            </w:tcBorders>
            <w:shd w:val="clear" w:color="auto" w:fill="auto"/>
            <w:vAlign w:val="center"/>
            <w:hideMark/>
          </w:tcPr>
          <w:p w14:paraId="60241EDA" w14:textId="77777777" w:rsidR="00BB2149" w:rsidRPr="00DD7816" w:rsidRDefault="00BB2149" w:rsidP="00B673C0">
            <w:pPr>
              <w:jc w:val="center"/>
              <w:rPr>
                <w:rFonts w:ascii="Bookman Old Style" w:hAnsi="Bookman Old Style" w:cs="Calibri"/>
                <w:sz w:val="18"/>
                <w:szCs w:val="18"/>
              </w:rPr>
            </w:pPr>
            <w:r w:rsidRPr="00DD7816">
              <w:rPr>
                <w:rFonts w:ascii="Bookman Old Style" w:hAnsi="Bookman Old Style" w:cs="Calibri"/>
                <w:sz w:val="18"/>
                <w:szCs w:val="18"/>
              </w:rPr>
              <w:t>0,08</w:t>
            </w:r>
          </w:p>
        </w:tc>
      </w:tr>
    </w:tbl>
    <w:p w14:paraId="20107236" w14:textId="2EC6521D" w:rsidR="00BB2149" w:rsidRPr="003255BC" w:rsidRDefault="00BB2149" w:rsidP="00EC723E">
      <w:pPr>
        <w:pStyle w:val="ListParagraph"/>
        <w:spacing w:before="60" w:after="0" w:line="276" w:lineRule="auto"/>
        <w:ind w:left="851" w:hanging="283"/>
        <w:contextualSpacing w:val="0"/>
        <w:rPr>
          <w:rFonts w:ascii="Bookman Old Style" w:hAnsi="Bookman Old Style"/>
          <w:sz w:val="24"/>
          <w:szCs w:val="24"/>
          <w:lang w:val="sv-FI"/>
        </w:rPr>
      </w:pPr>
      <w:r w:rsidRPr="008174DB">
        <w:rPr>
          <w:rFonts w:ascii="Bookman Old Style" w:hAnsi="Bookman Old Style"/>
          <w:i/>
          <w:iCs/>
          <w:sz w:val="18"/>
          <w:szCs w:val="18"/>
        </w:rPr>
        <w:t>*)</w:t>
      </w:r>
      <w:r w:rsidR="00A954D0">
        <w:rPr>
          <w:rFonts w:ascii="Bookman Old Style" w:hAnsi="Bookman Old Style"/>
          <w:i/>
          <w:iCs/>
          <w:sz w:val="18"/>
          <w:szCs w:val="18"/>
        </w:rPr>
        <w:t xml:space="preserve"> </w:t>
      </w:r>
      <w:r w:rsidR="00EC723E">
        <w:rPr>
          <w:rFonts w:ascii="Bookman Old Style" w:hAnsi="Bookman Old Style"/>
          <w:i/>
          <w:iCs/>
          <w:sz w:val="18"/>
          <w:szCs w:val="18"/>
          <w:lang w:val="id-ID"/>
        </w:rPr>
        <w:tab/>
      </w:r>
      <w:r w:rsidRPr="008174DB">
        <w:rPr>
          <w:rFonts w:ascii="Bookman Old Style" w:hAnsi="Bookman Old Style"/>
          <w:i/>
          <w:iCs/>
          <w:sz w:val="18"/>
          <w:szCs w:val="18"/>
        </w:rPr>
        <w:t>Anggaran</w:t>
      </w:r>
      <w:r w:rsidR="00A954D0">
        <w:rPr>
          <w:rFonts w:ascii="Bookman Old Style" w:hAnsi="Bookman Old Style"/>
          <w:i/>
          <w:iCs/>
          <w:sz w:val="18"/>
          <w:szCs w:val="18"/>
        </w:rPr>
        <w:t xml:space="preserve"> </w:t>
      </w:r>
      <w:r w:rsidRPr="008174DB">
        <w:rPr>
          <w:rFonts w:ascii="Bookman Old Style" w:hAnsi="Bookman Old Style"/>
          <w:i/>
          <w:iCs/>
          <w:sz w:val="18"/>
          <w:szCs w:val="18"/>
        </w:rPr>
        <w:t>dan</w:t>
      </w:r>
      <w:r w:rsidR="00A954D0">
        <w:rPr>
          <w:rFonts w:ascii="Bookman Old Style" w:hAnsi="Bookman Old Style"/>
          <w:i/>
          <w:iCs/>
          <w:sz w:val="18"/>
          <w:szCs w:val="18"/>
        </w:rPr>
        <w:t xml:space="preserve"> </w:t>
      </w:r>
      <w:r w:rsidRPr="008174DB">
        <w:rPr>
          <w:rFonts w:ascii="Bookman Old Style" w:hAnsi="Bookman Old Style"/>
          <w:i/>
          <w:iCs/>
          <w:sz w:val="18"/>
          <w:szCs w:val="18"/>
        </w:rPr>
        <w:t>Realisasi</w:t>
      </w:r>
      <w:r w:rsidR="00A954D0">
        <w:rPr>
          <w:rFonts w:ascii="Bookman Old Style" w:hAnsi="Bookman Old Style"/>
          <w:i/>
          <w:iCs/>
          <w:sz w:val="18"/>
          <w:szCs w:val="18"/>
        </w:rPr>
        <w:t xml:space="preserve"> </w:t>
      </w:r>
      <w:r w:rsidRPr="008174DB">
        <w:rPr>
          <w:rFonts w:ascii="Bookman Old Style" w:hAnsi="Bookman Old Style"/>
          <w:i/>
          <w:iCs/>
          <w:sz w:val="18"/>
          <w:szCs w:val="18"/>
        </w:rPr>
        <w:t>Tahun</w:t>
      </w:r>
      <w:r w:rsidR="00A954D0">
        <w:rPr>
          <w:rFonts w:ascii="Bookman Old Style" w:hAnsi="Bookman Old Style"/>
          <w:i/>
          <w:iCs/>
          <w:sz w:val="18"/>
          <w:szCs w:val="18"/>
        </w:rPr>
        <w:t xml:space="preserve"> </w:t>
      </w:r>
      <w:r w:rsidRPr="008174DB">
        <w:rPr>
          <w:rFonts w:ascii="Bookman Old Style" w:hAnsi="Bookman Old Style"/>
          <w:i/>
          <w:iCs/>
          <w:sz w:val="18"/>
          <w:szCs w:val="18"/>
        </w:rPr>
        <w:t>2024</w:t>
      </w:r>
      <w:r w:rsidR="00A954D0">
        <w:rPr>
          <w:rFonts w:ascii="Bookman Old Style" w:hAnsi="Bookman Old Style"/>
          <w:i/>
          <w:iCs/>
          <w:sz w:val="18"/>
          <w:szCs w:val="18"/>
        </w:rPr>
        <w:t xml:space="preserve"> </w:t>
      </w:r>
      <w:r w:rsidRPr="008174DB">
        <w:rPr>
          <w:rFonts w:ascii="Bookman Old Style" w:hAnsi="Bookman Old Style"/>
          <w:i/>
          <w:iCs/>
          <w:sz w:val="18"/>
          <w:szCs w:val="18"/>
        </w:rPr>
        <w:t>berdasarkan</w:t>
      </w:r>
      <w:r w:rsidR="00A954D0">
        <w:rPr>
          <w:rFonts w:ascii="Bookman Old Style" w:hAnsi="Bookman Old Style"/>
          <w:i/>
          <w:iCs/>
          <w:sz w:val="18"/>
          <w:szCs w:val="18"/>
        </w:rPr>
        <w:t xml:space="preserve"> </w:t>
      </w:r>
      <w:r w:rsidRPr="008174DB">
        <w:rPr>
          <w:rFonts w:ascii="Bookman Old Style" w:hAnsi="Bookman Old Style"/>
          <w:i/>
          <w:iCs/>
          <w:sz w:val="18"/>
          <w:szCs w:val="18"/>
        </w:rPr>
        <w:t>Laporan</w:t>
      </w:r>
      <w:r w:rsidR="00A954D0">
        <w:rPr>
          <w:rFonts w:ascii="Bookman Old Style" w:hAnsi="Bookman Old Style"/>
          <w:i/>
          <w:iCs/>
          <w:sz w:val="18"/>
          <w:szCs w:val="18"/>
        </w:rPr>
        <w:t xml:space="preserve"> </w:t>
      </w:r>
      <w:r w:rsidRPr="008174DB">
        <w:rPr>
          <w:rFonts w:ascii="Bookman Old Style" w:hAnsi="Bookman Old Style"/>
          <w:i/>
          <w:iCs/>
          <w:sz w:val="18"/>
          <w:szCs w:val="18"/>
        </w:rPr>
        <w:t>Realisasi</w:t>
      </w:r>
      <w:r w:rsidR="00A954D0">
        <w:rPr>
          <w:rFonts w:ascii="Bookman Old Style" w:hAnsi="Bookman Old Style"/>
          <w:i/>
          <w:iCs/>
          <w:sz w:val="18"/>
          <w:szCs w:val="18"/>
        </w:rPr>
        <w:t xml:space="preserve"> </w:t>
      </w:r>
      <w:r w:rsidRPr="008174DB">
        <w:rPr>
          <w:rFonts w:ascii="Bookman Old Style" w:hAnsi="Bookman Old Style"/>
          <w:i/>
          <w:iCs/>
          <w:sz w:val="18"/>
          <w:szCs w:val="18"/>
        </w:rPr>
        <w:t>Anggaran</w:t>
      </w:r>
      <w:r w:rsidR="00A954D0">
        <w:rPr>
          <w:rFonts w:ascii="Bookman Old Style" w:hAnsi="Bookman Old Style"/>
          <w:i/>
          <w:iCs/>
          <w:sz w:val="18"/>
          <w:szCs w:val="18"/>
        </w:rPr>
        <w:t xml:space="preserve"> </w:t>
      </w:r>
      <w:r w:rsidRPr="008174DB">
        <w:rPr>
          <w:rFonts w:ascii="Bookman Old Style" w:hAnsi="Bookman Old Style"/>
          <w:i/>
          <w:iCs/>
          <w:sz w:val="18"/>
          <w:szCs w:val="18"/>
        </w:rPr>
        <w:t>s.d.</w:t>
      </w:r>
      <w:r w:rsidR="00A954D0">
        <w:rPr>
          <w:rFonts w:ascii="Bookman Old Style" w:hAnsi="Bookman Old Style"/>
          <w:i/>
          <w:iCs/>
          <w:sz w:val="18"/>
          <w:szCs w:val="18"/>
        </w:rPr>
        <w:t xml:space="preserve"> </w:t>
      </w:r>
      <w:r w:rsidRPr="008174DB">
        <w:rPr>
          <w:rFonts w:ascii="Bookman Old Style" w:hAnsi="Bookman Old Style"/>
          <w:i/>
          <w:iCs/>
          <w:sz w:val="18"/>
          <w:szCs w:val="18"/>
        </w:rPr>
        <w:t>31</w:t>
      </w:r>
      <w:r w:rsidR="00A954D0">
        <w:rPr>
          <w:rFonts w:ascii="Bookman Old Style" w:hAnsi="Bookman Old Style"/>
          <w:i/>
          <w:iCs/>
          <w:sz w:val="18"/>
          <w:szCs w:val="18"/>
        </w:rPr>
        <w:t xml:space="preserve"> </w:t>
      </w:r>
      <w:r w:rsidRPr="008174DB">
        <w:rPr>
          <w:rFonts w:ascii="Bookman Old Style" w:hAnsi="Bookman Old Style"/>
          <w:i/>
          <w:iCs/>
          <w:sz w:val="18"/>
          <w:szCs w:val="18"/>
        </w:rPr>
        <w:t>Oktober</w:t>
      </w:r>
      <w:r w:rsidR="00A954D0">
        <w:rPr>
          <w:rFonts w:ascii="Bookman Old Style" w:hAnsi="Bookman Old Style"/>
          <w:i/>
          <w:iCs/>
          <w:sz w:val="18"/>
          <w:szCs w:val="18"/>
        </w:rPr>
        <w:t xml:space="preserve"> </w:t>
      </w:r>
      <w:r w:rsidRPr="008174DB">
        <w:rPr>
          <w:rFonts w:ascii="Bookman Old Style" w:hAnsi="Bookman Old Style"/>
          <w:i/>
          <w:iCs/>
          <w:sz w:val="18"/>
          <w:szCs w:val="18"/>
        </w:rPr>
        <w:t>2024</w:t>
      </w:r>
    </w:p>
    <w:p w14:paraId="79ECC1C3" w14:textId="4045922E" w:rsidR="0004728E" w:rsidRPr="003255BC" w:rsidRDefault="00B8428D" w:rsidP="00B8428D">
      <w:pPr>
        <w:spacing w:before="60" w:line="276" w:lineRule="auto"/>
        <w:ind w:left="1701"/>
        <w:jc w:val="both"/>
        <w:rPr>
          <w:rFonts w:ascii="Bookman Old Style" w:hAnsi="Bookman Old Style"/>
          <w:lang w:val="sv-FI"/>
        </w:rPr>
      </w:pPr>
      <w:r>
        <w:rPr>
          <w:rFonts w:ascii="Bookman Old Style" w:hAnsi="Bookman Old Style"/>
          <w:lang w:val="sv-FI"/>
        </w:rPr>
        <w:t>D</w:t>
      </w:r>
      <w:r w:rsidR="0004728E" w:rsidRPr="003255BC">
        <w:rPr>
          <w:rFonts w:ascii="Bookman Old Style" w:hAnsi="Bookman Old Style"/>
          <w:lang w:val="sv-FI"/>
        </w:rPr>
        <w:t>ianggarkan</w:t>
      </w:r>
      <w:r w:rsidR="00A954D0" w:rsidRPr="003255BC">
        <w:rPr>
          <w:rFonts w:ascii="Bookman Old Style" w:hAnsi="Bookman Old Style"/>
          <w:lang w:val="sv-FI"/>
        </w:rPr>
        <w:t xml:space="preserve"> </w:t>
      </w:r>
      <w:r w:rsidR="0004728E" w:rsidRPr="003255BC">
        <w:rPr>
          <w:rFonts w:ascii="Bookman Old Style" w:hAnsi="Bookman Old Style"/>
          <w:lang w:val="sv-FI"/>
        </w:rPr>
        <w:t>dalam</w:t>
      </w:r>
      <w:r w:rsidR="00A954D0" w:rsidRPr="003255BC">
        <w:rPr>
          <w:rFonts w:ascii="Bookman Old Style" w:hAnsi="Bookman Old Style"/>
          <w:lang w:val="sv-FI"/>
        </w:rPr>
        <w:t xml:space="preserve"> </w:t>
      </w:r>
      <w:r w:rsidR="0004728E" w:rsidRPr="003255BC">
        <w:rPr>
          <w:rFonts w:ascii="Bookman Old Style" w:hAnsi="Bookman Old Style"/>
          <w:lang w:val="sv-FI"/>
        </w:rPr>
        <w:t>Rancangan</w:t>
      </w:r>
      <w:r w:rsidR="00A954D0" w:rsidRPr="003255BC">
        <w:rPr>
          <w:rFonts w:ascii="Bookman Old Style" w:hAnsi="Bookman Old Style"/>
          <w:lang w:val="sv-FI"/>
        </w:rPr>
        <w:t xml:space="preserve"> </w:t>
      </w:r>
      <w:r w:rsidR="0004728E" w:rsidRPr="003255BC">
        <w:rPr>
          <w:rFonts w:ascii="Bookman Old Style" w:hAnsi="Bookman Old Style"/>
          <w:lang w:val="sv-FI"/>
        </w:rPr>
        <w:t>Peraturan</w:t>
      </w:r>
      <w:r w:rsidR="00A954D0" w:rsidRPr="003255BC">
        <w:rPr>
          <w:rFonts w:ascii="Bookman Old Style" w:hAnsi="Bookman Old Style"/>
          <w:lang w:val="sv-FI"/>
        </w:rPr>
        <w:t xml:space="preserve"> </w:t>
      </w:r>
      <w:r w:rsidR="0004728E" w:rsidRPr="003255BC">
        <w:rPr>
          <w:rFonts w:ascii="Bookman Old Style" w:hAnsi="Bookman Old Style"/>
          <w:lang w:val="sv-FI"/>
        </w:rPr>
        <w:t>Daerah</w:t>
      </w:r>
      <w:r w:rsidR="00A954D0" w:rsidRPr="003255BC">
        <w:rPr>
          <w:rFonts w:ascii="Bookman Old Style" w:hAnsi="Bookman Old Style"/>
          <w:lang w:val="sv-FI"/>
        </w:rPr>
        <w:t xml:space="preserve"> </w:t>
      </w:r>
      <w:r w:rsidR="0004728E" w:rsidRPr="003255BC">
        <w:rPr>
          <w:rFonts w:ascii="Bookman Old Style" w:hAnsi="Bookman Old Style"/>
          <w:lang w:val="sv-FI"/>
        </w:rPr>
        <w:t>Kota</w:t>
      </w:r>
      <w:r w:rsidR="00A954D0" w:rsidRPr="003255BC">
        <w:rPr>
          <w:rFonts w:ascii="Bookman Old Style" w:hAnsi="Bookman Old Style"/>
          <w:lang w:val="sv-FI"/>
        </w:rPr>
        <w:t xml:space="preserve"> </w:t>
      </w:r>
      <w:r w:rsidR="0004728E" w:rsidRPr="003255BC">
        <w:rPr>
          <w:rFonts w:ascii="Bookman Old Style" w:hAnsi="Bookman Old Style"/>
          <w:lang w:val="sv-FI"/>
        </w:rPr>
        <w:t>Tangerang</w:t>
      </w:r>
      <w:r w:rsidR="00A954D0" w:rsidRPr="003255BC">
        <w:rPr>
          <w:rFonts w:ascii="Bookman Old Style" w:hAnsi="Bookman Old Style"/>
          <w:lang w:val="sv-FI"/>
        </w:rPr>
        <w:t xml:space="preserve"> </w:t>
      </w:r>
      <w:r w:rsidR="0004728E" w:rsidRPr="003255BC">
        <w:rPr>
          <w:rFonts w:ascii="Bookman Old Style" w:hAnsi="Bookman Old Style"/>
          <w:lang w:val="sv-FI"/>
        </w:rPr>
        <w:t>tentang</w:t>
      </w:r>
      <w:r w:rsidR="00A954D0" w:rsidRPr="003255BC">
        <w:rPr>
          <w:rFonts w:ascii="Bookman Old Style" w:hAnsi="Bookman Old Style"/>
          <w:lang w:val="sv-FI"/>
        </w:rPr>
        <w:t xml:space="preserve"> </w:t>
      </w:r>
      <w:r w:rsidR="0004728E" w:rsidRPr="003255BC">
        <w:rPr>
          <w:rFonts w:ascii="Bookman Old Style" w:hAnsi="Bookman Old Style"/>
          <w:lang w:val="sv-FI"/>
        </w:rPr>
        <w:t>APBD</w:t>
      </w:r>
      <w:r w:rsidR="00A954D0" w:rsidRPr="003255BC">
        <w:rPr>
          <w:rFonts w:ascii="Bookman Old Style" w:hAnsi="Bookman Old Style"/>
          <w:lang w:val="sv-FI"/>
        </w:rPr>
        <w:t xml:space="preserve"> </w:t>
      </w:r>
      <w:r w:rsidR="0004728E" w:rsidRPr="003255BC">
        <w:rPr>
          <w:rFonts w:ascii="Bookman Old Style" w:hAnsi="Bookman Old Style"/>
          <w:lang w:val="sv-FI"/>
        </w:rPr>
        <w:t>Tahun</w:t>
      </w:r>
      <w:r w:rsidR="00A954D0" w:rsidRPr="003255BC">
        <w:rPr>
          <w:rFonts w:ascii="Bookman Old Style" w:hAnsi="Bookman Old Style"/>
          <w:lang w:val="sv-FI"/>
        </w:rPr>
        <w:t xml:space="preserve"> </w:t>
      </w:r>
      <w:r w:rsidR="0004728E" w:rsidRPr="003255BC">
        <w:rPr>
          <w:rFonts w:ascii="Bookman Old Style" w:hAnsi="Bookman Old Style"/>
          <w:lang w:val="sv-FI"/>
        </w:rPr>
        <w:t>Anggaran</w:t>
      </w:r>
      <w:r w:rsidR="00A954D0" w:rsidRPr="003255BC">
        <w:rPr>
          <w:rFonts w:ascii="Bookman Old Style" w:hAnsi="Bookman Old Style"/>
          <w:lang w:val="sv-FI"/>
        </w:rPr>
        <w:t xml:space="preserve"> </w:t>
      </w:r>
      <w:r w:rsidR="0004728E" w:rsidRPr="003255BC">
        <w:rPr>
          <w:rFonts w:ascii="Bookman Old Style" w:hAnsi="Bookman Old Style"/>
          <w:lang w:val="sv-FI"/>
        </w:rPr>
        <w:t>2025</w:t>
      </w:r>
      <w:r w:rsidR="00A954D0" w:rsidRPr="003255BC">
        <w:rPr>
          <w:rFonts w:ascii="Bookman Old Style" w:hAnsi="Bookman Old Style"/>
          <w:lang w:val="sv-FI"/>
        </w:rPr>
        <w:t xml:space="preserve"> </w:t>
      </w:r>
      <w:r w:rsidR="0004728E" w:rsidRPr="003255BC">
        <w:rPr>
          <w:rFonts w:ascii="Bookman Old Style" w:hAnsi="Bookman Old Style"/>
          <w:lang w:val="sv-FI"/>
        </w:rPr>
        <w:t>dengan</w:t>
      </w:r>
      <w:r w:rsidR="00A954D0" w:rsidRPr="003255BC">
        <w:rPr>
          <w:rFonts w:ascii="Bookman Old Style" w:hAnsi="Bookman Old Style"/>
          <w:lang w:val="sv-FI"/>
        </w:rPr>
        <w:t xml:space="preserve"> </w:t>
      </w:r>
      <w:r w:rsidR="0004728E" w:rsidRPr="003255BC">
        <w:rPr>
          <w:rFonts w:ascii="Bookman Old Style" w:hAnsi="Bookman Old Style"/>
          <w:lang w:val="sv-FI"/>
        </w:rPr>
        <w:t>berpedoman</w:t>
      </w:r>
      <w:r w:rsidR="00A954D0" w:rsidRPr="003255BC">
        <w:rPr>
          <w:rFonts w:ascii="Bookman Old Style" w:hAnsi="Bookman Old Style"/>
          <w:lang w:val="sv-FI"/>
        </w:rPr>
        <w:t xml:space="preserve"> </w:t>
      </w:r>
      <w:r w:rsidR="0004728E" w:rsidRPr="003255BC">
        <w:rPr>
          <w:rFonts w:ascii="Bookman Old Style" w:hAnsi="Bookman Old Style"/>
          <w:lang w:val="sv-FI"/>
        </w:rPr>
        <w:t>pada</w:t>
      </w:r>
      <w:r w:rsidR="00A954D0" w:rsidRPr="003255BC">
        <w:rPr>
          <w:rFonts w:ascii="Bookman Old Style" w:hAnsi="Bookman Old Style"/>
          <w:lang w:val="sv-FI"/>
        </w:rPr>
        <w:t xml:space="preserve"> </w:t>
      </w:r>
      <w:r w:rsidR="0004728E" w:rsidRPr="003255BC">
        <w:rPr>
          <w:rFonts w:ascii="Bookman Old Style" w:hAnsi="Bookman Old Style"/>
          <w:lang w:val="sv-FI"/>
        </w:rPr>
        <w:t>Pasal</w:t>
      </w:r>
      <w:r w:rsidR="00A954D0" w:rsidRPr="003255BC">
        <w:rPr>
          <w:rFonts w:ascii="Bookman Old Style" w:hAnsi="Bookman Old Style"/>
          <w:lang w:val="sv-FI"/>
        </w:rPr>
        <w:t xml:space="preserve"> </w:t>
      </w:r>
      <w:r w:rsidR="0004728E" w:rsidRPr="003255BC">
        <w:rPr>
          <w:rFonts w:ascii="Bookman Old Style" w:hAnsi="Bookman Old Style"/>
          <w:lang w:val="sv-FI"/>
        </w:rPr>
        <w:t>298</w:t>
      </w:r>
      <w:r w:rsidR="00A954D0" w:rsidRPr="003255BC">
        <w:rPr>
          <w:rFonts w:ascii="Bookman Old Style" w:hAnsi="Bookman Old Style"/>
          <w:lang w:val="sv-FI"/>
        </w:rPr>
        <w:t xml:space="preserve"> </w:t>
      </w:r>
      <w:r w:rsidR="0004728E" w:rsidRPr="003255BC">
        <w:rPr>
          <w:rFonts w:ascii="Bookman Old Style" w:hAnsi="Bookman Old Style"/>
          <w:lang w:val="sv-FI"/>
        </w:rPr>
        <w:t>ayat</w:t>
      </w:r>
      <w:r w:rsidR="00A954D0" w:rsidRPr="003255BC">
        <w:rPr>
          <w:rFonts w:ascii="Bookman Old Style" w:hAnsi="Bookman Old Style"/>
          <w:lang w:val="sv-FI"/>
        </w:rPr>
        <w:t xml:space="preserve"> </w:t>
      </w:r>
      <w:r w:rsidR="0004728E" w:rsidRPr="003255BC">
        <w:rPr>
          <w:rFonts w:ascii="Bookman Old Style" w:hAnsi="Bookman Old Style"/>
          <w:lang w:val="sv-FI"/>
        </w:rPr>
        <w:t>(4)</w:t>
      </w:r>
      <w:r w:rsidR="00A954D0" w:rsidRPr="003255BC">
        <w:rPr>
          <w:rFonts w:ascii="Bookman Old Style" w:hAnsi="Bookman Old Style"/>
          <w:lang w:val="sv-FI"/>
        </w:rPr>
        <w:t xml:space="preserve"> </w:t>
      </w:r>
      <w:r w:rsidR="0004728E" w:rsidRPr="003255BC">
        <w:rPr>
          <w:rFonts w:ascii="Bookman Old Style" w:hAnsi="Bookman Old Style"/>
          <w:lang w:val="sv-FI"/>
        </w:rPr>
        <w:t>Undang-Undang</w:t>
      </w:r>
      <w:r w:rsidR="00A954D0" w:rsidRPr="003255BC">
        <w:rPr>
          <w:rFonts w:ascii="Bookman Old Style" w:hAnsi="Bookman Old Style"/>
          <w:lang w:val="sv-FI"/>
        </w:rPr>
        <w:t xml:space="preserve"> </w:t>
      </w:r>
      <w:r w:rsidR="0004728E" w:rsidRPr="003255BC">
        <w:rPr>
          <w:rFonts w:ascii="Bookman Old Style" w:hAnsi="Bookman Old Style"/>
          <w:lang w:val="sv-FI"/>
        </w:rPr>
        <w:t>Nomor</w:t>
      </w:r>
      <w:r w:rsidR="00A954D0" w:rsidRPr="003255BC">
        <w:rPr>
          <w:rFonts w:ascii="Bookman Old Style" w:hAnsi="Bookman Old Style"/>
          <w:lang w:val="sv-FI"/>
        </w:rPr>
        <w:t xml:space="preserve"> </w:t>
      </w:r>
      <w:r w:rsidR="0004728E" w:rsidRPr="003255BC">
        <w:rPr>
          <w:rFonts w:ascii="Bookman Old Style" w:hAnsi="Bookman Old Style"/>
          <w:lang w:val="sv-FI"/>
        </w:rPr>
        <w:t>23</w:t>
      </w:r>
      <w:r w:rsidR="00A954D0" w:rsidRPr="003255BC">
        <w:rPr>
          <w:rFonts w:ascii="Bookman Old Style" w:hAnsi="Bookman Old Style"/>
          <w:lang w:val="sv-FI"/>
        </w:rPr>
        <w:t xml:space="preserve"> </w:t>
      </w:r>
      <w:r w:rsidR="0004728E" w:rsidRPr="003255BC">
        <w:rPr>
          <w:rFonts w:ascii="Bookman Old Style" w:hAnsi="Bookman Old Style"/>
          <w:lang w:val="sv-FI"/>
        </w:rPr>
        <w:t>Tahun</w:t>
      </w:r>
      <w:r w:rsidR="00A954D0" w:rsidRPr="003255BC">
        <w:rPr>
          <w:rFonts w:ascii="Bookman Old Style" w:hAnsi="Bookman Old Style"/>
          <w:lang w:val="sv-FI"/>
        </w:rPr>
        <w:t xml:space="preserve"> </w:t>
      </w:r>
      <w:r w:rsidR="0004728E" w:rsidRPr="003255BC">
        <w:rPr>
          <w:rFonts w:ascii="Bookman Old Style" w:hAnsi="Bookman Old Style"/>
          <w:lang w:val="sv-FI"/>
        </w:rPr>
        <w:t>2014,</w:t>
      </w:r>
      <w:r w:rsidR="00A954D0" w:rsidRPr="003255BC">
        <w:rPr>
          <w:rFonts w:ascii="Bookman Old Style" w:hAnsi="Bookman Old Style"/>
          <w:lang w:val="sv-FI"/>
        </w:rPr>
        <w:t xml:space="preserve"> </w:t>
      </w:r>
      <w:r w:rsidR="0004728E" w:rsidRPr="003255BC">
        <w:rPr>
          <w:rFonts w:ascii="Bookman Old Style" w:hAnsi="Bookman Old Style"/>
          <w:lang w:val="sv-FI"/>
        </w:rPr>
        <w:t>sebagaimana</w:t>
      </w:r>
      <w:r w:rsidR="00A954D0" w:rsidRPr="003255BC">
        <w:rPr>
          <w:rFonts w:ascii="Bookman Old Style" w:hAnsi="Bookman Old Style"/>
          <w:lang w:val="sv-FI"/>
        </w:rPr>
        <w:t xml:space="preserve"> </w:t>
      </w:r>
      <w:r w:rsidR="0004728E" w:rsidRPr="003255BC">
        <w:rPr>
          <w:rFonts w:ascii="Bookman Old Style" w:hAnsi="Bookman Old Style"/>
          <w:lang w:val="sv-FI"/>
        </w:rPr>
        <w:t>telah</w:t>
      </w:r>
      <w:r w:rsidR="00A954D0" w:rsidRPr="003255BC">
        <w:rPr>
          <w:rFonts w:ascii="Bookman Old Style" w:hAnsi="Bookman Old Style"/>
          <w:lang w:val="sv-FI"/>
        </w:rPr>
        <w:t xml:space="preserve"> </w:t>
      </w:r>
      <w:r w:rsidR="0004728E" w:rsidRPr="003255BC">
        <w:rPr>
          <w:rFonts w:ascii="Bookman Old Style" w:hAnsi="Bookman Old Style"/>
          <w:lang w:val="sv-FI"/>
        </w:rPr>
        <w:t>diubah</w:t>
      </w:r>
      <w:r w:rsidR="00A954D0" w:rsidRPr="003255BC">
        <w:rPr>
          <w:rFonts w:ascii="Bookman Old Style" w:hAnsi="Bookman Old Style"/>
          <w:lang w:val="sv-FI"/>
        </w:rPr>
        <w:t xml:space="preserve"> </w:t>
      </w:r>
      <w:r w:rsidR="0004728E" w:rsidRPr="003255BC">
        <w:rPr>
          <w:rFonts w:ascii="Bookman Old Style" w:hAnsi="Bookman Old Style"/>
          <w:lang w:val="sv-FI"/>
        </w:rPr>
        <w:t>beberapa</w:t>
      </w:r>
      <w:r w:rsidR="00A954D0" w:rsidRPr="003255BC">
        <w:rPr>
          <w:rFonts w:ascii="Bookman Old Style" w:hAnsi="Bookman Old Style"/>
          <w:lang w:val="sv-FI"/>
        </w:rPr>
        <w:t xml:space="preserve"> </w:t>
      </w:r>
      <w:r w:rsidR="0004728E" w:rsidRPr="003255BC">
        <w:rPr>
          <w:rFonts w:ascii="Bookman Old Style" w:hAnsi="Bookman Old Style"/>
          <w:lang w:val="sv-FI"/>
        </w:rPr>
        <w:t>kali</w:t>
      </w:r>
      <w:r w:rsidR="00A954D0" w:rsidRPr="003255BC">
        <w:rPr>
          <w:rFonts w:ascii="Bookman Old Style" w:hAnsi="Bookman Old Style"/>
          <w:lang w:val="sv-FI"/>
        </w:rPr>
        <w:t xml:space="preserve"> </w:t>
      </w:r>
      <w:r w:rsidR="0004728E" w:rsidRPr="003255BC">
        <w:rPr>
          <w:rFonts w:ascii="Bookman Old Style" w:hAnsi="Bookman Old Style"/>
          <w:lang w:val="sv-FI"/>
        </w:rPr>
        <w:t>terakhir</w:t>
      </w:r>
      <w:r w:rsidR="00A954D0" w:rsidRPr="003255BC">
        <w:rPr>
          <w:rFonts w:ascii="Bookman Old Style" w:hAnsi="Bookman Old Style"/>
          <w:lang w:val="sv-FI"/>
        </w:rPr>
        <w:t xml:space="preserve"> </w:t>
      </w:r>
      <w:r w:rsidR="0004728E" w:rsidRPr="003255BC">
        <w:rPr>
          <w:rFonts w:ascii="Bookman Old Style" w:hAnsi="Bookman Old Style"/>
          <w:lang w:val="sv-FI"/>
        </w:rPr>
        <w:t>dengan</w:t>
      </w:r>
      <w:r w:rsidR="00A954D0" w:rsidRPr="003255BC">
        <w:rPr>
          <w:rFonts w:ascii="Bookman Old Style" w:hAnsi="Bookman Old Style"/>
          <w:lang w:val="sv-FI"/>
        </w:rPr>
        <w:t xml:space="preserve"> </w:t>
      </w:r>
      <w:r w:rsidR="0004728E" w:rsidRPr="003255BC">
        <w:rPr>
          <w:rFonts w:ascii="Bookman Old Style" w:hAnsi="Bookman Old Style"/>
          <w:lang w:val="sv-FI"/>
        </w:rPr>
        <w:t>Undang-Undang</w:t>
      </w:r>
      <w:r w:rsidR="00A954D0" w:rsidRPr="003255BC">
        <w:rPr>
          <w:rFonts w:ascii="Bookman Old Style" w:hAnsi="Bookman Old Style"/>
          <w:lang w:val="sv-FI"/>
        </w:rPr>
        <w:t xml:space="preserve"> </w:t>
      </w:r>
      <w:r w:rsidR="0004728E" w:rsidRPr="003255BC">
        <w:rPr>
          <w:rFonts w:ascii="Bookman Old Style" w:hAnsi="Bookman Old Style"/>
          <w:lang w:val="sv-FI"/>
        </w:rPr>
        <w:t>Nomor</w:t>
      </w:r>
      <w:r w:rsidR="00A954D0" w:rsidRPr="003255BC">
        <w:rPr>
          <w:rFonts w:ascii="Bookman Old Style" w:hAnsi="Bookman Old Style"/>
          <w:lang w:val="sv-FI"/>
        </w:rPr>
        <w:t xml:space="preserve"> </w:t>
      </w:r>
      <w:r w:rsidR="0004728E" w:rsidRPr="003255BC">
        <w:rPr>
          <w:rFonts w:ascii="Bookman Old Style" w:hAnsi="Bookman Old Style"/>
          <w:lang w:val="sv-FI"/>
        </w:rPr>
        <w:t>6</w:t>
      </w:r>
      <w:r w:rsidR="00A954D0" w:rsidRPr="003255BC">
        <w:rPr>
          <w:rFonts w:ascii="Bookman Old Style" w:hAnsi="Bookman Old Style"/>
          <w:lang w:val="sv-FI"/>
        </w:rPr>
        <w:t xml:space="preserve"> </w:t>
      </w:r>
      <w:r w:rsidR="0004728E" w:rsidRPr="003255BC">
        <w:rPr>
          <w:rFonts w:ascii="Bookman Old Style" w:hAnsi="Bookman Old Style"/>
          <w:lang w:val="sv-FI"/>
        </w:rPr>
        <w:t>Tahun</w:t>
      </w:r>
      <w:r w:rsidR="00A954D0" w:rsidRPr="003255BC">
        <w:rPr>
          <w:rFonts w:ascii="Bookman Old Style" w:hAnsi="Bookman Old Style"/>
          <w:lang w:val="sv-FI"/>
        </w:rPr>
        <w:t xml:space="preserve"> </w:t>
      </w:r>
      <w:r w:rsidR="0004728E" w:rsidRPr="003255BC">
        <w:rPr>
          <w:rFonts w:ascii="Bookman Old Style" w:hAnsi="Bookman Old Style"/>
          <w:lang w:val="sv-FI"/>
        </w:rPr>
        <w:t>2023,</w:t>
      </w:r>
      <w:r w:rsidR="00A954D0" w:rsidRPr="003255BC">
        <w:rPr>
          <w:rFonts w:ascii="Bookman Old Style" w:hAnsi="Bookman Old Style"/>
          <w:lang w:val="sv-FI"/>
        </w:rPr>
        <w:t xml:space="preserve"> </w:t>
      </w:r>
      <w:r w:rsidR="0004728E" w:rsidRPr="003255BC">
        <w:rPr>
          <w:rFonts w:ascii="Bookman Old Style" w:hAnsi="Bookman Old Style"/>
          <w:lang w:val="sv-FI"/>
        </w:rPr>
        <w:t>Pasal</w:t>
      </w:r>
      <w:r w:rsidR="00A954D0" w:rsidRPr="003255BC">
        <w:rPr>
          <w:rFonts w:ascii="Bookman Old Style" w:hAnsi="Bookman Old Style"/>
          <w:lang w:val="sv-FI"/>
        </w:rPr>
        <w:t xml:space="preserve"> </w:t>
      </w:r>
      <w:r w:rsidR="0004728E" w:rsidRPr="003255BC">
        <w:rPr>
          <w:rFonts w:ascii="Bookman Old Style" w:hAnsi="Bookman Old Style"/>
          <w:lang w:val="sv-FI"/>
        </w:rPr>
        <w:t>63</w:t>
      </w:r>
      <w:r w:rsidR="00A954D0" w:rsidRPr="003255BC">
        <w:rPr>
          <w:rFonts w:ascii="Bookman Old Style" w:hAnsi="Bookman Old Style"/>
          <w:lang w:val="sv-FI"/>
        </w:rPr>
        <w:t xml:space="preserve"> </w:t>
      </w:r>
      <w:r w:rsidR="0004728E" w:rsidRPr="003255BC">
        <w:rPr>
          <w:rFonts w:ascii="Bookman Old Style" w:hAnsi="Bookman Old Style"/>
          <w:lang w:val="sv-FI"/>
        </w:rPr>
        <w:t>Peraturan</w:t>
      </w:r>
      <w:r w:rsidR="00A954D0" w:rsidRPr="003255BC">
        <w:rPr>
          <w:rFonts w:ascii="Bookman Old Style" w:hAnsi="Bookman Old Style"/>
          <w:lang w:val="sv-FI"/>
        </w:rPr>
        <w:t xml:space="preserve"> </w:t>
      </w:r>
      <w:r w:rsidR="0004728E" w:rsidRPr="003255BC">
        <w:rPr>
          <w:rFonts w:ascii="Bookman Old Style" w:hAnsi="Bookman Old Style"/>
          <w:lang w:val="sv-FI"/>
        </w:rPr>
        <w:t>Pemerintah</w:t>
      </w:r>
      <w:r w:rsidR="00A954D0" w:rsidRPr="003255BC">
        <w:rPr>
          <w:rFonts w:ascii="Bookman Old Style" w:hAnsi="Bookman Old Style"/>
          <w:lang w:val="sv-FI"/>
        </w:rPr>
        <w:t xml:space="preserve"> </w:t>
      </w:r>
      <w:r w:rsidR="0004728E" w:rsidRPr="003255BC">
        <w:rPr>
          <w:rFonts w:ascii="Bookman Old Style" w:hAnsi="Bookman Old Style"/>
          <w:lang w:val="sv-FI"/>
        </w:rPr>
        <w:t>Nomor</w:t>
      </w:r>
      <w:r w:rsidR="00A954D0" w:rsidRPr="003255BC">
        <w:rPr>
          <w:rFonts w:ascii="Bookman Old Style" w:hAnsi="Bookman Old Style"/>
          <w:lang w:val="sv-FI"/>
        </w:rPr>
        <w:t xml:space="preserve"> </w:t>
      </w:r>
      <w:r w:rsidR="0004728E" w:rsidRPr="003255BC">
        <w:rPr>
          <w:rFonts w:ascii="Bookman Old Style" w:hAnsi="Bookman Old Style"/>
          <w:lang w:val="sv-FI"/>
        </w:rPr>
        <w:t>12</w:t>
      </w:r>
      <w:r w:rsidR="00A954D0" w:rsidRPr="003255BC">
        <w:rPr>
          <w:rFonts w:ascii="Bookman Old Style" w:hAnsi="Bookman Old Style"/>
          <w:lang w:val="sv-FI"/>
        </w:rPr>
        <w:t xml:space="preserve"> </w:t>
      </w:r>
      <w:r w:rsidR="0004728E" w:rsidRPr="003255BC">
        <w:rPr>
          <w:rFonts w:ascii="Bookman Old Style" w:hAnsi="Bookman Old Style"/>
          <w:lang w:val="sv-FI"/>
        </w:rPr>
        <w:t>Tahun</w:t>
      </w:r>
      <w:r w:rsidR="00A954D0" w:rsidRPr="003255BC">
        <w:rPr>
          <w:rFonts w:ascii="Bookman Old Style" w:hAnsi="Bookman Old Style"/>
          <w:lang w:val="sv-FI"/>
        </w:rPr>
        <w:t xml:space="preserve"> </w:t>
      </w:r>
      <w:r w:rsidR="0004728E" w:rsidRPr="003255BC">
        <w:rPr>
          <w:rFonts w:ascii="Bookman Old Style" w:hAnsi="Bookman Old Style"/>
          <w:lang w:val="sv-FI"/>
        </w:rPr>
        <w:t>2019,</w:t>
      </w:r>
      <w:r w:rsidR="00A954D0" w:rsidRPr="003255BC">
        <w:rPr>
          <w:rFonts w:ascii="Bookman Old Style" w:hAnsi="Bookman Old Style"/>
          <w:lang w:val="sv-FI"/>
        </w:rPr>
        <w:t xml:space="preserve"> </w:t>
      </w:r>
      <w:r w:rsidR="0004728E" w:rsidRPr="003255BC">
        <w:rPr>
          <w:rFonts w:ascii="Bookman Old Style" w:hAnsi="Bookman Old Style"/>
          <w:lang w:val="sv-FI"/>
        </w:rPr>
        <w:t>Peraturan</w:t>
      </w:r>
      <w:r w:rsidR="00A954D0" w:rsidRPr="003255BC">
        <w:rPr>
          <w:rFonts w:ascii="Bookman Old Style" w:hAnsi="Bookman Old Style"/>
          <w:lang w:val="sv-FI"/>
        </w:rPr>
        <w:t xml:space="preserve"> </w:t>
      </w:r>
      <w:r w:rsidR="0004728E" w:rsidRPr="003255BC">
        <w:rPr>
          <w:rFonts w:ascii="Bookman Old Style" w:hAnsi="Bookman Old Style"/>
          <w:lang w:val="sv-FI"/>
        </w:rPr>
        <w:t>Menteri</w:t>
      </w:r>
      <w:r w:rsidR="00A954D0" w:rsidRPr="003255BC">
        <w:rPr>
          <w:rFonts w:ascii="Bookman Old Style" w:hAnsi="Bookman Old Style"/>
          <w:lang w:val="sv-FI"/>
        </w:rPr>
        <w:t xml:space="preserve"> </w:t>
      </w:r>
      <w:r w:rsidR="0004728E" w:rsidRPr="003255BC">
        <w:rPr>
          <w:rFonts w:ascii="Bookman Old Style" w:hAnsi="Bookman Old Style"/>
          <w:lang w:val="sv-FI"/>
        </w:rPr>
        <w:t>Dalam</w:t>
      </w:r>
      <w:r w:rsidR="00A954D0" w:rsidRPr="003255BC">
        <w:rPr>
          <w:rFonts w:ascii="Bookman Old Style" w:hAnsi="Bookman Old Style"/>
          <w:lang w:val="sv-FI"/>
        </w:rPr>
        <w:t xml:space="preserve"> </w:t>
      </w:r>
      <w:r w:rsidR="0004728E" w:rsidRPr="003255BC">
        <w:rPr>
          <w:rFonts w:ascii="Bookman Old Style" w:hAnsi="Bookman Old Style"/>
          <w:lang w:val="sv-FI"/>
        </w:rPr>
        <w:t>Negeri</w:t>
      </w:r>
      <w:r w:rsidR="00A954D0" w:rsidRPr="003255BC">
        <w:rPr>
          <w:rFonts w:ascii="Bookman Old Style" w:hAnsi="Bookman Old Style"/>
          <w:lang w:val="sv-FI"/>
        </w:rPr>
        <w:t xml:space="preserve"> </w:t>
      </w:r>
      <w:r w:rsidR="0004728E" w:rsidRPr="003255BC">
        <w:rPr>
          <w:rFonts w:ascii="Bookman Old Style" w:hAnsi="Bookman Old Style"/>
          <w:lang w:val="sv-FI"/>
        </w:rPr>
        <w:t>Nomor</w:t>
      </w:r>
      <w:r w:rsidR="00A954D0" w:rsidRPr="003255BC">
        <w:rPr>
          <w:rFonts w:ascii="Bookman Old Style" w:hAnsi="Bookman Old Style"/>
          <w:lang w:val="sv-FI"/>
        </w:rPr>
        <w:t xml:space="preserve"> </w:t>
      </w:r>
      <w:r w:rsidR="0004728E" w:rsidRPr="003255BC">
        <w:rPr>
          <w:rFonts w:ascii="Bookman Old Style" w:hAnsi="Bookman Old Style"/>
          <w:lang w:val="sv-FI"/>
        </w:rPr>
        <w:t>77</w:t>
      </w:r>
      <w:r w:rsidR="00A954D0" w:rsidRPr="003255BC">
        <w:rPr>
          <w:rFonts w:ascii="Bookman Old Style" w:hAnsi="Bookman Old Style"/>
          <w:lang w:val="sv-FI"/>
        </w:rPr>
        <w:t xml:space="preserve"> </w:t>
      </w:r>
      <w:r w:rsidR="0004728E" w:rsidRPr="003255BC">
        <w:rPr>
          <w:rFonts w:ascii="Bookman Old Style" w:hAnsi="Bookman Old Style"/>
          <w:lang w:val="sv-FI"/>
        </w:rPr>
        <w:t>Tahun</w:t>
      </w:r>
      <w:r w:rsidR="00A954D0" w:rsidRPr="003255BC">
        <w:rPr>
          <w:rFonts w:ascii="Bookman Old Style" w:hAnsi="Bookman Old Style"/>
          <w:lang w:val="sv-FI"/>
        </w:rPr>
        <w:t xml:space="preserve"> </w:t>
      </w:r>
      <w:r w:rsidR="0004728E" w:rsidRPr="003255BC">
        <w:rPr>
          <w:rFonts w:ascii="Bookman Old Style" w:hAnsi="Bookman Old Style"/>
          <w:lang w:val="sv-FI"/>
        </w:rPr>
        <w:t>2020,</w:t>
      </w:r>
      <w:r w:rsidR="00A954D0" w:rsidRPr="003255BC">
        <w:rPr>
          <w:rFonts w:ascii="Bookman Old Style" w:hAnsi="Bookman Old Style"/>
          <w:lang w:val="sv-FI"/>
        </w:rPr>
        <w:t xml:space="preserve"> </w:t>
      </w:r>
      <w:r w:rsidR="0004728E" w:rsidRPr="003255BC">
        <w:rPr>
          <w:rFonts w:ascii="Bookman Old Style" w:hAnsi="Bookman Old Style"/>
          <w:lang w:val="sv-FI"/>
        </w:rPr>
        <w:t>butir</w:t>
      </w:r>
      <w:r w:rsidR="00A954D0" w:rsidRPr="003255BC">
        <w:rPr>
          <w:rFonts w:ascii="Bookman Old Style" w:hAnsi="Bookman Old Style"/>
          <w:lang w:val="sv-FI"/>
        </w:rPr>
        <w:t xml:space="preserve"> </w:t>
      </w:r>
      <w:r w:rsidR="0004728E" w:rsidRPr="003255BC">
        <w:rPr>
          <w:rFonts w:ascii="Bookman Old Style" w:hAnsi="Bookman Old Style"/>
          <w:lang w:val="sv-FI"/>
        </w:rPr>
        <w:t>3.4.1.6</w:t>
      </w:r>
      <w:r w:rsidR="00A954D0" w:rsidRPr="003255BC">
        <w:rPr>
          <w:rFonts w:ascii="Bookman Old Style" w:hAnsi="Bookman Old Style"/>
          <w:lang w:val="sv-FI"/>
        </w:rPr>
        <w:t xml:space="preserve"> </w:t>
      </w:r>
      <w:r w:rsidR="0004728E" w:rsidRPr="003255BC">
        <w:rPr>
          <w:rFonts w:ascii="Bookman Old Style" w:hAnsi="Bookman Old Style"/>
          <w:lang w:val="sv-FI"/>
        </w:rPr>
        <w:t>Lampiran</w:t>
      </w:r>
      <w:r w:rsidR="00A954D0" w:rsidRPr="003255BC">
        <w:rPr>
          <w:rFonts w:ascii="Bookman Old Style" w:hAnsi="Bookman Old Style"/>
          <w:lang w:val="sv-FI"/>
        </w:rPr>
        <w:t xml:space="preserve"> </w:t>
      </w:r>
      <w:r w:rsidR="0004728E" w:rsidRPr="003255BC">
        <w:rPr>
          <w:rFonts w:ascii="Bookman Old Style" w:hAnsi="Bookman Old Style"/>
          <w:lang w:val="sv-FI"/>
        </w:rPr>
        <w:t>Peraturan</w:t>
      </w:r>
      <w:r w:rsidR="00A954D0" w:rsidRPr="003255BC">
        <w:rPr>
          <w:rFonts w:ascii="Bookman Old Style" w:hAnsi="Bookman Old Style"/>
          <w:lang w:val="sv-FI"/>
        </w:rPr>
        <w:t xml:space="preserve"> </w:t>
      </w:r>
      <w:r w:rsidR="0004728E" w:rsidRPr="003255BC">
        <w:rPr>
          <w:rFonts w:ascii="Bookman Old Style" w:hAnsi="Bookman Old Style"/>
          <w:lang w:val="sv-FI"/>
        </w:rPr>
        <w:t>Menteri</w:t>
      </w:r>
      <w:r w:rsidR="00A954D0" w:rsidRPr="003255BC">
        <w:rPr>
          <w:rFonts w:ascii="Bookman Old Style" w:hAnsi="Bookman Old Style"/>
          <w:lang w:val="sv-FI"/>
        </w:rPr>
        <w:t xml:space="preserve"> </w:t>
      </w:r>
      <w:r w:rsidR="0004728E" w:rsidRPr="003255BC">
        <w:rPr>
          <w:rFonts w:ascii="Bookman Old Style" w:hAnsi="Bookman Old Style"/>
          <w:lang w:val="sv-FI"/>
        </w:rPr>
        <w:t>Dalam</w:t>
      </w:r>
      <w:r w:rsidR="00A954D0" w:rsidRPr="003255BC">
        <w:rPr>
          <w:rFonts w:ascii="Bookman Old Style" w:hAnsi="Bookman Old Style"/>
          <w:lang w:val="sv-FI"/>
        </w:rPr>
        <w:t xml:space="preserve"> </w:t>
      </w:r>
      <w:r w:rsidR="0004728E" w:rsidRPr="003255BC">
        <w:rPr>
          <w:rFonts w:ascii="Bookman Old Style" w:hAnsi="Bookman Old Style"/>
          <w:lang w:val="sv-FI"/>
        </w:rPr>
        <w:t>Negeri</w:t>
      </w:r>
      <w:r w:rsidR="00A954D0" w:rsidRPr="003255BC">
        <w:rPr>
          <w:rFonts w:ascii="Bookman Old Style" w:hAnsi="Bookman Old Style"/>
          <w:lang w:val="sv-FI"/>
        </w:rPr>
        <w:t xml:space="preserve"> </w:t>
      </w:r>
      <w:r w:rsidR="0004728E" w:rsidRPr="003255BC">
        <w:rPr>
          <w:rFonts w:ascii="Bookman Old Style" w:hAnsi="Bookman Old Style"/>
          <w:lang w:val="sv-FI"/>
        </w:rPr>
        <w:t>Nomor</w:t>
      </w:r>
      <w:r w:rsidR="00A954D0" w:rsidRPr="003255BC">
        <w:rPr>
          <w:rFonts w:ascii="Bookman Old Style" w:hAnsi="Bookman Old Style"/>
          <w:lang w:val="sv-FI"/>
        </w:rPr>
        <w:t xml:space="preserve"> </w:t>
      </w:r>
      <w:r w:rsidR="0004728E" w:rsidRPr="003255BC">
        <w:rPr>
          <w:rFonts w:ascii="Bookman Old Style" w:hAnsi="Bookman Old Style"/>
          <w:lang w:val="sv-FI"/>
        </w:rPr>
        <w:t>15</w:t>
      </w:r>
      <w:r w:rsidR="00A954D0" w:rsidRPr="003255BC">
        <w:rPr>
          <w:rFonts w:ascii="Bookman Old Style" w:hAnsi="Bookman Old Style"/>
          <w:lang w:val="sv-FI"/>
        </w:rPr>
        <w:t xml:space="preserve"> </w:t>
      </w:r>
      <w:r w:rsidR="0004728E" w:rsidRPr="003255BC">
        <w:rPr>
          <w:rFonts w:ascii="Bookman Old Style" w:hAnsi="Bookman Old Style"/>
          <w:lang w:val="sv-FI"/>
        </w:rPr>
        <w:t>Tahun</w:t>
      </w:r>
      <w:r w:rsidR="00A954D0" w:rsidRPr="003255BC">
        <w:rPr>
          <w:rFonts w:ascii="Bookman Old Style" w:hAnsi="Bookman Old Style"/>
          <w:lang w:val="sv-FI"/>
        </w:rPr>
        <w:t xml:space="preserve"> </w:t>
      </w:r>
      <w:r w:rsidR="0004728E" w:rsidRPr="003255BC">
        <w:rPr>
          <w:rFonts w:ascii="Bookman Old Style" w:hAnsi="Bookman Old Style"/>
          <w:lang w:val="sv-FI"/>
        </w:rPr>
        <w:t>2024</w:t>
      </w:r>
      <w:r w:rsidR="00A954D0" w:rsidRPr="003255BC">
        <w:rPr>
          <w:rFonts w:ascii="Bookman Old Style" w:hAnsi="Bookman Old Style"/>
          <w:lang w:val="sv-FI"/>
        </w:rPr>
        <w:t xml:space="preserve"> </w:t>
      </w:r>
      <w:r w:rsidR="0004728E" w:rsidRPr="003255BC">
        <w:rPr>
          <w:rFonts w:ascii="Bookman Old Style" w:hAnsi="Bookman Old Style"/>
          <w:lang w:val="sv-FI"/>
        </w:rPr>
        <w:t>dan</w:t>
      </w:r>
      <w:r w:rsidR="00A954D0" w:rsidRPr="003255BC">
        <w:rPr>
          <w:rFonts w:ascii="Bookman Old Style" w:hAnsi="Bookman Old Style"/>
          <w:lang w:val="sv-FI"/>
        </w:rPr>
        <w:t xml:space="preserve"> </w:t>
      </w:r>
      <w:r w:rsidR="0004728E" w:rsidRPr="003255BC">
        <w:rPr>
          <w:rFonts w:ascii="Bookman Old Style" w:hAnsi="Bookman Old Style"/>
          <w:lang w:val="sv-FI"/>
        </w:rPr>
        <w:t>butir</w:t>
      </w:r>
      <w:r w:rsidR="00A954D0" w:rsidRPr="003255BC">
        <w:rPr>
          <w:rFonts w:ascii="Bookman Old Style" w:hAnsi="Bookman Old Style"/>
          <w:lang w:val="sv-FI"/>
        </w:rPr>
        <w:t xml:space="preserve"> </w:t>
      </w:r>
      <w:r w:rsidR="0004728E" w:rsidRPr="003255BC">
        <w:rPr>
          <w:rFonts w:ascii="Bookman Old Style" w:hAnsi="Bookman Old Style"/>
          <w:lang w:val="sv-FI"/>
        </w:rPr>
        <w:t>2</w:t>
      </w:r>
      <w:r w:rsidR="00A954D0" w:rsidRPr="003255BC">
        <w:rPr>
          <w:rFonts w:ascii="Bookman Old Style" w:hAnsi="Bookman Old Style"/>
          <w:lang w:val="sv-FI"/>
        </w:rPr>
        <w:t xml:space="preserve"> </w:t>
      </w:r>
      <w:r w:rsidR="0004728E" w:rsidRPr="003255BC">
        <w:rPr>
          <w:rFonts w:ascii="Bookman Old Style" w:hAnsi="Bookman Old Style"/>
          <w:lang w:val="sv-FI"/>
        </w:rPr>
        <w:t>Surat</w:t>
      </w:r>
      <w:r w:rsidR="00A954D0" w:rsidRPr="003255BC">
        <w:rPr>
          <w:rFonts w:ascii="Bookman Old Style" w:hAnsi="Bookman Old Style"/>
          <w:lang w:val="sv-FI"/>
        </w:rPr>
        <w:t xml:space="preserve"> </w:t>
      </w:r>
      <w:r w:rsidR="0004728E" w:rsidRPr="003255BC">
        <w:rPr>
          <w:rFonts w:ascii="Bookman Old Style" w:hAnsi="Bookman Old Style"/>
          <w:lang w:val="sv-FI"/>
        </w:rPr>
        <w:t>Edaran</w:t>
      </w:r>
      <w:r w:rsidR="00A954D0" w:rsidRPr="003255BC">
        <w:rPr>
          <w:rFonts w:ascii="Bookman Old Style" w:hAnsi="Bookman Old Style"/>
          <w:lang w:val="sv-FI"/>
        </w:rPr>
        <w:t xml:space="preserve"> </w:t>
      </w:r>
      <w:r w:rsidR="0004728E" w:rsidRPr="003255BC">
        <w:rPr>
          <w:rFonts w:ascii="Bookman Old Style" w:hAnsi="Bookman Old Style"/>
          <w:lang w:val="sv-FI"/>
        </w:rPr>
        <w:t>Pimpinan</w:t>
      </w:r>
      <w:r w:rsidR="00A954D0" w:rsidRPr="003255BC">
        <w:rPr>
          <w:rFonts w:ascii="Bookman Old Style" w:hAnsi="Bookman Old Style"/>
          <w:lang w:val="sv-FI"/>
        </w:rPr>
        <w:t xml:space="preserve"> </w:t>
      </w:r>
      <w:r w:rsidR="0004728E" w:rsidRPr="003255BC">
        <w:rPr>
          <w:rFonts w:ascii="Bookman Old Style" w:hAnsi="Bookman Old Style"/>
          <w:lang w:val="sv-FI"/>
        </w:rPr>
        <w:t>Komisi</w:t>
      </w:r>
      <w:r w:rsidR="00A954D0" w:rsidRPr="003255BC">
        <w:rPr>
          <w:rFonts w:ascii="Bookman Old Style" w:hAnsi="Bookman Old Style"/>
          <w:lang w:val="sv-FI"/>
        </w:rPr>
        <w:t xml:space="preserve"> </w:t>
      </w:r>
      <w:r w:rsidR="0004728E" w:rsidRPr="003255BC">
        <w:rPr>
          <w:rFonts w:ascii="Bookman Old Style" w:hAnsi="Bookman Old Style"/>
          <w:lang w:val="sv-FI"/>
        </w:rPr>
        <w:t>Pemberantasan</w:t>
      </w:r>
      <w:r w:rsidR="00A954D0" w:rsidRPr="003255BC">
        <w:rPr>
          <w:rFonts w:ascii="Bookman Old Style" w:hAnsi="Bookman Old Style"/>
          <w:lang w:val="sv-FI"/>
        </w:rPr>
        <w:t xml:space="preserve"> </w:t>
      </w:r>
      <w:r w:rsidR="0004728E" w:rsidRPr="003255BC">
        <w:rPr>
          <w:rFonts w:ascii="Bookman Old Style" w:hAnsi="Bookman Old Style"/>
          <w:lang w:val="sv-FI"/>
        </w:rPr>
        <w:t>Korupsi</w:t>
      </w:r>
      <w:r w:rsidR="00A954D0" w:rsidRPr="003255BC">
        <w:rPr>
          <w:rFonts w:ascii="Bookman Old Style" w:hAnsi="Bookman Old Style"/>
          <w:lang w:val="sv-FI"/>
        </w:rPr>
        <w:t xml:space="preserve"> </w:t>
      </w:r>
      <w:r w:rsidR="0004728E" w:rsidRPr="003255BC">
        <w:rPr>
          <w:rFonts w:ascii="Bookman Old Style" w:hAnsi="Bookman Old Style"/>
          <w:lang w:val="sv-FI"/>
        </w:rPr>
        <w:t>Nomor</w:t>
      </w:r>
      <w:r w:rsidR="00A954D0" w:rsidRPr="003255BC">
        <w:rPr>
          <w:rFonts w:ascii="Bookman Old Style" w:hAnsi="Bookman Old Style"/>
          <w:lang w:val="sv-FI"/>
        </w:rPr>
        <w:t xml:space="preserve"> </w:t>
      </w:r>
      <w:r w:rsidR="0004728E" w:rsidRPr="003255BC">
        <w:rPr>
          <w:rFonts w:ascii="Bookman Old Style" w:hAnsi="Bookman Old Style"/>
          <w:lang w:val="sv-FI"/>
        </w:rPr>
        <w:t>2</w:t>
      </w:r>
      <w:r w:rsidR="00A954D0" w:rsidRPr="003255BC">
        <w:rPr>
          <w:rFonts w:ascii="Bookman Old Style" w:hAnsi="Bookman Old Style"/>
          <w:lang w:val="sv-FI"/>
        </w:rPr>
        <w:t xml:space="preserve"> </w:t>
      </w:r>
      <w:r w:rsidR="0004728E" w:rsidRPr="003255BC">
        <w:rPr>
          <w:rFonts w:ascii="Bookman Old Style" w:hAnsi="Bookman Old Style"/>
          <w:lang w:val="sv-FI"/>
        </w:rPr>
        <w:t>Tahun</w:t>
      </w:r>
      <w:r w:rsidR="00A954D0" w:rsidRPr="003255BC">
        <w:rPr>
          <w:rFonts w:ascii="Bookman Old Style" w:hAnsi="Bookman Old Style"/>
          <w:lang w:val="sv-FI"/>
        </w:rPr>
        <w:t xml:space="preserve"> </w:t>
      </w:r>
      <w:r w:rsidR="0004728E" w:rsidRPr="003255BC">
        <w:rPr>
          <w:rFonts w:ascii="Bookman Old Style" w:hAnsi="Bookman Old Style"/>
          <w:lang w:val="sv-FI"/>
        </w:rPr>
        <w:t>2024</w:t>
      </w:r>
      <w:r w:rsidR="00A954D0" w:rsidRPr="003255BC">
        <w:rPr>
          <w:rFonts w:ascii="Bookman Old Style" w:hAnsi="Bookman Old Style"/>
          <w:lang w:val="sv-FI"/>
        </w:rPr>
        <w:t xml:space="preserve"> </w:t>
      </w:r>
      <w:r w:rsidR="0004728E" w:rsidRPr="003255BC">
        <w:rPr>
          <w:rFonts w:ascii="Bookman Old Style" w:hAnsi="Bookman Old Style"/>
          <w:lang w:val="sv-FI"/>
        </w:rPr>
        <w:t>tentang</w:t>
      </w:r>
      <w:r w:rsidR="00A954D0" w:rsidRPr="003255BC">
        <w:rPr>
          <w:rFonts w:ascii="Bookman Old Style" w:hAnsi="Bookman Old Style"/>
          <w:lang w:val="sv-FI"/>
        </w:rPr>
        <w:t xml:space="preserve"> </w:t>
      </w:r>
      <w:r w:rsidR="0004728E" w:rsidRPr="003255BC">
        <w:rPr>
          <w:rFonts w:ascii="Bookman Old Style" w:hAnsi="Bookman Old Style"/>
          <w:lang w:val="sv-FI"/>
        </w:rPr>
        <w:t>Pencegahan</w:t>
      </w:r>
      <w:r w:rsidR="00A954D0" w:rsidRPr="003255BC">
        <w:rPr>
          <w:rFonts w:ascii="Bookman Old Style" w:hAnsi="Bookman Old Style"/>
          <w:lang w:val="sv-FI"/>
        </w:rPr>
        <w:t xml:space="preserve"> </w:t>
      </w:r>
      <w:r w:rsidR="0004728E" w:rsidRPr="003255BC">
        <w:rPr>
          <w:rFonts w:ascii="Bookman Old Style" w:hAnsi="Bookman Old Style"/>
          <w:lang w:val="sv-FI"/>
        </w:rPr>
        <w:t>Korupsi</w:t>
      </w:r>
      <w:r w:rsidR="00A954D0" w:rsidRPr="003255BC">
        <w:rPr>
          <w:rFonts w:ascii="Bookman Old Style" w:hAnsi="Bookman Old Style"/>
          <w:lang w:val="sv-FI"/>
        </w:rPr>
        <w:t xml:space="preserve"> </w:t>
      </w:r>
      <w:r w:rsidR="0004728E" w:rsidRPr="003255BC">
        <w:rPr>
          <w:rFonts w:ascii="Bookman Old Style" w:hAnsi="Bookman Old Style"/>
          <w:lang w:val="sv-FI"/>
        </w:rPr>
        <w:t>Terkait</w:t>
      </w:r>
      <w:r w:rsidR="00A954D0" w:rsidRPr="003255BC">
        <w:rPr>
          <w:rFonts w:ascii="Bookman Old Style" w:hAnsi="Bookman Old Style"/>
          <w:lang w:val="sv-FI"/>
        </w:rPr>
        <w:t xml:space="preserve"> </w:t>
      </w:r>
      <w:r w:rsidR="0004728E" w:rsidRPr="003255BC">
        <w:rPr>
          <w:rFonts w:ascii="Bookman Old Style" w:hAnsi="Bookman Old Style"/>
          <w:lang w:val="sv-FI"/>
        </w:rPr>
        <w:t>Proses</w:t>
      </w:r>
      <w:r w:rsidR="00A954D0" w:rsidRPr="003255BC">
        <w:rPr>
          <w:rFonts w:ascii="Bookman Old Style" w:hAnsi="Bookman Old Style"/>
          <w:lang w:val="sv-FI"/>
        </w:rPr>
        <w:t xml:space="preserve"> </w:t>
      </w:r>
      <w:r w:rsidR="0004728E" w:rsidRPr="003255BC">
        <w:rPr>
          <w:rFonts w:ascii="Bookman Old Style" w:hAnsi="Bookman Old Style"/>
          <w:lang w:val="sv-FI"/>
        </w:rPr>
        <w:t>Perencanaan</w:t>
      </w:r>
      <w:r w:rsidR="00A954D0" w:rsidRPr="003255BC">
        <w:rPr>
          <w:rFonts w:ascii="Bookman Old Style" w:hAnsi="Bookman Old Style"/>
          <w:lang w:val="sv-FI"/>
        </w:rPr>
        <w:t xml:space="preserve"> </w:t>
      </w:r>
      <w:r w:rsidR="0004728E" w:rsidRPr="003255BC">
        <w:rPr>
          <w:rFonts w:ascii="Bookman Old Style" w:hAnsi="Bookman Old Style"/>
          <w:lang w:val="sv-FI"/>
        </w:rPr>
        <w:t>dan</w:t>
      </w:r>
      <w:r w:rsidR="00A954D0" w:rsidRPr="003255BC">
        <w:rPr>
          <w:rFonts w:ascii="Bookman Old Style" w:hAnsi="Bookman Old Style"/>
          <w:lang w:val="sv-FI"/>
        </w:rPr>
        <w:t xml:space="preserve"> </w:t>
      </w:r>
      <w:r w:rsidR="0004728E" w:rsidRPr="003255BC">
        <w:rPr>
          <w:rFonts w:ascii="Bookman Old Style" w:hAnsi="Bookman Old Style"/>
          <w:lang w:val="sv-FI"/>
        </w:rPr>
        <w:t>Penganggaran</w:t>
      </w:r>
      <w:r w:rsidR="00A954D0" w:rsidRPr="003255BC">
        <w:rPr>
          <w:rFonts w:ascii="Bookman Old Style" w:hAnsi="Bookman Old Style"/>
          <w:lang w:val="sv-FI"/>
        </w:rPr>
        <w:t xml:space="preserve"> </w:t>
      </w:r>
      <w:r w:rsidR="0004728E" w:rsidRPr="003255BC">
        <w:rPr>
          <w:rFonts w:ascii="Bookman Old Style" w:hAnsi="Bookman Old Style"/>
          <w:lang w:val="sv-FI"/>
        </w:rPr>
        <w:t>APBD</w:t>
      </w:r>
      <w:r w:rsidR="00A954D0" w:rsidRPr="003255BC">
        <w:rPr>
          <w:rFonts w:ascii="Bookman Old Style" w:hAnsi="Bookman Old Style"/>
          <w:lang w:val="sv-FI"/>
        </w:rPr>
        <w:t xml:space="preserve"> </w:t>
      </w:r>
      <w:r w:rsidR="0004728E" w:rsidRPr="003255BC">
        <w:rPr>
          <w:rFonts w:ascii="Bookman Old Style" w:hAnsi="Bookman Old Style"/>
          <w:lang w:val="sv-FI"/>
        </w:rPr>
        <w:t>Tahun</w:t>
      </w:r>
      <w:r w:rsidR="00A954D0" w:rsidRPr="003255BC">
        <w:rPr>
          <w:rFonts w:ascii="Bookman Old Style" w:hAnsi="Bookman Old Style"/>
          <w:lang w:val="sv-FI"/>
        </w:rPr>
        <w:t xml:space="preserve"> </w:t>
      </w:r>
      <w:r w:rsidR="0004728E" w:rsidRPr="003255BC">
        <w:rPr>
          <w:rFonts w:ascii="Bookman Old Style" w:hAnsi="Bookman Old Style"/>
          <w:lang w:val="sv-FI"/>
        </w:rPr>
        <w:t>Anggaran</w:t>
      </w:r>
      <w:r w:rsidR="00A954D0" w:rsidRPr="003255BC">
        <w:rPr>
          <w:rFonts w:ascii="Bookman Old Style" w:hAnsi="Bookman Old Style"/>
          <w:lang w:val="sv-FI"/>
        </w:rPr>
        <w:t xml:space="preserve"> </w:t>
      </w:r>
      <w:r w:rsidR="0004728E" w:rsidRPr="003255BC">
        <w:rPr>
          <w:rFonts w:ascii="Bookman Old Style" w:hAnsi="Bookman Old Style"/>
          <w:lang w:val="sv-FI"/>
        </w:rPr>
        <w:t>2025</w:t>
      </w:r>
      <w:r w:rsidR="00A954D0" w:rsidRPr="003255BC">
        <w:rPr>
          <w:rFonts w:ascii="Bookman Old Style" w:hAnsi="Bookman Old Style"/>
          <w:lang w:val="sv-FI"/>
        </w:rPr>
        <w:t xml:space="preserve"> </w:t>
      </w:r>
      <w:r w:rsidR="0004728E" w:rsidRPr="003255BC">
        <w:rPr>
          <w:rFonts w:ascii="Bookman Old Style" w:hAnsi="Bookman Old Style"/>
          <w:lang w:val="sv-FI"/>
        </w:rPr>
        <w:t>dan</w:t>
      </w:r>
      <w:r w:rsidR="00A954D0" w:rsidRPr="003255BC">
        <w:rPr>
          <w:rFonts w:ascii="Bookman Old Style" w:hAnsi="Bookman Old Style"/>
          <w:lang w:val="sv-FI"/>
        </w:rPr>
        <w:t xml:space="preserve"> </w:t>
      </w:r>
      <w:r w:rsidR="0004728E" w:rsidRPr="003255BC">
        <w:rPr>
          <w:rFonts w:ascii="Bookman Old Style" w:hAnsi="Bookman Old Style"/>
          <w:lang w:val="sv-FI"/>
        </w:rPr>
        <w:t>APBD</w:t>
      </w:r>
      <w:r w:rsidR="00A954D0" w:rsidRPr="003255BC">
        <w:rPr>
          <w:rFonts w:ascii="Bookman Old Style" w:hAnsi="Bookman Old Style"/>
          <w:lang w:val="sv-FI"/>
        </w:rPr>
        <w:t xml:space="preserve"> </w:t>
      </w:r>
      <w:r w:rsidR="0004728E" w:rsidRPr="003255BC">
        <w:rPr>
          <w:rFonts w:ascii="Bookman Old Style" w:hAnsi="Bookman Old Style"/>
          <w:lang w:val="sv-FI"/>
        </w:rPr>
        <w:t>Perubahan</w:t>
      </w:r>
      <w:r w:rsidR="00A954D0" w:rsidRPr="003255BC">
        <w:rPr>
          <w:rFonts w:ascii="Bookman Old Style" w:hAnsi="Bookman Old Style"/>
          <w:lang w:val="sv-FI"/>
        </w:rPr>
        <w:t xml:space="preserve"> </w:t>
      </w:r>
      <w:r w:rsidR="0004728E" w:rsidRPr="003255BC">
        <w:rPr>
          <w:rFonts w:ascii="Bookman Old Style" w:hAnsi="Bookman Old Style"/>
          <w:lang w:val="sv-FI"/>
        </w:rPr>
        <w:t>Tahun</w:t>
      </w:r>
      <w:r w:rsidR="00A954D0" w:rsidRPr="003255BC">
        <w:rPr>
          <w:rFonts w:ascii="Bookman Old Style" w:hAnsi="Bookman Old Style"/>
          <w:lang w:val="sv-FI"/>
        </w:rPr>
        <w:t xml:space="preserve"> </w:t>
      </w:r>
      <w:r w:rsidR="0004728E" w:rsidRPr="003255BC">
        <w:rPr>
          <w:rFonts w:ascii="Bookman Old Style" w:hAnsi="Bookman Old Style"/>
          <w:lang w:val="sv-FI"/>
        </w:rPr>
        <w:t>Anggaran</w:t>
      </w:r>
      <w:r w:rsidR="00A954D0" w:rsidRPr="003255BC">
        <w:rPr>
          <w:rFonts w:ascii="Bookman Old Style" w:hAnsi="Bookman Old Style"/>
          <w:lang w:val="sv-FI"/>
        </w:rPr>
        <w:t xml:space="preserve"> </w:t>
      </w:r>
      <w:r w:rsidR="0004728E" w:rsidRPr="003255BC">
        <w:rPr>
          <w:rFonts w:ascii="Bookman Old Style" w:hAnsi="Bookman Old Style"/>
          <w:lang w:val="sv-FI"/>
        </w:rPr>
        <w:t>2024,</w:t>
      </w:r>
      <w:r w:rsidR="00A954D0" w:rsidRPr="003255BC">
        <w:rPr>
          <w:rFonts w:ascii="Bookman Old Style" w:hAnsi="Bookman Old Style"/>
          <w:lang w:val="sv-FI"/>
        </w:rPr>
        <w:t xml:space="preserve"> </w:t>
      </w:r>
      <w:r w:rsidR="0004728E" w:rsidRPr="003255BC">
        <w:rPr>
          <w:rFonts w:ascii="Bookman Old Style" w:hAnsi="Bookman Old Style"/>
          <w:lang w:val="sv-FI"/>
        </w:rPr>
        <w:t>kecuali</w:t>
      </w:r>
      <w:r w:rsidR="00A954D0" w:rsidRPr="003255BC">
        <w:rPr>
          <w:rFonts w:ascii="Bookman Old Style" w:hAnsi="Bookman Old Style"/>
          <w:lang w:val="sv-FI"/>
        </w:rPr>
        <w:t xml:space="preserve"> </w:t>
      </w:r>
      <w:r w:rsidR="0004728E" w:rsidRPr="003255BC">
        <w:rPr>
          <w:rFonts w:ascii="Bookman Old Style" w:hAnsi="Bookman Old Style"/>
          <w:lang w:val="sv-FI"/>
        </w:rPr>
        <w:t>ditentukan</w:t>
      </w:r>
      <w:r w:rsidR="00A954D0" w:rsidRPr="003255BC">
        <w:rPr>
          <w:rFonts w:ascii="Bookman Old Style" w:hAnsi="Bookman Old Style"/>
          <w:lang w:val="sv-FI"/>
        </w:rPr>
        <w:t xml:space="preserve"> </w:t>
      </w:r>
      <w:r w:rsidR="0004728E" w:rsidRPr="003255BC">
        <w:rPr>
          <w:rFonts w:ascii="Bookman Old Style" w:hAnsi="Bookman Old Style"/>
          <w:lang w:val="sv-FI"/>
        </w:rPr>
        <w:t>lain</w:t>
      </w:r>
      <w:r w:rsidR="00A954D0" w:rsidRPr="003255BC">
        <w:rPr>
          <w:rFonts w:ascii="Bookman Old Style" w:hAnsi="Bookman Old Style"/>
          <w:lang w:val="sv-FI"/>
        </w:rPr>
        <w:t xml:space="preserve"> </w:t>
      </w:r>
      <w:r w:rsidR="0004728E" w:rsidRPr="003255BC">
        <w:rPr>
          <w:rFonts w:ascii="Bookman Old Style" w:hAnsi="Bookman Old Style"/>
          <w:lang w:val="sv-FI"/>
        </w:rPr>
        <w:t>oleh</w:t>
      </w:r>
      <w:r w:rsidR="00A954D0" w:rsidRPr="003255BC">
        <w:rPr>
          <w:rFonts w:ascii="Bookman Old Style" w:hAnsi="Bookman Old Style"/>
          <w:lang w:val="sv-FI"/>
        </w:rPr>
        <w:t xml:space="preserve"> </w:t>
      </w:r>
      <w:r w:rsidR="0004728E" w:rsidRPr="003255BC">
        <w:rPr>
          <w:rFonts w:ascii="Bookman Old Style" w:hAnsi="Bookman Old Style"/>
          <w:lang w:val="sv-FI"/>
        </w:rPr>
        <w:t>ketentuan</w:t>
      </w:r>
      <w:r w:rsidR="00A954D0" w:rsidRPr="003255BC">
        <w:rPr>
          <w:rFonts w:ascii="Bookman Old Style" w:hAnsi="Bookman Old Style"/>
          <w:lang w:val="sv-FI"/>
        </w:rPr>
        <w:t xml:space="preserve"> </w:t>
      </w:r>
      <w:r w:rsidR="0004728E" w:rsidRPr="003255BC">
        <w:rPr>
          <w:rFonts w:ascii="Bookman Old Style" w:hAnsi="Bookman Old Style"/>
          <w:lang w:val="sv-FI"/>
        </w:rPr>
        <w:t>peraturan</w:t>
      </w:r>
      <w:r w:rsidR="00A954D0" w:rsidRPr="003255BC">
        <w:rPr>
          <w:rFonts w:ascii="Bookman Old Style" w:hAnsi="Bookman Old Style"/>
          <w:lang w:val="sv-FI"/>
        </w:rPr>
        <w:t xml:space="preserve"> </w:t>
      </w:r>
      <w:r w:rsidR="0004728E" w:rsidRPr="003255BC">
        <w:rPr>
          <w:rFonts w:ascii="Bookman Old Style" w:hAnsi="Bookman Old Style"/>
          <w:lang w:val="sv-FI"/>
        </w:rPr>
        <w:t>perundang-undangan.</w:t>
      </w:r>
    </w:p>
    <w:p w14:paraId="0AD25A9E" w14:textId="10A13048" w:rsidR="0004728E" w:rsidRPr="003255BC" w:rsidRDefault="0004728E" w:rsidP="00B8428D">
      <w:pPr>
        <w:spacing w:before="60" w:line="276" w:lineRule="auto"/>
        <w:ind w:left="1701"/>
        <w:jc w:val="both"/>
        <w:rPr>
          <w:rFonts w:ascii="Bookman Old Style" w:hAnsi="Bookman Old Style"/>
          <w:lang w:val="sv-FI"/>
        </w:rPr>
      </w:pPr>
      <w:r w:rsidRPr="003255BC">
        <w:rPr>
          <w:rFonts w:ascii="Bookman Old Style" w:hAnsi="Bookman Old Style"/>
          <w:lang w:val="sv-FI"/>
        </w:rPr>
        <w:t>Selanjutnya,</w:t>
      </w:r>
      <w:r w:rsidR="00A954D0" w:rsidRPr="003255BC">
        <w:rPr>
          <w:rFonts w:ascii="Bookman Old Style" w:hAnsi="Bookman Old Style"/>
          <w:lang w:val="sv-FI"/>
        </w:rPr>
        <w:t xml:space="preserve"> </w:t>
      </w:r>
      <w:r w:rsidRPr="003255BC">
        <w:rPr>
          <w:rFonts w:ascii="Bookman Old Style" w:hAnsi="Bookman Old Style"/>
          <w:lang w:val="sv-FI"/>
        </w:rPr>
        <w:t>dalam</w:t>
      </w:r>
      <w:r w:rsidR="00A954D0" w:rsidRPr="003255BC">
        <w:rPr>
          <w:rFonts w:ascii="Bookman Old Style" w:hAnsi="Bookman Old Style"/>
          <w:lang w:val="sv-FI"/>
        </w:rPr>
        <w:t xml:space="preserve"> </w:t>
      </w:r>
      <w:r w:rsidRPr="003255BC">
        <w:rPr>
          <w:rFonts w:ascii="Bookman Old Style" w:hAnsi="Bookman Old Style"/>
          <w:lang w:val="sv-FI"/>
        </w:rPr>
        <w:t>hal</w:t>
      </w:r>
      <w:r w:rsidR="00A954D0" w:rsidRPr="003255BC">
        <w:rPr>
          <w:rFonts w:ascii="Bookman Old Style" w:hAnsi="Bookman Old Style"/>
          <w:lang w:val="sv-FI"/>
        </w:rPr>
        <w:t xml:space="preserve"> </w:t>
      </w:r>
      <w:r w:rsidRPr="003255BC">
        <w:rPr>
          <w:rFonts w:ascii="Bookman Old Style" w:hAnsi="Bookman Old Style"/>
          <w:lang w:val="sv-FI"/>
        </w:rPr>
        <w:t>Pemerintah</w:t>
      </w:r>
      <w:r w:rsidR="00A954D0" w:rsidRPr="003255BC">
        <w:rPr>
          <w:rFonts w:ascii="Bookman Old Style" w:hAnsi="Bookman Old Style"/>
          <w:lang w:val="sv-FI"/>
        </w:rPr>
        <w:t xml:space="preserve"> </w:t>
      </w:r>
      <w:r w:rsidRPr="003255BC">
        <w:rPr>
          <w:rFonts w:ascii="Bookman Old Style" w:hAnsi="Bookman Old Style"/>
          <w:lang w:val="sv-FI"/>
        </w:rPr>
        <w:t>Daerah</w:t>
      </w:r>
      <w:r w:rsidR="00A954D0" w:rsidRPr="003255BC">
        <w:rPr>
          <w:rFonts w:ascii="Bookman Old Style" w:hAnsi="Bookman Old Style"/>
          <w:lang w:val="sv-FI"/>
        </w:rPr>
        <w:t xml:space="preserve"> </w:t>
      </w:r>
      <w:r w:rsidRPr="003255BC">
        <w:rPr>
          <w:rFonts w:ascii="Bookman Old Style" w:hAnsi="Bookman Old Style"/>
          <w:lang w:val="sv-FI"/>
        </w:rPr>
        <w:t>Kota</w:t>
      </w:r>
      <w:r w:rsidR="00A954D0" w:rsidRPr="003255BC">
        <w:rPr>
          <w:rFonts w:ascii="Bookman Old Style" w:hAnsi="Bookman Old Style"/>
          <w:lang w:val="sv-FI"/>
        </w:rPr>
        <w:t xml:space="preserve"> </w:t>
      </w:r>
      <w:r w:rsidRPr="003255BC">
        <w:rPr>
          <w:rFonts w:ascii="Bookman Old Style" w:hAnsi="Bookman Old Style"/>
          <w:lang w:val="sv-FI"/>
        </w:rPr>
        <w:t>Tangerang</w:t>
      </w:r>
      <w:r w:rsidR="00A954D0" w:rsidRPr="003255BC">
        <w:rPr>
          <w:rFonts w:ascii="Bookman Old Style" w:hAnsi="Bookman Old Style"/>
          <w:lang w:val="sv-FI"/>
        </w:rPr>
        <w:t xml:space="preserve"> </w:t>
      </w:r>
      <w:r w:rsidRPr="003255BC">
        <w:rPr>
          <w:rFonts w:ascii="Bookman Old Style" w:hAnsi="Bookman Old Style"/>
          <w:lang w:val="sv-FI"/>
        </w:rPr>
        <w:t>belum</w:t>
      </w:r>
      <w:r w:rsidR="00A954D0" w:rsidRPr="003255BC">
        <w:rPr>
          <w:rFonts w:ascii="Bookman Old Style" w:hAnsi="Bookman Old Style"/>
          <w:lang w:val="sv-FI"/>
        </w:rPr>
        <w:t xml:space="preserve"> </w:t>
      </w:r>
      <w:r w:rsidRPr="003255BC">
        <w:rPr>
          <w:rFonts w:ascii="Bookman Old Style" w:hAnsi="Bookman Old Style"/>
          <w:lang w:val="sv-FI"/>
        </w:rPr>
        <w:t>memprioritaskan</w:t>
      </w:r>
      <w:r w:rsidR="00A954D0" w:rsidRPr="003255BC">
        <w:rPr>
          <w:rFonts w:ascii="Bookman Old Style" w:hAnsi="Bookman Old Style"/>
          <w:lang w:val="sv-FI"/>
        </w:rPr>
        <w:t xml:space="preserve"> </w:t>
      </w:r>
      <w:r w:rsidRPr="003255BC">
        <w:rPr>
          <w:rFonts w:ascii="Bookman Old Style" w:hAnsi="Bookman Old Style"/>
          <w:lang w:val="sv-FI"/>
        </w:rPr>
        <w:t>pemenuhan</w:t>
      </w:r>
      <w:r w:rsidR="00A954D0" w:rsidRPr="003255BC">
        <w:rPr>
          <w:rFonts w:ascii="Bookman Old Style" w:hAnsi="Bookman Old Style"/>
          <w:lang w:val="sv-FI"/>
        </w:rPr>
        <w:t xml:space="preserve"> </w:t>
      </w:r>
      <w:r w:rsidRPr="003255BC">
        <w:rPr>
          <w:rFonts w:ascii="Bookman Old Style" w:hAnsi="Bookman Old Style"/>
          <w:lang w:val="sv-FI"/>
        </w:rPr>
        <w:t>belanja</w:t>
      </w:r>
      <w:r w:rsidR="00A954D0" w:rsidRPr="003255BC">
        <w:rPr>
          <w:rFonts w:ascii="Bookman Old Style" w:hAnsi="Bookman Old Style"/>
          <w:lang w:val="sv-FI"/>
        </w:rPr>
        <w:t xml:space="preserve"> </w:t>
      </w:r>
      <w:r w:rsidRPr="003255BC">
        <w:rPr>
          <w:rFonts w:ascii="Bookman Old Style" w:hAnsi="Bookman Old Style"/>
          <w:lang w:val="sv-FI"/>
        </w:rPr>
        <w:t>untuk</w:t>
      </w:r>
      <w:r w:rsidR="00A954D0" w:rsidRPr="003255BC">
        <w:rPr>
          <w:rFonts w:ascii="Bookman Old Style" w:hAnsi="Bookman Old Style"/>
          <w:lang w:val="sv-FI"/>
        </w:rPr>
        <w:t xml:space="preserve"> </w:t>
      </w:r>
      <w:r w:rsidRPr="003255BC">
        <w:rPr>
          <w:rFonts w:ascii="Bookman Old Style" w:hAnsi="Bookman Old Style"/>
          <w:lang w:val="sv-FI"/>
        </w:rPr>
        <w:t>mendanai</w:t>
      </w:r>
      <w:r w:rsidR="00A954D0" w:rsidRPr="003255BC">
        <w:rPr>
          <w:rFonts w:ascii="Bookman Old Style" w:hAnsi="Bookman Old Style"/>
          <w:lang w:val="sv-FI"/>
        </w:rPr>
        <w:t xml:space="preserve"> </w:t>
      </w:r>
      <w:r w:rsidRPr="003255BC">
        <w:rPr>
          <w:rFonts w:ascii="Bookman Old Style" w:hAnsi="Bookman Old Style"/>
          <w:lang w:val="sv-FI"/>
        </w:rPr>
        <w:t>urusan</w:t>
      </w:r>
      <w:r w:rsidR="00A954D0" w:rsidRPr="003255BC">
        <w:rPr>
          <w:rFonts w:ascii="Bookman Old Style" w:hAnsi="Bookman Old Style"/>
          <w:lang w:val="sv-FI"/>
        </w:rPr>
        <w:t xml:space="preserve"> </w:t>
      </w:r>
      <w:r w:rsidRPr="003255BC">
        <w:rPr>
          <w:rFonts w:ascii="Bookman Old Style" w:hAnsi="Bookman Old Style"/>
          <w:lang w:val="sv-FI"/>
        </w:rPr>
        <w:t>Pemerintahan</w:t>
      </w:r>
      <w:r w:rsidR="00A954D0" w:rsidRPr="003255BC">
        <w:rPr>
          <w:rFonts w:ascii="Bookman Old Style" w:hAnsi="Bookman Old Style"/>
          <w:lang w:val="sv-FI"/>
        </w:rPr>
        <w:t xml:space="preserve"> </w:t>
      </w:r>
      <w:r w:rsidRPr="003255BC">
        <w:rPr>
          <w:rFonts w:ascii="Bookman Old Style" w:hAnsi="Bookman Old Style"/>
          <w:lang w:val="sv-FI"/>
        </w:rPr>
        <w:t>Wajib</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Urusan</w:t>
      </w:r>
      <w:r w:rsidR="00A954D0" w:rsidRPr="003255BC">
        <w:rPr>
          <w:rFonts w:ascii="Bookman Old Style" w:hAnsi="Bookman Old Style"/>
          <w:lang w:val="sv-FI"/>
        </w:rPr>
        <w:t xml:space="preserve"> </w:t>
      </w:r>
      <w:r w:rsidRPr="003255BC">
        <w:rPr>
          <w:rFonts w:ascii="Bookman Old Style" w:hAnsi="Bookman Old Style"/>
          <w:lang w:val="sv-FI"/>
        </w:rPr>
        <w:t>Pemerintahan</w:t>
      </w:r>
      <w:r w:rsidR="00A954D0" w:rsidRPr="003255BC">
        <w:rPr>
          <w:rFonts w:ascii="Bookman Old Style" w:hAnsi="Bookman Old Style"/>
          <w:lang w:val="sv-FI"/>
        </w:rPr>
        <w:t xml:space="preserve"> </w:t>
      </w:r>
      <w:r w:rsidRPr="003255BC">
        <w:rPr>
          <w:rFonts w:ascii="Bookman Old Style" w:hAnsi="Bookman Old Style"/>
          <w:lang w:val="sv-FI"/>
        </w:rPr>
        <w:t>Pilihan</w:t>
      </w:r>
      <w:r w:rsidR="00A954D0" w:rsidRPr="003255BC">
        <w:rPr>
          <w:rFonts w:ascii="Bookman Old Style" w:hAnsi="Bookman Old Style"/>
          <w:lang w:val="sv-FI"/>
        </w:rPr>
        <w:t xml:space="preserve"> </w:t>
      </w:r>
      <w:r w:rsidRPr="003255BC">
        <w:rPr>
          <w:rFonts w:ascii="Bookman Old Style" w:hAnsi="Bookman Old Style"/>
          <w:lang w:val="sv-FI"/>
        </w:rPr>
        <w:t>sesuai</w:t>
      </w:r>
      <w:r w:rsidR="00A954D0" w:rsidRPr="003255BC">
        <w:rPr>
          <w:rFonts w:ascii="Bookman Old Style" w:hAnsi="Bookman Old Style"/>
          <w:lang w:val="sv-FI"/>
        </w:rPr>
        <w:t xml:space="preserve"> </w:t>
      </w:r>
      <w:r w:rsidRPr="003255BC">
        <w:rPr>
          <w:rFonts w:ascii="Bookman Old Style" w:hAnsi="Bookman Old Style"/>
          <w:lang w:val="sv-FI"/>
        </w:rPr>
        <w:t>dengan</w:t>
      </w:r>
      <w:r w:rsidR="00A954D0" w:rsidRPr="003255BC">
        <w:rPr>
          <w:rFonts w:ascii="Bookman Old Style" w:hAnsi="Bookman Old Style"/>
          <w:lang w:val="sv-FI"/>
        </w:rPr>
        <w:t xml:space="preserve"> </w:t>
      </w:r>
      <w:r w:rsidRPr="003255BC">
        <w:rPr>
          <w:rFonts w:ascii="Bookman Old Style" w:hAnsi="Bookman Old Style"/>
          <w:lang w:val="sv-FI"/>
        </w:rPr>
        <w:t>ketentuan</w:t>
      </w:r>
      <w:r w:rsidR="00A954D0" w:rsidRPr="003255BC">
        <w:rPr>
          <w:rFonts w:ascii="Bookman Old Style" w:hAnsi="Bookman Old Style"/>
          <w:lang w:val="sv-FI"/>
        </w:rPr>
        <w:t xml:space="preserve"> </w:t>
      </w:r>
      <w:r w:rsidRPr="003255BC">
        <w:rPr>
          <w:rFonts w:ascii="Bookman Old Style" w:hAnsi="Bookman Old Style"/>
          <w:lang w:val="sv-FI"/>
        </w:rPr>
        <w:t>peraturan</w:t>
      </w:r>
      <w:r w:rsidR="00A954D0" w:rsidRPr="003255BC">
        <w:rPr>
          <w:rFonts w:ascii="Bookman Old Style" w:hAnsi="Bookman Old Style"/>
          <w:lang w:val="sv-FI"/>
        </w:rPr>
        <w:t xml:space="preserve"> </w:t>
      </w:r>
      <w:r w:rsidRPr="003255BC">
        <w:rPr>
          <w:rFonts w:ascii="Bookman Old Style" w:hAnsi="Bookman Old Style"/>
          <w:lang w:val="sv-FI"/>
        </w:rPr>
        <w:t>perundang-undangan</w:t>
      </w:r>
      <w:r w:rsidR="00A954D0" w:rsidRPr="003255BC">
        <w:rPr>
          <w:rFonts w:ascii="Bookman Old Style" w:hAnsi="Bookman Old Style"/>
          <w:lang w:val="sv-FI"/>
        </w:rPr>
        <w:t xml:space="preserve"> </w:t>
      </w:r>
      <w:r w:rsidRPr="003255BC">
        <w:rPr>
          <w:rFonts w:ascii="Bookman Old Style" w:hAnsi="Bookman Old Style"/>
          <w:lang w:val="sv-FI"/>
        </w:rPr>
        <w:t>yang</w:t>
      </w:r>
      <w:r w:rsidR="00A954D0" w:rsidRPr="003255BC">
        <w:rPr>
          <w:rFonts w:ascii="Bookman Old Style" w:hAnsi="Bookman Old Style"/>
          <w:lang w:val="sv-FI"/>
        </w:rPr>
        <w:t xml:space="preserve"> </w:t>
      </w:r>
      <w:r w:rsidRPr="003255BC">
        <w:rPr>
          <w:rFonts w:ascii="Bookman Old Style" w:hAnsi="Bookman Old Style"/>
          <w:lang w:val="sv-FI"/>
        </w:rPr>
        <w:t>menjadi</w:t>
      </w:r>
      <w:r w:rsidR="00A954D0" w:rsidRPr="003255BC">
        <w:rPr>
          <w:rFonts w:ascii="Bookman Old Style" w:hAnsi="Bookman Old Style"/>
          <w:lang w:val="sv-FI"/>
        </w:rPr>
        <w:t xml:space="preserve"> </w:t>
      </w:r>
      <w:r w:rsidRPr="003255BC">
        <w:rPr>
          <w:rFonts w:ascii="Bookman Old Style" w:hAnsi="Bookman Old Style"/>
          <w:lang w:val="sv-FI"/>
        </w:rPr>
        <w:t>kewenangan</w:t>
      </w:r>
      <w:r w:rsidR="00A954D0" w:rsidRPr="003255BC">
        <w:rPr>
          <w:rFonts w:ascii="Bookman Old Style" w:hAnsi="Bookman Old Style"/>
          <w:lang w:val="sv-FI"/>
        </w:rPr>
        <w:t xml:space="preserve"> </w:t>
      </w:r>
      <w:r w:rsidRPr="003255BC">
        <w:rPr>
          <w:rFonts w:ascii="Bookman Old Style" w:hAnsi="Bookman Old Style"/>
          <w:lang w:val="sv-FI"/>
        </w:rPr>
        <w:t>Pemerintah</w:t>
      </w:r>
      <w:r w:rsidR="00A954D0" w:rsidRPr="003255BC">
        <w:rPr>
          <w:rFonts w:ascii="Bookman Old Style" w:hAnsi="Bookman Old Style"/>
          <w:lang w:val="sv-FI"/>
        </w:rPr>
        <w:t xml:space="preserve"> </w:t>
      </w:r>
      <w:r w:rsidRPr="003255BC">
        <w:rPr>
          <w:rFonts w:ascii="Bookman Old Style" w:hAnsi="Bookman Old Style"/>
          <w:lang w:val="sv-FI"/>
        </w:rPr>
        <w:t>Daerah</w:t>
      </w:r>
      <w:r w:rsidR="00A954D0" w:rsidRPr="003255BC">
        <w:rPr>
          <w:rFonts w:ascii="Bookman Old Style" w:hAnsi="Bookman Old Style"/>
          <w:lang w:val="sv-FI"/>
        </w:rPr>
        <w:t xml:space="preserve"> </w:t>
      </w:r>
      <w:r w:rsidRPr="003255BC">
        <w:rPr>
          <w:rFonts w:ascii="Bookman Old Style" w:hAnsi="Bookman Old Style"/>
          <w:lang w:val="sv-FI"/>
        </w:rPr>
        <w:t>Kota</w:t>
      </w:r>
      <w:r w:rsidR="00A954D0" w:rsidRPr="003255BC">
        <w:rPr>
          <w:rFonts w:ascii="Bookman Old Style" w:hAnsi="Bookman Old Style"/>
          <w:lang w:val="sv-FI"/>
        </w:rPr>
        <w:t xml:space="preserve"> </w:t>
      </w:r>
      <w:r w:rsidRPr="003255BC">
        <w:rPr>
          <w:rFonts w:ascii="Bookman Old Style" w:hAnsi="Bookman Old Style"/>
          <w:lang w:val="sv-FI"/>
        </w:rPr>
        <w:t>Tangerang,</w:t>
      </w:r>
      <w:r w:rsidR="00A954D0" w:rsidRPr="003255BC">
        <w:rPr>
          <w:rFonts w:ascii="Bookman Old Style" w:hAnsi="Bookman Old Style"/>
          <w:lang w:val="sv-FI"/>
        </w:rPr>
        <w:t xml:space="preserve"> </w:t>
      </w:r>
      <w:r w:rsidRPr="003255BC">
        <w:rPr>
          <w:rFonts w:ascii="Bookman Old Style" w:hAnsi="Bookman Old Style"/>
          <w:lang w:val="sv-FI"/>
        </w:rPr>
        <w:t>urusan</w:t>
      </w:r>
      <w:r w:rsidR="00A954D0" w:rsidRPr="003255BC">
        <w:rPr>
          <w:rFonts w:ascii="Bookman Old Style" w:hAnsi="Bookman Old Style"/>
          <w:lang w:val="sv-FI"/>
        </w:rPr>
        <w:t xml:space="preserve"> </w:t>
      </w:r>
      <w:r w:rsidRPr="003255BC">
        <w:rPr>
          <w:rFonts w:ascii="Bookman Old Style" w:hAnsi="Bookman Old Style"/>
          <w:lang w:val="sv-FI"/>
        </w:rPr>
        <w:t>Pemerintahan</w:t>
      </w:r>
      <w:r w:rsidR="00A954D0" w:rsidRPr="003255BC">
        <w:rPr>
          <w:rFonts w:ascii="Bookman Old Style" w:hAnsi="Bookman Old Style"/>
          <w:lang w:val="sv-FI"/>
        </w:rPr>
        <w:t xml:space="preserve"> </w:t>
      </w:r>
      <w:r w:rsidRPr="003255BC">
        <w:rPr>
          <w:rFonts w:ascii="Bookman Old Style" w:hAnsi="Bookman Old Style"/>
          <w:lang w:val="sv-FI"/>
        </w:rPr>
        <w:t>Wajib</w:t>
      </w:r>
      <w:r w:rsidR="00A954D0" w:rsidRPr="003255BC">
        <w:rPr>
          <w:rFonts w:ascii="Bookman Old Style" w:hAnsi="Bookman Old Style"/>
          <w:lang w:val="sv-FI"/>
        </w:rPr>
        <w:t xml:space="preserve"> </w:t>
      </w:r>
      <w:r w:rsidRPr="003255BC">
        <w:rPr>
          <w:rFonts w:ascii="Bookman Old Style" w:hAnsi="Bookman Old Style"/>
          <w:lang w:val="sv-FI"/>
        </w:rPr>
        <w:t>berupa</w:t>
      </w:r>
      <w:r w:rsidR="00A954D0" w:rsidRPr="003255BC">
        <w:rPr>
          <w:rFonts w:ascii="Bookman Old Style" w:hAnsi="Bookman Old Style"/>
          <w:lang w:val="sv-FI"/>
        </w:rPr>
        <w:t xml:space="preserve"> </w:t>
      </w:r>
      <w:r w:rsidRPr="003255BC">
        <w:rPr>
          <w:rFonts w:ascii="Bookman Old Style" w:hAnsi="Bookman Old Style"/>
          <w:lang w:val="sv-FI"/>
        </w:rPr>
        <w:t>pemenuhan</w:t>
      </w:r>
      <w:r w:rsidR="00A954D0" w:rsidRPr="003255BC">
        <w:rPr>
          <w:rFonts w:ascii="Bookman Old Style" w:hAnsi="Bookman Old Style"/>
          <w:lang w:val="sv-FI"/>
        </w:rPr>
        <w:t xml:space="preserve"> </w:t>
      </w:r>
      <w:r w:rsidRPr="003255BC">
        <w:rPr>
          <w:rFonts w:ascii="Bookman Old Style" w:hAnsi="Bookman Old Style"/>
          <w:lang w:val="sv-FI"/>
        </w:rPr>
        <w:t>SPM</w:t>
      </w:r>
      <w:r w:rsidR="00A954D0" w:rsidRPr="003255BC">
        <w:rPr>
          <w:rFonts w:ascii="Bookman Old Style" w:hAnsi="Bookman Old Style"/>
          <w:lang w:val="sv-FI"/>
        </w:rPr>
        <w:t xml:space="preserve"> </w:t>
      </w:r>
      <w:r w:rsidRPr="003255BC">
        <w:rPr>
          <w:rFonts w:ascii="Bookman Old Style" w:hAnsi="Bookman Old Style"/>
          <w:lang w:val="sv-FI"/>
        </w:rPr>
        <w:t>serta</w:t>
      </w:r>
      <w:r w:rsidR="00A954D0" w:rsidRPr="003255BC">
        <w:rPr>
          <w:rFonts w:ascii="Bookman Old Style" w:hAnsi="Bookman Old Style"/>
          <w:lang w:val="sv-FI"/>
        </w:rPr>
        <w:t xml:space="preserve"> </w:t>
      </w:r>
      <w:r w:rsidRPr="003255BC">
        <w:rPr>
          <w:rFonts w:ascii="Bookman Old Style" w:hAnsi="Bookman Old Style"/>
          <w:lang w:val="sv-FI"/>
        </w:rPr>
        <w:t>untuk</w:t>
      </w:r>
      <w:r w:rsidR="00A954D0" w:rsidRPr="003255BC">
        <w:rPr>
          <w:rFonts w:ascii="Bookman Old Style" w:hAnsi="Bookman Old Style"/>
          <w:lang w:val="sv-FI"/>
        </w:rPr>
        <w:t xml:space="preserve"> </w:t>
      </w:r>
      <w:r w:rsidRPr="003255BC">
        <w:rPr>
          <w:rFonts w:ascii="Bookman Old Style" w:hAnsi="Bookman Old Style"/>
          <w:lang w:val="sv-FI"/>
        </w:rPr>
        <w:t>mendanai</w:t>
      </w:r>
      <w:r w:rsidR="00A954D0" w:rsidRPr="003255BC">
        <w:rPr>
          <w:rFonts w:ascii="Bookman Old Style" w:hAnsi="Bookman Old Style"/>
          <w:lang w:val="sv-FI"/>
        </w:rPr>
        <w:t xml:space="preserve"> </w:t>
      </w:r>
      <w:r w:rsidRPr="003255BC">
        <w:rPr>
          <w:rFonts w:ascii="Bookman Old Style" w:hAnsi="Bookman Old Style"/>
          <w:lang w:val="sv-FI"/>
        </w:rPr>
        <w:t>program,</w:t>
      </w:r>
      <w:r w:rsidR="00A954D0" w:rsidRPr="003255BC">
        <w:rPr>
          <w:rFonts w:ascii="Bookman Old Style" w:hAnsi="Bookman Old Style"/>
          <w:lang w:val="sv-FI"/>
        </w:rPr>
        <w:t xml:space="preserve"> </w:t>
      </w:r>
      <w:r w:rsidRPr="003255BC">
        <w:rPr>
          <w:rFonts w:ascii="Bookman Old Style" w:hAnsi="Bookman Old Style"/>
          <w:lang w:val="sv-FI"/>
        </w:rPr>
        <w:t>kegiatan</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sub</w:t>
      </w:r>
      <w:r w:rsidR="00A954D0" w:rsidRPr="003255BC">
        <w:rPr>
          <w:rFonts w:ascii="Bookman Old Style" w:hAnsi="Bookman Old Style"/>
          <w:lang w:val="sv-FI"/>
        </w:rPr>
        <w:t xml:space="preserve"> </w:t>
      </w:r>
      <w:r w:rsidRPr="003255BC">
        <w:rPr>
          <w:rFonts w:ascii="Bookman Old Style" w:hAnsi="Bookman Old Style"/>
          <w:lang w:val="sv-FI"/>
        </w:rPr>
        <w:t>kegiatan</w:t>
      </w:r>
      <w:r w:rsidR="00A954D0" w:rsidRPr="003255BC">
        <w:rPr>
          <w:rFonts w:ascii="Bookman Old Style" w:hAnsi="Bookman Old Style"/>
          <w:lang w:val="sv-FI"/>
        </w:rPr>
        <w:t xml:space="preserve"> </w:t>
      </w:r>
      <w:r w:rsidRPr="003255BC">
        <w:rPr>
          <w:rFonts w:ascii="Bookman Old Style" w:hAnsi="Bookman Old Style"/>
          <w:lang w:val="sv-FI"/>
        </w:rPr>
        <w:t>prioritas</w:t>
      </w:r>
      <w:r w:rsidR="00A954D0" w:rsidRPr="003255BC">
        <w:rPr>
          <w:rFonts w:ascii="Bookman Old Style" w:hAnsi="Bookman Old Style"/>
          <w:lang w:val="sv-FI"/>
        </w:rPr>
        <w:t xml:space="preserve"> </w:t>
      </w:r>
      <w:r w:rsidRPr="003255BC">
        <w:rPr>
          <w:rFonts w:ascii="Bookman Old Style" w:hAnsi="Bookman Old Style"/>
          <w:lang w:val="sv-FI"/>
        </w:rPr>
        <w:t>yang</w:t>
      </w:r>
      <w:r w:rsidR="00A954D0" w:rsidRPr="003255BC">
        <w:rPr>
          <w:rFonts w:ascii="Bookman Old Style" w:hAnsi="Bookman Old Style"/>
          <w:lang w:val="sv-FI"/>
        </w:rPr>
        <w:t xml:space="preserve"> </w:t>
      </w:r>
      <w:r w:rsidRPr="003255BC">
        <w:rPr>
          <w:rFonts w:ascii="Bookman Old Style" w:hAnsi="Bookman Old Style"/>
          <w:lang w:val="sv-FI"/>
        </w:rPr>
        <w:t>terkait</w:t>
      </w:r>
      <w:r w:rsidR="00A954D0" w:rsidRPr="003255BC">
        <w:rPr>
          <w:rFonts w:ascii="Bookman Old Style" w:hAnsi="Bookman Old Style"/>
          <w:lang w:val="sv-FI"/>
        </w:rPr>
        <w:t xml:space="preserve"> </w:t>
      </w:r>
      <w:r w:rsidRPr="003255BC">
        <w:rPr>
          <w:rFonts w:ascii="Bookman Old Style" w:hAnsi="Bookman Old Style"/>
          <w:lang w:val="sv-FI"/>
        </w:rPr>
        <w:t>langsung</w:t>
      </w:r>
      <w:r w:rsidR="00A954D0" w:rsidRPr="003255BC">
        <w:rPr>
          <w:rFonts w:ascii="Bookman Old Style" w:hAnsi="Bookman Old Style"/>
          <w:lang w:val="sv-FI"/>
        </w:rPr>
        <w:t xml:space="preserve"> </w:t>
      </w:r>
      <w:r w:rsidRPr="003255BC">
        <w:rPr>
          <w:rFonts w:ascii="Bookman Old Style" w:hAnsi="Bookman Old Style"/>
          <w:lang w:val="sv-FI"/>
        </w:rPr>
        <w:t>dengan</w:t>
      </w:r>
      <w:r w:rsidR="00A954D0" w:rsidRPr="003255BC">
        <w:rPr>
          <w:rFonts w:ascii="Bookman Old Style" w:hAnsi="Bookman Old Style"/>
          <w:lang w:val="sv-FI"/>
        </w:rPr>
        <w:t xml:space="preserve"> </w:t>
      </w:r>
      <w:r w:rsidRPr="003255BC">
        <w:rPr>
          <w:rFonts w:ascii="Bookman Old Style" w:hAnsi="Bookman Old Style"/>
          <w:lang w:val="sv-FI"/>
        </w:rPr>
        <w:t>pelayanan</w:t>
      </w:r>
      <w:r w:rsidR="00A954D0" w:rsidRPr="003255BC">
        <w:rPr>
          <w:rFonts w:ascii="Bookman Old Style" w:hAnsi="Bookman Old Style"/>
          <w:lang w:val="sv-FI"/>
        </w:rPr>
        <w:t xml:space="preserve"> </w:t>
      </w:r>
      <w:r w:rsidRPr="003255BC">
        <w:rPr>
          <w:rFonts w:ascii="Bookman Old Style" w:hAnsi="Bookman Old Style"/>
          <w:lang w:val="sv-FI"/>
        </w:rPr>
        <w:t>dasar</w:t>
      </w:r>
      <w:r w:rsidR="00A954D0" w:rsidRPr="003255BC">
        <w:rPr>
          <w:rFonts w:ascii="Bookman Old Style" w:hAnsi="Bookman Old Style"/>
          <w:lang w:val="sv-FI"/>
        </w:rPr>
        <w:t xml:space="preserve"> </w:t>
      </w:r>
      <w:r w:rsidRPr="003255BC">
        <w:rPr>
          <w:rFonts w:ascii="Bookman Old Style" w:hAnsi="Bookman Old Style"/>
          <w:lang w:val="sv-FI"/>
        </w:rPr>
        <w:t>masyarakat</w:t>
      </w:r>
      <w:r w:rsidR="00A954D0" w:rsidRPr="003255BC">
        <w:rPr>
          <w:rFonts w:ascii="Bookman Old Style" w:hAnsi="Bookman Old Style"/>
          <w:lang w:val="sv-FI"/>
        </w:rPr>
        <w:t xml:space="preserve"> </w:t>
      </w:r>
      <w:r w:rsidRPr="003255BC">
        <w:rPr>
          <w:rFonts w:ascii="Bookman Old Style" w:hAnsi="Bookman Old Style"/>
          <w:lang w:val="sv-FI"/>
        </w:rPr>
        <w:t>dimaksud,</w:t>
      </w:r>
      <w:r w:rsidR="00A954D0" w:rsidRPr="003255BC">
        <w:rPr>
          <w:rFonts w:ascii="Bookman Old Style" w:hAnsi="Bookman Old Style"/>
          <w:lang w:val="sv-FI"/>
        </w:rPr>
        <w:t xml:space="preserve"> </w:t>
      </w:r>
      <w:r w:rsidRPr="003255BC">
        <w:rPr>
          <w:rFonts w:ascii="Bookman Old Style" w:hAnsi="Bookman Old Style"/>
          <w:lang w:val="sv-FI"/>
        </w:rPr>
        <w:t>penyediaan</w:t>
      </w:r>
      <w:r w:rsidR="00A954D0" w:rsidRPr="003255BC">
        <w:rPr>
          <w:rFonts w:ascii="Bookman Old Style" w:hAnsi="Bookman Old Style"/>
          <w:lang w:val="sv-FI"/>
        </w:rPr>
        <w:t xml:space="preserve"> </w:t>
      </w:r>
      <w:r w:rsidRPr="003255BC">
        <w:rPr>
          <w:rFonts w:ascii="Bookman Old Style" w:hAnsi="Bookman Old Style"/>
          <w:lang w:val="sv-FI"/>
        </w:rPr>
        <w:t>anggaran</w:t>
      </w:r>
      <w:r w:rsidR="00A954D0" w:rsidRPr="003255BC">
        <w:rPr>
          <w:rFonts w:ascii="Bookman Old Style" w:hAnsi="Bookman Old Style"/>
          <w:lang w:val="sv-FI"/>
        </w:rPr>
        <w:t xml:space="preserve"> </w:t>
      </w:r>
      <w:r w:rsidRPr="003255BC">
        <w:rPr>
          <w:rFonts w:ascii="Bookman Old Style" w:hAnsi="Bookman Old Style"/>
          <w:lang w:val="sv-FI"/>
        </w:rPr>
        <w:t>belanja</w:t>
      </w:r>
      <w:r w:rsidR="00A954D0" w:rsidRPr="003255BC">
        <w:rPr>
          <w:rFonts w:ascii="Bookman Old Style" w:hAnsi="Bookman Old Style"/>
          <w:lang w:val="sv-FI"/>
        </w:rPr>
        <w:t xml:space="preserve"> </w:t>
      </w:r>
      <w:r w:rsidRPr="003255BC">
        <w:rPr>
          <w:rFonts w:ascii="Bookman Old Style" w:hAnsi="Bookman Old Style"/>
          <w:lang w:val="sv-FI"/>
        </w:rPr>
        <w:t>bantuan</w:t>
      </w:r>
      <w:r w:rsidR="00A954D0" w:rsidRPr="003255BC">
        <w:rPr>
          <w:rFonts w:ascii="Bookman Old Style" w:hAnsi="Bookman Old Style"/>
          <w:lang w:val="sv-FI"/>
        </w:rPr>
        <w:t xml:space="preserve"> </w:t>
      </w:r>
      <w:r w:rsidRPr="003255BC">
        <w:rPr>
          <w:rFonts w:ascii="Bookman Old Style" w:hAnsi="Bookman Old Style"/>
          <w:lang w:val="sv-FI"/>
        </w:rPr>
        <w:t>sosial</w:t>
      </w:r>
      <w:r w:rsidR="00A954D0" w:rsidRPr="003255BC">
        <w:rPr>
          <w:rFonts w:ascii="Bookman Old Style" w:hAnsi="Bookman Old Style"/>
          <w:lang w:val="sv-FI"/>
        </w:rPr>
        <w:t xml:space="preserve"> </w:t>
      </w:r>
      <w:r w:rsidRPr="003255BC">
        <w:rPr>
          <w:rFonts w:ascii="Bookman Old Style" w:hAnsi="Bookman Old Style"/>
          <w:lang w:val="sv-FI"/>
        </w:rPr>
        <w:t>dialihkan</w:t>
      </w:r>
      <w:r w:rsidR="00A954D0" w:rsidRPr="003255BC">
        <w:rPr>
          <w:rFonts w:ascii="Bookman Old Style" w:hAnsi="Bookman Old Style"/>
          <w:lang w:val="sv-FI"/>
        </w:rPr>
        <w:t xml:space="preserve"> </w:t>
      </w:r>
      <w:r w:rsidRPr="003255BC">
        <w:rPr>
          <w:rFonts w:ascii="Bookman Old Style" w:hAnsi="Bookman Old Style"/>
          <w:lang w:val="sv-FI"/>
        </w:rPr>
        <w:t>untuk</w:t>
      </w:r>
      <w:r w:rsidR="00A954D0" w:rsidRPr="003255BC">
        <w:rPr>
          <w:rFonts w:ascii="Bookman Old Style" w:hAnsi="Bookman Old Style"/>
          <w:lang w:val="sv-FI"/>
        </w:rPr>
        <w:t xml:space="preserve"> </w:t>
      </w:r>
      <w:r w:rsidRPr="003255BC">
        <w:rPr>
          <w:rFonts w:ascii="Bookman Old Style" w:hAnsi="Bookman Old Style"/>
          <w:lang w:val="sv-FI"/>
        </w:rPr>
        <w:t>mendanai</w:t>
      </w:r>
      <w:r w:rsidR="00A954D0" w:rsidRPr="003255BC">
        <w:rPr>
          <w:rFonts w:ascii="Bookman Old Style" w:hAnsi="Bookman Old Style"/>
          <w:lang w:val="sv-FI"/>
        </w:rPr>
        <w:t xml:space="preserve"> </w:t>
      </w:r>
      <w:r w:rsidRPr="003255BC">
        <w:rPr>
          <w:rFonts w:ascii="Bookman Old Style" w:hAnsi="Bookman Old Style"/>
          <w:lang w:val="sv-FI"/>
        </w:rPr>
        <w:t>program,</w:t>
      </w:r>
      <w:r w:rsidR="00A954D0" w:rsidRPr="003255BC">
        <w:rPr>
          <w:rFonts w:ascii="Bookman Old Style" w:hAnsi="Bookman Old Style"/>
          <w:lang w:val="sv-FI"/>
        </w:rPr>
        <w:t xml:space="preserve"> </w:t>
      </w:r>
      <w:r w:rsidRPr="003255BC">
        <w:rPr>
          <w:rFonts w:ascii="Bookman Old Style" w:hAnsi="Bookman Old Style"/>
          <w:lang w:val="sv-FI"/>
        </w:rPr>
        <w:t>kegiatan</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sub</w:t>
      </w:r>
      <w:r w:rsidR="00A954D0" w:rsidRPr="003255BC">
        <w:rPr>
          <w:rFonts w:ascii="Bookman Old Style" w:hAnsi="Bookman Old Style"/>
          <w:lang w:val="sv-FI"/>
        </w:rPr>
        <w:t xml:space="preserve"> </w:t>
      </w:r>
      <w:r w:rsidRPr="003255BC">
        <w:rPr>
          <w:rFonts w:ascii="Bookman Old Style" w:hAnsi="Bookman Old Style"/>
          <w:lang w:val="sv-FI"/>
        </w:rPr>
        <w:t>kegiatan</w:t>
      </w:r>
      <w:r w:rsidR="00A954D0" w:rsidRPr="003255BC">
        <w:rPr>
          <w:rFonts w:ascii="Bookman Old Style" w:hAnsi="Bookman Old Style"/>
          <w:lang w:val="sv-FI"/>
        </w:rPr>
        <w:t xml:space="preserve"> </w:t>
      </w:r>
      <w:r w:rsidRPr="003255BC">
        <w:rPr>
          <w:rFonts w:ascii="Bookman Old Style" w:hAnsi="Bookman Old Style"/>
          <w:lang w:val="sv-FI"/>
        </w:rPr>
        <w:t>prioritas</w:t>
      </w:r>
      <w:r w:rsidR="00A954D0" w:rsidRPr="003255BC">
        <w:rPr>
          <w:rFonts w:ascii="Bookman Old Style" w:hAnsi="Bookman Old Style"/>
          <w:lang w:val="sv-FI"/>
        </w:rPr>
        <w:t xml:space="preserve"> </w:t>
      </w:r>
      <w:r w:rsidRPr="003255BC">
        <w:rPr>
          <w:rFonts w:ascii="Bookman Old Style" w:hAnsi="Bookman Old Style"/>
          <w:lang w:val="sv-FI"/>
        </w:rPr>
        <w:t>sebagaimana</w:t>
      </w:r>
      <w:r w:rsidR="00A954D0" w:rsidRPr="003255BC">
        <w:rPr>
          <w:rFonts w:ascii="Bookman Old Style" w:hAnsi="Bookman Old Style"/>
          <w:lang w:val="sv-FI"/>
        </w:rPr>
        <w:t xml:space="preserve"> </w:t>
      </w:r>
      <w:r w:rsidRPr="003255BC">
        <w:rPr>
          <w:rFonts w:ascii="Bookman Old Style" w:hAnsi="Bookman Old Style"/>
          <w:lang w:val="sv-FI"/>
        </w:rPr>
        <w:t>tercantum</w:t>
      </w:r>
      <w:r w:rsidR="00A954D0" w:rsidRPr="003255BC">
        <w:rPr>
          <w:rFonts w:ascii="Bookman Old Style" w:hAnsi="Bookman Old Style"/>
          <w:lang w:val="sv-FI"/>
        </w:rPr>
        <w:t xml:space="preserve"> </w:t>
      </w:r>
      <w:r w:rsidRPr="003255BC">
        <w:rPr>
          <w:rFonts w:ascii="Bookman Old Style" w:hAnsi="Bookman Old Style"/>
          <w:lang w:val="sv-FI"/>
        </w:rPr>
        <w:t>dalam</w:t>
      </w:r>
      <w:r w:rsidR="00A954D0" w:rsidRPr="003255BC">
        <w:rPr>
          <w:rFonts w:ascii="Bookman Old Style" w:hAnsi="Bookman Old Style"/>
          <w:lang w:val="sv-FI"/>
        </w:rPr>
        <w:t xml:space="preserve"> </w:t>
      </w:r>
      <w:r w:rsidRPr="003255BC">
        <w:rPr>
          <w:rFonts w:ascii="Bookman Old Style" w:hAnsi="Bookman Old Style"/>
          <w:lang w:val="sv-FI"/>
        </w:rPr>
        <w:t>RKPD,</w:t>
      </w:r>
      <w:r w:rsidR="00A954D0" w:rsidRPr="003255BC">
        <w:rPr>
          <w:rFonts w:ascii="Bookman Old Style" w:hAnsi="Bookman Old Style"/>
          <w:lang w:val="sv-FI"/>
        </w:rPr>
        <w:t xml:space="preserve"> </w:t>
      </w:r>
      <w:r w:rsidRPr="003255BC">
        <w:rPr>
          <w:rFonts w:ascii="Bookman Old Style" w:hAnsi="Bookman Old Style"/>
          <w:lang w:val="sv-FI"/>
        </w:rPr>
        <w:t>KUA</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lastRenderedPageBreak/>
        <w:t>PPAS</w:t>
      </w:r>
      <w:r w:rsidR="00A954D0" w:rsidRPr="003255BC">
        <w:rPr>
          <w:rFonts w:ascii="Bookman Old Style" w:hAnsi="Bookman Old Style"/>
          <w:lang w:val="sv-FI"/>
        </w:rPr>
        <w:t xml:space="preserve"> </w:t>
      </w:r>
      <w:r w:rsidRPr="003255BC">
        <w:rPr>
          <w:rFonts w:ascii="Bookman Old Style" w:hAnsi="Bookman Old Style"/>
          <w:lang w:val="sv-FI"/>
        </w:rPr>
        <w:t>yang</w:t>
      </w:r>
      <w:r w:rsidR="00A954D0" w:rsidRPr="003255BC">
        <w:rPr>
          <w:rFonts w:ascii="Bookman Old Style" w:hAnsi="Bookman Old Style"/>
          <w:lang w:val="sv-FI"/>
        </w:rPr>
        <w:t xml:space="preserve"> </w:t>
      </w:r>
      <w:r w:rsidRPr="003255BC">
        <w:rPr>
          <w:rFonts w:ascii="Bookman Old Style" w:hAnsi="Bookman Old Style"/>
          <w:lang w:val="sv-FI"/>
        </w:rPr>
        <w:t>menunjang</w:t>
      </w:r>
      <w:r w:rsidR="00A954D0" w:rsidRPr="003255BC">
        <w:rPr>
          <w:rFonts w:ascii="Bookman Old Style" w:hAnsi="Bookman Old Style"/>
          <w:lang w:val="sv-FI"/>
        </w:rPr>
        <w:t xml:space="preserve"> </w:t>
      </w:r>
      <w:r w:rsidRPr="003255BC">
        <w:rPr>
          <w:rFonts w:ascii="Bookman Old Style" w:hAnsi="Bookman Old Style"/>
          <w:lang w:val="sv-FI"/>
        </w:rPr>
        <w:t>pencapaian</w:t>
      </w:r>
      <w:r w:rsidR="00A954D0" w:rsidRPr="003255BC">
        <w:rPr>
          <w:rFonts w:ascii="Bookman Old Style" w:hAnsi="Bookman Old Style"/>
          <w:lang w:val="sv-FI"/>
        </w:rPr>
        <w:t xml:space="preserve"> </w:t>
      </w:r>
      <w:r w:rsidRPr="003255BC">
        <w:rPr>
          <w:rFonts w:ascii="Bookman Old Style" w:hAnsi="Bookman Old Style"/>
          <w:lang w:val="sv-FI"/>
        </w:rPr>
        <w:t>17</w:t>
      </w:r>
      <w:r w:rsidR="00A954D0" w:rsidRPr="003255BC">
        <w:rPr>
          <w:rFonts w:ascii="Bookman Old Style" w:hAnsi="Bookman Old Style"/>
          <w:lang w:val="sv-FI"/>
        </w:rPr>
        <w:t xml:space="preserve"> </w:t>
      </w:r>
      <w:r w:rsidRPr="003255BC">
        <w:rPr>
          <w:rFonts w:ascii="Bookman Old Style" w:hAnsi="Bookman Old Style"/>
          <w:lang w:val="sv-FI"/>
        </w:rPr>
        <w:t>(tujuh</w:t>
      </w:r>
      <w:r w:rsidR="00A954D0" w:rsidRPr="003255BC">
        <w:rPr>
          <w:rFonts w:ascii="Bookman Old Style" w:hAnsi="Bookman Old Style"/>
          <w:lang w:val="sv-FI"/>
        </w:rPr>
        <w:t xml:space="preserve"> </w:t>
      </w:r>
      <w:r w:rsidRPr="003255BC">
        <w:rPr>
          <w:rFonts w:ascii="Bookman Old Style" w:hAnsi="Bookman Old Style"/>
          <w:lang w:val="sv-FI"/>
        </w:rPr>
        <w:t>belas)</w:t>
      </w:r>
      <w:r w:rsidR="00A954D0" w:rsidRPr="003255BC">
        <w:rPr>
          <w:rFonts w:ascii="Bookman Old Style" w:hAnsi="Bookman Old Style"/>
          <w:lang w:val="sv-FI"/>
        </w:rPr>
        <w:t xml:space="preserve"> </w:t>
      </w:r>
      <w:r w:rsidRPr="003255BC">
        <w:rPr>
          <w:rFonts w:ascii="Bookman Old Style" w:hAnsi="Bookman Old Style"/>
          <w:lang w:val="sv-FI"/>
        </w:rPr>
        <w:t>Program</w:t>
      </w:r>
      <w:r w:rsidR="00A954D0" w:rsidRPr="003255BC">
        <w:rPr>
          <w:rFonts w:ascii="Bookman Old Style" w:hAnsi="Bookman Old Style"/>
          <w:lang w:val="sv-FI"/>
        </w:rPr>
        <w:t xml:space="preserve"> </w:t>
      </w:r>
      <w:r w:rsidRPr="003255BC">
        <w:rPr>
          <w:rFonts w:ascii="Bookman Old Style" w:hAnsi="Bookman Old Style"/>
          <w:lang w:val="sv-FI"/>
        </w:rPr>
        <w:t>Prioritas</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8</w:t>
      </w:r>
      <w:r w:rsidR="00A954D0" w:rsidRPr="003255BC">
        <w:rPr>
          <w:rFonts w:ascii="Bookman Old Style" w:hAnsi="Bookman Old Style"/>
          <w:lang w:val="sv-FI"/>
        </w:rPr>
        <w:t xml:space="preserve"> </w:t>
      </w:r>
      <w:r w:rsidRPr="003255BC">
        <w:rPr>
          <w:rFonts w:ascii="Bookman Old Style" w:hAnsi="Bookman Old Style"/>
          <w:lang w:val="sv-FI"/>
        </w:rPr>
        <w:t>(delapan)</w:t>
      </w:r>
      <w:r w:rsidR="00A954D0" w:rsidRPr="003255BC">
        <w:rPr>
          <w:rFonts w:ascii="Bookman Old Style" w:hAnsi="Bookman Old Style"/>
          <w:lang w:val="sv-FI"/>
        </w:rPr>
        <w:t xml:space="preserve"> </w:t>
      </w:r>
      <w:r w:rsidRPr="003255BC">
        <w:rPr>
          <w:rFonts w:ascii="Bookman Old Style" w:hAnsi="Bookman Old Style"/>
          <w:lang w:val="sv-FI"/>
        </w:rPr>
        <w:t>misi</w:t>
      </w:r>
      <w:r w:rsidR="00A954D0" w:rsidRPr="003255BC">
        <w:rPr>
          <w:rFonts w:ascii="Bookman Old Style" w:hAnsi="Bookman Old Style"/>
          <w:lang w:val="sv-FI"/>
        </w:rPr>
        <w:t xml:space="preserve"> </w:t>
      </w:r>
      <w:r w:rsidRPr="003255BC">
        <w:rPr>
          <w:rFonts w:ascii="Bookman Old Style" w:hAnsi="Bookman Old Style"/>
          <w:lang w:val="sv-FI"/>
        </w:rPr>
        <w:t>atau</w:t>
      </w:r>
      <w:r w:rsidR="00A954D0" w:rsidRPr="003255BC">
        <w:rPr>
          <w:rFonts w:ascii="Bookman Old Style" w:hAnsi="Bookman Old Style"/>
          <w:lang w:val="sv-FI"/>
        </w:rPr>
        <w:t xml:space="preserve"> </w:t>
      </w:r>
      <w:r w:rsidRPr="003255BC">
        <w:rPr>
          <w:rFonts w:ascii="Bookman Old Style" w:hAnsi="Bookman Old Style"/>
          <w:lang w:val="sv-FI"/>
        </w:rPr>
        <w:t>Asta</w:t>
      </w:r>
      <w:r w:rsidR="00A954D0" w:rsidRPr="003255BC">
        <w:rPr>
          <w:rFonts w:ascii="Bookman Old Style" w:hAnsi="Bookman Old Style"/>
          <w:lang w:val="sv-FI"/>
        </w:rPr>
        <w:t xml:space="preserve"> </w:t>
      </w:r>
      <w:r w:rsidRPr="003255BC">
        <w:rPr>
          <w:rFonts w:ascii="Bookman Old Style" w:hAnsi="Bookman Old Style"/>
          <w:lang w:val="sv-FI"/>
        </w:rPr>
        <w:t>Cita,</w:t>
      </w:r>
      <w:r w:rsidR="00A954D0" w:rsidRPr="003255BC">
        <w:rPr>
          <w:rFonts w:ascii="Bookman Old Style" w:hAnsi="Bookman Old Style"/>
          <w:lang w:val="sv-FI"/>
        </w:rPr>
        <w:t xml:space="preserve"> </w:t>
      </w:r>
      <w:r w:rsidRPr="003255BC">
        <w:rPr>
          <w:rFonts w:ascii="Bookman Old Style" w:hAnsi="Bookman Old Style"/>
          <w:lang w:val="sv-FI"/>
        </w:rPr>
        <w:t>Prioritas</w:t>
      </w:r>
      <w:r w:rsidR="00A954D0" w:rsidRPr="003255BC">
        <w:rPr>
          <w:rFonts w:ascii="Bookman Old Style" w:hAnsi="Bookman Old Style"/>
          <w:lang w:val="sv-FI"/>
        </w:rPr>
        <w:t xml:space="preserve"> </w:t>
      </w:r>
      <w:r w:rsidRPr="003255BC">
        <w:rPr>
          <w:rFonts w:ascii="Bookman Old Style" w:hAnsi="Bookman Old Style"/>
          <w:lang w:val="sv-FI"/>
        </w:rPr>
        <w:t>Pembangunan</w:t>
      </w:r>
      <w:r w:rsidR="00A954D0" w:rsidRPr="003255BC">
        <w:rPr>
          <w:rFonts w:ascii="Bookman Old Style" w:hAnsi="Bookman Old Style"/>
          <w:lang w:val="sv-FI"/>
        </w:rPr>
        <w:t xml:space="preserve"> </w:t>
      </w:r>
      <w:r w:rsidRPr="003255BC">
        <w:rPr>
          <w:rFonts w:ascii="Bookman Old Style" w:hAnsi="Bookman Old Style"/>
          <w:lang w:val="sv-FI"/>
        </w:rPr>
        <w:t>Nasional</w:t>
      </w:r>
      <w:r w:rsidR="00A954D0" w:rsidRPr="003255BC">
        <w:rPr>
          <w:rFonts w:ascii="Bookman Old Style" w:hAnsi="Bookman Old Style"/>
          <w:lang w:val="sv-FI"/>
        </w:rPr>
        <w:t xml:space="preserve"> </w:t>
      </w:r>
      <w:r w:rsidRPr="003255BC">
        <w:rPr>
          <w:rFonts w:ascii="Bookman Old Style" w:hAnsi="Bookman Old Style"/>
          <w:lang w:val="sv-FI"/>
        </w:rPr>
        <w:t>Tahun</w:t>
      </w:r>
      <w:r w:rsidR="00A954D0" w:rsidRPr="003255BC">
        <w:rPr>
          <w:rFonts w:ascii="Bookman Old Style" w:hAnsi="Bookman Old Style"/>
          <w:lang w:val="sv-FI"/>
        </w:rPr>
        <w:t xml:space="preserve"> </w:t>
      </w:r>
      <w:r w:rsidRPr="003255BC">
        <w:rPr>
          <w:rFonts w:ascii="Bookman Old Style" w:hAnsi="Bookman Old Style"/>
          <w:lang w:val="sv-FI"/>
        </w:rPr>
        <w:t>2025</w:t>
      </w:r>
      <w:r w:rsidR="00A954D0" w:rsidRPr="003255BC">
        <w:rPr>
          <w:rFonts w:ascii="Bookman Old Style" w:hAnsi="Bookman Old Style"/>
          <w:lang w:val="sv-FI"/>
        </w:rPr>
        <w:t xml:space="preserve"> </w:t>
      </w:r>
      <w:r w:rsidRPr="003255BC">
        <w:rPr>
          <w:rFonts w:ascii="Bookman Old Style" w:hAnsi="Bookman Old Style"/>
          <w:lang w:val="sv-FI"/>
        </w:rPr>
        <w:t>sesuai</w:t>
      </w:r>
      <w:r w:rsidR="00A954D0" w:rsidRPr="003255BC">
        <w:rPr>
          <w:rFonts w:ascii="Bookman Old Style" w:hAnsi="Bookman Old Style"/>
          <w:lang w:val="sv-FI"/>
        </w:rPr>
        <w:t xml:space="preserve"> </w:t>
      </w:r>
      <w:r w:rsidRPr="003255BC">
        <w:rPr>
          <w:rFonts w:ascii="Bookman Old Style" w:hAnsi="Bookman Old Style"/>
          <w:lang w:val="sv-FI"/>
        </w:rPr>
        <w:t>dengan</w:t>
      </w:r>
      <w:r w:rsidR="00A954D0" w:rsidRPr="003255BC">
        <w:rPr>
          <w:rFonts w:ascii="Bookman Old Style" w:hAnsi="Bookman Old Style"/>
          <w:lang w:val="sv-FI"/>
        </w:rPr>
        <w:t xml:space="preserve"> </w:t>
      </w:r>
      <w:r w:rsidRPr="003255BC">
        <w:rPr>
          <w:rFonts w:ascii="Bookman Old Style" w:hAnsi="Bookman Old Style"/>
          <w:lang w:val="sv-FI"/>
        </w:rPr>
        <w:t>kewenangan</w:t>
      </w:r>
      <w:r w:rsidR="00A954D0" w:rsidRPr="003255BC">
        <w:rPr>
          <w:rFonts w:ascii="Bookman Old Style" w:hAnsi="Bookman Old Style"/>
          <w:lang w:val="sv-FI"/>
        </w:rPr>
        <w:t xml:space="preserve"> </w:t>
      </w:r>
      <w:r w:rsidRPr="003255BC">
        <w:rPr>
          <w:rFonts w:ascii="Bookman Old Style" w:hAnsi="Bookman Old Style"/>
          <w:lang w:val="sv-FI"/>
        </w:rPr>
        <w:t>Pemerintah</w:t>
      </w:r>
      <w:r w:rsidR="00A954D0" w:rsidRPr="003255BC">
        <w:rPr>
          <w:rFonts w:ascii="Bookman Old Style" w:hAnsi="Bookman Old Style"/>
          <w:lang w:val="sv-FI"/>
        </w:rPr>
        <w:t xml:space="preserve"> </w:t>
      </w:r>
      <w:r w:rsidRPr="003255BC">
        <w:rPr>
          <w:rFonts w:ascii="Bookman Old Style" w:hAnsi="Bookman Old Style"/>
          <w:lang w:val="sv-FI"/>
        </w:rPr>
        <w:t>Daerah</w:t>
      </w:r>
      <w:r w:rsidR="00A954D0" w:rsidRPr="003255BC">
        <w:rPr>
          <w:rFonts w:ascii="Bookman Old Style" w:hAnsi="Bookman Old Style"/>
          <w:lang w:val="sv-FI"/>
        </w:rPr>
        <w:t xml:space="preserve"> </w:t>
      </w:r>
      <w:r w:rsidRPr="003255BC">
        <w:rPr>
          <w:rFonts w:ascii="Bookman Old Style" w:hAnsi="Bookman Old Style"/>
          <w:lang w:val="sv-FI"/>
        </w:rPr>
        <w:t>Kota</w:t>
      </w:r>
      <w:r w:rsidR="00A954D0" w:rsidRPr="003255BC">
        <w:rPr>
          <w:rFonts w:ascii="Bookman Old Style" w:hAnsi="Bookman Old Style"/>
          <w:lang w:val="sv-FI"/>
        </w:rPr>
        <w:t xml:space="preserve"> </w:t>
      </w:r>
      <w:r w:rsidRPr="003255BC">
        <w:rPr>
          <w:rFonts w:ascii="Bookman Old Style" w:hAnsi="Bookman Old Style"/>
          <w:lang w:val="sv-FI"/>
        </w:rPr>
        <w:t>Tangerang,</w:t>
      </w:r>
      <w:r w:rsidR="00A954D0" w:rsidRPr="003255BC">
        <w:rPr>
          <w:rFonts w:ascii="Bookman Old Style" w:hAnsi="Bookman Old Style"/>
          <w:lang w:val="sv-FI"/>
        </w:rPr>
        <w:t xml:space="preserve"> </w:t>
      </w:r>
      <w:r w:rsidRPr="003255BC">
        <w:rPr>
          <w:rFonts w:ascii="Bookman Old Style" w:hAnsi="Bookman Old Style"/>
          <w:lang w:val="sv-FI"/>
        </w:rPr>
        <w:t>penanganan</w:t>
      </w:r>
      <w:r w:rsidR="00A954D0" w:rsidRPr="003255BC">
        <w:rPr>
          <w:rFonts w:ascii="Bookman Old Style" w:hAnsi="Bookman Old Style"/>
          <w:lang w:val="sv-FI"/>
        </w:rPr>
        <w:t xml:space="preserve"> </w:t>
      </w:r>
      <w:r w:rsidRPr="003255BC">
        <w:rPr>
          <w:rFonts w:ascii="Bookman Old Style" w:hAnsi="Bookman Old Style"/>
          <w:lang w:val="sv-FI"/>
        </w:rPr>
        <w:t>inflasi,</w:t>
      </w:r>
      <w:r w:rsidR="00A954D0" w:rsidRPr="003255BC">
        <w:rPr>
          <w:rFonts w:ascii="Bookman Old Style" w:hAnsi="Bookman Old Style"/>
          <w:lang w:val="sv-FI"/>
        </w:rPr>
        <w:t xml:space="preserve"> </w:t>
      </w:r>
      <w:r w:rsidRPr="003255BC">
        <w:rPr>
          <w:rFonts w:ascii="Bookman Old Style" w:hAnsi="Bookman Old Style"/>
          <w:lang w:val="sv-FI"/>
        </w:rPr>
        <w:t>pemenuhan</w:t>
      </w:r>
      <w:r w:rsidR="00A954D0" w:rsidRPr="003255BC">
        <w:rPr>
          <w:rFonts w:ascii="Bookman Old Style" w:hAnsi="Bookman Old Style"/>
          <w:lang w:val="sv-FI"/>
        </w:rPr>
        <w:t xml:space="preserve"> </w:t>
      </w:r>
      <w:r w:rsidRPr="003255BC">
        <w:rPr>
          <w:rFonts w:ascii="Bookman Old Style" w:hAnsi="Bookman Old Style"/>
          <w:lang w:val="sv-FI"/>
        </w:rPr>
        <w:t>alokasi</w:t>
      </w:r>
      <w:r w:rsidR="00A954D0" w:rsidRPr="003255BC">
        <w:rPr>
          <w:rFonts w:ascii="Bookman Old Style" w:hAnsi="Bookman Old Style"/>
          <w:lang w:val="sv-FI"/>
        </w:rPr>
        <w:t xml:space="preserve"> </w:t>
      </w:r>
      <w:r w:rsidRPr="003255BC">
        <w:rPr>
          <w:rFonts w:ascii="Bookman Old Style" w:hAnsi="Bookman Old Style"/>
          <w:lang w:val="sv-FI"/>
        </w:rPr>
        <w:t>anggaran</w:t>
      </w:r>
      <w:r w:rsidR="00A954D0" w:rsidRPr="003255BC">
        <w:rPr>
          <w:rFonts w:ascii="Bookman Old Style" w:hAnsi="Bookman Old Style"/>
          <w:lang w:val="sv-FI"/>
        </w:rPr>
        <w:t xml:space="preserve"> </w:t>
      </w:r>
      <w:r w:rsidRPr="003255BC">
        <w:rPr>
          <w:rFonts w:ascii="Bookman Old Style" w:hAnsi="Bookman Old Style"/>
          <w:lang w:val="sv-FI"/>
        </w:rPr>
        <w:t>Belanja</w:t>
      </w:r>
      <w:r w:rsidR="00A954D0" w:rsidRPr="003255BC">
        <w:rPr>
          <w:rFonts w:ascii="Bookman Old Style" w:hAnsi="Bookman Old Style"/>
          <w:lang w:val="sv-FI"/>
        </w:rPr>
        <w:t xml:space="preserve"> </w:t>
      </w:r>
      <w:r w:rsidRPr="003255BC">
        <w:rPr>
          <w:rFonts w:ascii="Bookman Old Style" w:hAnsi="Bookman Old Style"/>
          <w:lang w:val="sv-FI"/>
        </w:rPr>
        <w:t>Infrastruktur</w:t>
      </w:r>
      <w:r w:rsidR="00A954D0" w:rsidRPr="003255BC">
        <w:rPr>
          <w:rFonts w:ascii="Bookman Old Style" w:hAnsi="Bookman Old Style"/>
          <w:lang w:val="sv-FI"/>
        </w:rPr>
        <w:t xml:space="preserve"> </w:t>
      </w:r>
      <w:r w:rsidRPr="003255BC">
        <w:rPr>
          <w:rFonts w:ascii="Bookman Old Style" w:hAnsi="Bookman Old Style"/>
          <w:lang w:val="sv-FI"/>
        </w:rPr>
        <w:t>Pelayanan</w:t>
      </w:r>
      <w:r w:rsidR="00A954D0" w:rsidRPr="003255BC">
        <w:rPr>
          <w:rFonts w:ascii="Bookman Old Style" w:hAnsi="Bookman Old Style"/>
          <w:lang w:val="sv-FI"/>
        </w:rPr>
        <w:t xml:space="preserve"> </w:t>
      </w:r>
      <w:r w:rsidRPr="003255BC">
        <w:rPr>
          <w:rFonts w:ascii="Bookman Old Style" w:hAnsi="Bookman Old Style"/>
          <w:lang w:val="sv-FI"/>
        </w:rPr>
        <w:t>Publik</w:t>
      </w:r>
      <w:r w:rsidR="00A954D0" w:rsidRPr="003255BC">
        <w:rPr>
          <w:rFonts w:ascii="Bookman Old Style" w:hAnsi="Bookman Old Style"/>
          <w:lang w:val="sv-FI"/>
        </w:rPr>
        <w:t xml:space="preserve"> </w:t>
      </w:r>
      <w:r w:rsidRPr="003255BC">
        <w:rPr>
          <w:rFonts w:ascii="Bookman Old Style" w:hAnsi="Bookman Old Style"/>
          <w:lang w:val="sv-FI"/>
        </w:rPr>
        <w:t>paling</w:t>
      </w:r>
      <w:r w:rsidR="00A954D0" w:rsidRPr="003255BC">
        <w:rPr>
          <w:rFonts w:ascii="Bookman Old Style" w:hAnsi="Bookman Old Style"/>
          <w:lang w:val="sv-FI"/>
        </w:rPr>
        <w:t xml:space="preserve"> </w:t>
      </w:r>
      <w:r w:rsidRPr="003255BC">
        <w:rPr>
          <w:rFonts w:ascii="Bookman Old Style" w:hAnsi="Bookman Old Style"/>
          <w:lang w:val="sv-FI"/>
        </w:rPr>
        <w:t>rendah</w:t>
      </w:r>
      <w:r w:rsidR="00A954D0" w:rsidRPr="003255BC">
        <w:rPr>
          <w:rFonts w:ascii="Bookman Old Style" w:hAnsi="Bookman Old Style"/>
          <w:lang w:val="sv-FI"/>
        </w:rPr>
        <w:t xml:space="preserve"> </w:t>
      </w:r>
      <w:r w:rsidRPr="003255BC">
        <w:rPr>
          <w:rFonts w:ascii="Bookman Old Style" w:hAnsi="Bookman Old Style"/>
          <w:lang w:val="sv-FI"/>
        </w:rPr>
        <w:t>40%</w:t>
      </w:r>
      <w:r w:rsidR="00A954D0" w:rsidRPr="003255BC">
        <w:rPr>
          <w:rFonts w:ascii="Bookman Old Style" w:hAnsi="Bookman Old Style"/>
          <w:lang w:val="sv-FI"/>
        </w:rPr>
        <w:t xml:space="preserve"> </w:t>
      </w:r>
      <w:r w:rsidRPr="003255BC">
        <w:rPr>
          <w:rFonts w:ascii="Bookman Old Style" w:hAnsi="Bookman Old Style"/>
          <w:lang w:val="sv-FI"/>
        </w:rPr>
        <w:t>(empat</w:t>
      </w:r>
      <w:r w:rsidR="00A954D0" w:rsidRPr="003255BC">
        <w:rPr>
          <w:rFonts w:ascii="Bookman Old Style" w:hAnsi="Bookman Old Style"/>
          <w:lang w:val="sv-FI"/>
        </w:rPr>
        <w:t xml:space="preserve"> </w:t>
      </w:r>
      <w:r w:rsidRPr="003255BC">
        <w:rPr>
          <w:rFonts w:ascii="Bookman Old Style" w:hAnsi="Bookman Old Style"/>
          <w:lang w:val="sv-FI"/>
        </w:rPr>
        <w:t>puluh</w:t>
      </w:r>
      <w:r w:rsidR="00A954D0" w:rsidRPr="003255BC">
        <w:rPr>
          <w:rFonts w:ascii="Bookman Old Style" w:hAnsi="Bookman Old Style"/>
          <w:lang w:val="sv-FI"/>
        </w:rPr>
        <w:t xml:space="preserve"> </w:t>
      </w:r>
      <w:r w:rsidRPr="003255BC">
        <w:rPr>
          <w:rFonts w:ascii="Bookman Old Style" w:hAnsi="Bookman Old Style"/>
          <w:lang w:val="sv-FI"/>
        </w:rPr>
        <w:t>persen)</w:t>
      </w:r>
      <w:r w:rsidR="00A954D0" w:rsidRPr="003255BC">
        <w:rPr>
          <w:rFonts w:ascii="Bookman Old Style" w:hAnsi="Bookman Old Style"/>
          <w:lang w:val="sv-FI"/>
        </w:rPr>
        <w:t xml:space="preserve"> </w:t>
      </w:r>
      <w:r w:rsidRPr="003255BC">
        <w:rPr>
          <w:rFonts w:ascii="Bookman Old Style" w:hAnsi="Bookman Old Style"/>
          <w:lang w:val="sv-FI"/>
        </w:rPr>
        <w:t>dari</w:t>
      </w:r>
      <w:r w:rsidR="00A954D0" w:rsidRPr="003255BC">
        <w:rPr>
          <w:rFonts w:ascii="Bookman Old Style" w:hAnsi="Bookman Old Style"/>
          <w:lang w:val="sv-FI"/>
        </w:rPr>
        <w:t xml:space="preserve"> </w:t>
      </w:r>
      <w:r w:rsidRPr="003255BC">
        <w:rPr>
          <w:rFonts w:ascii="Bookman Old Style" w:hAnsi="Bookman Old Style"/>
          <w:lang w:val="sv-FI"/>
        </w:rPr>
        <w:t>total</w:t>
      </w:r>
      <w:r w:rsidR="00A954D0" w:rsidRPr="003255BC">
        <w:rPr>
          <w:rFonts w:ascii="Bookman Old Style" w:hAnsi="Bookman Old Style"/>
          <w:lang w:val="sv-FI"/>
        </w:rPr>
        <w:t xml:space="preserve"> </w:t>
      </w:r>
      <w:r w:rsidRPr="003255BC">
        <w:rPr>
          <w:rFonts w:ascii="Bookman Old Style" w:hAnsi="Bookman Old Style"/>
          <w:lang w:val="sv-FI"/>
        </w:rPr>
        <w:t>belanja</w:t>
      </w:r>
      <w:r w:rsidR="00A954D0" w:rsidRPr="003255BC">
        <w:rPr>
          <w:rFonts w:ascii="Bookman Old Style" w:hAnsi="Bookman Old Style"/>
          <w:lang w:val="sv-FI"/>
        </w:rPr>
        <w:t xml:space="preserve"> </w:t>
      </w:r>
      <w:r w:rsidRPr="003255BC">
        <w:rPr>
          <w:rFonts w:ascii="Bookman Old Style" w:hAnsi="Bookman Old Style"/>
          <w:lang w:val="sv-FI"/>
        </w:rPr>
        <w:t>daerah</w:t>
      </w:r>
      <w:r w:rsidR="00A954D0" w:rsidRPr="003255BC">
        <w:rPr>
          <w:rFonts w:ascii="Bookman Old Style" w:hAnsi="Bookman Old Style"/>
          <w:lang w:val="sv-FI"/>
        </w:rPr>
        <w:t xml:space="preserve"> </w:t>
      </w:r>
      <w:r w:rsidRPr="003255BC">
        <w:rPr>
          <w:rFonts w:ascii="Bookman Old Style" w:hAnsi="Bookman Old Style"/>
          <w:lang w:val="sv-FI"/>
        </w:rPr>
        <w:t>di</w:t>
      </w:r>
      <w:r w:rsidR="00A954D0" w:rsidRPr="003255BC">
        <w:rPr>
          <w:rFonts w:ascii="Bookman Old Style" w:hAnsi="Bookman Old Style"/>
          <w:lang w:val="sv-FI"/>
        </w:rPr>
        <w:t xml:space="preserve"> </w:t>
      </w:r>
      <w:r w:rsidRPr="003255BC">
        <w:rPr>
          <w:rFonts w:ascii="Bookman Old Style" w:hAnsi="Bookman Old Style"/>
          <w:lang w:val="sv-FI"/>
        </w:rPr>
        <w:t>luar</w:t>
      </w:r>
      <w:r w:rsidR="00A954D0" w:rsidRPr="003255BC">
        <w:rPr>
          <w:rFonts w:ascii="Bookman Old Style" w:hAnsi="Bookman Old Style"/>
          <w:lang w:val="sv-FI"/>
        </w:rPr>
        <w:t xml:space="preserve"> </w:t>
      </w:r>
      <w:r w:rsidRPr="003255BC">
        <w:rPr>
          <w:rFonts w:ascii="Bookman Old Style" w:hAnsi="Bookman Old Style"/>
          <w:lang w:val="sv-FI"/>
        </w:rPr>
        <w:t>Belanja</w:t>
      </w:r>
      <w:r w:rsidR="00A954D0" w:rsidRPr="003255BC">
        <w:rPr>
          <w:rFonts w:ascii="Bookman Old Style" w:hAnsi="Bookman Old Style"/>
          <w:lang w:val="sv-FI"/>
        </w:rPr>
        <w:t xml:space="preserve"> </w:t>
      </w:r>
      <w:r w:rsidRPr="003255BC">
        <w:rPr>
          <w:rFonts w:ascii="Bookman Old Style" w:hAnsi="Bookman Old Style"/>
          <w:lang w:val="sv-FI"/>
        </w:rPr>
        <w:t>Bagi</w:t>
      </w:r>
      <w:r w:rsidR="00A954D0" w:rsidRPr="003255BC">
        <w:rPr>
          <w:rFonts w:ascii="Bookman Old Style" w:hAnsi="Bookman Old Style"/>
          <w:lang w:val="sv-FI"/>
        </w:rPr>
        <w:t xml:space="preserve"> </w:t>
      </w:r>
      <w:r w:rsidRPr="003255BC">
        <w:rPr>
          <w:rFonts w:ascii="Bookman Old Style" w:hAnsi="Bookman Old Style"/>
          <w:lang w:val="sv-FI"/>
        </w:rPr>
        <w:t>Hasil</w:t>
      </w:r>
      <w:r w:rsidR="00A954D0" w:rsidRPr="003255BC">
        <w:rPr>
          <w:rFonts w:ascii="Bookman Old Style" w:hAnsi="Bookman Old Style"/>
          <w:lang w:val="sv-FI"/>
        </w:rPr>
        <w:t xml:space="preserve"> </w:t>
      </w:r>
      <w:r w:rsidRPr="003255BC">
        <w:rPr>
          <w:rFonts w:ascii="Bookman Old Style" w:hAnsi="Bookman Old Style"/>
          <w:lang w:val="sv-FI"/>
        </w:rPr>
        <w:t>dan/atau</w:t>
      </w:r>
      <w:r w:rsidR="00A954D0" w:rsidRPr="003255BC">
        <w:rPr>
          <w:rFonts w:ascii="Bookman Old Style" w:hAnsi="Bookman Old Style"/>
          <w:lang w:val="sv-FI"/>
        </w:rPr>
        <w:t xml:space="preserve"> </w:t>
      </w:r>
      <w:r w:rsidRPr="003255BC">
        <w:rPr>
          <w:rFonts w:ascii="Bookman Old Style" w:hAnsi="Bookman Old Style"/>
          <w:lang w:val="sv-FI"/>
        </w:rPr>
        <w:t>Transfer</w:t>
      </w:r>
      <w:r w:rsidR="00A954D0" w:rsidRPr="003255BC">
        <w:rPr>
          <w:rFonts w:ascii="Bookman Old Style" w:hAnsi="Bookman Old Style"/>
          <w:lang w:val="sv-FI"/>
        </w:rPr>
        <w:t xml:space="preserve"> </w:t>
      </w:r>
      <w:r w:rsidRPr="003255BC">
        <w:rPr>
          <w:rFonts w:ascii="Bookman Old Style" w:hAnsi="Bookman Old Style"/>
          <w:lang w:val="sv-FI"/>
        </w:rPr>
        <w:t>Kepada</w:t>
      </w:r>
      <w:r w:rsidR="00A954D0" w:rsidRPr="003255BC">
        <w:rPr>
          <w:rFonts w:ascii="Bookman Old Style" w:hAnsi="Bookman Old Style"/>
          <w:lang w:val="sv-FI"/>
        </w:rPr>
        <w:t xml:space="preserve"> </w:t>
      </w:r>
      <w:r w:rsidRPr="003255BC">
        <w:rPr>
          <w:rFonts w:ascii="Bookman Old Style" w:hAnsi="Bookman Old Style"/>
          <w:lang w:val="sv-FI"/>
        </w:rPr>
        <w:t>Daerah</w:t>
      </w:r>
      <w:r w:rsidR="00A954D0" w:rsidRPr="003255BC">
        <w:rPr>
          <w:rFonts w:ascii="Bookman Old Style" w:hAnsi="Bookman Old Style"/>
          <w:lang w:val="sv-FI"/>
        </w:rPr>
        <w:t xml:space="preserve"> </w:t>
      </w:r>
      <w:r w:rsidRPr="003255BC">
        <w:rPr>
          <w:rFonts w:ascii="Bookman Old Style" w:hAnsi="Bookman Old Style"/>
          <w:lang w:val="sv-FI"/>
        </w:rPr>
        <w:t>dan/atau</w:t>
      </w:r>
      <w:r w:rsidR="00A954D0" w:rsidRPr="003255BC">
        <w:rPr>
          <w:rFonts w:ascii="Bookman Old Style" w:hAnsi="Bookman Old Style"/>
          <w:lang w:val="sv-FI"/>
        </w:rPr>
        <w:t xml:space="preserve"> </w:t>
      </w:r>
      <w:r w:rsidRPr="003255BC">
        <w:rPr>
          <w:rFonts w:ascii="Bookman Old Style" w:hAnsi="Bookman Old Style"/>
          <w:lang w:val="sv-FI"/>
        </w:rPr>
        <w:t>Desa,</w:t>
      </w:r>
      <w:r w:rsidR="00A954D0" w:rsidRPr="003255BC">
        <w:rPr>
          <w:rFonts w:ascii="Bookman Old Style" w:hAnsi="Bookman Old Style"/>
          <w:lang w:val="sv-FI"/>
        </w:rPr>
        <w:t xml:space="preserve"> </w:t>
      </w:r>
      <w:r w:rsidRPr="003255BC">
        <w:rPr>
          <w:rFonts w:ascii="Bookman Old Style" w:hAnsi="Bookman Old Style"/>
          <w:lang w:val="sv-FI"/>
        </w:rPr>
        <w:t>alokasi</w:t>
      </w:r>
      <w:r w:rsidR="00A954D0" w:rsidRPr="003255BC">
        <w:rPr>
          <w:rFonts w:ascii="Bookman Old Style" w:hAnsi="Bookman Old Style"/>
          <w:lang w:val="sv-FI"/>
        </w:rPr>
        <w:t xml:space="preserve"> </w:t>
      </w:r>
      <w:r w:rsidRPr="003255BC">
        <w:rPr>
          <w:rFonts w:ascii="Bookman Old Style" w:hAnsi="Bookman Old Style"/>
          <w:lang w:val="sv-FI"/>
        </w:rPr>
        <w:t>anggaran</w:t>
      </w:r>
      <w:r w:rsidR="00A954D0" w:rsidRPr="003255BC">
        <w:rPr>
          <w:rFonts w:ascii="Bookman Old Style" w:hAnsi="Bookman Old Style"/>
          <w:lang w:val="sv-FI"/>
        </w:rPr>
        <w:t xml:space="preserve"> </w:t>
      </w:r>
      <w:r w:rsidRPr="003255BC">
        <w:rPr>
          <w:rFonts w:ascii="Bookman Old Style" w:hAnsi="Bookman Old Style"/>
          <w:lang w:val="sv-FI"/>
        </w:rPr>
        <w:t>Penguatan</w:t>
      </w:r>
      <w:r w:rsidR="00A954D0" w:rsidRPr="003255BC">
        <w:rPr>
          <w:rFonts w:ascii="Bookman Old Style" w:hAnsi="Bookman Old Style"/>
          <w:lang w:val="sv-FI"/>
        </w:rPr>
        <w:t xml:space="preserve"> </w:t>
      </w:r>
      <w:r w:rsidRPr="003255BC">
        <w:rPr>
          <w:rFonts w:ascii="Bookman Old Style" w:hAnsi="Bookman Old Style"/>
          <w:lang w:val="sv-FI"/>
        </w:rPr>
        <w:t>Pembinaan</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Pengawasan</w:t>
      </w:r>
      <w:r w:rsidR="00A954D0" w:rsidRPr="003255BC">
        <w:rPr>
          <w:rFonts w:ascii="Bookman Old Style" w:hAnsi="Bookman Old Style"/>
          <w:lang w:val="sv-FI"/>
        </w:rPr>
        <w:t xml:space="preserve"> </w:t>
      </w:r>
      <w:r w:rsidRPr="003255BC">
        <w:rPr>
          <w:rFonts w:ascii="Bookman Old Style" w:hAnsi="Bookman Old Style"/>
          <w:lang w:val="sv-FI"/>
        </w:rPr>
        <w:t>pada</w:t>
      </w:r>
      <w:r w:rsidR="00A954D0" w:rsidRPr="003255BC">
        <w:rPr>
          <w:rFonts w:ascii="Bookman Old Style" w:hAnsi="Bookman Old Style"/>
          <w:lang w:val="sv-FI"/>
        </w:rPr>
        <w:t xml:space="preserve"> </w:t>
      </w:r>
      <w:r w:rsidRPr="003255BC">
        <w:rPr>
          <w:rFonts w:ascii="Bookman Old Style" w:hAnsi="Bookman Old Style"/>
          <w:lang w:val="sv-FI"/>
        </w:rPr>
        <w:t>Inspektorat</w:t>
      </w:r>
      <w:r w:rsidR="00A954D0" w:rsidRPr="003255BC">
        <w:rPr>
          <w:rFonts w:ascii="Bookman Old Style" w:hAnsi="Bookman Old Style"/>
          <w:lang w:val="sv-FI"/>
        </w:rPr>
        <w:t xml:space="preserve"> </w:t>
      </w:r>
      <w:r w:rsidRPr="003255BC">
        <w:rPr>
          <w:rFonts w:ascii="Bookman Old Style" w:hAnsi="Bookman Old Style"/>
          <w:lang w:val="sv-FI"/>
        </w:rPr>
        <w:t>Daerah</w:t>
      </w:r>
      <w:r w:rsidR="00A954D0" w:rsidRPr="003255BC">
        <w:rPr>
          <w:rFonts w:ascii="Bookman Old Style" w:hAnsi="Bookman Old Style"/>
          <w:lang w:val="sv-FI"/>
        </w:rPr>
        <w:t xml:space="preserve"> </w:t>
      </w:r>
      <w:r w:rsidRPr="003255BC">
        <w:rPr>
          <w:rFonts w:ascii="Bookman Old Style" w:hAnsi="Bookman Old Style"/>
          <w:lang w:val="sv-FI"/>
        </w:rPr>
        <w:t>paling</w:t>
      </w:r>
      <w:r w:rsidR="00A954D0" w:rsidRPr="003255BC">
        <w:rPr>
          <w:rFonts w:ascii="Bookman Old Style" w:hAnsi="Bookman Old Style"/>
          <w:lang w:val="sv-FI"/>
        </w:rPr>
        <w:t xml:space="preserve"> </w:t>
      </w:r>
      <w:r w:rsidRPr="003255BC">
        <w:rPr>
          <w:rFonts w:ascii="Bookman Old Style" w:hAnsi="Bookman Old Style"/>
          <w:lang w:val="sv-FI"/>
        </w:rPr>
        <w:t>sedikit</w:t>
      </w:r>
      <w:r w:rsidR="00A954D0" w:rsidRPr="003255BC">
        <w:rPr>
          <w:rFonts w:ascii="Bookman Old Style" w:hAnsi="Bookman Old Style"/>
          <w:lang w:val="sv-FI"/>
        </w:rPr>
        <w:t xml:space="preserve"> </w:t>
      </w:r>
      <w:r w:rsidRPr="003255BC">
        <w:rPr>
          <w:rFonts w:ascii="Bookman Old Style" w:hAnsi="Bookman Old Style"/>
          <w:lang w:val="sv-FI"/>
        </w:rPr>
        <w:t>sebesar</w:t>
      </w:r>
      <w:r w:rsidR="00A954D0" w:rsidRPr="003255BC">
        <w:rPr>
          <w:rFonts w:ascii="Bookman Old Style" w:hAnsi="Bookman Old Style"/>
          <w:lang w:val="sv-FI"/>
        </w:rPr>
        <w:t xml:space="preserve"> </w:t>
      </w:r>
      <w:r w:rsidRPr="003255BC">
        <w:rPr>
          <w:rFonts w:ascii="Bookman Old Style" w:hAnsi="Bookman Old Style"/>
          <w:lang w:val="sv-FI"/>
        </w:rPr>
        <w:t>0,50%</w:t>
      </w:r>
      <w:r w:rsidR="00A954D0" w:rsidRPr="003255BC">
        <w:rPr>
          <w:rFonts w:ascii="Bookman Old Style" w:hAnsi="Bookman Old Style"/>
          <w:lang w:val="sv-FI"/>
        </w:rPr>
        <w:t xml:space="preserve"> </w:t>
      </w:r>
      <w:r w:rsidRPr="003255BC">
        <w:rPr>
          <w:rFonts w:ascii="Bookman Old Style" w:hAnsi="Bookman Old Style"/>
          <w:lang w:val="sv-FI"/>
        </w:rPr>
        <w:t>(nol</w:t>
      </w:r>
      <w:r w:rsidR="00A954D0" w:rsidRPr="003255BC">
        <w:rPr>
          <w:rFonts w:ascii="Bookman Old Style" w:hAnsi="Bookman Old Style"/>
          <w:lang w:val="sv-FI"/>
        </w:rPr>
        <w:t xml:space="preserve"> </w:t>
      </w:r>
      <w:r w:rsidRPr="003255BC">
        <w:rPr>
          <w:rFonts w:ascii="Bookman Old Style" w:hAnsi="Bookman Old Style"/>
          <w:lang w:val="sv-FI"/>
        </w:rPr>
        <w:t>koma</w:t>
      </w:r>
      <w:r w:rsidR="00A954D0" w:rsidRPr="003255BC">
        <w:rPr>
          <w:rFonts w:ascii="Bookman Old Style" w:hAnsi="Bookman Old Style"/>
          <w:lang w:val="sv-FI"/>
        </w:rPr>
        <w:t xml:space="preserve"> </w:t>
      </w:r>
      <w:r w:rsidRPr="003255BC">
        <w:rPr>
          <w:rFonts w:ascii="Bookman Old Style" w:hAnsi="Bookman Old Style"/>
          <w:lang w:val="sv-FI"/>
        </w:rPr>
        <w:t>lima</w:t>
      </w:r>
      <w:r w:rsidR="00A954D0" w:rsidRPr="003255BC">
        <w:rPr>
          <w:rFonts w:ascii="Bookman Old Style" w:hAnsi="Bookman Old Style"/>
          <w:lang w:val="sv-FI"/>
        </w:rPr>
        <w:t xml:space="preserve"> </w:t>
      </w:r>
      <w:r w:rsidRPr="003255BC">
        <w:rPr>
          <w:rFonts w:ascii="Bookman Old Style" w:hAnsi="Bookman Old Style"/>
          <w:lang w:val="sv-FI"/>
        </w:rPr>
        <w:t>puluh</w:t>
      </w:r>
      <w:r w:rsidR="00A954D0" w:rsidRPr="003255BC">
        <w:rPr>
          <w:rFonts w:ascii="Bookman Old Style" w:hAnsi="Bookman Old Style"/>
          <w:lang w:val="sv-FI"/>
        </w:rPr>
        <w:t xml:space="preserve"> </w:t>
      </w:r>
      <w:r w:rsidRPr="003255BC">
        <w:rPr>
          <w:rFonts w:ascii="Bookman Old Style" w:hAnsi="Bookman Old Style"/>
          <w:lang w:val="sv-FI"/>
        </w:rPr>
        <w:t>persen)</w:t>
      </w:r>
      <w:r w:rsidR="00A954D0" w:rsidRPr="003255BC">
        <w:rPr>
          <w:rFonts w:ascii="Bookman Old Style" w:hAnsi="Bookman Old Style"/>
          <w:lang w:val="sv-FI"/>
        </w:rPr>
        <w:t xml:space="preserve"> </w:t>
      </w:r>
      <w:r w:rsidRPr="003255BC">
        <w:rPr>
          <w:rFonts w:ascii="Bookman Old Style" w:hAnsi="Bookman Old Style"/>
          <w:lang w:val="sv-FI"/>
        </w:rPr>
        <w:t>dari</w:t>
      </w:r>
      <w:r w:rsidR="00A954D0" w:rsidRPr="003255BC">
        <w:rPr>
          <w:rFonts w:ascii="Bookman Old Style" w:hAnsi="Bookman Old Style"/>
          <w:lang w:val="sv-FI"/>
        </w:rPr>
        <w:t xml:space="preserve"> </w:t>
      </w:r>
      <w:r w:rsidRPr="003255BC">
        <w:rPr>
          <w:rFonts w:ascii="Bookman Old Style" w:hAnsi="Bookman Old Style"/>
          <w:lang w:val="sv-FI"/>
        </w:rPr>
        <w:t>total</w:t>
      </w:r>
      <w:r w:rsidR="00A954D0" w:rsidRPr="003255BC">
        <w:rPr>
          <w:rFonts w:ascii="Bookman Old Style" w:hAnsi="Bookman Old Style"/>
          <w:lang w:val="sv-FI"/>
        </w:rPr>
        <w:t xml:space="preserve"> </w:t>
      </w:r>
      <w:r w:rsidRPr="003255BC">
        <w:rPr>
          <w:rFonts w:ascii="Bookman Old Style" w:hAnsi="Bookman Old Style"/>
          <w:lang w:val="sv-FI"/>
        </w:rPr>
        <w:t>belanja</w:t>
      </w:r>
      <w:r w:rsidR="00A954D0" w:rsidRPr="003255BC">
        <w:rPr>
          <w:rFonts w:ascii="Bookman Old Style" w:hAnsi="Bookman Old Style"/>
          <w:lang w:val="sv-FI"/>
        </w:rPr>
        <w:t xml:space="preserve"> </w:t>
      </w:r>
      <w:r w:rsidRPr="003255BC">
        <w:rPr>
          <w:rFonts w:ascii="Bookman Old Style" w:hAnsi="Bookman Old Style"/>
          <w:lang w:val="sv-FI"/>
        </w:rPr>
        <w:t>daerah</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diatas</w:t>
      </w:r>
      <w:r w:rsidR="00A954D0" w:rsidRPr="003255BC">
        <w:rPr>
          <w:rFonts w:ascii="Bookman Old Style" w:hAnsi="Bookman Old Style"/>
          <w:lang w:val="sv-FI"/>
        </w:rPr>
        <w:t xml:space="preserve"> </w:t>
      </w:r>
      <w:r w:rsidRPr="003255BC">
        <w:rPr>
          <w:rFonts w:ascii="Bookman Old Style" w:hAnsi="Bookman Old Style"/>
          <w:lang w:val="sv-FI"/>
        </w:rPr>
        <w:t>Rp15.000.000.000,00</w:t>
      </w:r>
      <w:r w:rsidR="00A954D0" w:rsidRPr="003255BC">
        <w:rPr>
          <w:rFonts w:ascii="Bookman Old Style" w:hAnsi="Bookman Old Style"/>
          <w:lang w:val="sv-FI"/>
        </w:rPr>
        <w:t xml:space="preserve"> </w:t>
      </w:r>
      <w:r w:rsidRPr="003255BC">
        <w:rPr>
          <w:rFonts w:ascii="Bookman Old Style" w:hAnsi="Bookman Old Style"/>
          <w:lang w:val="sv-FI"/>
        </w:rPr>
        <w:t>(lima</w:t>
      </w:r>
      <w:r w:rsidR="00A954D0" w:rsidRPr="003255BC">
        <w:rPr>
          <w:rFonts w:ascii="Bookman Old Style" w:hAnsi="Bookman Old Style"/>
          <w:lang w:val="sv-FI"/>
        </w:rPr>
        <w:t xml:space="preserve"> </w:t>
      </w:r>
      <w:r w:rsidRPr="003255BC">
        <w:rPr>
          <w:rFonts w:ascii="Bookman Old Style" w:hAnsi="Bookman Old Style"/>
          <w:lang w:val="sv-FI"/>
        </w:rPr>
        <w:t>belas</w:t>
      </w:r>
      <w:r w:rsidR="00A954D0" w:rsidRPr="003255BC">
        <w:rPr>
          <w:rFonts w:ascii="Bookman Old Style" w:hAnsi="Bookman Old Style"/>
          <w:lang w:val="sv-FI"/>
        </w:rPr>
        <w:t xml:space="preserve"> </w:t>
      </w:r>
      <w:r w:rsidRPr="003255BC">
        <w:rPr>
          <w:rFonts w:ascii="Bookman Old Style" w:hAnsi="Bookman Old Style"/>
          <w:lang w:val="sv-FI"/>
        </w:rPr>
        <w:t>miliar</w:t>
      </w:r>
      <w:r w:rsidR="00A954D0" w:rsidRPr="003255BC">
        <w:rPr>
          <w:rFonts w:ascii="Bookman Old Style" w:hAnsi="Bookman Old Style"/>
          <w:lang w:val="sv-FI"/>
        </w:rPr>
        <w:t xml:space="preserve"> </w:t>
      </w:r>
      <w:r w:rsidRPr="003255BC">
        <w:rPr>
          <w:rFonts w:ascii="Bookman Old Style" w:hAnsi="Bookman Old Style"/>
          <w:lang w:val="sv-FI"/>
        </w:rPr>
        <w:t>rupiah)</w:t>
      </w:r>
      <w:r w:rsidR="00A954D0" w:rsidRPr="003255BC">
        <w:rPr>
          <w:rFonts w:ascii="Bookman Old Style" w:hAnsi="Bookman Old Style"/>
          <w:lang w:val="sv-FI"/>
        </w:rPr>
        <w:t xml:space="preserve"> </w:t>
      </w:r>
      <w:r w:rsidRPr="003255BC">
        <w:rPr>
          <w:rFonts w:ascii="Bookman Old Style" w:hAnsi="Bookman Old Style"/>
          <w:lang w:val="sv-FI"/>
        </w:rPr>
        <w:t>tidak</w:t>
      </w:r>
      <w:r w:rsidR="00A954D0" w:rsidRPr="003255BC">
        <w:rPr>
          <w:rFonts w:ascii="Bookman Old Style" w:hAnsi="Bookman Old Style"/>
          <w:lang w:val="sv-FI"/>
        </w:rPr>
        <w:t xml:space="preserve"> </w:t>
      </w:r>
      <w:r w:rsidRPr="003255BC">
        <w:rPr>
          <w:rFonts w:ascii="Bookman Old Style" w:hAnsi="Bookman Old Style"/>
          <w:lang w:val="sv-FI"/>
        </w:rPr>
        <w:t>termasuk</w:t>
      </w:r>
      <w:r w:rsidR="00A954D0" w:rsidRPr="003255BC">
        <w:rPr>
          <w:rFonts w:ascii="Bookman Old Style" w:hAnsi="Bookman Old Style"/>
          <w:lang w:val="sv-FI"/>
        </w:rPr>
        <w:t xml:space="preserve"> </w:t>
      </w:r>
      <w:r w:rsidRPr="003255BC">
        <w:rPr>
          <w:rFonts w:ascii="Bookman Old Style" w:hAnsi="Bookman Old Style"/>
          <w:lang w:val="sv-FI"/>
        </w:rPr>
        <w:t>belanja</w:t>
      </w:r>
      <w:r w:rsidR="00A954D0" w:rsidRPr="003255BC">
        <w:rPr>
          <w:rFonts w:ascii="Bookman Old Style" w:hAnsi="Bookman Old Style"/>
          <w:lang w:val="sv-FI"/>
        </w:rPr>
        <w:t xml:space="preserve"> </w:t>
      </w:r>
      <w:r w:rsidRPr="003255BC">
        <w:rPr>
          <w:rFonts w:ascii="Bookman Old Style" w:hAnsi="Bookman Old Style"/>
          <w:lang w:val="sv-FI"/>
        </w:rPr>
        <w:t>gaji,</w:t>
      </w:r>
      <w:r w:rsidR="00A954D0" w:rsidRPr="003255BC">
        <w:rPr>
          <w:rFonts w:ascii="Bookman Old Style" w:hAnsi="Bookman Old Style"/>
          <w:lang w:val="sv-FI"/>
        </w:rPr>
        <w:t xml:space="preserve"> </w:t>
      </w:r>
      <w:r w:rsidRPr="003255BC">
        <w:rPr>
          <w:rFonts w:ascii="Bookman Old Style" w:hAnsi="Bookman Old Style"/>
          <w:lang w:val="sv-FI"/>
        </w:rPr>
        <w:t>tunjangan</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TP</w:t>
      </w:r>
      <w:r w:rsidR="00A954D0" w:rsidRPr="003255BC">
        <w:rPr>
          <w:rFonts w:ascii="Bookman Old Style" w:hAnsi="Bookman Old Style"/>
          <w:lang w:val="sv-FI"/>
        </w:rPr>
        <w:t xml:space="preserve"> </w:t>
      </w:r>
      <w:r w:rsidRPr="003255BC">
        <w:rPr>
          <w:rFonts w:ascii="Bookman Old Style" w:hAnsi="Bookman Old Style"/>
          <w:lang w:val="sv-FI"/>
        </w:rPr>
        <w:t>ASN</w:t>
      </w:r>
      <w:r w:rsidR="00A954D0" w:rsidRPr="003255BC">
        <w:rPr>
          <w:rFonts w:ascii="Bookman Old Style" w:hAnsi="Bookman Old Style"/>
          <w:lang w:val="sv-FI"/>
        </w:rPr>
        <w:t xml:space="preserve"> </w:t>
      </w:r>
      <w:r w:rsidRPr="003255BC">
        <w:rPr>
          <w:rFonts w:ascii="Bookman Old Style" w:hAnsi="Bookman Old Style"/>
          <w:lang w:val="sv-FI"/>
        </w:rPr>
        <w:t>pada</w:t>
      </w:r>
      <w:r w:rsidR="00A954D0" w:rsidRPr="003255BC">
        <w:rPr>
          <w:rFonts w:ascii="Bookman Old Style" w:hAnsi="Bookman Old Style"/>
          <w:lang w:val="sv-FI"/>
        </w:rPr>
        <w:t xml:space="preserve"> </w:t>
      </w:r>
      <w:r w:rsidRPr="003255BC">
        <w:rPr>
          <w:rFonts w:ascii="Bookman Old Style" w:hAnsi="Bookman Old Style"/>
          <w:lang w:val="sv-FI"/>
        </w:rPr>
        <w:t>SKPD</w:t>
      </w:r>
      <w:r w:rsidR="00A954D0" w:rsidRPr="003255BC">
        <w:rPr>
          <w:rFonts w:ascii="Bookman Old Style" w:hAnsi="Bookman Old Style"/>
          <w:lang w:val="sv-FI"/>
        </w:rPr>
        <w:t xml:space="preserve"> </w:t>
      </w:r>
      <w:r w:rsidRPr="003255BC">
        <w:rPr>
          <w:rFonts w:ascii="Bookman Old Style" w:hAnsi="Bookman Old Style"/>
          <w:lang w:val="sv-FI"/>
        </w:rPr>
        <w:t>Inspektorat,</w:t>
      </w:r>
      <w:r w:rsidR="00A954D0" w:rsidRPr="003255BC">
        <w:rPr>
          <w:rFonts w:ascii="Bookman Old Style" w:hAnsi="Bookman Old Style"/>
          <w:lang w:val="sv-FI"/>
        </w:rPr>
        <w:t xml:space="preserve"> </w:t>
      </w:r>
      <w:r w:rsidRPr="003255BC">
        <w:rPr>
          <w:rFonts w:ascii="Bookman Old Style" w:hAnsi="Bookman Old Style"/>
          <w:lang w:val="sv-FI"/>
        </w:rPr>
        <w:t>alokasi</w:t>
      </w:r>
      <w:r w:rsidR="00A954D0" w:rsidRPr="003255BC">
        <w:rPr>
          <w:rFonts w:ascii="Bookman Old Style" w:hAnsi="Bookman Old Style"/>
          <w:lang w:val="sv-FI"/>
        </w:rPr>
        <w:t xml:space="preserve"> </w:t>
      </w:r>
      <w:r w:rsidRPr="003255BC">
        <w:rPr>
          <w:rFonts w:ascii="Bookman Old Style" w:hAnsi="Bookman Old Style"/>
          <w:lang w:val="sv-FI"/>
        </w:rPr>
        <w:t>anggaran</w:t>
      </w:r>
      <w:r w:rsidR="00A954D0" w:rsidRPr="003255BC">
        <w:rPr>
          <w:rFonts w:ascii="Bookman Old Style" w:hAnsi="Bookman Old Style"/>
          <w:lang w:val="sv-FI"/>
        </w:rPr>
        <w:t xml:space="preserve"> </w:t>
      </w:r>
      <w:r w:rsidRPr="003255BC">
        <w:rPr>
          <w:rFonts w:ascii="Bookman Old Style" w:hAnsi="Bookman Old Style"/>
          <w:lang w:val="sv-FI"/>
        </w:rPr>
        <w:t>untuk</w:t>
      </w:r>
      <w:r w:rsidR="00A954D0" w:rsidRPr="003255BC">
        <w:rPr>
          <w:rFonts w:ascii="Bookman Old Style" w:hAnsi="Bookman Old Style"/>
          <w:lang w:val="sv-FI"/>
        </w:rPr>
        <w:t xml:space="preserve"> </w:t>
      </w:r>
      <w:r w:rsidRPr="003255BC">
        <w:rPr>
          <w:rFonts w:ascii="Bookman Old Style" w:hAnsi="Bookman Old Style"/>
          <w:lang w:val="sv-FI"/>
        </w:rPr>
        <w:t>pendidikan</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pelatihan</w:t>
      </w:r>
      <w:r w:rsidR="00A954D0" w:rsidRPr="003255BC">
        <w:rPr>
          <w:rFonts w:ascii="Bookman Old Style" w:hAnsi="Bookman Old Style"/>
          <w:lang w:val="sv-FI"/>
        </w:rPr>
        <w:t xml:space="preserve"> </w:t>
      </w:r>
      <w:r w:rsidRPr="003255BC">
        <w:rPr>
          <w:rFonts w:ascii="Bookman Old Style" w:hAnsi="Bookman Old Style"/>
          <w:lang w:val="sv-FI"/>
        </w:rPr>
        <w:t>bagi</w:t>
      </w:r>
      <w:r w:rsidR="00A954D0" w:rsidRPr="003255BC">
        <w:rPr>
          <w:rFonts w:ascii="Bookman Old Style" w:hAnsi="Bookman Old Style"/>
          <w:lang w:val="sv-FI"/>
        </w:rPr>
        <w:t xml:space="preserve"> </w:t>
      </w:r>
      <w:r w:rsidRPr="003255BC">
        <w:rPr>
          <w:rFonts w:ascii="Bookman Old Style" w:hAnsi="Bookman Old Style"/>
          <w:lang w:val="sv-FI"/>
        </w:rPr>
        <w:t>ASN</w:t>
      </w:r>
      <w:r w:rsidR="00A954D0" w:rsidRPr="003255BC">
        <w:rPr>
          <w:rFonts w:ascii="Bookman Old Style" w:hAnsi="Bookman Old Style"/>
          <w:lang w:val="sv-FI"/>
        </w:rPr>
        <w:t xml:space="preserve"> </w:t>
      </w:r>
      <w:r w:rsidRPr="003255BC">
        <w:rPr>
          <w:rFonts w:ascii="Bookman Old Style" w:hAnsi="Bookman Old Style"/>
          <w:lang w:val="sv-FI"/>
        </w:rPr>
        <w:t>dalam</w:t>
      </w:r>
      <w:r w:rsidR="00A954D0" w:rsidRPr="003255BC">
        <w:rPr>
          <w:rFonts w:ascii="Bookman Old Style" w:hAnsi="Bookman Old Style"/>
          <w:lang w:val="sv-FI"/>
        </w:rPr>
        <w:t xml:space="preserve"> </w:t>
      </w:r>
      <w:r w:rsidRPr="003255BC">
        <w:rPr>
          <w:rFonts w:ascii="Bookman Old Style" w:hAnsi="Bookman Old Style"/>
          <w:lang w:val="sv-FI"/>
        </w:rPr>
        <w:t>rangka</w:t>
      </w:r>
      <w:r w:rsidR="00A954D0" w:rsidRPr="003255BC">
        <w:rPr>
          <w:rFonts w:ascii="Bookman Old Style" w:hAnsi="Bookman Old Style"/>
          <w:lang w:val="sv-FI"/>
        </w:rPr>
        <w:t xml:space="preserve"> </w:t>
      </w:r>
      <w:r w:rsidRPr="003255BC">
        <w:rPr>
          <w:rFonts w:ascii="Bookman Old Style" w:hAnsi="Bookman Old Style"/>
          <w:lang w:val="sv-FI"/>
        </w:rPr>
        <w:t>pengembangan</w:t>
      </w:r>
      <w:r w:rsidR="00A954D0" w:rsidRPr="003255BC">
        <w:rPr>
          <w:rFonts w:ascii="Bookman Old Style" w:hAnsi="Bookman Old Style"/>
          <w:lang w:val="sv-FI"/>
        </w:rPr>
        <w:t xml:space="preserve"> </w:t>
      </w:r>
      <w:r w:rsidRPr="003255BC">
        <w:rPr>
          <w:rFonts w:ascii="Bookman Old Style" w:hAnsi="Bookman Old Style"/>
          <w:lang w:val="sv-FI"/>
        </w:rPr>
        <w:t>kompetensi</w:t>
      </w:r>
      <w:r w:rsidR="00A954D0" w:rsidRPr="003255BC">
        <w:rPr>
          <w:rFonts w:ascii="Bookman Old Style" w:hAnsi="Bookman Old Style"/>
          <w:lang w:val="sv-FI"/>
        </w:rPr>
        <w:t xml:space="preserve"> </w:t>
      </w:r>
      <w:r w:rsidRPr="003255BC">
        <w:rPr>
          <w:rFonts w:ascii="Bookman Old Style" w:hAnsi="Bookman Old Style"/>
          <w:lang w:val="sv-FI"/>
        </w:rPr>
        <w:t>penyelenggara</w:t>
      </w:r>
      <w:r w:rsidR="00A954D0" w:rsidRPr="003255BC">
        <w:rPr>
          <w:rFonts w:ascii="Bookman Old Style" w:hAnsi="Bookman Old Style"/>
          <w:lang w:val="sv-FI"/>
        </w:rPr>
        <w:t xml:space="preserve"> </w:t>
      </w:r>
      <w:r w:rsidRPr="003255BC">
        <w:rPr>
          <w:rFonts w:ascii="Bookman Old Style" w:hAnsi="Bookman Old Style"/>
          <w:lang w:val="sv-FI"/>
        </w:rPr>
        <w:t>pemerintah</w:t>
      </w:r>
      <w:r w:rsidR="00A954D0" w:rsidRPr="003255BC">
        <w:rPr>
          <w:rFonts w:ascii="Bookman Old Style" w:hAnsi="Bookman Old Style"/>
          <w:lang w:val="sv-FI"/>
        </w:rPr>
        <w:t xml:space="preserve"> </w:t>
      </w:r>
      <w:r w:rsidRPr="003255BC">
        <w:rPr>
          <w:rFonts w:ascii="Bookman Old Style" w:hAnsi="Bookman Old Style"/>
          <w:lang w:val="sv-FI"/>
        </w:rPr>
        <w:t>daerah</w:t>
      </w:r>
      <w:r w:rsidR="00A954D0" w:rsidRPr="003255BC">
        <w:rPr>
          <w:rFonts w:ascii="Bookman Old Style" w:hAnsi="Bookman Old Style"/>
          <w:lang w:val="sv-FI"/>
        </w:rPr>
        <w:t xml:space="preserve"> </w:t>
      </w:r>
      <w:r w:rsidRPr="003255BC">
        <w:rPr>
          <w:rFonts w:ascii="Bookman Old Style" w:hAnsi="Bookman Old Style"/>
          <w:lang w:val="sv-FI"/>
        </w:rPr>
        <w:t>paling</w:t>
      </w:r>
      <w:r w:rsidR="00A954D0" w:rsidRPr="003255BC">
        <w:rPr>
          <w:rFonts w:ascii="Bookman Old Style" w:hAnsi="Bookman Old Style"/>
          <w:lang w:val="sv-FI"/>
        </w:rPr>
        <w:t xml:space="preserve"> </w:t>
      </w:r>
      <w:r w:rsidRPr="003255BC">
        <w:rPr>
          <w:rFonts w:ascii="Bookman Old Style" w:hAnsi="Bookman Old Style"/>
          <w:lang w:val="sv-FI"/>
        </w:rPr>
        <w:t>sedikit</w:t>
      </w:r>
      <w:r w:rsidR="00A954D0" w:rsidRPr="003255BC">
        <w:rPr>
          <w:rFonts w:ascii="Bookman Old Style" w:hAnsi="Bookman Old Style"/>
          <w:lang w:val="sv-FI"/>
        </w:rPr>
        <w:t xml:space="preserve"> </w:t>
      </w:r>
      <w:r w:rsidRPr="003255BC">
        <w:rPr>
          <w:rFonts w:ascii="Bookman Old Style" w:hAnsi="Bookman Old Style"/>
          <w:lang w:val="sv-FI"/>
        </w:rPr>
        <w:t>0,16%</w:t>
      </w:r>
      <w:r w:rsidR="00A954D0" w:rsidRPr="003255BC">
        <w:rPr>
          <w:rFonts w:ascii="Bookman Old Style" w:hAnsi="Bookman Old Style"/>
          <w:lang w:val="sv-FI"/>
        </w:rPr>
        <w:t xml:space="preserve"> </w:t>
      </w:r>
      <w:r w:rsidRPr="003255BC">
        <w:rPr>
          <w:rFonts w:ascii="Bookman Old Style" w:hAnsi="Bookman Old Style"/>
          <w:lang w:val="sv-FI"/>
        </w:rPr>
        <w:t>(nol</w:t>
      </w:r>
      <w:r w:rsidR="00A954D0" w:rsidRPr="003255BC">
        <w:rPr>
          <w:rFonts w:ascii="Bookman Old Style" w:hAnsi="Bookman Old Style"/>
          <w:lang w:val="sv-FI"/>
        </w:rPr>
        <w:t xml:space="preserve"> </w:t>
      </w:r>
      <w:r w:rsidRPr="003255BC">
        <w:rPr>
          <w:rFonts w:ascii="Bookman Old Style" w:hAnsi="Bookman Old Style"/>
          <w:lang w:val="sv-FI"/>
        </w:rPr>
        <w:t>koma</w:t>
      </w:r>
      <w:r w:rsidR="00A954D0" w:rsidRPr="003255BC">
        <w:rPr>
          <w:rFonts w:ascii="Bookman Old Style" w:hAnsi="Bookman Old Style"/>
          <w:lang w:val="sv-FI"/>
        </w:rPr>
        <w:t xml:space="preserve"> </w:t>
      </w:r>
      <w:r w:rsidRPr="003255BC">
        <w:rPr>
          <w:rFonts w:ascii="Bookman Old Style" w:hAnsi="Bookman Old Style"/>
          <w:lang w:val="sv-FI"/>
        </w:rPr>
        <w:t>enam</w:t>
      </w:r>
      <w:r w:rsidR="00A954D0" w:rsidRPr="003255BC">
        <w:rPr>
          <w:rFonts w:ascii="Bookman Old Style" w:hAnsi="Bookman Old Style"/>
          <w:lang w:val="sv-FI"/>
        </w:rPr>
        <w:t xml:space="preserve"> </w:t>
      </w:r>
      <w:r w:rsidRPr="003255BC">
        <w:rPr>
          <w:rFonts w:ascii="Bookman Old Style" w:hAnsi="Bookman Old Style"/>
          <w:lang w:val="sv-FI"/>
        </w:rPr>
        <w:t>belas</w:t>
      </w:r>
      <w:r w:rsidR="00A954D0" w:rsidRPr="003255BC">
        <w:rPr>
          <w:rFonts w:ascii="Bookman Old Style" w:hAnsi="Bookman Old Style"/>
          <w:lang w:val="sv-FI"/>
        </w:rPr>
        <w:t xml:space="preserve"> </w:t>
      </w:r>
      <w:r w:rsidRPr="003255BC">
        <w:rPr>
          <w:rFonts w:ascii="Bookman Old Style" w:hAnsi="Bookman Old Style"/>
          <w:lang w:val="sv-FI"/>
        </w:rPr>
        <w:t>persen)</w:t>
      </w:r>
      <w:r w:rsidR="00A954D0" w:rsidRPr="003255BC">
        <w:rPr>
          <w:rFonts w:ascii="Bookman Old Style" w:hAnsi="Bookman Old Style"/>
          <w:lang w:val="sv-FI"/>
        </w:rPr>
        <w:t xml:space="preserve"> </w:t>
      </w:r>
      <w:r w:rsidRPr="003255BC">
        <w:rPr>
          <w:rFonts w:ascii="Bookman Old Style" w:hAnsi="Bookman Old Style"/>
          <w:lang w:val="sv-FI"/>
        </w:rPr>
        <w:t>dari</w:t>
      </w:r>
      <w:r w:rsidR="00A954D0" w:rsidRPr="003255BC">
        <w:rPr>
          <w:rFonts w:ascii="Bookman Old Style" w:hAnsi="Bookman Old Style"/>
          <w:lang w:val="sv-FI"/>
        </w:rPr>
        <w:t xml:space="preserve"> </w:t>
      </w:r>
      <w:r w:rsidRPr="003255BC">
        <w:rPr>
          <w:rFonts w:ascii="Bookman Old Style" w:hAnsi="Bookman Old Style"/>
          <w:lang w:val="sv-FI"/>
        </w:rPr>
        <w:t>total</w:t>
      </w:r>
      <w:r w:rsidR="00A954D0" w:rsidRPr="003255BC">
        <w:rPr>
          <w:rFonts w:ascii="Bookman Old Style" w:hAnsi="Bookman Old Style"/>
          <w:lang w:val="sv-FI"/>
        </w:rPr>
        <w:t xml:space="preserve"> </w:t>
      </w:r>
      <w:r w:rsidRPr="003255BC">
        <w:rPr>
          <w:rFonts w:ascii="Bookman Old Style" w:hAnsi="Bookman Old Style"/>
          <w:lang w:val="sv-FI"/>
        </w:rPr>
        <w:t>belanja</w:t>
      </w:r>
      <w:r w:rsidR="00A954D0" w:rsidRPr="003255BC">
        <w:rPr>
          <w:rFonts w:ascii="Bookman Old Style" w:hAnsi="Bookman Old Style"/>
          <w:lang w:val="sv-FI"/>
        </w:rPr>
        <w:t xml:space="preserve"> </w:t>
      </w:r>
      <w:r w:rsidRPr="003255BC">
        <w:rPr>
          <w:rFonts w:ascii="Bookman Old Style" w:hAnsi="Bookman Old Style"/>
          <w:lang w:val="sv-FI"/>
        </w:rPr>
        <w:t>daerah</w:t>
      </w:r>
      <w:r w:rsidR="00A954D0" w:rsidRPr="003255BC">
        <w:rPr>
          <w:rFonts w:ascii="Bookman Old Style" w:hAnsi="Bookman Old Style"/>
          <w:lang w:val="sv-FI"/>
        </w:rPr>
        <w:t xml:space="preserve"> </w:t>
      </w:r>
      <w:r w:rsidRPr="003255BC">
        <w:rPr>
          <w:rFonts w:ascii="Bookman Old Style" w:hAnsi="Bookman Old Style"/>
          <w:lang w:val="sv-FI"/>
        </w:rPr>
        <w:t>di</w:t>
      </w:r>
      <w:r w:rsidR="00A954D0" w:rsidRPr="003255BC">
        <w:rPr>
          <w:rFonts w:ascii="Bookman Old Style" w:hAnsi="Bookman Old Style"/>
          <w:lang w:val="sv-FI"/>
        </w:rPr>
        <w:t xml:space="preserve"> </w:t>
      </w:r>
      <w:r w:rsidRPr="003255BC">
        <w:rPr>
          <w:rFonts w:ascii="Bookman Old Style" w:hAnsi="Bookman Old Style"/>
          <w:lang w:val="sv-FI"/>
        </w:rPr>
        <w:t>luar</w:t>
      </w:r>
      <w:r w:rsidR="00A954D0" w:rsidRPr="003255BC">
        <w:rPr>
          <w:rFonts w:ascii="Bookman Old Style" w:hAnsi="Bookman Old Style"/>
          <w:lang w:val="sv-FI"/>
        </w:rPr>
        <w:t xml:space="preserve"> </w:t>
      </w:r>
      <w:r w:rsidRPr="003255BC">
        <w:rPr>
          <w:rFonts w:ascii="Bookman Old Style" w:hAnsi="Bookman Old Style"/>
          <w:lang w:val="sv-FI"/>
        </w:rPr>
        <w:t>Belanja</w:t>
      </w:r>
      <w:r w:rsidR="00A954D0" w:rsidRPr="003255BC">
        <w:rPr>
          <w:rFonts w:ascii="Bookman Old Style" w:hAnsi="Bookman Old Style"/>
          <w:lang w:val="sv-FI"/>
        </w:rPr>
        <w:t xml:space="preserve"> </w:t>
      </w:r>
      <w:r w:rsidRPr="003255BC">
        <w:rPr>
          <w:rFonts w:ascii="Bookman Old Style" w:hAnsi="Bookman Old Style"/>
          <w:lang w:val="sv-FI"/>
        </w:rPr>
        <w:t>Pegawai</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Belanja</w:t>
      </w:r>
      <w:r w:rsidR="00A954D0" w:rsidRPr="003255BC">
        <w:rPr>
          <w:rFonts w:ascii="Bookman Old Style" w:hAnsi="Bookman Old Style"/>
          <w:lang w:val="sv-FI"/>
        </w:rPr>
        <w:t xml:space="preserve"> </w:t>
      </w:r>
      <w:r w:rsidRPr="003255BC">
        <w:rPr>
          <w:rFonts w:ascii="Bookman Old Style" w:hAnsi="Bookman Old Style"/>
          <w:lang w:val="sv-FI"/>
        </w:rPr>
        <w:t>Pemeliharaan,</w:t>
      </w:r>
      <w:r w:rsidR="00A954D0" w:rsidRPr="003255BC">
        <w:rPr>
          <w:rFonts w:ascii="Bookman Old Style" w:hAnsi="Bookman Old Style"/>
          <w:lang w:val="sv-FI"/>
        </w:rPr>
        <w:t xml:space="preserve"> </w:t>
      </w:r>
      <w:r w:rsidRPr="003255BC">
        <w:rPr>
          <w:rFonts w:ascii="Bookman Old Style" w:hAnsi="Bookman Old Style"/>
          <w:lang w:val="sv-FI"/>
        </w:rPr>
        <w:t>alokasi</w:t>
      </w:r>
      <w:r w:rsidR="00A954D0" w:rsidRPr="003255BC">
        <w:rPr>
          <w:rFonts w:ascii="Bookman Old Style" w:hAnsi="Bookman Old Style"/>
          <w:lang w:val="sv-FI"/>
        </w:rPr>
        <w:t xml:space="preserve"> </w:t>
      </w:r>
      <w:r w:rsidRPr="003255BC">
        <w:rPr>
          <w:rFonts w:ascii="Bookman Old Style" w:hAnsi="Bookman Old Style"/>
          <w:lang w:val="sv-FI"/>
        </w:rPr>
        <w:t>anggaran</w:t>
      </w:r>
      <w:r w:rsidR="00A954D0" w:rsidRPr="003255BC">
        <w:rPr>
          <w:rFonts w:ascii="Bookman Old Style" w:hAnsi="Bookman Old Style"/>
          <w:lang w:val="sv-FI"/>
        </w:rPr>
        <w:t xml:space="preserve"> </w:t>
      </w:r>
      <w:r w:rsidRPr="003255BC">
        <w:rPr>
          <w:rFonts w:ascii="Bookman Old Style" w:hAnsi="Bookman Old Style"/>
          <w:lang w:val="sv-FI"/>
        </w:rPr>
        <w:t>untuk</w:t>
      </w:r>
      <w:r w:rsidR="00A954D0" w:rsidRPr="003255BC">
        <w:rPr>
          <w:rFonts w:ascii="Bookman Old Style" w:hAnsi="Bookman Old Style"/>
          <w:lang w:val="sv-FI"/>
        </w:rPr>
        <w:t xml:space="preserve"> </w:t>
      </w:r>
      <w:r w:rsidRPr="003255BC">
        <w:rPr>
          <w:rFonts w:ascii="Bookman Old Style" w:hAnsi="Bookman Old Style"/>
          <w:lang w:val="sv-FI"/>
        </w:rPr>
        <w:t>Penggunaan</w:t>
      </w:r>
      <w:r w:rsidR="00A954D0" w:rsidRPr="003255BC">
        <w:rPr>
          <w:rFonts w:ascii="Bookman Old Style" w:hAnsi="Bookman Old Style"/>
          <w:lang w:val="sv-FI"/>
        </w:rPr>
        <w:t xml:space="preserve"> </w:t>
      </w:r>
      <w:r w:rsidRPr="003255BC">
        <w:rPr>
          <w:rFonts w:ascii="Bookman Old Style" w:hAnsi="Bookman Old Style"/>
          <w:lang w:val="sv-FI"/>
        </w:rPr>
        <w:t>Produk</w:t>
      </w:r>
      <w:r w:rsidR="00A954D0" w:rsidRPr="003255BC">
        <w:rPr>
          <w:rFonts w:ascii="Bookman Old Style" w:hAnsi="Bookman Old Style"/>
          <w:lang w:val="sv-FI"/>
        </w:rPr>
        <w:t xml:space="preserve"> </w:t>
      </w:r>
      <w:r w:rsidRPr="003255BC">
        <w:rPr>
          <w:rFonts w:ascii="Bookman Old Style" w:hAnsi="Bookman Old Style"/>
          <w:lang w:val="sv-FI"/>
        </w:rPr>
        <w:t>Dalam</w:t>
      </w:r>
      <w:r w:rsidR="00A954D0" w:rsidRPr="003255BC">
        <w:rPr>
          <w:rFonts w:ascii="Bookman Old Style" w:hAnsi="Bookman Old Style"/>
          <w:lang w:val="sv-FI"/>
        </w:rPr>
        <w:t xml:space="preserve"> </w:t>
      </w:r>
      <w:r w:rsidRPr="003255BC">
        <w:rPr>
          <w:rFonts w:ascii="Bookman Old Style" w:hAnsi="Bookman Old Style"/>
          <w:lang w:val="sv-FI"/>
        </w:rPr>
        <w:t>Negeri</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Produk</w:t>
      </w:r>
      <w:r w:rsidR="00A954D0" w:rsidRPr="003255BC">
        <w:rPr>
          <w:rFonts w:ascii="Bookman Old Style" w:hAnsi="Bookman Old Style"/>
          <w:lang w:val="sv-FI"/>
        </w:rPr>
        <w:t xml:space="preserve"> </w:t>
      </w:r>
      <w:r w:rsidRPr="003255BC">
        <w:rPr>
          <w:rFonts w:ascii="Bookman Old Style" w:hAnsi="Bookman Old Style"/>
          <w:lang w:val="sv-FI"/>
        </w:rPr>
        <w:t>Usaha</w:t>
      </w:r>
      <w:r w:rsidR="00A954D0" w:rsidRPr="003255BC">
        <w:rPr>
          <w:rFonts w:ascii="Bookman Old Style" w:hAnsi="Bookman Old Style"/>
          <w:lang w:val="sv-FI"/>
        </w:rPr>
        <w:t xml:space="preserve"> </w:t>
      </w:r>
      <w:r w:rsidRPr="003255BC">
        <w:rPr>
          <w:rFonts w:ascii="Bookman Old Style" w:hAnsi="Bookman Old Style"/>
          <w:lang w:val="sv-FI"/>
        </w:rPr>
        <w:t>Mikro,</w:t>
      </w:r>
      <w:r w:rsidR="00A954D0" w:rsidRPr="003255BC">
        <w:rPr>
          <w:rFonts w:ascii="Bookman Old Style" w:hAnsi="Bookman Old Style"/>
          <w:lang w:val="sv-FI"/>
        </w:rPr>
        <w:t xml:space="preserve"> </w:t>
      </w:r>
      <w:r w:rsidRPr="003255BC">
        <w:rPr>
          <w:rFonts w:ascii="Bookman Old Style" w:hAnsi="Bookman Old Style"/>
          <w:lang w:val="sv-FI"/>
        </w:rPr>
        <w:t>Usaha</w:t>
      </w:r>
      <w:r w:rsidR="00A954D0" w:rsidRPr="003255BC">
        <w:rPr>
          <w:rFonts w:ascii="Bookman Old Style" w:hAnsi="Bookman Old Style"/>
          <w:lang w:val="sv-FI"/>
        </w:rPr>
        <w:t xml:space="preserve"> </w:t>
      </w:r>
      <w:r w:rsidRPr="003255BC">
        <w:rPr>
          <w:rFonts w:ascii="Bookman Old Style" w:hAnsi="Bookman Old Style"/>
          <w:lang w:val="sv-FI"/>
        </w:rPr>
        <w:t>Kecil</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Menengah</w:t>
      </w:r>
      <w:r w:rsidR="00A954D0" w:rsidRPr="003255BC">
        <w:rPr>
          <w:rFonts w:ascii="Bookman Old Style" w:hAnsi="Bookman Old Style"/>
          <w:lang w:val="sv-FI"/>
        </w:rPr>
        <w:t xml:space="preserve"> </w:t>
      </w:r>
      <w:r w:rsidRPr="003255BC">
        <w:rPr>
          <w:rFonts w:ascii="Bookman Old Style" w:hAnsi="Bookman Old Style"/>
          <w:lang w:val="sv-FI"/>
        </w:rPr>
        <w:t>sekurang-kurangnya</w:t>
      </w:r>
      <w:r w:rsidR="00A954D0" w:rsidRPr="003255BC">
        <w:rPr>
          <w:rFonts w:ascii="Bookman Old Style" w:hAnsi="Bookman Old Style"/>
          <w:lang w:val="sv-FI"/>
        </w:rPr>
        <w:t xml:space="preserve"> </w:t>
      </w:r>
      <w:r w:rsidRPr="003255BC">
        <w:rPr>
          <w:rFonts w:ascii="Bookman Old Style" w:hAnsi="Bookman Old Style"/>
          <w:lang w:val="sv-FI"/>
        </w:rPr>
        <w:t>40%</w:t>
      </w:r>
      <w:r w:rsidR="00A954D0" w:rsidRPr="003255BC">
        <w:rPr>
          <w:rFonts w:ascii="Bookman Old Style" w:hAnsi="Bookman Old Style"/>
          <w:lang w:val="sv-FI"/>
        </w:rPr>
        <w:t xml:space="preserve"> </w:t>
      </w:r>
      <w:r w:rsidRPr="003255BC">
        <w:rPr>
          <w:rFonts w:ascii="Bookman Old Style" w:hAnsi="Bookman Old Style"/>
          <w:lang w:val="sv-FI"/>
        </w:rPr>
        <w:t>(empat</w:t>
      </w:r>
      <w:r w:rsidR="00A954D0" w:rsidRPr="003255BC">
        <w:rPr>
          <w:rFonts w:ascii="Bookman Old Style" w:hAnsi="Bookman Old Style"/>
          <w:lang w:val="sv-FI"/>
        </w:rPr>
        <w:t xml:space="preserve"> </w:t>
      </w:r>
      <w:r w:rsidRPr="003255BC">
        <w:rPr>
          <w:rFonts w:ascii="Bookman Old Style" w:hAnsi="Bookman Old Style"/>
          <w:lang w:val="sv-FI"/>
        </w:rPr>
        <w:t>puluh</w:t>
      </w:r>
      <w:r w:rsidR="00A954D0" w:rsidRPr="003255BC">
        <w:rPr>
          <w:rFonts w:ascii="Bookman Old Style" w:hAnsi="Bookman Old Style"/>
          <w:lang w:val="sv-FI"/>
        </w:rPr>
        <w:t xml:space="preserve"> </w:t>
      </w:r>
      <w:r w:rsidRPr="003255BC">
        <w:rPr>
          <w:rFonts w:ascii="Bookman Old Style" w:hAnsi="Bookman Old Style"/>
          <w:lang w:val="sv-FI"/>
        </w:rPr>
        <w:t>persen)</w:t>
      </w:r>
      <w:r w:rsidR="00A954D0" w:rsidRPr="003255BC">
        <w:rPr>
          <w:rFonts w:ascii="Bookman Old Style" w:hAnsi="Bookman Old Style"/>
          <w:lang w:val="sv-FI"/>
        </w:rPr>
        <w:t xml:space="preserve"> </w:t>
      </w:r>
      <w:r w:rsidRPr="003255BC">
        <w:rPr>
          <w:rFonts w:ascii="Bookman Old Style" w:hAnsi="Bookman Old Style"/>
          <w:lang w:val="sv-FI"/>
        </w:rPr>
        <w:t>dari</w:t>
      </w:r>
      <w:r w:rsidR="00A954D0" w:rsidRPr="003255BC">
        <w:rPr>
          <w:rFonts w:ascii="Bookman Old Style" w:hAnsi="Bookman Old Style"/>
          <w:lang w:val="sv-FI"/>
        </w:rPr>
        <w:t xml:space="preserve"> </w:t>
      </w:r>
      <w:r w:rsidRPr="003255BC">
        <w:rPr>
          <w:rFonts w:ascii="Bookman Old Style" w:hAnsi="Bookman Old Style"/>
          <w:lang w:val="sv-FI"/>
        </w:rPr>
        <w:t>total</w:t>
      </w:r>
      <w:r w:rsidR="00A954D0" w:rsidRPr="003255BC">
        <w:rPr>
          <w:rFonts w:ascii="Bookman Old Style" w:hAnsi="Bookman Old Style"/>
          <w:lang w:val="sv-FI"/>
        </w:rPr>
        <w:t xml:space="preserve"> </w:t>
      </w:r>
      <w:r w:rsidRPr="003255BC">
        <w:rPr>
          <w:rFonts w:ascii="Bookman Old Style" w:hAnsi="Bookman Old Style"/>
          <w:lang w:val="sv-FI"/>
        </w:rPr>
        <w:t>belanja</w:t>
      </w:r>
      <w:r w:rsidR="00A954D0" w:rsidRPr="003255BC">
        <w:rPr>
          <w:rFonts w:ascii="Bookman Old Style" w:hAnsi="Bookman Old Style"/>
          <w:lang w:val="sv-FI"/>
        </w:rPr>
        <w:t xml:space="preserve"> </w:t>
      </w:r>
      <w:r w:rsidRPr="003255BC">
        <w:rPr>
          <w:rFonts w:ascii="Bookman Old Style" w:hAnsi="Bookman Old Style"/>
          <w:lang w:val="sv-FI"/>
        </w:rPr>
        <w:t>barang</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jasa</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belanja</w:t>
      </w:r>
      <w:r w:rsidR="00A954D0" w:rsidRPr="003255BC">
        <w:rPr>
          <w:rFonts w:ascii="Bookman Old Style" w:hAnsi="Bookman Old Style"/>
          <w:lang w:val="sv-FI"/>
        </w:rPr>
        <w:t xml:space="preserve"> </w:t>
      </w:r>
      <w:r w:rsidRPr="003255BC">
        <w:rPr>
          <w:rFonts w:ascii="Bookman Old Style" w:hAnsi="Bookman Old Style"/>
          <w:lang w:val="sv-FI"/>
        </w:rPr>
        <w:t>modal</w:t>
      </w:r>
      <w:r w:rsidR="00A954D0" w:rsidRPr="003255BC">
        <w:rPr>
          <w:rFonts w:ascii="Bookman Old Style" w:hAnsi="Bookman Old Style"/>
          <w:lang w:val="sv-FI"/>
        </w:rPr>
        <w:t xml:space="preserve"> </w:t>
      </w:r>
      <w:r w:rsidRPr="003255BC">
        <w:rPr>
          <w:rFonts w:ascii="Bookman Old Style" w:hAnsi="Bookman Old Style"/>
          <w:lang w:val="sv-FI"/>
        </w:rPr>
        <w:t>di</w:t>
      </w:r>
      <w:r w:rsidR="00A954D0" w:rsidRPr="003255BC">
        <w:rPr>
          <w:rFonts w:ascii="Bookman Old Style" w:hAnsi="Bookman Old Style"/>
          <w:lang w:val="sv-FI"/>
        </w:rPr>
        <w:t xml:space="preserve"> </w:t>
      </w:r>
      <w:r w:rsidRPr="003255BC">
        <w:rPr>
          <w:rFonts w:ascii="Bookman Old Style" w:hAnsi="Bookman Old Style"/>
          <w:lang w:val="sv-FI"/>
        </w:rPr>
        <w:t>luar</w:t>
      </w:r>
      <w:r w:rsidR="00A954D0" w:rsidRPr="003255BC">
        <w:rPr>
          <w:rFonts w:ascii="Bookman Old Style" w:hAnsi="Bookman Old Style"/>
          <w:lang w:val="sv-FI"/>
        </w:rPr>
        <w:t xml:space="preserve"> </w:t>
      </w:r>
      <w:r w:rsidRPr="003255BC">
        <w:rPr>
          <w:rFonts w:ascii="Bookman Old Style" w:hAnsi="Bookman Old Style"/>
          <w:lang w:val="sv-FI"/>
        </w:rPr>
        <w:t>belanja</w:t>
      </w:r>
      <w:r w:rsidR="00A954D0" w:rsidRPr="003255BC">
        <w:rPr>
          <w:rFonts w:ascii="Bookman Old Style" w:hAnsi="Bookman Old Style"/>
          <w:lang w:val="sv-FI"/>
        </w:rPr>
        <w:t xml:space="preserve"> </w:t>
      </w:r>
      <w:r w:rsidRPr="003255BC">
        <w:rPr>
          <w:rFonts w:ascii="Bookman Old Style" w:hAnsi="Bookman Old Style"/>
          <w:lang w:val="sv-FI"/>
        </w:rPr>
        <w:t>modal</w:t>
      </w:r>
      <w:r w:rsidR="00A954D0" w:rsidRPr="003255BC">
        <w:rPr>
          <w:rFonts w:ascii="Bookman Old Style" w:hAnsi="Bookman Old Style"/>
          <w:lang w:val="sv-FI"/>
        </w:rPr>
        <w:t xml:space="preserve"> </w:t>
      </w:r>
      <w:r w:rsidRPr="003255BC">
        <w:rPr>
          <w:rFonts w:ascii="Bookman Old Style" w:hAnsi="Bookman Old Style"/>
          <w:lang w:val="sv-FI"/>
        </w:rPr>
        <w:t>tanah</w:t>
      </w:r>
      <w:r w:rsidR="00A954D0" w:rsidRPr="003255BC">
        <w:rPr>
          <w:rFonts w:ascii="Bookman Old Style" w:hAnsi="Bookman Old Style"/>
          <w:lang w:val="sv-FI"/>
        </w:rPr>
        <w:t xml:space="preserve"> </w:t>
      </w:r>
      <w:r w:rsidRPr="003255BC">
        <w:rPr>
          <w:rFonts w:ascii="Bookman Old Style" w:hAnsi="Bookman Old Style"/>
          <w:lang w:val="sv-FI"/>
        </w:rPr>
        <w:t>sesuai</w:t>
      </w:r>
      <w:r w:rsidR="00A954D0" w:rsidRPr="003255BC">
        <w:rPr>
          <w:rFonts w:ascii="Bookman Old Style" w:hAnsi="Bookman Old Style"/>
          <w:lang w:val="sv-FI"/>
        </w:rPr>
        <w:t xml:space="preserve"> </w:t>
      </w:r>
      <w:r w:rsidRPr="003255BC">
        <w:rPr>
          <w:rFonts w:ascii="Bookman Old Style" w:hAnsi="Bookman Old Style"/>
          <w:lang w:val="sv-FI"/>
        </w:rPr>
        <w:t>dengan</w:t>
      </w:r>
      <w:r w:rsidR="00A954D0" w:rsidRPr="003255BC">
        <w:rPr>
          <w:rFonts w:ascii="Bookman Old Style" w:hAnsi="Bookman Old Style"/>
          <w:lang w:val="sv-FI"/>
        </w:rPr>
        <w:t xml:space="preserve"> </w:t>
      </w:r>
      <w:r w:rsidRPr="003255BC">
        <w:rPr>
          <w:rFonts w:ascii="Bookman Old Style" w:hAnsi="Bookman Old Style"/>
          <w:lang w:val="sv-FI"/>
        </w:rPr>
        <w:t>ketentuan</w:t>
      </w:r>
      <w:r w:rsidR="00A954D0" w:rsidRPr="003255BC">
        <w:rPr>
          <w:rFonts w:ascii="Bookman Old Style" w:hAnsi="Bookman Old Style"/>
          <w:lang w:val="sv-FI"/>
        </w:rPr>
        <w:t xml:space="preserve"> </w:t>
      </w:r>
      <w:r w:rsidRPr="003255BC">
        <w:rPr>
          <w:rFonts w:ascii="Bookman Old Style" w:hAnsi="Bookman Old Style"/>
          <w:lang w:val="sv-FI"/>
        </w:rPr>
        <w:t>peraturan</w:t>
      </w:r>
      <w:r w:rsidR="00A954D0" w:rsidRPr="003255BC">
        <w:rPr>
          <w:rFonts w:ascii="Bookman Old Style" w:hAnsi="Bookman Old Style"/>
          <w:lang w:val="sv-FI"/>
        </w:rPr>
        <w:t xml:space="preserve"> </w:t>
      </w:r>
      <w:r w:rsidRPr="003255BC">
        <w:rPr>
          <w:rFonts w:ascii="Bookman Old Style" w:hAnsi="Bookman Old Style"/>
          <w:lang w:val="sv-FI"/>
        </w:rPr>
        <w:t>perundang-undangan.</w:t>
      </w:r>
    </w:p>
    <w:p w14:paraId="42EB0DC7" w14:textId="7056350F" w:rsidR="0004728E" w:rsidRPr="003255BC" w:rsidRDefault="0004728E" w:rsidP="00B8428D">
      <w:pPr>
        <w:spacing w:before="60" w:line="276" w:lineRule="auto"/>
        <w:ind w:left="1701"/>
        <w:jc w:val="both"/>
        <w:rPr>
          <w:rFonts w:ascii="Bookman Old Style" w:hAnsi="Bookman Old Style"/>
          <w:lang w:val="sv-FI"/>
        </w:rPr>
      </w:pPr>
      <w:r w:rsidRPr="003255BC">
        <w:rPr>
          <w:rFonts w:ascii="Bookman Old Style" w:hAnsi="Bookman Old Style"/>
          <w:lang w:val="sv-FI"/>
        </w:rPr>
        <w:t>Dalam</w:t>
      </w:r>
      <w:r w:rsidR="00A954D0" w:rsidRPr="003255BC">
        <w:rPr>
          <w:rFonts w:ascii="Bookman Old Style" w:hAnsi="Bookman Old Style"/>
          <w:lang w:val="sv-FI"/>
        </w:rPr>
        <w:t xml:space="preserve"> </w:t>
      </w:r>
      <w:r w:rsidRPr="003255BC">
        <w:rPr>
          <w:rFonts w:ascii="Bookman Old Style" w:hAnsi="Bookman Old Style"/>
          <w:lang w:val="sv-FI"/>
        </w:rPr>
        <w:t>hal</w:t>
      </w:r>
      <w:r w:rsidR="00A954D0" w:rsidRPr="003255BC">
        <w:rPr>
          <w:rFonts w:ascii="Bookman Old Style" w:hAnsi="Bookman Old Style"/>
          <w:lang w:val="sv-FI"/>
        </w:rPr>
        <w:t xml:space="preserve"> </w:t>
      </w:r>
      <w:r w:rsidRPr="003255BC">
        <w:rPr>
          <w:rFonts w:ascii="Bookman Old Style" w:hAnsi="Bookman Old Style"/>
          <w:lang w:val="sv-FI"/>
        </w:rPr>
        <w:t>Pemerintah</w:t>
      </w:r>
      <w:r w:rsidR="00A954D0" w:rsidRPr="003255BC">
        <w:rPr>
          <w:rFonts w:ascii="Bookman Old Style" w:hAnsi="Bookman Old Style"/>
          <w:lang w:val="sv-FI"/>
        </w:rPr>
        <w:t xml:space="preserve"> </w:t>
      </w:r>
      <w:r w:rsidRPr="003255BC">
        <w:rPr>
          <w:rFonts w:ascii="Bookman Old Style" w:hAnsi="Bookman Old Style"/>
          <w:lang w:val="sv-FI"/>
        </w:rPr>
        <w:t>Daerah</w:t>
      </w:r>
      <w:r w:rsidR="00A954D0" w:rsidRPr="003255BC">
        <w:rPr>
          <w:rFonts w:ascii="Bookman Old Style" w:hAnsi="Bookman Old Style"/>
          <w:lang w:val="sv-FI"/>
        </w:rPr>
        <w:t xml:space="preserve"> </w:t>
      </w:r>
      <w:r w:rsidRPr="003255BC">
        <w:rPr>
          <w:rFonts w:ascii="Bookman Old Style" w:hAnsi="Bookman Old Style"/>
          <w:lang w:val="sv-FI"/>
        </w:rPr>
        <w:t>Kota</w:t>
      </w:r>
      <w:r w:rsidR="00A954D0" w:rsidRPr="003255BC">
        <w:rPr>
          <w:rFonts w:ascii="Bookman Old Style" w:hAnsi="Bookman Old Style"/>
          <w:lang w:val="sv-FI"/>
        </w:rPr>
        <w:t xml:space="preserve"> </w:t>
      </w:r>
      <w:r w:rsidRPr="003255BC">
        <w:rPr>
          <w:rFonts w:ascii="Bookman Old Style" w:hAnsi="Bookman Old Style"/>
          <w:lang w:val="sv-FI"/>
        </w:rPr>
        <w:t>Tangerang</w:t>
      </w:r>
      <w:r w:rsidR="00A954D0" w:rsidRPr="003255BC">
        <w:rPr>
          <w:rFonts w:ascii="Bookman Old Style" w:hAnsi="Bookman Old Style"/>
          <w:lang w:val="sv-FI"/>
        </w:rPr>
        <w:t xml:space="preserve"> </w:t>
      </w:r>
      <w:r w:rsidRPr="003255BC">
        <w:rPr>
          <w:rFonts w:ascii="Bookman Old Style" w:hAnsi="Bookman Old Style"/>
          <w:lang w:val="sv-FI"/>
        </w:rPr>
        <w:t>telah</w:t>
      </w:r>
      <w:r w:rsidR="00A954D0" w:rsidRPr="003255BC">
        <w:rPr>
          <w:rFonts w:ascii="Bookman Old Style" w:hAnsi="Bookman Old Style"/>
          <w:lang w:val="sv-FI"/>
        </w:rPr>
        <w:t xml:space="preserve"> </w:t>
      </w:r>
      <w:r w:rsidRPr="003255BC">
        <w:rPr>
          <w:rFonts w:ascii="Bookman Old Style" w:hAnsi="Bookman Old Style"/>
          <w:lang w:val="sv-FI"/>
        </w:rPr>
        <w:t>memprioritaskan</w:t>
      </w:r>
      <w:r w:rsidR="00A954D0" w:rsidRPr="003255BC">
        <w:rPr>
          <w:rFonts w:ascii="Bookman Old Style" w:hAnsi="Bookman Old Style"/>
          <w:lang w:val="sv-FI"/>
        </w:rPr>
        <w:t xml:space="preserve"> </w:t>
      </w:r>
      <w:r w:rsidRPr="003255BC">
        <w:rPr>
          <w:rFonts w:ascii="Bookman Old Style" w:hAnsi="Bookman Old Style"/>
          <w:lang w:val="sv-FI"/>
        </w:rPr>
        <w:t>pemenuhan</w:t>
      </w:r>
      <w:r w:rsidR="00A954D0" w:rsidRPr="003255BC">
        <w:rPr>
          <w:rFonts w:ascii="Bookman Old Style" w:hAnsi="Bookman Old Style"/>
          <w:lang w:val="sv-FI"/>
        </w:rPr>
        <w:t xml:space="preserve"> </w:t>
      </w:r>
      <w:r w:rsidRPr="003255BC">
        <w:rPr>
          <w:rFonts w:ascii="Bookman Old Style" w:hAnsi="Bookman Old Style"/>
          <w:lang w:val="sv-FI"/>
        </w:rPr>
        <w:t>belanja</w:t>
      </w:r>
      <w:r w:rsidR="00A954D0" w:rsidRPr="003255BC">
        <w:rPr>
          <w:rFonts w:ascii="Bookman Old Style" w:hAnsi="Bookman Old Style"/>
          <w:lang w:val="sv-FI"/>
        </w:rPr>
        <w:t xml:space="preserve"> </w:t>
      </w:r>
      <w:r w:rsidRPr="003255BC">
        <w:rPr>
          <w:rFonts w:ascii="Bookman Old Style" w:hAnsi="Bookman Old Style"/>
          <w:lang w:val="sv-FI"/>
        </w:rPr>
        <w:t>untuk</w:t>
      </w:r>
      <w:r w:rsidR="00A954D0" w:rsidRPr="003255BC">
        <w:rPr>
          <w:rFonts w:ascii="Bookman Old Style" w:hAnsi="Bookman Old Style"/>
          <w:lang w:val="sv-FI"/>
        </w:rPr>
        <w:t xml:space="preserve"> </w:t>
      </w:r>
      <w:r w:rsidRPr="003255BC">
        <w:rPr>
          <w:rFonts w:ascii="Bookman Old Style" w:hAnsi="Bookman Old Style"/>
          <w:lang w:val="sv-FI"/>
        </w:rPr>
        <w:t>mendanai</w:t>
      </w:r>
      <w:r w:rsidR="00A954D0" w:rsidRPr="003255BC">
        <w:rPr>
          <w:rFonts w:ascii="Bookman Old Style" w:hAnsi="Bookman Old Style"/>
          <w:lang w:val="sv-FI"/>
        </w:rPr>
        <w:t xml:space="preserve"> </w:t>
      </w:r>
      <w:r w:rsidRPr="003255BC">
        <w:rPr>
          <w:rFonts w:ascii="Bookman Old Style" w:hAnsi="Bookman Old Style"/>
          <w:lang w:val="sv-FI"/>
        </w:rPr>
        <w:t>urusan</w:t>
      </w:r>
      <w:r w:rsidR="00A954D0" w:rsidRPr="003255BC">
        <w:rPr>
          <w:rFonts w:ascii="Bookman Old Style" w:hAnsi="Bookman Old Style"/>
          <w:lang w:val="sv-FI"/>
        </w:rPr>
        <w:t xml:space="preserve"> </w:t>
      </w:r>
      <w:r w:rsidRPr="003255BC">
        <w:rPr>
          <w:rFonts w:ascii="Bookman Old Style" w:hAnsi="Bookman Old Style"/>
          <w:lang w:val="sv-FI"/>
        </w:rPr>
        <w:t>Pemerintahan</w:t>
      </w:r>
      <w:r w:rsidR="00A954D0" w:rsidRPr="003255BC">
        <w:rPr>
          <w:rFonts w:ascii="Bookman Old Style" w:hAnsi="Bookman Old Style"/>
          <w:lang w:val="sv-FI"/>
        </w:rPr>
        <w:t xml:space="preserve"> </w:t>
      </w:r>
      <w:r w:rsidRPr="003255BC">
        <w:rPr>
          <w:rFonts w:ascii="Bookman Old Style" w:hAnsi="Bookman Old Style"/>
          <w:lang w:val="sv-FI"/>
        </w:rPr>
        <w:t>Wajib</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Urusan</w:t>
      </w:r>
      <w:r w:rsidR="00A954D0" w:rsidRPr="003255BC">
        <w:rPr>
          <w:rFonts w:ascii="Bookman Old Style" w:hAnsi="Bookman Old Style"/>
          <w:lang w:val="sv-FI"/>
        </w:rPr>
        <w:t xml:space="preserve"> </w:t>
      </w:r>
      <w:r w:rsidRPr="003255BC">
        <w:rPr>
          <w:rFonts w:ascii="Bookman Old Style" w:hAnsi="Bookman Old Style"/>
          <w:lang w:val="sv-FI"/>
        </w:rPr>
        <w:t>Pemerintahan</w:t>
      </w:r>
      <w:r w:rsidR="00A954D0" w:rsidRPr="003255BC">
        <w:rPr>
          <w:rFonts w:ascii="Bookman Old Style" w:hAnsi="Bookman Old Style"/>
          <w:lang w:val="sv-FI"/>
        </w:rPr>
        <w:t xml:space="preserve"> </w:t>
      </w:r>
      <w:r w:rsidRPr="003255BC">
        <w:rPr>
          <w:rFonts w:ascii="Bookman Old Style" w:hAnsi="Bookman Old Style"/>
          <w:lang w:val="sv-FI"/>
        </w:rPr>
        <w:t>Pilihan</w:t>
      </w:r>
      <w:r w:rsidR="00A954D0" w:rsidRPr="003255BC">
        <w:rPr>
          <w:rFonts w:ascii="Bookman Old Style" w:hAnsi="Bookman Old Style"/>
          <w:lang w:val="sv-FI"/>
        </w:rPr>
        <w:t xml:space="preserve"> </w:t>
      </w:r>
      <w:r w:rsidRPr="003255BC">
        <w:rPr>
          <w:rFonts w:ascii="Bookman Old Style" w:hAnsi="Bookman Old Style"/>
          <w:lang w:val="sv-FI"/>
        </w:rPr>
        <w:t>yang</w:t>
      </w:r>
      <w:r w:rsidR="00A954D0" w:rsidRPr="003255BC">
        <w:rPr>
          <w:rFonts w:ascii="Bookman Old Style" w:hAnsi="Bookman Old Style"/>
          <w:lang w:val="sv-FI"/>
        </w:rPr>
        <w:t xml:space="preserve"> </w:t>
      </w:r>
      <w:r w:rsidRPr="003255BC">
        <w:rPr>
          <w:rFonts w:ascii="Bookman Old Style" w:hAnsi="Bookman Old Style"/>
          <w:lang w:val="sv-FI"/>
        </w:rPr>
        <w:t>diwajibkan</w:t>
      </w:r>
      <w:r w:rsidR="00A954D0" w:rsidRPr="003255BC">
        <w:rPr>
          <w:rFonts w:ascii="Bookman Old Style" w:hAnsi="Bookman Old Style"/>
          <w:lang w:val="sv-FI"/>
        </w:rPr>
        <w:t xml:space="preserve"> </w:t>
      </w:r>
      <w:r w:rsidRPr="003255BC">
        <w:rPr>
          <w:rFonts w:ascii="Bookman Old Style" w:hAnsi="Bookman Old Style"/>
          <w:lang w:val="sv-FI"/>
        </w:rPr>
        <w:t>oleh</w:t>
      </w:r>
      <w:r w:rsidR="00A954D0" w:rsidRPr="003255BC">
        <w:rPr>
          <w:rFonts w:ascii="Bookman Old Style" w:hAnsi="Bookman Old Style"/>
          <w:lang w:val="sv-FI"/>
        </w:rPr>
        <w:t xml:space="preserve"> </w:t>
      </w:r>
      <w:r w:rsidRPr="003255BC">
        <w:rPr>
          <w:rFonts w:ascii="Bookman Old Style" w:hAnsi="Bookman Old Style"/>
          <w:lang w:val="sv-FI"/>
        </w:rPr>
        <w:t>ketentuan</w:t>
      </w:r>
      <w:r w:rsidR="00A954D0" w:rsidRPr="003255BC">
        <w:rPr>
          <w:rFonts w:ascii="Bookman Old Style" w:hAnsi="Bookman Old Style"/>
          <w:lang w:val="sv-FI"/>
        </w:rPr>
        <w:t xml:space="preserve"> </w:t>
      </w:r>
      <w:r w:rsidRPr="003255BC">
        <w:rPr>
          <w:rFonts w:ascii="Bookman Old Style" w:hAnsi="Bookman Old Style"/>
          <w:lang w:val="sv-FI"/>
        </w:rPr>
        <w:t>peraturan</w:t>
      </w:r>
      <w:r w:rsidR="00A954D0" w:rsidRPr="003255BC">
        <w:rPr>
          <w:rFonts w:ascii="Bookman Old Style" w:hAnsi="Bookman Old Style"/>
          <w:lang w:val="sv-FI"/>
        </w:rPr>
        <w:t xml:space="preserve"> </w:t>
      </w:r>
      <w:r w:rsidRPr="003255BC">
        <w:rPr>
          <w:rFonts w:ascii="Bookman Old Style" w:hAnsi="Bookman Old Style"/>
          <w:lang w:val="sv-FI"/>
        </w:rPr>
        <w:t>perundang-undangan</w:t>
      </w:r>
      <w:r w:rsidR="00A954D0" w:rsidRPr="003255BC">
        <w:rPr>
          <w:rFonts w:ascii="Bookman Old Style" w:hAnsi="Bookman Old Style"/>
          <w:lang w:val="sv-FI"/>
        </w:rPr>
        <w:t xml:space="preserve"> </w:t>
      </w:r>
      <w:r w:rsidRPr="003255BC">
        <w:rPr>
          <w:rFonts w:ascii="Bookman Old Style" w:hAnsi="Bookman Old Style"/>
          <w:lang w:val="sv-FI"/>
        </w:rPr>
        <w:t>sesuai</w:t>
      </w:r>
      <w:r w:rsidR="00A954D0" w:rsidRPr="003255BC">
        <w:rPr>
          <w:rFonts w:ascii="Bookman Old Style" w:hAnsi="Bookman Old Style"/>
          <w:lang w:val="sv-FI"/>
        </w:rPr>
        <w:t xml:space="preserve"> </w:t>
      </w:r>
      <w:r w:rsidRPr="003255BC">
        <w:rPr>
          <w:rFonts w:ascii="Bookman Old Style" w:hAnsi="Bookman Old Style"/>
          <w:lang w:val="sv-FI"/>
        </w:rPr>
        <w:t>dengan</w:t>
      </w:r>
      <w:r w:rsidR="00A954D0" w:rsidRPr="003255BC">
        <w:rPr>
          <w:rFonts w:ascii="Bookman Old Style" w:hAnsi="Bookman Old Style"/>
          <w:lang w:val="sv-FI"/>
        </w:rPr>
        <w:t xml:space="preserve"> </w:t>
      </w:r>
      <w:r w:rsidRPr="003255BC">
        <w:rPr>
          <w:rFonts w:ascii="Bookman Old Style" w:hAnsi="Bookman Old Style"/>
          <w:lang w:val="sv-FI"/>
        </w:rPr>
        <w:t>kewenangan</w:t>
      </w:r>
      <w:r w:rsidR="00A954D0" w:rsidRPr="003255BC">
        <w:rPr>
          <w:rFonts w:ascii="Bookman Old Style" w:hAnsi="Bookman Old Style"/>
          <w:lang w:val="sv-FI"/>
        </w:rPr>
        <w:t xml:space="preserve"> </w:t>
      </w:r>
      <w:r w:rsidRPr="003255BC">
        <w:rPr>
          <w:rFonts w:ascii="Bookman Old Style" w:hAnsi="Bookman Old Style"/>
          <w:lang w:val="sv-FI"/>
        </w:rPr>
        <w:t>Pemerintah</w:t>
      </w:r>
      <w:r w:rsidR="00A954D0" w:rsidRPr="003255BC">
        <w:rPr>
          <w:rFonts w:ascii="Bookman Old Style" w:hAnsi="Bookman Old Style"/>
          <w:lang w:val="sv-FI"/>
        </w:rPr>
        <w:t xml:space="preserve"> </w:t>
      </w:r>
      <w:r w:rsidRPr="003255BC">
        <w:rPr>
          <w:rFonts w:ascii="Bookman Old Style" w:hAnsi="Bookman Old Style"/>
          <w:lang w:val="sv-FI"/>
        </w:rPr>
        <w:t>Daerah</w:t>
      </w:r>
      <w:r w:rsidR="00A954D0" w:rsidRPr="003255BC">
        <w:rPr>
          <w:rFonts w:ascii="Bookman Old Style" w:hAnsi="Bookman Old Style"/>
          <w:lang w:val="sv-FI"/>
        </w:rPr>
        <w:t xml:space="preserve"> </w:t>
      </w:r>
      <w:r w:rsidRPr="003255BC">
        <w:rPr>
          <w:rFonts w:ascii="Bookman Old Style" w:hAnsi="Bookman Old Style"/>
          <w:lang w:val="sv-FI"/>
        </w:rPr>
        <w:t>Kota</w:t>
      </w:r>
      <w:r w:rsidR="00A954D0" w:rsidRPr="003255BC">
        <w:rPr>
          <w:rFonts w:ascii="Bookman Old Style" w:hAnsi="Bookman Old Style"/>
          <w:lang w:val="sv-FI"/>
        </w:rPr>
        <w:t xml:space="preserve"> </w:t>
      </w:r>
      <w:r w:rsidRPr="003255BC">
        <w:rPr>
          <w:rFonts w:ascii="Bookman Old Style" w:hAnsi="Bookman Old Style"/>
          <w:lang w:val="sv-FI"/>
        </w:rPr>
        <w:t>Tangerang</w:t>
      </w:r>
      <w:r w:rsidR="00A954D0" w:rsidRPr="003255BC">
        <w:rPr>
          <w:rFonts w:ascii="Bookman Old Style" w:hAnsi="Bookman Old Style"/>
          <w:lang w:val="sv-FI"/>
        </w:rPr>
        <w:t xml:space="preserve"> </w:t>
      </w:r>
      <w:r w:rsidRPr="003255BC">
        <w:rPr>
          <w:rFonts w:ascii="Bookman Old Style" w:hAnsi="Bookman Old Style"/>
          <w:lang w:val="sv-FI"/>
        </w:rPr>
        <w:t>serta</w:t>
      </w:r>
      <w:r w:rsidR="00A954D0" w:rsidRPr="003255BC">
        <w:rPr>
          <w:rFonts w:ascii="Bookman Old Style" w:hAnsi="Bookman Old Style"/>
          <w:lang w:val="sv-FI"/>
        </w:rPr>
        <w:t xml:space="preserve"> </w:t>
      </w:r>
      <w:r w:rsidRPr="003255BC">
        <w:rPr>
          <w:rFonts w:ascii="Bookman Old Style" w:hAnsi="Bookman Old Style"/>
          <w:lang w:val="sv-FI"/>
        </w:rPr>
        <w:t>yang</w:t>
      </w:r>
      <w:r w:rsidR="00A954D0" w:rsidRPr="003255BC">
        <w:rPr>
          <w:rFonts w:ascii="Bookman Old Style" w:hAnsi="Bookman Old Style"/>
          <w:lang w:val="sv-FI"/>
        </w:rPr>
        <w:t xml:space="preserve"> </w:t>
      </w:r>
      <w:r w:rsidRPr="003255BC">
        <w:rPr>
          <w:rFonts w:ascii="Bookman Old Style" w:hAnsi="Bookman Old Style"/>
          <w:lang w:val="sv-FI"/>
        </w:rPr>
        <w:t>terkait</w:t>
      </w:r>
      <w:r w:rsidR="00A954D0" w:rsidRPr="003255BC">
        <w:rPr>
          <w:rFonts w:ascii="Bookman Old Style" w:hAnsi="Bookman Old Style"/>
          <w:lang w:val="sv-FI"/>
        </w:rPr>
        <w:t xml:space="preserve"> </w:t>
      </w:r>
      <w:r w:rsidRPr="003255BC">
        <w:rPr>
          <w:rFonts w:ascii="Bookman Old Style" w:hAnsi="Bookman Old Style"/>
          <w:lang w:val="sv-FI"/>
        </w:rPr>
        <w:t>langsung</w:t>
      </w:r>
      <w:r w:rsidR="00A954D0" w:rsidRPr="003255BC">
        <w:rPr>
          <w:rFonts w:ascii="Bookman Old Style" w:hAnsi="Bookman Old Style"/>
          <w:lang w:val="sv-FI"/>
        </w:rPr>
        <w:t xml:space="preserve"> </w:t>
      </w:r>
      <w:r w:rsidRPr="003255BC">
        <w:rPr>
          <w:rFonts w:ascii="Bookman Old Style" w:hAnsi="Bookman Old Style"/>
          <w:lang w:val="sv-FI"/>
        </w:rPr>
        <w:t>dengan</w:t>
      </w:r>
      <w:r w:rsidR="00A954D0" w:rsidRPr="003255BC">
        <w:rPr>
          <w:rFonts w:ascii="Bookman Old Style" w:hAnsi="Bookman Old Style"/>
          <w:lang w:val="sv-FI"/>
        </w:rPr>
        <w:t xml:space="preserve"> </w:t>
      </w:r>
      <w:r w:rsidRPr="003255BC">
        <w:rPr>
          <w:rFonts w:ascii="Bookman Old Style" w:hAnsi="Bookman Old Style"/>
          <w:lang w:val="sv-FI"/>
        </w:rPr>
        <w:t>pelayanan</w:t>
      </w:r>
      <w:r w:rsidR="00A954D0" w:rsidRPr="003255BC">
        <w:rPr>
          <w:rFonts w:ascii="Bookman Old Style" w:hAnsi="Bookman Old Style"/>
          <w:lang w:val="sv-FI"/>
        </w:rPr>
        <w:t xml:space="preserve"> </w:t>
      </w:r>
      <w:r w:rsidRPr="003255BC">
        <w:rPr>
          <w:rFonts w:ascii="Bookman Old Style" w:hAnsi="Bookman Old Style"/>
          <w:lang w:val="sv-FI"/>
        </w:rPr>
        <w:t>dasar</w:t>
      </w:r>
      <w:r w:rsidR="00A954D0" w:rsidRPr="003255BC">
        <w:rPr>
          <w:rFonts w:ascii="Bookman Old Style" w:hAnsi="Bookman Old Style"/>
          <w:lang w:val="sv-FI"/>
        </w:rPr>
        <w:t xml:space="preserve"> </w:t>
      </w:r>
      <w:r w:rsidRPr="003255BC">
        <w:rPr>
          <w:rFonts w:ascii="Bookman Old Style" w:hAnsi="Bookman Old Style"/>
          <w:lang w:val="sv-FI"/>
        </w:rPr>
        <w:t>kepada</w:t>
      </w:r>
      <w:r w:rsidR="00A954D0" w:rsidRPr="003255BC">
        <w:rPr>
          <w:rFonts w:ascii="Bookman Old Style" w:hAnsi="Bookman Old Style"/>
          <w:lang w:val="sv-FI"/>
        </w:rPr>
        <w:t xml:space="preserve"> </w:t>
      </w:r>
      <w:r w:rsidRPr="003255BC">
        <w:rPr>
          <w:rFonts w:ascii="Bookman Old Style" w:hAnsi="Bookman Old Style"/>
          <w:lang w:val="sv-FI"/>
        </w:rPr>
        <w:t>masyarakat,</w:t>
      </w:r>
      <w:r w:rsidR="00A954D0" w:rsidRPr="003255BC">
        <w:rPr>
          <w:rFonts w:ascii="Bookman Old Style" w:hAnsi="Bookman Old Style"/>
          <w:lang w:val="sv-FI"/>
        </w:rPr>
        <w:t xml:space="preserve"> </w:t>
      </w:r>
      <w:r w:rsidRPr="003255BC">
        <w:rPr>
          <w:rFonts w:ascii="Bookman Old Style" w:hAnsi="Bookman Old Style"/>
          <w:lang w:val="sv-FI"/>
        </w:rPr>
        <w:t>penyediaan</w:t>
      </w:r>
      <w:r w:rsidR="00A954D0" w:rsidRPr="003255BC">
        <w:rPr>
          <w:rFonts w:ascii="Bookman Old Style" w:hAnsi="Bookman Old Style"/>
          <w:lang w:val="sv-FI"/>
        </w:rPr>
        <w:t xml:space="preserve"> </w:t>
      </w:r>
      <w:r w:rsidRPr="003255BC">
        <w:rPr>
          <w:rFonts w:ascii="Bookman Old Style" w:hAnsi="Bookman Old Style"/>
          <w:lang w:val="sv-FI"/>
        </w:rPr>
        <w:t>anggaran</w:t>
      </w:r>
      <w:r w:rsidR="00A954D0" w:rsidRPr="003255BC">
        <w:rPr>
          <w:rFonts w:ascii="Bookman Old Style" w:hAnsi="Bookman Old Style"/>
          <w:lang w:val="sv-FI"/>
        </w:rPr>
        <w:t xml:space="preserve"> </w:t>
      </w:r>
      <w:r w:rsidRPr="003255BC">
        <w:rPr>
          <w:rFonts w:ascii="Bookman Old Style" w:hAnsi="Bookman Old Style"/>
          <w:lang w:val="sv-FI"/>
        </w:rPr>
        <w:t>Belanja</w:t>
      </w:r>
      <w:r w:rsidR="00A954D0" w:rsidRPr="003255BC">
        <w:rPr>
          <w:rFonts w:ascii="Bookman Old Style" w:hAnsi="Bookman Old Style"/>
          <w:lang w:val="sv-FI"/>
        </w:rPr>
        <w:t xml:space="preserve"> </w:t>
      </w:r>
      <w:r w:rsidRPr="003255BC">
        <w:rPr>
          <w:rFonts w:ascii="Bookman Old Style" w:hAnsi="Bookman Old Style"/>
          <w:lang w:val="sv-FI"/>
        </w:rPr>
        <w:t>Bantuan</w:t>
      </w:r>
      <w:r w:rsidR="00A954D0" w:rsidRPr="003255BC">
        <w:rPr>
          <w:rFonts w:ascii="Bookman Old Style" w:hAnsi="Bookman Old Style"/>
          <w:lang w:val="sv-FI"/>
        </w:rPr>
        <w:t xml:space="preserve"> </w:t>
      </w:r>
      <w:r w:rsidRPr="003255BC">
        <w:rPr>
          <w:rFonts w:ascii="Bookman Old Style" w:hAnsi="Bookman Old Style"/>
          <w:lang w:val="sv-FI"/>
        </w:rPr>
        <w:t>Sosial</w:t>
      </w:r>
      <w:r w:rsidR="00A954D0" w:rsidRPr="003255BC">
        <w:rPr>
          <w:rFonts w:ascii="Bookman Old Style" w:hAnsi="Bookman Old Style"/>
          <w:lang w:val="sv-FI"/>
        </w:rPr>
        <w:t xml:space="preserve"> </w:t>
      </w:r>
      <w:r w:rsidRPr="003255BC">
        <w:rPr>
          <w:rFonts w:ascii="Bookman Old Style" w:hAnsi="Bookman Old Style"/>
          <w:lang w:val="sv-FI"/>
        </w:rPr>
        <w:t>dapat</w:t>
      </w:r>
      <w:r w:rsidR="00A954D0" w:rsidRPr="003255BC">
        <w:rPr>
          <w:rFonts w:ascii="Bookman Old Style" w:hAnsi="Bookman Old Style"/>
          <w:lang w:val="sv-FI"/>
        </w:rPr>
        <w:t xml:space="preserve"> </w:t>
      </w:r>
      <w:r w:rsidRPr="003255BC">
        <w:rPr>
          <w:rFonts w:ascii="Bookman Old Style" w:hAnsi="Bookman Old Style"/>
          <w:lang w:val="sv-FI"/>
        </w:rPr>
        <w:t>dianggarkan</w:t>
      </w:r>
      <w:r w:rsidR="00A954D0" w:rsidRPr="003255BC">
        <w:rPr>
          <w:rFonts w:ascii="Bookman Old Style" w:hAnsi="Bookman Old Style"/>
          <w:lang w:val="sv-FI"/>
        </w:rPr>
        <w:t xml:space="preserve"> </w:t>
      </w:r>
      <w:r w:rsidRPr="003255BC">
        <w:rPr>
          <w:rFonts w:ascii="Bookman Old Style" w:hAnsi="Bookman Old Style"/>
          <w:lang w:val="sv-FI"/>
        </w:rPr>
        <w:t>sepanjang</w:t>
      </w:r>
      <w:r w:rsidR="00A954D0" w:rsidRPr="003255BC">
        <w:rPr>
          <w:rFonts w:ascii="Bookman Old Style" w:hAnsi="Bookman Old Style"/>
          <w:lang w:val="sv-FI"/>
        </w:rPr>
        <w:t xml:space="preserve"> </w:t>
      </w:r>
      <w:r w:rsidRPr="003255BC">
        <w:rPr>
          <w:rFonts w:ascii="Bookman Old Style" w:hAnsi="Bookman Old Style"/>
          <w:lang w:val="sv-FI"/>
        </w:rPr>
        <w:t>telah</w:t>
      </w:r>
      <w:r w:rsidR="00A954D0" w:rsidRPr="003255BC">
        <w:rPr>
          <w:rFonts w:ascii="Bookman Old Style" w:hAnsi="Bookman Old Style"/>
          <w:lang w:val="sv-FI"/>
        </w:rPr>
        <w:t xml:space="preserve"> </w:t>
      </w:r>
      <w:r w:rsidRPr="003255BC">
        <w:rPr>
          <w:rFonts w:ascii="Bookman Old Style" w:hAnsi="Bookman Old Style"/>
          <w:lang w:val="sv-FI"/>
        </w:rPr>
        <w:t>memenuhi</w:t>
      </w:r>
      <w:r w:rsidR="00A954D0" w:rsidRPr="003255BC">
        <w:rPr>
          <w:rFonts w:ascii="Bookman Old Style" w:hAnsi="Bookman Old Style"/>
          <w:lang w:val="sv-FI"/>
        </w:rPr>
        <w:t xml:space="preserve"> </w:t>
      </w:r>
      <w:r w:rsidRPr="003255BC">
        <w:rPr>
          <w:rFonts w:ascii="Bookman Old Style" w:hAnsi="Bookman Old Style"/>
          <w:lang w:val="sv-FI"/>
        </w:rPr>
        <w:t>persyaratan</w:t>
      </w:r>
      <w:r w:rsidR="00A954D0" w:rsidRPr="003255BC">
        <w:rPr>
          <w:rFonts w:ascii="Bookman Old Style" w:hAnsi="Bookman Old Style"/>
          <w:lang w:val="sv-FI"/>
        </w:rPr>
        <w:t xml:space="preserve"> </w:t>
      </w:r>
      <w:r w:rsidRPr="003255BC">
        <w:rPr>
          <w:rFonts w:ascii="Bookman Old Style" w:hAnsi="Bookman Old Style"/>
          <w:lang w:val="sv-FI"/>
        </w:rPr>
        <w:t>dalam</w:t>
      </w:r>
      <w:r w:rsidR="00A954D0" w:rsidRPr="003255BC">
        <w:rPr>
          <w:rFonts w:ascii="Bookman Old Style" w:hAnsi="Bookman Old Style"/>
          <w:lang w:val="sv-FI"/>
        </w:rPr>
        <w:t xml:space="preserve"> </w:t>
      </w:r>
      <w:r w:rsidRPr="003255BC">
        <w:rPr>
          <w:rFonts w:ascii="Bookman Old Style" w:hAnsi="Bookman Old Style"/>
          <w:lang w:val="sv-FI"/>
        </w:rPr>
        <w:t>rangka</w:t>
      </w:r>
      <w:r w:rsidR="00A954D0" w:rsidRPr="003255BC">
        <w:rPr>
          <w:rFonts w:ascii="Bookman Old Style" w:hAnsi="Bookman Old Style"/>
          <w:lang w:val="sv-FI"/>
        </w:rPr>
        <w:t xml:space="preserve"> </w:t>
      </w:r>
      <w:r w:rsidRPr="003255BC">
        <w:rPr>
          <w:rFonts w:ascii="Bookman Old Style" w:hAnsi="Bookman Old Style"/>
          <w:lang w:val="sv-FI"/>
        </w:rPr>
        <w:t>menunjang</w:t>
      </w:r>
      <w:r w:rsidR="00A954D0" w:rsidRPr="003255BC">
        <w:rPr>
          <w:rFonts w:ascii="Bookman Old Style" w:hAnsi="Bookman Old Style"/>
          <w:lang w:val="sv-FI"/>
        </w:rPr>
        <w:t xml:space="preserve"> </w:t>
      </w:r>
      <w:r w:rsidRPr="003255BC">
        <w:rPr>
          <w:rFonts w:ascii="Bookman Old Style" w:hAnsi="Bookman Old Style"/>
          <w:lang w:val="sv-FI"/>
        </w:rPr>
        <w:t>pencapaian</w:t>
      </w:r>
      <w:r w:rsidR="00A954D0" w:rsidRPr="003255BC">
        <w:rPr>
          <w:rFonts w:ascii="Bookman Old Style" w:hAnsi="Bookman Old Style"/>
          <w:lang w:val="sv-FI"/>
        </w:rPr>
        <w:t xml:space="preserve"> </w:t>
      </w:r>
      <w:r w:rsidRPr="003255BC">
        <w:rPr>
          <w:rFonts w:ascii="Bookman Old Style" w:hAnsi="Bookman Old Style"/>
          <w:lang w:val="sv-FI"/>
        </w:rPr>
        <w:t>sasaran</w:t>
      </w:r>
      <w:r w:rsidR="00A954D0" w:rsidRPr="003255BC">
        <w:rPr>
          <w:rFonts w:ascii="Bookman Old Style" w:hAnsi="Bookman Old Style"/>
          <w:lang w:val="sv-FI"/>
        </w:rPr>
        <w:t xml:space="preserve"> </w:t>
      </w:r>
      <w:r w:rsidRPr="003255BC">
        <w:rPr>
          <w:rFonts w:ascii="Bookman Old Style" w:hAnsi="Bookman Old Style"/>
          <w:lang w:val="sv-FI"/>
        </w:rPr>
        <w:t>program,</w:t>
      </w:r>
      <w:r w:rsidR="00A954D0" w:rsidRPr="003255BC">
        <w:rPr>
          <w:rFonts w:ascii="Bookman Old Style" w:hAnsi="Bookman Old Style"/>
          <w:lang w:val="sv-FI"/>
        </w:rPr>
        <w:t xml:space="preserve"> </w:t>
      </w:r>
      <w:r w:rsidRPr="003255BC">
        <w:rPr>
          <w:rFonts w:ascii="Bookman Old Style" w:hAnsi="Bookman Old Style"/>
          <w:lang w:val="sv-FI"/>
        </w:rPr>
        <w:t>kegiatan</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sub</w:t>
      </w:r>
      <w:r w:rsidR="00A954D0" w:rsidRPr="003255BC">
        <w:rPr>
          <w:rFonts w:ascii="Bookman Old Style" w:hAnsi="Bookman Old Style"/>
          <w:lang w:val="sv-FI"/>
        </w:rPr>
        <w:t xml:space="preserve"> </w:t>
      </w:r>
      <w:r w:rsidRPr="003255BC">
        <w:rPr>
          <w:rFonts w:ascii="Bookman Old Style" w:hAnsi="Bookman Old Style"/>
          <w:lang w:val="sv-FI"/>
        </w:rPr>
        <w:t>kegiatan</w:t>
      </w:r>
      <w:r w:rsidR="00A954D0" w:rsidRPr="003255BC">
        <w:rPr>
          <w:rFonts w:ascii="Bookman Old Style" w:hAnsi="Bookman Old Style"/>
          <w:lang w:val="sv-FI"/>
        </w:rPr>
        <w:t xml:space="preserve"> </w:t>
      </w:r>
      <w:r w:rsidRPr="003255BC">
        <w:rPr>
          <w:rFonts w:ascii="Bookman Old Style" w:hAnsi="Bookman Old Style"/>
          <w:lang w:val="sv-FI"/>
        </w:rPr>
        <w:t>Pemerintah</w:t>
      </w:r>
      <w:r w:rsidR="00A954D0" w:rsidRPr="003255BC">
        <w:rPr>
          <w:rFonts w:ascii="Bookman Old Style" w:hAnsi="Bookman Old Style"/>
          <w:lang w:val="sv-FI"/>
        </w:rPr>
        <w:t xml:space="preserve"> </w:t>
      </w:r>
      <w:r w:rsidRPr="003255BC">
        <w:rPr>
          <w:rFonts w:ascii="Bookman Old Style" w:hAnsi="Bookman Old Style"/>
          <w:lang w:val="sv-FI"/>
        </w:rPr>
        <w:t>Daerah</w:t>
      </w:r>
      <w:r w:rsidR="00A954D0" w:rsidRPr="003255BC">
        <w:rPr>
          <w:rFonts w:ascii="Bookman Old Style" w:hAnsi="Bookman Old Style"/>
          <w:lang w:val="sv-FI"/>
        </w:rPr>
        <w:t xml:space="preserve"> </w:t>
      </w:r>
      <w:r w:rsidRPr="003255BC">
        <w:rPr>
          <w:rFonts w:ascii="Bookman Old Style" w:hAnsi="Bookman Old Style"/>
          <w:lang w:val="sv-FI"/>
        </w:rPr>
        <w:t>sesuai</w:t>
      </w:r>
      <w:r w:rsidR="00A954D0" w:rsidRPr="003255BC">
        <w:rPr>
          <w:rFonts w:ascii="Bookman Old Style" w:hAnsi="Bookman Old Style"/>
          <w:lang w:val="sv-FI"/>
        </w:rPr>
        <w:t xml:space="preserve"> </w:t>
      </w:r>
      <w:r w:rsidRPr="003255BC">
        <w:rPr>
          <w:rFonts w:ascii="Bookman Old Style" w:hAnsi="Bookman Old Style"/>
          <w:lang w:val="sv-FI"/>
        </w:rPr>
        <w:t>urgensi</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kepentingan</w:t>
      </w:r>
      <w:r w:rsidR="00A954D0" w:rsidRPr="003255BC">
        <w:rPr>
          <w:rFonts w:ascii="Bookman Old Style" w:hAnsi="Bookman Old Style"/>
          <w:lang w:val="sv-FI"/>
        </w:rPr>
        <w:t xml:space="preserve"> </w:t>
      </w:r>
      <w:r w:rsidRPr="003255BC">
        <w:rPr>
          <w:rFonts w:ascii="Bookman Old Style" w:hAnsi="Bookman Old Style"/>
          <w:lang w:val="sv-FI"/>
        </w:rPr>
        <w:t>daerah</w:t>
      </w:r>
      <w:r w:rsidR="00A954D0" w:rsidRPr="003255BC">
        <w:rPr>
          <w:rFonts w:ascii="Bookman Old Style" w:hAnsi="Bookman Old Style"/>
          <w:lang w:val="sv-FI"/>
        </w:rPr>
        <w:t xml:space="preserve"> </w:t>
      </w:r>
      <w:r w:rsidRPr="003255BC">
        <w:rPr>
          <w:rFonts w:ascii="Bookman Old Style" w:hAnsi="Bookman Old Style"/>
          <w:lang w:val="sv-FI"/>
        </w:rPr>
        <w:t>dalam</w:t>
      </w:r>
      <w:r w:rsidR="00A954D0" w:rsidRPr="003255BC">
        <w:rPr>
          <w:rFonts w:ascii="Bookman Old Style" w:hAnsi="Bookman Old Style"/>
          <w:lang w:val="sv-FI"/>
        </w:rPr>
        <w:t xml:space="preserve"> </w:t>
      </w:r>
      <w:r w:rsidRPr="003255BC">
        <w:rPr>
          <w:rFonts w:ascii="Bookman Old Style" w:hAnsi="Bookman Old Style"/>
          <w:lang w:val="sv-FI"/>
        </w:rPr>
        <w:t>mendukung</w:t>
      </w:r>
      <w:r w:rsidR="00A954D0" w:rsidRPr="003255BC">
        <w:rPr>
          <w:rFonts w:ascii="Bookman Old Style" w:hAnsi="Bookman Old Style"/>
          <w:lang w:val="sv-FI"/>
        </w:rPr>
        <w:t xml:space="preserve"> </w:t>
      </w:r>
      <w:r w:rsidRPr="003255BC">
        <w:rPr>
          <w:rFonts w:ascii="Bookman Old Style" w:hAnsi="Bookman Old Style"/>
          <w:lang w:val="sv-FI"/>
        </w:rPr>
        <w:t>terselenggaranya</w:t>
      </w:r>
      <w:r w:rsidR="00A954D0" w:rsidRPr="003255BC">
        <w:rPr>
          <w:rFonts w:ascii="Bookman Old Style" w:hAnsi="Bookman Old Style"/>
          <w:lang w:val="sv-FI"/>
        </w:rPr>
        <w:t xml:space="preserve"> </w:t>
      </w:r>
      <w:r w:rsidRPr="003255BC">
        <w:rPr>
          <w:rFonts w:ascii="Bookman Old Style" w:hAnsi="Bookman Old Style"/>
          <w:lang w:val="sv-FI"/>
        </w:rPr>
        <w:t>fungsi</w:t>
      </w:r>
      <w:r w:rsidR="00A954D0" w:rsidRPr="003255BC">
        <w:rPr>
          <w:rFonts w:ascii="Bookman Old Style" w:hAnsi="Bookman Old Style"/>
          <w:lang w:val="sv-FI"/>
        </w:rPr>
        <w:t xml:space="preserve"> </w:t>
      </w:r>
      <w:r w:rsidRPr="003255BC">
        <w:rPr>
          <w:rFonts w:ascii="Bookman Old Style" w:hAnsi="Bookman Old Style"/>
          <w:lang w:val="sv-FI"/>
        </w:rPr>
        <w:t>pemerintahan,</w:t>
      </w:r>
      <w:r w:rsidR="00A954D0" w:rsidRPr="003255BC">
        <w:rPr>
          <w:rFonts w:ascii="Bookman Old Style" w:hAnsi="Bookman Old Style"/>
          <w:lang w:val="sv-FI"/>
        </w:rPr>
        <w:t xml:space="preserve"> </w:t>
      </w:r>
      <w:r w:rsidRPr="003255BC">
        <w:rPr>
          <w:rFonts w:ascii="Bookman Old Style" w:hAnsi="Bookman Old Style"/>
          <w:lang w:val="sv-FI"/>
        </w:rPr>
        <w:t>pembangunan</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kemasyarakatan</w:t>
      </w:r>
      <w:r w:rsidR="00A954D0" w:rsidRPr="003255BC">
        <w:rPr>
          <w:rFonts w:ascii="Bookman Old Style" w:hAnsi="Bookman Old Style"/>
          <w:lang w:val="sv-FI"/>
        </w:rPr>
        <w:t xml:space="preserve"> </w:t>
      </w:r>
      <w:r w:rsidRPr="003255BC">
        <w:rPr>
          <w:rFonts w:ascii="Bookman Old Style" w:hAnsi="Bookman Old Style"/>
          <w:lang w:val="sv-FI"/>
        </w:rPr>
        <w:t>dengan</w:t>
      </w:r>
      <w:r w:rsidR="00A954D0" w:rsidRPr="003255BC">
        <w:rPr>
          <w:rFonts w:ascii="Bookman Old Style" w:hAnsi="Bookman Old Style"/>
          <w:lang w:val="sv-FI"/>
        </w:rPr>
        <w:t xml:space="preserve"> </w:t>
      </w:r>
      <w:r w:rsidRPr="003255BC">
        <w:rPr>
          <w:rFonts w:ascii="Bookman Old Style" w:hAnsi="Bookman Old Style"/>
          <w:lang w:val="sv-FI"/>
        </w:rPr>
        <w:t>memperhatikan</w:t>
      </w:r>
      <w:r w:rsidR="00A954D0" w:rsidRPr="003255BC">
        <w:rPr>
          <w:rFonts w:ascii="Bookman Old Style" w:hAnsi="Bookman Old Style"/>
          <w:lang w:val="sv-FI"/>
        </w:rPr>
        <w:t xml:space="preserve"> </w:t>
      </w:r>
      <w:r w:rsidRPr="003255BC">
        <w:rPr>
          <w:rFonts w:ascii="Bookman Old Style" w:hAnsi="Bookman Old Style"/>
          <w:lang w:val="sv-FI"/>
        </w:rPr>
        <w:t>asas</w:t>
      </w:r>
      <w:r w:rsidR="00A954D0" w:rsidRPr="003255BC">
        <w:rPr>
          <w:rFonts w:ascii="Bookman Old Style" w:hAnsi="Bookman Old Style"/>
          <w:lang w:val="sv-FI"/>
        </w:rPr>
        <w:t xml:space="preserve"> </w:t>
      </w:r>
      <w:r w:rsidRPr="003255BC">
        <w:rPr>
          <w:rFonts w:ascii="Bookman Old Style" w:hAnsi="Bookman Old Style"/>
          <w:lang w:val="sv-FI"/>
        </w:rPr>
        <w:t>keadilan,</w:t>
      </w:r>
      <w:r w:rsidR="00A954D0" w:rsidRPr="003255BC">
        <w:rPr>
          <w:rFonts w:ascii="Bookman Old Style" w:hAnsi="Bookman Old Style"/>
          <w:lang w:val="sv-FI"/>
        </w:rPr>
        <w:t xml:space="preserve"> </w:t>
      </w:r>
      <w:r w:rsidRPr="003255BC">
        <w:rPr>
          <w:rFonts w:ascii="Bookman Old Style" w:hAnsi="Bookman Old Style"/>
          <w:lang w:val="sv-FI"/>
        </w:rPr>
        <w:t>kepatutan,</w:t>
      </w:r>
      <w:r w:rsidR="00A954D0" w:rsidRPr="003255BC">
        <w:rPr>
          <w:rFonts w:ascii="Bookman Old Style" w:hAnsi="Bookman Old Style"/>
          <w:lang w:val="sv-FI"/>
        </w:rPr>
        <w:t xml:space="preserve"> </w:t>
      </w:r>
      <w:r w:rsidRPr="003255BC">
        <w:rPr>
          <w:rFonts w:ascii="Bookman Old Style" w:hAnsi="Bookman Old Style"/>
          <w:lang w:val="sv-FI"/>
        </w:rPr>
        <w:t>rasionalitas,</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manfaat</w:t>
      </w:r>
      <w:r w:rsidR="00A954D0" w:rsidRPr="003255BC">
        <w:rPr>
          <w:rFonts w:ascii="Bookman Old Style" w:hAnsi="Bookman Old Style"/>
          <w:lang w:val="sv-FI"/>
        </w:rPr>
        <w:t xml:space="preserve"> </w:t>
      </w:r>
      <w:r w:rsidRPr="003255BC">
        <w:rPr>
          <w:rFonts w:ascii="Bookman Old Style" w:hAnsi="Bookman Old Style"/>
          <w:lang w:val="sv-FI"/>
        </w:rPr>
        <w:t>untuk</w:t>
      </w:r>
      <w:r w:rsidR="00A954D0" w:rsidRPr="003255BC">
        <w:rPr>
          <w:rFonts w:ascii="Bookman Old Style" w:hAnsi="Bookman Old Style"/>
          <w:lang w:val="sv-FI"/>
        </w:rPr>
        <w:t xml:space="preserve"> </w:t>
      </w:r>
      <w:r w:rsidRPr="003255BC">
        <w:rPr>
          <w:rFonts w:ascii="Bookman Old Style" w:hAnsi="Bookman Old Style"/>
          <w:lang w:val="sv-FI"/>
        </w:rPr>
        <w:t>masyarakat</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juga</w:t>
      </w:r>
      <w:r w:rsidR="00A954D0" w:rsidRPr="003255BC">
        <w:rPr>
          <w:rFonts w:ascii="Bookman Old Style" w:hAnsi="Bookman Old Style"/>
          <w:lang w:val="sv-FI"/>
        </w:rPr>
        <w:t xml:space="preserve"> </w:t>
      </w:r>
      <w:r w:rsidRPr="003255BC">
        <w:rPr>
          <w:rFonts w:ascii="Bookman Old Style" w:hAnsi="Bookman Old Style"/>
          <w:lang w:val="sv-FI"/>
        </w:rPr>
        <w:t>bertujuan</w:t>
      </w:r>
      <w:r w:rsidR="00A954D0" w:rsidRPr="003255BC">
        <w:rPr>
          <w:rFonts w:ascii="Bookman Old Style" w:hAnsi="Bookman Old Style"/>
          <w:lang w:val="sv-FI"/>
        </w:rPr>
        <w:t xml:space="preserve"> </w:t>
      </w:r>
      <w:r w:rsidRPr="003255BC">
        <w:rPr>
          <w:rFonts w:ascii="Bookman Old Style" w:hAnsi="Bookman Old Style"/>
          <w:lang w:val="sv-FI"/>
        </w:rPr>
        <w:t>untuk</w:t>
      </w:r>
      <w:r w:rsidR="00A954D0" w:rsidRPr="003255BC">
        <w:rPr>
          <w:rFonts w:ascii="Bookman Old Style" w:hAnsi="Bookman Old Style"/>
          <w:lang w:val="sv-FI"/>
        </w:rPr>
        <w:t xml:space="preserve"> </w:t>
      </w:r>
      <w:r w:rsidRPr="003255BC">
        <w:rPr>
          <w:rFonts w:ascii="Bookman Old Style" w:hAnsi="Bookman Old Style"/>
          <w:lang w:val="sv-FI"/>
        </w:rPr>
        <w:t>melindungi</w:t>
      </w:r>
      <w:r w:rsidR="00A954D0" w:rsidRPr="003255BC">
        <w:rPr>
          <w:rFonts w:ascii="Bookman Old Style" w:hAnsi="Bookman Old Style"/>
          <w:lang w:val="sv-FI"/>
        </w:rPr>
        <w:t xml:space="preserve"> </w:t>
      </w:r>
      <w:r w:rsidRPr="003255BC">
        <w:rPr>
          <w:rFonts w:ascii="Bookman Old Style" w:hAnsi="Bookman Old Style"/>
          <w:lang w:val="sv-FI"/>
        </w:rPr>
        <w:t>dari</w:t>
      </w:r>
      <w:r w:rsidR="00A954D0" w:rsidRPr="003255BC">
        <w:rPr>
          <w:rFonts w:ascii="Bookman Old Style" w:hAnsi="Bookman Old Style"/>
          <w:lang w:val="sv-FI"/>
        </w:rPr>
        <w:t xml:space="preserve"> </w:t>
      </w:r>
      <w:r w:rsidRPr="003255BC">
        <w:rPr>
          <w:rFonts w:ascii="Bookman Old Style" w:hAnsi="Bookman Old Style"/>
          <w:lang w:val="sv-FI"/>
        </w:rPr>
        <w:t>kemungkinan</w:t>
      </w:r>
      <w:r w:rsidR="00A954D0" w:rsidRPr="003255BC">
        <w:rPr>
          <w:rFonts w:ascii="Bookman Old Style" w:hAnsi="Bookman Old Style"/>
          <w:lang w:val="sv-FI"/>
        </w:rPr>
        <w:t xml:space="preserve"> </w:t>
      </w:r>
      <w:r w:rsidRPr="003255BC">
        <w:rPr>
          <w:rFonts w:ascii="Bookman Old Style" w:hAnsi="Bookman Old Style"/>
          <w:lang w:val="sv-FI"/>
        </w:rPr>
        <w:t>terjadinya</w:t>
      </w:r>
      <w:r w:rsidR="00A954D0" w:rsidRPr="003255BC">
        <w:rPr>
          <w:rFonts w:ascii="Bookman Old Style" w:hAnsi="Bookman Old Style"/>
          <w:lang w:val="sv-FI"/>
        </w:rPr>
        <w:t xml:space="preserve"> </w:t>
      </w:r>
      <w:r w:rsidRPr="003255BC">
        <w:rPr>
          <w:rFonts w:ascii="Bookman Old Style" w:hAnsi="Bookman Old Style"/>
          <w:lang w:val="sv-FI"/>
        </w:rPr>
        <w:t>risiko</w:t>
      </w:r>
      <w:r w:rsidR="00A954D0" w:rsidRPr="003255BC">
        <w:rPr>
          <w:rFonts w:ascii="Bookman Old Style" w:hAnsi="Bookman Old Style"/>
          <w:lang w:val="sv-FI"/>
        </w:rPr>
        <w:t xml:space="preserve"> </w:t>
      </w:r>
      <w:r w:rsidRPr="003255BC">
        <w:rPr>
          <w:rFonts w:ascii="Bookman Old Style" w:hAnsi="Bookman Old Style"/>
          <w:lang w:val="sv-FI"/>
        </w:rPr>
        <w:t>sosial,</w:t>
      </w:r>
      <w:r w:rsidR="00A954D0" w:rsidRPr="003255BC">
        <w:rPr>
          <w:rFonts w:ascii="Bookman Old Style" w:hAnsi="Bookman Old Style"/>
          <w:lang w:val="sv-FI"/>
        </w:rPr>
        <w:t xml:space="preserve"> </w:t>
      </w:r>
      <w:r w:rsidRPr="003255BC">
        <w:rPr>
          <w:rFonts w:ascii="Bookman Old Style" w:hAnsi="Bookman Old Style"/>
          <w:lang w:val="sv-FI"/>
        </w:rPr>
        <w:t>serta</w:t>
      </w:r>
      <w:r w:rsidR="00A954D0" w:rsidRPr="003255BC">
        <w:rPr>
          <w:rFonts w:ascii="Bookman Old Style" w:hAnsi="Bookman Old Style"/>
          <w:lang w:val="sv-FI"/>
        </w:rPr>
        <w:t xml:space="preserve"> </w:t>
      </w:r>
      <w:r w:rsidRPr="003255BC">
        <w:rPr>
          <w:rFonts w:ascii="Bookman Old Style" w:hAnsi="Bookman Old Style"/>
          <w:lang w:val="sv-FI"/>
        </w:rPr>
        <w:t>memberikan</w:t>
      </w:r>
      <w:r w:rsidR="00A954D0" w:rsidRPr="003255BC">
        <w:rPr>
          <w:rFonts w:ascii="Bookman Old Style" w:hAnsi="Bookman Old Style"/>
          <w:lang w:val="sv-FI"/>
        </w:rPr>
        <w:t xml:space="preserve"> </w:t>
      </w:r>
      <w:r w:rsidRPr="003255BC">
        <w:rPr>
          <w:rFonts w:ascii="Bookman Old Style" w:hAnsi="Bookman Old Style"/>
          <w:lang w:val="sv-FI"/>
        </w:rPr>
        <w:t>nilai</w:t>
      </w:r>
      <w:r w:rsidR="00A954D0" w:rsidRPr="003255BC">
        <w:rPr>
          <w:rFonts w:ascii="Bookman Old Style" w:hAnsi="Bookman Old Style"/>
          <w:lang w:val="sv-FI"/>
        </w:rPr>
        <w:t xml:space="preserve"> </w:t>
      </w:r>
      <w:r w:rsidRPr="003255BC">
        <w:rPr>
          <w:rFonts w:ascii="Bookman Old Style" w:hAnsi="Bookman Old Style"/>
          <w:lang w:val="sv-FI"/>
        </w:rPr>
        <w:t>manfaat</w:t>
      </w:r>
      <w:r w:rsidR="00A954D0" w:rsidRPr="003255BC">
        <w:rPr>
          <w:rFonts w:ascii="Bookman Old Style" w:hAnsi="Bookman Old Style"/>
          <w:lang w:val="sv-FI"/>
        </w:rPr>
        <w:t xml:space="preserve"> </w:t>
      </w:r>
      <w:r w:rsidRPr="003255BC">
        <w:rPr>
          <w:rFonts w:ascii="Bookman Old Style" w:hAnsi="Bookman Old Style"/>
          <w:lang w:val="sv-FI"/>
        </w:rPr>
        <w:t>bagi</w:t>
      </w:r>
      <w:r w:rsidR="00A954D0" w:rsidRPr="003255BC">
        <w:rPr>
          <w:rFonts w:ascii="Bookman Old Style" w:hAnsi="Bookman Old Style"/>
          <w:lang w:val="sv-FI"/>
        </w:rPr>
        <w:t xml:space="preserve"> </w:t>
      </w:r>
      <w:r w:rsidRPr="003255BC">
        <w:rPr>
          <w:rFonts w:ascii="Bookman Old Style" w:hAnsi="Bookman Old Style"/>
          <w:lang w:val="sv-FI"/>
        </w:rPr>
        <w:t>Pemerintah</w:t>
      </w:r>
      <w:r w:rsidR="00A954D0" w:rsidRPr="003255BC">
        <w:rPr>
          <w:rFonts w:ascii="Bookman Old Style" w:hAnsi="Bookman Old Style"/>
          <w:lang w:val="sv-FI"/>
        </w:rPr>
        <w:t xml:space="preserve"> </w:t>
      </w:r>
      <w:r w:rsidRPr="003255BC">
        <w:rPr>
          <w:rFonts w:ascii="Bookman Old Style" w:hAnsi="Bookman Old Style"/>
          <w:lang w:val="sv-FI"/>
        </w:rPr>
        <w:t>Daerah</w:t>
      </w:r>
      <w:r w:rsidR="00A954D0" w:rsidRPr="003255BC">
        <w:rPr>
          <w:rFonts w:ascii="Bookman Old Style" w:hAnsi="Bookman Old Style"/>
          <w:lang w:val="sv-FI"/>
        </w:rPr>
        <w:t xml:space="preserve"> </w:t>
      </w:r>
      <w:r w:rsidRPr="003255BC">
        <w:rPr>
          <w:rFonts w:ascii="Bookman Old Style" w:hAnsi="Bookman Old Style"/>
          <w:lang w:val="sv-FI"/>
        </w:rPr>
        <w:t>dalam</w:t>
      </w:r>
      <w:r w:rsidR="00A954D0" w:rsidRPr="003255BC">
        <w:rPr>
          <w:rFonts w:ascii="Bookman Old Style" w:hAnsi="Bookman Old Style"/>
          <w:lang w:val="sv-FI"/>
        </w:rPr>
        <w:t xml:space="preserve"> </w:t>
      </w:r>
      <w:r w:rsidRPr="003255BC">
        <w:rPr>
          <w:rFonts w:ascii="Bookman Old Style" w:hAnsi="Bookman Old Style"/>
          <w:lang w:val="sv-FI"/>
        </w:rPr>
        <w:t>mendukung</w:t>
      </w:r>
      <w:r w:rsidR="00A954D0" w:rsidRPr="003255BC">
        <w:rPr>
          <w:rFonts w:ascii="Bookman Old Style" w:hAnsi="Bookman Old Style"/>
          <w:lang w:val="sv-FI"/>
        </w:rPr>
        <w:t xml:space="preserve"> </w:t>
      </w:r>
      <w:r w:rsidRPr="003255BC">
        <w:rPr>
          <w:rFonts w:ascii="Bookman Old Style" w:hAnsi="Bookman Old Style"/>
          <w:lang w:val="sv-FI"/>
        </w:rPr>
        <w:t>terselenggaranya</w:t>
      </w:r>
      <w:r w:rsidR="00A954D0" w:rsidRPr="003255BC">
        <w:rPr>
          <w:rFonts w:ascii="Bookman Old Style" w:hAnsi="Bookman Old Style"/>
          <w:lang w:val="sv-FI"/>
        </w:rPr>
        <w:t xml:space="preserve"> </w:t>
      </w:r>
      <w:r w:rsidRPr="003255BC">
        <w:rPr>
          <w:rFonts w:ascii="Bookman Old Style" w:hAnsi="Bookman Old Style"/>
          <w:lang w:val="sv-FI"/>
        </w:rPr>
        <w:t>fungsi</w:t>
      </w:r>
      <w:r w:rsidR="00A954D0" w:rsidRPr="003255BC">
        <w:rPr>
          <w:rFonts w:ascii="Bookman Old Style" w:hAnsi="Bookman Old Style"/>
          <w:lang w:val="sv-FI"/>
        </w:rPr>
        <w:t xml:space="preserve"> </w:t>
      </w:r>
      <w:r w:rsidRPr="003255BC">
        <w:rPr>
          <w:rFonts w:ascii="Bookman Old Style" w:hAnsi="Bookman Old Style"/>
          <w:lang w:val="sv-FI"/>
        </w:rPr>
        <w:t>pemerintah,</w:t>
      </w:r>
      <w:r w:rsidR="00A954D0" w:rsidRPr="003255BC">
        <w:rPr>
          <w:rFonts w:ascii="Bookman Old Style" w:hAnsi="Bookman Old Style"/>
          <w:lang w:val="sv-FI"/>
        </w:rPr>
        <w:t xml:space="preserve"> </w:t>
      </w:r>
      <w:r w:rsidRPr="003255BC">
        <w:rPr>
          <w:rFonts w:ascii="Bookman Old Style" w:hAnsi="Bookman Old Style"/>
          <w:lang w:val="sv-FI"/>
        </w:rPr>
        <w:t>pembangunan</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kemasyarakatan</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dianggarkan</w:t>
      </w:r>
      <w:r w:rsidR="00A954D0" w:rsidRPr="003255BC">
        <w:rPr>
          <w:rFonts w:ascii="Bookman Old Style" w:hAnsi="Bookman Old Style"/>
          <w:lang w:val="sv-FI"/>
        </w:rPr>
        <w:t xml:space="preserve"> </w:t>
      </w:r>
      <w:r w:rsidRPr="003255BC">
        <w:rPr>
          <w:rFonts w:ascii="Bookman Old Style" w:hAnsi="Bookman Old Style"/>
          <w:lang w:val="sv-FI"/>
        </w:rPr>
        <w:t>pada</w:t>
      </w:r>
      <w:r w:rsidR="00A954D0" w:rsidRPr="003255BC">
        <w:rPr>
          <w:rFonts w:ascii="Bookman Old Style" w:hAnsi="Bookman Old Style"/>
          <w:lang w:val="sv-FI"/>
        </w:rPr>
        <w:t xml:space="preserve"> </w:t>
      </w:r>
      <w:r w:rsidRPr="003255BC">
        <w:rPr>
          <w:rFonts w:ascii="Bookman Old Style" w:hAnsi="Bookman Old Style"/>
          <w:lang w:val="sv-FI"/>
        </w:rPr>
        <w:t>SKPD</w:t>
      </w:r>
      <w:r w:rsidR="00A954D0" w:rsidRPr="003255BC">
        <w:rPr>
          <w:rFonts w:ascii="Bookman Old Style" w:hAnsi="Bookman Old Style"/>
          <w:lang w:val="sv-FI"/>
        </w:rPr>
        <w:t xml:space="preserve"> </w:t>
      </w:r>
      <w:r w:rsidRPr="003255BC">
        <w:rPr>
          <w:rFonts w:ascii="Bookman Old Style" w:hAnsi="Bookman Old Style"/>
          <w:lang w:val="sv-FI"/>
        </w:rPr>
        <w:t>terkait</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dirinci</w:t>
      </w:r>
      <w:r w:rsidR="00A954D0" w:rsidRPr="003255BC">
        <w:rPr>
          <w:rFonts w:ascii="Bookman Old Style" w:hAnsi="Bookman Old Style"/>
          <w:lang w:val="sv-FI"/>
        </w:rPr>
        <w:t xml:space="preserve"> </w:t>
      </w:r>
      <w:r w:rsidRPr="003255BC">
        <w:rPr>
          <w:rFonts w:ascii="Bookman Old Style" w:hAnsi="Bookman Old Style"/>
          <w:lang w:val="sv-FI"/>
        </w:rPr>
        <w:t>menurut</w:t>
      </w:r>
      <w:r w:rsidR="00A954D0" w:rsidRPr="003255BC">
        <w:rPr>
          <w:rFonts w:ascii="Bookman Old Style" w:hAnsi="Bookman Old Style"/>
          <w:lang w:val="sv-FI"/>
        </w:rPr>
        <w:t xml:space="preserve"> </w:t>
      </w:r>
      <w:r w:rsidRPr="003255BC">
        <w:rPr>
          <w:rFonts w:ascii="Bookman Old Style" w:hAnsi="Bookman Old Style"/>
          <w:lang w:val="sv-FI"/>
        </w:rPr>
        <w:t>objek,</w:t>
      </w:r>
      <w:r w:rsidR="00A954D0" w:rsidRPr="003255BC">
        <w:rPr>
          <w:rFonts w:ascii="Bookman Old Style" w:hAnsi="Bookman Old Style"/>
          <w:lang w:val="sv-FI"/>
        </w:rPr>
        <w:t xml:space="preserve"> </w:t>
      </w:r>
      <w:r w:rsidRPr="003255BC">
        <w:rPr>
          <w:rFonts w:ascii="Bookman Old Style" w:hAnsi="Bookman Old Style"/>
          <w:lang w:val="sv-FI"/>
        </w:rPr>
        <w:t>rincian</w:t>
      </w:r>
      <w:r w:rsidR="00A954D0" w:rsidRPr="003255BC">
        <w:rPr>
          <w:rFonts w:ascii="Bookman Old Style" w:hAnsi="Bookman Old Style"/>
          <w:lang w:val="sv-FI"/>
        </w:rPr>
        <w:t xml:space="preserve"> </w:t>
      </w:r>
      <w:r w:rsidRPr="003255BC">
        <w:rPr>
          <w:rFonts w:ascii="Bookman Old Style" w:hAnsi="Bookman Old Style"/>
          <w:lang w:val="sv-FI"/>
        </w:rPr>
        <w:t>objek</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sub</w:t>
      </w:r>
      <w:r w:rsidR="00A954D0" w:rsidRPr="003255BC">
        <w:rPr>
          <w:rFonts w:ascii="Bookman Old Style" w:hAnsi="Bookman Old Style"/>
          <w:lang w:val="sv-FI"/>
        </w:rPr>
        <w:t xml:space="preserve"> </w:t>
      </w:r>
      <w:r w:rsidRPr="003255BC">
        <w:rPr>
          <w:rFonts w:ascii="Bookman Old Style" w:hAnsi="Bookman Old Style"/>
          <w:lang w:val="sv-FI"/>
        </w:rPr>
        <w:t>rincian</w:t>
      </w:r>
      <w:r w:rsidR="00A954D0" w:rsidRPr="003255BC">
        <w:rPr>
          <w:rFonts w:ascii="Bookman Old Style" w:hAnsi="Bookman Old Style"/>
          <w:lang w:val="sv-FI"/>
        </w:rPr>
        <w:t xml:space="preserve"> </w:t>
      </w:r>
      <w:r w:rsidRPr="003255BC">
        <w:rPr>
          <w:rFonts w:ascii="Bookman Old Style" w:hAnsi="Bookman Old Style"/>
          <w:lang w:val="sv-FI"/>
        </w:rPr>
        <w:t>objek</w:t>
      </w:r>
      <w:r w:rsidR="00A954D0" w:rsidRPr="003255BC">
        <w:rPr>
          <w:rFonts w:ascii="Bookman Old Style" w:hAnsi="Bookman Old Style"/>
          <w:lang w:val="sv-FI"/>
        </w:rPr>
        <w:t xml:space="preserve"> </w:t>
      </w:r>
      <w:r w:rsidRPr="003255BC">
        <w:rPr>
          <w:rFonts w:ascii="Bookman Old Style" w:hAnsi="Bookman Old Style"/>
          <w:lang w:val="sv-FI"/>
        </w:rPr>
        <w:t>sebagaimana</w:t>
      </w:r>
      <w:r w:rsidR="00A954D0" w:rsidRPr="003255BC">
        <w:rPr>
          <w:rFonts w:ascii="Bookman Old Style" w:hAnsi="Bookman Old Style"/>
          <w:lang w:val="sv-FI"/>
        </w:rPr>
        <w:t xml:space="preserve"> </w:t>
      </w:r>
      <w:r w:rsidRPr="003255BC">
        <w:rPr>
          <w:rFonts w:ascii="Bookman Old Style" w:hAnsi="Bookman Old Style"/>
          <w:lang w:val="sv-FI"/>
        </w:rPr>
        <w:t>maksud</w:t>
      </w:r>
      <w:r w:rsidR="00A954D0" w:rsidRPr="003255BC">
        <w:rPr>
          <w:rFonts w:ascii="Bookman Old Style" w:hAnsi="Bookman Old Style"/>
          <w:lang w:val="sv-FI"/>
        </w:rPr>
        <w:t xml:space="preserve"> </w:t>
      </w:r>
      <w:r w:rsidRPr="003255BC">
        <w:rPr>
          <w:rFonts w:ascii="Bookman Old Style" w:hAnsi="Bookman Old Style"/>
          <w:lang w:val="sv-FI"/>
        </w:rPr>
        <w:t>Pasal</w:t>
      </w:r>
      <w:r w:rsidR="00A954D0" w:rsidRPr="003255BC">
        <w:rPr>
          <w:rFonts w:ascii="Bookman Old Style" w:hAnsi="Bookman Old Style"/>
          <w:lang w:val="sv-FI"/>
        </w:rPr>
        <w:t xml:space="preserve"> </w:t>
      </w:r>
      <w:r w:rsidRPr="003255BC">
        <w:rPr>
          <w:rFonts w:ascii="Bookman Old Style" w:hAnsi="Bookman Old Style"/>
          <w:lang w:val="sv-FI"/>
        </w:rPr>
        <w:t>298</w:t>
      </w:r>
      <w:r w:rsidR="00A954D0" w:rsidRPr="003255BC">
        <w:rPr>
          <w:rFonts w:ascii="Bookman Old Style" w:hAnsi="Bookman Old Style"/>
          <w:lang w:val="sv-FI"/>
        </w:rPr>
        <w:t xml:space="preserve"> </w:t>
      </w:r>
      <w:r w:rsidRPr="003255BC">
        <w:rPr>
          <w:rFonts w:ascii="Bookman Old Style" w:hAnsi="Bookman Old Style"/>
          <w:lang w:val="sv-FI"/>
        </w:rPr>
        <w:t>ayat</w:t>
      </w:r>
      <w:r w:rsidR="00A954D0" w:rsidRPr="003255BC">
        <w:rPr>
          <w:rFonts w:ascii="Bookman Old Style" w:hAnsi="Bookman Old Style"/>
          <w:lang w:val="sv-FI"/>
        </w:rPr>
        <w:t xml:space="preserve"> </w:t>
      </w:r>
      <w:r w:rsidRPr="003255BC">
        <w:rPr>
          <w:rFonts w:ascii="Bookman Old Style" w:hAnsi="Bookman Old Style"/>
          <w:lang w:val="sv-FI"/>
        </w:rPr>
        <w:t>(4)</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ayat</w:t>
      </w:r>
      <w:r w:rsidR="00A954D0" w:rsidRPr="003255BC">
        <w:rPr>
          <w:rFonts w:ascii="Bookman Old Style" w:hAnsi="Bookman Old Style"/>
          <w:lang w:val="sv-FI"/>
        </w:rPr>
        <w:t xml:space="preserve"> </w:t>
      </w:r>
      <w:r w:rsidRPr="003255BC">
        <w:rPr>
          <w:rFonts w:ascii="Bookman Old Style" w:hAnsi="Bookman Old Style"/>
          <w:lang w:val="sv-FI"/>
        </w:rPr>
        <w:t>(5)</w:t>
      </w:r>
      <w:r w:rsidR="00A954D0" w:rsidRPr="003255BC">
        <w:rPr>
          <w:rFonts w:ascii="Bookman Old Style" w:hAnsi="Bookman Old Style"/>
          <w:lang w:val="sv-FI"/>
        </w:rPr>
        <w:t xml:space="preserve"> </w:t>
      </w:r>
      <w:r w:rsidRPr="003255BC">
        <w:rPr>
          <w:rFonts w:ascii="Bookman Old Style" w:hAnsi="Bookman Old Style"/>
          <w:lang w:val="sv-FI"/>
        </w:rPr>
        <w:t>Undang-Undang</w:t>
      </w:r>
      <w:r w:rsidR="00A954D0" w:rsidRPr="003255BC">
        <w:rPr>
          <w:rFonts w:ascii="Bookman Old Style" w:hAnsi="Bookman Old Style"/>
          <w:lang w:val="sv-FI"/>
        </w:rPr>
        <w:t xml:space="preserve"> </w:t>
      </w:r>
      <w:r w:rsidRPr="003255BC">
        <w:rPr>
          <w:rFonts w:ascii="Bookman Old Style" w:hAnsi="Bookman Old Style"/>
          <w:lang w:val="sv-FI"/>
        </w:rPr>
        <w:t>Nomor</w:t>
      </w:r>
      <w:r w:rsidR="00A954D0" w:rsidRPr="003255BC">
        <w:rPr>
          <w:rFonts w:ascii="Bookman Old Style" w:hAnsi="Bookman Old Style"/>
          <w:lang w:val="sv-FI"/>
        </w:rPr>
        <w:t xml:space="preserve"> </w:t>
      </w:r>
      <w:r w:rsidRPr="003255BC">
        <w:rPr>
          <w:rFonts w:ascii="Bookman Old Style" w:hAnsi="Bookman Old Style"/>
          <w:lang w:val="sv-FI"/>
        </w:rPr>
        <w:t>23</w:t>
      </w:r>
      <w:r w:rsidR="00A954D0" w:rsidRPr="003255BC">
        <w:rPr>
          <w:rFonts w:ascii="Bookman Old Style" w:hAnsi="Bookman Old Style"/>
          <w:lang w:val="sv-FI"/>
        </w:rPr>
        <w:t xml:space="preserve"> </w:t>
      </w:r>
      <w:r w:rsidRPr="003255BC">
        <w:rPr>
          <w:rFonts w:ascii="Bookman Old Style" w:hAnsi="Bookman Old Style"/>
          <w:lang w:val="sv-FI"/>
        </w:rPr>
        <w:t>Tahun</w:t>
      </w:r>
      <w:r w:rsidR="00A954D0" w:rsidRPr="003255BC">
        <w:rPr>
          <w:rFonts w:ascii="Bookman Old Style" w:hAnsi="Bookman Old Style"/>
          <w:lang w:val="sv-FI"/>
        </w:rPr>
        <w:t xml:space="preserve"> </w:t>
      </w:r>
      <w:r w:rsidRPr="003255BC">
        <w:rPr>
          <w:rFonts w:ascii="Bookman Old Style" w:hAnsi="Bookman Old Style"/>
          <w:lang w:val="sv-FI"/>
        </w:rPr>
        <w:t>2014,</w:t>
      </w:r>
      <w:r w:rsidR="00A954D0" w:rsidRPr="003255BC">
        <w:rPr>
          <w:rFonts w:ascii="Bookman Old Style" w:hAnsi="Bookman Old Style"/>
          <w:lang w:val="sv-FI"/>
        </w:rPr>
        <w:t xml:space="preserve"> </w:t>
      </w:r>
      <w:r w:rsidRPr="003255BC">
        <w:rPr>
          <w:rFonts w:ascii="Bookman Old Style" w:hAnsi="Bookman Old Style"/>
          <w:lang w:val="sv-FI"/>
        </w:rPr>
        <w:t>sebagaimana</w:t>
      </w:r>
      <w:r w:rsidR="00A954D0" w:rsidRPr="003255BC">
        <w:rPr>
          <w:rFonts w:ascii="Bookman Old Style" w:hAnsi="Bookman Old Style"/>
          <w:lang w:val="sv-FI"/>
        </w:rPr>
        <w:t xml:space="preserve"> </w:t>
      </w:r>
      <w:r w:rsidRPr="003255BC">
        <w:rPr>
          <w:rFonts w:ascii="Bookman Old Style" w:hAnsi="Bookman Old Style"/>
          <w:lang w:val="sv-FI"/>
        </w:rPr>
        <w:t>telah</w:t>
      </w:r>
      <w:r w:rsidR="00A954D0" w:rsidRPr="003255BC">
        <w:rPr>
          <w:rFonts w:ascii="Bookman Old Style" w:hAnsi="Bookman Old Style"/>
          <w:lang w:val="sv-FI"/>
        </w:rPr>
        <w:t xml:space="preserve"> </w:t>
      </w:r>
      <w:r w:rsidRPr="003255BC">
        <w:rPr>
          <w:rFonts w:ascii="Bookman Old Style" w:hAnsi="Bookman Old Style"/>
          <w:lang w:val="sv-FI"/>
        </w:rPr>
        <w:t>diubah</w:t>
      </w:r>
      <w:r w:rsidR="00A954D0" w:rsidRPr="003255BC">
        <w:rPr>
          <w:rFonts w:ascii="Bookman Old Style" w:hAnsi="Bookman Old Style"/>
          <w:lang w:val="sv-FI"/>
        </w:rPr>
        <w:t xml:space="preserve"> </w:t>
      </w:r>
      <w:r w:rsidRPr="003255BC">
        <w:rPr>
          <w:rFonts w:ascii="Bookman Old Style" w:hAnsi="Bookman Old Style"/>
          <w:lang w:val="sv-FI"/>
        </w:rPr>
        <w:t>beberapa</w:t>
      </w:r>
      <w:r w:rsidR="00A954D0" w:rsidRPr="003255BC">
        <w:rPr>
          <w:rFonts w:ascii="Bookman Old Style" w:hAnsi="Bookman Old Style"/>
          <w:lang w:val="sv-FI"/>
        </w:rPr>
        <w:t xml:space="preserve"> </w:t>
      </w:r>
      <w:r w:rsidRPr="003255BC">
        <w:rPr>
          <w:rFonts w:ascii="Bookman Old Style" w:hAnsi="Bookman Old Style"/>
          <w:lang w:val="sv-FI"/>
        </w:rPr>
        <w:t>kali</w:t>
      </w:r>
      <w:r w:rsidR="00A954D0" w:rsidRPr="003255BC">
        <w:rPr>
          <w:rFonts w:ascii="Bookman Old Style" w:hAnsi="Bookman Old Style"/>
          <w:lang w:val="sv-FI"/>
        </w:rPr>
        <w:t xml:space="preserve"> </w:t>
      </w:r>
      <w:r w:rsidRPr="003255BC">
        <w:rPr>
          <w:rFonts w:ascii="Bookman Old Style" w:hAnsi="Bookman Old Style"/>
          <w:lang w:val="sv-FI"/>
        </w:rPr>
        <w:lastRenderedPageBreak/>
        <w:t>terakhir</w:t>
      </w:r>
      <w:r w:rsidR="00A954D0" w:rsidRPr="003255BC">
        <w:rPr>
          <w:rFonts w:ascii="Bookman Old Style" w:hAnsi="Bookman Old Style"/>
          <w:lang w:val="sv-FI"/>
        </w:rPr>
        <w:t xml:space="preserve"> </w:t>
      </w:r>
      <w:r w:rsidRPr="003255BC">
        <w:rPr>
          <w:rFonts w:ascii="Bookman Old Style" w:hAnsi="Bookman Old Style"/>
          <w:lang w:val="sv-FI"/>
        </w:rPr>
        <w:t>dengan</w:t>
      </w:r>
      <w:r w:rsidR="00A954D0" w:rsidRPr="003255BC">
        <w:rPr>
          <w:rFonts w:ascii="Bookman Old Style" w:hAnsi="Bookman Old Style"/>
          <w:lang w:val="sv-FI"/>
        </w:rPr>
        <w:t xml:space="preserve"> </w:t>
      </w:r>
      <w:r w:rsidRPr="003255BC">
        <w:rPr>
          <w:rFonts w:ascii="Bookman Old Style" w:hAnsi="Bookman Old Style"/>
          <w:lang w:val="sv-FI"/>
        </w:rPr>
        <w:t>Undang-Undang</w:t>
      </w:r>
      <w:r w:rsidR="00A954D0" w:rsidRPr="003255BC">
        <w:rPr>
          <w:rFonts w:ascii="Bookman Old Style" w:hAnsi="Bookman Old Style"/>
          <w:lang w:val="sv-FI"/>
        </w:rPr>
        <w:t xml:space="preserve"> </w:t>
      </w:r>
      <w:r w:rsidRPr="003255BC">
        <w:rPr>
          <w:rFonts w:ascii="Bookman Old Style" w:hAnsi="Bookman Old Style"/>
          <w:lang w:val="sv-FI"/>
        </w:rPr>
        <w:t>Nomor</w:t>
      </w:r>
      <w:r w:rsidR="00A954D0" w:rsidRPr="003255BC">
        <w:rPr>
          <w:rFonts w:ascii="Bookman Old Style" w:hAnsi="Bookman Old Style"/>
          <w:lang w:val="sv-FI"/>
        </w:rPr>
        <w:t xml:space="preserve"> </w:t>
      </w:r>
      <w:r w:rsidRPr="003255BC">
        <w:rPr>
          <w:rFonts w:ascii="Bookman Old Style" w:hAnsi="Bookman Old Style"/>
          <w:lang w:val="sv-FI"/>
        </w:rPr>
        <w:t>6</w:t>
      </w:r>
      <w:r w:rsidR="00A954D0" w:rsidRPr="003255BC">
        <w:rPr>
          <w:rFonts w:ascii="Bookman Old Style" w:hAnsi="Bookman Old Style"/>
          <w:lang w:val="sv-FI"/>
        </w:rPr>
        <w:t xml:space="preserve"> </w:t>
      </w:r>
      <w:r w:rsidRPr="003255BC">
        <w:rPr>
          <w:rFonts w:ascii="Bookman Old Style" w:hAnsi="Bookman Old Style"/>
          <w:lang w:val="sv-FI"/>
        </w:rPr>
        <w:t>Tahun</w:t>
      </w:r>
      <w:r w:rsidR="00A954D0" w:rsidRPr="003255BC">
        <w:rPr>
          <w:rFonts w:ascii="Bookman Old Style" w:hAnsi="Bookman Old Style"/>
          <w:lang w:val="sv-FI"/>
        </w:rPr>
        <w:t xml:space="preserve"> </w:t>
      </w:r>
      <w:r w:rsidRPr="003255BC">
        <w:rPr>
          <w:rFonts w:ascii="Bookman Old Style" w:hAnsi="Bookman Old Style"/>
          <w:lang w:val="sv-FI"/>
        </w:rPr>
        <w:t>2023,</w:t>
      </w:r>
      <w:r w:rsidR="00A954D0" w:rsidRPr="003255BC">
        <w:rPr>
          <w:rFonts w:ascii="Bookman Old Style" w:hAnsi="Bookman Old Style"/>
          <w:lang w:val="sv-FI"/>
        </w:rPr>
        <w:t xml:space="preserve"> </w:t>
      </w:r>
      <w:r w:rsidRPr="003255BC">
        <w:rPr>
          <w:rFonts w:ascii="Bookman Old Style" w:hAnsi="Bookman Old Style"/>
          <w:lang w:val="sv-FI"/>
        </w:rPr>
        <w:t>Peraturan</w:t>
      </w:r>
      <w:r w:rsidR="00A954D0" w:rsidRPr="003255BC">
        <w:rPr>
          <w:rFonts w:ascii="Bookman Old Style" w:hAnsi="Bookman Old Style"/>
          <w:lang w:val="sv-FI"/>
        </w:rPr>
        <w:t xml:space="preserve"> </w:t>
      </w:r>
      <w:r w:rsidRPr="003255BC">
        <w:rPr>
          <w:rFonts w:ascii="Bookman Old Style" w:hAnsi="Bookman Old Style"/>
          <w:lang w:val="sv-FI"/>
        </w:rPr>
        <w:t>Pemerintah</w:t>
      </w:r>
      <w:r w:rsidR="00A954D0" w:rsidRPr="003255BC">
        <w:rPr>
          <w:rFonts w:ascii="Bookman Old Style" w:hAnsi="Bookman Old Style"/>
          <w:lang w:val="sv-FI"/>
        </w:rPr>
        <w:t xml:space="preserve"> </w:t>
      </w:r>
      <w:r w:rsidRPr="003255BC">
        <w:rPr>
          <w:rFonts w:ascii="Bookman Old Style" w:hAnsi="Bookman Old Style"/>
          <w:lang w:val="sv-FI"/>
        </w:rPr>
        <w:t>Nomor</w:t>
      </w:r>
      <w:r w:rsidR="00A954D0" w:rsidRPr="003255BC">
        <w:rPr>
          <w:rFonts w:ascii="Bookman Old Style" w:hAnsi="Bookman Old Style"/>
          <w:lang w:val="sv-FI"/>
        </w:rPr>
        <w:t xml:space="preserve"> </w:t>
      </w:r>
      <w:r w:rsidRPr="003255BC">
        <w:rPr>
          <w:rFonts w:ascii="Bookman Old Style" w:hAnsi="Bookman Old Style"/>
          <w:lang w:val="sv-FI"/>
        </w:rPr>
        <w:t>2</w:t>
      </w:r>
      <w:r w:rsidR="00A954D0" w:rsidRPr="003255BC">
        <w:rPr>
          <w:rFonts w:ascii="Bookman Old Style" w:hAnsi="Bookman Old Style"/>
          <w:lang w:val="sv-FI"/>
        </w:rPr>
        <w:t xml:space="preserve"> </w:t>
      </w:r>
      <w:r w:rsidRPr="003255BC">
        <w:rPr>
          <w:rFonts w:ascii="Bookman Old Style" w:hAnsi="Bookman Old Style"/>
          <w:lang w:val="sv-FI"/>
        </w:rPr>
        <w:t>Tahun</w:t>
      </w:r>
      <w:r w:rsidR="00A954D0" w:rsidRPr="003255BC">
        <w:rPr>
          <w:rFonts w:ascii="Bookman Old Style" w:hAnsi="Bookman Old Style"/>
          <w:lang w:val="sv-FI"/>
        </w:rPr>
        <w:t xml:space="preserve"> </w:t>
      </w:r>
      <w:r w:rsidRPr="003255BC">
        <w:rPr>
          <w:rFonts w:ascii="Bookman Old Style" w:hAnsi="Bookman Old Style"/>
          <w:lang w:val="sv-FI"/>
        </w:rPr>
        <w:t>2012,</w:t>
      </w:r>
      <w:r w:rsidR="00A954D0" w:rsidRPr="003255BC">
        <w:rPr>
          <w:rFonts w:ascii="Bookman Old Style" w:hAnsi="Bookman Old Style"/>
          <w:lang w:val="sv-FI"/>
        </w:rPr>
        <w:t xml:space="preserve"> </w:t>
      </w:r>
      <w:r w:rsidRPr="003255BC">
        <w:rPr>
          <w:rFonts w:ascii="Bookman Old Style" w:hAnsi="Bookman Old Style"/>
          <w:lang w:val="sv-FI"/>
        </w:rPr>
        <w:t>Pasal</w:t>
      </w:r>
      <w:r w:rsidR="00A954D0" w:rsidRPr="003255BC">
        <w:rPr>
          <w:rFonts w:ascii="Bookman Old Style" w:hAnsi="Bookman Old Style"/>
          <w:lang w:val="sv-FI"/>
        </w:rPr>
        <w:t xml:space="preserve"> </w:t>
      </w:r>
      <w:r w:rsidRPr="003255BC">
        <w:rPr>
          <w:rFonts w:ascii="Bookman Old Style" w:hAnsi="Bookman Old Style"/>
          <w:lang w:val="sv-FI"/>
        </w:rPr>
        <w:t>62</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Pasal</w:t>
      </w:r>
      <w:r w:rsidR="00A954D0" w:rsidRPr="003255BC">
        <w:rPr>
          <w:rFonts w:ascii="Bookman Old Style" w:hAnsi="Bookman Old Style"/>
          <w:lang w:val="sv-FI"/>
        </w:rPr>
        <w:t xml:space="preserve"> </w:t>
      </w:r>
      <w:r w:rsidRPr="003255BC">
        <w:rPr>
          <w:rFonts w:ascii="Bookman Old Style" w:hAnsi="Bookman Old Style"/>
          <w:lang w:val="sv-FI"/>
        </w:rPr>
        <w:t>63</w:t>
      </w:r>
      <w:r w:rsidR="00A954D0" w:rsidRPr="003255BC">
        <w:rPr>
          <w:rFonts w:ascii="Bookman Old Style" w:hAnsi="Bookman Old Style"/>
          <w:lang w:val="sv-FI"/>
        </w:rPr>
        <w:t xml:space="preserve"> </w:t>
      </w:r>
      <w:r w:rsidRPr="003255BC">
        <w:rPr>
          <w:rFonts w:ascii="Bookman Old Style" w:hAnsi="Bookman Old Style"/>
          <w:lang w:val="sv-FI"/>
        </w:rPr>
        <w:t>Peraturan</w:t>
      </w:r>
      <w:r w:rsidR="00A954D0" w:rsidRPr="003255BC">
        <w:rPr>
          <w:rFonts w:ascii="Bookman Old Style" w:hAnsi="Bookman Old Style"/>
          <w:lang w:val="sv-FI"/>
        </w:rPr>
        <w:t xml:space="preserve"> </w:t>
      </w:r>
      <w:r w:rsidRPr="003255BC">
        <w:rPr>
          <w:rFonts w:ascii="Bookman Old Style" w:hAnsi="Bookman Old Style"/>
          <w:lang w:val="sv-FI"/>
        </w:rPr>
        <w:t>Pemerintah</w:t>
      </w:r>
      <w:r w:rsidR="00A954D0" w:rsidRPr="003255BC">
        <w:rPr>
          <w:rFonts w:ascii="Bookman Old Style" w:hAnsi="Bookman Old Style"/>
          <w:lang w:val="sv-FI"/>
        </w:rPr>
        <w:t xml:space="preserve"> </w:t>
      </w:r>
      <w:r w:rsidRPr="003255BC">
        <w:rPr>
          <w:rFonts w:ascii="Bookman Old Style" w:hAnsi="Bookman Old Style"/>
          <w:lang w:val="sv-FI"/>
        </w:rPr>
        <w:t>Nomor</w:t>
      </w:r>
      <w:r w:rsidR="00A954D0" w:rsidRPr="003255BC">
        <w:rPr>
          <w:rFonts w:ascii="Bookman Old Style" w:hAnsi="Bookman Old Style"/>
          <w:lang w:val="sv-FI"/>
        </w:rPr>
        <w:t xml:space="preserve"> </w:t>
      </w:r>
      <w:r w:rsidRPr="003255BC">
        <w:rPr>
          <w:rFonts w:ascii="Bookman Old Style" w:hAnsi="Bookman Old Style"/>
          <w:lang w:val="sv-FI"/>
        </w:rPr>
        <w:t>12</w:t>
      </w:r>
      <w:r w:rsidR="00A954D0" w:rsidRPr="003255BC">
        <w:rPr>
          <w:rFonts w:ascii="Bookman Old Style" w:hAnsi="Bookman Old Style"/>
          <w:lang w:val="sv-FI"/>
        </w:rPr>
        <w:t xml:space="preserve"> </w:t>
      </w:r>
      <w:r w:rsidRPr="003255BC">
        <w:rPr>
          <w:rFonts w:ascii="Bookman Old Style" w:hAnsi="Bookman Old Style"/>
          <w:lang w:val="sv-FI"/>
        </w:rPr>
        <w:t>Tahun</w:t>
      </w:r>
      <w:r w:rsidR="00A954D0" w:rsidRPr="003255BC">
        <w:rPr>
          <w:rFonts w:ascii="Bookman Old Style" w:hAnsi="Bookman Old Style"/>
          <w:lang w:val="sv-FI"/>
        </w:rPr>
        <w:t xml:space="preserve"> </w:t>
      </w:r>
      <w:r w:rsidRPr="003255BC">
        <w:rPr>
          <w:rFonts w:ascii="Bookman Old Style" w:hAnsi="Bookman Old Style"/>
          <w:lang w:val="sv-FI"/>
        </w:rPr>
        <w:t>2019</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butir</w:t>
      </w:r>
      <w:r w:rsidR="00A954D0" w:rsidRPr="003255BC">
        <w:rPr>
          <w:rFonts w:ascii="Bookman Old Style" w:hAnsi="Bookman Old Style"/>
          <w:lang w:val="sv-FI"/>
        </w:rPr>
        <w:t xml:space="preserve"> </w:t>
      </w:r>
      <w:r w:rsidRPr="003255BC">
        <w:rPr>
          <w:rFonts w:ascii="Bookman Old Style" w:hAnsi="Bookman Old Style"/>
          <w:lang w:val="sv-FI"/>
        </w:rPr>
        <w:t>3.4.1.6</w:t>
      </w:r>
      <w:r w:rsidR="00A954D0" w:rsidRPr="003255BC">
        <w:rPr>
          <w:rFonts w:ascii="Bookman Old Style" w:hAnsi="Bookman Old Style"/>
          <w:lang w:val="sv-FI"/>
        </w:rPr>
        <w:t xml:space="preserve"> </w:t>
      </w:r>
      <w:r w:rsidRPr="003255BC">
        <w:rPr>
          <w:rFonts w:ascii="Bookman Old Style" w:hAnsi="Bookman Old Style"/>
          <w:lang w:val="sv-FI"/>
        </w:rPr>
        <w:t>Lampiran</w:t>
      </w:r>
      <w:r w:rsidR="00A954D0" w:rsidRPr="003255BC">
        <w:rPr>
          <w:rFonts w:ascii="Bookman Old Style" w:hAnsi="Bookman Old Style"/>
          <w:lang w:val="sv-FI"/>
        </w:rPr>
        <w:t xml:space="preserve"> </w:t>
      </w:r>
      <w:r w:rsidRPr="003255BC">
        <w:rPr>
          <w:rFonts w:ascii="Bookman Old Style" w:hAnsi="Bookman Old Style"/>
          <w:lang w:val="sv-FI"/>
        </w:rPr>
        <w:t>Peraturan</w:t>
      </w:r>
      <w:r w:rsidR="00A954D0" w:rsidRPr="003255BC">
        <w:rPr>
          <w:rFonts w:ascii="Bookman Old Style" w:hAnsi="Bookman Old Style"/>
          <w:lang w:val="sv-FI"/>
        </w:rPr>
        <w:t xml:space="preserve"> </w:t>
      </w:r>
      <w:r w:rsidRPr="003255BC">
        <w:rPr>
          <w:rFonts w:ascii="Bookman Old Style" w:hAnsi="Bookman Old Style"/>
          <w:lang w:val="sv-FI"/>
        </w:rPr>
        <w:t>Menteri</w:t>
      </w:r>
      <w:r w:rsidR="00A954D0" w:rsidRPr="003255BC">
        <w:rPr>
          <w:rFonts w:ascii="Bookman Old Style" w:hAnsi="Bookman Old Style"/>
          <w:lang w:val="sv-FI"/>
        </w:rPr>
        <w:t xml:space="preserve"> </w:t>
      </w:r>
      <w:r w:rsidRPr="003255BC">
        <w:rPr>
          <w:rFonts w:ascii="Bookman Old Style" w:hAnsi="Bookman Old Style"/>
          <w:lang w:val="sv-FI"/>
        </w:rPr>
        <w:t>Dalam</w:t>
      </w:r>
      <w:r w:rsidR="00A954D0" w:rsidRPr="003255BC">
        <w:rPr>
          <w:rFonts w:ascii="Bookman Old Style" w:hAnsi="Bookman Old Style"/>
          <w:lang w:val="sv-FI"/>
        </w:rPr>
        <w:t xml:space="preserve"> </w:t>
      </w:r>
      <w:r w:rsidRPr="003255BC">
        <w:rPr>
          <w:rFonts w:ascii="Bookman Old Style" w:hAnsi="Bookman Old Style"/>
          <w:lang w:val="sv-FI"/>
        </w:rPr>
        <w:t>Negeri</w:t>
      </w:r>
      <w:r w:rsidR="00A954D0" w:rsidRPr="003255BC">
        <w:rPr>
          <w:rFonts w:ascii="Bookman Old Style" w:hAnsi="Bookman Old Style"/>
          <w:lang w:val="sv-FI"/>
        </w:rPr>
        <w:t xml:space="preserve"> </w:t>
      </w:r>
      <w:r w:rsidRPr="003255BC">
        <w:rPr>
          <w:rFonts w:ascii="Bookman Old Style" w:hAnsi="Bookman Old Style"/>
          <w:lang w:val="sv-FI"/>
        </w:rPr>
        <w:t>Nomor</w:t>
      </w:r>
      <w:r w:rsidR="00A954D0" w:rsidRPr="003255BC">
        <w:rPr>
          <w:rFonts w:ascii="Bookman Old Style" w:hAnsi="Bookman Old Style"/>
          <w:lang w:val="sv-FI"/>
        </w:rPr>
        <w:t xml:space="preserve"> </w:t>
      </w:r>
      <w:r w:rsidRPr="003255BC">
        <w:rPr>
          <w:rFonts w:ascii="Bookman Old Style" w:hAnsi="Bookman Old Style"/>
          <w:lang w:val="sv-FI"/>
        </w:rPr>
        <w:t>15</w:t>
      </w:r>
      <w:r w:rsidR="00A954D0" w:rsidRPr="003255BC">
        <w:rPr>
          <w:rFonts w:ascii="Bookman Old Style" w:hAnsi="Bookman Old Style"/>
          <w:lang w:val="sv-FI"/>
        </w:rPr>
        <w:t xml:space="preserve"> </w:t>
      </w:r>
      <w:r w:rsidRPr="003255BC">
        <w:rPr>
          <w:rFonts w:ascii="Bookman Old Style" w:hAnsi="Bookman Old Style"/>
          <w:lang w:val="sv-FI"/>
        </w:rPr>
        <w:t>Tahun</w:t>
      </w:r>
      <w:r w:rsidR="00A954D0" w:rsidRPr="003255BC">
        <w:rPr>
          <w:rFonts w:ascii="Bookman Old Style" w:hAnsi="Bookman Old Style"/>
          <w:lang w:val="sv-FI"/>
        </w:rPr>
        <w:t xml:space="preserve"> </w:t>
      </w:r>
      <w:r w:rsidRPr="003255BC">
        <w:rPr>
          <w:rFonts w:ascii="Bookman Old Style" w:hAnsi="Bookman Old Style"/>
          <w:lang w:val="sv-FI"/>
        </w:rPr>
        <w:t>2024.</w:t>
      </w:r>
    </w:p>
    <w:p w14:paraId="4E7C75D7" w14:textId="1684D985" w:rsidR="0004728E" w:rsidRPr="003255BC" w:rsidRDefault="0004728E" w:rsidP="00B8428D">
      <w:pPr>
        <w:spacing w:before="60" w:line="276" w:lineRule="auto"/>
        <w:ind w:left="1701"/>
        <w:jc w:val="both"/>
        <w:rPr>
          <w:rFonts w:ascii="Bookman Old Style" w:hAnsi="Bookman Old Style"/>
          <w:lang w:val="sv-FI"/>
        </w:rPr>
      </w:pPr>
      <w:r w:rsidRPr="003255BC">
        <w:rPr>
          <w:rFonts w:ascii="Bookman Old Style" w:hAnsi="Bookman Old Style"/>
          <w:lang w:val="sv-FI"/>
        </w:rPr>
        <w:t>Pelaksanaan</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pertanggungjawabannya</w:t>
      </w:r>
      <w:r w:rsidR="00A954D0" w:rsidRPr="003255BC">
        <w:rPr>
          <w:rFonts w:ascii="Bookman Old Style" w:hAnsi="Bookman Old Style"/>
          <w:lang w:val="sv-FI"/>
        </w:rPr>
        <w:t xml:space="preserve"> </w:t>
      </w:r>
      <w:r w:rsidRPr="003255BC">
        <w:rPr>
          <w:rFonts w:ascii="Bookman Old Style" w:hAnsi="Bookman Old Style"/>
          <w:lang w:val="sv-FI"/>
        </w:rPr>
        <w:t>harus</w:t>
      </w:r>
      <w:r w:rsidR="00A954D0" w:rsidRPr="003255BC">
        <w:rPr>
          <w:rFonts w:ascii="Bookman Old Style" w:hAnsi="Bookman Old Style"/>
          <w:lang w:val="sv-FI"/>
        </w:rPr>
        <w:t xml:space="preserve"> </w:t>
      </w:r>
      <w:r w:rsidRPr="003255BC">
        <w:rPr>
          <w:rFonts w:ascii="Bookman Old Style" w:hAnsi="Bookman Old Style"/>
          <w:lang w:val="sv-FI"/>
        </w:rPr>
        <w:t>dijamin</w:t>
      </w:r>
      <w:r w:rsidR="00A954D0" w:rsidRPr="003255BC">
        <w:rPr>
          <w:rFonts w:ascii="Bookman Old Style" w:hAnsi="Bookman Old Style"/>
          <w:lang w:val="sv-FI"/>
        </w:rPr>
        <w:t xml:space="preserve"> </w:t>
      </w:r>
      <w:r w:rsidRPr="003255BC">
        <w:rPr>
          <w:rFonts w:ascii="Bookman Old Style" w:hAnsi="Bookman Old Style"/>
          <w:lang w:val="sv-FI"/>
        </w:rPr>
        <w:t>efektivitas</w:t>
      </w:r>
      <w:r w:rsidR="00A954D0" w:rsidRPr="003255BC">
        <w:rPr>
          <w:rFonts w:ascii="Bookman Old Style" w:hAnsi="Bookman Old Style"/>
          <w:lang w:val="sv-FI"/>
        </w:rPr>
        <w:t xml:space="preserve"> </w:t>
      </w:r>
      <w:r w:rsidRPr="003255BC">
        <w:rPr>
          <w:rFonts w:ascii="Bookman Old Style" w:hAnsi="Bookman Old Style"/>
          <w:lang w:val="sv-FI"/>
        </w:rPr>
        <w:t>kebenaran</w:t>
      </w:r>
      <w:r w:rsidR="00A954D0" w:rsidRPr="003255BC">
        <w:rPr>
          <w:rFonts w:ascii="Bookman Old Style" w:hAnsi="Bookman Old Style"/>
          <w:lang w:val="sv-FI"/>
        </w:rPr>
        <w:t xml:space="preserve"> </w:t>
      </w:r>
      <w:r w:rsidRPr="003255BC">
        <w:rPr>
          <w:rFonts w:ascii="Bookman Old Style" w:hAnsi="Bookman Old Style"/>
          <w:lang w:val="sv-FI"/>
        </w:rPr>
        <w:t>tujuan</w:t>
      </w:r>
      <w:r w:rsidR="00A954D0" w:rsidRPr="003255BC">
        <w:rPr>
          <w:rFonts w:ascii="Bookman Old Style" w:hAnsi="Bookman Old Style"/>
          <w:lang w:val="sv-FI"/>
        </w:rPr>
        <w:t xml:space="preserve"> </w:t>
      </w:r>
      <w:r w:rsidRPr="003255BC">
        <w:rPr>
          <w:rFonts w:ascii="Bookman Old Style" w:hAnsi="Bookman Old Style"/>
          <w:lang w:val="sv-FI"/>
        </w:rPr>
        <w:t>dari</w:t>
      </w:r>
      <w:r w:rsidR="00A954D0" w:rsidRPr="003255BC">
        <w:rPr>
          <w:rFonts w:ascii="Bookman Old Style" w:hAnsi="Bookman Old Style"/>
          <w:lang w:val="sv-FI"/>
        </w:rPr>
        <w:t xml:space="preserve"> </w:t>
      </w:r>
      <w:r w:rsidRPr="003255BC">
        <w:rPr>
          <w:rFonts w:ascii="Bookman Old Style" w:hAnsi="Bookman Old Style"/>
          <w:lang w:val="sv-FI"/>
        </w:rPr>
        <w:t>penyediaan</w:t>
      </w:r>
      <w:r w:rsidR="00A954D0" w:rsidRPr="003255BC">
        <w:rPr>
          <w:rFonts w:ascii="Bookman Old Style" w:hAnsi="Bookman Old Style"/>
          <w:lang w:val="sv-FI"/>
        </w:rPr>
        <w:t xml:space="preserve"> </w:t>
      </w:r>
      <w:r w:rsidRPr="003255BC">
        <w:rPr>
          <w:rFonts w:ascii="Bookman Old Style" w:hAnsi="Bookman Old Style"/>
          <w:lang w:val="sv-FI"/>
        </w:rPr>
        <w:t>anggaran</w:t>
      </w:r>
      <w:r w:rsidR="00A954D0" w:rsidRPr="003255BC">
        <w:rPr>
          <w:rFonts w:ascii="Bookman Old Style" w:hAnsi="Bookman Old Style"/>
          <w:lang w:val="sv-FI"/>
        </w:rPr>
        <w:t xml:space="preserve"> </w:t>
      </w:r>
      <w:r w:rsidRPr="003255BC">
        <w:rPr>
          <w:rFonts w:ascii="Bookman Old Style" w:hAnsi="Bookman Old Style"/>
          <w:lang w:val="sv-FI"/>
        </w:rPr>
        <w:t>dimaksud</w:t>
      </w:r>
      <w:r w:rsidR="00A954D0" w:rsidRPr="003255BC">
        <w:rPr>
          <w:rFonts w:ascii="Bookman Old Style" w:hAnsi="Bookman Old Style"/>
          <w:lang w:val="sv-FI"/>
        </w:rPr>
        <w:t xml:space="preserve"> </w:t>
      </w:r>
      <w:r w:rsidRPr="003255BC">
        <w:rPr>
          <w:rFonts w:ascii="Bookman Old Style" w:hAnsi="Bookman Old Style"/>
          <w:lang w:val="sv-FI"/>
        </w:rPr>
        <w:t>melalui</w:t>
      </w:r>
      <w:r w:rsidR="00A954D0" w:rsidRPr="003255BC">
        <w:rPr>
          <w:rFonts w:ascii="Bookman Old Style" w:hAnsi="Bookman Old Style"/>
          <w:lang w:val="sv-FI"/>
        </w:rPr>
        <w:t xml:space="preserve"> </w:t>
      </w:r>
      <w:r w:rsidRPr="003255BC">
        <w:rPr>
          <w:rFonts w:ascii="Bookman Old Style" w:hAnsi="Bookman Old Style"/>
          <w:lang w:val="sv-FI"/>
        </w:rPr>
        <w:t>serangkaian</w:t>
      </w:r>
      <w:r w:rsidR="00A954D0" w:rsidRPr="003255BC">
        <w:rPr>
          <w:rFonts w:ascii="Bookman Old Style" w:hAnsi="Bookman Old Style"/>
          <w:lang w:val="sv-FI"/>
        </w:rPr>
        <w:t xml:space="preserve"> </w:t>
      </w:r>
      <w:r w:rsidRPr="003255BC">
        <w:rPr>
          <w:rFonts w:ascii="Bookman Old Style" w:hAnsi="Bookman Old Style"/>
          <w:lang w:val="sv-FI"/>
        </w:rPr>
        <w:t>proses</w:t>
      </w:r>
      <w:r w:rsidR="00A954D0" w:rsidRPr="003255BC">
        <w:rPr>
          <w:rFonts w:ascii="Bookman Old Style" w:hAnsi="Bookman Old Style"/>
          <w:lang w:val="sv-FI"/>
        </w:rPr>
        <w:t xml:space="preserve"> </w:t>
      </w:r>
      <w:r w:rsidRPr="003255BC">
        <w:rPr>
          <w:rFonts w:ascii="Bookman Old Style" w:hAnsi="Bookman Old Style"/>
          <w:lang w:val="sv-FI"/>
        </w:rPr>
        <w:t>evaluasi</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rekomendasi</w:t>
      </w:r>
      <w:r w:rsidR="00A954D0" w:rsidRPr="003255BC">
        <w:rPr>
          <w:rFonts w:ascii="Bookman Old Style" w:hAnsi="Bookman Old Style"/>
          <w:lang w:val="sv-FI"/>
        </w:rPr>
        <w:t xml:space="preserve"> </w:t>
      </w:r>
      <w:r w:rsidRPr="003255BC">
        <w:rPr>
          <w:rFonts w:ascii="Bookman Old Style" w:hAnsi="Bookman Old Style"/>
          <w:lang w:val="sv-FI"/>
        </w:rPr>
        <w:t>dari</w:t>
      </w:r>
      <w:r w:rsidR="00A954D0" w:rsidRPr="003255BC">
        <w:rPr>
          <w:rFonts w:ascii="Bookman Old Style" w:hAnsi="Bookman Old Style"/>
          <w:lang w:val="sv-FI"/>
        </w:rPr>
        <w:t xml:space="preserve"> </w:t>
      </w:r>
      <w:r w:rsidRPr="003255BC">
        <w:rPr>
          <w:rFonts w:ascii="Bookman Old Style" w:hAnsi="Bookman Old Style"/>
          <w:lang w:val="sv-FI"/>
        </w:rPr>
        <w:t>Kepala</w:t>
      </w:r>
      <w:r w:rsidR="00A954D0" w:rsidRPr="003255BC">
        <w:rPr>
          <w:rFonts w:ascii="Bookman Old Style" w:hAnsi="Bookman Old Style"/>
          <w:lang w:val="sv-FI"/>
        </w:rPr>
        <w:t xml:space="preserve"> </w:t>
      </w:r>
      <w:r w:rsidRPr="003255BC">
        <w:rPr>
          <w:rFonts w:ascii="Bookman Old Style" w:hAnsi="Bookman Old Style"/>
          <w:lang w:val="sv-FI"/>
        </w:rPr>
        <w:t>Perangkat</w:t>
      </w:r>
      <w:r w:rsidR="00A954D0" w:rsidRPr="003255BC">
        <w:rPr>
          <w:rFonts w:ascii="Bookman Old Style" w:hAnsi="Bookman Old Style"/>
          <w:lang w:val="sv-FI"/>
        </w:rPr>
        <w:t xml:space="preserve"> </w:t>
      </w:r>
      <w:r w:rsidRPr="003255BC">
        <w:rPr>
          <w:rFonts w:ascii="Bookman Old Style" w:hAnsi="Bookman Old Style"/>
          <w:lang w:val="sv-FI"/>
        </w:rPr>
        <w:t>Daerah</w:t>
      </w:r>
      <w:r w:rsidR="00A954D0" w:rsidRPr="003255BC">
        <w:rPr>
          <w:rFonts w:ascii="Bookman Old Style" w:hAnsi="Bookman Old Style"/>
          <w:lang w:val="sv-FI"/>
        </w:rPr>
        <w:t xml:space="preserve"> </w:t>
      </w:r>
      <w:r w:rsidRPr="003255BC">
        <w:rPr>
          <w:rFonts w:ascii="Bookman Old Style" w:hAnsi="Bookman Old Style"/>
          <w:lang w:val="sv-FI"/>
        </w:rPr>
        <w:t>berkenaan</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pertimbangan</w:t>
      </w:r>
      <w:r w:rsidR="00A954D0" w:rsidRPr="003255BC">
        <w:rPr>
          <w:rFonts w:ascii="Bookman Old Style" w:hAnsi="Bookman Old Style"/>
          <w:lang w:val="sv-FI"/>
        </w:rPr>
        <w:t xml:space="preserve"> </w:t>
      </w:r>
      <w:r w:rsidRPr="003255BC">
        <w:rPr>
          <w:rFonts w:ascii="Bookman Old Style" w:hAnsi="Bookman Old Style"/>
          <w:lang w:val="sv-FI"/>
        </w:rPr>
        <w:t>TAPD</w:t>
      </w:r>
      <w:r w:rsidR="00A954D0" w:rsidRPr="003255BC">
        <w:rPr>
          <w:rFonts w:ascii="Bookman Old Style" w:hAnsi="Bookman Old Style"/>
          <w:lang w:val="sv-FI"/>
        </w:rPr>
        <w:t xml:space="preserve"> </w:t>
      </w:r>
      <w:r w:rsidRPr="003255BC">
        <w:rPr>
          <w:rFonts w:ascii="Bookman Old Style" w:hAnsi="Bookman Old Style"/>
          <w:lang w:val="sv-FI"/>
        </w:rPr>
        <w:t>serta</w:t>
      </w:r>
      <w:r w:rsidR="00A954D0" w:rsidRPr="003255BC">
        <w:rPr>
          <w:rFonts w:ascii="Bookman Old Style" w:hAnsi="Bookman Old Style"/>
          <w:lang w:val="sv-FI"/>
        </w:rPr>
        <w:t xml:space="preserve"> </w:t>
      </w:r>
      <w:r w:rsidRPr="003255BC">
        <w:rPr>
          <w:rFonts w:ascii="Bookman Old Style" w:hAnsi="Bookman Old Style"/>
          <w:lang w:val="sv-FI"/>
        </w:rPr>
        <w:t>berhenti</w:t>
      </w:r>
      <w:r w:rsidR="00A954D0" w:rsidRPr="003255BC">
        <w:rPr>
          <w:rFonts w:ascii="Bookman Old Style" w:hAnsi="Bookman Old Style"/>
          <w:lang w:val="sv-FI"/>
        </w:rPr>
        <w:t xml:space="preserve"> </w:t>
      </w:r>
      <w:r w:rsidRPr="003255BC">
        <w:rPr>
          <w:rFonts w:ascii="Bookman Old Style" w:hAnsi="Bookman Old Style"/>
          <w:lang w:val="sv-FI"/>
        </w:rPr>
        <w:t>di</w:t>
      </w:r>
      <w:r w:rsidR="00A954D0" w:rsidRPr="003255BC">
        <w:rPr>
          <w:rFonts w:ascii="Bookman Old Style" w:hAnsi="Bookman Old Style"/>
          <w:lang w:val="sv-FI"/>
        </w:rPr>
        <w:t xml:space="preserve"> </w:t>
      </w:r>
      <w:r w:rsidRPr="003255BC">
        <w:rPr>
          <w:rFonts w:ascii="Bookman Old Style" w:hAnsi="Bookman Old Style"/>
          <w:lang w:val="sv-FI"/>
        </w:rPr>
        <w:t>RKPD</w:t>
      </w:r>
      <w:r w:rsidR="00A954D0" w:rsidRPr="003255BC">
        <w:rPr>
          <w:rFonts w:ascii="Bookman Old Style" w:hAnsi="Bookman Old Style"/>
          <w:lang w:val="sv-FI"/>
        </w:rPr>
        <w:t xml:space="preserve"> </w:t>
      </w:r>
      <w:r w:rsidRPr="003255BC">
        <w:rPr>
          <w:rFonts w:ascii="Bookman Old Style" w:hAnsi="Bookman Old Style"/>
          <w:lang w:val="sv-FI"/>
        </w:rPr>
        <w:t>Tahun</w:t>
      </w:r>
      <w:r w:rsidR="00A954D0" w:rsidRPr="003255BC">
        <w:rPr>
          <w:rFonts w:ascii="Bookman Old Style" w:hAnsi="Bookman Old Style"/>
          <w:lang w:val="sv-FI"/>
        </w:rPr>
        <w:t xml:space="preserve"> </w:t>
      </w:r>
      <w:r w:rsidRPr="003255BC">
        <w:rPr>
          <w:rFonts w:ascii="Bookman Old Style" w:hAnsi="Bookman Old Style"/>
          <w:lang w:val="sv-FI"/>
        </w:rPr>
        <w:t>Anggaran</w:t>
      </w:r>
      <w:r w:rsidR="00A954D0" w:rsidRPr="003255BC">
        <w:rPr>
          <w:rFonts w:ascii="Bookman Old Style" w:hAnsi="Bookman Old Style"/>
          <w:lang w:val="sv-FI"/>
        </w:rPr>
        <w:t xml:space="preserve"> </w:t>
      </w:r>
      <w:r w:rsidRPr="003255BC">
        <w:rPr>
          <w:rFonts w:ascii="Bookman Old Style" w:hAnsi="Bookman Old Style"/>
          <w:lang w:val="sv-FI"/>
        </w:rPr>
        <w:t>2025,</w:t>
      </w:r>
      <w:r w:rsidR="00A954D0" w:rsidRPr="003255BC">
        <w:rPr>
          <w:rFonts w:ascii="Bookman Old Style" w:hAnsi="Bookman Old Style"/>
          <w:lang w:val="sv-FI"/>
        </w:rPr>
        <w:t xml:space="preserve"> </w:t>
      </w:r>
      <w:r w:rsidRPr="003255BC">
        <w:rPr>
          <w:rFonts w:ascii="Bookman Old Style" w:hAnsi="Bookman Old Style"/>
          <w:lang w:val="sv-FI"/>
        </w:rPr>
        <w:t>sehingga</w:t>
      </w:r>
      <w:r w:rsidR="00A954D0" w:rsidRPr="003255BC">
        <w:rPr>
          <w:rFonts w:ascii="Bookman Old Style" w:hAnsi="Bookman Old Style"/>
          <w:lang w:val="sv-FI"/>
        </w:rPr>
        <w:t xml:space="preserve"> </w:t>
      </w:r>
      <w:r w:rsidRPr="003255BC">
        <w:rPr>
          <w:rFonts w:ascii="Bookman Old Style" w:hAnsi="Bookman Old Style"/>
          <w:lang w:val="sv-FI"/>
        </w:rPr>
        <w:t>penyediaan</w:t>
      </w:r>
      <w:r w:rsidR="00A954D0" w:rsidRPr="003255BC">
        <w:rPr>
          <w:rFonts w:ascii="Bookman Old Style" w:hAnsi="Bookman Old Style"/>
          <w:lang w:val="sv-FI"/>
        </w:rPr>
        <w:t xml:space="preserve"> </w:t>
      </w:r>
      <w:r w:rsidRPr="003255BC">
        <w:rPr>
          <w:rFonts w:ascii="Bookman Old Style" w:hAnsi="Bookman Old Style"/>
          <w:lang w:val="sv-FI"/>
        </w:rPr>
        <w:t>anggaran</w:t>
      </w:r>
      <w:r w:rsidR="00A954D0" w:rsidRPr="003255BC">
        <w:rPr>
          <w:rFonts w:ascii="Bookman Old Style" w:hAnsi="Bookman Old Style"/>
          <w:lang w:val="sv-FI"/>
        </w:rPr>
        <w:t xml:space="preserve"> </w:t>
      </w:r>
      <w:r w:rsidRPr="003255BC">
        <w:rPr>
          <w:rFonts w:ascii="Bookman Old Style" w:hAnsi="Bookman Old Style"/>
          <w:lang w:val="sv-FI"/>
        </w:rPr>
        <w:t>tersebut</w:t>
      </w:r>
      <w:r w:rsidR="00A954D0" w:rsidRPr="003255BC">
        <w:rPr>
          <w:rFonts w:ascii="Bookman Old Style" w:hAnsi="Bookman Old Style"/>
          <w:lang w:val="sv-FI"/>
        </w:rPr>
        <w:t xml:space="preserve"> </w:t>
      </w:r>
      <w:r w:rsidRPr="003255BC">
        <w:rPr>
          <w:rFonts w:ascii="Bookman Old Style" w:hAnsi="Bookman Old Style"/>
          <w:lang w:val="sv-FI"/>
        </w:rPr>
        <w:t>tepat</w:t>
      </w:r>
      <w:r w:rsidR="00A954D0" w:rsidRPr="003255BC">
        <w:rPr>
          <w:rFonts w:ascii="Bookman Old Style" w:hAnsi="Bookman Old Style"/>
          <w:lang w:val="sv-FI"/>
        </w:rPr>
        <w:t xml:space="preserve"> </w:t>
      </w:r>
      <w:r w:rsidRPr="003255BC">
        <w:rPr>
          <w:rFonts w:ascii="Bookman Old Style" w:hAnsi="Bookman Old Style"/>
          <w:lang w:val="sv-FI"/>
        </w:rPr>
        <w:t>sasaran</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tepat</w:t>
      </w:r>
      <w:r w:rsidR="00A954D0" w:rsidRPr="003255BC">
        <w:rPr>
          <w:rFonts w:ascii="Bookman Old Style" w:hAnsi="Bookman Old Style"/>
          <w:lang w:val="sv-FI"/>
        </w:rPr>
        <w:t xml:space="preserve"> </w:t>
      </w:r>
      <w:r w:rsidRPr="003255BC">
        <w:rPr>
          <w:rFonts w:ascii="Bookman Old Style" w:hAnsi="Bookman Old Style"/>
          <w:lang w:val="sv-FI"/>
        </w:rPr>
        <w:t>jumlah.</w:t>
      </w:r>
      <w:r w:rsidR="00A954D0" w:rsidRPr="003255BC">
        <w:rPr>
          <w:rFonts w:ascii="Bookman Old Style" w:hAnsi="Bookman Old Style"/>
          <w:lang w:val="sv-FI"/>
        </w:rPr>
        <w:t xml:space="preserve"> </w:t>
      </w:r>
    </w:p>
    <w:p w14:paraId="17C19E30" w14:textId="71F7D6AA" w:rsidR="0004728E" w:rsidRPr="003255BC" w:rsidRDefault="0004728E" w:rsidP="00B8428D">
      <w:pPr>
        <w:spacing w:before="60" w:line="276" w:lineRule="auto"/>
        <w:ind w:left="1701"/>
        <w:jc w:val="both"/>
        <w:rPr>
          <w:rFonts w:ascii="Bookman Old Style" w:hAnsi="Bookman Old Style"/>
          <w:lang w:val="sv-FI"/>
        </w:rPr>
      </w:pPr>
      <w:r w:rsidRPr="003255BC">
        <w:rPr>
          <w:rFonts w:ascii="Bookman Old Style" w:hAnsi="Bookman Old Style"/>
          <w:lang w:val="sv-FI"/>
        </w:rPr>
        <w:t>Belanja</w:t>
      </w:r>
      <w:r w:rsidR="00A954D0" w:rsidRPr="003255BC">
        <w:rPr>
          <w:rFonts w:ascii="Bookman Old Style" w:hAnsi="Bookman Old Style"/>
          <w:lang w:val="sv-FI"/>
        </w:rPr>
        <w:t xml:space="preserve"> </w:t>
      </w:r>
      <w:r w:rsidRPr="003255BC">
        <w:rPr>
          <w:rFonts w:ascii="Bookman Old Style" w:hAnsi="Bookman Old Style"/>
          <w:lang w:val="sv-FI"/>
        </w:rPr>
        <w:t>Bantuan</w:t>
      </w:r>
      <w:r w:rsidR="00A954D0" w:rsidRPr="003255BC">
        <w:rPr>
          <w:rFonts w:ascii="Bookman Old Style" w:hAnsi="Bookman Old Style"/>
          <w:lang w:val="sv-FI"/>
        </w:rPr>
        <w:t xml:space="preserve"> </w:t>
      </w:r>
      <w:r w:rsidRPr="003255BC">
        <w:rPr>
          <w:rFonts w:ascii="Bookman Old Style" w:hAnsi="Bookman Old Style"/>
          <w:lang w:val="sv-FI"/>
        </w:rPr>
        <w:t>Sosial</w:t>
      </w:r>
      <w:r w:rsidR="00A954D0" w:rsidRPr="003255BC">
        <w:rPr>
          <w:rFonts w:ascii="Bookman Old Style" w:hAnsi="Bookman Old Style"/>
          <w:lang w:val="sv-FI"/>
        </w:rPr>
        <w:t xml:space="preserve"> </w:t>
      </w:r>
      <w:r w:rsidRPr="003255BC">
        <w:rPr>
          <w:rFonts w:ascii="Bookman Old Style" w:hAnsi="Bookman Old Style"/>
          <w:lang w:val="sv-FI"/>
        </w:rPr>
        <w:t>yang</w:t>
      </w:r>
      <w:r w:rsidR="00A954D0" w:rsidRPr="003255BC">
        <w:rPr>
          <w:rFonts w:ascii="Bookman Old Style" w:hAnsi="Bookman Old Style"/>
          <w:lang w:val="sv-FI"/>
        </w:rPr>
        <w:t xml:space="preserve"> </w:t>
      </w:r>
      <w:r w:rsidRPr="003255BC">
        <w:rPr>
          <w:rFonts w:ascii="Bookman Old Style" w:hAnsi="Bookman Old Style"/>
          <w:lang w:val="sv-FI"/>
        </w:rPr>
        <w:t>sifatnya</w:t>
      </w:r>
      <w:r w:rsidR="00A954D0" w:rsidRPr="003255BC">
        <w:rPr>
          <w:rFonts w:ascii="Bookman Old Style" w:hAnsi="Bookman Old Style"/>
          <w:lang w:val="sv-FI"/>
        </w:rPr>
        <w:t xml:space="preserve"> </w:t>
      </w:r>
      <w:r w:rsidRPr="003255BC">
        <w:rPr>
          <w:rFonts w:ascii="Bookman Old Style" w:hAnsi="Bookman Old Style"/>
          <w:lang w:val="sv-FI"/>
        </w:rPr>
        <w:t>bukan</w:t>
      </w:r>
      <w:r w:rsidR="00A954D0" w:rsidRPr="003255BC">
        <w:rPr>
          <w:rFonts w:ascii="Bookman Old Style" w:hAnsi="Bookman Old Style"/>
          <w:lang w:val="sv-FI"/>
        </w:rPr>
        <w:t xml:space="preserve"> </w:t>
      </w:r>
      <w:r w:rsidRPr="003255BC">
        <w:rPr>
          <w:rFonts w:ascii="Bookman Old Style" w:hAnsi="Bookman Old Style"/>
          <w:lang w:val="sv-FI"/>
        </w:rPr>
        <w:t>menjadi</w:t>
      </w:r>
      <w:r w:rsidR="00A954D0" w:rsidRPr="003255BC">
        <w:rPr>
          <w:rFonts w:ascii="Bookman Old Style" w:hAnsi="Bookman Old Style"/>
          <w:lang w:val="sv-FI"/>
        </w:rPr>
        <w:t xml:space="preserve"> </w:t>
      </w:r>
      <w:r w:rsidRPr="003255BC">
        <w:rPr>
          <w:rFonts w:ascii="Bookman Old Style" w:hAnsi="Bookman Old Style"/>
          <w:lang w:val="sv-FI"/>
        </w:rPr>
        <w:t>urusan</w:t>
      </w:r>
      <w:r w:rsidR="00A954D0" w:rsidRPr="003255BC">
        <w:rPr>
          <w:rFonts w:ascii="Bookman Old Style" w:hAnsi="Bookman Old Style"/>
          <w:lang w:val="sv-FI"/>
        </w:rPr>
        <w:t xml:space="preserve"> </w:t>
      </w:r>
      <w:r w:rsidRPr="003255BC">
        <w:rPr>
          <w:rFonts w:ascii="Bookman Old Style" w:hAnsi="Bookman Old Style"/>
          <w:lang w:val="sv-FI"/>
        </w:rPr>
        <w:t>Pemerintah</w:t>
      </w:r>
      <w:r w:rsidR="00A954D0" w:rsidRPr="003255BC">
        <w:rPr>
          <w:rFonts w:ascii="Bookman Old Style" w:hAnsi="Bookman Old Style"/>
          <w:lang w:val="sv-FI"/>
        </w:rPr>
        <w:t xml:space="preserve"> </w:t>
      </w:r>
      <w:r w:rsidRPr="003255BC">
        <w:rPr>
          <w:rFonts w:ascii="Bookman Old Style" w:hAnsi="Bookman Old Style"/>
          <w:lang w:val="sv-FI"/>
        </w:rPr>
        <w:t>Daerah</w:t>
      </w:r>
      <w:r w:rsidR="00A954D0" w:rsidRPr="003255BC">
        <w:rPr>
          <w:rFonts w:ascii="Bookman Old Style" w:hAnsi="Bookman Old Style"/>
          <w:lang w:val="sv-FI"/>
        </w:rPr>
        <w:t xml:space="preserve"> </w:t>
      </w:r>
      <w:r w:rsidRPr="003255BC">
        <w:rPr>
          <w:rFonts w:ascii="Bookman Old Style" w:hAnsi="Bookman Old Style"/>
          <w:lang w:val="sv-FI"/>
        </w:rPr>
        <w:t>dianggarkan</w:t>
      </w:r>
      <w:r w:rsidR="00A954D0" w:rsidRPr="003255BC">
        <w:rPr>
          <w:rFonts w:ascii="Bookman Old Style" w:hAnsi="Bookman Old Style"/>
          <w:lang w:val="sv-FI"/>
        </w:rPr>
        <w:t xml:space="preserve"> </w:t>
      </w:r>
      <w:r w:rsidRPr="003255BC">
        <w:rPr>
          <w:rFonts w:ascii="Bookman Old Style" w:hAnsi="Bookman Old Style"/>
          <w:lang w:val="sv-FI"/>
        </w:rPr>
        <w:t>pada</w:t>
      </w:r>
      <w:r w:rsidR="00A954D0" w:rsidRPr="003255BC">
        <w:rPr>
          <w:rFonts w:ascii="Bookman Old Style" w:hAnsi="Bookman Old Style"/>
          <w:lang w:val="sv-FI"/>
        </w:rPr>
        <w:t xml:space="preserve"> </w:t>
      </w:r>
      <w:r w:rsidRPr="003255BC">
        <w:rPr>
          <w:rFonts w:ascii="Bookman Old Style" w:hAnsi="Bookman Old Style"/>
          <w:lang w:val="sv-FI"/>
        </w:rPr>
        <w:t>SKPD</w:t>
      </w:r>
      <w:r w:rsidR="00A954D0" w:rsidRPr="003255BC">
        <w:rPr>
          <w:rFonts w:ascii="Bookman Old Style" w:hAnsi="Bookman Old Style"/>
          <w:lang w:val="sv-FI"/>
        </w:rPr>
        <w:t xml:space="preserve"> </w:t>
      </w:r>
      <w:r w:rsidRPr="003255BC">
        <w:rPr>
          <w:rFonts w:ascii="Bookman Old Style" w:hAnsi="Bookman Old Style"/>
          <w:lang w:val="sv-FI"/>
        </w:rPr>
        <w:t>Sekretariat</w:t>
      </w:r>
      <w:r w:rsidR="00A954D0" w:rsidRPr="003255BC">
        <w:rPr>
          <w:rFonts w:ascii="Bookman Old Style" w:hAnsi="Bookman Old Style"/>
          <w:lang w:val="sv-FI"/>
        </w:rPr>
        <w:t xml:space="preserve"> </w:t>
      </w:r>
      <w:r w:rsidRPr="003255BC">
        <w:rPr>
          <w:rFonts w:ascii="Bookman Old Style" w:hAnsi="Bookman Old Style"/>
          <w:lang w:val="sv-FI"/>
        </w:rPr>
        <w:t>Daerah.</w:t>
      </w:r>
      <w:r w:rsidR="00A954D0" w:rsidRPr="003255BC">
        <w:rPr>
          <w:rFonts w:ascii="Bookman Old Style" w:hAnsi="Bookman Old Style"/>
          <w:lang w:val="sv-FI"/>
        </w:rPr>
        <w:t xml:space="preserve"> </w:t>
      </w:r>
      <w:r w:rsidRPr="003255BC">
        <w:rPr>
          <w:rFonts w:ascii="Bookman Old Style" w:hAnsi="Bookman Old Style"/>
          <w:lang w:val="sv-FI"/>
        </w:rPr>
        <w:t>Pemerintah</w:t>
      </w:r>
      <w:r w:rsidR="00A954D0" w:rsidRPr="003255BC">
        <w:rPr>
          <w:rFonts w:ascii="Bookman Old Style" w:hAnsi="Bookman Old Style"/>
          <w:lang w:val="sv-FI"/>
        </w:rPr>
        <w:t xml:space="preserve"> </w:t>
      </w:r>
      <w:r w:rsidRPr="003255BC">
        <w:rPr>
          <w:rFonts w:ascii="Bookman Old Style" w:hAnsi="Bookman Old Style"/>
          <w:lang w:val="sv-FI"/>
        </w:rPr>
        <w:t>Daerah</w:t>
      </w:r>
      <w:r w:rsidR="00A954D0" w:rsidRPr="003255BC">
        <w:rPr>
          <w:rFonts w:ascii="Bookman Old Style" w:hAnsi="Bookman Old Style"/>
          <w:lang w:val="sv-FI"/>
        </w:rPr>
        <w:t xml:space="preserve"> </w:t>
      </w:r>
      <w:r w:rsidRPr="003255BC">
        <w:rPr>
          <w:rFonts w:ascii="Bookman Old Style" w:hAnsi="Bookman Old Style"/>
          <w:lang w:val="sv-FI"/>
        </w:rPr>
        <w:t>Kota</w:t>
      </w:r>
      <w:r w:rsidR="00A954D0" w:rsidRPr="003255BC">
        <w:rPr>
          <w:rFonts w:ascii="Bookman Old Style" w:hAnsi="Bookman Old Style"/>
          <w:lang w:val="sv-FI"/>
        </w:rPr>
        <w:t xml:space="preserve"> </w:t>
      </w:r>
      <w:r w:rsidRPr="003255BC">
        <w:rPr>
          <w:rFonts w:ascii="Bookman Old Style" w:hAnsi="Bookman Old Style"/>
          <w:lang w:val="sv-FI"/>
        </w:rPr>
        <w:t>Tangerang</w:t>
      </w:r>
      <w:r w:rsidR="00A954D0" w:rsidRPr="003255BC">
        <w:rPr>
          <w:rFonts w:ascii="Bookman Old Style" w:hAnsi="Bookman Old Style"/>
          <w:lang w:val="sv-FI"/>
        </w:rPr>
        <w:t xml:space="preserve"> </w:t>
      </w:r>
      <w:r w:rsidRPr="003255BC">
        <w:rPr>
          <w:rFonts w:ascii="Bookman Old Style" w:hAnsi="Bookman Old Style"/>
          <w:lang w:val="sv-FI"/>
        </w:rPr>
        <w:t>dalam</w:t>
      </w:r>
      <w:r w:rsidR="00A954D0" w:rsidRPr="003255BC">
        <w:rPr>
          <w:rFonts w:ascii="Bookman Old Style" w:hAnsi="Bookman Old Style"/>
          <w:lang w:val="sv-FI"/>
        </w:rPr>
        <w:t xml:space="preserve"> </w:t>
      </w:r>
      <w:r w:rsidRPr="003255BC">
        <w:rPr>
          <w:rFonts w:ascii="Bookman Old Style" w:hAnsi="Bookman Old Style"/>
          <w:lang w:val="sv-FI"/>
        </w:rPr>
        <w:t>menganggarkan</w:t>
      </w:r>
      <w:r w:rsidR="00A954D0" w:rsidRPr="003255BC">
        <w:rPr>
          <w:rFonts w:ascii="Bookman Old Style" w:hAnsi="Bookman Old Style"/>
          <w:lang w:val="sv-FI"/>
        </w:rPr>
        <w:t xml:space="preserve"> </w:t>
      </w:r>
      <w:r w:rsidRPr="003255BC">
        <w:rPr>
          <w:rFonts w:ascii="Bookman Old Style" w:hAnsi="Bookman Old Style"/>
          <w:lang w:val="sv-FI"/>
        </w:rPr>
        <w:t>Belanja</w:t>
      </w:r>
      <w:r w:rsidR="00A954D0" w:rsidRPr="003255BC">
        <w:rPr>
          <w:rFonts w:ascii="Bookman Old Style" w:hAnsi="Bookman Old Style"/>
          <w:lang w:val="sv-FI"/>
        </w:rPr>
        <w:t xml:space="preserve"> </w:t>
      </w:r>
      <w:r w:rsidRPr="003255BC">
        <w:rPr>
          <w:rFonts w:ascii="Bookman Old Style" w:hAnsi="Bookman Old Style"/>
          <w:lang w:val="sv-FI"/>
        </w:rPr>
        <w:t>Bantuan</w:t>
      </w:r>
      <w:r w:rsidR="00A954D0" w:rsidRPr="003255BC">
        <w:rPr>
          <w:rFonts w:ascii="Bookman Old Style" w:hAnsi="Bookman Old Style"/>
          <w:lang w:val="sv-FI"/>
        </w:rPr>
        <w:t xml:space="preserve"> </w:t>
      </w:r>
      <w:r w:rsidRPr="003255BC">
        <w:rPr>
          <w:rFonts w:ascii="Bookman Old Style" w:hAnsi="Bookman Old Style"/>
          <w:lang w:val="sv-FI"/>
        </w:rPr>
        <w:t>Sosial</w:t>
      </w:r>
      <w:r w:rsidR="00A954D0" w:rsidRPr="003255BC">
        <w:rPr>
          <w:rFonts w:ascii="Bookman Old Style" w:hAnsi="Bookman Old Style"/>
          <w:lang w:val="sv-FI"/>
        </w:rPr>
        <w:t xml:space="preserve"> </w:t>
      </w:r>
      <w:r w:rsidRPr="003255BC">
        <w:rPr>
          <w:rFonts w:ascii="Bookman Old Style" w:hAnsi="Bookman Old Style"/>
          <w:lang w:val="sv-FI"/>
        </w:rPr>
        <w:t>yang</w:t>
      </w:r>
      <w:r w:rsidR="00A954D0" w:rsidRPr="003255BC">
        <w:rPr>
          <w:rFonts w:ascii="Bookman Old Style" w:hAnsi="Bookman Old Style"/>
          <w:lang w:val="sv-FI"/>
        </w:rPr>
        <w:t xml:space="preserve"> </w:t>
      </w:r>
      <w:r w:rsidRPr="003255BC">
        <w:rPr>
          <w:rFonts w:ascii="Bookman Old Style" w:hAnsi="Bookman Old Style"/>
          <w:lang w:val="sv-FI"/>
        </w:rPr>
        <w:t>direncanakan</w:t>
      </w:r>
      <w:r w:rsidR="00A954D0" w:rsidRPr="003255BC">
        <w:rPr>
          <w:rFonts w:ascii="Bookman Old Style" w:hAnsi="Bookman Old Style"/>
          <w:lang w:val="sv-FI"/>
        </w:rPr>
        <w:t xml:space="preserve"> </w:t>
      </w:r>
      <w:r w:rsidRPr="003255BC">
        <w:rPr>
          <w:rFonts w:ascii="Bookman Old Style" w:hAnsi="Bookman Old Style"/>
          <w:lang w:val="sv-FI"/>
        </w:rPr>
        <w:t>untuk</w:t>
      </w:r>
      <w:r w:rsidR="00A954D0" w:rsidRPr="003255BC">
        <w:rPr>
          <w:rFonts w:ascii="Bookman Old Style" w:hAnsi="Bookman Old Style"/>
          <w:lang w:val="sv-FI"/>
        </w:rPr>
        <w:t xml:space="preserve"> </w:t>
      </w:r>
      <w:r w:rsidRPr="003255BC">
        <w:rPr>
          <w:rFonts w:ascii="Bookman Old Style" w:hAnsi="Bookman Old Style"/>
          <w:lang w:val="sv-FI"/>
        </w:rPr>
        <w:t>dialokasikan</w:t>
      </w:r>
      <w:r w:rsidR="00A954D0" w:rsidRPr="003255BC">
        <w:rPr>
          <w:rFonts w:ascii="Bookman Old Style" w:hAnsi="Bookman Old Style"/>
          <w:lang w:val="sv-FI"/>
        </w:rPr>
        <w:t xml:space="preserve"> </w:t>
      </w:r>
      <w:r w:rsidRPr="003255BC">
        <w:rPr>
          <w:rFonts w:ascii="Bookman Old Style" w:hAnsi="Bookman Old Style"/>
          <w:lang w:val="sv-FI"/>
        </w:rPr>
        <w:t>kepada</w:t>
      </w:r>
      <w:r w:rsidR="00A954D0" w:rsidRPr="003255BC">
        <w:rPr>
          <w:rFonts w:ascii="Bookman Old Style" w:hAnsi="Bookman Old Style"/>
          <w:lang w:val="sv-FI"/>
        </w:rPr>
        <w:t xml:space="preserve"> </w:t>
      </w:r>
      <w:r w:rsidRPr="003255BC">
        <w:rPr>
          <w:rFonts w:ascii="Bookman Old Style" w:hAnsi="Bookman Old Style"/>
          <w:lang w:val="sv-FI"/>
        </w:rPr>
        <w:t>individu,</w:t>
      </w:r>
      <w:r w:rsidR="00A954D0" w:rsidRPr="003255BC">
        <w:rPr>
          <w:rFonts w:ascii="Bookman Old Style" w:hAnsi="Bookman Old Style"/>
          <w:lang w:val="sv-FI"/>
        </w:rPr>
        <w:t xml:space="preserve"> </w:t>
      </w:r>
      <w:r w:rsidRPr="003255BC">
        <w:rPr>
          <w:rFonts w:ascii="Bookman Old Style" w:hAnsi="Bookman Old Style"/>
          <w:lang w:val="sv-FI"/>
        </w:rPr>
        <w:t>keluarga,</w:t>
      </w:r>
      <w:r w:rsidR="00A954D0" w:rsidRPr="003255BC">
        <w:rPr>
          <w:rFonts w:ascii="Bookman Old Style" w:hAnsi="Bookman Old Style"/>
          <w:lang w:val="sv-FI"/>
        </w:rPr>
        <w:t xml:space="preserve"> </w:t>
      </w:r>
      <w:r w:rsidRPr="003255BC">
        <w:rPr>
          <w:rFonts w:ascii="Bookman Old Style" w:hAnsi="Bookman Old Style"/>
          <w:lang w:val="sv-FI"/>
        </w:rPr>
        <w:t>kelompok</w:t>
      </w:r>
      <w:r w:rsidR="00A954D0" w:rsidRPr="003255BC">
        <w:rPr>
          <w:rFonts w:ascii="Bookman Old Style" w:hAnsi="Bookman Old Style"/>
          <w:lang w:val="sv-FI"/>
        </w:rPr>
        <w:t xml:space="preserve"> </w:t>
      </w:r>
      <w:r w:rsidRPr="003255BC">
        <w:rPr>
          <w:rFonts w:ascii="Bookman Old Style" w:hAnsi="Bookman Old Style"/>
          <w:lang w:val="sv-FI"/>
        </w:rPr>
        <w:t>dan/atau</w:t>
      </w:r>
      <w:r w:rsidR="00A954D0" w:rsidRPr="003255BC">
        <w:rPr>
          <w:rFonts w:ascii="Bookman Old Style" w:hAnsi="Bookman Old Style"/>
          <w:lang w:val="sv-FI"/>
        </w:rPr>
        <w:t xml:space="preserve"> </w:t>
      </w:r>
      <w:r w:rsidRPr="003255BC">
        <w:rPr>
          <w:rFonts w:ascii="Bookman Old Style" w:hAnsi="Bookman Old Style"/>
          <w:lang w:val="sv-FI"/>
        </w:rPr>
        <w:t>masyarakat</w:t>
      </w:r>
      <w:r w:rsidR="00A954D0" w:rsidRPr="003255BC">
        <w:rPr>
          <w:rFonts w:ascii="Bookman Old Style" w:hAnsi="Bookman Old Style"/>
          <w:lang w:val="sv-FI"/>
        </w:rPr>
        <w:t xml:space="preserve"> </w:t>
      </w:r>
      <w:r w:rsidRPr="003255BC">
        <w:rPr>
          <w:rFonts w:ascii="Bookman Old Style" w:hAnsi="Bookman Old Style"/>
          <w:lang w:val="sv-FI"/>
        </w:rPr>
        <w:t>harus</w:t>
      </w:r>
      <w:r w:rsidR="00A954D0" w:rsidRPr="003255BC">
        <w:rPr>
          <w:rFonts w:ascii="Bookman Old Style" w:hAnsi="Bookman Old Style"/>
          <w:lang w:val="sv-FI"/>
        </w:rPr>
        <w:t xml:space="preserve"> </w:t>
      </w:r>
      <w:r w:rsidRPr="003255BC">
        <w:rPr>
          <w:rFonts w:ascii="Bookman Old Style" w:hAnsi="Bookman Old Style"/>
          <w:lang w:val="sv-FI"/>
        </w:rPr>
        <w:t>mencantumkan</w:t>
      </w:r>
      <w:r w:rsidR="00A954D0" w:rsidRPr="003255BC">
        <w:rPr>
          <w:rFonts w:ascii="Bookman Old Style" w:hAnsi="Bookman Old Style"/>
          <w:lang w:val="sv-FI"/>
        </w:rPr>
        <w:t xml:space="preserve"> </w:t>
      </w:r>
      <w:r w:rsidRPr="003255BC">
        <w:rPr>
          <w:rFonts w:ascii="Bookman Old Style" w:hAnsi="Bookman Old Style"/>
          <w:lang w:val="sv-FI"/>
        </w:rPr>
        <w:t>dengan</w:t>
      </w:r>
      <w:r w:rsidR="00A954D0" w:rsidRPr="003255BC">
        <w:rPr>
          <w:rFonts w:ascii="Bookman Old Style" w:hAnsi="Bookman Old Style"/>
          <w:lang w:val="sv-FI"/>
        </w:rPr>
        <w:t xml:space="preserve"> </w:t>
      </w:r>
      <w:r w:rsidRPr="003255BC">
        <w:rPr>
          <w:rFonts w:ascii="Bookman Old Style" w:hAnsi="Bookman Old Style"/>
          <w:lang w:val="sv-FI"/>
        </w:rPr>
        <w:t>jelas</w:t>
      </w:r>
      <w:r w:rsidR="00A954D0" w:rsidRPr="003255BC">
        <w:rPr>
          <w:rFonts w:ascii="Bookman Old Style" w:hAnsi="Bookman Old Style"/>
          <w:lang w:val="sv-FI"/>
        </w:rPr>
        <w:t xml:space="preserve"> </w:t>
      </w:r>
      <w:r w:rsidRPr="003255BC">
        <w:rPr>
          <w:rFonts w:ascii="Bookman Old Style" w:hAnsi="Bookman Old Style"/>
          <w:lang w:val="sv-FI"/>
        </w:rPr>
        <w:t>nama,</w:t>
      </w:r>
      <w:r w:rsidR="00A954D0" w:rsidRPr="003255BC">
        <w:rPr>
          <w:rFonts w:ascii="Bookman Old Style" w:hAnsi="Bookman Old Style"/>
          <w:lang w:val="sv-FI"/>
        </w:rPr>
        <w:t xml:space="preserve"> </w:t>
      </w:r>
      <w:r w:rsidRPr="003255BC">
        <w:rPr>
          <w:rFonts w:ascii="Bookman Old Style" w:hAnsi="Bookman Old Style"/>
          <w:lang w:val="sv-FI"/>
        </w:rPr>
        <w:t>alamat</w:t>
      </w:r>
      <w:r w:rsidR="00A954D0" w:rsidRPr="003255BC">
        <w:rPr>
          <w:rFonts w:ascii="Bookman Old Style" w:hAnsi="Bookman Old Style"/>
          <w:lang w:val="sv-FI"/>
        </w:rPr>
        <w:t xml:space="preserve"> </w:t>
      </w:r>
      <w:r w:rsidRPr="003255BC">
        <w:rPr>
          <w:rFonts w:ascii="Bookman Old Style" w:hAnsi="Bookman Old Style"/>
          <w:lang w:val="sv-FI"/>
        </w:rPr>
        <w:t>penerima</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besarannya</w:t>
      </w:r>
      <w:r w:rsidR="00A954D0" w:rsidRPr="003255BC">
        <w:rPr>
          <w:rFonts w:ascii="Bookman Old Style" w:hAnsi="Bookman Old Style"/>
          <w:lang w:val="sv-FI"/>
        </w:rPr>
        <w:t xml:space="preserve"> </w:t>
      </w:r>
      <w:r w:rsidRPr="003255BC">
        <w:rPr>
          <w:rFonts w:ascii="Bookman Old Style" w:hAnsi="Bookman Old Style"/>
          <w:lang w:val="sv-FI"/>
        </w:rPr>
        <w:t>pada</w:t>
      </w:r>
      <w:r w:rsidR="00A954D0" w:rsidRPr="003255BC">
        <w:rPr>
          <w:rFonts w:ascii="Bookman Old Style" w:hAnsi="Bookman Old Style"/>
          <w:lang w:val="sv-FI"/>
        </w:rPr>
        <w:t xml:space="preserve"> </w:t>
      </w:r>
      <w:r w:rsidRPr="003255BC">
        <w:rPr>
          <w:rFonts w:ascii="Bookman Old Style" w:hAnsi="Bookman Old Style"/>
          <w:lang w:val="sv-FI"/>
        </w:rPr>
        <w:t>saat</w:t>
      </w:r>
      <w:r w:rsidR="00A954D0" w:rsidRPr="003255BC">
        <w:rPr>
          <w:rFonts w:ascii="Bookman Old Style" w:hAnsi="Bookman Old Style"/>
          <w:lang w:val="sv-FI"/>
        </w:rPr>
        <w:t xml:space="preserve"> </w:t>
      </w:r>
      <w:r w:rsidRPr="003255BC">
        <w:rPr>
          <w:rFonts w:ascii="Bookman Old Style" w:hAnsi="Bookman Old Style"/>
          <w:lang w:val="sv-FI"/>
        </w:rPr>
        <w:t>penyusunan</w:t>
      </w:r>
      <w:r w:rsidR="00A954D0" w:rsidRPr="003255BC">
        <w:rPr>
          <w:rFonts w:ascii="Bookman Old Style" w:hAnsi="Bookman Old Style"/>
          <w:lang w:val="sv-FI"/>
        </w:rPr>
        <w:t xml:space="preserve"> </w:t>
      </w:r>
      <w:r w:rsidRPr="003255BC">
        <w:rPr>
          <w:rFonts w:ascii="Bookman Old Style" w:hAnsi="Bookman Old Style"/>
          <w:lang w:val="sv-FI"/>
        </w:rPr>
        <w:t>Rancangan</w:t>
      </w:r>
      <w:r w:rsidR="00A954D0" w:rsidRPr="003255BC">
        <w:rPr>
          <w:rFonts w:ascii="Bookman Old Style" w:hAnsi="Bookman Old Style"/>
          <w:lang w:val="sv-FI"/>
        </w:rPr>
        <w:t xml:space="preserve"> </w:t>
      </w:r>
      <w:r w:rsidRPr="003255BC">
        <w:rPr>
          <w:rFonts w:ascii="Bookman Old Style" w:hAnsi="Bookman Old Style"/>
          <w:lang w:val="sv-FI"/>
        </w:rPr>
        <w:t>Peraturan</w:t>
      </w:r>
      <w:r w:rsidR="00A954D0" w:rsidRPr="003255BC">
        <w:rPr>
          <w:rFonts w:ascii="Bookman Old Style" w:hAnsi="Bookman Old Style"/>
          <w:lang w:val="sv-FI"/>
        </w:rPr>
        <w:t xml:space="preserve"> </w:t>
      </w:r>
      <w:r w:rsidRPr="003255BC">
        <w:rPr>
          <w:rFonts w:ascii="Bookman Old Style" w:hAnsi="Bookman Old Style"/>
          <w:lang w:val="sv-FI"/>
        </w:rPr>
        <w:t>Daerah</w:t>
      </w:r>
      <w:r w:rsidR="00A954D0" w:rsidRPr="003255BC">
        <w:rPr>
          <w:rFonts w:ascii="Bookman Old Style" w:hAnsi="Bookman Old Style"/>
          <w:lang w:val="sv-FI"/>
        </w:rPr>
        <w:t xml:space="preserve"> </w:t>
      </w:r>
      <w:r w:rsidRPr="003255BC">
        <w:rPr>
          <w:rFonts w:ascii="Bookman Old Style" w:hAnsi="Bookman Old Style"/>
          <w:lang w:val="sv-FI"/>
        </w:rPr>
        <w:t>Kota</w:t>
      </w:r>
      <w:r w:rsidR="00A954D0" w:rsidRPr="003255BC">
        <w:rPr>
          <w:rFonts w:ascii="Bookman Old Style" w:hAnsi="Bookman Old Style"/>
          <w:lang w:val="sv-FI"/>
        </w:rPr>
        <w:t xml:space="preserve"> </w:t>
      </w:r>
      <w:r w:rsidRPr="003255BC">
        <w:rPr>
          <w:rFonts w:ascii="Bookman Old Style" w:hAnsi="Bookman Old Style"/>
          <w:lang w:val="sv-FI"/>
        </w:rPr>
        <w:t>Tangerang</w:t>
      </w:r>
      <w:r w:rsidR="00A954D0" w:rsidRPr="003255BC">
        <w:rPr>
          <w:rFonts w:ascii="Bookman Old Style" w:hAnsi="Bookman Old Style"/>
          <w:lang w:val="sv-FI"/>
        </w:rPr>
        <w:t xml:space="preserve"> </w:t>
      </w:r>
      <w:r w:rsidRPr="003255BC">
        <w:rPr>
          <w:rFonts w:ascii="Bookman Old Style" w:hAnsi="Bookman Old Style"/>
          <w:lang w:val="sv-FI"/>
        </w:rPr>
        <w:t>tentang</w:t>
      </w:r>
      <w:r w:rsidR="00A954D0" w:rsidRPr="003255BC">
        <w:rPr>
          <w:rFonts w:ascii="Bookman Old Style" w:hAnsi="Bookman Old Style"/>
          <w:lang w:val="sv-FI"/>
        </w:rPr>
        <w:t xml:space="preserve"> </w:t>
      </w:r>
      <w:r w:rsidRPr="003255BC">
        <w:rPr>
          <w:rFonts w:ascii="Bookman Old Style" w:hAnsi="Bookman Old Style"/>
          <w:lang w:val="sv-FI"/>
        </w:rPr>
        <w:t>APBD</w:t>
      </w:r>
      <w:r w:rsidR="00A954D0" w:rsidRPr="003255BC">
        <w:rPr>
          <w:rFonts w:ascii="Bookman Old Style" w:hAnsi="Bookman Old Style"/>
          <w:lang w:val="sv-FI"/>
        </w:rPr>
        <w:t xml:space="preserve"> </w:t>
      </w:r>
      <w:r w:rsidRPr="003255BC">
        <w:rPr>
          <w:rFonts w:ascii="Bookman Old Style" w:hAnsi="Bookman Old Style"/>
          <w:lang w:val="sv-FI"/>
        </w:rPr>
        <w:t>Tahun</w:t>
      </w:r>
      <w:r w:rsidR="00A954D0" w:rsidRPr="003255BC">
        <w:rPr>
          <w:rFonts w:ascii="Bookman Old Style" w:hAnsi="Bookman Old Style"/>
          <w:lang w:val="sv-FI"/>
        </w:rPr>
        <w:t xml:space="preserve"> </w:t>
      </w:r>
      <w:r w:rsidRPr="003255BC">
        <w:rPr>
          <w:rFonts w:ascii="Bookman Old Style" w:hAnsi="Bookman Old Style"/>
          <w:lang w:val="sv-FI"/>
        </w:rPr>
        <w:t>Anggaran</w:t>
      </w:r>
      <w:r w:rsidR="00A954D0" w:rsidRPr="003255BC">
        <w:rPr>
          <w:rFonts w:ascii="Bookman Old Style" w:hAnsi="Bookman Old Style"/>
          <w:lang w:val="sv-FI"/>
        </w:rPr>
        <w:t xml:space="preserve"> </w:t>
      </w:r>
      <w:r w:rsidRPr="003255BC">
        <w:rPr>
          <w:rFonts w:ascii="Bookman Old Style" w:hAnsi="Bookman Old Style"/>
          <w:lang w:val="sv-FI"/>
        </w:rPr>
        <w:t>2025.</w:t>
      </w:r>
    </w:p>
    <w:p w14:paraId="7FE0D78D" w14:textId="175B65DE" w:rsidR="0004728E" w:rsidRPr="003255BC" w:rsidRDefault="0004728E" w:rsidP="00B8428D">
      <w:pPr>
        <w:spacing w:before="60" w:line="276" w:lineRule="auto"/>
        <w:ind w:left="1701"/>
        <w:jc w:val="both"/>
        <w:rPr>
          <w:rFonts w:ascii="Bookman Old Style" w:hAnsi="Bookman Old Style"/>
          <w:lang w:val="sv-FI"/>
        </w:rPr>
      </w:pPr>
      <w:r w:rsidRPr="003255BC">
        <w:rPr>
          <w:rFonts w:ascii="Bookman Old Style" w:hAnsi="Bookman Old Style"/>
          <w:lang w:val="sv-FI"/>
        </w:rPr>
        <w:t>Khusus</w:t>
      </w:r>
      <w:r w:rsidR="00A954D0" w:rsidRPr="003255BC">
        <w:rPr>
          <w:rFonts w:ascii="Bookman Old Style" w:hAnsi="Bookman Old Style"/>
          <w:lang w:val="sv-FI"/>
        </w:rPr>
        <w:t xml:space="preserve"> </w:t>
      </w:r>
      <w:r w:rsidRPr="003255BC">
        <w:rPr>
          <w:rFonts w:ascii="Bookman Old Style" w:hAnsi="Bookman Old Style"/>
          <w:lang w:val="sv-FI"/>
        </w:rPr>
        <w:t>untuk</w:t>
      </w:r>
      <w:r w:rsidR="00A954D0" w:rsidRPr="003255BC">
        <w:rPr>
          <w:rFonts w:ascii="Bookman Old Style" w:hAnsi="Bookman Old Style"/>
          <w:lang w:val="sv-FI"/>
        </w:rPr>
        <w:t xml:space="preserve"> </w:t>
      </w:r>
      <w:r w:rsidRPr="003255BC">
        <w:rPr>
          <w:rFonts w:ascii="Bookman Old Style" w:hAnsi="Bookman Old Style"/>
          <w:lang w:val="sv-FI"/>
        </w:rPr>
        <w:t>pagu</w:t>
      </w:r>
      <w:r w:rsidR="00A954D0" w:rsidRPr="003255BC">
        <w:rPr>
          <w:rFonts w:ascii="Bookman Old Style" w:hAnsi="Bookman Old Style"/>
          <w:lang w:val="sv-FI"/>
        </w:rPr>
        <w:t xml:space="preserve"> </w:t>
      </w:r>
      <w:r w:rsidRPr="003255BC">
        <w:rPr>
          <w:rFonts w:ascii="Bookman Old Style" w:hAnsi="Bookman Old Style"/>
          <w:lang w:val="sv-FI"/>
        </w:rPr>
        <w:t>anggaran</w:t>
      </w:r>
      <w:r w:rsidR="00A954D0" w:rsidRPr="003255BC">
        <w:rPr>
          <w:rFonts w:ascii="Bookman Old Style" w:hAnsi="Bookman Old Style"/>
          <w:lang w:val="sv-FI"/>
        </w:rPr>
        <w:t xml:space="preserve"> </w:t>
      </w:r>
      <w:r w:rsidRPr="003255BC">
        <w:rPr>
          <w:rFonts w:ascii="Bookman Old Style" w:hAnsi="Bookman Old Style"/>
          <w:lang w:val="sv-FI"/>
        </w:rPr>
        <w:t>Belanja</w:t>
      </w:r>
      <w:r w:rsidR="00A954D0" w:rsidRPr="003255BC">
        <w:rPr>
          <w:rFonts w:ascii="Bookman Old Style" w:hAnsi="Bookman Old Style"/>
          <w:lang w:val="sv-FI"/>
        </w:rPr>
        <w:t xml:space="preserve"> </w:t>
      </w:r>
      <w:r w:rsidRPr="003255BC">
        <w:rPr>
          <w:rFonts w:ascii="Bookman Old Style" w:hAnsi="Bookman Old Style"/>
          <w:lang w:val="sv-FI"/>
        </w:rPr>
        <w:t>Bantuan</w:t>
      </w:r>
      <w:r w:rsidR="00A954D0" w:rsidRPr="003255BC">
        <w:rPr>
          <w:rFonts w:ascii="Bookman Old Style" w:hAnsi="Bookman Old Style"/>
          <w:lang w:val="sv-FI"/>
        </w:rPr>
        <w:t xml:space="preserve"> </w:t>
      </w:r>
      <w:r w:rsidRPr="003255BC">
        <w:rPr>
          <w:rFonts w:ascii="Bookman Old Style" w:hAnsi="Bookman Old Style"/>
          <w:lang w:val="sv-FI"/>
        </w:rPr>
        <w:t>Sosial</w:t>
      </w:r>
      <w:r w:rsidR="00A954D0" w:rsidRPr="003255BC">
        <w:rPr>
          <w:rFonts w:ascii="Bookman Old Style" w:hAnsi="Bookman Old Style"/>
          <w:lang w:val="sv-FI"/>
        </w:rPr>
        <w:t xml:space="preserve"> </w:t>
      </w:r>
      <w:r w:rsidRPr="003255BC">
        <w:rPr>
          <w:rFonts w:ascii="Bookman Old Style" w:hAnsi="Bookman Old Style"/>
          <w:lang w:val="sv-FI"/>
        </w:rPr>
        <w:t>juga</w:t>
      </w:r>
      <w:r w:rsidR="00A954D0" w:rsidRPr="003255BC">
        <w:rPr>
          <w:rFonts w:ascii="Bookman Old Style" w:hAnsi="Bookman Old Style"/>
          <w:lang w:val="sv-FI"/>
        </w:rPr>
        <w:t xml:space="preserve"> </w:t>
      </w:r>
      <w:r w:rsidRPr="003255BC">
        <w:rPr>
          <w:rFonts w:ascii="Bookman Old Style" w:hAnsi="Bookman Old Style"/>
          <w:lang w:val="sv-FI"/>
        </w:rPr>
        <w:t>harus</w:t>
      </w:r>
      <w:r w:rsidR="00A954D0" w:rsidRPr="003255BC">
        <w:rPr>
          <w:rFonts w:ascii="Bookman Old Style" w:hAnsi="Bookman Old Style"/>
          <w:lang w:val="sv-FI"/>
        </w:rPr>
        <w:t xml:space="preserve"> </w:t>
      </w:r>
      <w:r w:rsidRPr="003255BC">
        <w:rPr>
          <w:rFonts w:ascii="Bookman Old Style" w:hAnsi="Bookman Old Style"/>
          <w:lang w:val="sv-FI"/>
        </w:rPr>
        <w:t>berpedoman</w:t>
      </w:r>
      <w:r w:rsidR="00A954D0" w:rsidRPr="003255BC">
        <w:rPr>
          <w:rFonts w:ascii="Bookman Old Style" w:hAnsi="Bookman Old Style"/>
          <w:lang w:val="sv-FI"/>
        </w:rPr>
        <w:t xml:space="preserve"> </w:t>
      </w:r>
      <w:r w:rsidRPr="003255BC">
        <w:rPr>
          <w:rFonts w:ascii="Bookman Old Style" w:hAnsi="Bookman Old Style"/>
          <w:lang w:val="sv-FI"/>
        </w:rPr>
        <w:t>pada</w:t>
      </w:r>
      <w:r w:rsidR="00A954D0" w:rsidRPr="003255BC">
        <w:rPr>
          <w:rFonts w:ascii="Bookman Old Style" w:hAnsi="Bookman Old Style"/>
          <w:lang w:val="sv-FI"/>
        </w:rPr>
        <w:t xml:space="preserve"> </w:t>
      </w:r>
      <w:r w:rsidRPr="003255BC">
        <w:rPr>
          <w:rFonts w:ascii="Bookman Old Style" w:hAnsi="Bookman Old Style"/>
          <w:lang w:val="sv-FI"/>
        </w:rPr>
        <w:t>pagu</w:t>
      </w:r>
      <w:r w:rsidR="00A954D0" w:rsidRPr="003255BC">
        <w:rPr>
          <w:rFonts w:ascii="Bookman Old Style" w:hAnsi="Bookman Old Style"/>
          <w:lang w:val="sv-FI"/>
        </w:rPr>
        <w:t xml:space="preserve"> </w:t>
      </w:r>
      <w:r w:rsidRPr="003255BC">
        <w:rPr>
          <w:rFonts w:ascii="Bookman Old Style" w:hAnsi="Bookman Old Style"/>
          <w:lang w:val="sv-FI"/>
        </w:rPr>
        <w:t>anggaran</w:t>
      </w:r>
      <w:r w:rsidR="00A954D0" w:rsidRPr="003255BC">
        <w:rPr>
          <w:rFonts w:ascii="Bookman Old Style" w:hAnsi="Bookman Old Style"/>
          <w:lang w:val="sv-FI"/>
        </w:rPr>
        <w:t xml:space="preserve"> </w:t>
      </w:r>
      <w:r w:rsidRPr="003255BC">
        <w:rPr>
          <w:rFonts w:ascii="Bookman Old Style" w:hAnsi="Bookman Old Style"/>
          <w:lang w:val="sv-FI"/>
        </w:rPr>
        <w:t>Belanja</w:t>
      </w:r>
      <w:r w:rsidR="00A954D0" w:rsidRPr="003255BC">
        <w:rPr>
          <w:rFonts w:ascii="Bookman Old Style" w:hAnsi="Bookman Old Style"/>
          <w:lang w:val="sv-FI"/>
        </w:rPr>
        <w:t xml:space="preserve"> </w:t>
      </w:r>
      <w:r w:rsidRPr="003255BC">
        <w:rPr>
          <w:rFonts w:ascii="Bookman Old Style" w:hAnsi="Bookman Old Style"/>
          <w:lang w:val="sv-FI"/>
        </w:rPr>
        <w:t>Bantuan</w:t>
      </w:r>
      <w:r w:rsidR="00A954D0" w:rsidRPr="003255BC">
        <w:rPr>
          <w:rFonts w:ascii="Bookman Old Style" w:hAnsi="Bookman Old Style"/>
          <w:lang w:val="sv-FI"/>
        </w:rPr>
        <w:t xml:space="preserve"> </w:t>
      </w:r>
      <w:r w:rsidRPr="003255BC">
        <w:rPr>
          <w:rFonts w:ascii="Bookman Old Style" w:hAnsi="Bookman Old Style"/>
          <w:lang w:val="sv-FI"/>
        </w:rPr>
        <w:t>Sosial</w:t>
      </w:r>
      <w:r w:rsidR="00A954D0" w:rsidRPr="003255BC">
        <w:rPr>
          <w:rFonts w:ascii="Bookman Old Style" w:hAnsi="Bookman Old Style"/>
          <w:lang w:val="sv-FI"/>
        </w:rPr>
        <w:t xml:space="preserve"> </w:t>
      </w:r>
      <w:r w:rsidRPr="003255BC">
        <w:rPr>
          <w:rFonts w:ascii="Bookman Old Style" w:hAnsi="Bookman Old Style"/>
          <w:lang w:val="sv-FI"/>
        </w:rPr>
        <w:t>yang</w:t>
      </w:r>
      <w:r w:rsidR="00A954D0" w:rsidRPr="003255BC">
        <w:rPr>
          <w:rFonts w:ascii="Bookman Old Style" w:hAnsi="Bookman Old Style"/>
          <w:lang w:val="sv-FI"/>
        </w:rPr>
        <w:t xml:space="preserve"> </w:t>
      </w:r>
      <w:r w:rsidRPr="003255BC">
        <w:rPr>
          <w:rFonts w:ascii="Bookman Old Style" w:hAnsi="Bookman Old Style"/>
          <w:lang w:val="sv-FI"/>
        </w:rPr>
        <w:t>tercantum</w:t>
      </w:r>
      <w:r w:rsidR="00A954D0" w:rsidRPr="003255BC">
        <w:rPr>
          <w:rFonts w:ascii="Bookman Old Style" w:hAnsi="Bookman Old Style"/>
          <w:lang w:val="sv-FI"/>
        </w:rPr>
        <w:t xml:space="preserve"> </w:t>
      </w:r>
      <w:r w:rsidRPr="003255BC">
        <w:rPr>
          <w:rFonts w:ascii="Bookman Old Style" w:hAnsi="Bookman Old Style"/>
          <w:lang w:val="sv-FI"/>
        </w:rPr>
        <w:t>pada</w:t>
      </w:r>
      <w:r w:rsidR="00A954D0" w:rsidRPr="003255BC">
        <w:rPr>
          <w:rFonts w:ascii="Bookman Old Style" w:hAnsi="Bookman Old Style"/>
          <w:lang w:val="sv-FI"/>
        </w:rPr>
        <w:t xml:space="preserve"> </w:t>
      </w:r>
      <w:r w:rsidRPr="003255BC">
        <w:rPr>
          <w:rFonts w:ascii="Bookman Old Style" w:hAnsi="Bookman Old Style"/>
          <w:lang w:val="sv-FI"/>
        </w:rPr>
        <w:t>kelompok</w:t>
      </w:r>
      <w:r w:rsidR="00A954D0" w:rsidRPr="003255BC">
        <w:rPr>
          <w:rFonts w:ascii="Bookman Old Style" w:hAnsi="Bookman Old Style"/>
          <w:lang w:val="sv-FI"/>
        </w:rPr>
        <w:t xml:space="preserve"> </w:t>
      </w:r>
      <w:r w:rsidRPr="003255BC">
        <w:rPr>
          <w:rFonts w:ascii="Bookman Old Style" w:hAnsi="Bookman Old Style"/>
          <w:lang w:val="sv-FI"/>
        </w:rPr>
        <w:t>Belanja</w:t>
      </w:r>
      <w:r w:rsidR="00A954D0" w:rsidRPr="003255BC">
        <w:rPr>
          <w:rFonts w:ascii="Bookman Old Style" w:hAnsi="Bookman Old Style"/>
          <w:lang w:val="sv-FI"/>
        </w:rPr>
        <w:t xml:space="preserve"> </w:t>
      </w:r>
      <w:r w:rsidRPr="003255BC">
        <w:rPr>
          <w:rFonts w:ascii="Bookman Old Style" w:hAnsi="Bookman Old Style"/>
          <w:lang w:val="sv-FI"/>
        </w:rPr>
        <w:t>Operasi</w:t>
      </w:r>
      <w:r w:rsidR="00A954D0" w:rsidRPr="003255BC">
        <w:rPr>
          <w:rFonts w:ascii="Bookman Old Style" w:hAnsi="Bookman Old Style"/>
          <w:lang w:val="sv-FI"/>
        </w:rPr>
        <w:t xml:space="preserve"> </w:t>
      </w:r>
      <w:r w:rsidRPr="003255BC">
        <w:rPr>
          <w:rFonts w:ascii="Bookman Old Style" w:hAnsi="Bookman Old Style"/>
          <w:lang w:val="sv-FI"/>
        </w:rPr>
        <w:t>dalam</w:t>
      </w:r>
      <w:r w:rsidR="00A954D0" w:rsidRPr="003255BC">
        <w:rPr>
          <w:rFonts w:ascii="Bookman Old Style" w:hAnsi="Bookman Old Style"/>
          <w:lang w:val="sv-FI"/>
        </w:rPr>
        <w:t xml:space="preserve"> </w:t>
      </w:r>
      <w:r w:rsidRPr="003255BC">
        <w:rPr>
          <w:rFonts w:ascii="Bookman Old Style" w:hAnsi="Bookman Old Style"/>
          <w:lang w:val="sv-FI"/>
        </w:rPr>
        <w:t>RKPD,</w:t>
      </w:r>
      <w:r w:rsidR="00A954D0" w:rsidRPr="003255BC">
        <w:rPr>
          <w:rFonts w:ascii="Bookman Old Style" w:hAnsi="Bookman Old Style"/>
          <w:lang w:val="sv-FI"/>
        </w:rPr>
        <w:t xml:space="preserve"> </w:t>
      </w:r>
      <w:r w:rsidRPr="003255BC">
        <w:rPr>
          <w:rFonts w:ascii="Bookman Old Style" w:hAnsi="Bookman Old Style"/>
          <w:lang w:val="sv-FI"/>
        </w:rPr>
        <w:t>KUA</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PPAS.</w:t>
      </w:r>
    </w:p>
    <w:p w14:paraId="73A4D110" w14:textId="7B468701" w:rsidR="003B7FE4" w:rsidRPr="003D513B" w:rsidRDefault="003B7FE4" w:rsidP="00B8428D">
      <w:pPr>
        <w:pStyle w:val="ListParagraph"/>
        <w:numPr>
          <w:ilvl w:val="3"/>
          <w:numId w:val="267"/>
        </w:numPr>
        <w:spacing w:before="60" w:after="0" w:line="276" w:lineRule="auto"/>
        <w:ind w:left="1276" w:hanging="283"/>
        <w:contextualSpacing w:val="0"/>
        <w:jc w:val="both"/>
        <w:rPr>
          <w:rFonts w:ascii="Bookman Old Style" w:hAnsi="Bookman Old Style"/>
          <w:sz w:val="24"/>
          <w:szCs w:val="24"/>
        </w:rPr>
      </w:pPr>
      <w:r w:rsidRPr="003D513B">
        <w:rPr>
          <w:rFonts w:ascii="Bookman Old Style" w:hAnsi="Bookman Old Style"/>
          <w:sz w:val="24"/>
          <w:szCs w:val="24"/>
        </w:rPr>
        <w:t>Belanja</w:t>
      </w:r>
      <w:r w:rsidR="00A954D0">
        <w:rPr>
          <w:rFonts w:ascii="Bookman Old Style" w:hAnsi="Bookman Old Style"/>
          <w:sz w:val="24"/>
          <w:szCs w:val="24"/>
        </w:rPr>
        <w:t xml:space="preserve"> </w:t>
      </w:r>
      <w:r w:rsidRPr="003D513B">
        <w:rPr>
          <w:rFonts w:ascii="Bookman Old Style" w:hAnsi="Bookman Old Style"/>
          <w:sz w:val="24"/>
          <w:szCs w:val="24"/>
        </w:rPr>
        <w:t>Modal</w:t>
      </w:r>
    </w:p>
    <w:p w14:paraId="1589AB2D" w14:textId="054214C1" w:rsidR="00515C3A" w:rsidRPr="00DD0347" w:rsidRDefault="00515C3A" w:rsidP="00B8428D">
      <w:pPr>
        <w:pStyle w:val="ListParagraph"/>
        <w:spacing w:before="60" w:after="0" w:line="276" w:lineRule="auto"/>
        <w:ind w:left="1276"/>
        <w:contextualSpacing w:val="0"/>
        <w:jc w:val="both"/>
        <w:rPr>
          <w:rFonts w:ascii="Bookman Old Style" w:hAnsi="Bookman Old Style"/>
          <w:sz w:val="24"/>
          <w:szCs w:val="24"/>
          <w:highlight w:val="yellow"/>
        </w:rPr>
      </w:pPr>
      <w:r w:rsidRPr="00DD0347">
        <w:rPr>
          <w:rFonts w:ascii="Bookman Old Style" w:hAnsi="Bookman Old Style"/>
          <w:sz w:val="24"/>
          <w:szCs w:val="24"/>
        </w:rPr>
        <w:t>Penyediaan</w:t>
      </w:r>
      <w:r w:rsidR="00A954D0">
        <w:rPr>
          <w:rFonts w:ascii="Bookman Old Style" w:hAnsi="Bookman Old Style"/>
          <w:sz w:val="24"/>
          <w:szCs w:val="24"/>
        </w:rPr>
        <w:t xml:space="preserve"> </w:t>
      </w:r>
      <w:r w:rsidRPr="00DD0347">
        <w:rPr>
          <w:rFonts w:ascii="Bookman Old Style" w:hAnsi="Bookman Old Style"/>
          <w:sz w:val="24"/>
          <w:szCs w:val="24"/>
        </w:rPr>
        <w:t>anggaran</w:t>
      </w:r>
      <w:r w:rsidR="00A954D0">
        <w:rPr>
          <w:rFonts w:ascii="Bookman Old Style" w:hAnsi="Bookman Old Style"/>
          <w:sz w:val="24"/>
          <w:szCs w:val="24"/>
        </w:rPr>
        <w:t xml:space="preserve"> </w:t>
      </w:r>
      <w:r w:rsidRPr="00DD0347">
        <w:rPr>
          <w:rFonts w:ascii="Bookman Old Style" w:hAnsi="Bookman Old Style"/>
          <w:sz w:val="24"/>
          <w:szCs w:val="24"/>
        </w:rPr>
        <w:t>Belanja</w:t>
      </w:r>
      <w:r w:rsidR="00A954D0">
        <w:rPr>
          <w:rFonts w:ascii="Bookman Old Style" w:hAnsi="Bookman Old Style"/>
          <w:sz w:val="24"/>
          <w:szCs w:val="24"/>
        </w:rPr>
        <w:t xml:space="preserve"> </w:t>
      </w:r>
      <w:r w:rsidRPr="00DD0347">
        <w:rPr>
          <w:rFonts w:ascii="Bookman Old Style" w:hAnsi="Bookman Old Style"/>
          <w:sz w:val="24"/>
          <w:szCs w:val="24"/>
        </w:rPr>
        <w:t>Modal</w:t>
      </w:r>
      <w:r w:rsidR="00A954D0">
        <w:rPr>
          <w:rFonts w:ascii="Bookman Old Style" w:hAnsi="Bookman Old Style"/>
          <w:sz w:val="24"/>
          <w:szCs w:val="24"/>
        </w:rPr>
        <w:t xml:space="preserve"> </w:t>
      </w:r>
      <w:r w:rsidRPr="00DD0347">
        <w:rPr>
          <w:rFonts w:ascii="Bookman Old Style" w:hAnsi="Bookman Old Style"/>
          <w:sz w:val="24"/>
          <w:szCs w:val="24"/>
        </w:rPr>
        <w:t>Rp1.037.873.336.541,00</w:t>
      </w:r>
      <w:r w:rsidR="00A954D0">
        <w:rPr>
          <w:rFonts w:ascii="Bookman Old Style" w:hAnsi="Bookman Old Style"/>
          <w:sz w:val="24"/>
          <w:szCs w:val="24"/>
        </w:rPr>
        <w:t xml:space="preserve"> </w:t>
      </w:r>
      <w:r w:rsidRPr="00DD0347">
        <w:rPr>
          <w:rFonts w:ascii="Bookman Old Style" w:hAnsi="Bookman Old Style"/>
          <w:sz w:val="24"/>
          <w:szCs w:val="24"/>
        </w:rPr>
        <w:t>atau</w:t>
      </w:r>
      <w:r w:rsidR="00A954D0">
        <w:rPr>
          <w:rFonts w:ascii="Bookman Old Style" w:hAnsi="Bookman Old Style"/>
          <w:sz w:val="24"/>
          <w:szCs w:val="24"/>
        </w:rPr>
        <w:t xml:space="preserve"> </w:t>
      </w:r>
      <w:r w:rsidRPr="00DD0347">
        <w:rPr>
          <w:rFonts w:ascii="Bookman Old Style" w:hAnsi="Bookman Old Style"/>
          <w:sz w:val="24"/>
          <w:szCs w:val="24"/>
        </w:rPr>
        <w:t>18,19%</w:t>
      </w:r>
      <w:r w:rsidR="00A954D0">
        <w:rPr>
          <w:rFonts w:ascii="Bookman Old Style" w:hAnsi="Bookman Old Style"/>
          <w:sz w:val="24"/>
          <w:szCs w:val="24"/>
        </w:rPr>
        <w:t xml:space="preserve"> </w:t>
      </w:r>
      <w:r w:rsidRPr="00DD0347">
        <w:rPr>
          <w:rFonts w:ascii="Bookman Old Style" w:hAnsi="Bookman Old Style"/>
          <w:sz w:val="24"/>
          <w:szCs w:val="24"/>
        </w:rPr>
        <w:t>dari</w:t>
      </w:r>
      <w:r w:rsidR="00A954D0">
        <w:rPr>
          <w:rFonts w:ascii="Bookman Old Style" w:hAnsi="Bookman Old Style"/>
          <w:sz w:val="24"/>
          <w:szCs w:val="24"/>
        </w:rPr>
        <w:t xml:space="preserve"> </w:t>
      </w:r>
      <w:r w:rsidRPr="00DD0347">
        <w:rPr>
          <w:rFonts w:ascii="Bookman Old Style" w:hAnsi="Bookman Old Style"/>
          <w:sz w:val="24"/>
          <w:szCs w:val="24"/>
        </w:rPr>
        <w:t>total</w:t>
      </w:r>
      <w:r w:rsidR="00A954D0">
        <w:rPr>
          <w:rFonts w:ascii="Bookman Old Style" w:hAnsi="Bookman Old Style"/>
          <w:sz w:val="24"/>
          <w:szCs w:val="24"/>
        </w:rPr>
        <w:t xml:space="preserve"> </w:t>
      </w:r>
      <w:r w:rsidRPr="00DD0347">
        <w:rPr>
          <w:rFonts w:ascii="Bookman Old Style" w:hAnsi="Bookman Old Style"/>
          <w:sz w:val="24"/>
          <w:szCs w:val="24"/>
        </w:rPr>
        <w:t>belanja</w:t>
      </w:r>
      <w:r w:rsidR="00A954D0">
        <w:rPr>
          <w:rFonts w:ascii="Bookman Old Style" w:hAnsi="Bookman Old Style"/>
          <w:sz w:val="24"/>
          <w:szCs w:val="24"/>
        </w:rPr>
        <w:t xml:space="preserve"> </w:t>
      </w:r>
      <w:r w:rsidRPr="00DD0347">
        <w:rPr>
          <w:rFonts w:ascii="Bookman Old Style" w:hAnsi="Bookman Old Style"/>
          <w:sz w:val="24"/>
          <w:szCs w:val="24"/>
        </w:rPr>
        <w:t>daerah</w:t>
      </w:r>
      <w:r w:rsidR="00A954D0">
        <w:rPr>
          <w:rFonts w:ascii="Bookman Old Style" w:hAnsi="Bookman Old Style"/>
          <w:sz w:val="24"/>
          <w:szCs w:val="24"/>
        </w:rPr>
        <w:t xml:space="preserve"> </w:t>
      </w:r>
      <w:r w:rsidRPr="00DD0347">
        <w:rPr>
          <w:rFonts w:ascii="Bookman Old Style" w:hAnsi="Bookman Old Style"/>
          <w:sz w:val="24"/>
          <w:szCs w:val="24"/>
        </w:rPr>
        <w:t>dalam</w:t>
      </w:r>
      <w:r w:rsidR="00A954D0">
        <w:rPr>
          <w:rFonts w:ascii="Bookman Old Style" w:hAnsi="Bookman Old Style"/>
          <w:sz w:val="24"/>
          <w:szCs w:val="24"/>
        </w:rPr>
        <w:t xml:space="preserve"> </w:t>
      </w:r>
      <w:r w:rsidRPr="00DD0347">
        <w:rPr>
          <w:rFonts w:ascii="Bookman Old Style" w:hAnsi="Bookman Old Style"/>
          <w:sz w:val="24"/>
          <w:szCs w:val="24"/>
        </w:rPr>
        <w:t>Rancangan</w:t>
      </w:r>
      <w:r w:rsidR="00A954D0">
        <w:rPr>
          <w:rFonts w:ascii="Bookman Old Style" w:hAnsi="Bookman Old Style"/>
          <w:sz w:val="24"/>
          <w:szCs w:val="24"/>
        </w:rPr>
        <w:t xml:space="preserve"> </w:t>
      </w:r>
      <w:r w:rsidRPr="00DD0347">
        <w:rPr>
          <w:rFonts w:ascii="Bookman Old Style" w:hAnsi="Bookman Old Style"/>
          <w:sz w:val="24"/>
          <w:szCs w:val="24"/>
        </w:rPr>
        <w:t>Peraturan</w:t>
      </w:r>
      <w:r w:rsidR="00A954D0">
        <w:rPr>
          <w:rFonts w:ascii="Bookman Old Style" w:hAnsi="Bookman Old Style"/>
          <w:sz w:val="24"/>
          <w:szCs w:val="24"/>
        </w:rPr>
        <w:t xml:space="preserve"> </w:t>
      </w:r>
      <w:r w:rsidRPr="00DD0347">
        <w:rPr>
          <w:rFonts w:ascii="Bookman Old Style" w:hAnsi="Bookman Old Style"/>
          <w:sz w:val="24"/>
          <w:szCs w:val="24"/>
        </w:rPr>
        <w:t>Daerah</w:t>
      </w:r>
      <w:r w:rsidR="00A954D0">
        <w:rPr>
          <w:rFonts w:ascii="Bookman Old Style" w:hAnsi="Bookman Old Style"/>
          <w:sz w:val="24"/>
          <w:szCs w:val="24"/>
        </w:rPr>
        <w:t xml:space="preserve"> </w:t>
      </w:r>
      <w:r w:rsidRPr="00DD0347">
        <w:rPr>
          <w:rFonts w:ascii="Bookman Old Style" w:hAnsi="Bookman Old Style"/>
          <w:sz w:val="24"/>
          <w:szCs w:val="24"/>
        </w:rPr>
        <w:t>Kota</w:t>
      </w:r>
      <w:r w:rsidR="00A954D0">
        <w:rPr>
          <w:rFonts w:ascii="Bookman Old Style" w:hAnsi="Bookman Old Style"/>
          <w:sz w:val="24"/>
          <w:szCs w:val="24"/>
        </w:rPr>
        <w:t xml:space="preserve"> </w:t>
      </w:r>
      <w:r w:rsidRPr="00DD0347">
        <w:rPr>
          <w:rFonts w:ascii="Bookman Old Style" w:hAnsi="Bookman Old Style"/>
          <w:sz w:val="24"/>
          <w:szCs w:val="24"/>
        </w:rPr>
        <w:t>Tangerang</w:t>
      </w:r>
      <w:r w:rsidR="00A954D0">
        <w:rPr>
          <w:rFonts w:ascii="Bookman Old Style" w:hAnsi="Bookman Old Style"/>
          <w:sz w:val="24"/>
          <w:szCs w:val="24"/>
        </w:rPr>
        <w:t xml:space="preserve"> </w:t>
      </w:r>
      <w:r w:rsidRPr="00DD0347">
        <w:rPr>
          <w:rFonts w:ascii="Bookman Old Style" w:hAnsi="Bookman Old Style"/>
          <w:sz w:val="24"/>
          <w:szCs w:val="24"/>
        </w:rPr>
        <w:t>tentang</w:t>
      </w:r>
      <w:r w:rsidR="00A954D0">
        <w:rPr>
          <w:rFonts w:ascii="Bookman Old Style" w:hAnsi="Bookman Old Style"/>
          <w:sz w:val="24"/>
          <w:szCs w:val="24"/>
        </w:rPr>
        <w:t xml:space="preserve"> </w:t>
      </w:r>
      <w:r w:rsidRPr="00DD0347">
        <w:rPr>
          <w:rFonts w:ascii="Bookman Old Style" w:hAnsi="Bookman Old Style"/>
          <w:sz w:val="24"/>
          <w:szCs w:val="24"/>
        </w:rPr>
        <w:t>APBD</w:t>
      </w:r>
      <w:r w:rsidR="00A954D0">
        <w:rPr>
          <w:rFonts w:ascii="Bookman Old Style" w:hAnsi="Bookman Old Style"/>
          <w:sz w:val="24"/>
          <w:szCs w:val="24"/>
        </w:rPr>
        <w:t xml:space="preserve"> </w:t>
      </w:r>
      <w:r w:rsidRPr="00DD0347">
        <w:rPr>
          <w:rFonts w:ascii="Bookman Old Style" w:hAnsi="Bookman Old Style"/>
          <w:sz w:val="24"/>
          <w:szCs w:val="24"/>
        </w:rPr>
        <w:t>Tahun</w:t>
      </w:r>
      <w:r w:rsidR="00A954D0">
        <w:rPr>
          <w:rFonts w:ascii="Bookman Old Style" w:hAnsi="Bookman Old Style"/>
          <w:sz w:val="24"/>
          <w:szCs w:val="24"/>
        </w:rPr>
        <w:t xml:space="preserve"> </w:t>
      </w:r>
      <w:r w:rsidRPr="00DD0347">
        <w:rPr>
          <w:rFonts w:ascii="Bookman Old Style" w:hAnsi="Bookman Old Style"/>
          <w:sz w:val="24"/>
          <w:szCs w:val="24"/>
        </w:rPr>
        <w:t>Anggaran</w:t>
      </w:r>
      <w:r w:rsidR="00A954D0">
        <w:rPr>
          <w:rFonts w:ascii="Bookman Old Style" w:hAnsi="Bookman Old Style"/>
          <w:sz w:val="24"/>
          <w:szCs w:val="24"/>
        </w:rPr>
        <w:t xml:space="preserve"> </w:t>
      </w:r>
      <w:r w:rsidRPr="00DD0347">
        <w:rPr>
          <w:rFonts w:ascii="Bookman Old Style" w:hAnsi="Bookman Old Style"/>
          <w:sz w:val="24"/>
          <w:szCs w:val="24"/>
        </w:rPr>
        <w:t>2025,</w:t>
      </w:r>
      <w:r w:rsidR="00A954D0">
        <w:rPr>
          <w:rFonts w:ascii="Bookman Old Style" w:hAnsi="Bookman Old Style"/>
          <w:sz w:val="24"/>
          <w:szCs w:val="24"/>
        </w:rPr>
        <w:t xml:space="preserve"> </w:t>
      </w:r>
      <w:r w:rsidRPr="00DD0347">
        <w:rPr>
          <w:rFonts w:ascii="Bookman Old Style" w:hAnsi="Bookman Old Style"/>
          <w:sz w:val="24"/>
          <w:szCs w:val="24"/>
        </w:rPr>
        <w:t>dianggarkan</w:t>
      </w:r>
      <w:r w:rsidR="00A954D0">
        <w:rPr>
          <w:rFonts w:ascii="Bookman Old Style" w:hAnsi="Bookman Old Style"/>
          <w:sz w:val="24"/>
          <w:szCs w:val="24"/>
        </w:rPr>
        <w:t xml:space="preserve"> </w:t>
      </w:r>
      <w:r w:rsidRPr="00DD0347">
        <w:rPr>
          <w:rFonts w:ascii="Bookman Old Style" w:hAnsi="Bookman Old Style"/>
          <w:sz w:val="24"/>
          <w:szCs w:val="24"/>
        </w:rPr>
        <w:t>dalam</w:t>
      </w:r>
      <w:r w:rsidR="00A954D0">
        <w:rPr>
          <w:rFonts w:ascii="Bookman Old Style" w:hAnsi="Bookman Old Style"/>
          <w:sz w:val="24"/>
          <w:szCs w:val="24"/>
        </w:rPr>
        <w:t xml:space="preserve"> </w:t>
      </w:r>
      <w:r w:rsidRPr="00DD0347">
        <w:rPr>
          <w:rFonts w:ascii="Bookman Old Style" w:hAnsi="Bookman Old Style"/>
          <w:sz w:val="24"/>
          <w:szCs w:val="24"/>
        </w:rPr>
        <w:t>Rancangan</w:t>
      </w:r>
      <w:r w:rsidR="00A954D0">
        <w:rPr>
          <w:rFonts w:ascii="Bookman Old Style" w:hAnsi="Bookman Old Style"/>
          <w:sz w:val="24"/>
          <w:szCs w:val="24"/>
        </w:rPr>
        <w:t xml:space="preserve"> </w:t>
      </w:r>
      <w:r w:rsidRPr="00DD0347">
        <w:rPr>
          <w:rFonts w:ascii="Bookman Old Style" w:hAnsi="Bookman Old Style"/>
          <w:sz w:val="24"/>
          <w:szCs w:val="24"/>
        </w:rPr>
        <w:t>Peraturan</w:t>
      </w:r>
      <w:r w:rsidR="00A954D0">
        <w:rPr>
          <w:rFonts w:ascii="Bookman Old Style" w:hAnsi="Bookman Old Style"/>
          <w:sz w:val="24"/>
          <w:szCs w:val="24"/>
        </w:rPr>
        <w:t xml:space="preserve"> </w:t>
      </w:r>
      <w:r w:rsidRPr="00DD0347">
        <w:rPr>
          <w:rFonts w:ascii="Bookman Old Style" w:hAnsi="Bookman Old Style"/>
          <w:sz w:val="24"/>
          <w:szCs w:val="24"/>
        </w:rPr>
        <w:t>Daerah</w:t>
      </w:r>
      <w:r w:rsidR="00A954D0">
        <w:rPr>
          <w:rFonts w:ascii="Bookman Old Style" w:hAnsi="Bookman Old Style"/>
          <w:sz w:val="24"/>
          <w:szCs w:val="24"/>
        </w:rPr>
        <w:t xml:space="preserve"> </w:t>
      </w:r>
      <w:r w:rsidRPr="00DD0347">
        <w:rPr>
          <w:rFonts w:ascii="Bookman Old Style" w:hAnsi="Bookman Old Style"/>
          <w:sz w:val="24"/>
          <w:szCs w:val="24"/>
        </w:rPr>
        <w:t>Kota</w:t>
      </w:r>
      <w:r w:rsidR="00A954D0">
        <w:rPr>
          <w:rFonts w:ascii="Bookman Old Style" w:hAnsi="Bookman Old Style"/>
          <w:sz w:val="24"/>
          <w:szCs w:val="24"/>
        </w:rPr>
        <w:t xml:space="preserve"> </w:t>
      </w:r>
      <w:r w:rsidRPr="00DD0347">
        <w:rPr>
          <w:rFonts w:ascii="Bookman Old Style" w:hAnsi="Bookman Old Style"/>
          <w:sz w:val="24"/>
          <w:szCs w:val="24"/>
        </w:rPr>
        <w:t>Tangerang</w:t>
      </w:r>
      <w:r w:rsidR="00A954D0">
        <w:rPr>
          <w:rFonts w:ascii="Bookman Old Style" w:hAnsi="Bookman Old Style"/>
          <w:sz w:val="24"/>
          <w:szCs w:val="24"/>
        </w:rPr>
        <w:t xml:space="preserve"> </w:t>
      </w:r>
      <w:r w:rsidRPr="00DD0347">
        <w:rPr>
          <w:rFonts w:ascii="Bookman Old Style" w:hAnsi="Bookman Old Style"/>
          <w:sz w:val="24"/>
          <w:szCs w:val="24"/>
        </w:rPr>
        <w:t>tentang</w:t>
      </w:r>
      <w:r w:rsidR="00A954D0">
        <w:rPr>
          <w:rFonts w:ascii="Bookman Old Style" w:hAnsi="Bookman Old Style"/>
          <w:sz w:val="24"/>
          <w:szCs w:val="24"/>
        </w:rPr>
        <w:t xml:space="preserve"> </w:t>
      </w:r>
      <w:r w:rsidRPr="00DD0347">
        <w:rPr>
          <w:rFonts w:ascii="Bookman Old Style" w:hAnsi="Bookman Old Style"/>
          <w:sz w:val="24"/>
          <w:szCs w:val="24"/>
        </w:rPr>
        <w:t>APBD</w:t>
      </w:r>
      <w:r w:rsidR="00A954D0">
        <w:rPr>
          <w:rFonts w:ascii="Bookman Old Style" w:hAnsi="Bookman Old Style"/>
          <w:sz w:val="24"/>
          <w:szCs w:val="24"/>
        </w:rPr>
        <w:t xml:space="preserve"> </w:t>
      </w:r>
      <w:r w:rsidRPr="00DD0347">
        <w:rPr>
          <w:rFonts w:ascii="Bookman Old Style" w:hAnsi="Bookman Old Style"/>
          <w:sz w:val="24"/>
          <w:szCs w:val="24"/>
        </w:rPr>
        <w:t>Tahun</w:t>
      </w:r>
      <w:r w:rsidR="00A954D0">
        <w:rPr>
          <w:rFonts w:ascii="Bookman Old Style" w:hAnsi="Bookman Old Style"/>
          <w:sz w:val="24"/>
          <w:szCs w:val="24"/>
        </w:rPr>
        <w:t xml:space="preserve"> </w:t>
      </w:r>
      <w:r w:rsidRPr="00DD0347">
        <w:rPr>
          <w:rFonts w:ascii="Bookman Old Style" w:hAnsi="Bookman Old Style"/>
          <w:sz w:val="24"/>
          <w:szCs w:val="24"/>
        </w:rPr>
        <w:t>Anggaran</w:t>
      </w:r>
      <w:r w:rsidR="00A954D0">
        <w:rPr>
          <w:rFonts w:ascii="Bookman Old Style" w:hAnsi="Bookman Old Style"/>
          <w:sz w:val="24"/>
          <w:szCs w:val="24"/>
        </w:rPr>
        <w:t xml:space="preserve"> </w:t>
      </w:r>
      <w:r w:rsidRPr="00DD0347">
        <w:rPr>
          <w:rFonts w:ascii="Bookman Old Style" w:hAnsi="Bookman Old Style"/>
          <w:sz w:val="24"/>
          <w:szCs w:val="24"/>
        </w:rPr>
        <w:t>2025</w:t>
      </w:r>
      <w:r w:rsidR="00A954D0">
        <w:rPr>
          <w:rFonts w:ascii="Bookman Old Style" w:hAnsi="Bookman Old Style"/>
          <w:sz w:val="24"/>
          <w:szCs w:val="24"/>
        </w:rPr>
        <w:t xml:space="preserve"> </w:t>
      </w:r>
      <w:r w:rsidRPr="00DD0347">
        <w:rPr>
          <w:rFonts w:ascii="Bookman Old Style" w:hAnsi="Bookman Old Style"/>
          <w:sz w:val="24"/>
          <w:szCs w:val="24"/>
        </w:rPr>
        <w:t>yang</w:t>
      </w:r>
      <w:r w:rsidR="00A954D0">
        <w:rPr>
          <w:rFonts w:ascii="Bookman Old Style" w:hAnsi="Bookman Old Style"/>
          <w:sz w:val="24"/>
          <w:szCs w:val="24"/>
        </w:rPr>
        <w:t xml:space="preserve"> </w:t>
      </w:r>
      <w:r w:rsidRPr="00DD0347">
        <w:rPr>
          <w:rFonts w:ascii="Bookman Old Style" w:hAnsi="Bookman Old Style"/>
          <w:sz w:val="24"/>
          <w:szCs w:val="24"/>
        </w:rPr>
        <w:t>diprioritaskan</w:t>
      </w:r>
      <w:r w:rsidR="00A954D0">
        <w:rPr>
          <w:rFonts w:ascii="Bookman Old Style" w:hAnsi="Bookman Old Style"/>
          <w:sz w:val="24"/>
          <w:szCs w:val="24"/>
        </w:rPr>
        <w:t xml:space="preserve"> </w:t>
      </w:r>
      <w:r w:rsidRPr="00DD0347">
        <w:rPr>
          <w:rFonts w:ascii="Bookman Old Style" w:hAnsi="Bookman Old Style"/>
          <w:sz w:val="24"/>
          <w:szCs w:val="24"/>
        </w:rPr>
        <w:t>untuk</w:t>
      </w:r>
      <w:r w:rsidR="00A954D0">
        <w:rPr>
          <w:rFonts w:ascii="Bookman Old Style" w:hAnsi="Bookman Old Style"/>
          <w:sz w:val="24"/>
          <w:szCs w:val="24"/>
        </w:rPr>
        <w:t xml:space="preserve"> </w:t>
      </w:r>
      <w:r w:rsidRPr="00DD0347">
        <w:rPr>
          <w:rFonts w:ascii="Bookman Old Style" w:hAnsi="Bookman Old Style"/>
          <w:sz w:val="24"/>
          <w:szCs w:val="24"/>
        </w:rPr>
        <w:t>pembangunan</w:t>
      </w:r>
      <w:r w:rsidR="00A954D0">
        <w:rPr>
          <w:rFonts w:ascii="Bookman Old Style" w:hAnsi="Bookman Old Style"/>
          <w:sz w:val="24"/>
          <w:szCs w:val="24"/>
        </w:rPr>
        <w:t xml:space="preserve"> </w:t>
      </w:r>
      <w:r w:rsidRPr="00DD0347">
        <w:rPr>
          <w:rFonts w:ascii="Bookman Old Style" w:hAnsi="Bookman Old Style"/>
          <w:sz w:val="24"/>
          <w:szCs w:val="24"/>
        </w:rPr>
        <w:t>dan</w:t>
      </w:r>
      <w:r w:rsidR="00A954D0">
        <w:rPr>
          <w:rFonts w:ascii="Bookman Old Style" w:hAnsi="Bookman Old Style"/>
          <w:sz w:val="24"/>
          <w:szCs w:val="24"/>
        </w:rPr>
        <w:t xml:space="preserve"> </w:t>
      </w:r>
      <w:r w:rsidRPr="00DD0347">
        <w:rPr>
          <w:rFonts w:ascii="Bookman Old Style" w:hAnsi="Bookman Old Style"/>
          <w:sz w:val="24"/>
          <w:szCs w:val="24"/>
        </w:rPr>
        <w:t>pengembangan</w:t>
      </w:r>
      <w:r w:rsidR="00A954D0">
        <w:rPr>
          <w:rFonts w:ascii="Bookman Old Style" w:hAnsi="Bookman Old Style"/>
          <w:sz w:val="24"/>
          <w:szCs w:val="24"/>
        </w:rPr>
        <w:t xml:space="preserve"> </w:t>
      </w:r>
      <w:r w:rsidRPr="00DD0347">
        <w:rPr>
          <w:rFonts w:ascii="Bookman Old Style" w:hAnsi="Bookman Old Style"/>
          <w:sz w:val="24"/>
          <w:szCs w:val="24"/>
        </w:rPr>
        <w:t>sarana</w:t>
      </w:r>
      <w:r w:rsidR="00A954D0">
        <w:rPr>
          <w:rFonts w:ascii="Bookman Old Style" w:hAnsi="Bookman Old Style"/>
          <w:sz w:val="24"/>
          <w:szCs w:val="24"/>
        </w:rPr>
        <w:t xml:space="preserve"> </w:t>
      </w:r>
      <w:r w:rsidRPr="00DD0347">
        <w:rPr>
          <w:rFonts w:ascii="Bookman Old Style" w:hAnsi="Bookman Old Style"/>
          <w:sz w:val="24"/>
          <w:szCs w:val="24"/>
        </w:rPr>
        <w:t>dan</w:t>
      </w:r>
      <w:r w:rsidR="00A954D0">
        <w:rPr>
          <w:rFonts w:ascii="Bookman Old Style" w:hAnsi="Bookman Old Style"/>
          <w:sz w:val="24"/>
          <w:szCs w:val="24"/>
        </w:rPr>
        <w:t xml:space="preserve"> </w:t>
      </w:r>
      <w:r w:rsidRPr="00DD0347">
        <w:rPr>
          <w:rFonts w:ascii="Bookman Old Style" w:hAnsi="Bookman Old Style"/>
          <w:sz w:val="24"/>
          <w:szCs w:val="24"/>
        </w:rPr>
        <w:t>prasarana</w:t>
      </w:r>
      <w:r w:rsidR="00A954D0">
        <w:rPr>
          <w:rFonts w:ascii="Bookman Old Style" w:hAnsi="Bookman Old Style"/>
          <w:sz w:val="24"/>
          <w:szCs w:val="24"/>
        </w:rPr>
        <w:t xml:space="preserve"> </w:t>
      </w:r>
      <w:r w:rsidRPr="00DD0347">
        <w:rPr>
          <w:rFonts w:ascii="Bookman Old Style" w:hAnsi="Bookman Old Style"/>
          <w:sz w:val="24"/>
          <w:szCs w:val="24"/>
        </w:rPr>
        <w:t>yang</w:t>
      </w:r>
      <w:r w:rsidR="00A954D0">
        <w:rPr>
          <w:rFonts w:ascii="Bookman Old Style" w:hAnsi="Bookman Old Style"/>
          <w:sz w:val="24"/>
          <w:szCs w:val="24"/>
        </w:rPr>
        <w:t xml:space="preserve"> </w:t>
      </w:r>
      <w:r w:rsidRPr="00DD0347">
        <w:rPr>
          <w:rFonts w:ascii="Bookman Old Style" w:hAnsi="Bookman Old Style"/>
          <w:sz w:val="24"/>
          <w:szCs w:val="24"/>
        </w:rPr>
        <w:t>terkait</w:t>
      </w:r>
      <w:r w:rsidR="00A954D0">
        <w:rPr>
          <w:rFonts w:ascii="Bookman Old Style" w:hAnsi="Bookman Old Style"/>
          <w:sz w:val="24"/>
          <w:szCs w:val="24"/>
        </w:rPr>
        <w:t xml:space="preserve"> </w:t>
      </w:r>
      <w:r w:rsidRPr="00DD0347">
        <w:rPr>
          <w:rFonts w:ascii="Bookman Old Style" w:hAnsi="Bookman Old Style"/>
          <w:sz w:val="24"/>
          <w:szCs w:val="24"/>
        </w:rPr>
        <w:t>langsung</w:t>
      </w:r>
      <w:r w:rsidR="00A954D0">
        <w:rPr>
          <w:rFonts w:ascii="Bookman Old Style" w:hAnsi="Bookman Old Style"/>
          <w:sz w:val="24"/>
          <w:szCs w:val="24"/>
        </w:rPr>
        <w:t xml:space="preserve"> </w:t>
      </w:r>
      <w:r w:rsidRPr="00DD0347">
        <w:rPr>
          <w:rFonts w:ascii="Bookman Old Style" w:hAnsi="Bookman Old Style"/>
          <w:sz w:val="24"/>
          <w:szCs w:val="24"/>
        </w:rPr>
        <w:t>dengan</w:t>
      </w:r>
      <w:r w:rsidR="00A954D0">
        <w:rPr>
          <w:rFonts w:ascii="Bookman Old Style" w:hAnsi="Bookman Old Style"/>
          <w:sz w:val="24"/>
          <w:szCs w:val="24"/>
        </w:rPr>
        <w:t xml:space="preserve"> </w:t>
      </w:r>
      <w:r w:rsidRPr="00DD0347">
        <w:rPr>
          <w:rFonts w:ascii="Bookman Old Style" w:hAnsi="Bookman Old Style"/>
          <w:sz w:val="24"/>
          <w:szCs w:val="24"/>
        </w:rPr>
        <w:t>peningkatan</w:t>
      </w:r>
      <w:r w:rsidR="00A954D0">
        <w:rPr>
          <w:rFonts w:ascii="Bookman Old Style" w:hAnsi="Bookman Old Style"/>
          <w:sz w:val="24"/>
          <w:szCs w:val="24"/>
        </w:rPr>
        <w:t xml:space="preserve"> </w:t>
      </w:r>
      <w:r w:rsidRPr="00DD0347">
        <w:rPr>
          <w:rFonts w:ascii="Bookman Old Style" w:hAnsi="Bookman Old Style"/>
          <w:sz w:val="24"/>
          <w:szCs w:val="24"/>
        </w:rPr>
        <w:t>pelayanan</w:t>
      </w:r>
      <w:r w:rsidR="00A954D0">
        <w:rPr>
          <w:rFonts w:ascii="Bookman Old Style" w:hAnsi="Bookman Old Style"/>
          <w:sz w:val="24"/>
          <w:szCs w:val="24"/>
        </w:rPr>
        <w:t xml:space="preserve"> </w:t>
      </w:r>
      <w:r w:rsidRPr="00DD0347">
        <w:rPr>
          <w:rFonts w:ascii="Bookman Old Style" w:hAnsi="Bookman Old Style"/>
          <w:sz w:val="24"/>
          <w:szCs w:val="24"/>
        </w:rPr>
        <w:t>publik</w:t>
      </w:r>
      <w:r w:rsidR="00A954D0">
        <w:rPr>
          <w:rFonts w:ascii="Bookman Old Style" w:hAnsi="Bookman Old Style"/>
          <w:sz w:val="24"/>
          <w:szCs w:val="24"/>
        </w:rPr>
        <w:t xml:space="preserve"> </w:t>
      </w:r>
      <w:r w:rsidRPr="00DD0347">
        <w:rPr>
          <w:rFonts w:ascii="Bookman Old Style" w:hAnsi="Bookman Old Style"/>
          <w:sz w:val="24"/>
          <w:szCs w:val="24"/>
        </w:rPr>
        <w:t>serta</w:t>
      </w:r>
      <w:r w:rsidR="00A954D0">
        <w:rPr>
          <w:rFonts w:ascii="Bookman Old Style" w:hAnsi="Bookman Old Style"/>
          <w:sz w:val="24"/>
          <w:szCs w:val="24"/>
        </w:rPr>
        <w:t xml:space="preserve"> </w:t>
      </w:r>
      <w:r w:rsidRPr="00DD0347">
        <w:rPr>
          <w:rFonts w:ascii="Bookman Old Style" w:hAnsi="Bookman Old Style"/>
          <w:sz w:val="24"/>
          <w:szCs w:val="24"/>
        </w:rPr>
        <w:t>pertumbuhan</w:t>
      </w:r>
      <w:r w:rsidR="00A954D0">
        <w:rPr>
          <w:rFonts w:ascii="Bookman Old Style" w:hAnsi="Bookman Old Style"/>
          <w:sz w:val="24"/>
          <w:szCs w:val="24"/>
        </w:rPr>
        <w:t xml:space="preserve"> </w:t>
      </w:r>
      <w:r w:rsidRPr="00DD0347">
        <w:rPr>
          <w:rFonts w:ascii="Bookman Old Style" w:hAnsi="Bookman Old Style"/>
          <w:sz w:val="24"/>
          <w:szCs w:val="24"/>
        </w:rPr>
        <w:t>ekonomi</w:t>
      </w:r>
      <w:r w:rsidR="00A954D0">
        <w:rPr>
          <w:rFonts w:ascii="Bookman Old Style" w:hAnsi="Bookman Old Style"/>
          <w:sz w:val="24"/>
          <w:szCs w:val="24"/>
        </w:rPr>
        <w:t xml:space="preserve"> </w:t>
      </w:r>
      <w:r w:rsidRPr="00DD0347">
        <w:rPr>
          <w:rFonts w:ascii="Bookman Old Style" w:hAnsi="Bookman Old Style"/>
          <w:sz w:val="24"/>
          <w:szCs w:val="24"/>
        </w:rPr>
        <w:t>daerah,</w:t>
      </w:r>
      <w:r w:rsidR="00A954D0">
        <w:rPr>
          <w:rFonts w:ascii="Bookman Old Style" w:hAnsi="Bookman Old Style"/>
          <w:sz w:val="24"/>
          <w:szCs w:val="24"/>
        </w:rPr>
        <w:t xml:space="preserve"> </w:t>
      </w:r>
      <w:r w:rsidRPr="00DD0347">
        <w:rPr>
          <w:rFonts w:ascii="Bookman Old Style" w:hAnsi="Bookman Old Style"/>
          <w:sz w:val="24"/>
          <w:szCs w:val="24"/>
        </w:rPr>
        <w:t>sebagaimana</w:t>
      </w:r>
      <w:r w:rsidR="00A954D0">
        <w:rPr>
          <w:rFonts w:ascii="Bookman Old Style" w:hAnsi="Bookman Old Style"/>
          <w:sz w:val="24"/>
          <w:szCs w:val="24"/>
        </w:rPr>
        <w:t xml:space="preserve"> </w:t>
      </w:r>
      <w:r w:rsidRPr="00DD0347">
        <w:rPr>
          <w:rFonts w:ascii="Bookman Old Style" w:hAnsi="Bookman Old Style"/>
          <w:sz w:val="24"/>
          <w:szCs w:val="24"/>
        </w:rPr>
        <w:t>maksud</w:t>
      </w:r>
      <w:r w:rsidR="00A954D0">
        <w:rPr>
          <w:rFonts w:ascii="Bookman Old Style" w:hAnsi="Bookman Old Style"/>
          <w:sz w:val="24"/>
          <w:szCs w:val="24"/>
        </w:rPr>
        <w:t xml:space="preserve"> </w:t>
      </w:r>
      <w:r w:rsidRPr="00DD0347">
        <w:rPr>
          <w:rFonts w:ascii="Bookman Old Style" w:hAnsi="Bookman Old Style"/>
          <w:sz w:val="24"/>
          <w:szCs w:val="24"/>
        </w:rPr>
        <w:t>butir</w:t>
      </w:r>
      <w:r w:rsidR="00A954D0">
        <w:rPr>
          <w:rFonts w:ascii="Bookman Old Style" w:hAnsi="Bookman Old Style"/>
          <w:sz w:val="24"/>
          <w:szCs w:val="24"/>
        </w:rPr>
        <w:t xml:space="preserve"> </w:t>
      </w:r>
      <w:r w:rsidRPr="00DD0347">
        <w:rPr>
          <w:rFonts w:ascii="Bookman Old Style" w:hAnsi="Bookman Old Style"/>
          <w:sz w:val="24"/>
          <w:szCs w:val="24"/>
        </w:rPr>
        <w:t>3.4.2.d.1)</w:t>
      </w:r>
      <w:r w:rsidR="00A954D0">
        <w:rPr>
          <w:rFonts w:ascii="Bookman Old Style" w:hAnsi="Bookman Old Style"/>
          <w:sz w:val="24"/>
          <w:szCs w:val="24"/>
        </w:rPr>
        <w:t xml:space="preserve"> </w:t>
      </w:r>
      <w:r w:rsidRPr="00DD0347">
        <w:rPr>
          <w:rFonts w:ascii="Bookman Old Style" w:hAnsi="Bookman Old Style"/>
          <w:sz w:val="24"/>
          <w:szCs w:val="24"/>
        </w:rPr>
        <w:t>Lampiran</w:t>
      </w:r>
      <w:r w:rsidR="00A954D0">
        <w:rPr>
          <w:rFonts w:ascii="Bookman Old Style" w:hAnsi="Bookman Old Style"/>
          <w:sz w:val="24"/>
          <w:szCs w:val="24"/>
        </w:rPr>
        <w:t xml:space="preserve"> </w:t>
      </w:r>
      <w:r w:rsidRPr="00DD0347">
        <w:rPr>
          <w:rFonts w:ascii="Bookman Old Style" w:hAnsi="Bookman Old Style"/>
          <w:sz w:val="24"/>
          <w:szCs w:val="24"/>
        </w:rPr>
        <w:t>Peraturan</w:t>
      </w:r>
      <w:r w:rsidR="00A954D0">
        <w:rPr>
          <w:rFonts w:ascii="Bookman Old Style" w:hAnsi="Bookman Old Style"/>
          <w:sz w:val="24"/>
          <w:szCs w:val="24"/>
        </w:rPr>
        <w:t xml:space="preserve"> </w:t>
      </w:r>
      <w:r w:rsidRPr="00DD0347">
        <w:rPr>
          <w:rFonts w:ascii="Bookman Old Style" w:hAnsi="Bookman Old Style"/>
          <w:sz w:val="24"/>
          <w:szCs w:val="24"/>
        </w:rPr>
        <w:t>Menteri</w:t>
      </w:r>
      <w:r w:rsidR="00A954D0">
        <w:rPr>
          <w:rFonts w:ascii="Bookman Old Style" w:hAnsi="Bookman Old Style"/>
          <w:sz w:val="24"/>
          <w:szCs w:val="24"/>
        </w:rPr>
        <w:t xml:space="preserve"> </w:t>
      </w:r>
      <w:r w:rsidRPr="00DD0347">
        <w:rPr>
          <w:rFonts w:ascii="Bookman Old Style" w:hAnsi="Bookman Old Style"/>
          <w:sz w:val="24"/>
          <w:szCs w:val="24"/>
        </w:rPr>
        <w:t>Dalam</w:t>
      </w:r>
      <w:r w:rsidR="00A954D0">
        <w:rPr>
          <w:rFonts w:ascii="Bookman Old Style" w:hAnsi="Bookman Old Style"/>
          <w:sz w:val="24"/>
          <w:szCs w:val="24"/>
        </w:rPr>
        <w:t xml:space="preserve"> </w:t>
      </w:r>
      <w:r w:rsidRPr="00DD0347">
        <w:rPr>
          <w:rFonts w:ascii="Bookman Old Style" w:hAnsi="Bookman Old Style"/>
          <w:sz w:val="24"/>
          <w:szCs w:val="24"/>
        </w:rPr>
        <w:t>Negeri</w:t>
      </w:r>
      <w:r w:rsidR="00A954D0">
        <w:rPr>
          <w:rFonts w:ascii="Bookman Old Style" w:hAnsi="Bookman Old Style"/>
          <w:sz w:val="24"/>
          <w:szCs w:val="24"/>
        </w:rPr>
        <w:t xml:space="preserve"> </w:t>
      </w:r>
      <w:r w:rsidRPr="00DD0347">
        <w:rPr>
          <w:rFonts w:ascii="Bookman Old Style" w:hAnsi="Bookman Old Style"/>
          <w:sz w:val="24"/>
          <w:szCs w:val="24"/>
        </w:rPr>
        <w:t>Nomor</w:t>
      </w:r>
      <w:r w:rsidR="00A954D0">
        <w:rPr>
          <w:rFonts w:ascii="Bookman Old Style" w:hAnsi="Bookman Old Style"/>
          <w:sz w:val="24"/>
          <w:szCs w:val="24"/>
        </w:rPr>
        <w:t xml:space="preserve"> </w:t>
      </w:r>
      <w:r w:rsidRPr="00DD0347">
        <w:rPr>
          <w:rFonts w:ascii="Bookman Old Style" w:hAnsi="Bookman Old Style"/>
          <w:sz w:val="24"/>
          <w:szCs w:val="24"/>
        </w:rPr>
        <w:t>15</w:t>
      </w:r>
      <w:r w:rsidR="00A954D0">
        <w:rPr>
          <w:rFonts w:ascii="Bookman Old Style" w:hAnsi="Bookman Old Style"/>
          <w:sz w:val="24"/>
          <w:szCs w:val="24"/>
        </w:rPr>
        <w:t xml:space="preserve"> </w:t>
      </w:r>
      <w:r w:rsidRPr="00DD0347">
        <w:rPr>
          <w:rFonts w:ascii="Bookman Old Style" w:hAnsi="Bookman Old Style"/>
          <w:sz w:val="24"/>
          <w:szCs w:val="24"/>
        </w:rPr>
        <w:t>Tahun</w:t>
      </w:r>
      <w:r w:rsidR="00A954D0">
        <w:rPr>
          <w:rFonts w:ascii="Bookman Old Style" w:hAnsi="Bookman Old Style"/>
          <w:sz w:val="24"/>
          <w:szCs w:val="24"/>
        </w:rPr>
        <w:t xml:space="preserve"> </w:t>
      </w:r>
      <w:r w:rsidRPr="00DD0347">
        <w:rPr>
          <w:rFonts w:ascii="Bookman Old Style" w:hAnsi="Bookman Old Style"/>
          <w:sz w:val="24"/>
          <w:szCs w:val="24"/>
        </w:rPr>
        <w:t>2024.</w:t>
      </w:r>
    </w:p>
    <w:p w14:paraId="5D789A0A" w14:textId="53F110AE" w:rsidR="00515C3A" w:rsidRPr="00272464" w:rsidRDefault="00515C3A" w:rsidP="00154790">
      <w:pPr>
        <w:pStyle w:val="ListParagraph"/>
        <w:spacing w:before="60" w:after="0" w:line="276" w:lineRule="auto"/>
        <w:ind w:left="1276"/>
        <w:contextualSpacing w:val="0"/>
        <w:jc w:val="both"/>
        <w:rPr>
          <w:rFonts w:ascii="Bookman Old Style" w:hAnsi="Bookman Old Style"/>
          <w:sz w:val="24"/>
          <w:szCs w:val="24"/>
        </w:rPr>
      </w:pPr>
      <w:r w:rsidRPr="00272464">
        <w:rPr>
          <w:rFonts w:ascii="Bookman Old Style" w:hAnsi="Bookman Old Style"/>
          <w:sz w:val="24"/>
          <w:szCs w:val="24"/>
        </w:rPr>
        <w:t>Penganggaran</w:t>
      </w:r>
      <w:r w:rsidR="00A954D0">
        <w:rPr>
          <w:rFonts w:ascii="Bookman Old Style" w:hAnsi="Bookman Old Style"/>
          <w:sz w:val="24"/>
          <w:szCs w:val="24"/>
        </w:rPr>
        <w:t xml:space="preserve"> </w:t>
      </w:r>
      <w:r w:rsidRPr="00272464">
        <w:rPr>
          <w:rFonts w:ascii="Bookman Old Style" w:hAnsi="Bookman Old Style"/>
          <w:sz w:val="24"/>
          <w:szCs w:val="24"/>
        </w:rPr>
        <w:t>belanja</w:t>
      </w:r>
      <w:r w:rsidR="00A954D0">
        <w:rPr>
          <w:rFonts w:ascii="Bookman Old Style" w:hAnsi="Bookman Old Style"/>
          <w:sz w:val="24"/>
          <w:szCs w:val="24"/>
        </w:rPr>
        <w:t xml:space="preserve"> </w:t>
      </w:r>
      <w:r w:rsidRPr="00272464">
        <w:rPr>
          <w:rFonts w:ascii="Bookman Old Style" w:hAnsi="Bookman Old Style"/>
          <w:sz w:val="24"/>
          <w:szCs w:val="24"/>
        </w:rPr>
        <w:t>modal</w:t>
      </w:r>
      <w:r w:rsidR="00A954D0">
        <w:rPr>
          <w:rFonts w:ascii="Bookman Old Style" w:hAnsi="Bookman Old Style"/>
          <w:sz w:val="24"/>
          <w:szCs w:val="24"/>
        </w:rPr>
        <w:t xml:space="preserve"> </w:t>
      </w:r>
      <w:r w:rsidRPr="00272464">
        <w:rPr>
          <w:rFonts w:ascii="Bookman Old Style" w:hAnsi="Bookman Old Style"/>
          <w:sz w:val="24"/>
          <w:szCs w:val="24"/>
        </w:rPr>
        <w:t>tersebut</w:t>
      </w:r>
      <w:r w:rsidR="00A954D0">
        <w:rPr>
          <w:rFonts w:ascii="Bookman Old Style" w:hAnsi="Bookman Old Style"/>
          <w:sz w:val="24"/>
          <w:szCs w:val="24"/>
        </w:rPr>
        <w:t xml:space="preserve"> </w:t>
      </w:r>
      <w:r w:rsidRPr="00272464">
        <w:rPr>
          <w:rFonts w:ascii="Bookman Old Style" w:hAnsi="Bookman Old Style"/>
          <w:sz w:val="24"/>
          <w:szCs w:val="24"/>
        </w:rPr>
        <w:t>digunakan</w:t>
      </w:r>
      <w:r w:rsidR="00A954D0">
        <w:rPr>
          <w:rFonts w:ascii="Bookman Old Style" w:hAnsi="Bookman Old Style"/>
          <w:sz w:val="24"/>
          <w:szCs w:val="24"/>
        </w:rPr>
        <w:t xml:space="preserve"> </w:t>
      </w:r>
      <w:r w:rsidRPr="00272464">
        <w:rPr>
          <w:rFonts w:ascii="Bookman Old Style" w:hAnsi="Bookman Old Style"/>
          <w:sz w:val="24"/>
          <w:szCs w:val="24"/>
        </w:rPr>
        <w:t>untuk</w:t>
      </w:r>
      <w:r w:rsidR="00A954D0">
        <w:rPr>
          <w:rFonts w:ascii="Bookman Old Style" w:hAnsi="Bookman Old Style"/>
          <w:sz w:val="24"/>
          <w:szCs w:val="24"/>
        </w:rPr>
        <w:t xml:space="preserve"> </w:t>
      </w:r>
      <w:r w:rsidRPr="00272464">
        <w:rPr>
          <w:rFonts w:ascii="Bookman Old Style" w:hAnsi="Bookman Old Style"/>
          <w:sz w:val="24"/>
          <w:szCs w:val="24"/>
        </w:rPr>
        <w:t>pengeluaran</w:t>
      </w:r>
      <w:r w:rsidR="00A954D0">
        <w:rPr>
          <w:rFonts w:ascii="Bookman Old Style" w:hAnsi="Bookman Old Style"/>
          <w:sz w:val="24"/>
          <w:szCs w:val="24"/>
        </w:rPr>
        <w:t xml:space="preserve"> </w:t>
      </w:r>
      <w:r w:rsidRPr="00272464">
        <w:rPr>
          <w:rFonts w:ascii="Bookman Old Style" w:hAnsi="Bookman Old Style"/>
          <w:sz w:val="24"/>
          <w:szCs w:val="24"/>
        </w:rPr>
        <w:t>yang</w:t>
      </w:r>
      <w:r w:rsidR="00A954D0">
        <w:rPr>
          <w:rFonts w:ascii="Bookman Old Style" w:hAnsi="Bookman Old Style"/>
          <w:sz w:val="24"/>
          <w:szCs w:val="24"/>
        </w:rPr>
        <w:t xml:space="preserve"> </w:t>
      </w:r>
      <w:r w:rsidRPr="00272464">
        <w:rPr>
          <w:rFonts w:ascii="Bookman Old Style" w:hAnsi="Bookman Old Style"/>
          <w:sz w:val="24"/>
          <w:szCs w:val="24"/>
        </w:rPr>
        <w:t>dilakukan</w:t>
      </w:r>
      <w:r w:rsidR="00A954D0">
        <w:rPr>
          <w:rFonts w:ascii="Bookman Old Style" w:hAnsi="Bookman Old Style"/>
          <w:sz w:val="24"/>
          <w:szCs w:val="24"/>
        </w:rPr>
        <w:t xml:space="preserve"> </w:t>
      </w:r>
      <w:r w:rsidRPr="00272464">
        <w:rPr>
          <w:rFonts w:ascii="Bookman Old Style" w:hAnsi="Bookman Old Style"/>
          <w:sz w:val="24"/>
          <w:szCs w:val="24"/>
        </w:rPr>
        <w:t>dalam</w:t>
      </w:r>
      <w:r w:rsidR="00A954D0">
        <w:rPr>
          <w:rFonts w:ascii="Bookman Old Style" w:hAnsi="Bookman Old Style"/>
          <w:sz w:val="24"/>
          <w:szCs w:val="24"/>
        </w:rPr>
        <w:t xml:space="preserve"> </w:t>
      </w:r>
      <w:r w:rsidRPr="00272464">
        <w:rPr>
          <w:rFonts w:ascii="Bookman Old Style" w:hAnsi="Bookman Old Style"/>
          <w:sz w:val="24"/>
          <w:szCs w:val="24"/>
        </w:rPr>
        <w:t>rangka</w:t>
      </w:r>
      <w:r w:rsidR="00A954D0">
        <w:rPr>
          <w:rFonts w:ascii="Bookman Old Style" w:hAnsi="Bookman Old Style"/>
          <w:sz w:val="24"/>
          <w:szCs w:val="24"/>
        </w:rPr>
        <w:t xml:space="preserve"> </w:t>
      </w:r>
      <w:r w:rsidRPr="00272464">
        <w:rPr>
          <w:rFonts w:ascii="Bookman Old Style" w:hAnsi="Bookman Old Style"/>
          <w:sz w:val="24"/>
          <w:szCs w:val="24"/>
        </w:rPr>
        <w:t>pengadaan</w:t>
      </w:r>
      <w:r w:rsidR="00A954D0">
        <w:rPr>
          <w:rFonts w:ascii="Bookman Old Style" w:hAnsi="Bookman Old Style"/>
          <w:sz w:val="24"/>
          <w:szCs w:val="24"/>
        </w:rPr>
        <w:t xml:space="preserve"> </w:t>
      </w:r>
      <w:r w:rsidRPr="00272464">
        <w:rPr>
          <w:rFonts w:ascii="Bookman Old Style" w:hAnsi="Bookman Old Style"/>
          <w:sz w:val="24"/>
          <w:szCs w:val="24"/>
        </w:rPr>
        <w:t>aset</w:t>
      </w:r>
      <w:r w:rsidR="00A954D0">
        <w:rPr>
          <w:rFonts w:ascii="Bookman Old Style" w:hAnsi="Bookman Old Style"/>
          <w:sz w:val="24"/>
          <w:szCs w:val="24"/>
        </w:rPr>
        <w:t xml:space="preserve"> </w:t>
      </w:r>
      <w:r w:rsidRPr="00272464">
        <w:rPr>
          <w:rFonts w:ascii="Bookman Old Style" w:hAnsi="Bookman Old Style"/>
          <w:sz w:val="24"/>
          <w:szCs w:val="24"/>
        </w:rPr>
        <w:t>tetap</w:t>
      </w:r>
      <w:r w:rsidR="00A954D0">
        <w:rPr>
          <w:rFonts w:ascii="Bookman Old Style" w:hAnsi="Bookman Old Style"/>
          <w:sz w:val="24"/>
          <w:szCs w:val="24"/>
        </w:rPr>
        <w:t xml:space="preserve"> </w:t>
      </w:r>
      <w:r w:rsidRPr="00272464">
        <w:rPr>
          <w:rFonts w:ascii="Bookman Old Style" w:hAnsi="Bookman Old Style"/>
          <w:sz w:val="24"/>
          <w:szCs w:val="24"/>
        </w:rPr>
        <w:t>dan</w:t>
      </w:r>
      <w:r w:rsidR="00A954D0">
        <w:rPr>
          <w:rFonts w:ascii="Bookman Old Style" w:hAnsi="Bookman Old Style"/>
          <w:sz w:val="24"/>
          <w:szCs w:val="24"/>
        </w:rPr>
        <w:t xml:space="preserve"> </w:t>
      </w:r>
      <w:r w:rsidRPr="00272464">
        <w:rPr>
          <w:rFonts w:ascii="Bookman Old Style" w:hAnsi="Bookman Old Style"/>
          <w:sz w:val="24"/>
          <w:szCs w:val="24"/>
        </w:rPr>
        <w:t>aset</w:t>
      </w:r>
      <w:r w:rsidR="00A954D0">
        <w:rPr>
          <w:rFonts w:ascii="Bookman Old Style" w:hAnsi="Bookman Old Style"/>
          <w:sz w:val="24"/>
          <w:szCs w:val="24"/>
        </w:rPr>
        <w:t xml:space="preserve"> </w:t>
      </w:r>
      <w:r w:rsidRPr="00272464">
        <w:rPr>
          <w:rFonts w:ascii="Bookman Old Style" w:hAnsi="Bookman Old Style"/>
          <w:sz w:val="24"/>
          <w:szCs w:val="24"/>
        </w:rPr>
        <w:t>lainnya</w:t>
      </w:r>
      <w:r w:rsidR="00A954D0">
        <w:rPr>
          <w:rFonts w:ascii="Bookman Old Style" w:hAnsi="Bookman Old Style"/>
          <w:sz w:val="24"/>
          <w:szCs w:val="24"/>
        </w:rPr>
        <w:t xml:space="preserve"> </w:t>
      </w:r>
      <w:r w:rsidRPr="00272464">
        <w:rPr>
          <w:rFonts w:ascii="Bookman Old Style" w:hAnsi="Bookman Old Style"/>
          <w:sz w:val="24"/>
          <w:szCs w:val="24"/>
        </w:rPr>
        <w:t>yang</w:t>
      </w:r>
      <w:r w:rsidR="00A954D0">
        <w:rPr>
          <w:rFonts w:ascii="Bookman Old Style" w:hAnsi="Bookman Old Style"/>
          <w:sz w:val="24"/>
          <w:szCs w:val="24"/>
        </w:rPr>
        <w:t xml:space="preserve"> </w:t>
      </w:r>
      <w:r w:rsidRPr="00272464">
        <w:rPr>
          <w:rFonts w:ascii="Bookman Old Style" w:hAnsi="Bookman Old Style"/>
          <w:sz w:val="24"/>
          <w:szCs w:val="24"/>
        </w:rPr>
        <w:t>memenuhi</w:t>
      </w:r>
      <w:r w:rsidR="00A954D0">
        <w:rPr>
          <w:rFonts w:ascii="Bookman Old Style" w:hAnsi="Bookman Old Style"/>
          <w:sz w:val="24"/>
          <w:szCs w:val="24"/>
        </w:rPr>
        <w:t xml:space="preserve"> </w:t>
      </w:r>
      <w:r w:rsidRPr="00272464">
        <w:rPr>
          <w:rFonts w:ascii="Bookman Old Style" w:hAnsi="Bookman Old Style"/>
          <w:sz w:val="24"/>
          <w:szCs w:val="24"/>
        </w:rPr>
        <w:t>kriteria</w:t>
      </w:r>
      <w:r w:rsidR="00A954D0">
        <w:rPr>
          <w:rFonts w:ascii="Bookman Old Style" w:hAnsi="Bookman Old Style"/>
          <w:sz w:val="24"/>
          <w:szCs w:val="24"/>
        </w:rPr>
        <w:t xml:space="preserve"> </w:t>
      </w:r>
      <w:r w:rsidRPr="00272464">
        <w:rPr>
          <w:rFonts w:ascii="Bookman Old Style" w:hAnsi="Bookman Old Style"/>
          <w:sz w:val="24"/>
          <w:szCs w:val="24"/>
        </w:rPr>
        <w:t>mempunyai</w:t>
      </w:r>
      <w:r w:rsidR="00A954D0">
        <w:rPr>
          <w:rFonts w:ascii="Bookman Old Style" w:hAnsi="Bookman Old Style"/>
          <w:sz w:val="24"/>
          <w:szCs w:val="24"/>
        </w:rPr>
        <w:t xml:space="preserve"> </w:t>
      </w:r>
      <w:r w:rsidRPr="00272464">
        <w:rPr>
          <w:rFonts w:ascii="Bookman Old Style" w:hAnsi="Bookman Old Style"/>
          <w:sz w:val="24"/>
          <w:szCs w:val="24"/>
        </w:rPr>
        <w:t>masa</w:t>
      </w:r>
      <w:r w:rsidR="00A954D0">
        <w:rPr>
          <w:rFonts w:ascii="Bookman Old Style" w:hAnsi="Bookman Old Style"/>
          <w:sz w:val="24"/>
          <w:szCs w:val="24"/>
        </w:rPr>
        <w:t xml:space="preserve"> </w:t>
      </w:r>
      <w:r w:rsidRPr="00272464">
        <w:rPr>
          <w:rFonts w:ascii="Bookman Old Style" w:hAnsi="Bookman Old Style"/>
          <w:sz w:val="24"/>
          <w:szCs w:val="24"/>
        </w:rPr>
        <w:t>manfaat</w:t>
      </w:r>
      <w:r w:rsidR="00A954D0">
        <w:rPr>
          <w:rFonts w:ascii="Bookman Old Style" w:hAnsi="Bookman Old Style"/>
          <w:sz w:val="24"/>
          <w:szCs w:val="24"/>
        </w:rPr>
        <w:t xml:space="preserve"> </w:t>
      </w:r>
      <w:r w:rsidRPr="00272464">
        <w:rPr>
          <w:rFonts w:ascii="Bookman Old Style" w:hAnsi="Bookman Old Style"/>
          <w:sz w:val="24"/>
          <w:szCs w:val="24"/>
        </w:rPr>
        <w:t>lebih</w:t>
      </w:r>
      <w:r w:rsidR="00A954D0">
        <w:rPr>
          <w:rFonts w:ascii="Bookman Old Style" w:hAnsi="Bookman Old Style"/>
          <w:sz w:val="24"/>
          <w:szCs w:val="24"/>
        </w:rPr>
        <w:t xml:space="preserve"> </w:t>
      </w:r>
      <w:r w:rsidRPr="00272464">
        <w:rPr>
          <w:rFonts w:ascii="Bookman Old Style" w:hAnsi="Bookman Old Style"/>
          <w:sz w:val="24"/>
          <w:szCs w:val="24"/>
        </w:rPr>
        <w:t>dari</w:t>
      </w:r>
      <w:r w:rsidR="00A954D0">
        <w:rPr>
          <w:rFonts w:ascii="Bookman Old Style" w:hAnsi="Bookman Old Style"/>
          <w:sz w:val="24"/>
          <w:szCs w:val="24"/>
        </w:rPr>
        <w:t xml:space="preserve"> </w:t>
      </w:r>
      <w:r w:rsidRPr="00272464">
        <w:rPr>
          <w:rFonts w:ascii="Bookman Old Style" w:hAnsi="Bookman Old Style"/>
          <w:sz w:val="24"/>
          <w:szCs w:val="24"/>
        </w:rPr>
        <w:t>12</w:t>
      </w:r>
      <w:r w:rsidR="00A954D0">
        <w:rPr>
          <w:rFonts w:ascii="Bookman Old Style" w:hAnsi="Bookman Old Style"/>
          <w:sz w:val="24"/>
          <w:szCs w:val="24"/>
        </w:rPr>
        <w:t xml:space="preserve"> </w:t>
      </w:r>
      <w:r w:rsidRPr="00272464">
        <w:rPr>
          <w:rFonts w:ascii="Bookman Old Style" w:hAnsi="Bookman Old Style"/>
          <w:sz w:val="24"/>
          <w:szCs w:val="24"/>
        </w:rPr>
        <w:t>(dua</w:t>
      </w:r>
      <w:r w:rsidR="00A954D0">
        <w:rPr>
          <w:rFonts w:ascii="Bookman Old Style" w:hAnsi="Bookman Old Style"/>
          <w:sz w:val="24"/>
          <w:szCs w:val="24"/>
        </w:rPr>
        <w:t xml:space="preserve"> </w:t>
      </w:r>
      <w:r w:rsidRPr="00272464">
        <w:rPr>
          <w:rFonts w:ascii="Bookman Old Style" w:hAnsi="Bookman Old Style"/>
          <w:sz w:val="24"/>
          <w:szCs w:val="24"/>
        </w:rPr>
        <w:t>belas)</w:t>
      </w:r>
      <w:r w:rsidR="00A954D0">
        <w:rPr>
          <w:rFonts w:ascii="Bookman Old Style" w:hAnsi="Bookman Old Style"/>
          <w:sz w:val="24"/>
          <w:szCs w:val="24"/>
        </w:rPr>
        <w:t xml:space="preserve"> </w:t>
      </w:r>
      <w:r w:rsidRPr="00272464">
        <w:rPr>
          <w:rFonts w:ascii="Bookman Old Style" w:hAnsi="Bookman Old Style"/>
          <w:sz w:val="24"/>
          <w:szCs w:val="24"/>
        </w:rPr>
        <w:t>bulan,</w:t>
      </w:r>
      <w:r w:rsidR="00A954D0">
        <w:rPr>
          <w:rFonts w:ascii="Bookman Old Style" w:hAnsi="Bookman Old Style"/>
          <w:sz w:val="24"/>
          <w:szCs w:val="24"/>
        </w:rPr>
        <w:t xml:space="preserve"> </w:t>
      </w:r>
      <w:r w:rsidRPr="00272464">
        <w:rPr>
          <w:rFonts w:ascii="Bookman Old Style" w:hAnsi="Bookman Old Style"/>
          <w:sz w:val="24"/>
          <w:szCs w:val="24"/>
        </w:rPr>
        <w:t>digunakan</w:t>
      </w:r>
      <w:r w:rsidR="00A954D0">
        <w:rPr>
          <w:rFonts w:ascii="Bookman Old Style" w:hAnsi="Bookman Old Style"/>
          <w:sz w:val="24"/>
          <w:szCs w:val="24"/>
        </w:rPr>
        <w:t xml:space="preserve"> </w:t>
      </w:r>
      <w:r w:rsidRPr="00272464">
        <w:rPr>
          <w:rFonts w:ascii="Bookman Old Style" w:hAnsi="Bookman Old Style"/>
          <w:sz w:val="24"/>
          <w:szCs w:val="24"/>
        </w:rPr>
        <w:t>dalam</w:t>
      </w:r>
      <w:r w:rsidR="00A954D0">
        <w:rPr>
          <w:rFonts w:ascii="Bookman Old Style" w:hAnsi="Bookman Old Style"/>
          <w:sz w:val="24"/>
          <w:szCs w:val="24"/>
        </w:rPr>
        <w:t xml:space="preserve"> </w:t>
      </w:r>
      <w:r w:rsidRPr="00272464">
        <w:rPr>
          <w:rFonts w:ascii="Bookman Old Style" w:hAnsi="Bookman Old Style"/>
          <w:sz w:val="24"/>
          <w:szCs w:val="24"/>
        </w:rPr>
        <w:t>kegiatan</w:t>
      </w:r>
      <w:r w:rsidR="00A954D0">
        <w:rPr>
          <w:rFonts w:ascii="Bookman Old Style" w:hAnsi="Bookman Old Style"/>
          <w:sz w:val="24"/>
          <w:szCs w:val="24"/>
        </w:rPr>
        <w:t xml:space="preserve"> </w:t>
      </w:r>
      <w:r w:rsidRPr="00272464">
        <w:rPr>
          <w:rFonts w:ascii="Bookman Old Style" w:hAnsi="Bookman Old Style"/>
          <w:sz w:val="24"/>
          <w:szCs w:val="24"/>
        </w:rPr>
        <w:t>pemerintahan</w:t>
      </w:r>
      <w:r w:rsidR="00A954D0">
        <w:rPr>
          <w:rFonts w:ascii="Bookman Old Style" w:hAnsi="Bookman Old Style"/>
          <w:sz w:val="24"/>
          <w:szCs w:val="24"/>
        </w:rPr>
        <w:t xml:space="preserve"> </w:t>
      </w:r>
      <w:r w:rsidRPr="00272464">
        <w:rPr>
          <w:rFonts w:ascii="Bookman Old Style" w:hAnsi="Bookman Old Style"/>
          <w:sz w:val="24"/>
          <w:szCs w:val="24"/>
        </w:rPr>
        <w:t>daerah,</w:t>
      </w:r>
      <w:r w:rsidR="00A954D0">
        <w:rPr>
          <w:rFonts w:ascii="Bookman Old Style" w:hAnsi="Bookman Old Style"/>
          <w:sz w:val="24"/>
          <w:szCs w:val="24"/>
        </w:rPr>
        <w:t xml:space="preserve"> </w:t>
      </w:r>
      <w:r w:rsidRPr="00272464">
        <w:rPr>
          <w:rFonts w:ascii="Bookman Old Style" w:hAnsi="Bookman Old Style"/>
          <w:sz w:val="24"/>
          <w:szCs w:val="24"/>
        </w:rPr>
        <w:t>melewati</w:t>
      </w:r>
      <w:r w:rsidR="00A954D0">
        <w:rPr>
          <w:rFonts w:ascii="Bookman Old Style" w:hAnsi="Bookman Old Style"/>
          <w:sz w:val="24"/>
          <w:szCs w:val="24"/>
        </w:rPr>
        <w:t xml:space="preserve"> </w:t>
      </w:r>
      <w:r w:rsidRPr="00272464">
        <w:rPr>
          <w:rFonts w:ascii="Bookman Old Style" w:hAnsi="Bookman Old Style"/>
          <w:sz w:val="24"/>
          <w:szCs w:val="24"/>
        </w:rPr>
        <w:t>batas</w:t>
      </w:r>
      <w:r w:rsidR="00A954D0">
        <w:rPr>
          <w:rFonts w:ascii="Bookman Old Style" w:hAnsi="Bookman Old Style"/>
          <w:sz w:val="24"/>
          <w:szCs w:val="24"/>
        </w:rPr>
        <w:t xml:space="preserve"> </w:t>
      </w:r>
      <w:r w:rsidRPr="00272464">
        <w:rPr>
          <w:rFonts w:ascii="Bookman Old Style" w:hAnsi="Bookman Old Style"/>
          <w:sz w:val="24"/>
          <w:szCs w:val="24"/>
        </w:rPr>
        <w:t>minimal</w:t>
      </w:r>
      <w:r w:rsidR="00A954D0">
        <w:rPr>
          <w:rFonts w:ascii="Bookman Old Style" w:hAnsi="Bookman Old Style"/>
          <w:sz w:val="24"/>
          <w:szCs w:val="24"/>
        </w:rPr>
        <w:t xml:space="preserve"> </w:t>
      </w:r>
      <w:r w:rsidRPr="00272464">
        <w:rPr>
          <w:rFonts w:ascii="Bookman Old Style" w:hAnsi="Bookman Old Style"/>
          <w:sz w:val="24"/>
          <w:szCs w:val="24"/>
        </w:rPr>
        <w:t>kapitalisasi</w:t>
      </w:r>
      <w:r w:rsidR="00A954D0">
        <w:rPr>
          <w:rFonts w:ascii="Bookman Old Style" w:hAnsi="Bookman Old Style"/>
          <w:sz w:val="24"/>
          <w:szCs w:val="24"/>
        </w:rPr>
        <w:t xml:space="preserve"> </w:t>
      </w:r>
      <w:r w:rsidRPr="00272464">
        <w:rPr>
          <w:rFonts w:ascii="Bookman Old Style" w:hAnsi="Bookman Old Style"/>
          <w:sz w:val="24"/>
          <w:szCs w:val="24"/>
        </w:rPr>
        <w:t>aset</w:t>
      </w:r>
      <w:r w:rsidR="00A954D0">
        <w:rPr>
          <w:rFonts w:ascii="Bookman Old Style" w:hAnsi="Bookman Old Style" w:cs="Arial"/>
          <w:sz w:val="24"/>
          <w:szCs w:val="24"/>
          <w:lang w:val="id-ID"/>
        </w:rPr>
        <w:t xml:space="preserve"> </w:t>
      </w:r>
      <w:r w:rsidRPr="00272464">
        <w:rPr>
          <w:rFonts w:ascii="Bookman Old Style" w:hAnsi="Bookman Old Style" w:cs="Arial"/>
          <w:sz w:val="24"/>
          <w:szCs w:val="24"/>
          <w:lang w:val="id-ID"/>
        </w:rPr>
        <w:t>tetap</w:t>
      </w:r>
      <w:r w:rsidR="00A954D0">
        <w:rPr>
          <w:rFonts w:ascii="Bookman Old Style" w:hAnsi="Bookman Old Style" w:cs="Arial"/>
          <w:sz w:val="24"/>
          <w:szCs w:val="24"/>
          <w:lang w:val="id-ID"/>
        </w:rPr>
        <w:t xml:space="preserve"> </w:t>
      </w:r>
      <w:r w:rsidRPr="00272464">
        <w:rPr>
          <w:rFonts w:ascii="Bookman Old Style" w:hAnsi="Bookman Old Style" w:cs="Arial"/>
          <w:sz w:val="24"/>
          <w:szCs w:val="24"/>
          <w:lang w:val="id-ID"/>
        </w:rPr>
        <w:t>yang</w:t>
      </w:r>
      <w:r w:rsidR="00A954D0">
        <w:rPr>
          <w:rFonts w:ascii="Bookman Old Style" w:hAnsi="Bookman Old Style" w:cs="Arial"/>
          <w:sz w:val="24"/>
          <w:szCs w:val="24"/>
          <w:shd w:val="clear" w:color="auto" w:fill="FFFFFF" w:themeFill="background1"/>
          <w:lang w:val="id-ID"/>
        </w:rPr>
        <w:t xml:space="preserve"> </w:t>
      </w:r>
      <w:r w:rsidRPr="00272464">
        <w:rPr>
          <w:rFonts w:ascii="Bookman Old Style" w:hAnsi="Bookman Old Style" w:cs="Arial"/>
          <w:sz w:val="24"/>
          <w:szCs w:val="24"/>
          <w:shd w:val="clear" w:color="auto" w:fill="FFFFFF" w:themeFill="background1"/>
          <w:lang w:val="id-ID"/>
        </w:rPr>
        <w:t>diatur</w:t>
      </w:r>
      <w:r w:rsidR="00A954D0">
        <w:rPr>
          <w:rFonts w:ascii="Bookman Old Style" w:hAnsi="Bookman Old Style" w:cs="Arial"/>
          <w:sz w:val="24"/>
          <w:szCs w:val="24"/>
          <w:shd w:val="clear" w:color="auto" w:fill="FFFFFF" w:themeFill="background1"/>
          <w:lang w:val="id-ID"/>
        </w:rPr>
        <w:t xml:space="preserve"> </w:t>
      </w:r>
      <w:r w:rsidRPr="00272464">
        <w:rPr>
          <w:rFonts w:ascii="Bookman Old Style" w:hAnsi="Bookman Old Style" w:cs="Arial"/>
          <w:sz w:val="24"/>
          <w:szCs w:val="24"/>
          <w:shd w:val="clear" w:color="auto" w:fill="FFFFFF" w:themeFill="background1"/>
          <w:lang w:val="id-ID"/>
        </w:rPr>
        <w:t>dalam</w:t>
      </w:r>
      <w:r w:rsidR="00A954D0">
        <w:rPr>
          <w:rFonts w:ascii="Bookman Old Style" w:hAnsi="Bookman Old Style" w:cs="Arial"/>
          <w:sz w:val="24"/>
          <w:szCs w:val="24"/>
          <w:shd w:val="clear" w:color="auto" w:fill="FFFFFF" w:themeFill="background1"/>
          <w:lang w:val="id-ID"/>
        </w:rPr>
        <w:t xml:space="preserve"> </w:t>
      </w:r>
      <w:r w:rsidRPr="00272464">
        <w:rPr>
          <w:rFonts w:ascii="Bookman Old Style" w:hAnsi="Bookman Old Style" w:cs="Arial"/>
          <w:sz w:val="24"/>
          <w:szCs w:val="24"/>
          <w:shd w:val="clear" w:color="auto" w:fill="FFFFFF" w:themeFill="background1"/>
          <w:lang w:val="en-US"/>
        </w:rPr>
        <w:t>Peraturan</w:t>
      </w:r>
      <w:r w:rsidR="00A954D0">
        <w:rPr>
          <w:rFonts w:ascii="Bookman Old Style" w:hAnsi="Bookman Old Style" w:cs="Arial"/>
          <w:sz w:val="24"/>
          <w:szCs w:val="24"/>
          <w:shd w:val="clear" w:color="auto" w:fill="FFFFFF" w:themeFill="background1"/>
          <w:lang w:val="en-US"/>
        </w:rPr>
        <w:t xml:space="preserve"> </w:t>
      </w:r>
      <w:r w:rsidRPr="00272464">
        <w:rPr>
          <w:rFonts w:ascii="Bookman Old Style" w:hAnsi="Bookman Old Style" w:cs="Arial"/>
          <w:sz w:val="24"/>
          <w:szCs w:val="24"/>
          <w:shd w:val="clear" w:color="auto" w:fill="FFFFFF" w:themeFill="background1"/>
          <w:lang w:val="en-US"/>
        </w:rPr>
        <w:t>Kepala</w:t>
      </w:r>
      <w:r w:rsidR="00A954D0">
        <w:rPr>
          <w:rFonts w:ascii="Bookman Old Style" w:hAnsi="Bookman Old Style" w:cs="Arial"/>
          <w:sz w:val="24"/>
          <w:szCs w:val="24"/>
          <w:shd w:val="clear" w:color="auto" w:fill="FFFFFF" w:themeFill="background1"/>
          <w:lang w:val="en-US"/>
        </w:rPr>
        <w:t xml:space="preserve"> </w:t>
      </w:r>
      <w:r w:rsidRPr="00272464">
        <w:rPr>
          <w:rFonts w:ascii="Bookman Old Style" w:hAnsi="Bookman Old Style" w:cs="Arial"/>
          <w:sz w:val="24"/>
          <w:szCs w:val="24"/>
          <w:shd w:val="clear" w:color="auto" w:fill="FFFFFF" w:themeFill="background1"/>
          <w:lang w:val="en-US"/>
        </w:rPr>
        <w:t>Daerah</w:t>
      </w:r>
      <w:r w:rsidRPr="00272464">
        <w:rPr>
          <w:rFonts w:ascii="Bookman Old Style" w:hAnsi="Bookman Old Style"/>
          <w:sz w:val="24"/>
          <w:szCs w:val="24"/>
        </w:rPr>
        <w:t>,</w:t>
      </w:r>
      <w:r w:rsidR="00A954D0">
        <w:rPr>
          <w:rFonts w:ascii="Bookman Old Style" w:hAnsi="Bookman Old Style"/>
          <w:sz w:val="24"/>
          <w:szCs w:val="24"/>
        </w:rPr>
        <w:t xml:space="preserve"> </w:t>
      </w:r>
      <w:r w:rsidRPr="00272464">
        <w:rPr>
          <w:rFonts w:ascii="Bookman Old Style" w:hAnsi="Bookman Old Style"/>
          <w:sz w:val="24"/>
          <w:szCs w:val="24"/>
        </w:rPr>
        <w:t>berwujud</w:t>
      </w:r>
      <w:r w:rsidR="00A954D0">
        <w:rPr>
          <w:rFonts w:ascii="Bookman Old Style" w:hAnsi="Bookman Old Style"/>
          <w:sz w:val="24"/>
          <w:szCs w:val="24"/>
          <w:lang w:val="en-US"/>
        </w:rPr>
        <w:t xml:space="preserve"> </w:t>
      </w:r>
      <w:r w:rsidRPr="00272464">
        <w:rPr>
          <w:rFonts w:ascii="Bookman Old Style" w:hAnsi="Bookman Old Style" w:cs="Arial"/>
          <w:sz w:val="24"/>
          <w:szCs w:val="24"/>
        </w:rPr>
        <w:t>atau</w:t>
      </w:r>
      <w:r w:rsidR="00A954D0">
        <w:rPr>
          <w:rFonts w:ascii="Bookman Old Style" w:hAnsi="Bookman Old Style" w:cs="Arial"/>
          <w:sz w:val="24"/>
          <w:szCs w:val="24"/>
        </w:rPr>
        <w:t xml:space="preserve"> </w:t>
      </w:r>
      <w:r w:rsidRPr="00272464">
        <w:rPr>
          <w:rFonts w:ascii="Bookman Old Style" w:hAnsi="Bookman Old Style" w:cs="Arial"/>
          <w:sz w:val="24"/>
          <w:szCs w:val="24"/>
        </w:rPr>
        <w:t>tidak</w:t>
      </w:r>
      <w:r w:rsidR="00A954D0">
        <w:rPr>
          <w:rFonts w:ascii="Bookman Old Style" w:hAnsi="Bookman Old Style" w:cs="Arial"/>
          <w:sz w:val="24"/>
          <w:szCs w:val="24"/>
        </w:rPr>
        <w:t xml:space="preserve"> </w:t>
      </w:r>
      <w:r w:rsidRPr="00272464">
        <w:rPr>
          <w:rFonts w:ascii="Bookman Old Style" w:hAnsi="Bookman Old Style" w:cs="Arial"/>
          <w:sz w:val="24"/>
          <w:szCs w:val="24"/>
        </w:rPr>
        <w:t>berwujud</w:t>
      </w:r>
      <w:r w:rsidRPr="00272464">
        <w:rPr>
          <w:rFonts w:ascii="Bookman Old Style" w:hAnsi="Bookman Old Style"/>
          <w:sz w:val="24"/>
          <w:szCs w:val="24"/>
        </w:rPr>
        <w:t>,</w:t>
      </w:r>
      <w:r w:rsidR="00A954D0">
        <w:rPr>
          <w:rFonts w:ascii="Bookman Old Style" w:hAnsi="Bookman Old Style"/>
          <w:sz w:val="24"/>
          <w:szCs w:val="24"/>
        </w:rPr>
        <w:t xml:space="preserve"> </w:t>
      </w:r>
      <w:r w:rsidRPr="00272464">
        <w:rPr>
          <w:rFonts w:ascii="Bookman Old Style" w:hAnsi="Bookman Old Style"/>
          <w:sz w:val="24"/>
          <w:szCs w:val="24"/>
        </w:rPr>
        <w:t>biaya</w:t>
      </w:r>
      <w:r w:rsidR="00A954D0">
        <w:rPr>
          <w:rFonts w:ascii="Bookman Old Style" w:hAnsi="Bookman Old Style"/>
          <w:sz w:val="24"/>
          <w:szCs w:val="24"/>
        </w:rPr>
        <w:t xml:space="preserve"> </w:t>
      </w:r>
      <w:r w:rsidRPr="00272464">
        <w:rPr>
          <w:rFonts w:ascii="Bookman Old Style" w:hAnsi="Bookman Old Style"/>
          <w:sz w:val="24"/>
          <w:szCs w:val="24"/>
        </w:rPr>
        <w:t>perolehan</w:t>
      </w:r>
      <w:r w:rsidR="00A954D0">
        <w:rPr>
          <w:rFonts w:ascii="Bookman Old Style" w:hAnsi="Bookman Old Style"/>
          <w:sz w:val="24"/>
          <w:szCs w:val="24"/>
        </w:rPr>
        <w:t xml:space="preserve"> </w:t>
      </w:r>
      <w:r w:rsidRPr="00272464">
        <w:rPr>
          <w:rFonts w:ascii="Bookman Old Style" w:hAnsi="Bookman Old Style"/>
          <w:sz w:val="24"/>
          <w:szCs w:val="24"/>
        </w:rPr>
        <w:t>aset</w:t>
      </w:r>
      <w:r w:rsidR="00A954D0">
        <w:rPr>
          <w:rFonts w:ascii="Bookman Old Style" w:hAnsi="Bookman Old Style"/>
          <w:sz w:val="24"/>
          <w:szCs w:val="24"/>
        </w:rPr>
        <w:t xml:space="preserve"> </w:t>
      </w:r>
      <w:r w:rsidRPr="00272464">
        <w:rPr>
          <w:rFonts w:ascii="Bookman Old Style" w:hAnsi="Bookman Old Style"/>
          <w:sz w:val="24"/>
          <w:szCs w:val="24"/>
        </w:rPr>
        <w:t>tetap</w:t>
      </w:r>
      <w:r w:rsidR="00A954D0">
        <w:rPr>
          <w:rFonts w:ascii="Bookman Old Style" w:hAnsi="Bookman Old Style"/>
          <w:sz w:val="24"/>
          <w:szCs w:val="24"/>
        </w:rPr>
        <w:t xml:space="preserve"> </w:t>
      </w:r>
      <w:r w:rsidRPr="00272464">
        <w:rPr>
          <w:rFonts w:ascii="Bookman Old Style" w:hAnsi="Bookman Old Style"/>
          <w:sz w:val="24"/>
          <w:szCs w:val="24"/>
        </w:rPr>
        <w:t>dapat</w:t>
      </w:r>
      <w:r w:rsidR="00A954D0">
        <w:rPr>
          <w:rFonts w:ascii="Bookman Old Style" w:hAnsi="Bookman Old Style"/>
          <w:sz w:val="24"/>
          <w:szCs w:val="24"/>
        </w:rPr>
        <w:t xml:space="preserve"> </w:t>
      </w:r>
      <w:r w:rsidRPr="00272464">
        <w:rPr>
          <w:rFonts w:ascii="Bookman Old Style" w:hAnsi="Bookman Old Style"/>
          <w:sz w:val="24"/>
          <w:szCs w:val="24"/>
        </w:rPr>
        <w:t>diukur</w:t>
      </w:r>
      <w:r w:rsidR="00A954D0">
        <w:rPr>
          <w:rFonts w:ascii="Bookman Old Style" w:hAnsi="Bookman Old Style"/>
          <w:sz w:val="24"/>
          <w:szCs w:val="24"/>
        </w:rPr>
        <w:t xml:space="preserve"> </w:t>
      </w:r>
      <w:r w:rsidRPr="00272464">
        <w:rPr>
          <w:rFonts w:ascii="Bookman Old Style" w:hAnsi="Bookman Old Style"/>
          <w:sz w:val="24"/>
          <w:szCs w:val="24"/>
        </w:rPr>
        <w:t>secara</w:t>
      </w:r>
      <w:r w:rsidR="00A954D0">
        <w:rPr>
          <w:rFonts w:ascii="Bookman Old Style" w:hAnsi="Bookman Old Style"/>
          <w:sz w:val="24"/>
          <w:szCs w:val="24"/>
        </w:rPr>
        <w:t xml:space="preserve"> </w:t>
      </w:r>
      <w:r w:rsidRPr="00272464">
        <w:rPr>
          <w:rFonts w:ascii="Bookman Old Style" w:hAnsi="Bookman Old Style"/>
          <w:sz w:val="24"/>
          <w:szCs w:val="24"/>
        </w:rPr>
        <w:t>andal,</w:t>
      </w:r>
      <w:r w:rsidR="00A954D0">
        <w:rPr>
          <w:rFonts w:ascii="Bookman Old Style" w:hAnsi="Bookman Old Style"/>
          <w:sz w:val="24"/>
          <w:szCs w:val="24"/>
        </w:rPr>
        <w:t xml:space="preserve"> </w:t>
      </w:r>
      <w:r w:rsidRPr="00272464">
        <w:rPr>
          <w:rFonts w:ascii="Bookman Old Style" w:hAnsi="Bookman Old Style"/>
          <w:sz w:val="24"/>
          <w:szCs w:val="24"/>
        </w:rPr>
        <w:t>tidak</w:t>
      </w:r>
      <w:r w:rsidR="00A954D0">
        <w:rPr>
          <w:rFonts w:ascii="Bookman Old Style" w:hAnsi="Bookman Old Style"/>
          <w:sz w:val="24"/>
          <w:szCs w:val="24"/>
        </w:rPr>
        <w:t xml:space="preserve"> </w:t>
      </w:r>
      <w:r w:rsidRPr="00272464">
        <w:rPr>
          <w:rFonts w:ascii="Bookman Old Style" w:hAnsi="Bookman Old Style"/>
          <w:sz w:val="24"/>
          <w:szCs w:val="24"/>
        </w:rPr>
        <w:t>dimaksudkan</w:t>
      </w:r>
      <w:r w:rsidR="00A954D0">
        <w:rPr>
          <w:rFonts w:ascii="Bookman Old Style" w:hAnsi="Bookman Old Style"/>
          <w:sz w:val="24"/>
          <w:szCs w:val="24"/>
        </w:rPr>
        <w:t xml:space="preserve"> </w:t>
      </w:r>
      <w:r w:rsidRPr="00272464">
        <w:rPr>
          <w:rFonts w:ascii="Bookman Old Style" w:hAnsi="Bookman Old Style"/>
          <w:sz w:val="24"/>
          <w:szCs w:val="24"/>
        </w:rPr>
        <w:t>untuk</w:t>
      </w:r>
      <w:r w:rsidR="00A954D0">
        <w:rPr>
          <w:rFonts w:ascii="Bookman Old Style" w:hAnsi="Bookman Old Style"/>
          <w:sz w:val="24"/>
          <w:szCs w:val="24"/>
        </w:rPr>
        <w:t xml:space="preserve"> </w:t>
      </w:r>
      <w:r w:rsidRPr="00272464">
        <w:rPr>
          <w:rFonts w:ascii="Bookman Old Style" w:hAnsi="Bookman Old Style"/>
          <w:sz w:val="24"/>
          <w:szCs w:val="24"/>
        </w:rPr>
        <w:t>dijual</w:t>
      </w:r>
      <w:r w:rsidRPr="00272464">
        <w:rPr>
          <w:rFonts w:ascii="Bookman Old Style" w:hAnsi="Bookman Old Style"/>
          <w:sz w:val="24"/>
          <w:szCs w:val="24"/>
          <w:lang w:val="en-US"/>
        </w:rPr>
        <w:t>,</w:t>
      </w:r>
      <w:r w:rsidR="00A954D0">
        <w:rPr>
          <w:rFonts w:ascii="Bookman Old Style" w:hAnsi="Bookman Old Style"/>
          <w:sz w:val="24"/>
          <w:szCs w:val="24"/>
        </w:rPr>
        <w:t xml:space="preserve"> </w:t>
      </w:r>
      <w:r w:rsidRPr="00272464">
        <w:rPr>
          <w:rFonts w:ascii="Bookman Old Style" w:hAnsi="Bookman Old Style"/>
          <w:sz w:val="24"/>
          <w:szCs w:val="24"/>
        </w:rPr>
        <w:t>dan</w:t>
      </w:r>
      <w:r w:rsidR="00A954D0">
        <w:rPr>
          <w:rFonts w:ascii="Bookman Old Style" w:hAnsi="Bookman Old Style"/>
          <w:sz w:val="24"/>
          <w:szCs w:val="24"/>
        </w:rPr>
        <w:t xml:space="preserve"> </w:t>
      </w:r>
      <w:r w:rsidRPr="00272464">
        <w:rPr>
          <w:rFonts w:ascii="Bookman Old Style" w:hAnsi="Bookman Old Style"/>
          <w:sz w:val="24"/>
          <w:szCs w:val="24"/>
        </w:rPr>
        <w:t>diperoleh</w:t>
      </w:r>
      <w:r w:rsidR="00A954D0">
        <w:rPr>
          <w:rFonts w:ascii="Bookman Old Style" w:hAnsi="Bookman Old Style"/>
          <w:sz w:val="24"/>
          <w:szCs w:val="24"/>
        </w:rPr>
        <w:t xml:space="preserve"> </w:t>
      </w:r>
      <w:r w:rsidRPr="00272464">
        <w:rPr>
          <w:rFonts w:ascii="Bookman Old Style" w:hAnsi="Bookman Old Style"/>
          <w:sz w:val="24"/>
          <w:szCs w:val="24"/>
        </w:rPr>
        <w:t>atau</w:t>
      </w:r>
      <w:r w:rsidR="00A954D0">
        <w:rPr>
          <w:rFonts w:ascii="Bookman Old Style" w:hAnsi="Bookman Old Style"/>
          <w:sz w:val="24"/>
          <w:szCs w:val="24"/>
        </w:rPr>
        <w:t xml:space="preserve"> </w:t>
      </w:r>
      <w:r w:rsidRPr="00272464">
        <w:rPr>
          <w:rFonts w:ascii="Bookman Old Style" w:hAnsi="Bookman Old Style"/>
          <w:sz w:val="24"/>
          <w:szCs w:val="24"/>
        </w:rPr>
        <w:t>dibangun</w:t>
      </w:r>
      <w:r w:rsidR="00A954D0">
        <w:rPr>
          <w:rFonts w:ascii="Bookman Old Style" w:hAnsi="Bookman Old Style"/>
          <w:sz w:val="24"/>
          <w:szCs w:val="24"/>
        </w:rPr>
        <w:t xml:space="preserve"> </w:t>
      </w:r>
      <w:r w:rsidRPr="00272464">
        <w:rPr>
          <w:rFonts w:ascii="Bookman Old Style" w:hAnsi="Bookman Old Style"/>
          <w:sz w:val="24"/>
          <w:szCs w:val="24"/>
        </w:rPr>
        <w:t>dengan</w:t>
      </w:r>
      <w:r w:rsidR="00A954D0">
        <w:rPr>
          <w:rFonts w:ascii="Bookman Old Style" w:hAnsi="Bookman Old Style"/>
          <w:sz w:val="24"/>
          <w:szCs w:val="24"/>
        </w:rPr>
        <w:t xml:space="preserve"> </w:t>
      </w:r>
      <w:r w:rsidRPr="00272464">
        <w:rPr>
          <w:rFonts w:ascii="Bookman Old Style" w:hAnsi="Bookman Old Style"/>
          <w:sz w:val="24"/>
          <w:szCs w:val="24"/>
        </w:rPr>
        <w:t>maksud</w:t>
      </w:r>
      <w:r w:rsidR="00A954D0">
        <w:rPr>
          <w:rFonts w:ascii="Bookman Old Style" w:hAnsi="Bookman Old Style"/>
          <w:sz w:val="24"/>
          <w:szCs w:val="24"/>
        </w:rPr>
        <w:t xml:space="preserve"> </w:t>
      </w:r>
      <w:r w:rsidRPr="00272464">
        <w:rPr>
          <w:rFonts w:ascii="Bookman Old Style" w:hAnsi="Bookman Old Style"/>
          <w:sz w:val="24"/>
          <w:szCs w:val="24"/>
        </w:rPr>
        <w:t>untuk</w:t>
      </w:r>
      <w:r w:rsidR="00A954D0">
        <w:rPr>
          <w:rFonts w:ascii="Bookman Old Style" w:hAnsi="Bookman Old Style"/>
          <w:sz w:val="24"/>
          <w:szCs w:val="24"/>
        </w:rPr>
        <w:t xml:space="preserve"> </w:t>
      </w:r>
      <w:r w:rsidRPr="00272464">
        <w:rPr>
          <w:rFonts w:ascii="Bookman Old Style" w:hAnsi="Bookman Old Style"/>
          <w:sz w:val="24"/>
          <w:szCs w:val="24"/>
        </w:rPr>
        <w:lastRenderedPageBreak/>
        <w:t>digunakan</w:t>
      </w:r>
      <w:r w:rsidR="00A954D0">
        <w:rPr>
          <w:rFonts w:ascii="Bookman Old Style" w:hAnsi="Bookman Old Style"/>
          <w:sz w:val="24"/>
          <w:szCs w:val="24"/>
          <w:lang w:val="it-IT"/>
        </w:rPr>
        <w:t xml:space="preserve"> </w:t>
      </w:r>
      <w:r w:rsidRPr="00272464">
        <w:rPr>
          <w:rFonts w:ascii="Bookman Old Style" w:hAnsi="Bookman Old Style"/>
          <w:sz w:val="24"/>
          <w:szCs w:val="24"/>
          <w:lang w:val="it-IT"/>
        </w:rPr>
        <w:t>sebagaimana</w:t>
      </w:r>
      <w:r w:rsidR="00A954D0">
        <w:rPr>
          <w:rFonts w:ascii="Bookman Old Style" w:hAnsi="Bookman Old Style"/>
          <w:sz w:val="24"/>
          <w:szCs w:val="24"/>
          <w:lang w:val="it-IT"/>
        </w:rPr>
        <w:t xml:space="preserve"> </w:t>
      </w:r>
      <w:r w:rsidRPr="00272464">
        <w:rPr>
          <w:rFonts w:ascii="Bookman Old Style" w:hAnsi="Bookman Old Style"/>
          <w:sz w:val="24"/>
          <w:szCs w:val="24"/>
          <w:lang w:val="it-IT"/>
        </w:rPr>
        <w:t>maksud</w:t>
      </w:r>
      <w:r w:rsidR="00A954D0">
        <w:rPr>
          <w:rFonts w:ascii="Bookman Old Style" w:hAnsi="Bookman Old Style"/>
          <w:sz w:val="24"/>
          <w:szCs w:val="24"/>
        </w:rPr>
        <w:t xml:space="preserve"> </w:t>
      </w:r>
      <w:r w:rsidRPr="00272464">
        <w:rPr>
          <w:rFonts w:ascii="Bookman Old Style" w:hAnsi="Bookman Old Style"/>
          <w:sz w:val="24"/>
          <w:szCs w:val="24"/>
        </w:rPr>
        <w:t>Pasal</w:t>
      </w:r>
      <w:r w:rsidR="00A954D0">
        <w:rPr>
          <w:rFonts w:ascii="Bookman Old Style" w:hAnsi="Bookman Old Style"/>
          <w:sz w:val="24"/>
          <w:szCs w:val="24"/>
        </w:rPr>
        <w:t xml:space="preserve"> </w:t>
      </w:r>
      <w:r w:rsidRPr="00272464">
        <w:rPr>
          <w:rFonts w:ascii="Bookman Old Style" w:hAnsi="Bookman Old Style"/>
          <w:sz w:val="24"/>
          <w:szCs w:val="24"/>
        </w:rPr>
        <w:t>64</w:t>
      </w:r>
      <w:r w:rsidR="00A954D0">
        <w:rPr>
          <w:rFonts w:ascii="Bookman Old Style" w:hAnsi="Bookman Old Style"/>
          <w:sz w:val="24"/>
          <w:szCs w:val="24"/>
        </w:rPr>
        <w:t xml:space="preserve"> </w:t>
      </w:r>
      <w:r w:rsidRPr="00272464">
        <w:rPr>
          <w:rFonts w:ascii="Bookman Old Style" w:hAnsi="Bookman Old Style"/>
          <w:sz w:val="24"/>
          <w:szCs w:val="24"/>
        </w:rPr>
        <w:t>Peraturan</w:t>
      </w:r>
      <w:r w:rsidR="00A954D0">
        <w:rPr>
          <w:rFonts w:ascii="Bookman Old Style" w:hAnsi="Bookman Old Style"/>
          <w:sz w:val="24"/>
          <w:szCs w:val="24"/>
        </w:rPr>
        <w:t xml:space="preserve"> </w:t>
      </w:r>
      <w:r w:rsidRPr="00272464">
        <w:rPr>
          <w:rFonts w:ascii="Bookman Old Style" w:hAnsi="Bookman Old Style"/>
          <w:sz w:val="24"/>
          <w:szCs w:val="24"/>
        </w:rPr>
        <w:t>Pemerintah</w:t>
      </w:r>
      <w:r w:rsidR="00A954D0">
        <w:rPr>
          <w:rFonts w:ascii="Bookman Old Style" w:hAnsi="Bookman Old Style"/>
          <w:sz w:val="24"/>
          <w:szCs w:val="24"/>
        </w:rPr>
        <w:t xml:space="preserve"> </w:t>
      </w:r>
      <w:r w:rsidRPr="00272464">
        <w:rPr>
          <w:rFonts w:ascii="Bookman Old Style" w:hAnsi="Bookman Old Style"/>
          <w:sz w:val="24"/>
          <w:szCs w:val="24"/>
        </w:rPr>
        <w:t>Nomor</w:t>
      </w:r>
      <w:r w:rsidR="00A954D0">
        <w:rPr>
          <w:rFonts w:ascii="Bookman Old Style" w:hAnsi="Bookman Old Style"/>
          <w:sz w:val="24"/>
          <w:szCs w:val="24"/>
        </w:rPr>
        <w:t xml:space="preserve"> </w:t>
      </w:r>
      <w:r w:rsidRPr="00272464">
        <w:rPr>
          <w:rFonts w:ascii="Bookman Old Style" w:hAnsi="Bookman Old Style"/>
          <w:sz w:val="24"/>
          <w:szCs w:val="24"/>
        </w:rPr>
        <w:t>12</w:t>
      </w:r>
      <w:r w:rsidR="00A954D0">
        <w:rPr>
          <w:rFonts w:ascii="Bookman Old Style" w:hAnsi="Bookman Old Style"/>
          <w:sz w:val="24"/>
          <w:szCs w:val="24"/>
        </w:rPr>
        <w:t xml:space="preserve"> </w:t>
      </w:r>
      <w:r w:rsidRPr="00272464">
        <w:rPr>
          <w:rFonts w:ascii="Bookman Old Style" w:hAnsi="Bookman Old Style"/>
          <w:sz w:val="24"/>
          <w:szCs w:val="24"/>
        </w:rPr>
        <w:t>Tahun</w:t>
      </w:r>
      <w:r w:rsidR="00A954D0">
        <w:rPr>
          <w:rFonts w:ascii="Bookman Old Style" w:hAnsi="Bookman Old Style"/>
          <w:sz w:val="24"/>
          <w:szCs w:val="24"/>
        </w:rPr>
        <w:t xml:space="preserve"> </w:t>
      </w:r>
      <w:r w:rsidRPr="00272464">
        <w:rPr>
          <w:rFonts w:ascii="Bookman Old Style" w:hAnsi="Bookman Old Style"/>
          <w:sz w:val="24"/>
          <w:szCs w:val="24"/>
        </w:rPr>
        <w:t>2019</w:t>
      </w:r>
      <w:r w:rsidR="00A954D0">
        <w:rPr>
          <w:rFonts w:ascii="Bookman Old Style" w:hAnsi="Bookman Old Style"/>
          <w:sz w:val="24"/>
          <w:szCs w:val="24"/>
        </w:rPr>
        <w:t xml:space="preserve"> </w:t>
      </w:r>
      <w:r w:rsidRPr="00272464">
        <w:rPr>
          <w:rFonts w:ascii="Bookman Old Style" w:hAnsi="Bookman Old Style"/>
          <w:sz w:val="24"/>
          <w:szCs w:val="24"/>
          <w:lang w:val="en-US"/>
        </w:rPr>
        <w:t>dan</w:t>
      </w:r>
      <w:r w:rsidR="00A954D0">
        <w:rPr>
          <w:rFonts w:ascii="Bookman Old Style" w:hAnsi="Bookman Old Style"/>
          <w:sz w:val="24"/>
          <w:szCs w:val="24"/>
          <w:lang w:val="en-US"/>
        </w:rPr>
        <w:t xml:space="preserve"> </w:t>
      </w:r>
      <w:r w:rsidRPr="00272464">
        <w:rPr>
          <w:rFonts w:ascii="Bookman Old Style" w:hAnsi="Bookman Old Style" w:cs="Arial"/>
          <w:sz w:val="24"/>
          <w:szCs w:val="24"/>
        </w:rPr>
        <w:t>butir</w:t>
      </w:r>
      <w:r w:rsidR="00A954D0">
        <w:rPr>
          <w:rFonts w:ascii="Bookman Old Style" w:hAnsi="Bookman Old Style" w:cs="Arial"/>
          <w:sz w:val="24"/>
          <w:szCs w:val="24"/>
        </w:rPr>
        <w:t xml:space="preserve"> </w:t>
      </w:r>
      <w:r w:rsidRPr="00272464">
        <w:rPr>
          <w:rFonts w:ascii="Bookman Old Style" w:hAnsi="Bookman Old Style"/>
          <w:sz w:val="24"/>
          <w:szCs w:val="24"/>
          <w:lang w:val="en-US"/>
        </w:rPr>
        <w:t>3.4.2.c</w:t>
      </w:r>
      <w:r w:rsidR="00A954D0">
        <w:rPr>
          <w:rFonts w:ascii="Bookman Old Style" w:hAnsi="Bookman Old Style" w:cs="Arial"/>
          <w:sz w:val="24"/>
          <w:szCs w:val="24"/>
        </w:rPr>
        <w:t xml:space="preserve"> </w:t>
      </w:r>
      <w:r w:rsidRPr="00272464">
        <w:rPr>
          <w:rFonts w:ascii="Bookman Old Style" w:hAnsi="Bookman Old Style" w:cs="Arial"/>
          <w:sz w:val="24"/>
          <w:szCs w:val="24"/>
        </w:rPr>
        <w:t>Lampiran</w:t>
      </w:r>
      <w:r w:rsidR="00A954D0">
        <w:rPr>
          <w:rFonts w:ascii="Bookman Old Style" w:hAnsi="Bookman Old Style" w:cs="Arial"/>
          <w:sz w:val="24"/>
          <w:szCs w:val="24"/>
        </w:rPr>
        <w:t xml:space="preserve"> </w:t>
      </w:r>
      <w:r w:rsidRPr="00272464">
        <w:rPr>
          <w:rFonts w:ascii="Bookman Old Style" w:hAnsi="Bookman Old Style" w:cs="Arial"/>
          <w:sz w:val="24"/>
          <w:szCs w:val="24"/>
        </w:rPr>
        <w:t>Peraturan</w:t>
      </w:r>
      <w:r w:rsidR="00A954D0">
        <w:rPr>
          <w:rFonts w:ascii="Bookman Old Style" w:hAnsi="Bookman Old Style" w:cs="Arial"/>
          <w:sz w:val="24"/>
          <w:szCs w:val="24"/>
        </w:rPr>
        <w:t xml:space="preserve"> </w:t>
      </w:r>
      <w:r w:rsidRPr="00272464">
        <w:rPr>
          <w:rFonts w:ascii="Bookman Old Style" w:hAnsi="Bookman Old Style" w:cs="Arial"/>
          <w:sz w:val="24"/>
          <w:szCs w:val="24"/>
        </w:rPr>
        <w:t>Menteri</w:t>
      </w:r>
      <w:r w:rsidR="00A954D0">
        <w:rPr>
          <w:rFonts w:ascii="Bookman Old Style" w:hAnsi="Bookman Old Style" w:cs="Arial"/>
          <w:sz w:val="24"/>
          <w:szCs w:val="24"/>
        </w:rPr>
        <w:t xml:space="preserve"> </w:t>
      </w:r>
      <w:r w:rsidRPr="00272464">
        <w:rPr>
          <w:rFonts w:ascii="Bookman Old Style" w:hAnsi="Bookman Old Style" w:cs="Arial"/>
          <w:sz w:val="24"/>
          <w:szCs w:val="24"/>
        </w:rPr>
        <w:t>Dalam</w:t>
      </w:r>
      <w:r w:rsidR="00A954D0">
        <w:rPr>
          <w:rFonts w:ascii="Bookman Old Style" w:hAnsi="Bookman Old Style" w:cs="Arial"/>
          <w:sz w:val="24"/>
          <w:szCs w:val="24"/>
        </w:rPr>
        <w:t xml:space="preserve"> </w:t>
      </w:r>
      <w:r w:rsidRPr="00272464">
        <w:rPr>
          <w:rFonts w:ascii="Bookman Old Style" w:hAnsi="Bookman Old Style" w:cs="Arial"/>
          <w:sz w:val="24"/>
          <w:szCs w:val="24"/>
        </w:rPr>
        <w:t>Negeri</w:t>
      </w:r>
      <w:r w:rsidR="00A954D0">
        <w:rPr>
          <w:rFonts w:ascii="Bookman Old Style" w:hAnsi="Bookman Old Style" w:cs="Arial"/>
          <w:sz w:val="24"/>
          <w:szCs w:val="24"/>
        </w:rPr>
        <w:t xml:space="preserve"> </w:t>
      </w:r>
      <w:r w:rsidRPr="00272464">
        <w:rPr>
          <w:rFonts w:ascii="Bookman Old Style" w:hAnsi="Bookman Old Style"/>
          <w:sz w:val="24"/>
          <w:szCs w:val="24"/>
        </w:rPr>
        <w:t>Nomor</w:t>
      </w:r>
      <w:r w:rsidR="00A954D0">
        <w:rPr>
          <w:rFonts w:ascii="Bookman Old Style" w:hAnsi="Bookman Old Style" w:cs="Arial"/>
          <w:sz w:val="24"/>
          <w:szCs w:val="24"/>
        </w:rPr>
        <w:t xml:space="preserve"> </w:t>
      </w:r>
      <w:r w:rsidRPr="00272464">
        <w:rPr>
          <w:rFonts w:ascii="Bookman Old Style" w:hAnsi="Bookman Old Style" w:cs="Arial"/>
          <w:sz w:val="24"/>
          <w:szCs w:val="24"/>
          <w:lang w:val="en-US"/>
        </w:rPr>
        <w:t>15</w:t>
      </w:r>
      <w:r w:rsidR="00A954D0">
        <w:rPr>
          <w:rFonts w:ascii="Bookman Old Style" w:hAnsi="Bookman Old Style" w:cs="Arial"/>
          <w:sz w:val="24"/>
          <w:szCs w:val="24"/>
        </w:rPr>
        <w:t xml:space="preserve"> </w:t>
      </w:r>
      <w:r w:rsidRPr="00272464">
        <w:rPr>
          <w:rFonts w:ascii="Bookman Old Style" w:hAnsi="Bookman Old Style" w:cs="Arial"/>
          <w:sz w:val="24"/>
          <w:szCs w:val="24"/>
        </w:rPr>
        <w:t>Tahun</w:t>
      </w:r>
      <w:r w:rsidR="00A954D0">
        <w:rPr>
          <w:rFonts w:ascii="Bookman Old Style" w:hAnsi="Bookman Old Style" w:cs="Arial"/>
          <w:sz w:val="24"/>
          <w:szCs w:val="24"/>
        </w:rPr>
        <w:t xml:space="preserve"> </w:t>
      </w:r>
      <w:r w:rsidRPr="00272464">
        <w:rPr>
          <w:rFonts w:ascii="Bookman Old Style" w:hAnsi="Bookman Old Style" w:cs="Arial"/>
          <w:sz w:val="24"/>
          <w:szCs w:val="24"/>
        </w:rPr>
        <w:t>202</w:t>
      </w:r>
      <w:r w:rsidRPr="00272464">
        <w:rPr>
          <w:rFonts w:ascii="Bookman Old Style" w:hAnsi="Bookman Old Style" w:cs="Arial"/>
          <w:sz w:val="24"/>
          <w:szCs w:val="24"/>
          <w:lang w:val="en-US"/>
        </w:rPr>
        <w:t>4</w:t>
      </w:r>
      <w:r w:rsidRPr="00272464">
        <w:rPr>
          <w:rFonts w:ascii="Bookman Old Style" w:hAnsi="Bookman Old Style"/>
          <w:sz w:val="24"/>
          <w:szCs w:val="24"/>
        </w:rPr>
        <w:t>.</w:t>
      </w:r>
      <w:r w:rsidR="00A954D0">
        <w:rPr>
          <w:rFonts w:ascii="Bookman Old Style" w:hAnsi="Bookman Old Style"/>
          <w:sz w:val="24"/>
          <w:szCs w:val="24"/>
        </w:rPr>
        <w:t xml:space="preserve"> </w:t>
      </w:r>
    </w:p>
    <w:p w14:paraId="76BA506A" w14:textId="3129B478" w:rsidR="00515C3A" w:rsidRPr="00272464" w:rsidRDefault="00515C3A" w:rsidP="00154790">
      <w:pPr>
        <w:pStyle w:val="ListParagraph"/>
        <w:spacing w:before="60" w:after="0" w:line="276" w:lineRule="auto"/>
        <w:ind w:left="1276"/>
        <w:contextualSpacing w:val="0"/>
        <w:jc w:val="both"/>
        <w:rPr>
          <w:rFonts w:ascii="Bookman Old Style" w:hAnsi="Bookman Old Style" w:cs="Arial"/>
          <w:sz w:val="24"/>
          <w:szCs w:val="24"/>
          <w:lang w:val="de-DE"/>
        </w:rPr>
      </w:pPr>
      <w:r w:rsidRPr="00272464">
        <w:rPr>
          <w:rFonts w:ascii="Bookman Old Style" w:hAnsi="Bookman Old Style"/>
          <w:sz w:val="24"/>
          <w:szCs w:val="24"/>
        </w:rPr>
        <w:t>Penganggaran</w:t>
      </w:r>
      <w:r w:rsidR="00A954D0">
        <w:rPr>
          <w:rFonts w:ascii="Bookman Old Style" w:hAnsi="Bookman Old Style" w:cs="Arial"/>
          <w:sz w:val="24"/>
          <w:szCs w:val="24"/>
          <w:lang w:val="de-DE"/>
        </w:rPr>
        <w:t xml:space="preserve"> </w:t>
      </w:r>
      <w:r w:rsidRPr="00272464">
        <w:rPr>
          <w:rFonts w:ascii="Bookman Old Style" w:hAnsi="Bookman Old Style" w:cs="Arial"/>
          <w:sz w:val="24"/>
          <w:szCs w:val="24"/>
          <w:lang w:val="de-DE"/>
        </w:rPr>
        <w:t>pengadaan</w:t>
      </w:r>
      <w:r w:rsidR="00A954D0">
        <w:rPr>
          <w:rFonts w:ascii="Bookman Old Style" w:hAnsi="Bookman Old Style" w:cs="Arial"/>
          <w:sz w:val="24"/>
          <w:szCs w:val="24"/>
          <w:lang w:val="de-DE"/>
        </w:rPr>
        <w:t xml:space="preserve"> </w:t>
      </w:r>
      <w:r w:rsidRPr="00272464">
        <w:rPr>
          <w:rFonts w:ascii="Bookman Old Style" w:hAnsi="Bookman Old Style" w:cs="Arial"/>
          <w:sz w:val="24"/>
          <w:szCs w:val="24"/>
          <w:lang w:val="de-DE"/>
        </w:rPr>
        <w:t>BMD</w:t>
      </w:r>
      <w:r w:rsidR="00A954D0">
        <w:rPr>
          <w:rFonts w:ascii="Bookman Old Style" w:hAnsi="Bookman Old Style" w:cs="Arial"/>
          <w:sz w:val="24"/>
          <w:szCs w:val="24"/>
          <w:lang w:val="de-DE"/>
        </w:rPr>
        <w:t xml:space="preserve"> </w:t>
      </w:r>
      <w:r w:rsidRPr="00272464">
        <w:rPr>
          <w:rFonts w:ascii="Bookman Old Style" w:hAnsi="Bookman Old Style" w:cs="Arial"/>
          <w:sz w:val="24"/>
          <w:szCs w:val="24"/>
          <w:lang w:val="de-DE"/>
        </w:rPr>
        <w:t>harus</w:t>
      </w:r>
      <w:r w:rsidR="00A954D0">
        <w:rPr>
          <w:rFonts w:ascii="Bookman Old Style" w:hAnsi="Bookman Old Style" w:cs="Arial"/>
          <w:sz w:val="24"/>
          <w:szCs w:val="24"/>
          <w:lang w:val="de-DE"/>
        </w:rPr>
        <w:t xml:space="preserve"> </w:t>
      </w:r>
      <w:r w:rsidRPr="00272464">
        <w:rPr>
          <w:rFonts w:ascii="Bookman Old Style" w:hAnsi="Bookman Old Style" w:cs="Arial"/>
          <w:sz w:val="24"/>
          <w:szCs w:val="24"/>
          <w:lang w:val="de-DE"/>
        </w:rPr>
        <w:t>didasarkan</w:t>
      </w:r>
      <w:r w:rsidR="00A954D0">
        <w:rPr>
          <w:rFonts w:ascii="Bookman Old Style" w:hAnsi="Bookman Old Style" w:cs="Arial"/>
          <w:sz w:val="24"/>
          <w:szCs w:val="24"/>
          <w:lang w:val="de-DE"/>
        </w:rPr>
        <w:t xml:space="preserve"> </w:t>
      </w:r>
      <w:r w:rsidRPr="00272464">
        <w:rPr>
          <w:rFonts w:ascii="Bookman Old Style" w:hAnsi="Bookman Old Style" w:cs="Arial"/>
          <w:sz w:val="24"/>
          <w:szCs w:val="24"/>
          <w:lang w:val="de-DE"/>
        </w:rPr>
        <w:t>pada:</w:t>
      </w:r>
    </w:p>
    <w:p w14:paraId="64ABEA17" w14:textId="2A441E9D" w:rsidR="00515C3A" w:rsidRPr="00272464" w:rsidRDefault="00515C3A" w:rsidP="00154790">
      <w:pPr>
        <w:pStyle w:val="ListParagraph"/>
        <w:numPr>
          <w:ilvl w:val="0"/>
          <w:numId w:val="70"/>
        </w:numPr>
        <w:shd w:val="clear" w:color="auto" w:fill="FFFFFF" w:themeFill="background1"/>
        <w:snapToGrid w:val="0"/>
        <w:spacing w:before="60" w:after="0" w:line="276" w:lineRule="auto"/>
        <w:ind w:left="1701" w:hanging="426"/>
        <w:contextualSpacing w:val="0"/>
        <w:jc w:val="both"/>
        <w:rPr>
          <w:rFonts w:ascii="Bookman Old Style" w:hAnsi="Bookman Old Style" w:cs="Arial"/>
          <w:sz w:val="24"/>
          <w:szCs w:val="24"/>
          <w:lang w:val="id-ID"/>
        </w:rPr>
      </w:pPr>
      <w:r w:rsidRPr="00272464">
        <w:rPr>
          <w:rFonts w:ascii="Bookman Old Style" w:hAnsi="Bookman Old Style" w:cs="Arial"/>
          <w:sz w:val="24"/>
          <w:szCs w:val="24"/>
          <w:lang w:val="id-ID"/>
        </w:rPr>
        <w:t>perencanaan</w:t>
      </w:r>
      <w:r w:rsidR="00A954D0">
        <w:rPr>
          <w:rFonts w:ascii="Bookman Old Style" w:hAnsi="Bookman Old Style" w:cs="Arial"/>
          <w:sz w:val="24"/>
          <w:szCs w:val="24"/>
          <w:lang w:val="id-ID"/>
        </w:rPr>
        <w:t xml:space="preserve"> </w:t>
      </w:r>
      <w:r w:rsidRPr="00272464">
        <w:rPr>
          <w:rFonts w:ascii="Bookman Old Style" w:hAnsi="Bookman Old Style" w:cs="Arial"/>
          <w:sz w:val="24"/>
          <w:szCs w:val="24"/>
          <w:lang w:val="id-ID"/>
        </w:rPr>
        <w:t>kebutuhan</w:t>
      </w:r>
      <w:r w:rsidR="00A954D0">
        <w:rPr>
          <w:rFonts w:ascii="Bookman Old Style" w:hAnsi="Bookman Old Style" w:cs="Arial"/>
          <w:sz w:val="24"/>
          <w:szCs w:val="24"/>
          <w:lang w:val="id-ID"/>
        </w:rPr>
        <w:t xml:space="preserve"> </w:t>
      </w:r>
      <w:r w:rsidRPr="00272464">
        <w:rPr>
          <w:rFonts w:ascii="Bookman Old Style" w:hAnsi="Bookman Old Style" w:cs="Arial"/>
          <w:sz w:val="24"/>
          <w:szCs w:val="24"/>
        </w:rPr>
        <w:t>BMD</w:t>
      </w:r>
      <w:r w:rsidR="00A954D0">
        <w:rPr>
          <w:rFonts w:ascii="Bookman Old Style" w:hAnsi="Bookman Old Style" w:cs="Arial"/>
          <w:sz w:val="24"/>
          <w:szCs w:val="24"/>
          <w:lang w:val="id-ID"/>
        </w:rPr>
        <w:t xml:space="preserve"> </w:t>
      </w:r>
      <w:r w:rsidRPr="00272464">
        <w:rPr>
          <w:rFonts w:ascii="Bookman Old Style" w:hAnsi="Bookman Old Style" w:cs="Arial"/>
          <w:sz w:val="24"/>
          <w:szCs w:val="24"/>
        </w:rPr>
        <w:t>yang</w:t>
      </w:r>
      <w:r w:rsidR="00A954D0">
        <w:rPr>
          <w:rFonts w:ascii="Bookman Old Style" w:hAnsi="Bookman Old Style" w:cs="Arial"/>
          <w:sz w:val="24"/>
          <w:szCs w:val="24"/>
        </w:rPr>
        <w:t xml:space="preserve"> </w:t>
      </w:r>
      <w:r w:rsidRPr="00272464">
        <w:rPr>
          <w:rFonts w:ascii="Bookman Old Style" w:hAnsi="Bookman Old Style" w:cs="Arial"/>
          <w:sz w:val="24"/>
          <w:szCs w:val="24"/>
        </w:rPr>
        <w:t>mendukung</w:t>
      </w:r>
      <w:r w:rsidR="00A954D0">
        <w:rPr>
          <w:rFonts w:ascii="Bookman Old Style" w:hAnsi="Bookman Old Style" w:cs="Arial"/>
          <w:sz w:val="24"/>
          <w:szCs w:val="24"/>
        </w:rPr>
        <w:t xml:space="preserve"> </w:t>
      </w:r>
      <w:r w:rsidRPr="00272464">
        <w:rPr>
          <w:rFonts w:ascii="Bookman Old Style" w:hAnsi="Bookman Old Style" w:cs="Arial"/>
          <w:sz w:val="24"/>
          <w:szCs w:val="24"/>
        </w:rPr>
        <w:t>tugas</w:t>
      </w:r>
      <w:r w:rsidR="00A954D0">
        <w:rPr>
          <w:rFonts w:ascii="Bookman Old Style" w:hAnsi="Bookman Old Style" w:cs="Arial"/>
          <w:sz w:val="24"/>
          <w:szCs w:val="24"/>
        </w:rPr>
        <w:t xml:space="preserve"> </w:t>
      </w:r>
      <w:r w:rsidRPr="00272464">
        <w:rPr>
          <w:rFonts w:ascii="Bookman Old Style" w:hAnsi="Bookman Old Style" w:cs="Arial"/>
          <w:sz w:val="24"/>
          <w:szCs w:val="24"/>
        </w:rPr>
        <w:t>dan</w:t>
      </w:r>
      <w:r w:rsidR="00A954D0">
        <w:rPr>
          <w:rFonts w:ascii="Bookman Old Style" w:hAnsi="Bookman Old Style" w:cs="Arial"/>
          <w:sz w:val="24"/>
          <w:szCs w:val="24"/>
        </w:rPr>
        <w:t xml:space="preserve"> </w:t>
      </w:r>
      <w:r w:rsidRPr="00272464">
        <w:rPr>
          <w:rFonts w:ascii="Bookman Old Style" w:hAnsi="Bookman Old Style" w:cs="Arial"/>
          <w:sz w:val="24"/>
          <w:szCs w:val="24"/>
        </w:rPr>
        <w:t>fungsi</w:t>
      </w:r>
      <w:r w:rsidR="00A954D0">
        <w:rPr>
          <w:rFonts w:ascii="Bookman Old Style" w:hAnsi="Bookman Old Style" w:cs="Arial"/>
          <w:sz w:val="24"/>
          <w:szCs w:val="24"/>
        </w:rPr>
        <w:t xml:space="preserve"> </w:t>
      </w:r>
      <w:r w:rsidRPr="00272464">
        <w:rPr>
          <w:rFonts w:ascii="Bookman Old Style" w:hAnsi="Bookman Old Style" w:cs="Arial"/>
          <w:sz w:val="24"/>
          <w:szCs w:val="24"/>
        </w:rPr>
        <w:t>SKPD</w:t>
      </w:r>
      <w:r w:rsidR="00A954D0">
        <w:rPr>
          <w:rFonts w:ascii="Bookman Old Style" w:hAnsi="Bookman Old Style" w:cs="Arial"/>
          <w:sz w:val="24"/>
          <w:szCs w:val="24"/>
          <w:lang w:val="id-ID"/>
        </w:rPr>
        <w:t xml:space="preserve"> </w:t>
      </w:r>
      <w:r w:rsidRPr="00272464">
        <w:rPr>
          <w:rFonts w:ascii="Bookman Old Style" w:hAnsi="Bookman Old Style" w:cs="Arial"/>
          <w:sz w:val="24"/>
          <w:szCs w:val="24"/>
          <w:lang w:val="id-ID"/>
        </w:rPr>
        <w:t>serta</w:t>
      </w:r>
      <w:r w:rsidR="00A954D0">
        <w:rPr>
          <w:rFonts w:ascii="Bookman Old Style" w:hAnsi="Bookman Old Style" w:cs="Arial"/>
          <w:sz w:val="24"/>
          <w:szCs w:val="24"/>
          <w:lang w:val="id-ID"/>
        </w:rPr>
        <w:t xml:space="preserve"> </w:t>
      </w:r>
      <w:r w:rsidRPr="00272464">
        <w:rPr>
          <w:rFonts w:ascii="Bookman Old Style" w:hAnsi="Bookman Old Style" w:cs="Arial"/>
          <w:sz w:val="24"/>
          <w:szCs w:val="24"/>
          <w:lang w:val="id-ID"/>
        </w:rPr>
        <w:t>ketersediaan</w:t>
      </w:r>
      <w:r w:rsidR="00A954D0">
        <w:rPr>
          <w:rFonts w:ascii="Bookman Old Style" w:hAnsi="Bookman Old Style" w:cs="Arial"/>
          <w:sz w:val="24"/>
          <w:szCs w:val="24"/>
          <w:lang w:val="id-ID"/>
        </w:rPr>
        <w:t xml:space="preserve"> </w:t>
      </w:r>
      <w:r w:rsidRPr="00272464">
        <w:rPr>
          <w:rFonts w:ascii="Bookman Old Style" w:hAnsi="Bookman Old Style" w:cs="Arial"/>
          <w:sz w:val="24"/>
          <w:szCs w:val="24"/>
          <w:lang w:val="de-DE"/>
        </w:rPr>
        <w:t>BMD</w:t>
      </w:r>
      <w:r w:rsidR="00A954D0">
        <w:rPr>
          <w:rFonts w:ascii="Bookman Old Style" w:hAnsi="Bookman Old Style" w:cs="Arial"/>
          <w:sz w:val="24"/>
          <w:szCs w:val="24"/>
          <w:lang w:val="id-ID"/>
        </w:rPr>
        <w:t xml:space="preserve"> </w:t>
      </w:r>
      <w:r w:rsidRPr="00272464">
        <w:rPr>
          <w:rFonts w:ascii="Bookman Old Style" w:hAnsi="Bookman Old Style" w:cs="Arial"/>
          <w:sz w:val="24"/>
          <w:szCs w:val="24"/>
          <w:lang w:val="id-ID"/>
        </w:rPr>
        <w:t>yang</w:t>
      </w:r>
      <w:r w:rsidR="00A954D0">
        <w:rPr>
          <w:rFonts w:ascii="Bookman Old Style" w:hAnsi="Bookman Old Style" w:cs="Arial"/>
          <w:sz w:val="24"/>
          <w:szCs w:val="24"/>
          <w:lang w:val="id-ID"/>
        </w:rPr>
        <w:t xml:space="preserve"> </w:t>
      </w:r>
      <w:r w:rsidRPr="00272464">
        <w:rPr>
          <w:rFonts w:ascii="Bookman Old Style" w:hAnsi="Bookman Old Style" w:cs="Arial"/>
          <w:sz w:val="24"/>
          <w:szCs w:val="24"/>
          <w:lang w:val="id-ID"/>
        </w:rPr>
        <w:t>ada</w:t>
      </w:r>
      <w:r w:rsidRPr="00272464">
        <w:rPr>
          <w:rFonts w:ascii="Bookman Old Style" w:hAnsi="Bookman Old Style" w:cs="Arial"/>
          <w:sz w:val="24"/>
          <w:szCs w:val="24"/>
        </w:rPr>
        <w:t>;</w:t>
      </w:r>
      <w:r w:rsidR="00A954D0">
        <w:rPr>
          <w:rFonts w:ascii="Bookman Old Style" w:hAnsi="Bookman Old Style" w:cs="Arial"/>
          <w:sz w:val="24"/>
          <w:szCs w:val="24"/>
          <w:lang w:val="de-DE"/>
        </w:rPr>
        <w:t xml:space="preserve"> </w:t>
      </w:r>
      <w:r w:rsidRPr="00272464">
        <w:rPr>
          <w:rFonts w:ascii="Bookman Old Style" w:hAnsi="Bookman Old Style" w:cs="Arial"/>
          <w:sz w:val="24"/>
          <w:szCs w:val="24"/>
          <w:lang w:val="de-DE"/>
        </w:rPr>
        <w:t>dan</w:t>
      </w:r>
    </w:p>
    <w:p w14:paraId="324070AA" w14:textId="7AC7C285" w:rsidR="00515C3A" w:rsidRPr="00272464" w:rsidRDefault="00515C3A" w:rsidP="00154790">
      <w:pPr>
        <w:pStyle w:val="ListParagraph"/>
        <w:numPr>
          <w:ilvl w:val="0"/>
          <w:numId w:val="70"/>
        </w:numPr>
        <w:shd w:val="clear" w:color="auto" w:fill="FFFFFF" w:themeFill="background1"/>
        <w:snapToGrid w:val="0"/>
        <w:spacing w:before="60" w:after="0" w:line="276" w:lineRule="auto"/>
        <w:ind w:left="1701" w:hanging="426"/>
        <w:contextualSpacing w:val="0"/>
        <w:jc w:val="both"/>
        <w:rPr>
          <w:rFonts w:ascii="Bookman Old Style" w:hAnsi="Bookman Old Style" w:cs="Arial"/>
          <w:sz w:val="24"/>
          <w:szCs w:val="24"/>
          <w:lang w:val="de-DE"/>
        </w:rPr>
      </w:pPr>
      <w:r w:rsidRPr="00272464">
        <w:rPr>
          <w:rFonts w:ascii="Bookman Old Style" w:hAnsi="Bookman Old Style" w:cs="Arial"/>
          <w:sz w:val="24"/>
          <w:szCs w:val="24"/>
          <w:lang w:val="id-ID"/>
        </w:rPr>
        <w:t>standar</w:t>
      </w:r>
      <w:r w:rsidR="00A954D0">
        <w:rPr>
          <w:rFonts w:ascii="Bookman Old Style" w:hAnsi="Bookman Old Style" w:cs="Arial"/>
          <w:sz w:val="24"/>
          <w:szCs w:val="24"/>
          <w:lang w:val="id-ID"/>
        </w:rPr>
        <w:t xml:space="preserve"> </w:t>
      </w:r>
      <w:r w:rsidRPr="00272464">
        <w:rPr>
          <w:rFonts w:ascii="Bookman Old Style" w:hAnsi="Bookman Old Style" w:cs="Arial"/>
          <w:sz w:val="24"/>
          <w:szCs w:val="24"/>
          <w:lang w:val="id-ID"/>
        </w:rPr>
        <w:t>barang,</w:t>
      </w:r>
      <w:r w:rsidR="00A954D0">
        <w:rPr>
          <w:rFonts w:ascii="Bookman Old Style" w:hAnsi="Bookman Old Style" w:cs="Arial"/>
          <w:sz w:val="24"/>
          <w:szCs w:val="24"/>
          <w:lang w:val="id-ID"/>
        </w:rPr>
        <w:t xml:space="preserve"> </w:t>
      </w:r>
      <w:r w:rsidRPr="00272464">
        <w:rPr>
          <w:rFonts w:ascii="Bookman Old Style" w:hAnsi="Bookman Old Style" w:cs="Arial"/>
          <w:sz w:val="24"/>
          <w:szCs w:val="24"/>
          <w:lang w:val="id-ID"/>
        </w:rPr>
        <w:t>standar</w:t>
      </w:r>
      <w:r w:rsidR="00A954D0">
        <w:rPr>
          <w:rFonts w:ascii="Bookman Old Style" w:hAnsi="Bookman Old Style" w:cs="Arial"/>
          <w:sz w:val="24"/>
          <w:szCs w:val="24"/>
          <w:lang w:val="id-ID"/>
        </w:rPr>
        <w:t xml:space="preserve"> </w:t>
      </w:r>
      <w:r w:rsidRPr="00272464">
        <w:rPr>
          <w:rFonts w:ascii="Bookman Old Style" w:hAnsi="Bookman Old Style" w:cs="Arial"/>
          <w:sz w:val="24"/>
          <w:szCs w:val="24"/>
          <w:lang w:val="id-ID"/>
        </w:rPr>
        <w:t>kebutuhan</w:t>
      </w:r>
      <w:r w:rsidR="00A954D0">
        <w:rPr>
          <w:rFonts w:ascii="Bookman Old Style" w:hAnsi="Bookman Old Style" w:cs="Arial"/>
          <w:sz w:val="24"/>
          <w:szCs w:val="24"/>
          <w:lang w:val="id-ID"/>
        </w:rPr>
        <w:t xml:space="preserve"> </w:t>
      </w:r>
      <w:r w:rsidRPr="00272464">
        <w:rPr>
          <w:rFonts w:ascii="Bookman Old Style" w:hAnsi="Bookman Old Style" w:cs="Arial"/>
          <w:sz w:val="24"/>
          <w:szCs w:val="24"/>
          <w:lang w:val="id-ID"/>
        </w:rPr>
        <w:t>dan/atau</w:t>
      </w:r>
      <w:r w:rsidR="00A954D0">
        <w:rPr>
          <w:rFonts w:ascii="Bookman Old Style" w:hAnsi="Bookman Old Style" w:cs="Arial"/>
          <w:sz w:val="24"/>
          <w:szCs w:val="24"/>
          <w:lang w:val="id-ID"/>
        </w:rPr>
        <w:t xml:space="preserve"> </w:t>
      </w:r>
      <w:r w:rsidRPr="00272464">
        <w:rPr>
          <w:rFonts w:ascii="Bookman Old Style" w:hAnsi="Bookman Old Style" w:cs="Arial"/>
          <w:sz w:val="24"/>
          <w:szCs w:val="24"/>
          <w:lang w:val="id-ID"/>
        </w:rPr>
        <w:t>standar</w:t>
      </w:r>
      <w:r w:rsidR="00A954D0">
        <w:rPr>
          <w:rFonts w:ascii="Bookman Old Style" w:hAnsi="Bookman Old Style" w:cs="Arial"/>
          <w:sz w:val="24"/>
          <w:szCs w:val="24"/>
          <w:lang w:val="id-ID"/>
        </w:rPr>
        <w:t xml:space="preserve"> </w:t>
      </w:r>
      <w:r w:rsidRPr="00272464">
        <w:rPr>
          <w:rFonts w:ascii="Bookman Old Style" w:hAnsi="Bookman Old Style" w:cs="Arial"/>
          <w:sz w:val="24"/>
          <w:szCs w:val="24"/>
          <w:lang w:val="id-ID"/>
        </w:rPr>
        <w:t>harga</w:t>
      </w:r>
      <w:r w:rsidR="00154790">
        <w:rPr>
          <w:rFonts w:ascii="Bookman Old Style" w:hAnsi="Bookman Old Style" w:cs="Arial"/>
          <w:sz w:val="24"/>
          <w:szCs w:val="24"/>
          <w:lang w:val="de-DE"/>
        </w:rPr>
        <w:t>.</w:t>
      </w:r>
    </w:p>
    <w:p w14:paraId="6D2EEA58" w14:textId="77575540" w:rsidR="00515C3A" w:rsidRPr="00272464" w:rsidRDefault="00154790" w:rsidP="00154790">
      <w:pPr>
        <w:pStyle w:val="ListParagraph"/>
        <w:spacing w:before="60" w:after="0" w:line="276" w:lineRule="auto"/>
        <w:ind w:left="1276"/>
        <w:contextualSpacing w:val="0"/>
        <w:jc w:val="both"/>
        <w:rPr>
          <w:rFonts w:ascii="Bookman Old Style" w:hAnsi="Bookman Old Style" w:cs="Arial"/>
          <w:sz w:val="24"/>
          <w:szCs w:val="24"/>
          <w:lang w:val="de-DE"/>
        </w:rPr>
      </w:pPr>
      <w:r>
        <w:rPr>
          <w:rFonts w:ascii="Bookman Old Style" w:hAnsi="Bookman Old Style" w:cs="Arial"/>
          <w:sz w:val="24"/>
          <w:szCs w:val="24"/>
          <w:lang w:val="de-DE"/>
        </w:rPr>
        <w:t>S</w:t>
      </w:r>
      <w:r w:rsidR="00515C3A" w:rsidRPr="00272464">
        <w:rPr>
          <w:rFonts w:ascii="Bookman Old Style" w:hAnsi="Bookman Old Style" w:cs="Arial"/>
          <w:sz w:val="24"/>
          <w:szCs w:val="24"/>
          <w:lang w:val="de-DE"/>
        </w:rPr>
        <w:t>ebagaimana</w:t>
      </w:r>
      <w:r w:rsidR="00A954D0">
        <w:rPr>
          <w:rFonts w:ascii="Bookman Old Style" w:hAnsi="Bookman Old Style" w:cs="Arial"/>
          <w:sz w:val="24"/>
          <w:szCs w:val="24"/>
          <w:lang w:val="de-DE"/>
        </w:rPr>
        <w:t xml:space="preserve"> </w:t>
      </w:r>
      <w:r w:rsidR="00515C3A" w:rsidRPr="00272464">
        <w:rPr>
          <w:rFonts w:ascii="Bookman Old Style" w:hAnsi="Bookman Old Style" w:cs="Arial"/>
          <w:sz w:val="24"/>
          <w:szCs w:val="24"/>
          <w:lang w:val="de-DE"/>
        </w:rPr>
        <w:t>maksud</w:t>
      </w:r>
      <w:r w:rsidR="00A954D0">
        <w:rPr>
          <w:rFonts w:ascii="Bookman Old Style" w:hAnsi="Bookman Old Style" w:cs="Arial"/>
          <w:sz w:val="24"/>
          <w:szCs w:val="24"/>
          <w:lang w:val="de-DE"/>
        </w:rPr>
        <w:t xml:space="preserve"> </w:t>
      </w:r>
      <w:r w:rsidR="00515C3A" w:rsidRPr="00272464">
        <w:rPr>
          <w:rFonts w:ascii="Bookman Old Style" w:hAnsi="Bookman Old Style" w:cs="Arial"/>
          <w:sz w:val="24"/>
          <w:szCs w:val="24"/>
          <w:lang w:val="de-DE"/>
        </w:rPr>
        <w:t>Pasal</w:t>
      </w:r>
      <w:r w:rsidR="00A954D0">
        <w:rPr>
          <w:rFonts w:ascii="Bookman Old Style" w:hAnsi="Bookman Old Style" w:cs="Arial"/>
          <w:sz w:val="24"/>
          <w:szCs w:val="24"/>
          <w:lang w:val="de-DE"/>
        </w:rPr>
        <w:t xml:space="preserve"> </w:t>
      </w:r>
      <w:r w:rsidR="00515C3A" w:rsidRPr="00272464">
        <w:rPr>
          <w:rFonts w:ascii="Bookman Old Style" w:hAnsi="Bookman Old Style" w:cs="Arial"/>
          <w:sz w:val="24"/>
          <w:szCs w:val="24"/>
          <w:lang w:val="de-DE"/>
        </w:rPr>
        <w:t>9</w:t>
      </w:r>
      <w:r w:rsidR="00A954D0">
        <w:rPr>
          <w:rFonts w:ascii="Bookman Old Style" w:hAnsi="Bookman Old Style" w:cs="Arial"/>
          <w:sz w:val="24"/>
          <w:szCs w:val="24"/>
          <w:lang w:val="de-DE"/>
        </w:rPr>
        <w:t xml:space="preserve"> </w:t>
      </w:r>
      <w:r w:rsidR="00515C3A" w:rsidRPr="00272464">
        <w:rPr>
          <w:rFonts w:ascii="Bookman Old Style" w:hAnsi="Bookman Old Style" w:cs="Arial"/>
          <w:sz w:val="24"/>
          <w:szCs w:val="24"/>
          <w:lang w:val="de-DE"/>
        </w:rPr>
        <w:t>Peraturan</w:t>
      </w:r>
      <w:r w:rsidR="00A954D0">
        <w:rPr>
          <w:rFonts w:ascii="Bookman Old Style" w:hAnsi="Bookman Old Style" w:cs="Arial"/>
          <w:sz w:val="24"/>
          <w:szCs w:val="24"/>
          <w:lang w:val="de-DE"/>
        </w:rPr>
        <w:t xml:space="preserve"> </w:t>
      </w:r>
      <w:r w:rsidR="00515C3A" w:rsidRPr="00272464">
        <w:rPr>
          <w:rFonts w:ascii="Bookman Old Style" w:hAnsi="Bookman Old Style" w:cs="Arial"/>
          <w:sz w:val="24"/>
          <w:szCs w:val="24"/>
          <w:lang w:val="de-DE"/>
        </w:rPr>
        <w:t>Pemerintah</w:t>
      </w:r>
      <w:r w:rsidR="00A954D0">
        <w:rPr>
          <w:rFonts w:ascii="Bookman Old Style" w:hAnsi="Bookman Old Style" w:cs="Arial"/>
          <w:sz w:val="24"/>
          <w:szCs w:val="24"/>
          <w:lang w:val="de-DE"/>
        </w:rPr>
        <w:t xml:space="preserve"> </w:t>
      </w:r>
      <w:r w:rsidR="00515C3A" w:rsidRPr="00272464">
        <w:rPr>
          <w:rFonts w:ascii="Bookman Old Style" w:hAnsi="Bookman Old Style" w:cs="Arial"/>
          <w:sz w:val="24"/>
          <w:szCs w:val="24"/>
          <w:lang w:val="de-DE"/>
        </w:rPr>
        <w:t>Nomor</w:t>
      </w:r>
      <w:r w:rsidR="00A954D0">
        <w:rPr>
          <w:rFonts w:ascii="Bookman Old Style" w:hAnsi="Bookman Old Style" w:cs="Arial"/>
          <w:sz w:val="24"/>
          <w:szCs w:val="24"/>
          <w:lang w:val="de-DE"/>
        </w:rPr>
        <w:t xml:space="preserve"> </w:t>
      </w:r>
      <w:r w:rsidR="00515C3A" w:rsidRPr="00272464">
        <w:rPr>
          <w:rFonts w:ascii="Bookman Old Style" w:hAnsi="Bookman Old Style" w:cs="Arial"/>
          <w:sz w:val="24"/>
          <w:szCs w:val="24"/>
          <w:lang w:val="de-DE"/>
        </w:rPr>
        <w:t>27</w:t>
      </w:r>
      <w:r w:rsidR="00A954D0">
        <w:rPr>
          <w:rFonts w:ascii="Bookman Old Style" w:hAnsi="Bookman Old Style" w:cs="Arial"/>
          <w:sz w:val="24"/>
          <w:szCs w:val="24"/>
          <w:lang w:val="de-DE"/>
        </w:rPr>
        <w:t xml:space="preserve"> </w:t>
      </w:r>
      <w:r w:rsidR="00515C3A" w:rsidRPr="00272464">
        <w:rPr>
          <w:rFonts w:ascii="Bookman Old Style" w:hAnsi="Bookman Old Style" w:cs="Arial"/>
          <w:sz w:val="24"/>
          <w:szCs w:val="24"/>
          <w:lang w:val="de-DE"/>
        </w:rPr>
        <w:t>Tahun</w:t>
      </w:r>
      <w:r w:rsidR="00A954D0">
        <w:rPr>
          <w:rFonts w:ascii="Bookman Old Style" w:hAnsi="Bookman Old Style" w:cs="Arial"/>
          <w:sz w:val="24"/>
          <w:szCs w:val="24"/>
          <w:lang w:val="de-DE"/>
        </w:rPr>
        <w:t xml:space="preserve"> </w:t>
      </w:r>
      <w:r w:rsidR="00515C3A" w:rsidRPr="00272464">
        <w:rPr>
          <w:rFonts w:ascii="Bookman Old Style" w:hAnsi="Bookman Old Style" w:cs="Arial"/>
          <w:sz w:val="24"/>
          <w:szCs w:val="24"/>
          <w:lang w:val="de-DE"/>
        </w:rPr>
        <w:t>2014</w:t>
      </w:r>
      <w:r w:rsidR="00A954D0">
        <w:rPr>
          <w:rFonts w:ascii="Bookman Old Style" w:hAnsi="Bookman Old Style" w:cs="Arial"/>
          <w:sz w:val="24"/>
          <w:szCs w:val="24"/>
          <w:lang w:val="de-DE"/>
        </w:rPr>
        <w:t xml:space="preserve"> </w:t>
      </w:r>
      <w:r w:rsidR="00515C3A" w:rsidRPr="00272464">
        <w:rPr>
          <w:rFonts w:ascii="Bookman Old Style" w:hAnsi="Bookman Old Style" w:cs="Arial"/>
          <w:sz w:val="24"/>
          <w:szCs w:val="24"/>
          <w:lang w:val="de-DE"/>
        </w:rPr>
        <w:t>sebagaimana</w:t>
      </w:r>
      <w:r w:rsidR="00A954D0">
        <w:rPr>
          <w:rFonts w:ascii="Bookman Old Style" w:hAnsi="Bookman Old Style" w:cs="Arial"/>
          <w:sz w:val="24"/>
          <w:szCs w:val="24"/>
          <w:lang w:val="de-DE"/>
        </w:rPr>
        <w:t xml:space="preserve"> </w:t>
      </w:r>
      <w:r w:rsidR="00515C3A" w:rsidRPr="00272464">
        <w:rPr>
          <w:rFonts w:ascii="Bookman Old Style" w:hAnsi="Bookman Old Style" w:cs="Arial"/>
          <w:sz w:val="24"/>
          <w:szCs w:val="24"/>
          <w:lang w:val="de-DE"/>
        </w:rPr>
        <w:t>telah</w:t>
      </w:r>
      <w:r w:rsidR="00A954D0">
        <w:rPr>
          <w:rFonts w:ascii="Bookman Old Style" w:hAnsi="Bookman Old Style" w:cs="Arial"/>
          <w:sz w:val="24"/>
          <w:szCs w:val="24"/>
          <w:lang w:val="de-DE"/>
        </w:rPr>
        <w:t xml:space="preserve"> </w:t>
      </w:r>
      <w:r w:rsidR="00515C3A" w:rsidRPr="00272464">
        <w:rPr>
          <w:rFonts w:ascii="Bookman Old Style" w:hAnsi="Bookman Old Style" w:cs="Arial"/>
          <w:sz w:val="24"/>
          <w:szCs w:val="24"/>
          <w:lang w:val="de-DE"/>
        </w:rPr>
        <w:t>diubah</w:t>
      </w:r>
      <w:r w:rsidR="00A954D0">
        <w:rPr>
          <w:rFonts w:ascii="Bookman Old Style" w:hAnsi="Bookman Old Style" w:cs="Arial"/>
          <w:sz w:val="24"/>
          <w:szCs w:val="24"/>
          <w:lang w:val="de-DE"/>
        </w:rPr>
        <w:t xml:space="preserve"> </w:t>
      </w:r>
      <w:r w:rsidR="00515C3A" w:rsidRPr="00272464">
        <w:rPr>
          <w:rFonts w:ascii="Bookman Old Style" w:hAnsi="Bookman Old Style" w:cs="Arial"/>
          <w:sz w:val="24"/>
          <w:szCs w:val="24"/>
          <w:lang w:val="de-DE"/>
        </w:rPr>
        <w:t>dengan</w:t>
      </w:r>
      <w:r w:rsidR="00A954D0">
        <w:rPr>
          <w:rFonts w:ascii="Bookman Old Style" w:hAnsi="Bookman Old Style" w:cs="Arial"/>
          <w:sz w:val="24"/>
          <w:szCs w:val="24"/>
          <w:lang w:val="de-DE"/>
        </w:rPr>
        <w:t xml:space="preserve"> </w:t>
      </w:r>
      <w:r w:rsidR="00515C3A" w:rsidRPr="00272464">
        <w:rPr>
          <w:rFonts w:ascii="Bookman Old Style" w:hAnsi="Bookman Old Style" w:cs="Arial"/>
          <w:sz w:val="24"/>
          <w:szCs w:val="24"/>
          <w:lang w:val="de-DE"/>
        </w:rPr>
        <w:t>Peraturan</w:t>
      </w:r>
      <w:r w:rsidR="00A954D0">
        <w:rPr>
          <w:rFonts w:ascii="Bookman Old Style" w:hAnsi="Bookman Old Style" w:cs="Arial"/>
          <w:sz w:val="24"/>
          <w:szCs w:val="24"/>
          <w:lang w:val="de-DE"/>
        </w:rPr>
        <w:t xml:space="preserve"> </w:t>
      </w:r>
      <w:r w:rsidR="00515C3A" w:rsidRPr="00272464">
        <w:rPr>
          <w:rFonts w:ascii="Bookman Old Style" w:hAnsi="Bookman Old Style" w:cs="Arial"/>
          <w:sz w:val="24"/>
          <w:szCs w:val="24"/>
          <w:lang w:val="de-DE"/>
        </w:rPr>
        <w:t>Pemerintah</w:t>
      </w:r>
      <w:r w:rsidR="00A954D0">
        <w:rPr>
          <w:rFonts w:ascii="Bookman Old Style" w:hAnsi="Bookman Old Style" w:cs="Arial"/>
          <w:sz w:val="24"/>
          <w:szCs w:val="24"/>
          <w:lang w:val="de-DE"/>
        </w:rPr>
        <w:t xml:space="preserve"> </w:t>
      </w:r>
      <w:r w:rsidR="00515C3A" w:rsidRPr="00272464">
        <w:rPr>
          <w:rFonts w:ascii="Bookman Old Style" w:hAnsi="Bookman Old Style" w:cs="Arial"/>
          <w:sz w:val="24"/>
          <w:szCs w:val="24"/>
          <w:lang w:val="de-DE"/>
        </w:rPr>
        <w:t>Nomor</w:t>
      </w:r>
      <w:r w:rsidR="00A954D0">
        <w:rPr>
          <w:rFonts w:ascii="Bookman Old Style" w:hAnsi="Bookman Old Style" w:cs="Arial"/>
          <w:sz w:val="24"/>
          <w:szCs w:val="24"/>
          <w:lang w:val="de-DE"/>
        </w:rPr>
        <w:t xml:space="preserve"> </w:t>
      </w:r>
      <w:r w:rsidR="00515C3A" w:rsidRPr="00272464">
        <w:rPr>
          <w:rFonts w:ascii="Bookman Old Style" w:hAnsi="Bookman Old Style" w:cs="Arial"/>
          <w:sz w:val="24"/>
          <w:szCs w:val="24"/>
          <w:lang w:val="de-DE"/>
        </w:rPr>
        <w:t>28</w:t>
      </w:r>
      <w:r w:rsidR="00A954D0">
        <w:rPr>
          <w:rFonts w:ascii="Bookman Old Style" w:hAnsi="Bookman Old Style" w:cs="Arial"/>
          <w:sz w:val="24"/>
          <w:szCs w:val="24"/>
          <w:lang w:val="de-DE"/>
        </w:rPr>
        <w:t xml:space="preserve"> </w:t>
      </w:r>
      <w:r w:rsidR="00515C3A" w:rsidRPr="00272464">
        <w:rPr>
          <w:rFonts w:ascii="Bookman Old Style" w:hAnsi="Bookman Old Style" w:cs="Arial"/>
          <w:sz w:val="24"/>
          <w:szCs w:val="24"/>
          <w:lang w:val="de-DE"/>
        </w:rPr>
        <w:t>Tahun</w:t>
      </w:r>
      <w:r w:rsidR="00A954D0">
        <w:rPr>
          <w:rFonts w:ascii="Bookman Old Style" w:hAnsi="Bookman Old Style" w:cs="Arial"/>
          <w:sz w:val="24"/>
          <w:szCs w:val="24"/>
          <w:lang w:val="de-DE"/>
        </w:rPr>
        <w:t xml:space="preserve"> </w:t>
      </w:r>
      <w:r w:rsidR="00515C3A" w:rsidRPr="00272464">
        <w:rPr>
          <w:rFonts w:ascii="Bookman Old Style" w:hAnsi="Bookman Old Style" w:cs="Arial"/>
          <w:sz w:val="24"/>
          <w:szCs w:val="24"/>
          <w:lang w:val="de-DE"/>
        </w:rPr>
        <w:t>2020,</w:t>
      </w:r>
      <w:r w:rsidR="00A954D0">
        <w:rPr>
          <w:rFonts w:ascii="Bookman Old Style" w:hAnsi="Bookman Old Style" w:cs="Arial"/>
          <w:sz w:val="24"/>
          <w:szCs w:val="24"/>
          <w:lang w:val="de-DE"/>
        </w:rPr>
        <w:t xml:space="preserve"> </w:t>
      </w:r>
      <w:r w:rsidR="00515C3A" w:rsidRPr="00272464">
        <w:rPr>
          <w:rFonts w:ascii="Bookman Old Style" w:hAnsi="Bookman Old Style" w:cs="Arial"/>
          <w:sz w:val="24"/>
          <w:szCs w:val="24"/>
          <w:lang w:val="de-DE"/>
        </w:rPr>
        <w:t>Pasal</w:t>
      </w:r>
      <w:r w:rsidR="00A954D0">
        <w:rPr>
          <w:rFonts w:ascii="Bookman Old Style" w:hAnsi="Bookman Old Style" w:cs="Arial"/>
          <w:sz w:val="24"/>
          <w:szCs w:val="24"/>
          <w:lang w:val="de-DE"/>
        </w:rPr>
        <w:t xml:space="preserve"> </w:t>
      </w:r>
      <w:r w:rsidR="00515C3A" w:rsidRPr="00272464">
        <w:rPr>
          <w:rFonts w:ascii="Bookman Old Style" w:hAnsi="Bookman Old Style" w:cs="Arial"/>
          <w:sz w:val="24"/>
          <w:szCs w:val="24"/>
          <w:lang w:val="de-DE"/>
        </w:rPr>
        <w:t>20</w:t>
      </w:r>
      <w:r w:rsidR="00A954D0">
        <w:rPr>
          <w:rFonts w:ascii="Bookman Old Style" w:hAnsi="Bookman Old Style" w:cs="Arial"/>
          <w:sz w:val="24"/>
          <w:szCs w:val="24"/>
          <w:lang w:val="de-DE"/>
        </w:rPr>
        <w:t xml:space="preserve"> </w:t>
      </w:r>
      <w:r w:rsidR="00515C3A" w:rsidRPr="00272464">
        <w:rPr>
          <w:rFonts w:ascii="Bookman Old Style" w:hAnsi="Bookman Old Style" w:cs="Arial"/>
          <w:sz w:val="24"/>
          <w:szCs w:val="24"/>
          <w:lang w:val="de-DE"/>
        </w:rPr>
        <w:t>Peraturan</w:t>
      </w:r>
      <w:r w:rsidR="00A954D0">
        <w:rPr>
          <w:rFonts w:ascii="Bookman Old Style" w:hAnsi="Bookman Old Style" w:cs="Arial"/>
          <w:sz w:val="24"/>
          <w:szCs w:val="24"/>
          <w:lang w:val="de-DE"/>
        </w:rPr>
        <w:t xml:space="preserve"> </w:t>
      </w:r>
      <w:r w:rsidR="00515C3A" w:rsidRPr="00272464">
        <w:rPr>
          <w:rFonts w:ascii="Bookman Old Style" w:hAnsi="Bookman Old Style" w:cs="Arial"/>
          <w:sz w:val="24"/>
          <w:szCs w:val="24"/>
          <w:lang w:val="de-DE"/>
        </w:rPr>
        <w:t>Menteri</w:t>
      </w:r>
      <w:r w:rsidR="00A954D0">
        <w:rPr>
          <w:rFonts w:ascii="Bookman Old Style" w:hAnsi="Bookman Old Style" w:cs="Arial"/>
          <w:sz w:val="24"/>
          <w:szCs w:val="24"/>
          <w:lang w:val="de-DE"/>
        </w:rPr>
        <w:t xml:space="preserve"> </w:t>
      </w:r>
      <w:r w:rsidR="00515C3A" w:rsidRPr="00272464">
        <w:rPr>
          <w:rFonts w:ascii="Bookman Old Style" w:hAnsi="Bookman Old Style" w:cs="Arial"/>
          <w:sz w:val="24"/>
          <w:szCs w:val="24"/>
          <w:lang w:val="de-DE"/>
        </w:rPr>
        <w:t>Dalam</w:t>
      </w:r>
      <w:r w:rsidR="00A954D0">
        <w:rPr>
          <w:rFonts w:ascii="Bookman Old Style" w:hAnsi="Bookman Old Style" w:cs="Arial"/>
          <w:sz w:val="24"/>
          <w:szCs w:val="24"/>
          <w:lang w:val="de-DE"/>
        </w:rPr>
        <w:t xml:space="preserve"> </w:t>
      </w:r>
      <w:r w:rsidR="00515C3A" w:rsidRPr="00272464">
        <w:rPr>
          <w:rFonts w:ascii="Bookman Old Style" w:hAnsi="Bookman Old Style" w:cs="Arial"/>
          <w:sz w:val="24"/>
          <w:szCs w:val="24"/>
          <w:lang w:val="de-DE"/>
        </w:rPr>
        <w:t>Negeri</w:t>
      </w:r>
      <w:r w:rsidR="00A954D0">
        <w:rPr>
          <w:rFonts w:ascii="Bookman Old Style" w:hAnsi="Bookman Old Style" w:cs="Arial"/>
          <w:sz w:val="24"/>
          <w:szCs w:val="24"/>
          <w:lang w:val="de-DE"/>
        </w:rPr>
        <w:t xml:space="preserve"> </w:t>
      </w:r>
      <w:r w:rsidR="00515C3A" w:rsidRPr="00272464">
        <w:rPr>
          <w:rFonts w:ascii="Bookman Old Style" w:hAnsi="Bookman Old Style" w:cs="Arial"/>
          <w:sz w:val="24"/>
          <w:szCs w:val="24"/>
          <w:lang w:val="de-DE"/>
        </w:rPr>
        <w:t>Nomor</w:t>
      </w:r>
      <w:r w:rsidR="00A954D0">
        <w:rPr>
          <w:rFonts w:ascii="Bookman Old Style" w:hAnsi="Bookman Old Style" w:cs="Arial"/>
          <w:sz w:val="24"/>
          <w:szCs w:val="24"/>
          <w:lang w:val="de-DE"/>
        </w:rPr>
        <w:t xml:space="preserve"> </w:t>
      </w:r>
      <w:r w:rsidR="00515C3A" w:rsidRPr="00272464">
        <w:rPr>
          <w:rFonts w:ascii="Bookman Old Style" w:hAnsi="Bookman Old Style" w:cs="Arial"/>
          <w:sz w:val="24"/>
          <w:szCs w:val="24"/>
          <w:lang w:val="de-DE"/>
        </w:rPr>
        <w:t>19</w:t>
      </w:r>
      <w:r w:rsidR="00A954D0">
        <w:rPr>
          <w:rFonts w:ascii="Bookman Old Style" w:hAnsi="Bookman Old Style" w:cs="Arial"/>
          <w:sz w:val="24"/>
          <w:szCs w:val="24"/>
          <w:lang w:val="de-DE"/>
        </w:rPr>
        <w:t xml:space="preserve"> </w:t>
      </w:r>
      <w:r w:rsidR="00515C3A" w:rsidRPr="00272464">
        <w:rPr>
          <w:rFonts w:ascii="Bookman Old Style" w:hAnsi="Bookman Old Style" w:cs="Arial"/>
          <w:sz w:val="24"/>
          <w:szCs w:val="24"/>
          <w:lang w:val="de-DE"/>
        </w:rPr>
        <w:t>Tahun</w:t>
      </w:r>
      <w:r w:rsidR="00A954D0">
        <w:rPr>
          <w:rFonts w:ascii="Bookman Old Style" w:hAnsi="Bookman Old Style" w:cs="Arial"/>
          <w:sz w:val="24"/>
          <w:szCs w:val="24"/>
          <w:lang w:val="de-DE"/>
        </w:rPr>
        <w:t xml:space="preserve"> </w:t>
      </w:r>
      <w:r w:rsidR="00515C3A" w:rsidRPr="00272464">
        <w:rPr>
          <w:rFonts w:ascii="Bookman Old Style" w:hAnsi="Bookman Old Style" w:cs="Arial"/>
          <w:sz w:val="24"/>
          <w:szCs w:val="24"/>
          <w:lang w:val="de-DE"/>
        </w:rPr>
        <w:t>2016</w:t>
      </w:r>
      <w:r w:rsidR="00A954D0">
        <w:rPr>
          <w:rFonts w:ascii="Bookman Old Style" w:hAnsi="Bookman Old Style"/>
          <w:sz w:val="24"/>
          <w:szCs w:val="24"/>
        </w:rPr>
        <w:t xml:space="preserve"> </w:t>
      </w:r>
      <w:r w:rsidR="00515C3A" w:rsidRPr="00272464">
        <w:rPr>
          <w:rFonts w:ascii="Bookman Old Style" w:hAnsi="Bookman Old Style"/>
          <w:sz w:val="24"/>
          <w:szCs w:val="24"/>
          <w:lang w:val="de-DE"/>
        </w:rPr>
        <w:t>dan</w:t>
      </w:r>
      <w:r w:rsidR="00A954D0">
        <w:rPr>
          <w:rFonts w:ascii="Bookman Old Style" w:hAnsi="Bookman Old Style"/>
          <w:sz w:val="24"/>
          <w:szCs w:val="24"/>
          <w:lang w:val="de-DE"/>
        </w:rPr>
        <w:t xml:space="preserve"> </w:t>
      </w:r>
      <w:r w:rsidR="00515C3A" w:rsidRPr="00272464">
        <w:rPr>
          <w:rFonts w:ascii="Bookman Old Style" w:hAnsi="Bookman Old Style" w:cs="Arial"/>
          <w:sz w:val="24"/>
          <w:szCs w:val="24"/>
        </w:rPr>
        <w:t>butir</w:t>
      </w:r>
      <w:r w:rsidR="00A954D0">
        <w:rPr>
          <w:rFonts w:ascii="Bookman Old Style" w:hAnsi="Bookman Old Style" w:cs="Arial"/>
          <w:sz w:val="24"/>
          <w:szCs w:val="24"/>
        </w:rPr>
        <w:t xml:space="preserve"> </w:t>
      </w:r>
      <w:r w:rsidR="00515C3A" w:rsidRPr="00272464">
        <w:rPr>
          <w:rFonts w:ascii="Bookman Old Style" w:hAnsi="Bookman Old Style"/>
          <w:sz w:val="24"/>
          <w:szCs w:val="24"/>
          <w:lang w:val="de-DE"/>
        </w:rPr>
        <w:t>3.4.2.i</w:t>
      </w:r>
      <w:r w:rsidR="00A954D0">
        <w:rPr>
          <w:rFonts w:ascii="Bookman Old Style" w:hAnsi="Bookman Old Style" w:cs="Arial"/>
          <w:sz w:val="24"/>
          <w:szCs w:val="24"/>
        </w:rPr>
        <w:t xml:space="preserve"> </w:t>
      </w:r>
      <w:r w:rsidR="00515C3A" w:rsidRPr="00272464">
        <w:rPr>
          <w:rFonts w:ascii="Bookman Old Style" w:hAnsi="Bookman Old Style" w:cs="Arial"/>
          <w:sz w:val="24"/>
          <w:szCs w:val="24"/>
        </w:rPr>
        <w:t>Lampiran</w:t>
      </w:r>
      <w:r w:rsidR="00A954D0">
        <w:rPr>
          <w:rFonts w:ascii="Bookman Old Style" w:hAnsi="Bookman Old Style" w:cs="Arial"/>
          <w:sz w:val="24"/>
          <w:szCs w:val="24"/>
        </w:rPr>
        <w:t xml:space="preserve"> </w:t>
      </w:r>
      <w:r w:rsidR="00515C3A" w:rsidRPr="00272464">
        <w:rPr>
          <w:rFonts w:ascii="Bookman Old Style" w:hAnsi="Bookman Old Style" w:cs="Arial"/>
          <w:sz w:val="24"/>
          <w:szCs w:val="24"/>
        </w:rPr>
        <w:t>Peraturan</w:t>
      </w:r>
      <w:r w:rsidR="00A954D0">
        <w:rPr>
          <w:rFonts w:ascii="Bookman Old Style" w:hAnsi="Bookman Old Style" w:cs="Arial"/>
          <w:sz w:val="24"/>
          <w:szCs w:val="24"/>
        </w:rPr>
        <w:t xml:space="preserve"> </w:t>
      </w:r>
      <w:r w:rsidR="00515C3A" w:rsidRPr="00272464">
        <w:rPr>
          <w:rFonts w:ascii="Bookman Old Style" w:hAnsi="Bookman Old Style" w:cs="Arial"/>
          <w:sz w:val="24"/>
          <w:szCs w:val="24"/>
        </w:rPr>
        <w:t>Menteri</w:t>
      </w:r>
      <w:r w:rsidR="00A954D0">
        <w:rPr>
          <w:rFonts w:ascii="Bookman Old Style" w:hAnsi="Bookman Old Style" w:cs="Arial"/>
          <w:sz w:val="24"/>
          <w:szCs w:val="24"/>
        </w:rPr>
        <w:t xml:space="preserve"> </w:t>
      </w:r>
      <w:r w:rsidR="00515C3A" w:rsidRPr="00272464">
        <w:rPr>
          <w:rFonts w:ascii="Bookman Old Style" w:hAnsi="Bookman Old Style" w:cs="Arial"/>
          <w:sz w:val="24"/>
          <w:szCs w:val="24"/>
        </w:rPr>
        <w:t>Dalam</w:t>
      </w:r>
      <w:r w:rsidR="00A954D0">
        <w:rPr>
          <w:rFonts w:ascii="Bookman Old Style" w:hAnsi="Bookman Old Style" w:cs="Arial"/>
          <w:sz w:val="24"/>
          <w:szCs w:val="24"/>
        </w:rPr>
        <w:t xml:space="preserve"> </w:t>
      </w:r>
      <w:r w:rsidR="00515C3A" w:rsidRPr="00272464">
        <w:rPr>
          <w:rFonts w:ascii="Bookman Old Style" w:hAnsi="Bookman Old Style" w:cs="Arial"/>
          <w:sz w:val="24"/>
          <w:szCs w:val="24"/>
        </w:rPr>
        <w:t>Negeri</w:t>
      </w:r>
      <w:r w:rsidR="00A954D0">
        <w:rPr>
          <w:rFonts w:ascii="Bookman Old Style" w:hAnsi="Bookman Old Style" w:cs="Arial"/>
          <w:sz w:val="24"/>
          <w:szCs w:val="24"/>
        </w:rPr>
        <w:t xml:space="preserve"> </w:t>
      </w:r>
      <w:r w:rsidR="00515C3A" w:rsidRPr="00272464">
        <w:rPr>
          <w:rFonts w:ascii="Bookman Old Style" w:hAnsi="Bookman Old Style" w:cs="Arial"/>
          <w:sz w:val="24"/>
          <w:szCs w:val="24"/>
        </w:rPr>
        <w:t>Nomor</w:t>
      </w:r>
      <w:r w:rsidR="00A954D0">
        <w:rPr>
          <w:rFonts w:ascii="Bookman Old Style" w:hAnsi="Bookman Old Style" w:cs="Arial"/>
          <w:sz w:val="24"/>
          <w:szCs w:val="24"/>
        </w:rPr>
        <w:t xml:space="preserve"> </w:t>
      </w:r>
      <w:r w:rsidR="00515C3A" w:rsidRPr="00272464">
        <w:rPr>
          <w:rFonts w:ascii="Bookman Old Style" w:hAnsi="Bookman Old Style" w:cs="Arial"/>
          <w:sz w:val="24"/>
          <w:szCs w:val="24"/>
          <w:lang w:val="de-DE"/>
        </w:rPr>
        <w:t>15</w:t>
      </w:r>
      <w:r w:rsidR="00A954D0">
        <w:rPr>
          <w:rFonts w:ascii="Bookman Old Style" w:hAnsi="Bookman Old Style" w:cs="Arial"/>
          <w:sz w:val="24"/>
          <w:szCs w:val="24"/>
        </w:rPr>
        <w:t xml:space="preserve"> </w:t>
      </w:r>
      <w:r w:rsidR="00515C3A" w:rsidRPr="00272464">
        <w:rPr>
          <w:rFonts w:ascii="Bookman Old Style" w:hAnsi="Bookman Old Style" w:cs="Arial"/>
          <w:sz w:val="24"/>
          <w:szCs w:val="24"/>
        </w:rPr>
        <w:t>Tahun</w:t>
      </w:r>
      <w:r w:rsidR="00A954D0">
        <w:rPr>
          <w:rFonts w:ascii="Bookman Old Style" w:hAnsi="Bookman Old Style" w:cs="Arial"/>
          <w:sz w:val="24"/>
          <w:szCs w:val="24"/>
        </w:rPr>
        <w:t xml:space="preserve"> </w:t>
      </w:r>
      <w:r w:rsidR="00515C3A" w:rsidRPr="00272464">
        <w:rPr>
          <w:rFonts w:ascii="Bookman Old Style" w:hAnsi="Bookman Old Style" w:cs="Arial"/>
          <w:sz w:val="24"/>
          <w:szCs w:val="24"/>
        </w:rPr>
        <w:t>202</w:t>
      </w:r>
      <w:r w:rsidR="00515C3A" w:rsidRPr="00272464">
        <w:rPr>
          <w:rFonts w:ascii="Bookman Old Style" w:hAnsi="Bookman Old Style" w:cs="Arial"/>
          <w:sz w:val="24"/>
          <w:szCs w:val="24"/>
          <w:lang w:val="de-DE"/>
        </w:rPr>
        <w:t>4.</w:t>
      </w:r>
    </w:p>
    <w:p w14:paraId="3BE121D6" w14:textId="2CFA818E" w:rsidR="00515C3A" w:rsidRPr="00D23E4A" w:rsidRDefault="00515C3A" w:rsidP="00154790">
      <w:pPr>
        <w:pStyle w:val="ListParagraph"/>
        <w:spacing w:before="60" w:after="0" w:line="276" w:lineRule="auto"/>
        <w:ind w:left="1276"/>
        <w:contextualSpacing w:val="0"/>
        <w:jc w:val="both"/>
        <w:rPr>
          <w:rFonts w:ascii="Bookman Old Style" w:hAnsi="Bookman Old Style" w:cs="Arial"/>
          <w:color w:val="FF0000"/>
          <w:sz w:val="24"/>
          <w:szCs w:val="24"/>
          <w:highlight w:val="yellow"/>
          <w:lang w:val="de-DE"/>
        </w:rPr>
      </w:pPr>
      <w:r w:rsidRPr="00272464">
        <w:rPr>
          <w:rFonts w:ascii="Bookman Old Style" w:hAnsi="Bookman Old Style"/>
          <w:sz w:val="24"/>
          <w:szCs w:val="24"/>
        </w:rPr>
        <w:t>Penyediaan</w:t>
      </w:r>
      <w:r w:rsidR="00A954D0">
        <w:rPr>
          <w:rFonts w:ascii="Bookman Old Style" w:hAnsi="Bookman Old Style" w:cs="Arial"/>
          <w:sz w:val="24"/>
          <w:szCs w:val="24"/>
          <w:lang w:val="de-DE"/>
        </w:rPr>
        <w:t xml:space="preserve"> </w:t>
      </w:r>
      <w:r w:rsidRPr="00272464">
        <w:rPr>
          <w:rFonts w:ascii="Bookman Old Style" w:hAnsi="Bookman Old Style" w:cs="Arial"/>
          <w:sz w:val="24"/>
          <w:szCs w:val="24"/>
          <w:lang w:val="de-DE"/>
        </w:rPr>
        <w:t>anggaran</w:t>
      </w:r>
      <w:r w:rsidR="00A954D0">
        <w:rPr>
          <w:rFonts w:ascii="Bookman Old Style" w:hAnsi="Bookman Old Style" w:cs="Arial"/>
          <w:sz w:val="24"/>
          <w:szCs w:val="24"/>
          <w:lang w:val="de-DE"/>
        </w:rPr>
        <w:t xml:space="preserve"> </w:t>
      </w:r>
      <w:r w:rsidRPr="00272464">
        <w:rPr>
          <w:rFonts w:ascii="Bookman Old Style" w:hAnsi="Bookman Old Style" w:cs="Arial"/>
          <w:sz w:val="24"/>
          <w:szCs w:val="24"/>
          <w:lang w:val="de-DE"/>
        </w:rPr>
        <w:t>belanja</w:t>
      </w:r>
      <w:r w:rsidR="00A954D0">
        <w:rPr>
          <w:rFonts w:ascii="Bookman Old Style" w:hAnsi="Bookman Old Style" w:cs="Arial"/>
          <w:sz w:val="24"/>
          <w:szCs w:val="24"/>
          <w:lang w:val="de-DE"/>
        </w:rPr>
        <w:t xml:space="preserve"> </w:t>
      </w:r>
      <w:r w:rsidRPr="00272464">
        <w:rPr>
          <w:rFonts w:ascii="Bookman Old Style" w:hAnsi="Bookman Old Style" w:cs="Arial"/>
          <w:sz w:val="24"/>
          <w:szCs w:val="24"/>
          <w:lang w:val="de-DE"/>
        </w:rPr>
        <w:t>Modal</w:t>
      </w:r>
      <w:r w:rsidR="00A954D0">
        <w:rPr>
          <w:rFonts w:ascii="Bookman Old Style" w:hAnsi="Bookman Old Style" w:cs="Arial"/>
          <w:sz w:val="24"/>
          <w:szCs w:val="24"/>
          <w:lang w:val="de-DE"/>
        </w:rPr>
        <w:t xml:space="preserve"> </w:t>
      </w:r>
      <w:r w:rsidRPr="00272464">
        <w:rPr>
          <w:rFonts w:ascii="Bookman Old Style" w:hAnsi="Bookman Old Style" w:cs="Arial"/>
          <w:sz w:val="24"/>
          <w:szCs w:val="24"/>
          <w:lang w:val="de-DE"/>
        </w:rPr>
        <w:t>yang</w:t>
      </w:r>
      <w:r w:rsidR="00A954D0">
        <w:rPr>
          <w:rFonts w:ascii="Bookman Old Style" w:hAnsi="Bookman Old Style" w:cs="Arial"/>
          <w:sz w:val="24"/>
          <w:szCs w:val="24"/>
          <w:lang w:val="de-DE"/>
        </w:rPr>
        <w:t xml:space="preserve"> </w:t>
      </w:r>
      <w:r w:rsidRPr="00272464">
        <w:rPr>
          <w:rFonts w:ascii="Bookman Old Style" w:hAnsi="Bookman Old Style" w:cs="Arial"/>
          <w:sz w:val="24"/>
          <w:szCs w:val="24"/>
          <w:lang w:val="de-DE"/>
        </w:rPr>
        <w:t>antara</w:t>
      </w:r>
      <w:r w:rsidR="00A954D0">
        <w:rPr>
          <w:rFonts w:ascii="Bookman Old Style" w:hAnsi="Bookman Old Style" w:cs="Arial"/>
          <w:sz w:val="24"/>
          <w:szCs w:val="24"/>
          <w:lang w:val="de-DE"/>
        </w:rPr>
        <w:t xml:space="preserve"> </w:t>
      </w:r>
      <w:r w:rsidRPr="00272464">
        <w:rPr>
          <w:rFonts w:ascii="Bookman Old Style" w:hAnsi="Bookman Old Style" w:cs="Arial"/>
          <w:sz w:val="24"/>
          <w:szCs w:val="24"/>
          <w:lang w:val="de-DE"/>
        </w:rPr>
        <w:t>lain</w:t>
      </w:r>
      <w:r w:rsidR="00A954D0">
        <w:rPr>
          <w:rFonts w:ascii="Bookman Old Style" w:hAnsi="Bookman Old Style" w:cs="Arial"/>
          <w:sz w:val="24"/>
          <w:szCs w:val="24"/>
          <w:lang w:val="de-DE"/>
        </w:rPr>
        <w:t xml:space="preserve"> </w:t>
      </w:r>
      <w:r w:rsidRPr="0054508D">
        <w:rPr>
          <w:rFonts w:ascii="Bookman Old Style" w:hAnsi="Bookman Old Style" w:cs="Arial"/>
          <w:sz w:val="24"/>
          <w:szCs w:val="24"/>
          <w:lang w:val="de-DE"/>
        </w:rPr>
        <w:t>tercantum</w:t>
      </w:r>
      <w:r w:rsidR="00A954D0">
        <w:rPr>
          <w:rFonts w:ascii="Bookman Old Style" w:hAnsi="Bookman Old Style" w:cs="Arial"/>
          <w:sz w:val="24"/>
          <w:szCs w:val="24"/>
          <w:lang w:val="de-DE"/>
        </w:rPr>
        <w:t xml:space="preserve"> </w:t>
      </w:r>
      <w:r w:rsidRPr="0054508D">
        <w:rPr>
          <w:rFonts w:ascii="Bookman Old Style" w:hAnsi="Bookman Old Style" w:cs="Arial"/>
          <w:sz w:val="24"/>
          <w:szCs w:val="24"/>
          <w:lang w:val="de-DE"/>
        </w:rPr>
        <w:t>pada:</w:t>
      </w:r>
    </w:p>
    <w:p w14:paraId="46DBEFED" w14:textId="437E0DB6" w:rsidR="00515C3A" w:rsidRPr="00272464" w:rsidRDefault="00515C3A" w:rsidP="00154790">
      <w:pPr>
        <w:numPr>
          <w:ilvl w:val="0"/>
          <w:numId w:val="27"/>
        </w:numPr>
        <w:spacing w:before="60" w:line="276" w:lineRule="auto"/>
        <w:ind w:left="1701" w:hanging="425"/>
        <w:jc w:val="both"/>
        <w:rPr>
          <w:rFonts w:ascii="Bookman Old Style" w:hAnsi="Bookman Old Style"/>
          <w:lang w:val="de-DE"/>
        </w:rPr>
      </w:pPr>
      <w:r w:rsidRPr="00272464">
        <w:rPr>
          <w:rFonts w:ascii="Bookman Old Style" w:hAnsi="Bookman Old Style" w:cs="Arial"/>
          <w:lang w:val="de-DE" w:eastAsia="x-none"/>
        </w:rPr>
        <w:t>Belanja</w:t>
      </w:r>
      <w:r w:rsidR="00A954D0">
        <w:rPr>
          <w:rFonts w:ascii="Bookman Old Style" w:hAnsi="Bookman Old Style" w:cs="Arial"/>
          <w:lang w:val="de-DE" w:eastAsia="x-none"/>
        </w:rPr>
        <w:t xml:space="preserve"> </w:t>
      </w:r>
      <w:r w:rsidRPr="00272464">
        <w:rPr>
          <w:rFonts w:ascii="Bookman Old Style" w:hAnsi="Bookman Old Style" w:cs="Arial"/>
          <w:lang w:val="de-DE" w:eastAsia="x-none"/>
        </w:rPr>
        <w:t>Modal</w:t>
      </w:r>
      <w:r w:rsidR="00A954D0">
        <w:rPr>
          <w:rFonts w:ascii="Bookman Old Style" w:hAnsi="Bookman Old Style" w:cs="Arial"/>
          <w:lang w:val="de-DE" w:eastAsia="x-none"/>
        </w:rPr>
        <w:t xml:space="preserve"> </w:t>
      </w:r>
      <w:r w:rsidRPr="00272464">
        <w:rPr>
          <w:rFonts w:ascii="Bookman Old Style" w:hAnsi="Bookman Old Style" w:cs="Arial"/>
          <w:lang w:val="de-DE" w:eastAsia="x-none"/>
        </w:rPr>
        <w:t>Tanah</w:t>
      </w:r>
      <w:r w:rsidR="00A954D0">
        <w:rPr>
          <w:rFonts w:ascii="Bookman Old Style" w:hAnsi="Bookman Old Style" w:cs="Arial"/>
          <w:lang w:val="de-DE" w:eastAsia="x-none"/>
        </w:rPr>
        <w:t xml:space="preserve"> </w:t>
      </w:r>
      <w:r w:rsidRPr="00272464">
        <w:rPr>
          <w:rFonts w:ascii="Bookman Old Style" w:hAnsi="Bookman Old Style" w:cs="Arial"/>
          <w:lang w:val="de-DE" w:eastAsia="x-none"/>
        </w:rPr>
        <w:t>Rp160.733.799.050,00</w:t>
      </w:r>
      <w:r w:rsidR="00A954D0">
        <w:rPr>
          <w:rFonts w:ascii="Bookman Old Style" w:hAnsi="Bookman Old Style" w:cs="Arial"/>
          <w:lang w:val="de-DE" w:eastAsia="x-none"/>
        </w:rPr>
        <w:t xml:space="preserve"> </w:t>
      </w:r>
      <w:r w:rsidRPr="00272464">
        <w:rPr>
          <w:rFonts w:ascii="Bookman Old Style" w:hAnsi="Bookman Old Style" w:cs="Arial"/>
          <w:lang w:val="de-DE" w:eastAsia="x-none"/>
        </w:rPr>
        <w:t>atau</w:t>
      </w:r>
      <w:r w:rsidR="00A954D0">
        <w:rPr>
          <w:rFonts w:ascii="Bookman Old Style" w:hAnsi="Bookman Old Style" w:cs="Arial"/>
          <w:lang w:val="de-DE" w:eastAsia="x-none"/>
        </w:rPr>
        <w:t xml:space="preserve"> </w:t>
      </w:r>
      <w:r w:rsidRPr="00272464">
        <w:rPr>
          <w:rFonts w:ascii="Bookman Old Style" w:hAnsi="Bookman Old Style" w:cs="Arial"/>
          <w:lang w:val="de-DE" w:eastAsia="x-none"/>
        </w:rPr>
        <w:t>2,82%</w:t>
      </w:r>
      <w:r w:rsidR="00A954D0">
        <w:rPr>
          <w:rFonts w:ascii="Bookman Old Style" w:hAnsi="Bookman Old Style" w:cs="Arial"/>
          <w:lang w:val="de-DE" w:eastAsia="x-none"/>
        </w:rPr>
        <w:t xml:space="preserve"> </w:t>
      </w:r>
      <w:r w:rsidRPr="00272464">
        <w:rPr>
          <w:rFonts w:ascii="Bookman Old Style" w:hAnsi="Bookman Old Style" w:cs="Arial"/>
          <w:lang w:val="de-DE" w:eastAsia="x-none"/>
        </w:rPr>
        <w:t>dari</w:t>
      </w:r>
      <w:r w:rsidR="00A954D0">
        <w:rPr>
          <w:rFonts w:ascii="Bookman Old Style" w:hAnsi="Bookman Old Style" w:cs="Arial"/>
          <w:lang w:val="de-DE" w:eastAsia="x-none"/>
        </w:rPr>
        <w:t xml:space="preserve"> </w:t>
      </w:r>
      <w:r w:rsidRPr="00272464">
        <w:rPr>
          <w:rFonts w:ascii="Bookman Old Style" w:hAnsi="Bookman Old Style" w:cs="Arial"/>
          <w:lang w:val="de-DE" w:eastAsia="x-none"/>
        </w:rPr>
        <w:t>total</w:t>
      </w:r>
      <w:r w:rsidR="00A954D0">
        <w:rPr>
          <w:rFonts w:ascii="Bookman Old Style" w:hAnsi="Bookman Old Style" w:cs="Arial"/>
          <w:lang w:val="de-DE" w:eastAsia="x-none"/>
        </w:rPr>
        <w:t xml:space="preserve"> </w:t>
      </w:r>
      <w:r w:rsidRPr="00272464">
        <w:rPr>
          <w:rFonts w:ascii="Bookman Old Style" w:hAnsi="Bookman Old Style" w:cs="Arial"/>
          <w:lang w:val="de-DE" w:eastAsia="x-none"/>
        </w:rPr>
        <w:t>belanja</w:t>
      </w:r>
      <w:r w:rsidR="00A954D0">
        <w:rPr>
          <w:rFonts w:ascii="Bookman Old Style" w:hAnsi="Bookman Old Style" w:cs="Arial"/>
          <w:lang w:val="de-DE" w:eastAsia="x-none"/>
        </w:rPr>
        <w:t xml:space="preserve"> </w:t>
      </w:r>
      <w:r w:rsidRPr="00272464">
        <w:rPr>
          <w:rFonts w:ascii="Bookman Old Style" w:hAnsi="Bookman Old Style" w:cs="Arial"/>
          <w:lang w:val="de-DE" w:eastAsia="x-none"/>
        </w:rPr>
        <w:t>daerah,</w:t>
      </w:r>
      <w:r w:rsidR="00A954D0">
        <w:rPr>
          <w:rFonts w:ascii="Bookman Old Style" w:hAnsi="Bookman Old Style" w:cs="Arial"/>
          <w:lang w:val="de-DE" w:eastAsia="x-none"/>
        </w:rPr>
        <w:t xml:space="preserve"> </w:t>
      </w:r>
      <w:r w:rsidRPr="00272464">
        <w:rPr>
          <w:rFonts w:ascii="Bookman Old Style" w:hAnsi="Bookman Old Style"/>
          <w:lang w:val="x-none" w:eastAsia="x-none"/>
        </w:rPr>
        <w:t>yang</w:t>
      </w:r>
      <w:r w:rsidR="00A954D0">
        <w:rPr>
          <w:rFonts w:ascii="Bookman Old Style" w:hAnsi="Bookman Old Style"/>
          <w:lang w:val="x-none" w:eastAsia="x-none"/>
        </w:rPr>
        <w:t xml:space="preserve"> </w:t>
      </w:r>
      <w:r w:rsidRPr="00272464">
        <w:rPr>
          <w:rFonts w:ascii="Bookman Old Style" w:hAnsi="Bookman Old Style"/>
          <w:lang w:val="x-none" w:eastAsia="x-none"/>
        </w:rPr>
        <w:t>diuraikan</w:t>
      </w:r>
      <w:r w:rsidR="00A954D0">
        <w:rPr>
          <w:rFonts w:ascii="Bookman Old Style" w:hAnsi="Bookman Old Style"/>
          <w:lang w:val="x-none" w:eastAsia="x-none"/>
        </w:rPr>
        <w:t xml:space="preserve"> </w:t>
      </w:r>
      <w:r w:rsidRPr="00272464">
        <w:rPr>
          <w:rFonts w:ascii="Bookman Old Style" w:hAnsi="Bookman Old Style"/>
          <w:lang w:val="x-none" w:eastAsia="x-none"/>
        </w:rPr>
        <w:t>ke</w:t>
      </w:r>
      <w:r w:rsidR="00A954D0">
        <w:rPr>
          <w:rFonts w:ascii="Bookman Old Style" w:hAnsi="Bookman Old Style"/>
          <w:lang w:val="x-none" w:eastAsia="x-none"/>
        </w:rPr>
        <w:t xml:space="preserve"> </w:t>
      </w:r>
      <w:r w:rsidRPr="00272464">
        <w:rPr>
          <w:rFonts w:ascii="Bookman Old Style" w:hAnsi="Bookman Old Style"/>
          <w:lang w:val="x-none" w:eastAsia="x-none"/>
        </w:rPr>
        <w:t>dalam</w:t>
      </w:r>
      <w:r w:rsidR="00A954D0">
        <w:rPr>
          <w:rFonts w:ascii="Bookman Old Style" w:hAnsi="Bookman Old Style"/>
          <w:lang w:val="x-none" w:eastAsia="x-none"/>
        </w:rPr>
        <w:t xml:space="preserve"> </w:t>
      </w:r>
      <w:r w:rsidRPr="00272464">
        <w:rPr>
          <w:rFonts w:ascii="Bookman Old Style" w:hAnsi="Bookman Old Style"/>
          <w:lang w:val="x-none" w:eastAsia="x-none"/>
        </w:rPr>
        <w:t>objek</w:t>
      </w:r>
      <w:r w:rsidR="00A954D0">
        <w:rPr>
          <w:rFonts w:ascii="Bookman Old Style" w:hAnsi="Bookman Old Style"/>
          <w:lang w:val="de-DE" w:eastAsia="x-none"/>
        </w:rPr>
        <w:t xml:space="preserve"> </w:t>
      </w:r>
      <w:r w:rsidRPr="00272464">
        <w:rPr>
          <w:rFonts w:ascii="Bookman Old Style" w:hAnsi="Bookman Old Style" w:cs="Arial"/>
          <w:lang w:val="de-DE" w:eastAsia="x-none"/>
        </w:rPr>
        <w:t>Belanja</w:t>
      </w:r>
      <w:r w:rsidR="00A954D0">
        <w:rPr>
          <w:rFonts w:ascii="Bookman Old Style" w:hAnsi="Bookman Old Style" w:cs="Arial"/>
          <w:lang w:val="de-DE" w:eastAsia="x-none"/>
        </w:rPr>
        <w:t xml:space="preserve"> </w:t>
      </w:r>
      <w:r w:rsidRPr="00272464">
        <w:rPr>
          <w:rFonts w:ascii="Bookman Old Style" w:hAnsi="Bookman Old Style" w:cs="Arial"/>
          <w:lang w:val="de-DE" w:eastAsia="x-none"/>
        </w:rPr>
        <w:t>Modal</w:t>
      </w:r>
      <w:r w:rsidR="00A954D0">
        <w:rPr>
          <w:rFonts w:ascii="Bookman Old Style" w:hAnsi="Bookman Old Style" w:cs="Arial"/>
          <w:lang w:val="de-DE" w:eastAsia="x-none"/>
        </w:rPr>
        <w:t xml:space="preserve"> </w:t>
      </w:r>
      <w:r w:rsidRPr="00272464">
        <w:rPr>
          <w:rFonts w:ascii="Bookman Old Style" w:hAnsi="Bookman Old Style" w:cs="Arial"/>
          <w:lang w:val="de-DE" w:eastAsia="x-none"/>
        </w:rPr>
        <w:t>Tanah,</w:t>
      </w:r>
      <w:r w:rsidR="00A954D0">
        <w:rPr>
          <w:rFonts w:ascii="Bookman Old Style" w:hAnsi="Bookman Old Style" w:cs="Arial"/>
          <w:lang w:val="de-DE" w:eastAsia="x-none"/>
        </w:rPr>
        <w:t xml:space="preserve"> </w:t>
      </w:r>
      <w:bookmarkStart w:id="29" w:name="_Hlk183000963"/>
      <w:r w:rsidRPr="00272464">
        <w:rPr>
          <w:rFonts w:ascii="Bookman Old Style" w:hAnsi="Bookman Old Style"/>
          <w:lang w:val="de-DE"/>
        </w:rPr>
        <w:t>yang</w:t>
      </w:r>
      <w:r w:rsidR="00A954D0">
        <w:rPr>
          <w:rFonts w:ascii="Bookman Old Style" w:hAnsi="Bookman Old Style"/>
          <w:lang w:val="de-DE"/>
        </w:rPr>
        <w:t xml:space="preserve"> </w:t>
      </w:r>
      <w:r w:rsidRPr="00272464">
        <w:rPr>
          <w:rFonts w:ascii="Bookman Old Style" w:hAnsi="Bookman Old Style"/>
          <w:lang w:val="de-DE"/>
        </w:rPr>
        <w:t>diuraikan</w:t>
      </w:r>
      <w:r w:rsidR="00A954D0">
        <w:rPr>
          <w:rFonts w:ascii="Bookman Old Style" w:hAnsi="Bookman Old Style"/>
          <w:lang w:val="de-DE"/>
        </w:rPr>
        <w:t xml:space="preserve"> </w:t>
      </w:r>
      <w:r w:rsidRPr="00272464">
        <w:rPr>
          <w:rFonts w:ascii="Bookman Old Style" w:hAnsi="Bookman Old Style"/>
          <w:lang w:val="de-DE"/>
        </w:rPr>
        <w:t>ke</w:t>
      </w:r>
      <w:r w:rsidR="00A954D0">
        <w:rPr>
          <w:rFonts w:ascii="Bookman Old Style" w:hAnsi="Bookman Old Style"/>
          <w:lang w:val="de-DE"/>
        </w:rPr>
        <w:t xml:space="preserve"> </w:t>
      </w:r>
      <w:r w:rsidRPr="00272464">
        <w:rPr>
          <w:rFonts w:ascii="Bookman Old Style" w:hAnsi="Bookman Old Style"/>
          <w:lang w:val="de-DE"/>
        </w:rPr>
        <w:t>dalam</w:t>
      </w:r>
      <w:r w:rsidR="00A954D0">
        <w:rPr>
          <w:rFonts w:ascii="Bookman Old Style" w:hAnsi="Bookman Old Style"/>
          <w:lang w:val="de-DE"/>
        </w:rPr>
        <w:t xml:space="preserve"> </w:t>
      </w:r>
      <w:r w:rsidRPr="00272464">
        <w:rPr>
          <w:rFonts w:ascii="Bookman Old Style" w:hAnsi="Bookman Old Style"/>
          <w:lang w:val="de-DE"/>
        </w:rPr>
        <w:t>sub</w:t>
      </w:r>
      <w:r w:rsidR="00A954D0">
        <w:rPr>
          <w:rFonts w:ascii="Bookman Old Style" w:hAnsi="Bookman Old Style"/>
          <w:lang w:val="de-DE"/>
        </w:rPr>
        <w:t xml:space="preserve"> </w:t>
      </w:r>
      <w:r w:rsidRPr="00272464">
        <w:rPr>
          <w:rFonts w:ascii="Bookman Old Style" w:hAnsi="Bookman Old Style"/>
          <w:lang w:val="de-DE"/>
        </w:rPr>
        <w:t>rincian</w:t>
      </w:r>
      <w:r w:rsidR="00A954D0">
        <w:rPr>
          <w:rFonts w:ascii="Bookman Old Style" w:hAnsi="Bookman Old Style"/>
          <w:lang w:val="de-DE"/>
        </w:rPr>
        <w:t xml:space="preserve"> </w:t>
      </w:r>
      <w:r w:rsidRPr="00272464">
        <w:rPr>
          <w:rFonts w:ascii="Bookman Old Style" w:hAnsi="Bookman Old Style"/>
          <w:lang w:val="de-DE"/>
        </w:rPr>
        <w:t>objek</w:t>
      </w:r>
      <w:bookmarkEnd w:id="29"/>
      <w:r w:rsidRPr="00272464">
        <w:rPr>
          <w:rFonts w:ascii="Bookman Old Style" w:hAnsi="Bookman Old Style"/>
          <w:lang w:val="de-DE"/>
        </w:rPr>
        <w:t>:</w:t>
      </w:r>
    </w:p>
    <w:p w14:paraId="7E902120" w14:textId="0B7D88A6" w:rsidR="00515C3A" w:rsidRPr="00272464" w:rsidRDefault="00515C3A" w:rsidP="00154790">
      <w:pPr>
        <w:pStyle w:val="ListParagraph"/>
        <w:numPr>
          <w:ilvl w:val="0"/>
          <w:numId w:val="94"/>
        </w:numPr>
        <w:spacing w:before="60" w:after="0" w:line="276" w:lineRule="auto"/>
        <w:ind w:left="2268" w:hanging="567"/>
        <w:contextualSpacing w:val="0"/>
        <w:jc w:val="both"/>
        <w:rPr>
          <w:rFonts w:ascii="Bookman Old Style" w:hAnsi="Bookman Old Style"/>
          <w:sz w:val="24"/>
          <w:szCs w:val="24"/>
          <w:lang w:val="de-DE"/>
        </w:rPr>
      </w:pPr>
      <w:r w:rsidRPr="00272464">
        <w:rPr>
          <w:rFonts w:ascii="Bookman Old Style" w:hAnsi="Bookman Old Style"/>
          <w:sz w:val="24"/>
          <w:szCs w:val="24"/>
          <w:lang w:val="de-DE"/>
        </w:rPr>
        <w:t>Belanja</w:t>
      </w:r>
      <w:r w:rsidR="00A954D0">
        <w:rPr>
          <w:rFonts w:ascii="Bookman Old Style" w:hAnsi="Bookman Old Style"/>
          <w:sz w:val="24"/>
          <w:szCs w:val="24"/>
          <w:lang w:val="de-DE"/>
        </w:rPr>
        <w:t xml:space="preserve"> </w:t>
      </w:r>
      <w:r w:rsidRPr="00272464">
        <w:rPr>
          <w:rFonts w:ascii="Bookman Old Style" w:hAnsi="Bookman Old Style"/>
          <w:sz w:val="24"/>
          <w:szCs w:val="24"/>
          <w:lang w:val="de-DE"/>
        </w:rPr>
        <w:t>Modal</w:t>
      </w:r>
      <w:r w:rsidR="00A954D0">
        <w:rPr>
          <w:rFonts w:ascii="Bookman Old Style" w:hAnsi="Bookman Old Style"/>
          <w:sz w:val="24"/>
          <w:szCs w:val="24"/>
          <w:lang w:val="de-DE"/>
        </w:rPr>
        <w:t xml:space="preserve"> </w:t>
      </w:r>
      <w:r w:rsidRPr="00272464">
        <w:rPr>
          <w:rFonts w:ascii="Bookman Old Style" w:hAnsi="Bookman Old Style"/>
          <w:sz w:val="24"/>
          <w:szCs w:val="24"/>
          <w:lang w:val="de-DE"/>
        </w:rPr>
        <w:t>Tanah</w:t>
      </w:r>
      <w:r w:rsidR="00A954D0">
        <w:rPr>
          <w:rFonts w:ascii="Bookman Old Style" w:hAnsi="Bookman Old Style"/>
          <w:sz w:val="24"/>
          <w:szCs w:val="24"/>
          <w:lang w:val="de-DE"/>
        </w:rPr>
        <w:t xml:space="preserve"> </w:t>
      </w:r>
      <w:r w:rsidRPr="00272464">
        <w:rPr>
          <w:rFonts w:ascii="Bookman Old Style" w:hAnsi="Bookman Old Style"/>
          <w:sz w:val="24"/>
          <w:szCs w:val="24"/>
          <w:lang w:val="de-DE"/>
        </w:rPr>
        <w:t>Persil</w:t>
      </w:r>
      <w:r w:rsidR="00A954D0">
        <w:rPr>
          <w:rFonts w:ascii="Bookman Old Style" w:hAnsi="Bookman Old Style"/>
          <w:sz w:val="24"/>
          <w:szCs w:val="24"/>
          <w:lang w:val="de-DE"/>
        </w:rPr>
        <w:t xml:space="preserve"> </w:t>
      </w:r>
      <w:r w:rsidRPr="00272464">
        <w:rPr>
          <w:rFonts w:ascii="Bookman Old Style" w:hAnsi="Bookman Old Style"/>
          <w:sz w:val="24"/>
          <w:szCs w:val="24"/>
          <w:lang w:val="de-DE"/>
        </w:rPr>
        <w:t>Rp28.324.721.685,00;</w:t>
      </w:r>
    </w:p>
    <w:p w14:paraId="7A53B425" w14:textId="295F586C" w:rsidR="00515C3A" w:rsidRPr="00272464" w:rsidRDefault="00515C3A" w:rsidP="00154790">
      <w:pPr>
        <w:pStyle w:val="ListParagraph"/>
        <w:numPr>
          <w:ilvl w:val="0"/>
          <w:numId w:val="94"/>
        </w:numPr>
        <w:ind w:left="2268" w:hanging="567"/>
        <w:rPr>
          <w:rFonts w:ascii="Bookman Old Style" w:hAnsi="Bookman Old Style"/>
          <w:sz w:val="24"/>
          <w:szCs w:val="24"/>
          <w:lang w:val="de-DE"/>
        </w:rPr>
      </w:pPr>
      <w:r w:rsidRPr="00272464">
        <w:rPr>
          <w:rFonts w:ascii="Bookman Old Style" w:hAnsi="Bookman Old Style"/>
          <w:sz w:val="24"/>
          <w:szCs w:val="24"/>
          <w:lang w:val="de-DE"/>
        </w:rPr>
        <w:t>Belanja</w:t>
      </w:r>
      <w:r w:rsidR="00A954D0">
        <w:rPr>
          <w:rFonts w:ascii="Bookman Old Style" w:hAnsi="Bookman Old Style"/>
          <w:sz w:val="24"/>
          <w:szCs w:val="24"/>
          <w:lang w:val="de-DE"/>
        </w:rPr>
        <w:t xml:space="preserve"> </w:t>
      </w:r>
      <w:r w:rsidRPr="00272464">
        <w:rPr>
          <w:rFonts w:ascii="Bookman Old Style" w:hAnsi="Bookman Old Style"/>
          <w:sz w:val="24"/>
          <w:szCs w:val="24"/>
          <w:lang w:val="de-DE"/>
        </w:rPr>
        <w:t>Modal</w:t>
      </w:r>
      <w:r w:rsidR="00A954D0">
        <w:rPr>
          <w:rFonts w:ascii="Bookman Old Style" w:hAnsi="Bookman Old Style"/>
          <w:sz w:val="24"/>
          <w:szCs w:val="24"/>
          <w:lang w:val="de-DE"/>
        </w:rPr>
        <w:t xml:space="preserve"> </w:t>
      </w:r>
      <w:r w:rsidRPr="00272464">
        <w:rPr>
          <w:rFonts w:ascii="Bookman Old Style" w:hAnsi="Bookman Old Style"/>
          <w:sz w:val="24"/>
          <w:szCs w:val="24"/>
          <w:lang w:val="de-DE"/>
        </w:rPr>
        <w:t>Tanah</w:t>
      </w:r>
      <w:r w:rsidR="00A954D0">
        <w:rPr>
          <w:rFonts w:ascii="Bookman Old Style" w:hAnsi="Bookman Old Style"/>
          <w:sz w:val="24"/>
          <w:szCs w:val="24"/>
          <w:lang w:val="de-DE"/>
        </w:rPr>
        <w:t xml:space="preserve"> </w:t>
      </w:r>
      <w:r w:rsidRPr="00272464">
        <w:rPr>
          <w:rFonts w:ascii="Bookman Old Style" w:hAnsi="Bookman Old Style"/>
          <w:sz w:val="24"/>
          <w:szCs w:val="24"/>
          <w:lang w:val="de-DE"/>
        </w:rPr>
        <w:t>Non</w:t>
      </w:r>
      <w:r w:rsidR="00A954D0">
        <w:rPr>
          <w:rFonts w:ascii="Bookman Old Style" w:hAnsi="Bookman Old Style"/>
          <w:sz w:val="24"/>
          <w:szCs w:val="24"/>
          <w:lang w:val="de-DE"/>
        </w:rPr>
        <w:t xml:space="preserve"> </w:t>
      </w:r>
      <w:r w:rsidRPr="00272464">
        <w:rPr>
          <w:rFonts w:ascii="Bookman Old Style" w:hAnsi="Bookman Old Style"/>
          <w:sz w:val="24"/>
          <w:szCs w:val="24"/>
          <w:lang w:val="de-DE"/>
        </w:rPr>
        <w:t>Persil</w:t>
      </w:r>
      <w:r w:rsidR="00A954D0">
        <w:rPr>
          <w:rFonts w:ascii="Bookman Old Style" w:hAnsi="Bookman Old Style"/>
          <w:sz w:val="24"/>
          <w:szCs w:val="24"/>
          <w:lang w:val="de-DE"/>
        </w:rPr>
        <w:t xml:space="preserve"> </w:t>
      </w:r>
      <w:r w:rsidRPr="00272464">
        <w:rPr>
          <w:rFonts w:ascii="Bookman Old Style" w:hAnsi="Bookman Old Style"/>
          <w:sz w:val="24"/>
          <w:szCs w:val="24"/>
          <w:lang w:val="de-DE"/>
        </w:rPr>
        <w:t>Rp43.105.052.900,00;</w:t>
      </w:r>
    </w:p>
    <w:p w14:paraId="7832E274" w14:textId="434542DF" w:rsidR="00515C3A" w:rsidRPr="00272464" w:rsidRDefault="00515C3A" w:rsidP="00154790">
      <w:pPr>
        <w:pStyle w:val="ListParagraph"/>
        <w:numPr>
          <w:ilvl w:val="0"/>
          <w:numId w:val="94"/>
        </w:numPr>
        <w:spacing w:after="0"/>
        <w:ind w:left="2268" w:hanging="567"/>
        <w:rPr>
          <w:rFonts w:ascii="Bookman Old Style" w:hAnsi="Bookman Old Style"/>
          <w:sz w:val="24"/>
          <w:szCs w:val="24"/>
          <w:lang w:val="de-DE"/>
        </w:rPr>
      </w:pPr>
      <w:r w:rsidRPr="00272464">
        <w:rPr>
          <w:rFonts w:ascii="Bookman Old Style" w:hAnsi="Bookman Old Style"/>
          <w:sz w:val="24"/>
          <w:szCs w:val="24"/>
          <w:lang w:val="de-DE"/>
        </w:rPr>
        <w:t>Belanja</w:t>
      </w:r>
      <w:r w:rsidR="00A954D0">
        <w:rPr>
          <w:rFonts w:ascii="Bookman Old Style" w:hAnsi="Bookman Old Style"/>
          <w:sz w:val="24"/>
          <w:szCs w:val="24"/>
          <w:lang w:val="de-DE"/>
        </w:rPr>
        <w:t xml:space="preserve"> </w:t>
      </w:r>
      <w:r w:rsidRPr="00272464">
        <w:rPr>
          <w:rFonts w:ascii="Bookman Old Style" w:hAnsi="Bookman Old Style"/>
          <w:sz w:val="24"/>
          <w:szCs w:val="24"/>
          <w:lang w:val="de-DE"/>
        </w:rPr>
        <w:t>Modal</w:t>
      </w:r>
      <w:r w:rsidR="00A954D0">
        <w:rPr>
          <w:rFonts w:ascii="Bookman Old Style" w:hAnsi="Bookman Old Style"/>
          <w:sz w:val="24"/>
          <w:szCs w:val="24"/>
          <w:lang w:val="de-DE"/>
        </w:rPr>
        <w:t xml:space="preserve"> </w:t>
      </w:r>
      <w:r w:rsidRPr="00272464">
        <w:rPr>
          <w:rFonts w:ascii="Bookman Old Style" w:hAnsi="Bookman Old Style"/>
          <w:sz w:val="24"/>
          <w:szCs w:val="24"/>
          <w:lang w:val="de-DE"/>
        </w:rPr>
        <w:t>Lapangan</w:t>
      </w:r>
      <w:r w:rsidR="00A954D0">
        <w:rPr>
          <w:rFonts w:ascii="Bookman Old Style" w:hAnsi="Bookman Old Style"/>
          <w:sz w:val="24"/>
          <w:szCs w:val="24"/>
          <w:lang w:val="de-DE"/>
        </w:rPr>
        <w:t xml:space="preserve"> </w:t>
      </w:r>
      <w:r w:rsidRPr="00272464">
        <w:rPr>
          <w:rFonts w:ascii="Bookman Old Style" w:hAnsi="Bookman Old Style"/>
          <w:sz w:val="24"/>
          <w:szCs w:val="24"/>
          <w:lang w:val="de-DE"/>
        </w:rPr>
        <w:t>Rp89.304.024.465,00</w:t>
      </w:r>
      <w:r w:rsidR="00154790">
        <w:rPr>
          <w:rFonts w:ascii="Bookman Old Style" w:hAnsi="Bookman Old Style"/>
          <w:sz w:val="24"/>
          <w:szCs w:val="24"/>
          <w:lang w:val="de-DE"/>
        </w:rPr>
        <w:t>.</w:t>
      </w:r>
    </w:p>
    <w:p w14:paraId="53267573" w14:textId="2E95FA9F" w:rsidR="00515C3A" w:rsidRPr="00272464" w:rsidRDefault="00515C3A" w:rsidP="00154790">
      <w:pPr>
        <w:spacing w:before="60" w:line="276" w:lineRule="auto"/>
        <w:ind w:left="1701"/>
        <w:jc w:val="both"/>
        <w:rPr>
          <w:rFonts w:ascii="Bookman Old Style" w:hAnsi="Bookman Old Style"/>
          <w:lang w:val="x-none" w:eastAsia="x-none"/>
        </w:rPr>
      </w:pPr>
      <w:r w:rsidRPr="00272464">
        <w:rPr>
          <w:rFonts w:ascii="Bookman Old Style" w:hAnsi="Bookman Old Style"/>
          <w:lang w:val="de-DE"/>
        </w:rPr>
        <w:t>Dianggarkan</w:t>
      </w:r>
      <w:r w:rsidR="00A954D0">
        <w:rPr>
          <w:rFonts w:ascii="Bookman Old Style" w:hAnsi="Bookman Old Style"/>
          <w:lang w:val="de-DE"/>
        </w:rPr>
        <w:t xml:space="preserve"> </w:t>
      </w:r>
      <w:r w:rsidRPr="00272464">
        <w:rPr>
          <w:rFonts w:ascii="Bookman Old Style" w:hAnsi="Bookman Old Style"/>
          <w:lang w:val="de-DE"/>
        </w:rPr>
        <w:t>dalam</w:t>
      </w:r>
      <w:r w:rsidR="00A954D0">
        <w:rPr>
          <w:rFonts w:ascii="Bookman Old Style" w:hAnsi="Bookman Old Style"/>
          <w:lang w:val="de-DE"/>
        </w:rPr>
        <w:t xml:space="preserve"> </w:t>
      </w:r>
      <w:r w:rsidRPr="00272464">
        <w:rPr>
          <w:rFonts w:ascii="Bookman Old Style" w:hAnsi="Bookman Old Style"/>
          <w:lang w:val="de-DE"/>
        </w:rPr>
        <w:t>Rancangan</w:t>
      </w:r>
      <w:r w:rsidR="00A954D0">
        <w:rPr>
          <w:rFonts w:ascii="Bookman Old Style" w:hAnsi="Bookman Old Style"/>
          <w:lang w:val="de-DE"/>
        </w:rPr>
        <w:t xml:space="preserve"> </w:t>
      </w:r>
      <w:r w:rsidRPr="00272464">
        <w:rPr>
          <w:rFonts w:ascii="Bookman Old Style" w:hAnsi="Bookman Old Style"/>
          <w:lang w:val="de-DE"/>
        </w:rPr>
        <w:t>Peraturan</w:t>
      </w:r>
      <w:r w:rsidR="00A954D0">
        <w:rPr>
          <w:rFonts w:ascii="Bookman Old Style" w:hAnsi="Bookman Old Style"/>
          <w:lang w:val="de-DE"/>
        </w:rPr>
        <w:t xml:space="preserve"> </w:t>
      </w:r>
      <w:r w:rsidRPr="00272464">
        <w:rPr>
          <w:rFonts w:ascii="Bookman Old Style" w:hAnsi="Bookman Old Style"/>
          <w:lang w:val="de-DE"/>
        </w:rPr>
        <w:t>Daerah</w:t>
      </w:r>
      <w:r w:rsidR="00A954D0">
        <w:rPr>
          <w:rFonts w:ascii="Bookman Old Style" w:hAnsi="Bookman Old Style"/>
          <w:lang w:val="id-ID"/>
        </w:rPr>
        <w:t xml:space="preserve"> </w:t>
      </w:r>
      <w:r w:rsidRPr="00272464">
        <w:rPr>
          <w:rFonts w:ascii="Bookman Old Style" w:hAnsi="Bookman Old Style" w:cs="Arial"/>
          <w:lang w:val="de-DE" w:eastAsia="x-none"/>
        </w:rPr>
        <w:t>Kota</w:t>
      </w:r>
      <w:r w:rsidR="00A954D0">
        <w:rPr>
          <w:rFonts w:ascii="Bookman Old Style" w:hAnsi="Bookman Old Style" w:cs="Arial"/>
          <w:lang w:val="de-DE" w:eastAsia="x-none"/>
        </w:rPr>
        <w:t xml:space="preserve"> </w:t>
      </w:r>
      <w:r w:rsidRPr="00272464">
        <w:rPr>
          <w:rFonts w:ascii="Bookman Old Style" w:hAnsi="Bookman Old Style" w:cs="Arial"/>
          <w:lang w:val="de-DE" w:eastAsia="x-none"/>
        </w:rPr>
        <w:t>Tangerang</w:t>
      </w:r>
      <w:r w:rsidR="00A954D0">
        <w:rPr>
          <w:rFonts w:ascii="Bookman Old Style" w:hAnsi="Bookman Old Style" w:cs="Arial"/>
          <w:lang w:val="de-DE" w:eastAsia="x-none"/>
        </w:rPr>
        <w:t xml:space="preserve"> </w:t>
      </w:r>
      <w:r w:rsidRPr="00272464">
        <w:rPr>
          <w:rFonts w:ascii="Bookman Old Style" w:hAnsi="Bookman Old Style"/>
          <w:lang w:val="de-DE"/>
        </w:rPr>
        <w:t>tentang</w:t>
      </w:r>
      <w:r w:rsidR="00A954D0">
        <w:rPr>
          <w:rFonts w:ascii="Bookman Old Style" w:hAnsi="Bookman Old Style"/>
          <w:lang w:val="de-DE"/>
        </w:rPr>
        <w:t xml:space="preserve"> </w:t>
      </w:r>
      <w:r w:rsidRPr="00272464">
        <w:rPr>
          <w:rFonts w:ascii="Bookman Old Style" w:hAnsi="Bookman Old Style"/>
          <w:lang w:val="de-DE"/>
        </w:rPr>
        <w:t>APBD</w:t>
      </w:r>
      <w:r w:rsidR="00A954D0">
        <w:rPr>
          <w:rFonts w:ascii="Bookman Old Style" w:hAnsi="Bookman Old Style"/>
          <w:lang w:val="de-DE"/>
        </w:rPr>
        <w:t xml:space="preserve"> </w:t>
      </w:r>
      <w:r w:rsidRPr="00272464">
        <w:rPr>
          <w:rFonts w:ascii="Bookman Old Style" w:hAnsi="Bookman Old Style"/>
          <w:lang w:val="de-DE"/>
        </w:rPr>
        <w:t>Tahun</w:t>
      </w:r>
      <w:r w:rsidR="00A954D0">
        <w:rPr>
          <w:rFonts w:ascii="Bookman Old Style" w:hAnsi="Bookman Old Style"/>
          <w:lang w:val="de-DE"/>
        </w:rPr>
        <w:t xml:space="preserve"> </w:t>
      </w:r>
      <w:r w:rsidRPr="00272464">
        <w:rPr>
          <w:rFonts w:ascii="Bookman Old Style" w:hAnsi="Bookman Old Style"/>
          <w:lang w:val="de-DE"/>
        </w:rPr>
        <w:t>Anggaran</w:t>
      </w:r>
      <w:r w:rsidR="00A954D0">
        <w:rPr>
          <w:rFonts w:ascii="Bookman Old Style" w:hAnsi="Bookman Old Style"/>
          <w:lang w:val="de-DE"/>
        </w:rPr>
        <w:t xml:space="preserve"> </w:t>
      </w:r>
      <w:r w:rsidRPr="00272464">
        <w:rPr>
          <w:rFonts w:ascii="Bookman Old Style" w:hAnsi="Bookman Old Style"/>
          <w:lang w:val="de-DE"/>
        </w:rPr>
        <w:t>2024,</w:t>
      </w:r>
      <w:r w:rsidR="00A954D0">
        <w:rPr>
          <w:rFonts w:ascii="Bookman Old Style" w:hAnsi="Bookman Old Style"/>
          <w:lang w:val="de-DE"/>
        </w:rPr>
        <w:t xml:space="preserve"> </w:t>
      </w:r>
      <w:r w:rsidRPr="00272464">
        <w:rPr>
          <w:rFonts w:ascii="Bookman Old Style" w:hAnsi="Bookman Old Style"/>
          <w:lang w:val="de-DE"/>
        </w:rPr>
        <w:t>dengan</w:t>
      </w:r>
      <w:r w:rsidR="00A954D0">
        <w:rPr>
          <w:rFonts w:ascii="Bookman Old Style" w:hAnsi="Bookman Old Style"/>
          <w:lang w:val="de-DE"/>
        </w:rPr>
        <w:t xml:space="preserve"> </w:t>
      </w:r>
      <w:r w:rsidRPr="00272464">
        <w:rPr>
          <w:rFonts w:ascii="Bookman Old Style" w:hAnsi="Bookman Old Style"/>
          <w:lang w:val="de-DE"/>
        </w:rPr>
        <w:t>tetap</w:t>
      </w:r>
      <w:r w:rsidR="00A954D0">
        <w:rPr>
          <w:rFonts w:ascii="Bookman Old Style" w:hAnsi="Bookman Old Style"/>
          <w:lang w:val="de-DE"/>
        </w:rPr>
        <w:t xml:space="preserve"> </w:t>
      </w:r>
      <w:r w:rsidRPr="00272464">
        <w:rPr>
          <w:rFonts w:ascii="Bookman Old Style" w:hAnsi="Bookman Old Style" w:cs="Arial"/>
          <w:lang w:val="de-DE" w:eastAsia="x-none"/>
        </w:rPr>
        <w:t>berpedoman</w:t>
      </w:r>
      <w:r w:rsidR="00A954D0">
        <w:rPr>
          <w:rFonts w:ascii="Bookman Old Style" w:hAnsi="Bookman Old Style"/>
          <w:lang w:val="de-DE"/>
        </w:rPr>
        <w:t xml:space="preserve"> </w:t>
      </w:r>
      <w:r w:rsidRPr="00272464">
        <w:rPr>
          <w:rFonts w:ascii="Bookman Old Style" w:hAnsi="Bookman Old Style"/>
          <w:lang w:val="de-DE"/>
        </w:rPr>
        <w:t>pada</w:t>
      </w:r>
      <w:r w:rsidR="00A954D0">
        <w:rPr>
          <w:rFonts w:ascii="Bookman Old Style" w:hAnsi="Bookman Old Style"/>
          <w:lang w:val="de-DE"/>
        </w:rPr>
        <w:t xml:space="preserve"> </w:t>
      </w:r>
      <w:r w:rsidRPr="00272464">
        <w:rPr>
          <w:rFonts w:ascii="Bookman Old Style" w:hAnsi="Bookman Old Style"/>
          <w:lang w:val="de-DE"/>
        </w:rPr>
        <w:t>Peraturan</w:t>
      </w:r>
      <w:r w:rsidR="00A954D0">
        <w:rPr>
          <w:rFonts w:ascii="Bookman Old Style" w:hAnsi="Bookman Old Style"/>
          <w:lang w:val="de-DE"/>
        </w:rPr>
        <w:t xml:space="preserve"> </w:t>
      </w:r>
      <w:r w:rsidRPr="00272464">
        <w:rPr>
          <w:rFonts w:ascii="Bookman Old Style" w:hAnsi="Bookman Old Style"/>
          <w:lang w:val="de-DE"/>
        </w:rPr>
        <w:t>Presiden</w:t>
      </w:r>
      <w:r w:rsidR="00A954D0">
        <w:rPr>
          <w:rFonts w:ascii="Bookman Old Style" w:hAnsi="Bookman Old Style"/>
          <w:lang w:val="de-DE"/>
        </w:rPr>
        <w:t xml:space="preserve"> </w:t>
      </w:r>
      <w:r w:rsidRPr="00272464">
        <w:rPr>
          <w:rFonts w:ascii="Bookman Old Style" w:hAnsi="Bookman Old Style"/>
          <w:lang w:val="de-DE"/>
        </w:rPr>
        <w:t>Nomor</w:t>
      </w:r>
      <w:r w:rsidR="00A954D0">
        <w:rPr>
          <w:rFonts w:ascii="Bookman Old Style" w:hAnsi="Bookman Old Style"/>
          <w:lang w:val="de-DE"/>
        </w:rPr>
        <w:t xml:space="preserve"> </w:t>
      </w:r>
      <w:r w:rsidRPr="00272464">
        <w:rPr>
          <w:rFonts w:ascii="Bookman Old Style" w:hAnsi="Bookman Old Style"/>
          <w:lang w:val="de-DE"/>
        </w:rPr>
        <w:t>71</w:t>
      </w:r>
      <w:r w:rsidR="00A954D0">
        <w:rPr>
          <w:rFonts w:ascii="Bookman Old Style" w:hAnsi="Bookman Old Style"/>
          <w:lang w:val="de-DE"/>
        </w:rPr>
        <w:t xml:space="preserve"> </w:t>
      </w:r>
      <w:r w:rsidRPr="00272464">
        <w:rPr>
          <w:rFonts w:ascii="Bookman Old Style" w:hAnsi="Bookman Old Style"/>
          <w:lang w:val="de-DE"/>
        </w:rPr>
        <w:t>Tahun</w:t>
      </w:r>
      <w:r w:rsidR="00A954D0">
        <w:rPr>
          <w:rFonts w:ascii="Bookman Old Style" w:hAnsi="Bookman Old Style"/>
          <w:lang w:val="de-DE"/>
        </w:rPr>
        <w:t xml:space="preserve"> </w:t>
      </w:r>
      <w:r w:rsidRPr="00272464">
        <w:rPr>
          <w:rFonts w:ascii="Bookman Old Style" w:hAnsi="Bookman Old Style"/>
          <w:lang w:val="de-DE"/>
        </w:rPr>
        <w:t>2012</w:t>
      </w:r>
      <w:r w:rsidR="00A954D0">
        <w:rPr>
          <w:rFonts w:ascii="Bookman Old Style" w:hAnsi="Bookman Old Style"/>
          <w:lang w:val="de-DE"/>
        </w:rPr>
        <w:t xml:space="preserve"> </w:t>
      </w:r>
      <w:r w:rsidRPr="00272464">
        <w:rPr>
          <w:rFonts w:ascii="Bookman Old Style" w:hAnsi="Bookman Old Style"/>
          <w:lang w:val="de-DE"/>
        </w:rPr>
        <w:t>tentang</w:t>
      </w:r>
      <w:r w:rsidR="00A954D0">
        <w:rPr>
          <w:rFonts w:ascii="Bookman Old Style" w:hAnsi="Bookman Old Style"/>
          <w:lang w:val="de-DE"/>
        </w:rPr>
        <w:t xml:space="preserve"> </w:t>
      </w:r>
      <w:r w:rsidRPr="00272464">
        <w:rPr>
          <w:rFonts w:ascii="Bookman Old Style" w:hAnsi="Bookman Old Style"/>
          <w:lang w:val="de-DE"/>
        </w:rPr>
        <w:t>Penyelenggaraan</w:t>
      </w:r>
      <w:r w:rsidR="00A954D0">
        <w:rPr>
          <w:rFonts w:ascii="Bookman Old Style" w:hAnsi="Bookman Old Style"/>
          <w:lang w:val="de-DE"/>
        </w:rPr>
        <w:t xml:space="preserve"> </w:t>
      </w:r>
      <w:r w:rsidRPr="00272464">
        <w:rPr>
          <w:rFonts w:ascii="Bookman Old Style" w:hAnsi="Bookman Old Style"/>
          <w:lang w:val="de-DE"/>
        </w:rPr>
        <w:t>Pengadaan</w:t>
      </w:r>
      <w:r w:rsidR="00A954D0">
        <w:rPr>
          <w:rFonts w:ascii="Bookman Old Style" w:hAnsi="Bookman Old Style"/>
          <w:lang w:val="de-DE"/>
        </w:rPr>
        <w:t xml:space="preserve"> </w:t>
      </w:r>
      <w:r w:rsidRPr="00272464">
        <w:rPr>
          <w:rFonts w:ascii="Bookman Old Style" w:hAnsi="Bookman Old Style"/>
          <w:lang w:val="de-DE"/>
        </w:rPr>
        <w:t>Tanah</w:t>
      </w:r>
      <w:r w:rsidR="00A954D0">
        <w:rPr>
          <w:rFonts w:ascii="Bookman Old Style" w:hAnsi="Bookman Old Style"/>
          <w:lang w:val="de-DE"/>
        </w:rPr>
        <w:t xml:space="preserve"> </w:t>
      </w:r>
      <w:r w:rsidRPr="00272464">
        <w:rPr>
          <w:rFonts w:ascii="Bookman Old Style" w:hAnsi="Bookman Old Style"/>
          <w:lang w:val="de-DE"/>
        </w:rPr>
        <w:t>Bagi</w:t>
      </w:r>
      <w:r w:rsidR="00A954D0">
        <w:rPr>
          <w:rFonts w:ascii="Bookman Old Style" w:hAnsi="Bookman Old Style"/>
          <w:lang w:val="de-DE"/>
        </w:rPr>
        <w:t xml:space="preserve"> </w:t>
      </w:r>
      <w:r w:rsidRPr="00272464">
        <w:rPr>
          <w:rFonts w:ascii="Bookman Old Style" w:hAnsi="Bookman Old Style"/>
          <w:lang w:val="de-DE"/>
        </w:rPr>
        <w:t>Pembangunan</w:t>
      </w:r>
      <w:r w:rsidR="00A954D0">
        <w:rPr>
          <w:rFonts w:ascii="Bookman Old Style" w:hAnsi="Bookman Old Style"/>
          <w:lang w:val="de-DE"/>
        </w:rPr>
        <w:t xml:space="preserve"> </w:t>
      </w:r>
      <w:r w:rsidRPr="00272464">
        <w:rPr>
          <w:rFonts w:ascii="Bookman Old Style" w:hAnsi="Bookman Old Style"/>
          <w:lang w:val="de-DE"/>
        </w:rPr>
        <w:t>Untuk</w:t>
      </w:r>
      <w:r w:rsidR="00A954D0">
        <w:rPr>
          <w:rFonts w:ascii="Bookman Old Style" w:hAnsi="Bookman Old Style"/>
          <w:lang w:val="de-DE"/>
        </w:rPr>
        <w:t xml:space="preserve"> </w:t>
      </w:r>
      <w:r w:rsidRPr="00272464">
        <w:rPr>
          <w:rFonts w:ascii="Bookman Old Style" w:hAnsi="Bookman Old Style"/>
          <w:lang w:val="de-DE"/>
        </w:rPr>
        <w:t>Kepentingan</w:t>
      </w:r>
      <w:r w:rsidR="00A954D0">
        <w:rPr>
          <w:rFonts w:ascii="Bookman Old Style" w:hAnsi="Bookman Old Style"/>
          <w:lang w:val="de-DE"/>
        </w:rPr>
        <w:t xml:space="preserve"> </w:t>
      </w:r>
      <w:r w:rsidRPr="00272464">
        <w:rPr>
          <w:rFonts w:ascii="Bookman Old Style" w:hAnsi="Bookman Old Style"/>
          <w:lang w:val="de-DE"/>
        </w:rPr>
        <w:t>Umum,</w:t>
      </w:r>
      <w:r w:rsidR="00A954D0">
        <w:rPr>
          <w:rFonts w:ascii="Bookman Old Style" w:hAnsi="Bookman Old Style"/>
          <w:lang w:val="de-DE"/>
        </w:rPr>
        <w:t xml:space="preserve"> </w:t>
      </w:r>
      <w:r w:rsidRPr="00272464">
        <w:rPr>
          <w:rFonts w:ascii="Bookman Old Style" w:hAnsi="Bookman Old Style"/>
          <w:lang w:val="de-DE"/>
        </w:rPr>
        <w:t>sebagaimana</w:t>
      </w:r>
      <w:r w:rsidR="00A954D0">
        <w:rPr>
          <w:rFonts w:ascii="Bookman Old Style" w:hAnsi="Bookman Old Style"/>
          <w:lang w:val="de-DE"/>
        </w:rPr>
        <w:t xml:space="preserve"> </w:t>
      </w:r>
      <w:r w:rsidRPr="00272464">
        <w:rPr>
          <w:rFonts w:ascii="Bookman Old Style" w:hAnsi="Bookman Old Style"/>
          <w:lang w:val="de-DE"/>
        </w:rPr>
        <w:t>telah</w:t>
      </w:r>
      <w:r w:rsidR="00A954D0">
        <w:rPr>
          <w:rFonts w:ascii="Bookman Old Style" w:hAnsi="Bookman Old Style"/>
          <w:lang w:val="de-DE"/>
        </w:rPr>
        <w:t xml:space="preserve"> </w:t>
      </w:r>
      <w:r w:rsidRPr="00272464">
        <w:rPr>
          <w:rFonts w:ascii="Bookman Old Style" w:hAnsi="Bookman Old Style"/>
          <w:lang w:val="de-DE"/>
        </w:rPr>
        <w:t>diubah</w:t>
      </w:r>
      <w:r w:rsidR="00A954D0">
        <w:rPr>
          <w:rFonts w:ascii="Bookman Old Style" w:hAnsi="Bookman Old Style"/>
          <w:lang w:val="de-DE"/>
        </w:rPr>
        <w:t xml:space="preserve"> </w:t>
      </w:r>
      <w:r w:rsidRPr="00272464">
        <w:rPr>
          <w:rFonts w:ascii="Bookman Old Style" w:hAnsi="Bookman Old Style"/>
          <w:lang w:val="de-DE"/>
        </w:rPr>
        <w:t>beberapa</w:t>
      </w:r>
      <w:r w:rsidR="00A954D0">
        <w:rPr>
          <w:rFonts w:ascii="Bookman Old Style" w:hAnsi="Bookman Old Style"/>
          <w:lang w:val="de-DE"/>
        </w:rPr>
        <w:t xml:space="preserve"> </w:t>
      </w:r>
      <w:r w:rsidRPr="00272464">
        <w:rPr>
          <w:rFonts w:ascii="Bookman Old Style" w:hAnsi="Bookman Old Style"/>
          <w:lang w:val="de-DE"/>
        </w:rPr>
        <w:t>kali</w:t>
      </w:r>
      <w:r w:rsidR="00A954D0">
        <w:rPr>
          <w:rFonts w:ascii="Bookman Old Style" w:hAnsi="Bookman Old Style"/>
          <w:lang w:val="de-DE"/>
        </w:rPr>
        <w:t xml:space="preserve"> </w:t>
      </w:r>
      <w:r w:rsidRPr="00272464">
        <w:rPr>
          <w:rFonts w:ascii="Bookman Old Style" w:hAnsi="Bookman Old Style"/>
          <w:lang w:val="de-DE"/>
        </w:rPr>
        <w:t>terakhir</w:t>
      </w:r>
      <w:r w:rsidR="00A954D0">
        <w:rPr>
          <w:rFonts w:ascii="Bookman Old Style" w:hAnsi="Bookman Old Style"/>
          <w:lang w:val="de-DE"/>
        </w:rPr>
        <w:t xml:space="preserve"> </w:t>
      </w:r>
      <w:r w:rsidRPr="00272464">
        <w:rPr>
          <w:rFonts w:ascii="Bookman Old Style" w:hAnsi="Bookman Old Style"/>
          <w:lang w:val="de-DE"/>
        </w:rPr>
        <w:t>dengan</w:t>
      </w:r>
      <w:r w:rsidR="00A954D0">
        <w:rPr>
          <w:rFonts w:ascii="Bookman Old Style" w:hAnsi="Bookman Old Style"/>
          <w:lang w:val="de-DE"/>
        </w:rPr>
        <w:t xml:space="preserve"> </w:t>
      </w:r>
      <w:r w:rsidRPr="00272464">
        <w:rPr>
          <w:rFonts w:ascii="Bookman Old Style" w:hAnsi="Bookman Old Style"/>
          <w:lang w:val="de-DE"/>
        </w:rPr>
        <w:t>Peraturan</w:t>
      </w:r>
      <w:r w:rsidR="00A954D0">
        <w:rPr>
          <w:rFonts w:ascii="Bookman Old Style" w:hAnsi="Bookman Old Style"/>
          <w:lang w:val="de-DE"/>
        </w:rPr>
        <w:t xml:space="preserve"> </w:t>
      </w:r>
      <w:r w:rsidRPr="00272464">
        <w:rPr>
          <w:rFonts w:ascii="Bookman Old Style" w:hAnsi="Bookman Old Style"/>
          <w:lang w:val="de-DE"/>
        </w:rPr>
        <w:t>Presiden</w:t>
      </w:r>
      <w:r w:rsidR="00A954D0">
        <w:rPr>
          <w:rFonts w:ascii="Bookman Old Style" w:hAnsi="Bookman Old Style"/>
          <w:lang w:val="de-DE"/>
        </w:rPr>
        <w:t xml:space="preserve"> </w:t>
      </w:r>
      <w:r w:rsidRPr="00272464">
        <w:rPr>
          <w:rFonts w:ascii="Bookman Old Style" w:hAnsi="Bookman Old Style"/>
          <w:lang w:val="de-DE"/>
        </w:rPr>
        <w:t>Nomor</w:t>
      </w:r>
      <w:r w:rsidR="00A954D0">
        <w:rPr>
          <w:rFonts w:ascii="Bookman Old Style" w:hAnsi="Bookman Old Style"/>
          <w:lang w:val="de-DE"/>
        </w:rPr>
        <w:t xml:space="preserve"> </w:t>
      </w:r>
      <w:r w:rsidRPr="00272464">
        <w:rPr>
          <w:rFonts w:ascii="Bookman Old Style" w:hAnsi="Bookman Old Style"/>
          <w:lang w:val="de-DE"/>
        </w:rPr>
        <w:t>148</w:t>
      </w:r>
      <w:r w:rsidR="00A954D0">
        <w:rPr>
          <w:rFonts w:ascii="Bookman Old Style" w:hAnsi="Bookman Old Style"/>
          <w:lang w:val="de-DE"/>
        </w:rPr>
        <w:t xml:space="preserve"> </w:t>
      </w:r>
      <w:r w:rsidRPr="00272464">
        <w:rPr>
          <w:rFonts w:ascii="Bookman Old Style" w:hAnsi="Bookman Old Style"/>
          <w:lang w:val="de-DE"/>
        </w:rPr>
        <w:t>Tahun</w:t>
      </w:r>
      <w:r w:rsidR="00A954D0">
        <w:rPr>
          <w:rFonts w:ascii="Bookman Old Style" w:hAnsi="Bookman Old Style"/>
          <w:lang w:val="de-DE"/>
        </w:rPr>
        <w:t xml:space="preserve"> </w:t>
      </w:r>
      <w:r w:rsidRPr="00272464">
        <w:rPr>
          <w:rFonts w:ascii="Bookman Old Style" w:hAnsi="Bookman Old Style"/>
          <w:lang w:val="de-DE"/>
        </w:rPr>
        <w:t>2015</w:t>
      </w:r>
      <w:r w:rsidR="00A954D0">
        <w:rPr>
          <w:rFonts w:ascii="Bookman Old Style" w:hAnsi="Bookman Old Style"/>
          <w:lang w:val="de-DE"/>
        </w:rPr>
        <w:t xml:space="preserve"> </w:t>
      </w:r>
      <w:r w:rsidRPr="00272464">
        <w:rPr>
          <w:rFonts w:ascii="Bookman Old Style" w:hAnsi="Bookman Old Style"/>
          <w:lang w:val="de-DE"/>
        </w:rPr>
        <w:t>tentang</w:t>
      </w:r>
      <w:r w:rsidR="00A954D0">
        <w:rPr>
          <w:rFonts w:ascii="Bookman Old Style" w:hAnsi="Bookman Old Style"/>
          <w:lang w:val="de-DE"/>
        </w:rPr>
        <w:t xml:space="preserve"> </w:t>
      </w:r>
      <w:r w:rsidRPr="00272464">
        <w:rPr>
          <w:rFonts w:ascii="Bookman Old Style" w:hAnsi="Bookman Old Style"/>
          <w:lang w:val="de-DE"/>
        </w:rPr>
        <w:t>Perubahan</w:t>
      </w:r>
      <w:r w:rsidR="00A954D0">
        <w:rPr>
          <w:rFonts w:ascii="Bookman Old Style" w:hAnsi="Bookman Old Style"/>
          <w:lang w:val="de-DE"/>
        </w:rPr>
        <w:t xml:space="preserve"> </w:t>
      </w:r>
      <w:r w:rsidRPr="00272464">
        <w:rPr>
          <w:rFonts w:ascii="Bookman Old Style" w:hAnsi="Bookman Old Style"/>
          <w:lang w:val="de-DE"/>
        </w:rPr>
        <w:t>Keempat</w:t>
      </w:r>
      <w:r w:rsidR="00A954D0">
        <w:rPr>
          <w:rFonts w:ascii="Bookman Old Style" w:hAnsi="Bookman Old Style"/>
          <w:lang w:val="de-DE"/>
        </w:rPr>
        <w:t xml:space="preserve"> </w:t>
      </w:r>
      <w:r w:rsidRPr="00272464">
        <w:rPr>
          <w:rFonts w:ascii="Bookman Old Style" w:hAnsi="Bookman Old Style"/>
          <w:lang w:val="de-DE"/>
        </w:rPr>
        <w:t>atas</w:t>
      </w:r>
      <w:r w:rsidR="00A954D0">
        <w:rPr>
          <w:rFonts w:ascii="Bookman Old Style" w:hAnsi="Bookman Old Style"/>
          <w:lang w:val="de-DE"/>
        </w:rPr>
        <w:t xml:space="preserve"> </w:t>
      </w:r>
      <w:r w:rsidRPr="00272464">
        <w:rPr>
          <w:rFonts w:ascii="Bookman Old Style" w:hAnsi="Bookman Old Style"/>
          <w:lang w:val="de-DE"/>
        </w:rPr>
        <w:t>Peraturan</w:t>
      </w:r>
      <w:r w:rsidR="00A954D0">
        <w:rPr>
          <w:rFonts w:ascii="Bookman Old Style" w:hAnsi="Bookman Old Style"/>
          <w:lang w:val="de-DE"/>
        </w:rPr>
        <w:t xml:space="preserve"> </w:t>
      </w:r>
      <w:r w:rsidRPr="00272464">
        <w:rPr>
          <w:rFonts w:ascii="Bookman Old Style" w:hAnsi="Bookman Old Style"/>
          <w:lang w:val="de-DE"/>
        </w:rPr>
        <w:t>Presiden</w:t>
      </w:r>
      <w:r w:rsidR="00A954D0">
        <w:rPr>
          <w:rFonts w:ascii="Bookman Old Style" w:hAnsi="Bookman Old Style"/>
          <w:lang w:val="de-DE"/>
        </w:rPr>
        <w:t xml:space="preserve"> </w:t>
      </w:r>
      <w:r w:rsidRPr="00272464">
        <w:rPr>
          <w:rFonts w:ascii="Bookman Old Style" w:hAnsi="Bookman Old Style"/>
          <w:lang w:val="de-DE"/>
        </w:rPr>
        <w:t>Nomor</w:t>
      </w:r>
      <w:r w:rsidR="00A954D0">
        <w:rPr>
          <w:rFonts w:ascii="Bookman Old Style" w:hAnsi="Bookman Old Style"/>
          <w:lang w:val="de-DE"/>
        </w:rPr>
        <w:t xml:space="preserve"> </w:t>
      </w:r>
      <w:r w:rsidRPr="00272464">
        <w:rPr>
          <w:rFonts w:ascii="Bookman Old Style" w:hAnsi="Bookman Old Style"/>
          <w:lang w:val="de-DE"/>
        </w:rPr>
        <w:t>71</w:t>
      </w:r>
      <w:r w:rsidR="00A954D0">
        <w:rPr>
          <w:rFonts w:ascii="Bookman Old Style" w:hAnsi="Bookman Old Style"/>
          <w:lang w:val="de-DE"/>
        </w:rPr>
        <w:t xml:space="preserve"> </w:t>
      </w:r>
      <w:r w:rsidRPr="00272464">
        <w:rPr>
          <w:rFonts w:ascii="Bookman Old Style" w:hAnsi="Bookman Old Style"/>
          <w:lang w:val="de-DE"/>
        </w:rPr>
        <w:t>Tahun</w:t>
      </w:r>
      <w:r w:rsidR="00A954D0">
        <w:rPr>
          <w:rFonts w:ascii="Bookman Old Style" w:hAnsi="Bookman Old Style"/>
          <w:lang w:val="de-DE"/>
        </w:rPr>
        <w:t xml:space="preserve"> </w:t>
      </w:r>
      <w:r w:rsidRPr="00272464">
        <w:rPr>
          <w:rFonts w:ascii="Bookman Old Style" w:hAnsi="Bookman Old Style"/>
          <w:lang w:val="de-DE"/>
        </w:rPr>
        <w:t>2012</w:t>
      </w:r>
      <w:r w:rsidR="00A954D0">
        <w:rPr>
          <w:rFonts w:ascii="Bookman Old Style" w:hAnsi="Bookman Old Style"/>
          <w:lang w:val="de-DE"/>
        </w:rPr>
        <w:t xml:space="preserve"> </w:t>
      </w:r>
      <w:r w:rsidRPr="00272464">
        <w:rPr>
          <w:rFonts w:ascii="Bookman Old Style" w:hAnsi="Bookman Old Style"/>
          <w:lang w:val="de-DE"/>
        </w:rPr>
        <w:t>tentang</w:t>
      </w:r>
      <w:r w:rsidR="00A954D0">
        <w:rPr>
          <w:rFonts w:ascii="Bookman Old Style" w:hAnsi="Bookman Old Style"/>
          <w:lang w:val="de-DE"/>
        </w:rPr>
        <w:t xml:space="preserve"> </w:t>
      </w:r>
      <w:r w:rsidRPr="00272464">
        <w:rPr>
          <w:rFonts w:ascii="Bookman Old Style" w:hAnsi="Bookman Old Style"/>
          <w:lang w:val="de-DE"/>
        </w:rPr>
        <w:t>Penyelenggaraan</w:t>
      </w:r>
      <w:r w:rsidR="00A954D0">
        <w:rPr>
          <w:rFonts w:ascii="Bookman Old Style" w:hAnsi="Bookman Old Style"/>
          <w:lang w:val="de-DE"/>
        </w:rPr>
        <w:t xml:space="preserve"> </w:t>
      </w:r>
      <w:r w:rsidRPr="00272464">
        <w:rPr>
          <w:rFonts w:ascii="Bookman Old Style" w:hAnsi="Bookman Old Style"/>
          <w:lang w:val="de-DE"/>
        </w:rPr>
        <w:t>Pengadaan</w:t>
      </w:r>
      <w:r w:rsidR="00A954D0">
        <w:rPr>
          <w:rFonts w:ascii="Bookman Old Style" w:hAnsi="Bookman Old Style"/>
          <w:lang w:val="de-DE"/>
        </w:rPr>
        <w:t xml:space="preserve"> </w:t>
      </w:r>
      <w:r w:rsidRPr="00272464">
        <w:rPr>
          <w:rFonts w:ascii="Bookman Old Style" w:hAnsi="Bookman Old Style"/>
          <w:lang w:val="de-DE"/>
        </w:rPr>
        <w:t>Tanah</w:t>
      </w:r>
      <w:r w:rsidR="00A954D0">
        <w:rPr>
          <w:rFonts w:ascii="Bookman Old Style" w:hAnsi="Bookman Old Style"/>
          <w:lang w:val="de-DE"/>
        </w:rPr>
        <w:t xml:space="preserve"> </w:t>
      </w:r>
      <w:r w:rsidRPr="00272464">
        <w:rPr>
          <w:rFonts w:ascii="Bookman Old Style" w:hAnsi="Bookman Old Style"/>
          <w:lang w:val="de-DE"/>
        </w:rPr>
        <w:t>Bagi</w:t>
      </w:r>
      <w:r w:rsidR="00A954D0">
        <w:rPr>
          <w:rFonts w:ascii="Bookman Old Style" w:hAnsi="Bookman Old Style"/>
          <w:lang w:val="de-DE"/>
        </w:rPr>
        <w:t xml:space="preserve"> </w:t>
      </w:r>
      <w:r w:rsidRPr="00272464">
        <w:rPr>
          <w:rFonts w:ascii="Bookman Old Style" w:hAnsi="Bookman Old Style"/>
          <w:lang w:val="de-DE"/>
        </w:rPr>
        <w:t>Pembangunan</w:t>
      </w:r>
      <w:r w:rsidR="00A954D0">
        <w:rPr>
          <w:rFonts w:ascii="Bookman Old Style" w:hAnsi="Bookman Old Style"/>
          <w:lang w:val="de-DE"/>
        </w:rPr>
        <w:t xml:space="preserve"> </w:t>
      </w:r>
      <w:r w:rsidRPr="00272464">
        <w:rPr>
          <w:rFonts w:ascii="Bookman Old Style" w:hAnsi="Bookman Old Style"/>
          <w:lang w:val="de-DE"/>
        </w:rPr>
        <w:t>Untuk</w:t>
      </w:r>
      <w:r w:rsidR="00A954D0">
        <w:rPr>
          <w:rFonts w:ascii="Bookman Old Style" w:hAnsi="Bookman Old Style"/>
          <w:lang w:val="de-DE"/>
        </w:rPr>
        <w:t xml:space="preserve"> </w:t>
      </w:r>
      <w:r w:rsidRPr="00272464">
        <w:rPr>
          <w:rFonts w:ascii="Bookman Old Style" w:hAnsi="Bookman Old Style"/>
          <w:lang w:val="de-DE"/>
        </w:rPr>
        <w:t>Kepentingan</w:t>
      </w:r>
      <w:r w:rsidR="00A954D0">
        <w:rPr>
          <w:rFonts w:ascii="Bookman Old Style" w:hAnsi="Bookman Old Style"/>
          <w:lang w:val="de-DE"/>
        </w:rPr>
        <w:t xml:space="preserve"> </w:t>
      </w:r>
      <w:r w:rsidRPr="00272464">
        <w:rPr>
          <w:rFonts w:ascii="Bookman Old Style" w:hAnsi="Bookman Old Style"/>
          <w:lang w:val="de-DE"/>
        </w:rPr>
        <w:t>Umum,</w:t>
      </w:r>
      <w:r w:rsidR="00A954D0">
        <w:rPr>
          <w:rFonts w:ascii="Bookman Old Style" w:hAnsi="Bookman Old Style"/>
          <w:lang w:val="de-DE"/>
        </w:rPr>
        <w:t xml:space="preserve"> </w:t>
      </w:r>
      <w:r w:rsidRPr="00272464">
        <w:rPr>
          <w:rFonts w:ascii="Bookman Old Style" w:hAnsi="Bookman Old Style"/>
          <w:lang w:val="de-DE"/>
        </w:rPr>
        <w:t>dan</w:t>
      </w:r>
      <w:r w:rsidR="00A954D0">
        <w:rPr>
          <w:rFonts w:ascii="Bookman Old Style" w:hAnsi="Bookman Old Style"/>
          <w:lang w:val="de-DE"/>
        </w:rPr>
        <w:t xml:space="preserve"> </w:t>
      </w:r>
      <w:r w:rsidRPr="00272464">
        <w:rPr>
          <w:rFonts w:ascii="Bookman Old Style" w:hAnsi="Bookman Old Style"/>
          <w:lang w:val="de-DE"/>
        </w:rPr>
        <w:t>Peraturan</w:t>
      </w:r>
      <w:r w:rsidR="00A954D0">
        <w:rPr>
          <w:rFonts w:ascii="Bookman Old Style" w:hAnsi="Bookman Old Style"/>
          <w:lang w:val="de-DE"/>
        </w:rPr>
        <w:t xml:space="preserve"> </w:t>
      </w:r>
      <w:r w:rsidRPr="00272464">
        <w:rPr>
          <w:rFonts w:ascii="Bookman Old Style" w:hAnsi="Bookman Old Style"/>
          <w:lang w:val="de-DE"/>
        </w:rPr>
        <w:t>Menteri</w:t>
      </w:r>
      <w:r w:rsidR="00A954D0">
        <w:rPr>
          <w:rFonts w:ascii="Bookman Old Style" w:hAnsi="Bookman Old Style"/>
          <w:lang w:val="de-DE"/>
        </w:rPr>
        <w:t xml:space="preserve"> </w:t>
      </w:r>
      <w:r w:rsidRPr="00272464">
        <w:rPr>
          <w:rFonts w:ascii="Bookman Old Style" w:hAnsi="Bookman Old Style"/>
          <w:lang w:val="de-DE"/>
        </w:rPr>
        <w:t>Dalam</w:t>
      </w:r>
      <w:r w:rsidR="00A954D0">
        <w:rPr>
          <w:rFonts w:ascii="Bookman Old Style" w:hAnsi="Bookman Old Style"/>
          <w:lang w:val="de-DE"/>
        </w:rPr>
        <w:t xml:space="preserve"> </w:t>
      </w:r>
      <w:r w:rsidRPr="00272464">
        <w:rPr>
          <w:rFonts w:ascii="Bookman Old Style" w:hAnsi="Bookman Old Style"/>
          <w:lang w:val="de-DE"/>
        </w:rPr>
        <w:t>Negeri</w:t>
      </w:r>
      <w:r w:rsidR="00A954D0">
        <w:rPr>
          <w:rFonts w:ascii="Bookman Old Style" w:hAnsi="Bookman Old Style"/>
          <w:lang w:val="de-DE"/>
        </w:rPr>
        <w:t xml:space="preserve"> </w:t>
      </w:r>
      <w:r w:rsidRPr="00272464">
        <w:rPr>
          <w:rFonts w:ascii="Bookman Old Style" w:hAnsi="Bookman Old Style"/>
          <w:lang w:val="de-DE"/>
        </w:rPr>
        <w:t>Nomor</w:t>
      </w:r>
      <w:r w:rsidR="00A954D0">
        <w:rPr>
          <w:rFonts w:ascii="Bookman Old Style" w:hAnsi="Bookman Old Style"/>
          <w:lang w:val="de-DE"/>
        </w:rPr>
        <w:t xml:space="preserve"> </w:t>
      </w:r>
      <w:r w:rsidRPr="00272464">
        <w:rPr>
          <w:rFonts w:ascii="Bookman Old Style" w:hAnsi="Bookman Old Style"/>
          <w:lang w:val="de-DE"/>
        </w:rPr>
        <w:t>72</w:t>
      </w:r>
      <w:r w:rsidR="00A954D0">
        <w:rPr>
          <w:rFonts w:ascii="Bookman Old Style" w:hAnsi="Bookman Old Style"/>
          <w:lang w:val="de-DE"/>
        </w:rPr>
        <w:t xml:space="preserve"> </w:t>
      </w:r>
      <w:r w:rsidRPr="00272464">
        <w:rPr>
          <w:rFonts w:ascii="Bookman Old Style" w:hAnsi="Bookman Old Style"/>
          <w:lang w:val="de-DE"/>
        </w:rPr>
        <w:t>Tahun</w:t>
      </w:r>
      <w:r w:rsidR="00A954D0">
        <w:rPr>
          <w:rFonts w:ascii="Bookman Old Style" w:hAnsi="Bookman Old Style"/>
          <w:lang w:val="de-DE"/>
        </w:rPr>
        <w:t xml:space="preserve"> </w:t>
      </w:r>
      <w:r w:rsidRPr="00272464">
        <w:rPr>
          <w:rFonts w:ascii="Bookman Old Style" w:hAnsi="Bookman Old Style"/>
          <w:lang w:val="de-DE"/>
        </w:rPr>
        <w:t>2012</w:t>
      </w:r>
      <w:r w:rsidR="00A954D0">
        <w:rPr>
          <w:rFonts w:ascii="Bookman Old Style" w:hAnsi="Bookman Old Style"/>
          <w:lang w:val="de-DE"/>
        </w:rPr>
        <w:t xml:space="preserve"> </w:t>
      </w:r>
      <w:r w:rsidRPr="00272464">
        <w:rPr>
          <w:rFonts w:ascii="Bookman Old Style" w:hAnsi="Bookman Old Style"/>
          <w:lang w:val="de-DE"/>
        </w:rPr>
        <w:t>tentang</w:t>
      </w:r>
      <w:r w:rsidR="00A954D0">
        <w:rPr>
          <w:rFonts w:ascii="Bookman Old Style" w:hAnsi="Bookman Old Style"/>
          <w:lang w:val="de-DE"/>
        </w:rPr>
        <w:t xml:space="preserve"> </w:t>
      </w:r>
      <w:r w:rsidRPr="00272464">
        <w:rPr>
          <w:rFonts w:ascii="Bookman Old Style" w:hAnsi="Bookman Old Style"/>
          <w:lang w:val="de-DE"/>
        </w:rPr>
        <w:t>Biaya</w:t>
      </w:r>
      <w:r w:rsidR="00A954D0">
        <w:rPr>
          <w:rFonts w:ascii="Bookman Old Style" w:hAnsi="Bookman Old Style"/>
          <w:lang w:val="de-DE"/>
        </w:rPr>
        <w:t xml:space="preserve"> </w:t>
      </w:r>
      <w:r w:rsidRPr="00272464">
        <w:rPr>
          <w:rFonts w:ascii="Bookman Old Style" w:hAnsi="Bookman Old Style"/>
          <w:lang w:val="de-DE"/>
        </w:rPr>
        <w:t>Operasional</w:t>
      </w:r>
      <w:r w:rsidR="00A954D0">
        <w:rPr>
          <w:rFonts w:ascii="Bookman Old Style" w:hAnsi="Bookman Old Style"/>
          <w:lang w:val="de-DE"/>
        </w:rPr>
        <w:t xml:space="preserve"> </w:t>
      </w:r>
      <w:r w:rsidRPr="00272464">
        <w:rPr>
          <w:rFonts w:ascii="Bookman Old Style" w:hAnsi="Bookman Old Style"/>
          <w:lang w:val="de-DE"/>
        </w:rPr>
        <w:t>dan</w:t>
      </w:r>
      <w:r w:rsidR="00A954D0">
        <w:rPr>
          <w:rFonts w:ascii="Bookman Old Style" w:hAnsi="Bookman Old Style"/>
          <w:lang w:val="de-DE"/>
        </w:rPr>
        <w:t xml:space="preserve"> </w:t>
      </w:r>
      <w:r w:rsidRPr="00272464">
        <w:rPr>
          <w:rFonts w:ascii="Bookman Old Style" w:hAnsi="Bookman Old Style"/>
          <w:lang w:val="de-DE"/>
        </w:rPr>
        <w:t>Biaya</w:t>
      </w:r>
      <w:r w:rsidR="00A954D0">
        <w:rPr>
          <w:rFonts w:ascii="Bookman Old Style" w:hAnsi="Bookman Old Style"/>
          <w:lang w:val="de-DE"/>
        </w:rPr>
        <w:t xml:space="preserve"> </w:t>
      </w:r>
      <w:r w:rsidRPr="00272464">
        <w:rPr>
          <w:rFonts w:ascii="Bookman Old Style" w:hAnsi="Bookman Old Style"/>
          <w:lang w:val="de-DE"/>
        </w:rPr>
        <w:t>Pendukung</w:t>
      </w:r>
      <w:r w:rsidR="00A954D0">
        <w:rPr>
          <w:rFonts w:ascii="Bookman Old Style" w:hAnsi="Bookman Old Style"/>
          <w:lang w:val="de-DE"/>
        </w:rPr>
        <w:t xml:space="preserve"> </w:t>
      </w:r>
      <w:r w:rsidRPr="00272464">
        <w:rPr>
          <w:rFonts w:ascii="Bookman Old Style" w:hAnsi="Bookman Old Style"/>
          <w:lang w:val="de-DE"/>
        </w:rPr>
        <w:t>Penyelenggaraan</w:t>
      </w:r>
      <w:r w:rsidR="00A954D0">
        <w:rPr>
          <w:rFonts w:ascii="Bookman Old Style" w:hAnsi="Bookman Old Style"/>
          <w:lang w:val="de-DE"/>
        </w:rPr>
        <w:t xml:space="preserve"> </w:t>
      </w:r>
      <w:r w:rsidRPr="00272464">
        <w:rPr>
          <w:rFonts w:ascii="Bookman Old Style" w:hAnsi="Bookman Old Style"/>
          <w:lang w:val="de-DE"/>
        </w:rPr>
        <w:t>Pengadaan</w:t>
      </w:r>
      <w:r w:rsidR="00A954D0">
        <w:rPr>
          <w:rFonts w:ascii="Bookman Old Style" w:hAnsi="Bookman Old Style"/>
          <w:lang w:val="de-DE"/>
        </w:rPr>
        <w:t xml:space="preserve"> </w:t>
      </w:r>
      <w:r w:rsidRPr="00272464">
        <w:rPr>
          <w:rFonts w:ascii="Bookman Old Style" w:hAnsi="Bookman Old Style"/>
          <w:lang w:val="de-DE"/>
        </w:rPr>
        <w:t>Tanah</w:t>
      </w:r>
      <w:r w:rsidR="00A954D0">
        <w:rPr>
          <w:rFonts w:ascii="Bookman Old Style" w:hAnsi="Bookman Old Style"/>
          <w:lang w:val="de-DE"/>
        </w:rPr>
        <w:t xml:space="preserve"> </w:t>
      </w:r>
      <w:r w:rsidRPr="00272464">
        <w:rPr>
          <w:rFonts w:ascii="Bookman Old Style" w:hAnsi="Bookman Old Style"/>
          <w:lang w:val="de-DE"/>
        </w:rPr>
        <w:t>Bagi</w:t>
      </w:r>
      <w:r w:rsidR="00A954D0">
        <w:rPr>
          <w:rFonts w:ascii="Bookman Old Style" w:hAnsi="Bookman Old Style"/>
          <w:lang w:val="de-DE"/>
        </w:rPr>
        <w:t xml:space="preserve"> </w:t>
      </w:r>
      <w:r w:rsidRPr="00272464">
        <w:rPr>
          <w:rFonts w:ascii="Bookman Old Style" w:hAnsi="Bookman Old Style"/>
          <w:lang w:val="de-DE"/>
        </w:rPr>
        <w:t>Pembangunan</w:t>
      </w:r>
      <w:r w:rsidR="00A954D0">
        <w:rPr>
          <w:rFonts w:ascii="Bookman Old Style" w:hAnsi="Bookman Old Style"/>
          <w:lang w:val="de-DE"/>
        </w:rPr>
        <w:t xml:space="preserve"> </w:t>
      </w:r>
      <w:r w:rsidRPr="00272464">
        <w:rPr>
          <w:rFonts w:ascii="Bookman Old Style" w:hAnsi="Bookman Old Style"/>
          <w:lang w:val="de-DE"/>
        </w:rPr>
        <w:t>Untuk</w:t>
      </w:r>
      <w:r w:rsidR="00A954D0">
        <w:rPr>
          <w:rFonts w:ascii="Bookman Old Style" w:hAnsi="Bookman Old Style"/>
          <w:lang w:val="de-DE"/>
        </w:rPr>
        <w:t xml:space="preserve"> </w:t>
      </w:r>
      <w:r w:rsidRPr="00272464">
        <w:rPr>
          <w:rFonts w:ascii="Bookman Old Style" w:hAnsi="Bookman Old Style"/>
          <w:lang w:val="de-DE"/>
        </w:rPr>
        <w:t>Kepentingan</w:t>
      </w:r>
      <w:r w:rsidR="00A954D0">
        <w:rPr>
          <w:rFonts w:ascii="Bookman Old Style" w:hAnsi="Bookman Old Style"/>
          <w:lang w:val="de-DE"/>
        </w:rPr>
        <w:t xml:space="preserve"> </w:t>
      </w:r>
      <w:r w:rsidRPr="00272464">
        <w:rPr>
          <w:rFonts w:ascii="Bookman Old Style" w:hAnsi="Bookman Old Style"/>
          <w:lang w:val="de-DE"/>
        </w:rPr>
        <w:t>Umum</w:t>
      </w:r>
      <w:r w:rsidR="00A954D0">
        <w:rPr>
          <w:rFonts w:ascii="Bookman Old Style" w:hAnsi="Bookman Old Style"/>
          <w:lang w:val="de-DE"/>
        </w:rPr>
        <w:t xml:space="preserve"> </w:t>
      </w:r>
      <w:r w:rsidRPr="00272464">
        <w:rPr>
          <w:rFonts w:ascii="Bookman Old Style" w:hAnsi="Bookman Old Style"/>
          <w:lang w:val="de-DE"/>
        </w:rPr>
        <w:t>Yang</w:t>
      </w:r>
      <w:r w:rsidR="00A954D0">
        <w:rPr>
          <w:rFonts w:ascii="Bookman Old Style" w:hAnsi="Bookman Old Style"/>
          <w:lang w:val="de-DE"/>
        </w:rPr>
        <w:t xml:space="preserve"> </w:t>
      </w:r>
      <w:r w:rsidRPr="00272464">
        <w:rPr>
          <w:rFonts w:ascii="Bookman Old Style" w:hAnsi="Bookman Old Style"/>
          <w:lang w:val="de-DE"/>
        </w:rPr>
        <w:t>Bersumber</w:t>
      </w:r>
      <w:r w:rsidR="00A954D0">
        <w:rPr>
          <w:rFonts w:ascii="Bookman Old Style" w:hAnsi="Bookman Old Style"/>
          <w:lang w:val="de-DE"/>
        </w:rPr>
        <w:t xml:space="preserve"> </w:t>
      </w:r>
      <w:r w:rsidRPr="00272464">
        <w:rPr>
          <w:rFonts w:ascii="Bookman Old Style" w:hAnsi="Bookman Old Style"/>
          <w:lang w:val="de-DE"/>
        </w:rPr>
        <w:t>Dari</w:t>
      </w:r>
      <w:r w:rsidR="00A954D0">
        <w:rPr>
          <w:rFonts w:ascii="Bookman Old Style" w:hAnsi="Bookman Old Style"/>
          <w:lang w:val="de-DE"/>
        </w:rPr>
        <w:t xml:space="preserve"> </w:t>
      </w:r>
      <w:r w:rsidRPr="00272464">
        <w:rPr>
          <w:rFonts w:ascii="Bookman Old Style" w:hAnsi="Bookman Old Style"/>
          <w:lang w:val="de-DE"/>
        </w:rPr>
        <w:t>APBD.</w:t>
      </w:r>
    </w:p>
    <w:p w14:paraId="0574999E" w14:textId="11787570" w:rsidR="00515C3A" w:rsidRPr="00272464" w:rsidRDefault="00515C3A" w:rsidP="00154790">
      <w:pPr>
        <w:numPr>
          <w:ilvl w:val="0"/>
          <w:numId w:val="27"/>
        </w:numPr>
        <w:spacing w:before="60" w:line="276" w:lineRule="auto"/>
        <w:ind w:left="1701" w:hanging="425"/>
        <w:jc w:val="both"/>
        <w:rPr>
          <w:rFonts w:ascii="Bookman Old Style" w:hAnsi="Bookman Old Style"/>
          <w:lang w:val="x-none" w:eastAsia="x-none"/>
        </w:rPr>
      </w:pPr>
      <w:r w:rsidRPr="00272464">
        <w:rPr>
          <w:rFonts w:ascii="Bookman Old Style" w:hAnsi="Bookman Old Style" w:cs="Arial"/>
          <w:lang w:val="sv-FI" w:eastAsia="x-none"/>
        </w:rPr>
        <w:t>Belanja</w:t>
      </w:r>
      <w:r w:rsidR="00A954D0">
        <w:rPr>
          <w:rFonts w:ascii="Bookman Old Style" w:hAnsi="Bookman Old Style"/>
          <w:lang w:val="x-none" w:eastAsia="x-none"/>
        </w:rPr>
        <w:t xml:space="preserve"> </w:t>
      </w:r>
      <w:r w:rsidRPr="00272464">
        <w:rPr>
          <w:rFonts w:ascii="Bookman Old Style" w:hAnsi="Bookman Old Style" w:cs="Arial"/>
          <w:lang w:val="de-DE" w:eastAsia="x-none"/>
        </w:rPr>
        <w:t>Modal</w:t>
      </w:r>
      <w:r w:rsidR="00A954D0">
        <w:rPr>
          <w:rFonts w:ascii="Bookman Old Style" w:hAnsi="Bookman Old Style"/>
          <w:lang w:val="x-none" w:eastAsia="x-none"/>
        </w:rPr>
        <w:t xml:space="preserve"> </w:t>
      </w:r>
      <w:r w:rsidRPr="00272464">
        <w:rPr>
          <w:rFonts w:ascii="Bookman Old Style" w:hAnsi="Bookman Old Style"/>
          <w:lang w:val="x-none" w:eastAsia="x-none"/>
        </w:rPr>
        <w:t>Peralatan</w:t>
      </w:r>
      <w:r w:rsidR="00A954D0">
        <w:rPr>
          <w:rFonts w:ascii="Bookman Old Style" w:hAnsi="Bookman Old Style"/>
          <w:lang w:val="x-none" w:eastAsia="x-none"/>
        </w:rPr>
        <w:t xml:space="preserve"> </w:t>
      </w:r>
      <w:r w:rsidRPr="00272464">
        <w:rPr>
          <w:rFonts w:ascii="Bookman Old Style" w:hAnsi="Bookman Old Style"/>
          <w:lang w:val="x-none" w:eastAsia="x-none"/>
        </w:rPr>
        <w:t>dan</w:t>
      </w:r>
      <w:r w:rsidR="00A954D0">
        <w:rPr>
          <w:rFonts w:ascii="Bookman Old Style" w:hAnsi="Bookman Old Style"/>
          <w:lang w:val="x-none" w:eastAsia="x-none"/>
        </w:rPr>
        <w:t xml:space="preserve"> </w:t>
      </w:r>
      <w:r w:rsidRPr="00272464">
        <w:rPr>
          <w:rFonts w:ascii="Bookman Old Style" w:hAnsi="Bookman Old Style"/>
          <w:lang w:val="x-none" w:eastAsia="x-none"/>
        </w:rPr>
        <w:t>Mesin</w:t>
      </w:r>
      <w:r w:rsidR="00A954D0">
        <w:rPr>
          <w:rFonts w:ascii="Bookman Old Style" w:hAnsi="Bookman Old Style"/>
          <w:lang w:val="x-none" w:eastAsia="x-none"/>
        </w:rPr>
        <w:t xml:space="preserve"> </w:t>
      </w:r>
      <w:r w:rsidRPr="00272464">
        <w:rPr>
          <w:rFonts w:ascii="Bookman Old Style" w:hAnsi="Bookman Old Style"/>
          <w:lang w:val="x-none" w:eastAsia="x-none"/>
        </w:rPr>
        <w:t>Rp</w:t>
      </w:r>
      <w:r w:rsidRPr="00272464">
        <w:rPr>
          <w:rFonts w:ascii="Bookman Old Style" w:hAnsi="Bookman Old Style"/>
          <w:lang w:val="de-DE" w:eastAsia="x-none"/>
        </w:rPr>
        <w:t>277.077.171.733,00</w:t>
      </w:r>
      <w:r w:rsidR="00A954D0">
        <w:rPr>
          <w:rFonts w:ascii="Bookman Old Style" w:hAnsi="Bookman Old Style"/>
          <w:lang w:val="de-DE" w:eastAsia="x-none"/>
        </w:rPr>
        <w:t xml:space="preserve"> </w:t>
      </w:r>
      <w:r w:rsidRPr="00272464">
        <w:rPr>
          <w:rFonts w:ascii="Bookman Old Style" w:hAnsi="Bookman Old Style"/>
          <w:lang w:val="x-none" w:eastAsia="x-none"/>
        </w:rPr>
        <w:t>atau</w:t>
      </w:r>
      <w:r w:rsidR="00A954D0">
        <w:rPr>
          <w:rFonts w:ascii="Bookman Old Style" w:hAnsi="Bookman Old Style"/>
          <w:lang w:val="x-none" w:eastAsia="x-none"/>
        </w:rPr>
        <w:t xml:space="preserve"> </w:t>
      </w:r>
      <w:r w:rsidRPr="00272464">
        <w:rPr>
          <w:rFonts w:ascii="Bookman Old Style" w:hAnsi="Bookman Old Style"/>
          <w:lang w:val="de-DE" w:eastAsia="x-none"/>
        </w:rPr>
        <w:t>4,86%</w:t>
      </w:r>
      <w:r w:rsidR="00A954D0">
        <w:rPr>
          <w:rFonts w:ascii="Bookman Old Style" w:hAnsi="Bookman Old Style"/>
          <w:lang w:val="de-DE" w:eastAsia="x-none"/>
        </w:rPr>
        <w:t xml:space="preserve"> </w:t>
      </w:r>
      <w:r w:rsidRPr="00272464">
        <w:rPr>
          <w:rFonts w:ascii="Bookman Old Style" w:hAnsi="Bookman Old Style"/>
          <w:lang w:val="x-none" w:eastAsia="x-none"/>
        </w:rPr>
        <w:t>dari</w:t>
      </w:r>
      <w:r w:rsidR="00A954D0">
        <w:rPr>
          <w:rFonts w:ascii="Bookman Old Style" w:hAnsi="Bookman Old Style"/>
          <w:lang w:val="x-none" w:eastAsia="x-none"/>
        </w:rPr>
        <w:t xml:space="preserve"> </w:t>
      </w:r>
      <w:r w:rsidRPr="00272464">
        <w:rPr>
          <w:rFonts w:ascii="Bookman Old Style" w:hAnsi="Bookman Old Style"/>
          <w:lang w:val="x-none" w:eastAsia="x-none"/>
        </w:rPr>
        <w:t>total</w:t>
      </w:r>
      <w:r w:rsidR="00A954D0">
        <w:rPr>
          <w:rFonts w:ascii="Bookman Old Style" w:hAnsi="Bookman Old Style"/>
          <w:lang w:val="x-none" w:eastAsia="x-none"/>
        </w:rPr>
        <w:t xml:space="preserve"> </w:t>
      </w:r>
      <w:r w:rsidRPr="00272464">
        <w:rPr>
          <w:rFonts w:ascii="Bookman Old Style" w:hAnsi="Bookman Old Style"/>
          <w:lang w:val="x-none" w:eastAsia="x-none"/>
        </w:rPr>
        <w:t>belanja</w:t>
      </w:r>
      <w:r w:rsidR="00A954D0">
        <w:rPr>
          <w:rFonts w:ascii="Bookman Old Style" w:hAnsi="Bookman Old Style"/>
          <w:lang w:val="x-none" w:eastAsia="x-none"/>
        </w:rPr>
        <w:t xml:space="preserve"> </w:t>
      </w:r>
      <w:r w:rsidRPr="00272464">
        <w:rPr>
          <w:rFonts w:ascii="Bookman Old Style" w:hAnsi="Bookman Old Style"/>
          <w:lang w:val="x-none" w:eastAsia="x-none"/>
        </w:rPr>
        <w:t>daerah</w:t>
      </w:r>
      <w:r w:rsidR="00A954D0">
        <w:rPr>
          <w:rFonts w:ascii="Bookman Old Style" w:hAnsi="Bookman Old Style"/>
          <w:lang w:val="x-none" w:eastAsia="x-none"/>
        </w:rPr>
        <w:t xml:space="preserve"> </w:t>
      </w:r>
      <w:r w:rsidRPr="00272464">
        <w:rPr>
          <w:rFonts w:ascii="Bookman Old Style" w:hAnsi="Bookman Old Style"/>
          <w:lang w:val="x-none" w:eastAsia="x-none"/>
        </w:rPr>
        <w:t>dalam</w:t>
      </w:r>
      <w:r w:rsidR="00A954D0">
        <w:rPr>
          <w:rFonts w:ascii="Bookman Old Style" w:hAnsi="Bookman Old Style"/>
          <w:lang w:val="x-none" w:eastAsia="x-none"/>
        </w:rPr>
        <w:t xml:space="preserve"> </w:t>
      </w:r>
      <w:r w:rsidRPr="00272464">
        <w:rPr>
          <w:rFonts w:ascii="Bookman Old Style" w:hAnsi="Bookman Old Style"/>
          <w:lang w:val="x-none" w:eastAsia="x-none"/>
        </w:rPr>
        <w:t>Rancangan</w:t>
      </w:r>
      <w:r w:rsidR="00A954D0">
        <w:rPr>
          <w:rFonts w:ascii="Bookman Old Style" w:hAnsi="Bookman Old Style"/>
          <w:lang w:val="x-none" w:eastAsia="x-none"/>
        </w:rPr>
        <w:t xml:space="preserve"> </w:t>
      </w:r>
      <w:r w:rsidRPr="00272464">
        <w:rPr>
          <w:rFonts w:ascii="Bookman Old Style" w:hAnsi="Bookman Old Style"/>
          <w:lang w:val="x-none" w:eastAsia="x-none"/>
        </w:rPr>
        <w:t>Peraturan</w:t>
      </w:r>
      <w:r w:rsidR="00A954D0">
        <w:rPr>
          <w:rFonts w:ascii="Bookman Old Style" w:hAnsi="Bookman Old Style"/>
          <w:lang w:val="x-none" w:eastAsia="x-none"/>
        </w:rPr>
        <w:t xml:space="preserve"> </w:t>
      </w:r>
      <w:r w:rsidRPr="00272464">
        <w:rPr>
          <w:rFonts w:ascii="Bookman Old Style" w:hAnsi="Bookman Old Style"/>
          <w:lang w:val="x-none" w:eastAsia="x-none"/>
        </w:rPr>
        <w:t>Daerah</w:t>
      </w:r>
      <w:r w:rsidR="00A954D0">
        <w:rPr>
          <w:rFonts w:ascii="Bookman Old Style" w:hAnsi="Bookman Old Style"/>
          <w:lang w:val="x-none" w:eastAsia="x-none"/>
        </w:rPr>
        <w:t xml:space="preserve"> </w:t>
      </w:r>
      <w:r w:rsidRPr="00272464">
        <w:rPr>
          <w:rFonts w:ascii="Bookman Old Style" w:hAnsi="Bookman Old Style"/>
          <w:lang w:val="x-none" w:eastAsia="x-none"/>
        </w:rPr>
        <w:t>Kota</w:t>
      </w:r>
      <w:r w:rsidR="00A954D0">
        <w:rPr>
          <w:rFonts w:ascii="Bookman Old Style" w:hAnsi="Bookman Old Style"/>
          <w:lang w:val="x-none" w:eastAsia="x-none"/>
        </w:rPr>
        <w:t xml:space="preserve"> </w:t>
      </w:r>
      <w:r w:rsidRPr="00272464">
        <w:rPr>
          <w:rFonts w:ascii="Bookman Old Style" w:hAnsi="Bookman Old Style"/>
          <w:lang w:val="x-none" w:eastAsia="x-none"/>
        </w:rPr>
        <w:t>Tangerang</w:t>
      </w:r>
      <w:r w:rsidR="00A954D0">
        <w:rPr>
          <w:rFonts w:ascii="Bookman Old Style" w:hAnsi="Bookman Old Style"/>
          <w:lang w:val="x-none" w:eastAsia="x-none"/>
        </w:rPr>
        <w:t xml:space="preserve"> </w:t>
      </w:r>
      <w:r w:rsidRPr="00272464">
        <w:rPr>
          <w:rFonts w:ascii="Bookman Old Style" w:hAnsi="Bookman Old Style"/>
          <w:lang w:val="x-none" w:eastAsia="x-none"/>
        </w:rPr>
        <w:t>tentang</w:t>
      </w:r>
      <w:r w:rsidR="00A954D0">
        <w:rPr>
          <w:rFonts w:ascii="Bookman Old Style" w:hAnsi="Bookman Old Style"/>
          <w:lang w:val="x-none" w:eastAsia="x-none"/>
        </w:rPr>
        <w:t xml:space="preserve"> </w:t>
      </w:r>
      <w:r w:rsidRPr="00272464">
        <w:rPr>
          <w:rFonts w:ascii="Bookman Old Style" w:hAnsi="Bookman Old Style"/>
          <w:lang w:val="x-none" w:eastAsia="x-none"/>
        </w:rPr>
        <w:t>APBD</w:t>
      </w:r>
      <w:r w:rsidR="00A954D0">
        <w:rPr>
          <w:rFonts w:ascii="Bookman Old Style" w:hAnsi="Bookman Old Style"/>
          <w:lang w:val="x-none" w:eastAsia="x-none"/>
        </w:rPr>
        <w:t xml:space="preserve"> </w:t>
      </w:r>
      <w:r w:rsidRPr="00272464">
        <w:rPr>
          <w:rFonts w:ascii="Bookman Old Style" w:hAnsi="Bookman Old Style"/>
          <w:lang w:val="x-none" w:eastAsia="x-none"/>
        </w:rPr>
        <w:t>Tahun</w:t>
      </w:r>
      <w:r w:rsidR="00A954D0">
        <w:rPr>
          <w:rFonts w:ascii="Bookman Old Style" w:hAnsi="Bookman Old Style"/>
          <w:lang w:val="x-none" w:eastAsia="x-none"/>
        </w:rPr>
        <w:t xml:space="preserve"> </w:t>
      </w:r>
      <w:r w:rsidRPr="00272464">
        <w:rPr>
          <w:rFonts w:ascii="Bookman Old Style" w:hAnsi="Bookman Old Style"/>
          <w:lang w:val="x-none" w:eastAsia="x-none"/>
        </w:rPr>
        <w:t>Anggaran</w:t>
      </w:r>
      <w:r w:rsidR="00A954D0">
        <w:rPr>
          <w:rFonts w:ascii="Bookman Old Style" w:hAnsi="Bookman Old Style"/>
          <w:lang w:val="x-none" w:eastAsia="x-none"/>
        </w:rPr>
        <w:t xml:space="preserve"> </w:t>
      </w:r>
      <w:r w:rsidRPr="00272464">
        <w:rPr>
          <w:rFonts w:ascii="Bookman Old Style" w:hAnsi="Bookman Old Style"/>
          <w:lang w:val="x-none" w:eastAsia="x-none"/>
        </w:rPr>
        <w:t>2025,</w:t>
      </w:r>
      <w:r w:rsidR="00A954D0">
        <w:rPr>
          <w:rFonts w:ascii="Bookman Old Style" w:hAnsi="Bookman Old Style"/>
          <w:lang w:val="x-none" w:eastAsia="x-none"/>
        </w:rPr>
        <w:t xml:space="preserve"> </w:t>
      </w:r>
      <w:r w:rsidRPr="00272464">
        <w:rPr>
          <w:rFonts w:ascii="Bookman Old Style" w:hAnsi="Bookman Old Style"/>
          <w:lang w:val="x-none" w:eastAsia="x-none"/>
        </w:rPr>
        <w:t>yang</w:t>
      </w:r>
      <w:r w:rsidR="00A954D0">
        <w:rPr>
          <w:rFonts w:ascii="Bookman Old Style" w:hAnsi="Bookman Old Style"/>
          <w:lang w:val="x-none" w:eastAsia="x-none"/>
        </w:rPr>
        <w:t xml:space="preserve"> </w:t>
      </w:r>
      <w:r w:rsidRPr="00272464">
        <w:rPr>
          <w:rFonts w:ascii="Bookman Old Style" w:hAnsi="Bookman Old Style"/>
          <w:lang w:val="x-none" w:eastAsia="x-none"/>
        </w:rPr>
        <w:t>diuraikan</w:t>
      </w:r>
      <w:r w:rsidR="00A954D0">
        <w:rPr>
          <w:rFonts w:ascii="Bookman Old Style" w:hAnsi="Bookman Old Style"/>
          <w:lang w:val="x-none" w:eastAsia="x-none"/>
        </w:rPr>
        <w:t xml:space="preserve"> </w:t>
      </w:r>
      <w:r w:rsidRPr="00272464">
        <w:rPr>
          <w:rFonts w:ascii="Bookman Old Style" w:hAnsi="Bookman Old Style"/>
          <w:lang w:val="x-none" w:eastAsia="x-none"/>
        </w:rPr>
        <w:t>ke</w:t>
      </w:r>
      <w:r w:rsidR="00A954D0">
        <w:rPr>
          <w:rFonts w:ascii="Bookman Old Style" w:hAnsi="Bookman Old Style"/>
          <w:lang w:val="x-none" w:eastAsia="x-none"/>
        </w:rPr>
        <w:t xml:space="preserve"> </w:t>
      </w:r>
      <w:r w:rsidRPr="00272464">
        <w:rPr>
          <w:rFonts w:ascii="Bookman Old Style" w:hAnsi="Bookman Old Style"/>
          <w:lang w:val="x-none" w:eastAsia="x-none"/>
        </w:rPr>
        <w:t>dalam</w:t>
      </w:r>
      <w:r w:rsidR="00A954D0">
        <w:rPr>
          <w:rFonts w:ascii="Bookman Old Style" w:hAnsi="Bookman Old Style"/>
          <w:lang w:val="x-none" w:eastAsia="x-none"/>
        </w:rPr>
        <w:t xml:space="preserve"> </w:t>
      </w:r>
      <w:r w:rsidRPr="00272464">
        <w:rPr>
          <w:rFonts w:ascii="Bookman Old Style" w:hAnsi="Bookman Old Style"/>
          <w:lang w:val="x-none" w:eastAsia="x-none"/>
        </w:rPr>
        <w:t>objek</w:t>
      </w:r>
      <w:r w:rsidR="00A954D0">
        <w:rPr>
          <w:rFonts w:ascii="Bookman Old Style" w:hAnsi="Bookman Old Style"/>
          <w:lang w:val="de-DE" w:eastAsia="x-none"/>
        </w:rPr>
        <w:t xml:space="preserve"> </w:t>
      </w:r>
      <w:r w:rsidRPr="00272464">
        <w:rPr>
          <w:rFonts w:ascii="Bookman Old Style" w:hAnsi="Bookman Old Style"/>
          <w:lang w:val="de-DE" w:eastAsia="x-none"/>
        </w:rPr>
        <w:t>belanja</w:t>
      </w:r>
      <w:r w:rsidRPr="00272464">
        <w:rPr>
          <w:rFonts w:ascii="Bookman Old Style" w:hAnsi="Bookman Old Style"/>
          <w:lang w:val="x-none" w:eastAsia="x-none"/>
        </w:rPr>
        <w:t>:</w:t>
      </w:r>
    </w:p>
    <w:p w14:paraId="6535F7E5" w14:textId="23F9C3DF" w:rsidR="00515C3A" w:rsidRPr="00272464" w:rsidRDefault="00515C3A" w:rsidP="00154790">
      <w:pPr>
        <w:pStyle w:val="ListParagraph"/>
        <w:numPr>
          <w:ilvl w:val="0"/>
          <w:numId w:val="148"/>
        </w:numPr>
        <w:spacing w:before="60" w:after="0" w:line="276" w:lineRule="auto"/>
        <w:ind w:left="2268" w:hanging="567"/>
        <w:contextualSpacing w:val="0"/>
        <w:jc w:val="both"/>
        <w:rPr>
          <w:rFonts w:ascii="Bookman Old Style" w:hAnsi="Bookman Old Style"/>
          <w:sz w:val="24"/>
          <w:szCs w:val="24"/>
        </w:rPr>
      </w:pPr>
      <w:r w:rsidRPr="00272464">
        <w:rPr>
          <w:rFonts w:ascii="Bookman Old Style" w:hAnsi="Bookman Old Style"/>
          <w:sz w:val="24"/>
          <w:szCs w:val="24"/>
          <w:lang w:val="en-US"/>
        </w:rPr>
        <w:t>Belanja</w:t>
      </w:r>
      <w:r w:rsidR="00A954D0">
        <w:rPr>
          <w:rFonts w:ascii="Bookman Old Style" w:hAnsi="Bookman Old Style"/>
          <w:sz w:val="24"/>
          <w:szCs w:val="24"/>
          <w:lang w:val="en-US"/>
        </w:rPr>
        <w:t xml:space="preserve"> </w:t>
      </w:r>
      <w:r w:rsidRPr="00272464">
        <w:rPr>
          <w:rFonts w:ascii="Bookman Old Style" w:hAnsi="Bookman Old Style"/>
          <w:sz w:val="24"/>
          <w:szCs w:val="24"/>
          <w:lang w:val="en-US"/>
        </w:rPr>
        <w:t>Modal</w:t>
      </w:r>
      <w:r w:rsidR="00A954D0">
        <w:rPr>
          <w:rFonts w:ascii="Bookman Old Style" w:hAnsi="Bookman Old Style"/>
          <w:sz w:val="24"/>
          <w:szCs w:val="24"/>
          <w:lang w:val="en-US"/>
        </w:rPr>
        <w:t xml:space="preserve"> </w:t>
      </w:r>
      <w:r w:rsidRPr="00272464">
        <w:rPr>
          <w:rFonts w:ascii="Bookman Old Style" w:hAnsi="Bookman Old Style"/>
          <w:sz w:val="24"/>
          <w:szCs w:val="24"/>
          <w:lang w:val="en-US"/>
        </w:rPr>
        <w:t>Alat</w:t>
      </w:r>
      <w:r w:rsidR="00A954D0">
        <w:rPr>
          <w:rFonts w:ascii="Bookman Old Style" w:hAnsi="Bookman Old Style"/>
          <w:sz w:val="24"/>
          <w:szCs w:val="24"/>
          <w:lang w:val="en-US"/>
        </w:rPr>
        <w:t xml:space="preserve"> </w:t>
      </w:r>
      <w:r w:rsidRPr="00272464">
        <w:rPr>
          <w:rFonts w:ascii="Bookman Old Style" w:hAnsi="Bookman Old Style"/>
          <w:sz w:val="24"/>
          <w:szCs w:val="24"/>
          <w:lang w:val="en-US"/>
        </w:rPr>
        <w:t>Besar</w:t>
      </w:r>
      <w:r w:rsidR="00A954D0">
        <w:rPr>
          <w:rFonts w:ascii="Bookman Old Style" w:hAnsi="Bookman Old Style"/>
          <w:sz w:val="24"/>
          <w:szCs w:val="24"/>
        </w:rPr>
        <w:t xml:space="preserve"> </w:t>
      </w:r>
      <w:r w:rsidRPr="00272464">
        <w:rPr>
          <w:rFonts w:ascii="Bookman Old Style" w:hAnsi="Bookman Old Style"/>
          <w:sz w:val="24"/>
          <w:szCs w:val="24"/>
        </w:rPr>
        <w:t>Rp27.530.501.500,00</w:t>
      </w:r>
      <w:r w:rsidR="00A954D0">
        <w:rPr>
          <w:rFonts w:ascii="Bookman Old Style" w:hAnsi="Bookman Old Style"/>
          <w:sz w:val="24"/>
          <w:szCs w:val="24"/>
        </w:rPr>
        <w:t xml:space="preserve"> </w:t>
      </w:r>
      <w:r w:rsidRPr="00272464">
        <w:rPr>
          <w:rFonts w:ascii="Bookman Old Style" w:hAnsi="Bookman Old Style"/>
          <w:sz w:val="24"/>
          <w:szCs w:val="24"/>
        </w:rPr>
        <w:t>atau</w:t>
      </w:r>
      <w:r w:rsidR="00A954D0">
        <w:rPr>
          <w:rFonts w:ascii="Bookman Old Style" w:hAnsi="Bookman Old Style"/>
          <w:sz w:val="24"/>
          <w:szCs w:val="24"/>
        </w:rPr>
        <w:t xml:space="preserve"> </w:t>
      </w:r>
      <w:r w:rsidRPr="00272464">
        <w:rPr>
          <w:rFonts w:ascii="Bookman Old Style" w:hAnsi="Bookman Old Style"/>
          <w:sz w:val="24"/>
          <w:szCs w:val="24"/>
        </w:rPr>
        <w:t>0,48%</w:t>
      </w:r>
      <w:r w:rsidR="00A954D0">
        <w:rPr>
          <w:rFonts w:ascii="Bookman Old Style" w:hAnsi="Bookman Old Style"/>
          <w:sz w:val="24"/>
          <w:szCs w:val="24"/>
        </w:rPr>
        <w:t xml:space="preserve"> </w:t>
      </w:r>
      <w:r w:rsidRPr="00272464">
        <w:rPr>
          <w:rFonts w:ascii="Bookman Old Style" w:hAnsi="Bookman Old Style"/>
          <w:sz w:val="24"/>
          <w:szCs w:val="24"/>
        </w:rPr>
        <w:t>dari</w:t>
      </w:r>
      <w:r w:rsidR="00A954D0">
        <w:rPr>
          <w:rFonts w:ascii="Bookman Old Style" w:hAnsi="Bookman Old Style"/>
          <w:sz w:val="24"/>
          <w:szCs w:val="24"/>
        </w:rPr>
        <w:t xml:space="preserve"> </w:t>
      </w:r>
      <w:r w:rsidRPr="00272464">
        <w:rPr>
          <w:rFonts w:ascii="Bookman Old Style" w:hAnsi="Bookman Old Style"/>
          <w:sz w:val="24"/>
          <w:szCs w:val="24"/>
        </w:rPr>
        <w:t>total</w:t>
      </w:r>
      <w:r w:rsidR="00A954D0">
        <w:rPr>
          <w:rFonts w:ascii="Bookman Old Style" w:hAnsi="Bookman Old Style"/>
          <w:sz w:val="24"/>
          <w:szCs w:val="24"/>
        </w:rPr>
        <w:t xml:space="preserve"> </w:t>
      </w:r>
      <w:r w:rsidRPr="00272464">
        <w:rPr>
          <w:rFonts w:ascii="Bookman Old Style" w:hAnsi="Bookman Old Style"/>
          <w:sz w:val="24"/>
          <w:szCs w:val="24"/>
        </w:rPr>
        <w:t>belanja</w:t>
      </w:r>
      <w:r w:rsidR="00A954D0">
        <w:rPr>
          <w:rFonts w:ascii="Bookman Old Style" w:hAnsi="Bookman Old Style"/>
          <w:sz w:val="24"/>
          <w:szCs w:val="24"/>
        </w:rPr>
        <w:t xml:space="preserve"> </w:t>
      </w:r>
      <w:r w:rsidRPr="00272464">
        <w:rPr>
          <w:rFonts w:ascii="Bookman Old Style" w:hAnsi="Bookman Old Style"/>
          <w:sz w:val="24"/>
          <w:szCs w:val="24"/>
        </w:rPr>
        <w:t>daerah</w:t>
      </w:r>
      <w:r w:rsidR="00A954D0">
        <w:rPr>
          <w:rFonts w:ascii="Bookman Old Style" w:hAnsi="Bookman Old Style"/>
          <w:sz w:val="24"/>
          <w:szCs w:val="24"/>
        </w:rPr>
        <w:t xml:space="preserve"> </w:t>
      </w:r>
      <w:r w:rsidRPr="00272464">
        <w:rPr>
          <w:rFonts w:ascii="Bookman Old Style" w:hAnsi="Bookman Old Style"/>
          <w:sz w:val="24"/>
          <w:szCs w:val="24"/>
        </w:rPr>
        <w:t>dalam</w:t>
      </w:r>
      <w:r w:rsidR="00A954D0">
        <w:rPr>
          <w:rFonts w:ascii="Bookman Old Style" w:hAnsi="Bookman Old Style"/>
          <w:sz w:val="24"/>
          <w:szCs w:val="24"/>
        </w:rPr>
        <w:t xml:space="preserve"> </w:t>
      </w:r>
      <w:r w:rsidRPr="00272464">
        <w:rPr>
          <w:rFonts w:ascii="Bookman Old Style" w:hAnsi="Bookman Old Style"/>
          <w:sz w:val="24"/>
          <w:szCs w:val="24"/>
        </w:rPr>
        <w:t>Rancangan</w:t>
      </w:r>
      <w:r w:rsidR="00A954D0">
        <w:rPr>
          <w:rFonts w:ascii="Bookman Old Style" w:hAnsi="Bookman Old Style"/>
          <w:sz w:val="24"/>
          <w:szCs w:val="24"/>
        </w:rPr>
        <w:t xml:space="preserve"> </w:t>
      </w:r>
      <w:r w:rsidRPr="00272464">
        <w:rPr>
          <w:rFonts w:ascii="Bookman Old Style" w:hAnsi="Bookman Old Style"/>
          <w:sz w:val="24"/>
          <w:szCs w:val="24"/>
        </w:rPr>
        <w:t>Peraturan</w:t>
      </w:r>
      <w:r w:rsidR="00A954D0">
        <w:rPr>
          <w:rFonts w:ascii="Bookman Old Style" w:hAnsi="Bookman Old Style"/>
          <w:sz w:val="24"/>
          <w:szCs w:val="24"/>
        </w:rPr>
        <w:t xml:space="preserve"> </w:t>
      </w:r>
      <w:r w:rsidRPr="00272464">
        <w:rPr>
          <w:rFonts w:ascii="Bookman Old Style" w:hAnsi="Bookman Old Style"/>
          <w:sz w:val="24"/>
          <w:szCs w:val="24"/>
        </w:rPr>
        <w:t>Daerah</w:t>
      </w:r>
      <w:r w:rsidR="00A954D0">
        <w:rPr>
          <w:rFonts w:ascii="Bookman Old Style" w:hAnsi="Bookman Old Style"/>
          <w:sz w:val="24"/>
          <w:szCs w:val="24"/>
        </w:rPr>
        <w:t xml:space="preserve"> </w:t>
      </w:r>
      <w:r w:rsidRPr="00272464">
        <w:rPr>
          <w:rFonts w:ascii="Bookman Old Style" w:hAnsi="Bookman Old Style"/>
          <w:sz w:val="24"/>
          <w:szCs w:val="24"/>
        </w:rPr>
        <w:t>Kota</w:t>
      </w:r>
      <w:r w:rsidR="00A954D0">
        <w:rPr>
          <w:rFonts w:ascii="Bookman Old Style" w:hAnsi="Bookman Old Style"/>
          <w:sz w:val="24"/>
          <w:szCs w:val="24"/>
        </w:rPr>
        <w:t xml:space="preserve"> </w:t>
      </w:r>
      <w:r w:rsidRPr="00272464">
        <w:rPr>
          <w:rFonts w:ascii="Bookman Old Style" w:hAnsi="Bookman Old Style"/>
          <w:sz w:val="24"/>
          <w:szCs w:val="24"/>
        </w:rPr>
        <w:t>Tangerang</w:t>
      </w:r>
      <w:r w:rsidR="00A954D0">
        <w:rPr>
          <w:rFonts w:ascii="Bookman Old Style" w:hAnsi="Bookman Old Style"/>
          <w:sz w:val="24"/>
          <w:szCs w:val="24"/>
        </w:rPr>
        <w:t xml:space="preserve"> </w:t>
      </w:r>
      <w:r w:rsidRPr="00272464">
        <w:rPr>
          <w:rFonts w:ascii="Bookman Old Style" w:hAnsi="Bookman Old Style"/>
          <w:sz w:val="24"/>
          <w:szCs w:val="24"/>
        </w:rPr>
        <w:t>tentang</w:t>
      </w:r>
      <w:r w:rsidR="00A954D0">
        <w:rPr>
          <w:rFonts w:ascii="Bookman Old Style" w:hAnsi="Bookman Old Style"/>
          <w:sz w:val="24"/>
          <w:szCs w:val="24"/>
        </w:rPr>
        <w:t xml:space="preserve"> </w:t>
      </w:r>
      <w:r w:rsidRPr="00272464">
        <w:rPr>
          <w:rFonts w:ascii="Bookman Old Style" w:hAnsi="Bookman Old Style"/>
          <w:sz w:val="24"/>
          <w:szCs w:val="24"/>
        </w:rPr>
        <w:t>APBD</w:t>
      </w:r>
      <w:r w:rsidR="00A954D0">
        <w:rPr>
          <w:rFonts w:ascii="Bookman Old Style" w:hAnsi="Bookman Old Style"/>
          <w:sz w:val="24"/>
          <w:szCs w:val="24"/>
        </w:rPr>
        <w:t xml:space="preserve"> </w:t>
      </w:r>
      <w:r w:rsidRPr="00272464">
        <w:rPr>
          <w:rFonts w:ascii="Bookman Old Style" w:hAnsi="Bookman Old Style"/>
          <w:sz w:val="24"/>
          <w:szCs w:val="24"/>
        </w:rPr>
        <w:t>Tahun</w:t>
      </w:r>
      <w:r w:rsidR="00A954D0">
        <w:rPr>
          <w:rFonts w:ascii="Bookman Old Style" w:hAnsi="Bookman Old Style"/>
          <w:sz w:val="24"/>
          <w:szCs w:val="24"/>
        </w:rPr>
        <w:t xml:space="preserve"> </w:t>
      </w:r>
      <w:r w:rsidRPr="00272464">
        <w:rPr>
          <w:rFonts w:ascii="Bookman Old Style" w:hAnsi="Bookman Old Style"/>
          <w:sz w:val="24"/>
          <w:szCs w:val="24"/>
        </w:rPr>
        <w:t>Anggaran</w:t>
      </w:r>
      <w:r w:rsidR="00A954D0">
        <w:rPr>
          <w:rFonts w:ascii="Bookman Old Style" w:hAnsi="Bookman Old Style"/>
          <w:sz w:val="24"/>
          <w:szCs w:val="24"/>
        </w:rPr>
        <w:t xml:space="preserve"> </w:t>
      </w:r>
      <w:r w:rsidRPr="00272464">
        <w:rPr>
          <w:rFonts w:ascii="Bookman Old Style" w:hAnsi="Bookman Old Style"/>
          <w:sz w:val="24"/>
          <w:szCs w:val="24"/>
        </w:rPr>
        <w:t>2025,</w:t>
      </w:r>
      <w:r w:rsidR="00A954D0">
        <w:rPr>
          <w:rFonts w:ascii="Bookman Old Style" w:hAnsi="Bookman Old Style"/>
          <w:sz w:val="24"/>
          <w:szCs w:val="24"/>
        </w:rPr>
        <w:t xml:space="preserve"> </w:t>
      </w:r>
      <w:r w:rsidRPr="00272464">
        <w:rPr>
          <w:rFonts w:ascii="Bookman Old Style" w:hAnsi="Bookman Old Style"/>
          <w:sz w:val="24"/>
          <w:szCs w:val="24"/>
        </w:rPr>
        <w:t>yang</w:t>
      </w:r>
      <w:r w:rsidR="00A954D0">
        <w:rPr>
          <w:rFonts w:ascii="Bookman Old Style" w:hAnsi="Bookman Old Style"/>
          <w:sz w:val="24"/>
          <w:szCs w:val="24"/>
        </w:rPr>
        <w:t xml:space="preserve"> </w:t>
      </w:r>
      <w:r w:rsidRPr="00272464">
        <w:rPr>
          <w:rFonts w:ascii="Bookman Old Style" w:hAnsi="Bookman Old Style"/>
          <w:sz w:val="24"/>
          <w:szCs w:val="24"/>
        </w:rPr>
        <w:t>diuraikan</w:t>
      </w:r>
      <w:r w:rsidR="00A954D0">
        <w:rPr>
          <w:rFonts w:ascii="Bookman Old Style" w:hAnsi="Bookman Old Style"/>
          <w:sz w:val="24"/>
          <w:szCs w:val="24"/>
        </w:rPr>
        <w:t xml:space="preserve"> </w:t>
      </w:r>
      <w:r w:rsidRPr="00272464">
        <w:rPr>
          <w:rFonts w:ascii="Bookman Old Style" w:hAnsi="Bookman Old Style"/>
          <w:sz w:val="24"/>
          <w:szCs w:val="24"/>
        </w:rPr>
        <w:t>ke</w:t>
      </w:r>
      <w:r w:rsidR="00A954D0">
        <w:rPr>
          <w:rFonts w:ascii="Bookman Old Style" w:hAnsi="Bookman Old Style"/>
          <w:sz w:val="24"/>
          <w:szCs w:val="24"/>
        </w:rPr>
        <w:t xml:space="preserve"> </w:t>
      </w:r>
      <w:r w:rsidRPr="00272464">
        <w:rPr>
          <w:rFonts w:ascii="Bookman Old Style" w:hAnsi="Bookman Old Style"/>
          <w:sz w:val="24"/>
          <w:szCs w:val="24"/>
        </w:rPr>
        <w:t>dalam</w:t>
      </w:r>
      <w:r w:rsidR="00A954D0">
        <w:rPr>
          <w:rFonts w:ascii="Bookman Old Style" w:hAnsi="Bookman Old Style"/>
          <w:sz w:val="24"/>
          <w:szCs w:val="24"/>
        </w:rPr>
        <w:t xml:space="preserve"> </w:t>
      </w:r>
      <w:r w:rsidRPr="00272464">
        <w:rPr>
          <w:rFonts w:ascii="Bookman Old Style" w:hAnsi="Bookman Old Style"/>
          <w:sz w:val="24"/>
          <w:szCs w:val="24"/>
        </w:rPr>
        <w:t>rincian</w:t>
      </w:r>
      <w:r w:rsidR="00A954D0">
        <w:rPr>
          <w:rFonts w:ascii="Bookman Old Style" w:hAnsi="Bookman Old Style"/>
          <w:sz w:val="24"/>
          <w:szCs w:val="24"/>
        </w:rPr>
        <w:t xml:space="preserve"> </w:t>
      </w:r>
      <w:r w:rsidRPr="00272464">
        <w:rPr>
          <w:rFonts w:ascii="Bookman Old Style" w:hAnsi="Bookman Old Style"/>
          <w:sz w:val="24"/>
          <w:szCs w:val="24"/>
        </w:rPr>
        <w:t>objek</w:t>
      </w:r>
      <w:r w:rsidR="00A954D0">
        <w:rPr>
          <w:rFonts w:ascii="Bookman Old Style" w:hAnsi="Bookman Old Style"/>
          <w:sz w:val="24"/>
          <w:szCs w:val="24"/>
        </w:rPr>
        <w:t xml:space="preserve"> </w:t>
      </w:r>
      <w:r w:rsidR="00A06954">
        <w:rPr>
          <w:rFonts w:ascii="Bookman Old Style" w:hAnsi="Bookman Old Style"/>
          <w:sz w:val="24"/>
          <w:szCs w:val="24"/>
        </w:rPr>
        <w:t>b</w:t>
      </w:r>
      <w:r w:rsidRPr="00272464">
        <w:rPr>
          <w:rFonts w:ascii="Bookman Old Style" w:hAnsi="Bookman Old Style"/>
          <w:sz w:val="24"/>
          <w:szCs w:val="24"/>
          <w:lang w:val="en-US"/>
        </w:rPr>
        <w:t>elanja</w:t>
      </w:r>
      <w:r w:rsidR="00A954D0">
        <w:rPr>
          <w:rFonts w:ascii="Bookman Old Style" w:hAnsi="Bookman Old Style"/>
          <w:sz w:val="24"/>
          <w:szCs w:val="24"/>
          <w:lang w:val="en-US"/>
        </w:rPr>
        <w:t xml:space="preserve"> </w:t>
      </w:r>
      <w:r w:rsidRPr="00272464">
        <w:rPr>
          <w:rFonts w:ascii="Bookman Old Style" w:hAnsi="Bookman Old Style"/>
          <w:sz w:val="24"/>
          <w:szCs w:val="24"/>
          <w:lang w:val="en-US"/>
        </w:rPr>
        <w:t>antara</w:t>
      </w:r>
      <w:r w:rsidR="00A954D0">
        <w:rPr>
          <w:rFonts w:ascii="Bookman Old Style" w:hAnsi="Bookman Old Style"/>
          <w:sz w:val="24"/>
          <w:szCs w:val="24"/>
          <w:lang w:val="en-US"/>
        </w:rPr>
        <w:t xml:space="preserve"> </w:t>
      </w:r>
      <w:r w:rsidRPr="00272464">
        <w:rPr>
          <w:rFonts w:ascii="Bookman Old Style" w:hAnsi="Bookman Old Style"/>
          <w:sz w:val="24"/>
          <w:szCs w:val="24"/>
          <w:lang w:val="en-US"/>
        </w:rPr>
        <w:t>lain:</w:t>
      </w:r>
    </w:p>
    <w:p w14:paraId="6274008E" w14:textId="78B95ABB" w:rsidR="00515C3A" w:rsidRPr="00272464" w:rsidRDefault="00515C3A" w:rsidP="00154790">
      <w:pPr>
        <w:pStyle w:val="ListParagraph"/>
        <w:numPr>
          <w:ilvl w:val="0"/>
          <w:numId w:val="146"/>
        </w:numPr>
        <w:spacing w:before="60" w:after="0" w:line="276" w:lineRule="auto"/>
        <w:ind w:left="2694" w:hanging="426"/>
        <w:contextualSpacing w:val="0"/>
        <w:jc w:val="both"/>
        <w:rPr>
          <w:rFonts w:ascii="Bookman Old Style" w:hAnsi="Bookman Old Style"/>
          <w:sz w:val="24"/>
          <w:szCs w:val="24"/>
        </w:rPr>
      </w:pPr>
      <w:r w:rsidRPr="00272464">
        <w:rPr>
          <w:rFonts w:ascii="Bookman Old Style" w:hAnsi="Bookman Old Style"/>
          <w:sz w:val="24"/>
          <w:szCs w:val="24"/>
          <w:lang w:val="sv-FI"/>
        </w:rPr>
        <w:lastRenderedPageBreak/>
        <w:t>Belanja</w:t>
      </w:r>
      <w:r w:rsidR="00A954D0">
        <w:rPr>
          <w:rFonts w:ascii="Bookman Old Style" w:hAnsi="Bookman Old Style"/>
          <w:sz w:val="24"/>
          <w:szCs w:val="24"/>
          <w:lang w:val="sv-FI"/>
        </w:rPr>
        <w:t xml:space="preserve"> </w:t>
      </w:r>
      <w:r w:rsidRPr="00272464">
        <w:rPr>
          <w:rFonts w:ascii="Bookman Old Style" w:hAnsi="Bookman Old Style"/>
          <w:sz w:val="24"/>
          <w:szCs w:val="24"/>
          <w:lang w:val="sv-FI"/>
        </w:rPr>
        <w:t>Modal</w:t>
      </w:r>
      <w:r w:rsidR="00A954D0">
        <w:rPr>
          <w:rFonts w:ascii="Bookman Old Style" w:hAnsi="Bookman Old Style"/>
          <w:sz w:val="24"/>
          <w:szCs w:val="24"/>
          <w:lang w:val="sv-FI"/>
        </w:rPr>
        <w:t xml:space="preserve"> </w:t>
      </w:r>
      <w:r w:rsidRPr="00272464">
        <w:rPr>
          <w:rFonts w:ascii="Bookman Old Style" w:hAnsi="Bookman Old Style"/>
          <w:sz w:val="24"/>
          <w:szCs w:val="24"/>
          <w:lang w:val="sv-FI"/>
        </w:rPr>
        <w:t>Alat</w:t>
      </w:r>
      <w:r w:rsidR="00A954D0">
        <w:rPr>
          <w:rFonts w:ascii="Bookman Old Style" w:hAnsi="Bookman Old Style"/>
          <w:sz w:val="24"/>
          <w:szCs w:val="24"/>
          <w:lang w:val="sv-FI"/>
        </w:rPr>
        <w:t xml:space="preserve"> </w:t>
      </w:r>
      <w:r w:rsidRPr="00272464">
        <w:rPr>
          <w:rFonts w:ascii="Bookman Old Style" w:hAnsi="Bookman Old Style"/>
          <w:sz w:val="24"/>
          <w:szCs w:val="24"/>
          <w:lang w:val="sv-FI"/>
        </w:rPr>
        <w:t>Besar</w:t>
      </w:r>
      <w:r w:rsidR="00A954D0">
        <w:rPr>
          <w:rFonts w:ascii="Bookman Old Style" w:hAnsi="Bookman Old Style"/>
          <w:sz w:val="24"/>
          <w:szCs w:val="24"/>
          <w:lang w:val="sv-FI"/>
        </w:rPr>
        <w:t xml:space="preserve"> </w:t>
      </w:r>
      <w:r w:rsidRPr="00272464">
        <w:rPr>
          <w:rFonts w:ascii="Bookman Old Style" w:hAnsi="Bookman Old Style"/>
          <w:sz w:val="24"/>
          <w:szCs w:val="24"/>
          <w:lang w:val="sv-FI"/>
        </w:rPr>
        <w:t>Darat</w:t>
      </w:r>
      <w:r w:rsidR="00A954D0">
        <w:rPr>
          <w:rFonts w:ascii="Bookman Old Style" w:hAnsi="Bookman Old Style"/>
          <w:sz w:val="24"/>
          <w:szCs w:val="24"/>
          <w:lang w:val="sv-FI"/>
        </w:rPr>
        <w:t xml:space="preserve"> </w:t>
      </w:r>
      <w:r w:rsidRPr="00272464">
        <w:rPr>
          <w:rFonts w:ascii="Bookman Old Style" w:hAnsi="Bookman Old Style"/>
          <w:sz w:val="24"/>
          <w:szCs w:val="24"/>
          <w:lang w:val="sv-FI"/>
        </w:rPr>
        <w:t>Rp15.102.030.870,00;</w:t>
      </w:r>
    </w:p>
    <w:p w14:paraId="174624CD" w14:textId="35F8621A" w:rsidR="00515C3A" w:rsidRPr="00272464" w:rsidRDefault="00515C3A" w:rsidP="00154790">
      <w:pPr>
        <w:pStyle w:val="ListParagraph"/>
        <w:numPr>
          <w:ilvl w:val="0"/>
          <w:numId w:val="146"/>
        </w:numPr>
        <w:spacing w:before="60" w:after="0" w:line="276" w:lineRule="auto"/>
        <w:ind w:left="2694" w:hanging="426"/>
        <w:contextualSpacing w:val="0"/>
        <w:jc w:val="both"/>
        <w:rPr>
          <w:rFonts w:ascii="Bookman Old Style" w:hAnsi="Bookman Old Style"/>
          <w:sz w:val="24"/>
          <w:szCs w:val="24"/>
        </w:rPr>
      </w:pPr>
      <w:r w:rsidRPr="00272464">
        <w:rPr>
          <w:rFonts w:ascii="Bookman Old Style" w:hAnsi="Bookman Old Style"/>
          <w:sz w:val="24"/>
          <w:szCs w:val="24"/>
        </w:rPr>
        <w:t>Belanja</w:t>
      </w:r>
      <w:r w:rsidR="00A954D0">
        <w:rPr>
          <w:rFonts w:ascii="Bookman Old Style" w:hAnsi="Bookman Old Style"/>
          <w:sz w:val="24"/>
          <w:szCs w:val="24"/>
        </w:rPr>
        <w:t xml:space="preserve"> </w:t>
      </w:r>
      <w:r w:rsidRPr="00272464">
        <w:rPr>
          <w:rFonts w:ascii="Bookman Old Style" w:hAnsi="Bookman Old Style"/>
          <w:sz w:val="24"/>
          <w:szCs w:val="24"/>
        </w:rPr>
        <w:t>Modal</w:t>
      </w:r>
      <w:r w:rsidR="00A954D0">
        <w:rPr>
          <w:rFonts w:ascii="Bookman Old Style" w:hAnsi="Bookman Old Style"/>
          <w:sz w:val="24"/>
          <w:szCs w:val="24"/>
        </w:rPr>
        <w:t xml:space="preserve"> </w:t>
      </w:r>
      <w:r w:rsidRPr="00272464">
        <w:rPr>
          <w:rFonts w:ascii="Bookman Old Style" w:hAnsi="Bookman Old Style"/>
          <w:sz w:val="24"/>
          <w:szCs w:val="24"/>
        </w:rPr>
        <w:t>Alat</w:t>
      </w:r>
      <w:r w:rsidR="00A954D0">
        <w:rPr>
          <w:rFonts w:ascii="Bookman Old Style" w:hAnsi="Bookman Old Style"/>
          <w:sz w:val="24"/>
          <w:szCs w:val="24"/>
        </w:rPr>
        <w:t xml:space="preserve"> </w:t>
      </w:r>
      <w:r w:rsidRPr="00272464">
        <w:rPr>
          <w:rFonts w:ascii="Bookman Old Style" w:hAnsi="Bookman Old Style"/>
          <w:sz w:val="24"/>
          <w:szCs w:val="24"/>
        </w:rPr>
        <w:t>Bantu</w:t>
      </w:r>
      <w:r w:rsidR="00A954D0">
        <w:rPr>
          <w:rFonts w:ascii="Bookman Old Style" w:hAnsi="Bookman Old Style"/>
          <w:sz w:val="24"/>
          <w:szCs w:val="24"/>
        </w:rPr>
        <w:t xml:space="preserve"> </w:t>
      </w:r>
      <w:r w:rsidRPr="00272464">
        <w:rPr>
          <w:rFonts w:ascii="Bookman Old Style" w:hAnsi="Bookman Old Style"/>
          <w:sz w:val="24"/>
          <w:szCs w:val="24"/>
        </w:rPr>
        <w:t>Rp12.428.470.630,00.</w:t>
      </w:r>
    </w:p>
    <w:p w14:paraId="78FE7E72" w14:textId="37EED9AC" w:rsidR="00515C3A" w:rsidRPr="001C416D" w:rsidRDefault="00515C3A" w:rsidP="00154790">
      <w:pPr>
        <w:pStyle w:val="ListParagraph"/>
        <w:numPr>
          <w:ilvl w:val="0"/>
          <w:numId w:val="148"/>
        </w:numPr>
        <w:spacing w:before="60" w:after="0" w:line="276" w:lineRule="auto"/>
        <w:ind w:left="2268" w:hanging="567"/>
        <w:contextualSpacing w:val="0"/>
        <w:jc w:val="both"/>
        <w:rPr>
          <w:rFonts w:ascii="Bookman Old Style" w:hAnsi="Bookman Old Style"/>
          <w:sz w:val="24"/>
          <w:szCs w:val="24"/>
        </w:rPr>
      </w:pPr>
      <w:r w:rsidRPr="001C416D">
        <w:rPr>
          <w:rFonts w:ascii="Bookman Old Style" w:hAnsi="Bookman Old Style"/>
          <w:sz w:val="24"/>
          <w:szCs w:val="24"/>
        </w:rPr>
        <w:t>Belanja</w:t>
      </w:r>
      <w:r w:rsidR="00A954D0">
        <w:rPr>
          <w:rFonts w:ascii="Bookman Old Style" w:hAnsi="Bookman Old Style"/>
          <w:sz w:val="24"/>
          <w:szCs w:val="24"/>
        </w:rPr>
        <w:t xml:space="preserve"> </w:t>
      </w:r>
      <w:r w:rsidRPr="001C416D">
        <w:rPr>
          <w:rFonts w:ascii="Bookman Old Style" w:hAnsi="Bookman Old Style"/>
          <w:sz w:val="24"/>
          <w:szCs w:val="24"/>
        </w:rPr>
        <w:t>Modal</w:t>
      </w:r>
      <w:r w:rsidR="00A954D0">
        <w:rPr>
          <w:rFonts w:ascii="Bookman Old Style" w:hAnsi="Bookman Old Style"/>
          <w:sz w:val="24"/>
          <w:szCs w:val="24"/>
        </w:rPr>
        <w:t xml:space="preserve"> </w:t>
      </w:r>
      <w:r w:rsidRPr="001C416D">
        <w:rPr>
          <w:rFonts w:ascii="Bookman Old Style" w:hAnsi="Bookman Old Style"/>
          <w:sz w:val="24"/>
          <w:szCs w:val="24"/>
        </w:rPr>
        <w:t>Alat</w:t>
      </w:r>
      <w:r w:rsidR="00A954D0">
        <w:rPr>
          <w:rFonts w:ascii="Bookman Old Style" w:hAnsi="Bookman Old Style"/>
          <w:sz w:val="24"/>
          <w:szCs w:val="24"/>
        </w:rPr>
        <w:t xml:space="preserve"> </w:t>
      </w:r>
      <w:r w:rsidRPr="001C416D">
        <w:rPr>
          <w:rFonts w:ascii="Bookman Old Style" w:hAnsi="Bookman Old Style"/>
          <w:sz w:val="24"/>
          <w:szCs w:val="24"/>
        </w:rPr>
        <w:t>Angkutan</w:t>
      </w:r>
      <w:r w:rsidR="00A954D0">
        <w:rPr>
          <w:rFonts w:ascii="Bookman Old Style" w:hAnsi="Bookman Old Style"/>
          <w:sz w:val="24"/>
          <w:szCs w:val="24"/>
        </w:rPr>
        <w:t xml:space="preserve"> </w:t>
      </w:r>
      <w:r w:rsidRPr="001C416D">
        <w:rPr>
          <w:rFonts w:ascii="Bookman Old Style" w:hAnsi="Bookman Old Style"/>
          <w:sz w:val="24"/>
          <w:szCs w:val="24"/>
        </w:rPr>
        <w:t>Rp42.395.160.300,00</w:t>
      </w:r>
      <w:r w:rsidR="00A954D0">
        <w:rPr>
          <w:rFonts w:ascii="Bookman Old Style" w:hAnsi="Bookman Old Style"/>
          <w:sz w:val="24"/>
          <w:szCs w:val="24"/>
        </w:rPr>
        <w:t xml:space="preserve"> </w:t>
      </w:r>
      <w:r w:rsidRPr="001C416D">
        <w:rPr>
          <w:rFonts w:ascii="Bookman Old Style" w:hAnsi="Bookman Old Style"/>
          <w:sz w:val="24"/>
          <w:szCs w:val="24"/>
        </w:rPr>
        <w:t>atau</w:t>
      </w:r>
      <w:r w:rsidR="00A954D0">
        <w:rPr>
          <w:rFonts w:ascii="Bookman Old Style" w:hAnsi="Bookman Old Style"/>
          <w:sz w:val="24"/>
          <w:szCs w:val="24"/>
        </w:rPr>
        <w:t xml:space="preserve"> </w:t>
      </w:r>
      <w:r w:rsidRPr="001C416D">
        <w:rPr>
          <w:rFonts w:ascii="Bookman Old Style" w:hAnsi="Bookman Old Style"/>
          <w:sz w:val="24"/>
          <w:szCs w:val="24"/>
        </w:rPr>
        <w:t>0,74%</w:t>
      </w:r>
      <w:r w:rsidR="00A954D0">
        <w:rPr>
          <w:rFonts w:ascii="Bookman Old Style" w:hAnsi="Bookman Old Style"/>
          <w:sz w:val="24"/>
          <w:szCs w:val="24"/>
        </w:rPr>
        <w:t xml:space="preserve"> </w:t>
      </w:r>
      <w:r w:rsidRPr="001C416D">
        <w:rPr>
          <w:rFonts w:ascii="Bookman Old Style" w:hAnsi="Bookman Old Style"/>
          <w:sz w:val="24"/>
          <w:szCs w:val="24"/>
        </w:rPr>
        <w:t>dari</w:t>
      </w:r>
      <w:r w:rsidR="00A954D0">
        <w:rPr>
          <w:rFonts w:ascii="Bookman Old Style" w:hAnsi="Bookman Old Style"/>
          <w:sz w:val="24"/>
          <w:szCs w:val="24"/>
        </w:rPr>
        <w:t xml:space="preserve"> </w:t>
      </w:r>
      <w:r w:rsidRPr="001C416D">
        <w:rPr>
          <w:rFonts w:ascii="Bookman Old Style" w:hAnsi="Bookman Old Style"/>
          <w:sz w:val="24"/>
          <w:szCs w:val="24"/>
        </w:rPr>
        <w:t>total</w:t>
      </w:r>
      <w:r w:rsidR="00A954D0">
        <w:rPr>
          <w:rFonts w:ascii="Bookman Old Style" w:hAnsi="Bookman Old Style"/>
          <w:sz w:val="24"/>
          <w:szCs w:val="24"/>
        </w:rPr>
        <w:t xml:space="preserve"> </w:t>
      </w:r>
      <w:r w:rsidRPr="001C416D">
        <w:rPr>
          <w:rFonts w:ascii="Bookman Old Style" w:hAnsi="Bookman Old Style"/>
          <w:sz w:val="24"/>
          <w:szCs w:val="24"/>
        </w:rPr>
        <w:t>belanja</w:t>
      </w:r>
      <w:r w:rsidR="00A954D0">
        <w:rPr>
          <w:rFonts w:ascii="Bookman Old Style" w:hAnsi="Bookman Old Style"/>
          <w:sz w:val="24"/>
          <w:szCs w:val="24"/>
        </w:rPr>
        <w:t xml:space="preserve"> </w:t>
      </w:r>
      <w:r w:rsidRPr="001C416D">
        <w:rPr>
          <w:rFonts w:ascii="Bookman Old Style" w:hAnsi="Bookman Old Style"/>
          <w:sz w:val="24"/>
          <w:szCs w:val="24"/>
        </w:rPr>
        <w:t>daerah</w:t>
      </w:r>
      <w:r w:rsidR="00A954D0">
        <w:rPr>
          <w:rFonts w:ascii="Bookman Old Style" w:hAnsi="Bookman Old Style"/>
          <w:sz w:val="24"/>
          <w:szCs w:val="24"/>
        </w:rPr>
        <w:t xml:space="preserve"> </w:t>
      </w:r>
      <w:r w:rsidRPr="001C416D">
        <w:rPr>
          <w:rFonts w:ascii="Bookman Old Style" w:hAnsi="Bookman Old Style"/>
          <w:sz w:val="24"/>
          <w:szCs w:val="24"/>
        </w:rPr>
        <w:t>dalam</w:t>
      </w:r>
      <w:r w:rsidR="00A954D0">
        <w:rPr>
          <w:rFonts w:ascii="Bookman Old Style" w:hAnsi="Bookman Old Style"/>
          <w:sz w:val="24"/>
          <w:szCs w:val="24"/>
        </w:rPr>
        <w:t xml:space="preserve"> </w:t>
      </w:r>
      <w:r w:rsidRPr="001C416D">
        <w:rPr>
          <w:rFonts w:ascii="Bookman Old Style" w:hAnsi="Bookman Old Style"/>
          <w:sz w:val="24"/>
          <w:szCs w:val="24"/>
        </w:rPr>
        <w:t>Rancangan</w:t>
      </w:r>
      <w:r w:rsidR="00A954D0">
        <w:rPr>
          <w:rFonts w:ascii="Bookman Old Style" w:hAnsi="Bookman Old Style"/>
          <w:sz w:val="24"/>
          <w:szCs w:val="24"/>
        </w:rPr>
        <w:t xml:space="preserve"> </w:t>
      </w:r>
      <w:r w:rsidRPr="001C416D">
        <w:rPr>
          <w:rFonts w:ascii="Bookman Old Style" w:hAnsi="Bookman Old Style"/>
          <w:sz w:val="24"/>
          <w:szCs w:val="24"/>
        </w:rPr>
        <w:t>Peraturan</w:t>
      </w:r>
      <w:r w:rsidR="00A954D0">
        <w:rPr>
          <w:rFonts w:ascii="Bookman Old Style" w:hAnsi="Bookman Old Style"/>
          <w:sz w:val="24"/>
          <w:szCs w:val="24"/>
        </w:rPr>
        <w:t xml:space="preserve"> </w:t>
      </w:r>
      <w:r w:rsidRPr="001C416D">
        <w:rPr>
          <w:rFonts w:ascii="Bookman Old Style" w:hAnsi="Bookman Old Style"/>
          <w:sz w:val="24"/>
          <w:szCs w:val="24"/>
        </w:rPr>
        <w:t>Daerah</w:t>
      </w:r>
      <w:r w:rsidR="00A954D0">
        <w:rPr>
          <w:rFonts w:ascii="Bookman Old Style" w:hAnsi="Bookman Old Style"/>
          <w:sz w:val="24"/>
          <w:szCs w:val="24"/>
        </w:rPr>
        <w:t xml:space="preserve"> </w:t>
      </w:r>
      <w:r w:rsidRPr="001C416D">
        <w:rPr>
          <w:rFonts w:ascii="Bookman Old Style" w:hAnsi="Bookman Old Style"/>
          <w:sz w:val="24"/>
          <w:szCs w:val="24"/>
        </w:rPr>
        <w:t>Kota</w:t>
      </w:r>
      <w:r w:rsidR="00A954D0">
        <w:rPr>
          <w:rFonts w:ascii="Bookman Old Style" w:hAnsi="Bookman Old Style"/>
          <w:sz w:val="24"/>
          <w:szCs w:val="24"/>
        </w:rPr>
        <w:t xml:space="preserve"> </w:t>
      </w:r>
      <w:r w:rsidRPr="001C416D">
        <w:rPr>
          <w:rFonts w:ascii="Bookman Old Style" w:hAnsi="Bookman Old Style"/>
          <w:sz w:val="24"/>
          <w:szCs w:val="24"/>
        </w:rPr>
        <w:t>Tangerang</w:t>
      </w:r>
      <w:r w:rsidR="00A954D0">
        <w:rPr>
          <w:rFonts w:ascii="Bookman Old Style" w:hAnsi="Bookman Old Style"/>
          <w:sz w:val="24"/>
          <w:szCs w:val="24"/>
        </w:rPr>
        <w:t xml:space="preserve"> </w:t>
      </w:r>
      <w:r w:rsidRPr="001C416D">
        <w:rPr>
          <w:rFonts w:ascii="Bookman Old Style" w:hAnsi="Bookman Old Style"/>
          <w:sz w:val="24"/>
          <w:szCs w:val="24"/>
        </w:rPr>
        <w:t>tentang</w:t>
      </w:r>
      <w:r w:rsidR="00A954D0">
        <w:rPr>
          <w:rFonts w:ascii="Bookman Old Style" w:hAnsi="Bookman Old Style"/>
          <w:sz w:val="24"/>
          <w:szCs w:val="24"/>
        </w:rPr>
        <w:t xml:space="preserve"> </w:t>
      </w:r>
      <w:r w:rsidRPr="001C416D">
        <w:rPr>
          <w:rFonts w:ascii="Bookman Old Style" w:hAnsi="Bookman Old Style"/>
          <w:sz w:val="24"/>
          <w:szCs w:val="24"/>
        </w:rPr>
        <w:t>APBD</w:t>
      </w:r>
      <w:r w:rsidR="00A954D0">
        <w:rPr>
          <w:rFonts w:ascii="Bookman Old Style" w:hAnsi="Bookman Old Style"/>
          <w:sz w:val="24"/>
          <w:szCs w:val="24"/>
        </w:rPr>
        <w:t xml:space="preserve"> </w:t>
      </w:r>
      <w:r w:rsidRPr="001C416D">
        <w:rPr>
          <w:rFonts w:ascii="Bookman Old Style" w:hAnsi="Bookman Old Style"/>
          <w:sz w:val="24"/>
          <w:szCs w:val="24"/>
        </w:rPr>
        <w:t>Tahun</w:t>
      </w:r>
      <w:r w:rsidR="00A954D0">
        <w:rPr>
          <w:rFonts w:ascii="Bookman Old Style" w:hAnsi="Bookman Old Style"/>
          <w:sz w:val="24"/>
          <w:szCs w:val="24"/>
        </w:rPr>
        <w:t xml:space="preserve"> </w:t>
      </w:r>
      <w:r w:rsidRPr="001C416D">
        <w:rPr>
          <w:rFonts w:ascii="Bookman Old Style" w:hAnsi="Bookman Old Style"/>
          <w:sz w:val="24"/>
          <w:szCs w:val="24"/>
        </w:rPr>
        <w:t>Anggaran</w:t>
      </w:r>
      <w:r w:rsidR="00A954D0">
        <w:rPr>
          <w:rFonts w:ascii="Bookman Old Style" w:hAnsi="Bookman Old Style"/>
          <w:sz w:val="24"/>
          <w:szCs w:val="24"/>
        </w:rPr>
        <w:t xml:space="preserve"> </w:t>
      </w:r>
      <w:r w:rsidRPr="001C416D">
        <w:rPr>
          <w:rFonts w:ascii="Bookman Old Style" w:hAnsi="Bookman Old Style"/>
          <w:sz w:val="24"/>
          <w:szCs w:val="24"/>
        </w:rPr>
        <w:t>2025,</w:t>
      </w:r>
      <w:r w:rsidR="00A954D0">
        <w:rPr>
          <w:rFonts w:ascii="Bookman Old Style" w:hAnsi="Bookman Old Style"/>
          <w:sz w:val="24"/>
          <w:szCs w:val="24"/>
        </w:rPr>
        <w:t xml:space="preserve"> </w:t>
      </w:r>
      <w:r w:rsidRPr="00272464">
        <w:rPr>
          <w:rFonts w:ascii="Bookman Old Style" w:hAnsi="Bookman Old Style"/>
          <w:sz w:val="24"/>
          <w:szCs w:val="24"/>
        </w:rPr>
        <w:t>yang</w:t>
      </w:r>
      <w:r w:rsidR="00A954D0">
        <w:rPr>
          <w:rFonts w:ascii="Bookman Old Style" w:hAnsi="Bookman Old Style"/>
          <w:sz w:val="24"/>
          <w:szCs w:val="24"/>
        </w:rPr>
        <w:t xml:space="preserve"> </w:t>
      </w:r>
      <w:r w:rsidRPr="00272464">
        <w:rPr>
          <w:rFonts w:ascii="Bookman Old Style" w:hAnsi="Bookman Old Style"/>
          <w:sz w:val="24"/>
          <w:szCs w:val="24"/>
        </w:rPr>
        <w:t>diuraikan</w:t>
      </w:r>
      <w:r w:rsidR="00A954D0">
        <w:rPr>
          <w:rFonts w:ascii="Bookman Old Style" w:hAnsi="Bookman Old Style"/>
          <w:sz w:val="24"/>
          <w:szCs w:val="24"/>
        </w:rPr>
        <w:t xml:space="preserve"> </w:t>
      </w:r>
      <w:r w:rsidRPr="00272464">
        <w:rPr>
          <w:rFonts w:ascii="Bookman Old Style" w:hAnsi="Bookman Old Style"/>
          <w:sz w:val="24"/>
          <w:szCs w:val="24"/>
        </w:rPr>
        <w:t>ke</w:t>
      </w:r>
      <w:r w:rsidR="00A954D0">
        <w:rPr>
          <w:rFonts w:ascii="Bookman Old Style" w:hAnsi="Bookman Old Style"/>
          <w:sz w:val="24"/>
          <w:szCs w:val="24"/>
        </w:rPr>
        <w:t xml:space="preserve"> </w:t>
      </w:r>
      <w:r w:rsidRPr="00272464">
        <w:rPr>
          <w:rFonts w:ascii="Bookman Old Style" w:hAnsi="Bookman Old Style"/>
          <w:sz w:val="24"/>
          <w:szCs w:val="24"/>
        </w:rPr>
        <w:t>dalam</w:t>
      </w:r>
      <w:r w:rsidR="00A954D0">
        <w:rPr>
          <w:rFonts w:ascii="Bookman Old Style" w:hAnsi="Bookman Old Style"/>
          <w:sz w:val="24"/>
          <w:szCs w:val="24"/>
        </w:rPr>
        <w:t xml:space="preserve"> </w:t>
      </w:r>
      <w:r w:rsidRPr="00272464">
        <w:rPr>
          <w:rFonts w:ascii="Bookman Old Style" w:hAnsi="Bookman Old Style"/>
          <w:sz w:val="24"/>
          <w:szCs w:val="24"/>
        </w:rPr>
        <w:t>rincian</w:t>
      </w:r>
      <w:r w:rsidR="00A954D0">
        <w:rPr>
          <w:rFonts w:ascii="Bookman Old Style" w:hAnsi="Bookman Old Style"/>
          <w:sz w:val="24"/>
          <w:szCs w:val="24"/>
        </w:rPr>
        <w:t xml:space="preserve"> </w:t>
      </w:r>
      <w:r w:rsidRPr="00272464">
        <w:rPr>
          <w:rFonts w:ascii="Bookman Old Style" w:hAnsi="Bookman Old Style"/>
          <w:sz w:val="24"/>
          <w:szCs w:val="24"/>
        </w:rPr>
        <w:t>objek</w:t>
      </w:r>
      <w:r w:rsidRPr="00272464">
        <w:rPr>
          <w:rFonts w:ascii="Bookman Old Style" w:hAnsi="Bookman Old Style"/>
          <w:sz w:val="24"/>
          <w:szCs w:val="24"/>
          <w:lang w:val="en-US"/>
        </w:rPr>
        <w:t>:</w:t>
      </w:r>
    </w:p>
    <w:p w14:paraId="5645E189" w14:textId="36196EE2" w:rsidR="00515C3A" w:rsidRPr="001C416D" w:rsidRDefault="00515C3A" w:rsidP="00154790">
      <w:pPr>
        <w:pStyle w:val="ListParagraph"/>
        <w:numPr>
          <w:ilvl w:val="0"/>
          <w:numId w:val="205"/>
        </w:numPr>
        <w:spacing w:before="60" w:after="0" w:line="276" w:lineRule="auto"/>
        <w:ind w:hanging="438"/>
        <w:contextualSpacing w:val="0"/>
        <w:jc w:val="both"/>
        <w:rPr>
          <w:rFonts w:ascii="Bookman Old Style" w:hAnsi="Bookman Old Style"/>
          <w:sz w:val="24"/>
          <w:szCs w:val="24"/>
        </w:rPr>
      </w:pPr>
      <w:r w:rsidRPr="001C416D">
        <w:rPr>
          <w:rFonts w:ascii="Bookman Old Style" w:hAnsi="Bookman Old Style"/>
          <w:sz w:val="24"/>
          <w:szCs w:val="24"/>
        </w:rPr>
        <w:t>Belanja</w:t>
      </w:r>
      <w:r w:rsidR="00A954D0">
        <w:rPr>
          <w:rFonts w:ascii="Bookman Old Style" w:hAnsi="Bookman Old Style"/>
          <w:sz w:val="24"/>
          <w:szCs w:val="24"/>
        </w:rPr>
        <w:t xml:space="preserve"> </w:t>
      </w:r>
      <w:r w:rsidRPr="001C416D">
        <w:rPr>
          <w:rFonts w:ascii="Bookman Old Style" w:hAnsi="Bookman Old Style"/>
          <w:sz w:val="24"/>
          <w:szCs w:val="24"/>
        </w:rPr>
        <w:t>Modal</w:t>
      </w:r>
      <w:r w:rsidR="00A954D0">
        <w:rPr>
          <w:rFonts w:ascii="Bookman Old Style" w:hAnsi="Bookman Old Style"/>
          <w:sz w:val="24"/>
          <w:szCs w:val="24"/>
        </w:rPr>
        <w:t xml:space="preserve"> </w:t>
      </w:r>
      <w:r w:rsidRPr="001C416D">
        <w:rPr>
          <w:rFonts w:ascii="Bookman Old Style" w:hAnsi="Bookman Old Style"/>
          <w:sz w:val="24"/>
          <w:szCs w:val="24"/>
        </w:rPr>
        <w:t>Alat</w:t>
      </w:r>
      <w:r w:rsidR="00A954D0">
        <w:rPr>
          <w:rFonts w:ascii="Bookman Old Style" w:hAnsi="Bookman Old Style"/>
          <w:sz w:val="24"/>
          <w:szCs w:val="24"/>
        </w:rPr>
        <w:t xml:space="preserve"> </w:t>
      </w:r>
      <w:r w:rsidRPr="001C416D">
        <w:rPr>
          <w:rFonts w:ascii="Bookman Old Style" w:hAnsi="Bookman Old Style"/>
          <w:sz w:val="24"/>
          <w:szCs w:val="24"/>
        </w:rPr>
        <w:t>Angkutan</w:t>
      </w:r>
      <w:r w:rsidR="00A954D0">
        <w:rPr>
          <w:rFonts w:ascii="Bookman Old Style" w:hAnsi="Bookman Old Style"/>
          <w:sz w:val="24"/>
          <w:szCs w:val="24"/>
        </w:rPr>
        <w:t xml:space="preserve"> </w:t>
      </w:r>
      <w:r w:rsidRPr="001C416D">
        <w:rPr>
          <w:rFonts w:ascii="Bookman Old Style" w:hAnsi="Bookman Old Style"/>
          <w:sz w:val="24"/>
          <w:szCs w:val="24"/>
        </w:rPr>
        <w:t>Darat</w:t>
      </w:r>
      <w:r w:rsidR="00A954D0">
        <w:rPr>
          <w:rFonts w:ascii="Bookman Old Style" w:hAnsi="Bookman Old Style"/>
          <w:sz w:val="24"/>
          <w:szCs w:val="24"/>
        </w:rPr>
        <w:t xml:space="preserve"> </w:t>
      </w:r>
      <w:r w:rsidRPr="001C416D">
        <w:rPr>
          <w:rFonts w:ascii="Bookman Old Style" w:hAnsi="Bookman Old Style"/>
          <w:sz w:val="24"/>
          <w:szCs w:val="24"/>
        </w:rPr>
        <w:t>Bermotor</w:t>
      </w:r>
      <w:r w:rsidR="00A954D0">
        <w:rPr>
          <w:rFonts w:ascii="Bookman Old Style" w:hAnsi="Bookman Old Style"/>
          <w:sz w:val="24"/>
          <w:szCs w:val="24"/>
        </w:rPr>
        <w:t xml:space="preserve"> </w:t>
      </w:r>
      <w:r w:rsidRPr="001C416D">
        <w:rPr>
          <w:rFonts w:ascii="Bookman Old Style" w:hAnsi="Bookman Old Style"/>
          <w:sz w:val="24"/>
          <w:szCs w:val="24"/>
        </w:rPr>
        <w:t>Rp42.257.049.300,00;</w:t>
      </w:r>
    </w:p>
    <w:p w14:paraId="51EA2401" w14:textId="7504F610" w:rsidR="00515C3A" w:rsidRDefault="00515C3A" w:rsidP="00154790">
      <w:pPr>
        <w:pStyle w:val="ListParagraph"/>
        <w:numPr>
          <w:ilvl w:val="0"/>
          <w:numId w:val="205"/>
        </w:numPr>
        <w:spacing w:before="60" w:after="0" w:line="276" w:lineRule="auto"/>
        <w:ind w:hanging="438"/>
        <w:contextualSpacing w:val="0"/>
        <w:jc w:val="both"/>
        <w:rPr>
          <w:rFonts w:ascii="Bookman Old Style" w:hAnsi="Bookman Old Style"/>
          <w:sz w:val="24"/>
          <w:szCs w:val="24"/>
        </w:rPr>
      </w:pPr>
      <w:r w:rsidRPr="001C416D">
        <w:rPr>
          <w:rFonts w:ascii="Bookman Old Style" w:hAnsi="Bookman Old Style"/>
          <w:sz w:val="24"/>
          <w:szCs w:val="24"/>
        </w:rPr>
        <w:t>Belanja</w:t>
      </w:r>
      <w:r w:rsidR="00A954D0">
        <w:rPr>
          <w:rFonts w:ascii="Bookman Old Style" w:hAnsi="Bookman Old Style"/>
          <w:sz w:val="24"/>
          <w:szCs w:val="24"/>
        </w:rPr>
        <w:t xml:space="preserve"> </w:t>
      </w:r>
      <w:r w:rsidRPr="001C416D">
        <w:rPr>
          <w:rFonts w:ascii="Bookman Old Style" w:hAnsi="Bookman Old Style"/>
          <w:sz w:val="24"/>
          <w:szCs w:val="24"/>
        </w:rPr>
        <w:t>Modal</w:t>
      </w:r>
      <w:r w:rsidR="00A954D0">
        <w:rPr>
          <w:rFonts w:ascii="Bookman Old Style" w:hAnsi="Bookman Old Style"/>
          <w:sz w:val="24"/>
          <w:szCs w:val="24"/>
        </w:rPr>
        <w:t xml:space="preserve"> </w:t>
      </w:r>
      <w:r w:rsidRPr="001C416D">
        <w:rPr>
          <w:rFonts w:ascii="Bookman Old Style" w:hAnsi="Bookman Old Style"/>
          <w:sz w:val="24"/>
          <w:szCs w:val="24"/>
        </w:rPr>
        <w:t>Alat</w:t>
      </w:r>
      <w:r w:rsidR="00A954D0">
        <w:rPr>
          <w:rFonts w:ascii="Bookman Old Style" w:hAnsi="Bookman Old Style"/>
          <w:sz w:val="24"/>
          <w:szCs w:val="24"/>
        </w:rPr>
        <w:t xml:space="preserve"> </w:t>
      </w:r>
      <w:r w:rsidRPr="001C416D">
        <w:rPr>
          <w:rFonts w:ascii="Bookman Old Style" w:hAnsi="Bookman Old Style"/>
          <w:sz w:val="24"/>
          <w:szCs w:val="24"/>
        </w:rPr>
        <w:t>Angkutan</w:t>
      </w:r>
      <w:r w:rsidR="00A954D0">
        <w:rPr>
          <w:rFonts w:ascii="Bookman Old Style" w:hAnsi="Bookman Old Style"/>
          <w:sz w:val="24"/>
          <w:szCs w:val="24"/>
        </w:rPr>
        <w:t xml:space="preserve"> </w:t>
      </w:r>
      <w:r w:rsidRPr="001C416D">
        <w:rPr>
          <w:rFonts w:ascii="Bookman Old Style" w:hAnsi="Bookman Old Style"/>
          <w:sz w:val="24"/>
          <w:szCs w:val="24"/>
        </w:rPr>
        <w:t>Darat</w:t>
      </w:r>
      <w:r w:rsidR="00A954D0">
        <w:rPr>
          <w:rFonts w:ascii="Bookman Old Style" w:hAnsi="Bookman Old Style"/>
          <w:sz w:val="24"/>
          <w:szCs w:val="24"/>
        </w:rPr>
        <w:t xml:space="preserve"> </w:t>
      </w:r>
      <w:r w:rsidRPr="001C416D">
        <w:rPr>
          <w:rFonts w:ascii="Bookman Old Style" w:hAnsi="Bookman Old Style"/>
          <w:sz w:val="24"/>
          <w:szCs w:val="24"/>
        </w:rPr>
        <w:t>Tak</w:t>
      </w:r>
      <w:r w:rsidR="00A954D0">
        <w:rPr>
          <w:rFonts w:ascii="Bookman Old Style" w:hAnsi="Bookman Old Style"/>
          <w:sz w:val="24"/>
          <w:szCs w:val="24"/>
        </w:rPr>
        <w:t xml:space="preserve"> </w:t>
      </w:r>
      <w:r w:rsidRPr="001C416D">
        <w:rPr>
          <w:rFonts w:ascii="Bookman Old Style" w:hAnsi="Bookman Old Style"/>
          <w:sz w:val="24"/>
          <w:szCs w:val="24"/>
        </w:rPr>
        <w:t>Bermotor</w:t>
      </w:r>
      <w:r w:rsidR="00A954D0">
        <w:rPr>
          <w:rFonts w:ascii="Bookman Old Style" w:hAnsi="Bookman Old Style"/>
          <w:sz w:val="24"/>
          <w:szCs w:val="24"/>
        </w:rPr>
        <w:t xml:space="preserve"> </w:t>
      </w:r>
      <w:r w:rsidRPr="001C416D">
        <w:rPr>
          <w:rFonts w:ascii="Bookman Old Style" w:hAnsi="Bookman Old Style"/>
          <w:sz w:val="24"/>
          <w:szCs w:val="24"/>
        </w:rPr>
        <w:t>Rp</w:t>
      </w:r>
      <w:r w:rsidR="00A954D0">
        <w:t xml:space="preserve"> </w:t>
      </w:r>
      <w:r w:rsidRPr="001C416D">
        <w:rPr>
          <w:rFonts w:ascii="Bookman Old Style" w:hAnsi="Bookman Old Style"/>
          <w:sz w:val="24"/>
          <w:szCs w:val="24"/>
        </w:rPr>
        <w:t>48.111.000,00</w:t>
      </w:r>
      <w:r>
        <w:rPr>
          <w:rFonts w:ascii="Bookman Old Style" w:hAnsi="Bookman Old Style"/>
          <w:sz w:val="24"/>
          <w:szCs w:val="24"/>
        </w:rPr>
        <w:t>;</w:t>
      </w:r>
    </w:p>
    <w:p w14:paraId="1E740F09" w14:textId="5424F0C5" w:rsidR="00515C3A" w:rsidRDefault="00515C3A" w:rsidP="00154790">
      <w:pPr>
        <w:pStyle w:val="ListParagraph"/>
        <w:numPr>
          <w:ilvl w:val="0"/>
          <w:numId w:val="205"/>
        </w:numPr>
        <w:spacing w:before="60" w:after="0" w:line="276" w:lineRule="auto"/>
        <w:ind w:hanging="438"/>
        <w:contextualSpacing w:val="0"/>
        <w:jc w:val="both"/>
        <w:rPr>
          <w:rFonts w:ascii="Bookman Old Style" w:hAnsi="Bookman Old Style"/>
          <w:sz w:val="24"/>
          <w:szCs w:val="24"/>
        </w:rPr>
      </w:pPr>
      <w:r w:rsidRPr="001C416D">
        <w:rPr>
          <w:rFonts w:ascii="Bookman Old Style" w:hAnsi="Bookman Old Style"/>
          <w:sz w:val="24"/>
          <w:szCs w:val="24"/>
        </w:rPr>
        <w:t>Belanja</w:t>
      </w:r>
      <w:r w:rsidR="00A954D0">
        <w:rPr>
          <w:rFonts w:ascii="Bookman Old Style" w:hAnsi="Bookman Old Style"/>
          <w:sz w:val="24"/>
          <w:szCs w:val="24"/>
        </w:rPr>
        <w:t xml:space="preserve"> </w:t>
      </w:r>
      <w:r w:rsidRPr="001C416D">
        <w:rPr>
          <w:rFonts w:ascii="Bookman Old Style" w:hAnsi="Bookman Old Style"/>
          <w:sz w:val="24"/>
          <w:szCs w:val="24"/>
        </w:rPr>
        <w:t>Modal</w:t>
      </w:r>
      <w:r w:rsidR="00A954D0">
        <w:rPr>
          <w:rFonts w:ascii="Bookman Old Style" w:hAnsi="Bookman Old Style"/>
          <w:sz w:val="24"/>
          <w:szCs w:val="24"/>
        </w:rPr>
        <w:t xml:space="preserve"> </w:t>
      </w:r>
      <w:r w:rsidRPr="001C416D">
        <w:rPr>
          <w:rFonts w:ascii="Bookman Old Style" w:hAnsi="Bookman Old Style"/>
          <w:sz w:val="24"/>
          <w:szCs w:val="24"/>
        </w:rPr>
        <w:t>Alat</w:t>
      </w:r>
      <w:r w:rsidR="00A954D0">
        <w:rPr>
          <w:rFonts w:ascii="Bookman Old Style" w:hAnsi="Bookman Old Style"/>
          <w:sz w:val="24"/>
          <w:szCs w:val="24"/>
        </w:rPr>
        <w:t xml:space="preserve"> </w:t>
      </w:r>
      <w:r w:rsidRPr="001C416D">
        <w:rPr>
          <w:rFonts w:ascii="Bookman Old Style" w:hAnsi="Bookman Old Style"/>
          <w:sz w:val="24"/>
          <w:szCs w:val="24"/>
        </w:rPr>
        <w:t>Angkutan</w:t>
      </w:r>
      <w:r w:rsidR="00A954D0">
        <w:rPr>
          <w:rFonts w:ascii="Bookman Old Style" w:hAnsi="Bookman Old Style"/>
          <w:sz w:val="24"/>
          <w:szCs w:val="24"/>
        </w:rPr>
        <w:t xml:space="preserve"> </w:t>
      </w:r>
      <w:r w:rsidRPr="001C416D">
        <w:rPr>
          <w:rFonts w:ascii="Bookman Old Style" w:hAnsi="Bookman Old Style"/>
          <w:sz w:val="24"/>
          <w:szCs w:val="24"/>
        </w:rPr>
        <w:t>Apung</w:t>
      </w:r>
      <w:r w:rsidR="00A954D0">
        <w:rPr>
          <w:rFonts w:ascii="Bookman Old Style" w:hAnsi="Bookman Old Style"/>
          <w:sz w:val="24"/>
          <w:szCs w:val="24"/>
        </w:rPr>
        <w:t xml:space="preserve"> </w:t>
      </w:r>
      <w:r w:rsidRPr="001C416D">
        <w:rPr>
          <w:rFonts w:ascii="Bookman Old Style" w:hAnsi="Bookman Old Style"/>
          <w:sz w:val="24"/>
          <w:szCs w:val="24"/>
        </w:rPr>
        <w:t>Tak</w:t>
      </w:r>
      <w:r w:rsidR="00A954D0">
        <w:rPr>
          <w:rFonts w:ascii="Bookman Old Style" w:hAnsi="Bookman Old Style"/>
          <w:sz w:val="24"/>
          <w:szCs w:val="24"/>
        </w:rPr>
        <w:t xml:space="preserve"> </w:t>
      </w:r>
      <w:r w:rsidRPr="001C416D">
        <w:rPr>
          <w:rFonts w:ascii="Bookman Old Style" w:hAnsi="Bookman Old Style"/>
          <w:sz w:val="24"/>
          <w:szCs w:val="24"/>
        </w:rPr>
        <w:t>Bermotor</w:t>
      </w:r>
      <w:r w:rsidR="00A954D0">
        <w:rPr>
          <w:rFonts w:ascii="Bookman Old Style" w:hAnsi="Bookman Old Style"/>
          <w:sz w:val="24"/>
          <w:szCs w:val="24"/>
        </w:rPr>
        <w:t xml:space="preserve"> </w:t>
      </w:r>
      <w:r w:rsidRPr="001C416D">
        <w:rPr>
          <w:rFonts w:ascii="Bookman Old Style" w:hAnsi="Bookman Old Style"/>
          <w:sz w:val="24"/>
          <w:szCs w:val="24"/>
        </w:rPr>
        <w:t>Rp90.000.000,00</w:t>
      </w:r>
      <w:r w:rsidR="00154790" w:rsidRPr="00154790">
        <w:rPr>
          <w:rFonts w:ascii="Bookman Old Style" w:hAnsi="Bookman Old Style"/>
          <w:sz w:val="24"/>
          <w:szCs w:val="24"/>
          <w:lang w:val="sv-FI"/>
        </w:rPr>
        <w:t>.</w:t>
      </w:r>
    </w:p>
    <w:p w14:paraId="6571897C" w14:textId="0425617C" w:rsidR="00515C3A" w:rsidRPr="0054508D" w:rsidRDefault="00515C3A" w:rsidP="00154790">
      <w:pPr>
        <w:pStyle w:val="ListParagraph"/>
        <w:numPr>
          <w:ilvl w:val="0"/>
          <w:numId w:val="148"/>
        </w:numPr>
        <w:spacing w:before="60" w:after="0" w:line="276" w:lineRule="auto"/>
        <w:ind w:left="2268" w:hanging="567"/>
        <w:contextualSpacing w:val="0"/>
        <w:jc w:val="both"/>
        <w:rPr>
          <w:rFonts w:ascii="Bookman Old Style" w:hAnsi="Bookman Old Style"/>
          <w:sz w:val="24"/>
          <w:szCs w:val="24"/>
        </w:rPr>
      </w:pPr>
      <w:r w:rsidRPr="0054508D">
        <w:rPr>
          <w:rFonts w:ascii="Bookman Old Style" w:hAnsi="Bookman Old Style"/>
          <w:sz w:val="24"/>
          <w:szCs w:val="24"/>
        </w:rPr>
        <w:t>Belanja</w:t>
      </w:r>
      <w:r w:rsidR="00A954D0">
        <w:rPr>
          <w:rFonts w:ascii="Bookman Old Style" w:hAnsi="Bookman Old Style"/>
          <w:sz w:val="24"/>
          <w:szCs w:val="24"/>
        </w:rPr>
        <w:t xml:space="preserve"> </w:t>
      </w:r>
      <w:r w:rsidRPr="0054508D">
        <w:rPr>
          <w:rFonts w:ascii="Bookman Old Style" w:hAnsi="Bookman Old Style"/>
          <w:sz w:val="24"/>
          <w:szCs w:val="24"/>
        </w:rPr>
        <w:t>Modal</w:t>
      </w:r>
      <w:r w:rsidR="00A954D0">
        <w:rPr>
          <w:rFonts w:ascii="Bookman Old Style" w:hAnsi="Bookman Old Style"/>
          <w:sz w:val="24"/>
          <w:szCs w:val="24"/>
        </w:rPr>
        <w:t xml:space="preserve"> </w:t>
      </w:r>
      <w:r w:rsidRPr="0054508D">
        <w:rPr>
          <w:rFonts w:ascii="Bookman Old Style" w:hAnsi="Bookman Old Style"/>
          <w:sz w:val="24"/>
          <w:szCs w:val="24"/>
        </w:rPr>
        <w:t>Alat</w:t>
      </w:r>
      <w:r w:rsidR="00A954D0">
        <w:rPr>
          <w:rFonts w:ascii="Bookman Old Style" w:hAnsi="Bookman Old Style"/>
          <w:sz w:val="24"/>
          <w:szCs w:val="24"/>
        </w:rPr>
        <w:t xml:space="preserve"> </w:t>
      </w:r>
      <w:r w:rsidRPr="0054508D">
        <w:rPr>
          <w:rFonts w:ascii="Bookman Old Style" w:hAnsi="Bookman Old Style"/>
          <w:sz w:val="24"/>
          <w:szCs w:val="24"/>
        </w:rPr>
        <w:t>Bengkel</w:t>
      </w:r>
      <w:r w:rsidR="00A954D0">
        <w:rPr>
          <w:rFonts w:ascii="Bookman Old Style" w:hAnsi="Bookman Old Style"/>
          <w:sz w:val="24"/>
          <w:szCs w:val="24"/>
        </w:rPr>
        <w:t xml:space="preserve"> </w:t>
      </w:r>
      <w:r w:rsidRPr="0054508D">
        <w:rPr>
          <w:rFonts w:ascii="Bookman Old Style" w:hAnsi="Bookman Old Style"/>
          <w:sz w:val="24"/>
          <w:szCs w:val="24"/>
        </w:rPr>
        <w:t>dan</w:t>
      </w:r>
      <w:r w:rsidR="00A954D0">
        <w:rPr>
          <w:rFonts w:ascii="Bookman Old Style" w:hAnsi="Bookman Old Style"/>
          <w:sz w:val="24"/>
          <w:szCs w:val="24"/>
        </w:rPr>
        <w:t xml:space="preserve"> </w:t>
      </w:r>
      <w:r w:rsidRPr="0054508D">
        <w:rPr>
          <w:rFonts w:ascii="Bookman Old Style" w:hAnsi="Bookman Old Style"/>
          <w:sz w:val="24"/>
          <w:szCs w:val="24"/>
        </w:rPr>
        <w:t>Alat</w:t>
      </w:r>
      <w:r w:rsidR="00A954D0">
        <w:rPr>
          <w:rFonts w:ascii="Bookman Old Style" w:hAnsi="Bookman Old Style"/>
          <w:sz w:val="24"/>
          <w:szCs w:val="24"/>
        </w:rPr>
        <w:t xml:space="preserve"> </w:t>
      </w:r>
      <w:r w:rsidRPr="0054508D">
        <w:rPr>
          <w:rFonts w:ascii="Bookman Old Style" w:hAnsi="Bookman Old Style"/>
          <w:sz w:val="24"/>
          <w:szCs w:val="24"/>
        </w:rPr>
        <w:t>Ukur</w:t>
      </w:r>
      <w:r w:rsidR="00A954D0">
        <w:rPr>
          <w:rFonts w:ascii="Bookman Old Style" w:hAnsi="Bookman Old Style"/>
          <w:sz w:val="24"/>
          <w:szCs w:val="24"/>
        </w:rPr>
        <w:t xml:space="preserve"> </w:t>
      </w:r>
      <w:r w:rsidRPr="0054508D">
        <w:rPr>
          <w:rFonts w:ascii="Bookman Old Style" w:hAnsi="Bookman Old Style"/>
          <w:sz w:val="24"/>
          <w:szCs w:val="24"/>
        </w:rPr>
        <w:t>Rp2.571.157.300,00</w:t>
      </w:r>
      <w:r w:rsidR="00A954D0">
        <w:rPr>
          <w:rFonts w:ascii="Bookman Old Style" w:hAnsi="Bookman Old Style"/>
          <w:sz w:val="24"/>
          <w:szCs w:val="24"/>
        </w:rPr>
        <w:t xml:space="preserve"> </w:t>
      </w:r>
      <w:r w:rsidRPr="0054508D">
        <w:rPr>
          <w:rFonts w:ascii="Bookman Old Style" w:hAnsi="Bookman Old Style"/>
          <w:sz w:val="24"/>
          <w:szCs w:val="24"/>
        </w:rPr>
        <w:t>atau</w:t>
      </w:r>
      <w:r w:rsidR="00A954D0">
        <w:rPr>
          <w:rFonts w:ascii="Bookman Old Style" w:hAnsi="Bookman Old Style"/>
          <w:sz w:val="24"/>
          <w:szCs w:val="24"/>
        </w:rPr>
        <w:t xml:space="preserve"> </w:t>
      </w:r>
      <w:r w:rsidRPr="0054508D">
        <w:rPr>
          <w:rFonts w:ascii="Bookman Old Style" w:hAnsi="Bookman Old Style"/>
          <w:sz w:val="24"/>
          <w:szCs w:val="24"/>
        </w:rPr>
        <w:t>0,02%</w:t>
      </w:r>
      <w:r w:rsidR="00A954D0">
        <w:rPr>
          <w:rFonts w:ascii="Bookman Old Style" w:hAnsi="Bookman Old Style"/>
          <w:sz w:val="24"/>
          <w:szCs w:val="24"/>
        </w:rPr>
        <w:t xml:space="preserve"> </w:t>
      </w:r>
      <w:r w:rsidRPr="0054508D">
        <w:rPr>
          <w:rFonts w:ascii="Bookman Old Style" w:hAnsi="Bookman Old Style"/>
          <w:sz w:val="24"/>
          <w:szCs w:val="24"/>
        </w:rPr>
        <w:t>dari</w:t>
      </w:r>
      <w:r w:rsidR="00A954D0">
        <w:rPr>
          <w:rFonts w:ascii="Bookman Old Style" w:hAnsi="Bookman Old Style"/>
          <w:sz w:val="24"/>
          <w:szCs w:val="24"/>
        </w:rPr>
        <w:t xml:space="preserve"> </w:t>
      </w:r>
      <w:r w:rsidRPr="0054508D">
        <w:rPr>
          <w:rFonts w:ascii="Bookman Old Style" w:hAnsi="Bookman Old Style"/>
          <w:sz w:val="24"/>
          <w:szCs w:val="24"/>
        </w:rPr>
        <w:t>total</w:t>
      </w:r>
      <w:r w:rsidR="00A954D0">
        <w:rPr>
          <w:rFonts w:ascii="Bookman Old Style" w:hAnsi="Bookman Old Style"/>
          <w:sz w:val="24"/>
          <w:szCs w:val="24"/>
        </w:rPr>
        <w:t xml:space="preserve"> </w:t>
      </w:r>
      <w:r w:rsidRPr="0054508D">
        <w:rPr>
          <w:rFonts w:ascii="Bookman Old Style" w:hAnsi="Bookman Old Style"/>
          <w:sz w:val="24"/>
          <w:szCs w:val="24"/>
        </w:rPr>
        <w:t>belanja</w:t>
      </w:r>
      <w:r w:rsidR="00A954D0">
        <w:rPr>
          <w:rFonts w:ascii="Bookman Old Style" w:hAnsi="Bookman Old Style"/>
          <w:sz w:val="24"/>
          <w:szCs w:val="24"/>
        </w:rPr>
        <w:t xml:space="preserve"> </w:t>
      </w:r>
      <w:r w:rsidRPr="0054508D">
        <w:rPr>
          <w:rFonts w:ascii="Bookman Old Style" w:hAnsi="Bookman Old Style"/>
          <w:sz w:val="24"/>
          <w:szCs w:val="24"/>
        </w:rPr>
        <w:t>daerah</w:t>
      </w:r>
      <w:r w:rsidR="00A954D0">
        <w:rPr>
          <w:rFonts w:ascii="Bookman Old Style" w:hAnsi="Bookman Old Style"/>
          <w:sz w:val="24"/>
          <w:szCs w:val="24"/>
        </w:rPr>
        <w:t xml:space="preserve"> </w:t>
      </w:r>
      <w:r w:rsidRPr="0054508D">
        <w:rPr>
          <w:rFonts w:ascii="Bookman Old Style" w:hAnsi="Bookman Old Style"/>
          <w:sz w:val="24"/>
          <w:szCs w:val="24"/>
        </w:rPr>
        <w:t>dalam</w:t>
      </w:r>
      <w:r w:rsidR="00A954D0">
        <w:rPr>
          <w:rFonts w:ascii="Bookman Old Style" w:hAnsi="Bookman Old Style"/>
          <w:sz w:val="24"/>
          <w:szCs w:val="24"/>
        </w:rPr>
        <w:t xml:space="preserve"> </w:t>
      </w:r>
      <w:r w:rsidRPr="0054508D">
        <w:rPr>
          <w:rFonts w:ascii="Bookman Old Style" w:hAnsi="Bookman Old Style"/>
          <w:sz w:val="24"/>
          <w:szCs w:val="24"/>
        </w:rPr>
        <w:t>Rancangan</w:t>
      </w:r>
      <w:r w:rsidR="00A954D0">
        <w:rPr>
          <w:rFonts w:ascii="Bookman Old Style" w:hAnsi="Bookman Old Style"/>
          <w:sz w:val="24"/>
          <w:szCs w:val="24"/>
        </w:rPr>
        <w:t xml:space="preserve"> </w:t>
      </w:r>
      <w:r w:rsidRPr="0054508D">
        <w:rPr>
          <w:rFonts w:ascii="Bookman Old Style" w:hAnsi="Bookman Old Style"/>
          <w:sz w:val="24"/>
          <w:szCs w:val="24"/>
        </w:rPr>
        <w:t>Peraturan</w:t>
      </w:r>
      <w:r w:rsidR="00A954D0">
        <w:rPr>
          <w:rFonts w:ascii="Bookman Old Style" w:hAnsi="Bookman Old Style"/>
          <w:sz w:val="24"/>
          <w:szCs w:val="24"/>
        </w:rPr>
        <w:t xml:space="preserve"> </w:t>
      </w:r>
      <w:r w:rsidRPr="0054508D">
        <w:rPr>
          <w:rFonts w:ascii="Bookman Old Style" w:hAnsi="Bookman Old Style"/>
          <w:sz w:val="24"/>
          <w:szCs w:val="24"/>
        </w:rPr>
        <w:t>Daerah</w:t>
      </w:r>
      <w:r w:rsidR="00A954D0">
        <w:rPr>
          <w:rFonts w:ascii="Bookman Old Style" w:hAnsi="Bookman Old Style"/>
          <w:sz w:val="24"/>
          <w:szCs w:val="24"/>
        </w:rPr>
        <w:t xml:space="preserve"> </w:t>
      </w:r>
      <w:r w:rsidRPr="0054508D">
        <w:rPr>
          <w:rFonts w:ascii="Bookman Old Style" w:hAnsi="Bookman Old Style"/>
          <w:sz w:val="24"/>
          <w:szCs w:val="24"/>
        </w:rPr>
        <w:t>Kota</w:t>
      </w:r>
      <w:r w:rsidR="00A954D0">
        <w:rPr>
          <w:rFonts w:ascii="Bookman Old Style" w:hAnsi="Bookman Old Style"/>
          <w:sz w:val="24"/>
          <w:szCs w:val="24"/>
        </w:rPr>
        <w:t xml:space="preserve"> </w:t>
      </w:r>
      <w:r w:rsidRPr="0054508D">
        <w:rPr>
          <w:rFonts w:ascii="Bookman Old Style" w:hAnsi="Bookman Old Style"/>
          <w:sz w:val="24"/>
          <w:szCs w:val="24"/>
        </w:rPr>
        <w:t>Tangerang</w:t>
      </w:r>
      <w:r w:rsidR="00A954D0">
        <w:rPr>
          <w:rFonts w:ascii="Bookman Old Style" w:hAnsi="Bookman Old Style"/>
          <w:sz w:val="24"/>
          <w:szCs w:val="24"/>
        </w:rPr>
        <w:t xml:space="preserve"> </w:t>
      </w:r>
      <w:r w:rsidRPr="0054508D">
        <w:rPr>
          <w:rFonts w:ascii="Bookman Old Style" w:hAnsi="Bookman Old Style"/>
          <w:sz w:val="24"/>
          <w:szCs w:val="24"/>
        </w:rPr>
        <w:t>tentang</w:t>
      </w:r>
      <w:r w:rsidR="00A954D0">
        <w:rPr>
          <w:rFonts w:ascii="Bookman Old Style" w:hAnsi="Bookman Old Style"/>
          <w:sz w:val="24"/>
          <w:szCs w:val="24"/>
        </w:rPr>
        <w:t xml:space="preserve"> </w:t>
      </w:r>
      <w:r w:rsidRPr="0054508D">
        <w:rPr>
          <w:rFonts w:ascii="Bookman Old Style" w:hAnsi="Bookman Old Style"/>
          <w:sz w:val="24"/>
          <w:szCs w:val="24"/>
        </w:rPr>
        <w:t>APBD</w:t>
      </w:r>
      <w:r w:rsidR="00A954D0">
        <w:rPr>
          <w:rFonts w:ascii="Bookman Old Style" w:hAnsi="Bookman Old Style"/>
          <w:sz w:val="24"/>
          <w:szCs w:val="24"/>
        </w:rPr>
        <w:t xml:space="preserve"> </w:t>
      </w:r>
      <w:r w:rsidRPr="0054508D">
        <w:rPr>
          <w:rFonts w:ascii="Bookman Old Style" w:hAnsi="Bookman Old Style"/>
          <w:sz w:val="24"/>
          <w:szCs w:val="24"/>
        </w:rPr>
        <w:t>Tahun</w:t>
      </w:r>
      <w:r w:rsidR="00A954D0">
        <w:rPr>
          <w:rFonts w:ascii="Bookman Old Style" w:hAnsi="Bookman Old Style"/>
          <w:sz w:val="24"/>
          <w:szCs w:val="24"/>
        </w:rPr>
        <w:t xml:space="preserve"> </w:t>
      </w:r>
      <w:r w:rsidRPr="0054508D">
        <w:rPr>
          <w:rFonts w:ascii="Bookman Old Style" w:hAnsi="Bookman Old Style"/>
          <w:sz w:val="24"/>
          <w:szCs w:val="24"/>
        </w:rPr>
        <w:t>Anggaran</w:t>
      </w:r>
      <w:r w:rsidR="00A954D0">
        <w:rPr>
          <w:rFonts w:ascii="Bookman Old Style" w:hAnsi="Bookman Old Style"/>
          <w:sz w:val="24"/>
          <w:szCs w:val="24"/>
        </w:rPr>
        <w:t xml:space="preserve"> </w:t>
      </w:r>
      <w:r w:rsidRPr="0054508D">
        <w:rPr>
          <w:rFonts w:ascii="Bookman Old Style" w:hAnsi="Bookman Old Style"/>
          <w:sz w:val="24"/>
          <w:szCs w:val="24"/>
        </w:rPr>
        <w:t>2025,</w:t>
      </w:r>
      <w:r w:rsidR="00A954D0">
        <w:rPr>
          <w:rFonts w:ascii="Bookman Old Style" w:hAnsi="Bookman Old Style"/>
          <w:sz w:val="24"/>
          <w:szCs w:val="24"/>
        </w:rPr>
        <w:t xml:space="preserve"> </w:t>
      </w:r>
      <w:r w:rsidRPr="0054508D">
        <w:rPr>
          <w:rFonts w:ascii="Bookman Old Style" w:hAnsi="Bookman Old Style"/>
          <w:sz w:val="24"/>
          <w:szCs w:val="24"/>
        </w:rPr>
        <w:t>yang</w:t>
      </w:r>
      <w:r w:rsidR="00A954D0">
        <w:rPr>
          <w:rFonts w:ascii="Bookman Old Style" w:hAnsi="Bookman Old Style"/>
          <w:sz w:val="24"/>
          <w:szCs w:val="24"/>
        </w:rPr>
        <w:t xml:space="preserve"> </w:t>
      </w:r>
      <w:r w:rsidRPr="0054508D">
        <w:rPr>
          <w:rFonts w:ascii="Bookman Old Style" w:hAnsi="Bookman Old Style"/>
          <w:sz w:val="24"/>
          <w:szCs w:val="24"/>
        </w:rPr>
        <w:t>diuraikan</w:t>
      </w:r>
      <w:r w:rsidR="00A954D0">
        <w:rPr>
          <w:rFonts w:ascii="Bookman Old Style" w:hAnsi="Bookman Old Style"/>
          <w:sz w:val="24"/>
          <w:szCs w:val="24"/>
        </w:rPr>
        <w:t xml:space="preserve"> </w:t>
      </w:r>
      <w:r w:rsidRPr="0054508D">
        <w:rPr>
          <w:rFonts w:ascii="Bookman Old Style" w:hAnsi="Bookman Old Style"/>
          <w:sz w:val="24"/>
          <w:szCs w:val="24"/>
        </w:rPr>
        <w:t>ke</w:t>
      </w:r>
      <w:r w:rsidR="00A954D0">
        <w:rPr>
          <w:rFonts w:ascii="Bookman Old Style" w:hAnsi="Bookman Old Style"/>
          <w:sz w:val="24"/>
          <w:szCs w:val="24"/>
        </w:rPr>
        <w:t xml:space="preserve"> </w:t>
      </w:r>
      <w:r w:rsidRPr="0054508D">
        <w:rPr>
          <w:rFonts w:ascii="Bookman Old Style" w:hAnsi="Bookman Old Style"/>
          <w:sz w:val="24"/>
          <w:szCs w:val="24"/>
        </w:rPr>
        <w:t>dalam</w:t>
      </w:r>
      <w:r w:rsidR="00A954D0">
        <w:rPr>
          <w:rFonts w:ascii="Bookman Old Style" w:hAnsi="Bookman Old Style"/>
          <w:sz w:val="24"/>
          <w:szCs w:val="24"/>
        </w:rPr>
        <w:t xml:space="preserve"> </w:t>
      </w:r>
      <w:r w:rsidRPr="0054508D">
        <w:rPr>
          <w:rFonts w:ascii="Bookman Old Style" w:hAnsi="Bookman Old Style"/>
          <w:sz w:val="24"/>
          <w:szCs w:val="24"/>
        </w:rPr>
        <w:t>rincian</w:t>
      </w:r>
      <w:r w:rsidR="00A954D0">
        <w:rPr>
          <w:rFonts w:ascii="Bookman Old Style" w:hAnsi="Bookman Old Style"/>
          <w:sz w:val="24"/>
          <w:szCs w:val="24"/>
        </w:rPr>
        <w:t xml:space="preserve"> </w:t>
      </w:r>
      <w:r w:rsidRPr="0054508D">
        <w:rPr>
          <w:rFonts w:ascii="Bookman Old Style" w:hAnsi="Bookman Old Style"/>
          <w:sz w:val="24"/>
          <w:szCs w:val="24"/>
        </w:rPr>
        <w:t>objek:</w:t>
      </w:r>
    </w:p>
    <w:p w14:paraId="4FB4433F" w14:textId="31450817" w:rsidR="00515C3A" w:rsidRPr="0054508D" w:rsidRDefault="00515C3A" w:rsidP="00154790">
      <w:pPr>
        <w:pStyle w:val="ListParagraph"/>
        <w:numPr>
          <w:ilvl w:val="0"/>
          <w:numId w:val="206"/>
        </w:numPr>
        <w:spacing w:before="60" w:after="0" w:line="276" w:lineRule="auto"/>
        <w:ind w:hanging="438"/>
        <w:contextualSpacing w:val="0"/>
        <w:jc w:val="both"/>
        <w:rPr>
          <w:rFonts w:ascii="Bookman Old Style" w:hAnsi="Bookman Old Style"/>
          <w:sz w:val="24"/>
          <w:szCs w:val="24"/>
        </w:rPr>
      </w:pPr>
      <w:r w:rsidRPr="0054508D">
        <w:rPr>
          <w:rFonts w:ascii="Bookman Old Style" w:hAnsi="Bookman Old Style"/>
          <w:sz w:val="24"/>
          <w:szCs w:val="24"/>
        </w:rPr>
        <w:t>Belanja</w:t>
      </w:r>
      <w:r w:rsidR="00A954D0">
        <w:rPr>
          <w:rFonts w:ascii="Bookman Old Style" w:hAnsi="Bookman Old Style"/>
          <w:sz w:val="24"/>
          <w:szCs w:val="24"/>
        </w:rPr>
        <w:t xml:space="preserve"> </w:t>
      </w:r>
      <w:r w:rsidRPr="0054508D">
        <w:rPr>
          <w:rFonts w:ascii="Bookman Old Style" w:hAnsi="Bookman Old Style"/>
          <w:sz w:val="24"/>
          <w:szCs w:val="24"/>
        </w:rPr>
        <w:t>Modal</w:t>
      </w:r>
      <w:r w:rsidR="00A954D0">
        <w:rPr>
          <w:rFonts w:ascii="Bookman Old Style" w:hAnsi="Bookman Old Style"/>
          <w:sz w:val="24"/>
          <w:szCs w:val="24"/>
        </w:rPr>
        <w:t xml:space="preserve"> </w:t>
      </w:r>
      <w:r w:rsidRPr="0054508D">
        <w:rPr>
          <w:rFonts w:ascii="Bookman Old Style" w:hAnsi="Bookman Old Style"/>
          <w:sz w:val="24"/>
          <w:szCs w:val="24"/>
        </w:rPr>
        <w:t>Alat</w:t>
      </w:r>
      <w:r w:rsidR="00A954D0">
        <w:rPr>
          <w:rFonts w:ascii="Bookman Old Style" w:hAnsi="Bookman Old Style"/>
          <w:sz w:val="24"/>
          <w:szCs w:val="24"/>
        </w:rPr>
        <w:t xml:space="preserve"> </w:t>
      </w:r>
      <w:r w:rsidRPr="0054508D">
        <w:rPr>
          <w:rFonts w:ascii="Bookman Old Style" w:hAnsi="Bookman Old Style"/>
          <w:sz w:val="24"/>
          <w:szCs w:val="24"/>
        </w:rPr>
        <w:t>Bengkel</w:t>
      </w:r>
      <w:r w:rsidR="00A954D0">
        <w:rPr>
          <w:rFonts w:ascii="Bookman Old Style" w:hAnsi="Bookman Old Style"/>
          <w:sz w:val="24"/>
          <w:szCs w:val="24"/>
        </w:rPr>
        <w:t xml:space="preserve"> </w:t>
      </w:r>
      <w:r w:rsidRPr="0054508D">
        <w:rPr>
          <w:rFonts w:ascii="Bookman Old Style" w:hAnsi="Bookman Old Style"/>
          <w:sz w:val="24"/>
          <w:szCs w:val="24"/>
        </w:rPr>
        <w:t>Bermesin</w:t>
      </w:r>
      <w:r w:rsidR="00A954D0">
        <w:rPr>
          <w:rFonts w:ascii="Bookman Old Style" w:hAnsi="Bookman Old Style"/>
          <w:sz w:val="24"/>
          <w:szCs w:val="24"/>
        </w:rPr>
        <w:t xml:space="preserve"> </w:t>
      </w:r>
      <w:r w:rsidRPr="0054508D">
        <w:rPr>
          <w:rFonts w:ascii="Bookman Old Style" w:hAnsi="Bookman Old Style"/>
          <w:sz w:val="24"/>
          <w:szCs w:val="24"/>
        </w:rPr>
        <w:t>Rp2.363.419.800,00;</w:t>
      </w:r>
    </w:p>
    <w:p w14:paraId="5184A2A0" w14:textId="5BB79E8F" w:rsidR="00515C3A" w:rsidRPr="0054508D" w:rsidRDefault="00515C3A" w:rsidP="00154790">
      <w:pPr>
        <w:pStyle w:val="ListParagraph"/>
        <w:numPr>
          <w:ilvl w:val="0"/>
          <w:numId w:val="206"/>
        </w:numPr>
        <w:spacing w:before="60" w:after="0" w:line="276" w:lineRule="auto"/>
        <w:ind w:hanging="438"/>
        <w:contextualSpacing w:val="0"/>
        <w:jc w:val="both"/>
        <w:rPr>
          <w:rFonts w:ascii="Bookman Old Style" w:hAnsi="Bookman Old Style"/>
          <w:sz w:val="24"/>
          <w:szCs w:val="24"/>
        </w:rPr>
      </w:pPr>
      <w:r w:rsidRPr="0054508D">
        <w:rPr>
          <w:rFonts w:ascii="Bookman Old Style" w:hAnsi="Bookman Old Style"/>
          <w:sz w:val="24"/>
          <w:szCs w:val="24"/>
        </w:rPr>
        <w:t>Belanja</w:t>
      </w:r>
      <w:r w:rsidR="00A954D0">
        <w:rPr>
          <w:rFonts w:ascii="Bookman Old Style" w:hAnsi="Bookman Old Style"/>
          <w:sz w:val="24"/>
          <w:szCs w:val="24"/>
        </w:rPr>
        <w:t xml:space="preserve"> </w:t>
      </w:r>
      <w:r w:rsidRPr="0054508D">
        <w:rPr>
          <w:rFonts w:ascii="Bookman Old Style" w:hAnsi="Bookman Old Style"/>
          <w:sz w:val="24"/>
          <w:szCs w:val="24"/>
        </w:rPr>
        <w:t>Modal</w:t>
      </w:r>
      <w:r w:rsidR="00A954D0">
        <w:rPr>
          <w:rFonts w:ascii="Bookman Old Style" w:hAnsi="Bookman Old Style"/>
          <w:sz w:val="24"/>
          <w:szCs w:val="24"/>
        </w:rPr>
        <w:t xml:space="preserve"> </w:t>
      </w:r>
      <w:r w:rsidRPr="0054508D">
        <w:rPr>
          <w:rFonts w:ascii="Bookman Old Style" w:hAnsi="Bookman Old Style"/>
          <w:sz w:val="24"/>
          <w:szCs w:val="24"/>
        </w:rPr>
        <w:t>Alat</w:t>
      </w:r>
      <w:r w:rsidR="00A954D0">
        <w:rPr>
          <w:rFonts w:ascii="Bookman Old Style" w:hAnsi="Bookman Old Style"/>
          <w:sz w:val="24"/>
          <w:szCs w:val="24"/>
        </w:rPr>
        <w:t xml:space="preserve"> </w:t>
      </w:r>
      <w:r w:rsidRPr="0054508D">
        <w:rPr>
          <w:rFonts w:ascii="Bookman Old Style" w:hAnsi="Bookman Old Style"/>
          <w:sz w:val="24"/>
          <w:szCs w:val="24"/>
        </w:rPr>
        <w:t>Bengkel</w:t>
      </w:r>
      <w:r w:rsidR="00A954D0">
        <w:rPr>
          <w:rFonts w:ascii="Bookman Old Style" w:hAnsi="Bookman Old Style"/>
          <w:sz w:val="24"/>
          <w:szCs w:val="24"/>
        </w:rPr>
        <w:t xml:space="preserve"> </w:t>
      </w:r>
      <w:r w:rsidRPr="0054508D">
        <w:rPr>
          <w:rFonts w:ascii="Bookman Old Style" w:hAnsi="Bookman Old Style"/>
          <w:sz w:val="24"/>
          <w:szCs w:val="24"/>
        </w:rPr>
        <w:t>Tak</w:t>
      </w:r>
      <w:r w:rsidR="00A954D0">
        <w:rPr>
          <w:rFonts w:ascii="Bookman Old Style" w:hAnsi="Bookman Old Style"/>
          <w:sz w:val="24"/>
          <w:szCs w:val="24"/>
        </w:rPr>
        <w:t xml:space="preserve"> </w:t>
      </w:r>
      <w:r w:rsidRPr="0054508D">
        <w:rPr>
          <w:rFonts w:ascii="Bookman Old Style" w:hAnsi="Bookman Old Style"/>
          <w:sz w:val="24"/>
          <w:szCs w:val="24"/>
        </w:rPr>
        <w:t>Bermesin</w:t>
      </w:r>
      <w:r w:rsidR="00A954D0">
        <w:rPr>
          <w:rFonts w:ascii="Bookman Old Style" w:hAnsi="Bookman Old Style"/>
          <w:sz w:val="24"/>
          <w:szCs w:val="24"/>
        </w:rPr>
        <w:t xml:space="preserve"> </w:t>
      </w:r>
      <w:r w:rsidRPr="0054508D">
        <w:rPr>
          <w:rFonts w:ascii="Bookman Old Style" w:hAnsi="Bookman Old Style"/>
          <w:sz w:val="24"/>
          <w:szCs w:val="24"/>
        </w:rPr>
        <w:t>Rp200.419.100,00;</w:t>
      </w:r>
    </w:p>
    <w:p w14:paraId="685FACB0" w14:textId="42ADEC1D" w:rsidR="00515C3A" w:rsidRPr="0054508D" w:rsidRDefault="00515C3A" w:rsidP="00154790">
      <w:pPr>
        <w:pStyle w:val="ListParagraph"/>
        <w:numPr>
          <w:ilvl w:val="0"/>
          <w:numId w:val="206"/>
        </w:numPr>
        <w:spacing w:before="60" w:after="0" w:line="276" w:lineRule="auto"/>
        <w:ind w:hanging="438"/>
        <w:contextualSpacing w:val="0"/>
        <w:jc w:val="both"/>
        <w:rPr>
          <w:rFonts w:ascii="Bookman Old Style" w:hAnsi="Bookman Old Style"/>
          <w:sz w:val="24"/>
          <w:szCs w:val="24"/>
        </w:rPr>
      </w:pPr>
      <w:r w:rsidRPr="0054508D">
        <w:rPr>
          <w:rFonts w:ascii="Bookman Old Style" w:hAnsi="Bookman Old Style"/>
          <w:sz w:val="24"/>
          <w:szCs w:val="24"/>
        </w:rPr>
        <w:t>Belanja</w:t>
      </w:r>
      <w:r w:rsidR="00A954D0">
        <w:rPr>
          <w:rFonts w:ascii="Bookman Old Style" w:hAnsi="Bookman Old Style"/>
          <w:sz w:val="24"/>
          <w:szCs w:val="24"/>
        </w:rPr>
        <w:t xml:space="preserve"> </w:t>
      </w:r>
      <w:r w:rsidRPr="0054508D">
        <w:rPr>
          <w:rFonts w:ascii="Bookman Old Style" w:hAnsi="Bookman Old Style"/>
          <w:sz w:val="24"/>
          <w:szCs w:val="24"/>
        </w:rPr>
        <w:t>Modal</w:t>
      </w:r>
      <w:r w:rsidR="00A954D0">
        <w:rPr>
          <w:rFonts w:ascii="Bookman Old Style" w:hAnsi="Bookman Old Style"/>
          <w:sz w:val="24"/>
          <w:szCs w:val="24"/>
        </w:rPr>
        <w:t xml:space="preserve"> </w:t>
      </w:r>
      <w:r w:rsidRPr="0054508D">
        <w:rPr>
          <w:rFonts w:ascii="Bookman Old Style" w:hAnsi="Bookman Old Style"/>
          <w:sz w:val="24"/>
          <w:szCs w:val="24"/>
        </w:rPr>
        <w:t>Alat</w:t>
      </w:r>
      <w:r w:rsidR="00A954D0">
        <w:rPr>
          <w:rFonts w:ascii="Bookman Old Style" w:hAnsi="Bookman Old Style"/>
          <w:sz w:val="24"/>
          <w:szCs w:val="24"/>
        </w:rPr>
        <w:t xml:space="preserve"> </w:t>
      </w:r>
      <w:r w:rsidRPr="0054508D">
        <w:rPr>
          <w:rFonts w:ascii="Bookman Old Style" w:hAnsi="Bookman Old Style"/>
          <w:sz w:val="24"/>
          <w:szCs w:val="24"/>
        </w:rPr>
        <w:t>Ukur</w:t>
      </w:r>
      <w:r w:rsidR="00A954D0">
        <w:rPr>
          <w:rFonts w:ascii="Bookman Old Style" w:hAnsi="Bookman Old Style"/>
          <w:sz w:val="24"/>
          <w:szCs w:val="24"/>
        </w:rPr>
        <w:t xml:space="preserve"> </w:t>
      </w:r>
      <w:r w:rsidRPr="0054508D">
        <w:rPr>
          <w:rFonts w:ascii="Bookman Old Style" w:hAnsi="Bookman Old Style"/>
          <w:sz w:val="24"/>
          <w:szCs w:val="24"/>
        </w:rPr>
        <w:t>Rp7.318.400,00.</w:t>
      </w:r>
    </w:p>
    <w:p w14:paraId="3970D09A" w14:textId="7F26AA29" w:rsidR="00515C3A" w:rsidRPr="0054508D" w:rsidRDefault="00515C3A" w:rsidP="00154790">
      <w:pPr>
        <w:pStyle w:val="ListParagraph"/>
        <w:numPr>
          <w:ilvl w:val="0"/>
          <w:numId w:val="148"/>
        </w:numPr>
        <w:spacing w:before="60" w:after="0" w:line="276" w:lineRule="auto"/>
        <w:ind w:left="2268" w:hanging="567"/>
        <w:contextualSpacing w:val="0"/>
        <w:jc w:val="both"/>
        <w:rPr>
          <w:rFonts w:ascii="Bookman Old Style" w:hAnsi="Bookman Old Style"/>
          <w:sz w:val="24"/>
          <w:szCs w:val="24"/>
        </w:rPr>
      </w:pPr>
      <w:r w:rsidRPr="0054508D">
        <w:rPr>
          <w:rFonts w:ascii="Bookman Old Style" w:hAnsi="Bookman Old Style"/>
          <w:sz w:val="24"/>
          <w:szCs w:val="24"/>
        </w:rPr>
        <w:t>Belanja</w:t>
      </w:r>
      <w:r w:rsidR="00A954D0">
        <w:rPr>
          <w:rFonts w:ascii="Bookman Old Style" w:hAnsi="Bookman Old Style"/>
          <w:sz w:val="24"/>
          <w:szCs w:val="24"/>
        </w:rPr>
        <w:t xml:space="preserve"> </w:t>
      </w:r>
      <w:r w:rsidRPr="0054508D">
        <w:rPr>
          <w:rFonts w:ascii="Bookman Old Style" w:hAnsi="Bookman Old Style"/>
          <w:sz w:val="24"/>
          <w:szCs w:val="24"/>
        </w:rPr>
        <w:t>Modal</w:t>
      </w:r>
      <w:r w:rsidR="00A954D0">
        <w:rPr>
          <w:rFonts w:ascii="Bookman Old Style" w:hAnsi="Bookman Old Style"/>
          <w:sz w:val="24"/>
          <w:szCs w:val="24"/>
        </w:rPr>
        <w:t xml:space="preserve"> </w:t>
      </w:r>
      <w:r w:rsidRPr="0054508D">
        <w:rPr>
          <w:rFonts w:ascii="Bookman Old Style" w:hAnsi="Bookman Old Style"/>
          <w:sz w:val="24"/>
          <w:szCs w:val="24"/>
        </w:rPr>
        <w:t>Alat</w:t>
      </w:r>
      <w:r w:rsidR="00A954D0">
        <w:rPr>
          <w:rFonts w:ascii="Bookman Old Style" w:hAnsi="Bookman Old Style"/>
          <w:sz w:val="24"/>
          <w:szCs w:val="24"/>
        </w:rPr>
        <w:t xml:space="preserve"> </w:t>
      </w:r>
      <w:r w:rsidRPr="0054508D">
        <w:rPr>
          <w:rFonts w:ascii="Bookman Old Style" w:hAnsi="Bookman Old Style"/>
          <w:sz w:val="24"/>
          <w:szCs w:val="24"/>
        </w:rPr>
        <w:t>Pertanian</w:t>
      </w:r>
      <w:r w:rsidR="00A954D0">
        <w:rPr>
          <w:rFonts w:ascii="Bookman Old Style" w:hAnsi="Bookman Old Style"/>
          <w:sz w:val="24"/>
          <w:szCs w:val="24"/>
        </w:rPr>
        <w:t xml:space="preserve"> </w:t>
      </w:r>
      <w:r w:rsidRPr="0054508D">
        <w:rPr>
          <w:rFonts w:ascii="Bookman Old Style" w:hAnsi="Bookman Old Style"/>
          <w:sz w:val="24"/>
          <w:szCs w:val="24"/>
        </w:rPr>
        <w:t>Rp67.943.200,00</w:t>
      </w:r>
      <w:r w:rsidR="00A954D0">
        <w:rPr>
          <w:rFonts w:ascii="Bookman Old Style" w:hAnsi="Bookman Old Style"/>
          <w:sz w:val="24"/>
          <w:szCs w:val="24"/>
        </w:rPr>
        <w:t xml:space="preserve"> </w:t>
      </w:r>
      <w:r w:rsidRPr="0054508D">
        <w:rPr>
          <w:rFonts w:ascii="Bookman Old Style" w:hAnsi="Bookman Old Style"/>
          <w:sz w:val="24"/>
          <w:szCs w:val="24"/>
        </w:rPr>
        <w:t>atau</w:t>
      </w:r>
      <w:r w:rsidR="00A954D0">
        <w:rPr>
          <w:rFonts w:ascii="Bookman Old Style" w:hAnsi="Bookman Old Style"/>
          <w:sz w:val="24"/>
          <w:szCs w:val="24"/>
        </w:rPr>
        <w:t xml:space="preserve"> </w:t>
      </w:r>
      <w:r w:rsidRPr="0054508D">
        <w:rPr>
          <w:rFonts w:ascii="Bookman Old Style" w:hAnsi="Bookman Old Style"/>
          <w:sz w:val="24"/>
          <w:szCs w:val="24"/>
        </w:rPr>
        <w:t>0,001%</w:t>
      </w:r>
      <w:r w:rsidR="00A954D0">
        <w:rPr>
          <w:rFonts w:ascii="Bookman Old Style" w:hAnsi="Bookman Old Style"/>
          <w:sz w:val="24"/>
          <w:szCs w:val="24"/>
        </w:rPr>
        <w:t xml:space="preserve"> </w:t>
      </w:r>
      <w:r w:rsidRPr="0054508D">
        <w:rPr>
          <w:rFonts w:ascii="Bookman Old Style" w:hAnsi="Bookman Old Style"/>
          <w:sz w:val="24"/>
          <w:szCs w:val="24"/>
        </w:rPr>
        <w:t>dari</w:t>
      </w:r>
      <w:r w:rsidR="00A954D0">
        <w:rPr>
          <w:rFonts w:ascii="Bookman Old Style" w:hAnsi="Bookman Old Style"/>
          <w:sz w:val="24"/>
          <w:szCs w:val="24"/>
        </w:rPr>
        <w:t xml:space="preserve"> </w:t>
      </w:r>
      <w:r w:rsidRPr="0054508D">
        <w:rPr>
          <w:rFonts w:ascii="Bookman Old Style" w:hAnsi="Bookman Old Style"/>
          <w:sz w:val="24"/>
          <w:szCs w:val="24"/>
        </w:rPr>
        <w:t>total</w:t>
      </w:r>
      <w:r w:rsidR="00A954D0">
        <w:rPr>
          <w:rFonts w:ascii="Bookman Old Style" w:hAnsi="Bookman Old Style"/>
          <w:sz w:val="24"/>
          <w:szCs w:val="24"/>
        </w:rPr>
        <w:t xml:space="preserve"> </w:t>
      </w:r>
      <w:r w:rsidRPr="0054508D">
        <w:rPr>
          <w:rFonts w:ascii="Bookman Old Style" w:hAnsi="Bookman Old Style"/>
          <w:sz w:val="24"/>
          <w:szCs w:val="24"/>
        </w:rPr>
        <w:t>belanja</w:t>
      </w:r>
      <w:r w:rsidR="00A954D0">
        <w:rPr>
          <w:rFonts w:ascii="Bookman Old Style" w:hAnsi="Bookman Old Style"/>
          <w:sz w:val="24"/>
          <w:szCs w:val="24"/>
        </w:rPr>
        <w:t xml:space="preserve"> </w:t>
      </w:r>
      <w:r w:rsidRPr="0054508D">
        <w:rPr>
          <w:rFonts w:ascii="Bookman Old Style" w:hAnsi="Bookman Old Style"/>
          <w:sz w:val="24"/>
          <w:szCs w:val="24"/>
        </w:rPr>
        <w:t>daerah</w:t>
      </w:r>
      <w:r w:rsidR="00A954D0">
        <w:rPr>
          <w:rFonts w:ascii="Bookman Old Style" w:hAnsi="Bookman Old Style"/>
          <w:sz w:val="24"/>
          <w:szCs w:val="24"/>
        </w:rPr>
        <w:t xml:space="preserve"> </w:t>
      </w:r>
      <w:r w:rsidRPr="0054508D">
        <w:rPr>
          <w:rFonts w:ascii="Bookman Old Style" w:hAnsi="Bookman Old Style"/>
          <w:sz w:val="24"/>
          <w:szCs w:val="24"/>
        </w:rPr>
        <w:t>dalam</w:t>
      </w:r>
      <w:r w:rsidR="00A954D0">
        <w:rPr>
          <w:rFonts w:ascii="Bookman Old Style" w:hAnsi="Bookman Old Style"/>
          <w:sz w:val="24"/>
          <w:szCs w:val="24"/>
        </w:rPr>
        <w:t xml:space="preserve"> </w:t>
      </w:r>
      <w:r w:rsidRPr="0054508D">
        <w:rPr>
          <w:rFonts w:ascii="Bookman Old Style" w:hAnsi="Bookman Old Style"/>
          <w:sz w:val="24"/>
          <w:szCs w:val="24"/>
        </w:rPr>
        <w:t>Rancangan</w:t>
      </w:r>
      <w:r w:rsidR="00A954D0">
        <w:rPr>
          <w:rFonts w:ascii="Bookman Old Style" w:hAnsi="Bookman Old Style"/>
          <w:sz w:val="24"/>
          <w:szCs w:val="24"/>
        </w:rPr>
        <w:t xml:space="preserve"> </w:t>
      </w:r>
      <w:r w:rsidRPr="0054508D">
        <w:rPr>
          <w:rFonts w:ascii="Bookman Old Style" w:hAnsi="Bookman Old Style"/>
          <w:sz w:val="24"/>
          <w:szCs w:val="24"/>
        </w:rPr>
        <w:t>Peraturan</w:t>
      </w:r>
      <w:r w:rsidR="00A954D0">
        <w:rPr>
          <w:rFonts w:ascii="Bookman Old Style" w:hAnsi="Bookman Old Style"/>
          <w:sz w:val="24"/>
          <w:szCs w:val="24"/>
        </w:rPr>
        <w:t xml:space="preserve"> </w:t>
      </w:r>
      <w:r w:rsidRPr="0054508D">
        <w:rPr>
          <w:rFonts w:ascii="Bookman Old Style" w:hAnsi="Bookman Old Style"/>
          <w:sz w:val="24"/>
          <w:szCs w:val="24"/>
        </w:rPr>
        <w:t>Daerah</w:t>
      </w:r>
      <w:r w:rsidR="00A954D0">
        <w:rPr>
          <w:rFonts w:ascii="Bookman Old Style" w:hAnsi="Bookman Old Style"/>
          <w:sz w:val="24"/>
          <w:szCs w:val="24"/>
        </w:rPr>
        <w:t xml:space="preserve"> </w:t>
      </w:r>
      <w:r w:rsidRPr="0054508D">
        <w:rPr>
          <w:rFonts w:ascii="Bookman Old Style" w:hAnsi="Bookman Old Style"/>
          <w:sz w:val="24"/>
          <w:szCs w:val="24"/>
        </w:rPr>
        <w:t>Kota</w:t>
      </w:r>
      <w:r w:rsidR="00A954D0">
        <w:rPr>
          <w:rFonts w:ascii="Bookman Old Style" w:hAnsi="Bookman Old Style"/>
          <w:sz w:val="24"/>
          <w:szCs w:val="24"/>
        </w:rPr>
        <w:t xml:space="preserve"> </w:t>
      </w:r>
      <w:r w:rsidRPr="0054508D">
        <w:rPr>
          <w:rFonts w:ascii="Bookman Old Style" w:hAnsi="Bookman Old Style"/>
          <w:sz w:val="24"/>
          <w:szCs w:val="24"/>
        </w:rPr>
        <w:t>Tangerang</w:t>
      </w:r>
      <w:r w:rsidR="00A954D0">
        <w:rPr>
          <w:rFonts w:ascii="Bookman Old Style" w:hAnsi="Bookman Old Style"/>
          <w:sz w:val="24"/>
          <w:szCs w:val="24"/>
        </w:rPr>
        <w:t xml:space="preserve"> </w:t>
      </w:r>
      <w:r w:rsidRPr="0054508D">
        <w:rPr>
          <w:rFonts w:ascii="Bookman Old Style" w:hAnsi="Bookman Old Style"/>
          <w:sz w:val="24"/>
          <w:szCs w:val="24"/>
        </w:rPr>
        <w:t>tentang</w:t>
      </w:r>
      <w:r w:rsidR="00A954D0">
        <w:rPr>
          <w:rFonts w:ascii="Bookman Old Style" w:hAnsi="Bookman Old Style"/>
          <w:sz w:val="24"/>
          <w:szCs w:val="24"/>
        </w:rPr>
        <w:t xml:space="preserve"> </w:t>
      </w:r>
      <w:r w:rsidRPr="0054508D">
        <w:rPr>
          <w:rFonts w:ascii="Bookman Old Style" w:hAnsi="Bookman Old Style"/>
          <w:sz w:val="24"/>
          <w:szCs w:val="24"/>
        </w:rPr>
        <w:t>APBD</w:t>
      </w:r>
      <w:r w:rsidR="00A954D0">
        <w:rPr>
          <w:rFonts w:ascii="Bookman Old Style" w:hAnsi="Bookman Old Style"/>
          <w:sz w:val="24"/>
          <w:szCs w:val="24"/>
        </w:rPr>
        <w:t xml:space="preserve"> </w:t>
      </w:r>
      <w:r w:rsidRPr="0054508D">
        <w:rPr>
          <w:rFonts w:ascii="Bookman Old Style" w:hAnsi="Bookman Old Style"/>
          <w:sz w:val="24"/>
          <w:szCs w:val="24"/>
        </w:rPr>
        <w:t>Tahun</w:t>
      </w:r>
      <w:r w:rsidR="00A954D0">
        <w:rPr>
          <w:rFonts w:ascii="Bookman Old Style" w:hAnsi="Bookman Old Style"/>
          <w:sz w:val="24"/>
          <w:szCs w:val="24"/>
        </w:rPr>
        <w:t xml:space="preserve"> </w:t>
      </w:r>
      <w:r w:rsidRPr="0054508D">
        <w:rPr>
          <w:rFonts w:ascii="Bookman Old Style" w:hAnsi="Bookman Old Style"/>
          <w:sz w:val="24"/>
          <w:szCs w:val="24"/>
        </w:rPr>
        <w:t>Anggaran</w:t>
      </w:r>
      <w:r w:rsidR="00A954D0">
        <w:rPr>
          <w:rFonts w:ascii="Bookman Old Style" w:hAnsi="Bookman Old Style"/>
          <w:sz w:val="24"/>
          <w:szCs w:val="24"/>
        </w:rPr>
        <w:t xml:space="preserve"> </w:t>
      </w:r>
      <w:r w:rsidRPr="0054508D">
        <w:rPr>
          <w:rFonts w:ascii="Bookman Old Style" w:hAnsi="Bookman Old Style"/>
          <w:sz w:val="24"/>
          <w:szCs w:val="24"/>
        </w:rPr>
        <w:t>2025,</w:t>
      </w:r>
      <w:r w:rsidR="00A954D0">
        <w:rPr>
          <w:rFonts w:ascii="Bookman Old Style" w:hAnsi="Bookman Old Style"/>
          <w:sz w:val="24"/>
          <w:szCs w:val="24"/>
        </w:rPr>
        <w:t xml:space="preserve"> </w:t>
      </w:r>
      <w:r w:rsidRPr="0054508D">
        <w:rPr>
          <w:rFonts w:ascii="Bookman Old Style" w:hAnsi="Bookman Old Style"/>
          <w:sz w:val="24"/>
          <w:szCs w:val="24"/>
        </w:rPr>
        <w:t>yang</w:t>
      </w:r>
      <w:r w:rsidR="00A954D0">
        <w:rPr>
          <w:rFonts w:ascii="Bookman Old Style" w:hAnsi="Bookman Old Style"/>
          <w:sz w:val="24"/>
          <w:szCs w:val="24"/>
        </w:rPr>
        <w:t xml:space="preserve"> </w:t>
      </w:r>
      <w:r w:rsidRPr="0054508D">
        <w:rPr>
          <w:rFonts w:ascii="Bookman Old Style" w:hAnsi="Bookman Old Style"/>
          <w:sz w:val="24"/>
          <w:szCs w:val="24"/>
        </w:rPr>
        <w:t>seluruhnya</w:t>
      </w:r>
      <w:r w:rsidR="00A954D0">
        <w:rPr>
          <w:rFonts w:ascii="Bookman Old Style" w:hAnsi="Bookman Old Style"/>
          <w:sz w:val="24"/>
          <w:szCs w:val="24"/>
        </w:rPr>
        <w:t xml:space="preserve"> </w:t>
      </w:r>
      <w:r w:rsidRPr="0054508D">
        <w:rPr>
          <w:rFonts w:ascii="Bookman Old Style" w:hAnsi="Bookman Old Style"/>
          <w:sz w:val="24"/>
          <w:szCs w:val="24"/>
        </w:rPr>
        <w:t>diuraikan</w:t>
      </w:r>
      <w:r w:rsidR="00A954D0">
        <w:rPr>
          <w:rFonts w:ascii="Bookman Old Style" w:hAnsi="Bookman Old Style"/>
          <w:sz w:val="24"/>
          <w:szCs w:val="24"/>
        </w:rPr>
        <w:t xml:space="preserve"> </w:t>
      </w:r>
      <w:r w:rsidRPr="0054508D">
        <w:rPr>
          <w:rFonts w:ascii="Bookman Old Style" w:hAnsi="Bookman Old Style"/>
          <w:sz w:val="24"/>
          <w:szCs w:val="24"/>
        </w:rPr>
        <w:t>ke</w:t>
      </w:r>
      <w:r w:rsidR="00A954D0">
        <w:rPr>
          <w:rFonts w:ascii="Bookman Old Style" w:hAnsi="Bookman Old Style"/>
          <w:sz w:val="24"/>
          <w:szCs w:val="24"/>
        </w:rPr>
        <w:t xml:space="preserve"> </w:t>
      </w:r>
      <w:r w:rsidRPr="0054508D">
        <w:rPr>
          <w:rFonts w:ascii="Bookman Old Style" w:hAnsi="Bookman Old Style"/>
          <w:sz w:val="24"/>
          <w:szCs w:val="24"/>
        </w:rPr>
        <w:t>dalam</w:t>
      </w:r>
      <w:r w:rsidR="00A954D0">
        <w:rPr>
          <w:rFonts w:ascii="Bookman Old Style" w:hAnsi="Bookman Old Style"/>
          <w:sz w:val="24"/>
          <w:szCs w:val="24"/>
        </w:rPr>
        <w:t xml:space="preserve"> </w:t>
      </w:r>
      <w:r w:rsidRPr="0054508D">
        <w:rPr>
          <w:rFonts w:ascii="Bookman Old Style" w:hAnsi="Bookman Old Style"/>
          <w:sz w:val="24"/>
          <w:szCs w:val="24"/>
        </w:rPr>
        <w:t>objek</w:t>
      </w:r>
      <w:r w:rsidR="00A954D0">
        <w:rPr>
          <w:rFonts w:ascii="Bookman Old Style" w:hAnsi="Bookman Old Style"/>
          <w:sz w:val="24"/>
          <w:szCs w:val="24"/>
        </w:rPr>
        <w:t xml:space="preserve"> </w:t>
      </w:r>
      <w:r w:rsidRPr="0054508D">
        <w:rPr>
          <w:rFonts w:ascii="Bookman Old Style" w:hAnsi="Bookman Old Style"/>
          <w:sz w:val="24"/>
          <w:szCs w:val="24"/>
        </w:rPr>
        <w:t>Belanja</w:t>
      </w:r>
      <w:r w:rsidR="00A954D0">
        <w:rPr>
          <w:rFonts w:ascii="Bookman Old Style" w:hAnsi="Bookman Old Style"/>
          <w:sz w:val="24"/>
          <w:szCs w:val="24"/>
        </w:rPr>
        <w:t xml:space="preserve"> </w:t>
      </w:r>
      <w:r w:rsidRPr="0054508D">
        <w:rPr>
          <w:rFonts w:ascii="Bookman Old Style" w:hAnsi="Bookman Old Style"/>
          <w:sz w:val="24"/>
          <w:szCs w:val="24"/>
        </w:rPr>
        <w:t>Modal</w:t>
      </w:r>
      <w:r w:rsidR="00A954D0">
        <w:rPr>
          <w:rFonts w:ascii="Bookman Old Style" w:hAnsi="Bookman Old Style"/>
          <w:sz w:val="24"/>
          <w:szCs w:val="24"/>
        </w:rPr>
        <w:t xml:space="preserve"> </w:t>
      </w:r>
      <w:r w:rsidRPr="0054508D">
        <w:rPr>
          <w:rFonts w:ascii="Bookman Old Style" w:hAnsi="Bookman Old Style"/>
          <w:sz w:val="24"/>
          <w:szCs w:val="24"/>
        </w:rPr>
        <w:t>Alat</w:t>
      </w:r>
      <w:r w:rsidR="00A954D0">
        <w:rPr>
          <w:rFonts w:ascii="Bookman Old Style" w:hAnsi="Bookman Old Style"/>
          <w:sz w:val="24"/>
          <w:szCs w:val="24"/>
        </w:rPr>
        <w:t xml:space="preserve"> </w:t>
      </w:r>
      <w:r w:rsidRPr="0054508D">
        <w:rPr>
          <w:rFonts w:ascii="Bookman Old Style" w:hAnsi="Bookman Old Style"/>
          <w:sz w:val="24"/>
          <w:szCs w:val="24"/>
        </w:rPr>
        <w:t>Pengolahan</w:t>
      </w:r>
      <w:r w:rsidR="00154790">
        <w:rPr>
          <w:rFonts w:ascii="Bookman Old Style" w:hAnsi="Bookman Old Style"/>
          <w:sz w:val="24"/>
          <w:szCs w:val="24"/>
          <w:lang w:val="en-US"/>
        </w:rPr>
        <w:t>;</w:t>
      </w:r>
    </w:p>
    <w:p w14:paraId="37FF76AB" w14:textId="0D3EEBA0" w:rsidR="00515C3A" w:rsidRPr="009154EC" w:rsidRDefault="00515C3A" w:rsidP="00154790">
      <w:pPr>
        <w:pStyle w:val="ListParagraph"/>
        <w:numPr>
          <w:ilvl w:val="0"/>
          <w:numId w:val="148"/>
        </w:numPr>
        <w:spacing w:before="60" w:after="0" w:line="276" w:lineRule="auto"/>
        <w:ind w:left="2268" w:hanging="567"/>
        <w:contextualSpacing w:val="0"/>
        <w:jc w:val="both"/>
        <w:rPr>
          <w:rFonts w:ascii="Bookman Old Style" w:hAnsi="Bookman Old Style"/>
          <w:sz w:val="24"/>
          <w:szCs w:val="24"/>
          <w:lang w:val="id-ID"/>
        </w:rPr>
      </w:pPr>
      <w:r w:rsidRPr="009154EC">
        <w:rPr>
          <w:rFonts w:ascii="Bookman Old Style" w:hAnsi="Bookman Old Style"/>
          <w:sz w:val="24"/>
          <w:szCs w:val="24"/>
        </w:rPr>
        <w:t>Belanja</w:t>
      </w:r>
      <w:r w:rsidR="00A954D0">
        <w:rPr>
          <w:rFonts w:ascii="Bookman Old Style" w:hAnsi="Bookman Old Style"/>
          <w:sz w:val="24"/>
          <w:szCs w:val="24"/>
        </w:rPr>
        <w:t xml:space="preserve"> </w:t>
      </w:r>
      <w:r w:rsidRPr="009154EC">
        <w:rPr>
          <w:rFonts w:ascii="Bookman Old Style" w:hAnsi="Bookman Old Style"/>
          <w:sz w:val="24"/>
          <w:szCs w:val="24"/>
        </w:rPr>
        <w:t>Modal</w:t>
      </w:r>
      <w:r w:rsidR="00A954D0">
        <w:rPr>
          <w:rFonts w:ascii="Bookman Old Style" w:hAnsi="Bookman Old Style"/>
          <w:sz w:val="24"/>
          <w:szCs w:val="24"/>
        </w:rPr>
        <w:t xml:space="preserve"> </w:t>
      </w:r>
      <w:r w:rsidRPr="009154EC">
        <w:rPr>
          <w:rFonts w:ascii="Bookman Old Style" w:hAnsi="Bookman Old Style"/>
          <w:sz w:val="24"/>
          <w:szCs w:val="24"/>
        </w:rPr>
        <w:t>Alat</w:t>
      </w:r>
      <w:r w:rsidR="00A954D0">
        <w:rPr>
          <w:rFonts w:ascii="Bookman Old Style" w:hAnsi="Bookman Old Style"/>
          <w:sz w:val="24"/>
          <w:szCs w:val="24"/>
        </w:rPr>
        <w:t xml:space="preserve"> </w:t>
      </w:r>
      <w:r w:rsidRPr="009154EC">
        <w:rPr>
          <w:rFonts w:ascii="Bookman Old Style" w:hAnsi="Bookman Old Style"/>
          <w:sz w:val="24"/>
          <w:szCs w:val="24"/>
        </w:rPr>
        <w:t>Kantor</w:t>
      </w:r>
      <w:r w:rsidR="00A954D0">
        <w:rPr>
          <w:rFonts w:ascii="Bookman Old Style" w:hAnsi="Bookman Old Style"/>
          <w:sz w:val="24"/>
          <w:szCs w:val="24"/>
        </w:rPr>
        <w:t xml:space="preserve"> </w:t>
      </w:r>
      <w:r w:rsidRPr="009154EC">
        <w:rPr>
          <w:rFonts w:ascii="Bookman Old Style" w:hAnsi="Bookman Old Style"/>
          <w:sz w:val="24"/>
          <w:szCs w:val="24"/>
        </w:rPr>
        <w:t>dan</w:t>
      </w:r>
      <w:r w:rsidR="00A954D0">
        <w:rPr>
          <w:rFonts w:ascii="Bookman Old Style" w:hAnsi="Bookman Old Style"/>
          <w:sz w:val="24"/>
          <w:szCs w:val="24"/>
        </w:rPr>
        <w:t xml:space="preserve"> </w:t>
      </w:r>
      <w:r w:rsidRPr="009154EC">
        <w:rPr>
          <w:rFonts w:ascii="Bookman Old Style" w:hAnsi="Bookman Old Style"/>
          <w:sz w:val="24"/>
          <w:szCs w:val="24"/>
        </w:rPr>
        <w:t>Rumah</w:t>
      </w:r>
      <w:r w:rsidR="00A954D0">
        <w:rPr>
          <w:rFonts w:ascii="Bookman Old Style" w:hAnsi="Bookman Old Style"/>
          <w:sz w:val="24"/>
          <w:szCs w:val="24"/>
        </w:rPr>
        <w:t xml:space="preserve"> </w:t>
      </w:r>
      <w:r w:rsidRPr="009154EC">
        <w:rPr>
          <w:rFonts w:ascii="Bookman Old Style" w:hAnsi="Bookman Old Style"/>
          <w:sz w:val="24"/>
          <w:szCs w:val="24"/>
        </w:rPr>
        <w:t>Tangga</w:t>
      </w:r>
      <w:r w:rsidR="00A954D0">
        <w:rPr>
          <w:rFonts w:ascii="Bookman Old Style" w:hAnsi="Bookman Old Style"/>
          <w:sz w:val="24"/>
          <w:szCs w:val="24"/>
        </w:rPr>
        <w:t xml:space="preserve"> </w:t>
      </w:r>
      <w:r w:rsidRPr="009154EC">
        <w:rPr>
          <w:rFonts w:ascii="Bookman Old Style" w:hAnsi="Bookman Old Style"/>
          <w:sz w:val="24"/>
          <w:szCs w:val="24"/>
        </w:rPr>
        <w:t>Rp47.317.775.199,00</w:t>
      </w:r>
      <w:r w:rsidR="00A954D0">
        <w:rPr>
          <w:rFonts w:ascii="Bookman Old Style" w:hAnsi="Bookman Old Style"/>
          <w:sz w:val="24"/>
          <w:szCs w:val="24"/>
        </w:rPr>
        <w:t xml:space="preserve"> </w:t>
      </w:r>
      <w:r w:rsidRPr="009154EC">
        <w:rPr>
          <w:rFonts w:ascii="Bookman Old Style" w:hAnsi="Bookman Old Style" w:cs="Arial"/>
          <w:sz w:val="24"/>
          <w:szCs w:val="24"/>
        </w:rPr>
        <w:t>atau</w:t>
      </w:r>
      <w:r w:rsidR="00A954D0">
        <w:rPr>
          <w:rFonts w:ascii="Bookman Old Style" w:hAnsi="Bookman Old Style" w:cs="Arial"/>
          <w:sz w:val="24"/>
          <w:szCs w:val="24"/>
        </w:rPr>
        <w:t xml:space="preserve"> </w:t>
      </w:r>
      <w:r w:rsidRPr="009154EC">
        <w:rPr>
          <w:rFonts w:ascii="Bookman Old Style" w:hAnsi="Bookman Old Style" w:cs="Arial"/>
          <w:sz w:val="24"/>
          <w:szCs w:val="24"/>
          <w:lang w:val="id-ID"/>
        </w:rPr>
        <w:t>0,83%</w:t>
      </w:r>
      <w:r w:rsidR="00A954D0">
        <w:rPr>
          <w:rFonts w:ascii="Bookman Old Style" w:hAnsi="Bookman Old Style" w:cs="Arial"/>
          <w:sz w:val="24"/>
          <w:szCs w:val="24"/>
          <w:lang w:val="id-ID"/>
        </w:rPr>
        <w:t xml:space="preserve"> </w:t>
      </w:r>
      <w:r w:rsidRPr="009154EC">
        <w:rPr>
          <w:rFonts w:ascii="Bookman Old Style" w:hAnsi="Bookman Old Style"/>
          <w:sz w:val="24"/>
          <w:szCs w:val="24"/>
        </w:rPr>
        <w:t>dari</w:t>
      </w:r>
      <w:r w:rsidR="00A954D0">
        <w:rPr>
          <w:rFonts w:ascii="Bookman Old Style" w:hAnsi="Bookman Old Style"/>
          <w:sz w:val="24"/>
          <w:szCs w:val="24"/>
        </w:rPr>
        <w:t xml:space="preserve"> </w:t>
      </w:r>
      <w:r w:rsidRPr="009154EC">
        <w:rPr>
          <w:rFonts w:ascii="Bookman Old Style" w:hAnsi="Bookman Old Style"/>
          <w:sz w:val="24"/>
          <w:szCs w:val="24"/>
        </w:rPr>
        <w:t>total</w:t>
      </w:r>
      <w:r w:rsidR="00A954D0">
        <w:rPr>
          <w:rFonts w:ascii="Bookman Old Style" w:hAnsi="Bookman Old Style"/>
          <w:sz w:val="24"/>
          <w:szCs w:val="24"/>
        </w:rPr>
        <w:t xml:space="preserve"> </w:t>
      </w:r>
      <w:r w:rsidRPr="009154EC">
        <w:rPr>
          <w:rFonts w:ascii="Bookman Old Style" w:hAnsi="Bookman Old Style"/>
          <w:sz w:val="24"/>
          <w:szCs w:val="24"/>
        </w:rPr>
        <w:t>belanja</w:t>
      </w:r>
      <w:r w:rsidR="00A954D0">
        <w:rPr>
          <w:rFonts w:ascii="Bookman Old Style" w:hAnsi="Bookman Old Style"/>
          <w:sz w:val="24"/>
          <w:szCs w:val="24"/>
        </w:rPr>
        <w:t xml:space="preserve"> </w:t>
      </w:r>
      <w:r w:rsidRPr="009154EC">
        <w:rPr>
          <w:rFonts w:ascii="Bookman Old Style" w:hAnsi="Bookman Old Style"/>
          <w:sz w:val="24"/>
          <w:szCs w:val="24"/>
        </w:rPr>
        <w:t>daerah</w:t>
      </w:r>
      <w:r w:rsidR="00A954D0">
        <w:rPr>
          <w:rFonts w:ascii="Bookman Old Style" w:hAnsi="Bookman Old Style"/>
          <w:sz w:val="24"/>
          <w:szCs w:val="24"/>
        </w:rPr>
        <w:t xml:space="preserve"> </w:t>
      </w:r>
      <w:r w:rsidRPr="009154EC">
        <w:rPr>
          <w:rFonts w:ascii="Bookman Old Style" w:hAnsi="Bookman Old Style"/>
          <w:sz w:val="24"/>
          <w:szCs w:val="24"/>
        </w:rPr>
        <w:t>dalam</w:t>
      </w:r>
      <w:r w:rsidR="00A954D0">
        <w:rPr>
          <w:rFonts w:ascii="Bookman Old Style" w:hAnsi="Bookman Old Style"/>
          <w:sz w:val="24"/>
          <w:szCs w:val="24"/>
        </w:rPr>
        <w:t xml:space="preserve"> </w:t>
      </w:r>
      <w:r w:rsidRPr="009154EC">
        <w:rPr>
          <w:rFonts w:ascii="Bookman Old Style" w:hAnsi="Bookman Old Style"/>
          <w:sz w:val="24"/>
          <w:szCs w:val="24"/>
        </w:rPr>
        <w:t>Rancangan</w:t>
      </w:r>
      <w:r w:rsidR="00A954D0">
        <w:rPr>
          <w:rFonts w:ascii="Bookman Old Style" w:hAnsi="Bookman Old Style"/>
          <w:sz w:val="24"/>
          <w:szCs w:val="24"/>
        </w:rPr>
        <w:t xml:space="preserve"> </w:t>
      </w:r>
      <w:r w:rsidRPr="009154EC">
        <w:rPr>
          <w:rFonts w:ascii="Bookman Old Style" w:hAnsi="Bookman Old Style"/>
          <w:sz w:val="24"/>
          <w:szCs w:val="24"/>
        </w:rPr>
        <w:t>Peraturan</w:t>
      </w:r>
      <w:r w:rsidR="00A954D0">
        <w:rPr>
          <w:rFonts w:ascii="Bookman Old Style" w:hAnsi="Bookman Old Style"/>
          <w:sz w:val="24"/>
          <w:szCs w:val="24"/>
        </w:rPr>
        <w:t xml:space="preserve"> </w:t>
      </w:r>
      <w:r w:rsidRPr="009154EC">
        <w:rPr>
          <w:rFonts w:ascii="Bookman Old Style" w:hAnsi="Bookman Old Style"/>
          <w:sz w:val="24"/>
          <w:szCs w:val="24"/>
        </w:rPr>
        <w:t>Daerah</w:t>
      </w:r>
      <w:r w:rsidR="00A954D0">
        <w:rPr>
          <w:rFonts w:ascii="Bookman Old Style" w:hAnsi="Bookman Old Style"/>
          <w:sz w:val="24"/>
          <w:szCs w:val="24"/>
        </w:rPr>
        <w:t xml:space="preserve"> </w:t>
      </w:r>
      <w:r w:rsidRPr="009154EC">
        <w:rPr>
          <w:rFonts w:ascii="Bookman Old Style" w:hAnsi="Bookman Old Style"/>
          <w:sz w:val="24"/>
          <w:szCs w:val="24"/>
        </w:rPr>
        <w:t>Kota</w:t>
      </w:r>
      <w:r w:rsidR="00A954D0">
        <w:rPr>
          <w:rFonts w:ascii="Bookman Old Style" w:hAnsi="Bookman Old Style"/>
          <w:sz w:val="24"/>
          <w:szCs w:val="24"/>
        </w:rPr>
        <w:t xml:space="preserve"> </w:t>
      </w:r>
      <w:r w:rsidRPr="009154EC">
        <w:rPr>
          <w:rFonts w:ascii="Bookman Old Style" w:hAnsi="Bookman Old Style"/>
          <w:sz w:val="24"/>
          <w:szCs w:val="24"/>
        </w:rPr>
        <w:t>Tangerang</w:t>
      </w:r>
      <w:r w:rsidR="00A954D0">
        <w:rPr>
          <w:rFonts w:ascii="Bookman Old Style" w:hAnsi="Bookman Old Style"/>
          <w:sz w:val="24"/>
          <w:szCs w:val="24"/>
        </w:rPr>
        <w:t xml:space="preserve"> </w:t>
      </w:r>
      <w:r w:rsidRPr="009154EC">
        <w:rPr>
          <w:rFonts w:ascii="Bookman Old Style" w:hAnsi="Bookman Old Style"/>
          <w:sz w:val="24"/>
          <w:szCs w:val="24"/>
        </w:rPr>
        <w:t>tentang</w:t>
      </w:r>
      <w:r w:rsidR="00A954D0">
        <w:rPr>
          <w:rFonts w:ascii="Bookman Old Style" w:hAnsi="Bookman Old Style"/>
          <w:sz w:val="24"/>
          <w:szCs w:val="24"/>
        </w:rPr>
        <w:t xml:space="preserve"> </w:t>
      </w:r>
      <w:r w:rsidRPr="009154EC">
        <w:rPr>
          <w:rFonts w:ascii="Bookman Old Style" w:hAnsi="Bookman Old Style"/>
          <w:sz w:val="24"/>
          <w:szCs w:val="24"/>
        </w:rPr>
        <w:t>APBD</w:t>
      </w:r>
      <w:r w:rsidR="00A954D0">
        <w:rPr>
          <w:rFonts w:ascii="Bookman Old Style" w:hAnsi="Bookman Old Style"/>
          <w:sz w:val="24"/>
          <w:szCs w:val="24"/>
        </w:rPr>
        <w:t xml:space="preserve"> </w:t>
      </w:r>
      <w:r w:rsidRPr="009154EC">
        <w:rPr>
          <w:rFonts w:ascii="Bookman Old Style" w:hAnsi="Bookman Old Style"/>
          <w:sz w:val="24"/>
          <w:szCs w:val="24"/>
        </w:rPr>
        <w:t>Tahun</w:t>
      </w:r>
      <w:r w:rsidR="00A954D0">
        <w:rPr>
          <w:rFonts w:ascii="Bookman Old Style" w:hAnsi="Bookman Old Style"/>
          <w:sz w:val="24"/>
          <w:szCs w:val="24"/>
        </w:rPr>
        <w:t xml:space="preserve"> </w:t>
      </w:r>
      <w:r w:rsidRPr="009154EC">
        <w:rPr>
          <w:rFonts w:ascii="Bookman Old Style" w:hAnsi="Bookman Old Style"/>
          <w:sz w:val="24"/>
          <w:szCs w:val="24"/>
        </w:rPr>
        <w:t>Anggaran</w:t>
      </w:r>
      <w:r w:rsidR="00A954D0">
        <w:rPr>
          <w:rFonts w:ascii="Bookman Old Style" w:hAnsi="Bookman Old Style"/>
          <w:sz w:val="24"/>
          <w:szCs w:val="24"/>
        </w:rPr>
        <w:t xml:space="preserve"> </w:t>
      </w:r>
      <w:r w:rsidRPr="009154EC">
        <w:rPr>
          <w:rFonts w:ascii="Bookman Old Style" w:hAnsi="Bookman Old Style"/>
          <w:sz w:val="24"/>
          <w:szCs w:val="24"/>
        </w:rPr>
        <w:t>2025</w:t>
      </w:r>
      <w:r w:rsidRPr="009154EC">
        <w:rPr>
          <w:rFonts w:ascii="Bookman Old Style" w:hAnsi="Bookman Old Style"/>
          <w:sz w:val="24"/>
          <w:szCs w:val="24"/>
          <w:lang w:val="id-ID"/>
        </w:rPr>
        <w:t>,</w:t>
      </w:r>
      <w:r w:rsidR="00A954D0">
        <w:rPr>
          <w:rFonts w:ascii="Bookman Old Style" w:hAnsi="Bookman Old Style"/>
          <w:sz w:val="24"/>
          <w:szCs w:val="24"/>
        </w:rPr>
        <w:t xml:space="preserve"> </w:t>
      </w:r>
      <w:r w:rsidRPr="009154EC">
        <w:rPr>
          <w:rFonts w:ascii="Bookman Old Style" w:hAnsi="Bookman Old Style"/>
          <w:sz w:val="24"/>
          <w:szCs w:val="24"/>
        </w:rPr>
        <w:t>yang</w:t>
      </w:r>
      <w:r w:rsidR="00A954D0">
        <w:rPr>
          <w:rFonts w:ascii="Bookman Old Style" w:hAnsi="Bookman Old Style"/>
          <w:sz w:val="24"/>
          <w:szCs w:val="24"/>
        </w:rPr>
        <w:t xml:space="preserve"> </w:t>
      </w:r>
      <w:r w:rsidRPr="009154EC">
        <w:rPr>
          <w:rFonts w:ascii="Bookman Old Style" w:hAnsi="Bookman Old Style"/>
          <w:sz w:val="24"/>
          <w:szCs w:val="24"/>
        </w:rPr>
        <w:t>diuraikan</w:t>
      </w:r>
      <w:r w:rsidR="00A954D0">
        <w:rPr>
          <w:rFonts w:ascii="Bookman Old Style" w:hAnsi="Bookman Old Style"/>
          <w:sz w:val="24"/>
          <w:szCs w:val="24"/>
        </w:rPr>
        <w:t xml:space="preserve"> </w:t>
      </w:r>
      <w:r w:rsidRPr="009154EC">
        <w:rPr>
          <w:rFonts w:ascii="Bookman Old Style" w:hAnsi="Bookman Old Style"/>
          <w:sz w:val="24"/>
          <w:szCs w:val="24"/>
        </w:rPr>
        <w:t>ke</w:t>
      </w:r>
      <w:r w:rsidR="00A954D0">
        <w:rPr>
          <w:rFonts w:ascii="Bookman Old Style" w:hAnsi="Bookman Old Style"/>
          <w:sz w:val="24"/>
          <w:szCs w:val="24"/>
        </w:rPr>
        <w:t xml:space="preserve"> </w:t>
      </w:r>
      <w:r w:rsidRPr="009154EC">
        <w:rPr>
          <w:rFonts w:ascii="Bookman Old Style" w:hAnsi="Bookman Old Style"/>
          <w:sz w:val="24"/>
          <w:szCs w:val="24"/>
        </w:rPr>
        <w:t>dalam</w:t>
      </w:r>
      <w:r w:rsidR="00A954D0">
        <w:rPr>
          <w:rFonts w:ascii="Bookman Old Style" w:hAnsi="Bookman Old Style"/>
          <w:sz w:val="24"/>
          <w:szCs w:val="24"/>
        </w:rPr>
        <w:t xml:space="preserve"> </w:t>
      </w:r>
      <w:r w:rsidRPr="009154EC">
        <w:rPr>
          <w:rFonts w:ascii="Bookman Old Style" w:hAnsi="Bookman Old Style"/>
          <w:sz w:val="24"/>
          <w:szCs w:val="24"/>
        </w:rPr>
        <w:t>rincian</w:t>
      </w:r>
      <w:r w:rsidR="00A954D0">
        <w:rPr>
          <w:rFonts w:ascii="Bookman Old Style" w:hAnsi="Bookman Old Style"/>
          <w:sz w:val="24"/>
          <w:szCs w:val="24"/>
        </w:rPr>
        <w:t xml:space="preserve"> </w:t>
      </w:r>
      <w:r w:rsidRPr="009154EC">
        <w:rPr>
          <w:rFonts w:ascii="Bookman Old Style" w:hAnsi="Bookman Old Style"/>
          <w:sz w:val="24"/>
          <w:szCs w:val="24"/>
        </w:rPr>
        <w:t>objek</w:t>
      </w:r>
      <w:r w:rsidR="00A954D0">
        <w:rPr>
          <w:rFonts w:ascii="Bookman Old Style" w:hAnsi="Bookman Old Style"/>
          <w:sz w:val="24"/>
          <w:szCs w:val="24"/>
        </w:rPr>
        <w:t xml:space="preserve"> </w:t>
      </w:r>
      <w:r w:rsidRPr="009154EC">
        <w:rPr>
          <w:rFonts w:ascii="Bookman Old Style" w:hAnsi="Bookman Old Style"/>
          <w:sz w:val="24"/>
          <w:szCs w:val="24"/>
        </w:rPr>
        <w:t>belanja:</w:t>
      </w:r>
    </w:p>
    <w:p w14:paraId="5E7845FA" w14:textId="3C2827EE" w:rsidR="00515C3A" w:rsidRPr="009154EC" w:rsidRDefault="00515C3A" w:rsidP="00154790">
      <w:pPr>
        <w:pStyle w:val="ListParagraph"/>
        <w:numPr>
          <w:ilvl w:val="0"/>
          <w:numId w:val="61"/>
        </w:numPr>
        <w:spacing w:before="60" w:after="0" w:line="276" w:lineRule="auto"/>
        <w:ind w:left="2694" w:hanging="426"/>
        <w:contextualSpacing w:val="0"/>
        <w:jc w:val="both"/>
        <w:rPr>
          <w:rFonts w:ascii="Bookman Old Style" w:hAnsi="Bookman Old Style"/>
          <w:sz w:val="24"/>
          <w:szCs w:val="24"/>
          <w:lang w:val="id-ID"/>
        </w:rPr>
      </w:pPr>
      <w:r w:rsidRPr="009154EC">
        <w:rPr>
          <w:rFonts w:ascii="Bookman Old Style" w:hAnsi="Bookman Old Style"/>
          <w:sz w:val="24"/>
          <w:szCs w:val="24"/>
        </w:rPr>
        <w:t>Belanja</w:t>
      </w:r>
      <w:r w:rsidR="00A954D0">
        <w:rPr>
          <w:rFonts w:ascii="Bookman Old Style" w:hAnsi="Bookman Old Style"/>
          <w:sz w:val="24"/>
          <w:szCs w:val="24"/>
        </w:rPr>
        <w:t xml:space="preserve"> </w:t>
      </w:r>
      <w:r w:rsidRPr="009154EC">
        <w:rPr>
          <w:rFonts w:ascii="Bookman Old Style" w:hAnsi="Bookman Old Style"/>
          <w:sz w:val="24"/>
          <w:szCs w:val="24"/>
        </w:rPr>
        <w:t>Modal</w:t>
      </w:r>
      <w:r w:rsidR="00A954D0">
        <w:rPr>
          <w:rFonts w:ascii="Bookman Old Style" w:hAnsi="Bookman Old Style"/>
          <w:sz w:val="24"/>
          <w:szCs w:val="24"/>
        </w:rPr>
        <w:t xml:space="preserve"> </w:t>
      </w:r>
      <w:r w:rsidRPr="009154EC">
        <w:rPr>
          <w:rFonts w:ascii="Bookman Old Style" w:hAnsi="Bookman Old Style"/>
          <w:sz w:val="24"/>
          <w:szCs w:val="24"/>
        </w:rPr>
        <w:t>Alat</w:t>
      </w:r>
      <w:r w:rsidR="00A954D0">
        <w:rPr>
          <w:rFonts w:ascii="Bookman Old Style" w:hAnsi="Bookman Old Style"/>
          <w:sz w:val="24"/>
          <w:szCs w:val="24"/>
        </w:rPr>
        <w:t xml:space="preserve"> </w:t>
      </w:r>
      <w:r w:rsidRPr="009154EC">
        <w:rPr>
          <w:rFonts w:ascii="Bookman Old Style" w:hAnsi="Bookman Old Style"/>
          <w:sz w:val="24"/>
          <w:szCs w:val="24"/>
        </w:rPr>
        <w:t>Kantor</w:t>
      </w:r>
      <w:r w:rsidR="00A954D0">
        <w:rPr>
          <w:rFonts w:ascii="Bookman Old Style" w:hAnsi="Bookman Old Style"/>
          <w:sz w:val="24"/>
          <w:szCs w:val="24"/>
        </w:rPr>
        <w:t xml:space="preserve"> </w:t>
      </w:r>
      <w:r w:rsidRPr="009154EC">
        <w:rPr>
          <w:rFonts w:ascii="Bookman Old Style" w:hAnsi="Bookman Old Style"/>
          <w:sz w:val="24"/>
          <w:szCs w:val="24"/>
        </w:rPr>
        <w:t>Rp13.006.110.693,00;</w:t>
      </w:r>
    </w:p>
    <w:p w14:paraId="47216914" w14:textId="7ECC2D12" w:rsidR="00515C3A" w:rsidRPr="009154EC" w:rsidRDefault="00515C3A" w:rsidP="00154790">
      <w:pPr>
        <w:pStyle w:val="ListParagraph"/>
        <w:numPr>
          <w:ilvl w:val="0"/>
          <w:numId w:val="61"/>
        </w:numPr>
        <w:spacing w:before="60" w:after="0" w:line="276" w:lineRule="auto"/>
        <w:ind w:left="2694" w:hanging="426"/>
        <w:contextualSpacing w:val="0"/>
        <w:jc w:val="both"/>
        <w:rPr>
          <w:rFonts w:ascii="Bookman Old Style" w:hAnsi="Bookman Old Style"/>
          <w:sz w:val="24"/>
          <w:szCs w:val="24"/>
        </w:rPr>
      </w:pPr>
      <w:r w:rsidRPr="009154EC">
        <w:rPr>
          <w:rFonts w:ascii="Bookman Old Style" w:hAnsi="Bookman Old Style"/>
          <w:sz w:val="24"/>
          <w:szCs w:val="24"/>
        </w:rPr>
        <w:t>Belanja</w:t>
      </w:r>
      <w:r w:rsidR="00A954D0">
        <w:rPr>
          <w:rFonts w:ascii="Bookman Old Style" w:hAnsi="Bookman Old Style"/>
          <w:sz w:val="24"/>
          <w:szCs w:val="24"/>
        </w:rPr>
        <w:t xml:space="preserve"> </w:t>
      </w:r>
      <w:r w:rsidRPr="009154EC">
        <w:rPr>
          <w:rFonts w:ascii="Bookman Old Style" w:hAnsi="Bookman Old Style"/>
          <w:sz w:val="24"/>
          <w:szCs w:val="24"/>
        </w:rPr>
        <w:t>Modal</w:t>
      </w:r>
      <w:r w:rsidR="00A954D0">
        <w:rPr>
          <w:rFonts w:ascii="Bookman Old Style" w:hAnsi="Bookman Old Style"/>
          <w:sz w:val="24"/>
          <w:szCs w:val="24"/>
        </w:rPr>
        <w:t xml:space="preserve"> </w:t>
      </w:r>
      <w:r w:rsidRPr="009154EC">
        <w:rPr>
          <w:rFonts w:ascii="Bookman Old Style" w:hAnsi="Bookman Old Style"/>
          <w:sz w:val="24"/>
          <w:szCs w:val="24"/>
        </w:rPr>
        <w:t>Alat</w:t>
      </w:r>
      <w:r w:rsidR="00A954D0">
        <w:rPr>
          <w:rFonts w:ascii="Bookman Old Style" w:hAnsi="Bookman Old Style"/>
          <w:sz w:val="24"/>
          <w:szCs w:val="24"/>
        </w:rPr>
        <w:t xml:space="preserve"> </w:t>
      </w:r>
      <w:r w:rsidRPr="009154EC">
        <w:rPr>
          <w:rFonts w:ascii="Bookman Old Style" w:hAnsi="Bookman Old Style"/>
          <w:sz w:val="24"/>
          <w:szCs w:val="24"/>
        </w:rPr>
        <w:t>Rumah</w:t>
      </w:r>
      <w:r w:rsidR="00A954D0">
        <w:rPr>
          <w:rFonts w:ascii="Bookman Old Style" w:hAnsi="Bookman Old Style"/>
          <w:sz w:val="24"/>
          <w:szCs w:val="24"/>
        </w:rPr>
        <w:t xml:space="preserve"> </w:t>
      </w:r>
      <w:r w:rsidRPr="009154EC">
        <w:rPr>
          <w:rFonts w:ascii="Bookman Old Style" w:hAnsi="Bookman Old Style"/>
          <w:sz w:val="24"/>
          <w:szCs w:val="24"/>
        </w:rPr>
        <w:t>Tangga</w:t>
      </w:r>
      <w:r w:rsidR="00A954D0">
        <w:rPr>
          <w:rFonts w:ascii="Bookman Old Style" w:hAnsi="Bookman Old Style"/>
          <w:sz w:val="24"/>
          <w:szCs w:val="24"/>
        </w:rPr>
        <w:t xml:space="preserve"> </w:t>
      </w:r>
      <w:r w:rsidRPr="009154EC">
        <w:rPr>
          <w:rFonts w:ascii="Bookman Old Style" w:hAnsi="Bookman Old Style"/>
          <w:sz w:val="24"/>
          <w:szCs w:val="24"/>
        </w:rPr>
        <w:t>Rp34.286.301.506,00;</w:t>
      </w:r>
      <w:r w:rsidR="00A954D0">
        <w:rPr>
          <w:rFonts w:ascii="Bookman Old Style" w:hAnsi="Bookman Old Style"/>
          <w:sz w:val="24"/>
          <w:szCs w:val="24"/>
        </w:rPr>
        <w:t xml:space="preserve"> </w:t>
      </w:r>
    </w:p>
    <w:p w14:paraId="67C8F543" w14:textId="208046F6" w:rsidR="00515C3A" w:rsidRPr="009154EC" w:rsidRDefault="00515C3A" w:rsidP="00154790">
      <w:pPr>
        <w:pStyle w:val="ListParagraph"/>
        <w:numPr>
          <w:ilvl w:val="0"/>
          <w:numId w:val="61"/>
        </w:numPr>
        <w:spacing w:before="60" w:after="0" w:line="276" w:lineRule="auto"/>
        <w:ind w:left="2694" w:hanging="426"/>
        <w:contextualSpacing w:val="0"/>
        <w:jc w:val="both"/>
        <w:rPr>
          <w:rFonts w:ascii="Bookman Old Style" w:hAnsi="Bookman Old Style"/>
          <w:sz w:val="24"/>
          <w:szCs w:val="24"/>
        </w:rPr>
      </w:pPr>
      <w:r w:rsidRPr="009154EC">
        <w:rPr>
          <w:rFonts w:ascii="Bookman Old Style" w:hAnsi="Bookman Old Style"/>
          <w:sz w:val="24"/>
          <w:szCs w:val="24"/>
        </w:rPr>
        <w:t>Belanja</w:t>
      </w:r>
      <w:r w:rsidR="00A954D0">
        <w:rPr>
          <w:rFonts w:ascii="Bookman Old Style" w:hAnsi="Bookman Old Style"/>
          <w:sz w:val="24"/>
          <w:szCs w:val="24"/>
        </w:rPr>
        <w:t xml:space="preserve"> </w:t>
      </w:r>
      <w:r w:rsidRPr="009154EC">
        <w:rPr>
          <w:rFonts w:ascii="Bookman Old Style" w:hAnsi="Bookman Old Style"/>
          <w:sz w:val="24"/>
          <w:szCs w:val="24"/>
        </w:rPr>
        <w:t>Modal</w:t>
      </w:r>
      <w:r w:rsidR="00A954D0">
        <w:rPr>
          <w:rFonts w:ascii="Bookman Old Style" w:hAnsi="Bookman Old Style"/>
          <w:sz w:val="24"/>
          <w:szCs w:val="24"/>
        </w:rPr>
        <w:t xml:space="preserve"> </w:t>
      </w:r>
      <w:r w:rsidRPr="009154EC">
        <w:rPr>
          <w:rFonts w:ascii="Bookman Old Style" w:hAnsi="Bookman Old Style"/>
          <w:sz w:val="24"/>
          <w:szCs w:val="24"/>
        </w:rPr>
        <w:t>Meja</w:t>
      </w:r>
      <w:r w:rsidR="00A954D0">
        <w:rPr>
          <w:rFonts w:ascii="Bookman Old Style" w:hAnsi="Bookman Old Style"/>
          <w:sz w:val="24"/>
          <w:szCs w:val="24"/>
        </w:rPr>
        <w:t xml:space="preserve"> </w:t>
      </w:r>
      <w:r w:rsidRPr="009154EC">
        <w:rPr>
          <w:rFonts w:ascii="Bookman Old Style" w:hAnsi="Bookman Old Style"/>
          <w:sz w:val="24"/>
          <w:szCs w:val="24"/>
        </w:rPr>
        <w:t>dan</w:t>
      </w:r>
      <w:r w:rsidR="00A954D0">
        <w:rPr>
          <w:rFonts w:ascii="Bookman Old Style" w:hAnsi="Bookman Old Style"/>
          <w:sz w:val="24"/>
          <w:szCs w:val="24"/>
        </w:rPr>
        <w:t xml:space="preserve"> </w:t>
      </w:r>
      <w:r w:rsidRPr="009154EC">
        <w:rPr>
          <w:rFonts w:ascii="Bookman Old Style" w:hAnsi="Bookman Old Style"/>
          <w:sz w:val="24"/>
          <w:szCs w:val="24"/>
        </w:rPr>
        <w:t>Kursi</w:t>
      </w:r>
      <w:r w:rsidR="00A954D0">
        <w:rPr>
          <w:rFonts w:ascii="Bookman Old Style" w:hAnsi="Bookman Old Style"/>
          <w:sz w:val="24"/>
          <w:szCs w:val="24"/>
        </w:rPr>
        <w:t xml:space="preserve"> </w:t>
      </w:r>
      <w:r w:rsidRPr="009154EC">
        <w:rPr>
          <w:rFonts w:ascii="Bookman Old Style" w:hAnsi="Bookman Old Style"/>
          <w:sz w:val="24"/>
          <w:szCs w:val="24"/>
        </w:rPr>
        <w:t>Kerja/Rapat</w:t>
      </w:r>
      <w:r w:rsidR="00A954D0">
        <w:rPr>
          <w:rFonts w:ascii="Bookman Old Style" w:hAnsi="Bookman Old Style"/>
          <w:sz w:val="24"/>
          <w:szCs w:val="24"/>
        </w:rPr>
        <w:t xml:space="preserve"> </w:t>
      </w:r>
      <w:r w:rsidRPr="009154EC">
        <w:rPr>
          <w:rFonts w:ascii="Bookman Old Style" w:hAnsi="Bookman Old Style"/>
          <w:sz w:val="24"/>
          <w:szCs w:val="24"/>
        </w:rPr>
        <w:t>Pejabat</w:t>
      </w:r>
      <w:r w:rsidR="00A954D0">
        <w:rPr>
          <w:rFonts w:ascii="Bookman Old Style" w:hAnsi="Bookman Old Style"/>
          <w:sz w:val="24"/>
          <w:szCs w:val="24"/>
        </w:rPr>
        <w:t xml:space="preserve"> </w:t>
      </w:r>
      <w:r w:rsidRPr="009154EC">
        <w:rPr>
          <w:rFonts w:ascii="Bookman Old Style" w:hAnsi="Bookman Old Style"/>
          <w:sz w:val="24"/>
          <w:szCs w:val="24"/>
        </w:rPr>
        <w:t>Rp25.363.000,00.</w:t>
      </w:r>
    </w:p>
    <w:p w14:paraId="2375F2BE" w14:textId="35B3E9BA" w:rsidR="00515C3A" w:rsidRDefault="00515C3A" w:rsidP="00154790">
      <w:pPr>
        <w:pStyle w:val="ListParagraph"/>
        <w:numPr>
          <w:ilvl w:val="0"/>
          <w:numId w:val="148"/>
        </w:numPr>
        <w:spacing w:before="60" w:after="0" w:line="276" w:lineRule="auto"/>
        <w:ind w:left="2268" w:hanging="567"/>
        <w:contextualSpacing w:val="0"/>
        <w:jc w:val="both"/>
        <w:rPr>
          <w:rFonts w:ascii="Bookman Old Style" w:hAnsi="Bookman Old Style"/>
          <w:sz w:val="24"/>
          <w:szCs w:val="24"/>
        </w:rPr>
      </w:pPr>
      <w:r w:rsidRPr="00D35392">
        <w:rPr>
          <w:rFonts w:ascii="Bookman Old Style" w:hAnsi="Bookman Old Style"/>
          <w:sz w:val="24"/>
          <w:szCs w:val="24"/>
        </w:rPr>
        <w:t>Belanja</w:t>
      </w:r>
      <w:r w:rsidR="00A954D0">
        <w:rPr>
          <w:rFonts w:ascii="Bookman Old Style" w:hAnsi="Bookman Old Style"/>
          <w:sz w:val="24"/>
          <w:szCs w:val="24"/>
        </w:rPr>
        <w:t xml:space="preserve"> </w:t>
      </w:r>
      <w:r w:rsidRPr="00D35392">
        <w:rPr>
          <w:rFonts w:ascii="Bookman Old Style" w:hAnsi="Bookman Old Style"/>
          <w:sz w:val="24"/>
          <w:szCs w:val="24"/>
        </w:rPr>
        <w:t>Modal</w:t>
      </w:r>
      <w:r w:rsidR="00A954D0">
        <w:rPr>
          <w:rFonts w:ascii="Bookman Old Style" w:hAnsi="Bookman Old Style"/>
          <w:sz w:val="24"/>
          <w:szCs w:val="24"/>
        </w:rPr>
        <w:t xml:space="preserve"> </w:t>
      </w:r>
      <w:r w:rsidRPr="00D35392">
        <w:rPr>
          <w:rFonts w:ascii="Bookman Old Style" w:hAnsi="Bookman Old Style"/>
          <w:sz w:val="24"/>
          <w:szCs w:val="24"/>
        </w:rPr>
        <w:t>Alat</w:t>
      </w:r>
      <w:r w:rsidR="00A954D0">
        <w:rPr>
          <w:rFonts w:ascii="Bookman Old Style" w:hAnsi="Bookman Old Style"/>
          <w:sz w:val="24"/>
          <w:szCs w:val="24"/>
        </w:rPr>
        <w:t xml:space="preserve"> </w:t>
      </w:r>
      <w:r w:rsidRPr="00D35392">
        <w:rPr>
          <w:rFonts w:ascii="Bookman Old Style" w:hAnsi="Bookman Old Style"/>
          <w:sz w:val="24"/>
          <w:szCs w:val="24"/>
        </w:rPr>
        <w:t>Studio,</w:t>
      </w:r>
      <w:r w:rsidR="00A954D0">
        <w:rPr>
          <w:rFonts w:ascii="Bookman Old Style" w:hAnsi="Bookman Old Style"/>
          <w:sz w:val="24"/>
          <w:szCs w:val="24"/>
        </w:rPr>
        <w:t xml:space="preserve"> </w:t>
      </w:r>
      <w:r w:rsidRPr="00D35392">
        <w:rPr>
          <w:rFonts w:ascii="Bookman Old Style" w:hAnsi="Bookman Old Style"/>
          <w:sz w:val="24"/>
          <w:szCs w:val="24"/>
        </w:rPr>
        <w:t>Komunikasi,</w:t>
      </w:r>
      <w:r w:rsidR="00A954D0">
        <w:rPr>
          <w:rFonts w:ascii="Bookman Old Style" w:hAnsi="Bookman Old Style"/>
          <w:sz w:val="24"/>
          <w:szCs w:val="24"/>
        </w:rPr>
        <w:t xml:space="preserve"> </w:t>
      </w:r>
      <w:r w:rsidRPr="00D35392">
        <w:rPr>
          <w:rFonts w:ascii="Bookman Old Style" w:hAnsi="Bookman Old Style"/>
          <w:sz w:val="24"/>
          <w:szCs w:val="24"/>
        </w:rPr>
        <w:t>dan</w:t>
      </w:r>
      <w:r w:rsidR="00A954D0">
        <w:rPr>
          <w:rFonts w:ascii="Bookman Old Style" w:hAnsi="Bookman Old Style"/>
          <w:sz w:val="24"/>
          <w:szCs w:val="24"/>
        </w:rPr>
        <w:t xml:space="preserve"> </w:t>
      </w:r>
      <w:r w:rsidRPr="00D35392">
        <w:rPr>
          <w:rFonts w:ascii="Bookman Old Style" w:hAnsi="Bookman Old Style"/>
          <w:sz w:val="24"/>
          <w:szCs w:val="24"/>
        </w:rPr>
        <w:t>Pemancar</w:t>
      </w:r>
      <w:r w:rsidR="00A954D0">
        <w:rPr>
          <w:rFonts w:ascii="Bookman Old Style" w:hAnsi="Bookman Old Style"/>
          <w:sz w:val="24"/>
          <w:szCs w:val="24"/>
        </w:rPr>
        <w:t xml:space="preserve"> </w:t>
      </w:r>
      <w:r w:rsidRPr="00D35392">
        <w:rPr>
          <w:rFonts w:ascii="Bookman Old Style" w:hAnsi="Bookman Old Style"/>
          <w:sz w:val="24"/>
          <w:szCs w:val="24"/>
        </w:rPr>
        <w:t>Rp2.136.143.660,00</w:t>
      </w:r>
      <w:r w:rsidR="00A954D0">
        <w:rPr>
          <w:rFonts w:ascii="Bookman Old Style" w:hAnsi="Bookman Old Style"/>
          <w:sz w:val="24"/>
          <w:szCs w:val="24"/>
        </w:rPr>
        <w:t xml:space="preserve"> </w:t>
      </w:r>
      <w:r w:rsidRPr="00D35392">
        <w:rPr>
          <w:rFonts w:ascii="Bookman Old Style" w:hAnsi="Bookman Old Style"/>
          <w:sz w:val="24"/>
          <w:szCs w:val="24"/>
        </w:rPr>
        <w:t>atau</w:t>
      </w:r>
      <w:r w:rsidR="00A954D0">
        <w:rPr>
          <w:rFonts w:ascii="Bookman Old Style" w:hAnsi="Bookman Old Style"/>
          <w:sz w:val="24"/>
          <w:szCs w:val="24"/>
        </w:rPr>
        <w:t xml:space="preserve"> </w:t>
      </w:r>
      <w:r w:rsidRPr="00D35392">
        <w:rPr>
          <w:rFonts w:ascii="Bookman Old Style" w:hAnsi="Bookman Old Style"/>
          <w:sz w:val="24"/>
          <w:szCs w:val="24"/>
        </w:rPr>
        <w:t>0,04%</w:t>
      </w:r>
      <w:r w:rsidR="00A954D0">
        <w:rPr>
          <w:rFonts w:ascii="Bookman Old Style" w:hAnsi="Bookman Old Style"/>
          <w:sz w:val="24"/>
          <w:szCs w:val="24"/>
        </w:rPr>
        <w:t xml:space="preserve"> </w:t>
      </w:r>
      <w:r w:rsidRPr="00D35392">
        <w:rPr>
          <w:rFonts w:ascii="Bookman Old Style" w:hAnsi="Bookman Old Style"/>
          <w:sz w:val="24"/>
          <w:szCs w:val="24"/>
        </w:rPr>
        <w:t>dari</w:t>
      </w:r>
      <w:r w:rsidR="00A954D0">
        <w:rPr>
          <w:rFonts w:ascii="Bookman Old Style" w:hAnsi="Bookman Old Style"/>
          <w:sz w:val="24"/>
          <w:szCs w:val="24"/>
        </w:rPr>
        <w:t xml:space="preserve"> </w:t>
      </w:r>
      <w:r w:rsidRPr="00D35392">
        <w:rPr>
          <w:rFonts w:ascii="Bookman Old Style" w:hAnsi="Bookman Old Style"/>
          <w:sz w:val="24"/>
          <w:szCs w:val="24"/>
        </w:rPr>
        <w:t>total</w:t>
      </w:r>
      <w:r w:rsidR="00A954D0">
        <w:rPr>
          <w:rFonts w:ascii="Bookman Old Style" w:hAnsi="Bookman Old Style"/>
          <w:sz w:val="24"/>
          <w:szCs w:val="24"/>
        </w:rPr>
        <w:t xml:space="preserve"> </w:t>
      </w:r>
      <w:r w:rsidRPr="00D35392">
        <w:rPr>
          <w:rFonts w:ascii="Bookman Old Style" w:hAnsi="Bookman Old Style"/>
          <w:sz w:val="24"/>
          <w:szCs w:val="24"/>
        </w:rPr>
        <w:t>belanja</w:t>
      </w:r>
      <w:r w:rsidR="00A954D0">
        <w:rPr>
          <w:rFonts w:ascii="Bookman Old Style" w:hAnsi="Bookman Old Style"/>
          <w:sz w:val="24"/>
          <w:szCs w:val="24"/>
        </w:rPr>
        <w:t xml:space="preserve"> </w:t>
      </w:r>
      <w:r w:rsidRPr="00D35392">
        <w:rPr>
          <w:rFonts w:ascii="Bookman Old Style" w:hAnsi="Bookman Old Style"/>
          <w:sz w:val="24"/>
          <w:szCs w:val="24"/>
        </w:rPr>
        <w:t>daerah</w:t>
      </w:r>
      <w:r w:rsidR="00A954D0">
        <w:rPr>
          <w:rFonts w:ascii="Bookman Old Style" w:hAnsi="Bookman Old Style"/>
          <w:sz w:val="24"/>
          <w:szCs w:val="24"/>
        </w:rPr>
        <w:t xml:space="preserve"> </w:t>
      </w:r>
      <w:r w:rsidRPr="00D35392">
        <w:rPr>
          <w:rFonts w:ascii="Bookman Old Style" w:hAnsi="Bookman Old Style"/>
          <w:sz w:val="24"/>
          <w:szCs w:val="24"/>
        </w:rPr>
        <w:t>dalam</w:t>
      </w:r>
      <w:r w:rsidR="00A954D0">
        <w:rPr>
          <w:rFonts w:ascii="Bookman Old Style" w:hAnsi="Bookman Old Style"/>
          <w:sz w:val="24"/>
          <w:szCs w:val="24"/>
        </w:rPr>
        <w:t xml:space="preserve"> </w:t>
      </w:r>
      <w:r w:rsidRPr="00D35392">
        <w:rPr>
          <w:rFonts w:ascii="Bookman Old Style" w:hAnsi="Bookman Old Style"/>
          <w:sz w:val="24"/>
          <w:szCs w:val="24"/>
        </w:rPr>
        <w:t>Rancangan</w:t>
      </w:r>
      <w:r w:rsidR="00A954D0">
        <w:rPr>
          <w:rFonts w:ascii="Bookman Old Style" w:hAnsi="Bookman Old Style"/>
          <w:sz w:val="24"/>
          <w:szCs w:val="24"/>
        </w:rPr>
        <w:t xml:space="preserve"> </w:t>
      </w:r>
      <w:r w:rsidRPr="00D35392">
        <w:rPr>
          <w:rFonts w:ascii="Bookman Old Style" w:hAnsi="Bookman Old Style"/>
          <w:sz w:val="24"/>
          <w:szCs w:val="24"/>
        </w:rPr>
        <w:t>Peraturan</w:t>
      </w:r>
      <w:r w:rsidR="00A954D0">
        <w:rPr>
          <w:rFonts w:ascii="Bookman Old Style" w:hAnsi="Bookman Old Style"/>
          <w:sz w:val="24"/>
          <w:szCs w:val="24"/>
        </w:rPr>
        <w:t xml:space="preserve"> </w:t>
      </w:r>
      <w:r w:rsidRPr="00D35392">
        <w:rPr>
          <w:rFonts w:ascii="Bookman Old Style" w:hAnsi="Bookman Old Style"/>
          <w:sz w:val="24"/>
          <w:szCs w:val="24"/>
        </w:rPr>
        <w:t>Daerah</w:t>
      </w:r>
      <w:r w:rsidR="00A954D0">
        <w:rPr>
          <w:rFonts w:ascii="Bookman Old Style" w:hAnsi="Bookman Old Style"/>
          <w:sz w:val="24"/>
          <w:szCs w:val="24"/>
        </w:rPr>
        <w:t xml:space="preserve"> </w:t>
      </w:r>
      <w:r w:rsidRPr="00D35392">
        <w:rPr>
          <w:rFonts w:ascii="Bookman Old Style" w:hAnsi="Bookman Old Style"/>
          <w:sz w:val="24"/>
          <w:szCs w:val="24"/>
        </w:rPr>
        <w:t>Kota</w:t>
      </w:r>
      <w:r w:rsidR="00A954D0">
        <w:rPr>
          <w:rFonts w:ascii="Bookman Old Style" w:hAnsi="Bookman Old Style"/>
          <w:sz w:val="24"/>
          <w:szCs w:val="24"/>
        </w:rPr>
        <w:t xml:space="preserve"> </w:t>
      </w:r>
      <w:r w:rsidRPr="00D35392">
        <w:rPr>
          <w:rFonts w:ascii="Bookman Old Style" w:hAnsi="Bookman Old Style"/>
          <w:sz w:val="24"/>
          <w:szCs w:val="24"/>
        </w:rPr>
        <w:t>Tangerang</w:t>
      </w:r>
      <w:r w:rsidR="00A954D0">
        <w:rPr>
          <w:rFonts w:ascii="Bookman Old Style" w:hAnsi="Bookman Old Style"/>
          <w:sz w:val="24"/>
          <w:szCs w:val="24"/>
        </w:rPr>
        <w:t xml:space="preserve"> </w:t>
      </w:r>
      <w:r w:rsidRPr="00D35392">
        <w:rPr>
          <w:rFonts w:ascii="Bookman Old Style" w:hAnsi="Bookman Old Style"/>
          <w:sz w:val="24"/>
          <w:szCs w:val="24"/>
        </w:rPr>
        <w:t>tentang</w:t>
      </w:r>
      <w:r w:rsidR="00A954D0">
        <w:rPr>
          <w:rFonts w:ascii="Bookman Old Style" w:hAnsi="Bookman Old Style"/>
          <w:sz w:val="24"/>
          <w:szCs w:val="24"/>
        </w:rPr>
        <w:t xml:space="preserve"> </w:t>
      </w:r>
      <w:r w:rsidRPr="00D35392">
        <w:rPr>
          <w:rFonts w:ascii="Bookman Old Style" w:hAnsi="Bookman Old Style"/>
          <w:sz w:val="24"/>
          <w:szCs w:val="24"/>
        </w:rPr>
        <w:t>APBD</w:t>
      </w:r>
      <w:r w:rsidR="00A954D0">
        <w:rPr>
          <w:rFonts w:ascii="Bookman Old Style" w:hAnsi="Bookman Old Style"/>
          <w:sz w:val="24"/>
          <w:szCs w:val="24"/>
        </w:rPr>
        <w:t xml:space="preserve"> </w:t>
      </w:r>
      <w:r w:rsidRPr="00D35392">
        <w:rPr>
          <w:rFonts w:ascii="Bookman Old Style" w:hAnsi="Bookman Old Style"/>
          <w:sz w:val="24"/>
          <w:szCs w:val="24"/>
        </w:rPr>
        <w:t>Tahun</w:t>
      </w:r>
      <w:r w:rsidR="00A954D0">
        <w:rPr>
          <w:rFonts w:ascii="Bookman Old Style" w:hAnsi="Bookman Old Style"/>
          <w:sz w:val="24"/>
          <w:szCs w:val="24"/>
        </w:rPr>
        <w:t xml:space="preserve"> </w:t>
      </w:r>
      <w:r w:rsidRPr="00D35392">
        <w:rPr>
          <w:rFonts w:ascii="Bookman Old Style" w:hAnsi="Bookman Old Style"/>
          <w:sz w:val="24"/>
          <w:szCs w:val="24"/>
        </w:rPr>
        <w:t>Anggaran</w:t>
      </w:r>
      <w:r w:rsidR="00A954D0">
        <w:rPr>
          <w:rFonts w:ascii="Bookman Old Style" w:hAnsi="Bookman Old Style"/>
          <w:sz w:val="24"/>
          <w:szCs w:val="24"/>
        </w:rPr>
        <w:t xml:space="preserve"> </w:t>
      </w:r>
      <w:r w:rsidRPr="00D35392">
        <w:rPr>
          <w:rFonts w:ascii="Bookman Old Style" w:hAnsi="Bookman Old Style"/>
          <w:sz w:val="24"/>
          <w:szCs w:val="24"/>
        </w:rPr>
        <w:t>2025,</w:t>
      </w:r>
      <w:r w:rsidR="00A954D0">
        <w:rPr>
          <w:rFonts w:ascii="Bookman Old Style" w:hAnsi="Bookman Old Style"/>
          <w:sz w:val="24"/>
          <w:szCs w:val="24"/>
        </w:rPr>
        <w:t xml:space="preserve"> </w:t>
      </w:r>
      <w:r w:rsidRPr="00D35392">
        <w:rPr>
          <w:rFonts w:ascii="Bookman Old Style" w:hAnsi="Bookman Old Style"/>
          <w:sz w:val="24"/>
          <w:szCs w:val="24"/>
        </w:rPr>
        <w:t>yang</w:t>
      </w:r>
      <w:r w:rsidR="00A954D0">
        <w:rPr>
          <w:rFonts w:ascii="Bookman Old Style" w:hAnsi="Bookman Old Style"/>
          <w:sz w:val="24"/>
          <w:szCs w:val="24"/>
        </w:rPr>
        <w:t xml:space="preserve"> </w:t>
      </w:r>
      <w:r w:rsidRPr="00D35392">
        <w:rPr>
          <w:rFonts w:ascii="Bookman Old Style" w:hAnsi="Bookman Old Style"/>
          <w:sz w:val="24"/>
          <w:szCs w:val="24"/>
        </w:rPr>
        <w:t>diuraikan</w:t>
      </w:r>
      <w:r w:rsidR="00A954D0">
        <w:rPr>
          <w:rFonts w:ascii="Bookman Old Style" w:hAnsi="Bookman Old Style"/>
          <w:sz w:val="24"/>
          <w:szCs w:val="24"/>
        </w:rPr>
        <w:t xml:space="preserve"> </w:t>
      </w:r>
      <w:r w:rsidRPr="00D35392">
        <w:rPr>
          <w:rFonts w:ascii="Bookman Old Style" w:hAnsi="Bookman Old Style"/>
          <w:sz w:val="24"/>
          <w:szCs w:val="24"/>
        </w:rPr>
        <w:t>ke</w:t>
      </w:r>
      <w:r w:rsidR="00A954D0">
        <w:rPr>
          <w:rFonts w:ascii="Bookman Old Style" w:hAnsi="Bookman Old Style"/>
          <w:sz w:val="24"/>
          <w:szCs w:val="24"/>
        </w:rPr>
        <w:t xml:space="preserve"> </w:t>
      </w:r>
      <w:r w:rsidRPr="00D35392">
        <w:rPr>
          <w:rFonts w:ascii="Bookman Old Style" w:hAnsi="Bookman Old Style"/>
          <w:sz w:val="24"/>
          <w:szCs w:val="24"/>
        </w:rPr>
        <w:t>dalam</w:t>
      </w:r>
      <w:r w:rsidR="00A954D0">
        <w:rPr>
          <w:rFonts w:ascii="Bookman Old Style" w:hAnsi="Bookman Old Style"/>
          <w:sz w:val="24"/>
          <w:szCs w:val="24"/>
        </w:rPr>
        <w:t xml:space="preserve"> </w:t>
      </w:r>
      <w:r w:rsidRPr="00D35392">
        <w:rPr>
          <w:rFonts w:ascii="Bookman Old Style" w:hAnsi="Bookman Old Style"/>
          <w:sz w:val="24"/>
          <w:szCs w:val="24"/>
        </w:rPr>
        <w:t>rincian</w:t>
      </w:r>
      <w:r w:rsidR="00A954D0">
        <w:rPr>
          <w:rFonts w:ascii="Bookman Old Style" w:hAnsi="Bookman Old Style"/>
          <w:sz w:val="24"/>
          <w:szCs w:val="24"/>
        </w:rPr>
        <w:t xml:space="preserve"> </w:t>
      </w:r>
      <w:r w:rsidRPr="00D35392">
        <w:rPr>
          <w:rFonts w:ascii="Bookman Old Style" w:hAnsi="Bookman Old Style"/>
          <w:sz w:val="24"/>
          <w:szCs w:val="24"/>
        </w:rPr>
        <w:t>objek</w:t>
      </w:r>
      <w:r w:rsidR="00A954D0">
        <w:rPr>
          <w:rFonts w:ascii="Bookman Old Style" w:hAnsi="Bookman Old Style"/>
          <w:sz w:val="24"/>
          <w:szCs w:val="24"/>
        </w:rPr>
        <w:t xml:space="preserve"> </w:t>
      </w:r>
      <w:r w:rsidRPr="00D35392">
        <w:rPr>
          <w:rFonts w:ascii="Bookman Old Style" w:hAnsi="Bookman Old Style"/>
          <w:sz w:val="24"/>
          <w:szCs w:val="24"/>
        </w:rPr>
        <w:t>belanja:</w:t>
      </w:r>
    </w:p>
    <w:p w14:paraId="7EEE2FF9" w14:textId="6A03526C" w:rsidR="00515C3A" w:rsidRPr="00D35392" w:rsidRDefault="00515C3A" w:rsidP="00154790">
      <w:pPr>
        <w:pStyle w:val="ListParagraph"/>
        <w:numPr>
          <w:ilvl w:val="0"/>
          <w:numId w:val="166"/>
        </w:numPr>
        <w:spacing w:before="60" w:after="0" w:line="276" w:lineRule="auto"/>
        <w:ind w:left="2706" w:hanging="438"/>
        <w:contextualSpacing w:val="0"/>
        <w:jc w:val="both"/>
        <w:rPr>
          <w:rFonts w:ascii="Bookman Old Style" w:hAnsi="Bookman Old Style"/>
          <w:sz w:val="24"/>
          <w:szCs w:val="24"/>
        </w:rPr>
      </w:pPr>
      <w:r w:rsidRPr="00D35392">
        <w:rPr>
          <w:rFonts w:ascii="Bookman Old Style" w:hAnsi="Bookman Old Style"/>
          <w:sz w:val="24"/>
          <w:szCs w:val="24"/>
        </w:rPr>
        <w:lastRenderedPageBreak/>
        <w:t>Belanja</w:t>
      </w:r>
      <w:r w:rsidR="00A954D0">
        <w:rPr>
          <w:rFonts w:ascii="Bookman Old Style" w:hAnsi="Bookman Old Style"/>
          <w:sz w:val="24"/>
          <w:szCs w:val="24"/>
        </w:rPr>
        <w:t xml:space="preserve"> </w:t>
      </w:r>
      <w:r w:rsidRPr="00D35392">
        <w:rPr>
          <w:rFonts w:ascii="Bookman Old Style" w:hAnsi="Bookman Old Style"/>
          <w:sz w:val="24"/>
          <w:szCs w:val="24"/>
        </w:rPr>
        <w:t>Modal</w:t>
      </w:r>
      <w:r w:rsidR="00A954D0">
        <w:rPr>
          <w:rFonts w:ascii="Bookman Old Style" w:hAnsi="Bookman Old Style"/>
          <w:sz w:val="24"/>
          <w:szCs w:val="24"/>
        </w:rPr>
        <w:t xml:space="preserve"> </w:t>
      </w:r>
      <w:r w:rsidRPr="00D35392">
        <w:rPr>
          <w:rFonts w:ascii="Bookman Old Style" w:hAnsi="Bookman Old Style"/>
          <w:sz w:val="24"/>
          <w:szCs w:val="24"/>
        </w:rPr>
        <w:t>Alat</w:t>
      </w:r>
      <w:r w:rsidR="00A954D0">
        <w:rPr>
          <w:rFonts w:ascii="Bookman Old Style" w:hAnsi="Bookman Old Style"/>
          <w:sz w:val="24"/>
          <w:szCs w:val="24"/>
        </w:rPr>
        <w:t xml:space="preserve"> </w:t>
      </w:r>
      <w:r w:rsidRPr="00D35392">
        <w:rPr>
          <w:rFonts w:ascii="Bookman Old Style" w:hAnsi="Bookman Old Style"/>
          <w:sz w:val="24"/>
          <w:szCs w:val="24"/>
        </w:rPr>
        <w:t>Studio</w:t>
      </w:r>
      <w:r w:rsidR="00A954D0">
        <w:rPr>
          <w:rFonts w:ascii="Bookman Old Style" w:hAnsi="Bookman Old Style"/>
          <w:sz w:val="24"/>
          <w:szCs w:val="24"/>
        </w:rPr>
        <w:t xml:space="preserve"> </w:t>
      </w:r>
      <w:r w:rsidRPr="00D35392">
        <w:rPr>
          <w:rFonts w:ascii="Bookman Old Style" w:hAnsi="Bookman Old Style"/>
          <w:sz w:val="24"/>
          <w:szCs w:val="24"/>
        </w:rPr>
        <w:t>Rp791.785.160,00;</w:t>
      </w:r>
    </w:p>
    <w:p w14:paraId="12B35234" w14:textId="5A761987" w:rsidR="00515C3A" w:rsidRPr="00D35392" w:rsidRDefault="00515C3A" w:rsidP="00154790">
      <w:pPr>
        <w:pStyle w:val="ListParagraph"/>
        <w:numPr>
          <w:ilvl w:val="0"/>
          <w:numId w:val="166"/>
        </w:numPr>
        <w:spacing w:before="60" w:after="0" w:line="276" w:lineRule="auto"/>
        <w:ind w:left="2706" w:hanging="438"/>
        <w:contextualSpacing w:val="0"/>
        <w:jc w:val="both"/>
        <w:rPr>
          <w:rFonts w:ascii="Bookman Old Style" w:hAnsi="Bookman Old Style"/>
          <w:sz w:val="24"/>
          <w:szCs w:val="24"/>
        </w:rPr>
      </w:pPr>
      <w:r w:rsidRPr="00D35392">
        <w:rPr>
          <w:rFonts w:ascii="Bookman Old Style" w:hAnsi="Bookman Old Style"/>
          <w:sz w:val="24"/>
          <w:szCs w:val="24"/>
        </w:rPr>
        <w:t>Belanja</w:t>
      </w:r>
      <w:r w:rsidR="00A954D0">
        <w:rPr>
          <w:rFonts w:ascii="Bookman Old Style" w:hAnsi="Bookman Old Style"/>
          <w:sz w:val="24"/>
          <w:szCs w:val="24"/>
        </w:rPr>
        <w:t xml:space="preserve"> </w:t>
      </w:r>
      <w:r w:rsidRPr="00D35392">
        <w:rPr>
          <w:rFonts w:ascii="Bookman Old Style" w:hAnsi="Bookman Old Style"/>
          <w:sz w:val="24"/>
          <w:szCs w:val="24"/>
        </w:rPr>
        <w:t>Modal</w:t>
      </w:r>
      <w:r w:rsidR="00A954D0">
        <w:rPr>
          <w:rFonts w:ascii="Bookman Old Style" w:hAnsi="Bookman Old Style"/>
          <w:sz w:val="24"/>
          <w:szCs w:val="24"/>
        </w:rPr>
        <w:t xml:space="preserve"> </w:t>
      </w:r>
      <w:r w:rsidRPr="00D35392">
        <w:rPr>
          <w:rFonts w:ascii="Bookman Old Style" w:hAnsi="Bookman Old Style"/>
          <w:sz w:val="24"/>
          <w:szCs w:val="24"/>
        </w:rPr>
        <w:t>Alat</w:t>
      </w:r>
      <w:r w:rsidR="00A954D0">
        <w:rPr>
          <w:rFonts w:ascii="Bookman Old Style" w:hAnsi="Bookman Old Style"/>
          <w:sz w:val="24"/>
          <w:szCs w:val="24"/>
        </w:rPr>
        <w:t xml:space="preserve"> </w:t>
      </w:r>
      <w:r w:rsidRPr="00D35392">
        <w:rPr>
          <w:rFonts w:ascii="Bookman Old Style" w:hAnsi="Bookman Old Style"/>
          <w:sz w:val="24"/>
          <w:szCs w:val="24"/>
        </w:rPr>
        <w:t>Komunikasi</w:t>
      </w:r>
      <w:r w:rsidR="00A954D0">
        <w:rPr>
          <w:rFonts w:ascii="Bookman Old Style" w:hAnsi="Bookman Old Style"/>
          <w:sz w:val="24"/>
          <w:szCs w:val="24"/>
        </w:rPr>
        <w:t xml:space="preserve"> </w:t>
      </w:r>
      <w:r w:rsidRPr="00D35392">
        <w:rPr>
          <w:rFonts w:ascii="Bookman Old Style" w:hAnsi="Bookman Old Style"/>
          <w:sz w:val="24"/>
          <w:szCs w:val="24"/>
        </w:rPr>
        <w:t>Rp1.344.358.500,00</w:t>
      </w:r>
      <w:r w:rsidR="00154790" w:rsidRPr="00154790">
        <w:rPr>
          <w:rFonts w:ascii="Bookman Old Style" w:hAnsi="Bookman Old Style"/>
          <w:sz w:val="24"/>
          <w:szCs w:val="24"/>
          <w:lang w:val="sv-FI"/>
        </w:rPr>
        <w:t>.</w:t>
      </w:r>
    </w:p>
    <w:p w14:paraId="04655A5A" w14:textId="6E3D21E5" w:rsidR="00515C3A" w:rsidRPr="00D35392" w:rsidRDefault="00515C3A" w:rsidP="00154790">
      <w:pPr>
        <w:pStyle w:val="ListParagraph"/>
        <w:numPr>
          <w:ilvl w:val="0"/>
          <w:numId w:val="148"/>
        </w:numPr>
        <w:spacing w:before="60" w:after="0" w:line="276" w:lineRule="auto"/>
        <w:ind w:left="2268" w:hanging="567"/>
        <w:contextualSpacing w:val="0"/>
        <w:jc w:val="both"/>
        <w:rPr>
          <w:rFonts w:ascii="Bookman Old Style" w:hAnsi="Bookman Old Style"/>
          <w:sz w:val="24"/>
          <w:szCs w:val="24"/>
        </w:rPr>
      </w:pPr>
      <w:bookmarkStart w:id="30" w:name="_Hlk183019566"/>
      <w:bookmarkStart w:id="31" w:name="_Hlk183765336"/>
      <w:r w:rsidRPr="00D35392">
        <w:rPr>
          <w:rFonts w:ascii="Bookman Old Style" w:hAnsi="Bookman Old Style"/>
          <w:sz w:val="24"/>
          <w:szCs w:val="24"/>
        </w:rPr>
        <w:t>Belanja</w:t>
      </w:r>
      <w:r w:rsidR="00A954D0">
        <w:rPr>
          <w:rFonts w:ascii="Bookman Old Style" w:hAnsi="Bookman Old Style"/>
          <w:sz w:val="24"/>
          <w:szCs w:val="24"/>
        </w:rPr>
        <w:t xml:space="preserve"> </w:t>
      </w:r>
      <w:r w:rsidRPr="00D35392">
        <w:rPr>
          <w:rFonts w:ascii="Bookman Old Style" w:hAnsi="Bookman Old Style"/>
          <w:sz w:val="24"/>
          <w:szCs w:val="24"/>
        </w:rPr>
        <w:t>Modal</w:t>
      </w:r>
      <w:r w:rsidR="00A954D0">
        <w:rPr>
          <w:rFonts w:ascii="Bookman Old Style" w:hAnsi="Bookman Old Style"/>
          <w:sz w:val="24"/>
          <w:szCs w:val="24"/>
        </w:rPr>
        <w:t xml:space="preserve"> </w:t>
      </w:r>
      <w:r w:rsidRPr="00D35392">
        <w:rPr>
          <w:rFonts w:ascii="Bookman Old Style" w:hAnsi="Bookman Old Style"/>
          <w:sz w:val="24"/>
          <w:szCs w:val="24"/>
        </w:rPr>
        <w:t>Alat</w:t>
      </w:r>
      <w:r w:rsidR="00A954D0">
        <w:rPr>
          <w:rFonts w:ascii="Bookman Old Style" w:hAnsi="Bookman Old Style"/>
          <w:sz w:val="24"/>
          <w:szCs w:val="24"/>
        </w:rPr>
        <w:t xml:space="preserve"> </w:t>
      </w:r>
      <w:r w:rsidRPr="00D35392">
        <w:rPr>
          <w:rFonts w:ascii="Bookman Old Style" w:hAnsi="Bookman Old Style"/>
          <w:sz w:val="24"/>
          <w:szCs w:val="24"/>
        </w:rPr>
        <w:t>Kedokteran</w:t>
      </w:r>
      <w:r w:rsidR="00A954D0">
        <w:rPr>
          <w:rFonts w:ascii="Bookman Old Style" w:hAnsi="Bookman Old Style"/>
          <w:sz w:val="24"/>
          <w:szCs w:val="24"/>
        </w:rPr>
        <w:t xml:space="preserve"> </w:t>
      </w:r>
      <w:r w:rsidRPr="00D35392">
        <w:rPr>
          <w:rFonts w:ascii="Bookman Old Style" w:hAnsi="Bookman Old Style"/>
          <w:sz w:val="24"/>
          <w:szCs w:val="24"/>
        </w:rPr>
        <w:t>dan</w:t>
      </w:r>
      <w:r w:rsidR="00A954D0">
        <w:rPr>
          <w:rFonts w:ascii="Bookman Old Style" w:hAnsi="Bookman Old Style"/>
          <w:sz w:val="24"/>
          <w:szCs w:val="24"/>
        </w:rPr>
        <w:t xml:space="preserve"> </w:t>
      </w:r>
      <w:r w:rsidRPr="00D35392">
        <w:rPr>
          <w:rFonts w:ascii="Bookman Old Style" w:hAnsi="Bookman Old Style"/>
          <w:sz w:val="24"/>
          <w:szCs w:val="24"/>
        </w:rPr>
        <w:t>Kesehatan</w:t>
      </w:r>
      <w:r w:rsidR="00A954D0">
        <w:rPr>
          <w:rFonts w:ascii="Bookman Old Style" w:hAnsi="Bookman Old Style"/>
          <w:sz w:val="24"/>
          <w:szCs w:val="24"/>
        </w:rPr>
        <w:t xml:space="preserve"> </w:t>
      </w:r>
      <w:r w:rsidRPr="00D35392">
        <w:rPr>
          <w:rFonts w:ascii="Bookman Old Style" w:hAnsi="Bookman Old Style"/>
          <w:sz w:val="24"/>
          <w:szCs w:val="24"/>
        </w:rPr>
        <w:t>Rp83.770.019.325,00</w:t>
      </w:r>
      <w:r w:rsidR="00A954D0">
        <w:rPr>
          <w:rFonts w:ascii="Bookman Old Style" w:hAnsi="Bookman Old Style"/>
          <w:sz w:val="24"/>
          <w:szCs w:val="24"/>
        </w:rPr>
        <w:t xml:space="preserve"> </w:t>
      </w:r>
      <w:r w:rsidRPr="00D35392">
        <w:rPr>
          <w:rFonts w:ascii="Bookman Old Style" w:hAnsi="Bookman Old Style"/>
          <w:sz w:val="24"/>
          <w:szCs w:val="24"/>
        </w:rPr>
        <w:t>atau</w:t>
      </w:r>
      <w:r w:rsidR="00A954D0">
        <w:rPr>
          <w:rFonts w:ascii="Bookman Old Style" w:hAnsi="Bookman Old Style"/>
          <w:sz w:val="24"/>
          <w:szCs w:val="24"/>
        </w:rPr>
        <w:t xml:space="preserve"> </w:t>
      </w:r>
      <w:r w:rsidRPr="00D35392">
        <w:rPr>
          <w:rFonts w:ascii="Bookman Old Style" w:hAnsi="Bookman Old Style"/>
          <w:sz w:val="24"/>
          <w:szCs w:val="24"/>
        </w:rPr>
        <w:t>1,47%</w:t>
      </w:r>
      <w:r w:rsidR="00A954D0">
        <w:rPr>
          <w:rFonts w:ascii="Bookman Old Style" w:hAnsi="Bookman Old Style"/>
          <w:sz w:val="24"/>
          <w:szCs w:val="24"/>
        </w:rPr>
        <w:t xml:space="preserve"> </w:t>
      </w:r>
      <w:r w:rsidRPr="00D35392">
        <w:rPr>
          <w:rFonts w:ascii="Bookman Old Style" w:hAnsi="Bookman Old Style"/>
          <w:sz w:val="24"/>
          <w:szCs w:val="24"/>
        </w:rPr>
        <w:t>dari</w:t>
      </w:r>
      <w:r w:rsidR="00A954D0">
        <w:rPr>
          <w:rFonts w:ascii="Bookman Old Style" w:hAnsi="Bookman Old Style"/>
          <w:sz w:val="24"/>
          <w:szCs w:val="24"/>
        </w:rPr>
        <w:t xml:space="preserve"> </w:t>
      </w:r>
      <w:r w:rsidRPr="00D35392">
        <w:rPr>
          <w:rFonts w:ascii="Bookman Old Style" w:hAnsi="Bookman Old Style"/>
          <w:sz w:val="24"/>
          <w:szCs w:val="24"/>
        </w:rPr>
        <w:t>total</w:t>
      </w:r>
      <w:r w:rsidR="00A954D0">
        <w:rPr>
          <w:rFonts w:ascii="Bookman Old Style" w:hAnsi="Bookman Old Style"/>
          <w:sz w:val="24"/>
          <w:szCs w:val="24"/>
        </w:rPr>
        <w:t xml:space="preserve"> </w:t>
      </w:r>
      <w:r w:rsidRPr="00D35392">
        <w:rPr>
          <w:rFonts w:ascii="Bookman Old Style" w:hAnsi="Bookman Old Style"/>
          <w:sz w:val="24"/>
          <w:szCs w:val="24"/>
        </w:rPr>
        <w:t>belanja</w:t>
      </w:r>
      <w:r w:rsidR="00A954D0">
        <w:rPr>
          <w:rFonts w:ascii="Bookman Old Style" w:hAnsi="Bookman Old Style"/>
          <w:sz w:val="24"/>
          <w:szCs w:val="24"/>
        </w:rPr>
        <w:t xml:space="preserve"> </w:t>
      </w:r>
      <w:r w:rsidRPr="00D35392">
        <w:rPr>
          <w:rFonts w:ascii="Bookman Old Style" w:hAnsi="Bookman Old Style"/>
          <w:sz w:val="24"/>
          <w:szCs w:val="24"/>
        </w:rPr>
        <w:t>daerah</w:t>
      </w:r>
      <w:r w:rsidR="00A954D0">
        <w:rPr>
          <w:rFonts w:ascii="Bookman Old Style" w:hAnsi="Bookman Old Style"/>
          <w:sz w:val="24"/>
          <w:szCs w:val="24"/>
        </w:rPr>
        <w:t xml:space="preserve"> </w:t>
      </w:r>
      <w:r w:rsidRPr="00D35392">
        <w:rPr>
          <w:rFonts w:ascii="Bookman Old Style" w:hAnsi="Bookman Old Style"/>
          <w:sz w:val="24"/>
          <w:szCs w:val="24"/>
        </w:rPr>
        <w:t>dalam</w:t>
      </w:r>
      <w:r w:rsidR="00A954D0">
        <w:rPr>
          <w:rFonts w:ascii="Bookman Old Style" w:hAnsi="Bookman Old Style"/>
          <w:sz w:val="24"/>
          <w:szCs w:val="24"/>
        </w:rPr>
        <w:t xml:space="preserve"> </w:t>
      </w:r>
      <w:r w:rsidRPr="00D35392">
        <w:rPr>
          <w:rFonts w:ascii="Bookman Old Style" w:hAnsi="Bookman Old Style"/>
          <w:sz w:val="24"/>
          <w:szCs w:val="24"/>
        </w:rPr>
        <w:t>Rancangan</w:t>
      </w:r>
      <w:r w:rsidR="00A954D0">
        <w:rPr>
          <w:rFonts w:ascii="Bookman Old Style" w:hAnsi="Bookman Old Style"/>
          <w:sz w:val="24"/>
          <w:szCs w:val="24"/>
        </w:rPr>
        <w:t xml:space="preserve"> </w:t>
      </w:r>
      <w:r w:rsidRPr="00D35392">
        <w:rPr>
          <w:rFonts w:ascii="Bookman Old Style" w:hAnsi="Bookman Old Style"/>
          <w:sz w:val="24"/>
          <w:szCs w:val="24"/>
        </w:rPr>
        <w:t>Peraturan</w:t>
      </w:r>
      <w:r w:rsidR="00A954D0">
        <w:rPr>
          <w:rFonts w:ascii="Bookman Old Style" w:hAnsi="Bookman Old Style"/>
          <w:sz w:val="24"/>
          <w:szCs w:val="24"/>
        </w:rPr>
        <w:t xml:space="preserve"> </w:t>
      </w:r>
      <w:r w:rsidRPr="00D35392">
        <w:rPr>
          <w:rFonts w:ascii="Bookman Old Style" w:hAnsi="Bookman Old Style"/>
          <w:sz w:val="24"/>
          <w:szCs w:val="24"/>
        </w:rPr>
        <w:t>Daerah</w:t>
      </w:r>
      <w:r w:rsidR="00A954D0">
        <w:rPr>
          <w:rFonts w:ascii="Bookman Old Style" w:hAnsi="Bookman Old Style"/>
          <w:sz w:val="24"/>
          <w:szCs w:val="24"/>
        </w:rPr>
        <w:t xml:space="preserve"> </w:t>
      </w:r>
      <w:r w:rsidRPr="00D35392">
        <w:rPr>
          <w:rFonts w:ascii="Bookman Old Style" w:hAnsi="Bookman Old Style"/>
          <w:sz w:val="24"/>
          <w:szCs w:val="24"/>
        </w:rPr>
        <w:t>Kota</w:t>
      </w:r>
      <w:r w:rsidR="00A954D0">
        <w:rPr>
          <w:rFonts w:ascii="Bookman Old Style" w:hAnsi="Bookman Old Style"/>
          <w:sz w:val="24"/>
          <w:szCs w:val="24"/>
        </w:rPr>
        <w:t xml:space="preserve"> </w:t>
      </w:r>
      <w:r w:rsidRPr="00D35392">
        <w:rPr>
          <w:rFonts w:ascii="Bookman Old Style" w:hAnsi="Bookman Old Style"/>
          <w:sz w:val="24"/>
          <w:szCs w:val="24"/>
        </w:rPr>
        <w:t>Tangerang</w:t>
      </w:r>
      <w:r w:rsidR="00A954D0">
        <w:rPr>
          <w:rFonts w:ascii="Bookman Old Style" w:hAnsi="Bookman Old Style"/>
          <w:sz w:val="24"/>
          <w:szCs w:val="24"/>
        </w:rPr>
        <w:t xml:space="preserve"> </w:t>
      </w:r>
      <w:r w:rsidRPr="00D35392">
        <w:rPr>
          <w:rFonts w:ascii="Bookman Old Style" w:hAnsi="Bookman Old Style"/>
          <w:sz w:val="24"/>
          <w:szCs w:val="24"/>
        </w:rPr>
        <w:t>tentang</w:t>
      </w:r>
      <w:r w:rsidR="00A954D0">
        <w:rPr>
          <w:rFonts w:ascii="Bookman Old Style" w:hAnsi="Bookman Old Style"/>
          <w:sz w:val="24"/>
          <w:szCs w:val="24"/>
        </w:rPr>
        <w:t xml:space="preserve"> </w:t>
      </w:r>
      <w:r w:rsidRPr="00D35392">
        <w:rPr>
          <w:rFonts w:ascii="Bookman Old Style" w:hAnsi="Bookman Old Style"/>
          <w:sz w:val="24"/>
          <w:szCs w:val="24"/>
        </w:rPr>
        <w:t>APBD</w:t>
      </w:r>
      <w:r w:rsidR="00A954D0">
        <w:rPr>
          <w:rFonts w:ascii="Bookman Old Style" w:hAnsi="Bookman Old Style"/>
          <w:sz w:val="24"/>
          <w:szCs w:val="24"/>
        </w:rPr>
        <w:t xml:space="preserve"> </w:t>
      </w:r>
      <w:r w:rsidRPr="00D35392">
        <w:rPr>
          <w:rFonts w:ascii="Bookman Old Style" w:hAnsi="Bookman Old Style"/>
          <w:sz w:val="24"/>
          <w:szCs w:val="24"/>
        </w:rPr>
        <w:t>Tahun</w:t>
      </w:r>
      <w:r w:rsidR="00A954D0">
        <w:rPr>
          <w:rFonts w:ascii="Bookman Old Style" w:hAnsi="Bookman Old Style"/>
          <w:sz w:val="24"/>
          <w:szCs w:val="24"/>
        </w:rPr>
        <w:t xml:space="preserve"> </w:t>
      </w:r>
      <w:r w:rsidRPr="00D35392">
        <w:rPr>
          <w:rFonts w:ascii="Bookman Old Style" w:hAnsi="Bookman Old Style"/>
          <w:sz w:val="24"/>
          <w:szCs w:val="24"/>
        </w:rPr>
        <w:t>Anggaran</w:t>
      </w:r>
      <w:r w:rsidR="00A954D0">
        <w:rPr>
          <w:rFonts w:ascii="Bookman Old Style" w:hAnsi="Bookman Old Style"/>
          <w:sz w:val="24"/>
          <w:szCs w:val="24"/>
        </w:rPr>
        <w:t xml:space="preserve"> </w:t>
      </w:r>
      <w:r w:rsidRPr="00D35392">
        <w:rPr>
          <w:rFonts w:ascii="Bookman Old Style" w:hAnsi="Bookman Old Style"/>
          <w:sz w:val="24"/>
          <w:szCs w:val="24"/>
        </w:rPr>
        <w:t>2025,</w:t>
      </w:r>
      <w:r w:rsidR="00A954D0">
        <w:rPr>
          <w:rFonts w:ascii="Bookman Old Style" w:hAnsi="Bookman Old Style"/>
          <w:sz w:val="24"/>
          <w:szCs w:val="24"/>
        </w:rPr>
        <w:t xml:space="preserve"> </w:t>
      </w:r>
      <w:r w:rsidRPr="00D35392">
        <w:rPr>
          <w:rFonts w:ascii="Bookman Old Style" w:hAnsi="Bookman Old Style"/>
          <w:sz w:val="24"/>
          <w:szCs w:val="24"/>
        </w:rPr>
        <w:t>yang</w:t>
      </w:r>
      <w:r w:rsidR="00A954D0">
        <w:rPr>
          <w:rFonts w:ascii="Bookman Old Style" w:hAnsi="Bookman Old Style"/>
          <w:sz w:val="24"/>
          <w:szCs w:val="24"/>
        </w:rPr>
        <w:t xml:space="preserve"> </w:t>
      </w:r>
      <w:r w:rsidRPr="00D35392">
        <w:rPr>
          <w:rFonts w:ascii="Bookman Old Style" w:hAnsi="Bookman Old Style"/>
          <w:sz w:val="24"/>
          <w:szCs w:val="24"/>
        </w:rPr>
        <w:t>diuraikan</w:t>
      </w:r>
      <w:r w:rsidR="00A954D0">
        <w:rPr>
          <w:rFonts w:ascii="Bookman Old Style" w:hAnsi="Bookman Old Style"/>
          <w:sz w:val="24"/>
          <w:szCs w:val="24"/>
        </w:rPr>
        <w:t xml:space="preserve"> </w:t>
      </w:r>
      <w:r w:rsidRPr="00D35392">
        <w:rPr>
          <w:rFonts w:ascii="Bookman Old Style" w:hAnsi="Bookman Old Style"/>
          <w:sz w:val="24"/>
          <w:szCs w:val="24"/>
        </w:rPr>
        <w:t>ke</w:t>
      </w:r>
      <w:r w:rsidR="00A954D0">
        <w:rPr>
          <w:rFonts w:ascii="Bookman Old Style" w:hAnsi="Bookman Old Style"/>
          <w:sz w:val="24"/>
          <w:szCs w:val="24"/>
        </w:rPr>
        <w:t xml:space="preserve"> </w:t>
      </w:r>
      <w:r w:rsidRPr="00D35392">
        <w:rPr>
          <w:rFonts w:ascii="Bookman Old Style" w:hAnsi="Bookman Old Style"/>
          <w:sz w:val="24"/>
          <w:szCs w:val="24"/>
        </w:rPr>
        <w:t>dalam</w:t>
      </w:r>
      <w:r w:rsidR="00A954D0">
        <w:rPr>
          <w:rFonts w:ascii="Bookman Old Style" w:hAnsi="Bookman Old Style"/>
          <w:sz w:val="24"/>
          <w:szCs w:val="24"/>
        </w:rPr>
        <w:t xml:space="preserve"> </w:t>
      </w:r>
      <w:r w:rsidRPr="00D35392">
        <w:rPr>
          <w:rFonts w:ascii="Bookman Old Style" w:hAnsi="Bookman Old Style"/>
          <w:sz w:val="24"/>
          <w:szCs w:val="24"/>
        </w:rPr>
        <w:t>rincian</w:t>
      </w:r>
      <w:r w:rsidR="00A954D0">
        <w:rPr>
          <w:rFonts w:ascii="Bookman Old Style" w:hAnsi="Bookman Old Style"/>
          <w:sz w:val="24"/>
          <w:szCs w:val="24"/>
        </w:rPr>
        <w:t xml:space="preserve"> </w:t>
      </w:r>
      <w:r w:rsidRPr="00D35392">
        <w:rPr>
          <w:rFonts w:ascii="Bookman Old Style" w:hAnsi="Bookman Old Style"/>
          <w:sz w:val="24"/>
          <w:szCs w:val="24"/>
        </w:rPr>
        <w:t>objek</w:t>
      </w:r>
      <w:r w:rsidR="00A954D0">
        <w:rPr>
          <w:rFonts w:ascii="Bookman Old Style" w:hAnsi="Bookman Old Style"/>
          <w:sz w:val="24"/>
          <w:szCs w:val="24"/>
        </w:rPr>
        <w:t xml:space="preserve"> </w:t>
      </w:r>
      <w:r w:rsidRPr="00D35392">
        <w:rPr>
          <w:rFonts w:ascii="Bookman Old Style" w:hAnsi="Bookman Old Style"/>
          <w:sz w:val="24"/>
          <w:szCs w:val="24"/>
        </w:rPr>
        <w:t>belanja:</w:t>
      </w:r>
    </w:p>
    <w:p w14:paraId="3F47F0C8" w14:textId="027B0E3C" w:rsidR="00515C3A" w:rsidRPr="00D35392" w:rsidRDefault="00515C3A" w:rsidP="00154790">
      <w:pPr>
        <w:pStyle w:val="ListParagraph"/>
        <w:numPr>
          <w:ilvl w:val="0"/>
          <w:numId w:val="167"/>
        </w:numPr>
        <w:spacing w:before="60" w:after="0" w:line="276" w:lineRule="auto"/>
        <w:ind w:left="2706" w:hanging="438"/>
        <w:contextualSpacing w:val="0"/>
        <w:jc w:val="both"/>
        <w:rPr>
          <w:rFonts w:ascii="Bookman Old Style" w:hAnsi="Bookman Old Style"/>
          <w:sz w:val="24"/>
          <w:szCs w:val="24"/>
        </w:rPr>
      </w:pPr>
      <w:bookmarkStart w:id="32" w:name="_Hlk183012241"/>
      <w:r w:rsidRPr="00D35392">
        <w:rPr>
          <w:rFonts w:ascii="Bookman Old Style" w:hAnsi="Bookman Old Style"/>
          <w:sz w:val="24"/>
          <w:szCs w:val="24"/>
        </w:rPr>
        <w:t>Belanja</w:t>
      </w:r>
      <w:r w:rsidR="00A954D0">
        <w:rPr>
          <w:rFonts w:ascii="Bookman Old Style" w:hAnsi="Bookman Old Style"/>
          <w:sz w:val="24"/>
          <w:szCs w:val="24"/>
        </w:rPr>
        <w:t xml:space="preserve"> </w:t>
      </w:r>
      <w:r w:rsidRPr="00D35392">
        <w:rPr>
          <w:rFonts w:ascii="Bookman Old Style" w:hAnsi="Bookman Old Style"/>
          <w:sz w:val="24"/>
          <w:szCs w:val="24"/>
        </w:rPr>
        <w:t>Modal</w:t>
      </w:r>
      <w:r w:rsidR="00A954D0">
        <w:rPr>
          <w:rFonts w:ascii="Bookman Old Style" w:hAnsi="Bookman Old Style"/>
          <w:sz w:val="24"/>
          <w:szCs w:val="24"/>
        </w:rPr>
        <w:t xml:space="preserve"> </w:t>
      </w:r>
      <w:r w:rsidRPr="00D35392">
        <w:rPr>
          <w:rFonts w:ascii="Bookman Old Style" w:hAnsi="Bookman Old Style"/>
          <w:sz w:val="24"/>
          <w:szCs w:val="24"/>
        </w:rPr>
        <w:t>Alat</w:t>
      </w:r>
      <w:r w:rsidR="00A954D0">
        <w:rPr>
          <w:rFonts w:ascii="Bookman Old Style" w:hAnsi="Bookman Old Style"/>
          <w:sz w:val="24"/>
          <w:szCs w:val="24"/>
        </w:rPr>
        <w:t xml:space="preserve"> </w:t>
      </w:r>
      <w:r w:rsidRPr="00D35392">
        <w:rPr>
          <w:rFonts w:ascii="Bookman Old Style" w:hAnsi="Bookman Old Style"/>
          <w:sz w:val="24"/>
          <w:szCs w:val="24"/>
        </w:rPr>
        <w:t>Kedokteran</w:t>
      </w:r>
      <w:r w:rsidR="00A954D0">
        <w:rPr>
          <w:rFonts w:ascii="Bookman Old Style" w:hAnsi="Bookman Old Style"/>
          <w:sz w:val="24"/>
          <w:szCs w:val="24"/>
        </w:rPr>
        <w:t xml:space="preserve"> </w:t>
      </w:r>
      <w:r w:rsidRPr="00D35392">
        <w:rPr>
          <w:rFonts w:ascii="Bookman Old Style" w:hAnsi="Bookman Old Style"/>
          <w:sz w:val="24"/>
          <w:szCs w:val="24"/>
        </w:rPr>
        <w:t>Rp79.819.138.925,00;</w:t>
      </w:r>
    </w:p>
    <w:p w14:paraId="45ED0A70" w14:textId="60A1A1EA" w:rsidR="00515C3A" w:rsidRPr="00D35392" w:rsidRDefault="00515C3A" w:rsidP="00154790">
      <w:pPr>
        <w:pStyle w:val="ListParagraph"/>
        <w:numPr>
          <w:ilvl w:val="0"/>
          <w:numId w:val="167"/>
        </w:numPr>
        <w:spacing w:before="60" w:after="0" w:line="276" w:lineRule="auto"/>
        <w:ind w:left="2706" w:hanging="438"/>
        <w:contextualSpacing w:val="0"/>
        <w:jc w:val="both"/>
        <w:rPr>
          <w:rFonts w:ascii="Bookman Old Style" w:hAnsi="Bookman Old Style"/>
          <w:sz w:val="24"/>
          <w:szCs w:val="24"/>
        </w:rPr>
      </w:pPr>
      <w:r w:rsidRPr="00D35392">
        <w:rPr>
          <w:rFonts w:ascii="Bookman Old Style" w:hAnsi="Bookman Old Style"/>
          <w:sz w:val="24"/>
          <w:szCs w:val="24"/>
        </w:rPr>
        <w:t>Belanja</w:t>
      </w:r>
      <w:r w:rsidR="00A954D0">
        <w:rPr>
          <w:rFonts w:ascii="Bookman Old Style" w:hAnsi="Bookman Old Style"/>
          <w:sz w:val="24"/>
          <w:szCs w:val="24"/>
        </w:rPr>
        <w:t xml:space="preserve"> </w:t>
      </w:r>
      <w:r w:rsidRPr="00D35392">
        <w:rPr>
          <w:rFonts w:ascii="Bookman Old Style" w:hAnsi="Bookman Old Style"/>
          <w:sz w:val="24"/>
          <w:szCs w:val="24"/>
        </w:rPr>
        <w:t>Modal</w:t>
      </w:r>
      <w:r w:rsidR="00A954D0">
        <w:rPr>
          <w:rFonts w:ascii="Bookman Old Style" w:hAnsi="Bookman Old Style"/>
          <w:sz w:val="24"/>
          <w:szCs w:val="24"/>
        </w:rPr>
        <w:t xml:space="preserve"> </w:t>
      </w:r>
      <w:r w:rsidRPr="00D35392">
        <w:rPr>
          <w:rFonts w:ascii="Bookman Old Style" w:hAnsi="Bookman Old Style"/>
          <w:sz w:val="24"/>
          <w:szCs w:val="24"/>
        </w:rPr>
        <w:t>Alat</w:t>
      </w:r>
      <w:r w:rsidR="00A954D0">
        <w:rPr>
          <w:rFonts w:ascii="Bookman Old Style" w:hAnsi="Bookman Old Style"/>
          <w:sz w:val="24"/>
          <w:szCs w:val="24"/>
        </w:rPr>
        <w:t xml:space="preserve"> </w:t>
      </w:r>
      <w:r w:rsidRPr="00D35392">
        <w:rPr>
          <w:rFonts w:ascii="Bookman Old Style" w:hAnsi="Bookman Old Style"/>
          <w:sz w:val="24"/>
          <w:szCs w:val="24"/>
        </w:rPr>
        <w:t>Kesehatan</w:t>
      </w:r>
      <w:r w:rsidR="00A954D0">
        <w:rPr>
          <w:rFonts w:ascii="Bookman Old Style" w:hAnsi="Bookman Old Style"/>
          <w:sz w:val="24"/>
          <w:szCs w:val="24"/>
        </w:rPr>
        <w:t xml:space="preserve"> </w:t>
      </w:r>
      <w:r w:rsidRPr="00D35392">
        <w:rPr>
          <w:rFonts w:ascii="Bookman Old Style" w:hAnsi="Bookman Old Style"/>
          <w:sz w:val="24"/>
          <w:szCs w:val="24"/>
        </w:rPr>
        <w:t>Umum</w:t>
      </w:r>
      <w:r w:rsidR="00A954D0">
        <w:rPr>
          <w:rFonts w:ascii="Bookman Old Style" w:hAnsi="Bookman Old Style"/>
          <w:sz w:val="24"/>
          <w:szCs w:val="24"/>
        </w:rPr>
        <w:t xml:space="preserve"> </w:t>
      </w:r>
      <w:r w:rsidRPr="00D35392">
        <w:rPr>
          <w:rFonts w:ascii="Bookman Old Style" w:hAnsi="Bookman Old Style"/>
          <w:sz w:val="24"/>
          <w:szCs w:val="24"/>
        </w:rPr>
        <w:t>Rp3.950.880.400,00</w:t>
      </w:r>
      <w:r w:rsidR="00154790" w:rsidRPr="00154790">
        <w:rPr>
          <w:rFonts w:ascii="Bookman Old Style" w:hAnsi="Bookman Old Style"/>
          <w:sz w:val="24"/>
          <w:szCs w:val="24"/>
          <w:lang w:val="sv-FI"/>
        </w:rPr>
        <w:t>.</w:t>
      </w:r>
    </w:p>
    <w:p w14:paraId="31B6461A" w14:textId="5CD8B9C9" w:rsidR="00515C3A" w:rsidRPr="00482C9B" w:rsidRDefault="00515C3A" w:rsidP="00154790">
      <w:pPr>
        <w:pStyle w:val="ListParagraph"/>
        <w:numPr>
          <w:ilvl w:val="0"/>
          <w:numId w:val="148"/>
        </w:numPr>
        <w:spacing w:before="60" w:after="0" w:line="276" w:lineRule="auto"/>
        <w:ind w:left="2268" w:hanging="567"/>
        <w:contextualSpacing w:val="0"/>
        <w:jc w:val="both"/>
        <w:rPr>
          <w:rFonts w:ascii="Bookman Old Style" w:hAnsi="Bookman Old Style"/>
          <w:sz w:val="24"/>
          <w:szCs w:val="24"/>
        </w:rPr>
      </w:pPr>
      <w:bookmarkStart w:id="33" w:name="_Hlk183019664"/>
      <w:bookmarkEnd w:id="30"/>
      <w:bookmarkEnd w:id="32"/>
      <w:r w:rsidRPr="00482C9B">
        <w:rPr>
          <w:rFonts w:ascii="Bookman Old Style" w:hAnsi="Bookman Old Style"/>
          <w:sz w:val="24"/>
          <w:szCs w:val="24"/>
        </w:rPr>
        <w:t>Belanja</w:t>
      </w:r>
      <w:r w:rsidR="00A954D0">
        <w:rPr>
          <w:rFonts w:ascii="Bookman Old Style" w:hAnsi="Bookman Old Style"/>
          <w:sz w:val="24"/>
          <w:szCs w:val="24"/>
        </w:rPr>
        <w:t xml:space="preserve"> </w:t>
      </w:r>
      <w:r w:rsidRPr="00482C9B">
        <w:rPr>
          <w:rFonts w:ascii="Bookman Old Style" w:hAnsi="Bookman Old Style"/>
          <w:sz w:val="24"/>
          <w:szCs w:val="24"/>
        </w:rPr>
        <w:t>Modal</w:t>
      </w:r>
      <w:r w:rsidR="00A954D0">
        <w:rPr>
          <w:rFonts w:ascii="Bookman Old Style" w:hAnsi="Bookman Old Style"/>
          <w:sz w:val="24"/>
          <w:szCs w:val="24"/>
        </w:rPr>
        <w:t xml:space="preserve"> </w:t>
      </w:r>
      <w:r w:rsidRPr="00482C9B">
        <w:rPr>
          <w:rFonts w:ascii="Bookman Old Style" w:hAnsi="Bookman Old Style"/>
          <w:sz w:val="24"/>
          <w:szCs w:val="24"/>
        </w:rPr>
        <w:t>Alat</w:t>
      </w:r>
      <w:r w:rsidR="00A954D0">
        <w:rPr>
          <w:rFonts w:ascii="Bookman Old Style" w:hAnsi="Bookman Old Style"/>
          <w:sz w:val="24"/>
          <w:szCs w:val="24"/>
        </w:rPr>
        <w:t xml:space="preserve"> </w:t>
      </w:r>
      <w:r w:rsidRPr="00482C9B">
        <w:rPr>
          <w:rFonts w:ascii="Bookman Old Style" w:hAnsi="Bookman Old Style"/>
          <w:sz w:val="24"/>
          <w:szCs w:val="24"/>
        </w:rPr>
        <w:t>Laboratorium</w:t>
      </w:r>
      <w:r w:rsidR="00A954D0">
        <w:rPr>
          <w:rFonts w:ascii="Bookman Old Style" w:hAnsi="Bookman Old Style"/>
          <w:sz w:val="24"/>
          <w:szCs w:val="24"/>
        </w:rPr>
        <w:t xml:space="preserve"> </w:t>
      </w:r>
      <w:r w:rsidRPr="00482C9B">
        <w:rPr>
          <w:rFonts w:ascii="Bookman Old Style" w:hAnsi="Bookman Old Style"/>
          <w:sz w:val="24"/>
          <w:szCs w:val="24"/>
        </w:rPr>
        <w:t>Rp4.916.723.300,00</w:t>
      </w:r>
      <w:r w:rsidR="00A954D0">
        <w:rPr>
          <w:rFonts w:ascii="Bookman Old Style" w:hAnsi="Bookman Old Style"/>
          <w:sz w:val="24"/>
          <w:szCs w:val="24"/>
        </w:rPr>
        <w:t xml:space="preserve"> </w:t>
      </w:r>
      <w:r w:rsidRPr="00482C9B">
        <w:rPr>
          <w:rFonts w:ascii="Bookman Old Style" w:hAnsi="Bookman Old Style"/>
          <w:sz w:val="24"/>
          <w:szCs w:val="24"/>
        </w:rPr>
        <w:t>atau</w:t>
      </w:r>
      <w:r w:rsidR="00A954D0">
        <w:rPr>
          <w:rFonts w:ascii="Bookman Old Style" w:hAnsi="Bookman Old Style"/>
          <w:sz w:val="24"/>
          <w:szCs w:val="24"/>
        </w:rPr>
        <w:t xml:space="preserve"> </w:t>
      </w:r>
      <w:r w:rsidRPr="00482C9B">
        <w:rPr>
          <w:rFonts w:ascii="Bookman Old Style" w:hAnsi="Bookman Old Style"/>
          <w:sz w:val="24"/>
          <w:szCs w:val="24"/>
        </w:rPr>
        <w:t>0,09%</w:t>
      </w:r>
      <w:r w:rsidR="00A954D0">
        <w:rPr>
          <w:rFonts w:ascii="Bookman Old Style" w:hAnsi="Bookman Old Style"/>
          <w:sz w:val="24"/>
          <w:szCs w:val="24"/>
        </w:rPr>
        <w:t xml:space="preserve"> </w:t>
      </w:r>
      <w:r w:rsidRPr="00482C9B">
        <w:rPr>
          <w:rFonts w:ascii="Bookman Old Style" w:hAnsi="Bookman Old Style"/>
          <w:sz w:val="24"/>
          <w:szCs w:val="24"/>
        </w:rPr>
        <w:t>dari</w:t>
      </w:r>
      <w:r w:rsidR="00A954D0">
        <w:rPr>
          <w:rFonts w:ascii="Bookman Old Style" w:hAnsi="Bookman Old Style"/>
          <w:sz w:val="24"/>
          <w:szCs w:val="24"/>
        </w:rPr>
        <w:t xml:space="preserve"> </w:t>
      </w:r>
      <w:r w:rsidRPr="00482C9B">
        <w:rPr>
          <w:rFonts w:ascii="Bookman Old Style" w:hAnsi="Bookman Old Style"/>
          <w:sz w:val="24"/>
          <w:szCs w:val="24"/>
        </w:rPr>
        <w:t>total</w:t>
      </w:r>
      <w:r w:rsidR="00A954D0">
        <w:rPr>
          <w:rFonts w:ascii="Bookman Old Style" w:hAnsi="Bookman Old Style"/>
          <w:sz w:val="24"/>
          <w:szCs w:val="24"/>
        </w:rPr>
        <w:t xml:space="preserve"> </w:t>
      </w:r>
      <w:r w:rsidRPr="00482C9B">
        <w:rPr>
          <w:rFonts w:ascii="Bookman Old Style" w:hAnsi="Bookman Old Style"/>
          <w:sz w:val="24"/>
          <w:szCs w:val="24"/>
        </w:rPr>
        <w:t>belanja</w:t>
      </w:r>
      <w:r w:rsidR="00A954D0">
        <w:rPr>
          <w:rFonts w:ascii="Bookman Old Style" w:hAnsi="Bookman Old Style"/>
          <w:sz w:val="24"/>
          <w:szCs w:val="24"/>
        </w:rPr>
        <w:t xml:space="preserve"> </w:t>
      </w:r>
      <w:r w:rsidRPr="00482C9B">
        <w:rPr>
          <w:rFonts w:ascii="Bookman Old Style" w:hAnsi="Bookman Old Style"/>
          <w:sz w:val="24"/>
          <w:szCs w:val="24"/>
        </w:rPr>
        <w:t>daerah</w:t>
      </w:r>
      <w:r w:rsidR="00A954D0">
        <w:rPr>
          <w:rFonts w:ascii="Bookman Old Style" w:hAnsi="Bookman Old Style"/>
          <w:sz w:val="24"/>
          <w:szCs w:val="24"/>
        </w:rPr>
        <w:t xml:space="preserve"> </w:t>
      </w:r>
      <w:r w:rsidRPr="00482C9B">
        <w:rPr>
          <w:rFonts w:ascii="Bookman Old Style" w:hAnsi="Bookman Old Style"/>
          <w:sz w:val="24"/>
          <w:szCs w:val="24"/>
        </w:rPr>
        <w:t>dalam</w:t>
      </w:r>
      <w:r w:rsidR="00A954D0">
        <w:rPr>
          <w:rFonts w:ascii="Bookman Old Style" w:hAnsi="Bookman Old Style"/>
          <w:sz w:val="24"/>
          <w:szCs w:val="24"/>
        </w:rPr>
        <w:t xml:space="preserve"> </w:t>
      </w:r>
      <w:r w:rsidRPr="00482C9B">
        <w:rPr>
          <w:rFonts w:ascii="Bookman Old Style" w:hAnsi="Bookman Old Style"/>
          <w:sz w:val="24"/>
          <w:szCs w:val="24"/>
        </w:rPr>
        <w:t>Rancangan</w:t>
      </w:r>
      <w:r w:rsidR="00A954D0">
        <w:rPr>
          <w:rFonts w:ascii="Bookman Old Style" w:hAnsi="Bookman Old Style"/>
          <w:sz w:val="24"/>
          <w:szCs w:val="24"/>
        </w:rPr>
        <w:t xml:space="preserve"> </w:t>
      </w:r>
      <w:r w:rsidRPr="00482C9B">
        <w:rPr>
          <w:rFonts w:ascii="Bookman Old Style" w:hAnsi="Bookman Old Style"/>
          <w:sz w:val="24"/>
          <w:szCs w:val="24"/>
        </w:rPr>
        <w:t>Peraturan</w:t>
      </w:r>
      <w:r w:rsidR="00A954D0">
        <w:rPr>
          <w:rFonts w:ascii="Bookman Old Style" w:hAnsi="Bookman Old Style"/>
          <w:sz w:val="24"/>
          <w:szCs w:val="24"/>
        </w:rPr>
        <w:t xml:space="preserve"> </w:t>
      </w:r>
      <w:r w:rsidRPr="00482C9B">
        <w:rPr>
          <w:rFonts w:ascii="Bookman Old Style" w:hAnsi="Bookman Old Style"/>
          <w:sz w:val="24"/>
          <w:szCs w:val="24"/>
        </w:rPr>
        <w:t>Daerah</w:t>
      </w:r>
      <w:r w:rsidR="00A954D0">
        <w:rPr>
          <w:rFonts w:ascii="Bookman Old Style" w:hAnsi="Bookman Old Style"/>
          <w:sz w:val="24"/>
          <w:szCs w:val="24"/>
        </w:rPr>
        <w:t xml:space="preserve"> </w:t>
      </w:r>
      <w:r w:rsidRPr="00482C9B">
        <w:rPr>
          <w:rFonts w:ascii="Bookman Old Style" w:hAnsi="Bookman Old Style"/>
          <w:sz w:val="24"/>
          <w:szCs w:val="24"/>
        </w:rPr>
        <w:t>Kota</w:t>
      </w:r>
      <w:r w:rsidR="00A954D0">
        <w:rPr>
          <w:rFonts w:ascii="Bookman Old Style" w:hAnsi="Bookman Old Style"/>
          <w:sz w:val="24"/>
          <w:szCs w:val="24"/>
        </w:rPr>
        <w:t xml:space="preserve"> </w:t>
      </w:r>
      <w:r w:rsidRPr="00482C9B">
        <w:rPr>
          <w:rFonts w:ascii="Bookman Old Style" w:hAnsi="Bookman Old Style"/>
          <w:sz w:val="24"/>
          <w:szCs w:val="24"/>
        </w:rPr>
        <w:t>Tangerang</w:t>
      </w:r>
      <w:r w:rsidR="00A954D0">
        <w:rPr>
          <w:rFonts w:ascii="Bookman Old Style" w:hAnsi="Bookman Old Style"/>
          <w:sz w:val="24"/>
          <w:szCs w:val="24"/>
        </w:rPr>
        <w:t xml:space="preserve"> </w:t>
      </w:r>
      <w:r w:rsidRPr="00482C9B">
        <w:rPr>
          <w:rFonts w:ascii="Bookman Old Style" w:hAnsi="Bookman Old Style"/>
          <w:sz w:val="24"/>
          <w:szCs w:val="24"/>
        </w:rPr>
        <w:t>tentang</w:t>
      </w:r>
      <w:r w:rsidR="00A954D0">
        <w:rPr>
          <w:rFonts w:ascii="Bookman Old Style" w:hAnsi="Bookman Old Style"/>
          <w:sz w:val="24"/>
          <w:szCs w:val="24"/>
        </w:rPr>
        <w:t xml:space="preserve"> </w:t>
      </w:r>
      <w:r w:rsidRPr="00482C9B">
        <w:rPr>
          <w:rFonts w:ascii="Bookman Old Style" w:hAnsi="Bookman Old Style"/>
          <w:sz w:val="24"/>
          <w:szCs w:val="24"/>
        </w:rPr>
        <w:t>APBD</w:t>
      </w:r>
      <w:r w:rsidR="00A954D0">
        <w:rPr>
          <w:rFonts w:ascii="Bookman Old Style" w:hAnsi="Bookman Old Style"/>
          <w:sz w:val="24"/>
          <w:szCs w:val="24"/>
        </w:rPr>
        <w:t xml:space="preserve"> </w:t>
      </w:r>
      <w:r w:rsidRPr="00482C9B">
        <w:rPr>
          <w:rFonts w:ascii="Bookman Old Style" w:hAnsi="Bookman Old Style"/>
          <w:sz w:val="24"/>
          <w:szCs w:val="24"/>
        </w:rPr>
        <w:t>Tahun</w:t>
      </w:r>
      <w:r w:rsidR="00A954D0">
        <w:rPr>
          <w:rFonts w:ascii="Bookman Old Style" w:hAnsi="Bookman Old Style"/>
          <w:sz w:val="24"/>
          <w:szCs w:val="24"/>
        </w:rPr>
        <w:t xml:space="preserve"> </w:t>
      </w:r>
      <w:r w:rsidRPr="00482C9B">
        <w:rPr>
          <w:rFonts w:ascii="Bookman Old Style" w:hAnsi="Bookman Old Style"/>
          <w:sz w:val="24"/>
          <w:szCs w:val="24"/>
        </w:rPr>
        <w:t>Anggaran</w:t>
      </w:r>
      <w:r w:rsidR="00A954D0">
        <w:rPr>
          <w:rFonts w:ascii="Bookman Old Style" w:hAnsi="Bookman Old Style"/>
          <w:sz w:val="24"/>
          <w:szCs w:val="24"/>
        </w:rPr>
        <w:t xml:space="preserve"> </w:t>
      </w:r>
      <w:r w:rsidRPr="00482C9B">
        <w:rPr>
          <w:rFonts w:ascii="Bookman Old Style" w:hAnsi="Bookman Old Style"/>
          <w:sz w:val="24"/>
          <w:szCs w:val="24"/>
        </w:rPr>
        <w:t>2025,</w:t>
      </w:r>
      <w:r w:rsidR="00A954D0">
        <w:rPr>
          <w:rFonts w:ascii="Bookman Old Style" w:hAnsi="Bookman Old Style"/>
          <w:sz w:val="24"/>
          <w:szCs w:val="24"/>
        </w:rPr>
        <w:t xml:space="preserve"> </w:t>
      </w:r>
      <w:r w:rsidRPr="00482C9B">
        <w:rPr>
          <w:rFonts w:ascii="Bookman Old Style" w:hAnsi="Bookman Old Style"/>
          <w:sz w:val="24"/>
          <w:szCs w:val="24"/>
        </w:rPr>
        <w:t>yang</w:t>
      </w:r>
      <w:r w:rsidR="00A954D0">
        <w:rPr>
          <w:rFonts w:ascii="Bookman Old Style" w:hAnsi="Bookman Old Style"/>
          <w:sz w:val="24"/>
          <w:szCs w:val="24"/>
        </w:rPr>
        <w:t xml:space="preserve"> </w:t>
      </w:r>
      <w:r w:rsidRPr="00482C9B">
        <w:rPr>
          <w:rFonts w:ascii="Bookman Old Style" w:hAnsi="Bookman Old Style"/>
          <w:sz w:val="24"/>
          <w:szCs w:val="24"/>
        </w:rPr>
        <w:t>diuraikan</w:t>
      </w:r>
      <w:r w:rsidR="00A954D0">
        <w:rPr>
          <w:rFonts w:ascii="Bookman Old Style" w:hAnsi="Bookman Old Style"/>
          <w:sz w:val="24"/>
          <w:szCs w:val="24"/>
        </w:rPr>
        <w:t xml:space="preserve"> </w:t>
      </w:r>
      <w:r w:rsidRPr="00482C9B">
        <w:rPr>
          <w:rFonts w:ascii="Bookman Old Style" w:hAnsi="Bookman Old Style"/>
          <w:sz w:val="24"/>
          <w:szCs w:val="24"/>
        </w:rPr>
        <w:t>ke</w:t>
      </w:r>
      <w:r w:rsidR="00A954D0">
        <w:rPr>
          <w:rFonts w:ascii="Bookman Old Style" w:hAnsi="Bookman Old Style"/>
          <w:sz w:val="24"/>
          <w:szCs w:val="24"/>
        </w:rPr>
        <w:t xml:space="preserve"> </w:t>
      </w:r>
      <w:r w:rsidRPr="00482C9B">
        <w:rPr>
          <w:rFonts w:ascii="Bookman Old Style" w:hAnsi="Bookman Old Style"/>
          <w:sz w:val="24"/>
          <w:szCs w:val="24"/>
        </w:rPr>
        <w:t>dalam</w:t>
      </w:r>
      <w:r w:rsidR="00A954D0">
        <w:rPr>
          <w:rFonts w:ascii="Bookman Old Style" w:hAnsi="Bookman Old Style"/>
          <w:sz w:val="24"/>
          <w:szCs w:val="24"/>
        </w:rPr>
        <w:t xml:space="preserve"> </w:t>
      </w:r>
      <w:r w:rsidRPr="00482C9B">
        <w:rPr>
          <w:rFonts w:ascii="Bookman Old Style" w:hAnsi="Bookman Old Style"/>
          <w:sz w:val="24"/>
          <w:szCs w:val="24"/>
        </w:rPr>
        <w:t>rincian</w:t>
      </w:r>
      <w:r w:rsidR="00A954D0">
        <w:rPr>
          <w:rFonts w:ascii="Bookman Old Style" w:hAnsi="Bookman Old Style"/>
          <w:sz w:val="24"/>
          <w:szCs w:val="24"/>
        </w:rPr>
        <w:t xml:space="preserve"> </w:t>
      </w:r>
      <w:r w:rsidRPr="00482C9B">
        <w:rPr>
          <w:rFonts w:ascii="Bookman Old Style" w:hAnsi="Bookman Old Style"/>
          <w:sz w:val="24"/>
          <w:szCs w:val="24"/>
        </w:rPr>
        <w:t>objek</w:t>
      </w:r>
      <w:r w:rsidR="00A954D0">
        <w:rPr>
          <w:rFonts w:ascii="Bookman Old Style" w:hAnsi="Bookman Old Style"/>
          <w:sz w:val="24"/>
          <w:szCs w:val="24"/>
        </w:rPr>
        <w:t xml:space="preserve"> </w:t>
      </w:r>
      <w:r w:rsidRPr="00482C9B">
        <w:rPr>
          <w:rFonts w:ascii="Bookman Old Style" w:hAnsi="Bookman Old Style"/>
          <w:sz w:val="24"/>
          <w:szCs w:val="24"/>
        </w:rPr>
        <w:t>belanja:</w:t>
      </w:r>
    </w:p>
    <w:p w14:paraId="38AC1E00" w14:textId="006AA772" w:rsidR="00515C3A" w:rsidRPr="00482C9B" w:rsidRDefault="00515C3A" w:rsidP="00154790">
      <w:pPr>
        <w:pStyle w:val="ListParagraph"/>
        <w:numPr>
          <w:ilvl w:val="0"/>
          <w:numId w:val="168"/>
        </w:numPr>
        <w:spacing w:before="60" w:after="0" w:line="276" w:lineRule="auto"/>
        <w:ind w:left="2706" w:hanging="438"/>
        <w:contextualSpacing w:val="0"/>
        <w:jc w:val="both"/>
        <w:rPr>
          <w:rFonts w:ascii="Bookman Old Style" w:hAnsi="Bookman Old Style"/>
          <w:sz w:val="24"/>
          <w:szCs w:val="24"/>
        </w:rPr>
      </w:pPr>
      <w:r w:rsidRPr="00482C9B">
        <w:rPr>
          <w:rFonts w:ascii="Bookman Old Style" w:hAnsi="Bookman Old Style"/>
          <w:sz w:val="24"/>
          <w:szCs w:val="24"/>
        </w:rPr>
        <w:t>Belanja</w:t>
      </w:r>
      <w:r w:rsidR="00A954D0">
        <w:rPr>
          <w:rFonts w:ascii="Bookman Old Style" w:hAnsi="Bookman Old Style"/>
          <w:sz w:val="24"/>
          <w:szCs w:val="24"/>
        </w:rPr>
        <w:t xml:space="preserve"> </w:t>
      </w:r>
      <w:r w:rsidRPr="00482C9B">
        <w:rPr>
          <w:rFonts w:ascii="Bookman Old Style" w:hAnsi="Bookman Old Style"/>
          <w:sz w:val="24"/>
          <w:szCs w:val="24"/>
        </w:rPr>
        <w:t>Modal</w:t>
      </w:r>
      <w:r w:rsidR="00A954D0">
        <w:rPr>
          <w:rFonts w:ascii="Bookman Old Style" w:hAnsi="Bookman Old Style"/>
          <w:sz w:val="24"/>
          <w:szCs w:val="24"/>
        </w:rPr>
        <w:t xml:space="preserve"> </w:t>
      </w:r>
      <w:r w:rsidRPr="00482C9B">
        <w:rPr>
          <w:rFonts w:ascii="Bookman Old Style" w:hAnsi="Bookman Old Style"/>
          <w:sz w:val="24"/>
          <w:szCs w:val="24"/>
        </w:rPr>
        <w:t>Unit</w:t>
      </w:r>
      <w:r w:rsidR="00A954D0">
        <w:rPr>
          <w:rFonts w:ascii="Bookman Old Style" w:hAnsi="Bookman Old Style"/>
          <w:sz w:val="24"/>
          <w:szCs w:val="24"/>
        </w:rPr>
        <w:t xml:space="preserve"> </w:t>
      </w:r>
      <w:r w:rsidRPr="00482C9B">
        <w:rPr>
          <w:rFonts w:ascii="Bookman Old Style" w:hAnsi="Bookman Old Style"/>
          <w:sz w:val="24"/>
          <w:szCs w:val="24"/>
        </w:rPr>
        <w:t>Alat</w:t>
      </w:r>
      <w:r w:rsidR="00A954D0">
        <w:rPr>
          <w:rFonts w:ascii="Bookman Old Style" w:hAnsi="Bookman Old Style"/>
          <w:sz w:val="24"/>
          <w:szCs w:val="24"/>
        </w:rPr>
        <w:t xml:space="preserve"> </w:t>
      </w:r>
      <w:r w:rsidRPr="00482C9B">
        <w:rPr>
          <w:rFonts w:ascii="Bookman Old Style" w:hAnsi="Bookman Old Style"/>
          <w:sz w:val="24"/>
          <w:szCs w:val="24"/>
        </w:rPr>
        <w:t>Laboratorium</w:t>
      </w:r>
      <w:r w:rsidR="00A954D0">
        <w:rPr>
          <w:rFonts w:ascii="Bookman Old Style" w:hAnsi="Bookman Old Style"/>
          <w:sz w:val="24"/>
          <w:szCs w:val="24"/>
        </w:rPr>
        <w:t xml:space="preserve"> </w:t>
      </w:r>
      <w:r w:rsidRPr="00482C9B">
        <w:rPr>
          <w:rFonts w:ascii="Bookman Old Style" w:hAnsi="Bookman Old Style"/>
          <w:sz w:val="24"/>
          <w:szCs w:val="24"/>
        </w:rPr>
        <w:t>Rp2.604.945.600,00;</w:t>
      </w:r>
    </w:p>
    <w:p w14:paraId="3E07B593" w14:textId="6E8E4ED3" w:rsidR="00515C3A" w:rsidRPr="00482C9B" w:rsidRDefault="00515C3A" w:rsidP="00154790">
      <w:pPr>
        <w:pStyle w:val="ListParagraph"/>
        <w:numPr>
          <w:ilvl w:val="0"/>
          <w:numId w:val="168"/>
        </w:numPr>
        <w:spacing w:before="60" w:after="0" w:line="276" w:lineRule="auto"/>
        <w:ind w:left="2706" w:hanging="438"/>
        <w:contextualSpacing w:val="0"/>
        <w:jc w:val="both"/>
        <w:rPr>
          <w:rFonts w:ascii="Bookman Old Style" w:hAnsi="Bookman Old Style"/>
          <w:sz w:val="24"/>
          <w:szCs w:val="24"/>
        </w:rPr>
      </w:pPr>
      <w:r w:rsidRPr="00482C9B">
        <w:rPr>
          <w:rFonts w:ascii="Bookman Old Style" w:hAnsi="Bookman Old Style"/>
          <w:sz w:val="24"/>
          <w:szCs w:val="24"/>
        </w:rPr>
        <w:t>Belanja</w:t>
      </w:r>
      <w:r w:rsidR="00A954D0">
        <w:rPr>
          <w:rFonts w:ascii="Bookman Old Style" w:hAnsi="Bookman Old Style"/>
          <w:sz w:val="24"/>
          <w:szCs w:val="24"/>
        </w:rPr>
        <w:t xml:space="preserve"> </w:t>
      </w:r>
      <w:r w:rsidRPr="00482C9B">
        <w:rPr>
          <w:rFonts w:ascii="Bookman Old Style" w:hAnsi="Bookman Old Style"/>
          <w:sz w:val="24"/>
          <w:szCs w:val="24"/>
        </w:rPr>
        <w:t>Modal</w:t>
      </w:r>
      <w:r w:rsidR="00A954D0">
        <w:rPr>
          <w:rFonts w:ascii="Bookman Old Style" w:hAnsi="Bookman Old Style"/>
          <w:sz w:val="24"/>
          <w:szCs w:val="24"/>
        </w:rPr>
        <w:t xml:space="preserve"> </w:t>
      </w:r>
      <w:r w:rsidRPr="00482C9B">
        <w:rPr>
          <w:rFonts w:ascii="Bookman Old Style" w:hAnsi="Bookman Old Style"/>
          <w:sz w:val="24"/>
          <w:szCs w:val="24"/>
        </w:rPr>
        <w:t>Alat</w:t>
      </w:r>
      <w:r w:rsidR="00A954D0">
        <w:rPr>
          <w:rFonts w:ascii="Bookman Old Style" w:hAnsi="Bookman Old Style"/>
          <w:sz w:val="24"/>
          <w:szCs w:val="24"/>
        </w:rPr>
        <w:t xml:space="preserve"> </w:t>
      </w:r>
      <w:r w:rsidRPr="00482C9B">
        <w:rPr>
          <w:rFonts w:ascii="Bookman Old Style" w:hAnsi="Bookman Old Style"/>
          <w:sz w:val="24"/>
          <w:szCs w:val="24"/>
        </w:rPr>
        <w:t>Peraga</w:t>
      </w:r>
      <w:r w:rsidR="00A954D0">
        <w:rPr>
          <w:rFonts w:ascii="Bookman Old Style" w:hAnsi="Bookman Old Style"/>
          <w:sz w:val="24"/>
          <w:szCs w:val="24"/>
        </w:rPr>
        <w:t xml:space="preserve"> </w:t>
      </w:r>
      <w:r w:rsidRPr="00482C9B">
        <w:rPr>
          <w:rFonts w:ascii="Bookman Old Style" w:hAnsi="Bookman Old Style"/>
          <w:sz w:val="24"/>
          <w:szCs w:val="24"/>
        </w:rPr>
        <w:t>Praktek</w:t>
      </w:r>
      <w:r w:rsidR="00A954D0">
        <w:rPr>
          <w:rFonts w:ascii="Bookman Old Style" w:hAnsi="Bookman Old Style"/>
          <w:sz w:val="24"/>
          <w:szCs w:val="24"/>
        </w:rPr>
        <w:t xml:space="preserve"> </w:t>
      </w:r>
      <w:r w:rsidRPr="00482C9B">
        <w:rPr>
          <w:rFonts w:ascii="Bookman Old Style" w:hAnsi="Bookman Old Style"/>
          <w:sz w:val="24"/>
          <w:szCs w:val="24"/>
        </w:rPr>
        <w:t>Sekolah</w:t>
      </w:r>
      <w:r w:rsidR="00A954D0">
        <w:rPr>
          <w:rFonts w:ascii="Bookman Old Style" w:hAnsi="Bookman Old Style"/>
          <w:sz w:val="24"/>
          <w:szCs w:val="24"/>
        </w:rPr>
        <w:t xml:space="preserve"> </w:t>
      </w:r>
      <w:r w:rsidRPr="00482C9B">
        <w:rPr>
          <w:rFonts w:ascii="Bookman Old Style" w:hAnsi="Bookman Old Style"/>
          <w:sz w:val="24"/>
          <w:szCs w:val="24"/>
        </w:rPr>
        <w:t>Rp299.179.700,00,00;</w:t>
      </w:r>
    </w:p>
    <w:p w14:paraId="48CD9E7F" w14:textId="1B707C5D" w:rsidR="00515C3A" w:rsidRPr="00D23E4A" w:rsidRDefault="00515C3A" w:rsidP="00154790">
      <w:pPr>
        <w:pStyle w:val="ListParagraph"/>
        <w:numPr>
          <w:ilvl w:val="0"/>
          <w:numId w:val="168"/>
        </w:numPr>
        <w:spacing w:before="60" w:after="0" w:line="276" w:lineRule="auto"/>
        <w:ind w:left="2706" w:hanging="438"/>
        <w:contextualSpacing w:val="0"/>
        <w:jc w:val="both"/>
        <w:rPr>
          <w:rFonts w:ascii="Bookman Old Style" w:hAnsi="Bookman Old Style"/>
          <w:color w:val="FF0000"/>
          <w:sz w:val="24"/>
          <w:szCs w:val="24"/>
        </w:rPr>
      </w:pPr>
      <w:r w:rsidRPr="00482C9B">
        <w:rPr>
          <w:rFonts w:ascii="Bookman Old Style" w:hAnsi="Bookman Old Style"/>
          <w:sz w:val="24"/>
          <w:szCs w:val="24"/>
        </w:rPr>
        <w:t>Belanja</w:t>
      </w:r>
      <w:r w:rsidR="00A954D0">
        <w:rPr>
          <w:rFonts w:ascii="Bookman Old Style" w:hAnsi="Bookman Old Style"/>
          <w:sz w:val="24"/>
          <w:szCs w:val="24"/>
        </w:rPr>
        <w:t xml:space="preserve"> </w:t>
      </w:r>
      <w:r w:rsidRPr="00482C9B">
        <w:rPr>
          <w:rFonts w:ascii="Bookman Old Style" w:hAnsi="Bookman Old Style"/>
          <w:sz w:val="24"/>
          <w:szCs w:val="24"/>
        </w:rPr>
        <w:t>Modal</w:t>
      </w:r>
      <w:r w:rsidR="00A954D0">
        <w:rPr>
          <w:rFonts w:ascii="Bookman Old Style" w:hAnsi="Bookman Old Style"/>
          <w:sz w:val="24"/>
          <w:szCs w:val="24"/>
        </w:rPr>
        <w:t xml:space="preserve"> </w:t>
      </w:r>
      <w:r w:rsidRPr="00482C9B">
        <w:rPr>
          <w:rFonts w:ascii="Bookman Old Style" w:hAnsi="Bookman Old Style"/>
          <w:sz w:val="24"/>
          <w:szCs w:val="24"/>
        </w:rPr>
        <w:t>Alat</w:t>
      </w:r>
      <w:r w:rsidR="00A954D0">
        <w:rPr>
          <w:rFonts w:ascii="Bookman Old Style" w:hAnsi="Bookman Old Style"/>
          <w:sz w:val="24"/>
          <w:szCs w:val="24"/>
        </w:rPr>
        <w:t xml:space="preserve"> </w:t>
      </w:r>
      <w:r w:rsidRPr="00482C9B">
        <w:rPr>
          <w:rFonts w:ascii="Bookman Old Style" w:hAnsi="Bookman Old Style"/>
          <w:sz w:val="24"/>
          <w:szCs w:val="24"/>
        </w:rPr>
        <w:t>Laboratorium</w:t>
      </w:r>
      <w:r w:rsidR="00A954D0">
        <w:rPr>
          <w:rFonts w:ascii="Bookman Old Style" w:hAnsi="Bookman Old Style"/>
          <w:sz w:val="24"/>
          <w:szCs w:val="24"/>
        </w:rPr>
        <w:t xml:space="preserve"> </w:t>
      </w:r>
      <w:r w:rsidRPr="00482C9B">
        <w:rPr>
          <w:rFonts w:ascii="Bookman Old Style" w:hAnsi="Bookman Old Style"/>
          <w:sz w:val="24"/>
          <w:szCs w:val="24"/>
        </w:rPr>
        <w:t>Fisika</w:t>
      </w:r>
      <w:r w:rsidR="00A954D0">
        <w:rPr>
          <w:rFonts w:ascii="Bookman Old Style" w:hAnsi="Bookman Old Style"/>
          <w:sz w:val="24"/>
          <w:szCs w:val="24"/>
        </w:rPr>
        <w:t xml:space="preserve"> </w:t>
      </w:r>
      <w:r w:rsidRPr="00482C9B">
        <w:rPr>
          <w:rFonts w:ascii="Bookman Old Style" w:hAnsi="Bookman Old Style"/>
          <w:sz w:val="24"/>
          <w:szCs w:val="24"/>
        </w:rPr>
        <w:t>Nuklir/Elektronika</w:t>
      </w:r>
      <w:r w:rsidR="00A954D0">
        <w:rPr>
          <w:rFonts w:ascii="Bookman Old Style" w:hAnsi="Bookman Old Style"/>
          <w:sz w:val="24"/>
          <w:szCs w:val="24"/>
        </w:rPr>
        <w:t xml:space="preserve"> </w:t>
      </w:r>
      <w:r w:rsidRPr="00482C9B">
        <w:rPr>
          <w:rFonts w:ascii="Bookman Old Style" w:hAnsi="Bookman Old Style"/>
          <w:sz w:val="24"/>
          <w:szCs w:val="24"/>
        </w:rPr>
        <w:t>Rp2.012.598.0</w:t>
      </w:r>
      <w:r w:rsidRPr="00154790">
        <w:rPr>
          <w:rFonts w:ascii="Bookman Old Style" w:hAnsi="Bookman Old Style"/>
          <w:sz w:val="24"/>
          <w:szCs w:val="24"/>
        </w:rPr>
        <w:t>00,00.</w:t>
      </w:r>
    </w:p>
    <w:bookmarkEnd w:id="31"/>
    <w:bookmarkEnd w:id="33"/>
    <w:p w14:paraId="13463CAA" w14:textId="1245E345" w:rsidR="00515C3A" w:rsidRPr="0082787D" w:rsidRDefault="00515C3A" w:rsidP="00154790">
      <w:pPr>
        <w:pStyle w:val="ListParagraph"/>
        <w:numPr>
          <w:ilvl w:val="0"/>
          <w:numId w:val="148"/>
        </w:numPr>
        <w:spacing w:before="60" w:after="0" w:line="276" w:lineRule="auto"/>
        <w:ind w:left="2268" w:hanging="567"/>
        <w:contextualSpacing w:val="0"/>
        <w:jc w:val="both"/>
        <w:rPr>
          <w:rFonts w:ascii="Bookman Old Style" w:hAnsi="Bookman Old Style"/>
          <w:sz w:val="24"/>
          <w:szCs w:val="24"/>
        </w:rPr>
      </w:pPr>
      <w:r w:rsidRPr="0082787D">
        <w:rPr>
          <w:rFonts w:ascii="Bookman Old Style" w:hAnsi="Bookman Old Style"/>
          <w:sz w:val="24"/>
          <w:szCs w:val="24"/>
        </w:rPr>
        <w:t>Belanja</w:t>
      </w:r>
      <w:r w:rsidR="00A954D0">
        <w:rPr>
          <w:rFonts w:ascii="Bookman Old Style" w:hAnsi="Bookman Old Style"/>
          <w:sz w:val="24"/>
          <w:szCs w:val="24"/>
        </w:rPr>
        <w:t xml:space="preserve"> </w:t>
      </w:r>
      <w:r w:rsidRPr="0082787D">
        <w:rPr>
          <w:rFonts w:ascii="Bookman Old Style" w:hAnsi="Bookman Old Style"/>
          <w:sz w:val="24"/>
          <w:szCs w:val="24"/>
        </w:rPr>
        <w:t>Modal</w:t>
      </w:r>
      <w:r w:rsidR="00A954D0">
        <w:rPr>
          <w:rFonts w:ascii="Bookman Old Style" w:hAnsi="Bookman Old Style"/>
          <w:sz w:val="24"/>
          <w:szCs w:val="24"/>
        </w:rPr>
        <w:t xml:space="preserve"> </w:t>
      </w:r>
      <w:r w:rsidRPr="0082787D">
        <w:rPr>
          <w:rFonts w:ascii="Bookman Old Style" w:hAnsi="Bookman Old Style"/>
          <w:sz w:val="24"/>
          <w:szCs w:val="24"/>
        </w:rPr>
        <w:t>Komputer</w:t>
      </w:r>
      <w:r w:rsidR="00A954D0">
        <w:rPr>
          <w:rFonts w:ascii="Bookman Old Style" w:hAnsi="Bookman Old Style"/>
          <w:sz w:val="24"/>
          <w:szCs w:val="24"/>
        </w:rPr>
        <w:t xml:space="preserve"> </w:t>
      </w:r>
      <w:r w:rsidRPr="0082787D">
        <w:rPr>
          <w:rFonts w:ascii="Bookman Old Style" w:hAnsi="Bookman Old Style"/>
          <w:sz w:val="24"/>
          <w:szCs w:val="24"/>
        </w:rPr>
        <w:t>Rp41.681.828.900,00</w:t>
      </w:r>
      <w:r w:rsidR="00A954D0">
        <w:rPr>
          <w:rFonts w:ascii="Bookman Old Style" w:hAnsi="Bookman Old Style"/>
          <w:sz w:val="24"/>
          <w:szCs w:val="24"/>
        </w:rPr>
        <w:t xml:space="preserve"> </w:t>
      </w:r>
      <w:r w:rsidRPr="0082787D">
        <w:rPr>
          <w:rFonts w:ascii="Bookman Old Style" w:hAnsi="Bookman Old Style"/>
          <w:sz w:val="24"/>
          <w:szCs w:val="24"/>
        </w:rPr>
        <w:t>atau</w:t>
      </w:r>
      <w:r w:rsidR="00A954D0">
        <w:rPr>
          <w:rFonts w:ascii="Bookman Old Style" w:hAnsi="Bookman Old Style"/>
          <w:sz w:val="24"/>
          <w:szCs w:val="24"/>
        </w:rPr>
        <w:t xml:space="preserve"> </w:t>
      </w:r>
      <w:r w:rsidRPr="0082787D">
        <w:rPr>
          <w:rFonts w:ascii="Bookman Old Style" w:hAnsi="Bookman Old Style"/>
          <w:sz w:val="24"/>
          <w:szCs w:val="24"/>
        </w:rPr>
        <w:t>0,73%</w:t>
      </w:r>
      <w:r w:rsidR="00A954D0">
        <w:rPr>
          <w:rFonts w:ascii="Bookman Old Style" w:hAnsi="Bookman Old Style"/>
          <w:sz w:val="24"/>
          <w:szCs w:val="24"/>
        </w:rPr>
        <w:t xml:space="preserve"> </w:t>
      </w:r>
      <w:r w:rsidRPr="0082787D">
        <w:rPr>
          <w:rFonts w:ascii="Bookman Old Style" w:hAnsi="Bookman Old Style"/>
          <w:sz w:val="24"/>
          <w:szCs w:val="24"/>
        </w:rPr>
        <w:t>dari</w:t>
      </w:r>
      <w:r w:rsidR="00A954D0">
        <w:rPr>
          <w:rFonts w:ascii="Bookman Old Style" w:hAnsi="Bookman Old Style"/>
          <w:sz w:val="24"/>
          <w:szCs w:val="24"/>
        </w:rPr>
        <w:t xml:space="preserve"> </w:t>
      </w:r>
      <w:r w:rsidRPr="0082787D">
        <w:rPr>
          <w:rFonts w:ascii="Bookman Old Style" w:hAnsi="Bookman Old Style"/>
          <w:sz w:val="24"/>
          <w:szCs w:val="24"/>
        </w:rPr>
        <w:t>total</w:t>
      </w:r>
      <w:r w:rsidR="00A954D0">
        <w:rPr>
          <w:rFonts w:ascii="Bookman Old Style" w:hAnsi="Bookman Old Style"/>
          <w:sz w:val="24"/>
          <w:szCs w:val="24"/>
        </w:rPr>
        <w:t xml:space="preserve"> </w:t>
      </w:r>
      <w:r w:rsidRPr="0082787D">
        <w:rPr>
          <w:rFonts w:ascii="Bookman Old Style" w:hAnsi="Bookman Old Style"/>
          <w:sz w:val="24"/>
          <w:szCs w:val="24"/>
        </w:rPr>
        <w:t>belanja</w:t>
      </w:r>
      <w:r w:rsidR="00A954D0">
        <w:rPr>
          <w:rFonts w:ascii="Bookman Old Style" w:hAnsi="Bookman Old Style"/>
          <w:sz w:val="24"/>
          <w:szCs w:val="24"/>
        </w:rPr>
        <w:t xml:space="preserve"> </w:t>
      </w:r>
      <w:r w:rsidRPr="0082787D">
        <w:rPr>
          <w:rFonts w:ascii="Bookman Old Style" w:hAnsi="Bookman Old Style"/>
          <w:sz w:val="24"/>
          <w:szCs w:val="24"/>
        </w:rPr>
        <w:t>daerah</w:t>
      </w:r>
      <w:r w:rsidR="00A954D0">
        <w:rPr>
          <w:rFonts w:ascii="Bookman Old Style" w:hAnsi="Bookman Old Style"/>
          <w:sz w:val="24"/>
          <w:szCs w:val="24"/>
        </w:rPr>
        <w:t xml:space="preserve"> </w:t>
      </w:r>
      <w:r w:rsidRPr="0082787D">
        <w:rPr>
          <w:rFonts w:ascii="Bookman Old Style" w:hAnsi="Bookman Old Style"/>
          <w:sz w:val="24"/>
          <w:szCs w:val="24"/>
        </w:rPr>
        <w:t>dalam</w:t>
      </w:r>
      <w:r w:rsidR="00A954D0">
        <w:rPr>
          <w:rFonts w:ascii="Bookman Old Style" w:hAnsi="Bookman Old Style"/>
          <w:sz w:val="24"/>
          <w:szCs w:val="24"/>
        </w:rPr>
        <w:t xml:space="preserve"> </w:t>
      </w:r>
      <w:r w:rsidRPr="0082787D">
        <w:rPr>
          <w:rFonts w:ascii="Bookman Old Style" w:hAnsi="Bookman Old Style"/>
          <w:sz w:val="24"/>
          <w:szCs w:val="24"/>
        </w:rPr>
        <w:t>Rancangan</w:t>
      </w:r>
      <w:r w:rsidR="00A954D0">
        <w:rPr>
          <w:rFonts w:ascii="Bookman Old Style" w:hAnsi="Bookman Old Style"/>
          <w:sz w:val="24"/>
          <w:szCs w:val="24"/>
        </w:rPr>
        <w:t xml:space="preserve"> </w:t>
      </w:r>
      <w:r w:rsidRPr="0082787D">
        <w:rPr>
          <w:rFonts w:ascii="Bookman Old Style" w:hAnsi="Bookman Old Style"/>
          <w:sz w:val="24"/>
          <w:szCs w:val="24"/>
        </w:rPr>
        <w:t>Peraturan</w:t>
      </w:r>
      <w:r w:rsidR="00A954D0">
        <w:rPr>
          <w:rFonts w:ascii="Bookman Old Style" w:hAnsi="Bookman Old Style"/>
          <w:sz w:val="24"/>
          <w:szCs w:val="24"/>
        </w:rPr>
        <w:t xml:space="preserve"> </w:t>
      </w:r>
      <w:r w:rsidRPr="0082787D">
        <w:rPr>
          <w:rFonts w:ascii="Bookman Old Style" w:hAnsi="Bookman Old Style"/>
          <w:sz w:val="24"/>
          <w:szCs w:val="24"/>
        </w:rPr>
        <w:t>Daerah</w:t>
      </w:r>
      <w:r w:rsidR="00A954D0">
        <w:rPr>
          <w:rFonts w:ascii="Bookman Old Style" w:hAnsi="Bookman Old Style"/>
          <w:sz w:val="24"/>
          <w:szCs w:val="24"/>
        </w:rPr>
        <w:t xml:space="preserve"> </w:t>
      </w:r>
      <w:r w:rsidRPr="0082787D">
        <w:rPr>
          <w:rFonts w:ascii="Bookman Old Style" w:hAnsi="Bookman Old Style"/>
          <w:sz w:val="24"/>
          <w:szCs w:val="24"/>
        </w:rPr>
        <w:t>Kota</w:t>
      </w:r>
      <w:r w:rsidR="00A954D0">
        <w:rPr>
          <w:rFonts w:ascii="Bookman Old Style" w:hAnsi="Bookman Old Style"/>
          <w:sz w:val="24"/>
          <w:szCs w:val="24"/>
        </w:rPr>
        <w:t xml:space="preserve"> </w:t>
      </w:r>
      <w:r w:rsidRPr="0082787D">
        <w:rPr>
          <w:rFonts w:ascii="Bookman Old Style" w:hAnsi="Bookman Old Style"/>
          <w:sz w:val="24"/>
          <w:szCs w:val="24"/>
        </w:rPr>
        <w:t>Tangerang</w:t>
      </w:r>
      <w:r w:rsidR="00A954D0">
        <w:rPr>
          <w:rFonts w:ascii="Bookman Old Style" w:hAnsi="Bookman Old Style"/>
          <w:sz w:val="24"/>
          <w:szCs w:val="24"/>
        </w:rPr>
        <w:t xml:space="preserve"> </w:t>
      </w:r>
      <w:r w:rsidRPr="0082787D">
        <w:rPr>
          <w:rFonts w:ascii="Bookman Old Style" w:hAnsi="Bookman Old Style"/>
          <w:sz w:val="24"/>
          <w:szCs w:val="24"/>
        </w:rPr>
        <w:t>tentang</w:t>
      </w:r>
      <w:r w:rsidR="00A954D0">
        <w:rPr>
          <w:rFonts w:ascii="Bookman Old Style" w:hAnsi="Bookman Old Style"/>
          <w:sz w:val="24"/>
          <w:szCs w:val="24"/>
        </w:rPr>
        <w:t xml:space="preserve"> </w:t>
      </w:r>
      <w:r w:rsidRPr="0082787D">
        <w:rPr>
          <w:rFonts w:ascii="Bookman Old Style" w:hAnsi="Bookman Old Style"/>
          <w:sz w:val="24"/>
          <w:szCs w:val="24"/>
        </w:rPr>
        <w:t>APBD</w:t>
      </w:r>
      <w:r w:rsidR="00A954D0">
        <w:rPr>
          <w:rFonts w:ascii="Bookman Old Style" w:hAnsi="Bookman Old Style"/>
          <w:sz w:val="24"/>
          <w:szCs w:val="24"/>
        </w:rPr>
        <w:t xml:space="preserve"> </w:t>
      </w:r>
      <w:r w:rsidRPr="0082787D">
        <w:rPr>
          <w:rFonts w:ascii="Bookman Old Style" w:hAnsi="Bookman Old Style"/>
          <w:sz w:val="24"/>
          <w:szCs w:val="24"/>
        </w:rPr>
        <w:t>Tahun</w:t>
      </w:r>
      <w:r w:rsidR="00A954D0">
        <w:rPr>
          <w:rFonts w:ascii="Bookman Old Style" w:hAnsi="Bookman Old Style"/>
          <w:sz w:val="24"/>
          <w:szCs w:val="24"/>
        </w:rPr>
        <w:t xml:space="preserve"> </w:t>
      </w:r>
      <w:r w:rsidRPr="0082787D">
        <w:rPr>
          <w:rFonts w:ascii="Bookman Old Style" w:hAnsi="Bookman Old Style"/>
          <w:sz w:val="24"/>
          <w:szCs w:val="24"/>
        </w:rPr>
        <w:t>Anggaran</w:t>
      </w:r>
      <w:r w:rsidR="00A954D0">
        <w:rPr>
          <w:rFonts w:ascii="Bookman Old Style" w:hAnsi="Bookman Old Style"/>
          <w:sz w:val="24"/>
          <w:szCs w:val="24"/>
        </w:rPr>
        <w:t xml:space="preserve"> </w:t>
      </w:r>
      <w:r w:rsidRPr="0082787D">
        <w:rPr>
          <w:rFonts w:ascii="Bookman Old Style" w:hAnsi="Bookman Old Style"/>
          <w:sz w:val="24"/>
          <w:szCs w:val="24"/>
        </w:rPr>
        <w:t>2025,</w:t>
      </w:r>
      <w:r w:rsidR="00A954D0">
        <w:rPr>
          <w:rFonts w:ascii="Bookman Old Style" w:hAnsi="Bookman Old Style"/>
          <w:sz w:val="24"/>
          <w:szCs w:val="24"/>
        </w:rPr>
        <w:t xml:space="preserve"> </w:t>
      </w:r>
      <w:r w:rsidRPr="0082787D">
        <w:rPr>
          <w:rFonts w:ascii="Bookman Old Style" w:hAnsi="Bookman Old Style"/>
          <w:sz w:val="24"/>
          <w:szCs w:val="24"/>
        </w:rPr>
        <w:t>yang</w:t>
      </w:r>
      <w:r w:rsidR="00A954D0">
        <w:rPr>
          <w:rFonts w:ascii="Bookman Old Style" w:hAnsi="Bookman Old Style"/>
          <w:sz w:val="24"/>
          <w:szCs w:val="24"/>
        </w:rPr>
        <w:t xml:space="preserve"> </w:t>
      </w:r>
      <w:r w:rsidRPr="0082787D">
        <w:rPr>
          <w:rFonts w:ascii="Bookman Old Style" w:hAnsi="Bookman Old Style"/>
          <w:sz w:val="24"/>
          <w:szCs w:val="24"/>
        </w:rPr>
        <w:t>diuraikan</w:t>
      </w:r>
      <w:r w:rsidR="00A954D0">
        <w:rPr>
          <w:rFonts w:ascii="Bookman Old Style" w:hAnsi="Bookman Old Style"/>
          <w:sz w:val="24"/>
          <w:szCs w:val="24"/>
        </w:rPr>
        <w:t xml:space="preserve"> </w:t>
      </w:r>
      <w:r w:rsidRPr="0082787D">
        <w:rPr>
          <w:rFonts w:ascii="Bookman Old Style" w:hAnsi="Bookman Old Style"/>
          <w:sz w:val="24"/>
          <w:szCs w:val="24"/>
        </w:rPr>
        <w:t>ke</w:t>
      </w:r>
      <w:r w:rsidR="00A954D0">
        <w:rPr>
          <w:rFonts w:ascii="Bookman Old Style" w:hAnsi="Bookman Old Style"/>
          <w:sz w:val="24"/>
          <w:szCs w:val="24"/>
        </w:rPr>
        <w:t xml:space="preserve"> </w:t>
      </w:r>
      <w:r w:rsidRPr="0082787D">
        <w:rPr>
          <w:rFonts w:ascii="Bookman Old Style" w:hAnsi="Bookman Old Style"/>
          <w:sz w:val="24"/>
          <w:szCs w:val="24"/>
        </w:rPr>
        <w:t>dalam</w:t>
      </w:r>
      <w:r w:rsidR="00A954D0">
        <w:rPr>
          <w:rFonts w:ascii="Bookman Old Style" w:hAnsi="Bookman Old Style"/>
          <w:sz w:val="24"/>
          <w:szCs w:val="24"/>
        </w:rPr>
        <w:t xml:space="preserve"> </w:t>
      </w:r>
      <w:r w:rsidRPr="0082787D">
        <w:rPr>
          <w:rFonts w:ascii="Bookman Old Style" w:hAnsi="Bookman Old Style"/>
          <w:sz w:val="24"/>
          <w:szCs w:val="24"/>
        </w:rPr>
        <w:t>objek</w:t>
      </w:r>
      <w:r w:rsidR="00A954D0">
        <w:rPr>
          <w:rFonts w:ascii="Bookman Old Style" w:hAnsi="Bookman Old Style"/>
          <w:sz w:val="24"/>
          <w:szCs w:val="24"/>
        </w:rPr>
        <w:t xml:space="preserve"> </w:t>
      </w:r>
      <w:r w:rsidRPr="0082787D">
        <w:rPr>
          <w:rFonts w:ascii="Bookman Old Style" w:hAnsi="Bookman Old Style"/>
          <w:sz w:val="24"/>
          <w:szCs w:val="24"/>
        </w:rPr>
        <w:t>belanja:</w:t>
      </w:r>
    </w:p>
    <w:p w14:paraId="08920706" w14:textId="69931A4C" w:rsidR="00515C3A" w:rsidRPr="0082787D" w:rsidRDefault="00515C3A" w:rsidP="00154790">
      <w:pPr>
        <w:pStyle w:val="ListParagraph"/>
        <w:numPr>
          <w:ilvl w:val="0"/>
          <w:numId w:val="169"/>
        </w:numPr>
        <w:spacing w:before="60" w:line="276" w:lineRule="auto"/>
        <w:ind w:left="2706" w:hanging="438"/>
        <w:jc w:val="both"/>
        <w:rPr>
          <w:rFonts w:ascii="Bookman Old Style" w:hAnsi="Bookman Old Style"/>
          <w:sz w:val="24"/>
          <w:szCs w:val="24"/>
        </w:rPr>
      </w:pPr>
      <w:r w:rsidRPr="0082787D">
        <w:rPr>
          <w:rFonts w:ascii="Bookman Old Style" w:hAnsi="Bookman Old Style"/>
          <w:sz w:val="24"/>
          <w:szCs w:val="24"/>
        </w:rPr>
        <w:t>Belanja</w:t>
      </w:r>
      <w:r w:rsidR="00A954D0">
        <w:rPr>
          <w:rFonts w:ascii="Bookman Old Style" w:hAnsi="Bookman Old Style"/>
          <w:sz w:val="24"/>
          <w:szCs w:val="24"/>
        </w:rPr>
        <w:t xml:space="preserve"> </w:t>
      </w:r>
      <w:r w:rsidRPr="0082787D">
        <w:rPr>
          <w:rFonts w:ascii="Bookman Old Style" w:hAnsi="Bookman Old Style"/>
          <w:sz w:val="24"/>
          <w:szCs w:val="24"/>
        </w:rPr>
        <w:t>Modal</w:t>
      </w:r>
      <w:r w:rsidR="00A954D0">
        <w:rPr>
          <w:rFonts w:ascii="Bookman Old Style" w:hAnsi="Bookman Old Style"/>
          <w:sz w:val="24"/>
          <w:szCs w:val="24"/>
        </w:rPr>
        <w:t xml:space="preserve"> </w:t>
      </w:r>
      <w:r w:rsidRPr="0082787D">
        <w:rPr>
          <w:rFonts w:ascii="Bookman Old Style" w:hAnsi="Bookman Old Style"/>
          <w:sz w:val="24"/>
          <w:szCs w:val="24"/>
        </w:rPr>
        <w:t>Komputer</w:t>
      </w:r>
      <w:r w:rsidR="00A954D0">
        <w:rPr>
          <w:rFonts w:ascii="Bookman Old Style" w:hAnsi="Bookman Old Style"/>
          <w:sz w:val="24"/>
          <w:szCs w:val="24"/>
        </w:rPr>
        <w:t xml:space="preserve"> </w:t>
      </w:r>
      <w:r w:rsidRPr="0082787D">
        <w:rPr>
          <w:rFonts w:ascii="Bookman Old Style" w:hAnsi="Bookman Old Style"/>
          <w:sz w:val="24"/>
          <w:szCs w:val="24"/>
        </w:rPr>
        <w:t>Unit</w:t>
      </w:r>
      <w:r w:rsidR="00A954D0">
        <w:rPr>
          <w:rFonts w:ascii="Bookman Old Style" w:hAnsi="Bookman Old Style"/>
          <w:sz w:val="24"/>
          <w:szCs w:val="24"/>
        </w:rPr>
        <w:t xml:space="preserve"> </w:t>
      </w:r>
      <w:r w:rsidRPr="0082787D">
        <w:rPr>
          <w:rFonts w:ascii="Bookman Old Style" w:hAnsi="Bookman Old Style"/>
          <w:sz w:val="24"/>
          <w:szCs w:val="24"/>
        </w:rPr>
        <w:t>Rp38.913.748.800,00;</w:t>
      </w:r>
      <w:r w:rsidR="00A954D0">
        <w:rPr>
          <w:rFonts w:ascii="Bookman Old Style" w:hAnsi="Bookman Old Style"/>
          <w:sz w:val="24"/>
          <w:szCs w:val="24"/>
        </w:rPr>
        <w:t xml:space="preserve"> </w:t>
      </w:r>
    </w:p>
    <w:p w14:paraId="65242CAC" w14:textId="68C3F10D" w:rsidR="00515C3A" w:rsidRPr="0082787D" w:rsidRDefault="00515C3A" w:rsidP="00154790">
      <w:pPr>
        <w:pStyle w:val="ListParagraph"/>
        <w:numPr>
          <w:ilvl w:val="0"/>
          <w:numId w:val="169"/>
        </w:numPr>
        <w:spacing w:before="60" w:line="276" w:lineRule="auto"/>
        <w:ind w:left="2706" w:hanging="438"/>
        <w:jc w:val="both"/>
        <w:rPr>
          <w:rFonts w:ascii="Bookman Old Style" w:hAnsi="Bookman Old Style"/>
          <w:sz w:val="24"/>
          <w:szCs w:val="24"/>
        </w:rPr>
      </w:pPr>
      <w:r w:rsidRPr="0082787D">
        <w:rPr>
          <w:rFonts w:ascii="Bookman Old Style" w:hAnsi="Bookman Old Style"/>
          <w:sz w:val="24"/>
          <w:szCs w:val="24"/>
        </w:rPr>
        <w:t>Belanja</w:t>
      </w:r>
      <w:r w:rsidR="00A954D0">
        <w:rPr>
          <w:rFonts w:ascii="Bookman Old Style" w:hAnsi="Bookman Old Style"/>
          <w:sz w:val="24"/>
          <w:szCs w:val="24"/>
        </w:rPr>
        <w:t xml:space="preserve"> </w:t>
      </w:r>
      <w:r w:rsidRPr="0082787D">
        <w:rPr>
          <w:rFonts w:ascii="Bookman Old Style" w:hAnsi="Bookman Old Style"/>
          <w:sz w:val="24"/>
          <w:szCs w:val="24"/>
        </w:rPr>
        <w:t>Modal</w:t>
      </w:r>
      <w:r w:rsidR="00A954D0">
        <w:rPr>
          <w:rFonts w:ascii="Bookman Old Style" w:hAnsi="Bookman Old Style"/>
          <w:sz w:val="24"/>
          <w:szCs w:val="24"/>
        </w:rPr>
        <w:t xml:space="preserve"> </w:t>
      </w:r>
      <w:r w:rsidRPr="0082787D">
        <w:rPr>
          <w:rFonts w:ascii="Bookman Old Style" w:hAnsi="Bookman Old Style"/>
          <w:sz w:val="24"/>
          <w:szCs w:val="24"/>
        </w:rPr>
        <w:t>Peralatan</w:t>
      </w:r>
      <w:r w:rsidR="00A954D0">
        <w:rPr>
          <w:rFonts w:ascii="Bookman Old Style" w:hAnsi="Bookman Old Style"/>
          <w:sz w:val="24"/>
          <w:szCs w:val="24"/>
        </w:rPr>
        <w:t xml:space="preserve"> </w:t>
      </w:r>
      <w:r w:rsidRPr="0082787D">
        <w:rPr>
          <w:rFonts w:ascii="Bookman Old Style" w:hAnsi="Bookman Old Style"/>
          <w:sz w:val="24"/>
          <w:szCs w:val="24"/>
        </w:rPr>
        <w:t>Komputer</w:t>
      </w:r>
      <w:r w:rsidR="00A954D0">
        <w:rPr>
          <w:rFonts w:ascii="Bookman Old Style" w:hAnsi="Bookman Old Style"/>
          <w:sz w:val="24"/>
          <w:szCs w:val="24"/>
        </w:rPr>
        <w:t xml:space="preserve"> </w:t>
      </w:r>
      <w:r w:rsidRPr="0082787D">
        <w:rPr>
          <w:rFonts w:ascii="Bookman Old Style" w:hAnsi="Bookman Old Style"/>
          <w:sz w:val="24"/>
          <w:szCs w:val="24"/>
        </w:rPr>
        <w:t>Rp2.768.080.100,00</w:t>
      </w:r>
      <w:r w:rsidR="00154790" w:rsidRPr="00154790">
        <w:rPr>
          <w:rFonts w:ascii="Bookman Old Style" w:hAnsi="Bookman Old Style"/>
          <w:sz w:val="24"/>
          <w:szCs w:val="24"/>
          <w:lang w:val="sv-FI"/>
        </w:rPr>
        <w:t>.</w:t>
      </w:r>
    </w:p>
    <w:p w14:paraId="37D2A4DE" w14:textId="1A4B9539" w:rsidR="00515C3A" w:rsidRPr="00BB2CEF" w:rsidRDefault="00515C3A" w:rsidP="00154790">
      <w:pPr>
        <w:pStyle w:val="ListParagraph"/>
        <w:numPr>
          <w:ilvl w:val="0"/>
          <w:numId w:val="148"/>
        </w:numPr>
        <w:spacing w:before="60" w:after="0" w:line="276" w:lineRule="auto"/>
        <w:ind w:left="2268" w:hanging="567"/>
        <w:contextualSpacing w:val="0"/>
        <w:jc w:val="both"/>
        <w:rPr>
          <w:rFonts w:ascii="Bookman Old Style" w:hAnsi="Bookman Old Style"/>
          <w:sz w:val="24"/>
          <w:szCs w:val="24"/>
        </w:rPr>
      </w:pPr>
      <w:r w:rsidRPr="00BB2CEF">
        <w:rPr>
          <w:rFonts w:ascii="Bookman Old Style" w:hAnsi="Bookman Old Style"/>
          <w:sz w:val="24"/>
          <w:szCs w:val="24"/>
        </w:rPr>
        <w:t>Belanja</w:t>
      </w:r>
      <w:r w:rsidR="00A954D0">
        <w:rPr>
          <w:rFonts w:ascii="Bookman Old Style" w:hAnsi="Bookman Old Style"/>
          <w:sz w:val="24"/>
          <w:szCs w:val="24"/>
        </w:rPr>
        <w:t xml:space="preserve"> </w:t>
      </w:r>
      <w:r w:rsidRPr="00BB2CEF">
        <w:rPr>
          <w:rFonts w:ascii="Bookman Old Style" w:hAnsi="Bookman Old Style"/>
          <w:sz w:val="24"/>
          <w:szCs w:val="24"/>
        </w:rPr>
        <w:t>Modal</w:t>
      </w:r>
      <w:r w:rsidR="00A954D0">
        <w:rPr>
          <w:rFonts w:ascii="Bookman Old Style" w:hAnsi="Bookman Old Style"/>
          <w:sz w:val="24"/>
          <w:szCs w:val="24"/>
        </w:rPr>
        <w:t xml:space="preserve"> </w:t>
      </w:r>
      <w:r w:rsidRPr="00BB2CEF">
        <w:rPr>
          <w:rFonts w:ascii="Bookman Old Style" w:hAnsi="Bookman Old Style"/>
          <w:sz w:val="24"/>
          <w:szCs w:val="24"/>
        </w:rPr>
        <w:t>Alat</w:t>
      </w:r>
      <w:r w:rsidR="00A954D0">
        <w:rPr>
          <w:rFonts w:ascii="Bookman Old Style" w:hAnsi="Bookman Old Style"/>
          <w:sz w:val="24"/>
          <w:szCs w:val="24"/>
        </w:rPr>
        <w:t xml:space="preserve"> </w:t>
      </w:r>
      <w:r w:rsidRPr="00BB2CEF">
        <w:rPr>
          <w:rFonts w:ascii="Bookman Old Style" w:hAnsi="Bookman Old Style"/>
          <w:sz w:val="24"/>
          <w:szCs w:val="24"/>
        </w:rPr>
        <w:t>Produksi,</w:t>
      </w:r>
      <w:r w:rsidR="00A954D0">
        <w:rPr>
          <w:rFonts w:ascii="Bookman Old Style" w:hAnsi="Bookman Old Style"/>
          <w:sz w:val="24"/>
          <w:szCs w:val="24"/>
        </w:rPr>
        <w:t xml:space="preserve"> </w:t>
      </w:r>
      <w:r w:rsidRPr="00BB2CEF">
        <w:rPr>
          <w:rFonts w:ascii="Bookman Old Style" w:hAnsi="Bookman Old Style"/>
          <w:sz w:val="24"/>
          <w:szCs w:val="24"/>
        </w:rPr>
        <w:t>Pengolahan,</w:t>
      </w:r>
      <w:r w:rsidR="00A954D0">
        <w:rPr>
          <w:rFonts w:ascii="Bookman Old Style" w:hAnsi="Bookman Old Style"/>
          <w:sz w:val="24"/>
          <w:szCs w:val="24"/>
        </w:rPr>
        <w:t xml:space="preserve"> </w:t>
      </w:r>
      <w:r w:rsidRPr="00BB2CEF">
        <w:rPr>
          <w:rFonts w:ascii="Bookman Old Style" w:hAnsi="Bookman Old Style"/>
          <w:sz w:val="24"/>
          <w:szCs w:val="24"/>
        </w:rPr>
        <w:t>dan</w:t>
      </w:r>
      <w:r w:rsidR="00A954D0">
        <w:rPr>
          <w:rFonts w:ascii="Bookman Old Style" w:hAnsi="Bookman Old Style"/>
          <w:sz w:val="24"/>
          <w:szCs w:val="24"/>
        </w:rPr>
        <w:t xml:space="preserve"> </w:t>
      </w:r>
      <w:r w:rsidRPr="00BB2CEF">
        <w:rPr>
          <w:rFonts w:ascii="Bookman Old Style" w:hAnsi="Bookman Old Style"/>
          <w:sz w:val="24"/>
          <w:szCs w:val="24"/>
        </w:rPr>
        <w:t>Pemurnian</w:t>
      </w:r>
      <w:r w:rsidR="00A954D0">
        <w:rPr>
          <w:rFonts w:ascii="Bookman Old Style" w:hAnsi="Bookman Old Style"/>
          <w:sz w:val="24"/>
          <w:szCs w:val="24"/>
        </w:rPr>
        <w:t xml:space="preserve"> </w:t>
      </w:r>
      <w:r w:rsidRPr="00BB2CEF">
        <w:rPr>
          <w:rFonts w:ascii="Bookman Old Style" w:hAnsi="Bookman Old Style"/>
          <w:sz w:val="24"/>
          <w:szCs w:val="24"/>
        </w:rPr>
        <w:t>Rp3.649.680,00</w:t>
      </w:r>
      <w:r w:rsidR="00A954D0">
        <w:rPr>
          <w:rFonts w:ascii="Bookman Old Style" w:hAnsi="Bookman Old Style"/>
          <w:sz w:val="24"/>
          <w:szCs w:val="24"/>
        </w:rPr>
        <w:t xml:space="preserve"> </w:t>
      </w:r>
      <w:r w:rsidRPr="00BB2CEF">
        <w:rPr>
          <w:rFonts w:ascii="Bookman Old Style" w:hAnsi="Bookman Old Style"/>
          <w:sz w:val="24"/>
          <w:szCs w:val="24"/>
        </w:rPr>
        <w:t>atau</w:t>
      </w:r>
      <w:r w:rsidR="00A954D0">
        <w:rPr>
          <w:rFonts w:ascii="Bookman Old Style" w:hAnsi="Bookman Old Style"/>
          <w:sz w:val="24"/>
          <w:szCs w:val="24"/>
        </w:rPr>
        <w:t xml:space="preserve"> </w:t>
      </w:r>
      <w:r w:rsidRPr="00BB2CEF">
        <w:rPr>
          <w:rFonts w:ascii="Bookman Old Style" w:hAnsi="Bookman Old Style"/>
          <w:sz w:val="24"/>
          <w:szCs w:val="24"/>
        </w:rPr>
        <w:t>0,0001%</w:t>
      </w:r>
      <w:r w:rsidR="00A954D0">
        <w:rPr>
          <w:rFonts w:ascii="Bookman Old Style" w:hAnsi="Bookman Old Style"/>
          <w:sz w:val="24"/>
          <w:szCs w:val="24"/>
        </w:rPr>
        <w:t xml:space="preserve"> </w:t>
      </w:r>
      <w:r w:rsidRPr="00BB2CEF">
        <w:rPr>
          <w:rFonts w:ascii="Bookman Old Style" w:hAnsi="Bookman Old Style"/>
          <w:sz w:val="24"/>
          <w:szCs w:val="24"/>
        </w:rPr>
        <w:t>dari</w:t>
      </w:r>
      <w:r w:rsidR="00A954D0">
        <w:rPr>
          <w:rFonts w:ascii="Bookman Old Style" w:hAnsi="Bookman Old Style"/>
          <w:sz w:val="24"/>
          <w:szCs w:val="24"/>
        </w:rPr>
        <w:t xml:space="preserve"> </w:t>
      </w:r>
      <w:r w:rsidRPr="00BB2CEF">
        <w:rPr>
          <w:rFonts w:ascii="Bookman Old Style" w:hAnsi="Bookman Old Style"/>
          <w:sz w:val="24"/>
          <w:szCs w:val="24"/>
        </w:rPr>
        <w:t>total</w:t>
      </w:r>
      <w:r w:rsidR="00A954D0">
        <w:rPr>
          <w:rFonts w:ascii="Bookman Old Style" w:hAnsi="Bookman Old Style"/>
          <w:sz w:val="24"/>
          <w:szCs w:val="24"/>
        </w:rPr>
        <w:t xml:space="preserve"> </w:t>
      </w:r>
      <w:r w:rsidRPr="00BB2CEF">
        <w:rPr>
          <w:rFonts w:ascii="Bookman Old Style" w:hAnsi="Bookman Old Style"/>
          <w:sz w:val="24"/>
          <w:szCs w:val="24"/>
        </w:rPr>
        <w:t>belanja</w:t>
      </w:r>
      <w:r w:rsidR="00A954D0">
        <w:rPr>
          <w:rFonts w:ascii="Bookman Old Style" w:hAnsi="Bookman Old Style"/>
          <w:sz w:val="24"/>
          <w:szCs w:val="24"/>
        </w:rPr>
        <w:t xml:space="preserve"> </w:t>
      </w:r>
      <w:r w:rsidRPr="00BB2CEF">
        <w:rPr>
          <w:rFonts w:ascii="Bookman Old Style" w:hAnsi="Bookman Old Style"/>
          <w:sz w:val="24"/>
          <w:szCs w:val="24"/>
        </w:rPr>
        <w:t>daerah</w:t>
      </w:r>
      <w:r w:rsidR="00A954D0">
        <w:rPr>
          <w:rFonts w:ascii="Bookman Old Style" w:hAnsi="Bookman Old Style"/>
          <w:sz w:val="24"/>
          <w:szCs w:val="24"/>
        </w:rPr>
        <w:t xml:space="preserve"> </w:t>
      </w:r>
      <w:r w:rsidRPr="00BB2CEF">
        <w:rPr>
          <w:rFonts w:ascii="Bookman Old Style" w:hAnsi="Bookman Old Style"/>
          <w:sz w:val="24"/>
          <w:szCs w:val="24"/>
        </w:rPr>
        <w:t>dalam</w:t>
      </w:r>
      <w:r w:rsidR="00A954D0">
        <w:rPr>
          <w:rFonts w:ascii="Bookman Old Style" w:hAnsi="Bookman Old Style"/>
          <w:sz w:val="24"/>
          <w:szCs w:val="24"/>
        </w:rPr>
        <w:t xml:space="preserve"> </w:t>
      </w:r>
      <w:r w:rsidRPr="00BB2CEF">
        <w:rPr>
          <w:rFonts w:ascii="Bookman Old Style" w:hAnsi="Bookman Old Style"/>
          <w:sz w:val="24"/>
          <w:szCs w:val="24"/>
        </w:rPr>
        <w:t>Rancangan</w:t>
      </w:r>
      <w:r w:rsidR="00A954D0">
        <w:rPr>
          <w:rFonts w:ascii="Bookman Old Style" w:hAnsi="Bookman Old Style"/>
          <w:sz w:val="24"/>
          <w:szCs w:val="24"/>
        </w:rPr>
        <w:t xml:space="preserve"> </w:t>
      </w:r>
      <w:r w:rsidRPr="00BB2CEF">
        <w:rPr>
          <w:rFonts w:ascii="Bookman Old Style" w:hAnsi="Bookman Old Style"/>
          <w:sz w:val="24"/>
          <w:szCs w:val="24"/>
        </w:rPr>
        <w:t>Peraturan</w:t>
      </w:r>
      <w:r w:rsidR="00A954D0">
        <w:rPr>
          <w:rFonts w:ascii="Bookman Old Style" w:hAnsi="Bookman Old Style"/>
          <w:sz w:val="24"/>
          <w:szCs w:val="24"/>
        </w:rPr>
        <w:t xml:space="preserve"> </w:t>
      </w:r>
      <w:r w:rsidRPr="00BB2CEF">
        <w:rPr>
          <w:rFonts w:ascii="Bookman Old Style" w:hAnsi="Bookman Old Style"/>
          <w:sz w:val="24"/>
          <w:szCs w:val="24"/>
        </w:rPr>
        <w:t>Daerah</w:t>
      </w:r>
      <w:r w:rsidR="00A954D0">
        <w:rPr>
          <w:rFonts w:ascii="Bookman Old Style" w:hAnsi="Bookman Old Style"/>
          <w:sz w:val="24"/>
          <w:szCs w:val="24"/>
        </w:rPr>
        <w:t xml:space="preserve"> </w:t>
      </w:r>
      <w:r w:rsidRPr="00BB2CEF">
        <w:rPr>
          <w:rFonts w:ascii="Bookman Old Style" w:hAnsi="Bookman Old Style"/>
          <w:sz w:val="24"/>
          <w:szCs w:val="24"/>
        </w:rPr>
        <w:t>Kota</w:t>
      </w:r>
      <w:r w:rsidR="00A954D0">
        <w:rPr>
          <w:rFonts w:ascii="Bookman Old Style" w:hAnsi="Bookman Old Style"/>
          <w:sz w:val="24"/>
          <w:szCs w:val="24"/>
        </w:rPr>
        <w:t xml:space="preserve"> </w:t>
      </w:r>
      <w:r w:rsidRPr="00BB2CEF">
        <w:rPr>
          <w:rFonts w:ascii="Bookman Old Style" w:hAnsi="Bookman Old Style"/>
          <w:sz w:val="24"/>
          <w:szCs w:val="24"/>
        </w:rPr>
        <w:t>Tangerang</w:t>
      </w:r>
      <w:r w:rsidR="00A954D0">
        <w:rPr>
          <w:rFonts w:ascii="Bookman Old Style" w:hAnsi="Bookman Old Style"/>
          <w:sz w:val="24"/>
          <w:szCs w:val="24"/>
        </w:rPr>
        <w:t xml:space="preserve"> </w:t>
      </w:r>
      <w:r w:rsidRPr="00BB2CEF">
        <w:rPr>
          <w:rFonts w:ascii="Bookman Old Style" w:hAnsi="Bookman Old Style"/>
          <w:sz w:val="24"/>
          <w:szCs w:val="24"/>
        </w:rPr>
        <w:t>tentang</w:t>
      </w:r>
      <w:r w:rsidR="00A954D0">
        <w:rPr>
          <w:rFonts w:ascii="Bookman Old Style" w:hAnsi="Bookman Old Style"/>
          <w:sz w:val="24"/>
          <w:szCs w:val="24"/>
        </w:rPr>
        <w:t xml:space="preserve"> </w:t>
      </w:r>
      <w:r w:rsidRPr="00BB2CEF">
        <w:rPr>
          <w:rFonts w:ascii="Bookman Old Style" w:hAnsi="Bookman Old Style"/>
          <w:sz w:val="24"/>
          <w:szCs w:val="24"/>
        </w:rPr>
        <w:t>APBD</w:t>
      </w:r>
      <w:r w:rsidR="00A954D0">
        <w:rPr>
          <w:rFonts w:ascii="Bookman Old Style" w:hAnsi="Bookman Old Style"/>
          <w:sz w:val="24"/>
          <w:szCs w:val="24"/>
        </w:rPr>
        <w:t xml:space="preserve"> </w:t>
      </w:r>
      <w:r w:rsidRPr="00BB2CEF">
        <w:rPr>
          <w:rFonts w:ascii="Bookman Old Style" w:hAnsi="Bookman Old Style"/>
          <w:sz w:val="24"/>
          <w:szCs w:val="24"/>
        </w:rPr>
        <w:t>Tahun</w:t>
      </w:r>
      <w:r w:rsidR="00A954D0">
        <w:rPr>
          <w:rFonts w:ascii="Bookman Old Style" w:hAnsi="Bookman Old Style"/>
          <w:sz w:val="24"/>
          <w:szCs w:val="24"/>
        </w:rPr>
        <w:t xml:space="preserve"> </w:t>
      </w:r>
      <w:r w:rsidRPr="00BB2CEF">
        <w:rPr>
          <w:rFonts w:ascii="Bookman Old Style" w:hAnsi="Bookman Old Style"/>
          <w:sz w:val="24"/>
          <w:szCs w:val="24"/>
        </w:rPr>
        <w:t>Anggaran</w:t>
      </w:r>
      <w:r w:rsidR="00A954D0">
        <w:rPr>
          <w:rFonts w:ascii="Bookman Old Style" w:hAnsi="Bookman Old Style"/>
          <w:sz w:val="24"/>
          <w:szCs w:val="24"/>
        </w:rPr>
        <w:t xml:space="preserve"> </w:t>
      </w:r>
      <w:r w:rsidRPr="00BB2CEF">
        <w:rPr>
          <w:rFonts w:ascii="Bookman Old Style" w:hAnsi="Bookman Old Style"/>
          <w:sz w:val="24"/>
          <w:szCs w:val="24"/>
        </w:rPr>
        <w:t>2025,</w:t>
      </w:r>
      <w:r w:rsidR="00A954D0">
        <w:rPr>
          <w:rFonts w:ascii="Bookman Old Style" w:hAnsi="Bookman Old Style"/>
          <w:sz w:val="24"/>
          <w:szCs w:val="24"/>
        </w:rPr>
        <w:t xml:space="preserve"> </w:t>
      </w:r>
      <w:r w:rsidRPr="00BB2CEF">
        <w:rPr>
          <w:rFonts w:ascii="Bookman Old Style" w:hAnsi="Bookman Old Style"/>
          <w:sz w:val="24"/>
          <w:szCs w:val="24"/>
        </w:rPr>
        <w:t>yang</w:t>
      </w:r>
      <w:r w:rsidR="00A954D0">
        <w:rPr>
          <w:rFonts w:ascii="Bookman Old Style" w:hAnsi="Bookman Old Style"/>
          <w:sz w:val="24"/>
          <w:szCs w:val="24"/>
        </w:rPr>
        <w:t xml:space="preserve"> </w:t>
      </w:r>
      <w:r w:rsidRPr="00BB2CEF">
        <w:rPr>
          <w:rFonts w:ascii="Bookman Old Style" w:hAnsi="Bookman Old Style"/>
          <w:sz w:val="24"/>
          <w:szCs w:val="24"/>
        </w:rPr>
        <w:t>seluruhnya</w:t>
      </w:r>
      <w:r w:rsidR="00A954D0">
        <w:rPr>
          <w:rFonts w:ascii="Bookman Old Style" w:hAnsi="Bookman Old Style"/>
          <w:sz w:val="24"/>
          <w:szCs w:val="24"/>
        </w:rPr>
        <w:t xml:space="preserve"> </w:t>
      </w:r>
      <w:r w:rsidRPr="00BB2CEF">
        <w:rPr>
          <w:rFonts w:ascii="Bookman Old Style" w:hAnsi="Bookman Old Style"/>
          <w:sz w:val="24"/>
          <w:szCs w:val="24"/>
        </w:rPr>
        <w:t>diuraikan</w:t>
      </w:r>
      <w:r w:rsidR="00A954D0">
        <w:rPr>
          <w:rFonts w:ascii="Bookman Old Style" w:hAnsi="Bookman Old Style"/>
          <w:sz w:val="24"/>
          <w:szCs w:val="24"/>
        </w:rPr>
        <w:t xml:space="preserve"> </w:t>
      </w:r>
      <w:r w:rsidRPr="00BB2CEF">
        <w:rPr>
          <w:rFonts w:ascii="Bookman Old Style" w:hAnsi="Bookman Old Style"/>
          <w:sz w:val="24"/>
          <w:szCs w:val="24"/>
        </w:rPr>
        <w:t>ke</w:t>
      </w:r>
      <w:r w:rsidR="00A954D0">
        <w:rPr>
          <w:rFonts w:ascii="Bookman Old Style" w:hAnsi="Bookman Old Style"/>
          <w:sz w:val="24"/>
          <w:szCs w:val="24"/>
        </w:rPr>
        <w:t xml:space="preserve"> </w:t>
      </w:r>
      <w:r w:rsidRPr="00BB2CEF">
        <w:rPr>
          <w:rFonts w:ascii="Bookman Old Style" w:hAnsi="Bookman Old Style"/>
          <w:sz w:val="24"/>
          <w:szCs w:val="24"/>
        </w:rPr>
        <w:t>dalam</w:t>
      </w:r>
      <w:r w:rsidR="00A954D0">
        <w:rPr>
          <w:rFonts w:ascii="Bookman Old Style" w:hAnsi="Bookman Old Style"/>
          <w:sz w:val="24"/>
          <w:szCs w:val="24"/>
        </w:rPr>
        <w:t xml:space="preserve"> </w:t>
      </w:r>
      <w:r w:rsidRPr="00BB2CEF">
        <w:rPr>
          <w:rFonts w:ascii="Bookman Old Style" w:hAnsi="Bookman Old Style"/>
          <w:sz w:val="24"/>
          <w:szCs w:val="24"/>
        </w:rPr>
        <w:t>objek</w:t>
      </w:r>
      <w:r w:rsidR="00A954D0">
        <w:rPr>
          <w:rFonts w:ascii="Bookman Old Style" w:hAnsi="Bookman Old Style"/>
          <w:sz w:val="24"/>
          <w:szCs w:val="24"/>
        </w:rPr>
        <w:t xml:space="preserve"> </w:t>
      </w:r>
      <w:r w:rsidRPr="00BB2CEF">
        <w:rPr>
          <w:rFonts w:ascii="Bookman Old Style" w:hAnsi="Bookman Old Style"/>
          <w:sz w:val="24"/>
          <w:szCs w:val="24"/>
        </w:rPr>
        <w:t>Belanja</w:t>
      </w:r>
      <w:r w:rsidR="00A954D0">
        <w:rPr>
          <w:rFonts w:ascii="Bookman Old Style" w:hAnsi="Bookman Old Style"/>
          <w:sz w:val="24"/>
          <w:szCs w:val="24"/>
        </w:rPr>
        <w:t xml:space="preserve"> </w:t>
      </w:r>
      <w:r w:rsidRPr="00BB2CEF">
        <w:rPr>
          <w:rFonts w:ascii="Bookman Old Style" w:hAnsi="Bookman Old Style"/>
          <w:sz w:val="24"/>
          <w:szCs w:val="24"/>
        </w:rPr>
        <w:t>Belanja</w:t>
      </w:r>
      <w:r w:rsidR="00A954D0">
        <w:rPr>
          <w:rFonts w:ascii="Bookman Old Style" w:hAnsi="Bookman Old Style"/>
          <w:sz w:val="24"/>
          <w:szCs w:val="24"/>
        </w:rPr>
        <w:t xml:space="preserve"> </w:t>
      </w:r>
      <w:r w:rsidRPr="00BB2CEF">
        <w:rPr>
          <w:rFonts w:ascii="Bookman Old Style" w:hAnsi="Bookman Old Style"/>
          <w:sz w:val="24"/>
          <w:szCs w:val="24"/>
        </w:rPr>
        <w:t>Modal</w:t>
      </w:r>
      <w:r w:rsidR="00A954D0">
        <w:rPr>
          <w:rFonts w:ascii="Bookman Old Style" w:hAnsi="Bookman Old Style"/>
          <w:sz w:val="24"/>
          <w:szCs w:val="24"/>
        </w:rPr>
        <w:t xml:space="preserve"> </w:t>
      </w:r>
      <w:r w:rsidRPr="00BB2CEF">
        <w:rPr>
          <w:rFonts w:ascii="Bookman Old Style" w:hAnsi="Bookman Old Style"/>
          <w:sz w:val="24"/>
          <w:szCs w:val="24"/>
        </w:rPr>
        <w:t>Sumur</w:t>
      </w:r>
      <w:r>
        <w:rPr>
          <w:rFonts w:ascii="Bookman Old Style" w:hAnsi="Bookman Old Style"/>
          <w:sz w:val="24"/>
          <w:szCs w:val="24"/>
        </w:rPr>
        <w:t>;</w:t>
      </w:r>
    </w:p>
    <w:p w14:paraId="270B9F15" w14:textId="1D53C321" w:rsidR="00515C3A" w:rsidRDefault="00515C3A" w:rsidP="00154790">
      <w:pPr>
        <w:pStyle w:val="ListParagraph"/>
        <w:numPr>
          <w:ilvl w:val="0"/>
          <w:numId w:val="148"/>
        </w:numPr>
        <w:spacing w:before="60" w:after="0" w:line="276" w:lineRule="auto"/>
        <w:ind w:left="2268" w:hanging="567"/>
        <w:contextualSpacing w:val="0"/>
        <w:jc w:val="both"/>
        <w:rPr>
          <w:rFonts w:ascii="Bookman Old Style" w:hAnsi="Bookman Old Style"/>
          <w:sz w:val="24"/>
          <w:szCs w:val="24"/>
        </w:rPr>
      </w:pPr>
      <w:bookmarkStart w:id="34" w:name="_Hlk183761876"/>
      <w:r w:rsidRPr="009B38D6">
        <w:rPr>
          <w:rFonts w:ascii="Bookman Old Style" w:hAnsi="Bookman Old Style"/>
          <w:sz w:val="24"/>
          <w:szCs w:val="24"/>
        </w:rPr>
        <w:t>Belanja</w:t>
      </w:r>
      <w:r w:rsidR="00A954D0">
        <w:rPr>
          <w:rFonts w:ascii="Bookman Old Style" w:hAnsi="Bookman Old Style"/>
          <w:sz w:val="24"/>
          <w:szCs w:val="24"/>
        </w:rPr>
        <w:t xml:space="preserve"> </w:t>
      </w:r>
      <w:r w:rsidRPr="009B38D6">
        <w:rPr>
          <w:rFonts w:ascii="Bookman Old Style" w:hAnsi="Bookman Old Style"/>
          <w:sz w:val="24"/>
          <w:szCs w:val="24"/>
        </w:rPr>
        <w:t>Modal</w:t>
      </w:r>
      <w:r w:rsidR="00A954D0">
        <w:rPr>
          <w:rFonts w:ascii="Bookman Old Style" w:hAnsi="Bookman Old Style"/>
          <w:sz w:val="24"/>
          <w:szCs w:val="24"/>
        </w:rPr>
        <w:t xml:space="preserve"> </w:t>
      </w:r>
      <w:r w:rsidRPr="009B38D6">
        <w:rPr>
          <w:rFonts w:ascii="Bookman Old Style" w:hAnsi="Bookman Old Style"/>
          <w:sz w:val="24"/>
          <w:szCs w:val="24"/>
        </w:rPr>
        <w:t>Alat</w:t>
      </w:r>
      <w:r w:rsidR="00A954D0">
        <w:rPr>
          <w:rFonts w:ascii="Bookman Old Style" w:hAnsi="Bookman Old Style"/>
          <w:sz w:val="24"/>
          <w:szCs w:val="24"/>
        </w:rPr>
        <w:t xml:space="preserve"> </w:t>
      </w:r>
      <w:r w:rsidRPr="009B38D6">
        <w:rPr>
          <w:rFonts w:ascii="Bookman Old Style" w:hAnsi="Bookman Old Style"/>
          <w:sz w:val="24"/>
          <w:szCs w:val="24"/>
        </w:rPr>
        <w:t>Peraga</w:t>
      </w:r>
      <w:r w:rsidR="00A954D0">
        <w:rPr>
          <w:rFonts w:ascii="Bookman Old Style" w:hAnsi="Bookman Old Style"/>
          <w:sz w:val="24"/>
          <w:szCs w:val="24"/>
        </w:rPr>
        <w:t xml:space="preserve"> </w:t>
      </w:r>
      <w:r w:rsidRPr="009B38D6">
        <w:rPr>
          <w:rFonts w:ascii="Bookman Old Style" w:hAnsi="Bookman Old Style"/>
          <w:sz w:val="24"/>
          <w:szCs w:val="24"/>
        </w:rPr>
        <w:t>Rp130.000.000,00</w:t>
      </w:r>
      <w:r w:rsidR="00A954D0">
        <w:rPr>
          <w:rFonts w:ascii="Bookman Old Style" w:hAnsi="Bookman Old Style"/>
          <w:sz w:val="24"/>
          <w:szCs w:val="24"/>
        </w:rPr>
        <w:t xml:space="preserve"> </w:t>
      </w:r>
      <w:r w:rsidRPr="009B38D6">
        <w:rPr>
          <w:rFonts w:ascii="Bookman Old Style" w:hAnsi="Bookman Old Style"/>
          <w:sz w:val="24"/>
          <w:szCs w:val="24"/>
        </w:rPr>
        <w:t>atau</w:t>
      </w:r>
      <w:r w:rsidR="00A954D0">
        <w:rPr>
          <w:rFonts w:ascii="Bookman Old Style" w:hAnsi="Bookman Old Style"/>
          <w:sz w:val="24"/>
          <w:szCs w:val="24"/>
        </w:rPr>
        <w:t xml:space="preserve"> </w:t>
      </w:r>
      <w:r w:rsidRPr="009B38D6">
        <w:rPr>
          <w:rFonts w:ascii="Bookman Old Style" w:hAnsi="Bookman Old Style"/>
          <w:sz w:val="24"/>
          <w:szCs w:val="24"/>
        </w:rPr>
        <w:t>0,002%</w:t>
      </w:r>
      <w:r w:rsidR="00A954D0">
        <w:rPr>
          <w:rFonts w:ascii="Bookman Old Style" w:hAnsi="Bookman Old Style"/>
          <w:sz w:val="24"/>
          <w:szCs w:val="24"/>
        </w:rPr>
        <w:t xml:space="preserve"> </w:t>
      </w:r>
      <w:r w:rsidRPr="009B38D6">
        <w:rPr>
          <w:rFonts w:ascii="Bookman Old Style" w:hAnsi="Bookman Old Style"/>
          <w:sz w:val="24"/>
          <w:szCs w:val="24"/>
        </w:rPr>
        <w:t>dari</w:t>
      </w:r>
      <w:r w:rsidR="00A954D0">
        <w:rPr>
          <w:rFonts w:ascii="Bookman Old Style" w:hAnsi="Bookman Old Style"/>
          <w:sz w:val="24"/>
          <w:szCs w:val="24"/>
        </w:rPr>
        <w:t xml:space="preserve"> </w:t>
      </w:r>
      <w:r w:rsidRPr="009B38D6">
        <w:rPr>
          <w:rFonts w:ascii="Bookman Old Style" w:hAnsi="Bookman Old Style"/>
          <w:sz w:val="24"/>
          <w:szCs w:val="24"/>
        </w:rPr>
        <w:t>total</w:t>
      </w:r>
      <w:r w:rsidR="00A954D0">
        <w:rPr>
          <w:rFonts w:ascii="Bookman Old Style" w:hAnsi="Bookman Old Style"/>
          <w:sz w:val="24"/>
          <w:szCs w:val="24"/>
        </w:rPr>
        <w:t xml:space="preserve"> </w:t>
      </w:r>
      <w:r w:rsidRPr="009B38D6">
        <w:rPr>
          <w:rFonts w:ascii="Bookman Old Style" w:hAnsi="Bookman Old Style"/>
          <w:sz w:val="24"/>
          <w:szCs w:val="24"/>
        </w:rPr>
        <w:t>belanja</w:t>
      </w:r>
      <w:r w:rsidR="00A954D0">
        <w:rPr>
          <w:rFonts w:ascii="Bookman Old Style" w:hAnsi="Bookman Old Style"/>
          <w:sz w:val="24"/>
          <w:szCs w:val="24"/>
        </w:rPr>
        <w:t xml:space="preserve"> </w:t>
      </w:r>
      <w:r w:rsidRPr="009B38D6">
        <w:rPr>
          <w:rFonts w:ascii="Bookman Old Style" w:hAnsi="Bookman Old Style"/>
          <w:sz w:val="24"/>
          <w:szCs w:val="24"/>
        </w:rPr>
        <w:t>daerah</w:t>
      </w:r>
      <w:r w:rsidR="00A954D0">
        <w:rPr>
          <w:rFonts w:ascii="Bookman Old Style" w:hAnsi="Bookman Old Style"/>
          <w:sz w:val="24"/>
          <w:szCs w:val="24"/>
        </w:rPr>
        <w:t xml:space="preserve"> </w:t>
      </w:r>
      <w:r w:rsidRPr="009B38D6">
        <w:rPr>
          <w:rFonts w:ascii="Bookman Old Style" w:hAnsi="Bookman Old Style"/>
          <w:sz w:val="24"/>
          <w:szCs w:val="24"/>
        </w:rPr>
        <w:t>dalam</w:t>
      </w:r>
      <w:r w:rsidR="00A954D0">
        <w:rPr>
          <w:rFonts w:ascii="Bookman Old Style" w:hAnsi="Bookman Old Style"/>
          <w:sz w:val="24"/>
          <w:szCs w:val="24"/>
        </w:rPr>
        <w:t xml:space="preserve"> </w:t>
      </w:r>
      <w:r w:rsidRPr="009B38D6">
        <w:rPr>
          <w:rFonts w:ascii="Bookman Old Style" w:hAnsi="Bookman Old Style"/>
          <w:sz w:val="24"/>
          <w:szCs w:val="24"/>
        </w:rPr>
        <w:t>Rancangan</w:t>
      </w:r>
      <w:r w:rsidR="00A954D0">
        <w:rPr>
          <w:rFonts w:ascii="Bookman Old Style" w:hAnsi="Bookman Old Style"/>
          <w:sz w:val="24"/>
          <w:szCs w:val="24"/>
        </w:rPr>
        <w:t xml:space="preserve"> </w:t>
      </w:r>
      <w:r w:rsidRPr="009B38D6">
        <w:rPr>
          <w:rFonts w:ascii="Bookman Old Style" w:hAnsi="Bookman Old Style"/>
          <w:sz w:val="24"/>
          <w:szCs w:val="24"/>
        </w:rPr>
        <w:t>Peraturan</w:t>
      </w:r>
      <w:r w:rsidR="00A954D0">
        <w:rPr>
          <w:rFonts w:ascii="Bookman Old Style" w:hAnsi="Bookman Old Style"/>
          <w:sz w:val="24"/>
          <w:szCs w:val="24"/>
        </w:rPr>
        <w:t xml:space="preserve"> </w:t>
      </w:r>
      <w:r w:rsidRPr="009B38D6">
        <w:rPr>
          <w:rFonts w:ascii="Bookman Old Style" w:hAnsi="Bookman Old Style"/>
          <w:sz w:val="24"/>
          <w:szCs w:val="24"/>
        </w:rPr>
        <w:t>Daerah</w:t>
      </w:r>
      <w:r w:rsidR="00A954D0">
        <w:rPr>
          <w:rFonts w:ascii="Bookman Old Style" w:hAnsi="Bookman Old Style"/>
          <w:sz w:val="24"/>
          <w:szCs w:val="24"/>
        </w:rPr>
        <w:t xml:space="preserve"> </w:t>
      </w:r>
      <w:r w:rsidRPr="009B38D6">
        <w:rPr>
          <w:rFonts w:ascii="Bookman Old Style" w:hAnsi="Bookman Old Style"/>
          <w:sz w:val="24"/>
          <w:szCs w:val="24"/>
        </w:rPr>
        <w:t>Kota</w:t>
      </w:r>
      <w:r w:rsidR="00A954D0">
        <w:rPr>
          <w:rFonts w:ascii="Bookman Old Style" w:hAnsi="Bookman Old Style"/>
          <w:sz w:val="24"/>
          <w:szCs w:val="24"/>
        </w:rPr>
        <w:t xml:space="preserve"> </w:t>
      </w:r>
      <w:r w:rsidRPr="009B38D6">
        <w:rPr>
          <w:rFonts w:ascii="Bookman Old Style" w:hAnsi="Bookman Old Style"/>
          <w:sz w:val="24"/>
          <w:szCs w:val="24"/>
        </w:rPr>
        <w:t>Tangerang</w:t>
      </w:r>
      <w:r w:rsidR="00A954D0">
        <w:rPr>
          <w:rFonts w:ascii="Bookman Old Style" w:hAnsi="Bookman Old Style"/>
          <w:sz w:val="24"/>
          <w:szCs w:val="24"/>
        </w:rPr>
        <w:t xml:space="preserve"> </w:t>
      </w:r>
      <w:r w:rsidRPr="009B38D6">
        <w:rPr>
          <w:rFonts w:ascii="Bookman Old Style" w:hAnsi="Bookman Old Style"/>
          <w:sz w:val="24"/>
          <w:szCs w:val="24"/>
        </w:rPr>
        <w:t>tentang</w:t>
      </w:r>
      <w:r w:rsidR="00A954D0">
        <w:rPr>
          <w:rFonts w:ascii="Bookman Old Style" w:hAnsi="Bookman Old Style"/>
          <w:sz w:val="24"/>
          <w:szCs w:val="24"/>
        </w:rPr>
        <w:t xml:space="preserve"> </w:t>
      </w:r>
      <w:r w:rsidRPr="009B38D6">
        <w:rPr>
          <w:rFonts w:ascii="Bookman Old Style" w:hAnsi="Bookman Old Style"/>
          <w:sz w:val="24"/>
          <w:szCs w:val="24"/>
        </w:rPr>
        <w:t>APBD</w:t>
      </w:r>
      <w:r w:rsidR="00A954D0">
        <w:rPr>
          <w:rFonts w:ascii="Bookman Old Style" w:hAnsi="Bookman Old Style"/>
          <w:sz w:val="24"/>
          <w:szCs w:val="24"/>
        </w:rPr>
        <w:t xml:space="preserve"> </w:t>
      </w:r>
      <w:r w:rsidRPr="009B38D6">
        <w:rPr>
          <w:rFonts w:ascii="Bookman Old Style" w:hAnsi="Bookman Old Style"/>
          <w:sz w:val="24"/>
          <w:szCs w:val="24"/>
        </w:rPr>
        <w:t>Tahun</w:t>
      </w:r>
      <w:r w:rsidR="00A954D0">
        <w:rPr>
          <w:rFonts w:ascii="Bookman Old Style" w:hAnsi="Bookman Old Style"/>
          <w:sz w:val="24"/>
          <w:szCs w:val="24"/>
        </w:rPr>
        <w:t xml:space="preserve"> </w:t>
      </w:r>
      <w:r w:rsidRPr="009B38D6">
        <w:rPr>
          <w:rFonts w:ascii="Bookman Old Style" w:hAnsi="Bookman Old Style"/>
          <w:sz w:val="24"/>
          <w:szCs w:val="24"/>
        </w:rPr>
        <w:t>Anggaran</w:t>
      </w:r>
      <w:r w:rsidR="00A954D0">
        <w:rPr>
          <w:rFonts w:ascii="Bookman Old Style" w:hAnsi="Bookman Old Style"/>
          <w:sz w:val="24"/>
          <w:szCs w:val="24"/>
        </w:rPr>
        <w:t xml:space="preserve"> </w:t>
      </w:r>
      <w:r w:rsidRPr="009B38D6">
        <w:rPr>
          <w:rFonts w:ascii="Bookman Old Style" w:hAnsi="Bookman Old Style"/>
          <w:sz w:val="24"/>
          <w:szCs w:val="24"/>
        </w:rPr>
        <w:t>2025,</w:t>
      </w:r>
      <w:r w:rsidR="00A954D0">
        <w:rPr>
          <w:rFonts w:ascii="Bookman Old Style" w:hAnsi="Bookman Old Style"/>
          <w:sz w:val="24"/>
          <w:szCs w:val="24"/>
        </w:rPr>
        <w:t xml:space="preserve"> </w:t>
      </w:r>
      <w:r w:rsidRPr="009B38D6">
        <w:rPr>
          <w:rFonts w:ascii="Bookman Old Style" w:hAnsi="Bookman Old Style"/>
          <w:sz w:val="24"/>
          <w:szCs w:val="24"/>
        </w:rPr>
        <w:t>yang</w:t>
      </w:r>
      <w:r w:rsidR="00A954D0">
        <w:rPr>
          <w:rFonts w:ascii="Bookman Old Style" w:hAnsi="Bookman Old Style"/>
          <w:sz w:val="24"/>
          <w:szCs w:val="24"/>
        </w:rPr>
        <w:t xml:space="preserve"> </w:t>
      </w:r>
      <w:r w:rsidRPr="009B38D6">
        <w:rPr>
          <w:rFonts w:ascii="Bookman Old Style" w:hAnsi="Bookman Old Style"/>
          <w:sz w:val="24"/>
          <w:szCs w:val="24"/>
        </w:rPr>
        <w:t>seluruhnya</w:t>
      </w:r>
      <w:r w:rsidR="00A954D0">
        <w:rPr>
          <w:rFonts w:ascii="Bookman Old Style" w:hAnsi="Bookman Old Style"/>
          <w:sz w:val="24"/>
          <w:szCs w:val="24"/>
        </w:rPr>
        <w:t xml:space="preserve"> </w:t>
      </w:r>
      <w:r w:rsidRPr="009B38D6">
        <w:rPr>
          <w:rFonts w:ascii="Bookman Old Style" w:hAnsi="Bookman Old Style"/>
          <w:sz w:val="24"/>
          <w:szCs w:val="24"/>
        </w:rPr>
        <w:t>diuraikan</w:t>
      </w:r>
      <w:r w:rsidR="00A954D0">
        <w:rPr>
          <w:rFonts w:ascii="Bookman Old Style" w:hAnsi="Bookman Old Style"/>
          <w:sz w:val="24"/>
          <w:szCs w:val="24"/>
        </w:rPr>
        <w:t xml:space="preserve"> </w:t>
      </w:r>
      <w:r w:rsidRPr="009B38D6">
        <w:rPr>
          <w:rFonts w:ascii="Bookman Old Style" w:hAnsi="Bookman Old Style"/>
          <w:sz w:val="24"/>
          <w:szCs w:val="24"/>
        </w:rPr>
        <w:t>ke</w:t>
      </w:r>
      <w:r w:rsidR="00A954D0">
        <w:rPr>
          <w:rFonts w:ascii="Bookman Old Style" w:hAnsi="Bookman Old Style"/>
          <w:sz w:val="24"/>
          <w:szCs w:val="24"/>
        </w:rPr>
        <w:t xml:space="preserve"> </w:t>
      </w:r>
      <w:r w:rsidRPr="009B38D6">
        <w:rPr>
          <w:rFonts w:ascii="Bookman Old Style" w:hAnsi="Bookman Old Style"/>
          <w:sz w:val="24"/>
          <w:szCs w:val="24"/>
        </w:rPr>
        <w:t>dalam</w:t>
      </w:r>
      <w:r w:rsidR="00A954D0">
        <w:rPr>
          <w:rFonts w:ascii="Bookman Old Style" w:hAnsi="Bookman Old Style"/>
          <w:sz w:val="24"/>
          <w:szCs w:val="24"/>
        </w:rPr>
        <w:t xml:space="preserve"> </w:t>
      </w:r>
      <w:r w:rsidRPr="009B38D6">
        <w:rPr>
          <w:rFonts w:ascii="Bookman Old Style" w:hAnsi="Bookman Old Style"/>
          <w:sz w:val="24"/>
          <w:szCs w:val="24"/>
        </w:rPr>
        <w:t>objek</w:t>
      </w:r>
      <w:r w:rsidR="00A954D0">
        <w:rPr>
          <w:rFonts w:ascii="Bookman Old Style" w:hAnsi="Bookman Old Style"/>
          <w:sz w:val="24"/>
          <w:szCs w:val="24"/>
        </w:rPr>
        <w:t xml:space="preserve"> </w:t>
      </w:r>
      <w:r w:rsidRPr="009B38D6">
        <w:rPr>
          <w:rFonts w:ascii="Bookman Old Style" w:hAnsi="Bookman Old Style"/>
          <w:sz w:val="24"/>
          <w:szCs w:val="24"/>
        </w:rPr>
        <w:t>Belanja</w:t>
      </w:r>
      <w:r w:rsidR="00A954D0">
        <w:rPr>
          <w:rFonts w:ascii="Bookman Old Style" w:hAnsi="Bookman Old Style"/>
          <w:sz w:val="24"/>
          <w:szCs w:val="24"/>
        </w:rPr>
        <w:t xml:space="preserve"> </w:t>
      </w:r>
      <w:r w:rsidRPr="009B38D6">
        <w:rPr>
          <w:rFonts w:ascii="Bookman Old Style" w:hAnsi="Bookman Old Style"/>
          <w:sz w:val="24"/>
          <w:szCs w:val="24"/>
        </w:rPr>
        <w:t>Modal</w:t>
      </w:r>
      <w:r w:rsidR="00A954D0">
        <w:rPr>
          <w:rFonts w:ascii="Bookman Old Style" w:hAnsi="Bookman Old Style"/>
          <w:sz w:val="24"/>
          <w:szCs w:val="24"/>
        </w:rPr>
        <w:t xml:space="preserve"> </w:t>
      </w:r>
      <w:r w:rsidRPr="009B38D6">
        <w:rPr>
          <w:rFonts w:ascii="Bookman Old Style" w:hAnsi="Bookman Old Style"/>
          <w:sz w:val="24"/>
          <w:szCs w:val="24"/>
        </w:rPr>
        <w:t>Alat</w:t>
      </w:r>
      <w:r w:rsidR="00A954D0">
        <w:rPr>
          <w:rFonts w:ascii="Bookman Old Style" w:hAnsi="Bookman Old Style"/>
          <w:sz w:val="24"/>
          <w:szCs w:val="24"/>
        </w:rPr>
        <w:t xml:space="preserve"> </w:t>
      </w:r>
      <w:r w:rsidRPr="009B38D6">
        <w:rPr>
          <w:rFonts w:ascii="Bookman Old Style" w:hAnsi="Bookman Old Style"/>
          <w:sz w:val="24"/>
          <w:szCs w:val="24"/>
        </w:rPr>
        <w:t>Peraga</w:t>
      </w:r>
      <w:r w:rsidR="00A954D0">
        <w:rPr>
          <w:rFonts w:ascii="Bookman Old Style" w:hAnsi="Bookman Old Style"/>
          <w:sz w:val="24"/>
          <w:szCs w:val="24"/>
        </w:rPr>
        <w:t xml:space="preserve"> </w:t>
      </w:r>
      <w:r w:rsidRPr="009B38D6">
        <w:rPr>
          <w:rFonts w:ascii="Bookman Old Style" w:hAnsi="Bookman Old Style"/>
          <w:sz w:val="24"/>
          <w:szCs w:val="24"/>
        </w:rPr>
        <w:t>Pelatihan</w:t>
      </w:r>
      <w:r w:rsidR="00A954D0">
        <w:rPr>
          <w:rFonts w:ascii="Bookman Old Style" w:hAnsi="Bookman Old Style"/>
          <w:sz w:val="24"/>
          <w:szCs w:val="24"/>
        </w:rPr>
        <w:t xml:space="preserve"> </w:t>
      </w:r>
      <w:r w:rsidRPr="009B38D6">
        <w:rPr>
          <w:rFonts w:ascii="Bookman Old Style" w:hAnsi="Bookman Old Style"/>
          <w:sz w:val="24"/>
          <w:szCs w:val="24"/>
        </w:rPr>
        <w:t>dan</w:t>
      </w:r>
      <w:r w:rsidR="00A954D0">
        <w:rPr>
          <w:rFonts w:ascii="Bookman Old Style" w:hAnsi="Bookman Old Style"/>
          <w:sz w:val="24"/>
          <w:szCs w:val="24"/>
        </w:rPr>
        <w:t xml:space="preserve"> </w:t>
      </w:r>
      <w:r w:rsidRPr="009B38D6">
        <w:rPr>
          <w:rFonts w:ascii="Bookman Old Style" w:hAnsi="Bookman Old Style"/>
          <w:sz w:val="24"/>
          <w:szCs w:val="24"/>
        </w:rPr>
        <w:t>Percontohan</w:t>
      </w:r>
      <w:bookmarkEnd w:id="34"/>
      <w:r w:rsidR="00392E03">
        <w:rPr>
          <w:rFonts w:ascii="Bookman Old Style" w:hAnsi="Bookman Old Style"/>
          <w:sz w:val="24"/>
          <w:szCs w:val="24"/>
        </w:rPr>
        <w:t>;</w:t>
      </w:r>
    </w:p>
    <w:p w14:paraId="03E2B895" w14:textId="6F4392EF" w:rsidR="00515C3A" w:rsidRDefault="00515C3A" w:rsidP="00154790">
      <w:pPr>
        <w:pStyle w:val="ListParagraph"/>
        <w:numPr>
          <w:ilvl w:val="0"/>
          <w:numId w:val="148"/>
        </w:numPr>
        <w:spacing w:before="60" w:after="0" w:line="276" w:lineRule="auto"/>
        <w:ind w:left="2268" w:hanging="567"/>
        <w:contextualSpacing w:val="0"/>
        <w:jc w:val="both"/>
        <w:rPr>
          <w:rFonts w:ascii="Bookman Old Style" w:hAnsi="Bookman Old Style"/>
          <w:sz w:val="24"/>
          <w:szCs w:val="24"/>
        </w:rPr>
      </w:pPr>
      <w:r w:rsidRPr="009B38D6">
        <w:rPr>
          <w:rFonts w:ascii="Bookman Old Style" w:hAnsi="Bookman Old Style"/>
          <w:sz w:val="24"/>
          <w:szCs w:val="24"/>
        </w:rPr>
        <w:lastRenderedPageBreak/>
        <w:t>Belanja</w:t>
      </w:r>
      <w:r w:rsidR="00A954D0">
        <w:rPr>
          <w:rFonts w:ascii="Bookman Old Style" w:hAnsi="Bookman Old Style"/>
          <w:sz w:val="24"/>
          <w:szCs w:val="24"/>
        </w:rPr>
        <w:t xml:space="preserve"> </w:t>
      </w:r>
      <w:r w:rsidRPr="009B38D6">
        <w:rPr>
          <w:rFonts w:ascii="Bookman Old Style" w:hAnsi="Bookman Old Style"/>
          <w:sz w:val="24"/>
          <w:szCs w:val="24"/>
        </w:rPr>
        <w:t>Modal</w:t>
      </w:r>
      <w:r w:rsidR="00A954D0">
        <w:rPr>
          <w:rFonts w:ascii="Bookman Old Style" w:hAnsi="Bookman Old Style"/>
          <w:sz w:val="24"/>
          <w:szCs w:val="24"/>
        </w:rPr>
        <w:t xml:space="preserve"> </w:t>
      </w:r>
      <w:r w:rsidRPr="009B38D6">
        <w:rPr>
          <w:rFonts w:ascii="Bookman Old Style" w:hAnsi="Bookman Old Style"/>
          <w:sz w:val="24"/>
          <w:szCs w:val="24"/>
        </w:rPr>
        <w:t>Peralatan</w:t>
      </w:r>
      <w:r w:rsidR="00A954D0">
        <w:rPr>
          <w:rFonts w:ascii="Bookman Old Style" w:hAnsi="Bookman Old Style"/>
          <w:sz w:val="24"/>
          <w:szCs w:val="24"/>
        </w:rPr>
        <w:t xml:space="preserve"> </w:t>
      </w:r>
      <w:r w:rsidRPr="009B38D6">
        <w:rPr>
          <w:rFonts w:ascii="Bookman Old Style" w:hAnsi="Bookman Old Style"/>
          <w:sz w:val="24"/>
          <w:szCs w:val="24"/>
        </w:rPr>
        <w:t>Proses/Produksi</w:t>
      </w:r>
      <w:r w:rsidR="00A954D0">
        <w:rPr>
          <w:rFonts w:ascii="Bookman Old Style" w:hAnsi="Bookman Old Style"/>
          <w:sz w:val="24"/>
          <w:szCs w:val="24"/>
        </w:rPr>
        <w:t xml:space="preserve"> </w:t>
      </w:r>
      <w:r w:rsidRPr="009B38D6">
        <w:rPr>
          <w:rFonts w:ascii="Bookman Old Style" w:hAnsi="Bookman Old Style"/>
          <w:sz w:val="24"/>
          <w:szCs w:val="24"/>
        </w:rPr>
        <w:t>Rp20.000.000,00</w:t>
      </w:r>
      <w:r w:rsidR="00A954D0">
        <w:rPr>
          <w:rFonts w:ascii="Bookman Old Style" w:hAnsi="Bookman Old Style"/>
          <w:sz w:val="24"/>
          <w:szCs w:val="24"/>
        </w:rPr>
        <w:t xml:space="preserve"> </w:t>
      </w:r>
      <w:r w:rsidRPr="009B38D6">
        <w:rPr>
          <w:rFonts w:ascii="Bookman Old Style" w:hAnsi="Bookman Old Style"/>
          <w:sz w:val="24"/>
          <w:szCs w:val="24"/>
        </w:rPr>
        <w:t>atau</w:t>
      </w:r>
      <w:r w:rsidR="00A954D0">
        <w:rPr>
          <w:rFonts w:ascii="Bookman Old Style" w:hAnsi="Bookman Old Style"/>
          <w:sz w:val="24"/>
          <w:szCs w:val="24"/>
        </w:rPr>
        <w:t xml:space="preserve"> </w:t>
      </w:r>
      <w:r w:rsidRPr="009B38D6">
        <w:rPr>
          <w:rFonts w:ascii="Bookman Old Style" w:hAnsi="Bookman Old Style"/>
          <w:sz w:val="24"/>
          <w:szCs w:val="24"/>
        </w:rPr>
        <w:t>0,0004%</w:t>
      </w:r>
      <w:r w:rsidR="00A954D0">
        <w:rPr>
          <w:rFonts w:ascii="Bookman Old Style" w:hAnsi="Bookman Old Style"/>
          <w:sz w:val="24"/>
          <w:szCs w:val="24"/>
        </w:rPr>
        <w:t xml:space="preserve"> </w:t>
      </w:r>
      <w:r w:rsidRPr="009B38D6">
        <w:rPr>
          <w:rFonts w:ascii="Bookman Old Style" w:hAnsi="Bookman Old Style"/>
          <w:sz w:val="24"/>
          <w:szCs w:val="24"/>
        </w:rPr>
        <w:t>dari</w:t>
      </w:r>
      <w:r w:rsidR="00A954D0">
        <w:rPr>
          <w:rFonts w:ascii="Bookman Old Style" w:hAnsi="Bookman Old Style"/>
          <w:sz w:val="24"/>
          <w:szCs w:val="24"/>
        </w:rPr>
        <w:t xml:space="preserve"> </w:t>
      </w:r>
      <w:r w:rsidRPr="009B38D6">
        <w:rPr>
          <w:rFonts w:ascii="Bookman Old Style" w:hAnsi="Bookman Old Style"/>
          <w:sz w:val="24"/>
          <w:szCs w:val="24"/>
        </w:rPr>
        <w:t>total</w:t>
      </w:r>
      <w:r w:rsidR="00A954D0">
        <w:rPr>
          <w:rFonts w:ascii="Bookman Old Style" w:hAnsi="Bookman Old Style"/>
          <w:sz w:val="24"/>
          <w:szCs w:val="24"/>
        </w:rPr>
        <w:t xml:space="preserve"> </w:t>
      </w:r>
      <w:r w:rsidRPr="009B38D6">
        <w:rPr>
          <w:rFonts w:ascii="Bookman Old Style" w:hAnsi="Bookman Old Style"/>
          <w:sz w:val="24"/>
          <w:szCs w:val="24"/>
        </w:rPr>
        <w:t>belanja</w:t>
      </w:r>
      <w:r w:rsidR="00A954D0">
        <w:rPr>
          <w:rFonts w:ascii="Bookman Old Style" w:hAnsi="Bookman Old Style"/>
          <w:sz w:val="24"/>
          <w:szCs w:val="24"/>
        </w:rPr>
        <w:t xml:space="preserve"> </w:t>
      </w:r>
      <w:r w:rsidRPr="009B38D6">
        <w:rPr>
          <w:rFonts w:ascii="Bookman Old Style" w:hAnsi="Bookman Old Style"/>
          <w:sz w:val="24"/>
          <w:szCs w:val="24"/>
        </w:rPr>
        <w:t>daerah</w:t>
      </w:r>
      <w:r w:rsidR="00A954D0">
        <w:rPr>
          <w:rFonts w:ascii="Bookman Old Style" w:hAnsi="Bookman Old Style"/>
          <w:sz w:val="24"/>
          <w:szCs w:val="24"/>
        </w:rPr>
        <w:t xml:space="preserve"> </w:t>
      </w:r>
      <w:r w:rsidRPr="009B38D6">
        <w:rPr>
          <w:rFonts w:ascii="Bookman Old Style" w:hAnsi="Bookman Old Style"/>
          <w:sz w:val="24"/>
          <w:szCs w:val="24"/>
        </w:rPr>
        <w:t>dalam</w:t>
      </w:r>
      <w:r w:rsidR="00A954D0">
        <w:rPr>
          <w:rFonts w:ascii="Bookman Old Style" w:hAnsi="Bookman Old Style"/>
          <w:sz w:val="24"/>
          <w:szCs w:val="24"/>
        </w:rPr>
        <w:t xml:space="preserve"> </w:t>
      </w:r>
      <w:r w:rsidRPr="009B38D6">
        <w:rPr>
          <w:rFonts w:ascii="Bookman Old Style" w:hAnsi="Bookman Old Style"/>
          <w:sz w:val="24"/>
          <w:szCs w:val="24"/>
        </w:rPr>
        <w:t>Rancangan</w:t>
      </w:r>
      <w:r w:rsidR="00A954D0">
        <w:rPr>
          <w:rFonts w:ascii="Bookman Old Style" w:hAnsi="Bookman Old Style"/>
          <w:sz w:val="24"/>
          <w:szCs w:val="24"/>
        </w:rPr>
        <w:t xml:space="preserve"> </w:t>
      </w:r>
      <w:r w:rsidRPr="009B38D6">
        <w:rPr>
          <w:rFonts w:ascii="Bookman Old Style" w:hAnsi="Bookman Old Style"/>
          <w:sz w:val="24"/>
          <w:szCs w:val="24"/>
        </w:rPr>
        <w:t>Peraturan</w:t>
      </w:r>
      <w:r w:rsidR="00A954D0">
        <w:rPr>
          <w:rFonts w:ascii="Bookman Old Style" w:hAnsi="Bookman Old Style"/>
          <w:sz w:val="24"/>
          <w:szCs w:val="24"/>
        </w:rPr>
        <w:t xml:space="preserve"> </w:t>
      </w:r>
      <w:r w:rsidRPr="009B38D6">
        <w:rPr>
          <w:rFonts w:ascii="Bookman Old Style" w:hAnsi="Bookman Old Style"/>
          <w:sz w:val="24"/>
          <w:szCs w:val="24"/>
        </w:rPr>
        <w:t>Daerah</w:t>
      </w:r>
      <w:r w:rsidR="00A954D0">
        <w:rPr>
          <w:rFonts w:ascii="Bookman Old Style" w:hAnsi="Bookman Old Style"/>
          <w:sz w:val="24"/>
          <w:szCs w:val="24"/>
        </w:rPr>
        <w:t xml:space="preserve"> </w:t>
      </w:r>
      <w:r w:rsidRPr="009B38D6">
        <w:rPr>
          <w:rFonts w:ascii="Bookman Old Style" w:hAnsi="Bookman Old Style"/>
          <w:sz w:val="24"/>
          <w:szCs w:val="24"/>
        </w:rPr>
        <w:t>Kota</w:t>
      </w:r>
      <w:r w:rsidR="00A954D0">
        <w:rPr>
          <w:rFonts w:ascii="Bookman Old Style" w:hAnsi="Bookman Old Style"/>
          <w:sz w:val="24"/>
          <w:szCs w:val="24"/>
        </w:rPr>
        <w:t xml:space="preserve"> </w:t>
      </w:r>
      <w:r w:rsidRPr="009B38D6">
        <w:rPr>
          <w:rFonts w:ascii="Bookman Old Style" w:hAnsi="Bookman Old Style"/>
          <w:sz w:val="24"/>
          <w:szCs w:val="24"/>
        </w:rPr>
        <w:t>Tangerang</w:t>
      </w:r>
      <w:r w:rsidR="00A954D0">
        <w:rPr>
          <w:rFonts w:ascii="Bookman Old Style" w:hAnsi="Bookman Old Style"/>
          <w:sz w:val="24"/>
          <w:szCs w:val="24"/>
        </w:rPr>
        <w:t xml:space="preserve"> </w:t>
      </w:r>
      <w:r w:rsidRPr="009B38D6">
        <w:rPr>
          <w:rFonts w:ascii="Bookman Old Style" w:hAnsi="Bookman Old Style"/>
          <w:sz w:val="24"/>
          <w:szCs w:val="24"/>
        </w:rPr>
        <w:t>tentang</w:t>
      </w:r>
      <w:r w:rsidR="00A954D0">
        <w:rPr>
          <w:rFonts w:ascii="Bookman Old Style" w:hAnsi="Bookman Old Style"/>
          <w:sz w:val="24"/>
          <w:szCs w:val="24"/>
        </w:rPr>
        <w:t xml:space="preserve"> </w:t>
      </w:r>
      <w:r w:rsidRPr="009B38D6">
        <w:rPr>
          <w:rFonts w:ascii="Bookman Old Style" w:hAnsi="Bookman Old Style"/>
          <w:sz w:val="24"/>
          <w:szCs w:val="24"/>
        </w:rPr>
        <w:t>APBD</w:t>
      </w:r>
      <w:r w:rsidR="00A954D0">
        <w:rPr>
          <w:rFonts w:ascii="Bookman Old Style" w:hAnsi="Bookman Old Style"/>
          <w:sz w:val="24"/>
          <w:szCs w:val="24"/>
        </w:rPr>
        <w:t xml:space="preserve"> </w:t>
      </w:r>
      <w:r w:rsidRPr="009B38D6">
        <w:rPr>
          <w:rFonts w:ascii="Bookman Old Style" w:hAnsi="Bookman Old Style"/>
          <w:sz w:val="24"/>
          <w:szCs w:val="24"/>
        </w:rPr>
        <w:t>Tahun</w:t>
      </w:r>
      <w:r w:rsidR="00A954D0">
        <w:rPr>
          <w:rFonts w:ascii="Bookman Old Style" w:hAnsi="Bookman Old Style"/>
          <w:sz w:val="24"/>
          <w:szCs w:val="24"/>
        </w:rPr>
        <w:t xml:space="preserve"> </w:t>
      </w:r>
      <w:r w:rsidRPr="009B38D6">
        <w:rPr>
          <w:rFonts w:ascii="Bookman Old Style" w:hAnsi="Bookman Old Style"/>
          <w:sz w:val="24"/>
          <w:szCs w:val="24"/>
        </w:rPr>
        <w:t>Anggaran</w:t>
      </w:r>
      <w:r w:rsidR="00A954D0">
        <w:rPr>
          <w:rFonts w:ascii="Bookman Old Style" w:hAnsi="Bookman Old Style"/>
          <w:sz w:val="24"/>
          <w:szCs w:val="24"/>
        </w:rPr>
        <w:t xml:space="preserve"> </w:t>
      </w:r>
      <w:r w:rsidRPr="009B38D6">
        <w:rPr>
          <w:rFonts w:ascii="Bookman Old Style" w:hAnsi="Bookman Old Style"/>
          <w:sz w:val="24"/>
          <w:szCs w:val="24"/>
        </w:rPr>
        <w:t>2025,</w:t>
      </w:r>
      <w:r w:rsidR="00A954D0">
        <w:rPr>
          <w:rFonts w:ascii="Bookman Old Style" w:hAnsi="Bookman Old Style"/>
          <w:sz w:val="24"/>
          <w:szCs w:val="24"/>
        </w:rPr>
        <w:t xml:space="preserve"> </w:t>
      </w:r>
      <w:r w:rsidRPr="009B38D6">
        <w:rPr>
          <w:rFonts w:ascii="Bookman Old Style" w:hAnsi="Bookman Old Style"/>
          <w:sz w:val="24"/>
          <w:szCs w:val="24"/>
        </w:rPr>
        <w:t>yang</w:t>
      </w:r>
      <w:r w:rsidR="00A954D0">
        <w:rPr>
          <w:rFonts w:ascii="Bookman Old Style" w:hAnsi="Bookman Old Style"/>
          <w:sz w:val="24"/>
          <w:szCs w:val="24"/>
        </w:rPr>
        <w:t xml:space="preserve"> </w:t>
      </w:r>
      <w:r w:rsidRPr="009B38D6">
        <w:rPr>
          <w:rFonts w:ascii="Bookman Old Style" w:hAnsi="Bookman Old Style"/>
          <w:sz w:val="24"/>
          <w:szCs w:val="24"/>
        </w:rPr>
        <w:t>seluruhnya</w:t>
      </w:r>
      <w:r w:rsidR="00A954D0">
        <w:rPr>
          <w:rFonts w:ascii="Bookman Old Style" w:hAnsi="Bookman Old Style"/>
          <w:sz w:val="24"/>
          <w:szCs w:val="24"/>
        </w:rPr>
        <w:t xml:space="preserve"> </w:t>
      </w:r>
      <w:r w:rsidRPr="009B38D6">
        <w:rPr>
          <w:rFonts w:ascii="Bookman Old Style" w:hAnsi="Bookman Old Style"/>
          <w:sz w:val="24"/>
          <w:szCs w:val="24"/>
        </w:rPr>
        <w:t>diuraikan</w:t>
      </w:r>
      <w:r w:rsidR="00A954D0">
        <w:rPr>
          <w:rFonts w:ascii="Bookman Old Style" w:hAnsi="Bookman Old Style"/>
          <w:sz w:val="24"/>
          <w:szCs w:val="24"/>
        </w:rPr>
        <w:t xml:space="preserve"> </w:t>
      </w:r>
      <w:r w:rsidRPr="009B38D6">
        <w:rPr>
          <w:rFonts w:ascii="Bookman Old Style" w:hAnsi="Bookman Old Style"/>
          <w:sz w:val="24"/>
          <w:szCs w:val="24"/>
        </w:rPr>
        <w:t>ke</w:t>
      </w:r>
      <w:r w:rsidR="00A954D0">
        <w:rPr>
          <w:rFonts w:ascii="Bookman Old Style" w:hAnsi="Bookman Old Style"/>
          <w:sz w:val="24"/>
          <w:szCs w:val="24"/>
        </w:rPr>
        <w:t xml:space="preserve"> </w:t>
      </w:r>
      <w:r w:rsidRPr="009B38D6">
        <w:rPr>
          <w:rFonts w:ascii="Bookman Old Style" w:hAnsi="Bookman Old Style"/>
          <w:sz w:val="24"/>
          <w:szCs w:val="24"/>
        </w:rPr>
        <w:t>dalam</w:t>
      </w:r>
      <w:r w:rsidR="00A954D0">
        <w:rPr>
          <w:rFonts w:ascii="Bookman Old Style" w:hAnsi="Bookman Old Style"/>
          <w:sz w:val="24"/>
          <w:szCs w:val="24"/>
        </w:rPr>
        <w:t xml:space="preserve"> </w:t>
      </w:r>
      <w:r w:rsidRPr="009B38D6">
        <w:rPr>
          <w:rFonts w:ascii="Bookman Old Style" w:hAnsi="Bookman Old Style"/>
          <w:sz w:val="24"/>
          <w:szCs w:val="24"/>
        </w:rPr>
        <w:t>objek</w:t>
      </w:r>
      <w:r w:rsidR="00A954D0">
        <w:rPr>
          <w:rFonts w:ascii="Bookman Old Style" w:hAnsi="Bookman Old Style"/>
          <w:sz w:val="24"/>
          <w:szCs w:val="24"/>
        </w:rPr>
        <w:t xml:space="preserve"> </w:t>
      </w:r>
      <w:r w:rsidRPr="009B38D6">
        <w:rPr>
          <w:rFonts w:ascii="Bookman Old Style" w:hAnsi="Bookman Old Style"/>
          <w:sz w:val="24"/>
          <w:szCs w:val="24"/>
        </w:rPr>
        <w:t>Belanja</w:t>
      </w:r>
      <w:r w:rsidR="00A954D0">
        <w:rPr>
          <w:rFonts w:ascii="Bookman Old Style" w:hAnsi="Bookman Old Style"/>
          <w:sz w:val="24"/>
          <w:szCs w:val="24"/>
        </w:rPr>
        <w:t xml:space="preserve"> </w:t>
      </w:r>
      <w:r w:rsidRPr="009B38D6">
        <w:rPr>
          <w:rFonts w:ascii="Bookman Old Style" w:hAnsi="Bookman Old Style"/>
          <w:sz w:val="24"/>
          <w:szCs w:val="24"/>
        </w:rPr>
        <w:t>Modal</w:t>
      </w:r>
      <w:r w:rsidR="00A954D0">
        <w:rPr>
          <w:rFonts w:ascii="Bookman Old Style" w:hAnsi="Bookman Old Style"/>
          <w:sz w:val="24"/>
          <w:szCs w:val="24"/>
        </w:rPr>
        <w:t xml:space="preserve"> </w:t>
      </w:r>
      <w:r w:rsidRPr="009B38D6">
        <w:rPr>
          <w:rFonts w:ascii="Bookman Old Style" w:hAnsi="Bookman Old Style"/>
          <w:sz w:val="24"/>
          <w:szCs w:val="24"/>
        </w:rPr>
        <w:t>Unit</w:t>
      </w:r>
      <w:r w:rsidR="00A954D0">
        <w:rPr>
          <w:rFonts w:ascii="Bookman Old Style" w:hAnsi="Bookman Old Style"/>
          <w:sz w:val="24"/>
          <w:szCs w:val="24"/>
        </w:rPr>
        <w:t xml:space="preserve"> </w:t>
      </w:r>
      <w:r w:rsidRPr="009B38D6">
        <w:rPr>
          <w:rFonts w:ascii="Bookman Old Style" w:hAnsi="Bookman Old Style"/>
          <w:sz w:val="24"/>
          <w:szCs w:val="24"/>
        </w:rPr>
        <w:t>Peralatan</w:t>
      </w:r>
      <w:r w:rsidR="00A954D0">
        <w:rPr>
          <w:rFonts w:ascii="Bookman Old Style" w:hAnsi="Bookman Old Style"/>
          <w:sz w:val="24"/>
          <w:szCs w:val="24"/>
        </w:rPr>
        <w:t xml:space="preserve"> </w:t>
      </w:r>
      <w:r w:rsidRPr="009B38D6">
        <w:rPr>
          <w:rFonts w:ascii="Bookman Old Style" w:hAnsi="Bookman Old Style"/>
          <w:sz w:val="24"/>
          <w:szCs w:val="24"/>
        </w:rPr>
        <w:t>Proses/Produksi;</w:t>
      </w:r>
    </w:p>
    <w:p w14:paraId="2BCFD857" w14:textId="67E326DC" w:rsidR="00515C3A" w:rsidRPr="009B38D6" w:rsidRDefault="00515C3A" w:rsidP="00154790">
      <w:pPr>
        <w:pStyle w:val="ListParagraph"/>
        <w:numPr>
          <w:ilvl w:val="0"/>
          <w:numId w:val="148"/>
        </w:numPr>
        <w:spacing w:before="60" w:after="0" w:line="276" w:lineRule="auto"/>
        <w:ind w:left="2268" w:hanging="567"/>
        <w:contextualSpacing w:val="0"/>
        <w:jc w:val="both"/>
        <w:rPr>
          <w:rFonts w:ascii="Bookman Old Style" w:hAnsi="Bookman Old Style"/>
          <w:sz w:val="24"/>
          <w:szCs w:val="24"/>
        </w:rPr>
      </w:pPr>
      <w:r w:rsidRPr="009B38D6">
        <w:rPr>
          <w:rFonts w:ascii="Bookman Old Style" w:hAnsi="Bookman Old Style"/>
          <w:sz w:val="24"/>
          <w:szCs w:val="24"/>
        </w:rPr>
        <w:t>Belanja</w:t>
      </w:r>
      <w:r w:rsidR="00A954D0">
        <w:rPr>
          <w:rFonts w:ascii="Bookman Old Style" w:hAnsi="Bookman Old Style"/>
          <w:sz w:val="24"/>
          <w:szCs w:val="24"/>
        </w:rPr>
        <w:t xml:space="preserve"> </w:t>
      </w:r>
      <w:r w:rsidRPr="009B38D6">
        <w:rPr>
          <w:rFonts w:ascii="Bookman Old Style" w:hAnsi="Bookman Old Style"/>
          <w:sz w:val="24"/>
          <w:szCs w:val="24"/>
        </w:rPr>
        <w:t>Modal</w:t>
      </w:r>
      <w:r w:rsidR="00A954D0">
        <w:rPr>
          <w:rFonts w:ascii="Bookman Old Style" w:hAnsi="Bookman Old Style"/>
          <w:sz w:val="24"/>
          <w:szCs w:val="24"/>
        </w:rPr>
        <w:t xml:space="preserve"> </w:t>
      </w:r>
      <w:r w:rsidRPr="009B38D6">
        <w:rPr>
          <w:rFonts w:ascii="Bookman Old Style" w:hAnsi="Bookman Old Style"/>
          <w:sz w:val="24"/>
          <w:szCs w:val="24"/>
        </w:rPr>
        <w:t>Rambu-Rambu</w:t>
      </w:r>
      <w:r w:rsidR="00A954D0">
        <w:rPr>
          <w:rFonts w:ascii="Bookman Old Style" w:hAnsi="Bookman Old Style"/>
          <w:sz w:val="24"/>
          <w:szCs w:val="24"/>
        </w:rPr>
        <w:t xml:space="preserve"> </w:t>
      </w:r>
      <w:r w:rsidRPr="009B38D6">
        <w:rPr>
          <w:rFonts w:ascii="Bookman Old Style" w:hAnsi="Bookman Old Style"/>
          <w:sz w:val="24"/>
          <w:szCs w:val="24"/>
        </w:rPr>
        <w:t>Rp2.032.065.400,00</w:t>
      </w:r>
      <w:r w:rsidR="00A954D0">
        <w:rPr>
          <w:rFonts w:ascii="Bookman Old Style" w:hAnsi="Bookman Old Style"/>
          <w:sz w:val="24"/>
          <w:szCs w:val="24"/>
        </w:rPr>
        <w:t xml:space="preserve"> </w:t>
      </w:r>
      <w:r w:rsidRPr="009B38D6">
        <w:rPr>
          <w:rFonts w:ascii="Bookman Old Style" w:hAnsi="Bookman Old Style"/>
          <w:sz w:val="24"/>
          <w:szCs w:val="24"/>
        </w:rPr>
        <w:t>atau</w:t>
      </w:r>
      <w:r w:rsidR="00A954D0">
        <w:rPr>
          <w:rFonts w:ascii="Bookman Old Style" w:hAnsi="Bookman Old Style"/>
          <w:sz w:val="24"/>
          <w:szCs w:val="24"/>
        </w:rPr>
        <w:t xml:space="preserve"> </w:t>
      </w:r>
      <w:r w:rsidRPr="009B38D6">
        <w:rPr>
          <w:rFonts w:ascii="Bookman Old Style" w:hAnsi="Bookman Old Style"/>
          <w:sz w:val="24"/>
          <w:szCs w:val="24"/>
        </w:rPr>
        <w:t>0,04%</w:t>
      </w:r>
      <w:r w:rsidR="00A954D0">
        <w:rPr>
          <w:rFonts w:ascii="Bookman Old Style" w:hAnsi="Bookman Old Style"/>
          <w:sz w:val="24"/>
          <w:szCs w:val="24"/>
        </w:rPr>
        <w:t xml:space="preserve"> </w:t>
      </w:r>
      <w:r w:rsidRPr="009B38D6">
        <w:rPr>
          <w:rFonts w:ascii="Bookman Old Style" w:hAnsi="Bookman Old Style"/>
          <w:sz w:val="24"/>
          <w:szCs w:val="24"/>
        </w:rPr>
        <w:t>dari</w:t>
      </w:r>
      <w:r w:rsidR="00A954D0">
        <w:rPr>
          <w:rFonts w:ascii="Bookman Old Style" w:hAnsi="Bookman Old Style"/>
          <w:sz w:val="24"/>
          <w:szCs w:val="24"/>
        </w:rPr>
        <w:t xml:space="preserve"> </w:t>
      </w:r>
      <w:r w:rsidRPr="009B38D6">
        <w:rPr>
          <w:rFonts w:ascii="Bookman Old Style" w:hAnsi="Bookman Old Style"/>
          <w:sz w:val="24"/>
          <w:szCs w:val="24"/>
        </w:rPr>
        <w:t>total</w:t>
      </w:r>
      <w:r w:rsidR="00A954D0">
        <w:rPr>
          <w:rFonts w:ascii="Bookman Old Style" w:hAnsi="Bookman Old Style"/>
          <w:sz w:val="24"/>
          <w:szCs w:val="24"/>
        </w:rPr>
        <w:t xml:space="preserve"> </w:t>
      </w:r>
      <w:r w:rsidRPr="009B38D6">
        <w:rPr>
          <w:rFonts w:ascii="Bookman Old Style" w:hAnsi="Bookman Old Style"/>
          <w:sz w:val="24"/>
          <w:szCs w:val="24"/>
        </w:rPr>
        <w:t>belanja</w:t>
      </w:r>
      <w:r w:rsidR="00A954D0">
        <w:rPr>
          <w:rFonts w:ascii="Bookman Old Style" w:hAnsi="Bookman Old Style"/>
          <w:sz w:val="24"/>
          <w:szCs w:val="24"/>
        </w:rPr>
        <w:t xml:space="preserve"> </w:t>
      </w:r>
      <w:r w:rsidRPr="009B38D6">
        <w:rPr>
          <w:rFonts w:ascii="Bookman Old Style" w:hAnsi="Bookman Old Style"/>
          <w:sz w:val="24"/>
          <w:szCs w:val="24"/>
        </w:rPr>
        <w:t>daerah</w:t>
      </w:r>
      <w:r w:rsidR="00A954D0">
        <w:rPr>
          <w:rFonts w:ascii="Bookman Old Style" w:hAnsi="Bookman Old Style"/>
          <w:sz w:val="24"/>
          <w:szCs w:val="24"/>
        </w:rPr>
        <w:t xml:space="preserve"> </w:t>
      </w:r>
      <w:r w:rsidRPr="009B38D6">
        <w:rPr>
          <w:rFonts w:ascii="Bookman Old Style" w:hAnsi="Bookman Old Style"/>
          <w:sz w:val="24"/>
          <w:szCs w:val="24"/>
        </w:rPr>
        <w:t>dalam</w:t>
      </w:r>
      <w:r w:rsidR="00A954D0">
        <w:rPr>
          <w:rFonts w:ascii="Bookman Old Style" w:hAnsi="Bookman Old Style"/>
          <w:sz w:val="24"/>
          <w:szCs w:val="24"/>
        </w:rPr>
        <w:t xml:space="preserve"> </w:t>
      </w:r>
      <w:r w:rsidRPr="009B38D6">
        <w:rPr>
          <w:rFonts w:ascii="Bookman Old Style" w:hAnsi="Bookman Old Style"/>
          <w:sz w:val="24"/>
          <w:szCs w:val="24"/>
        </w:rPr>
        <w:t>Rancangan</w:t>
      </w:r>
      <w:r w:rsidR="00A954D0">
        <w:rPr>
          <w:rFonts w:ascii="Bookman Old Style" w:hAnsi="Bookman Old Style"/>
          <w:sz w:val="24"/>
          <w:szCs w:val="24"/>
        </w:rPr>
        <w:t xml:space="preserve"> </w:t>
      </w:r>
      <w:r w:rsidRPr="009B38D6">
        <w:rPr>
          <w:rFonts w:ascii="Bookman Old Style" w:hAnsi="Bookman Old Style"/>
          <w:sz w:val="24"/>
          <w:szCs w:val="24"/>
        </w:rPr>
        <w:t>Peraturan</w:t>
      </w:r>
      <w:r w:rsidR="00A954D0">
        <w:rPr>
          <w:rFonts w:ascii="Bookman Old Style" w:hAnsi="Bookman Old Style"/>
          <w:sz w:val="24"/>
          <w:szCs w:val="24"/>
        </w:rPr>
        <w:t xml:space="preserve"> </w:t>
      </w:r>
      <w:r w:rsidRPr="009B38D6">
        <w:rPr>
          <w:rFonts w:ascii="Bookman Old Style" w:hAnsi="Bookman Old Style"/>
          <w:sz w:val="24"/>
          <w:szCs w:val="24"/>
        </w:rPr>
        <w:t>Daerah</w:t>
      </w:r>
      <w:r w:rsidR="00A954D0">
        <w:rPr>
          <w:rFonts w:ascii="Bookman Old Style" w:hAnsi="Bookman Old Style"/>
          <w:sz w:val="24"/>
          <w:szCs w:val="24"/>
        </w:rPr>
        <w:t xml:space="preserve"> </w:t>
      </w:r>
      <w:r w:rsidRPr="009B38D6">
        <w:rPr>
          <w:rFonts w:ascii="Bookman Old Style" w:hAnsi="Bookman Old Style"/>
          <w:sz w:val="24"/>
          <w:szCs w:val="24"/>
        </w:rPr>
        <w:t>Kota</w:t>
      </w:r>
      <w:r w:rsidR="00A954D0">
        <w:rPr>
          <w:rFonts w:ascii="Bookman Old Style" w:hAnsi="Bookman Old Style"/>
          <w:sz w:val="24"/>
          <w:szCs w:val="24"/>
        </w:rPr>
        <w:t xml:space="preserve"> </w:t>
      </w:r>
      <w:r w:rsidRPr="009B38D6">
        <w:rPr>
          <w:rFonts w:ascii="Bookman Old Style" w:hAnsi="Bookman Old Style"/>
          <w:sz w:val="24"/>
          <w:szCs w:val="24"/>
        </w:rPr>
        <w:t>Tangerang</w:t>
      </w:r>
      <w:r w:rsidR="00A954D0">
        <w:rPr>
          <w:rFonts w:ascii="Bookman Old Style" w:hAnsi="Bookman Old Style"/>
          <w:sz w:val="24"/>
          <w:szCs w:val="24"/>
        </w:rPr>
        <w:t xml:space="preserve"> </w:t>
      </w:r>
      <w:r w:rsidRPr="009B38D6">
        <w:rPr>
          <w:rFonts w:ascii="Bookman Old Style" w:hAnsi="Bookman Old Style"/>
          <w:sz w:val="24"/>
          <w:szCs w:val="24"/>
        </w:rPr>
        <w:t>tentang</w:t>
      </w:r>
      <w:r w:rsidR="00A954D0">
        <w:rPr>
          <w:rFonts w:ascii="Bookman Old Style" w:hAnsi="Bookman Old Style"/>
          <w:sz w:val="24"/>
          <w:szCs w:val="24"/>
        </w:rPr>
        <w:t xml:space="preserve"> </w:t>
      </w:r>
      <w:r w:rsidRPr="009B38D6">
        <w:rPr>
          <w:rFonts w:ascii="Bookman Old Style" w:hAnsi="Bookman Old Style"/>
          <w:sz w:val="24"/>
          <w:szCs w:val="24"/>
        </w:rPr>
        <w:t>APBD</w:t>
      </w:r>
      <w:r w:rsidR="00A954D0">
        <w:rPr>
          <w:rFonts w:ascii="Bookman Old Style" w:hAnsi="Bookman Old Style"/>
          <w:sz w:val="24"/>
          <w:szCs w:val="24"/>
        </w:rPr>
        <w:t xml:space="preserve"> </w:t>
      </w:r>
      <w:r w:rsidRPr="009B38D6">
        <w:rPr>
          <w:rFonts w:ascii="Bookman Old Style" w:hAnsi="Bookman Old Style"/>
          <w:sz w:val="24"/>
          <w:szCs w:val="24"/>
        </w:rPr>
        <w:t>Tahun</w:t>
      </w:r>
      <w:r w:rsidR="00A954D0">
        <w:rPr>
          <w:rFonts w:ascii="Bookman Old Style" w:hAnsi="Bookman Old Style"/>
          <w:sz w:val="24"/>
          <w:szCs w:val="24"/>
        </w:rPr>
        <w:t xml:space="preserve"> </w:t>
      </w:r>
      <w:r w:rsidRPr="009B38D6">
        <w:rPr>
          <w:rFonts w:ascii="Bookman Old Style" w:hAnsi="Bookman Old Style"/>
          <w:sz w:val="24"/>
          <w:szCs w:val="24"/>
        </w:rPr>
        <w:t>Anggaran</w:t>
      </w:r>
      <w:r w:rsidR="00A954D0">
        <w:rPr>
          <w:rFonts w:ascii="Bookman Old Style" w:hAnsi="Bookman Old Style"/>
          <w:sz w:val="24"/>
          <w:szCs w:val="24"/>
        </w:rPr>
        <w:t xml:space="preserve"> </w:t>
      </w:r>
      <w:r w:rsidRPr="009B38D6">
        <w:rPr>
          <w:rFonts w:ascii="Bookman Old Style" w:hAnsi="Bookman Old Style"/>
          <w:sz w:val="24"/>
          <w:szCs w:val="24"/>
        </w:rPr>
        <w:t>2025,</w:t>
      </w:r>
      <w:r w:rsidR="00A954D0">
        <w:rPr>
          <w:rFonts w:ascii="Bookman Old Style" w:hAnsi="Bookman Old Style"/>
          <w:sz w:val="24"/>
          <w:szCs w:val="24"/>
        </w:rPr>
        <w:t xml:space="preserve"> </w:t>
      </w:r>
      <w:r w:rsidRPr="009B38D6">
        <w:rPr>
          <w:rFonts w:ascii="Bookman Old Style" w:hAnsi="Bookman Old Style"/>
          <w:sz w:val="24"/>
          <w:szCs w:val="24"/>
        </w:rPr>
        <w:t>yang</w:t>
      </w:r>
      <w:r w:rsidR="00A954D0">
        <w:rPr>
          <w:rFonts w:ascii="Bookman Old Style" w:hAnsi="Bookman Old Style"/>
          <w:sz w:val="24"/>
          <w:szCs w:val="24"/>
        </w:rPr>
        <w:t xml:space="preserve"> </w:t>
      </w:r>
      <w:r w:rsidRPr="009B38D6">
        <w:rPr>
          <w:rFonts w:ascii="Bookman Old Style" w:hAnsi="Bookman Old Style"/>
          <w:sz w:val="24"/>
          <w:szCs w:val="24"/>
        </w:rPr>
        <w:t>seluruhnya</w:t>
      </w:r>
      <w:r w:rsidR="00A954D0">
        <w:rPr>
          <w:rFonts w:ascii="Bookman Old Style" w:hAnsi="Bookman Old Style"/>
          <w:sz w:val="24"/>
          <w:szCs w:val="24"/>
        </w:rPr>
        <w:t xml:space="preserve"> </w:t>
      </w:r>
      <w:r w:rsidRPr="009B38D6">
        <w:rPr>
          <w:rFonts w:ascii="Bookman Old Style" w:hAnsi="Bookman Old Style"/>
          <w:sz w:val="24"/>
          <w:szCs w:val="24"/>
        </w:rPr>
        <w:t>diuraikan</w:t>
      </w:r>
      <w:r w:rsidR="00A954D0">
        <w:rPr>
          <w:rFonts w:ascii="Bookman Old Style" w:hAnsi="Bookman Old Style"/>
          <w:sz w:val="24"/>
          <w:szCs w:val="24"/>
        </w:rPr>
        <w:t xml:space="preserve"> </w:t>
      </w:r>
      <w:r w:rsidRPr="009B38D6">
        <w:rPr>
          <w:rFonts w:ascii="Bookman Old Style" w:hAnsi="Bookman Old Style"/>
          <w:sz w:val="24"/>
          <w:szCs w:val="24"/>
        </w:rPr>
        <w:t>ke</w:t>
      </w:r>
      <w:r w:rsidR="00A954D0">
        <w:rPr>
          <w:rFonts w:ascii="Bookman Old Style" w:hAnsi="Bookman Old Style"/>
          <w:sz w:val="24"/>
          <w:szCs w:val="24"/>
        </w:rPr>
        <w:t xml:space="preserve"> </w:t>
      </w:r>
      <w:r w:rsidRPr="009B38D6">
        <w:rPr>
          <w:rFonts w:ascii="Bookman Old Style" w:hAnsi="Bookman Old Style"/>
          <w:sz w:val="24"/>
          <w:szCs w:val="24"/>
        </w:rPr>
        <w:t>dalam</w:t>
      </w:r>
      <w:r w:rsidR="00A954D0">
        <w:rPr>
          <w:rFonts w:ascii="Bookman Old Style" w:hAnsi="Bookman Old Style"/>
          <w:sz w:val="24"/>
          <w:szCs w:val="24"/>
        </w:rPr>
        <w:t xml:space="preserve"> </w:t>
      </w:r>
      <w:r w:rsidRPr="009B38D6">
        <w:rPr>
          <w:rFonts w:ascii="Bookman Old Style" w:hAnsi="Bookman Old Style"/>
          <w:sz w:val="24"/>
          <w:szCs w:val="24"/>
        </w:rPr>
        <w:t>objek</w:t>
      </w:r>
      <w:r w:rsidR="00A954D0">
        <w:rPr>
          <w:rFonts w:ascii="Bookman Old Style" w:hAnsi="Bookman Old Style"/>
          <w:sz w:val="24"/>
          <w:szCs w:val="24"/>
        </w:rPr>
        <w:t xml:space="preserve"> </w:t>
      </w:r>
      <w:r w:rsidRPr="009B38D6">
        <w:rPr>
          <w:rFonts w:ascii="Bookman Old Style" w:hAnsi="Bookman Old Style"/>
          <w:sz w:val="24"/>
          <w:szCs w:val="24"/>
        </w:rPr>
        <w:t>Belanja</w:t>
      </w:r>
      <w:r w:rsidR="00A954D0">
        <w:rPr>
          <w:rFonts w:ascii="Bookman Old Style" w:hAnsi="Bookman Old Style"/>
          <w:sz w:val="24"/>
          <w:szCs w:val="24"/>
        </w:rPr>
        <w:t xml:space="preserve"> </w:t>
      </w:r>
      <w:r w:rsidRPr="009B38D6">
        <w:rPr>
          <w:rFonts w:ascii="Bookman Old Style" w:hAnsi="Bookman Old Style"/>
          <w:sz w:val="24"/>
          <w:szCs w:val="24"/>
        </w:rPr>
        <w:t>Modal</w:t>
      </w:r>
      <w:r w:rsidR="00A954D0">
        <w:rPr>
          <w:rFonts w:ascii="Bookman Old Style" w:hAnsi="Bookman Old Style"/>
          <w:sz w:val="24"/>
          <w:szCs w:val="24"/>
        </w:rPr>
        <w:t xml:space="preserve"> </w:t>
      </w:r>
      <w:r w:rsidRPr="009B38D6">
        <w:rPr>
          <w:rFonts w:ascii="Bookman Old Style" w:hAnsi="Bookman Old Style"/>
          <w:sz w:val="24"/>
          <w:szCs w:val="24"/>
        </w:rPr>
        <w:t>Rambu-Rambu</w:t>
      </w:r>
      <w:r w:rsidR="00A954D0">
        <w:rPr>
          <w:rFonts w:ascii="Bookman Old Style" w:hAnsi="Bookman Old Style"/>
          <w:sz w:val="24"/>
          <w:szCs w:val="24"/>
        </w:rPr>
        <w:t xml:space="preserve"> </w:t>
      </w:r>
      <w:r w:rsidRPr="009B38D6">
        <w:rPr>
          <w:rFonts w:ascii="Bookman Old Style" w:hAnsi="Bookman Old Style"/>
          <w:sz w:val="24"/>
          <w:szCs w:val="24"/>
        </w:rPr>
        <w:t>Lalu</w:t>
      </w:r>
      <w:r w:rsidR="00A954D0">
        <w:rPr>
          <w:rFonts w:ascii="Bookman Old Style" w:hAnsi="Bookman Old Style"/>
          <w:sz w:val="24"/>
          <w:szCs w:val="24"/>
        </w:rPr>
        <w:t xml:space="preserve"> </w:t>
      </w:r>
      <w:r w:rsidRPr="009B38D6">
        <w:rPr>
          <w:rFonts w:ascii="Bookman Old Style" w:hAnsi="Bookman Old Style"/>
          <w:sz w:val="24"/>
          <w:szCs w:val="24"/>
        </w:rPr>
        <w:t>Lintas</w:t>
      </w:r>
      <w:r w:rsidR="00A954D0">
        <w:rPr>
          <w:rFonts w:ascii="Bookman Old Style" w:hAnsi="Bookman Old Style"/>
          <w:sz w:val="24"/>
          <w:szCs w:val="24"/>
        </w:rPr>
        <w:t xml:space="preserve"> </w:t>
      </w:r>
      <w:r w:rsidRPr="009B38D6">
        <w:rPr>
          <w:rFonts w:ascii="Bookman Old Style" w:hAnsi="Bookman Old Style"/>
          <w:sz w:val="24"/>
          <w:szCs w:val="24"/>
        </w:rPr>
        <w:t>Darat;</w:t>
      </w:r>
    </w:p>
    <w:p w14:paraId="5FAB3B86" w14:textId="3DD11412" w:rsidR="00515C3A" w:rsidRPr="009B38D6" w:rsidRDefault="00515C3A" w:rsidP="00154790">
      <w:pPr>
        <w:pStyle w:val="ListParagraph"/>
        <w:numPr>
          <w:ilvl w:val="0"/>
          <w:numId w:val="148"/>
        </w:numPr>
        <w:spacing w:before="60" w:after="0" w:line="276" w:lineRule="auto"/>
        <w:ind w:left="2268" w:hanging="567"/>
        <w:contextualSpacing w:val="0"/>
        <w:jc w:val="both"/>
        <w:rPr>
          <w:rFonts w:ascii="Bookman Old Style" w:hAnsi="Bookman Old Style"/>
          <w:sz w:val="24"/>
          <w:szCs w:val="24"/>
        </w:rPr>
      </w:pPr>
      <w:r w:rsidRPr="009B38D6">
        <w:rPr>
          <w:rFonts w:ascii="Bookman Old Style" w:hAnsi="Bookman Old Style"/>
          <w:sz w:val="24"/>
          <w:szCs w:val="24"/>
        </w:rPr>
        <w:t>Belanja</w:t>
      </w:r>
      <w:r w:rsidR="00A954D0">
        <w:rPr>
          <w:rFonts w:ascii="Bookman Old Style" w:hAnsi="Bookman Old Style"/>
          <w:sz w:val="24"/>
          <w:szCs w:val="24"/>
        </w:rPr>
        <w:t xml:space="preserve"> </w:t>
      </w:r>
      <w:r w:rsidRPr="009B38D6">
        <w:rPr>
          <w:rFonts w:ascii="Bookman Old Style" w:hAnsi="Bookman Old Style"/>
          <w:sz w:val="24"/>
          <w:szCs w:val="24"/>
        </w:rPr>
        <w:t>Modal</w:t>
      </w:r>
      <w:r w:rsidR="00A954D0">
        <w:rPr>
          <w:rFonts w:ascii="Bookman Old Style" w:hAnsi="Bookman Old Style"/>
          <w:sz w:val="24"/>
          <w:szCs w:val="24"/>
        </w:rPr>
        <w:t xml:space="preserve"> </w:t>
      </w:r>
      <w:r w:rsidRPr="009B38D6">
        <w:rPr>
          <w:rFonts w:ascii="Bookman Old Style" w:hAnsi="Bookman Old Style"/>
          <w:sz w:val="24"/>
          <w:szCs w:val="24"/>
        </w:rPr>
        <w:t>Peralatan</w:t>
      </w:r>
      <w:r w:rsidR="00A954D0">
        <w:rPr>
          <w:rFonts w:ascii="Bookman Old Style" w:hAnsi="Bookman Old Style"/>
          <w:sz w:val="24"/>
          <w:szCs w:val="24"/>
        </w:rPr>
        <w:t xml:space="preserve"> </w:t>
      </w:r>
      <w:r w:rsidRPr="009B38D6">
        <w:rPr>
          <w:rFonts w:ascii="Bookman Old Style" w:hAnsi="Bookman Old Style"/>
          <w:sz w:val="24"/>
          <w:szCs w:val="24"/>
        </w:rPr>
        <w:t>Olahraga</w:t>
      </w:r>
      <w:r w:rsidR="00A954D0">
        <w:rPr>
          <w:rFonts w:ascii="Bookman Old Style" w:hAnsi="Bookman Old Style"/>
          <w:sz w:val="24"/>
          <w:szCs w:val="24"/>
        </w:rPr>
        <w:t xml:space="preserve"> </w:t>
      </w:r>
      <w:r w:rsidRPr="009B38D6">
        <w:rPr>
          <w:rFonts w:ascii="Bookman Old Style" w:hAnsi="Bookman Old Style"/>
          <w:sz w:val="24"/>
          <w:szCs w:val="24"/>
        </w:rPr>
        <w:t>Rp36.335.000,00</w:t>
      </w:r>
      <w:r w:rsidR="00A954D0">
        <w:rPr>
          <w:rFonts w:ascii="Bookman Old Style" w:hAnsi="Bookman Old Style"/>
          <w:sz w:val="24"/>
          <w:szCs w:val="24"/>
        </w:rPr>
        <w:t xml:space="preserve"> </w:t>
      </w:r>
      <w:r w:rsidRPr="009B38D6">
        <w:rPr>
          <w:rFonts w:ascii="Bookman Old Style" w:hAnsi="Bookman Old Style"/>
          <w:sz w:val="24"/>
          <w:szCs w:val="24"/>
        </w:rPr>
        <w:t>atau</w:t>
      </w:r>
      <w:r w:rsidR="00A954D0">
        <w:rPr>
          <w:rFonts w:ascii="Bookman Old Style" w:hAnsi="Bookman Old Style"/>
          <w:sz w:val="24"/>
          <w:szCs w:val="24"/>
        </w:rPr>
        <w:t xml:space="preserve"> </w:t>
      </w:r>
      <w:r w:rsidRPr="009B38D6">
        <w:rPr>
          <w:rFonts w:ascii="Bookman Old Style" w:hAnsi="Bookman Old Style"/>
          <w:sz w:val="24"/>
          <w:szCs w:val="24"/>
        </w:rPr>
        <w:t>0,001%</w:t>
      </w:r>
      <w:r w:rsidR="00A954D0">
        <w:rPr>
          <w:rFonts w:ascii="Bookman Old Style" w:hAnsi="Bookman Old Style"/>
          <w:sz w:val="24"/>
          <w:szCs w:val="24"/>
        </w:rPr>
        <w:t xml:space="preserve"> </w:t>
      </w:r>
      <w:r w:rsidRPr="009B38D6">
        <w:rPr>
          <w:rFonts w:ascii="Bookman Old Style" w:hAnsi="Bookman Old Style"/>
          <w:sz w:val="24"/>
          <w:szCs w:val="24"/>
        </w:rPr>
        <w:t>dari</w:t>
      </w:r>
      <w:r w:rsidR="00A954D0">
        <w:rPr>
          <w:rFonts w:ascii="Bookman Old Style" w:hAnsi="Bookman Old Style"/>
          <w:sz w:val="24"/>
          <w:szCs w:val="24"/>
        </w:rPr>
        <w:t xml:space="preserve"> </w:t>
      </w:r>
      <w:r w:rsidRPr="009B38D6">
        <w:rPr>
          <w:rFonts w:ascii="Bookman Old Style" w:hAnsi="Bookman Old Style"/>
          <w:sz w:val="24"/>
          <w:szCs w:val="24"/>
        </w:rPr>
        <w:t>total</w:t>
      </w:r>
      <w:r w:rsidR="00A954D0">
        <w:rPr>
          <w:rFonts w:ascii="Bookman Old Style" w:hAnsi="Bookman Old Style"/>
          <w:sz w:val="24"/>
          <w:szCs w:val="24"/>
        </w:rPr>
        <w:t xml:space="preserve"> </w:t>
      </w:r>
      <w:r w:rsidRPr="009B38D6">
        <w:rPr>
          <w:rFonts w:ascii="Bookman Old Style" w:hAnsi="Bookman Old Style"/>
          <w:sz w:val="24"/>
          <w:szCs w:val="24"/>
        </w:rPr>
        <w:t>belanja</w:t>
      </w:r>
      <w:r w:rsidR="00A954D0">
        <w:rPr>
          <w:rFonts w:ascii="Bookman Old Style" w:hAnsi="Bookman Old Style"/>
          <w:sz w:val="24"/>
          <w:szCs w:val="24"/>
        </w:rPr>
        <w:t xml:space="preserve"> </w:t>
      </w:r>
      <w:r w:rsidRPr="009B38D6">
        <w:rPr>
          <w:rFonts w:ascii="Bookman Old Style" w:hAnsi="Bookman Old Style"/>
          <w:sz w:val="24"/>
          <w:szCs w:val="24"/>
        </w:rPr>
        <w:t>daerah</w:t>
      </w:r>
      <w:r w:rsidR="00A954D0">
        <w:rPr>
          <w:rFonts w:ascii="Bookman Old Style" w:hAnsi="Bookman Old Style"/>
          <w:sz w:val="24"/>
          <w:szCs w:val="24"/>
        </w:rPr>
        <w:t xml:space="preserve"> </w:t>
      </w:r>
      <w:r w:rsidRPr="009B38D6">
        <w:rPr>
          <w:rFonts w:ascii="Bookman Old Style" w:hAnsi="Bookman Old Style"/>
          <w:sz w:val="24"/>
          <w:szCs w:val="24"/>
        </w:rPr>
        <w:t>dalam</w:t>
      </w:r>
      <w:r w:rsidR="00A954D0">
        <w:rPr>
          <w:rFonts w:ascii="Bookman Old Style" w:hAnsi="Bookman Old Style"/>
          <w:sz w:val="24"/>
          <w:szCs w:val="24"/>
        </w:rPr>
        <w:t xml:space="preserve"> </w:t>
      </w:r>
      <w:r w:rsidRPr="009B38D6">
        <w:rPr>
          <w:rFonts w:ascii="Bookman Old Style" w:hAnsi="Bookman Old Style"/>
          <w:sz w:val="24"/>
          <w:szCs w:val="24"/>
        </w:rPr>
        <w:t>Rancangan</w:t>
      </w:r>
      <w:r w:rsidR="00A954D0">
        <w:rPr>
          <w:rFonts w:ascii="Bookman Old Style" w:hAnsi="Bookman Old Style"/>
          <w:sz w:val="24"/>
          <w:szCs w:val="24"/>
        </w:rPr>
        <w:t xml:space="preserve"> </w:t>
      </w:r>
      <w:r w:rsidRPr="009B38D6">
        <w:rPr>
          <w:rFonts w:ascii="Bookman Old Style" w:hAnsi="Bookman Old Style"/>
          <w:sz w:val="24"/>
          <w:szCs w:val="24"/>
        </w:rPr>
        <w:t>Peraturan</w:t>
      </w:r>
      <w:r w:rsidR="00A954D0">
        <w:rPr>
          <w:rFonts w:ascii="Bookman Old Style" w:hAnsi="Bookman Old Style"/>
          <w:sz w:val="24"/>
          <w:szCs w:val="24"/>
        </w:rPr>
        <w:t xml:space="preserve"> </w:t>
      </w:r>
      <w:r w:rsidRPr="009B38D6">
        <w:rPr>
          <w:rFonts w:ascii="Bookman Old Style" w:hAnsi="Bookman Old Style"/>
          <w:sz w:val="24"/>
          <w:szCs w:val="24"/>
        </w:rPr>
        <w:t>Daerah</w:t>
      </w:r>
      <w:r w:rsidR="00A954D0">
        <w:rPr>
          <w:rFonts w:ascii="Bookman Old Style" w:hAnsi="Bookman Old Style"/>
          <w:sz w:val="24"/>
          <w:szCs w:val="24"/>
        </w:rPr>
        <w:t xml:space="preserve"> </w:t>
      </w:r>
      <w:r w:rsidRPr="009B38D6">
        <w:rPr>
          <w:rFonts w:ascii="Bookman Old Style" w:hAnsi="Bookman Old Style"/>
          <w:sz w:val="24"/>
          <w:szCs w:val="24"/>
        </w:rPr>
        <w:t>Kota</w:t>
      </w:r>
      <w:r w:rsidR="00A954D0">
        <w:rPr>
          <w:rFonts w:ascii="Bookman Old Style" w:hAnsi="Bookman Old Style"/>
          <w:sz w:val="24"/>
          <w:szCs w:val="24"/>
        </w:rPr>
        <w:t xml:space="preserve"> </w:t>
      </w:r>
      <w:r w:rsidRPr="009B38D6">
        <w:rPr>
          <w:rFonts w:ascii="Bookman Old Style" w:hAnsi="Bookman Old Style"/>
          <w:sz w:val="24"/>
          <w:szCs w:val="24"/>
        </w:rPr>
        <w:t>Tangerang</w:t>
      </w:r>
      <w:r w:rsidR="00A954D0">
        <w:rPr>
          <w:rFonts w:ascii="Bookman Old Style" w:hAnsi="Bookman Old Style"/>
          <w:sz w:val="24"/>
          <w:szCs w:val="24"/>
        </w:rPr>
        <w:t xml:space="preserve"> </w:t>
      </w:r>
      <w:r w:rsidRPr="009B38D6">
        <w:rPr>
          <w:rFonts w:ascii="Bookman Old Style" w:hAnsi="Bookman Old Style"/>
          <w:sz w:val="24"/>
          <w:szCs w:val="24"/>
        </w:rPr>
        <w:t>tentang</w:t>
      </w:r>
      <w:r w:rsidR="00A954D0">
        <w:rPr>
          <w:rFonts w:ascii="Bookman Old Style" w:hAnsi="Bookman Old Style"/>
          <w:sz w:val="24"/>
          <w:szCs w:val="24"/>
        </w:rPr>
        <w:t xml:space="preserve"> </w:t>
      </w:r>
      <w:r w:rsidRPr="009B38D6">
        <w:rPr>
          <w:rFonts w:ascii="Bookman Old Style" w:hAnsi="Bookman Old Style"/>
          <w:sz w:val="24"/>
          <w:szCs w:val="24"/>
        </w:rPr>
        <w:t>APBD</w:t>
      </w:r>
      <w:r w:rsidR="00A954D0">
        <w:rPr>
          <w:rFonts w:ascii="Bookman Old Style" w:hAnsi="Bookman Old Style"/>
          <w:sz w:val="24"/>
          <w:szCs w:val="24"/>
        </w:rPr>
        <w:t xml:space="preserve"> </w:t>
      </w:r>
      <w:r w:rsidRPr="009B38D6">
        <w:rPr>
          <w:rFonts w:ascii="Bookman Old Style" w:hAnsi="Bookman Old Style"/>
          <w:sz w:val="24"/>
          <w:szCs w:val="24"/>
        </w:rPr>
        <w:t>Tahun</w:t>
      </w:r>
      <w:r w:rsidR="00A954D0">
        <w:rPr>
          <w:rFonts w:ascii="Bookman Old Style" w:hAnsi="Bookman Old Style"/>
          <w:sz w:val="24"/>
          <w:szCs w:val="24"/>
        </w:rPr>
        <w:t xml:space="preserve"> </w:t>
      </w:r>
      <w:r w:rsidRPr="009B38D6">
        <w:rPr>
          <w:rFonts w:ascii="Bookman Old Style" w:hAnsi="Bookman Old Style"/>
          <w:sz w:val="24"/>
          <w:szCs w:val="24"/>
        </w:rPr>
        <w:t>Anggaran</w:t>
      </w:r>
      <w:r w:rsidR="00A954D0">
        <w:rPr>
          <w:rFonts w:ascii="Bookman Old Style" w:hAnsi="Bookman Old Style"/>
          <w:sz w:val="24"/>
          <w:szCs w:val="24"/>
        </w:rPr>
        <w:t xml:space="preserve"> </w:t>
      </w:r>
      <w:r w:rsidRPr="009B38D6">
        <w:rPr>
          <w:rFonts w:ascii="Bookman Old Style" w:hAnsi="Bookman Old Style"/>
          <w:sz w:val="24"/>
          <w:szCs w:val="24"/>
        </w:rPr>
        <w:t>2025,</w:t>
      </w:r>
      <w:r w:rsidR="00A954D0">
        <w:rPr>
          <w:rFonts w:ascii="Bookman Old Style" w:hAnsi="Bookman Old Style"/>
          <w:sz w:val="24"/>
          <w:szCs w:val="24"/>
        </w:rPr>
        <w:t xml:space="preserve"> </w:t>
      </w:r>
      <w:r w:rsidRPr="009B38D6">
        <w:rPr>
          <w:rFonts w:ascii="Bookman Old Style" w:hAnsi="Bookman Old Style"/>
          <w:sz w:val="24"/>
          <w:szCs w:val="24"/>
        </w:rPr>
        <w:t>yang</w:t>
      </w:r>
      <w:r w:rsidR="00A954D0">
        <w:rPr>
          <w:rFonts w:ascii="Bookman Old Style" w:hAnsi="Bookman Old Style"/>
          <w:sz w:val="24"/>
          <w:szCs w:val="24"/>
        </w:rPr>
        <w:t xml:space="preserve"> </w:t>
      </w:r>
      <w:r w:rsidRPr="009B38D6">
        <w:rPr>
          <w:rFonts w:ascii="Bookman Old Style" w:hAnsi="Bookman Old Style"/>
          <w:sz w:val="24"/>
          <w:szCs w:val="24"/>
        </w:rPr>
        <w:t>seluruhnya</w:t>
      </w:r>
      <w:r w:rsidR="00A954D0">
        <w:rPr>
          <w:rFonts w:ascii="Bookman Old Style" w:hAnsi="Bookman Old Style"/>
          <w:sz w:val="24"/>
          <w:szCs w:val="24"/>
        </w:rPr>
        <w:t xml:space="preserve"> </w:t>
      </w:r>
      <w:r w:rsidRPr="009B38D6">
        <w:rPr>
          <w:rFonts w:ascii="Bookman Old Style" w:hAnsi="Bookman Old Style"/>
          <w:sz w:val="24"/>
          <w:szCs w:val="24"/>
        </w:rPr>
        <w:t>diuraikan</w:t>
      </w:r>
      <w:r w:rsidR="00A954D0">
        <w:rPr>
          <w:rFonts w:ascii="Bookman Old Style" w:hAnsi="Bookman Old Style"/>
          <w:sz w:val="24"/>
          <w:szCs w:val="24"/>
        </w:rPr>
        <w:t xml:space="preserve"> </w:t>
      </w:r>
      <w:r w:rsidRPr="009B38D6">
        <w:rPr>
          <w:rFonts w:ascii="Bookman Old Style" w:hAnsi="Bookman Old Style"/>
          <w:sz w:val="24"/>
          <w:szCs w:val="24"/>
        </w:rPr>
        <w:t>ke</w:t>
      </w:r>
      <w:r w:rsidR="00A954D0">
        <w:rPr>
          <w:rFonts w:ascii="Bookman Old Style" w:hAnsi="Bookman Old Style"/>
          <w:sz w:val="24"/>
          <w:szCs w:val="24"/>
        </w:rPr>
        <w:t xml:space="preserve"> </w:t>
      </w:r>
      <w:r w:rsidRPr="009B38D6">
        <w:rPr>
          <w:rFonts w:ascii="Bookman Old Style" w:hAnsi="Bookman Old Style"/>
          <w:sz w:val="24"/>
          <w:szCs w:val="24"/>
        </w:rPr>
        <w:t>dalam</w:t>
      </w:r>
      <w:r w:rsidR="00A954D0">
        <w:rPr>
          <w:rFonts w:ascii="Bookman Old Style" w:hAnsi="Bookman Old Style"/>
          <w:sz w:val="24"/>
          <w:szCs w:val="24"/>
        </w:rPr>
        <w:t xml:space="preserve"> </w:t>
      </w:r>
      <w:r w:rsidRPr="009B38D6">
        <w:rPr>
          <w:rFonts w:ascii="Bookman Old Style" w:hAnsi="Bookman Old Style"/>
          <w:sz w:val="24"/>
          <w:szCs w:val="24"/>
        </w:rPr>
        <w:t>objek</w:t>
      </w:r>
      <w:r w:rsidR="00A954D0">
        <w:rPr>
          <w:rFonts w:ascii="Bookman Old Style" w:hAnsi="Bookman Old Style"/>
          <w:sz w:val="24"/>
          <w:szCs w:val="24"/>
        </w:rPr>
        <w:t xml:space="preserve"> </w:t>
      </w:r>
      <w:r w:rsidRPr="009B38D6">
        <w:rPr>
          <w:rFonts w:ascii="Bookman Old Style" w:hAnsi="Bookman Old Style"/>
          <w:sz w:val="24"/>
          <w:szCs w:val="24"/>
        </w:rPr>
        <w:t>Belanja</w:t>
      </w:r>
      <w:r w:rsidR="00A954D0">
        <w:rPr>
          <w:rFonts w:ascii="Bookman Old Style" w:hAnsi="Bookman Old Style"/>
          <w:sz w:val="24"/>
          <w:szCs w:val="24"/>
        </w:rPr>
        <w:t xml:space="preserve"> </w:t>
      </w:r>
      <w:r w:rsidRPr="009B38D6">
        <w:rPr>
          <w:rFonts w:ascii="Bookman Old Style" w:hAnsi="Bookman Old Style"/>
          <w:sz w:val="24"/>
          <w:szCs w:val="24"/>
        </w:rPr>
        <w:t>Modal</w:t>
      </w:r>
      <w:r w:rsidR="00A954D0">
        <w:rPr>
          <w:rFonts w:ascii="Bookman Old Style" w:hAnsi="Bookman Old Style"/>
          <w:sz w:val="24"/>
          <w:szCs w:val="24"/>
        </w:rPr>
        <w:t xml:space="preserve"> </w:t>
      </w:r>
      <w:r w:rsidRPr="009B38D6">
        <w:rPr>
          <w:rFonts w:ascii="Bookman Old Style" w:hAnsi="Bookman Old Style"/>
          <w:sz w:val="24"/>
          <w:szCs w:val="24"/>
        </w:rPr>
        <w:t>Peralatan</w:t>
      </w:r>
      <w:r w:rsidR="00A954D0">
        <w:rPr>
          <w:rFonts w:ascii="Bookman Old Style" w:hAnsi="Bookman Old Style"/>
          <w:sz w:val="24"/>
          <w:szCs w:val="24"/>
        </w:rPr>
        <w:t xml:space="preserve"> </w:t>
      </w:r>
      <w:r w:rsidRPr="009B38D6">
        <w:rPr>
          <w:rFonts w:ascii="Bookman Old Style" w:hAnsi="Bookman Old Style"/>
          <w:sz w:val="24"/>
          <w:szCs w:val="24"/>
        </w:rPr>
        <w:t>Olahraga;</w:t>
      </w:r>
    </w:p>
    <w:p w14:paraId="47176D2E" w14:textId="28113EB8" w:rsidR="00515C3A" w:rsidRPr="009B38D6" w:rsidRDefault="00515C3A" w:rsidP="00154790">
      <w:pPr>
        <w:pStyle w:val="ListParagraph"/>
        <w:numPr>
          <w:ilvl w:val="0"/>
          <w:numId w:val="148"/>
        </w:numPr>
        <w:spacing w:before="60" w:after="0" w:line="276" w:lineRule="auto"/>
        <w:ind w:left="2268" w:hanging="567"/>
        <w:contextualSpacing w:val="0"/>
        <w:jc w:val="both"/>
        <w:rPr>
          <w:rFonts w:ascii="Bookman Old Style" w:hAnsi="Bookman Old Style"/>
          <w:sz w:val="24"/>
          <w:szCs w:val="24"/>
        </w:rPr>
      </w:pPr>
      <w:r w:rsidRPr="009B38D6">
        <w:rPr>
          <w:rFonts w:ascii="Bookman Old Style" w:hAnsi="Bookman Old Style"/>
          <w:sz w:val="24"/>
          <w:szCs w:val="24"/>
        </w:rPr>
        <w:t>Belanja</w:t>
      </w:r>
      <w:r w:rsidR="00A954D0">
        <w:rPr>
          <w:rFonts w:ascii="Bookman Old Style" w:hAnsi="Bookman Old Style"/>
          <w:sz w:val="24"/>
          <w:szCs w:val="24"/>
        </w:rPr>
        <w:t xml:space="preserve"> </w:t>
      </w:r>
      <w:r w:rsidRPr="009B38D6">
        <w:rPr>
          <w:rFonts w:ascii="Bookman Old Style" w:hAnsi="Bookman Old Style"/>
          <w:sz w:val="24"/>
          <w:szCs w:val="24"/>
        </w:rPr>
        <w:t>Modal</w:t>
      </w:r>
      <w:r w:rsidR="00A954D0">
        <w:rPr>
          <w:rFonts w:ascii="Bookman Old Style" w:hAnsi="Bookman Old Style"/>
          <w:sz w:val="24"/>
          <w:szCs w:val="24"/>
        </w:rPr>
        <w:t xml:space="preserve"> </w:t>
      </w:r>
      <w:r w:rsidRPr="009B38D6">
        <w:rPr>
          <w:rFonts w:ascii="Bookman Old Style" w:hAnsi="Bookman Old Style"/>
          <w:sz w:val="24"/>
          <w:szCs w:val="24"/>
        </w:rPr>
        <w:t>Peralatan</w:t>
      </w:r>
      <w:r w:rsidR="00A954D0">
        <w:rPr>
          <w:rFonts w:ascii="Bookman Old Style" w:hAnsi="Bookman Old Style"/>
          <w:sz w:val="24"/>
          <w:szCs w:val="24"/>
        </w:rPr>
        <w:t xml:space="preserve"> </w:t>
      </w:r>
      <w:r w:rsidRPr="009B38D6">
        <w:rPr>
          <w:rFonts w:ascii="Bookman Old Style" w:hAnsi="Bookman Old Style"/>
          <w:sz w:val="24"/>
          <w:szCs w:val="24"/>
        </w:rPr>
        <w:t>dan</w:t>
      </w:r>
      <w:r w:rsidR="00A954D0">
        <w:rPr>
          <w:rFonts w:ascii="Bookman Old Style" w:hAnsi="Bookman Old Style"/>
          <w:sz w:val="24"/>
          <w:szCs w:val="24"/>
        </w:rPr>
        <w:t xml:space="preserve"> </w:t>
      </w:r>
      <w:r w:rsidRPr="009B38D6">
        <w:rPr>
          <w:rFonts w:ascii="Bookman Old Style" w:hAnsi="Bookman Old Style"/>
          <w:sz w:val="24"/>
          <w:szCs w:val="24"/>
        </w:rPr>
        <w:t>Mesin</w:t>
      </w:r>
      <w:r w:rsidR="00A954D0">
        <w:rPr>
          <w:rFonts w:ascii="Bookman Old Style" w:hAnsi="Bookman Old Style"/>
          <w:sz w:val="24"/>
          <w:szCs w:val="24"/>
        </w:rPr>
        <w:t xml:space="preserve"> </w:t>
      </w:r>
      <w:r w:rsidRPr="009B38D6">
        <w:rPr>
          <w:rFonts w:ascii="Bookman Old Style" w:hAnsi="Bookman Old Style"/>
          <w:sz w:val="24"/>
          <w:szCs w:val="24"/>
        </w:rPr>
        <w:t>BOSP</w:t>
      </w:r>
      <w:r w:rsidR="00A954D0">
        <w:rPr>
          <w:rFonts w:ascii="Bookman Old Style" w:hAnsi="Bookman Old Style"/>
          <w:sz w:val="24"/>
          <w:szCs w:val="24"/>
        </w:rPr>
        <w:t xml:space="preserve"> </w:t>
      </w:r>
      <w:r w:rsidRPr="009B38D6">
        <w:rPr>
          <w:rFonts w:ascii="Bookman Old Style" w:hAnsi="Bookman Old Style"/>
          <w:sz w:val="24"/>
          <w:szCs w:val="24"/>
        </w:rPr>
        <w:t>Rp22.467.868.969,00</w:t>
      </w:r>
      <w:r w:rsidR="00A954D0">
        <w:rPr>
          <w:rFonts w:ascii="Bookman Old Style" w:hAnsi="Bookman Old Style"/>
          <w:sz w:val="24"/>
          <w:szCs w:val="24"/>
        </w:rPr>
        <w:t xml:space="preserve"> </w:t>
      </w:r>
      <w:r w:rsidRPr="009B38D6">
        <w:rPr>
          <w:rFonts w:ascii="Bookman Old Style" w:hAnsi="Bookman Old Style"/>
          <w:sz w:val="24"/>
          <w:szCs w:val="24"/>
        </w:rPr>
        <w:t>atau</w:t>
      </w:r>
      <w:r w:rsidR="00A954D0">
        <w:rPr>
          <w:rFonts w:ascii="Bookman Old Style" w:hAnsi="Bookman Old Style"/>
          <w:sz w:val="24"/>
          <w:szCs w:val="24"/>
        </w:rPr>
        <w:t xml:space="preserve"> </w:t>
      </w:r>
      <w:r w:rsidRPr="009B38D6">
        <w:rPr>
          <w:rFonts w:ascii="Bookman Old Style" w:hAnsi="Bookman Old Style"/>
          <w:sz w:val="24"/>
          <w:szCs w:val="24"/>
        </w:rPr>
        <w:t>0,39%</w:t>
      </w:r>
      <w:r w:rsidR="00A954D0">
        <w:rPr>
          <w:rFonts w:ascii="Bookman Old Style" w:hAnsi="Bookman Old Style"/>
          <w:sz w:val="24"/>
          <w:szCs w:val="24"/>
        </w:rPr>
        <w:t xml:space="preserve"> </w:t>
      </w:r>
      <w:r w:rsidRPr="009B38D6">
        <w:rPr>
          <w:rFonts w:ascii="Bookman Old Style" w:hAnsi="Bookman Old Style"/>
          <w:sz w:val="24"/>
          <w:szCs w:val="24"/>
        </w:rPr>
        <w:t>dari</w:t>
      </w:r>
      <w:r w:rsidR="00A954D0">
        <w:rPr>
          <w:rFonts w:ascii="Bookman Old Style" w:hAnsi="Bookman Old Style"/>
          <w:sz w:val="24"/>
          <w:szCs w:val="24"/>
        </w:rPr>
        <w:t xml:space="preserve"> </w:t>
      </w:r>
      <w:r w:rsidRPr="009B38D6">
        <w:rPr>
          <w:rFonts w:ascii="Bookman Old Style" w:hAnsi="Bookman Old Style"/>
          <w:sz w:val="24"/>
          <w:szCs w:val="24"/>
        </w:rPr>
        <w:t>total</w:t>
      </w:r>
      <w:r w:rsidR="00A954D0">
        <w:rPr>
          <w:rFonts w:ascii="Bookman Old Style" w:hAnsi="Bookman Old Style"/>
          <w:sz w:val="24"/>
          <w:szCs w:val="24"/>
        </w:rPr>
        <w:t xml:space="preserve"> </w:t>
      </w:r>
      <w:r w:rsidRPr="009B38D6">
        <w:rPr>
          <w:rFonts w:ascii="Bookman Old Style" w:hAnsi="Bookman Old Style"/>
          <w:sz w:val="24"/>
          <w:szCs w:val="24"/>
        </w:rPr>
        <w:t>belanja</w:t>
      </w:r>
      <w:r w:rsidR="00A954D0">
        <w:rPr>
          <w:rFonts w:ascii="Bookman Old Style" w:hAnsi="Bookman Old Style"/>
          <w:sz w:val="24"/>
          <w:szCs w:val="24"/>
        </w:rPr>
        <w:t xml:space="preserve"> </w:t>
      </w:r>
      <w:r w:rsidRPr="009B38D6">
        <w:rPr>
          <w:rFonts w:ascii="Bookman Old Style" w:hAnsi="Bookman Old Style"/>
          <w:sz w:val="24"/>
          <w:szCs w:val="24"/>
        </w:rPr>
        <w:t>daerah</w:t>
      </w:r>
      <w:r w:rsidR="00A954D0">
        <w:rPr>
          <w:rFonts w:ascii="Bookman Old Style" w:hAnsi="Bookman Old Style"/>
          <w:sz w:val="24"/>
          <w:szCs w:val="24"/>
        </w:rPr>
        <w:t xml:space="preserve"> </w:t>
      </w:r>
      <w:r w:rsidRPr="009B38D6">
        <w:rPr>
          <w:rFonts w:ascii="Bookman Old Style" w:hAnsi="Bookman Old Style"/>
          <w:sz w:val="24"/>
          <w:szCs w:val="24"/>
        </w:rPr>
        <w:t>dalam</w:t>
      </w:r>
      <w:r w:rsidR="00A954D0">
        <w:rPr>
          <w:rFonts w:ascii="Bookman Old Style" w:hAnsi="Bookman Old Style"/>
          <w:sz w:val="24"/>
          <w:szCs w:val="24"/>
        </w:rPr>
        <w:t xml:space="preserve"> </w:t>
      </w:r>
      <w:r w:rsidRPr="009B38D6">
        <w:rPr>
          <w:rFonts w:ascii="Bookman Old Style" w:hAnsi="Bookman Old Style"/>
          <w:sz w:val="24"/>
          <w:szCs w:val="24"/>
        </w:rPr>
        <w:t>Rancangan</w:t>
      </w:r>
      <w:r w:rsidR="00A954D0">
        <w:rPr>
          <w:rFonts w:ascii="Bookman Old Style" w:hAnsi="Bookman Old Style"/>
          <w:sz w:val="24"/>
          <w:szCs w:val="24"/>
        </w:rPr>
        <w:t xml:space="preserve"> </w:t>
      </w:r>
      <w:r w:rsidRPr="009B38D6">
        <w:rPr>
          <w:rFonts w:ascii="Bookman Old Style" w:hAnsi="Bookman Old Style"/>
          <w:sz w:val="24"/>
          <w:szCs w:val="24"/>
        </w:rPr>
        <w:t>Peraturan</w:t>
      </w:r>
      <w:r w:rsidR="00A954D0">
        <w:rPr>
          <w:rFonts w:ascii="Bookman Old Style" w:hAnsi="Bookman Old Style"/>
          <w:sz w:val="24"/>
          <w:szCs w:val="24"/>
        </w:rPr>
        <w:t xml:space="preserve"> </w:t>
      </w:r>
      <w:r w:rsidRPr="009B38D6">
        <w:rPr>
          <w:rFonts w:ascii="Bookman Old Style" w:hAnsi="Bookman Old Style"/>
          <w:sz w:val="24"/>
          <w:szCs w:val="24"/>
        </w:rPr>
        <w:t>Daerah</w:t>
      </w:r>
      <w:r w:rsidR="00A954D0">
        <w:rPr>
          <w:rFonts w:ascii="Bookman Old Style" w:hAnsi="Bookman Old Style"/>
          <w:sz w:val="24"/>
          <w:szCs w:val="24"/>
        </w:rPr>
        <w:t xml:space="preserve"> </w:t>
      </w:r>
      <w:r w:rsidRPr="009B38D6">
        <w:rPr>
          <w:rFonts w:ascii="Bookman Old Style" w:hAnsi="Bookman Old Style"/>
          <w:sz w:val="24"/>
          <w:szCs w:val="24"/>
        </w:rPr>
        <w:t>Kota</w:t>
      </w:r>
      <w:r w:rsidR="00A954D0">
        <w:rPr>
          <w:rFonts w:ascii="Bookman Old Style" w:hAnsi="Bookman Old Style"/>
          <w:sz w:val="24"/>
          <w:szCs w:val="24"/>
        </w:rPr>
        <w:t xml:space="preserve"> </w:t>
      </w:r>
      <w:r w:rsidRPr="009B38D6">
        <w:rPr>
          <w:rFonts w:ascii="Bookman Old Style" w:hAnsi="Bookman Old Style"/>
          <w:sz w:val="24"/>
          <w:szCs w:val="24"/>
        </w:rPr>
        <w:t>Tangerang</w:t>
      </w:r>
      <w:r w:rsidR="00A954D0">
        <w:rPr>
          <w:rFonts w:ascii="Bookman Old Style" w:hAnsi="Bookman Old Style"/>
          <w:sz w:val="24"/>
          <w:szCs w:val="24"/>
        </w:rPr>
        <w:t xml:space="preserve"> </w:t>
      </w:r>
      <w:r w:rsidRPr="009B38D6">
        <w:rPr>
          <w:rFonts w:ascii="Bookman Old Style" w:hAnsi="Bookman Old Style"/>
          <w:sz w:val="24"/>
          <w:szCs w:val="24"/>
        </w:rPr>
        <w:t>tentang</w:t>
      </w:r>
      <w:r w:rsidR="00A954D0">
        <w:rPr>
          <w:rFonts w:ascii="Bookman Old Style" w:hAnsi="Bookman Old Style"/>
          <w:sz w:val="24"/>
          <w:szCs w:val="24"/>
        </w:rPr>
        <w:t xml:space="preserve"> </w:t>
      </w:r>
      <w:r w:rsidRPr="009B38D6">
        <w:rPr>
          <w:rFonts w:ascii="Bookman Old Style" w:hAnsi="Bookman Old Style"/>
          <w:sz w:val="24"/>
          <w:szCs w:val="24"/>
        </w:rPr>
        <w:t>APBD</w:t>
      </w:r>
      <w:r w:rsidR="00A954D0">
        <w:rPr>
          <w:rFonts w:ascii="Bookman Old Style" w:hAnsi="Bookman Old Style"/>
          <w:sz w:val="24"/>
          <w:szCs w:val="24"/>
        </w:rPr>
        <w:t xml:space="preserve"> </w:t>
      </w:r>
      <w:r w:rsidRPr="009B38D6">
        <w:rPr>
          <w:rFonts w:ascii="Bookman Old Style" w:hAnsi="Bookman Old Style"/>
          <w:sz w:val="24"/>
          <w:szCs w:val="24"/>
        </w:rPr>
        <w:t>Tahun</w:t>
      </w:r>
      <w:r w:rsidR="00A954D0">
        <w:rPr>
          <w:rFonts w:ascii="Bookman Old Style" w:hAnsi="Bookman Old Style"/>
          <w:sz w:val="24"/>
          <w:szCs w:val="24"/>
        </w:rPr>
        <w:t xml:space="preserve"> </w:t>
      </w:r>
      <w:r w:rsidRPr="009B38D6">
        <w:rPr>
          <w:rFonts w:ascii="Bookman Old Style" w:hAnsi="Bookman Old Style"/>
          <w:sz w:val="24"/>
          <w:szCs w:val="24"/>
        </w:rPr>
        <w:t>Anggaran</w:t>
      </w:r>
      <w:r w:rsidR="00A954D0">
        <w:rPr>
          <w:rFonts w:ascii="Bookman Old Style" w:hAnsi="Bookman Old Style"/>
          <w:sz w:val="24"/>
          <w:szCs w:val="24"/>
        </w:rPr>
        <w:t xml:space="preserve"> </w:t>
      </w:r>
      <w:r w:rsidRPr="009B38D6">
        <w:rPr>
          <w:rFonts w:ascii="Bookman Old Style" w:hAnsi="Bookman Old Style"/>
          <w:sz w:val="24"/>
          <w:szCs w:val="24"/>
        </w:rPr>
        <w:t>2025,</w:t>
      </w:r>
      <w:r w:rsidR="00A954D0">
        <w:rPr>
          <w:rFonts w:ascii="Bookman Old Style" w:hAnsi="Bookman Old Style"/>
          <w:sz w:val="24"/>
          <w:szCs w:val="24"/>
        </w:rPr>
        <w:t xml:space="preserve"> </w:t>
      </w:r>
      <w:r w:rsidRPr="009B38D6">
        <w:rPr>
          <w:rFonts w:ascii="Bookman Old Style" w:hAnsi="Bookman Old Style"/>
          <w:sz w:val="24"/>
          <w:szCs w:val="24"/>
        </w:rPr>
        <w:t>yang</w:t>
      </w:r>
      <w:r w:rsidR="00A954D0">
        <w:rPr>
          <w:rFonts w:ascii="Bookman Old Style" w:hAnsi="Bookman Old Style"/>
          <w:sz w:val="24"/>
          <w:szCs w:val="24"/>
        </w:rPr>
        <w:t xml:space="preserve"> </w:t>
      </w:r>
      <w:r w:rsidRPr="009B38D6">
        <w:rPr>
          <w:rFonts w:ascii="Bookman Old Style" w:hAnsi="Bookman Old Style"/>
          <w:sz w:val="24"/>
          <w:szCs w:val="24"/>
        </w:rPr>
        <w:t>seluruhnya</w:t>
      </w:r>
      <w:r w:rsidR="00A954D0">
        <w:rPr>
          <w:rFonts w:ascii="Bookman Old Style" w:hAnsi="Bookman Old Style"/>
          <w:sz w:val="24"/>
          <w:szCs w:val="24"/>
        </w:rPr>
        <w:t xml:space="preserve"> </w:t>
      </w:r>
      <w:r w:rsidRPr="009B38D6">
        <w:rPr>
          <w:rFonts w:ascii="Bookman Old Style" w:hAnsi="Bookman Old Style"/>
          <w:sz w:val="24"/>
          <w:szCs w:val="24"/>
        </w:rPr>
        <w:t>diuraikan</w:t>
      </w:r>
      <w:r w:rsidR="00A954D0">
        <w:rPr>
          <w:rFonts w:ascii="Bookman Old Style" w:hAnsi="Bookman Old Style"/>
          <w:sz w:val="24"/>
          <w:szCs w:val="24"/>
        </w:rPr>
        <w:t xml:space="preserve"> </w:t>
      </w:r>
      <w:r w:rsidRPr="009B38D6">
        <w:rPr>
          <w:rFonts w:ascii="Bookman Old Style" w:hAnsi="Bookman Old Style"/>
          <w:sz w:val="24"/>
          <w:szCs w:val="24"/>
        </w:rPr>
        <w:t>ke</w:t>
      </w:r>
      <w:r w:rsidR="00A954D0">
        <w:rPr>
          <w:rFonts w:ascii="Bookman Old Style" w:hAnsi="Bookman Old Style"/>
          <w:sz w:val="24"/>
          <w:szCs w:val="24"/>
        </w:rPr>
        <w:t xml:space="preserve"> </w:t>
      </w:r>
      <w:r w:rsidRPr="009B38D6">
        <w:rPr>
          <w:rFonts w:ascii="Bookman Old Style" w:hAnsi="Bookman Old Style"/>
          <w:sz w:val="24"/>
          <w:szCs w:val="24"/>
        </w:rPr>
        <w:t>dalam</w:t>
      </w:r>
      <w:r w:rsidR="00A954D0">
        <w:rPr>
          <w:rFonts w:ascii="Bookman Old Style" w:hAnsi="Bookman Old Style"/>
          <w:sz w:val="24"/>
          <w:szCs w:val="24"/>
        </w:rPr>
        <w:t xml:space="preserve"> </w:t>
      </w:r>
      <w:r w:rsidRPr="009B38D6">
        <w:rPr>
          <w:rFonts w:ascii="Bookman Old Style" w:hAnsi="Bookman Old Style"/>
          <w:sz w:val="24"/>
          <w:szCs w:val="24"/>
        </w:rPr>
        <w:t>rincian</w:t>
      </w:r>
      <w:r w:rsidR="00A954D0">
        <w:rPr>
          <w:rFonts w:ascii="Bookman Old Style" w:hAnsi="Bookman Old Style"/>
          <w:sz w:val="24"/>
          <w:szCs w:val="24"/>
        </w:rPr>
        <w:t xml:space="preserve"> </w:t>
      </w:r>
      <w:r w:rsidRPr="009B38D6">
        <w:rPr>
          <w:rFonts w:ascii="Bookman Old Style" w:hAnsi="Bookman Old Style"/>
          <w:sz w:val="24"/>
          <w:szCs w:val="24"/>
        </w:rPr>
        <w:t>objek</w:t>
      </w:r>
      <w:r w:rsidR="00A954D0">
        <w:rPr>
          <w:rFonts w:ascii="Bookman Old Style" w:hAnsi="Bookman Old Style"/>
          <w:sz w:val="24"/>
          <w:szCs w:val="24"/>
        </w:rPr>
        <w:t xml:space="preserve"> </w:t>
      </w:r>
      <w:r w:rsidRPr="009B38D6">
        <w:rPr>
          <w:rFonts w:ascii="Bookman Old Style" w:hAnsi="Bookman Old Style"/>
          <w:sz w:val="24"/>
          <w:szCs w:val="24"/>
        </w:rPr>
        <w:t>Belanja</w:t>
      </w:r>
      <w:r w:rsidR="00A954D0">
        <w:rPr>
          <w:rFonts w:ascii="Bookman Old Style" w:hAnsi="Bookman Old Style"/>
          <w:sz w:val="24"/>
          <w:szCs w:val="24"/>
        </w:rPr>
        <w:t xml:space="preserve"> </w:t>
      </w:r>
      <w:r w:rsidRPr="009B38D6">
        <w:rPr>
          <w:rFonts w:ascii="Bookman Old Style" w:hAnsi="Bookman Old Style"/>
          <w:sz w:val="24"/>
          <w:szCs w:val="24"/>
        </w:rPr>
        <w:t>Modal</w:t>
      </w:r>
      <w:r w:rsidR="00A954D0">
        <w:rPr>
          <w:rFonts w:ascii="Bookman Old Style" w:hAnsi="Bookman Old Style"/>
          <w:sz w:val="24"/>
          <w:szCs w:val="24"/>
        </w:rPr>
        <w:t xml:space="preserve"> </w:t>
      </w:r>
      <w:r w:rsidRPr="009B38D6">
        <w:rPr>
          <w:rFonts w:ascii="Bookman Old Style" w:hAnsi="Bookman Old Style"/>
          <w:sz w:val="24"/>
          <w:szCs w:val="24"/>
        </w:rPr>
        <w:t>Peralatan</w:t>
      </w:r>
      <w:r w:rsidR="00A954D0">
        <w:rPr>
          <w:rFonts w:ascii="Bookman Old Style" w:hAnsi="Bookman Old Style"/>
          <w:sz w:val="24"/>
          <w:szCs w:val="24"/>
        </w:rPr>
        <w:t xml:space="preserve"> </w:t>
      </w:r>
      <w:r w:rsidRPr="009B38D6">
        <w:rPr>
          <w:rFonts w:ascii="Bookman Old Style" w:hAnsi="Bookman Old Style"/>
          <w:sz w:val="24"/>
          <w:szCs w:val="24"/>
        </w:rPr>
        <w:t>dan</w:t>
      </w:r>
      <w:r w:rsidR="00A954D0">
        <w:rPr>
          <w:rFonts w:ascii="Bookman Old Style" w:hAnsi="Bookman Old Style"/>
          <w:sz w:val="24"/>
          <w:szCs w:val="24"/>
        </w:rPr>
        <w:t xml:space="preserve"> </w:t>
      </w:r>
      <w:r w:rsidRPr="009B38D6">
        <w:rPr>
          <w:rFonts w:ascii="Bookman Old Style" w:hAnsi="Bookman Old Style"/>
          <w:sz w:val="24"/>
          <w:szCs w:val="24"/>
        </w:rPr>
        <w:t>Mesin</w:t>
      </w:r>
      <w:r w:rsidR="00A954D0">
        <w:rPr>
          <w:rFonts w:ascii="Bookman Old Style" w:hAnsi="Bookman Old Style"/>
          <w:sz w:val="24"/>
          <w:szCs w:val="24"/>
        </w:rPr>
        <w:t xml:space="preserve"> </w:t>
      </w:r>
      <w:r w:rsidRPr="009B38D6">
        <w:rPr>
          <w:rFonts w:ascii="Bookman Old Style" w:hAnsi="Bookman Old Style"/>
          <w:sz w:val="24"/>
          <w:szCs w:val="24"/>
        </w:rPr>
        <w:t>BOSP-BOS</w:t>
      </w:r>
      <w:r w:rsidR="00154790">
        <w:rPr>
          <w:rFonts w:ascii="Bookman Old Style" w:hAnsi="Bookman Old Style"/>
          <w:sz w:val="24"/>
          <w:szCs w:val="24"/>
          <w:lang w:val="en-US"/>
        </w:rPr>
        <w:t>.</w:t>
      </w:r>
    </w:p>
    <w:p w14:paraId="68C44DF5" w14:textId="79C6BA73" w:rsidR="00515C3A" w:rsidRPr="009678EE" w:rsidRDefault="00515C3A" w:rsidP="00154790">
      <w:pPr>
        <w:numPr>
          <w:ilvl w:val="0"/>
          <w:numId w:val="27"/>
        </w:numPr>
        <w:spacing w:before="60" w:line="276" w:lineRule="auto"/>
        <w:ind w:left="1701" w:hanging="425"/>
        <w:jc w:val="both"/>
        <w:rPr>
          <w:rFonts w:ascii="Bookman Old Style" w:hAnsi="Bookman Old Style"/>
          <w:lang w:val="x-none" w:eastAsia="x-none"/>
        </w:rPr>
      </w:pPr>
      <w:r w:rsidRPr="009678EE">
        <w:rPr>
          <w:rFonts w:ascii="Bookman Old Style" w:hAnsi="Bookman Old Style"/>
          <w:lang w:val="x-none" w:eastAsia="x-none"/>
        </w:rPr>
        <w:t>Belanja</w:t>
      </w:r>
      <w:r w:rsidR="00A954D0">
        <w:rPr>
          <w:rFonts w:ascii="Bookman Old Style" w:hAnsi="Bookman Old Style"/>
          <w:lang w:val="x-none" w:eastAsia="x-none"/>
        </w:rPr>
        <w:t xml:space="preserve"> </w:t>
      </w:r>
      <w:r w:rsidRPr="009678EE">
        <w:rPr>
          <w:rFonts w:ascii="Bookman Old Style" w:hAnsi="Bookman Old Style"/>
          <w:lang w:val="x-none" w:eastAsia="x-none"/>
        </w:rPr>
        <w:t>Modal</w:t>
      </w:r>
      <w:r w:rsidR="00A954D0">
        <w:rPr>
          <w:rFonts w:ascii="Bookman Old Style" w:hAnsi="Bookman Old Style"/>
          <w:lang w:val="x-none" w:eastAsia="x-none"/>
        </w:rPr>
        <w:t xml:space="preserve"> </w:t>
      </w:r>
      <w:r w:rsidRPr="009678EE">
        <w:rPr>
          <w:rFonts w:ascii="Bookman Old Style" w:hAnsi="Bookman Old Style"/>
          <w:lang w:val="x-none" w:eastAsia="x-none"/>
        </w:rPr>
        <w:t>Gedung</w:t>
      </w:r>
      <w:r w:rsidR="00A954D0">
        <w:rPr>
          <w:rFonts w:ascii="Bookman Old Style" w:hAnsi="Bookman Old Style"/>
          <w:lang w:val="x-none" w:eastAsia="x-none"/>
        </w:rPr>
        <w:t xml:space="preserve"> </w:t>
      </w:r>
      <w:r w:rsidRPr="009678EE">
        <w:rPr>
          <w:rFonts w:ascii="Bookman Old Style" w:hAnsi="Bookman Old Style"/>
          <w:lang w:val="x-none" w:eastAsia="x-none"/>
        </w:rPr>
        <w:t>dan</w:t>
      </w:r>
      <w:r w:rsidR="00A954D0">
        <w:rPr>
          <w:rFonts w:ascii="Bookman Old Style" w:hAnsi="Bookman Old Style"/>
          <w:lang w:val="x-none" w:eastAsia="x-none"/>
        </w:rPr>
        <w:t xml:space="preserve"> </w:t>
      </w:r>
      <w:r w:rsidRPr="009678EE">
        <w:rPr>
          <w:rFonts w:ascii="Bookman Old Style" w:hAnsi="Bookman Old Style"/>
          <w:lang w:val="x-none" w:eastAsia="x-none"/>
        </w:rPr>
        <w:t>Bangunan</w:t>
      </w:r>
      <w:r w:rsidR="00A954D0">
        <w:rPr>
          <w:rFonts w:ascii="Bookman Old Style" w:hAnsi="Bookman Old Style"/>
          <w:lang w:val="x-none" w:eastAsia="x-none"/>
        </w:rPr>
        <w:t xml:space="preserve"> </w:t>
      </w:r>
      <w:r w:rsidRPr="009678EE">
        <w:rPr>
          <w:rFonts w:ascii="Bookman Old Style" w:hAnsi="Bookman Old Style"/>
          <w:lang w:val="x-none" w:eastAsia="x-none"/>
        </w:rPr>
        <w:t>Rp160.264.227.275,00</w:t>
      </w:r>
      <w:r w:rsidR="00A954D0">
        <w:rPr>
          <w:rFonts w:ascii="Bookman Old Style" w:hAnsi="Bookman Old Style"/>
          <w:lang w:val="x-none" w:eastAsia="x-none"/>
        </w:rPr>
        <w:t xml:space="preserve"> </w:t>
      </w:r>
      <w:r w:rsidRPr="009678EE">
        <w:rPr>
          <w:rFonts w:ascii="Bookman Old Style" w:hAnsi="Bookman Old Style"/>
          <w:lang w:val="x-none" w:eastAsia="x-none"/>
        </w:rPr>
        <w:t>atau</w:t>
      </w:r>
      <w:r w:rsidR="00A954D0">
        <w:rPr>
          <w:rFonts w:ascii="Bookman Old Style" w:hAnsi="Bookman Old Style" w:cs="Arial"/>
          <w:lang w:val="id-ID"/>
        </w:rPr>
        <w:t xml:space="preserve"> </w:t>
      </w:r>
      <w:r w:rsidRPr="009678EE">
        <w:rPr>
          <w:rFonts w:ascii="Bookman Old Style" w:hAnsi="Bookman Old Style" w:cs="Arial"/>
          <w:lang w:val="id-ID"/>
        </w:rPr>
        <w:t>2,81%</w:t>
      </w:r>
      <w:r w:rsidR="00A954D0">
        <w:rPr>
          <w:rFonts w:ascii="Bookman Old Style" w:hAnsi="Bookman Old Style" w:cs="Arial"/>
          <w:lang w:val="id-ID"/>
        </w:rPr>
        <w:t xml:space="preserve"> </w:t>
      </w:r>
      <w:r w:rsidRPr="009678EE">
        <w:rPr>
          <w:rFonts w:ascii="Bookman Old Style" w:hAnsi="Bookman Old Style"/>
          <w:lang w:val="x-none" w:eastAsia="x-none"/>
        </w:rPr>
        <w:t>dari</w:t>
      </w:r>
      <w:r w:rsidR="00A954D0">
        <w:rPr>
          <w:rFonts w:ascii="Bookman Old Style" w:hAnsi="Bookman Old Style"/>
          <w:lang w:val="x-none" w:eastAsia="x-none"/>
        </w:rPr>
        <w:t xml:space="preserve"> </w:t>
      </w:r>
      <w:r w:rsidRPr="009678EE">
        <w:rPr>
          <w:rFonts w:ascii="Bookman Old Style" w:hAnsi="Bookman Old Style"/>
          <w:lang w:val="x-none" w:eastAsia="x-none"/>
        </w:rPr>
        <w:t>total</w:t>
      </w:r>
      <w:r w:rsidR="00A954D0">
        <w:rPr>
          <w:rFonts w:ascii="Bookman Old Style" w:hAnsi="Bookman Old Style"/>
          <w:lang w:val="x-none" w:eastAsia="x-none"/>
        </w:rPr>
        <w:t xml:space="preserve"> </w:t>
      </w:r>
      <w:r w:rsidRPr="009678EE">
        <w:rPr>
          <w:rFonts w:ascii="Bookman Old Style" w:hAnsi="Bookman Old Style"/>
          <w:lang w:val="x-none" w:eastAsia="x-none"/>
        </w:rPr>
        <w:t>belanja</w:t>
      </w:r>
      <w:r w:rsidR="00A954D0">
        <w:rPr>
          <w:rFonts w:ascii="Bookman Old Style" w:hAnsi="Bookman Old Style"/>
          <w:lang w:val="x-none" w:eastAsia="x-none"/>
        </w:rPr>
        <w:t xml:space="preserve"> </w:t>
      </w:r>
      <w:r w:rsidRPr="009678EE">
        <w:rPr>
          <w:rFonts w:ascii="Bookman Old Style" w:hAnsi="Bookman Old Style"/>
          <w:lang w:val="x-none" w:eastAsia="x-none"/>
        </w:rPr>
        <w:t>daerah</w:t>
      </w:r>
      <w:r w:rsidR="00A954D0">
        <w:rPr>
          <w:rFonts w:ascii="Bookman Old Style" w:hAnsi="Bookman Old Style"/>
          <w:lang w:val="x-none" w:eastAsia="x-none"/>
        </w:rPr>
        <w:t xml:space="preserve"> </w:t>
      </w:r>
      <w:r w:rsidRPr="009678EE">
        <w:rPr>
          <w:rFonts w:ascii="Bookman Old Style" w:hAnsi="Bookman Old Style"/>
          <w:lang w:val="x-none" w:eastAsia="x-none"/>
        </w:rPr>
        <w:t>dalam</w:t>
      </w:r>
      <w:r w:rsidR="00A954D0">
        <w:rPr>
          <w:rFonts w:ascii="Bookman Old Style" w:hAnsi="Bookman Old Style"/>
          <w:lang w:val="x-none" w:eastAsia="x-none"/>
        </w:rPr>
        <w:t xml:space="preserve"> </w:t>
      </w:r>
      <w:r w:rsidRPr="009678EE">
        <w:rPr>
          <w:rFonts w:ascii="Bookman Old Style" w:hAnsi="Bookman Old Style"/>
          <w:lang w:val="x-none" w:eastAsia="x-none"/>
        </w:rPr>
        <w:t>Rancangan</w:t>
      </w:r>
      <w:r w:rsidR="00A954D0">
        <w:rPr>
          <w:rFonts w:ascii="Bookman Old Style" w:hAnsi="Bookman Old Style"/>
          <w:lang w:val="x-none" w:eastAsia="x-none"/>
        </w:rPr>
        <w:t xml:space="preserve"> </w:t>
      </w:r>
      <w:r w:rsidRPr="009678EE">
        <w:rPr>
          <w:rFonts w:ascii="Bookman Old Style" w:hAnsi="Bookman Old Style"/>
          <w:lang w:val="x-none" w:eastAsia="x-none"/>
        </w:rPr>
        <w:t>Peraturan</w:t>
      </w:r>
      <w:r w:rsidR="00A954D0">
        <w:rPr>
          <w:rFonts w:ascii="Bookman Old Style" w:hAnsi="Bookman Old Style"/>
          <w:lang w:val="x-none" w:eastAsia="x-none"/>
        </w:rPr>
        <w:t xml:space="preserve"> </w:t>
      </w:r>
      <w:r w:rsidRPr="009678EE">
        <w:rPr>
          <w:rFonts w:ascii="Bookman Old Style" w:hAnsi="Bookman Old Style"/>
          <w:lang w:val="x-none" w:eastAsia="x-none"/>
        </w:rPr>
        <w:t>Daerah</w:t>
      </w:r>
      <w:r w:rsidR="00A954D0">
        <w:rPr>
          <w:rFonts w:ascii="Bookman Old Style" w:hAnsi="Bookman Old Style"/>
          <w:lang w:val="x-none" w:eastAsia="x-none"/>
        </w:rPr>
        <w:t xml:space="preserve"> </w:t>
      </w:r>
      <w:r w:rsidRPr="009678EE">
        <w:rPr>
          <w:rFonts w:ascii="Bookman Old Style" w:hAnsi="Bookman Old Style"/>
          <w:lang w:val="x-none" w:eastAsia="x-none"/>
        </w:rPr>
        <w:t>Kota</w:t>
      </w:r>
      <w:r w:rsidR="00A954D0">
        <w:rPr>
          <w:rFonts w:ascii="Bookman Old Style" w:hAnsi="Bookman Old Style"/>
          <w:lang w:val="x-none" w:eastAsia="x-none"/>
        </w:rPr>
        <w:t xml:space="preserve"> </w:t>
      </w:r>
      <w:r w:rsidRPr="009678EE">
        <w:rPr>
          <w:rFonts w:ascii="Bookman Old Style" w:hAnsi="Bookman Old Style"/>
          <w:lang w:val="x-none" w:eastAsia="x-none"/>
        </w:rPr>
        <w:t>Tangerang</w:t>
      </w:r>
      <w:r w:rsidR="00A954D0">
        <w:rPr>
          <w:rFonts w:ascii="Bookman Old Style" w:hAnsi="Bookman Old Style"/>
          <w:lang w:val="x-none" w:eastAsia="x-none"/>
        </w:rPr>
        <w:t xml:space="preserve"> </w:t>
      </w:r>
      <w:r w:rsidRPr="009678EE">
        <w:rPr>
          <w:rFonts w:ascii="Bookman Old Style" w:hAnsi="Bookman Old Style"/>
          <w:lang w:val="x-none" w:eastAsia="x-none"/>
        </w:rPr>
        <w:t>tentang</w:t>
      </w:r>
      <w:r w:rsidR="00A954D0">
        <w:rPr>
          <w:rFonts w:ascii="Bookman Old Style" w:hAnsi="Bookman Old Style"/>
          <w:lang w:val="x-none" w:eastAsia="x-none"/>
        </w:rPr>
        <w:t xml:space="preserve"> </w:t>
      </w:r>
      <w:r w:rsidRPr="009678EE">
        <w:rPr>
          <w:rFonts w:ascii="Bookman Old Style" w:hAnsi="Bookman Old Style"/>
          <w:lang w:val="x-none" w:eastAsia="x-none"/>
        </w:rPr>
        <w:t>APBD</w:t>
      </w:r>
      <w:r w:rsidR="00A954D0">
        <w:rPr>
          <w:rFonts w:ascii="Bookman Old Style" w:hAnsi="Bookman Old Style"/>
          <w:lang w:val="x-none" w:eastAsia="x-none"/>
        </w:rPr>
        <w:t xml:space="preserve"> </w:t>
      </w:r>
      <w:r w:rsidRPr="009678EE">
        <w:rPr>
          <w:rFonts w:ascii="Bookman Old Style" w:hAnsi="Bookman Old Style"/>
          <w:lang w:val="x-none" w:eastAsia="x-none"/>
        </w:rPr>
        <w:t>Tahun</w:t>
      </w:r>
      <w:r w:rsidR="00A954D0">
        <w:rPr>
          <w:rFonts w:ascii="Bookman Old Style" w:hAnsi="Bookman Old Style"/>
          <w:lang w:val="x-none" w:eastAsia="x-none"/>
        </w:rPr>
        <w:t xml:space="preserve"> </w:t>
      </w:r>
      <w:r w:rsidRPr="009678EE">
        <w:rPr>
          <w:rFonts w:ascii="Bookman Old Style" w:hAnsi="Bookman Old Style"/>
          <w:lang w:val="x-none" w:eastAsia="x-none"/>
        </w:rPr>
        <w:t>Anggaran</w:t>
      </w:r>
      <w:r w:rsidR="00A954D0">
        <w:rPr>
          <w:rFonts w:ascii="Bookman Old Style" w:hAnsi="Bookman Old Style"/>
          <w:lang w:val="x-none" w:eastAsia="x-none"/>
        </w:rPr>
        <w:t xml:space="preserve"> </w:t>
      </w:r>
      <w:r w:rsidRPr="009678EE">
        <w:rPr>
          <w:rFonts w:ascii="Bookman Old Style" w:hAnsi="Bookman Old Style"/>
          <w:lang w:val="x-none" w:eastAsia="x-none"/>
        </w:rPr>
        <w:t>2025,</w:t>
      </w:r>
      <w:r w:rsidR="00A954D0">
        <w:rPr>
          <w:rFonts w:ascii="Bookman Old Style" w:hAnsi="Bookman Old Style"/>
          <w:lang w:val="x-none" w:eastAsia="x-none"/>
        </w:rPr>
        <w:t xml:space="preserve"> </w:t>
      </w:r>
      <w:r w:rsidRPr="009678EE">
        <w:rPr>
          <w:rFonts w:ascii="Bookman Old Style" w:hAnsi="Bookman Old Style"/>
          <w:lang w:val="x-none" w:eastAsia="x-none"/>
        </w:rPr>
        <w:t>yang</w:t>
      </w:r>
      <w:r w:rsidR="00A954D0">
        <w:rPr>
          <w:rFonts w:ascii="Bookman Old Style" w:hAnsi="Bookman Old Style"/>
          <w:lang w:val="id-ID" w:eastAsia="x-none"/>
        </w:rPr>
        <w:t xml:space="preserve"> </w:t>
      </w:r>
      <w:r w:rsidRPr="009678EE">
        <w:rPr>
          <w:rFonts w:ascii="Bookman Old Style" w:hAnsi="Bookman Old Style"/>
          <w:lang w:val="x-none" w:eastAsia="x-none"/>
        </w:rPr>
        <w:t>diuraikan</w:t>
      </w:r>
      <w:r w:rsidR="00A954D0">
        <w:rPr>
          <w:rFonts w:ascii="Bookman Old Style" w:hAnsi="Bookman Old Style"/>
          <w:lang w:val="x-none" w:eastAsia="x-none"/>
        </w:rPr>
        <w:t xml:space="preserve"> </w:t>
      </w:r>
      <w:r w:rsidRPr="009678EE">
        <w:rPr>
          <w:rFonts w:ascii="Bookman Old Style" w:hAnsi="Bookman Old Style"/>
          <w:lang w:val="x-none" w:eastAsia="x-none"/>
        </w:rPr>
        <w:t>ke</w:t>
      </w:r>
      <w:r w:rsidR="00A954D0">
        <w:rPr>
          <w:rFonts w:ascii="Bookman Old Style" w:hAnsi="Bookman Old Style"/>
          <w:lang w:val="x-none" w:eastAsia="x-none"/>
        </w:rPr>
        <w:t xml:space="preserve"> </w:t>
      </w:r>
      <w:r w:rsidRPr="009678EE">
        <w:rPr>
          <w:rFonts w:ascii="Bookman Old Style" w:hAnsi="Bookman Old Style"/>
          <w:lang w:val="x-none" w:eastAsia="x-none"/>
        </w:rPr>
        <w:t>dalam</w:t>
      </w:r>
      <w:r w:rsidR="00A954D0">
        <w:rPr>
          <w:rFonts w:ascii="Bookman Old Style" w:hAnsi="Bookman Old Style"/>
          <w:lang w:val="x-none" w:eastAsia="x-none"/>
        </w:rPr>
        <w:t xml:space="preserve"> </w:t>
      </w:r>
      <w:r w:rsidRPr="009678EE">
        <w:rPr>
          <w:rFonts w:ascii="Bookman Old Style" w:hAnsi="Bookman Old Style"/>
          <w:lang w:val="x-none" w:eastAsia="x-none"/>
        </w:rPr>
        <w:t>objek</w:t>
      </w:r>
      <w:r w:rsidR="00A954D0">
        <w:rPr>
          <w:rFonts w:ascii="Bookman Old Style" w:hAnsi="Bookman Old Style"/>
          <w:lang w:val="id-ID" w:eastAsia="x-none"/>
        </w:rPr>
        <w:t xml:space="preserve"> </w:t>
      </w:r>
      <w:r w:rsidRPr="009678EE">
        <w:rPr>
          <w:rFonts w:ascii="Bookman Old Style" w:hAnsi="Bookman Old Style"/>
          <w:lang w:val="id-ID" w:eastAsia="x-none"/>
        </w:rPr>
        <w:t>belanja</w:t>
      </w:r>
      <w:r w:rsidRPr="009678EE">
        <w:rPr>
          <w:rFonts w:ascii="Bookman Old Style" w:hAnsi="Bookman Old Style"/>
          <w:lang w:val="x-none" w:eastAsia="x-none"/>
        </w:rPr>
        <w:t>:</w:t>
      </w:r>
    </w:p>
    <w:p w14:paraId="4DEF9E73" w14:textId="49096452" w:rsidR="00515C3A" w:rsidRPr="009678EE" w:rsidRDefault="00515C3A" w:rsidP="00154790">
      <w:pPr>
        <w:pStyle w:val="ListParagraph"/>
        <w:numPr>
          <w:ilvl w:val="0"/>
          <w:numId w:val="140"/>
        </w:numPr>
        <w:spacing w:before="60" w:after="0" w:line="276" w:lineRule="auto"/>
        <w:ind w:left="2268" w:hanging="567"/>
        <w:contextualSpacing w:val="0"/>
        <w:jc w:val="both"/>
        <w:rPr>
          <w:rFonts w:ascii="Bookman Old Style" w:hAnsi="Bookman Old Style"/>
          <w:sz w:val="24"/>
          <w:szCs w:val="24"/>
        </w:rPr>
      </w:pPr>
      <w:r w:rsidRPr="009678EE">
        <w:rPr>
          <w:rFonts w:ascii="Bookman Old Style" w:hAnsi="Bookman Old Style"/>
          <w:sz w:val="24"/>
          <w:szCs w:val="24"/>
        </w:rPr>
        <w:t>Belanja</w:t>
      </w:r>
      <w:r w:rsidR="00A954D0">
        <w:rPr>
          <w:rFonts w:ascii="Bookman Old Style" w:hAnsi="Bookman Old Style"/>
          <w:sz w:val="24"/>
          <w:szCs w:val="24"/>
        </w:rPr>
        <w:t xml:space="preserve"> </w:t>
      </w:r>
      <w:r w:rsidRPr="009678EE">
        <w:rPr>
          <w:rFonts w:ascii="Bookman Old Style" w:hAnsi="Bookman Old Style"/>
          <w:sz w:val="24"/>
          <w:szCs w:val="24"/>
        </w:rPr>
        <w:t>Modal</w:t>
      </w:r>
      <w:r w:rsidR="00A954D0">
        <w:rPr>
          <w:rFonts w:ascii="Bookman Old Style" w:hAnsi="Bookman Old Style"/>
          <w:sz w:val="24"/>
          <w:szCs w:val="24"/>
        </w:rPr>
        <w:t xml:space="preserve"> </w:t>
      </w:r>
      <w:r w:rsidRPr="009678EE">
        <w:rPr>
          <w:rFonts w:ascii="Bookman Old Style" w:hAnsi="Bookman Old Style"/>
          <w:sz w:val="24"/>
          <w:szCs w:val="24"/>
        </w:rPr>
        <w:t>Bangunan</w:t>
      </w:r>
      <w:r w:rsidR="00A954D0">
        <w:rPr>
          <w:rFonts w:ascii="Bookman Old Style" w:hAnsi="Bookman Old Style"/>
          <w:sz w:val="24"/>
          <w:szCs w:val="24"/>
        </w:rPr>
        <w:t xml:space="preserve"> </w:t>
      </w:r>
      <w:r w:rsidRPr="009678EE">
        <w:rPr>
          <w:rFonts w:ascii="Bookman Old Style" w:hAnsi="Bookman Old Style"/>
          <w:sz w:val="24"/>
          <w:szCs w:val="24"/>
        </w:rPr>
        <w:t>Gedung</w:t>
      </w:r>
      <w:r w:rsidR="00A954D0">
        <w:rPr>
          <w:rFonts w:ascii="Bookman Old Style" w:hAnsi="Bookman Old Style"/>
          <w:sz w:val="24"/>
          <w:szCs w:val="24"/>
        </w:rPr>
        <w:t xml:space="preserve"> </w:t>
      </w:r>
      <w:r w:rsidRPr="009678EE">
        <w:rPr>
          <w:rFonts w:ascii="Bookman Old Style" w:hAnsi="Bookman Old Style"/>
          <w:sz w:val="24"/>
          <w:szCs w:val="24"/>
        </w:rPr>
        <w:t>Rp150.788.345.675,00</w:t>
      </w:r>
      <w:r w:rsidR="00A954D0">
        <w:rPr>
          <w:rFonts w:ascii="Bookman Old Style" w:hAnsi="Bookman Old Style"/>
          <w:sz w:val="24"/>
          <w:szCs w:val="24"/>
        </w:rPr>
        <w:t xml:space="preserve"> </w:t>
      </w:r>
      <w:r w:rsidRPr="009678EE">
        <w:rPr>
          <w:rFonts w:ascii="Bookman Old Style" w:hAnsi="Bookman Old Style" w:cs="Arial"/>
          <w:sz w:val="24"/>
          <w:szCs w:val="24"/>
        </w:rPr>
        <w:t>atau</w:t>
      </w:r>
      <w:r w:rsidR="00A954D0">
        <w:rPr>
          <w:rFonts w:ascii="Bookman Old Style" w:hAnsi="Bookman Old Style" w:cs="Arial"/>
          <w:sz w:val="24"/>
          <w:szCs w:val="24"/>
        </w:rPr>
        <w:t xml:space="preserve"> </w:t>
      </w:r>
      <w:r w:rsidRPr="009678EE">
        <w:rPr>
          <w:rFonts w:ascii="Bookman Old Style" w:hAnsi="Bookman Old Style" w:cs="Arial"/>
          <w:sz w:val="24"/>
          <w:szCs w:val="24"/>
          <w:lang w:val="en-US"/>
        </w:rPr>
        <w:t>2,64%</w:t>
      </w:r>
      <w:r w:rsidR="00A954D0">
        <w:rPr>
          <w:rFonts w:ascii="Bookman Old Style" w:hAnsi="Bookman Old Style" w:cs="Arial"/>
          <w:sz w:val="24"/>
          <w:szCs w:val="24"/>
          <w:lang w:val="en-US"/>
        </w:rPr>
        <w:t xml:space="preserve"> </w:t>
      </w:r>
      <w:r w:rsidRPr="009678EE">
        <w:rPr>
          <w:rFonts w:ascii="Bookman Old Style" w:hAnsi="Bookman Old Style"/>
          <w:sz w:val="24"/>
          <w:szCs w:val="24"/>
        </w:rPr>
        <w:t>dari</w:t>
      </w:r>
      <w:r w:rsidR="00A954D0">
        <w:rPr>
          <w:rFonts w:ascii="Bookman Old Style" w:hAnsi="Bookman Old Style"/>
          <w:sz w:val="24"/>
          <w:szCs w:val="24"/>
        </w:rPr>
        <w:t xml:space="preserve"> </w:t>
      </w:r>
      <w:r w:rsidRPr="009678EE">
        <w:rPr>
          <w:rFonts w:ascii="Bookman Old Style" w:hAnsi="Bookman Old Style"/>
          <w:sz w:val="24"/>
          <w:szCs w:val="24"/>
        </w:rPr>
        <w:t>total</w:t>
      </w:r>
      <w:r w:rsidR="00A954D0">
        <w:rPr>
          <w:rFonts w:ascii="Bookman Old Style" w:hAnsi="Bookman Old Style"/>
          <w:sz w:val="24"/>
          <w:szCs w:val="24"/>
        </w:rPr>
        <w:t xml:space="preserve"> </w:t>
      </w:r>
      <w:r w:rsidRPr="009678EE">
        <w:rPr>
          <w:rFonts w:ascii="Bookman Old Style" w:hAnsi="Bookman Old Style"/>
          <w:sz w:val="24"/>
          <w:szCs w:val="24"/>
        </w:rPr>
        <w:t>belanja</w:t>
      </w:r>
      <w:r w:rsidR="00A954D0">
        <w:rPr>
          <w:rFonts w:ascii="Bookman Old Style" w:hAnsi="Bookman Old Style"/>
          <w:sz w:val="24"/>
          <w:szCs w:val="24"/>
        </w:rPr>
        <w:t xml:space="preserve"> </w:t>
      </w:r>
      <w:r w:rsidRPr="009678EE">
        <w:rPr>
          <w:rFonts w:ascii="Bookman Old Style" w:hAnsi="Bookman Old Style"/>
          <w:sz w:val="24"/>
          <w:szCs w:val="24"/>
        </w:rPr>
        <w:t>daerah</w:t>
      </w:r>
      <w:r w:rsidR="00A954D0">
        <w:rPr>
          <w:rFonts w:ascii="Bookman Old Style" w:hAnsi="Bookman Old Style"/>
          <w:sz w:val="24"/>
          <w:szCs w:val="24"/>
        </w:rPr>
        <w:t xml:space="preserve"> </w:t>
      </w:r>
      <w:r w:rsidRPr="009678EE">
        <w:rPr>
          <w:rFonts w:ascii="Bookman Old Style" w:hAnsi="Bookman Old Style"/>
          <w:sz w:val="24"/>
          <w:szCs w:val="24"/>
        </w:rPr>
        <w:t>dalam</w:t>
      </w:r>
      <w:r w:rsidR="00A954D0">
        <w:rPr>
          <w:rFonts w:ascii="Bookman Old Style" w:hAnsi="Bookman Old Style"/>
          <w:sz w:val="24"/>
          <w:szCs w:val="24"/>
        </w:rPr>
        <w:t xml:space="preserve"> </w:t>
      </w:r>
      <w:r w:rsidRPr="009678EE">
        <w:rPr>
          <w:rFonts w:ascii="Bookman Old Style" w:hAnsi="Bookman Old Style"/>
          <w:sz w:val="24"/>
          <w:szCs w:val="24"/>
        </w:rPr>
        <w:t>Rancangan</w:t>
      </w:r>
      <w:r w:rsidR="00A954D0">
        <w:rPr>
          <w:rFonts w:ascii="Bookman Old Style" w:hAnsi="Bookman Old Style"/>
          <w:sz w:val="24"/>
          <w:szCs w:val="24"/>
        </w:rPr>
        <w:t xml:space="preserve"> </w:t>
      </w:r>
      <w:r w:rsidRPr="009678EE">
        <w:rPr>
          <w:rFonts w:ascii="Bookman Old Style" w:hAnsi="Bookman Old Style"/>
          <w:sz w:val="24"/>
          <w:szCs w:val="24"/>
        </w:rPr>
        <w:t>Peraturan</w:t>
      </w:r>
      <w:r w:rsidR="00A954D0">
        <w:rPr>
          <w:rFonts w:ascii="Bookman Old Style" w:hAnsi="Bookman Old Style"/>
          <w:sz w:val="24"/>
          <w:szCs w:val="24"/>
        </w:rPr>
        <w:t xml:space="preserve"> </w:t>
      </w:r>
      <w:r w:rsidRPr="009678EE">
        <w:rPr>
          <w:rFonts w:ascii="Bookman Old Style" w:hAnsi="Bookman Old Style"/>
          <w:sz w:val="24"/>
          <w:szCs w:val="24"/>
        </w:rPr>
        <w:t>Daerah</w:t>
      </w:r>
      <w:r w:rsidR="00A954D0">
        <w:rPr>
          <w:rFonts w:ascii="Bookman Old Style" w:hAnsi="Bookman Old Style"/>
          <w:sz w:val="24"/>
          <w:szCs w:val="24"/>
        </w:rPr>
        <w:t xml:space="preserve"> </w:t>
      </w:r>
      <w:r w:rsidRPr="009678EE">
        <w:rPr>
          <w:rFonts w:ascii="Bookman Old Style" w:hAnsi="Bookman Old Style"/>
          <w:sz w:val="24"/>
          <w:szCs w:val="24"/>
        </w:rPr>
        <w:t>Kota</w:t>
      </w:r>
      <w:r w:rsidR="00A954D0">
        <w:rPr>
          <w:rFonts w:ascii="Bookman Old Style" w:hAnsi="Bookman Old Style"/>
          <w:sz w:val="24"/>
          <w:szCs w:val="24"/>
        </w:rPr>
        <w:t xml:space="preserve"> </w:t>
      </w:r>
      <w:r w:rsidRPr="009678EE">
        <w:rPr>
          <w:rFonts w:ascii="Bookman Old Style" w:hAnsi="Bookman Old Style"/>
          <w:sz w:val="24"/>
          <w:szCs w:val="24"/>
        </w:rPr>
        <w:t>Tangerang</w:t>
      </w:r>
      <w:r w:rsidR="00A954D0">
        <w:rPr>
          <w:rFonts w:ascii="Bookman Old Style" w:hAnsi="Bookman Old Style"/>
          <w:sz w:val="24"/>
          <w:szCs w:val="24"/>
        </w:rPr>
        <w:t xml:space="preserve"> </w:t>
      </w:r>
      <w:r w:rsidRPr="009678EE">
        <w:rPr>
          <w:rFonts w:ascii="Bookman Old Style" w:hAnsi="Bookman Old Style"/>
          <w:sz w:val="24"/>
          <w:szCs w:val="24"/>
        </w:rPr>
        <w:t>tentang</w:t>
      </w:r>
      <w:r w:rsidR="00A954D0">
        <w:rPr>
          <w:rFonts w:ascii="Bookman Old Style" w:hAnsi="Bookman Old Style"/>
          <w:sz w:val="24"/>
          <w:szCs w:val="24"/>
        </w:rPr>
        <w:t xml:space="preserve"> </w:t>
      </w:r>
      <w:r w:rsidRPr="009678EE">
        <w:rPr>
          <w:rFonts w:ascii="Bookman Old Style" w:hAnsi="Bookman Old Style"/>
          <w:sz w:val="24"/>
          <w:szCs w:val="24"/>
        </w:rPr>
        <w:t>APBD</w:t>
      </w:r>
      <w:r w:rsidR="00A954D0">
        <w:rPr>
          <w:rFonts w:ascii="Bookman Old Style" w:hAnsi="Bookman Old Style"/>
          <w:sz w:val="24"/>
          <w:szCs w:val="24"/>
        </w:rPr>
        <w:t xml:space="preserve"> </w:t>
      </w:r>
      <w:r w:rsidRPr="009678EE">
        <w:rPr>
          <w:rFonts w:ascii="Bookman Old Style" w:hAnsi="Bookman Old Style"/>
          <w:sz w:val="24"/>
          <w:szCs w:val="24"/>
        </w:rPr>
        <w:t>Tahun</w:t>
      </w:r>
      <w:r w:rsidR="00A954D0">
        <w:rPr>
          <w:rFonts w:ascii="Bookman Old Style" w:hAnsi="Bookman Old Style"/>
          <w:sz w:val="24"/>
          <w:szCs w:val="24"/>
        </w:rPr>
        <w:t xml:space="preserve"> </w:t>
      </w:r>
      <w:r w:rsidRPr="009678EE">
        <w:rPr>
          <w:rFonts w:ascii="Bookman Old Style" w:hAnsi="Bookman Old Style"/>
          <w:sz w:val="24"/>
          <w:szCs w:val="24"/>
        </w:rPr>
        <w:t>Anggaran</w:t>
      </w:r>
      <w:r w:rsidR="00A954D0">
        <w:rPr>
          <w:rFonts w:ascii="Bookman Old Style" w:hAnsi="Bookman Old Style"/>
          <w:sz w:val="24"/>
          <w:szCs w:val="24"/>
        </w:rPr>
        <w:t xml:space="preserve"> </w:t>
      </w:r>
      <w:r w:rsidRPr="009678EE">
        <w:rPr>
          <w:rFonts w:ascii="Bookman Old Style" w:hAnsi="Bookman Old Style"/>
          <w:sz w:val="24"/>
          <w:szCs w:val="24"/>
        </w:rPr>
        <w:t>2025</w:t>
      </w:r>
      <w:r w:rsidRPr="009678EE">
        <w:rPr>
          <w:rFonts w:ascii="Bookman Old Style" w:hAnsi="Bookman Old Style"/>
          <w:sz w:val="24"/>
          <w:szCs w:val="24"/>
          <w:lang w:val="en-US"/>
        </w:rPr>
        <w:t>,</w:t>
      </w:r>
      <w:r w:rsidR="00A954D0">
        <w:rPr>
          <w:rFonts w:ascii="Bookman Old Style" w:hAnsi="Bookman Old Style"/>
          <w:sz w:val="24"/>
          <w:szCs w:val="24"/>
        </w:rPr>
        <w:t xml:space="preserve"> </w:t>
      </w:r>
      <w:r w:rsidRPr="00B779D4">
        <w:rPr>
          <w:rFonts w:ascii="Bookman Old Style" w:hAnsi="Bookman Old Style"/>
          <w:sz w:val="24"/>
          <w:szCs w:val="24"/>
        </w:rPr>
        <w:t>yang</w:t>
      </w:r>
      <w:r w:rsidR="00A954D0">
        <w:rPr>
          <w:rFonts w:ascii="Bookman Old Style" w:hAnsi="Bookman Old Style"/>
          <w:sz w:val="24"/>
          <w:szCs w:val="24"/>
        </w:rPr>
        <w:t xml:space="preserve"> </w:t>
      </w:r>
      <w:r>
        <w:rPr>
          <w:rFonts w:ascii="Bookman Old Style" w:hAnsi="Bookman Old Style"/>
          <w:sz w:val="24"/>
          <w:szCs w:val="24"/>
        </w:rPr>
        <w:t>seluruhnya</w:t>
      </w:r>
      <w:r w:rsidR="00A954D0">
        <w:rPr>
          <w:rFonts w:ascii="Bookman Old Style" w:hAnsi="Bookman Old Style"/>
          <w:sz w:val="24"/>
          <w:szCs w:val="24"/>
        </w:rPr>
        <w:t xml:space="preserve"> </w:t>
      </w:r>
      <w:r w:rsidRPr="00B779D4">
        <w:rPr>
          <w:rFonts w:ascii="Bookman Old Style" w:hAnsi="Bookman Old Style"/>
          <w:sz w:val="24"/>
          <w:szCs w:val="24"/>
        </w:rPr>
        <w:t>diuraikan</w:t>
      </w:r>
      <w:r w:rsidR="00A954D0">
        <w:rPr>
          <w:rFonts w:ascii="Bookman Old Style" w:hAnsi="Bookman Old Style"/>
          <w:sz w:val="24"/>
          <w:szCs w:val="24"/>
        </w:rPr>
        <w:t xml:space="preserve"> </w:t>
      </w:r>
      <w:r w:rsidRPr="00B779D4">
        <w:rPr>
          <w:rFonts w:ascii="Bookman Old Style" w:hAnsi="Bookman Old Style"/>
          <w:sz w:val="24"/>
          <w:szCs w:val="24"/>
        </w:rPr>
        <w:t>ke</w:t>
      </w:r>
      <w:r w:rsidR="00A954D0">
        <w:rPr>
          <w:rFonts w:ascii="Bookman Old Style" w:hAnsi="Bookman Old Style"/>
          <w:sz w:val="24"/>
          <w:szCs w:val="24"/>
        </w:rPr>
        <w:t xml:space="preserve"> </w:t>
      </w:r>
      <w:r w:rsidRPr="00B779D4">
        <w:rPr>
          <w:rFonts w:ascii="Bookman Old Style" w:hAnsi="Bookman Old Style"/>
          <w:sz w:val="24"/>
          <w:szCs w:val="24"/>
        </w:rPr>
        <w:t>dalam</w:t>
      </w:r>
      <w:r w:rsidR="00A954D0">
        <w:rPr>
          <w:rFonts w:ascii="Bookman Old Style" w:hAnsi="Bookman Old Style"/>
          <w:sz w:val="24"/>
          <w:szCs w:val="24"/>
        </w:rPr>
        <w:t xml:space="preserve"> </w:t>
      </w:r>
      <w:r w:rsidRPr="00B779D4">
        <w:rPr>
          <w:rFonts w:ascii="Bookman Old Style" w:hAnsi="Bookman Old Style"/>
          <w:sz w:val="24"/>
          <w:szCs w:val="24"/>
        </w:rPr>
        <w:t>objek</w:t>
      </w:r>
      <w:r w:rsidR="00A954D0">
        <w:rPr>
          <w:rFonts w:ascii="Bookman Old Style" w:hAnsi="Bookman Old Style"/>
          <w:sz w:val="24"/>
          <w:szCs w:val="24"/>
        </w:rPr>
        <w:t xml:space="preserve"> </w:t>
      </w:r>
      <w:r w:rsidRPr="00B779D4">
        <w:rPr>
          <w:rFonts w:ascii="Bookman Old Style" w:hAnsi="Bookman Old Style"/>
          <w:sz w:val="24"/>
          <w:szCs w:val="24"/>
        </w:rPr>
        <w:t>Belanja</w:t>
      </w:r>
      <w:r w:rsidR="00A954D0">
        <w:rPr>
          <w:rFonts w:ascii="Bookman Old Style" w:hAnsi="Bookman Old Style"/>
          <w:sz w:val="24"/>
          <w:szCs w:val="24"/>
        </w:rPr>
        <w:t xml:space="preserve"> </w:t>
      </w:r>
      <w:r w:rsidRPr="00B779D4">
        <w:rPr>
          <w:rFonts w:ascii="Bookman Old Style" w:hAnsi="Bookman Old Style"/>
          <w:sz w:val="24"/>
          <w:szCs w:val="24"/>
        </w:rPr>
        <w:t>Modal</w:t>
      </w:r>
      <w:r w:rsidR="00A954D0">
        <w:rPr>
          <w:rFonts w:ascii="Bookman Old Style" w:hAnsi="Bookman Old Style"/>
          <w:sz w:val="24"/>
          <w:szCs w:val="24"/>
        </w:rPr>
        <w:t xml:space="preserve"> </w:t>
      </w:r>
      <w:r w:rsidRPr="00B779D4">
        <w:rPr>
          <w:rFonts w:ascii="Bookman Old Style" w:hAnsi="Bookman Old Style"/>
          <w:sz w:val="24"/>
          <w:szCs w:val="24"/>
        </w:rPr>
        <w:t>Bangunan</w:t>
      </w:r>
      <w:r w:rsidR="00A954D0">
        <w:rPr>
          <w:rFonts w:ascii="Bookman Old Style" w:hAnsi="Bookman Old Style"/>
          <w:sz w:val="24"/>
          <w:szCs w:val="24"/>
        </w:rPr>
        <w:t xml:space="preserve"> </w:t>
      </w:r>
      <w:r w:rsidRPr="00B779D4">
        <w:rPr>
          <w:rFonts w:ascii="Bookman Old Style" w:hAnsi="Bookman Old Style"/>
          <w:sz w:val="24"/>
          <w:szCs w:val="24"/>
        </w:rPr>
        <w:t>Gedung</w:t>
      </w:r>
      <w:r w:rsidR="00A954D0">
        <w:rPr>
          <w:rFonts w:ascii="Bookman Old Style" w:hAnsi="Bookman Old Style"/>
          <w:sz w:val="24"/>
          <w:szCs w:val="24"/>
        </w:rPr>
        <w:t xml:space="preserve"> </w:t>
      </w:r>
      <w:r w:rsidRPr="00B779D4">
        <w:rPr>
          <w:rFonts w:ascii="Bookman Old Style" w:hAnsi="Bookman Old Style"/>
          <w:sz w:val="24"/>
          <w:szCs w:val="24"/>
        </w:rPr>
        <w:t>Tempat</w:t>
      </w:r>
      <w:r w:rsidR="00A954D0">
        <w:rPr>
          <w:rFonts w:ascii="Bookman Old Style" w:hAnsi="Bookman Old Style"/>
          <w:sz w:val="24"/>
          <w:szCs w:val="24"/>
        </w:rPr>
        <w:t xml:space="preserve"> </w:t>
      </w:r>
      <w:r w:rsidRPr="00B779D4">
        <w:rPr>
          <w:rFonts w:ascii="Bookman Old Style" w:hAnsi="Bookman Old Style"/>
          <w:sz w:val="24"/>
          <w:szCs w:val="24"/>
        </w:rPr>
        <w:t>Kerja</w:t>
      </w:r>
      <w:r w:rsidRPr="009678EE">
        <w:rPr>
          <w:rFonts w:ascii="Bookman Old Style" w:hAnsi="Bookman Old Style"/>
          <w:sz w:val="24"/>
          <w:szCs w:val="24"/>
        </w:rPr>
        <w:t>:</w:t>
      </w:r>
    </w:p>
    <w:p w14:paraId="7C9E7193" w14:textId="54027113" w:rsidR="00515C3A" w:rsidRPr="00E0429F" w:rsidRDefault="00515C3A" w:rsidP="00154790">
      <w:pPr>
        <w:pStyle w:val="ListParagraph"/>
        <w:numPr>
          <w:ilvl w:val="0"/>
          <w:numId w:val="140"/>
        </w:numPr>
        <w:spacing w:before="60" w:after="0" w:line="276" w:lineRule="auto"/>
        <w:ind w:left="2268" w:hanging="567"/>
        <w:contextualSpacing w:val="0"/>
        <w:jc w:val="both"/>
        <w:rPr>
          <w:rFonts w:ascii="Bookman Old Style" w:hAnsi="Bookman Old Style"/>
          <w:sz w:val="24"/>
          <w:szCs w:val="24"/>
        </w:rPr>
      </w:pPr>
      <w:r w:rsidRPr="00E0429F">
        <w:rPr>
          <w:rFonts w:ascii="Bookman Old Style" w:hAnsi="Bookman Old Style"/>
          <w:sz w:val="24"/>
          <w:szCs w:val="24"/>
        </w:rPr>
        <w:t>Belanja</w:t>
      </w:r>
      <w:r w:rsidR="00A954D0">
        <w:rPr>
          <w:rFonts w:ascii="Bookman Old Style" w:hAnsi="Bookman Old Style"/>
          <w:sz w:val="24"/>
          <w:szCs w:val="24"/>
        </w:rPr>
        <w:t xml:space="preserve"> </w:t>
      </w:r>
      <w:r w:rsidRPr="00E0429F">
        <w:rPr>
          <w:rFonts w:ascii="Bookman Old Style" w:hAnsi="Bookman Old Style"/>
          <w:sz w:val="24"/>
          <w:szCs w:val="24"/>
        </w:rPr>
        <w:t>Modal</w:t>
      </w:r>
      <w:r w:rsidR="00A954D0">
        <w:rPr>
          <w:rFonts w:ascii="Bookman Old Style" w:hAnsi="Bookman Old Style"/>
          <w:sz w:val="24"/>
          <w:szCs w:val="24"/>
        </w:rPr>
        <w:t xml:space="preserve"> </w:t>
      </w:r>
      <w:r w:rsidRPr="00E0429F">
        <w:rPr>
          <w:rFonts w:ascii="Bookman Old Style" w:hAnsi="Bookman Old Style"/>
          <w:sz w:val="24"/>
          <w:szCs w:val="24"/>
        </w:rPr>
        <w:t>Tugu</w:t>
      </w:r>
      <w:r w:rsidR="00A954D0">
        <w:rPr>
          <w:rFonts w:ascii="Bookman Old Style" w:hAnsi="Bookman Old Style"/>
          <w:sz w:val="24"/>
          <w:szCs w:val="24"/>
        </w:rPr>
        <w:t xml:space="preserve"> </w:t>
      </w:r>
      <w:r w:rsidRPr="00E0429F">
        <w:rPr>
          <w:rFonts w:ascii="Bookman Old Style" w:hAnsi="Bookman Old Style"/>
          <w:sz w:val="24"/>
          <w:szCs w:val="24"/>
        </w:rPr>
        <w:t>Titik</w:t>
      </w:r>
      <w:r w:rsidR="00A954D0">
        <w:rPr>
          <w:rFonts w:ascii="Bookman Old Style" w:hAnsi="Bookman Old Style"/>
          <w:sz w:val="24"/>
          <w:szCs w:val="24"/>
        </w:rPr>
        <w:t xml:space="preserve"> </w:t>
      </w:r>
      <w:r w:rsidRPr="00E0429F">
        <w:rPr>
          <w:rFonts w:ascii="Bookman Old Style" w:hAnsi="Bookman Old Style"/>
          <w:sz w:val="24"/>
          <w:szCs w:val="24"/>
        </w:rPr>
        <w:t>Kontrol/Pasti</w:t>
      </w:r>
      <w:r w:rsidR="00A954D0">
        <w:rPr>
          <w:rFonts w:ascii="Bookman Old Style" w:hAnsi="Bookman Old Style"/>
          <w:sz w:val="24"/>
          <w:szCs w:val="24"/>
        </w:rPr>
        <w:t xml:space="preserve"> </w:t>
      </w:r>
      <w:r w:rsidRPr="00E0429F">
        <w:rPr>
          <w:rFonts w:ascii="Bookman Old Style" w:hAnsi="Bookman Old Style"/>
          <w:sz w:val="24"/>
          <w:szCs w:val="24"/>
        </w:rPr>
        <w:t>Rp9.475.881.600,00</w:t>
      </w:r>
      <w:r w:rsidR="00A954D0">
        <w:rPr>
          <w:rFonts w:ascii="Bookman Old Style" w:hAnsi="Bookman Old Style"/>
          <w:sz w:val="24"/>
          <w:szCs w:val="24"/>
        </w:rPr>
        <w:t xml:space="preserve"> </w:t>
      </w:r>
      <w:r w:rsidRPr="00E0429F">
        <w:rPr>
          <w:rFonts w:ascii="Bookman Old Style" w:hAnsi="Bookman Old Style"/>
          <w:sz w:val="24"/>
          <w:szCs w:val="24"/>
          <w:lang w:val="id-ID"/>
        </w:rPr>
        <w:t>atau</w:t>
      </w:r>
      <w:r w:rsidR="00A954D0">
        <w:rPr>
          <w:rFonts w:ascii="Bookman Old Style" w:hAnsi="Bookman Old Style"/>
          <w:sz w:val="24"/>
          <w:szCs w:val="24"/>
          <w:lang w:val="id-ID"/>
        </w:rPr>
        <w:t xml:space="preserve"> </w:t>
      </w:r>
      <w:r w:rsidRPr="00E0429F">
        <w:rPr>
          <w:rFonts w:ascii="Bookman Old Style" w:hAnsi="Bookman Old Style"/>
          <w:sz w:val="24"/>
          <w:szCs w:val="24"/>
          <w:lang w:val="id-ID"/>
        </w:rPr>
        <w:t>0,17%</w:t>
      </w:r>
      <w:r w:rsidR="00A954D0">
        <w:rPr>
          <w:rFonts w:ascii="Bookman Old Style" w:hAnsi="Bookman Old Style"/>
          <w:sz w:val="24"/>
          <w:szCs w:val="24"/>
        </w:rPr>
        <w:t xml:space="preserve"> </w:t>
      </w:r>
      <w:r w:rsidRPr="00E0429F">
        <w:rPr>
          <w:rFonts w:ascii="Bookman Old Style" w:hAnsi="Bookman Old Style"/>
          <w:sz w:val="24"/>
          <w:szCs w:val="24"/>
        </w:rPr>
        <w:t>dari</w:t>
      </w:r>
      <w:r w:rsidR="00A954D0">
        <w:rPr>
          <w:rFonts w:ascii="Bookman Old Style" w:hAnsi="Bookman Old Style"/>
          <w:sz w:val="24"/>
          <w:szCs w:val="24"/>
        </w:rPr>
        <w:t xml:space="preserve"> </w:t>
      </w:r>
      <w:r w:rsidRPr="00E0429F">
        <w:rPr>
          <w:rFonts w:ascii="Bookman Old Style" w:hAnsi="Bookman Old Style"/>
          <w:sz w:val="24"/>
          <w:szCs w:val="24"/>
        </w:rPr>
        <w:t>total</w:t>
      </w:r>
      <w:r w:rsidR="00A954D0">
        <w:rPr>
          <w:rFonts w:ascii="Bookman Old Style" w:hAnsi="Bookman Old Style"/>
          <w:sz w:val="24"/>
          <w:szCs w:val="24"/>
        </w:rPr>
        <w:t xml:space="preserve"> </w:t>
      </w:r>
      <w:r w:rsidRPr="00E0429F">
        <w:rPr>
          <w:rFonts w:ascii="Bookman Old Style" w:hAnsi="Bookman Old Style"/>
          <w:sz w:val="24"/>
          <w:szCs w:val="24"/>
        </w:rPr>
        <w:t>belanja</w:t>
      </w:r>
      <w:r w:rsidR="00A954D0">
        <w:rPr>
          <w:rFonts w:ascii="Bookman Old Style" w:hAnsi="Bookman Old Style"/>
          <w:sz w:val="24"/>
          <w:szCs w:val="24"/>
        </w:rPr>
        <w:t xml:space="preserve"> </w:t>
      </w:r>
      <w:r w:rsidRPr="00E0429F">
        <w:rPr>
          <w:rFonts w:ascii="Bookman Old Style" w:hAnsi="Bookman Old Style"/>
          <w:sz w:val="24"/>
          <w:szCs w:val="24"/>
        </w:rPr>
        <w:t>daerah</w:t>
      </w:r>
      <w:r w:rsidR="00A954D0">
        <w:rPr>
          <w:rFonts w:ascii="Bookman Old Style" w:hAnsi="Bookman Old Style"/>
          <w:sz w:val="24"/>
          <w:szCs w:val="24"/>
        </w:rPr>
        <w:t xml:space="preserve"> </w:t>
      </w:r>
      <w:r w:rsidRPr="00E0429F">
        <w:rPr>
          <w:rFonts w:ascii="Bookman Old Style" w:hAnsi="Bookman Old Style"/>
          <w:sz w:val="24"/>
          <w:szCs w:val="24"/>
        </w:rPr>
        <w:t>dalam</w:t>
      </w:r>
      <w:r w:rsidR="00A954D0">
        <w:rPr>
          <w:rFonts w:ascii="Bookman Old Style" w:hAnsi="Bookman Old Style"/>
          <w:sz w:val="24"/>
          <w:szCs w:val="24"/>
        </w:rPr>
        <w:t xml:space="preserve"> </w:t>
      </w:r>
      <w:r w:rsidRPr="00E0429F">
        <w:rPr>
          <w:rFonts w:ascii="Bookman Old Style" w:hAnsi="Bookman Old Style"/>
          <w:sz w:val="24"/>
          <w:szCs w:val="24"/>
        </w:rPr>
        <w:t>Rancangan</w:t>
      </w:r>
      <w:r w:rsidR="00A954D0">
        <w:rPr>
          <w:rFonts w:ascii="Bookman Old Style" w:hAnsi="Bookman Old Style"/>
          <w:sz w:val="24"/>
          <w:szCs w:val="24"/>
        </w:rPr>
        <w:t xml:space="preserve"> </w:t>
      </w:r>
      <w:r w:rsidRPr="00E0429F">
        <w:rPr>
          <w:rFonts w:ascii="Bookman Old Style" w:hAnsi="Bookman Old Style"/>
          <w:sz w:val="24"/>
          <w:szCs w:val="24"/>
        </w:rPr>
        <w:t>Peraturan</w:t>
      </w:r>
      <w:r w:rsidR="00A954D0">
        <w:rPr>
          <w:rFonts w:ascii="Bookman Old Style" w:hAnsi="Bookman Old Style"/>
          <w:sz w:val="24"/>
          <w:szCs w:val="24"/>
        </w:rPr>
        <w:t xml:space="preserve"> </w:t>
      </w:r>
      <w:r w:rsidRPr="00E0429F">
        <w:rPr>
          <w:rFonts w:ascii="Bookman Old Style" w:hAnsi="Bookman Old Style"/>
          <w:sz w:val="24"/>
          <w:szCs w:val="24"/>
        </w:rPr>
        <w:t>Daerah</w:t>
      </w:r>
      <w:r w:rsidR="00A954D0">
        <w:rPr>
          <w:rFonts w:ascii="Bookman Old Style" w:hAnsi="Bookman Old Style"/>
          <w:sz w:val="24"/>
          <w:szCs w:val="24"/>
        </w:rPr>
        <w:t xml:space="preserve"> </w:t>
      </w:r>
      <w:r w:rsidRPr="00E0429F">
        <w:rPr>
          <w:rFonts w:ascii="Bookman Old Style" w:hAnsi="Bookman Old Style"/>
          <w:sz w:val="24"/>
          <w:szCs w:val="24"/>
        </w:rPr>
        <w:t>Kota</w:t>
      </w:r>
      <w:r w:rsidR="00A954D0">
        <w:rPr>
          <w:rFonts w:ascii="Bookman Old Style" w:hAnsi="Bookman Old Style"/>
          <w:sz w:val="24"/>
          <w:szCs w:val="24"/>
        </w:rPr>
        <w:t xml:space="preserve"> </w:t>
      </w:r>
      <w:r w:rsidRPr="00E0429F">
        <w:rPr>
          <w:rFonts w:ascii="Bookman Old Style" w:hAnsi="Bookman Old Style"/>
          <w:sz w:val="24"/>
          <w:szCs w:val="24"/>
        </w:rPr>
        <w:t>Tangerang</w:t>
      </w:r>
      <w:r w:rsidR="00A954D0">
        <w:rPr>
          <w:rFonts w:ascii="Bookman Old Style" w:hAnsi="Bookman Old Style"/>
          <w:sz w:val="24"/>
          <w:szCs w:val="24"/>
        </w:rPr>
        <w:t xml:space="preserve"> </w:t>
      </w:r>
      <w:r w:rsidRPr="00E0429F">
        <w:rPr>
          <w:rFonts w:ascii="Bookman Old Style" w:hAnsi="Bookman Old Style"/>
          <w:sz w:val="24"/>
          <w:szCs w:val="24"/>
        </w:rPr>
        <w:t>tentang</w:t>
      </w:r>
      <w:r w:rsidR="00A954D0">
        <w:rPr>
          <w:rFonts w:ascii="Bookman Old Style" w:hAnsi="Bookman Old Style"/>
          <w:sz w:val="24"/>
          <w:szCs w:val="24"/>
        </w:rPr>
        <w:t xml:space="preserve"> </w:t>
      </w:r>
      <w:r w:rsidRPr="00E0429F">
        <w:rPr>
          <w:rFonts w:ascii="Bookman Old Style" w:hAnsi="Bookman Old Style"/>
          <w:sz w:val="24"/>
          <w:szCs w:val="24"/>
        </w:rPr>
        <w:t>APBD</w:t>
      </w:r>
      <w:r w:rsidR="00A954D0">
        <w:rPr>
          <w:rFonts w:ascii="Bookman Old Style" w:hAnsi="Bookman Old Style"/>
          <w:sz w:val="24"/>
          <w:szCs w:val="24"/>
        </w:rPr>
        <w:t xml:space="preserve"> </w:t>
      </w:r>
      <w:r w:rsidRPr="00E0429F">
        <w:rPr>
          <w:rFonts w:ascii="Bookman Old Style" w:hAnsi="Bookman Old Style"/>
          <w:sz w:val="24"/>
          <w:szCs w:val="24"/>
        </w:rPr>
        <w:t>Tahun</w:t>
      </w:r>
      <w:r w:rsidR="00A954D0">
        <w:rPr>
          <w:rFonts w:ascii="Bookman Old Style" w:hAnsi="Bookman Old Style"/>
          <w:sz w:val="24"/>
          <w:szCs w:val="24"/>
        </w:rPr>
        <w:t xml:space="preserve"> </w:t>
      </w:r>
      <w:r w:rsidRPr="00E0429F">
        <w:rPr>
          <w:rFonts w:ascii="Bookman Old Style" w:hAnsi="Bookman Old Style"/>
          <w:sz w:val="24"/>
          <w:szCs w:val="24"/>
        </w:rPr>
        <w:t>Anggaran</w:t>
      </w:r>
      <w:r w:rsidR="00A954D0">
        <w:rPr>
          <w:rFonts w:ascii="Bookman Old Style" w:hAnsi="Bookman Old Style"/>
          <w:sz w:val="24"/>
          <w:szCs w:val="24"/>
        </w:rPr>
        <w:t xml:space="preserve"> </w:t>
      </w:r>
      <w:r w:rsidRPr="00E0429F">
        <w:rPr>
          <w:rFonts w:ascii="Bookman Old Style" w:hAnsi="Bookman Old Style"/>
          <w:sz w:val="24"/>
          <w:szCs w:val="24"/>
        </w:rPr>
        <w:t>2025</w:t>
      </w:r>
      <w:r w:rsidRPr="00E0429F">
        <w:rPr>
          <w:rFonts w:ascii="Bookman Old Style" w:hAnsi="Bookman Old Style"/>
          <w:sz w:val="24"/>
          <w:szCs w:val="24"/>
          <w:lang w:val="en-US"/>
        </w:rPr>
        <w:t>,</w:t>
      </w:r>
      <w:r w:rsidR="00A954D0">
        <w:rPr>
          <w:rFonts w:ascii="Bookman Old Style" w:hAnsi="Bookman Old Style"/>
          <w:sz w:val="24"/>
          <w:szCs w:val="24"/>
        </w:rPr>
        <w:t xml:space="preserve"> </w:t>
      </w:r>
      <w:r w:rsidRPr="00E0429F">
        <w:rPr>
          <w:rFonts w:ascii="Bookman Old Style" w:hAnsi="Bookman Old Style"/>
          <w:sz w:val="24"/>
          <w:szCs w:val="24"/>
        </w:rPr>
        <w:t>yang</w:t>
      </w:r>
      <w:r w:rsidR="00A954D0">
        <w:rPr>
          <w:rFonts w:ascii="Bookman Old Style" w:hAnsi="Bookman Old Style"/>
          <w:sz w:val="24"/>
          <w:szCs w:val="24"/>
        </w:rPr>
        <w:t xml:space="preserve"> </w:t>
      </w:r>
      <w:r w:rsidRPr="00E0429F">
        <w:rPr>
          <w:rFonts w:ascii="Bookman Old Style" w:hAnsi="Bookman Old Style"/>
          <w:sz w:val="24"/>
          <w:szCs w:val="24"/>
        </w:rPr>
        <w:t>seluruhnya</w:t>
      </w:r>
      <w:r w:rsidR="00A954D0">
        <w:rPr>
          <w:rFonts w:ascii="Bookman Old Style" w:hAnsi="Bookman Old Style"/>
          <w:sz w:val="24"/>
          <w:szCs w:val="24"/>
        </w:rPr>
        <w:t xml:space="preserve"> </w:t>
      </w:r>
      <w:r w:rsidRPr="00E0429F">
        <w:rPr>
          <w:rFonts w:ascii="Bookman Old Style" w:hAnsi="Bookman Old Style"/>
          <w:sz w:val="24"/>
          <w:szCs w:val="24"/>
        </w:rPr>
        <w:t>diuraikan</w:t>
      </w:r>
      <w:r w:rsidR="00A954D0">
        <w:rPr>
          <w:rFonts w:ascii="Bookman Old Style" w:hAnsi="Bookman Old Style"/>
          <w:sz w:val="24"/>
          <w:szCs w:val="24"/>
        </w:rPr>
        <w:t xml:space="preserve"> </w:t>
      </w:r>
      <w:r w:rsidRPr="00E0429F">
        <w:rPr>
          <w:rFonts w:ascii="Bookman Old Style" w:hAnsi="Bookman Old Style"/>
          <w:sz w:val="24"/>
          <w:szCs w:val="24"/>
        </w:rPr>
        <w:t>ke</w:t>
      </w:r>
      <w:r w:rsidR="00A954D0">
        <w:rPr>
          <w:rFonts w:ascii="Bookman Old Style" w:hAnsi="Bookman Old Style"/>
          <w:sz w:val="24"/>
          <w:szCs w:val="24"/>
        </w:rPr>
        <w:t xml:space="preserve"> </w:t>
      </w:r>
      <w:r w:rsidRPr="00E0429F">
        <w:rPr>
          <w:rFonts w:ascii="Bookman Old Style" w:hAnsi="Bookman Old Style"/>
          <w:sz w:val="24"/>
          <w:szCs w:val="24"/>
        </w:rPr>
        <w:t>dalam</w:t>
      </w:r>
      <w:r w:rsidR="00A954D0">
        <w:rPr>
          <w:rFonts w:ascii="Bookman Old Style" w:hAnsi="Bookman Old Style"/>
          <w:sz w:val="24"/>
          <w:szCs w:val="24"/>
        </w:rPr>
        <w:t xml:space="preserve"> </w:t>
      </w:r>
      <w:r w:rsidRPr="00E0429F">
        <w:rPr>
          <w:rFonts w:ascii="Bookman Old Style" w:hAnsi="Bookman Old Style"/>
          <w:sz w:val="24"/>
          <w:szCs w:val="24"/>
        </w:rPr>
        <w:t>rincian</w:t>
      </w:r>
      <w:r w:rsidR="00A954D0">
        <w:rPr>
          <w:rFonts w:ascii="Bookman Old Style" w:hAnsi="Bookman Old Style"/>
          <w:sz w:val="24"/>
          <w:szCs w:val="24"/>
        </w:rPr>
        <w:t xml:space="preserve"> </w:t>
      </w:r>
      <w:r w:rsidRPr="00E0429F">
        <w:rPr>
          <w:rFonts w:ascii="Bookman Old Style" w:hAnsi="Bookman Old Style"/>
          <w:sz w:val="24"/>
          <w:szCs w:val="24"/>
        </w:rPr>
        <w:t>objek</w:t>
      </w:r>
      <w:r w:rsidR="00A954D0">
        <w:rPr>
          <w:rFonts w:ascii="Bookman Old Style" w:hAnsi="Bookman Old Style"/>
          <w:sz w:val="24"/>
          <w:szCs w:val="24"/>
          <w:lang w:val="en-US"/>
        </w:rPr>
        <w:t xml:space="preserve"> </w:t>
      </w:r>
      <w:r w:rsidRPr="00E0429F">
        <w:rPr>
          <w:rFonts w:ascii="Bookman Old Style" w:hAnsi="Bookman Old Style"/>
          <w:sz w:val="24"/>
          <w:szCs w:val="24"/>
          <w:lang w:val="en-US"/>
        </w:rPr>
        <w:t>Belanja</w:t>
      </w:r>
      <w:r w:rsidR="00A954D0">
        <w:rPr>
          <w:rFonts w:ascii="Bookman Old Style" w:hAnsi="Bookman Old Style"/>
          <w:sz w:val="24"/>
          <w:szCs w:val="24"/>
          <w:lang w:val="en-US"/>
        </w:rPr>
        <w:t xml:space="preserve"> </w:t>
      </w:r>
      <w:r w:rsidRPr="00E0429F">
        <w:rPr>
          <w:rFonts w:ascii="Bookman Old Style" w:hAnsi="Bookman Old Style"/>
          <w:sz w:val="24"/>
          <w:szCs w:val="24"/>
          <w:lang w:val="en-US"/>
        </w:rPr>
        <w:t>Modal</w:t>
      </w:r>
      <w:r w:rsidR="00A954D0">
        <w:rPr>
          <w:rFonts w:ascii="Bookman Old Style" w:hAnsi="Bookman Old Style"/>
          <w:sz w:val="24"/>
          <w:szCs w:val="24"/>
          <w:lang w:val="en-US"/>
        </w:rPr>
        <w:t xml:space="preserve"> </w:t>
      </w:r>
      <w:r w:rsidRPr="00E0429F">
        <w:rPr>
          <w:rFonts w:ascii="Bookman Old Style" w:hAnsi="Bookman Old Style"/>
          <w:sz w:val="24"/>
          <w:szCs w:val="24"/>
          <w:lang w:val="en-US"/>
        </w:rPr>
        <w:t>Tugu/Tanda</w:t>
      </w:r>
      <w:r w:rsidR="00A954D0">
        <w:rPr>
          <w:rFonts w:ascii="Bookman Old Style" w:hAnsi="Bookman Old Style"/>
          <w:sz w:val="24"/>
          <w:szCs w:val="24"/>
          <w:lang w:val="en-US"/>
        </w:rPr>
        <w:t xml:space="preserve"> </w:t>
      </w:r>
      <w:r w:rsidRPr="00E0429F">
        <w:rPr>
          <w:rFonts w:ascii="Bookman Old Style" w:hAnsi="Bookman Old Style"/>
          <w:sz w:val="24"/>
          <w:szCs w:val="24"/>
          <w:lang w:val="en-US"/>
        </w:rPr>
        <w:t>Batas</w:t>
      </w:r>
      <w:r w:rsidR="00154790">
        <w:rPr>
          <w:rFonts w:ascii="Bookman Old Style" w:hAnsi="Bookman Old Style"/>
          <w:sz w:val="24"/>
          <w:szCs w:val="24"/>
          <w:lang w:val="en-US"/>
        </w:rPr>
        <w:t>.</w:t>
      </w:r>
    </w:p>
    <w:p w14:paraId="6577FF66" w14:textId="5B250B8F" w:rsidR="00515C3A" w:rsidRPr="002E332C" w:rsidRDefault="00515C3A" w:rsidP="00154790">
      <w:pPr>
        <w:numPr>
          <w:ilvl w:val="0"/>
          <w:numId w:val="27"/>
        </w:numPr>
        <w:spacing w:before="60" w:line="276" w:lineRule="auto"/>
        <w:ind w:left="1701" w:hanging="425"/>
        <w:jc w:val="both"/>
        <w:rPr>
          <w:rFonts w:ascii="Bookman Old Style" w:hAnsi="Bookman Old Style"/>
          <w:lang w:val="id-ID"/>
        </w:rPr>
      </w:pPr>
      <w:r w:rsidRPr="002E332C">
        <w:rPr>
          <w:rFonts w:ascii="Bookman Old Style" w:hAnsi="Bookman Old Style"/>
          <w:lang w:val="x-none" w:eastAsia="x-none"/>
        </w:rPr>
        <w:t>Belanja</w:t>
      </w:r>
      <w:r w:rsidR="00A954D0">
        <w:rPr>
          <w:rFonts w:ascii="Bookman Old Style" w:hAnsi="Bookman Old Style"/>
          <w:lang w:val="x-none" w:eastAsia="x-none"/>
        </w:rPr>
        <w:t xml:space="preserve"> </w:t>
      </w:r>
      <w:r w:rsidRPr="002E332C">
        <w:rPr>
          <w:rFonts w:ascii="Bookman Old Style" w:hAnsi="Bookman Old Style"/>
          <w:lang w:val="x-none" w:eastAsia="x-none"/>
        </w:rPr>
        <w:t>Modal</w:t>
      </w:r>
      <w:r w:rsidR="00A954D0">
        <w:rPr>
          <w:rFonts w:ascii="Bookman Old Style" w:hAnsi="Bookman Old Style"/>
          <w:lang w:val="x-none" w:eastAsia="x-none"/>
        </w:rPr>
        <w:t xml:space="preserve"> </w:t>
      </w:r>
      <w:r w:rsidRPr="002E332C">
        <w:rPr>
          <w:rFonts w:ascii="Bookman Old Style" w:hAnsi="Bookman Old Style"/>
          <w:lang w:val="x-none" w:eastAsia="x-none"/>
        </w:rPr>
        <w:t>Jalan,</w:t>
      </w:r>
      <w:r w:rsidR="00A954D0">
        <w:rPr>
          <w:rFonts w:ascii="Bookman Old Style" w:hAnsi="Bookman Old Style"/>
          <w:lang w:val="x-none" w:eastAsia="x-none"/>
        </w:rPr>
        <w:t xml:space="preserve"> </w:t>
      </w:r>
      <w:r w:rsidRPr="002E332C">
        <w:rPr>
          <w:rFonts w:ascii="Bookman Old Style" w:hAnsi="Bookman Old Style"/>
          <w:lang w:val="x-none" w:eastAsia="x-none"/>
        </w:rPr>
        <w:t>Jaringan,</w:t>
      </w:r>
      <w:r w:rsidR="00A954D0">
        <w:rPr>
          <w:rFonts w:ascii="Bookman Old Style" w:hAnsi="Bookman Old Style"/>
          <w:lang w:val="x-none" w:eastAsia="x-none"/>
        </w:rPr>
        <w:t xml:space="preserve"> </w:t>
      </w:r>
      <w:r w:rsidRPr="002E332C">
        <w:rPr>
          <w:rFonts w:ascii="Bookman Old Style" w:hAnsi="Bookman Old Style"/>
          <w:lang w:val="x-none" w:eastAsia="x-none"/>
        </w:rPr>
        <w:t>dan</w:t>
      </w:r>
      <w:r w:rsidR="00A954D0">
        <w:rPr>
          <w:rFonts w:ascii="Bookman Old Style" w:hAnsi="Bookman Old Style"/>
          <w:lang w:val="x-none" w:eastAsia="x-none"/>
        </w:rPr>
        <w:t xml:space="preserve"> </w:t>
      </w:r>
      <w:r w:rsidRPr="002E332C">
        <w:rPr>
          <w:rFonts w:ascii="Bookman Old Style" w:hAnsi="Bookman Old Style"/>
          <w:lang w:val="x-none" w:eastAsia="x-none"/>
        </w:rPr>
        <w:t>Irigasi</w:t>
      </w:r>
      <w:r w:rsidR="00A954D0">
        <w:rPr>
          <w:rFonts w:ascii="Bookman Old Style" w:hAnsi="Bookman Old Style"/>
          <w:lang w:val="x-none" w:eastAsia="x-none"/>
        </w:rPr>
        <w:t xml:space="preserve"> </w:t>
      </w:r>
      <w:r w:rsidRPr="002E332C">
        <w:rPr>
          <w:rFonts w:ascii="Bookman Old Style" w:hAnsi="Bookman Old Style"/>
          <w:lang w:val="x-none" w:eastAsia="x-none"/>
        </w:rPr>
        <w:t>Rp395.241.584.163,00</w:t>
      </w:r>
      <w:r w:rsidR="00A954D0">
        <w:rPr>
          <w:rFonts w:ascii="Bookman Old Style" w:hAnsi="Bookman Old Style"/>
          <w:lang w:val="x-none" w:eastAsia="x-none"/>
        </w:rPr>
        <w:t xml:space="preserve"> </w:t>
      </w:r>
      <w:r w:rsidRPr="002E332C">
        <w:rPr>
          <w:rFonts w:ascii="Bookman Old Style" w:hAnsi="Bookman Old Style"/>
          <w:lang w:val="x-none" w:eastAsia="x-none"/>
        </w:rPr>
        <w:t>atau</w:t>
      </w:r>
      <w:r w:rsidR="00A954D0">
        <w:rPr>
          <w:rFonts w:ascii="Bookman Old Style" w:hAnsi="Bookman Old Style" w:cs="Arial"/>
        </w:rPr>
        <w:t xml:space="preserve"> </w:t>
      </w:r>
      <w:r w:rsidRPr="002E332C">
        <w:rPr>
          <w:rFonts w:ascii="Bookman Old Style" w:hAnsi="Bookman Old Style" w:cs="Arial"/>
        </w:rPr>
        <w:t>6,93%</w:t>
      </w:r>
      <w:r w:rsidR="00A954D0">
        <w:rPr>
          <w:rFonts w:ascii="Bookman Old Style" w:hAnsi="Bookman Old Style" w:cs="Arial"/>
        </w:rPr>
        <w:t xml:space="preserve"> </w:t>
      </w:r>
      <w:r w:rsidRPr="002E332C">
        <w:rPr>
          <w:rFonts w:ascii="Bookman Old Style" w:hAnsi="Bookman Old Style"/>
          <w:lang w:val="x-none" w:eastAsia="x-none"/>
        </w:rPr>
        <w:t>dari</w:t>
      </w:r>
      <w:r w:rsidR="00A954D0">
        <w:rPr>
          <w:rFonts w:ascii="Bookman Old Style" w:hAnsi="Bookman Old Style"/>
          <w:lang w:val="x-none" w:eastAsia="x-none"/>
        </w:rPr>
        <w:t xml:space="preserve"> </w:t>
      </w:r>
      <w:r w:rsidRPr="002E332C">
        <w:rPr>
          <w:rFonts w:ascii="Bookman Old Style" w:hAnsi="Bookman Old Style"/>
          <w:lang w:val="x-none" w:eastAsia="x-none"/>
        </w:rPr>
        <w:t>total</w:t>
      </w:r>
      <w:r w:rsidR="00A954D0">
        <w:rPr>
          <w:rFonts w:ascii="Bookman Old Style" w:hAnsi="Bookman Old Style"/>
          <w:lang w:val="x-none" w:eastAsia="x-none"/>
        </w:rPr>
        <w:t xml:space="preserve"> </w:t>
      </w:r>
      <w:r w:rsidRPr="002E332C">
        <w:rPr>
          <w:rFonts w:ascii="Bookman Old Style" w:hAnsi="Bookman Old Style"/>
          <w:lang w:val="x-none" w:eastAsia="x-none"/>
        </w:rPr>
        <w:t>belanja</w:t>
      </w:r>
      <w:r w:rsidR="00A954D0">
        <w:rPr>
          <w:rFonts w:ascii="Bookman Old Style" w:hAnsi="Bookman Old Style"/>
          <w:lang w:val="x-none" w:eastAsia="x-none"/>
        </w:rPr>
        <w:t xml:space="preserve"> </w:t>
      </w:r>
      <w:r w:rsidRPr="002E332C">
        <w:rPr>
          <w:rFonts w:ascii="Bookman Old Style" w:hAnsi="Bookman Old Style"/>
          <w:lang w:val="x-none" w:eastAsia="x-none"/>
        </w:rPr>
        <w:t>daerah</w:t>
      </w:r>
      <w:r w:rsidR="00A954D0">
        <w:rPr>
          <w:rFonts w:ascii="Bookman Old Style" w:hAnsi="Bookman Old Style"/>
          <w:lang w:val="x-none" w:eastAsia="x-none"/>
        </w:rPr>
        <w:t xml:space="preserve"> </w:t>
      </w:r>
      <w:r w:rsidRPr="002E332C">
        <w:rPr>
          <w:rFonts w:ascii="Bookman Old Style" w:hAnsi="Bookman Old Style"/>
          <w:lang w:val="x-none" w:eastAsia="x-none"/>
        </w:rPr>
        <w:t>dalam</w:t>
      </w:r>
      <w:r w:rsidR="00A954D0">
        <w:rPr>
          <w:rFonts w:ascii="Bookman Old Style" w:hAnsi="Bookman Old Style"/>
          <w:lang w:val="x-none" w:eastAsia="x-none"/>
        </w:rPr>
        <w:t xml:space="preserve"> </w:t>
      </w:r>
      <w:r w:rsidRPr="002E332C">
        <w:rPr>
          <w:rFonts w:ascii="Bookman Old Style" w:hAnsi="Bookman Old Style"/>
          <w:lang w:val="x-none" w:eastAsia="x-none"/>
        </w:rPr>
        <w:t>Rancangan</w:t>
      </w:r>
      <w:r w:rsidR="00A954D0">
        <w:rPr>
          <w:rFonts w:ascii="Bookman Old Style" w:hAnsi="Bookman Old Style"/>
          <w:lang w:val="x-none" w:eastAsia="x-none"/>
        </w:rPr>
        <w:t xml:space="preserve"> </w:t>
      </w:r>
      <w:r w:rsidRPr="002E332C">
        <w:rPr>
          <w:rFonts w:ascii="Bookman Old Style" w:hAnsi="Bookman Old Style"/>
          <w:lang w:val="x-none" w:eastAsia="x-none"/>
        </w:rPr>
        <w:t>Peraturan</w:t>
      </w:r>
      <w:r w:rsidR="00A954D0">
        <w:rPr>
          <w:rFonts w:ascii="Bookman Old Style" w:hAnsi="Bookman Old Style"/>
          <w:lang w:val="x-none" w:eastAsia="x-none"/>
        </w:rPr>
        <w:t xml:space="preserve"> </w:t>
      </w:r>
      <w:r w:rsidRPr="002E332C">
        <w:rPr>
          <w:rFonts w:ascii="Bookman Old Style" w:hAnsi="Bookman Old Style"/>
          <w:lang w:val="x-none" w:eastAsia="x-none"/>
        </w:rPr>
        <w:t>Daerah</w:t>
      </w:r>
      <w:r w:rsidR="00A954D0">
        <w:rPr>
          <w:rFonts w:ascii="Bookman Old Style" w:hAnsi="Bookman Old Style"/>
          <w:lang w:val="x-none" w:eastAsia="x-none"/>
        </w:rPr>
        <w:t xml:space="preserve"> </w:t>
      </w:r>
      <w:r w:rsidRPr="002E332C">
        <w:rPr>
          <w:rFonts w:ascii="Bookman Old Style" w:hAnsi="Bookman Old Style"/>
          <w:lang w:val="x-none" w:eastAsia="x-none"/>
        </w:rPr>
        <w:t>Kota</w:t>
      </w:r>
      <w:r w:rsidR="00A954D0">
        <w:rPr>
          <w:rFonts w:ascii="Bookman Old Style" w:hAnsi="Bookman Old Style"/>
          <w:lang w:val="x-none" w:eastAsia="x-none"/>
        </w:rPr>
        <w:t xml:space="preserve"> </w:t>
      </w:r>
      <w:r w:rsidRPr="002E332C">
        <w:rPr>
          <w:rFonts w:ascii="Bookman Old Style" w:hAnsi="Bookman Old Style"/>
          <w:lang w:val="x-none" w:eastAsia="x-none"/>
        </w:rPr>
        <w:t>Tangerang</w:t>
      </w:r>
      <w:r w:rsidR="00A954D0">
        <w:rPr>
          <w:rFonts w:ascii="Bookman Old Style" w:hAnsi="Bookman Old Style"/>
          <w:lang w:val="x-none" w:eastAsia="x-none"/>
        </w:rPr>
        <w:t xml:space="preserve"> </w:t>
      </w:r>
      <w:r w:rsidRPr="002E332C">
        <w:rPr>
          <w:rFonts w:ascii="Bookman Old Style" w:hAnsi="Bookman Old Style"/>
          <w:lang w:val="x-none" w:eastAsia="x-none"/>
        </w:rPr>
        <w:t>tentang</w:t>
      </w:r>
      <w:r w:rsidR="00A954D0">
        <w:rPr>
          <w:rFonts w:ascii="Bookman Old Style" w:hAnsi="Bookman Old Style"/>
          <w:lang w:val="x-none" w:eastAsia="x-none"/>
        </w:rPr>
        <w:t xml:space="preserve"> </w:t>
      </w:r>
      <w:r w:rsidRPr="002E332C">
        <w:rPr>
          <w:rFonts w:ascii="Bookman Old Style" w:hAnsi="Bookman Old Style"/>
          <w:lang w:val="x-none" w:eastAsia="x-none"/>
        </w:rPr>
        <w:t>APBD</w:t>
      </w:r>
      <w:r w:rsidR="00A954D0">
        <w:rPr>
          <w:rFonts w:ascii="Bookman Old Style" w:hAnsi="Bookman Old Style"/>
          <w:lang w:val="x-none" w:eastAsia="x-none"/>
        </w:rPr>
        <w:t xml:space="preserve"> </w:t>
      </w:r>
      <w:r w:rsidRPr="002E332C">
        <w:rPr>
          <w:rFonts w:ascii="Bookman Old Style" w:hAnsi="Bookman Old Style"/>
          <w:lang w:val="x-none" w:eastAsia="x-none"/>
        </w:rPr>
        <w:t>Tahun</w:t>
      </w:r>
      <w:r w:rsidR="00A954D0">
        <w:rPr>
          <w:rFonts w:ascii="Bookman Old Style" w:hAnsi="Bookman Old Style"/>
          <w:lang w:val="x-none" w:eastAsia="x-none"/>
        </w:rPr>
        <w:t xml:space="preserve"> </w:t>
      </w:r>
      <w:r w:rsidRPr="002E332C">
        <w:rPr>
          <w:rFonts w:ascii="Bookman Old Style" w:hAnsi="Bookman Old Style"/>
          <w:lang w:val="x-none" w:eastAsia="x-none"/>
        </w:rPr>
        <w:t>Anggaran</w:t>
      </w:r>
      <w:r w:rsidR="00A954D0">
        <w:rPr>
          <w:rFonts w:ascii="Bookman Old Style" w:hAnsi="Bookman Old Style"/>
          <w:lang w:val="x-none" w:eastAsia="x-none"/>
        </w:rPr>
        <w:t xml:space="preserve"> </w:t>
      </w:r>
      <w:r w:rsidRPr="002E332C">
        <w:rPr>
          <w:rFonts w:ascii="Bookman Old Style" w:hAnsi="Bookman Old Style"/>
          <w:lang w:val="x-none" w:eastAsia="x-none"/>
        </w:rPr>
        <w:t>2025</w:t>
      </w:r>
      <w:r w:rsidRPr="002E332C">
        <w:rPr>
          <w:rFonts w:ascii="Bookman Old Style" w:hAnsi="Bookman Old Style"/>
        </w:rPr>
        <w:t>,</w:t>
      </w:r>
      <w:r w:rsidR="00A954D0">
        <w:rPr>
          <w:rFonts w:ascii="Bookman Old Style" w:hAnsi="Bookman Old Style"/>
        </w:rPr>
        <w:t xml:space="preserve"> </w:t>
      </w:r>
      <w:r w:rsidRPr="002E332C">
        <w:rPr>
          <w:rFonts w:ascii="Bookman Old Style" w:hAnsi="Bookman Old Style"/>
        </w:rPr>
        <w:t>yang</w:t>
      </w:r>
      <w:r w:rsidR="00A954D0">
        <w:rPr>
          <w:rFonts w:ascii="Bookman Old Style" w:hAnsi="Bookman Old Style"/>
        </w:rPr>
        <w:t xml:space="preserve"> </w:t>
      </w:r>
      <w:r w:rsidRPr="002E332C">
        <w:rPr>
          <w:rFonts w:ascii="Bookman Old Style" w:hAnsi="Bookman Old Style"/>
        </w:rPr>
        <w:t>antara</w:t>
      </w:r>
      <w:r w:rsidR="00A954D0">
        <w:rPr>
          <w:rFonts w:ascii="Bookman Old Style" w:hAnsi="Bookman Old Style"/>
        </w:rPr>
        <w:t xml:space="preserve"> </w:t>
      </w:r>
      <w:r w:rsidRPr="002E332C">
        <w:rPr>
          <w:rFonts w:ascii="Bookman Old Style" w:hAnsi="Bookman Old Style"/>
        </w:rPr>
        <w:t>lain</w:t>
      </w:r>
      <w:r w:rsidR="00A954D0">
        <w:rPr>
          <w:rFonts w:ascii="Bookman Old Style" w:hAnsi="Bookman Old Style"/>
        </w:rPr>
        <w:t xml:space="preserve"> </w:t>
      </w:r>
      <w:r w:rsidRPr="002E332C">
        <w:rPr>
          <w:rFonts w:ascii="Bookman Old Style" w:hAnsi="Bookman Old Style"/>
        </w:rPr>
        <w:t>diuraikan</w:t>
      </w:r>
      <w:r w:rsidR="00A954D0">
        <w:rPr>
          <w:rFonts w:ascii="Bookman Old Style" w:hAnsi="Bookman Old Style"/>
        </w:rPr>
        <w:t xml:space="preserve"> </w:t>
      </w:r>
      <w:r w:rsidRPr="002E332C">
        <w:rPr>
          <w:rFonts w:ascii="Bookman Old Style" w:hAnsi="Bookman Old Style"/>
        </w:rPr>
        <w:t>ke</w:t>
      </w:r>
      <w:r w:rsidR="00A954D0">
        <w:rPr>
          <w:rFonts w:ascii="Bookman Old Style" w:hAnsi="Bookman Old Style"/>
        </w:rPr>
        <w:t xml:space="preserve"> </w:t>
      </w:r>
      <w:r w:rsidRPr="002E332C">
        <w:rPr>
          <w:rFonts w:ascii="Bookman Old Style" w:hAnsi="Bookman Old Style"/>
        </w:rPr>
        <w:t>dalam</w:t>
      </w:r>
      <w:r w:rsidR="00A954D0">
        <w:rPr>
          <w:rFonts w:ascii="Bookman Old Style" w:hAnsi="Bookman Old Style"/>
        </w:rPr>
        <w:t xml:space="preserve"> </w:t>
      </w:r>
      <w:r w:rsidRPr="002E332C">
        <w:rPr>
          <w:rFonts w:ascii="Bookman Old Style" w:hAnsi="Bookman Old Style"/>
        </w:rPr>
        <w:t>objek</w:t>
      </w:r>
      <w:r w:rsidR="00A954D0">
        <w:rPr>
          <w:rFonts w:ascii="Bookman Old Style" w:hAnsi="Bookman Old Style"/>
        </w:rPr>
        <w:t xml:space="preserve"> </w:t>
      </w:r>
      <w:r w:rsidRPr="002E332C">
        <w:rPr>
          <w:rFonts w:ascii="Bookman Old Style" w:hAnsi="Bookman Old Style"/>
        </w:rPr>
        <w:t>belanja</w:t>
      </w:r>
      <w:r w:rsidR="00154790">
        <w:rPr>
          <w:rFonts w:ascii="Bookman Old Style" w:hAnsi="Bookman Old Style"/>
          <w:lang w:val="en-US"/>
        </w:rPr>
        <w:t>:</w:t>
      </w:r>
    </w:p>
    <w:p w14:paraId="478DD494" w14:textId="63CC484D" w:rsidR="00515C3A" w:rsidRPr="002E332C" w:rsidRDefault="00515C3A" w:rsidP="00154790">
      <w:pPr>
        <w:pStyle w:val="ListParagraph"/>
        <w:numPr>
          <w:ilvl w:val="0"/>
          <w:numId w:val="170"/>
        </w:numPr>
        <w:spacing w:before="60" w:after="0" w:line="276" w:lineRule="auto"/>
        <w:ind w:left="2268" w:hanging="567"/>
        <w:contextualSpacing w:val="0"/>
        <w:jc w:val="both"/>
        <w:rPr>
          <w:rFonts w:ascii="Bookman Old Style" w:hAnsi="Bookman Old Style"/>
          <w:sz w:val="24"/>
          <w:szCs w:val="24"/>
        </w:rPr>
      </w:pPr>
      <w:r w:rsidRPr="002E332C">
        <w:rPr>
          <w:rFonts w:ascii="Bookman Old Style" w:hAnsi="Bookman Old Style"/>
          <w:sz w:val="24"/>
          <w:szCs w:val="24"/>
        </w:rPr>
        <w:lastRenderedPageBreak/>
        <w:t>Belanja</w:t>
      </w:r>
      <w:r w:rsidR="00A954D0">
        <w:rPr>
          <w:rFonts w:ascii="Bookman Old Style" w:hAnsi="Bookman Old Style"/>
          <w:sz w:val="24"/>
          <w:szCs w:val="24"/>
        </w:rPr>
        <w:t xml:space="preserve"> </w:t>
      </w:r>
      <w:r w:rsidRPr="002E332C">
        <w:rPr>
          <w:rFonts w:ascii="Bookman Old Style" w:hAnsi="Bookman Old Style"/>
          <w:sz w:val="24"/>
          <w:szCs w:val="24"/>
        </w:rPr>
        <w:t>Modal</w:t>
      </w:r>
      <w:r w:rsidR="00A954D0">
        <w:rPr>
          <w:rFonts w:ascii="Bookman Old Style" w:hAnsi="Bookman Old Style"/>
          <w:sz w:val="24"/>
          <w:szCs w:val="24"/>
        </w:rPr>
        <w:t xml:space="preserve"> </w:t>
      </w:r>
      <w:r w:rsidRPr="002E332C">
        <w:rPr>
          <w:rFonts w:ascii="Bookman Old Style" w:hAnsi="Bookman Old Style"/>
          <w:sz w:val="24"/>
          <w:szCs w:val="24"/>
        </w:rPr>
        <w:t>Jalan</w:t>
      </w:r>
      <w:r w:rsidR="00A954D0">
        <w:rPr>
          <w:rFonts w:ascii="Bookman Old Style" w:hAnsi="Bookman Old Style"/>
          <w:sz w:val="24"/>
          <w:szCs w:val="24"/>
        </w:rPr>
        <w:t xml:space="preserve"> </w:t>
      </w:r>
      <w:r w:rsidRPr="002E332C">
        <w:rPr>
          <w:rFonts w:ascii="Bookman Old Style" w:hAnsi="Bookman Old Style"/>
          <w:sz w:val="24"/>
          <w:szCs w:val="24"/>
        </w:rPr>
        <w:t>dan</w:t>
      </w:r>
      <w:r w:rsidR="00A954D0">
        <w:rPr>
          <w:rFonts w:ascii="Bookman Old Style" w:hAnsi="Bookman Old Style"/>
          <w:sz w:val="24"/>
          <w:szCs w:val="24"/>
        </w:rPr>
        <w:t xml:space="preserve"> </w:t>
      </w:r>
      <w:r w:rsidRPr="002E332C">
        <w:rPr>
          <w:rFonts w:ascii="Bookman Old Style" w:hAnsi="Bookman Old Style"/>
          <w:sz w:val="24"/>
          <w:szCs w:val="24"/>
        </w:rPr>
        <w:t>Jembatan</w:t>
      </w:r>
      <w:r w:rsidR="00A954D0">
        <w:rPr>
          <w:rFonts w:ascii="Bookman Old Style" w:hAnsi="Bookman Old Style"/>
          <w:sz w:val="24"/>
          <w:szCs w:val="24"/>
        </w:rPr>
        <w:t xml:space="preserve"> </w:t>
      </w:r>
      <w:r w:rsidRPr="002E332C">
        <w:rPr>
          <w:rFonts w:ascii="Bookman Old Style" w:hAnsi="Bookman Old Style"/>
          <w:sz w:val="24"/>
          <w:szCs w:val="24"/>
        </w:rPr>
        <w:t>Rp156.724.383.969,00</w:t>
      </w:r>
      <w:r w:rsidR="00A954D0">
        <w:rPr>
          <w:rFonts w:ascii="Bookman Old Style" w:hAnsi="Bookman Old Style"/>
          <w:sz w:val="24"/>
          <w:szCs w:val="24"/>
        </w:rPr>
        <w:t xml:space="preserve"> </w:t>
      </w:r>
      <w:r w:rsidRPr="002E332C">
        <w:rPr>
          <w:rFonts w:ascii="Bookman Old Style" w:hAnsi="Bookman Old Style"/>
          <w:sz w:val="24"/>
          <w:szCs w:val="24"/>
        </w:rPr>
        <w:t>atau</w:t>
      </w:r>
      <w:r w:rsidR="00A954D0">
        <w:rPr>
          <w:rFonts w:ascii="Bookman Old Style" w:hAnsi="Bookman Old Style"/>
          <w:sz w:val="24"/>
          <w:szCs w:val="24"/>
        </w:rPr>
        <w:t xml:space="preserve"> </w:t>
      </w:r>
      <w:r w:rsidRPr="002E332C">
        <w:rPr>
          <w:rFonts w:ascii="Bookman Old Style" w:hAnsi="Bookman Old Style"/>
          <w:sz w:val="24"/>
          <w:szCs w:val="24"/>
        </w:rPr>
        <w:t>2,75%</w:t>
      </w:r>
      <w:r w:rsidR="00A954D0">
        <w:rPr>
          <w:rFonts w:ascii="Bookman Old Style" w:hAnsi="Bookman Old Style"/>
          <w:sz w:val="24"/>
          <w:szCs w:val="24"/>
        </w:rPr>
        <w:t xml:space="preserve"> </w:t>
      </w:r>
      <w:r w:rsidRPr="002E332C">
        <w:rPr>
          <w:rFonts w:ascii="Bookman Old Style" w:hAnsi="Bookman Old Style"/>
          <w:sz w:val="24"/>
          <w:szCs w:val="24"/>
        </w:rPr>
        <w:t>dari</w:t>
      </w:r>
      <w:r w:rsidR="00A954D0">
        <w:rPr>
          <w:rFonts w:ascii="Bookman Old Style" w:hAnsi="Bookman Old Style"/>
          <w:sz w:val="24"/>
          <w:szCs w:val="24"/>
        </w:rPr>
        <w:t xml:space="preserve"> </w:t>
      </w:r>
      <w:r w:rsidRPr="002E332C">
        <w:rPr>
          <w:rFonts w:ascii="Bookman Old Style" w:hAnsi="Bookman Old Style"/>
          <w:sz w:val="24"/>
          <w:szCs w:val="24"/>
        </w:rPr>
        <w:t>total</w:t>
      </w:r>
      <w:r w:rsidR="00A954D0">
        <w:rPr>
          <w:rFonts w:ascii="Bookman Old Style" w:hAnsi="Bookman Old Style"/>
          <w:sz w:val="24"/>
          <w:szCs w:val="24"/>
        </w:rPr>
        <w:t xml:space="preserve"> </w:t>
      </w:r>
      <w:r w:rsidRPr="002E332C">
        <w:rPr>
          <w:rFonts w:ascii="Bookman Old Style" w:hAnsi="Bookman Old Style"/>
          <w:sz w:val="24"/>
          <w:szCs w:val="24"/>
        </w:rPr>
        <w:t>belanja</w:t>
      </w:r>
      <w:r w:rsidR="00A954D0">
        <w:rPr>
          <w:rFonts w:ascii="Bookman Old Style" w:hAnsi="Bookman Old Style"/>
          <w:sz w:val="24"/>
          <w:szCs w:val="24"/>
        </w:rPr>
        <w:t xml:space="preserve"> </w:t>
      </w:r>
      <w:r w:rsidRPr="002E332C">
        <w:rPr>
          <w:rFonts w:ascii="Bookman Old Style" w:hAnsi="Bookman Old Style"/>
          <w:sz w:val="24"/>
          <w:szCs w:val="24"/>
        </w:rPr>
        <w:t>daerah</w:t>
      </w:r>
      <w:r w:rsidR="00A954D0">
        <w:rPr>
          <w:rFonts w:ascii="Bookman Old Style" w:hAnsi="Bookman Old Style"/>
          <w:sz w:val="24"/>
          <w:szCs w:val="24"/>
        </w:rPr>
        <w:t xml:space="preserve"> </w:t>
      </w:r>
      <w:r w:rsidRPr="002E332C">
        <w:rPr>
          <w:rFonts w:ascii="Bookman Old Style" w:hAnsi="Bookman Old Style"/>
          <w:sz w:val="24"/>
          <w:szCs w:val="24"/>
        </w:rPr>
        <w:t>dalam</w:t>
      </w:r>
      <w:r w:rsidR="00A954D0">
        <w:rPr>
          <w:rFonts w:ascii="Bookman Old Style" w:hAnsi="Bookman Old Style"/>
          <w:sz w:val="24"/>
          <w:szCs w:val="24"/>
        </w:rPr>
        <w:t xml:space="preserve"> </w:t>
      </w:r>
      <w:r w:rsidRPr="002E332C">
        <w:rPr>
          <w:rFonts w:ascii="Bookman Old Style" w:hAnsi="Bookman Old Style"/>
          <w:sz w:val="24"/>
          <w:szCs w:val="24"/>
        </w:rPr>
        <w:t>Rancangan</w:t>
      </w:r>
      <w:r w:rsidR="00A954D0">
        <w:rPr>
          <w:rFonts w:ascii="Bookman Old Style" w:hAnsi="Bookman Old Style"/>
          <w:sz w:val="24"/>
          <w:szCs w:val="24"/>
        </w:rPr>
        <w:t xml:space="preserve"> </w:t>
      </w:r>
      <w:r w:rsidRPr="002E332C">
        <w:rPr>
          <w:rFonts w:ascii="Bookman Old Style" w:hAnsi="Bookman Old Style"/>
          <w:sz w:val="24"/>
          <w:szCs w:val="24"/>
        </w:rPr>
        <w:t>Peraturan</w:t>
      </w:r>
      <w:r w:rsidR="00A954D0">
        <w:rPr>
          <w:rFonts w:ascii="Bookman Old Style" w:hAnsi="Bookman Old Style"/>
          <w:sz w:val="24"/>
          <w:szCs w:val="24"/>
        </w:rPr>
        <w:t xml:space="preserve"> </w:t>
      </w:r>
      <w:r w:rsidRPr="002E332C">
        <w:rPr>
          <w:rFonts w:ascii="Bookman Old Style" w:hAnsi="Bookman Old Style"/>
          <w:sz w:val="24"/>
          <w:szCs w:val="24"/>
        </w:rPr>
        <w:t>Daerah</w:t>
      </w:r>
      <w:r w:rsidR="00A954D0">
        <w:rPr>
          <w:rFonts w:ascii="Bookman Old Style" w:hAnsi="Bookman Old Style"/>
          <w:sz w:val="24"/>
          <w:szCs w:val="24"/>
        </w:rPr>
        <w:t xml:space="preserve"> </w:t>
      </w:r>
      <w:r w:rsidRPr="002E332C">
        <w:rPr>
          <w:rFonts w:ascii="Bookman Old Style" w:hAnsi="Bookman Old Style"/>
          <w:sz w:val="24"/>
          <w:szCs w:val="24"/>
        </w:rPr>
        <w:t>Kota</w:t>
      </w:r>
      <w:r w:rsidR="00A954D0">
        <w:rPr>
          <w:rFonts w:ascii="Bookman Old Style" w:hAnsi="Bookman Old Style"/>
          <w:sz w:val="24"/>
          <w:szCs w:val="24"/>
        </w:rPr>
        <w:t xml:space="preserve"> </w:t>
      </w:r>
      <w:r w:rsidRPr="002E332C">
        <w:rPr>
          <w:rFonts w:ascii="Bookman Old Style" w:hAnsi="Bookman Old Style"/>
          <w:sz w:val="24"/>
          <w:szCs w:val="24"/>
        </w:rPr>
        <w:t>Tangerang</w:t>
      </w:r>
      <w:r w:rsidR="00A954D0">
        <w:rPr>
          <w:rFonts w:ascii="Bookman Old Style" w:hAnsi="Bookman Old Style"/>
          <w:sz w:val="24"/>
          <w:szCs w:val="24"/>
        </w:rPr>
        <w:t xml:space="preserve"> </w:t>
      </w:r>
      <w:r w:rsidRPr="002E332C">
        <w:rPr>
          <w:rFonts w:ascii="Bookman Old Style" w:hAnsi="Bookman Old Style"/>
          <w:sz w:val="24"/>
          <w:szCs w:val="24"/>
        </w:rPr>
        <w:t>tentang</w:t>
      </w:r>
      <w:r w:rsidR="00A954D0">
        <w:rPr>
          <w:rFonts w:ascii="Bookman Old Style" w:hAnsi="Bookman Old Style"/>
          <w:sz w:val="24"/>
          <w:szCs w:val="24"/>
        </w:rPr>
        <w:t xml:space="preserve"> </w:t>
      </w:r>
      <w:r w:rsidRPr="002E332C">
        <w:rPr>
          <w:rFonts w:ascii="Bookman Old Style" w:hAnsi="Bookman Old Style"/>
          <w:sz w:val="24"/>
          <w:szCs w:val="24"/>
        </w:rPr>
        <w:t>APBD</w:t>
      </w:r>
      <w:r w:rsidR="00A954D0">
        <w:rPr>
          <w:rFonts w:ascii="Bookman Old Style" w:hAnsi="Bookman Old Style"/>
          <w:sz w:val="24"/>
          <w:szCs w:val="24"/>
        </w:rPr>
        <w:t xml:space="preserve"> </w:t>
      </w:r>
      <w:r w:rsidRPr="002E332C">
        <w:rPr>
          <w:rFonts w:ascii="Bookman Old Style" w:hAnsi="Bookman Old Style"/>
          <w:sz w:val="24"/>
          <w:szCs w:val="24"/>
        </w:rPr>
        <w:t>Tahun</w:t>
      </w:r>
      <w:r w:rsidR="00A954D0">
        <w:rPr>
          <w:rFonts w:ascii="Bookman Old Style" w:hAnsi="Bookman Old Style"/>
          <w:sz w:val="24"/>
          <w:szCs w:val="24"/>
        </w:rPr>
        <w:t xml:space="preserve"> </w:t>
      </w:r>
      <w:r w:rsidRPr="002E332C">
        <w:rPr>
          <w:rFonts w:ascii="Bookman Old Style" w:hAnsi="Bookman Old Style"/>
          <w:sz w:val="24"/>
          <w:szCs w:val="24"/>
        </w:rPr>
        <w:t>Anggaran</w:t>
      </w:r>
      <w:r w:rsidR="00A954D0">
        <w:rPr>
          <w:rFonts w:ascii="Bookman Old Style" w:hAnsi="Bookman Old Style"/>
          <w:sz w:val="24"/>
          <w:szCs w:val="24"/>
        </w:rPr>
        <w:t xml:space="preserve"> </w:t>
      </w:r>
      <w:r w:rsidRPr="002E332C">
        <w:rPr>
          <w:rFonts w:ascii="Bookman Old Style" w:hAnsi="Bookman Old Style"/>
          <w:sz w:val="24"/>
          <w:szCs w:val="24"/>
        </w:rPr>
        <w:t>2025,</w:t>
      </w:r>
      <w:r w:rsidR="00A954D0">
        <w:rPr>
          <w:rFonts w:ascii="Bookman Old Style" w:hAnsi="Bookman Old Style"/>
          <w:sz w:val="24"/>
          <w:szCs w:val="24"/>
        </w:rPr>
        <w:t xml:space="preserve"> </w:t>
      </w:r>
      <w:r w:rsidRPr="002E332C">
        <w:rPr>
          <w:rFonts w:ascii="Bookman Old Style" w:hAnsi="Bookman Old Style"/>
          <w:sz w:val="24"/>
          <w:szCs w:val="24"/>
        </w:rPr>
        <w:t>yang</w:t>
      </w:r>
      <w:r w:rsidR="00A954D0">
        <w:rPr>
          <w:rFonts w:ascii="Bookman Old Style" w:hAnsi="Bookman Old Style"/>
          <w:sz w:val="24"/>
          <w:szCs w:val="24"/>
        </w:rPr>
        <w:t xml:space="preserve"> </w:t>
      </w:r>
      <w:r w:rsidRPr="002E332C">
        <w:rPr>
          <w:rFonts w:ascii="Bookman Old Style" w:hAnsi="Bookman Old Style"/>
          <w:sz w:val="24"/>
          <w:szCs w:val="24"/>
        </w:rPr>
        <w:t>diuraikan</w:t>
      </w:r>
      <w:r w:rsidR="00A954D0">
        <w:rPr>
          <w:rFonts w:ascii="Bookman Old Style" w:hAnsi="Bookman Old Style"/>
          <w:sz w:val="24"/>
          <w:szCs w:val="24"/>
        </w:rPr>
        <w:t xml:space="preserve"> </w:t>
      </w:r>
      <w:r w:rsidRPr="002E332C">
        <w:rPr>
          <w:rFonts w:ascii="Bookman Old Style" w:hAnsi="Bookman Old Style"/>
          <w:sz w:val="24"/>
          <w:szCs w:val="24"/>
        </w:rPr>
        <w:t>ke</w:t>
      </w:r>
      <w:r w:rsidR="00A954D0">
        <w:rPr>
          <w:rFonts w:ascii="Bookman Old Style" w:hAnsi="Bookman Old Style"/>
          <w:sz w:val="24"/>
          <w:szCs w:val="24"/>
        </w:rPr>
        <w:t xml:space="preserve"> </w:t>
      </w:r>
      <w:r w:rsidRPr="002E332C">
        <w:rPr>
          <w:rFonts w:ascii="Bookman Old Style" w:hAnsi="Bookman Old Style"/>
          <w:sz w:val="24"/>
          <w:szCs w:val="24"/>
        </w:rPr>
        <w:t>dalam</w:t>
      </w:r>
      <w:r w:rsidR="00A954D0">
        <w:rPr>
          <w:rFonts w:ascii="Bookman Old Style" w:hAnsi="Bookman Old Style"/>
          <w:sz w:val="24"/>
          <w:szCs w:val="24"/>
        </w:rPr>
        <w:t xml:space="preserve"> </w:t>
      </w:r>
      <w:r w:rsidRPr="002E332C">
        <w:rPr>
          <w:rFonts w:ascii="Bookman Old Style" w:hAnsi="Bookman Old Style"/>
          <w:sz w:val="24"/>
          <w:szCs w:val="24"/>
        </w:rPr>
        <w:t>rincian</w:t>
      </w:r>
      <w:r w:rsidR="00A954D0">
        <w:rPr>
          <w:rFonts w:ascii="Bookman Old Style" w:hAnsi="Bookman Old Style"/>
          <w:sz w:val="24"/>
          <w:szCs w:val="24"/>
        </w:rPr>
        <w:t xml:space="preserve"> </w:t>
      </w:r>
      <w:r w:rsidRPr="002E332C">
        <w:rPr>
          <w:rFonts w:ascii="Bookman Old Style" w:hAnsi="Bookman Old Style"/>
          <w:sz w:val="24"/>
          <w:szCs w:val="24"/>
        </w:rPr>
        <w:t>objek</w:t>
      </w:r>
      <w:r w:rsidR="00A954D0">
        <w:rPr>
          <w:rFonts w:ascii="Bookman Old Style" w:hAnsi="Bookman Old Style"/>
          <w:sz w:val="24"/>
          <w:szCs w:val="24"/>
        </w:rPr>
        <w:t xml:space="preserve"> </w:t>
      </w:r>
      <w:r w:rsidRPr="002E332C">
        <w:rPr>
          <w:rFonts w:ascii="Bookman Old Style" w:hAnsi="Bookman Old Style"/>
          <w:sz w:val="24"/>
          <w:szCs w:val="24"/>
        </w:rPr>
        <w:t>belanja</w:t>
      </w:r>
      <w:r w:rsidR="00154790" w:rsidRPr="00154790">
        <w:rPr>
          <w:rFonts w:ascii="Bookman Old Style" w:hAnsi="Bookman Old Style"/>
          <w:sz w:val="24"/>
          <w:szCs w:val="24"/>
          <w:lang w:val="id-ID"/>
        </w:rPr>
        <w:t>:</w:t>
      </w:r>
    </w:p>
    <w:p w14:paraId="27211A84" w14:textId="0FE59DB0" w:rsidR="00515C3A" w:rsidRPr="002E332C" w:rsidRDefault="00515C3A" w:rsidP="00154790">
      <w:pPr>
        <w:pStyle w:val="ListParagraph"/>
        <w:numPr>
          <w:ilvl w:val="0"/>
          <w:numId w:val="171"/>
        </w:numPr>
        <w:spacing w:before="60" w:line="276" w:lineRule="auto"/>
        <w:ind w:left="2706" w:hanging="438"/>
        <w:jc w:val="both"/>
        <w:rPr>
          <w:rFonts w:ascii="Bookman Old Style" w:hAnsi="Bookman Old Style"/>
          <w:sz w:val="24"/>
          <w:szCs w:val="24"/>
        </w:rPr>
      </w:pPr>
      <w:r w:rsidRPr="002E332C">
        <w:rPr>
          <w:rFonts w:ascii="Bookman Old Style" w:hAnsi="Bookman Old Style"/>
          <w:sz w:val="24"/>
          <w:szCs w:val="24"/>
        </w:rPr>
        <w:t>Belanja</w:t>
      </w:r>
      <w:r w:rsidR="00A954D0">
        <w:rPr>
          <w:rFonts w:ascii="Bookman Old Style" w:hAnsi="Bookman Old Style"/>
          <w:sz w:val="24"/>
          <w:szCs w:val="24"/>
        </w:rPr>
        <w:t xml:space="preserve"> </w:t>
      </w:r>
      <w:r w:rsidRPr="002E332C">
        <w:rPr>
          <w:rFonts w:ascii="Bookman Old Style" w:hAnsi="Bookman Old Style"/>
          <w:sz w:val="24"/>
          <w:szCs w:val="24"/>
        </w:rPr>
        <w:t>Modal</w:t>
      </w:r>
      <w:r w:rsidR="00A954D0">
        <w:rPr>
          <w:rFonts w:ascii="Bookman Old Style" w:hAnsi="Bookman Old Style"/>
          <w:sz w:val="24"/>
          <w:szCs w:val="24"/>
        </w:rPr>
        <w:t xml:space="preserve"> </w:t>
      </w:r>
      <w:r w:rsidRPr="002E332C">
        <w:rPr>
          <w:rFonts w:ascii="Bookman Old Style" w:hAnsi="Bookman Old Style"/>
          <w:sz w:val="24"/>
          <w:szCs w:val="24"/>
        </w:rPr>
        <w:t>Jalan</w:t>
      </w:r>
      <w:r w:rsidR="00A954D0">
        <w:rPr>
          <w:rFonts w:ascii="Bookman Old Style" w:hAnsi="Bookman Old Style"/>
          <w:sz w:val="24"/>
          <w:szCs w:val="24"/>
        </w:rPr>
        <w:t xml:space="preserve"> </w:t>
      </w:r>
      <w:r w:rsidRPr="002E332C">
        <w:rPr>
          <w:rFonts w:ascii="Bookman Old Style" w:hAnsi="Bookman Old Style"/>
          <w:sz w:val="24"/>
          <w:szCs w:val="24"/>
        </w:rPr>
        <w:t>Rp123.292.183.200,00;</w:t>
      </w:r>
    </w:p>
    <w:p w14:paraId="3C03113F" w14:textId="42F679D1" w:rsidR="00515C3A" w:rsidRPr="002E332C" w:rsidRDefault="00515C3A" w:rsidP="00154790">
      <w:pPr>
        <w:pStyle w:val="ListParagraph"/>
        <w:numPr>
          <w:ilvl w:val="0"/>
          <w:numId w:val="171"/>
        </w:numPr>
        <w:spacing w:before="60" w:line="276" w:lineRule="auto"/>
        <w:ind w:left="2706" w:hanging="438"/>
        <w:jc w:val="both"/>
        <w:rPr>
          <w:rFonts w:ascii="Bookman Old Style" w:hAnsi="Bookman Old Style"/>
          <w:sz w:val="24"/>
          <w:szCs w:val="24"/>
        </w:rPr>
      </w:pPr>
      <w:r w:rsidRPr="002E332C">
        <w:rPr>
          <w:rFonts w:ascii="Bookman Old Style" w:hAnsi="Bookman Old Style"/>
          <w:sz w:val="24"/>
          <w:szCs w:val="24"/>
        </w:rPr>
        <w:t>Belanja</w:t>
      </w:r>
      <w:r w:rsidR="00A954D0">
        <w:rPr>
          <w:rFonts w:ascii="Bookman Old Style" w:hAnsi="Bookman Old Style"/>
          <w:sz w:val="24"/>
          <w:szCs w:val="24"/>
        </w:rPr>
        <w:t xml:space="preserve"> </w:t>
      </w:r>
      <w:r w:rsidRPr="002E332C">
        <w:rPr>
          <w:rFonts w:ascii="Bookman Old Style" w:hAnsi="Bookman Old Style"/>
          <w:sz w:val="24"/>
          <w:szCs w:val="24"/>
        </w:rPr>
        <w:t>Modal</w:t>
      </w:r>
      <w:r w:rsidR="00A954D0">
        <w:rPr>
          <w:rFonts w:ascii="Bookman Old Style" w:hAnsi="Bookman Old Style"/>
          <w:sz w:val="24"/>
          <w:szCs w:val="24"/>
        </w:rPr>
        <w:t xml:space="preserve"> </w:t>
      </w:r>
      <w:r w:rsidRPr="002E332C">
        <w:rPr>
          <w:rFonts w:ascii="Bookman Old Style" w:hAnsi="Bookman Old Style"/>
          <w:sz w:val="24"/>
          <w:szCs w:val="24"/>
        </w:rPr>
        <w:t>Jembatan</w:t>
      </w:r>
      <w:r w:rsidR="00A954D0">
        <w:rPr>
          <w:rFonts w:ascii="Bookman Old Style" w:hAnsi="Bookman Old Style"/>
          <w:sz w:val="24"/>
          <w:szCs w:val="24"/>
        </w:rPr>
        <w:t xml:space="preserve"> </w:t>
      </w:r>
      <w:r w:rsidRPr="002E332C">
        <w:rPr>
          <w:rFonts w:ascii="Bookman Old Style" w:hAnsi="Bookman Old Style"/>
          <w:sz w:val="24"/>
          <w:szCs w:val="24"/>
        </w:rPr>
        <w:t>Rp33.432.200.769,00</w:t>
      </w:r>
      <w:r w:rsidR="00154790">
        <w:rPr>
          <w:rFonts w:ascii="Bookman Old Style" w:hAnsi="Bookman Old Style"/>
          <w:sz w:val="24"/>
          <w:szCs w:val="24"/>
          <w:lang w:val="en-US"/>
        </w:rPr>
        <w:t>.</w:t>
      </w:r>
    </w:p>
    <w:p w14:paraId="5CB968D0" w14:textId="682AC7D7" w:rsidR="00515C3A" w:rsidRPr="002E332C" w:rsidRDefault="00515C3A" w:rsidP="00154790">
      <w:pPr>
        <w:pStyle w:val="ListParagraph"/>
        <w:numPr>
          <w:ilvl w:val="0"/>
          <w:numId w:val="170"/>
        </w:numPr>
        <w:spacing w:before="60" w:after="0" w:line="276" w:lineRule="auto"/>
        <w:ind w:left="2268" w:hanging="567"/>
        <w:contextualSpacing w:val="0"/>
        <w:jc w:val="both"/>
        <w:rPr>
          <w:rFonts w:ascii="Bookman Old Style" w:hAnsi="Bookman Old Style"/>
          <w:sz w:val="24"/>
          <w:szCs w:val="24"/>
        </w:rPr>
      </w:pPr>
      <w:r w:rsidRPr="002E332C">
        <w:rPr>
          <w:rFonts w:ascii="Bookman Old Style" w:hAnsi="Bookman Old Style"/>
          <w:sz w:val="24"/>
          <w:szCs w:val="24"/>
        </w:rPr>
        <w:t>Belanja</w:t>
      </w:r>
      <w:r w:rsidR="00A954D0">
        <w:rPr>
          <w:rFonts w:ascii="Bookman Old Style" w:hAnsi="Bookman Old Style"/>
          <w:sz w:val="24"/>
          <w:szCs w:val="24"/>
        </w:rPr>
        <w:t xml:space="preserve"> </w:t>
      </w:r>
      <w:r w:rsidRPr="002E332C">
        <w:rPr>
          <w:rFonts w:ascii="Bookman Old Style" w:hAnsi="Bookman Old Style"/>
          <w:sz w:val="24"/>
          <w:szCs w:val="24"/>
        </w:rPr>
        <w:t>Modal</w:t>
      </w:r>
      <w:r w:rsidR="00A954D0">
        <w:rPr>
          <w:rFonts w:ascii="Bookman Old Style" w:hAnsi="Bookman Old Style"/>
          <w:sz w:val="24"/>
          <w:szCs w:val="24"/>
        </w:rPr>
        <w:t xml:space="preserve"> </w:t>
      </w:r>
      <w:r w:rsidRPr="002E332C">
        <w:rPr>
          <w:rFonts w:ascii="Bookman Old Style" w:hAnsi="Bookman Old Style"/>
          <w:sz w:val="24"/>
          <w:szCs w:val="24"/>
        </w:rPr>
        <w:t>Bangunan</w:t>
      </w:r>
      <w:r w:rsidR="00A954D0">
        <w:rPr>
          <w:rFonts w:ascii="Bookman Old Style" w:hAnsi="Bookman Old Style"/>
          <w:sz w:val="24"/>
          <w:szCs w:val="24"/>
        </w:rPr>
        <w:t xml:space="preserve"> </w:t>
      </w:r>
      <w:r w:rsidRPr="002E332C">
        <w:rPr>
          <w:rFonts w:ascii="Bookman Old Style" w:hAnsi="Bookman Old Style"/>
          <w:sz w:val="24"/>
          <w:szCs w:val="24"/>
        </w:rPr>
        <w:t>Air</w:t>
      </w:r>
      <w:r w:rsidR="00A954D0">
        <w:rPr>
          <w:rFonts w:ascii="Bookman Old Style" w:hAnsi="Bookman Old Style"/>
          <w:sz w:val="24"/>
          <w:szCs w:val="24"/>
        </w:rPr>
        <w:t xml:space="preserve"> </w:t>
      </w:r>
      <w:r w:rsidRPr="002E332C">
        <w:rPr>
          <w:rFonts w:ascii="Bookman Old Style" w:hAnsi="Bookman Old Style"/>
          <w:sz w:val="24"/>
          <w:szCs w:val="24"/>
        </w:rPr>
        <w:t>Rp233.256.711.990,00</w:t>
      </w:r>
      <w:r w:rsidR="00A954D0">
        <w:rPr>
          <w:rFonts w:ascii="Bookman Old Style" w:hAnsi="Bookman Old Style"/>
          <w:sz w:val="24"/>
          <w:szCs w:val="24"/>
        </w:rPr>
        <w:t xml:space="preserve"> </w:t>
      </w:r>
      <w:r w:rsidRPr="002E332C">
        <w:rPr>
          <w:rFonts w:ascii="Bookman Old Style" w:hAnsi="Bookman Old Style"/>
          <w:sz w:val="24"/>
          <w:szCs w:val="24"/>
        </w:rPr>
        <w:t>atau</w:t>
      </w:r>
      <w:r w:rsidR="00A954D0">
        <w:rPr>
          <w:rFonts w:ascii="Bookman Old Style" w:hAnsi="Bookman Old Style"/>
          <w:sz w:val="24"/>
          <w:szCs w:val="24"/>
        </w:rPr>
        <w:t xml:space="preserve"> </w:t>
      </w:r>
      <w:r w:rsidRPr="002E332C">
        <w:rPr>
          <w:rFonts w:ascii="Bookman Old Style" w:hAnsi="Bookman Old Style"/>
          <w:sz w:val="24"/>
          <w:szCs w:val="24"/>
        </w:rPr>
        <w:t>4,09%</w:t>
      </w:r>
      <w:r w:rsidR="00A954D0">
        <w:rPr>
          <w:rFonts w:ascii="Bookman Old Style" w:hAnsi="Bookman Old Style"/>
          <w:sz w:val="24"/>
          <w:szCs w:val="24"/>
        </w:rPr>
        <w:t xml:space="preserve"> </w:t>
      </w:r>
      <w:r w:rsidRPr="002E332C">
        <w:rPr>
          <w:rFonts w:ascii="Bookman Old Style" w:hAnsi="Bookman Old Style"/>
          <w:sz w:val="24"/>
          <w:szCs w:val="24"/>
        </w:rPr>
        <w:t>dari</w:t>
      </w:r>
      <w:r w:rsidR="00A954D0">
        <w:rPr>
          <w:rFonts w:ascii="Bookman Old Style" w:hAnsi="Bookman Old Style"/>
          <w:sz w:val="24"/>
          <w:szCs w:val="24"/>
        </w:rPr>
        <w:t xml:space="preserve"> </w:t>
      </w:r>
      <w:r w:rsidRPr="002E332C">
        <w:rPr>
          <w:rFonts w:ascii="Bookman Old Style" w:hAnsi="Bookman Old Style"/>
          <w:sz w:val="24"/>
          <w:szCs w:val="24"/>
        </w:rPr>
        <w:t>total</w:t>
      </w:r>
      <w:r w:rsidR="00A954D0">
        <w:rPr>
          <w:rFonts w:ascii="Bookman Old Style" w:hAnsi="Bookman Old Style"/>
          <w:sz w:val="24"/>
          <w:szCs w:val="24"/>
        </w:rPr>
        <w:t xml:space="preserve"> </w:t>
      </w:r>
      <w:r w:rsidRPr="002E332C">
        <w:rPr>
          <w:rFonts w:ascii="Bookman Old Style" w:hAnsi="Bookman Old Style"/>
          <w:sz w:val="24"/>
          <w:szCs w:val="24"/>
        </w:rPr>
        <w:t>belanja</w:t>
      </w:r>
      <w:r w:rsidR="00A954D0">
        <w:rPr>
          <w:rFonts w:ascii="Bookman Old Style" w:hAnsi="Bookman Old Style"/>
          <w:sz w:val="24"/>
          <w:szCs w:val="24"/>
        </w:rPr>
        <w:t xml:space="preserve"> </w:t>
      </w:r>
      <w:r w:rsidRPr="002E332C">
        <w:rPr>
          <w:rFonts w:ascii="Bookman Old Style" w:hAnsi="Bookman Old Style"/>
          <w:sz w:val="24"/>
          <w:szCs w:val="24"/>
        </w:rPr>
        <w:t>daerah</w:t>
      </w:r>
      <w:r w:rsidR="00A954D0">
        <w:rPr>
          <w:rFonts w:ascii="Bookman Old Style" w:hAnsi="Bookman Old Style"/>
          <w:sz w:val="24"/>
          <w:szCs w:val="24"/>
        </w:rPr>
        <w:t xml:space="preserve"> </w:t>
      </w:r>
      <w:r w:rsidRPr="002E332C">
        <w:rPr>
          <w:rFonts w:ascii="Bookman Old Style" w:hAnsi="Bookman Old Style"/>
          <w:sz w:val="24"/>
          <w:szCs w:val="24"/>
        </w:rPr>
        <w:t>dalam</w:t>
      </w:r>
      <w:r w:rsidR="00A954D0">
        <w:rPr>
          <w:rFonts w:ascii="Bookman Old Style" w:hAnsi="Bookman Old Style"/>
          <w:sz w:val="24"/>
          <w:szCs w:val="24"/>
        </w:rPr>
        <w:t xml:space="preserve"> </w:t>
      </w:r>
      <w:r w:rsidRPr="002E332C">
        <w:rPr>
          <w:rFonts w:ascii="Bookman Old Style" w:hAnsi="Bookman Old Style"/>
          <w:sz w:val="24"/>
          <w:szCs w:val="24"/>
        </w:rPr>
        <w:t>Rancangan</w:t>
      </w:r>
      <w:r w:rsidR="00A954D0">
        <w:rPr>
          <w:rFonts w:ascii="Bookman Old Style" w:hAnsi="Bookman Old Style"/>
          <w:sz w:val="24"/>
          <w:szCs w:val="24"/>
        </w:rPr>
        <w:t xml:space="preserve"> </w:t>
      </w:r>
      <w:r w:rsidRPr="002E332C">
        <w:rPr>
          <w:rFonts w:ascii="Bookman Old Style" w:hAnsi="Bookman Old Style"/>
          <w:sz w:val="24"/>
          <w:szCs w:val="24"/>
        </w:rPr>
        <w:t>Peraturan</w:t>
      </w:r>
      <w:r w:rsidR="00A954D0">
        <w:rPr>
          <w:rFonts w:ascii="Bookman Old Style" w:hAnsi="Bookman Old Style"/>
          <w:sz w:val="24"/>
          <w:szCs w:val="24"/>
        </w:rPr>
        <w:t xml:space="preserve"> </w:t>
      </w:r>
      <w:r w:rsidRPr="002E332C">
        <w:rPr>
          <w:rFonts w:ascii="Bookman Old Style" w:hAnsi="Bookman Old Style"/>
          <w:sz w:val="24"/>
          <w:szCs w:val="24"/>
        </w:rPr>
        <w:t>Daerah</w:t>
      </w:r>
      <w:r w:rsidR="00A954D0">
        <w:rPr>
          <w:rFonts w:ascii="Bookman Old Style" w:hAnsi="Bookman Old Style"/>
          <w:sz w:val="24"/>
          <w:szCs w:val="24"/>
        </w:rPr>
        <w:t xml:space="preserve"> </w:t>
      </w:r>
      <w:r w:rsidRPr="002E332C">
        <w:rPr>
          <w:rFonts w:ascii="Bookman Old Style" w:hAnsi="Bookman Old Style"/>
          <w:sz w:val="24"/>
          <w:szCs w:val="24"/>
        </w:rPr>
        <w:t>Kota</w:t>
      </w:r>
      <w:r w:rsidR="00A954D0">
        <w:rPr>
          <w:rFonts w:ascii="Bookman Old Style" w:hAnsi="Bookman Old Style"/>
          <w:sz w:val="24"/>
          <w:szCs w:val="24"/>
        </w:rPr>
        <w:t xml:space="preserve"> </w:t>
      </w:r>
      <w:r w:rsidRPr="002E332C">
        <w:rPr>
          <w:rFonts w:ascii="Bookman Old Style" w:hAnsi="Bookman Old Style"/>
          <w:sz w:val="24"/>
          <w:szCs w:val="24"/>
        </w:rPr>
        <w:t>Tangerang</w:t>
      </w:r>
      <w:r w:rsidR="00A954D0">
        <w:rPr>
          <w:rFonts w:ascii="Bookman Old Style" w:hAnsi="Bookman Old Style"/>
          <w:sz w:val="24"/>
          <w:szCs w:val="24"/>
        </w:rPr>
        <w:t xml:space="preserve"> </w:t>
      </w:r>
      <w:r w:rsidRPr="002E332C">
        <w:rPr>
          <w:rFonts w:ascii="Bookman Old Style" w:hAnsi="Bookman Old Style"/>
          <w:sz w:val="24"/>
          <w:szCs w:val="24"/>
        </w:rPr>
        <w:t>tentang</w:t>
      </w:r>
      <w:r w:rsidR="00A954D0">
        <w:rPr>
          <w:rFonts w:ascii="Bookman Old Style" w:hAnsi="Bookman Old Style"/>
          <w:sz w:val="24"/>
          <w:szCs w:val="24"/>
        </w:rPr>
        <w:t xml:space="preserve"> </w:t>
      </w:r>
      <w:r w:rsidRPr="002E332C">
        <w:rPr>
          <w:rFonts w:ascii="Bookman Old Style" w:hAnsi="Bookman Old Style"/>
          <w:sz w:val="24"/>
          <w:szCs w:val="24"/>
        </w:rPr>
        <w:t>APBD</w:t>
      </w:r>
      <w:r w:rsidR="00A954D0">
        <w:rPr>
          <w:rFonts w:ascii="Bookman Old Style" w:hAnsi="Bookman Old Style"/>
          <w:sz w:val="24"/>
          <w:szCs w:val="24"/>
        </w:rPr>
        <w:t xml:space="preserve"> </w:t>
      </w:r>
      <w:r w:rsidRPr="002E332C">
        <w:rPr>
          <w:rFonts w:ascii="Bookman Old Style" w:hAnsi="Bookman Old Style"/>
          <w:sz w:val="24"/>
          <w:szCs w:val="24"/>
        </w:rPr>
        <w:t>Tahun</w:t>
      </w:r>
      <w:r w:rsidR="00A954D0">
        <w:rPr>
          <w:rFonts w:ascii="Bookman Old Style" w:hAnsi="Bookman Old Style"/>
          <w:sz w:val="24"/>
          <w:szCs w:val="24"/>
        </w:rPr>
        <w:t xml:space="preserve"> </w:t>
      </w:r>
      <w:r w:rsidRPr="002E332C">
        <w:rPr>
          <w:rFonts w:ascii="Bookman Old Style" w:hAnsi="Bookman Old Style"/>
          <w:sz w:val="24"/>
          <w:szCs w:val="24"/>
        </w:rPr>
        <w:t>Anggaran</w:t>
      </w:r>
      <w:r w:rsidR="00A954D0">
        <w:rPr>
          <w:rFonts w:ascii="Bookman Old Style" w:hAnsi="Bookman Old Style"/>
          <w:sz w:val="24"/>
          <w:szCs w:val="24"/>
        </w:rPr>
        <w:t xml:space="preserve"> </w:t>
      </w:r>
      <w:r w:rsidRPr="002E332C">
        <w:rPr>
          <w:rFonts w:ascii="Bookman Old Style" w:hAnsi="Bookman Old Style"/>
          <w:sz w:val="24"/>
          <w:szCs w:val="24"/>
        </w:rPr>
        <w:t>2025,</w:t>
      </w:r>
      <w:r w:rsidR="00A954D0">
        <w:rPr>
          <w:rFonts w:ascii="Bookman Old Style" w:hAnsi="Bookman Old Style"/>
          <w:sz w:val="24"/>
          <w:szCs w:val="24"/>
        </w:rPr>
        <w:t xml:space="preserve"> </w:t>
      </w:r>
      <w:bookmarkStart w:id="35" w:name="_Hlk184201994"/>
      <w:r w:rsidRPr="002E332C">
        <w:rPr>
          <w:rFonts w:ascii="Bookman Old Style" w:hAnsi="Bookman Old Style"/>
          <w:sz w:val="24"/>
          <w:szCs w:val="24"/>
        </w:rPr>
        <w:t>yang</w:t>
      </w:r>
      <w:r w:rsidR="00A954D0">
        <w:rPr>
          <w:rFonts w:ascii="Bookman Old Style" w:hAnsi="Bookman Old Style"/>
          <w:sz w:val="24"/>
          <w:szCs w:val="24"/>
        </w:rPr>
        <w:t xml:space="preserve"> </w:t>
      </w:r>
      <w:r w:rsidRPr="002E332C">
        <w:rPr>
          <w:rFonts w:ascii="Bookman Old Style" w:hAnsi="Bookman Old Style"/>
          <w:sz w:val="24"/>
          <w:szCs w:val="24"/>
        </w:rPr>
        <w:t>diuraikan</w:t>
      </w:r>
      <w:r w:rsidR="00A954D0">
        <w:rPr>
          <w:rFonts w:ascii="Bookman Old Style" w:hAnsi="Bookman Old Style"/>
          <w:sz w:val="24"/>
          <w:szCs w:val="24"/>
        </w:rPr>
        <w:t xml:space="preserve"> </w:t>
      </w:r>
      <w:r w:rsidRPr="002E332C">
        <w:rPr>
          <w:rFonts w:ascii="Bookman Old Style" w:hAnsi="Bookman Old Style"/>
          <w:sz w:val="24"/>
          <w:szCs w:val="24"/>
        </w:rPr>
        <w:t>ke</w:t>
      </w:r>
      <w:r w:rsidR="00A954D0">
        <w:rPr>
          <w:rFonts w:ascii="Bookman Old Style" w:hAnsi="Bookman Old Style"/>
          <w:sz w:val="24"/>
          <w:szCs w:val="24"/>
        </w:rPr>
        <w:t xml:space="preserve"> </w:t>
      </w:r>
      <w:r w:rsidRPr="002E332C">
        <w:rPr>
          <w:rFonts w:ascii="Bookman Old Style" w:hAnsi="Bookman Old Style"/>
          <w:sz w:val="24"/>
          <w:szCs w:val="24"/>
        </w:rPr>
        <w:t>dalam</w:t>
      </w:r>
      <w:r w:rsidR="00A954D0">
        <w:rPr>
          <w:rFonts w:ascii="Bookman Old Style" w:hAnsi="Bookman Old Style"/>
          <w:sz w:val="24"/>
          <w:szCs w:val="24"/>
        </w:rPr>
        <w:t xml:space="preserve"> </w:t>
      </w:r>
      <w:r w:rsidRPr="002E332C">
        <w:rPr>
          <w:rFonts w:ascii="Bookman Old Style" w:hAnsi="Bookman Old Style"/>
          <w:sz w:val="24"/>
          <w:szCs w:val="24"/>
        </w:rPr>
        <w:t>objek</w:t>
      </w:r>
      <w:r w:rsidR="00A954D0">
        <w:rPr>
          <w:rFonts w:ascii="Bookman Old Style" w:hAnsi="Bookman Old Style"/>
          <w:sz w:val="24"/>
          <w:szCs w:val="24"/>
        </w:rPr>
        <w:t xml:space="preserve"> </w:t>
      </w:r>
      <w:r w:rsidRPr="002E332C">
        <w:rPr>
          <w:rFonts w:ascii="Bookman Old Style" w:hAnsi="Bookman Old Style"/>
          <w:sz w:val="24"/>
          <w:szCs w:val="24"/>
        </w:rPr>
        <w:t>belanja;</w:t>
      </w:r>
    </w:p>
    <w:bookmarkEnd w:id="35"/>
    <w:p w14:paraId="4FF6E5FA" w14:textId="44B684EF" w:rsidR="00515C3A" w:rsidRPr="002E332C" w:rsidRDefault="00515C3A" w:rsidP="00154790">
      <w:pPr>
        <w:pStyle w:val="ListParagraph"/>
        <w:numPr>
          <w:ilvl w:val="1"/>
          <w:numId w:val="170"/>
        </w:numPr>
        <w:spacing w:before="60" w:after="0" w:line="276" w:lineRule="auto"/>
        <w:ind w:left="2694" w:hanging="425"/>
        <w:contextualSpacing w:val="0"/>
        <w:jc w:val="both"/>
        <w:rPr>
          <w:rFonts w:ascii="Bookman Old Style" w:hAnsi="Bookman Old Style"/>
          <w:sz w:val="24"/>
          <w:szCs w:val="24"/>
        </w:rPr>
      </w:pPr>
      <w:r w:rsidRPr="002E332C">
        <w:rPr>
          <w:rFonts w:ascii="Bookman Old Style" w:hAnsi="Bookman Old Style"/>
          <w:sz w:val="24"/>
          <w:szCs w:val="24"/>
        </w:rPr>
        <w:t>Belanja</w:t>
      </w:r>
      <w:r w:rsidR="00A954D0">
        <w:rPr>
          <w:rFonts w:ascii="Bookman Old Style" w:hAnsi="Bookman Old Style"/>
          <w:sz w:val="24"/>
          <w:szCs w:val="24"/>
        </w:rPr>
        <w:t xml:space="preserve"> </w:t>
      </w:r>
      <w:r w:rsidRPr="002E332C">
        <w:rPr>
          <w:rFonts w:ascii="Bookman Old Style" w:hAnsi="Bookman Old Style"/>
          <w:sz w:val="24"/>
          <w:szCs w:val="24"/>
        </w:rPr>
        <w:t>Modal</w:t>
      </w:r>
      <w:r w:rsidR="00A954D0">
        <w:rPr>
          <w:rFonts w:ascii="Bookman Old Style" w:hAnsi="Bookman Old Style"/>
          <w:sz w:val="24"/>
          <w:szCs w:val="24"/>
        </w:rPr>
        <w:t xml:space="preserve"> </w:t>
      </w:r>
      <w:r w:rsidRPr="002E332C">
        <w:rPr>
          <w:rFonts w:ascii="Bookman Old Style" w:hAnsi="Bookman Old Style"/>
          <w:sz w:val="24"/>
          <w:szCs w:val="24"/>
        </w:rPr>
        <w:t>Bangunan</w:t>
      </w:r>
      <w:r w:rsidR="00A954D0">
        <w:rPr>
          <w:rFonts w:ascii="Bookman Old Style" w:hAnsi="Bookman Old Style"/>
          <w:sz w:val="24"/>
          <w:szCs w:val="24"/>
        </w:rPr>
        <w:t xml:space="preserve"> </w:t>
      </w:r>
      <w:r w:rsidRPr="002E332C">
        <w:rPr>
          <w:rFonts w:ascii="Bookman Old Style" w:hAnsi="Bookman Old Style"/>
          <w:sz w:val="24"/>
          <w:szCs w:val="24"/>
        </w:rPr>
        <w:t>Air</w:t>
      </w:r>
      <w:r w:rsidR="00A954D0">
        <w:rPr>
          <w:rFonts w:ascii="Bookman Old Style" w:hAnsi="Bookman Old Style"/>
          <w:sz w:val="24"/>
          <w:szCs w:val="24"/>
        </w:rPr>
        <w:t xml:space="preserve"> </w:t>
      </w:r>
      <w:r w:rsidRPr="002E332C">
        <w:rPr>
          <w:rFonts w:ascii="Bookman Old Style" w:hAnsi="Bookman Old Style"/>
          <w:sz w:val="24"/>
          <w:szCs w:val="24"/>
        </w:rPr>
        <w:t>Irigasi</w:t>
      </w:r>
      <w:r w:rsidR="00A954D0">
        <w:rPr>
          <w:rFonts w:ascii="Bookman Old Style" w:hAnsi="Bookman Old Style"/>
          <w:sz w:val="24"/>
          <w:szCs w:val="24"/>
        </w:rPr>
        <w:t xml:space="preserve"> </w:t>
      </w:r>
      <w:r w:rsidRPr="002E332C">
        <w:rPr>
          <w:rFonts w:ascii="Bookman Old Style" w:hAnsi="Bookman Old Style"/>
          <w:sz w:val="24"/>
          <w:szCs w:val="24"/>
        </w:rPr>
        <w:t>Rp223.256.539.510,00;</w:t>
      </w:r>
    </w:p>
    <w:p w14:paraId="4DE18FAC" w14:textId="41C3DBDC" w:rsidR="00515C3A" w:rsidRPr="002E332C" w:rsidRDefault="00515C3A" w:rsidP="00154790">
      <w:pPr>
        <w:pStyle w:val="ListParagraph"/>
        <w:numPr>
          <w:ilvl w:val="1"/>
          <w:numId w:val="170"/>
        </w:numPr>
        <w:spacing w:before="60" w:after="0" w:line="276" w:lineRule="auto"/>
        <w:ind w:left="2694" w:hanging="425"/>
        <w:contextualSpacing w:val="0"/>
        <w:jc w:val="both"/>
        <w:rPr>
          <w:rFonts w:ascii="Bookman Old Style" w:hAnsi="Bookman Old Style"/>
          <w:sz w:val="24"/>
          <w:szCs w:val="24"/>
        </w:rPr>
      </w:pPr>
      <w:r w:rsidRPr="002E332C">
        <w:rPr>
          <w:rFonts w:ascii="Bookman Old Style" w:hAnsi="Bookman Old Style"/>
          <w:sz w:val="24"/>
          <w:szCs w:val="24"/>
        </w:rPr>
        <w:t>Belanja</w:t>
      </w:r>
      <w:r w:rsidR="00A954D0">
        <w:rPr>
          <w:rFonts w:ascii="Bookman Old Style" w:hAnsi="Bookman Old Style"/>
          <w:sz w:val="24"/>
          <w:szCs w:val="24"/>
        </w:rPr>
        <w:t xml:space="preserve"> </w:t>
      </w:r>
      <w:r w:rsidRPr="002E332C">
        <w:rPr>
          <w:rFonts w:ascii="Bookman Old Style" w:hAnsi="Bookman Old Style"/>
          <w:sz w:val="24"/>
          <w:szCs w:val="24"/>
        </w:rPr>
        <w:t>Modal</w:t>
      </w:r>
      <w:r w:rsidR="00A954D0">
        <w:rPr>
          <w:rFonts w:ascii="Bookman Old Style" w:hAnsi="Bookman Old Style"/>
          <w:sz w:val="24"/>
          <w:szCs w:val="24"/>
        </w:rPr>
        <w:t xml:space="preserve"> </w:t>
      </w:r>
      <w:r w:rsidRPr="002E332C">
        <w:rPr>
          <w:rFonts w:ascii="Bookman Old Style" w:hAnsi="Bookman Old Style"/>
          <w:sz w:val="24"/>
          <w:szCs w:val="24"/>
        </w:rPr>
        <w:t>Bangunan</w:t>
      </w:r>
      <w:r w:rsidR="00A954D0">
        <w:rPr>
          <w:rFonts w:ascii="Bookman Old Style" w:hAnsi="Bookman Old Style"/>
          <w:sz w:val="24"/>
          <w:szCs w:val="24"/>
        </w:rPr>
        <w:t xml:space="preserve"> </w:t>
      </w:r>
      <w:r w:rsidRPr="002E332C">
        <w:rPr>
          <w:rFonts w:ascii="Bookman Old Style" w:hAnsi="Bookman Old Style"/>
          <w:sz w:val="24"/>
          <w:szCs w:val="24"/>
        </w:rPr>
        <w:t>Air</w:t>
      </w:r>
      <w:r w:rsidR="00A954D0">
        <w:rPr>
          <w:rFonts w:ascii="Bookman Old Style" w:hAnsi="Bookman Old Style"/>
          <w:sz w:val="24"/>
          <w:szCs w:val="24"/>
        </w:rPr>
        <w:t xml:space="preserve"> </w:t>
      </w:r>
      <w:r w:rsidRPr="002E332C">
        <w:rPr>
          <w:rFonts w:ascii="Bookman Old Style" w:hAnsi="Bookman Old Style"/>
          <w:sz w:val="24"/>
          <w:szCs w:val="24"/>
        </w:rPr>
        <w:t>Kotor</w:t>
      </w:r>
      <w:r w:rsidR="00A954D0">
        <w:rPr>
          <w:rFonts w:ascii="Bookman Old Style" w:hAnsi="Bookman Old Style"/>
          <w:sz w:val="24"/>
          <w:szCs w:val="24"/>
        </w:rPr>
        <w:t xml:space="preserve"> </w:t>
      </w:r>
      <w:r w:rsidRPr="002E332C">
        <w:rPr>
          <w:rFonts w:ascii="Bookman Old Style" w:hAnsi="Bookman Old Style"/>
          <w:sz w:val="24"/>
          <w:szCs w:val="24"/>
        </w:rPr>
        <w:t>Rp10.000.172.480,00.</w:t>
      </w:r>
    </w:p>
    <w:p w14:paraId="615189E1" w14:textId="582B2438" w:rsidR="00515C3A" w:rsidRDefault="00515C3A" w:rsidP="00154790">
      <w:pPr>
        <w:pStyle w:val="ListParagraph"/>
        <w:numPr>
          <w:ilvl w:val="0"/>
          <w:numId w:val="170"/>
        </w:numPr>
        <w:spacing w:before="60" w:after="0" w:line="276" w:lineRule="auto"/>
        <w:ind w:left="2268" w:hanging="567"/>
        <w:contextualSpacing w:val="0"/>
        <w:jc w:val="both"/>
        <w:rPr>
          <w:rFonts w:ascii="Bookman Old Style" w:hAnsi="Bookman Old Style"/>
          <w:sz w:val="24"/>
          <w:szCs w:val="24"/>
        </w:rPr>
      </w:pPr>
      <w:r w:rsidRPr="003D69A4">
        <w:rPr>
          <w:rFonts w:ascii="Bookman Old Style" w:hAnsi="Bookman Old Style"/>
          <w:sz w:val="24"/>
          <w:szCs w:val="24"/>
        </w:rPr>
        <w:t>Belanja</w:t>
      </w:r>
      <w:r w:rsidR="00A954D0">
        <w:rPr>
          <w:rFonts w:ascii="Bookman Old Style" w:hAnsi="Bookman Old Style"/>
          <w:sz w:val="24"/>
          <w:szCs w:val="24"/>
        </w:rPr>
        <w:t xml:space="preserve"> </w:t>
      </w:r>
      <w:r w:rsidRPr="003D69A4">
        <w:rPr>
          <w:rFonts w:ascii="Bookman Old Style" w:hAnsi="Bookman Old Style"/>
          <w:sz w:val="24"/>
          <w:szCs w:val="24"/>
        </w:rPr>
        <w:t>Modal</w:t>
      </w:r>
      <w:r w:rsidR="00A954D0">
        <w:rPr>
          <w:rFonts w:ascii="Bookman Old Style" w:hAnsi="Bookman Old Style"/>
          <w:sz w:val="24"/>
          <w:szCs w:val="24"/>
        </w:rPr>
        <w:t xml:space="preserve"> </w:t>
      </w:r>
      <w:r w:rsidRPr="003D69A4">
        <w:rPr>
          <w:rFonts w:ascii="Bookman Old Style" w:hAnsi="Bookman Old Style"/>
          <w:sz w:val="24"/>
          <w:szCs w:val="24"/>
        </w:rPr>
        <w:t>Instalasi</w:t>
      </w:r>
      <w:r w:rsidR="00A954D0">
        <w:rPr>
          <w:rFonts w:ascii="Bookman Old Style" w:hAnsi="Bookman Old Style"/>
          <w:sz w:val="24"/>
          <w:szCs w:val="24"/>
        </w:rPr>
        <w:t xml:space="preserve"> </w:t>
      </w:r>
      <w:r w:rsidRPr="003D69A4">
        <w:rPr>
          <w:rFonts w:ascii="Bookman Old Style" w:hAnsi="Bookman Old Style"/>
          <w:sz w:val="24"/>
          <w:szCs w:val="24"/>
        </w:rPr>
        <w:t>Rp2.600.000.000,00</w:t>
      </w:r>
      <w:r w:rsidR="00A954D0">
        <w:rPr>
          <w:rFonts w:ascii="Bookman Old Style" w:hAnsi="Bookman Old Style"/>
          <w:sz w:val="24"/>
          <w:szCs w:val="24"/>
        </w:rPr>
        <w:t xml:space="preserve"> </w:t>
      </w:r>
      <w:r w:rsidRPr="003D69A4">
        <w:rPr>
          <w:rFonts w:ascii="Bookman Old Style" w:hAnsi="Bookman Old Style"/>
          <w:sz w:val="24"/>
          <w:szCs w:val="24"/>
        </w:rPr>
        <w:t>atau</w:t>
      </w:r>
      <w:r w:rsidR="00A954D0">
        <w:rPr>
          <w:rFonts w:ascii="Bookman Old Style" w:hAnsi="Bookman Old Style"/>
          <w:sz w:val="24"/>
          <w:szCs w:val="24"/>
        </w:rPr>
        <w:t xml:space="preserve"> </w:t>
      </w:r>
      <w:r w:rsidRPr="003D69A4">
        <w:rPr>
          <w:rFonts w:ascii="Bookman Old Style" w:hAnsi="Bookman Old Style"/>
          <w:sz w:val="24"/>
          <w:szCs w:val="24"/>
        </w:rPr>
        <w:t>0,05%</w:t>
      </w:r>
      <w:r w:rsidR="00A954D0">
        <w:rPr>
          <w:rFonts w:ascii="Bookman Old Style" w:hAnsi="Bookman Old Style"/>
          <w:sz w:val="24"/>
          <w:szCs w:val="24"/>
        </w:rPr>
        <w:t xml:space="preserve"> </w:t>
      </w:r>
      <w:r w:rsidRPr="003D69A4">
        <w:rPr>
          <w:rFonts w:ascii="Bookman Old Style" w:hAnsi="Bookman Old Style"/>
          <w:sz w:val="24"/>
          <w:szCs w:val="24"/>
        </w:rPr>
        <w:t>dari</w:t>
      </w:r>
      <w:r w:rsidR="00A954D0">
        <w:rPr>
          <w:rFonts w:ascii="Bookman Old Style" w:hAnsi="Bookman Old Style"/>
          <w:sz w:val="24"/>
          <w:szCs w:val="24"/>
        </w:rPr>
        <w:t xml:space="preserve"> </w:t>
      </w:r>
      <w:r w:rsidRPr="003D69A4">
        <w:rPr>
          <w:rFonts w:ascii="Bookman Old Style" w:hAnsi="Bookman Old Style"/>
          <w:sz w:val="24"/>
          <w:szCs w:val="24"/>
        </w:rPr>
        <w:t>total</w:t>
      </w:r>
      <w:r w:rsidR="00A954D0">
        <w:rPr>
          <w:rFonts w:ascii="Bookman Old Style" w:hAnsi="Bookman Old Style"/>
          <w:sz w:val="24"/>
          <w:szCs w:val="24"/>
        </w:rPr>
        <w:t xml:space="preserve"> </w:t>
      </w:r>
      <w:r w:rsidRPr="003D69A4">
        <w:rPr>
          <w:rFonts w:ascii="Bookman Old Style" w:hAnsi="Bookman Old Style"/>
          <w:sz w:val="24"/>
          <w:szCs w:val="24"/>
        </w:rPr>
        <w:t>belanja</w:t>
      </w:r>
      <w:r w:rsidR="00A954D0">
        <w:rPr>
          <w:rFonts w:ascii="Bookman Old Style" w:hAnsi="Bookman Old Style"/>
          <w:sz w:val="24"/>
          <w:szCs w:val="24"/>
        </w:rPr>
        <w:t xml:space="preserve"> </w:t>
      </w:r>
      <w:r w:rsidRPr="003D69A4">
        <w:rPr>
          <w:rFonts w:ascii="Bookman Old Style" w:hAnsi="Bookman Old Style"/>
          <w:sz w:val="24"/>
          <w:szCs w:val="24"/>
        </w:rPr>
        <w:t>daerah</w:t>
      </w:r>
      <w:r w:rsidR="00A954D0">
        <w:rPr>
          <w:rFonts w:ascii="Bookman Old Style" w:hAnsi="Bookman Old Style"/>
          <w:sz w:val="24"/>
          <w:szCs w:val="24"/>
        </w:rPr>
        <w:t xml:space="preserve"> </w:t>
      </w:r>
      <w:r w:rsidRPr="003D69A4">
        <w:rPr>
          <w:rFonts w:ascii="Bookman Old Style" w:hAnsi="Bookman Old Style"/>
          <w:sz w:val="24"/>
          <w:szCs w:val="24"/>
        </w:rPr>
        <w:t>dalam</w:t>
      </w:r>
      <w:r w:rsidR="00A954D0">
        <w:rPr>
          <w:rFonts w:ascii="Bookman Old Style" w:hAnsi="Bookman Old Style"/>
          <w:sz w:val="24"/>
          <w:szCs w:val="24"/>
        </w:rPr>
        <w:t xml:space="preserve"> </w:t>
      </w:r>
      <w:r w:rsidRPr="003D69A4">
        <w:rPr>
          <w:rFonts w:ascii="Bookman Old Style" w:hAnsi="Bookman Old Style"/>
          <w:sz w:val="24"/>
          <w:szCs w:val="24"/>
        </w:rPr>
        <w:t>Rancangan</w:t>
      </w:r>
      <w:r w:rsidR="00A954D0">
        <w:rPr>
          <w:rFonts w:ascii="Bookman Old Style" w:hAnsi="Bookman Old Style"/>
          <w:sz w:val="24"/>
          <w:szCs w:val="24"/>
        </w:rPr>
        <w:t xml:space="preserve"> </w:t>
      </w:r>
      <w:r w:rsidRPr="003D69A4">
        <w:rPr>
          <w:rFonts w:ascii="Bookman Old Style" w:hAnsi="Bookman Old Style"/>
          <w:sz w:val="24"/>
          <w:szCs w:val="24"/>
        </w:rPr>
        <w:t>Peraturan</w:t>
      </w:r>
      <w:r w:rsidR="00A954D0">
        <w:rPr>
          <w:rFonts w:ascii="Bookman Old Style" w:hAnsi="Bookman Old Style"/>
          <w:sz w:val="24"/>
          <w:szCs w:val="24"/>
        </w:rPr>
        <w:t xml:space="preserve"> </w:t>
      </w:r>
      <w:r w:rsidRPr="003D69A4">
        <w:rPr>
          <w:rFonts w:ascii="Bookman Old Style" w:hAnsi="Bookman Old Style"/>
          <w:sz w:val="24"/>
          <w:szCs w:val="24"/>
        </w:rPr>
        <w:t>Daerah</w:t>
      </w:r>
      <w:r w:rsidR="00A954D0">
        <w:rPr>
          <w:rFonts w:ascii="Bookman Old Style" w:hAnsi="Bookman Old Style"/>
          <w:sz w:val="24"/>
          <w:szCs w:val="24"/>
        </w:rPr>
        <w:t xml:space="preserve"> </w:t>
      </w:r>
      <w:r w:rsidRPr="003D69A4">
        <w:rPr>
          <w:rFonts w:ascii="Bookman Old Style" w:hAnsi="Bookman Old Style"/>
          <w:sz w:val="24"/>
          <w:szCs w:val="24"/>
        </w:rPr>
        <w:t>Kota</w:t>
      </w:r>
      <w:r w:rsidR="00A954D0">
        <w:rPr>
          <w:rFonts w:ascii="Bookman Old Style" w:hAnsi="Bookman Old Style"/>
          <w:sz w:val="24"/>
          <w:szCs w:val="24"/>
        </w:rPr>
        <w:t xml:space="preserve"> </w:t>
      </w:r>
      <w:r w:rsidRPr="003D69A4">
        <w:rPr>
          <w:rFonts w:ascii="Bookman Old Style" w:hAnsi="Bookman Old Style"/>
          <w:sz w:val="24"/>
          <w:szCs w:val="24"/>
        </w:rPr>
        <w:t>Tangerang</w:t>
      </w:r>
      <w:r w:rsidR="00A954D0">
        <w:rPr>
          <w:rFonts w:ascii="Bookman Old Style" w:hAnsi="Bookman Old Style"/>
          <w:sz w:val="24"/>
          <w:szCs w:val="24"/>
        </w:rPr>
        <w:t xml:space="preserve"> </w:t>
      </w:r>
      <w:r w:rsidRPr="003D69A4">
        <w:rPr>
          <w:rFonts w:ascii="Bookman Old Style" w:hAnsi="Bookman Old Style"/>
          <w:sz w:val="24"/>
          <w:szCs w:val="24"/>
        </w:rPr>
        <w:t>tentang</w:t>
      </w:r>
      <w:r w:rsidR="00A954D0">
        <w:rPr>
          <w:rFonts w:ascii="Bookman Old Style" w:hAnsi="Bookman Old Style"/>
          <w:sz w:val="24"/>
          <w:szCs w:val="24"/>
        </w:rPr>
        <w:t xml:space="preserve"> </w:t>
      </w:r>
      <w:r w:rsidRPr="003D69A4">
        <w:rPr>
          <w:rFonts w:ascii="Bookman Old Style" w:hAnsi="Bookman Old Style"/>
          <w:sz w:val="24"/>
          <w:szCs w:val="24"/>
        </w:rPr>
        <w:t>APBD</w:t>
      </w:r>
      <w:r w:rsidR="00A954D0">
        <w:rPr>
          <w:rFonts w:ascii="Bookman Old Style" w:hAnsi="Bookman Old Style"/>
          <w:sz w:val="24"/>
          <w:szCs w:val="24"/>
        </w:rPr>
        <w:t xml:space="preserve"> </w:t>
      </w:r>
      <w:r w:rsidRPr="003D69A4">
        <w:rPr>
          <w:rFonts w:ascii="Bookman Old Style" w:hAnsi="Bookman Old Style"/>
          <w:sz w:val="24"/>
          <w:szCs w:val="24"/>
        </w:rPr>
        <w:t>Tahun</w:t>
      </w:r>
      <w:r w:rsidR="00A954D0">
        <w:rPr>
          <w:rFonts w:ascii="Bookman Old Style" w:hAnsi="Bookman Old Style"/>
          <w:sz w:val="24"/>
          <w:szCs w:val="24"/>
        </w:rPr>
        <w:t xml:space="preserve"> </w:t>
      </w:r>
      <w:r w:rsidRPr="003D69A4">
        <w:rPr>
          <w:rFonts w:ascii="Bookman Old Style" w:hAnsi="Bookman Old Style"/>
          <w:sz w:val="24"/>
          <w:szCs w:val="24"/>
        </w:rPr>
        <w:t>Anggaran</w:t>
      </w:r>
      <w:r w:rsidR="00A954D0">
        <w:rPr>
          <w:rFonts w:ascii="Bookman Old Style" w:hAnsi="Bookman Old Style"/>
          <w:sz w:val="24"/>
          <w:szCs w:val="24"/>
        </w:rPr>
        <w:t xml:space="preserve"> </w:t>
      </w:r>
      <w:r w:rsidRPr="003D69A4">
        <w:rPr>
          <w:rFonts w:ascii="Bookman Old Style" w:hAnsi="Bookman Old Style"/>
          <w:sz w:val="24"/>
          <w:szCs w:val="24"/>
        </w:rPr>
        <w:t>2025,</w:t>
      </w:r>
      <w:r w:rsidR="00A954D0">
        <w:rPr>
          <w:rFonts w:ascii="Bookman Old Style" w:hAnsi="Bookman Old Style"/>
          <w:sz w:val="24"/>
          <w:szCs w:val="24"/>
        </w:rPr>
        <w:t xml:space="preserve"> </w:t>
      </w:r>
      <w:r w:rsidRPr="003D69A4">
        <w:rPr>
          <w:rFonts w:ascii="Bookman Old Style" w:hAnsi="Bookman Old Style"/>
          <w:sz w:val="24"/>
          <w:szCs w:val="24"/>
        </w:rPr>
        <w:t>yang</w:t>
      </w:r>
      <w:r w:rsidR="00A954D0">
        <w:rPr>
          <w:rFonts w:ascii="Bookman Old Style" w:hAnsi="Bookman Old Style"/>
          <w:sz w:val="24"/>
          <w:szCs w:val="24"/>
        </w:rPr>
        <w:t xml:space="preserve"> </w:t>
      </w:r>
      <w:r w:rsidRPr="003D69A4">
        <w:rPr>
          <w:rFonts w:ascii="Bookman Old Style" w:hAnsi="Bookman Old Style"/>
          <w:sz w:val="24"/>
          <w:szCs w:val="24"/>
        </w:rPr>
        <w:t>seluruhnya</w:t>
      </w:r>
      <w:r w:rsidR="00A954D0">
        <w:rPr>
          <w:rFonts w:ascii="Bookman Old Style" w:hAnsi="Bookman Old Style"/>
          <w:sz w:val="24"/>
          <w:szCs w:val="24"/>
        </w:rPr>
        <w:t xml:space="preserve"> </w:t>
      </w:r>
      <w:r w:rsidRPr="003D69A4">
        <w:rPr>
          <w:rFonts w:ascii="Bookman Old Style" w:hAnsi="Bookman Old Style"/>
          <w:sz w:val="24"/>
          <w:szCs w:val="24"/>
        </w:rPr>
        <w:t>diuraikan</w:t>
      </w:r>
      <w:r w:rsidR="00A954D0">
        <w:rPr>
          <w:rFonts w:ascii="Bookman Old Style" w:hAnsi="Bookman Old Style"/>
          <w:sz w:val="24"/>
          <w:szCs w:val="24"/>
        </w:rPr>
        <w:t xml:space="preserve"> </w:t>
      </w:r>
      <w:r w:rsidRPr="003D69A4">
        <w:rPr>
          <w:rFonts w:ascii="Bookman Old Style" w:hAnsi="Bookman Old Style"/>
          <w:sz w:val="24"/>
          <w:szCs w:val="24"/>
        </w:rPr>
        <w:t>ke</w:t>
      </w:r>
      <w:r w:rsidR="00A954D0">
        <w:rPr>
          <w:rFonts w:ascii="Bookman Old Style" w:hAnsi="Bookman Old Style"/>
          <w:sz w:val="24"/>
          <w:szCs w:val="24"/>
        </w:rPr>
        <w:t xml:space="preserve"> </w:t>
      </w:r>
      <w:r w:rsidRPr="003D69A4">
        <w:rPr>
          <w:rFonts w:ascii="Bookman Old Style" w:hAnsi="Bookman Old Style"/>
          <w:sz w:val="24"/>
          <w:szCs w:val="24"/>
        </w:rPr>
        <w:t>dalam</w:t>
      </w:r>
      <w:r w:rsidR="00A954D0">
        <w:rPr>
          <w:rFonts w:ascii="Bookman Old Style" w:hAnsi="Bookman Old Style"/>
          <w:sz w:val="24"/>
          <w:szCs w:val="24"/>
        </w:rPr>
        <w:t xml:space="preserve"> </w:t>
      </w:r>
      <w:r w:rsidRPr="003D69A4">
        <w:rPr>
          <w:rFonts w:ascii="Bookman Old Style" w:hAnsi="Bookman Old Style"/>
          <w:sz w:val="24"/>
          <w:szCs w:val="24"/>
        </w:rPr>
        <w:t>objek</w:t>
      </w:r>
      <w:r w:rsidR="00A954D0">
        <w:rPr>
          <w:rFonts w:ascii="Bookman Old Style" w:hAnsi="Bookman Old Style"/>
          <w:sz w:val="24"/>
          <w:szCs w:val="24"/>
        </w:rPr>
        <w:t xml:space="preserve"> </w:t>
      </w:r>
      <w:r w:rsidRPr="003D69A4">
        <w:rPr>
          <w:rFonts w:ascii="Bookman Old Style" w:hAnsi="Bookman Old Style"/>
          <w:sz w:val="24"/>
          <w:szCs w:val="24"/>
        </w:rPr>
        <w:t>Belanja</w:t>
      </w:r>
      <w:r w:rsidR="00A954D0">
        <w:rPr>
          <w:rFonts w:ascii="Bookman Old Style" w:hAnsi="Bookman Old Style"/>
          <w:sz w:val="24"/>
          <w:szCs w:val="24"/>
        </w:rPr>
        <w:t xml:space="preserve"> </w:t>
      </w:r>
      <w:r w:rsidRPr="003D69A4">
        <w:rPr>
          <w:rFonts w:ascii="Bookman Old Style" w:hAnsi="Bookman Old Style"/>
          <w:sz w:val="24"/>
          <w:szCs w:val="24"/>
        </w:rPr>
        <w:t>Modal</w:t>
      </w:r>
      <w:r w:rsidR="00A954D0">
        <w:rPr>
          <w:rFonts w:ascii="Bookman Old Style" w:hAnsi="Bookman Old Style"/>
          <w:sz w:val="24"/>
          <w:szCs w:val="24"/>
        </w:rPr>
        <w:t xml:space="preserve"> </w:t>
      </w:r>
      <w:r w:rsidRPr="003D69A4">
        <w:rPr>
          <w:rFonts w:ascii="Bookman Old Style" w:hAnsi="Bookman Old Style"/>
          <w:sz w:val="24"/>
          <w:szCs w:val="24"/>
        </w:rPr>
        <w:t>Instalasi</w:t>
      </w:r>
      <w:r w:rsidR="00A954D0">
        <w:rPr>
          <w:rFonts w:ascii="Bookman Old Style" w:hAnsi="Bookman Old Style"/>
          <w:sz w:val="24"/>
          <w:szCs w:val="24"/>
        </w:rPr>
        <w:t xml:space="preserve"> </w:t>
      </w:r>
      <w:r w:rsidRPr="003D69A4">
        <w:rPr>
          <w:rFonts w:ascii="Bookman Old Style" w:hAnsi="Bookman Old Style"/>
          <w:sz w:val="24"/>
          <w:szCs w:val="24"/>
        </w:rPr>
        <w:t>Pengolahan</w:t>
      </w:r>
      <w:r w:rsidR="00A954D0">
        <w:rPr>
          <w:rFonts w:ascii="Bookman Old Style" w:hAnsi="Bookman Old Style"/>
          <w:sz w:val="24"/>
          <w:szCs w:val="24"/>
        </w:rPr>
        <w:t xml:space="preserve"> </w:t>
      </w:r>
      <w:r w:rsidRPr="003D69A4">
        <w:rPr>
          <w:rFonts w:ascii="Bookman Old Style" w:hAnsi="Bookman Old Style"/>
          <w:sz w:val="24"/>
          <w:szCs w:val="24"/>
        </w:rPr>
        <w:t>Sampah</w:t>
      </w:r>
      <w:r w:rsidR="00154790">
        <w:rPr>
          <w:rFonts w:ascii="Bookman Old Style" w:hAnsi="Bookman Old Style"/>
          <w:sz w:val="24"/>
          <w:szCs w:val="24"/>
          <w:lang w:val="en-US"/>
        </w:rPr>
        <w:t>;</w:t>
      </w:r>
    </w:p>
    <w:p w14:paraId="1023791F" w14:textId="76E7662E" w:rsidR="00515C3A" w:rsidRPr="00DD61EE" w:rsidRDefault="00515C3A" w:rsidP="00154790">
      <w:pPr>
        <w:pStyle w:val="ListParagraph"/>
        <w:numPr>
          <w:ilvl w:val="0"/>
          <w:numId w:val="170"/>
        </w:numPr>
        <w:spacing w:before="60" w:after="0" w:line="276" w:lineRule="auto"/>
        <w:ind w:left="2268" w:hanging="567"/>
        <w:contextualSpacing w:val="0"/>
        <w:jc w:val="both"/>
        <w:rPr>
          <w:rFonts w:ascii="Bookman Old Style" w:hAnsi="Bookman Old Style"/>
          <w:sz w:val="24"/>
          <w:szCs w:val="24"/>
        </w:rPr>
      </w:pPr>
      <w:r w:rsidRPr="00DD61EE">
        <w:rPr>
          <w:rFonts w:ascii="Bookman Old Style" w:hAnsi="Bookman Old Style"/>
          <w:sz w:val="24"/>
          <w:szCs w:val="24"/>
        </w:rPr>
        <w:t>Belanja</w:t>
      </w:r>
      <w:r w:rsidR="00A954D0">
        <w:rPr>
          <w:rFonts w:ascii="Bookman Old Style" w:hAnsi="Bookman Old Style"/>
          <w:sz w:val="24"/>
          <w:szCs w:val="24"/>
        </w:rPr>
        <w:t xml:space="preserve"> </w:t>
      </w:r>
      <w:r w:rsidRPr="00DD61EE">
        <w:rPr>
          <w:rFonts w:ascii="Bookman Old Style" w:hAnsi="Bookman Old Style"/>
          <w:sz w:val="24"/>
          <w:szCs w:val="24"/>
        </w:rPr>
        <w:t>Modal</w:t>
      </w:r>
      <w:r w:rsidR="00A954D0">
        <w:rPr>
          <w:rFonts w:ascii="Bookman Old Style" w:hAnsi="Bookman Old Style"/>
          <w:sz w:val="24"/>
          <w:szCs w:val="24"/>
        </w:rPr>
        <w:t xml:space="preserve"> </w:t>
      </w:r>
      <w:r w:rsidRPr="00DD61EE">
        <w:rPr>
          <w:rFonts w:ascii="Bookman Old Style" w:hAnsi="Bookman Old Style"/>
          <w:sz w:val="24"/>
          <w:szCs w:val="24"/>
        </w:rPr>
        <w:t>Jaringan</w:t>
      </w:r>
      <w:r w:rsidR="00A954D0">
        <w:rPr>
          <w:rFonts w:ascii="Bookman Old Style" w:hAnsi="Bookman Old Style"/>
          <w:sz w:val="24"/>
          <w:szCs w:val="24"/>
        </w:rPr>
        <w:t xml:space="preserve"> </w:t>
      </w:r>
      <w:r w:rsidRPr="00DD61EE">
        <w:rPr>
          <w:rFonts w:ascii="Bookman Old Style" w:hAnsi="Bookman Old Style"/>
          <w:sz w:val="24"/>
          <w:szCs w:val="24"/>
        </w:rPr>
        <w:t>Rp2.660.488.204,00</w:t>
      </w:r>
      <w:r w:rsidR="00A954D0">
        <w:rPr>
          <w:rFonts w:ascii="Bookman Old Style" w:hAnsi="Bookman Old Style"/>
          <w:sz w:val="24"/>
          <w:szCs w:val="24"/>
        </w:rPr>
        <w:t xml:space="preserve"> </w:t>
      </w:r>
      <w:r w:rsidRPr="00DD61EE">
        <w:rPr>
          <w:rFonts w:ascii="Bookman Old Style" w:hAnsi="Bookman Old Style"/>
          <w:sz w:val="24"/>
          <w:szCs w:val="24"/>
        </w:rPr>
        <w:t>atau</w:t>
      </w:r>
      <w:r w:rsidR="00A954D0">
        <w:rPr>
          <w:rFonts w:ascii="Bookman Old Style" w:hAnsi="Bookman Old Style"/>
          <w:sz w:val="24"/>
          <w:szCs w:val="24"/>
        </w:rPr>
        <w:t xml:space="preserve"> </w:t>
      </w:r>
      <w:r w:rsidRPr="00DD61EE">
        <w:rPr>
          <w:rFonts w:ascii="Bookman Old Style" w:hAnsi="Bookman Old Style"/>
          <w:sz w:val="24"/>
          <w:szCs w:val="24"/>
        </w:rPr>
        <w:t>0,05%</w:t>
      </w:r>
      <w:r w:rsidR="00A954D0">
        <w:rPr>
          <w:rFonts w:ascii="Bookman Old Style" w:hAnsi="Bookman Old Style"/>
          <w:sz w:val="24"/>
          <w:szCs w:val="24"/>
        </w:rPr>
        <w:t xml:space="preserve"> </w:t>
      </w:r>
      <w:r w:rsidRPr="00DD61EE">
        <w:rPr>
          <w:rFonts w:ascii="Bookman Old Style" w:hAnsi="Bookman Old Style"/>
          <w:sz w:val="24"/>
          <w:szCs w:val="24"/>
        </w:rPr>
        <w:t>dari</w:t>
      </w:r>
      <w:r w:rsidR="00A954D0">
        <w:rPr>
          <w:rFonts w:ascii="Bookman Old Style" w:hAnsi="Bookman Old Style"/>
          <w:sz w:val="24"/>
          <w:szCs w:val="24"/>
        </w:rPr>
        <w:t xml:space="preserve"> </w:t>
      </w:r>
      <w:r w:rsidRPr="00DD61EE">
        <w:rPr>
          <w:rFonts w:ascii="Bookman Old Style" w:hAnsi="Bookman Old Style"/>
          <w:sz w:val="24"/>
          <w:szCs w:val="24"/>
        </w:rPr>
        <w:t>total</w:t>
      </w:r>
      <w:r w:rsidR="00A954D0">
        <w:rPr>
          <w:rFonts w:ascii="Bookman Old Style" w:hAnsi="Bookman Old Style"/>
          <w:sz w:val="24"/>
          <w:szCs w:val="24"/>
        </w:rPr>
        <w:t xml:space="preserve"> </w:t>
      </w:r>
      <w:r w:rsidRPr="00DD61EE">
        <w:rPr>
          <w:rFonts w:ascii="Bookman Old Style" w:hAnsi="Bookman Old Style"/>
          <w:sz w:val="24"/>
          <w:szCs w:val="24"/>
        </w:rPr>
        <w:t>belanja</w:t>
      </w:r>
      <w:r w:rsidR="00A954D0">
        <w:rPr>
          <w:rFonts w:ascii="Bookman Old Style" w:hAnsi="Bookman Old Style"/>
          <w:sz w:val="24"/>
          <w:szCs w:val="24"/>
        </w:rPr>
        <w:t xml:space="preserve"> </w:t>
      </w:r>
      <w:r w:rsidRPr="00DD61EE">
        <w:rPr>
          <w:rFonts w:ascii="Bookman Old Style" w:hAnsi="Bookman Old Style"/>
          <w:sz w:val="24"/>
          <w:szCs w:val="24"/>
        </w:rPr>
        <w:t>daerah</w:t>
      </w:r>
      <w:r w:rsidR="00A954D0">
        <w:rPr>
          <w:rFonts w:ascii="Bookman Old Style" w:hAnsi="Bookman Old Style"/>
          <w:sz w:val="24"/>
          <w:szCs w:val="24"/>
        </w:rPr>
        <w:t xml:space="preserve"> </w:t>
      </w:r>
      <w:r w:rsidRPr="00DD61EE">
        <w:rPr>
          <w:rFonts w:ascii="Bookman Old Style" w:hAnsi="Bookman Old Style"/>
          <w:sz w:val="24"/>
          <w:szCs w:val="24"/>
        </w:rPr>
        <w:t>dalam</w:t>
      </w:r>
      <w:r w:rsidR="00A954D0">
        <w:rPr>
          <w:rFonts w:ascii="Bookman Old Style" w:hAnsi="Bookman Old Style"/>
          <w:sz w:val="24"/>
          <w:szCs w:val="24"/>
        </w:rPr>
        <w:t xml:space="preserve"> </w:t>
      </w:r>
      <w:r w:rsidRPr="00DD61EE">
        <w:rPr>
          <w:rFonts w:ascii="Bookman Old Style" w:hAnsi="Bookman Old Style"/>
          <w:sz w:val="24"/>
          <w:szCs w:val="24"/>
        </w:rPr>
        <w:t>Rancangan</w:t>
      </w:r>
      <w:r w:rsidR="00A954D0">
        <w:rPr>
          <w:rFonts w:ascii="Bookman Old Style" w:hAnsi="Bookman Old Style"/>
          <w:sz w:val="24"/>
          <w:szCs w:val="24"/>
        </w:rPr>
        <w:t xml:space="preserve"> </w:t>
      </w:r>
      <w:r w:rsidRPr="00DD61EE">
        <w:rPr>
          <w:rFonts w:ascii="Bookman Old Style" w:hAnsi="Bookman Old Style"/>
          <w:sz w:val="24"/>
          <w:szCs w:val="24"/>
        </w:rPr>
        <w:t>Peraturan</w:t>
      </w:r>
      <w:r w:rsidR="00A954D0">
        <w:rPr>
          <w:rFonts w:ascii="Bookman Old Style" w:hAnsi="Bookman Old Style"/>
          <w:sz w:val="24"/>
          <w:szCs w:val="24"/>
        </w:rPr>
        <w:t xml:space="preserve"> </w:t>
      </w:r>
      <w:r w:rsidRPr="00DD61EE">
        <w:rPr>
          <w:rFonts w:ascii="Bookman Old Style" w:hAnsi="Bookman Old Style"/>
          <w:sz w:val="24"/>
          <w:szCs w:val="24"/>
        </w:rPr>
        <w:t>Daerah</w:t>
      </w:r>
      <w:r w:rsidR="00A954D0">
        <w:rPr>
          <w:rFonts w:ascii="Bookman Old Style" w:hAnsi="Bookman Old Style"/>
          <w:sz w:val="24"/>
          <w:szCs w:val="24"/>
        </w:rPr>
        <w:t xml:space="preserve"> </w:t>
      </w:r>
      <w:r w:rsidRPr="00DD61EE">
        <w:rPr>
          <w:rFonts w:ascii="Bookman Old Style" w:hAnsi="Bookman Old Style"/>
          <w:sz w:val="24"/>
          <w:szCs w:val="24"/>
        </w:rPr>
        <w:t>Kota</w:t>
      </w:r>
      <w:r w:rsidR="00A954D0">
        <w:rPr>
          <w:rFonts w:ascii="Bookman Old Style" w:hAnsi="Bookman Old Style"/>
          <w:sz w:val="24"/>
          <w:szCs w:val="24"/>
        </w:rPr>
        <w:t xml:space="preserve"> </w:t>
      </w:r>
      <w:r w:rsidRPr="00DD61EE">
        <w:rPr>
          <w:rFonts w:ascii="Bookman Old Style" w:hAnsi="Bookman Old Style"/>
          <w:sz w:val="24"/>
          <w:szCs w:val="24"/>
        </w:rPr>
        <w:t>Tangerang</w:t>
      </w:r>
      <w:r w:rsidR="00A954D0">
        <w:rPr>
          <w:rFonts w:ascii="Bookman Old Style" w:hAnsi="Bookman Old Style"/>
          <w:sz w:val="24"/>
          <w:szCs w:val="24"/>
        </w:rPr>
        <w:t xml:space="preserve"> </w:t>
      </w:r>
      <w:r w:rsidRPr="00DD61EE">
        <w:rPr>
          <w:rFonts w:ascii="Bookman Old Style" w:hAnsi="Bookman Old Style"/>
          <w:sz w:val="24"/>
          <w:szCs w:val="24"/>
        </w:rPr>
        <w:t>tentang</w:t>
      </w:r>
      <w:r w:rsidR="00A954D0">
        <w:rPr>
          <w:rFonts w:ascii="Bookman Old Style" w:hAnsi="Bookman Old Style"/>
          <w:sz w:val="24"/>
          <w:szCs w:val="24"/>
        </w:rPr>
        <w:t xml:space="preserve"> </w:t>
      </w:r>
      <w:r w:rsidRPr="00DD61EE">
        <w:rPr>
          <w:rFonts w:ascii="Bookman Old Style" w:hAnsi="Bookman Old Style"/>
          <w:sz w:val="24"/>
          <w:szCs w:val="24"/>
        </w:rPr>
        <w:t>APBD</w:t>
      </w:r>
      <w:r w:rsidR="00A954D0">
        <w:rPr>
          <w:rFonts w:ascii="Bookman Old Style" w:hAnsi="Bookman Old Style"/>
          <w:sz w:val="24"/>
          <w:szCs w:val="24"/>
        </w:rPr>
        <w:t xml:space="preserve"> </w:t>
      </w:r>
      <w:r w:rsidRPr="00DD61EE">
        <w:rPr>
          <w:rFonts w:ascii="Bookman Old Style" w:hAnsi="Bookman Old Style"/>
          <w:sz w:val="24"/>
          <w:szCs w:val="24"/>
        </w:rPr>
        <w:t>Tahun</w:t>
      </w:r>
      <w:r w:rsidR="00A954D0">
        <w:rPr>
          <w:rFonts w:ascii="Bookman Old Style" w:hAnsi="Bookman Old Style"/>
          <w:sz w:val="24"/>
          <w:szCs w:val="24"/>
        </w:rPr>
        <w:t xml:space="preserve"> </w:t>
      </w:r>
      <w:r w:rsidRPr="00DD61EE">
        <w:rPr>
          <w:rFonts w:ascii="Bookman Old Style" w:hAnsi="Bookman Old Style"/>
          <w:sz w:val="24"/>
          <w:szCs w:val="24"/>
        </w:rPr>
        <w:t>Anggaran</w:t>
      </w:r>
      <w:r w:rsidR="00A954D0">
        <w:rPr>
          <w:rFonts w:ascii="Bookman Old Style" w:hAnsi="Bookman Old Style"/>
          <w:sz w:val="24"/>
          <w:szCs w:val="24"/>
        </w:rPr>
        <w:t xml:space="preserve"> </w:t>
      </w:r>
      <w:r w:rsidRPr="00DD61EE">
        <w:rPr>
          <w:rFonts w:ascii="Bookman Old Style" w:hAnsi="Bookman Old Style"/>
          <w:sz w:val="24"/>
          <w:szCs w:val="24"/>
        </w:rPr>
        <w:t>2025,</w:t>
      </w:r>
      <w:r w:rsidR="00A954D0">
        <w:rPr>
          <w:rFonts w:ascii="Bookman Old Style" w:hAnsi="Bookman Old Style"/>
          <w:sz w:val="24"/>
          <w:szCs w:val="24"/>
        </w:rPr>
        <w:t xml:space="preserve"> </w:t>
      </w:r>
      <w:r w:rsidRPr="00DD61EE">
        <w:rPr>
          <w:rFonts w:ascii="Bookman Old Style" w:hAnsi="Bookman Old Style"/>
          <w:sz w:val="24"/>
          <w:szCs w:val="24"/>
        </w:rPr>
        <w:t>yang</w:t>
      </w:r>
      <w:r w:rsidR="00A954D0">
        <w:rPr>
          <w:rFonts w:ascii="Bookman Old Style" w:hAnsi="Bookman Old Style"/>
          <w:sz w:val="24"/>
          <w:szCs w:val="24"/>
        </w:rPr>
        <w:t xml:space="preserve"> </w:t>
      </w:r>
      <w:r w:rsidRPr="00DD61EE">
        <w:rPr>
          <w:rFonts w:ascii="Bookman Old Style" w:hAnsi="Bookman Old Style"/>
          <w:sz w:val="24"/>
          <w:szCs w:val="24"/>
        </w:rPr>
        <w:t>diuraikan</w:t>
      </w:r>
      <w:r w:rsidR="00A954D0">
        <w:rPr>
          <w:rFonts w:ascii="Bookman Old Style" w:hAnsi="Bookman Old Style"/>
          <w:sz w:val="24"/>
          <w:szCs w:val="24"/>
        </w:rPr>
        <w:t xml:space="preserve"> </w:t>
      </w:r>
      <w:r w:rsidRPr="00DD61EE">
        <w:rPr>
          <w:rFonts w:ascii="Bookman Old Style" w:hAnsi="Bookman Old Style"/>
          <w:sz w:val="24"/>
          <w:szCs w:val="24"/>
        </w:rPr>
        <w:t>ke</w:t>
      </w:r>
      <w:r w:rsidR="00A954D0">
        <w:rPr>
          <w:rFonts w:ascii="Bookman Old Style" w:hAnsi="Bookman Old Style"/>
          <w:sz w:val="24"/>
          <w:szCs w:val="24"/>
        </w:rPr>
        <w:t xml:space="preserve"> </w:t>
      </w:r>
      <w:r w:rsidRPr="00DD61EE">
        <w:rPr>
          <w:rFonts w:ascii="Bookman Old Style" w:hAnsi="Bookman Old Style"/>
          <w:sz w:val="24"/>
          <w:szCs w:val="24"/>
        </w:rPr>
        <w:t>dalam</w:t>
      </w:r>
      <w:r w:rsidR="00A954D0">
        <w:rPr>
          <w:rFonts w:ascii="Bookman Old Style" w:hAnsi="Bookman Old Style"/>
          <w:sz w:val="24"/>
          <w:szCs w:val="24"/>
        </w:rPr>
        <w:t xml:space="preserve"> </w:t>
      </w:r>
      <w:r w:rsidRPr="00DD61EE">
        <w:rPr>
          <w:rFonts w:ascii="Bookman Old Style" w:hAnsi="Bookman Old Style"/>
          <w:sz w:val="24"/>
          <w:szCs w:val="24"/>
        </w:rPr>
        <w:t>objek</w:t>
      </w:r>
      <w:r w:rsidR="00A954D0">
        <w:rPr>
          <w:rFonts w:ascii="Bookman Old Style" w:hAnsi="Bookman Old Style"/>
          <w:sz w:val="24"/>
          <w:szCs w:val="24"/>
        </w:rPr>
        <w:t xml:space="preserve"> </w:t>
      </w:r>
      <w:r w:rsidRPr="00DD61EE">
        <w:rPr>
          <w:rFonts w:ascii="Bookman Old Style" w:hAnsi="Bookman Old Style"/>
          <w:sz w:val="24"/>
          <w:szCs w:val="24"/>
        </w:rPr>
        <w:t>belanja;</w:t>
      </w:r>
    </w:p>
    <w:p w14:paraId="3BEA61D2" w14:textId="4A481D1D" w:rsidR="00515C3A" w:rsidRPr="00DD61EE" w:rsidRDefault="00515C3A" w:rsidP="00154790">
      <w:pPr>
        <w:pStyle w:val="ListParagraph"/>
        <w:numPr>
          <w:ilvl w:val="1"/>
          <w:numId w:val="170"/>
        </w:numPr>
        <w:spacing w:before="60" w:after="0" w:line="276" w:lineRule="auto"/>
        <w:ind w:left="2694" w:hanging="425"/>
        <w:contextualSpacing w:val="0"/>
        <w:jc w:val="both"/>
        <w:rPr>
          <w:rFonts w:ascii="Bookman Old Style" w:hAnsi="Bookman Old Style"/>
          <w:sz w:val="24"/>
          <w:szCs w:val="24"/>
        </w:rPr>
      </w:pPr>
      <w:r w:rsidRPr="00DD61EE">
        <w:rPr>
          <w:rFonts w:ascii="Bookman Old Style" w:hAnsi="Bookman Old Style"/>
          <w:sz w:val="24"/>
          <w:szCs w:val="24"/>
        </w:rPr>
        <w:t>Belanja</w:t>
      </w:r>
      <w:r w:rsidR="00A954D0">
        <w:rPr>
          <w:rFonts w:ascii="Bookman Old Style" w:hAnsi="Bookman Old Style"/>
          <w:sz w:val="24"/>
          <w:szCs w:val="24"/>
        </w:rPr>
        <w:t xml:space="preserve"> </w:t>
      </w:r>
      <w:r w:rsidRPr="00DD61EE">
        <w:rPr>
          <w:rFonts w:ascii="Bookman Old Style" w:hAnsi="Bookman Old Style"/>
          <w:sz w:val="24"/>
          <w:szCs w:val="24"/>
        </w:rPr>
        <w:t>Modal</w:t>
      </w:r>
      <w:r w:rsidR="00A954D0">
        <w:rPr>
          <w:rFonts w:ascii="Bookman Old Style" w:hAnsi="Bookman Old Style"/>
          <w:sz w:val="24"/>
          <w:szCs w:val="24"/>
        </w:rPr>
        <w:t xml:space="preserve"> </w:t>
      </w:r>
      <w:r w:rsidRPr="00DD61EE">
        <w:rPr>
          <w:rFonts w:ascii="Bookman Old Style" w:hAnsi="Bookman Old Style"/>
          <w:sz w:val="24"/>
          <w:szCs w:val="24"/>
        </w:rPr>
        <w:t>Jaringan</w:t>
      </w:r>
      <w:r w:rsidR="00A954D0">
        <w:rPr>
          <w:rFonts w:ascii="Bookman Old Style" w:hAnsi="Bookman Old Style"/>
          <w:sz w:val="24"/>
          <w:szCs w:val="24"/>
        </w:rPr>
        <w:t xml:space="preserve"> </w:t>
      </w:r>
      <w:r w:rsidRPr="00DD61EE">
        <w:rPr>
          <w:rFonts w:ascii="Bookman Old Style" w:hAnsi="Bookman Old Style"/>
          <w:sz w:val="24"/>
          <w:szCs w:val="24"/>
        </w:rPr>
        <w:t>Air</w:t>
      </w:r>
      <w:r w:rsidR="00A954D0">
        <w:rPr>
          <w:rFonts w:ascii="Bookman Old Style" w:hAnsi="Bookman Old Style"/>
          <w:sz w:val="24"/>
          <w:szCs w:val="24"/>
        </w:rPr>
        <w:t xml:space="preserve"> </w:t>
      </w:r>
      <w:r w:rsidRPr="00DD61EE">
        <w:rPr>
          <w:rFonts w:ascii="Bookman Old Style" w:hAnsi="Bookman Old Style"/>
          <w:sz w:val="24"/>
          <w:szCs w:val="24"/>
        </w:rPr>
        <w:t>Minum</w:t>
      </w:r>
      <w:r w:rsidR="00A954D0">
        <w:rPr>
          <w:rFonts w:ascii="Bookman Old Style" w:hAnsi="Bookman Old Style"/>
          <w:sz w:val="24"/>
          <w:szCs w:val="24"/>
        </w:rPr>
        <w:t xml:space="preserve"> </w:t>
      </w:r>
      <w:r w:rsidRPr="00DD61EE">
        <w:rPr>
          <w:rFonts w:ascii="Bookman Old Style" w:hAnsi="Bookman Old Style"/>
          <w:sz w:val="24"/>
          <w:szCs w:val="24"/>
        </w:rPr>
        <w:t>Rp1.094.715.504,00;</w:t>
      </w:r>
    </w:p>
    <w:p w14:paraId="29B77AAD" w14:textId="09BA5802" w:rsidR="00515C3A" w:rsidRPr="00DD61EE" w:rsidRDefault="00515C3A" w:rsidP="00154790">
      <w:pPr>
        <w:pStyle w:val="ListParagraph"/>
        <w:numPr>
          <w:ilvl w:val="1"/>
          <w:numId w:val="170"/>
        </w:numPr>
        <w:spacing w:before="60" w:after="0" w:line="276" w:lineRule="auto"/>
        <w:ind w:left="2694" w:hanging="425"/>
        <w:contextualSpacing w:val="0"/>
        <w:jc w:val="both"/>
        <w:rPr>
          <w:rFonts w:ascii="Bookman Old Style" w:hAnsi="Bookman Old Style"/>
          <w:sz w:val="24"/>
          <w:szCs w:val="24"/>
        </w:rPr>
      </w:pPr>
      <w:r w:rsidRPr="00DD61EE">
        <w:rPr>
          <w:rFonts w:ascii="Bookman Old Style" w:hAnsi="Bookman Old Style"/>
          <w:sz w:val="24"/>
          <w:szCs w:val="24"/>
        </w:rPr>
        <w:t>Belanja</w:t>
      </w:r>
      <w:r w:rsidR="00A954D0">
        <w:rPr>
          <w:rFonts w:ascii="Bookman Old Style" w:hAnsi="Bookman Old Style"/>
          <w:sz w:val="24"/>
          <w:szCs w:val="24"/>
        </w:rPr>
        <w:t xml:space="preserve"> </w:t>
      </w:r>
      <w:r w:rsidRPr="00DD61EE">
        <w:rPr>
          <w:rFonts w:ascii="Bookman Old Style" w:hAnsi="Bookman Old Style"/>
          <w:sz w:val="24"/>
          <w:szCs w:val="24"/>
        </w:rPr>
        <w:t>Modal</w:t>
      </w:r>
      <w:r w:rsidR="00A954D0">
        <w:rPr>
          <w:rFonts w:ascii="Bookman Old Style" w:hAnsi="Bookman Old Style"/>
          <w:sz w:val="24"/>
          <w:szCs w:val="24"/>
        </w:rPr>
        <w:t xml:space="preserve"> </w:t>
      </w:r>
      <w:r w:rsidRPr="00DD61EE">
        <w:rPr>
          <w:rFonts w:ascii="Bookman Old Style" w:hAnsi="Bookman Old Style"/>
          <w:sz w:val="24"/>
          <w:szCs w:val="24"/>
        </w:rPr>
        <w:t>Jaringan</w:t>
      </w:r>
      <w:r w:rsidR="00A954D0">
        <w:rPr>
          <w:rFonts w:ascii="Bookman Old Style" w:hAnsi="Bookman Old Style"/>
          <w:sz w:val="24"/>
          <w:szCs w:val="24"/>
        </w:rPr>
        <w:t xml:space="preserve"> </w:t>
      </w:r>
      <w:r w:rsidRPr="00DD61EE">
        <w:rPr>
          <w:rFonts w:ascii="Bookman Old Style" w:hAnsi="Bookman Old Style"/>
          <w:sz w:val="24"/>
          <w:szCs w:val="24"/>
        </w:rPr>
        <w:t>Listrik</w:t>
      </w:r>
      <w:r w:rsidR="00A954D0">
        <w:rPr>
          <w:rFonts w:ascii="Bookman Old Style" w:hAnsi="Bookman Old Style"/>
          <w:sz w:val="24"/>
          <w:szCs w:val="24"/>
        </w:rPr>
        <w:t xml:space="preserve"> </w:t>
      </w:r>
      <w:r w:rsidRPr="00DD61EE">
        <w:rPr>
          <w:rFonts w:ascii="Bookman Old Style" w:hAnsi="Bookman Old Style"/>
          <w:sz w:val="24"/>
          <w:szCs w:val="24"/>
        </w:rPr>
        <w:t>Rp1.565.772.700,00,00</w:t>
      </w:r>
      <w:r w:rsidR="00154790" w:rsidRPr="00154790">
        <w:rPr>
          <w:rFonts w:ascii="Bookman Old Style" w:hAnsi="Bookman Old Style"/>
          <w:sz w:val="24"/>
          <w:szCs w:val="24"/>
          <w:lang w:val="sv-FI"/>
        </w:rPr>
        <w:t>.</w:t>
      </w:r>
    </w:p>
    <w:p w14:paraId="71275EA1" w14:textId="3109BA92" w:rsidR="00515C3A" w:rsidRPr="008919AD" w:rsidRDefault="00515C3A" w:rsidP="00154790">
      <w:pPr>
        <w:numPr>
          <w:ilvl w:val="0"/>
          <w:numId w:val="27"/>
        </w:numPr>
        <w:spacing w:before="60" w:line="276" w:lineRule="auto"/>
        <w:ind w:left="1701" w:hanging="425"/>
        <w:jc w:val="both"/>
        <w:rPr>
          <w:rFonts w:ascii="Bookman Old Style" w:hAnsi="Bookman Old Style"/>
          <w:lang w:val="fi-FI"/>
        </w:rPr>
      </w:pPr>
      <w:r w:rsidRPr="00E32046">
        <w:rPr>
          <w:rFonts w:ascii="Bookman Old Style" w:hAnsi="Bookman Old Style"/>
          <w:lang w:val="fi-FI"/>
        </w:rPr>
        <w:t>Belanja</w:t>
      </w:r>
      <w:r w:rsidR="00A954D0">
        <w:rPr>
          <w:rFonts w:ascii="Bookman Old Style" w:hAnsi="Bookman Old Style"/>
          <w:lang w:val="fi-FI"/>
        </w:rPr>
        <w:t xml:space="preserve"> </w:t>
      </w:r>
      <w:r w:rsidRPr="008919AD">
        <w:rPr>
          <w:rFonts w:ascii="Bookman Old Style" w:hAnsi="Bookman Old Style"/>
          <w:lang w:val="fi-FI"/>
        </w:rPr>
        <w:t>Modal</w:t>
      </w:r>
      <w:r w:rsidR="00A954D0">
        <w:rPr>
          <w:rFonts w:ascii="Bookman Old Style" w:hAnsi="Bookman Old Style"/>
          <w:lang w:val="fi-FI"/>
        </w:rPr>
        <w:t xml:space="preserve"> </w:t>
      </w:r>
      <w:r w:rsidRPr="008919AD">
        <w:rPr>
          <w:rFonts w:ascii="Bookman Old Style" w:hAnsi="Bookman Old Style"/>
          <w:lang w:val="fi-FI"/>
        </w:rPr>
        <w:t>Aset</w:t>
      </w:r>
      <w:r w:rsidR="00A954D0">
        <w:rPr>
          <w:rFonts w:ascii="Bookman Old Style" w:hAnsi="Bookman Old Style"/>
          <w:lang w:val="fi-FI"/>
        </w:rPr>
        <w:t xml:space="preserve"> </w:t>
      </w:r>
      <w:r w:rsidRPr="008919AD">
        <w:rPr>
          <w:rFonts w:ascii="Bookman Old Style" w:hAnsi="Bookman Old Style"/>
          <w:lang w:val="fi-FI"/>
        </w:rPr>
        <w:t>Tetap</w:t>
      </w:r>
      <w:r w:rsidR="00A954D0">
        <w:rPr>
          <w:rFonts w:ascii="Bookman Old Style" w:hAnsi="Bookman Old Style"/>
          <w:lang w:val="fi-FI"/>
        </w:rPr>
        <w:t xml:space="preserve"> </w:t>
      </w:r>
      <w:r w:rsidRPr="008919AD">
        <w:rPr>
          <w:rFonts w:ascii="Bookman Old Style" w:hAnsi="Bookman Old Style"/>
          <w:lang w:val="fi-FI"/>
        </w:rPr>
        <w:t>Lainnya</w:t>
      </w:r>
      <w:r w:rsidR="00A954D0">
        <w:rPr>
          <w:rFonts w:ascii="Bookman Old Style" w:hAnsi="Bookman Old Style"/>
          <w:lang w:val="fi-FI"/>
        </w:rPr>
        <w:t xml:space="preserve"> </w:t>
      </w:r>
      <w:r w:rsidRPr="008919AD">
        <w:rPr>
          <w:rFonts w:ascii="Bookman Old Style" w:hAnsi="Bookman Old Style"/>
          <w:lang w:val="fi-FI"/>
        </w:rPr>
        <w:t>Rp41.312.087.058,00</w:t>
      </w:r>
      <w:r w:rsidR="00A954D0">
        <w:rPr>
          <w:rFonts w:ascii="Bookman Old Style" w:hAnsi="Bookman Old Style"/>
          <w:lang w:val="fi-FI"/>
        </w:rPr>
        <w:t xml:space="preserve"> </w:t>
      </w:r>
      <w:r w:rsidRPr="008919AD">
        <w:rPr>
          <w:rFonts w:ascii="Bookman Old Style" w:hAnsi="Bookman Old Style"/>
          <w:lang w:val="fi-FI"/>
        </w:rPr>
        <w:t>atau</w:t>
      </w:r>
      <w:r w:rsidR="00A954D0">
        <w:rPr>
          <w:rFonts w:ascii="Bookman Old Style" w:hAnsi="Bookman Old Style"/>
          <w:lang w:val="fi-FI"/>
        </w:rPr>
        <w:t xml:space="preserve"> </w:t>
      </w:r>
      <w:r w:rsidRPr="008919AD">
        <w:rPr>
          <w:rFonts w:ascii="Bookman Old Style" w:hAnsi="Bookman Old Style"/>
          <w:lang w:val="fi-FI"/>
        </w:rPr>
        <w:t>0,72%</w:t>
      </w:r>
      <w:r w:rsidR="00A954D0">
        <w:rPr>
          <w:rFonts w:ascii="Bookman Old Style" w:hAnsi="Bookman Old Style"/>
          <w:lang w:val="fi-FI"/>
        </w:rPr>
        <w:t xml:space="preserve"> </w:t>
      </w:r>
      <w:r w:rsidRPr="008919AD">
        <w:rPr>
          <w:rFonts w:ascii="Bookman Old Style" w:hAnsi="Bookman Old Style"/>
          <w:lang w:val="fi-FI"/>
        </w:rPr>
        <w:t>dari</w:t>
      </w:r>
      <w:r w:rsidR="00A954D0">
        <w:rPr>
          <w:rFonts w:ascii="Bookman Old Style" w:hAnsi="Bookman Old Style"/>
          <w:lang w:val="fi-FI"/>
        </w:rPr>
        <w:t xml:space="preserve"> </w:t>
      </w:r>
      <w:r w:rsidRPr="008919AD">
        <w:rPr>
          <w:rFonts w:ascii="Bookman Old Style" w:hAnsi="Bookman Old Style"/>
          <w:lang w:val="fi-FI"/>
        </w:rPr>
        <w:t>total</w:t>
      </w:r>
      <w:r w:rsidR="00A954D0">
        <w:rPr>
          <w:rFonts w:ascii="Bookman Old Style" w:hAnsi="Bookman Old Style"/>
          <w:lang w:val="fi-FI"/>
        </w:rPr>
        <w:t xml:space="preserve"> </w:t>
      </w:r>
      <w:r w:rsidRPr="008919AD">
        <w:rPr>
          <w:rFonts w:ascii="Bookman Old Style" w:hAnsi="Bookman Old Style"/>
          <w:lang w:val="fi-FI"/>
        </w:rPr>
        <w:t>belanja</w:t>
      </w:r>
      <w:r w:rsidR="00A954D0">
        <w:rPr>
          <w:rFonts w:ascii="Bookman Old Style" w:hAnsi="Bookman Old Style"/>
          <w:lang w:val="fi-FI"/>
        </w:rPr>
        <w:t xml:space="preserve"> </w:t>
      </w:r>
      <w:r w:rsidRPr="008919AD">
        <w:rPr>
          <w:rFonts w:ascii="Bookman Old Style" w:hAnsi="Bookman Old Style"/>
          <w:lang w:val="fi-FI"/>
        </w:rPr>
        <w:t>daerah</w:t>
      </w:r>
      <w:r w:rsidR="00A954D0">
        <w:rPr>
          <w:rFonts w:ascii="Bookman Old Style" w:hAnsi="Bookman Old Style"/>
          <w:lang w:val="fi-FI"/>
        </w:rPr>
        <w:t xml:space="preserve"> </w:t>
      </w:r>
      <w:r w:rsidRPr="008919AD">
        <w:rPr>
          <w:rFonts w:ascii="Bookman Old Style" w:hAnsi="Bookman Old Style"/>
          <w:lang w:val="fi-FI"/>
        </w:rPr>
        <w:t>dalam</w:t>
      </w:r>
      <w:r w:rsidR="00A954D0">
        <w:rPr>
          <w:rFonts w:ascii="Bookman Old Style" w:hAnsi="Bookman Old Style"/>
          <w:lang w:val="fi-FI"/>
        </w:rPr>
        <w:t xml:space="preserve"> </w:t>
      </w:r>
      <w:r w:rsidRPr="008919AD">
        <w:rPr>
          <w:rFonts w:ascii="Bookman Old Style" w:hAnsi="Bookman Old Style"/>
          <w:lang w:val="fi-FI"/>
        </w:rPr>
        <w:t>Rancangan</w:t>
      </w:r>
      <w:r w:rsidR="00A954D0">
        <w:rPr>
          <w:rFonts w:ascii="Bookman Old Style" w:hAnsi="Bookman Old Style"/>
          <w:lang w:val="fi-FI"/>
        </w:rPr>
        <w:t xml:space="preserve"> </w:t>
      </w:r>
      <w:r w:rsidRPr="008919AD">
        <w:rPr>
          <w:rFonts w:ascii="Bookman Old Style" w:hAnsi="Bookman Old Style"/>
          <w:lang w:val="fi-FI"/>
        </w:rPr>
        <w:t>Peraturan</w:t>
      </w:r>
      <w:r w:rsidR="00A954D0">
        <w:rPr>
          <w:rFonts w:ascii="Bookman Old Style" w:hAnsi="Bookman Old Style"/>
          <w:lang w:val="fi-FI"/>
        </w:rPr>
        <w:t xml:space="preserve"> </w:t>
      </w:r>
      <w:r w:rsidRPr="008919AD">
        <w:rPr>
          <w:rFonts w:ascii="Bookman Old Style" w:hAnsi="Bookman Old Style"/>
          <w:lang w:val="fi-FI"/>
        </w:rPr>
        <w:t>Daerah</w:t>
      </w:r>
      <w:r w:rsidR="00A954D0">
        <w:rPr>
          <w:rFonts w:ascii="Bookman Old Style" w:hAnsi="Bookman Old Style"/>
          <w:lang w:val="fi-FI"/>
        </w:rPr>
        <w:t xml:space="preserve"> </w:t>
      </w:r>
      <w:r w:rsidRPr="008919AD">
        <w:rPr>
          <w:rFonts w:ascii="Bookman Old Style" w:hAnsi="Bookman Old Style"/>
          <w:lang w:val="fi-FI"/>
        </w:rPr>
        <w:t>Kota</w:t>
      </w:r>
      <w:r w:rsidR="00A954D0">
        <w:rPr>
          <w:rFonts w:ascii="Bookman Old Style" w:hAnsi="Bookman Old Style"/>
          <w:lang w:val="fi-FI"/>
        </w:rPr>
        <w:t xml:space="preserve"> </w:t>
      </w:r>
      <w:r w:rsidRPr="008919AD">
        <w:rPr>
          <w:rFonts w:ascii="Bookman Old Style" w:hAnsi="Bookman Old Style"/>
          <w:lang w:val="fi-FI"/>
        </w:rPr>
        <w:t>Tangerang</w:t>
      </w:r>
      <w:r w:rsidR="00A954D0">
        <w:rPr>
          <w:rFonts w:ascii="Bookman Old Style" w:hAnsi="Bookman Old Style"/>
          <w:lang w:val="fi-FI"/>
        </w:rPr>
        <w:t xml:space="preserve"> </w:t>
      </w:r>
      <w:r w:rsidRPr="008919AD">
        <w:rPr>
          <w:rFonts w:ascii="Bookman Old Style" w:hAnsi="Bookman Old Style"/>
          <w:lang w:val="fi-FI"/>
        </w:rPr>
        <w:t>tentang</w:t>
      </w:r>
      <w:r w:rsidR="00A954D0">
        <w:rPr>
          <w:rFonts w:ascii="Bookman Old Style" w:hAnsi="Bookman Old Style"/>
          <w:lang w:val="fi-FI"/>
        </w:rPr>
        <w:t xml:space="preserve"> </w:t>
      </w:r>
      <w:r w:rsidRPr="008919AD">
        <w:rPr>
          <w:rFonts w:ascii="Bookman Old Style" w:hAnsi="Bookman Old Style"/>
          <w:lang w:val="fi-FI"/>
        </w:rPr>
        <w:t>APBD</w:t>
      </w:r>
      <w:r w:rsidR="00A954D0">
        <w:rPr>
          <w:rFonts w:ascii="Bookman Old Style" w:hAnsi="Bookman Old Style"/>
          <w:lang w:val="fi-FI"/>
        </w:rPr>
        <w:t xml:space="preserve"> </w:t>
      </w:r>
      <w:r w:rsidRPr="008919AD">
        <w:rPr>
          <w:rFonts w:ascii="Bookman Old Style" w:hAnsi="Bookman Old Style"/>
          <w:lang w:val="fi-FI"/>
        </w:rPr>
        <w:t>Tahun</w:t>
      </w:r>
      <w:r w:rsidR="00A954D0">
        <w:rPr>
          <w:rFonts w:ascii="Bookman Old Style" w:hAnsi="Bookman Old Style"/>
          <w:lang w:val="fi-FI"/>
        </w:rPr>
        <w:t xml:space="preserve"> </w:t>
      </w:r>
      <w:r w:rsidRPr="008919AD">
        <w:rPr>
          <w:rFonts w:ascii="Bookman Old Style" w:hAnsi="Bookman Old Style"/>
          <w:lang w:val="fi-FI"/>
        </w:rPr>
        <w:t>Anggaran</w:t>
      </w:r>
      <w:r w:rsidR="00A954D0">
        <w:rPr>
          <w:rFonts w:ascii="Bookman Old Style" w:hAnsi="Bookman Old Style"/>
          <w:lang w:val="fi-FI"/>
        </w:rPr>
        <w:t xml:space="preserve"> </w:t>
      </w:r>
      <w:r w:rsidRPr="008919AD">
        <w:rPr>
          <w:rFonts w:ascii="Bookman Old Style" w:hAnsi="Bookman Old Style"/>
          <w:lang w:val="fi-FI"/>
        </w:rPr>
        <w:t>2025,</w:t>
      </w:r>
      <w:r w:rsidR="00A954D0">
        <w:rPr>
          <w:rFonts w:ascii="Bookman Old Style" w:hAnsi="Bookman Old Style"/>
          <w:lang w:val="fi-FI"/>
        </w:rPr>
        <w:t xml:space="preserve"> </w:t>
      </w:r>
      <w:r w:rsidRPr="008919AD">
        <w:rPr>
          <w:rFonts w:ascii="Bookman Old Style" w:hAnsi="Bookman Old Style"/>
          <w:lang w:val="fi-FI"/>
        </w:rPr>
        <w:t>yang</w:t>
      </w:r>
      <w:r w:rsidR="00A954D0">
        <w:rPr>
          <w:rFonts w:ascii="Bookman Old Style" w:hAnsi="Bookman Old Style"/>
          <w:lang w:val="fi-FI"/>
        </w:rPr>
        <w:t xml:space="preserve"> </w:t>
      </w:r>
      <w:r w:rsidRPr="008919AD">
        <w:rPr>
          <w:rFonts w:ascii="Bookman Old Style" w:hAnsi="Bookman Old Style"/>
          <w:lang w:val="fi-FI"/>
        </w:rPr>
        <w:t>diuraikan</w:t>
      </w:r>
      <w:r w:rsidR="00A954D0">
        <w:rPr>
          <w:rFonts w:ascii="Bookman Old Style" w:hAnsi="Bookman Old Style"/>
          <w:lang w:val="fi-FI"/>
        </w:rPr>
        <w:t xml:space="preserve"> </w:t>
      </w:r>
      <w:r w:rsidRPr="008919AD">
        <w:rPr>
          <w:rFonts w:ascii="Bookman Old Style" w:hAnsi="Bookman Old Style"/>
          <w:lang w:val="fi-FI"/>
        </w:rPr>
        <w:t>ke</w:t>
      </w:r>
      <w:r w:rsidR="00A954D0">
        <w:rPr>
          <w:rFonts w:ascii="Bookman Old Style" w:hAnsi="Bookman Old Style"/>
          <w:lang w:val="fi-FI"/>
        </w:rPr>
        <w:t xml:space="preserve"> </w:t>
      </w:r>
      <w:r w:rsidRPr="008919AD">
        <w:rPr>
          <w:rFonts w:ascii="Bookman Old Style" w:hAnsi="Bookman Old Style"/>
          <w:lang w:val="fi-FI"/>
        </w:rPr>
        <w:t>dalam</w:t>
      </w:r>
      <w:r w:rsidR="00A954D0">
        <w:rPr>
          <w:rFonts w:ascii="Bookman Old Style" w:hAnsi="Bookman Old Style"/>
          <w:lang w:val="fi-FI"/>
        </w:rPr>
        <w:t xml:space="preserve"> </w:t>
      </w:r>
      <w:r w:rsidRPr="008919AD">
        <w:rPr>
          <w:rFonts w:ascii="Bookman Old Style" w:hAnsi="Bookman Old Style"/>
          <w:lang w:val="fi-FI"/>
        </w:rPr>
        <w:t>objek</w:t>
      </w:r>
      <w:r w:rsidR="00A954D0">
        <w:rPr>
          <w:rFonts w:ascii="Bookman Old Style" w:hAnsi="Bookman Old Style"/>
          <w:lang w:val="fi-FI"/>
        </w:rPr>
        <w:t xml:space="preserve"> </w:t>
      </w:r>
      <w:r w:rsidRPr="008919AD">
        <w:rPr>
          <w:rFonts w:ascii="Bookman Old Style" w:hAnsi="Bookman Old Style"/>
          <w:lang w:val="fi-FI"/>
        </w:rPr>
        <w:t>belanja;</w:t>
      </w:r>
    </w:p>
    <w:p w14:paraId="0E6647E5" w14:textId="3F8721BA" w:rsidR="00515C3A" w:rsidRPr="008919AD" w:rsidRDefault="00515C3A" w:rsidP="00154790">
      <w:pPr>
        <w:pStyle w:val="ListParagraph"/>
        <w:numPr>
          <w:ilvl w:val="0"/>
          <w:numId w:val="203"/>
        </w:numPr>
        <w:spacing w:before="60" w:after="0" w:line="276" w:lineRule="auto"/>
        <w:ind w:left="2268" w:hanging="567"/>
        <w:contextualSpacing w:val="0"/>
        <w:jc w:val="both"/>
        <w:rPr>
          <w:rFonts w:ascii="Bookman Old Style" w:hAnsi="Bookman Old Style"/>
          <w:sz w:val="24"/>
          <w:szCs w:val="24"/>
          <w:lang w:val="fi-FI" w:eastAsia="en-US"/>
        </w:rPr>
      </w:pPr>
      <w:r w:rsidRPr="008919AD">
        <w:rPr>
          <w:rFonts w:ascii="Bookman Old Style" w:hAnsi="Bookman Old Style"/>
          <w:sz w:val="24"/>
          <w:szCs w:val="24"/>
          <w:lang w:val="fi-FI" w:eastAsia="en-US"/>
        </w:rPr>
        <w:t>Belanja</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Modal</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Bahan</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Perpustakaan</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rPr>
        <w:t>Rp1.091.841.300,00</w:t>
      </w:r>
      <w:r w:rsidR="00A954D0">
        <w:rPr>
          <w:rFonts w:ascii="Bookman Old Style" w:hAnsi="Bookman Old Style"/>
          <w:sz w:val="24"/>
          <w:szCs w:val="24"/>
          <w:lang w:val="fi-FI"/>
        </w:rPr>
        <w:t xml:space="preserve"> </w:t>
      </w:r>
      <w:r w:rsidRPr="008919AD">
        <w:rPr>
          <w:rFonts w:ascii="Bookman Old Style" w:hAnsi="Bookman Old Style"/>
          <w:sz w:val="24"/>
          <w:szCs w:val="24"/>
          <w:lang w:val="fi-FI" w:eastAsia="en-US"/>
        </w:rPr>
        <w:t>atau</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0,02%</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dari</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total</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belanja</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daerah</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dalam</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Rancangan</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Peraturan</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Daerah</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Kota</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Tangerang</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tentang</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APBD</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Tahun</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Anggaran</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2025,</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yang</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seluruhnya</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diuraikan</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ke</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dalam</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objek</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Belanja</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Modal</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Bahan</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Perpustakaan</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Tercetak;</w:t>
      </w:r>
    </w:p>
    <w:p w14:paraId="04E0C3FB" w14:textId="075AC85E" w:rsidR="00515C3A" w:rsidRDefault="00515C3A" w:rsidP="00154790">
      <w:pPr>
        <w:pStyle w:val="ListParagraph"/>
        <w:numPr>
          <w:ilvl w:val="0"/>
          <w:numId w:val="203"/>
        </w:numPr>
        <w:spacing w:before="60" w:after="0" w:line="276" w:lineRule="auto"/>
        <w:ind w:left="2268" w:hanging="567"/>
        <w:contextualSpacing w:val="0"/>
        <w:jc w:val="both"/>
        <w:rPr>
          <w:rFonts w:ascii="Bookman Old Style" w:hAnsi="Bookman Old Style"/>
          <w:sz w:val="24"/>
          <w:szCs w:val="24"/>
          <w:lang w:val="fi-FI" w:eastAsia="en-US"/>
        </w:rPr>
      </w:pPr>
      <w:r w:rsidRPr="008919AD">
        <w:rPr>
          <w:rFonts w:ascii="Bookman Old Style" w:hAnsi="Bookman Old Style"/>
          <w:sz w:val="24"/>
          <w:szCs w:val="24"/>
          <w:lang w:val="fi-FI" w:eastAsia="en-US"/>
        </w:rPr>
        <w:t>Belanja</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Modal</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Aset</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Tetap</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Dalam</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Renovasi</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rPr>
        <w:t>Rp15.000.000.000,00,00</w:t>
      </w:r>
      <w:r w:rsidR="00A954D0">
        <w:rPr>
          <w:rFonts w:ascii="Bookman Old Style" w:hAnsi="Bookman Old Style"/>
          <w:sz w:val="24"/>
          <w:szCs w:val="24"/>
          <w:lang w:val="fi-FI"/>
        </w:rPr>
        <w:t xml:space="preserve"> </w:t>
      </w:r>
      <w:r w:rsidRPr="008919AD">
        <w:rPr>
          <w:rFonts w:ascii="Bookman Old Style" w:hAnsi="Bookman Old Style"/>
          <w:sz w:val="24"/>
          <w:szCs w:val="24"/>
          <w:lang w:val="fi-FI" w:eastAsia="en-US"/>
        </w:rPr>
        <w:t>atau</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0,26%</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dari</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total</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belanja</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daerah</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dalam</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Rancangan</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Peraturan</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Daerah</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Kota</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Tangerang</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tentang</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APBD</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Tahun</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Anggaran</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2025,</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yang</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lastRenderedPageBreak/>
        <w:t>seluruhnya</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diuraikan</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ke</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dalam</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objek</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Belanja</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Modal</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Aset</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Tetap</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Dalam</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Renovasi;</w:t>
      </w:r>
    </w:p>
    <w:p w14:paraId="3DCB38F8" w14:textId="4BC3D03B" w:rsidR="00515C3A" w:rsidRPr="008919AD" w:rsidRDefault="00515C3A" w:rsidP="00154790">
      <w:pPr>
        <w:pStyle w:val="ListParagraph"/>
        <w:numPr>
          <w:ilvl w:val="0"/>
          <w:numId w:val="203"/>
        </w:numPr>
        <w:spacing w:before="60" w:after="0" w:line="276" w:lineRule="auto"/>
        <w:ind w:left="2268" w:hanging="567"/>
        <w:contextualSpacing w:val="0"/>
        <w:jc w:val="both"/>
        <w:rPr>
          <w:rFonts w:ascii="Bookman Old Style" w:hAnsi="Bookman Old Style"/>
          <w:sz w:val="24"/>
          <w:szCs w:val="24"/>
          <w:lang w:val="fi-FI" w:eastAsia="en-US"/>
        </w:rPr>
      </w:pPr>
      <w:bookmarkStart w:id="36" w:name="_Hlk183018606"/>
      <w:r w:rsidRPr="008919AD">
        <w:rPr>
          <w:rFonts w:ascii="Bookman Old Style" w:hAnsi="Bookman Old Style"/>
          <w:sz w:val="24"/>
          <w:szCs w:val="24"/>
          <w:lang w:val="fi-FI" w:eastAsia="en-US"/>
        </w:rPr>
        <w:t>Belanja</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Modal</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Aset</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Tetap</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Lainnya</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BOSP</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Rp18.969.801.500,00</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atau</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0,33%</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dari</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total</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belanja</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daerah</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dalam</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Rancangan</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Peraturan</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Daerah</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Kota</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Tangerang</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tentang</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APBD</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Tahun</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Anggaran</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2025</w:t>
      </w:r>
      <w:r w:rsidR="00A954D0">
        <w:rPr>
          <w:sz w:val="24"/>
          <w:szCs w:val="24"/>
        </w:rPr>
        <w:t xml:space="preserve"> </w:t>
      </w:r>
      <w:r w:rsidRPr="008919AD">
        <w:rPr>
          <w:rFonts w:ascii="Bookman Old Style" w:hAnsi="Bookman Old Style"/>
          <w:sz w:val="24"/>
          <w:szCs w:val="24"/>
          <w:lang w:val="fi-FI" w:eastAsia="en-US"/>
        </w:rPr>
        <w:t>yang</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seluruhnya</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diuraikan</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ke</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dalam</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objek</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Belanja</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Modal</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Aset</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Tetap</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Lainnya</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BOSP-BOS;</w:t>
      </w:r>
      <w:bookmarkEnd w:id="36"/>
    </w:p>
    <w:p w14:paraId="38555231" w14:textId="071827BB" w:rsidR="00515C3A" w:rsidRPr="008919AD" w:rsidRDefault="00515C3A" w:rsidP="00154790">
      <w:pPr>
        <w:pStyle w:val="ListParagraph"/>
        <w:numPr>
          <w:ilvl w:val="0"/>
          <w:numId w:val="203"/>
        </w:numPr>
        <w:spacing w:before="60" w:after="0" w:line="276" w:lineRule="auto"/>
        <w:ind w:left="2268" w:hanging="567"/>
        <w:contextualSpacing w:val="0"/>
        <w:jc w:val="both"/>
        <w:rPr>
          <w:rFonts w:ascii="Bookman Old Style" w:hAnsi="Bookman Old Style"/>
          <w:sz w:val="24"/>
          <w:szCs w:val="24"/>
          <w:lang w:val="fi-FI" w:eastAsia="en-US"/>
        </w:rPr>
      </w:pPr>
      <w:r w:rsidRPr="008919AD">
        <w:rPr>
          <w:rFonts w:ascii="Bookman Old Style" w:hAnsi="Bookman Old Style"/>
          <w:sz w:val="24"/>
          <w:szCs w:val="24"/>
          <w:lang w:val="fi-FI" w:eastAsia="en-US"/>
        </w:rPr>
        <w:t>Belanja</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Modal</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Aset</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Tetap</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Lainnya</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BLUD</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Rp6.250.444.258,00</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atau</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0,11%</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dari</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total</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belanja</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daerah</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dalam</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Rancangan</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Peraturan</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Daerah</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Kota</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Tangerang</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tentang</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APBD</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Tahun</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Anggaran</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2025</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yang</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seluruhnya</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diuraikan</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ke</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dalam</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objek</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Belanja</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Modal</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Aset</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Tetap</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Lainnya</w:t>
      </w:r>
      <w:r w:rsidR="00A954D0">
        <w:rPr>
          <w:rFonts w:ascii="Bookman Old Style" w:hAnsi="Bookman Old Style"/>
          <w:sz w:val="24"/>
          <w:szCs w:val="24"/>
          <w:lang w:val="fi-FI" w:eastAsia="en-US"/>
        </w:rPr>
        <w:t xml:space="preserve"> </w:t>
      </w:r>
      <w:r w:rsidRPr="008919AD">
        <w:rPr>
          <w:rFonts w:ascii="Bookman Old Style" w:hAnsi="Bookman Old Style"/>
          <w:sz w:val="24"/>
          <w:szCs w:val="24"/>
          <w:lang w:val="fi-FI" w:eastAsia="en-US"/>
        </w:rPr>
        <w:t>BLUD.</w:t>
      </w:r>
    </w:p>
    <w:p w14:paraId="3C3F024F" w14:textId="63896CEA" w:rsidR="00515C3A" w:rsidRPr="008919AD" w:rsidRDefault="00515C3A" w:rsidP="00154790">
      <w:pPr>
        <w:numPr>
          <w:ilvl w:val="0"/>
          <w:numId w:val="27"/>
        </w:numPr>
        <w:spacing w:before="60" w:line="276" w:lineRule="auto"/>
        <w:ind w:left="1701" w:hanging="425"/>
        <w:jc w:val="both"/>
        <w:rPr>
          <w:rFonts w:ascii="Bookman Old Style" w:hAnsi="Bookman Old Style"/>
          <w:lang w:val="fi-FI"/>
        </w:rPr>
      </w:pPr>
      <w:r w:rsidRPr="008919AD">
        <w:rPr>
          <w:rFonts w:ascii="Bookman Old Style" w:hAnsi="Bookman Old Style"/>
          <w:lang w:val="fi-FI"/>
        </w:rPr>
        <w:t>Belanja</w:t>
      </w:r>
      <w:r w:rsidR="00A954D0">
        <w:rPr>
          <w:rFonts w:ascii="Bookman Old Style" w:hAnsi="Bookman Old Style"/>
          <w:lang w:val="fi-FI"/>
        </w:rPr>
        <w:t xml:space="preserve"> </w:t>
      </w:r>
      <w:r w:rsidRPr="008919AD">
        <w:rPr>
          <w:rFonts w:ascii="Bookman Old Style" w:hAnsi="Bookman Old Style"/>
          <w:lang w:val="fi-FI"/>
        </w:rPr>
        <w:t>Modal</w:t>
      </w:r>
      <w:r w:rsidR="00A954D0">
        <w:rPr>
          <w:rFonts w:ascii="Bookman Old Style" w:hAnsi="Bookman Old Style"/>
          <w:lang w:val="fi-FI"/>
        </w:rPr>
        <w:t xml:space="preserve"> </w:t>
      </w:r>
      <w:r w:rsidRPr="008919AD">
        <w:rPr>
          <w:rFonts w:ascii="Bookman Old Style" w:hAnsi="Bookman Old Style"/>
          <w:lang w:val="fi-FI"/>
        </w:rPr>
        <w:t>Aset</w:t>
      </w:r>
      <w:r w:rsidR="00A954D0">
        <w:rPr>
          <w:rFonts w:ascii="Bookman Old Style" w:hAnsi="Bookman Old Style"/>
          <w:lang w:val="fi-FI"/>
        </w:rPr>
        <w:t xml:space="preserve"> </w:t>
      </w:r>
      <w:r w:rsidRPr="008919AD">
        <w:rPr>
          <w:rFonts w:ascii="Bookman Old Style" w:hAnsi="Bookman Old Style"/>
          <w:lang w:val="fi-FI"/>
        </w:rPr>
        <w:t>Lainnya</w:t>
      </w:r>
      <w:r w:rsidR="00A954D0">
        <w:rPr>
          <w:rFonts w:ascii="Bookman Old Style" w:hAnsi="Bookman Old Style"/>
          <w:lang w:val="fi-FI"/>
        </w:rPr>
        <w:t xml:space="preserve"> </w:t>
      </w:r>
      <w:r w:rsidRPr="008919AD">
        <w:rPr>
          <w:rFonts w:ascii="Bookman Old Style" w:hAnsi="Bookman Old Style"/>
          <w:lang w:val="fi-FI"/>
        </w:rPr>
        <w:t>Rp3.244.467.262,00</w:t>
      </w:r>
      <w:r w:rsidR="00A954D0">
        <w:rPr>
          <w:rFonts w:ascii="Bookman Old Style" w:hAnsi="Bookman Old Style"/>
          <w:lang w:val="fi-FI"/>
        </w:rPr>
        <w:t xml:space="preserve"> </w:t>
      </w:r>
      <w:r w:rsidRPr="008919AD">
        <w:rPr>
          <w:rFonts w:ascii="Bookman Old Style" w:hAnsi="Bookman Old Style"/>
          <w:lang w:val="fi-FI"/>
        </w:rPr>
        <w:t>atau</w:t>
      </w:r>
      <w:r w:rsidR="00A954D0">
        <w:rPr>
          <w:rFonts w:ascii="Bookman Old Style" w:hAnsi="Bookman Old Style"/>
          <w:lang w:val="fi-FI"/>
        </w:rPr>
        <w:t xml:space="preserve"> </w:t>
      </w:r>
      <w:r w:rsidRPr="008919AD">
        <w:rPr>
          <w:rFonts w:ascii="Bookman Old Style" w:hAnsi="Bookman Old Style"/>
          <w:lang w:val="fi-FI"/>
        </w:rPr>
        <w:t>0,06%</w:t>
      </w:r>
      <w:r w:rsidR="00A954D0">
        <w:rPr>
          <w:rFonts w:ascii="Bookman Old Style" w:hAnsi="Bookman Old Style"/>
          <w:lang w:val="fi-FI"/>
        </w:rPr>
        <w:t xml:space="preserve"> </w:t>
      </w:r>
      <w:r w:rsidRPr="008919AD">
        <w:rPr>
          <w:rFonts w:ascii="Bookman Old Style" w:hAnsi="Bookman Old Style"/>
          <w:lang w:val="fi-FI"/>
        </w:rPr>
        <w:t>dari</w:t>
      </w:r>
      <w:r w:rsidR="00A954D0">
        <w:rPr>
          <w:rFonts w:ascii="Bookman Old Style" w:hAnsi="Bookman Old Style"/>
          <w:lang w:val="fi-FI"/>
        </w:rPr>
        <w:t xml:space="preserve"> </w:t>
      </w:r>
      <w:r w:rsidRPr="008919AD">
        <w:rPr>
          <w:rFonts w:ascii="Bookman Old Style" w:hAnsi="Bookman Old Style"/>
          <w:lang w:val="fi-FI"/>
        </w:rPr>
        <w:t>total</w:t>
      </w:r>
      <w:r w:rsidR="00A954D0">
        <w:rPr>
          <w:rFonts w:ascii="Bookman Old Style" w:hAnsi="Bookman Old Style"/>
          <w:lang w:val="fi-FI"/>
        </w:rPr>
        <w:t xml:space="preserve"> </w:t>
      </w:r>
      <w:r w:rsidRPr="008919AD">
        <w:rPr>
          <w:rFonts w:ascii="Bookman Old Style" w:hAnsi="Bookman Old Style"/>
          <w:lang w:val="fi-FI"/>
        </w:rPr>
        <w:t>belanja</w:t>
      </w:r>
      <w:r w:rsidR="00A954D0">
        <w:rPr>
          <w:rFonts w:ascii="Bookman Old Style" w:hAnsi="Bookman Old Style"/>
          <w:lang w:val="fi-FI"/>
        </w:rPr>
        <w:t xml:space="preserve"> </w:t>
      </w:r>
      <w:r w:rsidRPr="008919AD">
        <w:rPr>
          <w:rFonts w:ascii="Bookman Old Style" w:hAnsi="Bookman Old Style"/>
          <w:lang w:val="fi-FI"/>
        </w:rPr>
        <w:t>daerah</w:t>
      </w:r>
      <w:r w:rsidR="00A954D0">
        <w:rPr>
          <w:rFonts w:ascii="Bookman Old Style" w:hAnsi="Bookman Old Style"/>
          <w:lang w:val="fi-FI"/>
        </w:rPr>
        <w:t xml:space="preserve"> </w:t>
      </w:r>
      <w:r w:rsidRPr="008919AD">
        <w:rPr>
          <w:rFonts w:ascii="Bookman Old Style" w:hAnsi="Bookman Old Style"/>
          <w:lang w:val="fi-FI"/>
        </w:rPr>
        <w:t>dalam</w:t>
      </w:r>
      <w:r w:rsidR="00A954D0">
        <w:rPr>
          <w:rFonts w:ascii="Bookman Old Style" w:hAnsi="Bookman Old Style"/>
          <w:lang w:val="fi-FI"/>
        </w:rPr>
        <w:t xml:space="preserve"> </w:t>
      </w:r>
      <w:r w:rsidRPr="008919AD">
        <w:rPr>
          <w:rFonts w:ascii="Bookman Old Style" w:hAnsi="Bookman Old Style"/>
          <w:lang w:val="fi-FI"/>
        </w:rPr>
        <w:t>Rancangan</w:t>
      </w:r>
      <w:r w:rsidR="00A954D0">
        <w:rPr>
          <w:rFonts w:ascii="Bookman Old Style" w:hAnsi="Bookman Old Style"/>
          <w:lang w:val="fi-FI"/>
        </w:rPr>
        <w:t xml:space="preserve"> </w:t>
      </w:r>
      <w:r w:rsidRPr="008919AD">
        <w:rPr>
          <w:rFonts w:ascii="Bookman Old Style" w:hAnsi="Bookman Old Style"/>
          <w:lang w:val="fi-FI"/>
        </w:rPr>
        <w:t>Peraturan</w:t>
      </w:r>
      <w:r w:rsidR="00A954D0">
        <w:rPr>
          <w:rFonts w:ascii="Bookman Old Style" w:hAnsi="Bookman Old Style"/>
          <w:lang w:val="fi-FI"/>
        </w:rPr>
        <w:t xml:space="preserve"> </w:t>
      </w:r>
      <w:r w:rsidRPr="008919AD">
        <w:rPr>
          <w:rFonts w:ascii="Bookman Old Style" w:hAnsi="Bookman Old Style"/>
          <w:lang w:val="fi-FI"/>
        </w:rPr>
        <w:t>Daerah</w:t>
      </w:r>
      <w:r w:rsidR="00A954D0">
        <w:rPr>
          <w:rFonts w:ascii="Bookman Old Style" w:hAnsi="Bookman Old Style"/>
          <w:lang w:val="fi-FI"/>
        </w:rPr>
        <w:t xml:space="preserve"> </w:t>
      </w:r>
      <w:r w:rsidRPr="008919AD">
        <w:rPr>
          <w:rFonts w:ascii="Bookman Old Style" w:hAnsi="Bookman Old Style"/>
          <w:lang w:val="fi-FI"/>
        </w:rPr>
        <w:t>Kota</w:t>
      </w:r>
      <w:r w:rsidR="00A954D0">
        <w:rPr>
          <w:rFonts w:ascii="Bookman Old Style" w:hAnsi="Bookman Old Style"/>
          <w:lang w:val="fi-FI"/>
        </w:rPr>
        <w:t xml:space="preserve"> </w:t>
      </w:r>
      <w:r w:rsidRPr="008919AD">
        <w:rPr>
          <w:rFonts w:ascii="Bookman Old Style" w:hAnsi="Bookman Old Style"/>
          <w:lang w:val="fi-FI"/>
        </w:rPr>
        <w:t>Tangerang</w:t>
      </w:r>
      <w:r w:rsidR="00A954D0">
        <w:rPr>
          <w:rFonts w:ascii="Bookman Old Style" w:hAnsi="Bookman Old Style"/>
          <w:lang w:val="fi-FI"/>
        </w:rPr>
        <w:t xml:space="preserve"> </w:t>
      </w:r>
      <w:r w:rsidRPr="008919AD">
        <w:rPr>
          <w:rFonts w:ascii="Bookman Old Style" w:hAnsi="Bookman Old Style"/>
          <w:lang w:val="fi-FI"/>
        </w:rPr>
        <w:t>tentang</w:t>
      </w:r>
      <w:r w:rsidR="00A954D0">
        <w:rPr>
          <w:rFonts w:ascii="Bookman Old Style" w:hAnsi="Bookman Old Style"/>
          <w:lang w:val="fi-FI"/>
        </w:rPr>
        <w:t xml:space="preserve"> </w:t>
      </w:r>
      <w:r w:rsidRPr="008919AD">
        <w:rPr>
          <w:rFonts w:ascii="Bookman Old Style" w:hAnsi="Bookman Old Style"/>
          <w:lang w:val="fi-FI"/>
        </w:rPr>
        <w:t>APBD</w:t>
      </w:r>
      <w:r w:rsidR="00A954D0">
        <w:rPr>
          <w:rFonts w:ascii="Bookman Old Style" w:hAnsi="Bookman Old Style"/>
          <w:lang w:val="fi-FI"/>
        </w:rPr>
        <w:t xml:space="preserve"> </w:t>
      </w:r>
      <w:r w:rsidRPr="008919AD">
        <w:rPr>
          <w:rFonts w:ascii="Bookman Old Style" w:hAnsi="Bookman Old Style"/>
          <w:lang w:val="fi-FI"/>
        </w:rPr>
        <w:t>Tahun</w:t>
      </w:r>
      <w:r w:rsidR="00A954D0">
        <w:rPr>
          <w:rFonts w:ascii="Bookman Old Style" w:hAnsi="Bookman Old Style"/>
          <w:lang w:val="fi-FI"/>
        </w:rPr>
        <w:t xml:space="preserve"> </w:t>
      </w:r>
      <w:r w:rsidRPr="008919AD">
        <w:rPr>
          <w:rFonts w:ascii="Bookman Old Style" w:hAnsi="Bookman Old Style"/>
          <w:lang w:val="fi-FI"/>
        </w:rPr>
        <w:t>Anggaran</w:t>
      </w:r>
      <w:r w:rsidR="00A954D0">
        <w:rPr>
          <w:rFonts w:ascii="Bookman Old Style" w:hAnsi="Bookman Old Style"/>
          <w:lang w:val="fi-FI"/>
        </w:rPr>
        <w:t xml:space="preserve"> </w:t>
      </w:r>
      <w:r w:rsidRPr="008919AD">
        <w:rPr>
          <w:rFonts w:ascii="Bookman Old Style" w:hAnsi="Bookman Old Style"/>
          <w:lang w:val="fi-FI"/>
        </w:rPr>
        <w:t>2025,</w:t>
      </w:r>
      <w:r w:rsidR="00A954D0">
        <w:rPr>
          <w:rFonts w:ascii="Bookman Old Style" w:hAnsi="Bookman Old Style"/>
          <w:lang w:val="fi-FI"/>
        </w:rPr>
        <w:t xml:space="preserve"> </w:t>
      </w:r>
      <w:r w:rsidRPr="008919AD">
        <w:rPr>
          <w:rFonts w:ascii="Bookman Old Style" w:hAnsi="Bookman Old Style"/>
          <w:lang w:val="fi-FI"/>
        </w:rPr>
        <w:t>yang</w:t>
      </w:r>
      <w:r w:rsidR="00A954D0">
        <w:rPr>
          <w:rFonts w:ascii="Bookman Old Style" w:hAnsi="Bookman Old Style"/>
          <w:lang w:val="fi-FI"/>
        </w:rPr>
        <w:t xml:space="preserve"> </w:t>
      </w:r>
      <w:r w:rsidRPr="008919AD">
        <w:rPr>
          <w:rFonts w:ascii="Bookman Old Style" w:hAnsi="Bookman Old Style"/>
          <w:lang w:val="fi-FI"/>
        </w:rPr>
        <w:t>seluruhnya</w:t>
      </w:r>
      <w:r w:rsidR="00A954D0">
        <w:rPr>
          <w:rFonts w:ascii="Bookman Old Style" w:hAnsi="Bookman Old Style"/>
          <w:lang w:val="fi-FI"/>
        </w:rPr>
        <w:t xml:space="preserve"> </w:t>
      </w:r>
      <w:r w:rsidRPr="008919AD">
        <w:rPr>
          <w:rFonts w:ascii="Bookman Old Style" w:hAnsi="Bookman Old Style"/>
          <w:lang w:val="fi-FI"/>
        </w:rPr>
        <w:t>diuraikan</w:t>
      </w:r>
      <w:r w:rsidR="00A954D0">
        <w:rPr>
          <w:rFonts w:ascii="Bookman Old Style" w:hAnsi="Bookman Old Style"/>
          <w:lang w:val="fi-FI"/>
        </w:rPr>
        <w:t xml:space="preserve"> </w:t>
      </w:r>
      <w:r w:rsidRPr="008919AD">
        <w:rPr>
          <w:rFonts w:ascii="Bookman Old Style" w:hAnsi="Bookman Old Style"/>
          <w:lang w:val="fi-FI"/>
        </w:rPr>
        <w:t>ke</w:t>
      </w:r>
      <w:r w:rsidR="00A954D0">
        <w:rPr>
          <w:rFonts w:ascii="Bookman Old Style" w:hAnsi="Bookman Old Style"/>
          <w:lang w:val="fi-FI"/>
        </w:rPr>
        <w:t xml:space="preserve"> </w:t>
      </w:r>
      <w:r w:rsidRPr="008919AD">
        <w:rPr>
          <w:rFonts w:ascii="Bookman Old Style" w:hAnsi="Bookman Old Style"/>
          <w:lang w:val="fi-FI"/>
        </w:rPr>
        <w:t>dalam</w:t>
      </w:r>
      <w:r w:rsidR="00A954D0">
        <w:rPr>
          <w:rFonts w:ascii="Bookman Old Style" w:hAnsi="Bookman Old Style"/>
          <w:lang w:val="fi-FI"/>
        </w:rPr>
        <w:t xml:space="preserve"> </w:t>
      </w:r>
      <w:r w:rsidRPr="008919AD">
        <w:rPr>
          <w:rFonts w:ascii="Bookman Old Style" w:hAnsi="Bookman Old Style"/>
          <w:lang w:val="fi-FI"/>
        </w:rPr>
        <w:t>objek</w:t>
      </w:r>
      <w:r w:rsidR="00A954D0">
        <w:rPr>
          <w:rFonts w:ascii="Bookman Old Style" w:hAnsi="Bookman Old Style"/>
          <w:lang w:val="fi-FI"/>
        </w:rPr>
        <w:t xml:space="preserve"> </w:t>
      </w:r>
      <w:r w:rsidRPr="008919AD">
        <w:rPr>
          <w:rFonts w:ascii="Bookman Old Style" w:hAnsi="Bookman Old Style"/>
          <w:lang w:val="fi-FI"/>
        </w:rPr>
        <w:t>belanja</w:t>
      </w:r>
      <w:r w:rsidR="00A954D0">
        <w:rPr>
          <w:rFonts w:ascii="Bookman Old Style" w:hAnsi="Bookman Old Style"/>
          <w:lang w:val="fi-FI"/>
        </w:rPr>
        <w:t xml:space="preserve"> </w:t>
      </w:r>
      <w:r w:rsidRPr="008919AD">
        <w:rPr>
          <w:rFonts w:ascii="Bookman Old Style" w:hAnsi="Bookman Old Style"/>
          <w:lang w:val="fi-FI"/>
        </w:rPr>
        <w:t>Belanja</w:t>
      </w:r>
      <w:r w:rsidR="00A954D0">
        <w:rPr>
          <w:rFonts w:ascii="Bookman Old Style" w:hAnsi="Bookman Old Style"/>
          <w:lang w:val="fi-FI"/>
        </w:rPr>
        <w:t xml:space="preserve"> </w:t>
      </w:r>
      <w:r w:rsidRPr="008919AD">
        <w:rPr>
          <w:rFonts w:ascii="Bookman Old Style" w:hAnsi="Bookman Old Style"/>
          <w:lang w:val="fi-FI"/>
        </w:rPr>
        <w:t>Modal</w:t>
      </w:r>
      <w:r w:rsidR="00A954D0">
        <w:rPr>
          <w:rFonts w:ascii="Bookman Old Style" w:hAnsi="Bookman Old Style"/>
          <w:lang w:val="fi-FI"/>
        </w:rPr>
        <w:t xml:space="preserve"> </w:t>
      </w:r>
      <w:r w:rsidRPr="008919AD">
        <w:rPr>
          <w:rFonts w:ascii="Bookman Old Style" w:hAnsi="Bookman Old Style"/>
          <w:lang w:val="fi-FI"/>
        </w:rPr>
        <w:t>Aset</w:t>
      </w:r>
      <w:r w:rsidR="00A954D0">
        <w:rPr>
          <w:rFonts w:ascii="Bookman Old Style" w:hAnsi="Bookman Old Style"/>
          <w:lang w:val="fi-FI"/>
        </w:rPr>
        <w:t xml:space="preserve"> </w:t>
      </w:r>
      <w:r w:rsidRPr="008919AD">
        <w:rPr>
          <w:rFonts w:ascii="Bookman Old Style" w:hAnsi="Bookman Old Style"/>
          <w:lang w:val="fi-FI"/>
        </w:rPr>
        <w:t>Tidak</w:t>
      </w:r>
      <w:r w:rsidR="00A954D0">
        <w:rPr>
          <w:rFonts w:ascii="Bookman Old Style" w:hAnsi="Bookman Old Style"/>
          <w:lang w:val="fi-FI"/>
        </w:rPr>
        <w:t xml:space="preserve"> </w:t>
      </w:r>
      <w:r w:rsidRPr="008919AD">
        <w:rPr>
          <w:rFonts w:ascii="Bookman Old Style" w:hAnsi="Bookman Old Style"/>
          <w:lang w:val="fi-FI"/>
        </w:rPr>
        <w:t>Berwujud;</w:t>
      </w:r>
    </w:p>
    <w:p w14:paraId="584868BD" w14:textId="350CBF54" w:rsidR="00515C3A" w:rsidRPr="008919AD" w:rsidRDefault="00515C3A" w:rsidP="00154790">
      <w:pPr>
        <w:numPr>
          <w:ilvl w:val="0"/>
          <w:numId w:val="27"/>
        </w:numPr>
        <w:spacing w:before="60" w:line="276" w:lineRule="auto"/>
        <w:ind w:left="1701" w:hanging="425"/>
        <w:jc w:val="both"/>
        <w:rPr>
          <w:rFonts w:ascii="Bookman Old Style" w:hAnsi="Bookman Old Style"/>
          <w:lang w:val="fi-FI"/>
        </w:rPr>
      </w:pPr>
      <w:r w:rsidRPr="008919AD">
        <w:rPr>
          <w:rFonts w:ascii="Bookman Old Style" w:hAnsi="Bookman Old Style"/>
          <w:lang w:val="fi-FI"/>
        </w:rPr>
        <w:t>Belanja</w:t>
      </w:r>
      <w:r w:rsidR="00A954D0">
        <w:rPr>
          <w:rFonts w:ascii="Bookman Old Style" w:hAnsi="Bookman Old Style"/>
          <w:lang w:val="fi-FI"/>
        </w:rPr>
        <w:t xml:space="preserve"> </w:t>
      </w:r>
      <w:r w:rsidRPr="008919AD">
        <w:rPr>
          <w:rFonts w:ascii="Bookman Old Style" w:hAnsi="Bookman Old Style"/>
          <w:lang w:val="fi-FI"/>
        </w:rPr>
        <w:t>Modal</w:t>
      </w:r>
      <w:r w:rsidR="00A954D0">
        <w:rPr>
          <w:rFonts w:ascii="Bookman Old Style" w:hAnsi="Bookman Old Style"/>
          <w:lang w:val="fi-FI"/>
        </w:rPr>
        <w:t xml:space="preserve"> </w:t>
      </w:r>
      <w:r w:rsidRPr="008919AD">
        <w:rPr>
          <w:rFonts w:ascii="Bookman Old Style" w:hAnsi="Bookman Old Style"/>
          <w:lang w:val="fi-FI"/>
        </w:rPr>
        <w:t>Aset</w:t>
      </w:r>
      <w:r w:rsidR="00A954D0">
        <w:rPr>
          <w:rFonts w:ascii="Bookman Old Style" w:hAnsi="Bookman Old Style"/>
          <w:lang w:val="fi-FI"/>
        </w:rPr>
        <w:t xml:space="preserve"> </w:t>
      </w:r>
      <w:r w:rsidRPr="008919AD">
        <w:rPr>
          <w:rFonts w:ascii="Bookman Old Style" w:hAnsi="Bookman Old Style"/>
          <w:lang w:val="fi-FI"/>
        </w:rPr>
        <w:t>Lainnya</w:t>
      </w:r>
      <w:r w:rsidR="00A954D0">
        <w:rPr>
          <w:rFonts w:ascii="Bookman Old Style" w:hAnsi="Bookman Old Style"/>
          <w:lang w:val="fi-FI"/>
        </w:rPr>
        <w:t xml:space="preserve"> </w:t>
      </w:r>
      <w:r w:rsidRPr="008919AD">
        <w:rPr>
          <w:rFonts w:ascii="Bookman Old Style" w:hAnsi="Bookman Old Style"/>
          <w:lang w:val="fi-FI"/>
        </w:rPr>
        <w:t>BLUD</w:t>
      </w:r>
      <w:r w:rsidR="00A954D0">
        <w:rPr>
          <w:rFonts w:ascii="Bookman Old Style" w:hAnsi="Bookman Old Style"/>
          <w:lang w:val="fi-FI"/>
        </w:rPr>
        <w:t xml:space="preserve"> </w:t>
      </w:r>
      <w:r w:rsidRPr="008919AD">
        <w:rPr>
          <w:rFonts w:ascii="Bookman Old Style" w:hAnsi="Bookman Old Style"/>
          <w:lang w:val="fi-FI"/>
        </w:rPr>
        <w:t>Rp3.195.275.362,00</w:t>
      </w:r>
      <w:r w:rsidR="00A954D0">
        <w:rPr>
          <w:rFonts w:ascii="Bookman Old Style" w:hAnsi="Bookman Old Style"/>
          <w:lang w:val="fi-FI"/>
        </w:rPr>
        <w:t xml:space="preserve"> </w:t>
      </w:r>
      <w:r w:rsidRPr="008919AD">
        <w:rPr>
          <w:rFonts w:ascii="Bookman Old Style" w:hAnsi="Bookman Old Style"/>
          <w:lang w:val="fi-FI"/>
        </w:rPr>
        <w:t>atau</w:t>
      </w:r>
      <w:r w:rsidR="00A954D0">
        <w:rPr>
          <w:rFonts w:ascii="Bookman Old Style" w:hAnsi="Bookman Old Style"/>
          <w:lang w:val="fi-FI"/>
        </w:rPr>
        <w:t xml:space="preserve"> </w:t>
      </w:r>
      <w:r w:rsidRPr="008919AD">
        <w:rPr>
          <w:rFonts w:ascii="Bookman Old Style" w:hAnsi="Bookman Old Style"/>
          <w:lang w:val="fi-FI"/>
        </w:rPr>
        <w:t>0,06%</w:t>
      </w:r>
      <w:r w:rsidR="00A954D0">
        <w:rPr>
          <w:rFonts w:ascii="Bookman Old Style" w:hAnsi="Bookman Old Style"/>
          <w:lang w:val="fi-FI"/>
        </w:rPr>
        <w:t xml:space="preserve"> </w:t>
      </w:r>
      <w:r w:rsidRPr="008919AD">
        <w:rPr>
          <w:rFonts w:ascii="Bookman Old Style" w:hAnsi="Bookman Old Style"/>
          <w:lang w:val="fi-FI"/>
        </w:rPr>
        <w:t>dari</w:t>
      </w:r>
      <w:r w:rsidR="00A954D0">
        <w:rPr>
          <w:rFonts w:ascii="Bookman Old Style" w:hAnsi="Bookman Old Style"/>
          <w:lang w:val="fi-FI"/>
        </w:rPr>
        <w:t xml:space="preserve"> </w:t>
      </w:r>
      <w:r w:rsidRPr="008919AD">
        <w:rPr>
          <w:rFonts w:ascii="Bookman Old Style" w:hAnsi="Bookman Old Style"/>
          <w:lang w:val="fi-FI"/>
        </w:rPr>
        <w:t>total</w:t>
      </w:r>
      <w:r w:rsidR="00A954D0">
        <w:rPr>
          <w:rFonts w:ascii="Bookman Old Style" w:hAnsi="Bookman Old Style"/>
          <w:lang w:val="fi-FI"/>
        </w:rPr>
        <w:t xml:space="preserve"> </w:t>
      </w:r>
      <w:r w:rsidRPr="008919AD">
        <w:rPr>
          <w:rFonts w:ascii="Bookman Old Style" w:hAnsi="Bookman Old Style"/>
          <w:lang w:val="fi-FI"/>
        </w:rPr>
        <w:t>belanja</w:t>
      </w:r>
      <w:r w:rsidR="00A954D0">
        <w:rPr>
          <w:rFonts w:ascii="Bookman Old Style" w:hAnsi="Bookman Old Style"/>
          <w:lang w:val="fi-FI"/>
        </w:rPr>
        <w:t xml:space="preserve"> </w:t>
      </w:r>
      <w:r w:rsidRPr="008919AD">
        <w:rPr>
          <w:rFonts w:ascii="Bookman Old Style" w:hAnsi="Bookman Old Style"/>
          <w:lang w:val="fi-FI"/>
        </w:rPr>
        <w:t>daerah</w:t>
      </w:r>
      <w:r w:rsidR="00A954D0">
        <w:rPr>
          <w:rFonts w:ascii="Bookman Old Style" w:hAnsi="Bookman Old Style"/>
          <w:lang w:val="fi-FI"/>
        </w:rPr>
        <w:t xml:space="preserve"> </w:t>
      </w:r>
      <w:r w:rsidRPr="008919AD">
        <w:rPr>
          <w:rFonts w:ascii="Bookman Old Style" w:hAnsi="Bookman Old Style"/>
          <w:lang w:val="fi-FI"/>
        </w:rPr>
        <w:t>dalam</w:t>
      </w:r>
      <w:r w:rsidR="00A954D0">
        <w:rPr>
          <w:rFonts w:ascii="Bookman Old Style" w:hAnsi="Bookman Old Style"/>
          <w:lang w:val="fi-FI"/>
        </w:rPr>
        <w:t xml:space="preserve"> </w:t>
      </w:r>
      <w:r w:rsidRPr="008919AD">
        <w:rPr>
          <w:rFonts w:ascii="Bookman Old Style" w:hAnsi="Bookman Old Style"/>
          <w:lang w:val="fi-FI"/>
        </w:rPr>
        <w:t>Rancangan</w:t>
      </w:r>
      <w:r w:rsidR="00A954D0">
        <w:rPr>
          <w:rFonts w:ascii="Bookman Old Style" w:hAnsi="Bookman Old Style"/>
          <w:lang w:val="fi-FI"/>
        </w:rPr>
        <w:t xml:space="preserve"> </w:t>
      </w:r>
      <w:r w:rsidRPr="008919AD">
        <w:rPr>
          <w:rFonts w:ascii="Bookman Old Style" w:hAnsi="Bookman Old Style"/>
          <w:lang w:val="fi-FI"/>
        </w:rPr>
        <w:t>Peraturan</w:t>
      </w:r>
      <w:r w:rsidR="00A954D0">
        <w:rPr>
          <w:rFonts w:ascii="Bookman Old Style" w:hAnsi="Bookman Old Style"/>
          <w:lang w:val="fi-FI"/>
        </w:rPr>
        <w:t xml:space="preserve"> </w:t>
      </w:r>
      <w:r w:rsidRPr="008919AD">
        <w:rPr>
          <w:rFonts w:ascii="Bookman Old Style" w:hAnsi="Bookman Old Style"/>
          <w:lang w:val="fi-FI"/>
        </w:rPr>
        <w:t>Daerah</w:t>
      </w:r>
      <w:r w:rsidR="00A954D0">
        <w:rPr>
          <w:rFonts w:ascii="Bookman Old Style" w:hAnsi="Bookman Old Style"/>
          <w:lang w:val="fi-FI"/>
        </w:rPr>
        <w:t xml:space="preserve"> </w:t>
      </w:r>
      <w:r w:rsidRPr="008919AD">
        <w:rPr>
          <w:rFonts w:ascii="Bookman Old Style" w:hAnsi="Bookman Old Style"/>
          <w:lang w:val="fi-FI"/>
        </w:rPr>
        <w:t>Kota</w:t>
      </w:r>
      <w:r w:rsidR="00A954D0">
        <w:rPr>
          <w:rFonts w:ascii="Bookman Old Style" w:hAnsi="Bookman Old Style"/>
          <w:lang w:val="fi-FI"/>
        </w:rPr>
        <w:t xml:space="preserve"> </w:t>
      </w:r>
      <w:r w:rsidRPr="008919AD">
        <w:rPr>
          <w:rFonts w:ascii="Bookman Old Style" w:hAnsi="Bookman Old Style"/>
          <w:lang w:val="fi-FI"/>
        </w:rPr>
        <w:t>Tangerang</w:t>
      </w:r>
      <w:r w:rsidR="00A954D0">
        <w:rPr>
          <w:rFonts w:ascii="Bookman Old Style" w:hAnsi="Bookman Old Style"/>
          <w:lang w:val="fi-FI"/>
        </w:rPr>
        <w:t xml:space="preserve"> </w:t>
      </w:r>
      <w:r w:rsidRPr="008919AD">
        <w:rPr>
          <w:rFonts w:ascii="Bookman Old Style" w:hAnsi="Bookman Old Style"/>
          <w:lang w:val="fi-FI"/>
        </w:rPr>
        <w:t>tentang</w:t>
      </w:r>
      <w:r w:rsidR="00A954D0">
        <w:rPr>
          <w:rFonts w:ascii="Bookman Old Style" w:hAnsi="Bookman Old Style"/>
          <w:lang w:val="fi-FI"/>
        </w:rPr>
        <w:t xml:space="preserve"> </w:t>
      </w:r>
      <w:r w:rsidRPr="008919AD">
        <w:rPr>
          <w:rFonts w:ascii="Bookman Old Style" w:hAnsi="Bookman Old Style"/>
          <w:lang w:val="fi-FI"/>
        </w:rPr>
        <w:t>APBD</w:t>
      </w:r>
      <w:r w:rsidR="00A954D0">
        <w:rPr>
          <w:rFonts w:ascii="Bookman Old Style" w:hAnsi="Bookman Old Style"/>
          <w:lang w:val="fi-FI"/>
        </w:rPr>
        <w:t xml:space="preserve"> </w:t>
      </w:r>
      <w:r w:rsidRPr="008919AD">
        <w:rPr>
          <w:rFonts w:ascii="Bookman Old Style" w:hAnsi="Bookman Old Style"/>
          <w:lang w:val="fi-FI"/>
        </w:rPr>
        <w:t>Tahun</w:t>
      </w:r>
      <w:r w:rsidR="00A954D0">
        <w:rPr>
          <w:rFonts w:ascii="Bookman Old Style" w:hAnsi="Bookman Old Style"/>
          <w:lang w:val="fi-FI"/>
        </w:rPr>
        <w:t xml:space="preserve"> </w:t>
      </w:r>
      <w:r w:rsidRPr="008919AD">
        <w:rPr>
          <w:rFonts w:ascii="Bookman Old Style" w:hAnsi="Bookman Old Style"/>
          <w:lang w:val="fi-FI"/>
        </w:rPr>
        <w:t>Anggaran</w:t>
      </w:r>
      <w:r w:rsidR="00A954D0">
        <w:rPr>
          <w:rFonts w:ascii="Bookman Old Style" w:hAnsi="Bookman Old Style"/>
          <w:lang w:val="fi-FI"/>
        </w:rPr>
        <w:t xml:space="preserve"> </w:t>
      </w:r>
      <w:r w:rsidRPr="008919AD">
        <w:rPr>
          <w:rFonts w:ascii="Bookman Old Style" w:hAnsi="Bookman Old Style"/>
          <w:lang w:val="fi-FI"/>
        </w:rPr>
        <w:t>2025,</w:t>
      </w:r>
      <w:r w:rsidR="00A954D0">
        <w:rPr>
          <w:rFonts w:ascii="Bookman Old Style" w:hAnsi="Bookman Old Style"/>
          <w:lang w:val="fi-FI"/>
        </w:rPr>
        <w:t xml:space="preserve"> </w:t>
      </w:r>
      <w:r w:rsidRPr="008919AD">
        <w:rPr>
          <w:rFonts w:ascii="Bookman Old Style" w:hAnsi="Bookman Old Style"/>
          <w:lang w:val="fi-FI"/>
        </w:rPr>
        <w:t>yang</w:t>
      </w:r>
      <w:r w:rsidR="00A954D0">
        <w:rPr>
          <w:rFonts w:ascii="Bookman Old Style" w:hAnsi="Bookman Old Style"/>
          <w:lang w:val="fi-FI"/>
        </w:rPr>
        <w:t xml:space="preserve"> </w:t>
      </w:r>
      <w:r w:rsidRPr="008919AD">
        <w:rPr>
          <w:rFonts w:ascii="Bookman Old Style" w:hAnsi="Bookman Old Style"/>
          <w:lang w:val="fi-FI"/>
        </w:rPr>
        <w:t>seluruhnya</w:t>
      </w:r>
      <w:r w:rsidR="00A954D0">
        <w:rPr>
          <w:rFonts w:ascii="Bookman Old Style" w:hAnsi="Bookman Old Style"/>
          <w:lang w:val="fi-FI"/>
        </w:rPr>
        <w:t xml:space="preserve"> </w:t>
      </w:r>
      <w:r w:rsidRPr="008919AD">
        <w:rPr>
          <w:rFonts w:ascii="Bookman Old Style" w:hAnsi="Bookman Old Style"/>
          <w:lang w:val="fi-FI"/>
        </w:rPr>
        <w:t>diuraikan</w:t>
      </w:r>
      <w:r w:rsidR="00A954D0">
        <w:rPr>
          <w:rFonts w:ascii="Bookman Old Style" w:hAnsi="Bookman Old Style"/>
          <w:lang w:val="fi-FI"/>
        </w:rPr>
        <w:t xml:space="preserve"> </w:t>
      </w:r>
      <w:r w:rsidRPr="008919AD">
        <w:rPr>
          <w:rFonts w:ascii="Bookman Old Style" w:hAnsi="Bookman Old Style"/>
          <w:lang w:val="fi-FI"/>
        </w:rPr>
        <w:t>ke</w:t>
      </w:r>
      <w:r w:rsidR="00A954D0">
        <w:rPr>
          <w:rFonts w:ascii="Bookman Old Style" w:hAnsi="Bookman Old Style"/>
          <w:lang w:val="fi-FI"/>
        </w:rPr>
        <w:t xml:space="preserve"> </w:t>
      </w:r>
      <w:r w:rsidRPr="008919AD">
        <w:rPr>
          <w:rFonts w:ascii="Bookman Old Style" w:hAnsi="Bookman Old Style"/>
          <w:lang w:val="fi-FI"/>
        </w:rPr>
        <w:t>dalam</w:t>
      </w:r>
      <w:r w:rsidR="00A954D0">
        <w:rPr>
          <w:rFonts w:ascii="Bookman Old Style" w:hAnsi="Bookman Old Style"/>
          <w:lang w:val="fi-FI"/>
        </w:rPr>
        <w:t xml:space="preserve"> </w:t>
      </w:r>
      <w:r w:rsidRPr="008919AD">
        <w:rPr>
          <w:rFonts w:ascii="Bookman Old Style" w:hAnsi="Bookman Old Style"/>
          <w:lang w:val="fi-FI"/>
        </w:rPr>
        <w:t>objek</w:t>
      </w:r>
      <w:r w:rsidR="00A954D0">
        <w:rPr>
          <w:rFonts w:ascii="Bookman Old Style" w:hAnsi="Bookman Old Style"/>
          <w:lang w:val="fi-FI"/>
        </w:rPr>
        <w:t xml:space="preserve"> </w:t>
      </w:r>
      <w:r w:rsidRPr="008919AD">
        <w:rPr>
          <w:rFonts w:ascii="Bookman Old Style" w:hAnsi="Bookman Old Style"/>
          <w:lang w:val="fi-FI"/>
        </w:rPr>
        <w:t>Belanja</w:t>
      </w:r>
      <w:r w:rsidR="00A954D0">
        <w:rPr>
          <w:rFonts w:ascii="Bookman Old Style" w:hAnsi="Bookman Old Style"/>
          <w:lang w:val="fi-FI"/>
        </w:rPr>
        <w:t xml:space="preserve"> </w:t>
      </w:r>
      <w:r w:rsidRPr="008919AD">
        <w:rPr>
          <w:rFonts w:ascii="Bookman Old Style" w:hAnsi="Bookman Old Style"/>
          <w:lang w:val="fi-FI"/>
        </w:rPr>
        <w:t>Modal</w:t>
      </w:r>
      <w:r w:rsidR="00A954D0">
        <w:rPr>
          <w:rFonts w:ascii="Bookman Old Style" w:hAnsi="Bookman Old Style"/>
          <w:lang w:val="fi-FI"/>
        </w:rPr>
        <w:t xml:space="preserve"> </w:t>
      </w:r>
      <w:r w:rsidRPr="008919AD">
        <w:rPr>
          <w:rFonts w:ascii="Bookman Old Style" w:hAnsi="Bookman Old Style"/>
          <w:lang w:val="fi-FI"/>
        </w:rPr>
        <w:t>Aset</w:t>
      </w:r>
      <w:r w:rsidR="00A954D0">
        <w:rPr>
          <w:rFonts w:ascii="Bookman Old Style" w:hAnsi="Bookman Old Style"/>
          <w:lang w:val="fi-FI"/>
        </w:rPr>
        <w:t xml:space="preserve"> </w:t>
      </w:r>
      <w:r w:rsidRPr="008919AD">
        <w:rPr>
          <w:rFonts w:ascii="Bookman Old Style" w:hAnsi="Bookman Old Style"/>
          <w:lang w:val="fi-FI"/>
        </w:rPr>
        <w:t>Lainnya</w:t>
      </w:r>
      <w:r w:rsidR="00A954D0">
        <w:rPr>
          <w:rFonts w:ascii="Bookman Old Style" w:hAnsi="Bookman Old Style"/>
          <w:lang w:val="fi-FI"/>
        </w:rPr>
        <w:t xml:space="preserve"> </w:t>
      </w:r>
      <w:r w:rsidRPr="008919AD">
        <w:rPr>
          <w:rFonts w:ascii="Bookman Old Style" w:hAnsi="Bookman Old Style"/>
          <w:lang w:val="fi-FI"/>
        </w:rPr>
        <w:t>BLUD;</w:t>
      </w:r>
    </w:p>
    <w:p w14:paraId="6CE704E8" w14:textId="3AF5420A" w:rsidR="00515C3A" w:rsidRPr="008919AD" w:rsidRDefault="00154790" w:rsidP="00154790">
      <w:pPr>
        <w:spacing w:before="60" w:line="276" w:lineRule="auto"/>
        <w:ind w:left="1701"/>
        <w:jc w:val="both"/>
        <w:rPr>
          <w:rFonts w:ascii="Bookman Old Style" w:hAnsi="Bookman Old Style"/>
          <w:lang w:val="fi-FI"/>
        </w:rPr>
      </w:pPr>
      <w:r>
        <w:rPr>
          <w:rFonts w:ascii="Bookman Old Style" w:hAnsi="Bookman Old Style"/>
          <w:lang w:val="fi-FI"/>
        </w:rPr>
        <w:t>D</w:t>
      </w:r>
      <w:r w:rsidR="00515C3A" w:rsidRPr="008919AD">
        <w:rPr>
          <w:rFonts w:ascii="Bookman Old Style" w:hAnsi="Bookman Old Style"/>
          <w:lang w:val="fi-FI"/>
        </w:rPr>
        <w:t>ianggarkan</w:t>
      </w:r>
      <w:r w:rsidR="00A954D0">
        <w:rPr>
          <w:rFonts w:ascii="Bookman Old Style" w:hAnsi="Bookman Old Style"/>
          <w:lang w:val="fi-FI"/>
        </w:rPr>
        <w:t xml:space="preserve"> </w:t>
      </w:r>
      <w:r w:rsidR="00515C3A" w:rsidRPr="008919AD">
        <w:rPr>
          <w:rFonts w:ascii="Bookman Old Style" w:hAnsi="Bookman Old Style"/>
          <w:lang w:val="fi-FI"/>
        </w:rPr>
        <w:t>dalam</w:t>
      </w:r>
      <w:r w:rsidR="00A954D0">
        <w:rPr>
          <w:rFonts w:ascii="Bookman Old Style" w:hAnsi="Bookman Old Style"/>
          <w:lang w:val="fi-FI"/>
        </w:rPr>
        <w:t xml:space="preserve"> </w:t>
      </w:r>
      <w:r w:rsidR="00515C3A" w:rsidRPr="008919AD">
        <w:rPr>
          <w:rFonts w:ascii="Bookman Old Style" w:hAnsi="Bookman Old Style"/>
          <w:lang w:val="fi-FI"/>
        </w:rPr>
        <w:t>Rancangan</w:t>
      </w:r>
      <w:r w:rsidR="00A954D0">
        <w:rPr>
          <w:rFonts w:ascii="Bookman Old Style" w:hAnsi="Bookman Old Style"/>
          <w:lang w:val="fi-FI"/>
        </w:rPr>
        <w:t xml:space="preserve"> </w:t>
      </w:r>
      <w:r w:rsidR="00515C3A" w:rsidRPr="008919AD">
        <w:rPr>
          <w:rFonts w:ascii="Bookman Old Style" w:hAnsi="Bookman Old Style"/>
          <w:lang w:val="fi-FI"/>
        </w:rPr>
        <w:t>Peraturan</w:t>
      </w:r>
      <w:r w:rsidR="00A954D0">
        <w:rPr>
          <w:rFonts w:ascii="Bookman Old Style" w:hAnsi="Bookman Old Style"/>
          <w:lang w:val="fi-FI"/>
        </w:rPr>
        <w:t xml:space="preserve"> </w:t>
      </w:r>
      <w:r w:rsidR="00515C3A" w:rsidRPr="008919AD">
        <w:rPr>
          <w:rFonts w:ascii="Bookman Old Style" w:hAnsi="Bookman Old Style"/>
          <w:lang w:val="fi-FI"/>
        </w:rPr>
        <w:t>Daerah</w:t>
      </w:r>
      <w:r w:rsidR="00A954D0">
        <w:rPr>
          <w:rFonts w:ascii="Bookman Old Style" w:hAnsi="Bookman Old Style"/>
          <w:lang w:val="fi-FI"/>
        </w:rPr>
        <w:t xml:space="preserve"> </w:t>
      </w:r>
      <w:r w:rsidR="00515C3A" w:rsidRPr="008919AD">
        <w:rPr>
          <w:rFonts w:ascii="Bookman Old Style" w:hAnsi="Bookman Old Style"/>
          <w:lang w:val="fi-FI"/>
        </w:rPr>
        <w:t>Kota</w:t>
      </w:r>
      <w:r w:rsidR="00A954D0">
        <w:rPr>
          <w:rFonts w:ascii="Bookman Old Style" w:hAnsi="Bookman Old Style"/>
          <w:lang w:val="fi-FI"/>
        </w:rPr>
        <w:t xml:space="preserve"> </w:t>
      </w:r>
      <w:r w:rsidR="00515C3A" w:rsidRPr="008919AD">
        <w:rPr>
          <w:rFonts w:ascii="Bookman Old Style" w:hAnsi="Bookman Old Style"/>
          <w:lang w:val="fi-FI"/>
        </w:rPr>
        <w:t>Tangerang</w:t>
      </w:r>
      <w:r w:rsidR="00A954D0">
        <w:rPr>
          <w:rFonts w:ascii="Bookman Old Style" w:hAnsi="Bookman Old Style"/>
          <w:lang w:val="fi-FI"/>
        </w:rPr>
        <w:t xml:space="preserve"> </w:t>
      </w:r>
      <w:r w:rsidR="00515C3A" w:rsidRPr="008919AD">
        <w:rPr>
          <w:rFonts w:ascii="Bookman Old Style" w:hAnsi="Bookman Old Style"/>
          <w:lang w:val="fi-FI"/>
        </w:rPr>
        <w:t>tentang</w:t>
      </w:r>
      <w:r w:rsidR="00A954D0">
        <w:rPr>
          <w:rFonts w:ascii="Bookman Old Style" w:hAnsi="Bookman Old Style"/>
          <w:lang w:val="fi-FI"/>
        </w:rPr>
        <w:t xml:space="preserve"> </w:t>
      </w:r>
      <w:r w:rsidR="00515C3A" w:rsidRPr="008919AD">
        <w:rPr>
          <w:rFonts w:ascii="Bookman Old Style" w:hAnsi="Bookman Old Style"/>
          <w:lang w:val="fi-FI"/>
        </w:rPr>
        <w:t>APBD</w:t>
      </w:r>
      <w:r w:rsidR="00A954D0">
        <w:rPr>
          <w:rFonts w:ascii="Bookman Old Style" w:hAnsi="Bookman Old Style"/>
          <w:lang w:val="fi-FI"/>
        </w:rPr>
        <w:t xml:space="preserve"> </w:t>
      </w:r>
      <w:r w:rsidR="00515C3A" w:rsidRPr="008919AD">
        <w:rPr>
          <w:rFonts w:ascii="Bookman Old Style" w:hAnsi="Bookman Old Style"/>
          <w:lang w:val="fi-FI"/>
        </w:rPr>
        <w:t>Tahun</w:t>
      </w:r>
      <w:r w:rsidR="00A954D0">
        <w:rPr>
          <w:rFonts w:ascii="Bookman Old Style" w:hAnsi="Bookman Old Style"/>
          <w:lang w:val="fi-FI"/>
        </w:rPr>
        <w:t xml:space="preserve"> </w:t>
      </w:r>
      <w:r w:rsidR="00515C3A" w:rsidRPr="008919AD">
        <w:rPr>
          <w:rFonts w:ascii="Bookman Old Style" w:hAnsi="Bookman Old Style"/>
          <w:lang w:val="fi-FI"/>
        </w:rPr>
        <w:t>Anggaran</w:t>
      </w:r>
      <w:r w:rsidR="00A954D0">
        <w:rPr>
          <w:rFonts w:ascii="Bookman Old Style" w:hAnsi="Bookman Old Style"/>
          <w:lang w:val="fi-FI"/>
        </w:rPr>
        <w:t xml:space="preserve"> </w:t>
      </w:r>
      <w:r w:rsidR="00515C3A" w:rsidRPr="008919AD">
        <w:rPr>
          <w:rFonts w:ascii="Bookman Old Style" w:hAnsi="Bookman Old Style"/>
          <w:lang w:val="fi-FI"/>
        </w:rPr>
        <w:t>2025</w:t>
      </w:r>
      <w:r w:rsidR="00A954D0">
        <w:rPr>
          <w:rFonts w:ascii="Bookman Old Style" w:hAnsi="Bookman Old Style"/>
          <w:lang w:val="fi-FI"/>
        </w:rPr>
        <w:t xml:space="preserve"> </w:t>
      </w:r>
      <w:r w:rsidR="00515C3A" w:rsidRPr="008919AD">
        <w:rPr>
          <w:rFonts w:ascii="Bookman Old Style" w:hAnsi="Bookman Old Style"/>
          <w:lang w:val="fi-FI"/>
        </w:rPr>
        <w:t>dalam</w:t>
      </w:r>
      <w:r w:rsidR="00A954D0">
        <w:rPr>
          <w:rFonts w:ascii="Bookman Old Style" w:hAnsi="Bookman Old Style"/>
          <w:lang w:val="fi-FI"/>
        </w:rPr>
        <w:t xml:space="preserve"> </w:t>
      </w:r>
      <w:r w:rsidR="00515C3A" w:rsidRPr="008919AD">
        <w:rPr>
          <w:rFonts w:ascii="Bookman Old Style" w:hAnsi="Bookman Old Style"/>
          <w:lang w:val="fi-FI"/>
        </w:rPr>
        <w:t>rangka</w:t>
      </w:r>
      <w:r w:rsidR="00A954D0">
        <w:rPr>
          <w:rFonts w:ascii="Bookman Old Style" w:hAnsi="Bookman Old Style"/>
          <w:lang w:val="fi-FI"/>
        </w:rPr>
        <w:t xml:space="preserve"> </w:t>
      </w:r>
      <w:r w:rsidR="00515C3A" w:rsidRPr="008919AD">
        <w:rPr>
          <w:rFonts w:ascii="Bookman Old Style" w:hAnsi="Bookman Old Style"/>
          <w:lang w:val="fi-FI"/>
        </w:rPr>
        <w:t>pengadaan</w:t>
      </w:r>
      <w:r w:rsidR="00A954D0">
        <w:rPr>
          <w:rFonts w:ascii="Bookman Old Style" w:hAnsi="Bookman Old Style"/>
          <w:lang w:val="fi-FI"/>
        </w:rPr>
        <w:t xml:space="preserve"> </w:t>
      </w:r>
      <w:r w:rsidR="00515C3A" w:rsidRPr="008919AD">
        <w:rPr>
          <w:rFonts w:ascii="Bookman Old Style" w:hAnsi="Bookman Old Style"/>
          <w:lang w:val="fi-FI"/>
        </w:rPr>
        <w:t>aset</w:t>
      </w:r>
      <w:r w:rsidR="00A954D0">
        <w:rPr>
          <w:rFonts w:ascii="Bookman Old Style" w:hAnsi="Bookman Old Style"/>
          <w:lang w:val="fi-FI"/>
        </w:rPr>
        <w:t xml:space="preserve"> </w:t>
      </w:r>
      <w:r w:rsidR="00515C3A" w:rsidRPr="008919AD">
        <w:rPr>
          <w:rFonts w:ascii="Bookman Old Style" w:hAnsi="Bookman Old Style"/>
          <w:lang w:val="fi-FI"/>
        </w:rPr>
        <w:t>tetap</w:t>
      </w:r>
      <w:r w:rsidR="00A954D0">
        <w:rPr>
          <w:rFonts w:ascii="Bookman Old Style" w:hAnsi="Bookman Old Style"/>
          <w:lang w:val="fi-FI"/>
        </w:rPr>
        <w:t xml:space="preserve"> </w:t>
      </w:r>
      <w:r w:rsidR="00515C3A" w:rsidRPr="008919AD">
        <w:rPr>
          <w:rFonts w:ascii="Bookman Old Style" w:hAnsi="Bookman Old Style"/>
          <w:lang w:val="fi-FI"/>
        </w:rPr>
        <w:t>dan</w:t>
      </w:r>
      <w:r w:rsidR="00A954D0">
        <w:rPr>
          <w:rFonts w:ascii="Bookman Old Style" w:hAnsi="Bookman Old Style"/>
          <w:lang w:val="fi-FI"/>
        </w:rPr>
        <w:t xml:space="preserve"> </w:t>
      </w:r>
      <w:r w:rsidR="00515C3A" w:rsidRPr="008919AD">
        <w:rPr>
          <w:rFonts w:ascii="Bookman Old Style" w:hAnsi="Bookman Old Style"/>
          <w:lang w:val="fi-FI"/>
        </w:rPr>
        <w:t>aset</w:t>
      </w:r>
      <w:r w:rsidR="00A954D0">
        <w:rPr>
          <w:rFonts w:ascii="Bookman Old Style" w:hAnsi="Bookman Old Style"/>
          <w:lang w:val="fi-FI"/>
        </w:rPr>
        <w:t xml:space="preserve"> </w:t>
      </w:r>
      <w:r w:rsidR="00515C3A" w:rsidRPr="008919AD">
        <w:rPr>
          <w:rFonts w:ascii="Bookman Old Style" w:hAnsi="Bookman Old Style"/>
          <w:lang w:val="fi-FI"/>
        </w:rPr>
        <w:t>lainnya</w:t>
      </w:r>
      <w:r w:rsidR="00A954D0">
        <w:rPr>
          <w:rFonts w:ascii="Bookman Old Style" w:hAnsi="Bookman Old Style"/>
          <w:lang w:val="fi-FI"/>
        </w:rPr>
        <w:t xml:space="preserve"> </w:t>
      </w:r>
      <w:r w:rsidR="00515C3A" w:rsidRPr="008919AD">
        <w:rPr>
          <w:rFonts w:ascii="Bookman Old Style" w:hAnsi="Bookman Old Style"/>
          <w:lang w:val="fi-FI"/>
        </w:rPr>
        <w:t>yang</w:t>
      </w:r>
      <w:r w:rsidR="00A954D0">
        <w:rPr>
          <w:rFonts w:ascii="Bookman Old Style" w:hAnsi="Bookman Old Style"/>
          <w:lang w:val="fi-FI"/>
        </w:rPr>
        <w:t xml:space="preserve"> </w:t>
      </w:r>
      <w:r w:rsidR="00515C3A" w:rsidRPr="008919AD">
        <w:rPr>
          <w:rFonts w:ascii="Bookman Old Style" w:hAnsi="Bookman Old Style"/>
          <w:lang w:val="fi-FI"/>
        </w:rPr>
        <w:t>memenuhi</w:t>
      </w:r>
      <w:r w:rsidR="00A954D0">
        <w:rPr>
          <w:rFonts w:ascii="Bookman Old Style" w:hAnsi="Bookman Old Style"/>
          <w:lang w:val="fi-FI"/>
        </w:rPr>
        <w:t xml:space="preserve"> </w:t>
      </w:r>
      <w:r w:rsidR="00515C3A" w:rsidRPr="008919AD">
        <w:rPr>
          <w:rFonts w:ascii="Bookman Old Style" w:hAnsi="Bookman Old Style"/>
          <w:lang w:val="fi-FI"/>
        </w:rPr>
        <w:t>kriteria</w:t>
      </w:r>
      <w:r w:rsidR="00A954D0">
        <w:rPr>
          <w:rFonts w:ascii="Bookman Old Style" w:hAnsi="Bookman Old Style"/>
          <w:lang w:val="fi-FI"/>
        </w:rPr>
        <w:t xml:space="preserve"> </w:t>
      </w:r>
      <w:r w:rsidR="00515C3A" w:rsidRPr="008919AD">
        <w:rPr>
          <w:rFonts w:ascii="Bookman Old Style" w:hAnsi="Bookman Old Style"/>
          <w:lang w:val="fi-FI"/>
        </w:rPr>
        <w:t>mempunyai</w:t>
      </w:r>
      <w:r w:rsidR="00A954D0">
        <w:rPr>
          <w:rFonts w:ascii="Bookman Old Style" w:hAnsi="Bookman Old Style"/>
          <w:lang w:val="fi-FI"/>
        </w:rPr>
        <w:t xml:space="preserve"> </w:t>
      </w:r>
      <w:r w:rsidR="00515C3A" w:rsidRPr="008919AD">
        <w:rPr>
          <w:rFonts w:ascii="Bookman Old Style" w:hAnsi="Bookman Old Style"/>
          <w:lang w:val="fi-FI"/>
        </w:rPr>
        <w:t>masa</w:t>
      </w:r>
      <w:r w:rsidR="00A954D0">
        <w:rPr>
          <w:rFonts w:ascii="Bookman Old Style" w:hAnsi="Bookman Old Style"/>
          <w:lang w:val="fi-FI"/>
        </w:rPr>
        <w:t xml:space="preserve"> </w:t>
      </w:r>
      <w:r w:rsidR="00515C3A" w:rsidRPr="008919AD">
        <w:rPr>
          <w:rFonts w:ascii="Bookman Old Style" w:hAnsi="Bookman Old Style"/>
          <w:lang w:val="fi-FI"/>
        </w:rPr>
        <w:t>manfaat</w:t>
      </w:r>
      <w:r w:rsidR="00A954D0">
        <w:rPr>
          <w:rFonts w:ascii="Bookman Old Style" w:hAnsi="Bookman Old Style"/>
          <w:lang w:val="fi-FI"/>
        </w:rPr>
        <w:t xml:space="preserve"> </w:t>
      </w:r>
      <w:r w:rsidR="00515C3A" w:rsidRPr="008919AD">
        <w:rPr>
          <w:rFonts w:ascii="Bookman Old Style" w:hAnsi="Bookman Old Style"/>
          <w:lang w:val="fi-FI"/>
        </w:rPr>
        <w:t>lebih</w:t>
      </w:r>
      <w:r w:rsidR="00A954D0">
        <w:rPr>
          <w:rFonts w:ascii="Bookman Old Style" w:hAnsi="Bookman Old Style"/>
          <w:lang w:val="fi-FI"/>
        </w:rPr>
        <w:t xml:space="preserve"> </w:t>
      </w:r>
      <w:r w:rsidR="00515C3A" w:rsidRPr="008919AD">
        <w:rPr>
          <w:rFonts w:ascii="Bookman Old Style" w:hAnsi="Bookman Old Style"/>
          <w:lang w:val="fi-FI"/>
        </w:rPr>
        <w:t>dari</w:t>
      </w:r>
      <w:r w:rsidR="00A954D0">
        <w:rPr>
          <w:rFonts w:ascii="Bookman Old Style" w:hAnsi="Bookman Old Style"/>
          <w:lang w:val="fi-FI"/>
        </w:rPr>
        <w:t xml:space="preserve"> </w:t>
      </w:r>
      <w:r w:rsidR="00515C3A" w:rsidRPr="008919AD">
        <w:rPr>
          <w:rFonts w:ascii="Bookman Old Style" w:hAnsi="Bookman Old Style"/>
          <w:lang w:val="fi-FI"/>
        </w:rPr>
        <w:t>12</w:t>
      </w:r>
      <w:r w:rsidR="00A954D0">
        <w:rPr>
          <w:rFonts w:ascii="Bookman Old Style" w:hAnsi="Bookman Old Style"/>
          <w:lang w:val="fi-FI"/>
        </w:rPr>
        <w:t xml:space="preserve"> </w:t>
      </w:r>
      <w:r w:rsidR="00515C3A" w:rsidRPr="008919AD">
        <w:rPr>
          <w:rFonts w:ascii="Bookman Old Style" w:hAnsi="Bookman Old Style"/>
          <w:lang w:val="fi-FI"/>
        </w:rPr>
        <w:t>(dua</w:t>
      </w:r>
      <w:r w:rsidR="00A954D0">
        <w:rPr>
          <w:rFonts w:ascii="Bookman Old Style" w:hAnsi="Bookman Old Style"/>
          <w:lang w:val="fi-FI"/>
        </w:rPr>
        <w:t xml:space="preserve"> </w:t>
      </w:r>
      <w:r w:rsidR="00515C3A" w:rsidRPr="008919AD">
        <w:rPr>
          <w:rFonts w:ascii="Bookman Old Style" w:hAnsi="Bookman Old Style"/>
          <w:lang w:val="fi-FI"/>
        </w:rPr>
        <w:t>belas)</w:t>
      </w:r>
      <w:r w:rsidR="00A954D0">
        <w:rPr>
          <w:rFonts w:ascii="Bookman Old Style" w:hAnsi="Bookman Old Style"/>
          <w:lang w:val="fi-FI"/>
        </w:rPr>
        <w:t xml:space="preserve"> </w:t>
      </w:r>
      <w:r w:rsidR="00515C3A" w:rsidRPr="008919AD">
        <w:rPr>
          <w:rFonts w:ascii="Bookman Old Style" w:hAnsi="Bookman Old Style"/>
          <w:lang w:val="fi-FI"/>
        </w:rPr>
        <w:t>bulan,</w:t>
      </w:r>
      <w:r w:rsidR="00A954D0">
        <w:rPr>
          <w:rFonts w:ascii="Bookman Old Style" w:hAnsi="Bookman Old Style"/>
          <w:lang w:val="fi-FI"/>
        </w:rPr>
        <w:t xml:space="preserve"> </w:t>
      </w:r>
      <w:r w:rsidR="00515C3A" w:rsidRPr="008919AD">
        <w:rPr>
          <w:rFonts w:ascii="Bookman Old Style" w:hAnsi="Bookman Old Style"/>
          <w:lang w:val="fi-FI"/>
        </w:rPr>
        <w:t>digunakan</w:t>
      </w:r>
      <w:r w:rsidR="00A954D0">
        <w:rPr>
          <w:rFonts w:ascii="Bookman Old Style" w:hAnsi="Bookman Old Style"/>
          <w:lang w:val="fi-FI"/>
        </w:rPr>
        <w:t xml:space="preserve"> </w:t>
      </w:r>
      <w:r w:rsidR="00515C3A" w:rsidRPr="008919AD">
        <w:rPr>
          <w:rFonts w:ascii="Bookman Old Style" w:hAnsi="Bookman Old Style"/>
          <w:lang w:val="fi-FI"/>
        </w:rPr>
        <w:t>dalam</w:t>
      </w:r>
      <w:r w:rsidR="00A954D0">
        <w:rPr>
          <w:rFonts w:ascii="Bookman Old Style" w:hAnsi="Bookman Old Style"/>
          <w:lang w:val="fi-FI"/>
        </w:rPr>
        <w:t xml:space="preserve"> </w:t>
      </w:r>
      <w:r w:rsidR="00515C3A" w:rsidRPr="008919AD">
        <w:rPr>
          <w:rFonts w:ascii="Bookman Old Style" w:hAnsi="Bookman Old Style"/>
          <w:lang w:val="fi-FI"/>
        </w:rPr>
        <w:t>kegiatan</w:t>
      </w:r>
      <w:r w:rsidR="00A954D0">
        <w:rPr>
          <w:rFonts w:ascii="Bookman Old Style" w:hAnsi="Bookman Old Style"/>
          <w:lang w:val="fi-FI"/>
        </w:rPr>
        <w:t xml:space="preserve"> </w:t>
      </w:r>
      <w:r w:rsidR="00515C3A" w:rsidRPr="008919AD">
        <w:rPr>
          <w:rFonts w:ascii="Bookman Old Style" w:hAnsi="Bookman Old Style"/>
          <w:lang w:val="fi-FI"/>
        </w:rPr>
        <w:t>pemerintahan</w:t>
      </w:r>
      <w:r w:rsidR="00A954D0">
        <w:rPr>
          <w:rFonts w:ascii="Bookman Old Style" w:hAnsi="Bookman Old Style"/>
          <w:lang w:val="fi-FI"/>
        </w:rPr>
        <w:t xml:space="preserve"> </w:t>
      </w:r>
      <w:r w:rsidR="00515C3A" w:rsidRPr="008919AD">
        <w:rPr>
          <w:rFonts w:ascii="Bookman Old Style" w:hAnsi="Bookman Old Style"/>
          <w:lang w:val="fi-FI"/>
        </w:rPr>
        <w:t>daerah,</w:t>
      </w:r>
      <w:r w:rsidR="00A954D0">
        <w:rPr>
          <w:rFonts w:ascii="Bookman Old Style" w:hAnsi="Bookman Old Style"/>
          <w:lang w:val="fi-FI"/>
        </w:rPr>
        <w:t xml:space="preserve"> </w:t>
      </w:r>
      <w:r w:rsidR="00515C3A" w:rsidRPr="008919AD">
        <w:rPr>
          <w:rFonts w:ascii="Bookman Old Style" w:hAnsi="Bookman Old Style"/>
          <w:lang w:val="fi-FI"/>
        </w:rPr>
        <w:t>dan</w:t>
      </w:r>
      <w:r w:rsidR="00A954D0">
        <w:rPr>
          <w:rFonts w:ascii="Bookman Old Style" w:hAnsi="Bookman Old Style"/>
          <w:lang w:val="fi-FI"/>
        </w:rPr>
        <w:t xml:space="preserve"> </w:t>
      </w:r>
      <w:r w:rsidR="00515C3A" w:rsidRPr="008919AD">
        <w:rPr>
          <w:rFonts w:ascii="Bookman Old Style" w:hAnsi="Bookman Old Style"/>
          <w:lang w:val="fi-FI"/>
        </w:rPr>
        <w:t>batas</w:t>
      </w:r>
      <w:r w:rsidR="00A954D0">
        <w:rPr>
          <w:rFonts w:ascii="Bookman Old Style" w:hAnsi="Bookman Old Style"/>
          <w:lang w:val="fi-FI"/>
        </w:rPr>
        <w:t xml:space="preserve"> </w:t>
      </w:r>
      <w:r w:rsidR="00515C3A" w:rsidRPr="008919AD">
        <w:rPr>
          <w:rFonts w:ascii="Bookman Old Style" w:hAnsi="Bookman Old Style"/>
          <w:lang w:val="fi-FI"/>
        </w:rPr>
        <w:t>minimal</w:t>
      </w:r>
      <w:r w:rsidR="00A954D0">
        <w:rPr>
          <w:rFonts w:ascii="Bookman Old Style" w:hAnsi="Bookman Old Style"/>
          <w:lang w:val="fi-FI"/>
        </w:rPr>
        <w:t xml:space="preserve"> </w:t>
      </w:r>
      <w:r w:rsidR="00515C3A" w:rsidRPr="008919AD">
        <w:rPr>
          <w:rFonts w:ascii="Bookman Old Style" w:hAnsi="Bookman Old Style"/>
          <w:lang w:val="fi-FI"/>
        </w:rPr>
        <w:t>kapitalisasi</w:t>
      </w:r>
      <w:r w:rsidR="00A954D0">
        <w:rPr>
          <w:rFonts w:ascii="Bookman Old Style" w:hAnsi="Bookman Old Style"/>
          <w:lang w:val="fi-FI"/>
        </w:rPr>
        <w:t xml:space="preserve"> </w:t>
      </w:r>
      <w:r w:rsidR="00515C3A" w:rsidRPr="008919AD">
        <w:rPr>
          <w:rFonts w:ascii="Bookman Old Style" w:hAnsi="Bookman Old Style"/>
          <w:lang w:val="fi-FI"/>
        </w:rPr>
        <w:t>aset</w:t>
      </w:r>
      <w:r w:rsidR="00A954D0">
        <w:rPr>
          <w:rFonts w:ascii="Bookman Old Style" w:hAnsi="Bookman Old Style"/>
          <w:lang w:val="fi-FI"/>
        </w:rPr>
        <w:t xml:space="preserve"> </w:t>
      </w:r>
      <w:r w:rsidR="00515C3A" w:rsidRPr="008919AD">
        <w:rPr>
          <w:rFonts w:ascii="Bookman Old Style" w:hAnsi="Bookman Old Style"/>
          <w:lang w:val="fi-FI"/>
        </w:rPr>
        <w:t>sesuai</w:t>
      </w:r>
      <w:r w:rsidR="00A954D0">
        <w:rPr>
          <w:rFonts w:ascii="Bookman Old Style" w:hAnsi="Bookman Old Style"/>
          <w:lang w:val="fi-FI"/>
        </w:rPr>
        <w:t xml:space="preserve"> </w:t>
      </w:r>
      <w:r w:rsidR="00515C3A" w:rsidRPr="008919AD">
        <w:rPr>
          <w:rFonts w:ascii="Bookman Old Style" w:hAnsi="Bookman Old Style"/>
          <w:lang w:val="fi-FI"/>
        </w:rPr>
        <w:t>dengan</w:t>
      </w:r>
      <w:r w:rsidR="00A954D0">
        <w:rPr>
          <w:rFonts w:ascii="Bookman Old Style" w:hAnsi="Bookman Old Style"/>
          <w:lang w:val="fi-FI"/>
        </w:rPr>
        <w:t xml:space="preserve"> </w:t>
      </w:r>
      <w:r w:rsidR="00515C3A" w:rsidRPr="008919AD">
        <w:rPr>
          <w:rFonts w:ascii="Bookman Old Style" w:hAnsi="Bookman Old Style"/>
          <w:lang w:val="fi-FI"/>
        </w:rPr>
        <w:t>kewenangan</w:t>
      </w:r>
      <w:r w:rsidR="00A954D0">
        <w:rPr>
          <w:rFonts w:ascii="Bookman Old Style" w:hAnsi="Bookman Old Style"/>
          <w:lang w:val="fi-FI"/>
        </w:rPr>
        <w:t xml:space="preserve"> </w:t>
      </w:r>
      <w:r w:rsidR="00515C3A" w:rsidRPr="008919AD">
        <w:rPr>
          <w:rFonts w:ascii="Bookman Old Style" w:hAnsi="Bookman Old Style"/>
          <w:lang w:val="fi-FI"/>
        </w:rPr>
        <w:t>Pemerintah</w:t>
      </w:r>
      <w:r w:rsidR="00A954D0">
        <w:rPr>
          <w:rFonts w:ascii="Bookman Old Style" w:hAnsi="Bookman Old Style"/>
          <w:lang w:val="fi-FI"/>
        </w:rPr>
        <w:t xml:space="preserve"> </w:t>
      </w:r>
      <w:r w:rsidR="00515C3A" w:rsidRPr="008919AD">
        <w:rPr>
          <w:rFonts w:ascii="Bookman Old Style" w:hAnsi="Bookman Old Style"/>
          <w:lang w:val="fi-FI"/>
        </w:rPr>
        <w:t>Daerah</w:t>
      </w:r>
      <w:r w:rsidR="00A954D0">
        <w:rPr>
          <w:rFonts w:ascii="Bookman Old Style" w:hAnsi="Bookman Old Style"/>
          <w:lang w:val="fi-FI"/>
        </w:rPr>
        <w:t xml:space="preserve"> </w:t>
      </w:r>
      <w:r w:rsidR="00515C3A" w:rsidRPr="008919AD">
        <w:rPr>
          <w:rFonts w:ascii="Bookman Old Style" w:hAnsi="Bookman Old Style"/>
          <w:lang w:val="fi-FI"/>
        </w:rPr>
        <w:t>Kota</w:t>
      </w:r>
      <w:r w:rsidR="00A954D0">
        <w:rPr>
          <w:rFonts w:ascii="Bookman Old Style" w:hAnsi="Bookman Old Style"/>
          <w:lang w:val="fi-FI"/>
        </w:rPr>
        <w:t xml:space="preserve"> </w:t>
      </w:r>
      <w:r w:rsidR="00515C3A" w:rsidRPr="008919AD">
        <w:rPr>
          <w:rFonts w:ascii="Bookman Old Style" w:hAnsi="Bookman Old Style"/>
          <w:lang w:val="fi-FI"/>
        </w:rPr>
        <w:t>Tangerang</w:t>
      </w:r>
      <w:r w:rsidR="00A954D0">
        <w:rPr>
          <w:rFonts w:ascii="Bookman Old Style" w:hAnsi="Bookman Old Style"/>
          <w:lang w:val="fi-FI"/>
        </w:rPr>
        <w:t xml:space="preserve"> </w:t>
      </w:r>
      <w:r w:rsidR="00515C3A" w:rsidRPr="008919AD">
        <w:rPr>
          <w:rFonts w:ascii="Bookman Old Style" w:hAnsi="Bookman Old Style"/>
          <w:lang w:val="fi-FI"/>
        </w:rPr>
        <w:t>,</w:t>
      </w:r>
      <w:r w:rsidR="00A954D0">
        <w:rPr>
          <w:rFonts w:ascii="Bookman Old Style" w:hAnsi="Bookman Old Style"/>
          <w:lang w:val="fi-FI"/>
        </w:rPr>
        <w:t xml:space="preserve"> </w:t>
      </w:r>
      <w:r w:rsidR="00515C3A" w:rsidRPr="008919AD">
        <w:rPr>
          <w:rFonts w:ascii="Bookman Old Style" w:hAnsi="Bookman Old Style"/>
          <w:lang w:val="fi-FI"/>
        </w:rPr>
        <w:t>sebagaimana</w:t>
      </w:r>
      <w:r w:rsidR="00A954D0">
        <w:rPr>
          <w:rFonts w:ascii="Bookman Old Style" w:hAnsi="Bookman Old Style"/>
          <w:lang w:val="fi-FI"/>
        </w:rPr>
        <w:t xml:space="preserve"> </w:t>
      </w:r>
      <w:r w:rsidR="00515C3A" w:rsidRPr="008919AD">
        <w:rPr>
          <w:rFonts w:ascii="Bookman Old Style" w:hAnsi="Bookman Old Style"/>
          <w:lang w:val="fi-FI"/>
        </w:rPr>
        <w:t>maksud</w:t>
      </w:r>
      <w:r w:rsidR="00A954D0">
        <w:rPr>
          <w:rFonts w:ascii="Bookman Old Style" w:hAnsi="Bookman Old Style"/>
          <w:lang w:val="fi-FI"/>
        </w:rPr>
        <w:t xml:space="preserve"> </w:t>
      </w:r>
      <w:r w:rsidR="00515C3A" w:rsidRPr="008919AD">
        <w:rPr>
          <w:rFonts w:ascii="Bookman Old Style" w:hAnsi="Bookman Old Style"/>
          <w:lang w:val="fi-FI"/>
        </w:rPr>
        <w:t>Pasal</w:t>
      </w:r>
      <w:r w:rsidR="00A954D0">
        <w:rPr>
          <w:rFonts w:ascii="Bookman Old Style" w:hAnsi="Bookman Old Style"/>
          <w:lang w:val="fi-FI"/>
        </w:rPr>
        <w:t xml:space="preserve"> </w:t>
      </w:r>
      <w:r w:rsidR="00515C3A" w:rsidRPr="008919AD">
        <w:rPr>
          <w:rFonts w:ascii="Bookman Old Style" w:hAnsi="Bookman Old Style"/>
          <w:lang w:val="fi-FI"/>
        </w:rPr>
        <w:t>64</w:t>
      </w:r>
      <w:r w:rsidR="00A954D0">
        <w:rPr>
          <w:rFonts w:ascii="Bookman Old Style" w:hAnsi="Bookman Old Style"/>
          <w:lang w:val="fi-FI"/>
        </w:rPr>
        <w:t xml:space="preserve"> </w:t>
      </w:r>
      <w:r w:rsidR="00515C3A" w:rsidRPr="008919AD">
        <w:rPr>
          <w:rFonts w:ascii="Bookman Old Style" w:hAnsi="Bookman Old Style"/>
          <w:lang w:val="fi-FI"/>
        </w:rPr>
        <w:t>Peraturan</w:t>
      </w:r>
      <w:r w:rsidR="00A954D0">
        <w:rPr>
          <w:rFonts w:ascii="Bookman Old Style" w:hAnsi="Bookman Old Style"/>
          <w:lang w:val="fi-FI"/>
        </w:rPr>
        <w:t xml:space="preserve"> </w:t>
      </w:r>
      <w:r w:rsidR="00515C3A" w:rsidRPr="008919AD">
        <w:rPr>
          <w:rFonts w:ascii="Bookman Old Style" w:hAnsi="Bookman Old Style"/>
          <w:lang w:val="fi-FI"/>
        </w:rPr>
        <w:t>Pemerintah</w:t>
      </w:r>
      <w:r w:rsidR="00A954D0">
        <w:rPr>
          <w:rFonts w:ascii="Bookman Old Style" w:hAnsi="Bookman Old Style"/>
          <w:lang w:val="fi-FI"/>
        </w:rPr>
        <w:t xml:space="preserve"> </w:t>
      </w:r>
      <w:r w:rsidR="00515C3A" w:rsidRPr="008919AD">
        <w:rPr>
          <w:rFonts w:ascii="Bookman Old Style" w:hAnsi="Bookman Old Style"/>
          <w:lang w:val="fi-FI"/>
        </w:rPr>
        <w:t>Nomor</w:t>
      </w:r>
      <w:r w:rsidR="00A954D0">
        <w:rPr>
          <w:rFonts w:ascii="Bookman Old Style" w:hAnsi="Bookman Old Style"/>
          <w:lang w:val="fi-FI"/>
        </w:rPr>
        <w:t xml:space="preserve"> </w:t>
      </w:r>
      <w:r w:rsidR="00515C3A" w:rsidRPr="008919AD">
        <w:rPr>
          <w:rFonts w:ascii="Bookman Old Style" w:hAnsi="Bookman Old Style"/>
          <w:lang w:val="fi-FI"/>
        </w:rPr>
        <w:t>12</w:t>
      </w:r>
      <w:r w:rsidR="00A954D0">
        <w:rPr>
          <w:rFonts w:ascii="Bookman Old Style" w:hAnsi="Bookman Old Style"/>
          <w:lang w:val="fi-FI"/>
        </w:rPr>
        <w:t xml:space="preserve"> </w:t>
      </w:r>
      <w:r w:rsidR="00515C3A" w:rsidRPr="008919AD">
        <w:rPr>
          <w:rFonts w:ascii="Bookman Old Style" w:hAnsi="Bookman Old Style"/>
          <w:lang w:val="fi-FI"/>
        </w:rPr>
        <w:t>Tahun</w:t>
      </w:r>
      <w:r w:rsidR="00A954D0">
        <w:rPr>
          <w:rFonts w:ascii="Bookman Old Style" w:hAnsi="Bookman Old Style"/>
          <w:lang w:val="fi-FI"/>
        </w:rPr>
        <w:t xml:space="preserve"> </w:t>
      </w:r>
      <w:r w:rsidR="00515C3A" w:rsidRPr="008919AD">
        <w:rPr>
          <w:rFonts w:ascii="Bookman Old Style" w:hAnsi="Bookman Old Style"/>
          <w:lang w:val="fi-FI"/>
        </w:rPr>
        <w:t>2019.</w:t>
      </w:r>
    </w:p>
    <w:p w14:paraId="75B427D9" w14:textId="6AAE987D" w:rsidR="00515C3A" w:rsidRPr="008919AD" w:rsidRDefault="00515C3A" w:rsidP="00154790">
      <w:pPr>
        <w:spacing w:before="60" w:line="276" w:lineRule="auto"/>
        <w:ind w:left="1701"/>
        <w:jc w:val="both"/>
        <w:rPr>
          <w:rFonts w:ascii="Bookman Old Style" w:hAnsi="Bookman Old Style"/>
          <w:lang w:val="fi-FI"/>
        </w:rPr>
      </w:pPr>
      <w:r w:rsidRPr="008919AD">
        <w:rPr>
          <w:rFonts w:ascii="Bookman Old Style" w:hAnsi="Bookman Old Style"/>
          <w:lang w:val="fi-FI"/>
        </w:rPr>
        <w:t>Penganggaran</w:t>
      </w:r>
      <w:r w:rsidR="00A954D0">
        <w:rPr>
          <w:rFonts w:ascii="Bookman Old Style" w:hAnsi="Bookman Old Style"/>
          <w:lang w:val="fi-FI"/>
        </w:rPr>
        <w:t xml:space="preserve"> </w:t>
      </w:r>
      <w:r w:rsidRPr="008919AD">
        <w:rPr>
          <w:rFonts w:ascii="Bookman Old Style" w:hAnsi="Bookman Old Style"/>
          <w:lang w:val="fi-FI"/>
        </w:rPr>
        <w:t>belanja</w:t>
      </w:r>
      <w:r w:rsidR="00A954D0">
        <w:rPr>
          <w:rFonts w:ascii="Bookman Old Style" w:hAnsi="Bookman Old Style"/>
          <w:lang w:val="fi-FI"/>
        </w:rPr>
        <w:t xml:space="preserve"> </w:t>
      </w:r>
      <w:r w:rsidRPr="008919AD">
        <w:rPr>
          <w:rFonts w:ascii="Bookman Old Style" w:hAnsi="Bookman Old Style"/>
          <w:lang w:val="fi-FI"/>
        </w:rPr>
        <w:t>modal</w:t>
      </w:r>
      <w:r w:rsidR="00A954D0">
        <w:rPr>
          <w:rFonts w:ascii="Bookman Old Style" w:hAnsi="Bookman Old Style"/>
          <w:lang w:val="fi-FI"/>
        </w:rPr>
        <w:t xml:space="preserve"> </w:t>
      </w:r>
      <w:r w:rsidRPr="008919AD">
        <w:rPr>
          <w:rFonts w:ascii="Bookman Old Style" w:hAnsi="Bookman Old Style"/>
          <w:lang w:val="fi-FI"/>
        </w:rPr>
        <w:t>dilakukan</w:t>
      </w:r>
      <w:r w:rsidR="00A954D0">
        <w:rPr>
          <w:rFonts w:ascii="Bookman Old Style" w:hAnsi="Bookman Old Style"/>
          <w:lang w:val="fi-FI"/>
        </w:rPr>
        <w:t xml:space="preserve"> </w:t>
      </w:r>
      <w:r w:rsidRPr="008919AD">
        <w:rPr>
          <w:rFonts w:ascii="Bookman Old Style" w:hAnsi="Bookman Old Style"/>
          <w:lang w:val="fi-FI"/>
        </w:rPr>
        <w:t>sesuai</w:t>
      </w:r>
      <w:r w:rsidR="00A954D0">
        <w:rPr>
          <w:rFonts w:ascii="Bookman Old Style" w:hAnsi="Bookman Old Style"/>
          <w:lang w:val="fi-FI"/>
        </w:rPr>
        <w:t xml:space="preserve"> </w:t>
      </w:r>
      <w:r w:rsidRPr="008919AD">
        <w:rPr>
          <w:rFonts w:ascii="Bookman Old Style" w:hAnsi="Bookman Old Style"/>
          <w:lang w:val="fi-FI"/>
        </w:rPr>
        <w:t>dengan</w:t>
      </w:r>
      <w:r w:rsidR="00A954D0">
        <w:rPr>
          <w:rFonts w:ascii="Bookman Old Style" w:hAnsi="Bookman Old Style"/>
          <w:lang w:val="fi-FI"/>
        </w:rPr>
        <w:t xml:space="preserve"> </w:t>
      </w:r>
      <w:r w:rsidRPr="008919AD">
        <w:rPr>
          <w:rFonts w:ascii="Bookman Old Style" w:hAnsi="Bookman Old Style"/>
          <w:lang w:val="fi-FI"/>
        </w:rPr>
        <w:t>kemampuan</w:t>
      </w:r>
      <w:r w:rsidR="00A954D0">
        <w:rPr>
          <w:rFonts w:ascii="Bookman Old Style" w:hAnsi="Bookman Old Style"/>
          <w:lang w:val="fi-FI"/>
        </w:rPr>
        <w:t xml:space="preserve"> </w:t>
      </w:r>
      <w:r w:rsidRPr="008919AD">
        <w:rPr>
          <w:rFonts w:ascii="Bookman Old Style" w:hAnsi="Bookman Old Style"/>
          <w:lang w:val="fi-FI"/>
        </w:rPr>
        <w:t>keuangan</w:t>
      </w:r>
      <w:r w:rsidR="00A954D0">
        <w:rPr>
          <w:rFonts w:ascii="Bookman Old Style" w:hAnsi="Bookman Old Style"/>
          <w:lang w:val="fi-FI"/>
        </w:rPr>
        <w:t xml:space="preserve"> </w:t>
      </w:r>
      <w:r w:rsidRPr="008919AD">
        <w:rPr>
          <w:rFonts w:ascii="Bookman Old Style" w:hAnsi="Bookman Old Style"/>
          <w:lang w:val="fi-FI"/>
        </w:rPr>
        <w:t>dan</w:t>
      </w:r>
      <w:r w:rsidR="00A954D0">
        <w:rPr>
          <w:rFonts w:ascii="Bookman Old Style" w:hAnsi="Bookman Old Style"/>
          <w:lang w:val="fi-FI"/>
        </w:rPr>
        <w:t xml:space="preserve"> </w:t>
      </w:r>
      <w:r w:rsidRPr="008919AD">
        <w:rPr>
          <w:rFonts w:ascii="Bookman Old Style" w:hAnsi="Bookman Old Style"/>
          <w:lang w:val="fi-FI"/>
        </w:rPr>
        <w:t>kebutuhan</w:t>
      </w:r>
      <w:r w:rsidR="00A954D0">
        <w:rPr>
          <w:rFonts w:ascii="Bookman Old Style" w:hAnsi="Bookman Old Style"/>
          <w:lang w:val="fi-FI"/>
        </w:rPr>
        <w:t xml:space="preserve"> </w:t>
      </w:r>
      <w:r w:rsidRPr="008919AD">
        <w:rPr>
          <w:rFonts w:ascii="Bookman Old Style" w:hAnsi="Bookman Old Style"/>
          <w:lang w:val="fi-FI"/>
        </w:rPr>
        <w:t>daerah</w:t>
      </w:r>
      <w:r w:rsidR="00A954D0">
        <w:rPr>
          <w:rFonts w:ascii="Bookman Old Style" w:hAnsi="Bookman Old Style"/>
          <w:lang w:val="fi-FI"/>
        </w:rPr>
        <w:t xml:space="preserve"> </w:t>
      </w:r>
      <w:r w:rsidRPr="008919AD">
        <w:rPr>
          <w:rFonts w:ascii="Bookman Old Style" w:hAnsi="Bookman Old Style"/>
          <w:lang w:val="fi-FI"/>
        </w:rPr>
        <w:t>berdasarkan</w:t>
      </w:r>
      <w:r w:rsidR="00A954D0">
        <w:rPr>
          <w:rFonts w:ascii="Bookman Old Style" w:hAnsi="Bookman Old Style"/>
          <w:lang w:val="fi-FI"/>
        </w:rPr>
        <w:t xml:space="preserve"> </w:t>
      </w:r>
      <w:r w:rsidRPr="008919AD">
        <w:rPr>
          <w:rFonts w:ascii="Bookman Old Style" w:hAnsi="Bookman Old Style"/>
          <w:lang w:val="fi-FI"/>
        </w:rPr>
        <w:t>prinsip</w:t>
      </w:r>
      <w:r w:rsidR="00A954D0">
        <w:rPr>
          <w:rFonts w:ascii="Bookman Old Style" w:hAnsi="Bookman Old Style"/>
          <w:lang w:val="fi-FI"/>
        </w:rPr>
        <w:t xml:space="preserve"> </w:t>
      </w:r>
      <w:r w:rsidRPr="008919AD">
        <w:rPr>
          <w:rFonts w:ascii="Bookman Old Style" w:hAnsi="Bookman Old Style"/>
          <w:lang w:val="fi-FI"/>
        </w:rPr>
        <w:t>efisiensi,</w:t>
      </w:r>
      <w:r w:rsidR="00A954D0">
        <w:rPr>
          <w:rFonts w:ascii="Bookman Old Style" w:hAnsi="Bookman Old Style"/>
          <w:lang w:val="fi-FI"/>
        </w:rPr>
        <w:t xml:space="preserve"> </w:t>
      </w:r>
      <w:r w:rsidRPr="008919AD">
        <w:rPr>
          <w:rFonts w:ascii="Bookman Old Style" w:hAnsi="Bookman Old Style"/>
          <w:lang w:val="fi-FI"/>
        </w:rPr>
        <w:t>efektif,</w:t>
      </w:r>
      <w:r w:rsidR="00A954D0">
        <w:rPr>
          <w:rFonts w:ascii="Bookman Old Style" w:hAnsi="Bookman Old Style"/>
          <w:lang w:val="fi-FI"/>
        </w:rPr>
        <w:t xml:space="preserve"> </w:t>
      </w:r>
      <w:r w:rsidRPr="008919AD">
        <w:rPr>
          <w:rFonts w:ascii="Bookman Old Style" w:hAnsi="Bookman Old Style"/>
          <w:lang w:val="fi-FI"/>
        </w:rPr>
        <w:t>transparan</w:t>
      </w:r>
      <w:r w:rsidR="00A954D0">
        <w:rPr>
          <w:rFonts w:ascii="Bookman Old Style" w:hAnsi="Bookman Old Style"/>
          <w:lang w:val="fi-FI"/>
        </w:rPr>
        <w:t xml:space="preserve"> </w:t>
      </w:r>
      <w:r w:rsidRPr="008919AD">
        <w:rPr>
          <w:rFonts w:ascii="Bookman Old Style" w:hAnsi="Bookman Old Style"/>
          <w:lang w:val="fi-FI"/>
        </w:rPr>
        <w:t>dan</w:t>
      </w:r>
      <w:r w:rsidR="00A954D0">
        <w:rPr>
          <w:rFonts w:ascii="Bookman Old Style" w:hAnsi="Bookman Old Style"/>
          <w:lang w:val="fi-FI"/>
        </w:rPr>
        <w:t xml:space="preserve"> </w:t>
      </w:r>
      <w:r w:rsidRPr="008919AD">
        <w:rPr>
          <w:rFonts w:ascii="Bookman Old Style" w:hAnsi="Bookman Old Style"/>
          <w:lang w:val="fi-FI"/>
        </w:rPr>
        <w:t>terbuka,</w:t>
      </w:r>
      <w:r w:rsidR="00A954D0">
        <w:rPr>
          <w:rFonts w:ascii="Bookman Old Style" w:hAnsi="Bookman Old Style"/>
          <w:lang w:val="fi-FI"/>
        </w:rPr>
        <w:t xml:space="preserve"> </w:t>
      </w:r>
      <w:r w:rsidRPr="008919AD">
        <w:rPr>
          <w:rFonts w:ascii="Bookman Old Style" w:hAnsi="Bookman Old Style"/>
          <w:lang w:val="fi-FI"/>
        </w:rPr>
        <w:t>bersaing,</w:t>
      </w:r>
      <w:r w:rsidR="00A954D0">
        <w:rPr>
          <w:rFonts w:ascii="Bookman Old Style" w:hAnsi="Bookman Old Style"/>
          <w:lang w:val="fi-FI"/>
        </w:rPr>
        <w:t xml:space="preserve"> </w:t>
      </w:r>
      <w:r w:rsidRPr="008919AD">
        <w:rPr>
          <w:rFonts w:ascii="Bookman Old Style" w:hAnsi="Bookman Old Style"/>
          <w:lang w:val="fi-FI"/>
        </w:rPr>
        <w:t>adil,</w:t>
      </w:r>
      <w:r w:rsidR="00A954D0">
        <w:rPr>
          <w:rFonts w:ascii="Bookman Old Style" w:hAnsi="Bookman Old Style"/>
          <w:lang w:val="fi-FI"/>
        </w:rPr>
        <w:t xml:space="preserve"> </w:t>
      </w:r>
      <w:r w:rsidRPr="008919AD">
        <w:rPr>
          <w:rFonts w:ascii="Bookman Old Style" w:hAnsi="Bookman Old Style"/>
          <w:lang w:val="fi-FI"/>
        </w:rPr>
        <w:t>dan</w:t>
      </w:r>
      <w:r w:rsidR="00A954D0">
        <w:rPr>
          <w:rFonts w:ascii="Bookman Old Style" w:hAnsi="Bookman Old Style"/>
          <w:lang w:val="fi-FI"/>
        </w:rPr>
        <w:t xml:space="preserve"> </w:t>
      </w:r>
      <w:r w:rsidRPr="008919AD">
        <w:rPr>
          <w:rFonts w:ascii="Bookman Old Style" w:hAnsi="Bookman Old Style"/>
          <w:lang w:val="fi-FI"/>
        </w:rPr>
        <w:t>akuntabel</w:t>
      </w:r>
      <w:r w:rsidR="00A954D0">
        <w:rPr>
          <w:rFonts w:ascii="Bookman Old Style" w:hAnsi="Bookman Old Style"/>
          <w:lang w:val="fi-FI"/>
        </w:rPr>
        <w:t xml:space="preserve"> </w:t>
      </w:r>
      <w:r w:rsidRPr="008919AD">
        <w:rPr>
          <w:rFonts w:ascii="Bookman Old Style" w:hAnsi="Bookman Old Style"/>
          <w:lang w:val="fi-FI"/>
        </w:rPr>
        <w:t>dengan</w:t>
      </w:r>
      <w:r w:rsidR="00A954D0">
        <w:rPr>
          <w:rFonts w:ascii="Bookman Old Style" w:hAnsi="Bookman Old Style"/>
          <w:lang w:val="fi-FI"/>
        </w:rPr>
        <w:t xml:space="preserve"> </w:t>
      </w:r>
      <w:r w:rsidRPr="008919AD">
        <w:rPr>
          <w:rFonts w:ascii="Bookman Old Style" w:hAnsi="Bookman Old Style"/>
          <w:lang w:val="fi-FI"/>
        </w:rPr>
        <w:t>mengutamakan</w:t>
      </w:r>
      <w:r w:rsidR="00A954D0">
        <w:rPr>
          <w:rFonts w:ascii="Bookman Old Style" w:hAnsi="Bookman Old Style"/>
          <w:lang w:val="fi-FI"/>
        </w:rPr>
        <w:t xml:space="preserve"> </w:t>
      </w:r>
      <w:r w:rsidRPr="008919AD">
        <w:rPr>
          <w:rFonts w:ascii="Bookman Old Style" w:hAnsi="Bookman Old Style"/>
          <w:lang w:val="fi-FI"/>
        </w:rPr>
        <w:t>produk</w:t>
      </w:r>
      <w:r w:rsidR="00A954D0">
        <w:rPr>
          <w:rFonts w:ascii="Bookman Old Style" w:hAnsi="Bookman Old Style"/>
          <w:lang w:val="fi-FI"/>
        </w:rPr>
        <w:t xml:space="preserve"> </w:t>
      </w:r>
      <w:r w:rsidRPr="008919AD">
        <w:rPr>
          <w:rFonts w:ascii="Bookman Old Style" w:hAnsi="Bookman Old Style"/>
          <w:lang w:val="fi-FI"/>
        </w:rPr>
        <w:t>dalam</w:t>
      </w:r>
      <w:r w:rsidR="00A954D0">
        <w:rPr>
          <w:rFonts w:ascii="Bookman Old Style" w:hAnsi="Bookman Old Style"/>
          <w:lang w:val="fi-FI"/>
        </w:rPr>
        <w:t xml:space="preserve"> </w:t>
      </w:r>
      <w:r w:rsidRPr="008919AD">
        <w:rPr>
          <w:rFonts w:ascii="Bookman Old Style" w:hAnsi="Bookman Old Style"/>
          <w:lang w:val="fi-FI"/>
        </w:rPr>
        <w:t>negeri</w:t>
      </w:r>
      <w:r w:rsidR="00A954D0">
        <w:rPr>
          <w:rFonts w:ascii="Bookman Old Style" w:hAnsi="Bookman Old Style"/>
          <w:lang w:val="fi-FI"/>
        </w:rPr>
        <w:t xml:space="preserve"> </w:t>
      </w:r>
      <w:r w:rsidRPr="008919AD">
        <w:rPr>
          <w:rFonts w:ascii="Bookman Old Style" w:hAnsi="Bookman Old Style"/>
          <w:lang w:val="fi-FI"/>
        </w:rPr>
        <w:t>sebagaimana</w:t>
      </w:r>
      <w:r w:rsidR="00A954D0">
        <w:rPr>
          <w:rFonts w:ascii="Bookman Old Style" w:hAnsi="Bookman Old Style"/>
          <w:lang w:val="fi-FI"/>
        </w:rPr>
        <w:t xml:space="preserve"> </w:t>
      </w:r>
      <w:r w:rsidRPr="008919AD">
        <w:rPr>
          <w:rFonts w:ascii="Bookman Old Style" w:hAnsi="Bookman Old Style"/>
          <w:lang w:val="fi-FI"/>
        </w:rPr>
        <w:t>diamanatkan</w:t>
      </w:r>
      <w:r w:rsidR="00A954D0">
        <w:rPr>
          <w:rFonts w:ascii="Bookman Old Style" w:hAnsi="Bookman Old Style"/>
          <w:lang w:val="fi-FI"/>
        </w:rPr>
        <w:t xml:space="preserve"> </w:t>
      </w:r>
      <w:r w:rsidRPr="008919AD">
        <w:rPr>
          <w:rFonts w:ascii="Bookman Old Style" w:hAnsi="Bookman Old Style"/>
          <w:lang w:val="fi-FI"/>
        </w:rPr>
        <w:t>dalam</w:t>
      </w:r>
      <w:r w:rsidR="00A954D0">
        <w:rPr>
          <w:rFonts w:ascii="Bookman Old Style" w:hAnsi="Bookman Old Style"/>
          <w:lang w:val="fi-FI"/>
        </w:rPr>
        <w:t xml:space="preserve"> </w:t>
      </w:r>
      <w:r w:rsidRPr="008919AD">
        <w:rPr>
          <w:rFonts w:ascii="Bookman Old Style" w:hAnsi="Bookman Old Style"/>
          <w:lang w:val="fi-FI"/>
        </w:rPr>
        <w:t>Instruksi</w:t>
      </w:r>
      <w:r w:rsidR="00A954D0">
        <w:rPr>
          <w:rFonts w:ascii="Bookman Old Style" w:hAnsi="Bookman Old Style"/>
          <w:lang w:val="fi-FI"/>
        </w:rPr>
        <w:t xml:space="preserve"> </w:t>
      </w:r>
      <w:r w:rsidRPr="008919AD">
        <w:rPr>
          <w:rFonts w:ascii="Bookman Old Style" w:hAnsi="Bookman Old Style"/>
          <w:lang w:val="fi-FI"/>
        </w:rPr>
        <w:t>Presiden</w:t>
      </w:r>
      <w:r w:rsidR="00A954D0">
        <w:rPr>
          <w:rFonts w:ascii="Bookman Old Style" w:hAnsi="Bookman Old Style"/>
          <w:lang w:val="fi-FI"/>
        </w:rPr>
        <w:t xml:space="preserve"> </w:t>
      </w:r>
      <w:r w:rsidRPr="008919AD">
        <w:rPr>
          <w:rFonts w:ascii="Bookman Old Style" w:hAnsi="Bookman Old Style"/>
          <w:lang w:val="fi-FI"/>
        </w:rPr>
        <w:t>Nomor</w:t>
      </w:r>
      <w:r w:rsidR="00A954D0">
        <w:rPr>
          <w:rFonts w:ascii="Bookman Old Style" w:hAnsi="Bookman Old Style"/>
          <w:lang w:val="fi-FI"/>
        </w:rPr>
        <w:t xml:space="preserve"> </w:t>
      </w:r>
      <w:r w:rsidRPr="008919AD">
        <w:rPr>
          <w:rFonts w:ascii="Bookman Old Style" w:hAnsi="Bookman Old Style"/>
          <w:lang w:val="fi-FI"/>
        </w:rPr>
        <w:t>2</w:t>
      </w:r>
      <w:r w:rsidR="00A954D0">
        <w:rPr>
          <w:rFonts w:ascii="Bookman Old Style" w:hAnsi="Bookman Old Style"/>
          <w:lang w:val="fi-FI"/>
        </w:rPr>
        <w:t xml:space="preserve"> </w:t>
      </w:r>
      <w:r w:rsidRPr="008919AD">
        <w:rPr>
          <w:rFonts w:ascii="Bookman Old Style" w:hAnsi="Bookman Old Style"/>
          <w:lang w:val="fi-FI"/>
        </w:rPr>
        <w:t>Tahun</w:t>
      </w:r>
      <w:r w:rsidR="00A954D0">
        <w:rPr>
          <w:rFonts w:ascii="Bookman Old Style" w:hAnsi="Bookman Old Style"/>
          <w:lang w:val="fi-FI"/>
        </w:rPr>
        <w:t xml:space="preserve"> </w:t>
      </w:r>
      <w:r w:rsidRPr="008919AD">
        <w:rPr>
          <w:rFonts w:ascii="Bookman Old Style" w:hAnsi="Bookman Old Style"/>
          <w:lang w:val="fi-FI"/>
        </w:rPr>
        <w:t>2022</w:t>
      </w:r>
      <w:r w:rsidR="00A954D0">
        <w:rPr>
          <w:rFonts w:ascii="Bookman Old Style" w:hAnsi="Bookman Old Style"/>
          <w:lang w:val="fi-FI"/>
        </w:rPr>
        <w:t xml:space="preserve"> </w:t>
      </w:r>
      <w:r w:rsidRPr="008919AD">
        <w:rPr>
          <w:rFonts w:ascii="Bookman Old Style" w:hAnsi="Bookman Old Style"/>
          <w:lang w:val="fi-FI"/>
        </w:rPr>
        <w:t>tanggal</w:t>
      </w:r>
      <w:r w:rsidR="00A954D0">
        <w:rPr>
          <w:rFonts w:ascii="Bookman Old Style" w:hAnsi="Bookman Old Style"/>
          <w:lang w:val="fi-FI"/>
        </w:rPr>
        <w:t xml:space="preserve"> </w:t>
      </w:r>
      <w:r w:rsidRPr="008919AD">
        <w:rPr>
          <w:rFonts w:ascii="Bookman Old Style" w:hAnsi="Bookman Old Style"/>
          <w:lang w:val="fi-FI"/>
        </w:rPr>
        <w:t>30</w:t>
      </w:r>
      <w:r w:rsidR="00A954D0">
        <w:rPr>
          <w:rFonts w:ascii="Bookman Old Style" w:hAnsi="Bookman Old Style"/>
          <w:lang w:val="fi-FI"/>
        </w:rPr>
        <w:t xml:space="preserve"> </w:t>
      </w:r>
      <w:r w:rsidRPr="008919AD">
        <w:rPr>
          <w:rFonts w:ascii="Bookman Old Style" w:hAnsi="Bookman Old Style"/>
          <w:lang w:val="fi-FI"/>
        </w:rPr>
        <w:t>Maret</w:t>
      </w:r>
      <w:r w:rsidR="00A954D0">
        <w:rPr>
          <w:rFonts w:ascii="Bookman Old Style" w:hAnsi="Bookman Old Style"/>
          <w:lang w:val="fi-FI"/>
        </w:rPr>
        <w:t xml:space="preserve"> </w:t>
      </w:r>
      <w:r w:rsidRPr="008919AD">
        <w:rPr>
          <w:rFonts w:ascii="Bookman Old Style" w:hAnsi="Bookman Old Style"/>
          <w:lang w:val="fi-FI"/>
        </w:rPr>
        <w:t>2022.</w:t>
      </w:r>
      <w:r w:rsidR="00A954D0">
        <w:rPr>
          <w:rFonts w:ascii="Bookman Old Style" w:hAnsi="Bookman Old Style"/>
          <w:lang w:val="fi-FI"/>
        </w:rPr>
        <w:t xml:space="preserve"> </w:t>
      </w:r>
    </w:p>
    <w:p w14:paraId="1B699B82" w14:textId="2DBD14FD" w:rsidR="00515C3A" w:rsidRPr="00F755BA" w:rsidRDefault="00515C3A" w:rsidP="00154790">
      <w:pPr>
        <w:spacing w:before="60" w:line="276" w:lineRule="auto"/>
        <w:ind w:left="1701"/>
        <w:jc w:val="both"/>
        <w:rPr>
          <w:rFonts w:ascii="Bookman Old Style" w:hAnsi="Bookman Old Style"/>
          <w:lang w:val="fi-FI"/>
        </w:rPr>
      </w:pPr>
      <w:r w:rsidRPr="008919AD">
        <w:rPr>
          <w:rFonts w:ascii="Bookman Old Style" w:hAnsi="Bookman Old Style"/>
          <w:lang w:val="fi-FI"/>
        </w:rPr>
        <w:t>Pengadaan</w:t>
      </w:r>
      <w:r w:rsidR="00A954D0">
        <w:rPr>
          <w:rFonts w:ascii="Bookman Old Style" w:hAnsi="Bookman Old Style"/>
          <w:lang w:val="fi-FI"/>
        </w:rPr>
        <w:t xml:space="preserve"> </w:t>
      </w:r>
      <w:r w:rsidRPr="008919AD">
        <w:rPr>
          <w:rFonts w:ascii="Bookman Old Style" w:hAnsi="Bookman Old Style"/>
          <w:lang w:val="fi-FI"/>
        </w:rPr>
        <w:t>BMD</w:t>
      </w:r>
      <w:r w:rsidR="00A954D0">
        <w:rPr>
          <w:rFonts w:ascii="Bookman Old Style" w:hAnsi="Bookman Old Style"/>
          <w:lang w:val="fi-FI"/>
        </w:rPr>
        <w:t xml:space="preserve"> </w:t>
      </w:r>
      <w:r w:rsidRPr="008919AD">
        <w:rPr>
          <w:rFonts w:ascii="Bookman Old Style" w:hAnsi="Bookman Old Style"/>
          <w:lang w:val="fi-FI"/>
        </w:rPr>
        <w:t>dimaksud</w:t>
      </w:r>
      <w:r w:rsidR="00A954D0">
        <w:rPr>
          <w:rFonts w:ascii="Bookman Old Style" w:hAnsi="Bookman Old Style"/>
          <w:lang w:val="fi-FI"/>
        </w:rPr>
        <w:t xml:space="preserve"> </w:t>
      </w:r>
      <w:r w:rsidRPr="008919AD">
        <w:rPr>
          <w:rFonts w:ascii="Bookman Old Style" w:hAnsi="Bookman Old Style"/>
          <w:lang w:val="fi-FI"/>
        </w:rPr>
        <w:t>pelaksanaannya</w:t>
      </w:r>
      <w:r w:rsidR="00A954D0">
        <w:rPr>
          <w:rFonts w:ascii="Bookman Old Style" w:hAnsi="Bookman Old Style"/>
          <w:lang w:val="fi-FI"/>
        </w:rPr>
        <w:t xml:space="preserve"> </w:t>
      </w:r>
      <w:r w:rsidRPr="008919AD">
        <w:rPr>
          <w:rFonts w:ascii="Bookman Old Style" w:hAnsi="Bookman Old Style"/>
          <w:lang w:val="fi-FI"/>
        </w:rPr>
        <w:t>juga</w:t>
      </w:r>
      <w:r w:rsidR="00A954D0">
        <w:rPr>
          <w:rFonts w:ascii="Bookman Old Style" w:hAnsi="Bookman Old Style"/>
          <w:lang w:val="fi-FI"/>
        </w:rPr>
        <w:t xml:space="preserve"> </w:t>
      </w:r>
      <w:r w:rsidRPr="008919AD">
        <w:rPr>
          <w:rFonts w:ascii="Bookman Old Style" w:hAnsi="Bookman Old Style"/>
          <w:lang w:val="fi-FI"/>
        </w:rPr>
        <w:t>harus</w:t>
      </w:r>
      <w:r w:rsidR="00A954D0">
        <w:rPr>
          <w:rFonts w:ascii="Bookman Old Style" w:hAnsi="Bookman Old Style"/>
          <w:lang w:val="fi-FI"/>
        </w:rPr>
        <w:t xml:space="preserve"> </w:t>
      </w:r>
      <w:r w:rsidRPr="008919AD">
        <w:rPr>
          <w:rFonts w:ascii="Bookman Old Style" w:hAnsi="Bookman Old Style"/>
          <w:lang w:val="fi-FI"/>
        </w:rPr>
        <w:t>sesuai</w:t>
      </w:r>
      <w:r w:rsidR="00A954D0">
        <w:rPr>
          <w:rFonts w:ascii="Bookman Old Style" w:hAnsi="Bookman Old Style"/>
          <w:lang w:val="fi-FI"/>
        </w:rPr>
        <w:t xml:space="preserve"> </w:t>
      </w:r>
      <w:r w:rsidRPr="008919AD">
        <w:rPr>
          <w:rFonts w:ascii="Bookman Old Style" w:hAnsi="Bookman Old Style"/>
          <w:lang w:val="fi-FI"/>
        </w:rPr>
        <w:t>dengan</w:t>
      </w:r>
      <w:r w:rsidR="00A954D0">
        <w:rPr>
          <w:rFonts w:ascii="Bookman Old Style" w:hAnsi="Bookman Old Style"/>
          <w:lang w:val="fi-FI"/>
        </w:rPr>
        <w:t xml:space="preserve"> </w:t>
      </w:r>
      <w:r w:rsidRPr="008919AD">
        <w:rPr>
          <w:rFonts w:ascii="Bookman Old Style" w:hAnsi="Bookman Old Style"/>
          <w:lang w:val="fi-FI"/>
        </w:rPr>
        <w:t>standarisasi</w:t>
      </w:r>
      <w:r w:rsidR="00A954D0">
        <w:rPr>
          <w:rFonts w:ascii="Bookman Old Style" w:hAnsi="Bookman Old Style"/>
          <w:lang w:val="fi-FI"/>
        </w:rPr>
        <w:t xml:space="preserve"> </w:t>
      </w:r>
      <w:r w:rsidRPr="008919AD">
        <w:rPr>
          <w:rFonts w:ascii="Bookman Old Style" w:hAnsi="Bookman Old Style"/>
          <w:lang w:val="fi-FI"/>
        </w:rPr>
        <w:t>sarana</w:t>
      </w:r>
      <w:r w:rsidR="00A954D0">
        <w:rPr>
          <w:rFonts w:ascii="Bookman Old Style" w:hAnsi="Bookman Old Style"/>
          <w:lang w:val="fi-FI"/>
        </w:rPr>
        <w:t xml:space="preserve"> </w:t>
      </w:r>
      <w:r w:rsidRPr="008919AD">
        <w:rPr>
          <w:rFonts w:ascii="Bookman Old Style" w:hAnsi="Bookman Old Style"/>
          <w:lang w:val="fi-FI"/>
        </w:rPr>
        <w:t>dan</w:t>
      </w:r>
      <w:r w:rsidR="00A954D0">
        <w:rPr>
          <w:rFonts w:ascii="Bookman Old Style" w:hAnsi="Bookman Old Style"/>
          <w:lang w:val="fi-FI"/>
        </w:rPr>
        <w:t xml:space="preserve"> </w:t>
      </w:r>
      <w:r w:rsidRPr="008919AD">
        <w:rPr>
          <w:rFonts w:ascii="Bookman Old Style" w:hAnsi="Bookman Old Style"/>
          <w:lang w:val="fi-FI"/>
        </w:rPr>
        <w:t>prasarana</w:t>
      </w:r>
      <w:r w:rsidR="00A954D0">
        <w:rPr>
          <w:rFonts w:ascii="Bookman Old Style" w:hAnsi="Bookman Old Style"/>
          <w:lang w:val="fi-FI"/>
        </w:rPr>
        <w:t xml:space="preserve"> </w:t>
      </w:r>
      <w:r w:rsidRPr="008919AD">
        <w:rPr>
          <w:rFonts w:ascii="Bookman Old Style" w:hAnsi="Bookman Old Style"/>
          <w:lang w:val="fi-FI"/>
        </w:rPr>
        <w:t>kerja</w:t>
      </w:r>
      <w:r w:rsidR="00A954D0">
        <w:rPr>
          <w:rFonts w:ascii="Bookman Old Style" w:hAnsi="Bookman Old Style"/>
          <w:lang w:val="fi-FI"/>
        </w:rPr>
        <w:t xml:space="preserve"> </w:t>
      </w:r>
      <w:r w:rsidRPr="008919AD">
        <w:rPr>
          <w:rFonts w:ascii="Bookman Old Style" w:hAnsi="Bookman Old Style"/>
          <w:lang w:val="fi-FI"/>
        </w:rPr>
        <w:t>Pemerintah</w:t>
      </w:r>
      <w:r w:rsidR="00A954D0">
        <w:rPr>
          <w:rFonts w:ascii="Bookman Old Style" w:hAnsi="Bookman Old Style"/>
          <w:lang w:val="fi-FI"/>
        </w:rPr>
        <w:t xml:space="preserve"> </w:t>
      </w:r>
      <w:r w:rsidRPr="008919AD">
        <w:rPr>
          <w:rFonts w:ascii="Bookman Old Style" w:hAnsi="Bookman Old Style"/>
          <w:lang w:val="fi-FI"/>
        </w:rPr>
        <w:t>Daerah</w:t>
      </w:r>
      <w:r w:rsidR="00A954D0">
        <w:rPr>
          <w:rFonts w:ascii="Bookman Old Style" w:hAnsi="Bookman Old Style"/>
          <w:lang w:val="fi-FI"/>
        </w:rPr>
        <w:t xml:space="preserve"> </w:t>
      </w:r>
      <w:r w:rsidRPr="008919AD">
        <w:rPr>
          <w:rFonts w:ascii="Bookman Old Style" w:hAnsi="Bookman Old Style"/>
          <w:lang w:val="fi-FI"/>
        </w:rPr>
        <w:t>sebagaimana</w:t>
      </w:r>
      <w:r w:rsidR="00A954D0">
        <w:rPr>
          <w:rFonts w:ascii="Bookman Old Style" w:hAnsi="Bookman Old Style"/>
          <w:lang w:val="fi-FI"/>
        </w:rPr>
        <w:t xml:space="preserve"> </w:t>
      </w:r>
      <w:r w:rsidRPr="00F755BA">
        <w:rPr>
          <w:rFonts w:ascii="Bookman Old Style" w:hAnsi="Bookman Old Style"/>
          <w:lang w:val="fi-FI"/>
        </w:rPr>
        <w:t>diamanatkan</w:t>
      </w:r>
      <w:r w:rsidR="00A954D0">
        <w:rPr>
          <w:rFonts w:ascii="Bookman Old Style" w:hAnsi="Bookman Old Style"/>
          <w:lang w:val="fi-FI"/>
        </w:rPr>
        <w:t xml:space="preserve"> </w:t>
      </w:r>
      <w:r w:rsidRPr="00F755BA">
        <w:rPr>
          <w:rFonts w:ascii="Bookman Old Style" w:hAnsi="Bookman Old Style"/>
          <w:lang w:val="fi-FI"/>
        </w:rPr>
        <w:t>dalam</w:t>
      </w:r>
      <w:r w:rsidR="00A954D0">
        <w:rPr>
          <w:rFonts w:ascii="Bookman Old Style" w:hAnsi="Bookman Old Style"/>
          <w:lang w:val="fi-FI"/>
        </w:rPr>
        <w:t xml:space="preserve"> </w:t>
      </w:r>
      <w:r w:rsidRPr="00F755BA">
        <w:rPr>
          <w:rFonts w:ascii="Bookman Old Style" w:hAnsi="Bookman Old Style"/>
          <w:lang w:val="fi-FI"/>
        </w:rPr>
        <w:t>Peraturan</w:t>
      </w:r>
      <w:r w:rsidR="00A954D0">
        <w:rPr>
          <w:rFonts w:ascii="Bookman Old Style" w:hAnsi="Bookman Old Style"/>
          <w:lang w:val="fi-FI"/>
        </w:rPr>
        <w:t xml:space="preserve"> </w:t>
      </w:r>
      <w:r w:rsidRPr="00F755BA">
        <w:rPr>
          <w:rFonts w:ascii="Bookman Old Style" w:hAnsi="Bookman Old Style"/>
          <w:lang w:val="fi-FI"/>
        </w:rPr>
        <w:t>Menteri</w:t>
      </w:r>
      <w:r w:rsidR="00A954D0">
        <w:rPr>
          <w:rFonts w:ascii="Bookman Old Style" w:hAnsi="Bookman Old Style"/>
          <w:lang w:val="fi-FI"/>
        </w:rPr>
        <w:t xml:space="preserve"> </w:t>
      </w:r>
      <w:r w:rsidRPr="00F755BA">
        <w:rPr>
          <w:rFonts w:ascii="Bookman Old Style" w:hAnsi="Bookman Old Style"/>
          <w:lang w:val="fi-FI"/>
        </w:rPr>
        <w:t>Dalam</w:t>
      </w:r>
      <w:r w:rsidR="00A954D0">
        <w:rPr>
          <w:rFonts w:ascii="Bookman Old Style" w:hAnsi="Bookman Old Style"/>
          <w:lang w:val="fi-FI"/>
        </w:rPr>
        <w:t xml:space="preserve"> </w:t>
      </w:r>
      <w:r w:rsidRPr="00F755BA">
        <w:rPr>
          <w:rFonts w:ascii="Bookman Old Style" w:hAnsi="Bookman Old Style"/>
          <w:lang w:val="fi-FI"/>
        </w:rPr>
        <w:t>Negeri</w:t>
      </w:r>
      <w:r w:rsidR="00A954D0">
        <w:rPr>
          <w:rFonts w:ascii="Bookman Old Style" w:hAnsi="Bookman Old Style"/>
          <w:lang w:val="fi-FI"/>
        </w:rPr>
        <w:t xml:space="preserve"> </w:t>
      </w:r>
      <w:r w:rsidRPr="00F755BA">
        <w:rPr>
          <w:rFonts w:ascii="Bookman Old Style" w:hAnsi="Bookman Old Style"/>
          <w:lang w:val="fi-FI"/>
        </w:rPr>
        <w:t>Nomor</w:t>
      </w:r>
      <w:r w:rsidR="00A954D0">
        <w:rPr>
          <w:rFonts w:ascii="Bookman Old Style" w:hAnsi="Bookman Old Style"/>
          <w:lang w:val="fi-FI"/>
        </w:rPr>
        <w:t xml:space="preserve"> </w:t>
      </w:r>
      <w:r w:rsidRPr="00F755BA">
        <w:rPr>
          <w:rFonts w:ascii="Bookman Old Style" w:hAnsi="Bookman Old Style"/>
          <w:lang w:val="fi-FI"/>
        </w:rPr>
        <w:t>7</w:t>
      </w:r>
      <w:r w:rsidR="00A954D0">
        <w:rPr>
          <w:rFonts w:ascii="Bookman Old Style" w:hAnsi="Bookman Old Style"/>
          <w:lang w:val="fi-FI"/>
        </w:rPr>
        <w:t xml:space="preserve"> </w:t>
      </w:r>
      <w:r w:rsidRPr="00F755BA">
        <w:rPr>
          <w:rFonts w:ascii="Bookman Old Style" w:hAnsi="Bookman Old Style"/>
          <w:lang w:val="fi-FI"/>
        </w:rPr>
        <w:t>Tahun</w:t>
      </w:r>
      <w:r w:rsidR="00A954D0">
        <w:rPr>
          <w:rFonts w:ascii="Bookman Old Style" w:hAnsi="Bookman Old Style"/>
          <w:lang w:val="fi-FI"/>
        </w:rPr>
        <w:t xml:space="preserve"> </w:t>
      </w:r>
      <w:r w:rsidRPr="00F755BA">
        <w:rPr>
          <w:rFonts w:ascii="Bookman Old Style" w:hAnsi="Bookman Old Style"/>
          <w:lang w:val="fi-FI"/>
        </w:rPr>
        <w:t>2006,</w:t>
      </w:r>
      <w:r w:rsidR="00A954D0">
        <w:rPr>
          <w:rFonts w:ascii="Bookman Old Style" w:hAnsi="Bookman Old Style"/>
          <w:lang w:val="fi-FI"/>
        </w:rPr>
        <w:t xml:space="preserve"> </w:t>
      </w:r>
      <w:r w:rsidRPr="00F755BA">
        <w:rPr>
          <w:rFonts w:ascii="Bookman Old Style" w:hAnsi="Bookman Old Style"/>
          <w:lang w:val="fi-FI"/>
        </w:rPr>
        <w:t>sebagaimana</w:t>
      </w:r>
      <w:r w:rsidR="00A954D0">
        <w:rPr>
          <w:rFonts w:ascii="Bookman Old Style" w:hAnsi="Bookman Old Style"/>
          <w:lang w:val="fi-FI"/>
        </w:rPr>
        <w:t xml:space="preserve"> </w:t>
      </w:r>
      <w:r w:rsidRPr="00F755BA">
        <w:rPr>
          <w:rFonts w:ascii="Bookman Old Style" w:hAnsi="Bookman Old Style"/>
          <w:lang w:val="fi-FI"/>
        </w:rPr>
        <w:t>telah</w:t>
      </w:r>
      <w:r w:rsidR="00A954D0">
        <w:rPr>
          <w:rFonts w:ascii="Bookman Old Style" w:hAnsi="Bookman Old Style"/>
          <w:lang w:val="fi-FI"/>
        </w:rPr>
        <w:t xml:space="preserve"> </w:t>
      </w:r>
      <w:r w:rsidRPr="00F755BA">
        <w:rPr>
          <w:rFonts w:ascii="Bookman Old Style" w:hAnsi="Bookman Old Style"/>
          <w:lang w:val="fi-FI"/>
        </w:rPr>
        <w:t>diubah</w:t>
      </w:r>
      <w:r w:rsidR="00A954D0">
        <w:rPr>
          <w:rFonts w:ascii="Bookman Old Style" w:hAnsi="Bookman Old Style"/>
          <w:lang w:val="fi-FI"/>
        </w:rPr>
        <w:t xml:space="preserve"> </w:t>
      </w:r>
      <w:r w:rsidRPr="00F755BA">
        <w:rPr>
          <w:rFonts w:ascii="Bookman Old Style" w:hAnsi="Bookman Old Style"/>
          <w:lang w:val="fi-FI"/>
        </w:rPr>
        <w:t>dengan</w:t>
      </w:r>
      <w:r w:rsidR="00A954D0">
        <w:rPr>
          <w:rFonts w:ascii="Bookman Old Style" w:hAnsi="Bookman Old Style"/>
          <w:lang w:val="fi-FI"/>
        </w:rPr>
        <w:t xml:space="preserve"> </w:t>
      </w:r>
      <w:r w:rsidRPr="00F755BA">
        <w:rPr>
          <w:rFonts w:ascii="Bookman Old Style" w:hAnsi="Bookman Old Style"/>
          <w:lang w:val="fi-FI"/>
        </w:rPr>
        <w:t>Peraturan</w:t>
      </w:r>
      <w:r w:rsidR="00A954D0">
        <w:rPr>
          <w:rFonts w:ascii="Bookman Old Style" w:hAnsi="Bookman Old Style"/>
          <w:lang w:val="fi-FI"/>
        </w:rPr>
        <w:t xml:space="preserve"> </w:t>
      </w:r>
      <w:r w:rsidRPr="00F755BA">
        <w:rPr>
          <w:rFonts w:ascii="Bookman Old Style" w:hAnsi="Bookman Old Style"/>
          <w:lang w:val="fi-FI"/>
        </w:rPr>
        <w:t>Menteri</w:t>
      </w:r>
      <w:r w:rsidR="00A954D0">
        <w:rPr>
          <w:rFonts w:ascii="Bookman Old Style" w:hAnsi="Bookman Old Style"/>
          <w:lang w:val="fi-FI"/>
        </w:rPr>
        <w:t xml:space="preserve"> </w:t>
      </w:r>
      <w:r w:rsidRPr="00F755BA">
        <w:rPr>
          <w:rFonts w:ascii="Bookman Old Style" w:hAnsi="Bookman Old Style"/>
          <w:lang w:val="fi-FI"/>
        </w:rPr>
        <w:t>Dalam</w:t>
      </w:r>
      <w:r w:rsidR="00A954D0">
        <w:rPr>
          <w:rFonts w:ascii="Bookman Old Style" w:hAnsi="Bookman Old Style"/>
          <w:lang w:val="fi-FI"/>
        </w:rPr>
        <w:t xml:space="preserve"> </w:t>
      </w:r>
      <w:r w:rsidRPr="00F755BA">
        <w:rPr>
          <w:rFonts w:ascii="Bookman Old Style" w:hAnsi="Bookman Old Style"/>
          <w:lang w:val="fi-FI"/>
        </w:rPr>
        <w:t>Negeri</w:t>
      </w:r>
      <w:r w:rsidR="00A954D0">
        <w:rPr>
          <w:rFonts w:ascii="Bookman Old Style" w:hAnsi="Bookman Old Style"/>
          <w:lang w:val="fi-FI"/>
        </w:rPr>
        <w:t xml:space="preserve"> </w:t>
      </w:r>
      <w:r w:rsidRPr="00F755BA">
        <w:rPr>
          <w:rFonts w:ascii="Bookman Old Style" w:hAnsi="Bookman Old Style"/>
          <w:lang w:val="fi-FI"/>
        </w:rPr>
        <w:t>Nomor</w:t>
      </w:r>
      <w:r w:rsidR="00A954D0">
        <w:rPr>
          <w:rFonts w:ascii="Bookman Old Style" w:hAnsi="Bookman Old Style"/>
          <w:lang w:val="fi-FI"/>
        </w:rPr>
        <w:t xml:space="preserve"> </w:t>
      </w:r>
      <w:r w:rsidRPr="00F755BA">
        <w:rPr>
          <w:rFonts w:ascii="Bookman Old Style" w:hAnsi="Bookman Old Style"/>
          <w:lang w:val="fi-FI"/>
        </w:rPr>
        <w:t>11</w:t>
      </w:r>
      <w:r w:rsidR="00A954D0">
        <w:rPr>
          <w:rFonts w:ascii="Bookman Old Style" w:hAnsi="Bookman Old Style"/>
          <w:lang w:val="fi-FI"/>
        </w:rPr>
        <w:t xml:space="preserve"> </w:t>
      </w:r>
      <w:r w:rsidRPr="00F755BA">
        <w:rPr>
          <w:rFonts w:ascii="Bookman Old Style" w:hAnsi="Bookman Old Style"/>
          <w:lang w:val="fi-FI"/>
        </w:rPr>
        <w:t>Tahun</w:t>
      </w:r>
      <w:r w:rsidR="00A954D0">
        <w:rPr>
          <w:rFonts w:ascii="Bookman Old Style" w:hAnsi="Bookman Old Style"/>
          <w:lang w:val="fi-FI"/>
        </w:rPr>
        <w:t xml:space="preserve"> </w:t>
      </w:r>
      <w:r w:rsidRPr="00F755BA">
        <w:rPr>
          <w:rFonts w:ascii="Bookman Old Style" w:hAnsi="Bookman Old Style"/>
          <w:lang w:val="fi-FI"/>
        </w:rPr>
        <w:t>2007</w:t>
      </w:r>
      <w:r w:rsidR="00A954D0">
        <w:rPr>
          <w:rFonts w:ascii="Bookman Old Style" w:hAnsi="Bookman Old Style"/>
          <w:lang w:val="fi-FI"/>
        </w:rPr>
        <w:t xml:space="preserve"> </w:t>
      </w:r>
      <w:r w:rsidRPr="00F755BA">
        <w:rPr>
          <w:rFonts w:ascii="Bookman Old Style" w:hAnsi="Bookman Old Style"/>
          <w:lang w:val="fi-FI"/>
        </w:rPr>
        <w:t>dan</w:t>
      </w:r>
      <w:r w:rsidR="00A954D0">
        <w:rPr>
          <w:rFonts w:ascii="Bookman Old Style" w:hAnsi="Bookman Old Style"/>
          <w:lang w:val="fi-FI"/>
        </w:rPr>
        <w:t xml:space="preserve"> </w:t>
      </w:r>
      <w:r w:rsidRPr="00F755BA">
        <w:rPr>
          <w:rFonts w:ascii="Bookman Old Style" w:hAnsi="Bookman Old Style"/>
          <w:lang w:val="fi-FI"/>
        </w:rPr>
        <w:t>butir</w:t>
      </w:r>
      <w:r w:rsidR="00A954D0">
        <w:rPr>
          <w:rFonts w:ascii="Bookman Old Style" w:hAnsi="Bookman Old Style"/>
          <w:lang w:val="fi-FI"/>
        </w:rPr>
        <w:t xml:space="preserve"> </w:t>
      </w:r>
      <w:r w:rsidRPr="00F755BA">
        <w:rPr>
          <w:rFonts w:ascii="Bookman Old Style" w:hAnsi="Bookman Old Style"/>
          <w:lang w:val="fi-FI"/>
        </w:rPr>
        <w:t>3.4.2.k</w:t>
      </w:r>
      <w:r w:rsidR="00A954D0">
        <w:rPr>
          <w:rFonts w:ascii="Bookman Old Style" w:hAnsi="Bookman Old Style"/>
          <w:lang w:val="fi-FI"/>
        </w:rPr>
        <w:t xml:space="preserve"> </w:t>
      </w:r>
      <w:r w:rsidRPr="00F755BA">
        <w:rPr>
          <w:rFonts w:ascii="Bookman Old Style" w:hAnsi="Bookman Old Style"/>
          <w:lang w:val="fi-FI"/>
        </w:rPr>
        <w:t>Lampiran</w:t>
      </w:r>
      <w:r w:rsidR="00A954D0">
        <w:rPr>
          <w:rFonts w:ascii="Bookman Old Style" w:hAnsi="Bookman Old Style"/>
          <w:lang w:val="fi-FI"/>
        </w:rPr>
        <w:t xml:space="preserve"> </w:t>
      </w:r>
      <w:r w:rsidRPr="00F755BA">
        <w:rPr>
          <w:rFonts w:ascii="Bookman Old Style" w:hAnsi="Bookman Old Style"/>
          <w:lang w:val="fi-FI"/>
        </w:rPr>
        <w:t>Peraturan</w:t>
      </w:r>
      <w:r w:rsidR="00A954D0">
        <w:rPr>
          <w:rFonts w:ascii="Bookman Old Style" w:hAnsi="Bookman Old Style"/>
          <w:lang w:val="fi-FI"/>
        </w:rPr>
        <w:t xml:space="preserve"> </w:t>
      </w:r>
      <w:r w:rsidRPr="00F755BA">
        <w:rPr>
          <w:rFonts w:ascii="Bookman Old Style" w:hAnsi="Bookman Old Style"/>
          <w:lang w:val="fi-FI"/>
        </w:rPr>
        <w:t>Menteri</w:t>
      </w:r>
      <w:r w:rsidR="00A954D0">
        <w:rPr>
          <w:rFonts w:ascii="Bookman Old Style" w:hAnsi="Bookman Old Style"/>
          <w:lang w:val="fi-FI"/>
        </w:rPr>
        <w:t xml:space="preserve"> </w:t>
      </w:r>
      <w:r w:rsidRPr="00F755BA">
        <w:rPr>
          <w:rFonts w:ascii="Bookman Old Style" w:hAnsi="Bookman Old Style"/>
          <w:lang w:val="fi-FI"/>
        </w:rPr>
        <w:t>Dalam</w:t>
      </w:r>
      <w:r w:rsidR="00A954D0">
        <w:rPr>
          <w:rFonts w:ascii="Bookman Old Style" w:hAnsi="Bookman Old Style"/>
          <w:lang w:val="fi-FI"/>
        </w:rPr>
        <w:t xml:space="preserve"> </w:t>
      </w:r>
      <w:r w:rsidRPr="00F755BA">
        <w:rPr>
          <w:rFonts w:ascii="Bookman Old Style" w:hAnsi="Bookman Old Style"/>
          <w:lang w:val="fi-FI"/>
        </w:rPr>
        <w:t>Negeri</w:t>
      </w:r>
      <w:r w:rsidR="00A954D0">
        <w:rPr>
          <w:rFonts w:ascii="Bookman Old Style" w:hAnsi="Bookman Old Style"/>
          <w:lang w:val="fi-FI"/>
        </w:rPr>
        <w:t xml:space="preserve"> </w:t>
      </w:r>
      <w:r w:rsidRPr="00F755BA">
        <w:rPr>
          <w:rFonts w:ascii="Bookman Old Style" w:hAnsi="Bookman Old Style"/>
          <w:lang w:val="fi-FI"/>
        </w:rPr>
        <w:t>Nomor</w:t>
      </w:r>
      <w:r w:rsidR="00A954D0">
        <w:rPr>
          <w:rFonts w:ascii="Bookman Old Style" w:hAnsi="Bookman Old Style"/>
          <w:lang w:val="fi-FI"/>
        </w:rPr>
        <w:t xml:space="preserve"> </w:t>
      </w:r>
      <w:r w:rsidRPr="00F755BA">
        <w:rPr>
          <w:rFonts w:ascii="Bookman Old Style" w:hAnsi="Bookman Old Style"/>
          <w:lang w:val="fi-FI"/>
        </w:rPr>
        <w:t>15</w:t>
      </w:r>
      <w:r w:rsidR="00A954D0">
        <w:rPr>
          <w:rFonts w:ascii="Bookman Old Style" w:hAnsi="Bookman Old Style"/>
          <w:lang w:val="fi-FI"/>
        </w:rPr>
        <w:t xml:space="preserve"> </w:t>
      </w:r>
      <w:r w:rsidRPr="00F755BA">
        <w:rPr>
          <w:rFonts w:ascii="Bookman Old Style" w:hAnsi="Bookman Old Style"/>
          <w:lang w:val="fi-FI"/>
        </w:rPr>
        <w:t>Tahun</w:t>
      </w:r>
      <w:r w:rsidR="00A954D0">
        <w:rPr>
          <w:rFonts w:ascii="Bookman Old Style" w:hAnsi="Bookman Old Style"/>
          <w:lang w:val="fi-FI"/>
        </w:rPr>
        <w:t xml:space="preserve"> </w:t>
      </w:r>
      <w:r w:rsidRPr="00F755BA">
        <w:rPr>
          <w:rFonts w:ascii="Bookman Old Style" w:hAnsi="Bookman Old Style"/>
          <w:lang w:val="fi-FI"/>
        </w:rPr>
        <w:t>2024.</w:t>
      </w:r>
    </w:p>
    <w:p w14:paraId="7B5BD222" w14:textId="77777777" w:rsidR="0097652F" w:rsidRDefault="0097652F" w:rsidP="00154790">
      <w:pPr>
        <w:spacing w:before="60" w:line="276" w:lineRule="auto"/>
        <w:ind w:left="1701"/>
        <w:jc w:val="both"/>
        <w:rPr>
          <w:rFonts w:ascii="Bookman Old Style" w:hAnsi="Bookman Old Style"/>
          <w:lang w:val="id-ID"/>
        </w:rPr>
      </w:pPr>
    </w:p>
    <w:p w14:paraId="3D7F7E74" w14:textId="5B3DE051" w:rsidR="00515C3A" w:rsidRPr="00F755BA" w:rsidRDefault="00515C3A" w:rsidP="00154790">
      <w:pPr>
        <w:spacing w:before="60" w:line="276" w:lineRule="auto"/>
        <w:ind w:left="1701"/>
        <w:jc w:val="both"/>
        <w:rPr>
          <w:rFonts w:ascii="Bookman Old Style" w:hAnsi="Bookman Old Style"/>
          <w:lang w:val="fi-FI"/>
        </w:rPr>
      </w:pPr>
      <w:r w:rsidRPr="00F755BA">
        <w:rPr>
          <w:rFonts w:ascii="Bookman Old Style" w:hAnsi="Bookman Old Style"/>
          <w:lang w:val="fi-FI"/>
        </w:rPr>
        <w:t>Selanjutnya,</w:t>
      </w:r>
      <w:r w:rsidR="00A954D0">
        <w:rPr>
          <w:rFonts w:ascii="Bookman Old Style" w:hAnsi="Bookman Old Style"/>
          <w:lang w:val="fi-FI"/>
        </w:rPr>
        <w:t xml:space="preserve"> </w:t>
      </w:r>
      <w:r w:rsidRPr="00F755BA">
        <w:rPr>
          <w:rFonts w:ascii="Bookman Old Style" w:hAnsi="Bookman Old Style"/>
          <w:lang w:val="fi-FI"/>
        </w:rPr>
        <w:t>penyediaan</w:t>
      </w:r>
      <w:r w:rsidR="00A954D0">
        <w:rPr>
          <w:rFonts w:ascii="Bookman Old Style" w:hAnsi="Bookman Old Style"/>
          <w:lang w:val="fi-FI"/>
        </w:rPr>
        <w:t xml:space="preserve"> </w:t>
      </w:r>
      <w:r w:rsidRPr="00F755BA">
        <w:rPr>
          <w:rFonts w:ascii="Bookman Old Style" w:hAnsi="Bookman Old Style"/>
          <w:lang w:val="fi-FI"/>
        </w:rPr>
        <w:t>anggaran</w:t>
      </w:r>
      <w:r w:rsidR="00A954D0">
        <w:rPr>
          <w:rFonts w:ascii="Bookman Old Style" w:hAnsi="Bookman Old Style"/>
          <w:lang w:val="fi-FI"/>
        </w:rPr>
        <w:t xml:space="preserve"> </w:t>
      </w:r>
      <w:r w:rsidRPr="00F755BA">
        <w:rPr>
          <w:rFonts w:ascii="Bookman Old Style" w:hAnsi="Bookman Old Style"/>
          <w:lang w:val="fi-FI"/>
        </w:rPr>
        <w:t>yang</w:t>
      </w:r>
      <w:r w:rsidR="00A954D0">
        <w:rPr>
          <w:rFonts w:ascii="Bookman Old Style" w:hAnsi="Bookman Old Style"/>
          <w:lang w:val="fi-FI"/>
        </w:rPr>
        <w:t xml:space="preserve"> </w:t>
      </w:r>
      <w:r w:rsidRPr="00F755BA">
        <w:rPr>
          <w:rFonts w:ascii="Bookman Old Style" w:hAnsi="Bookman Old Style"/>
          <w:lang w:val="fi-FI"/>
        </w:rPr>
        <w:t>tercantum</w:t>
      </w:r>
      <w:r w:rsidR="00A954D0">
        <w:rPr>
          <w:rFonts w:ascii="Bookman Old Style" w:hAnsi="Bookman Old Style"/>
          <w:lang w:val="fi-FI"/>
        </w:rPr>
        <w:t xml:space="preserve"> </w:t>
      </w:r>
      <w:r w:rsidRPr="00F755BA">
        <w:rPr>
          <w:rFonts w:ascii="Bookman Old Style" w:hAnsi="Bookman Old Style"/>
          <w:lang w:val="fi-FI"/>
        </w:rPr>
        <w:t>pada:</w:t>
      </w:r>
      <w:r w:rsidR="00A954D0">
        <w:rPr>
          <w:rFonts w:ascii="Bookman Old Style" w:hAnsi="Bookman Old Style"/>
          <w:lang w:val="fi-FI"/>
        </w:rPr>
        <w:t xml:space="preserve"> </w:t>
      </w:r>
    </w:p>
    <w:p w14:paraId="5F22F2C5" w14:textId="1DCC78BD" w:rsidR="00515C3A" w:rsidRPr="00040874" w:rsidRDefault="00515C3A" w:rsidP="00154790">
      <w:pPr>
        <w:numPr>
          <w:ilvl w:val="0"/>
          <w:numId w:val="204"/>
        </w:numPr>
        <w:spacing w:before="60" w:line="276" w:lineRule="auto"/>
        <w:ind w:left="2268" w:hanging="567"/>
        <w:jc w:val="both"/>
        <w:rPr>
          <w:rFonts w:ascii="Bookman Old Style" w:hAnsi="Bookman Old Style"/>
          <w:lang w:val="x-none" w:eastAsia="x-none"/>
        </w:rPr>
      </w:pPr>
      <w:r w:rsidRPr="00040874">
        <w:rPr>
          <w:rFonts w:ascii="Bookman Old Style" w:hAnsi="Bookman Old Style"/>
          <w:lang w:val="x-none" w:eastAsia="x-none"/>
        </w:rPr>
        <w:t>Belanja</w:t>
      </w:r>
      <w:r w:rsidR="00A954D0">
        <w:rPr>
          <w:rFonts w:ascii="Bookman Old Style" w:hAnsi="Bookman Old Style"/>
          <w:lang w:val="x-none" w:eastAsia="x-none"/>
        </w:rPr>
        <w:t xml:space="preserve"> </w:t>
      </w:r>
      <w:r w:rsidRPr="00040874">
        <w:rPr>
          <w:rFonts w:ascii="Bookman Old Style" w:hAnsi="Bookman Old Style"/>
          <w:lang w:val="x-none" w:eastAsia="x-none"/>
        </w:rPr>
        <w:t>Modal</w:t>
      </w:r>
      <w:r w:rsidR="00A954D0">
        <w:rPr>
          <w:rFonts w:ascii="Bookman Old Style" w:hAnsi="Bookman Old Style"/>
          <w:lang w:val="x-none" w:eastAsia="x-none"/>
        </w:rPr>
        <w:t xml:space="preserve"> </w:t>
      </w:r>
      <w:r w:rsidRPr="00040874">
        <w:rPr>
          <w:rFonts w:ascii="Bookman Old Style" w:hAnsi="Bookman Old Style"/>
          <w:lang w:val="x-none" w:eastAsia="x-none"/>
        </w:rPr>
        <w:t>Alat</w:t>
      </w:r>
      <w:r w:rsidR="00A954D0">
        <w:rPr>
          <w:rFonts w:ascii="Bookman Old Style" w:hAnsi="Bookman Old Style"/>
          <w:lang w:val="x-none" w:eastAsia="x-none"/>
        </w:rPr>
        <w:t xml:space="preserve"> </w:t>
      </w:r>
      <w:r w:rsidRPr="00040874">
        <w:rPr>
          <w:rFonts w:ascii="Bookman Old Style" w:hAnsi="Bookman Old Style"/>
          <w:lang w:val="x-none" w:eastAsia="x-none"/>
        </w:rPr>
        <w:t>Kedokteran</w:t>
      </w:r>
      <w:r w:rsidR="00A954D0">
        <w:rPr>
          <w:rFonts w:ascii="Bookman Old Style" w:hAnsi="Bookman Old Style"/>
          <w:lang w:val="x-none" w:eastAsia="x-none"/>
        </w:rPr>
        <w:t xml:space="preserve"> </w:t>
      </w:r>
      <w:r w:rsidRPr="00040874">
        <w:rPr>
          <w:rFonts w:ascii="Bookman Old Style" w:hAnsi="Bookman Old Style"/>
          <w:lang w:val="x-none" w:eastAsia="x-none"/>
        </w:rPr>
        <w:t>dan</w:t>
      </w:r>
      <w:r w:rsidR="00A954D0">
        <w:rPr>
          <w:rFonts w:ascii="Bookman Old Style" w:hAnsi="Bookman Old Style"/>
          <w:lang w:val="x-none" w:eastAsia="x-none"/>
        </w:rPr>
        <w:t xml:space="preserve"> </w:t>
      </w:r>
      <w:r w:rsidRPr="00040874">
        <w:rPr>
          <w:rFonts w:ascii="Bookman Old Style" w:hAnsi="Bookman Old Style"/>
          <w:lang w:val="x-none" w:eastAsia="x-none"/>
        </w:rPr>
        <w:t>Kesehatan</w:t>
      </w:r>
      <w:r w:rsidR="00A954D0">
        <w:rPr>
          <w:rFonts w:ascii="Bookman Old Style" w:hAnsi="Bookman Old Style"/>
          <w:lang w:val="x-none" w:eastAsia="x-none"/>
        </w:rPr>
        <w:t xml:space="preserve"> </w:t>
      </w:r>
      <w:r w:rsidRPr="00040874">
        <w:rPr>
          <w:rFonts w:ascii="Bookman Old Style" w:hAnsi="Bookman Old Style"/>
          <w:lang w:val="x-none" w:eastAsia="x-none"/>
        </w:rPr>
        <w:t>Rp83.770.019.325,00</w:t>
      </w:r>
      <w:r w:rsidR="00A954D0">
        <w:rPr>
          <w:rFonts w:ascii="Bookman Old Style" w:hAnsi="Bookman Old Style"/>
          <w:lang w:val="x-none" w:eastAsia="x-none"/>
        </w:rPr>
        <w:t xml:space="preserve"> </w:t>
      </w:r>
      <w:r w:rsidRPr="00040874">
        <w:rPr>
          <w:rFonts w:ascii="Bookman Old Style" w:hAnsi="Bookman Old Style"/>
          <w:lang w:val="x-none" w:eastAsia="x-none"/>
        </w:rPr>
        <w:t>atau</w:t>
      </w:r>
      <w:r w:rsidR="00A954D0">
        <w:rPr>
          <w:rFonts w:ascii="Bookman Old Style" w:hAnsi="Bookman Old Style"/>
          <w:lang w:val="x-none" w:eastAsia="x-none"/>
        </w:rPr>
        <w:t xml:space="preserve"> </w:t>
      </w:r>
      <w:r w:rsidRPr="00040874">
        <w:rPr>
          <w:rFonts w:ascii="Bookman Old Style" w:hAnsi="Bookman Old Style"/>
          <w:lang w:val="x-none" w:eastAsia="x-none"/>
        </w:rPr>
        <w:t>1,47%</w:t>
      </w:r>
      <w:r w:rsidR="00A954D0">
        <w:rPr>
          <w:rFonts w:ascii="Bookman Old Style" w:hAnsi="Bookman Old Style"/>
          <w:lang w:val="x-none" w:eastAsia="x-none"/>
        </w:rPr>
        <w:t xml:space="preserve"> </w:t>
      </w:r>
      <w:r w:rsidRPr="00040874">
        <w:rPr>
          <w:rFonts w:ascii="Bookman Old Style" w:hAnsi="Bookman Old Style"/>
          <w:lang w:val="x-none" w:eastAsia="x-none"/>
        </w:rPr>
        <w:t>dari</w:t>
      </w:r>
      <w:r w:rsidR="00A954D0">
        <w:rPr>
          <w:rFonts w:ascii="Bookman Old Style" w:hAnsi="Bookman Old Style"/>
          <w:lang w:val="x-none" w:eastAsia="x-none"/>
        </w:rPr>
        <w:t xml:space="preserve"> </w:t>
      </w:r>
      <w:r w:rsidRPr="00040874">
        <w:rPr>
          <w:rFonts w:ascii="Bookman Old Style" w:hAnsi="Bookman Old Style"/>
          <w:lang w:val="x-none" w:eastAsia="x-none"/>
        </w:rPr>
        <w:t>total</w:t>
      </w:r>
      <w:r w:rsidR="00A954D0">
        <w:rPr>
          <w:rFonts w:ascii="Bookman Old Style" w:hAnsi="Bookman Old Style"/>
          <w:lang w:val="x-none" w:eastAsia="x-none"/>
        </w:rPr>
        <w:t xml:space="preserve"> </w:t>
      </w:r>
      <w:r w:rsidRPr="00040874">
        <w:rPr>
          <w:rFonts w:ascii="Bookman Old Style" w:hAnsi="Bookman Old Style"/>
          <w:lang w:val="x-none" w:eastAsia="x-none"/>
        </w:rPr>
        <w:t>belanja</w:t>
      </w:r>
      <w:r w:rsidR="00A954D0">
        <w:rPr>
          <w:rFonts w:ascii="Bookman Old Style" w:hAnsi="Bookman Old Style"/>
          <w:lang w:val="x-none" w:eastAsia="x-none"/>
        </w:rPr>
        <w:t xml:space="preserve"> </w:t>
      </w:r>
      <w:r w:rsidRPr="00040874">
        <w:rPr>
          <w:rFonts w:ascii="Bookman Old Style" w:hAnsi="Bookman Old Style"/>
          <w:lang w:val="x-none" w:eastAsia="x-none"/>
        </w:rPr>
        <w:t>daerah</w:t>
      </w:r>
      <w:r w:rsidR="00A954D0">
        <w:rPr>
          <w:rFonts w:ascii="Bookman Old Style" w:hAnsi="Bookman Old Style"/>
          <w:lang w:val="x-none" w:eastAsia="x-none"/>
        </w:rPr>
        <w:t xml:space="preserve"> </w:t>
      </w:r>
      <w:r w:rsidRPr="00040874">
        <w:rPr>
          <w:rFonts w:ascii="Bookman Old Style" w:hAnsi="Bookman Old Style"/>
          <w:lang w:val="x-none" w:eastAsia="x-none"/>
        </w:rPr>
        <w:t>dalam</w:t>
      </w:r>
      <w:r w:rsidR="00A954D0">
        <w:rPr>
          <w:rFonts w:ascii="Bookman Old Style" w:hAnsi="Bookman Old Style"/>
          <w:lang w:val="x-none" w:eastAsia="x-none"/>
        </w:rPr>
        <w:t xml:space="preserve"> </w:t>
      </w:r>
      <w:r w:rsidRPr="00040874">
        <w:rPr>
          <w:rFonts w:ascii="Bookman Old Style" w:hAnsi="Bookman Old Style"/>
          <w:lang w:val="x-none" w:eastAsia="x-none"/>
        </w:rPr>
        <w:t>Rancangan</w:t>
      </w:r>
      <w:r w:rsidR="00A954D0">
        <w:rPr>
          <w:rFonts w:ascii="Bookman Old Style" w:hAnsi="Bookman Old Style"/>
          <w:lang w:val="x-none" w:eastAsia="x-none"/>
        </w:rPr>
        <w:t xml:space="preserve"> </w:t>
      </w:r>
      <w:r w:rsidRPr="00040874">
        <w:rPr>
          <w:rFonts w:ascii="Bookman Old Style" w:hAnsi="Bookman Old Style"/>
          <w:lang w:val="x-none" w:eastAsia="x-none"/>
        </w:rPr>
        <w:t>Peraturan</w:t>
      </w:r>
      <w:r w:rsidR="00A954D0">
        <w:rPr>
          <w:rFonts w:ascii="Bookman Old Style" w:hAnsi="Bookman Old Style"/>
          <w:lang w:val="x-none" w:eastAsia="x-none"/>
        </w:rPr>
        <w:t xml:space="preserve"> </w:t>
      </w:r>
      <w:r w:rsidRPr="00040874">
        <w:rPr>
          <w:rFonts w:ascii="Bookman Old Style" w:hAnsi="Bookman Old Style"/>
          <w:lang w:val="x-none" w:eastAsia="x-none"/>
        </w:rPr>
        <w:t>Daerah</w:t>
      </w:r>
      <w:r w:rsidR="00A954D0">
        <w:rPr>
          <w:rFonts w:ascii="Bookman Old Style" w:hAnsi="Bookman Old Style"/>
          <w:lang w:val="x-none" w:eastAsia="x-none"/>
        </w:rPr>
        <w:t xml:space="preserve"> </w:t>
      </w:r>
      <w:r w:rsidRPr="00040874">
        <w:rPr>
          <w:rFonts w:ascii="Bookman Old Style" w:hAnsi="Bookman Old Style"/>
          <w:lang w:val="x-none" w:eastAsia="x-none"/>
        </w:rPr>
        <w:t>Kota</w:t>
      </w:r>
      <w:r w:rsidR="00A954D0">
        <w:rPr>
          <w:rFonts w:ascii="Bookman Old Style" w:hAnsi="Bookman Old Style"/>
          <w:lang w:val="x-none" w:eastAsia="x-none"/>
        </w:rPr>
        <w:t xml:space="preserve"> </w:t>
      </w:r>
      <w:r w:rsidRPr="00040874">
        <w:rPr>
          <w:rFonts w:ascii="Bookman Old Style" w:hAnsi="Bookman Old Style"/>
          <w:lang w:val="x-none" w:eastAsia="x-none"/>
        </w:rPr>
        <w:t>Tangerang</w:t>
      </w:r>
      <w:r w:rsidR="00A954D0">
        <w:rPr>
          <w:rFonts w:ascii="Bookman Old Style" w:hAnsi="Bookman Old Style"/>
          <w:lang w:val="x-none" w:eastAsia="x-none"/>
        </w:rPr>
        <w:t xml:space="preserve"> </w:t>
      </w:r>
      <w:r w:rsidRPr="00040874">
        <w:rPr>
          <w:rFonts w:ascii="Bookman Old Style" w:hAnsi="Bookman Old Style"/>
          <w:lang w:val="x-none" w:eastAsia="x-none"/>
        </w:rPr>
        <w:t>tentang</w:t>
      </w:r>
      <w:r w:rsidR="00A954D0">
        <w:rPr>
          <w:rFonts w:ascii="Bookman Old Style" w:hAnsi="Bookman Old Style"/>
          <w:lang w:val="x-none" w:eastAsia="x-none"/>
        </w:rPr>
        <w:t xml:space="preserve"> </w:t>
      </w:r>
      <w:r w:rsidRPr="00040874">
        <w:rPr>
          <w:rFonts w:ascii="Bookman Old Style" w:hAnsi="Bookman Old Style"/>
          <w:lang w:val="x-none" w:eastAsia="x-none"/>
        </w:rPr>
        <w:t>APBD</w:t>
      </w:r>
      <w:r w:rsidR="00A954D0">
        <w:rPr>
          <w:rFonts w:ascii="Bookman Old Style" w:hAnsi="Bookman Old Style"/>
          <w:lang w:val="x-none" w:eastAsia="x-none"/>
        </w:rPr>
        <w:t xml:space="preserve"> </w:t>
      </w:r>
      <w:r w:rsidRPr="00040874">
        <w:rPr>
          <w:rFonts w:ascii="Bookman Old Style" w:hAnsi="Bookman Old Style"/>
          <w:lang w:val="x-none" w:eastAsia="x-none"/>
        </w:rPr>
        <w:t>Tahun</w:t>
      </w:r>
      <w:r w:rsidR="00A954D0">
        <w:rPr>
          <w:rFonts w:ascii="Bookman Old Style" w:hAnsi="Bookman Old Style"/>
          <w:lang w:val="x-none" w:eastAsia="x-none"/>
        </w:rPr>
        <w:t xml:space="preserve"> </w:t>
      </w:r>
      <w:r w:rsidRPr="00040874">
        <w:rPr>
          <w:rFonts w:ascii="Bookman Old Style" w:hAnsi="Bookman Old Style"/>
          <w:lang w:val="x-none" w:eastAsia="x-none"/>
        </w:rPr>
        <w:t>Anggaran</w:t>
      </w:r>
      <w:r w:rsidR="00A954D0">
        <w:rPr>
          <w:rFonts w:ascii="Bookman Old Style" w:hAnsi="Bookman Old Style"/>
          <w:lang w:val="x-none" w:eastAsia="x-none"/>
        </w:rPr>
        <w:t xml:space="preserve"> </w:t>
      </w:r>
      <w:r w:rsidRPr="00040874">
        <w:rPr>
          <w:rFonts w:ascii="Bookman Old Style" w:hAnsi="Bookman Old Style"/>
          <w:lang w:val="x-none" w:eastAsia="x-none"/>
        </w:rPr>
        <w:t>2025,</w:t>
      </w:r>
      <w:r w:rsidR="00A954D0">
        <w:rPr>
          <w:rFonts w:ascii="Bookman Old Style" w:hAnsi="Bookman Old Style"/>
          <w:lang w:val="x-none" w:eastAsia="x-none"/>
        </w:rPr>
        <w:t xml:space="preserve"> </w:t>
      </w:r>
      <w:r w:rsidRPr="00040874">
        <w:rPr>
          <w:rFonts w:ascii="Bookman Old Style" w:hAnsi="Bookman Old Style"/>
          <w:lang w:val="x-none" w:eastAsia="x-none"/>
        </w:rPr>
        <w:t>yang</w:t>
      </w:r>
      <w:r w:rsidR="00A954D0">
        <w:rPr>
          <w:rFonts w:ascii="Bookman Old Style" w:hAnsi="Bookman Old Style"/>
          <w:lang w:val="x-none" w:eastAsia="x-none"/>
        </w:rPr>
        <w:t xml:space="preserve"> </w:t>
      </w:r>
      <w:r w:rsidRPr="00040874">
        <w:rPr>
          <w:rFonts w:ascii="Bookman Old Style" w:hAnsi="Bookman Old Style"/>
          <w:lang w:val="x-none" w:eastAsia="x-none"/>
        </w:rPr>
        <w:t>diuraikan</w:t>
      </w:r>
      <w:r w:rsidR="00A954D0">
        <w:rPr>
          <w:rFonts w:ascii="Bookman Old Style" w:hAnsi="Bookman Old Style"/>
          <w:lang w:val="x-none" w:eastAsia="x-none"/>
        </w:rPr>
        <w:t xml:space="preserve"> </w:t>
      </w:r>
      <w:r w:rsidRPr="00040874">
        <w:rPr>
          <w:rFonts w:ascii="Bookman Old Style" w:hAnsi="Bookman Old Style"/>
          <w:lang w:val="x-none" w:eastAsia="x-none"/>
        </w:rPr>
        <w:t>ke</w:t>
      </w:r>
      <w:r w:rsidR="00A954D0">
        <w:rPr>
          <w:rFonts w:ascii="Bookman Old Style" w:hAnsi="Bookman Old Style"/>
          <w:lang w:val="x-none" w:eastAsia="x-none"/>
        </w:rPr>
        <w:t xml:space="preserve"> </w:t>
      </w:r>
      <w:r w:rsidRPr="00040874">
        <w:rPr>
          <w:rFonts w:ascii="Bookman Old Style" w:hAnsi="Bookman Old Style"/>
          <w:lang w:val="x-none" w:eastAsia="x-none"/>
        </w:rPr>
        <w:t>dalam</w:t>
      </w:r>
      <w:r w:rsidR="00A954D0">
        <w:rPr>
          <w:rFonts w:ascii="Bookman Old Style" w:hAnsi="Bookman Old Style"/>
          <w:lang w:val="x-none" w:eastAsia="x-none"/>
        </w:rPr>
        <w:t xml:space="preserve"> </w:t>
      </w:r>
      <w:r w:rsidRPr="00040874">
        <w:rPr>
          <w:rFonts w:ascii="Bookman Old Style" w:hAnsi="Bookman Old Style"/>
          <w:lang w:val="x-none" w:eastAsia="x-none"/>
        </w:rPr>
        <w:t>rincian</w:t>
      </w:r>
      <w:r w:rsidR="00A954D0">
        <w:rPr>
          <w:rFonts w:ascii="Bookman Old Style" w:hAnsi="Bookman Old Style"/>
          <w:lang w:val="x-none" w:eastAsia="x-none"/>
        </w:rPr>
        <w:t xml:space="preserve"> </w:t>
      </w:r>
      <w:r w:rsidRPr="00040874">
        <w:rPr>
          <w:rFonts w:ascii="Bookman Old Style" w:hAnsi="Bookman Old Style"/>
          <w:lang w:val="x-none" w:eastAsia="x-none"/>
        </w:rPr>
        <w:t>objek</w:t>
      </w:r>
      <w:r w:rsidR="00A954D0">
        <w:rPr>
          <w:rFonts w:ascii="Bookman Old Style" w:hAnsi="Bookman Old Style"/>
          <w:lang w:val="x-none" w:eastAsia="x-none"/>
        </w:rPr>
        <w:t xml:space="preserve"> </w:t>
      </w:r>
      <w:r w:rsidRPr="00040874">
        <w:rPr>
          <w:rFonts w:ascii="Bookman Old Style" w:hAnsi="Bookman Old Style"/>
          <w:lang w:val="x-none" w:eastAsia="x-none"/>
        </w:rPr>
        <w:t>belanja:</w:t>
      </w:r>
    </w:p>
    <w:p w14:paraId="5AC8461B" w14:textId="6FDB2379" w:rsidR="00515C3A" w:rsidRPr="00040874" w:rsidRDefault="00515C3A" w:rsidP="00154790">
      <w:pPr>
        <w:pStyle w:val="ListParagraph"/>
        <w:numPr>
          <w:ilvl w:val="0"/>
          <w:numId w:val="207"/>
        </w:numPr>
        <w:spacing w:before="60" w:after="0" w:line="276" w:lineRule="auto"/>
        <w:ind w:left="2694" w:hanging="426"/>
        <w:contextualSpacing w:val="0"/>
        <w:jc w:val="both"/>
        <w:rPr>
          <w:rFonts w:ascii="Bookman Old Style" w:hAnsi="Bookman Old Style"/>
          <w:sz w:val="24"/>
          <w:szCs w:val="24"/>
        </w:rPr>
      </w:pPr>
      <w:r w:rsidRPr="00040874">
        <w:rPr>
          <w:rFonts w:ascii="Bookman Old Style" w:hAnsi="Bookman Old Style"/>
          <w:sz w:val="24"/>
          <w:szCs w:val="24"/>
        </w:rPr>
        <w:t>Belanja</w:t>
      </w:r>
      <w:r w:rsidR="00A954D0">
        <w:rPr>
          <w:rFonts w:ascii="Bookman Old Style" w:hAnsi="Bookman Old Style"/>
          <w:sz w:val="24"/>
          <w:szCs w:val="24"/>
        </w:rPr>
        <w:t xml:space="preserve"> </w:t>
      </w:r>
      <w:r w:rsidRPr="00040874">
        <w:rPr>
          <w:rFonts w:ascii="Bookman Old Style" w:hAnsi="Bookman Old Style"/>
          <w:sz w:val="24"/>
          <w:szCs w:val="24"/>
        </w:rPr>
        <w:t>Modal</w:t>
      </w:r>
      <w:r w:rsidR="00A954D0">
        <w:rPr>
          <w:rFonts w:ascii="Bookman Old Style" w:hAnsi="Bookman Old Style"/>
          <w:sz w:val="24"/>
          <w:szCs w:val="24"/>
        </w:rPr>
        <w:t xml:space="preserve"> </w:t>
      </w:r>
      <w:r w:rsidRPr="00040874">
        <w:rPr>
          <w:rFonts w:ascii="Bookman Old Style" w:hAnsi="Bookman Old Style"/>
          <w:sz w:val="24"/>
          <w:szCs w:val="24"/>
        </w:rPr>
        <w:t>Alat</w:t>
      </w:r>
      <w:r w:rsidR="00A954D0">
        <w:rPr>
          <w:rFonts w:ascii="Bookman Old Style" w:hAnsi="Bookman Old Style"/>
          <w:sz w:val="24"/>
          <w:szCs w:val="24"/>
        </w:rPr>
        <w:t xml:space="preserve"> </w:t>
      </w:r>
      <w:r w:rsidRPr="00040874">
        <w:rPr>
          <w:rFonts w:ascii="Bookman Old Style" w:hAnsi="Bookman Old Style"/>
          <w:sz w:val="24"/>
          <w:szCs w:val="24"/>
        </w:rPr>
        <w:t>Kedokteran</w:t>
      </w:r>
      <w:r w:rsidR="00A954D0">
        <w:rPr>
          <w:rFonts w:ascii="Bookman Old Style" w:hAnsi="Bookman Old Style"/>
          <w:sz w:val="24"/>
          <w:szCs w:val="24"/>
        </w:rPr>
        <w:t xml:space="preserve"> </w:t>
      </w:r>
      <w:r w:rsidRPr="00040874">
        <w:rPr>
          <w:rFonts w:ascii="Bookman Old Style" w:hAnsi="Bookman Old Style"/>
          <w:sz w:val="24"/>
          <w:szCs w:val="24"/>
        </w:rPr>
        <w:t>Rp79.819.138.925,00;</w:t>
      </w:r>
    </w:p>
    <w:p w14:paraId="50367225" w14:textId="6A2C46B6" w:rsidR="00515C3A" w:rsidRPr="00040874" w:rsidRDefault="00515C3A" w:rsidP="00154790">
      <w:pPr>
        <w:pStyle w:val="ListParagraph"/>
        <w:numPr>
          <w:ilvl w:val="0"/>
          <w:numId w:val="207"/>
        </w:numPr>
        <w:spacing w:before="60" w:after="0" w:line="276" w:lineRule="auto"/>
        <w:ind w:left="2694" w:hanging="426"/>
        <w:contextualSpacing w:val="0"/>
        <w:jc w:val="both"/>
        <w:rPr>
          <w:rFonts w:ascii="Bookman Old Style" w:hAnsi="Bookman Old Style"/>
          <w:sz w:val="24"/>
          <w:szCs w:val="24"/>
        </w:rPr>
      </w:pPr>
      <w:r w:rsidRPr="00040874">
        <w:rPr>
          <w:rFonts w:ascii="Bookman Old Style" w:hAnsi="Bookman Old Style"/>
          <w:sz w:val="24"/>
          <w:szCs w:val="24"/>
        </w:rPr>
        <w:t>Belanja</w:t>
      </w:r>
      <w:r w:rsidR="00A954D0">
        <w:rPr>
          <w:rFonts w:ascii="Bookman Old Style" w:hAnsi="Bookman Old Style"/>
          <w:sz w:val="24"/>
          <w:szCs w:val="24"/>
        </w:rPr>
        <w:t xml:space="preserve"> </w:t>
      </w:r>
      <w:r w:rsidRPr="00040874">
        <w:rPr>
          <w:rFonts w:ascii="Bookman Old Style" w:hAnsi="Bookman Old Style"/>
          <w:sz w:val="24"/>
          <w:szCs w:val="24"/>
        </w:rPr>
        <w:t>Modal</w:t>
      </w:r>
      <w:r w:rsidR="00A954D0">
        <w:rPr>
          <w:rFonts w:ascii="Bookman Old Style" w:hAnsi="Bookman Old Style"/>
          <w:sz w:val="24"/>
          <w:szCs w:val="24"/>
        </w:rPr>
        <w:t xml:space="preserve"> </w:t>
      </w:r>
      <w:r w:rsidRPr="00040874">
        <w:rPr>
          <w:rFonts w:ascii="Bookman Old Style" w:hAnsi="Bookman Old Style"/>
          <w:sz w:val="24"/>
          <w:szCs w:val="24"/>
        </w:rPr>
        <w:t>Alat</w:t>
      </w:r>
      <w:r w:rsidR="00A954D0">
        <w:rPr>
          <w:rFonts w:ascii="Bookman Old Style" w:hAnsi="Bookman Old Style"/>
          <w:sz w:val="24"/>
          <w:szCs w:val="24"/>
        </w:rPr>
        <w:t xml:space="preserve"> </w:t>
      </w:r>
      <w:r w:rsidRPr="00040874">
        <w:rPr>
          <w:rFonts w:ascii="Bookman Old Style" w:hAnsi="Bookman Old Style"/>
          <w:sz w:val="24"/>
          <w:szCs w:val="24"/>
        </w:rPr>
        <w:t>Kesehatan</w:t>
      </w:r>
      <w:r w:rsidR="00A954D0">
        <w:rPr>
          <w:rFonts w:ascii="Bookman Old Style" w:hAnsi="Bookman Old Style"/>
          <w:sz w:val="24"/>
          <w:szCs w:val="24"/>
        </w:rPr>
        <w:t xml:space="preserve"> </w:t>
      </w:r>
      <w:r w:rsidRPr="00040874">
        <w:rPr>
          <w:rFonts w:ascii="Bookman Old Style" w:hAnsi="Bookman Old Style"/>
          <w:sz w:val="24"/>
          <w:szCs w:val="24"/>
        </w:rPr>
        <w:t>Umum</w:t>
      </w:r>
      <w:r w:rsidR="00A954D0">
        <w:rPr>
          <w:rFonts w:ascii="Bookman Old Style" w:hAnsi="Bookman Old Style"/>
          <w:sz w:val="24"/>
          <w:szCs w:val="24"/>
        </w:rPr>
        <w:t xml:space="preserve"> </w:t>
      </w:r>
      <w:r w:rsidRPr="00040874">
        <w:rPr>
          <w:rFonts w:ascii="Bookman Old Style" w:hAnsi="Bookman Old Style"/>
          <w:sz w:val="24"/>
          <w:szCs w:val="24"/>
        </w:rPr>
        <w:t>Rp3.950.880.400,00</w:t>
      </w:r>
      <w:r w:rsidR="00154790" w:rsidRPr="00154790">
        <w:rPr>
          <w:rFonts w:ascii="Bookman Old Style" w:hAnsi="Bookman Old Style"/>
          <w:sz w:val="24"/>
          <w:szCs w:val="24"/>
          <w:lang w:val="sv-FI"/>
        </w:rPr>
        <w:t>.</w:t>
      </w:r>
    </w:p>
    <w:p w14:paraId="53C5C457" w14:textId="72CE9C3D" w:rsidR="00515C3A" w:rsidRPr="00040874" w:rsidRDefault="00515C3A" w:rsidP="00154790">
      <w:pPr>
        <w:numPr>
          <w:ilvl w:val="0"/>
          <w:numId w:val="204"/>
        </w:numPr>
        <w:spacing w:before="60" w:line="276" w:lineRule="auto"/>
        <w:ind w:left="2268" w:hanging="567"/>
        <w:jc w:val="both"/>
        <w:rPr>
          <w:rFonts w:ascii="Bookman Old Style" w:hAnsi="Bookman Old Style"/>
          <w:lang w:val="x-none" w:eastAsia="x-none"/>
        </w:rPr>
      </w:pPr>
      <w:r w:rsidRPr="00040874">
        <w:rPr>
          <w:rFonts w:ascii="Bookman Old Style" w:hAnsi="Bookman Old Style"/>
          <w:lang w:val="x-none" w:eastAsia="x-none"/>
        </w:rPr>
        <w:t>Belanja</w:t>
      </w:r>
      <w:r w:rsidR="00A954D0">
        <w:rPr>
          <w:rFonts w:ascii="Bookman Old Style" w:hAnsi="Bookman Old Style"/>
          <w:lang w:val="x-none" w:eastAsia="x-none"/>
        </w:rPr>
        <w:t xml:space="preserve"> </w:t>
      </w:r>
      <w:r w:rsidRPr="00040874">
        <w:rPr>
          <w:rFonts w:ascii="Bookman Old Style" w:hAnsi="Bookman Old Style"/>
          <w:lang w:val="x-none" w:eastAsia="x-none"/>
        </w:rPr>
        <w:t>Modal</w:t>
      </w:r>
      <w:r w:rsidR="00A954D0">
        <w:rPr>
          <w:rFonts w:ascii="Bookman Old Style" w:hAnsi="Bookman Old Style"/>
          <w:lang w:val="x-none" w:eastAsia="x-none"/>
        </w:rPr>
        <w:t xml:space="preserve"> </w:t>
      </w:r>
      <w:r w:rsidRPr="00040874">
        <w:rPr>
          <w:rFonts w:ascii="Bookman Old Style" w:hAnsi="Bookman Old Style"/>
          <w:lang w:val="x-none" w:eastAsia="x-none"/>
        </w:rPr>
        <w:t>Alat</w:t>
      </w:r>
      <w:r w:rsidR="00A954D0">
        <w:rPr>
          <w:rFonts w:ascii="Bookman Old Style" w:hAnsi="Bookman Old Style"/>
          <w:lang w:val="x-none" w:eastAsia="x-none"/>
        </w:rPr>
        <w:t xml:space="preserve"> </w:t>
      </w:r>
      <w:r w:rsidRPr="00040874">
        <w:rPr>
          <w:rFonts w:ascii="Bookman Old Style" w:hAnsi="Bookman Old Style"/>
          <w:lang w:val="x-none" w:eastAsia="x-none"/>
        </w:rPr>
        <w:t>Laboratorium</w:t>
      </w:r>
      <w:r w:rsidR="00A954D0">
        <w:rPr>
          <w:rFonts w:ascii="Bookman Old Style" w:hAnsi="Bookman Old Style"/>
          <w:lang w:val="x-none" w:eastAsia="x-none"/>
        </w:rPr>
        <w:t xml:space="preserve"> </w:t>
      </w:r>
      <w:r w:rsidRPr="00040874">
        <w:rPr>
          <w:rFonts w:ascii="Bookman Old Style" w:hAnsi="Bookman Old Style"/>
          <w:lang w:val="x-none" w:eastAsia="x-none"/>
        </w:rPr>
        <w:t>Rp4.916.723.300,00</w:t>
      </w:r>
      <w:r w:rsidR="00A954D0">
        <w:rPr>
          <w:rFonts w:ascii="Bookman Old Style" w:hAnsi="Bookman Old Style"/>
          <w:lang w:val="x-none" w:eastAsia="x-none"/>
        </w:rPr>
        <w:t xml:space="preserve"> </w:t>
      </w:r>
      <w:r w:rsidRPr="00040874">
        <w:rPr>
          <w:rFonts w:ascii="Bookman Old Style" w:hAnsi="Bookman Old Style"/>
          <w:lang w:val="x-none" w:eastAsia="x-none"/>
        </w:rPr>
        <w:t>atau</w:t>
      </w:r>
      <w:r w:rsidR="00A954D0">
        <w:rPr>
          <w:rFonts w:ascii="Bookman Old Style" w:hAnsi="Bookman Old Style"/>
          <w:lang w:val="x-none" w:eastAsia="x-none"/>
        </w:rPr>
        <w:t xml:space="preserve"> </w:t>
      </w:r>
      <w:r w:rsidRPr="00040874">
        <w:rPr>
          <w:rFonts w:ascii="Bookman Old Style" w:hAnsi="Bookman Old Style"/>
          <w:lang w:val="x-none" w:eastAsia="x-none"/>
        </w:rPr>
        <w:t>0,09%</w:t>
      </w:r>
      <w:r w:rsidR="00A954D0">
        <w:rPr>
          <w:rFonts w:ascii="Bookman Old Style" w:hAnsi="Bookman Old Style"/>
          <w:lang w:val="x-none" w:eastAsia="x-none"/>
        </w:rPr>
        <w:t xml:space="preserve"> </w:t>
      </w:r>
      <w:r w:rsidRPr="00040874">
        <w:rPr>
          <w:rFonts w:ascii="Bookman Old Style" w:hAnsi="Bookman Old Style"/>
          <w:lang w:val="x-none" w:eastAsia="x-none"/>
        </w:rPr>
        <w:t>dari</w:t>
      </w:r>
      <w:r w:rsidR="00A954D0">
        <w:rPr>
          <w:rFonts w:ascii="Bookman Old Style" w:hAnsi="Bookman Old Style"/>
          <w:lang w:val="x-none" w:eastAsia="x-none"/>
        </w:rPr>
        <w:t xml:space="preserve"> </w:t>
      </w:r>
      <w:r w:rsidRPr="00040874">
        <w:rPr>
          <w:rFonts w:ascii="Bookman Old Style" w:hAnsi="Bookman Old Style"/>
          <w:lang w:val="x-none" w:eastAsia="x-none"/>
        </w:rPr>
        <w:t>total</w:t>
      </w:r>
      <w:r w:rsidR="00A954D0">
        <w:rPr>
          <w:rFonts w:ascii="Bookman Old Style" w:hAnsi="Bookman Old Style"/>
          <w:lang w:val="x-none" w:eastAsia="x-none"/>
        </w:rPr>
        <w:t xml:space="preserve"> </w:t>
      </w:r>
      <w:r w:rsidRPr="00040874">
        <w:rPr>
          <w:rFonts w:ascii="Bookman Old Style" w:hAnsi="Bookman Old Style"/>
          <w:lang w:val="x-none" w:eastAsia="x-none"/>
        </w:rPr>
        <w:t>belanja</w:t>
      </w:r>
      <w:r w:rsidR="00A954D0">
        <w:rPr>
          <w:rFonts w:ascii="Bookman Old Style" w:hAnsi="Bookman Old Style"/>
          <w:lang w:val="x-none" w:eastAsia="x-none"/>
        </w:rPr>
        <w:t xml:space="preserve"> </w:t>
      </w:r>
      <w:r w:rsidRPr="00040874">
        <w:rPr>
          <w:rFonts w:ascii="Bookman Old Style" w:hAnsi="Bookman Old Style"/>
          <w:lang w:val="x-none" w:eastAsia="x-none"/>
        </w:rPr>
        <w:t>daerah</w:t>
      </w:r>
      <w:r w:rsidR="00A954D0">
        <w:rPr>
          <w:rFonts w:ascii="Bookman Old Style" w:hAnsi="Bookman Old Style"/>
          <w:lang w:val="x-none" w:eastAsia="x-none"/>
        </w:rPr>
        <w:t xml:space="preserve"> </w:t>
      </w:r>
      <w:r w:rsidRPr="00040874">
        <w:rPr>
          <w:rFonts w:ascii="Bookman Old Style" w:hAnsi="Bookman Old Style"/>
          <w:lang w:val="x-none" w:eastAsia="x-none"/>
        </w:rPr>
        <w:t>dalam</w:t>
      </w:r>
      <w:r w:rsidR="00A954D0">
        <w:rPr>
          <w:rFonts w:ascii="Bookman Old Style" w:hAnsi="Bookman Old Style"/>
          <w:lang w:val="x-none" w:eastAsia="x-none"/>
        </w:rPr>
        <w:t xml:space="preserve"> </w:t>
      </w:r>
      <w:r w:rsidRPr="00040874">
        <w:rPr>
          <w:rFonts w:ascii="Bookman Old Style" w:hAnsi="Bookman Old Style"/>
          <w:lang w:val="x-none" w:eastAsia="x-none"/>
        </w:rPr>
        <w:t>Rancangan</w:t>
      </w:r>
      <w:r w:rsidR="00A954D0">
        <w:rPr>
          <w:rFonts w:ascii="Bookman Old Style" w:hAnsi="Bookman Old Style"/>
          <w:lang w:val="x-none" w:eastAsia="x-none"/>
        </w:rPr>
        <w:t xml:space="preserve"> </w:t>
      </w:r>
      <w:r w:rsidRPr="00040874">
        <w:rPr>
          <w:rFonts w:ascii="Bookman Old Style" w:hAnsi="Bookman Old Style"/>
          <w:lang w:val="x-none" w:eastAsia="x-none"/>
        </w:rPr>
        <w:t>Peraturan</w:t>
      </w:r>
      <w:r w:rsidR="00A954D0">
        <w:rPr>
          <w:rFonts w:ascii="Bookman Old Style" w:hAnsi="Bookman Old Style"/>
          <w:lang w:val="x-none" w:eastAsia="x-none"/>
        </w:rPr>
        <w:t xml:space="preserve"> </w:t>
      </w:r>
      <w:r w:rsidRPr="00040874">
        <w:rPr>
          <w:rFonts w:ascii="Bookman Old Style" w:hAnsi="Bookman Old Style"/>
          <w:lang w:val="x-none" w:eastAsia="x-none"/>
        </w:rPr>
        <w:t>Daerah</w:t>
      </w:r>
      <w:r w:rsidR="00A954D0">
        <w:rPr>
          <w:rFonts w:ascii="Bookman Old Style" w:hAnsi="Bookman Old Style"/>
          <w:lang w:val="x-none" w:eastAsia="x-none"/>
        </w:rPr>
        <w:t xml:space="preserve"> </w:t>
      </w:r>
      <w:r w:rsidRPr="00040874">
        <w:rPr>
          <w:rFonts w:ascii="Bookman Old Style" w:hAnsi="Bookman Old Style"/>
          <w:lang w:val="x-none" w:eastAsia="x-none"/>
        </w:rPr>
        <w:t>Kota</w:t>
      </w:r>
      <w:r w:rsidR="00A954D0">
        <w:rPr>
          <w:rFonts w:ascii="Bookman Old Style" w:hAnsi="Bookman Old Style"/>
          <w:lang w:val="x-none" w:eastAsia="x-none"/>
        </w:rPr>
        <w:t xml:space="preserve"> </w:t>
      </w:r>
      <w:r w:rsidRPr="00040874">
        <w:rPr>
          <w:rFonts w:ascii="Bookman Old Style" w:hAnsi="Bookman Old Style"/>
          <w:lang w:val="x-none" w:eastAsia="x-none"/>
        </w:rPr>
        <w:t>Tangerang</w:t>
      </w:r>
      <w:r w:rsidR="00A954D0">
        <w:rPr>
          <w:rFonts w:ascii="Bookman Old Style" w:hAnsi="Bookman Old Style"/>
          <w:lang w:val="x-none" w:eastAsia="x-none"/>
        </w:rPr>
        <w:t xml:space="preserve"> </w:t>
      </w:r>
      <w:r w:rsidRPr="00040874">
        <w:rPr>
          <w:rFonts w:ascii="Bookman Old Style" w:hAnsi="Bookman Old Style"/>
          <w:lang w:val="x-none" w:eastAsia="x-none"/>
        </w:rPr>
        <w:t>tentang</w:t>
      </w:r>
      <w:r w:rsidR="00A954D0">
        <w:rPr>
          <w:rFonts w:ascii="Bookman Old Style" w:hAnsi="Bookman Old Style"/>
          <w:lang w:val="x-none" w:eastAsia="x-none"/>
        </w:rPr>
        <w:t xml:space="preserve"> </w:t>
      </w:r>
      <w:r w:rsidRPr="00040874">
        <w:rPr>
          <w:rFonts w:ascii="Bookman Old Style" w:hAnsi="Bookman Old Style"/>
          <w:lang w:val="x-none" w:eastAsia="x-none"/>
        </w:rPr>
        <w:t>APBD</w:t>
      </w:r>
      <w:r w:rsidR="00A954D0">
        <w:rPr>
          <w:rFonts w:ascii="Bookman Old Style" w:hAnsi="Bookman Old Style"/>
          <w:lang w:val="x-none" w:eastAsia="x-none"/>
        </w:rPr>
        <w:t xml:space="preserve"> </w:t>
      </w:r>
      <w:r w:rsidRPr="00040874">
        <w:rPr>
          <w:rFonts w:ascii="Bookman Old Style" w:hAnsi="Bookman Old Style"/>
          <w:lang w:val="x-none" w:eastAsia="x-none"/>
        </w:rPr>
        <w:t>Tahun</w:t>
      </w:r>
      <w:r w:rsidR="00A954D0">
        <w:rPr>
          <w:rFonts w:ascii="Bookman Old Style" w:hAnsi="Bookman Old Style"/>
          <w:lang w:val="x-none" w:eastAsia="x-none"/>
        </w:rPr>
        <w:t xml:space="preserve"> </w:t>
      </w:r>
      <w:r w:rsidRPr="00040874">
        <w:rPr>
          <w:rFonts w:ascii="Bookman Old Style" w:hAnsi="Bookman Old Style"/>
          <w:lang w:val="x-none" w:eastAsia="x-none"/>
        </w:rPr>
        <w:t>Anggaran</w:t>
      </w:r>
      <w:r w:rsidR="00A954D0">
        <w:rPr>
          <w:rFonts w:ascii="Bookman Old Style" w:hAnsi="Bookman Old Style"/>
          <w:lang w:val="x-none" w:eastAsia="x-none"/>
        </w:rPr>
        <w:t xml:space="preserve"> </w:t>
      </w:r>
      <w:r w:rsidRPr="00040874">
        <w:rPr>
          <w:rFonts w:ascii="Bookman Old Style" w:hAnsi="Bookman Old Style"/>
          <w:lang w:val="x-none" w:eastAsia="x-none"/>
        </w:rPr>
        <w:t>2025,</w:t>
      </w:r>
      <w:r w:rsidR="00A954D0">
        <w:rPr>
          <w:rFonts w:ascii="Bookman Old Style" w:hAnsi="Bookman Old Style"/>
          <w:lang w:val="x-none" w:eastAsia="x-none"/>
        </w:rPr>
        <w:t xml:space="preserve"> </w:t>
      </w:r>
      <w:r w:rsidRPr="00040874">
        <w:rPr>
          <w:rFonts w:ascii="Bookman Old Style" w:hAnsi="Bookman Old Style"/>
          <w:lang w:val="x-none" w:eastAsia="x-none"/>
        </w:rPr>
        <w:t>yang</w:t>
      </w:r>
      <w:r w:rsidR="00A954D0">
        <w:rPr>
          <w:rFonts w:ascii="Bookman Old Style" w:hAnsi="Bookman Old Style"/>
          <w:lang w:val="x-none" w:eastAsia="x-none"/>
        </w:rPr>
        <w:t xml:space="preserve"> </w:t>
      </w:r>
      <w:r w:rsidRPr="00040874">
        <w:rPr>
          <w:rFonts w:ascii="Bookman Old Style" w:hAnsi="Bookman Old Style"/>
          <w:lang w:val="x-none" w:eastAsia="x-none"/>
        </w:rPr>
        <w:t>diuraikan</w:t>
      </w:r>
      <w:r w:rsidR="00A954D0">
        <w:rPr>
          <w:rFonts w:ascii="Bookman Old Style" w:hAnsi="Bookman Old Style"/>
          <w:lang w:val="x-none" w:eastAsia="x-none"/>
        </w:rPr>
        <w:t xml:space="preserve"> </w:t>
      </w:r>
      <w:r w:rsidRPr="00040874">
        <w:rPr>
          <w:rFonts w:ascii="Bookman Old Style" w:hAnsi="Bookman Old Style"/>
          <w:lang w:val="x-none" w:eastAsia="x-none"/>
        </w:rPr>
        <w:t>ke</w:t>
      </w:r>
      <w:r w:rsidR="00A954D0">
        <w:rPr>
          <w:rFonts w:ascii="Bookman Old Style" w:hAnsi="Bookman Old Style"/>
          <w:lang w:val="x-none" w:eastAsia="x-none"/>
        </w:rPr>
        <w:t xml:space="preserve"> </w:t>
      </w:r>
      <w:r w:rsidRPr="00040874">
        <w:rPr>
          <w:rFonts w:ascii="Bookman Old Style" w:hAnsi="Bookman Old Style"/>
          <w:lang w:val="x-none" w:eastAsia="x-none"/>
        </w:rPr>
        <w:t>dalam</w:t>
      </w:r>
      <w:r w:rsidR="00A954D0">
        <w:rPr>
          <w:rFonts w:ascii="Bookman Old Style" w:hAnsi="Bookman Old Style"/>
          <w:lang w:val="x-none" w:eastAsia="x-none"/>
        </w:rPr>
        <w:t xml:space="preserve"> </w:t>
      </w:r>
      <w:r w:rsidRPr="00040874">
        <w:rPr>
          <w:rFonts w:ascii="Bookman Old Style" w:hAnsi="Bookman Old Style"/>
          <w:lang w:val="x-none" w:eastAsia="x-none"/>
        </w:rPr>
        <w:t>rincian</w:t>
      </w:r>
      <w:r w:rsidR="00A954D0">
        <w:rPr>
          <w:rFonts w:ascii="Bookman Old Style" w:hAnsi="Bookman Old Style"/>
          <w:lang w:val="x-none" w:eastAsia="x-none"/>
        </w:rPr>
        <w:t xml:space="preserve"> </w:t>
      </w:r>
      <w:r w:rsidRPr="00040874">
        <w:rPr>
          <w:rFonts w:ascii="Bookman Old Style" w:hAnsi="Bookman Old Style"/>
          <w:lang w:val="x-none" w:eastAsia="x-none"/>
        </w:rPr>
        <w:t>objek</w:t>
      </w:r>
      <w:r w:rsidR="00A954D0">
        <w:rPr>
          <w:rFonts w:ascii="Bookman Old Style" w:hAnsi="Bookman Old Style"/>
          <w:lang w:val="x-none" w:eastAsia="x-none"/>
        </w:rPr>
        <w:t xml:space="preserve"> </w:t>
      </w:r>
      <w:r w:rsidRPr="00040874">
        <w:rPr>
          <w:rFonts w:ascii="Bookman Old Style" w:hAnsi="Bookman Old Style"/>
          <w:lang w:val="x-none" w:eastAsia="x-none"/>
        </w:rPr>
        <w:t>belanja:</w:t>
      </w:r>
    </w:p>
    <w:p w14:paraId="650A21B5" w14:textId="57EC81FC" w:rsidR="00515C3A" w:rsidRPr="00040874" w:rsidRDefault="00515C3A" w:rsidP="00154790">
      <w:pPr>
        <w:pStyle w:val="ListParagraph"/>
        <w:numPr>
          <w:ilvl w:val="0"/>
          <w:numId w:val="208"/>
        </w:numPr>
        <w:spacing w:before="60" w:after="0" w:line="276" w:lineRule="auto"/>
        <w:ind w:left="2694" w:hanging="426"/>
        <w:contextualSpacing w:val="0"/>
        <w:jc w:val="both"/>
        <w:rPr>
          <w:rFonts w:ascii="Bookman Old Style" w:hAnsi="Bookman Old Style"/>
          <w:sz w:val="24"/>
          <w:szCs w:val="24"/>
        </w:rPr>
      </w:pPr>
      <w:r w:rsidRPr="00040874">
        <w:rPr>
          <w:rFonts w:ascii="Bookman Old Style" w:hAnsi="Bookman Old Style"/>
          <w:sz w:val="24"/>
          <w:szCs w:val="24"/>
        </w:rPr>
        <w:t>Belanja</w:t>
      </w:r>
      <w:r w:rsidR="00A954D0">
        <w:rPr>
          <w:rFonts w:ascii="Bookman Old Style" w:hAnsi="Bookman Old Style"/>
          <w:sz w:val="24"/>
          <w:szCs w:val="24"/>
        </w:rPr>
        <w:t xml:space="preserve"> </w:t>
      </w:r>
      <w:r w:rsidRPr="00040874">
        <w:rPr>
          <w:rFonts w:ascii="Bookman Old Style" w:hAnsi="Bookman Old Style"/>
          <w:sz w:val="24"/>
          <w:szCs w:val="24"/>
        </w:rPr>
        <w:t>Modal</w:t>
      </w:r>
      <w:r w:rsidR="00A954D0">
        <w:rPr>
          <w:rFonts w:ascii="Bookman Old Style" w:hAnsi="Bookman Old Style"/>
          <w:sz w:val="24"/>
          <w:szCs w:val="24"/>
        </w:rPr>
        <w:t xml:space="preserve"> </w:t>
      </w:r>
      <w:r w:rsidRPr="00040874">
        <w:rPr>
          <w:rFonts w:ascii="Bookman Old Style" w:hAnsi="Bookman Old Style"/>
          <w:sz w:val="24"/>
          <w:szCs w:val="24"/>
        </w:rPr>
        <w:t>Unit</w:t>
      </w:r>
      <w:r w:rsidR="00A954D0">
        <w:rPr>
          <w:rFonts w:ascii="Bookman Old Style" w:hAnsi="Bookman Old Style"/>
          <w:sz w:val="24"/>
          <w:szCs w:val="24"/>
        </w:rPr>
        <w:t xml:space="preserve"> </w:t>
      </w:r>
      <w:r w:rsidRPr="00040874">
        <w:rPr>
          <w:rFonts w:ascii="Bookman Old Style" w:hAnsi="Bookman Old Style"/>
          <w:sz w:val="24"/>
          <w:szCs w:val="24"/>
        </w:rPr>
        <w:t>Alat</w:t>
      </w:r>
      <w:r w:rsidR="00A954D0">
        <w:rPr>
          <w:rFonts w:ascii="Bookman Old Style" w:hAnsi="Bookman Old Style"/>
          <w:sz w:val="24"/>
          <w:szCs w:val="24"/>
        </w:rPr>
        <w:t xml:space="preserve"> </w:t>
      </w:r>
      <w:r w:rsidRPr="00040874">
        <w:rPr>
          <w:rFonts w:ascii="Bookman Old Style" w:hAnsi="Bookman Old Style"/>
          <w:sz w:val="24"/>
          <w:szCs w:val="24"/>
        </w:rPr>
        <w:t>Laboratorium</w:t>
      </w:r>
      <w:r w:rsidR="00A954D0">
        <w:rPr>
          <w:rFonts w:ascii="Bookman Old Style" w:hAnsi="Bookman Old Style"/>
          <w:sz w:val="24"/>
          <w:szCs w:val="24"/>
        </w:rPr>
        <w:t xml:space="preserve"> </w:t>
      </w:r>
      <w:r w:rsidRPr="00040874">
        <w:rPr>
          <w:rFonts w:ascii="Bookman Old Style" w:hAnsi="Bookman Old Style"/>
          <w:sz w:val="24"/>
          <w:szCs w:val="24"/>
        </w:rPr>
        <w:t>Rp2.604.945.600,00;</w:t>
      </w:r>
    </w:p>
    <w:p w14:paraId="50BC105E" w14:textId="693EC5E3" w:rsidR="00515C3A" w:rsidRPr="00040874" w:rsidRDefault="00515C3A" w:rsidP="00154790">
      <w:pPr>
        <w:pStyle w:val="ListParagraph"/>
        <w:numPr>
          <w:ilvl w:val="0"/>
          <w:numId w:val="208"/>
        </w:numPr>
        <w:spacing w:before="60" w:after="0" w:line="276" w:lineRule="auto"/>
        <w:ind w:left="2694" w:hanging="426"/>
        <w:contextualSpacing w:val="0"/>
        <w:jc w:val="both"/>
        <w:rPr>
          <w:rFonts w:ascii="Bookman Old Style" w:hAnsi="Bookman Old Style"/>
          <w:sz w:val="24"/>
          <w:szCs w:val="24"/>
        </w:rPr>
      </w:pPr>
      <w:r w:rsidRPr="00040874">
        <w:rPr>
          <w:rFonts w:ascii="Bookman Old Style" w:hAnsi="Bookman Old Style"/>
          <w:sz w:val="24"/>
          <w:szCs w:val="24"/>
        </w:rPr>
        <w:t>Belanja</w:t>
      </w:r>
      <w:r w:rsidR="00A954D0">
        <w:rPr>
          <w:rFonts w:ascii="Bookman Old Style" w:hAnsi="Bookman Old Style"/>
          <w:sz w:val="24"/>
          <w:szCs w:val="24"/>
        </w:rPr>
        <w:t xml:space="preserve"> </w:t>
      </w:r>
      <w:r w:rsidRPr="00040874">
        <w:rPr>
          <w:rFonts w:ascii="Bookman Old Style" w:hAnsi="Bookman Old Style"/>
          <w:sz w:val="24"/>
          <w:szCs w:val="24"/>
        </w:rPr>
        <w:t>Modal</w:t>
      </w:r>
      <w:r w:rsidR="00A954D0">
        <w:rPr>
          <w:rFonts w:ascii="Bookman Old Style" w:hAnsi="Bookman Old Style"/>
          <w:sz w:val="24"/>
          <w:szCs w:val="24"/>
        </w:rPr>
        <w:t xml:space="preserve"> </w:t>
      </w:r>
      <w:r w:rsidRPr="00040874">
        <w:rPr>
          <w:rFonts w:ascii="Bookman Old Style" w:hAnsi="Bookman Old Style"/>
          <w:sz w:val="24"/>
          <w:szCs w:val="24"/>
        </w:rPr>
        <w:t>Alat</w:t>
      </w:r>
      <w:r w:rsidR="00A954D0">
        <w:rPr>
          <w:rFonts w:ascii="Bookman Old Style" w:hAnsi="Bookman Old Style"/>
          <w:sz w:val="24"/>
          <w:szCs w:val="24"/>
        </w:rPr>
        <w:t xml:space="preserve"> </w:t>
      </w:r>
      <w:r w:rsidRPr="00040874">
        <w:rPr>
          <w:rFonts w:ascii="Bookman Old Style" w:hAnsi="Bookman Old Style"/>
          <w:sz w:val="24"/>
          <w:szCs w:val="24"/>
        </w:rPr>
        <w:t>Peraga</w:t>
      </w:r>
      <w:r w:rsidR="00A954D0">
        <w:rPr>
          <w:rFonts w:ascii="Bookman Old Style" w:hAnsi="Bookman Old Style"/>
          <w:sz w:val="24"/>
          <w:szCs w:val="24"/>
        </w:rPr>
        <w:t xml:space="preserve"> </w:t>
      </w:r>
      <w:r w:rsidRPr="00040874">
        <w:rPr>
          <w:rFonts w:ascii="Bookman Old Style" w:hAnsi="Bookman Old Style"/>
          <w:sz w:val="24"/>
          <w:szCs w:val="24"/>
        </w:rPr>
        <w:t>Praktek</w:t>
      </w:r>
      <w:r w:rsidR="00A954D0">
        <w:rPr>
          <w:rFonts w:ascii="Bookman Old Style" w:hAnsi="Bookman Old Style"/>
          <w:sz w:val="24"/>
          <w:szCs w:val="24"/>
        </w:rPr>
        <w:t xml:space="preserve"> </w:t>
      </w:r>
      <w:r w:rsidRPr="00040874">
        <w:rPr>
          <w:rFonts w:ascii="Bookman Old Style" w:hAnsi="Bookman Old Style"/>
          <w:sz w:val="24"/>
          <w:szCs w:val="24"/>
        </w:rPr>
        <w:t>Sekolah</w:t>
      </w:r>
      <w:r w:rsidR="00A954D0">
        <w:rPr>
          <w:rFonts w:ascii="Bookman Old Style" w:hAnsi="Bookman Old Style"/>
          <w:sz w:val="24"/>
          <w:szCs w:val="24"/>
        </w:rPr>
        <w:t xml:space="preserve"> </w:t>
      </w:r>
      <w:r w:rsidRPr="00040874">
        <w:rPr>
          <w:rFonts w:ascii="Bookman Old Style" w:hAnsi="Bookman Old Style"/>
          <w:sz w:val="24"/>
          <w:szCs w:val="24"/>
        </w:rPr>
        <w:t>Rp299.179.700,00,00;</w:t>
      </w:r>
    </w:p>
    <w:p w14:paraId="59CCCA67" w14:textId="4548C54D" w:rsidR="00515C3A" w:rsidRPr="00040874" w:rsidRDefault="00515C3A" w:rsidP="00154790">
      <w:pPr>
        <w:pStyle w:val="ListParagraph"/>
        <w:numPr>
          <w:ilvl w:val="0"/>
          <w:numId w:val="208"/>
        </w:numPr>
        <w:spacing w:before="60" w:after="0" w:line="276" w:lineRule="auto"/>
        <w:ind w:left="2694" w:hanging="426"/>
        <w:contextualSpacing w:val="0"/>
        <w:jc w:val="both"/>
        <w:rPr>
          <w:rFonts w:ascii="Bookman Old Style" w:hAnsi="Bookman Old Style"/>
          <w:sz w:val="24"/>
          <w:szCs w:val="24"/>
        </w:rPr>
      </w:pPr>
      <w:r w:rsidRPr="00040874">
        <w:rPr>
          <w:rFonts w:ascii="Bookman Old Style" w:hAnsi="Bookman Old Style"/>
          <w:sz w:val="24"/>
          <w:szCs w:val="24"/>
        </w:rPr>
        <w:t>Belanja</w:t>
      </w:r>
      <w:r w:rsidR="00A954D0">
        <w:rPr>
          <w:rFonts w:ascii="Bookman Old Style" w:hAnsi="Bookman Old Style"/>
          <w:sz w:val="24"/>
          <w:szCs w:val="24"/>
        </w:rPr>
        <w:t xml:space="preserve"> </w:t>
      </w:r>
      <w:r w:rsidRPr="00040874">
        <w:rPr>
          <w:rFonts w:ascii="Bookman Old Style" w:hAnsi="Bookman Old Style"/>
          <w:sz w:val="24"/>
          <w:szCs w:val="24"/>
        </w:rPr>
        <w:t>Modal</w:t>
      </w:r>
      <w:r w:rsidR="00A954D0">
        <w:rPr>
          <w:rFonts w:ascii="Bookman Old Style" w:hAnsi="Bookman Old Style"/>
          <w:sz w:val="24"/>
          <w:szCs w:val="24"/>
        </w:rPr>
        <w:t xml:space="preserve"> </w:t>
      </w:r>
      <w:r w:rsidRPr="00040874">
        <w:rPr>
          <w:rFonts w:ascii="Bookman Old Style" w:hAnsi="Bookman Old Style"/>
          <w:sz w:val="24"/>
          <w:szCs w:val="24"/>
        </w:rPr>
        <w:t>Alat</w:t>
      </w:r>
      <w:r w:rsidR="00A954D0">
        <w:rPr>
          <w:rFonts w:ascii="Bookman Old Style" w:hAnsi="Bookman Old Style"/>
          <w:sz w:val="24"/>
          <w:szCs w:val="24"/>
        </w:rPr>
        <w:t xml:space="preserve"> </w:t>
      </w:r>
      <w:r w:rsidRPr="00040874">
        <w:rPr>
          <w:rFonts w:ascii="Bookman Old Style" w:hAnsi="Bookman Old Style"/>
          <w:sz w:val="24"/>
          <w:szCs w:val="24"/>
        </w:rPr>
        <w:t>Laboratorium</w:t>
      </w:r>
      <w:r w:rsidR="00A954D0">
        <w:rPr>
          <w:rFonts w:ascii="Bookman Old Style" w:hAnsi="Bookman Old Style"/>
          <w:sz w:val="24"/>
          <w:szCs w:val="24"/>
        </w:rPr>
        <w:t xml:space="preserve"> </w:t>
      </w:r>
      <w:r w:rsidRPr="00040874">
        <w:rPr>
          <w:rFonts w:ascii="Bookman Old Style" w:hAnsi="Bookman Old Style"/>
          <w:sz w:val="24"/>
          <w:szCs w:val="24"/>
        </w:rPr>
        <w:t>Fisika</w:t>
      </w:r>
      <w:r w:rsidR="00A954D0">
        <w:rPr>
          <w:rFonts w:ascii="Bookman Old Style" w:hAnsi="Bookman Old Style"/>
          <w:sz w:val="24"/>
          <w:szCs w:val="24"/>
        </w:rPr>
        <w:t xml:space="preserve"> </w:t>
      </w:r>
      <w:r w:rsidRPr="00040874">
        <w:rPr>
          <w:rFonts w:ascii="Bookman Old Style" w:hAnsi="Bookman Old Style"/>
          <w:sz w:val="24"/>
          <w:szCs w:val="24"/>
        </w:rPr>
        <w:t>Nuklir/Elektronika</w:t>
      </w:r>
      <w:r w:rsidR="00A954D0">
        <w:rPr>
          <w:rFonts w:ascii="Bookman Old Style" w:hAnsi="Bookman Old Style"/>
          <w:sz w:val="24"/>
          <w:szCs w:val="24"/>
        </w:rPr>
        <w:t xml:space="preserve"> </w:t>
      </w:r>
      <w:r w:rsidRPr="00040874">
        <w:rPr>
          <w:rFonts w:ascii="Bookman Old Style" w:hAnsi="Bookman Old Style"/>
          <w:sz w:val="24"/>
          <w:szCs w:val="24"/>
        </w:rPr>
        <w:t>Rp2.012.598.000,00.</w:t>
      </w:r>
    </w:p>
    <w:p w14:paraId="4A05B61C" w14:textId="0EE7B5B4" w:rsidR="003B7FE4" w:rsidRPr="003255BC" w:rsidRDefault="00154790" w:rsidP="00154790">
      <w:pPr>
        <w:spacing w:before="60" w:line="276" w:lineRule="auto"/>
        <w:ind w:left="1701"/>
        <w:jc w:val="both"/>
        <w:rPr>
          <w:rFonts w:ascii="Bookman Old Style" w:hAnsi="Bookman Old Style"/>
          <w:lang w:val="sv-FI"/>
        </w:rPr>
      </w:pPr>
      <w:r>
        <w:rPr>
          <w:rFonts w:ascii="Bookman Old Style" w:hAnsi="Bookman Old Style"/>
          <w:lang w:val="sv-FI"/>
        </w:rPr>
        <w:t>D</w:t>
      </w:r>
      <w:r w:rsidR="00515C3A" w:rsidRPr="003255BC">
        <w:rPr>
          <w:rFonts w:ascii="Bookman Old Style" w:hAnsi="Bookman Old Style"/>
          <w:lang w:val="sv-FI"/>
        </w:rPr>
        <w:t>ianggarkan</w:t>
      </w:r>
      <w:r w:rsidR="00A954D0">
        <w:rPr>
          <w:rFonts w:ascii="Bookman Old Style" w:hAnsi="Bookman Old Style"/>
          <w:lang w:val="id-ID"/>
        </w:rPr>
        <w:t xml:space="preserve"> </w:t>
      </w:r>
      <w:r w:rsidR="00515C3A" w:rsidRPr="00040874">
        <w:rPr>
          <w:rFonts w:ascii="Bookman Old Style" w:hAnsi="Bookman Old Style"/>
          <w:lang w:val="id-ID"/>
        </w:rPr>
        <w:t>dalam</w:t>
      </w:r>
      <w:r w:rsidR="00A954D0">
        <w:rPr>
          <w:rFonts w:ascii="Bookman Old Style" w:hAnsi="Bookman Old Style"/>
          <w:lang w:val="id-ID"/>
        </w:rPr>
        <w:t xml:space="preserve"> </w:t>
      </w:r>
      <w:r w:rsidR="00515C3A" w:rsidRPr="00040874">
        <w:rPr>
          <w:rFonts w:ascii="Bookman Old Style" w:hAnsi="Bookman Old Style"/>
          <w:lang w:val="id-ID"/>
        </w:rPr>
        <w:t>Rancangan</w:t>
      </w:r>
      <w:r w:rsidR="00A954D0">
        <w:rPr>
          <w:rFonts w:ascii="Bookman Old Style" w:hAnsi="Bookman Old Style"/>
          <w:lang w:val="id-ID"/>
        </w:rPr>
        <w:t xml:space="preserve"> </w:t>
      </w:r>
      <w:r w:rsidR="00515C3A" w:rsidRPr="00040874">
        <w:rPr>
          <w:rFonts w:ascii="Bookman Old Style" w:hAnsi="Bookman Old Style"/>
          <w:lang w:val="id-ID"/>
        </w:rPr>
        <w:t>Peraturan</w:t>
      </w:r>
      <w:r w:rsidR="00A954D0">
        <w:rPr>
          <w:rFonts w:ascii="Bookman Old Style" w:hAnsi="Bookman Old Style"/>
          <w:lang w:val="id-ID"/>
        </w:rPr>
        <w:t xml:space="preserve"> </w:t>
      </w:r>
      <w:r w:rsidR="00515C3A" w:rsidRPr="00040874">
        <w:rPr>
          <w:rFonts w:ascii="Bookman Old Style" w:hAnsi="Bookman Old Style"/>
          <w:lang w:val="id-ID"/>
        </w:rPr>
        <w:t>Daerah</w:t>
      </w:r>
      <w:r w:rsidR="00A954D0">
        <w:rPr>
          <w:rFonts w:ascii="Bookman Old Style" w:hAnsi="Bookman Old Style"/>
          <w:lang w:val="id-ID"/>
        </w:rPr>
        <w:t xml:space="preserve"> </w:t>
      </w:r>
      <w:r w:rsidR="00515C3A" w:rsidRPr="00040874">
        <w:rPr>
          <w:rFonts w:ascii="Bookman Old Style" w:hAnsi="Bookman Old Style"/>
          <w:lang w:val="id-ID"/>
        </w:rPr>
        <w:t>Kota</w:t>
      </w:r>
      <w:r w:rsidR="00A954D0">
        <w:rPr>
          <w:rFonts w:ascii="Bookman Old Style" w:hAnsi="Bookman Old Style"/>
          <w:lang w:val="id-ID"/>
        </w:rPr>
        <w:t xml:space="preserve"> </w:t>
      </w:r>
      <w:r w:rsidR="00515C3A" w:rsidRPr="00040874">
        <w:rPr>
          <w:rFonts w:ascii="Bookman Old Style" w:hAnsi="Bookman Old Style"/>
          <w:lang w:val="id-ID"/>
        </w:rPr>
        <w:t>Tangerang</w:t>
      </w:r>
      <w:r w:rsidR="00A954D0">
        <w:rPr>
          <w:rFonts w:ascii="Bookman Old Style" w:hAnsi="Bookman Old Style"/>
          <w:lang w:val="id-ID"/>
        </w:rPr>
        <w:t xml:space="preserve"> </w:t>
      </w:r>
      <w:r w:rsidR="00515C3A" w:rsidRPr="00040874">
        <w:rPr>
          <w:rFonts w:ascii="Bookman Old Style" w:hAnsi="Bookman Old Style"/>
          <w:lang w:val="id-ID"/>
        </w:rPr>
        <w:t>tentang</w:t>
      </w:r>
      <w:r w:rsidR="00A954D0">
        <w:rPr>
          <w:rFonts w:ascii="Bookman Old Style" w:hAnsi="Bookman Old Style"/>
          <w:lang w:val="id-ID"/>
        </w:rPr>
        <w:t xml:space="preserve"> </w:t>
      </w:r>
      <w:r w:rsidR="00515C3A" w:rsidRPr="00040874">
        <w:rPr>
          <w:rFonts w:ascii="Bookman Old Style" w:hAnsi="Bookman Old Style"/>
          <w:lang w:val="id-ID"/>
        </w:rPr>
        <w:t>APBD</w:t>
      </w:r>
      <w:r w:rsidR="00A954D0">
        <w:rPr>
          <w:rFonts w:ascii="Bookman Old Style" w:hAnsi="Bookman Old Style"/>
          <w:lang w:val="id-ID"/>
        </w:rPr>
        <w:t xml:space="preserve"> </w:t>
      </w:r>
      <w:r w:rsidR="00515C3A" w:rsidRPr="00040874">
        <w:rPr>
          <w:rFonts w:ascii="Bookman Old Style" w:hAnsi="Bookman Old Style"/>
          <w:lang w:val="id-ID"/>
        </w:rPr>
        <w:t>Tahun</w:t>
      </w:r>
      <w:r w:rsidR="00A954D0">
        <w:rPr>
          <w:rFonts w:ascii="Bookman Old Style" w:hAnsi="Bookman Old Style"/>
          <w:lang w:val="id-ID"/>
        </w:rPr>
        <w:t xml:space="preserve"> </w:t>
      </w:r>
      <w:r w:rsidR="00515C3A" w:rsidRPr="00040874">
        <w:rPr>
          <w:rFonts w:ascii="Bookman Old Style" w:hAnsi="Bookman Old Style"/>
          <w:lang w:val="id-ID"/>
        </w:rPr>
        <w:t>Anggaran</w:t>
      </w:r>
      <w:r w:rsidR="00A954D0">
        <w:rPr>
          <w:rFonts w:ascii="Bookman Old Style" w:hAnsi="Bookman Old Style"/>
          <w:lang w:val="id-ID"/>
        </w:rPr>
        <w:t xml:space="preserve"> </w:t>
      </w:r>
      <w:r w:rsidR="00515C3A" w:rsidRPr="00040874">
        <w:rPr>
          <w:rFonts w:ascii="Bookman Old Style" w:hAnsi="Bookman Old Style"/>
          <w:lang w:val="id-ID"/>
        </w:rPr>
        <w:t>2025</w:t>
      </w:r>
      <w:r w:rsidR="00A954D0">
        <w:rPr>
          <w:rFonts w:ascii="Bookman Old Style" w:hAnsi="Bookman Old Style"/>
          <w:lang w:val="id-ID"/>
        </w:rPr>
        <w:t xml:space="preserve"> </w:t>
      </w:r>
      <w:r w:rsidR="00515C3A" w:rsidRPr="00040874">
        <w:rPr>
          <w:rFonts w:ascii="Bookman Old Style" w:hAnsi="Bookman Old Style"/>
          <w:lang w:val="id-ID"/>
        </w:rPr>
        <w:t>dan</w:t>
      </w:r>
      <w:r w:rsidR="00A954D0">
        <w:rPr>
          <w:rFonts w:ascii="Bookman Old Style" w:hAnsi="Bookman Old Style"/>
          <w:lang w:val="id-ID"/>
        </w:rPr>
        <w:t xml:space="preserve"> </w:t>
      </w:r>
      <w:r w:rsidR="00515C3A" w:rsidRPr="00040874">
        <w:rPr>
          <w:rFonts w:ascii="Bookman Old Style" w:hAnsi="Bookman Old Style"/>
          <w:lang w:val="id-ID"/>
        </w:rPr>
        <w:t>dalam</w:t>
      </w:r>
      <w:r w:rsidR="00A954D0">
        <w:rPr>
          <w:rFonts w:ascii="Bookman Old Style" w:hAnsi="Bookman Old Style"/>
          <w:lang w:val="id-ID"/>
        </w:rPr>
        <w:t xml:space="preserve"> </w:t>
      </w:r>
      <w:r w:rsidR="00515C3A" w:rsidRPr="00040874">
        <w:rPr>
          <w:rFonts w:ascii="Bookman Old Style" w:hAnsi="Bookman Old Style"/>
          <w:lang w:val="id-ID"/>
        </w:rPr>
        <w:t>pengadaannya</w:t>
      </w:r>
      <w:r w:rsidR="00A954D0">
        <w:rPr>
          <w:rFonts w:ascii="Bookman Old Style" w:hAnsi="Bookman Old Style"/>
          <w:lang w:val="id-ID"/>
        </w:rPr>
        <w:t xml:space="preserve"> </w:t>
      </w:r>
      <w:r w:rsidR="00515C3A" w:rsidRPr="00040874">
        <w:rPr>
          <w:rFonts w:ascii="Bookman Old Style" w:hAnsi="Bookman Old Style"/>
          <w:lang w:val="id-ID"/>
        </w:rPr>
        <w:t>harus</w:t>
      </w:r>
      <w:r w:rsidR="00A954D0">
        <w:rPr>
          <w:rFonts w:ascii="Bookman Old Style" w:hAnsi="Bookman Old Style"/>
          <w:lang w:val="id-ID"/>
        </w:rPr>
        <w:t xml:space="preserve"> </w:t>
      </w:r>
      <w:r w:rsidR="00515C3A" w:rsidRPr="00040874">
        <w:rPr>
          <w:rFonts w:ascii="Bookman Old Style" w:hAnsi="Bookman Old Style"/>
          <w:lang w:val="id-ID"/>
        </w:rPr>
        <w:t>memperhatikan</w:t>
      </w:r>
      <w:r w:rsidR="00A954D0">
        <w:rPr>
          <w:rFonts w:ascii="Bookman Old Style" w:hAnsi="Bookman Old Style"/>
          <w:lang w:val="id-ID"/>
        </w:rPr>
        <w:t xml:space="preserve"> </w:t>
      </w:r>
      <w:r w:rsidR="00515C3A" w:rsidRPr="00040874">
        <w:rPr>
          <w:rFonts w:ascii="Bookman Old Style" w:hAnsi="Bookman Old Style"/>
          <w:lang w:val="id-ID"/>
        </w:rPr>
        <w:t>kualitas</w:t>
      </w:r>
      <w:r w:rsidR="00A954D0">
        <w:rPr>
          <w:rFonts w:ascii="Bookman Old Style" w:hAnsi="Bookman Old Style"/>
          <w:lang w:val="id-ID"/>
        </w:rPr>
        <w:t xml:space="preserve"> </w:t>
      </w:r>
      <w:r w:rsidR="00515C3A" w:rsidRPr="00040874">
        <w:rPr>
          <w:rFonts w:ascii="Bookman Old Style" w:hAnsi="Bookman Old Style"/>
          <w:lang w:val="id-ID"/>
        </w:rPr>
        <w:t>dan</w:t>
      </w:r>
      <w:r w:rsidR="00A954D0">
        <w:rPr>
          <w:rFonts w:ascii="Bookman Old Style" w:hAnsi="Bookman Old Style"/>
          <w:lang w:val="id-ID"/>
        </w:rPr>
        <w:t xml:space="preserve"> </w:t>
      </w:r>
      <w:r w:rsidR="00515C3A" w:rsidRPr="00040874">
        <w:rPr>
          <w:rFonts w:ascii="Bookman Old Style" w:hAnsi="Bookman Old Style"/>
          <w:lang w:val="id-ID"/>
        </w:rPr>
        <w:t>manfaat</w:t>
      </w:r>
      <w:r w:rsidR="00A954D0">
        <w:rPr>
          <w:rFonts w:ascii="Bookman Old Style" w:hAnsi="Bookman Old Style"/>
          <w:lang w:val="id-ID"/>
        </w:rPr>
        <w:t xml:space="preserve"> </w:t>
      </w:r>
      <w:r w:rsidR="00515C3A" w:rsidRPr="00040874">
        <w:rPr>
          <w:rFonts w:ascii="Bookman Old Style" w:hAnsi="Bookman Old Style"/>
          <w:lang w:val="id-ID"/>
        </w:rPr>
        <w:t>Alat-Alat</w:t>
      </w:r>
      <w:r w:rsidR="00A954D0">
        <w:rPr>
          <w:rFonts w:ascii="Bookman Old Style" w:hAnsi="Bookman Old Style"/>
          <w:lang w:val="id-ID"/>
        </w:rPr>
        <w:t xml:space="preserve"> </w:t>
      </w:r>
      <w:r w:rsidR="00515C3A" w:rsidRPr="00040874">
        <w:rPr>
          <w:rFonts w:ascii="Bookman Old Style" w:hAnsi="Bookman Old Style"/>
          <w:lang w:val="id-ID"/>
        </w:rPr>
        <w:t>kedokteran</w:t>
      </w:r>
      <w:r w:rsidR="00A954D0">
        <w:rPr>
          <w:rFonts w:ascii="Bookman Old Style" w:hAnsi="Bookman Old Style"/>
          <w:lang w:val="id-ID"/>
        </w:rPr>
        <w:t xml:space="preserve"> </w:t>
      </w:r>
      <w:r w:rsidR="00515C3A" w:rsidRPr="00040874">
        <w:rPr>
          <w:rFonts w:ascii="Bookman Old Style" w:hAnsi="Bookman Old Style"/>
          <w:lang w:val="id-ID"/>
        </w:rPr>
        <w:t>dan</w:t>
      </w:r>
      <w:r w:rsidR="00A954D0">
        <w:rPr>
          <w:rFonts w:ascii="Bookman Old Style" w:hAnsi="Bookman Old Style"/>
          <w:lang w:val="id-ID"/>
        </w:rPr>
        <w:t xml:space="preserve"> </w:t>
      </w:r>
      <w:r w:rsidR="00515C3A" w:rsidRPr="00040874">
        <w:rPr>
          <w:rFonts w:ascii="Bookman Old Style" w:hAnsi="Bookman Old Style"/>
          <w:lang w:val="id-ID"/>
        </w:rPr>
        <w:t>laboratorium</w:t>
      </w:r>
      <w:r w:rsidR="00A954D0">
        <w:rPr>
          <w:rFonts w:ascii="Bookman Old Style" w:hAnsi="Bookman Old Style"/>
          <w:lang w:val="id-ID"/>
        </w:rPr>
        <w:t xml:space="preserve"> </w:t>
      </w:r>
      <w:r w:rsidR="00515C3A" w:rsidRPr="00040874">
        <w:rPr>
          <w:rFonts w:ascii="Bookman Old Style" w:hAnsi="Bookman Old Style"/>
          <w:lang w:val="id-ID"/>
        </w:rPr>
        <w:t>tersebut</w:t>
      </w:r>
      <w:r w:rsidR="00A954D0">
        <w:rPr>
          <w:rFonts w:ascii="Bookman Old Style" w:hAnsi="Bookman Old Style"/>
          <w:lang w:val="id-ID"/>
        </w:rPr>
        <w:t xml:space="preserve"> </w:t>
      </w:r>
      <w:r w:rsidR="00515C3A" w:rsidRPr="00040874">
        <w:rPr>
          <w:rFonts w:ascii="Bookman Old Style" w:hAnsi="Bookman Old Style"/>
          <w:lang w:val="id-ID"/>
        </w:rPr>
        <w:t>dengan</w:t>
      </w:r>
      <w:r w:rsidR="00A954D0">
        <w:rPr>
          <w:rFonts w:ascii="Bookman Old Style" w:hAnsi="Bookman Old Style"/>
          <w:lang w:val="id-ID"/>
        </w:rPr>
        <w:t xml:space="preserve"> </w:t>
      </w:r>
      <w:r w:rsidR="00515C3A" w:rsidRPr="00040874">
        <w:rPr>
          <w:rFonts w:ascii="Bookman Old Style" w:hAnsi="Bookman Old Style"/>
          <w:lang w:val="id-ID"/>
        </w:rPr>
        <w:t>harga</w:t>
      </w:r>
      <w:r w:rsidR="00A954D0">
        <w:rPr>
          <w:rFonts w:ascii="Bookman Old Style" w:hAnsi="Bookman Old Style"/>
          <w:lang w:val="id-ID"/>
        </w:rPr>
        <w:t xml:space="preserve"> </w:t>
      </w:r>
      <w:r w:rsidR="00515C3A" w:rsidRPr="00040874">
        <w:rPr>
          <w:rFonts w:ascii="Bookman Old Style" w:hAnsi="Bookman Old Style"/>
          <w:lang w:val="id-ID"/>
        </w:rPr>
        <w:t>yang</w:t>
      </w:r>
      <w:r w:rsidR="00A954D0">
        <w:rPr>
          <w:rFonts w:ascii="Bookman Old Style" w:hAnsi="Bookman Old Style"/>
          <w:lang w:val="id-ID"/>
        </w:rPr>
        <w:t xml:space="preserve"> </w:t>
      </w:r>
      <w:r w:rsidR="00515C3A" w:rsidRPr="00040874">
        <w:rPr>
          <w:rFonts w:ascii="Bookman Old Style" w:hAnsi="Bookman Old Style"/>
          <w:lang w:val="id-ID"/>
        </w:rPr>
        <w:t>kompetitif</w:t>
      </w:r>
      <w:r w:rsidR="00A954D0">
        <w:rPr>
          <w:rFonts w:ascii="Bookman Old Style" w:hAnsi="Bookman Old Style"/>
          <w:lang w:val="id-ID"/>
        </w:rPr>
        <w:t xml:space="preserve"> </w:t>
      </w:r>
      <w:r w:rsidR="00515C3A" w:rsidRPr="00040874">
        <w:rPr>
          <w:rFonts w:ascii="Bookman Old Style" w:hAnsi="Bookman Old Style"/>
          <w:lang w:val="id-ID"/>
        </w:rPr>
        <w:t>dalam</w:t>
      </w:r>
      <w:r w:rsidR="00A954D0">
        <w:rPr>
          <w:rFonts w:ascii="Bookman Old Style" w:hAnsi="Bookman Old Style"/>
          <w:lang w:val="id-ID"/>
        </w:rPr>
        <w:t xml:space="preserve"> </w:t>
      </w:r>
      <w:r w:rsidR="00515C3A" w:rsidRPr="00040874">
        <w:rPr>
          <w:rFonts w:ascii="Bookman Old Style" w:hAnsi="Bookman Old Style"/>
          <w:lang w:val="id-ID"/>
        </w:rPr>
        <w:t>rangka</w:t>
      </w:r>
      <w:r w:rsidR="00A954D0">
        <w:rPr>
          <w:rFonts w:ascii="Bookman Old Style" w:hAnsi="Bookman Old Style"/>
          <w:lang w:val="id-ID"/>
        </w:rPr>
        <w:t xml:space="preserve"> </w:t>
      </w:r>
      <w:r w:rsidR="00515C3A" w:rsidRPr="00040874">
        <w:rPr>
          <w:rFonts w:ascii="Bookman Old Style" w:hAnsi="Bookman Old Style"/>
          <w:lang w:val="id-ID"/>
        </w:rPr>
        <w:t>meningkatkan</w:t>
      </w:r>
      <w:r w:rsidR="00A954D0">
        <w:rPr>
          <w:rFonts w:ascii="Bookman Old Style" w:hAnsi="Bookman Old Style"/>
          <w:lang w:val="id-ID"/>
        </w:rPr>
        <w:t xml:space="preserve"> </w:t>
      </w:r>
      <w:r w:rsidR="00515C3A" w:rsidRPr="00040874">
        <w:rPr>
          <w:rFonts w:ascii="Bookman Old Style" w:hAnsi="Bookman Old Style"/>
          <w:lang w:val="id-ID"/>
        </w:rPr>
        <w:t>pelayanan</w:t>
      </w:r>
      <w:r w:rsidR="00A954D0">
        <w:rPr>
          <w:rFonts w:ascii="Bookman Old Style" w:hAnsi="Bookman Old Style"/>
          <w:lang w:val="id-ID"/>
        </w:rPr>
        <w:t xml:space="preserve"> </w:t>
      </w:r>
      <w:r w:rsidR="00515C3A" w:rsidRPr="00040874">
        <w:rPr>
          <w:rFonts w:ascii="Bookman Old Style" w:hAnsi="Bookman Old Style"/>
          <w:lang w:val="id-ID"/>
        </w:rPr>
        <w:t>kepada</w:t>
      </w:r>
      <w:r w:rsidR="00A954D0">
        <w:rPr>
          <w:rFonts w:ascii="Bookman Old Style" w:hAnsi="Bookman Old Style"/>
          <w:lang w:val="id-ID"/>
        </w:rPr>
        <w:t xml:space="preserve"> </w:t>
      </w:r>
      <w:r w:rsidR="00515C3A" w:rsidRPr="00786D14">
        <w:rPr>
          <w:rFonts w:ascii="Bookman Old Style" w:hAnsi="Bookman Old Style"/>
          <w:lang w:val="id-ID"/>
        </w:rPr>
        <w:t>masyarakat,</w:t>
      </w:r>
      <w:r w:rsidR="00A954D0">
        <w:rPr>
          <w:rFonts w:ascii="Bookman Old Style" w:hAnsi="Bookman Old Style"/>
          <w:lang w:val="id-ID"/>
        </w:rPr>
        <w:t xml:space="preserve"> </w:t>
      </w:r>
      <w:r w:rsidR="00515C3A" w:rsidRPr="00786D14">
        <w:rPr>
          <w:rFonts w:ascii="Bookman Old Style" w:hAnsi="Bookman Old Style"/>
          <w:lang w:val="id-ID"/>
        </w:rPr>
        <w:t>sekaligus</w:t>
      </w:r>
      <w:r w:rsidR="00A954D0">
        <w:rPr>
          <w:rFonts w:ascii="Bookman Old Style" w:hAnsi="Bookman Old Style"/>
          <w:lang w:val="id-ID"/>
        </w:rPr>
        <w:t xml:space="preserve"> </w:t>
      </w:r>
      <w:r w:rsidR="00515C3A" w:rsidRPr="00786D14">
        <w:rPr>
          <w:rFonts w:ascii="Bookman Old Style" w:hAnsi="Bookman Old Style"/>
          <w:lang w:val="id-ID"/>
        </w:rPr>
        <w:t>tersedianya</w:t>
      </w:r>
      <w:r w:rsidR="00A954D0">
        <w:rPr>
          <w:rFonts w:ascii="Bookman Old Style" w:hAnsi="Bookman Old Style"/>
          <w:lang w:val="id-ID"/>
        </w:rPr>
        <w:t xml:space="preserve"> </w:t>
      </w:r>
      <w:r w:rsidR="00515C3A" w:rsidRPr="00786D14">
        <w:rPr>
          <w:rFonts w:ascii="Bookman Old Style" w:hAnsi="Bookman Old Style"/>
          <w:lang w:val="id-ID"/>
        </w:rPr>
        <w:t>pelayanan</w:t>
      </w:r>
      <w:r w:rsidR="00A954D0">
        <w:rPr>
          <w:rFonts w:ascii="Bookman Old Style" w:hAnsi="Bookman Old Style"/>
          <w:lang w:val="id-ID"/>
        </w:rPr>
        <w:t xml:space="preserve"> </w:t>
      </w:r>
      <w:r w:rsidR="00515C3A" w:rsidRPr="00786D14">
        <w:rPr>
          <w:rFonts w:ascii="Bookman Old Style" w:hAnsi="Bookman Old Style"/>
          <w:lang w:val="id-ID"/>
        </w:rPr>
        <w:t>purna</w:t>
      </w:r>
      <w:r w:rsidR="00A954D0">
        <w:rPr>
          <w:rFonts w:ascii="Bookman Old Style" w:hAnsi="Bookman Old Style"/>
          <w:lang w:val="id-ID"/>
        </w:rPr>
        <w:t xml:space="preserve"> </w:t>
      </w:r>
      <w:r w:rsidR="00515C3A" w:rsidRPr="00786D14">
        <w:rPr>
          <w:rFonts w:ascii="Bookman Old Style" w:hAnsi="Bookman Old Style"/>
          <w:lang w:val="id-ID"/>
        </w:rPr>
        <w:t>jual</w:t>
      </w:r>
      <w:r w:rsidR="00A954D0">
        <w:rPr>
          <w:rFonts w:ascii="Bookman Old Style" w:hAnsi="Bookman Old Style"/>
          <w:lang w:val="id-ID"/>
        </w:rPr>
        <w:t xml:space="preserve"> </w:t>
      </w:r>
      <w:r w:rsidR="00515C3A" w:rsidRPr="00786D14">
        <w:rPr>
          <w:rFonts w:ascii="Bookman Old Style" w:hAnsi="Bookman Old Style"/>
          <w:lang w:val="id-ID"/>
        </w:rPr>
        <w:t>untuk</w:t>
      </w:r>
      <w:r w:rsidR="00A954D0">
        <w:rPr>
          <w:rFonts w:ascii="Bookman Old Style" w:hAnsi="Bookman Old Style"/>
          <w:lang w:val="id-ID"/>
        </w:rPr>
        <w:t xml:space="preserve"> </w:t>
      </w:r>
      <w:r w:rsidR="00515C3A" w:rsidRPr="00786D14">
        <w:rPr>
          <w:rFonts w:ascii="Bookman Old Style" w:hAnsi="Bookman Old Style"/>
          <w:lang w:val="id-ID"/>
        </w:rPr>
        <w:t>keberlangsungan</w:t>
      </w:r>
      <w:r w:rsidR="00A954D0">
        <w:rPr>
          <w:rFonts w:ascii="Bookman Old Style" w:hAnsi="Bookman Old Style"/>
          <w:lang w:val="id-ID"/>
        </w:rPr>
        <w:t xml:space="preserve"> </w:t>
      </w:r>
      <w:r w:rsidR="00515C3A" w:rsidRPr="00786D14">
        <w:rPr>
          <w:rFonts w:ascii="Bookman Old Style" w:hAnsi="Bookman Old Style"/>
          <w:lang w:val="id-ID"/>
        </w:rPr>
        <w:t>operasional</w:t>
      </w:r>
      <w:r w:rsidR="00A954D0">
        <w:rPr>
          <w:rFonts w:ascii="Bookman Old Style" w:hAnsi="Bookman Old Style"/>
          <w:lang w:val="id-ID"/>
        </w:rPr>
        <w:t xml:space="preserve"> </w:t>
      </w:r>
      <w:r w:rsidR="00515C3A" w:rsidRPr="00786D14">
        <w:rPr>
          <w:rFonts w:ascii="Bookman Old Style" w:hAnsi="Bookman Old Style"/>
          <w:lang w:val="id-ID"/>
        </w:rPr>
        <w:t>peralatan</w:t>
      </w:r>
      <w:r w:rsidR="00A954D0">
        <w:rPr>
          <w:rFonts w:ascii="Bookman Old Style" w:hAnsi="Bookman Old Style"/>
          <w:lang w:val="id-ID"/>
        </w:rPr>
        <w:t xml:space="preserve"> </w:t>
      </w:r>
      <w:r w:rsidR="00515C3A" w:rsidRPr="00786D14">
        <w:rPr>
          <w:rFonts w:ascii="Bookman Old Style" w:hAnsi="Bookman Old Style"/>
          <w:lang w:val="id-ID"/>
        </w:rPr>
        <w:t>dimaksud</w:t>
      </w:r>
      <w:r w:rsidR="00A954D0">
        <w:rPr>
          <w:rFonts w:ascii="Bookman Old Style" w:hAnsi="Bookman Old Style"/>
          <w:lang w:val="id-ID"/>
        </w:rPr>
        <w:t xml:space="preserve"> </w:t>
      </w:r>
      <w:r w:rsidR="00515C3A" w:rsidRPr="00786D14">
        <w:rPr>
          <w:rFonts w:ascii="Bookman Old Style" w:hAnsi="Bookman Old Style"/>
          <w:lang w:val="id-ID"/>
        </w:rPr>
        <w:t>dan</w:t>
      </w:r>
      <w:r w:rsidR="00A954D0">
        <w:rPr>
          <w:rFonts w:ascii="Bookman Old Style" w:hAnsi="Bookman Old Style"/>
          <w:lang w:val="id-ID"/>
        </w:rPr>
        <w:t xml:space="preserve"> </w:t>
      </w:r>
      <w:r w:rsidR="00515C3A" w:rsidRPr="00786D14">
        <w:rPr>
          <w:rFonts w:ascii="Bookman Old Style" w:hAnsi="Bookman Old Style"/>
          <w:lang w:val="id-ID"/>
        </w:rPr>
        <w:t>kepastian</w:t>
      </w:r>
      <w:r w:rsidR="00A954D0">
        <w:rPr>
          <w:rFonts w:ascii="Bookman Old Style" w:hAnsi="Bookman Old Style"/>
          <w:lang w:val="id-ID"/>
        </w:rPr>
        <w:t xml:space="preserve"> </w:t>
      </w:r>
      <w:r w:rsidR="00515C3A" w:rsidRPr="00786D14">
        <w:rPr>
          <w:rFonts w:ascii="Bookman Old Style" w:hAnsi="Bookman Old Style"/>
          <w:lang w:val="id-ID"/>
        </w:rPr>
        <w:t>dalam</w:t>
      </w:r>
      <w:r w:rsidR="00A954D0">
        <w:rPr>
          <w:rFonts w:ascii="Bookman Old Style" w:hAnsi="Bookman Old Style"/>
          <w:lang w:val="id-ID"/>
        </w:rPr>
        <w:t xml:space="preserve"> </w:t>
      </w:r>
      <w:r w:rsidR="00515C3A" w:rsidRPr="00786D14">
        <w:rPr>
          <w:rFonts w:ascii="Bookman Old Style" w:hAnsi="Bookman Old Style"/>
          <w:lang w:val="id-ID"/>
        </w:rPr>
        <w:t>pelayanan</w:t>
      </w:r>
      <w:r w:rsidR="00A954D0">
        <w:rPr>
          <w:rFonts w:ascii="Bookman Old Style" w:hAnsi="Bookman Old Style"/>
          <w:lang w:val="id-ID"/>
        </w:rPr>
        <w:t xml:space="preserve"> </w:t>
      </w:r>
      <w:r w:rsidR="00515C3A" w:rsidRPr="00786D14">
        <w:rPr>
          <w:rFonts w:ascii="Bookman Old Style" w:hAnsi="Bookman Old Style"/>
          <w:lang w:val="id-ID"/>
        </w:rPr>
        <w:t>kepada</w:t>
      </w:r>
      <w:r w:rsidR="00A954D0">
        <w:rPr>
          <w:rFonts w:ascii="Bookman Old Style" w:hAnsi="Bookman Old Style"/>
          <w:lang w:val="id-ID"/>
        </w:rPr>
        <w:t xml:space="preserve"> </w:t>
      </w:r>
      <w:r w:rsidR="00515C3A" w:rsidRPr="00786D14">
        <w:rPr>
          <w:rFonts w:ascii="Bookman Old Style" w:hAnsi="Bookman Old Style"/>
          <w:lang w:val="id-ID"/>
        </w:rPr>
        <w:t>masyarakat.</w:t>
      </w:r>
    </w:p>
    <w:p w14:paraId="5828201F" w14:textId="66D63A77" w:rsidR="003B7FE4" w:rsidRPr="00786D14" w:rsidRDefault="003B7FE4" w:rsidP="00154790">
      <w:pPr>
        <w:pStyle w:val="ListParagraph"/>
        <w:numPr>
          <w:ilvl w:val="3"/>
          <w:numId w:val="267"/>
        </w:numPr>
        <w:spacing w:before="120" w:after="120" w:line="276" w:lineRule="auto"/>
        <w:ind w:left="1276" w:hanging="284"/>
        <w:contextualSpacing w:val="0"/>
        <w:jc w:val="both"/>
        <w:rPr>
          <w:rFonts w:ascii="Bookman Old Style" w:hAnsi="Bookman Old Style"/>
          <w:sz w:val="24"/>
          <w:szCs w:val="24"/>
        </w:rPr>
      </w:pPr>
      <w:r w:rsidRPr="00786D14">
        <w:rPr>
          <w:rFonts w:ascii="Bookman Old Style" w:hAnsi="Bookman Old Style"/>
          <w:sz w:val="24"/>
          <w:szCs w:val="24"/>
        </w:rPr>
        <w:t>Belanja</w:t>
      </w:r>
      <w:r w:rsidR="00A954D0">
        <w:rPr>
          <w:rFonts w:ascii="Bookman Old Style" w:hAnsi="Bookman Old Style"/>
          <w:sz w:val="24"/>
          <w:szCs w:val="24"/>
        </w:rPr>
        <w:t xml:space="preserve"> </w:t>
      </w:r>
      <w:r w:rsidRPr="00786D14">
        <w:rPr>
          <w:rFonts w:ascii="Bookman Old Style" w:hAnsi="Bookman Old Style"/>
          <w:sz w:val="24"/>
          <w:szCs w:val="24"/>
        </w:rPr>
        <w:t>Tidak</w:t>
      </w:r>
      <w:r w:rsidR="00A954D0">
        <w:rPr>
          <w:rFonts w:ascii="Bookman Old Style" w:hAnsi="Bookman Old Style"/>
          <w:sz w:val="24"/>
          <w:szCs w:val="24"/>
        </w:rPr>
        <w:t xml:space="preserve"> </w:t>
      </w:r>
      <w:r w:rsidRPr="00786D14">
        <w:rPr>
          <w:rFonts w:ascii="Bookman Old Style" w:hAnsi="Bookman Old Style"/>
          <w:sz w:val="24"/>
          <w:szCs w:val="24"/>
        </w:rPr>
        <w:t>Terduga</w:t>
      </w:r>
      <w:r w:rsidR="00A954D0">
        <w:rPr>
          <w:rFonts w:ascii="Bookman Old Style" w:hAnsi="Bookman Old Style"/>
          <w:sz w:val="24"/>
          <w:szCs w:val="24"/>
        </w:rPr>
        <w:t xml:space="preserve"> </w:t>
      </w:r>
    </w:p>
    <w:p w14:paraId="6E672080" w14:textId="04A067A4" w:rsidR="00515C3A" w:rsidRPr="00786D14" w:rsidRDefault="00515C3A" w:rsidP="00154790">
      <w:pPr>
        <w:pStyle w:val="ListParagraph"/>
        <w:spacing w:before="60" w:line="276" w:lineRule="auto"/>
        <w:ind w:left="1276"/>
        <w:jc w:val="both"/>
        <w:rPr>
          <w:rFonts w:ascii="Bookman Old Style" w:hAnsi="Bookman Old Style"/>
          <w:sz w:val="24"/>
          <w:szCs w:val="24"/>
        </w:rPr>
      </w:pPr>
      <w:r w:rsidRPr="00786D14">
        <w:rPr>
          <w:rFonts w:ascii="Bookman Old Style" w:hAnsi="Bookman Old Style"/>
          <w:sz w:val="24"/>
          <w:szCs w:val="24"/>
        </w:rPr>
        <w:t>Belanja</w:t>
      </w:r>
      <w:r w:rsidR="00A954D0">
        <w:rPr>
          <w:rFonts w:ascii="Bookman Old Style" w:hAnsi="Bookman Old Style"/>
          <w:sz w:val="24"/>
          <w:szCs w:val="24"/>
        </w:rPr>
        <w:t xml:space="preserve"> </w:t>
      </w:r>
      <w:r w:rsidRPr="00786D14">
        <w:rPr>
          <w:rFonts w:ascii="Bookman Old Style" w:hAnsi="Bookman Old Style"/>
          <w:sz w:val="24"/>
          <w:szCs w:val="24"/>
        </w:rPr>
        <w:t>Tidak</w:t>
      </w:r>
      <w:r w:rsidR="00A954D0">
        <w:rPr>
          <w:rFonts w:ascii="Bookman Old Style" w:hAnsi="Bookman Old Style"/>
          <w:sz w:val="24"/>
          <w:szCs w:val="24"/>
        </w:rPr>
        <w:t xml:space="preserve"> </w:t>
      </w:r>
      <w:r w:rsidRPr="00786D14">
        <w:rPr>
          <w:rFonts w:ascii="Bookman Old Style" w:hAnsi="Bookman Old Style"/>
          <w:sz w:val="24"/>
          <w:szCs w:val="24"/>
        </w:rPr>
        <w:t>Terduga</w:t>
      </w:r>
      <w:r w:rsidR="00A954D0">
        <w:rPr>
          <w:rFonts w:ascii="Bookman Old Style" w:hAnsi="Bookman Old Style"/>
          <w:sz w:val="24"/>
          <w:szCs w:val="24"/>
        </w:rPr>
        <w:t xml:space="preserve"> </w:t>
      </w:r>
      <w:r w:rsidRPr="00786D14">
        <w:rPr>
          <w:rFonts w:ascii="Bookman Old Style" w:hAnsi="Bookman Old Style"/>
          <w:sz w:val="24"/>
          <w:szCs w:val="24"/>
        </w:rPr>
        <w:t>merupakan</w:t>
      </w:r>
      <w:r w:rsidR="00A954D0">
        <w:rPr>
          <w:rFonts w:ascii="Bookman Old Style" w:hAnsi="Bookman Old Style"/>
          <w:sz w:val="24"/>
          <w:szCs w:val="24"/>
        </w:rPr>
        <w:t xml:space="preserve"> </w:t>
      </w:r>
      <w:r w:rsidRPr="00786D14">
        <w:rPr>
          <w:rFonts w:ascii="Bookman Old Style" w:hAnsi="Bookman Old Style"/>
          <w:sz w:val="24"/>
          <w:szCs w:val="24"/>
        </w:rPr>
        <w:t>pengeluaran</w:t>
      </w:r>
      <w:r w:rsidR="00A954D0">
        <w:rPr>
          <w:rFonts w:ascii="Bookman Old Style" w:hAnsi="Bookman Old Style"/>
          <w:sz w:val="24"/>
          <w:szCs w:val="24"/>
        </w:rPr>
        <w:t xml:space="preserve"> </w:t>
      </w:r>
      <w:r w:rsidRPr="00786D14">
        <w:rPr>
          <w:rFonts w:ascii="Bookman Old Style" w:hAnsi="Bookman Old Style"/>
          <w:sz w:val="24"/>
          <w:szCs w:val="24"/>
        </w:rPr>
        <w:t>anggaran</w:t>
      </w:r>
      <w:r w:rsidR="00A954D0">
        <w:rPr>
          <w:rFonts w:ascii="Bookman Old Style" w:hAnsi="Bookman Old Style"/>
          <w:sz w:val="24"/>
          <w:szCs w:val="24"/>
        </w:rPr>
        <w:t xml:space="preserve"> </w:t>
      </w:r>
      <w:r w:rsidRPr="00786D14">
        <w:rPr>
          <w:rFonts w:ascii="Bookman Old Style" w:hAnsi="Bookman Old Style"/>
          <w:sz w:val="24"/>
          <w:szCs w:val="24"/>
        </w:rPr>
        <w:t>atas</w:t>
      </w:r>
      <w:r w:rsidR="00A954D0">
        <w:rPr>
          <w:rFonts w:ascii="Bookman Old Style" w:hAnsi="Bookman Old Style"/>
          <w:sz w:val="24"/>
          <w:szCs w:val="24"/>
        </w:rPr>
        <w:t xml:space="preserve"> </w:t>
      </w:r>
      <w:r w:rsidRPr="00786D14">
        <w:rPr>
          <w:rFonts w:ascii="Bookman Old Style" w:hAnsi="Bookman Old Style"/>
          <w:sz w:val="24"/>
          <w:szCs w:val="24"/>
        </w:rPr>
        <w:t>beban</w:t>
      </w:r>
      <w:r w:rsidR="00A954D0">
        <w:rPr>
          <w:rFonts w:ascii="Bookman Old Style" w:hAnsi="Bookman Old Style"/>
          <w:sz w:val="24"/>
          <w:szCs w:val="24"/>
        </w:rPr>
        <w:t xml:space="preserve"> </w:t>
      </w:r>
      <w:r w:rsidRPr="00786D14">
        <w:rPr>
          <w:rFonts w:ascii="Bookman Old Style" w:hAnsi="Bookman Old Style"/>
          <w:sz w:val="24"/>
          <w:szCs w:val="24"/>
        </w:rPr>
        <w:t>APBD</w:t>
      </w:r>
      <w:r w:rsidR="00A954D0">
        <w:rPr>
          <w:rFonts w:ascii="Bookman Old Style" w:hAnsi="Bookman Old Style"/>
          <w:sz w:val="24"/>
          <w:szCs w:val="24"/>
        </w:rPr>
        <w:t xml:space="preserve"> </w:t>
      </w:r>
      <w:r w:rsidRPr="00786D14">
        <w:rPr>
          <w:rFonts w:ascii="Bookman Old Style" w:hAnsi="Bookman Old Style"/>
          <w:sz w:val="24"/>
          <w:szCs w:val="24"/>
        </w:rPr>
        <w:t>untuk</w:t>
      </w:r>
      <w:r w:rsidR="00A954D0">
        <w:rPr>
          <w:rFonts w:ascii="Bookman Old Style" w:hAnsi="Bookman Old Style"/>
          <w:sz w:val="24"/>
          <w:szCs w:val="24"/>
        </w:rPr>
        <w:t xml:space="preserve"> </w:t>
      </w:r>
      <w:r w:rsidRPr="00786D14">
        <w:rPr>
          <w:rFonts w:ascii="Bookman Old Style" w:hAnsi="Bookman Old Style"/>
          <w:sz w:val="24"/>
          <w:szCs w:val="24"/>
        </w:rPr>
        <w:t>keperluan</w:t>
      </w:r>
      <w:r w:rsidR="00A954D0">
        <w:rPr>
          <w:rFonts w:ascii="Bookman Old Style" w:hAnsi="Bookman Old Style"/>
          <w:sz w:val="24"/>
          <w:szCs w:val="24"/>
        </w:rPr>
        <w:t xml:space="preserve"> </w:t>
      </w:r>
      <w:r w:rsidRPr="00786D14">
        <w:rPr>
          <w:rFonts w:ascii="Bookman Old Style" w:hAnsi="Bookman Old Style"/>
          <w:sz w:val="24"/>
          <w:szCs w:val="24"/>
        </w:rPr>
        <w:t>darurat</w:t>
      </w:r>
      <w:r w:rsidR="00A954D0">
        <w:rPr>
          <w:rFonts w:ascii="Bookman Old Style" w:hAnsi="Bookman Old Style"/>
          <w:sz w:val="24"/>
          <w:szCs w:val="24"/>
        </w:rPr>
        <w:t xml:space="preserve"> </w:t>
      </w:r>
      <w:r w:rsidRPr="00786D14">
        <w:rPr>
          <w:rFonts w:ascii="Bookman Old Style" w:hAnsi="Bookman Old Style"/>
          <w:sz w:val="24"/>
          <w:szCs w:val="24"/>
        </w:rPr>
        <w:t>termasuk</w:t>
      </w:r>
      <w:r w:rsidR="00A954D0">
        <w:rPr>
          <w:rFonts w:ascii="Bookman Old Style" w:hAnsi="Bookman Old Style"/>
          <w:sz w:val="24"/>
          <w:szCs w:val="24"/>
        </w:rPr>
        <w:t xml:space="preserve"> </w:t>
      </w:r>
      <w:r w:rsidRPr="00786D14">
        <w:rPr>
          <w:rFonts w:ascii="Bookman Old Style" w:hAnsi="Bookman Old Style"/>
          <w:sz w:val="24"/>
          <w:szCs w:val="24"/>
        </w:rPr>
        <w:t>keperluan</w:t>
      </w:r>
      <w:r w:rsidR="00A954D0">
        <w:rPr>
          <w:rFonts w:ascii="Bookman Old Style" w:hAnsi="Bookman Old Style"/>
          <w:sz w:val="24"/>
          <w:szCs w:val="24"/>
        </w:rPr>
        <w:t xml:space="preserve"> </w:t>
      </w:r>
      <w:r w:rsidRPr="00786D14">
        <w:rPr>
          <w:rFonts w:ascii="Bookman Old Style" w:hAnsi="Bookman Old Style"/>
          <w:sz w:val="24"/>
          <w:szCs w:val="24"/>
        </w:rPr>
        <w:t>mendesak</w:t>
      </w:r>
      <w:r w:rsidR="00A954D0">
        <w:rPr>
          <w:rFonts w:ascii="Bookman Old Style" w:hAnsi="Bookman Old Style"/>
          <w:sz w:val="24"/>
          <w:szCs w:val="24"/>
        </w:rPr>
        <w:t xml:space="preserve"> </w:t>
      </w:r>
      <w:r w:rsidRPr="00786D14">
        <w:rPr>
          <w:rFonts w:ascii="Bookman Old Style" w:hAnsi="Bookman Old Style"/>
          <w:sz w:val="24"/>
          <w:szCs w:val="24"/>
        </w:rPr>
        <w:t>serta</w:t>
      </w:r>
      <w:r w:rsidR="00A954D0">
        <w:rPr>
          <w:rFonts w:ascii="Bookman Old Style" w:hAnsi="Bookman Old Style"/>
          <w:sz w:val="24"/>
          <w:szCs w:val="24"/>
        </w:rPr>
        <w:t xml:space="preserve"> </w:t>
      </w:r>
      <w:r w:rsidRPr="00786D14">
        <w:rPr>
          <w:rFonts w:ascii="Bookman Old Style" w:hAnsi="Bookman Old Style"/>
          <w:sz w:val="24"/>
          <w:szCs w:val="24"/>
        </w:rPr>
        <w:t>pengembalian</w:t>
      </w:r>
      <w:r w:rsidR="00A954D0">
        <w:rPr>
          <w:rFonts w:ascii="Bookman Old Style" w:hAnsi="Bookman Old Style"/>
          <w:sz w:val="24"/>
          <w:szCs w:val="24"/>
        </w:rPr>
        <w:t xml:space="preserve"> </w:t>
      </w:r>
      <w:r w:rsidRPr="00786D14">
        <w:rPr>
          <w:rFonts w:ascii="Bookman Old Style" w:hAnsi="Bookman Old Style"/>
          <w:sz w:val="24"/>
          <w:szCs w:val="24"/>
        </w:rPr>
        <w:t>atas</w:t>
      </w:r>
      <w:r w:rsidR="00A954D0">
        <w:rPr>
          <w:rFonts w:ascii="Bookman Old Style" w:hAnsi="Bookman Old Style"/>
          <w:sz w:val="24"/>
          <w:szCs w:val="24"/>
        </w:rPr>
        <w:t xml:space="preserve"> </w:t>
      </w:r>
      <w:r w:rsidRPr="00786D14">
        <w:rPr>
          <w:rFonts w:ascii="Bookman Old Style" w:hAnsi="Bookman Old Style"/>
          <w:sz w:val="24"/>
          <w:szCs w:val="24"/>
        </w:rPr>
        <w:t>kelebihan</w:t>
      </w:r>
      <w:r w:rsidR="00A954D0">
        <w:rPr>
          <w:rFonts w:ascii="Bookman Old Style" w:hAnsi="Bookman Old Style"/>
          <w:sz w:val="24"/>
          <w:szCs w:val="24"/>
        </w:rPr>
        <w:t xml:space="preserve"> </w:t>
      </w:r>
      <w:r w:rsidRPr="00786D14">
        <w:rPr>
          <w:rFonts w:ascii="Bookman Old Style" w:hAnsi="Bookman Old Style"/>
          <w:sz w:val="24"/>
          <w:szCs w:val="24"/>
        </w:rPr>
        <w:t>pembayaran</w:t>
      </w:r>
      <w:r w:rsidR="00A954D0">
        <w:rPr>
          <w:rFonts w:ascii="Bookman Old Style" w:hAnsi="Bookman Old Style"/>
          <w:sz w:val="24"/>
          <w:szCs w:val="24"/>
        </w:rPr>
        <w:t xml:space="preserve"> </w:t>
      </w:r>
      <w:r w:rsidRPr="00786D14">
        <w:rPr>
          <w:rFonts w:ascii="Bookman Old Style" w:hAnsi="Bookman Old Style"/>
          <w:sz w:val="24"/>
          <w:szCs w:val="24"/>
        </w:rPr>
        <w:t>atas</w:t>
      </w:r>
      <w:r w:rsidR="00A954D0">
        <w:rPr>
          <w:rFonts w:ascii="Bookman Old Style" w:hAnsi="Bookman Old Style"/>
          <w:sz w:val="24"/>
          <w:szCs w:val="24"/>
        </w:rPr>
        <w:t xml:space="preserve"> </w:t>
      </w:r>
      <w:r w:rsidRPr="00786D14">
        <w:rPr>
          <w:rFonts w:ascii="Bookman Old Style" w:hAnsi="Bookman Old Style"/>
          <w:sz w:val="24"/>
          <w:szCs w:val="24"/>
        </w:rPr>
        <w:t>penerimaan</w:t>
      </w:r>
      <w:r w:rsidR="00A954D0">
        <w:rPr>
          <w:rFonts w:ascii="Bookman Old Style" w:hAnsi="Bookman Old Style"/>
          <w:sz w:val="24"/>
          <w:szCs w:val="24"/>
        </w:rPr>
        <w:t xml:space="preserve"> </w:t>
      </w:r>
      <w:r w:rsidRPr="00786D14">
        <w:rPr>
          <w:rFonts w:ascii="Bookman Old Style" w:hAnsi="Bookman Old Style"/>
          <w:sz w:val="24"/>
          <w:szCs w:val="24"/>
        </w:rPr>
        <w:t>daerah</w:t>
      </w:r>
      <w:r w:rsidR="00A954D0">
        <w:rPr>
          <w:rFonts w:ascii="Bookman Old Style" w:hAnsi="Bookman Old Style"/>
          <w:sz w:val="24"/>
          <w:szCs w:val="24"/>
        </w:rPr>
        <w:t xml:space="preserve"> </w:t>
      </w:r>
      <w:r w:rsidRPr="00786D14">
        <w:rPr>
          <w:rFonts w:ascii="Bookman Old Style" w:hAnsi="Bookman Old Style"/>
          <w:sz w:val="24"/>
          <w:szCs w:val="24"/>
        </w:rPr>
        <w:t>tahun-tahun</w:t>
      </w:r>
      <w:r w:rsidR="00A954D0">
        <w:rPr>
          <w:rFonts w:ascii="Bookman Old Style" w:hAnsi="Bookman Old Style"/>
          <w:sz w:val="24"/>
          <w:szCs w:val="24"/>
        </w:rPr>
        <w:t xml:space="preserve"> </w:t>
      </w:r>
      <w:r w:rsidRPr="00786D14">
        <w:rPr>
          <w:rFonts w:ascii="Bookman Old Style" w:hAnsi="Bookman Old Style"/>
          <w:sz w:val="24"/>
          <w:szCs w:val="24"/>
        </w:rPr>
        <w:t>sebelumnya</w:t>
      </w:r>
      <w:r w:rsidR="00A954D0">
        <w:rPr>
          <w:rFonts w:ascii="Bookman Old Style" w:hAnsi="Bookman Old Style"/>
          <w:sz w:val="24"/>
          <w:szCs w:val="24"/>
        </w:rPr>
        <w:t xml:space="preserve"> </w:t>
      </w:r>
      <w:r w:rsidRPr="00786D14">
        <w:rPr>
          <w:rFonts w:ascii="Bookman Old Style" w:hAnsi="Bookman Old Style"/>
          <w:sz w:val="24"/>
          <w:szCs w:val="24"/>
        </w:rPr>
        <w:t>dan</w:t>
      </w:r>
      <w:r w:rsidR="00A954D0">
        <w:rPr>
          <w:rFonts w:ascii="Bookman Old Style" w:hAnsi="Bookman Old Style"/>
          <w:sz w:val="24"/>
          <w:szCs w:val="24"/>
        </w:rPr>
        <w:t xml:space="preserve"> </w:t>
      </w:r>
      <w:r w:rsidRPr="00786D14">
        <w:rPr>
          <w:rFonts w:ascii="Bookman Old Style" w:hAnsi="Bookman Old Style"/>
          <w:sz w:val="24"/>
          <w:szCs w:val="24"/>
        </w:rPr>
        <w:t>bantuan</w:t>
      </w:r>
      <w:r w:rsidR="00A954D0">
        <w:rPr>
          <w:rFonts w:ascii="Bookman Old Style" w:hAnsi="Bookman Old Style"/>
          <w:sz w:val="24"/>
          <w:szCs w:val="24"/>
        </w:rPr>
        <w:t xml:space="preserve"> </w:t>
      </w:r>
      <w:r w:rsidRPr="00786D14">
        <w:rPr>
          <w:rFonts w:ascii="Bookman Old Style" w:hAnsi="Bookman Old Style"/>
          <w:sz w:val="24"/>
          <w:szCs w:val="24"/>
        </w:rPr>
        <w:t>sosial</w:t>
      </w:r>
      <w:r w:rsidR="00A954D0">
        <w:rPr>
          <w:rFonts w:ascii="Bookman Old Style" w:hAnsi="Bookman Old Style"/>
          <w:sz w:val="24"/>
          <w:szCs w:val="24"/>
        </w:rPr>
        <w:t xml:space="preserve"> </w:t>
      </w:r>
      <w:r w:rsidRPr="00786D14">
        <w:rPr>
          <w:rFonts w:ascii="Bookman Old Style" w:hAnsi="Bookman Old Style"/>
          <w:sz w:val="24"/>
          <w:szCs w:val="24"/>
        </w:rPr>
        <w:t>yang</w:t>
      </w:r>
      <w:r w:rsidR="00A954D0">
        <w:rPr>
          <w:rFonts w:ascii="Bookman Old Style" w:hAnsi="Bookman Old Style"/>
          <w:sz w:val="24"/>
          <w:szCs w:val="24"/>
        </w:rPr>
        <w:t xml:space="preserve"> </w:t>
      </w:r>
      <w:r w:rsidRPr="00786D14">
        <w:rPr>
          <w:rFonts w:ascii="Bookman Old Style" w:hAnsi="Bookman Old Style"/>
          <w:sz w:val="24"/>
          <w:szCs w:val="24"/>
        </w:rPr>
        <w:t>tidak</w:t>
      </w:r>
      <w:r w:rsidR="00A954D0">
        <w:rPr>
          <w:rFonts w:ascii="Bookman Old Style" w:hAnsi="Bookman Old Style"/>
          <w:sz w:val="24"/>
          <w:szCs w:val="24"/>
        </w:rPr>
        <w:t xml:space="preserve"> </w:t>
      </w:r>
      <w:r w:rsidRPr="00786D14">
        <w:rPr>
          <w:rFonts w:ascii="Bookman Old Style" w:hAnsi="Bookman Old Style"/>
          <w:sz w:val="24"/>
          <w:szCs w:val="24"/>
        </w:rPr>
        <w:t>dapat</w:t>
      </w:r>
      <w:r w:rsidR="00A954D0">
        <w:rPr>
          <w:rFonts w:ascii="Bookman Old Style" w:hAnsi="Bookman Old Style"/>
          <w:sz w:val="24"/>
          <w:szCs w:val="24"/>
        </w:rPr>
        <w:t xml:space="preserve"> </w:t>
      </w:r>
      <w:r w:rsidRPr="00786D14">
        <w:rPr>
          <w:rFonts w:ascii="Bookman Old Style" w:hAnsi="Bookman Old Style"/>
          <w:sz w:val="24"/>
          <w:szCs w:val="24"/>
        </w:rPr>
        <w:t>direncanakan</w:t>
      </w:r>
      <w:r w:rsidR="00A954D0">
        <w:rPr>
          <w:rFonts w:ascii="Bookman Old Style" w:hAnsi="Bookman Old Style"/>
          <w:sz w:val="24"/>
          <w:szCs w:val="24"/>
        </w:rPr>
        <w:t xml:space="preserve"> </w:t>
      </w:r>
      <w:r w:rsidRPr="00786D14">
        <w:rPr>
          <w:rFonts w:ascii="Bookman Old Style" w:hAnsi="Bookman Old Style"/>
          <w:sz w:val="24"/>
          <w:szCs w:val="24"/>
        </w:rPr>
        <w:t>sebelumnya.</w:t>
      </w:r>
      <w:r w:rsidR="00A954D0">
        <w:rPr>
          <w:rFonts w:ascii="Bookman Old Style" w:hAnsi="Bookman Old Style"/>
          <w:sz w:val="24"/>
          <w:szCs w:val="24"/>
        </w:rPr>
        <w:t xml:space="preserve"> </w:t>
      </w:r>
    </w:p>
    <w:p w14:paraId="3F5026AA" w14:textId="0D560B37" w:rsidR="003B7FE4" w:rsidRPr="00275DD8" w:rsidRDefault="00515C3A" w:rsidP="00154790">
      <w:pPr>
        <w:pStyle w:val="ListParagraph"/>
        <w:spacing w:before="60" w:after="0" w:line="276" w:lineRule="auto"/>
        <w:ind w:left="1276"/>
        <w:contextualSpacing w:val="0"/>
        <w:jc w:val="both"/>
        <w:rPr>
          <w:rFonts w:ascii="Bookman Old Style" w:hAnsi="Bookman Old Style"/>
          <w:color w:val="FF0000"/>
          <w:sz w:val="24"/>
          <w:szCs w:val="24"/>
        </w:rPr>
      </w:pPr>
      <w:r w:rsidRPr="00786D14">
        <w:rPr>
          <w:rFonts w:ascii="Bookman Old Style" w:hAnsi="Bookman Old Style"/>
          <w:sz w:val="24"/>
          <w:szCs w:val="24"/>
        </w:rPr>
        <w:t>Penyediaan</w:t>
      </w:r>
      <w:r w:rsidR="00A954D0">
        <w:rPr>
          <w:rFonts w:ascii="Bookman Old Style" w:hAnsi="Bookman Old Style"/>
          <w:sz w:val="24"/>
          <w:szCs w:val="24"/>
        </w:rPr>
        <w:t xml:space="preserve"> </w:t>
      </w:r>
      <w:r w:rsidRPr="00786D14">
        <w:rPr>
          <w:rFonts w:ascii="Bookman Old Style" w:hAnsi="Bookman Old Style"/>
          <w:sz w:val="24"/>
          <w:szCs w:val="24"/>
        </w:rPr>
        <w:t>anggaran</w:t>
      </w:r>
      <w:r w:rsidR="00A954D0">
        <w:rPr>
          <w:rFonts w:ascii="Bookman Old Style" w:hAnsi="Bookman Old Style"/>
          <w:sz w:val="24"/>
          <w:szCs w:val="24"/>
        </w:rPr>
        <w:t xml:space="preserve"> </w:t>
      </w:r>
      <w:r w:rsidRPr="00786D14">
        <w:rPr>
          <w:rFonts w:ascii="Bookman Old Style" w:hAnsi="Bookman Old Style"/>
          <w:sz w:val="24"/>
          <w:szCs w:val="24"/>
        </w:rPr>
        <w:t>Belanja</w:t>
      </w:r>
      <w:r w:rsidR="00A954D0">
        <w:rPr>
          <w:rFonts w:ascii="Bookman Old Style" w:hAnsi="Bookman Old Style"/>
          <w:sz w:val="24"/>
          <w:szCs w:val="24"/>
        </w:rPr>
        <w:t xml:space="preserve"> </w:t>
      </w:r>
      <w:r w:rsidRPr="00786D14">
        <w:rPr>
          <w:rFonts w:ascii="Bookman Old Style" w:hAnsi="Bookman Old Style"/>
          <w:sz w:val="24"/>
          <w:szCs w:val="24"/>
        </w:rPr>
        <w:t>Tidak</w:t>
      </w:r>
      <w:r w:rsidR="00A954D0">
        <w:rPr>
          <w:rFonts w:ascii="Bookman Old Style" w:hAnsi="Bookman Old Style"/>
          <w:sz w:val="24"/>
          <w:szCs w:val="24"/>
        </w:rPr>
        <w:t xml:space="preserve"> </w:t>
      </w:r>
      <w:r w:rsidRPr="00786D14">
        <w:rPr>
          <w:rFonts w:ascii="Bookman Old Style" w:hAnsi="Bookman Old Style"/>
          <w:sz w:val="24"/>
          <w:szCs w:val="24"/>
        </w:rPr>
        <w:t>Terduga</w:t>
      </w:r>
      <w:r w:rsidR="00A954D0">
        <w:rPr>
          <w:rFonts w:ascii="Bookman Old Style" w:hAnsi="Bookman Old Style"/>
          <w:sz w:val="24"/>
          <w:szCs w:val="24"/>
        </w:rPr>
        <w:t xml:space="preserve"> </w:t>
      </w:r>
      <w:r w:rsidRPr="00786D14">
        <w:rPr>
          <w:rFonts w:ascii="Bookman Old Style" w:hAnsi="Bookman Old Style"/>
          <w:sz w:val="24"/>
          <w:szCs w:val="24"/>
        </w:rPr>
        <w:t>Rp27.814.693.294,00</w:t>
      </w:r>
      <w:r w:rsidR="00A954D0">
        <w:rPr>
          <w:rFonts w:ascii="Bookman Old Style" w:hAnsi="Bookman Old Style"/>
          <w:sz w:val="24"/>
          <w:szCs w:val="24"/>
        </w:rPr>
        <w:t xml:space="preserve"> </w:t>
      </w:r>
      <w:r w:rsidRPr="00786D14">
        <w:rPr>
          <w:rFonts w:ascii="Bookman Old Style" w:hAnsi="Bookman Old Style"/>
          <w:sz w:val="24"/>
          <w:szCs w:val="24"/>
        </w:rPr>
        <w:t>atau</w:t>
      </w:r>
      <w:r w:rsidR="00A954D0">
        <w:rPr>
          <w:rFonts w:ascii="Bookman Old Style" w:hAnsi="Bookman Old Style"/>
          <w:sz w:val="24"/>
          <w:szCs w:val="24"/>
        </w:rPr>
        <w:t xml:space="preserve"> </w:t>
      </w:r>
      <w:r w:rsidRPr="00786D14">
        <w:rPr>
          <w:rFonts w:ascii="Bookman Old Style" w:hAnsi="Bookman Old Style"/>
          <w:sz w:val="24"/>
          <w:szCs w:val="24"/>
        </w:rPr>
        <w:t>0,49%</w:t>
      </w:r>
      <w:r w:rsidR="00A954D0">
        <w:rPr>
          <w:rFonts w:ascii="Bookman Old Style" w:hAnsi="Bookman Old Style"/>
          <w:sz w:val="24"/>
          <w:szCs w:val="24"/>
        </w:rPr>
        <w:t xml:space="preserve"> </w:t>
      </w:r>
      <w:r w:rsidRPr="00786D14">
        <w:rPr>
          <w:rFonts w:ascii="Bookman Old Style" w:hAnsi="Bookman Old Style"/>
          <w:sz w:val="24"/>
          <w:szCs w:val="24"/>
        </w:rPr>
        <w:t>dari</w:t>
      </w:r>
      <w:r w:rsidR="00A954D0">
        <w:rPr>
          <w:rFonts w:ascii="Bookman Old Style" w:hAnsi="Bookman Old Style"/>
          <w:sz w:val="24"/>
          <w:szCs w:val="24"/>
        </w:rPr>
        <w:t xml:space="preserve"> </w:t>
      </w:r>
      <w:r w:rsidRPr="00786D14">
        <w:rPr>
          <w:rFonts w:ascii="Bookman Old Style" w:hAnsi="Bookman Old Style"/>
          <w:sz w:val="24"/>
          <w:szCs w:val="24"/>
        </w:rPr>
        <w:t>total</w:t>
      </w:r>
      <w:r w:rsidR="00A954D0">
        <w:rPr>
          <w:rFonts w:ascii="Bookman Old Style" w:hAnsi="Bookman Old Style"/>
          <w:sz w:val="24"/>
          <w:szCs w:val="24"/>
        </w:rPr>
        <w:t xml:space="preserve"> </w:t>
      </w:r>
      <w:r w:rsidRPr="00786D14">
        <w:rPr>
          <w:rFonts w:ascii="Bookman Old Style" w:hAnsi="Bookman Old Style"/>
          <w:sz w:val="24"/>
          <w:szCs w:val="24"/>
        </w:rPr>
        <w:t>belanja</w:t>
      </w:r>
      <w:r w:rsidR="00A954D0">
        <w:rPr>
          <w:rFonts w:ascii="Bookman Old Style" w:hAnsi="Bookman Old Style"/>
          <w:sz w:val="24"/>
          <w:szCs w:val="24"/>
        </w:rPr>
        <w:t xml:space="preserve"> </w:t>
      </w:r>
      <w:r w:rsidRPr="00786D14">
        <w:rPr>
          <w:rFonts w:ascii="Bookman Old Style" w:hAnsi="Bookman Old Style"/>
          <w:sz w:val="24"/>
          <w:szCs w:val="24"/>
        </w:rPr>
        <w:t>daerah</w:t>
      </w:r>
      <w:r w:rsidR="00A954D0">
        <w:rPr>
          <w:rFonts w:ascii="Bookman Old Style" w:hAnsi="Bookman Old Style"/>
          <w:sz w:val="24"/>
          <w:szCs w:val="24"/>
        </w:rPr>
        <w:t xml:space="preserve"> </w:t>
      </w:r>
      <w:r w:rsidRPr="00786D14">
        <w:rPr>
          <w:rFonts w:ascii="Bookman Old Style" w:hAnsi="Bookman Old Style"/>
          <w:sz w:val="24"/>
          <w:szCs w:val="24"/>
        </w:rPr>
        <w:t>dalam</w:t>
      </w:r>
      <w:r w:rsidR="00A954D0">
        <w:rPr>
          <w:rFonts w:ascii="Bookman Old Style" w:hAnsi="Bookman Old Style"/>
          <w:sz w:val="24"/>
          <w:szCs w:val="24"/>
        </w:rPr>
        <w:t xml:space="preserve"> </w:t>
      </w:r>
      <w:r w:rsidRPr="00786D14">
        <w:rPr>
          <w:rFonts w:ascii="Bookman Old Style" w:hAnsi="Bookman Old Style"/>
          <w:sz w:val="24"/>
          <w:szCs w:val="24"/>
        </w:rPr>
        <w:t>Rancangan</w:t>
      </w:r>
      <w:r w:rsidR="00A954D0">
        <w:rPr>
          <w:rFonts w:ascii="Bookman Old Style" w:hAnsi="Bookman Old Style"/>
          <w:sz w:val="24"/>
          <w:szCs w:val="24"/>
        </w:rPr>
        <w:t xml:space="preserve"> </w:t>
      </w:r>
      <w:r w:rsidRPr="00515C3A">
        <w:rPr>
          <w:rFonts w:ascii="Bookman Old Style" w:hAnsi="Bookman Old Style"/>
          <w:sz w:val="24"/>
          <w:szCs w:val="24"/>
        </w:rPr>
        <w:t>Peraturan</w:t>
      </w:r>
      <w:r w:rsidR="00A954D0">
        <w:rPr>
          <w:rFonts w:ascii="Bookman Old Style" w:hAnsi="Bookman Old Style"/>
          <w:sz w:val="24"/>
          <w:szCs w:val="24"/>
        </w:rPr>
        <w:t xml:space="preserve"> </w:t>
      </w:r>
      <w:r w:rsidRPr="00515C3A">
        <w:rPr>
          <w:rFonts w:ascii="Bookman Old Style" w:hAnsi="Bookman Old Style"/>
          <w:sz w:val="24"/>
          <w:szCs w:val="24"/>
        </w:rPr>
        <w:t>Daerah</w:t>
      </w:r>
      <w:r w:rsidR="00A954D0">
        <w:rPr>
          <w:rFonts w:ascii="Bookman Old Style" w:hAnsi="Bookman Old Style"/>
          <w:sz w:val="24"/>
          <w:szCs w:val="24"/>
        </w:rPr>
        <w:t xml:space="preserve"> </w:t>
      </w:r>
      <w:r w:rsidRPr="00515C3A">
        <w:rPr>
          <w:rFonts w:ascii="Bookman Old Style" w:hAnsi="Bookman Old Style"/>
          <w:sz w:val="24"/>
          <w:szCs w:val="24"/>
        </w:rPr>
        <w:t>Kota</w:t>
      </w:r>
      <w:r w:rsidR="00A954D0">
        <w:rPr>
          <w:rFonts w:ascii="Bookman Old Style" w:hAnsi="Bookman Old Style"/>
          <w:sz w:val="24"/>
          <w:szCs w:val="24"/>
        </w:rPr>
        <w:t xml:space="preserve"> </w:t>
      </w:r>
      <w:r w:rsidRPr="00515C3A">
        <w:rPr>
          <w:rFonts w:ascii="Bookman Old Style" w:hAnsi="Bookman Old Style"/>
          <w:sz w:val="24"/>
          <w:szCs w:val="24"/>
        </w:rPr>
        <w:t>Tangerang</w:t>
      </w:r>
      <w:r w:rsidR="00A954D0">
        <w:rPr>
          <w:rFonts w:ascii="Bookman Old Style" w:hAnsi="Bookman Old Style"/>
          <w:sz w:val="24"/>
          <w:szCs w:val="24"/>
        </w:rPr>
        <w:t xml:space="preserve"> </w:t>
      </w:r>
      <w:r w:rsidRPr="00515C3A">
        <w:rPr>
          <w:rFonts w:ascii="Bookman Old Style" w:hAnsi="Bookman Old Style"/>
          <w:sz w:val="24"/>
          <w:szCs w:val="24"/>
        </w:rPr>
        <w:t>tentang</w:t>
      </w:r>
      <w:r w:rsidR="00A954D0">
        <w:rPr>
          <w:rFonts w:ascii="Bookman Old Style" w:hAnsi="Bookman Old Style"/>
          <w:sz w:val="24"/>
          <w:szCs w:val="24"/>
        </w:rPr>
        <w:t xml:space="preserve"> </w:t>
      </w:r>
      <w:r w:rsidRPr="00515C3A">
        <w:rPr>
          <w:rFonts w:ascii="Bookman Old Style" w:hAnsi="Bookman Old Style"/>
          <w:sz w:val="24"/>
          <w:szCs w:val="24"/>
        </w:rPr>
        <w:t>APBD</w:t>
      </w:r>
      <w:r w:rsidR="00A954D0">
        <w:rPr>
          <w:rFonts w:ascii="Bookman Old Style" w:hAnsi="Bookman Old Style"/>
          <w:sz w:val="24"/>
          <w:szCs w:val="24"/>
        </w:rPr>
        <w:t xml:space="preserve"> </w:t>
      </w:r>
      <w:r w:rsidRPr="00515C3A">
        <w:rPr>
          <w:rFonts w:ascii="Bookman Old Style" w:hAnsi="Bookman Old Style"/>
          <w:sz w:val="24"/>
          <w:szCs w:val="24"/>
        </w:rPr>
        <w:t>Tahun</w:t>
      </w:r>
      <w:r w:rsidR="00A954D0">
        <w:rPr>
          <w:rFonts w:ascii="Bookman Old Style" w:hAnsi="Bookman Old Style"/>
          <w:sz w:val="24"/>
          <w:szCs w:val="24"/>
        </w:rPr>
        <w:t xml:space="preserve"> </w:t>
      </w:r>
      <w:r w:rsidRPr="00515C3A">
        <w:rPr>
          <w:rFonts w:ascii="Bookman Old Style" w:hAnsi="Bookman Old Style"/>
          <w:sz w:val="24"/>
          <w:szCs w:val="24"/>
        </w:rPr>
        <w:t>Anggaran</w:t>
      </w:r>
      <w:r w:rsidR="00A954D0">
        <w:rPr>
          <w:rFonts w:ascii="Bookman Old Style" w:hAnsi="Bookman Old Style"/>
          <w:sz w:val="24"/>
          <w:szCs w:val="24"/>
        </w:rPr>
        <w:t xml:space="preserve"> </w:t>
      </w:r>
      <w:r w:rsidRPr="00515C3A">
        <w:rPr>
          <w:rFonts w:ascii="Bookman Old Style" w:hAnsi="Bookman Old Style"/>
          <w:sz w:val="24"/>
          <w:szCs w:val="24"/>
        </w:rPr>
        <w:t>2025,</w:t>
      </w:r>
      <w:r w:rsidR="00A954D0">
        <w:rPr>
          <w:rFonts w:ascii="Bookman Old Style" w:hAnsi="Bookman Old Style"/>
          <w:sz w:val="24"/>
          <w:szCs w:val="24"/>
        </w:rPr>
        <w:t xml:space="preserve"> </w:t>
      </w:r>
      <w:r w:rsidRPr="00515C3A">
        <w:rPr>
          <w:rFonts w:ascii="Bookman Old Style" w:hAnsi="Bookman Old Style"/>
          <w:sz w:val="24"/>
          <w:szCs w:val="24"/>
        </w:rPr>
        <w:t>dianggarkan</w:t>
      </w:r>
      <w:r w:rsidR="00A954D0">
        <w:rPr>
          <w:rFonts w:ascii="Bookman Old Style" w:hAnsi="Bookman Old Style"/>
          <w:sz w:val="24"/>
          <w:szCs w:val="24"/>
        </w:rPr>
        <w:t xml:space="preserve"> </w:t>
      </w:r>
      <w:r w:rsidRPr="00515C3A">
        <w:rPr>
          <w:rFonts w:ascii="Bookman Old Style" w:hAnsi="Bookman Old Style"/>
          <w:sz w:val="24"/>
          <w:szCs w:val="24"/>
        </w:rPr>
        <w:t>dalam</w:t>
      </w:r>
      <w:r w:rsidR="00A954D0">
        <w:rPr>
          <w:rFonts w:ascii="Bookman Old Style" w:hAnsi="Bookman Old Style"/>
          <w:sz w:val="24"/>
          <w:szCs w:val="24"/>
        </w:rPr>
        <w:t xml:space="preserve"> </w:t>
      </w:r>
      <w:r w:rsidRPr="00515C3A">
        <w:rPr>
          <w:rFonts w:ascii="Bookman Old Style" w:hAnsi="Bookman Old Style"/>
          <w:sz w:val="24"/>
          <w:szCs w:val="24"/>
        </w:rPr>
        <w:t>Rancangan</w:t>
      </w:r>
      <w:r w:rsidR="00A954D0">
        <w:rPr>
          <w:rFonts w:ascii="Bookman Old Style" w:hAnsi="Bookman Old Style"/>
          <w:sz w:val="24"/>
          <w:szCs w:val="24"/>
        </w:rPr>
        <w:t xml:space="preserve"> </w:t>
      </w:r>
      <w:r w:rsidRPr="00515C3A">
        <w:rPr>
          <w:rFonts w:ascii="Bookman Old Style" w:hAnsi="Bookman Old Style"/>
          <w:sz w:val="24"/>
          <w:szCs w:val="24"/>
        </w:rPr>
        <w:t>Peraturan</w:t>
      </w:r>
      <w:r w:rsidR="00A954D0">
        <w:rPr>
          <w:rFonts w:ascii="Bookman Old Style" w:hAnsi="Bookman Old Style"/>
          <w:sz w:val="24"/>
          <w:szCs w:val="24"/>
        </w:rPr>
        <w:t xml:space="preserve"> </w:t>
      </w:r>
      <w:r w:rsidRPr="00515C3A">
        <w:rPr>
          <w:rFonts w:ascii="Bookman Old Style" w:hAnsi="Bookman Old Style"/>
          <w:sz w:val="24"/>
          <w:szCs w:val="24"/>
        </w:rPr>
        <w:t>Daerah</w:t>
      </w:r>
      <w:r w:rsidR="00A954D0">
        <w:rPr>
          <w:rFonts w:ascii="Bookman Old Style" w:hAnsi="Bookman Old Style"/>
          <w:sz w:val="24"/>
          <w:szCs w:val="24"/>
        </w:rPr>
        <w:t xml:space="preserve"> </w:t>
      </w:r>
      <w:r w:rsidRPr="00515C3A">
        <w:rPr>
          <w:rFonts w:ascii="Bookman Old Style" w:hAnsi="Bookman Old Style"/>
          <w:sz w:val="24"/>
          <w:szCs w:val="24"/>
        </w:rPr>
        <w:t>Kota</w:t>
      </w:r>
      <w:r w:rsidR="00A954D0">
        <w:rPr>
          <w:rFonts w:ascii="Bookman Old Style" w:hAnsi="Bookman Old Style"/>
          <w:sz w:val="24"/>
          <w:szCs w:val="24"/>
        </w:rPr>
        <w:t xml:space="preserve"> </w:t>
      </w:r>
      <w:r w:rsidRPr="00515C3A">
        <w:rPr>
          <w:rFonts w:ascii="Bookman Old Style" w:hAnsi="Bookman Old Style"/>
          <w:sz w:val="24"/>
          <w:szCs w:val="24"/>
        </w:rPr>
        <w:t>Tangerang</w:t>
      </w:r>
      <w:r w:rsidR="00A954D0">
        <w:rPr>
          <w:rFonts w:ascii="Bookman Old Style" w:hAnsi="Bookman Old Style"/>
          <w:sz w:val="24"/>
          <w:szCs w:val="24"/>
        </w:rPr>
        <w:t xml:space="preserve"> </w:t>
      </w:r>
      <w:r w:rsidRPr="00515C3A">
        <w:rPr>
          <w:rFonts w:ascii="Bookman Old Style" w:hAnsi="Bookman Old Style"/>
          <w:sz w:val="24"/>
          <w:szCs w:val="24"/>
        </w:rPr>
        <w:t>tentang</w:t>
      </w:r>
      <w:r w:rsidR="00A954D0">
        <w:rPr>
          <w:rFonts w:ascii="Bookman Old Style" w:hAnsi="Bookman Old Style"/>
          <w:sz w:val="24"/>
          <w:szCs w:val="24"/>
        </w:rPr>
        <w:t xml:space="preserve"> </w:t>
      </w:r>
      <w:r w:rsidRPr="00515C3A">
        <w:rPr>
          <w:rFonts w:ascii="Bookman Old Style" w:hAnsi="Bookman Old Style"/>
          <w:sz w:val="24"/>
          <w:szCs w:val="24"/>
        </w:rPr>
        <w:t>APBD</w:t>
      </w:r>
      <w:r w:rsidR="00A954D0">
        <w:rPr>
          <w:rFonts w:ascii="Bookman Old Style" w:hAnsi="Bookman Old Style"/>
          <w:sz w:val="24"/>
          <w:szCs w:val="24"/>
        </w:rPr>
        <w:t xml:space="preserve"> </w:t>
      </w:r>
      <w:r w:rsidRPr="00515C3A">
        <w:rPr>
          <w:rFonts w:ascii="Bookman Old Style" w:hAnsi="Bookman Old Style"/>
          <w:sz w:val="24"/>
          <w:szCs w:val="24"/>
        </w:rPr>
        <w:t>Tahun</w:t>
      </w:r>
      <w:r w:rsidR="00A954D0">
        <w:rPr>
          <w:rFonts w:ascii="Bookman Old Style" w:hAnsi="Bookman Old Style"/>
          <w:sz w:val="24"/>
          <w:szCs w:val="24"/>
        </w:rPr>
        <w:t xml:space="preserve"> </w:t>
      </w:r>
      <w:r w:rsidRPr="00515C3A">
        <w:rPr>
          <w:rFonts w:ascii="Bookman Old Style" w:hAnsi="Bookman Old Style"/>
          <w:sz w:val="24"/>
          <w:szCs w:val="24"/>
        </w:rPr>
        <w:t>Anggaran</w:t>
      </w:r>
      <w:r w:rsidR="00A954D0">
        <w:rPr>
          <w:rFonts w:ascii="Bookman Old Style" w:hAnsi="Bookman Old Style"/>
          <w:sz w:val="24"/>
          <w:szCs w:val="24"/>
        </w:rPr>
        <w:t xml:space="preserve"> </w:t>
      </w:r>
      <w:r w:rsidRPr="00515C3A">
        <w:rPr>
          <w:rFonts w:ascii="Bookman Old Style" w:hAnsi="Bookman Old Style"/>
          <w:sz w:val="24"/>
          <w:szCs w:val="24"/>
        </w:rPr>
        <w:t>2025</w:t>
      </w:r>
      <w:r w:rsidR="00A954D0">
        <w:rPr>
          <w:rFonts w:ascii="Bookman Old Style" w:hAnsi="Bookman Old Style"/>
          <w:sz w:val="24"/>
          <w:szCs w:val="24"/>
        </w:rPr>
        <w:t xml:space="preserve"> </w:t>
      </w:r>
      <w:r w:rsidRPr="00515C3A">
        <w:rPr>
          <w:rFonts w:ascii="Bookman Old Style" w:hAnsi="Bookman Old Style"/>
          <w:sz w:val="24"/>
          <w:szCs w:val="24"/>
        </w:rPr>
        <w:t>secara</w:t>
      </w:r>
      <w:r w:rsidR="00A954D0">
        <w:rPr>
          <w:rFonts w:ascii="Bookman Old Style" w:hAnsi="Bookman Old Style"/>
          <w:sz w:val="24"/>
          <w:szCs w:val="24"/>
        </w:rPr>
        <w:t xml:space="preserve"> </w:t>
      </w:r>
      <w:r w:rsidRPr="00515C3A">
        <w:rPr>
          <w:rFonts w:ascii="Bookman Old Style" w:hAnsi="Bookman Old Style"/>
          <w:sz w:val="24"/>
          <w:szCs w:val="24"/>
        </w:rPr>
        <w:t>memadai</w:t>
      </w:r>
      <w:r w:rsidR="00A954D0">
        <w:rPr>
          <w:rFonts w:ascii="Bookman Old Style" w:hAnsi="Bookman Old Style"/>
          <w:sz w:val="24"/>
          <w:szCs w:val="24"/>
        </w:rPr>
        <w:t xml:space="preserve"> </w:t>
      </w:r>
      <w:r w:rsidRPr="00515C3A">
        <w:rPr>
          <w:rFonts w:ascii="Bookman Old Style" w:hAnsi="Bookman Old Style"/>
          <w:sz w:val="24"/>
          <w:szCs w:val="24"/>
        </w:rPr>
        <w:t>yang</w:t>
      </w:r>
      <w:r w:rsidR="00A954D0">
        <w:rPr>
          <w:rFonts w:ascii="Bookman Old Style" w:hAnsi="Bookman Old Style"/>
          <w:sz w:val="24"/>
          <w:szCs w:val="24"/>
        </w:rPr>
        <w:t xml:space="preserve"> </w:t>
      </w:r>
      <w:r w:rsidRPr="00515C3A">
        <w:rPr>
          <w:rFonts w:ascii="Bookman Old Style" w:hAnsi="Bookman Old Style"/>
          <w:sz w:val="24"/>
          <w:szCs w:val="24"/>
        </w:rPr>
        <w:t>dihitung</w:t>
      </w:r>
      <w:r w:rsidR="00A954D0">
        <w:rPr>
          <w:rFonts w:ascii="Bookman Old Style" w:hAnsi="Bookman Old Style"/>
          <w:sz w:val="24"/>
          <w:szCs w:val="24"/>
        </w:rPr>
        <w:t xml:space="preserve"> </w:t>
      </w:r>
      <w:r w:rsidRPr="00515C3A">
        <w:rPr>
          <w:rFonts w:ascii="Bookman Old Style" w:hAnsi="Bookman Old Style"/>
          <w:sz w:val="24"/>
          <w:szCs w:val="24"/>
        </w:rPr>
        <w:t>secara</w:t>
      </w:r>
      <w:r w:rsidR="00A954D0">
        <w:rPr>
          <w:rFonts w:ascii="Bookman Old Style" w:hAnsi="Bookman Old Style"/>
          <w:sz w:val="24"/>
          <w:szCs w:val="24"/>
        </w:rPr>
        <w:t xml:space="preserve"> </w:t>
      </w:r>
      <w:r w:rsidRPr="00515C3A">
        <w:rPr>
          <w:rFonts w:ascii="Bookman Old Style" w:hAnsi="Bookman Old Style"/>
          <w:sz w:val="24"/>
          <w:szCs w:val="24"/>
        </w:rPr>
        <w:t>rasional</w:t>
      </w:r>
      <w:r w:rsidR="00A954D0">
        <w:rPr>
          <w:rFonts w:ascii="Bookman Old Style" w:hAnsi="Bookman Old Style"/>
          <w:sz w:val="24"/>
          <w:szCs w:val="24"/>
        </w:rPr>
        <w:t xml:space="preserve"> </w:t>
      </w:r>
      <w:r w:rsidRPr="00515C3A">
        <w:rPr>
          <w:rFonts w:ascii="Bookman Old Style" w:hAnsi="Bookman Old Style"/>
          <w:sz w:val="24"/>
          <w:szCs w:val="24"/>
        </w:rPr>
        <w:t>dengan</w:t>
      </w:r>
      <w:r w:rsidR="00A954D0">
        <w:rPr>
          <w:rFonts w:ascii="Bookman Old Style" w:hAnsi="Bookman Old Style"/>
          <w:sz w:val="24"/>
          <w:szCs w:val="24"/>
        </w:rPr>
        <w:t xml:space="preserve"> </w:t>
      </w:r>
      <w:r w:rsidRPr="00515C3A">
        <w:rPr>
          <w:rFonts w:ascii="Bookman Old Style" w:hAnsi="Bookman Old Style"/>
          <w:sz w:val="24"/>
          <w:szCs w:val="24"/>
        </w:rPr>
        <w:t>mempertimbangkan</w:t>
      </w:r>
      <w:r w:rsidR="00A954D0">
        <w:rPr>
          <w:rFonts w:ascii="Bookman Old Style" w:hAnsi="Bookman Old Style"/>
          <w:sz w:val="24"/>
          <w:szCs w:val="24"/>
        </w:rPr>
        <w:t xml:space="preserve"> </w:t>
      </w:r>
      <w:r w:rsidRPr="00515C3A">
        <w:rPr>
          <w:rFonts w:ascii="Bookman Old Style" w:hAnsi="Bookman Old Style"/>
          <w:sz w:val="24"/>
          <w:szCs w:val="24"/>
        </w:rPr>
        <w:t>realisasi</w:t>
      </w:r>
      <w:r w:rsidR="00A954D0">
        <w:rPr>
          <w:rFonts w:ascii="Bookman Old Style" w:hAnsi="Bookman Old Style"/>
          <w:sz w:val="24"/>
          <w:szCs w:val="24"/>
        </w:rPr>
        <w:t xml:space="preserve"> </w:t>
      </w:r>
      <w:r w:rsidRPr="00515C3A">
        <w:rPr>
          <w:rFonts w:ascii="Bookman Old Style" w:hAnsi="Bookman Old Style"/>
          <w:sz w:val="24"/>
          <w:szCs w:val="24"/>
        </w:rPr>
        <w:t>Tahun</w:t>
      </w:r>
      <w:r w:rsidR="00A954D0">
        <w:rPr>
          <w:rFonts w:ascii="Bookman Old Style" w:hAnsi="Bookman Old Style"/>
          <w:sz w:val="24"/>
          <w:szCs w:val="24"/>
        </w:rPr>
        <w:t xml:space="preserve"> </w:t>
      </w:r>
      <w:r w:rsidRPr="00515C3A">
        <w:rPr>
          <w:rFonts w:ascii="Bookman Old Style" w:hAnsi="Bookman Old Style"/>
          <w:sz w:val="24"/>
          <w:szCs w:val="24"/>
        </w:rPr>
        <w:t>Anggaran</w:t>
      </w:r>
      <w:r w:rsidR="00A954D0">
        <w:rPr>
          <w:rFonts w:ascii="Bookman Old Style" w:hAnsi="Bookman Old Style"/>
          <w:sz w:val="24"/>
          <w:szCs w:val="24"/>
        </w:rPr>
        <w:t xml:space="preserve"> </w:t>
      </w:r>
      <w:r w:rsidRPr="00515C3A">
        <w:rPr>
          <w:rFonts w:ascii="Bookman Old Style" w:hAnsi="Bookman Old Style"/>
          <w:sz w:val="24"/>
          <w:szCs w:val="24"/>
        </w:rPr>
        <w:t>2024</w:t>
      </w:r>
      <w:r w:rsidR="00A954D0">
        <w:rPr>
          <w:rFonts w:ascii="Bookman Old Style" w:hAnsi="Bookman Old Style"/>
          <w:sz w:val="24"/>
          <w:szCs w:val="24"/>
        </w:rPr>
        <w:t xml:space="preserve"> </w:t>
      </w:r>
      <w:r w:rsidRPr="00515C3A">
        <w:rPr>
          <w:rFonts w:ascii="Bookman Old Style" w:hAnsi="Bookman Old Style"/>
          <w:sz w:val="24"/>
          <w:szCs w:val="24"/>
        </w:rPr>
        <w:t>dan</w:t>
      </w:r>
      <w:r w:rsidR="00A954D0">
        <w:rPr>
          <w:rFonts w:ascii="Bookman Old Style" w:hAnsi="Bookman Old Style"/>
          <w:sz w:val="24"/>
          <w:szCs w:val="24"/>
        </w:rPr>
        <w:t xml:space="preserve"> </w:t>
      </w:r>
      <w:r w:rsidRPr="00515C3A">
        <w:rPr>
          <w:rFonts w:ascii="Bookman Old Style" w:hAnsi="Bookman Old Style"/>
          <w:sz w:val="24"/>
          <w:szCs w:val="24"/>
        </w:rPr>
        <w:t>kemungkinan</w:t>
      </w:r>
      <w:r w:rsidR="00A954D0">
        <w:rPr>
          <w:rFonts w:ascii="Bookman Old Style" w:hAnsi="Bookman Old Style"/>
          <w:sz w:val="24"/>
          <w:szCs w:val="24"/>
        </w:rPr>
        <w:t xml:space="preserve"> </w:t>
      </w:r>
      <w:r w:rsidRPr="00515C3A">
        <w:rPr>
          <w:rFonts w:ascii="Bookman Old Style" w:hAnsi="Bookman Old Style"/>
          <w:sz w:val="24"/>
          <w:szCs w:val="24"/>
        </w:rPr>
        <w:t>adanya</w:t>
      </w:r>
      <w:r w:rsidR="00A954D0">
        <w:rPr>
          <w:rFonts w:ascii="Bookman Old Style" w:hAnsi="Bookman Old Style"/>
          <w:sz w:val="24"/>
          <w:szCs w:val="24"/>
        </w:rPr>
        <w:t xml:space="preserve"> </w:t>
      </w:r>
      <w:r w:rsidRPr="00515C3A">
        <w:rPr>
          <w:rFonts w:ascii="Bookman Old Style" w:hAnsi="Bookman Old Style"/>
          <w:sz w:val="24"/>
          <w:szCs w:val="24"/>
        </w:rPr>
        <w:t>kegiatan-kegiatan</w:t>
      </w:r>
      <w:r w:rsidR="00A954D0">
        <w:rPr>
          <w:rFonts w:ascii="Bookman Old Style" w:hAnsi="Bookman Old Style"/>
          <w:sz w:val="24"/>
          <w:szCs w:val="24"/>
        </w:rPr>
        <w:t xml:space="preserve"> </w:t>
      </w:r>
      <w:r w:rsidRPr="00515C3A">
        <w:rPr>
          <w:rFonts w:ascii="Bookman Old Style" w:hAnsi="Bookman Old Style"/>
          <w:sz w:val="24"/>
          <w:szCs w:val="24"/>
        </w:rPr>
        <w:t>yang</w:t>
      </w:r>
      <w:r w:rsidR="00A954D0">
        <w:rPr>
          <w:rFonts w:ascii="Bookman Old Style" w:hAnsi="Bookman Old Style"/>
          <w:sz w:val="24"/>
          <w:szCs w:val="24"/>
        </w:rPr>
        <w:t xml:space="preserve"> </w:t>
      </w:r>
      <w:r w:rsidRPr="00515C3A">
        <w:rPr>
          <w:rFonts w:ascii="Bookman Old Style" w:hAnsi="Bookman Old Style"/>
          <w:sz w:val="24"/>
          <w:szCs w:val="24"/>
        </w:rPr>
        <w:t>sifatnya</w:t>
      </w:r>
      <w:r w:rsidR="00A954D0">
        <w:rPr>
          <w:rFonts w:ascii="Bookman Old Style" w:hAnsi="Bookman Old Style"/>
          <w:sz w:val="24"/>
          <w:szCs w:val="24"/>
        </w:rPr>
        <w:t xml:space="preserve"> </w:t>
      </w:r>
      <w:r w:rsidRPr="00515C3A">
        <w:rPr>
          <w:rFonts w:ascii="Bookman Old Style" w:hAnsi="Bookman Old Style"/>
          <w:sz w:val="24"/>
          <w:szCs w:val="24"/>
        </w:rPr>
        <w:lastRenderedPageBreak/>
        <w:t>tidak</w:t>
      </w:r>
      <w:r w:rsidR="00A954D0">
        <w:rPr>
          <w:rFonts w:ascii="Bookman Old Style" w:hAnsi="Bookman Old Style"/>
          <w:sz w:val="24"/>
          <w:szCs w:val="24"/>
        </w:rPr>
        <w:t xml:space="preserve"> </w:t>
      </w:r>
      <w:r w:rsidRPr="00515C3A">
        <w:rPr>
          <w:rFonts w:ascii="Bookman Old Style" w:hAnsi="Bookman Old Style"/>
          <w:sz w:val="24"/>
          <w:szCs w:val="24"/>
        </w:rPr>
        <w:t>dapat</w:t>
      </w:r>
      <w:r w:rsidR="00A954D0">
        <w:rPr>
          <w:rFonts w:ascii="Bookman Old Style" w:hAnsi="Bookman Old Style"/>
          <w:sz w:val="24"/>
          <w:szCs w:val="24"/>
        </w:rPr>
        <w:t xml:space="preserve"> </w:t>
      </w:r>
      <w:r w:rsidRPr="00515C3A">
        <w:rPr>
          <w:rFonts w:ascii="Bookman Old Style" w:hAnsi="Bookman Old Style"/>
          <w:sz w:val="24"/>
          <w:szCs w:val="24"/>
        </w:rPr>
        <w:t>diprediksi</w:t>
      </w:r>
      <w:r w:rsidR="00A954D0">
        <w:rPr>
          <w:rFonts w:ascii="Bookman Old Style" w:hAnsi="Bookman Old Style"/>
          <w:sz w:val="24"/>
          <w:szCs w:val="24"/>
        </w:rPr>
        <w:t xml:space="preserve"> </w:t>
      </w:r>
      <w:r w:rsidRPr="00515C3A">
        <w:rPr>
          <w:rFonts w:ascii="Bookman Old Style" w:hAnsi="Bookman Old Style"/>
          <w:sz w:val="24"/>
          <w:szCs w:val="24"/>
        </w:rPr>
        <w:t>sebelumnya,</w:t>
      </w:r>
      <w:r w:rsidR="00A954D0">
        <w:rPr>
          <w:rFonts w:ascii="Bookman Old Style" w:hAnsi="Bookman Old Style"/>
          <w:sz w:val="24"/>
          <w:szCs w:val="24"/>
        </w:rPr>
        <w:t xml:space="preserve"> </w:t>
      </w:r>
      <w:r w:rsidRPr="00515C3A">
        <w:rPr>
          <w:rFonts w:ascii="Bookman Old Style" w:hAnsi="Bookman Old Style"/>
          <w:sz w:val="24"/>
          <w:szCs w:val="24"/>
        </w:rPr>
        <w:t>di</w:t>
      </w:r>
      <w:r w:rsidR="00A954D0">
        <w:rPr>
          <w:rFonts w:ascii="Bookman Old Style" w:hAnsi="Bookman Old Style"/>
          <w:sz w:val="24"/>
          <w:szCs w:val="24"/>
        </w:rPr>
        <w:t xml:space="preserve"> </w:t>
      </w:r>
      <w:r w:rsidRPr="00515C3A">
        <w:rPr>
          <w:rFonts w:ascii="Bookman Old Style" w:hAnsi="Bookman Old Style"/>
          <w:sz w:val="24"/>
          <w:szCs w:val="24"/>
        </w:rPr>
        <w:t>luar</w:t>
      </w:r>
      <w:r w:rsidR="00A954D0">
        <w:rPr>
          <w:rFonts w:ascii="Bookman Old Style" w:hAnsi="Bookman Old Style"/>
          <w:sz w:val="24"/>
          <w:szCs w:val="24"/>
        </w:rPr>
        <w:t xml:space="preserve"> </w:t>
      </w:r>
      <w:r w:rsidRPr="00515C3A">
        <w:rPr>
          <w:rFonts w:ascii="Bookman Old Style" w:hAnsi="Bookman Old Style"/>
          <w:sz w:val="24"/>
          <w:szCs w:val="24"/>
        </w:rPr>
        <w:t>kendali</w:t>
      </w:r>
      <w:r w:rsidR="00A954D0">
        <w:rPr>
          <w:rFonts w:ascii="Bookman Old Style" w:hAnsi="Bookman Old Style"/>
          <w:sz w:val="24"/>
          <w:szCs w:val="24"/>
        </w:rPr>
        <w:t xml:space="preserve"> </w:t>
      </w:r>
      <w:r w:rsidRPr="00515C3A">
        <w:rPr>
          <w:rFonts w:ascii="Bookman Old Style" w:hAnsi="Bookman Old Style"/>
          <w:sz w:val="24"/>
          <w:szCs w:val="24"/>
        </w:rPr>
        <w:t>dan</w:t>
      </w:r>
      <w:r w:rsidR="00A954D0">
        <w:rPr>
          <w:rFonts w:ascii="Bookman Old Style" w:hAnsi="Bookman Old Style"/>
          <w:sz w:val="24"/>
          <w:szCs w:val="24"/>
        </w:rPr>
        <w:t xml:space="preserve"> </w:t>
      </w:r>
      <w:r w:rsidRPr="00515C3A">
        <w:rPr>
          <w:rFonts w:ascii="Bookman Old Style" w:hAnsi="Bookman Old Style"/>
          <w:sz w:val="24"/>
          <w:szCs w:val="24"/>
        </w:rPr>
        <w:t>pengaruh</w:t>
      </w:r>
      <w:r w:rsidR="00A954D0">
        <w:rPr>
          <w:rFonts w:ascii="Bookman Old Style" w:hAnsi="Bookman Old Style"/>
          <w:sz w:val="24"/>
          <w:szCs w:val="24"/>
        </w:rPr>
        <w:t xml:space="preserve"> </w:t>
      </w:r>
      <w:r w:rsidRPr="00515C3A">
        <w:rPr>
          <w:rFonts w:ascii="Bookman Old Style" w:hAnsi="Bookman Old Style"/>
          <w:sz w:val="24"/>
          <w:szCs w:val="24"/>
        </w:rPr>
        <w:t>pemerintah</w:t>
      </w:r>
      <w:r w:rsidR="00A954D0">
        <w:rPr>
          <w:rFonts w:ascii="Bookman Old Style" w:hAnsi="Bookman Old Style"/>
          <w:sz w:val="24"/>
          <w:szCs w:val="24"/>
        </w:rPr>
        <w:t xml:space="preserve"> </w:t>
      </w:r>
      <w:r w:rsidRPr="00515C3A">
        <w:rPr>
          <w:rFonts w:ascii="Bookman Old Style" w:hAnsi="Bookman Old Style"/>
          <w:sz w:val="24"/>
          <w:szCs w:val="24"/>
        </w:rPr>
        <w:t>daerah,</w:t>
      </w:r>
      <w:r w:rsidR="00A954D0">
        <w:rPr>
          <w:rFonts w:ascii="Bookman Old Style" w:hAnsi="Bookman Old Style"/>
          <w:sz w:val="24"/>
          <w:szCs w:val="24"/>
        </w:rPr>
        <w:t xml:space="preserve"> </w:t>
      </w:r>
      <w:r w:rsidRPr="00515C3A">
        <w:rPr>
          <w:rFonts w:ascii="Bookman Old Style" w:hAnsi="Bookman Old Style"/>
          <w:sz w:val="24"/>
          <w:szCs w:val="24"/>
        </w:rPr>
        <w:t>serta</w:t>
      </w:r>
      <w:r w:rsidR="00A954D0">
        <w:rPr>
          <w:rFonts w:ascii="Bookman Old Style" w:hAnsi="Bookman Old Style"/>
          <w:sz w:val="24"/>
          <w:szCs w:val="24"/>
        </w:rPr>
        <w:t xml:space="preserve"> </w:t>
      </w:r>
      <w:r w:rsidRPr="00515C3A">
        <w:rPr>
          <w:rFonts w:ascii="Bookman Old Style" w:hAnsi="Bookman Old Style"/>
          <w:sz w:val="24"/>
          <w:szCs w:val="24"/>
        </w:rPr>
        <w:t>amanat</w:t>
      </w:r>
      <w:r w:rsidR="00A954D0">
        <w:rPr>
          <w:rFonts w:ascii="Bookman Old Style" w:hAnsi="Bookman Old Style"/>
          <w:sz w:val="24"/>
          <w:szCs w:val="24"/>
        </w:rPr>
        <w:t xml:space="preserve"> </w:t>
      </w:r>
      <w:r w:rsidRPr="00515C3A">
        <w:rPr>
          <w:rFonts w:ascii="Bookman Old Style" w:hAnsi="Bookman Old Style"/>
          <w:sz w:val="24"/>
          <w:szCs w:val="24"/>
        </w:rPr>
        <w:t>ketentuan</w:t>
      </w:r>
      <w:r w:rsidR="00A954D0">
        <w:rPr>
          <w:rFonts w:ascii="Bookman Old Style" w:hAnsi="Bookman Old Style"/>
          <w:sz w:val="24"/>
          <w:szCs w:val="24"/>
        </w:rPr>
        <w:t xml:space="preserve"> </w:t>
      </w:r>
      <w:r w:rsidRPr="00515C3A">
        <w:rPr>
          <w:rFonts w:ascii="Bookman Old Style" w:hAnsi="Bookman Old Style"/>
          <w:sz w:val="24"/>
          <w:szCs w:val="24"/>
        </w:rPr>
        <w:t>peraturan</w:t>
      </w:r>
      <w:r w:rsidR="00A954D0">
        <w:rPr>
          <w:rFonts w:ascii="Bookman Old Style" w:hAnsi="Bookman Old Style"/>
          <w:sz w:val="24"/>
          <w:szCs w:val="24"/>
        </w:rPr>
        <w:t xml:space="preserve"> </w:t>
      </w:r>
      <w:r w:rsidRPr="00515C3A">
        <w:rPr>
          <w:rFonts w:ascii="Bookman Old Style" w:hAnsi="Bookman Old Style"/>
          <w:sz w:val="24"/>
          <w:szCs w:val="24"/>
        </w:rPr>
        <w:t>perundang-undangan,</w:t>
      </w:r>
      <w:r w:rsidR="00A954D0">
        <w:rPr>
          <w:rFonts w:ascii="Bookman Old Style" w:hAnsi="Bookman Old Style"/>
          <w:sz w:val="24"/>
          <w:szCs w:val="24"/>
        </w:rPr>
        <w:t xml:space="preserve"> </w:t>
      </w:r>
      <w:r w:rsidRPr="00515C3A">
        <w:rPr>
          <w:rFonts w:ascii="Bookman Old Style" w:hAnsi="Bookman Old Style"/>
          <w:sz w:val="24"/>
          <w:szCs w:val="24"/>
        </w:rPr>
        <w:t>sebagaimana</w:t>
      </w:r>
      <w:r w:rsidR="00A954D0">
        <w:rPr>
          <w:rFonts w:ascii="Bookman Old Style" w:hAnsi="Bookman Old Style"/>
          <w:sz w:val="24"/>
          <w:szCs w:val="24"/>
        </w:rPr>
        <w:t xml:space="preserve"> </w:t>
      </w:r>
      <w:r w:rsidRPr="00515C3A">
        <w:rPr>
          <w:rFonts w:ascii="Bookman Old Style" w:hAnsi="Bookman Old Style"/>
          <w:sz w:val="24"/>
          <w:szCs w:val="24"/>
        </w:rPr>
        <w:t>maksud</w:t>
      </w:r>
      <w:r w:rsidR="00A954D0">
        <w:rPr>
          <w:rFonts w:ascii="Bookman Old Style" w:hAnsi="Bookman Old Style"/>
          <w:sz w:val="24"/>
          <w:szCs w:val="24"/>
        </w:rPr>
        <w:t xml:space="preserve"> </w:t>
      </w:r>
      <w:r w:rsidRPr="00515C3A">
        <w:rPr>
          <w:rFonts w:ascii="Bookman Old Style" w:hAnsi="Bookman Old Style"/>
          <w:sz w:val="24"/>
          <w:szCs w:val="24"/>
        </w:rPr>
        <w:t>Pasal</w:t>
      </w:r>
      <w:r w:rsidR="00A954D0">
        <w:rPr>
          <w:rFonts w:ascii="Bookman Old Style" w:hAnsi="Bookman Old Style"/>
          <w:sz w:val="24"/>
          <w:szCs w:val="24"/>
        </w:rPr>
        <w:t xml:space="preserve"> </w:t>
      </w:r>
      <w:r w:rsidRPr="00515C3A">
        <w:rPr>
          <w:rFonts w:ascii="Bookman Old Style" w:hAnsi="Bookman Old Style"/>
          <w:sz w:val="24"/>
          <w:szCs w:val="24"/>
        </w:rPr>
        <w:t>68</w:t>
      </w:r>
      <w:r w:rsidR="00A954D0">
        <w:rPr>
          <w:rFonts w:ascii="Bookman Old Style" w:hAnsi="Bookman Old Style"/>
          <w:sz w:val="24"/>
          <w:szCs w:val="24"/>
        </w:rPr>
        <w:t xml:space="preserve"> </w:t>
      </w:r>
      <w:r w:rsidRPr="00515C3A">
        <w:rPr>
          <w:rFonts w:ascii="Bookman Old Style" w:hAnsi="Bookman Old Style"/>
          <w:sz w:val="24"/>
          <w:szCs w:val="24"/>
        </w:rPr>
        <w:t>dan</w:t>
      </w:r>
      <w:r w:rsidR="00A954D0">
        <w:rPr>
          <w:rFonts w:ascii="Bookman Old Style" w:hAnsi="Bookman Old Style"/>
          <w:sz w:val="24"/>
          <w:szCs w:val="24"/>
        </w:rPr>
        <w:t xml:space="preserve"> </w:t>
      </w:r>
      <w:r w:rsidRPr="00515C3A">
        <w:rPr>
          <w:rFonts w:ascii="Bookman Old Style" w:hAnsi="Bookman Old Style"/>
          <w:sz w:val="24"/>
          <w:szCs w:val="24"/>
        </w:rPr>
        <w:t>Pasal</w:t>
      </w:r>
      <w:r w:rsidR="00A954D0">
        <w:rPr>
          <w:rFonts w:ascii="Bookman Old Style" w:hAnsi="Bookman Old Style"/>
          <w:sz w:val="24"/>
          <w:szCs w:val="24"/>
        </w:rPr>
        <w:t xml:space="preserve"> </w:t>
      </w:r>
      <w:r w:rsidRPr="00515C3A">
        <w:rPr>
          <w:rFonts w:ascii="Bookman Old Style" w:hAnsi="Bookman Old Style"/>
          <w:sz w:val="24"/>
          <w:szCs w:val="24"/>
        </w:rPr>
        <w:t>69</w:t>
      </w:r>
      <w:r w:rsidR="00A954D0">
        <w:rPr>
          <w:rFonts w:ascii="Bookman Old Style" w:hAnsi="Bookman Old Style"/>
          <w:sz w:val="24"/>
          <w:szCs w:val="24"/>
        </w:rPr>
        <w:t xml:space="preserve"> </w:t>
      </w:r>
      <w:r w:rsidRPr="00515C3A">
        <w:rPr>
          <w:rFonts w:ascii="Bookman Old Style" w:hAnsi="Bookman Old Style"/>
          <w:sz w:val="24"/>
          <w:szCs w:val="24"/>
        </w:rPr>
        <w:t>Peraturan</w:t>
      </w:r>
      <w:r w:rsidR="00A954D0">
        <w:rPr>
          <w:rFonts w:ascii="Bookman Old Style" w:hAnsi="Bookman Old Style"/>
          <w:sz w:val="24"/>
          <w:szCs w:val="24"/>
        </w:rPr>
        <w:t xml:space="preserve"> </w:t>
      </w:r>
      <w:r w:rsidRPr="00515C3A">
        <w:rPr>
          <w:rFonts w:ascii="Bookman Old Style" w:hAnsi="Bookman Old Style"/>
          <w:sz w:val="24"/>
          <w:szCs w:val="24"/>
        </w:rPr>
        <w:t>Pemerintah</w:t>
      </w:r>
      <w:r w:rsidR="00A954D0">
        <w:rPr>
          <w:rFonts w:ascii="Bookman Old Style" w:hAnsi="Bookman Old Style"/>
          <w:sz w:val="24"/>
          <w:szCs w:val="24"/>
        </w:rPr>
        <w:t xml:space="preserve"> </w:t>
      </w:r>
      <w:r w:rsidRPr="00515C3A">
        <w:rPr>
          <w:rFonts w:ascii="Bookman Old Style" w:hAnsi="Bookman Old Style"/>
          <w:sz w:val="24"/>
          <w:szCs w:val="24"/>
        </w:rPr>
        <w:t>Nomor</w:t>
      </w:r>
      <w:r w:rsidR="00A954D0">
        <w:rPr>
          <w:rFonts w:ascii="Bookman Old Style" w:hAnsi="Bookman Old Style"/>
          <w:sz w:val="24"/>
          <w:szCs w:val="24"/>
        </w:rPr>
        <w:t xml:space="preserve"> </w:t>
      </w:r>
      <w:r w:rsidRPr="00515C3A">
        <w:rPr>
          <w:rFonts w:ascii="Bookman Old Style" w:hAnsi="Bookman Old Style"/>
          <w:sz w:val="24"/>
          <w:szCs w:val="24"/>
        </w:rPr>
        <w:t>12</w:t>
      </w:r>
      <w:r w:rsidR="00A954D0">
        <w:rPr>
          <w:rFonts w:ascii="Bookman Old Style" w:hAnsi="Bookman Old Style"/>
          <w:sz w:val="24"/>
          <w:szCs w:val="24"/>
        </w:rPr>
        <w:t xml:space="preserve"> </w:t>
      </w:r>
      <w:r w:rsidRPr="00515C3A">
        <w:rPr>
          <w:rFonts w:ascii="Bookman Old Style" w:hAnsi="Bookman Old Style"/>
          <w:sz w:val="24"/>
          <w:szCs w:val="24"/>
        </w:rPr>
        <w:t>Tahun</w:t>
      </w:r>
      <w:r w:rsidR="00A954D0">
        <w:rPr>
          <w:rFonts w:ascii="Bookman Old Style" w:hAnsi="Bookman Old Style"/>
          <w:sz w:val="24"/>
          <w:szCs w:val="24"/>
        </w:rPr>
        <w:t xml:space="preserve"> </w:t>
      </w:r>
      <w:r w:rsidRPr="00515C3A">
        <w:rPr>
          <w:rFonts w:ascii="Bookman Old Style" w:hAnsi="Bookman Old Style"/>
          <w:sz w:val="24"/>
          <w:szCs w:val="24"/>
        </w:rPr>
        <w:t>2019</w:t>
      </w:r>
      <w:r w:rsidR="00A954D0">
        <w:rPr>
          <w:rFonts w:ascii="Bookman Old Style" w:hAnsi="Bookman Old Style"/>
          <w:sz w:val="24"/>
          <w:szCs w:val="24"/>
        </w:rPr>
        <w:t xml:space="preserve"> </w:t>
      </w:r>
      <w:r w:rsidRPr="00515C3A">
        <w:rPr>
          <w:rFonts w:ascii="Bookman Old Style" w:hAnsi="Bookman Old Style"/>
          <w:sz w:val="24"/>
          <w:szCs w:val="24"/>
        </w:rPr>
        <w:t>dan</w:t>
      </w:r>
      <w:r w:rsidR="00A954D0">
        <w:rPr>
          <w:rFonts w:ascii="Bookman Old Style" w:hAnsi="Bookman Old Style"/>
          <w:sz w:val="24"/>
          <w:szCs w:val="24"/>
        </w:rPr>
        <w:t xml:space="preserve"> </w:t>
      </w:r>
      <w:r w:rsidRPr="00515C3A">
        <w:rPr>
          <w:rFonts w:ascii="Bookman Old Style" w:hAnsi="Bookman Old Style"/>
          <w:sz w:val="24"/>
          <w:szCs w:val="24"/>
        </w:rPr>
        <w:t>butir</w:t>
      </w:r>
      <w:r w:rsidR="00A954D0">
        <w:rPr>
          <w:rFonts w:ascii="Bookman Old Style" w:hAnsi="Bookman Old Style"/>
          <w:sz w:val="24"/>
          <w:szCs w:val="24"/>
        </w:rPr>
        <w:t xml:space="preserve"> </w:t>
      </w:r>
      <w:r w:rsidRPr="00275DD8">
        <w:rPr>
          <w:rFonts w:ascii="Bookman Old Style" w:hAnsi="Bookman Old Style"/>
          <w:sz w:val="24"/>
          <w:szCs w:val="24"/>
        </w:rPr>
        <w:t>3.4.3</w:t>
      </w:r>
      <w:r w:rsidR="00A954D0">
        <w:rPr>
          <w:rFonts w:ascii="Bookman Old Style" w:hAnsi="Bookman Old Style"/>
          <w:sz w:val="24"/>
          <w:szCs w:val="24"/>
        </w:rPr>
        <w:t xml:space="preserve"> </w:t>
      </w:r>
      <w:r w:rsidRPr="00275DD8">
        <w:rPr>
          <w:rFonts w:ascii="Bookman Old Style" w:hAnsi="Bookman Old Style"/>
          <w:sz w:val="24"/>
          <w:szCs w:val="24"/>
        </w:rPr>
        <w:t>Lampiran</w:t>
      </w:r>
      <w:r w:rsidR="00A954D0">
        <w:rPr>
          <w:rFonts w:ascii="Bookman Old Style" w:hAnsi="Bookman Old Style"/>
          <w:sz w:val="24"/>
          <w:szCs w:val="24"/>
        </w:rPr>
        <w:t xml:space="preserve"> </w:t>
      </w:r>
      <w:r w:rsidRPr="00275DD8">
        <w:rPr>
          <w:rFonts w:ascii="Bookman Old Style" w:hAnsi="Bookman Old Style"/>
          <w:sz w:val="24"/>
          <w:szCs w:val="24"/>
        </w:rPr>
        <w:t>Peraturan</w:t>
      </w:r>
      <w:r w:rsidR="00A954D0">
        <w:rPr>
          <w:rFonts w:ascii="Bookman Old Style" w:hAnsi="Bookman Old Style"/>
          <w:sz w:val="24"/>
          <w:szCs w:val="24"/>
        </w:rPr>
        <w:t xml:space="preserve"> </w:t>
      </w:r>
      <w:r w:rsidRPr="00275DD8">
        <w:rPr>
          <w:rFonts w:ascii="Bookman Old Style" w:hAnsi="Bookman Old Style"/>
          <w:sz w:val="24"/>
          <w:szCs w:val="24"/>
        </w:rPr>
        <w:t>Menteri</w:t>
      </w:r>
      <w:r w:rsidR="00A954D0">
        <w:rPr>
          <w:rFonts w:ascii="Bookman Old Style" w:hAnsi="Bookman Old Style"/>
          <w:sz w:val="24"/>
          <w:szCs w:val="24"/>
        </w:rPr>
        <w:t xml:space="preserve"> </w:t>
      </w:r>
      <w:r w:rsidRPr="00275DD8">
        <w:rPr>
          <w:rFonts w:ascii="Bookman Old Style" w:hAnsi="Bookman Old Style"/>
          <w:sz w:val="24"/>
          <w:szCs w:val="24"/>
        </w:rPr>
        <w:t>Dalam</w:t>
      </w:r>
      <w:r w:rsidR="00A954D0">
        <w:rPr>
          <w:rFonts w:ascii="Bookman Old Style" w:hAnsi="Bookman Old Style"/>
          <w:sz w:val="24"/>
          <w:szCs w:val="24"/>
        </w:rPr>
        <w:t xml:space="preserve"> </w:t>
      </w:r>
      <w:r w:rsidRPr="00275DD8">
        <w:rPr>
          <w:rFonts w:ascii="Bookman Old Style" w:hAnsi="Bookman Old Style"/>
          <w:sz w:val="24"/>
          <w:szCs w:val="24"/>
        </w:rPr>
        <w:t>Negeri</w:t>
      </w:r>
      <w:r w:rsidR="00A954D0">
        <w:rPr>
          <w:rFonts w:ascii="Bookman Old Style" w:hAnsi="Bookman Old Style"/>
          <w:sz w:val="24"/>
          <w:szCs w:val="24"/>
        </w:rPr>
        <w:t xml:space="preserve"> </w:t>
      </w:r>
      <w:r w:rsidRPr="00275DD8">
        <w:rPr>
          <w:rFonts w:ascii="Bookman Old Style" w:hAnsi="Bookman Old Style"/>
          <w:sz w:val="24"/>
          <w:szCs w:val="24"/>
        </w:rPr>
        <w:t>Nomor</w:t>
      </w:r>
      <w:r w:rsidR="00A954D0">
        <w:rPr>
          <w:rFonts w:ascii="Bookman Old Style" w:hAnsi="Bookman Old Style"/>
          <w:sz w:val="24"/>
          <w:szCs w:val="24"/>
        </w:rPr>
        <w:t xml:space="preserve"> </w:t>
      </w:r>
      <w:r w:rsidRPr="00275DD8">
        <w:rPr>
          <w:rFonts w:ascii="Bookman Old Style" w:hAnsi="Bookman Old Style"/>
          <w:sz w:val="24"/>
          <w:szCs w:val="24"/>
        </w:rPr>
        <w:t>15</w:t>
      </w:r>
      <w:r w:rsidR="00A954D0">
        <w:rPr>
          <w:rFonts w:ascii="Bookman Old Style" w:hAnsi="Bookman Old Style"/>
          <w:sz w:val="24"/>
          <w:szCs w:val="24"/>
        </w:rPr>
        <w:t xml:space="preserve"> </w:t>
      </w:r>
      <w:r w:rsidRPr="00275DD8">
        <w:rPr>
          <w:rFonts w:ascii="Bookman Old Style" w:hAnsi="Bookman Old Style"/>
          <w:sz w:val="24"/>
          <w:szCs w:val="24"/>
        </w:rPr>
        <w:t>Tahun</w:t>
      </w:r>
      <w:r w:rsidR="00A954D0">
        <w:rPr>
          <w:rFonts w:ascii="Bookman Old Style" w:hAnsi="Bookman Old Style"/>
          <w:sz w:val="24"/>
          <w:szCs w:val="24"/>
        </w:rPr>
        <w:t xml:space="preserve"> </w:t>
      </w:r>
      <w:r w:rsidRPr="00275DD8">
        <w:rPr>
          <w:rFonts w:ascii="Bookman Old Style" w:hAnsi="Bookman Old Style"/>
          <w:sz w:val="24"/>
          <w:szCs w:val="24"/>
        </w:rPr>
        <w:t>2024.</w:t>
      </w:r>
    </w:p>
    <w:p w14:paraId="0227E0BA" w14:textId="32EFB6CC" w:rsidR="00B520D5" w:rsidRPr="00275DD8" w:rsidRDefault="00B520D5" w:rsidP="00154790">
      <w:pPr>
        <w:pStyle w:val="ListParagraph"/>
        <w:numPr>
          <w:ilvl w:val="0"/>
          <w:numId w:val="121"/>
        </w:numPr>
        <w:spacing w:before="120" w:after="0" w:line="276" w:lineRule="auto"/>
        <w:ind w:left="993" w:hanging="426"/>
        <w:contextualSpacing w:val="0"/>
        <w:jc w:val="both"/>
        <w:rPr>
          <w:rFonts w:ascii="Bookman Old Style" w:hAnsi="Bookman Old Style"/>
          <w:sz w:val="24"/>
          <w:szCs w:val="24"/>
        </w:rPr>
      </w:pPr>
      <w:r w:rsidRPr="00275DD8">
        <w:rPr>
          <w:rFonts w:ascii="Bookman Old Style" w:hAnsi="Bookman Old Style"/>
          <w:sz w:val="24"/>
          <w:szCs w:val="24"/>
        </w:rPr>
        <w:t>Analisis</w:t>
      </w:r>
      <w:r w:rsidR="00A954D0">
        <w:rPr>
          <w:rFonts w:ascii="Bookman Old Style" w:hAnsi="Bookman Old Style"/>
          <w:sz w:val="24"/>
          <w:szCs w:val="24"/>
        </w:rPr>
        <w:t xml:space="preserve"> </w:t>
      </w:r>
      <w:r w:rsidRPr="00275DD8">
        <w:rPr>
          <w:rFonts w:ascii="Bookman Old Style" w:hAnsi="Bookman Old Style"/>
          <w:color w:val="000000" w:themeColor="text1"/>
          <w:sz w:val="24"/>
          <w:szCs w:val="24"/>
        </w:rPr>
        <w:t>Belanja</w:t>
      </w:r>
      <w:r w:rsidR="00A954D0">
        <w:rPr>
          <w:rFonts w:ascii="Bookman Old Style" w:hAnsi="Bookman Old Style"/>
          <w:sz w:val="24"/>
          <w:szCs w:val="24"/>
        </w:rPr>
        <w:t xml:space="preserve"> </w:t>
      </w:r>
      <w:r w:rsidRPr="00275DD8">
        <w:rPr>
          <w:rFonts w:ascii="Bookman Old Style" w:hAnsi="Bookman Old Style"/>
          <w:sz w:val="24"/>
          <w:szCs w:val="24"/>
        </w:rPr>
        <w:t>Pokok</w:t>
      </w:r>
      <w:r w:rsidR="00A954D0">
        <w:rPr>
          <w:rFonts w:ascii="Bookman Old Style" w:hAnsi="Bookman Old Style"/>
          <w:sz w:val="24"/>
          <w:szCs w:val="24"/>
        </w:rPr>
        <w:t xml:space="preserve"> </w:t>
      </w:r>
      <w:r w:rsidRPr="00275DD8">
        <w:rPr>
          <w:rFonts w:ascii="Bookman Old Style" w:hAnsi="Bookman Old Style"/>
          <w:sz w:val="24"/>
          <w:szCs w:val="24"/>
        </w:rPr>
        <w:t>dan</w:t>
      </w:r>
      <w:r w:rsidR="00A954D0">
        <w:rPr>
          <w:rFonts w:ascii="Bookman Old Style" w:hAnsi="Bookman Old Style"/>
          <w:sz w:val="24"/>
          <w:szCs w:val="24"/>
        </w:rPr>
        <w:t xml:space="preserve"> </w:t>
      </w:r>
      <w:r w:rsidRPr="00275DD8">
        <w:rPr>
          <w:rFonts w:ascii="Bookman Old Style" w:hAnsi="Bookman Old Style"/>
          <w:sz w:val="24"/>
          <w:szCs w:val="24"/>
        </w:rPr>
        <w:t>Penunjang</w:t>
      </w:r>
      <w:r w:rsidR="00A954D0">
        <w:rPr>
          <w:rFonts w:ascii="Bookman Old Style" w:hAnsi="Bookman Old Style"/>
          <w:sz w:val="24"/>
          <w:szCs w:val="24"/>
        </w:rPr>
        <w:t xml:space="preserve"> </w:t>
      </w:r>
      <w:r w:rsidRPr="00275DD8">
        <w:rPr>
          <w:rFonts w:ascii="Bookman Old Style" w:hAnsi="Bookman Old Style"/>
          <w:sz w:val="24"/>
          <w:szCs w:val="24"/>
        </w:rPr>
        <w:t>Dalam</w:t>
      </w:r>
      <w:r w:rsidR="00A954D0">
        <w:rPr>
          <w:rFonts w:ascii="Bookman Old Style" w:hAnsi="Bookman Old Style"/>
          <w:sz w:val="24"/>
          <w:szCs w:val="24"/>
        </w:rPr>
        <w:t xml:space="preserve"> </w:t>
      </w:r>
      <w:r w:rsidRPr="00275DD8">
        <w:rPr>
          <w:rFonts w:ascii="Bookman Old Style" w:hAnsi="Bookman Old Style"/>
          <w:sz w:val="24"/>
          <w:szCs w:val="24"/>
        </w:rPr>
        <w:t>Suatu</w:t>
      </w:r>
      <w:r w:rsidR="00A954D0">
        <w:rPr>
          <w:rFonts w:ascii="Bookman Old Style" w:hAnsi="Bookman Old Style"/>
          <w:sz w:val="24"/>
          <w:szCs w:val="24"/>
        </w:rPr>
        <w:t xml:space="preserve"> </w:t>
      </w:r>
      <w:r w:rsidRPr="00275DD8">
        <w:rPr>
          <w:rFonts w:ascii="Bookman Old Style" w:hAnsi="Bookman Old Style"/>
          <w:sz w:val="24"/>
          <w:szCs w:val="24"/>
        </w:rPr>
        <w:t>Sub</w:t>
      </w:r>
      <w:r w:rsidR="00A954D0">
        <w:rPr>
          <w:rFonts w:ascii="Bookman Old Style" w:hAnsi="Bookman Old Style"/>
          <w:sz w:val="24"/>
          <w:szCs w:val="24"/>
        </w:rPr>
        <w:t xml:space="preserve"> </w:t>
      </w:r>
      <w:r w:rsidRPr="00275DD8">
        <w:rPr>
          <w:rFonts w:ascii="Bookman Old Style" w:hAnsi="Bookman Old Style"/>
          <w:sz w:val="24"/>
          <w:szCs w:val="24"/>
        </w:rPr>
        <w:t>Kegiatan</w:t>
      </w:r>
      <w:r w:rsidR="00A954D0">
        <w:rPr>
          <w:rFonts w:ascii="Bookman Old Style" w:hAnsi="Bookman Old Style"/>
          <w:sz w:val="24"/>
          <w:szCs w:val="24"/>
        </w:rPr>
        <w:t xml:space="preserve"> </w:t>
      </w:r>
    </w:p>
    <w:p w14:paraId="5FCD47ED" w14:textId="60AA9844" w:rsidR="000D2919" w:rsidRPr="00550459" w:rsidRDefault="000D2919" w:rsidP="00154790">
      <w:pPr>
        <w:pStyle w:val="ListParagraph"/>
        <w:spacing w:before="60" w:after="0" w:line="276" w:lineRule="auto"/>
        <w:ind w:left="993"/>
        <w:contextualSpacing w:val="0"/>
        <w:jc w:val="both"/>
        <w:rPr>
          <w:rFonts w:ascii="Bookman Old Style" w:hAnsi="Bookman Old Style"/>
          <w:color w:val="000000"/>
          <w:sz w:val="24"/>
          <w:szCs w:val="24"/>
        </w:rPr>
      </w:pPr>
      <w:r w:rsidRPr="003255BC">
        <w:rPr>
          <w:rFonts w:ascii="Bookman Old Style" w:hAnsi="Bookman Old Style"/>
          <w:sz w:val="24"/>
          <w:szCs w:val="24"/>
          <w:lang w:val="sv-FI"/>
        </w:rPr>
        <w:t>Alokasi</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Anggaran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pada</w:t>
      </w:r>
      <w:r w:rsidR="00A954D0" w:rsidRPr="003255BC">
        <w:rPr>
          <w:rFonts w:ascii="Bookman Old Style" w:hAnsi="Bookman Old Style"/>
          <w:sz w:val="24"/>
          <w:szCs w:val="24"/>
          <w:lang w:val="sv-FI"/>
        </w:rPr>
        <w:t xml:space="preserve"> </w:t>
      </w:r>
      <w:r w:rsidRPr="00275DD8">
        <w:rPr>
          <w:rFonts w:ascii="Bookman Old Style" w:hAnsi="Bookman Old Style"/>
          <w:color w:val="000000"/>
          <w:sz w:val="24"/>
          <w:szCs w:val="24"/>
        </w:rPr>
        <w:t>Sub</w:t>
      </w:r>
      <w:r w:rsidR="00A954D0">
        <w:rPr>
          <w:rFonts w:ascii="Bookman Old Style" w:hAnsi="Bookman Old Style"/>
          <w:color w:val="000000"/>
          <w:sz w:val="24"/>
          <w:szCs w:val="24"/>
        </w:rPr>
        <w:t xml:space="preserve"> </w:t>
      </w:r>
      <w:r w:rsidRPr="00275DD8">
        <w:rPr>
          <w:rFonts w:ascii="Bookman Old Style" w:hAnsi="Bookman Old Style"/>
          <w:color w:val="000000"/>
          <w:sz w:val="24"/>
          <w:szCs w:val="24"/>
        </w:rPr>
        <w:t>Kegiatan</w:t>
      </w:r>
      <w:r w:rsidR="00A954D0">
        <w:rPr>
          <w:rFonts w:ascii="Bookman Old Style" w:hAnsi="Bookman Old Style"/>
          <w:color w:val="000000"/>
          <w:sz w:val="24"/>
          <w:szCs w:val="24"/>
        </w:rPr>
        <w:t xml:space="preserve"> </w:t>
      </w:r>
      <w:r w:rsidRPr="00275DD8">
        <w:rPr>
          <w:rFonts w:ascii="Bookman Old Style" w:hAnsi="Bookman Old Style"/>
          <w:color w:val="000000"/>
          <w:sz w:val="24"/>
          <w:szCs w:val="24"/>
        </w:rPr>
        <w:t>yang</w:t>
      </w:r>
      <w:r w:rsidR="00A954D0">
        <w:rPr>
          <w:rFonts w:ascii="Bookman Old Style" w:hAnsi="Bookman Old Style"/>
          <w:color w:val="000000"/>
          <w:sz w:val="24"/>
          <w:szCs w:val="24"/>
        </w:rPr>
        <w:t xml:space="preserve"> </w:t>
      </w:r>
      <w:r w:rsidRPr="00275DD8">
        <w:rPr>
          <w:rFonts w:ascii="Bookman Old Style" w:hAnsi="Bookman Old Style" w:cs="Arial"/>
          <w:sz w:val="24"/>
          <w:szCs w:val="24"/>
          <w:lang w:val="id-ID"/>
        </w:rPr>
        <w:t>Belanja</w:t>
      </w:r>
      <w:r w:rsidR="00A954D0">
        <w:rPr>
          <w:rFonts w:ascii="Bookman Old Style" w:hAnsi="Bookman Old Style" w:cs="Arial"/>
          <w:sz w:val="24"/>
          <w:szCs w:val="24"/>
          <w:lang w:val="id-ID"/>
        </w:rPr>
        <w:t xml:space="preserve"> </w:t>
      </w:r>
      <w:r w:rsidRPr="00275DD8">
        <w:rPr>
          <w:rFonts w:ascii="Bookman Old Style" w:hAnsi="Bookman Old Style" w:cs="Arial"/>
          <w:sz w:val="24"/>
          <w:szCs w:val="24"/>
          <w:lang w:val="id-ID"/>
        </w:rPr>
        <w:t>Penunjang</w:t>
      </w:r>
      <w:r w:rsidR="00A954D0">
        <w:rPr>
          <w:rFonts w:ascii="Bookman Old Style" w:hAnsi="Bookman Old Style" w:cs="Arial"/>
          <w:sz w:val="24"/>
          <w:szCs w:val="24"/>
          <w:lang w:val="id-ID"/>
        </w:rPr>
        <w:t xml:space="preserve"> </w:t>
      </w:r>
      <w:r w:rsidRPr="00275DD8">
        <w:rPr>
          <w:rFonts w:ascii="Bookman Old Style" w:hAnsi="Bookman Old Style" w:cs="Arial"/>
          <w:sz w:val="24"/>
          <w:szCs w:val="24"/>
          <w:lang w:val="id-ID"/>
        </w:rPr>
        <w:t>Lebih</w:t>
      </w:r>
      <w:r w:rsidR="00A954D0">
        <w:rPr>
          <w:rFonts w:ascii="Bookman Old Style" w:hAnsi="Bookman Old Style" w:cs="Arial"/>
          <w:sz w:val="24"/>
          <w:szCs w:val="24"/>
          <w:lang w:val="id-ID"/>
        </w:rPr>
        <w:t xml:space="preserve"> </w:t>
      </w:r>
      <w:r w:rsidRPr="00275DD8">
        <w:rPr>
          <w:rFonts w:ascii="Bookman Old Style" w:hAnsi="Bookman Old Style" w:cs="Arial"/>
          <w:sz w:val="24"/>
          <w:szCs w:val="24"/>
          <w:lang w:val="id-ID"/>
        </w:rPr>
        <w:t>Besar</w:t>
      </w:r>
      <w:r w:rsidR="00A954D0">
        <w:rPr>
          <w:rFonts w:ascii="Bookman Old Style" w:hAnsi="Bookman Old Style" w:cs="Arial"/>
          <w:sz w:val="24"/>
          <w:szCs w:val="24"/>
          <w:lang w:val="id-ID"/>
        </w:rPr>
        <w:t xml:space="preserve"> </w:t>
      </w:r>
      <w:r w:rsidRPr="00275DD8">
        <w:rPr>
          <w:rFonts w:ascii="Bookman Old Style" w:hAnsi="Bookman Old Style" w:cs="Arial"/>
          <w:sz w:val="24"/>
          <w:szCs w:val="24"/>
          <w:lang w:val="id-ID"/>
        </w:rPr>
        <w:t>Dibandingkan</w:t>
      </w:r>
      <w:r w:rsidR="00A954D0">
        <w:rPr>
          <w:rFonts w:ascii="Bookman Old Style" w:hAnsi="Bookman Old Style" w:cs="Arial"/>
          <w:sz w:val="24"/>
          <w:szCs w:val="24"/>
          <w:lang w:val="id-ID"/>
        </w:rPr>
        <w:t xml:space="preserve"> </w:t>
      </w:r>
      <w:r w:rsidRPr="00727324">
        <w:rPr>
          <w:rFonts w:ascii="Bookman Old Style" w:hAnsi="Bookman Old Style" w:cs="Arial"/>
          <w:sz w:val="24"/>
          <w:szCs w:val="24"/>
          <w:lang w:val="id-ID"/>
        </w:rPr>
        <w:t>Dengan</w:t>
      </w:r>
      <w:r w:rsidR="00A954D0">
        <w:rPr>
          <w:rFonts w:ascii="Bookman Old Style" w:hAnsi="Bookman Old Style" w:cs="Arial"/>
          <w:sz w:val="24"/>
          <w:szCs w:val="24"/>
          <w:lang w:val="id-ID"/>
        </w:rPr>
        <w:t xml:space="preserve"> </w:t>
      </w:r>
      <w:r w:rsidRPr="00727324">
        <w:rPr>
          <w:rFonts w:ascii="Bookman Old Style" w:hAnsi="Bookman Old Style" w:cs="Arial"/>
          <w:sz w:val="24"/>
          <w:szCs w:val="24"/>
          <w:lang w:val="id-ID"/>
        </w:rPr>
        <w:t>Alokasi</w:t>
      </w:r>
      <w:r w:rsidR="00A954D0">
        <w:rPr>
          <w:rFonts w:ascii="Bookman Old Style" w:hAnsi="Bookman Old Style" w:cs="Arial"/>
          <w:sz w:val="24"/>
          <w:szCs w:val="24"/>
          <w:lang w:val="id-ID"/>
        </w:rPr>
        <w:t xml:space="preserve"> </w:t>
      </w:r>
      <w:r w:rsidRPr="00727324">
        <w:rPr>
          <w:rFonts w:ascii="Bookman Old Style" w:hAnsi="Bookman Old Style" w:cs="Arial"/>
          <w:sz w:val="24"/>
          <w:szCs w:val="24"/>
          <w:lang w:val="id-ID"/>
        </w:rPr>
        <w:t>Anggaran</w:t>
      </w:r>
      <w:r w:rsidR="00A954D0">
        <w:rPr>
          <w:rFonts w:ascii="Bookman Old Style" w:hAnsi="Bookman Old Style" w:cs="Arial"/>
          <w:sz w:val="24"/>
          <w:szCs w:val="24"/>
          <w:lang w:val="id-ID"/>
        </w:rPr>
        <w:t xml:space="preserve"> </w:t>
      </w:r>
      <w:r w:rsidRPr="00727324">
        <w:rPr>
          <w:rFonts w:ascii="Bookman Old Style" w:hAnsi="Bookman Old Style" w:cs="Arial"/>
          <w:sz w:val="24"/>
          <w:szCs w:val="24"/>
          <w:lang w:val="id-ID"/>
        </w:rPr>
        <w:t>Belanja</w:t>
      </w:r>
      <w:r w:rsidR="00A954D0">
        <w:rPr>
          <w:rFonts w:ascii="Bookman Old Style" w:hAnsi="Bookman Old Style" w:cs="Arial"/>
          <w:sz w:val="24"/>
          <w:szCs w:val="24"/>
          <w:lang w:val="id-ID"/>
        </w:rPr>
        <w:t xml:space="preserve"> </w:t>
      </w:r>
      <w:r w:rsidRPr="00727324">
        <w:rPr>
          <w:rFonts w:ascii="Bookman Old Style" w:hAnsi="Bookman Old Style" w:cs="Arial"/>
          <w:sz w:val="24"/>
          <w:szCs w:val="24"/>
          <w:lang w:val="id-ID"/>
        </w:rPr>
        <w:t>Pokok</w:t>
      </w:r>
    </w:p>
    <w:p w14:paraId="614D39CB" w14:textId="77391FDE" w:rsidR="000D2919" w:rsidRDefault="000D2919" w:rsidP="00154790">
      <w:pPr>
        <w:pStyle w:val="ListParagraph"/>
        <w:spacing w:before="60" w:after="0" w:line="276" w:lineRule="auto"/>
        <w:ind w:left="993"/>
        <w:contextualSpacing w:val="0"/>
        <w:jc w:val="both"/>
        <w:rPr>
          <w:rFonts w:ascii="Bookman Old Style" w:hAnsi="Bookman Old Style"/>
          <w:color w:val="000000"/>
          <w:sz w:val="24"/>
          <w:szCs w:val="24"/>
          <w:lang w:val="fi-FI"/>
        </w:rPr>
      </w:pPr>
      <w:r w:rsidRPr="00550459">
        <w:rPr>
          <w:rFonts w:ascii="Bookman Old Style" w:hAnsi="Bookman Old Style"/>
          <w:color w:val="000000"/>
          <w:sz w:val="24"/>
          <w:szCs w:val="24"/>
        </w:rPr>
        <w:t>Penyediaan</w:t>
      </w:r>
      <w:r w:rsidR="00A954D0">
        <w:rPr>
          <w:rFonts w:ascii="Bookman Old Style" w:hAnsi="Bookman Old Style"/>
          <w:color w:val="000000"/>
          <w:sz w:val="24"/>
          <w:szCs w:val="24"/>
        </w:rPr>
        <w:t xml:space="preserve"> </w:t>
      </w:r>
      <w:r w:rsidRPr="00727324">
        <w:rPr>
          <w:rFonts w:ascii="Bookman Old Style" w:hAnsi="Bookman Old Style"/>
          <w:sz w:val="24"/>
          <w:szCs w:val="24"/>
          <w:lang w:val="en-US"/>
        </w:rPr>
        <w:t>anggaran</w:t>
      </w:r>
      <w:r w:rsidR="00A954D0">
        <w:rPr>
          <w:rFonts w:ascii="Bookman Old Style" w:hAnsi="Bookman Old Style"/>
          <w:color w:val="000000"/>
          <w:sz w:val="24"/>
          <w:szCs w:val="24"/>
        </w:rPr>
        <w:t xml:space="preserve"> </w:t>
      </w:r>
      <w:r w:rsidRPr="00550459">
        <w:rPr>
          <w:rFonts w:ascii="Bookman Old Style" w:hAnsi="Bookman Old Style"/>
          <w:color w:val="000000"/>
          <w:sz w:val="24"/>
          <w:szCs w:val="24"/>
        </w:rPr>
        <w:t>yang</w:t>
      </w:r>
      <w:r w:rsidR="00A954D0">
        <w:rPr>
          <w:rFonts w:ascii="Bookman Old Style" w:hAnsi="Bookman Old Style"/>
          <w:color w:val="000000"/>
          <w:sz w:val="24"/>
          <w:szCs w:val="24"/>
        </w:rPr>
        <w:t xml:space="preserve"> </w:t>
      </w:r>
      <w:r w:rsidRPr="00550459">
        <w:rPr>
          <w:rFonts w:ascii="Bookman Old Style" w:hAnsi="Bookman Old Style"/>
          <w:color w:val="000000"/>
          <w:sz w:val="24"/>
          <w:szCs w:val="24"/>
        </w:rPr>
        <w:t>antara</w:t>
      </w:r>
      <w:r w:rsidR="00A954D0">
        <w:rPr>
          <w:rFonts w:ascii="Bookman Old Style" w:hAnsi="Bookman Old Style"/>
          <w:color w:val="000000"/>
          <w:sz w:val="24"/>
          <w:szCs w:val="24"/>
        </w:rPr>
        <w:t xml:space="preserve"> </w:t>
      </w:r>
      <w:r w:rsidRPr="00550459">
        <w:rPr>
          <w:rFonts w:ascii="Bookman Old Style" w:hAnsi="Bookman Old Style"/>
          <w:color w:val="000000"/>
          <w:sz w:val="24"/>
          <w:szCs w:val="24"/>
        </w:rPr>
        <w:t>lain</w:t>
      </w:r>
      <w:r w:rsidR="00A954D0">
        <w:rPr>
          <w:rFonts w:ascii="Bookman Old Style" w:hAnsi="Bookman Old Style"/>
          <w:color w:val="000000"/>
          <w:sz w:val="24"/>
          <w:szCs w:val="24"/>
        </w:rPr>
        <w:t xml:space="preserve"> </w:t>
      </w:r>
      <w:r w:rsidRPr="00550459">
        <w:rPr>
          <w:rFonts w:ascii="Bookman Old Style" w:hAnsi="Bookman Old Style"/>
          <w:color w:val="000000"/>
          <w:sz w:val="24"/>
          <w:szCs w:val="24"/>
        </w:rPr>
        <w:t>tercantum</w:t>
      </w:r>
      <w:r w:rsidR="00A954D0">
        <w:rPr>
          <w:rFonts w:ascii="Bookman Old Style" w:hAnsi="Bookman Old Style"/>
          <w:color w:val="000000"/>
          <w:sz w:val="24"/>
          <w:szCs w:val="24"/>
        </w:rPr>
        <w:t xml:space="preserve"> </w:t>
      </w:r>
      <w:r w:rsidRPr="00550459">
        <w:rPr>
          <w:rFonts w:ascii="Bookman Old Style" w:hAnsi="Bookman Old Style"/>
          <w:color w:val="000000"/>
          <w:sz w:val="24"/>
          <w:szCs w:val="24"/>
        </w:rPr>
        <w:t>pada</w:t>
      </w:r>
      <w:r w:rsidRPr="00550459">
        <w:rPr>
          <w:rFonts w:ascii="Bookman Old Style" w:hAnsi="Bookman Old Style"/>
          <w:color w:val="000000"/>
          <w:sz w:val="24"/>
          <w:szCs w:val="24"/>
          <w:lang w:val="fi-FI"/>
        </w:rPr>
        <w:t>:</w:t>
      </w:r>
    </w:p>
    <w:p w14:paraId="6AAF13C2" w14:textId="3BF234AA" w:rsidR="000D2919" w:rsidRPr="00644699" w:rsidRDefault="000D2919" w:rsidP="00154790">
      <w:pPr>
        <w:pStyle w:val="ListParagraph"/>
        <w:numPr>
          <w:ilvl w:val="0"/>
          <w:numId w:val="260"/>
        </w:numPr>
        <w:spacing w:before="60" w:after="0" w:line="276" w:lineRule="auto"/>
        <w:ind w:left="1287" w:hanging="294"/>
        <w:contextualSpacing w:val="0"/>
        <w:jc w:val="both"/>
        <w:rPr>
          <w:rFonts w:ascii="Bookman Old Style" w:hAnsi="Bookman Old Style"/>
          <w:color w:val="000000"/>
          <w:sz w:val="24"/>
          <w:szCs w:val="24"/>
          <w:lang w:val="fi-FI"/>
        </w:rPr>
      </w:pPr>
      <w:r w:rsidRPr="00B34B38">
        <w:rPr>
          <w:rFonts w:ascii="Bookman Old Style" w:hAnsi="Bookman Old Style"/>
          <w:color w:val="000000"/>
          <w:sz w:val="24"/>
          <w:szCs w:val="24"/>
          <w:lang w:val="fi-FI"/>
        </w:rPr>
        <w:t>Pengelolaan</w:t>
      </w:r>
      <w:r w:rsidR="00A954D0">
        <w:rPr>
          <w:rFonts w:ascii="Bookman Old Style" w:hAnsi="Bookman Old Style"/>
          <w:color w:val="000000"/>
          <w:sz w:val="24"/>
          <w:szCs w:val="24"/>
          <w:lang w:val="fi-FI"/>
        </w:rPr>
        <w:t xml:space="preserve"> </w:t>
      </w:r>
      <w:r w:rsidRPr="00B34B38">
        <w:rPr>
          <w:rFonts w:ascii="Bookman Old Style" w:hAnsi="Bookman Old Style"/>
          <w:color w:val="000000"/>
          <w:sz w:val="24"/>
          <w:szCs w:val="24"/>
          <w:lang w:val="fi-FI"/>
        </w:rPr>
        <w:t>Pelayanan</w:t>
      </w:r>
      <w:r w:rsidR="00A954D0">
        <w:rPr>
          <w:rFonts w:ascii="Bookman Old Style" w:hAnsi="Bookman Old Style"/>
          <w:color w:val="000000"/>
          <w:sz w:val="24"/>
          <w:szCs w:val="24"/>
          <w:lang w:val="fi-FI"/>
        </w:rPr>
        <w:t xml:space="preserve"> </w:t>
      </w:r>
      <w:r w:rsidRPr="00B34B38">
        <w:rPr>
          <w:rFonts w:ascii="Bookman Old Style" w:hAnsi="Bookman Old Style"/>
          <w:color w:val="000000"/>
          <w:sz w:val="24"/>
          <w:szCs w:val="24"/>
          <w:lang w:val="fi-FI"/>
        </w:rPr>
        <w:t>Kesehatan</w:t>
      </w:r>
      <w:r w:rsidR="00A954D0">
        <w:rPr>
          <w:rFonts w:ascii="Bookman Old Style" w:hAnsi="Bookman Old Style"/>
          <w:color w:val="000000"/>
          <w:sz w:val="24"/>
          <w:szCs w:val="24"/>
          <w:lang w:val="fi-FI"/>
        </w:rPr>
        <w:t xml:space="preserve"> </w:t>
      </w:r>
      <w:r w:rsidRPr="00B34B38">
        <w:rPr>
          <w:rFonts w:ascii="Bookman Old Style" w:hAnsi="Bookman Old Style"/>
          <w:color w:val="000000"/>
          <w:sz w:val="24"/>
          <w:szCs w:val="24"/>
          <w:lang w:val="fi-FI"/>
        </w:rPr>
        <w:t>Ibu</w:t>
      </w:r>
      <w:r w:rsidR="00A954D0">
        <w:rPr>
          <w:rFonts w:ascii="Bookman Old Style" w:hAnsi="Bookman Old Style"/>
          <w:color w:val="000000"/>
          <w:sz w:val="24"/>
          <w:szCs w:val="24"/>
          <w:lang w:val="fi-FI"/>
        </w:rPr>
        <w:t xml:space="preserve"> </w:t>
      </w:r>
      <w:r w:rsidRPr="00B34B38">
        <w:rPr>
          <w:rFonts w:ascii="Bookman Old Style" w:hAnsi="Bookman Old Style"/>
          <w:color w:val="000000"/>
          <w:sz w:val="24"/>
          <w:szCs w:val="24"/>
          <w:lang w:val="fi-FI"/>
        </w:rPr>
        <w:t>Hamil</w:t>
      </w:r>
      <w:r w:rsidR="00A954D0">
        <w:rPr>
          <w:rFonts w:ascii="Bookman Old Style" w:hAnsi="Bookman Old Style"/>
          <w:color w:val="000000"/>
          <w:sz w:val="24"/>
          <w:szCs w:val="24"/>
          <w:lang w:val="fi-FI"/>
        </w:rPr>
        <w:t xml:space="preserve"> </w:t>
      </w:r>
      <w:r w:rsidRPr="00B34B38">
        <w:rPr>
          <w:rFonts w:ascii="Bookman Old Style" w:hAnsi="Bookman Old Style"/>
          <w:color w:val="000000"/>
          <w:sz w:val="24"/>
          <w:szCs w:val="24"/>
          <w:lang w:val="fi-FI"/>
        </w:rPr>
        <w:t>Rp127.482.000,00</w:t>
      </w:r>
      <w:r w:rsidR="00A954D0" w:rsidRPr="003255BC">
        <w:rPr>
          <w:rFonts w:ascii="Bookman Old Style" w:hAnsi="Bookman Old Style"/>
          <w:color w:val="000000"/>
          <w:sz w:val="24"/>
          <w:szCs w:val="24"/>
          <w:lang w:val="sv-FI"/>
        </w:rPr>
        <w:t xml:space="preserve"> </w:t>
      </w:r>
      <w:r w:rsidR="00275DD8" w:rsidRPr="003255BC">
        <w:rPr>
          <w:rFonts w:ascii="Bookman Old Style" w:hAnsi="Bookman Old Style"/>
          <w:color w:val="000000"/>
          <w:sz w:val="24"/>
          <w:szCs w:val="24"/>
          <w:lang w:val="sv-FI"/>
        </w:rPr>
        <w:t>p</w:t>
      </w:r>
      <w:r w:rsidRPr="003255BC">
        <w:rPr>
          <w:rFonts w:ascii="Bookman Old Style" w:hAnsi="Bookman Old Style"/>
          <w:color w:val="000000"/>
          <w:sz w:val="24"/>
          <w:szCs w:val="24"/>
          <w:lang w:val="sv-FI"/>
        </w:rPr>
        <w:t>ada</w:t>
      </w:r>
      <w:r w:rsidR="00A954D0" w:rsidRPr="003255BC">
        <w:rPr>
          <w:rFonts w:ascii="Bookman Old Style" w:hAnsi="Bookman Old Style"/>
          <w:color w:val="000000"/>
          <w:sz w:val="24"/>
          <w:szCs w:val="24"/>
          <w:lang w:val="sv-FI"/>
        </w:rPr>
        <w:t xml:space="preserve"> </w:t>
      </w:r>
      <w:r w:rsidRPr="003255BC">
        <w:rPr>
          <w:rFonts w:ascii="Bookman Old Style" w:hAnsi="Bookman Old Style"/>
          <w:color w:val="000000"/>
          <w:sz w:val="24"/>
          <w:szCs w:val="24"/>
          <w:lang w:val="sv-FI"/>
        </w:rPr>
        <w:t>Dinas</w:t>
      </w:r>
      <w:r w:rsidR="00A954D0" w:rsidRPr="003255BC">
        <w:rPr>
          <w:rFonts w:ascii="Bookman Old Style" w:hAnsi="Bookman Old Style"/>
          <w:color w:val="000000"/>
          <w:sz w:val="24"/>
          <w:szCs w:val="24"/>
          <w:lang w:val="sv-FI"/>
        </w:rPr>
        <w:t xml:space="preserve"> </w:t>
      </w:r>
      <w:r w:rsidRPr="003255BC">
        <w:rPr>
          <w:rFonts w:ascii="Bookman Old Style" w:hAnsi="Bookman Old Style"/>
          <w:color w:val="000000"/>
          <w:sz w:val="24"/>
          <w:szCs w:val="24"/>
          <w:lang w:val="sv-FI"/>
        </w:rPr>
        <w:t>Kesehatan</w:t>
      </w:r>
      <w:r w:rsidRPr="00D04E39">
        <w:rPr>
          <w:rFonts w:ascii="Bookman Old Style" w:hAnsi="Bookman Old Style"/>
          <w:sz w:val="24"/>
          <w:szCs w:val="24"/>
          <w:lang w:val="fi-FI"/>
        </w:rPr>
        <w:t>,</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yang</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antara</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lain</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diuraikan</w:t>
      </w:r>
      <w:r w:rsidR="00A954D0">
        <w:rPr>
          <w:rFonts w:ascii="Bookman Old Style" w:hAnsi="Bookman Old Style"/>
          <w:sz w:val="24"/>
          <w:szCs w:val="24"/>
          <w:lang w:val="id-ID"/>
        </w:rPr>
        <w:t xml:space="preserve"> </w:t>
      </w:r>
      <w:r w:rsidRPr="00D04E39">
        <w:rPr>
          <w:rFonts w:ascii="Bookman Old Style" w:hAnsi="Bookman Old Style"/>
          <w:sz w:val="24"/>
          <w:szCs w:val="24"/>
          <w:lang w:val="fi-FI"/>
        </w:rPr>
        <w:t>ke</w:t>
      </w:r>
      <w:r w:rsidR="00A954D0">
        <w:rPr>
          <w:rFonts w:ascii="Bookman Old Style" w:hAnsi="Bookman Old Style"/>
          <w:sz w:val="24"/>
          <w:szCs w:val="24"/>
          <w:lang w:val="fi-FI"/>
        </w:rPr>
        <w:t xml:space="preserve"> </w:t>
      </w:r>
      <w:r w:rsidRPr="00D04E39">
        <w:rPr>
          <w:rFonts w:ascii="Bookman Old Style" w:hAnsi="Bookman Old Style"/>
          <w:sz w:val="24"/>
          <w:szCs w:val="24"/>
          <w:lang w:val="fi-FI"/>
        </w:rPr>
        <w:t>dalam</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sub</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rincian</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objek</w:t>
      </w:r>
      <w:r w:rsidR="00A954D0">
        <w:t xml:space="preserve"> </w:t>
      </w:r>
      <w:r w:rsidRPr="00644699">
        <w:rPr>
          <w:rFonts w:ascii="Bookman Old Style" w:hAnsi="Bookman Old Style"/>
          <w:sz w:val="24"/>
          <w:szCs w:val="24"/>
          <w:lang w:val="id-ID"/>
        </w:rPr>
        <w:t>Belanja</w:t>
      </w:r>
      <w:r w:rsidR="00A954D0">
        <w:rPr>
          <w:rFonts w:ascii="Bookman Old Style" w:hAnsi="Bookman Old Style"/>
          <w:sz w:val="24"/>
          <w:szCs w:val="24"/>
          <w:lang w:val="id-ID"/>
        </w:rPr>
        <w:t xml:space="preserve"> </w:t>
      </w:r>
      <w:r w:rsidRPr="00644699">
        <w:rPr>
          <w:rFonts w:ascii="Bookman Old Style" w:hAnsi="Bookman Old Style"/>
          <w:sz w:val="24"/>
          <w:szCs w:val="24"/>
          <w:lang w:val="id-ID"/>
        </w:rPr>
        <w:t>Perjalanan</w:t>
      </w:r>
      <w:r w:rsidR="00A954D0">
        <w:rPr>
          <w:rFonts w:ascii="Bookman Old Style" w:hAnsi="Bookman Old Style"/>
          <w:sz w:val="24"/>
          <w:szCs w:val="24"/>
          <w:lang w:val="id-ID"/>
        </w:rPr>
        <w:t xml:space="preserve"> </w:t>
      </w:r>
      <w:r w:rsidRPr="00644699">
        <w:rPr>
          <w:rFonts w:ascii="Bookman Old Style" w:hAnsi="Bookman Old Style"/>
          <w:sz w:val="24"/>
          <w:szCs w:val="24"/>
          <w:lang w:val="id-ID"/>
        </w:rPr>
        <w:t>Dinas</w:t>
      </w:r>
      <w:r w:rsidR="00A954D0">
        <w:rPr>
          <w:rFonts w:ascii="Bookman Old Style" w:hAnsi="Bookman Old Style"/>
          <w:sz w:val="24"/>
          <w:szCs w:val="24"/>
          <w:lang w:val="id-ID"/>
        </w:rPr>
        <w:t xml:space="preserve"> </w:t>
      </w:r>
      <w:r w:rsidRPr="00644699">
        <w:rPr>
          <w:rFonts w:ascii="Bookman Old Style" w:hAnsi="Bookman Old Style"/>
          <w:sz w:val="24"/>
          <w:szCs w:val="24"/>
          <w:lang w:val="id-ID"/>
        </w:rPr>
        <w:t>Dalam</w:t>
      </w:r>
      <w:r w:rsidR="00A954D0">
        <w:rPr>
          <w:rFonts w:ascii="Bookman Old Style" w:hAnsi="Bookman Old Style"/>
          <w:sz w:val="24"/>
          <w:szCs w:val="24"/>
          <w:lang w:val="id-ID"/>
        </w:rPr>
        <w:t xml:space="preserve"> </w:t>
      </w:r>
      <w:r w:rsidRPr="00644699">
        <w:rPr>
          <w:rFonts w:ascii="Bookman Old Style" w:hAnsi="Bookman Old Style"/>
          <w:sz w:val="24"/>
          <w:szCs w:val="24"/>
          <w:lang w:val="id-ID"/>
        </w:rPr>
        <w:t>Kota</w:t>
      </w:r>
      <w:r w:rsidR="00A954D0" w:rsidRPr="003255BC">
        <w:rPr>
          <w:rFonts w:ascii="Bookman Old Style" w:hAnsi="Bookman Old Style"/>
          <w:sz w:val="24"/>
          <w:szCs w:val="24"/>
          <w:lang w:val="sv-FI"/>
        </w:rPr>
        <w:t xml:space="preserve"> </w:t>
      </w:r>
      <w:r w:rsidRPr="00644699">
        <w:rPr>
          <w:rFonts w:ascii="Bookman Old Style" w:hAnsi="Bookman Old Style"/>
          <w:sz w:val="24"/>
          <w:szCs w:val="24"/>
          <w:lang w:val="id-ID"/>
        </w:rPr>
        <w:t>Rp60.000.000,00</w:t>
      </w:r>
      <w:r w:rsidRPr="003255BC">
        <w:rPr>
          <w:rFonts w:ascii="Bookman Old Style" w:hAnsi="Bookman Old Style"/>
          <w:sz w:val="24"/>
          <w:szCs w:val="24"/>
          <w:lang w:val="sv-FI"/>
        </w:rPr>
        <w:t>;</w:t>
      </w:r>
    </w:p>
    <w:p w14:paraId="688D05E8" w14:textId="44185898" w:rsidR="000D2919" w:rsidRDefault="000D2919" w:rsidP="00154790">
      <w:pPr>
        <w:pStyle w:val="ListParagraph"/>
        <w:numPr>
          <w:ilvl w:val="0"/>
          <w:numId w:val="260"/>
        </w:numPr>
        <w:spacing w:before="60" w:after="0" w:line="276" w:lineRule="auto"/>
        <w:ind w:left="1287" w:hanging="294"/>
        <w:contextualSpacing w:val="0"/>
        <w:jc w:val="both"/>
        <w:rPr>
          <w:rFonts w:ascii="Bookman Old Style" w:hAnsi="Bookman Old Style"/>
          <w:sz w:val="24"/>
          <w:szCs w:val="24"/>
          <w:lang w:val="id-ID"/>
        </w:rPr>
      </w:pPr>
      <w:r w:rsidRPr="00785B80">
        <w:rPr>
          <w:rFonts w:ascii="Bookman Old Style" w:hAnsi="Bookman Old Style"/>
          <w:color w:val="000000"/>
          <w:sz w:val="24"/>
          <w:szCs w:val="24"/>
          <w:lang w:val="fi-FI"/>
        </w:rPr>
        <w:t>Pengelolaan</w:t>
      </w:r>
      <w:r w:rsidR="00A954D0">
        <w:rPr>
          <w:rFonts w:ascii="Bookman Old Style" w:hAnsi="Bookman Old Style"/>
          <w:color w:val="000000"/>
          <w:sz w:val="24"/>
          <w:szCs w:val="24"/>
          <w:lang w:val="fi-FI"/>
        </w:rPr>
        <w:t xml:space="preserve"> </w:t>
      </w:r>
      <w:r w:rsidRPr="00785B80">
        <w:rPr>
          <w:rFonts w:ascii="Bookman Old Style" w:hAnsi="Bookman Old Style"/>
          <w:color w:val="000000"/>
          <w:sz w:val="24"/>
          <w:szCs w:val="24"/>
          <w:lang w:val="fi-FI"/>
        </w:rPr>
        <w:t>Pengadaan</w:t>
      </w:r>
      <w:r w:rsidR="00A954D0">
        <w:rPr>
          <w:rFonts w:ascii="Bookman Old Style" w:hAnsi="Bookman Old Style"/>
          <w:color w:val="000000"/>
          <w:sz w:val="24"/>
          <w:szCs w:val="24"/>
          <w:lang w:val="fi-FI"/>
        </w:rPr>
        <w:t xml:space="preserve"> </w:t>
      </w:r>
      <w:r w:rsidRPr="00785B80">
        <w:rPr>
          <w:rFonts w:ascii="Bookman Old Style" w:hAnsi="Bookman Old Style"/>
          <w:color w:val="000000"/>
          <w:sz w:val="24"/>
          <w:szCs w:val="24"/>
          <w:lang w:val="fi-FI"/>
        </w:rPr>
        <w:t>Barang</w:t>
      </w:r>
      <w:r w:rsidR="00A954D0">
        <w:rPr>
          <w:rFonts w:ascii="Bookman Old Style" w:hAnsi="Bookman Old Style"/>
          <w:color w:val="000000"/>
          <w:sz w:val="24"/>
          <w:szCs w:val="24"/>
          <w:lang w:val="fi-FI"/>
        </w:rPr>
        <w:t xml:space="preserve"> </w:t>
      </w:r>
      <w:r w:rsidRPr="00785B80">
        <w:rPr>
          <w:rFonts w:ascii="Bookman Old Style" w:hAnsi="Bookman Old Style"/>
          <w:color w:val="000000"/>
          <w:sz w:val="24"/>
          <w:szCs w:val="24"/>
          <w:lang w:val="fi-FI"/>
        </w:rPr>
        <w:t>dan</w:t>
      </w:r>
      <w:r w:rsidR="00A954D0">
        <w:rPr>
          <w:rFonts w:ascii="Bookman Old Style" w:hAnsi="Bookman Old Style"/>
          <w:color w:val="000000"/>
          <w:sz w:val="24"/>
          <w:szCs w:val="24"/>
          <w:lang w:val="fi-FI"/>
        </w:rPr>
        <w:t xml:space="preserve"> </w:t>
      </w:r>
      <w:r w:rsidRPr="00785B80">
        <w:rPr>
          <w:rFonts w:ascii="Bookman Old Style" w:hAnsi="Bookman Old Style"/>
          <w:color w:val="000000"/>
          <w:sz w:val="24"/>
          <w:szCs w:val="24"/>
          <w:lang w:val="fi-FI"/>
        </w:rPr>
        <w:t>Jasa</w:t>
      </w:r>
      <w:r w:rsidR="00A954D0">
        <w:rPr>
          <w:rFonts w:ascii="Bookman Old Style" w:hAnsi="Bookman Old Style"/>
          <w:color w:val="000000"/>
          <w:sz w:val="24"/>
          <w:szCs w:val="24"/>
          <w:lang w:val="fi-FI"/>
        </w:rPr>
        <w:t xml:space="preserve"> </w:t>
      </w:r>
      <w:r w:rsidRPr="00F70525">
        <w:rPr>
          <w:rFonts w:ascii="Bookman Old Style" w:hAnsi="Bookman Old Style"/>
          <w:color w:val="000000"/>
          <w:sz w:val="24"/>
          <w:szCs w:val="24"/>
          <w:lang w:val="fi-FI"/>
        </w:rPr>
        <w:t>Rp144.477.500,00</w:t>
      </w:r>
      <w:r w:rsidR="00A954D0">
        <w:rPr>
          <w:rFonts w:ascii="Bookman Old Style" w:hAnsi="Bookman Old Style"/>
          <w:color w:val="000000"/>
          <w:sz w:val="24"/>
          <w:szCs w:val="24"/>
          <w:lang w:val="fi-FI"/>
        </w:rPr>
        <w:t xml:space="preserve"> </w:t>
      </w:r>
      <w:r>
        <w:rPr>
          <w:rFonts w:ascii="Bookman Old Style" w:hAnsi="Bookman Old Style"/>
          <w:color w:val="000000"/>
          <w:sz w:val="24"/>
          <w:szCs w:val="24"/>
          <w:lang w:val="fi-FI"/>
        </w:rPr>
        <w:t>pada</w:t>
      </w:r>
      <w:r w:rsidR="00A954D0">
        <w:rPr>
          <w:rFonts w:ascii="Bookman Old Style" w:hAnsi="Bookman Old Style"/>
          <w:color w:val="000000"/>
          <w:sz w:val="24"/>
          <w:szCs w:val="24"/>
          <w:lang w:val="fi-FI"/>
        </w:rPr>
        <w:t xml:space="preserve"> </w:t>
      </w:r>
      <w:r w:rsidRPr="00F70525">
        <w:rPr>
          <w:rFonts w:ascii="Bookman Old Style" w:hAnsi="Bookman Old Style"/>
          <w:color w:val="000000"/>
          <w:sz w:val="24"/>
          <w:szCs w:val="24"/>
          <w:lang w:val="fi-FI"/>
        </w:rPr>
        <w:t>Sekretariat</w:t>
      </w:r>
      <w:r w:rsidR="00A954D0">
        <w:rPr>
          <w:rFonts w:ascii="Bookman Old Style" w:hAnsi="Bookman Old Style"/>
          <w:color w:val="000000"/>
          <w:sz w:val="24"/>
          <w:szCs w:val="24"/>
          <w:lang w:val="fi-FI"/>
        </w:rPr>
        <w:t xml:space="preserve"> </w:t>
      </w:r>
      <w:r w:rsidRPr="00F70525">
        <w:rPr>
          <w:rFonts w:ascii="Bookman Old Style" w:hAnsi="Bookman Old Style"/>
          <w:color w:val="000000"/>
          <w:sz w:val="24"/>
          <w:szCs w:val="24"/>
          <w:lang w:val="fi-FI"/>
        </w:rPr>
        <w:t>Daerah</w:t>
      </w:r>
      <w:r w:rsidRPr="00D04E39">
        <w:rPr>
          <w:rFonts w:ascii="Bookman Old Style" w:hAnsi="Bookman Old Style"/>
          <w:sz w:val="24"/>
          <w:szCs w:val="24"/>
          <w:lang w:val="fi-FI"/>
        </w:rPr>
        <w:t>,</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yang</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antara</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lain</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diuraikan</w:t>
      </w:r>
      <w:r w:rsidR="00A954D0">
        <w:rPr>
          <w:rFonts w:ascii="Bookman Old Style" w:hAnsi="Bookman Old Style"/>
          <w:sz w:val="24"/>
          <w:szCs w:val="24"/>
          <w:lang w:val="id-ID"/>
        </w:rPr>
        <w:t xml:space="preserve"> </w:t>
      </w:r>
      <w:r w:rsidRPr="00D04E39">
        <w:rPr>
          <w:rFonts w:ascii="Bookman Old Style" w:hAnsi="Bookman Old Style"/>
          <w:sz w:val="24"/>
          <w:szCs w:val="24"/>
          <w:lang w:val="fi-FI"/>
        </w:rPr>
        <w:t>ke</w:t>
      </w:r>
      <w:r w:rsidR="00A954D0">
        <w:rPr>
          <w:rFonts w:ascii="Bookman Old Style" w:hAnsi="Bookman Old Style"/>
          <w:sz w:val="24"/>
          <w:szCs w:val="24"/>
          <w:lang w:val="fi-FI"/>
        </w:rPr>
        <w:t xml:space="preserve"> </w:t>
      </w:r>
      <w:r w:rsidRPr="00D04E39">
        <w:rPr>
          <w:rFonts w:ascii="Bookman Old Style" w:hAnsi="Bookman Old Style"/>
          <w:sz w:val="24"/>
          <w:szCs w:val="24"/>
          <w:lang w:val="fi-FI"/>
        </w:rPr>
        <w:t>dalam</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sub</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rincian</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objek</w:t>
      </w:r>
      <w:r w:rsidR="00B73EDF">
        <w:rPr>
          <w:rFonts w:ascii="Bookman Old Style" w:hAnsi="Bookman Old Style"/>
          <w:sz w:val="24"/>
          <w:szCs w:val="24"/>
          <w:lang w:val="id-ID"/>
        </w:rPr>
        <w:t>:</w:t>
      </w:r>
    </w:p>
    <w:p w14:paraId="052894AA" w14:textId="76C489F0" w:rsidR="000D2919" w:rsidRPr="00F70525" w:rsidRDefault="000D2919" w:rsidP="00154790">
      <w:pPr>
        <w:pStyle w:val="ListParagraph"/>
        <w:numPr>
          <w:ilvl w:val="0"/>
          <w:numId w:val="261"/>
        </w:numPr>
        <w:spacing w:before="60" w:after="0" w:line="276" w:lineRule="auto"/>
        <w:ind w:left="1701" w:hanging="414"/>
        <w:contextualSpacing w:val="0"/>
        <w:jc w:val="both"/>
        <w:rPr>
          <w:rFonts w:ascii="Bookman Old Style" w:hAnsi="Bookman Old Style"/>
          <w:color w:val="000000"/>
          <w:sz w:val="24"/>
          <w:szCs w:val="24"/>
          <w:lang w:val="fi-FI"/>
        </w:rPr>
      </w:pPr>
      <w:r w:rsidRPr="00F70525">
        <w:rPr>
          <w:rFonts w:ascii="Bookman Old Style" w:hAnsi="Bookman Old Style"/>
          <w:color w:val="000000"/>
          <w:sz w:val="24"/>
          <w:szCs w:val="24"/>
          <w:lang w:val="fi-FI"/>
        </w:rPr>
        <w:t>Honorarium</w:t>
      </w:r>
      <w:r w:rsidR="00A954D0">
        <w:rPr>
          <w:rFonts w:ascii="Bookman Old Style" w:hAnsi="Bookman Old Style"/>
          <w:color w:val="000000"/>
          <w:sz w:val="24"/>
          <w:szCs w:val="24"/>
          <w:lang w:val="fi-FI"/>
        </w:rPr>
        <w:t xml:space="preserve"> </w:t>
      </w:r>
      <w:r w:rsidRPr="00F70525">
        <w:rPr>
          <w:rFonts w:ascii="Bookman Old Style" w:hAnsi="Bookman Old Style"/>
          <w:color w:val="000000"/>
          <w:sz w:val="24"/>
          <w:szCs w:val="24"/>
          <w:lang w:val="fi-FI"/>
        </w:rPr>
        <w:t>Narasumber</w:t>
      </w:r>
      <w:r w:rsidR="00A954D0">
        <w:rPr>
          <w:rFonts w:ascii="Bookman Old Style" w:hAnsi="Bookman Old Style"/>
          <w:color w:val="000000"/>
          <w:sz w:val="24"/>
          <w:szCs w:val="24"/>
          <w:lang w:val="fi-FI"/>
        </w:rPr>
        <w:t xml:space="preserve"> </w:t>
      </w:r>
      <w:r w:rsidRPr="00F70525">
        <w:rPr>
          <w:rFonts w:ascii="Bookman Old Style" w:hAnsi="Bookman Old Style"/>
          <w:color w:val="000000"/>
          <w:sz w:val="24"/>
          <w:szCs w:val="24"/>
          <w:lang w:val="fi-FI"/>
        </w:rPr>
        <w:t>atau</w:t>
      </w:r>
      <w:r w:rsidR="00A954D0">
        <w:rPr>
          <w:rFonts w:ascii="Bookman Old Style" w:hAnsi="Bookman Old Style"/>
          <w:color w:val="000000"/>
          <w:sz w:val="24"/>
          <w:szCs w:val="24"/>
          <w:lang w:val="fi-FI"/>
        </w:rPr>
        <w:t xml:space="preserve"> </w:t>
      </w:r>
      <w:r w:rsidRPr="00F70525">
        <w:rPr>
          <w:rFonts w:ascii="Bookman Old Style" w:hAnsi="Bookman Old Style"/>
          <w:color w:val="000000"/>
          <w:sz w:val="24"/>
          <w:szCs w:val="24"/>
          <w:lang w:val="fi-FI"/>
        </w:rPr>
        <w:t>Pembahas,</w:t>
      </w:r>
      <w:r w:rsidR="00A954D0">
        <w:rPr>
          <w:rFonts w:ascii="Bookman Old Style" w:hAnsi="Bookman Old Style"/>
          <w:color w:val="000000"/>
          <w:sz w:val="24"/>
          <w:szCs w:val="24"/>
          <w:lang w:val="fi-FI"/>
        </w:rPr>
        <w:t xml:space="preserve"> </w:t>
      </w:r>
      <w:r w:rsidRPr="00F70525">
        <w:rPr>
          <w:rFonts w:ascii="Bookman Old Style" w:hAnsi="Bookman Old Style"/>
          <w:color w:val="000000"/>
          <w:sz w:val="24"/>
          <w:szCs w:val="24"/>
          <w:lang w:val="fi-FI"/>
        </w:rPr>
        <w:t>Moderator,</w:t>
      </w:r>
      <w:r w:rsidR="00A954D0">
        <w:rPr>
          <w:rFonts w:ascii="Bookman Old Style" w:hAnsi="Bookman Old Style"/>
          <w:color w:val="000000"/>
          <w:sz w:val="24"/>
          <w:szCs w:val="24"/>
          <w:lang w:val="fi-FI"/>
        </w:rPr>
        <w:t xml:space="preserve"> </w:t>
      </w:r>
      <w:r w:rsidRPr="00F70525">
        <w:rPr>
          <w:rFonts w:ascii="Bookman Old Style" w:hAnsi="Bookman Old Style"/>
          <w:color w:val="000000"/>
          <w:sz w:val="24"/>
          <w:szCs w:val="24"/>
          <w:lang w:val="fi-FI"/>
        </w:rPr>
        <w:t>Pembawa</w:t>
      </w:r>
      <w:r w:rsidR="00A954D0">
        <w:rPr>
          <w:rFonts w:ascii="Bookman Old Style" w:hAnsi="Bookman Old Style"/>
          <w:color w:val="000000"/>
          <w:sz w:val="24"/>
          <w:szCs w:val="24"/>
          <w:lang w:val="fi-FI"/>
        </w:rPr>
        <w:t xml:space="preserve"> </w:t>
      </w:r>
      <w:r w:rsidRPr="00F70525">
        <w:rPr>
          <w:rFonts w:ascii="Bookman Old Style" w:hAnsi="Bookman Old Style"/>
          <w:color w:val="000000"/>
          <w:sz w:val="24"/>
          <w:szCs w:val="24"/>
          <w:lang w:val="fi-FI"/>
        </w:rPr>
        <w:t>Acara,</w:t>
      </w:r>
      <w:r w:rsidR="00A954D0">
        <w:rPr>
          <w:rFonts w:ascii="Bookman Old Style" w:hAnsi="Bookman Old Style"/>
          <w:color w:val="000000"/>
          <w:sz w:val="24"/>
          <w:szCs w:val="24"/>
          <w:lang w:val="fi-FI"/>
        </w:rPr>
        <w:t xml:space="preserve"> </w:t>
      </w:r>
      <w:r w:rsidRPr="00F70525">
        <w:rPr>
          <w:rFonts w:ascii="Bookman Old Style" w:hAnsi="Bookman Old Style"/>
          <w:color w:val="000000"/>
          <w:sz w:val="24"/>
          <w:szCs w:val="24"/>
          <w:lang w:val="fi-FI"/>
        </w:rPr>
        <w:t>dan</w:t>
      </w:r>
      <w:r w:rsidR="00A954D0">
        <w:rPr>
          <w:rFonts w:ascii="Bookman Old Style" w:hAnsi="Bookman Old Style"/>
          <w:color w:val="000000"/>
          <w:sz w:val="24"/>
          <w:szCs w:val="24"/>
          <w:lang w:val="fi-FI"/>
        </w:rPr>
        <w:t xml:space="preserve"> </w:t>
      </w:r>
      <w:r w:rsidRPr="00F70525">
        <w:rPr>
          <w:rFonts w:ascii="Bookman Old Style" w:hAnsi="Bookman Old Style"/>
          <w:color w:val="000000"/>
          <w:sz w:val="24"/>
          <w:szCs w:val="24"/>
          <w:lang w:val="fi-FI"/>
        </w:rPr>
        <w:t>Panitia</w:t>
      </w:r>
      <w:r w:rsidR="00A954D0">
        <w:rPr>
          <w:rFonts w:ascii="Bookman Old Style" w:hAnsi="Bookman Old Style"/>
          <w:color w:val="000000"/>
          <w:sz w:val="24"/>
          <w:szCs w:val="24"/>
          <w:lang w:val="fi-FI"/>
        </w:rPr>
        <w:t xml:space="preserve"> </w:t>
      </w:r>
      <w:r w:rsidRPr="00F70525">
        <w:rPr>
          <w:rFonts w:ascii="Bookman Old Style" w:hAnsi="Bookman Old Style"/>
          <w:color w:val="000000"/>
          <w:sz w:val="24"/>
          <w:szCs w:val="24"/>
          <w:lang w:val="fi-FI"/>
        </w:rPr>
        <w:t>Rp37.150.000,00</w:t>
      </w:r>
      <w:r w:rsidR="00B73EDF">
        <w:rPr>
          <w:rFonts w:ascii="Bookman Old Style" w:hAnsi="Bookman Old Style"/>
          <w:color w:val="000000"/>
          <w:sz w:val="24"/>
          <w:szCs w:val="24"/>
          <w:lang w:val="fi-FI"/>
        </w:rPr>
        <w:t>;</w:t>
      </w:r>
    </w:p>
    <w:p w14:paraId="00DBE925" w14:textId="43B39E35" w:rsidR="000D2919" w:rsidRDefault="000D2919" w:rsidP="00154790">
      <w:pPr>
        <w:pStyle w:val="ListParagraph"/>
        <w:numPr>
          <w:ilvl w:val="0"/>
          <w:numId w:val="261"/>
        </w:numPr>
        <w:spacing w:before="60" w:after="0" w:line="276" w:lineRule="auto"/>
        <w:ind w:left="1701" w:hanging="414"/>
        <w:contextualSpacing w:val="0"/>
        <w:jc w:val="both"/>
        <w:rPr>
          <w:rFonts w:ascii="Bookman Old Style" w:hAnsi="Bookman Old Style"/>
          <w:color w:val="000000"/>
          <w:sz w:val="24"/>
          <w:szCs w:val="24"/>
          <w:lang w:val="fi-FI"/>
        </w:rPr>
      </w:pPr>
      <w:r w:rsidRPr="00F70525">
        <w:rPr>
          <w:rFonts w:ascii="Bookman Old Style" w:hAnsi="Bookman Old Style"/>
          <w:color w:val="000000"/>
          <w:sz w:val="24"/>
          <w:szCs w:val="24"/>
          <w:lang w:val="fi-FI"/>
        </w:rPr>
        <w:t>Belanja</w:t>
      </w:r>
      <w:r w:rsidR="00A954D0">
        <w:rPr>
          <w:rFonts w:ascii="Bookman Old Style" w:hAnsi="Bookman Old Style"/>
          <w:color w:val="000000"/>
          <w:sz w:val="24"/>
          <w:szCs w:val="24"/>
          <w:lang w:val="fi-FI"/>
        </w:rPr>
        <w:t xml:space="preserve"> </w:t>
      </w:r>
      <w:r w:rsidRPr="00F70525">
        <w:rPr>
          <w:rFonts w:ascii="Bookman Old Style" w:hAnsi="Bookman Old Style"/>
          <w:color w:val="000000"/>
          <w:sz w:val="24"/>
          <w:szCs w:val="24"/>
          <w:lang w:val="fi-FI"/>
        </w:rPr>
        <w:t>Perjalanan</w:t>
      </w:r>
      <w:r w:rsidR="00A954D0">
        <w:rPr>
          <w:rFonts w:ascii="Bookman Old Style" w:hAnsi="Bookman Old Style"/>
          <w:color w:val="000000"/>
          <w:sz w:val="24"/>
          <w:szCs w:val="24"/>
          <w:lang w:val="fi-FI"/>
        </w:rPr>
        <w:t xml:space="preserve"> </w:t>
      </w:r>
      <w:r w:rsidRPr="00F70525">
        <w:rPr>
          <w:rFonts w:ascii="Bookman Old Style" w:hAnsi="Bookman Old Style"/>
          <w:color w:val="000000"/>
          <w:sz w:val="24"/>
          <w:szCs w:val="24"/>
          <w:lang w:val="fi-FI"/>
        </w:rPr>
        <w:t>Dinas</w:t>
      </w:r>
      <w:r w:rsidR="00A954D0">
        <w:rPr>
          <w:rFonts w:ascii="Bookman Old Style" w:hAnsi="Bookman Old Style"/>
          <w:color w:val="000000"/>
          <w:sz w:val="24"/>
          <w:szCs w:val="24"/>
          <w:lang w:val="fi-FI"/>
        </w:rPr>
        <w:t xml:space="preserve"> </w:t>
      </w:r>
      <w:r w:rsidRPr="00F70525">
        <w:rPr>
          <w:rFonts w:ascii="Bookman Old Style" w:hAnsi="Bookman Old Style"/>
          <w:color w:val="000000"/>
          <w:sz w:val="24"/>
          <w:szCs w:val="24"/>
          <w:lang w:val="fi-FI"/>
        </w:rPr>
        <w:t>Paket</w:t>
      </w:r>
      <w:r w:rsidR="00A954D0">
        <w:rPr>
          <w:rFonts w:ascii="Bookman Old Style" w:hAnsi="Bookman Old Style"/>
          <w:color w:val="000000"/>
          <w:sz w:val="24"/>
          <w:szCs w:val="24"/>
          <w:lang w:val="fi-FI"/>
        </w:rPr>
        <w:t xml:space="preserve"> </w:t>
      </w:r>
      <w:r w:rsidRPr="00F70525">
        <w:rPr>
          <w:rFonts w:ascii="Bookman Old Style" w:hAnsi="Bookman Old Style"/>
          <w:color w:val="000000"/>
          <w:sz w:val="24"/>
          <w:szCs w:val="24"/>
          <w:lang w:val="fi-FI"/>
        </w:rPr>
        <w:t>Meeting</w:t>
      </w:r>
      <w:r w:rsidR="00A954D0">
        <w:rPr>
          <w:rFonts w:ascii="Bookman Old Style" w:hAnsi="Bookman Old Style"/>
          <w:color w:val="000000"/>
          <w:sz w:val="24"/>
          <w:szCs w:val="24"/>
          <w:lang w:val="fi-FI"/>
        </w:rPr>
        <w:t xml:space="preserve"> </w:t>
      </w:r>
      <w:r w:rsidRPr="00F70525">
        <w:rPr>
          <w:rFonts w:ascii="Bookman Old Style" w:hAnsi="Bookman Old Style"/>
          <w:color w:val="000000"/>
          <w:sz w:val="24"/>
          <w:szCs w:val="24"/>
          <w:lang w:val="fi-FI"/>
        </w:rPr>
        <w:t>Luar</w:t>
      </w:r>
      <w:r w:rsidR="00A954D0">
        <w:rPr>
          <w:rFonts w:ascii="Bookman Old Style" w:hAnsi="Bookman Old Style"/>
          <w:color w:val="000000"/>
          <w:sz w:val="24"/>
          <w:szCs w:val="24"/>
          <w:lang w:val="fi-FI"/>
        </w:rPr>
        <w:t xml:space="preserve"> </w:t>
      </w:r>
      <w:r w:rsidRPr="00F70525">
        <w:rPr>
          <w:rFonts w:ascii="Bookman Old Style" w:hAnsi="Bookman Old Style"/>
          <w:color w:val="000000"/>
          <w:sz w:val="24"/>
          <w:szCs w:val="24"/>
          <w:lang w:val="fi-FI"/>
        </w:rPr>
        <w:t>Kota</w:t>
      </w:r>
      <w:r w:rsidR="00A954D0">
        <w:rPr>
          <w:rFonts w:ascii="Bookman Old Style" w:hAnsi="Bookman Old Style"/>
          <w:color w:val="000000"/>
          <w:sz w:val="24"/>
          <w:szCs w:val="24"/>
          <w:lang w:val="fi-FI"/>
        </w:rPr>
        <w:t xml:space="preserve"> </w:t>
      </w:r>
      <w:r w:rsidRPr="00F70525">
        <w:rPr>
          <w:rFonts w:ascii="Bookman Old Style" w:hAnsi="Bookman Old Style"/>
          <w:color w:val="000000"/>
          <w:sz w:val="24"/>
          <w:szCs w:val="24"/>
          <w:lang w:val="fi-FI"/>
        </w:rPr>
        <w:t>Rp98.640.000,00</w:t>
      </w:r>
      <w:r w:rsidR="00154790">
        <w:rPr>
          <w:rFonts w:ascii="Bookman Old Style" w:hAnsi="Bookman Old Style"/>
          <w:color w:val="000000"/>
          <w:sz w:val="24"/>
          <w:szCs w:val="24"/>
          <w:lang w:val="fi-FI"/>
        </w:rPr>
        <w:t>.</w:t>
      </w:r>
    </w:p>
    <w:p w14:paraId="05AD94CC" w14:textId="54391EF3" w:rsidR="000D2919" w:rsidRPr="00154790" w:rsidRDefault="000D2919" w:rsidP="00154790">
      <w:pPr>
        <w:pStyle w:val="ListParagraph"/>
        <w:numPr>
          <w:ilvl w:val="0"/>
          <w:numId w:val="260"/>
        </w:numPr>
        <w:spacing w:before="60" w:after="0" w:line="276" w:lineRule="auto"/>
        <w:ind w:left="1287" w:hanging="294"/>
        <w:contextualSpacing w:val="0"/>
        <w:jc w:val="both"/>
        <w:rPr>
          <w:rFonts w:ascii="Bookman Old Style" w:hAnsi="Bookman Old Style"/>
          <w:color w:val="000000"/>
          <w:sz w:val="24"/>
          <w:szCs w:val="24"/>
          <w:lang w:val="fi-FI"/>
        </w:rPr>
      </w:pPr>
      <w:r w:rsidRPr="00AB6C10">
        <w:rPr>
          <w:rFonts w:ascii="Bookman Old Style" w:hAnsi="Bookman Old Style"/>
          <w:color w:val="000000"/>
          <w:sz w:val="24"/>
          <w:szCs w:val="24"/>
          <w:lang w:val="fi-FI"/>
        </w:rPr>
        <w:t>Peningkatan</w:t>
      </w:r>
      <w:r w:rsidR="00A954D0">
        <w:rPr>
          <w:rFonts w:ascii="Bookman Old Style" w:hAnsi="Bookman Old Style"/>
          <w:color w:val="000000"/>
          <w:sz w:val="24"/>
          <w:szCs w:val="24"/>
          <w:lang w:val="fi-FI"/>
        </w:rPr>
        <w:t xml:space="preserve"> </w:t>
      </w:r>
      <w:r w:rsidRPr="00AB6C10">
        <w:rPr>
          <w:rFonts w:ascii="Bookman Old Style" w:hAnsi="Bookman Old Style"/>
          <w:color w:val="000000"/>
          <w:sz w:val="24"/>
          <w:szCs w:val="24"/>
          <w:lang w:val="fi-FI"/>
        </w:rPr>
        <w:t>Mutu</w:t>
      </w:r>
      <w:r w:rsidR="00A954D0">
        <w:rPr>
          <w:rFonts w:ascii="Bookman Old Style" w:hAnsi="Bookman Old Style"/>
          <w:color w:val="000000"/>
          <w:sz w:val="24"/>
          <w:szCs w:val="24"/>
          <w:lang w:val="fi-FI"/>
        </w:rPr>
        <w:t xml:space="preserve"> </w:t>
      </w:r>
      <w:r w:rsidRPr="00AB6C10">
        <w:rPr>
          <w:rFonts w:ascii="Bookman Old Style" w:hAnsi="Bookman Old Style"/>
          <w:color w:val="000000"/>
          <w:sz w:val="24"/>
          <w:szCs w:val="24"/>
          <w:lang w:val="fi-FI"/>
        </w:rPr>
        <w:t>Pelayanan</w:t>
      </w:r>
      <w:r w:rsidR="00A954D0">
        <w:rPr>
          <w:rFonts w:ascii="Bookman Old Style" w:hAnsi="Bookman Old Style"/>
          <w:color w:val="000000"/>
          <w:sz w:val="24"/>
          <w:szCs w:val="24"/>
          <w:lang w:val="fi-FI"/>
        </w:rPr>
        <w:t xml:space="preserve"> </w:t>
      </w:r>
      <w:r w:rsidRPr="00AB6C10">
        <w:rPr>
          <w:rFonts w:ascii="Bookman Old Style" w:hAnsi="Bookman Old Style"/>
          <w:color w:val="000000"/>
          <w:sz w:val="24"/>
          <w:szCs w:val="24"/>
          <w:lang w:val="fi-FI"/>
        </w:rPr>
        <w:t>Fasilitas</w:t>
      </w:r>
      <w:r w:rsidR="00A954D0">
        <w:rPr>
          <w:rFonts w:ascii="Bookman Old Style" w:hAnsi="Bookman Old Style"/>
          <w:color w:val="000000"/>
          <w:sz w:val="24"/>
          <w:szCs w:val="24"/>
          <w:lang w:val="fi-FI"/>
        </w:rPr>
        <w:t xml:space="preserve"> </w:t>
      </w:r>
      <w:r w:rsidRPr="00AB6C10">
        <w:rPr>
          <w:rFonts w:ascii="Bookman Old Style" w:hAnsi="Bookman Old Style"/>
          <w:color w:val="000000"/>
          <w:sz w:val="24"/>
          <w:szCs w:val="24"/>
          <w:lang w:val="fi-FI"/>
        </w:rPr>
        <w:t>Kesehatan</w:t>
      </w:r>
      <w:r w:rsidR="00A954D0">
        <w:rPr>
          <w:rFonts w:ascii="Bookman Old Style" w:hAnsi="Bookman Old Style"/>
          <w:color w:val="000000"/>
          <w:sz w:val="24"/>
          <w:szCs w:val="24"/>
          <w:lang w:val="fi-FI"/>
        </w:rPr>
        <w:t xml:space="preserve"> </w:t>
      </w:r>
      <w:r w:rsidRPr="00AB6C10">
        <w:rPr>
          <w:rFonts w:ascii="Bookman Old Style" w:hAnsi="Bookman Old Style"/>
          <w:color w:val="000000"/>
          <w:sz w:val="24"/>
          <w:szCs w:val="24"/>
          <w:lang w:val="fi-FI"/>
        </w:rPr>
        <w:t>Rp334.600.000,00</w:t>
      </w:r>
      <w:r w:rsidR="00A954D0">
        <w:rPr>
          <w:rFonts w:ascii="Bookman Old Style" w:hAnsi="Bookman Old Style"/>
          <w:color w:val="000000"/>
          <w:sz w:val="24"/>
          <w:szCs w:val="24"/>
          <w:lang w:val="fi-FI"/>
        </w:rPr>
        <w:t xml:space="preserve"> </w:t>
      </w:r>
      <w:r>
        <w:rPr>
          <w:rFonts w:ascii="Bookman Old Style" w:hAnsi="Bookman Old Style"/>
          <w:color w:val="000000"/>
          <w:sz w:val="24"/>
          <w:szCs w:val="24"/>
          <w:lang w:val="fi-FI"/>
        </w:rPr>
        <w:t>pada</w:t>
      </w:r>
      <w:r w:rsidR="00A954D0">
        <w:rPr>
          <w:rFonts w:ascii="Bookman Old Style" w:hAnsi="Bookman Old Style"/>
          <w:color w:val="000000"/>
          <w:sz w:val="24"/>
          <w:szCs w:val="24"/>
          <w:lang w:val="fi-FI"/>
        </w:rPr>
        <w:t xml:space="preserve"> </w:t>
      </w:r>
      <w:r w:rsidRPr="00154790">
        <w:rPr>
          <w:rFonts w:ascii="Bookman Old Style" w:hAnsi="Bookman Old Style"/>
          <w:color w:val="000000"/>
          <w:sz w:val="24"/>
          <w:szCs w:val="24"/>
          <w:lang w:val="fi-FI"/>
        </w:rPr>
        <w:t>Dinas</w:t>
      </w:r>
      <w:r w:rsidR="00A954D0" w:rsidRPr="00154790">
        <w:rPr>
          <w:rFonts w:ascii="Bookman Old Style" w:hAnsi="Bookman Old Style"/>
          <w:color w:val="000000"/>
          <w:sz w:val="24"/>
          <w:szCs w:val="24"/>
          <w:lang w:val="fi-FI"/>
        </w:rPr>
        <w:t xml:space="preserve"> </w:t>
      </w:r>
      <w:r w:rsidRPr="00154790">
        <w:rPr>
          <w:rFonts w:ascii="Bookman Old Style" w:hAnsi="Bookman Old Style"/>
          <w:color w:val="000000"/>
          <w:sz w:val="24"/>
          <w:szCs w:val="24"/>
          <w:lang w:val="fi-FI"/>
        </w:rPr>
        <w:t>Kesehatan,</w:t>
      </w:r>
      <w:r w:rsidR="00A954D0" w:rsidRPr="00154790">
        <w:rPr>
          <w:rFonts w:ascii="Bookman Old Style" w:hAnsi="Bookman Old Style"/>
          <w:color w:val="000000"/>
          <w:sz w:val="24"/>
          <w:szCs w:val="24"/>
          <w:lang w:val="fi-FI"/>
        </w:rPr>
        <w:t xml:space="preserve"> </w:t>
      </w:r>
      <w:r w:rsidRPr="00154790">
        <w:rPr>
          <w:rFonts w:ascii="Bookman Old Style" w:hAnsi="Bookman Old Style"/>
          <w:color w:val="000000"/>
          <w:sz w:val="24"/>
          <w:szCs w:val="24"/>
          <w:lang w:val="fi-FI"/>
        </w:rPr>
        <w:t>yang</w:t>
      </w:r>
      <w:r w:rsidR="00A954D0" w:rsidRPr="00154790">
        <w:rPr>
          <w:rFonts w:ascii="Bookman Old Style" w:hAnsi="Bookman Old Style"/>
          <w:color w:val="000000"/>
          <w:sz w:val="24"/>
          <w:szCs w:val="24"/>
          <w:lang w:val="fi-FI"/>
        </w:rPr>
        <w:t xml:space="preserve"> </w:t>
      </w:r>
      <w:r w:rsidRPr="00154790">
        <w:rPr>
          <w:rFonts w:ascii="Bookman Old Style" w:hAnsi="Bookman Old Style"/>
          <w:color w:val="000000"/>
          <w:sz w:val="24"/>
          <w:szCs w:val="24"/>
          <w:lang w:val="fi-FI"/>
        </w:rPr>
        <w:t>antara</w:t>
      </w:r>
      <w:r w:rsidR="00A954D0" w:rsidRPr="00154790">
        <w:rPr>
          <w:rFonts w:ascii="Bookman Old Style" w:hAnsi="Bookman Old Style"/>
          <w:color w:val="000000"/>
          <w:sz w:val="24"/>
          <w:szCs w:val="24"/>
          <w:lang w:val="fi-FI"/>
        </w:rPr>
        <w:t xml:space="preserve"> </w:t>
      </w:r>
      <w:r w:rsidRPr="00154790">
        <w:rPr>
          <w:rFonts w:ascii="Bookman Old Style" w:hAnsi="Bookman Old Style"/>
          <w:color w:val="000000"/>
          <w:sz w:val="24"/>
          <w:szCs w:val="24"/>
          <w:lang w:val="fi-FI"/>
        </w:rPr>
        <w:t>lain</w:t>
      </w:r>
      <w:r w:rsidR="00A954D0" w:rsidRPr="00154790">
        <w:rPr>
          <w:rFonts w:ascii="Bookman Old Style" w:hAnsi="Bookman Old Style"/>
          <w:color w:val="000000"/>
          <w:sz w:val="24"/>
          <w:szCs w:val="24"/>
          <w:lang w:val="fi-FI"/>
        </w:rPr>
        <w:t xml:space="preserve"> </w:t>
      </w:r>
      <w:r w:rsidRPr="00154790">
        <w:rPr>
          <w:rFonts w:ascii="Bookman Old Style" w:hAnsi="Bookman Old Style"/>
          <w:color w:val="000000"/>
          <w:sz w:val="24"/>
          <w:szCs w:val="24"/>
          <w:lang w:val="fi-FI"/>
        </w:rPr>
        <w:t>diuraikan</w:t>
      </w:r>
      <w:r w:rsidR="00A954D0" w:rsidRPr="00154790">
        <w:rPr>
          <w:rFonts w:ascii="Bookman Old Style" w:hAnsi="Bookman Old Style"/>
          <w:color w:val="000000"/>
          <w:sz w:val="24"/>
          <w:szCs w:val="24"/>
          <w:lang w:val="fi-FI"/>
        </w:rPr>
        <w:t xml:space="preserve"> </w:t>
      </w:r>
      <w:r w:rsidRPr="00154790">
        <w:rPr>
          <w:rFonts w:ascii="Bookman Old Style" w:hAnsi="Bookman Old Style"/>
          <w:color w:val="000000"/>
          <w:sz w:val="24"/>
          <w:szCs w:val="24"/>
          <w:lang w:val="fi-FI"/>
        </w:rPr>
        <w:t>ke</w:t>
      </w:r>
      <w:r w:rsidR="00A954D0" w:rsidRPr="00154790">
        <w:rPr>
          <w:rFonts w:ascii="Bookman Old Style" w:hAnsi="Bookman Old Style"/>
          <w:color w:val="000000"/>
          <w:sz w:val="24"/>
          <w:szCs w:val="24"/>
          <w:lang w:val="fi-FI"/>
        </w:rPr>
        <w:t xml:space="preserve"> </w:t>
      </w:r>
      <w:r w:rsidRPr="00154790">
        <w:rPr>
          <w:rFonts w:ascii="Bookman Old Style" w:hAnsi="Bookman Old Style"/>
          <w:color w:val="000000"/>
          <w:sz w:val="24"/>
          <w:szCs w:val="24"/>
          <w:lang w:val="fi-FI"/>
        </w:rPr>
        <w:t>dalam</w:t>
      </w:r>
      <w:r w:rsidR="00A954D0" w:rsidRPr="00154790">
        <w:rPr>
          <w:rFonts w:ascii="Bookman Old Style" w:hAnsi="Bookman Old Style"/>
          <w:color w:val="000000"/>
          <w:sz w:val="24"/>
          <w:szCs w:val="24"/>
          <w:lang w:val="fi-FI"/>
        </w:rPr>
        <w:t xml:space="preserve"> </w:t>
      </w:r>
      <w:r w:rsidRPr="00154790">
        <w:rPr>
          <w:rFonts w:ascii="Bookman Old Style" w:hAnsi="Bookman Old Style"/>
          <w:color w:val="000000"/>
          <w:sz w:val="24"/>
          <w:szCs w:val="24"/>
          <w:lang w:val="fi-FI"/>
        </w:rPr>
        <w:t>sub</w:t>
      </w:r>
      <w:r w:rsidR="00A954D0" w:rsidRPr="00154790">
        <w:rPr>
          <w:rFonts w:ascii="Bookman Old Style" w:hAnsi="Bookman Old Style"/>
          <w:color w:val="000000"/>
          <w:sz w:val="24"/>
          <w:szCs w:val="24"/>
          <w:lang w:val="fi-FI"/>
        </w:rPr>
        <w:t xml:space="preserve"> </w:t>
      </w:r>
      <w:r w:rsidRPr="00154790">
        <w:rPr>
          <w:rFonts w:ascii="Bookman Old Style" w:hAnsi="Bookman Old Style"/>
          <w:color w:val="000000"/>
          <w:sz w:val="24"/>
          <w:szCs w:val="24"/>
          <w:lang w:val="fi-FI"/>
        </w:rPr>
        <w:t>rincian</w:t>
      </w:r>
      <w:r w:rsidR="00A954D0" w:rsidRPr="00154790">
        <w:rPr>
          <w:rFonts w:ascii="Bookman Old Style" w:hAnsi="Bookman Old Style"/>
          <w:color w:val="000000"/>
          <w:sz w:val="24"/>
          <w:szCs w:val="24"/>
          <w:lang w:val="fi-FI"/>
        </w:rPr>
        <w:t xml:space="preserve"> </w:t>
      </w:r>
      <w:r w:rsidRPr="00154790">
        <w:rPr>
          <w:rFonts w:ascii="Bookman Old Style" w:hAnsi="Bookman Old Style"/>
          <w:color w:val="000000"/>
          <w:sz w:val="24"/>
          <w:szCs w:val="24"/>
          <w:lang w:val="fi-FI"/>
        </w:rPr>
        <w:t>objek</w:t>
      </w:r>
      <w:r w:rsidR="00A954D0" w:rsidRPr="00154790">
        <w:rPr>
          <w:rFonts w:ascii="Bookman Old Style" w:hAnsi="Bookman Old Style"/>
          <w:color w:val="000000"/>
          <w:sz w:val="24"/>
          <w:szCs w:val="24"/>
          <w:lang w:val="fi-FI"/>
        </w:rPr>
        <w:t xml:space="preserve"> </w:t>
      </w:r>
      <w:r w:rsidRPr="00154790">
        <w:rPr>
          <w:rFonts w:ascii="Bookman Old Style" w:hAnsi="Bookman Old Style"/>
          <w:color w:val="000000"/>
          <w:sz w:val="24"/>
          <w:szCs w:val="24"/>
          <w:lang w:val="fi-FI"/>
        </w:rPr>
        <w:t>Belanja</w:t>
      </w:r>
      <w:r w:rsidR="00A954D0" w:rsidRPr="00154790">
        <w:rPr>
          <w:rFonts w:ascii="Bookman Old Style" w:hAnsi="Bookman Old Style"/>
          <w:color w:val="000000"/>
          <w:sz w:val="24"/>
          <w:szCs w:val="24"/>
          <w:lang w:val="fi-FI"/>
        </w:rPr>
        <w:t xml:space="preserve"> </w:t>
      </w:r>
      <w:r w:rsidRPr="00154790">
        <w:rPr>
          <w:rFonts w:ascii="Bookman Old Style" w:hAnsi="Bookman Old Style"/>
          <w:color w:val="000000"/>
          <w:sz w:val="24"/>
          <w:szCs w:val="24"/>
          <w:lang w:val="fi-FI"/>
        </w:rPr>
        <w:t>Perjalanan</w:t>
      </w:r>
      <w:r w:rsidR="00A954D0" w:rsidRPr="00154790">
        <w:rPr>
          <w:rFonts w:ascii="Bookman Old Style" w:hAnsi="Bookman Old Style"/>
          <w:color w:val="000000"/>
          <w:sz w:val="24"/>
          <w:szCs w:val="24"/>
          <w:lang w:val="fi-FI"/>
        </w:rPr>
        <w:t xml:space="preserve"> </w:t>
      </w:r>
      <w:r w:rsidRPr="00154790">
        <w:rPr>
          <w:rFonts w:ascii="Bookman Old Style" w:hAnsi="Bookman Old Style"/>
          <w:color w:val="000000"/>
          <w:sz w:val="24"/>
          <w:szCs w:val="24"/>
          <w:lang w:val="fi-FI"/>
        </w:rPr>
        <w:t>Dinas</w:t>
      </w:r>
      <w:r w:rsidR="00A954D0" w:rsidRPr="00154790">
        <w:rPr>
          <w:rFonts w:ascii="Bookman Old Style" w:hAnsi="Bookman Old Style"/>
          <w:color w:val="000000"/>
          <w:sz w:val="24"/>
          <w:szCs w:val="24"/>
          <w:lang w:val="fi-FI"/>
        </w:rPr>
        <w:t xml:space="preserve"> </w:t>
      </w:r>
      <w:r w:rsidRPr="00154790">
        <w:rPr>
          <w:rFonts w:ascii="Bookman Old Style" w:hAnsi="Bookman Old Style"/>
          <w:color w:val="000000"/>
          <w:sz w:val="24"/>
          <w:szCs w:val="24"/>
          <w:lang w:val="fi-FI"/>
        </w:rPr>
        <w:t>Biasa</w:t>
      </w:r>
      <w:r w:rsidR="00A954D0" w:rsidRPr="00154790">
        <w:rPr>
          <w:rFonts w:ascii="Bookman Old Style" w:hAnsi="Bookman Old Style"/>
          <w:color w:val="000000"/>
          <w:sz w:val="24"/>
          <w:szCs w:val="24"/>
          <w:lang w:val="fi-FI"/>
        </w:rPr>
        <w:t xml:space="preserve"> </w:t>
      </w:r>
      <w:r w:rsidRPr="00154790">
        <w:rPr>
          <w:rFonts w:ascii="Bookman Old Style" w:hAnsi="Bookman Old Style"/>
          <w:color w:val="000000"/>
          <w:sz w:val="24"/>
          <w:szCs w:val="24"/>
          <w:lang w:val="fi-FI"/>
        </w:rPr>
        <w:t>Rp156.000.000,00</w:t>
      </w:r>
      <w:r w:rsidR="00B73EDF" w:rsidRPr="00154790">
        <w:rPr>
          <w:rFonts w:ascii="Bookman Old Style" w:hAnsi="Bookman Old Style"/>
          <w:color w:val="000000"/>
          <w:sz w:val="24"/>
          <w:szCs w:val="24"/>
          <w:lang w:val="fi-FI"/>
        </w:rPr>
        <w:t>;</w:t>
      </w:r>
    </w:p>
    <w:p w14:paraId="6D51C4FA" w14:textId="73C262AA" w:rsidR="000D2919" w:rsidRPr="003255BC" w:rsidRDefault="000D2919" w:rsidP="00154790">
      <w:pPr>
        <w:pStyle w:val="ListParagraph"/>
        <w:numPr>
          <w:ilvl w:val="0"/>
          <w:numId w:val="260"/>
        </w:numPr>
        <w:spacing w:before="60" w:after="0" w:line="276" w:lineRule="auto"/>
        <w:ind w:left="1287" w:hanging="294"/>
        <w:contextualSpacing w:val="0"/>
        <w:jc w:val="both"/>
        <w:rPr>
          <w:rFonts w:ascii="Bookman Old Style" w:hAnsi="Bookman Old Style"/>
          <w:color w:val="000000"/>
          <w:sz w:val="24"/>
          <w:szCs w:val="24"/>
          <w:lang w:val="sv-FI"/>
        </w:rPr>
      </w:pPr>
      <w:r w:rsidRPr="002A7486">
        <w:rPr>
          <w:rFonts w:ascii="Bookman Old Style" w:hAnsi="Bookman Old Style"/>
          <w:color w:val="000000"/>
          <w:sz w:val="24"/>
          <w:szCs w:val="24"/>
          <w:lang w:val="fi-FI"/>
        </w:rPr>
        <w:t>Pelayanan</w:t>
      </w:r>
      <w:r w:rsidR="00A954D0">
        <w:rPr>
          <w:rFonts w:ascii="Bookman Old Style" w:hAnsi="Bookman Old Style"/>
          <w:color w:val="000000"/>
          <w:sz w:val="24"/>
          <w:szCs w:val="24"/>
          <w:lang w:val="fi-FI"/>
        </w:rPr>
        <w:t xml:space="preserve"> </w:t>
      </w:r>
      <w:r w:rsidRPr="002A7486">
        <w:rPr>
          <w:rFonts w:ascii="Bookman Old Style" w:hAnsi="Bookman Old Style"/>
          <w:color w:val="000000"/>
          <w:sz w:val="24"/>
          <w:szCs w:val="24"/>
          <w:lang w:val="fi-FI"/>
        </w:rPr>
        <w:t>Kesehatan</w:t>
      </w:r>
      <w:r w:rsidR="00A954D0">
        <w:rPr>
          <w:rFonts w:ascii="Bookman Old Style" w:hAnsi="Bookman Old Style"/>
          <w:color w:val="000000"/>
          <w:sz w:val="24"/>
          <w:szCs w:val="24"/>
          <w:lang w:val="fi-FI"/>
        </w:rPr>
        <w:t xml:space="preserve"> </w:t>
      </w:r>
      <w:r w:rsidRPr="002A7486">
        <w:rPr>
          <w:rFonts w:ascii="Bookman Old Style" w:hAnsi="Bookman Old Style"/>
          <w:color w:val="000000"/>
          <w:sz w:val="24"/>
          <w:szCs w:val="24"/>
          <w:lang w:val="fi-FI"/>
        </w:rPr>
        <w:t>Penyakit</w:t>
      </w:r>
      <w:r w:rsidR="00A954D0">
        <w:rPr>
          <w:rFonts w:ascii="Bookman Old Style" w:hAnsi="Bookman Old Style"/>
          <w:color w:val="000000"/>
          <w:sz w:val="24"/>
          <w:szCs w:val="24"/>
          <w:lang w:val="fi-FI"/>
        </w:rPr>
        <w:t xml:space="preserve"> </w:t>
      </w:r>
      <w:r w:rsidRPr="002A7486">
        <w:rPr>
          <w:rFonts w:ascii="Bookman Old Style" w:hAnsi="Bookman Old Style"/>
          <w:color w:val="000000"/>
          <w:sz w:val="24"/>
          <w:szCs w:val="24"/>
          <w:lang w:val="fi-FI"/>
        </w:rPr>
        <w:t>Menular</w:t>
      </w:r>
      <w:r w:rsidR="00A954D0">
        <w:rPr>
          <w:rFonts w:ascii="Bookman Old Style" w:hAnsi="Bookman Old Style"/>
          <w:color w:val="000000"/>
          <w:sz w:val="24"/>
          <w:szCs w:val="24"/>
          <w:lang w:val="fi-FI"/>
        </w:rPr>
        <w:t xml:space="preserve"> </w:t>
      </w:r>
      <w:r w:rsidRPr="002A7486">
        <w:rPr>
          <w:rFonts w:ascii="Bookman Old Style" w:hAnsi="Bookman Old Style"/>
          <w:color w:val="000000"/>
          <w:sz w:val="24"/>
          <w:szCs w:val="24"/>
          <w:lang w:val="fi-FI"/>
        </w:rPr>
        <w:t>dan</w:t>
      </w:r>
      <w:r w:rsidR="00A954D0">
        <w:rPr>
          <w:rFonts w:ascii="Bookman Old Style" w:hAnsi="Bookman Old Style"/>
          <w:color w:val="000000"/>
          <w:sz w:val="24"/>
          <w:szCs w:val="24"/>
          <w:lang w:val="fi-FI"/>
        </w:rPr>
        <w:t xml:space="preserve"> </w:t>
      </w:r>
      <w:r w:rsidRPr="002A7486">
        <w:rPr>
          <w:rFonts w:ascii="Bookman Old Style" w:hAnsi="Bookman Old Style"/>
          <w:color w:val="000000"/>
          <w:sz w:val="24"/>
          <w:szCs w:val="24"/>
          <w:lang w:val="fi-FI"/>
        </w:rPr>
        <w:t>Tidak</w:t>
      </w:r>
      <w:r w:rsidR="00A954D0">
        <w:rPr>
          <w:rFonts w:ascii="Bookman Old Style" w:hAnsi="Bookman Old Style"/>
          <w:color w:val="000000"/>
          <w:sz w:val="24"/>
          <w:szCs w:val="24"/>
          <w:lang w:val="fi-FI"/>
        </w:rPr>
        <w:t xml:space="preserve"> </w:t>
      </w:r>
      <w:r w:rsidRPr="002A7486">
        <w:rPr>
          <w:rFonts w:ascii="Bookman Old Style" w:hAnsi="Bookman Old Style"/>
          <w:color w:val="000000"/>
          <w:sz w:val="24"/>
          <w:szCs w:val="24"/>
          <w:lang w:val="fi-FI"/>
        </w:rPr>
        <w:t>Menular</w:t>
      </w:r>
      <w:r w:rsidR="00A954D0">
        <w:rPr>
          <w:rFonts w:ascii="Bookman Old Style" w:hAnsi="Bookman Old Style"/>
          <w:color w:val="000000"/>
          <w:sz w:val="24"/>
          <w:szCs w:val="24"/>
          <w:lang w:val="fi-FI"/>
        </w:rPr>
        <w:t xml:space="preserve"> </w:t>
      </w:r>
      <w:r w:rsidRPr="002A7486">
        <w:rPr>
          <w:rFonts w:ascii="Bookman Old Style" w:hAnsi="Bookman Old Style"/>
          <w:color w:val="000000"/>
          <w:sz w:val="24"/>
          <w:szCs w:val="24"/>
          <w:lang w:val="fi-FI"/>
        </w:rPr>
        <w:t>Rp165.435.000,00</w:t>
      </w:r>
      <w:r w:rsidR="00A954D0">
        <w:rPr>
          <w:rFonts w:ascii="Bookman Old Style" w:hAnsi="Bookman Old Style"/>
          <w:color w:val="000000"/>
          <w:sz w:val="24"/>
          <w:szCs w:val="24"/>
          <w:lang w:val="fi-FI"/>
        </w:rPr>
        <w:t xml:space="preserve"> </w:t>
      </w:r>
      <w:r>
        <w:rPr>
          <w:rFonts w:ascii="Bookman Old Style" w:hAnsi="Bookman Old Style"/>
          <w:color w:val="000000"/>
          <w:sz w:val="24"/>
          <w:szCs w:val="24"/>
          <w:lang w:val="fi-FI"/>
        </w:rPr>
        <w:t>pada</w:t>
      </w:r>
      <w:r w:rsidR="00A954D0">
        <w:rPr>
          <w:rFonts w:ascii="Bookman Old Style" w:hAnsi="Bookman Old Style"/>
          <w:color w:val="000000"/>
          <w:sz w:val="24"/>
          <w:szCs w:val="24"/>
          <w:lang w:val="fi-FI"/>
        </w:rPr>
        <w:t xml:space="preserve"> </w:t>
      </w:r>
      <w:r w:rsidRPr="003255BC">
        <w:rPr>
          <w:rFonts w:ascii="Bookman Old Style" w:hAnsi="Bookman Old Style"/>
          <w:color w:val="000000"/>
          <w:sz w:val="24"/>
          <w:szCs w:val="24"/>
          <w:lang w:val="sv-FI"/>
        </w:rPr>
        <w:t>Dinas</w:t>
      </w:r>
      <w:r w:rsidR="00A954D0" w:rsidRPr="003255BC">
        <w:rPr>
          <w:rFonts w:ascii="Bookman Old Style" w:hAnsi="Bookman Old Style"/>
          <w:color w:val="000000"/>
          <w:sz w:val="24"/>
          <w:szCs w:val="24"/>
          <w:lang w:val="sv-FI"/>
        </w:rPr>
        <w:t xml:space="preserve"> </w:t>
      </w:r>
      <w:r w:rsidRPr="003255BC">
        <w:rPr>
          <w:rFonts w:ascii="Bookman Old Style" w:hAnsi="Bookman Old Style"/>
          <w:color w:val="000000"/>
          <w:sz w:val="24"/>
          <w:szCs w:val="24"/>
          <w:lang w:val="sv-FI"/>
        </w:rPr>
        <w:t>Kesehatan</w:t>
      </w:r>
      <w:r w:rsidRPr="00D04E39">
        <w:rPr>
          <w:rFonts w:ascii="Bookman Old Style" w:hAnsi="Bookman Old Style"/>
          <w:sz w:val="24"/>
          <w:szCs w:val="24"/>
          <w:lang w:val="fi-FI"/>
        </w:rPr>
        <w:t>,</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yang</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antara</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lain</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diuraikan</w:t>
      </w:r>
      <w:r w:rsidR="00A954D0">
        <w:rPr>
          <w:rFonts w:ascii="Bookman Old Style" w:hAnsi="Bookman Old Style"/>
          <w:sz w:val="24"/>
          <w:szCs w:val="24"/>
          <w:lang w:val="id-ID"/>
        </w:rPr>
        <w:t xml:space="preserve"> </w:t>
      </w:r>
      <w:r w:rsidRPr="00D04E39">
        <w:rPr>
          <w:rFonts w:ascii="Bookman Old Style" w:hAnsi="Bookman Old Style"/>
          <w:sz w:val="24"/>
          <w:szCs w:val="24"/>
          <w:lang w:val="fi-FI"/>
        </w:rPr>
        <w:t>ke</w:t>
      </w:r>
      <w:r w:rsidR="00A954D0">
        <w:rPr>
          <w:rFonts w:ascii="Bookman Old Style" w:hAnsi="Bookman Old Style"/>
          <w:sz w:val="24"/>
          <w:szCs w:val="24"/>
          <w:lang w:val="fi-FI"/>
        </w:rPr>
        <w:t xml:space="preserve"> </w:t>
      </w:r>
      <w:r w:rsidRPr="00D04E39">
        <w:rPr>
          <w:rFonts w:ascii="Bookman Old Style" w:hAnsi="Bookman Old Style"/>
          <w:sz w:val="24"/>
          <w:szCs w:val="24"/>
          <w:lang w:val="fi-FI"/>
        </w:rPr>
        <w:t>dalam</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sub</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rincian</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objek</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Belanja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Perjalanan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Dinas</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Dalam</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Kota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Rp138.900.000,00</w:t>
      </w:r>
      <w:r w:rsidR="00B73EDF" w:rsidRPr="003255BC">
        <w:rPr>
          <w:rFonts w:ascii="Bookman Old Style" w:hAnsi="Bookman Old Style"/>
          <w:sz w:val="24"/>
          <w:szCs w:val="24"/>
          <w:lang w:val="sv-FI"/>
        </w:rPr>
        <w:t>;</w:t>
      </w:r>
    </w:p>
    <w:p w14:paraId="2EE9DC09" w14:textId="121A7D20" w:rsidR="00B520D5" w:rsidRDefault="00154790" w:rsidP="00154790">
      <w:pPr>
        <w:pStyle w:val="ListParagraph"/>
        <w:spacing w:before="60" w:after="0" w:line="276" w:lineRule="auto"/>
        <w:ind w:left="993"/>
        <w:contextualSpacing w:val="0"/>
        <w:jc w:val="both"/>
        <w:rPr>
          <w:rFonts w:ascii="Bookman Old Style" w:hAnsi="Bookman Old Style"/>
          <w:sz w:val="24"/>
          <w:szCs w:val="24"/>
        </w:rPr>
      </w:pPr>
      <w:r w:rsidRPr="00154790">
        <w:rPr>
          <w:rFonts w:ascii="Bookman Old Style" w:hAnsi="Bookman Old Style"/>
          <w:sz w:val="24"/>
          <w:szCs w:val="24"/>
          <w:lang w:val="sv-FI"/>
        </w:rPr>
        <w:t>D</w:t>
      </w:r>
      <w:r w:rsidR="000D2919">
        <w:rPr>
          <w:rFonts w:ascii="Bookman Old Style" w:hAnsi="Bookman Old Style"/>
          <w:sz w:val="24"/>
          <w:szCs w:val="24"/>
        </w:rPr>
        <w:t>iindikasikan</w:t>
      </w:r>
      <w:r w:rsidR="00A954D0">
        <w:rPr>
          <w:rFonts w:ascii="Bookman Old Style" w:hAnsi="Bookman Old Style"/>
          <w:sz w:val="24"/>
          <w:szCs w:val="24"/>
        </w:rPr>
        <w:t xml:space="preserve"> </w:t>
      </w:r>
      <w:r w:rsidR="000D2919">
        <w:rPr>
          <w:rFonts w:ascii="Bookman Old Style" w:hAnsi="Bookman Old Style"/>
          <w:sz w:val="24"/>
          <w:szCs w:val="24"/>
        </w:rPr>
        <w:t>proporsi</w:t>
      </w:r>
      <w:r w:rsidR="00A954D0">
        <w:rPr>
          <w:rFonts w:ascii="Bookman Old Style" w:hAnsi="Bookman Old Style"/>
          <w:sz w:val="24"/>
          <w:szCs w:val="24"/>
        </w:rPr>
        <w:t xml:space="preserve"> </w:t>
      </w:r>
      <w:r w:rsidR="000D2919">
        <w:rPr>
          <w:rFonts w:ascii="Bookman Old Style" w:hAnsi="Bookman Old Style"/>
          <w:sz w:val="24"/>
          <w:szCs w:val="24"/>
        </w:rPr>
        <w:t>alokasi</w:t>
      </w:r>
      <w:r w:rsidR="00A954D0">
        <w:rPr>
          <w:rFonts w:ascii="Bookman Old Style" w:hAnsi="Bookman Old Style"/>
          <w:sz w:val="24"/>
          <w:szCs w:val="24"/>
        </w:rPr>
        <w:t xml:space="preserve"> </w:t>
      </w:r>
      <w:r w:rsidR="000D2919">
        <w:rPr>
          <w:rFonts w:ascii="Bookman Old Style" w:hAnsi="Bookman Old Style"/>
          <w:sz w:val="24"/>
          <w:szCs w:val="24"/>
        </w:rPr>
        <w:t>anggaran</w:t>
      </w:r>
      <w:r w:rsidR="00A954D0">
        <w:rPr>
          <w:rFonts w:ascii="Bookman Old Style" w:hAnsi="Bookman Old Style"/>
          <w:sz w:val="24"/>
          <w:szCs w:val="24"/>
        </w:rPr>
        <w:t xml:space="preserve"> </w:t>
      </w:r>
      <w:r w:rsidR="000D2919">
        <w:rPr>
          <w:rFonts w:ascii="Bookman Old Style" w:hAnsi="Bookman Old Style"/>
          <w:sz w:val="24"/>
          <w:szCs w:val="24"/>
        </w:rPr>
        <w:t>belanja</w:t>
      </w:r>
      <w:r w:rsidR="00A954D0">
        <w:rPr>
          <w:rFonts w:ascii="Bookman Old Style" w:hAnsi="Bookman Old Style"/>
          <w:sz w:val="24"/>
          <w:szCs w:val="24"/>
        </w:rPr>
        <w:t xml:space="preserve"> </w:t>
      </w:r>
      <w:r w:rsidR="000D2919">
        <w:rPr>
          <w:rFonts w:ascii="Bookman Old Style" w:hAnsi="Bookman Old Style"/>
          <w:sz w:val="24"/>
          <w:szCs w:val="24"/>
        </w:rPr>
        <w:t>penunjang</w:t>
      </w:r>
      <w:r w:rsidR="00A954D0">
        <w:rPr>
          <w:rFonts w:ascii="Bookman Old Style" w:hAnsi="Bookman Old Style"/>
          <w:sz w:val="24"/>
          <w:szCs w:val="24"/>
        </w:rPr>
        <w:t xml:space="preserve"> </w:t>
      </w:r>
      <w:r w:rsidR="000D2919">
        <w:rPr>
          <w:rFonts w:ascii="Bookman Old Style" w:hAnsi="Bookman Old Style"/>
          <w:sz w:val="24"/>
          <w:szCs w:val="24"/>
        </w:rPr>
        <w:t>lebih</w:t>
      </w:r>
      <w:r w:rsidR="00A954D0">
        <w:rPr>
          <w:rFonts w:ascii="Bookman Old Style" w:hAnsi="Bookman Old Style"/>
          <w:sz w:val="24"/>
          <w:szCs w:val="24"/>
        </w:rPr>
        <w:t xml:space="preserve"> </w:t>
      </w:r>
      <w:r w:rsidR="000D2919">
        <w:rPr>
          <w:rFonts w:ascii="Bookman Old Style" w:hAnsi="Bookman Old Style"/>
          <w:sz w:val="24"/>
          <w:szCs w:val="24"/>
        </w:rPr>
        <w:t>besar</w:t>
      </w:r>
      <w:r w:rsidR="00A954D0">
        <w:rPr>
          <w:rFonts w:ascii="Bookman Old Style" w:hAnsi="Bookman Old Style"/>
          <w:sz w:val="24"/>
          <w:szCs w:val="24"/>
        </w:rPr>
        <w:t xml:space="preserve"> </w:t>
      </w:r>
      <w:r w:rsidR="000D2919">
        <w:rPr>
          <w:rFonts w:ascii="Bookman Old Style" w:hAnsi="Bookman Old Style"/>
          <w:sz w:val="24"/>
          <w:szCs w:val="24"/>
        </w:rPr>
        <w:t>dibandingkan</w:t>
      </w:r>
      <w:r w:rsidR="00A954D0">
        <w:rPr>
          <w:rFonts w:ascii="Bookman Old Style" w:hAnsi="Bookman Old Style"/>
          <w:sz w:val="24"/>
          <w:szCs w:val="24"/>
        </w:rPr>
        <w:t xml:space="preserve"> </w:t>
      </w:r>
      <w:r w:rsidR="000D2919">
        <w:rPr>
          <w:rFonts w:ascii="Bookman Old Style" w:hAnsi="Bookman Old Style"/>
          <w:sz w:val="24"/>
          <w:szCs w:val="24"/>
        </w:rPr>
        <w:t>dengan</w:t>
      </w:r>
      <w:r w:rsidR="00A954D0">
        <w:rPr>
          <w:rFonts w:ascii="Bookman Old Style" w:hAnsi="Bookman Old Style"/>
          <w:sz w:val="24"/>
          <w:szCs w:val="24"/>
        </w:rPr>
        <w:t xml:space="preserve"> </w:t>
      </w:r>
      <w:r w:rsidR="000D2919">
        <w:rPr>
          <w:rFonts w:ascii="Bookman Old Style" w:hAnsi="Bookman Old Style"/>
          <w:sz w:val="24"/>
          <w:szCs w:val="24"/>
        </w:rPr>
        <w:t>alokasi</w:t>
      </w:r>
      <w:r w:rsidR="00A954D0">
        <w:rPr>
          <w:rFonts w:ascii="Bookman Old Style" w:hAnsi="Bookman Old Style"/>
          <w:sz w:val="24"/>
          <w:szCs w:val="24"/>
        </w:rPr>
        <w:t xml:space="preserve"> </w:t>
      </w:r>
      <w:r w:rsidR="000D2919">
        <w:rPr>
          <w:rFonts w:ascii="Bookman Old Style" w:hAnsi="Bookman Old Style"/>
          <w:sz w:val="24"/>
          <w:szCs w:val="24"/>
        </w:rPr>
        <w:t>anggaran</w:t>
      </w:r>
      <w:r w:rsidR="00A954D0">
        <w:rPr>
          <w:rFonts w:ascii="Bookman Old Style" w:hAnsi="Bookman Old Style"/>
          <w:sz w:val="24"/>
          <w:szCs w:val="24"/>
        </w:rPr>
        <w:t xml:space="preserve"> </w:t>
      </w:r>
      <w:r w:rsidR="000D2919">
        <w:rPr>
          <w:rFonts w:ascii="Bookman Old Style" w:hAnsi="Bookman Old Style"/>
          <w:sz w:val="24"/>
          <w:szCs w:val="24"/>
        </w:rPr>
        <w:t>belanja</w:t>
      </w:r>
      <w:r w:rsidR="00A954D0">
        <w:rPr>
          <w:rFonts w:ascii="Bookman Old Style" w:hAnsi="Bookman Old Style"/>
          <w:sz w:val="24"/>
          <w:szCs w:val="24"/>
        </w:rPr>
        <w:t xml:space="preserve"> </w:t>
      </w:r>
      <w:r w:rsidR="000D2919">
        <w:rPr>
          <w:rFonts w:ascii="Bookman Old Style" w:hAnsi="Bookman Old Style"/>
          <w:sz w:val="24"/>
          <w:szCs w:val="24"/>
        </w:rPr>
        <w:t>pokok</w:t>
      </w:r>
      <w:r w:rsidR="00A954D0">
        <w:rPr>
          <w:rFonts w:ascii="Bookman Old Style" w:hAnsi="Bookman Old Style"/>
          <w:sz w:val="24"/>
          <w:szCs w:val="24"/>
        </w:rPr>
        <w:t xml:space="preserve"> </w:t>
      </w:r>
      <w:r w:rsidR="000D2919">
        <w:rPr>
          <w:rFonts w:ascii="Bookman Old Style" w:hAnsi="Bookman Old Style"/>
          <w:sz w:val="24"/>
          <w:szCs w:val="24"/>
        </w:rPr>
        <w:t>pada</w:t>
      </w:r>
      <w:r w:rsidR="00A954D0">
        <w:rPr>
          <w:rFonts w:ascii="Bookman Old Style" w:hAnsi="Bookman Old Style"/>
          <w:sz w:val="24"/>
          <w:szCs w:val="24"/>
        </w:rPr>
        <w:t xml:space="preserve"> </w:t>
      </w:r>
      <w:r w:rsidR="000D2919">
        <w:rPr>
          <w:rFonts w:ascii="Bookman Old Style" w:hAnsi="Bookman Old Style"/>
          <w:sz w:val="24"/>
          <w:szCs w:val="24"/>
        </w:rPr>
        <w:t>masing-masing</w:t>
      </w:r>
      <w:r w:rsidR="00A954D0">
        <w:rPr>
          <w:rFonts w:ascii="Bookman Old Style" w:hAnsi="Bookman Old Style"/>
          <w:sz w:val="24"/>
          <w:szCs w:val="24"/>
        </w:rPr>
        <w:t xml:space="preserve"> </w:t>
      </w:r>
      <w:r w:rsidR="000D2919">
        <w:rPr>
          <w:rFonts w:ascii="Bookman Old Style" w:hAnsi="Bookman Old Style"/>
          <w:sz w:val="24"/>
          <w:szCs w:val="24"/>
        </w:rPr>
        <w:t>sub</w:t>
      </w:r>
      <w:r w:rsidR="00A954D0">
        <w:rPr>
          <w:rFonts w:ascii="Bookman Old Style" w:hAnsi="Bookman Old Style"/>
          <w:sz w:val="24"/>
          <w:szCs w:val="24"/>
        </w:rPr>
        <w:t xml:space="preserve"> </w:t>
      </w:r>
      <w:r w:rsidR="000D2919">
        <w:rPr>
          <w:rFonts w:ascii="Bookman Old Style" w:hAnsi="Bookman Old Style"/>
          <w:sz w:val="24"/>
          <w:szCs w:val="24"/>
        </w:rPr>
        <w:t>kegiatan.</w:t>
      </w:r>
      <w:r w:rsidR="00A954D0">
        <w:rPr>
          <w:rFonts w:ascii="Bookman Old Style" w:hAnsi="Bookman Old Style"/>
          <w:sz w:val="24"/>
          <w:szCs w:val="24"/>
        </w:rPr>
        <w:t xml:space="preserve"> </w:t>
      </w:r>
      <w:r w:rsidR="000D2919">
        <w:rPr>
          <w:rFonts w:ascii="Bookman Old Style" w:hAnsi="Bookman Old Style"/>
          <w:sz w:val="24"/>
          <w:szCs w:val="24"/>
        </w:rPr>
        <w:t>Untuk</w:t>
      </w:r>
      <w:r w:rsidR="00A954D0">
        <w:rPr>
          <w:rFonts w:ascii="Bookman Old Style" w:hAnsi="Bookman Old Style"/>
          <w:sz w:val="24"/>
          <w:szCs w:val="24"/>
        </w:rPr>
        <w:t xml:space="preserve"> </w:t>
      </w:r>
      <w:r w:rsidR="000D2919">
        <w:rPr>
          <w:rFonts w:ascii="Bookman Old Style" w:hAnsi="Bookman Old Style"/>
          <w:sz w:val="24"/>
          <w:szCs w:val="24"/>
        </w:rPr>
        <w:t>itu,</w:t>
      </w:r>
      <w:r w:rsidR="00A954D0">
        <w:rPr>
          <w:rFonts w:ascii="Bookman Old Style" w:hAnsi="Bookman Old Style"/>
          <w:sz w:val="24"/>
          <w:szCs w:val="24"/>
        </w:rPr>
        <w:t xml:space="preserve"> </w:t>
      </w:r>
      <w:r w:rsidR="000D2919">
        <w:rPr>
          <w:rFonts w:ascii="Bookman Old Style" w:hAnsi="Bookman Old Style"/>
          <w:sz w:val="24"/>
          <w:szCs w:val="24"/>
        </w:rPr>
        <w:t>Pemerintah</w:t>
      </w:r>
      <w:r w:rsidR="00A954D0">
        <w:rPr>
          <w:rFonts w:ascii="Bookman Old Style" w:hAnsi="Bookman Old Style"/>
          <w:sz w:val="24"/>
          <w:szCs w:val="24"/>
        </w:rPr>
        <w:t xml:space="preserve"> </w:t>
      </w:r>
      <w:r w:rsidR="000D2919">
        <w:rPr>
          <w:rFonts w:ascii="Bookman Old Style" w:hAnsi="Bookman Old Style"/>
          <w:sz w:val="24"/>
          <w:szCs w:val="24"/>
        </w:rPr>
        <w:t>Daerah</w:t>
      </w:r>
      <w:r w:rsidR="00A954D0">
        <w:rPr>
          <w:rFonts w:ascii="Bookman Old Style" w:hAnsi="Bookman Old Style"/>
          <w:sz w:val="24"/>
          <w:szCs w:val="24"/>
        </w:rPr>
        <w:t xml:space="preserve"> </w:t>
      </w:r>
      <w:r w:rsidR="000D2919">
        <w:rPr>
          <w:rFonts w:ascii="Bookman Old Style" w:hAnsi="Bookman Old Style"/>
          <w:sz w:val="24"/>
          <w:szCs w:val="24"/>
        </w:rPr>
        <w:t>Kota</w:t>
      </w:r>
      <w:r w:rsidR="00A954D0">
        <w:rPr>
          <w:rFonts w:ascii="Bookman Old Style" w:hAnsi="Bookman Old Style"/>
          <w:sz w:val="24"/>
          <w:szCs w:val="24"/>
        </w:rPr>
        <w:t xml:space="preserve"> </w:t>
      </w:r>
      <w:r w:rsidR="000D2919">
        <w:rPr>
          <w:rFonts w:ascii="Bookman Old Style" w:hAnsi="Bookman Old Style"/>
          <w:sz w:val="24"/>
          <w:szCs w:val="24"/>
        </w:rPr>
        <w:t>Tangerang</w:t>
      </w:r>
      <w:r w:rsidR="00A954D0">
        <w:rPr>
          <w:rFonts w:ascii="Bookman Old Style" w:hAnsi="Bookman Old Style"/>
          <w:sz w:val="24"/>
          <w:szCs w:val="24"/>
          <w:lang w:val="en-US"/>
        </w:rPr>
        <w:t xml:space="preserve"> </w:t>
      </w:r>
      <w:r w:rsidR="000D2919">
        <w:rPr>
          <w:rFonts w:ascii="Bookman Old Style" w:hAnsi="Bookman Old Style"/>
          <w:sz w:val="24"/>
          <w:szCs w:val="24"/>
        </w:rPr>
        <w:t>harus</w:t>
      </w:r>
      <w:r w:rsidR="00A954D0">
        <w:rPr>
          <w:rFonts w:ascii="Bookman Old Style" w:hAnsi="Bookman Old Style"/>
          <w:sz w:val="24"/>
          <w:szCs w:val="24"/>
        </w:rPr>
        <w:t xml:space="preserve"> </w:t>
      </w:r>
      <w:r w:rsidR="000D2919">
        <w:rPr>
          <w:rFonts w:ascii="Bookman Old Style" w:hAnsi="Bookman Old Style"/>
          <w:sz w:val="24"/>
          <w:szCs w:val="24"/>
        </w:rPr>
        <w:t>memformulasikan</w:t>
      </w:r>
      <w:r w:rsidR="00A954D0">
        <w:rPr>
          <w:rFonts w:ascii="Bookman Old Style" w:hAnsi="Bookman Old Style"/>
          <w:sz w:val="24"/>
          <w:szCs w:val="24"/>
        </w:rPr>
        <w:t xml:space="preserve"> </w:t>
      </w:r>
      <w:r w:rsidR="000D2919">
        <w:rPr>
          <w:rFonts w:ascii="Bookman Old Style" w:hAnsi="Bookman Old Style"/>
          <w:sz w:val="24"/>
          <w:szCs w:val="24"/>
        </w:rPr>
        <w:t>kembali</w:t>
      </w:r>
      <w:r w:rsidR="00A954D0">
        <w:rPr>
          <w:rFonts w:ascii="Bookman Old Style" w:hAnsi="Bookman Old Style"/>
          <w:sz w:val="24"/>
          <w:szCs w:val="24"/>
        </w:rPr>
        <w:t xml:space="preserve"> </w:t>
      </w:r>
      <w:r w:rsidR="000D2919">
        <w:rPr>
          <w:rFonts w:ascii="Bookman Old Style" w:hAnsi="Bookman Old Style"/>
          <w:sz w:val="24"/>
          <w:szCs w:val="24"/>
        </w:rPr>
        <w:t>uraian</w:t>
      </w:r>
      <w:r w:rsidR="00A954D0">
        <w:rPr>
          <w:rFonts w:ascii="Bookman Old Style" w:hAnsi="Bookman Old Style"/>
          <w:sz w:val="24"/>
          <w:szCs w:val="24"/>
        </w:rPr>
        <w:t xml:space="preserve"> </w:t>
      </w:r>
      <w:r w:rsidR="000D2919">
        <w:rPr>
          <w:rFonts w:ascii="Bookman Old Style" w:hAnsi="Bookman Old Style"/>
          <w:sz w:val="24"/>
          <w:szCs w:val="24"/>
        </w:rPr>
        <w:t>belanja</w:t>
      </w:r>
      <w:r w:rsidR="00A954D0">
        <w:rPr>
          <w:rFonts w:ascii="Bookman Old Style" w:hAnsi="Bookman Old Style"/>
          <w:sz w:val="24"/>
          <w:szCs w:val="24"/>
        </w:rPr>
        <w:t xml:space="preserve"> </w:t>
      </w:r>
      <w:r w:rsidR="000D2919">
        <w:rPr>
          <w:rFonts w:ascii="Bookman Old Style" w:hAnsi="Bookman Old Style"/>
          <w:sz w:val="24"/>
          <w:szCs w:val="24"/>
        </w:rPr>
        <w:t>pada</w:t>
      </w:r>
      <w:r w:rsidR="00A954D0">
        <w:rPr>
          <w:rFonts w:ascii="Bookman Old Style" w:hAnsi="Bookman Old Style"/>
          <w:sz w:val="24"/>
          <w:szCs w:val="24"/>
        </w:rPr>
        <w:t xml:space="preserve"> </w:t>
      </w:r>
      <w:r w:rsidR="000D2919">
        <w:rPr>
          <w:rFonts w:ascii="Bookman Old Style" w:hAnsi="Bookman Old Style"/>
          <w:sz w:val="24"/>
          <w:szCs w:val="24"/>
        </w:rPr>
        <w:t>sub</w:t>
      </w:r>
      <w:r w:rsidR="00A954D0">
        <w:rPr>
          <w:rFonts w:ascii="Bookman Old Style" w:hAnsi="Bookman Old Style"/>
          <w:sz w:val="24"/>
          <w:szCs w:val="24"/>
        </w:rPr>
        <w:t xml:space="preserve"> </w:t>
      </w:r>
      <w:r w:rsidR="000D2919">
        <w:rPr>
          <w:rFonts w:ascii="Bookman Old Style" w:hAnsi="Bookman Old Style"/>
          <w:sz w:val="24"/>
          <w:szCs w:val="24"/>
        </w:rPr>
        <w:t>kegiatan</w:t>
      </w:r>
      <w:r w:rsidR="00A954D0">
        <w:rPr>
          <w:rFonts w:ascii="Bookman Old Style" w:hAnsi="Bookman Old Style"/>
          <w:sz w:val="24"/>
          <w:szCs w:val="24"/>
        </w:rPr>
        <w:t xml:space="preserve"> </w:t>
      </w:r>
      <w:r w:rsidR="000D2919">
        <w:rPr>
          <w:rFonts w:ascii="Bookman Old Style" w:hAnsi="Bookman Old Style"/>
          <w:sz w:val="24"/>
          <w:szCs w:val="24"/>
        </w:rPr>
        <w:t>tersebut</w:t>
      </w:r>
      <w:r w:rsidR="00A954D0">
        <w:rPr>
          <w:rFonts w:ascii="Bookman Old Style" w:hAnsi="Bookman Old Style"/>
          <w:sz w:val="24"/>
          <w:szCs w:val="24"/>
        </w:rPr>
        <w:t xml:space="preserve"> </w:t>
      </w:r>
      <w:r w:rsidR="000D2919">
        <w:rPr>
          <w:rFonts w:ascii="Bookman Old Style" w:hAnsi="Bookman Old Style"/>
          <w:sz w:val="24"/>
          <w:szCs w:val="24"/>
        </w:rPr>
        <w:t>dengan</w:t>
      </w:r>
      <w:r w:rsidR="00A954D0">
        <w:rPr>
          <w:rFonts w:ascii="Bookman Old Style" w:hAnsi="Bookman Old Style"/>
          <w:sz w:val="24"/>
          <w:szCs w:val="24"/>
        </w:rPr>
        <w:t xml:space="preserve"> </w:t>
      </w:r>
      <w:r w:rsidR="000D2919">
        <w:rPr>
          <w:rFonts w:ascii="Bookman Old Style" w:hAnsi="Bookman Old Style"/>
          <w:sz w:val="24"/>
          <w:szCs w:val="24"/>
        </w:rPr>
        <w:t>memprioritaskan</w:t>
      </w:r>
      <w:r w:rsidR="00A954D0">
        <w:rPr>
          <w:rFonts w:ascii="Bookman Old Style" w:hAnsi="Bookman Old Style"/>
          <w:sz w:val="24"/>
          <w:szCs w:val="24"/>
        </w:rPr>
        <w:t xml:space="preserve"> </w:t>
      </w:r>
      <w:r w:rsidR="000D2919">
        <w:rPr>
          <w:rFonts w:ascii="Bookman Old Style" w:hAnsi="Bookman Old Style"/>
          <w:sz w:val="24"/>
          <w:szCs w:val="24"/>
        </w:rPr>
        <w:t>alokasi</w:t>
      </w:r>
      <w:r w:rsidR="00A954D0">
        <w:rPr>
          <w:rFonts w:ascii="Bookman Old Style" w:hAnsi="Bookman Old Style"/>
          <w:sz w:val="24"/>
          <w:szCs w:val="24"/>
        </w:rPr>
        <w:t xml:space="preserve"> </w:t>
      </w:r>
      <w:r w:rsidR="000D2919">
        <w:rPr>
          <w:rFonts w:ascii="Bookman Old Style" w:hAnsi="Bookman Old Style"/>
          <w:sz w:val="24"/>
          <w:szCs w:val="24"/>
        </w:rPr>
        <w:t>anggaran</w:t>
      </w:r>
      <w:r w:rsidR="00A954D0">
        <w:rPr>
          <w:rFonts w:ascii="Bookman Old Style" w:hAnsi="Bookman Old Style"/>
          <w:sz w:val="24"/>
          <w:szCs w:val="24"/>
        </w:rPr>
        <w:t xml:space="preserve"> </w:t>
      </w:r>
      <w:r w:rsidR="000D2919">
        <w:rPr>
          <w:rFonts w:ascii="Bookman Old Style" w:hAnsi="Bookman Old Style"/>
          <w:sz w:val="24"/>
          <w:szCs w:val="24"/>
        </w:rPr>
        <w:t>belanja</w:t>
      </w:r>
      <w:r w:rsidR="00A954D0">
        <w:rPr>
          <w:rFonts w:ascii="Bookman Old Style" w:hAnsi="Bookman Old Style"/>
          <w:sz w:val="24"/>
          <w:szCs w:val="24"/>
        </w:rPr>
        <w:t xml:space="preserve"> </w:t>
      </w:r>
      <w:r w:rsidR="000D2919">
        <w:rPr>
          <w:rFonts w:ascii="Bookman Old Style" w:hAnsi="Bookman Old Style"/>
          <w:sz w:val="24"/>
          <w:szCs w:val="24"/>
        </w:rPr>
        <w:t>pokok</w:t>
      </w:r>
      <w:r w:rsidR="00A954D0">
        <w:rPr>
          <w:rFonts w:ascii="Bookman Old Style" w:hAnsi="Bookman Old Style"/>
          <w:sz w:val="24"/>
          <w:szCs w:val="24"/>
        </w:rPr>
        <w:t xml:space="preserve"> </w:t>
      </w:r>
      <w:r w:rsidR="000D2919">
        <w:rPr>
          <w:rFonts w:ascii="Bookman Old Style" w:hAnsi="Bookman Old Style"/>
          <w:sz w:val="24"/>
          <w:szCs w:val="24"/>
        </w:rPr>
        <w:t>dibandingkan</w:t>
      </w:r>
      <w:r w:rsidR="00A954D0">
        <w:rPr>
          <w:rFonts w:ascii="Bookman Old Style" w:hAnsi="Bookman Old Style"/>
          <w:sz w:val="24"/>
          <w:szCs w:val="24"/>
        </w:rPr>
        <w:t xml:space="preserve"> </w:t>
      </w:r>
      <w:r w:rsidR="000D2919">
        <w:rPr>
          <w:rFonts w:ascii="Bookman Old Style" w:hAnsi="Bookman Old Style"/>
          <w:sz w:val="24"/>
          <w:szCs w:val="24"/>
        </w:rPr>
        <w:t>dengan</w:t>
      </w:r>
      <w:r w:rsidR="00A954D0">
        <w:rPr>
          <w:rFonts w:ascii="Bookman Old Style" w:hAnsi="Bookman Old Style"/>
          <w:sz w:val="24"/>
          <w:szCs w:val="24"/>
        </w:rPr>
        <w:t xml:space="preserve"> </w:t>
      </w:r>
      <w:r w:rsidR="000D2919">
        <w:rPr>
          <w:rFonts w:ascii="Bookman Old Style" w:hAnsi="Bookman Old Style"/>
          <w:sz w:val="24"/>
          <w:szCs w:val="24"/>
        </w:rPr>
        <w:t>alokasi</w:t>
      </w:r>
      <w:r w:rsidR="00A954D0">
        <w:rPr>
          <w:rFonts w:ascii="Bookman Old Style" w:hAnsi="Bookman Old Style"/>
          <w:sz w:val="24"/>
          <w:szCs w:val="24"/>
        </w:rPr>
        <w:t xml:space="preserve"> </w:t>
      </w:r>
      <w:r w:rsidR="000D2919">
        <w:rPr>
          <w:rFonts w:ascii="Bookman Old Style" w:hAnsi="Bookman Old Style"/>
          <w:sz w:val="24"/>
          <w:szCs w:val="24"/>
        </w:rPr>
        <w:t>anggaran</w:t>
      </w:r>
      <w:r w:rsidR="00A954D0">
        <w:rPr>
          <w:rFonts w:ascii="Bookman Old Style" w:hAnsi="Bookman Old Style"/>
          <w:sz w:val="24"/>
          <w:szCs w:val="24"/>
        </w:rPr>
        <w:t xml:space="preserve"> </w:t>
      </w:r>
      <w:r w:rsidR="000D2919">
        <w:rPr>
          <w:rFonts w:ascii="Bookman Old Style" w:hAnsi="Bookman Old Style"/>
          <w:sz w:val="24"/>
          <w:szCs w:val="24"/>
        </w:rPr>
        <w:t>belanja</w:t>
      </w:r>
      <w:r w:rsidR="00A954D0">
        <w:rPr>
          <w:rFonts w:ascii="Bookman Old Style" w:hAnsi="Bookman Old Style"/>
          <w:sz w:val="24"/>
          <w:szCs w:val="24"/>
        </w:rPr>
        <w:t xml:space="preserve"> </w:t>
      </w:r>
      <w:r w:rsidR="000D2919">
        <w:rPr>
          <w:rFonts w:ascii="Bookman Old Style" w:hAnsi="Bookman Old Style"/>
          <w:sz w:val="24"/>
          <w:szCs w:val="24"/>
        </w:rPr>
        <w:t>penunjang</w:t>
      </w:r>
      <w:r w:rsidR="00A954D0">
        <w:rPr>
          <w:rFonts w:ascii="Bookman Old Style" w:hAnsi="Bookman Old Style"/>
          <w:sz w:val="24"/>
          <w:szCs w:val="24"/>
        </w:rPr>
        <w:t xml:space="preserve"> </w:t>
      </w:r>
      <w:r w:rsidR="000D2919">
        <w:rPr>
          <w:rFonts w:ascii="Bookman Old Style" w:hAnsi="Bookman Old Style"/>
          <w:sz w:val="24"/>
          <w:szCs w:val="24"/>
        </w:rPr>
        <w:t>guna</w:t>
      </w:r>
      <w:r w:rsidR="00A954D0">
        <w:rPr>
          <w:rFonts w:ascii="Bookman Old Style" w:hAnsi="Bookman Old Style"/>
          <w:sz w:val="24"/>
          <w:szCs w:val="24"/>
        </w:rPr>
        <w:t xml:space="preserve"> </w:t>
      </w:r>
      <w:r w:rsidR="000D2919">
        <w:rPr>
          <w:rFonts w:ascii="Bookman Old Style" w:hAnsi="Bookman Old Style"/>
          <w:sz w:val="24"/>
          <w:szCs w:val="24"/>
        </w:rPr>
        <w:t>mendukung</w:t>
      </w:r>
      <w:r w:rsidR="00A954D0">
        <w:rPr>
          <w:rFonts w:ascii="Bookman Old Style" w:hAnsi="Bookman Old Style"/>
          <w:sz w:val="24"/>
          <w:szCs w:val="24"/>
        </w:rPr>
        <w:t xml:space="preserve"> </w:t>
      </w:r>
      <w:r w:rsidR="000D2919">
        <w:rPr>
          <w:rFonts w:ascii="Bookman Old Style" w:hAnsi="Bookman Old Style"/>
          <w:sz w:val="24"/>
          <w:szCs w:val="24"/>
        </w:rPr>
        <w:t>capaian</w:t>
      </w:r>
      <w:r w:rsidR="00A954D0">
        <w:rPr>
          <w:rFonts w:ascii="Bookman Old Style" w:hAnsi="Bookman Old Style"/>
          <w:sz w:val="24"/>
          <w:szCs w:val="24"/>
        </w:rPr>
        <w:t xml:space="preserve"> </w:t>
      </w:r>
      <w:r w:rsidR="000D2919">
        <w:rPr>
          <w:rFonts w:ascii="Bookman Old Style" w:hAnsi="Bookman Old Style"/>
          <w:sz w:val="24"/>
          <w:szCs w:val="24"/>
        </w:rPr>
        <w:t>target</w:t>
      </w:r>
      <w:r w:rsidR="00A954D0">
        <w:rPr>
          <w:rFonts w:ascii="Bookman Old Style" w:hAnsi="Bookman Old Style"/>
          <w:sz w:val="24"/>
          <w:szCs w:val="24"/>
        </w:rPr>
        <w:t xml:space="preserve"> </w:t>
      </w:r>
      <w:r w:rsidR="000D2919">
        <w:rPr>
          <w:rFonts w:ascii="Bookman Old Style" w:hAnsi="Bookman Old Style"/>
          <w:sz w:val="24"/>
          <w:szCs w:val="24"/>
        </w:rPr>
        <w:t>kinerja</w:t>
      </w:r>
      <w:r w:rsidR="00A954D0">
        <w:rPr>
          <w:rFonts w:ascii="Bookman Old Style" w:hAnsi="Bookman Old Style"/>
          <w:sz w:val="24"/>
          <w:szCs w:val="24"/>
        </w:rPr>
        <w:t xml:space="preserve"> </w:t>
      </w:r>
      <w:r w:rsidR="000D2919">
        <w:rPr>
          <w:rFonts w:ascii="Bookman Old Style" w:hAnsi="Bookman Old Style"/>
          <w:sz w:val="24"/>
          <w:szCs w:val="24"/>
        </w:rPr>
        <w:t>program,</w:t>
      </w:r>
      <w:r w:rsidR="00A954D0">
        <w:rPr>
          <w:rFonts w:ascii="Bookman Old Style" w:hAnsi="Bookman Old Style"/>
          <w:sz w:val="24"/>
          <w:szCs w:val="24"/>
        </w:rPr>
        <w:t xml:space="preserve"> </w:t>
      </w:r>
      <w:r w:rsidR="000D2919">
        <w:rPr>
          <w:rFonts w:ascii="Bookman Old Style" w:hAnsi="Bookman Old Style"/>
          <w:sz w:val="24"/>
          <w:szCs w:val="24"/>
        </w:rPr>
        <w:t>kegiatan</w:t>
      </w:r>
      <w:r w:rsidR="00A954D0">
        <w:rPr>
          <w:rFonts w:ascii="Bookman Old Style" w:hAnsi="Bookman Old Style"/>
          <w:sz w:val="24"/>
          <w:szCs w:val="24"/>
        </w:rPr>
        <w:t xml:space="preserve"> </w:t>
      </w:r>
      <w:r w:rsidR="000D2919">
        <w:rPr>
          <w:rFonts w:ascii="Bookman Old Style" w:hAnsi="Bookman Old Style"/>
          <w:sz w:val="24"/>
          <w:szCs w:val="24"/>
        </w:rPr>
        <w:t>dan</w:t>
      </w:r>
      <w:r w:rsidR="00A954D0">
        <w:rPr>
          <w:rFonts w:ascii="Bookman Old Style" w:hAnsi="Bookman Old Style"/>
          <w:sz w:val="24"/>
          <w:szCs w:val="24"/>
        </w:rPr>
        <w:t xml:space="preserve"> </w:t>
      </w:r>
      <w:r w:rsidR="000D2919">
        <w:rPr>
          <w:rFonts w:ascii="Bookman Old Style" w:hAnsi="Bookman Old Style"/>
          <w:sz w:val="24"/>
          <w:szCs w:val="24"/>
        </w:rPr>
        <w:t>sub</w:t>
      </w:r>
      <w:r w:rsidR="00A954D0">
        <w:rPr>
          <w:rFonts w:ascii="Bookman Old Style" w:hAnsi="Bookman Old Style"/>
          <w:sz w:val="24"/>
          <w:szCs w:val="24"/>
        </w:rPr>
        <w:t xml:space="preserve"> </w:t>
      </w:r>
      <w:r w:rsidR="000D2919">
        <w:rPr>
          <w:rFonts w:ascii="Bookman Old Style" w:hAnsi="Bookman Old Style"/>
          <w:sz w:val="24"/>
          <w:szCs w:val="24"/>
        </w:rPr>
        <w:t>kegiatan</w:t>
      </w:r>
      <w:r w:rsidR="00A954D0">
        <w:rPr>
          <w:rFonts w:ascii="Bookman Old Style" w:hAnsi="Bookman Old Style"/>
          <w:sz w:val="24"/>
          <w:szCs w:val="24"/>
        </w:rPr>
        <w:t xml:space="preserve"> </w:t>
      </w:r>
      <w:r w:rsidR="000D2919">
        <w:rPr>
          <w:rFonts w:ascii="Bookman Old Style" w:hAnsi="Bookman Old Style"/>
          <w:sz w:val="24"/>
          <w:szCs w:val="24"/>
        </w:rPr>
        <w:t>sesuai</w:t>
      </w:r>
      <w:r w:rsidR="00A954D0">
        <w:rPr>
          <w:rFonts w:ascii="Bookman Old Style" w:hAnsi="Bookman Old Style"/>
          <w:sz w:val="24"/>
          <w:szCs w:val="24"/>
        </w:rPr>
        <w:t xml:space="preserve"> </w:t>
      </w:r>
      <w:r w:rsidR="000D2919">
        <w:rPr>
          <w:rFonts w:ascii="Bookman Old Style" w:hAnsi="Bookman Old Style"/>
          <w:sz w:val="24"/>
          <w:szCs w:val="24"/>
        </w:rPr>
        <w:t>dengan</w:t>
      </w:r>
      <w:r w:rsidR="00A954D0">
        <w:rPr>
          <w:rFonts w:ascii="Bookman Old Style" w:hAnsi="Bookman Old Style"/>
          <w:sz w:val="24"/>
          <w:szCs w:val="24"/>
        </w:rPr>
        <w:t xml:space="preserve"> </w:t>
      </w:r>
      <w:r w:rsidR="000D2919">
        <w:rPr>
          <w:rFonts w:ascii="Bookman Old Style" w:hAnsi="Bookman Old Style"/>
          <w:sz w:val="24"/>
          <w:szCs w:val="24"/>
        </w:rPr>
        <w:t>target</w:t>
      </w:r>
      <w:r w:rsidR="00A954D0">
        <w:rPr>
          <w:rFonts w:ascii="Bookman Old Style" w:hAnsi="Bookman Old Style"/>
          <w:sz w:val="24"/>
          <w:szCs w:val="24"/>
        </w:rPr>
        <w:t xml:space="preserve"> </w:t>
      </w:r>
      <w:r w:rsidR="000D2919">
        <w:rPr>
          <w:rFonts w:ascii="Bookman Old Style" w:hAnsi="Bookman Old Style"/>
          <w:sz w:val="24"/>
          <w:szCs w:val="24"/>
        </w:rPr>
        <w:t>capaian</w:t>
      </w:r>
      <w:r w:rsidR="00A954D0">
        <w:rPr>
          <w:rFonts w:ascii="Bookman Old Style" w:hAnsi="Bookman Old Style"/>
          <w:sz w:val="24"/>
          <w:szCs w:val="24"/>
        </w:rPr>
        <w:t xml:space="preserve"> </w:t>
      </w:r>
      <w:r w:rsidR="000D2919">
        <w:rPr>
          <w:rFonts w:ascii="Bookman Old Style" w:hAnsi="Bookman Old Style"/>
          <w:sz w:val="24"/>
          <w:szCs w:val="24"/>
        </w:rPr>
        <w:t>kinerja</w:t>
      </w:r>
      <w:r w:rsidR="00A954D0">
        <w:rPr>
          <w:rFonts w:ascii="Bookman Old Style" w:hAnsi="Bookman Old Style"/>
          <w:sz w:val="24"/>
          <w:szCs w:val="24"/>
        </w:rPr>
        <w:t xml:space="preserve"> </w:t>
      </w:r>
      <w:r w:rsidR="000D2919">
        <w:rPr>
          <w:rFonts w:ascii="Bookman Old Style" w:hAnsi="Bookman Old Style"/>
          <w:sz w:val="24"/>
          <w:szCs w:val="24"/>
        </w:rPr>
        <w:t>yang</w:t>
      </w:r>
      <w:r w:rsidR="00A954D0">
        <w:rPr>
          <w:rFonts w:ascii="Bookman Old Style" w:hAnsi="Bookman Old Style"/>
          <w:sz w:val="24"/>
          <w:szCs w:val="24"/>
        </w:rPr>
        <w:t xml:space="preserve"> </w:t>
      </w:r>
      <w:r w:rsidR="000D2919">
        <w:rPr>
          <w:rFonts w:ascii="Bookman Old Style" w:hAnsi="Bookman Old Style"/>
          <w:sz w:val="24"/>
          <w:szCs w:val="24"/>
        </w:rPr>
        <w:t>diharapkan</w:t>
      </w:r>
      <w:r w:rsidR="00A954D0">
        <w:rPr>
          <w:rFonts w:ascii="Bookman Old Style" w:hAnsi="Bookman Old Style"/>
          <w:sz w:val="24"/>
          <w:szCs w:val="24"/>
        </w:rPr>
        <w:t xml:space="preserve"> </w:t>
      </w:r>
      <w:r w:rsidR="000D2919">
        <w:rPr>
          <w:rFonts w:ascii="Bookman Old Style" w:hAnsi="Bookman Old Style"/>
          <w:sz w:val="24"/>
          <w:szCs w:val="24"/>
        </w:rPr>
        <w:t>dari</w:t>
      </w:r>
      <w:r w:rsidR="00A954D0">
        <w:rPr>
          <w:rFonts w:ascii="Bookman Old Style" w:hAnsi="Bookman Old Style"/>
          <w:sz w:val="24"/>
          <w:szCs w:val="24"/>
        </w:rPr>
        <w:t xml:space="preserve"> </w:t>
      </w:r>
      <w:r w:rsidR="000D2919">
        <w:rPr>
          <w:rFonts w:ascii="Bookman Old Style" w:hAnsi="Bookman Old Style"/>
          <w:sz w:val="24"/>
          <w:szCs w:val="24"/>
        </w:rPr>
        <w:t>sub</w:t>
      </w:r>
      <w:r w:rsidR="00A954D0">
        <w:rPr>
          <w:rFonts w:ascii="Bookman Old Style" w:hAnsi="Bookman Old Style"/>
          <w:sz w:val="24"/>
          <w:szCs w:val="24"/>
        </w:rPr>
        <w:t xml:space="preserve"> </w:t>
      </w:r>
      <w:r w:rsidR="000D2919">
        <w:rPr>
          <w:rFonts w:ascii="Bookman Old Style" w:hAnsi="Bookman Old Style"/>
          <w:sz w:val="24"/>
          <w:szCs w:val="24"/>
        </w:rPr>
        <w:t>kegiatan</w:t>
      </w:r>
      <w:r w:rsidR="00A954D0">
        <w:rPr>
          <w:rFonts w:ascii="Bookman Old Style" w:hAnsi="Bookman Old Style"/>
          <w:sz w:val="24"/>
          <w:szCs w:val="24"/>
        </w:rPr>
        <w:t xml:space="preserve"> </w:t>
      </w:r>
      <w:r w:rsidR="000D2919">
        <w:rPr>
          <w:rFonts w:ascii="Bookman Old Style" w:hAnsi="Bookman Old Style"/>
          <w:sz w:val="24"/>
          <w:szCs w:val="24"/>
        </w:rPr>
        <w:t>dimaksud</w:t>
      </w:r>
      <w:r w:rsidR="00A954D0">
        <w:rPr>
          <w:rFonts w:ascii="Bookman Old Style" w:hAnsi="Bookman Old Style"/>
          <w:sz w:val="24"/>
          <w:szCs w:val="24"/>
        </w:rPr>
        <w:t xml:space="preserve"> </w:t>
      </w:r>
      <w:r w:rsidR="000D2919">
        <w:rPr>
          <w:rFonts w:ascii="Bookman Old Style" w:hAnsi="Bookman Old Style"/>
          <w:sz w:val="24"/>
          <w:szCs w:val="24"/>
        </w:rPr>
        <w:t>apabila</w:t>
      </w:r>
      <w:r w:rsidR="00A954D0">
        <w:rPr>
          <w:rFonts w:ascii="Bookman Old Style" w:hAnsi="Bookman Old Style"/>
          <w:sz w:val="24"/>
          <w:szCs w:val="24"/>
        </w:rPr>
        <w:t xml:space="preserve"> </w:t>
      </w:r>
      <w:r w:rsidR="000D2919">
        <w:rPr>
          <w:rFonts w:ascii="Bookman Old Style" w:hAnsi="Bookman Old Style"/>
          <w:sz w:val="24"/>
          <w:szCs w:val="24"/>
        </w:rPr>
        <w:t>ditinjau</w:t>
      </w:r>
      <w:r w:rsidR="00A954D0">
        <w:rPr>
          <w:rFonts w:ascii="Bookman Old Style" w:hAnsi="Bookman Old Style"/>
          <w:sz w:val="24"/>
          <w:szCs w:val="24"/>
        </w:rPr>
        <w:t xml:space="preserve"> </w:t>
      </w:r>
      <w:r w:rsidR="000D2919">
        <w:rPr>
          <w:rFonts w:ascii="Bookman Old Style" w:hAnsi="Bookman Old Style"/>
          <w:sz w:val="24"/>
          <w:szCs w:val="24"/>
        </w:rPr>
        <w:t>dari</w:t>
      </w:r>
      <w:r w:rsidR="00A954D0">
        <w:rPr>
          <w:rFonts w:ascii="Bookman Old Style" w:hAnsi="Bookman Old Style"/>
          <w:sz w:val="24"/>
          <w:szCs w:val="24"/>
        </w:rPr>
        <w:t xml:space="preserve"> </w:t>
      </w:r>
      <w:r w:rsidR="000D2919">
        <w:rPr>
          <w:rFonts w:ascii="Bookman Old Style" w:hAnsi="Bookman Old Style"/>
          <w:sz w:val="24"/>
          <w:szCs w:val="24"/>
        </w:rPr>
        <w:t>aspek</w:t>
      </w:r>
      <w:r w:rsidR="00A954D0">
        <w:rPr>
          <w:rFonts w:ascii="Bookman Old Style" w:hAnsi="Bookman Old Style"/>
          <w:sz w:val="24"/>
          <w:szCs w:val="24"/>
        </w:rPr>
        <w:t xml:space="preserve"> </w:t>
      </w:r>
      <w:r w:rsidR="000D2919">
        <w:rPr>
          <w:rFonts w:ascii="Bookman Old Style" w:hAnsi="Bookman Old Style"/>
          <w:sz w:val="24"/>
          <w:szCs w:val="24"/>
        </w:rPr>
        <w:t>indikator,</w:t>
      </w:r>
      <w:r w:rsidR="00A954D0">
        <w:rPr>
          <w:rFonts w:ascii="Bookman Old Style" w:hAnsi="Bookman Old Style"/>
          <w:sz w:val="24"/>
          <w:szCs w:val="24"/>
        </w:rPr>
        <w:t xml:space="preserve"> </w:t>
      </w:r>
      <w:r w:rsidR="000D2919">
        <w:rPr>
          <w:rFonts w:ascii="Bookman Old Style" w:hAnsi="Bookman Old Style"/>
          <w:sz w:val="24"/>
          <w:szCs w:val="24"/>
        </w:rPr>
        <w:t>tolok</w:t>
      </w:r>
      <w:r w:rsidR="00A954D0">
        <w:rPr>
          <w:rFonts w:ascii="Bookman Old Style" w:hAnsi="Bookman Old Style"/>
          <w:sz w:val="24"/>
          <w:szCs w:val="24"/>
        </w:rPr>
        <w:t xml:space="preserve"> </w:t>
      </w:r>
      <w:r w:rsidR="000D2919">
        <w:rPr>
          <w:rFonts w:ascii="Bookman Old Style" w:hAnsi="Bookman Old Style"/>
          <w:sz w:val="24"/>
          <w:szCs w:val="24"/>
        </w:rPr>
        <w:t>ukur,</w:t>
      </w:r>
      <w:r w:rsidR="00A954D0">
        <w:rPr>
          <w:rFonts w:ascii="Bookman Old Style" w:hAnsi="Bookman Old Style"/>
          <w:sz w:val="24"/>
          <w:szCs w:val="24"/>
        </w:rPr>
        <w:t xml:space="preserve"> </w:t>
      </w:r>
      <w:r w:rsidR="000D2919">
        <w:rPr>
          <w:rFonts w:ascii="Bookman Old Style" w:hAnsi="Bookman Old Style"/>
          <w:sz w:val="24"/>
          <w:szCs w:val="24"/>
        </w:rPr>
        <w:t>dan</w:t>
      </w:r>
      <w:r w:rsidR="00A954D0">
        <w:rPr>
          <w:rFonts w:ascii="Bookman Old Style" w:hAnsi="Bookman Old Style"/>
          <w:sz w:val="24"/>
          <w:szCs w:val="24"/>
        </w:rPr>
        <w:t xml:space="preserve"> </w:t>
      </w:r>
      <w:r w:rsidR="000D2919">
        <w:rPr>
          <w:rFonts w:ascii="Bookman Old Style" w:hAnsi="Bookman Old Style"/>
          <w:sz w:val="24"/>
          <w:szCs w:val="24"/>
        </w:rPr>
        <w:t>target</w:t>
      </w:r>
      <w:r w:rsidR="00A954D0">
        <w:rPr>
          <w:rFonts w:ascii="Bookman Old Style" w:hAnsi="Bookman Old Style"/>
          <w:sz w:val="24"/>
          <w:szCs w:val="24"/>
        </w:rPr>
        <w:t xml:space="preserve"> </w:t>
      </w:r>
      <w:r w:rsidR="000D2919">
        <w:rPr>
          <w:rFonts w:ascii="Bookman Old Style" w:hAnsi="Bookman Old Style"/>
          <w:sz w:val="24"/>
          <w:szCs w:val="24"/>
        </w:rPr>
        <w:t>kinerja</w:t>
      </w:r>
      <w:r w:rsidR="00A954D0">
        <w:rPr>
          <w:rFonts w:ascii="Bookman Old Style" w:hAnsi="Bookman Old Style"/>
          <w:sz w:val="24"/>
          <w:szCs w:val="24"/>
        </w:rPr>
        <w:t xml:space="preserve"> </w:t>
      </w:r>
      <w:r w:rsidR="000D2919">
        <w:rPr>
          <w:rFonts w:ascii="Bookman Old Style" w:hAnsi="Bookman Old Style"/>
          <w:sz w:val="24"/>
          <w:szCs w:val="24"/>
        </w:rPr>
        <w:t>kegiatan,</w:t>
      </w:r>
      <w:r w:rsidR="00A954D0">
        <w:rPr>
          <w:rFonts w:ascii="Bookman Old Style" w:hAnsi="Bookman Old Style"/>
          <w:sz w:val="24"/>
          <w:szCs w:val="24"/>
        </w:rPr>
        <w:t xml:space="preserve"> </w:t>
      </w:r>
      <w:r w:rsidR="000D2919">
        <w:rPr>
          <w:rFonts w:ascii="Bookman Old Style" w:hAnsi="Bookman Old Style"/>
          <w:sz w:val="24"/>
          <w:szCs w:val="24"/>
        </w:rPr>
        <w:t>sebagaimana</w:t>
      </w:r>
      <w:r w:rsidR="00A954D0">
        <w:rPr>
          <w:rFonts w:ascii="Bookman Old Style" w:hAnsi="Bookman Old Style"/>
          <w:sz w:val="24"/>
          <w:szCs w:val="24"/>
        </w:rPr>
        <w:t xml:space="preserve"> </w:t>
      </w:r>
      <w:r w:rsidR="000D2919">
        <w:rPr>
          <w:rFonts w:ascii="Bookman Old Style" w:hAnsi="Bookman Old Style"/>
          <w:sz w:val="24"/>
          <w:szCs w:val="24"/>
        </w:rPr>
        <w:t>maksud</w:t>
      </w:r>
      <w:r w:rsidR="00A954D0">
        <w:rPr>
          <w:rFonts w:ascii="Bookman Old Style" w:hAnsi="Bookman Old Style"/>
          <w:sz w:val="24"/>
          <w:szCs w:val="24"/>
        </w:rPr>
        <w:t xml:space="preserve"> </w:t>
      </w:r>
      <w:r w:rsidR="000D2919">
        <w:rPr>
          <w:rFonts w:ascii="Bookman Old Style" w:hAnsi="Bookman Old Style"/>
          <w:sz w:val="24"/>
          <w:szCs w:val="24"/>
        </w:rPr>
        <w:t>Pasal</w:t>
      </w:r>
      <w:r w:rsidR="00A954D0">
        <w:rPr>
          <w:rFonts w:ascii="Bookman Old Style" w:hAnsi="Bookman Old Style"/>
          <w:sz w:val="24"/>
          <w:szCs w:val="24"/>
        </w:rPr>
        <w:t xml:space="preserve"> </w:t>
      </w:r>
      <w:r w:rsidR="000D2919">
        <w:rPr>
          <w:rFonts w:ascii="Bookman Old Style" w:hAnsi="Bookman Old Style"/>
          <w:sz w:val="24"/>
          <w:szCs w:val="24"/>
        </w:rPr>
        <w:t>54</w:t>
      </w:r>
      <w:r w:rsidR="00A954D0">
        <w:rPr>
          <w:rFonts w:ascii="Bookman Old Style" w:hAnsi="Bookman Old Style"/>
          <w:sz w:val="24"/>
          <w:szCs w:val="24"/>
        </w:rPr>
        <w:t xml:space="preserve"> </w:t>
      </w:r>
      <w:r w:rsidR="000D2919">
        <w:rPr>
          <w:rFonts w:ascii="Bookman Old Style" w:hAnsi="Bookman Old Style"/>
          <w:sz w:val="24"/>
          <w:szCs w:val="24"/>
        </w:rPr>
        <w:t>ayat</w:t>
      </w:r>
      <w:r w:rsidR="00A954D0">
        <w:rPr>
          <w:rFonts w:ascii="Bookman Old Style" w:hAnsi="Bookman Old Style"/>
          <w:sz w:val="24"/>
          <w:szCs w:val="24"/>
        </w:rPr>
        <w:t xml:space="preserve"> </w:t>
      </w:r>
      <w:r w:rsidR="000D2919">
        <w:rPr>
          <w:rFonts w:ascii="Bookman Old Style" w:hAnsi="Bookman Old Style"/>
          <w:sz w:val="24"/>
          <w:szCs w:val="24"/>
        </w:rPr>
        <w:t>(3)</w:t>
      </w:r>
      <w:r w:rsidR="00A954D0">
        <w:rPr>
          <w:rFonts w:ascii="Bookman Old Style" w:hAnsi="Bookman Old Style"/>
          <w:sz w:val="24"/>
          <w:szCs w:val="24"/>
        </w:rPr>
        <w:t xml:space="preserve"> </w:t>
      </w:r>
      <w:r w:rsidR="000D2919">
        <w:rPr>
          <w:rFonts w:ascii="Bookman Old Style" w:hAnsi="Bookman Old Style"/>
          <w:sz w:val="24"/>
          <w:szCs w:val="24"/>
        </w:rPr>
        <w:t>dan</w:t>
      </w:r>
      <w:r w:rsidR="00A954D0">
        <w:rPr>
          <w:rFonts w:ascii="Bookman Old Style" w:hAnsi="Bookman Old Style"/>
          <w:sz w:val="24"/>
          <w:szCs w:val="24"/>
        </w:rPr>
        <w:t xml:space="preserve"> </w:t>
      </w:r>
      <w:r w:rsidR="000D2919">
        <w:rPr>
          <w:rFonts w:ascii="Bookman Old Style" w:hAnsi="Bookman Old Style"/>
          <w:sz w:val="24"/>
          <w:szCs w:val="24"/>
        </w:rPr>
        <w:t>Pasal</w:t>
      </w:r>
      <w:r w:rsidR="00A954D0">
        <w:rPr>
          <w:rFonts w:ascii="Bookman Old Style" w:hAnsi="Bookman Old Style"/>
          <w:sz w:val="24"/>
          <w:szCs w:val="24"/>
        </w:rPr>
        <w:t xml:space="preserve"> </w:t>
      </w:r>
      <w:r w:rsidR="000D2919">
        <w:rPr>
          <w:rFonts w:ascii="Bookman Old Style" w:hAnsi="Bookman Old Style"/>
          <w:sz w:val="24"/>
          <w:szCs w:val="24"/>
        </w:rPr>
        <w:t>97</w:t>
      </w:r>
      <w:r w:rsidR="00A954D0">
        <w:rPr>
          <w:rFonts w:ascii="Bookman Old Style" w:hAnsi="Bookman Old Style"/>
          <w:sz w:val="24"/>
          <w:szCs w:val="24"/>
        </w:rPr>
        <w:t xml:space="preserve"> </w:t>
      </w:r>
      <w:r w:rsidR="000D2919">
        <w:rPr>
          <w:rFonts w:ascii="Bookman Old Style" w:hAnsi="Bookman Old Style"/>
          <w:sz w:val="24"/>
          <w:szCs w:val="24"/>
        </w:rPr>
        <w:t>Peraturan</w:t>
      </w:r>
      <w:r w:rsidR="00A954D0">
        <w:rPr>
          <w:rFonts w:ascii="Bookman Old Style" w:hAnsi="Bookman Old Style"/>
          <w:sz w:val="24"/>
          <w:szCs w:val="24"/>
        </w:rPr>
        <w:t xml:space="preserve"> </w:t>
      </w:r>
      <w:r w:rsidR="000D2919">
        <w:rPr>
          <w:rFonts w:ascii="Bookman Old Style" w:hAnsi="Bookman Old Style"/>
          <w:sz w:val="24"/>
          <w:szCs w:val="24"/>
        </w:rPr>
        <w:t>Pemerintah</w:t>
      </w:r>
      <w:r w:rsidR="00A954D0">
        <w:rPr>
          <w:rFonts w:ascii="Bookman Old Style" w:hAnsi="Bookman Old Style"/>
          <w:sz w:val="24"/>
          <w:szCs w:val="24"/>
        </w:rPr>
        <w:t xml:space="preserve"> </w:t>
      </w:r>
      <w:r w:rsidR="000D2919">
        <w:rPr>
          <w:rFonts w:ascii="Bookman Old Style" w:hAnsi="Bookman Old Style"/>
          <w:sz w:val="24"/>
          <w:szCs w:val="24"/>
        </w:rPr>
        <w:t>Nomor</w:t>
      </w:r>
      <w:r w:rsidR="00A954D0">
        <w:rPr>
          <w:rFonts w:ascii="Bookman Old Style" w:hAnsi="Bookman Old Style"/>
          <w:sz w:val="24"/>
          <w:szCs w:val="24"/>
        </w:rPr>
        <w:t xml:space="preserve"> </w:t>
      </w:r>
      <w:r w:rsidR="000D2919" w:rsidRPr="00275DD8">
        <w:rPr>
          <w:rFonts w:ascii="Bookman Old Style" w:hAnsi="Bookman Old Style"/>
          <w:sz w:val="24"/>
          <w:szCs w:val="24"/>
        </w:rPr>
        <w:t>12</w:t>
      </w:r>
      <w:r w:rsidR="00A954D0">
        <w:rPr>
          <w:rFonts w:ascii="Bookman Old Style" w:hAnsi="Bookman Old Style"/>
          <w:sz w:val="24"/>
          <w:szCs w:val="24"/>
        </w:rPr>
        <w:t xml:space="preserve"> </w:t>
      </w:r>
      <w:r w:rsidR="000D2919" w:rsidRPr="00275DD8">
        <w:rPr>
          <w:rFonts w:ascii="Bookman Old Style" w:hAnsi="Bookman Old Style"/>
          <w:sz w:val="24"/>
          <w:szCs w:val="24"/>
        </w:rPr>
        <w:t>Tahun</w:t>
      </w:r>
      <w:r w:rsidR="00A954D0">
        <w:rPr>
          <w:rFonts w:ascii="Bookman Old Style" w:hAnsi="Bookman Old Style"/>
          <w:sz w:val="24"/>
          <w:szCs w:val="24"/>
        </w:rPr>
        <w:t xml:space="preserve"> </w:t>
      </w:r>
      <w:r w:rsidR="000D2919" w:rsidRPr="00275DD8">
        <w:rPr>
          <w:rFonts w:ascii="Bookman Old Style" w:hAnsi="Bookman Old Style"/>
          <w:sz w:val="24"/>
          <w:szCs w:val="24"/>
        </w:rPr>
        <w:t>2019</w:t>
      </w:r>
      <w:r w:rsidR="00A954D0">
        <w:rPr>
          <w:rFonts w:ascii="Bookman Old Style" w:hAnsi="Bookman Old Style"/>
          <w:sz w:val="24"/>
          <w:szCs w:val="24"/>
        </w:rPr>
        <w:t xml:space="preserve"> </w:t>
      </w:r>
      <w:r w:rsidR="000D2919" w:rsidRPr="00275DD8">
        <w:rPr>
          <w:rFonts w:ascii="Bookman Old Style" w:hAnsi="Bookman Old Style"/>
          <w:sz w:val="24"/>
          <w:szCs w:val="24"/>
        </w:rPr>
        <w:t>dan</w:t>
      </w:r>
      <w:r w:rsidR="00A954D0">
        <w:rPr>
          <w:rFonts w:ascii="Bookman Old Style" w:hAnsi="Bookman Old Style"/>
          <w:sz w:val="24"/>
          <w:szCs w:val="24"/>
        </w:rPr>
        <w:t xml:space="preserve"> </w:t>
      </w:r>
      <w:r w:rsidR="000D2919" w:rsidRPr="00275DD8">
        <w:rPr>
          <w:rFonts w:ascii="Bookman Old Style" w:hAnsi="Bookman Old Style"/>
          <w:sz w:val="24"/>
          <w:szCs w:val="24"/>
        </w:rPr>
        <w:t>butir</w:t>
      </w:r>
      <w:r w:rsidR="00A954D0">
        <w:rPr>
          <w:rFonts w:ascii="Bookman Old Style" w:hAnsi="Bookman Old Style"/>
          <w:sz w:val="24"/>
          <w:szCs w:val="24"/>
        </w:rPr>
        <w:t xml:space="preserve"> </w:t>
      </w:r>
      <w:r w:rsidR="000D2919" w:rsidRPr="00275DD8">
        <w:rPr>
          <w:rFonts w:ascii="Bookman Old Style" w:hAnsi="Bookman Old Style"/>
          <w:sz w:val="24"/>
          <w:szCs w:val="24"/>
        </w:rPr>
        <w:t>4.1.3.c</w:t>
      </w:r>
      <w:r w:rsidR="00A954D0">
        <w:rPr>
          <w:rFonts w:ascii="Bookman Old Style" w:hAnsi="Bookman Old Style"/>
          <w:sz w:val="24"/>
          <w:szCs w:val="24"/>
        </w:rPr>
        <w:t xml:space="preserve"> </w:t>
      </w:r>
      <w:r w:rsidR="000D2919" w:rsidRPr="00275DD8">
        <w:rPr>
          <w:rFonts w:ascii="Bookman Old Style" w:hAnsi="Bookman Old Style"/>
          <w:sz w:val="24"/>
          <w:szCs w:val="24"/>
        </w:rPr>
        <w:t>Lampiran</w:t>
      </w:r>
      <w:r w:rsidR="00A954D0">
        <w:rPr>
          <w:rFonts w:ascii="Bookman Old Style" w:hAnsi="Bookman Old Style"/>
          <w:sz w:val="24"/>
          <w:szCs w:val="24"/>
        </w:rPr>
        <w:t xml:space="preserve"> </w:t>
      </w:r>
      <w:r w:rsidR="000D2919" w:rsidRPr="00275DD8">
        <w:rPr>
          <w:rFonts w:ascii="Bookman Old Style" w:hAnsi="Bookman Old Style"/>
          <w:sz w:val="24"/>
          <w:szCs w:val="24"/>
        </w:rPr>
        <w:t>Peraturan</w:t>
      </w:r>
      <w:r w:rsidR="00A954D0">
        <w:rPr>
          <w:rFonts w:ascii="Bookman Old Style" w:hAnsi="Bookman Old Style"/>
          <w:sz w:val="24"/>
          <w:szCs w:val="24"/>
        </w:rPr>
        <w:t xml:space="preserve"> </w:t>
      </w:r>
      <w:r w:rsidR="000D2919" w:rsidRPr="00275DD8">
        <w:rPr>
          <w:rFonts w:ascii="Bookman Old Style" w:hAnsi="Bookman Old Style"/>
          <w:sz w:val="24"/>
          <w:szCs w:val="24"/>
        </w:rPr>
        <w:t>Menteri</w:t>
      </w:r>
      <w:r w:rsidR="00A954D0">
        <w:rPr>
          <w:rFonts w:ascii="Bookman Old Style" w:hAnsi="Bookman Old Style"/>
          <w:sz w:val="24"/>
          <w:szCs w:val="24"/>
        </w:rPr>
        <w:t xml:space="preserve"> </w:t>
      </w:r>
      <w:r w:rsidR="000D2919" w:rsidRPr="00275DD8">
        <w:rPr>
          <w:rFonts w:ascii="Bookman Old Style" w:hAnsi="Bookman Old Style"/>
          <w:sz w:val="24"/>
          <w:szCs w:val="24"/>
        </w:rPr>
        <w:t>Dalam</w:t>
      </w:r>
      <w:r w:rsidR="00A954D0">
        <w:rPr>
          <w:rFonts w:ascii="Bookman Old Style" w:hAnsi="Bookman Old Style"/>
          <w:sz w:val="24"/>
          <w:szCs w:val="24"/>
        </w:rPr>
        <w:t xml:space="preserve"> </w:t>
      </w:r>
      <w:r w:rsidR="000D2919" w:rsidRPr="00275DD8">
        <w:rPr>
          <w:rFonts w:ascii="Bookman Old Style" w:hAnsi="Bookman Old Style"/>
          <w:sz w:val="24"/>
          <w:szCs w:val="24"/>
        </w:rPr>
        <w:t>Negeri</w:t>
      </w:r>
      <w:r w:rsidR="00A954D0">
        <w:rPr>
          <w:rFonts w:ascii="Bookman Old Style" w:hAnsi="Bookman Old Style"/>
          <w:sz w:val="24"/>
          <w:szCs w:val="24"/>
        </w:rPr>
        <w:t xml:space="preserve"> </w:t>
      </w:r>
      <w:r w:rsidR="000D2919" w:rsidRPr="00275DD8">
        <w:rPr>
          <w:rFonts w:ascii="Bookman Old Style" w:hAnsi="Bookman Old Style"/>
          <w:sz w:val="24"/>
          <w:szCs w:val="24"/>
        </w:rPr>
        <w:t>Nomor</w:t>
      </w:r>
      <w:r w:rsidR="00A954D0">
        <w:rPr>
          <w:rFonts w:ascii="Bookman Old Style" w:hAnsi="Bookman Old Style"/>
          <w:sz w:val="24"/>
          <w:szCs w:val="24"/>
        </w:rPr>
        <w:t xml:space="preserve"> </w:t>
      </w:r>
      <w:r w:rsidR="000D2919" w:rsidRPr="00275DD8">
        <w:rPr>
          <w:rFonts w:ascii="Bookman Old Style" w:hAnsi="Bookman Old Style"/>
          <w:sz w:val="24"/>
          <w:szCs w:val="24"/>
        </w:rPr>
        <w:t>15</w:t>
      </w:r>
      <w:r w:rsidR="00A954D0">
        <w:rPr>
          <w:rFonts w:ascii="Bookman Old Style" w:hAnsi="Bookman Old Style"/>
          <w:sz w:val="24"/>
          <w:szCs w:val="24"/>
        </w:rPr>
        <w:t xml:space="preserve"> </w:t>
      </w:r>
      <w:r w:rsidR="000D2919" w:rsidRPr="00275DD8">
        <w:rPr>
          <w:rFonts w:ascii="Bookman Old Style" w:hAnsi="Bookman Old Style"/>
          <w:sz w:val="24"/>
          <w:szCs w:val="24"/>
        </w:rPr>
        <w:t>Tahun</w:t>
      </w:r>
      <w:r w:rsidR="00A954D0">
        <w:rPr>
          <w:rFonts w:ascii="Bookman Old Style" w:hAnsi="Bookman Old Style"/>
          <w:sz w:val="24"/>
          <w:szCs w:val="24"/>
        </w:rPr>
        <w:t xml:space="preserve"> </w:t>
      </w:r>
      <w:r w:rsidR="000D2919" w:rsidRPr="00275DD8">
        <w:rPr>
          <w:rFonts w:ascii="Bookman Old Style" w:hAnsi="Bookman Old Style"/>
          <w:sz w:val="24"/>
          <w:szCs w:val="24"/>
        </w:rPr>
        <w:t>2024.</w:t>
      </w:r>
    </w:p>
    <w:p w14:paraId="4931074F" w14:textId="77777777" w:rsidR="00502FA5" w:rsidRDefault="00502FA5" w:rsidP="00154790">
      <w:pPr>
        <w:pStyle w:val="ListParagraph"/>
        <w:spacing w:before="60" w:after="0" w:line="276" w:lineRule="auto"/>
        <w:ind w:left="993"/>
        <w:contextualSpacing w:val="0"/>
        <w:jc w:val="both"/>
        <w:rPr>
          <w:rFonts w:ascii="Bookman Old Style" w:hAnsi="Bookman Old Style"/>
          <w:sz w:val="24"/>
          <w:szCs w:val="24"/>
        </w:rPr>
      </w:pPr>
    </w:p>
    <w:p w14:paraId="00C8E476" w14:textId="77777777" w:rsidR="00502FA5" w:rsidRPr="00275DD8" w:rsidRDefault="00502FA5" w:rsidP="00154790">
      <w:pPr>
        <w:pStyle w:val="ListParagraph"/>
        <w:spacing w:before="60" w:after="0" w:line="276" w:lineRule="auto"/>
        <w:ind w:left="993"/>
        <w:contextualSpacing w:val="0"/>
        <w:jc w:val="both"/>
        <w:rPr>
          <w:rFonts w:ascii="Bookman Old Style" w:hAnsi="Bookman Old Style" w:cs="Arial"/>
          <w:sz w:val="24"/>
          <w:szCs w:val="24"/>
          <w:lang w:val="id-ID"/>
        </w:rPr>
      </w:pPr>
    </w:p>
    <w:p w14:paraId="5CAB20D5" w14:textId="60A39FED" w:rsidR="00B520D5" w:rsidRPr="00275DD8" w:rsidRDefault="00B520D5" w:rsidP="00154790">
      <w:pPr>
        <w:pStyle w:val="ListParagraph"/>
        <w:numPr>
          <w:ilvl w:val="0"/>
          <w:numId w:val="121"/>
        </w:numPr>
        <w:spacing w:before="60" w:after="0" w:line="276" w:lineRule="auto"/>
        <w:ind w:left="993" w:hanging="426"/>
        <w:contextualSpacing w:val="0"/>
        <w:jc w:val="both"/>
        <w:rPr>
          <w:rFonts w:ascii="Bookman Old Style" w:hAnsi="Bookman Old Style"/>
          <w:sz w:val="24"/>
          <w:szCs w:val="24"/>
        </w:rPr>
      </w:pPr>
      <w:r w:rsidRPr="00275DD8">
        <w:rPr>
          <w:rFonts w:ascii="Bookman Old Style" w:hAnsi="Bookman Old Style"/>
          <w:sz w:val="24"/>
          <w:szCs w:val="24"/>
        </w:rPr>
        <w:lastRenderedPageBreak/>
        <w:t>Korelasi</w:t>
      </w:r>
      <w:r w:rsidR="00A954D0">
        <w:rPr>
          <w:rFonts w:ascii="Bookman Old Style" w:hAnsi="Bookman Old Style"/>
          <w:sz w:val="24"/>
          <w:szCs w:val="24"/>
        </w:rPr>
        <w:t xml:space="preserve"> </w:t>
      </w:r>
      <w:r w:rsidRPr="00275DD8">
        <w:rPr>
          <w:rFonts w:ascii="Bookman Old Style" w:hAnsi="Bookman Old Style" w:cs="Arial"/>
          <w:sz w:val="24"/>
          <w:szCs w:val="24"/>
          <w:lang w:val="id-ID"/>
        </w:rPr>
        <w:t>antara</w:t>
      </w:r>
      <w:r w:rsidR="00A954D0">
        <w:rPr>
          <w:rFonts w:ascii="Bookman Old Style" w:hAnsi="Bookman Old Style"/>
          <w:sz w:val="24"/>
          <w:szCs w:val="24"/>
        </w:rPr>
        <w:t xml:space="preserve"> </w:t>
      </w:r>
      <w:r w:rsidRPr="00275DD8">
        <w:rPr>
          <w:rFonts w:ascii="Bookman Old Style" w:hAnsi="Bookman Old Style"/>
          <w:sz w:val="24"/>
          <w:szCs w:val="24"/>
        </w:rPr>
        <w:t>Capaian</w:t>
      </w:r>
      <w:r w:rsidR="00A954D0">
        <w:rPr>
          <w:rFonts w:ascii="Bookman Old Style" w:hAnsi="Bookman Old Style"/>
          <w:sz w:val="24"/>
          <w:szCs w:val="24"/>
        </w:rPr>
        <w:t xml:space="preserve"> </w:t>
      </w:r>
      <w:r w:rsidRPr="00275DD8">
        <w:rPr>
          <w:rFonts w:ascii="Bookman Old Style" w:hAnsi="Bookman Old Style"/>
          <w:sz w:val="24"/>
          <w:szCs w:val="24"/>
        </w:rPr>
        <w:t>Sub</w:t>
      </w:r>
      <w:r w:rsidR="00A954D0">
        <w:rPr>
          <w:rFonts w:ascii="Bookman Old Style" w:hAnsi="Bookman Old Style"/>
          <w:sz w:val="24"/>
          <w:szCs w:val="24"/>
        </w:rPr>
        <w:t xml:space="preserve"> </w:t>
      </w:r>
      <w:r w:rsidRPr="00275DD8">
        <w:rPr>
          <w:rFonts w:ascii="Bookman Old Style" w:hAnsi="Bookman Old Style"/>
          <w:sz w:val="24"/>
          <w:szCs w:val="24"/>
        </w:rPr>
        <w:t>Kegiatan</w:t>
      </w:r>
      <w:r w:rsidR="00A954D0">
        <w:rPr>
          <w:rFonts w:ascii="Bookman Old Style" w:hAnsi="Bookman Old Style"/>
          <w:sz w:val="24"/>
          <w:szCs w:val="24"/>
        </w:rPr>
        <w:t xml:space="preserve"> </w:t>
      </w:r>
      <w:r w:rsidRPr="00275DD8">
        <w:rPr>
          <w:rFonts w:ascii="Bookman Old Style" w:hAnsi="Bookman Old Style"/>
          <w:sz w:val="24"/>
          <w:szCs w:val="24"/>
        </w:rPr>
        <w:t>dengan</w:t>
      </w:r>
      <w:r w:rsidR="00A954D0">
        <w:rPr>
          <w:rFonts w:ascii="Bookman Old Style" w:hAnsi="Bookman Old Style"/>
          <w:sz w:val="24"/>
          <w:szCs w:val="24"/>
        </w:rPr>
        <w:t xml:space="preserve"> </w:t>
      </w:r>
      <w:r w:rsidRPr="00275DD8">
        <w:rPr>
          <w:rFonts w:ascii="Bookman Old Style" w:hAnsi="Bookman Old Style"/>
          <w:sz w:val="24"/>
          <w:szCs w:val="24"/>
        </w:rPr>
        <w:t>Uraian</w:t>
      </w:r>
      <w:r w:rsidR="00A954D0">
        <w:rPr>
          <w:rFonts w:ascii="Bookman Old Style" w:hAnsi="Bookman Old Style"/>
          <w:sz w:val="24"/>
          <w:szCs w:val="24"/>
        </w:rPr>
        <w:t xml:space="preserve"> </w:t>
      </w:r>
      <w:r w:rsidRPr="00275DD8">
        <w:rPr>
          <w:rFonts w:ascii="Bookman Old Style" w:hAnsi="Bookman Old Style"/>
          <w:sz w:val="24"/>
          <w:szCs w:val="24"/>
        </w:rPr>
        <w:t>Belanja</w:t>
      </w:r>
      <w:r w:rsidR="00A954D0">
        <w:rPr>
          <w:rFonts w:ascii="Bookman Old Style" w:hAnsi="Bookman Old Style"/>
          <w:sz w:val="24"/>
          <w:szCs w:val="24"/>
        </w:rPr>
        <w:t xml:space="preserve"> </w:t>
      </w:r>
    </w:p>
    <w:p w14:paraId="6334490C" w14:textId="66B1FB2F" w:rsidR="000D2919" w:rsidRPr="00D04E39" w:rsidRDefault="000D2919" w:rsidP="00154790">
      <w:pPr>
        <w:pStyle w:val="ListParagraph"/>
        <w:spacing w:before="60" w:after="0" w:line="276" w:lineRule="auto"/>
        <w:ind w:left="993"/>
        <w:contextualSpacing w:val="0"/>
        <w:jc w:val="both"/>
        <w:rPr>
          <w:rFonts w:ascii="Bookman Old Style" w:hAnsi="Bookman Old Style"/>
          <w:color w:val="000000"/>
          <w:sz w:val="24"/>
          <w:szCs w:val="24"/>
        </w:rPr>
      </w:pPr>
      <w:r w:rsidRPr="003255BC">
        <w:rPr>
          <w:rFonts w:ascii="Bookman Old Style" w:hAnsi="Bookman Old Style"/>
          <w:sz w:val="24"/>
          <w:szCs w:val="24"/>
          <w:lang w:val="sv-FI"/>
        </w:rPr>
        <w:t>Alokasi</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Anggaran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pada</w:t>
      </w:r>
      <w:r w:rsidR="00A954D0" w:rsidRPr="003255BC">
        <w:rPr>
          <w:rFonts w:ascii="Bookman Old Style" w:hAnsi="Bookman Old Style"/>
          <w:sz w:val="24"/>
          <w:szCs w:val="24"/>
          <w:lang w:val="sv-FI"/>
        </w:rPr>
        <w:t xml:space="preserve"> </w:t>
      </w:r>
      <w:r w:rsidRPr="00275DD8">
        <w:rPr>
          <w:rFonts w:ascii="Bookman Old Style" w:hAnsi="Bookman Old Style"/>
          <w:color w:val="000000"/>
          <w:sz w:val="24"/>
          <w:szCs w:val="24"/>
        </w:rPr>
        <w:t>Sub</w:t>
      </w:r>
      <w:r w:rsidR="00A954D0">
        <w:rPr>
          <w:rFonts w:ascii="Bookman Old Style" w:hAnsi="Bookman Old Style"/>
          <w:color w:val="000000"/>
          <w:sz w:val="24"/>
          <w:szCs w:val="24"/>
        </w:rPr>
        <w:t xml:space="preserve"> </w:t>
      </w:r>
      <w:r w:rsidRPr="00275DD8">
        <w:rPr>
          <w:rFonts w:ascii="Bookman Old Style" w:hAnsi="Bookman Old Style"/>
          <w:color w:val="000000"/>
          <w:sz w:val="24"/>
          <w:szCs w:val="24"/>
        </w:rPr>
        <w:t>Kegiatan</w:t>
      </w:r>
      <w:r w:rsidR="00A954D0">
        <w:rPr>
          <w:rFonts w:ascii="Bookman Old Style" w:hAnsi="Bookman Old Style"/>
          <w:color w:val="000000"/>
          <w:sz w:val="24"/>
          <w:szCs w:val="24"/>
        </w:rPr>
        <w:t xml:space="preserve"> </w:t>
      </w:r>
      <w:r w:rsidRPr="00275DD8">
        <w:rPr>
          <w:rFonts w:ascii="Bookman Old Style" w:hAnsi="Bookman Old Style"/>
          <w:color w:val="000000"/>
          <w:sz w:val="24"/>
          <w:szCs w:val="24"/>
        </w:rPr>
        <w:t>yang</w:t>
      </w:r>
      <w:r w:rsidR="00A954D0">
        <w:rPr>
          <w:rFonts w:ascii="Bookman Old Style" w:hAnsi="Bookman Old Style"/>
          <w:color w:val="000000"/>
          <w:sz w:val="24"/>
          <w:szCs w:val="24"/>
        </w:rPr>
        <w:t xml:space="preserve"> </w:t>
      </w:r>
      <w:r w:rsidRPr="00275DD8">
        <w:rPr>
          <w:rFonts w:ascii="Bookman Old Style" w:hAnsi="Bookman Old Style"/>
          <w:color w:val="000000"/>
          <w:sz w:val="24"/>
          <w:szCs w:val="24"/>
        </w:rPr>
        <w:t>Tidak</w:t>
      </w:r>
      <w:r w:rsidR="00A954D0">
        <w:rPr>
          <w:rFonts w:ascii="Bookman Old Style" w:hAnsi="Bookman Old Style"/>
          <w:color w:val="000000"/>
          <w:sz w:val="24"/>
          <w:szCs w:val="24"/>
        </w:rPr>
        <w:t xml:space="preserve"> </w:t>
      </w:r>
      <w:r w:rsidRPr="00275DD8">
        <w:rPr>
          <w:rFonts w:ascii="Bookman Old Style" w:hAnsi="Bookman Old Style"/>
          <w:color w:val="000000"/>
          <w:sz w:val="24"/>
          <w:szCs w:val="24"/>
        </w:rPr>
        <w:t>Memiliki</w:t>
      </w:r>
      <w:r w:rsidR="00A954D0">
        <w:rPr>
          <w:rFonts w:ascii="Bookman Old Style" w:hAnsi="Bookman Old Style"/>
          <w:color w:val="000000"/>
          <w:sz w:val="24"/>
          <w:szCs w:val="24"/>
        </w:rPr>
        <w:t xml:space="preserve"> </w:t>
      </w:r>
      <w:r w:rsidRPr="00275DD8">
        <w:rPr>
          <w:rFonts w:ascii="Bookman Old Style" w:hAnsi="Bookman Old Style"/>
          <w:color w:val="000000"/>
          <w:sz w:val="24"/>
          <w:szCs w:val="24"/>
        </w:rPr>
        <w:t>Korelasi</w:t>
      </w:r>
      <w:r w:rsidR="00A954D0">
        <w:rPr>
          <w:rFonts w:ascii="Bookman Old Style" w:hAnsi="Bookman Old Style"/>
          <w:color w:val="000000"/>
          <w:sz w:val="24"/>
          <w:szCs w:val="24"/>
        </w:rPr>
        <w:t xml:space="preserve"> </w:t>
      </w:r>
      <w:r w:rsidRPr="00275DD8">
        <w:rPr>
          <w:rFonts w:ascii="Bookman Old Style" w:hAnsi="Bookman Old Style"/>
          <w:color w:val="000000"/>
          <w:sz w:val="24"/>
          <w:szCs w:val="24"/>
        </w:rPr>
        <w:t>Langsung</w:t>
      </w:r>
      <w:r w:rsidR="00A954D0">
        <w:rPr>
          <w:rFonts w:ascii="Bookman Old Style" w:hAnsi="Bookman Old Style"/>
          <w:color w:val="000000"/>
          <w:sz w:val="24"/>
          <w:szCs w:val="24"/>
        </w:rPr>
        <w:t xml:space="preserve"> </w:t>
      </w:r>
      <w:r w:rsidRPr="00275DD8">
        <w:rPr>
          <w:rFonts w:ascii="Bookman Old Style" w:hAnsi="Bookman Old Style"/>
          <w:color w:val="000000"/>
          <w:sz w:val="24"/>
          <w:szCs w:val="24"/>
        </w:rPr>
        <w:t>dengan</w:t>
      </w:r>
      <w:r w:rsidR="00A954D0">
        <w:rPr>
          <w:rFonts w:ascii="Bookman Old Style" w:hAnsi="Bookman Old Style"/>
          <w:color w:val="000000"/>
          <w:sz w:val="24"/>
          <w:szCs w:val="24"/>
        </w:rPr>
        <w:t xml:space="preserve"> </w:t>
      </w:r>
      <w:r w:rsidRPr="00275DD8">
        <w:rPr>
          <w:rFonts w:ascii="Bookman Old Style" w:hAnsi="Bookman Old Style"/>
          <w:color w:val="000000"/>
          <w:sz w:val="24"/>
          <w:szCs w:val="24"/>
        </w:rPr>
        <w:t>Keluaran</w:t>
      </w:r>
      <w:r w:rsidR="00A954D0">
        <w:rPr>
          <w:rFonts w:ascii="Bookman Old Style" w:hAnsi="Bookman Old Style"/>
          <w:color w:val="000000"/>
          <w:sz w:val="24"/>
          <w:szCs w:val="24"/>
        </w:rPr>
        <w:t xml:space="preserve"> </w:t>
      </w:r>
      <w:r w:rsidRPr="00D04E39">
        <w:rPr>
          <w:rFonts w:ascii="Bookman Old Style" w:hAnsi="Bookman Old Style"/>
          <w:color w:val="000000"/>
          <w:sz w:val="24"/>
          <w:szCs w:val="24"/>
        </w:rPr>
        <w:t>Sub</w:t>
      </w:r>
      <w:r w:rsidR="00A954D0">
        <w:rPr>
          <w:rFonts w:ascii="Bookman Old Style" w:hAnsi="Bookman Old Style"/>
          <w:color w:val="000000"/>
          <w:sz w:val="24"/>
          <w:szCs w:val="24"/>
        </w:rPr>
        <w:t xml:space="preserve"> </w:t>
      </w:r>
      <w:r w:rsidRPr="00D04E39">
        <w:rPr>
          <w:rFonts w:ascii="Bookman Old Style" w:hAnsi="Bookman Old Style"/>
          <w:color w:val="000000"/>
          <w:sz w:val="24"/>
          <w:szCs w:val="24"/>
        </w:rPr>
        <w:t>Kegiatan</w:t>
      </w:r>
    </w:p>
    <w:p w14:paraId="67E33935" w14:textId="3989331A" w:rsidR="000D2919" w:rsidRPr="00D04E39" w:rsidRDefault="000D2919" w:rsidP="00154790">
      <w:pPr>
        <w:pStyle w:val="ListParagraph"/>
        <w:spacing w:before="60" w:after="0" w:line="276" w:lineRule="auto"/>
        <w:ind w:left="993"/>
        <w:contextualSpacing w:val="0"/>
        <w:jc w:val="both"/>
        <w:rPr>
          <w:rFonts w:ascii="Bookman Old Style" w:hAnsi="Bookman Old Style"/>
          <w:color w:val="000000"/>
          <w:sz w:val="24"/>
          <w:szCs w:val="24"/>
          <w:lang w:val="fi-FI"/>
        </w:rPr>
      </w:pPr>
      <w:r w:rsidRPr="00D04E39">
        <w:rPr>
          <w:rFonts w:ascii="Bookman Old Style" w:hAnsi="Bookman Old Style"/>
          <w:sz w:val="24"/>
          <w:szCs w:val="24"/>
          <w:lang w:val="en-US"/>
        </w:rPr>
        <w:t>Penyediaan</w:t>
      </w:r>
      <w:r w:rsidR="00A954D0">
        <w:rPr>
          <w:rFonts w:ascii="Bookman Old Style" w:hAnsi="Bookman Old Style"/>
          <w:color w:val="000000"/>
          <w:sz w:val="24"/>
          <w:szCs w:val="24"/>
        </w:rPr>
        <w:t xml:space="preserve"> </w:t>
      </w:r>
      <w:r w:rsidRPr="00D04E39">
        <w:rPr>
          <w:rFonts w:ascii="Bookman Old Style" w:hAnsi="Bookman Old Style"/>
          <w:color w:val="000000"/>
          <w:sz w:val="24"/>
          <w:szCs w:val="24"/>
        </w:rPr>
        <w:t>anggaran</w:t>
      </w:r>
      <w:r w:rsidR="00A954D0">
        <w:rPr>
          <w:rFonts w:ascii="Bookman Old Style" w:hAnsi="Bookman Old Style"/>
          <w:color w:val="000000"/>
          <w:sz w:val="24"/>
          <w:szCs w:val="24"/>
        </w:rPr>
        <w:t xml:space="preserve"> </w:t>
      </w:r>
      <w:r w:rsidRPr="00D04E39">
        <w:rPr>
          <w:rFonts w:ascii="Bookman Old Style" w:hAnsi="Bookman Old Style"/>
          <w:color w:val="000000"/>
          <w:sz w:val="24"/>
          <w:szCs w:val="24"/>
        </w:rPr>
        <w:t>yang</w:t>
      </w:r>
      <w:r w:rsidR="00A954D0">
        <w:rPr>
          <w:rFonts w:ascii="Bookman Old Style" w:hAnsi="Bookman Old Style"/>
          <w:color w:val="000000"/>
          <w:sz w:val="24"/>
          <w:szCs w:val="24"/>
        </w:rPr>
        <w:t xml:space="preserve"> </w:t>
      </w:r>
      <w:r w:rsidRPr="00D04E39">
        <w:rPr>
          <w:rFonts w:ascii="Bookman Old Style" w:hAnsi="Bookman Old Style"/>
          <w:color w:val="000000"/>
          <w:sz w:val="24"/>
          <w:szCs w:val="24"/>
        </w:rPr>
        <w:t>antara</w:t>
      </w:r>
      <w:r w:rsidR="00A954D0">
        <w:rPr>
          <w:rFonts w:ascii="Bookman Old Style" w:hAnsi="Bookman Old Style"/>
          <w:color w:val="000000"/>
          <w:sz w:val="24"/>
          <w:szCs w:val="24"/>
        </w:rPr>
        <w:t xml:space="preserve"> </w:t>
      </w:r>
      <w:r w:rsidRPr="00D04E39">
        <w:rPr>
          <w:rFonts w:ascii="Bookman Old Style" w:hAnsi="Bookman Old Style"/>
          <w:color w:val="000000"/>
          <w:sz w:val="24"/>
          <w:szCs w:val="24"/>
        </w:rPr>
        <w:t>lain</w:t>
      </w:r>
      <w:r w:rsidR="00A954D0">
        <w:rPr>
          <w:rFonts w:ascii="Bookman Old Style" w:hAnsi="Bookman Old Style"/>
          <w:color w:val="000000"/>
          <w:sz w:val="24"/>
          <w:szCs w:val="24"/>
        </w:rPr>
        <w:t xml:space="preserve"> </w:t>
      </w:r>
      <w:r w:rsidRPr="00D04E39">
        <w:rPr>
          <w:rFonts w:ascii="Bookman Old Style" w:hAnsi="Bookman Old Style"/>
          <w:color w:val="000000"/>
          <w:sz w:val="24"/>
          <w:szCs w:val="24"/>
        </w:rPr>
        <w:t>tercantum</w:t>
      </w:r>
      <w:r w:rsidR="00A954D0">
        <w:rPr>
          <w:rFonts w:ascii="Bookman Old Style" w:hAnsi="Bookman Old Style"/>
          <w:color w:val="000000"/>
          <w:sz w:val="24"/>
          <w:szCs w:val="24"/>
        </w:rPr>
        <w:t xml:space="preserve"> </w:t>
      </w:r>
      <w:r w:rsidRPr="00D04E39">
        <w:rPr>
          <w:rFonts w:ascii="Bookman Old Style" w:hAnsi="Bookman Old Style"/>
          <w:color w:val="000000"/>
          <w:sz w:val="24"/>
          <w:szCs w:val="24"/>
        </w:rPr>
        <w:t>pada</w:t>
      </w:r>
      <w:r w:rsidRPr="00D04E39">
        <w:rPr>
          <w:rFonts w:ascii="Bookman Old Style" w:hAnsi="Bookman Old Style"/>
          <w:color w:val="000000"/>
          <w:sz w:val="24"/>
          <w:szCs w:val="24"/>
          <w:lang w:val="fi-FI"/>
        </w:rPr>
        <w:t>:</w:t>
      </w:r>
    </w:p>
    <w:p w14:paraId="13169D05" w14:textId="00E301D7" w:rsidR="000D2919" w:rsidRPr="003255BC" w:rsidRDefault="000D2919" w:rsidP="00154790">
      <w:pPr>
        <w:pStyle w:val="ListParagraph"/>
        <w:numPr>
          <w:ilvl w:val="0"/>
          <w:numId w:val="262"/>
        </w:numPr>
        <w:spacing w:before="60" w:after="0" w:line="276" w:lineRule="auto"/>
        <w:ind w:left="1287" w:hanging="294"/>
        <w:contextualSpacing w:val="0"/>
        <w:jc w:val="both"/>
        <w:rPr>
          <w:rFonts w:ascii="Bookman Old Style" w:hAnsi="Bookman Old Style"/>
          <w:color w:val="000000"/>
          <w:sz w:val="24"/>
          <w:szCs w:val="24"/>
          <w:lang w:val="fi-FI"/>
        </w:rPr>
      </w:pPr>
      <w:r w:rsidRPr="00D04E39">
        <w:rPr>
          <w:rFonts w:ascii="Bookman Old Style" w:hAnsi="Bookman Old Style"/>
          <w:color w:val="000000"/>
          <w:sz w:val="24"/>
          <w:szCs w:val="24"/>
        </w:rPr>
        <w:t>Pengambilan</w:t>
      </w:r>
      <w:r w:rsidR="00A954D0">
        <w:rPr>
          <w:rFonts w:ascii="Bookman Old Style" w:hAnsi="Bookman Old Style"/>
          <w:color w:val="000000"/>
          <w:sz w:val="24"/>
          <w:szCs w:val="24"/>
        </w:rPr>
        <w:t xml:space="preserve"> </w:t>
      </w:r>
      <w:r w:rsidRPr="00D04E39">
        <w:rPr>
          <w:rFonts w:ascii="Bookman Old Style" w:hAnsi="Bookman Old Style"/>
          <w:color w:val="000000"/>
          <w:sz w:val="24"/>
          <w:szCs w:val="24"/>
        </w:rPr>
        <w:t>dan</w:t>
      </w:r>
      <w:r w:rsidR="00A954D0">
        <w:rPr>
          <w:rFonts w:ascii="Bookman Old Style" w:hAnsi="Bookman Old Style"/>
          <w:color w:val="000000"/>
          <w:sz w:val="24"/>
          <w:szCs w:val="24"/>
        </w:rPr>
        <w:t xml:space="preserve"> </w:t>
      </w:r>
      <w:r w:rsidRPr="00D04E39">
        <w:rPr>
          <w:rFonts w:ascii="Bookman Old Style" w:hAnsi="Bookman Old Style"/>
          <w:color w:val="000000"/>
          <w:sz w:val="24"/>
          <w:szCs w:val="24"/>
        </w:rPr>
        <w:t>Pengiriman</w:t>
      </w:r>
      <w:r w:rsidR="00A954D0">
        <w:rPr>
          <w:rFonts w:ascii="Bookman Old Style" w:hAnsi="Bookman Old Style"/>
          <w:color w:val="000000"/>
          <w:sz w:val="24"/>
          <w:szCs w:val="24"/>
        </w:rPr>
        <w:t xml:space="preserve"> </w:t>
      </w:r>
      <w:r w:rsidRPr="00D04E39">
        <w:rPr>
          <w:rFonts w:ascii="Bookman Old Style" w:hAnsi="Bookman Old Style"/>
          <w:color w:val="000000"/>
          <w:sz w:val="24"/>
          <w:szCs w:val="24"/>
        </w:rPr>
        <w:t>Spesimen</w:t>
      </w:r>
      <w:r w:rsidR="00A954D0">
        <w:rPr>
          <w:rFonts w:ascii="Bookman Old Style" w:hAnsi="Bookman Old Style"/>
          <w:color w:val="000000"/>
          <w:sz w:val="24"/>
          <w:szCs w:val="24"/>
        </w:rPr>
        <w:t xml:space="preserve"> </w:t>
      </w:r>
      <w:r w:rsidRPr="00D04E39">
        <w:rPr>
          <w:rFonts w:ascii="Bookman Old Style" w:hAnsi="Bookman Old Style"/>
          <w:color w:val="000000"/>
          <w:sz w:val="24"/>
          <w:szCs w:val="24"/>
        </w:rPr>
        <w:t>Penyakit</w:t>
      </w:r>
      <w:r w:rsidR="00A954D0">
        <w:rPr>
          <w:rFonts w:ascii="Bookman Old Style" w:hAnsi="Bookman Old Style"/>
          <w:color w:val="000000"/>
          <w:sz w:val="24"/>
          <w:szCs w:val="24"/>
        </w:rPr>
        <w:t xml:space="preserve"> </w:t>
      </w:r>
      <w:r w:rsidRPr="00D04E39">
        <w:rPr>
          <w:rFonts w:ascii="Bookman Old Style" w:hAnsi="Bookman Old Style"/>
          <w:color w:val="000000"/>
          <w:sz w:val="24"/>
          <w:szCs w:val="24"/>
        </w:rPr>
        <w:t>Potensial</w:t>
      </w:r>
      <w:r w:rsidR="00A954D0">
        <w:rPr>
          <w:rFonts w:ascii="Bookman Old Style" w:hAnsi="Bookman Old Style"/>
          <w:color w:val="000000"/>
          <w:sz w:val="24"/>
          <w:szCs w:val="24"/>
        </w:rPr>
        <w:t xml:space="preserve"> </w:t>
      </w:r>
      <w:r w:rsidRPr="00D04E39">
        <w:rPr>
          <w:rFonts w:ascii="Bookman Old Style" w:hAnsi="Bookman Old Style"/>
          <w:color w:val="000000"/>
          <w:sz w:val="24"/>
          <w:szCs w:val="24"/>
        </w:rPr>
        <w:t>KLB</w:t>
      </w:r>
      <w:r w:rsidR="00A954D0">
        <w:rPr>
          <w:rFonts w:ascii="Bookman Old Style" w:hAnsi="Bookman Old Style"/>
          <w:color w:val="000000"/>
          <w:sz w:val="24"/>
          <w:szCs w:val="24"/>
        </w:rPr>
        <w:t xml:space="preserve"> </w:t>
      </w:r>
      <w:r w:rsidRPr="00D04E39">
        <w:rPr>
          <w:rFonts w:ascii="Bookman Old Style" w:hAnsi="Bookman Old Style"/>
          <w:color w:val="000000"/>
          <w:sz w:val="24"/>
          <w:szCs w:val="24"/>
        </w:rPr>
        <w:t>ke</w:t>
      </w:r>
      <w:r w:rsidR="00A954D0">
        <w:rPr>
          <w:rFonts w:ascii="Bookman Old Style" w:hAnsi="Bookman Old Style"/>
          <w:color w:val="000000"/>
          <w:sz w:val="24"/>
          <w:szCs w:val="24"/>
        </w:rPr>
        <w:t xml:space="preserve"> </w:t>
      </w:r>
      <w:r w:rsidRPr="00D04E39">
        <w:rPr>
          <w:rFonts w:ascii="Bookman Old Style" w:hAnsi="Bookman Old Style"/>
          <w:color w:val="000000"/>
          <w:sz w:val="24"/>
          <w:szCs w:val="24"/>
        </w:rPr>
        <w:t>Laboratorium</w:t>
      </w:r>
      <w:r w:rsidR="00A954D0">
        <w:rPr>
          <w:rFonts w:ascii="Bookman Old Style" w:hAnsi="Bookman Old Style"/>
          <w:color w:val="000000"/>
          <w:sz w:val="24"/>
          <w:szCs w:val="24"/>
        </w:rPr>
        <w:t xml:space="preserve"> </w:t>
      </w:r>
      <w:r w:rsidRPr="00D04E39">
        <w:rPr>
          <w:rFonts w:ascii="Bookman Old Style" w:hAnsi="Bookman Old Style"/>
          <w:color w:val="000000"/>
          <w:sz w:val="24"/>
          <w:szCs w:val="24"/>
        </w:rPr>
        <w:t>Rujukan/Nasional</w:t>
      </w:r>
      <w:r w:rsidR="00A954D0">
        <w:t xml:space="preserve"> </w:t>
      </w:r>
      <w:r w:rsidRPr="00D04E39">
        <w:rPr>
          <w:rFonts w:ascii="Bookman Old Style" w:hAnsi="Bookman Old Style"/>
          <w:color w:val="000000"/>
          <w:sz w:val="24"/>
          <w:szCs w:val="24"/>
        </w:rPr>
        <w:t>Rp142.112.000,00</w:t>
      </w:r>
      <w:r w:rsidR="00A954D0" w:rsidRPr="003255BC">
        <w:rPr>
          <w:rFonts w:ascii="Bookman Old Style" w:hAnsi="Bookman Old Style"/>
          <w:color w:val="000000"/>
          <w:sz w:val="24"/>
          <w:szCs w:val="24"/>
          <w:lang w:val="fi-FI"/>
        </w:rPr>
        <w:t xml:space="preserve"> </w:t>
      </w:r>
      <w:r w:rsidR="00B73EDF" w:rsidRPr="003255BC">
        <w:rPr>
          <w:rFonts w:ascii="Bookman Old Style" w:hAnsi="Bookman Old Style"/>
          <w:color w:val="000000"/>
          <w:sz w:val="24"/>
          <w:szCs w:val="24"/>
          <w:lang w:val="fi-FI"/>
        </w:rPr>
        <w:t>p</w:t>
      </w:r>
      <w:r w:rsidRPr="003255BC">
        <w:rPr>
          <w:rFonts w:ascii="Bookman Old Style" w:hAnsi="Bookman Old Style"/>
          <w:color w:val="000000"/>
          <w:sz w:val="24"/>
          <w:szCs w:val="24"/>
          <w:lang w:val="fi-FI"/>
        </w:rPr>
        <w:t>ada</w:t>
      </w:r>
      <w:r w:rsidR="00A954D0" w:rsidRPr="003255BC">
        <w:rPr>
          <w:rFonts w:ascii="Bookman Old Style" w:hAnsi="Bookman Old Style"/>
          <w:color w:val="000000"/>
          <w:sz w:val="24"/>
          <w:szCs w:val="24"/>
          <w:lang w:val="fi-FI"/>
        </w:rPr>
        <w:t xml:space="preserve"> </w:t>
      </w:r>
      <w:r w:rsidRPr="003255BC">
        <w:rPr>
          <w:rFonts w:ascii="Bookman Old Style" w:hAnsi="Bookman Old Style"/>
          <w:color w:val="000000"/>
          <w:sz w:val="24"/>
          <w:szCs w:val="24"/>
          <w:lang w:val="fi-FI"/>
        </w:rPr>
        <w:t>Dinas</w:t>
      </w:r>
      <w:r w:rsidR="00A954D0" w:rsidRPr="003255BC">
        <w:rPr>
          <w:rFonts w:ascii="Bookman Old Style" w:hAnsi="Bookman Old Style"/>
          <w:color w:val="000000"/>
          <w:sz w:val="24"/>
          <w:szCs w:val="24"/>
          <w:lang w:val="fi-FI"/>
        </w:rPr>
        <w:t xml:space="preserve"> </w:t>
      </w:r>
      <w:r w:rsidRPr="003255BC">
        <w:rPr>
          <w:rFonts w:ascii="Bookman Old Style" w:hAnsi="Bookman Old Style"/>
          <w:color w:val="000000"/>
          <w:sz w:val="24"/>
          <w:szCs w:val="24"/>
          <w:lang w:val="fi-FI"/>
        </w:rPr>
        <w:t>Kesehatan</w:t>
      </w:r>
      <w:r w:rsidRPr="00D04E39">
        <w:rPr>
          <w:rFonts w:ascii="Bookman Old Style" w:hAnsi="Bookman Old Style"/>
          <w:sz w:val="24"/>
          <w:szCs w:val="24"/>
          <w:lang w:val="fi-FI"/>
        </w:rPr>
        <w:t>,</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yang</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antara</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lain</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diuraikan</w:t>
      </w:r>
      <w:r w:rsidR="00A954D0">
        <w:rPr>
          <w:rFonts w:ascii="Bookman Old Style" w:hAnsi="Bookman Old Style"/>
          <w:sz w:val="24"/>
          <w:szCs w:val="24"/>
          <w:lang w:val="id-ID"/>
        </w:rPr>
        <w:t xml:space="preserve"> </w:t>
      </w:r>
      <w:r w:rsidRPr="00D04E39">
        <w:rPr>
          <w:rFonts w:ascii="Bookman Old Style" w:hAnsi="Bookman Old Style"/>
          <w:sz w:val="24"/>
          <w:szCs w:val="24"/>
          <w:lang w:val="fi-FI"/>
        </w:rPr>
        <w:t>ke</w:t>
      </w:r>
      <w:r w:rsidR="00A954D0">
        <w:rPr>
          <w:rFonts w:ascii="Bookman Old Style" w:hAnsi="Bookman Old Style"/>
          <w:sz w:val="24"/>
          <w:szCs w:val="24"/>
          <w:lang w:val="fi-FI"/>
        </w:rPr>
        <w:t xml:space="preserve"> </w:t>
      </w:r>
      <w:r w:rsidRPr="00D04E39">
        <w:rPr>
          <w:rFonts w:ascii="Bookman Old Style" w:hAnsi="Bookman Old Style"/>
          <w:sz w:val="24"/>
          <w:szCs w:val="24"/>
          <w:lang w:val="fi-FI"/>
        </w:rPr>
        <w:t>dalam</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sub</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rincian</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objek</w:t>
      </w:r>
      <w:r w:rsidR="00A954D0" w:rsidRPr="003255BC">
        <w:rPr>
          <w:rFonts w:ascii="Bookman Old Style" w:hAnsi="Bookman Old Style"/>
          <w:sz w:val="24"/>
          <w:szCs w:val="24"/>
          <w:lang w:val="fi-FI"/>
        </w:rPr>
        <w:t xml:space="preserve"> </w:t>
      </w:r>
      <w:r w:rsidRPr="00D04E39">
        <w:rPr>
          <w:rFonts w:ascii="Bookman Old Style" w:hAnsi="Bookman Old Style"/>
          <w:sz w:val="24"/>
          <w:szCs w:val="24"/>
          <w:lang w:val="id-ID"/>
        </w:rPr>
        <w:t>Belanja</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Jasa</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yang</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Diberikan</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kepada</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Pihak</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Ketiga/Pihak</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Lain</w:t>
      </w:r>
      <w:r w:rsidR="00A954D0" w:rsidRPr="003255BC">
        <w:rPr>
          <w:rFonts w:ascii="Bookman Old Style" w:hAnsi="Bookman Old Style"/>
          <w:sz w:val="24"/>
          <w:szCs w:val="24"/>
          <w:lang w:val="fi-FI"/>
        </w:rPr>
        <w:t xml:space="preserve"> </w:t>
      </w:r>
      <w:r w:rsidRPr="00D04E39">
        <w:rPr>
          <w:rFonts w:ascii="Bookman Old Style" w:hAnsi="Bookman Old Style"/>
          <w:sz w:val="24"/>
          <w:szCs w:val="24"/>
          <w:lang w:val="id-ID"/>
        </w:rPr>
        <w:t>Rp127.110.000,00</w:t>
      </w:r>
      <w:r w:rsidRPr="003255BC">
        <w:rPr>
          <w:rFonts w:ascii="Bookman Old Style" w:hAnsi="Bookman Old Style"/>
          <w:sz w:val="24"/>
          <w:szCs w:val="24"/>
          <w:lang w:val="fi-FI"/>
        </w:rPr>
        <w:t>;</w:t>
      </w:r>
    </w:p>
    <w:p w14:paraId="3F248184" w14:textId="557F0673" w:rsidR="000D2919" w:rsidRPr="00D844F6" w:rsidRDefault="000D2919" w:rsidP="00154790">
      <w:pPr>
        <w:pStyle w:val="ListParagraph"/>
        <w:numPr>
          <w:ilvl w:val="0"/>
          <w:numId w:val="262"/>
        </w:numPr>
        <w:spacing w:before="60" w:after="0" w:line="276" w:lineRule="auto"/>
        <w:ind w:left="1287" w:hanging="294"/>
        <w:contextualSpacing w:val="0"/>
        <w:jc w:val="both"/>
        <w:rPr>
          <w:rFonts w:ascii="Bookman Old Style" w:hAnsi="Bookman Old Style"/>
          <w:color w:val="000000"/>
          <w:sz w:val="24"/>
          <w:szCs w:val="24"/>
        </w:rPr>
      </w:pPr>
      <w:r w:rsidRPr="00F96251">
        <w:rPr>
          <w:rFonts w:ascii="Bookman Old Style" w:hAnsi="Bookman Old Style"/>
          <w:color w:val="000000"/>
          <w:sz w:val="24"/>
          <w:szCs w:val="24"/>
        </w:rPr>
        <w:t>Penyediaan</w:t>
      </w:r>
      <w:r w:rsidR="00A954D0">
        <w:rPr>
          <w:rFonts w:ascii="Bookman Old Style" w:hAnsi="Bookman Old Style"/>
          <w:color w:val="000000"/>
          <w:sz w:val="24"/>
          <w:szCs w:val="24"/>
        </w:rPr>
        <w:t xml:space="preserve"> </w:t>
      </w:r>
      <w:r w:rsidRPr="00F96251">
        <w:rPr>
          <w:rFonts w:ascii="Bookman Old Style" w:hAnsi="Bookman Old Style"/>
          <w:color w:val="000000"/>
          <w:sz w:val="24"/>
          <w:szCs w:val="24"/>
        </w:rPr>
        <w:t>Jasa</w:t>
      </w:r>
      <w:r w:rsidR="00A954D0">
        <w:rPr>
          <w:rFonts w:ascii="Bookman Old Style" w:hAnsi="Bookman Old Style"/>
          <w:color w:val="000000"/>
          <w:sz w:val="24"/>
          <w:szCs w:val="24"/>
        </w:rPr>
        <w:t xml:space="preserve"> </w:t>
      </w:r>
      <w:r w:rsidRPr="00F96251">
        <w:rPr>
          <w:rFonts w:ascii="Bookman Old Style" w:hAnsi="Bookman Old Style"/>
          <w:color w:val="000000"/>
          <w:sz w:val="24"/>
          <w:szCs w:val="24"/>
        </w:rPr>
        <w:t>Pelayanan</w:t>
      </w:r>
      <w:r w:rsidR="00A954D0">
        <w:rPr>
          <w:rFonts w:ascii="Bookman Old Style" w:hAnsi="Bookman Old Style"/>
          <w:color w:val="000000"/>
          <w:sz w:val="24"/>
          <w:szCs w:val="24"/>
        </w:rPr>
        <w:t xml:space="preserve"> </w:t>
      </w:r>
      <w:r w:rsidRPr="00F96251">
        <w:rPr>
          <w:rFonts w:ascii="Bookman Old Style" w:hAnsi="Bookman Old Style"/>
          <w:color w:val="000000"/>
          <w:sz w:val="24"/>
          <w:szCs w:val="24"/>
        </w:rPr>
        <w:t>Umum</w:t>
      </w:r>
      <w:r w:rsidR="00A954D0">
        <w:rPr>
          <w:rFonts w:ascii="Bookman Old Style" w:hAnsi="Bookman Old Style"/>
          <w:color w:val="000000"/>
          <w:sz w:val="24"/>
          <w:szCs w:val="24"/>
        </w:rPr>
        <w:t xml:space="preserve"> </w:t>
      </w:r>
      <w:r w:rsidRPr="00F96251">
        <w:rPr>
          <w:rFonts w:ascii="Bookman Old Style" w:hAnsi="Bookman Old Style"/>
          <w:color w:val="000000"/>
          <w:sz w:val="24"/>
          <w:szCs w:val="24"/>
        </w:rPr>
        <w:t>Kantor</w:t>
      </w:r>
      <w:r w:rsidR="00A954D0" w:rsidRPr="003255BC">
        <w:rPr>
          <w:rFonts w:ascii="Bookman Old Style" w:hAnsi="Bookman Old Style"/>
          <w:color w:val="000000"/>
          <w:sz w:val="24"/>
          <w:szCs w:val="24"/>
          <w:lang w:val="fi-FI"/>
        </w:rPr>
        <w:t xml:space="preserve"> </w:t>
      </w:r>
      <w:r w:rsidRPr="00F96251">
        <w:rPr>
          <w:rFonts w:ascii="Bookman Old Style" w:hAnsi="Bookman Old Style"/>
          <w:color w:val="000000"/>
          <w:sz w:val="24"/>
          <w:szCs w:val="24"/>
        </w:rPr>
        <w:t>Rp4.603.910.790,00</w:t>
      </w:r>
      <w:r w:rsidR="00A954D0" w:rsidRPr="003255BC">
        <w:rPr>
          <w:rFonts w:ascii="Bookman Old Style" w:hAnsi="Bookman Old Style"/>
          <w:color w:val="000000"/>
          <w:sz w:val="24"/>
          <w:szCs w:val="24"/>
          <w:lang w:val="fi-FI"/>
        </w:rPr>
        <w:t xml:space="preserve"> </w:t>
      </w:r>
      <w:r w:rsidRPr="003255BC">
        <w:rPr>
          <w:rFonts w:ascii="Bookman Old Style" w:hAnsi="Bookman Old Style"/>
          <w:color w:val="000000"/>
          <w:sz w:val="24"/>
          <w:szCs w:val="24"/>
          <w:lang w:val="fi-FI"/>
        </w:rPr>
        <w:t>pada</w:t>
      </w:r>
      <w:r w:rsidR="00A954D0" w:rsidRPr="003255BC">
        <w:rPr>
          <w:rFonts w:ascii="Bookman Old Style" w:hAnsi="Bookman Old Style"/>
          <w:color w:val="000000"/>
          <w:sz w:val="24"/>
          <w:szCs w:val="24"/>
          <w:lang w:val="fi-FI"/>
        </w:rPr>
        <w:t xml:space="preserve"> </w:t>
      </w:r>
      <w:r w:rsidRPr="003255BC">
        <w:rPr>
          <w:rFonts w:ascii="Bookman Old Style" w:hAnsi="Bookman Old Style"/>
          <w:color w:val="000000"/>
          <w:sz w:val="24"/>
          <w:szCs w:val="24"/>
          <w:lang w:val="fi-FI"/>
        </w:rPr>
        <w:t>Dinas</w:t>
      </w:r>
      <w:r w:rsidR="00A954D0" w:rsidRPr="003255BC">
        <w:rPr>
          <w:rFonts w:ascii="Bookman Old Style" w:hAnsi="Bookman Old Style"/>
          <w:color w:val="000000"/>
          <w:sz w:val="24"/>
          <w:szCs w:val="24"/>
          <w:lang w:val="fi-FI"/>
        </w:rPr>
        <w:t xml:space="preserve"> </w:t>
      </w:r>
      <w:r w:rsidRPr="003255BC">
        <w:rPr>
          <w:rFonts w:ascii="Bookman Old Style" w:hAnsi="Bookman Old Style"/>
          <w:color w:val="000000"/>
          <w:sz w:val="24"/>
          <w:szCs w:val="24"/>
          <w:lang w:val="fi-FI"/>
        </w:rPr>
        <w:t>Perumahan,</w:t>
      </w:r>
      <w:r w:rsidR="00A954D0" w:rsidRPr="003255BC">
        <w:rPr>
          <w:rFonts w:ascii="Bookman Old Style" w:hAnsi="Bookman Old Style"/>
          <w:color w:val="000000"/>
          <w:sz w:val="24"/>
          <w:szCs w:val="24"/>
          <w:lang w:val="fi-FI"/>
        </w:rPr>
        <w:t xml:space="preserve"> </w:t>
      </w:r>
      <w:r w:rsidRPr="003255BC">
        <w:rPr>
          <w:rFonts w:ascii="Bookman Old Style" w:hAnsi="Bookman Old Style"/>
          <w:color w:val="000000"/>
          <w:sz w:val="24"/>
          <w:szCs w:val="24"/>
          <w:lang w:val="fi-FI"/>
        </w:rPr>
        <w:t>Permukiman</w:t>
      </w:r>
      <w:r w:rsidR="00A954D0" w:rsidRPr="003255BC">
        <w:rPr>
          <w:rFonts w:ascii="Bookman Old Style" w:hAnsi="Bookman Old Style"/>
          <w:color w:val="000000"/>
          <w:sz w:val="24"/>
          <w:szCs w:val="24"/>
          <w:lang w:val="fi-FI"/>
        </w:rPr>
        <w:t xml:space="preserve"> </w:t>
      </w:r>
      <w:r w:rsidRPr="003255BC">
        <w:rPr>
          <w:rFonts w:ascii="Bookman Old Style" w:hAnsi="Bookman Old Style"/>
          <w:color w:val="000000"/>
          <w:sz w:val="24"/>
          <w:szCs w:val="24"/>
          <w:lang w:val="fi-FI"/>
        </w:rPr>
        <w:t>dan</w:t>
      </w:r>
      <w:r w:rsidR="00A954D0" w:rsidRPr="003255BC">
        <w:rPr>
          <w:rFonts w:ascii="Bookman Old Style" w:hAnsi="Bookman Old Style"/>
          <w:color w:val="000000"/>
          <w:sz w:val="24"/>
          <w:szCs w:val="24"/>
          <w:lang w:val="fi-FI"/>
        </w:rPr>
        <w:t xml:space="preserve"> </w:t>
      </w:r>
      <w:r w:rsidRPr="003255BC">
        <w:rPr>
          <w:rFonts w:ascii="Bookman Old Style" w:hAnsi="Bookman Old Style"/>
          <w:color w:val="000000"/>
          <w:sz w:val="24"/>
          <w:szCs w:val="24"/>
          <w:lang w:val="fi-FI"/>
        </w:rPr>
        <w:t>Pertanahan</w:t>
      </w:r>
      <w:r w:rsidRPr="00D04E39">
        <w:rPr>
          <w:rFonts w:ascii="Bookman Old Style" w:hAnsi="Bookman Old Style"/>
          <w:sz w:val="24"/>
          <w:szCs w:val="24"/>
          <w:lang w:val="fi-FI"/>
        </w:rPr>
        <w:t>,</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yang</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antara</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lain</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diuraikan</w:t>
      </w:r>
      <w:r w:rsidR="00A954D0">
        <w:rPr>
          <w:rFonts w:ascii="Bookman Old Style" w:hAnsi="Bookman Old Style"/>
          <w:sz w:val="24"/>
          <w:szCs w:val="24"/>
          <w:lang w:val="id-ID"/>
        </w:rPr>
        <w:t xml:space="preserve"> </w:t>
      </w:r>
      <w:r w:rsidRPr="00D04E39">
        <w:rPr>
          <w:rFonts w:ascii="Bookman Old Style" w:hAnsi="Bookman Old Style"/>
          <w:sz w:val="24"/>
          <w:szCs w:val="24"/>
          <w:lang w:val="fi-FI"/>
        </w:rPr>
        <w:t>ke</w:t>
      </w:r>
      <w:r w:rsidR="00A954D0">
        <w:rPr>
          <w:rFonts w:ascii="Bookman Old Style" w:hAnsi="Bookman Old Style"/>
          <w:sz w:val="24"/>
          <w:szCs w:val="24"/>
          <w:lang w:val="fi-FI"/>
        </w:rPr>
        <w:t xml:space="preserve"> </w:t>
      </w:r>
      <w:r w:rsidRPr="00D04E39">
        <w:rPr>
          <w:rFonts w:ascii="Bookman Old Style" w:hAnsi="Bookman Old Style"/>
          <w:sz w:val="24"/>
          <w:szCs w:val="24"/>
          <w:lang w:val="fi-FI"/>
        </w:rPr>
        <w:t>dalam</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sub</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rincian</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objek</w:t>
      </w:r>
      <w:r w:rsidR="00A954D0" w:rsidRPr="003255BC">
        <w:rPr>
          <w:rFonts w:ascii="Bookman Old Style" w:hAnsi="Bookman Old Style"/>
          <w:color w:val="000000"/>
          <w:sz w:val="24"/>
          <w:szCs w:val="24"/>
          <w:lang w:val="fi-FI"/>
        </w:rPr>
        <w:t xml:space="preserve"> </w:t>
      </w:r>
      <w:r w:rsidRPr="003255BC">
        <w:rPr>
          <w:rFonts w:ascii="Bookman Old Style" w:hAnsi="Bookman Old Style"/>
          <w:color w:val="000000"/>
          <w:sz w:val="24"/>
          <w:szCs w:val="24"/>
          <w:lang w:val="fi-FI"/>
        </w:rPr>
        <w:t>Belanja</w:t>
      </w:r>
      <w:r w:rsidR="00A954D0" w:rsidRPr="003255BC">
        <w:rPr>
          <w:rFonts w:ascii="Bookman Old Style" w:hAnsi="Bookman Old Style"/>
          <w:color w:val="000000"/>
          <w:sz w:val="24"/>
          <w:szCs w:val="24"/>
          <w:lang w:val="fi-FI"/>
        </w:rPr>
        <w:t xml:space="preserve"> </w:t>
      </w:r>
      <w:r w:rsidRPr="003255BC">
        <w:rPr>
          <w:rFonts w:ascii="Bookman Old Style" w:hAnsi="Bookman Old Style"/>
          <w:color w:val="000000"/>
          <w:sz w:val="24"/>
          <w:szCs w:val="24"/>
          <w:lang w:val="fi-FI"/>
        </w:rPr>
        <w:t>Jasa</w:t>
      </w:r>
      <w:r w:rsidR="00A954D0" w:rsidRPr="003255BC">
        <w:rPr>
          <w:rFonts w:ascii="Bookman Old Style" w:hAnsi="Bookman Old Style"/>
          <w:color w:val="000000"/>
          <w:sz w:val="24"/>
          <w:szCs w:val="24"/>
          <w:lang w:val="fi-FI"/>
        </w:rPr>
        <w:t xml:space="preserve"> </w:t>
      </w:r>
      <w:r w:rsidRPr="003255BC">
        <w:rPr>
          <w:rFonts w:ascii="Bookman Old Style" w:hAnsi="Bookman Old Style"/>
          <w:color w:val="000000"/>
          <w:sz w:val="24"/>
          <w:szCs w:val="24"/>
          <w:lang w:val="fi-FI"/>
        </w:rPr>
        <w:t>yang</w:t>
      </w:r>
      <w:r w:rsidR="00A954D0" w:rsidRPr="003255BC">
        <w:rPr>
          <w:rFonts w:ascii="Bookman Old Style" w:hAnsi="Bookman Old Style"/>
          <w:color w:val="000000"/>
          <w:sz w:val="24"/>
          <w:szCs w:val="24"/>
          <w:lang w:val="fi-FI"/>
        </w:rPr>
        <w:t xml:space="preserve"> </w:t>
      </w:r>
      <w:r w:rsidRPr="003255BC">
        <w:rPr>
          <w:rFonts w:ascii="Bookman Old Style" w:hAnsi="Bookman Old Style"/>
          <w:color w:val="000000"/>
          <w:sz w:val="24"/>
          <w:szCs w:val="24"/>
          <w:lang w:val="fi-FI"/>
        </w:rPr>
        <w:t>Diberikan</w:t>
      </w:r>
      <w:r w:rsidR="00A954D0" w:rsidRPr="003255BC">
        <w:rPr>
          <w:rFonts w:ascii="Bookman Old Style" w:hAnsi="Bookman Old Style"/>
          <w:color w:val="000000"/>
          <w:sz w:val="24"/>
          <w:szCs w:val="24"/>
          <w:lang w:val="fi-FI"/>
        </w:rPr>
        <w:t xml:space="preserve"> </w:t>
      </w:r>
      <w:r w:rsidRPr="003255BC">
        <w:rPr>
          <w:rFonts w:ascii="Bookman Old Style" w:hAnsi="Bookman Old Style"/>
          <w:color w:val="000000"/>
          <w:sz w:val="24"/>
          <w:szCs w:val="24"/>
          <w:lang w:val="fi-FI"/>
        </w:rPr>
        <w:t>kepada</w:t>
      </w:r>
      <w:r w:rsidR="00A954D0" w:rsidRPr="003255BC">
        <w:rPr>
          <w:rFonts w:ascii="Bookman Old Style" w:hAnsi="Bookman Old Style"/>
          <w:color w:val="000000"/>
          <w:sz w:val="24"/>
          <w:szCs w:val="24"/>
          <w:lang w:val="fi-FI"/>
        </w:rPr>
        <w:t xml:space="preserve"> </w:t>
      </w:r>
      <w:r w:rsidRPr="003255BC">
        <w:rPr>
          <w:rFonts w:ascii="Bookman Old Style" w:hAnsi="Bookman Old Style"/>
          <w:color w:val="000000"/>
          <w:sz w:val="24"/>
          <w:szCs w:val="24"/>
          <w:lang w:val="fi-FI"/>
        </w:rPr>
        <w:t>Pihak</w:t>
      </w:r>
      <w:r w:rsidR="00A954D0" w:rsidRPr="003255BC">
        <w:rPr>
          <w:rFonts w:ascii="Bookman Old Style" w:hAnsi="Bookman Old Style"/>
          <w:color w:val="000000"/>
          <w:sz w:val="24"/>
          <w:szCs w:val="24"/>
          <w:lang w:val="fi-FI"/>
        </w:rPr>
        <w:t xml:space="preserve"> </w:t>
      </w:r>
      <w:r w:rsidRPr="003255BC">
        <w:rPr>
          <w:rFonts w:ascii="Bookman Old Style" w:hAnsi="Bookman Old Style"/>
          <w:color w:val="000000"/>
          <w:sz w:val="24"/>
          <w:szCs w:val="24"/>
          <w:lang w:val="fi-FI"/>
        </w:rPr>
        <w:t>Ketiga/Pihak</w:t>
      </w:r>
      <w:r w:rsidR="00A954D0" w:rsidRPr="003255BC">
        <w:rPr>
          <w:rFonts w:ascii="Bookman Old Style" w:hAnsi="Bookman Old Style"/>
          <w:color w:val="000000"/>
          <w:sz w:val="24"/>
          <w:szCs w:val="24"/>
          <w:lang w:val="fi-FI"/>
        </w:rPr>
        <w:t xml:space="preserve"> </w:t>
      </w:r>
      <w:r w:rsidRPr="003255BC">
        <w:rPr>
          <w:rFonts w:ascii="Bookman Old Style" w:hAnsi="Bookman Old Style"/>
          <w:color w:val="000000"/>
          <w:sz w:val="24"/>
          <w:szCs w:val="24"/>
          <w:lang w:val="fi-FI"/>
        </w:rPr>
        <w:t>Lain</w:t>
      </w:r>
      <w:r w:rsidR="00A954D0" w:rsidRPr="003255BC">
        <w:rPr>
          <w:rFonts w:ascii="Bookman Old Style" w:hAnsi="Bookman Old Style"/>
          <w:color w:val="000000"/>
          <w:sz w:val="24"/>
          <w:szCs w:val="24"/>
          <w:lang w:val="fi-FI"/>
        </w:rPr>
        <w:t xml:space="preserve"> </w:t>
      </w:r>
      <w:r w:rsidRPr="003255BC">
        <w:rPr>
          <w:rFonts w:ascii="Bookman Old Style" w:hAnsi="Bookman Old Style"/>
          <w:color w:val="000000"/>
          <w:sz w:val="24"/>
          <w:szCs w:val="24"/>
          <w:lang w:val="fi-FI"/>
        </w:rPr>
        <w:t>Rp315.000.000,00;</w:t>
      </w:r>
    </w:p>
    <w:p w14:paraId="10C146BA" w14:textId="6F19E09B" w:rsidR="000D2919" w:rsidRPr="00131E3B" w:rsidRDefault="000D2919" w:rsidP="00154790">
      <w:pPr>
        <w:pStyle w:val="ListParagraph"/>
        <w:numPr>
          <w:ilvl w:val="0"/>
          <w:numId w:val="262"/>
        </w:numPr>
        <w:spacing w:before="60" w:after="0" w:line="276" w:lineRule="auto"/>
        <w:ind w:left="1287" w:hanging="294"/>
        <w:contextualSpacing w:val="0"/>
        <w:jc w:val="both"/>
        <w:rPr>
          <w:rFonts w:ascii="Bookman Old Style" w:hAnsi="Bookman Old Style"/>
          <w:color w:val="000000"/>
          <w:sz w:val="24"/>
          <w:szCs w:val="24"/>
        </w:rPr>
      </w:pPr>
      <w:r w:rsidRPr="00131E3B">
        <w:rPr>
          <w:rFonts w:ascii="Bookman Old Style" w:hAnsi="Bookman Old Style"/>
          <w:color w:val="000000"/>
          <w:sz w:val="24"/>
          <w:szCs w:val="24"/>
        </w:rPr>
        <w:t>Peningkatan</w:t>
      </w:r>
      <w:r w:rsidR="00A954D0">
        <w:rPr>
          <w:rFonts w:ascii="Bookman Old Style" w:hAnsi="Bookman Old Style"/>
          <w:color w:val="000000"/>
          <w:sz w:val="24"/>
          <w:szCs w:val="24"/>
        </w:rPr>
        <w:t xml:space="preserve"> </w:t>
      </w:r>
      <w:r w:rsidRPr="00131E3B">
        <w:rPr>
          <w:rFonts w:ascii="Bookman Old Style" w:hAnsi="Bookman Old Style"/>
          <w:color w:val="000000"/>
          <w:sz w:val="24"/>
          <w:szCs w:val="24"/>
        </w:rPr>
        <w:t>Upaya</w:t>
      </w:r>
      <w:r w:rsidR="00A954D0">
        <w:rPr>
          <w:rFonts w:ascii="Bookman Old Style" w:hAnsi="Bookman Old Style"/>
          <w:color w:val="000000"/>
          <w:sz w:val="24"/>
          <w:szCs w:val="24"/>
        </w:rPr>
        <w:t xml:space="preserve"> </w:t>
      </w:r>
      <w:r w:rsidRPr="00131E3B">
        <w:rPr>
          <w:rFonts w:ascii="Bookman Old Style" w:hAnsi="Bookman Old Style"/>
          <w:color w:val="000000"/>
          <w:sz w:val="24"/>
          <w:szCs w:val="24"/>
        </w:rPr>
        <w:t>Promosi</w:t>
      </w:r>
      <w:r w:rsidR="00A954D0">
        <w:rPr>
          <w:rFonts w:ascii="Bookman Old Style" w:hAnsi="Bookman Old Style"/>
          <w:color w:val="000000"/>
          <w:sz w:val="24"/>
          <w:szCs w:val="24"/>
        </w:rPr>
        <w:t xml:space="preserve"> </w:t>
      </w:r>
      <w:r w:rsidRPr="00131E3B">
        <w:rPr>
          <w:rFonts w:ascii="Bookman Old Style" w:hAnsi="Bookman Old Style"/>
          <w:color w:val="000000"/>
          <w:sz w:val="24"/>
          <w:szCs w:val="24"/>
        </w:rPr>
        <w:t>Kesehatan,</w:t>
      </w:r>
      <w:r w:rsidR="00A954D0">
        <w:rPr>
          <w:rFonts w:ascii="Bookman Old Style" w:hAnsi="Bookman Old Style"/>
          <w:color w:val="000000"/>
          <w:sz w:val="24"/>
          <w:szCs w:val="24"/>
        </w:rPr>
        <w:t xml:space="preserve"> </w:t>
      </w:r>
      <w:r w:rsidRPr="00131E3B">
        <w:rPr>
          <w:rFonts w:ascii="Bookman Old Style" w:hAnsi="Bookman Old Style"/>
          <w:color w:val="000000"/>
          <w:sz w:val="24"/>
          <w:szCs w:val="24"/>
        </w:rPr>
        <w:t>Advokasi,</w:t>
      </w:r>
      <w:r w:rsidR="00A954D0">
        <w:rPr>
          <w:rFonts w:ascii="Bookman Old Style" w:hAnsi="Bookman Old Style"/>
          <w:color w:val="000000"/>
          <w:sz w:val="24"/>
          <w:szCs w:val="24"/>
        </w:rPr>
        <w:t xml:space="preserve"> </w:t>
      </w:r>
      <w:r w:rsidRPr="00131E3B">
        <w:rPr>
          <w:rFonts w:ascii="Bookman Old Style" w:hAnsi="Bookman Old Style"/>
          <w:color w:val="000000"/>
          <w:sz w:val="24"/>
          <w:szCs w:val="24"/>
        </w:rPr>
        <w:t>Kemitraan</w:t>
      </w:r>
      <w:r w:rsidR="00A954D0">
        <w:rPr>
          <w:rFonts w:ascii="Bookman Old Style" w:hAnsi="Bookman Old Style"/>
          <w:color w:val="000000"/>
          <w:sz w:val="24"/>
          <w:szCs w:val="24"/>
        </w:rPr>
        <w:t xml:space="preserve"> </w:t>
      </w:r>
      <w:r w:rsidRPr="00131E3B">
        <w:rPr>
          <w:rFonts w:ascii="Bookman Old Style" w:hAnsi="Bookman Old Style"/>
          <w:color w:val="000000"/>
          <w:sz w:val="24"/>
          <w:szCs w:val="24"/>
        </w:rPr>
        <w:t>dan</w:t>
      </w:r>
      <w:r w:rsidR="00A954D0">
        <w:rPr>
          <w:rFonts w:ascii="Bookman Old Style" w:hAnsi="Bookman Old Style"/>
          <w:color w:val="000000"/>
          <w:sz w:val="24"/>
          <w:szCs w:val="24"/>
        </w:rPr>
        <w:t xml:space="preserve"> </w:t>
      </w:r>
      <w:r w:rsidRPr="00131E3B">
        <w:rPr>
          <w:rFonts w:ascii="Bookman Old Style" w:hAnsi="Bookman Old Style"/>
          <w:color w:val="000000"/>
          <w:sz w:val="24"/>
          <w:szCs w:val="24"/>
        </w:rPr>
        <w:t>Pemberdayaan</w:t>
      </w:r>
      <w:r w:rsidR="00A954D0">
        <w:rPr>
          <w:rFonts w:ascii="Bookman Old Style" w:hAnsi="Bookman Old Style"/>
          <w:color w:val="000000"/>
          <w:sz w:val="24"/>
          <w:szCs w:val="24"/>
        </w:rPr>
        <w:t xml:space="preserve"> </w:t>
      </w:r>
      <w:r w:rsidRPr="00131E3B">
        <w:rPr>
          <w:rFonts w:ascii="Bookman Old Style" w:hAnsi="Bookman Old Style"/>
          <w:color w:val="000000"/>
          <w:sz w:val="24"/>
          <w:szCs w:val="24"/>
        </w:rPr>
        <w:t>Masyarakat</w:t>
      </w:r>
      <w:r w:rsidR="00A954D0">
        <w:rPr>
          <w:rFonts w:ascii="Bookman Old Style" w:hAnsi="Bookman Old Style"/>
          <w:color w:val="000000"/>
          <w:sz w:val="24"/>
          <w:szCs w:val="24"/>
          <w:lang w:val="en-US"/>
        </w:rPr>
        <w:t xml:space="preserve"> </w:t>
      </w:r>
      <w:r w:rsidRPr="00131E3B">
        <w:rPr>
          <w:rFonts w:ascii="Bookman Old Style" w:hAnsi="Bookman Old Style"/>
          <w:color w:val="000000"/>
          <w:sz w:val="24"/>
          <w:szCs w:val="24"/>
          <w:lang w:val="en-US"/>
        </w:rPr>
        <w:t>Rp1.249.922.000,00</w:t>
      </w:r>
      <w:r w:rsidR="00A954D0">
        <w:rPr>
          <w:rFonts w:ascii="Bookman Old Style" w:hAnsi="Bookman Old Style"/>
          <w:color w:val="000000"/>
          <w:sz w:val="24"/>
          <w:szCs w:val="24"/>
          <w:lang w:val="en-US"/>
        </w:rPr>
        <w:t xml:space="preserve"> </w:t>
      </w:r>
      <w:r w:rsidR="003A0A2B">
        <w:rPr>
          <w:rFonts w:ascii="Bookman Old Style" w:hAnsi="Bookman Old Style"/>
          <w:color w:val="000000"/>
          <w:sz w:val="24"/>
          <w:szCs w:val="24"/>
          <w:lang w:val="en-US"/>
        </w:rPr>
        <w:t>p</w:t>
      </w:r>
      <w:r>
        <w:rPr>
          <w:rFonts w:ascii="Bookman Old Style" w:hAnsi="Bookman Old Style"/>
          <w:color w:val="000000"/>
          <w:sz w:val="24"/>
          <w:szCs w:val="24"/>
          <w:lang w:val="en-US"/>
        </w:rPr>
        <w:t>ada</w:t>
      </w:r>
      <w:r w:rsidR="00A954D0">
        <w:rPr>
          <w:rFonts w:ascii="Bookman Old Style" w:hAnsi="Bookman Old Style"/>
          <w:color w:val="000000"/>
          <w:sz w:val="24"/>
          <w:szCs w:val="24"/>
          <w:lang w:val="en-US"/>
        </w:rPr>
        <w:t xml:space="preserve"> </w:t>
      </w:r>
      <w:r w:rsidRPr="00D04E39">
        <w:rPr>
          <w:rFonts w:ascii="Bookman Old Style" w:hAnsi="Bookman Old Style"/>
          <w:color w:val="000000"/>
          <w:sz w:val="24"/>
          <w:szCs w:val="24"/>
          <w:lang w:val="en-US"/>
        </w:rPr>
        <w:t>Dinas</w:t>
      </w:r>
      <w:r w:rsidR="00A954D0">
        <w:rPr>
          <w:rFonts w:ascii="Bookman Old Style" w:hAnsi="Bookman Old Style"/>
          <w:color w:val="000000"/>
          <w:sz w:val="24"/>
          <w:szCs w:val="24"/>
          <w:lang w:val="en-US"/>
        </w:rPr>
        <w:t xml:space="preserve"> </w:t>
      </w:r>
      <w:r w:rsidRPr="00D04E39">
        <w:rPr>
          <w:rFonts w:ascii="Bookman Old Style" w:hAnsi="Bookman Old Style"/>
          <w:color w:val="000000"/>
          <w:sz w:val="24"/>
          <w:szCs w:val="24"/>
          <w:lang w:val="en-US"/>
        </w:rPr>
        <w:t>Kesehatan</w:t>
      </w:r>
      <w:r w:rsidRPr="00D04E39">
        <w:rPr>
          <w:rFonts w:ascii="Bookman Old Style" w:hAnsi="Bookman Old Style"/>
          <w:sz w:val="24"/>
          <w:szCs w:val="24"/>
          <w:lang w:val="fi-FI"/>
        </w:rPr>
        <w:t>,</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yang</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antara</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lain</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diuraikan</w:t>
      </w:r>
      <w:r w:rsidR="00A954D0">
        <w:rPr>
          <w:rFonts w:ascii="Bookman Old Style" w:hAnsi="Bookman Old Style"/>
          <w:sz w:val="24"/>
          <w:szCs w:val="24"/>
          <w:lang w:val="id-ID"/>
        </w:rPr>
        <w:t xml:space="preserve"> </w:t>
      </w:r>
      <w:r w:rsidRPr="00D04E39">
        <w:rPr>
          <w:rFonts w:ascii="Bookman Old Style" w:hAnsi="Bookman Old Style"/>
          <w:sz w:val="24"/>
          <w:szCs w:val="24"/>
          <w:lang w:val="fi-FI"/>
        </w:rPr>
        <w:t>ke</w:t>
      </w:r>
      <w:r w:rsidR="00A954D0">
        <w:rPr>
          <w:rFonts w:ascii="Bookman Old Style" w:hAnsi="Bookman Old Style"/>
          <w:sz w:val="24"/>
          <w:szCs w:val="24"/>
          <w:lang w:val="fi-FI"/>
        </w:rPr>
        <w:t xml:space="preserve"> </w:t>
      </w:r>
      <w:r w:rsidRPr="00D04E39">
        <w:rPr>
          <w:rFonts w:ascii="Bookman Old Style" w:hAnsi="Bookman Old Style"/>
          <w:sz w:val="24"/>
          <w:szCs w:val="24"/>
          <w:lang w:val="fi-FI"/>
        </w:rPr>
        <w:t>dalam</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sub</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rincian</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objek</w:t>
      </w:r>
      <w:r w:rsidR="00A954D0">
        <w:rPr>
          <w:rFonts w:ascii="Bookman Old Style" w:hAnsi="Bookman Old Style"/>
          <w:sz w:val="24"/>
          <w:szCs w:val="24"/>
          <w:lang w:val="en-US"/>
        </w:rPr>
        <w:t xml:space="preserve"> </w:t>
      </w:r>
      <w:r w:rsidRPr="00131E3B">
        <w:rPr>
          <w:rFonts w:ascii="Bookman Old Style" w:hAnsi="Bookman Old Style"/>
          <w:sz w:val="24"/>
          <w:szCs w:val="24"/>
          <w:lang w:val="en-US"/>
        </w:rPr>
        <w:t>Belanja</w:t>
      </w:r>
      <w:r w:rsidR="00A954D0">
        <w:rPr>
          <w:rFonts w:ascii="Bookman Old Style" w:hAnsi="Bookman Old Style"/>
          <w:sz w:val="24"/>
          <w:szCs w:val="24"/>
          <w:lang w:val="en-US"/>
        </w:rPr>
        <w:t xml:space="preserve"> </w:t>
      </w:r>
      <w:r w:rsidRPr="00131E3B">
        <w:rPr>
          <w:rFonts w:ascii="Bookman Old Style" w:hAnsi="Bookman Old Style"/>
          <w:sz w:val="24"/>
          <w:szCs w:val="24"/>
          <w:lang w:val="en-US"/>
        </w:rPr>
        <w:t>Hibah</w:t>
      </w:r>
      <w:r w:rsidR="00A954D0">
        <w:rPr>
          <w:rFonts w:ascii="Bookman Old Style" w:hAnsi="Bookman Old Style"/>
          <w:sz w:val="24"/>
          <w:szCs w:val="24"/>
          <w:lang w:val="en-US"/>
        </w:rPr>
        <w:t xml:space="preserve"> </w:t>
      </w:r>
      <w:r w:rsidRPr="00131E3B">
        <w:rPr>
          <w:rFonts w:ascii="Bookman Old Style" w:hAnsi="Bookman Old Style"/>
          <w:sz w:val="24"/>
          <w:szCs w:val="24"/>
          <w:lang w:val="en-US"/>
        </w:rPr>
        <w:t>Uang</w:t>
      </w:r>
      <w:r w:rsidR="00A954D0">
        <w:rPr>
          <w:rFonts w:ascii="Bookman Old Style" w:hAnsi="Bookman Old Style"/>
          <w:sz w:val="24"/>
          <w:szCs w:val="24"/>
          <w:lang w:val="en-US"/>
        </w:rPr>
        <w:t xml:space="preserve"> </w:t>
      </w:r>
      <w:r w:rsidRPr="00131E3B">
        <w:rPr>
          <w:rFonts w:ascii="Bookman Old Style" w:hAnsi="Bookman Old Style"/>
          <w:sz w:val="24"/>
          <w:szCs w:val="24"/>
          <w:lang w:val="en-US"/>
        </w:rPr>
        <w:t>kepada</w:t>
      </w:r>
      <w:r w:rsidR="00A954D0">
        <w:rPr>
          <w:rFonts w:ascii="Bookman Old Style" w:hAnsi="Bookman Old Style"/>
          <w:sz w:val="24"/>
          <w:szCs w:val="24"/>
          <w:lang w:val="en-US"/>
        </w:rPr>
        <w:t xml:space="preserve"> </w:t>
      </w:r>
      <w:r w:rsidRPr="00131E3B">
        <w:rPr>
          <w:rFonts w:ascii="Bookman Old Style" w:hAnsi="Bookman Old Style"/>
          <w:sz w:val="24"/>
          <w:szCs w:val="24"/>
          <w:lang w:val="en-US"/>
        </w:rPr>
        <w:t>Badan</w:t>
      </w:r>
      <w:r w:rsidR="00A954D0">
        <w:rPr>
          <w:rFonts w:ascii="Bookman Old Style" w:hAnsi="Bookman Old Style"/>
          <w:sz w:val="24"/>
          <w:szCs w:val="24"/>
          <w:lang w:val="en-US"/>
        </w:rPr>
        <w:t xml:space="preserve"> </w:t>
      </w:r>
      <w:r w:rsidRPr="00131E3B">
        <w:rPr>
          <w:rFonts w:ascii="Bookman Old Style" w:hAnsi="Bookman Old Style"/>
          <w:sz w:val="24"/>
          <w:szCs w:val="24"/>
          <w:lang w:val="en-US"/>
        </w:rPr>
        <w:t>dan</w:t>
      </w:r>
      <w:r w:rsidR="00A954D0">
        <w:rPr>
          <w:rFonts w:ascii="Bookman Old Style" w:hAnsi="Bookman Old Style"/>
          <w:sz w:val="24"/>
          <w:szCs w:val="24"/>
          <w:lang w:val="en-US"/>
        </w:rPr>
        <w:t xml:space="preserve"> </w:t>
      </w:r>
      <w:r w:rsidRPr="00131E3B">
        <w:rPr>
          <w:rFonts w:ascii="Bookman Old Style" w:hAnsi="Bookman Old Style"/>
          <w:sz w:val="24"/>
          <w:szCs w:val="24"/>
          <w:lang w:val="en-US"/>
        </w:rPr>
        <w:t>Lembaga</w:t>
      </w:r>
      <w:r w:rsidR="00A954D0">
        <w:rPr>
          <w:rFonts w:ascii="Bookman Old Style" w:hAnsi="Bookman Old Style"/>
          <w:sz w:val="24"/>
          <w:szCs w:val="24"/>
          <w:lang w:val="en-US"/>
        </w:rPr>
        <w:t xml:space="preserve"> </w:t>
      </w:r>
      <w:r w:rsidRPr="00131E3B">
        <w:rPr>
          <w:rFonts w:ascii="Bookman Old Style" w:hAnsi="Bookman Old Style"/>
          <w:sz w:val="24"/>
          <w:szCs w:val="24"/>
          <w:lang w:val="en-US"/>
        </w:rPr>
        <w:t>Nirlaba,</w:t>
      </w:r>
      <w:r w:rsidR="00A954D0">
        <w:rPr>
          <w:rFonts w:ascii="Bookman Old Style" w:hAnsi="Bookman Old Style"/>
          <w:sz w:val="24"/>
          <w:szCs w:val="24"/>
          <w:lang w:val="en-US"/>
        </w:rPr>
        <w:t xml:space="preserve"> </w:t>
      </w:r>
      <w:r w:rsidRPr="00131E3B">
        <w:rPr>
          <w:rFonts w:ascii="Bookman Old Style" w:hAnsi="Bookman Old Style"/>
          <w:sz w:val="24"/>
          <w:szCs w:val="24"/>
          <w:lang w:val="en-US"/>
        </w:rPr>
        <w:t>Sukarela</w:t>
      </w:r>
      <w:r w:rsidR="00A954D0">
        <w:rPr>
          <w:rFonts w:ascii="Bookman Old Style" w:hAnsi="Bookman Old Style"/>
          <w:sz w:val="24"/>
          <w:szCs w:val="24"/>
          <w:lang w:val="en-US"/>
        </w:rPr>
        <w:t xml:space="preserve"> </w:t>
      </w:r>
      <w:r w:rsidRPr="00131E3B">
        <w:rPr>
          <w:rFonts w:ascii="Bookman Old Style" w:hAnsi="Bookman Old Style"/>
          <w:sz w:val="24"/>
          <w:szCs w:val="24"/>
          <w:lang w:val="en-US"/>
        </w:rPr>
        <w:t>dan</w:t>
      </w:r>
      <w:r w:rsidR="00A954D0">
        <w:rPr>
          <w:rFonts w:ascii="Bookman Old Style" w:hAnsi="Bookman Old Style"/>
          <w:sz w:val="24"/>
          <w:szCs w:val="24"/>
          <w:lang w:val="en-US"/>
        </w:rPr>
        <w:t xml:space="preserve"> </w:t>
      </w:r>
      <w:r w:rsidRPr="00131E3B">
        <w:rPr>
          <w:rFonts w:ascii="Bookman Old Style" w:hAnsi="Bookman Old Style"/>
          <w:sz w:val="24"/>
          <w:szCs w:val="24"/>
          <w:lang w:val="en-US"/>
        </w:rPr>
        <w:t>Sosial</w:t>
      </w:r>
      <w:r w:rsidR="00A954D0">
        <w:rPr>
          <w:rFonts w:ascii="Bookman Old Style" w:hAnsi="Bookman Old Style"/>
          <w:sz w:val="24"/>
          <w:szCs w:val="24"/>
          <w:lang w:val="en-US"/>
        </w:rPr>
        <w:t xml:space="preserve"> </w:t>
      </w:r>
      <w:r w:rsidRPr="00131E3B">
        <w:rPr>
          <w:rFonts w:ascii="Bookman Old Style" w:hAnsi="Bookman Old Style"/>
          <w:sz w:val="24"/>
          <w:szCs w:val="24"/>
          <w:lang w:val="en-US"/>
        </w:rPr>
        <w:t>yang</w:t>
      </w:r>
      <w:r w:rsidR="00A954D0">
        <w:rPr>
          <w:rFonts w:ascii="Bookman Old Style" w:hAnsi="Bookman Old Style"/>
          <w:sz w:val="24"/>
          <w:szCs w:val="24"/>
          <w:lang w:val="en-US"/>
        </w:rPr>
        <w:t xml:space="preserve"> </w:t>
      </w:r>
      <w:r w:rsidRPr="00131E3B">
        <w:rPr>
          <w:rFonts w:ascii="Bookman Old Style" w:hAnsi="Bookman Old Style"/>
          <w:sz w:val="24"/>
          <w:szCs w:val="24"/>
          <w:lang w:val="en-US"/>
        </w:rPr>
        <w:t>Telah</w:t>
      </w:r>
      <w:r w:rsidR="00A954D0">
        <w:rPr>
          <w:rFonts w:ascii="Bookman Old Style" w:hAnsi="Bookman Old Style"/>
          <w:sz w:val="24"/>
          <w:szCs w:val="24"/>
          <w:lang w:val="en-US"/>
        </w:rPr>
        <w:t xml:space="preserve"> </w:t>
      </w:r>
      <w:r w:rsidRPr="00131E3B">
        <w:rPr>
          <w:rFonts w:ascii="Bookman Old Style" w:hAnsi="Bookman Old Style"/>
          <w:sz w:val="24"/>
          <w:szCs w:val="24"/>
          <w:lang w:val="en-US"/>
        </w:rPr>
        <w:t>Memiliki</w:t>
      </w:r>
      <w:r w:rsidR="00A954D0">
        <w:rPr>
          <w:rFonts w:ascii="Bookman Old Style" w:hAnsi="Bookman Old Style"/>
          <w:sz w:val="24"/>
          <w:szCs w:val="24"/>
          <w:lang w:val="en-US"/>
        </w:rPr>
        <w:t xml:space="preserve"> </w:t>
      </w:r>
      <w:r w:rsidRPr="00131E3B">
        <w:rPr>
          <w:rFonts w:ascii="Bookman Old Style" w:hAnsi="Bookman Old Style"/>
          <w:sz w:val="24"/>
          <w:szCs w:val="24"/>
          <w:lang w:val="en-US"/>
        </w:rPr>
        <w:t>Surat</w:t>
      </w:r>
      <w:r w:rsidR="00A954D0">
        <w:rPr>
          <w:rFonts w:ascii="Bookman Old Style" w:hAnsi="Bookman Old Style"/>
          <w:sz w:val="24"/>
          <w:szCs w:val="24"/>
          <w:lang w:val="en-US"/>
        </w:rPr>
        <w:t xml:space="preserve"> </w:t>
      </w:r>
      <w:r w:rsidRPr="00131E3B">
        <w:rPr>
          <w:rFonts w:ascii="Bookman Old Style" w:hAnsi="Bookman Old Style"/>
          <w:sz w:val="24"/>
          <w:szCs w:val="24"/>
          <w:lang w:val="en-US"/>
        </w:rPr>
        <w:t>Keterangan</w:t>
      </w:r>
      <w:r w:rsidR="00A954D0">
        <w:rPr>
          <w:rFonts w:ascii="Bookman Old Style" w:hAnsi="Bookman Old Style"/>
          <w:sz w:val="24"/>
          <w:szCs w:val="24"/>
          <w:lang w:val="en-US"/>
        </w:rPr>
        <w:t xml:space="preserve"> </w:t>
      </w:r>
      <w:r w:rsidRPr="00131E3B">
        <w:rPr>
          <w:rFonts w:ascii="Bookman Old Style" w:hAnsi="Bookman Old Style"/>
          <w:sz w:val="24"/>
          <w:szCs w:val="24"/>
          <w:lang w:val="en-US"/>
        </w:rPr>
        <w:t>Terdaftar</w:t>
      </w:r>
      <w:r w:rsidR="00A954D0">
        <w:rPr>
          <w:rFonts w:ascii="Bookman Old Style" w:hAnsi="Bookman Old Style"/>
          <w:sz w:val="24"/>
          <w:szCs w:val="24"/>
          <w:lang w:val="en-US"/>
        </w:rPr>
        <w:t xml:space="preserve"> </w:t>
      </w:r>
      <w:r w:rsidRPr="00131E3B">
        <w:rPr>
          <w:rFonts w:ascii="Bookman Old Style" w:hAnsi="Bookman Old Style"/>
          <w:sz w:val="24"/>
          <w:szCs w:val="24"/>
          <w:lang w:val="en-US"/>
        </w:rPr>
        <w:t>Rp1.100.000.000,00</w:t>
      </w:r>
      <w:r w:rsidR="0034786C">
        <w:rPr>
          <w:rFonts w:ascii="Bookman Old Style" w:hAnsi="Bookman Old Style"/>
          <w:sz w:val="24"/>
          <w:szCs w:val="24"/>
          <w:lang w:val="en-US"/>
        </w:rPr>
        <w:t>;</w:t>
      </w:r>
    </w:p>
    <w:p w14:paraId="12DDA615" w14:textId="790DE90B" w:rsidR="000D2919" w:rsidRPr="00F87EE3" w:rsidRDefault="000D2919" w:rsidP="00154790">
      <w:pPr>
        <w:pStyle w:val="ListParagraph"/>
        <w:numPr>
          <w:ilvl w:val="0"/>
          <w:numId w:val="262"/>
        </w:numPr>
        <w:spacing w:before="60" w:after="0" w:line="276" w:lineRule="auto"/>
        <w:ind w:left="1287" w:hanging="294"/>
        <w:contextualSpacing w:val="0"/>
        <w:jc w:val="both"/>
        <w:rPr>
          <w:rFonts w:ascii="Bookman Old Style" w:hAnsi="Bookman Old Style"/>
          <w:color w:val="000000"/>
          <w:sz w:val="24"/>
          <w:szCs w:val="24"/>
        </w:rPr>
      </w:pPr>
      <w:r w:rsidRPr="00A4617D">
        <w:rPr>
          <w:rFonts w:ascii="Bookman Old Style" w:hAnsi="Bookman Old Style"/>
          <w:color w:val="000000"/>
          <w:sz w:val="24"/>
          <w:szCs w:val="24"/>
        </w:rPr>
        <w:t>Pelaksanaan</w:t>
      </w:r>
      <w:r w:rsidR="00A954D0">
        <w:rPr>
          <w:rFonts w:ascii="Bookman Old Style" w:hAnsi="Bookman Old Style"/>
          <w:color w:val="000000"/>
          <w:sz w:val="24"/>
          <w:szCs w:val="24"/>
        </w:rPr>
        <w:t xml:space="preserve"> </w:t>
      </w:r>
      <w:r w:rsidRPr="00A4617D">
        <w:rPr>
          <w:rFonts w:ascii="Bookman Old Style" w:hAnsi="Bookman Old Style"/>
          <w:color w:val="000000"/>
          <w:sz w:val="24"/>
          <w:szCs w:val="24"/>
        </w:rPr>
        <w:t>Kebijakan</w:t>
      </w:r>
      <w:r w:rsidR="00A954D0">
        <w:rPr>
          <w:rFonts w:ascii="Bookman Old Style" w:hAnsi="Bookman Old Style"/>
          <w:color w:val="000000"/>
          <w:sz w:val="24"/>
          <w:szCs w:val="24"/>
        </w:rPr>
        <w:t xml:space="preserve"> </w:t>
      </w:r>
      <w:r w:rsidRPr="00A4617D">
        <w:rPr>
          <w:rFonts w:ascii="Bookman Old Style" w:hAnsi="Bookman Old Style"/>
          <w:color w:val="000000"/>
          <w:sz w:val="24"/>
          <w:szCs w:val="24"/>
        </w:rPr>
        <w:t>di</w:t>
      </w:r>
      <w:r w:rsidR="00A954D0">
        <w:rPr>
          <w:rFonts w:ascii="Bookman Old Style" w:hAnsi="Bookman Old Style"/>
          <w:color w:val="000000"/>
          <w:sz w:val="24"/>
          <w:szCs w:val="24"/>
        </w:rPr>
        <w:t xml:space="preserve"> </w:t>
      </w:r>
      <w:r w:rsidRPr="00A4617D">
        <w:rPr>
          <w:rFonts w:ascii="Bookman Old Style" w:hAnsi="Bookman Old Style"/>
          <w:color w:val="000000"/>
          <w:sz w:val="24"/>
          <w:szCs w:val="24"/>
        </w:rPr>
        <w:t>Bidang</w:t>
      </w:r>
      <w:r w:rsidR="00A954D0">
        <w:rPr>
          <w:rFonts w:ascii="Bookman Old Style" w:hAnsi="Bookman Old Style"/>
          <w:color w:val="000000"/>
          <w:sz w:val="24"/>
          <w:szCs w:val="24"/>
        </w:rPr>
        <w:t xml:space="preserve"> </w:t>
      </w:r>
      <w:r w:rsidRPr="00A4617D">
        <w:rPr>
          <w:rFonts w:ascii="Bookman Old Style" w:hAnsi="Bookman Old Style"/>
          <w:color w:val="000000"/>
          <w:sz w:val="24"/>
          <w:szCs w:val="24"/>
        </w:rPr>
        <w:t>Ideologi</w:t>
      </w:r>
      <w:r w:rsidR="00A954D0">
        <w:rPr>
          <w:rFonts w:ascii="Bookman Old Style" w:hAnsi="Bookman Old Style"/>
          <w:color w:val="000000"/>
          <w:sz w:val="24"/>
          <w:szCs w:val="24"/>
        </w:rPr>
        <w:t xml:space="preserve"> </w:t>
      </w:r>
      <w:r w:rsidRPr="00A4617D">
        <w:rPr>
          <w:rFonts w:ascii="Bookman Old Style" w:hAnsi="Bookman Old Style"/>
          <w:color w:val="000000"/>
          <w:sz w:val="24"/>
          <w:szCs w:val="24"/>
        </w:rPr>
        <w:t>Wawasan</w:t>
      </w:r>
      <w:r w:rsidR="00A954D0">
        <w:rPr>
          <w:rFonts w:ascii="Bookman Old Style" w:hAnsi="Bookman Old Style"/>
          <w:color w:val="000000"/>
          <w:sz w:val="24"/>
          <w:szCs w:val="24"/>
        </w:rPr>
        <w:t xml:space="preserve"> </w:t>
      </w:r>
      <w:r w:rsidRPr="00A4617D">
        <w:rPr>
          <w:rFonts w:ascii="Bookman Old Style" w:hAnsi="Bookman Old Style"/>
          <w:color w:val="000000"/>
          <w:sz w:val="24"/>
          <w:szCs w:val="24"/>
        </w:rPr>
        <w:t>Kebangsaan,</w:t>
      </w:r>
      <w:r w:rsidR="00A954D0">
        <w:rPr>
          <w:rFonts w:ascii="Bookman Old Style" w:hAnsi="Bookman Old Style"/>
          <w:color w:val="000000"/>
          <w:sz w:val="24"/>
          <w:szCs w:val="24"/>
        </w:rPr>
        <w:t xml:space="preserve"> </w:t>
      </w:r>
      <w:r w:rsidRPr="00A4617D">
        <w:rPr>
          <w:rFonts w:ascii="Bookman Old Style" w:hAnsi="Bookman Old Style"/>
          <w:color w:val="000000"/>
          <w:sz w:val="24"/>
          <w:szCs w:val="24"/>
        </w:rPr>
        <w:t>Bela</w:t>
      </w:r>
      <w:r w:rsidR="00A954D0">
        <w:rPr>
          <w:rFonts w:ascii="Bookman Old Style" w:hAnsi="Bookman Old Style"/>
          <w:color w:val="000000"/>
          <w:sz w:val="24"/>
          <w:szCs w:val="24"/>
        </w:rPr>
        <w:t xml:space="preserve"> </w:t>
      </w:r>
      <w:r w:rsidRPr="00A4617D">
        <w:rPr>
          <w:rFonts w:ascii="Bookman Old Style" w:hAnsi="Bookman Old Style"/>
          <w:color w:val="000000"/>
          <w:sz w:val="24"/>
          <w:szCs w:val="24"/>
        </w:rPr>
        <w:t>Negara,</w:t>
      </w:r>
      <w:r w:rsidR="00A954D0">
        <w:rPr>
          <w:rFonts w:ascii="Bookman Old Style" w:hAnsi="Bookman Old Style"/>
          <w:color w:val="000000"/>
          <w:sz w:val="24"/>
          <w:szCs w:val="24"/>
        </w:rPr>
        <w:t xml:space="preserve"> </w:t>
      </w:r>
      <w:r w:rsidRPr="00A4617D">
        <w:rPr>
          <w:rFonts w:ascii="Bookman Old Style" w:hAnsi="Bookman Old Style"/>
          <w:color w:val="000000"/>
          <w:sz w:val="24"/>
          <w:szCs w:val="24"/>
        </w:rPr>
        <w:t>Karakter</w:t>
      </w:r>
      <w:r w:rsidR="00A954D0">
        <w:rPr>
          <w:rFonts w:ascii="Bookman Old Style" w:hAnsi="Bookman Old Style"/>
          <w:color w:val="000000"/>
          <w:sz w:val="24"/>
          <w:szCs w:val="24"/>
        </w:rPr>
        <w:t xml:space="preserve"> </w:t>
      </w:r>
      <w:r w:rsidRPr="00A4617D">
        <w:rPr>
          <w:rFonts w:ascii="Bookman Old Style" w:hAnsi="Bookman Old Style"/>
          <w:color w:val="000000"/>
          <w:sz w:val="24"/>
          <w:szCs w:val="24"/>
        </w:rPr>
        <w:t>Bangsa,</w:t>
      </w:r>
      <w:r w:rsidR="00A954D0">
        <w:rPr>
          <w:rFonts w:ascii="Bookman Old Style" w:hAnsi="Bookman Old Style"/>
          <w:color w:val="000000"/>
          <w:sz w:val="24"/>
          <w:szCs w:val="24"/>
        </w:rPr>
        <w:t xml:space="preserve"> </w:t>
      </w:r>
      <w:r w:rsidRPr="00A4617D">
        <w:rPr>
          <w:rFonts w:ascii="Bookman Old Style" w:hAnsi="Bookman Old Style"/>
          <w:color w:val="000000"/>
          <w:sz w:val="24"/>
          <w:szCs w:val="24"/>
        </w:rPr>
        <w:t>Pembauran</w:t>
      </w:r>
      <w:r w:rsidR="00A954D0">
        <w:rPr>
          <w:rFonts w:ascii="Bookman Old Style" w:hAnsi="Bookman Old Style"/>
          <w:color w:val="000000"/>
          <w:sz w:val="24"/>
          <w:szCs w:val="24"/>
        </w:rPr>
        <w:t xml:space="preserve"> </w:t>
      </w:r>
      <w:r w:rsidRPr="00A4617D">
        <w:rPr>
          <w:rFonts w:ascii="Bookman Old Style" w:hAnsi="Bookman Old Style"/>
          <w:color w:val="000000"/>
          <w:sz w:val="24"/>
          <w:szCs w:val="24"/>
        </w:rPr>
        <w:t>Kebangsaan,</w:t>
      </w:r>
      <w:r w:rsidR="00A954D0">
        <w:rPr>
          <w:rFonts w:ascii="Bookman Old Style" w:hAnsi="Bookman Old Style"/>
          <w:color w:val="000000"/>
          <w:sz w:val="24"/>
          <w:szCs w:val="24"/>
        </w:rPr>
        <w:t xml:space="preserve"> </w:t>
      </w:r>
      <w:r w:rsidRPr="00A4617D">
        <w:rPr>
          <w:rFonts w:ascii="Bookman Old Style" w:hAnsi="Bookman Old Style"/>
          <w:color w:val="000000"/>
          <w:sz w:val="24"/>
          <w:szCs w:val="24"/>
        </w:rPr>
        <w:t>Bineka</w:t>
      </w:r>
      <w:r w:rsidR="00A954D0">
        <w:rPr>
          <w:rFonts w:ascii="Bookman Old Style" w:hAnsi="Bookman Old Style"/>
          <w:color w:val="000000"/>
          <w:sz w:val="24"/>
          <w:szCs w:val="24"/>
        </w:rPr>
        <w:t xml:space="preserve"> </w:t>
      </w:r>
      <w:r w:rsidRPr="00A4617D">
        <w:rPr>
          <w:rFonts w:ascii="Bookman Old Style" w:hAnsi="Bookman Old Style"/>
          <w:color w:val="000000"/>
          <w:sz w:val="24"/>
          <w:szCs w:val="24"/>
        </w:rPr>
        <w:t>Tunggal</w:t>
      </w:r>
      <w:r w:rsidR="00A954D0">
        <w:rPr>
          <w:rFonts w:ascii="Bookman Old Style" w:hAnsi="Bookman Old Style"/>
          <w:color w:val="000000"/>
          <w:sz w:val="24"/>
          <w:szCs w:val="24"/>
        </w:rPr>
        <w:t xml:space="preserve"> </w:t>
      </w:r>
      <w:r w:rsidRPr="00A4617D">
        <w:rPr>
          <w:rFonts w:ascii="Bookman Old Style" w:hAnsi="Bookman Old Style"/>
          <w:color w:val="000000"/>
          <w:sz w:val="24"/>
          <w:szCs w:val="24"/>
        </w:rPr>
        <w:t>Ika</w:t>
      </w:r>
      <w:r w:rsidR="00A954D0">
        <w:rPr>
          <w:rFonts w:ascii="Bookman Old Style" w:hAnsi="Bookman Old Style"/>
          <w:color w:val="000000"/>
          <w:sz w:val="24"/>
          <w:szCs w:val="24"/>
        </w:rPr>
        <w:t xml:space="preserve"> </w:t>
      </w:r>
      <w:r w:rsidRPr="00A4617D">
        <w:rPr>
          <w:rFonts w:ascii="Bookman Old Style" w:hAnsi="Bookman Old Style"/>
          <w:color w:val="000000"/>
          <w:sz w:val="24"/>
          <w:szCs w:val="24"/>
        </w:rPr>
        <w:t>dan</w:t>
      </w:r>
      <w:r w:rsidR="00A954D0">
        <w:rPr>
          <w:rFonts w:ascii="Bookman Old Style" w:hAnsi="Bookman Old Style"/>
          <w:color w:val="000000"/>
          <w:sz w:val="24"/>
          <w:szCs w:val="24"/>
        </w:rPr>
        <w:t xml:space="preserve"> </w:t>
      </w:r>
      <w:r w:rsidRPr="00A4617D">
        <w:rPr>
          <w:rFonts w:ascii="Bookman Old Style" w:hAnsi="Bookman Old Style"/>
          <w:color w:val="000000"/>
          <w:sz w:val="24"/>
          <w:szCs w:val="24"/>
        </w:rPr>
        <w:t>Sejarah</w:t>
      </w:r>
      <w:r w:rsidR="00A954D0">
        <w:rPr>
          <w:rFonts w:ascii="Bookman Old Style" w:hAnsi="Bookman Old Style"/>
          <w:color w:val="000000"/>
          <w:sz w:val="24"/>
          <w:szCs w:val="24"/>
        </w:rPr>
        <w:t xml:space="preserve"> </w:t>
      </w:r>
      <w:r w:rsidRPr="00A4617D">
        <w:rPr>
          <w:rFonts w:ascii="Bookman Old Style" w:hAnsi="Bookman Old Style"/>
          <w:color w:val="000000"/>
          <w:sz w:val="24"/>
          <w:szCs w:val="24"/>
        </w:rPr>
        <w:t>Kebangsaan</w:t>
      </w:r>
      <w:r w:rsidR="00A954D0">
        <w:rPr>
          <w:rFonts w:ascii="Bookman Old Style" w:hAnsi="Bookman Old Style"/>
          <w:color w:val="000000"/>
          <w:sz w:val="24"/>
          <w:szCs w:val="24"/>
          <w:lang w:val="en-US"/>
        </w:rPr>
        <w:t xml:space="preserve"> </w:t>
      </w:r>
      <w:r w:rsidRPr="00A4617D">
        <w:rPr>
          <w:rFonts w:ascii="Bookman Old Style" w:hAnsi="Bookman Old Style"/>
          <w:color w:val="000000"/>
          <w:sz w:val="24"/>
          <w:szCs w:val="24"/>
        </w:rPr>
        <w:t>Rp2.492.714.200,00</w:t>
      </w:r>
      <w:r w:rsidR="00A954D0">
        <w:rPr>
          <w:rFonts w:ascii="Bookman Old Style" w:hAnsi="Bookman Old Style"/>
          <w:color w:val="000000"/>
          <w:sz w:val="24"/>
          <w:szCs w:val="24"/>
          <w:lang w:val="en-US"/>
        </w:rPr>
        <w:t xml:space="preserve"> </w:t>
      </w:r>
      <w:r>
        <w:rPr>
          <w:rFonts w:ascii="Bookman Old Style" w:hAnsi="Bookman Old Style"/>
          <w:color w:val="000000"/>
          <w:sz w:val="24"/>
          <w:szCs w:val="24"/>
          <w:lang w:val="en-US"/>
        </w:rPr>
        <w:t>pada</w:t>
      </w:r>
      <w:r w:rsidR="00A954D0">
        <w:rPr>
          <w:rFonts w:ascii="Bookman Old Style" w:hAnsi="Bookman Old Style"/>
          <w:color w:val="000000"/>
          <w:sz w:val="24"/>
          <w:szCs w:val="24"/>
          <w:lang w:val="en-US"/>
        </w:rPr>
        <w:t xml:space="preserve"> </w:t>
      </w:r>
      <w:r w:rsidRPr="00A4617D">
        <w:rPr>
          <w:rFonts w:ascii="Bookman Old Style" w:hAnsi="Bookman Old Style"/>
          <w:color w:val="000000"/>
          <w:sz w:val="24"/>
          <w:szCs w:val="24"/>
          <w:lang w:val="en-US"/>
        </w:rPr>
        <w:t>Badan</w:t>
      </w:r>
      <w:r w:rsidR="00A954D0">
        <w:rPr>
          <w:rFonts w:ascii="Bookman Old Style" w:hAnsi="Bookman Old Style"/>
          <w:color w:val="000000"/>
          <w:sz w:val="24"/>
          <w:szCs w:val="24"/>
          <w:lang w:val="en-US"/>
        </w:rPr>
        <w:t xml:space="preserve"> </w:t>
      </w:r>
      <w:r w:rsidRPr="00A4617D">
        <w:rPr>
          <w:rFonts w:ascii="Bookman Old Style" w:hAnsi="Bookman Old Style"/>
          <w:color w:val="000000"/>
          <w:sz w:val="24"/>
          <w:szCs w:val="24"/>
          <w:lang w:val="en-US"/>
        </w:rPr>
        <w:t>Kesatuan</w:t>
      </w:r>
      <w:r w:rsidR="00A954D0">
        <w:rPr>
          <w:rFonts w:ascii="Bookman Old Style" w:hAnsi="Bookman Old Style"/>
          <w:color w:val="000000"/>
          <w:sz w:val="24"/>
          <w:szCs w:val="24"/>
          <w:lang w:val="en-US"/>
        </w:rPr>
        <w:t xml:space="preserve"> </w:t>
      </w:r>
      <w:r w:rsidRPr="00A4617D">
        <w:rPr>
          <w:rFonts w:ascii="Bookman Old Style" w:hAnsi="Bookman Old Style"/>
          <w:color w:val="000000"/>
          <w:sz w:val="24"/>
          <w:szCs w:val="24"/>
          <w:lang w:val="en-US"/>
        </w:rPr>
        <w:t>Bangsa</w:t>
      </w:r>
      <w:r w:rsidR="00A954D0">
        <w:rPr>
          <w:rFonts w:ascii="Bookman Old Style" w:hAnsi="Bookman Old Style"/>
          <w:color w:val="000000"/>
          <w:sz w:val="24"/>
          <w:szCs w:val="24"/>
          <w:lang w:val="en-US"/>
        </w:rPr>
        <w:t xml:space="preserve"> </w:t>
      </w:r>
      <w:r>
        <w:rPr>
          <w:rFonts w:ascii="Bookman Old Style" w:hAnsi="Bookman Old Style"/>
          <w:color w:val="000000"/>
          <w:sz w:val="24"/>
          <w:szCs w:val="24"/>
          <w:lang w:val="en-US"/>
        </w:rPr>
        <w:t>d</w:t>
      </w:r>
      <w:r w:rsidRPr="00A4617D">
        <w:rPr>
          <w:rFonts w:ascii="Bookman Old Style" w:hAnsi="Bookman Old Style"/>
          <w:color w:val="000000"/>
          <w:sz w:val="24"/>
          <w:szCs w:val="24"/>
          <w:lang w:val="en-US"/>
        </w:rPr>
        <w:t>an</w:t>
      </w:r>
      <w:r w:rsidR="00A954D0">
        <w:rPr>
          <w:rFonts w:ascii="Bookman Old Style" w:hAnsi="Bookman Old Style"/>
          <w:color w:val="000000"/>
          <w:sz w:val="24"/>
          <w:szCs w:val="24"/>
          <w:lang w:val="en-US"/>
        </w:rPr>
        <w:t xml:space="preserve"> </w:t>
      </w:r>
      <w:r w:rsidRPr="00A4617D">
        <w:rPr>
          <w:rFonts w:ascii="Bookman Old Style" w:hAnsi="Bookman Old Style"/>
          <w:color w:val="000000"/>
          <w:sz w:val="24"/>
          <w:szCs w:val="24"/>
          <w:lang w:val="en-US"/>
        </w:rPr>
        <w:t>Politik</w:t>
      </w:r>
      <w:r w:rsidRPr="00D04E39">
        <w:rPr>
          <w:rFonts w:ascii="Bookman Old Style" w:hAnsi="Bookman Old Style"/>
          <w:sz w:val="24"/>
          <w:szCs w:val="24"/>
          <w:lang w:val="fi-FI"/>
        </w:rPr>
        <w:t>,</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yang</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antara</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lain</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diuraikan</w:t>
      </w:r>
      <w:r w:rsidR="00A954D0">
        <w:rPr>
          <w:rFonts w:ascii="Bookman Old Style" w:hAnsi="Bookman Old Style"/>
          <w:sz w:val="24"/>
          <w:szCs w:val="24"/>
          <w:lang w:val="id-ID"/>
        </w:rPr>
        <w:t xml:space="preserve"> </w:t>
      </w:r>
      <w:r w:rsidRPr="00D04E39">
        <w:rPr>
          <w:rFonts w:ascii="Bookman Old Style" w:hAnsi="Bookman Old Style"/>
          <w:sz w:val="24"/>
          <w:szCs w:val="24"/>
          <w:lang w:val="fi-FI"/>
        </w:rPr>
        <w:t>ke</w:t>
      </w:r>
      <w:r w:rsidR="00A954D0">
        <w:rPr>
          <w:rFonts w:ascii="Bookman Old Style" w:hAnsi="Bookman Old Style"/>
          <w:sz w:val="24"/>
          <w:szCs w:val="24"/>
          <w:lang w:val="fi-FI"/>
        </w:rPr>
        <w:t xml:space="preserve"> </w:t>
      </w:r>
      <w:r w:rsidRPr="00D04E39">
        <w:rPr>
          <w:rFonts w:ascii="Bookman Old Style" w:hAnsi="Bookman Old Style"/>
          <w:sz w:val="24"/>
          <w:szCs w:val="24"/>
          <w:lang w:val="fi-FI"/>
        </w:rPr>
        <w:t>dalam</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sub</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rincian</w:t>
      </w:r>
      <w:r w:rsidR="00A954D0">
        <w:rPr>
          <w:rFonts w:ascii="Bookman Old Style" w:hAnsi="Bookman Old Style"/>
          <w:sz w:val="24"/>
          <w:szCs w:val="24"/>
          <w:lang w:val="id-ID"/>
        </w:rPr>
        <w:t xml:space="preserve"> </w:t>
      </w:r>
      <w:r w:rsidRPr="00D04E39">
        <w:rPr>
          <w:rFonts w:ascii="Bookman Old Style" w:hAnsi="Bookman Old Style"/>
          <w:sz w:val="24"/>
          <w:szCs w:val="24"/>
          <w:lang w:val="id-ID"/>
        </w:rPr>
        <w:t>objek</w:t>
      </w:r>
      <w:r w:rsidR="00A954D0">
        <w:rPr>
          <w:rFonts w:ascii="Bookman Old Style" w:hAnsi="Bookman Old Style"/>
          <w:sz w:val="24"/>
          <w:szCs w:val="24"/>
          <w:lang w:val="en-US"/>
        </w:rPr>
        <w:t xml:space="preserve"> </w:t>
      </w:r>
      <w:r w:rsidRPr="00A4617D">
        <w:rPr>
          <w:rFonts w:ascii="Bookman Old Style" w:hAnsi="Bookman Old Style"/>
          <w:sz w:val="24"/>
          <w:szCs w:val="24"/>
          <w:lang w:val="en-US"/>
        </w:rPr>
        <w:t>Belanja</w:t>
      </w:r>
      <w:r w:rsidR="00A954D0">
        <w:rPr>
          <w:rFonts w:ascii="Bookman Old Style" w:hAnsi="Bookman Old Style"/>
          <w:sz w:val="24"/>
          <w:szCs w:val="24"/>
          <w:lang w:val="en-US"/>
        </w:rPr>
        <w:t xml:space="preserve"> </w:t>
      </w:r>
      <w:r w:rsidRPr="00A4617D">
        <w:rPr>
          <w:rFonts w:ascii="Bookman Old Style" w:hAnsi="Bookman Old Style"/>
          <w:sz w:val="24"/>
          <w:szCs w:val="24"/>
          <w:lang w:val="en-US"/>
        </w:rPr>
        <w:t>Jasa</w:t>
      </w:r>
      <w:r w:rsidR="00A954D0">
        <w:rPr>
          <w:rFonts w:ascii="Bookman Old Style" w:hAnsi="Bookman Old Style"/>
          <w:sz w:val="24"/>
          <w:szCs w:val="24"/>
          <w:lang w:val="en-US"/>
        </w:rPr>
        <w:t xml:space="preserve"> </w:t>
      </w:r>
      <w:r w:rsidRPr="00A4617D">
        <w:rPr>
          <w:rFonts w:ascii="Bookman Old Style" w:hAnsi="Bookman Old Style"/>
          <w:sz w:val="24"/>
          <w:szCs w:val="24"/>
          <w:lang w:val="en-US"/>
        </w:rPr>
        <w:t>yang</w:t>
      </w:r>
      <w:r w:rsidR="00A954D0">
        <w:rPr>
          <w:rFonts w:ascii="Bookman Old Style" w:hAnsi="Bookman Old Style"/>
          <w:sz w:val="24"/>
          <w:szCs w:val="24"/>
          <w:lang w:val="en-US"/>
        </w:rPr>
        <w:t xml:space="preserve"> </w:t>
      </w:r>
      <w:r w:rsidRPr="00A4617D">
        <w:rPr>
          <w:rFonts w:ascii="Bookman Old Style" w:hAnsi="Bookman Old Style"/>
          <w:sz w:val="24"/>
          <w:szCs w:val="24"/>
          <w:lang w:val="en-US"/>
        </w:rPr>
        <w:t>Diberikan</w:t>
      </w:r>
      <w:r w:rsidR="00A954D0">
        <w:rPr>
          <w:rFonts w:ascii="Bookman Old Style" w:hAnsi="Bookman Old Style"/>
          <w:sz w:val="24"/>
          <w:szCs w:val="24"/>
          <w:lang w:val="en-US"/>
        </w:rPr>
        <w:t xml:space="preserve"> </w:t>
      </w:r>
      <w:r w:rsidRPr="00A4617D">
        <w:rPr>
          <w:rFonts w:ascii="Bookman Old Style" w:hAnsi="Bookman Old Style"/>
          <w:sz w:val="24"/>
          <w:szCs w:val="24"/>
          <w:lang w:val="en-US"/>
        </w:rPr>
        <w:t>kepada</w:t>
      </w:r>
      <w:r w:rsidR="00A954D0">
        <w:rPr>
          <w:rFonts w:ascii="Bookman Old Style" w:hAnsi="Bookman Old Style"/>
          <w:sz w:val="24"/>
          <w:szCs w:val="24"/>
          <w:lang w:val="en-US"/>
        </w:rPr>
        <w:t xml:space="preserve"> </w:t>
      </w:r>
      <w:r w:rsidRPr="00A4617D">
        <w:rPr>
          <w:rFonts w:ascii="Bookman Old Style" w:hAnsi="Bookman Old Style"/>
          <w:sz w:val="24"/>
          <w:szCs w:val="24"/>
          <w:lang w:val="en-US"/>
        </w:rPr>
        <w:t>Masyarakat</w:t>
      </w:r>
      <w:r w:rsidR="00A954D0">
        <w:rPr>
          <w:rFonts w:ascii="Bookman Old Style" w:hAnsi="Bookman Old Style"/>
          <w:sz w:val="24"/>
          <w:szCs w:val="24"/>
          <w:lang w:val="en-US"/>
        </w:rPr>
        <w:t xml:space="preserve"> </w:t>
      </w:r>
      <w:r w:rsidRPr="00A4617D">
        <w:rPr>
          <w:rFonts w:ascii="Bookman Old Style" w:hAnsi="Bookman Old Style"/>
          <w:sz w:val="24"/>
          <w:szCs w:val="24"/>
          <w:lang w:val="en-US"/>
        </w:rPr>
        <w:t>Rp247.500.000,00</w:t>
      </w:r>
      <w:r>
        <w:rPr>
          <w:rFonts w:ascii="Bookman Old Style" w:hAnsi="Bookman Old Style"/>
          <w:sz w:val="24"/>
          <w:szCs w:val="24"/>
          <w:lang w:val="en-US"/>
        </w:rPr>
        <w:t>;</w:t>
      </w:r>
    </w:p>
    <w:p w14:paraId="02C64275" w14:textId="0A65F17C" w:rsidR="00241336" w:rsidRPr="00101F3D" w:rsidRDefault="00241336" w:rsidP="00154790">
      <w:pPr>
        <w:pStyle w:val="ListParagraph"/>
        <w:numPr>
          <w:ilvl w:val="0"/>
          <w:numId w:val="262"/>
        </w:numPr>
        <w:spacing w:before="60" w:after="0" w:line="276" w:lineRule="auto"/>
        <w:ind w:left="1287" w:hanging="294"/>
        <w:contextualSpacing w:val="0"/>
        <w:jc w:val="both"/>
        <w:rPr>
          <w:rFonts w:ascii="Bookman Old Style" w:hAnsi="Bookman Old Style"/>
          <w:sz w:val="24"/>
          <w:szCs w:val="24"/>
        </w:rPr>
      </w:pPr>
      <w:r w:rsidRPr="006B0AA2">
        <w:rPr>
          <w:rFonts w:ascii="Bookman Old Style" w:hAnsi="Bookman Old Style"/>
          <w:sz w:val="24"/>
          <w:szCs w:val="24"/>
          <w:lang w:val="en-US"/>
        </w:rPr>
        <w:t>Peningkatan</w:t>
      </w:r>
      <w:r w:rsidR="00A954D0">
        <w:rPr>
          <w:rFonts w:ascii="Bookman Old Style" w:hAnsi="Bookman Old Style"/>
          <w:sz w:val="24"/>
          <w:szCs w:val="24"/>
          <w:lang w:val="en-US"/>
        </w:rPr>
        <w:t xml:space="preserve"> </w:t>
      </w:r>
      <w:r w:rsidRPr="006B0AA2">
        <w:rPr>
          <w:rFonts w:ascii="Bookman Old Style" w:hAnsi="Bookman Old Style"/>
          <w:sz w:val="24"/>
          <w:szCs w:val="24"/>
          <w:lang w:val="en-US"/>
        </w:rPr>
        <w:t>Efektifitas</w:t>
      </w:r>
      <w:r w:rsidR="00A954D0">
        <w:rPr>
          <w:rFonts w:ascii="Bookman Old Style" w:hAnsi="Bookman Old Style"/>
          <w:sz w:val="24"/>
          <w:szCs w:val="24"/>
          <w:lang w:val="en-US"/>
        </w:rPr>
        <w:t xml:space="preserve"> </w:t>
      </w:r>
      <w:r w:rsidRPr="006B0AA2">
        <w:rPr>
          <w:rFonts w:ascii="Bookman Old Style" w:hAnsi="Bookman Old Style"/>
          <w:sz w:val="24"/>
          <w:szCs w:val="24"/>
          <w:lang w:val="en-US"/>
        </w:rPr>
        <w:t>Pelaksanaan</w:t>
      </w:r>
      <w:r w:rsidR="00A954D0">
        <w:rPr>
          <w:rFonts w:ascii="Bookman Old Style" w:hAnsi="Bookman Old Style"/>
          <w:sz w:val="24"/>
          <w:szCs w:val="24"/>
          <w:lang w:val="en-US"/>
        </w:rPr>
        <w:t xml:space="preserve"> </w:t>
      </w:r>
      <w:r w:rsidRPr="006B0AA2">
        <w:rPr>
          <w:rFonts w:ascii="Bookman Old Style" w:hAnsi="Bookman Old Style"/>
          <w:sz w:val="24"/>
          <w:szCs w:val="24"/>
          <w:lang w:val="en-US"/>
        </w:rPr>
        <w:t>Pelayanan</w:t>
      </w:r>
      <w:r w:rsidR="00A954D0">
        <w:rPr>
          <w:rFonts w:ascii="Bookman Old Style" w:hAnsi="Bookman Old Style"/>
          <w:sz w:val="24"/>
          <w:szCs w:val="24"/>
          <w:lang w:val="en-US"/>
        </w:rPr>
        <w:t xml:space="preserve"> </w:t>
      </w:r>
      <w:r w:rsidRPr="006B0AA2">
        <w:rPr>
          <w:rFonts w:ascii="Bookman Old Style" w:hAnsi="Bookman Old Style"/>
          <w:sz w:val="24"/>
          <w:szCs w:val="24"/>
          <w:lang w:val="en-US"/>
        </w:rPr>
        <w:t>kepada</w:t>
      </w:r>
      <w:r w:rsidR="00A954D0">
        <w:rPr>
          <w:rFonts w:ascii="Bookman Old Style" w:hAnsi="Bookman Old Style"/>
          <w:sz w:val="24"/>
          <w:szCs w:val="24"/>
          <w:lang w:val="en-US"/>
        </w:rPr>
        <w:t xml:space="preserve"> </w:t>
      </w:r>
      <w:r w:rsidRPr="006B0AA2">
        <w:rPr>
          <w:rFonts w:ascii="Bookman Old Style" w:hAnsi="Bookman Old Style"/>
          <w:sz w:val="24"/>
          <w:szCs w:val="24"/>
          <w:lang w:val="en-US"/>
        </w:rPr>
        <w:t>Masyarakat</w:t>
      </w:r>
      <w:r w:rsidR="00A954D0">
        <w:rPr>
          <w:rFonts w:ascii="Bookman Old Style" w:hAnsi="Bookman Old Style"/>
          <w:sz w:val="24"/>
          <w:szCs w:val="24"/>
          <w:lang w:val="en-US"/>
        </w:rPr>
        <w:t xml:space="preserve"> </w:t>
      </w:r>
      <w:r w:rsidRPr="006B0AA2">
        <w:rPr>
          <w:rFonts w:ascii="Bookman Old Style" w:hAnsi="Bookman Old Style"/>
          <w:sz w:val="24"/>
          <w:szCs w:val="24"/>
          <w:lang w:val="en-US"/>
        </w:rPr>
        <w:t>di</w:t>
      </w:r>
      <w:r w:rsidR="00A954D0">
        <w:rPr>
          <w:rFonts w:ascii="Bookman Old Style" w:hAnsi="Bookman Old Style"/>
          <w:sz w:val="24"/>
          <w:szCs w:val="24"/>
          <w:lang w:val="en-US"/>
        </w:rPr>
        <w:t xml:space="preserve"> </w:t>
      </w:r>
      <w:r w:rsidRPr="006B0AA2">
        <w:rPr>
          <w:rFonts w:ascii="Bookman Old Style" w:hAnsi="Bookman Old Style"/>
          <w:sz w:val="24"/>
          <w:szCs w:val="24"/>
          <w:lang w:val="en-US"/>
        </w:rPr>
        <w:t>Wilayah</w:t>
      </w:r>
      <w:r w:rsidR="00A954D0">
        <w:rPr>
          <w:rFonts w:ascii="Bookman Old Style" w:hAnsi="Bookman Old Style"/>
          <w:sz w:val="24"/>
          <w:szCs w:val="24"/>
          <w:lang w:val="en-US"/>
        </w:rPr>
        <w:t xml:space="preserve"> </w:t>
      </w:r>
      <w:r w:rsidRPr="006B0AA2">
        <w:rPr>
          <w:rFonts w:ascii="Bookman Old Style" w:hAnsi="Bookman Old Style"/>
          <w:sz w:val="24"/>
          <w:szCs w:val="24"/>
          <w:lang w:val="en-US"/>
        </w:rPr>
        <w:t>Kecamatan</w:t>
      </w:r>
      <w:r w:rsidR="00A954D0">
        <w:rPr>
          <w:rFonts w:ascii="Bookman Old Style" w:hAnsi="Bookman Old Style"/>
          <w:sz w:val="24"/>
          <w:szCs w:val="24"/>
          <w:lang w:val="en-US"/>
        </w:rPr>
        <w:t xml:space="preserve"> </w:t>
      </w:r>
      <w:r w:rsidR="006B0AA2">
        <w:rPr>
          <w:rFonts w:ascii="Bookman Old Style" w:hAnsi="Bookman Old Style"/>
          <w:sz w:val="24"/>
          <w:szCs w:val="24"/>
          <w:lang w:val="en-US"/>
        </w:rPr>
        <w:t>Rp415.779.100,00</w:t>
      </w:r>
      <w:r w:rsidR="00A954D0">
        <w:rPr>
          <w:rFonts w:ascii="Bookman Old Style" w:hAnsi="Bookman Old Style"/>
          <w:sz w:val="24"/>
          <w:szCs w:val="24"/>
          <w:lang w:val="en-US"/>
        </w:rPr>
        <w:t xml:space="preserve"> </w:t>
      </w:r>
      <w:r w:rsidRPr="006B0AA2">
        <w:rPr>
          <w:rFonts w:ascii="Bookman Old Style" w:hAnsi="Bookman Old Style"/>
          <w:sz w:val="24"/>
          <w:szCs w:val="24"/>
          <w:lang w:val="en-US"/>
        </w:rPr>
        <w:t>Kecamatan</w:t>
      </w:r>
      <w:r w:rsidR="00A954D0">
        <w:rPr>
          <w:rFonts w:ascii="Bookman Old Style" w:hAnsi="Bookman Old Style"/>
          <w:sz w:val="24"/>
          <w:szCs w:val="24"/>
          <w:lang w:val="en-US"/>
        </w:rPr>
        <w:t xml:space="preserve"> </w:t>
      </w:r>
      <w:r w:rsidRPr="006B0AA2">
        <w:rPr>
          <w:rFonts w:ascii="Bookman Old Style" w:hAnsi="Bookman Old Style"/>
          <w:sz w:val="24"/>
          <w:szCs w:val="24"/>
          <w:lang w:val="en-US"/>
        </w:rPr>
        <w:t>Batuceper</w:t>
      </w:r>
      <w:r w:rsidR="00A954D0">
        <w:rPr>
          <w:rFonts w:ascii="Bookman Old Style" w:hAnsi="Bookman Old Style"/>
          <w:sz w:val="24"/>
          <w:szCs w:val="24"/>
          <w:lang w:val="en-US"/>
        </w:rPr>
        <w:t xml:space="preserve"> </w:t>
      </w:r>
      <w:r w:rsidRPr="006B0AA2">
        <w:rPr>
          <w:rFonts w:ascii="Bookman Old Style" w:hAnsi="Bookman Old Style"/>
          <w:sz w:val="24"/>
          <w:szCs w:val="24"/>
          <w:lang w:val="en-US"/>
        </w:rPr>
        <w:t>yang</w:t>
      </w:r>
      <w:r w:rsidR="00A954D0">
        <w:rPr>
          <w:rFonts w:ascii="Bookman Old Style" w:hAnsi="Bookman Old Style"/>
          <w:sz w:val="24"/>
          <w:szCs w:val="24"/>
          <w:lang w:val="en-US"/>
        </w:rPr>
        <w:t xml:space="preserve"> </w:t>
      </w:r>
      <w:r w:rsidRPr="006B0AA2">
        <w:rPr>
          <w:rFonts w:ascii="Bookman Old Style" w:hAnsi="Bookman Old Style"/>
          <w:sz w:val="24"/>
          <w:szCs w:val="24"/>
          <w:lang w:val="en-US"/>
        </w:rPr>
        <w:t>antara</w:t>
      </w:r>
      <w:r w:rsidR="00A954D0">
        <w:rPr>
          <w:rFonts w:ascii="Bookman Old Style" w:hAnsi="Bookman Old Style"/>
          <w:sz w:val="24"/>
          <w:szCs w:val="24"/>
          <w:lang w:val="en-US"/>
        </w:rPr>
        <w:t xml:space="preserve"> </w:t>
      </w:r>
      <w:r w:rsidRPr="006B0AA2">
        <w:rPr>
          <w:rFonts w:ascii="Bookman Old Style" w:hAnsi="Bookman Old Style"/>
          <w:sz w:val="24"/>
          <w:szCs w:val="24"/>
          <w:lang w:val="en-US"/>
        </w:rPr>
        <w:t>lain</w:t>
      </w:r>
      <w:r w:rsidR="00A954D0">
        <w:rPr>
          <w:rFonts w:ascii="Bookman Old Style" w:hAnsi="Bookman Old Style"/>
          <w:sz w:val="24"/>
          <w:szCs w:val="24"/>
          <w:lang w:val="en-US"/>
        </w:rPr>
        <w:t xml:space="preserve"> </w:t>
      </w:r>
      <w:r w:rsidRPr="006B0AA2">
        <w:rPr>
          <w:rFonts w:ascii="Bookman Old Style" w:hAnsi="Bookman Old Style"/>
          <w:sz w:val="24"/>
          <w:szCs w:val="24"/>
          <w:lang w:val="en-US"/>
        </w:rPr>
        <w:t>diuraikan</w:t>
      </w:r>
      <w:r w:rsidR="00A954D0">
        <w:rPr>
          <w:rFonts w:ascii="Bookman Old Style" w:hAnsi="Bookman Old Style"/>
          <w:sz w:val="24"/>
          <w:szCs w:val="24"/>
          <w:lang w:val="en-US"/>
        </w:rPr>
        <w:t xml:space="preserve"> </w:t>
      </w:r>
      <w:r w:rsidRPr="006B0AA2">
        <w:rPr>
          <w:rFonts w:ascii="Bookman Old Style" w:hAnsi="Bookman Old Style"/>
          <w:sz w:val="24"/>
          <w:szCs w:val="24"/>
          <w:lang w:val="en-US"/>
        </w:rPr>
        <w:t>ke</w:t>
      </w:r>
      <w:r w:rsidR="00A954D0">
        <w:rPr>
          <w:rFonts w:ascii="Bookman Old Style" w:hAnsi="Bookman Old Style"/>
          <w:sz w:val="24"/>
          <w:szCs w:val="24"/>
          <w:lang w:val="en-US"/>
        </w:rPr>
        <w:t xml:space="preserve"> </w:t>
      </w:r>
      <w:r w:rsidRPr="006B0AA2">
        <w:rPr>
          <w:rFonts w:ascii="Bookman Old Style" w:hAnsi="Bookman Old Style"/>
          <w:sz w:val="24"/>
          <w:szCs w:val="24"/>
          <w:lang w:val="en-US"/>
        </w:rPr>
        <w:t>dalam</w:t>
      </w:r>
      <w:r w:rsidR="00A954D0">
        <w:rPr>
          <w:rFonts w:ascii="Bookman Old Style" w:hAnsi="Bookman Old Style"/>
          <w:sz w:val="24"/>
          <w:szCs w:val="24"/>
          <w:lang w:val="en-US"/>
        </w:rPr>
        <w:t xml:space="preserve"> </w:t>
      </w:r>
      <w:r w:rsidRPr="006B0AA2">
        <w:rPr>
          <w:rFonts w:ascii="Bookman Old Style" w:hAnsi="Bookman Old Style"/>
          <w:sz w:val="24"/>
          <w:szCs w:val="24"/>
          <w:lang w:val="en-US"/>
        </w:rPr>
        <w:t>sub</w:t>
      </w:r>
      <w:r w:rsidR="00A954D0">
        <w:rPr>
          <w:rFonts w:ascii="Bookman Old Style" w:hAnsi="Bookman Old Style"/>
          <w:sz w:val="24"/>
          <w:szCs w:val="24"/>
          <w:lang w:val="en-US"/>
        </w:rPr>
        <w:t xml:space="preserve"> </w:t>
      </w:r>
      <w:r w:rsidRPr="006B0AA2">
        <w:rPr>
          <w:rFonts w:ascii="Bookman Old Style" w:hAnsi="Bookman Old Style"/>
          <w:sz w:val="24"/>
          <w:szCs w:val="24"/>
          <w:lang w:val="en-US"/>
        </w:rPr>
        <w:t>rincian</w:t>
      </w:r>
      <w:r w:rsidR="00A954D0">
        <w:rPr>
          <w:rFonts w:ascii="Bookman Old Style" w:hAnsi="Bookman Old Style"/>
          <w:sz w:val="24"/>
          <w:szCs w:val="24"/>
          <w:lang w:val="en-US"/>
        </w:rPr>
        <w:t xml:space="preserve"> </w:t>
      </w:r>
      <w:r w:rsidRPr="006B0AA2">
        <w:rPr>
          <w:rFonts w:ascii="Bookman Old Style" w:hAnsi="Bookman Old Style"/>
          <w:sz w:val="24"/>
          <w:szCs w:val="24"/>
          <w:lang w:val="en-US"/>
        </w:rPr>
        <w:t>objek</w:t>
      </w:r>
      <w:r w:rsidR="00A954D0">
        <w:rPr>
          <w:rFonts w:ascii="Bookman Old Style" w:hAnsi="Bookman Old Style"/>
          <w:sz w:val="24"/>
          <w:szCs w:val="24"/>
          <w:lang w:val="en-US"/>
        </w:rPr>
        <w:t xml:space="preserve"> </w:t>
      </w:r>
      <w:r w:rsidRPr="006B0AA2">
        <w:rPr>
          <w:rFonts w:ascii="Bookman Old Style" w:hAnsi="Bookman Old Style"/>
          <w:sz w:val="24"/>
          <w:szCs w:val="24"/>
          <w:lang w:val="en-US"/>
        </w:rPr>
        <w:t>Belanja</w:t>
      </w:r>
      <w:r w:rsidR="00A954D0">
        <w:rPr>
          <w:rFonts w:ascii="Bookman Old Style" w:hAnsi="Bookman Old Style"/>
          <w:sz w:val="24"/>
          <w:szCs w:val="24"/>
          <w:lang w:val="en-US"/>
        </w:rPr>
        <w:t xml:space="preserve"> </w:t>
      </w:r>
      <w:r w:rsidRPr="006B0AA2">
        <w:rPr>
          <w:rFonts w:ascii="Bookman Old Style" w:hAnsi="Bookman Old Style"/>
          <w:sz w:val="24"/>
          <w:szCs w:val="24"/>
          <w:lang w:val="en-US"/>
        </w:rPr>
        <w:t>Jasa</w:t>
      </w:r>
      <w:r w:rsidR="00A954D0">
        <w:rPr>
          <w:rFonts w:ascii="Bookman Old Style" w:hAnsi="Bookman Old Style"/>
          <w:sz w:val="24"/>
          <w:szCs w:val="24"/>
          <w:lang w:val="en-US"/>
        </w:rPr>
        <w:t xml:space="preserve"> </w:t>
      </w:r>
      <w:r w:rsidRPr="006B0AA2">
        <w:rPr>
          <w:rFonts w:ascii="Bookman Old Style" w:hAnsi="Bookman Old Style"/>
          <w:sz w:val="24"/>
          <w:szCs w:val="24"/>
          <w:lang w:val="en-US"/>
        </w:rPr>
        <w:t>Tata</w:t>
      </w:r>
      <w:r w:rsidR="00A954D0">
        <w:rPr>
          <w:rFonts w:ascii="Bookman Old Style" w:hAnsi="Bookman Old Style"/>
          <w:sz w:val="24"/>
          <w:szCs w:val="24"/>
          <w:lang w:val="en-US"/>
        </w:rPr>
        <w:t xml:space="preserve"> </w:t>
      </w:r>
      <w:r w:rsidRPr="006B0AA2">
        <w:rPr>
          <w:rFonts w:ascii="Bookman Old Style" w:hAnsi="Bookman Old Style"/>
          <w:sz w:val="24"/>
          <w:szCs w:val="24"/>
          <w:lang w:val="en-US"/>
        </w:rPr>
        <w:t>Rias</w:t>
      </w:r>
      <w:r w:rsidR="00A954D0">
        <w:rPr>
          <w:rFonts w:ascii="Bookman Old Style" w:hAnsi="Bookman Old Style"/>
          <w:sz w:val="24"/>
          <w:szCs w:val="24"/>
          <w:lang w:val="en-US"/>
        </w:rPr>
        <w:t xml:space="preserve"> </w:t>
      </w:r>
      <w:r w:rsidRPr="006B0AA2">
        <w:rPr>
          <w:rFonts w:ascii="Bookman Old Style" w:hAnsi="Bookman Old Style"/>
          <w:sz w:val="24"/>
          <w:szCs w:val="24"/>
          <w:lang w:val="en-US"/>
        </w:rPr>
        <w:t>Rp3.750.000,00</w:t>
      </w:r>
      <w:r w:rsidR="00154790">
        <w:rPr>
          <w:rFonts w:ascii="Bookman Old Style" w:hAnsi="Bookman Old Style"/>
          <w:sz w:val="24"/>
          <w:szCs w:val="24"/>
          <w:lang w:val="en-US"/>
        </w:rPr>
        <w:t>.</w:t>
      </w:r>
    </w:p>
    <w:p w14:paraId="2121D3E3" w14:textId="15BACDA3" w:rsidR="00A05A24" w:rsidRDefault="00F34F2E" w:rsidP="00D25E44">
      <w:pPr>
        <w:pStyle w:val="ListParagraph"/>
        <w:spacing w:before="60" w:after="0" w:line="276" w:lineRule="auto"/>
        <w:ind w:left="993"/>
        <w:contextualSpacing w:val="0"/>
        <w:jc w:val="both"/>
        <w:rPr>
          <w:rFonts w:ascii="Bookman Old Style" w:hAnsi="Bookman Old Style"/>
          <w:color w:val="000000"/>
          <w:sz w:val="24"/>
          <w:szCs w:val="24"/>
        </w:rPr>
      </w:pPr>
      <w:r>
        <w:rPr>
          <w:rFonts w:ascii="Bookman Old Style" w:hAnsi="Bookman Old Style"/>
          <w:color w:val="000000"/>
          <w:sz w:val="24"/>
          <w:szCs w:val="24"/>
        </w:rPr>
        <w:t xml:space="preserve">Diindikasikan </w:t>
      </w:r>
      <w:r w:rsidR="00A05A24">
        <w:rPr>
          <w:rFonts w:ascii="Bookman Old Style" w:hAnsi="Bookman Old Style"/>
          <w:color w:val="000000"/>
          <w:sz w:val="24"/>
          <w:szCs w:val="24"/>
        </w:rPr>
        <w:t>tidak</w:t>
      </w:r>
      <w:r w:rsidR="00A954D0">
        <w:rPr>
          <w:rFonts w:ascii="Bookman Old Style" w:hAnsi="Bookman Old Style"/>
          <w:color w:val="000000"/>
          <w:sz w:val="24"/>
          <w:szCs w:val="24"/>
        </w:rPr>
        <w:t xml:space="preserve"> </w:t>
      </w:r>
      <w:r w:rsidR="00A05A24">
        <w:rPr>
          <w:rFonts w:ascii="Bookman Old Style" w:hAnsi="Bookman Old Style"/>
          <w:color w:val="000000"/>
          <w:sz w:val="24"/>
          <w:szCs w:val="24"/>
        </w:rPr>
        <w:t>memiliki</w:t>
      </w:r>
      <w:r w:rsidR="00A954D0">
        <w:rPr>
          <w:rFonts w:ascii="Bookman Old Style" w:hAnsi="Bookman Old Style"/>
          <w:color w:val="000000"/>
          <w:sz w:val="24"/>
          <w:szCs w:val="24"/>
        </w:rPr>
        <w:t xml:space="preserve"> </w:t>
      </w:r>
      <w:r w:rsidR="00A05A24">
        <w:rPr>
          <w:rFonts w:ascii="Bookman Old Style" w:hAnsi="Bookman Old Style"/>
          <w:color w:val="000000"/>
          <w:sz w:val="24"/>
          <w:szCs w:val="24"/>
        </w:rPr>
        <w:t>korelasi</w:t>
      </w:r>
      <w:r w:rsidR="00A954D0">
        <w:rPr>
          <w:rFonts w:ascii="Bookman Old Style" w:hAnsi="Bookman Old Style"/>
          <w:color w:val="000000"/>
          <w:sz w:val="24"/>
          <w:szCs w:val="24"/>
        </w:rPr>
        <w:t xml:space="preserve"> </w:t>
      </w:r>
      <w:r w:rsidR="00A05A24">
        <w:rPr>
          <w:rFonts w:ascii="Bookman Old Style" w:hAnsi="Bookman Old Style"/>
          <w:color w:val="000000"/>
          <w:sz w:val="24"/>
          <w:szCs w:val="24"/>
        </w:rPr>
        <w:t>langsung</w:t>
      </w:r>
      <w:r w:rsidR="00A954D0">
        <w:rPr>
          <w:rFonts w:ascii="Bookman Old Style" w:hAnsi="Bookman Old Style"/>
          <w:color w:val="000000"/>
          <w:sz w:val="24"/>
          <w:szCs w:val="24"/>
        </w:rPr>
        <w:t xml:space="preserve"> </w:t>
      </w:r>
      <w:r w:rsidR="00A05A24">
        <w:rPr>
          <w:rFonts w:ascii="Bookman Old Style" w:hAnsi="Bookman Old Style"/>
          <w:color w:val="000000"/>
          <w:sz w:val="24"/>
          <w:szCs w:val="24"/>
        </w:rPr>
        <w:t>dengan</w:t>
      </w:r>
      <w:r w:rsidR="00A954D0">
        <w:rPr>
          <w:rFonts w:ascii="Bookman Old Style" w:hAnsi="Bookman Old Style"/>
          <w:color w:val="000000"/>
          <w:sz w:val="24"/>
          <w:szCs w:val="24"/>
        </w:rPr>
        <w:t xml:space="preserve"> </w:t>
      </w:r>
      <w:r w:rsidR="00A05A24">
        <w:rPr>
          <w:rFonts w:ascii="Bookman Old Style" w:hAnsi="Bookman Old Style"/>
          <w:color w:val="000000"/>
          <w:sz w:val="24"/>
          <w:szCs w:val="24"/>
        </w:rPr>
        <w:t>keluaran</w:t>
      </w:r>
      <w:r w:rsidR="00A954D0">
        <w:rPr>
          <w:rFonts w:ascii="Bookman Old Style" w:hAnsi="Bookman Old Style"/>
          <w:color w:val="000000"/>
          <w:sz w:val="24"/>
          <w:szCs w:val="24"/>
        </w:rPr>
        <w:t xml:space="preserve"> </w:t>
      </w:r>
      <w:r w:rsidR="00A05A24">
        <w:rPr>
          <w:rFonts w:ascii="Bookman Old Style" w:hAnsi="Bookman Old Style"/>
          <w:color w:val="000000"/>
          <w:sz w:val="24"/>
          <w:szCs w:val="24"/>
        </w:rPr>
        <w:t>yang</w:t>
      </w:r>
      <w:r w:rsidR="00A954D0">
        <w:rPr>
          <w:rFonts w:ascii="Bookman Old Style" w:hAnsi="Bookman Old Style"/>
          <w:color w:val="000000"/>
          <w:sz w:val="24"/>
          <w:szCs w:val="24"/>
        </w:rPr>
        <w:t xml:space="preserve"> </w:t>
      </w:r>
      <w:r w:rsidR="00A05A24">
        <w:rPr>
          <w:rFonts w:ascii="Bookman Old Style" w:hAnsi="Bookman Old Style"/>
          <w:color w:val="000000"/>
          <w:sz w:val="24"/>
          <w:szCs w:val="24"/>
        </w:rPr>
        <w:t>diharapkan</w:t>
      </w:r>
      <w:r w:rsidR="00A954D0">
        <w:rPr>
          <w:rFonts w:ascii="Bookman Old Style" w:hAnsi="Bookman Old Style"/>
          <w:color w:val="000000"/>
          <w:sz w:val="24"/>
          <w:szCs w:val="24"/>
        </w:rPr>
        <w:t xml:space="preserve"> </w:t>
      </w:r>
      <w:r w:rsidR="00A05A24">
        <w:rPr>
          <w:rFonts w:ascii="Bookman Old Style" w:hAnsi="Bookman Old Style"/>
          <w:color w:val="000000"/>
          <w:sz w:val="24"/>
          <w:szCs w:val="24"/>
        </w:rPr>
        <w:t>dari</w:t>
      </w:r>
      <w:r w:rsidR="00A954D0">
        <w:rPr>
          <w:rFonts w:ascii="Bookman Old Style" w:hAnsi="Bookman Old Style"/>
          <w:color w:val="000000"/>
          <w:sz w:val="24"/>
          <w:szCs w:val="24"/>
        </w:rPr>
        <w:t xml:space="preserve"> </w:t>
      </w:r>
      <w:r w:rsidR="00A05A24">
        <w:rPr>
          <w:rFonts w:ascii="Bookman Old Style" w:hAnsi="Bookman Old Style"/>
          <w:color w:val="000000"/>
          <w:sz w:val="24"/>
          <w:szCs w:val="24"/>
        </w:rPr>
        <w:t>sub</w:t>
      </w:r>
      <w:r w:rsidR="00A954D0">
        <w:rPr>
          <w:rFonts w:ascii="Bookman Old Style" w:hAnsi="Bookman Old Style"/>
          <w:color w:val="000000"/>
          <w:sz w:val="24"/>
          <w:szCs w:val="24"/>
        </w:rPr>
        <w:t xml:space="preserve"> </w:t>
      </w:r>
      <w:r w:rsidR="00A05A24">
        <w:rPr>
          <w:rFonts w:ascii="Bookman Old Style" w:hAnsi="Bookman Old Style"/>
          <w:color w:val="000000"/>
          <w:sz w:val="24"/>
          <w:szCs w:val="24"/>
        </w:rPr>
        <w:t>kegiatan</w:t>
      </w:r>
      <w:r w:rsidR="00A954D0">
        <w:rPr>
          <w:rFonts w:ascii="Bookman Old Style" w:hAnsi="Bookman Old Style"/>
          <w:color w:val="000000"/>
          <w:sz w:val="24"/>
          <w:szCs w:val="24"/>
        </w:rPr>
        <w:t xml:space="preserve"> </w:t>
      </w:r>
      <w:r w:rsidR="00A05A24">
        <w:rPr>
          <w:rFonts w:ascii="Bookman Old Style" w:hAnsi="Bookman Old Style"/>
          <w:color w:val="000000"/>
          <w:sz w:val="24"/>
          <w:szCs w:val="24"/>
        </w:rPr>
        <w:t>dimaksud</w:t>
      </w:r>
      <w:r w:rsidR="00A954D0">
        <w:rPr>
          <w:rFonts w:ascii="Bookman Old Style" w:hAnsi="Bookman Old Style"/>
          <w:color w:val="000000"/>
          <w:sz w:val="24"/>
          <w:szCs w:val="24"/>
        </w:rPr>
        <w:t xml:space="preserve"> </w:t>
      </w:r>
      <w:r w:rsidR="00A05A24">
        <w:rPr>
          <w:rFonts w:ascii="Bookman Old Style" w:hAnsi="Bookman Old Style"/>
          <w:color w:val="000000"/>
          <w:sz w:val="24"/>
          <w:szCs w:val="24"/>
        </w:rPr>
        <w:t>apabila</w:t>
      </w:r>
      <w:r w:rsidR="00A954D0">
        <w:rPr>
          <w:rFonts w:ascii="Bookman Old Style" w:hAnsi="Bookman Old Style"/>
          <w:color w:val="000000"/>
          <w:sz w:val="24"/>
          <w:szCs w:val="24"/>
        </w:rPr>
        <w:t xml:space="preserve"> </w:t>
      </w:r>
      <w:r w:rsidR="00A05A24">
        <w:rPr>
          <w:rFonts w:ascii="Bookman Old Style" w:hAnsi="Bookman Old Style"/>
          <w:color w:val="000000"/>
          <w:sz w:val="24"/>
          <w:szCs w:val="24"/>
        </w:rPr>
        <w:t>ditinjau</w:t>
      </w:r>
      <w:r w:rsidR="00A954D0">
        <w:rPr>
          <w:rFonts w:ascii="Bookman Old Style" w:hAnsi="Bookman Old Style"/>
          <w:color w:val="000000"/>
          <w:sz w:val="24"/>
          <w:szCs w:val="24"/>
        </w:rPr>
        <w:t xml:space="preserve"> </w:t>
      </w:r>
      <w:r w:rsidR="00A05A24">
        <w:rPr>
          <w:rFonts w:ascii="Bookman Old Style" w:hAnsi="Bookman Old Style"/>
          <w:color w:val="000000"/>
          <w:sz w:val="24"/>
          <w:szCs w:val="24"/>
        </w:rPr>
        <w:t>dari</w:t>
      </w:r>
      <w:r w:rsidR="00A954D0">
        <w:rPr>
          <w:rFonts w:ascii="Bookman Old Style" w:hAnsi="Bookman Old Style"/>
          <w:color w:val="000000"/>
          <w:sz w:val="24"/>
          <w:szCs w:val="24"/>
        </w:rPr>
        <w:t xml:space="preserve"> </w:t>
      </w:r>
      <w:r w:rsidR="00A05A24">
        <w:rPr>
          <w:rFonts w:ascii="Bookman Old Style" w:hAnsi="Bookman Old Style"/>
          <w:color w:val="000000"/>
          <w:sz w:val="24"/>
          <w:szCs w:val="24"/>
        </w:rPr>
        <w:t>aspek</w:t>
      </w:r>
      <w:r w:rsidR="00A954D0">
        <w:rPr>
          <w:rFonts w:ascii="Bookman Old Style" w:hAnsi="Bookman Old Style"/>
          <w:color w:val="000000"/>
          <w:sz w:val="24"/>
          <w:szCs w:val="24"/>
        </w:rPr>
        <w:t xml:space="preserve"> </w:t>
      </w:r>
      <w:r w:rsidR="00A05A24">
        <w:rPr>
          <w:rFonts w:ascii="Bookman Old Style" w:hAnsi="Bookman Old Style"/>
          <w:color w:val="000000"/>
          <w:sz w:val="24"/>
          <w:szCs w:val="24"/>
        </w:rPr>
        <w:t>indikator,</w:t>
      </w:r>
      <w:r w:rsidR="00A954D0">
        <w:rPr>
          <w:rFonts w:ascii="Bookman Old Style" w:hAnsi="Bookman Old Style"/>
          <w:color w:val="000000"/>
          <w:sz w:val="24"/>
          <w:szCs w:val="24"/>
        </w:rPr>
        <w:t xml:space="preserve"> </w:t>
      </w:r>
      <w:r w:rsidR="00A05A24">
        <w:rPr>
          <w:rFonts w:ascii="Bookman Old Style" w:hAnsi="Bookman Old Style"/>
          <w:color w:val="000000"/>
          <w:sz w:val="24"/>
          <w:szCs w:val="24"/>
        </w:rPr>
        <w:t>tolok</w:t>
      </w:r>
      <w:r w:rsidR="00A954D0">
        <w:rPr>
          <w:rFonts w:ascii="Bookman Old Style" w:hAnsi="Bookman Old Style"/>
          <w:color w:val="000000"/>
          <w:sz w:val="24"/>
          <w:szCs w:val="24"/>
        </w:rPr>
        <w:t xml:space="preserve"> </w:t>
      </w:r>
      <w:r w:rsidR="00A05A24">
        <w:rPr>
          <w:rFonts w:ascii="Bookman Old Style" w:hAnsi="Bookman Old Style"/>
          <w:sz w:val="24"/>
          <w:szCs w:val="24"/>
        </w:rPr>
        <w:t>ukur</w:t>
      </w:r>
      <w:r w:rsidR="00A954D0">
        <w:rPr>
          <w:rFonts w:ascii="Bookman Old Style" w:hAnsi="Bookman Old Style"/>
          <w:color w:val="000000"/>
          <w:sz w:val="24"/>
          <w:szCs w:val="24"/>
        </w:rPr>
        <w:t xml:space="preserve"> </w:t>
      </w:r>
      <w:r w:rsidR="00A05A24">
        <w:rPr>
          <w:rFonts w:ascii="Bookman Old Style" w:hAnsi="Bookman Old Style"/>
          <w:color w:val="000000"/>
          <w:sz w:val="24"/>
          <w:szCs w:val="24"/>
        </w:rPr>
        <w:t>dan</w:t>
      </w:r>
      <w:r w:rsidR="00A954D0">
        <w:rPr>
          <w:rFonts w:ascii="Bookman Old Style" w:hAnsi="Bookman Old Style"/>
          <w:color w:val="000000"/>
          <w:sz w:val="24"/>
          <w:szCs w:val="24"/>
        </w:rPr>
        <w:t xml:space="preserve"> </w:t>
      </w:r>
      <w:r w:rsidR="00A05A24">
        <w:rPr>
          <w:rFonts w:ascii="Bookman Old Style" w:hAnsi="Bookman Old Style"/>
          <w:color w:val="000000"/>
          <w:sz w:val="24"/>
          <w:szCs w:val="24"/>
        </w:rPr>
        <w:t>target</w:t>
      </w:r>
      <w:r w:rsidR="00A954D0">
        <w:rPr>
          <w:rFonts w:ascii="Bookman Old Style" w:hAnsi="Bookman Old Style"/>
          <w:color w:val="000000"/>
          <w:sz w:val="24"/>
          <w:szCs w:val="24"/>
        </w:rPr>
        <w:t xml:space="preserve"> </w:t>
      </w:r>
      <w:r w:rsidR="00A05A24">
        <w:rPr>
          <w:rFonts w:ascii="Bookman Old Style" w:hAnsi="Bookman Old Style"/>
          <w:color w:val="000000"/>
          <w:sz w:val="24"/>
          <w:szCs w:val="24"/>
        </w:rPr>
        <w:t>kinerja</w:t>
      </w:r>
      <w:r w:rsidR="00A954D0">
        <w:rPr>
          <w:rFonts w:ascii="Bookman Old Style" w:hAnsi="Bookman Old Style"/>
          <w:color w:val="000000"/>
          <w:sz w:val="24"/>
          <w:szCs w:val="24"/>
        </w:rPr>
        <w:t xml:space="preserve"> </w:t>
      </w:r>
      <w:r w:rsidR="00A05A24">
        <w:rPr>
          <w:rFonts w:ascii="Bookman Old Style" w:hAnsi="Bookman Old Style"/>
          <w:color w:val="000000"/>
          <w:sz w:val="24"/>
          <w:szCs w:val="24"/>
        </w:rPr>
        <w:t>kegiatan.</w:t>
      </w:r>
      <w:r w:rsidR="00A954D0">
        <w:rPr>
          <w:rFonts w:ascii="Bookman Old Style" w:hAnsi="Bookman Old Style"/>
          <w:color w:val="000000"/>
          <w:sz w:val="24"/>
          <w:szCs w:val="24"/>
        </w:rPr>
        <w:t xml:space="preserve"> </w:t>
      </w:r>
    </w:p>
    <w:p w14:paraId="40364AEA" w14:textId="3A6FB471" w:rsidR="007E50CA" w:rsidRDefault="00A05A24" w:rsidP="00D25E44">
      <w:pPr>
        <w:pStyle w:val="ListParagraph"/>
        <w:spacing w:before="60" w:after="0" w:line="276" w:lineRule="auto"/>
        <w:ind w:left="993"/>
        <w:contextualSpacing w:val="0"/>
        <w:jc w:val="both"/>
        <w:rPr>
          <w:rFonts w:ascii="Bookman Old Style" w:hAnsi="Bookman Old Style" w:cs="Arial"/>
          <w:sz w:val="24"/>
          <w:szCs w:val="24"/>
          <w:highlight w:val="yellow"/>
          <w:lang w:val="id-ID"/>
        </w:rPr>
      </w:pPr>
      <w:r w:rsidRPr="00F87EE3">
        <w:rPr>
          <w:rFonts w:ascii="Bookman Old Style" w:hAnsi="Bookman Old Style"/>
          <w:color w:val="000000"/>
          <w:sz w:val="24"/>
          <w:szCs w:val="24"/>
        </w:rPr>
        <w:t>Untuk</w:t>
      </w:r>
      <w:r w:rsidR="00A954D0">
        <w:rPr>
          <w:rFonts w:ascii="Bookman Old Style" w:hAnsi="Bookman Old Style"/>
          <w:color w:val="000000"/>
          <w:sz w:val="24"/>
          <w:szCs w:val="24"/>
        </w:rPr>
        <w:t xml:space="preserve"> </w:t>
      </w:r>
      <w:r w:rsidRPr="00F87EE3">
        <w:rPr>
          <w:rFonts w:ascii="Bookman Old Style" w:hAnsi="Bookman Old Style"/>
          <w:color w:val="000000"/>
          <w:sz w:val="24"/>
          <w:szCs w:val="24"/>
        </w:rPr>
        <w:t>itu,</w:t>
      </w:r>
      <w:r w:rsidR="00A954D0">
        <w:rPr>
          <w:rFonts w:ascii="Bookman Old Style" w:hAnsi="Bookman Old Style"/>
          <w:color w:val="000000"/>
          <w:sz w:val="24"/>
          <w:szCs w:val="24"/>
        </w:rPr>
        <w:t xml:space="preserve"> </w:t>
      </w:r>
      <w:r w:rsidRPr="00F87EE3">
        <w:rPr>
          <w:rFonts w:ascii="Bookman Old Style" w:hAnsi="Bookman Old Style"/>
          <w:color w:val="000000"/>
          <w:sz w:val="24"/>
          <w:szCs w:val="24"/>
        </w:rPr>
        <w:t>Pemerintah</w:t>
      </w:r>
      <w:r w:rsidR="00A954D0">
        <w:rPr>
          <w:rFonts w:ascii="Bookman Old Style" w:hAnsi="Bookman Old Style"/>
          <w:color w:val="000000"/>
          <w:sz w:val="24"/>
          <w:szCs w:val="24"/>
          <w:lang w:val="en-US"/>
        </w:rPr>
        <w:t xml:space="preserve"> </w:t>
      </w:r>
      <w:r w:rsidRPr="00F87EE3">
        <w:rPr>
          <w:rFonts w:ascii="Bookman Old Style" w:hAnsi="Bookman Old Style"/>
          <w:sz w:val="24"/>
          <w:szCs w:val="24"/>
          <w:lang w:val="en-US"/>
        </w:rPr>
        <w:t>Daerah</w:t>
      </w:r>
      <w:r w:rsidR="00A954D0">
        <w:rPr>
          <w:rFonts w:ascii="Bookman Old Style" w:hAnsi="Bookman Old Style"/>
          <w:sz w:val="24"/>
          <w:szCs w:val="24"/>
          <w:lang w:val="en-US"/>
        </w:rPr>
        <w:t xml:space="preserve"> </w:t>
      </w:r>
      <w:r>
        <w:rPr>
          <w:rFonts w:ascii="Bookman Old Style" w:hAnsi="Bookman Old Style" w:cs="Arial"/>
          <w:sz w:val="24"/>
          <w:szCs w:val="24"/>
          <w:lang w:val="de-DE"/>
        </w:rPr>
        <w:t>Kota</w:t>
      </w:r>
      <w:r w:rsidR="00A954D0">
        <w:rPr>
          <w:rFonts w:ascii="Bookman Old Style" w:hAnsi="Bookman Old Style" w:cs="Arial"/>
          <w:sz w:val="24"/>
          <w:szCs w:val="24"/>
          <w:lang w:val="de-DE"/>
        </w:rPr>
        <w:t xml:space="preserve"> </w:t>
      </w:r>
      <w:r>
        <w:rPr>
          <w:rFonts w:ascii="Bookman Old Style" w:hAnsi="Bookman Old Style" w:cs="Arial"/>
          <w:sz w:val="24"/>
          <w:szCs w:val="24"/>
          <w:lang w:val="de-DE"/>
        </w:rPr>
        <w:t>Tangerang</w:t>
      </w:r>
      <w:r w:rsidR="00A954D0">
        <w:rPr>
          <w:rFonts w:ascii="Bookman Old Style" w:hAnsi="Bookman Old Style" w:cs="Arial"/>
          <w:sz w:val="24"/>
          <w:szCs w:val="24"/>
          <w:lang w:val="de-DE"/>
        </w:rPr>
        <w:t xml:space="preserve"> </w:t>
      </w:r>
      <w:r w:rsidRPr="00F87EE3">
        <w:rPr>
          <w:rFonts w:ascii="Bookman Old Style" w:hAnsi="Bookman Old Style"/>
          <w:sz w:val="24"/>
          <w:szCs w:val="24"/>
        </w:rPr>
        <w:t>harus</w:t>
      </w:r>
      <w:r w:rsidR="00A954D0">
        <w:rPr>
          <w:rFonts w:ascii="Bookman Old Style" w:hAnsi="Bookman Old Style"/>
          <w:sz w:val="24"/>
          <w:szCs w:val="24"/>
        </w:rPr>
        <w:t xml:space="preserve"> </w:t>
      </w:r>
      <w:r w:rsidRPr="00A05A24">
        <w:rPr>
          <w:rFonts w:ascii="Bookman Old Style" w:hAnsi="Bookman Old Style"/>
          <w:color w:val="000000"/>
          <w:sz w:val="24"/>
          <w:szCs w:val="24"/>
        </w:rPr>
        <w:t>memformulasikan</w:t>
      </w:r>
      <w:r w:rsidR="00A954D0">
        <w:rPr>
          <w:rFonts w:ascii="Bookman Old Style" w:hAnsi="Bookman Old Style"/>
          <w:sz w:val="24"/>
          <w:szCs w:val="24"/>
        </w:rPr>
        <w:t xml:space="preserve"> </w:t>
      </w:r>
      <w:r w:rsidRPr="00F87EE3">
        <w:rPr>
          <w:rFonts w:ascii="Bookman Old Style" w:hAnsi="Bookman Old Style"/>
          <w:sz w:val="24"/>
          <w:szCs w:val="24"/>
        </w:rPr>
        <w:t>kembali</w:t>
      </w:r>
      <w:r w:rsidR="00A954D0">
        <w:rPr>
          <w:rFonts w:ascii="Bookman Old Style" w:hAnsi="Bookman Old Style"/>
          <w:sz w:val="24"/>
          <w:szCs w:val="24"/>
        </w:rPr>
        <w:t xml:space="preserve"> </w:t>
      </w:r>
      <w:r w:rsidRPr="00F87EE3">
        <w:rPr>
          <w:rFonts w:ascii="Bookman Old Style" w:hAnsi="Bookman Old Style"/>
          <w:sz w:val="24"/>
          <w:szCs w:val="24"/>
        </w:rPr>
        <w:t>uraian</w:t>
      </w:r>
      <w:r w:rsidR="00A954D0">
        <w:rPr>
          <w:rFonts w:ascii="Bookman Old Style" w:hAnsi="Bookman Old Style"/>
          <w:sz w:val="24"/>
          <w:szCs w:val="24"/>
        </w:rPr>
        <w:t xml:space="preserve"> </w:t>
      </w:r>
      <w:r w:rsidRPr="00F87EE3">
        <w:rPr>
          <w:rFonts w:ascii="Bookman Old Style" w:hAnsi="Bookman Old Style"/>
          <w:sz w:val="24"/>
          <w:szCs w:val="24"/>
        </w:rPr>
        <w:t>belanja</w:t>
      </w:r>
      <w:r w:rsidR="00A954D0">
        <w:rPr>
          <w:rFonts w:ascii="Bookman Old Style" w:hAnsi="Bookman Old Style"/>
          <w:sz w:val="24"/>
          <w:szCs w:val="24"/>
        </w:rPr>
        <w:t xml:space="preserve"> </w:t>
      </w:r>
      <w:r w:rsidRPr="00F87EE3">
        <w:rPr>
          <w:rFonts w:ascii="Bookman Old Style" w:hAnsi="Bookman Old Style"/>
          <w:sz w:val="24"/>
          <w:szCs w:val="24"/>
        </w:rPr>
        <w:t>pada</w:t>
      </w:r>
      <w:r w:rsidR="00A954D0">
        <w:rPr>
          <w:rFonts w:ascii="Bookman Old Style" w:hAnsi="Bookman Old Style"/>
          <w:sz w:val="24"/>
          <w:szCs w:val="24"/>
        </w:rPr>
        <w:t xml:space="preserve"> </w:t>
      </w:r>
      <w:r w:rsidRPr="00F87EE3">
        <w:rPr>
          <w:rFonts w:ascii="Bookman Old Style" w:hAnsi="Bookman Old Style"/>
          <w:sz w:val="24"/>
          <w:szCs w:val="24"/>
        </w:rPr>
        <w:t>sub</w:t>
      </w:r>
      <w:r w:rsidR="00A954D0">
        <w:rPr>
          <w:rFonts w:ascii="Bookman Old Style" w:hAnsi="Bookman Old Style"/>
          <w:sz w:val="24"/>
          <w:szCs w:val="24"/>
        </w:rPr>
        <w:t xml:space="preserve"> </w:t>
      </w:r>
      <w:r w:rsidRPr="00F87EE3">
        <w:rPr>
          <w:rFonts w:ascii="Bookman Old Style" w:hAnsi="Bookman Old Style"/>
          <w:sz w:val="24"/>
          <w:szCs w:val="24"/>
        </w:rPr>
        <w:t>kegiatan</w:t>
      </w:r>
      <w:r w:rsidR="00A954D0">
        <w:rPr>
          <w:rFonts w:ascii="Bookman Old Style" w:hAnsi="Bookman Old Style"/>
          <w:sz w:val="24"/>
          <w:szCs w:val="24"/>
        </w:rPr>
        <w:t xml:space="preserve"> </w:t>
      </w:r>
      <w:r w:rsidRPr="00F87EE3">
        <w:rPr>
          <w:rFonts w:ascii="Bookman Old Style" w:hAnsi="Bookman Old Style"/>
          <w:sz w:val="24"/>
          <w:szCs w:val="24"/>
        </w:rPr>
        <w:t>tersebut</w:t>
      </w:r>
      <w:r w:rsidR="00A954D0">
        <w:rPr>
          <w:rFonts w:ascii="Bookman Old Style" w:hAnsi="Bookman Old Style"/>
          <w:sz w:val="24"/>
          <w:szCs w:val="24"/>
        </w:rPr>
        <w:t xml:space="preserve"> </w:t>
      </w:r>
      <w:r w:rsidRPr="00F87EE3">
        <w:rPr>
          <w:rFonts w:ascii="Bookman Old Style" w:hAnsi="Bookman Old Style"/>
          <w:sz w:val="24"/>
          <w:szCs w:val="24"/>
        </w:rPr>
        <w:t>sesuai</w:t>
      </w:r>
      <w:r w:rsidR="00A954D0">
        <w:rPr>
          <w:rFonts w:ascii="Bookman Old Style" w:hAnsi="Bookman Old Style"/>
          <w:sz w:val="24"/>
          <w:szCs w:val="24"/>
        </w:rPr>
        <w:t xml:space="preserve"> </w:t>
      </w:r>
      <w:r w:rsidRPr="00F87EE3">
        <w:rPr>
          <w:rFonts w:ascii="Bookman Old Style" w:hAnsi="Bookman Old Style"/>
          <w:sz w:val="24"/>
          <w:szCs w:val="24"/>
        </w:rPr>
        <w:t>dengan</w:t>
      </w:r>
      <w:r w:rsidR="00A954D0">
        <w:rPr>
          <w:rFonts w:ascii="Bookman Old Style" w:hAnsi="Bookman Old Style"/>
          <w:sz w:val="24"/>
          <w:szCs w:val="24"/>
        </w:rPr>
        <w:t xml:space="preserve"> </w:t>
      </w:r>
      <w:r w:rsidRPr="00F87EE3">
        <w:rPr>
          <w:rFonts w:ascii="Bookman Old Style" w:hAnsi="Bookman Old Style"/>
          <w:sz w:val="24"/>
          <w:szCs w:val="24"/>
        </w:rPr>
        <w:t>target</w:t>
      </w:r>
      <w:r w:rsidR="00A954D0">
        <w:rPr>
          <w:rFonts w:ascii="Bookman Old Style" w:hAnsi="Bookman Old Style"/>
          <w:sz w:val="24"/>
          <w:szCs w:val="24"/>
        </w:rPr>
        <w:t xml:space="preserve"> </w:t>
      </w:r>
      <w:r w:rsidRPr="00F87EE3">
        <w:rPr>
          <w:rFonts w:ascii="Bookman Old Style" w:hAnsi="Bookman Old Style" w:cs="Arial"/>
          <w:sz w:val="24"/>
          <w:szCs w:val="24"/>
        </w:rPr>
        <w:t>capaian</w:t>
      </w:r>
      <w:r w:rsidR="00A954D0">
        <w:rPr>
          <w:rFonts w:ascii="Bookman Old Style" w:hAnsi="Bookman Old Style" w:cs="Arial"/>
          <w:sz w:val="24"/>
          <w:szCs w:val="24"/>
        </w:rPr>
        <w:t xml:space="preserve"> </w:t>
      </w:r>
      <w:r w:rsidRPr="00F87EE3">
        <w:rPr>
          <w:rFonts w:ascii="Bookman Old Style" w:hAnsi="Bookman Old Style" w:cs="Arial"/>
          <w:sz w:val="24"/>
          <w:szCs w:val="24"/>
        </w:rPr>
        <w:t>kinerja</w:t>
      </w:r>
      <w:r w:rsidR="00A954D0">
        <w:rPr>
          <w:rFonts w:ascii="Bookman Old Style" w:hAnsi="Bookman Old Style" w:cs="Arial"/>
          <w:sz w:val="24"/>
          <w:szCs w:val="24"/>
        </w:rPr>
        <w:t xml:space="preserve"> </w:t>
      </w:r>
      <w:r w:rsidRPr="00F87EE3">
        <w:rPr>
          <w:rFonts w:ascii="Bookman Old Style" w:hAnsi="Bookman Old Style" w:cs="Arial"/>
          <w:sz w:val="24"/>
          <w:szCs w:val="24"/>
        </w:rPr>
        <w:t>yang</w:t>
      </w:r>
      <w:r w:rsidR="00A954D0">
        <w:rPr>
          <w:rFonts w:ascii="Bookman Old Style" w:hAnsi="Bookman Old Style" w:cs="Arial"/>
          <w:sz w:val="24"/>
          <w:szCs w:val="24"/>
        </w:rPr>
        <w:t xml:space="preserve"> </w:t>
      </w:r>
      <w:r w:rsidRPr="00F87EE3">
        <w:rPr>
          <w:rFonts w:ascii="Bookman Old Style" w:hAnsi="Bookman Old Style" w:cs="Arial"/>
          <w:sz w:val="24"/>
          <w:szCs w:val="24"/>
        </w:rPr>
        <w:t>diharapkan</w:t>
      </w:r>
      <w:r w:rsidR="00A954D0">
        <w:rPr>
          <w:rFonts w:ascii="Bookman Old Style" w:hAnsi="Bookman Old Style" w:cs="Arial"/>
          <w:sz w:val="24"/>
          <w:szCs w:val="24"/>
        </w:rPr>
        <w:t xml:space="preserve"> </w:t>
      </w:r>
      <w:r w:rsidRPr="00F87EE3">
        <w:rPr>
          <w:rFonts w:ascii="Bookman Old Style" w:hAnsi="Bookman Old Style" w:cs="Arial"/>
          <w:sz w:val="24"/>
          <w:szCs w:val="24"/>
        </w:rPr>
        <w:t>dari</w:t>
      </w:r>
      <w:r w:rsidR="00A954D0">
        <w:rPr>
          <w:rFonts w:ascii="Bookman Old Style" w:hAnsi="Bookman Old Style" w:cs="Arial"/>
          <w:sz w:val="24"/>
          <w:szCs w:val="24"/>
        </w:rPr>
        <w:t xml:space="preserve"> </w:t>
      </w:r>
      <w:r w:rsidRPr="00F87EE3">
        <w:rPr>
          <w:rFonts w:ascii="Bookman Old Style" w:hAnsi="Bookman Old Style" w:cs="Arial"/>
          <w:sz w:val="24"/>
          <w:szCs w:val="24"/>
        </w:rPr>
        <w:t>suatu</w:t>
      </w:r>
      <w:r w:rsidR="00A954D0">
        <w:rPr>
          <w:rFonts w:ascii="Bookman Old Style" w:hAnsi="Bookman Old Style" w:cs="Arial"/>
          <w:sz w:val="24"/>
          <w:szCs w:val="24"/>
        </w:rPr>
        <w:t xml:space="preserve"> </w:t>
      </w:r>
      <w:r w:rsidRPr="00F87EE3">
        <w:rPr>
          <w:rFonts w:ascii="Bookman Old Style" w:hAnsi="Bookman Old Style" w:cs="Arial"/>
          <w:sz w:val="24"/>
          <w:szCs w:val="24"/>
        </w:rPr>
        <w:t>sub</w:t>
      </w:r>
      <w:r w:rsidR="00A954D0">
        <w:rPr>
          <w:rFonts w:ascii="Bookman Old Style" w:hAnsi="Bookman Old Style" w:cs="Arial"/>
          <w:sz w:val="24"/>
          <w:szCs w:val="24"/>
        </w:rPr>
        <w:t xml:space="preserve"> </w:t>
      </w:r>
      <w:r w:rsidRPr="00F87EE3">
        <w:rPr>
          <w:rFonts w:ascii="Bookman Old Style" w:hAnsi="Bookman Old Style" w:cs="Arial"/>
          <w:sz w:val="24"/>
          <w:szCs w:val="24"/>
        </w:rPr>
        <w:t>kegiatan</w:t>
      </w:r>
      <w:r w:rsidR="00A954D0">
        <w:rPr>
          <w:rFonts w:ascii="Bookman Old Style" w:hAnsi="Bookman Old Style" w:cs="Arial"/>
          <w:sz w:val="24"/>
          <w:szCs w:val="24"/>
        </w:rPr>
        <w:t xml:space="preserve"> </w:t>
      </w:r>
      <w:r w:rsidRPr="00F87EE3">
        <w:rPr>
          <w:rFonts w:ascii="Bookman Old Style" w:hAnsi="Bookman Old Style" w:cs="Arial"/>
          <w:sz w:val="24"/>
          <w:szCs w:val="24"/>
        </w:rPr>
        <w:t>apabila</w:t>
      </w:r>
      <w:r w:rsidR="00A954D0">
        <w:rPr>
          <w:rFonts w:ascii="Bookman Old Style" w:hAnsi="Bookman Old Style" w:cs="Arial"/>
          <w:sz w:val="24"/>
          <w:szCs w:val="24"/>
        </w:rPr>
        <w:t xml:space="preserve"> </w:t>
      </w:r>
      <w:r w:rsidRPr="00F87EE3">
        <w:rPr>
          <w:rFonts w:ascii="Bookman Old Style" w:hAnsi="Bookman Old Style" w:cs="Arial"/>
          <w:sz w:val="24"/>
          <w:szCs w:val="24"/>
        </w:rPr>
        <w:t>ditinjau</w:t>
      </w:r>
      <w:r w:rsidR="00A954D0">
        <w:rPr>
          <w:rFonts w:ascii="Bookman Old Style" w:hAnsi="Bookman Old Style" w:cs="Arial"/>
          <w:sz w:val="24"/>
          <w:szCs w:val="24"/>
        </w:rPr>
        <w:t xml:space="preserve"> </w:t>
      </w:r>
      <w:r w:rsidRPr="00F87EE3">
        <w:rPr>
          <w:rFonts w:ascii="Bookman Old Style" w:hAnsi="Bookman Old Style" w:cs="Arial"/>
          <w:sz w:val="24"/>
          <w:szCs w:val="24"/>
        </w:rPr>
        <w:t>dari</w:t>
      </w:r>
      <w:r w:rsidR="00A954D0">
        <w:rPr>
          <w:rFonts w:ascii="Bookman Old Style" w:hAnsi="Bookman Old Style" w:cs="Arial"/>
          <w:sz w:val="24"/>
          <w:szCs w:val="24"/>
        </w:rPr>
        <w:t xml:space="preserve"> </w:t>
      </w:r>
      <w:r w:rsidRPr="00F87EE3">
        <w:rPr>
          <w:rFonts w:ascii="Bookman Old Style" w:hAnsi="Bookman Old Style" w:cs="Arial"/>
          <w:sz w:val="24"/>
          <w:szCs w:val="24"/>
        </w:rPr>
        <w:t>aspek</w:t>
      </w:r>
      <w:r w:rsidR="00A954D0">
        <w:rPr>
          <w:rFonts w:ascii="Bookman Old Style" w:hAnsi="Bookman Old Style" w:cs="Arial"/>
          <w:sz w:val="24"/>
          <w:szCs w:val="24"/>
        </w:rPr>
        <w:t xml:space="preserve"> </w:t>
      </w:r>
      <w:r w:rsidRPr="00F87EE3">
        <w:rPr>
          <w:rFonts w:ascii="Bookman Old Style" w:hAnsi="Bookman Old Style" w:cs="Arial"/>
          <w:sz w:val="24"/>
          <w:szCs w:val="24"/>
        </w:rPr>
        <w:t>indikator,</w:t>
      </w:r>
      <w:r w:rsidR="00A954D0">
        <w:rPr>
          <w:rFonts w:ascii="Bookman Old Style" w:hAnsi="Bookman Old Style" w:cs="Arial"/>
          <w:sz w:val="24"/>
          <w:szCs w:val="24"/>
        </w:rPr>
        <w:t xml:space="preserve"> </w:t>
      </w:r>
      <w:r w:rsidRPr="00F87EE3">
        <w:rPr>
          <w:rFonts w:ascii="Bookman Old Style" w:hAnsi="Bookman Old Style" w:cs="Arial"/>
          <w:sz w:val="24"/>
          <w:szCs w:val="24"/>
        </w:rPr>
        <w:t>tol</w:t>
      </w:r>
      <w:r w:rsidRPr="00F87EE3">
        <w:rPr>
          <w:rFonts w:ascii="Bookman Old Style" w:hAnsi="Bookman Old Style" w:cs="Arial"/>
          <w:sz w:val="24"/>
          <w:szCs w:val="24"/>
          <w:lang w:val="id-ID"/>
        </w:rPr>
        <w:t>o</w:t>
      </w:r>
      <w:r w:rsidRPr="00F87EE3">
        <w:rPr>
          <w:rFonts w:ascii="Bookman Old Style" w:hAnsi="Bookman Old Style" w:cs="Arial"/>
          <w:sz w:val="24"/>
          <w:szCs w:val="24"/>
        </w:rPr>
        <w:t>k</w:t>
      </w:r>
      <w:r w:rsidR="00A954D0">
        <w:rPr>
          <w:rFonts w:ascii="Bookman Old Style" w:hAnsi="Bookman Old Style" w:cs="Arial"/>
          <w:sz w:val="24"/>
          <w:szCs w:val="24"/>
        </w:rPr>
        <w:t xml:space="preserve"> </w:t>
      </w:r>
      <w:r w:rsidRPr="00F87EE3">
        <w:rPr>
          <w:rFonts w:ascii="Bookman Old Style" w:hAnsi="Bookman Old Style" w:cs="Arial"/>
          <w:sz w:val="24"/>
          <w:szCs w:val="24"/>
        </w:rPr>
        <w:t>ukur,</w:t>
      </w:r>
      <w:r w:rsidR="00A954D0">
        <w:rPr>
          <w:rFonts w:ascii="Bookman Old Style" w:hAnsi="Bookman Old Style" w:cs="Arial"/>
          <w:sz w:val="24"/>
          <w:szCs w:val="24"/>
        </w:rPr>
        <w:t xml:space="preserve"> </w:t>
      </w:r>
      <w:r w:rsidRPr="00F87EE3">
        <w:rPr>
          <w:rFonts w:ascii="Bookman Old Style" w:hAnsi="Bookman Old Style" w:cs="Arial"/>
          <w:sz w:val="24"/>
          <w:szCs w:val="24"/>
        </w:rPr>
        <w:t>dan</w:t>
      </w:r>
      <w:r w:rsidR="00A954D0">
        <w:rPr>
          <w:rFonts w:ascii="Bookman Old Style" w:hAnsi="Bookman Old Style" w:cs="Arial"/>
          <w:sz w:val="24"/>
          <w:szCs w:val="24"/>
        </w:rPr>
        <w:t xml:space="preserve"> </w:t>
      </w:r>
      <w:r w:rsidRPr="00F87EE3">
        <w:rPr>
          <w:rFonts w:ascii="Bookman Old Style" w:hAnsi="Bookman Old Style" w:cs="Arial"/>
          <w:sz w:val="24"/>
          <w:szCs w:val="24"/>
        </w:rPr>
        <w:t>target</w:t>
      </w:r>
      <w:r w:rsidR="00A954D0">
        <w:rPr>
          <w:rFonts w:ascii="Bookman Old Style" w:hAnsi="Bookman Old Style" w:cs="Arial"/>
          <w:sz w:val="24"/>
          <w:szCs w:val="24"/>
        </w:rPr>
        <w:t xml:space="preserve"> </w:t>
      </w:r>
      <w:r w:rsidRPr="00F87EE3">
        <w:rPr>
          <w:rFonts w:ascii="Bookman Old Style" w:hAnsi="Bookman Old Style" w:cs="Arial"/>
          <w:sz w:val="24"/>
          <w:szCs w:val="24"/>
        </w:rPr>
        <w:t>kinerja</w:t>
      </w:r>
      <w:r w:rsidR="00A954D0">
        <w:rPr>
          <w:rFonts w:ascii="Bookman Old Style" w:hAnsi="Bookman Old Style" w:cs="Arial"/>
          <w:sz w:val="24"/>
          <w:szCs w:val="24"/>
        </w:rPr>
        <w:t xml:space="preserve"> </w:t>
      </w:r>
      <w:r w:rsidRPr="00F87EE3">
        <w:rPr>
          <w:rFonts w:ascii="Bookman Old Style" w:hAnsi="Bookman Old Style" w:cs="Arial"/>
          <w:sz w:val="24"/>
          <w:szCs w:val="24"/>
        </w:rPr>
        <w:t>kegiatan,</w:t>
      </w:r>
      <w:r w:rsidR="00A954D0">
        <w:rPr>
          <w:rFonts w:ascii="Bookman Old Style" w:hAnsi="Bookman Old Style" w:cs="Arial"/>
          <w:sz w:val="24"/>
          <w:szCs w:val="24"/>
        </w:rPr>
        <w:t xml:space="preserve"> </w:t>
      </w:r>
      <w:r w:rsidRPr="00F87EE3">
        <w:rPr>
          <w:rFonts w:ascii="Bookman Old Style" w:hAnsi="Bookman Old Style" w:cs="Arial"/>
          <w:sz w:val="24"/>
          <w:szCs w:val="24"/>
        </w:rPr>
        <w:t>sebagaimana</w:t>
      </w:r>
      <w:r w:rsidR="00A954D0">
        <w:rPr>
          <w:rFonts w:ascii="Bookman Old Style" w:hAnsi="Bookman Old Style" w:cs="Arial"/>
          <w:sz w:val="24"/>
          <w:szCs w:val="24"/>
          <w:lang w:val="en-US"/>
        </w:rPr>
        <w:t xml:space="preserve"> </w:t>
      </w:r>
      <w:r w:rsidRPr="00F87EE3">
        <w:rPr>
          <w:rFonts w:ascii="Bookman Old Style" w:hAnsi="Bookman Old Style" w:cs="Arial"/>
          <w:sz w:val="24"/>
          <w:szCs w:val="24"/>
        </w:rPr>
        <w:t>maksud</w:t>
      </w:r>
      <w:r w:rsidR="00A954D0">
        <w:rPr>
          <w:rFonts w:ascii="Bookman Old Style" w:hAnsi="Bookman Old Style" w:cs="Arial"/>
          <w:sz w:val="24"/>
          <w:szCs w:val="24"/>
        </w:rPr>
        <w:t xml:space="preserve"> </w:t>
      </w:r>
      <w:r w:rsidRPr="00F87EE3">
        <w:rPr>
          <w:rFonts w:ascii="Bookman Old Style" w:hAnsi="Bookman Old Style" w:cs="Arial"/>
          <w:sz w:val="24"/>
          <w:szCs w:val="24"/>
          <w:lang w:val="id-ID"/>
        </w:rPr>
        <w:t>Pasal</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54</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ayat</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(3)</w:t>
      </w:r>
      <w:r w:rsidR="00A954D0">
        <w:rPr>
          <w:rFonts w:ascii="Bookman Old Style" w:hAnsi="Bookman Old Style" w:cs="Arial"/>
          <w:sz w:val="24"/>
          <w:szCs w:val="24"/>
          <w:lang w:val="en-US"/>
        </w:rPr>
        <w:t xml:space="preserve"> </w:t>
      </w:r>
      <w:r w:rsidRPr="00F87EE3">
        <w:rPr>
          <w:rFonts w:ascii="Bookman Old Style" w:hAnsi="Bookman Old Style" w:cs="Arial"/>
          <w:sz w:val="24"/>
          <w:szCs w:val="24"/>
          <w:lang w:val="en-US"/>
        </w:rPr>
        <w:t>dan</w:t>
      </w:r>
      <w:r w:rsidR="00A954D0">
        <w:rPr>
          <w:rFonts w:ascii="Bookman Old Style" w:hAnsi="Bookman Old Style" w:cs="Arial"/>
          <w:sz w:val="24"/>
          <w:szCs w:val="24"/>
          <w:lang w:val="en-US"/>
        </w:rPr>
        <w:t xml:space="preserve"> </w:t>
      </w:r>
      <w:r w:rsidRPr="00F87EE3">
        <w:rPr>
          <w:rFonts w:ascii="Bookman Old Style" w:hAnsi="Bookman Old Style" w:cs="Arial"/>
          <w:sz w:val="24"/>
          <w:szCs w:val="24"/>
          <w:lang w:val="en-US"/>
        </w:rPr>
        <w:t>Pasal</w:t>
      </w:r>
      <w:r w:rsidR="00A954D0">
        <w:rPr>
          <w:rFonts w:ascii="Bookman Old Style" w:hAnsi="Bookman Old Style" w:cs="Arial"/>
          <w:sz w:val="24"/>
          <w:szCs w:val="24"/>
          <w:lang w:val="en-US"/>
        </w:rPr>
        <w:t xml:space="preserve"> </w:t>
      </w:r>
      <w:r w:rsidRPr="00F87EE3">
        <w:rPr>
          <w:rFonts w:ascii="Bookman Old Style" w:hAnsi="Bookman Old Style" w:cs="Arial"/>
          <w:sz w:val="24"/>
          <w:szCs w:val="24"/>
          <w:lang w:val="en-US"/>
        </w:rPr>
        <w:t>97</w:t>
      </w:r>
      <w:r w:rsidR="00A954D0">
        <w:rPr>
          <w:rFonts w:ascii="Bookman Old Style" w:hAnsi="Bookman Old Style" w:cs="Arial"/>
          <w:sz w:val="24"/>
          <w:szCs w:val="24"/>
          <w:lang w:val="en-US"/>
        </w:rPr>
        <w:t xml:space="preserve"> </w:t>
      </w:r>
      <w:r w:rsidRPr="00F87EE3">
        <w:rPr>
          <w:rFonts w:ascii="Bookman Old Style" w:hAnsi="Bookman Old Style"/>
          <w:sz w:val="24"/>
          <w:szCs w:val="24"/>
        </w:rPr>
        <w:t>Peraturan</w:t>
      </w:r>
      <w:r w:rsidR="00A954D0">
        <w:rPr>
          <w:rFonts w:ascii="Bookman Old Style" w:hAnsi="Bookman Old Style"/>
          <w:sz w:val="24"/>
          <w:szCs w:val="24"/>
        </w:rPr>
        <w:t xml:space="preserve"> </w:t>
      </w:r>
      <w:r w:rsidRPr="00F87EE3">
        <w:rPr>
          <w:rFonts w:ascii="Bookman Old Style" w:hAnsi="Bookman Old Style"/>
          <w:sz w:val="24"/>
          <w:szCs w:val="24"/>
        </w:rPr>
        <w:t>Pemerintah</w:t>
      </w:r>
      <w:r w:rsidR="00A954D0">
        <w:rPr>
          <w:rFonts w:ascii="Bookman Old Style" w:hAnsi="Bookman Old Style"/>
          <w:sz w:val="24"/>
          <w:szCs w:val="24"/>
        </w:rPr>
        <w:t xml:space="preserve"> </w:t>
      </w:r>
      <w:r w:rsidRPr="00F87EE3">
        <w:rPr>
          <w:rFonts w:ascii="Bookman Old Style" w:hAnsi="Bookman Old Style"/>
          <w:sz w:val="24"/>
          <w:szCs w:val="24"/>
        </w:rPr>
        <w:t>Nomor</w:t>
      </w:r>
      <w:r w:rsidR="00A954D0">
        <w:rPr>
          <w:rFonts w:ascii="Bookman Old Style" w:hAnsi="Bookman Old Style"/>
          <w:sz w:val="24"/>
          <w:szCs w:val="24"/>
        </w:rPr>
        <w:t xml:space="preserve"> </w:t>
      </w:r>
      <w:r w:rsidRPr="00F87EE3">
        <w:rPr>
          <w:rFonts w:ascii="Bookman Old Style" w:hAnsi="Bookman Old Style"/>
          <w:sz w:val="24"/>
          <w:szCs w:val="24"/>
        </w:rPr>
        <w:t>12</w:t>
      </w:r>
      <w:r w:rsidR="00A954D0">
        <w:rPr>
          <w:rFonts w:ascii="Bookman Old Style" w:hAnsi="Bookman Old Style"/>
          <w:sz w:val="24"/>
          <w:szCs w:val="24"/>
        </w:rPr>
        <w:t xml:space="preserve"> </w:t>
      </w:r>
      <w:r w:rsidRPr="00F87EE3">
        <w:rPr>
          <w:rFonts w:ascii="Bookman Old Style" w:hAnsi="Bookman Old Style"/>
          <w:sz w:val="24"/>
          <w:szCs w:val="24"/>
        </w:rPr>
        <w:t>Tahun</w:t>
      </w:r>
      <w:r w:rsidR="00A954D0">
        <w:rPr>
          <w:rFonts w:ascii="Bookman Old Style" w:hAnsi="Bookman Old Style"/>
          <w:sz w:val="24"/>
          <w:szCs w:val="24"/>
        </w:rPr>
        <w:t xml:space="preserve"> </w:t>
      </w:r>
      <w:r w:rsidRPr="00F87EE3">
        <w:rPr>
          <w:rFonts w:ascii="Bookman Old Style" w:hAnsi="Bookman Old Style"/>
          <w:sz w:val="24"/>
          <w:szCs w:val="24"/>
        </w:rPr>
        <w:t>2019</w:t>
      </w:r>
      <w:r w:rsidR="00A954D0">
        <w:rPr>
          <w:rFonts w:ascii="Bookman Old Style" w:hAnsi="Bookman Old Style"/>
          <w:sz w:val="24"/>
          <w:szCs w:val="24"/>
          <w:lang w:val="en-US"/>
        </w:rPr>
        <w:t xml:space="preserve"> </w:t>
      </w:r>
      <w:r w:rsidRPr="00F87EE3">
        <w:rPr>
          <w:rFonts w:ascii="Bookman Old Style" w:hAnsi="Bookman Old Style"/>
          <w:sz w:val="24"/>
          <w:szCs w:val="24"/>
          <w:lang w:val="en-US"/>
        </w:rPr>
        <w:t>dan</w:t>
      </w:r>
      <w:r w:rsidR="00A954D0">
        <w:rPr>
          <w:rFonts w:ascii="Bookman Old Style" w:hAnsi="Bookman Old Style"/>
          <w:sz w:val="24"/>
          <w:szCs w:val="24"/>
          <w:lang w:val="en-US"/>
        </w:rPr>
        <w:t xml:space="preserve"> </w:t>
      </w:r>
      <w:r w:rsidRPr="00F87EE3">
        <w:rPr>
          <w:rFonts w:ascii="Bookman Old Style" w:hAnsi="Bookman Old Style"/>
          <w:sz w:val="24"/>
          <w:szCs w:val="24"/>
        </w:rPr>
        <w:t>dialihkan</w:t>
      </w:r>
      <w:r w:rsidR="00A954D0">
        <w:rPr>
          <w:rFonts w:ascii="Bookman Old Style" w:hAnsi="Bookman Old Style"/>
          <w:sz w:val="24"/>
          <w:szCs w:val="24"/>
        </w:rPr>
        <w:t xml:space="preserve"> </w:t>
      </w:r>
      <w:r w:rsidRPr="00F87EE3">
        <w:rPr>
          <w:rFonts w:ascii="Bookman Old Style" w:hAnsi="Bookman Old Style"/>
          <w:sz w:val="24"/>
          <w:szCs w:val="24"/>
        </w:rPr>
        <w:t>untuk</w:t>
      </w:r>
      <w:r w:rsidR="00A954D0">
        <w:rPr>
          <w:rFonts w:ascii="Bookman Old Style" w:hAnsi="Bookman Old Style"/>
          <w:sz w:val="24"/>
          <w:szCs w:val="24"/>
        </w:rPr>
        <w:t xml:space="preserve"> </w:t>
      </w:r>
      <w:r w:rsidRPr="00F87EE3">
        <w:rPr>
          <w:rFonts w:ascii="Bookman Old Style" w:hAnsi="Bookman Old Style"/>
          <w:sz w:val="24"/>
          <w:szCs w:val="24"/>
          <w:lang w:val="id-ID"/>
        </w:rPr>
        <w:t>mendanai</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program,</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kegiatan</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dan</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sub</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kegiatan</w:t>
      </w:r>
      <w:r w:rsidR="00A954D0">
        <w:rPr>
          <w:rFonts w:ascii="Bookman Old Style" w:hAnsi="Bookman Old Style"/>
          <w:sz w:val="24"/>
          <w:szCs w:val="24"/>
          <w:lang w:val="id-ID"/>
        </w:rPr>
        <w:t xml:space="preserve"> </w:t>
      </w:r>
      <w:r w:rsidRPr="00F87EE3">
        <w:rPr>
          <w:rFonts w:ascii="Bookman Old Style" w:hAnsi="Bookman Old Style"/>
          <w:color w:val="000000"/>
          <w:sz w:val="24"/>
          <w:szCs w:val="24"/>
        </w:rPr>
        <w:t>prioritas</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sebagaimana</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tercantum</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dalam</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RKPD,</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KUA</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dan</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PPAS</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yang</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menunjang</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pencapaian</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17</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(tujuh</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belas)</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Program</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Prioritas</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dan</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8</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(delapan)</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misi</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atau</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Asta</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Cita,</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Prioritas</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Pembangunan</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Nasional</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Tahun</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2025</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sesuai</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dengan</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kewenangan</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Pemerintah</w:t>
      </w:r>
      <w:r w:rsidR="00A954D0">
        <w:rPr>
          <w:rFonts w:ascii="Bookman Old Style" w:hAnsi="Bookman Old Style"/>
          <w:sz w:val="24"/>
          <w:szCs w:val="24"/>
          <w:lang w:val="id-ID"/>
        </w:rPr>
        <w:t xml:space="preserve"> </w:t>
      </w:r>
      <w:r w:rsidRPr="00F87EE3">
        <w:rPr>
          <w:rFonts w:ascii="Bookman Old Style" w:hAnsi="Bookman Old Style" w:cs="Arial"/>
          <w:sz w:val="24"/>
          <w:szCs w:val="24"/>
          <w:lang w:val="de-DE"/>
        </w:rPr>
        <w:t>Daerah</w:t>
      </w:r>
      <w:r w:rsidR="00A954D0">
        <w:rPr>
          <w:rFonts w:ascii="Bookman Old Style" w:hAnsi="Bookman Old Style" w:cs="Arial"/>
          <w:sz w:val="24"/>
          <w:szCs w:val="24"/>
          <w:lang w:val="de-DE"/>
        </w:rPr>
        <w:t xml:space="preserve"> </w:t>
      </w:r>
      <w:r w:rsidRPr="00F87EE3">
        <w:rPr>
          <w:rFonts w:ascii="Bookman Old Style" w:hAnsi="Bookman Old Style" w:cs="Arial"/>
          <w:sz w:val="24"/>
          <w:szCs w:val="24"/>
          <w:lang w:val="de-DE"/>
        </w:rPr>
        <w:t>Kota</w:t>
      </w:r>
      <w:r w:rsidR="00A954D0">
        <w:rPr>
          <w:rFonts w:ascii="Bookman Old Style" w:hAnsi="Bookman Old Style" w:cs="Arial"/>
          <w:sz w:val="24"/>
          <w:szCs w:val="24"/>
          <w:lang w:val="de-DE"/>
        </w:rPr>
        <w:t xml:space="preserve"> </w:t>
      </w:r>
      <w:r>
        <w:rPr>
          <w:rFonts w:ascii="Bookman Old Style" w:hAnsi="Bookman Old Style" w:cs="Arial"/>
          <w:sz w:val="24"/>
          <w:szCs w:val="24"/>
          <w:lang w:val="de-DE"/>
        </w:rPr>
        <w:t>Tangerang</w:t>
      </w:r>
      <w:r w:rsidRPr="00F87EE3">
        <w:rPr>
          <w:rFonts w:ascii="Bookman Old Style" w:hAnsi="Bookman Old Style"/>
          <w:sz w:val="24"/>
          <w:szCs w:val="24"/>
          <w:lang w:val="id-ID"/>
        </w:rPr>
        <w:t>,</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penanganan</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inflasi,</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lastRenderedPageBreak/>
        <w:t>pemenuhan</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alokasi</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anggaran</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Belanja</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Infrastruktur</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Pelayanan</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Publik</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paling</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rendah</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40%</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(empat</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puluh</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persen)</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dari</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total</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belanja</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daerah</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di</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luar</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Belanja</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Bagi</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Hasil</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dan/atau</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Transfer</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Kepada</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Daerah</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dan/atau</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Desa,</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alokasi</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anggaran</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Penguatan</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Pembinaan</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dan</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Pengawasan</w:t>
      </w:r>
      <w:r w:rsidR="00A954D0">
        <w:rPr>
          <w:rFonts w:ascii="Bookman Old Style" w:hAnsi="Bookman Old Style" w:cs="Arial"/>
          <w:sz w:val="24"/>
          <w:szCs w:val="24"/>
          <w:shd w:val="clear" w:color="auto" w:fill="FFFFFF"/>
          <w:lang w:val="de-DE"/>
        </w:rPr>
        <w:t xml:space="preserve"> </w:t>
      </w:r>
      <w:r w:rsidRPr="00F87EE3">
        <w:rPr>
          <w:rFonts w:ascii="Bookman Old Style" w:hAnsi="Bookman Old Style" w:cs="Arial"/>
          <w:sz w:val="24"/>
          <w:szCs w:val="24"/>
          <w:shd w:val="clear" w:color="auto" w:fill="FFFFFF"/>
          <w:lang w:val="de-DE"/>
        </w:rPr>
        <w:t>pada</w:t>
      </w:r>
      <w:r w:rsidR="00A954D0">
        <w:rPr>
          <w:rFonts w:ascii="Bookman Old Style" w:hAnsi="Bookman Old Style" w:cs="Arial"/>
          <w:sz w:val="24"/>
          <w:szCs w:val="24"/>
          <w:shd w:val="clear" w:color="auto" w:fill="FFFFFF"/>
          <w:lang w:val="de-DE"/>
        </w:rPr>
        <w:t xml:space="preserve"> </w:t>
      </w:r>
      <w:r w:rsidRPr="00F87EE3">
        <w:rPr>
          <w:rFonts w:ascii="Bookman Old Style" w:hAnsi="Bookman Old Style" w:cs="Arial"/>
          <w:sz w:val="24"/>
          <w:szCs w:val="24"/>
          <w:shd w:val="clear" w:color="auto" w:fill="FFFFFF"/>
          <w:lang w:val="id-ID"/>
        </w:rPr>
        <w:t>I</w:t>
      </w:r>
      <w:r w:rsidRPr="00F87EE3">
        <w:rPr>
          <w:rFonts w:ascii="Bookman Old Style" w:hAnsi="Bookman Old Style" w:cs="Arial"/>
          <w:sz w:val="24"/>
          <w:szCs w:val="24"/>
          <w:shd w:val="clear" w:color="auto" w:fill="FFFFFF"/>
          <w:lang w:val="de-DE"/>
        </w:rPr>
        <w:t>nspektorat</w:t>
      </w:r>
      <w:r w:rsidR="00A954D0">
        <w:rPr>
          <w:rFonts w:ascii="Bookman Old Style" w:hAnsi="Bookman Old Style" w:cs="Arial"/>
          <w:sz w:val="24"/>
          <w:szCs w:val="24"/>
          <w:shd w:val="clear" w:color="auto" w:fill="FFFFFF"/>
          <w:lang w:val="de-DE"/>
        </w:rPr>
        <w:t xml:space="preserve"> </w:t>
      </w:r>
      <w:r w:rsidRPr="00F87EE3">
        <w:rPr>
          <w:rFonts w:ascii="Bookman Old Style" w:hAnsi="Bookman Old Style" w:cs="Arial"/>
          <w:sz w:val="24"/>
          <w:szCs w:val="24"/>
          <w:lang w:val="de-DE"/>
        </w:rPr>
        <w:t>Daerah</w:t>
      </w:r>
      <w:r w:rsidR="00A954D0">
        <w:rPr>
          <w:rFonts w:ascii="Bookman Old Style" w:hAnsi="Bookman Old Style" w:cs="Arial"/>
          <w:sz w:val="24"/>
          <w:szCs w:val="24"/>
          <w:lang w:val="de-DE"/>
        </w:rPr>
        <w:t xml:space="preserve"> </w:t>
      </w:r>
      <w:r w:rsidRPr="00F87EE3">
        <w:rPr>
          <w:rFonts w:ascii="Bookman Old Style" w:hAnsi="Bookman Old Style"/>
          <w:sz w:val="24"/>
          <w:szCs w:val="24"/>
          <w:lang w:val="id-ID"/>
        </w:rPr>
        <w:t>paling</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sedikit</w:t>
      </w:r>
      <w:r w:rsidR="00A954D0">
        <w:rPr>
          <w:rFonts w:ascii="Bookman Old Style" w:hAnsi="Bookman Old Style"/>
          <w:sz w:val="24"/>
          <w:szCs w:val="24"/>
          <w:lang w:val="id-ID"/>
        </w:rPr>
        <w:t xml:space="preserve"> </w:t>
      </w:r>
      <w:r w:rsidRPr="00F87EE3">
        <w:rPr>
          <w:rFonts w:ascii="Bookman Old Style" w:hAnsi="Bookman Old Style" w:cs="Arial"/>
          <w:sz w:val="24"/>
          <w:szCs w:val="24"/>
          <w:lang w:val="id-ID"/>
        </w:rPr>
        <w:t>sebesar</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0,50%</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(nol</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koma</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lima</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puluh</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persen)</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dari</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total</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belanja</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daerah</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diatas</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Rp15.000.000.000,00</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(lima</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belas</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miliar</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rupiah)</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tidak</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termasuk</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belanja</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gaji,</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tunjangan</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TP</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ASN</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pada</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SKPD</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Inspektorat,</w:t>
      </w:r>
      <w:r w:rsidR="00A954D0">
        <w:rPr>
          <w:rFonts w:ascii="Bookman Old Style" w:hAnsi="Bookman Old Style" w:cs="Arial"/>
          <w:sz w:val="24"/>
          <w:szCs w:val="24"/>
          <w:lang w:val="id-ID"/>
        </w:rPr>
        <w:t xml:space="preserve"> </w:t>
      </w:r>
      <w:r w:rsidRPr="00F87EE3">
        <w:rPr>
          <w:rFonts w:ascii="Bookman Old Style" w:hAnsi="Bookman Old Style"/>
          <w:sz w:val="24"/>
          <w:szCs w:val="24"/>
          <w:lang w:val="id-ID"/>
        </w:rPr>
        <w:t>alokasi</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anggaran</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untuk</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pendidikan</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dan</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pelatihan</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bagi</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ASN</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dalam</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rangka</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pengembangan</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kompetensi</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penyelenggara</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pemerintah</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daerah</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paling</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sedikit</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0,16%</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(nol</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koma</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enam</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belas</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persen)</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dari</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total</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belanja</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daerah</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di</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luar</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Belanja</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Pegawai</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Belanja</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Pemeliharaan,</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de-DE"/>
        </w:rPr>
        <w:t>alokasi</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anggaran</w:t>
      </w:r>
      <w:r w:rsidR="00A954D0">
        <w:rPr>
          <w:rFonts w:ascii="Bookman Old Style" w:hAnsi="Bookman Old Style" w:cs="Arial"/>
          <w:sz w:val="24"/>
          <w:szCs w:val="24"/>
          <w:lang w:val="id-ID"/>
        </w:rPr>
        <w:t xml:space="preserve"> </w:t>
      </w:r>
      <w:r w:rsidRPr="00F87EE3">
        <w:rPr>
          <w:rFonts w:ascii="Bookman Old Style" w:hAnsi="Bookman Old Style"/>
          <w:sz w:val="24"/>
          <w:szCs w:val="24"/>
          <w:lang w:val="id-ID"/>
        </w:rPr>
        <w:t>untuk</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Penggunaan</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Produk</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Dalam</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Negeri</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dan</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Produk</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Usaha</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Mikro,</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Usaha</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Kecil</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dan</w:t>
      </w:r>
      <w:r w:rsidR="00A954D0">
        <w:rPr>
          <w:rFonts w:ascii="Bookman Old Style" w:hAnsi="Bookman Old Style"/>
          <w:sz w:val="24"/>
          <w:szCs w:val="24"/>
          <w:lang w:val="id-ID"/>
        </w:rPr>
        <w:t xml:space="preserve"> </w:t>
      </w:r>
      <w:r w:rsidRPr="00F87EE3">
        <w:rPr>
          <w:rFonts w:ascii="Bookman Old Style" w:hAnsi="Bookman Old Style"/>
          <w:sz w:val="24"/>
          <w:szCs w:val="24"/>
          <w:lang w:val="id-ID"/>
        </w:rPr>
        <w:t>Menengah</w:t>
      </w:r>
      <w:r w:rsidR="00A954D0">
        <w:rPr>
          <w:rFonts w:ascii="Bookman Old Style" w:hAnsi="Bookman Old Style" w:cs="Arial"/>
          <w:sz w:val="24"/>
          <w:szCs w:val="24"/>
          <w:lang w:val="de-DE"/>
        </w:rPr>
        <w:t xml:space="preserve"> </w:t>
      </w:r>
      <w:r w:rsidRPr="00F87EE3">
        <w:rPr>
          <w:rFonts w:ascii="Bookman Old Style" w:hAnsi="Bookman Old Style" w:cs="Arial"/>
          <w:sz w:val="24"/>
          <w:szCs w:val="24"/>
          <w:lang w:val="de-DE"/>
        </w:rPr>
        <w:t>sekurang-kurangnya</w:t>
      </w:r>
      <w:r w:rsidR="00A954D0">
        <w:rPr>
          <w:rFonts w:ascii="Bookman Old Style" w:hAnsi="Bookman Old Style" w:cs="Arial"/>
          <w:sz w:val="24"/>
          <w:szCs w:val="24"/>
          <w:lang w:val="de-DE"/>
        </w:rPr>
        <w:t xml:space="preserve"> </w:t>
      </w:r>
      <w:r w:rsidRPr="00F87EE3">
        <w:rPr>
          <w:rFonts w:ascii="Bookman Old Style" w:hAnsi="Bookman Old Style" w:cs="Arial"/>
          <w:sz w:val="24"/>
          <w:szCs w:val="24"/>
          <w:lang w:val="id-ID"/>
        </w:rPr>
        <w:t>4</w:t>
      </w:r>
      <w:r w:rsidRPr="00F87EE3">
        <w:rPr>
          <w:rFonts w:ascii="Bookman Old Style" w:hAnsi="Bookman Old Style" w:cs="Arial"/>
          <w:sz w:val="24"/>
          <w:szCs w:val="24"/>
          <w:lang w:val="de-DE"/>
        </w:rPr>
        <w:t>0%</w:t>
      </w:r>
      <w:r w:rsidR="00A954D0">
        <w:rPr>
          <w:rFonts w:ascii="Bookman Old Style" w:hAnsi="Bookman Old Style" w:cs="Arial"/>
          <w:sz w:val="24"/>
          <w:szCs w:val="24"/>
          <w:lang w:val="de-DE"/>
        </w:rPr>
        <w:t xml:space="preserve"> </w:t>
      </w:r>
      <w:r w:rsidRPr="00F87EE3">
        <w:rPr>
          <w:rFonts w:ascii="Bookman Old Style" w:hAnsi="Bookman Old Style" w:cs="Arial"/>
          <w:sz w:val="24"/>
          <w:szCs w:val="24"/>
          <w:lang w:val="de-DE"/>
        </w:rPr>
        <w:t>(</w:t>
      </w:r>
      <w:r w:rsidRPr="00F87EE3">
        <w:rPr>
          <w:rFonts w:ascii="Bookman Old Style" w:hAnsi="Bookman Old Style" w:cs="Arial"/>
          <w:sz w:val="24"/>
          <w:szCs w:val="24"/>
          <w:lang w:val="id-ID"/>
        </w:rPr>
        <w:t>empat</w:t>
      </w:r>
      <w:r w:rsidR="00A954D0">
        <w:rPr>
          <w:rFonts w:ascii="Bookman Old Style" w:hAnsi="Bookman Old Style" w:cs="Arial"/>
          <w:sz w:val="24"/>
          <w:szCs w:val="24"/>
          <w:lang w:val="de-DE"/>
        </w:rPr>
        <w:t xml:space="preserve"> </w:t>
      </w:r>
      <w:r w:rsidRPr="00F87EE3">
        <w:rPr>
          <w:rFonts w:ascii="Bookman Old Style" w:hAnsi="Bookman Old Style" w:cs="Arial"/>
          <w:sz w:val="24"/>
          <w:szCs w:val="24"/>
          <w:lang w:val="de-DE"/>
        </w:rPr>
        <w:t>puluh</w:t>
      </w:r>
      <w:r w:rsidR="00A954D0">
        <w:rPr>
          <w:rFonts w:ascii="Bookman Old Style" w:hAnsi="Bookman Old Style" w:cs="Arial"/>
          <w:sz w:val="24"/>
          <w:szCs w:val="24"/>
          <w:lang w:val="de-DE"/>
        </w:rPr>
        <w:t xml:space="preserve"> </w:t>
      </w:r>
      <w:r w:rsidRPr="00F87EE3">
        <w:rPr>
          <w:rFonts w:ascii="Bookman Old Style" w:hAnsi="Bookman Old Style" w:cs="Arial"/>
          <w:sz w:val="24"/>
          <w:szCs w:val="24"/>
          <w:lang w:val="de-DE"/>
        </w:rPr>
        <w:t>persen)</w:t>
      </w:r>
      <w:r w:rsidR="00A954D0">
        <w:rPr>
          <w:rFonts w:ascii="Bookman Old Style" w:hAnsi="Bookman Old Style" w:cs="Arial"/>
          <w:sz w:val="24"/>
          <w:szCs w:val="24"/>
          <w:lang w:val="de-DE"/>
        </w:rPr>
        <w:t xml:space="preserve"> </w:t>
      </w:r>
      <w:r w:rsidRPr="00F87EE3">
        <w:rPr>
          <w:rFonts w:ascii="Bookman Old Style" w:hAnsi="Bookman Old Style" w:cs="Arial"/>
          <w:sz w:val="24"/>
          <w:szCs w:val="24"/>
          <w:lang w:val="id-ID"/>
        </w:rPr>
        <w:t>dari</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total</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belanja</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barang</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jasa</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dan</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belanja</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modal</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di</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luar</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belanja</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modal</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tanah</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sesuai</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dengan</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ketentuan</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peraturan</w:t>
      </w:r>
      <w:r w:rsidR="00A954D0">
        <w:rPr>
          <w:rFonts w:ascii="Bookman Old Style" w:hAnsi="Bookman Old Style" w:cs="Arial"/>
          <w:sz w:val="24"/>
          <w:szCs w:val="24"/>
          <w:lang w:val="id-ID"/>
        </w:rPr>
        <w:t xml:space="preserve"> </w:t>
      </w:r>
      <w:r w:rsidRPr="00F87EE3">
        <w:rPr>
          <w:rFonts w:ascii="Bookman Old Style" w:hAnsi="Bookman Old Style" w:cs="Arial"/>
          <w:sz w:val="24"/>
          <w:szCs w:val="24"/>
          <w:lang w:val="id-ID"/>
        </w:rPr>
        <w:t>perundang-undangan</w:t>
      </w:r>
      <w:r>
        <w:rPr>
          <w:rFonts w:ascii="Bookman Old Style" w:hAnsi="Bookman Old Style" w:cs="Arial"/>
          <w:sz w:val="24"/>
          <w:szCs w:val="24"/>
          <w:lang w:val="id-ID"/>
        </w:rPr>
        <w:t>.</w:t>
      </w:r>
    </w:p>
    <w:p w14:paraId="265DFE1B" w14:textId="377934D8" w:rsidR="005657EF" w:rsidRPr="00AB3D54" w:rsidRDefault="00F34F2E" w:rsidP="00154790">
      <w:pPr>
        <w:pStyle w:val="ListParagraph"/>
        <w:numPr>
          <w:ilvl w:val="0"/>
          <w:numId w:val="121"/>
        </w:numPr>
        <w:spacing w:before="60" w:after="0" w:line="276" w:lineRule="auto"/>
        <w:ind w:left="993" w:hanging="426"/>
        <w:contextualSpacing w:val="0"/>
        <w:jc w:val="both"/>
        <w:rPr>
          <w:rFonts w:ascii="Bookman Old Style" w:hAnsi="Bookman Old Style"/>
          <w:sz w:val="24"/>
          <w:szCs w:val="24"/>
          <w:lang w:val="id-ID"/>
        </w:rPr>
      </w:pPr>
      <w:r>
        <w:rPr>
          <w:rFonts w:ascii="Bookman Old Style" w:hAnsi="Bookman Old Style"/>
          <w:sz w:val="24"/>
          <w:szCs w:val="24"/>
          <w:lang w:val="id-ID"/>
        </w:rPr>
        <w:t xml:space="preserve">Penyediaan anggaran yang tercantum dalam </w:t>
      </w:r>
      <w:r w:rsidR="005657EF" w:rsidRPr="0071463B">
        <w:rPr>
          <w:rFonts w:ascii="Bookman Old Style" w:hAnsi="Bookman Old Style"/>
          <w:sz w:val="24"/>
          <w:szCs w:val="24"/>
          <w:lang w:val="id-ID"/>
        </w:rPr>
        <w:t>Sub</w:t>
      </w:r>
      <w:r w:rsidR="00A954D0">
        <w:rPr>
          <w:rFonts w:ascii="Bookman Old Style" w:hAnsi="Bookman Old Style"/>
          <w:sz w:val="24"/>
          <w:szCs w:val="24"/>
          <w:lang w:val="id-ID"/>
        </w:rPr>
        <w:t xml:space="preserve"> </w:t>
      </w:r>
      <w:r w:rsidR="005657EF" w:rsidRPr="005657EF">
        <w:rPr>
          <w:rFonts w:ascii="Bookman Old Style" w:hAnsi="Bookman Old Style"/>
          <w:sz w:val="24"/>
          <w:szCs w:val="24"/>
        </w:rPr>
        <w:t>kegiatan</w:t>
      </w:r>
      <w:r w:rsidR="005657EF" w:rsidRPr="00AB3D54">
        <w:rPr>
          <w:rFonts w:ascii="Bookman Old Style" w:hAnsi="Bookman Old Style"/>
          <w:sz w:val="24"/>
          <w:szCs w:val="24"/>
          <w:lang w:val="id-ID"/>
        </w:rPr>
        <w:t>,</w:t>
      </w:r>
      <w:r w:rsidR="00A954D0">
        <w:rPr>
          <w:rFonts w:ascii="Bookman Old Style" w:hAnsi="Bookman Old Style"/>
          <w:sz w:val="24"/>
          <w:szCs w:val="24"/>
          <w:lang w:val="id-ID"/>
        </w:rPr>
        <w:t xml:space="preserve"> </w:t>
      </w:r>
      <w:r w:rsidR="005657EF" w:rsidRPr="00AB3D54">
        <w:rPr>
          <w:rFonts w:ascii="Bookman Old Style" w:hAnsi="Bookman Old Style"/>
          <w:sz w:val="24"/>
          <w:szCs w:val="24"/>
          <w:lang w:val="id-ID"/>
        </w:rPr>
        <w:t>antara</w:t>
      </w:r>
      <w:r w:rsidR="00A954D0">
        <w:rPr>
          <w:rFonts w:ascii="Bookman Old Style" w:hAnsi="Bookman Old Style"/>
          <w:sz w:val="24"/>
          <w:szCs w:val="24"/>
          <w:lang w:val="id-ID"/>
        </w:rPr>
        <w:t xml:space="preserve"> </w:t>
      </w:r>
      <w:r w:rsidR="005657EF" w:rsidRPr="00AB3D54">
        <w:rPr>
          <w:rFonts w:ascii="Bookman Old Style" w:hAnsi="Bookman Old Style"/>
          <w:sz w:val="24"/>
          <w:szCs w:val="24"/>
          <w:lang w:val="id-ID"/>
        </w:rPr>
        <w:t>lain:</w:t>
      </w:r>
    </w:p>
    <w:p w14:paraId="7EEA26C6" w14:textId="42EE5F4F" w:rsidR="005657EF" w:rsidRPr="003255BC" w:rsidRDefault="00FA2B2D" w:rsidP="00154790">
      <w:pPr>
        <w:pStyle w:val="ListParagraph"/>
        <w:numPr>
          <w:ilvl w:val="0"/>
          <w:numId w:val="264"/>
        </w:numPr>
        <w:spacing w:before="60" w:after="0" w:line="276" w:lineRule="auto"/>
        <w:ind w:left="1287" w:hanging="294"/>
        <w:contextualSpacing w:val="0"/>
        <w:jc w:val="both"/>
        <w:rPr>
          <w:rFonts w:ascii="Bookman Old Style" w:hAnsi="Bookman Old Style"/>
          <w:sz w:val="24"/>
          <w:szCs w:val="24"/>
          <w:lang w:val="sv-FI"/>
        </w:rPr>
      </w:pPr>
      <w:r>
        <w:rPr>
          <w:rFonts w:ascii="Bookman Old Style" w:hAnsi="Bookman Old Style"/>
          <w:sz w:val="24"/>
          <w:szCs w:val="24"/>
          <w:lang w:val="id-ID"/>
        </w:rPr>
        <w:t>S</w:t>
      </w:r>
      <w:r w:rsidR="005657EF" w:rsidRPr="00AB3D54">
        <w:rPr>
          <w:rFonts w:ascii="Bookman Old Style" w:hAnsi="Bookman Old Style"/>
          <w:sz w:val="24"/>
          <w:szCs w:val="24"/>
          <w:lang w:val="id-ID"/>
        </w:rPr>
        <w:t>ub</w:t>
      </w:r>
      <w:r w:rsidR="00A954D0">
        <w:rPr>
          <w:rFonts w:ascii="Bookman Old Style" w:hAnsi="Bookman Old Style"/>
          <w:sz w:val="24"/>
          <w:szCs w:val="24"/>
          <w:lang w:val="id-ID"/>
        </w:rPr>
        <w:t xml:space="preserve"> </w:t>
      </w:r>
      <w:r w:rsidR="005657EF" w:rsidRPr="003255BC">
        <w:rPr>
          <w:rFonts w:ascii="Bookman Old Style" w:hAnsi="Bookman Old Style"/>
          <w:sz w:val="24"/>
          <w:szCs w:val="24"/>
          <w:lang w:val="sv-FI"/>
        </w:rPr>
        <w:t>kegiatan</w:t>
      </w:r>
      <w:r w:rsidR="00A954D0" w:rsidRPr="003255BC">
        <w:rPr>
          <w:rFonts w:ascii="Bookman Old Style" w:hAnsi="Bookman Old Style"/>
          <w:sz w:val="24"/>
          <w:szCs w:val="24"/>
          <w:lang w:val="sv-FI"/>
        </w:rPr>
        <w:t xml:space="preserve"> </w:t>
      </w:r>
      <w:r w:rsidR="005657EF" w:rsidRPr="003255BC">
        <w:rPr>
          <w:rFonts w:ascii="Bookman Old Style" w:hAnsi="Bookman Old Style"/>
          <w:sz w:val="24"/>
          <w:szCs w:val="24"/>
          <w:lang w:val="sv-FI"/>
        </w:rPr>
        <w:t>Pendidikan</w:t>
      </w:r>
      <w:r w:rsidR="00A954D0" w:rsidRPr="003255BC">
        <w:rPr>
          <w:rFonts w:ascii="Bookman Old Style" w:hAnsi="Bookman Old Style"/>
          <w:sz w:val="24"/>
          <w:szCs w:val="24"/>
          <w:lang w:val="sv-FI"/>
        </w:rPr>
        <w:t xml:space="preserve"> </w:t>
      </w:r>
      <w:r w:rsidR="005657EF" w:rsidRPr="003255BC">
        <w:rPr>
          <w:rFonts w:ascii="Bookman Old Style" w:hAnsi="Bookman Old Style"/>
          <w:sz w:val="24"/>
          <w:szCs w:val="24"/>
          <w:lang w:val="sv-FI"/>
        </w:rPr>
        <w:t>dan</w:t>
      </w:r>
      <w:r w:rsidR="00A954D0" w:rsidRPr="003255BC">
        <w:rPr>
          <w:rFonts w:ascii="Bookman Old Style" w:hAnsi="Bookman Old Style"/>
          <w:sz w:val="24"/>
          <w:szCs w:val="24"/>
          <w:lang w:val="sv-FI"/>
        </w:rPr>
        <w:t xml:space="preserve"> </w:t>
      </w:r>
      <w:r w:rsidR="005657EF" w:rsidRPr="003255BC">
        <w:rPr>
          <w:rFonts w:ascii="Bookman Old Style" w:hAnsi="Bookman Old Style"/>
          <w:sz w:val="24"/>
          <w:szCs w:val="24"/>
          <w:lang w:val="sv-FI"/>
        </w:rPr>
        <w:t>Pelatihan</w:t>
      </w:r>
      <w:r w:rsidR="00A954D0" w:rsidRPr="003255BC">
        <w:rPr>
          <w:rFonts w:ascii="Bookman Old Style" w:hAnsi="Bookman Old Style"/>
          <w:sz w:val="24"/>
          <w:szCs w:val="24"/>
          <w:lang w:val="sv-FI"/>
        </w:rPr>
        <w:t xml:space="preserve"> </w:t>
      </w:r>
      <w:r w:rsidR="005657EF" w:rsidRPr="003255BC">
        <w:rPr>
          <w:rFonts w:ascii="Bookman Old Style" w:hAnsi="Bookman Old Style"/>
          <w:sz w:val="24"/>
          <w:szCs w:val="24"/>
          <w:lang w:val="sv-FI"/>
        </w:rPr>
        <w:t>Pegawai</w:t>
      </w:r>
      <w:r w:rsidR="00A954D0" w:rsidRPr="003255BC">
        <w:rPr>
          <w:rFonts w:ascii="Bookman Old Style" w:hAnsi="Bookman Old Style"/>
          <w:sz w:val="24"/>
          <w:szCs w:val="24"/>
          <w:lang w:val="sv-FI"/>
        </w:rPr>
        <w:t xml:space="preserve"> </w:t>
      </w:r>
      <w:r w:rsidR="005657EF" w:rsidRPr="003255BC">
        <w:rPr>
          <w:rFonts w:ascii="Bookman Old Style" w:hAnsi="Bookman Old Style"/>
          <w:sz w:val="24"/>
          <w:szCs w:val="24"/>
          <w:lang w:val="sv-FI"/>
        </w:rPr>
        <w:t>Berdasarkan</w:t>
      </w:r>
      <w:r w:rsidR="00A954D0" w:rsidRPr="003255BC">
        <w:rPr>
          <w:rFonts w:ascii="Bookman Old Style" w:hAnsi="Bookman Old Style"/>
          <w:sz w:val="24"/>
          <w:szCs w:val="24"/>
          <w:lang w:val="sv-FI"/>
        </w:rPr>
        <w:t xml:space="preserve"> </w:t>
      </w:r>
      <w:r w:rsidR="005657EF" w:rsidRPr="003255BC">
        <w:rPr>
          <w:rFonts w:ascii="Bookman Old Style" w:hAnsi="Bookman Old Style"/>
          <w:sz w:val="24"/>
          <w:szCs w:val="24"/>
          <w:lang w:val="sv-FI"/>
        </w:rPr>
        <w:t>Tugas</w:t>
      </w:r>
      <w:r w:rsidR="00A954D0" w:rsidRPr="003255BC">
        <w:rPr>
          <w:rFonts w:ascii="Bookman Old Style" w:hAnsi="Bookman Old Style"/>
          <w:sz w:val="24"/>
          <w:szCs w:val="24"/>
          <w:lang w:val="sv-FI"/>
        </w:rPr>
        <w:t xml:space="preserve"> </w:t>
      </w:r>
      <w:r w:rsidR="005657EF" w:rsidRPr="003255BC">
        <w:rPr>
          <w:rFonts w:ascii="Bookman Old Style" w:hAnsi="Bookman Old Style"/>
          <w:sz w:val="24"/>
          <w:szCs w:val="24"/>
          <w:lang w:val="sv-FI"/>
        </w:rPr>
        <w:t>dan</w:t>
      </w:r>
      <w:r w:rsidR="00A954D0" w:rsidRPr="003255BC">
        <w:rPr>
          <w:rFonts w:ascii="Bookman Old Style" w:hAnsi="Bookman Old Style"/>
          <w:sz w:val="24"/>
          <w:szCs w:val="24"/>
          <w:lang w:val="sv-FI"/>
        </w:rPr>
        <w:t xml:space="preserve"> </w:t>
      </w:r>
      <w:r w:rsidR="005657EF" w:rsidRPr="003255BC">
        <w:rPr>
          <w:rFonts w:ascii="Bookman Old Style" w:hAnsi="Bookman Old Style"/>
          <w:sz w:val="24"/>
          <w:szCs w:val="24"/>
          <w:lang w:val="sv-FI"/>
        </w:rPr>
        <w:t>Fungsi</w:t>
      </w:r>
      <w:r w:rsidR="00A954D0" w:rsidRPr="003255BC">
        <w:rPr>
          <w:rFonts w:ascii="Bookman Old Style" w:hAnsi="Bookman Old Style"/>
          <w:sz w:val="24"/>
          <w:szCs w:val="24"/>
          <w:lang w:val="sv-FI"/>
        </w:rPr>
        <w:t xml:space="preserve"> </w:t>
      </w:r>
      <w:r w:rsidR="005657EF" w:rsidRPr="003255BC">
        <w:rPr>
          <w:rFonts w:ascii="Bookman Old Style" w:hAnsi="Bookman Old Style"/>
          <w:sz w:val="24"/>
          <w:szCs w:val="24"/>
          <w:lang w:val="sv-FI"/>
        </w:rPr>
        <w:t>Rp0,00</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pada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Dinas</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Pendidikan</w:t>
      </w:r>
      <w:r w:rsidR="005657EF" w:rsidRPr="003255BC">
        <w:rPr>
          <w:rFonts w:ascii="Bookman Old Style" w:hAnsi="Bookman Old Style"/>
          <w:sz w:val="24"/>
          <w:szCs w:val="24"/>
          <w:lang w:val="sv-FI"/>
        </w:rPr>
        <w:t>;</w:t>
      </w:r>
    </w:p>
    <w:p w14:paraId="77DE7961" w14:textId="4DBE8333" w:rsidR="005657EF" w:rsidRPr="00256727" w:rsidRDefault="00FA2B2D" w:rsidP="00154790">
      <w:pPr>
        <w:pStyle w:val="ListParagraph"/>
        <w:numPr>
          <w:ilvl w:val="0"/>
          <w:numId w:val="264"/>
        </w:numPr>
        <w:spacing w:before="60" w:after="0" w:line="276" w:lineRule="auto"/>
        <w:ind w:left="1287" w:hanging="294"/>
        <w:contextualSpacing w:val="0"/>
        <w:jc w:val="both"/>
        <w:rPr>
          <w:rFonts w:ascii="Bookman Old Style" w:hAnsi="Bookman Old Style"/>
          <w:sz w:val="24"/>
          <w:szCs w:val="24"/>
          <w:lang w:val="sv-FI"/>
        </w:rPr>
      </w:pPr>
      <w:r w:rsidRPr="00256727">
        <w:rPr>
          <w:rFonts w:ascii="Bookman Old Style" w:hAnsi="Bookman Old Style"/>
          <w:sz w:val="24"/>
          <w:szCs w:val="24"/>
          <w:lang w:val="sv-FI"/>
        </w:rPr>
        <w:t>S</w:t>
      </w:r>
      <w:r w:rsidR="005657EF" w:rsidRPr="00256727">
        <w:rPr>
          <w:rFonts w:ascii="Bookman Old Style" w:hAnsi="Bookman Old Style"/>
          <w:sz w:val="24"/>
          <w:szCs w:val="24"/>
          <w:lang w:val="sv-FI"/>
        </w:rPr>
        <w:t>ub</w:t>
      </w:r>
      <w:r w:rsidR="00A954D0" w:rsidRPr="00256727">
        <w:rPr>
          <w:rFonts w:ascii="Bookman Old Style" w:hAnsi="Bookman Old Style"/>
          <w:sz w:val="24"/>
          <w:szCs w:val="24"/>
          <w:lang w:val="sv-FI"/>
        </w:rPr>
        <w:t xml:space="preserve"> </w:t>
      </w:r>
      <w:r w:rsidR="005657EF" w:rsidRPr="00256727">
        <w:rPr>
          <w:rFonts w:ascii="Bookman Old Style" w:hAnsi="Bookman Old Style"/>
          <w:sz w:val="24"/>
          <w:szCs w:val="24"/>
          <w:lang w:val="sv-FI"/>
        </w:rPr>
        <w:t>kegiatan</w:t>
      </w:r>
      <w:r w:rsidR="00A954D0" w:rsidRPr="00256727">
        <w:rPr>
          <w:rFonts w:ascii="Bookman Old Style" w:hAnsi="Bookman Old Style"/>
          <w:sz w:val="24"/>
          <w:szCs w:val="24"/>
          <w:lang w:val="sv-FI"/>
        </w:rPr>
        <w:t xml:space="preserve"> </w:t>
      </w:r>
      <w:r w:rsidR="005657EF" w:rsidRPr="00256727">
        <w:rPr>
          <w:rFonts w:ascii="Bookman Old Style" w:hAnsi="Bookman Old Style"/>
          <w:sz w:val="24"/>
          <w:szCs w:val="24"/>
          <w:lang w:val="sv-FI"/>
        </w:rPr>
        <w:t>Penyediaan</w:t>
      </w:r>
      <w:r w:rsidR="00A954D0" w:rsidRPr="00256727">
        <w:rPr>
          <w:rFonts w:ascii="Bookman Old Style" w:hAnsi="Bookman Old Style"/>
          <w:sz w:val="24"/>
          <w:szCs w:val="24"/>
          <w:lang w:val="sv-FI"/>
        </w:rPr>
        <w:t xml:space="preserve"> </w:t>
      </w:r>
      <w:r w:rsidR="005657EF" w:rsidRPr="00256727">
        <w:rPr>
          <w:rFonts w:ascii="Bookman Old Style" w:hAnsi="Bookman Old Style"/>
          <w:sz w:val="24"/>
          <w:szCs w:val="24"/>
          <w:lang w:val="sv-FI"/>
        </w:rPr>
        <w:t>Sarana</w:t>
      </w:r>
      <w:r w:rsidR="00A954D0" w:rsidRPr="00256727">
        <w:rPr>
          <w:rFonts w:ascii="Bookman Old Style" w:hAnsi="Bookman Old Style"/>
          <w:sz w:val="24"/>
          <w:szCs w:val="24"/>
          <w:lang w:val="sv-FI"/>
        </w:rPr>
        <w:t xml:space="preserve"> </w:t>
      </w:r>
      <w:r w:rsidR="005657EF" w:rsidRPr="00256727">
        <w:rPr>
          <w:rFonts w:ascii="Bookman Old Style" w:hAnsi="Bookman Old Style"/>
          <w:sz w:val="24"/>
          <w:szCs w:val="24"/>
          <w:lang w:val="sv-FI"/>
        </w:rPr>
        <w:t>Pengangkutan</w:t>
      </w:r>
      <w:r w:rsidR="00A954D0" w:rsidRPr="00256727">
        <w:rPr>
          <w:rFonts w:ascii="Bookman Old Style" w:hAnsi="Bookman Old Style"/>
          <w:sz w:val="24"/>
          <w:szCs w:val="24"/>
          <w:lang w:val="sv-FI"/>
        </w:rPr>
        <w:t xml:space="preserve"> </w:t>
      </w:r>
      <w:r w:rsidR="005657EF" w:rsidRPr="00256727">
        <w:rPr>
          <w:rFonts w:ascii="Bookman Old Style" w:hAnsi="Bookman Old Style"/>
          <w:sz w:val="24"/>
          <w:szCs w:val="24"/>
          <w:lang w:val="sv-FI"/>
        </w:rPr>
        <w:t>Lumpur</w:t>
      </w:r>
      <w:r w:rsidR="00A954D0" w:rsidRPr="00256727">
        <w:rPr>
          <w:rFonts w:ascii="Bookman Old Style" w:hAnsi="Bookman Old Style"/>
          <w:sz w:val="24"/>
          <w:szCs w:val="24"/>
          <w:lang w:val="sv-FI"/>
        </w:rPr>
        <w:t xml:space="preserve"> </w:t>
      </w:r>
      <w:r w:rsidR="005657EF" w:rsidRPr="00256727">
        <w:rPr>
          <w:rFonts w:ascii="Bookman Old Style" w:hAnsi="Bookman Old Style"/>
          <w:sz w:val="24"/>
          <w:szCs w:val="24"/>
          <w:lang w:val="sv-FI"/>
        </w:rPr>
        <w:t>Tinja</w:t>
      </w:r>
      <w:r w:rsidR="00A954D0" w:rsidRPr="00256727">
        <w:rPr>
          <w:rFonts w:ascii="Bookman Old Style" w:hAnsi="Bookman Old Style"/>
          <w:sz w:val="24"/>
          <w:szCs w:val="24"/>
          <w:lang w:val="sv-FI"/>
        </w:rPr>
        <w:t xml:space="preserve"> </w:t>
      </w:r>
      <w:r w:rsidR="005657EF" w:rsidRPr="00256727">
        <w:rPr>
          <w:rFonts w:ascii="Bookman Old Style" w:hAnsi="Bookman Old Style"/>
          <w:sz w:val="24"/>
          <w:szCs w:val="24"/>
          <w:lang w:val="sv-FI"/>
        </w:rPr>
        <w:t>Rp0,00</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pada</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Dinas</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Perumahan,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Permukiman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dan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Pertanahan</w:t>
      </w:r>
      <w:r w:rsidR="005657EF" w:rsidRPr="00256727">
        <w:rPr>
          <w:rFonts w:ascii="Bookman Old Style" w:hAnsi="Bookman Old Style"/>
          <w:sz w:val="24"/>
          <w:szCs w:val="24"/>
          <w:lang w:val="sv-FI"/>
        </w:rPr>
        <w:t>;</w:t>
      </w:r>
    </w:p>
    <w:p w14:paraId="2CE37D65" w14:textId="405018A9" w:rsidR="005657EF" w:rsidRPr="00256727" w:rsidRDefault="006C6FD9" w:rsidP="00154790">
      <w:pPr>
        <w:pStyle w:val="ListParagraph"/>
        <w:numPr>
          <w:ilvl w:val="0"/>
          <w:numId w:val="264"/>
        </w:numPr>
        <w:spacing w:before="60" w:after="0" w:line="276" w:lineRule="auto"/>
        <w:ind w:left="1287" w:hanging="294"/>
        <w:contextualSpacing w:val="0"/>
        <w:jc w:val="both"/>
        <w:rPr>
          <w:rFonts w:ascii="Bookman Old Style" w:hAnsi="Bookman Old Style"/>
          <w:sz w:val="24"/>
          <w:szCs w:val="24"/>
          <w:lang w:val="sv-FI"/>
        </w:rPr>
      </w:pPr>
      <w:r w:rsidRPr="00256727">
        <w:rPr>
          <w:rFonts w:ascii="Bookman Old Style" w:hAnsi="Bookman Old Style"/>
          <w:sz w:val="24"/>
          <w:szCs w:val="24"/>
          <w:lang w:val="sv-FI"/>
        </w:rPr>
        <w:t>S</w:t>
      </w:r>
      <w:r w:rsidR="005657EF" w:rsidRPr="00256727">
        <w:rPr>
          <w:rFonts w:ascii="Bookman Old Style" w:hAnsi="Bookman Old Style"/>
          <w:sz w:val="24"/>
          <w:szCs w:val="24"/>
          <w:lang w:val="sv-FI"/>
        </w:rPr>
        <w:t>ub</w:t>
      </w:r>
      <w:r w:rsidR="00A954D0" w:rsidRPr="00256727">
        <w:rPr>
          <w:rFonts w:ascii="Bookman Old Style" w:hAnsi="Bookman Old Style"/>
          <w:sz w:val="24"/>
          <w:szCs w:val="24"/>
          <w:lang w:val="sv-FI"/>
        </w:rPr>
        <w:t xml:space="preserve"> </w:t>
      </w:r>
      <w:r w:rsidR="005657EF" w:rsidRPr="00256727">
        <w:rPr>
          <w:rFonts w:ascii="Bookman Old Style" w:hAnsi="Bookman Old Style"/>
          <w:sz w:val="24"/>
          <w:szCs w:val="24"/>
          <w:lang w:val="sv-FI"/>
        </w:rPr>
        <w:t>kegiatan</w:t>
      </w:r>
      <w:r w:rsidR="00A954D0" w:rsidRPr="00256727">
        <w:rPr>
          <w:rFonts w:ascii="Bookman Old Style" w:hAnsi="Bookman Old Style"/>
          <w:sz w:val="24"/>
          <w:szCs w:val="24"/>
          <w:lang w:val="sv-FI"/>
        </w:rPr>
        <w:t xml:space="preserve"> </w:t>
      </w:r>
      <w:r w:rsidR="005657EF" w:rsidRPr="00256727">
        <w:rPr>
          <w:rFonts w:ascii="Bookman Old Style" w:hAnsi="Bookman Old Style"/>
          <w:sz w:val="24"/>
          <w:szCs w:val="24"/>
          <w:lang w:val="sv-FI"/>
        </w:rPr>
        <w:t>Operasional</w:t>
      </w:r>
      <w:r w:rsidR="00A954D0" w:rsidRPr="00256727">
        <w:rPr>
          <w:rFonts w:ascii="Bookman Old Style" w:hAnsi="Bookman Old Style"/>
          <w:sz w:val="24"/>
          <w:szCs w:val="24"/>
          <w:lang w:val="sv-FI"/>
        </w:rPr>
        <w:t xml:space="preserve"> </w:t>
      </w:r>
      <w:r w:rsidR="005657EF" w:rsidRPr="00256727">
        <w:rPr>
          <w:rFonts w:ascii="Bookman Old Style" w:hAnsi="Bookman Old Style"/>
          <w:sz w:val="24"/>
          <w:szCs w:val="24"/>
          <w:lang w:val="sv-FI"/>
        </w:rPr>
        <w:t>Pelayanan</w:t>
      </w:r>
      <w:r w:rsidR="00A954D0" w:rsidRPr="00256727">
        <w:rPr>
          <w:rFonts w:ascii="Bookman Old Style" w:hAnsi="Bookman Old Style"/>
          <w:sz w:val="24"/>
          <w:szCs w:val="24"/>
          <w:lang w:val="sv-FI"/>
        </w:rPr>
        <w:t xml:space="preserve"> </w:t>
      </w:r>
      <w:r w:rsidR="005657EF" w:rsidRPr="00256727">
        <w:rPr>
          <w:rFonts w:ascii="Bookman Old Style" w:hAnsi="Bookman Old Style"/>
          <w:sz w:val="24"/>
          <w:szCs w:val="24"/>
          <w:lang w:val="sv-FI"/>
        </w:rPr>
        <w:t>Puskesmas</w:t>
      </w:r>
      <w:r w:rsidR="00A954D0" w:rsidRPr="00256727">
        <w:rPr>
          <w:rFonts w:ascii="Bookman Old Style" w:hAnsi="Bookman Old Style"/>
          <w:sz w:val="24"/>
          <w:szCs w:val="24"/>
          <w:lang w:val="sv-FI"/>
        </w:rPr>
        <w:t xml:space="preserve"> </w:t>
      </w:r>
      <w:r w:rsidR="005657EF" w:rsidRPr="00256727">
        <w:rPr>
          <w:rFonts w:ascii="Bookman Old Style" w:hAnsi="Bookman Old Style"/>
          <w:sz w:val="24"/>
          <w:szCs w:val="24"/>
          <w:lang w:val="sv-FI"/>
        </w:rPr>
        <w:t>Rp300,00</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pada</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Dinas</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Kesehatan</w:t>
      </w:r>
      <w:r w:rsidR="005657EF" w:rsidRPr="00256727">
        <w:rPr>
          <w:rFonts w:ascii="Bookman Old Style" w:hAnsi="Bookman Old Style"/>
          <w:sz w:val="24"/>
          <w:szCs w:val="24"/>
          <w:lang w:val="sv-FI"/>
        </w:rPr>
        <w:t>;</w:t>
      </w:r>
    </w:p>
    <w:p w14:paraId="127A6951" w14:textId="1A61AFB4" w:rsidR="00E457B3" w:rsidRPr="00562A14" w:rsidRDefault="006C6FD9" w:rsidP="00154790">
      <w:pPr>
        <w:pStyle w:val="ListParagraph"/>
        <w:numPr>
          <w:ilvl w:val="0"/>
          <w:numId w:val="264"/>
        </w:numPr>
        <w:spacing w:before="60" w:after="0" w:line="276" w:lineRule="auto"/>
        <w:ind w:left="1287" w:hanging="294"/>
        <w:contextualSpacing w:val="0"/>
        <w:jc w:val="both"/>
        <w:rPr>
          <w:rFonts w:ascii="Bookman Old Style" w:hAnsi="Bookman Old Style" w:cs="Arial"/>
          <w:sz w:val="24"/>
          <w:szCs w:val="24"/>
          <w:lang w:val="id-ID"/>
        </w:rPr>
      </w:pPr>
      <w:r w:rsidRPr="00256727">
        <w:rPr>
          <w:rFonts w:ascii="Bookman Old Style" w:hAnsi="Bookman Old Style"/>
          <w:sz w:val="24"/>
          <w:szCs w:val="24"/>
          <w:lang w:val="sv-FI"/>
        </w:rPr>
        <w:t>S</w:t>
      </w:r>
      <w:r w:rsidR="005657EF" w:rsidRPr="00256727">
        <w:rPr>
          <w:rFonts w:ascii="Bookman Old Style" w:hAnsi="Bookman Old Style"/>
          <w:sz w:val="24"/>
          <w:szCs w:val="24"/>
          <w:lang w:val="sv-FI"/>
        </w:rPr>
        <w:t>ub</w:t>
      </w:r>
      <w:r w:rsidR="00A954D0" w:rsidRPr="00256727">
        <w:rPr>
          <w:rFonts w:ascii="Bookman Old Style" w:hAnsi="Bookman Old Style"/>
          <w:sz w:val="24"/>
          <w:szCs w:val="24"/>
          <w:lang w:val="sv-FI"/>
        </w:rPr>
        <w:t xml:space="preserve"> </w:t>
      </w:r>
      <w:r w:rsidR="005657EF" w:rsidRPr="00256727">
        <w:rPr>
          <w:rFonts w:ascii="Bookman Old Style" w:hAnsi="Bookman Old Style"/>
          <w:sz w:val="24"/>
          <w:szCs w:val="24"/>
          <w:lang w:val="sv-FI"/>
        </w:rPr>
        <w:t>kegiatan</w:t>
      </w:r>
      <w:r w:rsidR="00A954D0" w:rsidRPr="00256727">
        <w:rPr>
          <w:rFonts w:ascii="Bookman Old Style" w:hAnsi="Bookman Old Style"/>
          <w:sz w:val="24"/>
          <w:szCs w:val="24"/>
          <w:lang w:val="sv-FI"/>
        </w:rPr>
        <w:t xml:space="preserve"> </w:t>
      </w:r>
      <w:r w:rsidR="005657EF" w:rsidRPr="00256727">
        <w:rPr>
          <w:rFonts w:ascii="Bookman Old Style" w:hAnsi="Bookman Old Style"/>
          <w:sz w:val="24"/>
          <w:szCs w:val="24"/>
          <w:lang w:val="sv-FI"/>
        </w:rPr>
        <w:t>Koordinasi</w:t>
      </w:r>
      <w:r w:rsidR="00A954D0" w:rsidRPr="00256727">
        <w:rPr>
          <w:rFonts w:ascii="Bookman Old Style" w:hAnsi="Bookman Old Style"/>
          <w:sz w:val="24"/>
          <w:szCs w:val="24"/>
          <w:lang w:val="sv-FI"/>
        </w:rPr>
        <w:t xml:space="preserve"> </w:t>
      </w:r>
      <w:r w:rsidR="005657EF" w:rsidRPr="00256727">
        <w:rPr>
          <w:rFonts w:ascii="Bookman Old Style" w:hAnsi="Bookman Old Style"/>
          <w:sz w:val="24"/>
          <w:szCs w:val="24"/>
          <w:lang w:val="sv-FI"/>
        </w:rPr>
        <w:t>dan</w:t>
      </w:r>
      <w:r w:rsidR="00A954D0" w:rsidRPr="00256727">
        <w:rPr>
          <w:rFonts w:ascii="Bookman Old Style" w:hAnsi="Bookman Old Style"/>
          <w:sz w:val="24"/>
          <w:szCs w:val="24"/>
          <w:lang w:val="sv-FI"/>
        </w:rPr>
        <w:t xml:space="preserve"> </w:t>
      </w:r>
      <w:r w:rsidR="005657EF" w:rsidRPr="00256727">
        <w:rPr>
          <w:rFonts w:ascii="Bookman Old Style" w:hAnsi="Bookman Old Style"/>
          <w:sz w:val="24"/>
          <w:szCs w:val="24"/>
          <w:lang w:val="sv-FI"/>
        </w:rPr>
        <w:t>Pelaksanaan</w:t>
      </w:r>
      <w:r w:rsidR="00A954D0" w:rsidRPr="00256727">
        <w:rPr>
          <w:rFonts w:ascii="Bookman Old Style" w:hAnsi="Bookman Old Style"/>
          <w:sz w:val="24"/>
          <w:szCs w:val="24"/>
          <w:lang w:val="sv-FI"/>
        </w:rPr>
        <w:t xml:space="preserve"> </w:t>
      </w:r>
      <w:r w:rsidR="005657EF" w:rsidRPr="00256727">
        <w:rPr>
          <w:rFonts w:ascii="Bookman Old Style" w:hAnsi="Bookman Old Style"/>
          <w:sz w:val="24"/>
          <w:szCs w:val="24"/>
          <w:lang w:val="sv-FI"/>
        </w:rPr>
        <w:t>Akuntansi</w:t>
      </w:r>
      <w:r w:rsidR="00A954D0" w:rsidRPr="00256727">
        <w:rPr>
          <w:rFonts w:ascii="Bookman Old Style" w:hAnsi="Bookman Old Style"/>
          <w:sz w:val="24"/>
          <w:szCs w:val="24"/>
          <w:lang w:val="sv-FI"/>
        </w:rPr>
        <w:t xml:space="preserve"> </w:t>
      </w:r>
      <w:r w:rsidR="005657EF" w:rsidRPr="00256727">
        <w:rPr>
          <w:rFonts w:ascii="Bookman Old Style" w:hAnsi="Bookman Old Style"/>
          <w:sz w:val="24"/>
          <w:szCs w:val="24"/>
          <w:lang w:val="sv-FI"/>
        </w:rPr>
        <w:t>SKPD</w:t>
      </w:r>
      <w:r w:rsidR="00A954D0" w:rsidRPr="00256727">
        <w:rPr>
          <w:rFonts w:ascii="Bookman Old Style" w:hAnsi="Bookman Old Style"/>
          <w:sz w:val="24"/>
          <w:szCs w:val="24"/>
          <w:lang w:val="sv-FI"/>
        </w:rPr>
        <w:t xml:space="preserve"> </w:t>
      </w:r>
      <w:r w:rsidR="005657EF" w:rsidRPr="00256727">
        <w:rPr>
          <w:rFonts w:ascii="Bookman Old Style" w:hAnsi="Bookman Old Style"/>
          <w:sz w:val="24"/>
          <w:szCs w:val="24"/>
          <w:lang w:val="sv-FI"/>
        </w:rPr>
        <w:t>Rp186</w:t>
      </w:r>
      <w:r w:rsidR="005657EF" w:rsidRPr="00562A14">
        <w:rPr>
          <w:rFonts w:ascii="Bookman Old Style" w:hAnsi="Bookman Old Style"/>
          <w:sz w:val="24"/>
          <w:szCs w:val="24"/>
          <w:lang w:val="id-ID"/>
        </w:rPr>
        <w:t>.300,00</w:t>
      </w:r>
      <w:r w:rsidR="00A954D0">
        <w:rPr>
          <w:rFonts w:ascii="Bookman Old Style" w:hAnsi="Bookman Old Style"/>
          <w:sz w:val="24"/>
          <w:szCs w:val="24"/>
          <w:lang w:val="id-ID"/>
        </w:rPr>
        <w:t xml:space="preserve"> </w:t>
      </w:r>
      <w:r w:rsidRPr="00562A14">
        <w:rPr>
          <w:rFonts w:ascii="Bookman Old Style" w:hAnsi="Bookman Old Style"/>
          <w:sz w:val="24"/>
          <w:szCs w:val="24"/>
          <w:lang w:val="id-ID"/>
        </w:rPr>
        <w:t>pada</w:t>
      </w:r>
      <w:r w:rsidR="00A954D0">
        <w:rPr>
          <w:rFonts w:ascii="Bookman Old Style" w:hAnsi="Bookman Old Style"/>
          <w:sz w:val="24"/>
          <w:szCs w:val="24"/>
          <w:lang w:val="id-ID"/>
        </w:rPr>
        <w:t xml:space="preserve"> </w:t>
      </w:r>
      <w:r w:rsidRPr="00562A14">
        <w:rPr>
          <w:rFonts w:ascii="Bookman Old Style" w:hAnsi="Bookman Old Style"/>
          <w:sz w:val="24"/>
          <w:szCs w:val="24"/>
          <w:lang w:val="id-ID"/>
        </w:rPr>
        <w:t>Dinas</w:t>
      </w:r>
      <w:r w:rsidR="00A954D0">
        <w:rPr>
          <w:rFonts w:ascii="Bookman Old Style" w:hAnsi="Bookman Old Style"/>
          <w:sz w:val="24"/>
          <w:szCs w:val="24"/>
          <w:lang w:val="id-ID"/>
        </w:rPr>
        <w:t xml:space="preserve"> </w:t>
      </w:r>
      <w:r w:rsidRPr="00562A14">
        <w:rPr>
          <w:rFonts w:ascii="Bookman Old Style" w:hAnsi="Bookman Old Style"/>
          <w:sz w:val="24"/>
          <w:szCs w:val="24"/>
          <w:lang w:val="id-ID"/>
        </w:rPr>
        <w:t>Kependudukan</w:t>
      </w:r>
      <w:r w:rsidR="00A954D0">
        <w:rPr>
          <w:rFonts w:ascii="Bookman Old Style" w:hAnsi="Bookman Old Style"/>
          <w:sz w:val="24"/>
          <w:szCs w:val="24"/>
          <w:lang w:val="id-ID"/>
        </w:rPr>
        <w:t xml:space="preserve"> </w:t>
      </w:r>
      <w:r w:rsidRPr="00562A14">
        <w:rPr>
          <w:rFonts w:ascii="Bookman Old Style" w:hAnsi="Bookman Old Style"/>
          <w:sz w:val="24"/>
          <w:szCs w:val="24"/>
          <w:lang w:val="id-ID"/>
        </w:rPr>
        <w:t>dan</w:t>
      </w:r>
      <w:r w:rsidR="00A954D0">
        <w:rPr>
          <w:rFonts w:ascii="Bookman Old Style" w:hAnsi="Bookman Old Style"/>
          <w:sz w:val="24"/>
          <w:szCs w:val="24"/>
          <w:lang w:val="id-ID"/>
        </w:rPr>
        <w:t xml:space="preserve"> </w:t>
      </w:r>
      <w:r w:rsidRPr="00562A14">
        <w:rPr>
          <w:rFonts w:ascii="Bookman Old Style" w:hAnsi="Bookman Old Style"/>
          <w:sz w:val="24"/>
          <w:szCs w:val="24"/>
          <w:lang w:val="id-ID"/>
        </w:rPr>
        <w:t>Pencatatan</w:t>
      </w:r>
      <w:r w:rsidR="00A954D0">
        <w:rPr>
          <w:rFonts w:ascii="Bookman Old Style" w:hAnsi="Bookman Old Style"/>
          <w:sz w:val="24"/>
          <w:szCs w:val="24"/>
          <w:lang w:val="id-ID"/>
        </w:rPr>
        <w:t xml:space="preserve"> </w:t>
      </w:r>
      <w:r w:rsidRPr="00562A14">
        <w:rPr>
          <w:rFonts w:ascii="Bookman Old Style" w:hAnsi="Bookman Old Style"/>
          <w:sz w:val="24"/>
          <w:szCs w:val="24"/>
          <w:lang w:val="id-ID"/>
        </w:rPr>
        <w:t>Sipil</w:t>
      </w:r>
      <w:r w:rsidR="00154790" w:rsidRPr="00154790">
        <w:rPr>
          <w:rFonts w:ascii="Bookman Old Style" w:hAnsi="Bookman Old Style"/>
          <w:sz w:val="24"/>
          <w:szCs w:val="24"/>
          <w:lang w:val="sv-FI"/>
        </w:rPr>
        <w:t>.</w:t>
      </w:r>
    </w:p>
    <w:p w14:paraId="520BF2C9" w14:textId="355E2ADC" w:rsidR="002C773D" w:rsidRPr="003255BC" w:rsidRDefault="00F34F2E" w:rsidP="00154790">
      <w:pPr>
        <w:pStyle w:val="ListParagraph"/>
        <w:snapToGrid w:val="0"/>
        <w:spacing w:before="60" w:after="0" w:line="276" w:lineRule="auto"/>
        <w:ind w:left="993"/>
        <w:contextualSpacing w:val="0"/>
        <w:jc w:val="both"/>
        <w:rPr>
          <w:rFonts w:ascii="Bookman Old Style" w:hAnsi="Bookman Old Style"/>
          <w:sz w:val="24"/>
          <w:szCs w:val="24"/>
          <w:lang w:val="sv-FI"/>
        </w:rPr>
      </w:pPr>
      <w:r w:rsidRPr="003255BC">
        <w:rPr>
          <w:rFonts w:ascii="Bookman Old Style" w:hAnsi="Bookman Old Style"/>
          <w:sz w:val="24"/>
          <w:szCs w:val="24"/>
          <w:lang w:val="sv-FI"/>
        </w:rPr>
        <w:t xml:space="preserve">Agar dianggarkan secara rasional dengan mempertimbangkan </w:t>
      </w:r>
      <w:r w:rsidR="00473F38" w:rsidRPr="003255BC">
        <w:rPr>
          <w:rFonts w:ascii="Bookman Old Style" w:hAnsi="Bookman Old Style"/>
          <w:sz w:val="24"/>
          <w:szCs w:val="24"/>
          <w:lang w:val="sv-FI"/>
        </w:rPr>
        <w:t>capaian indikator dan target kinerja.</w:t>
      </w:r>
    </w:p>
    <w:p w14:paraId="08560212" w14:textId="77777777" w:rsidR="00473F38" w:rsidRPr="00473F38" w:rsidRDefault="00473F38" w:rsidP="00847D5F">
      <w:pPr>
        <w:pStyle w:val="ListParagraph"/>
        <w:snapToGrid w:val="0"/>
        <w:spacing w:before="60" w:after="0" w:line="276" w:lineRule="auto"/>
        <w:ind w:left="927"/>
        <w:contextualSpacing w:val="0"/>
        <w:jc w:val="both"/>
        <w:rPr>
          <w:rFonts w:ascii="Bookman Old Style" w:hAnsi="Bookman Old Style" w:cs="Arial"/>
          <w:sz w:val="24"/>
          <w:szCs w:val="24"/>
          <w:lang w:val="id-ID"/>
        </w:rPr>
      </w:pPr>
    </w:p>
    <w:p w14:paraId="0BD85171" w14:textId="4B3F0249" w:rsidR="002F2009" w:rsidRPr="008D4051" w:rsidRDefault="007E4FE9" w:rsidP="00022375">
      <w:pPr>
        <w:numPr>
          <w:ilvl w:val="0"/>
          <w:numId w:val="1"/>
        </w:numPr>
        <w:spacing w:before="60" w:line="276" w:lineRule="auto"/>
        <w:ind w:left="567" w:hanging="567"/>
        <w:jc w:val="both"/>
        <w:rPr>
          <w:rFonts w:ascii="Bookman Old Style" w:hAnsi="Bookman Old Style"/>
          <w:color w:val="000000" w:themeColor="text1"/>
        </w:rPr>
      </w:pPr>
      <w:r w:rsidRPr="008D4051">
        <w:rPr>
          <w:rFonts w:ascii="Bookman Old Style" w:hAnsi="Bookman Old Style" w:cs="Arial"/>
          <w:color w:val="000000" w:themeColor="text1"/>
        </w:rPr>
        <w:t>KEBIJAKAN</w:t>
      </w:r>
      <w:r w:rsidR="00A954D0">
        <w:rPr>
          <w:rFonts w:ascii="Bookman Old Style" w:hAnsi="Bookman Old Style"/>
          <w:color w:val="000000" w:themeColor="text1"/>
        </w:rPr>
        <w:t xml:space="preserve"> </w:t>
      </w:r>
      <w:r w:rsidRPr="008D4051">
        <w:rPr>
          <w:rFonts w:ascii="Bookman Old Style" w:hAnsi="Bookman Old Style"/>
          <w:color w:val="000000" w:themeColor="text1"/>
        </w:rPr>
        <w:t>PEMBIAYAAN</w:t>
      </w:r>
      <w:r w:rsidR="00A954D0">
        <w:rPr>
          <w:rFonts w:ascii="Bookman Old Style" w:hAnsi="Bookman Old Style"/>
          <w:color w:val="000000" w:themeColor="text1"/>
        </w:rPr>
        <w:t xml:space="preserve"> </w:t>
      </w:r>
      <w:r w:rsidRPr="008D4051">
        <w:rPr>
          <w:rFonts w:ascii="Bookman Old Style" w:hAnsi="Bookman Old Style"/>
          <w:color w:val="000000" w:themeColor="text1"/>
        </w:rPr>
        <w:t>DAERAH</w:t>
      </w:r>
    </w:p>
    <w:p w14:paraId="23987CA4" w14:textId="7DC584D0" w:rsidR="007E4FE9" w:rsidRPr="008D4051" w:rsidRDefault="007E4FE9">
      <w:pPr>
        <w:pStyle w:val="ListParagraph"/>
        <w:numPr>
          <w:ilvl w:val="0"/>
          <w:numId w:val="151"/>
        </w:numPr>
        <w:spacing w:before="60" w:after="0" w:line="276" w:lineRule="auto"/>
        <w:ind w:left="993" w:hanging="426"/>
        <w:contextualSpacing w:val="0"/>
        <w:jc w:val="both"/>
        <w:rPr>
          <w:rFonts w:ascii="Bookman Old Style" w:hAnsi="Bookman Old Style"/>
          <w:sz w:val="24"/>
          <w:szCs w:val="24"/>
        </w:rPr>
      </w:pPr>
      <w:r w:rsidRPr="008D4051">
        <w:rPr>
          <w:rFonts w:ascii="Bookman Old Style" w:hAnsi="Bookman Old Style"/>
          <w:sz w:val="24"/>
          <w:szCs w:val="24"/>
        </w:rPr>
        <w:t>Kebijakan</w:t>
      </w:r>
      <w:r w:rsidR="00A954D0">
        <w:rPr>
          <w:rFonts w:ascii="Bookman Old Style" w:hAnsi="Bookman Old Style"/>
          <w:sz w:val="24"/>
          <w:szCs w:val="24"/>
        </w:rPr>
        <w:t xml:space="preserve"> </w:t>
      </w:r>
      <w:r w:rsidRPr="008D4051">
        <w:rPr>
          <w:rFonts w:ascii="Bookman Old Style" w:hAnsi="Bookman Old Style"/>
          <w:sz w:val="24"/>
          <w:szCs w:val="24"/>
        </w:rPr>
        <w:t>Umum</w:t>
      </w:r>
      <w:r w:rsidR="00A954D0">
        <w:rPr>
          <w:rFonts w:ascii="Bookman Old Style" w:hAnsi="Bookman Old Style"/>
          <w:sz w:val="24"/>
          <w:szCs w:val="24"/>
        </w:rPr>
        <w:t xml:space="preserve"> </w:t>
      </w:r>
      <w:r w:rsidRPr="008D4051">
        <w:rPr>
          <w:rFonts w:ascii="Bookman Old Style" w:hAnsi="Bookman Old Style"/>
          <w:sz w:val="24"/>
          <w:szCs w:val="24"/>
        </w:rPr>
        <w:t>Pembiayaan</w:t>
      </w:r>
      <w:r w:rsidR="00A954D0">
        <w:rPr>
          <w:rFonts w:ascii="Bookman Old Style" w:hAnsi="Bookman Old Style"/>
          <w:sz w:val="24"/>
          <w:szCs w:val="24"/>
        </w:rPr>
        <w:t xml:space="preserve"> </w:t>
      </w:r>
      <w:r w:rsidRPr="008D4051">
        <w:rPr>
          <w:rFonts w:ascii="Bookman Old Style" w:hAnsi="Bookman Old Style"/>
          <w:sz w:val="24"/>
          <w:szCs w:val="24"/>
        </w:rPr>
        <w:t>Daerah</w:t>
      </w:r>
    </w:p>
    <w:p w14:paraId="2BF273B9" w14:textId="1285522C" w:rsidR="007E4FE9" w:rsidRPr="008D4051" w:rsidRDefault="007E4FE9" w:rsidP="00154790">
      <w:pPr>
        <w:pStyle w:val="ListParagraph"/>
        <w:numPr>
          <w:ilvl w:val="0"/>
          <w:numId w:val="152"/>
        </w:numPr>
        <w:spacing w:before="60" w:after="0" w:line="276" w:lineRule="auto"/>
        <w:ind w:left="1276" w:hanging="283"/>
        <w:contextualSpacing w:val="0"/>
        <w:jc w:val="both"/>
        <w:rPr>
          <w:rFonts w:ascii="Bookman Old Style" w:hAnsi="Bookman Old Style" w:cs="Arial"/>
          <w:sz w:val="24"/>
          <w:szCs w:val="24"/>
        </w:rPr>
      </w:pPr>
      <w:r w:rsidRPr="008D4051">
        <w:rPr>
          <w:rFonts w:ascii="Bookman Old Style" w:hAnsi="Bookman Old Style" w:cs="Arial"/>
          <w:sz w:val="24"/>
          <w:szCs w:val="24"/>
        </w:rPr>
        <w:t>Pembiayaan</w:t>
      </w:r>
      <w:r w:rsidR="00A954D0">
        <w:rPr>
          <w:rFonts w:ascii="Bookman Old Style" w:hAnsi="Bookman Old Style" w:cs="Arial"/>
          <w:sz w:val="24"/>
          <w:szCs w:val="24"/>
        </w:rPr>
        <w:t xml:space="preserve"> </w:t>
      </w:r>
      <w:r w:rsidRPr="008D4051">
        <w:rPr>
          <w:rFonts w:ascii="Bookman Old Style" w:hAnsi="Bookman Old Style" w:cs="Arial"/>
          <w:sz w:val="24"/>
          <w:szCs w:val="24"/>
        </w:rPr>
        <w:t>Daerah</w:t>
      </w:r>
      <w:r w:rsidR="00A954D0">
        <w:rPr>
          <w:rFonts w:ascii="Bookman Old Style" w:hAnsi="Bookman Old Style" w:cs="Arial"/>
          <w:sz w:val="24"/>
          <w:szCs w:val="24"/>
        </w:rPr>
        <w:t xml:space="preserve"> </w:t>
      </w:r>
      <w:r w:rsidRPr="008D4051">
        <w:rPr>
          <w:rFonts w:ascii="Bookman Old Style" w:hAnsi="Bookman Old Style" w:cs="Arial"/>
          <w:sz w:val="24"/>
          <w:szCs w:val="24"/>
        </w:rPr>
        <w:t>merupakan</w:t>
      </w:r>
      <w:r w:rsidR="00A954D0">
        <w:rPr>
          <w:rFonts w:ascii="Bookman Old Style" w:hAnsi="Bookman Old Style" w:cs="Arial"/>
          <w:sz w:val="24"/>
          <w:szCs w:val="24"/>
        </w:rPr>
        <w:t xml:space="preserve"> </w:t>
      </w:r>
      <w:r w:rsidRPr="008D4051">
        <w:rPr>
          <w:rFonts w:ascii="Bookman Old Style" w:hAnsi="Bookman Old Style" w:cs="Arial"/>
          <w:sz w:val="24"/>
          <w:szCs w:val="24"/>
        </w:rPr>
        <w:t>setiap</w:t>
      </w:r>
      <w:r w:rsidR="00A954D0">
        <w:rPr>
          <w:rFonts w:ascii="Bookman Old Style" w:hAnsi="Bookman Old Style" w:cs="Arial"/>
          <w:sz w:val="24"/>
          <w:szCs w:val="24"/>
        </w:rPr>
        <w:t xml:space="preserve"> </w:t>
      </w:r>
      <w:r w:rsidRPr="008D4051">
        <w:rPr>
          <w:rFonts w:ascii="Bookman Old Style" w:hAnsi="Bookman Old Style" w:cs="Arial"/>
          <w:sz w:val="24"/>
          <w:szCs w:val="24"/>
        </w:rPr>
        <w:t>penerimaan</w:t>
      </w:r>
      <w:r w:rsidR="00A954D0">
        <w:rPr>
          <w:rFonts w:ascii="Bookman Old Style" w:hAnsi="Bookman Old Style" w:cs="Arial"/>
          <w:sz w:val="24"/>
          <w:szCs w:val="24"/>
        </w:rPr>
        <w:t xml:space="preserve"> </w:t>
      </w:r>
      <w:r w:rsidRPr="008D4051">
        <w:rPr>
          <w:rFonts w:ascii="Bookman Old Style" w:hAnsi="Bookman Old Style" w:cs="Arial"/>
          <w:sz w:val="24"/>
          <w:szCs w:val="24"/>
        </w:rPr>
        <w:t>yang</w:t>
      </w:r>
      <w:r w:rsidR="00A954D0">
        <w:rPr>
          <w:rFonts w:ascii="Bookman Old Style" w:hAnsi="Bookman Old Style" w:cs="Arial"/>
          <w:sz w:val="24"/>
          <w:szCs w:val="24"/>
        </w:rPr>
        <w:t xml:space="preserve"> </w:t>
      </w:r>
      <w:r w:rsidRPr="008D4051">
        <w:rPr>
          <w:rFonts w:ascii="Bookman Old Style" w:hAnsi="Bookman Old Style" w:cs="Arial"/>
          <w:sz w:val="24"/>
          <w:szCs w:val="24"/>
        </w:rPr>
        <w:t>perlu</w:t>
      </w:r>
      <w:r w:rsidR="00A954D0">
        <w:rPr>
          <w:rFonts w:ascii="Bookman Old Style" w:hAnsi="Bookman Old Style" w:cs="Arial"/>
          <w:sz w:val="24"/>
          <w:szCs w:val="24"/>
        </w:rPr>
        <w:t xml:space="preserve"> </w:t>
      </w:r>
      <w:r w:rsidRPr="008D4051">
        <w:rPr>
          <w:rFonts w:ascii="Bookman Old Style" w:hAnsi="Bookman Old Style" w:cs="Arial"/>
          <w:sz w:val="24"/>
          <w:szCs w:val="24"/>
        </w:rPr>
        <w:t>dibayar</w:t>
      </w:r>
      <w:r w:rsidR="00A954D0">
        <w:rPr>
          <w:rFonts w:ascii="Bookman Old Style" w:hAnsi="Bookman Old Style" w:cs="Arial"/>
          <w:sz w:val="24"/>
          <w:szCs w:val="24"/>
        </w:rPr>
        <w:t xml:space="preserve"> </w:t>
      </w:r>
      <w:r w:rsidRPr="008D4051">
        <w:rPr>
          <w:rFonts w:ascii="Bookman Old Style" w:hAnsi="Bookman Old Style" w:cs="Arial"/>
          <w:sz w:val="24"/>
          <w:szCs w:val="24"/>
        </w:rPr>
        <w:t>kembali</w:t>
      </w:r>
      <w:r w:rsidR="00A954D0">
        <w:rPr>
          <w:rFonts w:ascii="Bookman Old Style" w:hAnsi="Bookman Old Style" w:cs="Arial"/>
          <w:sz w:val="24"/>
          <w:szCs w:val="24"/>
        </w:rPr>
        <w:t xml:space="preserve"> </w:t>
      </w:r>
      <w:r w:rsidRPr="008D4051">
        <w:rPr>
          <w:rFonts w:ascii="Bookman Old Style" w:hAnsi="Bookman Old Style" w:cs="Arial"/>
          <w:sz w:val="24"/>
          <w:szCs w:val="24"/>
        </w:rPr>
        <w:t>dan/atau</w:t>
      </w:r>
      <w:r w:rsidR="00A954D0">
        <w:rPr>
          <w:rFonts w:ascii="Bookman Old Style" w:hAnsi="Bookman Old Style" w:cs="Arial"/>
          <w:sz w:val="24"/>
          <w:szCs w:val="24"/>
        </w:rPr>
        <w:t xml:space="preserve"> </w:t>
      </w:r>
      <w:r w:rsidRPr="008D4051">
        <w:rPr>
          <w:rFonts w:ascii="Bookman Old Style" w:hAnsi="Bookman Old Style" w:cs="Arial"/>
          <w:sz w:val="24"/>
          <w:szCs w:val="24"/>
        </w:rPr>
        <w:t>pengeluaran</w:t>
      </w:r>
      <w:r w:rsidR="00A954D0">
        <w:rPr>
          <w:rFonts w:ascii="Bookman Old Style" w:hAnsi="Bookman Old Style" w:cs="Arial"/>
          <w:sz w:val="24"/>
          <w:szCs w:val="24"/>
        </w:rPr>
        <w:t xml:space="preserve"> </w:t>
      </w:r>
      <w:r w:rsidRPr="008D4051">
        <w:rPr>
          <w:rFonts w:ascii="Bookman Old Style" w:hAnsi="Bookman Old Style" w:cs="Arial"/>
          <w:sz w:val="24"/>
          <w:szCs w:val="24"/>
        </w:rPr>
        <w:t>yang</w:t>
      </w:r>
      <w:r w:rsidR="00A954D0">
        <w:rPr>
          <w:rFonts w:ascii="Bookman Old Style" w:hAnsi="Bookman Old Style" w:cs="Arial"/>
          <w:sz w:val="24"/>
          <w:szCs w:val="24"/>
        </w:rPr>
        <w:t xml:space="preserve"> </w:t>
      </w:r>
      <w:r w:rsidRPr="008D4051">
        <w:rPr>
          <w:rFonts w:ascii="Bookman Old Style" w:hAnsi="Bookman Old Style" w:cs="Arial"/>
          <w:sz w:val="24"/>
          <w:szCs w:val="24"/>
        </w:rPr>
        <w:t>akan</w:t>
      </w:r>
      <w:r w:rsidR="00A954D0">
        <w:rPr>
          <w:rFonts w:ascii="Bookman Old Style" w:hAnsi="Bookman Old Style" w:cs="Arial"/>
          <w:sz w:val="24"/>
          <w:szCs w:val="24"/>
        </w:rPr>
        <w:t xml:space="preserve"> </w:t>
      </w:r>
      <w:r w:rsidRPr="008D4051">
        <w:rPr>
          <w:rFonts w:ascii="Bookman Old Style" w:hAnsi="Bookman Old Style" w:cs="Arial"/>
          <w:sz w:val="24"/>
          <w:szCs w:val="24"/>
        </w:rPr>
        <w:t>diterima</w:t>
      </w:r>
      <w:r w:rsidR="00A954D0">
        <w:rPr>
          <w:rFonts w:ascii="Bookman Old Style" w:hAnsi="Bookman Old Style" w:cs="Arial"/>
          <w:sz w:val="24"/>
          <w:szCs w:val="24"/>
        </w:rPr>
        <w:t xml:space="preserve"> </w:t>
      </w:r>
      <w:r w:rsidRPr="008D4051">
        <w:rPr>
          <w:rFonts w:ascii="Bookman Old Style" w:hAnsi="Bookman Old Style" w:cs="Arial"/>
          <w:sz w:val="24"/>
          <w:szCs w:val="24"/>
        </w:rPr>
        <w:t>kembali,</w:t>
      </w:r>
      <w:r w:rsidR="00A954D0">
        <w:rPr>
          <w:rFonts w:ascii="Bookman Old Style" w:hAnsi="Bookman Old Style" w:cs="Arial"/>
          <w:sz w:val="24"/>
          <w:szCs w:val="24"/>
        </w:rPr>
        <w:t xml:space="preserve"> </w:t>
      </w:r>
      <w:r w:rsidRPr="008D4051">
        <w:rPr>
          <w:rFonts w:ascii="Bookman Old Style" w:hAnsi="Bookman Old Style" w:cs="Arial"/>
          <w:sz w:val="24"/>
          <w:szCs w:val="24"/>
        </w:rPr>
        <w:t>baik</w:t>
      </w:r>
      <w:r w:rsidR="00A954D0">
        <w:rPr>
          <w:rFonts w:ascii="Bookman Old Style" w:hAnsi="Bookman Old Style" w:cs="Arial"/>
          <w:sz w:val="24"/>
          <w:szCs w:val="24"/>
        </w:rPr>
        <w:t xml:space="preserve"> </w:t>
      </w:r>
      <w:r w:rsidRPr="008D4051">
        <w:rPr>
          <w:rFonts w:ascii="Bookman Old Style" w:hAnsi="Bookman Old Style" w:cs="Arial"/>
          <w:sz w:val="24"/>
          <w:szCs w:val="24"/>
        </w:rPr>
        <w:t>pada</w:t>
      </w:r>
      <w:r w:rsidR="00A954D0">
        <w:rPr>
          <w:rFonts w:ascii="Bookman Old Style" w:hAnsi="Bookman Old Style" w:cs="Arial"/>
          <w:sz w:val="24"/>
          <w:szCs w:val="24"/>
        </w:rPr>
        <w:t xml:space="preserve"> </w:t>
      </w:r>
      <w:r w:rsidRPr="008D4051">
        <w:rPr>
          <w:rFonts w:ascii="Bookman Old Style" w:hAnsi="Bookman Old Style" w:cs="Arial"/>
          <w:sz w:val="24"/>
          <w:szCs w:val="24"/>
        </w:rPr>
        <w:t>tahun</w:t>
      </w:r>
      <w:r w:rsidR="00A954D0">
        <w:rPr>
          <w:rFonts w:ascii="Bookman Old Style" w:hAnsi="Bookman Old Style" w:cs="Arial"/>
          <w:sz w:val="24"/>
          <w:szCs w:val="24"/>
        </w:rPr>
        <w:t xml:space="preserve"> </w:t>
      </w:r>
      <w:r w:rsidRPr="008D4051">
        <w:rPr>
          <w:rFonts w:ascii="Bookman Old Style" w:hAnsi="Bookman Old Style" w:cs="Arial"/>
          <w:sz w:val="24"/>
          <w:szCs w:val="24"/>
        </w:rPr>
        <w:t>anggaran</w:t>
      </w:r>
      <w:r w:rsidR="00A954D0">
        <w:rPr>
          <w:rFonts w:ascii="Bookman Old Style" w:hAnsi="Bookman Old Style" w:cs="Arial"/>
          <w:sz w:val="24"/>
          <w:szCs w:val="24"/>
        </w:rPr>
        <w:t xml:space="preserve"> </w:t>
      </w:r>
      <w:r w:rsidRPr="008D4051">
        <w:rPr>
          <w:rFonts w:ascii="Bookman Old Style" w:hAnsi="Bookman Old Style" w:cs="Arial"/>
          <w:sz w:val="24"/>
          <w:szCs w:val="24"/>
          <w:lang w:val="id-ID"/>
        </w:rPr>
        <w:t>berkenaan</w:t>
      </w:r>
      <w:r w:rsidR="00A954D0">
        <w:rPr>
          <w:rFonts w:ascii="Bookman Old Style" w:hAnsi="Bookman Old Style" w:cs="Arial"/>
          <w:sz w:val="24"/>
          <w:szCs w:val="24"/>
        </w:rPr>
        <w:t xml:space="preserve"> </w:t>
      </w:r>
      <w:r w:rsidRPr="008D4051">
        <w:rPr>
          <w:rFonts w:ascii="Bookman Old Style" w:hAnsi="Bookman Old Style" w:cs="Arial"/>
          <w:sz w:val="24"/>
          <w:szCs w:val="24"/>
        </w:rPr>
        <w:t>maupun</w:t>
      </w:r>
      <w:r w:rsidR="00A954D0">
        <w:rPr>
          <w:rFonts w:ascii="Bookman Old Style" w:hAnsi="Bookman Old Style" w:cs="Arial"/>
          <w:sz w:val="24"/>
          <w:szCs w:val="24"/>
        </w:rPr>
        <w:t xml:space="preserve"> </w:t>
      </w:r>
      <w:r w:rsidRPr="008D4051">
        <w:rPr>
          <w:rFonts w:ascii="Bookman Old Style" w:hAnsi="Bookman Old Style" w:cs="Arial"/>
          <w:sz w:val="24"/>
          <w:szCs w:val="24"/>
        </w:rPr>
        <w:t>pada</w:t>
      </w:r>
      <w:r w:rsidR="00A954D0">
        <w:rPr>
          <w:rFonts w:ascii="Bookman Old Style" w:hAnsi="Bookman Old Style" w:cs="Arial"/>
          <w:sz w:val="24"/>
          <w:szCs w:val="24"/>
        </w:rPr>
        <w:t xml:space="preserve"> </w:t>
      </w:r>
      <w:r w:rsidRPr="008D4051">
        <w:rPr>
          <w:rFonts w:ascii="Bookman Old Style" w:hAnsi="Bookman Old Style" w:cs="Arial"/>
          <w:sz w:val="24"/>
          <w:szCs w:val="24"/>
        </w:rPr>
        <w:t>tahun-tahun</w:t>
      </w:r>
      <w:r w:rsidR="00A954D0">
        <w:rPr>
          <w:rFonts w:ascii="Bookman Old Style" w:hAnsi="Bookman Old Style" w:cs="Arial"/>
          <w:sz w:val="24"/>
          <w:szCs w:val="24"/>
        </w:rPr>
        <w:t xml:space="preserve"> </w:t>
      </w:r>
      <w:r w:rsidRPr="008D4051">
        <w:rPr>
          <w:rFonts w:ascii="Bookman Old Style" w:hAnsi="Bookman Old Style" w:cs="Arial"/>
          <w:sz w:val="24"/>
          <w:szCs w:val="24"/>
        </w:rPr>
        <w:t>anggaran</w:t>
      </w:r>
      <w:r w:rsidR="00A954D0">
        <w:rPr>
          <w:rFonts w:ascii="Bookman Old Style" w:hAnsi="Bookman Old Style" w:cs="Arial"/>
          <w:sz w:val="24"/>
          <w:szCs w:val="24"/>
        </w:rPr>
        <w:t xml:space="preserve"> </w:t>
      </w:r>
      <w:r w:rsidRPr="008D4051">
        <w:rPr>
          <w:rFonts w:ascii="Bookman Old Style" w:hAnsi="Bookman Old Style" w:cs="Arial"/>
          <w:sz w:val="24"/>
          <w:szCs w:val="24"/>
        </w:rPr>
        <w:t>berikutnya,</w:t>
      </w:r>
      <w:r w:rsidR="00A954D0">
        <w:rPr>
          <w:rFonts w:ascii="Bookman Old Style" w:hAnsi="Bookman Old Style" w:cs="Arial"/>
          <w:sz w:val="24"/>
          <w:szCs w:val="24"/>
        </w:rPr>
        <w:t xml:space="preserve"> </w:t>
      </w:r>
      <w:r w:rsidRPr="008D4051">
        <w:rPr>
          <w:rFonts w:ascii="Bookman Old Style" w:hAnsi="Bookman Old Style" w:cs="Arial"/>
          <w:sz w:val="24"/>
          <w:szCs w:val="24"/>
        </w:rPr>
        <w:t>sebagaimana</w:t>
      </w:r>
      <w:r w:rsidR="00A954D0">
        <w:rPr>
          <w:rFonts w:ascii="Bookman Old Style" w:hAnsi="Bookman Old Style" w:cs="Arial"/>
          <w:sz w:val="24"/>
          <w:szCs w:val="24"/>
          <w:lang w:val="id-ID"/>
        </w:rPr>
        <w:t xml:space="preserve"> </w:t>
      </w:r>
      <w:r w:rsidRPr="008D4051">
        <w:rPr>
          <w:rFonts w:ascii="Bookman Old Style" w:hAnsi="Bookman Old Style" w:cs="Arial"/>
          <w:sz w:val="24"/>
          <w:szCs w:val="24"/>
          <w:lang w:val="id-ID"/>
        </w:rPr>
        <w:t>maksud</w:t>
      </w:r>
      <w:r w:rsidR="00A954D0">
        <w:rPr>
          <w:rFonts w:ascii="Bookman Old Style" w:hAnsi="Bookman Old Style" w:cs="Arial"/>
          <w:sz w:val="24"/>
          <w:szCs w:val="24"/>
          <w:lang w:val="id-ID"/>
        </w:rPr>
        <w:t xml:space="preserve"> </w:t>
      </w:r>
      <w:r w:rsidRPr="008D4051">
        <w:rPr>
          <w:rFonts w:ascii="Bookman Old Style" w:hAnsi="Bookman Old Style" w:cs="Arial"/>
          <w:sz w:val="24"/>
          <w:szCs w:val="24"/>
        </w:rPr>
        <w:t>Pasal</w:t>
      </w:r>
      <w:r w:rsidR="00A954D0">
        <w:rPr>
          <w:rFonts w:ascii="Bookman Old Style" w:hAnsi="Bookman Old Style" w:cs="Arial"/>
          <w:sz w:val="24"/>
          <w:szCs w:val="24"/>
        </w:rPr>
        <w:t xml:space="preserve"> </w:t>
      </w:r>
      <w:r w:rsidRPr="008D4051">
        <w:rPr>
          <w:rFonts w:ascii="Bookman Old Style" w:hAnsi="Bookman Old Style" w:cs="Arial"/>
          <w:sz w:val="24"/>
          <w:szCs w:val="24"/>
        </w:rPr>
        <w:t>28</w:t>
      </w:r>
      <w:r w:rsidR="00A954D0">
        <w:rPr>
          <w:rFonts w:ascii="Bookman Old Style" w:hAnsi="Bookman Old Style" w:cs="Arial"/>
          <w:sz w:val="24"/>
          <w:szCs w:val="24"/>
        </w:rPr>
        <w:t xml:space="preserve"> </w:t>
      </w:r>
      <w:r w:rsidRPr="008D4051">
        <w:rPr>
          <w:rFonts w:ascii="Bookman Old Style" w:hAnsi="Bookman Old Style" w:cs="Arial"/>
          <w:sz w:val="24"/>
          <w:szCs w:val="24"/>
        </w:rPr>
        <w:t>ayat</w:t>
      </w:r>
      <w:r w:rsidR="00A954D0">
        <w:rPr>
          <w:rFonts w:ascii="Bookman Old Style" w:hAnsi="Bookman Old Style" w:cs="Arial"/>
          <w:sz w:val="24"/>
          <w:szCs w:val="24"/>
        </w:rPr>
        <w:t xml:space="preserve"> </w:t>
      </w:r>
      <w:r w:rsidRPr="008D4051">
        <w:rPr>
          <w:rFonts w:ascii="Bookman Old Style" w:hAnsi="Bookman Old Style" w:cs="Arial"/>
          <w:sz w:val="24"/>
          <w:szCs w:val="24"/>
        </w:rPr>
        <w:t>(3)</w:t>
      </w:r>
      <w:r w:rsidR="00A954D0">
        <w:rPr>
          <w:rFonts w:ascii="Bookman Old Style" w:hAnsi="Bookman Old Style" w:cs="Arial"/>
          <w:sz w:val="24"/>
          <w:szCs w:val="24"/>
        </w:rPr>
        <w:t xml:space="preserve"> </w:t>
      </w:r>
      <w:r w:rsidRPr="008D4051">
        <w:rPr>
          <w:rFonts w:ascii="Bookman Old Style" w:hAnsi="Bookman Old Style" w:cs="Arial"/>
          <w:sz w:val="24"/>
          <w:szCs w:val="24"/>
        </w:rPr>
        <w:t>Peraturan</w:t>
      </w:r>
      <w:r w:rsidR="00A954D0">
        <w:rPr>
          <w:rFonts w:ascii="Bookman Old Style" w:hAnsi="Bookman Old Style" w:cs="Arial"/>
          <w:sz w:val="24"/>
          <w:szCs w:val="24"/>
        </w:rPr>
        <w:t xml:space="preserve"> </w:t>
      </w:r>
      <w:r w:rsidRPr="008D4051">
        <w:rPr>
          <w:rFonts w:ascii="Bookman Old Style" w:hAnsi="Bookman Old Style" w:cs="Arial"/>
          <w:sz w:val="24"/>
          <w:szCs w:val="24"/>
        </w:rPr>
        <w:t>Pemerintah</w:t>
      </w:r>
      <w:r w:rsidR="00A954D0">
        <w:rPr>
          <w:rFonts w:ascii="Bookman Old Style" w:hAnsi="Bookman Old Style" w:cs="Arial"/>
          <w:sz w:val="24"/>
          <w:szCs w:val="24"/>
        </w:rPr>
        <w:t xml:space="preserve"> </w:t>
      </w:r>
      <w:r w:rsidRPr="008D4051">
        <w:rPr>
          <w:rFonts w:ascii="Bookman Old Style" w:hAnsi="Bookman Old Style" w:cs="Arial"/>
          <w:sz w:val="24"/>
          <w:szCs w:val="24"/>
        </w:rPr>
        <w:t>Nomor</w:t>
      </w:r>
      <w:r w:rsidR="00A954D0">
        <w:rPr>
          <w:rFonts w:ascii="Bookman Old Style" w:hAnsi="Bookman Old Style" w:cs="Arial"/>
          <w:sz w:val="24"/>
          <w:szCs w:val="24"/>
        </w:rPr>
        <w:t xml:space="preserve"> </w:t>
      </w:r>
      <w:r w:rsidRPr="008D4051">
        <w:rPr>
          <w:rFonts w:ascii="Bookman Old Style" w:hAnsi="Bookman Old Style" w:cs="Arial"/>
          <w:sz w:val="24"/>
          <w:szCs w:val="24"/>
        </w:rPr>
        <w:t>12</w:t>
      </w:r>
      <w:r w:rsidR="00A954D0">
        <w:rPr>
          <w:rFonts w:ascii="Bookman Old Style" w:hAnsi="Bookman Old Style" w:cs="Arial"/>
          <w:sz w:val="24"/>
          <w:szCs w:val="24"/>
        </w:rPr>
        <w:t xml:space="preserve"> </w:t>
      </w:r>
      <w:r w:rsidRPr="008D4051">
        <w:rPr>
          <w:rFonts w:ascii="Bookman Old Style" w:hAnsi="Bookman Old Style" w:cs="Arial"/>
          <w:sz w:val="24"/>
          <w:szCs w:val="24"/>
        </w:rPr>
        <w:t>Tahun</w:t>
      </w:r>
      <w:r w:rsidR="00A954D0">
        <w:rPr>
          <w:rFonts w:ascii="Bookman Old Style" w:hAnsi="Bookman Old Style" w:cs="Arial"/>
          <w:sz w:val="24"/>
          <w:szCs w:val="24"/>
        </w:rPr>
        <w:t xml:space="preserve"> </w:t>
      </w:r>
      <w:r w:rsidRPr="008D4051">
        <w:rPr>
          <w:rFonts w:ascii="Bookman Old Style" w:hAnsi="Bookman Old Style" w:cs="Arial"/>
          <w:sz w:val="24"/>
          <w:szCs w:val="24"/>
        </w:rPr>
        <w:t>2019</w:t>
      </w:r>
      <w:r w:rsidR="00A954D0">
        <w:rPr>
          <w:rFonts w:ascii="Bookman Old Style" w:hAnsi="Bookman Old Style" w:cs="Arial"/>
          <w:sz w:val="24"/>
          <w:szCs w:val="24"/>
        </w:rPr>
        <w:t xml:space="preserve"> </w:t>
      </w:r>
      <w:r w:rsidRPr="008D4051">
        <w:rPr>
          <w:rFonts w:ascii="Bookman Old Style" w:hAnsi="Bookman Old Style" w:cs="Arial"/>
          <w:sz w:val="24"/>
          <w:szCs w:val="24"/>
        </w:rPr>
        <w:t>dan</w:t>
      </w:r>
      <w:r w:rsidR="00A954D0">
        <w:rPr>
          <w:rFonts w:ascii="Bookman Old Style" w:hAnsi="Bookman Old Style" w:cs="Arial"/>
          <w:sz w:val="24"/>
          <w:szCs w:val="24"/>
        </w:rPr>
        <w:t xml:space="preserve"> </w:t>
      </w:r>
      <w:r w:rsidRPr="008D4051">
        <w:rPr>
          <w:rFonts w:ascii="Bookman Old Style" w:hAnsi="Bookman Old Style" w:cs="Arial"/>
          <w:sz w:val="24"/>
          <w:szCs w:val="24"/>
        </w:rPr>
        <w:t>butir</w:t>
      </w:r>
      <w:r w:rsidR="00A954D0">
        <w:rPr>
          <w:rFonts w:ascii="Bookman Old Style" w:hAnsi="Bookman Old Style" w:cs="Arial"/>
          <w:sz w:val="24"/>
          <w:szCs w:val="24"/>
        </w:rPr>
        <w:t xml:space="preserve"> </w:t>
      </w:r>
      <w:r w:rsidRPr="008D4051">
        <w:rPr>
          <w:rFonts w:ascii="Bookman Old Style" w:hAnsi="Bookman Old Style" w:cs="Arial"/>
          <w:sz w:val="24"/>
          <w:szCs w:val="24"/>
        </w:rPr>
        <w:t>3.5</w:t>
      </w:r>
      <w:r w:rsidR="00A954D0">
        <w:rPr>
          <w:rFonts w:ascii="Bookman Old Style" w:hAnsi="Bookman Old Style" w:cs="Arial"/>
          <w:sz w:val="24"/>
          <w:szCs w:val="24"/>
        </w:rPr>
        <w:t xml:space="preserve"> </w:t>
      </w:r>
      <w:r w:rsidRPr="008D4051">
        <w:rPr>
          <w:rFonts w:ascii="Bookman Old Style" w:hAnsi="Bookman Old Style" w:cs="Arial"/>
          <w:sz w:val="24"/>
          <w:szCs w:val="24"/>
        </w:rPr>
        <w:t>a</w:t>
      </w:r>
      <w:r w:rsidR="00A954D0">
        <w:rPr>
          <w:rFonts w:ascii="Bookman Old Style" w:hAnsi="Bookman Old Style" w:cs="Arial"/>
          <w:sz w:val="24"/>
          <w:szCs w:val="24"/>
          <w:lang w:val="id-ID"/>
        </w:rPr>
        <w:t xml:space="preserve"> </w:t>
      </w:r>
      <w:r w:rsidRPr="008D4051">
        <w:rPr>
          <w:rFonts w:ascii="Bookman Old Style" w:hAnsi="Bookman Old Style" w:cs="Arial"/>
          <w:sz w:val="24"/>
          <w:szCs w:val="24"/>
          <w:lang w:val="id-ID"/>
        </w:rPr>
        <w:t>Lampiran</w:t>
      </w:r>
      <w:r w:rsidR="00A954D0">
        <w:rPr>
          <w:rFonts w:ascii="Bookman Old Style" w:hAnsi="Bookman Old Style" w:cs="Arial"/>
          <w:sz w:val="24"/>
          <w:szCs w:val="24"/>
          <w:lang w:val="id-ID"/>
        </w:rPr>
        <w:t xml:space="preserve"> </w:t>
      </w:r>
      <w:r w:rsidRPr="008D4051">
        <w:rPr>
          <w:rFonts w:ascii="Bookman Old Style" w:hAnsi="Bookman Old Style" w:cs="Arial"/>
          <w:sz w:val="24"/>
          <w:szCs w:val="24"/>
          <w:lang w:val="id-ID"/>
        </w:rPr>
        <w:t>Peraturan</w:t>
      </w:r>
      <w:r w:rsidR="00A954D0">
        <w:rPr>
          <w:rFonts w:ascii="Bookman Old Style" w:hAnsi="Bookman Old Style" w:cs="Arial"/>
          <w:sz w:val="24"/>
          <w:szCs w:val="24"/>
          <w:lang w:val="id-ID"/>
        </w:rPr>
        <w:t xml:space="preserve"> </w:t>
      </w:r>
      <w:r w:rsidRPr="008D4051">
        <w:rPr>
          <w:rFonts w:ascii="Bookman Old Style" w:hAnsi="Bookman Old Style" w:cs="Arial"/>
          <w:sz w:val="24"/>
          <w:szCs w:val="24"/>
          <w:lang w:val="id-ID"/>
        </w:rPr>
        <w:t>Menteri</w:t>
      </w:r>
      <w:r w:rsidR="00A954D0">
        <w:rPr>
          <w:rFonts w:ascii="Bookman Old Style" w:hAnsi="Bookman Old Style" w:cs="Arial"/>
          <w:sz w:val="24"/>
          <w:szCs w:val="24"/>
          <w:lang w:val="id-ID"/>
        </w:rPr>
        <w:t xml:space="preserve"> </w:t>
      </w:r>
      <w:r w:rsidRPr="008D4051">
        <w:rPr>
          <w:rFonts w:ascii="Bookman Old Style" w:hAnsi="Bookman Old Style" w:cs="Arial"/>
          <w:sz w:val="24"/>
          <w:szCs w:val="24"/>
          <w:lang w:val="id-ID"/>
        </w:rPr>
        <w:t>Dalam</w:t>
      </w:r>
      <w:r w:rsidR="00A954D0">
        <w:rPr>
          <w:rFonts w:ascii="Bookman Old Style" w:hAnsi="Bookman Old Style" w:cs="Arial"/>
          <w:sz w:val="24"/>
          <w:szCs w:val="24"/>
          <w:lang w:val="id-ID"/>
        </w:rPr>
        <w:t xml:space="preserve"> </w:t>
      </w:r>
      <w:r w:rsidRPr="008D4051">
        <w:rPr>
          <w:rFonts w:ascii="Bookman Old Style" w:hAnsi="Bookman Old Style" w:cs="Arial"/>
          <w:sz w:val="24"/>
          <w:szCs w:val="24"/>
          <w:lang w:val="id-ID"/>
        </w:rPr>
        <w:t>Negeri</w:t>
      </w:r>
      <w:r w:rsidR="00A954D0">
        <w:rPr>
          <w:rFonts w:ascii="Bookman Old Style" w:hAnsi="Bookman Old Style" w:cs="Arial"/>
          <w:sz w:val="24"/>
          <w:szCs w:val="24"/>
          <w:lang w:val="id-ID"/>
        </w:rPr>
        <w:t xml:space="preserve"> </w:t>
      </w:r>
      <w:r w:rsidRPr="008D4051">
        <w:rPr>
          <w:rFonts w:ascii="Bookman Old Style" w:hAnsi="Bookman Old Style" w:cs="Arial"/>
          <w:sz w:val="24"/>
          <w:szCs w:val="24"/>
          <w:lang w:val="id-ID"/>
        </w:rPr>
        <w:t>Nomor</w:t>
      </w:r>
      <w:r w:rsidR="00A954D0">
        <w:rPr>
          <w:rFonts w:ascii="Bookman Old Style" w:hAnsi="Bookman Old Style" w:cs="Arial"/>
          <w:sz w:val="24"/>
          <w:szCs w:val="24"/>
          <w:lang w:val="id-ID"/>
        </w:rPr>
        <w:t xml:space="preserve"> </w:t>
      </w:r>
      <w:r w:rsidRPr="008D4051">
        <w:rPr>
          <w:rFonts w:ascii="Bookman Old Style" w:hAnsi="Bookman Old Style" w:cs="Arial"/>
          <w:sz w:val="24"/>
          <w:szCs w:val="24"/>
          <w:lang w:val="id-ID"/>
        </w:rPr>
        <w:t>15</w:t>
      </w:r>
      <w:r w:rsidR="00A954D0">
        <w:rPr>
          <w:rFonts w:ascii="Bookman Old Style" w:hAnsi="Bookman Old Style" w:cs="Arial"/>
          <w:sz w:val="24"/>
          <w:szCs w:val="24"/>
          <w:lang w:val="id-ID"/>
        </w:rPr>
        <w:t xml:space="preserve"> </w:t>
      </w:r>
      <w:r w:rsidRPr="008D4051">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Pr="008D4051">
        <w:rPr>
          <w:rFonts w:ascii="Bookman Old Style" w:hAnsi="Bookman Old Style" w:cs="Arial"/>
          <w:sz w:val="24"/>
          <w:szCs w:val="24"/>
          <w:lang w:val="id-ID"/>
        </w:rPr>
        <w:t>2024</w:t>
      </w:r>
      <w:r w:rsidR="00154790">
        <w:rPr>
          <w:rFonts w:ascii="Bookman Old Style" w:hAnsi="Bookman Old Style" w:cs="Arial"/>
          <w:sz w:val="24"/>
          <w:szCs w:val="24"/>
          <w:lang w:val="en-US"/>
        </w:rPr>
        <w:t>;</w:t>
      </w:r>
    </w:p>
    <w:p w14:paraId="0F4E5960" w14:textId="740CE673" w:rsidR="007E4FE9" w:rsidRPr="008D4051" w:rsidRDefault="007E4FE9" w:rsidP="00154790">
      <w:pPr>
        <w:pStyle w:val="ListParagraph"/>
        <w:numPr>
          <w:ilvl w:val="0"/>
          <w:numId w:val="152"/>
        </w:numPr>
        <w:spacing w:before="60" w:after="0" w:line="276" w:lineRule="auto"/>
        <w:ind w:left="1276" w:hanging="283"/>
        <w:contextualSpacing w:val="0"/>
        <w:jc w:val="both"/>
        <w:rPr>
          <w:rFonts w:ascii="Bookman Old Style" w:hAnsi="Bookman Old Style" w:cs="Arial"/>
          <w:sz w:val="24"/>
          <w:szCs w:val="24"/>
        </w:rPr>
      </w:pPr>
      <w:r w:rsidRPr="008D4051">
        <w:rPr>
          <w:rFonts w:ascii="Bookman Old Style" w:hAnsi="Bookman Old Style" w:cs="Arial"/>
          <w:sz w:val="24"/>
          <w:szCs w:val="24"/>
        </w:rPr>
        <w:t>Klasifikasi</w:t>
      </w:r>
      <w:r w:rsidR="00A954D0">
        <w:rPr>
          <w:rFonts w:ascii="Bookman Old Style" w:hAnsi="Bookman Old Style" w:cs="Arial"/>
          <w:sz w:val="24"/>
          <w:szCs w:val="24"/>
        </w:rPr>
        <w:t xml:space="preserve"> </w:t>
      </w:r>
      <w:r w:rsidRPr="008D4051">
        <w:rPr>
          <w:rFonts w:ascii="Bookman Old Style" w:hAnsi="Bookman Old Style" w:cs="Arial"/>
          <w:sz w:val="24"/>
          <w:szCs w:val="24"/>
        </w:rPr>
        <w:t>akun</w:t>
      </w:r>
      <w:r w:rsidR="00A954D0">
        <w:rPr>
          <w:rFonts w:ascii="Bookman Old Style" w:hAnsi="Bookman Old Style" w:cs="Arial"/>
          <w:sz w:val="24"/>
          <w:szCs w:val="24"/>
        </w:rPr>
        <w:t xml:space="preserve"> </w:t>
      </w:r>
      <w:r w:rsidRPr="008D4051">
        <w:rPr>
          <w:rFonts w:ascii="Bookman Old Style" w:hAnsi="Bookman Old Style" w:cs="Arial"/>
          <w:sz w:val="24"/>
          <w:szCs w:val="24"/>
        </w:rPr>
        <w:t>Pembiayaan</w:t>
      </w:r>
      <w:r w:rsidR="00A954D0">
        <w:rPr>
          <w:rFonts w:ascii="Bookman Old Style" w:hAnsi="Bookman Old Style" w:cs="Arial"/>
          <w:sz w:val="24"/>
          <w:szCs w:val="24"/>
        </w:rPr>
        <w:t xml:space="preserve"> </w:t>
      </w:r>
      <w:r w:rsidRPr="008D4051">
        <w:rPr>
          <w:rFonts w:ascii="Bookman Old Style" w:hAnsi="Bookman Old Style" w:cs="Arial"/>
          <w:sz w:val="24"/>
          <w:szCs w:val="24"/>
        </w:rPr>
        <w:t>Daerah</w:t>
      </w:r>
      <w:r w:rsidR="00A954D0">
        <w:rPr>
          <w:rFonts w:ascii="Bookman Old Style" w:hAnsi="Bookman Old Style" w:cs="Arial"/>
          <w:sz w:val="24"/>
          <w:szCs w:val="24"/>
        </w:rPr>
        <w:t xml:space="preserve"> </w:t>
      </w:r>
      <w:r w:rsidRPr="008D4051">
        <w:rPr>
          <w:rFonts w:ascii="Bookman Old Style" w:hAnsi="Bookman Old Style" w:cs="Arial"/>
          <w:sz w:val="24"/>
          <w:szCs w:val="24"/>
        </w:rPr>
        <w:t>yang</w:t>
      </w:r>
      <w:r w:rsidR="00A954D0">
        <w:rPr>
          <w:rFonts w:ascii="Bookman Old Style" w:hAnsi="Bookman Old Style" w:cs="Arial"/>
          <w:sz w:val="24"/>
          <w:szCs w:val="24"/>
        </w:rPr>
        <w:t xml:space="preserve"> </w:t>
      </w:r>
      <w:r w:rsidRPr="008D4051">
        <w:rPr>
          <w:rFonts w:ascii="Bookman Old Style" w:hAnsi="Bookman Old Style" w:cs="Arial"/>
          <w:sz w:val="24"/>
          <w:szCs w:val="24"/>
        </w:rPr>
        <w:t>diuraikan</w:t>
      </w:r>
      <w:r w:rsidR="00A954D0">
        <w:rPr>
          <w:rFonts w:ascii="Bookman Old Style" w:hAnsi="Bookman Old Style" w:cs="Arial"/>
          <w:sz w:val="24"/>
          <w:szCs w:val="24"/>
        </w:rPr>
        <w:t xml:space="preserve"> </w:t>
      </w:r>
      <w:r w:rsidRPr="008D4051">
        <w:rPr>
          <w:rFonts w:ascii="Bookman Old Style" w:hAnsi="Bookman Old Style" w:cs="Arial"/>
          <w:sz w:val="24"/>
          <w:szCs w:val="24"/>
        </w:rPr>
        <w:t>menurut</w:t>
      </w:r>
      <w:r w:rsidR="00A954D0">
        <w:rPr>
          <w:rFonts w:ascii="Bookman Old Style" w:hAnsi="Bookman Old Style" w:cs="Arial"/>
          <w:sz w:val="24"/>
          <w:szCs w:val="24"/>
        </w:rPr>
        <w:t xml:space="preserve"> </w:t>
      </w:r>
      <w:r w:rsidRPr="008D4051">
        <w:rPr>
          <w:rFonts w:ascii="Bookman Old Style" w:hAnsi="Bookman Old Style" w:cs="Arial"/>
          <w:sz w:val="24"/>
          <w:szCs w:val="24"/>
        </w:rPr>
        <w:t>kelompok,</w:t>
      </w:r>
      <w:r w:rsidR="00A954D0">
        <w:rPr>
          <w:rFonts w:ascii="Bookman Old Style" w:hAnsi="Bookman Old Style" w:cs="Arial"/>
          <w:sz w:val="24"/>
          <w:szCs w:val="24"/>
        </w:rPr>
        <w:t xml:space="preserve"> </w:t>
      </w:r>
      <w:r w:rsidRPr="008D4051">
        <w:rPr>
          <w:rFonts w:ascii="Bookman Old Style" w:hAnsi="Bookman Old Style" w:cs="Arial"/>
          <w:sz w:val="24"/>
          <w:szCs w:val="24"/>
        </w:rPr>
        <w:t>jenis,</w:t>
      </w:r>
      <w:r w:rsidR="00A954D0">
        <w:rPr>
          <w:rFonts w:ascii="Bookman Old Style" w:hAnsi="Bookman Old Style" w:cs="Arial"/>
          <w:sz w:val="24"/>
          <w:szCs w:val="24"/>
        </w:rPr>
        <w:t xml:space="preserve"> </w:t>
      </w:r>
      <w:r w:rsidRPr="008D4051">
        <w:rPr>
          <w:rFonts w:ascii="Bookman Old Style" w:hAnsi="Bookman Old Style" w:cs="Arial"/>
          <w:sz w:val="24"/>
          <w:szCs w:val="24"/>
        </w:rPr>
        <w:t>objek,</w:t>
      </w:r>
      <w:r w:rsidR="00A954D0">
        <w:rPr>
          <w:rFonts w:ascii="Bookman Old Style" w:hAnsi="Bookman Old Style" w:cs="Arial"/>
          <w:sz w:val="24"/>
          <w:szCs w:val="24"/>
        </w:rPr>
        <w:t xml:space="preserve"> </w:t>
      </w:r>
      <w:r w:rsidRPr="008D4051">
        <w:rPr>
          <w:rFonts w:ascii="Bookman Old Style" w:hAnsi="Bookman Old Style" w:cs="Arial"/>
          <w:sz w:val="24"/>
          <w:szCs w:val="24"/>
        </w:rPr>
        <w:t>rincian</w:t>
      </w:r>
      <w:r w:rsidR="00A954D0">
        <w:rPr>
          <w:rFonts w:ascii="Bookman Old Style" w:hAnsi="Bookman Old Style" w:cs="Arial"/>
          <w:sz w:val="24"/>
          <w:szCs w:val="24"/>
        </w:rPr>
        <w:t xml:space="preserve"> </w:t>
      </w:r>
      <w:r w:rsidRPr="008D4051">
        <w:rPr>
          <w:rFonts w:ascii="Bookman Old Style" w:hAnsi="Bookman Old Style" w:cs="Arial"/>
          <w:sz w:val="24"/>
          <w:szCs w:val="24"/>
        </w:rPr>
        <w:t>objek,</w:t>
      </w:r>
      <w:r w:rsidR="00A954D0">
        <w:rPr>
          <w:rFonts w:ascii="Bookman Old Style" w:hAnsi="Bookman Old Style" w:cs="Arial"/>
          <w:sz w:val="24"/>
          <w:szCs w:val="24"/>
        </w:rPr>
        <w:t xml:space="preserve"> </w:t>
      </w:r>
      <w:r w:rsidRPr="008D4051">
        <w:rPr>
          <w:rFonts w:ascii="Bookman Old Style" w:hAnsi="Bookman Old Style" w:cs="Arial"/>
          <w:sz w:val="24"/>
          <w:szCs w:val="24"/>
        </w:rPr>
        <w:t>sub</w:t>
      </w:r>
      <w:r w:rsidR="00A954D0">
        <w:rPr>
          <w:rFonts w:ascii="Bookman Old Style" w:hAnsi="Bookman Old Style" w:cs="Arial"/>
          <w:sz w:val="24"/>
          <w:szCs w:val="24"/>
        </w:rPr>
        <w:t xml:space="preserve"> </w:t>
      </w:r>
      <w:r w:rsidRPr="008D4051">
        <w:rPr>
          <w:rFonts w:ascii="Bookman Old Style" w:hAnsi="Bookman Old Style" w:cs="Arial"/>
          <w:sz w:val="24"/>
          <w:szCs w:val="24"/>
        </w:rPr>
        <w:t>rincian</w:t>
      </w:r>
      <w:r w:rsidR="00A954D0">
        <w:rPr>
          <w:rFonts w:ascii="Bookman Old Style" w:hAnsi="Bookman Old Style" w:cs="Arial"/>
          <w:sz w:val="24"/>
          <w:szCs w:val="24"/>
        </w:rPr>
        <w:t xml:space="preserve"> </w:t>
      </w:r>
      <w:r w:rsidRPr="008D4051">
        <w:rPr>
          <w:rFonts w:ascii="Bookman Old Style" w:hAnsi="Bookman Old Style" w:cs="Arial"/>
          <w:sz w:val="24"/>
          <w:szCs w:val="24"/>
        </w:rPr>
        <w:t>objek</w:t>
      </w:r>
      <w:r w:rsidR="00A954D0">
        <w:rPr>
          <w:rFonts w:ascii="Bookman Old Style" w:hAnsi="Bookman Old Style" w:cs="Arial"/>
          <w:sz w:val="24"/>
          <w:szCs w:val="24"/>
        </w:rPr>
        <w:t xml:space="preserve"> </w:t>
      </w:r>
      <w:r w:rsidRPr="008D4051">
        <w:rPr>
          <w:rFonts w:ascii="Bookman Old Style" w:hAnsi="Bookman Old Style" w:cs="Arial"/>
          <w:sz w:val="24"/>
          <w:szCs w:val="24"/>
        </w:rPr>
        <w:t>dikelola</w:t>
      </w:r>
      <w:r w:rsidR="00A954D0">
        <w:rPr>
          <w:rFonts w:ascii="Bookman Old Style" w:hAnsi="Bookman Old Style" w:cs="Arial"/>
          <w:sz w:val="24"/>
          <w:szCs w:val="24"/>
        </w:rPr>
        <w:t xml:space="preserve"> </w:t>
      </w:r>
      <w:r w:rsidRPr="008D4051">
        <w:rPr>
          <w:rFonts w:ascii="Bookman Old Style" w:hAnsi="Bookman Old Style" w:cs="Arial"/>
          <w:sz w:val="24"/>
          <w:szCs w:val="24"/>
        </w:rPr>
        <w:t>berdasarkan</w:t>
      </w:r>
      <w:r w:rsidR="00A954D0">
        <w:rPr>
          <w:rFonts w:ascii="Bookman Old Style" w:hAnsi="Bookman Old Style" w:cs="Arial"/>
          <w:sz w:val="24"/>
          <w:szCs w:val="24"/>
        </w:rPr>
        <w:t xml:space="preserve"> </w:t>
      </w:r>
      <w:r w:rsidRPr="008D4051">
        <w:rPr>
          <w:rFonts w:ascii="Bookman Old Style" w:hAnsi="Bookman Old Style" w:cs="Arial"/>
          <w:sz w:val="24"/>
          <w:szCs w:val="24"/>
        </w:rPr>
        <w:t>kewenangan</w:t>
      </w:r>
      <w:r w:rsidR="00A954D0">
        <w:rPr>
          <w:rFonts w:ascii="Bookman Old Style" w:hAnsi="Bookman Old Style" w:cs="Arial"/>
          <w:sz w:val="24"/>
          <w:szCs w:val="24"/>
        </w:rPr>
        <w:t xml:space="preserve"> </w:t>
      </w:r>
      <w:r w:rsidRPr="008D4051">
        <w:rPr>
          <w:rFonts w:ascii="Bookman Old Style" w:hAnsi="Bookman Old Style" w:cs="Arial"/>
          <w:sz w:val="24"/>
          <w:szCs w:val="24"/>
        </w:rPr>
        <w:t>pengelolaan</w:t>
      </w:r>
      <w:r w:rsidR="00A954D0">
        <w:rPr>
          <w:rFonts w:ascii="Bookman Old Style" w:hAnsi="Bookman Old Style" w:cs="Arial"/>
          <w:sz w:val="24"/>
          <w:szCs w:val="24"/>
        </w:rPr>
        <w:t xml:space="preserve"> </w:t>
      </w:r>
      <w:r w:rsidRPr="008D4051">
        <w:rPr>
          <w:rFonts w:ascii="Bookman Old Style" w:hAnsi="Bookman Old Style" w:cs="Arial"/>
          <w:sz w:val="24"/>
          <w:szCs w:val="24"/>
        </w:rPr>
        <w:t>keuangan</w:t>
      </w:r>
      <w:r w:rsidR="00A954D0">
        <w:rPr>
          <w:rFonts w:ascii="Bookman Old Style" w:hAnsi="Bookman Old Style" w:cs="Arial"/>
          <w:sz w:val="24"/>
          <w:szCs w:val="24"/>
        </w:rPr>
        <w:t xml:space="preserve"> </w:t>
      </w:r>
      <w:r w:rsidRPr="008D4051">
        <w:rPr>
          <w:rFonts w:ascii="Bookman Old Style" w:hAnsi="Bookman Old Style" w:cs="Arial"/>
          <w:sz w:val="24"/>
          <w:szCs w:val="24"/>
        </w:rPr>
        <w:t>pada</w:t>
      </w:r>
      <w:r w:rsidR="00A954D0">
        <w:rPr>
          <w:rFonts w:ascii="Bookman Old Style" w:hAnsi="Bookman Old Style" w:cs="Arial"/>
          <w:sz w:val="24"/>
          <w:szCs w:val="24"/>
        </w:rPr>
        <w:t xml:space="preserve"> </w:t>
      </w:r>
      <w:r w:rsidRPr="008D4051">
        <w:rPr>
          <w:rFonts w:ascii="Bookman Old Style" w:hAnsi="Bookman Old Style" w:cs="Arial"/>
          <w:sz w:val="24"/>
          <w:szCs w:val="24"/>
        </w:rPr>
        <w:t>SKPKD</w:t>
      </w:r>
      <w:r w:rsidR="00A954D0">
        <w:rPr>
          <w:rFonts w:ascii="Bookman Old Style" w:hAnsi="Bookman Old Style" w:cs="Arial"/>
          <w:sz w:val="24"/>
          <w:szCs w:val="24"/>
        </w:rPr>
        <w:t xml:space="preserve"> </w:t>
      </w:r>
      <w:r w:rsidRPr="008D4051">
        <w:rPr>
          <w:rFonts w:ascii="Bookman Old Style" w:hAnsi="Bookman Old Style" w:cs="Arial"/>
          <w:sz w:val="24"/>
          <w:szCs w:val="24"/>
        </w:rPr>
        <w:t>sebagaimana</w:t>
      </w:r>
      <w:r w:rsidR="00A954D0">
        <w:rPr>
          <w:rFonts w:ascii="Bookman Old Style" w:hAnsi="Bookman Old Style" w:cs="Arial"/>
          <w:sz w:val="24"/>
          <w:szCs w:val="24"/>
          <w:lang w:val="id-ID"/>
        </w:rPr>
        <w:t xml:space="preserve"> </w:t>
      </w:r>
      <w:r w:rsidRPr="008D4051">
        <w:rPr>
          <w:rFonts w:ascii="Bookman Old Style" w:hAnsi="Bookman Old Style" w:cs="Arial"/>
          <w:sz w:val="24"/>
          <w:szCs w:val="24"/>
          <w:lang w:val="id-ID"/>
        </w:rPr>
        <w:t>maksud</w:t>
      </w:r>
      <w:r w:rsidR="00A954D0">
        <w:rPr>
          <w:rFonts w:ascii="Bookman Old Style" w:hAnsi="Bookman Old Style" w:cs="Arial"/>
          <w:sz w:val="24"/>
          <w:szCs w:val="24"/>
          <w:lang w:val="id-ID"/>
        </w:rPr>
        <w:t xml:space="preserve"> </w:t>
      </w:r>
      <w:r w:rsidRPr="008D4051">
        <w:rPr>
          <w:rFonts w:ascii="Bookman Old Style" w:hAnsi="Bookman Old Style" w:cs="Arial"/>
          <w:sz w:val="24"/>
          <w:szCs w:val="24"/>
        </w:rPr>
        <w:t>butir</w:t>
      </w:r>
      <w:r w:rsidR="00A954D0">
        <w:rPr>
          <w:rFonts w:ascii="Bookman Old Style" w:hAnsi="Bookman Old Style" w:cs="Arial"/>
          <w:sz w:val="24"/>
          <w:szCs w:val="24"/>
        </w:rPr>
        <w:t xml:space="preserve"> </w:t>
      </w:r>
      <w:r w:rsidRPr="008D4051">
        <w:rPr>
          <w:rFonts w:ascii="Bookman Old Style" w:hAnsi="Bookman Old Style" w:cs="Arial"/>
          <w:sz w:val="24"/>
          <w:szCs w:val="24"/>
          <w:lang w:val="en-US"/>
        </w:rPr>
        <w:t>3.2.3.b</w:t>
      </w:r>
      <w:r w:rsidR="00A954D0">
        <w:rPr>
          <w:rFonts w:ascii="Bookman Old Style" w:hAnsi="Bookman Old Style" w:cs="Arial"/>
          <w:sz w:val="24"/>
          <w:szCs w:val="24"/>
          <w:lang w:val="id-ID"/>
        </w:rPr>
        <w:t xml:space="preserve"> </w:t>
      </w:r>
      <w:r w:rsidRPr="008D4051">
        <w:rPr>
          <w:rFonts w:ascii="Bookman Old Style" w:hAnsi="Bookman Old Style" w:cs="Arial"/>
          <w:sz w:val="24"/>
          <w:szCs w:val="24"/>
          <w:lang w:val="id-ID"/>
        </w:rPr>
        <w:t>Lampiran</w:t>
      </w:r>
      <w:r w:rsidR="00A954D0">
        <w:rPr>
          <w:rFonts w:ascii="Bookman Old Style" w:hAnsi="Bookman Old Style" w:cs="Arial"/>
          <w:sz w:val="24"/>
          <w:szCs w:val="24"/>
          <w:lang w:val="id-ID"/>
        </w:rPr>
        <w:t xml:space="preserve"> </w:t>
      </w:r>
      <w:r w:rsidRPr="008D4051">
        <w:rPr>
          <w:rFonts w:ascii="Bookman Old Style" w:hAnsi="Bookman Old Style" w:cs="Arial"/>
          <w:sz w:val="24"/>
          <w:szCs w:val="24"/>
          <w:lang w:val="id-ID"/>
        </w:rPr>
        <w:t>Peraturan</w:t>
      </w:r>
      <w:r w:rsidR="00A954D0">
        <w:rPr>
          <w:rFonts w:ascii="Bookman Old Style" w:hAnsi="Bookman Old Style" w:cs="Arial"/>
          <w:sz w:val="24"/>
          <w:szCs w:val="24"/>
          <w:lang w:val="id-ID"/>
        </w:rPr>
        <w:t xml:space="preserve"> </w:t>
      </w:r>
      <w:r w:rsidRPr="008D4051">
        <w:rPr>
          <w:rFonts w:ascii="Bookman Old Style" w:hAnsi="Bookman Old Style" w:cs="Arial"/>
          <w:sz w:val="24"/>
          <w:szCs w:val="24"/>
          <w:lang w:val="id-ID"/>
        </w:rPr>
        <w:t>Menteri</w:t>
      </w:r>
      <w:r w:rsidR="00A954D0">
        <w:rPr>
          <w:rFonts w:ascii="Bookman Old Style" w:hAnsi="Bookman Old Style" w:cs="Arial"/>
          <w:sz w:val="24"/>
          <w:szCs w:val="24"/>
          <w:lang w:val="id-ID"/>
        </w:rPr>
        <w:t xml:space="preserve"> </w:t>
      </w:r>
      <w:r w:rsidRPr="008D4051">
        <w:rPr>
          <w:rFonts w:ascii="Bookman Old Style" w:hAnsi="Bookman Old Style" w:cs="Arial"/>
          <w:sz w:val="24"/>
          <w:szCs w:val="24"/>
          <w:lang w:val="id-ID"/>
        </w:rPr>
        <w:t>Dalam</w:t>
      </w:r>
      <w:r w:rsidR="00A954D0">
        <w:rPr>
          <w:rFonts w:ascii="Bookman Old Style" w:hAnsi="Bookman Old Style" w:cs="Arial"/>
          <w:sz w:val="24"/>
          <w:szCs w:val="24"/>
          <w:lang w:val="id-ID"/>
        </w:rPr>
        <w:t xml:space="preserve"> </w:t>
      </w:r>
      <w:r w:rsidRPr="008D4051">
        <w:rPr>
          <w:rFonts w:ascii="Bookman Old Style" w:hAnsi="Bookman Old Style" w:cs="Arial"/>
          <w:sz w:val="24"/>
          <w:szCs w:val="24"/>
          <w:lang w:val="id-ID"/>
        </w:rPr>
        <w:t>Negeri</w:t>
      </w:r>
      <w:r w:rsidR="00A954D0">
        <w:rPr>
          <w:rFonts w:ascii="Bookman Old Style" w:hAnsi="Bookman Old Style" w:cs="Arial"/>
          <w:sz w:val="24"/>
          <w:szCs w:val="24"/>
          <w:lang w:val="id-ID"/>
        </w:rPr>
        <w:t xml:space="preserve"> </w:t>
      </w:r>
      <w:r w:rsidRPr="008D4051">
        <w:rPr>
          <w:rFonts w:ascii="Bookman Old Style" w:hAnsi="Bookman Old Style" w:cs="Arial"/>
          <w:sz w:val="24"/>
          <w:szCs w:val="24"/>
          <w:lang w:val="id-ID"/>
        </w:rPr>
        <w:t>Nomor</w:t>
      </w:r>
      <w:r w:rsidR="00A954D0">
        <w:rPr>
          <w:rFonts w:ascii="Bookman Old Style" w:hAnsi="Bookman Old Style" w:cs="Arial"/>
          <w:sz w:val="24"/>
          <w:szCs w:val="24"/>
          <w:lang w:val="id-ID"/>
        </w:rPr>
        <w:t xml:space="preserve"> </w:t>
      </w:r>
      <w:r w:rsidRPr="008D4051">
        <w:rPr>
          <w:rFonts w:ascii="Bookman Old Style" w:hAnsi="Bookman Old Style" w:cs="Arial"/>
          <w:sz w:val="24"/>
          <w:szCs w:val="24"/>
          <w:lang w:val="en-US"/>
        </w:rPr>
        <w:t>15</w:t>
      </w:r>
      <w:r w:rsidR="00A954D0">
        <w:rPr>
          <w:rFonts w:ascii="Bookman Old Style" w:hAnsi="Bookman Old Style" w:cs="Arial"/>
          <w:sz w:val="24"/>
          <w:szCs w:val="24"/>
          <w:lang w:val="id-ID"/>
        </w:rPr>
        <w:t xml:space="preserve"> </w:t>
      </w:r>
      <w:r w:rsidRPr="008D4051">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Pr="008D4051">
        <w:rPr>
          <w:rFonts w:ascii="Bookman Old Style" w:hAnsi="Bookman Old Style" w:cs="Arial"/>
          <w:sz w:val="24"/>
          <w:szCs w:val="24"/>
          <w:lang w:val="id-ID"/>
        </w:rPr>
        <w:t>202</w:t>
      </w:r>
      <w:r w:rsidRPr="008D4051">
        <w:rPr>
          <w:rFonts w:ascii="Bookman Old Style" w:hAnsi="Bookman Old Style" w:cs="Arial"/>
          <w:sz w:val="24"/>
          <w:szCs w:val="24"/>
          <w:lang w:val="en-US"/>
        </w:rPr>
        <w:t>4</w:t>
      </w:r>
      <w:r w:rsidR="00154790">
        <w:rPr>
          <w:rFonts w:ascii="Bookman Old Style" w:hAnsi="Bookman Old Style" w:cs="Arial"/>
          <w:sz w:val="24"/>
          <w:szCs w:val="24"/>
          <w:lang w:val="en-US"/>
        </w:rPr>
        <w:t>;</w:t>
      </w:r>
    </w:p>
    <w:p w14:paraId="4BC77132" w14:textId="3045EF47" w:rsidR="007E4FE9" w:rsidRPr="008D4051" w:rsidRDefault="007E4FE9" w:rsidP="00154790">
      <w:pPr>
        <w:pStyle w:val="ListParagraph"/>
        <w:numPr>
          <w:ilvl w:val="0"/>
          <w:numId w:val="152"/>
        </w:numPr>
        <w:spacing w:before="60" w:after="0" w:line="276" w:lineRule="auto"/>
        <w:ind w:left="1276" w:hanging="283"/>
        <w:contextualSpacing w:val="0"/>
        <w:jc w:val="both"/>
        <w:rPr>
          <w:rFonts w:ascii="Bookman Old Style" w:hAnsi="Bookman Old Style" w:cs="Arial"/>
          <w:sz w:val="24"/>
          <w:szCs w:val="24"/>
        </w:rPr>
      </w:pPr>
      <w:r w:rsidRPr="008D4051">
        <w:rPr>
          <w:rFonts w:ascii="Bookman Old Style" w:hAnsi="Bookman Old Style" w:cs="Arial"/>
          <w:sz w:val="24"/>
          <w:szCs w:val="24"/>
        </w:rPr>
        <w:lastRenderedPageBreak/>
        <w:t>Pembiayaan</w:t>
      </w:r>
      <w:r w:rsidR="00A954D0">
        <w:rPr>
          <w:rFonts w:ascii="Bookman Old Style" w:hAnsi="Bookman Old Style" w:cs="Arial"/>
          <w:sz w:val="24"/>
          <w:szCs w:val="24"/>
        </w:rPr>
        <w:t xml:space="preserve"> </w:t>
      </w:r>
      <w:r w:rsidRPr="008D4051">
        <w:rPr>
          <w:rFonts w:ascii="Bookman Old Style" w:hAnsi="Bookman Old Style" w:cs="Arial"/>
          <w:sz w:val="24"/>
          <w:szCs w:val="24"/>
        </w:rPr>
        <w:t>neto</w:t>
      </w:r>
      <w:r w:rsidR="00A954D0">
        <w:rPr>
          <w:rFonts w:ascii="Bookman Old Style" w:hAnsi="Bookman Old Style" w:cs="Arial"/>
          <w:sz w:val="24"/>
          <w:szCs w:val="24"/>
        </w:rPr>
        <w:t xml:space="preserve"> </w:t>
      </w:r>
      <w:r w:rsidRPr="008D4051">
        <w:rPr>
          <w:rFonts w:ascii="Bookman Old Style" w:hAnsi="Bookman Old Style" w:cs="Arial"/>
          <w:sz w:val="24"/>
          <w:szCs w:val="24"/>
        </w:rPr>
        <w:t>digunakan</w:t>
      </w:r>
      <w:r w:rsidR="00A954D0">
        <w:rPr>
          <w:rFonts w:ascii="Bookman Old Style" w:hAnsi="Bookman Old Style" w:cs="Arial"/>
          <w:sz w:val="24"/>
          <w:szCs w:val="24"/>
        </w:rPr>
        <w:t xml:space="preserve"> </w:t>
      </w:r>
      <w:r w:rsidRPr="008D4051">
        <w:rPr>
          <w:rFonts w:ascii="Bookman Old Style" w:hAnsi="Bookman Old Style" w:cs="Arial"/>
          <w:sz w:val="24"/>
          <w:szCs w:val="24"/>
        </w:rPr>
        <w:t>untuk</w:t>
      </w:r>
      <w:r w:rsidR="00A954D0">
        <w:rPr>
          <w:rFonts w:ascii="Bookman Old Style" w:hAnsi="Bookman Old Style" w:cs="Arial"/>
          <w:sz w:val="24"/>
          <w:szCs w:val="24"/>
        </w:rPr>
        <w:t xml:space="preserve"> </w:t>
      </w:r>
      <w:r w:rsidRPr="008D4051">
        <w:rPr>
          <w:rFonts w:ascii="Bookman Old Style" w:hAnsi="Bookman Old Style" w:cs="Arial"/>
          <w:sz w:val="24"/>
          <w:szCs w:val="24"/>
        </w:rPr>
        <w:t>menggunakan</w:t>
      </w:r>
      <w:r w:rsidR="00A954D0">
        <w:rPr>
          <w:rFonts w:ascii="Bookman Old Style" w:hAnsi="Bookman Old Style" w:cs="Arial"/>
          <w:sz w:val="24"/>
          <w:szCs w:val="24"/>
        </w:rPr>
        <w:t xml:space="preserve"> </w:t>
      </w:r>
      <w:r w:rsidRPr="008D4051">
        <w:rPr>
          <w:rFonts w:ascii="Bookman Old Style" w:hAnsi="Bookman Old Style" w:cs="Arial"/>
          <w:sz w:val="24"/>
          <w:szCs w:val="24"/>
        </w:rPr>
        <w:t>surplus</w:t>
      </w:r>
      <w:r w:rsidR="00A954D0">
        <w:rPr>
          <w:rFonts w:ascii="Bookman Old Style" w:hAnsi="Bookman Old Style" w:cs="Arial"/>
          <w:sz w:val="24"/>
          <w:szCs w:val="24"/>
        </w:rPr>
        <w:t xml:space="preserve"> </w:t>
      </w:r>
      <w:r w:rsidRPr="008D4051">
        <w:rPr>
          <w:rFonts w:ascii="Bookman Old Style" w:hAnsi="Bookman Old Style" w:cs="Arial"/>
          <w:sz w:val="24"/>
          <w:szCs w:val="24"/>
        </w:rPr>
        <w:t>anggaran</w:t>
      </w:r>
      <w:r w:rsidR="00A954D0">
        <w:rPr>
          <w:rFonts w:ascii="Bookman Old Style" w:hAnsi="Bookman Old Style" w:cs="Arial"/>
          <w:sz w:val="24"/>
          <w:szCs w:val="24"/>
        </w:rPr>
        <w:t xml:space="preserve"> </w:t>
      </w:r>
      <w:r w:rsidRPr="008D4051">
        <w:rPr>
          <w:rFonts w:ascii="Bookman Old Style" w:hAnsi="Bookman Old Style" w:cs="Arial"/>
          <w:sz w:val="24"/>
          <w:szCs w:val="24"/>
        </w:rPr>
        <w:t>atau</w:t>
      </w:r>
      <w:r w:rsidR="00A954D0">
        <w:rPr>
          <w:rFonts w:ascii="Bookman Old Style" w:hAnsi="Bookman Old Style" w:cs="Arial"/>
          <w:sz w:val="24"/>
          <w:szCs w:val="24"/>
        </w:rPr>
        <w:t xml:space="preserve"> </w:t>
      </w:r>
      <w:r w:rsidRPr="008D4051">
        <w:rPr>
          <w:rFonts w:ascii="Bookman Old Style" w:hAnsi="Bookman Old Style" w:cs="Arial"/>
          <w:sz w:val="24"/>
          <w:szCs w:val="24"/>
        </w:rPr>
        <w:t>menutup</w:t>
      </w:r>
      <w:r w:rsidR="00A954D0">
        <w:rPr>
          <w:rFonts w:ascii="Bookman Old Style" w:hAnsi="Bookman Old Style" w:cs="Arial"/>
          <w:sz w:val="24"/>
          <w:szCs w:val="24"/>
        </w:rPr>
        <w:t xml:space="preserve"> </w:t>
      </w:r>
      <w:r w:rsidRPr="008D4051">
        <w:rPr>
          <w:rFonts w:ascii="Bookman Old Style" w:hAnsi="Bookman Old Style" w:cs="Arial"/>
          <w:sz w:val="24"/>
          <w:szCs w:val="24"/>
        </w:rPr>
        <w:t>defisit</w:t>
      </w:r>
      <w:r w:rsidR="00A954D0">
        <w:rPr>
          <w:rFonts w:ascii="Bookman Old Style" w:hAnsi="Bookman Old Style" w:cs="Arial"/>
          <w:sz w:val="24"/>
          <w:szCs w:val="24"/>
        </w:rPr>
        <w:t xml:space="preserve"> </w:t>
      </w:r>
      <w:r w:rsidRPr="008D4051">
        <w:rPr>
          <w:rFonts w:ascii="Bookman Old Style" w:hAnsi="Bookman Old Style" w:cs="Arial"/>
          <w:sz w:val="24"/>
          <w:szCs w:val="24"/>
        </w:rPr>
        <w:t>anggaran</w:t>
      </w:r>
      <w:r w:rsidR="00A954D0">
        <w:rPr>
          <w:rFonts w:ascii="Bookman Old Style" w:hAnsi="Bookman Old Style" w:cs="Arial"/>
          <w:sz w:val="24"/>
          <w:szCs w:val="24"/>
          <w:lang w:val="id-ID"/>
        </w:rPr>
        <w:t xml:space="preserve"> </w:t>
      </w:r>
      <w:r w:rsidRPr="008D4051">
        <w:rPr>
          <w:rFonts w:ascii="Bookman Old Style" w:hAnsi="Bookman Old Style" w:cs="Arial"/>
          <w:sz w:val="24"/>
          <w:szCs w:val="24"/>
        </w:rPr>
        <w:t>sebagaimana</w:t>
      </w:r>
      <w:r w:rsidR="00A954D0">
        <w:rPr>
          <w:rFonts w:ascii="Bookman Old Style" w:hAnsi="Bookman Old Style" w:cs="Arial"/>
          <w:sz w:val="24"/>
          <w:szCs w:val="24"/>
        </w:rPr>
        <w:t xml:space="preserve"> </w:t>
      </w:r>
      <w:r w:rsidRPr="008D4051">
        <w:rPr>
          <w:rFonts w:ascii="Bookman Old Style" w:hAnsi="Bookman Old Style" w:cs="Arial"/>
          <w:sz w:val="24"/>
          <w:szCs w:val="24"/>
        </w:rPr>
        <w:t>maksud</w:t>
      </w:r>
      <w:r w:rsidR="00A954D0">
        <w:rPr>
          <w:rFonts w:ascii="Bookman Old Style" w:hAnsi="Bookman Old Style" w:cs="Arial"/>
          <w:sz w:val="24"/>
          <w:szCs w:val="24"/>
        </w:rPr>
        <w:t xml:space="preserve"> </w:t>
      </w:r>
      <w:r w:rsidRPr="008D4051">
        <w:rPr>
          <w:rFonts w:ascii="Bookman Old Style" w:hAnsi="Bookman Old Style" w:cs="Arial"/>
          <w:sz w:val="24"/>
          <w:szCs w:val="24"/>
        </w:rPr>
        <w:t>butir</w:t>
      </w:r>
      <w:r w:rsidR="00A954D0">
        <w:rPr>
          <w:rFonts w:ascii="Bookman Old Style" w:hAnsi="Bookman Old Style" w:cs="Arial"/>
          <w:sz w:val="24"/>
          <w:szCs w:val="24"/>
        </w:rPr>
        <w:t xml:space="preserve"> </w:t>
      </w:r>
      <w:r w:rsidRPr="003255BC">
        <w:rPr>
          <w:rFonts w:ascii="Bookman Old Style" w:hAnsi="Bookman Old Style" w:cs="Arial"/>
          <w:sz w:val="24"/>
          <w:szCs w:val="24"/>
          <w:lang w:val="sv-FI"/>
        </w:rPr>
        <w:t>3.2.3.d</w:t>
      </w:r>
      <w:r w:rsidR="00A954D0" w:rsidRPr="003255BC">
        <w:rPr>
          <w:rFonts w:ascii="Bookman Old Style" w:hAnsi="Bookman Old Style" w:cs="Arial"/>
          <w:sz w:val="24"/>
          <w:szCs w:val="24"/>
          <w:lang w:val="sv-FI"/>
        </w:rPr>
        <w:t xml:space="preserve"> </w:t>
      </w:r>
      <w:r w:rsidRPr="008D4051">
        <w:rPr>
          <w:rFonts w:ascii="Bookman Old Style" w:hAnsi="Bookman Old Style" w:cs="Arial"/>
          <w:sz w:val="24"/>
          <w:szCs w:val="24"/>
          <w:lang w:val="id-ID"/>
        </w:rPr>
        <w:t>Lampiran</w:t>
      </w:r>
      <w:r w:rsidR="00A954D0">
        <w:rPr>
          <w:rFonts w:ascii="Bookman Old Style" w:hAnsi="Bookman Old Style" w:cs="Arial"/>
          <w:sz w:val="24"/>
          <w:szCs w:val="24"/>
          <w:lang w:val="id-ID"/>
        </w:rPr>
        <w:t xml:space="preserve"> </w:t>
      </w:r>
      <w:r w:rsidRPr="008D4051">
        <w:rPr>
          <w:rFonts w:ascii="Bookman Old Style" w:hAnsi="Bookman Old Style" w:cs="Arial"/>
          <w:sz w:val="24"/>
          <w:szCs w:val="24"/>
          <w:lang w:val="id-ID"/>
        </w:rPr>
        <w:t>Peraturan</w:t>
      </w:r>
      <w:r w:rsidR="00A954D0">
        <w:rPr>
          <w:rFonts w:ascii="Bookman Old Style" w:hAnsi="Bookman Old Style" w:cs="Arial"/>
          <w:sz w:val="24"/>
          <w:szCs w:val="24"/>
          <w:lang w:val="id-ID"/>
        </w:rPr>
        <w:t xml:space="preserve"> </w:t>
      </w:r>
      <w:r w:rsidRPr="008D4051">
        <w:rPr>
          <w:rFonts w:ascii="Bookman Old Style" w:hAnsi="Bookman Old Style" w:cs="Arial"/>
          <w:sz w:val="24"/>
          <w:szCs w:val="24"/>
          <w:lang w:val="id-ID"/>
        </w:rPr>
        <w:t>Menteri</w:t>
      </w:r>
      <w:r w:rsidR="00A954D0">
        <w:rPr>
          <w:rFonts w:ascii="Bookman Old Style" w:hAnsi="Bookman Old Style" w:cs="Arial"/>
          <w:sz w:val="24"/>
          <w:szCs w:val="24"/>
          <w:lang w:val="id-ID"/>
        </w:rPr>
        <w:t xml:space="preserve"> </w:t>
      </w:r>
      <w:r w:rsidRPr="008D4051">
        <w:rPr>
          <w:rFonts w:ascii="Bookman Old Style" w:hAnsi="Bookman Old Style" w:cs="Arial"/>
          <w:sz w:val="24"/>
          <w:szCs w:val="24"/>
          <w:lang w:val="id-ID"/>
        </w:rPr>
        <w:t>Dalam</w:t>
      </w:r>
      <w:r w:rsidR="00A954D0">
        <w:rPr>
          <w:rFonts w:ascii="Bookman Old Style" w:hAnsi="Bookman Old Style" w:cs="Arial"/>
          <w:sz w:val="24"/>
          <w:szCs w:val="24"/>
          <w:lang w:val="id-ID"/>
        </w:rPr>
        <w:t xml:space="preserve"> </w:t>
      </w:r>
      <w:r w:rsidRPr="008D4051">
        <w:rPr>
          <w:rFonts w:ascii="Bookman Old Style" w:hAnsi="Bookman Old Style" w:cs="Arial"/>
          <w:sz w:val="24"/>
          <w:szCs w:val="24"/>
          <w:lang w:val="id-ID"/>
        </w:rPr>
        <w:t>Negeri</w:t>
      </w:r>
      <w:r w:rsidR="00A954D0">
        <w:rPr>
          <w:rFonts w:ascii="Bookman Old Style" w:hAnsi="Bookman Old Style" w:cs="Arial"/>
          <w:sz w:val="24"/>
          <w:szCs w:val="24"/>
          <w:lang w:val="id-ID"/>
        </w:rPr>
        <w:t xml:space="preserve"> </w:t>
      </w:r>
      <w:r w:rsidRPr="008D4051">
        <w:rPr>
          <w:rFonts w:ascii="Bookman Old Style" w:hAnsi="Bookman Old Style" w:cs="Arial"/>
          <w:sz w:val="24"/>
          <w:szCs w:val="24"/>
          <w:lang w:val="id-ID"/>
        </w:rPr>
        <w:t>Nomor</w:t>
      </w:r>
      <w:r w:rsidR="00A954D0">
        <w:rPr>
          <w:rFonts w:ascii="Bookman Old Style" w:hAnsi="Bookman Old Style" w:cs="Arial"/>
          <w:sz w:val="24"/>
          <w:szCs w:val="24"/>
          <w:lang w:val="id-ID"/>
        </w:rPr>
        <w:t xml:space="preserve"> </w:t>
      </w:r>
      <w:r w:rsidRPr="003255BC">
        <w:rPr>
          <w:rFonts w:ascii="Bookman Old Style" w:hAnsi="Bookman Old Style" w:cs="Arial"/>
          <w:sz w:val="24"/>
          <w:szCs w:val="24"/>
          <w:lang w:val="sv-FI"/>
        </w:rPr>
        <w:t>15</w:t>
      </w:r>
      <w:r w:rsidR="00A954D0">
        <w:rPr>
          <w:rFonts w:ascii="Bookman Old Style" w:hAnsi="Bookman Old Style" w:cs="Arial"/>
          <w:sz w:val="24"/>
          <w:szCs w:val="24"/>
          <w:lang w:val="id-ID"/>
        </w:rPr>
        <w:t xml:space="preserve"> </w:t>
      </w:r>
      <w:r w:rsidRPr="008D4051">
        <w:rPr>
          <w:rFonts w:ascii="Bookman Old Style" w:hAnsi="Bookman Old Style" w:cs="Arial"/>
          <w:sz w:val="24"/>
          <w:szCs w:val="24"/>
          <w:lang w:val="id-ID"/>
        </w:rPr>
        <w:t>Tahun</w:t>
      </w:r>
      <w:r w:rsidR="00A954D0">
        <w:rPr>
          <w:rFonts w:ascii="Bookman Old Style" w:hAnsi="Bookman Old Style" w:cs="Arial"/>
          <w:sz w:val="24"/>
          <w:szCs w:val="24"/>
          <w:lang w:val="id-ID"/>
        </w:rPr>
        <w:t xml:space="preserve"> </w:t>
      </w:r>
      <w:r w:rsidRPr="008D4051">
        <w:rPr>
          <w:rFonts w:ascii="Bookman Old Style" w:hAnsi="Bookman Old Style" w:cs="Arial"/>
          <w:sz w:val="24"/>
          <w:szCs w:val="24"/>
          <w:lang w:val="id-ID"/>
        </w:rPr>
        <w:t>2024</w:t>
      </w:r>
      <w:r w:rsidR="00154790" w:rsidRPr="00154790">
        <w:rPr>
          <w:rFonts w:ascii="Bookman Old Style" w:hAnsi="Bookman Old Style" w:cs="Arial"/>
          <w:sz w:val="24"/>
          <w:szCs w:val="24"/>
          <w:lang w:val="sv-FI"/>
        </w:rPr>
        <w:t>;</w:t>
      </w:r>
    </w:p>
    <w:p w14:paraId="3D4E6348" w14:textId="4494F6B1" w:rsidR="007E4FE9" w:rsidRPr="008D4051" w:rsidRDefault="007E4FE9" w:rsidP="00154790">
      <w:pPr>
        <w:pStyle w:val="ListParagraph"/>
        <w:numPr>
          <w:ilvl w:val="0"/>
          <w:numId w:val="152"/>
        </w:numPr>
        <w:spacing w:before="60" w:after="0" w:line="276" w:lineRule="auto"/>
        <w:ind w:left="1276" w:hanging="283"/>
        <w:contextualSpacing w:val="0"/>
        <w:jc w:val="both"/>
        <w:rPr>
          <w:rFonts w:ascii="Bookman Old Style" w:hAnsi="Bookman Old Style" w:cs="Arial"/>
          <w:sz w:val="24"/>
          <w:szCs w:val="24"/>
        </w:rPr>
      </w:pPr>
      <w:r w:rsidRPr="008D4051">
        <w:rPr>
          <w:rFonts w:ascii="Bookman Old Style" w:hAnsi="Bookman Old Style" w:cs="Arial"/>
          <w:sz w:val="24"/>
          <w:szCs w:val="24"/>
        </w:rPr>
        <w:t>Dalam</w:t>
      </w:r>
      <w:r w:rsidR="00A954D0">
        <w:rPr>
          <w:rFonts w:ascii="Bookman Old Style" w:hAnsi="Bookman Old Style" w:cs="Arial"/>
          <w:sz w:val="24"/>
          <w:szCs w:val="24"/>
          <w:lang w:val="en-US"/>
        </w:rPr>
        <w:t xml:space="preserve"> </w:t>
      </w:r>
      <w:r w:rsidRPr="008D4051">
        <w:rPr>
          <w:rFonts w:ascii="Bookman Old Style" w:hAnsi="Bookman Old Style" w:cs="Arial"/>
          <w:sz w:val="24"/>
          <w:szCs w:val="24"/>
          <w:lang w:val="en-US"/>
        </w:rPr>
        <w:t>hal</w:t>
      </w:r>
      <w:r w:rsidR="00A954D0">
        <w:rPr>
          <w:rFonts w:ascii="Bookman Old Style" w:hAnsi="Bookman Old Style" w:cs="Arial"/>
          <w:sz w:val="24"/>
          <w:szCs w:val="24"/>
          <w:lang w:val="en-US"/>
        </w:rPr>
        <w:t xml:space="preserve"> </w:t>
      </w:r>
      <w:r w:rsidRPr="008D4051">
        <w:rPr>
          <w:rFonts w:ascii="Bookman Old Style" w:hAnsi="Bookman Old Style" w:cs="Arial"/>
          <w:sz w:val="24"/>
          <w:szCs w:val="24"/>
          <w:lang w:val="en-US"/>
        </w:rPr>
        <w:t>APBD</w:t>
      </w:r>
      <w:r w:rsidR="00A954D0">
        <w:rPr>
          <w:rFonts w:ascii="Bookman Old Style" w:hAnsi="Bookman Old Style" w:cs="Arial"/>
          <w:sz w:val="24"/>
          <w:szCs w:val="24"/>
          <w:lang w:val="en-US"/>
        </w:rPr>
        <w:t xml:space="preserve"> </w:t>
      </w:r>
      <w:r w:rsidRPr="008D4051">
        <w:rPr>
          <w:rFonts w:ascii="Bookman Old Style" w:hAnsi="Bookman Old Style" w:cs="Arial"/>
          <w:sz w:val="24"/>
          <w:szCs w:val="24"/>
          <w:lang w:val="en-US"/>
        </w:rPr>
        <w:t>diperkirakan</w:t>
      </w:r>
      <w:r w:rsidR="00A954D0">
        <w:rPr>
          <w:rFonts w:ascii="Bookman Old Style" w:hAnsi="Bookman Old Style" w:cs="Arial"/>
          <w:sz w:val="24"/>
          <w:szCs w:val="24"/>
          <w:lang w:val="en-US"/>
        </w:rPr>
        <w:t xml:space="preserve"> </w:t>
      </w:r>
      <w:r w:rsidRPr="008D4051">
        <w:rPr>
          <w:rFonts w:ascii="Bookman Old Style" w:hAnsi="Bookman Old Style" w:cs="Arial"/>
          <w:sz w:val="24"/>
          <w:szCs w:val="24"/>
          <w:lang w:val="en-US"/>
        </w:rPr>
        <w:t>surplus,</w:t>
      </w:r>
      <w:r w:rsidR="00A954D0">
        <w:rPr>
          <w:rFonts w:ascii="Bookman Old Style" w:hAnsi="Bookman Old Style" w:cs="Arial"/>
          <w:sz w:val="24"/>
          <w:szCs w:val="24"/>
          <w:lang w:val="en-US"/>
        </w:rPr>
        <w:t xml:space="preserve"> </w:t>
      </w:r>
      <w:r w:rsidRPr="008D4051">
        <w:rPr>
          <w:rFonts w:ascii="Bookman Old Style" w:hAnsi="Bookman Old Style" w:cs="Arial"/>
          <w:sz w:val="24"/>
          <w:szCs w:val="24"/>
          <w:lang w:val="en-US"/>
        </w:rPr>
        <w:t>APBD</w:t>
      </w:r>
      <w:r w:rsidR="00A954D0">
        <w:rPr>
          <w:rFonts w:ascii="Bookman Old Style" w:hAnsi="Bookman Old Style" w:cs="Arial"/>
          <w:sz w:val="24"/>
          <w:szCs w:val="24"/>
          <w:lang w:val="en-US"/>
        </w:rPr>
        <w:t xml:space="preserve"> </w:t>
      </w:r>
      <w:r w:rsidRPr="008D4051">
        <w:rPr>
          <w:rFonts w:ascii="Bookman Old Style" w:hAnsi="Bookman Old Style" w:cs="Arial"/>
          <w:sz w:val="24"/>
          <w:szCs w:val="24"/>
          <w:lang w:val="en-US"/>
        </w:rPr>
        <w:t>dapat</w:t>
      </w:r>
      <w:r w:rsidR="00A954D0">
        <w:rPr>
          <w:rFonts w:ascii="Bookman Old Style" w:hAnsi="Bookman Old Style" w:cs="Arial"/>
          <w:sz w:val="24"/>
          <w:szCs w:val="24"/>
          <w:lang w:val="en-US"/>
        </w:rPr>
        <w:t xml:space="preserve"> </w:t>
      </w:r>
      <w:r w:rsidRPr="008D4051">
        <w:rPr>
          <w:rFonts w:ascii="Bookman Old Style" w:hAnsi="Bookman Old Style" w:cs="Arial"/>
          <w:sz w:val="24"/>
          <w:szCs w:val="24"/>
          <w:lang w:val="en-US"/>
        </w:rPr>
        <w:t>digunakan</w:t>
      </w:r>
      <w:r w:rsidR="00A954D0">
        <w:rPr>
          <w:rFonts w:ascii="Bookman Old Style" w:hAnsi="Bookman Old Style" w:cs="Arial"/>
          <w:sz w:val="24"/>
          <w:szCs w:val="24"/>
          <w:lang w:val="en-US"/>
        </w:rPr>
        <w:t xml:space="preserve"> </w:t>
      </w:r>
      <w:r w:rsidRPr="008D4051">
        <w:rPr>
          <w:rFonts w:ascii="Bookman Old Style" w:hAnsi="Bookman Old Style" w:cs="Arial"/>
          <w:sz w:val="24"/>
          <w:szCs w:val="24"/>
          <w:lang w:val="en-US"/>
        </w:rPr>
        <w:t>untuk</w:t>
      </w:r>
      <w:r w:rsidR="00A954D0">
        <w:rPr>
          <w:rFonts w:ascii="Bookman Old Style" w:hAnsi="Bookman Old Style" w:cs="Arial"/>
          <w:sz w:val="24"/>
          <w:szCs w:val="24"/>
          <w:lang w:val="en-US"/>
        </w:rPr>
        <w:t xml:space="preserve"> </w:t>
      </w:r>
      <w:r w:rsidRPr="008D4051">
        <w:rPr>
          <w:rFonts w:ascii="Bookman Old Style" w:hAnsi="Bookman Old Style" w:cs="Arial"/>
          <w:sz w:val="24"/>
          <w:szCs w:val="24"/>
          <w:lang w:val="en-US"/>
        </w:rPr>
        <w:t>pengeluaran</w:t>
      </w:r>
      <w:r w:rsidR="00A954D0">
        <w:rPr>
          <w:rFonts w:ascii="Bookman Old Style" w:hAnsi="Bookman Old Style" w:cs="Arial"/>
          <w:sz w:val="24"/>
          <w:szCs w:val="24"/>
          <w:lang w:val="en-US"/>
        </w:rPr>
        <w:t xml:space="preserve"> </w:t>
      </w:r>
      <w:r w:rsidRPr="008D4051">
        <w:rPr>
          <w:rFonts w:ascii="Bookman Old Style" w:hAnsi="Bookman Old Style" w:cs="Arial"/>
          <w:sz w:val="24"/>
          <w:szCs w:val="24"/>
          <w:lang w:val="en-US"/>
        </w:rPr>
        <w:t>pembiayaan</w:t>
      </w:r>
      <w:r w:rsidR="00A954D0">
        <w:rPr>
          <w:rFonts w:ascii="Bookman Old Style" w:hAnsi="Bookman Old Style" w:cs="Arial"/>
          <w:sz w:val="24"/>
          <w:szCs w:val="24"/>
          <w:lang w:val="en-US"/>
        </w:rPr>
        <w:t xml:space="preserve"> </w:t>
      </w:r>
      <w:r w:rsidRPr="008D4051">
        <w:rPr>
          <w:rFonts w:ascii="Bookman Old Style" w:hAnsi="Bookman Old Style" w:cs="Arial"/>
          <w:sz w:val="24"/>
          <w:szCs w:val="24"/>
          <w:lang w:val="en-US"/>
        </w:rPr>
        <w:t>daerah</w:t>
      </w:r>
      <w:r w:rsidR="00A954D0">
        <w:rPr>
          <w:rFonts w:ascii="Bookman Old Style" w:hAnsi="Bookman Old Style" w:cs="Arial"/>
          <w:sz w:val="24"/>
          <w:szCs w:val="24"/>
          <w:lang w:val="en-US"/>
        </w:rPr>
        <w:t xml:space="preserve"> </w:t>
      </w:r>
      <w:r w:rsidRPr="008D4051">
        <w:rPr>
          <w:rFonts w:ascii="Bookman Old Style" w:hAnsi="Bookman Old Style" w:cs="Arial"/>
          <w:sz w:val="24"/>
          <w:szCs w:val="24"/>
          <w:lang w:val="en-US"/>
        </w:rPr>
        <w:t>yang</w:t>
      </w:r>
      <w:r w:rsidR="00A954D0">
        <w:rPr>
          <w:rFonts w:ascii="Bookman Old Style" w:hAnsi="Bookman Old Style" w:cs="Arial"/>
          <w:sz w:val="24"/>
          <w:szCs w:val="24"/>
          <w:lang w:val="en-US"/>
        </w:rPr>
        <w:t xml:space="preserve"> </w:t>
      </w:r>
      <w:r w:rsidRPr="008D4051">
        <w:rPr>
          <w:rFonts w:ascii="Bookman Old Style" w:hAnsi="Bookman Old Style" w:cs="Arial"/>
          <w:sz w:val="24"/>
          <w:szCs w:val="24"/>
          <w:lang w:val="en-US"/>
        </w:rPr>
        <w:t>ditetapkan</w:t>
      </w:r>
      <w:r w:rsidR="00A954D0">
        <w:rPr>
          <w:rFonts w:ascii="Bookman Old Style" w:hAnsi="Bookman Old Style" w:cs="Arial"/>
          <w:sz w:val="24"/>
          <w:szCs w:val="24"/>
          <w:lang w:val="en-US"/>
        </w:rPr>
        <w:t xml:space="preserve"> </w:t>
      </w:r>
      <w:r w:rsidRPr="008D4051">
        <w:rPr>
          <w:rFonts w:ascii="Bookman Old Style" w:hAnsi="Bookman Old Style" w:cs="Arial"/>
          <w:sz w:val="24"/>
          <w:szCs w:val="24"/>
          <w:lang w:val="en-US"/>
        </w:rPr>
        <w:t>dalam</w:t>
      </w:r>
      <w:r w:rsidR="00A954D0">
        <w:rPr>
          <w:rFonts w:ascii="Bookman Old Style" w:hAnsi="Bookman Old Style" w:cs="Arial"/>
          <w:sz w:val="24"/>
          <w:szCs w:val="24"/>
          <w:lang w:val="en-US"/>
        </w:rPr>
        <w:t xml:space="preserve"> </w:t>
      </w:r>
      <w:r w:rsidRPr="008D4051">
        <w:rPr>
          <w:rFonts w:ascii="Bookman Old Style" w:hAnsi="Bookman Old Style" w:cs="Arial"/>
          <w:sz w:val="24"/>
          <w:szCs w:val="24"/>
          <w:lang w:val="en-US"/>
        </w:rPr>
        <w:t>Peraturan</w:t>
      </w:r>
      <w:r w:rsidR="00A954D0">
        <w:rPr>
          <w:rFonts w:ascii="Bookman Old Style" w:hAnsi="Bookman Old Style" w:cs="Arial"/>
          <w:sz w:val="24"/>
          <w:szCs w:val="24"/>
          <w:lang w:val="en-US"/>
        </w:rPr>
        <w:t xml:space="preserve"> </w:t>
      </w:r>
      <w:r w:rsidRPr="008D4051">
        <w:rPr>
          <w:rFonts w:ascii="Bookman Old Style" w:hAnsi="Bookman Old Style" w:cs="Arial"/>
          <w:sz w:val="24"/>
          <w:szCs w:val="24"/>
          <w:lang w:val="en-US"/>
        </w:rPr>
        <w:t>Daerah</w:t>
      </w:r>
      <w:r w:rsidR="00A954D0">
        <w:rPr>
          <w:rFonts w:ascii="Bookman Old Style" w:hAnsi="Bookman Old Style" w:cs="Arial"/>
          <w:sz w:val="24"/>
          <w:szCs w:val="24"/>
          <w:lang w:val="en-US"/>
        </w:rPr>
        <w:t xml:space="preserve"> </w:t>
      </w:r>
      <w:r w:rsidR="00B055C5" w:rsidRPr="008D4051">
        <w:rPr>
          <w:rFonts w:ascii="Bookman Old Style" w:hAnsi="Bookman Old Style" w:cs="Arial"/>
          <w:sz w:val="24"/>
          <w:szCs w:val="24"/>
          <w:lang w:val="de-DE"/>
        </w:rPr>
        <w:t>Kota</w:t>
      </w:r>
      <w:r w:rsidR="00A954D0">
        <w:rPr>
          <w:rFonts w:ascii="Bookman Old Style" w:hAnsi="Bookman Old Style" w:cs="Arial"/>
          <w:sz w:val="24"/>
          <w:szCs w:val="24"/>
          <w:lang w:val="de-DE"/>
        </w:rPr>
        <w:t xml:space="preserve"> </w:t>
      </w:r>
      <w:r w:rsidR="00770F22" w:rsidRPr="008D4051">
        <w:rPr>
          <w:rFonts w:ascii="Bookman Old Style" w:hAnsi="Bookman Old Style" w:cs="Arial"/>
          <w:sz w:val="24"/>
          <w:szCs w:val="24"/>
          <w:lang w:val="de-DE"/>
        </w:rPr>
        <w:t>Tangerang</w:t>
      </w:r>
      <w:r w:rsidR="00A954D0">
        <w:rPr>
          <w:rFonts w:ascii="Bookman Old Style" w:hAnsi="Bookman Old Style" w:cs="Arial"/>
          <w:sz w:val="24"/>
          <w:szCs w:val="24"/>
          <w:lang w:val="de-DE"/>
        </w:rPr>
        <w:t xml:space="preserve"> </w:t>
      </w:r>
      <w:r w:rsidR="00BE6ED9" w:rsidRPr="008D4051">
        <w:rPr>
          <w:rFonts w:ascii="Bookman Old Style" w:hAnsi="Bookman Old Style" w:cs="Arial"/>
          <w:sz w:val="24"/>
          <w:szCs w:val="24"/>
          <w:lang w:val="de-DE"/>
        </w:rPr>
        <w:t>tentang</w:t>
      </w:r>
      <w:r w:rsidR="00A954D0">
        <w:rPr>
          <w:rFonts w:ascii="Bookman Old Style" w:hAnsi="Bookman Old Style" w:cs="Arial"/>
          <w:sz w:val="24"/>
          <w:szCs w:val="24"/>
          <w:lang w:val="de-DE"/>
        </w:rPr>
        <w:t xml:space="preserve"> </w:t>
      </w:r>
      <w:r w:rsidR="00BE6ED9" w:rsidRPr="008D4051">
        <w:rPr>
          <w:rFonts w:ascii="Bookman Old Style" w:hAnsi="Bookman Old Style" w:cs="Arial"/>
          <w:sz w:val="24"/>
          <w:szCs w:val="24"/>
          <w:lang w:val="de-DE"/>
        </w:rPr>
        <w:t>APBD</w:t>
      </w:r>
      <w:r w:rsidR="00A954D0">
        <w:rPr>
          <w:rFonts w:ascii="Bookman Old Style" w:hAnsi="Bookman Old Style"/>
          <w:sz w:val="24"/>
          <w:szCs w:val="24"/>
        </w:rPr>
        <w:t xml:space="preserve"> </w:t>
      </w:r>
      <w:r w:rsidRPr="008D4051">
        <w:rPr>
          <w:rFonts w:ascii="Bookman Old Style" w:hAnsi="Bookman Old Style"/>
          <w:sz w:val="24"/>
          <w:szCs w:val="24"/>
        </w:rPr>
        <w:t>Tahun</w:t>
      </w:r>
      <w:r w:rsidR="00A954D0">
        <w:rPr>
          <w:rFonts w:ascii="Bookman Old Style" w:hAnsi="Bookman Old Style"/>
          <w:sz w:val="24"/>
          <w:szCs w:val="24"/>
        </w:rPr>
        <w:t xml:space="preserve"> </w:t>
      </w:r>
      <w:r w:rsidRPr="008D4051">
        <w:rPr>
          <w:rFonts w:ascii="Bookman Old Style" w:hAnsi="Bookman Old Style"/>
          <w:sz w:val="24"/>
          <w:szCs w:val="24"/>
        </w:rPr>
        <w:t>Anggaran</w:t>
      </w:r>
      <w:r w:rsidR="00A954D0">
        <w:rPr>
          <w:rFonts w:ascii="Bookman Old Style" w:hAnsi="Bookman Old Style"/>
          <w:sz w:val="24"/>
          <w:szCs w:val="24"/>
        </w:rPr>
        <w:t xml:space="preserve"> </w:t>
      </w:r>
      <w:r w:rsidRPr="008D4051">
        <w:rPr>
          <w:rFonts w:ascii="Bookman Old Style" w:hAnsi="Bookman Old Style"/>
          <w:sz w:val="24"/>
          <w:szCs w:val="24"/>
        </w:rPr>
        <w:t>202</w:t>
      </w:r>
      <w:r w:rsidRPr="008D4051">
        <w:rPr>
          <w:rFonts w:ascii="Bookman Old Style" w:hAnsi="Bookman Old Style"/>
          <w:sz w:val="24"/>
          <w:szCs w:val="24"/>
          <w:lang w:val="it-IT"/>
        </w:rPr>
        <w:t>5</w:t>
      </w:r>
      <w:r w:rsidR="00A954D0">
        <w:rPr>
          <w:rFonts w:ascii="Bookman Old Style" w:hAnsi="Bookman Old Style"/>
          <w:sz w:val="24"/>
          <w:szCs w:val="24"/>
          <w:lang w:val="it-IT"/>
        </w:rPr>
        <w:t xml:space="preserve"> </w:t>
      </w:r>
      <w:r w:rsidRPr="008D4051">
        <w:rPr>
          <w:rFonts w:ascii="Bookman Old Style" w:hAnsi="Bookman Old Style"/>
          <w:sz w:val="24"/>
          <w:szCs w:val="24"/>
          <w:lang w:val="it-IT"/>
        </w:rPr>
        <w:t>yang</w:t>
      </w:r>
      <w:r w:rsidR="00A954D0">
        <w:rPr>
          <w:rFonts w:ascii="Bookman Old Style" w:hAnsi="Bookman Old Style"/>
          <w:sz w:val="24"/>
          <w:szCs w:val="24"/>
          <w:lang w:val="it-IT"/>
        </w:rPr>
        <w:t xml:space="preserve"> </w:t>
      </w:r>
      <w:r w:rsidRPr="008D4051">
        <w:rPr>
          <w:rFonts w:ascii="Bookman Old Style" w:hAnsi="Bookman Old Style"/>
          <w:sz w:val="24"/>
          <w:szCs w:val="24"/>
          <w:lang w:val="it-IT"/>
        </w:rPr>
        <w:t>pelaksanaannya</w:t>
      </w:r>
      <w:r w:rsidR="00A954D0">
        <w:rPr>
          <w:rFonts w:ascii="Bookman Old Style" w:hAnsi="Bookman Old Style"/>
          <w:sz w:val="24"/>
          <w:szCs w:val="24"/>
          <w:lang w:val="it-IT"/>
        </w:rPr>
        <w:t xml:space="preserve"> </w:t>
      </w:r>
      <w:r w:rsidRPr="008D4051">
        <w:rPr>
          <w:rFonts w:ascii="Bookman Old Style" w:hAnsi="Bookman Old Style"/>
          <w:sz w:val="24"/>
          <w:szCs w:val="24"/>
          <w:lang w:val="it-IT"/>
        </w:rPr>
        <w:t>sesuai</w:t>
      </w:r>
      <w:r w:rsidR="00A954D0">
        <w:rPr>
          <w:rFonts w:ascii="Bookman Old Style" w:hAnsi="Bookman Old Style"/>
          <w:sz w:val="24"/>
          <w:szCs w:val="24"/>
          <w:lang w:val="it-IT"/>
        </w:rPr>
        <w:t xml:space="preserve"> </w:t>
      </w:r>
      <w:r w:rsidRPr="008D4051">
        <w:rPr>
          <w:rFonts w:ascii="Bookman Old Style" w:hAnsi="Bookman Old Style"/>
          <w:sz w:val="24"/>
          <w:szCs w:val="24"/>
          <w:lang w:val="it-IT"/>
        </w:rPr>
        <w:t>dengan</w:t>
      </w:r>
      <w:r w:rsidR="00A954D0">
        <w:rPr>
          <w:rFonts w:ascii="Bookman Old Style" w:hAnsi="Bookman Old Style"/>
          <w:sz w:val="24"/>
          <w:szCs w:val="24"/>
          <w:lang w:val="it-IT"/>
        </w:rPr>
        <w:t xml:space="preserve"> </w:t>
      </w:r>
      <w:r w:rsidRPr="008D4051">
        <w:rPr>
          <w:rFonts w:ascii="Bookman Old Style" w:hAnsi="Bookman Old Style"/>
          <w:sz w:val="24"/>
          <w:szCs w:val="24"/>
          <w:lang w:val="it-IT"/>
        </w:rPr>
        <w:t>ketentuan</w:t>
      </w:r>
      <w:r w:rsidR="00A954D0">
        <w:rPr>
          <w:rFonts w:ascii="Bookman Old Style" w:hAnsi="Bookman Old Style"/>
          <w:sz w:val="24"/>
          <w:szCs w:val="24"/>
          <w:lang w:val="it-IT"/>
        </w:rPr>
        <w:t xml:space="preserve"> </w:t>
      </w:r>
      <w:r w:rsidRPr="008D4051">
        <w:rPr>
          <w:rFonts w:ascii="Bookman Old Style" w:hAnsi="Bookman Old Style"/>
          <w:sz w:val="24"/>
          <w:szCs w:val="24"/>
          <w:lang w:val="it-IT"/>
        </w:rPr>
        <w:t>peraturan</w:t>
      </w:r>
      <w:r w:rsidR="00A954D0">
        <w:rPr>
          <w:rFonts w:ascii="Bookman Old Style" w:hAnsi="Bookman Old Style"/>
          <w:sz w:val="24"/>
          <w:szCs w:val="24"/>
          <w:lang w:val="it-IT"/>
        </w:rPr>
        <w:t xml:space="preserve"> </w:t>
      </w:r>
      <w:r w:rsidRPr="008D4051">
        <w:rPr>
          <w:rFonts w:ascii="Bookman Old Style" w:hAnsi="Bookman Old Style"/>
          <w:sz w:val="24"/>
          <w:szCs w:val="24"/>
          <w:lang w:val="it-IT"/>
        </w:rPr>
        <w:t>perundang-undangan</w:t>
      </w:r>
      <w:r w:rsidR="00154790">
        <w:rPr>
          <w:rFonts w:ascii="Bookman Old Style" w:hAnsi="Bookman Old Style"/>
          <w:sz w:val="24"/>
          <w:szCs w:val="24"/>
          <w:lang w:val="it-IT"/>
        </w:rPr>
        <w:t>;</w:t>
      </w:r>
    </w:p>
    <w:p w14:paraId="03438C03" w14:textId="4D73EA34" w:rsidR="007E4FE9" w:rsidRPr="008D4051" w:rsidRDefault="007E4FE9" w:rsidP="00154790">
      <w:pPr>
        <w:pStyle w:val="ListParagraph"/>
        <w:numPr>
          <w:ilvl w:val="0"/>
          <w:numId w:val="152"/>
        </w:numPr>
        <w:spacing w:before="60" w:after="0" w:line="276" w:lineRule="auto"/>
        <w:ind w:left="1276" w:hanging="283"/>
        <w:contextualSpacing w:val="0"/>
        <w:jc w:val="both"/>
        <w:rPr>
          <w:rFonts w:ascii="Bookman Old Style" w:hAnsi="Bookman Old Style"/>
          <w:sz w:val="24"/>
          <w:szCs w:val="24"/>
        </w:rPr>
      </w:pPr>
      <w:r w:rsidRPr="008D4051">
        <w:rPr>
          <w:rFonts w:ascii="Bookman Old Style" w:hAnsi="Bookman Old Style" w:cs="Arial"/>
          <w:sz w:val="24"/>
          <w:szCs w:val="24"/>
        </w:rPr>
        <w:t>Dalam</w:t>
      </w:r>
      <w:r w:rsidR="00A954D0">
        <w:rPr>
          <w:rFonts w:ascii="Bookman Old Style" w:hAnsi="Bookman Old Style" w:cs="Arial"/>
          <w:sz w:val="24"/>
          <w:szCs w:val="24"/>
          <w:lang w:val="en-US"/>
        </w:rPr>
        <w:t xml:space="preserve"> </w:t>
      </w:r>
      <w:r w:rsidRPr="008D4051">
        <w:rPr>
          <w:rFonts w:ascii="Bookman Old Style" w:hAnsi="Bookman Old Style" w:cs="Arial"/>
          <w:sz w:val="24"/>
          <w:szCs w:val="24"/>
          <w:lang w:val="en-US"/>
        </w:rPr>
        <w:t>hal</w:t>
      </w:r>
      <w:r w:rsidR="00A954D0">
        <w:rPr>
          <w:rFonts w:ascii="Bookman Old Style" w:hAnsi="Bookman Old Style" w:cs="Arial"/>
          <w:sz w:val="24"/>
          <w:szCs w:val="24"/>
          <w:lang w:val="en-US"/>
        </w:rPr>
        <w:t xml:space="preserve"> </w:t>
      </w:r>
      <w:r w:rsidRPr="008D4051">
        <w:rPr>
          <w:rFonts w:ascii="Bookman Old Style" w:hAnsi="Bookman Old Style" w:cs="Arial"/>
          <w:sz w:val="24"/>
          <w:szCs w:val="24"/>
          <w:lang w:val="en-US"/>
        </w:rPr>
        <w:t>APBD</w:t>
      </w:r>
      <w:r w:rsidR="00A954D0">
        <w:rPr>
          <w:rFonts w:ascii="Bookman Old Style" w:hAnsi="Bookman Old Style" w:cs="Arial"/>
          <w:sz w:val="24"/>
          <w:szCs w:val="24"/>
          <w:lang w:val="en-US"/>
        </w:rPr>
        <w:t xml:space="preserve"> </w:t>
      </w:r>
      <w:r w:rsidRPr="008D4051">
        <w:rPr>
          <w:rFonts w:ascii="Bookman Old Style" w:hAnsi="Bookman Old Style" w:cs="Arial"/>
          <w:sz w:val="24"/>
          <w:szCs w:val="24"/>
          <w:lang w:val="en-US"/>
        </w:rPr>
        <w:t>diperkirakan</w:t>
      </w:r>
      <w:r w:rsidR="00A954D0">
        <w:rPr>
          <w:rFonts w:ascii="Bookman Old Style" w:hAnsi="Bookman Old Style" w:cs="Arial"/>
          <w:sz w:val="24"/>
          <w:szCs w:val="24"/>
          <w:lang w:val="en-US"/>
        </w:rPr>
        <w:t xml:space="preserve"> </w:t>
      </w:r>
      <w:r w:rsidRPr="008D4051">
        <w:rPr>
          <w:rFonts w:ascii="Bookman Old Style" w:hAnsi="Bookman Old Style" w:cs="Arial"/>
          <w:sz w:val="24"/>
          <w:szCs w:val="24"/>
          <w:lang w:val="en-US"/>
        </w:rPr>
        <w:t>defisit,</w:t>
      </w:r>
      <w:r w:rsidR="00A954D0">
        <w:rPr>
          <w:rFonts w:ascii="Bookman Old Style" w:hAnsi="Bookman Old Style" w:cs="Arial"/>
          <w:sz w:val="24"/>
          <w:szCs w:val="24"/>
          <w:lang w:val="en-US"/>
        </w:rPr>
        <w:t xml:space="preserve"> </w:t>
      </w:r>
      <w:r w:rsidRPr="008D4051">
        <w:rPr>
          <w:rFonts w:ascii="Bookman Old Style" w:hAnsi="Bookman Old Style" w:cs="Arial"/>
          <w:sz w:val="24"/>
          <w:szCs w:val="24"/>
          <w:lang w:val="en-US"/>
        </w:rPr>
        <w:t>APBD</w:t>
      </w:r>
      <w:r w:rsidR="00A954D0">
        <w:rPr>
          <w:rFonts w:ascii="Bookman Old Style" w:hAnsi="Bookman Old Style" w:cs="Arial"/>
          <w:sz w:val="24"/>
          <w:szCs w:val="24"/>
          <w:lang w:val="en-US"/>
        </w:rPr>
        <w:t xml:space="preserve"> </w:t>
      </w:r>
      <w:r w:rsidRPr="008D4051">
        <w:rPr>
          <w:rFonts w:ascii="Bookman Old Style" w:hAnsi="Bookman Old Style" w:cs="Arial"/>
          <w:sz w:val="24"/>
          <w:szCs w:val="24"/>
          <w:lang w:val="en-US"/>
        </w:rPr>
        <w:t>dapat</w:t>
      </w:r>
      <w:r w:rsidR="00A954D0">
        <w:rPr>
          <w:rFonts w:ascii="Bookman Old Style" w:hAnsi="Bookman Old Style" w:cs="Arial"/>
          <w:sz w:val="24"/>
          <w:szCs w:val="24"/>
          <w:lang w:val="en-US"/>
        </w:rPr>
        <w:t xml:space="preserve"> </w:t>
      </w:r>
      <w:r w:rsidRPr="008D4051">
        <w:rPr>
          <w:rFonts w:ascii="Bookman Old Style" w:hAnsi="Bookman Old Style" w:cs="Arial"/>
          <w:sz w:val="24"/>
          <w:szCs w:val="24"/>
          <w:lang w:val="en-US"/>
        </w:rPr>
        <w:t>didanai</w:t>
      </w:r>
      <w:r w:rsidR="00A954D0">
        <w:rPr>
          <w:rFonts w:ascii="Bookman Old Style" w:hAnsi="Bookman Old Style" w:cs="Arial"/>
          <w:sz w:val="24"/>
          <w:szCs w:val="24"/>
          <w:lang w:val="en-US"/>
        </w:rPr>
        <w:t xml:space="preserve"> </w:t>
      </w:r>
      <w:r w:rsidRPr="008D4051">
        <w:rPr>
          <w:rFonts w:ascii="Bookman Old Style" w:hAnsi="Bookman Old Style" w:cs="Arial"/>
          <w:sz w:val="24"/>
          <w:szCs w:val="24"/>
          <w:lang w:val="en-US"/>
        </w:rPr>
        <w:t>dari</w:t>
      </w:r>
      <w:r w:rsidR="00A954D0">
        <w:rPr>
          <w:rFonts w:ascii="Bookman Old Style" w:hAnsi="Bookman Old Style" w:cs="Arial"/>
          <w:sz w:val="24"/>
          <w:szCs w:val="24"/>
          <w:lang w:val="en-US"/>
        </w:rPr>
        <w:t xml:space="preserve"> </w:t>
      </w:r>
      <w:r w:rsidRPr="008D4051">
        <w:rPr>
          <w:rFonts w:ascii="Bookman Old Style" w:hAnsi="Bookman Old Style" w:cs="Arial"/>
          <w:sz w:val="24"/>
          <w:szCs w:val="24"/>
          <w:lang w:val="en-US"/>
        </w:rPr>
        <w:t>pengeluaran</w:t>
      </w:r>
      <w:r w:rsidR="00A954D0">
        <w:rPr>
          <w:rFonts w:ascii="Bookman Old Style" w:hAnsi="Bookman Old Style" w:cs="Arial"/>
          <w:sz w:val="24"/>
          <w:szCs w:val="24"/>
          <w:lang w:val="en-US"/>
        </w:rPr>
        <w:t xml:space="preserve"> </w:t>
      </w:r>
      <w:r w:rsidRPr="008D4051">
        <w:rPr>
          <w:rFonts w:ascii="Bookman Old Style" w:hAnsi="Bookman Old Style" w:cs="Arial"/>
          <w:sz w:val="24"/>
          <w:szCs w:val="24"/>
          <w:lang w:val="en-US"/>
        </w:rPr>
        <w:t>pembiayaan</w:t>
      </w:r>
      <w:r w:rsidR="00A954D0">
        <w:rPr>
          <w:rFonts w:ascii="Bookman Old Style" w:hAnsi="Bookman Old Style" w:cs="Arial"/>
          <w:sz w:val="24"/>
          <w:szCs w:val="24"/>
          <w:lang w:val="en-US"/>
        </w:rPr>
        <w:t xml:space="preserve"> </w:t>
      </w:r>
      <w:r w:rsidRPr="008D4051">
        <w:rPr>
          <w:rFonts w:ascii="Bookman Old Style" w:hAnsi="Bookman Old Style" w:cs="Arial"/>
          <w:sz w:val="24"/>
          <w:szCs w:val="24"/>
          <w:lang w:val="en-US"/>
        </w:rPr>
        <w:t>daerah</w:t>
      </w:r>
      <w:r w:rsidR="00A954D0">
        <w:rPr>
          <w:rFonts w:ascii="Bookman Old Style" w:hAnsi="Bookman Old Style" w:cs="Arial"/>
          <w:sz w:val="24"/>
          <w:szCs w:val="24"/>
          <w:lang w:val="en-US"/>
        </w:rPr>
        <w:t xml:space="preserve"> </w:t>
      </w:r>
      <w:r w:rsidRPr="008D4051">
        <w:rPr>
          <w:rFonts w:ascii="Bookman Old Style" w:hAnsi="Bookman Old Style" w:cs="Arial"/>
          <w:sz w:val="24"/>
          <w:szCs w:val="24"/>
          <w:lang w:val="en-US"/>
        </w:rPr>
        <w:t>yang</w:t>
      </w:r>
      <w:r w:rsidR="00A954D0">
        <w:rPr>
          <w:rFonts w:ascii="Bookman Old Style" w:hAnsi="Bookman Old Style" w:cs="Arial"/>
          <w:sz w:val="24"/>
          <w:szCs w:val="24"/>
          <w:lang w:val="en-US"/>
        </w:rPr>
        <w:t xml:space="preserve"> </w:t>
      </w:r>
      <w:r w:rsidRPr="008D4051">
        <w:rPr>
          <w:rFonts w:ascii="Bookman Old Style" w:hAnsi="Bookman Old Style" w:cs="Arial"/>
          <w:sz w:val="24"/>
          <w:szCs w:val="24"/>
          <w:lang w:val="en-US"/>
        </w:rPr>
        <w:t>ditetapkan</w:t>
      </w:r>
      <w:r w:rsidR="00A954D0">
        <w:rPr>
          <w:rFonts w:ascii="Bookman Old Style" w:hAnsi="Bookman Old Style" w:cs="Arial"/>
          <w:sz w:val="24"/>
          <w:szCs w:val="24"/>
          <w:lang w:val="en-US"/>
        </w:rPr>
        <w:t xml:space="preserve"> </w:t>
      </w:r>
      <w:r w:rsidRPr="008D4051">
        <w:rPr>
          <w:rFonts w:ascii="Bookman Old Style" w:hAnsi="Bookman Old Style" w:cs="Arial"/>
          <w:sz w:val="24"/>
          <w:szCs w:val="24"/>
          <w:lang w:val="en-US"/>
        </w:rPr>
        <w:t>dalam</w:t>
      </w:r>
      <w:r w:rsidR="00A954D0">
        <w:rPr>
          <w:rFonts w:ascii="Bookman Old Style" w:hAnsi="Bookman Old Style" w:cs="Arial"/>
          <w:sz w:val="24"/>
          <w:szCs w:val="24"/>
          <w:lang w:val="en-US"/>
        </w:rPr>
        <w:t xml:space="preserve"> </w:t>
      </w:r>
      <w:r w:rsidRPr="008D4051">
        <w:rPr>
          <w:rFonts w:ascii="Bookman Old Style" w:hAnsi="Bookman Old Style" w:cs="Arial"/>
          <w:sz w:val="24"/>
          <w:szCs w:val="24"/>
          <w:lang w:val="en-US"/>
        </w:rPr>
        <w:t>Peraturan</w:t>
      </w:r>
      <w:r w:rsidR="00A954D0">
        <w:rPr>
          <w:rFonts w:ascii="Bookman Old Style" w:hAnsi="Bookman Old Style" w:cs="Arial"/>
          <w:sz w:val="24"/>
          <w:szCs w:val="24"/>
          <w:lang w:val="en-US"/>
        </w:rPr>
        <w:t xml:space="preserve"> </w:t>
      </w:r>
      <w:r w:rsidRPr="008D4051">
        <w:rPr>
          <w:rFonts w:ascii="Bookman Old Style" w:hAnsi="Bookman Old Style" w:cs="Arial"/>
          <w:sz w:val="24"/>
          <w:szCs w:val="24"/>
          <w:lang w:val="en-US"/>
        </w:rPr>
        <w:t>Daerah</w:t>
      </w:r>
      <w:r w:rsidR="00A954D0">
        <w:rPr>
          <w:rFonts w:ascii="Bookman Old Style" w:hAnsi="Bookman Old Style" w:cs="Arial"/>
          <w:sz w:val="24"/>
          <w:szCs w:val="24"/>
          <w:lang w:val="en-US"/>
        </w:rPr>
        <w:t xml:space="preserve"> </w:t>
      </w:r>
      <w:r w:rsidR="00B055C5" w:rsidRPr="008D4051">
        <w:rPr>
          <w:rFonts w:ascii="Bookman Old Style" w:hAnsi="Bookman Old Style" w:cs="Arial"/>
          <w:sz w:val="24"/>
          <w:szCs w:val="24"/>
          <w:lang w:val="de-DE"/>
        </w:rPr>
        <w:t>Kota</w:t>
      </w:r>
      <w:r w:rsidR="00A954D0">
        <w:rPr>
          <w:rFonts w:ascii="Bookman Old Style" w:hAnsi="Bookman Old Style" w:cs="Arial"/>
          <w:sz w:val="24"/>
          <w:szCs w:val="24"/>
          <w:lang w:val="de-DE"/>
        </w:rPr>
        <w:t xml:space="preserve"> </w:t>
      </w:r>
      <w:r w:rsidR="00770F22" w:rsidRPr="008D4051">
        <w:rPr>
          <w:rFonts w:ascii="Bookman Old Style" w:hAnsi="Bookman Old Style" w:cs="Arial"/>
          <w:sz w:val="24"/>
          <w:szCs w:val="24"/>
          <w:lang w:val="de-DE"/>
        </w:rPr>
        <w:t>Tangerang</w:t>
      </w:r>
      <w:r w:rsidR="00A954D0">
        <w:rPr>
          <w:rFonts w:ascii="Bookman Old Style" w:hAnsi="Bookman Old Style" w:cs="Arial"/>
          <w:sz w:val="24"/>
          <w:szCs w:val="24"/>
          <w:lang w:val="de-DE"/>
        </w:rPr>
        <w:t xml:space="preserve"> </w:t>
      </w:r>
      <w:r w:rsidR="00BE6ED9" w:rsidRPr="008D4051">
        <w:rPr>
          <w:rFonts w:ascii="Bookman Old Style" w:hAnsi="Bookman Old Style" w:cs="Arial"/>
          <w:sz w:val="24"/>
          <w:szCs w:val="24"/>
          <w:lang w:val="de-DE"/>
        </w:rPr>
        <w:t>tentang</w:t>
      </w:r>
      <w:r w:rsidR="00A954D0">
        <w:rPr>
          <w:rFonts w:ascii="Bookman Old Style" w:hAnsi="Bookman Old Style" w:cs="Arial"/>
          <w:sz w:val="24"/>
          <w:szCs w:val="24"/>
          <w:lang w:val="de-DE"/>
        </w:rPr>
        <w:t xml:space="preserve"> </w:t>
      </w:r>
      <w:r w:rsidR="00BE6ED9" w:rsidRPr="008D4051">
        <w:rPr>
          <w:rFonts w:ascii="Bookman Old Style" w:hAnsi="Bookman Old Style" w:cs="Arial"/>
          <w:sz w:val="24"/>
          <w:szCs w:val="24"/>
          <w:lang w:val="de-DE"/>
        </w:rPr>
        <w:t>APBD</w:t>
      </w:r>
      <w:r w:rsidR="00A954D0">
        <w:rPr>
          <w:rFonts w:ascii="Bookman Old Style" w:hAnsi="Bookman Old Style"/>
          <w:sz w:val="24"/>
          <w:szCs w:val="24"/>
        </w:rPr>
        <w:t xml:space="preserve"> </w:t>
      </w:r>
      <w:r w:rsidRPr="008D4051">
        <w:rPr>
          <w:rFonts w:ascii="Bookman Old Style" w:hAnsi="Bookman Old Style"/>
          <w:sz w:val="24"/>
          <w:szCs w:val="24"/>
        </w:rPr>
        <w:t>Tahun</w:t>
      </w:r>
      <w:r w:rsidR="00A954D0">
        <w:rPr>
          <w:rFonts w:ascii="Bookman Old Style" w:hAnsi="Bookman Old Style"/>
          <w:sz w:val="24"/>
          <w:szCs w:val="24"/>
        </w:rPr>
        <w:t xml:space="preserve"> </w:t>
      </w:r>
      <w:r w:rsidRPr="008D4051">
        <w:rPr>
          <w:rFonts w:ascii="Bookman Old Style" w:hAnsi="Bookman Old Style"/>
          <w:sz w:val="24"/>
          <w:szCs w:val="24"/>
        </w:rPr>
        <w:t>Anggaran</w:t>
      </w:r>
      <w:r w:rsidR="00A954D0">
        <w:rPr>
          <w:rFonts w:ascii="Bookman Old Style" w:hAnsi="Bookman Old Style"/>
          <w:sz w:val="24"/>
          <w:szCs w:val="24"/>
        </w:rPr>
        <w:t xml:space="preserve"> </w:t>
      </w:r>
      <w:r w:rsidRPr="008D4051">
        <w:rPr>
          <w:rFonts w:ascii="Bookman Old Style" w:hAnsi="Bookman Old Style"/>
          <w:sz w:val="24"/>
          <w:szCs w:val="24"/>
        </w:rPr>
        <w:t>202</w:t>
      </w:r>
      <w:r w:rsidRPr="008D4051">
        <w:rPr>
          <w:rFonts w:ascii="Bookman Old Style" w:hAnsi="Bookman Old Style"/>
          <w:sz w:val="24"/>
          <w:szCs w:val="24"/>
          <w:lang w:val="it-IT"/>
        </w:rPr>
        <w:t>5</w:t>
      </w:r>
      <w:r w:rsidR="00A954D0">
        <w:rPr>
          <w:rFonts w:ascii="Bookman Old Style" w:hAnsi="Bookman Old Style"/>
          <w:sz w:val="24"/>
          <w:szCs w:val="24"/>
          <w:lang w:val="it-IT"/>
        </w:rPr>
        <w:t xml:space="preserve"> </w:t>
      </w:r>
      <w:r w:rsidRPr="008D4051">
        <w:rPr>
          <w:rFonts w:ascii="Bookman Old Style" w:hAnsi="Bookman Old Style"/>
          <w:sz w:val="24"/>
          <w:szCs w:val="24"/>
          <w:lang w:val="it-IT"/>
        </w:rPr>
        <w:t>yang</w:t>
      </w:r>
      <w:r w:rsidR="00A954D0">
        <w:rPr>
          <w:rFonts w:ascii="Bookman Old Style" w:hAnsi="Bookman Old Style"/>
          <w:sz w:val="24"/>
          <w:szCs w:val="24"/>
          <w:lang w:val="it-IT"/>
        </w:rPr>
        <w:t xml:space="preserve"> </w:t>
      </w:r>
      <w:r w:rsidRPr="008D4051">
        <w:rPr>
          <w:rFonts w:ascii="Bookman Old Style" w:hAnsi="Bookman Old Style"/>
          <w:sz w:val="24"/>
          <w:szCs w:val="24"/>
          <w:lang w:val="it-IT"/>
        </w:rPr>
        <w:t>pelaksanaannya</w:t>
      </w:r>
      <w:r w:rsidR="00A954D0">
        <w:rPr>
          <w:rFonts w:ascii="Bookman Old Style" w:hAnsi="Bookman Old Style"/>
          <w:sz w:val="24"/>
          <w:szCs w:val="24"/>
          <w:lang w:val="it-IT"/>
        </w:rPr>
        <w:t xml:space="preserve"> </w:t>
      </w:r>
      <w:r w:rsidRPr="008D4051">
        <w:rPr>
          <w:rFonts w:ascii="Bookman Old Style" w:hAnsi="Bookman Old Style"/>
          <w:sz w:val="24"/>
          <w:szCs w:val="24"/>
          <w:lang w:val="it-IT"/>
        </w:rPr>
        <w:t>sesuai</w:t>
      </w:r>
      <w:r w:rsidR="00A954D0">
        <w:rPr>
          <w:rFonts w:ascii="Bookman Old Style" w:hAnsi="Bookman Old Style"/>
          <w:sz w:val="24"/>
          <w:szCs w:val="24"/>
          <w:lang w:val="it-IT"/>
        </w:rPr>
        <w:t xml:space="preserve"> </w:t>
      </w:r>
      <w:r w:rsidRPr="008D4051">
        <w:rPr>
          <w:rFonts w:ascii="Bookman Old Style" w:hAnsi="Bookman Old Style"/>
          <w:sz w:val="24"/>
          <w:szCs w:val="24"/>
          <w:lang w:val="it-IT"/>
        </w:rPr>
        <w:t>dengan</w:t>
      </w:r>
      <w:r w:rsidR="00A954D0">
        <w:rPr>
          <w:rFonts w:ascii="Bookman Old Style" w:hAnsi="Bookman Old Style"/>
          <w:sz w:val="24"/>
          <w:szCs w:val="24"/>
          <w:lang w:val="it-IT"/>
        </w:rPr>
        <w:t xml:space="preserve"> </w:t>
      </w:r>
      <w:r w:rsidRPr="008D4051">
        <w:rPr>
          <w:rFonts w:ascii="Bookman Old Style" w:hAnsi="Bookman Old Style"/>
          <w:sz w:val="24"/>
          <w:szCs w:val="24"/>
          <w:lang w:val="it-IT"/>
        </w:rPr>
        <w:t>ketentuan</w:t>
      </w:r>
      <w:r w:rsidR="00A954D0">
        <w:rPr>
          <w:rFonts w:ascii="Bookman Old Style" w:hAnsi="Bookman Old Style"/>
          <w:sz w:val="24"/>
          <w:szCs w:val="24"/>
          <w:lang w:val="it-IT"/>
        </w:rPr>
        <w:t xml:space="preserve"> </w:t>
      </w:r>
      <w:r w:rsidRPr="008D4051">
        <w:rPr>
          <w:rFonts w:ascii="Bookman Old Style" w:hAnsi="Bookman Old Style"/>
          <w:sz w:val="24"/>
          <w:szCs w:val="24"/>
          <w:lang w:val="it-IT"/>
        </w:rPr>
        <w:t>peraturan</w:t>
      </w:r>
      <w:r w:rsidR="00A954D0">
        <w:rPr>
          <w:rFonts w:ascii="Bookman Old Style" w:hAnsi="Bookman Old Style"/>
          <w:sz w:val="24"/>
          <w:szCs w:val="24"/>
          <w:lang w:val="it-IT"/>
        </w:rPr>
        <w:t xml:space="preserve"> </w:t>
      </w:r>
      <w:r w:rsidRPr="008D4051">
        <w:rPr>
          <w:rFonts w:ascii="Bookman Old Style" w:hAnsi="Bookman Old Style"/>
          <w:sz w:val="24"/>
          <w:szCs w:val="24"/>
          <w:lang w:val="it-IT"/>
        </w:rPr>
        <w:t>perundang-undangan.</w:t>
      </w:r>
    </w:p>
    <w:p w14:paraId="515F142C" w14:textId="5C1FD13C" w:rsidR="007E4FE9" w:rsidRPr="00955487" w:rsidRDefault="007E4FE9">
      <w:pPr>
        <w:pStyle w:val="ListParagraph"/>
        <w:numPr>
          <w:ilvl w:val="0"/>
          <w:numId w:val="151"/>
        </w:numPr>
        <w:spacing w:before="60" w:after="0" w:line="276" w:lineRule="auto"/>
        <w:ind w:left="993" w:hanging="426"/>
        <w:contextualSpacing w:val="0"/>
        <w:jc w:val="both"/>
        <w:rPr>
          <w:rFonts w:ascii="Bookman Old Style" w:hAnsi="Bookman Old Style"/>
          <w:sz w:val="24"/>
          <w:szCs w:val="24"/>
        </w:rPr>
      </w:pPr>
      <w:r w:rsidRPr="00955487">
        <w:rPr>
          <w:rFonts w:ascii="Bookman Old Style" w:hAnsi="Bookman Old Style"/>
          <w:sz w:val="24"/>
          <w:szCs w:val="24"/>
        </w:rPr>
        <w:t>Analisis</w:t>
      </w:r>
      <w:r w:rsidR="00A954D0">
        <w:rPr>
          <w:rFonts w:ascii="Bookman Old Style" w:hAnsi="Bookman Old Style"/>
          <w:sz w:val="24"/>
          <w:szCs w:val="24"/>
        </w:rPr>
        <w:t xml:space="preserve"> </w:t>
      </w:r>
      <w:r w:rsidRPr="00955487">
        <w:rPr>
          <w:rFonts w:ascii="Bookman Old Style" w:hAnsi="Bookman Old Style"/>
          <w:sz w:val="24"/>
          <w:szCs w:val="24"/>
        </w:rPr>
        <w:t>Pembiayaan</w:t>
      </w:r>
      <w:r w:rsidR="00A954D0">
        <w:rPr>
          <w:rFonts w:ascii="Bookman Old Style" w:hAnsi="Bookman Old Style"/>
          <w:sz w:val="24"/>
          <w:szCs w:val="24"/>
        </w:rPr>
        <w:t xml:space="preserve"> </w:t>
      </w:r>
      <w:r w:rsidRPr="00955487">
        <w:rPr>
          <w:rFonts w:ascii="Bookman Old Style" w:hAnsi="Bookman Old Style"/>
          <w:sz w:val="24"/>
          <w:szCs w:val="24"/>
        </w:rPr>
        <w:t>Daerah</w:t>
      </w:r>
    </w:p>
    <w:p w14:paraId="46C9F490" w14:textId="41C82CB9" w:rsidR="00D851C0" w:rsidRDefault="00C97073" w:rsidP="00022375">
      <w:pPr>
        <w:spacing w:before="60" w:line="276" w:lineRule="auto"/>
        <w:ind w:left="993"/>
        <w:jc w:val="both"/>
        <w:rPr>
          <w:rFonts w:ascii="Bookman Old Style" w:hAnsi="Bookman Old Style" w:cs="Arial"/>
          <w:color w:val="000000" w:themeColor="text1"/>
        </w:rPr>
      </w:pPr>
      <w:r w:rsidRPr="00955487">
        <w:rPr>
          <w:rFonts w:ascii="Bookman Old Style" w:hAnsi="Bookman Old Style" w:cs="Arial"/>
        </w:rPr>
        <w:t>Penyediaan</w:t>
      </w:r>
      <w:r w:rsidR="00A954D0">
        <w:rPr>
          <w:rFonts w:ascii="Bookman Old Style" w:hAnsi="Bookman Old Style" w:cs="Arial"/>
        </w:rPr>
        <w:t xml:space="preserve"> </w:t>
      </w:r>
      <w:r w:rsidRPr="00955487">
        <w:rPr>
          <w:rFonts w:ascii="Bookman Old Style" w:hAnsi="Bookman Old Style" w:cs="Arial"/>
        </w:rPr>
        <w:t>alokasi</w:t>
      </w:r>
      <w:r w:rsidR="00A954D0">
        <w:rPr>
          <w:rFonts w:ascii="Bookman Old Style" w:hAnsi="Bookman Old Style" w:cs="Arial"/>
        </w:rPr>
        <w:t xml:space="preserve"> </w:t>
      </w:r>
      <w:r w:rsidRPr="00955487">
        <w:rPr>
          <w:rFonts w:ascii="Bookman Old Style" w:hAnsi="Bookman Old Style" w:cs="Arial"/>
        </w:rPr>
        <w:t>pembiayaan</w:t>
      </w:r>
      <w:r w:rsidR="00A954D0">
        <w:rPr>
          <w:rFonts w:ascii="Bookman Old Style" w:hAnsi="Bookman Old Style" w:cs="Arial"/>
        </w:rPr>
        <w:t xml:space="preserve"> </w:t>
      </w:r>
      <w:r w:rsidRPr="00955487">
        <w:rPr>
          <w:rFonts w:ascii="Bookman Old Style" w:hAnsi="Bookman Old Style" w:cs="Arial"/>
        </w:rPr>
        <w:t>daerah</w:t>
      </w:r>
      <w:r w:rsidR="00A954D0">
        <w:rPr>
          <w:rFonts w:ascii="Bookman Old Style" w:hAnsi="Bookman Old Style" w:cs="Arial"/>
        </w:rPr>
        <w:t xml:space="preserve"> </w:t>
      </w:r>
      <w:r w:rsidRPr="00955487">
        <w:rPr>
          <w:rFonts w:ascii="Bookman Old Style" w:hAnsi="Bookman Old Style" w:cs="Arial"/>
        </w:rPr>
        <w:t>dalam</w:t>
      </w:r>
      <w:r w:rsidR="00A954D0">
        <w:rPr>
          <w:rFonts w:ascii="Bookman Old Style" w:hAnsi="Bookman Old Style" w:cs="Arial"/>
        </w:rPr>
        <w:t xml:space="preserve"> </w:t>
      </w:r>
      <w:r w:rsidRPr="00955487">
        <w:rPr>
          <w:rFonts w:ascii="Bookman Old Style" w:hAnsi="Bookman Old Style" w:cs="Arial"/>
        </w:rPr>
        <w:t>Rancangan</w:t>
      </w:r>
      <w:r w:rsidR="00A954D0">
        <w:rPr>
          <w:rFonts w:ascii="Bookman Old Style" w:hAnsi="Bookman Old Style" w:cs="Arial"/>
        </w:rPr>
        <w:t xml:space="preserve"> </w:t>
      </w:r>
      <w:r w:rsidRPr="00955487">
        <w:rPr>
          <w:rFonts w:ascii="Bookman Old Style" w:hAnsi="Bookman Old Style" w:cs="Arial"/>
        </w:rPr>
        <w:t>Peraturan</w:t>
      </w:r>
      <w:r w:rsidR="00A954D0">
        <w:rPr>
          <w:rFonts w:ascii="Bookman Old Style" w:hAnsi="Bookman Old Style" w:cs="Arial"/>
        </w:rPr>
        <w:t xml:space="preserve"> </w:t>
      </w:r>
      <w:r w:rsidRPr="00955487">
        <w:rPr>
          <w:rFonts w:ascii="Bookman Old Style" w:hAnsi="Bookman Old Style" w:cs="Arial"/>
        </w:rPr>
        <w:t>Daerah</w:t>
      </w:r>
      <w:r w:rsidR="00A954D0">
        <w:rPr>
          <w:rFonts w:ascii="Bookman Old Style" w:hAnsi="Bookman Old Style"/>
          <w:color w:val="FF0000"/>
        </w:rPr>
        <w:t xml:space="preserve"> </w:t>
      </w:r>
      <w:r w:rsidR="00B055C5" w:rsidRPr="00955487">
        <w:rPr>
          <w:rFonts w:ascii="Bookman Old Style" w:hAnsi="Bookman Old Style" w:cs="Arial"/>
          <w:lang w:val="de-DE"/>
        </w:rPr>
        <w:t>Kota</w:t>
      </w:r>
      <w:r w:rsidR="00A954D0">
        <w:rPr>
          <w:rFonts w:ascii="Bookman Old Style" w:hAnsi="Bookman Old Style" w:cs="Arial"/>
          <w:lang w:val="de-DE"/>
        </w:rPr>
        <w:t xml:space="preserve"> </w:t>
      </w:r>
      <w:r w:rsidR="00770F22" w:rsidRPr="00955487">
        <w:rPr>
          <w:rFonts w:ascii="Bookman Old Style" w:hAnsi="Bookman Old Style" w:cs="Arial"/>
          <w:lang w:val="de-DE"/>
        </w:rPr>
        <w:t>Tangerang</w:t>
      </w:r>
      <w:r w:rsidR="00A954D0">
        <w:rPr>
          <w:rFonts w:ascii="Bookman Old Style" w:hAnsi="Bookman Old Style" w:cs="Arial"/>
          <w:lang w:val="de-DE"/>
        </w:rPr>
        <w:t xml:space="preserve"> </w:t>
      </w:r>
      <w:r w:rsidRPr="00955487">
        <w:rPr>
          <w:rFonts w:ascii="Bookman Old Style" w:hAnsi="Bookman Old Style" w:cs="Arial"/>
        </w:rPr>
        <w:t>tentang</w:t>
      </w:r>
      <w:r w:rsidR="00A954D0">
        <w:rPr>
          <w:rFonts w:ascii="Bookman Old Style" w:hAnsi="Bookman Old Style" w:cs="Arial"/>
        </w:rPr>
        <w:t xml:space="preserve"> </w:t>
      </w:r>
      <w:r w:rsidRPr="00955487">
        <w:rPr>
          <w:rFonts w:ascii="Bookman Old Style" w:hAnsi="Bookman Old Style" w:cs="Arial"/>
        </w:rPr>
        <w:t>APBD</w:t>
      </w:r>
      <w:r w:rsidR="00A954D0">
        <w:rPr>
          <w:rFonts w:ascii="Bookman Old Style" w:hAnsi="Bookman Old Style" w:cs="Arial"/>
        </w:rPr>
        <w:t xml:space="preserve"> </w:t>
      </w:r>
      <w:r w:rsidRPr="00955487">
        <w:rPr>
          <w:rFonts w:ascii="Bookman Old Style" w:hAnsi="Bookman Old Style" w:cs="Arial"/>
        </w:rPr>
        <w:t>Tahun</w:t>
      </w:r>
      <w:r w:rsidR="00A954D0">
        <w:rPr>
          <w:rFonts w:ascii="Bookman Old Style" w:hAnsi="Bookman Old Style" w:cs="Arial"/>
        </w:rPr>
        <w:t xml:space="preserve"> </w:t>
      </w:r>
      <w:r w:rsidRPr="00955487">
        <w:rPr>
          <w:rFonts w:ascii="Bookman Old Style" w:hAnsi="Bookman Old Style" w:cs="Arial"/>
        </w:rPr>
        <w:t>Anggaran</w:t>
      </w:r>
      <w:r w:rsidR="00A954D0">
        <w:rPr>
          <w:rFonts w:ascii="Bookman Old Style" w:hAnsi="Bookman Old Style" w:cs="Arial"/>
        </w:rPr>
        <w:t xml:space="preserve"> </w:t>
      </w:r>
      <w:r w:rsidRPr="00955487">
        <w:rPr>
          <w:rFonts w:ascii="Bookman Old Style" w:hAnsi="Bookman Old Style" w:cs="Arial"/>
        </w:rPr>
        <w:t>202</w:t>
      </w:r>
      <w:r w:rsidR="007E4FE9" w:rsidRPr="00955487">
        <w:rPr>
          <w:rFonts w:ascii="Bookman Old Style" w:hAnsi="Bookman Old Style" w:cs="Arial"/>
        </w:rPr>
        <w:t>5</w:t>
      </w:r>
      <w:r w:rsidR="00A954D0">
        <w:rPr>
          <w:rFonts w:ascii="Bookman Old Style" w:hAnsi="Bookman Old Style" w:cs="Arial"/>
        </w:rPr>
        <w:t xml:space="preserve"> </w:t>
      </w:r>
      <w:r w:rsidR="007A7D32" w:rsidRPr="00955487">
        <w:rPr>
          <w:rFonts w:ascii="Bookman Old Style" w:hAnsi="Bookman Old Style" w:cs="Arial"/>
        </w:rPr>
        <w:t>Rp400.789.809.045,00</w:t>
      </w:r>
      <w:r w:rsidR="00A954D0">
        <w:rPr>
          <w:rFonts w:ascii="Bookman Old Style" w:hAnsi="Bookman Old Style" w:cs="Arial"/>
        </w:rPr>
        <w:t xml:space="preserve"> </w:t>
      </w:r>
      <w:r w:rsidR="00EA2ACA" w:rsidRPr="00955487">
        <w:rPr>
          <w:rFonts w:ascii="Bookman Old Style" w:hAnsi="Bookman Old Style" w:cs="Arial"/>
        </w:rPr>
        <w:t>atau</w:t>
      </w:r>
      <w:r w:rsidR="00A954D0">
        <w:rPr>
          <w:rFonts w:ascii="Bookman Old Style" w:hAnsi="Bookman Old Style" w:cs="Arial"/>
        </w:rPr>
        <w:t xml:space="preserve"> </w:t>
      </w:r>
      <w:r w:rsidR="00EA2ACA" w:rsidRPr="00955487">
        <w:rPr>
          <w:rFonts w:ascii="Bookman Old Style" w:hAnsi="Bookman Old Style" w:cs="Arial"/>
        </w:rPr>
        <w:t>7,</w:t>
      </w:r>
      <w:r w:rsidR="001472CE" w:rsidRPr="00955487">
        <w:rPr>
          <w:rFonts w:ascii="Bookman Old Style" w:hAnsi="Bookman Old Style" w:cs="Arial"/>
        </w:rPr>
        <w:t>02</w:t>
      </w:r>
      <w:r w:rsidR="00EA2ACA" w:rsidRPr="00955487">
        <w:rPr>
          <w:rFonts w:ascii="Bookman Old Style" w:hAnsi="Bookman Old Style" w:cs="Arial"/>
        </w:rPr>
        <w:t>%</w:t>
      </w:r>
      <w:r w:rsidR="00A954D0">
        <w:rPr>
          <w:rFonts w:ascii="Bookman Old Style" w:hAnsi="Bookman Old Style" w:cs="Arial"/>
        </w:rPr>
        <w:t xml:space="preserve"> </w:t>
      </w:r>
      <w:r w:rsidR="00EA2ACA" w:rsidRPr="00955487">
        <w:rPr>
          <w:rFonts w:ascii="Bookman Old Style" w:hAnsi="Bookman Old Style" w:cs="Arial"/>
        </w:rPr>
        <w:t>dari</w:t>
      </w:r>
      <w:r w:rsidR="00A954D0">
        <w:rPr>
          <w:rFonts w:ascii="Bookman Old Style" w:hAnsi="Bookman Old Style" w:cs="Arial"/>
        </w:rPr>
        <w:t xml:space="preserve"> </w:t>
      </w:r>
      <w:r w:rsidR="00EA2ACA" w:rsidRPr="00955487">
        <w:rPr>
          <w:rFonts w:ascii="Bookman Old Style" w:hAnsi="Bookman Old Style" w:cs="Arial"/>
        </w:rPr>
        <w:t>total</w:t>
      </w:r>
      <w:r w:rsidR="00A954D0">
        <w:rPr>
          <w:rFonts w:ascii="Bookman Old Style" w:hAnsi="Bookman Old Style" w:cs="Arial"/>
        </w:rPr>
        <w:t xml:space="preserve"> </w:t>
      </w:r>
      <w:r w:rsidR="00EA2ACA" w:rsidRPr="00955487">
        <w:rPr>
          <w:rFonts w:ascii="Bookman Old Style" w:hAnsi="Bookman Old Style" w:cs="Arial"/>
        </w:rPr>
        <w:t>belanja</w:t>
      </w:r>
      <w:r w:rsidR="00A954D0">
        <w:rPr>
          <w:rFonts w:ascii="Bookman Old Style" w:hAnsi="Bookman Old Style" w:cs="Arial"/>
        </w:rPr>
        <w:t xml:space="preserve"> </w:t>
      </w:r>
      <w:r w:rsidR="00EA2ACA" w:rsidRPr="00955487">
        <w:rPr>
          <w:rFonts w:ascii="Bookman Old Style" w:hAnsi="Bookman Old Style" w:cs="Arial"/>
        </w:rPr>
        <w:t>daerah</w:t>
      </w:r>
      <w:r w:rsidR="00A954D0">
        <w:rPr>
          <w:rFonts w:ascii="Bookman Old Style" w:hAnsi="Bookman Old Style" w:cs="Arial"/>
          <w:color w:val="FF0000"/>
        </w:rPr>
        <w:t xml:space="preserve"> </w:t>
      </w:r>
      <w:r w:rsidRPr="00955487">
        <w:rPr>
          <w:rFonts w:ascii="Bookman Old Style" w:hAnsi="Bookman Old Style" w:cs="Arial"/>
          <w:color w:val="000000" w:themeColor="text1"/>
        </w:rPr>
        <w:t>sebagaimana</w:t>
      </w:r>
      <w:r w:rsidR="00A954D0">
        <w:rPr>
          <w:rFonts w:ascii="Bookman Old Style" w:hAnsi="Bookman Old Style" w:cs="Arial"/>
          <w:color w:val="000000" w:themeColor="text1"/>
        </w:rPr>
        <w:t xml:space="preserve"> </w:t>
      </w:r>
      <w:r w:rsidRPr="00955487">
        <w:rPr>
          <w:rFonts w:ascii="Bookman Old Style" w:hAnsi="Bookman Old Style" w:cs="Arial"/>
          <w:color w:val="000000" w:themeColor="text1"/>
        </w:rPr>
        <w:t>Tabel</w:t>
      </w:r>
      <w:r w:rsidR="00A954D0">
        <w:rPr>
          <w:rFonts w:ascii="Bookman Old Style" w:hAnsi="Bookman Old Style" w:cs="Arial"/>
          <w:color w:val="000000" w:themeColor="text1"/>
        </w:rPr>
        <w:t xml:space="preserve"> </w:t>
      </w:r>
      <w:r w:rsidR="00797E71" w:rsidRPr="00955487">
        <w:rPr>
          <w:rFonts w:ascii="Bookman Old Style" w:hAnsi="Bookman Old Style" w:cs="Arial"/>
          <w:color w:val="000000" w:themeColor="text1"/>
        </w:rPr>
        <w:t>26</w:t>
      </w:r>
      <w:r w:rsidR="00A954D0">
        <w:rPr>
          <w:rFonts w:ascii="Bookman Old Style" w:hAnsi="Bookman Old Style" w:cs="Arial"/>
          <w:color w:val="000000" w:themeColor="text1"/>
        </w:rPr>
        <w:t xml:space="preserve"> </w:t>
      </w:r>
      <w:r w:rsidRPr="00955487">
        <w:rPr>
          <w:rFonts w:ascii="Bookman Old Style" w:hAnsi="Bookman Old Style" w:cs="Arial"/>
          <w:color w:val="000000" w:themeColor="text1"/>
        </w:rPr>
        <w:t>sebagai</w:t>
      </w:r>
      <w:r w:rsidR="00A954D0">
        <w:rPr>
          <w:rFonts w:ascii="Bookman Old Style" w:hAnsi="Bookman Old Style" w:cs="Arial"/>
          <w:color w:val="000000" w:themeColor="text1"/>
        </w:rPr>
        <w:t xml:space="preserve"> </w:t>
      </w:r>
      <w:r w:rsidRPr="00955487">
        <w:rPr>
          <w:rFonts w:ascii="Bookman Old Style" w:hAnsi="Bookman Old Style" w:cs="Arial"/>
          <w:color w:val="000000" w:themeColor="text1"/>
        </w:rPr>
        <w:t>berikut:</w:t>
      </w:r>
    </w:p>
    <w:p w14:paraId="0B911355" w14:textId="77777777" w:rsidR="002F2AA9" w:rsidRPr="00955487" w:rsidRDefault="002F2AA9" w:rsidP="00022375">
      <w:pPr>
        <w:spacing w:before="60" w:line="276" w:lineRule="auto"/>
        <w:ind w:left="993"/>
        <w:jc w:val="both"/>
        <w:rPr>
          <w:rFonts w:ascii="Bookman Old Style" w:hAnsi="Bookman Old Style" w:cs="Arial"/>
          <w:color w:val="000000" w:themeColor="text1"/>
        </w:rPr>
      </w:pPr>
    </w:p>
    <w:p w14:paraId="32BC02EE" w14:textId="3ED7ACF7" w:rsidR="000D780F" w:rsidRPr="00955487" w:rsidRDefault="00733EBF" w:rsidP="00727324">
      <w:pPr>
        <w:spacing w:before="60" w:line="276" w:lineRule="auto"/>
        <w:ind w:left="993"/>
        <w:jc w:val="center"/>
        <w:rPr>
          <w:rFonts w:ascii="Bookman Old Style" w:hAnsi="Bookman Old Style" w:cs="Arial"/>
        </w:rPr>
      </w:pPr>
      <w:r w:rsidRPr="00955487">
        <w:rPr>
          <w:rFonts w:ascii="Bookman Old Style" w:hAnsi="Bookman Old Style" w:cs="Arial"/>
        </w:rPr>
        <w:t>Tabel</w:t>
      </w:r>
      <w:r w:rsidR="00A954D0">
        <w:rPr>
          <w:rFonts w:ascii="Bookman Old Style" w:hAnsi="Bookman Old Style" w:cs="Arial"/>
        </w:rPr>
        <w:t xml:space="preserve"> </w:t>
      </w:r>
      <w:r w:rsidR="00B53F33" w:rsidRPr="00955487">
        <w:rPr>
          <w:rFonts w:ascii="Bookman Old Style" w:hAnsi="Bookman Old Style" w:cs="Arial"/>
        </w:rPr>
        <w:t>2</w:t>
      </w:r>
      <w:r w:rsidR="00797E71" w:rsidRPr="00955487">
        <w:rPr>
          <w:rFonts w:ascii="Bookman Old Style" w:hAnsi="Bookman Old Style" w:cs="Arial"/>
        </w:rPr>
        <w:t>6</w:t>
      </w:r>
    </w:p>
    <w:p w14:paraId="509B721E" w14:textId="4979BB09" w:rsidR="000D780F" w:rsidRPr="00955487" w:rsidRDefault="000D780F" w:rsidP="00727324">
      <w:pPr>
        <w:spacing w:before="60" w:line="276" w:lineRule="auto"/>
        <w:ind w:left="992"/>
        <w:jc w:val="center"/>
        <w:rPr>
          <w:rFonts w:ascii="Bookman Old Style" w:hAnsi="Bookman Old Style" w:cs="Arial"/>
          <w:color w:val="FF0000"/>
        </w:rPr>
      </w:pPr>
      <w:r w:rsidRPr="00955487">
        <w:rPr>
          <w:rFonts w:ascii="Bookman Old Style" w:hAnsi="Bookman Old Style" w:cs="Arial"/>
        </w:rPr>
        <w:t>Pembiayaan</w:t>
      </w:r>
      <w:r w:rsidR="00A954D0">
        <w:rPr>
          <w:rFonts w:ascii="Bookman Old Style" w:hAnsi="Bookman Old Style" w:cs="Arial"/>
        </w:rPr>
        <w:t xml:space="preserve"> </w:t>
      </w:r>
      <w:r w:rsidRPr="00955487">
        <w:rPr>
          <w:rFonts w:ascii="Bookman Old Style" w:hAnsi="Bookman Old Style" w:cs="Arial"/>
        </w:rPr>
        <w:t>Daerah</w:t>
      </w:r>
    </w:p>
    <w:tbl>
      <w:tblPr>
        <w:tblW w:w="8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8"/>
        <w:gridCol w:w="2693"/>
        <w:gridCol w:w="2199"/>
      </w:tblGrid>
      <w:tr w:rsidR="003C1F03" w:rsidRPr="00955487" w14:paraId="2CFAC89B" w14:textId="77777777" w:rsidTr="007E50CA">
        <w:trPr>
          <w:trHeight w:val="954"/>
          <w:tblHeader/>
          <w:jc w:val="center"/>
        </w:trPr>
        <w:tc>
          <w:tcPr>
            <w:tcW w:w="3818" w:type="dxa"/>
            <w:shd w:val="clear" w:color="auto" w:fill="auto"/>
            <w:vAlign w:val="center"/>
            <w:hideMark/>
          </w:tcPr>
          <w:p w14:paraId="6A301BE3" w14:textId="77777777" w:rsidR="003C1F03" w:rsidRPr="00955487" w:rsidRDefault="003C1F03" w:rsidP="006533A4">
            <w:pPr>
              <w:spacing w:line="276" w:lineRule="auto"/>
              <w:jc w:val="center"/>
              <w:rPr>
                <w:rFonts w:ascii="Bookman Old Style" w:hAnsi="Bookman Old Style"/>
                <w:b/>
                <w:bCs/>
                <w:color w:val="000000"/>
                <w:sz w:val="20"/>
                <w:szCs w:val="20"/>
                <w:lang w:eastAsia="id-ID"/>
              </w:rPr>
            </w:pPr>
            <w:r w:rsidRPr="00955487">
              <w:rPr>
                <w:rFonts w:ascii="Bookman Old Style" w:hAnsi="Bookman Old Style"/>
                <w:b/>
                <w:bCs/>
                <w:color w:val="000000"/>
                <w:sz w:val="20"/>
                <w:szCs w:val="20"/>
                <w:lang w:eastAsia="id-ID"/>
              </w:rPr>
              <w:t>Uraian</w:t>
            </w:r>
          </w:p>
        </w:tc>
        <w:tc>
          <w:tcPr>
            <w:tcW w:w="2693" w:type="dxa"/>
            <w:shd w:val="clear" w:color="auto" w:fill="auto"/>
            <w:vAlign w:val="center"/>
            <w:hideMark/>
          </w:tcPr>
          <w:p w14:paraId="1B0E820E" w14:textId="1EAA078F" w:rsidR="003C1F03" w:rsidRPr="003255BC" w:rsidRDefault="003C1F03" w:rsidP="006533A4">
            <w:pPr>
              <w:spacing w:line="276" w:lineRule="auto"/>
              <w:jc w:val="center"/>
              <w:rPr>
                <w:rFonts w:ascii="Bookman Old Style" w:hAnsi="Bookman Old Style"/>
                <w:b/>
                <w:bCs/>
                <w:color w:val="000000"/>
                <w:sz w:val="20"/>
                <w:szCs w:val="20"/>
                <w:lang w:val="sv-FI" w:eastAsia="id-ID"/>
              </w:rPr>
            </w:pPr>
            <w:r w:rsidRPr="003255BC">
              <w:rPr>
                <w:rFonts w:ascii="Bookman Old Style" w:hAnsi="Bookman Old Style"/>
                <w:b/>
                <w:bCs/>
                <w:color w:val="000000"/>
                <w:sz w:val="20"/>
                <w:szCs w:val="20"/>
                <w:lang w:val="sv-FI" w:eastAsia="id-ID"/>
              </w:rPr>
              <w:t>Rancangan</w:t>
            </w:r>
            <w:r w:rsidR="00A954D0" w:rsidRPr="003255BC">
              <w:rPr>
                <w:rFonts w:ascii="Bookman Old Style" w:hAnsi="Bookman Old Style"/>
                <w:b/>
                <w:bCs/>
                <w:color w:val="000000"/>
                <w:sz w:val="20"/>
                <w:szCs w:val="20"/>
                <w:lang w:val="sv-FI" w:eastAsia="id-ID"/>
              </w:rPr>
              <w:t xml:space="preserve"> </w:t>
            </w:r>
            <w:r w:rsidRPr="003255BC">
              <w:rPr>
                <w:rFonts w:ascii="Bookman Old Style" w:hAnsi="Bookman Old Style"/>
                <w:b/>
                <w:bCs/>
                <w:color w:val="000000"/>
                <w:sz w:val="20"/>
                <w:szCs w:val="20"/>
                <w:lang w:val="sv-FI" w:eastAsia="id-ID"/>
              </w:rPr>
              <w:t>APBD</w:t>
            </w:r>
            <w:r w:rsidR="00A954D0" w:rsidRPr="003255BC">
              <w:rPr>
                <w:rFonts w:ascii="Bookman Old Style" w:hAnsi="Bookman Old Style"/>
                <w:b/>
                <w:bCs/>
                <w:color w:val="000000"/>
                <w:sz w:val="20"/>
                <w:szCs w:val="20"/>
                <w:lang w:val="sv-FI" w:eastAsia="id-ID"/>
              </w:rPr>
              <w:t xml:space="preserve"> </w:t>
            </w:r>
            <w:r w:rsidRPr="003255BC">
              <w:rPr>
                <w:rFonts w:ascii="Bookman Old Style" w:hAnsi="Bookman Old Style"/>
                <w:b/>
                <w:bCs/>
                <w:color w:val="000000"/>
                <w:sz w:val="20"/>
                <w:szCs w:val="20"/>
                <w:lang w:val="sv-FI" w:eastAsia="id-ID"/>
              </w:rPr>
              <w:t>Tahun</w:t>
            </w:r>
            <w:r w:rsidR="00A954D0" w:rsidRPr="003255BC">
              <w:rPr>
                <w:rFonts w:ascii="Bookman Old Style" w:hAnsi="Bookman Old Style"/>
                <w:b/>
                <w:bCs/>
                <w:color w:val="000000"/>
                <w:sz w:val="20"/>
                <w:szCs w:val="20"/>
                <w:lang w:val="sv-FI" w:eastAsia="id-ID"/>
              </w:rPr>
              <w:t xml:space="preserve"> </w:t>
            </w:r>
            <w:r w:rsidRPr="003255BC">
              <w:rPr>
                <w:rFonts w:ascii="Bookman Old Style" w:hAnsi="Bookman Old Style"/>
                <w:b/>
                <w:bCs/>
                <w:color w:val="000000"/>
                <w:sz w:val="20"/>
                <w:szCs w:val="20"/>
                <w:lang w:val="sv-FI" w:eastAsia="id-ID"/>
              </w:rPr>
              <w:t>Anggaran</w:t>
            </w:r>
            <w:r w:rsidR="00A954D0" w:rsidRPr="003255BC">
              <w:rPr>
                <w:rFonts w:ascii="Bookman Old Style" w:hAnsi="Bookman Old Style"/>
                <w:b/>
                <w:bCs/>
                <w:color w:val="000000"/>
                <w:sz w:val="20"/>
                <w:szCs w:val="20"/>
                <w:lang w:val="sv-FI" w:eastAsia="id-ID"/>
              </w:rPr>
              <w:t xml:space="preserve"> </w:t>
            </w:r>
            <w:r w:rsidRPr="003255BC">
              <w:rPr>
                <w:rFonts w:ascii="Bookman Old Style" w:hAnsi="Bookman Old Style"/>
                <w:b/>
                <w:bCs/>
                <w:color w:val="000000"/>
                <w:sz w:val="20"/>
                <w:szCs w:val="20"/>
                <w:lang w:val="sv-FI" w:eastAsia="id-ID"/>
              </w:rPr>
              <w:t>2025</w:t>
            </w:r>
            <w:r w:rsidRPr="003255BC">
              <w:rPr>
                <w:rFonts w:ascii="Bookman Old Style" w:hAnsi="Bookman Old Style"/>
                <w:b/>
                <w:bCs/>
                <w:color w:val="000000"/>
                <w:sz w:val="20"/>
                <w:szCs w:val="20"/>
                <w:lang w:val="sv-FI" w:eastAsia="id-ID"/>
              </w:rPr>
              <w:br/>
              <w:t>(Rp)</w:t>
            </w:r>
          </w:p>
        </w:tc>
        <w:tc>
          <w:tcPr>
            <w:tcW w:w="2199" w:type="dxa"/>
            <w:shd w:val="clear" w:color="auto" w:fill="auto"/>
            <w:vAlign w:val="center"/>
            <w:hideMark/>
          </w:tcPr>
          <w:p w14:paraId="7F805959" w14:textId="743FF075" w:rsidR="003C1F03" w:rsidRPr="00955487" w:rsidRDefault="003C1F03" w:rsidP="006533A4">
            <w:pPr>
              <w:spacing w:line="276" w:lineRule="auto"/>
              <w:jc w:val="center"/>
              <w:rPr>
                <w:rFonts w:ascii="Bookman Old Style" w:hAnsi="Bookman Old Style"/>
                <w:b/>
                <w:bCs/>
                <w:color w:val="000000"/>
                <w:sz w:val="20"/>
                <w:szCs w:val="20"/>
                <w:lang w:eastAsia="id-ID"/>
              </w:rPr>
            </w:pPr>
            <w:r w:rsidRPr="00955487">
              <w:rPr>
                <w:rFonts w:ascii="Bookman Old Style" w:hAnsi="Bookman Old Style"/>
                <w:b/>
                <w:bCs/>
                <w:color w:val="000000"/>
                <w:sz w:val="20"/>
                <w:szCs w:val="20"/>
                <w:lang w:eastAsia="id-ID"/>
              </w:rPr>
              <w:t>Rasio</w:t>
            </w:r>
            <w:r w:rsidR="00A954D0">
              <w:rPr>
                <w:rFonts w:ascii="Bookman Old Style" w:hAnsi="Bookman Old Style"/>
                <w:b/>
                <w:bCs/>
                <w:color w:val="000000"/>
                <w:sz w:val="20"/>
                <w:szCs w:val="20"/>
                <w:lang w:eastAsia="id-ID"/>
              </w:rPr>
              <w:t xml:space="preserve"> </w:t>
            </w:r>
            <w:r w:rsidRPr="00955487">
              <w:rPr>
                <w:rFonts w:ascii="Bookman Old Style" w:hAnsi="Bookman Old Style"/>
                <w:b/>
                <w:bCs/>
                <w:color w:val="000000"/>
                <w:sz w:val="20"/>
                <w:szCs w:val="20"/>
                <w:lang w:eastAsia="id-ID"/>
              </w:rPr>
              <w:t>Terhadap</w:t>
            </w:r>
            <w:r w:rsidR="00A954D0">
              <w:rPr>
                <w:rFonts w:ascii="Bookman Old Style" w:hAnsi="Bookman Old Style"/>
                <w:b/>
                <w:bCs/>
                <w:color w:val="000000"/>
                <w:sz w:val="20"/>
                <w:szCs w:val="20"/>
                <w:lang w:eastAsia="id-ID"/>
              </w:rPr>
              <w:t xml:space="preserve"> </w:t>
            </w:r>
            <w:r w:rsidRPr="00955487">
              <w:rPr>
                <w:rFonts w:ascii="Bookman Old Style" w:hAnsi="Bookman Old Style"/>
                <w:b/>
                <w:bCs/>
                <w:color w:val="000000"/>
                <w:sz w:val="20"/>
                <w:szCs w:val="20"/>
                <w:lang w:eastAsia="id-ID"/>
              </w:rPr>
              <w:t>Belanja</w:t>
            </w:r>
            <w:r w:rsidR="00A954D0">
              <w:rPr>
                <w:rFonts w:ascii="Bookman Old Style" w:hAnsi="Bookman Old Style"/>
                <w:b/>
                <w:bCs/>
                <w:color w:val="000000"/>
                <w:sz w:val="20"/>
                <w:szCs w:val="20"/>
                <w:lang w:eastAsia="id-ID"/>
              </w:rPr>
              <w:t xml:space="preserve"> </w:t>
            </w:r>
            <w:r w:rsidRPr="00955487">
              <w:rPr>
                <w:rFonts w:ascii="Bookman Old Style" w:hAnsi="Bookman Old Style"/>
                <w:b/>
                <w:bCs/>
                <w:color w:val="000000"/>
                <w:sz w:val="20"/>
                <w:szCs w:val="20"/>
                <w:lang w:eastAsia="id-ID"/>
              </w:rPr>
              <w:t>Daerah</w:t>
            </w:r>
          </w:p>
          <w:p w14:paraId="13793BE0" w14:textId="79F0AC0E" w:rsidR="003C1F03" w:rsidRPr="00955487" w:rsidRDefault="003C1F03" w:rsidP="006533A4">
            <w:pPr>
              <w:spacing w:line="276" w:lineRule="auto"/>
              <w:jc w:val="center"/>
              <w:rPr>
                <w:rFonts w:ascii="Bookman Old Style" w:hAnsi="Bookman Old Style"/>
                <w:b/>
                <w:bCs/>
                <w:color w:val="000000"/>
                <w:sz w:val="20"/>
                <w:szCs w:val="20"/>
                <w:lang w:eastAsia="id-ID"/>
              </w:rPr>
            </w:pPr>
            <w:r w:rsidRPr="00955487">
              <w:rPr>
                <w:rFonts w:ascii="Bookman Old Style" w:hAnsi="Bookman Old Style"/>
                <w:b/>
                <w:bCs/>
                <w:color w:val="000000"/>
                <w:sz w:val="20"/>
                <w:szCs w:val="20"/>
                <w:lang w:eastAsia="id-ID"/>
              </w:rPr>
              <w:t>(%)</w:t>
            </w:r>
          </w:p>
        </w:tc>
      </w:tr>
      <w:tr w:rsidR="003C1F03" w:rsidRPr="00955487" w14:paraId="4796119C" w14:textId="77777777" w:rsidTr="007E50CA">
        <w:trPr>
          <w:trHeight w:val="270"/>
          <w:jc w:val="center"/>
        </w:trPr>
        <w:tc>
          <w:tcPr>
            <w:tcW w:w="3818" w:type="dxa"/>
            <w:shd w:val="clear" w:color="auto" w:fill="auto"/>
            <w:vAlign w:val="center"/>
            <w:hideMark/>
          </w:tcPr>
          <w:p w14:paraId="5F5D3ED4" w14:textId="77777777" w:rsidR="003C1F03" w:rsidRPr="00955487" w:rsidRDefault="003C1F03" w:rsidP="006533A4">
            <w:pPr>
              <w:spacing w:line="276" w:lineRule="auto"/>
              <w:jc w:val="center"/>
              <w:rPr>
                <w:rFonts w:ascii="Bookman Old Style" w:hAnsi="Bookman Old Style"/>
                <w:color w:val="000000"/>
                <w:sz w:val="20"/>
                <w:szCs w:val="20"/>
                <w:lang w:eastAsia="id-ID"/>
              </w:rPr>
            </w:pPr>
            <w:r w:rsidRPr="00955487">
              <w:rPr>
                <w:rFonts w:ascii="Bookman Old Style" w:hAnsi="Bookman Old Style"/>
                <w:color w:val="000000"/>
                <w:sz w:val="20"/>
                <w:szCs w:val="20"/>
                <w:lang w:eastAsia="id-ID"/>
              </w:rPr>
              <w:t>1</w:t>
            </w:r>
          </w:p>
        </w:tc>
        <w:tc>
          <w:tcPr>
            <w:tcW w:w="2693" w:type="dxa"/>
            <w:shd w:val="clear" w:color="auto" w:fill="auto"/>
            <w:vAlign w:val="center"/>
            <w:hideMark/>
          </w:tcPr>
          <w:p w14:paraId="27E0571B" w14:textId="0AB66DD5" w:rsidR="003C1F03" w:rsidRPr="00955487" w:rsidRDefault="003C1F03" w:rsidP="006533A4">
            <w:pPr>
              <w:spacing w:line="276" w:lineRule="auto"/>
              <w:jc w:val="center"/>
              <w:rPr>
                <w:rFonts w:ascii="Bookman Old Style" w:hAnsi="Bookman Old Style"/>
                <w:color w:val="000000"/>
                <w:sz w:val="20"/>
                <w:szCs w:val="20"/>
                <w:lang w:eastAsia="id-ID"/>
              </w:rPr>
            </w:pPr>
            <w:r w:rsidRPr="00955487">
              <w:rPr>
                <w:rFonts w:ascii="Bookman Old Style" w:hAnsi="Bookman Old Style"/>
                <w:color w:val="000000"/>
                <w:sz w:val="20"/>
                <w:szCs w:val="20"/>
                <w:lang w:eastAsia="id-ID"/>
              </w:rPr>
              <w:t>2</w:t>
            </w:r>
          </w:p>
        </w:tc>
        <w:tc>
          <w:tcPr>
            <w:tcW w:w="2199" w:type="dxa"/>
            <w:shd w:val="clear" w:color="auto" w:fill="auto"/>
            <w:vAlign w:val="center"/>
            <w:hideMark/>
          </w:tcPr>
          <w:p w14:paraId="48F70560" w14:textId="025DF753" w:rsidR="003C1F03" w:rsidRPr="00955487" w:rsidRDefault="003C1F03" w:rsidP="006533A4">
            <w:pPr>
              <w:spacing w:line="276" w:lineRule="auto"/>
              <w:jc w:val="center"/>
              <w:rPr>
                <w:rFonts w:ascii="Bookman Old Style" w:hAnsi="Bookman Old Style"/>
                <w:color w:val="000000"/>
                <w:sz w:val="20"/>
                <w:szCs w:val="20"/>
                <w:lang w:eastAsia="id-ID"/>
              </w:rPr>
            </w:pPr>
            <w:r w:rsidRPr="00955487">
              <w:rPr>
                <w:rFonts w:ascii="Bookman Old Style" w:hAnsi="Bookman Old Style"/>
                <w:color w:val="000000"/>
                <w:sz w:val="20"/>
                <w:szCs w:val="20"/>
                <w:lang w:eastAsia="id-ID"/>
              </w:rPr>
              <w:t>3</w:t>
            </w:r>
          </w:p>
        </w:tc>
      </w:tr>
      <w:tr w:rsidR="00C93A3E" w:rsidRPr="00955487" w14:paraId="224A37D4" w14:textId="77777777" w:rsidTr="007E50CA">
        <w:trPr>
          <w:trHeight w:val="270"/>
          <w:jc w:val="center"/>
        </w:trPr>
        <w:tc>
          <w:tcPr>
            <w:tcW w:w="3818" w:type="dxa"/>
            <w:shd w:val="clear" w:color="auto" w:fill="auto"/>
            <w:vAlign w:val="center"/>
            <w:hideMark/>
          </w:tcPr>
          <w:p w14:paraId="632E706D" w14:textId="03D097C0" w:rsidR="00C93A3E" w:rsidRPr="00955487" w:rsidRDefault="00C93A3E" w:rsidP="00C93A3E">
            <w:pPr>
              <w:spacing w:line="276" w:lineRule="auto"/>
              <w:rPr>
                <w:rFonts w:ascii="Bookman Old Style" w:hAnsi="Bookman Old Style"/>
                <w:b/>
                <w:bCs/>
                <w:color w:val="000000"/>
                <w:sz w:val="20"/>
                <w:szCs w:val="20"/>
                <w:lang w:eastAsia="id-ID"/>
              </w:rPr>
            </w:pPr>
            <w:r w:rsidRPr="00955487">
              <w:rPr>
                <w:rFonts w:ascii="Bookman Old Style" w:hAnsi="Bookman Old Style"/>
                <w:b/>
                <w:bCs/>
                <w:color w:val="000000"/>
                <w:sz w:val="20"/>
                <w:szCs w:val="20"/>
                <w:lang w:eastAsia="id-ID"/>
              </w:rPr>
              <w:t>PEMBIAYAAN</w:t>
            </w:r>
            <w:r w:rsidR="00A954D0">
              <w:rPr>
                <w:rFonts w:ascii="Bookman Old Style" w:hAnsi="Bookman Old Style"/>
                <w:b/>
                <w:bCs/>
                <w:color w:val="000000"/>
                <w:sz w:val="20"/>
                <w:szCs w:val="20"/>
                <w:lang w:eastAsia="id-ID"/>
              </w:rPr>
              <w:t xml:space="preserve"> </w:t>
            </w:r>
            <w:r w:rsidRPr="00955487">
              <w:rPr>
                <w:rFonts w:ascii="Bookman Old Style" w:hAnsi="Bookman Old Style"/>
                <w:b/>
                <w:bCs/>
                <w:color w:val="000000"/>
                <w:sz w:val="20"/>
                <w:szCs w:val="20"/>
                <w:lang w:eastAsia="id-ID"/>
              </w:rPr>
              <w:t>DAERAH</w:t>
            </w:r>
          </w:p>
        </w:tc>
        <w:tc>
          <w:tcPr>
            <w:tcW w:w="2693" w:type="dxa"/>
            <w:shd w:val="clear" w:color="auto" w:fill="auto"/>
            <w:noWrap/>
            <w:vAlign w:val="center"/>
            <w:hideMark/>
          </w:tcPr>
          <w:p w14:paraId="08E91727" w14:textId="1AA3F98E" w:rsidR="00C93A3E" w:rsidRPr="00955487" w:rsidRDefault="00C93A3E" w:rsidP="00C93A3E">
            <w:pPr>
              <w:spacing w:line="276" w:lineRule="auto"/>
              <w:jc w:val="right"/>
              <w:rPr>
                <w:rFonts w:ascii="Bookman Old Style" w:hAnsi="Bookman Old Style"/>
                <w:b/>
                <w:bCs/>
                <w:color w:val="000000"/>
                <w:sz w:val="20"/>
                <w:szCs w:val="20"/>
                <w:lang w:eastAsia="id-ID"/>
              </w:rPr>
            </w:pPr>
            <w:r w:rsidRPr="00955487">
              <w:rPr>
                <w:rFonts w:ascii="Bookman Old Style" w:hAnsi="Bookman Old Style" w:cs="Calibri"/>
                <w:b/>
                <w:bCs/>
                <w:color w:val="000000"/>
                <w:sz w:val="20"/>
                <w:szCs w:val="20"/>
              </w:rPr>
              <w:t>400.789.809.045,00</w:t>
            </w:r>
          </w:p>
        </w:tc>
        <w:tc>
          <w:tcPr>
            <w:tcW w:w="2199" w:type="dxa"/>
            <w:shd w:val="clear" w:color="auto" w:fill="auto"/>
            <w:vAlign w:val="center"/>
            <w:hideMark/>
          </w:tcPr>
          <w:p w14:paraId="6F797A00" w14:textId="43C330C5" w:rsidR="00C93A3E" w:rsidRPr="00955487" w:rsidRDefault="00C93A3E" w:rsidP="00C93A3E">
            <w:pPr>
              <w:spacing w:line="276" w:lineRule="auto"/>
              <w:jc w:val="center"/>
              <w:rPr>
                <w:rFonts w:ascii="Bookman Old Style" w:hAnsi="Bookman Old Style"/>
                <w:b/>
                <w:bCs/>
                <w:color w:val="000000"/>
                <w:sz w:val="20"/>
                <w:szCs w:val="20"/>
                <w:lang w:eastAsia="id-ID"/>
              </w:rPr>
            </w:pPr>
            <w:r w:rsidRPr="00955487">
              <w:rPr>
                <w:rFonts w:ascii="Bookman Old Style" w:hAnsi="Bookman Old Style"/>
                <w:b/>
                <w:bCs/>
                <w:color w:val="000000"/>
                <w:sz w:val="20"/>
                <w:szCs w:val="20"/>
                <w:lang w:eastAsia="id-ID"/>
              </w:rPr>
              <w:t>7,02</w:t>
            </w:r>
          </w:p>
        </w:tc>
      </w:tr>
      <w:tr w:rsidR="00C93A3E" w:rsidRPr="00955487" w14:paraId="1A971686" w14:textId="77777777" w:rsidTr="007E50CA">
        <w:trPr>
          <w:trHeight w:val="270"/>
          <w:jc w:val="center"/>
        </w:trPr>
        <w:tc>
          <w:tcPr>
            <w:tcW w:w="3818" w:type="dxa"/>
            <w:shd w:val="clear" w:color="auto" w:fill="auto"/>
            <w:vAlign w:val="center"/>
            <w:hideMark/>
          </w:tcPr>
          <w:p w14:paraId="144C942A" w14:textId="46A63A87" w:rsidR="00C93A3E" w:rsidRPr="00955487" w:rsidRDefault="00C93A3E" w:rsidP="00C93A3E">
            <w:pPr>
              <w:spacing w:line="276" w:lineRule="auto"/>
              <w:rPr>
                <w:rFonts w:ascii="Bookman Old Style" w:hAnsi="Bookman Old Style"/>
                <w:b/>
                <w:bCs/>
                <w:color w:val="000000"/>
                <w:sz w:val="20"/>
                <w:szCs w:val="20"/>
                <w:lang w:eastAsia="id-ID"/>
              </w:rPr>
            </w:pPr>
            <w:r w:rsidRPr="00955487">
              <w:rPr>
                <w:rFonts w:ascii="Bookman Old Style" w:hAnsi="Bookman Old Style"/>
                <w:b/>
                <w:bCs/>
                <w:color w:val="000000"/>
                <w:sz w:val="20"/>
                <w:szCs w:val="20"/>
                <w:lang w:eastAsia="id-ID"/>
              </w:rPr>
              <w:t>PENERIMAAN</w:t>
            </w:r>
            <w:r w:rsidR="00A954D0">
              <w:rPr>
                <w:rFonts w:ascii="Bookman Old Style" w:hAnsi="Bookman Old Style"/>
                <w:b/>
                <w:bCs/>
                <w:color w:val="000000"/>
                <w:sz w:val="20"/>
                <w:szCs w:val="20"/>
                <w:lang w:eastAsia="id-ID"/>
              </w:rPr>
              <w:t xml:space="preserve"> </w:t>
            </w:r>
            <w:r w:rsidRPr="00955487">
              <w:rPr>
                <w:rFonts w:ascii="Bookman Old Style" w:hAnsi="Bookman Old Style"/>
                <w:b/>
                <w:bCs/>
                <w:color w:val="000000"/>
                <w:sz w:val="20"/>
                <w:szCs w:val="20"/>
                <w:lang w:eastAsia="id-ID"/>
              </w:rPr>
              <w:t>PEMBIAYAAN</w:t>
            </w:r>
          </w:p>
        </w:tc>
        <w:tc>
          <w:tcPr>
            <w:tcW w:w="2693" w:type="dxa"/>
            <w:shd w:val="clear" w:color="auto" w:fill="auto"/>
            <w:noWrap/>
            <w:vAlign w:val="center"/>
            <w:hideMark/>
          </w:tcPr>
          <w:p w14:paraId="18C15BDD" w14:textId="7E75B30A" w:rsidR="00C93A3E" w:rsidRPr="00955487" w:rsidRDefault="00C93A3E" w:rsidP="00C93A3E">
            <w:pPr>
              <w:spacing w:line="276" w:lineRule="auto"/>
              <w:jc w:val="right"/>
              <w:rPr>
                <w:rFonts w:ascii="Bookman Old Style" w:hAnsi="Bookman Old Style"/>
                <w:b/>
                <w:bCs/>
                <w:color w:val="000000"/>
                <w:sz w:val="20"/>
                <w:szCs w:val="20"/>
                <w:lang w:eastAsia="id-ID"/>
              </w:rPr>
            </w:pPr>
            <w:r w:rsidRPr="00955487">
              <w:rPr>
                <w:rFonts w:ascii="Bookman Old Style" w:hAnsi="Bookman Old Style" w:cs="Calibri"/>
                <w:b/>
                <w:bCs/>
                <w:color w:val="000000"/>
                <w:sz w:val="20"/>
                <w:szCs w:val="20"/>
              </w:rPr>
              <w:t>400.789.809.045,00</w:t>
            </w:r>
          </w:p>
        </w:tc>
        <w:tc>
          <w:tcPr>
            <w:tcW w:w="2199" w:type="dxa"/>
            <w:shd w:val="clear" w:color="auto" w:fill="auto"/>
            <w:vAlign w:val="center"/>
            <w:hideMark/>
          </w:tcPr>
          <w:p w14:paraId="5F8C0B37" w14:textId="175CFB84" w:rsidR="00C93A3E" w:rsidRPr="00955487" w:rsidRDefault="00C93A3E" w:rsidP="00C93A3E">
            <w:pPr>
              <w:spacing w:line="276" w:lineRule="auto"/>
              <w:jc w:val="center"/>
              <w:rPr>
                <w:rFonts w:ascii="Bookman Old Style" w:hAnsi="Bookman Old Style"/>
                <w:b/>
                <w:bCs/>
                <w:color w:val="000000"/>
                <w:sz w:val="20"/>
                <w:szCs w:val="20"/>
                <w:lang w:eastAsia="id-ID"/>
              </w:rPr>
            </w:pPr>
            <w:r w:rsidRPr="00955487">
              <w:rPr>
                <w:rFonts w:ascii="Bookman Old Style" w:hAnsi="Bookman Old Style"/>
                <w:b/>
                <w:bCs/>
                <w:color w:val="000000"/>
                <w:sz w:val="20"/>
                <w:szCs w:val="20"/>
                <w:lang w:eastAsia="id-ID"/>
              </w:rPr>
              <w:t>7,02</w:t>
            </w:r>
          </w:p>
        </w:tc>
      </w:tr>
      <w:tr w:rsidR="00C93A3E" w:rsidRPr="00955487" w14:paraId="34751EF6" w14:textId="77777777" w:rsidTr="007E50CA">
        <w:trPr>
          <w:trHeight w:val="465"/>
          <w:jc w:val="center"/>
        </w:trPr>
        <w:tc>
          <w:tcPr>
            <w:tcW w:w="3818" w:type="dxa"/>
            <w:shd w:val="clear" w:color="auto" w:fill="auto"/>
            <w:vAlign w:val="center"/>
            <w:hideMark/>
          </w:tcPr>
          <w:p w14:paraId="3147C87B" w14:textId="222BE6F3" w:rsidR="00C93A3E" w:rsidRPr="00955487" w:rsidRDefault="00C93A3E" w:rsidP="00C93A3E">
            <w:pPr>
              <w:spacing w:line="276" w:lineRule="auto"/>
              <w:rPr>
                <w:rFonts w:ascii="Bookman Old Style" w:hAnsi="Bookman Old Style"/>
                <w:color w:val="000000"/>
                <w:sz w:val="20"/>
                <w:szCs w:val="20"/>
                <w:lang w:val="sv-FI" w:eastAsia="id-ID"/>
              </w:rPr>
            </w:pPr>
            <w:r w:rsidRPr="00955487">
              <w:rPr>
                <w:rFonts w:ascii="Bookman Old Style" w:hAnsi="Bookman Old Style"/>
                <w:color w:val="000000"/>
                <w:sz w:val="20"/>
                <w:szCs w:val="20"/>
                <w:lang w:val="sv-FI" w:eastAsia="id-ID"/>
              </w:rPr>
              <w:t>Sisa</w:t>
            </w:r>
            <w:r w:rsidR="00A954D0">
              <w:rPr>
                <w:rFonts w:ascii="Bookman Old Style" w:hAnsi="Bookman Old Style"/>
                <w:color w:val="000000"/>
                <w:sz w:val="20"/>
                <w:szCs w:val="20"/>
                <w:lang w:val="sv-FI" w:eastAsia="id-ID"/>
              </w:rPr>
              <w:t xml:space="preserve"> </w:t>
            </w:r>
            <w:r w:rsidRPr="00955487">
              <w:rPr>
                <w:rFonts w:ascii="Bookman Old Style" w:hAnsi="Bookman Old Style"/>
                <w:color w:val="000000"/>
                <w:sz w:val="20"/>
                <w:szCs w:val="20"/>
                <w:lang w:val="sv-FI" w:eastAsia="id-ID"/>
              </w:rPr>
              <w:t>Lebih</w:t>
            </w:r>
            <w:r w:rsidR="00A954D0">
              <w:rPr>
                <w:rFonts w:ascii="Bookman Old Style" w:hAnsi="Bookman Old Style"/>
                <w:color w:val="000000"/>
                <w:sz w:val="20"/>
                <w:szCs w:val="20"/>
                <w:lang w:val="sv-FI" w:eastAsia="id-ID"/>
              </w:rPr>
              <w:t xml:space="preserve"> </w:t>
            </w:r>
            <w:r w:rsidRPr="00955487">
              <w:rPr>
                <w:rFonts w:ascii="Bookman Old Style" w:hAnsi="Bookman Old Style"/>
                <w:color w:val="000000"/>
                <w:sz w:val="20"/>
                <w:szCs w:val="20"/>
                <w:lang w:val="sv-FI" w:eastAsia="id-ID"/>
              </w:rPr>
              <w:t>Perhitungan</w:t>
            </w:r>
            <w:r w:rsidR="00A954D0">
              <w:rPr>
                <w:rFonts w:ascii="Bookman Old Style" w:hAnsi="Bookman Old Style"/>
                <w:color w:val="000000"/>
                <w:sz w:val="20"/>
                <w:szCs w:val="20"/>
                <w:lang w:val="sv-FI" w:eastAsia="id-ID"/>
              </w:rPr>
              <w:t xml:space="preserve"> </w:t>
            </w:r>
            <w:r w:rsidRPr="00955487">
              <w:rPr>
                <w:rFonts w:ascii="Bookman Old Style" w:hAnsi="Bookman Old Style"/>
                <w:color w:val="000000"/>
                <w:sz w:val="20"/>
                <w:szCs w:val="20"/>
                <w:lang w:val="sv-FI" w:eastAsia="id-ID"/>
              </w:rPr>
              <w:t>Anggaran</w:t>
            </w:r>
            <w:r w:rsidR="00A954D0">
              <w:rPr>
                <w:rFonts w:ascii="Bookman Old Style" w:hAnsi="Bookman Old Style"/>
                <w:color w:val="000000"/>
                <w:sz w:val="20"/>
                <w:szCs w:val="20"/>
                <w:lang w:val="sv-FI" w:eastAsia="id-ID"/>
              </w:rPr>
              <w:t xml:space="preserve"> </w:t>
            </w:r>
            <w:r w:rsidRPr="00955487">
              <w:rPr>
                <w:rFonts w:ascii="Bookman Old Style" w:hAnsi="Bookman Old Style"/>
                <w:color w:val="000000"/>
                <w:sz w:val="20"/>
                <w:szCs w:val="20"/>
                <w:lang w:val="sv-FI" w:eastAsia="id-ID"/>
              </w:rPr>
              <w:t>Tahun</w:t>
            </w:r>
            <w:r w:rsidR="00A954D0">
              <w:rPr>
                <w:rFonts w:ascii="Bookman Old Style" w:hAnsi="Bookman Old Style"/>
                <w:color w:val="000000"/>
                <w:sz w:val="20"/>
                <w:szCs w:val="20"/>
                <w:lang w:val="sv-FI" w:eastAsia="id-ID"/>
              </w:rPr>
              <w:t xml:space="preserve"> </w:t>
            </w:r>
            <w:r w:rsidRPr="00955487">
              <w:rPr>
                <w:rFonts w:ascii="Bookman Old Style" w:hAnsi="Bookman Old Style"/>
                <w:color w:val="000000"/>
                <w:sz w:val="20"/>
                <w:szCs w:val="20"/>
                <w:lang w:val="sv-FI" w:eastAsia="id-ID"/>
              </w:rPr>
              <w:t>Sebelumnya</w:t>
            </w:r>
          </w:p>
        </w:tc>
        <w:tc>
          <w:tcPr>
            <w:tcW w:w="2693" w:type="dxa"/>
            <w:shd w:val="clear" w:color="auto" w:fill="auto"/>
            <w:noWrap/>
            <w:vAlign w:val="center"/>
            <w:hideMark/>
          </w:tcPr>
          <w:p w14:paraId="4DE8C215" w14:textId="0138B3C8" w:rsidR="00C93A3E" w:rsidRPr="00955487" w:rsidRDefault="00C93A3E" w:rsidP="00C93A3E">
            <w:pPr>
              <w:spacing w:line="276" w:lineRule="auto"/>
              <w:jc w:val="right"/>
              <w:rPr>
                <w:rFonts w:ascii="Bookman Old Style" w:hAnsi="Bookman Old Style"/>
                <w:color w:val="000000"/>
                <w:sz w:val="20"/>
                <w:szCs w:val="20"/>
                <w:lang w:eastAsia="id-ID"/>
              </w:rPr>
            </w:pPr>
            <w:r w:rsidRPr="00955487">
              <w:rPr>
                <w:rFonts w:ascii="Bookman Old Style" w:hAnsi="Bookman Old Style" w:cs="Calibri"/>
                <w:color w:val="000000"/>
                <w:sz w:val="20"/>
                <w:szCs w:val="20"/>
              </w:rPr>
              <w:t>400.789.809.045,00</w:t>
            </w:r>
          </w:p>
        </w:tc>
        <w:tc>
          <w:tcPr>
            <w:tcW w:w="2199" w:type="dxa"/>
            <w:shd w:val="clear" w:color="auto" w:fill="auto"/>
            <w:vAlign w:val="center"/>
            <w:hideMark/>
          </w:tcPr>
          <w:p w14:paraId="0F727166" w14:textId="0A6510AC" w:rsidR="00C93A3E" w:rsidRPr="00955487" w:rsidRDefault="00C93A3E" w:rsidP="00C93A3E">
            <w:pPr>
              <w:spacing w:line="276" w:lineRule="auto"/>
              <w:jc w:val="center"/>
              <w:rPr>
                <w:rFonts w:ascii="Bookman Old Style" w:hAnsi="Bookman Old Style"/>
                <w:color w:val="000000"/>
                <w:sz w:val="20"/>
                <w:szCs w:val="20"/>
                <w:lang w:eastAsia="id-ID"/>
              </w:rPr>
            </w:pPr>
            <w:r w:rsidRPr="00955487">
              <w:rPr>
                <w:rFonts w:ascii="Bookman Old Style" w:hAnsi="Bookman Old Style"/>
                <w:color w:val="000000"/>
                <w:sz w:val="20"/>
                <w:szCs w:val="20"/>
                <w:lang w:eastAsia="id-ID"/>
              </w:rPr>
              <w:t>7,02</w:t>
            </w:r>
          </w:p>
        </w:tc>
      </w:tr>
      <w:tr w:rsidR="00BE3C7A" w:rsidRPr="00955487" w14:paraId="431B6C99" w14:textId="77777777" w:rsidTr="007E50CA">
        <w:trPr>
          <w:trHeight w:val="330"/>
          <w:jc w:val="center"/>
        </w:trPr>
        <w:tc>
          <w:tcPr>
            <w:tcW w:w="3818" w:type="dxa"/>
            <w:shd w:val="clear" w:color="auto" w:fill="auto"/>
            <w:vAlign w:val="center"/>
            <w:hideMark/>
          </w:tcPr>
          <w:p w14:paraId="48C22F51" w14:textId="224C2678" w:rsidR="00BE3C7A" w:rsidRPr="00955487" w:rsidRDefault="00BE3C7A" w:rsidP="00BE3C7A">
            <w:pPr>
              <w:spacing w:line="276" w:lineRule="auto"/>
              <w:rPr>
                <w:rFonts w:ascii="Bookman Old Style" w:hAnsi="Bookman Old Style"/>
                <w:b/>
                <w:bCs/>
                <w:color w:val="000000"/>
                <w:sz w:val="20"/>
                <w:szCs w:val="20"/>
                <w:lang w:eastAsia="id-ID"/>
              </w:rPr>
            </w:pPr>
            <w:r w:rsidRPr="00955487">
              <w:rPr>
                <w:rFonts w:ascii="Bookman Old Style" w:hAnsi="Bookman Old Style"/>
                <w:b/>
                <w:bCs/>
                <w:color w:val="000000"/>
                <w:sz w:val="20"/>
                <w:szCs w:val="20"/>
                <w:lang w:eastAsia="id-ID"/>
              </w:rPr>
              <w:t>PENGELUARAN</w:t>
            </w:r>
            <w:r w:rsidR="00A954D0">
              <w:rPr>
                <w:rFonts w:ascii="Bookman Old Style" w:hAnsi="Bookman Old Style"/>
                <w:b/>
                <w:bCs/>
                <w:color w:val="000000"/>
                <w:sz w:val="20"/>
                <w:szCs w:val="20"/>
                <w:lang w:eastAsia="id-ID"/>
              </w:rPr>
              <w:t xml:space="preserve"> </w:t>
            </w:r>
            <w:r w:rsidRPr="00955487">
              <w:rPr>
                <w:rFonts w:ascii="Bookman Old Style" w:hAnsi="Bookman Old Style"/>
                <w:b/>
                <w:bCs/>
                <w:color w:val="000000"/>
                <w:sz w:val="20"/>
                <w:szCs w:val="20"/>
                <w:lang w:eastAsia="id-ID"/>
              </w:rPr>
              <w:t>PEMBIAYAAN</w:t>
            </w:r>
          </w:p>
        </w:tc>
        <w:tc>
          <w:tcPr>
            <w:tcW w:w="2693" w:type="dxa"/>
            <w:shd w:val="clear" w:color="auto" w:fill="auto"/>
            <w:noWrap/>
            <w:vAlign w:val="center"/>
            <w:hideMark/>
          </w:tcPr>
          <w:p w14:paraId="2F843F3E" w14:textId="663C5091" w:rsidR="00BE3C7A" w:rsidRPr="00955487" w:rsidRDefault="00BE3C7A" w:rsidP="00BE3C7A">
            <w:pPr>
              <w:spacing w:line="276" w:lineRule="auto"/>
              <w:jc w:val="right"/>
              <w:rPr>
                <w:rFonts w:ascii="Bookman Old Style" w:hAnsi="Bookman Old Style"/>
                <w:b/>
                <w:bCs/>
                <w:color w:val="000000"/>
                <w:sz w:val="20"/>
                <w:szCs w:val="20"/>
                <w:lang w:eastAsia="id-ID"/>
              </w:rPr>
            </w:pPr>
            <w:r w:rsidRPr="00955487">
              <w:rPr>
                <w:rFonts w:ascii="Bookman Old Style" w:hAnsi="Bookman Old Style"/>
                <w:b/>
                <w:bCs/>
                <w:color w:val="000000"/>
                <w:sz w:val="20"/>
                <w:szCs w:val="20"/>
                <w:lang w:eastAsia="id-ID"/>
              </w:rPr>
              <w:t>0,00</w:t>
            </w:r>
          </w:p>
        </w:tc>
        <w:tc>
          <w:tcPr>
            <w:tcW w:w="2199" w:type="dxa"/>
            <w:shd w:val="clear" w:color="auto" w:fill="auto"/>
            <w:vAlign w:val="center"/>
            <w:hideMark/>
          </w:tcPr>
          <w:p w14:paraId="2A1357C8" w14:textId="1D98B848" w:rsidR="00BE3C7A" w:rsidRPr="00955487" w:rsidRDefault="0016071C" w:rsidP="00BE3C7A">
            <w:pPr>
              <w:spacing w:line="276" w:lineRule="auto"/>
              <w:jc w:val="center"/>
              <w:rPr>
                <w:rFonts w:ascii="Bookman Old Style" w:hAnsi="Bookman Old Style"/>
                <w:b/>
                <w:bCs/>
                <w:color w:val="000000"/>
                <w:sz w:val="20"/>
                <w:szCs w:val="20"/>
                <w:lang w:eastAsia="id-ID"/>
              </w:rPr>
            </w:pPr>
            <w:r w:rsidRPr="00955487">
              <w:rPr>
                <w:rFonts w:ascii="Bookman Old Style" w:hAnsi="Bookman Old Style"/>
                <w:b/>
                <w:bCs/>
                <w:color w:val="000000"/>
                <w:sz w:val="20"/>
                <w:szCs w:val="20"/>
                <w:lang w:eastAsia="id-ID"/>
              </w:rPr>
              <w:t>0,00</w:t>
            </w:r>
          </w:p>
        </w:tc>
      </w:tr>
    </w:tbl>
    <w:p w14:paraId="18991C34" w14:textId="77777777" w:rsidR="002F2AA9" w:rsidRDefault="002F2AA9" w:rsidP="00022375">
      <w:pPr>
        <w:spacing w:before="60" w:line="276" w:lineRule="auto"/>
        <w:ind w:left="993"/>
        <w:jc w:val="both"/>
        <w:rPr>
          <w:rFonts w:ascii="Bookman Old Style" w:hAnsi="Bookman Old Style" w:cs="Arial"/>
          <w:lang w:val="sv-FI"/>
        </w:rPr>
      </w:pPr>
    </w:p>
    <w:p w14:paraId="45C759D5" w14:textId="579F62AB" w:rsidR="005457E8" w:rsidRPr="003255BC" w:rsidRDefault="00A541FD" w:rsidP="00022375">
      <w:pPr>
        <w:spacing w:before="60" w:line="276" w:lineRule="auto"/>
        <w:ind w:left="993"/>
        <w:jc w:val="both"/>
        <w:rPr>
          <w:rFonts w:ascii="Bookman Old Style" w:hAnsi="Bookman Old Style" w:cs="Arial"/>
          <w:lang w:val="sv-FI"/>
        </w:rPr>
      </w:pPr>
      <w:r w:rsidRPr="003255BC">
        <w:rPr>
          <w:rFonts w:ascii="Bookman Old Style" w:hAnsi="Bookman Old Style" w:cs="Arial"/>
          <w:lang w:val="sv-FI"/>
        </w:rPr>
        <w:t>Berdasarkan</w:t>
      </w:r>
      <w:r w:rsidR="00A954D0" w:rsidRPr="003255BC">
        <w:rPr>
          <w:rFonts w:ascii="Bookman Old Style" w:hAnsi="Bookman Old Style" w:cs="Arial"/>
          <w:lang w:val="sv-FI"/>
        </w:rPr>
        <w:t xml:space="preserve"> </w:t>
      </w:r>
      <w:r w:rsidRPr="003255BC">
        <w:rPr>
          <w:rFonts w:ascii="Bookman Old Style" w:hAnsi="Bookman Old Style" w:cs="Arial"/>
          <w:lang w:val="sv-FI"/>
        </w:rPr>
        <w:t>tabel</w:t>
      </w:r>
      <w:r w:rsidR="00A954D0" w:rsidRPr="003255BC">
        <w:rPr>
          <w:rFonts w:ascii="Bookman Old Style" w:hAnsi="Bookman Old Style" w:cs="Arial"/>
          <w:lang w:val="sv-FI"/>
        </w:rPr>
        <w:t xml:space="preserve"> </w:t>
      </w:r>
      <w:r w:rsidRPr="003255BC">
        <w:rPr>
          <w:rFonts w:ascii="Bookman Old Style" w:hAnsi="Bookman Old Style" w:cs="Arial"/>
          <w:lang w:val="sv-FI"/>
        </w:rPr>
        <w:t>sebagaimana</w:t>
      </w:r>
      <w:r w:rsidR="00A954D0" w:rsidRPr="003255BC">
        <w:rPr>
          <w:rFonts w:ascii="Bookman Old Style" w:hAnsi="Bookman Old Style" w:cs="Arial"/>
          <w:lang w:val="sv-FI"/>
        </w:rPr>
        <w:t xml:space="preserve"> </w:t>
      </w:r>
      <w:r w:rsidRPr="003255BC">
        <w:rPr>
          <w:rFonts w:ascii="Bookman Old Style" w:hAnsi="Bookman Old Style" w:cs="Arial"/>
          <w:lang w:val="sv-FI"/>
        </w:rPr>
        <w:t>di</w:t>
      </w:r>
      <w:r w:rsidR="00A954D0" w:rsidRPr="003255BC">
        <w:rPr>
          <w:rFonts w:ascii="Bookman Old Style" w:hAnsi="Bookman Old Style" w:cs="Arial"/>
          <w:lang w:val="sv-FI"/>
        </w:rPr>
        <w:t xml:space="preserve"> </w:t>
      </w:r>
      <w:r w:rsidRPr="003255BC">
        <w:rPr>
          <w:rFonts w:ascii="Bookman Old Style" w:hAnsi="Bookman Old Style" w:cs="Arial"/>
          <w:lang w:val="sv-FI"/>
        </w:rPr>
        <w:t>atas,</w:t>
      </w:r>
      <w:r w:rsidR="00A954D0" w:rsidRPr="003255BC">
        <w:rPr>
          <w:rFonts w:ascii="Bookman Old Style" w:hAnsi="Bookman Old Style" w:cs="Arial"/>
          <w:lang w:val="sv-FI"/>
        </w:rPr>
        <w:t xml:space="preserve"> </w:t>
      </w:r>
      <w:r w:rsidRPr="003255BC">
        <w:rPr>
          <w:rFonts w:ascii="Bookman Old Style" w:hAnsi="Bookman Old Style" w:cs="Arial"/>
          <w:lang w:val="sv-FI"/>
        </w:rPr>
        <w:t>kebijakan</w:t>
      </w:r>
      <w:r w:rsidR="00A954D0" w:rsidRPr="003255BC">
        <w:rPr>
          <w:rFonts w:ascii="Bookman Old Style" w:hAnsi="Bookman Old Style" w:cs="Arial"/>
          <w:lang w:val="sv-FI"/>
        </w:rPr>
        <w:t xml:space="preserve"> </w:t>
      </w:r>
      <w:r w:rsidRPr="003255BC">
        <w:rPr>
          <w:rFonts w:ascii="Bookman Old Style" w:hAnsi="Bookman Old Style" w:cs="Arial"/>
          <w:lang w:val="sv-FI"/>
        </w:rPr>
        <w:t>pembiayaan</w:t>
      </w:r>
      <w:r w:rsidR="00A954D0" w:rsidRPr="003255BC">
        <w:rPr>
          <w:rFonts w:ascii="Bookman Old Style" w:hAnsi="Bookman Old Style" w:cs="Arial"/>
          <w:lang w:val="sv-FI"/>
        </w:rPr>
        <w:t xml:space="preserve"> </w:t>
      </w:r>
      <w:r w:rsidRPr="003255BC">
        <w:rPr>
          <w:rFonts w:ascii="Bookman Old Style" w:hAnsi="Bookman Old Style" w:cs="Arial"/>
          <w:lang w:val="sv-FI"/>
        </w:rPr>
        <w:t>daerah</w:t>
      </w:r>
      <w:r w:rsidR="00A954D0" w:rsidRPr="003255BC">
        <w:rPr>
          <w:rFonts w:ascii="Bookman Old Style" w:hAnsi="Bookman Old Style" w:cs="Arial"/>
          <w:lang w:val="sv-FI"/>
        </w:rPr>
        <w:t xml:space="preserve"> </w:t>
      </w:r>
      <w:r w:rsidRPr="003255BC">
        <w:rPr>
          <w:rFonts w:ascii="Bookman Old Style" w:hAnsi="Bookman Old Style" w:cs="Arial"/>
          <w:lang w:val="sv-FI"/>
        </w:rPr>
        <w:t>dalam</w:t>
      </w:r>
      <w:r w:rsidR="00A954D0" w:rsidRPr="003255BC">
        <w:rPr>
          <w:rFonts w:ascii="Bookman Old Style" w:hAnsi="Bookman Old Style" w:cs="Arial"/>
          <w:lang w:val="sv-FI"/>
        </w:rPr>
        <w:t xml:space="preserve"> </w:t>
      </w:r>
      <w:r w:rsidRPr="003255BC">
        <w:rPr>
          <w:rFonts w:ascii="Bookman Old Style" w:hAnsi="Bookman Old Style" w:cs="Arial"/>
          <w:lang w:val="sv-FI"/>
        </w:rPr>
        <w:t>Rancangan</w:t>
      </w:r>
      <w:r w:rsidR="00A954D0" w:rsidRPr="003255BC">
        <w:rPr>
          <w:rFonts w:ascii="Bookman Old Style" w:hAnsi="Bookman Old Style" w:cs="Arial"/>
          <w:lang w:val="sv-FI"/>
        </w:rPr>
        <w:t xml:space="preserve"> </w:t>
      </w:r>
      <w:r w:rsidRPr="003255BC">
        <w:rPr>
          <w:rFonts w:ascii="Bookman Old Style" w:hAnsi="Bookman Old Style" w:cs="Arial"/>
          <w:lang w:val="sv-FI"/>
        </w:rPr>
        <w:t>Peraturan</w:t>
      </w:r>
      <w:r w:rsidR="00A954D0" w:rsidRPr="003255BC">
        <w:rPr>
          <w:rFonts w:ascii="Bookman Old Style" w:hAnsi="Bookman Old Style" w:cs="Arial"/>
          <w:lang w:val="sv-FI"/>
        </w:rPr>
        <w:t xml:space="preserve"> </w:t>
      </w:r>
      <w:r w:rsidRPr="003255BC">
        <w:rPr>
          <w:rFonts w:ascii="Bookman Old Style" w:hAnsi="Bookman Old Style" w:cs="Arial"/>
          <w:lang w:val="sv-FI"/>
        </w:rPr>
        <w:t>Daerah</w:t>
      </w:r>
      <w:r w:rsidR="00A954D0" w:rsidRPr="003255BC">
        <w:rPr>
          <w:rFonts w:ascii="Bookman Old Style" w:hAnsi="Bookman Old Style"/>
          <w:lang w:val="sv-FI"/>
        </w:rPr>
        <w:t xml:space="preserve"> </w:t>
      </w:r>
      <w:r w:rsidR="00B055C5" w:rsidRPr="00955487">
        <w:rPr>
          <w:rFonts w:ascii="Bookman Old Style" w:hAnsi="Bookman Old Style" w:cs="Arial"/>
          <w:lang w:val="de-DE"/>
        </w:rPr>
        <w:t>Kota</w:t>
      </w:r>
      <w:r w:rsidR="00A954D0">
        <w:rPr>
          <w:rFonts w:ascii="Bookman Old Style" w:hAnsi="Bookman Old Style" w:cs="Arial"/>
          <w:lang w:val="de-DE"/>
        </w:rPr>
        <w:t xml:space="preserve"> </w:t>
      </w:r>
      <w:r w:rsidR="00770F22" w:rsidRPr="00955487">
        <w:rPr>
          <w:rFonts w:ascii="Bookman Old Style" w:hAnsi="Bookman Old Style" w:cs="Arial"/>
          <w:lang w:val="de-DE"/>
        </w:rPr>
        <w:t>Tangerang</w:t>
      </w:r>
      <w:r w:rsidR="00A954D0">
        <w:rPr>
          <w:rFonts w:ascii="Bookman Old Style" w:hAnsi="Bookman Old Style" w:cs="Arial"/>
          <w:lang w:val="de-DE"/>
        </w:rPr>
        <w:t xml:space="preserve"> </w:t>
      </w:r>
      <w:r w:rsidR="00BE6ED9" w:rsidRPr="00955487">
        <w:rPr>
          <w:rFonts w:ascii="Bookman Old Style" w:hAnsi="Bookman Old Style" w:cs="Arial"/>
          <w:lang w:val="de-DE"/>
        </w:rPr>
        <w:t>tentang</w:t>
      </w:r>
      <w:r w:rsidR="00A954D0">
        <w:rPr>
          <w:rFonts w:ascii="Bookman Old Style" w:hAnsi="Bookman Old Style" w:cs="Arial"/>
          <w:lang w:val="de-DE"/>
        </w:rPr>
        <w:t xml:space="preserve"> </w:t>
      </w:r>
      <w:r w:rsidR="00BE6ED9" w:rsidRPr="00955487">
        <w:rPr>
          <w:rFonts w:ascii="Bookman Old Style" w:hAnsi="Bookman Old Style" w:cs="Arial"/>
          <w:lang w:val="de-DE"/>
        </w:rPr>
        <w:t>APBD</w:t>
      </w:r>
      <w:r w:rsidR="00A954D0" w:rsidRPr="003255BC">
        <w:rPr>
          <w:rFonts w:ascii="Bookman Old Style" w:hAnsi="Bookman Old Style" w:cs="Arial"/>
          <w:lang w:val="sv-FI"/>
        </w:rPr>
        <w:t xml:space="preserve"> </w:t>
      </w:r>
      <w:r w:rsidRPr="003255BC">
        <w:rPr>
          <w:rFonts w:ascii="Bookman Old Style" w:hAnsi="Bookman Old Style" w:cs="Arial"/>
          <w:lang w:val="sv-FI"/>
        </w:rPr>
        <w:t>Tahun</w:t>
      </w:r>
      <w:r w:rsidR="00A954D0" w:rsidRPr="003255BC">
        <w:rPr>
          <w:rFonts w:ascii="Bookman Old Style" w:hAnsi="Bookman Old Style" w:cs="Arial"/>
          <w:lang w:val="sv-FI"/>
        </w:rPr>
        <w:t xml:space="preserve"> </w:t>
      </w:r>
      <w:r w:rsidRPr="003255BC">
        <w:rPr>
          <w:rFonts w:ascii="Bookman Old Style" w:hAnsi="Bookman Old Style" w:cs="Arial"/>
          <w:lang w:val="sv-FI"/>
        </w:rPr>
        <w:t>Anggaran</w:t>
      </w:r>
      <w:r w:rsidR="00A954D0" w:rsidRPr="003255BC">
        <w:rPr>
          <w:rFonts w:ascii="Bookman Old Style" w:hAnsi="Bookman Old Style" w:cs="Arial"/>
          <w:lang w:val="sv-FI"/>
        </w:rPr>
        <w:t xml:space="preserve"> </w:t>
      </w:r>
      <w:r w:rsidRPr="003255BC">
        <w:rPr>
          <w:rFonts w:ascii="Bookman Old Style" w:hAnsi="Bookman Old Style" w:cs="Arial"/>
          <w:lang w:val="sv-FI"/>
        </w:rPr>
        <w:t>202</w:t>
      </w:r>
      <w:r w:rsidR="003C1F03" w:rsidRPr="003255BC">
        <w:rPr>
          <w:rFonts w:ascii="Bookman Old Style" w:hAnsi="Bookman Old Style" w:cs="Arial"/>
          <w:lang w:val="sv-FI"/>
        </w:rPr>
        <w:t>5</w:t>
      </w:r>
      <w:r w:rsidR="00A954D0" w:rsidRPr="003255BC">
        <w:rPr>
          <w:rFonts w:ascii="Bookman Old Style" w:hAnsi="Bookman Old Style" w:cs="Arial"/>
          <w:lang w:val="sv-FI"/>
        </w:rPr>
        <w:t xml:space="preserve"> </w:t>
      </w:r>
      <w:r w:rsidRPr="003255BC">
        <w:rPr>
          <w:rFonts w:ascii="Bookman Old Style" w:hAnsi="Bookman Old Style" w:cs="Arial"/>
          <w:lang w:val="sv-FI"/>
        </w:rPr>
        <w:t>terdiri</w:t>
      </w:r>
      <w:r w:rsidR="00A954D0" w:rsidRPr="003255BC">
        <w:rPr>
          <w:rFonts w:ascii="Bookman Old Style" w:hAnsi="Bookman Old Style" w:cs="Arial"/>
          <w:lang w:val="sv-FI"/>
        </w:rPr>
        <w:t xml:space="preserve"> </w:t>
      </w:r>
      <w:r w:rsidRPr="003255BC">
        <w:rPr>
          <w:rFonts w:ascii="Bookman Old Style" w:hAnsi="Bookman Old Style" w:cs="Arial"/>
          <w:lang w:val="sv-FI"/>
        </w:rPr>
        <w:t>dari:</w:t>
      </w:r>
    </w:p>
    <w:p w14:paraId="4CB4C746" w14:textId="2ABFA241" w:rsidR="0082286E" w:rsidRPr="00133AF0" w:rsidRDefault="0082286E" w:rsidP="00A26792">
      <w:pPr>
        <w:pStyle w:val="ListParagraph"/>
        <w:numPr>
          <w:ilvl w:val="0"/>
          <w:numId w:val="9"/>
        </w:numPr>
        <w:spacing w:before="60" w:after="0" w:line="276" w:lineRule="auto"/>
        <w:ind w:left="1276" w:hanging="282"/>
        <w:contextualSpacing w:val="0"/>
        <w:jc w:val="both"/>
        <w:rPr>
          <w:rFonts w:ascii="Bookman Old Style" w:hAnsi="Bookman Old Style"/>
          <w:bCs/>
          <w:sz w:val="24"/>
          <w:szCs w:val="24"/>
          <w:lang w:val="id-ID" w:eastAsia="id-ID"/>
        </w:rPr>
      </w:pPr>
      <w:r w:rsidRPr="00133AF0">
        <w:rPr>
          <w:rFonts w:ascii="Bookman Old Style" w:hAnsi="Bookman Old Style"/>
          <w:sz w:val="24"/>
          <w:szCs w:val="24"/>
        </w:rPr>
        <w:t>Penerimaan</w:t>
      </w:r>
      <w:r w:rsidR="00A954D0">
        <w:rPr>
          <w:rFonts w:ascii="Bookman Old Style" w:hAnsi="Bookman Old Style"/>
          <w:sz w:val="24"/>
          <w:szCs w:val="24"/>
        </w:rPr>
        <w:t xml:space="preserve"> </w:t>
      </w:r>
      <w:r w:rsidRPr="00133AF0">
        <w:rPr>
          <w:rFonts w:ascii="Bookman Old Style" w:hAnsi="Bookman Old Style"/>
          <w:sz w:val="24"/>
          <w:szCs w:val="24"/>
        </w:rPr>
        <w:t>Pembiayaan</w:t>
      </w:r>
      <w:r w:rsidR="00A954D0">
        <w:rPr>
          <w:rFonts w:ascii="Bookman Old Style" w:hAnsi="Bookman Old Style"/>
          <w:sz w:val="24"/>
          <w:szCs w:val="24"/>
        </w:rPr>
        <w:t xml:space="preserve"> </w:t>
      </w:r>
    </w:p>
    <w:p w14:paraId="3E8D56FF" w14:textId="77777777" w:rsidR="002F2AA9" w:rsidRDefault="003C1F03" w:rsidP="00A26792">
      <w:pPr>
        <w:pStyle w:val="ListParagraph"/>
        <w:spacing w:before="60" w:after="0" w:line="276" w:lineRule="auto"/>
        <w:ind w:left="1276"/>
        <w:contextualSpacing w:val="0"/>
        <w:jc w:val="both"/>
        <w:rPr>
          <w:rFonts w:ascii="Bookman Old Style" w:hAnsi="Bookman Old Style" w:cs="Tahoma"/>
          <w:w w:val="101"/>
          <w:sz w:val="24"/>
          <w:szCs w:val="24"/>
          <w:lang w:val="id-ID"/>
        </w:rPr>
      </w:pPr>
      <w:r w:rsidRPr="00133AF0">
        <w:rPr>
          <w:rFonts w:ascii="Bookman Old Style" w:hAnsi="Bookman Old Style"/>
          <w:sz w:val="24"/>
          <w:szCs w:val="24"/>
        </w:rPr>
        <w:t>Dalam</w:t>
      </w:r>
      <w:r w:rsidR="00A954D0">
        <w:rPr>
          <w:rFonts w:ascii="Bookman Old Style" w:hAnsi="Bookman Old Style"/>
          <w:sz w:val="24"/>
          <w:szCs w:val="24"/>
        </w:rPr>
        <w:t xml:space="preserve"> </w:t>
      </w:r>
      <w:r w:rsidRPr="00133AF0">
        <w:rPr>
          <w:rFonts w:ascii="Bookman Old Style" w:hAnsi="Bookman Old Style" w:cs="Arial"/>
          <w:sz w:val="24"/>
          <w:szCs w:val="24"/>
        </w:rPr>
        <w:t>Rancangan</w:t>
      </w:r>
      <w:r w:rsidR="00A954D0">
        <w:rPr>
          <w:rFonts w:ascii="Bookman Old Style" w:hAnsi="Bookman Old Style" w:cs="Arial"/>
          <w:sz w:val="24"/>
          <w:szCs w:val="24"/>
        </w:rPr>
        <w:t xml:space="preserve"> </w:t>
      </w:r>
      <w:r w:rsidRPr="00133AF0">
        <w:rPr>
          <w:rFonts w:ascii="Bookman Old Style" w:hAnsi="Bookman Old Style" w:cs="Arial"/>
          <w:sz w:val="24"/>
          <w:szCs w:val="24"/>
        </w:rPr>
        <w:t>Peraturan</w:t>
      </w:r>
      <w:r w:rsidR="00A954D0">
        <w:rPr>
          <w:rFonts w:ascii="Bookman Old Style" w:hAnsi="Bookman Old Style" w:cs="Arial"/>
          <w:sz w:val="24"/>
          <w:szCs w:val="24"/>
        </w:rPr>
        <w:t xml:space="preserve"> </w:t>
      </w:r>
      <w:r w:rsidRPr="00133AF0">
        <w:rPr>
          <w:rFonts w:ascii="Bookman Old Style" w:hAnsi="Bookman Old Style" w:cs="Arial"/>
          <w:sz w:val="24"/>
          <w:szCs w:val="24"/>
        </w:rPr>
        <w:t>Daerah</w:t>
      </w:r>
      <w:r w:rsidR="00A954D0">
        <w:rPr>
          <w:rFonts w:ascii="Bookman Old Style" w:hAnsi="Bookman Old Style" w:cs="Arial"/>
          <w:sz w:val="24"/>
          <w:szCs w:val="24"/>
        </w:rPr>
        <w:t xml:space="preserve"> </w:t>
      </w:r>
      <w:r w:rsidR="00B055C5" w:rsidRPr="00133AF0">
        <w:rPr>
          <w:rFonts w:ascii="Bookman Old Style" w:hAnsi="Bookman Old Style" w:cs="Arial"/>
          <w:sz w:val="24"/>
          <w:szCs w:val="24"/>
          <w:lang w:val="de-DE"/>
        </w:rPr>
        <w:t>Kota</w:t>
      </w:r>
      <w:r w:rsidR="00A954D0">
        <w:rPr>
          <w:rFonts w:ascii="Bookman Old Style" w:hAnsi="Bookman Old Style" w:cs="Arial"/>
          <w:sz w:val="24"/>
          <w:szCs w:val="24"/>
          <w:lang w:val="de-DE"/>
        </w:rPr>
        <w:t xml:space="preserve"> </w:t>
      </w:r>
      <w:r w:rsidR="00770F22" w:rsidRPr="00133AF0">
        <w:rPr>
          <w:rFonts w:ascii="Bookman Old Style" w:hAnsi="Bookman Old Style" w:cs="Arial"/>
          <w:sz w:val="24"/>
          <w:szCs w:val="24"/>
          <w:lang w:val="de-DE"/>
        </w:rPr>
        <w:t>Tangerang</w:t>
      </w:r>
      <w:r w:rsidR="00A954D0">
        <w:rPr>
          <w:rFonts w:ascii="Bookman Old Style" w:hAnsi="Bookman Old Style" w:cs="Arial"/>
          <w:sz w:val="24"/>
          <w:szCs w:val="24"/>
          <w:lang w:val="de-DE"/>
        </w:rPr>
        <w:t xml:space="preserve"> </w:t>
      </w:r>
      <w:r w:rsidR="00BE6ED9" w:rsidRPr="00133AF0">
        <w:rPr>
          <w:rFonts w:ascii="Bookman Old Style" w:hAnsi="Bookman Old Style" w:cs="Arial"/>
          <w:sz w:val="24"/>
          <w:szCs w:val="24"/>
          <w:lang w:val="de-DE"/>
        </w:rPr>
        <w:t>tentang</w:t>
      </w:r>
      <w:r w:rsidR="00A954D0">
        <w:rPr>
          <w:rFonts w:ascii="Bookman Old Style" w:hAnsi="Bookman Old Style" w:cs="Arial"/>
          <w:sz w:val="24"/>
          <w:szCs w:val="24"/>
          <w:lang w:val="de-DE"/>
        </w:rPr>
        <w:t xml:space="preserve"> </w:t>
      </w:r>
      <w:r w:rsidR="00BE6ED9" w:rsidRPr="00133AF0">
        <w:rPr>
          <w:rFonts w:ascii="Bookman Old Style" w:hAnsi="Bookman Old Style" w:cs="Arial"/>
          <w:sz w:val="24"/>
          <w:szCs w:val="24"/>
          <w:lang w:val="de-DE"/>
        </w:rPr>
        <w:t>APBD</w:t>
      </w:r>
      <w:r w:rsidR="00A954D0">
        <w:rPr>
          <w:rFonts w:ascii="Bookman Old Style" w:hAnsi="Bookman Old Style" w:cs="Arial"/>
          <w:sz w:val="24"/>
          <w:szCs w:val="24"/>
        </w:rPr>
        <w:t xml:space="preserve"> </w:t>
      </w:r>
      <w:r w:rsidRPr="00133AF0">
        <w:rPr>
          <w:rFonts w:ascii="Bookman Old Style" w:hAnsi="Bookman Old Style" w:cs="Arial"/>
          <w:sz w:val="24"/>
          <w:szCs w:val="24"/>
        </w:rPr>
        <w:t>Tahun</w:t>
      </w:r>
      <w:r w:rsidR="00A954D0">
        <w:rPr>
          <w:rFonts w:ascii="Bookman Old Style" w:hAnsi="Bookman Old Style" w:cs="Arial"/>
          <w:sz w:val="24"/>
          <w:szCs w:val="24"/>
        </w:rPr>
        <w:t xml:space="preserve"> </w:t>
      </w:r>
      <w:r w:rsidRPr="00133AF0">
        <w:rPr>
          <w:rFonts w:ascii="Bookman Old Style" w:hAnsi="Bookman Old Style" w:cs="Arial"/>
          <w:sz w:val="24"/>
          <w:szCs w:val="24"/>
        </w:rPr>
        <w:t>Anggaran</w:t>
      </w:r>
      <w:r w:rsidR="00A954D0">
        <w:rPr>
          <w:rFonts w:ascii="Bookman Old Style" w:hAnsi="Bookman Old Style" w:cs="Arial"/>
          <w:sz w:val="24"/>
          <w:szCs w:val="24"/>
        </w:rPr>
        <w:t xml:space="preserve"> </w:t>
      </w:r>
      <w:r w:rsidRPr="00133AF0">
        <w:rPr>
          <w:rFonts w:ascii="Bookman Old Style" w:hAnsi="Bookman Old Style" w:cs="Arial"/>
          <w:sz w:val="24"/>
          <w:szCs w:val="24"/>
        </w:rPr>
        <w:t>2025</w:t>
      </w:r>
      <w:r w:rsidR="00A954D0">
        <w:rPr>
          <w:rFonts w:ascii="Bookman Old Style" w:hAnsi="Bookman Old Style"/>
          <w:bCs/>
          <w:sz w:val="24"/>
          <w:szCs w:val="24"/>
          <w:lang w:val="id-ID" w:eastAsia="id-ID"/>
        </w:rPr>
        <w:t xml:space="preserve"> </w:t>
      </w:r>
      <w:r w:rsidRPr="00133AF0">
        <w:rPr>
          <w:rFonts w:ascii="Bookman Old Style" w:hAnsi="Bookman Old Style"/>
          <w:bCs/>
          <w:sz w:val="24"/>
          <w:szCs w:val="24"/>
          <w:lang w:val="id-ID" w:eastAsia="id-ID"/>
        </w:rPr>
        <w:t>dianggarkan</w:t>
      </w:r>
      <w:r w:rsidR="00A954D0">
        <w:rPr>
          <w:rFonts w:ascii="Bookman Old Style" w:hAnsi="Bookman Old Style"/>
          <w:bCs/>
          <w:sz w:val="24"/>
          <w:szCs w:val="24"/>
          <w:lang w:val="id-ID" w:eastAsia="id-ID"/>
        </w:rPr>
        <w:t xml:space="preserve"> </w:t>
      </w:r>
      <w:r w:rsidRPr="00133AF0">
        <w:rPr>
          <w:rFonts w:ascii="Bookman Old Style" w:hAnsi="Bookman Old Style"/>
          <w:bCs/>
          <w:sz w:val="24"/>
          <w:szCs w:val="24"/>
          <w:lang w:val="id-ID" w:eastAsia="id-ID"/>
        </w:rPr>
        <w:t>penerimaan</w:t>
      </w:r>
      <w:r w:rsidR="00A954D0">
        <w:rPr>
          <w:rFonts w:ascii="Bookman Old Style" w:hAnsi="Bookman Old Style"/>
          <w:bCs/>
          <w:sz w:val="24"/>
          <w:szCs w:val="24"/>
          <w:lang w:val="id-ID" w:eastAsia="id-ID"/>
        </w:rPr>
        <w:t xml:space="preserve"> </w:t>
      </w:r>
      <w:r w:rsidRPr="00133AF0">
        <w:rPr>
          <w:rFonts w:ascii="Bookman Old Style" w:hAnsi="Bookman Old Style"/>
          <w:bCs/>
          <w:sz w:val="24"/>
          <w:szCs w:val="24"/>
          <w:lang w:val="id-ID" w:eastAsia="id-ID"/>
        </w:rPr>
        <w:t>pembiayaan</w:t>
      </w:r>
      <w:r w:rsidR="00A954D0">
        <w:rPr>
          <w:rFonts w:ascii="Bookman Old Style" w:hAnsi="Bookman Old Style"/>
          <w:bCs/>
          <w:sz w:val="24"/>
          <w:szCs w:val="24"/>
          <w:lang w:val="id-ID" w:eastAsia="id-ID"/>
        </w:rPr>
        <w:t xml:space="preserve"> </w:t>
      </w:r>
      <w:r w:rsidR="006A0F29" w:rsidRPr="00133AF0">
        <w:rPr>
          <w:rFonts w:ascii="Bookman Old Style" w:hAnsi="Bookman Old Style"/>
          <w:bCs/>
          <w:sz w:val="24"/>
          <w:szCs w:val="24"/>
          <w:lang w:val="id-ID" w:eastAsia="id-ID"/>
        </w:rPr>
        <w:t>Rp400.789.809.045,00</w:t>
      </w:r>
      <w:r w:rsidR="00A954D0">
        <w:rPr>
          <w:rFonts w:ascii="Bookman Old Style" w:hAnsi="Bookman Old Style"/>
          <w:bCs/>
          <w:sz w:val="24"/>
          <w:szCs w:val="24"/>
          <w:lang w:val="id-ID" w:eastAsia="id-ID"/>
        </w:rPr>
        <w:t xml:space="preserve"> </w:t>
      </w:r>
      <w:r w:rsidR="006929CB" w:rsidRPr="00133AF0">
        <w:rPr>
          <w:rFonts w:ascii="Bookman Old Style" w:hAnsi="Bookman Old Style"/>
          <w:bCs/>
          <w:sz w:val="24"/>
          <w:szCs w:val="24"/>
          <w:lang w:val="id-ID" w:eastAsia="id-ID"/>
        </w:rPr>
        <w:t>yang</w:t>
      </w:r>
      <w:r w:rsidR="00A954D0">
        <w:rPr>
          <w:rFonts w:ascii="Bookman Old Style" w:hAnsi="Bookman Old Style"/>
          <w:bCs/>
          <w:sz w:val="24"/>
          <w:szCs w:val="24"/>
          <w:lang w:val="id-ID" w:eastAsia="id-ID"/>
        </w:rPr>
        <w:t xml:space="preserve"> </w:t>
      </w:r>
      <w:r w:rsidR="006929CB" w:rsidRPr="00133AF0">
        <w:rPr>
          <w:rFonts w:ascii="Bookman Old Style" w:hAnsi="Bookman Old Style"/>
          <w:bCs/>
          <w:sz w:val="24"/>
          <w:szCs w:val="24"/>
          <w:lang w:val="id-ID" w:eastAsia="id-ID"/>
        </w:rPr>
        <w:t>hanya</w:t>
      </w:r>
      <w:r w:rsidR="00A954D0">
        <w:rPr>
          <w:rFonts w:ascii="Bookman Old Style" w:hAnsi="Bookman Old Style"/>
          <w:bCs/>
          <w:sz w:val="24"/>
          <w:szCs w:val="24"/>
          <w:lang w:val="id-ID" w:eastAsia="id-ID"/>
        </w:rPr>
        <w:t xml:space="preserve"> </w:t>
      </w:r>
      <w:r w:rsidR="006929CB" w:rsidRPr="00133AF0">
        <w:rPr>
          <w:rFonts w:ascii="Bookman Old Style" w:hAnsi="Bookman Old Style"/>
          <w:bCs/>
          <w:sz w:val="24"/>
          <w:szCs w:val="24"/>
          <w:lang w:val="id-ID" w:eastAsia="id-ID"/>
        </w:rPr>
        <w:t>diuraikan</w:t>
      </w:r>
      <w:r w:rsidR="00A954D0">
        <w:rPr>
          <w:rFonts w:ascii="Bookman Old Style" w:hAnsi="Bookman Old Style"/>
          <w:bCs/>
          <w:sz w:val="24"/>
          <w:szCs w:val="24"/>
          <w:lang w:val="id-ID" w:eastAsia="id-ID"/>
        </w:rPr>
        <w:t xml:space="preserve"> </w:t>
      </w:r>
      <w:r w:rsidR="006929CB" w:rsidRPr="00133AF0">
        <w:rPr>
          <w:rFonts w:ascii="Bookman Old Style" w:hAnsi="Bookman Old Style"/>
          <w:bCs/>
          <w:sz w:val="24"/>
          <w:szCs w:val="24"/>
          <w:lang w:val="id-ID" w:eastAsia="id-ID"/>
        </w:rPr>
        <w:t>ke</w:t>
      </w:r>
      <w:r w:rsidR="00A954D0">
        <w:rPr>
          <w:rFonts w:ascii="Bookman Old Style" w:hAnsi="Bookman Old Style"/>
          <w:bCs/>
          <w:sz w:val="24"/>
          <w:szCs w:val="24"/>
          <w:lang w:val="id-ID" w:eastAsia="id-ID"/>
        </w:rPr>
        <w:t xml:space="preserve"> </w:t>
      </w:r>
      <w:r w:rsidR="006929CB" w:rsidRPr="00133AF0">
        <w:rPr>
          <w:rFonts w:ascii="Bookman Old Style" w:hAnsi="Bookman Old Style"/>
          <w:bCs/>
          <w:sz w:val="24"/>
          <w:szCs w:val="24"/>
          <w:lang w:val="id-ID" w:eastAsia="id-ID"/>
        </w:rPr>
        <w:t>dalam</w:t>
      </w:r>
      <w:r w:rsidR="00A954D0">
        <w:rPr>
          <w:rFonts w:ascii="Bookman Old Style" w:hAnsi="Bookman Old Style"/>
          <w:bCs/>
          <w:sz w:val="24"/>
          <w:szCs w:val="24"/>
          <w:lang w:val="id-ID" w:eastAsia="id-ID"/>
        </w:rPr>
        <w:t xml:space="preserve"> </w:t>
      </w:r>
      <w:r w:rsidRPr="00133AF0">
        <w:rPr>
          <w:rFonts w:ascii="Bookman Old Style" w:hAnsi="Bookman Old Style" w:cs="Arial"/>
          <w:sz w:val="24"/>
          <w:szCs w:val="24"/>
        </w:rPr>
        <w:t>Sisa</w:t>
      </w:r>
      <w:r w:rsidR="00A954D0">
        <w:rPr>
          <w:rFonts w:ascii="Bookman Old Style" w:hAnsi="Bookman Old Style" w:cs="Arial"/>
          <w:sz w:val="24"/>
          <w:szCs w:val="24"/>
        </w:rPr>
        <w:t xml:space="preserve"> </w:t>
      </w:r>
      <w:r w:rsidRPr="00133AF0">
        <w:rPr>
          <w:rFonts w:ascii="Bookman Old Style" w:hAnsi="Bookman Old Style" w:cs="Arial"/>
          <w:sz w:val="24"/>
          <w:szCs w:val="24"/>
        </w:rPr>
        <w:t>Lebih</w:t>
      </w:r>
      <w:r w:rsidR="00A954D0">
        <w:rPr>
          <w:rFonts w:ascii="Bookman Old Style" w:hAnsi="Bookman Old Style" w:cs="Arial"/>
          <w:sz w:val="24"/>
          <w:szCs w:val="24"/>
        </w:rPr>
        <w:t xml:space="preserve"> </w:t>
      </w:r>
      <w:r w:rsidRPr="00133AF0">
        <w:rPr>
          <w:rFonts w:ascii="Bookman Old Style" w:hAnsi="Bookman Old Style" w:cs="Arial"/>
          <w:sz w:val="24"/>
          <w:szCs w:val="24"/>
        </w:rPr>
        <w:t>Perhitungan</w:t>
      </w:r>
      <w:r w:rsidR="00A954D0">
        <w:rPr>
          <w:rFonts w:ascii="Bookman Old Style" w:hAnsi="Bookman Old Style" w:cs="Arial"/>
          <w:sz w:val="24"/>
          <w:szCs w:val="24"/>
        </w:rPr>
        <w:t xml:space="preserve"> </w:t>
      </w:r>
      <w:r w:rsidRPr="00133AF0">
        <w:rPr>
          <w:rFonts w:ascii="Bookman Old Style" w:hAnsi="Bookman Old Style" w:cs="Arial"/>
          <w:sz w:val="24"/>
          <w:szCs w:val="24"/>
        </w:rPr>
        <w:t>Anggaran</w:t>
      </w:r>
      <w:r w:rsidR="00A954D0">
        <w:rPr>
          <w:rFonts w:ascii="Bookman Old Style" w:hAnsi="Bookman Old Style" w:cs="Arial"/>
          <w:sz w:val="24"/>
          <w:szCs w:val="24"/>
        </w:rPr>
        <w:t xml:space="preserve"> </w:t>
      </w:r>
      <w:r w:rsidRPr="00133AF0">
        <w:rPr>
          <w:rFonts w:ascii="Bookman Old Style" w:hAnsi="Bookman Old Style" w:cs="Arial"/>
          <w:sz w:val="24"/>
          <w:szCs w:val="24"/>
        </w:rPr>
        <w:t>Tahun</w:t>
      </w:r>
      <w:r w:rsidR="00A954D0">
        <w:rPr>
          <w:rFonts w:ascii="Bookman Old Style" w:hAnsi="Bookman Old Style" w:cs="Arial"/>
          <w:sz w:val="24"/>
          <w:szCs w:val="24"/>
        </w:rPr>
        <w:t xml:space="preserve"> </w:t>
      </w:r>
      <w:r w:rsidRPr="00133AF0">
        <w:rPr>
          <w:rFonts w:ascii="Bookman Old Style" w:hAnsi="Bookman Old Style" w:cs="Arial"/>
          <w:sz w:val="24"/>
          <w:szCs w:val="24"/>
        </w:rPr>
        <w:t>Sebelumnya</w:t>
      </w:r>
      <w:r w:rsidR="00A954D0">
        <w:rPr>
          <w:rFonts w:ascii="Bookman Old Style" w:hAnsi="Bookman Old Style" w:cs="Arial"/>
          <w:sz w:val="24"/>
          <w:szCs w:val="24"/>
        </w:rPr>
        <w:t xml:space="preserve"> </w:t>
      </w:r>
      <w:r w:rsidRPr="00133AF0">
        <w:rPr>
          <w:rFonts w:ascii="Bookman Old Style" w:hAnsi="Bookman Old Style" w:cs="Arial"/>
          <w:sz w:val="24"/>
          <w:szCs w:val="24"/>
        </w:rPr>
        <w:t>(</w:t>
      </w:r>
      <w:r w:rsidRPr="00133AF0">
        <w:rPr>
          <w:rFonts w:ascii="Bookman Old Style" w:hAnsi="Bookman Old Style"/>
          <w:bCs/>
          <w:sz w:val="24"/>
          <w:szCs w:val="24"/>
          <w:lang w:val="id-ID" w:eastAsia="id-ID"/>
        </w:rPr>
        <w:t>SiLPA</w:t>
      </w:r>
      <w:r w:rsidRPr="00133AF0">
        <w:rPr>
          <w:rFonts w:ascii="Bookman Old Style" w:hAnsi="Bookman Old Style" w:cs="Arial"/>
          <w:sz w:val="24"/>
          <w:szCs w:val="24"/>
        </w:rPr>
        <w:t>)</w:t>
      </w:r>
      <w:r w:rsidR="00A954D0">
        <w:rPr>
          <w:rFonts w:ascii="Bookman Old Style" w:hAnsi="Bookman Old Style" w:cs="Arial"/>
          <w:sz w:val="24"/>
          <w:szCs w:val="24"/>
        </w:rPr>
        <w:t xml:space="preserve"> </w:t>
      </w:r>
      <w:r w:rsidR="00955487" w:rsidRPr="00133AF0">
        <w:rPr>
          <w:rFonts w:ascii="Bookman Old Style" w:hAnsi="Bookman Old Style"/>
          <w:bCs/>
          <w:sz w:val="24"/>
          <w:szCs w:val="24"/>
          <w:lang w:val="id-ID" w:eastAsia="id-ID"/>
        </w:rPr>
        <w:t>Rp400.789.809.045,00</w:t>
      </w:r>
      <w:r w:rsidR="00A954D0">
        <w:rPr>
          <w:rFonts w:ascii="Bookman Old Style" w:hAnsi="Bookman Old Style"/>
          <w:bCs/>
          <w:sz w:val="24"/>
          <w:szCs w:val="24"/>
          <w:lang w:val="id-ID" w:eastAsia="id-ID"/>
        </w:rPr>
        <w:t xml:space="preserve"> </w:t>
      </w:r>
      <w:r w:rsidR="00955487" w:rsidRPr="00133AF0">
        <w:rPr>
          <w:rFonts w:ascii="Bookman Old Style" w:hAnsi="Bookman Old Style"/>
          <w:bCs/>
          <w:sz w:val="24"/>
          <w:szCs w:val="24"/>
          <w:lang w:val="id-ID" w:eastAsia="id-ID"/>
        </w:rPr>
        <w:t>atau</w:t>
      </w:r>
      <w:r w:rsidR="00A954D0">
        <w:rPr>
          <w:rFonts w:ascii="Bookman Old Style" w:hAnsi="Bookman Old Style"/>
          <w:bCs/>
          <w:sz w:val="24"/>
          <w:szCs w:val="24"/>
          <w:lang w:val="id-ID" w:eastAsia="id-ID"/>
        </w:rPr>
        <w:t xml:space="preserve"> </w:t>
      </w:r>
      <w:r w:rsidR="00955487" w:rsidRPr="00133AF0">
        <w:rPr>
          <w:rFonts w:ascii="Bookman Old Style" w:hAnsi="Bookman Old Style"/>
          <w:bCs/>
          <w:sz w:val="24"/>
          <w:szCs w:val="24"/>
          <w:lang w:val="id-ID" w:eastAsia="id-ID"/>
        </w:rPr>
        <w:t>7,02%</w:t>
      </w:r>
      <w:r w:rsidR="00A954D0">
        <w:rPr>
          <w:rFonts w:ascii="Bookman Old Style" w:hAnsi="Bookman Old Style" w:cs="Arial"/>
          <w:sz w:val="24"/>
          <w:szCs w:val="24"/>
        </w:rPr>
        <w:t xml:space="preserve"> </w:t>
      </w:r>
      <w:r w:rsidRPr="00133AF0">
        <w:rPr>
          <w:rFonts w:ascii="Bookman Old Style" w:hAnsi="Bookman Old Style"/>
          <w:sz w:val="24"/>
          <w:szCs w:val="24"/>
        </w:rPr>
        <w:t>dari</w:t>
      </w:r>
      <w:r w:rsidR="00A954D0">
        <w:rPr>
          <w:rFonts w:ascii="Bookman Old Style" w:hAnsi="Bookman Old Style"/>
          <w:sz w:val="24"/>
          <w:szCs w:val="24"/>
        </w:rPr>
        <w:t xml:space="preserve"> </w:t>
      </w:r>
      <w:r w:rsidRPr="00133AF0">
        <w:rPr>
          <w:rFonts w:ascii="Bookman Old Style" w:hAnsi="Bookman Old Style"/>
          <w:sz w:val="24"/>
          <w:szCs w:val="24"/>
        </w:rPr>
        <w:t>total</w:t>
      </w:r>
      <w:r w:rsidR="00A954D0">
        <w:rPr>
          <w:rFonts w:ascii="Bookman Old Style" w:hAnsi="Bookman Old Style"/>
          <w:sz w:val="24"/>
          <w:szCs w:val="24"/>
        </w:rPr>
        <w:t xml:space="preserve"> </w:t>
      </w:r>
      <w:r w:rsidRPr="00133AF0">
        <w:rPr>
          <w:rFonts w:ascii="Bookman Old Style" w:hAnsi="Bookman Old Style"/>
          <w:sz w:val="24"/>
          <w:szCs w:val="24"/>
        </w:rPr>
        <w:t>belanja</w:t>
      </w:r>
      <w:r w:rsidR="00A954D0">
        <w:rPr>
          <w:rFonts w:ascii="Bookman Old Style" w:hAnsi="Bookman Old Style"/>
          <w:sz w:val="24"/>
          <w:szCs w:val="24"/>
        </w:rPr>
        <w:t xml:space="preserve"> </w:t>
      </w:r>
      <w:r w:rsidRPr="00133AF0">
        <w:rPr>
          <w:rFonts w:ascii="Bookman Old Style" w:hAnsi="Bookman Old Style"/>
          <w:sz w:val="24"/>
          <w:szCs w:val="24"/>
        </w:rPr>
        <w:t>daerah</w:t>
      </w:r>
      <w:r w:rsidR="00A954D0">
        <w:rPr>
          <w:rFonts w:ascii="Bookman Old Style" w:hAnsi="Bookman Old Style"/>
          <w:sz w:val="24"/>
          <w:szCs w:val="24"/>
        </w:rPr>
        <w:t xml:space="preserve"> </w:t>
      </w:r>
      <w:r w:rsidRPr="00133AF0">
        <w:rPr>
          <w:rFonts w:ascii="Bookman Old Style" w:hAnsi="Bookman Old Style"/>
          <w:sz w:val="24"/>
          <w:szCs w:val="24"/>
        </w:rPr>
        <w:t>dalam</w:t>
      </w:r>
      <w:r w:rsidR="00A954D0">
        <w:rPr>
          <w:rFonts w:ascii="Bookman Old Style" w:hAnsi="Bookman Old Style"/>
          <w:sz w:val="24"/>
          <w:szCs w:val="24"/>
        </w:rPr>
        <w:t xml:space="preserve"> </w:t>
      </w:r>
      <w:r w:rsidRPr="00133AF0">
        <w:rPr>
          <w:rFonts w:ascii="Bookman Old Style" w:hAnsi="Bookman Old Style"/>
          <w:sz w:val="24"/>
          <w:szCs w:val="24"/>
        </w:rPr>
        <w:t>Rancangan</w:t>
      </w:r>
      <w:r w:rsidR="00A954D0">
        <w:rPr>
          <w:rFonts w:ascii="Bookman Old Style" w:hAnsi="Bookman Old Style"/>
          <w:sz w:val="24"/>
          <w:szCs w:val="24"/>
        </w:rPr>
        <w:t xml:space="preserve"> </w:t>
      </w:r>
      <w:r w:rsidRPr="00133AF0">
        <w:rPr>
          <w:rFonts w:ascii="Bookman Old Style" w:hAnsi="Bookman Old Style"/>
          <w:sz w:val="24"/>
          <w:szCs w:val="24"/>
        </w:rPr>
        <w:t>Peraturan</w:t>
      </w:r>
      <w:r w:rsidR="00A954D0">
        <w:rPr>
          <w:rFonts w:ascii="Bookman Old Style" w:hAnsi="Bookman Old Style"/>
          <w:sz w:val="24"/>
          <w:szCs w:val="24"/>
        </w:rPr>
        <w:t xml:space="preserve"> </w:t>
      </w:r>
      <w:r w:rsidRPr="00133AF0">
        <w:rPr>
          <w:rFonts w:ascii="Bookman Old Style" w:hAnsi="Bookman Old Style"/>
          <w:sz w:val="24"/>
          <w:szCs w:val="24"/>
        </w:rPr>
        <w:t>Daerah</w:t>
      </w:r>
      <w:r w:rsidR="00A954D0">
        <w:rPr>
          <w:rFonts w:ascii="Bookman Old Style" w:hAnsi="Bookman Old Style"/>
          <w:sz w:val="24"/>
          <w:szCs w:val="24"/>
        </w:rPr>
        <w:t xml:space="preserve"> </w:t>
      </w:r>
      <w:r w:rsidR="00B055C5" w:rsidRPr="00133AF0">
        <w:rPr>
          <w:rFonts w:ascii="Bookman Old Style" w:hAnsi="Bookman Old Style" w:cs="Arial"/>
          <w:sz w:val="24"/>
          <w:szCs w:val="24"/>
          <w:lang w:val="de-DE"/>
        </w:rPr>
        <w:t>Kota</w:t>
      </w:r>
      <w:r w:rsidR="00A954D0">
        <w:rPr>
          <w:rFonts w:ascii="Bookman Old Style" w:hAnsi="Bookman Old Style" w:cs="Arial"/>
          <w:sz w:val="24"/>
          <w:szCs w:val="24"/>
          <w:lang w:val="de-DE"/>
        </w:rPr>
        <w:t xml:space="preserve"> </w:t>
      </w:r>
      <w:r w:rsidR="00770F22" w:rsidRPr="00133AF0">
        <w:rPr>
          <w:rFonts w:ascii="Bookman Old Style" w:hAnsi="Bookman Old Style" w:cs="Arial"/>
          <w:sz w:val="24"/>
          <w:szCs w:val="24"/>
          <w:lang w:val="de-DE"/>
        </w:rPr>
        <w:t>Tangerang</w:t>
      </w:r>
      <w:r w:rsidR="00A954D0">
        <w:rPr>
          <w:rFonts w:ascii="Bookman Old Style" w:hAnsi="Bookman Old Style" w:cs="Arial"/>
          <w:sz w:val="24"/>
          <w:szCs w:val="24"/>
          <w:lang w:val="de-DE"/>
        </w:rPr>
        <w:t xml:space="preserve"> </w:t>
      </w:r>
      <w:r w:rsidR="00BE6ED9" w:rsidRPr="00133AF0">
        <w:rPr>
          <w:rFonts w:ascii="Bookman Old Style" w:hAnsi="Bookman Old Style" w:cs="Arial"/>
          <w:sz w:val="24"/>
          <w:szCs w:val="24"/>
          <w:lang w:val="de-DE"/>
        </w:rPr>
        <w:t>tentang</w:t>
      </w:r>
      <w:r w:rsidR="00A954D0">
        <w:rPr>
          <w:rFonts w:ascii="Bookman Old Style" w:hAnsi="Bookman Old Style" w:cs="Arial"/>
          <w:sz w:val="24"/>
          <w:szCs w:val="24"/>
          <w:lang w:val="de-DE"/>
        </w:rPr>
        <w:t xml:space="preserve"> </w:t>
      </w:r>
      <w:r w:rsidR="00BE6ED9" w:rsidRPr="00133AF0">
        <w:rPr>
          <w:rFonts w:ascii="Bookman Old Style" w:hAnsi="Bookman Old Style" w:cs="Arial"/>
          <w:sz w:val="24"/>
          <w:szCs w:val="24"/>
          <w:lang w:val="de-DE"/>
        </w:rPr>
        <w:t>APBD</w:t>
      </w:r>
      <w:r w:rsidR="00A954D0">
        <w:rPr>
          <w:rFonts w:ascii="Bookman Old Style" w:hAnsi="Bookman Old Style"/>
          <w:sz w:val="24"/>
          <w:szCs w:val="24"/>
        </w:rPr>
        <w:t xml:space="preserve"> </w:t>
      </w:r>
      <w:r w:rsidRPr="00133AF0">
        <w:rPr>
          <w:rFonts w:ascii="Bookman Old Style" w:hAnsi="Bookman Old Style"/>
          <w:sz w:val="24"/>
          <w:szCs w:val="24"/>
        </w:rPr>
        <w:t>Tahun</w:t>
      </w:r>
      <w:r w:rsidR="00A954D0">
        <w:rPr>
          <w:rFonts w:ascii="Bookman Old Style" w:hAnsi="Bookman Old Style"/>
          <w:sz w:val="24"/>
          <w:szCs w:val="24"/>
        </w:rPr>
        <w:t xml:space="preserve"> </w:t>
      </w:r>
      <w:r w:rsidRPr="00133AF0">
        <w:rPr>
          <w:rFonts w:ascii="Bookman Old Style" w:hAnsi="Bookman Old Style"/>
          <w:sz w:val="24"/>
          <w:szCs w:val="24"/>
        </w:rPr>
        <w:t>Anggaran</w:t>
      </w:r>
      <w:r w:rsidR="00A954D0">
        <w:rPr>
          <w:rFonts w:ascii="Bookman Old Style" w:hAnsi="Bookman Old Style"/>
          <w:sz w:val="24"/>
          <w:szCs w:val="24"/>
        </w:rPr>
        <w:t xml:space="preserve"> </w:t>
      </w:r>
      <w:r w:rsidRPr="00133AF0">
        <w:rPr>
          <w:rFonts w:ascii="Bookman Old Style" w:hAnsi="Bookman Old Style"/>
          <w:sz w:val="24"/>
          <w:szCs w:val="24"/>
        </w:rPr>
        <w:t>2025</w:t>
      </w:r>
      <w:r w:rsidR="006929CB" w:rsidRPr="00133AF0">
        <w:rPr>
          <w:rFonts w:ascii="Bookman Old Style" w:hAnsi="Bookman Old Style" w:cs="Tahoma"/>
          <w:w w:val="101"/>
          <w:sz w:val="24"/>
          <w:szCs w:val="24"/>
          <w:lang w:val="id-ID"/>
        </w:rPr>
        <w:t>.</w:t>
      </w:r>
    </w:p>
    <w:p w14:paraId="2F321F20" w14:textId="77777777" w:rsidR="002F2AA9" w:rsidRDefault="002F2AA9" w:rsidP="00A26792">
      <w:pPr>
        <w:pStyle w:val="ListParagraph"/>
        <w:spacing w:before="60" w:after="0" w:line="276" w:lineRule="auto"/>
        <w:ind w:left="1276"/>
        <w:contextualSpacing w:val="0"/>
        <w:jc w:val="both"/>
        <w:rPr>
          <w:rFonts w:ascii="Bookman Old Style" w:hAnsi="Bookman Old Style" w:cs="Tahoma"/>
          <w:w w:val="101"/>
          <w:sz w:val="24"/>
          <w:szCs w:val="24"/>
          <w:lang w:val="id-ID"/>
        </w:rPr>
      </w:pPr>
    </w:p>
    <w:p w14:paraId="4E3D5B1B" w14:textId="4F4F45B5" w:rsidR="003C1F03" w:rsidRPr="00133AF0" w:rsidRDefault="00A954D0" w:rsidP="00A26792">
      <w:pPr>
        <w:pStyle w:val="ListParagraph"/>
        <w:spacing w:before="60" w:after="0" w:line="276" w:lineRule="auto"/>
        <w:ind w:left="1276"/>
        <w:contextualSpacing w:val="0"/>
        <w:jc w:val="both"/>
        <w:rPr>
          <w:rFonts w:ascii="Bookman Old Style" w:hAnsi="Bookman Old Style" w:cs="Tahoma"/>
          <w:w w:val="101"/>
          <w:sz w:val="24"/>
          <w:szCs w:val="24"/>
          <w:lang w:val="id-ID"/>
        </w:rPr>
      </w:pPr>
      <w:r>
        <w:rPr>
          <w:rFonts w:ascii="Bookman Old Style" w:hAnsi="Bookman Old Style" w:cs="Tahoma"/>
          <w:w w:val="101"/>
          <w:sz w:val="24"/>
          <w:szCs w:val="24"/>
          <w:lang w:val="id-ID"/>
        </w:rPr>
        <w:t xml:space="preserve"> </w:t>
      </w:r>
    </w:p>
    <w:p w14:paraId="122F2FA5" w14:textId="0852ECCA" w:rsidR="003C1F03" w:rsidRPr="003255BC" w:rsidRDefault="003C1F03" w:rsidP="00727324">
      <w:pPr>
        <w:pStyle w:val="ListParagraph"/>
        <w:spacing w:before="60" w:after="0" w:line="276" w:lineRule="auto"/>
        <w:ind w:left="1157"/>
        <w:contextualSpacing w:val="0"/>
        <w:jc w:val="center"/>
        <w:rPr>
          <w:rFonts w:ascii="Bookman Old Style" w:hAnsi="Bookman Old Style"/>
          <w:sz w:val="24"/>
          <w:szCs w:val="24"/>
          <w:lang w:val="sv-FI"/>
        </w:rPr>
      </w:pPr>
      <w:r w:rsidRPr="00133AF0">
        <w:rPr>
          <w:rFonts w:ascii="Bookman Old Style" w:hAnsi="Bookman Old Style"/>
          <w:sz w:val="24"/>
          <w:szCs w:val="24"/>
        </w:rPr>
        <w:lastRenderedPageBreak/>
        <w:t>Tabel.</w:t>
      </w:r>
      <w:r w:rsidR="00A954D0">
        <w:rPr>
          <w:rFonts w:ascii="Bookman Old Style" w:hAnsi="Bookman Old Style"/>
          <w:sz w:val="24"/>
          <w:szCs w:val="24"/>
          <w:lang w:val="id-ID"/>
        </w:rPr>
        <w:t xml:space="preserve"> </w:t>
      </w:r>
      <w:r w:rsidR="00797E71" w:rsidRPr="00133AF0">
        <w:rPr>
          <w:rFonts w:ascii="Bookman Old Style" w:hAnsi="Bookman Old Style"/>
          <w:sz w:val="24"/>
          <w:szCs w:val="24"/>
          <w:lang w:val="id-ID"/>
        </w:rPr>
        <w:t>27</w:t>
      </w:r>
    </w:p>
    <w:p w14:paraId="374375DA" w14:textId="504A664C" w:rsidR="003C1F03" w:rsidRPr="003255BC" w:rsidRDefault="003C1F03" w:rsidP="00E32E1E">
      <w:pPr>
        <w:pStyle w:val="ListParagraph"/>
        <w:spacing w:line="276" w:lineRule="auto"/>
        <w:ind w:left="1157"/>
        <w:contextualSpacing w:val="0"/>
        <w:jc w:val="center"/>
        <w:rPr>
          <w:rFonts w:ascii="Bookman Old Style" w:hAnsi="Bookman Old Style"/>
          <w:sz w:val="24"/>
          <w:szCs w:val="24"/>
          <w:lang w:val="sv-FI"/>
        </w:rPr>
      </w:pPr>
      <w:r w:rsidRPr="003255BC">
        <w:rPr>
          <w:rFonts w:ascii="Bookman Old Style" w:hAnsi="Bookman Old Style"/>
          <w:sz w:val="24"/>
          <w:szCs w:val="24"/>
          <w:lang w:val="sv-FI"/>
        </w:rPr>
        <w:t>Tren</w:t>
      </w:r>
      <w:r w:rsidR="00A954D0" w:rsidRPr="003255BC">
        <w:rPr>
          <w:rFonts w:ascii="Bookman Old Style" w:hAnsi="Bookman Old Style"/>
          <w:sz w:val="24"/>
          <w:szCs w:val="24"/>
          <w:lang w:val="sv-FI"/>
        </w:rPr>
        <w:t xml:space="preserve"> </w:t>
      </w:r>
      <w:r w:rsidRPr="00133AF0">
        <w:rPr>
          <w:rFonts w:ascii="Bookman Old Style" w:hAnsi="Bookman Old Style"/>
          <w:bCs/>
          <w:sz w:val="24"/>
          <w:szCs w:val="24"/>
          <w:lang w:val="id-ID" w:eastAsia="id-ID"/>
        </w:rPr>
        <w:t>SiLPA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terhadap</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Belanja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Daerah</w:t>
      </w:r>
    </w:p>
    <w:tbl>
      <w:tblPr>
        <w:tblStyle w:val="TableGrid"/>
        <w:tblW w:w="9646" w:type="dxa"/>
        <w:tblInd w:w="-572" w:type="dxa"/>
        <w:tblLook w:val="04A0" w:firstRow="1" w:lastRow="0" w:firstColumn="1" w:lastColumn="0" w:noHBand="0" w:noVBand="1"/>
      </w:tblPr>
      <w:tblGrid>
        <w:gridCol w:w="1153"/>
        <w:gridCol w:w="2209"/>
        <w:gridCol w:w="2209"/>
        <w:gridCol w:w="901"/>
        <w:gridCol w:w="2397"/>
        <w:gridCol w:w="777"/>
      </w:tblGrid>
      <w:tr w:rsidR="003C1F03" w:rsidRPr="00B26FE8" w14:paraId="3F7881DC" w14:textId="77777777" w:rsidTr="00A26792">
        <w:trPr>
          <w:tblHeader/>
        </w:trPr>
        <w:tc>
          <w:tcPr>
            <w:tcW w:w="1153" w:type="dxa"/>
            <w:vAlign w:val="center"/>
          </w:tcPr>
          <w:p w14:paraId="39B00D4E" w14:textId="2152C2AE" w:rsidR="003C1F03" w:rsidRPr="00B26FE8" w:rsidRDefault="003C1F03" w:rsidP="00727324">
            <w:pPr>
              <w:pStyle w:val="ListParagraph"/>
              <w:spacing w:before="60" w:after="0" w:line="276" w:lineRule="auto"/>
              <w:ind w:left="0"/>
              <w:contextualSpacing w:val="0"/>
              <w:jc w:val="center"/>
              <w:rPr>
                <w:rFonts w:ascii="Bookman Old Style" w:hAnsi="Bookman Old Style" w:cs="Arial"/>
                <w:sz w:val="20"/>
                <w:szCs w:val="20"/>
                <w:lang w:val="en-US"/>
              </w:rPr>
            </w:pPr>
            <w:r w:rsidRPr="00B26FE8">
              <w:rPr>
                <w:rFonts w:ascii="Bookman Old Style" w:hAnsi="Bookman Old Style" w:cs="Arial"/>
                <w:sz w:val="20"/>
                <w:szCs w:val="20"/>
                <w:lang w:val="en-US"/>
              </w:rPr>
              <w:t>Tahun</w:t>
            </w:r>
            <w:r w:rsidR="00A954D0">
              <w:rPr>
                <w:rFonts w:ascii="Bookman Old Style" w:hAnsi="Bookman Old Style" w:cs="Arial"/>
                <w:sz w:val="20"/>
                <w:szCs w:val="20"/>
                <w:lang w:val="en-US"/>
              </w:rPr>
              <w:t xml:space="preserve"> </w:t>
            </w:r>
            <w:r w:rsidRPr="00B26FE8">
              <w:rPr>
                <w:rFonts w:ascii="Bookman Old Style" w:hAnsi="Bookman Old Style" w:cs="Arial"/>
                <w:sz w:val="20"/>
                <w:szCs w:val="20"/>
                <w:lang w:val="en-US"/>
              </w:rPr>
              <w:t>Anggaran</w:t>
            </w:r>
          </w:p>
        </w:tc>
        <w:tc>
          <w:tcPr>
            <w:tcW w:w="2209" w:type="dxa"/>
            <w:vAlign w:val="center"/>
          </w:tcPr>
          <w:p w14:paraId="31FB291A" w14:textId="3C81BE57" w:rsidR="003C1F03" w:rsidRPr="00B26FE8" w:rsidRDefault="003C1F03" w:rsidP="00727324">
            <w:pPr>
              <w:pStyle w:val="ListParagraph"/>
              <w:spacing w:before="60" w:after="0" w:line="276" w:lineRule="auto"/>
              <w:ind w:left="0"/>
              <w:contextualSpacing w:val="0"/>
              <w:jc w:val="center"/>
              <w:rPr>
                <w:rFonts w:ascii="Bookman Old Style" w:hAnsi="Bookman Old Style" w:cs="Calibri"/>
                <w:sz w:val="20"/>
                <w:szCs w:val="20"/>
              </w:rPr>
            </w:pPr>
            <w:r w:rsidRPr="00B26FE8">
              <w:rPr>
                <w:rFonts w:ascii="Bookman Old Style" w:hAnsi="Bookman Old Style" w:cs="Arial"/>
                <w:sz w:val="20"/>
                <w:szCs w:val="20"/>
                <w:lang w:val="it-IT"/>
              </w:rPr>
              <w:t>SiLPA</w:t>
            </w:r>
            <w:r w:rsidR="00A954D0">
              <w:rPr>
                <w:rFonts w:ascii="Bookman Old Style" w:hAnsi="Bookman Old Style" w:cs="Calibri"/>
                <w:sz w:val="20"/>
                <w:szCs w:val="20"/>
              </w:rPr>
              <w:t xml:space="preserve"> </w:t>
            </w:r>
          </w:p>
          <w:p w14:paraId="0B649407" w14:textId="77777777" w:rsidR="003C1F03" w:rsidRPr="00B26FE8" w:rsidRDefault="003C1F03" w:rsidP="00727324">
            <w:pPr>
              <w:pStyle w:val="ListParagraph"/>
              <w:spacing w:before="60" w:after="0" w:line="276" w:lineRule="auto"/>
              <w:ind w:left="0"/>
              <w:contextualSpacing w:val="0"/>
              <w:jc w:val="center"/>
              <w:rPr>
                <w:rFonts w:ascii="Bookman Old Style" w:hAnsi="Bookman Old Style" w:cs="Arial"/>
                <w:sz w:val="20"/>
                <w:szCs w:val="20"/>
                <w:lang w:val="en-US"/>
              </w:rPr>
            </w:pPr>
            <w:r w:rsidRPr="00B26FE8">
              <w:rPr>
                <w:rFonts w:ascii="Bookman Old Style" w:hAnsi="Bookman Old Style" w:cs="Calibri"/>
                <w:sz w:val="20"/>
                <w:szCs w:val="20"/>
              </w:rPr>
              <w:t>(Rp)</w:t>
            </w:r>
          </w:p>
        </w:tc>
        <w:tc>
          <w:tcPr>
            <w:tcW w:w="2209" w:type="dxa"/>
            <w:vAlign w:val="center"/>
          </w:tcPr>
          <w:p w14:paraId="2C8F9242" w14:textId="58448D1F" w:rsidR="003C1F03" w:rsidRPr="00B26FE8" w:rsidRDefault="003C1F03" w:rsidP="00727324">
            <w:pPr>
              <w:pStyle w:val="ListParagraph"/>
              <w:spacing w:before="60" w:after="0" w:line="276" w:lineRule="auto"/>
              <w:ind w:left="0"/>
              <w:contextualSpacing w:val="0"/>
              <w:jc w:val="center"/>
              <w:rPr>
                <w:rFonts w:ascii="Bookman Old Style" w:hAnsi="Bookman Old Style" w:cs="Arial"/>
                <w:sz w:val="20"/>
                <w:szCs w:val="20"/>
                <w:lang w:val="it-IT"/>
              </w:rPr>
            </w:pPr>
            <w:r w:rsidRPr="00B26FE8">
              <w:rPr>
                <w:rFonts w:ascii="Bookman Old Style" w:hAnsi="Bookman Old Style" w:cs="Arial"/>
                <w:sz w:val="20"/>
                <w:szCs w:val="20"/>
                <w:lang w:val="it-IT"/>
              </w:rPr>
              <w:t>Realisasi</w:t>
            </w:r>
            <w:r w:rsidR="00A954D0">
              <w:rPr>
                <w:rFonts w:ascii="Bookman Old Style" w:hAnsi="Bookman Old Style" w:cs="Arial"/>
                <w:sz w:val="20"/>
                <w:szCs w:val="20"/>
                <w:lang w:val="it-IT"/>
              </w:rPr>
              <w:t xml:space="preserve"> </w:t>
            </w:r>
            <w:r w:rsidRPr="00B26FE8">
              <w:rPr>
                <w:rFonts w:ascii="Bookman Old Style" w:hAnsi="Bookman Old Style" w:cs="Arial"/>
                <w:sz w:val="20"/>
                <w:szCs w:val="20"/>
                <w:lang w:val="it-IT"/>
              </w:rPr>
              <w:t>SiLPA</w:t>
            </w:r>
          </w:p>
          <w:p w14:paraId="1AEAACEB" w14:textId="77777777" w:rsidR="003C1F03" w:rsidRPr="00B26FE8" w:rsidRDefault="003C1F03" w:rsidP="00727324">
            <w:pPr>
              <w:pStyle w:val="ListParagraph"/>
              <w:spacing w:before="60" w:after="0" w:line="276" w:lineRule="auto"/>
              <w:ind w:left="0"/>
              <w:contextualSpacing w:val="0"/>
              <w:jc w:val="center"/>
              <w:rPr>
                <w:rFonts w:ascii="Bookman Old Style" w:hAnsi="Bookman Old Style" w:cs="Arial"/>
                <w:sz w:val="20"/>
                <w:szCs w:val="20"/>
                <w:lang w:val="it-IT"/>
              </w:rPr>
            </w:pPr>
            <w:r w:rsidRPr="00B26FE8">
              <w:rPr>
                <w:rFonts w:ascii="Bookman Old Style" w:hAnsi="Bookman Old Style" w:cs="Calibri"/>
                <w:sz w:val="20"/>
                <w:szCs w:val="20"/>
              </w:rPr>
              <w:t>(Rp)</w:t>
            </w:r>
          </w:p>
        </w:tc>
        <w:tc>
          <w:tcPr>
            <w:tcW w:w="901" w:type="dxa"/>
            <w:vAlign w:val="center"/>
          </w:tcPr>
          <w:p w14:paraId="37F87D07" w14:textId="77777777" w:rsidR="003C1F03" w:rsidRPr="00B26FE8" w:rsidRDefault="003C1F03" w:rsidP="00727324">
            <w:pPr>
              <w:pStyle w:val="ListParagraph"/>
              <w:spacing w:before="60" w:after="0" w:line="276" w:lineRule="auto"/>
              <w:ind w:left="0"/>
              <w:contextualSpacing w:val="0"/>
              <w:jc w:val="center"/>
              <w:rPr>
                <w:rFonts w:ascii="Bookman Old Style" w:hAnsi="Bookman Old Style" w:cs="Arial"/>
                <w:sz w:val="20"/>
                <w:szCs w:val="20"/>
                <w:lang w:val="en-US"/>
              </w:rPr>
            </w:pPr>
            <w:r w:rsidRPr="00B26FE8">
              <w:rPr>
                <w:rFonts w:ascii="Bookman Old Style" w:hAnsi="Bookman Old Style" w:cs="Arial"/>
                <w:sz w:val="20"/>
                <w:szCs w:val="20"/>
                <w:lang w:val="en-US"/>
              </w:rPr>
              <w:t>%</w:t>
            </w:r>
          </w:p>
        </w:tc>
        <w:tc>
          <w:tcPr>
            <w:tcW w:w="2397" w:type="dxa"/>
            <w:vAlign w:val="center"/>
          </w:tcPr>
          <w:p w14:paraId="52E13E39" w14:textId="46AB1A5F" w:rsidR="003C1F03" w:rsidRPr="00B26FE8" w:rsidRDefault="003C1F03" w:rsidP="00727324">
            <w:pPr>
              <w:pStyle w:val="ListParagraph"/>
              <w:spacing w:before="60" w:after="0" w:line="276" w:lineRule="auto"/>
              <w:ind w:left="0"/>
              <w:contextualSpacing w:val="0"/>
              <w:jc w:val="center"/>
              <w:rPr>
                <w:rFonts w:ascii="Bookman Old Style" w:hAnsi="Bookman Old Style" w:cs="Arial"/>
                <w:sz w:val="20"/>
                <w:szCs w:val="20"/>
                <w:lang w:val="en-US"/>
              </w:rPr>
            </w:pPr>
            <w:r w:rsidRPr="00B26FE8">
              <w:rPr>
                <w:rFonts w:ascii="Bookman Old Style" w:hAnsi="Bookman Old Style" w:cs="Arial"/>
                <w:sz w:val="20"/>
                <w:szCs w:val="20"/>
                <w:lang w:val="en-US"/>
              </w:rPr>
              <w:t>Total</w:t>
            </w:r>
            <w:r w:rsidR="00A954D0">
              <w:rPr>
                <w:rFonts w:ascii="Bookman Old Style" w:hAnsi="Bookman Old Style" w:cs="Arial"/>
                <w:sz w:val="20"/>
                <w:szCs w:val="20"/>
                <w:lang w:val="en-US"/>
              </w:rPr>
              <w:t xml:space="preserve"> </w:t>
            </w:r>
            <w:r w:rsidRPr="00B26FE8">
              <w:rPr>
                <w:rFonts w:ascii="Bookman Old Style" w:hAnsi="Bookman Old Style" w:cs="Arial"/>
                <w:sz w:val="20"/>
                <w:szCs w:val="20"/>
                <w:lang w:val="en-US"/>
              </w:rPr>
              <w:t>Belanja</w:t>
            </w:r>
            <w:r w:rsidR="00A954D0">
              <w:rPr>
                <w:rFonts w:ascii="Bookman Old Style" w:hAnsi="Bookman Old Style" w:cs="Arial"/>
                <w:sz w:val="20"/>
                <w:szCs w:val="20"/>
                <w:lang w:val="en-US"/>
              </w:rPr>
              <w:t xml:space="preserve"> </w:t>
            </w:r>
            <w:r w:rsidRPr="00B26FE8">
              <w:rPr>
                <w:rFonts w:ascii="Bookman Old Style" w:hAnsi="Bookman Old Style" w:cs="Arial"/>
                <w:sz w:val="20"/>
                <w:szCs w:val="20"/>
                <w:lang w:val="en-US"/>
              </w:rPr>
              <w:t>Daerah</w:t>
            </w:r>
            <w:r w:rsidR="00A954D0">
              <w:rPr>
                <w:rFonts w:ascii="Bookman Old Style" w:hAnsi="Bookman Old Style" w:cs="Arial"/>
                <w:sz w:val="20"/>
                <w:szCs w:val="20"/>
                <w:lang w:val="en-US"/>
              </w:rPr>
              <w:t xml:space="preserve"> </w:t>
            </w:r>
            <w:r w:rsidRPr="00B26FE8">
              <w:rPr>
                <w:rFonts w:ascii="Bookman Old Style" w:hAnsi="Bookman Old Style" w:cs="Calibri"/>
                <w:sz w:val="20"/>
                <w:szCs w:val="20"/>
              </w:rPr>
              <w:t>(Rp)</w:t>
            </w:r>
          </w:p>
        </w:tc>
        <w:tc>
          <w:tcPr>
            <w:tcW w:w="777" w:type="dxa"/>
            <w:tcBorders>
              <w:bottom w:val="single" w:sz="4" w:space="0" w:color="auto"/>
            </w:tcBorders>
            <w:vAlign w:val="center"/>
          </w:tcPr>
          <w:p w14:paraId="261CF1E4" w14:textId="77777777" w:rsidR="003C1F03" w:rsidRPr="00B26FE8" w:rsidRDefault="003C1F03" w:rsidP="00727324">
            <w:pPr>
              <w:pStyle w:val="ListParagraph"/>
              <w:spacing w:before="60" w:after="0" w:line="276" w:lineRule="auto"/>
              <w:ind w:left="0"/>
              <w:contextualSpacing w:val="0"/>
              <w:jc w:val="center"/>
              <w:rPr>
                <w:rFonts w:ascii="Bookman Old Style" w:hAnsi="Bookman Old Style" w:cs="Arial"/>
                <w:sz w:val="20"/>
                <w:szCs w:val="20"/>
                <w:lang w:val="en-US"/>
              </w:rPr>
            </w:pPr>
            <w:r w:rsidRPr="00B26FE8">
              <w:rPr>
                <w:rFonts w:ascii="Bookman Old Style" w:hAnsi="Bookman Old Style" w:cs="Arial"/>
                <w:sz w:val="20"/>
                <w:szCs w:val="20"/>
                <w:lang w:val="en-US"/>
              </w:rPr>
              <w:t>%</w:t>
            </w:r>
          </w:p>
        </w:tc>
      </w:tr>
      <w:tr w:rsidR="003C1F03" w:rsidRPr="00B26FE8" w14:paraId="1E5C5ED0" w14:textId="77777777" w:rsidTr="00A26792">
        <w:trPr>
          <w:tblHeader/>
        </w:trPr>
        <w:tc>
          <w:tcPr>
            <w:tcW w:w="1153" w:type="dxa"/>
            <w:vAlign w:val="center"/>
          </w:tcPr>
          <w:p w14:paraId="0D1A9A16" w14:textId="77777777" w:rsidR="003C1F03" w:rsidRPr="00B26FE8" w:rsidRDefault="003C1F03" w:rsidP="00727324">
            <w:pPr>
              <w:pStyle w:val="ListParagraph"/>
              <w:spacing w:before="60" w:after="0" w:line="276" w:lineRule="auto"/>
              <w:ind w:left="0"/>
              <w:contextualSpacing w:val="0"/>
              <w:jc w:val="center"/>
              <w:rPr>
                <w:rFonts w:ascii="Bookman Old Style" w:hAnsi="Bookman Old Style" w:cs="Arial"/>
                <w:sz w:val="20"/>
                <w:szCs w:val="20"/>
                <w:lang w:val="en-US"/>
              </w:rPr>
            </w:pPr>
            <w:r w:rsidRPr="00B26FE8">
              <w:rPr>
                <w:rFonts w:ascii="Bookman Old Style" w:hAnsi="Bookman Old Style" w:cs="Arial"/>
                <w:sz w:val="20"/>
                <w:szCs w:val="20"/>
                <w:lang w:val="en-US"/>
              </w:rPr>
              <w:t>1</w:t>
            </w:r>
          </w:p>
        </w:tc>
        <w:tc>
          <w:tcPr>
            <w:tcW w:w="2209" w:type="dxa"/>
            <w:vAlign w:val="center"/>
          </w:tcPr>
          <w:p w14:paraId="5095E434" w14:textId="77777777" w:rsidR="003C1F03" w:rsidRPr="00B26FE8" w:rsidRDefault="003C1F03" w:rsidP="00727324">
            <w:pPr>
              <w:pStyle w:val="ListParagraph"/>
              <w:spacing w:before="60" w:after="0" w:line="276" w:lineRule="auto"/>
              <w:ind w:left="0"/>
              <w:contextualSpacing w:val="0"/>
              <w:jc w:val="center"/>
              <w:rPr>
                <w:rFonts w:ascii="Bookman Old Style" w:hAnsi="Bookman Old Style" w:cs="Arial"/>
                <w:sz w:val="20"/>
                <w:szCs w:val="20"/>
                <w:lang w:val="en-US"/>
              </w:rPr>
            </w:pPr>
            <w:r w:rsidRPr="00B26FE8">
              <w:rPr>
                <w:rFonts w:ascii="Bookman Old Style" w:hAnsi="Bookman Old Style" w:cs="Arial"/>
                <w:sz w:val="20"/>
                <w:szCs w:val="20"/>
                <w:lang w:val="en-US"/>
              </w:rPr>
              <w:t>2</w:t>
            </w:r>
          </w:p>
        </w:tc>
        <w:tc>
          <w:tcPr>
            <w:tcW w:w="2209" w:type="dxa"/>
            <w:vAlign w:val="center"/>
          </w:tcPr>
          <w:p w14:paraId="21609129" w14:textId="77777777" w:rsidR="003C1F03" w:rsidRPr="00B26FE8" w:rsidRDefault="003C1F03" w:rsidP="00727324">
            <w:pPr>
              <w:pStyle w:val="ListParagraph"/>
              <w:spacing w:before="60" w:after="0" w:line="276" w:lineRule="auto"/>
              <w:ind w:left="0"/>
              <w:contextualSpacing w:val="0"/>
              <w:jc w:val="center"/>
              <w:rPr>
                <w:rFonts w:ascii="Bookman Old Style" w:hAnsi="Bookman Old Style" w:cs="Arial"/>
                <w:sz w:val="20"/>
                <w:szCs w:val="20"/>
                <w:lang w:val="en-US"/>
              </w:rPr>
            </w:pPr>
            <w:r w:rsidRPr="00B26FE8">
              <w:rPr>
                <w:rFonts w:ascii="Bookman Old Style" w:hAnsi="Bookman Old Style" w:cs="Arial"/>
                <w:sz w:val="20"/>
                <w:szCs w:val="20"/>
                <w:lang w:val="en-US"/>
              </w:rPr>
              <w:t>3</w:t>
            </w:r>
          </w:p>
        </w:tc>
        <w:tc>
          <w:tcPr>
            <w:tcW w:w="901" w:type="dxa"/>
            <w:vAlign w:val="center"/>
          </w:tcPr>
          <w:p w14:paraId="10AD8573" w14:textId="77777777" w:rsidR="003C1F03" w:rsidRPr="00B26FE8" w:rsidRDefault="003C1F03" w:rsidP="00727324">
            <w:pPr>
              <w:pStyle w:val="ListParagraph"/>
              <w:spacing w:before="60" w:after="0" w:line="276" w:lineRule="auto"/>
              <w:ind w:left="0"/>
              <w:contextualSpacing w:val="0"/>
              <w:jc w:val="center"/>
              <w:rPr>
                <w:rFonts w:ascii="Bookman Old Style" w:hAnsi="Bookman Old Style" w:cs="Arial"/>
                <w:sz w:val="20"/>
                <w:szCs w:val="20"/>
                <w:lang w:val="en-US"/>
              </w:rPr>
            </w:pPr>
            <w:r w:rsidRPr="00B26FE8">
              <w:rPr>
                <w:rFonts w:ascii="Bookman Old Style" w:hAnsi="Bookman Old Style" w:cs="Arial"/>
                <w:sz w:val="20"/>
                <w:szCs w:val="20"/>
                <w:lang w:val="en-US"/>
              </w:rPr>
              <w:t>4=3</w:t>
            </w:r>
            <w:r w:rsidRPr="00B26FE8">
              <w:rPr>
                <w:rFonts w:ascii="Bookman Old Style" w:hAnsi="Bookman Old Style" w:cs="Arial"/>
                <w:sz w:val="20"/>
                <w:szCs w:val="20"/>
                <w:lang w:val="id-ID"/>
              </w:rPr>
              <w:t>:</w:t>
            </w:r>
            <w:r w:rsidRPr="00B26FE8">
              <w:rPr>
                <w:rFonts w:ascii="Bookman Old Style" w:hAnsi="Bookman Old Style" w:cs="Arial"/>
                <w:sz w:val="20"/>
                <w:szCs w:val="20"/>
                <w:lang w:val="en-US"/>
              </w:rPr>
              <w:t>2</w:t>
            </w:r>
          </w:p>
        </w:tc>
        <w:tc>
          <w:tcPr>
            <w:tcW w:w="2397" w:type="dxa"/>
            <w:vAlign w:val="center"/>
          </w:tcPr>
          <w:p w14:paraId="6BE53F0D" w14:textId="77777777" w:rsidR="003C1F03" w:rsidRPr="00B26FE8" w:rsidRDefault="003C1F03" w:rsidP="00727324">
            <w:pPr>
              <w:pStyle w:val="ListParagraph"/>
              <w:spacing w:before="60" w:after="0" w:line="276" w:lineRule="auto"/>
              <w:ind w:left="0"/>
              <w:contextualSpacing w:val="0"/>
              <w:jc w:val="center"/>
              <w:rPr>
                <w:rFonts w:ascii="Bookman Old Style" w:hAnsi="Bookman Old Style" w:cs="Arial"/>
                <w:sz w:val="20"/>
                <w:szCs w:val="20"/>
                <w:lang w:val="en-US"/>
              </w:rPr>
            </w:pPr>
            <w:r w:rsidRPr="00B26FE8">
              <w:rPr>
                <w:rFonts w:ascii="Bookman Old Style" w:hAnsi="Bookman Old Style" w:cs="Arial"/>
                <w:sz w:val="20"/>
                <w:szCs w:val="20"/>
                <w:lang w:val="en-US"/>
              </w:rPr>
              <w:t>5</w:t>
            </w:r>
          </w:p>
        </w:tc>
        <w:tc>
          <w:tcPr>
            <w:tcW w:w="777" w:type="dxa"/>
            <w:tcBorders>
              <w:bottom w:val="single" w:sz="4" w:space="0" w:color="auto"/>
            </w:tcBorders>
            <w:vAlign w:val="center"/>
          </w:tcPr>
          <w:p w14:paraId="54B0D15A" w14:textId="77777777" w:rsidR="003C1F03" w:rsidRPr="00B26FE8" w:rsidRDefault="003C1F03" w:rsidP="00727324">
            <w:pPr>
              <w:pStyle w:val="ListParagraph"/>
              <w:spacing w:before="60" w:after="0" w:line="276" w:lineRule="auto"/>
              <w:ind w:left="0"/>
              <w:contextualSpacing w:val="0"/>
              <w:jc w:val="center"/>
              <w:rPr>
                <w:rFonts w:ascii="Bookman Old Style" w:hAnsi="Bookman Old Style" w:cs="Arial"/>
                <w:sz w:val="20"/>
                <w:szCs w:val="20"/>
                <w:lang w:val="en-US"/>
              </w:rPr>
            </w:pPr>
            <w:r w:rsidRPr="00B26FE8">
              <w:rPr>
                <w:rFonts w:ascii="Bookman Old Style" w:hAnsi="Bookman Old Style" w:cs="Arial"/>
                <w:sz w:val="20"/>
                <w:szCs w:val="20"/>
                <w:lang w:val="en-US"/>
              </w:rPr>
              <w:t>6=2</w:t>
            </w:r>
            <w:r w:rsidRPr="00B26FE8">
              <w:rPr>
                <w:rFonts w:ascii="Bookman Old Style" w:hAnsi="Bookman Old Style" w:cs="Arial"/>
                <w:sz w:val="20"/>
                <w:szCs w:val="20"/>
                <w:lang w:val="id-ID"/>
              </w:rPr>
              <w:t>:</w:t>
            </w:r>
            <w:r w:rsidRPr="00B26FE8">
              <w:rPr>
                <w:rFonts w:ascii="Bookman Old Style" w:hAnsi="Bookman Old Style" w:cs="Arial"/>
                <w:sz w:val="20"/>
                <w:szCs w:val="20"/>
                <w:lang w:val="en-US"/>
              </w:rPr>
              <w:t>5</w:t>
            </w:r>
          </w:p>
        </w:tc>
      </w:tr>
      <w:tr w:rsidR="00ED5371" w:rsidRPr="00B26FE8" w14:paraId="4022F5A8" w14:textId="77777777" w:rsidTr="00A26792">
        <w:tc>
          <w:tcPr>
            <w:tcW w:w="1153" w:type="dxa"/>
            <w:vAlign w:val="center"/>
          </w:tcPr>
          <w:p w14:paraId="58AE015E" w14:textId="23844A60" w:rsidR="00ED5371" w:rsidRPr="00B26FE8" w:rsidRDefault="00ED5371" w:rsidP="00ED5371">
            <w:pPr>
              <w:pStyle w:val="ListParagraph"/>
              <w:spacing w:before="60" w:after="0" w:line="276" w:lineRule="auto"/>
              <w:ind w:left="0"/>
              <w:contextualSpacing w:val="0"/>
              <w:jc w:val="center"/>
              <w:rPr>
                <w:rFonts w:ascii="Bookman Old Style" w:hAnsi="Bookman Old Style" w:cs="Arial"/>
                <w:sz w:val="20"/>
                <w:szCs w:val="20"/>
                <w:lang w:val="en-US"/>
              </w:rPr>
            </w:pPr>
            <w:r w:rsidRPr="00B26FE8">
              <w:rPr>
                <w:rFonts w:ascii="Bookman Old Style" w:hAnsi="Bookman Old Style" w:cs="Arial"/>
                <w:sz w:val="20"/>
                <w:szCs w:val="20"/>
                <w:lang w:val="en-US"/>
              </w:rPr>
              <w:t>2022</w:t>
            </w:r>
          </w:p>
        </w:tc>
        <w:tc>
          <w:tcPr>
            <w:tcW w:w="2209" w:type="dxa"/>
            <w:shd w:val="clear" w:color="auto" w:fill="auto"/>
            <w:vAlign w:val="center"/>
          </w:tcPr>
          <w:p w14:paraId="267748A5" w14:textId="64A68CDC" w:rsidR="00ED5371" w:rsidRPr="00B26FE8" w:rsidRDefault="00ED5371" w:rsidP="00ED5371">
            <w:pPr>
              <w:spacing w:before="60" w:line="276" w:lineRule="auto"/>
              <w:jc w:val="right"/>
              <w:rPr>
                <w:rFonts w:ascii="Bookman Old Style" w:hAnsi="Bookman Old Style" w:cs="Arial"/>
                <w:sz w:val="20"/>
                <w:szCs w:val="20"/>
                <w:lang w:val="en-US" w:eastAsia="x-none"/>
              </w:rPr>
            </w:pPr>
            <w:r w:rsidRPr="00B26FE8">
              <w:rPr>
                <w:rFonts w:ascii="Bookman Old Style" w:hAnsi="Bookman Old Style"/>
                <w:sz w:val="20"/>
                <w:szCs w:val="20"/>
              </w:rPr>
              <w:t>674.706.018.499,00</w:t>
            </w:r>
          </w:p>
        </w:tc>
        <w:tc>
          <w:tcPr>
            <w:tcW w:w="2209" w:type="dxa"/>
            <w:vAlign w:val="center"/>
          </w:tcPr>
          <w:p w14:paraId="492A9F15" w14:textId="5334AB00" w:rsidR="00ED5371" w:rsidRPr="00B26FE8" w:rsidRDefault="00ED5371" w:rsidP="00ED5371">
            <w:pPr>
              <w:spacing w:before="60" w:line="276" w:lineRule="auto"/>
              <w:jc w:val="right"/>
              <w:rPr>
                <w:rFonts w:ascii="Bookman Old Style" w:hAnsi="Bookman Old Style" w:cs="Arial"/>
                <w:sz w:val="20"/>
                <w:szCs w:val="20"/>
                <w:lang w:val="en-US" w:eastAsia="x-none"/>
              </w:rPr>
            </w:pPr>
            <w:r w:rsidRPr="00B26FE8">
              <w:rPr>
                <w:rFonts w:ascii="Bookman Old Style" w:hAnsi="Bookman Old Style"/>
                <w:sz w:val="20"/>
                <w:szCs w:val="20"/>
              </w:rPr>
              <w:t>674.697.964.699,00</w:t>
            </w:r>
          </w:p>
        </w:tc>
        <w:tc>
          <w:tcPr>
            <w:tcW w:w="901" w:type="dxa"/>
            <w:vAlign w:val="center"/>
          </w:tcPr>
          <w:p w14:paraId="0325CADD" w14:textId="77777777" w:rsidR="00ED5371" w:rsidRPr="00B26FE8" w:rsidRDefault="00ED5371" w:rsidP="00ED5371">
            <w:pPr>
              <w:spacing w:before="60" w:line="276" w:lineRule="auto"/>
              <w:jc w:val="right"/>
              <w:rPr>
                <w:rFonts w:ascii="Bookman Old Style" w:hAnsi="Bookman Old Style" w:cs="Arial"/>
                <w:sz w:val="20"/>
                <w:szCs w:val="20"/>
                <w:lang w:val="en-US" w:eastAsia="x-none"/>
              </w:rPr>
            </w:pPr>
            <w:r w:rsidRPr="00B26FE8">
              <w:rPr>
                <w:rFonts w:ascii="Bookman Old Style" w:hAnsi="Bookman Old Style" w:cs="Calibri"/>
                <w:sz w:val="20"/>
                <w:szCs w:val="20"/>
              </w:rPr>
              <w:t>100,00</w:t>
            </w:r>
          </w:p>
        </w:tc>
        <w:tc>
          <w:tcPr>
            <w:tcW w:w="2397" w:type="dxa"/>
            <w:shd w:val="clear" w:color="auto" w:fill="auto"/>
            <w:vAlign w:val="center"/>
          </w:tcPr>
          <w:p w14:paraId="5BE438C8" w14:textId="2FE69D8A" w:rsidR="00ED5371" w:rsidRPr="00B26FE8" w:rsidRDefault="00ED5371" w:rsidP="00ED5371">
            <w:pPr>
              <w:spacing w:before="60" w:line="276" w:lineRule="auto"/>
              <w:jc w:val="right"/>
              <w:rPr>
                <w:rFonts w:ascii="Bookman Old Style" w:hAnsi="Bookman Old Style" w:cs="Arial"/>
                <w:sz w:val="20"/>
                <w:szCs w:val="20"/>
                <w:lang w:val="en-US" w:eastAsia="x-none"/>
              </w:rPr>
            </w:pPr>
            <w:r w:rsidRPr="00B26FE8">
              <w:rPr>
                <w:rFonts w:ascii="Bookman Old Style" w:hAnsi="Bookman Old Style"/>
                <w:sz w:val="20"/>
                <w:szCs w:val="20"/>
              </w:rPr>
              <w:t>4.910.705.325.360,00</w:t>
            </w:r>
            <w:r w:rsidR="00A954D0">
              <w:rPr>
                <w:rFonts w:ascii="Bookman Old Style" w:hAnsi="Bookman Old Style"/>
                <w:sz w:val="20"/>
                <w:szCs w:val="20"/>
              </w:rPr>
              <w:t xml:space="preserve"> </w:t>
            </w:r>
          </w:p>
        </w:tc>
        <w:tc>
          <w:tcPr>
            <w:tcW w:w="777" w:type="dxa"/>
            <w:tcBorders>
              <w:top w:val="single" w:sz="4" w:space="0" w:color="auto"/>
              <w:left w:val="nil"/>
              <w:bottom w:val="single" w:sz="4" w:space="0" w:color="auto"/>
              <w:right w:val="single" w:sz="4" w:space="0" w:color="auto"/>
            </w:tcBorders>
            <w:shd w:val="clear" w:color="auto" w:fill="auto"/>
            <w:vAlign w:val="center"/>
          </w:tcPr>
          <w:p w14:paraId="5D6328D9" w14:textId="484981FD" w:rsidR="00ED5371" w:rsidRPr="00B26FE8" w:rsidRDefault="00ED5371" w:rsidP="00ED5371">
            <w:pPr>
              <w:spacing w:before="60" w:line="276" w:lineRule="auto"/>
              <w:jc w:val="right"/>
              <w:rPr>
                <w:rFonts w:ascii="Bookman Old Style" w:hAnsi="Bookman Old Style" w:cs="Arial"/>
                <w:sz w:val="20"/>
                <w:szCs w:val="20"/>
                <w:lang w:val="en-US" w:eastAsia="x-none"/>
              </w:rPr>
            </w:pPr>
            <w:r w:rsidRPr="00B26FE8">
              <w:rPr>
                <w:rFonts w:ascii="Bookman Old Style" w:hAnsi="Bookman Old Style"/>
                <w:sz w:val="20"/>
                <w:szCs w:val="20"/>
              </w:rPr>
              <w:t>13,50</w:t>
            </w:r>
          </w:p>
        </w:tc>
      </w:tr>
      <w:tr w:rsidR="00ED5371" w:rsidRPr="00B26FE8" w14:paraId="683B5199" w14:textId="77777777" w:rsidTr="00A26792">
        <w:tc>
          <w:tcPr>
            <w:tcW w:w="1153" w:type="dxa"/>
            <w:vAlign w:val="center"/>
          </w:tcPr>
          <w:p w14:paraId="18370C4B" w14:textId="25260C95" w:rsidR="00ED5371" w:rsidRPr="00B26FE8" w:rsidRDefault="00ED5371" w:rsidP="00ED5371">
            <w:pPr>
              <w:pStyle w:val="ListParagraph"/>
              <w:spacing w:before="60" w:after="0" w:line="276" w:lineRule="auto"/>
              <w:ind w:left="0"/>
              <w:contextualSpacing w:val="0"/>
              <w:jc w:val="center"/>
              <w:rPr>
                <w:rFonts w:ascii="Bookman Old Style" w:hAnsi="Bookman Old Style" w:cs="Arial"/>
                <w:sz w:val="20"/>
                <w:szCs w:val="20"/>
                <w:lang w:val="en-US"/>
              </w:rPr>
            </w:pPr>
            <w:r w:rsidRPr="00B26FE8">
              <w:rPr>
                <w:rFonts w:ascii="Bookman Old Style" w:hAnsi="Bookman Old Style" w:cs="Arial"/>
                <w:sz w:val="20"/>
                <w:szCs w:val="20"/>
                <w:lang w:val="en-US"/>
              </w:rPr>
              <w:t>2023</w:t>
            </w:r>
          </w:p>
        </w:tc>
        <w:tc>
          <w:tcPr>
            <w:tcW w:w="2209" w:type="dxa"/>
            <w:vAlign w:val="center"/>
          </w:tcPr>
          <w:p w14:paraId="12DF600E" w14:textId="3CC8EBE7" w:rsidR="00ED5371" w:rsidRPr="00B26FE8" w:rsidRDefault="00ED5371" w:rsidP="00ED5371">
            <w:pPr>
              <w:spacing w:before="60" w:line="276" w:lineRule="auto"/>
              <w:jc w:val="right"/>
              <w:rPr>
                <w:rFonts w:ascii="Bookman Old Style" w:hAnsi="Bookman Old Style" w:cs="Arial"/>
                <w:sz w:val="20"/>
                <w:szCs w:val="20"/>
                <w:lang w:val="en-US" w:eastAsia="x-none"/>
              </w:rPr>
            </w:pPr>
            <w:r w:rsidRPr="00B26FE8">
              <w:rPr>
                <w:rFonts w:ascii="Bookman Old Style" w:hAnsi="Bookman Old Style"/>
                <w:sz w:val="20"/>
                <w:szCs w:val="20"/>
              </w:rPr>
              <w:t>502.606.348.483,00</w:t>
            </w:r>
          </w:p>
        </w:tc>
        <w:tc>
          <w:tcPr>
            <w:tcW w:w="2209" w:type="dxa"/>
            <w:vAlign w:val="center"/>
          </w:tcPr>
          <w:p w14:paraId="1E74C584" w14:textId="40247F4E" w:rsidR="00ED5371" w:rsidRPr="00B26FE8" w:rsidRDefault="00ED5371" w:rsidP="00ED5371">
            <w:pPr>
              <w:spacing w:before="60" w:line="276" w:lineRule="auto"/>
              <w:jc w:val="right"/>
              <w:rPr>
                <w:rFonts w:ascii="Bookman Old Style" w:hAnsi="Bookman Old Style" w:cs="Arial"/>
                <w:sz w:val="20"/>
                <w:szCs w:val="20"/>
                <w:lang w:val="en-US" w:eastAsia="x-none"/>
              </w:rPr>
            </w:pPr>
            <w:r w:rsidRPr="00B26FE8">
              <w:rPr>
                <w:rFonts w:ascii="Bookman Old Style" w:hAnsi="Bookman Old Style"/>
                <w:sz w:val="20"/>
                <w:szCs w:val="20"/>
              </w:rPr>
              <w:t>502.593.555.633,00</w:t>
            </w:r>
          </w:p>
        </w:tc>
        <w:tc>
          <w:tcPr>
            <w:tcW w:w="901" w:type="dxa"/>
            <w:vAlign w:val="center"/>
          </w:tcPr>
          <w:p w14:paraId="00CA16EC" w14:textId="77777777" w:rsidR="00ED5371" w:rsidRPr="00B26FE8" w:rsidRDefault="00ED5371" w:rsidP="00ED5371">
            <w:pPr>
              <w:spacing w:before="60" w:line="276" w:lineRule="auto"/>
              <w:jc w:val="right"/>
              <w:rPr>
                <w:rFonts w:ascii="Bookman Old Style" w:hAnsi="Bookman Old Style" w:cs="Arial"/>
                <w:sz w:val="20"/>
                <w:szCs w:val="20"/>
                <w:lang w:val="en-US" w:eastAsia="x-none"/>
              </w:rPr>
            </w:pPr>
            <w:r w:rsidRPr="00B26FE8">
              <w:rPr>
                <w:rFonts w:ascii="Bookman Old Style" w:hAnsi="Bookman Old Style" w:cs="Calibri"/>
                <w:sz w:val="20"/>
                <w:szCs w:val="20"/>
              </w:rPr>
              <w:t>100,00</w:t>
            </w:r>
          </w:p>
        </w:tc>
        <w:tc>
          <w:tcPr>
            <w:tcW w:w="2397" w:type="dxa"/>
            <w:vAlign w:val="center"/>
          </w:tcPr>
          <w:p w14:paraId="63DE1786" w14:textId="6DBB5C49" w:rsidR="00ED5371" w:rsidRPr="00B26FE8" w:rsidRDefault="00ED5371" w:rsidP="00ED5371">
            <w:pPr>
              <w:spacing w:before="60" w:line="276" w:lineRule="auto"/>
              <w:jc w:val="right"/>
              <w:rPr>
                <w:rFonts w:ascii="Bookman Old Style" w:hAnsi="Bookman Old Style" w:cs="Arial"/>
                <w:sz w:val="20"/>
                <w:szCs w:val="20"/>
                <w:lang w:val="en-US" w:eastAsia="x-none"/>
              </w:rPr>
            </w:pPr>
            <w:r w:rsidRPr="00B26FE8">
              <w:rPr>
                <w:rFonts w:ascii="Bookman Old Style" w:hAnsi="Bookman Old Style"/>
                <w:sz w:val="20"/>
                <w:szCs w:val="20"/>
              </w:rPr>
              <w:t>5.060.875.781.078,00</w:t>
            </w:r>
            <w:r w:rsidR="00A954D0">
              <w:rPr>
                <w:rFonts w:ascii="Bookman Old Style" w:hAnsi="Bookman Old Style"/>
                <w:sz w:val="20"/>
                <w:szCs w:val="20"/>
              </w:rPr>
              <w:t xml:space="preserve"> </w:t>
            </w:r>
          </w:p>
        </w:tc>
        <w:tc>
          <w:tcPr>
            <w:tcW w:w="777" w:type="dxa"/>
            <w:tcBorders>
              <w:top w:val="single" w:sz="4" w:space="0" w:color="auto"/>
              <w:left w:val="nil"/>
              <w:bottom w:val="single" w:sz="4" w:space="0" w:color="auto"/>
              <w:right w:val="single" w:sz="4" w:space="0" w:color="auto"/>
            </w:tcBorders>
            <w:shd w:val="clear" w:color="auto" w:fill="auto"/>
            <w:vAlign w:val="center"/>
          </w:tcPr>
          <w:p w14:paraId="5A396DEF" w14:textId="0896BC38" w:rsidR="00ED5371" w:rsidRPr="00B26FE8" w:rsidRDefault="00ED5371" w:rsidP="00ED5371">
            <w:pPr>
              <w:spacing w:before="60" w:line="276" w:lineRule="auto"/>
              <w:jc w:val="right"/>
              <w:rPr>
                <w:rFonts w:ascii="Bookman Old Style" w:hAnsi="Bookman Old Style" w:cs="Arial"/>
                <w:sz w:val="20"/>
                <w:szCs w:val="20"/>
                <w:lang w:val="en-US" w:eastAsia="x-none"/>
              </w:rPr>
            </w:pPr>
            <w:r w:rsidRPr="00B26FE8">
              <w:rPr>
                <w:rFonts w:ascii="Bookman Old Style" w:hAnsi="Bookman Old Style"/>
                <w:sz w:val="20"/>
                <w:szCs w:val="20"/>
              </w:rPr>
              <w:t>9,93</w:t>
            </w:r>
          </w:p>
        </w:tc>
      </w:tr>
      <w:tr w:rsidR="00ED5371" w:rsidRPr="00B26FE8" w14:paraId="4911D40C" w14:textId="77777777" w:rsidTr="00A26792">
        <w:tc>
          <w:tcPr>
            <w:tcW w:w="1153" w:type="dxa"/>
            <w:vAlign w:val="center"/>
          </w:tcPr>
          <w:p w14:paraId="46B64A60" w14:textId="546D8AEB" w:rsidR="00ED5371" w:rsidRPr="00B26FE8" w:rsidRDefault="00ED5371" w:rsidP="00ED5371">
            <w:pPr>
              <w:pStyle w:val="ListParagraph"/>
              <w:spacing w:before="60" w:after="0" w:line="276" w:lineRule="auto"/>
              <w:ind w:left="0"/>
              <w:contextualSpacing w:val="0"/>
              <w:jc w:val="center"/>
              <w:rPr>
                <w:rFonts w:ascii="Bookman Old Style" w:hAnsi="Bookman Old Style" w:cs="Arial"/>
                <w:sz w:val="20"/>
                <w:szCs w:val="20"/>
                <w:lang w:val="en-US"/>
              </w:rPr>
            </w:pPr>
            <w:r w:rsidRPr="00B26FE8">
              <w:rPr>
                <w:rFonts w:ascii="Bookman Old Style" w:hAnsi="Bookman Old Style" w:cs="Arial"/>
                <w:sz w:val="20"/>
                <w:szCs w:val="20"/>
                <w:lang w:val="en-US"/>
              </w:rPr>
              <w:t>2024*)</w:t>
            </w:r>
          </w:p>
        </w:tc>
        <w:tc>
          <w:tcPr>
            <w:tcW w:w="2209" w:type="dxa"/>
            <w:vAlign w:val="center"/>
          </w:tcPr>
          <w:p w14:paraId="5A501F03" w14:textId="030ECEF8" w:rsidR="00ED5371" w:rsidRPr="00B26FE8" w:rsidRDefault="00ED5371" w:rsidP="00ED5371">
            <w:pPr>
              <w:spacing w:before="60" w:line="276" w:lineRule="auto"/>
              <w:jc w:val="right"/>
              <w:rPr>
                <w:rFonts w:ascii="Bookman Old Style" w:hAnsi="Bookman Old Style" w:cs="Arial"/>
                <w:sz w:val="20"/>
                <w:szCs w:val="20"/>
                <w:lang w:val="en-US" w:eastAsia="x-none"/>
              </w:rPr>
            </w:pPr>
            <w:r w:rsidRPr="00B26FE8">
              <w:rPr>
                <w:rFonts w:ascii="Bookman Old Style" w:hAnsi="Bookman Old Style"/>
                <w:sz w:val="20"/>
                <w:szCs w:val="20"/>
              </w:rPr>
              <w:t>488.362.728.165,00</w:t>
            </w:r>
          </w:p>
        </w:tc>
        <w:tc>
          <w:tcPr>
            <w:tcW w:w="2209" w:type="dxa"/>
            <w:vAlign w:val="center"/>
          </w:tcPr>
          <w:p w14:paraId="4EC2A3A2" w14:textId="460C3802" w:rsidR="00ED5371" w:rsidRPr="00B26FE8" w:rsidRDefault="00131189" w:rsidP="00ED5371">
            <w:pPr>
              <w:spacing w:before="60" w:line="276" w:lineRule="auto"/>
              <w:jc w:val="right"/>
              <w:rPr>
                <w:rFonts w:ascii="Bookman Old Style" w:hAnsi="Bookman Old Style" w:cs="Arial"/>
                <w:sz w:val="20"/>
                <w:szCs w:val="20"/>
                <w:lang w:val="en-US" w:eastAsia="x-none"/>
              </w:rPr>
            </w:pPr>
            <w:r w:rsidRPr="00131189">
              <w:rPr>
                <w:rFonts w:ascii="Bookman Old Style" w:hAnsi="Bookman Old Style"/>
                <w:sz w:val="20"/>
                <w:szCs w:val="20"/>
              </w:rPr>
              <w:t>488</w:t>
            </w:r>
            <w:r>
              <w:rPr>
                <w:rFonts w:ascii="Bookman Old Style" w:hAnsi="Bookman Old Style"/>
                <w:sz w:val="20"/>
                <w:szCs w:val="20"/>
              </w:rPr>
              <w:t>.3</w:t>
            </w:r>
            <w:r w:rsidRPr="00131189">
              <w:rPr>
                <w:rFonts w:ascii="Bookman Old Style" w:hAnsi="Bookman Old Style"/>
                <w:sz w:val="20"/>
                <w:szCs w:val="20"/>
              </w:rPr>
              <w:t>62.668.765,00</w:t>
            </w:r>
          </w:p>
        </w:tc>
        <w:tc>
          <w:tcPr>
            <w:tcW w:w="901" w:type="dxa"/>
            <w:vAlign w:val="center"/>
          </w:tcPr>
          <w:p w14:paraId="1C0C6D1F" w14:textId="77777777" w:rsidR="00ED5371" w:rsidRPr="00B26FE8" w:rsidRDefault="00ED5371" w:rsidP="00ED5371">
            <w:pPr>
              <w:spacing w:before="60" w:line="276" w:lineRule="auto"/>
              <w:jc w:val="right"/>
              <w:rPr>
                <w:rFonts w:ascii="Bookman Old Style" w:hAnsi="Bookman Old Style" w:cs="Arial"/>
                <w:sz w:val="20"/>
                <w:szCs w:val="20"/>
                <w:lang w:val="en-US" w:eastAsia="x-none"/>
              </w:rPr>
            </w:pPr>
            <w:r w:rsidRPr="00B26FE8">
              <w:rPr>
                <w:rFonts w:ascii="Bookman Old Style" w:hAnsi="Bookman Old Style" w:cs="Calibri"/>
                <w:sz w:val="20"/>
                <w:szCs w:val="20"/>
              </w:rPr>
              <w:t>100,00</w:t>
            </w:r>
          </w:p>
        </w:tc>
        <w:tc>
          <w:tcPr>
            <w:tcW w:w="2397" w:type="dxa"/>
            <w:vAlign w:val="center"/>
          </w:tcPr>
          <w:p w14:paraId="23C30DFD" w14:textId="1F8D7670" w:rsidR="00ED5371" w:rsidRPr="00B26FE8" w:rsidRDefault="00ED5371" w:rsidP="00ED5371">
            <w:pPr>
              <w:spacing w:before="60" w:line="276" w:lineRule="auto"/>
              <w:jc w:val="right"/>
              <w:rPr>
                <w:rFonts w:ascii="Bookman Old Style" w:hAnsi="Bookman Old Style" w:cs="Arial"/>
                <w:sz w:val="20"/>
                <w:szCs w:val="20"/>
                <w:lang w:val="en-US" w:eastAsia="x-none"/>
              </w:rPr>
            </w:pPr>
            <w:r w:rsidRPr="00B26FE8">
              <w:rPr>
                <w:rFonts w:ascii="Bookman Old Style" w:hAnsi="Bookman Old Style"/>
                <w:sz w:val="20"/>
                <w:szCs w:val="20"/>
              </w:rPr>
              <w:t>5.355.694.107.251,00</w:t>
            </w:r>
            <w:r w:rsidR="00A954D0">
              <w:rPr>
                <w:rFonts w:ascii="Bookman Old Style" w:hAnsi="Bookman Old Style"/>
                <w:sz w:val="20"/>
                <w:szCs w:val="20"/>
              </w:rPr>
              <w:t xml:space="preserve"> </w:t>
            </w:r>
          </w:p>
        </w:tc>
        <w:tc>
          <w:tcPr>
            <w:tcW w:w="777" w:type="dxa"/>
            <w:tcBorders>
              <w:top w:val="single" w:sz="4" w:space="0" w:color="auto"/>
              <w:left w:val="nil"/>
              <w:bottom w:val="single" w:sz="4" w:space="0" w:color="auto"/>
              <w:right w:val="single" w:sz="4" w:space="0" w:color="auto"/>
            </w:tcBorders>
            <w:shd w:val="clear" w:color="auto" w:fill="auto"/>
            <w:vAlign w:val="center"/>
          </w:tcPr>
          <w:p w14:paraId="0CFC6094" w14:textId="19BF59B5" w:rsidR="00ED5371" w:rsidRPr="00B26FE8" w:rsidRDefault="00ED5371" w:rsidP="00ED5371">
            <w:pPr>
              <w:spacing w:before="60" w:line="276" w:lineRule="auto"/>
              <w:jc w:val="right"/>
              <w:rPr>
                <w:rFonts w:ascii="Bookman Old Style" w:hAnsi="Bookman Old Style" w:cs="Arial"/>
                <w:sz w:val="20"/>
                <w:szCs w:val="20"/>
                <w:lang w:val="en-US" w:eastAsia="x-none"/>
              </w:rPr>
            </w:pPr>
            <w:r w:rsidRPr="00B26FE8">
              <w:rPr>
                <w:rFonts w:ascii="Bookman Old Style" w:hAnsi="Bookman Old Style"/>
                <w:sz w:val="20"/>
                <w:szCs w:val="20"/>
              </w:rPr>
              <w:t>9,12</w:t>
            </w:r>
          </w:p>
        </w:tc>
      </w:tr>
      <w:tr w:rsidR="00ED5371" w:rsidRPr="00B26FE8" w14:paraId="68EC95E7" w14:textId="77777777" w:rsidTr="00A26792">
        <w:tc>
          <w:tcPr>
            <w:tcW w:w="1153" w:type="dxa"/>
            <w:vAlign w:val="center"/>
          </w:tcPr>
          <w:p w14:paraId="238D8595" w14:textId="7ED8A723" w:rsidR="00ED5371" w:rsidRPr="00B26FE8" w:rsidRDefault="00ED5371" w:rsidP="00ED5371">
            <w:pPr>
              <w:pStyle w:val="ListParagraph"/>
              <w:spacing w:before="60" w:after="0" w:line="276" w:lineRule="auto"/>
              <w:ind w:left="0"/>
              <w:contextualSpacing w:val="0"/>
              <w:jc w:val="center"/>
              <w:rPr>
                <w:rFonts w:ascii="Bookman Old Style" w:hAnsi="Bookman Old Style" w:cs="Arial"/>
                <w:sz w:val="20"/>
                <w:szCs w:val="20"/>
                <w:lang w:val="en-US"/>
              </w:rPr>
            </w:pPr>
            <w:r w:rsidRPr="00B26FE8">
              <w:rPr>
                <w:rFonts w:ascii="Bookman Old Style" w:hAnsi="Bookman Old Style" w:cs="Arial"/>
                <w:sz w:val="20"/>
                <w:szCs w:val="20"/>
                <w:lang w:val="en-US"/>
              </w:rPr>
              <w:t>2025</w:t>
            </w:r>
          </w:p>
        </w:tc>
        <w:tc>
          <w:tcPr>
            <w:tcW w:w="2209" w:type="dxa"/>
            <w:vAlign w:val="center"/>
          </w:tcPr>
          <w:p w14:paraId="074A644C" w14:textId="6A26AF99" w:rsidR="00ED5371" w:rsidRPr="00B26FE8" w:rsidRDefault="00ED5371" w:rsidP="00ED5371">
            <w:pPr>
              <w:spacing w:before="60" w:line="276" w:lineRule="auto"/>
              <w:jc w:val="right"/>
              <w:rPr>
                <w:rFonts w:ascii="Bookman Old Style" w:hAnsi="Bookman Old Style" w:cs="Calibri"/>
                <w:color w:val="000000"/>
                <w:sz w:val="20"/>
                <w:szCs w:val="20"/>
              </w:rPr>
            </w:pPr>
            <w:r w:rsidRPr="00B26FE8">
              <w:rPr>
                <w:rFonts w:ascii="Bookman Old Style" w:hAnsi="Bookman Old Style" w:cs="Calibri"/>
                <w:color w:val="000000"/>
                <w:sz w:val="20"/>
                <w:szCs w:val="20"/>
              </w:rPr>
              <w:t>400.789.809.045</w:t>
            </w:r>
            <w:r w:rsidRPr="00B26FE8">
              <w:rPr>
                <w:rFonts w:ascii="Bookman Old Style" w:hAnsi="Bookman Old Style"/>
                <w:sz w:val="20"/>
                <w:szCs w:val="20"/>
              </w:rPr>
              <w:t>,00</w:t>
            </w:r>
          </w:p>
        </w:tc>
        <w:tc>
          <w:tcPr>
            <w:tcW w:w="2209" w:type="dxa"/>
            <w:vAlign w:val="center"/>
          </w:tcPr>
          <w:p w14:paraId="4BF66FCE" w14:textId="77777777" w:rsidR="00ED5371" w:rsidRPr="00B26FE8" w:rsidRDefault="00ED5371" w:rsidP="00ED5371">
            <w:pPr>
              <w:spacing w:before="60" w:line="276" w:lineRule="auto"/>
              <w:jc w:val="right"/>
              <w:rPr>
                <w:rFonts w:ascii="Bookman Old Style" w:hAnsi="Bookman Old Style" w:cs="Calibri"/>
                <w:color w:val="000000"/>
                <w:sz w:val="20"/>
                <w:szCs w:val="20"/>
              </w:rPr>
            </w:pPr>
          </w:p>
        </w:tc>
        <w:tc>
          <w:tcPr>
            <w:tcW w:w="901" w:type="dxa"/>
            <w:vAlign w:val="center"/>
          </w:tcPr>
          <w:p w14:paraId="482C1484" w14:textId="77777777" w:rsidR="00ED5371" w:rsidRPr="00B26FE8" w:rsidRDefault="00ED5371" w:rsidP="00ED5371">
            <w:pPr>
              <w:spacing w:before="60" w:line="276" w:lineRule="auto"/>
              <w:jc w:val="right"/>
              <w:rPr>
                <w:rFonts w:ascii="Bookman Old Style" w:hAnsi="Bookman Old Style" w:cs="Calibri"/>
                <w:sz w:val="20"/>
                <w:szCs w:val="20"/>
              </w:rPr>
            </w:pPr>
          </w:p>
        </w:tc>
        <w:tc>
          <w:tcPr>
            <w:tcW w:w="2397" w:type="dxa"/>
            <w:vAlign w:val="center"/>
          </w:tcPr>
          <w:p w14:paraId="5E1BEE42" w14:textId="19A23DEB" w:rsidR="00ED5371" w:rsidRPr="00B26FE8" w:rsidRDefault="00ED5371" w:rsidP="00ED5371">
            <w:pPr>
              <w:spacing w:before="60" w:line="276" w:lineRule="auto"/>
              <w:jc w:val="right"/>
              <w:rPr>
                <w:rFonts w:ascii="Bookman Old Style" w:hAnsi="Bookman Old Style" w:cs="Calibri"/>
                <w:sz w:val="20"/>
                <w:szCs w:val="20"/>
              </w:rPr>
            </w:pPr>
            <w:r w:rsidRPr="00B26FE8">
              <w:rPr>
                <w:rFonts w:ascii="Bookman Old Style" w:hAnsi="Bookman Old Style"/>
                <w:sz w:val="20"/>
                <w:szCs w:val="20"/>
              </w:rPr>
              <w:t>5.706.600.538.955,00</w:t>
            </w:r>
            <w:r w:rsidR="00A954D0">
              <w:rPr>
                <w:rFonts w:ascii="Bookman Old Style" w:hAnsi="Bookman Old Style"/>
                <w:sz w:val="20"/>
                <w:szCs w:val="20"/>
              </w:rPr>
              <w:t xml:space="preserve"> </w:t>
            </w:r>
          </w:p>
        </w:tc>
        <w:tc>
          <w:tcPr>
            <w:tcW w:w="777" w:type="dxa"/>
            <w:tcBorders>
              <w:top w:val="single" w:sz="4" w:space="0" w:color="auto"/>
              <w:left w:val="nil"/>
              <w:bottom w:val="single" w:sz="4" w:space="0" w:color="auto"/>
              <w:right w:val="single" w:sz="4" w:space="0" w:color="auto"/>
            </w:tcBorders>
            <w:shd w:val="clear" w:color="auto" w:fill="auto"/>
            <w:vAlign w:val="center"/>
          </w:tcPr>
          <w:p w14:paraId="70903FCD" w14:textId="5CE1326B" w:rsidR="00ED5371" w:rsidRPr="00B26FE8" w:rsidRDefault="00ED5371" w:rsidP="00ED5371">
            <w:pPr>
              <w:spacing w:before="60" w:line="276" w:lineRule="auto"/>
              <w:jc w:val="right"/>
              <w:rPr>
                <w:rFonts w:ascii="Bookman Old Style" w:hAnsi="Bookman Old Style" w:cs="Calibri"/>
                <w:color w:val="000000"/>
                <w:sz w:val="20"/>
                <w:szCs w:val="20"/>
              </w:rPr>
            </w:pPr>
            <w:r w:rsidRPr="00B26FE8">
              <w:rPr>
                <w:rFonts w:ascii="Bookman Old Style" w:hAnsi="Bookman Old Style"/>
                <w:sz w:val="20"/>
                <w:szCs w:val="20"/>
              </w:rPr>
              <w:t>7,02</w:t>
            </w:r>
          </w:p>
        </w:tc>
      </w:tr>
    </w:tbl>
    <w:p w14:paraId="4C00B8BC" w14:textId="3F873931" w:rsidR="003C1F03" w:rsidRPr="00A26792" w:rsidRDefault="004307DD" w:rsidP="00A26792">
      <w:pPr>
        <w:pStyle w:val="ListParagraph"/>
        <w:spacing w:before="60" w:after="0" w:line="276" w:lineRule="auto"/>
        <w:ind w:left="-284" w:hanging="283"/>
        <w:contextualSpacing w:val="0"/>
        <w:jc w:val="both"/>
        <w:rPr>
          <w:rFonts w:ascii="Bookman Old Style" w:hAnsi="Bookman Old Style" w:cs="Arial"/>
          <w:color w:val="FF0000"/>
          <w:sz w:val="18"/>
          <w:szCs w:val="18"/>
          <w:lang w:val="id-ID"/>
        </w:rPr>
      </w:pPr>
      <w:r w:rsidRPr="00A26792">
        <w:rPr>
          <w:rFonts w:ascii="Bookman Old Style" w:hAnsi="Bookman Old Style"/>
          <w:i/>
          <w:iCs/>
          <w:sz w:val="18"/>
          <w:szCs w:val="18"/>
        </w:rPr>
        <w:t>*)</w:t>
      </w:r>
      <w:r w:rsidR="00A954D0" w:rsidRPr="00A26792">
        <w:rPr>
          <w:rFonts w:ascii="Bookman Old Style" w:hAnsi="Bookman Old Style"/>
          <w:i/>
          <w:iCs/>
          <w:sz w:val="18"/>
          <w:szCs w:val="18"/>
        </w:rPr>
        <w:t xml:space="preserve"> </w:t>
      </w:r>
      <w:r w:rsidR="00A26792">
        <w:rPr>
          <w:rFonts w:ascii="Bookman Old Style" w:hAnsi="Bookman Old Style"/>
          <w:i/>
          <w:iCs/>
          <w:sz w:val="18"/>
          <w:szCs w:val="18"/>
        </w:rPr>
        <w:tab/>
      </w:r>
      <w:r w:rsidR="0091430F" w:rsidRPr="00A26792">
        <w:rPr>
          <w:rFonts w:ascii="Bookman Old Style" w:hAnsi="Bookman Old Style"/>
          <w:i/>
          <w:iCs/>
          <w:sz w:val="18"/>
          <w:szCs w:val="18"/>
        </w:rPr>
        <w:t>Peraturan</w:t>
      </w:r>
      <w:r w:rsidR="00A954D0" w:rsidRPr="00A26792">
        <w:rPr>
          <w:rFonts w:ascii="Bookman Old Style" w:hAnsi="Bookman Old Style"/>
          <w:i/>
          <w:iCs/>
          <w:sz w:val="18"/>
          <w:szCs w:val="18"/>
        </w:rPr>
        <w:t xml:space="preserve"> </w:t>
      </w:r>
      <w:r w:rsidR="0091430F" w:rsidRPr="00A26792">
        <w:rPr>
          <w:rFonts w:ascii="Bookman Old Style" w:hAnsi="Bookman Old Style"/>
          <w:i/>
          <w:iCs/>
          <w:sz w:val="18"/>
          <w:szCs w:val="18"/>
        </w:rPr>
        <w:t>Daerah</w:t>
      </w:r>
      <w:r w:rsidR="00A954D0" w:rsidRPr="00A26792">
        <w:rPr>
          <w:rFonts w:ascii="Bookman Old Style" w:hAnsi="Bookman Old Style"/>
          <w:i/>
          <w:iCs/>
          <w:sz w:val="18"/>
          <w:szCs w:val="18"/>
        </w:rPr>
        <w:t xml:space="preserve"> </w:t>
      </w:r>
      <w:r w:rsidR="0091430F" w:rsidRPr="00A26792">
        <w:rPr>
          <w:rFonts w:ascii="Bookman Old Style" w:hAnsi="Bookman Old Style"/>
          <w:i/>
          <w:iCs/>
          <w:sz w:val="18"/>
          <w:szCs w:val="18"/>
        </w:rPr>
        <w:t>Kota</w:t>
      </w:r>
      <w:r w:rsidR="00A954D0" w:rsidRPr="00A26792">
        <w:rPr>
          <w:rFonts w:ascii="Bookman Old Style" w:hAnsi="Bookman Old Style"/>
          <w:i/>
          <w:iCs/>
          <w:sz w:val="18"/>
          <w:szCs w:val="18"/>
        </w:rPr>
        <w:t xml:space="preserve"> </w:t>
      </w:r>
      <w:r w:rsidR="00770F22" w:rsidRPr="00A26792">
        <w:rPr>
          <w:rFonts w:ascii="Bookman Old Style" w:hAnsi="Bookman Old Style"/>
          <w:i/>
          <w:iCs/>
          <w:sz w:val="18"/>
          <w:szCs w:val="18"/>
        </w:rPr>
        <w:t>Tangerang</w:t>
      </w:r>
      <w:r w:rsidR="00A954D0" w:rsidRPr="00A26792">
        <w:rPr>
          <w:rFonts w:ascii="Bookman Old Style" w:hAnsi="Bookman Old Style"/>
          <w:i/>
          <w:iCs/>
          <w:sz w:val="18"/>
          <w:szCs w:val="18"/>
        </w:rPr>
        <w:t xml:space="preserve"> </w:t>
      </w:r>
      <w:r w:rsidR="0091430F" w:rsidRPr="00A26792">
        <w:rPr>
          <w:rFonts w:ascii="Bookman Old Style" w:hAnsi="Bookman Old Style"/>
          <w:i/>
          <w:iCs/>
          <w:sz w:val="18"/>
          <w:szCs w:val="18"/>
        </w:rPr>
        <w:t>Nomor</w:t>
      </w:r>
      <w:r w:rsidR="00A954D0" w:rsidRPr="00A26792">
        <w:rPr>
          <w:rFonts w:ascii="Bookman Old Style" w:hAnsi="Bookman Old Style"/>
          <w:i/>
          <w:iCs/>
          <w:sz w:val="18"/>
          <w:szCs w:val="18"/>
        </w:rPr>
        <w:t xml:space="preserve"> </w:t>
      </w:r>
      <w:r w:rsidR="00681AA3" w:rsidRPr="00A26792">
        <w:rPr>
          <w:rFonts w:ascii="Bookman Old Style" w:hAnsi="Bookman Old Style"/>
          <w:i/>
          <w:iCs/>
          <w:sz w:val="18"/>
          <w:szCs w:val="18"/>
        </w:rPr>
        <w:t>6</w:t>
      </w:r>
      <w:r w:rsidR="00A954D0" w:rsidRPr="00A26792">
        <w:rPr>
          <w:rFonts w:ascii="Bookman Old Style" w:hAnsi="Bookman Old Style"/>
          <w:i/>
          <w:iCs/>
          <w:sz w:val="18"/>
          <w:szCs w:val="18"/>
        </w:rPr>
        <w:t xml:space="preserve"> </w:t>
      </w:r>
      <w:r w:rsidR="0091430F" w:rsidRPr="00A26792">
        <w:rPr>
          <w:rFonts w:ascii="Bookman Old Style" w:hAnsi="Bookman Old Style"/>
          <w:i/>
          <w:iCs/>
          <w:sz w:val="18"/>
          <w:szCs w:val="18"/>
        </w:rPr>
        <w:t>Tahun</w:t>
      </w:r>
      <w:r w:rsidR="00A954D0" w:rsidRPr="00A26792">
        <w:rPr>
          <w:rFonts w:ascii="Bookman Old Style" w:hAnsi="Bookman Old Style"/>
          <w:i/>
          <w:iCs/>
          <w:sz w:val="18"/>
          <w:szCs w:val="18"/>
        </w:rPr>
        <w:t xml:space="preserve"> </w:t>
      </w:r>
      <w:r w:rsidR="0091430F" w:rsidRPr="00A26792">
        <w:rPr>
          <w:rFonts w:ascii="Bookman Old Style" w:hAnsi="Bookman Old Style"/>
          <w:i/>
          <w:iCs/>
          <w:sz w:val="18"/>
          <w:szCs w:val="18"/>
        </w:rPr>
        <w:t>2024</w:t>
      </w:r>
      <w:r w:rsidR="00A954D0" w:rsidRPr="00A26792">
        <w:rPr>
          <w:rFonts w:ascii="Bookman Old Style" w:hAnsi="Bookman Old Style"/>
          <w:i/>
          <w:iCs/>
          <w:sz w:val="18"/>
          <w:szCs w:val="18"/>
        </w:rPr>
        <w:t xml:space="preserve"> </w:t>
      </w:r>
      <w:r w:rsidR="0091430F" w:rsidRPr="00A26792">
        <w:rPr>
          <w:rFonts w:ascii="Bookman Old Style" w:hAnsi="Bookman Old Style"/>
          <w:i/>
          <w:iCs/>
          <w:sz w:val="18"/>
          <w:szCs w:val="18"/>
        </w:rPr>
        <w:t>tentang</w:t>
      </w:r>
      <w:r w:rsidR="00A954D0" w:rsidRPr="00A26792">
        <w:rPr>
          <w:rFonts w:ascii="Bookman Old Style" w:hAnsi="Bookman Old Style"/>
          <w:i/>
          <w:iCs/>
          <w:sz w:val="18"/>
          <w:szCs w:val="18"/>
        </w:rPr>
        <w:t xml:space="preserve"> </w:t>
      </w:r>
      <w:r w:rsidR="0091430F" w:rsidRPr="00A26792">
        <w:rPr>
          <w:rFonts w:ascii="Bookman Old Style" w:hAnsi="Bookman Old Style"/>
          <w:i/>
          <w:iCs/>
          <w:sz w:val="18"/>
          <w:szCs w:val="18"/>
        </w:rPr>
        <w:t>Pertanggungjawaban</w:t>
      </w:r>
      <w:r w:rsidR="00A954D0" w:rsidRPr="00A26792">
        <w:rPr>
          <w:rFonts w:ascii="Bookman Old Style" w:hAnsi="Bookman Old Style"/>
          <w:i/>
          <w:iCs/>
          <w:sz w:val="18"/>
          <w:szCs w:val="18"/>
        </w:rPr>
        <w:t xml:space="preserve"> </w:t>
      </w:r>
      <w:r w:rsidR="0091430F" w:rsidRPr="00A26792">
        <w:rPr>
          <w:rFonts w:ascii="Bookman Old Style" w:hAnsi="Bookman Old Style"/>
          <w:i/>
          <w:iCs/>
          <w:sz w:val="18"/>
          <w:szCs w:val="18"/>
        </w:rPr>
        <w:t>Pelaksanaan</w:t>
      </w:r>
      <w:r w:rsidR="00A954D0" w:rsidRPr="00A26792">
        <w:rPr>
          <w:rFonts w:ascii="Bookman Old Style" w:hAnsi="Bookman Old Style"/>
          <w:i/>
          <w:iCs/>
          <w:sz w:val="18"/>
          <w:szCs w:val="18"/>
        </w:rPr>
        <w:t xml:space="preserve"> </w:t>
      </w:r>
      <w:r w:rsidR="0091430F" w:rsidRPr="00A26792">
        <w:rPr>
          <w:rFonts w:ascii="Bookman Old Style" w:hAnsi="Bookman Old Style"/>
          <w:i/>
          <w:iCs/>
          <w:sz w:val="18"/>
          <w:szCs w:val="18"/>
        </w:rPr>
        <w:t>APBD</w:t>
      </w:r>
      <w:r w:rsidR="00A954D0" w:rsidRPr="00A26792">
        <w:rPr>
          <w:rFonts w:ascii="Bookman Old Style" w:hAnsi="Bookman Old Style"/>
          <w:i/>
          <w:iCs/>
          <w:sz w:val="18"/>
          <w:szCs w:val="18"/>
        </w:rPr>
        <w:t xml:space="preserve"> </w:t>
      </w:r>
      <w:r w:rsidR="0091430F" w:rsidRPr="00A26792">
        <w:rPr>
          <w:rFonts w:ascii="Bookman Old Style" w:hAnsi="Bookman Old Style"/>
          <w:i/>
          <w:iCs/>
          <w:sz w:val="18"/>
          <w:szCs w:val="18"/>
        </w:rPr>
        <w:t>Tahun</w:t>
      </w:r>
      <w:r w:rsidR="00A954D0" w:rsidRPr="00A26792">
        <w:rPr>
          <w:rFonts w:ascii="Bookman Old Style" w:hAnsi="Bookman Old Style"/>
          <w:i/>
          <w:iCs/>
          <w:sz w:val="18"/>
          <w:szCs w:val="18"/>
        </w:rPr>
        <w:t xml:space="preserve"> </w:t>
      </w:r>
      <w:r w:rsidR="0091430F" w:rsidRPr="00A26792">
        <w:rPr>
          <w:rFonts w:ascii="Bookman Old Style" w:hAnsi="Bookman Old Style"/>
          <w:i/>
          <w:iCs/>
          <w:sz w:val="18"/>
          <w:szCs w:val="18"/>
        </w:rPr>
        <w:t>Anggaran</w:t>
      </w:r>
      <w:r w:rsidR="00A954D0" w:rsidRPr="00A26792">
        <w:rPr>
          <w:rFonts w:ascii="Bookman Old Style" w:hAnsi="Bookman Old Style"/>
          <w:i/>
          <w:iCs/>
          <w:sz w:val="18"/>
          <w:szCs w:val="18"/>
        </w:rPr>
        <w:t xml:space="preserve"> </w:t>
      </w:r>
      <w:r w:rsidR="0091430F" w:rsidRPr="00A26792">
        <w:rPr>
          <w:rFonts w:ascii="Bookman Old Style" w:hAnsi="Bookman Old Style"/>
          <w:i/>
          <w:iCs/>
          <w:sz w:val="18"/>
          <w:szCs w:val="18"/>
        </w:rPr>
        <w:t>2023</w:t>
      </w:r>
    </w:p>
    <w:p w14:paraId="7865CC31" w14:textId="562117E5" w:rsidR="003C1F03" w:rsidRPr="00B26FE8" w:rsidRDefault="007852D9" w:rsidP="00A26792">
      <w:pPr>
        <w:pStyle w:val="ListParagraph"/>
        <w:spacing w:before="60" w:after="0" w:line="276" w:lineRule="auto"/>
        <w:ind w:left="1276"/>
        <w:contextualSpacing w:val="0"/>
        <w:jc w:val="both"/>
        <w:rPr>
          <w:rFonts w:ascii="Bookman Old Style" w:hAnsi="Bookman Old Style" w:cs="Arial"/>
          <w:sz w:val="24"/>
          <w:szCs w:val="24"/>
        </w:rPr>
      </w:pPr>
      <w:r w:rsidRPr="00B26FE8">
        <w:rPr>
          <w:rFonts w:ascii="Bookman Old Style" w:hAnsi="Bookman Old Style"/>
          <w:sz w:val="24"/>
          <w:szCs w:val="24"/>
          <w:lang w:val="id-ID"/>
        </w:rPr>
        <w:t>Sehubungan</w:t>
      </w:r>
      <w:r w:rsidR="00A954D0">
        <w:rPr>
          <w:rFonts w:ascii="Bookman Old Style" w:hAnsi="Bookman Old Style"/>
          <w:sz w:val="24"/>
          <w:szCs w:val="24"/>
          <w:lang w:val="id-ID"/>
        </w:rPr>
        <w:t xml:space="preserve"> </w:t>
      </w:r>
      <w:r w:rsidRPr="00B26FE8">
        <w:rPr>
          <w:rFonts w:ascii="Bookman Old Style" w:hAnsi="Bookman Old Style"/>
          <w:sz w:val="24"/>
          <w:szCs w:val="24"/>
          <w:lang w:val="id-ID"/>
        </w:rPr>
        <w:t>dengan</w:t>
      </w:r>
      <w:r w:rsidR="00A954D0">
        <w:rPr>
          <w:rFonts w:ascii="Bookman Old Style" w:hAnsi="Bookman Old Style"/>
          <w:sz w:val="24"/>
          <w:szCs w:val="24"/>
          <w:lang w:val="id-ID"/>
        </w:rPr>
        <w:t xml:space="preserve"> </w:t>
      </w:r>
      <w:r w:rsidRPr="00B26FE8">
        <w:rPr>
          <w:rFonts w:ascii="Bookman Old Style" w:hAnsi="Bookman Old Style"/>
          <w:sz w:val="24"/>
          <w:szCs w:val="24"/>
          <w:lang w:val="id-ID"/>
        </w:rPr>
        <w:t>hal</w:t>
      </w:r>
      <w:r w:rsidR="00A954D0">
        <w:rPr>
          <w:rFonts w:ascii="Bookman Old Style" w:hAnsi="Bookman Old Style"/>
          <w:sz w:val="24"/>
          <w:szCs w:val="24"/>
          <w:lang w:val="id-ID"/>
        </w:rPr>
        <w:t xml:space="preserve"> </w:t>
      </w:r>
      <w:r w:rsidRPr="00B26FE8">
        <w:rPr>
          <w:rFonts w:ascii="Bookman Old Style" w:hAnsi="Bookman Old Style"/>
          <w:sz w:val="24"/>
          <w:szCs w:val="24"/>
          <w:lang w:val="id-ID"/>
        </w:rPr>
        <w:t>tersebut</w:t>
      </w:r>
      <w:r w:rsidR="003C1F03" w:rsidRPr="00B26FE8">
        <w:rPr>
          <w:rFonts w:ascii="Bookman Old Style" w:hAnsi="Bookman Old Style" w:cs="Tahoma"/>
          <w:w w:val="101"/>
          <w:sz w:val="24"/>
          <w:szCs w:val="24"/>
          <w:lang w:val="id-ID"/>
        </w:rPr>
        <w:t>,</w:t>
      </w:r>
      <w:r w:rsidR="00A954D0">
        <w:rPr>
          <w:rFonts w:ascii="Bookman Old Style" w:hAnsi="Bookman Old Style" w:cs="Tahoma"/>
          <w:w w:val="101"/>
          <w:sz w:val="24"/>
          <w:szCs w:val="24"/>
          <w:lang w:val="id-ID"/>
        </w:rPr>
        <w:t xml:space="preserve"> </w:t>
      </w:r>
      <w:r w:rsidR="003C1F03" w:rsidRPr="00B26FE8">
        <w:rPr>
          <w:rFonts w:ascii="Bookman Old Style" w:hAnsi="Bookman Old Style" w:cs="Tahoma"/>
          <w:w w:val="101"/>
          <w:sz w:val="24"/>
          <w:szCs w:val="24"/>
          <w:lang w:val="id-ID"/>
        </w:rPr>
        <w:t>Pemerintah</w:t>
      </w:r>
      <w:r w:rsidR="00A954D0">
        <w:rPr>
          <w:rFonts w:ascii="Bookman Old Style" w:hAnsi="Bookman Old Style" w:cs="Tahoma"/>
          <w:w w:val="101"/>
          <w:sz w:val="24"/>
          <w:szCs w:val="24"/>
          <w:lang w:val="id-ID"/>
        </w:rPr>
        <w:t xml:space="preserve"> </w:t>
      </w:r>
      <w:r w:rsidR="003C1F03" w:rsidRPr="00B26FE8">
        <w:rPr>
          <w:rFonts w:ascii="Bookman Old Style" w:hAnsi="Bookman Old Style" w:cs="Tahoma"/>
          <w:w w:val="101"/>
          <w:sz w:val="24"/>
          <w:szCs w:val="24"/>
          <w:lang w:val="id-ID"/>
        </w:rPr>
        <w:t>Daerah</w:t>
      </w:r>
      <w:r w:rsidR="00A954D0">
        <w:rPr>
          <w:rFonts w:ascii="Bookman Old Style" w:hAnsi="Bookman Old Style" w:cs="Tahoma"/>
          <w:w w:val="101"/>
          <w:sz w:val="24"/>
          <w:szCs w:val="24"/>
          <w:lang w:val="id-ID"/>
        </w:rPr>
        <w:t xml:space="preserve"> </w:t>
      </w:r>
      <w:r w:rsidR="00046408" w:rsidRPr="00B26FE8">
        <w:rPr>
          <w:rFonts w:ascii="Bookman Old Style" w:hAnsi="Bookman Old Style" w:cs="Arial"/>
          <w:sz w:val="24"/>
          <w:szCs w:val="24"/>
          <w:lang w:val="de-DE"/>
        </w:rPr>
        <w:t>Kota</w:t>
      </w:r>
      <w:r w:rsidR="00A954D0">
        <w:rPr>
          <w:rFonts w:ascii="Bookman Old Style" w:hAnsi="Bookman Old Style" w:cs="Arial"/>
          <w:sz w:val="24"/>
          <w:szCs w:val="24"/>
          <w:lang w:val="de-DE"/>
        </w:rPr>
        <w:t xml:space="preserve"> </w:t>
      </w:r>
      <w:r w:rsidR="00770F22" w:rsidRPr="00B26FE8">
        <w:rPr>
          <w:rFonts w:ascii="Bookman Old Style" w:hAnsi="Bookman Old Style" w:cs="Arial"/>
          <w:sz w:val="24"/>
          <w:szCs w:val="24"/>
          <w:lang w:val="de-DE"/>
        </w:rPr>
        <w:t>Tangerang</w:t>
      </w:r>
      <w:r w:rsidR="00A954D0">
        <w:rPr>
          <w:rFonts w:ascii="Bookman Old Style" w:hAnsi="Bookman Old Style" w:cs="Arial"/>
          <w:sz w:val="24"/>
          <w:szCs w:val="24"/>
          <w:lang w:val="de-DE"/>
        </w:rPr>
        <w:t xml:space="preserve"> </w:t>
      </w:r>
      <w:r w:rsidR="003C1F03" w:rsidRPr="00B26FE8">
        <w:rPr>
          <w:rFonts w:ascii="Bookman Old Style" w:hAnsi="Bookman Old Style" w:cs="Tahoma"/>
          <w:w w:val="101"/>
          <w:sz w:val="24"/>
          <w:szCs w:val="24"/>
          <w:lang w:val="id-ID"/>
        </w:rPr>
        <w:t>harus</w:t>
      </w:r>
      <w:r w:rsidR="00A954D0">
        <w:rPr>
          <w:rFonts w:ascii="Bookman Old Style" w:hAnsi="Bookman Old Style" w:cs="Tahoma"/>
          <w:w w:val="101"/>
          <w:sz w:val="24"/>
          <w:szCs w:val="24"/>
          <w:lang w:val="id-ID"/>
        </w:rPr>
        <w:t xml:space="preserve"> </w:t>
      </w:r>
      <w:r w:rsidR="003C1F03" w:rsidRPr="00B26FE8">
        <w:rPr>
          <w:rFonts w:ascii="Bookman Old Style" w:hAnsi="Bookman Old Style" w:cs="Tahoma"/>
          <w:w w:val="101"/>
          <w:sz w:val="24"/>
          <w:szCs w:val="24"/>
          <w:lang w:val="id-ID"/>
        </w:rPr>
        <w:t>melakukan</w:t>
      </w:r>
      <w:r w:rsidR="00A954D0">
        <w:rPr>
          <w:rFonts w:ascii="Bookman Old Style" w:hAnsi="Bookman Old Style" w:cs="Tahoma"/>
          <w:w w:val="101"/>
          <w:sz w:val="24"/>
          <w:szCs w:val="24"/>
          <w:lang w:val="id-ID"/>
        </w:rPr>
        <w:t xml:space="preserve"> </w:t>
      </w:r>
      <w:r w:rsidR="003C1F03" w:rsidRPr="00B26FE8">
        <w:rPr>
          <w:rFonts w:ascii="Bookman Old Style" w:hAnsi="Bookman Old Style" w:cs="Tahoma"/>
          <w:w w:val="101"/>
          <w:sz w:val="24"/>
          <w:szCs w:val="24"/>
          <w:lang w:val="id-ID"/>
        </w:rPr>
        <w:t>perhitungan</w:t>
      </w:r>
      <w:r w:rsidR="00A954D0">
        <w:rPr>
          <w:rFonts w:ascii="Bookman Old Style" w:hAnsi="Bookman Old Style" w:cs="Tahoma"/>
          <w:w w:val="101"/>
          <w:sz w:val="24"/>
          <w:szCs w:val="24"/>
          <w:lang w:val="id-ID"/>
        </w:rPr>
        <w:t xml:space="preserve"> </w:t>
      </w:r>
      <w:r w:rsidR="003C1F03" w:rsidRPr="00B26FE8">
        <w:rPr>
          <w:rFonts w:ascii="Bookman Old Style" w:hAnsi="Bookman Old Style" w:cs="Tahoma"/>
          <w:w w:val="101"/>
          <w:sz w:val="24"/>
          <w:szCs w:val="24"/>
          <w:lang w:val="id-ID"/>
        </w:rPr>
        <w:t>secara</w:t>
      </w:r>
      <w:r w:rsidR="00A954D0">
        <w:rPr>
          <w:rFonts w:ascii="Bookman Old Style" w:hAnsi="Bookman Old Style" w:cs="Tahoma"/>
          <w:w w:val="101"/>
          <w:sz w:val="24"/>
          <w:szCs w:val="24"/>
          <w:lang w:val="id-ID"/>
        </w:rPr>
        <w:t xml:space="preserve"> </w:t>
      </w:r>
      <w:r w:rsidR="003C1F03" w:rsidRPr="00B26FE8">
        <w:rPr>
          <w:rFonts w:ascii="Bookman Old Style" w:hAnsi="Bookman Old Style" w:cs="Tahoma"/>
          <w:w w:val="101"/>
          <w:sz w:val="24"/>
          <w:szCs w:val="24"/>
          <w:lang w:val="id-ID"/>
        </w:rPr>
        <w:t>cermat</w:t>
      </w:r>
      <w:r w:rsidR="00A954D0">
        <w:rPr>
          <w:rFonts w:ascii="Bookman Old Style" w:hAnsi="Bookman Old Style" w:cs="Tahoma"/>
          <w:w w:val="101"/>
          <w:sz w:val="24"/>
          <w:szCs w:val="24"/>
          <w:lang w:val="id-ID"/>
        </w:rPr>
        <w:t xml:space="preserve"> </w:t>
      </w:r>
      <w:r w:rsidR="003C1F03" w:rsidRPr="00B26FE8">
        <w:rPr>
          <w:rFonts w:ascii="Bookman Old Style" w:hAnsi="Bookman Old Style" w:cs="Tahoma"/>
          <w:w w:val="101"/>
          <w:sz w:val="24"/>
          <w:szCs w:val="24"/>
          <w:lang w:val="id-ID"/>
        </w:rPr>
        <w:t>dan</w:t>
      </w:r>
      <w:r w:rsidR="00A954D0">
        <w:rPr>
          <w:rFonts w:ascii="Bookman Old Style" w:hAnsi="Bookman Old Style" w:cs="Tahoma"/>
          <w:w w:val="101"/>
          <w:sz w:val="24"/>
          <w:szCs w:val="24"/>
          <w:lang w:val="id-ID"/>
        </w:rPr>
        <w:t xml:space="preserve"> </w:t>
      </w:r>
      <w:r w:rsidR="003C1F03" w:rsidRPr="00B26FE8">
        <w:rPr>
          <w:rFonts w:ascii="Bookman Old Style" w:hAnsi="Bookman Old Style" w:cs="Arial"/>
          <w:sz w:val="24"/>
          <w:szCs w:val="24"/>
          <w:lang w:val="de-DE"/>
        </w:rPr>
        <w:t>rasional</w:t>
      </w:r>
      <w:r w:rsidR="00A954D0">
        <w:rPr>
          <w:rFonts w:ascii="Bookman Old Style" w:hAnsi="Bookman Old Style" w:cs="Tahoma"/>
          <w:w w:val="101"/>
          <w:sz w:val="24"/>
          <w:szCs w:val="24"/>
          <w:lang w:val="id-ID"/>
        </w:rPr>
        <w:t xml:space="preserve"> </w:t>
      </w:r>
      <w:r w:rsidR="003C1F03" w:rsidRPr="003255BC">
        <w:rPr>
          <w:rFonts w:ascii="Bookman Old Style" w:hAnsi="Bookman Old Style" w:cs="Tahoma"/>
          <w:w w:val="101"/>
          <w:sz w:val="24"/>
          <w:szCs w:val="24"/>
          <w:lang w:val="sv-FI"/>
        </w:rPr>
        <w:t>atas</w:t>
      </w:r>
      <w:r w:rsidR="00A954D0" w:rsidRPr="003255BC">
        <w:rPr>
          <w:rFonts w:ascii="Bookman Old Style" w:hAnsi="Bookman Old Style" w:cs="Tahoma"/>
          <w:w w:val="101"/>
          <w:sz w:val="24"/>
          <w:szCs w:val="24"/>
          <w:lang w:val="sv-FI"/>
        </w:rPr>
        <w:t xml:space="preserve"> </w:t>
      </w:r>
      <w:r w:rsidR="003C1F03" w:rsidRPr="00B26FE8">
        <w:rPr>
          <w:rFonts w:ascii="Bookman Old Style" w:hAnsi="Bookman Old Style" w:cs="Tahoma"/>
          <w:w w:val="101"/>
          <w:sz w:val="24"/>
          <w:szCs w:val="24"/>
          <w:lang w:val="id-ID"/>
        </w:rPr>
        <w:t>proyeksi</w:t>
      </w:r>
      <w:r w:rsidR="00A954D0">
        <w:rPr>
          <w:rFonts w:ascii="Bookman Old Style" w:hAnsi="Bookman Old Style" w:cs="Tahoma"/>
          <w:w w:val="101"/>
          <w:sz w:val="24"/>
          <w:szCs w:val="24"/>
          <w:lang w:val="id-ID"/>
        </w:rPr>
        <w:t xml:space="preserve"> </w:t>
      </w:r>
      <w:r w:rsidR="003C1F03" w:rsidRPr="00B26FE8">
        <w:rPr>
          <w:rFonts w:ascii="Bookman Old Style" w:hAnsi="Bookman Old Style" w:cs="Tahoma"/>
          <w:w w:val="101"/>
          <w:sz w:val="24"/>
          <w:szCs w:val="24"/>
          <w:lang w:val="id-ID"/>
        </w:rPr>
        <w:t>SiLPA</w:t>
      </w:r>
      <w:r w:rsidR="00A954D0">
        <w:rPr>
          <w:rFonts w:ascii="Bookman Old Style" w:hAnsi="Bookman Old Style" w:cs="Tahoma"/>
          <w:w w:val="101"/>
          <w:sz w:val="24"/>
          <w:szCs w:val="24"/>
          <w:lang w:val="id-ID"/>
        </w:rPr>
        <w:t xml:space="preserve"> </w:t>
      </w:r>
      <w:r w:rsidR="003C1F03" w:rsidRPr="00B26FE8">
        <w:rPr>
          <w:rFonts w:ascii="Bookman Old Style" w:hAnsi="Bookman Old Style" w:cs="Tahoma"/>
          <w:w w:val="101"/>
          <w:sz w:val="24"/>
          <w:szCs w:val="24"/>
          <w:lang w:val="id-ID"/>
        </w:rPr>
        <w:t>Tahun</w:t>
      </w:r>
      <w:r w:rsidR="00A954D0">
        <w:rPr>
          <w:rFonts w:ascii="Bookman Old Style" w:hAnsi="Bookman Old Style" w:cs="Tahoma"/>
          <w:w w:val="101"/>
          <w:sz w:val="24"/>
          <w:szCs w:val="24"/>
          <w:lang w:val="id-ID"/>
        </w:rPr>
        <w:t xml:space="preserve"> </w:t>
      </w:r>
      <w:r w:rsidR="003C1F03" w:rsidRPr="00B26FE8">
        <w:rPr>
          <w:rFonts w:ascii="Bookman Old Style" w:hAnsi="Bookman Old Style" w:cs="Tahoma"/>
          <w:w w:val="101"/>
          <w:sz w:val="24"/>
          <w:szCs w:val="24"/>
          <w:lang w:val="id-ID"/>
        </w:rPr>
        <w:t>Anggaran</w:t>
      </w:r>
      <w:r w:rsidR="00A954D0">
        <w:rPr>
          <w:rFonts w:ascii="Bookman Old Style" w:hAnsi="Bookman Old Style" w:cs="Tahoma"/>
          <w:w w:val="101"/>
          <w:sz w:val="24"/>
          <w:szCs w:val="24"/>
          <w:lang w:val="id-ID"/>
        </w:rPr>
        <w:t xml:space="preserve"> </w:t>
      </w:r>
      <w:r w:rsidR="003C1F03" w:rsidRPr="00B26FE8">
        <w:rPr>
          <w:rFonts w:ascii="Bookman Old Style" w:hAnsi="Bookman Old Style" w:cs="Tahoma"/>
          <w:w w:val="101"/>
          <w:sz w:val="24"/>
          <w:szCs w:val="24"/>
          <w:lang w:val="id-ID"/>
        </w:rPr>
        <w:t>202</w:t>
      </w:r>
      <w:r w:rsidR="003C1F03" w:rsidRPr="003255BC">
        <w:rPr>
          <w:rFonts w:ascii="Bookman Old Style" w:hAnsi="Bookman Old Style" w:cs="Tahoma"/>
          <w:w w:val="101"/>
          <w:sz w:val="24"/>
          <w:szCs w:val="24"/>
          <w:lang w:val="sv-FI"/>
        </w:rPr>
        <w:t>5</w:t>
      </w:r>
      <w:r w:rsidR="00A954D0">
        <w:rPr>
          <w:rFonts w:ascii="Bookman Old Style" w:hAnsi="Bookman Old Style" w:cs="Tahoma"/>
          <w:w w:val="101"/>
          <w:sz w:val="24"/>
          <w:szCs w:val="24"/>
          <w:lang w:val="id-ID"/>
        </w:rPr>
        <w:t xml:space="preserve"> </w:t>
      </w:r>
      <w:r w:rsidR="003C1F03" w:rsidRPr="00B26FE8">
        <w:rPr>
          <w:rFonts w:ascii="Bookman Old Style" w:hAnsi="Bookman Old Style" w:cs="Tahoma"/>
          <w:w w:val="101"/>
          <w:sz w:val="24"/>
          <w:szCs w:val="24"/>
          <w:lang w:val="id-ID"/>
        </w:rPr>
        <w:t>dengan</w:t>
      </w:r>
      <w:r w:rsidR="00A954D0">
        <w:rPr>
          <w:rFonts w:ascii="Bookman Old Style" w:hAnsi="Bookman Old Style" w:cs="Tahoma"/>
          <w:w w:val="101"/>
          <w:sz w:val="24"/>
          <w:szCs w:val="24"/>
          <w:lang w:val="id-ID"/>
        </w:rPr>
        <w:t xml:space="preserve"> </w:t>
      </w:r>
      <w:r w:rsidR="003C1F03" w:rsidRPr="00B26FE8">
        <w:rPr>
          <w:rFonts w:ascii="Bookman Old Style" w:hAnsi="Bookman Old Style" w:cs="Tahoma"/>
          <w:w w:val="101"/>
          <w:sz w:val="24"/>
          <w:szCs w:val="24"/>
          <w:lang w:val="id-ID"/>
        </w:rPr>
        <w:t>mempertimbangkan</w:t>
      </w:r>
      <w:r w:rsidR="00A954D0">
        <w:rPr>
          <w:rFonts w:ascii="Bookman Old Style" w:hAnsi="Bookman Old Style" w:cs="Tahoma"/>
          <w:w w:val="101"/>
          <w:sz w:val="24"/>
          <w:szCs w:val="24"/>
          <w:lang w:val="id-ID"/>
        </w:rPr>
        <w:t xml:space="preserve"> </w:t>
      </w:r>
      <w:r w:rsidR="003C1F03" w:rsidRPr="00B26FE8">
        <w:rPr>
          <w:rFonts w:ascii="Bookman Old Style" w:hAnsi="Bookman Old Style" w:cs="Tahoma"/>
          <w:w w:val="101"/>
          <w:sz w:val="24"/>
          <w:szCs w:val="24"/>
          <w:lang w:val="id-ID"/>
        </w:rPr>
        <w:t>perkiraan</w:t>
      </w:r>
      <w:r w:rsidR="00A954D0">
        <w:rPr>
          <w:rFonts w:ascii="Bookman Old Style" w:hAnsi="Bookman Old Style" w:cs="Tahoma"/>
          <w:w w:val="101"/>
          <w:sz w:val="24"/>
          <w:szCs w:val="24"/>
          <w:lang w:val="id-ID"/>
        </w:rPr>
        <w:t xml:space="preserve"> </w:t>
      </w:r>
      <w:r w:rsidR="003C1F03" w:rsidRPr="00B26FE8">
        <w:rPr>
          <w:rFonts w:ascii="Bookman Old Style" w:hAnsi="Bookman Old Style" w:cs="Tahoma"/>
          <w:w w:val="101"/>
          <w:sz w:val="24"/>
          <w:szCs w:val="24"/>
          <w:lang w:val="id-ID"/>
        </w:rPr>
        <w:t>realisasi</w:t>
      </w:r>
      <w:r w:rsidR="00A954D0">
        <w:rPr>
          <w:rFonts w:ascii="Bookman Old Style" w:hAnsi="Bookman Old Style" w:cs="Tahoma"/>
          <w:w w:val="101"/>
          <w:sz w:val="24"/>
          <w:szCs w:val="24"/>
          <w:lang w:val="id-ID"/>
        </w:rPr>
        <w:t xml:space="preserve"> </w:t>
      </w:r>
      <w:r w:rsidR="003C1F03" w:rsidRPr="00B26FE8">
        <w:rPr>
          <w:rFonts w:ascii="Bookman Old Style" w:hAnsi="Bookman Old Style" w:cs="Tahoma"/>
          <w:w w:val="101"/>
          <w:sz w:val="24"/>
          <w:szCs w:val="24"/>
          <w:lang w:val="id-ID"/>
        </w:rPr>
        <w:t>anggaran</w:t>
      </w:r>
      <w:r w:rsidR="00A954D0">
        <w:rPr>
          <w:rFonts w:ascii="Bookman Old Style" w:hAnsi="Bookman Old Style" w:cs="Tahoma"/>
          <w:w w:val="101"/>
          <w:sz w:val="24"/>
          <w:szCs w:val="24"/>
          <w:lang w:val="id-ID"/>
        </w:rPr>
        <w:t xml:space="preserve"> </w:t>
      </w:r>
      <w:r w:rsidR="003C1F03" w:rsidRPr="00B26FE8">
        <w:rPr>
          <w:rFonts w:ascii="Bookman Old Style" w:hAnsi="Bookman Old Style" w:cs="Tahoma"/>
          <w:w w:val="101"/>
          <w:sz w:val="24"/>
          <w:szCs w:val="24"/>
          <w:lang w:val="id-ID"/>
        </w:rPr>
        <w:t>Tahun</w:t>
      </w:r>
      <w:r w:rsidR="00A954D0">
        <w:rPr>
          <w:rFonts w:ascii="Bookman Old Style" w:hAnsi="Bookman Old Style" w:cs="Tahoma"/>
          <w:w w:val="101"/>
          <w:sz w:val="24"/>
          <w:szCs w:val="24"/>
          <w:lang w:val="id-ID"/>
        </w:rPr>
        <w:t xml:space="preserve"> </w:t>
      </w:r>
      <w:r w:rsidR="003C1F03" w:rsidRPr="00B26FE8">
        <w:rPr>
          <w:rFonts w:ascii="Bookman Old Style" w:hAnsi="Bookman Old Style" w:cs="Tahoma"/>
          <w:w w:val="101"/>
          <w:sz w:val="24"/>
          <w:szCs w:val="24"/>
          <w:lang w:val="id-ID"/>
        </w:rPr>
        <w:t>Anggaran</w:t>
      </w:r>
      <w:r w:rsidR="00A954D0">
        <w:rPr>
          <w:rFonts w:ascii="Bookman Old Style" w:hAnsi="Bookman Old Style" w:cs="Tahoma"/>
          <w:w w:val="101"/>
          <w:sz w:val="24"/>
          <w:szCs w:val="24"/>
          <w:lang w:val="id-ID"/>
        </w:rPr>
        <w:t xml:space="preserve"> </w:t>
      </w:r>
      <w:r w:rsidR="003C1F03" w:rsidRPr="00B26FE8">
        <w:rPr>
          <w:rFonts w:ascii="Bookman Old Style" w:hAnsi="Bookman Old Style" w:cs="Tahoma"/>
          <w:w w:val="101"/>
          <w:sz w:val="24"/>
          <w:szCs w:val="24"/>
          <w:lang w:val="id-ID"/>
        </w:rPr>
        <w:t>2024</w:t>
      </w:r>
      <w:r w:rsidR="00A954D0">
        <w:rPr>
          <w:rFonts w:ascii="Bookman Old Style" w:hAnsi="Bookman Old Style" w:cs="Tahoma"/>
          <w:w w:val="101"/>
          <w:sz w:val="24"/>
          <w:szCs w:val="24"/>
          <w:lang w:val="id-ID"/>
        </w:rPr>
        <w:t xml:space="preserve"> </w:t>
      </w:r>
      <w:r w:rsidR="003C1F03" w:rsidRPr="00B26FE8">
        <w:rPr>
          <w:rFonts w:ascii="Bookman Old Style" w:hAnsi="Bookman Old Style" w:cs="Tahoma"/>
          <w:w w:val="101"/>
          <w:sz w:val="24"/>
          <w:szCs w:val="24"/>
          <w:lang w:val="id-ID"/>
        </w:rPr>
        <w:t>dalam</w:t>
      </w:r>
      <w:r w:rsidR="00A954D0">
        <w:rPr>
          <w:rFonts w:ascii="Bookman Old Style" w:hAnsi="Bookman Old Style" w:cs="Tahoma"/>
          <w:w w:val="101"/>
          <w:sz w:val="24"/>
          <w:szCs w:val="24"/>
          <w:lang w:val="id-ID"/>
        </w:rPr>
        <w:t xml:space="preserve"> </w:t>
      </w:r>
      <w:r w:rsidR="003C1F03" w:rsidRPr="00B26FE8">
        <w:rPr>
          <w:rFonts w:ascii="Bookman Old Style" w:hAnsi="Bookman Old Style" w:cs="Tahoma"/>
          <w:w w:val="101"/>
          <w:sz w:val="24"/>
          <w:szCs w:val="24"/>
          <w:lang w:val="id-ID"/>
        </w:rPr>
        <w:t>rangka</w:t>
      </w:r>
      <w:r w:rsidR="00A954D0">
        <w:rPr>
          <w:rFonts w:ascii="Bookman Old Style" w:hAnsi="Bookman Old Style" w:cs="Tahoma"/>
          <w:w w:val="101"/>
          <w:sz w:val="24"/>
          <w:szCs w:val="24"/>
          <w:lang w:val="id-ID"/>
        </w:rPr>
        <w:t xml:space="preserve"> </w:t>
      </w:r>
      <w:r w:rsidR="003C1F03" w:rsidRPr="00B26FE8">
        <w:rPr>
          <w:rFonts w:ascii="Bookman Old Style" w:hAnsi="Bookman Old Style" w:cs="Tahoma"/>
          <w:w w:val="101"/>
          <w:sz w:val="24"/>
          <w:szCs w:val="24"/>
          <w:lang w:val="id-ID"/>
        </w:rPr>
        <w:t>menghindari</w:t>
      </w:r>
      <w:r w:rsidR="00A954D0">
        <w:rPr>
          <w:rFonts w:ascii="Bookman Old Style" w:hAnsi="Bookman Old Style" w:cs="Tahoma"/>
          <w:w w:val="101"/>
          <w:sz w:val="24"/>
          <w:szCs w:val="24"/>
          <w:lang w:val="id-ID"/>
        </w:rPr>
        <w:t xml:space="preserve"> </w:t>
      </w:r>
      <w:r w:rsidR="003C1F03" w:rsidRPr="00B26FE8">
        <w:rPr>
          <w:rFonts w:ascii="Bookman Old Style" w:hAnsi="Bookman Old Style" w:cs="Tahoma"/>
          <w:w w:val="101"/>
          <w:sz w:val="24"/>
          <w:szCs w:val="24"/>
          <w:lang w:val="id-ID"/>
        </w:rPr>
        <w:t>kemungkinan</w:t>
      </w:r>
      <w:r w:rsidR="00A954D0">
        <w:rPr>
          <w:rFonts w:ascii="Bookman Old Style" w:hAnsi="Bookman Old Style" w:cs="Tahoma"/>
          <w:w w:val="101"/>
          <w:sz w:val="24"/>
          <w:szCs w:val="24"/>
          <w:lang w:val="id-ID"/>
        </w:rPr>
        <w:t xml:space="preserve"> </w:t>
      </w:r>
      <w:r w:rsidR="003C1F03" w:rsidRPr="00B26FE8">
        <w:rPr>
          <w:rFonts w:ascii="Bookman Old Style" w:hAnsi="Bookman Old Style" w:cs="Tahoma"/>
          <w:w w:val="101"/>
          <w:sz w:val="24"/>
          <w:szCs w:val="24"/>
          <w:lang w:val="id-ID"/>
        </w:rPr>
        <w:t>adanya</w:t>
      </w:r>
      <w:r w:rsidR="00A954D0">
        <w:rPr>
          <w:rFonts w:ascii="Bookman Old Style" w:hAnsi="Bookman Old Style" w:cs="Tahoma"/>
          <w:w w:val="101"/>
          <w:sz w:val="24"/>
          <w:szCs w:val="24"/>
          <w:lang w:val="id-ID"/>
        </w:rPr>
        <w:t xml:space="preserve"> </w:t>
      </w:r>
      <w:r w:rsidR="003C1F03" w:rsidRPr="00B26FE8">
        <w:rPr>
          <w:rFonts w:ascii="Bookman Old Style" w:hAnsi="Bookman Old Style" w:cs="Tahoma"/>
          <w:w w:val="101"/>
          <w:sz w:val="24"/>
          <w:szCs w:val="24"/>
          <w:lang w:val="id-ID"/>
        </w:rPr>
        <w:t>pengeluaran</w:t>
      </w:r>
      <w:r w:rsidR="00A954D0">
        <w:rPr>
          <w:rFonts w:ascii="Bookman Old Style" w:hAnsi="Bookman Old Style" w:cs="Tahoma"/>
          <w:w w:val="101"/>
          <w:sz w:val="24"/>
          <w:szCs w:val="24"/>
          <w:lang w:val="id-ID"/>
        </w:rPr>
        <w:t xml:space="preserve"> </w:t>
      </w:r>
      <w:r w:rsidR="003C1F03" w:rsidRPr="00B26FE8">
        <w:rPr>
          <w:rFonts w:ascii="Bookman Old Style" w:hAnsi="Bookman Old Style" w:cs="Tahoma"/>
          <w:w w:val="101"/>
          <w:sz w:val="24"/>
          <w:szCs w:val="24"/>
          <w:lang w:val="id-ID"/>
        </w:rPr>
        <w:t>yang</w:t>
      </w:r>
      <w:r w:rsidR="00A954D0">
        <w:rPr>
          <w:rFonts w:ascii="Bookman Old Style" w:hAnsi="Bookman Old Style" w:cs="Tahoma"/>
          <w:w w:val="101"/>
          <w:sz w:val="24"/>
          <w:szCs w:val="24"/>
          <w:lang w:val="id-ID"/>
        </w:rPr>
        <w:t xml:space="preserve"> </w:t>
      </w:r>
      <w:r w:rsidR="003C1F03" w:rsidRPr="00B26FE8">
        <w:rPr>
          <w:rFonts w:ascii="Bookman Old Style" w:hAnsi="Bookman Old Style" w:cs="Tahoma"/>
          <w:w w:val="101"/>
          <w:sz w:val="24"/>
          <w:szCs w:val="24"/>
          <w:lang w:val="id-ID"/>
        </w:rPr>
        <w:t>tidak</w:t>
      </w:r>
      <w:r w:rsidR="00A954D0">
        <w:rPr>
          <w:rFonts w:ascii="Bookman Old Style" w:hAnsi="Bookman Old Style" w:cs="Tahoma"/>
          <w:w w:val="101"/>
          <w:sz w:val="24"/>
          <w:szCs w:val="24"/>
          <w:lang w:val="id-ID"/>
        </w:rPr>
        <w:t xml:space="preserve"> </w:t>
      </w:r>
      <w:r w:rsidR="003C1F03" w:rsidRPr="00B26FE8">
        <w:rPr>
          <w:rFonts w:ascii="Bookman Old Style" w:hAnsi="Bookman Old Style" w:cs="Arial"/>
          <w:sz w:val="24"/>
          <w:szCs w:val="24"/>
          <w:lang w:val="de-DE"/>
        </w:rPr>
        <w:t>didanai</w:t>
      </w:r>
      <w:r w:rsidR="00A954D0">
        <w:rPr>
          <w:rFonts w:ascii="Bookman Old Style" w:hAnsi="Bookman Old Style" w:cs="Arial"/>
          <w:sz w:val="24"/>
          <w:szCs w:val="24"/>
          <w:lang w:val="de-DE"/>
        </w:rPr>
        <w:t xml:space="preserve"> </w:t>
      </w:r>
      <w:r w:rsidR="003C1F03" w:rsidRPr="00B26FE8">
        <w:rPr>
          <w:rFonts w:ascii="Bookman Old Style" w:hAnsi="Bookman Old Style" w:cs="Arial"/>
          <w:sz w:val="24"/>
          <w:szCs w:val="24"/>
          <w:lang w:val="de-DE"/>
        </w:rPr>
        <w:t>akibat</w:t>
      </w:r>
      <w:r w:rsidR="00A954D0">
        <w:rPr>
          <w:rFonts w:ascii="Bookman Old Style" w:hAnsi="Bookman Old Style" w:cs="Arial"/>
          <w:sz w:val="24"/>
          <w:szCs w:val="24"/>
          <w:lang w:val="de-DE"/>
        </w:rPr>
        <w:t xml:space="preserve"> </w:t>
      </w:r>
      <w:r w:rsidR="003C1F03" w:rsidRPr="00B26FE8">
        <w:rPr>
          <w:rFonts w:ascii="Bookman Old Style" w:hAnsi="Bookman Old Style" w:cs="Arial"/>
          <w:sz w:val="24"/>
          <w:szCs w:val="24"/>
          <w:lang w:val="de-DE"/>
        </w:rPr>
        <w:t>tidak</w:t>
      </w:r>
      <w:r w:rsidR="00A954D0">
        <w:rPr>
          <w:rFonts w:ascii="Bookman Old Style" w:hAnsi="Bookman Old Style" w:cs="Arial"/>
          <w:sz w:val="24"/>
          <w:szCs w:val="24"/>
          <w:lang w:val="de-DE"/>
        </w:rPr>
        <w:t xml:space="preserve"> </w:t>
      </w:r>
      <w:r w:rsidR="003C1F03" w:rsidRPr="00B26FE8">
        <w:rPr>
          <w:rFonts w:ascii="Bookman Old Style" w:hAnsi="Bookman Old Style" w:cs="Arial"/>
          <w:sz w:val="24"/>
          <w:szCs w:val="24"/>
          <w:lang w:val="de-DE"/>
        </w:rPr>
        <w:t>tercapainya</w:t>
      </w:r>
      <w:r w:rsidR="00A954D0">
        <w:rPr>
          <w:rFonts w:ascii="Bookman Old Style" w:hAnsi="Bookman Old Style" w:cs="Arial"/>
          <w:sz w:val="24"/>
          <w:szCs w:val="24"/>
          <w:lang w:val="de-DE"/>
        </w:rPr>
        <w:t xml:space="preserve"> </w:t>
      </w:r>
      <w:r w:rsidR="003C1F03" w:rsidRPr="00B26FE8">
        <w:rPr>
          <w:rFonts w:ascii="Bookman Old Style" w:hAnsi="Bookman Old Style" w:cs="Arial"/>
          <w:sz w:val="24"/>
          <w:szCs w:val="24"/>
          <w:lang w:val="de-DE"/>
        </w:rPr>
        <w:t>SiLPA</w:t>
      </w:r>
      <w:r w:rsidR="00A954D0">
        <w:rPr>
          <w:rFonts w:ascii="Bookman Old Style" w:hAnsi="Bookman Old Style" w:cs="Arial"/>
          <w:sz w:val="24"/>
          <w:szCs w:val="24"/>
          <w:lang w:val="de-DE"/>
        </w:rPr>
        <w:t xml:space="preserve"> </w:t>
      </w:r>
      <w:r w:rsidR="003C1F03" w:rsidRPr="00B26FE8">
        <w:rPr>
          <w:rFonts w:ascii="Bookman Old Style" w:hAnsi="Bookman Old Style" w:cs="Arial"/>
          <w:sz w:val="24"/>
          <w:szCs w:val="24"/>
          <w:lang w:val="de-DE"/>
        </w:rPr>
        <w:t>yang</w:t>
      </w:r>
      <w:r w:rsidR="00A954D0">
        <w:rPr>
          <w:rFonts w:ascii="Bookman Old Style" w:hAnsi="Bookman Old Style" w:cs="Arial"/>
          <w:sz w:val="24"/>
          <w:szCs w:val="24"/>
          <w:lang w:val="de-DE"/>
        </w:rPr>
        <w:t xml:space="preserve"> </w:t>
      </w:r>
      <w:r w:rsidR="003C1F03" w:rsidRPr="00B26FE8">
        <w:rPr>
          <w:rFonts w:ascii="Bookman Old Style" w:hAnsi="Bookman Old Style" w:cs="Arial"/>
          <w:sz w:val="24"/>
          <w:szCs w:val="24"/>
          <w:lang w:val="de-DE"/>
        </w:rPr>
        <w:t>direncanakan</w:t>
      </w:r>
      <w:r w:rsidR="00A954D0">
        <w:rPr>
          <w:rFonts w:ascii="Bookman Old Style" w:hAnsi="Bookman Old Style"/>
          <w:sz w:val="24"/>
          <w:szCs w:val="24"/>
        </w:rPr>
        <w:t xml:space="preserve"> </w:t>
      </w:r>
      <w:r w:rsidR="003C1F03" w:rsidRPr="00B26FE8">
        <w:rPr>
          <w:rFonts w:ascii="Bookman Old Style" w:hAnsi="Bookman Old Style"/>
          <w:sz w:val="24"/>
          <w:szCs w:val="24"/>
        </w:rPr>
        <w:t>sesuai</w:t>
      </w:r>
      <w:r w:rsidR="00A954D0">
        <w:rPr>
          <w:rFonts w:ascii="Bookman Old Style" w:hAnsi="Bookman Old Style"/>
          <w:sz w:val="24"/>
          <w:szCs w:val="24"/>
        </w:rPr>
        <w:t xml:space="preserve"> </w:t>
      </w:r>
      <w:r w:rsidR="003C1F03" w:rsidRPr="00B26FE8">
        <w:rPr>
          <w:rFonts w:ascii="Bookman Old Style" w:hAnsi="Bookman Old Style"/>
          <w:sz w:val="24"/>
          <w:szCs w:val="24"/>
        </w:rPr>
        <w:t>dengan</w:t>
      </w:r>
      <w:r w:rsidR="00A954D0">
        <w:rPr>
          <w:rFonts w:ascii="Bookman Old Style" w:hAnsi="Bookman Old Style"/>
          <w:sz w:val="24"/>
          <w:szCs w:val="24"/>
        </w:rPr>
        <w:t xml:space="preserve"> </w:t>
      </w:r>
      <w:r w:rsidR="003C1F03" w:rsidRPr="00B26FE8">
        <w:rPr>
          <w:rFonts w:ascii="Bookman Old Style" w:hAnsi="Bookman Old Style"/>
          <w:sz w:val="24"/>
          <w:szCs w:val="24"/>
        </w:rPr>
        <w:t>ketentuan</w:t>
      </w:r>
      <w:r w:rsidR="00A954D0">
        <w:rPr>
          <w:rFonts w:ascii="Bookman Old Style" w:hAnsi="Bookman Old Style"/>
          <w:sz w:val="24"/>
          <w:szCs w:val="24"/>
        </w:rPr>
        <w:t xml:space="preserve"> </w:t>
      </w:r>
      <w:r w:rsidR="003C1F03" w:rsidRPr="00B26FE8">
        <w:rPr>
          <w:rFonts w:ascii="Bookman Old Style" w:hAnsi="Bookman Old Style"/>
          <w:sz w:val="24"/>
          <w:szCs w:val="24"/>
        </w:rPr>
        <w:t>peraturan</w:t>
      </w:r>
      <w:r w:rsidR="00A954D0">
        <w:rPr>
          <w:rFonts w:ascii="Bookman Old Style" w:hAnsi="Bookman Old Style"/>
          <w:sz w:val="24"/>
          <w:szCs w:val="24"/>
        </w:rPr>
        <w:t xml:space="preserve"> </w:t>
      </w:r>
      <w:r w:rsidR="003C1F03" w:rsidRPr="00B26FE8">
        <w:rPr>
          <w:rFonts w:ascii="Bookman Old Style" w:hAnsi="Bookman Old Style"/>
          <w:sz w:val="24"/>
          <w:szCs w:val="24"/>
        </w:rPr>
        <w:t>perundang-undangan</w:t>
      </w:r>
      <w:r w:rsidR="003C1F03" w:rsidRPr="00B26FE8">
        <w:rPr>
          <w:rFonts w:ascii="Bookman Old Style" w:hAnsi="Bookman Old Style" w:cs="Arial"/>
          <w:sz w:val="24"/>
          <w:szCs w:val="24"/>
          <w:lang w:val="de-DE"/>
        </w:rPr>
        <w:t>.</w:t>
      </w:r>
    </w:p>
    <w:p w14:paraId="745763F7" w14:textId="34F596A5" w:rsidR="003C1F03" w:rsidRPr="00CC0033" w:rsidRDefault="003C1F03" w:rsidP="00A26792">
      <w:pPr>
        <w:pStyle w:val="ListParagraph"/>
        <w:numPr>
          <w:ilvl w:val="0"/>
          <w:numId w:val="9"/>
        </w:numPr>
        <w:spacing w:before="60" w:after="0" w:line="276" w:lineRule="auto"/>
        <w:ind w:left="1276" w:hanging="282"/>
        <w:contextualSpacing w:val="0"/>
        <w:jc w:val="both"/>
        <w:rPr>
          <w:rFonts w:ascii="Bookman Old Style" w:hAnsi="Bookman Old Style" w:cs="Arial"/>
          <w:sz w:val="24"/>
          <w:szCs w:val="24"/>
        </w:rPr>
      </w:pPr>
      <w:r w:rsidRPr="00CC0033">
        <w:rPr>
          <w:rFonts w:ascii="Bookman Old Style" w:hAnsi="Bookman Old Style"/>
          <w:sz w:val="24"/>
          <w:szCs w:val="24"/>
        </w:rPr>
        <w:t>Pengeluaran</w:t>
      </w:r>
      <w:r w:rsidR="00A954D0">
        <w:rPr>
          <w:rFonts w:ascii="Bookman Old Style" w:hAnsi="Bookman Old Style"/>
          <w:sz w:val="24"/>
          <w:szCs w:val="24"/>
          <w:lang w:val="id-ID"/>
        </w:rPr>
        <w:t xml:space="preserve"> </w:t>
      </w:r>
      <w:r w:rsidRPr="00CC0033">
        <w:rPr>
          <w:rFonts w:ascii="Bookman Old Style" w:hAnsi="Bookman Old Style"/>
          <w:sz w:val="24"/>
          <w:szCs w:val="24"/>
          <w:lang w:val="id-ID"/>
        </w:rPr>
        <w:t>Pembiayaan</w:t>
      </w:r>
    </w:p>
    <w:p w14:paraId="2079718C" w14:textId="7A1DACD7" w:rsidR="009E0668" w:rsidRDefault="003C1F03" w:rsidP="00A26792">
      <w:pPr>
        <w:pStyle w:val="ListParagraph"/>
        <w:spacing w:before="60" w:after="0" w:line="276" w:lineRule="auto"/>
        <w:ind w:left="1276"/>
        <w:contextualSpacing w:val="0"/>
        <w:jc w:val="both"/>
        <w:rPr>
          <w:rFonts w:ascii="Bookman Old Style" w:hAnsi="Bookman Old Style"/>
          <w:bCs/>
          <w:sz w:val="24"/>
          <w:szCs w:val="24"/>
          <w:lang w:val="id-ID" w:eastAsia="id-ID"/>
        </w:rPr>
      </w:pPr>
      <w:r w:rsidRPr="00CC0033">
        <w:rPr>
          <w:rFonts w:ascii="Bookman Old Style" w:hAnsi="Bookman Old Style"/>
          <w:sz w:val="24"/>
          <w:szCs w:val="24"/>
        </w:rPr>
        <w:t>Dalam</w:t>
      </w:r>
      <w:r w:rsidR="00A954D0">
        <w:rPr>
          <w:rFonts w:ascii="Bookman Old Style" w:hAnsi="Bookman Old Style"/>
          <w:sz w:val="24"/>
          <w:szCs w:val="24"/>
        </w:rPr>
        <w:t xml:space="preserve"> </w:t>
      </w:r>
      <w:r w:rsidRPr="00CC0033">
        <w:rPr>
          <w:rFonts w:ascii="Bookman Old Style" w:hAnsi="Bookman Old Style" w:cs="Arial"/>
          <w:sz w:val="24"/>
          <w:szCs w:val="24"/>
        </w:rPr>
        <w:t>Rancangan</w:t>
      </w:r>
      <w:r w:rsidR="00A954D0">
        <w:rPr>
          <w:rFonts w:ascii="Bookman Old Style" w:hAnsi="Bookman Old Style" w:cs="Arial"/>
          <w:sz w:val="24"/>
          <w:szCs w:val="24"/>
        </w:rPr>
        <w:t xml:space="preserve"> </w:t>
      </w:r>
      <w:r w:rsidRPr="00CC0033">
        <w:rPr>
          <w:rFonts w:ascii="Bookman Old Style" w:hAnsi="Bookman Old Style" w:cs="Arial"/>
          <w:sz w:val="24"/>
          <w:szCs w:val="24"/>
        </w:rPr>
        <w:t>Peraturan</w:t>
      </w:r>
      <w:r w:rsidR="00A954D0">
        <w:rPr>
          <w:rFonts w:ascii="Bookman Old Style" w:hAnsi="Bookman Old Style" w:cs="Arial"/>
          <w:sz w:val="24"/>
          <w:szCs w:val="24"/>
        </w:rPr>
        <w:t xml:space="preserve"> </w:t>
      </w:r>
      <w:r w:rsidRPr="00CC0033">
        <w:rPr>
          <w:rFonts w:ascii="Bookman Old Style" w:hAnsi="Bookman Old Style" w:cs="Arial"/>
          <w:sz w:val="24"/>
          <w:szCs w:val="24"/>
        </w:rPr>
        <w:t>Daerah</w:t>
      </w:r>
      <w:r w:rsidR="00A954D0">
        <w:rPr>
          <w:rFonts w:ascii="Bookman Old Style" w:hAnsi="Bookman Old Style" w:cs="Arial"/>
          <w:sz w:val="24"/>
          <w:szCs w:val="24"/>
        </w:rPr>
        <w:t xml:space="preserve"> </w:t>
      </w:r>
      <w:r w:rsidR="00B055C5" w:rsidRPr="00CC0033">
        <w:rPr>
          <w:rFonts w:ascii="Bookman Old Style" w:hAnsi="Bookman Old Style" w:cs="Arial"/>
          <w:sz w:val="24"/>
          <w:szCs w:val="24"/>
        </w:rPr>
        <w:t>Kota</w:t>
      </w:r>
      <w:r w:rsidR="00A954D0">
        <w:rPr>
          <w:rFonts w:ascii="Bookman Old Style" w:hAnsi="Bookman Old Style" w:cs="Arial"/>
          <w:sz w:val="24"/>
          <w:szCs w:val="24"/>
        </w:rPr>
        <w:t xml:space="preserve"> </w:t>
      </w:r>
      <w:r w:rsidR="00770F22" w:rsidRPr="00CC0033">
        <w:rPr>
          <w:rFonts w:ascii="Bookman Old Style" w:hAnsi="Bookman Old Style" w:cs="Arial"/>
          <w:sz w:val="24"/>
          <w:szCs w:val="24"/>
        </w:rPr>
        <w:t>Tangerang</w:t>
      </w:r>
      <w:r w:rsidR="00A954D0">
        <w:rPr>
          <w:rFonts w:ascii="Bookman Old Style" w:hAnsi="Bookman Old Style" w:cs="Arial"/>
          <w:sz w:val="24"/>
          <w:szCs w:val="24"/>
        </w:rPr>
        <w:t xml:space="preserve"> </w:t>
      </w:r>
      <w:r w:rsidR="00BE6ED9" w:rsidRPr="00CC0033">
        <w:rPr>
          <w:rFonts w:ascii="Bookman Old Style" w:hAnsi="Bookman Old Style" w:cs="Arial"/>
          <w:sz w:val="24"/>
          <w:szCs w:val="24"/>
        </w:rPr>
        <w:t>tentang</w:t>
      </w:r>
      <w:r w:rsidR="00A954D0">
        <w:rPr>
          <w:rFonts w:ascii="Bookman Old Style" w:hAnsi="Bookman Old Style" w:cs="Arial"/>
          <w:sz w:val="24"/>
          <w:szCs w:val="24"/>
        </w:rPr>
        <w:t xml:space="preserve"> </w:t>
      </w:r>
      <w:r w:rsidR="00BE6ED9" w:rsidRPr="00CC0033">
        <w:rPr>
          <w:rFonts w:ascii="Bookman Old Style" w:hAnsi="Bookman Old Style" w:cs="Arial"/>
          <w:sz w:val="24"/>
          <w:szCs w:val="24"/>
        </w:rPr>
        <w:t>APBD</w:t>
      </w:r>
      <w:r w:rsidR="00A954D0">
        <w:rPr>
          <w:rFonts w:ascii="Bookman Old Style" w:hAnsi="Bookman Old Style" w:cs="Arial"/>
          <w:sz w:val="24"/>
          <w:szCs w:val="24"/>
        </w:rPr>
        <w:t xml:space="preserve"> </w:t>
      </w:r>
      <w:r w:rsidRPr="00CC0033">
        <w:rPr>
          <w:rFonts w:ascii="Bookman Old Style" w:hAnsi="Bookman Old Style" w:cs="Arial"/>
          <w:sz w:val="24"/>
          <w:szCs w:val="24"/>
        </w:rPr>
        <w:t>Tahun</w:t>
      </w:r>
      <w:r w:rsidR="00A954D0">
        <w:rPr>
          <w:rFonts w:ascii="Bookman Old Style" w:hAnsi="Bookman Old Style" w:cs="Arial"/>
          <w:sz w:val="24"/>
          <w:szCs w:val="24"/>
        </w:rPr>
        <w:t xml:space="preserve"> </w:t>
      </w:r>
      <w:r w:rsidRPr="00CC0033">
        <w:rPr>
          <w:rFonts w:ascii="Bookman Old Style" w:hAnsi="Bookman Old Style" w:cs="Arial"/>
          <w:sz w:val="24"/>
          <w:szCs w:val="24"/>
        </w:rPr>
        <w:t>Anggaran</w:t>
      </w:r>
      <w:r w:rsidR="00A954D0">
        <w:rPr>
          <w:rFonts w:ascii="Bookman Old Style" w:hAnsi="Bookman Old Style" w:cs="Arial"/>
          <w:sz w:val="24"/>
          <w:szCs w:val="24"/>
        </w:rPr>
        <w:t xml:space="preserve"> </w:t>
      </w:r>
      <w:r w:rsidRPr="00CC0033">
        <w:rPr>
          <w:rFonts w:ascii="Bookman Old Style" w:hAnsi="Bookman Old Style" w:cs="Arial"/>
          <w:sz w:val="24"/>
          <w:szCs w:val="24"/>
        </w:rPr>
        <w:t>2025</w:t>
      </w:r>
      <w:r w:rsidR="00A954D0">
        <w:rPr>
          <w:rFonts w:ascii="Bookman Old Style" w:hAnsi="Bookman Old Style"/>
          <w:bCs/>
          <w:sz w:val="24"/>
          <w:szCs w:val="24"/>
          <w:lang w:val="id-ID" w:eastAsia="id-ID"/>
        </w:rPr>
        <w:t xml:space="preserve"> </w:t>
      </w:r>
      <w:r w:rsidR="00B26FE8" w:rsidRPr="00CC0033">
        <w:rPr>
          <w:rFonts w:ascii="Bookman Old Style" w:hAnsi="Bookman Old Style"/>
          <w:b/>
          <w:sz w:val="24"/>
          <w:szCs w:val="24"/>
          <w:lang w:val="id-ID" w:eastAsia="id-ID"/>
        </w:rPr>
        <w:t>tidak</w:t>
      </w:r>
      <w:r w:rsidR="00A954D0">
        <w:rPr>
          <w:rFonts w:ascii="Bookman Old Style" w:hAnsi="Bookman Old Style"/>
          <w:b/>
          <w:sz w:val="24"/>
          <w:szCs w:val="24"/>
          <w:lang w:val="id-ID" w:eastAsia="id-ID"/>
        </w:rPr>
        <w:t xml:space="preserve"> </w:t>
      </w:r>
      <w:r w:rsidR="00B26FE8" w:rsidRPr="00CC0033">
        <w:rPr>
          <w:rFonts w:ascii="Bookman Old Style" w:hAnsi="Bookman Old Style"/>
          <w:b/>
          <w:sz w:val="24"/>
          <w:szCs w:val="24"/>
          <w:lang w:val="id-ID" w:eastAsia="id-ID"/>
        </w:rPr>
        <w:t>me</w:t>
      </w:r>
      <w:r w:rsidRPr="00CC0033">
        <w:rPr>
          <w:rFonts w:ascii="Bookman Old Style" w:hAnsi="Bookman Old Style"/>
          <w:b/>
          <w:sz w:val="24"/>
          <w:szCs w:val="24"/>
          <w:lang w:val="id-ID" w:eastAsia="id-ID"/>
        </w:rPr>
        <w:t>ng</w:t>
      </w:r>
      <w:r w:rsidR="00B26FE8" w:rsidRPr="00CC0033">
        <w:rPr>
          <w:rFonts w:ascii="Bookman Old Style" w:hAnsi="Bookman Old Style"/>
          <w:b/>
          <w:sz w:val="24"/>
          <w:szCs w:val="24"/>
          <w:lang w:val="id-ID" w:eastAsia="id-ID"/>
        </w:rPr>
        <w:t>ang</w:t>
      </w:r>
      <w:r w:rsidRPr="00CC0033">
        <w:rPr>
          <w:rFonts w:ascii="Bookman Old Style" w:hAnsi="Bookman Old Style"/>
          <w:b/>
          <w:sz w:val="24"/>
          <w:szCs w:val="24"/>
          <w:lang w:val="id-ID" w:eastAsia="id-ID"/>
        </w:rPr>
        <w:t>garkan</w:t>
      </w:r>
      <w:r w:rsidR="00A954D0">
        <w:rPr>
          <w:rFonts w:ascii="Bookman Old Style" w:hAnsi="Bookman Old Style"/>
          <w:bCs/>
          <w:sz w:val="24"/>
          <w:szCs w:val="24"/>
          <w:lang w:val="id-ID" w:eastAsia="id-ID"/>
        </w:rPr>
        <w:t xml:space="preserve"> </w:t>
      </w:r>
      <w:r w:rsidRPr="00CC0033">
        <w:rPr>
          <w:rFonts w:ascii="Bookman Old Style" w:hAnsi="Bookman Old Style"/>
          <w:bCs/>
          <w:sz w:val="24"/>
          <w:szCs w:val="24"/>
          <w:lang w:val="id-ID" w:eastAsia="id-ID"/>
        </w:rPr>
        <w:t>Pengeluaran</w:t>
      </w:r>
      <w:r w:rsidR="00A954D0">
        <w:rPr>
          <w:rFonts w:ascii="Bookman Old Style" w:hAnsi="Bookman Old Style"/>
          <w:bCs/>
          <w:sz w:val="24"/>
          <w:szCs w:val="24"/>
          <w:lang w:val="id-ID" w:eastAsia="id-ID"/>
        </w:rPr>
        <w:t xml:space="preserve"> </w:t>
      </w:r>
      <w:r w:rsidRPr="00CC0033">
        <w:rPr>
          <w:rFonts w:ascii="Bookman Old Style" w:hAnsi="Bookman Old Style" w:cs="Arial"/>
          <w:sz w:val="24"/>
          <w:szCs w:val="24"/>
          <w:lang w:val="de-DE"/>
        </w:rPr>
        <w:t>Pembiayaan</w:t>
      </w:r>
      <w:r w:rsidR="00F12F54" w:rsidRPr="00CC0033">
        <w:rPr>
          <w:rFonts w:ascii="Bookman Old Style" w:hAnsi="Bookman Old Style"/>
          <w:bCs/>
          <w:sz w:val="24"/>
          <w:szCs w:val="24"/>
          <w:lang w:val="id-ID" w:eastAsia="id-ID"/>
        </w:rPr>
        <w:t>.</w:t>
      </w:r>
    </w:p>
    <w:p w14:paraId="404F9C32" w14:textId="77777777" w:rsidR="00473F38" w:rsidRPr="00CC0033" w:rsidRDefault="00473F38" w:rsidP="00F12F54">
      <w:pPr>
        <w:pStyle w:val="ListParagraph"/>
        <w:spacing w:before="60" w:after="0" w:line="276" w:lineRule="auto"/>
        <w:ind w:left="1418"/>
        <w:contextualSpacing w:val="0"/>
        <w:jc w:val="both"/>
        <w:rPr>
          <w:rFonts w:ascii="Bookman Old Style" w:hAnsi="Bookman Old Style"/>
          <w:sz w:val="24"/>
          <w:szCs w:val="24"/>
          <w:lang w:val="sv-FI"/>
        </w:rPr>
      </w:pPr>
    </w:p>
    <w:p w14:paraId="1875F635" w14:textId="4B7EDA58" w:rsidR="00D4141D" w:rsidRPr="00F12F54" w:rsidRDefault="00D4141D" w:rsidP="00DD7816">
      <w:pPr>
        <w:numPr>
          <w:ilvl w:val="0"/>
          <w:numId w:val="1"/>
        </w:numPr>
        <w:spacing w:before="60" w:line="276" w:lineRule="auto"/>
        <w:ind w:left="567" w:hanging="567"/>
        <w:jc w:val="both"/>
        <w:rPr>
          <w:rFonts w:ascii="Bookman Old Style" w:hAnsi="Bookman Old Style" w:cs="Arial"/>
        </w:rPr>
      </w:pPr>
      <w:r w:rsidRPr="00F12F54">
        <w:rPr>
          <w:rFonts w:ascii="Bookman Old Style" w:hAnsi="Bookman Old Style" w:cs="Arial"/>
          <w:color w:val="000000" w:themeColor="text1"/>
        </w:rPr>
        <w:t>LAIN</w:t>
      </w:r>
      <w:r w:rsidRPr="00F12F54">
        <w:rPr>
          <w:rFonts w:ascii="Bookman Old Style" w:hAnsi="Bookman Old Style" w:cs="Arial"/>
          <w:lang w:val="en-US"/>
        </w:rPr>
        <w:t>-</w:t>
      </w:r>
      <w:r w:rsidRPr="00F12F54">
        <w:rPr>
          <w:rFonts w:ascii="Bookman Old Style" w:hAnsi="Bookman Old Style" w:cs="Arial"/>
          <w:color w:val="000000" w:themeColor="text1"/>
        </w:rPr>
        <w:t>LAIN</w:t>
      </w:r>
    </w:p>
    <w:p w14:paraId="67E66D33" w14:textId="4D29B783" w:rsidR="00D4141D" w:rsidRPr="00F12F54" w:rsidRDefault="00701783" w:rsidP="00DD7816">
      <w:pPr>
        <w:numPr>
          <w:ilvl w:val="0"/>
          <w:numId w:val="8"/>
        </w:numPr>
        <w:spacing w:before="60" w:line="276" w:lineRule="auto"/>
        <w:ind w:left="993" w:hanging="412"/>
        <w:jc w:val="both"/>
        <w:rPr>
          <w:rFonts w:ascii="Bookman Old Style" w:hAnsi="Bookman Old Style" w:cs="Arial"/>
        </w:rPr>
      </w:pPr>
      <w:r w:rsidRPr="00F12F54">
        <w:rPr>
          <w:rFonts w:ascii="Bookman Old Style" w:hAnsi="Bookman Old Style" w:cs="Arial"/>
        </w:rPr>
        <w:t>ASPEK</w:t>
      </w:r>
      <w:r w:rsidR="00A954D0">
        <w:rPr>
          <w:rFonts w:ascii="Bookman Old Style" w:hAnsi="Bookman Old Style" w:cs="Arial"/>
        </w:rPr>
        <w:t xml:space="preserve"> </w:t>
      </w:r>
      <w:r w:rsidRPr="00F12F54">
        <w:rPr>
          <w:rFonts w:ascii="Bookman Old Style" w:hAnsi="Bookman Old Style" w:cs="Arial"/>
        </w:rPr>
        <w:t>LEGALITAS</w:t>
      </w:r>
    </w:p>
    <w:p w14:paraId="2D805A06" w14:textId="7ABDBDA0" w:rsidR="006E2F8F" w:rsidRPr="003255BC" w:rsidRDefault="006E2F8F" w:rsidP="00DD7816">
      <w:pPr>
        <w:spacing w:before="60" w:line="276" w:lineRule="auto"/>
        <w:ind w:left="993"/>
        <w:jc w:val="both"/>
        <w:rPr>
          <w:rFonts w:ascii="Bookman Old Style" w:hAnsi="Bookman Old Style" w:cs="Arial"/>
          <w:lang w:val="sv-FI"/>
        </w:rPr>
      </w:pPr>
      <w:r w:rsidRPr="003255BC">
        <w:rPr>
          <w:rFonts w:ascii="Bookman Old Style" w:hAnsi="Bookman Old Style" w:cs="Arial"/>
          <w:lang w:val="sv-FI"/>
        </w:rPr>
        <w:t>Evaluasi</w:t>
      </w:r>
      <w:r w:rsidR="00A954D0" w:rsidRPr="003255BC">
        <w:rPr>
          <w:rFonts w:ascii="Bookman Old Style" w:hAnsi="Bookman Old Style" w:cs="Arial"/>
          <w:lang w:val="sv-FI"/>
        </w:rPr>
        <w:t xml:space="preserve"> </w:t>
      </w:r>
      <w:r w:rsidRPr="003255BC">
        <w:rPr>
          <w:rFonts w:ascii="Bookman Old Style" w:hAnsi="Bookman Old Style" w:cs="Arial"/>
          <w:lang w:val="sv-FI"/>
        </w:rPr>
        <w:t>legalitas</w:t>
      </w:r>
      <w:r w:rsidR="00A954D0" w:rsidRPr="003255BC">
        <w:rPr>
          <w:rFonts w:ascii="Bookman Old Style" w:hAnsi="Bookman Old Style" w:cs="Arial"/>
          <w:lang w:val="sv-FI"/>
        </w:rPr>
        <w:t xml:space="preserve"> </w:t>
      </w:r>
      <w:r w:rsidRPr="003255BC">
        <w:rPr>
          <w:rFonts w:ascii="Bookman Old Style" w:hAnsi="Bookman Old Style" w:cs="Arial"/>
          <w:lang w:val="sv-FI"/>
        </w:rPr>
        <w:t>dilakukan</w:t>
      </w:r>
      <w:r w:rsidR="00A954D0" w:rsidRPr="003255BC">
        <w:rPr>
          <w:rFonts w:ascii="Bookman Old Style" w:hAnsi="Bookman Old Style" w:cs="Arial"/>
          <w:lang w:val="sv-FI"/>
        </w:rPr>
        <w:t xml:space="preserve"> </w:t>
      </w:r>
      <w:r w:rsidRPr="003255BC">
        <w:rPr>
          <w:rFonts w:ascii="Bookman Old Style" w:hAnsi="Bookman Old Style" w:cs="Arial"/>
          <w:lang w:val="sv-FI"/>
        </w:rPr>
        <w:t>untuk</w:t>
      </w:r>
      <w:r w:rsidR="00A954D0" w:rsidRPr="003255BC">
        <w:rPr>
          <w:rFonts w:ascii="Bookman Old Style" w:hAnsi="Bookman Old Style" w:cs="Arial"/>
          <w:lang w:val="sv-FI"/>
        </w:rPr>
        <w:t xml:space="preserve"> </w:t>
      </w:r>
      <w:r w:rsidRPr="003255BC">
        <w:rPr>
          <w:rFonts w:ascii="Bookman Old Style" w:hAnsi="Bookman Old Style" w:cs="Arial"/>
          <w:lang w:val="sv-FI"/>
        </w:rPr>
        <w:t>menilai</w:t>
      </w:r>
      <w:r w:rsidR="00A954D0" w:rsidRPr="003255BC">
        <w:rPr>
          <w:rFonts w:ascii="Bookman Old Style" w:hAnsi="Bookman Old Style" w:cs="Arial"/>
          <w:lang w:val="sv-FI"/>
        </w:rPr>
        <w:t xml:space="preserve"> </w:t>
      </w:r>
      <w:r w:rsidRPr="003255BC">
        <w:rPr>
          <w:rFonts w:ascii="Bookman Old Style" w:hAnsi="Bookman Old Style" w:cs="Arial"/>
          <w:lang w:val="sv-FI"/>
        </w:rPr>
        <w:t>kepatuhan</w:t>
      </w:r>
      <w:r w:rsidR="00A954D0" w:rsidRPr="003255BC">
        <w:rPr>
          <w:rFonts w:ascii="Bookman Old Style" w:hAnsi="Bookman Old Style" w:cs="Arial"/>
          <w:lang w:val="sv-FI"/>
        </w:rPr>
        <w:t xml:space="preserve"> </w:t>
      </w:r>
      <w:r w:rsidRPr="003255BC">
        <w:rPr>
          <w:rFonts w:ascii="Bookman Old Style" w:hAnsi="Bookman Old Style" w:cs="Arial"/>
          <w:lang w:val="sv-FI"/>
        </w:rPr>
        <w:t>landasan</w:t>
      </w:r>
      <w:r w:rsidR="00A954D0" w:rsidRPr="003255BC">
        <w:rPr>
          <w:rFonts w:ascii="Bookman Old Style" w:hAnsi="Bookman Old Style" w:cs="Arial"/>
          <w:lang w:val="sv-FI"/>
        </w:rPr>
        <w:t xml:space="preserve"> </w:t>
      </w:r>
      <w:r w:rsidRPr="003255BC">
        <w:rPr>
          <w:rFonts w:ascii="Bookman Old Style" w:hAnsi="Bookman Old Style" w:cs="Arial"/>
          <w:lang w:val="sv-FI"/>
        </w:rPr>
        <w:t>yuridis</w:t>
      </w:r>
      <w:r w:rsidR="00A954D0" w:rsidRPr="003255BC">
        <w:rPr>
          <w:rFonts w:ascii="Bookman Old Style" w:hAnsi="Bookman Old Style" w:cs="Arial"/>
          <w:lang w:val="sv-FI"/>
        </w:rPr>
        <w:t xml:space="preserve"> </w:t>
      </w:r>
      <w:r w:rsidRPr="003255BC">
        <w:rPr>
          <w:rFonts w:ascii="Bookman Old Style" w:hAnsi="Bookman Old Style" w:cs="Arial"/>
          <w:lang w:val="sv-FI"/>
        </w:rPr>
        <w:t>dan</w:t>
      </w:r>
      <w:r w:rsidR="00A954D0" w:rsidRPr="003255BC">
        <w:rPr>
          <w:rFonts w:ascii="Bookman Old Style" w:hAnsi="Bookman Old Style" w:cs="Arial"/>
          <w:lang w:val="sv-FI"/>
        </w:rPr>
        <w:t xml:space="preserve"> </w:t>
      </w:r>
      <w:r w:rsidRPr="003255BC">
        <w:rPr>
          <w:rFonts w:ascii="Bookman Old Style" w:hAnsi="Bookman Old Style" w:cs="Arial"/>
          <w:lang w:val="sv-FI"/>
        </w:rPr>
        <w:t>penyajian</w:t>
      </w:r>
      <w:r w:rsidR="00A954D0" w:rsidRPr="003255BC">
        <w:rPr>
          <w:rFonts w:ascii="Bookman Old Style" w:hAnsi="Bookman Old Style" w:cs="Arial"/>
          <w:lang w:val="sv-FI"/>
        </w:rPr>
        <w:t xml:space="preserve"> </w:t>
      </w:r>
      <w:r w:rsidRPr="003255BC">
        <w:rPr>
          <w:rFonts w:ascii="Bookman Old Style" w:hAnsi="Bookman Old Style" w:cs="Arial"/>
          <w:lang w:val="sv-FI"/>
        </w:rPr>
        <w:t>informasi</w:t>
      </w:r>
      <w:r w:rsidR="00A954D0" w:rsidRPr="003255BC">
        <w:rPr>
          <w:rFonts w:ascii="Bookman Old Style" w:hAnsi="Bookman Old Style" w:cs="Arial"/>
          <w:lang w:val="sv-FI"/>
        </w:rPr>
        <w:t xml:space="preserve"> </w:t>
      </w:r>
      <w:r w:rsidRPr="003255BC">
        <w:rPr>
          <w:rFonts w:ascii="Bookman Old Style" w:hAnsi="Bookman Old Style" w:cs="Arial"/>
          <w:lang w:val="sv-FI"/>
        </w:rPr>
        <w:t>dalam</w:t>
      </w:r>
      <w:r w:rsidR="00A954D0" w:rsidRPr="003255BC">
        <w:rPr>
          <w:rFonts w:ascii="Bookman Old Style" w:hAnsi="Bookman Old Style" w:cs="Arial"/>
          <w:lang w:val="sv-FI"/>
        </w:rPr>
        <w:t xml:space="preserve"> </w:t>
      </w:r>
      <w:r w:rsidRPr="003255BC">
        <w:rPr>
          <w:rFonts w:ascii="Bookman Old Style" w:hAnsi="Bookman Old Style" w:cs="Arial"/>
          <w:lang w:val="sv-FI"/>
        </w:rPr>
        <w:t>menyusun</w:t>
      </w:r>
      <w:r w:rsidR="00A954D0" w:rsidRPr="003255BC">
        <w:rPr>
          <w:rFonts w:ascii="Bookman Old Style" w:hAnsi="Bookman Old Style" w:cs="Arial"/>
          <w:lang w:val="sv-FI"/>
        </w:rPr>
        <w:t xml:space="preserve"> </w:t>
      </w:r>
      <w:r w:rsidRPr="003255BC">
        <w:rPr>
          <w:rFonts w:ascii="Bookman Old Style" w:hAnsi="Bookman Old Style" w:cs="Arial"/>
          <w:lang w:val="sv-FI"/>
        </w:rPr>
        <w:t>Rancangan</w:t>
      </w:r>
      <w:r w:rsidR="00A954D0" w:rsidRPr="003255BC">
        <w:rPr>
          <w:rFonts w:ascii="Bookman Old Style" w:hAnsi="Bookman Old Style" w:cs="Arial"/>
          <w:lang w:val="sv-FI"/>
        </w:rPr>
        <w:t xml:space="preserve"> </w:t>
      </w:r>
      <w:r w:rsidRPr="003255BC">
        <w:rPr>
          <w:rFonts w:ascii="Bookman Old Style" w:hAnsi="Bookman Old Style" w:cs="Arial"/>
          <w:lang w:val="sv-FI"/>
        </w:rPr>
        <w:t>Peraturan</w:t>
      </w:r>
      <w:r w:rsidR="00A954D0" w:rsidRPr="003255BC">
        <w:rPr>
          <w:rFonts w:ascii="Bookman Old Style" w:hAnsi="Bookman Old Style" w:cs="Arial"/>
          <w:lang w:val="sv-FI"/>
        </w:rPr>
        <w:t xml:space="preserve"> </w:t>
      </w:r>
      <w:r w:rsidRPr="003255BC">
        <w:rPr>
          <w:rFonts w:ascii="Bookman Old Style" w:hAnsi="Bookman Old Style" w:cs="Arial"/>
          <w:lang w:val="sv-FI"/>
        </w:rPr>
        <w:t>Daerah</w:t>
      </w:r>
      <w:r w:rsidR="00A954D0" w:rsidRPr="003255BC">
        <w:rPr>
          <w:rFonts w:ascii="Bookman Old Style" w:hAnsi="Bookman Old Style" w:cs="Arial"/>
          <w:lang w:val="sv-FI"/>
        </w:rPr>
        <w:t xml:space="preserve"> </w:t>
      </w:r>
      <w:r w:rsidRPr="003255BC">
        <w:rPr>
          <w:rFonts w:ascii="Bookman Old Style" w:hAnsi="Bookman Old Style" w:cs="Arial"/>
          <w:lang w:val="sv-FI"/>
        </w:rPr>
        <w:t>tentang</w:t>
      </w:r>
      <w:r w:rsidR="00A954D0" w:rsidRPr="003255BC">
        <w:rPr>
          <w:rFonts w:ascii="Bookman Old Style" w:hAnsi="Bookman Old Style" w:cs="Arial"/>
          <w:lang w:val="sv-FI"/>
        </w:rPr>
        <w:t xml:space="preserve"> </w:t>
      </w:r>
      <w:r w:rsidRPr="003255BC">
        <w:rPr>
          <w:rFonts w:ascii="Bookman Old Style" w:hAnsi="Bookman Old Style" w:cs="Arial"/>
          <w:lang w:val="sv-FI"/>
        </w:rPr>
        <w:t>Anggaran</w:t>
      </w:r>
      <w:r w:rsidR="00A954D0" w:rsidRPr="003255BC">
        <w:rPr>
          <w:rFonts w:ascii="Bookman Old Style" w:hAnsi="Bookman Old Style" w:cs="Arial"/>
          <w:lang w:val="sv-FI"/>
        </w:rPr>
        <w:t xml:space="preserve"> </w:t>
      </w:r>
      <w:r w:rsidRPr="003255BC">
        <w:rPr>
          <w:rFonts w:ascii="Bookman Old Style" w:hAnsi="Bookman Old Style" w:cs="Arial"/>
          <w:lang w:val="sv-FI"/>
        </w:rPr>
        <w:t>Pendapatan</w:t>
      </w:r>
      <w:r w:rsidR="00A954D0" w:rsidRPr="003255BC">
        <w:rPr>
          <w:rFonts w:ascii="Bookman Old Style" w:hAnsi="Bookman Old Style" w:cs="Arial"/>
          <w:lang w:val="sv-FI"/>
        </w:rPr>
        <w:t xml:space="preserve"> </w:t>
      </w:r>
      <w:r w:rsidRPr="003255BC">
        <w:rPr>
          <w:rFonts w:ascii="Bookman Old Style" w:hAnsi="Bookman Old Style" w:cs="Arial"/>
          <w:lang w:val="sv-FI"/>
        </w:rPr>
        <w:t>dan</w:t>
      </w:r>
      <w:r w:rsidR="00A954D0" w:rsidRPr="003255BC">
        <w:rPr>
          <w:rFonts w:ascii="Bookman Old Style" w:hAnsi="Bookman Old Style" w:cs="Arial"/>
          <w:lang w:val="sv-FI"/>
        </w:rPr>
        <w:t xml:space="preserve"> </w:t>
      </w:r>
      <w:r w:rsidRPr="003255BC">
        <w:rPr>
          <w:rFonts w:ascii="Bookman Old Style" w:hAnsi="Bookman Old Style" w:cs="Arial"/>
          <w:lang w:val="sv-FI"/>
        </w:rPr>
        <w:t>Belanja</w:t>
      </w:r>
      <w:r w:rsidR="00A954D0" w:rsidRPr="003255BC">
        <w:rPr>
          <w:rFonts w:ascii="Bookman Old Style" w:hAnsi="Bookman Old Style" w:cs="Arial"/>
          <w:lang w:val="sv-FI"/>
        </w:rPr>
        <w:t xml:space="preserve"> </w:t>
      </w:r>
      <w:r w:rsidRPr="003255BC">
        <w:rPr>
          <w:rFonts w:ascii="Bookman Old Style" w:hAnsi="Bookman Old Style" w:cs="Arial"/>
          <w:lang w:val="sv-FI"/>
        </w:rPr>
        <w:t>Daerah</w:t>
      </w:r>
      <w:r w:rsidR="00A954D0" w:rsidRPr="003255BC">
        <w:rPr>
          <w:rFonts w:ascii="Bookman Old Style" w:hAnsi="Bookman Old Style" w:cs="Arial"/>
          <w:lang w:val="sv-FI"/>
        </w:rPr>
        <w:t xml:space="preserve"> </w:t>
      </w:r>
      <w:r w:rsidRPr="003255BC">
        <w:rPr>
          <w:rFonts w:ascii="Bookman Old Style" w:hAnsi="Bookman Old Style" w:cs="Arial"/>
          <w:lang w:val="sv-FI"/>
        </w:rPr>
        <w:t>dan</w:t>
      </w:r>
      <w:r w:rsidR="00A954D0" w:rsidRPr="003255BC">
        <w:rPr>
          <w:rFonts w:ascii="Bookman Old Style" w:hAnsi="Bookman Old Style" w:cs="Arial"/>
          <w:lang w:val="sv-FI"/>
        </w:rPr>
        <w:t xml:space="preserve"> </w:t>
      </w:r>
      <w:r w:rsidRPr="003255BC">
        <w:rPr>
          <w:rFonts w:ascii="Bookman Old Style" w:hAnsi="Bookman Old Style" w:cs="Arial"/>
          <w:lang w:val="sv-FI"/>
        </w:rPr>
        <w:t>Rancangan</w:t>
      </w:r>
      <w:r w:rsidR="00A954D0" w:rsidRPr="003255BC">
        <w:rPr>
          <w:rFonts w:ascii="Bookman Old Style" w:hAnsi="Bookman Old Style" w:cs="Arial"/>
          <w:lang w:val="sv-FI"/>
        </w:rPr>
        <w:t xml:space="preserve"> </w:t>
      </w:r>
      <w:r w:rsidRPr="003255BC">
        <w:rPr>
          <w:rFonts w:ascii="Bookman Old Style" w:hAnsi="Bookman Old Style" w:cs="Arial"/>
          <w:lang w:val="sv-FI"/>
        </w:rPr>
        <w:t>Peraturan</w:t>
      </w:r>
      <w:r w:rsidR="00A954D0" w:rsidRPr="003255BC">
        <w:rPr>
          <w:rFonts w:ascii="Bookman Old Style" w:hAnsi="Bookman Old Style" w:cs="Arial"/>
          <w:lang w:val="sv-FI"/>
        </w:rPr>
        <w:t xml:space="preserve"> </w:t>
      </w:r>
      <w:r w:rsidRPr="003255BC">
        <w:rPr>
          <w:rFonts w:ascii="Bookman Old Style" w:hAnsi="Bookman Old Style" w:cs="Arial"/>
          <w:lang w:val="sv-FI"/>
        </w:rPr>
        <w:t>Bupati/Wali</w:t>
      </w:r>
      <w:r w:rsidR="00A954D0" w:rsidRPr="003255BC">
        <w:rPr>
          <w:rFonts w:ascii="Bookman Old Style" w:hAnsi="Bookman Old Style" w:cs="Arial"/>
          <w:lang w:val="sv-FI"/>
        </w:rPr>
        <w:t xml:space="preserve"> </w:t>
      </w:r>
      <w:r w:rsidRPr="003255BC">
        <w:rPr>
          <w:rFonts w:ascii="Bookman Old Style" w:hAnsi="Bookman Old Style" w:cs="Arial"/>
          <w:lang w:val="sv-FI"/>
        </w:rPr>
        <w:t>Kota</w:t>
      </w:r>
      <w:r w:rsidR="00A954D0" w:rsidRPr="003255BC">
        <w:rPr>
          <w:rFonts w:ascii="Bookman Old Style" w:hAnsi="Bookman Old Style" w:cs="Arial"/>
          <w:lang w:val="sv-FI"/>
        </w:rPr>
        <w:t xml:space="preserve"> </w:t>
      </w:r>
      <w:r w:rsidRPr="003255BC">
        <w:rPr>
          <w:rFonts w:ascii="Bookman Old Style" w:hAnsi="Bookman Old Style" w:cs="Arial"/>
          <w:lang w:val="sv-FI"/>
        </w:rPr>
        <w:t>tentang</w:t>
      </w:r>
      <w:r w:rsidR="00A954D0" w:rsidRPr="003255BC">
        <w:rPr>
          <w:rFonts w:ascii="Bookman Old Style" w:hAnsi="Bookman Old Style" w:cs="Arial"/>
          <w:lang w:val="sv-FI"/>
        </w:rPr>
        <w:t xml:space="preserve"> </w:t>
      </w:r>
      <w:r w:rsidRPr="003255BC">
        <w:rPr>
          <w:rFonts w:ascii="Bookman Old Style" w:hAnsi="Bookman Old Style" w:cs="Arial"/>
          <w:lang w:val="sv-FI"/>
        </w:rPr>
        <w:t>Penjabaran</w:t>
      </w:r>
      <w:r w:rsidR="00A954D0" w:rsidRPr="003255BC">
        <w:rPr>
          <w:rFonts w:ascii="Bookman Old Style" w:hAnsi="Bookman Old Style" w:cs="Arial"/>
          <w:lang w:val="sv-FI"/>
        </w:rPr>
        <w:t xml:space="preserve"> </w:t>
      </w:r>
      <w:r w:rsidRPr="003255BC">
        <w:rPr>
          <w:rFonts w:ascii="Bookman Old Style" w:hAnsi="Bookman Old Style" w:cs="Arial"/>
          <w:lang w:val="sv-FI"/>
        </w:rPr>
        <w:t>Anggaran</w:t>
      </w:r>
      <w:r w:rsidR="00A954D0" w:rsidRPr="003255BC">
        <w:rPr>
          <w:rFonts w:ascii="Bookman Old Style" w:hAnsi="Bookman Old Style" w:cs="Arial"/>
          <w:lang w:val="sv-FI"/>
        </w:rPr>
        <w:t xml:space="preserve"> </w:t>
      </w:r>
      <w:r w:rsidRPr="003255BC">
        <w:rPr>
          <w:rFonts w:ascii="Bookman Old Style" w:hAnsi="Bookman Old Style" w:cs="Arial"/>
          <w:lang w:val="sv-FI"/>
        </w:rPr>
        <w:t>Pendapatan</w:t>
      </w:r>
      <w:r w:rsidR="00A954D0" w:rsidRPr="003255BC">
        <w:rPr>
          <w:rFonts w:ascii="Bookman Old Style" w:hAnsi="Bookman Old Style" w:cs="Arial"/>
          <w:lang w:val="sv-FI"/>
        </w:rPr>
        <w:t xml:space="preserve"> </w:t>
      </w:r>
      <w:r w:rsidRPr="003255BC">
        <w:rPr>
          <w:rFonts w:ascii="Bookman Old Style" w:hAnsi="Bookman Old Style" w:cs="Arial"/>
          <w:lang w:val="sv-FI"/>
        </w:rPr>
        <w:t>dan</w:t>
      </w:r>
      <w:r w:rsidR="00A954D0" w:rsidRPr="003255BC">
        <w:rPr>
          <w:rFonts w:ascii="Bookman Old Style" w:hAnsi="Bookman Old Style" w:cs="Arial"/>
          <w:lang w:val="sv-FI"/>
        </w:rPr>
        <w:t xml:space="preserve"> </w:t>
      </w:r>
      <w:r w:rsidRPr="003255BC">
        <w:rPr>
          <w:rFonts w:ascii="Bookman Old Style" w:hAnsi="Bookman Old Style" w:cs="Arial"/>
          <w:lang w:val="sv-FI"/>
        </w:rPr>
        <w:t>Belanja</w:t>
      </w:r>
      <w:r w:rsidR="00A954D0" w:rsidRPr="003255BC">
        <w:rPr>
          <w:rFonts w:ascii="Bookman Old Style" w:hAnsi="Bookman Old Style" w:cs="Arial"/>
          <w:lang w:val="sv-FI"/>
        </w:rPr>
        <w:t xml:space="preserve"> </w:t>
      </w:r>
      <w:r w:rsidRPr="003255BC">
        <w:rPr>
          <w:rFonts w:ascii="Bookman Old Style" w:hAnsi="Bookman Old Style" w:cs="Arial"/>
          <w:lang w:val="sv-FI"/>
        </w:rPr>
        <w:t>Daerah</w:t>
      </w:r>
      <w:r w:rsidR="00A954D0" w:rsidRPr="003255BC">
        <w:rPr>
          <w:rFonts w:ascii="Bookman Old Style" w:hAnsi="Bookman Old Style" w:cs="Arial"/>
          <w:lang w:val="sv-FI"/>
        </w:rPr>
        <w:t xml:space="preserve"> </w:t>
      </w:r>
      <w:r w:rsidRPr="003255BC">
        <w:rPr>
          <w:rFonts w:ascii="Bookman Old Style" w:hAnsi="Bookman Old Style" w:cs="Arial"/>
          <w:lang w:val="sv-FI"/>
        </w:rPr>
        <w:t>yang</w:t>
      </w:r>
      <w:r w:rsidR="00A954D0" w:rsidRPr="003255BC">
        <w:rPr>
          <w:rFonts w:ascii="Bookman Old Style" w:hAnsi="Bookman Old Style" w:cs="Arial"/>
          <w:lang w:val="sv-FI"/>
        </w:rPr>
        <w:t xml:space="preserve"> </w:t>
      </w:r>
      <w:r w:rsidRPr="003255BC">
        <w:rPr>
          <w:rFonts w:ascii="Bookman Old Style" w:hAnsi="Bookman Old Style" w:cs="Arial"/>
          <w:lang w:val="sv-FI"/>
        </w:rPr>
        <w:t>berkaitan</w:t>
      </w:r>
      <w:r w:rsidR="00A954D0" w:rsidRPr="003255BC">
        <w:rPr>
          <w:rFonts w:ascii="Bookman Old Style" w:hAnsi="Bookman Old Style" w:cs="Arial"/>
          <w:lang w:val="sv-FI"/>
        </w:rPr>
        <w:t xml:space="preserve"> </w:t>
      </w:r>
      <w:r w:rsidRPr="003255BC">
        <w:rPr>
          <w:rFonts w:ascii="Bookman Old Style" w:hAnsi="Bookman Old Style" w:cs="Arial"/>
          <w:lang w:val="sv-FI"/>
        </w:rPr>
        <w:t>dengan</w:t>
      </w:r>
      <w:r w:rsidR="00A954D0" w:rsidRPr="003255BC">
        <w:rPr>
          <w:rFonts w:ascii="Bookman Old Style" w:hAnsi="Bookman Old Style" w:cs="Arial"/>
          <w:lang w:val="sv-FI"/>
        </w:rPr>
        <w:t xml:space="preserve"> </w:t>
      </w:r>
      <w:r w:rsidRPr="003255BC">
        <w:rPr>
          <w:rFonts w:ascii="Bookman Old Style" w:hAnsi="Bookman Old Style" w:cs="Arial"/>
          <w:lang w:val="sv-FI"/>
        </w:rPr>
        <w:t>pembahasan</w:t>
      </w:r>
      <w:r w:rsidR="00A954D0" w:rsidRPr="003255BC">
        <w:rPr>
          <w:rFonts w:ascii="Bookman Old Style" w:hAnsi="Bookman Old Style" w:cs="Arial"/>
          <w:lang w:val="sv-FI"/>
        </w:rPr>
        <w:t xml:space="preserve"> </w:t>
      </w:r>
      <w:r w:rsidRPr="003255BC">
        <w:rPr>
          <w:rFonts w:ascii="Bookman Old Style" w:hAnsi="Bookman Old Style" w:cs="Arial"/>
          <w:lang w:val="sv-FI"/>
        </w:rPr>
        <w:t>rancangan</w:t>
      </w:r>
      <w:r w:rsidR="00A954D0" w:rsidRPr="003255BC">
        <w:rPr>
          <w:rFonts w:ascii="Bookman Old Style" w:hAnsi="Bookman Old Style" w:cs="Arial"/>
          <w:lang w:val="sv-FI"/>
        </w:rPr>
        <w:t xml:space="preserve"> </w:t>
      </w:r>
      <w:r w:rsidRPr="003255BC">
        <w:rPr>
          <w:rFonts w:ascii="Bookman Old Style" w:hAnsi="Bookman Old Style" w:cs="Arial"/>
          <w:lang w:val="sv-FI"/>
        </w:rPr>
        <w:t>Perda,</w:t>
      </w:r>
      <w:r w:rsidR="00A954D0" w:rsidRPr="003255BC">
        <w:rPr>
          <w:rFonts w:ascii="Bookman Old Style" w:hAnsi="Bookman Old Style" w:cs="Arial"/>
          <w:lang w:val="sv-FI"/>
        </w:rPr>
        <w:t xml:space="preserve"> </w:t>
      </w:r>
      <w:r w:rsidRPr="003255BC">
        <w:rPr>
          <w:rFonts w:ascii="Bookman Old Style" w:hAnsi="Bookman Old Style" w:cs="Arial"/>
          <w:lang w:val="sv-FI"/>
        </w:rPr>
        <w:t>Penyampaian</w:t>
      </w:r>
      <w:r w:rsidR="00A954D0" w:rsidRPr="003255BC">
        <w:rPr>
          <w:rFonts w:ascii="Bookman Old Style" w:hAnsi="Bookman Old Style" w:cs="Arial"/>
          <w:lang w:val="sv-FI"/>
        </w:rPr>
        <w:t xml:space="preserve"> </w:t>
      </w:r>
      <w:r w:rsidRPr="003255BC">
        <w:rPr>
          <w:rFonts w:ascii="Bookman Old Style" w:hAnsi="Bookman Old Style" w:cs="Arial"/>
          <w:lang w:val="sv-FI"/>
        </w:rPr>
        <w:t>Rancangan</w:t>
      </w:r>
      <w:r w:rsidR="00A954D0" w:rsidRPr="003255BC">
        <w:rPr>
          <w:rFonts w:ascii="Bookman Old Style" w:hAnsi="Bookman Old Style" w:cs="Arial"/>
          <w:lang w:val="sv-FI"/>
        </w:rPr>
        <w:t xml:space="preserve"> </w:t>
      </w:r>
      <w:r w:rsidRPr="003255BC">
        <w:rPr>
          <w:rFonts w:ascii="Bookman Old Style" w:hAnsi="Bookman Old Style" w:cs="Arial"/>
          <w:lang w:val="sv-FI"/>
        </w:rPr>
        <w:t>Perda,</w:t>
      </w:r>
      <w:r w:rsidR="00A954D0" w:rsidRPr="003255BC">
        <w:rPr>
          <w:rFonts w:ascii="Bookman Old Style" w:hAnsi="Bookman Old Style" w:cs="Arial"/>
          <w:lang w:val="sv-FI"/>
        </w:rPr>
        <w:t xml:space="preserve"> </w:t>
      </w:r>
      <w:r w:rsidRPr="003255BC">
        <w:rPr>
          <w:rFonts w:ascii="Bookman Old Style" w:hAnsi="Bookman Old Style" w:cs="Arial"/>
          <w:lang w:val="sv-FI"/>
        </w:rPr>
        <w:t>dan</w:t>
      </w:r>
      <w:r w:rsidR="00A954D0" w:rsidRPr="003255BC">
        <w:rPr>
          <w:rFonts w:ascii="Bookman Old Style" w:hAnsi="Bookman Old Style" w:cs="Arial"/>
          <w:lang w:val="sv-FI"/>
        </w:rPr>
        <w:t xml:space="preserve"> </w:t>
      </w:r>
      <w:r w:rsidRPr="003255BC">
        <w:rPr>
          <w:rFonts w:ascii="Bookman Old Style" w:hAnsi="Bookman Old Style" w:cs="Arial"/>
          <w:lang w:val="sv-FI"/>
        </w:rPr>
        <w:t>kelengkapan</w:t>
      </w:r>
      <w:r w:rsidR="00A954D0" w:rsidRPr="003255BC">
        <w:rPr>
          <w:rFonts w:ascii="Bookman Old Style" w:hAnsi="Bookman Old Style" w:cs="Arial"/>
          <w:lang w:val="sv-FI"/>
        </w:rPr>
        <w:t xml:space="preserve"> </w:t>
      </w:r>
      <w:r w:rsidRPr="003255BC">
        <w:rPr>
          <w:rFonts w:ascii="Bookman Old Style" w:hAnsi="Bookman Old Style" w:cs="Arial"/>
          <w:lang w:val="sv-FI"/>
        </w:rPr>
        <w:t>dokumen.</w:t>
      </w:r>
    </w:p>
    <w:p w14:paraId="300A6B5A" w14:textId="050A4BC2" w:rsidR="006E2F8F" w:rsidRPr="00727324" w:rsidRDefault="006E2F8F" w:rsidP="00DD7816">
      <w:pPr>
        <w:spacing w:before="60" w:line="276" w:lineRule="auto"/>
        <w:ind w:left="993"/>
        <w:jc w:val="both"/>
        <w:rPr>
          <w:rFonts w:ascii="Bookman Old Style" w:hAnsi="Bookman Old Style" w:cs="Arial"/>
          <w:lang w:val="sv-FI"/>
        </w:rPr>
      </w:pPr>
      <w:r w:rsidRPr="003255BC">
        <w:rPr>
          <w:rFonts w:ascii="Bookman Old Style" w:hAnsi="Bookman Old Style" w:cs="Arial"/>
          <w:lang w:val="sv-FI"/>
        </w:rPr>
        <w:t>Berdasarkan</w:t>
      </w:r>
      <w:r w:rsidR="00A954D0" w:rsidRPr="003255BC">
        <w:rPr>
          <w:rFonts w:ascii="Bookman Old Style" w:hAnsi="Bookman Old Style" w:cs="Arial"/>
          <w:lang w:val="sv-FI"/>
        </w:rPr>
        <w:t xml:space="preserve"> </w:t>
      </w:r>
      <w:r w:rsidRPr="003255BC">
        <w:rPr>
          <w:rFonts w:ascii="Bookman Old Style" w:hAnsi="Bookman Old Style" w:cs="Arial"/>
          <w:lang w:val="sv-FI"/>
        </w:rPr>
        <w:t>tata</w:t>
      </w:r>
      <w:r w:rsidR="00A954D0" w:rsidRPr="003255BC">
        <w:rPr>
          <w:rFonts w:ascii="Bookman Old Style" w:hAnsi="Bookman Old Style" w:cs="Arial"/>
          <w:lang w:val="sv-FI"/>
        </w:rPr>
        <w:t xml:space="preserve"> </w:t>
      </w:r>
      <w:r w:rsidRPr="003255BC">
        <w:rPr>
          <w:rFonts w:ascii="Bookman Old Style" w:hAnsi="Bookman Old Style" w:cs="Arial"/>
          <w:lang w:val="sv-FI"/>
        </w:rPr>
        <w:t>cara</w:t>
      </w:r>
      <w:r w:rsidR="00A954D0" w:rsidRPr="003255BC">
        <w:rPr>
          <w:rFonts w:ascii="Bookman Old Style" w:hAnsi="Bookman Old Style" w:cs="Arial"/>
          <w:lang w:val="sv-FI"/>
        </w:rPr>
        <w:t xml:space="preserve"> </w:t>
      </w:r>
      <w:r w:rsidRPr="003255BC">
        <w:rPr>
          <w:rFonts w:ascii="Bookman Old Style" w:hAnsi="Bookman Old Style" w:cs="Arial"/>
          <w:lang w:val="sv-FI"/>
        </w:rPr>
        <w:t>penyusunan</w:t>
      </w:r>
      <w:r w:rsidR="00A954D0" w:rsidRPr="003255BC">
        <w:rPr>
          <w:rFonts w:ascii="Bookman Old Style" w:hAnsi="Bookman Old Style" w:cs="Arial"/>
          <w:lang w:val="sv-FI"/>
        </w:rPr>
        <w:t xml:space="preserve"> </w:t>
      </w:r>
      <w:r w:rsidRPr="003255BC">
        <w:rPr>
          <w:rFonts w:ascii="Bookman Old Style" w:hAnsi="Bookman Old Style" w:cs="Arial"/>
          <w:lang w:val="sv-FI"/>
        </w:rPr>
        <w:t>Peraturan</w:t>
      </w:r>
      <w:r w:rsidR="00A954D0" w:rsidRPr="003255BC">
        <w:rPr>
          <w:rFonts w:ascii="Bookman Old Style" w:hAnsi="Bookman Old Style" w:cs="Arial"/>
          <w:lang w:val="sv-FI"/>
        </w:rPr>
        <w:t xml:space="preserve"> </w:t>
      </w:r>
      <w:r w:rsidRPr="003255BC">
        <w:rPr>
          <w:rFonts w:ascii="Bookman Old Style" w:hAnsi="Bookman Old Style" w:cs="Arial"/>
          <w:lang w:val="sv-FI"/>
        </w:rPr>
        <w:t>Perundang-undangan</w:t>
      </w:r>
      <w:r w:rsidR="00A954D0" w:rsidRPr="003255BC">
        <w:rPr>
          <w:rFonts w:ascii="Bookman Old Style" w:hAnsi="Bookman Old Style" w:cs="Arial"/>
          <w:lang w:val="sv-FI"/>
        </w:rPr>
        <w:t xml:space="preserve"> </w:t>
      </w:r>
      <w:r w:rsidRPr="003255BC">
        <w:rPr>
          <w:rFonts w:ascii="Bookman Old Style" w:hAnsi="Bookman Old Style" w:cs="Arial"/>
          <w:lang w:val="sv-FI"/>
        </w:rPr>
        <w:t>sebagaimana</w:t>
      </w:r>
      <w:r w:rsidR="00A954D0" w:rsidRPr="003255BC">
        <w:rPr>
          <w:rFonts w:ascii="Bookman Old Style" w:hAnsi="Bookman Old Style" w:cs="Arial"/>
          <w:lang w:val="sv-FI"/>
        </w:rPr>
        <w:t xml:space="preserve"> </w:t>
      </w:r>
      <w:r w:rsidRPr="003255BC">
        <w:rPr>
          <w:rFonts w:ascii="Bookman Old Style" w:hAnsi="Bookman Old Style" w:cs="Arial"/>
          <w:lang w:val="sv-FI"/>
        </w:rPr>
        <w:t>diatur</w:t>
      </w:r>
      <w:r w:rsidR="00A954D0" w:rsidRPr="003255BC">
        <w:rPr>
          <w:rFonts w:ascii="Bookman Old Style" w:hAnsi="Bookman Old Style" w:cs="Arial"/>
          <w:lang w:val="sv-FI"/>
        </w:rPr>
        <w:t xml:space="preserve"> </w:t>
      </w:r>
      <w:r w:rsidRPr="003255BC">
        <w:rPr>
          <w:rFonts w:ascii="Bookman Old Style" w:hAnsi="Bookman Old Style" w:cs="Arial"/>
          <w:lang w:val="sv-FI"/>
        </w:rPr>
        <w:t>dalam</w:t>
      </w:r>
      <w:r w:rsidR="00A954D0" w:rsidRPr="003255BC">
        <w:rPr>
          <w:rFonts w:ascii="Bookman Old Style" w:hAnsi="Bookman Old Style" w:cs="Arial"/>
          <w:lang w:val="sv-FI"/>
        </w:rPr>
        <w:t xml:space="preserve"> </w:t>
      </w:r>
      <w:r w:rsidRPr="003255BC">
        <w:rPr>
          <w:rFonts w:ascii="Bookman Old Style" w:hAnsi="Bookman Old Style" w:cs="Arial"/>
          <w:lang w:val="sv-FI"/>
        </w:rPr>
        <w:t>Undang-Undang</w:t>
      </w:r>
      <w:r w:rsidR="00A954D0" w:rsidRPr="003255BC">
        <w:rPr>
          <w:rFonts w:ascii="Bookman Old Style" w:hAnsi="Bookman Old Style" w:cs="Arial"/>
          <w:lang w:val="sv-FI"/>
        </w:rPr>
        <w:t xml:space="preserve"> </w:t>
      </w:r>
      <w:r w:rsidRPr="003255BC">
        <w:rPr>
          <w:rFonts w:ascii="Bookman Old Style" w:hAnsi="Bookman Old Style" w:cs="Arial"/>
          <w:lang w:val="sv-FI"/>
        </w:rPr>
        <w:t>Nomor</w:t>
      </w:r>
      <w:r w:rsidR="00A954D0" w:rsidRPr="003255BC">
        <w:rPr>
          <w:rFonts w:ascii="Bookman Old Style" w:hAnsi="Bookman Old Style" w:cs="Arial"/>
          <w:lang w:val="sv-FI"/>
        </w:rPr>
        <w:t xml:space="preserve"> </w:t>
      </w:r>
      <w:r w:rsidRPr="003255BC">
        <w:rPr>
          <w:rFonts w:ascii="Bookman Old Style" w:hAnsi="Bookman Old Style" w:cs="Arial"/>
          <w:lang w:val="sv-FI"/>
        </w:rPr>
        <w:t>12</w:t>
      </w:r>
      <w:r w:rsidR="00A954D0" w:rsidRPr="003255BC">
        <w:rPr>
          <w:rFonts w:ascii="Bookman Old Style" w:hAnsi="Bookman Old Style" w:cs="Arial"/>
          <w:lang w:val="sv-FI"/>
        </w:rPr>
        <w:t xml:space="preserve"> </w:t>
      </w:r>
      <w:r w:rsidRPr="003255BC">
        <w:rPr>
          <w:rFonts w:ascii="Bookman Old Style" w:hAnsi="Bookman Old Style" w:cs="Arial"/>
          <w:lang w:val="sv-FI"/>
        </w:rPr>
        <w:t>Tahun</w:t>
      </w:r>
      <w:r w:rsidR="00A954D0" w:rsidRPr="003255BC">
        <w:rPr>
          <w:rFonts w:ascii="Bookman Old Style" w:hAnsi="Bookman Old Style" w:cs="Arial"/>
          <w:lang w:val="sv-FI"/>
        </w:rPr>
        <w:t xml:space="preserve"> </w:t>
      </w:r>
      <w:r w:rsidRPr="003255BC">
        <w:rPr>
          <w:rFonts w:ascii="Bookman Old Style" w:hAnsi="Bookman Old Style" w:cs="Arial"/>
          <w:lang w:val="sv-FI"/>
        </w:rPr>
        <w:t>2011</w:t>
      </w:r>
      <w:r w:rsidR="00A954D0" w:rsidRPr="003255BC">
        <w:rPr>
          <w:rFonts w:ascii="Bookman Old Style" w:hAnsi="Bookman Old Style" w:cs="Arial"/>
          <w:lang w:val="sv-FI"/>
        </w:rPr>
        <w:t xml:space="preserve"> </w:t>
      </w:r>
      <w:r w:rsidRPr="003255BC">
        <w:rPr>
          <w:rFonts w:ascii="Bookman Old Style" w:hAnsi="Bookman Old Style" w:cs="Arial"/>
          <w:lang w:val="sv-FI"/>
        </w:rPr>
        <w:t>tentang</w:t>
      </w:r>
      <w:r w:rsidR="00A954D0" w:rsidRPr="003255BC">
        <w:rPr>
          <w:rFonts w:ascii="Bookman Old Style" w:hAnsi="Bookman Old Style" w:cs="Arial"/>
          <w:lang w:val="sv-FI"/>
        </w:rPr>
        <w:t xml:space="preserve"> </w:t>
      </w:r>
      <w:r w:rsidRPr="003255BC">
        <w:rPr>
          <w:rFonts w:ascii="Bookman Old Style" w:hAnsi="Bookman Old Style" w:cs="Arial"/>
          <w:lang w:val="sv-FI"/>
        </w:rPr>
        <w:t>Pembentukan</w:t>
      </w:r>
      <w:r w:rsidR="00A954D0" w:rsidRPr="003255BC">
        <w:rPr>
          <w:rFonts w:ascii="Bookman Old Style" w:hAnsi="Bookman Old Style" w:cs="Arial"/>
          <w:lang w:val="sv-FI"/>
        </w:rPr>
        <w:t xml:space="preserve"> </w:t>
      </w:r>
      <w:r w:rsidRPr="003255BC">
        <w:rPr>
          <w:rFonts w:ascii="Bookman Old Style" w:hAnsi="Bookman Old Style" w:cs="Arial"/>
          <w:lang w:val="sv-FI"/>
        </w:rPr>
        <w:t>Peraturan</w:t>
      </w:r>
      <w:r w:rsidR="00A954D0" w:rsidRPr="003255BC">
        <w:rPr>
          <w:rFonts w:ascii="Bookman Old Style" w:hAnsi="Bookman Old Style" w:cs="Arial"/>
          <w:lang w:val="sv-FI"/>
        </w:rPr>
        <w:t xml:space="preserve"> </w:t>
      </w:r>
      <w:r w:rsidRPr="003255BC">
        <w:rPr>
          <w:rFonts w:ascii="Bookman Old Style" w:hAnsi="Bookman Old Style" w:cs="Arial"/>
          <w:lang w:val="sv-FI"/>
        </w:rPr>
        <w:t>Perundang-undangan</w:t>
      </w:r>
      <w:r w:rsidR="00A954D0" w:rsidRPr="003255BC">
        <w:rPr>
          <w:rFonts w:ascii="Bookman Old Style" w:hAnsi="Bookman Old Style" w:cs="Arial"/>
          <w:lang w:val="sv-FI"/>
        </w:rPr>
        <w:t xml:space="preserve"> </w:t>
      </w:r>
      <w:r w:rsidRPr="003255BC">
        <w:rPr>
          <w:rFonts w:ascii="Bookman Old Style" w:hAnsi="Bookman Old Style" w:cs="Arial"/>
          <w:lang w:val="sv-FI"/>
        </w:rPr>
        <w:t>sebagaimana</w:t>
      </w:r>
      <w:r w:rsidR="00A954D0" w:rsidRPr="003255BC">
        <w:rPr>
          <w:rFonts w:ascii="Bookman Old Style" w:hAnsi="Bookman Old Style" w:cs="Arial"/>
          <w:lang w:val="sv-FI"/>
        </w:rPr>
        <w:t xml:space="preserve"> </w:t>
      </w:r>
      <w:r w:rsidRPr="003255BC">
        <w:rPr>
          <w:rFonts w:ascii="Bookman Old Style" w:hAnsi="Bookman Old Style" w:cs="Arial"/>
          <w:lang w:val="sv-FI"/>
        </w:rPr>
        <w:t>telah</w:t>
      </w:r>
      <w:r w:rsidR="00A954D0" w:rsidRPr="003255BC">
        <w:rPr>
          <w:rFonts w:ascii="Bookman Old Style" w:hAnsi="Bookman Old Style" w:cs="Arial"/>
          <w:lang w:val="sv-FI"/>
        </w:rPr>
        <w:t xml:space="preserve"> </w:t>
      </w:r>
      <w:r w:rsidRPr="003255BC">
        <w:rPr>
          <w:rFonts w:ascii="Bookman Old Style" w:hAnsi="Bookman Old Style" w:cs="Arial"/>
          <w:lang w:val="sv-FI"/>
        </w:rPr>
        <w:t>diubah</w:t>
      </w:r>
      <w:r w:rsidR="00A954D0" w:rsidRPr="003255BC">
        <w:rPr>
          <w:rFonts w:ascii="Bookman Old Style" w:hAnsi="Bookman Old Style" w:cs="Arial"/>
          <w:lang w:val="sv-FI"/>
        </w:rPr>
        <w:t xml:space="preserve"> </w:t>
      </w:r>
      <w:r w:rsidRPr="003255BC">
        <w:rPr>
          <w:rFonts w:ascii="Bookman Old Style" w:hAnsi="Bookman Old Style" w:cs="Arial"/>
          <w:lang w:val="sv-FI"/>
        </w:rPr>
        <w:t>beberapa</w:t>
      </w:r>
      <w:r w:rsidR="00A954D0" w:rsidRPr="003255BC">
        <w:rPr>
          <w:rFonts w:ascii="Bookman Old Style" w:hAnsi="Bookman Old Style" w:cs="Arial"/>
          <w:lang w:val="sv-FI"/>
        </w:rPr>
        <w:t xml:space="preserve"> </w:t>
      </w:r>
      <w:r w:rsidRPr="003255BC">
        <w:rPr>
          <w:rFonts w:ascii="Bookman Old Style" w:hAnsi="Bookman Old Style" w:cs="Arial"/>
          <w:lang w:val="sv-FI"/>
        </w:rPr>
        <w:t>kali</w:t>
      </w:r>
      <w:r w:rsidR="00A954D0" w:rsidRPr="003255BC">
        <w:rPr>
          <w:rFonts w:ascii="Bookman Old Style" w:hAnsi="Bookman Old Style" w:cs="Arial"/>
          <w:lang w:val="sv-FI"/>
        </w:rPr>
        <w:t xml:space="preserve"> </w:t>
      </w:r>
      <w:r w:rsidRPr="003255BC">
        <w:rPr>
          <w:rFonts w:ascii="Bookman Old Style" w:hAnsi="Bookman Old Style" w:cs="Arial"/>
          <w:lang w:val="sv-FI"/>
        </w:rPr>
        <w:t>terakhir</w:t>
      </w:r>
      <w:r w:rsidR="00A954D0" w:rsidRPr="003255BC">
        <w:rPr>
          <w:rFonts w:ascii="Bookman Old Style" w:hAnsi="Bookman Old Style" w:cs="Arial"/>
          <w:lang w:val="sv-FI"/>
        </w:rPr>
        <w:t xml:space="preserve"> </w:t>
      </w:r>
      <w:r w:rsidRPr="003255BC">
        <w:rPr>
          <w:rFonts w:ascii="Bookman Old Style" w:hAnsi="Bookman Old Style" w:cs="Arial"/>
          <w:lang w:val="sv-FI"/>
        </w:rPr>
        <w:t>dengan</w:t>
      </w:r>
      <w:r w:rsidR="00A954D0" w:rsidRPr="003255BC">
        <w:rPr>
          <w:rFonts w:ascii="Bookman Old Style" w:hAnsi="Bookman Old Style" w:cs="Arial"/>
          <w:lang w:val="sv-FI"/>
        </w:rPr>
        <w:t xml:space="preserve"> </w:t>
      </w:r>
      <w:r w:rsidRPr="003255BC">
        <w:rPr>
          <w:rFonts w:ascii="Bookman Old Style" w:hAnsi="Bookman Old Style" w:cs="Arial"/>
          <w:lang w:val="sv-FI"/>
        </w:rPr>
        <w:t>Undang-Undang</w:t>
      </w:r>
      <w:r w:rsidR="00A954D0" w:rsidRPr="003255BC">
        <w:rPr>
          <w:rFonts w:ascii="Bookman Old Style" w:hAnsi="Bookman Old Style" w:cs="Arial"/>
          <w:lang w:val="sv-FI"/>
        </w:rPr>
        <w:t xml:space="preserve"> </w:t>
      </w:r>
      <w:r w:rsidRPr="003255BC">
        <w:rPr>
          <w:rFonts w:ascii="Bookman Old Style" w:hAnsi="Bookman Old Style" w:cs="Arial"/>
          <w:lang w:val="sv-FI"/>
        </w:rPr>
        <w:t>Nomor</w:t>
      </w:r>
      <w:r w:rsidR="00A954D0" w:rsidRPr="003255BC">
        <w:rPr>
          <w:rFonts w:ascii="Bookman Old Style" w:hAnsi="Bookman Old Style" w:cs="Arial"/>
          <w:lang w:val="sv-FI"/>
        </w:rPr>
        <w:t xml:space="preserve"> </w:t>
      </w:r>
      <w:r w:rsidRPr="003255BC">
        <w:rPr>
          <w:rFonts w:ascii="Bookman Old Style" w:hAnsi="Bookman Old Style" w:cs="Arial"/>
          <w:lang w:val="sv-FI"/>
        </w:rPr>
        <w:t>13</w:t>
      </w:r>
      <w:r w:rsidR="00A954D0" w:rsidRPr="003255BC">
        <w:rPr>
          <w:rFonts w:ascii="Bookman Old Style" w:hAnsi="Bookman Old Style" w:cs="Arial"/>
          <w:lang w:val="sv-FI"/>
        </w:rPr>
        <w:t xml:space="preserve"> </w:t>
      </w:r>
      <w:r w:rsidRPr="003255BC">
        <w:rPr>
          <w:rFonts w:ascii="Bookman Old Style" w:hAnsi="Bookman Old Style" w:cs="Arial"/>
          <w:lang w:val="sv-FI"/>
        </w:rPr>
        <w:t>Tahun</w:t>
      </w:r>
      <w:r w:rsidR="00A954D0" w:rsidRPr="003255BC">
        <w:rPr>
          <w:rFonts w:ascii="Bookman Old Style" w:hAnsi="Bookman Old Style" w:cs="Arial"/>
          <w:lang w:val="sv-FI"/>
        </w:rPr>
        <w:t xml:space="preserve"> </w:t>
      </w:r>
      <w:r w:rsidRPr="003255BC">
        <w:rPr>
          <w:rFonts w:ascii="Bookman Old Style" w:hAnsi="Bookman Old Style" w:cs="Arial"/>
          <w:lang w:val="sv-FI"/>
        </w:rPr>
        <w:t>2022</w:t>
      </w:r>
      <w:r w:rsidR="00A954D0" w:rsidRPr="003255BC">
        <w:rPr>
          <w:rFonts w:ascii="Bookman Old Style" w:hAnsi="Bookman Old Style" w:cs="Arial"/>
          <w:lang w:val="sv-FI"/>
        </w:rPr>
        <w:t xml:space="preserve"> </w:t>
      </w:r>
      <w:r w:rsidRPr="003255BC">
        <w:rPr>
          <w:rFonts w:ascii="Bookman Old Style" w:hAnsi="Bookman Old Style" w:cs="Arial"/>
          <w:lang w:val="sv-FI"/>
        </w:rPr>
        <w:t>tentang</w:t>
      </w:r>
      <w:r w:rsidR="00A954D0" w:rsidRPr="003255BC">
        <w:rPr>
          <w:rFonts w:ascii="Bookman Old Style" w:hAnsi="Bookman Old Style" w:cs="Arial"/>
          <w:lang w:val="sv-FI"/>
        </w:rPr>
        <w:t xml:space="preserve"> </w:t>
      </w:r>
      <w:r w:rsidRPr="003255BC">
        <w:rPr>
          <w:rFonts w:ascii="Bookman Old Style" w:hAnsi="Bookman Old Style" w:cs="Arial"/>
          <w:lang w:val="sv-FI"/>
        </w:rPr>
        <w:t>Perubahan</w:t>
      </w:r>
      <w:r w:rsidR="00A954D0" w:rsidRPr="003255BC">
        <w:rPr>
          <w:rFonts w:ascii="Bookman Old Style" w:hAnsi="Bookman Old Style" w:cs="Arial"/>
          <w:lang w:val="sv-FI"/>
        </w:rPr>
        <w:t xml:space="preserve"> </w:t>
      </w:r>
      <w:r w:rsidRPr="003255BC">
        <w:rPr>
          <w:rFonts w:ascii="Bookman Old Style" w:hAnsi="Bookman Old Style" w:cs="Arial"/>
          <w:lang w:val="sv-FI"/>
        </w:rPr>
        <w:t>Kedua</w:t>
      </w:r>
      <w:r w:rsidR="00A954D0" w:rsidRPr="003255BC">
        <w:rPr>
          <w:rFonts w:ascii="Bookman Old Style" w:hAnsi="Bookman Old Style" w:cs="Arial"/>
          <w:lang w:val="sv-FI"/>
        </w:rPr>
        <w:t xml:space="preserve"> </w:t>
      </w:r>
      <w:r w:rsidRPr="003255BC">
        <w:rPr>
          <w:rFonts w:ascii="Bookman Old Style" w:hAnsi="Bookman Old Style" w:cs="Arial"/>
          <w:lang w:val="sv-FI"/>
        </w:rPr>
        <w:t>Atas</w:t>
      </w:r>
      <w:r w:rsidR="00A954D0" w:rsidRPr="003255BC">
        <w:rPr>
          <w:rFonts w:ascii="Bookman Old Style" w:hAnsi="Bookman Old Style" w:cs="Arial"/>
          <w:lang w:val="sv-FI"/>
        </w:rPr>
        <w:t xml:space="preserve"> </w:t>
      </w:r>
      <w:r w:rsidRPr="003255BC">
        <w:rPr>
          <w:rFonts w:ascii="Bookman Old Style" w:hAnsi="Bookman Old Style" w:cs="Arial"/>
          <w:lang w:val="sv-FI"/>
        </w:rPr>
        <w:t>Undang-Undang</w:t>
      </w:r>
      <w:r w:rsidR="00A954D0" w:rsidRPr="003255BC">
        <w:rPr>
          <w:rFonts w:ascii="Bookman Old Style" w:hAnsi="Bookman Old Style" w:cs="Arial"/>
          <w:lang w:val="sv-FI"/>
        </w:rPr>
        <w:t xml:space="preserve"> </w:t>
      </w:r>
      <w:r w:rsidRPr="003255BC">
        <w:rPr>
          <w:rFonts w:ascii="Bookman Old Style" w:hAnsi="Bookman Old Style" w:cs="Arial"/>
          <w:lang w:val="sv-FI"/>
        </w:rPr>
        <w:t>Nomor</w:t>
      </w:r>
      <w:r w:rsidR="00A954D0" w:rsidRPr="003255BC">
        <w:rPr>
          <w:rFonts w:ascii="Bookman Old Style" w:hAnsi="Bookman Old Style" w:cs="Arial"/>
          <w:lang w:val="sv-FI"/>
        </w:rPr>
        <w:t xml:space="preserve"> </w:t>
      </w:r>
      <w:r w:rsidRPr="003255BC">
        <w:rPr>
          <w:rFonts w:ascii="Bookman Old Style" w:hAnsi="Bookman Old Style" w:cs="Arial"/>
          <w:lang w:val="sv-FI"/>
        </w:rPr>
        <w:t>12</w:t>
      </w:r>
      <w:r w:rsidR="00A954D0" w:rsidRPr="003255BC">
        <w:rPr>
          <w:rFonts w:ascii="Bookman Old Style" w:hAnsi="Bookman Old Style" w:cs="Arial"/>
          <w:lang w:val="sv-FI"/>
        </w:rPr>
        <w:t xml:space="preserve"> </w:t>
      </w:r>
      <w:r w:rsidRPr="003255BC">
        <w:rPr>
          <w:rFonts w:ascii="Bookman Old Style" w:hAnsi="Bookman Old Style" w:cs="Arial"/>
          <w:lang w:val="sv-FI"/>
        </w:rPr>
        <w:t>Tahun</w:t>
      </w:r>
      <w:r w:rsidR="00A954D0" w:rsidRPr="003255BC">
        <w:rPr>
          <w:rFonts w:ascii="Bookman Old Style" w:hAnsi="Bookman Old Style" w:cs="Arial"/>
          <w:lang w:val="sv-FI"/>
        </w:rPr>
        <w:t xml:space="preserve"> </w:t>
      </w:r>
      <w:r w:rsidRPr="003255BC">
        <w:rPr>
          <w:rFonts w:ascii="Bookman Old Style" w:hAnsi="Bookman Old Style" w:cs="Arial"/>
          <w:lang w:val="sv-FI"/>
        </w:rPr>
        <w:t>2011</w:t>
      </w:r>
      <w:r w:rsidR="00A954D0" w:rsidRPr="003255BC">
        <w:rPr>
          <w:rFonts w:ascii="Bookman Old Style" w:hAnsi="Bookman Old Style" w:cs="Arial"/>
          <w:lang w:val="sv-FI"/>
        </w:rPr>
        <w:t xml:space="preserve"> </w:t>
      </w:r>
      <w:r w:rsidRPr="003255BC">
        <w:rPr>
          <w:rFonts w:ascii="Bookman Old Style" w:hAnsi="Bookman Old Style" w:cs="Arial"/>
          <w:lang w:val="sv-FI"/>
        </w:rPr>
        <w:t>tentang</w:t>
      </w:r>
      <w:r w:rsidR="00A954D0" w:rsidRPr="003255BC">
        <w:rPr>
          <w:rFonts w:ascii="Bookman Old Style" w:hAnsi="Bookman Old Style" w:cs="Arial"/>
          <w:lang w:val="sv-FI"/>
        </w:rPr>
        <w:t xml:space="preserve"> </w:t>
      </w:r>
      <w:r w:rsidRPr="003255BC">
        <w:rPr>
          <w:rFonts w:ascii="Bookman Old Style" w:hAnsi="Bookman Old Style" w:cs="Arial"/>
          <w:lang w:val="sv-FI"/>
        </w:rPr>
        <w:t>Pembentukan</w:t>
      </w:r>
      <w:r w:rsidR="00A954D0" w:rsidRPr="003255BC">
        <w:rPr>
          <w:rFonts w:ascii="Bookman Old Style" w:hAnsi="Bookman Old Style" w:cs="Arial"/>
          <w:lang w:val="sv-FI"/>
        </w:rPr>
        <w:t xml:space="preserve"> </w:t>
      </w:r>
      <w:r w:rsidRPr="003255BC">
        <w:rPr>
          <w:rFonts w:ascii="Bookman Old Style" w:hAnsi="Bookman Old Style" w:cs="Arial"/>
          <w:lang w:val="sv-FI"/>
        </w:rPr>
        <w:t>Peraturan</w:t>
      </w:r>
      <w:r w:rsidR="00A954D0" w:rsidRPr="003255BC">
        <w:rPr>
          <w:rFonts w:ascii="Bookman Old Style" w:hAnsi="Bookman Old Style" w:cs="Arial"/>
          <w:lang w:val="sv-FI"/>
        </w:rPr>
        <w:t xml:space="preserve"> </w:t>
      </w:r>
      <w:r w:rsidRPr="003255BC">
        <w:rPr>
          <w:rFonts w:ascii="Bookman Old Style" w:hAnsi="Bookman Old Style" w:cs="Arial"/>
          <w:lang w:val="sv-FI"/>
        </w:rPr>
        <w:t>Perundang-undangan,</w:t>
      </w:r>
      <w:r w:rsidR="00A954D0" w:rsidRPr="003255BC">
        <w:rPr>
          <w:rFonts w:ascii="Bookman Old Style" w:hAnsi="Bookman Old Style" w:cs="Arial"/>
          <w:lang w:val="sv-FI"/>
        </w:rPr>
        <w:t xml:space="preserve"> </w:t>
      </w:r>
      <w:r w:rsidRPr="003255BC">
        <w:rPr>
          <w:rFonts w:ascii="Bookman Old Style" w:hAnsi="Bookman Old Style" w:cs="Arial"/>
          <w:lang w:val="sv-FI"/>
        </w:rPr>
        <w:t>Rancangan</w:t>
      </w:r>
      <w:r w:rsidR="00A954D0" w:rsidRPr="003255BC">
        <w:rPr>
          <w:rFonts w:ascii="Bookman Old Style" w:hAnsi="Bookman Old Style" w:cs="Arial"/>
          <w:lang w:val="sv-FI"/>
        </w:rPr>
        <w:t xml:space="preserve"> </w:t>
      </w:r>
      <w:r w:rsidRPr="003255BC">
        <w:rPr>
          <w:rFonts w:ascii="Bookman Old Style" w:hAnsi="Bookman Old Style" w:cs="Arial"/>
          <w:lang w:val="sv-FI"/>
        </w:rPr>
        <w:t>Peraturan</w:t>
      </w:r>
      <w:r w:rsidR="00A954D0" w:rsidRPr="003255BC">
        <w:rPr>
          <w:rFonts w:ascii="Bookman Old Style" w:hAnsi="Bookman Old Style" w:cs="Arial"/>
          <w:lang w:val="sv-FI"/>
        </w:rPr>
        <w:t xml:space="preserve"> </w:t>
      </w:r>
      <w:r w:rsidRPr="003255BC">
        <w:rPr>
          <w:rFonts w:ascii="Bookman Old Style" w:hAnsi="Bookman Old Style" w:cs="Arial"/>
          <w:lang w:val="sv-FI"/>
        </w:rPr>
        <w:t>Daerah</w:t>
      </w:r>
      <w:r w:rsidR="00A954D0" w:rsidRPr="003255BC">
        <w:rPr>
          <w:rFonts w:ascii="Bookman Old Style" w:hAnsi="Bookman Old Style" w:cs="Arial"/>
          <w:lang w:val="sv-FI"/>
        </w:rPr>
        <w:t xml:space="preserve"> </w:t>
      </w:r>
      <w:r w:rsidRPr="003255BC">
        <w:rPr>
          <w:rFonts w:ascii="Bookman Old Style" w:hAnsi="Bookman Old Style"/>
          <w:lang w:val="sv-FI"/>
        </w:rPr>
        <w:t>Kota</w:t>
      </w:r>
      <w:r w:rsidR="00A954D0" w:rsidRPr="003255BC">
        <w:rPr>
          <w:rFonts w:ascii="Bookman Old Style" w:hAnsi="Bookman Old Style"/>
          <w:lang w:val="sv-FI"/>
        </w:rPr>
        <w:t xml:space="preserve"> </w:t>
      </w:r>
      <w:r w:rsidRPr="003255BC">
        <w:rPr>
          <w:rFonts w:ascii="Bookman Old Style" w:hAnsi="Bookman Old Style"/>
          <w:lang w:val="sv-FI"/>
        </w:rPr>
        <w:t>Tangerang</w:t>
      </w:r>
      <w:r w:rsidR="00A954D0" w:rsidRPr="003255BC">
        <w:rPr>
          <w:rFonts w:ascii="Bookman Old Style" w:hAnsi="Bookman Old Style"/>
          <w:lang w:val="sv-FI"/>
        </w:rPr>
        <w:t xml:space="preserve"> </w:t>
      </w:r>
      <w:r w:rsidRPr="00727324">
        <w:rPr>
          <w:rFonts w:ascii="Bookman Old Style" w:hAnsi="Bookman Old Style" w:cs="Arial"/>
          <w:lang w:val="sv-FI"/>
        </w:rPr>
        <w:t>tentang</w:t>
      </w:r>
      <w:r w:rsidR="00A954D0">
        <w:rPr>
          <w:rFonts w:ascii="Bookman Old Style" w:hAnsi="Bookman Old Style" w:cs="Arial"/>
          <w:lang w:val="sv-FI"/>
        </w:rPr>
        <w:t xml:space="preserve"> </w:t>
      </w:r>
      <w:r w:rsidRPr="00727324">
        <w:rPr>
          <w:rFonts w:ascii="Bookman Old Style" w:hAnsi="Bookman Old Style" w:cs="Arial"/>
          <w:lang w:val="sv-FI"/>
        </w:rPr>
        <w:t>Anggaran</w:t>
      </w:r>
      <w:r w:rsidR="00A954D0">
        <w:rPr>
          <w:rFonts w:ascii="Bookman Old Style" w:hAnsi="Bookman Old Style" w:cs="Arial"/>
          <w:lang w:val="sv-FI"/>
        </w:rPr>
        <w:t xml:space="preserve"> </w:t>
      </w:r>
      <w:r w:rsidRPr="00727324">
        <w:rPr>
          <w:rFonts w:ascii="Bookman Old Style" w:hAnsi="Bookman Old Style" w:cs="Arial"/>
          <w:lang w:val="sv-FI"/>
        </w:rPr>
        <w:t>Pendapatan</w:t>
      </w:r>
      <w:r w:rsidR="00A954D0">
        <w:rPr>
          <w:rFonts w:ascii="Bookman Old Style" w:hAnsi="Bookman Old Style" w:cs="Arial"/>
          <w:lang w:val="sv-FI"/>
        </w:rPr>
        <w:t xml:space="preserve"> </w:t>
      </w:r>
      <w:r w:rsidRPr="00727324">
        <w:rPr>
          <w:rFonts w:ascii="Bookman Old Style" w:hAnsi="Bookman Old Style" w:cs="Arial"/>
          <w:lang w:val="sv-FI"/>
        </w:rPr>
        <w:t>dan</w:t>
      </w:r>
      <w:r w:rsidR="00A954D0">
        <w:rPr>
          <w:rFonts w:ascii="Bookman Old Style" w:hAnsi="Bookman Old Style" w:cs="Arial"/>
          <w:lang w:val="sv-FI"/>
        </w:rPr>
        <w:t xml:space="preserve"> </w:t>
      </w:r>
      <w:r w:rsidRPr="00727324">
        <w:rPr>
          <w:rFonts w:ascii="Bookman Old Style" w:hAnsi="Bookman Old Style" w:cs="Arial"/>
          <w:lang w:val="sv-FI"/>
        </w:rPr>
        <w:t>Belanja</w:t>
      </w:r>
      <w:r w:rsidR="00A954D0">
        <w:rPr>
          <w:rFonts w:ascii="Bookman Old Style" w:hAnsi="Bookman Old Style" w:cs="Arial"/>
          <w:lang w:val="sv-FI"/>
        </w:rPr>
        <w:t xml:space="preserve"> </w:t>
      </w:r>
      <w:r w:rsidRPr="00727324">
        <w:rPr>
          <w:rFonts w:ascii="Bookman Old Style" w:hAnsi="Bookman Old Style" w:cs="Arial"/>
          <w:lang w:val="sv-FI"/>
        </w:rPr>
        <w:t>Daerah</w:t>
      </w:r>
      <w:r w:rsidR="00A954D0">
        <w:rPr>
          <w:rFonts w:ascii="Bookman Old Style" w:hAnsi="Bookman Old Style" w:cs="Arial"/>
          <w:lang w:val="sv-FI"/>
        </w:rPr>
        <w:t xml:space="preserve"> </w:t>
      </w:r>
      <w:r w:rsidRPr="00727324">
        <w:rPr>
          <w:rFonts w:ascii="Bookman Old Style" w:hAnsi="Bookman Old Style" w:cs="Arial"/>
          <w:lang w:val="sv-FI"/>
        </w:rPr>
        <w:t>Tahun</w:t>
      </w:r>
      <w:r w:rsidR="00A954D0">
        <w:rPr>
          <w:rFonts w:ascii="Bookman Old Style" w:hAnsi="Bookman Old Style" w:cs="Arial"/>
          <w:lang w:val="sv-FI"/>
        </w:rPr>
        <w:t xml:space="preserve"> </w:t>
      </w:r>
      <w:r w:rsidRPr="00727324">
        <w:rPr>
          <w:rFonts w:ascii="Bookman Old Style" w:hAnsi="Bookman Old Style" w:cs="Arial"/>
          <w:lang w:val="sv-FI"/>
        </w:rPr>
        <w:t>Anggaran</w:t>
      </w:r>
      <w:r w:rsidR="00A954D0">
        <w:rPr>
          <w:rFonts w:ascii="Bookman Old Style" w:hAnsi="Bookman Old Style" w:cs="Arial"/>
          <w:lang w:val="sv-FI"/>
        </w:rPr>
        <w:t xml:space="preserve"> </w:t>
      </w:r>
      <w:r w:rsidRPr="00727324">
        <w:rPr>
          <w:rFonts w:ascii="Bookman Old Style" w:hAnsi="Bookman Old Style" w:cs="Arial"/>
          <w:lang w:val="sv-FI"/>
        </w:rPr>
        <w:t>2025</w:t>
      </w:r>
      <w:r w:rsidR="00A954D0">
        <w:rPr>
          <w:rFonts w:ascii="Bookman Old Style" w:hAnsi="Bookman Old Style" w:cs="Arial"/>
          <w:lang w:val="sv-FI"/>
        </w:rPr>
        <w:t xml:space="preserve"> </w:t>
      </w:r>
      <w:r w:rsidRPr="00727324">
        <w:rPr>
          <w:rFonts w:ascii="Bookman Old Style" w:hAnsi="Bookman Old Style" w:cs="Arial"/>
          <w:lang w:val="sv-FI"/>
        </w:rPr>
        <w:t>dan</w:t>
      </w:r>
      <w:r w:rsidR="00A954D0">
        <w:rPr>
          <w:rFonts w:ascii="Bookman Old Style" w:hAnsi="Bookman Old Style" w:cs="Arial"/>
          <w:lang w:val="sv-FI"/>
        </w:rPr>
        <w:t xml:space="preserve"> </w:t>
      </w:r>
      <w:r w:rsidRPr="00727324">
        <w:rPr>
          <w:rFonts w:ascii="Bookman Old Style" w:hAnsi="Bookman Old Style" w:cs="Arial"/>
          <w:lang w:val="sv-FI"/>
        </w:rPr>
        <w:t>Rancangan</w:t>
      </w:r>
      <w:r w:rsidR="00A954D0">
        <w:rPr>
          <w:rFonts w:ascii="Bookman Old Style" w:hAnsi="Bookman Old Style" w:cs="Arial"/>
          <w:lang w:val="sv-FI"/>
        </w:rPr>
        <w:t xml:space="preserve"> </w:t>
      </w:r>
      <w:r w:rsidRPr="00727324">
        <w:rPr>
          <w:rFonts w:ascii="Bookman Old Style" w:hAnsi="Bookman Old Style" w:cs="Arial"/>
          <w:lang w:val="sv-FI"/>
        </w:rPr>
        <w:t>Peraturan</w:t>
      </w:r>
      <w:r w:rsidR="00A954D0">
        <w:rPr>
          <w:rFonts w:ascii="Bookman Old Style" w:hAnsi="Bookman Old Style" w:cs="Arial"/>
          <w:lang w:val="sv-FI"/>
        </w:rPr>
        <w:t xml:space="preserve"> </w:t>
      </w:r>
      <w:r w:rsidR="001C092E">
        <w:rPr>
          <w:rFonts w:ascii="Bookman Old Style" w:hAnsi="Bookman Old Style" w:cs="Arial"/>
          <w:lang w:val="sv-FI"/>
        </w:rPr>
        <w:t>Wali</w:t>
      </w:r>
      <w:r w:rsidR="00A954D0">
        <w:rPr>
          <w:rFonts w:ascii="Bookman Old Style" w:hAnsi="Bookman Old Style" w:cs="Arial"/>
          <w:lang w:val="sv-FI"/>
        </w:rPr>
        <w:t xml:space="preserve"> </w:t>
      </w:r>
      <w:r w:rsidR="001C092E">
        <w:rPr>
          <w:rFonts w:ascii="Bookman Old Style" w:hAnsi="Bookman Old Style" w:cs="Arial"/>
          <w:lang w:val="sv-FI"/>
        </w:rPr>
        <w:t>Kota</w:t>
      </w:r>
      <w:r w:rsidR="00A954D0">
        <w:rPr>
          <w:rFonts w:ascii="Bookman Old Style" w:hAnsi="Bookman Old Style" w:cs="Arial"/>
          <w:lang w:val="sv-FI"/>
        </w:rPr>
        <w:t xml:space="preserve"> </w:t>
      </w:r>
      <w:r>
        <w:rPr>
          <w:rFonts w:ascii="Bookman Old Style" w:hAnsi="Bookman Old Style" w:cs="Arial"/>
          <w:lang w:val="sv-FI"/>
        </w:rPr>
        <w:t>Tangerang</w:t>
      </w:r>
      <w:r w:rsidR="00A954D0">
        <w:rPr>
          <w:rFonts w:ascii="Bookman Old Style" w:hAnsi="Bookman Old Style" w:cs="Arial"/>
          <w:lang w:val="sv-FI"/>
        </w:rPr>
        <w:t xml:space="preserve"> </w:t>
      </w:r>
      <w:r w:rsidRPr="00727324">
        <w:rPr>
          <w:rFonts w:ascii="Bookman Old Style" w:hAnsi="Bookman Old Style" w:cs="Arial"/>
          <w:lang w:val="sv-FI"/>
        </w:rPr>
        <w:t>tentang</w:t>
      </w:r>
      <w:r w:rsidR="00A954D0">
        <w:rPr>
          <w:rFonts w:ascii="Bookman Old Style" w:hAnsi="Bookman Old Style" w:cs="Arial"/>
          <w:lang w:val="sv-FI"/>
        </w:rPr>
        <w:t xml:space="preserve"> </w:t>
      </w:r>
      <w:r w:rsidRPr="00727324">
        <w:rPr>
          <w:rFonts w:ascii="Bookman Old Style" w:hAnsi="Bookman Old Style" w:cs="Arial"/>
          <w:lang w:val="sv-FI"/>
        </w:rPr>
        <w:t>Penjabaran</w:t>
      </w:r>
      <w:r w:rsidR="00A954D0">
        <w:rPr>
          <w:rFonts w:ascii="Bookman Old Style" w:hAnsi="Bookman Old Style" w:cs="Arial"/>
          <w:lang w:val="sv-FI"/>
        </w:rPr>
        <w:t xml:space="preserve"> </w:t>
      </w:r>
      <w:r w:rsidRPr="00727324">
        <w:rPr>
          <w:rFonts w:ascii="Bookman Old Style" w:hAnsi="Bookman Old Style" w:cs="Arial"/>
          <w:lang w:val="sv-FI"/>
        </w:rPr>
        <w:t>Anggaran</w:t>
      </w:r>
      <w:r w:rsidR="00A954D0">
        <w:rPr>
          <w:rFonts w:ascii="Bookman Old Style" w:hAnsi="Bookman Old Style" w:cs="Arial"/>
          <w:lang w:val="sv-FI"/>
        </w:rPr>
        <w:t xml:space="preserve"> </w:t>
      </w:r>
      <w:r w:rsidRPr="00727324">
        <w:rPr>
          <w:rFonts w:ascii="Bookman Old Style" w:hAnsi="Bookman Old Style" w:cs="Arial"/>
          <w:lang w:val="sv-FI"/>
        </w:rPr>
        <w:t>Pendapatan</w:t>
      </w:r>
      <w:r w:rsidR="00A954D0">
        <w:rPr>
          <w:rFonts w:ascii="Bookman Old Style" w:hAnsi="Bookman Old Style" w:cs="Arial"/>
          <w:lang w:val="sv-FI"/>
        </w:rPr>
        <w:t xml:space="preserve"> </w:t>
      </w:r>
      <w:r w:rsidRPr="00727324">
        <w:rPr>
          <w:rFonts w:ascii="Bookman Old Style" w:hAnsi="Bookman Old Style" w:cs="Arial"/>
          <w:lang w:val="sv-FI"/>
        </w:rPr>
        <w:t>dan</w:t>
      </w:r>
      <w:r w:rsidR="00A954D0">
        <w:rPr>
          <w:rFonts w:ascii="Bookman Old Style" w:hAnsi="Bookman Old Style" w:cs="Arial"/>
          <w:lang w:val="sv-FI"/>
        </w:rPr>
        <w:t xml:space="preserve"> </w:t>
      </w:r>
      <w:r w:rsidRPr="00727324">
        <w:rPr>
          <w:rFonts w:ascii="Bookman Old Style" w:hAnsi="Bookman Old Style" w:cs="Arial"/>
          <w:lang w:val="sv-FI"/>
        </w:rPr>
        <w:t>Belanja</w:t>
      </w:r>
      <w:r w:rsidR="00A954D0">
        <w:rPr>
          <w:rFonts w:ascii="Bookman Old Style" w:hAnsi="Bookman Old Style" w:cs="Arial"/>
          <w:lang w:val="sv-FI"/>
        </w:rPr>
        <w:t xml:space="preserve"> </w:t>
      </w:r>
      <w:r w:rsidRPr="00727324">
        <w:rPr>
          <w:rFonts w:ascii="Bookman Old Style" w:hAnsi="Bookman Old Style" w:cs="Arial"/>
          <w:lang w:val="sv-FI"/>
        </w:rPr>
        <w:t>Daerah</w:t>
      </w:r>
      <w:r w:rsidR="00A954D0">
        <w:rPr>
          <w:rFonts w:ascii="Bookman Old Style" w:hAnsi="Bookman Old Style" w:cs="Arial"/>
          <w:lang w:val="sv-FI"/>
        </w:rPr>
        <w:t xml:space="preserve"> </w:t>
      </w:r>
      <w:r w:rsidRPr="00727324">
        <w:rPr>
          <w:rFonts w:ascii="Bookman Old Style" w:hAnsi="Bookman Old Style" w:cs="Arial"/>
          <w:lang w:val="sv-FI"/>
        </w:rPr>
        <w:t>Tahun</w:t>
      </w:r>
      <w:r w:rsidR="00A954D0">
        <w:rPr>
          <w:rFonts w:ascii="Bookman Old Style" w:hAnsi="Bookman Old Style" w:cs="Arial"/>
          <w:lang w:val="sv-FI"/>
        </w:rPr>
        <w:t xml:space="preserve"> </w:t>
      </w:r>
      <w:r w:rsidRPr="00727324">
        <w:rPr>
          <w:rFonts w:ascii="Bookman Old Style" w:hAnsi="Bookman Old Style" w:cs="Arial"/>
          <w:lang w:val="sv-FI"/>
        </w:rPr>
        <w:t>Anggaran</w:t>
      </w:r>
      <w:r w:rsidR="00A954D0">
        <w:rPr>
          <w:rFonts w:ascii="Bookman Old Style" w:hAnsi="Bookman Old Style" w:cs="Arial"/>
          <w:lang w:val="sv-FI"/>
        </w:rPr>
        <w:t xml:space="preserve"> </w:t>
      </w:r>
      <w:r w:rsidRPr="00727324">
        <w:rPr>
          <w:rFonts w:ascii="Bookman Old Style" w:hAnsi="Bookman Old Style" w:cs="Arial"/>
          <w:lang w:val="sv-FI"/>
        </w:rPr>
        <w:t>2025,</w:t>
      </w:r>
      <w:r w:rsidR="00A954D0">
        <w:rPr>
          <w:rFonts w:ascii="Bookman Old Style" w:hAnsi="Bookman Old Style" w:cs="Arial"/>
          <w:lang w:val="sv-FI"/>
        </w:rPr>
        <w:t xml:space="preserve"> </w:t>
      </w:r>
      <w:r w:rsidRPr="00727324">
        <w:rPr>
          <w:rFonts w:ascii="Bookman Old Style" w:hAnsi="Bookman Old Style" w:cs="Arial"/>
          <w:lang w:val="sv-FI"/>
        </w:rPr>
        <w:t>masih</w:t>
      </w:r>
      <w:r w:rsidR="00A954D0">
        <w:rPr>
          <w:rFonts w:ascii="Bookman Old Style" w:hAnsi="Bookman Old Style" w:cs="Arial"/>
          <w:lang w:val="sv-FI"/>
        </w:rPr>
        <w:t xml:space="preserve"> </w:t>
      </w:r>
      <w:r w:rsidRPr="00727324">
        <w:rPr>
          <w:rFonts w:ascii="Bookman Old Style" w:hAnsi="Bookman Old Style" w:cs="Arial"/>
          <w:lang w:val="sv-FI"/>
        </w:rPr>
        <w:t>memerlukan</w:t>
      </w:r>
      <w:r w:rsidR="00A954D0">
        <w:rPr>
          <w:rFonts w:ascii="Bookman Old Style" w:hAnsi="Bookman Old Style" w:cs="Arial"/>
          <w:lang w:val="sv-FI"/>
        </w:rPr>
        <w:t xml:space="preserve"> </w:t>
      </w:r>
      <w:r w:rsidRPr="00727324">
        <w:rPr>
          <w:rFonts w:ascii="Bookman Old Style" w:hAnsi="Bookman Old Style" w:cs="Arial"/>
          <w:lang w:val="sv-FI"/>
        </w:rPr>
        <w:t>beberapa</w:t>
      </w:r>
      <w:r w:rsidR="00A954D0">
        <w:rPr>
          <w:rFonts w:ascii="Bookman Old Style" w:hAnsi="Bookman Old Style" w:cs="Arial"/>
          <w:lang w:val="sv-FI"/>
        </w:rPr>
        <w:t xml:space="preserve"> </w:t>
      </w:r>
      <w:r w:rsidRPr="00727324">
        <w:rPr>
          <w:rFonts w:ascii="Bookman Old Style" w:hAnsi="Bookman Old Style" w:cs="Arial"/>
          <w:lang w:val="sv-FI"/>
        </w:rPr>
        <w:t>perbaikan</w:t>
      </w:r>
      <w:r w:rsidR="00A954D0">
        <w:rPr>
          <w:rFonts w:ascii="Bookman Old Style" w:hAnsi="Bookman Old Style" w:cs="Arial"/>
          <w:lang w:val="sv-FI"/>
        </w:rPr>
        <w:t xml:space="preserve"> </w:t>
      </w:r>
      <w:r w:rsidRPr="00727324">
        <w:rPr>
          <w:rFonts w:ascii="Bookman Old Style" w:hAnsi="Bookman Old Style" w:cs="Arial"/>
          <w:lang w:val="sv-FI"/>
        </w:rPr>
        <w:t>sebagai</w:t>
      </w:r>
      <w:r w:rsidR="00A954D0">
        <w:rPr>
          <w:rFonts w:ascii="Bookman Old Style" w:hAnsi="Bookman Old Style" w:cs="Arial"/>
          <w:lang w:val="sv-FI"/>
        </w:rPr>
        <w:t xml:space="preserve"> </w:t>
      </w:r>
      <w:r w:rsidRPr="00727324">
        <w:rPr>
          <w:rFonts w:ascii="Bookman Old Style" w:hAnsi="Bookman Old Style" w:cs="Arial"/>
          <w:lang w:val="sv-FI"/>
        </w:rPr>
        <w:t>berikut:</w:t>
      </w:r>
    </w:p>
    <w:p w14:paraId="1875F389" w14:textId="4D141FD7" w:rsidR="006E2F8F" w:rsidRPr="00877C5F" w:rsidRDefault="006E2F8F">
      <w:pPr>
        <w:pStyle w:val="ListParagraph"/>
        <w:numPr>
          <w:ilvl w:val="0"/>
          <w:numId w:val="172"/>
        </w:numPr>
        <w:snapToGrid w:val="0"/>
        <w:spacing w:before="60" w:after="0" w:line="276" w:lineRule="auto"/>
        <w:ind w:left="1276" w:hanging="284"/>
        <w:contextualSpacing w:val="0"/>
        <w:jc w:val="both"/>
        <w:rPr>
          <w:rFonts w:ascii="Bookman Old Style" w:hAnsi="Bookman Old Style"/>
          <w:sz w:val="24"/>
          <w:szCs w:val="24"/>
        </w:rPr>
      </w:pPr>
      <w:r w:rsidRPr="00877C5F">
        <w:rPr>
          <w:rFonts w:ascii="Bookman Old Style" w:hAnsi="Bookman Old Style"/>
          <w:sz w:val="24"/>
          <w:szCs w:val="24"/>
        </w:rPr>
        <w:lastRenderedPageBreak/>
        <w:t>Rancangan</w:t>
      </w:r>
      <w:r w:rsidR="00A954D0">
        <w:rPr>
          <w:rFonts w:ascii="Bookman Old Style" w:hAnsi="Bookman Old Style"/>
          <w:sz w:val="24"/>
          <w:szCs w:val="24"/>
        </w:rPr>
        <w:t xml:space="preserve"> </w:t>
      </w:r>
      <w:r w:rsidRPr="00877C5F">
        <w:rPr>
          <w:rFonts w:ascii="Bookman Old Style" w:hAnsi="Bookman Old Style"/>
          <w:sz w:val="24"/>
          <w:szCs w:val="24"/>
        </w:rPr>
        <w:t>Peraturan</w:t>
      </w:r>
      <w:r w:rsidR="00A954D0">
        <w:rPr>
          <w:rFonts w:ascii="Bookman Old Style" w:hAnsi="Bookman Old Style"/>
          <w:sz w:val="24"/>
          <w:szCs w:val="24"/>
        </w:rPr>
        <w:t xml:space="preserve"> </w:t>
      </w:r>
      <w:r w:rsidRPr="00877C5F">
        <w:rPr>
          <w:rFonts w:ascii="Bookman Old Style" w:hAnsi="Bookman Old Style"/>
          <w:sz w:val="24"/>
          <w:szCs w:val="24"/>
        </w:rPr>
        <w:t>Daerah</w:t>
      </w:r>
    </w:p>
    <w:p w14:paraId="000C7BA8" w14:textId="785FCEF9" w:rsidR="006E2F8F" w:rsidRPr="00877C5F" w:rsidRDefault="006E2F8F" w:rsidP="00DD7816">
      <w:pPr>
        <w:snapToGrid w:val="0"/>
        <w:spacing w:before="60" w:line="276" w:lineRule="auto"/>
        <w:ind w:left="1276"/>
        <w:jc w:val="both"/>
        <w:rPr>
          <w:rFonts w:ascii="Bookman Old Style" w:eastAsiaTheme="minorHAnsi" w:hAnsi="Bookman Old Style" w:cstheme="minorBidi"/>
          <w:lang w:val="sv-SE"/>
        </w:rPr>
      </w:pPr>
      <w:r w:rsidRPr="00877C5F">
        <w:rPr>
          <w:rFonts w:ascii="Bookman Old Style" w:eastAsiaTheme="minorHAnsi" w:hAnsi="Bookman Old Style" w:cstheme="minorBidi"/>
          <w:lang w:val="sv-SE"/>
        </w:rPr>
        <w:t>Rancangan</w:t>
      </w:r>
      <w:r w:rsidR="00A954D0">
        <w:rPr>
          <w:rFonts w:ascii="Bookman Old Style" w:eastAsiaTheme="minorHAnsi" w:hAnsi="Bookman Old Style" w:cstheme="minorBidi"/>
          <w:lang w:val="sv-SE"/>
        </w:rPr>
        <w:t xml:space="preserve"> </w:t>
      </w:r>
      <w:r w:rsidRPr="00877C5F">
        <w:rPr>
          <w:rFonts w:ascii="Bookman Old Style" w:eastAsiaTheme="minorHAnsi" w:hAnsi="Bookman Old Style" w:cstheme="minorBidi"/>
          <w:lang w:val="sv-SE"/>
        </w:rPr>
        <w:t>Peraturan</w:t>
      </w:r>
      <w:r w:rsidR="00A954D0">
        <w:rPr>
          <w:rFonts w:ascii="Bookman Old Style" w:eastAsiaTheme="minorHAnsi" w:hAnsi="Bookman Old Style" w:cstheme="minorBidi"/>
          <w:lang w:val="sv-SE"/>
        </w:rPr>
        <w:t xml:space="preserve"> </w:t>
      </w:r>
      <w:r w:rsidRPr="00877C5F">
        <w:rPr>
          <w:rFonts w:ascii="Bookman Old Style" w:eastAsiaTheme="minorHAnsi" w:hAnsi="Bookman Old Style" w:cstheme="minorBidi"/>
          <w:lang w:val="sv-SE"/>
        </w:rPr>
        <w:t>Daerah</w:t>
      </w:r>
      <w:r w:rsidR="00A954D0">
        <w:rPr>
          <w:rFonts w:ascii="Bookman Old Style" w:eastAsiaTheme="minorHAnsi" w:hAnsi="Bookman Old Style" w:cstheme="minorBidi"/>
          <w:lang w:val="sv-SE"/>
        </w:rPr>
        <w:t xml:space="preserve"> </w:t>
      </w:r>
      <w:r>
        <w:rPr>
          <w:rFonts w:ascii="Bookman Old Style" w:eastAsiaTheme="minorHAnsi" w:hAnsi="Bookman Old Style" w:cstheme="minorBidi"/>
          <w:lang w:val="sv-SE"/>
        </w:rPr>
        <w:t>Kota</w:t>
      </w:r>
      <w:r w:rsidR="00A954D0">
        <w:rPr>
          <w:rFonts w:ascii="Bookman Old Style" w:eastAsiaTheme="minorHAnsi" w:hAnsi="Bookman Old Style" w:cstheme="minorBidi"/>
          <w:lang w:val="sv-SE"/>
        </w:rPr>
        <w:t xml:space="preserve"> </w:t>
      </w:r>
      <w:r>
        <w:rPr>
          <w:rFonts w:ascii="Bookman Old Style" w:eastAsiaTheme="minorHAnsi" w:hAnsi="Bookman Old Style" w:cstheme="minorBidi"/>
          <w:lang w:val="sv-SE"/>
        </w:rPr>
        <w:t>Tangerang</w:t>
      </w:r>
      <w:r w:rsidR="00A954D0">
        <w:rPr>
          <w:rFonts w:ascii="Bookman Old Style" w:eastAsiaTheme="minorHAnsi" w:hAnsi="Bookman Old Style" w:cstheme="minorBidi"/>
          <w:lang w:val="sv-SE"/>
        </w:rPr>
        <w:t xml:space="preserve"> </w:t>
      </w:r>
      <w:r w:rsidRPr="00877C5F">
        <w:rPr>
          <w:rFonts w:ascii="Bookman Old Style" w:eastAsiaTheme="minorHAnsi" w:hAnsi="Bookman Old Style" w:cstheme="minorBidi"/>
          <w:lang w:val="sv-SE"/>
        </w:rPr>
        <w:t>tentang</w:t>
      </w:r>
      <w:r w:rsidR="00A954D0">
        <w:rPr>
          <w:rFonts w:ascii="Bookman Old Style" w:eastAsiaTheme="minorHAnsi" w:hAnsi="Bookman Old Style" w:cstheme="minorBidi"/>
          <w:lang w:val="sv-SE"/>
        </w:rPr>
        <w:t xml:space="preserve"> </w:t>
      </w:r>
      <w:r w:rsidRPr="003255BC">
        <w:rPr>
          <w:rFonts w:ascii="Bookman Old Style" w:hAnsi="Bookman Old Style" w:cs="Arial"/>
          <w:lang w:val="sv-FI"/>
        </w:rPr>
        <w:t>Anggaran</w:t>
      </w:r>
      <w:r w:rsidR="00A954D0" w:rsidRPr="003255BC">
        <w:rPr>
          <w:rFonts w:ascii="Bookman Old Style" w:hAnsi="Bookman Old Style" w:cs="Arial"/>
          <w:lang w:val="sv-FI"/>
        </w:rPr>
        <w:t xml:space="preserve"> </w:t>
      </w:r>
      <w:r w:rsidRPr="003255BC">
        <w:rPr>
          <w:rFonts w:ascii="Bookman Old Style" w:hAnsi="Bookman Old Style" w:cs="Arial"/>
          <w:lang w:val="sv-FI"/>
        </w:rPr>
        <w:t>Pendapatan</w:t>
      </w:r>
      <w:r w:rsidR="00A954D0" w:rsidRPr="003255BC">
        <w:rPr>
          <w:rFonts w:ascii="Bookman Old Style" w:hAnsi="Bookman Old Style" w:cs="Arial"/>
          <w:lang w:val="sv-FI"/>
        </w:rPr>
        <w:t xml:space="preserve"> </w:t>
      </w:r>
      <w:r w:rsidRPr="003255BC">
        <w:rPr>
          <w:rFonts w:ascii="Bookman Old Style" w:hAnsi="Bookman Old Style" w:cs="Arial"/>
          <w:lang w:val="sv-FI"/>
        </w:rPr>
        <w:t>dan</w:t>
      </w:r>
      <w:r w:rsidR="00A954D0" w:rsidRPr="003255BC">
        <w:rPr>
          <w:rFonts w:ascii="Bookman Old Style" w:hAnsi="Bookman Old Style" w:cs="Arial"/>
          <w:lang w:val="sv-FI"/>
        </w:rPr>
        <w:t xml:space="preserve"> </w:t>
      </w:r>
      <w:r w:rsidRPr="003255BC">
        <w:rPr>
          <w:rFonts w:ascii="Bookman Old Style" w:hAnsi="Bookman Old Style" w:cs="Arial"/>
          <w:lang w:val="sv-FI"/>
        </w:rPr>
        <w:t>Belanja</w:t>
      </w:r>
      <w:r w:rsidR="00A954D0" w:rsidRPr="003255BC">
        <w:rPr>
          <w:rFonts w:ascii="Bookman Old Style" w:hAnsi="Bookman Old Style" w:cs="Arial"/>
          <w:lang w:val="sv-FI"/>
        </w:rPr>
        <w:t xml:space="preserve"> </w:t>
      </w:r>
      <w:r w:rsidRPr="003255BC">
        <w:rPr>
          <w:rFonts w:ascii="Bookman Old Style" w:hAnsi="Bookman Old Style" w:cs="Arial"/>
          <w:lang w:val="sv-FI"/>
        </w:rPr>
        <w:t>Daerah</w:t>
      </w:r>
      <w:r w:rsidR="00A954D0" w:rsidRPr="003255BC">
        <w:rPr>
          <w:rFonts w:ascii="Bookman Old Style" w:hAnsi="Bookman Old Style" w:cs="Arial"/>
          <w:lang w:val="sv-FI"/>
        </w:rPr>
        <w:t xml:space="preserve"> </w:t>
      </w:r>
      <w:r w:rsidRPr="003255BC">
        <w:rPr>
          <w:rFonts w:ascii="Bookman Old Style" w:hAnsi="Bookman Old Style" w:cs="Arial"/>
          <w:lang w:val="sv-FI"/>
        </w:rPr>
        <w:t>Tahun</w:t>
      </w:r>
      <w:r w:rsidR="00A954D0" w:rsidRPr="003255BC">
        <w:rPr>
          <w:rFonts w:ascii="Bookman Old Style" w:hAnsi="Bookman Old Style" w:cs="Arial"/>
          <w:lang w:val="sv-FI"/>
        </w:rPr>
        <w:t xml:space="preserve"> </w:t>
      </w:r>
      <w:r w:rsidRPr="003255BC">
        <w:rPr>
          <w:rFonts w:ascii="Bookman Old Style" w:hAnsi="Bookman Old Style" w:cs="Arial"/>
          <w:lang w:val="sv-FI"/>
        </w:rPr>
        <w:t>Anggaran</w:t>
      </w:r>
      <w:r w:rsidR="00A954D0" w:rsidRPr="003255BC">
        <w:rPr>
          <w:rFonts w:ascii="Bookman Old Style" w:hAnsi="Bookman Old Style" w:cs="Arial"/>
          <w:lang w:val="sv-FI"/>
        </w:rPr>
        <w:t xml:space="preserve"> </w:t>
      </w:r>
      <w:r w:rsidRPr="003255BC">
        <w:rPr>
          <w:rFonts w:ascii="Bookman Old Style" w:hAnsi="Bookman Old Style" w:cs="Arial"/>
          <w:lang w:val="sv-FI"/>
        </w:rPr>
        <w:t>2025</w:t>
      </w:r>
      <w:r w:rsidR="00A954D0">
        <w:rPr>
          <w:rFonts w:ascii="Bookman Old Style" w:eastAsiaTheme="minorHAnsi" w:hAnsi="Bookman Old Style" w:cstheme="minorBidi"/>
          <w:lang w:val="sv-SE"/>
        </w:rPr>
        <w:t xml:space="preserve"> </w:t>
      </w:r>
      <w:r w:rsidRPr="00877C5F">
        <w:rPr>
          <w:rFonts w:ascii="Bookman Old Style" w:eastAsiaTheme="minorHAnsi" w:hAnsi="Bookman Old Style" w:cstheme="minorBidi"/>
          <w:lang w:val="sv-SE"/>
        </w:rPr>
        <w:t>sebagai</w:t>
      </w:r>
      <w:r w:rsidR="00A954D0">
        <w:rPr>
          <w:rFonts w:ascii="Bookman Old Style" w:eastAsiaTheme="minorHAnsi" w:hAnsi="Bookman Old Style" w:cstheme="minorBidi"/>
          <w:lang w:val="sv-SE"/>
        </w:rPr>
        <w:t xml:space="preserve"> </w:t>
      </w:r>
      <w:r w:rsidRPr="00877C5F">
        <w:rPr>
          <w:rFonts w:ascii="Bookman Old Style" w:eastAsiaTheme="minorHAnsi" w:hAnsi="Bookman Old Style" w:cstheme="minorBidi"/>
          <w:lang w:val="sv-SE"/>
        </w:rPr>
        <w:t>berikut:</w:t>
      </w:r>
    </w:p>
    <w:p w14:paraId="79F087F0" w14:textId="6AA52C67" w:rsidR="006E2F8F" w:rsidRPr="007F65E7" w:rsidRDefault="006E2F8F">
      <w:pPr>
        <w:numPr>
          <w:ilvl w:val="0"/>
          <w:numId w:val="173"/>
        </w:numPr>
        <w:snapToGrid w:val="0"/>
        <w:spacing w:before="60" w:line="276" w:lineRule="auto"/>
        <w:ind w:left="1702" w:hanging="425"/>
        <w:jc w:val="both"/>
        <w:rPr>
          <w:rFonts w:ascii="Bookman Old Style" w:eastAsiaTheme="minorHAnsi" w:hAnsi="Bookman Old Style" w:cstheme="minorBidi"/>
          <w:lang w:val="sv-SE"/>
        </w:rPr>
      </w:pPr>
      <w:r w:rsidRPr="00877C5F">
        <w:rPr>
          <w:rFonts w:ascii="Bookman Old Style" w:eastAsiaTheme="minorHAnsi" w:hAnsi="Bookman Old Style" w:cstheme="minorBidi"/>
          <w:lang w:val="sv-SE"/>
        </w:rPr>
        <w:t>Konsiderans</w:t>
      </w:r>
      <w:r w:rsidR="00A954D0">
        <w:rPr>
          <w:rFonts w:ascii="Bookman Old Style" w:eastAsiaTheme="minorHAnsi" w:hAnsi="Bookman Old Style" w:cstheme="minorBidi"/>
          <w:lang w:val="sv-SE"/>
        </w:rPr>
        <w:t xml:space="preserve"> </w:t>
      </w:r>
      <w:r w:rsidRPr="00877C5F">
        <w:rPr>
          <w:rFonts w:ascii="Bookman Old Style" w:eastAsiaTheme="minorHAnsi" w:hAnsi="Bookman Old Style" w:cstheme="minorBidi"/>
          <w:lang w:val="sv-SE"/>
        </w:rPr>
        <w:t>Menimbang</w:t>
      </w:r>
      <w:r w:rsidR="00A954D0">
        <w:rPr>
          <w:rFonts w:ascii="Bookman Old Style" w:eastAsiaTheme="minorHAnsi" w:hAnsi="Bookman Old Style" w:cstheme="minorBidi"/>
          <w:lang w:val="sv-SE"/>
        </w:rPr>
        <w:t xml:space="preserve"> </w:t>
      </w:r>
      <w:r w:rsidRPr="00877C5F">
        <w:rPr>
          <w:rFonts w:ascii="Bookman Old Style" w:eastAsiaTheme="minorHAnsi" w:hAnsi="Bookman Old Style" w:cstheme="minorBidi"/>
          <w:lang w:val="sv-SE"/>
        </w:rPr>
        <w:t>agar</w:t>
      </w:r>
      <w:r w:rsidR="00A954D0">
        <w:rPr>
          <w:rFonts w:ascii="Bookman Old Style" w:eastAsiaTheme="minorHAnsi" w:hAnsi="Bookman Old Style" w:cstheme="minorBidi"/>
          <w:lang w:val="sv-SE"/>
        </w:rPr>
        <w:t xml:space="preserve"> </w:t>
      </w:r>
      <w:r w:rsidRPr="00877C5F">
        <w:rPr>
          <w:rFonts w:ascii="Bookman Old Style" w:eastAsiaTheme="minorHAnsi" w:hAnsi="Bookman Old Style" w:cstheme="minorBidi"/>
          <w:lang w:val="sv-SE"/>
        </w:rPr>
        <w:t>diperbaiki</w:t>
      </w:r>
      <w:r w:rsidR="00A954D0">
        <w:rPr>
          <w:rFonts w:ascii="Bookman Old Style" w:eastAsiaTheme="minorHAnsi" w:hAnsi="Bookman Old Style" w:cstheme="minorBidi"/>
          <w:lang w:val="sv-SE"/>
        </w:rPr>
        <w:t xml:space="preserve"> </w:t>
      </w:r>
      <w:r w:rsidRPr="00877C5F">
        <w:rPr>
          <w:rFonts w:ascii="Bookman Old Style" w:eastAsiaTheme="minorHAnsi" w:hAnsi="Bookman Old Style" w:cstheme="minorBidi"/>
          <w:lang w:val="sv-SE"/>
        </w:rPr>
        <w:t>redaksionalnya</w:t>
      </w:r>
      <w:r w:rsidR="00A954D0">
        <w:rPr>
          <w:rFonts w:ascii="Bookman Old Style" w:eastAsiaTheme="minorHAnsi" w:hAnsi="Bookman Old Style" w:cstheme="minorBidi"/>
          <w:lang w:val="sv-SE"/>
        </w:rPr>
        <w:t xml:space="preserve"> </w:t>
      </w:r>
      <w:r w:rsidRPr="00877C5F">
        <w:rPr>
          <w:rFonts w:ascii="Bookman Old Style" w:eastAsiaTheme="minorHAnsi" w:hAnsi="Bookman Old Style" w:cstheme="minorBidi"/>
          <w:lang w:val="sv-SE"/>
        </w:rPr>
        <w:t>menjadi:</w:t>
      </w:r>
    </w:p>
    <w:p w14:paraId="1B9BECF7" w14:textId="1AF713FF" w:rsidR="006E2F8F" w:rsidRPr="002E0208" w:rsidRDefault="006E2F8F" w:rsidP="00DD7816">
      <w:pPr>
        <w:snapToGrid w:val="0"/>
        <w:spacing w:before="60" w:line="276" w:lineRule="auto"/>
        <w:ind w:left="1702"/>
        <w:jc w:val="both"/>
        <w:rPr>
          <w:rFonts w:ascii="Bookman Old Style" w:eastAsiaTheme="minorHAnsi" w:hAnsi="Bookman Old Style" w:cstheme="minorBidi"/>
          <w:b/>
          <w:bCs/>
          <w:lang w:val="sv-SE"/>
        </w:rPr>
      </w:pPr>
      <w:r w:rsidRPr="00256727">
        <w:rPr>
          <w:rFonts w:ascii="Bookman Old Style" w:hAnsi="Bookman Old Style"/>
          <w:b/>
          <w:bCs/>
          <w:lang w:val="sv-FI"/>
        </w:rPr>
        <w:t>“bahwa</w:t>
      </w:r>
      <w:r w:rsidR="00A954D0" w:rsidRPr="00256727">
        <w:rPr>
          <w:rFonts w:ascii="Bookman Old Style" w:hAnsi="Bookman Old Style"/>
          <w:b/>
          <w:bCs/>
          <w:lang w:val="sv-FI"/>
        </w:rPr>
        <w:t xml:space="preserve"> </w:t>
      </w:r>
      <w:r w:rsidRPr="00256727">
        <w:rPr>
          <w:rFonts w:ascii="Bookman Old Style" w:hAnsi="Bookman Old Style"/>
          <w:b/>
          <w:bCs/>
          <w:lang w:val="sv-FI"/>
        </w:rPr>
        <w:t>untuk</w:t>
      </w:r>
      <w:r w:rsidR="00A954D0" w:rsidRPr="00256727">
        <w:rPr>
          <w:rFonts w:ascii="Bookman Old Style" w:hAnsi="Bookman Old Style"/>
          <w:b/>
          <w:bCs/>
          <w:lang w:val="sv-FI"/>
        </w:rPr>
        <w:t xml:space="preserve"> </w:t>
      </w:r>
      <w:r w:rsidRPr="00256727">
        <w:rPr>
          <w:rFonts w:ascii="Bookman Old Style" w:hAnsi="Bookman Old Style"/>
          <w:b/>
          <w:bCs/>
          <w:lang w:val="sv-FI"/>
        </w:rPr>
        <w:t>melaksanakan</w:t>
      </w:r>
      <w:r w:rsidR="00A954D0" w:rsidRPr="00256727">
        <w:rPr>
          <w:rFonts w:ascii="Bookman Old Style" w:hAnsi="Bookman Old Style"/>
          <w:b/>
          <w:bCs/>
          <w:lang w:val="sv-FI"/>
        </w:rPr>
        <w:t xml:space="preserve"> </w:t>
      </w:r>
      <w:r w:rsidRPr="00256727">
        <w:rPr>
          <w:rFonts w:ascii="Bookman Old Style" w:hAnsi="Bookman Old Style"/>
          <w:b/>
          <w:bCs/>
          <w:lang w:val="sv-FI"/>
        </w:rPr>
        <w:t>ketentuan</w:t>
      </w:r>
      <w:r w:rsidR="00A954D0" w:rsidRPr="00256727">
        <w:rPr>
          <w:rFonts w:ascii="Bookman Old Style" w:hAnsi="Bookman Old Style"/>
          <w:b/>
          <w:bCs/>
          <w:lang w:val="sv-FI"/>
        </w:rPr>
        <w:t xml:space="preserve"> </w:t>
      </w:r>
      <w:r w:rsidRPr="00256727">
        <w:rPr>
          <w:rFonts w:ascii="Bookman Old Style" w:hAnsi="Bookman Old Style"/>
          <w:b/>
          <w:bCs/>
          <w:lang w:val="sv-FI"/>
        </w:rPr>
        <w:t>Pasal</w:t>
      </w:r>
      <w:r w:rsidR="00A954D0" w:rsidRPr="00256727">
        <w:rPr>
          <w:rFonts w:ascii="Bookman Old Style" w:hAnsi="Bookman Old Style"/>
          <w:b/>
          <w:bCs/>
          <w:lang w:val="sv-FI"/>
        </w:rPr>
        <w:t xml:space="preserve"> </w:t>
      </w:r>
      <w:r w:rsidRPr="00256727">
        <w:rPr>
          <w:rFonts w:ascii="Bookman Old Style" w:hAnsi="Bookman Old Style"/>
          <w:b/>
          <w:bCs/>
          <w:lang w:val="sv-FI"/>
        </w:rPr>
        <w:t>311</w:t>
      </w:r>
      <w:r w:rsidR="00A954D0" w:rsidRPr="00256727">
        <w:rPr>
          <w:rFonts w:ascii="Bookman Old Style" w:hAnsi="Bookman Old Style"/>
          <w:b/>
          <w:bCs/>
          <w:lang w:val="sv-FI"/>
        </w:rPr>
        <w:t xml:space="preserve"> </w:t>
      </w:r>
      <w:r w:rsidRPr="00256727">
        <w:rPr>
          <w:rFonts w:ascii="Bookman Old Style" w:hAnsi="Bookman Old Style"/>
          <w:b/>
          <w:bCs/>
          <w:lang w:val="sv-FI"/>
        </w:rPr>
        <w:t>ayat</w:t>
      </w:r>
      <w:r w:rsidR="00A954D0" w:rsidRPr="00256727">
        <w:rPr>
          <w:rFonts w:ascii="Bookman Old Style" w:hAnsi="Bookman Old Style"/>
          <w:b/>
          <w:bCs/>
          <w:lang w:val="sv-FI"/>
        </w:rPr>
        <w:t xml:space="preserve"> </w:t>
      </w:r>
      <w:r w:rsidRPr="00256727">
        <w:rPr>
          <w:rFonts w:ascii="Bookman Old Style" w:hAnsi="Bookman Old Style"/>
          <w:b/>
          <w:bCs/>
          <w:lang w:val="sv-FI"/>
        </w:rPr>
        <w:t>(1)</w:t>
      </w:r>
      <w:r w:rsidR="00A954D0" w:rsidRPr="00256727">
        <w:rPr>
          <w:rFonts w:ascii="Bookman Old Style" w:hAnsi="Bookman Old Style"/>
          <w:b/>
          <w:bCs/>
          <w:lang w:val="sv-FI"/>
        </w:rPr>
        <w:t xml:space="preserve"> </w:t>
      </w:r>
      <w:r w:rsidRPr="00256727">
        <w:rPr>
          <w:rFonts w:ascii="Bookman Old Style" w:hAnsi="Bookman Old Style"/>
          <w:b/>
          <w:bCs/>
          <w:lang w:val="sv-FI"/>
        </w:rPr>
        <w:t>Undang-Undang</w:t>
      </w:r>
      <w:r w:rsidR="00A954D0" w:rsidRPr="00256727">
        <w:rPr>
          <w:rFonts w:ascii="Bookman Old Style" w:hAnsi="Bookman Old Style"/>
          <w:b/>
          <w:bCs/>
          <w:lang w:val="sv-FI"/>
        </w:rPr>
        <w:t xml:space="preserve"> </w:t>
      </w:r>
      <w:r w:rsidRPr="00256727">
        <w:rPr>
          <w:rFonts w:ascii="Bookman Old Style" w:hAnsi="Bookman Old Style"/>
          <w:b/>
          <w:bCs/>
          <w:lang w:val="sv-FI"/>
        </w:rPr>
        <w:t>Nomor</w:t>
      </w:r>
      <w:r w:rsidR="00A954D0" w:rsidRPr="00256727">
        <w:rPr>
          <w:rFonts w:ascii="Bookman Old Style" w:hAnsi="Bookman Old Style"/>
          <w:b/>
          <w:bCs/>
          <w:lang w:val="sv-FI"/>
        </w:rPr>
        <w:t xml:space="preserve"> </w:t>
      </w:r>
      <w:r w:rsidRPr="00256727">
        <w:rPr>
          <w:rFonts w:ascii="Bookman Old Style" w:hAnsi="Bookman Old Style"/>
          <w:b/>
          <w:bCs/>
          <w:lang w:val="sv-FI"/>
        </w:rPr>
        <w:t>23</w:t>
      </w:r>
      <w:r w:rsidR="00A954D0" w:rsidRPr="00256727">
        <w:rPr>
          <w:rFonts w:ascii="Bookman Old Style" w:hAnsi="Bookman Old Style"/>
          <w:b/>
          <w:bCs/>
          <w:lang w:val="sv-FI"/>
        </w:rPr>
        <w:t xml:space="preserve"> </w:t>
      </w:r>
      <w:r w:rsidRPr="00256727">
        <w:rPr>
          <w:rFonts w:ascii="Bookman Old Style" w:hAnsi="Bookman Old Style"/>
          <w:b/>
          <w:bCs/>
          <w:lang w:val="sv-FI"/>
        </w:rPr>
        <w:t>Tahun</w:t>
      </w:r>
      <w:r w:rsidR="00A954D0" w:rsidRPr="00256727">
        <w:rPr>
          <w:rFonts w:ascii="Bookman Old Style" w:hAnsi="Bookman Old Style"/>
          <w:b/>
          <w:bCs/>
          <w:lang w:val="sv-FI"/>
        </w:rPr>
        <w:t xml:space="preserve"> </w:t>
      </w:r>
      <w:r w:rsidRPr="00256727">
        <w:rPr>
          <w:rFonts w:ascii="Bookman Old Style" w:hAnsi="Bookman Old Style"/>
          <w:b/>
          <w:bCs/>
          <w:lang w:val="sv-FI"/>
        </w:rPr>
        <w:t>2014</w:t>
      </w:r>
      <w:r w:rsidR="00A954D0" w:rsidRPr="00256727">
        <w:rPr>
          <w:rFonts w:ascii="Bookman Old Style" w:hAnsi="Bookman Old Style"/>
          <w:b/>
          <w:bCs/>
          <w:lang w:val="sv-FI"/>
        </w:rPr>
        <w:t xml:space="preserve"> </w:t>
      </w:r>
      <w:r w:rsidRPr="00256727">
        <w:rPr>
          <w:rFonts w:ascii="Bookman Old Style" w:hAnsi="Bookman Old Style"/>
          <w:b/>
          <w:bCs/>
          <w:lang w:val="sv-FI"/>
        </w:rPr>
        <w:t>tentang</w:t>
      </w:r>
      <w:r w:rsidR="00A954D0" w:rsidRPr="00256727">
        <w:rPr>
          <w:rFonts w:ascii="Bookman Old Style" w:hAnsi="Bookman Old Style"/>
          <w:b/>
          <w:bCs/>
          <w:lang w:val="sv-FI"/>
        </w:rPr>
        <w:t xml:space="preserve"> </w:t>
      </w:r>
      <w:r w:rsidRPr="00256727">
        <w:rPr>
          <w:rFonts w:ascii="Bookman Old Style" w:hAnsi="Bookman Old Style"/>
          <w:b/>
          <w:bCs/>
          <w:lang w:val="sv-FI"/>
        </w:rPr>
        <w:t>Pemerintahan</w:t>
      </w:r>
      <w:r w:rsidR="00A954D0" w:rsidRPr="00256727">
        <w:rPr>
          <w:rFonts w:ascii="Bookman Old Style" w:hAnsi="Bookman Old Style"/>
          <w:b/>
          <w:bCs/>
          <w:lang w:val="sv-FI"/>
        </w:rPr>
        <w:t xml:space="preserve"> </w:t>
      </w:r>
      <w:r w:rsidRPr="00256727">
        <w:rPr>
          <w:rFonts w:ascii="Bookman Old Style" w:hAnsi="Bookman Old Style"/>
          <w:b/>
          <w:bCs/>
          <w:lang w:val="sv-FI"/>
        </w:rPr>
        <w:t>Daerah</w:t>
      </w:r>
      <w:r w:rsidR="00A954D0" w:rsidRPr="00256727">
        <w:rPr>
          <w:rFonts w:ascii="Bookman Old Style" w:hAnsi="Bookman Old Style"/>
          <w:b/>
          <w:bCs/>
          <w:lang w:val="sv-FI"/>
        </w:rPr>
        <w:t xml:space="preserve"> </w:t>
      </w:r>
      <w:r w:rsidRPr="00256727">
        <w:rPr>
          <w:rFonts w:ascii="Bookman Old Style" w:hAnsi="Bookman Old Style"/>
          <w:b/>
          <w:bCs/>
          <w:lang w:val="sv-FI"/>
        </w:rPr>
        <w:t>sebagaimana</w:t>
      </w:r>
      <w:r w:rsidR="00A954D0" w:rsidRPr="00256727">
        <w:rPr>
          <w:rFonts w:ascii="Bookman Old Style" w:hAnsi="Bookman Old Style"/>
          <w:b/>
          <w:bCs/>
          <w:lang w:val="sv-FI"/>
        </w:rPr>
        <w:t xml:space="preserve"> </w:t>
      </w:r>
      <w:r w:rsidRPr="00256727">
        <w:rPr>
          <w:rFonts w:ascii="Bookman Old Style" w:hAnsi="Bookman Old Style"/>
          <w:b/>
          <w:bCs/>
          <w:lang w:val="sv-FI"/>
        </w:rPr>
        <w:t>telah</w:t>
      </w:r>
      <w:r w:rsidR="00A954D0" w:rsidRPr="00256727">
        <w:rPr>
          <w:rFonts w:ascii="Bookman Old Style" w:hAnsi="Bookman Old Style"/>
          <w:b/>
          <w:bCs/>
          <w:lang w:val="sv-FI"/>
        </w:rPr>
        <w:t xml:space="preserve"> </w:t>
      </w:r>
      <w:r w:rsidRPr="00256727">
        <w:rPr>
          <w:rFonts w:ascii="Bookman Old Style" w:hAnsi="Bookman Old Style"/>
          <w:b/>
          <w:bCs/>
          <w:lang w:val="sv-FI"/>
        </w:rPr>
        <w:t>diubah</w:t>
      </w:r>
      <w:r w:rsidR="00A954D0" w:rsidRPr="00256727">
        <w:rPr>
          <w:rFonts w:ascii="Bookman Old Style" w:hAnsi="Bookman Old Style"/>
          <w:b/>
          <w:bCs/>
          <w:lang w:val="sv-FI"/>
        </w:rPr>
        <w:t xml:space="preserve"> </w:t>
      </w:r>
      <w:r w:rsidRPr="00256727">
        <w:rPr>
          <w:rFonts w:ascii="Bookman Old Style" w:hAnsi="Bookman Old Style"/>
          <w:b/>
          <w:bCs/>
          <w:lang w:val="sv-FI"/>
        </w:rPr>
        <w:t>beberapa</w:t>
      </w:r>
      <w:r w:rsidR="00A954D0" w:rsidRPr="00256727">
        <w:rPr>
          <w:rFonts w:ascii="Bookman Old Style" w:hAnsi="Bookman Old Style"/>
          <w:b/>
          <w:bCs/>
          <w:lang w:val="sv-FI"/>
        </w:rPr>
        <w:t xml:space="preserve"> </w:t>
      </w:r>
      <w:r w:rsidRPr="00256727">
        <w:rPr>
          <w:rFonts w:ascii="Bookman Old Style" w:hAnsi="Bookman Old Style"/>
          <w:b/>
          <w:bCs/>
          <w:lang w:val="sv-FI"/>
        </w:rPr>
        <w:t>kali</w:t>
      </w:r>
      <w:r w:rsidR="00A954D0" w:rsidRPr="00256727">
        <w:rPr>
          <w:rFonts w:ascii="Bookman Old Style" w:hAnsi="Bookman Old Style"/>
          <w:b/>
          <w:bCs/>
          <w:lang w:val="sv-FI"/>
        </w:rPr>
        <w:t xml:space="preserve"> </w:t>
      </w:r>
      <w:r w:rsidRPr="00256727">
        <w:rPr>
          <w:rFonts w:ascii="Bookman Old Style" w:hAnsi="Bookman Old Style"/>
          <w:b/>
          <w:bCs/>
          <w:lang w:val="sv-FI"/>
        </w:rPr>
        <w:t>terakhir</w:t>
      </w:r>
      <w:r w:rsidR="00A954D0" w:rsidRPr="00256727">
        <w:rPr>
          <w:rFonts w:ascii="Bookman Old Style" w:hAnsi="Bookman Old Style"/>
          <w:b/>
          <w:bCs/>
          <w:lang w:val="sv-FI"/>
        </w:rPr>
        <w:t xml:space="preserve"> </w:t>
      </w:r>
      <w:r w:rsidRPr="00256727">
        <w:rPr>
          <w:rFonts w:ascii="Bookman Old Style" w:hAnsi="Bookman Old Style"/>
          <w:b/>
          <w:bCs/>
          <w:lang w:val="sv-FI"/>
        </w:rPr>
        <w:t>dengan</w:t>
      </w:r>
      <w:r w:rsidR="00A954D0" w:rsidRPr="00256727">
        <w:rPr>
          <w:rFonts w:ascii="Bookman Old Style" w:hAnsi="Bookman Old Style"/>
          <w:b/>
          <w:bCs/>
          <w:lang w:val="sv-FI"/>
        </w:rPr>
        <w:t xml:space="preserve"> </w:t>
      </w:r>
      <w:r w:rsidRPr="00256727">
        <w:rPr>
          <w:rFonts w:ascii="Bookman Old Style" w:hAnsi="Bookman Old Style"/>
          <w:b/>
          <w:bCs/>
          <w:lang w:val="sv-FI"/>
        </w:rPr>
        <w:t>Undang-Undang</w:t>
      </w:r>
      <w:r w:rsidR="00A954D0" w:rsidRPr="00256727">
        <w:rPr>
          <w:rFonts w:ascii="Bookman Old Style" w:hAnsi="Bookman Old Style"/>
          <w:b/>
          <w:bCs/>
          <w:lang w:val="sv-FI"/>
        </w:rPr>
        <w:t xml:space="preserve"> </w:t>
      </w:r>
      <w:r w:rsidRPr="00256727">
        <w:rPr>
          <w:rFonts w:ascii="Bookman Old Style" w:hAnsi="Bookman Old Style"/>
          <w:b/>
          <w:bCs/>
          <w:lang w:val="sv-FI"/>
        </w:rPr>
        <w:t>Nomor</w:t>
      </w:r>
      <w:r w:rsidR="00A954D0" w:rsidRPr="00256727">
        <w:rPr>
          <w:rFonts w:ascii="Bookman Old Style" w:hAnsi="Bookman Old Style"/>
          <w:b/>
          <w:bCs/>
          <w:lang w:val="sv-FI"/>
        </w:rPr>
        <w:t xml:space="preserve"> </w:t>
      </w:r>
      <w:r w:rsidRPr="00256727">
        <w:rPr>
          <w:rFonts w:ascii="Bookman Old Style" w:hAnsi="Bookman Old Style"/>
          <w:b/>
          <w:bCs/>
          <w:lang w:val="sv-FI"/>
        </w:rPr>
        <w:t>6</w:t>
      </w:r>
      <w:r w:rsidR="00A954D0" w:rsidRPr="00256727">
        <w:rPr>
          <w:rFonts w:ascii="Bookman Old Style" w:hAnsi="Bookman Old Style"/>
          <w:b/>
          <w:bCs/>
          <w:lang w:val="sv-FI"/>
        </w:rPr>
        <w:t xml:space="preserve"> </w:t>
      </w:r>
      <w:r w:rsidRPr="00256727">
        <w:rPr>
          <w:rFonts w:ascii="Bookman Old Style" w:hAnsi="Bookman Old Style"/>
          <w:b/>
          <w:bCs/>
          <w:lang w:val="sv-FI"/>
        </w:rPr>
        <w:t>Tahun</w:t>
      </w:r>
      <w:r w:rsidR="00A954D0" w:rsidRPr="00256727">
        <w:rPr>
          <w:rFonts w:ascii="Bookman Old Style" w:hAnsi="Bookman Old Style"/>
          <w:b/>
          <w:bCs/>
          <w:lang w:val="sv-FI"/>
        </w:rPr>
        <w:t xml:space="preserve"> </w:t>
      </w:r>
      <w:r w:rsidRPr="00256727">
        <w:rPr>
          <w:rFonts w:ascii="Bookman Old Style" w:hAnsi="Bookman Old Style"/>
          <w:b/>
          <w:bCs/>
          <w:lang w:val="sv-FI"/>
        </w:rPr>
        <w:t>2023</w:t>
      </w:r>
      <w:r w:rsidR="00A954D0" w:rsidRPr="00256727">
        <w:rPr>
          <w:rFonts w:ascii="Bookman Old Style" w:hAnsi="Bookman Old Style"/>
          <w:b/>
          <w:bCs/>
          <w:lang w:val="sv-FI"/>
        </w:rPr>
        <w:t xml:space="preserve"> </w:t>
      </w:r>
      <w:r w:rsidRPr="00256727">
        <w:rPr>
          <w:rFonts w:ascii="Bookman Old Style" w:hAnsi="Bookman Old Style"/>
          <w:b/>
          <w:bCs/>
          <w:lang w:val="sv-FI"/>
        </w:rPr>
        <w:t>Tentang</w:t>
      </w:r>
      <w:r w:rsidR="00A954D0" w:rsidRPr="00256727">
        <w:rPr>
          <w:rFonts w:ascii="Bookman Old Style" w:hAnsi="Bookman Old Style"/>
          <w:b/>
          <w:bCs/>
          <w:lang w:val="sv-FI"/>
        </w:rPr>
        <w:t xml:space="preserve"> </w:t>
      </w:r>
      <w:r w:rsidRPr="00256727">
        <w:rPr>
          <w:rFonts w:ascii="Bookman Old Style" w:hAnsi="Bookman Old Style"/>
          <w:b/>
          <w:bCs/>
          <w:lang w:val="sv-FI"/>
        </w:rPr>
        <w:t>Penetapan</w:t>
      </w:r>
      <w:r w:rsidR="00A954D0" w:rsidRPr="00256727">
        <w:rPr>
          <w:rFonts w:ascii="Bookman Old Style" w:hAnsi="Bookman Old Style"/>
          <w:b/>
          <w:bCs/>
          <w:lang w:val="sv-FI"/>
        </w:rPr>
        <w:t xml:space="preserve"> </w:t>
      </w:r>
      <w:r w:rsidRPr="00256727">
        <w:rPr>
          <w:rFonts w:ascii="Bookman Old Style" w:hAnsi="Bookman Old Style"/>
          <w:b/>
          <w:bCs/>
          <w:lang w:val="sv-FI"/>
        </w:rPr>
        <w:t>Peraturan</w:t>
      </w:r>
      <w:r w:rsidR="00A954D0" w:rsidRPr="00256727">
        <w:rPr>
          <w:rFonts w:ascii="Bookman Old Style" w:hAnsi="Bookman Old Style"/>
          <w:b/>
          <w:bCs/>
          <w:lang w:val="sv-FI"/>
        </w:rPr>
        <w:t xml:space="preserve"> </w:t>
      </w:r>
      <w:r w:rsidRPr="00256727">
        <w:rPr>
          <w:rFonts w:ascii="Bookman Old Style" w:hAnsi="Bookman Old Style"/>
          <w:b/>
          <w:bCs/>
          <w:lang w:val="sv-FI"/>
        </w:rPr>
        <w:t>Pemerintah</w:t>
      </w:r>
      <w:r w:rsidR="00A954D0" w:rsidRPr="00256727">
        <w:rPr>
          <w:rFonts w:ascii="Bookman Old Style" w:hAnsi="Bookman Old Style"/>
          <w:b/>
          <w:bCs/>
          <w:lang w:val="sv-FI"/>
        </w:rPr>
        <w:t xml:space="preserve"> </w:t>
      </w:r>
      <w:r w:rsidRPr="00256727">
        <w:rPr>
          <w:rFonts w:ascii="Bookman Old Style" w:hAnsi="Bookman Old Style"/>
          <w:b/>
          <w:bCs/>
          <w:lang w:val="sv-FI"/>
        </w:rPr>
        <w:t>Pengganti</w:t>
      </w:r>
      <w:r w:rsidR="00A954D0" w:rsidRPr="00256727">
        <w:rPr>
          <w:rFonts w:ascii="Bookman Old Style" w:hAnsi="Bookman Old Style"/>
          <w:b/>
          <w:bCs/>
          <w:lang w:val="sv-FI"/>
        </w:rPr>
        <w:t xml:space="preserve"> </w:t>
      </w:r>
      <w:r w:rsidRPr="00256727">
        <w:rPr>
          <w:rFonts w:ascii="Bookman Old Style" w:hAnsi="Bookman Old Style"/>
          <w:b/>
          <w:bCs/>
          <w:lang w:val="sv-FI"/>
        </w:rPr>
        <w:t>Undang-Undang</w:t>
      </w:r>
      <w:r w:rsidR="00A954D0" w:rsidRPr="00256727">
        <w:rPr>
          <w:rFonts w:ascii="Bookman Old Style" w:hAnsi="Bookman Old Style"/>
          <w:b/>
          <w:bCs/>
          <w:lang w:val="sv-FI"/>
        </w:rPr>
        <w:t xml:space="preserve"> </w:t>
      </w:r>
      <w:r w:rsidRPr="00256727">
        <w:rPr>
          <w:rFonts w:ascii="Bookman Old Style" w:hAnsi="Bookman Old Style"/>
          <w:b/>
          <w:bCs/>
          <w:lang w:val="sv-FI"/>
        </w:rPr>
        <w:t>Nomor</w:t>
      </w:r>
      <w:r w:rsidR="00A954D0" w:rsidRPr="00256727">
        <w:rPr>
          <w:rFonts w:ascii="Bookman Old Style" w:hAnsi="Bookman Old Style"/>
          <w:b/>
          <w:bCs/>
          <w:lang w:val="sv-FI"/>
        </w:rPr>
        <w:t xml:space="preserve"> </w:t>
      </w:r>
      <w:r w:rsidRPr="00256727">
        <w:rPr>
          <w:rFonts w:ascii="Bookman Old Style" w:hAnsi="Bookman Old Style"/>
          <w:b/>
          <w:bCs/>
          <w:lang w:val="sv-FI"/>
        </w:rPr>
        <w:t>2</w:t>
      </w:r>
      <w:r w:rsidR="00A954D0" w:rsidRPr="00256727">
        <w:rPr>
          <w:rFonts w:ascii="Bookman Old Style" w:hAnsi="Bookman Old Style"/>
          <w:b/>
          <w:bCs/>
          <w:lang w:val="sv-FI"/>
        </w:rPr>
        <w:t xml:space="preserve"> </w:t>
      </w:r>
      <w:r w:rsidRPr="00256727">
        <w:rPr>
          <w:rFonts w:ascii="Bookman Old Style" w:hAnsi="Bookman Old Style"/>
          <w:b/>
          <w:bCs/>
          <w:lang w:val="sv-FI"/>
        </w:rPr>
        <w:t>Tahun</w:t>
      </w:r>
      <w:r w:rsidR="00A954D0" w:rsidRPr="00256727">
        <w:rPr>
          <w:rFonts w:ascii="Bookman Old Style" w:hAnsi="Bookman Old Style"/>
          <w:b/>
          <w:bCs/>
          <w:lang w:val="sv-FI"/>
        </w:rPr>
        <w:t xml:space="preserve"> </w:t>
      </w:r>
      <w:r w:rsidRPr="00256727">
        <w:rPr>
          <w:rFonts w:ascii="Bookman Old Style" w:hAnsi="Bookman Old Style"/>
          <w:b/>
          <w:bCs/>
          <w:lang w:val="sv-FI"/>
        </w:rPr>
        <w:t>2022</w:t>
      </w:r>
      <w:r w:rsidR="00A954D0" w:rsidRPr="00256727">
        <w:rPr>
          <w:rFonts w:ascii="Bookman Old Style" w:hAnsi="Bookman Old Style"/>
          <w:b/>
          <w:bCs/>
          <w:lang w:val="sv-FI"/>
        </w:rPr>
        <w:t xml:space="preserve"> </w:t>
      </w:r>
      <w:r w:rsidRPr="00256727">
        <w:rPr>
          <w:rFonts w:ascii="Bookman Old Style" w:hAnsi="Bookman Old Style"/>
          <w:b/>
          <w:bCs/>
          <w:lang w:val="sv-FI"/>
        </w:rPr>
        <w:t>tentang</w:t>
      </w:r>
      <w:r w:rsidR="00A954D0" w:rsidRPr="00256727">
        <w:rPr>
          <w:rFonts w:ascii="Bookman Old Style" w:hAnsi="Bookman Old Style"/>
          <w:b/>
          <w:bCs/>
          <w:lang w:val="sv-FI"/>
        </w:rPr>
        <w:t xml:space="preserve"> </w:t>
      </w:r>
      <w:r w:rsidRPr="00256727">
        <w:rPr>
          <w:rFonts w:ascii="Bookman Old Style" w:hAnsi="Bookman Old Style"/>
          <w:b/>
          <w:bCs/>
          <w:lang w:val="sv-FI"/>
        </w:rPr>
        <w:t>Cipta</w:t>
      </w:r>
      <w:r w:rsidR="00A954D0" w:rsidRPr="00256727">
        <w:rPr>
          <w:rFonts w:ascii="Bookman Old Style" w:hAnsi="Bookman Old Style"/>
          <w:b/>
          <w:bCs/>
          <w:lang w:val="sv-FI"/>
        </w:rPr>
        <w:t xml:space="preserve"> </w:t>
      </w:r>
      <w:r w:rsidRPr="00256727">
        <w:rPr>
          <w:rFonts w:ascii="Bookman Old Style" w:hAnsi="Bookman Old Style"/>
          <w:b/>
          <w:bCs/>
          <w:lang w:val="sv-FI"/>
        </w:rPr>
        <w:t>Kerja</w:t>
      </w:r>
      <w:r w:rsidR="00A954D0" w:rsidRPr="00256727">
        <w:rPr>
          <w:rFonts w:ascii="Bookman Old Style" w:hAnsi="Bookman Old Style"/>
          <w:b/>
          <w:bCs/>
          <w:lang w:val="sv-FI"/>
        </w:rPr>
        <w:t xml:space="preserve"> </w:t>
      </w:r>
      <w:r w:rsidRPr="00256727">
        <w:rPr>
          <w:rFonts w:ascii="Bookman Old Style" w:hAnsi="Bookman Old Style"/>
          <w:b/>
          <w:bCs/>
          <w:lang w:val="sv-FI"/>
        </w:rPr>
        <w:t>Menjadi</w:t>
      </w:r>
      <w:r w:rsidR="00A954D0" w:rsidRPr="00256727">
        <w:rPr>
          <w:rFonts w:ascii="Bookman Old Style" w:hAnsi="Bookman Old Style"/>
          <w:b/>
          <w:bCs/>
          <w:lang w:val="sv-FI"/>
        </w:rPr>
        <w:t xml:space="preserve"> </w:t>
      </w:r>
      <w:r w:rsidRPr="00256727">
        <w:rPr>
          <w:rFonts w:ascii="Bookman Old Style" w:hAnsi="Bookman Old Style"/>
          <w:b/>
          <w:bCs/>
          <w:lang w:val="sv-FI"/>
        </w:rPr>
        <w:t>Undang-Undang,</w:t>
      </w:r>
      <w:r w:rsidR="00A954D0" w:rsidRPr="00256727">
        <w:rPr>
          <w:rFonts w:ascii="Bookman Old Style" w:hAnsi="Bookman Old Style"/>
          <w:b/>
          <w:bCs/>
          <w:lang w:val="sv-FI"/>
        </w:rPr>
        <w:t xml:space="preserve"> </w:t>
      </w:r>
      <w:r w:rsidRPr="00256727">
        <w:rPr>
          <w:rFonts w:ascii="Bookman Old Style" w:hAnsi="Bookman Old Style"/>
          <w:b/>
          <w:bCs/>
          <w:lang w:val="sv-FI"/>
        </w:rPr>
        <w:t>perlu</w:t>
      </w:r>
      <w:r w:rsidR="00A954D0" w:rsidRPr="00256727">
        <w:rPr>
          <w:rFonts w:ascii="Bookman Old Style" w:hAnsi="Bookman Old Style"/>
          <w:b/>
          <w:bCs/>
          <w:lang w:val="sv-FI"/>
        </w:rPr>
        <w:t xml:space="preserve"> </w:t>
      </w:r>
      <w:r w:rsidRPr="00256727">
        <w:rPr>
          <w:rFonts w:ascii="Bookman Old Style" w:hAnsi="Bookman Old Style"/>
          <w:b/>
          <w:bCs/>
          <w:lang w:val="sv-FI"/>
        </w:rPr>
        <w:t>menetapkan</w:t>
      </w:r>
      <w:r w:rsidR="00A954D0" w:rsidRPr="00256727">
        <w:rPr>
          <w:rFonts w:ascii="Bookman Old Style" w:hAnsi="Bookman Old Style"/>
          <w:b/>
          <w:bCs/>
          <w:lang w:val="sv-FI"/>
        </w:rPr>
        <w:t xml:space="preserve"> </w:t>
      </w:r>
      <w:r w:rsidRPr="00256727">
        <w:rPr>
          <w:rFonts w:ascii="Bookman Old Style" w:hAnsi="Bookman Old Style"/>
          <w:b/>
          <w:bCs/>
          <w:lang w:val="sv-FI"/>
        </w:rPr>
        <w:t>Peraturan</w:t>
      </w:r>
      <w:r w:rsidR="00A954D0" w:rsidRPr="00256727">
        <w:rPr>
          <w:rFonts w:ascii="Bookman Old Style" w:hAnsi="Bookman Old Style"/>
          <w:b/>
          <w:bCs/>
          <w:lang w:val="sv-FI"/>
        </w:rPr>
        <w:t xml:space="preserve"> </w:t>
      </w:r>
      <w:r w:rsidRPr="00256727">
        <w:rPr>
          <w:rFonts w:ascii="Bookman Old Style" w:hAnsi="Bookman Old Style"/>
          <w:b/>
          <w:bCs/>
          <w:lang w:val="sv-FI"/>
        </w:rPr>
        <w:t>Daerah</w:t>
      </w:r>
      <w:r w:rsidR="00A954D0" w:rsidRPr="00256727">
        <w:rPr>
          <w:rFonts w:ascii="Bookman Old Style" w:hAnsi="Bookman Old Style"/>
          <w:b/>
          <w:bCs/>
          <w:lang w:val="sv-FI"/>
        </w:rPr>
        <w:t xml:space="preserve"> </w:t>
      </w:r>
      <w:r w:rsidRPr="00256727">
        <w:rPr>
          <w:rFonts w:ascii="Bookman Old Style" w:hAnsi="Bookman Old Style"/>
          <w:b/>
          <w:bCs/>
          <w:lang w:val="sv-FI"/>
        </w:rPr>
        <w:t>tentang</w:t>
      </w:r>
      <w:r w:rsidR="00A954D0" w:rsidRPr="00256727">
        <w:rPr>
          <w:rFonts w:ascii="Bookman Old Style" w:hAnsi="Bookman Old Style"/>
          <w:b/>
          <w:bCs/>
          <w:lang w:val="sv-FI"/>
        </w:rPr>
        <w:t xml:space="preserve"> </w:t>
      </w:r>
      <w:r w:rsidRPr="00256727">
        <w:rPr>
          <w:rFonts w:ascii="Bookman Old Style" w:hAnsi="Bookman Old Style"/>
          <w:b/>
          <w:bCs/>
          <w:lang w:val="sv-FI"/>
        </w:rPr>
        <w:t>Anggaran</w:t>
      </w:r>
      <w:r w:rsidR="00A954D0" w:rsidRPr="00256727">
        <w:rPr>
          <w:rFonts w:ascii="Bookman Old Style" w:hAnsi="Bookman Old Style"/>
          <w:b/>
          <w:bCs/>
          <w:lang w:val="sv-FI"/>
        </w:rPr>
        <w:t xml:space="preserve"> </w:t>
      </w:r>
      <w:r w:rsidRPr="00256727">
        <w:rPr>
          <w:rFonts w:ascii="Bookman Old Style" w:hAnsi="Bookman Old Style"/>
          <w:b/>
          <w:bCs/>
          <w:lang w:val="sv-FI"/>
        </w:rPr>
        <w:t>Pendapatan</w:t>
      </w:r>
      <w:r w:rsidR="00A954D0" w:rsidRPr="00256727">
        <w:rPr>
          <w:rFonts w:ascii="Bookman Old Style" w:hAnsi="Bookman Old Style"/>
          <w:b/>
          <w:bCs/>
          <w:lang w:val="sv-FI"/>
        </w:rPr>
        <w:t xml:space="preserve"> </w:t>
      </w:r>
      <w:r w:rsidRPr="00256727">
        <w:rPr>
          <w:rFonts w:ascii="Bookman Old Style" w:hAnsi="Bookman Old Style"/>
          <w:b/>
          <w:bCs/>
          <w:lang w:val="sv-FI"/>
        </w:rPr>
        <w:t>dan</w:t>
      </w:r>
      <w:r w:rsidR="00A954D0" w:rsidRPr="00256727">
        <w:rPr>
          <w:rFonts w:ascii="Bookman Old Style" w:hAnsi="Bookman Old Style"/>
          <w:b/>
          <w:bCs/>
          <w:lang w:val="sv-FI"/>
        </w:rPr>
        <w:t xml:space="preserve"> </w:t>
      </w:r>
      <w:r w:rsidRPr="00256727">
        <w:rPr>
          <w:rFonts w:ascii="Bookman Old Style" w:hAnsi="Bookman Old Style"/>
          <w:b/>
          <w:bCs/>
          <w:lang w:val="sv-FI"/>
        </w:rPr>
        <w:t>Belanja</w:t>
      </w:r>
      <w:r w:rsidR="00A954D0" w:rsidRPr="00256727">
        <w:rPr>
          <w:rFonts w:ascii="Bookman Old Style" w:hAnsi="Bookman Old Style"/>
          <w:b/>
          <w:bCs/>
          <w:lang w:val="sv-FI"/>
        </w:rPr>
        <w:t xml:space="preserve"> </w:t>
      </w:r>
      <w:r w:rsidRPr="00256727">
        <w:rPr>
          <w:rFonts w:ascii="Bookman Old Style" w:hAnsi="Bookman Old Style"/>
          <w:b/>
          <w:bCs/>
          <w:lang w:val="sv-FI"/>
        </w:rPr>
        <w:t>Daerah</w:t>
      </w:r>
      <w:r w:rsidR="00A954D0" w:rsidRPr="00256727">
        <w:rPr>
          <w:rFonts w:ascii="Bookman Old Style" w:hAnsi="Bookman Old Style"/>
          <w:b/>
          <w:bCs/>
          <w:lang w:val="sv-FI"/>
        </w:rPr>
        <w:t xml:space="preserve"> </w:t>
      </w:r>
      <w:r w:rsidRPr="00256727">
        <w:rPr>
          <w:rFonts w:ascii="Bookman Old Style" w:hAnsi="Bookman Old Style"/>
          <w:b/>
          <w:bCs/>
          <w:lang w:val="sv-FI"/>
        </w:rPr>
        <w:t>Tahun</w:t>
      </w:r>
      <w:r w:rsidR="00A954D0" w:rsidRPr="00256727">
        <w:rPr>
          <w:rFonts w:ascii="Bookman Old Style" w:hAnsi="Bookman Old Style"/>
          <w:b/>
          <w:bCs/>
          <w:lang w:val="sv-FI"/>
        </w:rPr>
        <w:t xml:space="preserve"> </w:t>
      </w:r>
      <w:r w:rsidRPr="00256727">
        <w:rPr>
          <w:rFonts w:ascii="Bookman Old Style" w:hAnsi="Bookman Old Style"/>
          <w:b/>
          <w:bCs/>
          <w:lang w:val="sv-FI"/>
        </w:rPr>
        <w:t>Anggaran</w:t>
      </w:r>
      <w:r w:rsidR="00A954D0" w:rsidRPr="00256727">
        <w:rPr>
          <w:rFonts w:ascii="Bookman Old Style" w:hAnsi="Bookman Old Style"/>
          <w:b/>
          <w:bCs/>
          <w:lang w:val="sv-FI"/>
        </w:rPr>
        <w:t xml:space="preserve"> </w:t>
      </w:r>
      <w:r w:rsidRPr="00256727">
        <w:rPr>
          <w:rFonts w:ascii="Bookman Old Style" w:hAnsi="Bookman Old Style"/>
          <w:b/>
          <w:bCs/>
          <w:lang w:val="sv-FI"/>
        </w:rPr>
        <w:t>2025;”</w:t>
      </w:r>
    </w:p>
    <w:p w14:paraId="47DE7AB3" w14:textId="4EF4C453" w:rsidR="006E2F8F" w:rsidRPr="00877C5F" w:rsidRDefault="006E2F8F">
      <w:pPr>
        <w:numPr>
          <w:ilvl w:val="0"/>
          <w:numId w:val="173"/>
        </w:numPr>
        <w:snapToGrid w:val="0"/>
        <w:spacing w:before="60" w:line="276" w:lineRule="auto"/>
        <w:ind w:left="1702" w:hanging="425"/>
        <w:jc w:val="both"/>
        <w:rPr>
          <w:rFonts w:ascii="Bookman Old Style" w:eastAsiaTheme="minorHAnsi" w:hAnsi="Bookman Old Style" w:cstheme="minorBidi"/>
        </w:rPr>
      </w:pPr>
      <w:r w:rsidRPr="00877C5F">
        <w:rPr>
          <w:rFonts w:ascii="Bookman Old Style" w:eastAsiaTheme="minorHAnsi" w:hAnsi="Bookman Old Style" w:cstheme="minorBidi"/>
          <w:lang w:val="sv-SE"/>
        </w:rPr>
        <w:t>Konsiderans</w:t>
      </w:r>
      <w:r w:rsidR="00A954D0">
        <w:rPr>
          <w:rFonts w:ascii="Bookman Old Style" w:eastAsiaTheme="minorHAnsi" w:hAnsi="Bookman Old Style" w:cstheme="minorBidi"/>
        </w:rPr>
        <w:t xml:space="preserve"> </w:t>
      </w:r>
      <w:r w:rsidRPr="00877C5F">
        <w:rPr>
          <w:rFonts w:ascii="Bookman Old Style" w:eastAsiaTheme="minorHAnsi" w:hAnsi="Bookman Old Style" w:cstheme="minorBidi"/>
        </w:rPr>
        <w:t>Mengingat:</w:t>
      </w:r>
    </w:p>
    <w:p w14:paraId="3D15FCFE" w14:textId="3651F7CC" w:rsidR="006E2F8F" w:rsidRPr="002B6C58" w:rsidRDefault="006E2F8F" w:rsidP="00A26792">
      <w:pPr>
        <w:numPr>
          <w:ilvl w:val="0"/>
          <w:numId w:val="175"/>
        </w:numPr>
        <w:snapToGrid w:val="0"/>
        <w:spacing w:before="60" w:line="276" w:lineRule="auto"/>
        <w:ind w:left="2268" w:hanging="567"/>
        <w:jc w:val="both"/>
        <w:rPr>
          <w:rFonts w:ascii="Bookman Old Style" w:eastAsiaTheme="minorHAnsi" w:hAnsi="Bookman Old Style" w:cstheme="minorBidi"/>
          <w:b/>
          <w:bCs/>
          <w:lang w:val="sv-SE"/>
        </w:rPr>
      </w:pPr>
      <w:r>
        <w:rPr>
          <w:rFonts w:ascii="Bookman Old Style" w:eastAsiaTheme="minorHAnsi" w:hAnsi="Bookman Old Style" w:cstheme="minorBidi"/>
          <w:b/>
          <w:bCs/>
          <w:lang w:val="sv-SE"/>
        </w:rPr>
        <w:t>Agar</w:t>
      </w:r>
      <w:r w:rsidR="00A954D0">
        <w:rPr>
          <w:rFonts w:ascii="Bookman Old Style" w:eastAsiaTheme="minorHAnsi" w:hAnsi="Bookman Old Style" w:cstheme="minorBidi"/>
          <w:b/>
          <w:bCs/>
          <w:lang w:val="sv-SE"/>
        </w:rPr>
        <w:t xml:space="preserve"> </w:t>
      </w:r>
      <w:r>
        <w:rPr>
          <w:rFonts w:ascii="Bookman Old Style" w:eastAsiaTheme="minorHAnsi" w:hAnsi="Bookman Old Style" w:cstheme="minorBidi"/>
          <w:b/>
          <w:bCs/>
          <w:lang w:val="sv-SE"/>
        </w:rPr>
        <w:t>ditambahkan</w:t>
      </w:r>
      <w:r w:rsidR="00A954D0">
        <w:rPr>
          <w:rFonts w:ascii="Bookman Old Style" w:eastAsiaTheme="minorHAnsi" w:hAnsi="Bookman Old Style" w:cstheme="minorBidi"/>
          <w:b/>
          <w:bCs/>
          <w:lang w:val="sv-SE"/>
        </w:rPr>
        <w:t xml:space="preserve"> </w:t>
      </w:r>
      <w:r>
        <w:rPr>
          <w:rFonts w:ascii="Bookman Old Style" w:eastAsiaTheme="minorHAnsi" w:hAnsi="Bookman Old Style" w:cstheme="minorBidi"/>
          <w:b/>
          <w:bCs/>
          <w:lang w:val="sv-SE"/>
        </w:rPr>
        <w:t>Pasal</w:t>
      </w:r>
      <w:r w:rsidR="00A954D0">
        <w:rPr>
          <w:rFonts w:ascii="Bookman Old Style" w:eastAsiaTheme="minorHAnsi" w:hAnsi="Bookman Old Style" w:cstheme="minorBidi"/>
          <w:b/>
          <w:bCs/>
          <w:lang w:val="sv-SE"/>
        </w:rPr>
        <w:t xml:space="preserve"> </w:t>
      </w:r>
      <w:r>
        <w:rPr>
          <w:rFonts w:ascii="Bookman Old Style" w:eastAsiaTheme="minorHAnsi" w:hAnsi="Bookman Old Style" w:cstheme="minorBidi"/>
          <w:b/>
          <w:bCs/>
          <w:lang w:val="sv-SE"/>
        </w:rPr>
        <w:t>18</w:t>
      </w:r>
      <w:r w:rsidR="00A954D0">
        <w:rPr>
          <w:rFonts w:ascii="Bookman Old Style" w:eastAsiaTheme="minorHAnsi" w:hAnsi="Bookman Old Style" w:cstheme="minorBidi"/>
          <w:b/>
          <w:bCs/>
          <w:lang w:val="sv-SE"/>
        </w:rPr>
        <w:t xml:space="preserve"> </w:t>
      </w:r>
      <w:r>
        <w:rPr>
          <w:rFonts w:ascii="Bookman Old Style" w:eastAsiaTheme="minorHAnsi" w:hAnsi="Bookman Old Style" w:cstheme="minorBidi"/>
          <w:b/>
          <w:bCs/>
          <w:lang w:val="sv-SE"/>
        </w:rPr>
        <w:t>ayat</w:t>
      </w:r>
      <w:r w:rsidR="00A954D0">
        <w:rPr>
          <w:rFonts w:ascii="Bookman Old Style" w:eastAsiaTheme="minorHAnsi" w:hAnsi="Bookman Old Style" w:cstheme="minorBidi"/>
          <w:b/>
          <w:bCs/>
          <w:lang w:val="sv-SE"/>
        </w:rPr>
        <w:t xml:space="preserve"> </w:t>
      </w:r>
      <w:r>
        <w:rPr>
          <w:rFonts w:ascii="Bookman Old Style" w:eastAsiaTheme="minorHAnsi" w:hAnsi="Bookman Old Style" w:cstheme="minorBidi"/>
          <w:b/>
          <w:bCs/>
          <w:lang w:val="sv-SE"/>
        </w:rPr>
        <w:t>(6)</w:t>
      </w:r>
      <w:r w:rsidR="00A954D0">
        <w:rPr>
          <w:rFonts w:ascii="Bookman Old Style" w:eastAsiaTheme="minorHAnsi" w:hAnsi="Bookman Old Style" w:cstheme="minorBidi"/>
          <w:b/>
          <w:bCs/>
          <w:lang w:val="sv-SE"/>
        </w:rPr>
        <w:t xml:space="preserve"> </w:t>
      </w:r>
      <w:r>
        <w:rPr>
          <w:rFonts w:ascii="Bookman Old Style" w:eastAsiaTheme="minorHAnsi" w:hAnsi="Bookman Old Style" w:cstheme="minorBidi"/>
          <w:b/>
          <w:bCs/>
          <w:lang w:val="sv-SE"/>
        </w:rPr>
        <w:t>Undang-Undang</w:t>
      </w:r>
      <w:r w:rsidR="00A954D0">
        <w:rPr>
          <w:rFonts w:ascii="Bookman Old Style" w:eastAsiaTheme="minorHAnsi" w:hAnsi="Bookman Old Style" w:cstheme="minorBidi"/>
          <w:b/>
          <w:bCs/>
          <w:lang w:val="sv-SE"/>
        </w:rPr>
        <w:t xml:space="preserve"> </w:t>
      </w:r>
      <w:r>
        <w:rPr>
          <w:rFonts w:ascii="Bookman Old Style" w:eastAsiaTheme="minorHAnsi" w:hAnsi="Bookman Old Style" w:cstheme="minorBidi"/>
          <w:b/>
          <w:bCs/>
          <w:lang w:val="sv-SE"/>
        </w:rPr>
        <w:t>Dasar</w:t>
      </w:r>
      <w:r w:rsidR="00A954D0">
        <w:rPr>
          <w:rFonts w:ascii="Bookman Old Style" w:eastAsiaTheme="minorHAnsi" w:hAnsi="Bookman Old Style" w:cstheme="minorBidi"/>
          <w:b/>
          <w:bCs/>
          <w:lang w:val="sv-SE"/>
        </w:rPr>
        <w:t xml:space="preserve"> </w:t>
      </w:r>
      <w:r>
        <w:rPr>
          <w:rFonts w:ascii="Bookman Old Style" w:eastAsiaTheme="minorHAnsi" w:hAnsi="Bookman Old Style" w:cstheme="minorBidi"/>
          <w:b/>
          <w:bCs/>
          <w:lang w:val="sv-SE"/>
        </w:rPr>
        <w:t>Negara</w:t>
      </w:r>
      <w:r w:rsidR="00A954D0">
        <w:rPr>
          <w:rFonts w:ascii="Bookman Old Style" w:eastAsiaTheme="minorHAnsi" w:hAnsi="Bookman Old Style" w:cstheme="minorBidi"/>
          <w:b/>
          <w:bCs/>
          <w:lang w:val="sv-SE"/>
        </w:rPr>
        <w:t xml:space="preserve"> </w:t>
      </w:r>
      <w:r>
        <w:rPr>
          <w:rFonts w:ascii="Bookman Old Style" w:eastAsiaTheme="minorHAnsi" w:hAnsi="Bookman Old Style" w:cstheme="minorBidi"/>
          <w:b/>
          <w:bCs/>
          <w:lang w:val="sv-SE"/>
        </w:rPr>
        <w:t>Republik</w:t>
      </w:r>
      <w:r w:rsidR="00A954D0">
        <w:rPr>
          <w:rFonts w:ascii="Bookman Old Style" w:eastAsiaTheme="minorHAnsi" w:hAnsi="Bookman Old Style" w:cstheme="minorBidi"/>
          <w:b/>
          <w:bCs/>
          <w:lang w:val="sv-SE"/>
        </w:rPr>
        <w:t xml:space="preserve"> </w:t>
      </w:r>
      <w:r>
        <w:rPr>
          <w:rFonts w:ascii="Bookman Old Style" w:eastAsiaTheme="minorHAnsi" w:hAnsi="Bookman Old Style" w:cstheme="minorBidi"/>
          <w:b/>
          <w:bCs/>
          <w:lang w:val="sv-SE"/>
        </w:rPr>
        <w:t>Indonesia</w:t>
      </w:r>
      <w:r w:rsidR="00A954D0">
        <w:rPr>
          <w:rFonts w:ascii="Bookman Old Style" w:eastAsiaTheme="minorHAnsi" w:hAnsi="Bookman Old Style" w:cstheme="minorBidi"/>
          <w:b/>
          <w:bCs/>
          <w:lang w:val="sv-SE"/>
        </w:rPr>
        <w:t xml:space="preserve"> </w:t>
      </w:r>
      <w:r>
        <w:rPr>
          <w:rFonts w:ascii="Bookman Old Style" w:eastAsiaTheme="minorHAnsi" w:hAnsi="Bookman Old Style" w:cstheme="minorBidi"/>
          <w:b/>
          <w:bCs/>
          <w:lang w:val="sv-SE"/>
        </w:rPr>
        <w:t>Tahun</w:t>
      </w:r>
      <w:r w:rsidR="00A954D0">
        <w:rPr>
          <w:rFonts w:ascii="Bookman Old Style" w:eastAsiaTheme="minorHAnsi" w:hAnsi="Bookman Old Style" w:cstheme="minorBidi"/>
          <w:b/>
          <w:bCs/>
          <w:lang w:val="sv-SE"/>
        </w:rPr>
        <w:t xml:space="preserve"> </w:t>
      </w:r>
      <w:r>
        <w:rPr>
          <w:rFonts w:ascii="Bookman Old Style" w:eastAsiaTheme="minorHAnsi" w:hAnsi="Bookman Old Style" w:cstheme="minorBidi"/>
          <w:b/>
          <w:bCs/>
          <w:lang w:val="sv-SE"/>
        </w:rPr>
        <w:t>1945;</w:t>
      </w:r>
    </w:p>
    <w:p w14:paraId="0F977F8F" w14:textId="172AEE93" w:rsidR="006E2F8F" w:rsidRPr="006A150A" w:rsidRDefault="006E2F8F" w:rsidP="00A26792">
      <w:pPr>
        <w:numPr>
          <w:ilvl w:val="0"/>
          <w:numId w:val="175"/>
        </w:numPr>
        <w:snapToGrid w:val="0"/>
        <w:spacing w:before="60" w:line="276" w:lineRule="auto"/>
        <w:ind w:left="2268" w:hanging="567"/>
        <w:jc w:val="both"/>
        <w:rPr>
          <w:rFonts w:ascii="Bookman Old Style" w:eastAsiaTheme="minorHAnsi" w:hAnsi="Bookman Old Style" w:cstheme="minorBidi"/>
          <w:b/>
          <w:bCs/>
          <w:lang w:val="sv-SE"/>
        </w:rPr>
      </w:pPr>
      <w:r>
        <w:rPr>
          <w:rFonts w:ascii="Bookman Old Style" w:eastAsiaTheme="minorHAnsi" w:hAnsi="Bookman Old Style" w:cstheme="minorBidi"/>
          <w:lang w:val="sv-SE"/>
        </w:rPr>
        <w:t>Angka</w:t>
      </w:r>
      <w:r w:rsidR="00A954D0">
        <w:rPr>
          <w:rFonts w:ascii="Bookman Old Style" w:eastAsiaTheme="minorHAnsi" w:hAnsi="Bookman Old Style" w:cstheme="minorBidi"/>
          <w:lang w:val="sv-SE"/>
        </w:rPr>
        <w:t xml:space="preserve"> </w:t>
      </w:r>
      <w:r>
        <w:rPr>
          <w:rFonts w:ascii="Bookman Old Style" w:eastAsiaTheme="minorHAnsi" w:hAnsi="Bookman Old Style" w:cstheme="minorBidi"/>
          <w:lang w:val="sv-SE"/>
        </w:rPr>
        <w:t>3</w:t>
      </w:r>
      <w:r w:rsidR="00A954D0">
        <w:rPr>
          <w:rFonts w:ascii="Bookman Old Style" w:eastAsiaTheme="minorHAnsi" w:hAnsi="Bookman Old Style" w:cstheme="minorBidi"/>
          <w:lang w:val="sv-SE"/>
        </w:rPr>
        <w:t xml:space="preserve"> </w:t>
      </w:r>
      <w:r>
        <w:rPr>
          <w:rFonts w:ascii="Bookman Old Style" w:eastAsiaTheme="minorHAnsi" w:hAnsi="Bookman Old Style" w:cstheme="minorBidi"/>
          <w:lang w:val="sv-SE"/>
        </w:rPr>
        <w:t>agar</w:t>
      </w:r>
      <w:r w:rsidR="00A954D0">
        <w:rPr>
          <w:rFonts w:ascii="Bookman Old Style" w:eastAsiaTheme="minorHAnsi" w:hAnsi="Bookman Old Style" w:cstheme="minorBidi"/>
          <w:lang w:val="sv-SE"/>
        </w:rPr>
        <w:t xml:space="preserve"> </w:t>
      </w:r>
      <w:r>
        <w:rPr>
          <w:rFonts w:ascii="Bookman Old Style" w:eastAsiaTheme="minorHAnsi" w:hAnsi="Bookman Old Style" w:cstheme="minorBidi"/>
          <w:lang w:val="sv-SE"/>
        </w:rPr>
        <w:t>disempurnakan</w:t>
      </w:r>
      <w:r w:rsidR="00A954D0">
        <w:rPr>
          <w:rFonts w:ascii="Bookman Old Style" w:eastAsiaTheme="minorHAnsi" w:hAnsi="Bookman Old Style" w:cstheme="minorBidi"/>
          <w:lang w:val="sv-SE"/>
        </w:rPr>
        <w:t xml:space="preserve"> </w:t>
      </w:r>
      <w:r>
        <w:rPr>
          <w:rFonts w:ascii="Bookman Old Style" w:eastAsiaTheme="minorHAnsi" w:hAnsi="Bookman Old Style" w:cstheme="minorBidi"/>
          <w:lang w:val="sv-SE"/>
        </w:rPr>
        <w:t>menjadi:</w:t>
      </w:r>
    </w:p>
    <w:p w14:paraId="420537EA" w14:textId="7F244F7E" w:rsidR="006E2F8F" w:rsidRPr="003255BC" w:rsidRDefault="006E2F8F" w:rsidP="00A26792">
      <w:pPr>
        <w:snapToGrid w:val="0"/>
        <w:spacing w:before="60" w:line="276" w:lineRule="auto"/>
        <w:ind w:left="2268"/>
        <w:jc w:val="both"/>
        <w:rPr>
          <w:rFonts w:ascii="Bookman Old Style" w:hAnsi="Bookman Old Style" w:cs="Tahoma"/>
          <w:lang w:val="sv-FI"/>
        </w:rPr>
      </w:pPr>
      <w:r>
        <w:rPr>
          <w:rFonts w:ascii="Bookman Old Style" w:eastAsiaTheme="minorHAnsi" w:hAnsi="Bookman Old Style" w:cstheme="minorBidi"/>
          <w:lang w:val="sv-SE"/>
        </w:rPr>
        <w:t>”</w:t>
      </w:r>
      <w:r w:rsidRPr="003255BC">
        <w:rPr>
          <w:rFonts w:ascii="Bookman Old Style" w:hAnsi="Bookman Old Style" w:cs="Tahoma"/>
          <w:lang w:val="sv-FI"/>
        </w:rPr>
        <w:t>Undang-Undang</w:t>
      </w:r>
      <w:r w:rsidR="00A954D0" w:rsidRPr="003255BC">
        <w:rPr>
          <w:rFonts w:ascii="Bookman Old Style" w:hAnsi="Bookman Old Style" w:cs="Tahoma"/>
          <w:lang w:val="sv-FI"/>
        </w:rPr>
        <w:t xml:space="preserve"> </w:t>
      </w:r>
      <w:r w:rsidRPr="003255BC">
        <w:rPr>
          <w:rFonts w:ascii="Bookman Old Style" w:hAnsi="Bookman Old Style" w:cs="Tahoma"/>
          <w:lang w:val="sv-FI"/>
        </w:rPr>
        <w:t>Nomor</w:t>
      </w:r>
      <w:r w:rsidR="00A954D0" w:rsidRPr="003255BC">
        <w:rPr>
          <w:rFonts w:ascii="Bookman Old Style" w:hAnsi="Bookman Old Style" w:cs="Tahoma"/>
          <w:lang w:val="sv-FI"/>
        </w:rPr>
        <w:t xml:space="preserve"> </w:t>
      </w:r>
      <w:r w:rsidRPr="003255BC">
        <w:rPr>
          <w:rFonts w:ascii="Bookman Old Style" w:hAnsi="Bookman Old Style" w:cs="Tahoma"/>
          <w:lang w:val="sv-FI"/>
        </w:rPr>
        <w:t>17</w:t>
      </w:r>
      <w:r w:rsidR="00A954D0" w:rsidRPr="003255BC">
        <w:rPr>
          <w:rFonts w:ascii="Bookman Old Style" w:hAnsi="Bookman Old Style" w:cs="Tahoma"/>
          <w:lang w:val="sv-FI"/>
        </w:rPr>
        <w:t xml:space="preserve"> </w:t>
      </w:r>
      <w:r w:rsidRPr="003255BC">
        <w:rPr>
          <w:rFonts w:ascii="Bookman Old Style" w:hAnsi="Bookman Old Style" w:cs="Tahoma"/>
          <w:lang w:val="sv-FI"/>
        </w:rPr>
        <w:t>Tahun</w:t>
      </w:r>
      <w:r w:rsidR="00A954D0" w:rsidRPr="003255BC">
        <w:rPr>
          <w:rFonts w:ascii="Bookman Old Style" w:hAnsi="Bookman Old Style" w:cs="Tahoma"/>
          <w:lang w:val="sv-FI"/>
        </w:rPr>
        <w:t xml:space="preserve"> </w:t>
      </w:r>
      <w:r w:rsidRPr="003255BC">
        <w:rPr>
          <w:rFonts w:ascii="Bookman Old Style" w:hAnsi="Bookman Old Style" w:cs="Tahoma"/>
          <w:lang w:val="sv-FI"/>
        </w:rPr>
        <w:t>2003</w:t>
      </w:r>
      <w:r w:rsidR="00A954D0" w:rsidRPr="003255BC">
        <w:rPr>
          <w:rFonts w:ascii="Bookman Old Style" w:hAnsi="Bookman Old Style" w:cs="Tahoma"/>
          <w:lang w:val="sv-FI"/>
        </w:rPr>
        <w:t xml:space="preserve"> </w:t>
      </w:r>
      <w:r w:rsidRPr="003255BC">
        <w:rPr>
          <w:rFonts w:ascii="Bookman Old Style" w:hAnsi="Bookman Old Style" w:cs="Tahoma"/>
          <w:lang w:val="sv-FI"/>
        </w:rPr>
        <w:t>tentang</w:t>
      </w:r>
      <w:r w:rsidR="00A954D0" w:rsidRPr="003255BC">
        <w:rPr>
          <w:rFonts w:ascii="Bookman Old Style" w:hAnsi="Bookman Old Style" w:cs="Tahoma"/>
          <w:lang w:val="sv-FI"/>
        </w:rPr>
        <w:t xml:space="preserve"> </w:t>
      </w:r>
      <w:r w:rsidRPr="003255BC">
        <w:rPr>
          <w:rFonts w:ascii="Bookman Old Style" w:hAnsi="Bookman Old Style" w:cs="Tahoma"/>
          <w:lang w:val="sv-FI"/>
        </w:rPr>
        <w:t>Keuangan</w:t>
      </w:r>
      <w:r w:rsidR="00A954D0" w:rsidRPr="003255BC">
        <w:rPr>
          <w:rFonts w:ascii="Bookman Old Style" w:hAnsi="Bookman Old Style" w:cs="Tahoma"/>
          <w:lang w:val="sv-FI"/>
        </w:rPr>
        <w:t xml:space="preserve"> </w:t>
      </w:r>
      <w:r w:rsidRPr="003255BC">
        <w:rPr>
          <w:rFonts w:ascii="Bookman Old Style" w:hAnsi="Bookman Old Style" w:cs="Tahoma"/>
          <w:lang w:val="sv-FI"/>
        </w:rPr>
        <w:t>Negara</w:t>
      </w:r>
      <w:r w:rsidR="00A954D0" w:rsidRPr="003255BC">
        <w:rPr>
          <w:rFonts w:ascii="Bookman Old Style" w:hAnsi="Bookman Old Style" w:cs="Tahoma"/>
          <w:lang w:val="sv-FI"/>
        </w:rPr>
        <w:t xml:space="preserve"> </w:t>
      </w:r>
      <w:r w:rsidRPr="003255BC">
        <w:rPr>
          <w:rFonts w:ascii="Bookman Old Style" w:hAnsi="Bookman Old Style" w:cs="Tahoma"/>
          <w:lang w:val="sv-FI"/>
        </w:rPr>
        <w:t>(Lembaran</w:t>
      </w:r>
      <w:r w:rsidR="00A954D0" w:rsidRPr="003255BC">
        <w:rPr>
          <w:rFonts w:ascii="Bookman Old Style" w:hAnsi="Bookman Old Style" w:cs="Tahoma"/>
          <w:lang w:val="sv-FI"/>
        </w:rPr>
        <w:t xml:space="preserve"> </w:t>
      </w:r>
      <w:r w:rsidRPr="003255BC">
        <w:rPr>
          <w:rFonts w:ascii="Bookman Old Style" w:hAnsi="Bookman Old Style" w:cs="Tahoma"/>
          <w:lang w:val="sv-FI"/>
        </w:rPr>
        <w:t>Negara</w:t>
      </w:r>
      <w:r w:rsidR="00A954D0" w:rsidRPr="003255BC">
        <w:rPr>
          <w:rFonts w:ascii="Bookman Old Style" w:hAnsi="Bookman Old Style" w:cs="Tahoma"/>
          <w:lang w:val="sv-FI"/>
        </w:rPr>
        <w:t xml:space="preserve"> </w:t>
      </w:r>
      <w:r w:rsidRPr="003255BC">
        <w:rPr>
          <w:rFonts w:ascii="Bookman Old Style" w:hAnsi="Bookman Old Style" w:cs="Tahoma"/>
          <w:lang w:val="sv-FI"/>
        </w:rPr>
        <w:t>Republik</w:t>
      </w:r>
      <w:r w:rsidR="00A954D0" w:rsidRPr="003255BC">
        <w:rPr>
          <w:rFonts w:ascii="Bookman Old Style" w:hAnsi="Bookman Old Style" w:cs="Tahoma"/>
          <w:lang w:val="sv-FI"/>
        </w:rPr>
        <w:t xml:space="preserve"> </w:t>
      </w:r>
      <w:r w:rsidRPr="003255BC">
        <w:rPr>
          <w:rFonts w:ascii="Bookman Old Style" w:hAnsi="Bookman Old Style" w:cs="Tahoma"/>
          <w:lang w:val="sv-FI"/>
        </w:rPr>
        <w:t>Indonesia</w:t>
      </w:r>
      <w:r w:rsidR="00A954D0" w:rsidRPr="003255BC">
        <w:rPr>
          <w:rFonts w:ascii="Bookman Old Style" w:hAnsi="Bookman Old Style" w:cs="Tahoma"/>
          <w:lang w:val="sv-FI"/>
        </w:rPr>
        <w:t xml:space="preserve"> </w:t>
      </w:r>
      <w:r w:rsidRPr="003255BC">
        <w:rPr>
          <w:rFonts w:ascii="Bookman Old Style" w:hAnsi="Bookman Old Style" w:cs="Tahoma"/>
          <w:lang w:val="sv-FI"/>
        </w:rPr>
        <w:t>Tahun</w:t>
      </w:r>
      <w:r w:rsidR="00A954D0" w:rsidRPr="003255BC">
        <w:rPr>
          <w:rFonts w:ascii="Bookman Old Style" w:hAnsi="Bookman Old Style" w:cs="Tahoma"/>
          <w:lang w:val="sv-FI"/>
        </w:rPr>
        <w:t xml:space="preserve"> </w:t>
      </w:r>
      <w:r w:rsidRPr="003255BC">
        <w:rPr>
          <w:rFonts w:ascii="Bookman Old Style" w:hAnsi="Bookman Old Style" w:cs="Tahoma"/>
          <w:lang w:val="sv-FI"/>
        </w:rPr>
        <w:t>2003</w:t>
      </w:r>
      <w:r w:rsidR="00A954D0" w:rsidRPr="003255BC">
        <w:rPr>
          <w:rFonts w:ascii="Bookman Old Style" w:hAnsi="Bookman Old Style" w:cs="Tahoma"/>
          <w:lang w:val="sv-FI"/>
        </w:rPr>
        <w:t xml:space="preserve"> </w:t>
      </w:r>
      <w:r w:rsidRPr="003255BC">
        <w:rPr>
          <w:rFonts w:ascii="Bookman Old Style" w:hAnsi="Bookman Old Style" w:cs="Tahoma"/>
          <w:lang w:val="sv-FI"/>
        </w:rPr>
        <w:t>Nomor</w:t>
      </w:r>
      <w:r w:rsidR="00A954D0" w:rsidRPr="003255BC">
        <w:rPr>
          <w:rFonts w:ascii="Bookman Old Style" w:hAnsi="Bookman Old Style" w:cs="Tahoma"/>
          <w:lang w:val="sv-FI"/>
        </w:rPr>
        <w:t xml:space="preserve"> </w:t>
      </w:r>
      <w:r w:rsidRPr="003255BC">
        <w:rPr>
          <w:rFonts w:ascii="Bookman Old Style" w:hAnsi="Bookman Old Style" w:cs="Tahoma"/>
          <w:lang w:val="sv-FI"/>
        </w:rPr>
        <w:t>47,</w:t>
      </w:r>
      <w:r w:rsidR="00A954D0" w:rsidRPr="003255BC">
        <w:rPr>
          <w:rFonts w:ascii="Bookman Old Style" w:hAnsi="Bookman Old Style" w:cs="Tahoma"/>
          <w:lang w:val="sv-FI"/>
        </w:rPr>
        <w:t xml:space="preserve"> </w:t>
      </w:r>
      <w:r w:rsidRPr="003255BC">
        <w:rPr>
          <w:rFonts w:ascii="Bookman Old Style" w:hAnsi="Bookman Old Style" w:cs="Tahoma"/>
          <w:lang w:val="sv-FI"/>
        </w:rPr>
        <w:t>Tambahan</w:t>
      </w:r>
      <w:r w:rsidR="00A954D0" w:rsidRPr="003255BC">
        <w:rPr>
          <w:rFonts w:ascii="Bookman Old Style" w:hAnsi="Bookman Old Style" w:cs="Tahoma"/>
          <w:lang w:val="sv-FI"/>
        </w:rPr>
        <w:t xml:space="preserve"> </w:t>
      </w:r>
      <w:r w:rsidRPr="003255BC">
        <w:rPr>
          <w:rFonts w:ascii="Bookman Old Style" w:hAnsi="Bookman Old Style" w:cs="Tahoma"/>
          <w:lang w:val="sv-FI"/>
        </w:rPr>
        <w:t>Lembaran</w:t>
      </w:r>
      <w:r w:rsidR="00A954D0" w:rsidRPr="003255BC">
        <w:rPr>
          <w:rFonts w:ascii="Bookman Old Style" w:hAnsi="Bookman Old Style" w:cs="Tahoma"/>
          <w:lang w:val="sv-FI"/>
        </w:rPr>
        <w:t xml:space="preserve"> </w:t>
      </w:r>
      <w:r w:rsidRPr="003255BC">
        <w:rPr>
          <w:rFonts w:ascii="Bookman Old Style" w:hAnsi="Bookman Old Style" w:cs="Tahoma"/>
          <w:lang w:val="sv-FI"/>
        </w:rPr>
        <w:t>Negara</w:t>
      </w:r>
      <w:r w:rsidR="00A954D0" w:rsidRPr="003255BC">
        <w:rPr>
          <w:rFonts w:ascii="Bookman Old Style" w:hAnsi="Bookman Old Style" w:cs="Tahoma"/>
          <w:lang w:val="sv-FI"/>
        </w:rPr>
        <w:t xml:space="preserve"> </w:t>
      </w:r>
      <w:r w:rsidRPr="003255BC">
        <w:rPr>
          <w:rFonts w:ascii="Bookman Old Style" w:hAnsi="Bookman Old Style" w:cs="Tahoma"/>
          <w:lang w:val="sv-FI"/>
        </w:rPr>
        <w:t>Republik</w:t>
      </w:r>
      <w:r w:rsidR="00A954D0" w:rsidRPr="003255BC">
        <w:rPr>
          <w:rFonts w:ascii="Bookman Old Style" w:hAnsi="Bookman Old Style" w:cs="Tahoma"/>
          <w:lang w:val="sv-FI"/>
        </w:rPr>
        <w:t xml:space="preserve"> </w:t>
      </w:r>
      <w:r w:rsidRPr="003255BC">
        <w:rPr>
          <w:rFonts w:ascii="Bookman Old Style" w:hAnsi="Bookman Old Style" w:cs="Tahoma"/>
          <w:lang w:val="sv-FI"/>
        </w:rPr>
        <w:t>Indonesia</w:t>
      </w:r>
      <w:r w:rsidR="00A954D0" w:rsidRPr="003255BC">
        <w:rPr>
          <w:rFonts w:ascii="Bookman Old Style" w:hAnsi="Bookman Old Style" w:cs="Tahoma"/>
          <w:lang w:val="sv-FI"/>
        </w:rPr>
        <w:t xml:space="preserve"> </w:t>
      </w:r>
      <w:r w:rsidRPr="003255BC">
        <w:rPr>
          <w:rFonts w:ascii="Bookman Old Style" w:hAnsi="Bookman Old Style" w:cs="Tahoma"/>
          <w:lang w:val="sv-FI"/>
        </w:rPr>
        <w:t>Nomor</w:t>
      </w:r>
      <w:r w:rsidR="00A954D0" w:rsidRPr="003255BC">
        <w:rPr>
          <w:rFonts w:ascii="Bookman Old Style" w:hAnsi="Bookman Old Style" w:cs="Tahoma"/>
          <w:lang w:val="sv-FI"/>
        </w:rPr>
        <w:t xml:space="preserve"> </w:t>
      </w:r>
      <w:r w:rsidRPr="003255BC">
        <w:rPr>
          <w:rFonts w:ascii="Bookman Old Style" w:hAnsi="Bookman Old Style" w:cs="Tahoma"/>
          <w:lang w:val="sv-FI"/>
        </w:rPr>
        <w:t>4286)</w:t>
      </w:r>
      <w:r w:rsidR="00A954D0" w:rsidRPr="003255BC">
        <w:rPr>
          <w:rFonts w:ascii="Bookman Old Style" w:hAnsi="Bookman Old Style" w:cs="Tahoma"/>
          <w:lang w:val="sv-FI"/>
        </w:rPr>
        <w:t xml:space="preserve"> </w:t>
      </w:r>
      <w:r w:rsidRPr="003255BC">
        <w:rPr>
          <w:rFonts w:ascii="Bookman Old Style" w:hAnsi="Bookman Old Style" w:cs="Tahoma"/>
          <w:b/>
          <w:bCs/>
          <w:lang w:val="sv-FI"/>
        </w:rPr>
        <w:t>sebagaimana</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telah</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diubah</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dengan</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Undang-Undang</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Nomor</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2</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Tahun</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2020</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tentang</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Penetapan</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Peraturan</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Pemerintah</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Pengganti</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Undang-Undang</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Nomor</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1</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Tahun</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2020</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Tentang</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Kebijakan</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Keuangan</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Negara</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dan</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Stabilitas</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Sistem</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Keuangan</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untuk</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Penanganan</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Pandemi</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Corona</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Virus</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Disease</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2019</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(COVID19)</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dan/atau</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Dalam</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Rangka</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Menghadapi</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Ancaman</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yang</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Membahayakan</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Perekonomian</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Nasional</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dan/atau</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Stabilitas</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Sistem</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Keuangan</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Menjadi</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Undang-Undang</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(Lembaran</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Negara</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Republik</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Indonesia</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Tahun</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2020</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Nomor</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134,</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Tambahan</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Lembaran</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Negara</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Republik</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Indonesia</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Nomor</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6516)</w:t>
      </w:r>
      <w:r w:rsidRPr="003255BC">
        <w:rPr>
          <w:rFonts w:ascii="Bookman Old Style" w:hAnsi="Bookman Old Style" w:cs="Tahoma"/>
          <w:lang w:val="sv-FI"/>
        </w:rPr>
        <w:t>;”</w:t>
      </w:r>
    </w:p>
    <w:p w14:paraId="5D3ED0DE" w14:textId="75A795E8" w:rsidR="006E2F8F" w:rsidRDefault="006E2F8F" w:rsidP="00A26792">
      <w:pPr>
        <w:numPr>
          <w:ilvl w:val="0"/>
          <w:numId w:val="175"/>
        </w:numPr>
        <w:snapToGrid w:val="0"/>
        <w:spacing w:before="60" w:line="276" w:lineRule="auto"/>
        <w:ind w:left="2268" w:hanging="567"/>
        <w:jc w:val="both"/>
        <w:rPr>
          <w:rFonts w:ascii="Bookman Old Style" w:eastAsiaTheme="minorHAnsi" w:hAnsi="Bookman Old Style" w:cstheme="minorBidi"/>
          <w:lang w:val="sv-SE"/>
        </w:rPr>
      </w:pPr>
      <w:r>
        <w:rPr>
          <w:rFonts w:ascii="Bookman Old Style" w:eastAsiaTheme="minorHAnsi" w:hAnsi="Bookman Old Style" w:cstheme="minorBidi"/>
          <w:lang w:val="sv-SE"/>
        </w:rPr>
        <w:t>Angka</w:t>
      </w:r>
      <w:r w:rsidR="00A954D0">
        <w:rPr>
          <w:rFonts w:ascii="Bookman Old Style" w:eastAsiaTheme="minorHAnsi" w:hAnsi="Bookman Old Style" w:cstheme="minorBidi"/>
          <w:lang w:val="sv-SE"/>
        </w:rPr>
        <w:t xml:space="preserve"> </w:t>
      </w:r>
      <w:r>
        <w:rPr>
          <w:rFonts w:ascii="Bookman Old Style" w:eastAsiaTheme="minorHAnsi" w:hAnsi="Bookman Old Style" w:cstheme="minorBidi"/>
          <w:lang w:val="sv-SE"/>
        </w:rPr>
        <w:t>4</w:t>
      </w:r>
      <w:r w:rsidR="00A954D0">
        <w:rPr>
          <w:rFonts w:ascii="Bookman Old Style" w:eastAsiaTheme="minorHAnsi" w:hAnsi="Bookman Old Style" w:cstheme="minorBidi"/>
          <w:lang w:val="sv-SE"/>
        </w:rPr>
        <w:t xml:space="preserve"> </w:t>
      </w:r>
      <w:r>
        <w:rPr>
          <w:rFonts w:ascii="Bookman Old Style" w:eastAsiaTheme="minorHAnsi" w:hAnsi="Bookman Old Style" w:cstheme="minorBidi"/>
          <w:lang w:val="sv-SE"/>
        </w:rPr>
        <w:t>agar</w:t>
      </w:r>
      <w:r w:rsidR="00A954D0">
        <w:rPr>
          <w:rFonts w:ascii="Bookman Old Style" w:eastAsiaTheme="minorHAnsi" w:hAnsi="Bookman Old Style" w:cstheme="minorBidi"/>
          <w:lang w:val="sv-SE"/>
        </w:rPr>
        <w:t xml:space="preserve"> </w:t>
      </w:r>
      <w:r>
        <w:rPr>
          <w:rFonts w:ascii="Bookman Old Style" w:eastAsiaTheme="minorHAnsi" w:hAnsi="Bookman Old Style" w:cstheme="minorBidi"/>
          <w:lang w:val="sv-SE"/>
        </w:rPr>
        <w:t>disempurnakan</w:t>
      </w:r>
      <w:r w:rsidR="00A954D0">
        <w:rPr>
          <w:rFonts w:ascii="Bookman Old Style" w:eastAsiaTheme="minorHAnsi" w:hAnsi="Bookman Old Style" w:cstheme="minorBidi"/>
          <w:lang w:val="sv-SE"/>
        </w:rPr>
        <w:t xml:space="preserve"> </w:t>
      </w:r>
      <w:r>
        <w:rPr>
          <w:rFonts w:ascii="Bookman Old Style" w:eastAsiaTheme="minorHAnsi" w:hAnsi="Bookman Old Style" w:cstheme="minorBidi"/>
          <w:lang w:val="sv-SE"/>
        </w:rPr>
        <w:t>menjadi:</w:t>
      </w:r>
    </w:p>
    <w:p w14:paraId="4DDFABB7" w14:textId="5D2139C3" w:rsidR="006E2F8F" w:rsidRPr="003255BC" w:rsidRDefault="006E2F8F" w:rsidP="00A26792">
      <w:pPr>
        <w:snapToGrid w:val="0"/>
        <w:spacing w:before="60" w:line="276" w:lineRule="auto"/>
        <w:ind w:left="2268"/>
        <w:jc w:val="both"/>
        <w:rPr>
          <w:rFonts w:ascii="Bookman Old Style" w:hAnsi="Bookman Old Style" w:cs="Tahoma"/>
          <w:lang w:val="sv-FI"/>
        </w:rPr>
      </w:pPr>
      <w:r>
        <w:rPr>
          <w:rFonts w:ascii="Bookman Old Style" w:eastAsiaTheme="minorHAnsi" w:hAnsi="Bookman Old Style" w:cstheme="minorBidi"/>
          <w:lang w:val="sv-SE"/>
        </w:rPr>
        <w:t>”</w:t>
      </w:r>
      <w:r w:rsidRPr="003255BC">
        <w:rPr>
          <w:rFonts w:ascii="Bookman Old Style" w:hAnsi="Bookman Old Style" w:cs="Tahoma"/>
          <w:lang w:val="sv-FI"/>
        </w:rPr>
        <w:t>Undang-Undang</w:t>
      </w:r>
      <w:r w:rsidR="00A954D0" w:rsidRPr="003255BC">
        <w:rPr>
          <w:rFonts w:ascii="Bookman Old Style" w:hAnsi="Bookman Old Style" w:cs="Tahoma"/>
          <w:lang w:val="sv-FI"/>
        </w:rPr>
        <w:t xml:space="preserve"> </w:t>
      </w:r>
      <w:r w:rsidRPr="003255BC">
        <w:rPr>
          <w:rFonts w:ascii="Bookman Old Style" w:hAnsi="Bookman Old Style" w:cs="Tahoma"/>
          <w:lang w:val="sv-FI"/>
        </w:rPr>
        <w:t>Nomor</w:t>
      </w:r>
      <w:r w:rsidR="00A954D0" w:rsidRPr="003255BC">
        <w:rPr>
          <w:rFonts w:ascii="Bookman Old Style" w:hAnsi="Bookman Old Style" w:cs="Tahoma"/>
          <w:lang w:val="sv-FI"/>
        </w:rPr>
        <w:t xml:space="preserve"> </w:t>
      </w:r>
      <w:r w:rsidRPr="003255BC">
        <w:rPr>
          <w:rFonts w:ascii="Bookman Old Style" w:hAnsi="Bookman Old Style" w:cs="Tahoma"/>
          <w:lang w:val="sv-FI"/>
        </w:rPr>
        <w:t>1</w:t>
      </w:r>
      <w:r w:rsidR="00A954D0" w:rsidRPr="003255BC">
        <w:rPr>
          <w:rFonts w:ascii="Bookman Old Style" w:hAnsi="Bookman Old Style" w:cs="Tahoma"/>
          <w:lang w:val="sv-FI"/>
        </w:rPr>
        <w:t xml:space="preserve"> </w:t>
      </w:r>
      <w:r w:rsidRPr="003255BC">
        <w:rPr>
          <w:rFonts w:ascii="Bookman Old Style" w:hAnsi="Bookman Old Style" w:cs="Tahoma"/>
          <w:lang w:val="sv-FI"/>
        </w:rPr>
        <w:t>Tahun</w:t>
      </w:r>
      <w:r w:rsidR="00A954D0" w:rsidRPr="003255BC">
        <w:rPr>
          <w:rFonts w:ascii="Bookman Old Style" w:hAnsi="Bookman Old Style" w:cs="Tahoma"/>
          <w:lang w:val="sv-FI"/>
        </w:rPr>
        <w:t xml:space="preserve"> </w:t>
      </w:r>
      <w:r w:rsidRPr="003255BC">
        <w:rPr>
          <w:rFonts w:ascii="Bookman Old Style" w:hAnsi="Bookman Old Style" w:cs="Tahoma"/>
          <w:lang w:val="sv-FI"/>
        </w:rPr>
        <w:t>2004</w:t>
      </w:r>
      <w:r w:rsidR="00A954D0" w:rsidRPr="003255BC">
        <w:rPr>
          <w:rFonts w:ascii="Bookman Old Style" w:hAnsi="Bookman Old Style" w:cs="Tahoma"/>
          <w:lang w:val="sv-FI"/>
        </w:rPr>
        <w:t xml:space="preserve"> </w:t>
      </w:r>
      <w:r w:rsidRPr="003255BC">
        <w:rPr>
          <w:rFonts w:ascii="Bookman Old Style" w:hAnsi="Bookman Old Style" w:cs="Tahoma"/>
          <w:lang w:val="sv-FI"/>
        </w:rPr>
        <w:t>tentang</w:t>
      </w:r>
      <w:r w:rsidR="00A954D0" w:rsidRPr="003255BC">
        <w:rPr>
          <w:rFonts w:ascii="Bookman Old Style" w:hAnsi="Bookman Old Style" w:cs="Tahoma"/>
          <w:lang w:val="sv-FI"/>
        </w:rPr>
        <w:t xml:space="preserve"> </w:t>
      </w:r>
      <w:r w:rsidRPr="003255BC">
        <w:rPr>
          <w:rFonts w:ascii="Bookman Old Style" w:hAnsi="Bookman Old Style" w:cs="Tahoma"/>
          <w:lang w:val="sv-FI"/>
        </w:rPr>
        <w:t>Perbendaharaan</w:t>
      </w:r>
      <w:r w:rsidR="00A954D0" w:rsidRPr="003255BC">
        <w:rPr>
          <w:rFonts w:ascii="Bookman Old Style" w:hAnsi="Bookman Old Style" w:cs="Tahoma"/>
          <w:lang w:val="sv-FI"/>
        </w:rPr>
        <w:t xml:space="preserve"> </w:t>
      </w:r>
      <w:r w:rsidRPr="003255BC">
        <w:rPr>
          <w:rFonts w:ascii="Bookman Old Style" w:hAnsi="Bookman Old Style" w:cs="Tahoma"/>
          <w:lang w:val="sv-FI"/>
        </w:rPr>
        <w:t>Negara</w:t>
      </w:r>
      <w:r w:rsidR="00A954D0" w:rsidRPr="003255BC">
        <w:rPr>
          <w:rFonts w:ascii="Bookman Old Style" w:hAnsi="Bookman Old Style" w:cs="Tahoma"/>
          <w:lang w:val="sv-FI"/>
        </w:rPr>
        <w:t xml:space="preserve"> </w:t>
      </w:r>
      <w:r w:rsidRPr="003255BC">
        <w:rPr>
          <w:rFonts w:ascii="Bookman Old Style" w:hAnsi="Bookman Old Style" w:cs="Tahoma"/>
          <w:lang w:val="sv-FI"/>
        </w:rPr>
        <w:t>(Lembaran</w:t>
      </w:r>
      <w:r w:rsidR="00A954D0" w:rsidRPr="003255BC">
        <w:rPr>
          <w:rFonts w:ascii="Bookman Old Style" w:hAnsi="Bookman Old Style" w:cs="Tahoma"/>
          <w:lang w:val="sv-FI"/>
        </w:rPr>
        <w:t xml:space="preserve"> </w:t>
      </w:r>
      <w:r w:rsidRPr="003255BC">
        <w:rPr>
          <w:rFonts w:ascii="Bookman Old Style" w:hAnsi="Bookman Old Style" w:cs="Tahoma"/>
          <w:lang w:val="sv-FI"/>
        </w:rPr>
        <w:t>Negara</w:t>
      </w:r>
      <w:r w:rsidR="00A954D0" w:rsidRPr="003255BC">
        <w:rPr>
          <w:rFonts w:ascii="Bookman Old Style" w:hAnsi="Bookman Old Style" w:cs="Tahoma"/>
          <w:lang w:val="sv-FI"/>
        </w:rPr>
        <w:t xml:space="preserve"> </w:t>
      </w:r>
      <w:r w:rsidRPr="003255BC">
        <w:rPr>
          <w:rFonts w:ascii="Bookman Old Style" w:hAnsi="Bookman Old Style" w:cs="Tahoma"/>
          <w:lang w:val="sv-FI"/>
        </w:rPr>
        <w:t>Republik</w:t>
      </w:r>
      <w:r w:rsidR="00A954D0" w:rsidRPr="003255BC">
        <w:rPr>
          <w:rFonts w:ascii="Bookman Old Style" w:hAnsi="Bookman Old Style" w:cs="Tahoma"/>
          <w:lang w:val="sv-FI"/>
        </w:rPr>
        <w:t xml:space="preserve"> </w:t>
      </w:r>
      <w:r w:rsidRPr="003255BC">
        <w:rPr>
          <w:rFonts w:ascii="Bookman Old Style" w:hAnsi="Bookman Old Style" w:cs="Tahoma"/>
          <w:lang w:val="sv-FI"/>
        </w:rPr>
        <w:t>Indonesia</w:t>
      </w:r>
      <w:r w:rsidR="00A954D0" w:rsidRPr="003255BC">
        <w:rPr>
          <w:rFonts w:ascii="Bookman Old Style" w:hAnsi="Bookman Old Style" w:cs="Tahoma"/>
          <w:lang w:val="sv-FI"/>
        </w:rPr>
        <w:t xml:space="preserve"> </w:t>
      </w:r>
      <w:r w:rsidRPr="003255BC">
        <w:rPr>
          <w:rFonts w:ascii="Bookman Old Style" w:hAnsi="Bookman Old Style" w:cs="Tahoma"/>
          <w:lang w:val="sv-FI"/>
        </w:rPr>
        <w:t>Tahun</w:t>
      </w:r>
      <w:r w:rsidR="00A954D0" w:rsidRPr="003255BC">
        <w:rPr>
          <w:rFonts w:ascii="Bookman Old Style" w:hAnsi="Bookman Old Style" w:cs="Tahoma"/>
          <w:lang w:val="sv-FI"/>
        </w:rPr>
        <w:t xml:space="preserve"> </w:t>
      </w:r>
      <w:r w:rsidRPr="003255BC">
        <w:rPr>
          <w:rFonts w:ascii="Bookman Old Style" w:hAnsi="Bookman Old Style" w:cs="Tahoma"/>
          <w:lang w:val="sv-FI"/>
        </w:rPr>
        <w:t>2004</w:t>
      </w:r>
      <w:r w:rsidR="00A954D0" w:rsidRPr="003255BC">
        <w:rPr>
          <w:rFonts w:ascii="Bookman Old Style" w:hAnsi="Bookman Old Style" w:cs="Tahoma"/>
          <w:lang w:val="sv-FI"/>
        </w:rPr>
        <w:t xml:space="preserve"> </w:t>
      </w:r>
      <w:r w:rsidRPr="003255BC">
        <w:rPr>
          <w:rFonts w:ascii="Bookman Old Style" w:hAnsi="Bookman Old Style" w:cs="Tahoma"/>
          <w:lang w:val="sv-FI"/>
        </w:rPr>
        <w:t>Nomor</w:t>
      </w:r>
      <w:r w:rsidR="00A954D0" w:rsidRPr="003255BC">
        <w:rPr>
          <w:rFonts w:ascii="Bookman Old Style" w:hAnsi="Bookman Old Style" w:cs="Tahoma"/>
          <w:lang w:val="sv-FI"/>
        </w:rPr>
        <w:t xml:space="preserve"> </w:t>
      </w:r>
      <w:r w:rsidRPr="003255BC">
        <w:rPr>
          <w:rFonts w:ascii="Bookman Old Style" w:hAnsi="Bookman Old Style" w:cs="Tahoma"/>
          <w:lang w:val="sv-FI"/>
        </w:rPr>
        <w:t>5,</w:t>
      </w:r>
      <w:r w:rsidR="00A954D0" w:rsidRPr="003255BC">
        <w:rPr>
          <w:rFonts w:ascii="Bookman Old Style" w:hAnsi="Bookman Old Style" w:cs="Tahoma"/>
          <w:lang w:val="sv-FI"/>
        </w:rPr>
        <w:t xml:space="preserve"> </w:t>
      </w:r>
      <w:r w:rsidRPr="003255BC">
        <w:rPr>
          <w:rFonts w:ascii="Bookman Old Style" w:hAnsi="Bookman Old Style" w:cs="Tahoma"/>
          <w:lang w:val="sv-FI"/>
        </w:rPr>
        <w:t>Tambahan</w:t>
      </w:r>
      <w:r w:rsidR="00A954D0" w:rsidRPr="003255BC">
        <w:rPr>
          <w:rFonts w:ascii="Bookman Old Style" w:hAnsi="Bookman Old Style" w:cs="Tahoma"/>
          <w:lang w:val="sv-FI"/>
        </w:rPr>
        <w:t xml:space="preserve"> </w:t>
      </w:r>
      <w:r w:rsidRPr="003255BC">
        <w:rPr>
          <w:rFonts w:ascii="Bookman Old Style" w:hAnsi="Bookman Old Style" w:cs="Tahoma"/>
          <w:lang w:val="sv-FI"/>
        </w:rPr>
        <w:t>Lembaran</w:t>
      </w:r>
      <w:r w:rsidR="00A954D0" w:rsidRPr="003255BC">
        <w:rPr>
          <w:rFonts w:ascii="Bookman Old Style" w:hAnsi="Bookman Old Style" w:cs="Tahoma"/>
          <w:lang w:val="sv-FI"/>
        </w:rPr>
        <w:t xml:space="preserve"> </w:t>
      </w:r>
      <w:r w:rsidRPr="003255BC">
        <w:rPr>
          <w:rFonts w:ascii="Bookman Old Style" w:hAnsi="Bookman Old Style" w:cs="Tahoma"/>
          <w:lang w:val="sv-FI"/>
        </w:rPr>
        <w:t>Negara</w:t>
      </w:r>
      <w:r w:rsidR="00A954D0" w:rsidRPr="003255BC">
        <w:rPr>
          <w:rFonts w:ascii="Bookman Old Style" w:hAnsi="Bookman Old Style" w:cs="Tahoma"/>
          <w:lang w:val="sv-FI"/>
        </w:rPr>
        <w:t xml:space="preserve"> </w:t>
      </w:r>
      <w:r w:rsidRPr="003255BC">
        <w:rPr>
          <w:rFonts w:ascii="Bookman Old Style" w:hAnsi="Bookman Old Style" w:cs="Tahoma"/>
          <w:lang w:val="sv-FI"/>
        </w:rPr>
        <w:t>Republik</w:t>
      </w:r>
      <w:r w:rsidR="00A954D0" w:rsidRPr="003255BC">
        <w:rPr>
          <w:rFonts w:ascii="Bookman Old Style" w:hAnsi="Bookman Old Style" w:cs="Tahoma"/>
          <w:lang w:val="sv-FI"/>
        </w:rPr>
        <w:t xml:space="preserve"> </w:t>
      </w:r>
      <w:r w:rsidRPr="003255BC">
        <w:rPr>
          <w:rFonts w:ascii="Bookman Old Style" w:hAnsi="Bookman Old Style" w:cs="Tahoma"/>
          <w:lang w:val="sv-FI"/>
        </w:rPr>
        <w:t>Indonesia</w:t>
      </w:r>
      <w:r w:rsidR="00A954D0" w:rsidRPr="003255BC">
        <w:rPr>
          <w:rFonts w:ascii="Bookman Old Style" w:hAnsi="Bookman Old Style" w:cs="Tahoma"/>
          <w:lang w:val="sv-FI"/>
        </w:rPr>
        <w:t xml:space="preserve"> </w:t>
      </w:r>
      <w:r w:rsidRPr="003255BC">
        <w:rPr>
          <w:rFonts w:ascii="Bookman Old Style" w:hAnsi="Bookman Old Style" w:cs="Tahoma"/>
          <w:lang w:val="sv-FI"/>
        </w:rPr>
        <w:t>Nomor</w:t>
      </w:r>
      <w:r w:rsidR="00A954D0" w:rsidRPr="003255BC">
        <w:rPr>
          <w:rFonts w:ascii="Bookman Old Style" w:hAnsi="Bookman Old Style" w:cs="Tahoma"/>
          <w:lang w:val="sv-FI"/>
        </w:rPr>
        <w:t xml:space="preserve"> </w:t>
      </w:r>
      <w:r w:rsidRPr="003255BC">
        <w:rPr>
          <w:rFonts w:ascii="Bookman Old Style" w:hAnsi="Bookman Old Style" w:cs="Tahoma"/>
          <w:lang w:val="sv-FI"/>
        </w:rPr>
        <w:t>4355)</w:t>
      </w:r>
      <w:r w:rsidR="00A954D0" w:rsidRPr="003255BC">
        <w:rPr>
          <w:rFonts w:ascii="Bookman Old Style" w:hAnsi="Bookman Old Style" w:cs="Tahoma"/>
          <w:lang w:val="sv-FI"/>
        </w:rPr>
        <w:t xml:space="preserve"> </w:t>
      </w:r>
      <w:r w:rsidRPr="003255BC">
        <w:rPr>
          <w:rFonts w:ascii="Bookman Old Style" w:hAnsi="Bookman Old Style" w:cs="Tahoma"/>
          <w:b/>
          <w:bCs/>
          <w:lang w:val="sv-FI"/>
        </w:rPr>
        <w:t>sebagaimana</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telah</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diubah</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dengan</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Undang-Undang</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Nomor</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2</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Tahun</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2020</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tentang</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Penetapan</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Peraturan</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Pemerintah</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Pengganti</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Undang-Undang</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Nomor</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1</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Tahun</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2020</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Tentang</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Kebijakan</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Keuangan</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Negara</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dan</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Stabilitas</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Sistem</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Keuangan</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untuk</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Penanganan</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lastRenderedPageBreak/>
        <w:t>Pandemi</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Corona</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Virus</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Disease</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2019</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(COVID19)</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dan/atau</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Dalam</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Rangka</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Menghadapi</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Ancaman</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yang</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Membahayakan</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Perekonomian</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Nasional</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dan/atau</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Stabilitas</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Sistem</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Keuangan</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Menjadi</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Undang-Undang</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(Lembaran</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Negara</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Republik</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Indonesia</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Tahun</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2020</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Nomor</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134,</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Tambahan</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Lembaran</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Negara</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Republik</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Indonesia</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Nomor</w:t>
      </w:r>
      <w:r w:rsidR="00A954D0" w:rsidRPr="003255BC">
        <w:rPr>
          <w:rFonts w:ascii="Bookman Old Style" w:hAnsi="Bookman Old Style" w:cs="Tahoma"/>
          <w:b/>
          <w:bCs/>
          <w:lang w:val="sv-FI"/>
        </w:rPr>
        <w:t xml:space="preserve"> </w:t>
      </w:r>
      <w:r w:rsidRPr="003255BC">
        <w:rPr>
          <w:rFonts w:ascii="Bookman Old Style" w:hAnsi="Bookman Old Style" w:cs="Tahoma"/>
          <w:b/>
          <w:bCs/>
          <w:lang w:val="sv-FI"/>
        </w:rPr>
        <w:t>6516)</w:t>
      </w:r>
      <w:r w:rsidRPr="003255BC">
        <w:rPr>
          <w:rFonts w:ascii="Bookman Old Style" w:hAnsi="Bookman Old Style" w:cs="Tahoma"/>
          <w:lang w:val="sv-FI"/>
        </w:rPr>
        <w:t>;”</w:t>
      </w:r>
    </w:p>
    <w:p w14:paraId="18CB67DF" w14:textId="10638BC4" w:rsidR="006E2F8F" w:rsidRDefault="006E2F8F" w:rsidP="00A26792">
      <w:pPr>
        <w:numPr>
          <w:ilvl w:val="0"/>
          <w:numId w:val="175"/>
        </w:numPr>
        <w:snapToGrid w:val="0"/>
        <w:spacing w:before="60" w:line="276" w:lineRule="auto"/>
        <w:ind w:left="2268" w:hanging="567"/>
        <w:jc w:val="both"/>
        <w:rPr>
          <w:rFonts w:ascii="Bookman Old Style" w:eastAsiaTheme="minorHAnsi" w:hAnsi="Bookman Old Style" w:cstheme="minorBidi"/>
          <w:lang w:val="sv-SE"/>
        </w:rPr>
      </w:pPr>
      <w:r>
        <w:rPr>
          <w:rFonts w:ascii="Bookman Old Style" w:eastAsiaTheme="minorHAnsi" w:hAnsi="Bookman Old Style" w:cstheme="minorBidi"/>
          <w:lang w:val="sv-SE"/>
        </w:rPr>
        <w:t>Angka</w:t>
      </w:r>
      <w:r w:rsidR="00A954D0">
        <w:rPr>
          <w:rFonts w:ascii="Bookman Old Style" w:eastAsiaTheme="minorHAnsi" w:hAnsi="Bookman Old Style" w:cstheme="minorBidi"/>
          <w:lang w:val="sv-SE"/>
        </w:rPr>
        <w:t xml:space="preserve"> </w:t>
      </w:r>
      <w:r>
        <w:rPr>
          <w:rFonts w:ascii="Bookman Old Style" w:eastAsiaTheme="minorHAnsi" w:hAnsi="Bookman Old Style" w:cstheme="minorBidi"/>
          <w:lang w:val="sv-SE"/>
        </w:rPr>
        <w:t>7</w:t>
      </w:r>
      <w:r w:rsidR="00A954D0">
        <w:rPr>
          <w:rFonts w:ascii="Bookman Old Style" w:eastAsiaTheme="minorHAnsi" w:hAnsi="Bookman Old Style" w:cstheme="minorBidi"/>
          <w:lang w:val="sv-SE"/>
        </w:rPr>
        <w:t xml:space="preserve"> </w:t>
      </w:r>
      <w:r>
        <w:rPr>
          <w:rFonts w:ascii="Bookman Old Style" w:eastAsiaTheme="minorHAnsi" w:hAnsi="Bookman Old Style" w:cstheme="minorBidi"/>
          <w:lang w:val="sv-SE"/>
        </w:rPr>
        <w:t>agar</w:t>
      </w:r>
      <w:r w:rsidR="00A954D0">
        <w:rPr>
          <w:rFonts w:ascii="Bookman Old Style" w:eastAsiaTheme="minorHAnsi" w:hAnsi="Bookman Old Style" w:cstheme="minorBidi"/>
          <w:lang w:val="sv-SE"/>
        </w:rPr>
        <w:t xml:space="preserve"> </w:t>
      </w:r>
      <w:r>
        <w:rPr>
          <w:rFonts w:ascii="Bookman Old Style" w:eastAsiaTheme="minorHAnsi" w:hAnsi="Bookman Old Style" w:cstheme="minorBidi"/>
          <w:lang w:val="sv-SE"/>
        </w:rPr>
        <w:t>disempurnakan</w:t>
      </w:r>
      <w:r w:rsidR="00A954D0">
        <w:rPr>
          <w:rFonts w:ascii="Bookman Old Style" w:eastAsiaTheme="minorHAnsi" w:hAnsi="Bookman Old Style" w:cstheme="minorBidi"/>
          <w:lang w:val="sv-SE"/>
        </w:rPr>
        <w:t xml:space="preserve"> </w:t>
      </w:r>
      <w:r>
        <w:rPr>
          <w:rFonts w:ascii="Bookman Old Style" w:eastAsiaTheme="minorHAnsi" w:hAnsi="Bookman Old Style" w:cstheme="minorBidi"/>
          <w:lang w:val="sv-SE"/>
        </w:rPr>
        <w:t>menjadi:</w:t>
      </w:r>
    </w:p>
    <w:p w14:paraId="4E5C8810" w14:textId="616C73B5" w:rsidR="006E2F8F" w:rsidRPr="003255BC" w:rsidRDefault="006E2F8F" w:rsidP="00A26792">
      <w:pPr>
        <w:snapToGrid w:val="0"/>
        <w:spacing w:before="60" w:line="276" w:lineRule="auto"/>
        <w:ind w:left="2268"/>
        <w:jc w:val="both"/>
        <w:rPr>
          <w:rFonts w:ascii="Bookman Old Style" w:hAnsi="Bookman Old Style" w:cs="Tahoma"/>
          <w:lang w:val="sv-SE"/>
        </w:rPr>
      </w:pPr>
      <w:r>
        <w:rPr>
          <w:rFonts w:ascii="Bookman Old Style" w:eastAsiaTheme="minorHAnsi" w:hAnsi="Bookman Old Style" w:cstheme="minorBidi"/>
          <w:lang w:val="sv-SE"/>
        </w:rPr>
        <w:t>”</w:t>
      </w:r>
      <w:r w:rsidRPr="003255BC">
        <w:rPr>
          <w:rFonts w:ascii="Bookman Old Style" w:hAnsi="Bookman Old Style" w:cs="Tahoma"/>
          <w:b/>
          <w:bCs/>
          <w:lang w:val="sv-SE"/>
        </w:rPr>
        <w:t>Undang-Undang</w:t>
      </w:r>
      <w:r w:rsidR="00A954D0" w:rsidRPr="003255BC">
        <w:rPr>
          <w:rFonts w:ascii="Bookman Old Style" w:hAnsi="Bookman Old Style" w:cs="Tahoma"/>
          <w:b/>
          <w:bCs/>
          <w:lang w:val="sv-SE"/>
        </w:rPr>
        <w:t xml:space="preserve"> </w:t>
      </w:r>
      <w:r w:rsidRPr="003255BC">
        <w:rPr>
          <w:rFonts w:ascii="Bookman Old Style" w:hAnsi="Bookman Old Style" w:cs="Tahoma"/>
          <w:b/>
          <w:bCs/>
          <w:lang w:val="sv-SE"/>
        </w:rPr>
        <w:t>Nomor</w:t>
      </w:r>
      <w:r w:rsidR="00A954D0" w:rsidRPr="003255BC">
        <w:rPr>
          <w:rFonts w:ascii="Bookman Old Style" w:hAnsi="Bookman Old Style" w:cs="Tahoma"/>
          <w:b/>
          <w:bCs/>
          <w:lang w:val="sv-SE"/>
        </w:rPr>
        <w:t xml:space="preserve"> </w:t>
      </w:r>
      <w:r w:rsidRPr="003B3482">
        <w:rPr>
          <w:rFonts w:ascii="Bookman Old Style" w:hAnsi="Bookman Old Style" w:cs="Tahoma"/>
          <w:b/>
          <w:bCs/>
          <w:lang w:val="id-ID"/>
        </w:rPr>
        <w:t>23</w:t>
      </w:r>
      <w:r w:rsidR="00A954D0" w:rsidRPr="003255BC">
        <w:rPr>
          <w:rFonts w:ascii="Bookman Old Style" w:hAnsi="Bookman Old Style" w:cs="Tahoma"/>
          <w:b/>
          <w:bCs/>
          <w:lang w:val="sv-SE"/>
        </w:rPr>
        <w:t xml:space="preserve"> </w:t>
      </w:r>
      <w:r w:rsidRPr="003255BC">
        <w:rPr>
          <w:rFonts w:ascii="Bookman Old Style" w:hAnsi="Bookman Old Style" w:cs="Tahoma"/>
          <w:b/>
          <w:bCs/>
          <w:lang w:val="sv-SE"/>
        </w:rPr>
        <w:t>Tahun</w:t>
      </w:r>
      <w:r w:rsidR="00A954D0" w:rsidRPr="003255BC">
        <w:rPr>
          <w:rFonts w:ascii="Bookman Old Style" w:hAnsi="Bookman Old Style" w:cs="Tahoma"/>
          <w:b/>
          <w:bCs/>
          <w:lang w:val="sv-SE"/>
        </w:rPr>
        <w:t xml:space="preserve"> </w:t>
      </w:r>
      <w:r w:rsidRPr="003255BC">
        <w:rPr>
          <w:rFonts w:ascii="Bookman Old Style" w:hAnsi="Bookman Old Style" w:cs="Tahoma"/>
          <w:b/>
          <w:bCs/>
          <w:lang w:val="sv-SE"/>
        </w:rPr>
        <w:t>201</w:t>
      </w:r>
      <w:r w:rsidRPr="003B3482">
        <w:rPr>
          <w:rFonts w:ascii="Bookman Old Style" w:hAnsi="Bookman Old Style" w:cs="Tahoma"/>
          <w:b/>
          <w:bCs/>
          <w:lang w:val="id-ID"/>
        </w:rPr>
        <w:t>4</w:t>
      </w:r>
      <w:r w:rsidR="00A954D0" w:rsidRPr="003255BC">
        <w:rPr>
          <w:rFonts w:ascii="Bookman Old Style" w:hAnsi="Bookman Old Style" w:cs="Tahoma"/>
          <w:b/>
          <w:bCs/>
          <w:lang w:val="sv-SE"/>
        </w:rPr>
        <w:t xml:space="preserve"> </w:t>
      </w:r>
      <w:r w:rsidRPr="003255BC">
        <w:rPr>
          <w:rFonts w:ascii="Bookman Old Style" w:hAnsi="Bookman Old Style" w:cs="Tahoma"/>
          <w:b/>
          <w:bCs/>
          <w:lang w:val="sv-SE"/>
        </w:rPr>
        <w:t>tentang</w:t>
      </w:r>
      <w:r w:rsidR="00A954D0" w:rsidRPr="003255BC">
        <w:rPr>
          <w:rFonts w:ascii="Bookman Old Style" w:hAnsi="Bookman Old Style" w:cs="Tahoma"/>
          <w:b/>
          <w:bCs/>
          <w:lang w:val="sv-SE"/>
        </w:rPr>
        <w:t xml:space="preserve"> </w:t>
      </w:r>
      <w:r w:rsidRPr="003B3482">
        <w:rPr>
          <w:rFonts w:ascii="Bookman Old Style" w:hAnsi="Bookman Old Style" w:cs="Tahoma"/>
          <w:b/>
          <w:bCs/>
          <w:lang w:val="id-ID"/>
        </w:rPr>
        <w:t>Pemerintahan</w:t>
      </w:r>
      <w:r w:rsidR="00A954D0">
        <w:rPr>
          <w:rFonts w:ascii="Bookman Old Style" w:hAnsi="Bookman Old Style" w:cs="Tahoma"/>
          <w:b/>
          <w:bCs/>
          <w:lang w:val="id-ID"/>
        </w:rPr>
        <w:t xml:space="preserve"> </w:t>
      </w:r>
      <w:r w:rsidRPr="003B3482">
        <w:rPr>
          <w:rFonts w:ascii="Bookman Old Style" w:hAnsi="Bookman Old Style" w:cs="Tahoma"/>
          <w:b/>
          <w:bCs/>
          <w:lang w:val="id-ID"/>
        </w:rPr>
        <w:t>Daerah</w:t>
      </w:r>
      <w:r w:rsidR="00A954D0" w:rsidRPr="003255BC">
        <w:rPr>
          <w:rFonts w:ascii="Bookman Old Style" w:hAnsi="Bookman Old Style" w:cs="Tahoma"/>
          <w:b/>
          <w:bCs/>
          <w:lang w:val="sv-SE"/>
        </w:rPr>
        <w:t xml:space="preserve"> </w:t>
      </w:r>
      <w:r w:rsidRPr="003255BC">
        <w:rPr>
          <w:rFonts w:ascii="Bookman Old Style" w:hAnsi="Bookman Old Style" w:cs="Tahoma"/>
          <w:b/>
          <w:bCs/>
          <w:lang w:val="sv-SE"/>
        </w:rPr>
        <w:t>(Lembaran</w:t>
      </w:r>
      <w:r w:rsidR="00A954D0" w:rsidRPr="003255BC">
        <w:rPr>
          <w:rFonts w:ascii="Bookman Old Style" w:hAnsi="Bookman Old Style" w:cs="Tahoma"/>
          <w:b/>
          <w:bCs/>
          <w:lang w:val="sv-SE"/>
        </w:rPr>
        <w:t xml:space="preserve"> </w:t>
      </w:r>
      <w:r w:rsidRPr="003255BC">
        <w:rPr>
          <w:rFonts w:ascii="Bookman Old Style" w:hAnsi="Bookman Old Style" w:cs="Tahoma"/>
          <w:b/>
          <w:bCs/>
          <w:lang w:val="sv-SE"/>
        </w:rPr>
        <w:t>Negara</w:t>
      </w:r>
      <w:r w:rsidR="00A954D0" w:rsidRPr="003255BC">
        <w:rPr>
          <w:rFonts w:ascii="Bookman Old Style" w:hAnsi="Bookman Old Style" w:cs="Tahoma"/>
          <w:b/>
          <w:bCs/>
          <w:lang w:val="sv-SE"/>
        </w:rPr>
        <w:t xml:space="preserve"> </w:t>
      </w:r>
      <w:r w:rsidRPr="003255BC">
        <w:rPr>
          <w:rFonts w:ascii="Bookman Old Style" w:hAnsi="Bookman Old Style" w:cs="Tahoma"/>
          <w:b/>
          <w:bCs/>
          <w:lang w:val="sv-SE"/>
        </w:rPr>
        <w:t>Republik</w:t>
      </w:r>
      <w:r w:rsidR="00A954D0" w:rsidRPr="003255BC">
        <w:rPr>
          <w:rFonts w:ascii="Bookman Old Style" w:hAnsi="Bookman Old Style" w:cs="Tahoma"/>
          <w:b/>
          <w:bCs/>
          <w:lang w:val="sv-SE"/>
        </w:rPr>
        <w:t xml:space="preserve"> </w:t>
      </w:r>
      <w:r w:rsidRPr="003255BC">
        <w:rPr>
          <w:rFonts w:ascii="Bookman Old Style" w:hAnsi="Bookman Old Style" w:cs="Tahoma"/>
          <w:b/>
          <w:bCs/>
          <w:lang w:val="sv-SE"/>
        </w:rPr>
        <w:t>Indonesia</w:t>
      </w:r>
      <w:r w:rsidR="00A954D0" w:rsidRPr="003255BC">
        <w:rPr>
          <w:rFonts w:ascii="Bookman Old Style" w:hAnsi="Bookman Old Style" w:cs="Tahoma"/>
          <w:b/>
          <w:bCs/>
          <w:lang w:val="sv-SE"/>
        </w:rPr>
        <w:t xml:space="preserve"> </w:t>
      </w:r>
      <w:r w:rsidRPr="003255BC">
        <w:rPr>
          <w:rFonts w:ascii="Bookman Old Style" w:hAnsi="Bookman Old Style" w:cs="Tahoma"/>
          <w:b/>
          <w:bCs/>
          <w:lang w:val="sv-SE"/>
        </w:rPr>
        <w:t>Tahun</w:t>
      </w:r>
      <w:r w:rsidR="00A954D0" w:rsidRPr="003255BC">
        <w:rPr>
          <w:rFonts w:ascii="Bookman Old Style" w:hAnsi="Bookman Old Style" w:cs="Tahoma"/>
          <w:b/>
          <w:bCs/>
          <w:lang w:val="sv-SE"/>
        </w:rPr>
        <w:t xml:space="preserve"> </w:t>
      </w:r>
      <w:r w:rsidRPr="003255BC">
        <w:rPr>
          <w:rFonts w:ascii="Bookman Old Style" w:hAnsi="Bookman Old Style" w:cs="Tahoma"/>
          <w:b/>
          <w:bCs/>
          <w:lang w:val="sv-SE"/>
        </w:rPr>
        <w:t>201</w:t>
      </w:r>
      <w:r w:rsidRPr="003B3482">
        <w:rPr>
          <w:rFonts w:ascii="Bookman Old Style" w:hAnsi="Bookman Old Style" w:cs="Tahoma"/>
          <w:b/>
          <w:bCs/>
          <w:lang w:val="id-ID"/>
        </w:rPr>
        <w:t>4</w:t>
      </w:r>
      <w:r w:rsidR="00A954D0" w:rsidRPr="003255BC">
        <w:rPr>
          <w:rFonts w:ascii="Bookman Old Style" w:hAnsi="Bookman Old Style" w:cs="Tahoma"/>
          <w:b/>
          <w:bCs/>
          <w:lang w:val="sv-SE"/>
        </w:rPr>
        <w:t xml:space="preserve"> </w:t>
      </w:r>
      <w:r w:rsidRPr="003255BC">
        <w:rPr>
          <w:rFonts w:ascii="Bookman Old Style" w:hAnsi="Bookman Old Style" w:cs="Tahoma"/>
          <w:b/>
          <w:bCs/>
          <w:lang w:val="sv-SE"/>
        </w:rPr>
        <w:t>Nomor</w:t>
      </w:r>
      <w:r w:rsidR="00A954D0" w:rsidRPr="003255BC">
        <w:rPr>
          <w:rFonts w:ascii="Bookman Old Style" w:hAnsi="Bookman Old Style" w:cs="Tahoma"/>
          <w:b/>
          <w:bCs/>
          <w:lang w:val="sv-SE"/>
        </w:rPr>
        <w:t xml:space="preserve"> </w:t>
      </w:r>
      <w:r w:rsidRPr="003B3482">
        <w:rPr>
          <w:rFonts w:ascii="Bookman Old Style" w:hAnsi="Bookman Old Style" w:cs="Tahoma"/>
          <w:b/>
          <w:bCs/>
          <w:lang w:val="id-ID"/>
        </w:rPr>
        <w:t>244</w:t>
      </w:r>
      <w:r w:rsidRPr="003255BC">
        <w:rPr>
          <w:rFonts w:ascii="Bookman Old Style" w:hAnsi="Bookman Old Style" w:cs="Tahoma"/>
          <w:b/>
          <w:bCs/>
          <w:lang w:val="sv-SE"/>
        </w:rPr>
        <w:t>,</w:t>
      </w:r>
      <w:r w:rsidR="00A954D0" w:rsidRPr="003255BC">
        <w:rPr>
          <w:rFonts w:ascii="Bookman Old Style" w:hAnsi="Bookman Old Style" w:cs="Tahoma"/>
          <w:b/>
          <w:bCs/>
          <w:lang w:val="sv-SE"/>
        </w:rPr>
        <w:t xml:space="preserve"> </w:t>
      </w:r>
      <w:r w:rsidRPr="003255BC">
        <w:rPr>
          <w:rFonts w:ascii="Bookman Old Style" w:hAnsi="Bookman Old Style" w:cs="Tahoma"/>
          <w:b/>
          <w:bCs/>
          <w:lang w:val="sv-SE"/>
        </w:rPr>
        <w:t>Tambahan</w:t>
      </w:r>
      <w:r w:rsidR="00A954D0" w:rsidRPr="003255BC">
        <w:rPr>
          <w:rFonts w:ascii="Bookman Old Style" w:hAnsi="Bookman Old Style" w:cs="Tahoma"/>
          <w:b/>
          <w:bCs/>
          <w:lang w:val="sv-SE"/>
        </w:rPr>
        <w:t xml:space="preserve"> </w:t>
      </w:r>
      <w:r w:rsidRPr="003255BC">
        <w:rPr>
          <w:rFonts w:ascii="Bookman Old Style" w:hAnsi="Bookman Old Style" w:cs="Tahoma"/>
          <w:b/>
          <w:bCs/>
          <w:lang w:val="sv-SE"/>
        </w:rPr>
        <w:t>Lembaran</w:t>
      </w:r>
      <w:r w:rsidR="00A954D0" w:rsidRPr="003255BC">
        <w:rPr>
          <w:rFonts w:ascii="Bookman Old Style" w:hAnsi="Bookman Old Style" w:cs="Tahoma"/>
          <w:b/>
          <w:bCs/>
          <w:lang w:val="sv-SE"/>
        </w:rPr>
        <w:t xml:space="preserve"> </w:t>
      </w:r>
      <w:r w:rsidRPr="003255BC">
        <w:rPr>
          <w:rFonts w:ascii="Bookman Old Style" w:hAnsi="Bookman Old Style" w:cs="Tahoma"/>
          <w:b/>
          <w:bCs/>
          <w:lang w:val="sv-SE"/>
        </w:rPr>
        <w:t>Negara</w:t>
      </w:r>
      <w:r w:rsidR="00A954D0" w:rsidRPr="003255BC">
        <w:rPr>
          <w:rFonts w:ascii="Bookman Old Style" w:hAnsi="Bookman Old Style" w:cs="Tahoma"/>
          <w:b/>
          <w:bCs/>
          <w:lang w:val="sv-SE"/>
        </w:rPr>
        <w:t xml:space="preserve"> </w:t>
      </w:r>
      <w:r w:rsidRPr="003255BC">
        <w:rPr>
          <w:rFonts w:ascii="Bookman Old Style" w:hAnsi="Bookman Old Style" w:cs="Tahoma"/>
          <w:b/>
          <w:bCs/>
          <w:lang w:val="sv-SE"/>
        </w:rPr>
        <w:t>Republik</w:t>
      </w:r>
      <w:r w:rsidR="00A954D0" w:rsidRPr="003255BC">
        <w:rPr>
          <w:rFonts w:ascii="Bookman Old Style" w:hAnsi="Bookman Old Style" w:cs="Tahoma"/>
          <w:b/>
          <w:bCs/>
          <w:lang w:val="sv-SE"/>
        </w:rPr>
        <w:t xml:space="preserve"> </w:t>
      </w:r>
      <w:r w:rsidRPr="003255BC">
        <w:rPr>
          <w:rFonts w:ascii="Bookman Old Style" w:hAnsi="Bookman Old Style" w:cs="Tahoma"/>
          <w:b/>
          <w:bCs/>
          <w:lang w:val="sv-SE"/>
        </w:rPr>
        <w:t>Indonesia</w:t>
      </w:r>
      <w:r w:rsidR="00A954D0" w:rsidRPr="003255BC">
        <w:rPr>
          <w:rFonts w:ascii="Bookman Old Style" w:hAnsi="Bookman Old Style" w:cs="Tahoma"/>
          <w:b/>
          <w:bCs/>
          <w:lang w:val="sv-SE"/>
        </w:rPr>
        <w:t xml:space="preserve"> </w:t>
      </w:r>
      <w:r w:rsidRPr="003255BC">
        <w:rPr>
          <w:rFonts w:ascii="Bookman Old Style" w:hAnsi="Bookman Old Style" w:cs="Tahoma"/>
          <w:b/>
          <w:bCs/>
          <w:lang w:val="sv-SE"/>
        </w:rPr>
        <w:t>Nomor</w:t>
      </w:r>
      <w:r w:rsidR="00A954D0" w:rsidRPr="003255BC">
        <w:rPr>
          <w:rFonts w:ascii="Bookman Old Style" w:hAnsi="Bookman Old Style" w:cs="Tahoma"/>
          <w:b/>
          <w:bCs/>
          <w:lang w:val="sv-SE"/>
        </w:rPr>
        <w:t xml:space="preserve"> </w:t>
      </w:r>
      <w:r w:rsidRPr="003255BC">
        <w:rPr>
          <w:rFonts w:ascii="Bookman Old Style" w:hAnsi="Bookman Old Style" w:cs="Tahoma"/>
          <w:b/>
          <w:bCs/>
          <w:lang w:val="sv-SE"/>
        </w:rPr>
        <w:t>5</w:t>
      </w:r>
      <w:r w:rsidRPr="003B3482">
        <w:rPr>
          <w:rFonts w:ascii="Bookman Old Style" w:hAnsi="Bookman Old Style" w:cs="Tahoma"/>
          <w:b/>
          <w:bCs/>
          <w:lang w:val="id-ID"/>
        </w:rPr>
        <w:t>587</w:t>
      </w:r>
      <w:r w:rsidRPr="003255BC">
        <w:rPr>
          <w:rFonts w:ascii="Bookman Old Style" w:hAnsi="Bookman Old Style" w:cs="Tahoma"/>
          <w:b/>
          <w:bCs/>
          <w:lang w:val="sv-SE"/>
        </w:rPr>
        <w:t>)</w:t>
      </w:r>
      <w:r w:rsidR="00A954D0" w:rsidRPr="003255BC">
        <w:rPr>
          <w:rFonts w:ascii="Bookman Old Style" w:hAnsi="Bookman Old Style" w:cs="Tahoma"/>
          <w:b/>
          <w:bCs/>
          <w:lang w:val="sv-SE"/>
        </w:rPr>
        <w:t xml:space="preserve"> </w:t>
      </w:r>
      <w:r w:rsidRPr="003255BC">
        <w:rPr>
          <w:rFonts w:ascii="Bookman Old Style" w:hAnsi="Bookman Old Style" w:cs="Tahoma"/>
          <w:b/>
          <w:bCs/>
          <w:lang w:val="sv-SE"/>
        </w:rPr>
        <w:t>sebagaimana</w:t>
      </w:r>
      <w:r w:rsidR="00A954D0" w:rsidRPr="003255BC">
        <w:rPr>
          <w:rFonts w:ascii="Bookman Old Style" w:hAnsi="Bookman Old Style" w:cs="Tahoma"/>
          <w:b/>
          <w:bCs/>
          <w:lang w:val="sv-SE"/>
        </w:rPr>
        <w:t xml:space="preserve"> </w:t>
      </w:r>
      <w:r w:rsidRPr="003255BC">
        <w:rPr>
          <w:rFonts w:ascii="Bookman Old Style" w:hAnsi="Bookman Old Style" w:cs="Tahoma"/>
          <w:b/>
          <w:bCs/>
          <w:lang w:val="sv-SE"/>
        </w:rPr>
        <w:t>telah</w:t>
      </w:r>
      <w:r w:rsidR="00A954D0" w:rsidRPr="003255BC">
        <w:rPr>
          <w:rFonts w:ascii="Bookman Old Style" w:hAnsi="Bookman Old Style" w:cs="Tahoma"/>
          <w:b/>
          <w:bCs/>
          <w:lang w:val="sv-SE"/>
        </w:rPr>
        <w:t xml:space="preserve"> </w:t>
      </w:r>
      <w:r w:rsidRPr="003255BC">
        <w:rPr>
          <w:rFonts w:ascii="Bookman Old Style" w:hAnsi="Bookman Old Style" w:cs="Tahoma"/>
          <w:b/>
          <w:bCs/>
          <w:lang w:val="sv-SE"/>
        </w:rPr>
        <w:t>diubah</w:t>
      </w:r>
      <w:r w:rsidR="00A954D0" w:rsidRPr="003255BC">
        <w:rPr>
          <w:rFonts w:ascii="Bookman Old Style" w:hAnsi="Bookman Old Style" w:cs="Tahoma"/>
          <w:b/>
          <w:bCs/>
          <w:lang w:val="sv-SE"/>
        </w:rPr>
        <w:t xml:space="preserve"> </w:t>
      </w:r>
      <w:r w:rsidRPr="003255BC">
        <w:rPr>
          <w:rFonts w:ascii="Bookman Old Style" w:hAnsi="Bookman Old Style" w:cs="Tahoma"/>
          <w:b/>
          <w:bCs/>
          <w:lang w:val="sv-SE"/>
        </w:rPr>
        <w:t>beberapa</w:t>
      </w:r>
      <w:r w:rsidR="00A954D0" w:rsidRPr="003255BC">
        <w:rPr>
          <w:rFonts w:ascii="Bookman Old Style" w:hAnsi="Bookman Old Style" w:cs="Tahoma"/>
          <w:b/>
          <w:bCs/>
          <w:lang w:val="sv-SE"/>
        </w:rPr>
        <w:t xml:space="preserve"> </w:t>
      </w:r>
      <w:r w:rsidRPr="003255BC">
        <w:rPr>
          <w:rFonts w:ascii="Bookman Old Style" w:hAnsi="Bookman Old Style" w:cs="Tahoma"/>
          <w:b/>
          <w:bCs/>
          <w:lang w:val="sv-SE"/>
        </w:rPr>
        <w:t>kali</w:t>
      </w:r>
      <w:r w:rsidR="00A954D0" w:rsidRPr="003255BC">
        <w:rPr>
          <w:rFonts w:ascii="Bookman Old Style" w:hAnsi="Bookman Old Style" w:cs="Tahoma"/>
          <w:b/>
          <w:bCs/>
          <w:lang w:val="sv-SE"/>
        </w:rPr>
        <w:t xml:space="preserve"> </w:t>
      </w:r>
      <w:r w:rsidRPr="003255BC">
        <w:rPr>
          <w:rFonts w:ascii="Bookman Old Style" w:hAnsi="Bookman Old Style" w:cs="Tahoma"/>
          <w:b/>
          <w:bCs/>
          <w:lang w:val="sv-SE"/>
        </w:rPr>
        <w:t>terakhir</w:t>
      </w:r>
      <w:r w:rsidR="00A954D0" w:rsidRPr="003255BC">
        <w:rPr>
          <w:rFonts w:ascii="Bookman Old Style" w:hAnsi="Bookman Old Style" w:cs="Tahoma"/>
          <w:b/>
          <w:bCs/>
          <w:lang w:val="sv-SE"/>
        </w:rPr>
        <w:t xml:space="preserve"> </w:t>
      </w:r>
      <w:r w:rsidRPr="003255BC">
        <w:rPr>
          <w:rFonts w:ascii="Bookman Old Style" w:hAnsi="Bookman Old Style" w:cs="Tahoma"/>
          <w:b/>
          <w:bCs/>
          <w:lang w:val="sv-SE"/>
        </w:rPr>
        <w:t>dengan</w:t>
      </w:r>
      <w:r w:rsidR="00A954D0" w:rsidRPr="003255BC">
        <w:rPr>
          <w:rFonts w:ascii="Bookman Old Style" w:hAnsi="Bookman Old Style" w:cs="Tahoma"/>
          <w:b/>
          <w:bCs/>
          <w:lang w:val="sv-SE"/>
        </w:rPr>
        <w:t xml:space="preserve"> </w:t>
      </w:r>
      <w:r w:rsidRPr="003B3482">
        <w:rPr>
          <w:rFonts w:ascii="Bookman Old Style" w:hAnsi="Bookman Old Style" w:cs="Tahoma"/>
          <w:b/>
          <w:bCs/>
          <w:lang w:val="id-ID"/>
        </w:rPr>
        <w:t>Undang-Undang</w:t>
      </w:r>
      <w:r w:rsidR="00A954D0">
        <w:rPr>
          <w:rFonts w:ascii="Bookman Old Style" w:hAnsi="Bookman Old Style" w:cs="Tahoma"/>
          <w:b/>
          <w:bCs/>
          <w:lang w:val="id-ID"/>
        </w:rPr>
        <w:t xml:space="preserve"> </w:t>
      </w:r>
      <w:r w:rsidRPr="003B3482">
        <w:rPr>
          <w:rFonts w:ascii="Bookman Old Style" w:hAnsi="Bookman Old Style" w:cs="Tahoma"/>
          <w:b/>
          <w:bCs/>
          <w:lang w:val="id-ID"/>
        </w:rPr>
        <w:t>Nomor</w:t>
      </w:r>
      <w:r w:rsidR="00A954D0">
        <w:rPr>
          <w:rFonts w:ascii="Bookman Old Style" w:hAnsi="Bookman Old Style" w:cs="Tahoma"/>
          <w:b/>
          <w:bCs/>
          <w:lang w:val="id-ID"/>
        </w:rPr>
        <w:t xml:space="preserve"> </w:t>
      </w:r>
      <w:r w:rsidRPr="003255BC">
        <w:rPr>
          <w:rFonts w:ascii="Bookman Old Style" w:hAnsi="Bookman Old Style" w:cs="Tahoma"/>
          <w:b/>
          <w:bCs/>
          <w:lang w:val="sv-SE"/>
        </w:rPr>
        <w:t>6</w:t>
      </w:r>
      <w:r w:rsidR="00A954D0" w:rsidRPr="003255BC">
        <w:rPr>
          <w:rFonts w:ascii="Bookman Old Style" w:hAnsi="Bookman Old Style" w:cs="Tahoma"/>
          <w:b/>
          <w:bCs/>
          <w:lang w:val="sv-SE"/>
        </w:rPr>
        <w:t xml:space="preserve"> </w:t>
      </w:r>
      <w:r w:rsidRPr="003B3482">
        <w:rPr>
          <w:rFonts w:ascii="Bookman Old Style" w:hAnsi="Bookman Old Style" w:cs="Tahoma"/>
          <w:b/>
          <w:bCs/>
          <w:lang w:val="id-ID"/>
        </w:rPr>
        <w:t>Tahun</w:t>
      </w:r>
      <w:r w:rsidR="00A954D0">
        <w:rPr>
          <w:rFonts w:ascii="Bookman Old Style" w:hAnsi="Bookman Old Style" w:cs="Tahoma"/>
          <w:b/>
          <w:bCs/>
          <w:lang w:val="id-ID"/>
        </w:rPr>
        <w:t xml:space="preserve"> </w:t>
      </w:r>
      <w:r w:rsidRPr="003B3482">
        <w:rPr>
          <w:rFonts w:ascii="Bookman Old Style" w:hAnsi="Bookman Old Style" w:cs="Tahoma"/>
          <w:b/>
          <w:bCs/>
          <w:lang w:val="id-ID"/>
        </w:rPr>
        <w:t>20</w:t>
      </w:r>
      <w:r w:rsidRPr="003255BC">
        <w:rPr>
          <w:rFonts w:ascii="Bookman Old Style" w:hAnsi="Bookman Old Style" w:cs="Tahoma"/>
          <w:b/>
          <w:bCs/>
          <w:lang w:val="sv-SE"/>
        </w:rPr>
        <w:t>23</w:t>
      </w:r>
      <w:r w:rsidR="00A954D0">
        <w:rPr>
          <w:rFonts w:ascii="Bookman Old Style" w:hAnsi="Bookman Old Style" w:cs="Tahoma"/>
          <w:b/>
          <w:bCs/>
          <w:lang w:val="id-ID"/>
        </w:rPr>
        <w:t xml:space="preserve"> </w:t>
      </w:r>
      <w:r w:rsidRPr="003B3482">
        <w:rPr>
          <w:rFonts w:ascii="Bookman Old Style" w:hAnsi="Bookman Old Style" w:cs="Tahoma"/>
          <w:b/>
          <w:bCs/>
          <w:lang w:val="id-ID"/>
        </w:rPr>
        <w:t>tentang</w:t>
      </w:r>
      <w:r w:rsidR="00A954D0">
        <w:rPr>
          <w:rFonts w:ascii="Bookman Old Style" w:hAnsi="Bookman Old Style" w:cs="Tahoma"/>
          <w:b/>
          <w:bCs/>
          <w:lang w:val="id-ID"/>
        </w:rPr>
        <w:t xml:space="preserve"> </w:t>
      </w:r>
      <w:r w:rsidRPr="003255BC">
        <w:rPr>
          <w:rFonts w:ascii="Bookman Old Style" w:hAnsi="Bookman Old Style" w:cs="Tahoma"/>
          <w:b/>
          <w:bCs/>
          <w:lang w:val="sv-SE"/>
        </w:rPr>
        <w:t>Penetapan</w:t>
      </w:r>
      <w:r w:rsidR="00A954D0" w:rsidRPr="003255BC">
        <w:rPr>
          <w:rFonts w:ascii="Bookman Old Style" w:hAnsi="Bookman Old Style" w:cs="Tahoma"/>
          <w:b/>
          <w:bCs/>
          <w:lang w:val="sv-SE"/>
        </w:rPr>
        <w:t xml:space="preserve"> </w:t>
      </w:r>
      <w:r w:rsidRPr="003255BC">
        <w:rPr>
          <w:rFonts w:ascii="Bookman Old Style" w:hAnsi="Bookman Old Style" w:cs="Tahoma"/>
          <w:b/>
          <w:bCs/>
          <w:lang w:val="sv-SE"/>
        </w:rPr>
        <w:t>Peraturan</w:t>
      </w:r>
      <w:r w:rsidR="00A954D0" w:rsidRPr="003255BC">
        <w:rPr>
          <w:rFonts w:ascii="Bookman Old Style" w:hAnsi="Bookman Old Style" w:cs="Tahoma"/>
          <w:b/>
          <w:bCs/>
          <w:lang w:val="sv-SE"/>
        </w:rPr>
        <w:t xml:space="preserve"> </w:t>
      </w:r>
      <w:r w:rsidRPr="003255BC">
        <w:rPr>
          <w:rFonts w:ascii="Bookman Old Style" w:hAnsi="Bookman Old Style" w:cs="Tahoma"/>
          <w:b/>
          <w:bCs/>
          <w:lang w:val="sv-SE"/>
        </w:rPr>
        <w:t>Pemerintah</w:t>
      </w:r>
      <w:r w:rsidR="00A954D0" w:rsidRPr="003255BC">
        <w:rPr>
          <w:rFonts w:ascii="Bookman Old Style" w:hAnsi="Bookman Old Style" w:cs="Tahoma"/>
          <w:b/>
          <w:bCs/>
          <w:lang w:val="sv-SE"/>
        </w:rPr>
        <w:t xml:space="preserve"> </w:t>
      </w:r>
      <w:r w:rsidRPr="003255BC">
        <w:rPr>
          <w:rFonts w:ascii="Bookman Old Style" w:hAnsi="Bookman Old Style" w:cs="Tahoma"/>
          <w:b/>
          <w:bCs/>
          <w:lang w:val="sv-SE"/>
        </w:rPr>
        <w:t>Pengganti</w:t>
      </w:r>
      <w:r w:rsidR="00A954D0" w:rsidRPr="003255BC">
        <w:rPr>
          <w:rFonts w:ascii="Bookman Old Style" w:hAnsi="Bookman Old Style" w:cs="Tahoma"/>
          <w:b/>
          <w:bCs/>
          <w:lang w:val="sv-SE"/>
        </w:rPr>
        <w:t xml:space="preserve"> </w:t>
      </w:r>
      <w:r w:rsidRPr="003255BC">
        <w:rPr>
          <w:rFonts w:ascii="Bookman Old Style" w:hAnsi="Bookman Old Style" w:cs="Tahoma"/>
          <w:b/>
          <w:bCs/>
          <w:lang w:val="sv-SE"/>
        </w:rPr>
        <w:t>Undang-Undang</w:t>
      </w:r>
      <w:r w:rsidR="00A954D0" w:rsidRPr="003255BC">
        <w:rPr>
          <w:rFonts w:ascii="Bookman Old Style" w:hAnsi="Bookman Old Style" w:cs="Tahoma"/>
          <w:b/>
          <w:bCs/>
          <w:lang w:val="sv-SE"/>
        </w:rPr>
        <w:t xml:space="preserve"> </w:t>
      </w:r>
      <w:r w:rsidRPr="003255BC">
        <w:rPr>
          <w:rFonts w:ascii="Bookman Old Style" w:hAnsi="Bookman Old Style" w:cs="Tahoma"/>
          <w:b/>
          <w:bCs/>
          <w:lang w:val="sv-SE"/>
        </w:rPr>
        <w:t>Nomor</w:t>
      </w:r>
      <w:r w:rsidR="00A954D0" w:rsidRPr="003255BC">
        <w:rPr>
          <w:rFonts w:ascii="Bookman Old Style" w:hAnsi="Bookman Old Style" w:cs="Tahoma"/>
          <w:b/>
          <w:bCs/>
          <w:lang w:val="sv-SE"/>
        </w:rPr>
        <w:t xml:space="preserve"> </w:t>
      </w:r>
      <w:r w:rsidRPr="003255BC">
        <w:rPr>
          <w:rFonts w:ascii="Bookman Old Style" w:hAnsi="Bookman Old Style" w:cs="Tahoma"/>
          <w:b/>
          <w:bCs/>
          <w:lang w:val="sv-SE"/>
        </w:rPr>
        <w:t>2</w:t>
      </w:r>
      <w:r w:rsidR="00A954D0" w:rsidRPr="003255BC">
        <w:rPr>
          <w:rFonts w:ascii="Bookman Old Style" w:hAnsi="Bookman Old Style" w:cs="Tahoma"/>
          <w:b/>
          <w:bCs/>
          <w:lang w:val="sv-SE"/>
        </w:rPr>
        <w:t xml:space="preserve"> </w:t>
      </w:r>
      <w:r w:rsidRPr="003255BC">
        <w:rPr>
          <w:rFonts w:ascii="Bookman Old Style" w:hAnsi="Bookman Old Style" w:cs="Tahoma"/>
          <w:b/>
          <w:bCs/>
          <w:lang w:val="sv-SE"/>
        </w:rPr>
        <w:t>Tahun</w:t>
      </w:r>
      <w:r w:rsidR="00A954D0" w:rsidRPr="003255BC">
        <w:rPr>
          <w:rFonts w:ascii="Bookman Old Style" w:hAnsi="Bookman Old Style" w:cs="Tahoma"/>
          <w:b/>
          <w:bCs/>
          <w:lang w:val="sv-SE"/>
        </w:rPr>
        <w:t xml:space="preserve"> </w:t>
      </w:r>
      <w:r w:rsidRPr="003255BC">
        <w:rPr>
          <w:rFonts w:ascii="Bookman Old Style" w:hAnsi="Bookman Old Style" w:cs="Tahoma"/>
          <w:b/>
          <w:bCs/>
          <w:lang w:val="sv-SE"/>
        </w:rPr>
        <w:t>2022</w:t>
      </w:r>
      <w:r w:rsidR="00A954D0" w:rsidRPr="003255BC">
        <w:rPr>
          <w:rFonts w:ascii="Bookman Old Style" w:hAnsi="Bookman Old Style" w:cs="Tahoma"/>
          <w:b/>
          <w:bCs/>
          <w:lang w:val="sv-SE"/>
        </w:rPr>
        <w:t xml:space="preserve"> </w:t>
      </w:r>
      <w:r w:rsidRPr="003255BC">
        <w:rPr>
          <w:rFonts w:ascii="Bookman Old Style" w:hAnsi="Bookman Old Style" w:cs="Tahoma"/>
          <w:b/>
          <w:bCs/>
          <w:lang w:val="sv-SE"/>
        </w:rPr>
        <w:t>tentang</w:t>
      </w:r>
      <w:r w:rsidR="00A954D0" w:rsidRPr="003255BC">
        <w:rPr>
          <w:rFonts w:ascii="Bookman Old Style" w:hAnsi="Bookman Old Style" w:cs="Tahoma"/>
          <w:b/>
          <w:bCs/>
          <w:lang w:val="sv-SE"/>
        </w:rPr>
        <w:t xml:space="preserve"> </w:t>
      </w:r>
      <w:r w:rsidRPr="003255BC">
        <w:rPr>
          <w:rFonts w:ascii="Bookman Old Style" w:hAnsi="Bookman Old Style" w:cs="Tahoma"/>
          <w:b/>
          <w:bCs/>
          <w:lang w:val="sv-SE"/>
        </w:rPr>
        <w:t>Cipta</w:t>
      </w:r>
      <w:r w:rsidR="00A954D0" w:rsidRPr="003255BC">
        <w:rPr>
          <w:rFonts w:ascii="Bookman Old Style" w:hAnsi="Bookman Old Style" w:cs="Tahoma"/>
          <w:b/>
          <w:bCs/>
          <w:lang w:val="sv-SE"/>
        </w:rPr>
        <w:t xml:space="preserve"> </w:t>
      </w:r>
      <w:r w:rsidRPr="003255BC">
        <w:rPr>
          <w:rFonts w:ascii="Bookman Old Style" w:hAnsi="Bookman Old Style" w:cs="Tahoma"/>
          <w:b/>
          <w:bCs/>
          <w:lang w:val="sv-SE"/>
        </w:rPr>
        <w:t>Kerja</w:t>
      </w:r>
      <w:r w:rsidR="00A954D0" w:rsidRPr="003255BC">
        <w:rPr>
          <w:rFonts w:ascii="Bookman Old Style" w:hAnsi="Bookman Old Style" w:cs="Tahoma"/>
          <w:b/>
          <w:bCs/>
          <w:lang w:val="sv-SE"/>
        </w:rPr>
        <w:t xml:space="preserve"> </w:t>
      </w:r>
      <w:r w:rsidRPr="003255BC">
        <w:rPr>
          <w:rFonts w:ascii="Bookman Old Style" w:hAnsi="Bookman Old Style" w:cs="Tahoma"/>
          <w:b/>
          <w:bCs/>
          <w:lang w:val="sv-SE"/>
        </w:rPr>
        <w:t>menjadi</w:t>
      </w:r>
      <w:r w:rsidR="00A954D0" w:rsidRPr="003255BC">
        <w:rPr>
          <w:rFonts w:ascii="Bookman Old Style" w:hAnsi="Bookman Old Style" w:cs="Tahoma"/>
          <w:b/>
          <w:bCs/>
          <w:lang w:val="sv-SE"/>
        </w:rPr>
        <w:t xml:space="preserve"> </w:t>
      </w:r>
      <w:r w:rsidRPr="003255BC">
        <w:rPr>
          <w:rFonts w:ascii="Bookman Old Style" w:hAnsi="Bookman Old Style" w:cs="Tahoma"/>
          <w:b/>
          <w:bCs/>
          <w:lang w:val="sv-SE"/>
        </w:rPr>
        <w:t>Undang-Undang</w:t>
      </w:r>
      <w:r w:rsidR="00A954D0">
        <w:rPr>
          <w:rFonts w:ascii="Bookman Old Style" w:hAnsi="Bookman Old Style" w:cs="Tahoma"/>
          <w:b/>
          <w:bCs/>
          <w:lang w:val="id-ID"/>
        </w:rPr>
        <w:t xml:space="preserve"> </w:t>
      </w:r>
      <w:r w:rsidRPr="003B3482">
        <w:rPr>
          <w:rFonts w:ascii="Bookman Old Style" w:hAnsi="Bookman Old Style" w:cs="Tahoma"/>
          <w:b/>
          <w:bCs/>
          <w:lang w:val="id-ID"/>
        </w:rPr>
        <w:t>(Lembaran</w:t>
      </w:r>
      <w:r w:rsidR="00A954D0">
        <w:rPr>
          <w:rFonts w:ascii="Bookman Old Style" w:hAnsi="Bookman Old Style" w:cs="Tahoma"/>
          <w:b/>
          <w:bCs/>
          <w:lang w:val="id-ID"/>
        </w:rPr>
        <w:t xml:space="preserve"> </w:t>
      </w:r>
      <w:r w:rsidRPr="003B3482">
        <w:rPr>
          <w:rFonts w:ascii="Bookman Old Style" w:hAnsi="Bookman Old Style" w:cs="Tahoma"/>
          <w:b/>
          <w:bCs/>
          <w:lang w:val="id-ID"/>
        </w:rPr>
        <w:t>Negara</w:t>
      </w:r>
      <w:r w:rsidR="00A954D0">
        <w:rPr>
          <w:rFonts w:ascii="Bookman Old Style" w:hAnsi="Bookman Old Style" w:cs="Tahoma"/>
          <w:b/>
          <w:bCs/>
          <w:lang w:val="id-ID"/>
        </w:rPr>
        <w:t xml:space="preserve"> </w:t>
      </w:r>
      <w:r w:rsidRPr="003B3482">
        <w:rPr>
          <w:rFonts w:ascii="Bookman Old Style" w:hAnsi="Bookman Old Style" w:cs="Tahoma"/>
          <w:b/>
          <w:bCs/>
          <w:lang w:val="id-ID"/>
        </w:rPr>
        <w:t>Republik</w:t>
      </w:r>
      <w:r w:rsidR="00A954D0">
        <w:rPr>
          <w:rFonts w:ascii="Bookman Old Style" w:hAnsi="Bookman Old Style" w:cs="Tahoma"/>
          <w:b/>
          <w:bCs/>
          <w:lang w:val="id-ID"/>
        </w:rPr>
        <w:t xml:space="preserve"> </w:t>
      </w:r>
      <w:r w:rsidRPr="003B3482">
        <w:rPr>
          <w:rFonts w:ascii="Bookman Old Style" w:hAnsi="Bookman Old Style" w:cs="Tahoma"/>
          <w:b/>
          <w:bCs/>
          <w:lang w:val="id-ID"/>
        </w:rPr>
        <w:t>Indonesia</w:t>
      </w:r>
      <w:r w:rsidR="00A954D0">
        <w:rPr>
          <w:rFonts w:ascii="Bookman Old Style" w:hAnsi="Bookman Old Style" w:cs="Tahoma"/>
          <w:b/>
          <w:bCs/>
          <w:lang w:val="id-ID"/>
        </w:rPr>
        <w:t xml:space="preserve"> </w:t>
      </w:r>
      <w:r w:rsidRPr="003B3482">
        <w:rPr>
          <w:rFonts w:ascii="Bookman Old Style" w:hAnsi="Bookman Old Style" w:cs="Tahoma"/>
          <w:b/>
          <w:bCs/>
          <w:lang w:val="id-ID"/>
        </w:rPr>
        <w:t>Tahun</w:t>
      </w:r>
      <w:r w:rsidR="00A954D0">
        <w:rPr>
          <w:rFonts w:ascii="Bookman Old Style" w:hAnsi="Bookman Old Style" w:cs="Tahoma"/>
          <w:b/>
          <w:bCs/>
          <w:lang w:val="id-ID"/>
        </w:rPr>
        <w:t xml:space="preserve"> </w:t>
      </w:r>
      <w:r w:rsidRPr="003B3482">
        <w:rPr>
          <w:rFonts w:ascii="Bookman Old Style" w:hAnsi="Bookman Old Style" w:cs="Tahoma"/>
          <w:b/>
          <w:bCs/>
          <w:lang w:val="id-ID"/>
        </w:rPr>
        <w:t>2023</w:t>
      </w:r>
      <w:r w:rsidR="00A954D0">
        <w:rPr>
          <w:rFonts w:ascii="Bookman Old Style" w:hAnsi="Bookman Old Style" w:cs="Tahoma"/>
          <w:b/>
          <w:bCs/>
          <w:lang w:val="id-ID"/>
        </w:rPr>
        <w:t xml:space="preserve"> </w:t>
      </w:r>
      <w:r w:rsidRPr="003B3482">
        <w:rPr>
          <w:rFonts w:ascii="Bookman Old Style" w:hAnsi="Bookman Old Style" w:cs="Tahoma"/>
          <w:b/>
          <w:bCs/>
          <w:lang w:val="id-ID"/>
        </w:rPr>
        <w:t>Nomor</w:t>
      </w:r>
      <w:r w:rsidR="00A954D0">
        <w:rPr>
          <w:rFonts w:ascii="Bookman Old Style" w:hAnsi="Bookman Old Style" w:cs="Tahoma"/>
          <w:b/>
          <w:bCs/>
          <w:lang w:val="id-ID"/>
        </w:rPr>
        <w:t xml:space="preserve"> </w:t>
      </w:r>
      <w:r w:rsidRPr="003255BC">
        <w:rPr>
          <w:rFonts w:ascii="Bookman Old Style" w:hAnsi="Bookman Old Style" w:cs="Tahoma"/>
          <w:b/>
          <w:bCs/>
          <w:lang w:val="sv-SE"/>
        </w:rPr>
        <w:t>41</w:t>
      </w:r>
      <w:r w:rsidRPr="003B3482">
        <w:rPr>
          <w:rFonts w:ascii="Bookman Old Style" w:hAnsi="Bookman Old Style" w:cs="Tahoma"/>
          <w:b/>
          <w:bCs/>
          <w:lang w:val="id-ID"/>
        </w:rPr>
        <w:t>,</w:t>
      </w:r>
      <w:r w:rsidR="00A954D0">
        <w:rPr>
          <w:rFonts w:ascii="Bookman Old Style" w:hAnsi="Bookman Old Style" w:cs="Tahoma"/>
          <w:b/>
          <w:bCs/>
          <w:lang w:val="id-ID"/>
        </w:rPr>
        <w:t xml:space="preserve"> </w:t>
      </w:r>
      <w:r w:rsidRPr="003B3482">
        <w:rPr>
          <w:rFonts w:ascii="Bookman Old Style" w:hAnsi="Bookman Old Style" w:cs="Tahoma"/>
          <w:b/>
          <w:bCs/>
          <w:lang w:val="id-ID"/>
        </w:rPr>
        <w:t>Tambahan</w:t>
      </w:r>
      <w:r w:rsidR="00A954D0">
        <w:rPr>
          <w:rFonts w:ascii="Bookman Old Style" w:hAnsi="Bookman Old Style" w:cs="Tahoma"/>
          <w:b/>
          <w:bCs/>
          <w:lang w:val="id-ID"/>
        </w:rPr>
        <w:t xml:space="preserve"> </w:t>
      </w:r>
      <w:r w:rsidRPr="003B3482">
        <w:rPr>
          <w:rFonts w:ascii="Bookman Old Style" w:hAnsi="Bookman Old Style" w:cs="Tahoma"/>
          <w:b/>
          <w:bCs/>
          <w:lang w:val="id-ID"/>
        </w:rPr>
        <w:t>Lembaran</w:t>
      </w:r>
      <w:r w:rsidR="00A954D0">
        <w:rPr>
          <w:rFonts w:ascii="Bookman Old Style" w:hAnsi="Bookman Old Style" w:cs="Tahoma"/>
          <w:b/>
          <w:bCs/>
          <w:lang w:val="id-ID"/>
        </w:rPr>
        <w:t xml:space="preserve"> </w:t>
      </w:r>
      <w:r w:rsidRPr="003B3482">
        <w:rPr>
          <w:rFonts w:ascii="Bookman Old Style" w:hAnsi="Bookman Old Style" w:cs="Tahoma"/>
          <w:b/>
          <w:bCs/>
          <w:lang w:val="id-ID"/>
        </w:rPr>
        <w:t>Negara</w:t>
      </w:r>
      <w:r w:rsidR="00A954D0">
        <w:rPr>
          <w:rFonts w:ascii="Bookman Old Style" w:hAnsi="Bookman Old Style" w:cs="Tahoma"/>
          <w:b/>
          <w:bCs/>
          <w:lang w:val="id-ID"/>
        </w:rPr>
        <w:t xml:space="preserve"> </w:t>
      </w:r>
      <w:r w:rsidRPr="003B3482">
        <w:rPr>
          <w:rFonts w:ascii="Bookman Old Style" w:hAnsi="Bookman Old Style" w:cs="Tahoma"/>
          <w:b/>
          <w:bCs/>
          <w:lang w:val="id-ID"/>
        </w:rPr>
        <w:t>Republik</w:t>
      </w:r>
      <w:r w:rsidR="00A954D0">
        <w:rPr>
          <w:rFonts w:ascii="Bookman Old Style" w:hAnsi="Bookman Old Style" w:cs="Tahoma"/>
          <w:b/>
          <w:bCs/>
          <w:lang w:val="id-ID"/>
        </w:rPr>
        <w:t xml:space="preserve"> </w:t>
      </w:r>
      <w:r w:rsidRPr="003B3482">
        <w:rPr>
          <w:rFonts w:ascii="Bookman Old Style" w:hAnsi="Bookman Old Style" w:cs="Tahoma"/>
          <w:b/>
          <w:bCs/>
          <w:lang w:val="id-ID"/>
        </w:rPr>
        <w:t>Indonesia</w:t>
      </w:r>
      <w:r w:rsidR="00A954D0">
        <w:rPr>
          <w:rFonts w:ascii="Bookman Old Style" w:hAnsi="Bookman Old Style" w:cs="Tahoma"/>
          <w:b/>
          <w:bCs/>
          <w:lang w:val="id-ID"/>
        </w:rPr>
        <w:t xml:space="preserve"> </w:t>
      </w:r>
      <w:r w:rsidRPr="003B3482">
        <w:rPr>
          <w:rFonts w:ascii="Bookman Old Style" w:hAnsi="Bookman Old Style" w:cs="Tahoma"/>
          <w:b/>
          <w:bCs/>
          <w:lang w:val="id-ID"/>
        </w:rPr>
        <w:t>Nomor</w:t>
      </w:r>
      <w:r w:rsidR="00A954D0">
        <w:rPr>
          <w:rFonts w:ascii="Bookman Old Style" w:hAnsi="Bookman Old Style" w:cs="Tahoma"/>
          <w:b/>
          <w:bCs/>
          <w:lang w:val="id-ID"/>
        </w:rPr>
        <w:t xml:space="preserve"> </w:t>
      </w:r>
      <w:r w:rsidRPr="003255BC">
        <w:rPr>
          <w:rFonts w:ascii="Bookman Old Style" w:hAnsi="Bookman Old Style" w:cs="Tahoma"/>
          <w:b/>
          <w:bCs/>
          <w:lang w:val="sv-SE"/>
        </w:rPr>
        <w:t>6856</w:t>
      </w:r>
      <w:r w:rsidRPr="003B3482">
        <w:rPr>
          <w:rFonts w:ascii="Bookman Old Style" w:hAnsi="Bookman Old Style" w:cs="Tahoma"/>
          <w:b/>
          <w:bCs/>
          <w:lang w:val="id-ID"/>
        </w:rPr>
        <w:t>)</w:t>
      </w:r>
      <w:r w:rsidRPr="00841256">
        <w:rPr>
          <w:rFonts w:ascii="Bookman Old Style" w:hAnsi="Bookman Old Style" w:cs="Tahoma"/>
          <w:lang w:val="id-ID"/>
        </w:rPr>
        <w:t>;</w:t>
      </w:r>
      <w:r w:rsidRPr="003255BC">
        <w:rPr>
          <w:rFonts w:ascii="Bookman Old Style" w:hAnsi="Bookman Old Style" w:cs="Tahoma"/>
          <w:lang w:val="sv-SE"/>
        </w:rPr>
        <w:t>”</w:t>
      </w:r>
    </w:p>
    <w:p w14:paraId="4EDCB48A" w14:textId="70484813" w:rsidR="006E2F8F" w:rsidRPr="00440546" w:rsidRDefault="006E2F8F" w:rsidP="00A26792">
      <w:pPr>
        <w:numPr>
          <w:ilvl w:val="0"/>
          <w:numId w:val="175"/>
        </w:numPr>
        <w:snapToGrid w:val="0"/>
        <w:spacing w:before="60" w:line="276" w:lineRule="auto"/>
        <w:ind w:left="2268" w:hanging="567"/>
        <w:jc w:val="both"/>
        <w:rPr>
          <w:rFonts w:ascii="Bookman Old Style" w:hAnsi="Bookman Old Style"/>
        </w:rPr>
      </w:pPr>
      <w:r>
        <w:rPr>
          <w:rFonts w:ascii="Bookman Old Style" w:hAnsi="Bookman Old Style"/>
        </w:rPr>
        <w:t>Angka</w:t>
      </w:r>
      <w:r w:rsidR="00A954D0">
        <w:rPr>
          <w:rFonts w:ascii="Bookman Old Style" w:hAnsi="Bookman Old Style"/>
        </w:rPr>
        <w:t xml:space="preserve"> </w:t>
      </w:r>
      <w:r>
        <w:rPr>
          <w:rFonts w:ascii="Bookman Old Style" w:hAnsi="Bookman Old Style"/>
        </w:rPr>
        <w:t>15</w:t>
      </w:r>
      <w:r w:rsidR="00A954D0">
        <w:rPr>
          <w:rFonts w:ascii="Bookman Old Style" w:hAnsi="Bookman Old Style"/>
        </w:rPr>
        <w:t xml:space="preserve"> </w:t>
      </w:r>
      <w:r>
        <w:rPr>
          <w:rFonts w:ascii="Bookman Old Style" w:hAnsi="Bookman Old Style"/>
        </w:rPr>
        <w:t>agar</w:t>
      </w:r>
      <w:r w:rsidR="00A954D0">
        <w:rPr>
          <w:rFonts w:ascii="Bookman Old Style" w:hAnsi="Bookman Old Style"/>
        </w:rPr>
        <w:t xml:space="preserve"> </w:t>
      </w:r>
      <w:r>
        <w:rPr>
          <w:rFonts w:ascii="Bookman Old Style" w:hAnsi="Bookman Old Style"/>
        </w:rPr>
        <w:t>disempurnakan</w:t>
      </w:r>
      <w:r w:rsidR="00A954D0">
        <w:rPr>
          <w:rFonts w:ascii="Bookman Old Style" w:hAnsi="Bookman Old Style"/>
        </w:rPr>
        <w:t xml:space="preserve"> </w:t>
      </w:r>
      <w:r>
        <w:rPr>
          <w:rFonts w:ascii="Bookman Old Style" w:hAnsi="Bookman Old Style"/>
        </w:rPr>
        <w:t>menjadi:</w:t>
      </w:r>
    </w:p>
    <w:p w14:paraId="0406ED1A" w14:textId="6CA5497C" w:rsidR="006E2F8F" w:rsidRDefault="006E2F8F" w:rsidP="00A26792">
      <w:pPr>
        <w:snapToGrid w:val="0"/>
        <w:spacing w:before="60" w:line="276" w:lineRule="auto"/>
        <w:ind w:left="2268"/>
        <w:jc w:val="both"/>
        <w:rPr>
          <w:rFonts w:ascii="Bookman Old Style" w:hAnsi="Bookman Old Style"/>
        </w:rPr>
      </w:pPr>
      <w:r w:rsidRPr="00440546">
        <w:rPr>
          <w:rFonts w:ascii="Bookman Old Style" w:hAnsi="Bookman Old Style"/>
        </w:rPr>
        <w:t>“Peraturan</w:t>
      </w:r>
      <w:r w:rsidR="00A954D0">
        <w:rPr>
          <w:rFonts w:ascii="Bookman Old Style" w:hAnsi="Bookman Old Style"/>
        </w:rPr>
        <w:t xml:space="preserve"> </w:t>
      </w:r>
      <w:r w:rsidRPr="00440546">
        <w:rPr>
          <w:rFonts w:ascii="Bookman Old Style" w:hAnsi="Bookman Old Style"/>
        </w:rPr>
        <w:t>Pemerintah</w:t>
      </w:r>
      <w:r w:rsidR="00A954D0">
        <w:rPr>
          <w:rFonts w:ascii="Bookman Old Style" w:hAnsi="Bookman Old Style"/>
        </w:rPr>
        <w:t xml:space="preserve"> </w:t>
      </w:r>
      <w:r w:rsidRPr="00440546">
        <w:rPr>
          <w:rFonts w:ascii="Bookman Old Style" w:hAnsi="Bookman Old Style"/>
        </w:rPr>
        <w:t>Nomor</w:t>
      </w:r>
      <w:r w:rsidR="00A954D0">
        <w:rPr>
          <w:rFonts w:ascii="Bookman Old Style" w:hAnsi="Bookman Old Style"/>
        </w:rPr>
        <w:t xml:space="preserve"> </w:t>
      </w:r>
      <w:r w:rsidRPr="00440546">
        <w:rPr>
          <w:rFonts w:ascii="Bookman Old Style" w:hAnsi="Bookman Old Style"/>
        </w:rPr>
        <w:t>13</w:t>
      </w:r>
      <w:r w:rsidR="00A954D0">
        <w:rPr>
          <w:rFonts w:ascii="Bookman Old Style" w:hAnsi="Bookman Old Style"/>
        </w:rPr>
        <w:t xml:space="preserve"> </w:t>
      </w:r>
      <w:r w:rsidRPr="00440546">
        <w:rPr>
          <w:rFonts w:ascii="Bookman Old Style" w:hAnsi="Bookman Old Style"/>
        </w:rPr>
        <w:t>Tahun</w:t>
      </w:r>
      <w:r w:rsidR="00A954D0">
        <w:rPr>
          <w:rFonts w:ascii="Bookman Old Style" w:hAnsi="Bookman Old Style"/>
        </w:rPr>
        <w:t xml:space="preserve"> </w:t>
      </w:r>
      <w:r w:rsidRPr="00440546">
        <w:rPr>
          <w:rFonts w:ascii="Bookman Old Style" w:hAnsi="Bookman Old Style"/>
        </w:rPr>
        <w:t>2019</w:t>
      </w:r>
      <w:r w:rsidR="00A954D0">
        <w:rPr>
          <w:rFonts w:ascii="Bookman Old Style" w:hAnsi="Bookman Old Style"/>
        </w:rPr>
        <w:t xml:space="preserve"> </w:t>
      </w:r>
      <w:r w:rsidRPr="00440546">
        <w:rPr>
          <w:rFonts w:ascii="Bookman Old Style" w:hAnsi="Bookman Old Style"/>
        </w:rPr>
        <w:t>tentang</w:t>
      </w:r>
      <w:r w:rsidR="00A954D0">
        <w:rPr>
          <w:rFonts w:ascii="Bookman Old Style" w:hAnsi="Bookman Old Style"/>
        </w:rPr>
        <w:t xml:space="preserve"> </w:t>
      </w:r>
      <w:r w:rsidRPr="00440546">
        <w:rPr>
          <w:rFonts w:ascii="Bookman Old Style" w:hAnsi="Bookman Old Style"/>
        </w:rPr>
        <w:t>Laporan</w:t>
      </w:r>
      <w:r w:rsidR="00A954D0">
        <w:rPr>
          <w:rFonts w:ascii="Bookman Old Style" w:hAnsi="Bookman Old Style"/>
        </w:rPr>
        <w:t xml:space="preserve"> </w:t>
      </w:r>
      <w:r w:rsidRPr="00440546">
        <w:rPr>
          <w:rFonts w:ascii="Bookman Old Style" w:hAnsi="Bookman Old Style"/>
        </w:rPr>
        <w:t>dan</w:t>
      </w:r>
      <w:r w:rsidR="00A954D0">
        <w:rPr>
          <w:rFonts w:ascii="Bookman Old Style" w:hAnsi="Bookman Old Style"/>
        </w:rPr>
        <w:t xml:space="preserve"> </w:t>
      </w:r>
      <w:r w:rsidRPr="00440546">
        <w:rPr>
          <w:rFonts w:ascii="Bookman Old Style" w:hAnsi="Bookman Old Style"/>
        </w:rPr>
        <w:t>Evaluasi</w:t>
      </w:r>
      <w:r w:rsidR="00A954D0">
        <w:rPr>
          <w:rFonts w:ascii="Bookman Old Style" w:hAnsi="Bookman Old Style"/>
        </w:rPr>
        <w:t xml:space="preserve"> </w:t>
      </w:r>
      <w:r w:rsidRPr="00440546">
        <w:rPr>
          <w:rFonts w:ascii="Bookman Old Style" w:hAnsi="Bookman Old Style"/>
        </w:rPr>
        <w:t>Penyelenggaraan</w:t>
      </w:r>
      <w:r w:rsidR="00A954D0">
        <w:rPr>
          <w:rFonts w:ascii="Bookman Old Style" w:hAnsi="Bookman Old Style"/>
        </w:rPr>
        <w:t xml:space="preserve"> </w:t>
      </w:r>
      <w:r w:rsidRPr="00440546">
        <w:rPr>
          <w:rFonts w:ascii="Bookman Old Style" w:hAnsi="Bookman Old Style"/>
        </w:rPr>
        <w:t>Pemerintah</w:t>
      </w:r>
      <w:r w:rsidR="00A954D0">
        <w:rPr>
          <w:rFonts w:ascii="Bookman Old Style" w:hAnsi="Bookman Old Style"/>
        </w:rPr>
        <w:t xml:space="preserve"> </w:t>
      </w:r>
      <w:r w:rsidRPr="00440546">
        <w:rPr>
          <w:rFonts w:ascii="Bookman Old Style" w:hAnsi="Bookman Old Style"/>
        </w:rPr>
        <w:t>Daerah</w:t>
      </w:r>
      <w:r w:rsidR="00A954D0">
        <w:rPr>
          <w:rFonts w:ascii="Bookman Old Style" w:hAnsi="Bookman Old Style"/>
        </w:rPr>
        <w:t xml:space="preserve"> </w:t>
      </w:r>
      <w:r w:rsidRPr="00440546">
        <w:rPr>
          <w:rFonts w:ascii="Bookman Old Style" w:hAnsi="Bookman Old Style"/>
        </w:rPr>
        <w:t>(Lembaran</w:t>
      </w:r>
      <w:r w:rsidR="00A954D0">
        <w:rPr>
          <w:rFonts w:ascii="Bookman Old Style" w:hAnsi="Bookman Old Style"/>
        </w:rPr>
        <w:t xml:space="preserve"> </w:t>
      </w:r>
      <w:r w:rsidRPr="00440546">
        <w:rPr>
          <w:rFonts w:ascii="Bookman Old Style" w:hAnsi="Bookman Old Style"/>
        </w:rPr>
        <w:t>Negara</w:t>
      </w:r>
      <w:r w:rsidR="00A954D0">
        <w:rPr>
          <w:rFonts w:ascii="Bookman Old Style" w:hAnsi="Bookman Old Style"/>
        </w:rPr>
        <w:t xml:space="preserve"> </w:t>
      </w:r>
      <w:r w:rsidRPr="00440546">
        <w:rPr>
          <w:rFonts w:ascii="Bookman Old Style" w:hAnsi="Bookman Old Style"/>
        </w:rPr>
        <w:t>Republik</w:t>
      </w:r>
      <w:r w:rsidR="00A954D0">
        <w:rPr>
          <w:rFonts w:ascii="Bookman Old Style" w:hAnsi="Bookman Old Style"/>
        </w:rPr>
        <w:t xml:space="preserve"> </w:t>
      </w:r>
      <w:r w:rsidRPr="00440546">
        <w:rPr>
          <w:rFonts w:ascii="Bookman Old Style" w:hAnsi="Bookman Old Style"/>
        </w:rPr>
        <w:t>Indonesia</w:t>
      </w:r>
      <w:r w:rsidR="00A954D0">
        <w:rPr>
          <w:rFonts w:ascii="Bookman Old Style" w:hAnsi="Bookman Old Style"/>
        </w:rPr>
        <w:t xml:space="preserve"> </w:t>
      </w:r>
      <w:r w:rsidRPr="00440546">
        <w:rPr>
          <w:rFonts w:ascii="Bookman Old Style" w:hAnsi="Bookman Old Style"/>
        </w:rPr>
        <w:t>Tahun</w:t>
      </w:r>
      <w:r w:rsidR="00A954D0">
        <w:rPr>
          <w:rFonts w:ascii="Bookman Old Style" w:hAnsi="Bookman Old Style"/>
        </w:rPr>
        <w:t xml:space="preserve"> </w:t>
      </w:r>
      <w:r w:rsidRPr="00440546">
        <w:rPr>
          <w:rFonts w:ascii="Bookman Old Style" w:hAnsi="Bookman Old Style"/>
        </w:rPr>
        <w:t>2019</w:t>
      </w:r>
      <w:r w:rsidR="00A954D0">
        <w:rPr>
          <w:rFonts w:ascii="Bookman Old Style" w:hAnsi="Bookman Old Style"/>
        </w:rPr>
        <w:t xml:space="preserve"> </w:t>
      </w:r>
      <w:r w:rsidRPr="00440546">
        <w:rPr>
          <w:rFonts w:ascii="Bookman Old Style" w:hAnsi="Bookman Old Style"/>
        </w:rPr>
        <w:t>Nomor</w:t>
      </w:r>
      <w:r w:rsidR="00A954D0">
        <w:rPr>
          <w:rFonts w:ascii="Bookman Old Style" w:hAnsi="Bookman Old Style"/>
        </w:rPr>
        <w:t xml:space="preserve"> </w:t>
      </w:r>
      <w:r w:rsidRPr="00440546">
        <w:rPr>
          <w:rFonts w:ascii="Bookman Old Style" w:hAnsi="Bookman Old Style"/>
        </w:rPr>
        <w:t>52,</w:t>
      </w:r>
      <w:r w:rsidR="00A954D0">
        <w:rPr>
          <w:rFonts w:ascii="Bookman Old Style" w:hAnsi="Bookman Old Style"/>
        </w:rPr>
        <w:t xml:space="preserve"> </w:t>
      </w:r>
      <w:r w:rsidRPr="00440546">
        <w:rPr>
          <w:rFonts w:ascii="Bookman Old Style" w:hAnsi="Bookman Old Style"/>
        </w:rPr>
        <w:t>Tambahan</w:t>
      </w:r>
      <w:r w:rsidR="00A954D0">
        <w:rPr>
          <w:rFonts w:ascii="Bookman Old Style" w:hAnsi="Bookman Old Style"/>
        </w:rPr>
        <w:t xml:space="preserve"> </w:t>
      </w:r>
      <w:r w:rsidRPr="00440546">
        <w:rPr>
          <w:rFonts w:ascii="Bookman Old Style" w:hAnsi="Bookman Old Style"/>
        </w:rPr>
        <w:t>Lembaran</w:t>
      </w:r>
      <w:r w:rsidR="00A954D0">
        <w:rPr>
          <w:rFonts w:ascii="Bookman Old Style" w:hAnsi="Bookman Old Style"/>
        </w:rPr>
        <w:t xml:space="preserve"> </w:t>
      </w:r>
      <w:r w:rsidRPr="00440546">
        <w:rPr>
          <w:rFonts w:ascii="Bookman Old Style" w:hAnsi="Bookman Old Style"/>
        </w:rPr>
        <w:t>Negara</w:t>
      </w:r>
      <w:r w:rsidR="00A954D0">
        <w:rPr>
          <w:rFonts w:ascii="Bookman Old Style" w:hAnsi="Bookman Old Style"/>
        </w:rPr>
        <w:t xml:space="preserve"> </w:t>
      </w:r>
      <w:r w:rsidRPr="00440546">
        <w:rPr>
          <w:rFonts w:ascii="Bookman Old Style" w:hAnsi="Bookman Old Style"/>
        </w:rPr>
        <w:t>Republik</w:t>
      </w:r>
      <w:r w:rsidR="00A954D0">
        <w:rPr>
          <w:rFonts w:ascii="Bookman Old Style" w:hAnsi="Bookman Old Style"/>
        </w:rPr>
        <w:t xml:space="preserve"> </w:t>
      </w:r>
      <w:r w:rsidRPr="00440546">
        <w:rPr>
          <w:rFonts w:ascii="Bookman Old Style" w:hAnsi="Bookman Old Style"/>
        </w:rPr>
        <w:t>Indonesia</w:t>
      </w:r>
      <w:r w:rsidR="00A954D0">
        <w:rPr>
          <w:rFonts w:ascii="Bookman Old Style" w:hAnsi="Bookman Old Style"/>
        </w:rPr>
        <w:t xml:space="preserve"> </w:t>
      </w:r>
      <w:r w:rsidRPr="00440546">
        <w:rPr>
          <w:rFonts w:ascii="Bookman Old Style" w:hAnsi="Bookman Old Style"/>
        </w:rPr>
        <w:t>Nomor</w:t>
      </w:r>
      <w:r w:rsidR="00A954D0">
        <w:rPr>
          <w:rFonts w:ascii="Bookman Old Style" w:hAnsi="Bookman Old Style"/>
        </w:rPr>
        <w:t xml:space="preserve"> </w:t>
      </w:r>
      <w:r w:rsidRPr="00440546">
        <w:rPr>
          <w:rFonts w:ascii="Bookman Old Style" w:hAnsi="Bookman Old Style"/>
        </w:rPr>
        <w:t>6323);”</w:t>
      </w:r>
    </w:p>
    <w:p w14:paraId="18C29F31" w14:textId="4C83C26F" w:rsidR="006E2F8F" w:rsidRPr="002B73E8" w:rsidRDefault="006E2F8F" w:rsidP="00A26792">
      <w:pPr>
        <w:numPr>
          <w:ilvl w:val="0"/>
          <w:numId w:val="175"/>
        </w:numPr>
        <w:snapToGrid w:val="0"/>
        <w:spacing w:before="60" w:line="276" w:lineRule="auto"/>
        <w:ind w:left="2268" w:hanging="567"/>
        <w:jc w:val="both"/>
        <w:rPr>
          <w:rFonts w:ascii="Bookman Old Style" w:hAnsi="Bookman Old Style"/>
        </w:rPr>
      </w:pPr>
      <w:r>
        <w:rPr>
          <w:rFonts w:ascii="Bookman Old Style" w:hAnsi="Bookman Old Style"/>
        </w:rPr>
        <w:t>Angka</w:t>
      </w:r>
      <w:r w:rsidR="00A954D0">
        <w:rPr>
          <w:rFonts w:ascii="Bookman Old Style" w:hAnsi="Bookman Old Style"/>
        </w:rPr>
        <w:t xml:space="preserve"> </w:t>
      </w:r>
      <w:r>
        <w:rPr>
          <w:rFonts w:ascii="Bookman Old Style" w:hAnsi="Bookman Old Style"/>
        </w:rPr>
        <w:t>16</w:t>
      </w:r>
      <w:r w:rsidR="00A954D0">
        <w:rPr>
          <w:rFonts w:ascii="Bookman Old Style" w:hAnsi="Bookman Old Style"/>
        </w:rPr>
        <w:t xml:space="preserve"> </w:t>
      </w:r>
      <w:r>
        <w:rPr>
          <w:rFonts w:ascii="Bookman Old Style" w:hAnsi="Bookman Old Style"/>
        </w:rPr>
        <w:t>agar</w:t>
      </w:r>
      <w:r w:rsidR="00A954D0">
        <w:rPr>
          <w:rFonts w:ascii="Bookman Old Style" w:hAnsi="Bookman Old Style"/>
        </w:rPr>
        <w:t xml:space="preserve"> </w:t>
      </w:r>
      <w:r>
        <w:rPr>
          <w:rFonts w:ascii="Bookman Old Style" w:hAnsi="Bookman Old Style"/>
        </w:rPr>
        <w:t>disempurnak</w:t>
      </w:r>
      <w:r w:rsidRPr="002B73E8">
        <w:rPr>
          <w:rFonts w:ascii="Bookman Old Style" w:hAnsi="Bookman Old Style"/>
        </w:rPr>
        <w:t>an</w:t>
      </w:r>
      <w:r w:rsidR="00A954D0">
        <w:rPr>
          <w:rFonts w:ascii="Bookman Old Style" w:hAnsi="Bookman Old Style"/>
        </w:rPr>
        <w:t xml:space="preserve"> </w:t>
      </w:r>
      <w:r w:rsidRPr="002B73E8">
        <w:rPr>
          <w:rFonts w:ascii="Bookman Old Style" w:hAnsi="Bookman Old Style"/>
        </w:rPr>
        <w:t>menjadi:</w:t>
      </w:r>
    </w:p>
    <w:p w14:paraId="7D61DCBC" w14:textId="2BFFD182" w:rsidR="006E2F8F" w:rsidRDefault="006E2F8F" w:rsidP="00A26792">
      <w:pPr>
        <w:snapToGrid w:val="0"/>
        <w:spacing w:before="60" w:line="276" w:lineRule="auto"/>
        <w:ind w:left="2268"/>
        <w:jc w:val="both"/>
        <w:rPr>
          <w:rFonts w:ascii="Bookman Old Style" w:hAnsi="Bookman Old Style"/>
        </w:rPr>
      </w:pPr>
      <w:r w:rsidRPr="002B73E8">
        <w:rPr>
          <w:rFonts w:ascii="Bookman Old Style" w:hAnsi="Bookman Old Style"/>
        </w:rPr>
        <w:t>“Peraturan</w:t>
      </w:r>
      <w:r w:rsidR="00A954D0">
        <w:rPr>
          <w:rFonts w:ascii="Bookman Old Style" w:hAnsi="Bookman Old Style"/>
        </w:rPr>
        <w:t xml:space="preserve"> </w:t>
      </w:r>
      <w:r w:rsidRPr="002B73E8">
        <w:rPr>
          <w:rFonts w:ascii="Bookman Old Style" w:hAnsi="Bookman Old Style"/>
        </w:rPr>
        <w:t>Pemerintah</w:t>
      </w:r>
      <w:r w:rsidR="00A954D0">
        <w:rPr>
          <w:rFonts w:ascii="Bookman Old Style" w:hAnsi="Bookman Old Style"/>
        </w:rPr>
        <w:t xml:space="preserve"> </w:t>
      </w:r>
      <w:r w:rsidRPr="002B73E8">
        <w:rPr>
          <w:rFonts w:ascii="Bookman Old Style" w:hAnsi="Bookman Old Style"/>
        </w:rPr>
        <w:t>Nomor</w:t>
      </w:r>
      <w:r w:rsidR="00A954D0">
        <w:rPr>
          <w:rFonts w:ascii="Bookman Old Style" w:hAnsi="Bookman Old Style"/>
        </w:rPr>
        <w:t xml:space="preserve"> </w:t>
      </w:r>
      <w:r w:rsidRPr="002B73E8">
        <w:rPr>
          <w:rFonts w:ascii="Bookman Old Style" w:hAnsi="Bookman Old Style"/>
        </w:rPr>
        <w:t>37</w:t>
      </w:r>
      <w:r w:rsidR="00A954D0">
        <w:rPr>
          <w:rFonts w:ascii="Bookman Old Style" w:hAnsi="Bookman Old Style"/>
        </w:rPr>
        <w:t xml:space="preserve"> </w:t>
      </w:r>
      <w:r w:rsidRPr="002B73E8">
        <w:rPr>
          <w:rFonts w:ascii="Bookman Old Style" w:hAnsi="Bookman Old Style"/>
        </w:rPr>
        <w:t>Tahun</w:t>
      </w:r>
      <w:r w:rsidR="00A954D0">
        <w:rPr>
          <w:rFonts w:ascii="Bookman Old Style" w:hAnsi="Bookman Old Style"/>
        </w:rPr>
        <w:t xml:space="preserve"> </w:t>
      </w:r>
      <w:r w:rsidRPr="002B73E8">
        <w:rPr>
          <w:rFonts w:ascii="Bookman Old Style" w:hAnsi="Bookman Old Style"/>
        </w:rPr>
        <w:t>2023</w:t>
      </w:r>
      <w:r w:rsidR="00A954D0">
        <w:rPr>
          <w:rFonts w:ascii="Bookman Old Style" w:hAnsi="Bookman Old Style"/>
        </w:rPr>
        <w:t xml:space="preserve"> </w:t>
      </w:r>
      <w:r w:rsidRPr="002B73E8">
        <w:rPr>
          <w:rFonts w:ascii="Bookman Old Style" w:hAnsi="Bookman Old Style"/>
        </w:rPr>
        <w:t>tentang</w:t>
      </w:r>
      <w:r w:rsidR="00A954D0">
        <w:rPr>
          <w:rFonts w:ascii="Bookman Old Style" w:hAnsi="Bookman Old Style"/>
        </w:rPr>
        <w:t xml:space="preserve"> </w:t>
      </w:r>
      <w:r w:rsidRPr="002B73E8">
        <w:rPr>
          <w:rFonts w:ascii="Bookman Old Style" w:hAnsi="Bookman Old Style"/>
        </w:rPr>
        <w:t>Pengeloaan</w:t>
      </w:r>
      <w:r w:rsidR="00A954D0">
        <w:rPr>
          <w:rFonts w:ascii="Bookman Old Style" w:hAnsi="Bookman Old Style"/>
        </w:rPr>
        <w:t xml:space="preserve"> </w:t>
      </w:r>
      <w:r w:rsidRPr="002B73E8">
        <w:rPr>
          <w:rFonts w:ascii="Bookman Old Style" w:hAnsi="Bookman Old Style"/>
        </w:rPr>
        <w:t>Transfer</w:t>
      </w:r>
      <w:r w:rsidR="00A954D0">
        <w:rPr>
          <w:rFonts w:ascii="Bookman Old Style" w:hAnsi="Bookman Old Style"/>
        </w:rPr>
        <w:t xml:space="preserve"> </w:t>
      </w:r>
      <w:r w:rsidRPr="002B73E8">
        <w:rPr>
          <w:rFonts w:ascii="Bookman Old Style" w:hAnsi="Bookman Old Style"/>
        </w:rPr>
        <w:t>ke</w:t>
      </w:r>
      <w:r w:rsidR="00A954D0">
        <w:rPr>
          <w:rFonts w:ascii="Bookman Old Style" w:hAnsi="Bookman Old Style"/>
        </w:rPr>
        <w:t xml:space="preserve"> </w:t>
      </w:r>
      <w:r w:rsidRPr="002B73E8">
        <w:rPr>
          <w:rFonts w:ascii="Bookman Old Style" w:hAnsi="Bookman Old Style"/>
        </w:rPr>
        <w:t>Daerah</w:t>
      </w:r>
      <w:r w:rsidR="00A954D0">
        <w:rPr>
          <w:rFonts w:ascii="Bookman Old Style" w:hAnsi="Bookman Old Style"/>
        </w:rPr>
        <w:t xml:space="preserve"> </w:t>
      </w:r>
      <w:r w:rsidRPr="002B73E8">
        <w:rPr>
          <w:rFonts w:ascii="Bookman Old Style" w:hAnsi="Bookman Old Style"/>
        </w:rPr>
        <w:t>(Lembaran</w:t>
      </w:r>
      <w:r w:rsidR="00A954D0">
        <w:rPr>
          <w:rFonts w:ascii="Bookman Old Style" w:hAnsi="Bookman Old Style"/>
        </w:rPr>
        <w:t xml:space="preserve"> </w:t>
      </w:r>
      <w:r w:rsidRPr="002B73E8">
        <w:rPr>
          <w:rFonts w:ascii="Bookman Old Style" w:hAnsi="Bookman Old Style"/>
        </w:rPr>
        <w:t>Negara</w:t>
      </w:r>
      <w:r w:rsidR="00A954D0">
        <w:rPr>
          <w:rFonts w:ascii="Bookman Old Style" w:hAnsi="Bookman Old Style"/>
        </w:rPr>
        <w:t xml:space="preserve"> </w:t>
      </w:r>
      <w:r w:rsidRPr="002B73E8">
        <w:rPr>
          <w:rFonts w:ascii="Bookman Old Style" w:hAnsi="Bookman Old Style"/>
        </w:rPr>
        <w:t>Republik</w:t>
      </w:r>
      <w:r w:rsidR="00A954D0">
        <w:rPr>
          <w:rFonts w:ascii="Bookman Old Style" w:hAnsi="Bookman Old Style"/>
        </w:rPr>
        <w:t xml:space="preserve"> </w:t>
      </w:r>
      <w:r w:rsidRPr="002B73E8">
        <w:rPr>
          <w:rFonts w:ascii="Bookman Old Style" w:hAnsi="Bookman Old Style"/>
        </w:rPr>
        <w:t>Indonesia</w:t>
      </w:r>
      <w:r w:rsidR="00A954D0">
        <w:rPr>
          <w:rFonts w:ascii="Bookman Old Style" w:hAnsi="Bookman Old Style"/>
        </w:rPr>
        <w:t xml:space="preserve"> </w:t>
      </w:r>
      <w:r w:rsidRPr="002B73E8">
        <w:rPr>
          <w:rFonts w:ascii="Bookman Old Style" w:hAnsi="Bookman Old Style"/>
        </w:rPr>
        <w:t>Tahun</w:t>
      </w:r>
      <w:r w:rsidR="00A954D0">
        <w:rPr>
          <w:rFonts w:ascii="Bookman Old Style" w:hAnsi="Bookman Old Style"/>
        </w:rPr>
        <w:t xml:space="preserve"> </w:t>
      </w:r>
      <w:r w:rsidRPr="002B73E8">
        <w:rPr>
          <w:rFonts w:ascii="Bookman Old Style" w:hAnsi="Bookman Old Style"/>
        </w:rPr>
        <w:t>2023</w:t>
      </w:r>
      <w:r w:rsidR="00A954D0">
        <w:rPr>
          <w:rFonts w:ascii="Bookman Old Style" w:hAnsi="Bookman Old Style"/>
        </w:rPr>
        <w:t xml:space="preserve"> </w:t>
      </w:r>
      <w:r w:rsidRPr="002B73E8">
        <w:rPr>
          <w:rFonts w:ascii="Bookman Old Style" w:hAnsi="Bookman Old Style"/>
        </w:rPr>
        <w:t>Nomor</w:t>
      </w:r>
      <w:r w:rsidR="00A954D0">
        <w:rPr>
          <w:rFonts w:ascii="Bookman Old Style" w:hAnsi="Bookman Old Style"/>
        </w:rPr>
        <w:t xml:space="preserve"> </w:t>
      </w:r>
      <w:r w:rsidRPr="002B73E8">
        <w:rPr>
          <w:rFonts w:ascii="Bookman Old Style" w:hAnsi="Bookman Old Style"/>
        </w:rPr>
        <w:t>100,</w:t>
      </w:r>
      <w:r w:rsidR="00A954D0">
        <w:rPr>
          <w:rFonts w:ascii="Bookman Old Style" w:hAnsi="Bookman Old Style"/>
        </w:rPr>
        <w:t xml:space="preserve"> </w:t>
      </w:r>
      <w:r w:rsidRPr="002B73E8">
        <w:rPr>
          <w:rFonts w:ascii="Bookman Old Style" w:hAnsi="Bookman Old Style"/>
        </w:rPr>
        <w:t>Tambahan</w:t>
      </w:r>
      <w:r w:rsidR="00A954D0">
        <w:rPr>
          <w:rFonts w:ascii="Bookman Old Style" w:hAnsi="Bookman Old Style"/>
        </w:rPr>
        <w:t xml:space="preserve"> </w:t>
      </w:r>
      <w:r w:rsidRPr="002B73E8">
        <w:rPr>
          <w:rFonts w:ascii="Bookman Old Style" w:hAnsi="Bookman Old Style"/>
        </w:rPr>
        <w:t>Lembaran</w:t>
      </w:r>
      <w:r w:rsidR="00A954D0">
        <w:rPr>
          <w:rFonts w:ascii="Bookman Old Style" w:hAnsi="Bookman Old Style"/>
        </w:rPr>
        <w:t xml:space="preserve"> </w:t>
      </w:r>
      <w:r w:rsidRPr="002B73E8">
        <w:rPr>
          <w:rFonts w:ascii="Bookman Old Style" w:hAnsi="Bookman Old Style"/>
        </w:rPr>
        <w:t>Negara</w:t>
      </w:r>
      <w:r w:rsidR="00A954D0">
        <w:rPr>
          <w:rFonts w:ascii="Bookman Old Style" w:hAnsi="Bookman Old Style"/>
        </w:rPr>
        <w:t xml:space="preserve"> </w:t>
      </w:r>
      <w:r w:rsidRPr="002B73E8">
        <w:rPr>
          <w:rFonts w:ascii="Bookman Old Style" w:hAnsi="Bookman Old Style"/>
        </w:rPr>
        <w:t>Republik</w:t>
      </w:r>
      <w:r w:rsidR="00A954D0">
        <w:rPr>
          <w:rFonts w:ascii="Bookman Old Style" w:hAnsi="Bookman Old Style"/>
        </w:rPr>
        <w:t xml:space="preserve"> </w:t>
      </w:r>
      <w:r w:rsidRPr="002B73E8">
        <w:rPr>
          <w:rFonts w:ascii="Bookman Old Style" w:hAnsi="Bookman Old Style"/>
        </w:rPr>
        <w:t>Indonesia</w:t>
      </w:r>
      <w:r w:rsidR="00A954D0">
        <w:rPr>
          <w:rFonts w:ascii="Bookman Old Style" w:hAnsi="Bookman Old Style"/>
        </w:rPr>
        <w:t xml:space="preserve"> </w:t>
      </w:r>
      <w:r w:rsidRPr="002B73E8">
        <w:rPr>
          <w:rFonts w:ascii="Bookman Old Style" w:hAnsi="Bookman Old Style"/>
        </w:rPr>
        <w:t>Nomor</w:t>
      </w:r>
      <w:r w:rsidR="00A954D0">
        <w:rPr>
          <w:rFonts w:ascii="Bookman Old Style" w:hAnsi="Bookman Old Style"/>
        </w:rPr>
        <w:t xml:space="preserve"> </w:t>
      </w:r>
      <w:r w:rsidRPr="002B73E8">
        <w:rPr>
          <w:rFonts w:ascii="Bookman Old Style" w:hAnsi="Bookman Old Style"/>
        </w:rPr>
        <w:t>6883);”</w:t>
      </w:r>
    </w:p>
    <w:p w14:paraId="2E5E1282" w14:textId="06597140" w:rsidR="006E2F8F" w:rsidRPr="00DE5773" w:rsidRDefault="006E2F8F" w:rsidP="00A26792">
      <w:pPr>
        <w:numPr>
          <w:ilvl w:val="0"/>
          <w:numId w:val="175"/>
        </w:numPr>
        <w:snapToGrid w:val="0"/>
        <w:spacing w:before="60" w:line="276" w:lineRule="auto"/>
        <w:ind w:left="2268" w:hanging="567"/>
        <w:jc w:val="both"/>
        <w:rPr>
          <w:rFonts w:ascii="Bookman Old Style" w:hAnsi="Bookman Old Style"/>
        </w:rPr>
      </w:pPr>
      <w:r>
        <w:rPr>
          <w:rFonts w:ascii="Bookman Old Style" w:hAnsi="Bookman Old Style"/>
        </w:rPr>
        <w:t>Angka</w:t>
      </w:r>
      <w:r w:rsidR="00A954D0">
        <w:rPr>
          <w:rFonts w:ascii="Bookman Old Style" w:hAnsi="Bookman Old Style"/>
        </w:rPr>
        <w:t xml:space="preserve"> </w:t>
      </w:r>
      <w:r>
        <w:rPr>
          <w:rFonts w:ascii="Bookman Old Style" w:hAnsi="Bookman Old Style"/>
        </w:rPr>
        <w:t>17</w:t>
      </w:r>
      <w:r w:rsidR="00A954D0">
        <w:rPr>
          <w:rFonts w:ascii="Bookman Old Style" w:hAnsi="Bookman Old Style"/>
        </w:rPr>
        <w:t xml:space="preserve"> </w:t>
      </w:r>
      <w:r>
        <w:rPr>
          <w:rFonts w:ascii="Bookman Old Style" w:hAnsi="Bookman Old Style"/>
        </w:rPr>
        <w:t>agar</w:t>
      </w:r>
      <w:r w:rsidR="00A954D0">
        <w:rPr>
          <w:rFonts w:ascii="Bookman Old Style" w:hAnsi="Bookman Old Style"/>
        </w:rPr>
        <w:t xml:space="preserve"> </w:t>
      </w:r>
      <w:r>
        <w:rPr>
          <w:rFonts w:ascii="Bookman Old Style" w:hAnsi="Bookman Old Style"/>
        </w:rPr>
        <w:t>disempurnakan</w:t>
      </w:r>
      <w:r w:rsidR="00A954D0">
        <w:rPr>
          <w:rFonts w:ascii="Bookman Old Style" w:hAnsi="Bookman Old Style"/>
        </w:rPr>
        <w:t xml:space="preserve"> </w:t>
      </w:r>
      <w:r>
        <w:rPr>
          <w:rFonts w:ascii="Bookman Old Style" w:hAnsi="Bookman Old Style"/>
        </w:rPr>
        <w:t>menja</w:t>
      </w:r>
      <w:r w:rsidRPr="00DE5773">
        <w:rPr>
          <w:rFonts w:ascii="Bookman Old Style" w:hAnsi="Bookman Old Style"/>
        </w:rPr>
        <w:t>di:</w:t>
      </w:r>
    </w:p>
    <w:p w14:paraId="69F8C297" w14:textId="693B7687" w:rsidR="006E2F8F" w:rsidRPr="003255BC" w:rsidRDefault="006E2F8F" w:rsidP="00A26792">
      <w:pPr>
        <w:snapToGrid w:val="0"/>
        <w:spacing w:before="60" w:line="276" w:lineRule="auto"/>
        <w:ind w:left="2268"/>
        <w:jc w:val="both"/>
        <w:rPr>
          <w:rFonts w:ascii="Bookman Old Style" w:hAnsi="Bookman Old Style"/>
          <w:lang w:val="sv-FI"/>
        </w:rPr>
      </w:pPr>
      <w:r w:rsidRPr="003255BC">
        <w:rPr>
          <w:rFonts w:ascii="Bookman Old Style" w:hAnsi="Bookman Old Style"/>
          <w:lang w:val="sv-FI"/>
        </w:rPr>
        <w:t>“Peraturan</w:t>
      </w:r>
      <w:r w:rsidR="00A954D0" w:rsidRPr="003255BC">
        <w:rPr>
          <w:rFonts w:ascii="Bookman Old Style" w:hAnsi="Bookman Old Style"/>
          <w:lang w:val="sv-FI"/>
        </w:rPr>
        <w:t xml:space="preserve"> </w:t>
      </w:r>
      <w:r w:rsidRPr="003255BC">
        <w:rPr>
          <w:rFonts w:ascii="Bookman Old Style" w:hAnsi="Bookman Old Style"/>
          <w:lang w:val="sv-FI"/>
        </w:rPr>
        <w:t>Menteri</w:t>
      </w:r>
      <w:r w:rsidR="00A954D0" w:rsidRPr="003255BC">
        <w:rPr>
          <w:rFonts w:ascii="Bookman Old Style" w:hAnsi="Bookman Old Style"/>
          <w:lang w:val="sv-FI"/>
        </w:rPr>
        <w:t xml:space="preserve"> </w:t>
      </w:r>
      <w:r w:rsidRPr="003255BC">
        <w:rPr>
          <w:rFonts w:ascii="Bookman Old Style" w:hAnsi="Bookman Old Style"/>
          <w:lang w:val="sv-FI"/>
        </w:rPr>
        <w:t>Dalam</w:t>
      </w:r>
      <w:r w:rsidR="00A954D0" w:rsidRPr="003255BC">
        <w:rPr>
          <w:rFonts w:ascii="Bookman Old Style" w:hAnsi="Bookman Old Style"/>
          <w:lang w:val="sv-FI"/>
        </w:rPr>
        <w:t xml:space="preserve"> </w:t>
      </w:r>
      <w:r w:rsidRPr="003255BC">
        <w:rPr>
          <w:rFonts w:ascii="Bookman Old Style" w:hAnsi="Bookman Old Style"/>
          <w:lang w:val="sv-FI"/>
        </w:rPr>
        <w:t>Negeri</w:t>
      </w:r>
      <w:r w:rsidR="00A954D0" w:rsidRPr="003255BC">
        <w:rPr>
          <w:rFonts w:ascii="Bookman Old Style" w:hAnsi="Bookman Old Style"/>
          <w:lang w:val="sv-FI"/>
        </w:rPr>
        <w:t xml:space="preserve"> </w:t>
      </w:r>
      <w:r w:rsidRPr="003255BC">
        <w:rPr>
          <w:rFonts w:ascii="Bookman Old Style" w:hAnsi="Bookman Old Style"/>
          <w:lang w:val="sv-FI"/>
        </w:rPr>
        <w:t>Nomor</w:t>
      </w:r>
      <w:r w:rsidR="00A954D0" w:rsidRPr="003255BC">
        <w:rPr>
          <w:rFonts w:ascii="Bookman Old Style" w:hAnsi="Bookman Old Style"/>
          <w:lang w:val="sv-FI"/>
        </w:rPr>
        <w:t xml:space="preserve"> </w:t>
      </w:r>
      <w:r w:rsidRPr="003255BC">
        <w:rPr>
          <w:rFonts w:ascii="Bookman Old Style" w:hAnsi="Bookman Old Style"/>
          <w:lang w:val="sv-FI"/>
        </w:rPr>
        <w:t>52</w:t>
      </w:r>
      <w:r w:rsidR="00A954D0" w:rsidRPr="003255BC">
        <w:rPr>
          <w:rFonts w:ascii="Bookman Old Style" w:hAnsi="Bookman Old Style"/>
          <w:lang w:val="sv-FI"/>
        </w:rPr>
        <w:t xml:space="preserve"> </w:t>
      </w:r>
      <w:r w:rsidRPr="003255BC">
        <w:rPr>
          <w:rFonts w:ascii="Bookman Old Style" w:hAnsi="Bookman Old Style"/>
          <w:lang w:val="sv-FI"/>
        </w:rPr>
        <w:t>Tahun</w:t>
      </w:r>
      <w:r w:rsidR="00A954D0" w:rsidRPr="003255BC">
        <w:rPr>
          <w:rFonts w:ascii="Bookman Old Style" w:hAnsi="Bookman Old Style"/>
          <w:lang w:val="sv-FI"/>
        </w:rPr>
        <w:t xml:space="preserve"> </w:t>
      </w:r>
      <w:r w:rsidRPr="003255BC">
        <w:rPr>
          <w:rFonts w:ascii="Bookman Old Style" w:hAnsi="Bookman Old Style"/>
          <w:lang w:val="sv-FI"/>
        </w:rPr>
        <w:t>2012</w:t>
      </w:r>
      <w:r w:rsidR="00A954D0" w:rsidRPr="003255BC">
        <w:rPr>
          <w:rFonts w:ascii="Bookman Old Style" w:hAnsi="Bookman Old Style"/>
          <w:lang w:val="sv-FI"/>
        </w:rPr>
        <w:t xml:space="preserve"> </w:t>
      </w:r>
      <w:r w:rsidRPr="003255BC">
        <w:rPr>
          <w:rFonts w:ascii="Bookman Old Style" w:hAnsi="Bookman Old Style"/>
          <w:b/>
          <w:bCs/>
          <w:lang w:val="sv-FI"/>
        </w:rPr>
        <w:t>t</w:t>
      </w:r>
      <w:r w:rsidRPr="003255BC">
        <w:rPr>
          <w:rFonts w:ascii="Bookman Old Style" w:hAnsi="Bookman Old Style"/>
          <w:lang w:val="sv-FI"/>
        </w:rPr>
        <w:t>entang</w:t>
      </w:r>
      <w:r w:rsidR="00A954D0" w:rsidRPr="003255BC">
        <w:rPr>
          <w:rFonts w:ascii="Bookman Old Style" w:hAnsi="Bookman Old Style"/>
          <w:lang w:val="sv-FI"/>
        </w:rPr>
        <w:t xml:space="preserve"> </w:t>
      </w:r>
      <w:r w:rsidRPr="003255BC">
        <w:rPr>
          <w:rFonts w:ascii="Bookman Old Style" w:hAnsi="Bookman Old Style"/>
          <w:lang w:val="sv-FI"/>
        </w:rPr>
        <w:t>Pedoman</w:t>
      </w:r>
      <w:r w:rsidR="00A954D0" w:rsidRPr="003255BC">
        <w:rPr>
          <w:rFonts w:ascii="Bookman Old Style" w:hAnsi="Bookman Old Style"/>
          <w:lang w:val="sv-FI"/>
        </w:rPr>
        <w:t xml:space="preserve"> </w:t>
      </w:r>
      <w:r w:rsidRPr="003255BC">
        <w:rPr>
          <w:rFonts w:ascii="Bookman Old Style" w:hAnsi="Bookman Old Style"/>
          <w:lang w:val="sv-FI"/>
        </w:rPr>
        <w:t>Pengelolaan</w:t>
      </w:r>
      <w:r w:rsidR="00A954D0" w:rsidRPr="003255BC">
        <w:rPr>
          <w:rFonts w:ascii="Bookman Old Style" w:hAnsi="Bookman Old Style"/>
          <w:lang w:val="sv-FI"/>
        </w:rPr>
        <w:t xml:space="preserve"> </w:t>
      </w:r>
      <w:r w:rsidRPr="003255BC">
        <w:rPr>
          <w:rFonts w:ascii="Bookman Old Style" w:hAnsi="Bookman Old Style"/>
          <w:lang w:val="sv-FI"/>
        </w:rPr>
        <w:t>investasi</w:t>
      </w:r>
      <w:r w:rsidR="00A954D0" w:rsidRPr="003255BC">
        <w:rPr>
          <w:rFonts w:ascii="Bookman Old Style" w:hAnsi="Bookman Old Style"/>
          <w:lang w:val="sv-FI"/>
        </w:rPr>
        <w:t xml:space="preserve"> </w:t>
      </w:r>
      <w:r w:rsidRPr="003255BC">
        <w:rPr>
          <w:rFonts w:ascii="Bookman Old Style" w:hAnsi="Bookman Old Style"/>
          <w:lang w:val="sv-FI"/>
        </w:rPr>
        <w:t>Pemerintah</w:t>
      </w:r>
      <w:r w:rsidR="00A954D0" w:rsidRPr="003255BC">
        <w:rPr>
          <w:rFonts w:ascii="Bookman Old Style" w:hAnsi="Bookman Old Style"/>
          <w:lang w:val="sv-FI"/>
        </w:rPr>
        <w:t xml:space="preserve"> </w:t>
      </w:r>
      <w:r w:rsidRPr="003255BC">
        <w:rPr>
          <w:rFonts w:ascii="Bookman Old Style" w:hAnsi="Bookman Old Style"/>
          <w:lang w:val="sv-FI"/>
        </w:rPr>
        <w:t>Daerah</w:t>
      </w:r>
      <w:r w:rsidR="00A954D0" w:rsidRPr="003255BC">
        <w:rPr>
          <w:rFonts w:ascii="Bookman Old Style" w:hAnsi="Bookman Old Style"/>
          <w:lang w:val="sv-FI"/>
        </w:rPr>
        <w:t xml:space="preserve"> </w:t>
      </w:r>
      <w:r w:rsidRPr="003255BC">
        <w:rPr>
          <w:rFonts w:ascii="Bookman Old Style" w:hAnsi="Bookman Old Style"/>
          <w:lang w:val="sv-FI"/>
        </w:rPr>
        <w:t>(Berita</w:t>
      </w:r>
      <w:r w:rsidR="00A954D0" w:rsidRPr="003255BC">
        <w:rPr>
          <w:rFonts w:ascii="Bookman Old Style" w:hAnsi="Bookman Old Style"/>
          <w:lang w:val="sv-FI"/>
        </w:rPr>
        <w:t xml:space="preserve"> </w:t>
      </w:r>
      <w:r w:rsidRPr="003255BC">
        <w:rPr>
          <w:rFonts w:ascii="Bookman Old Style" w:hAnsi="Bookman Old Style"/>
          <w:lang w:val="sv-FI"/>
        </w:rPr>
        <w:t>Negara</w:t>
      </w:r>
      <w:r w:rsidR="00A954D0" w:rsidRPr="003255BC">
        <w:rPr>
          <w:rFonts w:ascii="Bookman Old Style" w:hAnsi="Bookman Old Style"/>
          <w:lang w:val="sv-FI"/>
        </w:rPr>
        <w:t xml:space="preserve"> </w:t>
      </w:r>
      <w:r w:rsidRPr="003255BC">
        <w:rPr>
          <w:rFonts w:ascii="Bookman Old Style" w:hAnsi="Bookman Old Style"/>
          <w:lang w:val="sv-FI"/>
        </w:rPr>
        <w:t>Republik</w:t>
      </w:r>
      <w:r w:rsidR="00A954D0" w:rsidRPr="003255BC">
        <w:rPr>
          <w:rFonts w:ascii="Bookman Old Style" w:hAnsi="Bookman Old Style"/>
          <w:lang w:val="sv-FI"/>
        </w:rPr>
        <w:t xml:space="preserve"> </w:t>
      </w:r>
      <w:r w:rsidRPr="003255BC">
        <w:rPr>
          <w:rFonts w:ascii="Bookman Old Style" w:hAnsi="Bookman Old Style"/>
          <w:lang w:val="sv-FI"/>
        </w:rPr>
        <w:t>Indonesia</w:t>
      </w:r>
      <w:r w:rsidR="00A954D0" w:rsidRPr="003255BC">
        <w:rPr>
          <w:rFonts w:ascii="Bookman Old Style" w:hAnsi="Bookman Old Style"/>
          <w:lang w:val="sv-FI"/>
        </w:rPr>
        <w:t xml:space="preserve"> </w:t>
      </w:r>
      <w:r w:rsidRPr="003255BC">
        <w:rPr>
          <w:rFonts w:ascii="Bookman Old Style" w:hAnsi="Bookman Old Style"/>
          <w:lang w:val="sv-FI"/>
        </w:rPr>
        <w:t>Tahun</w:t>
      </w:r>
      <w:r w:rsidR="00A954D0" w:rsidRPr="003255BC">
        <w:rPr>
          <w:rFonts w:ascii="Bookman Old Style" w:hAnsi="Bookman Old Style"/>
          <w:lang w:val="sv-FI"/>
        </w:rPr>
        <w:t xml:space="preserve"> </w:t>
      </w:r>
      <w:r w:rsidRPr="003255BC">
        <w:rPr>
          <w:rFonts w:ascii="Bookman Old Style" w:hAnsi="Bookman Old Style"/>
          <w:lang w:val="sv-FI"/>
        </w:rPr>
        <w:t>2012</w:t>
      </w:r>
      <w:r w:rsidR="00A954D0" w:rsidRPr="003255BC">
        <w:rPr>
          <w:rFonts w:ascii="Bookman Old Style" w:hAnsi="Bookman Old Style"/>
          <w:lang w:val="sv-FI"/>
        </w:rPr>
        <w:t xml:space="preserve"> </w:t>
      </w:r>
      <w:r w:rsidRPr="003255BC">
        <w:rPr>
          <w:rFonts w:ascii="Bookman Old Style" w:hAnsi="Bookman Old Style"/>
          <w:lang w:val="sv-FI"/>
        </w:rPr>
        <w:t>Nomor</w:t>
      </w:r>
      <w:r w:rsidR="00A954D0" w:rsidRPr="003255BC">
        <w:rPr>
          <w:rFonts w:ascii="Bookman Old Style" w:hAnsi="Bookman Old Style"/>
          <w:lang w:val="sv-FI"/>
        </w:rPr>
        <w:t xml:space="preserve"> </w:t>
      </w:r>
      <w:r w:rsidRPr="003255BC">
        <w:rPr>
          <w:rFonts w:ascii="Bookman Old Style" w:hAnsi="Bookman Old Style"/>
          <w:lang w:val="sv-FI"/>
        </w:rPr>
        <w:t>754);”</w:t>
      </w:r>
    </w:p>
    <w:p w14:paraId="074E11FF" w14:textId="7A3A1822" w:rsidR="006E2F8F" w:rsidRDefault="006E2F8F" w:rsidP="00A26792">
      <w:pPr>
        <w:numPr>
          <w:ilvl w:val="0"/>
          <w:numId w:val="175"/>
        </w:numPr>
        <w:snapToGrid w:val="0"/>
        <w:spacing w:before="60" w:line="276" w:lineRule="auto"/>
        <w:ind w:left="2268" w:hanging="567"/>
        <w:jc w:val="both"/>
        <w:rPr>
          <w:rFonts w:ascii="Bookman Old Style" w:hAnsi="Bookman Old Style"/>
        </w:rPr>
      </w:pPr>
      <w:r>
        <w:rPr>
          <w:rFonts w:ascii="Bookman Old Style" w:hAnsi="Bookman Old Style"/>
        </w:rPr>
        <w:t>Angka</w:t>
      </w:r>
      <w:r w:rsidR="00A954D0">
        <w:rPr>
          <w:rFonts w:ascii="Bookman Old Style" w:hAnsi="Bookman Old Style"/>
        </w:rPr>
        <w:t xml:space="preserve"> </w:t>
      </w:r>
      <w:r>
        <w:rPr>
          <w:rFonts w:ascii="Bookman Old Style" w:hAnsi="Bookman Old Style"/>
        </w:rPr>
        <w:t>21</w:t>
      </w:r>
      <w:r w:rsidR="00A954D0">
        <w:rPr>
          <w:rFonts w:ascii="Bookman Old Style" w:hAnsi="Bookman Old Style"/>
        </w:rPr>
        <w:t xml:space="preserve"> </w:t>
      </w:r>
      <w:r>
        <w:rPr>
          <w:rFonts w:ascii="Bookman Old Style" w:hAnsi="Bookman Old Style"/>
        </w:rPr>
        <w:t>agar</w:t>
      </w:r>
      <w:r w:rsidR="00A954D0">
        <w:rPr>
          <w:rFonts w:ascii="Bookman Old Style" w:hAnsi="Bookman Old Style"/>
        </w:rPr>
        <w:t xml:space="preserve"> </w:t>
      </w:r>
      <w:r>
        <w:rPr>
          <w:rFonts w:ascii="Bookman Old Style" w:hAnsi="Bookman Old Style"/>
        </w:rPr>
        <w:t>disempurnakan</w:t>
      </w:r>
      <w:r w:rsidR="00A954D0">
        <w:rPr>
          <w:rFonts w:ascii="Bookman Old Style" w:hAnsi="Bookman Old Style"/>
        </w:rPr>
        <w:t xml:space="preserve"> </w:t>
      </w:r>
      <w:r>
        <w:rPr>
          <w:rFonts w:ascii="Bookman Old Style" w:hAnsi="Bookman Old Style"/>
        </w:rPr>
        <w:t>menjadi:</w:t>
      </w:r>
    </w:p>
    <w:p w14:paraId="59150FC5" w14:textId="62FBBDD5" w:rsidR="006E2F8F" w:rsidRPr="003255BC" w:rsidRDefault="006E2F8F" w:rsidP="00A26792">
      <w:pPr>
        <w:snapToGrid w:val="0"/>
        <w:spacing w:before="60" w:line="276" w:lineRule="auto"/>
        <w:ind w:left="2268"/>
        <w:jc w:val="both"/>
        <w:rPr>
          <w:rFonts w:ascii="Bookman Old Style" w:hAnsi="Bookman Old Style"/>
          <w:lang w:val="sv-FI"/>
        </w:rPr>
      </w:pPr>
      <w:r w:rsidRPr="003255BC">
        <w:rPr>
          <w:rFonts w:ascii="Bookman Old Style" w:hAnsi="Bookman Old Style"/>
          <w:lang w:val="sv-FI"/>
        </w:rPr>
        <w:t>“Peraturan</w:t>
      </w:r>
      <w:r w:rsidR="00A954D0" w:rsidRPr="003255BC">
        <w:rPr>
          <w:rFonts w:ascii="Bookman Old Style" w:hAnsi="Bookman Old Style"/>
          <w:lang w:val="sv-FI"/>
        </w:rPr>
        <w:t xml:space="preserve"> </w:t>
      </w:r>
      <w:r w:rsidRPr="003255BC">
        <w:rPr>
          <w:rFonts w:ascii="Bookman Old Style" w:hAnsi="Bookman Old Style"/>
          <w:lang w:val="sv-FI"/>
        </w:rPr>
        <w:t>Menteri</w:t>
      </w:r>
      <w:r w:rsidR="00A954D0" w:rsidRPr="003255BC">
        <w:rPr>
          <w:rFonts w:ascii="Bookman Old Style" w:hAnsi="Bookman Old Style"/>
          <w:lang w:val="sv-FI"/>
        </w:rPr>
        <w:t xml:space="preserve"> </w:t>
      </w:r>
      <w:r w:rsidRPr="003255BC">
        <w:rPr>
          <w:rFonts w:ascii="Bookman Old Style" w:hAnsi="Bookman Old Style"/>
          <w:lang w:val="sv-FI"/>
        </w:rPr>
        <w:t>Dalam</w:t>
      </w:r>
      <w:r w:rsidR="00A954D0" w:rsidRPr="003255BC">
        <w:rPr>
          <w:rFonts w:ascii="Bookman Old Style" w:hAnsi="Bookman Old Style"/>
          <w:lang w:val="sv-FI"/>
        </w:rPr>
        <w:t xml:space="preserve"> </w:t>
      </w:r>
      <w:r w:rsidRPr="003255BC">
        <w:rPr>
          <w:rFonts w:ascii="Bookman Old Style" w:hAnsi="Bookman Old Style"/>
          <w:lang w:val="sv-FI"/>
        </w:rPr>
        <w:t>Negeri</w:t>
      </w:r>
      <w:r w:rsidR="00A954D0" w:rsidRPr="003255BC">
        <w:rPr>
          <w:rFonts w:ascii="Bookman Old Style" w:hAnsi="Bookman Old Style"/>
          <w:lang w:val="sv-FI"/>
        </w:rPr>
        <w:t xml:space="preserve"> </w:t>
      </w:r>
      <w:r w:rsidRPr="003255BC">
        <w:rPr>
          <w:rFonts w:ascii="Bookman Old Style" w:hAnsi="Bookman Old Style"/>
          <w:lang w:val="sv-FI"/>
        </w:rPr>
        <w:t>Nomor</w:t>
      </w:r>
      <w:r w:rsidR="00A954D0" w:rsidRPr="003255BC">
        <w:rPr>
          <w:rFonts w:ascii="Bookman Old Style" w:hAnsi="Bookman Old Style"/>
          <w:lang w:val="sv-FI"/>
        </w:rPr>
        <w:t xml:space="preserve"> </w:t>
      </w:r>
      <w:r w:rsidRPr="003255BC">
        <w:rPr>
          <w:rFonts w:ascii="Bookman Old Style" w:hAnsi="Bookman Old Style"/>
          <w:lang w:val="sv-FI"/>
        </w:rPr>
        <w:t>15</w:t>
      </w:r>
      <w:r w:rsidR="00A954D0" w:rsidRPr="003255BC">
        <w:rPr>
          <w:rFonts w:ascii="Bookman Old Style" w:hAnsi="Bookman Old Style"/>
          <w:lang w:val="sv-FI"/>
        </w:rPr>
        <w:t xml:space="preserve"> </w:t>
      </w:r>
      <w:r w:rsidRPr="003255BC">
        <w:rPr>
          <w:rFonts w:ascii="Bookman Old Style" w:hAnsi="Bookman Old Style"/>
          <w:lang w:val="sv-FI"/>
        </w:rPr>
        <w:t>Tahun</w:t>
      </w:r>
      <w:r w:rsidR="00A954D0" w:rsidRPr="003255BC">
        <w:rPr>
          <w:rFonts w:ascii="Bookman Old Style" w:hAnsi="Bookman Old Style"/>
          <w:lang w:val="sv-FI"/>
        </w:rPr>
        <w:t xml:space="preserve"> </w:t>
      </w:r>
      <w:r w:rsidRPr="003255BC">
        <w:rPr>
          <w:rFonts w:ascii="Bookman Old Style" w:hAnsi="Bookman Old Style"/>
          <w:lang w:val="sv-FI"/>
        </w:rPr>
        <w:t>2024</w:t>
      </w:r>
      <w:r w:rsidR="00A954D0" w:rsidRPr="003255BC">
        <w:rPr>
          <w:rFonts w:ascii="Bookman Old Style" w:hAnsi="Bookman Old Style"/>
          <w:lang w:val="sv-FI"/>
        </w:rPr>
        <w:t xml:space="preserve"> </w:t>
      </w:r>
      <w:r w:rsidRPr="003255BC">
        <w:rPr>
          <w:rFonts w:ascii="Bookman Old Style" w:hAnsi="Bookman Old Style"/>
          <w:lang w:val="sv-FI"/>
        </w:rPr>
        <w:t>tentang</w:t>
      </w:r>
      <w:r w:rsidR="00A954D0" w:rsidRPr="003255BC">
        <w:rPr>
          <w:rFonts w:ascii="Bookman Old Style" w:hAnsi="Bookman Old Style"/>
          <w:lang w:val="sv-FI"/>
        </w:rPr>
        <w:t xml:space="preserve"> </w:t>
      </w:r>
      <w:r w:rsidRPr="003255BC">
        <w:rPr>
          <w:rFonts w:ascii="Bookman Old Style" w:hAnsi="Bookman Old Style"/>
          <w:lang w:val="sv-FI"/>
        </w:rPr>
        <w:t>Pedoman</w:t>
      </w:r>
      <w:r w:rsidR="00A954D0" w:rsidRPr="003255BC">
        <w:rPr>
          <w:rFonts w:ascii="Bookman Old Style" w:hAnsi="Bookman Old Style"/>
          <w:lang w:val="sv-FI"/>
        </w:rPr>
        <w:t xml:space="preserve"> </w:t>
      </w:r>
      <w:r w:rsidRPr="003255BC">
        <w:rPr>
          <w:rFonts w:ascii="Bookman Old Style" w:hAnsi="Bookman Old Style"/>
          <w:lang w:val="sv-FI"/>
        </w:rPr>
        <w:t>Penyusunan</w:t>
      </w:r>
      <w:r w:rsidR="00A954D0" w:rsidRPr="003255BC">
        <w:rPr>
          <w:rFonts w:ascii="Bookman Old Style" w:hAnsi="Bookman Old Style"/>
          <w:lang w:val="sv-FI"/>
        </w:rPr>
        <w:t xml:space="preserve"> </w:t>
      </w:r>
      <w:r w:rsidRPr="003255BC">
        <w:rPr>
          <w:rFonts w:ascii="Bookman Old Style" w:hAnsi="Bookman Old Style"/>
          <w:lang w:val="sv-FI"/>
        </w:rPr>
        <w:t>Anggaran</w:t>
      </w:r>
      <w:r w:rsidR="00A954D0" w:rsidRPr="003255BC">
        <w:rPr>
          <w:rFonts w:ascii="Bookman Old Style" w:hAnsi="Bookman Old Style"/>
          <w:lang w:val="sv-FI"/>
        </w:rPr>
        <w:t xml:space="preserve"> </w:t>
      </w:r>
      <w:r w:rsidRPr="003255BC">
        <w:rPr>
          <w:rFonts w:ascii="Bookman Old Style" w:hAnsi="Bookman Old Style"/>
          <w:lang w:val="sv-FI"/>
        </w:rPr>
        <w:t>Pendapatan</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Belanja</w:t>
      </w:r>
      <w:r w:rsidR="00A954D0" w:rsidRPr="003255BC">
        <w:rPr>
          <w:rFonts w:ascii="Bookman Old Style" w:hAnsi="Bookman Old Style"/>
          <w:lang w:val="sv-FI"/>
        </w:rPr>
        <w:t xml:space="preserve"> </w:t>
      </w:r>
      <w:r w:rsidRPr="003255BC">
        <w:rPr>
          <w:rFonts w:ascii="Bookman Old Style" w:hAnsi="Bookman Old Style"/>
          <w:lang w:val="sv-FI"/>
        </w:rPr>
        <w:t>Daerah</w:t>
      </w:r>
      <w:r w:rsidR="00A954D0" w:rsidRPr="003255BC">
        <w:rPr>
          <w:rFonts w:ascii="Bookman Old Style" w:hAnsi="Bookman Old Style"/>
          <w:lang w:val="sv-FI"/>
        </w:rPr>
        <w:t xml:space="preserve"> </w:t>
      </w:r>
      <w:r w:rsidRPr="003255BC">
        <w:rPr>
          <w:rFonts w:ascii="Bookman Old Style" w:hAnsi="Bookman Old Style"/>
          <w:lang w:val="sv-FI"/>
        </w:rPr>
        <w:t>Tahun</w:t>
      </w:r>
      <w:r w:rsidR="00A954D0" w:rsidRPr="003255BC">
        <w:rPr>
          <w:rFonts w:ascii="Bookman Old Style" w:hAnsi="Bookman Old Style"/>
          <w:lang w:val="sv-FI"/>
        </w:rPr>
        <w:t xml:space="preserve"> </w:t>
      </w:r>
      <w:r w:rsidRPr="003255BC">
        <w:rPr>
          <w:rFonts w:ascii="Bookman Old Style" w:hAnsi="Bookman Old Style"/>
          <w:lang w:val="sv-FI"/>
        </w:rPr>
        <w:t>Anggaran</w:t>
      </w:r>
      <w:r w:rsidR="00A954D0" w:rsidRPr="003255BC">
        <w:rPr>
          <w:rFonts w:ascii="Bookman Old Style" w:hAnsi="Bookman Old Style"/>
          <w:lang w:val="sv-FI"/>
        </w:rPr>
        <w:t xml:space="preserve"> </w:t>
      </w:r>
      <w:r w:rsidRPr="003255BC">
        <w:rPr>
          <w:rFonts w:ascii="Bookman Old Style" w:hAnsi="Bookman Old Style"/>
          <w:lang w:val="sv-FI"/>
        </w:rPr>
        <w:t>2025</w:t>
      </w:r>
      <w:r w:rsidR="00A954D0" w:rsidRPr="003255BC">
        <w:rPr>
          <w:rFonts w:ascii="Bookman Old Style" w:hAnsi="Bookman Old Style"/>
          <w:lang w:val="sv-FI"/>
        </w:rPr>
        <w:t xml:space="preserve"> </w:t>
      </w:r>
      <w:r w:rsidRPr="003255BC">
        <w:rPr>
          <w:rFonts w:ascii="Bookman Old Style" w:hAnsi="Bookman Old Style"/>
          <w:b/>
          <w:bCs/>
          <w:lang w:val="sv-FI"/>
        </w:rPr>
        <w:t>(Berita</w:t>
      </w:r>
      <w:r w:rsidR="00A954D0" w:rsidRPr="003255BC">
        <w:rPr>
          <w:rFonts w:ascii="Bookman Old Style" w:hAnsi="Bookman Old Style"/>
          <w:b/>
          <w:bCs/>
          <w:lang w:val="sv-FI"/>
        </w:rPr>
        <w:t xml:space="preserve"> </w:t>
      </w:r>
      <w:r w:rsidRPr="003255BC">
        <w:rPr>
          <w:rFonts w:ascii="Bookman Old Style" w:hAnsi="Bookman Old Style"/>
          <w:b/>
          <w:bCs/>
          <w:lang w:val="sv-FI"/>
        </w:rPr>
        <w:t>Negara</w:t>
      </w:r>
      <w:r w:rsidR="00A954D0" w:rsidRPr="003255BC">
        <w:rPr>
          <w:rFonts w:ascii="Bookman Old Style" w:hAnsi="Bookman Old Style"/>
          <w:b/>
          <w:bCs/>
          <w:lang w:val="sv-FI"/>
        </w:rPr>
        <w:t xml:space="preserve"> </w:t>
      </w:r>
      <w:r w:rsidRPr="003255BC">
        <w:rPr>
          <w:rFonts w:ascii="Bookman Old Style" w:hAnsi="Bookman Old Style"/>
          <w:b/>
          <w:bCs/>
          <w:lang w:val="sv-FI"/>
        </w:rPr>
        <w:t>Republik</w:t>
      </w:r>
      <w:r w:rsidR="00A954D0" w:rsidRPr="003255BC">
        <w:rPr>
          <w:rFonts w:ascii="Bookman Old Style" w:hAnsi="Bookman Old Style"/>
          <w:b/>
          <w:bCs/>
          <w:lang w:val="sv-FI"/>
        </w:rPr>
        <w:t xml:space="preserve"> </w:t>
      </w:r>
      <w:r w:rsidRPr="003255BC">
        <w:rPr>
          <w:rFonts w:ascii="Bookman Old Style" w:hAnsi="Bookman Old Style"/>
          <w:b/>
          <w:bCs/>
          <w:lang w:val="sv-FI"/>
        </w:rPr>
        <w:t>Indonesia</w:t>
      </w:r>
      <w:r w:rsidR="00A954D0" w:rsidRPr="003255BC">
        <w:rPr>
          <w:rFonts w:ascii="Bookman Old Style" w:hAnsi="Bookman Old Style"/>
          <w:b/>
          <w:bCs/>
          <w:lang w:val="sv-FI"/>
        </w:rPr>
        <w:t xml:space="preserve"> </w:t>
      </w:r>
      <w:r w:rsidRPr="003255BC">
        <w:rPr>
          <w:rFonts w:ascii="Bookman Old Style" w:hAnsi="Bookman Old Style"/>
          <w:b/>
          <w:bCs/>
          <w:lang w:val="sv-FI"/>
        </w:rPr>
        <w:t>Tahun</w:t>
      </w:r>
      <w:r w:rsidR="00A954D0" w:rsidRPr="003255BC">
        <w:rPr>
          <w:rFonts w:ascii="Bookman Old Style" w:hAnsi="Bookman Old Style"/>
          <w:b/>
          <w:bCs/>
          <w:lang w:val="sv-FI"/>
        </w:rPr>
        <w:t xml:space="preserve"> </w:t>
      </w:r>
      <w:r w:rsidRPr="003255BC">
        <w:rPr>
          <w:rFonts w:ascii="Bookman Old Style" w:hAnsi="Bookman Old Style"/>
          <w:b/>
          <w:bCs/>
          <w:lang w:val="sv-FI"/>
        </w:rPr>
        <w:t>2024</w:t>
      </w:r>
      <w:r w:rsidR="00A954D0" w:rsidRPr="003255BC">
        <w:rPr>
          <w:rFonts w:ascii="Bookman Old Style" w:hAnsi="Bookman Old Style"/>
          <w:b/>
          <w:bCs/>
          <w:lang w:val="sv-FI"/>
        </w:rPr>
        <w:t xml:space="preserve"> </w:t>
      </w:r>
      <w:r w:rsidRPr="003255BC">
        <w:rPr>
          <w:rFonts w:ascii="Bookman Old Style" w:hAnsi="Bookman Old Style"/>
          <w:b/>
          <w:bCs/>
          <w:lang w:val="sv-FI"/>
        </w:rPr>
        <w:t>Nomor</w:t>
      </w:r>
      <w:r w:rsidR="00A954D0" w:rsidRPr="003255BC">
        <w:rPr>
          <w:rFonts w:ascii="Bookman Old Style" w:hAnsi="Bookman Old Style"/>
          <w:b/>
          <w:bCs/>
          <w:lang w:val="sv-FI"/>
        </w:rPr>
        <w:t xml:space="preserve"> </w:t>
      </w:r>
      <w:r w:rsidRPr="003255BC">
        <w:rPr>
          <w:rFonts w:ascii="Bookman Old Style" w:hAnsi="Bookman Old Style"/>
          <w:b/>
          <w:bCs/>
          <w:lang w:val="sv-FI"/>
        </w:rPr>
        <w:t>648)</w:t>
      </w:r>
      <w:r w:rsidRPr="003255BC">
        <w:rPr>
          <w:rFonts w:ascii="Bookman Old Style" w:hAnsi="Bookman Old Style"/>
          <w:lang w:val="sv-FI"/>
        </w:rPr>
        <w:t>;”</w:t>
      </w:r>
    </w:p>
    <w:p w14:paraId="7222925B" w14:textId="39B7F31D" w:rsidR="006E2F8F" w:rsidRDefault="006E2F8F">
      <w:pPr>
        <w:numPr>
          <w:ilvl w:val="0"/>
          <w:numId w:val="173"/>
        </w:numPr>
        <w:snapToGrid w:val="0"/>
        <w:spacing w:before="60" w:line="276" w:lineRule="auto"/>
        <w:ind w:left="1702" w:hanging="425"/>
        <w:jc w:val="both"/>
        <w:rPr>
          <w:rFonts w:ascii="Bookman Old Style" w:eastAsiaTheme="minorHAnsi" w:hAnsi="Bookman Old Style" w:cstheme="minorBidi"/>
          <w:lang w:val="en-US"/>
        </w:rPr>
      </w:pPr>
      <w:r w:rsidRPr="00877C5F">
        <w:rPr>
          <w:rFonts w:ascii="Bookman Old Style" w:eastAsiaTheme="minorHAnsi" w:hAnsi="Bookman Old Style" w:cstheme="minorBidi"/>
          <w:lang w:val="en-US"/>
        </w:rPr>
        <w:t>Batang</w:t>
      </w:r>
      <w:r w:rsidR="00A954D0">
        <w:rPr>
          <w:rFonts w:ascii="Bookman Old Style" w:eastAsiaTheme="minorHAnsi" w:hAnsi="Bookman Old Style" w:cstheme="minorBidi"/>
          <w:lang w:val="en-US"/>
        </w:rPr>
        <w:t xml:space="preserve"> </w:t>
      </w:r>
      <w:r w:rsidRPr="00877C5F">
        <w:rPr>
          <w:rFonts w:ascii="Bookman Old Style" w:eastAsiaTheme="minorHAnsi" w:hAnsi="Bookman Old Style" w:cstheme="minorBidi"/>
          <w:lang w:val="en-US"/>
        </w:rPr>
        <w:t>Tubuh</w:t>
      </w:r>
    </w:p>
    <w:p w14:paraId="3355A34C" w14:textId="6174C5FE" w:rsidR="006E2F8F" w:rsidRPr="003255BC" w:rsidRDefault="006E2F8F" w:rsidP="00A26792">
      <w:pPr>
        <w:pStyle w:val="ListParagraph"/>
        <w:numPr>
          <w:ilvl w:val="0"/>
          <w:numId w:val="177"/>
        </w:numPr>
        <w:snapToGrid w:val="0"/>
        <w:spacing w:before="60" w:after="0" w:line="276" w:lineRule="auto"/>
        <w:ind w:left="2268" w:hanging="566"/>
        <w:contextualSpacing w:val="0"/>
        <w:jc w:val="both"/>
        <w:rPr>
          <w:rFonts w:ascii="Bookman Old Style" w:eastAsiaTheme="minorHAnsi" w:hAnsi="Bookman Old Style" w:cs="Arial"/>
          <w:sz w:val="24"/>
          <w:szCs w:val="24"/>
          <w:lang w:val="sv-FI"/>
        </w:rPr>
      </w:pPr>
      <w:r w:rsidRPr="003255BC">
        <w:rPr>
          <w:rFonts w:ascii="Bookman Old Style" w:eastAsiaTheme="minorHAnsi" w:hAnsi="Bookman Old Style" w:cstheme="minorBidi"/>
          <w:sz w:val="24"/>
          <w:szCs w:val="24"/>
          <w:lang w:val="sv-FI"/>
        </w:rPr>
        <w:t>Pasal</w:t>
      </w:r>
      <w:r w:rsidR="00A954D0" w:rsidRPr="003255BC">
        <w:rPr>
          <w:rFonts w:ascii="Bookman Old Style" w:eastAsiaTheme="minorHAnsi" w:hAnsi="Bookman Old Style" w:cstheme="minorBidi"/>
          <w:sz w:val="24"/>
          <w:szCs w:val="24"/>
          <w:lang w:val="sv-FI"/>
        </w:rPr>
        <w:t xml:space="preserve"> </w:t>
      </w:r>
      <w:r w:rsidRPr="003255BC">
        <w:rPr>
          <w:rFonts w:ascii="Bookman Old Style" w:eastAsiaTheme="minorHAnsi" w:hAnsi="Bookman Old Style" w:cstheme="minorBidi"/>
          <w:sz w:val="24"/>
          <w:szCs w:val="24"/>
          <w:lang w:val="sv-FI"/>
        </w:rPr>
        <w:t>2</w:t>
      </w:r>
      <w:r w:rsidR="00A954D0" w:rsidRPr="003255BC">
        <w:rPr>
          <w:rFonts w:ascii="Bookman Old Style" w:eastAsiaTheme="minorHAnsi" w:hAnsi="Bookman Old Style" w:cstheme="minorBidi"/>
          <w:sz w:val="24"/>
          <w:szCs w:val="24"/>
          <w:lang w:val="sv-FI"/>
        </w:rPr>
        <w:t xml:space="preserve"> </w:t>
      </w:r>
      <w:r w:rsidRPr="003255BC">
        <w:rPr>
          <w:rFonts w:ascii="Bookman Old Style" w:eastAsiaTheme="minorHAnsi" w:hAnsi="Bookman Old Style" w:cstheme="minorBidi"/>
          <w:sz w:val="24"/>
          <w:szCs w:val="24"/>
          <w:lang w:val="sv-FI"/>
        </w:rPr>
        <w:t>agar</w:t>
      </w:r>
      <w:r w:rsidR="00A954D0" w:rsidRPr="003255BC">
        <w:rPr>
          <w:rFonts w:ascii="Bookman Old Style" w:eastAsiaTheme="minorHAnsi" w:hAnsi="Bookman Old Style" w:cstheme="minorBidi"/>
          <w:sz w:val="24"/>
          <w:szCs w:val="24"/>
          <w:lang w:val="sv-FI"/>
        </w:rPr>
        <w:t xml:space="preserve"> </w:t>
      </w:r>
      <w:r w:rsidRPr="003255BC">
        <w:rPr>
          <w:rFonts w:ascii="Bookman Old Style" w:eastAsiaTheme="minorHAnsi" w:hAnsi="Bookman Old Style" w:cstheme="minorBidi"/>
          <w:sz w:val="24"/>
          <w:szCs w:val="24"/>
          <w:lang w:val="sv-FI"/>
        </w:rPr>
        <w:t>diperbaiki</w:t>
      </w:r>
      <w:r w:rsidR="00A954D0" w:rsidRPr="003255BC">
        <w:rPr>
          <w:rFonts w:ascii="Bookman Old Style" w:eastAsiaTheme="minorHAnsi" w:hAnsi="Bookman Old Style" w:cstheme="minorBidi"/>
          <w:sz w:val="24"/>
          <w:szCs w:val="24"/>
          <w:lang w:val="sv-FI"/>
        </w:rPr>
        <w:t xml:space="preserve"> </w:t>
      </w:r>
      <w:r w:rsidRPr="003255BC">
        <w:rPr>
          <w:rFonts w:ascii="Bookman Old Style" w:eastAsiaTheme="minorHAnsi" w:hAnsi="Bookman Old Style" w:cs="Arial"/>
          <w:sz w:val="24"/>
          <w:szCs w:val="24"/>
          <w:lang w:val="sv-FI"/>
        </w:rPr>
        <w:t>redaksionalnya</w:t>
      </w:r>
      <w:r w:rsidR="00A954D0" w:rsidRPr="003255BC">
        <w:rPr>
          <w:rFonts w:ascii="Bookman Old Style" w:eastAsiaTheme="minorHAnsi" w:hAnsi="Bookman Old Style" w:cs="Arial"/>
          <w:sz w:val="24"/>
          <w:szCs w:val="24"/>
          <w:lang w:val="sv-FI"/>
        </w:rPr>
        <w:t xml:space="preserve"> </w:t>
      </w:r>
      <w:r w:rsidRPr="003255BC">
        <w:rPr>
          <w:rFonts w:ascii="Bookman Old Style" w:eastAsiaTheme="minorHAnsi" w:hAnsi="Bookman Old Style" w:cs="Arial"/>
          <w:sz w:val="24"/>
          <w:szCs w:val="24"/>
          <w:lang w:val="sv-FI"/>
        </w:rPr>
        <w:t>menjadi:</w:t>
      </w:r>
    </w:p>
    <w:p w14:paraId="7766665C" w14:textId="11484996" w:rsidR="006E2F8F" w:rsidRDefault="006E2F8F" w:rsidP="004A784D">
      <w:pPr>
        <w:pStyle w:val="ListParagraph"/>
        <w:numPr>
          <w:ilvl w:val="0"/>
          <w:numId w:val="210"/>
        </w:numPr>
        <w:snapToGrid w:val="0"/>
        <w:spacing w:before="60" w:after="0" w:line="276" w:lineRule="auto"/>
        <w:ind w:left="2694" w:hanging="426"/>
        <w:contextualSpacing w:val="0"/>
        <w:jc w:val="both"/>
        <w:rPr>
          <w:rFonts w:ascii="Bookman Old Style" w:hAnsi="Bookman Old Style" w:cs="Arial"/>
          <w:sz w:val="24"/>
          <w:szCs w:val="24"/>
        </w:rPr>
      </w:pPr>
      <w:r w:rsidRPr="00656005">
        <w:rPr>
          <w:rFonts w:ascii="Bookman Old Style" w:hAnsi="Bookman Old Style" w:cs="Arial"/>
          <w:sz w:val="24"/>
          <w:szCs w:val="24"/>
        </w:rPr>
        <w:lastRenderedPageBreak/>
        <w:t>APBD</w:t>
      </w:r>
      <w:r w:rsidR="00A954D0">
        <w:rPr>
          <w:rFonts w:ascii="Bookman Old Style" w:hAnsi="Bookman Old Style" w:cs="Arial"/>
          <w:sz w:val="24"/>
          <w:szCs w:val="24"/>
        </w:rPr>
        <w:t xml:space="preserve"> </w:t>
      </w:r>
      <w:r w:rsidRPr="00656005">
        <w:rPr>
          <w:rFonts w:ascii="Bookman Old Style" w:hAnsi="Bookman Old Style" w:cs="Arial"/>
          <w:sz w:val="24"/>
          <w:szCs w:val="24"/>
        </w:rPr>
        <w:t>terdiri</w:t>
      </w:r>
      <w:r w:rsidR="00A954D0">
        <w:rPr>
          <w:rFonts w:ascii="Bookman Old Style" w:hAnsi="Bookman Old Style" w:cs="Arial"/>
          <w:sz w:val="24"/>
          <w:szCs w:val="24"/>
        </w:rPr>
        <w:t xml:space="preserve"> </w:t>
      </w:r>
      <w:r w:rsidRPr="00656005">
        <w:rPr>
          <w:rFonts w:ascii="Bookman Old Style" w:hAnsi="Bookman Old Style" w:cs="Arial"/>
          <w:sz w:val="24"/>
          <w:szCs w:val="24"/>
        </w:rPr>
        <w:t>atas</w:t>
      </w:r>
      <w:r>
        <w:rPr>
          <w:rFonts w:ascii="Bookman Old Style" w:hAnsi="Bookman Old Style" w:cs="Arial"/>
          <w:sz w:val="24"/>
          <w:szCs w:val="24"/>
        </w:rPr>
        <w:t>:</w:t>
      </w:r>
    </w:p>
    <w:p w14:paraId="2E71C9C4" w14:textId="15846ED2" w:rsidR="006E2F8F" w:rsidRDefault="006E2F8F" w:rsidP="004A784D">
      <w:pPr>
        <w:pStyle w:val="ListParagraph"/>
        <w:numPr>
          <w:ilvl w:val="0"/>
          <w:numId w:val="211"/>
        </w:numPr>
        <w:snapToGrid w:val="0"/>
        <w:spacing w:before="60" w:after="0" w:line="276" w:lineRule="auto"/>
        <w:ind w:left="3261" w:hanging="567"/>
        <w:contextualSpacing w:val="0"/>
        <w:jc w:val="both"/>
        <w:rPr>
          <w:rFonts w:ascii="Bookman Old Style" w:hAnsi="Bookman Old Style" w:cs="Arial"/>
          <w:sz w:val="24"/>
          <w:szCs w:val="24"/>
        </w:rPr>
      </w:pPr>
      <w:r w:rsidRPr="00656005">
        <w:rPr>
          <w:rFonts w:ascii="Bookman Old Style" w:hAnsi="Bookman Old Style" w:cs="Arial"/>
          <w:sz w:val="24"/>
          <w:szCs w:val="24"/>
        </w:rPr>
        <w:t>pendapatan</w:t>
      </w:r>
      <w:r w:rsidR="00A954D0">
        <w:rPr>
          <w:rFonts w:ascii="Bookman Old Style" w:hAnsi="Bookman Old Style" w:cs="Arial"/>
          <w:sz w:val="24"/>
          <w:szCs w:val="24"/>
        </w:rPr>
        <w:t xml:space="preserve"> </w:t>
      </w:r>
      <w:r w:rsidRPr="00656005">
        <w:rPr>
          <w:rFonts w:ascii="Bookman Old Style" w:hAnsi="Bookman Old Style" w:cs="Arial"/>
          <w:sz w:val="24"/>
          <w:szCs w:val="24"/>
        </w:rPr>
        <w:t>Daerah</w:t>
      </w:r>
      <w:r>
        <w:rPr>
          <w:rFonts w:ascii="Bookman Old Style" w:hAnsi="Bookman Old Style" w:cs="Arial"/>
          <w:sz w:val="24"/>
          <w:szCs w:val="24"/>
        </w:rPr>
        <w:t>;</w:t>
      </w:r>
    </w:p>
    <w:p w14:paraId="5E561EDF" w14:textId="15A87927" w:rsidR="006E2F8F" w:rsidRDefault="006E2F8F" w:rsidP="004A784D">
      <w:pPr>
        <w:pStyle w:val="ListParagraph"/>
        <w:numPr>
          <w:ilvl w:val="0"/>
          <w:numId w:val="211"/>
        </w:numPr>
        <w:snapToGrid w:val="0"/>
        <w:spacing w:before="60" w:after="0" w:line="276" w:lineRule="auto"/>
        <w:ind w:left="3261" w:hanging="567"/>
        <w:contextualSpacing w:val="0"/>
        <w:jc w:val="both"/>
        <w:rPr>
          <w:rFonts w:ascii="Bookman Old Style" w:hAnsi="Bookman Old Style" w:cs="Arial"/>
          <w:sz w:val="24"/>
          <w:szCs w:val="24"/>
        </w:rPr>
      </w:pPr>
      <w:r w:rsidRPr="00656005">
        <w:rPr>
          <w:rFonts w:ascii="Bookman Old Style" w:hAnsi="Bookman Old Style" w:cs="Arial"/>
          <w:sz w:val="24"/>
          <w:szCs w:val="24"/>
        </w:rPr>
        <w:t>belanja</w:t>
      </w:r>
      <w:r w:rsidR="00A954D0">
        <w:rPr>
          <w:rFonts w:ascii="Bookman Old Style" w:hAnsi="Bookman Old Style" w:cs="Arial"/>
          <w:sz w:val="24"/>
          <w:szCs w:val="24"/>
        </w:rPr>
        <w:t xml:space="preserve"> </w:t>
      </w:r>
      <w:r w:rsidRPr="00656005">
        <w:rPr>
          <w:rFonts w:ascii="Bookman Old Style" w:hAnsi="Bookman Old Style" w:cs="Arial"/>
          <w:sz w:val="24"/>
          <w:szCs w:val="24"/>
        </w:rPr>
        <w:t>Daerah</w:t>
      </w:r>
      <w:r>
        <w:rPr>
          <w:rFonts w:ascii="Bookman Old Style" w:hAnsi="Bookman Old Style" w:cs="Arial"/>
          <w:sz w:val="24"/>
          <w:szCs w:val="24"/>
        </w:rPr>
        <w:t>;</w:t>
      </w:r>
      <w:r w:rsidR="00A954D0">
        <w:rPr>
          <w:rFonts w:ascii="Bookman Old Style" w:hAnsi="Bookman Old Style" w:cs="Arial"/>
          <w:sz w:val="24"/>
          <w:szCs w:val="24"/>
        </w:rPr>
        <w:t xml:space="preserve"> </w:t>
      </w:r>
      <w:r w:rsidRPr="00656005">
        <w:rPr>
          <w:rFonts w:ascii="Bookman Old Style" w:hAnsi="Bookman Old Style" w:cs="Arial"/>
          <w:sz w:val="24"/>
          <w:szCs w:val="24"/>
        </w:rPr>
        <w:t>dan</w:t>
      </w:r>
    </w:p>
    <w:p w14:paraId="28EB3378" w14:textId="3B1BCE3C" w:rsidR="006E2F8F" w:rsidRDefault="006E2F8F" w:rsidP="004A784D">
      <w:pPr>
        <w:pStyle w:val="ListParagraph"/>
        <w:numPr>
          <w:ilvl w:val="0"/>
          <w:numId w:val="211"/>
        </w:numPr>
        <w:snapToGrid w:val="0"/>
        <w:spacing w:before="60" w:after="0" w:line="276" w:lineRule="auto"/>
        <w:ind w:left="3261" w:hanging="567"/>
        <w:contextualSpacing w:val="0"/>
        <w:jc w:val="both"/>
        <w:rPr>
          <w:rFonts w:ascii="Bookman Old Style" w:hAnsi="Bookman Old Style" w:cs="Arial"/>
          <w:sz w:val="24"/>
          <w:szCs w:val="24"/>
        </w:rPr>
      </w:pPr>
      <w:r w:rsidRPr="00656005">
        <w:rPr>
          <w:rFonts w:ascii="Bookman Old Style" w:hAnsi="Bookman Old Style" w:cs="Arial"/>
          <w:sz w:val="24"/>
          <w:szCs w:val="24"/>
        </w:rPr>
        <w:t>pembiayaan</w:t>
      </w:r>
      <w:r w:rsidR="00A954D0">
        <w:rPr>
          <w:rFonts w:ascii="Bookman Old Style" w:hAnsi="Bookman Old Style" w:cs="Arial"/>
          <w:sz w:val="24"/>
          <w:szCs w:val="24"/>
        </w:rPr>
        <w:t xml:space="preserve"> </w:t>
      </w:r>
      <w:r w:rsidRPr="00656005">
        <w:rPr>
          <w:rFonts w:ascii="Bookman Old Style" w:hAnsi="Bookman Old Style" w:cs="Arial"/>
          <w:sz w:val="24"/>
          <w:szCs w:val="24"/>
        </w:rPr>
        <w:t>Daerah.</w:t>
      </w:r>
      <w:r w:rsidR="00A954D0">
        <w:rPr>
          <w:rFonts w:ascii="Bookman Old Style" w:hAnsi="Bookman Old Style" w:cs="Arial"/>
          <w:sz w:val="24"/>
          <w:szCs w:val="24"/>
        </w:rPr>
        <w:t xml:space="preserve"> </w:t>
      </w:r>
    </w:p>
    <w:p w14:paraId="62224FFE" w14:textId="05483A69" w:rsidR="006E2F8F" w:rsidRDefault="006E2F8F" w:rsidP="004A784D">
      <w:pPr>
        <w:pStyle w:val="ListParagraph"/>
        <w:numPr>
          <w:ilvl w:val="0"/>
          <w:numId w:val="210"/>
        </w:numPr>
        <w:snapToGrid w:val="0"/>
        <w:spacing w:before="60" w:after="0" w:line="276" w:lineRule="auto"/>
        <w:ind w:left="2694" w:hanging="426"/>
        <w:contextualSpacing w:val="0"/>
        <w:jc w:val="both"/>
        <w:rPr>
          <w:rFonts w:ascii="Bookman Old Style" w:hAnsi="Bookman Old Style" w:cs="Arial"/>
          <w:sz w:val="24"/>
          <w:szCs w:val="24"/>
        </w:rPr>
      </w:pPr>
      <w:r w:rsidRPr="00656005">
        <w:rPr>
          <w:rFonts w:ascii="Bookman Old Style" w:hAnsi="Bookman Old Style" w:cs="Arial"/>
          <w:sz w:val="24"/>
          <w:szCs w:val="24"/>
        </w:rPr>
        <w:t>APBD</w:t>
      </w:r>
      <w:r w:rsidR="00A954D0">
        <w:rPr>
          <w:rFonts w:ascii="Bookman Old Style" w:hAnsi="Bookman Old Style" w:cs="Arial"/>
          <w:sz w:val="24"/>
          <w:szCs w:val="24"/>
        </w:rPr>
        <w:t xml:space="preserve"> </w:t>
      </w:r>
      <w:r w:rsidRPr="00656005">
        <w:rPr>
          <w:rFonts w:ascii="Bookman Old Style" w:hAnsi="Bookman Old Style" w:cs="Arial"/>
          <w:sz w:val="24"/>
          <w:szCs w:val="24"/>
        </w:rPr>
        <w:t>Tahun</w:t>
      </w:r>
      <w:r w:rsidR="00A954D0">
        <w:rPr>
          <w:rFonts w:ascii="Bookman Old Style" w:hAnsi="Bookman Old Style" w:cs="Arial"/>
          <w:sz w:val="24"/>
          <w:szCs w:val="24"/>
        </w:rPr>
        <w:t xml:space="preserve"> </w:t>
      </w:r>
      <w:r w:rsidRPr="00656005">
        <w:rPr>
          <w:rFonts w:ascii="Bookman Old Style" w:hAnsi="Bookman Old Style" w:cs="Arial"/>
          <w:sz w:val="24"/>
          <w:szCs w:val="24"/>
        </w:rPr>
        <w:t>Anggaran</w:t>
      </w:r>
      <w:r w:rsidR="00A954D0">
        <w:rPr>
          <w:rFonts w:ascii="Bookman Old Style" w:hAnsi="Bookman Old Style" w:cs="Arial"/>
          <w:sz w:val="24"/>
          <w:szCs w:val="24"/>
        </w:rPr>
        <w:t xml:space="preserve"> </w:t>
      </w:r>
      <w:r w:rsidRPr="00656005">
        <w:rPr>
          <w:rFonts w:ascii="Bookman Old Style" w:hAnsi="Bookman Old Style" w:cs="Arial"/>
          <w:sz w:val="24"/>
          <w:szCs w:val="24"/>
        </w:rPr>
        <w:t>2025</w:t>
      </w:r>
      <w:r w:rsidR="00A954D0">
        <w:rPr>
          <w:rFonts w:ascii="Bookman Old Style" w:hAnsi="Bookman Old Style" w:cs="Arial"/>
          <w:sz w:val="24"/>
          <w:szCs w:val="24"/>
        </w:rPr>
        <w:t xml:space="preserve"> </w:t>
      </w:r>
      <w:r w:rsidRPr="00656005">
        <w:rPr>
          <w:rFonts w:ascii="Bookman Old Style" w:hAnsi="Bookman Old Style" w:cs="Arial"/>
          <w:sz w:val="24"/>
          <w:szCs w:val="24"/>
        </w:rPr>
        <w:t>berjumlah</w:t>
      </w:r>
      <w:r w:rsidR="00A954D0">
        <w:rPr>
          <w:rFonts w:ascii="Bookman Old Style" w:hAnsi="Bookman Old Style" w:cs="Arial"/>
          <w:sz w:val="24"/>
          <w:szCs w:val="24"/>
        </w:rPr>
        <w:t xml:space="preserve"> </w:t>
      </w:r>
      <w:r w:rsidRPr="00656005">
        <w:rPr>
          <w:rFonts w:ascii="Bookman Old Style" w:hAnsi="Bookman Old Style" w:cs="Arial"/>
          <w:sz w:val="24"/>
          <w:szCs w:val="24"/>
        </w:rPr>
        <w:t>Rp5.706.600.538.955,00</w:t>
      </w:r>
      <w:r w:rsidR="00A954D0">
        <w:rPr>
          <w:rFonts w:ascii="Bookman Old Style" w:hAnsi="Bookman Old Style" w:cs="Arial"/>
          <w:sz w:val="24"/>
          <w:szCs w:val="24"/>
        </w:rPr>
        <w:t xml:space="preserve"> </w:t>
      </w:r>
      <w:r w:rsidRPr="00656005">
        <w:rPr>
          <w:rFonts w:ascii="Bookman Old Style" w:hAnsi="Bookman Old Style" w:cs="Arial"/>
          <w:sz w:val="24"/>
          <w:szCs w:val="24"/>
        </w:rPr>
        <w:t>(Lima</w:t>
      </w:r>
      <w:r w:rsidR="00A954D0">
        <w:rPr>
          <w:rFonts w:ascii="Bookman Old Style" w:hAnsi="Bookman Old Style" w:cs="Arial"/>
          <w:sz w:val="24"/>
          <w:szCs w:val="24"/>
        </w:rPr>
        <w:t xml:space="preserve"> </w:t>
      </w:r>
      <w:r w:rsidRPr="00656005">
        <w:rPr>
          <w:rFonts w:ascii="Bookman Old Style" w:hAnsi="Bookman Old Style" w:cs="Arial"/>
          <w:sz w:val="24"/>
          <w:szCs w:val="24"/>
        </w:rPr>
        <w:t>Triliun</w:t>
      </w:r>
      <w:r w:rsidR="00A954D0">
        <w:rPr>
          <w:rFonts w:ascii="Bookman Old Style" w:hAnsi="Bookman Old Style" w:cs="Arial"/>
          <w:sz w:val="24"/>
          <w:szCs w:val="24"/>
        </w:rPr>
        <w:t xml:space="preserve"> </w:t>
      </w:r>
      <w:r w:rsidRPr="00656005">
        <w:rPr>
          <w:rFonts w:ascii="Bookman Old Style" w:hAnsi="Bookman Old Style" w:cs="Arial"/>
          <w:sz w:val="24"/>
          <w:szCs w:val="24"/>
        </w:rPr>
        <w:t>Tujuh</w:t>
      </w:r>
      <w:r w:rsidR="00A954D0">
        <w:rPr>
          <w:rFonts w:ascii="Bookman Old Style" w:hAnsi="Bookman Old Style" w:cs="Arial"/>
          <w:sz w:val="24"/>
          <w:szCs w:val="24"/>
        </w:rPr>
        <w:t xml:space="preserve"> </w:t>
      </w:r>
      <w:r w:rsidRPr="00656005">
        <w:rPr>
          <w:rFonts w:ascii="Bookman Old Style" w:hAnsi="Bookman Old Style" w:cs="Arial"/>
          <w:sz w:val="24"/>
          <w:szCs w:val="24"/>
        </w:rPr>
        <w:t>Ratus</w:t>
      </w:r>
      <w:r w:rsidR="00A954D0">
        <w:rPr>
          <w:rFonts w:ascii="Bookman Old Style" w:hAnsi="Bookman Old Style" w:cs="Arial"/>
          <w:sz w:val="24"/>
          <w:szCs w:val="24"/>
        </w:rPr>
        <w:t xml:space="preserve"> </w:t>
      </w:r>
      <w:r w:rsidRPr="00656005">
        <w:rPr>
          <w:rFonts w:ascii="Bookman Old Style" w:hAnsi="Bookman Old Style" w:cs="Arial"/>
          <w:sz w:val="24"/>
          <w:szCs w:val="24"/>
        </w:rPr>
        <w:t>Enam</w:t>
      </w:r>
      <w:r w:rsidR="00A954D0">
        <w:rPr>
          <w:rFonts w:ascii="Bookman Old Style" w:hAnsi="Bookman Old Style" w:cs="Arial"/>
          <w:sz w:val="24"/>
          <w:szCs w:val="24"/>
        </w:rPr>
        <w:t xml:space="preserve"> </w:t>
      </w:r>
      <w:r w:rsidRPr="00656005">
        <w:rPr>
          <w:rFonts w:ascii="Bookman Old Style" w:hAnsi="Bookman Old Style" w:cs="Arial"/>
          <w:sz w:val="24"/>
          <w:szCs w:val="24"/>
        </w:rPr>
        <w:t>Miliar</w:t>
      </w:r>
      <w:r w:rsidR="00A954D0">
        <w:rPr>
          <w:rFonts w:ascii="Bookman Old Style" w:hAnsi="Bookman Old Style" w:cs="Arial"/>
          <w:sz w:val="24"/>
          <w:szCs w:val="24"/>
        </w:rPr>
        <w:t xml:space="preserve"> </w:t>
      </w:r>
      <w:r w:rsidRPr="00656005">
        <w:rPr>
          <w:rFonts w:ascii="Bookman Old Style" w:hAnsi="Bookman Old Style" w:cs="Arial"/>
          <w:sz w:val="24"/>
          <w:szCs w:val="24"/>
        </w:rPr>
        <w:t>Enam</w:t>
      </w:r>
      <w:r w:rsidR="00A954D0">
        <w:rPr>
          <w:rFonts w:ascii="Bookman Old Style" w:hAnsi="Bookman Old Style" w:cs="Arial"/>
          <w:sz w:val="24"/>
          <w:szCs w:val="24"/>
        </w:rPr>
        <w:t xml:space="preserve"> </w:t>
      </w:r>
      <w:r w:rsidRPr="00656005">
        <w:rPr>
          <w:rFonts w:ascii="Bookman Old Style" w:hAnsi="Bookman Old Style" w:cs="Arial"/>
          <w:sz w:val="24"/>
          <w:szCs w:val="24"/>
        </w:rPr>
        <w:t>Ratus</w:t>
      </w:r>
      <w:r w:rsidR="00A954D0">
        <w:rPr>
          <w:rFonts w:ascii="Bookman Old Style" w:hAnsi="Bookman Old Style" w:cs="Arial"/>
          <w:sz w:val="24"/>
          <w:szCs w:val="24"/>
        </w:rPr>
        <w:t xml:space="preserve"> </w:t>
      </w:r>
      <w:r w:rsidRPr="00656005">
        <w:rPr>
          <w:rFonts w:ascii="Bookman Old Style" w:hAnsi="Bookman Old Style" w:cs="Arial"/>
          <w:sz w:val="24"/>
          <w:szCs w:val="24"/>
        </w:rPr>
        <w:t>Juta</w:t>
      </w:r>
      <w:r w:rsidR="00A954D0">
        <w:rPr>
          <w:rFonts w:ascii="Bookman Old Style" w:hAnsi="Bookman Old Style" w:cs="Arial"/>
          <w:sz w:val="24"/>
          <w:szCs w:val="24"/>
        </w:rPr>
        <w:t xml:space="preserve"> </w:t>
      </w:r>
      <w:r w:rsidRPr="00656005">
        <w:rPr>
          <w:rFonts w:ascii="Bookman Old Style" w:hAnsi="Bookman Old Style" w:cs="Arial"/>
          <w:sz w:val="24"/>
          <w:szCs w:val="24"/>
        </w:rPr>
        <w:t>Lima</w:t>
      </w:r>
      <w:r w:rsidR="00A954D0">
        <w:rPr>
          <w:rFonts w:ascii="Bookman Old Style" w:hAnsi="Bookman Old Style" w:cs="Arial"/>
          <w:sz w:val="24"/>
          <w:szCs w:val="24"/>
        </w:rPr>
        <w:t xml:space="preserve"> </w:t>
      </w:r>
      <w:r w:rsidRPr="00656005">
        <w:rPr>
          <w:rFonts w:ascii="Bookman Old Style" w:hAnsi="Bookman Old Style" w:cs="Arial"/>
          <w:sz w:val="24"/>
          <w:szCs w:val="24"/>
        </w:rPr>
        <w:t>Ratus</w:t>
      </w:r>
      <w:r w:rsidR="00A954D0">
        <w:rPr>
          <w:rFonts w:ascii="Bookman Old Style" w:hAnsi="Bookman Old Style" w:cs="Arial"/>
          <w:sz w:val="24"/>
          <w:szCs w:val="24"/>
        </w:rPr>
        <w:t xml:space="preserve"> </w:t>
      </w:r>
      <w:r w:rsidRPr="00656005">
        <w:rPr>
          <w:rFonts w:ascii="Bookman Old Style" w:hAnsi="Bookman Old Style" w:cs="Arial"/>
          <w:sz w:val="24"/>
          <w:szCs w:val="24"/>
        </w:rPr>
        <w:t>Tiga</w:t>
      </w:r>
      <w:r w:rsidR="00A954D0">
        <w:rPr>
          <w:rFonts w:ascii="Bookman Old Style" w:hAnsi="Bookman Old Style" w:cs="Arial"/>
          <w:sz w:val="24"/>
          <w:szCs w:val="24"/>
        </w:rPr>
        <w:t xml:space="preserve"> </w:t>
      </w:r>
      <w:r w:rsidRPr="00656005">
        <w:rPr>
          <w:rFonts w:ascii="Bookman Old Style" w:hAnsi="Bookman Old Style" w:cs="Arial"/>
          <w:sz w:val="24"/>
          <w:szCs w:val="24"/>
        </w:rPr>
        <w:t>Puluh</w:t>
      </w:r>
      <w:r w:rsidR="00A954D0">
        <w:rPr>
          <w:rFonts w:ascii="Bookman Old Style" w:hAnsi="Bookman Old Style" w:cs="Arial"/>
          <w:sz w:val="24"/>
          <w:szCs w:val="24"/>
        </w:rPr>
        <w:t xml:space="preserve"> </w:t>
      </w:r>
      <w:r w:rsidRPr="00656005">
        <w:rPr>
          <w:rFonts w:ascii="Bookman Old Style" w:hAnsi="Bookman Old Style" w:cs="Arial"/>
          <w:sz w:val="24"/>
          <w:szCs w:val="24"/>
        </w:rPr>
        <w:t>Delapan</w:t>
      </w:r>
      <w:r w:rsidR="00A954D0">
        <w:rPr>
          <w:rFonts w:ascii="Bookman Old Style" w:hAnsi="Bookman Old Style" w:cs="Arial"/>
          <w:sz w:val="24"/>
          <w:szCs w:val="24"/>
        </w:rPr>
        <w:t xml:space="preserve"> </w:t>
      </w:r>
      <w:r w:rsidRPr="00656005">
        <w:rPr>
          <w:rFonts w:ascii="Bookman Old Style" w:hAnsi="Bookman Old Style" w:cs="Arial"/>
          <w:sz w:val="24"/>
          <w:szCs w:val="24"/>
        </w:rPr>
        <w:t>Ribu</w:t>
      </w:r>
      <w:r w:rsidR="00A954D0">
        <w:rPr>
          <w:rFonts w:ascii="Bookman Old Style" w:hAnsi="Bookman Old Style" w:cs="Arial"/>
          <w:sz w:val="24"/>
          <w:szCs w:val="24"/>
        </w:rPr>
        <w:t xml:space="preserve"> </w:t>
      </w:r>
      <w:r w:rsidRPr="00656005">
        <w:rPr>
          <w:rFonts w:ascii="Bookman Old Style" w:hAnsi="Bookman Old Style" w:cs="Arial"/>
          <w:sz w:val="24"/>
          <w:szCs w:val="24"/>
        </w:rPr>
        <w:t>Sembilan</w:t>
      </w:r>
      <w:r w:rsidR="00A954D0">
        <w:rPr>
          <w:rFonts w:ascii="Bookman Old Style" w:hAnsi="Bookman Old Style" w:cs="Arial"/>
          <w:sz w:val="24"/>
          <w:szCs w:val="24"/>
        </w:rPr>
        <w:t xml:space="preserve"> </w:t>
      </w:r>
      <w:r w:rsidRPr="00656005">
        <w:rPr>
          <w:rFonts w:ascii="Bookman Old Style" w:hAnsi="Bookman Old Style" w:cs="Arial"/>
          <w:sz w:val="24"/>
          <w:szCs w:val="24"/>
        </w:rPr>
        <w:t>Ratus</w:t>
      </w:r>
      <w:r w:rsidR="00A954D0">
        <w:rPr>
          <w:rFonts w:ascii="Bookman Old Style" w:hAnsi="Bookman Old Style" w:cs="Arial"/>
          <w:sz w:val="24"/>
          <w:szCs w:val="24"/>
        </w:rPr>
        <w:t xml:space="preserve"> </w:t>
      </w:r>
      <w:r w:rsidRPr="00656005">
        <w:rPr>
          <w:rFonts w:ascii="Bookman Old Style" w:hAnsi="Bookman Old Style" w:cs="Arial"/>
          <w:sz w:val="24"/>
          <w:szCs w:val="24"/>
        </w:rPr>
        <w:t>Lima</w:t>
      </w:r>
      <w:r w:rsidR="00A954D0">
        <w:rPr>
          <w:rFonts w:ascii="Bookman Old Style" w:hAnsi="Bookman Old Style" w:cs="Arial"/>
          <w:sz w:val="24"/>
          <w:szCs w:val="24"/>
        </w:rPr>
        <w:t xml:space="preserve"> </w:t>
      </w:r>
      <w:r w:rsidRPr="00656005">
        <w:rPr>
          <w:rFonts w:ascii="Bookman Old Style" w:hAnsi="Bookman Old Style" w:cs="Arial"/>
          <w:sz w:val="24"/>
          <w:szCs w:val="24"/>
        </w:rPr>
        <w:t>Puluh</w:t>
      </w:r>
      <w:r w:rsidR="00A954D0">
        <w:rPr>
          <w:rFonts w:ascii="Bookman Old Style" w:hAnsi="Bookman Old Style" w:cs="Arial"/>
          <w:sz w:val="24"/>
          <w:szCs w:val="24"/>
        </w:rPr>
        <w:t xml:space="preserve"> </w:t>
      </w:r>
      <w:r w:rsidRPr="00656005">
        <w:rPr>
          <w:rFonts w:ascii="Bookman Old Style" w:hAnsi="Bookman Old Style" w:cs="Arial"/>
          <w:sz w:val="24"/>
          <w:szCs w:val="24"/>
        </w:rPr>
        <w:t>Lima</w:t>
      </w:r>
      <w:r w:rsidR="00A954D0">
        <w:rPr>
          <w:rFonts w:ascii="Bookman Old Style" w:hAnsi="Bookman Old Style" w:cs="Arial"/>
          <w:sz w:val="24"/>
          <w:szCs w:val="24"/>
        </w:rPr>
        <w:t xml:space="preserve"> </w:t>
      </w:r>
      <w:r w:rsidRPr="00656005">
        <w:rPr>
          <w:rFonts w:ascii="Bookman Old Style" w:hAnsi="Bookman Old Style" w:cs="Arial"/>
          <w:sz w:val="24"/>
          <w:szCs w:val="24"/>
        </w:rPr>
        <w:t>Rupiah)</w:t>
      </w:r>
      <w:r w:rsidR="00A954D0">
        <w:rPr>
          <w:rFonts w:ascii="Bookman Old Style" w:hAnsi="Bookman Old Style" w:cs="Arial"/>
          <w:sz w:val="24"/>
          <w:szCs w:val="24"/>
        </w:rPr>
        <w:t xml:space="preserve"> </w:t>
      </w:r>
      <w:r w:rsidRPr="00656005">
        <w:rPr>
          <w:rFonts w:ascii="Bookman Old Style" w:hAnsi="Bookman Old Style" w:cs="Arial"/>
          <w:sz w:val="24"/>
          <w:szCs w:val="24"/>
        </w:rPr>
        <w:t>dengan</w:t>
      </w:r>
      <w:r w:rsidR="00A954D0">
        <w:rPr>
          <w:rFonts w:ascii="Bookman Old Style" w:hAnsi="Bookman Old Style" w:cs="Arial"/>
          <w:sz w:val="24"/>
          <w:szCs w:val="24"/>
        </w:rPr>
        <w:t xml:space="preserve"> </w:t>
      </w:r>
      <w:r w:rsidRPr="00656005">
        <w:rPr>
          <w:rFonts w:ascii="Bookman Old Style" w:hAnsi="Bookman Old Style" w:cs="Arial"/>
          <w:sz w:val="24"/>
          <w:szCs w:val="24"/>
        </w:rPr>
        <w:t>rincian</w:t>
      </w:r>
      <w:r w:rsidR="00A954D0">
        <w:rPr>
          <w:rFonts w:ascii="Bookman Old Style" w:hAnsi="Bookman Old Style" w:cs="Arial"/>
          <w:sz w:val="24"/>
          <w:szCs w:val="24"/>
        </w:rPr>
        <w:t xml:space="preserve"> </w:t>
      </w:r>
      <w:r w:rsidRPr="00656005">
        <w:rPr>
          <w:rFonts w:ascii="Bookman Old Style" w:hAnsi="Bookman Old Style" w:cs="Arial"/>
          <w:sz w:val="24"/>
          <w:szCs w:val="24"/>
        </w:rPr>
        <w:t>sebagai</w:t>
      </w:r>
      <w:r w:rsidR="00A954D0">
        <w:rPr>
          <w:rFonts w:ascii="Bookman Old Style" w:hAnsi="Bookman Old Style" w:cs="Arial"/>
          <w:sz w:val="24"/>
          <w:szCs w:val="24"/>
        </w:rPr>
        <w:t xml:space="preserve"> </w:t>
      </w:r>
      <w:r w:rsidRPr="00656005">
        <w:rPr>
          <w:rFonts w:ascii="Bookman Old Style" w:hAnsi="Bookman Old Style" w:cs="Arial"/>
          <w:sz w:val="24"/>
          <w:szCs w:val="24"/>
        </w:rPr>
        <w:t>berikut:</w:t>
      </w:r>
      <w:r>
        <w:rPr>
          <w:rFonts w:ascii="Bookman Old Style" w:hAnsi="Bookman Old Style" w:cs="Arial"/>
          <w:sz w:val="24"/>
          <w:szCs w:val="24"/>
        </w:rPr>
        <w:t>…..</w:t>
      </w:r>
    </w:p>
    <w:p w14:paraId="5963B577" w14:textId="0B9FDE04" w:rsidR="006E2F8F" w:rsidRPr="003F4B17" w:rsidRDefault="006E2F8F" w:rsidP="004A784D">
      <w:pPr>
        <w:pStyle w:val="ListParagraph"/>
        <w:numPr>
          <w:ilvl w:val="0"/>
          <w:numId w:val="177"/>
        </w:numPr>
        <w:snapToGrid w:val="0"/>
        <w:spacing w:before="60" w:after="0" w:line="276" w:lineRule="auto"/>
        <w:ind w:left="2268" w:hanging="566"/>
        <w:contextualSpacing w:val="0"/>
        <w:jc w:val="both"/>
        <w:rPr>
          <w:rFonts w:ascii="Bookman Old Style" w:hAnsi="Bookman Old Style" w:cs="Arial"/>
          <w:sz w:val="24"/>
          <w:szCs w:val="24"/>
        </w:rPr>
      </w:pPr>
      <w:r>
        <w:rPr>
          <w:rFonts w:ascii="Bookman Old Style" w:hAnsi="Bookman Old Style" w:cs="Arial"/>
          <w:sz w:val="24"/>
          <w:szCs w:val="24"/>
        </w:rPr>
        <w:t>Pasal</w:t>
      </w:r>
      <w:r w:rsidR="00A954D0">
        <w:rPr>
          <w:rFonts w:ascii="Bookman Old Style" w:hAnsi="Bookman Old Style" w:cs="Arial"/>
          <w:sz w:val="24"/>
          <w:szCs w:val="24"/>
        </w:rPr>
        <w:t xml:space="preserve"> </w:t>
      </w:r>
      <w:r>
        <w:rPr>
          <w:rFonts w:ascii="Bookman Old Style" w:hAnsi="Bookman Old Style" w:cs="Arial"/>
          <w:sz w:val="24"/>
          <w:szCs w:val="24"/>
        </w:rPr>
        <w:t>3</w:t>
      </w:r>
      <w:r w:rsidR="00A954D0">
        <w:rPr>
          <w:rFonts w:ascii="Bookman Old Style" w:hAnsi="Bookman Old Style" w:cs="Arial"/>
          <w:sz w:val="24"/>
          <w:szCs w:val="24"/>
        </w:rPr>
        <w:t xml:space="preserve"> </w:t>
      </w:r>
      <w:r>
        <w:rPr>
          <w:rFonts w:ascii="Bookman Old Style" w:hAnsi="Bookman Old Style" w:cs="Arial"/>
          <w:sz w:val="24"/>
          <w:szCs w:val="24"/>
        </w:rPr>
        <w:t>agar</w:t>
      </w:r>
      <w:r w:rsidR="00A954D0">
        <w:rPr>
          <w:rFonts w:ascii="Bookman Old Style" w:hAnsi="Bookman Old Style" w:cs="Arial"/>
          <w:sz w:val="24"/>
          <w:szCs w:val="24"/>
        </w:rPr>
        <w:t xml:space="preserve"> </w:t>
      </w:r>
      <w:r>
        <w:rPr>
          <w:rFonts w:ascii="Bookman Old Style" w:hAnsi="Bookman Old Style" w:cs="Arial"/>
          <w:sz w:val="24"/>
          <w:szCs w:val="24"/>
        </w:rPr>
        <w:t>diperbaiki</w:t>
      </w:r>
      <w:r w:rsidR="00A954D0">
        <w:rPr>
          <w:rFonts w:ascii="Bookman Old Style" w:hAnsi="Bookman Old Style" w:cs="Arial"/>
          <w:sz w:val="24"/>
          <w:szCs w:val="24"/>
        </w:rPr>
        <w:t xml:space="preserve"> </w:t>
      </w:r>
      <w:r>
        <w:rPr>
          <w:rFonts w:ascii="Bookman Old Style" w:hAnsi="Bookman Old Style" w:cs="Arial"/>
          <w:sz w:val="24"/>
          <w:szCs w:val="24"/>
        </w:rPr>
        <w:t>r</w:t>
      </w:r>
      <w:r w:rsidRPr="003F4B17">
        <w:rPr>
          <w:rFonts w:ascii="Bookman Old Style" w:hAnsi="Bookman Old Style" w:cs="Arial"/>
          <w:sz w:val="24"/>
          <w:szCs w:val="24"/>
        </w:rPr>
        <w:t>edaksionalnya</w:t>
      </w:r>
      <w:r w:rsidR="00A954D0">
        <w:rPr>
          <w:rFonts w:ascii="Bookman Old Style" w:hAnsi="Bookman Old Style" w:cs="Arial"/>
          <w:sz w:val="24"/>
          <w:szCs w:val="24"/>
        </w:rPr>
        <w:t xml:space="preserve"> </w:t>
      </w:r>
      <w:r w:rsidRPr="003F4B17">
        <w:rPr>
          <w:rFonts w:ascii="Bookman Old Style" w:hAnsi="Bookman Old Style" w:cs="Arial"/>
          <w:sz w:val="24"/>
          <w:szCs w:val="24"/>
        </w:rPr>
        <w:t>menjadi:</w:t>
      </w:r>
    </w:p>
    <w:p w14:paraId="6135692D" w14:textId="1830FBD4" w:rsidR="006E2F8F" w:rsidRDefault="006E2F8F" w:rsidP="004A784D">
      <w:pPr>
        <w:pStyle w:val="ListParagraph"/>
        <w:snapToGrid w:val="0"/>
        <w:spacing w:before="60" w:after="0" w:line="276" w:lineRule="auto"/>
        <w:ind w:left="2268"/>
        <w:contextualSpacing w:val="0"/>
        <w:jc w:val="both"/>
        <w:rPr>
          <w:rFonts w:ascii="Bookman Old Style" w:hAnsi="Bookman Old Style"/>
          <w:sz w:val="24"/>
          <w:szCs w:val="24"/>
        </w:rPr>
      </w:pPr>
      <w:r w:rsidRPr="003F4B17">
        <w:rPr>
          <w:rFonts w:ascii="Bookman Old Style" w:hAnsi="Bookman Old Style"/>
          <w:sz w:val="24"/>
          <w:szCs w:val="24"/>
        </w:rPr>
        <w:t>Pendapatan</w:t>
      </w:r>
      <w:r w:rsidR="00A954D0">
        <w:rPr>
          <w:rFonts w:ascii="Bookman Old Style" w:hAnsi="Bookman Old Style"/>
          <w:sz w:val="24"/>
          <w:szCs w:val="24"/>
        </w:rPr>
        <w:t xml:space="preserve"> </w:t>
      </w:r>
      <w:r w:rsidRPr="003F4B17">
        <w:rPr>
          <w:rFonts w:ascii="Bookman Old Style" w:hAnsi="Bookman Old Style"/>
          <w:sz w:val="24"/>
          <w:szCs w:val="24"/>
        </w:rPr>
        <w:t>daerah</w:t>
      </w:r>
      <w:r w:rsidR="00A954D0">
        <w:rPr>
          <w:rFonts w:ascii="Bookman Old Style" w:hAnsi="Bookman Old Style"/>
          <w:sz w:val="24"/>
          <w:szCs w:val="24"/>
        </w:rPr>
        <w:t xml:space="preserve"> </w:t>
      </w:r>
      <w:r w:rsidRPr="003F4B17">
        <w:rPr>
          <w:rFonts w:ascii="Bookman Old Style" w:hAnsi="Bookman Old Style"/>
          <w:sz w:val="24"/>
          <w:szCs w:val="24"/>
        </w:rPr>
        <w:t>sebagaimana</w:t>
      </w:r>
      <w:r w:rsidR="00A954D0">
        <w:rPr>
          <w:rFonts w:ascii="Bookman Old Style" w:hAnsi="Bookman Old Style"/>
          <w:sz w:val="24"/>
          <w:szCs w:val="24"/>
        </w:rPr>
        <w:t xml:space="preserve"> </w:t>
      </w:r>
      <w:r w:rsidRPr="003F4B17">
        <w:rPr>
          <w:rFonts w:ascii="Bookman Old Style" w:hAnsi="Bookman Old Style"/>
          <w:sz w:val="24"/>
          <w:szCs w:val="24"/>
        </w:rPr>
        <w:t>dimaksud</w:t>
      </w:r>
      <w:r w:rsidR="00A954D0">
        <w:rPr>
          <w:rFonts w:ascii="Bookman Old Style" w:hAnsi="Bookman Old Style"/>
          <w:sz w:val="24"/>
          <w:szCs w:val="24"/>
        </w:rPr>
        <w:t xml:space="preserve"> </w:t>
      </w:r>
      <w:r w:rsidRPr="003F4B17">
        <w:rPr>
          <w:rFonts w:ascii="Bookman Old Style" w:hAnsi="Bookman Old Style"/>
          <w:sz w:val="24"/>
          <w:szCs w:val="24"/>
        </w:rPr>
        <w:t>dalam</w:t>
      </w:r>
      <w:r w:rsidR="00A954D0">
        <w:rPr>
          <w:rFonts w:ascii="Bookman Old Style" w:hAnsi="Bookman Old Style"/>
          <w:sz w:val="24"/>
          <w:szCs w:val="24"/>
        </w:rPr>
        <w:t xml:space="preserve"> </w:t>
      </w:r>
      <w:r w:rsidRPr="003F4B17">
        <w:rPr>
          <w:rFonts w:ascii="Bookman Old Style" w:hAnsi="Bookman Old Style"/>
          <w:sz w:val="24"/>
          <w:szCs w:val="24"/>
        </w:rPr>
        <w:t>Pasal</w:t>
      </w:r>
      <w:r w:rsidR="00A954D0">
        <w:rPr>
          <w:rFonts w:ascii="Bookman Old Style" w:hAnsi="Bookman Old Style"/>
          <w:sz w:val="24"/>
          <w:szCs w:val="24"/>
        </w:rPr>
        <w:t xml:space="preserve"> </w:t>
      </w:r>
      <w:r w:rsidRPr="003F4B17">
        <w:rPr>
          <w:rFonts w:ascii="Bookman Old Style" w:hAnsi="Bookman Old Style"/>
          <w:sz w:val="24"/>
          <w:szCs w:val="24"/>
        </w:rPr>
        <w:t>2</w:t>
      </w:r>
      <w:r w:rsidR="00A954D0">
        <w:rPr>
          <w:rFonts w:ascii="Bookman Old Style" w:hAnsi="Bookman Old Style"/>
          <w:sz w:val="24"/>
          <w:szCs w:val="24"/>
        </w:rPr>
        <w:t xml:space="preserve"> </w:t>
      </w:r>
      <w:r>
        <w:rPr>
          <w:rFonts w:ascii="Bookman Old Style" w:hAnsi="Bookman Old Style"/>
          <w:b/>
          <w:bCs/>
          <w:sz w:val="24"/>
          <w:szCs w:val="24"/>
        </w:rPr>
        <w:t>ayat</w:t>
      </w:r>
      <w:r w:rsidR="00A954D0">
        <w:rPr>
          <w:rFonts w:ascii="Bookman Old Style" w:hAnsi="Bookman Old Style"/>
          <w:b/>
          <w:bCs/>
          <w:sz w:val="24"/>
          <w:szCs w:val="24"/>
        </w:rPr>
        <w:t xml:space="preserve"> </w:t>
      </w:r>
      <w:r>
        <w:rPr>
          <w:rFonts w:ascii="Bookman Old Style" w:hAnsi="Bookman Old Style"/>
          <w:b/>
          <w:bCs/>
          <w:sz w:val="24"/>
          <w:szCs w:val="24"/>
        </w:rPr>
        <w:t>(2)</w:t>
      </w:r>
      <w:r w:rsidR="00A954D0">
        <w:rPr>
          <w:rFonts w:ascii="Bookman Old Style" w:hAnsi="Bookman Old Style"/>
          <w:b/>
          <w:bCs/>
          <w:sz w:val="24"/>
          <w:szCs w:val="24"/>
        </w:rPr>
        <w:t xml:space="preserve"> </w:t>
      </w:r>
      <w:r w:rsidRPr="003F4B17">
        <w:rPr>
          <w:rFonts w:ascii="Bookman Old Style" w:hAnsi="Bookman Old Style"/>
          <w:sz w:val="24"/>
          <w:szCs w:val="24"/>
        </w:rPr>
        <w:t>huruf</w:t>
      </w:r>
      <w:r w:rsidR="00A954D0">
        <w:rPr>
          <w:rFonts w:ascii="Bookman Old Style" w:hAnsi="Bookman Old Style"/>
          <w:sz w:val="24"/>
          <w:szCs w:val="24"/>
        </w:rPr>
        <w:t xml:space="preserve"> </w:t>
      </w:r>
      <w:r w:rsidRPr="003F4B17">
        <w:rPr>
          <w:rFonts w:ascii="Bookman Old Style" w:hAnsi="Bookman Old Style"/>
          <w:sz w:val="24"/>
          <w:szCs w:val="24"/>
        </w:rPr>
        <w:t>a</w:t>
      </w:r>
      <w:r w:rsidR="00A954D0">
        <w:rPr>
          <w:rFonts w:ascii="Bookman Old Style" w:hAnsi="Bookman Old Style"/>
          <w:sz w:val="24"/>
          <w:szCs w:val="24"/>
        </w:rPr>
        <w:t xml:space="preserve"> </w:t>
      </w:r>
      <w:r w:rsidRPr="003F4B17">
        <w:rPr>
          <w:rFonts w:ascii="Bookman Old Style" w:hAnsi="Bookman Old Style"/>
          <w:sz w:val="24"/>
          <w:szCs w:val="24"/>
        </w:rPr>
        <w:t>direncanakan</w:t>
      </w:r>
      <w:r w:rsidR="00A954D0">
        <w:rPr>
          <w:rFonts w:ascii="Bookman Old Style" w:hAnsi="Bookman Old Style"/>
          <w:sz w:val="24"/>
          <w:szCs w:val="24"/>
        </w:rPr>
        <w:t xml:space="preserve"> </w:t>
      </w:r>
      <w:r w:rsidRPr="003F4B17">
        <w:rPr>
          <w:rFonts w:ascii="Bookman Old Style" w:hAnsi="Bookman Old Style"/>
          <w:sz w:val="24"/>
          <w:szCs w:val="24"/>
        </w:rPr>
        <w:t>sebesar</w:t>
      </w:r>
      <w:r w:rsidR="00A954D0">
        <w:rPr>
          <w:rFonts w:ascii="Bookman Old Style" w:hAnsi="Bookman Old Style"/>
          <w:sz w:val="24"/>
          <w:szCs w:val="24"/>
        </w:rPr>
        <w:t xml:space="preserve"> </w:t>
      </w:r>
      <w:r w:rsidRPr="003F4B17">
        <w:rPr>
          <w:rFonts w:ascii="Bookman Old Style" w:hAnsi="Bookman Old Style"/>
          <w:sz w:val="24"/>
          <w:szCs w:val="24"/>
        </w:rPr>
        <w:t>Rp5.305.810.729.910,00</w:t>
      </w:r>
      <w:r w:rsidR="00A954D0">
        <w:rPr>
          <w:rFonts w:ascii="Bookman Old Style" w:hAnsi="Bookman Old Style"/>
          <w:sz w:val="24"/>
          <w:szCs w:val="24"/>
        </w:rPr>
        <w:t xml:space="preserve"> </w:t>
      </w:r>
      <w:r w:rsidRPr="003F4B17">
        <w:rPr>
          <w:rFonts w:ascii="Bookman Old Style" w:hAnsi="Bookman Old Style"/>
          <w:sz w:val="24"/>
          <w:szCs w:val="24"/>
        </w:rPr>
        <w:t>(Lima</w:t>
      </w:r>
      <w:r w:rsidR="00A954D0">
        <w:rPr>
          <w:rFonts w:ascii="Bookman Old Style" w:hAnsi="Bookman Old Style"/>
          <w:sz w:val="24"/>
          <w:szCs w:val="24"/>
        </w:rPr>
        <w:t xml:space="preserve"> </w:t>
      </w:r>
      <w:r w:rsidRPr="003F4B17">
        <w:rPr>
          <w:rFonts w:ascii="Bookman Old Style" w:hAnsi="Bookman Old Style"/>
          <w:sz w:val="24"/>
          <w:szCs w:val="24"/>
        </w:rPr>
        <w:t>Triliun</w:t>
      </w:r>
      <w:r w:rsidR="00A954D0">
        <w:rPr>
          <w:rFonts w:ascii="Bookman Old Style" w:hAnsi="Bookman Old Style"/>
          <w:sz w:val="24"/>
          <w:szCs w:val="24"/>
        </w:rPr>
        <w:t xml:space="preserve"> </w:t>
      </w:r>
      <w:r w:rsidRPr="003F4B17">
        <w:rPr>
          <w:rFonts w:ascii="Bookman Old Style" w:hAnsi="Bookman Old Style"/>
          <w:sz w:val="24"/>
          <w:szCs w:val="24"/>
        </w:rPr>
        <w:t>Tiga</w:t>
      </w:r>
      <w:r w:rsidR="00A954D0">
        <w:rPr>
          <w:rFonts w:ascii="Bookman Old Style" w:hAnsi="Bookman Old Style"/>
          <w:sz w:val="24"/>
          <w:szCs w:val="24"/>
        </w:rPr>
        <w:t xml:space="preserve"> </w:t>
      </w:r>
      <w:r w:rsidRPr="003F4B17">
        <w:rPr>
          <w:rFonts w:ascii="Bookman Old Style" w:hAnsi="Bookman Old Style"/>
          <w:sz w:val="24"/>
          <w:szCs w:val="24"/>
        </w:rPr>
        <w:t>Ratus</w:t>
      </w:r>
      <w:r w:rsidR="00A954D0">
        <w:rPr>
          <w:rFonts w:ascii="Bookman Old Style" w:hAnsi="Bookman Old Style"/>
          <w:sz w:val="24"/>
          <w:szCs w:val="24"/>
        </w:rPr>
        <w:t xml:space="preserve"> </w:t>
      </w:r>
      <w:r w:rsidRPr="003F4B17">
        <w:rPr>
          <w:rFonts w:ascii="Bookman Old Style" w:hAnsi="Bookman Old Style"/>
          <w:sz w:val="24"/>
          <w:szCs w:val="24"/>
        </w:rPr>
        <w:t>Lima</w:t>
      </w:r>
      <w:r w:rsidR="00A954D0">
        <w:rPr>
          <w:rFonts w:ascii="Bookman Old Style" w:hAnsi="Bookman Old Style"/>
          <w:sz w:val="24"/>
          <w:szCs w:val="24"/>
        </w:rPr>
        <w:t xml:space="preserve"> </w:t>
      </w:r>
      <w:r w:rsidRPr="003F4B17">
        <w:rPr>
          <w:rFonts w:ascii="Bookman Old Style" w:hAnsi="Bookman Old Style"/>
          <w:sz w:val="24"/>
          <w:szCs w:val="24"/>
        </w:rPr>
        <w:t>Miliar</w:t>
      </w:r>
      <w:r w:rsidR="00A954D0">
        <w:rPr>
          <w:rFonts w:ascii="Bookman Old Style" w:hAnsi="Bookman Old Style"/>
          <w:sz w:val="24"/>
          <w:szCs w:val="24"/>
        </w:rPr>
        <w:t xml:space="preserve"> </w:t>
      </w:r>
      <w:r w:rsidRPr="003F4B17">
        <w:rPr>
          <w:rFonts w:ascii="Bookman Old Style" w:hAnsi="Bookman Old Style"/>
          <w:sz w:val="24"/>
          <w:szCs w:val="24"/>
        </w:rPr>
        <w:t>Delapan</w:t>
      </w:r>
      <w:r w:rsidR="00A954D0">
        <w:rPr>
          <w:rFonts w:ascii="Bookman Old Style" w:hAnsi="Bookman Old Style"/>
          <w:sz w:val="24"/>
          <w:szCs w:val="24"/>
        </w:rPr>
        <w:t xml:space="preserve"> </w:t>
      </w:r>
      <w:r w:rsidRPr="003F4B17">
        <w:rPr>
          <w:rFonts w:ascii="Bookman Old Style" w:hAnsi="Bookman Old Style"/>
          <w:sz w:val="24"/>
          <w:szCs w:val="24"/>
        </w:rPr>
        <w:t>Ratus</w:t>
      </w:r>
      <w:r w:rsidR="00A954D0">
        <w:rPr>
          <w:rFonts w:ascii="Bookman Old Style" w:hAnsi="Bookman Old Style"/>
          <w:sz w:val="24"/>
          <w:szCs w:val="24"/>
        </w:rPr>
        <w:t xml:space="preserve"> </w:t>
      </w:r>
      <w:r w:rsidRPr="003F4B17">
        <w:rPr>
          <w:rFonts w:ascii="Bookman Old Style" w:hAnsi="Bookman Old Style"/>
          <w:sz w:val="24"/>
          <w:szCs w:val="24"/>
        </w:rPr>
        <w:t>Sepuluh</w:t>
      </w:r>
      <w:r w:rsidR="00A954D0">
        <w:rPr>
          <w:rFonts w:ascii="Bookman Old Style" w:hAnsi="Bookman Old Style"/>
          <w:sz w:val="24"/>
          <w:szCs w:val="24"/>
        </w:rPr>
        <w:t xml:space="preserve"> </w:t>
      </w:r>
      <w:r w:rsidRPr="003F4B17">
        <w:rPr>
          <w:rFonts w:ascii="Bookman Old Style" w:hAnsi="Bookman Old Style"/>
          <w:sz w:val="24"/>
          <w:szCs w:val="24"/>
        </w:rPr>
        <w:t>Juta</w:t>
      </w:r>
      <w:r w:rsidR="00A954D0">
        <w:rPr>
          <w:rFonts w:ascii="Bookman Old Style" w:hAnsi="Bookman Old Style"/>
          <w:sz w:val="24"/>
          <w:szCs w:val="24"/>
        </w:rPr>
        <w:t xml:space="preserve"> </w:t>
      </w:r>
      <w:r w:rsidRPr="003F4B17">
        <w:rPr>
          <w:rFonts w:ascii="Bookman Old Style" w:hAnsi="Bookman Old Style"/>
          <w:sz w:val="24"/>
          <w:szCs w:val="24"/>
        </w:rPr>
        <w:t>Tujuh</w:t>
      </w:r>
      <w:r w:rsidR="00A954D0">
        <w:rPr>
          <w:rFonts w:ascii="Bookman Old Style" w:hAnsi="Bookman Old Style"/>
          <w:sz w:val="24"/>
          <w:szCs w:val="24"/>
        </w:rPr>
        <w:t xml:space="preserve"> </w:t>
      </w:r>
      <w:r w:rsidRPr="003F4B17">
        <w:rPr>
          <w:rFonts w:ascii="Bookman Old Style" w:hAnsi="Bookman Old Style"/>
          <w:sz w:val="24"/>
          <w:szCs w:val="24"/>
        </w:rPr>
        <w:t>Ratus</w:t>
      </w:r>
      <w:r w:rsidR="00A954D0">
        <w:rPr>
          <w:rFonts w:ascii="Bookman Old Style" w:hAnsi="Bookman Old Style"/>
          <w:sz w:val="24"/>
          <w:szCs w:val="24"/>
        </w:rPr>
        <w:t xml:space="preserve"> </w:t>
      </w:r>
      <w:r w:rsidRPr="003F4B17">
        <w:rPr>
          <w:rFonts w:ascii="Bookman Old Style" w:hAnsi="Bookman Old Style"/>
          <w:sz w:val="24"/>
          <w:szCs w:val="24"/>
        </w:rPr>
        <w:t>Dua</w:t>
      </w:r>
      <w:r w:rsidR="00A954D0">
        <w:rPr>
          <w:rFonts w:ascii="Bookman Old Style" w:hAnsi="Bookman Old Style"/>
          <w:sz w:val="24"/>
          <w:szCs w:val="24"/>
        </w:rPr>
        <w:t xml:space="preserve"> </w:t>
      </w:r>
      <w:r w:rsidRPr="003F4B17">
        <w:rPr>
          <w:rFonts w:ascii="Bookman Old Style" w:hAnsi="Bookman Old Style"/>
          <w:sz w:val="24"/>
          <w:szCs w:val="24"/>
        </w:rPr>
        <w:t>Puluh</w:t>
      </w:r>
      <w:r w:rsidR="00A954D0">
        <w:rPr>
          <w:rFonts w:ascii="Bookman Old Style" w:hAnsi="Bookman Old Style"/>
          <w:sz w:val="24"/>
          <w:szCs w:val="24"/>
        </w:rPr>
        <w:t xml:space="preserve"> </w:t>
      </w:r>
      <w:r w:rsidRPr="003F4B17">
        <w:rPr>
          <w:rFonts w:ascii="Bookman Old Style" w:hAnsi="Bookman Old Style"/>
          <w:sz w:val="24"/>
          <w:szCs w:val="24"/>
        </w:rPr>
        <w:t>Sembilan</w:t>
      </w:r>
      <w:r w:rsidR="00A954D0">
        <w:rPr>
          <w:rFonts w:ascii="Bookman Old Style" w:hAnsi="Bookman Old Style"/>
          <w:sz w:val="24"/>
          <w:szCs w:val="24"/>
        </w:rPr>
        <w:t xml:space="preserve"> </w:t>
      </w:r>
      <w:r w:rsidRPr="003F4B17">
        <w:rPr>
          <w:rFonts w:ascii="Bookman Old Style" w:hAnsi="Bookman Old Style"/>
          <w:sz w:val="24"/>
          <w:szCs w:val="24"/>
        </w:rPr>
        <w:t>Ribu</w:t>
      </w:r>
      <w:r w:rsidR="00A954D0">
        <w:rPr>
          <w:rFonts w:ascii="Bookman Old Style" w:hAnsi="Bookman Old Style"/>
          <w:sz w:val="24"/>
          <w:szCs w:val="24"/>
        </w:rPr>
        <w:t xml:space="preserve"> </w:t>
      </w:r>
      <w:r w:rsidRPr="003F4B17">
        <w:rPr>
          <w:rFonts w:ascii="Bookman Old Style" w:hAnsi="Bookman Old Style"/>
          <w:sz w:val="24"/>
          <w:szCs w:val="24"/>
        </w:rPr>
        <w:t>Sembilan</w:t>
      </w:r>
      <w:r w:rsidR="00A954D0">
        <w:rPr>
          <w:rFonts w:ascii="Bookman Old Style" w:hAnsi="Bookman Old Style"/>
          <w:sz w:val="24"/>
          <w:szCs w:val="24"/>
        </w:rPr>
        <w:t xml:space="preserve"> </w:t>
      </w:r>
      <w:r w:rsidRPr="003F4B17">
        <w:rPr>
          <w:rFonts w:ascii="Bookman Old Style" w:hAnsi="Bookman Old Style"/>
          <w:sz w:val="24"/>
          <w:szCs w:val="24"/>
        </w:rPr>
        <w:t>Ratus</w:t>
      </w:r>
      <w:r w:rsidR="00A954D0">
        <w:rPr>
          <w:rFonts w:ascii="Bookman Old Style" w:hAnsi="Bookman Old Style"/>
          <w:sz w:val="24"/>
          <w:szCs w:val="24"/>
        </w:rPr>
        <w:t xml:space="preserve"> </w:t>
      </w:r>
      <w:r w:rsidRPr="003F4B17">
        <w:rPr>
          <w:rFonts w:ascii="Bookman Old Style" w:hAnsi="Bookman Old Style"/>
          <w:sz w:val="24"/>
          <w:szCs w:val="24"/>
        </w:rPr>
        <w:t>Sepuluh</w:t>
      </w:r>
      <w:r w:rsidR="00A954D0">
        <w:rPr>
          <w:rFonts w:ascii="Bookman Old Style" w:hAnsi="Bookman Old Style"/>
          <w:sz w:val="24"/>
          <w:szCs w:val="24"/>
        </w:rPr>
        <w:t xml:space="preserve"> </w:t>
      </w:r>
      <w:r w:rsidRPr="003F4B17">
        <w:rPr>
          <w:rFonts w:ascii="Bookman Old Style" w:hAnsi="Bookman Old Style"/>
          <w:sz w:val="24"/>
          <w:szCs w:val="24"/>
        </w:rPr>
        <w:t>Rupiah),</w:t>
      </w:r>
      <w:r w:rsidR="00A954D0">
        <w:rPr>
          <w:rFonts w:ascii="Bookman Old Style" w:hAnsi="Bookman Old Style"/>
          <w:sz w:val="24"/>
          <w:szCs w:val="24"/>
        </w:rPr>
        <w:t xml:space="preserve"> </w:t>
      </w:r>
      <w:r w:rsidRPr="003F4B17">
        <w:rPr>
          <w:rFonts w:ascii="Bookman Old Style" w:hAnsi="Bookman Old Style"/>
          <w:sz w:val="24"/>
          <w:szCs w:val="24"/>
        </w:rPr>
        <w:t>yang</w:t>
      </w:r>
      <w:r w:rsidR="00A954D0">
        <w:rPr>
          <w:rFonts w:ascii="Bookman Old Style" w:hAnsi="Bookman Old Style"/>
          <w:sz w:val="24"/>
          <w:szCs w:val="24"/>
        </w:rPr>
        <w:t xml:space="preserve"> </w:t>
      </w:r>
      <w:r w:rsidRPr="003F4B17">
        <w:rPr>
          <w:rFonts w:ascii="Bookman Old Style" w:hAnsi="Bookman Old Style"/>
          <w:sz w:val="24"/>
          <w:szCs w:val="24"/>
        </w:rPr>
        <w:t>bersumber</w:t>
      </w:r>
      <w:r w:rsidR="00A954D0">
        <w:rPr>
          <w:rFonts w:ascii="Bookman Old Style" w:hAnsi="Bookman Old Style"/>
          <w:sz w:val="24"/>
          <w:szCs w:val="24"/>
        </w:rPr>
        <w:t xml:space="preserve"> </w:t>
      </w:r>
      <w:r w:rsidRPr="003F4B17">
        <w:rPr>
          <w:rFonts w:ascii="Bookman Old Style" w:hAnsi="Bookman Old Style"/>
          <w:sz w:val="24"/>
          <w:szCs w:val="24"/>
        </w:rPr>
        <w:t>dari:</w:t>
      </w:r>
    </w:p>
    <w:p w14:paraId="5910C01C" w14:textId="0F37A635" w:rsidR="006E2F8F" w:rsidRPr="003F4B17" w:rsidRDefault="006E2F8F" w:rsidP="004A784D">
      <w:pPr>
        <w:pStyle w:val="ListParagraph"/>
        <w:numPr>
          <w:ilvl w:val="0"/>
          <w:numId w:val="212"/>
        </w:numPr>
        <w:snapToGrid w:val="0"/>
        <w:spacing w:before="60" w:after="0" w:line="276" w:lineRule="auto"/>
        <w:ind w:left="2694" w:hanging="426"/>
        <w:contextualSpacing w:val="0"/>
        <w:jc w:val="both"/>
        <w:rPr>
          <w:rFonts w:ascii="Bookman Old Style" w:hAnsi="Bookman Old Style" w:cs="Arial"/>
          <w:sz w:val="24"/>
          <w:szCs w:val="24"/>
        </w:rPr>
      </w:pPr>
      <w:r w:rsidRPr="003F4B17">
        <w:rPr>
          <w:rFonts w:ascii="Bookman Old Style" w:hAnsi="Bookman Old Style"/>
          <w:sz w:val="24"/>
          <w:szCs w:val="24"/>
        </w:rPr>
        <w:t>Pendapatan</w:t>
      </w:r>
      <w:r w:rsidR="00A954D0">
        <w:rPr>
          <w:rFonts w:ascii="Bookman Old Style" w:hAnsi="Bookman Old Style"/>
          <w:sz w:val="24"/>
          <w:szCs w:val="24"/>
        </w:rPr>
        <w:t xml:space="preserve"> </w:t>
      </w:r>
      <w:r w:rsidRPr="003F4B17">
        <w:rPr>
          <w:rFonts w:ascii="Bookman Old Style" w:hAnsi="Bookman Old Style"/>
          <w:sz w:val="24"/>
          <w:szCs w:val="24"/>
        </w:rPr>
        <w:t>asli</w:t>
      </w:r>
      <w:r w:rsidR="00A954D0">
        <w:rPr>
          <w:rFonts w:ascii="Bookman Old Style" w:hAnsi="Bookman Old Style"/>
          <w:sz w:val="24"/>
          <w:szCs w:val="24"/>
        </w:rPr>
        <w:t xml:space="preserve"> </w:t>
      </w:r>
      <w:r w:rsidRPr="003F4B17">
        <w:rPr>
          <w:rFonts w:ascii="Bookman Old Style" w:hAnsi="Bookman Old Style"/>
          <w:sz w:val="24"/>
          <w:szCs w:val="24"/>
        </w:rPr>
        <w:t>Daerah;</w:t>
      </w:r>
      <w:r w:rsidR="00A954D0">
        <w:rPr>
          <w:rFonts w:ascii="Bookman Old Style" w:hAnsi="Bookman Old Style"/>
          <w:sz w:val="24"/>
          <w:szCs w:val="24"/>
        </w:rPr>
        <w:t xml:space="preserve"> </w:t>
      </w:r>
      <w:r>
        <w:rPr>
          <w:rFonts w:ascii="Bookman Old Style" w:hAnsi="Bookman Old Style"/>
          <w:b/>
          <w:bCs/>
          <w:sz w:val="24"/>
          <w:szCs w:val="24"/>
        </w:rPr>
        <w:t>dan</w:t>
      </w:r>
    </w:p>
    <w:p w14:paraId="72A6C710" w14:textId="63FAC4B5" w:rsidR="006E2F8F" w:rsidRPr="007131BA" w:rsidRDefault="006E2F8F" w:rsidP="004A784D">
      <w:pPr>
        <w:pStyle w:val="ListParagraph"/>
        <w:numPr>
          <w:ilvl w:val="0"/>
          <w:numId w:val="212"/>
        </w:numPr>
        <w:snapToGrid w:val="0"/>
        <w:spacing w:before="60" w:after="0" w:line="276" w:lineRule="auto"/>
        <w:ind w:left="2694" w:hanging="426"/>
        <w:contextualSpacing w:val="0"/>
        <w:jc w:val="both"/>
        <w:rPr>
          <w:rFonts w:ascii="Bookman Old Style" w:hAnsi="Bookman Old Style" w:cs="Arial"/>
          <w:sz w:val="24"/>
          <w:szCs w:val="24"/>
        </w:rPr>
      </w:pPr>
      <w:r w:rsidRPr="003F4B17">
        <w:rPr>
          <w:rFonts w:ascii="Bookman Old Style" w:hAnsi="Bookman Old Style"/>
          <w:sz w:val="24"/>
          <w:szCs w:val="24"/>
        </w:rPr>
        <w:t>Pendapatan</w:t>
      </w:r>
      <w:r w:rsidR="00A954D0">
        <w:rPr>
          <w:rFonts w:ascii="Bookman Old Style" w:hAnsi="Bookman Old Style"/>
          <w:sz w:val="24"/>
          <w:szCs w:val="24"/>
        </w:rPr>
        <w:t xml:space="preserve"> </w:t>
      </w:r>
      <w:r w:rsidRPr="003F4B17">
        <w:rPr>
          <w:rFonts w:ascii="Bookman Old Style" w:hAnsi="Bookman Old Style"/>
          <w:sz w:val="24"/>
          <w:szCs w:val="24"/>
        </w:rPr>
        <w:t>transfer.</w:t>
      </w:r>
    </w:p>
    <w:p w14:paraId="032FA94D" w14:textId="6787E3A7" w:rsidR="006E2F8F" w:rsidRPr="007131BA" w:rsidRDefault="006E2F8F" w:rsidP="004A784D">
      <w:pPr>
        <w:pStyle w:val="ListParagraph"/>
        <w:numPr>
          <w:ilvl w:val="0"/>
          <w:numId w:val="177"/>
        </w:numPr>
        <w:snapToGrid w:val="0"/>
        <w:spacing w:before="60" w:after="0" w:line="276" w:lineRule="auto"/>
        <w:ind w:left="2268" w:hanging="566"/>
        <w:contextualSpacing w:val="0"/>
        <w:jc w:val="both"/>
        <w:rPr>
          <w:rFonts w:ascii="Bookman Old Style" w:hAnsi="Bookman Old Style" w:cs="Arial"/>
          <w:sz w:val="24"/>
          <w:szCs w:val="24"/>
        </w:rPr>
      </w:pPr>
      <w:r>
        <w:rPr>
          <w:rFonts w:ascii="Bookman Old Style" w:hAnsi="Bookman Old Style" w:cs="Arial"/>
          <w:sz w:val="24"/>
          <w:szCs w:val="24"/>
        </w:rPr>
        <w:t>Pasal</w:t>
      </w:r>
      <w:r w:rsidR="00A954D0">
        <w:rPr>
          <w:rFonts w:ascii="Bookman Old Style" w:hAnsi="Bookman Old Style" w:cs="Arial"/>
          <w:sz w:val="24"/>
          <w:szCs w:val="24"/>
        </w:rPr>
        <w:t xml:space="preserve"> </w:t>
      </w:r>
      <w:r>
        <w:rPr>
          <w:rFonts w:ascii="Bookman Old Style" w:hAnsi="Bookman Old Style" w:cs="Arial"/>
          <w:sz w:val="24"/>
          <w:szCs w:val="24"/>
        </w:rPr>
        <w:t>6</w:t>
      </w:r>
      <w:r w:rsidR="00A954D0">
        <w:rPr>
          <w:rFonts w:ascii="Bookman Old Style" w:hAnsi="Bookman Old Style" w:cs="Arial"/>
          <w:sz w:val="24"/>
          <w:szCs w:val="24"/>
        </w:rPr>
        <w:t xml:space="preserve"> </w:t>
      </w:r>
      <w:r>
        <w:rPr>
          <w:rFonts w:ascii="Bookman Old Style" w:hAnsi="Bookman Old Style" w:cs="Arial"/>
          <w:sz w:val="24"/>
          <w:szCs w:val="24"/>
        </w:rPr>
        <w:t>agar</w:t>
      </w:r>
      <w:r w:rsidR="00A954D0">
        <w:rPr>
          <w:rFonts w:ascii="Bookman Old Style" w:hAnsi="Bookman Old Style" w:cs="Arial"/>
          <w:sz w:val="24"/>
          <w:szCs w:val="24"/>
        </w:rPr>
        <w:t xml:space="preserve"> </w:t>
      </w:r>
      <w:r>
        <w:rPr>
          <w:rFonts w:ascii="Bookman Old Style" w:hAnsi="Bookman Old Style" w:cs="Arial"/>
          <w:sz w:val="24"/>
          <w:szCs w:val="24"/>
        </w:rPr>
        <w:t>diper</w:t>
      </w:r>
      <w:r w:rsidRPr="007131BA">
        <w:rPr>
          <w:rFonts w:ascii="Bookman Old Style" w:hAnsi="Bookman Old Style" w:cs="Arial"/>
          <w:sz w:val="24"/>
          <w:szCs w:val="24"/>
        </w:rPr>
        <w:t>baiki</w:t>
      </w:r>
      <w:r w:rsidR="00A954D0">
        <w:rPr>
          <w:rFonts w:ascii="Bookman Old Style" w:hAnsi="Bookman Old Style" w:cs="Arial"/>
          <w:sz w:val="24"/>
          <w:szCs w:val="24"/>
        </w:rPr>
        <w:t xml:space="preserve"> </w:t>
      </w:r>
      <w:r w:rsidRPr="007131BA">
        <w:rPr>
          <w:rFonts w:ascii="Bookman Old Style" w:hAnsi="Bookman Old Style" w:cs="Arial"/>
          <w:sz w:val="24"/>
          <w:szCs w:val="24"/>
        </w:rPr>
        <w:t>redaksionalnya</w:t>
      </w:r>
      <w:r w:rsidR="00A954D0">
        <w:rPr>
          <w:rFonts w:ascii="Bookman Old Style" w:hAnsi="Bookman Old Style" w:cs="Arial"/>
          <w:sz w:val="24"/>
          <w:szCs w:val="24"/>
        </w:rPr>
        <w:t xml:space="preserve"> </w:t>
      </w:r>
      <w:r w:rsidRPr="007131BA">
        <w:rPr>
          <w:rFonts w:ascii="Bookman Old Style" w:hAnsi="Bookman Old Style" w:cs="Arial"/>
          <w:sz w:val="24"/>
          <w:szCs w:val="24"/>
        </w:rPr>
        <w:t>menjadi:</w:t>
      </w:r>
    </w:p>
    <w:p w14:paraId="567EA572" w14:textId="628F163C" w:rsidR="006E2F8F" w:rsidRDefault="006E2F8F" w:rsidP="004A784D">
      <w:pPr>
        <w:pStyle w:val="ListParagraph"/>
        <w:snapToGrid w:val="0"/>
        <w:spacing w:before="60" w:after="0" w:line="276" w:lineRule="auto"/>
        <w:ind w:left="2268"/>
        <w:contextualSpacing w:val="0"/>
        <w:jc w:val="both"/>
        <w:rPr>
          <w:rFonts w:ascii="Bookman Old Style" w:hAnsi="Bookman Old Style"/>
          <w:sz w:val="24"/>
          <w:szCs w:val="24"/>
        </w:rPr>
      </w:pPr>
      <w:r w:rsidRPr="007131BA">
        <w:rPr>
          <w:rFonts w:ascii="Bookman Old Style" w:hAnsi="Bookman Old Style"/>
          <w:sz w:val="24"/>
          <w:szCs w:val="24"/>
        </w:rPr>
        <w:t>Belanja</w:t>
      </w:r>
      <w:r w:rsidR="00A954D0">
        <w:rPr>
          <w:rFonts w:ascii="Bookman Old Style" w:hAnsi="Bookman Old Style"/>
          <w:sz w:val="24"/>
          <w:szCs w:val="24"/>
        </w:rPr>
        <w:t xml:space="preserve"> </w:t>
      </w:r>
      <w:r w:rsidRPr="007131BA">
        <w:rPr>
          <w:rFonts w:ascii="Bookman Old Style" w:hAnsi="Bookman Old Style"/>
          <w:sz w:val="24"/>
          <w:szCs w:val="24"/>
        </w:rPr>
        <w:t>Daerah</w:t>
      </w:r>
      <w:r w:rsidR="00A954D0">
        <w:rPr>
          <w:rFonts w:ascii="Bookman Old Style" w:hAnsi="Bookman Old Style"/>
          <w:sz w:val="24"/>
          <w:szCs w:val="24"/>
        </w:rPr>
        <w:t xml:space="preserve"> </w:t>
      </w:r>
      <w:r w:rsidRPr="007131BA">
        <w:rPr>
          <w:rFonts w:ascii="Bookman Old Style" w:hAnsi="Bookman Old Style"/>
          <w:sz w:val="24"/>
          <w:szCs w:val="24"/>
        </w:rPr>
        <w:t>sebagaimana</w:t>
      </w:r>
      <w:r w:rsidR="00A954D0">
        <w:rPr>
          <w:rFonts w:ascii="Bookman Old Style" w:hAnsi="Bookman Old Style"/>
          <w:sz w:val="24"/>
          <w:szCs w:val="24"/>
        </w:rPr>
        <w:t xml:space="preserve"> </w:t>
      </w:r>
      <w:r w:rsidRPr="007131BA">
        <w:rPr>
          <w:rFonts w:ascii="Bookman Old Style" w:hAnsi="Bookman Old Style"/>
          <w:sz w:val="24"/>
          <w:szCs w:val="24"/>
        </w:rPr>
        <w:t>dimaksud</w:t>
      </w:r>
      <w:r w:rsidR="00A954D0">
        <w:rPr>
          <w:rFonts w:ascii="Bookman Old Style" w:hAnsi="Bookman Old Style"/>
          <w:sz w:val="24"/>
          <w:szCs w:val="24"/>
        </w:rPr>
        <w:t xml:space="preserve"> </w:t>
      </w:r>
      <w:r w:rsidRPr="007131BA">
        <w:rPr>
          <w:rFonts w:ascii="Bookman Old Style" w:hAnsi="Bookman Old Style"/>
          <w:sz w:val="24"/>
          <w:szCs w:val="24"/>
        </w:rPr>
        <w:t>dalam</w:t>
      </w:r>
      <w:r w:rsidR="00A954D0">
        <w:rPr>
          <w:rFonts w:ascii="Bookman Old Style" w:hAnsi="Bookman Old Style"/>
          <w:sz w:val="24"/>
          <w:szCs w:val="24"/>
        </w:rPr>
        <w:t xml:space="preserve"> </w:t>
      </w:r>
      <w:r w:rsidRPr="007131BA">
        <w:rPr>
          <w:rFonts w:ascii="Bookman Old Style" w:hAnsi="Bookman Old Style"/>
          <w:sz w:val="24"/>
          <w:szCs w:val="24"/>
        </w:rPr>
        <w:t>Pasal</w:t>
      </w:r>
      <w:r w:rsidR="00A954D0">
        <w:rPr>
          <w:rFonts w:ascii="Bookman Old Style" w:hAnsi="Bookman Old Style"/>
          <w:sz w:val="24"/>
          <w:szCs w:val="24"/>
        </w:rPr>
        <w:t xml:space="preserve"> </w:t>
      </w:r>
      <w:r w:rsidRPr="007131BA">
        <w:rPr>
          <w:rFonts w:ascii="Bookman Old Style" w:hAnsi="Bookman Old Style"/>
          <w:sz w:val="24"/>
          <w:szCs w:val="24"/>
        </w:rPr>
        <w:t>2</w:t>
      </w:r>
      <w:r w:rsidR="00A954D0">
        <w:rPr>
          <w:rFonts w:ascii="Bookman Old Style" w:hAnsi="Bookman Old Style"/>
          <w:sz w:val="24"/>
          <w:szCs w:val="24"/>
        </w:rPr>
        <w:t xml:space="preserve"> </w:t>
      </w:r>
      <w:r>
        <w:rPr>
          <w:rFonts w:ascii="Bookman Old Style" w:hAnsi="Bookman Old Style"/>
          <w:b/>
          <w:bCs/>
          <w:sz w:val="24"/>
          <w:szCs w:val="24"/>
        </w:rPr>
        <w:t>ayat</w:t>
      </w:r>
      <w:r w:rsidR="00A954D0">
        <w:rPr>
          <w:rFonts w:ascii="Bookman Old Style" w:hAnsi="Bookman Old Style"/>
          <w:b/>
          <w:bCs/>
          <w:sz w:val="24"/>
          <w:szCs w:val="24"/>
        </w:rPr>
        <w:t xml:space="preserve"> </w:t>
      </w:r>
      <w:r>
        <w:rPr>
          <w:rFonts w:ascii="Bookman Old Style" w:hAnsi="Bookman Old Style"/>
          <w:b/>
          <w:bCs/>
          <w:sz w:val="24"/>
          <w:szCs w:val="24"/>
        </w:rPr>
        <w:t>(2)</w:t>
      </w:r>
      <w:r w:rsidR="00A954D0">
        <w:rPr>
          <w:rFonts w:ascii="Bookman Old Style" w:hAnsi="Bookman Old Style"/>
          <w:b/>
          <w:bCs/>
          <w:sz w:val="24"/>
          <w:szCs w:val="24"/>
        </w:rPr>
        <w:t xml:space="preserve"> </w:t>
      </w:r>
      <w:r w:rsidRPr="007131BA">
        <w:rPr>
          <w:rFonts w:ascii="Bookman Old Style" w:hAnsi="Bookman Old Style"/>
          <w:sz w:val="24"/>
          <w:szCs w:val="24"/>
        </w:rPr>
        <w:t>huruf</w:t>
      </w:r>
      <w:r w:rsidR="00A954D0">
        <w:rPr>
          <w:rFonts w:ascii="Bookman Old Style" w:hAnsi="Bookman Old Style"/>
          <w:sz w:val="24"/>
          <w:szCs w:val="24"/>
        </w:rPr>
        <w:t xml:space="preserve"> </w:t>
      </w:r>
      <w:r w:rsidRPr="007131BA">
        <w:rPr>
          <w:rFonts w:ascii="Bookman Old Style" w:hAnsi="Bookman Old Style"/>
          <w:sz w:val="24"/>
          <w:szCs w:val="24"/>
        </w:rPr>
        <w:t>b</w:t>
      </w:r>
      <w:r w:rsidR="00A954D0">
        <w:rPr>
          <w:rFonts w:ascii="Bookman Old Style" w:hAnsi="Bookman Old Style"/>
          <w:sz w:val="24"/>
          <w:szCs w:val="24"/>
        </w:rPr>
        <w:t xml:space="preserve"> </w:t>
      </w:r>
      <w:r w:rsidRPr="007131BA">
        <w:rPr>
          <w:rFonts w:ascii="Bookman Old Style" w:hAnsi="Bookman Old Style"/>
          <w:sz w:val="24"/>
          <w:szCs w:val="24"/>
        </w:rPr>
        <w:t>direncanakan</w:t>
      </w:r>
      <w:r w:rsidR="00A954D0">
        <w:rPr>
          <w:rFonts w:ascii="Bookman Old Style" w:hAnsi="Bookman Old Style"/>
          <w:sz w:val="24"/>
          <w:szCs w:val="24"/>
        </w:rPr>
        <w:t xml:space="preserve"> </w:t>
      </w:r>
      <w:r w:rsidRPr="007131BA">
        <w:rPr>
          <w:rFonts w:ascii="Bookman Old Style" w:hAnsi="Bookman Old Style"/>
          <w:sz w:val="24"/>
          <w:szCs w:val="24"/>
        </w:rPr>
        <w:t>sebesar</w:t>
      </w:r>
      <w:r w:rsidR="00A954D0">
        <w:rPr>
          <w:rFonts w:ascii="Bookman Old Style" w:hAnsi="Bookman Old Style"/>
          <w:sz w:val="24"/>
          <w:szCs w:val="24"/>
        </w:rPr>
        <w:t xml:space="preserve"> </w:t>
      </w:r>
      <w:r w:rsidRPr="007131BA">
        <w:rPr>
          <w:rFonts w:ascii="Bookman Old Style" w:hAnsi="Bookman Old Style"/>
          <w:sz w:val="24"/>
          <w:szCs w:val="24"/>
        </w:rPr>
        <w:t>Rp5.706.600.538.955,00</w:t>
      </w:r>
      <w:r w:rsidR="00A954D0">
        <w:rPr>
          <w:rFonts w:ascii="Bookman Old Style" w:hAnsi="Bookman Old Style"/>
          <w:sz w:val="24"/>
          <w:szCs w:val="24"/>
        </w:rPr>
        <w:t xml:space="preserve"> </w:t>
      </w:r>
      <w:r w:rsidRPr="007131BA">
        <w:rPr>
          <w:rFonts w:ascii="Bookman Old Style" w:hAnsi="Bookman Old Style"/>
          <w:sz w:val="24"/>
          <w:szCs w:val="24"/>
        </w:rPr>
        <w:t>(Lima</w:t>
      </w:r>
      <w:r w:rsidR="00A954D0">
        <w:rPr>
          <w:rFonts w:ascii="Bookman Old Style" w:hAnsi="Bookman Old Style"/>
          <w:sz w:val="24"/>
          <w:szCs w:val="24"/>
        </w:rPr>
        <w:t xml:space="preserve"> </w:t>
      </w:r>
      <w:r w:rsidRPr="007131BA">
        <w:rPr>
          <w:rFonts w:ascii="Bookman Old Style" w:hAnsi="Bookman Old Style"/>
          <w:sz w:val="24"/>
          <w:szCs w:val="24"/>
        </w:rPr>
        <w:t>Triliun</w:t>
      </w:r>
      <w:r w:rsidR="00A954D0">
        <w:rPr>
          <w:rFonts w:ascii="Bookman Old Style" w:hAnsi="Bookman Old Style"/>
          <w:sz w:val="24"/>
          <w:szCs w:val="24"/>
        </w:rPr>
        <w:t xml:space="preserve"> </w:t>
      </w:r>
      <w:r w:rsidRPr="007131BA">
        <w:rPr>
          <w:rFonts w:ascii="Bookman Old Style" w:hAnsi="Bookman Old Style"/>
          <w:sz w:val="24"/>
          <w:szCs w:val="24"/>
        </w:rPr>
        <w:t>Tujuh</w:t>
      </w:r>
      <w:r w:rsidR="00A954D0">
        <w:rPr>
          <w:rFonts w:ascii="Bookman Old Style" w:hAnsi="Bookman Old Style"/>
          <w:sz w:val="24"/>
          <w:szCs w:val="24"/>
        </w:rPr>
        <w:t xml:space="preserve"> </w:t>
      </w:r>
      <w:r w:rsidRPr="007131BA">
        <w:rPr>
          <w:rFonts w:ascii="Bookman Old Style" w:hAnsi="Bookman Old Style"/>
          <w:sz w:val="24"/>
          <w:szCs w:val="24"/>
        </w:rPr>
        <w:t>Ratus</w:t>
      </w:r>
      <w:r w:rsidR="00A954D0">
        <w:rPr>
          <w:rFonts w:ascii="Bookman Old Style" w:hAnsi="Bookman Old Style"/>
          <w:sz w:val="24"/>
          <w:szCs w:val="24"/>
        </w:rPr>
        <w:t xml:space="preserve"> </w:t>
      </w:r>
      <w:r w:rsidRPr="007131BA">
        <w:rPr>
          <w:rFonts w:ascii="Bookman Old Style" w:hAnsi="Bookman Old Style"/>
          <w:sz w:val="24"/>
          <w:szCs w:val="24"/>
        </w:rPr>
        <w:t>Enam</w:t>
      </w:r>
      <w:r w:rsidR="00A954D0">
        <w:rPr>
          <w:rFonts w:ascii="Bookman Old Style" w:hAnsi="Bookman Old Style"/>
          <w:sz w:val="24"/>
          <w:szCs w:val="24"/>
        </w:rPr>
        <w:t xml:space="preserve"> </w:t>
      </w:r>
      <w:r w:rsidRPr="007131BA">
        <w:rPr>
          <w:rFonts w:ascii="Bookman Old Style" w:hAnsi="Bookman Old Style"/>
          <w:sz w:val="24"/>
          <w:szCs w:val="24"/>
        </w:rPr>
        <w:t>Miliar</w:t>
      </w:r>
      <w:r w:rsidR="00A954D0">
        <w:rPr>
          <w:rFonts w:ascii="Bookman Old Style" w:hAnsi="Bookman Old Style"/>
          <w:sz w:val="24"/>
          <w:szCs w:val="24"/>
        </w:rPr>
        <w:t xml:space="preserve"> </w:t>
      </w:r>
      <w:r w:rsidRPr="007131BA">
        <w:rPr>
          <w:rFonts w:ascii="Bookman Old Style" w:hAnsi="Bookman Old Style"/>
          <w:sz w:val="24"/>
          <w:szCs w:val="24"/>
        </w:rPr>
        <w:t>Enam</w:t>
      </w:r>
      <w:r w:rsidR="00A954D0">
        <w:rPr>
          <w:rFonts w:ascii="Bookman Old Style" w:hAnsi="Bookman Old Style"/>
          <w:sz w:val="24"/>
          <w:szCs w:val="24"/>
        </w:rPr>
        <w:t xml:space="preserve"> </w:t>
      </w:r>
      <w:r w:rsidRPr="007131BA">
        <w:rPr>
          <w:rFonts w:ascii="Bookman Old Style" w:hAnsi="Bookman Old Style"/>
          <w:sz w:val="24"/>
          <w:szCs w:val="24"/>
        </w:rPr>
        <w:t>Ratus</w:t>
      </w:r>
      <w:r w:rsidR="00A954D0">
        <w:rPr>
          <w:rFonts w:ascii="Bookman Old Style" w:hAnsi="Bookman Old Style"/>
          <w:sz w:val="24"/>
          <w:szCs w:val="24"/>
        </w:rPr>
        <w:t xml:space="preserve"> </w:t>
      </w:r>
      <w:r w:rsidRPr="007131BA">
        <w:rPr>
          <w:rFonts w:ascii="Bookman Old Style" w:hAnsi="Bookman Old Style"/>
          <w:sz w:val="24"/>
          <w:szCs w:val="24"/>
        </w:rPr>
        <w:t>Juta</w:t>
      </w:r>
      <w:r w:rsidR="00A954D0">
        <w:rPr>
          <w:rFonts w:ascii="Bookman Old Style" w:hAnsi="Bookman Old Style"/>
          <w:sz w:val="24"/>
          <w:szCs w:val="24"/>
        </w:rPr>
        <w:t xml:space="preserve"> </w:t>
      </w:r>
      <w:r w:rsidRPr="007131BA">
        <w:rPr>
          <w:rFonts w:ascii="Bookman Old Style" w:hAnsi="Bookman Old Style"/>
          <w:sz w:val="24"/>
          <w:szCs w:val="24"/>
        </w:rPr>
        <w:t>Lima</w:t>
      </w:r>
      <w:r w:rsidR="00A954D0">
        <w:rPr>
          <w:rFonts w:ascii="Bookman Old Style" w:hAnsi="Bookman Old Style"/>
          <w:sz w:val="24"/>
          <w:szCs w:val="24"/>
        </w:rPr>
        <w:t xml:space="preserve"> </w:t>
      </w:r>
      <w:r w:rsidRPr="007131BA">
        <w:rPr>
          <w:rFonts w:ascii="Bookman Old Style" w:hAnsi="Bookman Old Style"/>
          <w:sz w:val="24"/>
          <w:szCs w:val="24"/>
        </w:rPr>
        <w:t>Ratus</w:t>
      </w:r>
      <w:r w:rsidR="00A954D0">
        <w:rPr>
          <w:rFonts w:ascii="Bookman Old Style" w:hAnsi="Bookman Old Style"/>
          <w:sz w:val="24"/>
          <w:szCs w:val="24"/>
        </w:rPr>
        <w:t xml:space="preserve"> </w:t>
      </w:r>
      <w:r w:rsidRPr="007131BA">
        <w:rPr>
          <w:rFonts w:ascii="Bookman Old Style" w:hAnsi="Bookman Old Style"/>
          <w:sz w:val="24"/>
          <w:szCs w:val="24"/>
        </w:rPr>
        <w:t>Tiga</w:t>
      </w:r>
      <w:r w:rsidR="00A954D0">
        <w:rPr>
          <w:rFonts w:ascii="Bookman Old Style" w:hAnsi="Bookman Old Style"/>
          <w:sz w:val="24"/>
          <w:szCs w:val="24"/>
        </w:rPr>
        <w:t xml:space="preserve"> </w:t>
      </w:r>
      <w:r w:rsidRPr="007131BA">
        <w:rPr>
          <w:rFonts w:ascii="Bookman Old Style" w:hAnsi="Bookman Old Style"/>
          <w:sz w:val="24"/>
          <w:szCs w:val="24"/>
        </w:rPr>
        <w:t>Puluh</w:t>
      </w:r>
      <w:r w:rsidR="00A954D0">
        <w:rPr>
          <w:rFonts w:ascii="Bookman Old Style" w:hAnsi="Bookman Old Style"/>
          <w:sz w:val="24"/>
          <w:szCs w:val="24"/>
        </w:rPr>
        <w:t xml:space="preserve"> </w:t>
      </w:r>
      <w:r w:rsidRPr="007131BA">
        <w:rPr>
          <w:rFonts w:ascii="Bookman Old Style" w:hAnsi="Bookman Old Style"/>
          <w:sz w:val="24"/>
          <w:szCs w:val="24"/>
        </w:rPr>
        <w:t>Delapan</w:t>
      </w:r>
      <w:r w:rsidR="00A954D0">
        <w:rPr>
          <w:rFonts w:ascii="Bookman Old Style" w:hAnsi="Bookman Old Style"/>
          <w:sz w:val="24"/>
          <w:szCs w:val="24"/>
        </w:rPr>
        <w:t xml:space="preserve"> </w:t>
      </w:r>
      <w:r w:rsidRPr="007131BA">
        <w:rPr>
          <w:rFonts w:ascii="Bookman Old Style" w:hAnsi="Bookman Old Style"/>
          <w:sz w:val="24"/>
          <w:szCs w:val="24"/>
        </w:rPr>
        <w:t>Ribu</w:t>
      </w:r>
      <w:r w:rsidR="00A954D0">
        <w:rPr>
          <w:rFonts w:ascii="Bookman Old Style" w:hAnsi="Bookman Old Style"/>
          <w:sz w:val="24"/>
          <w:szCs w:val="24"/>
        </w:rPr>
        <w:t xml:space="preserve"> </w:t>
      </w:r>
      <w:r w:rsidRPr="007131BA">
        <w:rPr>
          <w:rFonts w:ascii="Bookman Old Style" w:hAnsi="Bookman Old Style"/>
          <w:sz w:val="24"/>
          <w:szCs w:val="24"/>
        </w:rPr>
        <w:t>Sembilan</w:t>
      </w:r>
      <w:r w:rsidR="00A954D0">
        <w:rPr>
          <w:rFonts w:ascii="Bookman Old Style" w:hAnsi="Bookman Old Style"/>
          <w:sz w:val="24"/>
          <w:szCs w:val="24"/>
        </w:rPr>
        <w:t xml:space="preserve"> </w:t>
      </w:r>
      <w:r w:rsidRPr="007131BA">
        <w:rPr>
          <w:rFonts w:ascii="Bookman Old Style" w:hAnsi="Bookman Old Style"/>
          <w:sz w:val="24"/>
          <w:szCs w:val="24"/>
        </w:rPr>
        <w:t>Ratus</w:t>
      </w:r>
      <w:r w:rsidR="00A954D0">
        <w:rPr>
          <w:rFonts w:ascii="Bookman Old Style" w:hAnsi="Bookman Old Style"/>
          <w:sz w:val="24"/>
          <w:szCs w:val="24"/>
        </w:rPr>
        <w:t xml:space="preserve"> </w:t>
      </w:r>
      <w:r w:rsidRPr="007131BA">
        <w:rPr>
          <w:rFonts w:ascii="Bookman Old Style" w:hAnsi="Bookman Old Style"/>
          <w:sz w:val="24"/>
          <w:szCs w:val="24"/>
        </w:rPr>
        <w:t>Lima</w:t>
      </w:r>
      <w:r w:rsidR="00A954D0">
        <w:rPr>
          <w:rFonts w:ascii="Bookman Old Style" w:hAnsi="Bookman Old Style"/>
          <w:sz w:val="24"/>
          <w:szCs w:val="24"/>
        </w:rPr>
        <w:t xml:space="preserve"> </w:t>
      </w:r>
      <w:r w:rsidRPr="007131BA">
        <w:rPr>
          <w:rFonts w:ascii="Bookman Old Style" w:hAnsi="Bookman Old Style"/>
          <w:sz w:val="24"/>
          <w:szCs w:val="24"/>
        </w:rPr>
        <w:t>Puluh</w:t>
      </w:r>
      <w:r w:rsidR="00A954D0">
        <w:rPr>
          <w:rFonts w:ascii="Bookman Old Style" w:hAnsi="Bookman Old Style"/>
          <w:sz w:val="24"/>
          <w:szCs w:val="24"/>
        </w:rPr>
        <w:t xml:space="preserve"> </w:t>
      </w:r>
      <w:r w:rsidRPr="007131BA">
        <w:rPr>
          <w:rFonts w:ascii="Bookman Old Style" w:hAnsi="Bookman Old Style"/>
          <w:sz w:val="24"/>
          <w:szCs w:val="24"/>
        </w:rPr>
        <w:t>Lima</w:t>
      </w:r>
      <w:r w:rsidR="00A954D0">
        <w:rPr>
          <w:rFonts w:ascii="Bookman Old Style" w:hAnsi="Bookman Old Style"/>
          <w:sz w:val="24"/>
          <w:szCs w:val="24"/>
        </w:rPr>
        <w:t xml:space="preserve"> </w:t>
      </w:r>
      <w:r w:rsidRPr="007131BA">
        <w:rPr>
          <w:rFonts w:ascii="Bookman Old Style" w:hAnsi="Bookman Old Style"/>
          <w:sz w:val="24"/>
          <w:szCs w:val="24"/>
        </w:rPr>
        <w:t>Rupiah),</w:t>
      </w:r>
      <w:r w:rsidR="00A954D0">
        <w:rPr>
          <w:rFonts w:ascii="Bookman Old Style" w:hAnsi="Bookman Old Style"/>
          <w:sz w:val="24"/>
          <w:szCs w:val="24"/>
        </w:rPr>
        <w:t xml:space="preserve"> </w:t>
      </w:r>
      <w:r w:rsidRPr="007131BA">
        <w:rPr>
          <w:rFonts w:ascii="Bookman Old Style" w:hAnsi="Bookman Old Style"/>
          <w:b/>
          <w:bCs/>
          <w:sz w:val="24"/>
          <w:szCs w:val="24"/>
        </w:rPr>
        <w:t>terdiri</w:t>
      </w:r>
      <w:r w:rsidR="00A954D0">
        <w:rPr>
          <w:rFonts w:ascii="Bookman Old Style" w:hAnsi="Bookman Old Style"/>
          <w:b/>
          <w:bCs/>
          <w:sz w:val="24"/>
          <w:szCs w:val="24"/>
        </w:rPr>
        <w:t xml:space="preserve"> </w:t>
      </w:r>
      <w:r w:rsidRPr="007131BA">
        <w:rPr>
          <w:rFonts w:ascii="Bookman Old Style" w:hAnsi="Bookman Old Style"/>
          <w:b/>
          <w:bCs/>
          <w:sz w:val="24"/>
          <w:szCs w:val="24"/>
        </w:rPr>
        <w:t>atas</w:t>
      </w:r>
      <w:r w:rsidRPr="007131BA">
        <w:rPr>
          <w:rFonts w:ascii="Bookman Old Style" w:hAnsi="Bookman Old Style"/>
          <w:sz w:val="24"/>
          <w:szCs w:val="24"/>
        </w:rPr>
        <w:t>:</w:t>
      </w:r>
    </w:p>
    <w:p w14:paraId="539DE247" w14:textId="1F5562BC" w:rsidR="006E2F8F" w:rsidRPr="007131BA" w:rsidRDefault="006E2F8F" w:rsidP="004A784D">
      <w:pPr>
        <w:pStyle w:val="ListParagraph"/>
        <w:numPr>
          <w:ilvl w:val="0"/>
          <w:numId w:val="213"/>
        </w:numPr>
        <w:snapToGrid w:val="0"/>
        <w:spacing w:before="60" w:after="0" w:line="276" w:lineRule="auto"/>
        <w:ind w:left="2694" w:hanging="426"/>
        <w:contextualSpacing w:val="0"/>
        <w:jc w:val="both"/>
        <w:rPr>
          <w:rFonts w:ascii="Bookman Old Style" w:hAnsi="Bookman Old Style" w:cs="Arial"/>
          <w:sz w:val="24"/>
          <w:szCs w:val="24"/>
        </w:rPr>
      </w:pPr>
      <w:r w:rsidRPr="007131BA">
        <w:rPr>
          <w:rFonts w:ascii="Bookman Old Style" w:hAnsi="Bookman Old Style"/>
          <w:sz w:val="24"/>
          <w:szCs w:val="24"/>
        </w:rPr>
        <w:t>Belanja</w:t>
      </w:r>
      <w:r w:rsidR="00A954D0">
        <w:rPr>
          <w:rFonts w:ascii="Bookman Old Style" w:hAnsi="Bookman Old Style"/>
          <w:sz w:val="24"/>
          <w:szCs w:val="24"/>
        </w:rPr>
        <w:t xml:space="preserve"> </w:t>
      </w:r>
      <w:r w:rsidRPr="007131BA">
        <w:rPr>
          <w:rFonts w:ascii="Bookman Old Style" w:hAnsi="Bookman Old Style"/>
          <w:sz w:val="24"/>
          <w:szCs w:val="24"/>
        </w:rPr>
        <w:t>operasional;</w:t>
      </w:r>
    </w:p>
    <w:p w14:paraId="6AFEA2CB" w14:textId="05C9B0F8" w:rsidR="006E2F8F" w:rsidRPr="007131BA" w:rsidRDefault="006E2F8F" w:rsidP="004A784D">
      <w:pPr>
        <w:pStyle w:val="ListParagraph"/>
        <w:numPr>
          <w:ilvl w:val="0"/>
          <w:numId w:val="213"/>
        </w:numPr>
        <w:snapToGrid w:val="0"/>
        <w:spacing w:before="60" w:after="0" w:line="276" w:lineRule="auto"/>
        <w:ind w:left="2694" w:hanging="426"/>
        <w:contextualSpacing w:val="0"/>
        <w:jc w:val="both"/>
        <w:rPr>
          <w:rFonts w:ascii="Bookman Old Style" w:hAnsi="Bookman Old Style" w:cs="Arial"/>
          <w:sz w:val="24"/>
          <w:szCs w:val="24"/>
        </w:rPr>
      </w:pPr>
      <w:r w:rsidRPr="007131BA">
        <w:rPr>
          <w:rFonts w:ascii="Bookman Old Style" w:hAnsi="Bookman Old Style"/>
          <w:sz w:val="24"/>
          <w:szCs w:val="24"/>
        </w:rPr>
        <w:t>Belanja</w:t>
      </w:r>
      <w:r w:rsidR="00A954D0">
        <w:rPr>
          <w:rFonts w:ascii="Bookman Old Style" w:hAnsi="Bookman Old Style"/>
          <w:sz w:val="24"/>
          <w:szCs w:val="24"/>
        </w:rPr>
        <w:t xml:space="preserve"> </w:t>
      </w:r>
      <w:r w:rsidRPr="007131BA">
        <w:rPr>
          <w:rFonts w:ascii="Bookman Old Style" w:hAnsi="Bookman Old Style"/>
          <w:sz w:val="24"/>
          <w:szCs w:val="24"/>
        </w:rPr>
        <w:t>modal;</w:t>
      </w:r>
      <w:r w:rsidR="00A954D0">
        <w:rPr>
          <w:rFonts w:ascii="Bookman Old Style" w:hAnsi="Bookman Old Style"/>
          <w:sz w:val="24"/>
          <w:szCs w:val="24"/>
        </w:rPr>
        <w:t xml:space="preserve"> </w:t>
      </w:r>
      <w:r w:rsidRPr="007131BA">
        <w:rPr>
          <w:rFonts w:ascii="Bookman Old Style" w:hAnsi="Bookman Old Style"/>
          <w:sz w:val="24"/>
          <w:szCs w:val="24"/>
        </w:rPr>
        <w:t>dan</w:t>
      </w:r>
    </w:p>
    <w:p w14:paraId="45B84041" w14:textId="62C0DACE" w:rsidR="006E2F8F" w:rsidRPr="000673AF" w:rsidRDefault="006E2F8F" w:rsidP="004A784D">
      <w:pPr>
        <w:pStyle w:val="ListParagraph"/>
        <w:numPr>
          <w:ilvl w:val="0"/>
          <w:numId w:val="213"/>
        </w:numPr>
        <w:snapToGrid w:val="0"/>
        <w:spacing w:before="60" w:after="0" w:line="276" w:lineRule="auto"/>
        <w:ind w:left="2694" w:hanging="426"/>
        <w:contextualSpacing w:val="0"/>
        <w:jc w:val="both"/>
        <w:rPr>
          <w:rFonts w:ascii="Bookman Old Style" w:hAnsi="Bookman Old Style" w:cs="Arial"/>
          <w:sz w:val="24"/>
          <w:szCs w:val="24"/>
        </w:rPr>
      </w:pPr>
      <w:r w:rsidRPr="007131BA">
        <w:rPr>
          <w:rFonts w:ascii="Bookman Old Style" w:hAnsi="Bookman Old Style"/>
          <w:sz w:val="24"/>
          <w:szCs w:val="24"/>
        </w:rPr>
        <w:t>Belanja</w:t>
      </w:r>
      <w:r w:rsidR="00A954D0">
        <w:rPr>
          <w:rFonts w:ascii="Bookman Old Style" w:hAnsi="Bookman Old Style"/>
          <w:sz w:val="24"/>
          <w:szCs w:val="24"/>
        </w:rPr>
        <w:t xml:space="preserve"> </w:t>
      </w:r>
      <w:r w:rsidRPr="007131BA">
        <w:rPr>
          <w:rFonts w:ascii="Bookman Old Style" w:hAnsi="Bookman Old Style"/>
          <w:sz w:val="24"/>
          <w:szCs w:val="24"/>
        </w:rPr>
        <w:t>tidak</w:t>
      </w:r>
      <w:r w:rsidR="00A954D0">
        <w:rPr>
          <w:rFonts w:ascii="Bookman Old Style" w:hAnsi="Bookman Old Style"/>
          <w:sz w:val="24"/>
          <w:szCs w:val="24"/>
        </w:rPr>
        <w:t xml:space="preserve"> </w:t>
      </w:r>
      <w:r w:rsidRPr="007131BA">
        <w:rPr>
          <w:rFonts w:ascii="Bookman Old Style" w:hAnsi="Bookman Old Style"/>
          <w:sz w:val="24"/>
          <w:szCs w:val="24"/>
        </w:rPr>
        <w:t>terduga.</w:t>
      </w:r>
    </w:p>
    <w:p w14:paraId="4885D6DA" w14:textId="18FB34B7" w:rsidR="006E2F8F" w:rsidRPr="000673AF" w:rsidRDefault="006E2F8F" w:rsidP="004A784D">
      <w:pPr>
        <w:pStyle w:val="ListParagraph"/>
        <w:numPr>
          <w:ilvl w:val="0"/>
          <w:numId w:val="177"/>
        </w:numPr>
        <w:snapToGrid w:val="0"/>
        <w:spacing w:before="60" w:after="0" w:line="276" w:lineRule="auto"/>
        <w:ind w:left="2268" w:hanging="566"/>
        <w:contextualSpacing w:val="0"/>
        <w:jc w:val="both"/>
        <w:rPr>
          <w:rFonts w:ascii="Bookman Old Style" w:hAnsi="Bookman Old Style" w:cs="Arial"/>
          <w:sz w:val="24"/>
          <w:szCs w:val="24"/>
        </w:rPr>
      </w:pPr>
      <w:r>
        <w:rPr>
          <w:rFonts w:ascii="Bookman Old Style" w:hAnsi="Bookman Old Style" w:cs="Arial"/>
          <w:sz w:val="24"/>
          <w:szCs w:val="24"/>
        </w:rPr>
        <w:t>Pasal</w:t>
      </w:r>
      <w:r w:rsidR="00A954D0">
        <w:rPr>
          <w:rFonts w:ascii="Bookman Old Style" w:hAnsi="Bookman Old Style" w:cs="Arial"/>
          <w:sz w:val="24"/>
          <w:szCs w:val="24"/>
        </w:rPr>
        <w:t xml:space="preserve"> </w:t>
      </w:r>
      <w:r>
        <w:rPr>
          <w:rFonts w:ascii="Bookman Old Style" w:hAnsi="Bookman Old Style" w:cs="Arial"/>
          <w:sz w:val="24"/>
          <w:szCs w:val="24"/>
        </w:rPr>
        <w:t>10</w:t>
      </w:r>
      <w:r w:rsidR="00A954D0">
        <w:rPr>
          <w:rFonts w:ascii="Bookman Old Style" w:hAnsi="Bookman Old Style" w:cs="Arial"/>
          <w:sz w:val="24"/>
          <w:szCs w:val="24"/>
        </w:rPr>
        <w:t xml:space="preserve"> </w:t>
      </w:r>
      <w:r>
        <w:rPr>
          <w:rFonts w:ascii="Bookman Old Style" w:hAnsi="Bookman Old Style" w:cs="Arial"/>
          <w:sz w:val="24"/>
          <w:szCs w:val="24"/>
        </w:rPr>
        <w:t>agar</w:t>
      </w:r>
      <w:r w:rsidR="00A954D0">
        <w:rPr>
          <w:rFonts w:ascii="Bookman Old Style" w:hAnsi="Bookman Old Style" w:cs="Arial"/>
          <w:sz w:val="24"/>
          <w:szCs w:val="24"/>
        </w:rPr>
        <w:t xml:space="preserve"> </w:t>
      </w:r>
      <w:r>
        <w:rPr>
          <w:rFonts w:ascii="Bookman Old Style" w:hAnsi="Bookman Old Style" w:cs="Arial"/>
          <w:sz w:val="24"/>
          <w:szCs w:val="24"/>
        </w:rPr>
        <w:t>diperbaiki</w:t>
      </w:r>
      <w:r w:rsidR="00A954D0">
        <w:rPr>
          <w:rFonts w:ascii="Bookman Old Style" w:hAnsi="Bookman Old Style" w:cs="Arial"/>
          <w:sz w:val="24"/>
          <w:szCs w:val="24"/>
        </w:rPr>
        <w:t xml:space="preserve"> </w:t>
      </w:r>
      <w:r>
        <w:rPr>
          <w:rFonts w:ascii="Bookman Old Style" w:hAnsi="Bookman Old Style" w:cs="Arial"/>
          <w:sz w:val="24"/>
          <w:szCs w:val="24"/>
        </w:rPr>
        <w:t>redaksionalnya</w:t>
      </w:r>
      <w:r w:rsidR="00A954D0">
        <w:rPr>
          <w:rFonts w:ascii="Bookman Old Style" w:hAnsi="Bookman Old Style" w:cs="Arial"/>
          <w:sz w:val="24"/>
          <w:szCs w:val="24"/>
        </w:rPr>
        <w:t xml:space="preserve"> </w:t>
      </w:r>
      <w:r w:rsidRPr="000673AF">
        <w:rPr>
          <w:rFonts w:ascii="Bookman Old Style" w:hAnsi="Bookman Old Style" w:cs="Arial"/>
          <w:sz w:val="24"/>
          <w:szCs w:val="24"/>
        </w:rPr>
        <w:t>menjadi:</w:t>
      </w:r>
    </w:p>
    <w:p w14:paraId="51904FD9" w14:textId="6ED68DFB" w:rsidR="006E2F8F" w:rsidRPr="004A049F" w:rsidRDefault="006E2F8F" w:rsidP="004A784D">
      <w:pPr>
        <w:pStyle w:val="ListParagraph"/>
        <w:snapToGrid w:val="0"/>
        <w:spacing w:before="60" w:after="0" w:line="276" w:lineRule="auto"/>
        <w:ind w:left="2268"/>
        <w:contextualSpacing w:val="0"/>
        <w:jc w:val="both"/>
        <w:rPr>
          <w:rFonts w:ascii="Bookman Old Style" w:hAnsi="Bookman Old Style"/>
          <w:sz w:val="24"/>
          <w:szCs w:val="24"/>
        </w:rPr>
      </w:pPr>
      <w:r w:rsidRPr="000673AF">
        <w:rPr>
          <w:rFonts w:ascii="Bookman Old Style" w:hAnsi="Bookman Old Style" w:cs="Arial"/>
          <w:sz w:val="24"/>
          <w:szCs w:val="24"/>
        </w:rPr>
        <w:t>“</w:t>
      </w:r>
      <w:r w:rsidRPr="000673AF">
        <w:rPr>
          <w:rFonts w:ascii="Bookman Old Style" w:hAnsi="Bookman Old Style"/>
          <w:sz w:val="24"/>
          <w:szCs w:val="24"/>
        </w:rPr>
        <w:t>Pembiayaan</w:t>
      </w:r>
      <w:r w:rsidR="00A954D0">
        <w:rPr>
          <w:rFonts w:ascii="Bookman Old Style" w:hAnsi="Bookman Old Style"/>
          <w:sz w:val="24"/>
          <w:szCs w:val="24"/>
        </w:rPr>
        <w:t xml:space="preserve"> </w:t>
      </w:r>
      <w:r w:rsidRPr="000673AF">
        <w:rPr>
          <w:rFonts w:ascii="Bookman Old Style" w:hAnsi="Bookman Old Style"/>
          <w:sz w:val="24"/>
          <w:szCs w:val="24"/>
        </w:rPr>
        <w:t>Daerah</w:t>
      </w:r>
      <w:r w:rsidR="00A954D0">
        <w:rPr>
          <w:rFonts w:ascii="Bookman Old Style" w:hAnsi="Bookman Old Style"/>
          <w:sz w:val="24"/>
          <w:szCs w:val="24"/>
        </w:rPr>
        <w:t xml:space="preserve"> </w:t>
      </w:r>
      <w:r w:rsidRPr="000673AF">
        <w:rPr>
          <w:rFonts w:ascii="Bookman Old Style" w:hAnsi="Bookman Old Style"/>
          <w:sz w:val="24"/>
          <w:szCs w:val="24"/>
        </w:rPr>
        <w:t>sebagaimana</w:t>
      </w:r>
      <w:r w:rsidR="00A954D0">
        <w:rPr>
          <w:rFonts w:ascii="Bookman Old Style" w:hAnsi="Bookman Old Style"/>
          <w:sz w:val="24"/>
          <w:szCs w:val="24"/>
        </w:rPr>
        <w:t xml:space="preserve"> </w:t>
      </w:r>
      <w:r w:rsidRPr="000673AF">
        <w:rPr>
          <w:rFonts w:ascii="Bookman Old Style" w:hAnsi="Bookman Old Style"/>
          <w:sz w:val="24"/>
          <w:szCs w:val="24"/>
        </w:rPr>
        <w:t>dimaksud</w:t>
      </w:r>
      <w:r w:rsidR="00A954D0">
        <w:rPr>
          <w:rFonts w:ascii="Bookman Old Style" w:hAnsi="Bookman Old Style"/>
          <w:sz w:val="24"/>
          <w:szCs w:val="24"/>
        </w:rPr>
        <w:t xml:space="preserve"> </w:t>
      </w:r>
      <w:r w:rsidRPr="000673AF">
        <w:rPr>
          <w:rFonts w:ascii="Bookman Old Style" w:hAnsi="Bookman Old Style"/>
          <w:sz w:val="24"/>
          <w:szCs w:val="24"/>
        </w:rPr>
        <w:t>dalam</w:t>
      </w:r>
      <w:r w:rsidR="00A954D0">
        <w:rPr>
          <w:rFonts w:ascii="Bookman Old Style" w:hAnsi="Bookman Old Style"/>
          <w:sz w:val="24"/>
          <w:szCs w:val="24"/>
        </w:rPr>
        <w:t xml:space="preserve"> </w:t>
      </w:r>
      <w:r w:rsidRPr="000673AF">
        <w:rPr>
          <w:rFonts w:ascii="Bookman Old Style" w:hAnsi="Bookman Old Style"/>
          <w:sz w:val="24"/>
          <w:szCs w:val="24"/>
        </w:rPr>
        <w:t>Pasal</w:t>
      </w:r>
      <w:r w:rsidR="00A954D0">
        <w:rPr>
          <w:rFonts w:ascii="Bookman Old Style" w:hAnsi="Bookman Old Style"/>
          <w:sz w:val="24"/>
          <w:szCs w:val="24"/>
        </w:rPr>
        <w:t xml:space="preserve"> </w:t>
      </w:r>
      <w:r w:rsidRPr="000673AF">
        <w:rPr>
          <w:rFonts w:ascii="Bookman Old Style" w:hAnsi="Bookman Old Style"/>
          <w:sz w:val="24"/>
          <w:szCs w:val="24"/>
        </w:rPr>
        <w:t>2</w:t>
      </w:r>
      <w:r w:rsidR="00A954D0">
        <w:rPr>
          <w:rFonts w:ascii="Bookman Old Style" w:hAnsi="Bookman Old Style"/>
          <w:sz w:val="24"/>
          <w:szCs w:val="24"/>
        </w:rPr>
        <w:t xml:space="preserve"> </w:t>
      </w:r>
      <w:r>
        <w:rPr>
          <w:rFonts w:ascii="Bookman Old Style" w:hAnsi="Bookman Old Style"/>
          <w:b/>
          <w:bCs/>
          <w:sz w:val="24"/>
          <w:szCs w:val="24"/>
        </w:rPr>
        <w:t>ayat</w:t>
      </w:r>
      <w:r w:rsidR="00A954D0">
        <w:rPr>
          <w:rFonts w:ascii="Bookman Old Style" w:hAnsi="Bookman Old Style"/>
          <w:b/>
          <w:bCs/>
          <w:sz w:val="24"/>
          <w:szCs w:val="24"/>
        </w:rPr>
        <w:t xml:space="preserve"> </w:t>
      </w:r>
      <w:r>
        <w:rPr>
          <w:rFonts w:ascii="Bookman Old Style" w:hAnsi="Bookman Old Style"/>
          <w:b/>
          <w:bCs/>
          <w:sz w:val="24"/>
          <w:szCs w:val="24"/>
        </w:rPr>
        <w:t>(2)</w:t>
      </w:r>
      <w:r w:rsidR="00A954D0">
        <w:rPr>
          <w:rFonts w:ascii="Bookman Old Style" w:hAnsi="Bookman Old Style"/>
          <w:b/>
          <w:bCs/>
          <w:sz w:val="24"/>
          <w:szCs w:val="24"/>
        </w:rPr>
        <w:t xml:space="preserve"> </w:t>
      </w:r>
      <w:r w:rsidRPr="000673AF">
        <w:rPr>
          <w:rFonts w:ascii="Bookman Old Style" w:hAnsi="Bookman Old Style"/>
          <w:sz w:val="24"/>
          <w:szCs w:val="24"/>
        </w:rPr>
        <w:t>huruf</w:t>
      </w:r>
      <w:r w:rsidR="00A954D0">
        <w:rPr>
          <w:rFonts w:ascii="Bookman Old Style" w:hAnsi="Bookman Old Style"/>
          <w:sz w:val="24"/>
          <w:szCs w:val="24"/>
        </w:rPr>
        <w:t xml:space="preserve"> </w:t>
      </w:r>
      <w:r w:rsidRPr="000673AF">
        <w:rPr>
          <w:rFonts w:ascii="Bookman Old Style" w:hAnsi="Bookman Old Style"/>
          <w:sz w:val="24"/>
          <w:szCs w:val="24"/>
        </w:rPr>
        <w:t>c</w:t>
      </w:r>
      <w:r w:rsidR="00A954D0">
        <w:rPr>
          <w:rFonts w:ascii="Bookman Old Style" w:hAnsi="Bookman Old Style"/>
          <w:sz w:val="24"/>
          <w:szCs w:val="24"/>
        </w:rPr>
        <w:t xml:space="preserve"> </w:t>
      </w:r>
      <w:r w:rsidRPr="000673AF">
        <w:rPr>
          <w:rFonts w:ascii="Bookman Old Style" w:hAnsi="Bookman Old Style"/>
          <w:sz w:val="24"/>
          <w:szCs w:val="24"/>
        </w:rPr>
        <w:t>direncanakan</w:t>
      </w:r>
      <w:r w:rsidR="00A954D0">
        <w:rPr>
          <w:rFonts w:ascii="Bookman Old Style" w:hAnsi="Bookman Old Style"/>
          <w:sz w:val="24"/>
          <w:szCs w:val="24"/>
        </w:rPr>
        <w:t xml:space="preserve"> </w:t>
      </w:r>
      <w:r w:rsidRPr="000673AF">
        <w:rPr>
          <w:rFonts w:ascii="Bookman Old Style" w:hAnsi="Bookman Old Style"/>
          <w:sz w:val="24"/>
          <w:szCs w:val="24"/>
        </w:rPr>
        <w:t>sebesar</w:t>
      </w:r>
      <w:r w:rsidR="00A954D0">
        <w:rPr>
          <w:rFonts w:ascii="Bookman Old Style" w:hAnsi="Bookman Old Style"/>
          <w:sz w:val="24"/>
          <w:szCs w:val="24"/>
        </w:rPr>
        <w:t xml:space="preserve"> </w:t>
      </w:r>
      <w:r w:rsidRPr="000673AF">
        <w:rPr>
          <w:rFonts w:ascii="Bookman Old Style" w:hAnsi="Bookman Old Style"/>
          <w:sz w:val="24"/>
          <w:szCs w:val="24"/>
        </w:rPr>
        <w:t>Rp400.789.809.045,00</w:t>
      </w:r>
      <w:r w:rsidR="00A954D0">
        <w:rPr>
          <w:rFonts w:ascii="Bookman Old Style" w:hAnsi="Bookman Old Style"/>
          <w:sz w:val="24"/>
          <w:szCs w:val="24"/>
        </w:rPr>
        <w:t xml:space="preserve"> </w:t>
      </w:r>
      <w:r w:rsidRPr="000673AF">
        <w:rPr>
          <w:rFonts w:ascii="Bookman Old Style" w:hAnsi="Bookman Old Style"/>
          <w:sz w:val="24"/>
          <w:szCs w:val="24"/>
        </w:rPr>
        <w:t>(Empat</w:t>
      </w:r>
      <w:r w:rsidR="00A954D0">
        <w:rPr>
          <w:rFonts w:ascii="Bookman Old Style" w:hAnsi="Bookman Old Style"/>
          <w:sz w:val="24"/>
          <w:szCs w:val="24"/>
        </w:rPr>
        <w:t xml:space="preserve"> </w:t>
      </w:r>
      <w:r w:rsidRPr="000673AF">
        <w:rPr>
          <w:rFonts w:ascii="Bookman Old Style" w:hAnsi="Bookman Old Style"/>
          <w:sz w:val="24"/>
          <w:szCs w:val="24"/>
        </w:rPr>
        <w:t>Ratus</w:t>
      </w:r>
      <w:r w:rsidR="00A954D0">
        <w:rPr>
          <w:rFonts w:ascii="Bookman Old Style" w:hAnsi="Bookman Old Style"/>
          <w:sz w:val="24"/>
          <w:szCs w:val="24"/>
        </w:rPr>
        <w:t xml:space="preserve"> </w:t>
      </w:r>
      <w:r w:rsidRPr="000673AF">
        <w:rPr>
          <w:rFonts w:ascii="Bookman Old Style" w:hAnsi="Bookman Old Style"/>
          <w:sz w:val="24"/>
          <w:szCs w:val="24"/>
        </w:rPr>
        <w:t>Miliar</w:t>
      </w:r>
      <w:r w:rsidR="00A954D0">
        <w:rPr>
          <w:rFonts w:ascii="Bookman Old Style" w:hAnsi="Bookman Old Style"/>
          <w:sz w:val="24"/>
          <w:szCs w:val="24"/>
        </w:rPr>
        <w:t xml:space="preserve"> </w:t>
      </w:r>
      <w:r w:rsidRPr="000673AF">
        <w:rPr>
          <w:rFonts w:ascii="Bookman Old Style" w:hAnsi="Bookman Old Style"/>
          <w:sz w:val="24"/>
          <w:szCs w:val="24"/>
        </w:rPr>
        <w:t>Tujuh</w:t>
      </w:r>
      <w:r w:rsidR="00A954D0">
        <w:rPr>
          <w:rFonts w:ascii="Bookman Old Style" w:hAnsi="Bookman Old Style"/>
          <w:sz w:val="24"/>
          <w:szCs w:val="24"/>
        </w:rPr>
        <w:t xml:space="preserve"> </w:t>
      </w:r>
      <w:r w:rsidRPr="000673AF">
        <w:rPr>
          <w:rFonts w:ascii="Bookman Old Style" w:hAnsi="Bookman Old Style"/>
          <w:sz w:val="24"/>
          <w:szCs w:val="24"/>
        </w:rPr>
        <w:t>Ratus</w:t>
      </w:r>
      <w:r w:rsidR="00A954D0">
        <w:rPr>
          <w:rFonts w:ascii="Bookman Old Style" w:hAnsi="Bookman Old Style"/>
          <w:sz w:val="24"/>
          <w:szCs w:val="24"/>
        </w:rPr>
        <w:t xml:space="preserve"> </w:t>
      </w:r>
      <w:r w:rsidRPr="000673AF">
        <w:rPr>
          <w:rFonts w:ascii="Bookman Old Style" w:hAnsi="Bookman Old Style"/>
          <w:sz w:val="24"/>
          <w:szCs w:val="24"/>
        </w:rPr>
        <w:t>Delapan</w:t>
      </w:r>
      <w:r w:rsidR="00A954D0">
        <w:rPr>
          <w:rFonts w:ascii="Bookman Old Style" w:hAnsi="Bookman Old Style"/>
          <w:sz w:val="24"/>
          <w:szCs w:val="24"/>
        </w:rPr>
        <w:t xml:space="preserve"> </w:t>
      </w:r>
      <w:r w:rsidRPr="000673AF">
        <w:rPr>
          <w:rFonts w:ascii="Bookman Old Style" w:hAnsi="Bookman Old Style"/>
          <w:sz w:val="24"/>
          <w:szCs w:val="24"/>
        </w:rPr>
        <w:t>Puluh</w:t>
      </w:r>
      <w:r w:rsidR="00A954D0">
        <w:rPr>
          <w:rFonts w:ascii="Bookman Old Style" w:hAnsi="Bookman Old Style"/>
          <w:sz w:val="24"/>
          <w:szCs w:val="24"/>
        </w:rPr>
        <w:t xml:space="preserve"> </w:t>
      </w:r>
      <w:r w:rsidRPr="000673AF">
        <w:rPr>
          <w:rFonts w:ascii="Bookman Old Style" w:hAnsi="Bookman Old Style"/>
          <w:sz w:val="24"/>
          <w:szCs w:val="24"/>
        </w:rPr>
        <w:t>Sembilan</w:t>
      </w:r>
      <w:r w:rsidR="00A954D0">
        <w:rPr>
          <w:rFonts w:ascii="Bookman Old Style" w:hAnsi="Bookman Old Style"/>
          <w:sz w:val="24"/>
          <w:szCs w:val="24"/>
        </w:rPr>
        <w:t xml:space="preserve"> </w:t>
      </w:r>
      <w:r w:rsidRPr="000673AF">
        <w:rPr>
          <w:rFonts w:ascii="Bookman Old Style" w:hAnsi="Bookman Old Style"/>
          <w:sz w:val="24"/>
          <w:szCs w:val="24"/>
        </w:rPr>
        <w:t>Juta</w:t>
      </w:r>
      <w:r w:rsidR="00A954D0">
        <w:rPr>
          <w:rFonts w:ascii="Bookman Old Style" w:hAnsi="Bookman Old Style"/>
          <w:sz w:val="24"/>
          <w:szCs w:val="24"/>
        </w:rPr>
        <w:t xml:space="preserve"> </w:t>
      </w:r>
      <w:r w:rsidRPr="000673AF">
        <w:rPr>
          <w:rFonts w:ascii="Bookman Old Style" w:hAnsi="Bookman Old Style"/>
          <w:sz w:val="24"/>
          <w:szCs w:val="24"/>
        </w:rPr>
        <w:t>Delapan</w:t>
      </w:r>
      <w:r w:rsidR="00A954D0">
        <w:rPr>
          <w:rFonts w:ascii="Bookman Old Style" w:hAnsi="Bookman Old Style"/>
          <w:sz w:val="24"/>
          <w:szCs w:val="24"/>
        </w:rPr>
        <w:t xml:space="preserve"> </w:t>
      </w:r>
      <w:r w:rsidRPr="000673AF">
        <w:rPr>
          <w:rFonts w:ascii="Bookman Old Style" w:hAnsi="Bookman Old Style"/>
          <w:sz w:val="24"/>
          <w:szCs w:val="24"/>
        </w:rPr>
        <w:t>Ratus</w:t>
      </w:r>
      <w:r w:rsidR="00A954D0">
        <w:rPr>
          <w:rFonts w:ascii="Bookman Old Style" w:hAnsi="Bookman Old Style"/>
          <w:sz w:val="24"/>
          <w:szCs w:val="24"/>
        </w:rPr>
        <w:t xml:space="preserve"> </w:t>
      </w:r>
      <w:r w:rsidRPr="000673AF">
        <w:rPr>
          <w:rFonts w:ascii="Bookman Old Style" w:hAnsi="Bookman Old Style"/>
          <w:sz w:val="24"/>
          <w:szCs w:val="24"/>
        </w:rPr>
        <w:t>Sembilan</w:t>
      </w:r>
      <w:r w:rsidR="00A954D0">
        <w:rPr>
          <w:rFonts w:ascii="Bookman Old Style" w:hAnsi="Bookman Old Style"/>
          <w:sz w:val="24"/>
          <w:szCs w:val="24"/>
        </w:rPr>
        <w:t xml:space="preserve"> </w:t>
      </w:r>
      <w:r w:rsidRPr="000673AF">
        <w:rPr>
          <w:rFonts w:ascii="Bookman Old Style" w:hAnsi="Bookman Old Style"/>
          <w:sz w:val="24"/>
          <w:szCs w:val="24"/>
        </w:rPr>
        <w:t>Ribu</w:t>
      </w:r>
      <w:r w:rsidR="00A954D0">
        <w:rPr>
          <w:rFonts w:ascii="Bookman Old Style" w:hAnsi="Bookman Old Style"/>
          <w:sz w:val="24"/>
          <w:szCs w:val="24"/>
        </w:rPr>
        <w:t xml:space="preserve"> </w:t>
      </w:r>
      <w:r w:rsidRPr="000673AF">
        <w:rPr>
          <w:rFonts w:ascii="Bookman Old Style" w:hAnsi="Bookman Old Style"/>
          <w:sz w:val="24"/>
          <w:szCs w:val="24"/>
        </w:rPr>
        <w:t>Empat</w:t>
      </w:r>
      <w:r w:rsidR="00A954D0">
        <w:rPr>
          <w:rFonts w:ascii="Bookman Old Style" w:hAnsi="Bookman Old Style"/>
          <w:sz w:val="24"/>
          <w:szCs w:val="24"/>
        </w:rPr>
        <w:t xml:space="preserve"> </w:t>
      </w:r>
      <w:r w:rsidRPr="000673AF">
        <w:rPr>
          <w:rFonts w:ascii="Bookman Old Style" w:hAnsi="Bookman Old Style"/>
          <w:sz w:val="24"/>
          <w:szCs w:val="24"/>
        </w:rPr>
        <w:t>Puluh</w:t>
      </w:r>
      <w:r w:rsidR="00A954D0">
        <w:rPr>
          <w:rFonts w:ascii="Bookman Old Style" w:hAnsi="Bookman Old Style"/>
          <w:sz w:val="24"/>
          <w:szCs w:val="24"/>
        </w:rPr>
        <w:t xml:space="preserve"> </w:t>
      </w:r>
      <w:r w:rsidRPr="000673AF">
        <w:rPr>
          <w:rFonts w:ascii="Bookman Old Style" w:hAnsi="Bookman Old Style"/>
          <w:sz w:val="24"/>
          <w:szCs w:val="24"/>
        </w:rPr>
        <w:t>Lima</w:t>
      </w:r>
      <w:r w:rsidR="00A954D0">
        <w:rPr>
          <w:rFonts w:ascii="Bookman Old Style" w:hAnsi="Bookman Old Style"/>
          <w:sz w:val="24"/>
          <w:szCs w:val="24"/>
        </w:rPr>
        <w:t xml:space="preserve"> </w:t>
      </w:r>
      <w:r w:rsidRPr="000673AF">
        <w:rPr>
          <w:rFonts w:ascii="Bookman Old Style" w:hAnsi="Bookman Old Style"/>
          <w:sz w:val="24"/>
          <w:szCs w:val="24"/>
        </w:rPr>
        <w:t>Rupiah),</w:t>
      </w:r>
      <w:r w:rsidR="00A954D0">
        <w:rPr>
          <w:rFonts w:ascii="Bookman Old Style" w:hAnsi="Bookman Old Style"/>
          <w:sz w:val="24"/>
          <w:szCs w:val="24"/>
        </w:rPr>
        <w:t xml:space="preserve"> </w:t>
      </w:r>
      <w:r w:rsidRPr="000673AF">
        <w:rPr>
          <w:rFonts w:ascii="Bookman Old Style" w:hAnsi="Bookman Old Style"/>
          <w:sz w:val="24"/>
          <w:szCs w:val="24"/>
        </w:rPr>
        <w:t>yang</w:t>
      </w:r>
      <w:r w:rsidR="00A954D0">
        <w:rPr>
          <w:rFonts w:ascii="Bookman Old Style" w:hAnsi="Bookman Old Style"/>
          <w:sz w:val="24"/>
          <w:szCs w:val="24"/>
        </w:rPr>
        <w:t xml:space="preserve"> </w:t>
      </w:r>
      <w:r w:rsidRPr="000673AF">
        <w:rPr>
          <w:rFonts w:ascii="Bookman Old Style" w:hAnsi="Bookman Old Style"/>
          <w:sz w:val="24"/>
          <w:szCs w:val="24"/>
        </w:rPr>
        <w:t>terdiri</w:t>
      </w:r>
      <w:r w:rsidR="00A954D0">
        <w:rPr>
          <w:rFonts w:ascii="Bookman Old Style" w:hAnsi="Bookman Old Style"/>
          <w:sz w:val="24"/>
          <w:szCs w:val="24"/>
        </w:rPr>
        <w:t xml:space="preserve"> </w:t>
      </w:r>
      <w:r w:rsidRPr="000673AF">
        <w:rPr>
          <w:rFonts w:ascii="Bookman Old Style" w:hAnsi="Bookman Old Style"/>
          <w:sz w:val="24"/>
          <w:szCs w:val="24"/>
        </w:rPr>
        <w:t>atas</w:t>
      </w:r>
      <w:r w:rsidR="00A954D0">
        <w:rPr>
          <w:rFonts w:ascii="Bookman Old Style" w:hAnsi="Bookman Old Style"/>
          <w:sz w:val="24"/>
          <w:szCs w:val="24"/>
        </w:rPr>
        <w:t xml:space="preserve"> </w:t>
      </w:r>
      <w:r w:rsidRPr="000673AF">
        <w:rPr>
          <w:rFonts w:ascii="Bookman Old Style" w:hAnsi="Bookman Old Style"/>
          <w:sz w:val="24"/>
          <w:szCs w:val="24"/>
        </w:rPr>
        <w:t>Penerimaan</w:t>
      </w:r>
      <w:r w:rsidR="00A954D0">
        <w:rPr>
          <w:rFonts w:ascii="Bookman Old Style" w:hAnsi="Bookman Old Style"/>
          <w:sz w:val="24"/>
          <w:szCs w:val="24"/>
        </w:rPr>
        <w:t xml:space="preserve"> </w:t>
      </w:r>
      <w:r w:rsidRPr="000673AF">
        <w:rPr>
          <w:rFonts w:ascii="Bookman Old Style" w:hAnsi="Bookman Old Style"/>
          <w:sz w:val="24"/>
          <w:szCs w:val="24"/>
        </w:rPr>
        <w:t>Pembiayaan</w:t>
      </w:r>
      <w:r w:rsidR="00A954D0">
        <w:rPr>
          <w:rFonts w:ascii="Bookman Old Style" w:hAnsi="Bookman Old Style"/>
          <w:sz w:val="24"/>
          <w:szCs w:val="24"/>
        </w:rPr>
        <w:t xml:space="preserve"> </w:t>
      </w:r>
      <w:r w:rsidRPr="000673AF">
        <w:rPr>
          <w:rFonts w:ascii="Bookman Old Style" w:hAnsi="Bookman Old Style"/>
          <w:sz w:val="24"/>
          <w:szCs w:val="24"/>
        </w:rPr>
        <w:t>merupakan</w:t>
      </w:r>
      <w:r w:rsidR="00A954D0">
        <w:rPr>
          <w:rFonts w:ascii="Bookman Old Style" w:hAnsi="Bookman Old Style"/>
          <w:sz w:val="24"/>
          <w:szCs w:val="24"/>
        </w:rPr>
        <w:t xml:space="preserve"> </w:t>
      </w:r>
      <w:r w:rsidRPr="000673AF">
        <w:rPr>
          <w:rFonts w:ascii="Bookman Old Style" w:hAnsi="Bookman Old Style"/>
          <w:sz w:val="24"/>
          <w:szCs w:val="24"/>
        </w:rPr>
        <w:t>Sisa</w:t>
      </w:r>
      <w:r w:rsidR="00A954D0">
        <w:rPr>
          <w:rFonts w:ascii="Bookman Old Style" w:hAnsi="Bookman Old Style"/>
          <w:sz w:val="24"/>
          <w:szCs w:val="24"/>
        </w:rPr>
        <w:t xml:space="preserve"> </w:t>
      </w:r>
      <w:r w:rsidRPr="000673AF">
        <w:rPr>
          <w:rFonts w:ascii="Bookman Old Style" w:hAnsi="Bookman Old Style"/>
          <w:sz w:val="24"/>
          <w:szCs w:val="24"/>
        </w:rPr>
        <w:t>lebih</w:t>
      </w:r>
      <w:r w:rsidR="00A954D0">
        <w:rPr>
          <w:rFonts w:ascii="Bookman Old Style" w:hAnsi="Bookman Old Style"/>
          <w:sz w:val="24"/>
          <w:szCs w:val="24"/>
        </w:rPr>
        <w:t xml:space="preserve"> </w:t>
      </w:r>
      <w:r w:rsidRPr="000673AF">
        <w:rPr>
          <w:rFonts w:ascii="Bookman Old Style" w:hAnsi="Bookman Old Style"/>
          <w:sz w:val="24"/>
          <w:szCs w:val="24"/>
        </w:rPr>
        <w:t>perhitun</w:t>
      </w:r>
      <w:r w:rsidRPr="004A049F">
        <w:rPr>
          <w:rFonts w:ascii="Bookman Old Style" w:hAnsi="Bookman Old Style"/>
          <w:sz w:val="24"/>
          <w:szCs w:val="24"/>
        </w:rPr>
        <w:t>gan</w:t>
      </w:r>
      <w:r w:rsidR="00A954D0">
        <w:rPr>
          <w:rFonts w:ascii="Bookman Old Style" w:hAnsi="Bookman Old Style"/>
          <w:sz w:val="24"/>
          <w:szCs w:val="24"/>
        </w:rPr>
        <w:t xml:space="preserve"> </w:t>
      </w:r>
      <w:r w:rsidRPr="004A049F">
        <w:rPr>
          <w:rFonts w:ascii="Bookman Old Style" w:hAnsi="Bookman Old Style"/>
          <w:sz w:val="24"/>
          <w:szCs w:val="24"/>
        </w:rPr>
        <w:t>anggaran</w:t>
      </w:r>
      <w:r w:rsidR="00A954D0">
        <w:rPr>
          <w:rFonts w:ascii="Bookman Old Style" w:hAnsi="Bookman Old Style"/>
          <w:sz w:val="24"/>
          <w:szCs w:val="24"/>
        </w:rPr>
        <w:t xml:space="preserve"> </w:t>
      </w:r>
      <w:r w:rsidRPr="004A049F">
        <w:rPr>
          <w:rFonts w:ascii="Bookman Old Style" w:hAnsi="Bookman Old Style"/>
          <w:sz w:val="24"/>
          <w:szCs w:val="24"/>
        </w:rPr>
        <w:t>tahun</w:t>
      </w:r>
      <w:r w:rsidR="00A954D0">
        <w:rPr>
          <w:rFonts w:ascii="Bookman Old Style" w:hAnsi="Bookman Old Style"/>
          <w:sz w:val="24"/>
          <w:szCs w:val="24"/>
        </w:rPr>
        <w:t xml:space="preserve"> </w:t>
      </w:r>
      <w:r w:rsidRPr="004A049F">
        <w:rPr>
          <w:rFonts w:ascii="Bookman Old Style" w:hAnsi="Bookman Old Style"/>
          <w:sz w:val="24"/>
          <w:szCs w:val="24"/>
        </w:rPr>
        <w:t>anggaran</w:t>
      </w:r>
      <w:r w:rsidR="00A954D0">
        <w:rPr>
          <w:rFonts w:ascii="Bookman Old Style" w:hAnsi="Bookman Old Style"/>
          <w:sz w:val="24"/>
          <w:szCs w:val="24"/>
        </w:rPr>
        <w:t xml:space="preserve"> </w:t>
      </w:r>
      <w:r w:rsidRPr="004A049F">
        <w:rPr>
          <w:rFonts w:ascii="Bookman Old Style" w:hAnsi="Bookman Old Style"/>
          <w:sz w:val="24"/>
          <w:szCs w:val="24"/>
        </w:rPr>
        <w:t>sebelumnya.”</w:t>
      </w:r>
    </w:p>
    <w:p w14:paraId="28540BD4" w14:textId="4C7A7FAE" w:rsidR="006E2F8F" w:rsidRPr="004A049F" w:rsidRDefault="006E2F8F" w:rsidP="004A784D">
      <w:pPr>
        <w:pStyle w:val="ListParagraph"/>
        <w:numPr>
          <w:ilvl w:val="0"/>
          <w:numId w:val="177"/>
        </w:numPr>
        <w:snapToGrid w:val="0"/>
        <w:spacing w:before="60" w:after="0" w:line="276" w:lineRule="auto"/>
        <w:ind w:left="2268" w:hanging="566"/>
        <w:contextualSpacing w:val="0"/>
        <w:jc w:val="both"/>
        <w:rPr>
          <w:rFonts w:ascii="Bookman Old Style" w:hAnsi="Bookman Old Style" w:cs="Arial"/>
          <w:sz w:val="24"/>
          <w:szCs w:val="24"/>
        </w:rPr>
      </w:pPr>
      <w:r w:rsidRPr="004A049F">
        <w:rPr>
          <w:rFonts w:ascii="Bookman Old Style" w:hAnsi="Bookman Old Style" w:cs="Arial"/>
          <w:sz w:val="24"/>
          <w:szCs w:val="24"/>
        </w:rPr>
        <w:t>Pasal</w:t>
      </w:r>
      <w:r w:rsidR="00A954D0">
        <w:rPr>
          <w:rFonts w:ascii="Bookman Old Style" w:hAnsi="Bookman Old Style" w:cs="Arial"/>
          <w:sz w:val="24"/>
          <w:szCs w:val="24"/>
        </w:rPr>
        <w:t xml:space="preserve"> </w:t>
      </w:r>
      <w:r w:rsidRPr="004A049F">
        <w:rPr>
          <w:rFonts w:ascii="Bookman Old Style" w:hAnsi="Bookman Old Style" w:cs="Arial"/>
          <w:sz w:val="24"/>
          <w:szCs w:val="24"/>
        </w:rPr>
        <w:t>12</w:t>
      </w:r>
      <w:r w:rsidR="00A954D0">
        <w:rPr>
          <w:rFonts w:ascii="Bookman Old Style" w:hAnsi="Bookman Old Style" w:cs="Arial"/>
          <w:sz w:val="24"/>
          <w:szCs w:val="24"/>
        </w:rPr>
        <w:t xml:space="preserve"> </w:t>
      </w:r>
      <w:r w:rsidRPr="004A049F">
        <w:rPr>
          <w:rFonts w:ascii="Bookman Old Style" w:hAnsi="Bookman Old Style" w:cs="Arial"/>
          <w:sz w:val="24"/>
          <w:szCs w:val="24"/>
        </w:rPr>
        <w:t>ayat</w:t>
      </w:r>
      <w:r w:rsidR="00A954D0">
        <w:rPr>
          <w:rFonts w:ascii="Bookman Old Style" w:hAnsi="Bookman Old Style" w:cs="Arial"/>
          <w:sz w:val="24"/>
          <w:szCs w:val="24"/>
        </w:rPr>
        <w:t xml:space="preserve"> </w:t>
      </w:r>
      <w:r w:rsidRPr="004A049F">
        <w:rPr>
          <w:rFonts w:ascii="Bookman Old Style" w:hAnsi="Bookman Old Style" w:cs="Arial"/>
          <w:sz w:val="24"/>
          <w:szCs w:val="24"/>
        </w:rPr>
        <w:t>(3)</w:t>
      </w:r>
      <w:r w:rsidR="00A954D0">
        <w:rPr>
          <w:rFonts w:ascii="Bookman Old Style" w:hAnsi="Bookman Old Style" w:cs="Arial"/>
          <w:sz w:val="24"/>
          <w:szCs w:val="24"/>
        </w:rPr>
        <w:t xml:space="preserve"> </w:t>
      </w:r>
      <w:r w:rsidRPr="004A049F">
        <w:rPr>
          <w:rFonts w:ascii="Bookman Old Style" w:hAnsi="Bookman Old Style" w:cs="Arial"/>
          <w:sz w:val="24"/>
          <w:szCs w:val="24"/>
        </w:rPr>
        <w:t>agar</w:t>
      </w:r>
      <w:r w:rsidR="00A954D0">
        <w:rPr>
          <w:rFonts w:ascii="Bookman Old Style" w:hAnsi="Bookman Old Style" w:cs="Arial"/>
          <w:sz w:val="24"/>
          <w:szCs w:val="24"/>
        </w:rPr>
        <w:t xml:space="preserve"> </w:t>
      </w:r>
      <w:r w:rsidRPr="004A049F">
        <w:rPr>
          <w:rFonts w:ascii="Bookman Old Style" w:hAnsi="Bookman Old Style" w:cs="Arial"/>
          <w:sz w:val="24"/>
          <w:szCs w:val="24"/>
        </w:rPr>
        <w:t>diperbaiki</w:t>
      </w:r>
      <w:r w:rsidR="00A954D0">
        <w:rPr>
          <w:rFonts w:ascii="Bookman Old Style" w:hAnsi="Bookman Old Style" w:cs="Arial"/>
          <w:sz w:val="24"/>
          <w:szCs w:val="24"/>
        </w:rPr>
        <w:t xml:space="preserve"> </w:t>
      </w:r>
      <w:r w:rsidRPr="004A049F">
        <w:rPr>
          <w:rFonts w:ascii="Bookman Old Style" w:hAnsi="Bookman Old Style" w:cs="Arial"/>
          <w:sz w:val="24"/>
          <w:szCs w:val="24"/>
        </w:rPr>
        <w:t>redaksionalnya</w:t>
      </w:r>
      <w:r w:rsidR="00A954D0">
        <w:rPr>
          <w:rFonts w:ascii="Bookman Old Style" w:hAnsi="Bookman Old Style" w:cs="Arial"/>
          <w:sz w:val="24"/>
          <w:szCs w:val="24"/>
        </w:rPr>
        <w:t xml:space="preserve"> </w:t>
      </w:r>
      <w:r w:rsidRPr="004A049F">
        <w:rPr>
          <w:rFonts w:ascii="Bookman Old Style" w:hAnsi="Bookman Old Style" w:cs="Arial"/>
          <w:sz w:val="24"/>
          <w:szCs w:val="24"/>
        </w:rPr>
        <w:t>menjadi:</w:t>
      </w:r>
    </w:p>
    <w:p w14:paraId="3B568F3F" w14:textId="33472617" w:rsidR="006E2F8F" w:rsidRPr="003255BC" w:rsidRDefault="006E2F8F" w:rsidP="004A784D">
      <w:pPr>
        <w:snapToGrid w:val="0"/>
        <w:spacing w:before="60" w:line="276" w:lineRule="auto"/>
        <w:ind w:left="2268"/>
        <w:jc w:val="both"/>
        <w:rPr>
          <w:rFonts w:ascii="Bookman Old Style" w:hAnsi="Bookman Old Style" w:cs="Arial"/>
          <w:lang w:val="sv-FI"/>
        </w:rPr>
      </w:pPr>
      <w:r w:rsidRPr="003255BC">
        <w:rPr>
          <w:rFonts w:ascii="Bookman Old Style" w:hAnsi="Bookman Old Style" w:cs="Arial"/>
          <w:lang w:val="sv-FI"/>
        </w:rPr>
        <w:t>Kep</w:t>
      </w:r>
      <w:r w:rsidR="004A784D">
        <w:rPr>
          <w:rFonts w:ascii="Bookman Old Style" w:hAnsi="Bookman Old Style" w:cs="Arial"/>
          <w:lang w:val="sv-FI"/>
        </w:rPr>
        <w:t>e</w:t>
      </w:r>
      <w:r w:rsidRPr="003255BC">
        <w:rPr>
          <w:rFonts w:ascii="Bookman Old Style" w:hAnsi="Bookman Old Style" w:cs="Arial"/>
          <w:lang w:val="sv-FI"/>
        </w:rPr>
        <w:t>rluan</w:t>
      </w:r>
      <w:r w:rsidR="00A954D0" w:rsidRPr="003255BC">
        <w:rPr>
          <w:rFonts w:ascii="Bookman Old Style" w:hAnsi="Bookman Old Style" w:cs="Arial"/>
          <w:lang w:val="sv-FI"/>
        </w:rPr>
        <w:t xml:space="preserve"> </w:t>
      </w:r>
      <w:r w:rsidRPr="003255BC">
        <w:rPr>
          <w:rFonts w:ascii="Bookman Old Style" w:hAnsi="Bookman Old Style" w:cs="Arial"/>
          <w:lang w:val="sv-FI"/>
        </w:rPr>
        <w:t>mendesak</w:t>
      </w:r>
      <w:r w:rsidR="00A954D0" w:rsidRPr="003255BC">
        <w:rPr>
          <w:rFonts w:ascii="Bookman Old Style" w:hAnsi="Bookman Old Style" w:cs="Arial"/>
          <w:lang w:val="sv-FI"/>
        </w:rPr>
        <w:t xml:space="preserve"> </w:t>
      </w:r>
      <w:r w:rsidRPr="003255BC">
        <w:rPr>
          <w:rFonts w:ascii="Bookman Old Style" w:hAnsi="Bookman Old Style" w:cs="Arial"/>
          <w:lang w:val="sv-FI"/>
        </w:rPr>
        <w:t>sebagaimana</w:t>
      </w:r>
      <w:r w:rsidR="00A954D0" w:rsidRPr="003255BC">
        <w:rPr>
          <w:rFonts w:ascii="Bookman Old Style" w:hAnsi="Bookman Old Style" w:cs="Arial"/>
          <w:lang w:val="sv-FI"/>
        </w:rPr>
        <w:t xml:space="preserve"> </w:t>
      </w:r>
      <w:r w:rsidRPr="003255BC">
        <w:rPr>
          <w:rFonts w:ascii="Bookman Old Style" w:hAnsi="Bookman Old Style" w:cs="Arial"/>
          <w:lang w:val="sv-FI"/>
        </w:rPr>
        <w:t>dimaksud</w:t>
      </w:r>
      <w:r w:rsidR="00A954D0" w:rsidRPr="003255BC">
        <w:rPr>
          <w:rFonts w:ascii="Bookman Old Style" w:hAnsi="Bookman Old Style" w:cs="Arial"/>
          <w:lang w:val="sv-FI"/>
        </w:rPr>
        <w:t xml:space="preserve"> </w:t>
      </w:r>
      <w:r w:rsidRPr="003255BC">
        <w:rPr>
          <w:rFonts w:ascii="Bookman Old Style" w:hAnsi="Bookman Old Style" w:cs="Arial"/>
          <w:lang w:val="sv-FI"/>
        </w:rPr>
        <w:t>pada</w:t>
      </w:r>
      <w:r w:rsidR="00A954D0" w:rsidRPr="003255BC">
        <w:rPr>
          <w:rFonts w:ascii="Bookman Old Style" w:hAnsi="Bookman Old Style" w:cs="Arial"/>
          <w:lang w:val="sv-FI"/>
        </w:rPr>
        <w:t xml:space="preserve"> </w:t>
      </w:r>
      <w:r w:rsidRPr="003255BC">
        <w:rPr>
          <w:rFonts w:ascii="Bookman Old Style" w:hAnsi="Bookman Old Style" w:cs="Arial"/>
          <w:lang w:val="sv-FI"/>
        </w:rPr>
        <w:t>ayat</w:t>
      </w:r>
      <w:r w:rsidR="00A954D0" w:rsidRPr="003255BC">
        <w:rPr>
          <w:rFonts w:ascii="Bookman Old Style" w:hAnsi="Bookman Old Style" w:cs="Arial"/>
          <w:lang w:val="sv-FI"/>
        </w:rPr>
        <w:t xml:space="preserve"> </w:t>
      </w:r>
      <w:r w:rsidRPr="003255BC">
        <w:rPr>
          <w:rFonts w:ascii="Bookman Old Style" w:hAnsi="Bookman Old Style" w:cs="Arial"/>
          <w:lang w:val="sv-FI"/>
        </w:rPr>
        <w:t>(1)</w:t>
      </w:r>
      <w:r w:rsidR="00A954D0" w:rsidRPr="003255BC">
        <w:rPr>
          <w:rFonts w:ascii="Bookman Old Style" w:hAnsi="Bookman Old Style" w:cs="Arial"/>
          <w:lang w:val="sv-FI"/>
        </w:rPr>
        <w:t xml:space="preserve"> </w:t>
      </w:r>
      <w:r w:rsidRPr="003255BC">
        <w:rPr>
          <w:rFonts w:ascii="Bookman Old Style" w:hAnsi="Bookman Old Style" w:cs="Arial"/>
          <w:lang w:val="sv-FI"/>
        </w:rPr>
        <w:t>meliputi:</w:t>
      </w:r>
    </w:p>
    <w:p w14:paraId="02C22574" w14:textId="69AF07FD" w:rsidR="006E2F8F" w:rsidRPr="004A049F" w:rsidRDefault="006E2F8F" w:rsidP="004A784D">
      <w:pPr>
        <w:pStyle w:val="ListParagraph"/>
        <w:numPr>
          <w:ilvl w:val="0"/>
          <w:numId w:val="216"/>
        </w:numPr>
        <w:snapToGrid w:val="0"/>
        <w:spacing w:before="60" w:after="0" w:line="276" w:lineRule="auto"/>
        <w:ind w:left="2694" w:hanging="426"/>
        <w:contextualSpacing w:val="0"/>
        <w:jc w:val="both"/>
        <w:rPr>
          <w:rFonts w:ascii="Bookman Old Style" w:hAnsi="Bookman Old Style" w:cs="Arial"/>
          <w:sz w:val="24"/>
          <w:szCs w:val="24"/>
        </w:rPr>
      </w:pPr>
      <w:r w:rsidRPr="004A049F">
        <w:rPr>
          <w:rFonts w:ascii="Bookman Old Style" w:hAnsi="Bookman Old Style"/>
          <w:sz w:val="24"/>
          <w:szCs w:val="24"/>
        </w:rPr>
        <w:t>Kebutuhan</w:t>
      </w:r>
      <w:r w:rsidR="00A954D0">
        <w:rPr>
          <w:rFonts w:ascii="Bookman Old Style" w:hAnsi="Bookman Old Style"/>
          <w:sz w:val="24"/>
          <w:szCs w:val="24"/>
        </w:rPr>
        <w:t xml:space="preserve"> </w:t>
      </w:r>
      <w:r w:rsidRPr="004A049F">
        <w:rPr>
          <w:rFonts w:ascii="Bookman Old Style" w:hAnsi="Bookman Old Style"/>
          <w:sz w:val="24"/>
          <w:szCs w:val="24"/>
        </w:rPr>
        <w:t>daerah</w:t>
      </w:r>
      <w:r w:rsidR="00A954D0">
        <w:rPr>
          <w:rFonts w:ascii="Bookman Old Style" w:hAnsi="Bookman Old Style"/>
          <w:sz w:val="24"/>
          <w:szCs w:val="24"/>
        </w:rPr>
        <w:t xml:space="preserve"> </w:t>
      </w:r>
      <w:r w:rsidRPr="004A049F">
        <w:rPr>
          <w:rFonts w:ascii="Bookman Old Style" w:hAnsi="Bookman Old Style"/>
          <w:sz w:val="24"/>
          <w:szCs w:val="24"/>
        </w:rPr>
        <w:t>dalam</w:t>
      </w:r>
      <w:r w:rsidR="00A954D0">
        <w:rPr>
          <w:rFonts w:ascii="Bookman Old Style" w:hAnsi="Bookman Old Style"/>
          <w:sz w:val="24"/>
          <w:szCs w:val="24"/>
        </w:rPr>
        <w:t xml:space="preserve"> </w:t>
      </w:r>
      <w:r w:rsidRPr="004A049F">
        <w:rPr>
          <w:rFonts w:ascii="Bookman Old Style" w:hAnsi="Bookman Old Style"/>
          <w:sz w:val="24"/>
          <w:szCs w:val="24"/>
        </w:rPr>
        <w:t>rangka</w:t>
      </w:r>
      <w:r w:rsidR="00A954D0">
        <w:rPr>
          <w:rFonts w:ascii="Bookman Old Style" w:hAnsi="Bookman Old Style"/>
          <w:sz w:val="24"/>
          <w:szCs w:val="24"/>
        </w:rPr>
        <w:t xml:space="preserve"> </w:t>
      </w:r>
      <w:r w:rsidRPr="004A049F">
        <w:rPr>
          <w:rFonts w:ascii="Bookman Old Style" w:hAnsi="Bookman Old Style"/>
          <w:sz w:val="24"/>
          <w:szCs w:val="24"/>
        </w:rPr>
        <w:t>pelayanan</w:t>
      </w:r>
      <w:r w:rsidR="00A954D0">
        <w:rPr>
          <w:rFonts w:ascii="Bookman Old Style" w:hAnsi="Bookman Old Style"/>
          <w:sz w:val="24"/>
          <w:szCs w:val="24"/>
        </w:rPr>
        <w:t xml:space="preserve"> </w:t>
      </w:r>
      <w:r w:rsidRPr="004A049F">
        <w:rPr>
          <w:rFonts w:ascii="Bookman Old Style" w:hAnsi="Bookman Old Style"/>
          <w:sz w:val="24"/>
          <w:szCs w:val="24"/>
        </w:rPr>
        <w:t>dasar</w:t>
      </w:r>
      <w:r w:rsidR="00A954D0">
        <w:rPr>
          <w:rFonts w:ascii="Bookman Old Style" w:hAnsi="Bookman Old Style"/>
          <w:sz w:val="24"/>
          <w:szCs w:val="24"/>
        </w:rPr>
        <w:t xml:space="preserve"> </w:t>
      </w:r>
      <w:r w:rsidRPr="004A049F">
        <w:rPr>
          <w:rFonts w:ascii="Bookman Old Style" w:hAnsi="Bookman Old Style"/>
          <w:sz w:val="24"/>
          <w:szCs w:val="24"/>
        </w:rPr>
        <w:t>masyarakat</w:t>
      </w:r>
      <w:r w:rsidR="00A954D0">
        <w:rPr>
          <w:rFonts w:ascii="Bookman Old Style" w:hAnsi="Bookman Old Style"/>
          <w:sz w:val="24"/>
          <w:szCs w:val="24"/>
        </w:rPr>
        <w:t xml:space="preserve"> </w:t>
      </w:r>
      <w:r w:rsidRPr="004A049F">
        <w:rPr>
          <w:rFonts w:ascii="Bookman Old Style" w:hAnsi="Bookman Old Style"/>
          <w:sz w:val="24"/>
          <w:szCs w:val="24"/>
        </w:rPr>
        <w:t>yang</w:t>
      </w:r>
      <w:r w:rsidR="00A954D0">
        <w:rPr>
          <w:rFonts w:ascii="Bookman Old Style" w:hAnsi="Bookman Old Style"/>
          <w:sz w:val="24"/>
          <w:szCs w:val="24"/>
        </w:rPr>
        <w:t xml:space="preserve"> </w:t>
      </w:r>
      <w:r w:rsidRPr="004A049F">
        <w:rPr>
          <w:rFonts w:ascii="Bookman Old Style" w:hAnsi="Bookman Old Style"/>
          <w:sz w:val="24"/>
          <w:szCs w:val="24"/>
        </w:rPr>
        <w:t>anggarannya</w:t>
      </w:r>
      <w:r w:rsidR="00A954D0">
        <w:rPr>
          <w:rFonts w:ascii="Bookman Old Style" w:hAnsi="Bookman Old Style"/>
          <w:sz w:val="24"/>
          <w:szCs w:val="24"/>
        </w:rPr>
        <w:t xml:space="preserve"> </w:t>
      </w:r>
      <w:r w:rsidRPr="004A049F">
        <w:rPr>
          <w:rFonts w:ascii="Bookman Old Style" w:hAnsi="Bookman Old Style"/>
          <w:sz w:val="24"/>
          <w:szCs w:val="24"/>
        </w:rPr>
        <w:t>belum</w:t>
      </w:r>
      <w:r w:rsidR="00A954D0">
        <w:rPr>
          <w:rFonts w:ascii="Bookman Old Style" w:hAnsi="Bookman Old Style"/>
          <w:sz w:val="24"/>
          <w:szCs w:val="24"/>
        </w:rPr>
        <w:t xml:space="preserve"> </w:t>
      </w:r>
      <w:r w:rsidRPr="004A049F">
        <w:rPr>
          <w:rFonts w:ascii="Bookman Old Style" w:hAnsi="Bookman Old Style"/>
          <w:sz w:val="24"/>
          <w:szCs w:val="24"/>
        </w:rPr>
        <w:t>tersedia</w:t>
      </w:r>
      <w:r w:rsidR="00A954D0">
        <w:rPr>
          <w:rFonts w:ascii="Bookman Old Style" w:hAnsi="Bookman Old Style"/>
          <w:sz w:val="24"/>
          <w:szCs w:val="24"/>
        </w:rPr>
        <w:t xml:space="preserve"> </w:t>
      </w:r>
      <w:r w:rsidRPr="004A049F">
        <w:rPr>
          <w:rFonts w:ascii="Bookman Old Style" w:hAnsi="Bookman Old Style"/>
          <w:sz w:val="24"/>
          <w:szCs w:val="24"/>
        </w:rPr>
        <w:t>dalam</w:t>
      </w:r>
      <w:r w:rsidR="00A954D0">
        <w:rPr>
          <w:rFonts w:ascii="Bookman Old Style" w:hAnsi="Bookman Old Style"/>
          <w:sz w:val="24"/>
          <w:szCs w:val="24"/>
        </w:rPr>
        <w:t xml:space="preserve"> </w:t>
      </w:r>
      <w:r w:rsidRPr="004A049F">
        <w:rPr>
          <w:rFonts w:ascii="Bookman Old Style" w:hAnsi="Bookman Old Style"/>
          <w:sz w:val="24"/>
          <w:szCs w:val="24"/>
        </w:rPr>
        <w:t>tahun</w:t>
      </w:r>
      <w:r w:rsidR="00A954D0">
        <w:rPr>
          <w:rFonts w:ascii="Bookman Old Style" w:hAnsi="Bookman Old Style"/>
          <w:sz w:val="24"/>
          <w:szCs w:val="24"/>
        </w:rPr>
        <w:t xml:space="preserve"> </w:t>
      </w:r>
      <w:r w:rsidRPr="004A049F">
        <w:rPr>
          <w:rFonts w:ascii="Bookman Old Style" w:hAnsi="Bookman Old Style"/>
          <w:sz w:val="24"/>
          <w:szCs w:val="24"/>
        </w:rPr>
        <w:t>anggaran</w:t>
      </w:r>
      <w:r w:rsidR="00A954D0">
        <w:rPr>
          <w:rFonts w:ascii="Bookman Old Style" w:hAnsi="Bookman Old Style"/>
          <w:sz w:val="24"/>
          <w:szCs w:val="24"/>
        </w:rPr>
        <w:t xml:space="preserve"> </w:t>
      </w:r>
      <w:r w:rsidRPr="004A049F">
        <w:rPr>
          <w:rFonts w:ascii="Bookman Old Style" w:hAnsi="Bookman Old Style"/>
          <w:sz w:val="24"/>
          <w:szCs w:val="24"/>
        </w:rPr>
        <w:t>berjalan;</w:t>
      </w:r>
    </w:p>
    <w:p w14:paraId="6D238424" w14:textId="18743D2F" w:rsidR="006E2F8F" w:rsidRPr="004A049F" w:rsidRDefault="006E2F8F" w:rsidP="004A784D">
      <w:pPr>
        <w:pStyle w:val="ListParagraph"/>
        <w:numPr>
          <w:ilvl w:val="0"/>
          <w:numId w:val="216"/>
        </w:numPr>
        <w:snapToGrid w:val="0"/>
        <w:spacing w:before="60" w:after="0" w:line="276" w:lineRule="auto"/>
        <w:ind w:left="2694" w:hanging="426"/>
        <w:contextualSpacing w:val="0"/>
        <w:jc w:val="both"/>
        <w:rPr>
          <w:rFonts w:ascii="Bookman Old Style" w:hAnsi="Bookman Old Style" w:cs="Arial"/>
          <w:sz w:val="24"/>
          <w:szCs w:val="24"/>
        </w:rPr>
      </w:pPr>
      <w:r w:rsidRPr="004A049F">
        <w:rPr>
          <w:rFonts w:ascii="Bookman Old Style" w:hAnsi="Bookman Old Style"/>
          <w:sz w:val="24"/>
          <w:szCs w:val="24"/>
        </w:rPr>
        <w:lastRenderedPageBreak/>
        <w:t>Belanja</w:t>
      </w:r>
      <w:r w:rsidR="00A954D0">
        <w:rPr>
          <w:rFonts w:ascii="Bookman Old Style" w:hAnsi="Bookman Old Style"/>
          <w:sz w:val="24"/>
          <w:szCs w:val="24"/>
        </w:rPr>
        <w:t xml:space="preserve"> </w:t>
      </w:r>
      <w:r w:rsidRPr="004A049F">
        <w:rPr>
          <w:rFonts w:ascii="Bookman Old Style" w:hAnsi="Bookman Old Style"/>
          <w:sz w:val="24"/>
          <w:szCs w:val="24"/>
        </w:rPr>
        <w:t>daerah</w:t>
      </w:r>
      <w:r w:rsidR="00A954D0">
        <w:rPr>
          <w:rFonts w:ascii="Bookman Old Style" w:hAnsi="Bookman Old Style"/>
          <w:sz w:val="24"/>
          <w:szCs w:val="24"/>
        </w:rPr>
        <w:t xml:space="preserve"> </w:t>
      </w:r>
      <w:r w:rsidRPr="004A049F">
        <w:rPr>
          <w:rFonts w:ascii="Bookman Old Style" w:hAnsi="Bookman Old Style"/>
          <w:sz w:val="24"/>
          <w:szCs w:val="24"/>
        </w:rPr>
        <w:t>yang</w:t>
      </w:r>
      <w:r w:rsidR="00A954D0">
        <w:rPr>
          <w:rFonts w:ascii="Bookman Old Style" w:hAnsi="Bookman Old Style"/>
          <w:sz w:val="24"/>
          <w:szCs w:val="24"/>
        </w:rPr>
        <w:t xml:space="preserve"> </w:t>
      </w:r>
      <w:r w:rsidRPr="004A049F">
        <w:rPr>
          <w:rFonts w:ascii="Bookman Old Style" w:hAnsi="Bookman Old Style"/>
          <w:sz w:val="24"/>
          <w:szCs w:val="24"/>
        </w:rPr>
        <w:t>bersifat</w:t>
      </w:r>
      <w:r w:rsidR="00A954D0">
        <w:rPr>
          <w:rFonts w:ascii="Bookman Old Style" w:hAnsi="Bookman Old Style"/>
          <w:sz w:val="24"/>
          <w:szCs w:val="24"/>
        </w:rPr>
        <w:t xml:space="preserve"> </w:t>
      </w:r>
      <w:r w:rsidRPr="004A049F">
        <w:rPr>
          <w:rFonts w:ascii="Bookman Old Style" w:hAnsi="Bookman Old Style"/>
          <w:sz w:val="24"/>
          <w:szCs w:val="24"/>
        </w:rPr>
        <w:t>mengikat</w:t>
      </w:r>
      <w:r w:rsidR="00A954D0">
        <w:rPr>
          <w:rFonts w:ascii="Bookman Old Style" w:hAnsi="Bookman Old Style"/>
          <w:sz w:val="24"/>
          <w:szCs w:val="24"/>
        </w:rPr>
        <w:t xml:space="preserve"> </w:t>
      </w:r>
      <w:r w:rsidRPr="004A049F">
        <w:rPr>
          <w:rFonts w:ascii="Bookman Old Style" w:hAnsi="Bookman Old Style"/>
          <w:sz w:val="24"/>
          <w:szCs w:val="24"/>
        </w:rPr>
        <w:t>dan</w:t>
      </w:r>
      <w:r w:rsidR="00A954D0">
        <w:rPr>
          <w:rFonts w:ascii="Bookman Old Style" w:hAnsi="Bookman Old Style"/>
          <w:sz w:val="24"/>
          <w:szCs w:val="24"/>
        </w:rPr>
        <w:t xml:space="preserve"> </w:t>
      </w:r>
      <w:r w:rsidRPr="004A049F">
        <w:rPr>
          <w:rFonts w:ascii="Bookman Old Style" w:hAnsi="Bookman Old Style"/>
          <w:sz w:val="24"/>
          <w:szCs w:val="24"/>
        </w:rPr>
        <w:t>belanja</w:t>
      </w:r>
      <w:r w:rsidR="00A954D0">
        <w:rPr>
          <w:rFonts w:ascii="Bookman Old Style" w:hAnsi="Bookman Old Style"/>
          <w:sz w:val="24"/>
          <w:szCs w:val="24"/>
        </w:rPr>
        <w:t xml:space="preserve"> </w:t>
      </w:r>
      <w:r w:rsidRPr="004A049F">
        <w:rPr>
          <w:rFonts w:ascii="Bookman Old Style" w:hAnsi="Bookman Old Style"/>
          <w:sz w:val="24"/>
          <w:szCs w:val="24"/>
        </w:rPr>
        <w:t>yang</w:t>
      </w:r>
      <w:r w:rsidR="00A954D0">
        <w:rPr>
          <w:rFonts w:ascii="Bookman Old Style" w:hAnsi="Bookman Old Style"/>
          <w:sz w:val="24"/>
          <w:szCs w:val="24"/>
        </w:rPr>
        <w:t xml:space="preserve"> </w:t>
      </w:r>
      <w:r w:rsidRPr="004A049F">
        <w:rPr>
          <w:rFonts w:ascii="Bookman Old Style" w:hAnsi="Bookman Old Style"/>
          <w:sz w:val="24"/>
          <w:szCs w:val="24"/>
        </w:rPr>
        <w:t>bersifat</w:t>
      </w:r>
      <w:r w:rsidR="00A954D0">
        <w:rPr>
          <w:rFonts w:ascii="Bookman Old Style" w:hAnsi="Bookman Old Style"/>
          <w:sz w:val="24"/>
          <w:szCs w:val="24"/>
        </w:rPr>
        <w:t xml:space="preserve"> </w:t>
      </w:r>
      <w:r w:rsidRPr="004A049F">
        <w:rPr>
          <w:rFonts w:ascii="Bookman Old Style" w:hAnsi="Bookman Old Style"/>
          <w:sz w:val="24"/>
          <w:szCs w:val="24"/>
        </w:rPr>
        <w:t>wajib</w:t>
      </w:r>
      <w:r w:rsidR="004A784D" w:rsidRPr="004A784D">
        <w:rPr>
          <w:rFonts w:ascii="Bookman Old Style" w:hAnsi="Bookman Old Style"/>
          <w:sz w:val="24"/>
          <w:szCs w:val="24"/>
          <w:lang w:val="sv-FI"/>
        </w:rPr>
        <w:t>:</w:t>
      </w:r>
    </w:p>
    <w:p w14:paraId="06915158" w14:textId="70737B84" w:rsidR="006E2F8F" w:rsidRPr="004A049F" w:rsidRDefault="006E2F8F" w:rsidP="004A784D">
      <w:pPr>
        <w:pStyle w:val="ListParagraph"/>
        <w:numPr>
          <w:ilvl w:val="0"/>
          <w:numId w:val="214"/>
        </w:numPr>
        <w:snapToGrid w:val="0"/>
        <w:spacing w:before="60" w:after="0" w:line="276" w:lineRule="auto"/>
        <w:ind w:left="3261" w:hanging="567"/>
        <w:contextualSpacing w:val="0"/>
        <w:jc w:val="both"/>
        <w:rPr>
          <w:rFonts w:ascii="Bookman Old Style" w:hAnsi="Bookman Old Style" w:cs="Arial"/>
          <w:sz w:val="24"/>
          <w:szCs w:val="24"/>
        </w:rPr>
      </w:pPr>
      <w:r w:rsidRPr="004A049F">
        <w:rPr>
          <w:rFonts w:ascii="Bookman Old Style" w:hAnsi="Bookman Old Style"/>
          <w:sz w:val="24"/>
          <w:szCs w:val="24"/>
        </w:rPr>
        <w:t>Belanja</w:t>
      </w:r>
      <w:r w:rsidR="00A954D0">
        <w:rPr>
          <w:rFonts w:ascii="Bookman Old Style" w:hAnsi="Bookman Old Style"/>
          <w:sz w:val="24"/>
          <w:szCs w:val="24"/>
        </w:rPr>
        <w:t xml:space="preserve"> </w:t>
      </w:r>
      <w:r w:rsidRPr="004A049F">
        <w:rPr>
          <w:rFonts w:ascii="Bookman Old Style" w:hAnsi="Bookman Old Style"/>
          <w:sz w:val="24"/>
          <w:szCs w:val="24"/>
        </w:rPr>
        <w:t>Daerah</w:t>
      </w:r>
      <w:r w:rsidR="00A954D0">
        <w:rPr>
          <w:rFonts w:ascii="Bookman Old Style" w:hAnsi="Bookman Old Style"/>
          <w:sz w:val="24"/>
          <w:szCs w:val="24"/>
        </w:rPr>
        <w:t xml:space="preserve"> </w:t>
      </w:r>
      <w:r w:rsidRPr="004A049F">
        <w:rPr>
          <w:rFonts w:ascii="Bookman Old Style" w:hAnsi="Bookman Old Style"/>
          <w:sz w:val="24"/>
          <w:szCs w:val="24"/>
        </w:rPr>
        <w:t>yang</w:t>
      </w:r>
      <w:r w:rsidR="00A954D0">
        <w:rPr>
          <w:rFonts w:ascii="Bookman Old Style" w:hAnsi="Bookman Old Style"/>
          <w:sz w:val="24"/>
          <w:szCs w:val="24"/>
        </w:rPr>
        <w:t xml:space="preserve"> </w:t>
      </w:r>
      <w:r w:rsidRPr="004A049F">
        <w:rPr>
          <w:rFonts w:ascii="Bookman Old Style" w:hAnsi="Bookman Old Style"/>
          <w:sz w:val="24"/>
          <w:szCs w:val="24"/>
        </w:rPr>
        <w:t>bersifat</w:t>
      </w:r>
      <w:r w:rsidR="00A954D0">
        <w:rPr>
          <w:rFonts w:ascii="Bookman Old Style" w:hAnsi="Bookman Old Style"/>
          <w:sz w:val="24"/>
          <w:szCs w:val="24"/>
        </w:rPr>
        <w:t xml:space="preserve"> </w:t>
      </w:r>
      <w:r w:rsidRPr="004A049F">
        <w:rPr>
          <w:rFonts w:ascii="Bookman Old Style" w:hAnsi="Bookman Old Style"/>
          <w:sz w:val="24"/>
          <w:szCs w:val="24"/>
        </w:rPr>
        <w:t>mengikat</w:t>
      </w:r>
      <w:r w:rsidR="00A954D0">
        <w:rPr>
          <w:rFonts w:ascii="Bookman Old Style" w:hAnsi="Bookman Old Style"/>
          <w:sz w:val="24"/>
          <w:szCs w:val="24"/>
        </w:rPr>
        <w:t xml:space="preserve"> </w:t>
      </w:r>
      <w:r w:rsidRPr="004A049F">
        <w:rPr>
          <w:rFonts w:ascii="Bookman Old Style" w:hAnsi="Bookman Old Style"/>
          <w:sz w:val="24"/>
          <w:szCs w:val="24"/>
        </w:rPr>
        <w:t>merupakan</w:t>
      </w:r>
      <w:r w:rsidR="00A954D0">
        <w:rPr>
          <w:rFonts w:ascii="Bookman Old Style" w:hAnsi="Bookman Old Style"/>
          <w:sz w:val="24"/>
          <w:szCs w:val="24"/>
        </w:rPr>
        <w:t xml:space="preserve"> </w:t>
      </w:r>
      <w:r w:rsidRPr="004A049F">
        <w:rPr>
          <w:rFonts w:ascii="Bookman Old Style" w:hAnsi="Bookman Old Style"/>
          <w:sz w:val="24"/>
          <w:szCs w:val="24"/>
        </w:rPr>
        <w:t>belanja</w:t>
      </w:r>
      <w:r w:rsidR="00A954D0">
        <w:rPr>
          <w:rFonts w:ascii="Bookman Old Style" w:hAnsi="Bookman Old Style"/>
          <w:sz w:val="24"/>
          <w:szCs w:val="24"/>
        </w:rPr>
        <w:t xml:space="preserve"> </w:t>
      </w:r>
      <w:r w:rsidRPr="004A049F">
        <w:rPr>
          <w:rFonts w:ascii="Bookman Old Style" w:hAnsi="Bookman Old Style"/>
          <w:sz w:val="24"/>
          <w:szCs w:val="24"/>
        </w:rPr>
        <w:t>yang</w:t>
      </w:r>
      <w:r w:rsidR="00A954D0">
        <w:rPr>
          <w:rFonts w:ascii="Bookman Old Style" w:hAnsi="Bookman Old Style"/>
          <w:sz w:val="24"/>
          <w:szCs w:val="24"/>
        </w:rPr>
        <w:t xml:space="preserve"> </w:t>
      </w:r>
      <w:r w:rsidRPr="004A049F">
        <w:rPr>
          <w:rFonts w:ascii="Bookman Old Style" w:hAnsi="Bookman Old Style"/>
          <w:sz w:val="24"/>
          <w:szCs w:val="24"/>
        </w:rPr>
        <w:t>dibutuhkan</w:t>
      </w:r>
      <w:r w:rsidR="00A954D0">
        <w:rPr>
          <w:rFonts w:ascii="Bookman Old Style" w:hAnsi="Bookman Old Style"/>
          <w:sz w:val="24"/>
          <w:szCs w:val="24"/>
        </w:rPr>
        <w:t xml:space="preserve"> </w:t>
      </w:r>
      <w:r w:rsidRPr="004A049F">
        <w:rPr>
          <w:rFonts w:ascii="Bookman Old Style" w:hAnsi="Bookman Old Style"/>
          <w:sz w:val="24"/>
          <w:szCs w:val="24"/>
        </w:rPr>
        <w:t>secara</w:t>
      </w:r>
      <w:r w:rsidR="00A954D0">
        <w:rPr>
          <w:rFonts w:ascii="Bookman Old Style" w:hAnsi="Bookman Old Style"/>
          <w:sz w:val="24"/>
          <w:szCs w:val="24"/>
        </w:rPr>
        <w:t xml:space="preserve"> </w:t>
      </w:r>
      <w:r w:rsidRPr="004A049F">
        <w:rPr>
          <w:rFonts w:ascii="Bookman Old Style" w:hAnsi="Bookman Old Style"/>
          <w:sz w:val="24"/>
          <w:szCs w:val="24"/>
        </w:rPr>
        <w:t>terus</w:t>
      </w:r>
      <w:r w:rsidR="00A954D0">
        <w:rPr>
          <w:rFonts w:ascii="Bookman Old Style" w:hAnsi="Bookman Old Style"/>
          <w:sz w:val="24"/>
          <w:szCs w:val="24"/>
        </w:rPr>
        <w:t xml:space="preserve"> </w:t>
      </w:r>
      <w:r w:rsidRPr="004A049F">
        <w:rPr>
          <w:rFonts w:ascii="Bookman Old Style" w:hAnsi="Bookman Old Style"/>
          <w:sz w:val="24"/>
          <w:szCs w:val="24"/>
        </w:rPr>
        <w:t>menerus</w:t>
      </w:r>
      <w:r w:rsidR="00A954D0">
        <w:rPr>
          <w:rFonts w:ascii="Bookman Old Style" w:hAnsi="Bookman Old Style"/>
          <w:sz w:val="24"/>
          <w:szCs w:val="24"/>
        </w:rPr>
        <w:t xml:space="preserve"> </w:t>
      </w:r>
      <w:r w:rsidRPr="004A049F">
        <w:rPr>
          <w:rFonts w:ascii="Bookman Old Style" w:hAnsi="Bookman Old Style"/>
          <w:sz w:val="24"/>
          <w:szCs w:val="24"/>
        </w:rPr>
        <w:t>dan</w:t>
      </w:r>
      <w:r w:rsidR="00A954D0">
        <w:rPr>
          <w:rFonts w:ascii="Bookman Old Style" w:hAnsi="Bookman Old Style"/>
          <w:sz w:val="24"/>
          <w:szCs w:val="24"/>
        </w:rPr>
        <w:t xml:space="preserve"> </w:t>
      </w:r>
      <w:r w:rsidRPr="004A049F">
        <w:rPr>
          <w:rFonts w:ascii="Bookman Old Style" w:hAnsi="Bookman Old Style"/>
          <w:sz w:val="24"/>
          <w:szCs w:val="24"/>
        </w:rPr>
        <w:t>harus</w:t>
      </w:r>
      <w:r w:rsidR="00A954D0">
        <w:rPr>
          <w:rFonts w:ascii="Bookman Old Style" w:hAnsi="Bookman Old Style"/>
          <w:sz w:val="24"/>
          <w:szCs w:val="24"/>
        </w:rPr>
        <w:t xml:space="preserve"> </w:t>
      </w:r>
      <w:r w:rsidRPr="004A049F">
        <w:rPr>
          <w:rFonts w:ascii="Bookman Old Style" w:hAnsi="Bookman Old Style"/>
          <w:sz w:val="24"/>
          <w:szCs w:val="24"/>
        </w:rPr>
        <w:t>dialokasikan</w:t>
      </w:r>
      <w:r w:rsidR="00A954D0">
        <w:rPr>
          <w:rFonts w:ascii="Bookman Old Style" w:hAnsi="Bookman Old Style"/>
          <w:sz w:val="24"/>
          <w:szCs w:val="24"/>
        </w:rPr>
        <w:t xml:space="preserve"> </w:t>
      </w:r>
      <w:r w:rsidRPr="004A049F">
        <w:rPr>
          <w:rFonts w:ascii="Bookman Old Style" w:hAnsi="Bookman Old Style"/>
          <w:sz w:val="24"/>
          <w:szCs w:val="24"/>
        </w:rPr>
        <w:t>oleh</w:t>
      </w:r>
      <w:r w:rsidR="00A954D0">
        <w:rPr>
          <w:rFonts w:ascii="Bookman Old Style" w:hAnsi="Bookman Old Style"/>
          <w:sz w:val="24"/>
          <w:szCs w:val="24"/>
        </w:rPr>
        <w:t xml:space="preserve"> </w:t>
      </w:r>
      <w:r w:rsidRPr="004A049F">
        <w:rPr>
          <w:rFonts w:ascii="Bookman Old Style" w:hAnsi="Bookman Old Style"/>
          <w:sz w:val="24"/>
          <w:szCs w:val="24"/>
        </w:rPr>
        <w:t>pemerintah</w:t>
      </w:r>
      <w:r w:rsidR="00A954D0">
        <w:rPr>
          <w:rFonts w:ascii="Bookman Old Style" w:hAnsi="Bookman Old Style"/>
          <w:sz w:val="24"/>
          <w:szCs w:val="24"/>
        </w:rPr>
        <w:t xml:space="preserve"> </w:t>
      </w:r>
      <w:r w:rsidRPr="004A049F">
        <w:rPr>
          <w:rFonts w:ascii="Bookman Old Style" w:hAnsi="Bookman Old Style"/>
          <w:sz w:val="24"/>
          <w:szCs w:val="24"/>
        </w:rPr>
        <w:t>daerah</w:t>
      </w:r>
      <w:r w:rsidR="00A954D0">
        <w:rPr>
          <w:rFonts w:ascii="Bookman Old Style" w:hAnsi="Bookman Old Style"/>
          <w:sz w:val="24"/>
          <w:szCs w:val="24"/>
        </w:rPr>
        <w:t xml:space="preserve"> </w:t>
      </w:r>
      <w:r w:rsidRPr="004A049F">
        <w:rPr>
          <w:rFonts w:ascii="Bookman Old Style" w:hAnsi="Bookman Old Style"/>
          <w:sz w:val="24"/>
          <w:szCs w:val="24"/>
        </w:rPr>
        <w:t>dengan</w:t>
      </w:r>
      <w:r w:rsidR="00A954D0">
        <w:rPr>
          <w:rFonts w:ascii="Bookman Old Style" w:hAnsi="Bookman Old Style"/>
          <w:sz w:val="24"/>
          <w:szCs w:val="24"/>
        </w:rPr>
        <w:t xml:space="preserve"> </w:t>
      </w:r>
      <w:r w:rsidRPr="004A049F">
        <w:rPr>
          <w:rFonts w:ascii="Bookman Old Style" w:hAnsi="Bookman Old Style"/>
          <w:sz w:val="24"/>
          <w:szCs w:val="24"/>
        </w:rPr>
        <w:t>jumlah</w:t>
      </w:r>
      <w:r w:rsidR="00A954D0">
        <w:rPr>
          <w:rFonts w:ascii="Bookman Old Style" w:hAnsi="Bookman Old Style"/>
          <w:sz w:val="24"/>
          <w:szCs w:val="24"/>
        </w:rPr>
        <w:t xml:space="preserve"> </w:t>
      </w:r>
      <w:r w:rsidRPr="004A049F">
        <w:rPr>
          <w:rFonts w:ascii="Bookman Old Style" w:hAnsi="Bookman Old Style"/>
          <w:sz w:val="24"/>
          <w:szCs w:val="24"/>
        </w:rPr>
        <w:t>yang</w:t>
      </w:r>
      <w:r w:rsidR="00A954D0">
        <w:rPr>
          <w:rFonts w:ascii="Bookman Old Style" w:hAnsi="Bookman Old Style"/>
          <w:sz w:val="24"/>
          <w:szCs w:val="24"/>
        </w:rPr>
        <w:t xml:space="preserve"> </w:t>
      </w:r>
      <w:r w:rsidRPr="004A049F">
        <w:rPr>
          <w:rFonts w:ascii="Bookman Old Style" w:hAnsi="Bookman Old Style"/>
          <w:sz w:val="24"/>
          <w:szCs w:val="24"/>
        </w:rPr>
        <w:t>cukup</w:t>
      </w:r>
      <w:r w:rsidR="00A954D0">
        <w:rPr>
          <w:rFonts w:ascii="Bookman Old Style" w:hAnsi="Bookman Old Style"/>
          <w:sz w:val="24"/>
          <w:szCs w:val="24"/>
        </w:rPr>
        <w:t xml:space="preserve"> </w:t>
      </w:r>
      <w:r w:rsidRPr="004A049F">
        <w:rPr>
          <w:rFonts w:ascii="Bookman Old Style" w:hAnsi="Bookman Old Style"/>
          <w:sz w:val="24"/>
          <w:szCs w:val="24"/>
        </w:rPr>
        <w:t>untuk</w:t>
      </w:r>
      <w:r w:rsidR="00A954D0">
        <w:rPr>
          <w:rFonts w:ascii="Bookman Old Style" w:hAnsi="Bookman Old Style"/>
          <w:sz w:val="24"/>
          <w:szCs w:val="24"/>
        </w:rPr>
        <w:t xml:space="preserve"> </w:t>
      </w:r>
      <w:r w:rsidRPr="004A049F">
        <w:rPr>
          <w:rFonts w:ascii="Bookman Old Style" w:hAnsi="Bookman Old Style"/>
          <w:sz w:val="24"/>
          <w:szCs w:val="24"/>
        </w:rPr>
        <w:t>keperluan</w:t>
      </w:r>
      <w:r w:rsidR="00A954D0">
        <w:rPr>
          <w:rFonts w:ascii="Bookman Old Style" w:hAnsi="Bookman Old Style"/>
          <w:sz w:val="24"/>
          <w:szCs w:val="24"/>
        </w:rPr>
        <w:t xml:space="preserve"> </w:t>
      </w:r>
      <w:r w:rsidRPr="004A049F">
        <w:rPr>
          <w:rFonts w:ascii="Bookman Old Style" w:hAnsi="Bookman Old Style"/>
          <w:sz w:val="24"/>
          <w:szCs w:val="24"/>
        </w:rPr>
        <w:t>setiap</w:t>
      </w:r>
      <w:r w:rsidR="00A954D0">
        <w:rPr>
          <w:rFonts w:ascii="Bookman Old Style" w:hAnsi="Bookman Old Style"/>
          <w:sz w:val="24"/>
          <w:szCs w:val="24"/>
        </w:rPr>
        <w:t xml:space="preserve"> </w:t>
      </w:r>
      <w:r w:rsidRPr="004A049F">
        <w:rPr>
          <w:rFonts w:ascii="Bookman Old Style" w:hAnsi="Bookman Old Style"/>
          <w:sz w:val="24"/>
          <w:szCs w:val="24"/>
        </w:rPr>
        <w:t>bulan</w:t>
      </w:r>
      <w:r w:rsidR="00A954D0">
        <w:rPr>
          <w:rFonts w:ascii="Bookman Old Style" w:hAnsi="Bookman Old Style"/>
          <w:sz w:val="24"/>
          <w:szCs w:val="24"/>
        </w:rPr>
        <w:t xml:space="preserve"> </w:t>
      </w:r>
      <w:r w:rsidRPr="004A049F">
        <w:rPr>
          <w:rFonts w:ascii="Bookman Old Style" w:hAnsi="Bookman Old Style"/>
          <w:sz w:val="24"/>
          <w:szCs w:val="24"/>
        </w:rPr>
        <w:t>dalam</w:t>
      </w:r>
      <w:r w:rsidR="00A954D0">
        <w:rPr>
          <w:rFonts w:ascii="Bookman Old Style" w:hAnsi="Bookman Old Style"/>
          <w:sz w:val="24"/>
          <w:szCs w:val="24"/>
        </w:rPr>
        <w:t xml:space="preserve"> </w:t>
      </w:r>
      <w:r w:rsidRPr="004A049F">
        <w:rPr>
          <w:rFonts w:ascii="Bookman Old Style" w:hAnsi="Bookman Old Style"/>
          <w:sz w:val="24"/>
          <w:szCs w:val="24"/>
        </w:rPr>
        <w:t>tahun</w:t>
      </w:r>
      <w:r w:rsidR="00A954D0">
        <w:rPr>
          <w:rFonts w:ascii="Bookman Old Style" w:hAnsi="Bookman Old Style"/>
          <w:sz w:val="24"/>
          <w:szCs w:val="24"/>
        </w:rPr>
        <w:t xml:space="preserve"> </w:t>
      </w:r>
      <w:r w:rsidRPr="004A049F">
        <w:rPr>
          <w:rFonts w:ascii="Bookman Old Style" w:hAnsi="Bookman Old Style"/>
          <w:sz w:val="24"/>
          <w:szCs w:val="24"/>
        </w:rPr>
        <w:t>anggaran</w:t>
      </w:r>
      <w:r w:rsidR="00A954D0">
        <w:rPr>
          <w:rFonts w:ascii="Bookman Old Style" w:hAnsi="Bookman Old Style"/>
          <w:sz w:val="24"/>
          <w:szCs w:val="24"/>
        </w:rPr>
        <w:t xml:space="preserve"> </w:t>
      </w:r>
      <w:r w:rsidRPr="004A049F">
        <w:rPr>
          <w:rFonts w:ascii="Bookman Old Style" w:hAnsi="Bookman Old Style"/>
          <w:sz w:val="24"/>
          <w:szCs w:val="24"/>
        </w:rPr>
        <w:t>berkenaan</w:t>
      </w:r>
      <w:r w:rsidR="00A954D0">
        <w:rPr>
          <w:rFonts w:ascii="Bookman Old Style" w:hAnsi="Bookman Old Style"/>
          <w:sz w:val="24"/>
          <w:szCs w:val="24"/>
        </w:rPr>
        <w:t xml:space="preserve"> </w:t>
      </w:r>
      <w:r w:rsidRPr="004A049F">
        <w:rPr>
          <w:rFonts w:ascii="Bookman Old Style" w:hAnsi="Bookman Old Style"/>
          <w:sz w:val="24"/>
          <w:szCs w:val="24"/>
        </w:rPr>
        <w:t>seperti</w:t>
      </w:r>
      <w:r>
        <w:rPr>
          <w:rFonts w:ascii="Bookman Old Style" w:hAnsi="Bookman Old Style"/>
          <w:sz w:val="24"/>
          <w:szCs w:val="24"/>
        </w:rPr>
        <w:t>:</w:t>
      </w:r>
    </w:p>
    <w:p w14:paraId="0FEA558B" w14:textId="1DAEC3CC" w:rsidR="006E2F8F" w:rsidRPr="004A049F" w:rsidRDefault="006E2F8F" w:rsidP="004A784D">
      <w:pPr>
        <w:pStyle w:val="ListParagraph"/>
        <w:numPr>
          <w:ilvl w:val="0"/>
          <w:numId w:val="215"/>
        </w:numPr>
        <w:snapToGrid w:val="0"/>
        <w:spacing w:before="60" w:after="0" w:line="276" w:lineRule="auto"/>
        <w:ind w:left="3686" w:hanging="425"/>
        <w:contextualSpacing w:val="0"/>
        <w:jc w:val="both"/>
        <w:rPr>
          <w:rFonts w:ascii="Bookman Old Style" w:hAnsi="Bookman Old Style" w:cs="Arial"/>
          <w:sz w:val="24"/>
          <w:szCs w:val="24"/>
        </w:rPr>
      </w:pPr>
      <w:r w:rsidRPr="004A049F">
        <w:rPr>
          <w:rFonts w:ascii="Bookman Old Style" w:hAnsi="Bookman Old Style"/>
          <w:sz w:val="24"/>
          <w:szCs w:val="24"/>
        </w:rPr>
        <w:t>Belanja</w:t>
      </w:r>
      <w:r w:rsidR="00A954D0">
        <w:rPr>
          <w:rFonts w:ascii="Bookman Old Style" w:hAnsi="Bookman Old Style"/>
          <w:sz w:val="24"/>
          <w:szCs w:val="24"/>
        </w:rPr>
        <w:t xml:space="preserve"> </w:t>
      </w:r>
      <w:r w:rsidRPr="004A049F">
        <w:rPr>
          <w:rFonts w:ascii="Bookman Old Style" w:hAnsi="Bookman Old Style"/>
          <w:sz w:val="24"/>
          <w:szCs w:val="24"/>
        </w:rPr>
        <w:t>Pegawai</w:t>
      </w:r>
      <w:r w:rsidR="00A954D0">
        <w:rPr>
          <w:rFonts w:ascii="Bookman Old Style" w:hAnsi="Bookman Old Style"/>
          <w:sz w:val="24"/>
          <w:szCs w:val="24"/>
        </w:rPr>
        <w:t xml:space="preserve"> </w:t>
      </w:r>
      <w:r w:rsidRPr="004A049F">
        <w:rPr>
          <w:rFonts w:ascii="Bookman Old Style" w:hAnsi="Bookman Old Style"/>
          <w:sz w:val="24"/>
          <w:szCs w:val="24"/>
        </w:rPr>
        <w:t>antara</w:t>
      </w:r>
      <w:r w:rsidR="00A954D0">
        <w:rPr>
          <w:rFonts w:ascii="Bookman Old Style" w:hAnsi="Bookman Old Style"/>
          <w:sz w:val="24"/>
          <w:szCs w:val="24"/>
        </w:rPr>
        <w:t xml:space="preserve"> </w:t>
      </w:r>
      <w:r w:rsidRPr="004A049F">
        <w:rPr>
          <w:rFonts w:ascii="Bookman Old Style" w:hAnsi="Bookman Old Style"/>
          <w:sz w:val="24"/>
          <w:szCs w:val="24"/>
        </w:rPr>
        <w:t>lain</w:t>
      </w:r>
      <w:r w:rsidR="00A954D0">
        <w:rPr>
          <w:rFonts w:ascii="Bookman Old Style" w:hAnsi="Bookman Old Style"/>
          <w:sz w:val="24"/>
          <w:szCs w:val="24"/>
        </w:rPr>
        <w:t xml:space="preserve"> </w:t>
      </w:r>
      <w:r w:rsidRPr="004A049F">
        <w:rPr>
          <w:rFonts w:ascii="Bookman Old Style" w:hAnsi="Bookman Old Style"/>
          <w:sz w:val="24"/>
          <w:szCs w:val="24"/>
        </w:rPr>
        <w:t>untuk</w:t>
      </w:r>
      <w:r w:rsidR="00A954D0">
        <w:rPr>
          <w:rFonts w:ascii="Bookman Old Style" w:hAnsi="Bookman Old Style"/>
          <w:sz w:val="24"/>
          <w:szCs w:val="24"/>
        </w:rPr>
        <w:t xml:space="preserve"> </w:t>
      </w:r>
      <w:r w:rsidRPr="004A049F">
        <w:rPr>
          <w:rFonts w:ascii="Bookman Old Style" w:hAnsi="Bookman Old Style"/>
          <w:sz w:val="24"/>
          <w:szCs w:val="24"/>
        </w:rPr>
        <w:t>pembayaran</w:t>
      </w:r>
      <w:r w:rsidR="00A954D0">
        <w:rPr>
          <w:rFonts w:ascii="Bookman Old Style" w:hAnsi="Bookman Old Style"/>
          <w:sz w:val="24"/>
          <w:szCs w:val="24"/>
        </w:rPr>
        <w:t xml:space="preserve"> </w:t>
      </w:r>
      <w:r w:rsidRPr="004A049F">
        <w:rPr>
          <w:rFonts w:ascii="Bookman Old Style" w:hAnsi="Bookman Old Style"/>
          <w:sz w:val="24"/>
          <w:szCs w:val="24"/>
        </w:rPr>
        <w:t>kekurangan</w:t>
      </w:r>
      <w:r w:rsidR="00A954D0">
        <w:rPr>
          <w:rFonts w:ascii="Bookman Old Style" w:hAnsi="Bookman Old Style"/>
          <w:sz w:val="24"/>
          <w:szCs w:val="24"/>
        </w:rPr>
        <w:t xml:space="preserve"> </w:t>
      </w:r>
      <w:r w:rsidRPr="004A049F">
        <w:rPr>
          <w:rFonts w:ascii="Bookman Old Style" w:hAnsi="Bookman Old Style"/>
          <w:sz w:val="24"/>
          <w:szCs w:val="24"/>
        </w:rPr>
        <w:t>gaji,</w:t>
      </w:r>
      <w:r w:rsidR="00A954D0">
        <w:rPr>
          <w:rFonts w:ascii="Bookman Old Style" w:hAnsi="Bookman Old Style"/>
          <w:sz w:val="24"/>
          <w:szCs w:val="24"/>
        </w:rPr>
        <w:t xml:space="preserve"> </w:t>
      </w:r>
      <w:r w:rsidRPr="004A049F">
        <w:rPr>
          <w:rFonts w:ascii="Bookman Old Style" w:hAnsi="Bookman Old Style"/>
          <w:sz w:val="24"/>
          <w:szCs w:val="24"/>
        </w:rPr>
        <w:t>tunjangan;</w:t>
      </w:r>
      <w:r w:rsidR="00A954D0">
        <w:rPr>
          <w:rFonts w:ascii="Bookman Old Style" w:hAnsi="Bookman Old Style"/>
          <w:sz w:val="24"/>
          <w:szCs w:val="24"/>
        </w:rPr>
        <w:t xml:space="preserve"> </w:t>
      </w:r>
      <w:r w:rsidRPr="004A049F">
        <w:rPr>
          <w:rFonts w:ascii="Bookman Old Style" w:hAnsi="Bookman Old Style"/>
          <w:sz w:val="24"/>
          <w:szCs w:val="24"/>
        </w:rPr>
        <w:t>dan</w:t>
      </w:r>
    </w:p>
    <w:p w14:paraId="2BE06E4B" w14:textId="647BA7A6" w:rsidR="006E2F8F" w:rsidRPr="004A049F" w:rsidRDefault="006E2F8F" w:rsidP="004A784D">
      <w:pPr>
        <w:pStyle w:val="ListParagraph"/>
        <w:numPr>
          <w:ilvl w:val="0"/>
          <w:numId w:val="215"/>
        </w:numPr>
        <w:snapToGrid w:val="0"/>
        <w:spacing w:before="60" w:after="0" w:line="276" w:lineRule="auto"/>
        <w:ind w:left="3686" w:hanging="425"/>
        <w:contextualSpacing w:val="0"/>
        <w:jc w:val="both"/>
        <w:rPr>
          <w:rFonts w:ascii="Bookman Old Style" w:hAnsi="Bookman Old Style" w:cs="Arial"/>
          <w:sz w:val="24"/>
          <w:szCs w:val="24"/>
        </w:rPr>
      </w:pPr>
      <w:r w:rsidRPr="004A049F">
        <w:rPr>
          <w:rFonts w:ascii="Bookman Old Style" w:hAnsi="Bookman Old Style"/>
          <w:sz w:val="24"/>
          <w:szCs w:val="24"/>
        </w:rPr>
        <w:t>Belanja</w:t>
      </w:r>
      <w:r w:rsidR="00A954D0">
        <w:rPr>
          <w:rFonts w:ascii="Bookman Old Style" w:hAnsi="Bookman Old Style"/>
          <w:sz w:val="24"/>
          <w:szCs w:val="24"/>
        </w:rPr>
        <w:t xml:space="preserve"> </w:t>
      </w:r>
      <w:r w:rsidRPr="004A049F">
        <w:rPr>
          <w:rFonts w:ascii="Bookman Old Style" w:hAnsi="Bookman Old Style"/>
          <w:sz w:val="24"/>
          <w:szCs w:val="24"/>
        </w:rPr>
        <w:t>Barang</w:t>
      </w:r>
      <w:r w:rsidR="00A954D0">
        <w:rPr>
          <w:rFonts w:ascii="Bookman Old Style" w:hAnsi="Bookman Old Style"/>
          <w:sz w:val="24"/>
          <w:szCs w:val="24"/>
        </w:rPr>
        <w:t xml:space="preserve"> </w:t>
      </w:r>
      <w:r w:rsidRPr="004A049F">
        <w:rPr>
          <w:rFonts w:ascii="Bookman Old Style" w:hAnsi="Bookman Old Style"/>
          <w:sz w:val="24"/>
          <w:szCs w:val="24"/>
        </w:rPr>
        <w:t>dan</w:t>
      </w:r>
      <w:r w:rsidR="00A954D0">
        <w:rPr>
          <w:rFonts w:ascii="Bookman Old Style" w:hAnsi="Bookman Old Style"/>
          <w:sz w:val="24"/>
          <w:szCs w:val="24"/>
        </w:rPr>
        <w:t xml:space="preserve"> </w:t>
      </w:r>
      <w:r w:rsidRPr="004A049F">
        <w:rPr>
          <w:rFonts w:ascii="Bookman Old Style" w:hAnsi="Bookman Old Style"/>
          <w:sz w:val="24"/>
          <w:szCs w:val="24"/>
        </w:rPr>
        <w:t>Jasa</w:t>
      </w:r>
      <w:r w:rsidR="00A954D0">
        <w:rPr>
          <w:rFonts w:ascii="Bookman Old Style" w:hAnsi="Bookman Old Style"/>
          <w:sz w:val="24"/>
          <w:szCs w:val="24"/>
        </w:rPr>
        <w:t xml:space="preserve"> </w:t>
      </w:r>
      <w:r w:rsidRPr="004A049F">
        <w:rPr>
          <w:rFonts w:ascii="Bookman Old Style" w:hAnsi="Bookman Old Style"/>
          <w:sz w:val="24"/>
          <w:szCs w:val="24"/>
        </w:rPr>
        <w:t>antara</w:t>
      </w:r>
      <w:r w:rsidR="00A954D0">
        <w:rPr>
          <w:rFonts w:ascii="Bookman Old Style" w:hAnsi="Bookman Old Style"/>
          <w:sz w:val="24"/>
          <w:szCs w:val="24"/>
        </w:rPr>
        <w:t xml:space="preserve"> </w:t>
      </w:r>
      <w:r w:rsidRPr="004A049F">
        <w:rPr>
          <w:rFonts w:ascii="Bookman Old Style" w:hAnsi="Bookman Old Style"/>
          <w:sz w:val="24"/>
          <w:szCs w:val="24"/>
        </w:rPr>
        <w:t>lain</w:t>
      </w:r>
      <w:r w:rsidR="00A954D0">
        <w:rPr>
          <w:rFonts w:ascii="Bookman Old Style" w:hAnsi="Bookman Old Style"/>
          <w:sz w:val="24"/>
          <w:szCs w:val="24"/>
        </w:rPr>
        <w:t xml:space="preserve"> </w:t>
      </w:r>
      <w:r w:rsidRPr="004A049F">
        <w:rPr>
          <w:rFonts w:ascii="Bookman Old Style" w:hAnsi="Bookman Old Style"/>
          <w:sz w:val="24"/>
          <w:szCs w:val="24"/>
        </w:rPr>
        <w:t>untuk</w:t>
      </w:r>
      <w:r w:rsidR="00A954D0">
        <w:rPr>
          <w:rFonts w:ascii="Bookman Old Style" w:hAnsi="Bookman Old Style"/>
          <w:sz w:val="24"/>
          <w:szCs w:val="24"/>
        </w:rPr>
        <w:t xml:space="preserve"> </w:t>
      </w:r>
      <w:r w:rsidRPr="004A049F">
        <w:rPr>
          <w:rFonts w:ascii="Bookman Old Style" w:hAnsi="Bookman Old Style"/>
          <w:sz w:val="24"/>
          <w:szCs w:val="24"/>
        </w:rPr>
        <w:t>pembayaran</w:t>
      </w:r>
      <w:r w:rsidR="00A954D0">
        <w:rPr>
          <w:rFonts w:ascii="Bookman Old Style" w:hAnsi="Bookman Old Style"/>
          <w:sz w:val="24"/>
          <w:szCs w:val="24"/>
        </w:rPr>
        <w:t xml:space="preserve"> </w:t>
      </w:r>
      <w:r w:rsidRPr="004A049F">
        <w:rPr>
          <w:rFonts w:ascii="Bookman Old Style" w:hAnsi="Bookman Old Style"/>
          <w:sz w:val="24"/>
          <w:szCs w:val="24"/>
        </w:rPr>
        <w:t>telepon</w:t>
      </w:r>
      <w:r w:rsidR="00A954D0">
        <w:rPr>
          <w:rFonts w:ascii="Bookman Old Style" w:hAnsi="Bookman Old Style"/>
          <w:sz w:val="24"/>
          <w:szCs w:val="24"/>
        </w:rPr>
        <w:t xml:space="preserve"> </w:t>
      </w:r>
      <w:r w:rsidRPr="004A049F">
        <w:rPr>
          <w:rFonts w:ascii="Bookman Old Style" w:hAnsi="Bookman Old Style"/>
          <w:sz w:val="24"/>
          <w:szCs w:val="24"/>
        </w:rPr>
        <w:t>air,</w:t>
      </w:r>
      <w:r w:rsidR="00A954D0">
        <w:rPr>
          <w:rFonts w:ascii="Bookman Old Style" w:hAnsi="Bookman Old Style"/>
          <w:sz w:val="24"/>
          <w:szCs w:val="24"/>
        </w:rPr>
        <w:t xml:space="preserve"> </w:t>
      </w:r>
      <w:r w:rsidRPr="004A049F">
        <w:rPr>
          <w:rFonts w:ascii="Bookman Old Style" w:hAnsi="Bookman Old Style"/>
          <w:sz w:val="24"/>
          <w:szCs w:val="24"/>
        </w:rPr>
        <w:t>listrik</w:t>
      </w:r>
      <w:r w:rsidR="00A954D0">
        <w:rPr>
          <w:rFonts w:ascii="Bookman Old Style" w:hAnsi="Bookman Old Style"/>
          <w:sz w:val="24"/>
          <w:szCs w:val="24"/>
        </w:rPr>
        <w:t xml:space="preserve"> </w:t>
      </w:r>
      <w:r w:rsidRPr="004A049F">
        <w:rPr>
          <w:rFonts w:ascii="Bookman Old Style" w:hAnsi="Bookman Old Style"/>
          <w:sz w:val="24"/>
          <w:szCs w:val="24"/>
        </w:rPr>
        <w:t>dan</w:t>
      </w:r>
      <w:r w:rsidR="00A954D0">
        <w:rPr>
          <w:rFonts w:ascii="Bookman Old Style" w:hAnsi="Bookman Old Style"/>
          <w:sz w:val="24"/>
          <w:szCs w:val="24"/>
        </w:rPr>
        <w:t xml:space="preserve"> </w:t>
      </w:r>
      <w:r w:rsidRPr="004A049F">
        <w:rPr>
          <w:rFonts w:ascii="Bookman Old Style" w:hAnsi="Bookman Old Style"/>
          <w:sz w:val="24"/>
          <w:szCs w:val="24"/>
        </w:rPr>
        <w:t>internet.</w:t>
      </w:r>
    </w:p>
    <w:p w14:paraId="5BF400F2" w14:textId="2AD51BB9" w:rsidR="006E2F8F" w:rsidRPr="001A356C" w:rsidRDefault="006E2F8F" w:rsidP="004A784D">
      <w:pPr>
        <w:pStyle w:val="ListParagraph"/>
        <w:numPr>
          <w:ilvl w:val="0"/>
          <w:numId w:val="214"/>
        </w:numPr>
        <w:snapToGrid w:val="0"/>
        <w:spacing w:before="60" w:after="0" w:line="276" w:lineRule="auto"/>
        <w:ind w:left="3261" w:hanging="567"/>
        <w:contextualSpacing w:val="0"/>
        <w:jc w:val="both"/>
        <w:rPr>
          <w:rFonts w:ascii="Bookman Old Style" w:hAnsi="Bookman Old Style" w:cs="Arial"/>
          <w:sz w:val="24"/>
          <w:szCs w:val="24"/>
        </w:rPr>
      </w:pPr>
      <w:r w:rsidRPr="004A049F">
        <w:rPr>
          <w:rFonts w:ascii="Bookman Old Style" w:hAnsi="Bookman Old Style"/>
          <w:sz w:val="24"/>
          <w:szCs w:val="24"/>
        </w:rPr>
        <w:t>Belanja</w:t>
      </w:r>
      <w:r w:rsidR="00A954D0">
        <w:rPr>
          <w:rFonts w:ascii="Bookman Old Style" w:hAnsi="Bookman Old Style"/>
          <w:sz w:val="24"/>
          <w:szCs w:val="24"/>
        </w:rPr>
        <w:t xml:space="preserve"> </w:t>
      </w:r>
      <w:r w:rsidRPr="004A049F">
        <w:rPr>
          <w:rFonts w:ascii="Bookman Old Style" w:hAnsi="Bookman Old Style"/>
          <w:sz w:val="24"/>
          <w:szCs w:val="24"/>
        </w:rPr>
        <w:t>Daerah</w:t>
      </w:r>
      <w:r w:rsidR="00A954D0">
        <w:rPr>
          <w:rFonts w:ascii="Bookman Old Style" w:hAnsi="Bookman Old Style"/>
          <w:sz w:val="24"/>
          <w:szCs w:val="24"/>
        </w:rPr>
        <w:t xml:space="preserve"> </w:t>
      </w:r>
      <w:r w:rsidRPr="004A049F">
        <w:rPr>
          <w:rFonts w:ascii="Bookman Old Style" w:hAnsi="Bookman Old Style"/>
          <w:sz w:val="24"/>
          <w:szCs w:val="24"/>
        </w:rPr>
        <w:t>yang</w:t>
      </w:r>
      <w:r w:rsidR="00A954D0">
        <w:rPr>
          <w:rFonts w:ascii="Bookman Old Style" w:hAnsi="Bookman Old Style"/>
          <w:sz w:val="24"/>
          <w:szCs w:val="24"/>
        </w:rPr>
        <w:t xml:space="preserve"> </w:t>
      </w:r>
      <w:r w:rsidRPr="004A049F">
        <w:rPr>
          <w:rFonts w:ascii="Bookman Old Style" w:hAnsi="Bookman Old Style"/>
          <w:sz w:val="24"/>
          <w:szCs w:val="24"/>
        </w:rPr>
        <w:t>bersifat</w:t>
      </w:r>
      <w:r w:rsidR="00A954D0">
        <w:rPr>
          <w:rFonts w:ascii="Bookman Old Style" w:hAnsi="Bookman Old Style"/>
          <w:sz w:val="24"/>
          <w:szCs w:val="24"/>
        </w:rPr>
        <w:t xml:space="preserve"> </w:t>
      </w:r>
      <w:r w:rsidRPr="004A049F">
        <w:rPr>
          <w:rFonts w:ascii="Bookman Old Style" w:hAnsi="Bookman Old Style"/>
          <w:sz w:val="24"/>
          <w:szCs w:val="24"/>
        </w:rPr>
        <w:t>wajib</w:t>
      </w:r>
      <w:r w:rsidR="00A954D0">
        <w:rPr>
          <w:rFonts w:ascii="Bookman Old Style" w:hAnsi="Bookman Old Style"/>
          <w:sz w:val="24"/>
          <w:szCs w:val="24"/>
        </w:rPr>
        <w:t xml:space="preserve"> </w:t>
      </w:r>
      <w:r w:rsidRPr="004A049F">
        <w:rPr>
          <w:rFonts w:ascii="Bookman Old Style" w:hAnsi="Bookman Old Style"/>
          <w:sz w:val="24"/>
          <w:szCs w:val="24"/>
        </w:rPr>
        <w:t>merupakan</w:t>
      </w:r>
      <w:r w:rsidR="00A954D0">
        <w:rPr>
          <w:rFonts w:ascii="Bookman Old Style" w:hAnsi="Bookman Old Style"/>
          <w:sz w:val="24"/>
          <w:szCs w:val="24"/>
        </w:rPr>
        <w:t xml:space="preserve"> </w:t>
      </w:r>
      <w:r w:rsidRPr="004A049F">
        <w:rPr>
          <w:rFonts w:ascii="Bookman Old Style" w:hAnsi="Bookman Old Style"/>
          <w:sz w:val="24"/>
          <w:szCs w:val="24"/>
        </w:rPr>
        <w:t>belanja</w:t>
      </w:r>
      <w:r w:rsidR="00A954D0">
        <w:rPr>
          <w:rFonts w:ascii="Bookman Old Style" w:hAnsi="Bookman Old Style"/>
          <w:sz w:val="24"/>
          <w:szCs w:val="24"/>
        </w:rPr>
        <w:t xml:space="preserve"> </w:t>
      </w:r>
      <w:r w:rsidRPr="004A049F">
        <w:rPr>
          <w:rFonts w:ascii="Bookman Old Style" w:hAnsi="Bookman Old Style"/>
          <w:sz w:val="24"/>
          <w:szCs w:val="24"/>
        </w:rPr>
        <w:t>untuk</w:t>
      </w:r>
      <w:r w:rsidR="00A954D0">
        <w:rPr>
          <w:rFonts w:ascii="Bookman Old Style" w:hAnsi="Bookman Old Style"/>
          <w:sz w:val="24"/>
          <w:szCs w:val="24"/>
        </w:rPr>
        <w:t xml:space="preserve"> </w:t>
      </w:r>
      <w:r w:rsidRPr="004A049F">
        <w:rPr>
          <w:rFonts w:ascii="Bookman Old Style" w:hAnsi="Bookman Old Style"/>
          <w:sz w:val="24"/>
          <w:szCs w:val="24"/>
        </w:rPr>
        <w:t>terjaminnya</w:t>
      </w:r>
      <w:r w:rsidR="00A954D0">
        <w:rPr>
          <w:rFonts w:ascii="Bookman Old Style" w:hAnsi="Bookman Old Style"/>
          <w:sz w:val="24"/>
          <w:szCs w:val="24"/>
        </w:rPr>
        <w:t xml:space="preserve"> </w:t>
      </w:r>
      <w:r w:rsidRPr="004A049F">
        <w:rPr>
          <w:rFonts w:ascii="Bookman Old Style" w:hAnsi="Bookman Old Style"/>
          <w:sz w:val="24"/>
          <w:szCs w:val="24"/>
        </w:rPr>
        <w:t>kelangsungan</w:t>
      </w:r>
      <w:r w:rsidR="00A954D0">
        <w:rPr>
          <w:rFonts w:ascii="Bookman Old Style" w:hAnsi="Bookman Old Style"/>
          <w:sz w:val="24"/>
          <w:szCs w:val="24"/>
        </w:rPr>
        <w:t xml:space="preserve"> </w:t>
      </w:r>
      <w:r w:rsidRPr="004A049F">
        <w:rPr>
          <w:rFonts w:ascii="Bookman Old Style" w:hAnsi="Bookman Old Style"/>
          <w:sz w:val="24"/>
          <w:szCs w:val="24"/>
        </w:rPr>
        <w:t>pemenuhan</w:t>
      </w:r>
      <w:r w:rsidR="00A954D0">
        <w:rPr>
          <w:rFonts w:ascii="Bookman Old Style" w:hAnsi="Bookman Old Style"/>
          <w:sz w:val="24"/>
          <w:szCs w:val="24"/>
        </w:rPr>
        <w:t xml:space="preserve"> </w:t>
      </w:r>
      <w:r w:rsidRPr="004A049F">
        <w:rPr>
          <w:rFonts w:ascii="Bookman Old Style" w:hAnsi="Bookman Old Style"/>
          <w:sz w:val="24"/>
          <w:szCs w:val="24"/>
        </w:rPr>
        <w:t>pendanaan</w:t>
      </w:r>
      <w:r w:rsidR="00A954D0">
        <w:rPr>
          <w:rFonts w:ascii="Bookman Old Style" w:hAnsi="Bookman Old Style"/>
          <w:sz w:val="24"/>
          <w:szCs w:val="24"/>
        </w:rPr>
        <w:t xml:space="preserve"> </w:t>
      </w:r>
      <w:r w:rsidRPr="004A049F">
        <w:rPr>
          <w:rFonts w:ascii="Bookman Old Style" w:hAnsi="Bookman Old Style"/>
          <w:sz w:val="24"/>
          <w:szCs w:val="24"/>
        </w:rPr>
        <w:t>pelayanan</w:t>
      </w:r>
      <w:r w:rsidR="00A954D0">
        <w:rPr>
          <w:rFonts w:ascii="Bookman Old Style" w:hAnsi="Bookman Old Style"/>
          <w:sz w:val="24"/>
          <w:szCs w:val="24"/>
        </w:rPr>
        <w:t xml:space="preserve"> </w:t>
      </w:r>
      <w:r w:rsidRPr="004A049F">
        <w:rPr>
          <w:rFonts w:ascii="Bookman Old Style" w:hAnsi="Bookman Old Style"/>
          <w:sz w:val="24"/>
          <w:szCs w:val="24"/>
        </w:rPr>
        <w:t>dasar</w:t>
      </w:r>
      <w:r w:rsidR="00A954D0">
        <w:rPr>
          <w:rFonts w:ascii="Bookman Old Style" w:hAnsi="Bookman Old Style"/>
          <w:sz w:val="24"/>
          <w:szCs w:val="24"/>
        </w:rPr>
        <w:t xml:space="preserve"> </w:t>
      </w:r>
      <w:r w:rsidRPr="004A049F">
        <w:rPr>
          <w:rFonts w:ascii="Bookman Old Style" w:hAnsi="Bookman Old Style"/>
          <w:sz w:val="24"/>
          <w:szCs w:val="24"/>
        </w:rPr>
        <w:t>masyarakat</w:t>
      </w:r>
      <w:r w:rsidR="00A954D0">
        <w:rPr>
          <w:rFonts w:ascii="Bookman Old Style" w:hAnsi="Bookman Old Style"/>
          <w:sz w:val="24"/>
          <w:szCs w:val="24"/>
        </w:rPr>
        <w:t xml:space="preserve"> </w:t>
      </w:r>
      <w:r w:rsidRPr="004A049F">
        <w:rPr>
          <w:rFonts w:ascii="Bookman Old Style" w:hAnsi="Bookman Old Style"/>
          <w:sz w:val="24"/>
          <w:szCs w:val="24"/>
        </w:rPr>
        <w:t>antara</w:t>
      </w:r>
      <w:r w:rsidR="00A954D0">
        <w:rPr>
          <w:rFonts w:ascii="Bookman Old Style" w:hAnsi="Bookman Old Style"/>
          <w:sz w:val="24"/>
          <w:szCs w:val="24"/>
        </w:rPr>
        <w:t xml:space="preserve"> </w:t>
      </w:r>
      <w:r w:rsidRPr="004A049F">
        <w:rPr>
          <w:rFonts w:ascii="Bookman Old Style" w:hAnsi="Bookman Old Style"/>
          <w:sz w:val="24"/>
          <w:szCs w:val="24"/>
        </w:rPr>
        <w:t>lain</w:t>
      </w:r>
      <w:r w:rsidR="00A954D0">
        <w:rPr>
          <w:rFonts w:ascii="Bookman Old Style" w:hAnsi="Bookman Old Style"/>
          <w:sz w:val="24"/>
          <w:szCs w:val="24"/>
        </w:rPr>
        <w:t xml:space="preserve"> </w:t>
      </w:r>
      <w:r w:rsidRPr="004A049F">
        <w:rPr>
          <w:rFonts w:ascii="Bookman Old Style" w:hAnsi="Bookman Old Style"/>
          <w:sz w:val="24"/>
          <w:szCs w:val="24"/>
        </w:rPr>
        <w:t>pendidikan</w:t>
      </w:r>
      <w:r w:rsidR="00A954D0">
        <w:rPr>
          <w:rFonts w:ascii="Bookman Old Style" w:hAnsi="Bookman Old Style"/>
          <w:sz w:val="24"/>
          <w:szCs w:val="24"/>
        </w:rPr>
        <w:t xml:space="preserve"> </w:t>
      </w:r>
      <w:r w:rsidRPr="004A049F">
        <w:rPr>
          <w:rFonts w:ascii="Bookman Old Style" w:hAnsi="Bookman Old Style"/>
          <w:sz w:val="24"/>
          <w:szCs w:val="24"/>
        </w:rPr>
        <w:t>kesehatan</w:t>
      </w:r>
      <w:r w:rsidR="00A954D0">
        <w:rPr>
          <w:rFonts w:ascii="Bookman Old Style" w:hAnsi="Bookman Old Style"/>
          <w:sz w:val="24"/>
          <w:szCs w:val="24"/>
        </w:rPr>
        <w:t xml:space="preserve"> </w:t>
      </w:r>
      <w:r w:rsidRPr="004A049F">
        <w:rPr>
          <w:rFonts w:ascii="Bookman Old Style" w:hAnsi="Bookman Old Style"/>
          <w:sz w:val="24"/>
          <w:szCs w:val="24"/>
        </w:rPr>
        <w:t>melaksanakan</w:t>
      </w:r>
      <w:r w:rsidR="00A954D0">
        <w:rPr>
          <w:rFonts w:ascii="Bookman Old Style" w:hAnsi="Bookman Old Style"/>
          <w:sz w:val="24"/>
          <w:szCs w:val="24"/>
        </w:rPr>
        <w:t xml:space="preserve"> </w:t>
      </w:r>
      <w:r w:rsidRPr="004A049F">
        <w:rPr>
          <w:rFonts w:ascii="Bookman Old Style" w:hAnsi="Bookman Old Style"/>
          <w:sz w:val="24"/>
          <w:szCs w:val="24"/>
        </w:rPr>
        <w:t>kewajiban</w:t>
      </w:r>
      <w:r w:rsidR="00A954D0">
        <w:rPr>
          <w:rFonts w:ascii="Bookman Old Style" w:hAnsi="Bookman Old Style"/>
          <w:sz w:val="24"/>
          <w:szCs w:val="24"/>
        </w:rPr>
        <w:t xml:space="preserve"> </w:t>
      </w:r>
      <w:r w:rsidRPr="004A049F">
        <w:rPr>
          <w:rFonts w:ascii="Bookman Old Style" w:hAnsi="Bookman Old Style"/>
          <w:sz w:val="24"/>
          <w:szCs w:val="24"/>
        </w:rPr>
        <w:t>kepada</w:t>
      </w:r>
      <w:r w:rsidR="00A954D0">
        <w:rPr>
          <w:rFonts w:ascii="Bookman Old Style" w:hAnsi="Bookman Old Style"/>
          <w:sz w:val="24"/>
          <w:szCs w:val="24"/>
        </w:rPr>
        <w:t xml:space="preserve"> </w:t>
      </w:r>
      <w:r w:rsidRPr="004A049F">
        <w:rPr>
          <w:rFonts w:ascii="Bookman Old Style" w:hAnsi="Bookman Old Style"/>
          <w:sz w:val="24"/>
          <w:szCs w:val="24"/>
        </w:rPr>
        <w:t>pihak</w:t>
      </w:r>
      <w:r w:rsidR="00A954D0">
        <w:rPr>
          <w:rFonts w:ascii="Bookman Old Style" w:hAnsi="Bookman Old Style"/>
          <w:sz w:val="24"/>
          <w:szCs w:val="24"/>
        </w:rPr>
        <w:t xml:space="preserve"> </w:t>
      </w:r>
      <w:r w:rsidRPr="004A049F">
        <w:rPr>
          <w:rFonts w:ascii="Bookman Old Style" w:hAnsi="Bookman Old Style"/>
          <w:sz w:val="24"/>
          <w:szCs w:val="24"/>
        </w:rPr>
        <w:t>ketiga,</w:t>
      </w:r>
      <w:r w:rsidR="00A954D0">
        <w:rPr>
          <w:rFonts w:ascii="Bookman Old Style" w:hAnsi="Bookman Old Style"/>
          <w:sz w:val="24"/>
          <w:szCs w:val="24"/>
        </w:rPr>
        <w:t xml:space="preserve"> </w:t>
      </w:r>
      <w:r w:rsidRPr="004A049F">
        <w:rPr>
          <w:rFonts w:ascii="Bookman Old Style" w:hAnsi="Bookman Old Style"/>
          <w:sz w:val="24"/>
          <w:szCs w:val="24"/>
        </w:rPr>
        <w:t>kewajiban</w:t>
      </w:r>
      <w:r w:rsidR="00A954D0">
        <w:rPr>
          <w:rFonts w:ascii="Bookman Old Style" w:hAnsi="Bookman Old Style"/>
          <w:sz w:val="24"/>
          <w:szCs w:val="24"/>
        </w:rPr>
        <w:t xml:space="preserve"> </w:t>
      </w:r>
      <w:r w:rsidRPr="004A049F">
        <w:rPr>
          <w:rFonts w:ascii="Bookman Old Style" w:hAnsi="Bookman Old Style"/>
          <w:sz w:val="24"/>
          <w:szCs w:val="24"/>
        </w:rPr>
        <w:t>pembayaran</w:t>
      </w:r>
      <w:r w:rsidR="00A954D0">
        <w:rPr>
          <w:rFonts w:ascii="Bookman Old Style" w:hAnsi="Bookman Old Style"/>
          <w:sz w:val="24"/>
          <w:szCs w:val="24"/>
        </w:rPr>
        <w:t xml:space="preserve"> </w:t>
      </w:r>
      <w:r w:rsidRPr="004A049F">
        <w:rPr>
          <w:rFonts w:ascii="Bookman Old Style" w:hAnsi="Bookman Old Style"/>
          <w:sz w:val="24"/>
          <w:szCs w:val="24"/>
        </w:rPr>
        <w:t>pokok</w:t>
      </w:r>
      <w:r w:rsidR="00A954D0">
        <w:rPr>
          <w:rFonts w:ascii="Bookman Old Style" w:hAnsi="Bookman Old Style"/>
          <w:sz w:val="24"/>
          <w:szCs w:val="24"/>
        </w:rPr>
        <w:t xml:space="preserve"> </w:t>
      </w:r>
      <w:r w:rsidRPr="004A049F">
        <w:rPr>
          <w:rFonts w:ascii="Bookman Old Style" w:hAnsi="Bookman Old Style"/>
          <w:sz w:val="24"/>
          <w:szCs w:val="24"/>
        </w:rPr>
        <w:t>pinjaman,</w:t>
      </w:r>
      <w:r w:rsidR="00A954D0">
        <w:rPr>
          <w:rFonts w:ascii="Bookman Old Style" w:hAnsi="Bookman Old Style"/>
          <w:sz w:val="24"/>
          <w:szCs w:val="24"/>
        </w:rPr>
        <w:t xml:space="preserve"> </w:t>
      </w:r>
      <w:r w:rsidRPr="004A049F">
        <w:rPr>
          <w:rFonts w:ascii="Bookman Old Style" w:hAnsi="Bookman Old Style"/>
          <w:sz w:val="24"/>
          <w:szCs w:val="24"/>
        </w:rPr>
        <w:t>bunga</w:t>
      </w:r>
      <w:r w:rsidR="00A954D0">
        <w:rPr>
          <w:rFonts w:ascii="Bookman Old Style" w:hAnsi="Bookman Old Style"/>
          <w:sz w:val="24"/>
          <w:szCs w:val="24"/>
        </w:rPr>
        <w:t xml:space="preserve"> </w:t>
      </w:r>
      <w:r w:rsidRPr="004A049F">
        <w:rPr>
          <w:rFonts w:ascii="Bookman Old Style" w:hAnsi="Bookman Old Style"/>
          <w:sz w:val="24"/>
          <w:szCs w:val="24"/>
        </w:rPr>
        <w:t>pinjaman</w:t>
      </w:r>
      <w:r w:rsidR="00A954D0">
        <w:rPr>
          <w:rFonts w:ascii="Bookman Old Style" w:hAnsi="Bookman Old Style"/>
          <w:sz w:val="24"/>
          <w:szCs w:val="24"/>
        </w:rPr>
        <w:t xml:space="preserve"> </w:t>
      </w:r>
      <w:r w:rsidRPr="004A049F">
        <w:rPr>
          <w:rFonts w:ascii="Bookman Old Style" w:hAnsi="Bookman Old Style"/>
          <w:sz w:val="24"/>
          <w:szCs w:val="24"/>
        </w:rPr>
        <w:t>yang</w:t>
      </w:r>
      <w:r w:rsidR="00A954D0">
        <w:rPr>
          <w:rFonts w:ascii="Bookman Old Style" w:hAnsi="Bookman Old Style"/>
          <w:sz w:val="24"/>
          <w:szCs w:val="24"/>
        </w:rPr>
        <w:t xml:space="preserve"> </w:t>
      </w:r>
      <w:r w:rsidRPr="004A049F">
        <w:rPr>
          <w:rFonts w:ascii="Bookman Old Style" w:hAnsi="Bookman Old Style"/>
          <w:sz w:val="24"/>
          <w:szCs w:val="24"/>
        </w:rPr>
        <w:t>telah</w:t>
      </w:r>
      <w:r w:rsidR="00A954D0">
        <w:rPr>
          <w:rFonts w:ascii="Bookman Old Style" w:hAnsi="Bookman Old Style"/>
          <w:sz w:val="24"/>
          <w:szCs w:val="24"/>
        </w:rPr>
        <w:t xml:space="preserve"> </w:t>
      </w:r>
      <w:r w:rsidRPr="004A049F">
        <w:rPr>
          <w:rFonts w:ascii="Bookman Old Style" w:hAnsi="Bookman Old Style"/>
          <w:sz w:val="24"/>
          <w:szCs w:val="24"/>
        </w:rPr>
        <w:t>jatuh</w:t>
      </w:r>
      <w:r w:rsidR="00A954D0">
        <w:rPr>
          <w:rFonts w:ascii="Bookman Old Style" w:hAnsi="Bookman Old Style"/>
          <w:sz w:val="24"/>
          <w:szCs w:val="24"/>
        </w:rPr>
        <w:t xml:space="preserve"> </w:t>
      </w:r>
      <w:r w:rsidRPr="004A049F">
        <w:rPr>
          <w:rFonts w:ascii="Bookman Old Style" w:hAnsi="Bookman Old Style"/>
          <w:sz w:val="24"/>
          <w:szCs w:val="24"/>
        </w:rPr>
        <w:t>tempo,</w:t>
      </w:r>
      <w:r w:rsidR="00A954D0">
        <w:rPr>
          <w:rFonts w:ascii="Bookman Old Style" w:hAnsi="Bookman Old Style"/>
          <w:sz w:val="24"/>
          <w:szCs w:val="24"/>
        </w:rPr>
        <w:t xml:space="preserve"> </w:t>
      </w:r>
      <w:r w:rsidRPr="004A049F">
        <w:rPr>
          <w:rFonts w:ascii="Bookman Old Style" w:hAnsi="Bookman Old Style"/>
          <w:sz w:val="24"/>
          <w:szCs w:val="24"/>
        </w:rPr>
        <w:t>dan</w:t>
      </w:r>
      <w:r w:rsidR="00A954D0">
        <w:rPr>
          <w:rFonts w:ascii="Bookman Old Style" w:hAnsi="Bookman Old Style"/>
          <w:sz w:val="24"/>
          <w:szCs w:val="24"/>
        </w:rPr>
        <w:t xml:space="preserve"> </w:t>
      </w:r>
      <w:r w:rsidRPr="004A049F">
        <w:rPr>
          <w:rFonts w:ascii="Bookman Old Style" w:hAnsi="Bookman Old Style"/>
          <w:sz w:val="24"/>
          <w:szCs w:val="24"/>
        </w:rPr>
        <w:t>kewajiban</w:t>
      </w:r>
      <w:r w:rsidR="00A954D0">
        <w:rPr>
          <w:rFonts w:ascii="Bookman Old Style" w:hAnsi="Bookman Old Style"/>
          <w:sz w:val="24"/>
          <w:szCs w:val="24"/>
        </w:rPr>
        <w:t xml:space="preserve"> </w:t>
      </w:r>
      <w:r w:rsidRPr="004A049F">
        <w:rPr>
          <w:rFonts w:ascii="Bookman Old Style" w:hAnsi="Bookman Old Style"/>
          <w:sz w:val="24"/>
          <w:szCs w:val="24"/>
        </w:rPr>
        <w:t>lainnya</w:t>
      </w:r>
      <w:r w:rsidR="00A954D0">
        <w:rPr>
          <w:rFonts w:ascii="Bookman Old Style" w:hAnsi="Bookman Old Style"/>
          <w:sz w:val="24"/>
          <w:szCs w:val="24"/>
        </w:rPr>
        <w:t xml:space="preserve"> </w:t>
      </w:r>
      <w:r w:rsidRPr="004A049F">
        <w:rPr>
          <w:rFonts w:ascii="Bookman Old Style" w:hAnsi="Bookman Old Style"/>
          <w:sz w:val="24"/>
          <w:szCs w:val="24"/>
        </w:rPr>
        <w:t>sesuai</w:t>
      </w:r>
      <w:r w:rsidR="00A954D0">
        <w:rPr>
          <w:rFonts w:ascii="Bookman Old Style" w:hAnsi="Bookman Old Style"/>
          <w:sz w:val="24"/>
          <w:szCs w:val="24"/>
        </w:rPr>
        <w:t xml:space="preserve"> </w:t>
      </w:r>
      <w:r w:rsidRPr="004A049F">
        <w:rPr>
          <w:rFonts w:ascii="Bookman Old Style" w:hAnsi="Bookman Old Style"/>
          <w:sz w:val="24"/>
          <w:szCs w:val="24"/>
        </w:rPr>
        <w:t>dengan</w:t>
      </w:r>
      <w:r w:rsidR="00A954D0">
        <w:rPr>
          <w:rFonts w:ascii="Bookman Old Style" w:hAnsi="Bookman Old Style"/>
          <w:sz w:val="24"/>
          <w:szCs w:val="24"/>
        </w:rPr>
        <w:t xml:space="preserve"> </w:t>
      </w:r>
      <w:r w:rsidRPr="004A049F">
        <w:rPr>
          <w:rFonts w:ascii="Bookman Old Style" w:hAnsi="Bookman Old Style"/>
          <w:sz w:val="24"/>
          <w:szCs w:val="24"/>
        </w:rPr>
        <w:t>ketentuan</w:t>
      </w:r>
      <w:r w:rsidR="00A954D0">
        <w:rPr>
          <w:rFonts w:ascii="Bookman Old Style" w:hAnsi="Bookman Old Style"/>
          <w:sz w:val="24"/>
          <w:szCs w:val="24"/>
        </w:rPr>
        <w:t xml:space="preserve"> </w:t>
      </w:r>
      <w:r w:rsidRPr="004A049F">
        <w:rPr>
          <w:rFonts w:ascii="Bookman Old Style" w:hAnsi="Bookman Old Style"/>
          <w:sz w:val="24"/>
          <w:szCs w:val="24"/>
        </w:rPr>
        <w:t>peraturan</w:t>
      </w:r>
      <w:r w:rsidR="00A954D0">
        <w:rPr>
          <w:rFonts w:ascii="Bookman Old Style" w:hAnsi="Bookman Old Style"/>
          <w:sz w:val="24"/>
          <w:szCs w:val="24"/>
        </w:rPr>
        <w:t xml:space="preserve"> </w:t>
      </w:r>
      <w:r w:rsidRPr="004A049F">
        <w:rPr>
          <w:rFonts w:ascii="Bookman Old Style" w:hAnsi="Bookman Old Style"/>
          <w:sz w:val="24"/>
          <w:szCs w:val="24"/>
        </w:rPr>
        <w:t>perundang-undangan.</w:t>
      </w:r>
    </w:p>
    <w:p w14:paraId="3AD52B9E" w14:textId="14541ED8" w:rsidR="006E2F8F" w:rsidRPr="005652F2" w:rsidRDefault="006E2F8F" w:rsidP="004A784D">
      <w:pPr>
        <w:pStyle w:val="ListParagraph"/>
        <w:numPr>
          <w:ilvl w:val="0"/>
          <w:numId w:val="216"/>
        </w:numPr>
        <w:snapToGrid w:val="0"/>
        <w:spacing w:before="60" w:after="0" w:line="276" w:lineRule="auto"/>
        <w:ind w:left="2694"/>
        <w:contextualSpacing w:val="0"/>
        <w:jc w:val="both"/>
        <w:rPr>
          <w:rFonts w:ascii="Bookman Old Style" w:hAnsi="Bookman Old Style" w:cs="Arial"/>
          <w:b/>
          <w:bCs/>
          <w:sz w:val="24"/>
          <w:szCs w:val="24"/>
        </w:rPr>
      </w:pPr>
      <w:r w:rsidRPr="005652F2">
        <w:rPr>
          <w:rFonts w:ascii="Bookman Old Style" w:hAnsi="Bookman Old Style"/>
          <w:b/>
          <w:bCs/>
          <w:sz w:val="24"/>
          <w:szCs w:val="24"/>
        </w:rPr>
        <w:t>Pengeluaran</w:t>
      </w:r>
      <w:r w:rsidR="00A954D0">
        <w:rPr>
          <w:rFonts w:ascii="Bookman Old Style" w:hAnsi="Bookman Old Style"/>
          <w:b/>
          <w:bCs/>
          <w:sz w:val="24"/>
          <w:szCs w:val="24"/>
        </w:rPr>
        <w:t xml:space="preserve"> </w:t>
      </w:r>
      <w:r w:rsidRPr="005652F2">
        <w:rPr>
          <w:rFonts w:ascii="Bookman Old Style" w:hAnsi="Bookman Old Style"/>
          <w:b/>
          <w:bCs/>
          <w:sz w:val="24"/>
          <w:szCs w:val="24"/>
        </w:rPr>
        <w:t>daerah</w:t>
      </w:r>
      <w:r w:rsidR="00A954D0">
        <w:rPr>
          <w:rFonts w:ascii="Bookman Old Style" w:hAnsi="Bookman Old Style"/>
          <w:b/>
          <w:bCs/>
          <w:sz w:val="24"/>
          <w:szCs w:val="24"/>
        </w:rPr>
        <w:t xml:space="preserve"> </w:t>
      </w:r>
      <w:r w:rsidRPr="005652F2">
        <w:rPr>
          <w:rFonts w:ascii="Bookman Old Style" w:hAnsi="Bookman Old Style"/>
          <w:b/>
          <w:bCs/>
          <w:sz w:val="24"/>
          <w:szCs w:val="24"/>
        </w:rPr>
        <w:t>yang</w:t>
      </w:r>
      <w:r w:rsidR="00A954D0">
        <w:rPr>
          <w:rFonts w:ascii="Bookman Old Style" w:hAnsi="Bookman Old Style"/>
          <w:b/>
          <w:bCs/>
          <w:sz w:val="24"/>
          <w:szCs w:val="24"/>
        </w:rPr>
        <w:t xml:space="preserve"> </w:t>
      </w:r>
      <w:r w:rsidRPr="005652F2">
        <w:rPr>
          <w:rFonts w:ascii="Bookman Old Style" w:hAnsi="Bookman Old Style"/>
          <w:b/>
          <w:bCs/>
          <w:sz w:val="24"/>
          <w:szCs w:val="24"/>
        </w:rPr>
        <w:t>berada</w:t>
      </w:r>
      <w:r w:rsidR="00A954D0">
        <w:rPr>
          <w:rFonts w:ascii="Bookman Old Style" w:hAnsi="Bookman Old Style"/>
          <w:b/>
          <w:bCs/>
          <w:sz w:val="24"/>
          <w:szCs w:val="24"/>
        </w:rPr>
        <w:t xml:space="preserve"> </w:t>
      </w:r>
      <w:r w:rsidRPr="005652F2">
        <w:rPr>
          <w:rFonts w:ascii="Bookman Old Style" w:hAnsi="Bookman Old Style"/>
          <w:b/>
          <w:bCs/>
          <w:sz w:val="24"/>
          <w:szCs w:val="24"/>
        </w:rPr>
        <w:t>diluar</w:t>
      </w:r>
      <w:r w:rsidR="00A954D0">
        <w:rPr>
          <w:rFonts w:ascii="Bookman Old Style" w:hAnsi="Bookman Old Style"/>
          <w:b/>
          <w:bCs/>
          <w:sz w:val="24"/>
          <w:szCs w:val="24"/>
        </w:rPr>
        <w:t xml:space="preserve"> </w:t>
      </w:r>
      <w:r w:rsidRPr="005652F2">
        <w:rPr>
          <w:rFonts w:ascii="Bookman Old Style" w:hAnsi="Bookman Old Style"/>
          <w:b/>
          <w:bCs/>
          <w:sz w:val="24"/>
          <w:szCs w:val="24"/>
        </w:rPr>
        <w:t>kendali</w:t>
      </w:r>
      <w:r w:rsidR="00A954D0">
        <w:rPr>
          <w:rFonts w:ascii="Bookman Old Style" w:hAnsi="Bookman Old Style"/>
          <w:b/>
          <w:bCs/>
          <w:sz w:val="24"/>
          <w:szCs w:val="24"/>
        </w:rPr>
        <w:t xml:space="preserve"> </w:t>
      </w:r>
      <w:r w:rsidRPr="005652F2">
        <w:rPr>
          <w:rFonts w:ascii="Bookman Old Style" w:hAnsi="Bookman Old Style"/>
          <w:b/>
          <w:bCs/>
          <w:sz w:val="24"/>
          <w:szCs w:val="24"/>
        </w:rPr>
        <w:t>Pemerintah</w:t>
      </w:r>
      <w:r w:rsidR="00A954D0">
        <w:rPr>
          <w:rFonts w:ascii="Bookman Old Style" w:hAnsi="Bookman Old Style"/>
          <w:b/>
          <w:bCs/>
          <w:sz w:val="24"/>
          <w:szCs w:val="24"/>
        </w:rPr>
        <w:t xml:space="preserve"> </w:t>
      </w:r>
      <w:r w:rsidRPr="005652F2">
        <w:rPr>
          <w:rFonts w:ascii="Bookman Old Style" w:hAnsi="Bookman Old Style"/>
          <w:b/>
          <w:bCs/>
          <w:sz w:val="24"/>
          <w:szCs w:val="24"/>
        </w:rPr>
        <w:t>Daerah</w:t>
      </w:r>
      <w:r w:rsidR="00A954D0">
        <w:rPr>
          <w:rFonts w:ascii="Bookman Old Style" w:hAnsi="Bookman Old Style"/>
          <w:b/>
          <w:bCs/>
          <w:sz w:val="24"/>
          <w:szCs w:val="24"/>
        </w:rPr>
        <w:t xml:space="preserve"> </w:t>
      </w:r>
      <w:r w:rsidRPr="005652F2">
        <w:rPr>
          <w:rFonts w:ascii="Bookman Old Style" w:hAnsi="Bookman Old Style"/>
          <w:b/>
          <w:bCs/>
          <w:sz w:val="24"/>
          <w:szCs w:val="24"/>
        </w:rPr>
        <w:t>dan</w:t>
      </w:r>
      <w:r w:rsidR="00A954D0">
        <w:rPr>
          <w:rFonts w:ascii="Bookman Old Style" w:hAnsi="Bookman Old Style"/>
          <w:b/>
          <w:bCs/>
          <w:sz w:val="24"/>
          <w:szCs w:val="24"/>
        </w:rPr>
        <w:t xml:space="preserve"> </w:t>
      </w:r>
      <w:r w:rsidRPr="005652F2">
        <w:rPr>
          <w:rFonts w:ascii="Bookman Old Style" w:hAnsi="Bookman Old Style"/>
          <w:b/>
          <w:bCs/>
          <w:sz w:val="24"/>
          <w:szCs w:val="24"/>
        </w:rPr>
        <w:t>tidak</w:t>
      </w:r>
      <w:r w:rsidR="00A954D0">
        <w:rPr>
          <w:rFonts w:ascii="Bookman Old Style" w:hAnsi="Bookman Old Style"/>
          <w:b/>
          <w:bCs/>
          <w:sz w:val="24"/>
          <w:szCs w:val="24"/>
        </w:rPr>
        <w:t xml:space="preserve"> </w:t>
      </w:r>
      <w:r w:rsidRPr="005652F2">
        <w:rPr>
          <w:rFonts w:ascii="Bookman Old Style" w:hAnsi="Bookman Old Style"/>
          <w:b/>
          <w:bCs/>
          <w:sz w:val="24"/>
          <w:szCs w:val="24"/>
        </w:rPr>
        <w:t>dapat</w:t>
      </w:r>
      <w:r w:rsidR="00A954D0">
        <w:rPr>
          <w:rFonts w:ascii="Bookman Old Style" w:hAnsi="Bookman Old Style"/>
          <w:b/>
          <w:bCs/>
          <w:sz w:val="24"/>
          <w:szCs w:val="24"/>
        </w:rPr>
        <w:t xml:space="preserve"> </w:t>
      </w:r>
      <w:r w:rsidRPr="005652F2">
        <w:rPr>
          <w:rFonts w:ascii="Bookman Old Style" w:hAnsi="Bookman Old Style"/>
          <w:b/>
          <w:bCs/>
          <w:sz w:val="24"/>
          <w:szCs w:val="24"/>
        </w:rPr>
        <w:t>diprediksikan</w:t>
      </w:r>
      <w:r w:rsidR="00A954D0">
        <w:rPr>
          <w:rFonts w:ascii="Bookman Old Style" w:hAnsi="Bookman Old Style"/>
          <w:b/>
          <w:bCs/>
          <w:sz w:val="24"/>
          <w:szCs w:val="24"/>
        </w:rPr>
        <w:t xml:space="preserve"> </w:t>
      </w:r>
      <w:r w:rsidRPr="005652F2">
        <w:rPr>
          <w:rFonts w:ascii="Bookman Old Style" w:hAnsi="Bookman Old Style"/>
          <w:b/>
          <w:bCs/>
          <w:sz w:val="24"/>
          <w:szCs w:val="24"/>
        </w:rPr>
        <w:t>sebelumnya,</w:t>
      </w:r>
      <w:r w:rsidR="00A954D0">
        <w:rPr>
          <w:rFonts w:ascii="Bookman Old Style" w:hAnsi="Bookman Old Style"/>
          <w:b/>
          <w:bCs/>
          <w:sz w:val="24"/>
          <w:szCs w:val="24"/>
        </w:rPr>
        <w:t xml:space="preserve"> </w:t>
      </w:r>
      <w:r w:rsidRPr="005652F2">
        <w:rPr>
          <w:rFonts w:ascii="Bookman Old Style" w:hAnsi="Bookman Old Style"/>
          <w:b/>
          <w:bCs/>
          <w:sz w:val="24"/>
          <w:szCs w:val="24"/>
        </w:rPr>
        <w:t>serta</w:t>
      </w:r>
      <w:r w:rsidR="00A954D0">
        <w:rPr>
          <w:rFonts w:ascii="Bookman Old Style" w:hAnsi="Bookman Old Style"/>
          <w:b/>
          <w:bCs/>
          <w:sz w:val="24"/>
          <w:szCs w:val="24"/>
        </w:rPr>
        <w:t xml:space="preserve"> </w:t>
      </w:r>
      <w:r w:rsidRPr="005652F2">
        <w:rPr>
          <w:rFonts w:ascii="Bookman Old Style" w:hAnsi="Bookman Old Style"/>
          <w:b/>
          <w:bCs/>
          <w:sz w:val="24"/>
          <w:szCs w:val="24"/>
        </w:rPr>
        <w:t>amanat</w:t>
      </w:r>
      <w:r w:rsidR="00A954D0">
        <w:rPr>
          <w:rFonts w:ascii="Bookman Old Style" w:hAnsi="Bookman Old Style"/>
          <w:b/>
          <w:bCs/>
          <w:sz w:val="24"/>
          <w:szCs w:val="24"/>
        </w:rPr>
        <w:t xml:space="preserve"> </w:t>
      </w:r>
      <w:r w:rsidRPr="005652F2">
        <w:rPr>
          <w:rFonts w:ascii="Bookman Old Style" w:hAnsi="Bookman Old Style"/>
          <w:b/>
          <w:bCs/>
          <w:sz w:val="24"/>
          <w:szCs w:val="24"/>
        </w:rPr>
        <w:t>peraturan</w:t>
      </w:r>
      <w:r w:rsidR="00A954D0">
        <w:rPr>
          <w:rFonts w:ascii="Bookman Old Style" w:hAnsi="Bookman Old Style"/>
          <w:b/>
          <w:bCs/>
          <w:sz w:val="24"/>
          <w:szCs w:val="24"/>
        </w:rPr>
        <w:t xml:space="preserve"> </w:t>
      </w:r>
      <w:r w:rsidRPr="005652F2">
        <w:rPr>
          <w:rFonts w:ascii="Bookman Old Style" w:hAnsi="Bookman Old Style"/>
          <w:b/>
          <w:bCs/>
          <w:sz w:val="24"/>
          <w:szCs w:val="24"/>
        </w:rPr>
        <w:t>perundangundangan;</w:t>
      </w:r>
      <w:r w:rsidR="00A954D0">
        <w:rPr>
          <w:rFonts w:ascii="Bookman Old Style" w:hAnsi="Bookman Old Style"/>
          <w:b/>
          <w:bCs/>
          <w:sz w:val="24"/>
          <w:szCs w:val="24"/>
        </w:rPr>
        <w:t xml:space="preserve"> </w:t>
      </w:r>
      <w:r w:rsidRPr="005652F2">
        <w:rPr>
          <w:rFonts w:ascii="Bookman Old Style" w:hAnsi="Bookman Old Style"/>
          <w:b/>
          <w:bCs/>
          <w:sz w:val="24"/>
          <w:szCs w:val="24"/>
        </w:rPr>
        <w:t>dan/atau</w:t>
      </w:r>
    </w:p>
    <w:p w14:paraId="1EF70EDD" w14:textId="258BF331" w:rsidR="006E2F8F" w:rsidRPr="007A4750" w:rsidRDefault="006E2F8F" w:rsidP="004A784D">
      <w:pPr>
        <w:pStyle w:val="ListParagraph"/>
        <w:numPr>
          <w:ilvl w:val="0"/>
          <w:numId w:val="216"/>
        </w:numPr>
        <w:snapToGrid w:val="0"/>
        <w:spacing w:before="60" w:after="0" w:line="276" w:lineRule="auto"/>
        <w:ind w:left="2694"/>
        <w:contextualSpacing w:val="0"/>
        <w:jc w:val="both"/>
        <w:rPr>
          <w:rFonts w:ascii="Bookman Old Style" w:hAnsi="Bookman Old Style" w:cs="Arial"/>
          <w:sz w:val="24"/>
          <w:szCs w:val="24"/>
        </w:rPr>
      </w:pPr>
      <w:r w:rsidRPr="005652F2">
        <w:rPr>
          <w:rFonts w:ascii="Bookman Old Style" w:hAnsi="Bookman Old Style"/>
          <w:b/>
          <w:bCs/>
          <w:sz w:val="24"/>
          <w:szCs w:val="24"/>
        </w:rPr>
        <w:t>Pengeluaran</w:t>
      </w:r>
      <w:r w:rsidR="00A954D0">
        <w:rPr>
          <w:rFonts w:ascii="Bookman Old Style" w:hAnsi="Bookman Old Style"/>
          <w:b/>
          <w:bCs/>
          <w:sz w:val="24"/>
          <w:szCs w:val="24"/>
        </w:rPr>
        <w:t xml:space="preserve"> </w:t>
      </w:r>
      <w:r w:rsidRPr="005652F2">
        <w:rPr>
          <w:rFonts w:ascii="Bookman Old Style" w:hAnsi="Bookman Old Style"/>
          <w:b/>
          <w:bCs/>
          <w:sz w:val="24"/>
          <w:szCs w:val="24"/>
        </w:rPr>
        <w:t>daerah</w:t>
      </w:r>
      <w:r w:rsidR="00A954D0">
        <w:rPr>
          <w:rFonts w:ascii="Bookman Old Style" w:hAnsi="Bookman Old Style"/>
          <w:b/>
          <w:bCs/>
          <w:sz w:val="24"/>
          <w:szCs w:val="24"/>
        </w:rPr>
        <w:t xml:space="preserve"> </w:t>
      </w:r>
      <w:r w:rsidRPr="005652F2">
        <w:rPr>
          <w:rFonts w:ascii="Bookman Old Style" w:hAnsi="Bookman Old Style"/>
          <w:b/>
          <w:bCs/>
          <w:sz w:val="24"/>
          <w:szCs w:val="24"/>
        </w:rPr>
        <w:t>lainnya</w:t>
      </w:r>
      <w:r w:rsidR="00A954D0">
        <w:rPr>
          <w:rFonts w:ascii="Bookman Old Style" w:hAnsi="Bookman Old Style"/>
          <w:b/>
          <w:bCs/>
          <w:sz w:val="24"/>
          <w:szCs w:val="24"/>
        </w:rPr>
        <w:t xml:space="preserve"> </w:t>
      </w:r>
      <w:r w:rsidRPr="005652F2">
        <w:rPr>
          <w:rFonts w:ascii="Bookman Old Style" w:hAnsi="Bookman Old Style"/>
          <w:b/>
          <w:bCs/>
          <w:sz w:val="24"/>
          <w:szCs w:val="24"/>
        </w:rPr>
        <w:t>yang</w:t>
      </w:r>
      <w:r w:rsidR="00A954D0">
        <w:rPr>
          <w:rFonts w:ascii="Bookman Old Style" w:hAnsi="Bookman Old Style"/>
          <w:b/>
          <w:bCs/>
          <w:sz w:val="24"/>
          <w:szCs w:val="24"/>
        </w:rPr>
        <w:t xml:space="preserve"> </w:t>
      </w:r>
      <w:r w:rsidRPr="005652F2">
        <w:rPr>
          <w:rFonts w:ascii="Bookman Old Style" w:hAnsi="Bookman Old Style"/>
          <w:b/>
          <w:bCs/>
          <w:sz w:val="24"/>
          <w:szCs w:val="24"/>
        </w:rPr>
        <w:t>apabila</w:t>
      </w:r>
      <w:r w:rsidR="00A954D0">
        <w:rPr>
          <w:rFonts w:ascii="Bookman Old Style" w:hAnsi="Bookman Old Style"/>
          <w:b/>
          <w:bCs/>
          <w:sz w:val="24"/>
          <w:szCs w:val="24"/>
        </w:rPr>
        <w:t xml:space="preserve"> </w:t>
      </w:r>
      <w:r w:rsidRPr="005652F2">
        <w:rPr>
          <w:rFonts w:ascii="Bookman Old Style" w:hAnsi="Bookman Old Style"/>
          <w:b/>
          <w:bCs/>
          <w:sz w:val="24"/>
          <w:szCs w:val="24"/>
        </w:rPr>
        <w:t>ditunda</w:t>
      </w:r>
      <w:r w:rsidR="00A954D0">
        <w:rPr>
          <w:rFonts w:ascii="Bookman Old Style" w:hAnsi="Bookman Old Style"/>
          <w:b/>
          <w:bCs/>
          <w:sz w:val="24"/>
          <w:szCs w:val="24"/>
        </w:rPr>
        <w:t xml:space="preserve"> </w:t>
      </w:r>
      <w:r w:rsidRPr="005652F2">
        <w:rPr>
          <w:rFonts w:ascii="Bookman Old Style" w:hAnsi="Bookman Old Style"/>
          <w:b/>
          <w:bCs/>
          <w:sz w:val="24"/>
          <w:szCs w:val="24"/>
        </w:rPr>
        <w:t>akan</w:t>
      </w:r>
      <w:r w:rsidR="00A954D0">
        <w:rPr>
          <w:rFonts w:ascii="Bookman Old Style" w:hAnsi="Bookman Old Style"/>
          <w:b/>
          <w:bCs/>
          <w:sz w:val="24"/>
          <w:szCs w:val="24"/>
        </w:rPr>
        <w:t xml:space="preserve"> </w:t>
      </w:r>
      <w:r w:rsidRPr="005652F2">
        <w:rPr>
          <w:rFonts w:ascii="Bookman Old Style" w:hAnsi="Bookman Old Style"/>
          <w:b/>
          <w:bCs/>
          <w:sz w:val="24"/>
          <w:szCs w:val="24"/>
        </w:rPr>
        <w:t>menimbulkan</w:t>
      </w:r>
      <w:r w:rsidR="00A954D0">
        <w:rPr>
          <w:rFonts w:ascii="Bookman Old Style" w:hAnsi="Bookman Old Style"/>
          <w:b/>
          <w:bCs/>
          <w:sz w:val="24"/>
          <w:szCs w:val="24"/>
        </w:rPr>
        <w:t xml:space="preserve"> </w:t>
      </w:r>
      <w:r w:rsidRPr="005652F2">
        <w:rPr>
          <w:rFonts w:ascii="Bookman Old Style" w:hAnsi="Bookman Old Style"/>
          <w:b/>
          <w:bCs/>
          <w:sz w:val="24"/>
          <w:szCs w:val="24"/>
        </w:rPr>
        <w:t>kerugian</w:t>
      </w:r>
      <w:r w:rsidR="00A954D0">
        <w:rPr>
          <w:rFonts w:ascii="Bookman Old Style" w:hAnsi="Bookman Old Style"/>
          <w:b/>
          <w:bCs/>
          <w:sz w:val="24"/>
          <w:szCs w:val="24"/>
        </w:rPr>
        <w:t xml:space="preserve"> </w:t>
      </w:r>
      <w:r w:rsidRPr="005652F2">
        <w:rPr>
          <w:rFonts w:ascii="Bookman Old Style" w:hAnsi="Bookman Old Style"/>
          <w:b/>
          <w:bCs/>
          <w:sz w:val="24"/>
          <w:szCs w:val="24"/>
        </w:rPr>
        <w:t>yang</w:t>
      </w:r>
      <w:r w:rsidR="00A954D0">
        <w:rPr>
          <w:rFonts w:ascii="Bookman Old Style" w:hAnsi="Bookman Old Style"/>
          <w:b/>
          <w:bCs/>
          <w:sz w:val="24"/>
          <w:szCs w:val="24"/>
        </w:rPr>
        <w:t xml:space="preserve"> </w:t>
      </w:r>
      <w:r w:rsidRPr="005652F2">
        <w:rPr>
          <w:rFonts w:ascii="Bookman Old Style" w:hAnsi="Bookman Old Style"/>
          <w:b/>
          <w:bCs/>
          <w:sz w:val="24"/>
          <w:szCs w:val="24"/>
        </w:rPr>
        <w:t>lebih</w:t>
      </w:r>
      <w:r w:rsidR="00A954D0">
        <w:rPr>
          <w:rFonts w:ascii="Bookman Old Style" w:hAnsi="Bookman Old Style"/>
          <w:b/>
          <w:bCs/>
          <w:sz w:val="24"/>
          <w:szCs w:val="24"/>
        </w:rPr>
        <w:t xml:space="preserve"> </w:t>
      </w:r>
      <w:r w:rsidRPr="005652F2">
        <w:rPr>
          <w:rFonts w:ascii="Bookman Old Style" w:hAnsi="Bookman Old Style"/>
          <w:b/>
          <w:bCs/>
          <w:sz w:val="24"/>
          <w:szCs w:val="24"/>
        </w:rPr>
        <w:t>besar</w:t>
      </w:r>
      <w:r w:rsidR="00A954D0">
        <w:rPr>
          <w:rFonts w:ascii="Bookman Old Style" w:hAnsi="Bookman Old Style"/>
          <w:b/>
          <w:bCs/>
          <w:sz w:val="24"/>
          <w:szCs w:val="24"/>
        </w:rPr>
        <w:t xml:space="preserve"> </w:t>
      </w:r>
      <w:r w:rsidRPr="005652F2">
        <w:rPr>
          <w:rFonts w:ascii="Bookman Old Style" w:hAnsi="Bookman Old Style"/>
          <w:b/>
          <w:bCs/>
          <w:sz w:val="24"/>
          <w:szCs w:val="24"/>
        </w:rPr>
        <w:t>b</w:t>
      </w:r>
      <w:r w:rsidRPr="007A4750">
        <w:rPr>
          <w:rFonts w:ascii="Bookman Old Style" w:hAnsi="Bookman Old Style"/>
          <w:b/>
          <w:bCs/>
          <w:sz w:val="24"/>
          <w:szCs w:val="24"/>
        </w:rPr>
        <w:t>agi</w:t>
      </w:r>
      <w:r w:rsidR="00A954D0">
        <w:rPr>
          <w:rFonts w:ascii="Bookman Old Style" w:hAnsi="Bookman Old Style"/>
          <w:b/>
          <w:bCs/>
          <w:sz w:val="24"/>
          <w:szCs w:val="24"/>
        </w:rPr>
        <w:t xml:space="preserve"> </w:t>
      </w:r>
      <w:r w:rsidRPr="007A4750">
        <w:rPr>
          <w:rFonts w:ascii="Bookman Old Style" w:hAnsi="Bookman Old Style"/>
          <w:b/>
          <w:bCs/>
          <w:sz w:val="24"/>
          <w:szCs w:val="24"/>
        </w:rPr>
        <w:t>Pemerintah</w:t>
      </w:r>
      <w:r w:rsidR="00A954D0">
        <w:rPr>
          <w:rFonts w:ascii="Bookman Old Style" w:hAnsi="Bookman Old Style"/>
          <w:b/>
          <w:bCs/>
          <w:sz w:val="24"/>
          <w:szCs w:val="24"/>
        </w:rPr>
        <w:t xml:space="preserve"> </w:t>
      </w:r>
      <w:r w:rsidRPr="007A4750">
        <w:rPr>
          <w:rFonts w:ascii="Bookman Old Style" w:hAnsi="Bookman Old Style"/>
          <w:b/>
          <w:bCs/>
          <w:sz w:val="24"/>
          <w:szCs w:val="24"/>
        </w:rPr>
        <w:t>Daerah</w:t>
      </w:r>
      <w:r w:rsidR="00A954D0">
        <w:rPr>
          <w:rFonts w:ascii="Bookman Old Style" w:hAnsi="Bookman Old Style"/>
          <w:b/>
          <w:bCs/>
          <w:sz w:val="24"/>
          <w:szCs w:val="24"/>
        </w:rPr>
        <w:t xml:space="preserve"> </w:t>
      </w:r>
      <w:r w:rsidRPr="007A4750">
        <w:rPr>
          <w:rFonts w:ascii="Bookman Old Style" w:hAnsi="Bookman Old Style"/>
          <w:b/>
          <w:bCs/>
          <w:sz w:val="24"/>
          <w:szCs w:val="24"/>
        </w:rPr>
        <w:t>dan/atau</w:t>
      </w:r>
      <w:r w:rsidR="00A954D0">
        <w:rPr>
          <w:rFonts w:ascii="Bookman Old Style" w:hAnsi="Bookman Old Style"/>
          <w:b/>
          <w:bCs/>
          <w:sz w:val="24"/>
          <w:szCs w:val="24"/>
        </w:rPr>
        <w:t xml:space="preserve"> </w:t>
      </w:r>
      <w:r w:rsidRPr="007A4750">
        <w:rPr>
          <w:rFonts w:ascii="Bookman Old Style" w:hAnsi="Bookman Old Style"/>
          <w:b/>
          <w:bCs/>
          <w:sz w:val="24"/>
          <w:szCs w:val="24"/>
        </w:rPr>
        <w:t>masyarakat.</w:t>
      </w:r>
    </w:p>
    <w:p w14:paraId="0701EC2F" w14:textId="36EFF33D" w:rsidR="006E2F8F" w:rsidRPr="007A4750" w:rsidRDefault="006E2F8F" w:rsidP="004A784D">
      <w:pPr>
        <w:pStyle w:val="ListParagraph"/>
        <w:numPr>
          <w:ilvl w:val="0"/>
          <w:numId w:val="177"/>
        </w:numPr>
        <w:snapToGrid w:val="0"/>
        <w:spacing w:before="60" w:after="0" w:line="276" w:lineRule="auto"/>
        <w:ind w:left="2268" w:hanging="566"/>
        <w:contextualSpacing w:val="0"/>
        <w:jc w:val="both"/>
        <w:rPr>
          <w:rFonts w:ascii="Bookman Old Style" w:eastAsiaTheme="minorHAnsi" w:hAnsi="Bookman Old Style" w:cstheme="minorBidi"/>
          <w:sz w:val="24"/>
          <w:szCs w:val="24"/>
        </w:rPr>
      </w:pPr>
      <w:r>
        <w:rPr>
          <w:rFonts w:ascii="Bookman Old Style" w:eastAsiaTheme="minorHAnsi" w:hAnsi="Bookman Old Style" w:cstheme="minorBidi"/>
          <w:sz w:val="24"/>
          <w:szCs w:val="24"/>
        </w:rPr>
        <w:t>Pasal</w:t>
      </w:r>
      <w:r w:rsidR="00A954D0">
        <w:rPr>
          <w:rFonts w:ascii="Bookman Old Style" w:eastAsiaTheme="minorHAnsi" w:hAnsi="Bookman Old Style" w:cstheme="minorBidi"/>
          <w:sz w:val="24"/>
          <w:szCs w:val="24"/>
        </w:rPr>
        <w:t xml:space="preserve"> </w:t>
      </w:r>
      <w:r w:rsidRPr="007A4750">
        <w:rPr>
          <w:rFonts w:ascii="Bookman Old Style" w:eastAsiaTheme="minorHAnsi" w:hAnsi="Bookman Old Style" w:cstheme="minorBidi"/>
          <w:sz w:val="24"/>
          <w:szCs w:val="24"/>
        </w:rPr>
        <w:t>13</w:t>
      </w:r>
      <w:r w:rsidR="00A954D0">
        <w:rPr>
          <w:rFonts w:ascii="Bookman Old Style" w:eastAsiaTheme="minorHAnsi" w:hAnsi="Bookman Old Style" w:cstheme="minorBidi"/>
          <w:sz w:val="24"/>
          <w:szCs w:val="24"/>
        </w:rPr>
        <w:t xml:space="preserve"> </w:t>
      </w:r>
      <w:r w:rsidRPr="007A4750">
        <w:rPr>
          <w:rFonts w:ascii="Bookman Old Style" w:eastAsiaTheme="minorHAnsi" w:hAnsi="Bookman Old Style" w:cstheme="minorBidi"/>
          <w:sz w:val="24"/>
          <w:szCs w:val="24"/>
        </w:rPr>
        <w:t>agar</w:t>
      </w:r>
      <w:r w:rsidR="00A954D0">
        <w:rPr>
          <w:rFonts w:ascii="Bookman Old Style" w:eastAsiaTheme="minorHAnsi" w:hAnsi="Bookman Old Style" w:cstheme="minorBidi"/>
          <w:sz w:val="24"/>
          <w:szCs w:val="24"/>
        </w:rPr>
        <w:t xml:space="preserve"> </w:t>
      </w:r>
      <w:r w:rsidRPr="007A4750">
        <w:rPr>
          <w:rFonts w:ascii="Bookman Old Style" w:eastAsiaTheme="minorHAnsi" w:hAnsi="Bookman Old Style" w:cstheme="minorBidi"/>
          <w:sz w:val="24"/>
          <w:szCs w:val="24"/>
        </w:rPr>
        <w:t>diperbaiki</w:t>
      </w:r>
      <w:r w:rsidR="00A954D0">
        <w:rPr>
          <w:rFonts w:ascii="Bookman Old Style" w:eastAsiaTheme="minorHAnsi" w:hAnsi="Bookman Old Style" w:cstheme="minorBidi"/>
          <w:sz w:val="24"/>
          <w:szCs w:val="24"/>
        </w:rPr>
        <w:t xml:space="preserve"> </w:t>
      </w:r>
      <w:r w:rsidRPr="007A4750">
        <w:rPr>
          <w:rFonts w:ascii="Bookman Old Style" w:eastAsiaTheme="minorHAnsi" w:hAnsi="Bookman Old Style" w:cstheme="minorBidi"/>
          <w:sz w:val="24"/>
          <w:szCs w:val="24"/>
        </w:rPr>
        <w:t>redaksionalnya</w:t>
      </w:r>
      <w:r w:rsidR="00A954D0">
        <w:rPr>
          <w:rFonts w:ascii="Bookman Old Style" w:eastAsiaTheme="minorHAnsi" w:hAnsi="Bookman Old Style" w:cstheme="minorBidi"/>
          <w:sz w:val="24"/>
          <w:szCs w:val="24"/>
        </w:rPr>
        <w:t xml:space="preserve"> </w:t>
      </w:r>
      <w:r w:rsidRPr="007A4750">
        <w:rPr>
          <w:rFonts w:ascii="Bookman Old Style" w:eastAsiaTheme="minorHAnsi" w:hAnsi="Bookman Old Style" w:cstheme="minorBidi"/>
          <w:sz w:val="24"/>
          <w:szCs w:val="24"/>
        </w:rPr>
        <w:t>menjadi:</w:t>
      </w:r>
    </w:p>
    <w:p w14:paraId="6FCE8DE1" w14:textId="0C608C0A" w:rsidR="006E2F8F" w:rsidRDefault="006E2F8F" w:rsidP="004A784D">
      <w:pPr>
        <w:pStyle w:val="ListParagraph"/>
        <w:snapToGrid w:val="0"/>
        <w:spacing w:before="60" w:after="0" w:line="276" w:lineRule="auto"/>
        <w:ind w:left="2268"/>
        <w:contextualSpacing w:val="0"/>
        <w:jc w:val="both"/>
        <w:rPr>
          <w:rFonts w:ascii="Bookman Old Style" w:hAnsi="Bookman Old Style"/>
          <w:sz w:val="24"/>
          <w:szCs w:val="24"/>
        </w:rPr>
      </w:pPr>
      <w:r w:rsidRPr="007A4750">
        <w:rPr>
          <w:rFonts w:ascii="Bookman Old Style" w:hAnsi="Bookman Old Style"/>
          <w:sz w:val="24"/>
          <w:szCs w:val="24"/>
        </w:rPr>
        <w:t>Uraian</w:t>
      </w:r>
      <w:r w:rsidR="00A954D0">
        <w:rPr>
          <w:rFonts w:ascii="Bookman Old Style" w:hAnsi="Bookman Old Style"/>
          <w:sz w:val="24"/>
          <w:szCs w:val="24"/>
        </w:rPr>
        <w:t xml:space="preserve"> </w:t>
      </w:r>
      <w:r w:rsidRPr="007A4750">
        <w:rPr>
          <w:rFonts w:ascii="Bookman Old Style" w:hAnsi="Bookman Old Style"/>
          <w:sz w:val="24"/>
          <w:szCs w:val="24"/>
        </w:rPr>
        <w:t>lebih</w:t>
      </w:r>
      <w:r w:rsidR="00A954D0">
        <w:rPr>
          <w:rFonts w:ascii="Bookman Old Style" w:hAnsi="Bookman Old Style"/>
          <w:sz w:val="24"/>
          <w:szCs w:val="24"/>
        </w:rPr>
        <w:t xml:space="preserve"> </w:t>
      </w:r>
      <w:r w:rsidRPr="007A4750">
        <w:rPr>
          <w:rFonts w:ascii="Bookman Old Style" w:hAnsi="Bookman Old Style"/>
          <w:sz w:val="24"/>
          <w:szCs w:val="24"/>
        </w:rPr>
        <w:t>lanjut</w:t>
      </w:r>
      <w:r w:rsidR="00A954D0">
        <w:rPr>
          <w:rFonts w:ascii="Bookman Old Style" w:hAnsi="Bookman Old Style"/>
          <w:sz w:val="24"/>
          <w:szCs w:val="24"/>
        </w:rPr>
        <w:t xml:space="preserve"> </w:t>
      </w:r>
      <w:r w:rsidRPr="007A4750">
        <w:rPr>
          <w:rFonts w:ascii="Bookman Old Style" w:hAnsi="Bookman Old Style"/>
          <w:sz w:val="24"/>
          <w:szCs w:val="24"/>
        </w:rPr>
        <w:t>APBD</w:t>
      </w:r>
      <w:r w:rsidR="00A954D0">
        <w:rPr>
          <w:rFonts w:ascii="Bookman Old Style" w:hAnsi="Bookman Old Style"/>
          <w:sz w:val="24"/>
          <w:szCs w:val="24"/>
        </w:rPr>
        <w:t xml:space="preserve"> </w:t>
      </w:r>
      <w:r w:rsidRPr="007A4750">
        <w:rPr>
          <w:rFonts w:ascii="Bookman Old Style" w:hAnsi="Bookman Old Style"/>
          <w:sz w:val="24"/>
          <w:szCs w:val="24"/>
        </w:rPr>
        <w:t>sebagaimana</w:t>
      </w:r>
      <w:r w:rsidR="00A954D0">
        <w:rPr>
          <w:rFonts w:ascii="Bookman Old Style" w:hAnsi="Bookman Old Style"/>
          <w:sz w:val="24"/>
          <w:szCs w:val="24"/>
        </w:rPr>
        <w:t xml:space="preserve"> </w:t>
      </w:r>
      <w:r w:rsidRPr="007A4750">
        <w:rPr>
          <w:rFonts w:ascii="Bookman Old Style" w:hAnsi="Bookman Old Style"/>
          <w:sz w:val="24"/>
          <w:szCs w:val="24"/>
        </w:rPr>
        <w:t>dimaksud</w:t>
      </w:r>
      <w:r w:rsidR="00A954D0">
        <w:rPr>
          <w:rFonts w:ascii="Bookman Old Style" w:hAnsi="Bookman Old Style"/>
          <w:sz w:val="24"/>
          <w:szCs w:val="24"/>
        </w:rPr>
        <w:t xml:space="preserve"> </w:t>
      </w:r>
      <w:r w:rsidRPr="007A4750">
        <w:rPr>
          <w:rFonts w:ascii="Bookman Old Style" w:hAnsi="Bookman Old Style"/>
          <w:sz w:val="24"/>
          <w:szCs w:val="24"/>
        </w:rPr>
        <w:t>dalam</w:t>
      </w:r>
      <w:r w:rsidR="00A954D0">
        <w:rPr>
          <w:rFonts w:ascii="Bookman Old Style" w:hAnsi="Bookman Old Style"/>
          <w:sz w:val="24"/>
          <w:szCs w:val="24"/>
        </w:rPr>
        <w:t xml:space="preserve"> </w:t>
      </w:r>
      <w:r w:rsidRPr="007A4750">
        <w:rPr>
          <w:rFonts w:ascii="Bookman Old Style" w:hAnsi="Bookman Old Style"/>
          <w:sz w:val="24"/>
          <w:szCs w:val="24"/>
        </w:rPr>
        <w:t>Pasal</w:t>
      </w:r>
      <w:r w:rsidR="00A954D0">
        <w:rPr>
          <w:rFonts w:ascii="Bookman Old Style" w:hAnsi="Bookman Old Style"/>
          <w:sz w:val="24"/>
          <w:szCs w:val="24"/>
        </w:rPr>
        <w:t xml:space="preserve"> </w:t>
      </w:r>
      <w:r w:rsidRPr="007A4750">
        <w:rPr>
          <w:rFonts w:ascii="Bookman Old Style" w:hAnsi="Bookman Old Style"/>
          <w:sz w:val="24"/>
          <w:szCs w:val="24"/>
        </w:rPr>
        <w:t>2,</w:t>
      </w:r>
      <w:r w:rsidR="00A954D0">
        <w:rPr>
          <w:rFonts w:ascii="Bookman Old Style" w:hAnsi="Bookman Old Style"/>
          <w:sz w:val="24"/>
          <w:szCs w:val="24"/>
        </w:rPr>
        <w:t xml:space="preserve"> </w:t>
      </w:r>
      <w:r w:rsidRPr="007A4750">
        <w:rPr>
          <w:rFonts w:ascii="Bookman Old Style" w:hAnsi="Bookman Old Style"/>
          <w:sz w:val="24"/>
          <w:szCs w:val="24"/>
        </w:rPr>
        <w:t>tercantum</w:t>
      </w:r>
      <w:r w:rsidR="00A954D0">
        <w:rPr>
          <w:rFonts w:ascii="Bookman Old Style" w:hAnsi="Bookman Old Style"/>
          <w:sz w:val="24"/>
          <w:szCs w:val="24"/>
        </w:rPr>
        <w:t xml:space="preserve"> </w:t>
      </w:r>
      <w:r w:rsidRPr="007A4750">
        <w:rPr>
          <w:rFonts w:ascii="Bookman Old Style" w:hAnsi="Bookman Old Style"/>
          <w:sz w:val="24"/>
          <w:szCs w:val="24"/>
        </w:rPr>
        <w:t>dalam</w:t>
      </w:r>
      <w:r w:rsidR="00A954D0">
        <w:rPr>
          <w:rFonts w:ascii="Bookman Old Style" w:hAnsi="Bookman Old Style"/>
          <w:sz w:val="24"/>
          <w:szCs w:val="24"/>
        </w:rPr>
        <w:t xml:space="preserve"> </w:t>
      </w:r>
      <w:r w:rsidRPr="007A4750">
        <w:rPr>
          <w:rFonts w:ascii="Bookman Old Style" w:hAnsi="Bookman Old Style"/>
          <w:sz w:val="24"/>
          <w:szCs w:val="24"/>
        </w:rPr>
        <w:t>Lampiran</w:t>
      </w:r>
      <w:r w:rsidR="00A954D0">
        <w:rPr>
          <w:rFonts w:ascii="Bookman Old Style" w:hAnsi="Bookman Old Style"/>
          <w:sz w:val="24"/>
          <w:szCs w:val="24"/>
        </w:rPr>
        <w:t xml:space="preserve"> </w:t>
      </w:r>
      <w:r w:rsidRPr="007A4750">
        <w:rPr>
          <w:rFonts w:ascii="Bookman Old Style" w:hAnsi="Bookman Old Style"/>
          <w:sz w:val="24"/>
          <w:szCs w:val="24"/>
        </w:rPr>
        <w:t>yang</w:t>
      </w:r>
      <w:r w:rsidR="00A954D0">
        <w:rPr>
          <w:rFonts w:ascii="Bookman Old Style" w:hAnsi="Bookman Old Style"/>
          <w:sz w:val="24"/>
          <w:szCs w:val="24"/>
        </w:rPr>
        <w:t xml:space="preserve"> </w:t>
      </w:r>
      <w:r w:rsidRPr="007A4750">
        <w:rPr>
          <w:rFonts w:ascii="Bookman Old Style" w:hAnsi="Bookman Old Style"/>
          <w:sz w:val="24"/>
          <w:szCs w:val="24"/>
        </w:rPr>
        <w:t>merupakan</w:t>
      </w:r>
      <w:r w:rsidR="00A954D0">
        <w:rPr>
          <w:rFonts w:ascii="Bookman Old Style" w:hAnsi="Bookman Old Style"/>
          <w:sz w:val="24"/>
          <w:szCs w:val="24"/>
        </w:rPr>
        <w:t xml:space="preserve"> </w:t>
      </w:r>
      <w:r w:rsidRPr="007A4750">
        <w:rPr>
          <w:rFonts w:ascii="Bookman Old Style" w:hAnsi="Bookman Old Style"/>
          <w:sz w:val="24"/>
          <w:szCs w:val="24"/>
        </w:rPr>
        <w:t>bagian</w:t>
      </w:r>
      <w:r w:rsidR="00A954D0">
        <w:rPr>
          <w:rFonts w:ascii="Bookman Old Style" w:hAnsi="Bookman Old Style"/>
          <w:sz w:val="24"/>
          <w:szCs w:val="24"/>
        </w:rPr>
        <w:t xml:space="preserve"> </w:t>
      </w:r>
      <w:r w:rsidRPr="007A4750">
        <w:rPr>
          <w:rFonts w:ascii="Bookman Old Style" w:hAnsi="Bookman Old Style"/>
          <w:sz w:val="24"/>
          <w:szCs w:val="24"/>
        </w:rPr>
        <w:t>tidak</w:t>
      </w:r>
      <w:r w:rsidR="00A954D0">
        <w:rPr>
          <w:rFonts w:ascii="Bookman Old Style" w:hAnsi="Bookman Old Style"/>
          <w:sz w:val="24"/>
          <w:szCs w:val="24"/>
        </w:rPr>
        <w:t xml:space="preserve"> </w:t>
      </w:r>
      <w:r w:rsidRPr="007A4750">
        <w:rPr>
          <w:rFonts w:ascii="Bookman Old Style" w:hAnsi="Bookman Old Style"/>
          <w:sz w:val="24"/>
          <w:szCs w:val="24"/>
        </w:rPr>
        <w:t>terpisahkan</w:t>
      </w:r>
      <w:r w:rsidR="00A954D0">
        <w:rPr>
          <w:rFonts w:ascii="Bookman Old Style" w:hAnsi="Bookman Old Style"/>
          <w:sz w:val="24"/>
          <w:szCs w:val="24"/>
        </w:rPr>
        <w:t xml:space="preserve"> </w:t>
      </w:r>
      <w:r w:rsidRPr="007A4750">
        <w:rPr>
          <w:rFonts w:ascii="Bookman Old Style" w:hAnsi="Bookman Old Style"/>
          <w:sz w:val="24"/>
          <w:szCs w:val="24"/>
        </w:rPr>
        <w:t>dari</w:t>
      </w:r>
      <w:r w:rsidR="00A954D0">
        <w:rPr>
          <w:rFonts w:ascii="Bookman Old Style" w:hAnsi="Bookman Old Style"/>
          <w:sz w:val="24"/>
          <w:szCs w:val="24"/>
        </w:rPr>
        <w:t xml:space="preserve"> </w:t>
      </w:r>
      <w:r w:rsidRPr="007A4750">
        <w:rPr>
          <w:rFonts w:ascii="Bookman Old Style" w:hAnsi="Bookman Old Style"/>
          <w:sz w:val="24"/>
          <w:szCs w:val="24"/>
        </w:rPr>
        <w:t>Peraturan</w:t>
      </w:r>
      <w:r w:rsidR="00A954D0">
        <w:rPr>
          <w:rFonts w:ascii="Bookman Old Style" w:hAnsi="Bookman Old Style"/>
          <w:sz w:val="24"/>
          <w:szCs w:val="24"/>
        </w:rPr>
        <w:t xml:space="preserve"> </w:t>
      </w:r>
      <w:r w:rsidRPr="007A4750">
        <w:rPr>
          <w:rFonts w:ascii="Bookman Old Style" w:hAnsi="Bookman Old Style"/>
          <w:sz w:val="24"/>
          <w:szCs w:val="24"/>
        </w:rPr>
        <w:t>Daerah</w:t>
      </w:r>
      <w:r w:rsidR="00A954D0">
        <w:rPr>
          <w:rFonts w:ascii="Bookman Old Style" w:hAnsi="Bookman Old Style"/>
          <w:sz w:val="24"/>
          <w:szCs w:val="24"/>
        </w:rPr>
        <w:t xml:space="preserve"> </w:t>
      </w:r>
      <w:r w:rsidRPr="007A4750">
        <w:rPr>
          <w:rFonts w:ascii="Bookman Old Style" w:hAnsi="Bookman Old Style"/>
          <w:sz w:val="24"/>
          <w:szCs w:val="24"/>
        </w:rPr>
        <w:t>ini,</w:t>
      </w:r>
      <w:r w:rsidR="00A954D0">
        <w:rPr>
          <w:rFonts w:ascii="Bookman Old Style" w:hAnsi="Bookman Old Style"/>
          <w:sz w:val="24"/>
          <w:szCs w:val="24"/>
        </w:rPr>
        <w:t xml:space="preserve"> </w:t>
      </w:r>
      <w:r w:rsidRPr="007A4750">
        <w:rPr>
          <w:rFonts w:ascii="Bookman Old Style" w:hAnsi="Bookman Old Style"/>
          <w:sz w:val="24"/>
          <w:szCs w:val="24"/>
        </w:rPr>
        <w:t>terdiri</w:t>
      </w:r>
      <w:r w:rsidR="00A954D0">
        <w:rPr>
          <w:rFonts w:ascii="Bookman Old Style" w:hAnsi="Bookman Old Style"/>
          <w:sz w:val="24"/>
          <w:szCs w:val="24"/>
        </w:rPr>
        <w:t xml:space="preserve"> </w:t>
      </w:r>
      <w:r w:rsidRPr="007A4750">
        <w:rPr>
          <w:rFonts w:ascii="Bookman Old Style" w:hAnsi="Bookman Old Style"/>
          <w:sz w:val="24"/>
          <w:szCs w:val="24"/>
        </w:rPr>
        <w:t>atas:</w:t>
      </w:r>
    </w:p>
    <w:p w14:paraId="6225E387" w14:textId="46B652BC" w:rsidR="006E2F8F" w:rsidRPr="007A4750" w:rsidRDefault="006E2F8F" w:rsidP="004A784D">
      <w:pPr>
        <w:pStyle w:val="ListParagraph"/>
        <w:numPr>
          <w:ilvl w:val="0"/>
          <w:numId w:val="217"/>
        </w:numPr>
        <w:snapToGrid w:val="0"/>
        <w:spacing w:before="60" w:after="0" w:line="276" w:lineRule="auto"/>
        <w:ind w:left="2694" w:hanging="426"/>
        <w:contextualSpacing w:val="0"/>
        <w:jc w:val="both"/>
        <w:rPr>
          <w:rFonts w:ascii="Bookman Old Style" w:eastAsiaTheme="minorHAnsi" w:hAnsi="Bookman Old Style" w:cstheme="minorBidi"/>
          <w:sz w:val="24"/>
          <w:szCs w:val="24"/>
        </w:rPr>
      </w:pPr>
      <w:r w:rsidRPr="007A4750">
        <w:rPr>
          <w:rFonts w:ascii="Bookman Old Style" w:hAnsi="Bookman Old Style"/>
          <w:sz w:val="24"/>
          <w:szCs w:val="24"/>
        </w:rPr>
        <w:t>Lampiran</w:t>
      </w:r>
      <w:r w:rsidR="00A954D0">
        <w:rPr>
          <w:rFonts w:ascii="Bookman Old Style" w:hAnsi="Bookman Old Style"/>
          <w:sz w:val="24"/>
          <w:szCs w:val="24"/>
        </w:rPr>
        <w:t xml:space="preserve"> </w:t>
      </w:r>
      <w:r w:rsidRPr="007A4750">
        <w:rPr>
          <w:rFonts w:ascii="Bookman Old Style" w:hAnsi="Bookman Old Style"/>
          <w:sz w:val="24"/>
          <w:szCs w:val="24"/>
        </w:rPr>
        <w:t>I</w:t>
      </w:r>
      <w:r w:rsidR="00A954D0">
        <w:rPr>
          <w:rFonts w:ascii="Bookman Old Style" w:hAnsi="Bookman Old Style"/>
          <w:sz w:val="24"/>
          <w:szCs w:val="24"/>
        </w:rPr>
        <w:t xml:space="preserve"> </w:t>
      </w:r>
      <w:r w:rsidRPr="007A4750">
        <w:rPr>
          <w:rFonts w:ascii="Bookman Old Style" w:hAnsi="Bookman Old Style"/>
          <w:sz w:val="24"/>
          <w:szCs w:val="24"/>
        </w:rPr>
        <w:t>Ringkasan</w:t>
      </w:r>
      <w:r w:rsidR="00A954D0">
        <w:rPr>
          <w:rFonts w:ascii="Bookman Old Style" w:hAnsi="Bookman Old Style"/>
          <w:sz w:val="24"/>
          <w:szCs w:val="24"/>
        </w:rPr>
        <w:t xml:space="preserve"> </w:t>
      </w:r>
      <w:r w:rsidRPr="007A4750">
        <w:rPr>
          <w:rFonts w:ascii="Bookman Old Style" w:hAnsi="Bookman Old Style"/>
          <w:sz w:val="24"/>
          <w:szCs w:val="24"/>
        </w:rPr>
        <w:t>APBD</w:t>
      </w:r>
      <w:r w:rsidR="00A954D0">
        <w:rPr>
          <w:rFonts w:ascii="Bookman Old Style" w:hAnsi="Bookman Old Style"/>
          <w:sz w:val="24"/>
          <w:szCs w:val="24"/>
        </w:rPr>
        <w:t xml:space="preserve"> </w:t>
      </w:r>
      <w:r w:rsidRPr="007A4750">
        <w:rPr>
          <w:rFonts w:ascii="Bookman Old Style" w:hAnsi="Bookman Old Style"/>
          <w:sz w:val="24"/>
          <w:szCs w:val="24"/>
        </w:rPr>
        <w:t>yang</w:t>
      </w:r>
      <w:r w:rsidR="00A954D0">
        <w:rPr>
          <w:rFonts w:ascii="Bookman Old Style" w:hAnsi="Bookman Old Style"/>
          <w:sz w:val="24"/>
          <w:szCs w:val="24"/>
        </w:rPr>
        <w:t xml:space="preserve"> </w:t>
      </w:r>
      <w:r w:rsidRPr="007A4750">
        <w:rPr>
          <w:rFonts w:ascii="Bookman Old Style" w:hAnsi="Bookman Old Style"/>
          <w:sz w:val="24"/>
          <w:szCs w:val="24"/>
        </w:rPr>
        <w:t>Diklasifikasi</w:t>
      </w:r>
      <w:r w:rsidR="00A954D0">
        <w:rPr>
          <w:rFonts w:ascii="Bookman Old Style" w:hAnsi="Bookman Old Style"/>
          <w:sz w:val="24"/>
          <w:szCs w:val="24"/>
        </w:rPr>
        <w:t xml:space="preserve"> </w:t>
      </w:r>
      <w:r w:rsidRPr="007A4750">
        <w:rPr>
          <w:rFonts w:ascii="Bookman Old Style" w:hAnsi="Bookman Old Style"/>
          <w:sz w:val="24"/>
          <w:szCs w:val="24"/>
        </w:rPr>
        <w:t>Menurut</w:t>
      </w:r>
      <w:r w:rsidR="00A954D0">
        <w:rPr>
          <w:rFonts w:ascii="Bookman Old Style" w:hAnsi="Bookman Old Style"/>
          <w:sz w:val="24"/>
          <w:szCs w:val="24"/>
        </w:rPr>
        <w:t xml:space="preserve"> </w:t>
      </w:r>
      <w:r w:rsidRPr="007A4750">
        <w:rPr>
          <w:rFonts w:ascii="Bookman Old Style" w:hAnsi="Bookman Old Style"/>
          <w:sz w:val="24"/>
          <w:szCs w:val="24"/>
        </w:rPr>
        <w:t>Kelompok</w:t>
      </w:r>
      <w:r w:rsidR="00A954D0">
        <w:rPr>
          <w:rFonts w:ascii="Bookman Old Style" w:hAnsi="Bookman Old Style"/>
          <w:sz w:val="24"/>
          <w:szCs w:val="24"/>
        </w:rPr>
        <w:t xml:space="preserve"> </w:t>
      </w:r>
      <w:r w:rsidRPr="007A4750">
        <w:rPr>
          <w:rFonts w:ascii="Bookman Old Style" w:hAnsi="Bookman Old Style"/>
          <w:sz w:val="24"/>
          <w:szCs w:val="24"/>
        </w:rPr>
        <w:t>dan</w:t>
      </w:r>
      <w:r w:rsidR="00A954D0">
        <w:rPr>
          <w:rFonts w:ascii="Bookman Old Style" w:hAnsi="Bookman Old Style"/>
          <w:sz w:val="24"/>
          <w:szCs w:val="24"/>
        </w:rPr>
        <w:t xml:space="preserve"> </w:t>
      </w:r>
      <w:r w:rsidRPr="007A4750">
        <w:rPr>
          <w:rFonts w:ascii="Bookman Old Style" w:hAnsi="Bookman Old Style"/>
          <w:sz w:val="24"/>
          <w:szCs w:val="24"/>
        </w:rPr>
        <w:t>Jenis</w:t>
      </w:r>
      <w:r w:rsidR="00A954D0">
        <w:rPr>
          <w:rFonts w:ascii="Bookman Old Style" w:hAnsi="Bookman Old Style"/>
          <w:sz w:val="24"/>
          <w:szCs w:val="24"/>
        </w:rPr>
        <w:t xml:space="preserve"> </w:t>
      </w:r>
      <w:r w:rsidRPr="007A4750">
        <w:rPr>
          <w:rFonts w:ascii="Bookman Old Style" w:hAnsi="Bookman Old Style"/>
          <w:sz w:val="24"/>
          <w:szCs w:val="24"/>
        </w:rPr>
        <w:t>Pendapatan,</w:t>
      </w:r>
      <w:r w:rsidR="00A954D0">
        <w:rPr>
          <w:rFonts w:ascii="Bookman Old Style" w:hAnsi="Bookman Old Style"/>
          <w:sz w:val="24"/>
          <w:szCs w:val="24"/>
        </w:rPr>
        <w:t xml:space="preserve"> </w:t>
      </w:r>
      <w:r w:rsidRPr="007A4750">
        <w:rPr>
          <w:rFonts w:ascii="Bookman Old Style" w:hAnsi="Bookman Old Style"/>
          <w:sz w:val="24"/>
          <w:szCs w:val="24"/>
        </w:rPr>
        <w:t>Belanja,</w:t>
      </w:r>
      <w:r w:rsidR="00A954D0">
        <w:rPr>
          <w:rFonts w:ascii="Bookman Old Style" w:hAnsi="Bookman Old Style"/>
          <w:sz w:val="24"/>
          <w:szCs w:val="24"/>
        </w:rPr>
        <w:t xml:space="preserve"> </w:t>
      </w:r>
      <w:r w:rsidRPr="007A4750">
        <w:rPr>
          <w:rFonts w:ascii="Bookman Old Style" w:hAnsi="Bookman Old Style"/>
          <w:sz w:val="24"/>
          <w:szCs w:val="24"/>
        </w:rPr>
        <w:t>dan</w:t>
      </w:r>
      <w:r w:rsidR="00A954D0">
        <w:rPr>
          <w:rFonts w:ascii="Bookman Old Style" w:hAnsi="Bookman Old Style"/>
          <w:sz w:val="24"/>
          <w:szCs w:val="24"/>
        </w:rPr>
        <w:t xml:space="preserve"> </w:t>
      </w:r>
      <w:r w:rsidRPr="007A4750">
        <w:rPr>
          <w:rFonts w:ascii="Bookman Old Style" w:hAnsi="Bookman Old Style"/>
          <w:sz w:val="24"/>
          <w:szCs w:val="24"/>
        </w:rPr>
        <w:t>Pembiayaan;</w:t>
      </w:r>
    </w:p>
    <w:p w14:paraId="6296965F" w14:textId="255FFE39" w:rsidR="006E2F8F" w:rsidRPr="007A4750" w:rsidRDefault="006E2F8F" w:rsidP="004A784D">
      <w:pPr>
        <w:pStyle w:val="ListParagraph"/>
        <w:numPr>
          <w:ilvl w:val="0"/>
          <w:numId w:val="217"/>
        </w:numPr>
        <w:snapToGrid w:val="0"/>
        <w:spacing w:before="60" w:after="0" w:line="276" w:lineRule="auto"/>
        <w:ind w:left="2694" w:hanging="426"/>
        <w:contextualSpacing w:val="0"/>
        <w:jc w:val="both"/>
        <w:rPr>
          <w:rFonts w:ascii="Bookman Old Style" w:eastAsiaTheme="minorHAnsi" w:hAnsi="Bookman Old Style" w:cstheme="minorBidi"/>
          <w:sz w:val="24"/>
          <w:szCs w:val="24"/>
        </w:rPr>
      </w:pPr>
      <w:r w:rsidRPr="007A4750">
        <w:rPr>
          <w:rFonts w:ascii="Bookman Old Style" w:hAnsi="Bookman Old Style"/>
          <w:sz w:val="24"/>
          <w:szCs w:val="24"/>
        </w:rPr>
        <w:t>Lampiran</w:t>
      </w:r>
      <w:r w:rsidR="00A954D0">
        <w:rPr>
          <w:rFonts w:ascii="Bookman Old Style" w:hAnsi="Bookman Old Style"/>
          <w:sz w:val="24"/>
          <w:szCs w:val="24"/>
        </w:rPr>
        <w:t xml:space="preserve"> </w:t>
      </w:r>
      <w:r w:rsidRPr="007A4750">
        <w:rPr>
          <w:rFonts w:ascii="Bookman Old Style" w:hAnsi="Bookman Old Style"/>
          <w:sz w:val="24"/>
          <w:szCs w:val="24"/>
        </w:rPr>
        <w:t>II</w:t>
      </w:r>
      <w:r w:rsidR="00A954D0">
        <w:rPr>
          <w:rFonts w:ascii="Bookman Old Style" w:hAnsi="Bookman Old Style"/>
          <w:sz w:val="24"/>
          <w:szCs w:val="24"/>
        </w:rPr>
        <w:t xml:space="preserve"> </w:t>
      </w:r>
      <w:r w:rsidRPr="007A4750">
        <w:rPr>
          <w:rFonts w:ascii="Bookman Old Style" w:hAnsi="Bookman Old Style"/>
          <w:sz w:val="24"/>
          <w:szCs w:val="24"/>
        </w:rPr>
        <w:t>Ringkasan</w:t>
      </w:r>
      <w:r w:rsidR="00A954D0">
        <w:rPr>
          <w:rFonts w:ascii="Bookman Old Style" w:hAnsi="Bookman Old Style"/>
          <w:sz w:val="24"/>
          <w:szCs w:val="24"/>
        </w:rPr>
        <w:t xml:space="preserve"> </w:t>
      </w:r>
      <w:r w:rsidRPr="007A4750">
        <w:rPr>
          <w:rFonts w:ascii="Bookman Old Style" w:hAnsi="Bookman Old Style"/>
          <w:sz w:val="24"/>
          <w:szCs w:val="24"/>
        </w:rPr>
        <w:t>APBD</w:t>
      </w:r>
      <w:r w:rsidR="00A954D0">
        <w:rPr>
          <w:rFonts w:ascii="Bookman Old Style" w:hAnsi="Bookman Old Style"/>
          <w:sz w:val="24"/>
          <w:szCs w:val="24"/>
        </w:rPr>
        <w:t xml:space="preserve"> </w:t>
      </w:r>
      <w:r w:rsidRPr="007A4750">
        <w:rPr>
          <w:rFonts w:ascii="Bookman Old Style" w:hAnsi="Bookman Old Style"/>
          <w:sz w:val="24"/>
          <w:szCs w:val="24"/>
        </w:rPr>
        <w:t>yang</w:t>
      </w:r>
      <w:r w:rsidR="00A954D0">
        <w:rPr>
          <w:rFonts w:ascii="Bookman Old Style" w:hAnsi="Bookman Old Style"/>
          <w:sz w:val="24"/>
          <w:szCs w:val="24"/>
        </w:rPr>
        <w:t xml:space="preserve"> </w:t>
      </w:r>
      <w:r w:rsidRPr="007A4750">
        <w:rPr>
          <w:rFonts w:ascii="Bookman Old Style" w:hAnsi="Bookman Old Style"/>
          <w:sz w:val="24"/>
          <w:szCs w:val="24"/>
        </w:rPr>
        <w:t>Diklasifikasi</w:t>
      </w:r>
      <w:r w:rsidR="00A954D0">
        <w:rPr>
          <w:rFonts w:ascii="Bookman Old Style" w:hAnsi="Bookman Old Style"/>
          <w:sz w:val="24"/>
          <w:szCs w:val="24"/>
        </w:rPr>
        <w:t xml:space="preserve"> </w:t>
      </w:r>
      <w:r w:rsidRPr="007A4750">
        <w:rPr>
          <w:rFonts w:ascii="Bookman Old Style" w:hAnsi="Bookman Old Style"/>
          <w:sz w:val="24"/>
          <w:szCs w:val="24"/>
        </w:rPr>
        <w:t>Menurut</w:t>
      </w:r>
      <w:r w:rsidR="00A954D0">
        <w:rPr>
          <w:rFonts w:ascii="Bookman Old Style" w:hAnsi="Bookman Old Style"/>
          <w:sz w:val="24"/>
          <w:szCs w:val="24"/>
        </w:rPr>
        <w:t xml:space="preserve"> </w:t>
      </w:r>
      <w:r w:rsidRPr="007A4750">
        <w:rPr>
          <w:rFonts w:ascii="Bookman Old Style" w:hAnsi="Bookman Old Style"/>
          <w:sz w:val="24"/>
          <w:szCs w:val="24"/>
        </w:rPr>
        <w:t>Urusan</w:t>
      </w:r>
      <w:r w:rsidR="00A954D0">
        <w:rPr>
          <w:rFonts w:ascii="Bookman Old Style" w:hAnsi="Bookman Old Style"/>
          <w:sz w:val="24"/>
          <w:szCs w:val="24"/>
        </w:rPr>
        <w:t xml:space="preserve"> </w:t>
      </w:r>
      <w:r w:rsidRPr="007A4750">
        <w:rPr>
          <w:rFonts w:ascii="Bookman Old Style" w:hAnsi="Bookman Old Style"/>
          <w:sz w:val="24"/>
          <w:szCs w:val="24"/>
        </w:rPr>
        <w:t>Pemerintahan</w:t>
      </w:r>
      <w:r w:rsidR="00A954D0">
        <w:rPr>
          <w:rFonts w:ascii="Bookman Old Style" w:hAnsi="Bookman Old Style"/>
          <w:sz w:val="24"/>
          <w:szCs w:val="24"/>
        </w:rPr>
        <w:t xml:space="preserve"> </w:t>
      </w:r>
      <w:r w:rsidRPr="007A4750">
        <w:rPr>
          <w:rFonts w:ascii="Bookman Old Style" w:hAnsi="Bookman Old Style"/>
          <w:sz w:val="24"/>
          <w:szCs w:val="24"/>
        </w:rPr>
        <w:t>Daerah</w:t>
      </w:r>
      <w:r w:rsidR="00A954D0">
        <w:rPr>
          <w:rFonts w:ascii="Bookman Old Style" w:hAnsi="Bookman Old Style"/>
          <w:sz w:val="24"/>
          <w:szCs w:val="24"/>
        </w:rPr>
        <w:t xml:space="preserve"> </w:t>
      </w:r>
      <w:r w:rsidRPr="007A4750">
        <w:rPr>
          <w:rFonts w:ascii="Bookman Old Style" w:hAnsi="Bookman Old Style"/>
          <w:sz w:val="24"/>
          <w:szCs w:val="24"/>
        </w:rPr>
        <w:t>dan</w:t>
      </w:r>
      <w:r w:rsidR="00A954D0">
        <w:rPr>
          <w:rFonts w:ascii="Bookman Old Style" w:hAnsi="Bookman Old Style"/>
          <w:sz w:val="24"/>
          <w:szCs w:val="24"/>
        </w:rPr>
        <w:t xml:space="preserve"> </w:t>
      </w:r>
      <w:r w:rsidRPr="007A4750">
        <w:rPr>
          <w:rFonts w:ascii="Bookman Old Style" w:hAnsi="Bookman Old Style"/>
          <w:sz w:val="24"/>
          <w:szCs w:val="24"/>
        </w:rPr>
        <w:t>Organisasi;</w:t>
      </w:r>
    </w:p>
    <w:p w14:paraId="46139CAB" w14:textId="5E4A97DB" w:rsidR="006E2F8F" w:rsidRPr="007A4750" w:rsidRDefault="006E2F8F" w:rsidP="004A784D">
      <w:pPr>
        <w:pStyle w:val="ListParagraph"/>
        <w:numPr>
          <w:ilvl w:val="0"/>
          <w:numId w:val="217"/>
        </w:numPr>
        <w:snapToGrid w:val="0"/>
        <w:spacing w:before="60" w:after="0" w:line="276" w:lineRule="auto"/>
        <w:ind w:left="2694" w:hanging="426"/>
        <w:contextualSpacing w:val="0"/>
        <w:jc w:val="both"/>
        <w:rPr>
          <w:rFonts w:ascii="Bookman Old Style" w:eastAsiaTheme="minorHAnsi" w:hAnsi="Bookman Old Style" w:cstheme="minorBidi"/>
          <w:sz w:val="24"/>
          <w:szCs w:val="24"/>
        </w:rPr>
      </w:pPr>
      <w:r w:rsidRPr="007A4750">
        <w:rPr>
          <w:rFonts w:ascii="Bookman Old Style" w:hAnsi="Bookman Old Style"/>
          <w:sz w:val="24"/>
          <w:szCs w:val="24"/>
        </w:rPr>
        <w:t>Lampiran</w:t>
      </w:r>
      <w:r w:rsidR="00A954D0">
        <w:rPr>
          <w:rFonts w:ascii="Bookman Old Style" w:hAnsi="Bookman Old Style"/>
          <w:sz w:val="24"/>
          <w:szCs w:val="24"/>
        </w:rPr>
        <w:t xml:space="preserve"> </w:t>
      </w:r>
      <w:r w:rsidRPr="007A4750">
        <w:rPr>
          <w:rFonts w:ascii="Bookman Old Style" w:hAnsi="Bookman Old Style"/>
          <w:sz w:val="24"/>
          <w:szCs w:val="24"/>
        </w:rPr>
        <w:t>III</w:t>
      </w:r>
      <w:r w:rsidR="00A954D0">
        <w:rPr>
          <w:rFonts w:ascii="Bookman Old Style" w:hAnsi="Bookman Old Style"/>
          <w:sz w:val="24"/>
          <w:szCs w:val="24"/>
        </w:rPr>
        <w:t xml:space="preserve"> </w:t>
      </w:r>
      <w:r w:rsidRPr="007A4750">
        <w:rPr>
          <w:rFonts w:ascii="Bookman Old Style" w:hAnsi="Bookman Old Style"/>
          <w:sz w:val="24"/>
          <w:szCs w:val="24"/>
        </w:rPr>
        <w:t>Rincian</w:t>
      </w:r>
      <w:r w:rsidR="00A954D0">
        <w:rPr>
          <w:rFonts w:ascii="Bookman Old Style" w:hAnsi="Bookman Old Style"/>
          <w:sz w:val="24"/>
          <w:szCs w:val="24"/>
        </w:rPr>
        <w:t xml:space="preserve"> </w:t>
      </w:r>
      <w:r w:rsidRPr="007A4750">
        <w:rPr>
          <w:rFonts w:ascii="Bookman Old Style" w:hAnsi="Bookman Old Style"/>
          <w:sz w:val="24"/>
          <w:szCs w:val="24"/>
        </w:rPr>
        <w:t>APBD</w:t>
      </w:r>
      <w:r w:rsidR="00A954D0">
        <w:rPr>
          <w:rFonts w:ascii="Bookman Old Style" w:hAnsi="Bookman Old Style"/>
          <w:sz w:val="24"/>
          <w:szCs w:val="24"/>
        </w:rPr>
        <w:t xml:space="preserve"> </w:t>
      </w:r>
      <w:r w:rsidRPr="007A4750">
        <w:rPr>
          <w:rFonts w:ascii="Bookman Old Style" w:hAnsi="Bookman Old Style"/>
          <w:sz w:val="24"/>
          <w:szCs w:val="24"/>
        </w:rPr>
        <w:t>menurut</w:t>
      </w:r>
      <w:r w:rsidR="00A954D0">
        <w:rPr>
          <w:rFonts w:ascii="Bookman Old Style" w:hAnsi="Bookman Old Style"/>
          <w:sz w:val="24"/>
          <w:szCs w:val="24"/>
        </w:rPr>
        <w:t xml:space="preserve"> </w:t>
      </w:r>
      <w:r w:rsidRPr="007A4750">
        <w:rPr>
          <w:rFonts w:ascii="Bookman Old Style" w:hAnsi="Bookman Old Style"/>
          <w:sz w:val="24"/>
          <w:szCs w:val="24"/>
        </w:rPr>
        <w:t>Urusan</w:t>
      </w:r>
      <w:r w:rsidR="00A954D0">
        <w:rPr>
          <w:rFonts w:ascii="Bookman Old Style" w:hAnsi="Bookman Old Style"/>
          <w:sz w:val="24"/>
          <w:szCs w:val="24"/>
        </w:rPr>
        <w:t xml:space="preserve"> </w:t>
      </w:r>
      <w:r w:rsidRPr="007A4750">
        <w:rPr>
          <w:rFonts w:ascii="Bookman Old Style" w:hAnsi="Bookman Old Style"/>
          <w:sz w:val="24"/>
          <w:szCs w:val="24"/>
        </w:rPr>
        <w:t>Pemerintahan</w:t>
      </w:r>
      <w:r w:rsidR="00A954D0">
        <w:rPr>
          <w:rFonts w:ascii="Bookman Old Style" w:hAnsi="Bookman Old Style"/>
          <w:sz w:val="24"/>
          <w:szCs w:val="24"/>
        </w:rPr>
        <w:t xml:space="preserve"> </w:t>
      </w:r>
      <w:r w:rsidRPr="007A4750">
        <w:rPr>
          <w:rFonts w:ascii="Bookman Old Style" w:hAnsi="Bookman Old Style"/>
          <w:sz w:val="24"/>
          <w:szCs w:val="24"/>
        </w:rPr>
        <w:t>Daerah,</w:t>
      </w:r>
      <w:r w:rsidR="00A954D0">
        <w:rPr>
          <w:rFonts w:ascii="Bookman Old Style" w:hAnsi="Bookman Old Style"/>
          <w:sz w:val="24"/>
          <w:szCs w:val="24"/>
        </w:rPr>
        <w:t xml:space="preserve"> </w:t>
      </w:r>
      <w:r w:rsidRPr="007A4750">
        <w:rPr>
          <w:rFonts w:ascii="Bookman Old Style" w:hAnsi="Bookman Old Style"/>
          <w:sz w:val="24"/>
          <w:szCs w:val="24"/>
        </w:rPr>
        <w:t>Organisasi,</w:t>
      </w:r>
      <w:r w:rsidR="00A954D0">
        <w:rPr>
          <w:rFonts w:ascii="Bookman Old Style" w:hAnsi="Bookman Old Style"/>
          <w:sz w:val="24"/>
          <w:szCs w:val="24"/>
        </w:rPr>
        <w:t xml:space="preserve"> </w:t>
      </w:r>
      <w:r w:rsidRPr="007A4750">
        <w:rPr>
          <w:rFonts w:ascii="Bookman Old Style" w:hAnsi="Bookman Old Style"/>
          <w:sz w:val="24"/>
          <w:szCs w:val="24"/>
        </w:rPr>
        <w:t>Program,</w:t>
      </w:r>
      <w:r w:rsidR="00A954D0">
        <w:rPr>
          <w:rFonts w:ascii="Bookman Old Style" w:hAnsi="Bookman Old Style"/>
          <w:sz w:val="24"/>
          <w:szCs w:val="24"/>
        </w:rPr>
        <w:t xml:space="preserve"> </w:t>
      </w:r>
      <w:r w:rsidRPr="007A4750">
        <w:rPr>
          <w:rFonts w:ascii="Bookman Old Style" w:hAnsi="Bookman Old Style"/>
          <w:sz w:val="24"/>
          <w:szCs w:val="24"/>
        </w:rPr>
        <w:t>Kegiatan,</w:t>
      </w:r>
      <w:r w:rsidR="00A954D0">
        <w:rPr>
          <w:rFonts w:ascii="Bookman Old Style" w:hAnsi="Bookman Old Style"/>
          <w:sz w:val="24"/>
          <w:szCs w:val="24"/>
        </w:rPr>
        <w:t xml:space="preserve"> </w:t>
      </w:r>
      <w:r w:rsidRPr="007A4750">
        <w:rPr>
          <w:rFonts w:ascii="Bookman Old Style" w:hAnsi="Bookman Old Style"/>
          <w:sz w:val="24"/>
          <w:szCs w:val="24"/>
        </w:rPr>
        <w:t>Sub</w:t>
      </w:r>
      <w:r w:rsidR="00A954D0">
        <w:rPr>
          <w:rFonts w:ascii="Bookman Old Style" w:hAnsi="Bookman Old Style"/>
          <w:sz w:val="24"/>
          <w:szCs w:val="24"/>
        </w:rPr>
        <w:t xml:space="preserve"> </w:t>
      </w:r>
      <w:r w:rsidRPr="007A4750">
        <w:rPr>
          <w:rFonts w:ascii="Bookman Old Style" w:hAnsi="Bookman Old Style"/>
          <w:sz w:val="24"/>
          <w:szCs w:val="24"/>
        </w:rPr>
        <w:t>Kegiatan,</w:t>
      </w:r>
      <w:r w:rsidR="00A954D0">
        <w:rPr>
          <w:rFonts w:ascii="Bookman Old Style" w:hAnsi="Bookman Old Style"/>
          <w:sz w:val="24"/>
          <w:szCs w:val="24"/>
        </w:rPr>
        <w:t xml:space="preserve"> </w:t>
      </w:r>
      <w:r w:rsidRPr="007A4750">
        <w:rPr>
          <w:rFonts w:ascii="Bookman Old Style" w:hAnsi="Bookman Old Style"/>
          <w:sz w:val="24"/>
          <w:szCs w:val="24"/>
        </w:rPr>
        <w:t>Kelompok,</w:t>
      </w:r>
      <w:r w:rsidR="00A954D0">
        <w:rPr>
          <w:rFonts w:ascii="Bookman Old Style" w:hAnsi="Bookman Old Style"/>
          <w:sz w:val="24"/>
          <w:szCs w:val="24"/>
        </w:rPr>
        <w:t xml:space="preserve"> </w:t>
      </w:r>
      <w:r w:rsidRPr="007A4750">
        <w:rPr>
          <w:rFonts w:ascii="Bookman Old Style" w:hAnsi="Bookman Old Style"/>
          <w:sz w:val="24"/>
          <w:szCs w:val="24"/>
        </w:rPr>
        <w:t>Jenis</w:t>
      </w:r>
      <w:r w:rsidR="00A954D0">
        <w:rPr>
          <w:rFonts w:ascii="Bookman Old Style" w:hAnsi="Bookman Old Style"/>
          <w:sz w:val="24"/>
          <w:szCs w:val="24"/>
        </w:rPr>
        <w:t xml:space="preserve"> </w:t>
      </w:r>
      <w:r w:rsidRPr="007A4750">
        <w:rPr>
          <w:rFonts w:ascii="Bookman Old Style" w:hAnsi="Bookman Old Style"/>
          <w:sz w:val="24"/>
          <w:szCs w:val="24"/>
        </w:rPr>
        <w:t>Pendapatan,</w:t>
      </w:r>
      <w:r w:rsidR="00A954D0">
        <w:rPr>
          <w:rFonts w:ascii="Bookman Old Style" w:hAnsi="Bookman Old Style"/>
          <w:sz w:val="24"/>
          <w:szCs w:val="24"/>
        </w:rPr>
        <w:t xml:space="preserve"> </w:t>
      </w:r>
      <w:r w:rsidRPr="007A4750">
        <w:rPr>
          <w:rFonts w:ascii="Bookman Old Style" w:hAnsi="Bookman Old Style"/>
          <w:sz w:val="24"/>
          <w:szCs w:val="24"/>
        </w:rPr>
        <w:t>Belanja,</w:t>
      </w:r>
      <w:r w:rsidR="00A954D0">
        <w:rPr>
          <w:rFonts w:ascii="Bookman Old Style" w:hAnsi="Bookman Old Style"/>
          <w:sz w:val="24"/>
          <w:szCs w:val="24"/>
        </w:rPr>
        <w:t xml:space="preserve"> </w:t>
      </w:r>
      <w:r w:rsidRPr="007A4750">
        <w:rPr>
          <w:rFonts w:ascii="Bookman Old Style" w:hAnsi="Bookman Old Style"/>
          <w:sz w:val="24"/>
          <w:szCs w:val="24"/>
        </w:rPr>
        <w:t>dan</w:t>
      </w:r>
      <w:r w:rsidR="00A954D0">
        <w:rPr>
          <w:rFonts w:ascii="Bookman Old Style" w:hAnsi="Bookman Old Style"/>
          <w:sz w:val="24"/>
          <w:szCs w:val="24"/>
        </w:rPr>
        <w:t xml:space="preserve"> </w:t>
      </w:r>
      <w:r w:rsidRPr="007A4750">
        <w:rPr>
          <w:rFonts w:ascii="Bookman Old Style" w:hAnsi="Bookman Old Style"/>
          <w:sz w:val="24"/>
          <w:szCs w:val="24"/>
        </w:rPr>
        <w:t>Pembiayaan;</w:t>
      </w:r>
    </w:p>
    <w:p w14:paraId="796E2402" w14:textId="3BBDA3F7" w:rsidR="006E2F8F" w:rsidRPr="007A4750" w:rsidRDefault="006E2F8F" w:rsidP="004A784D">
      <w:pPr>
        <w:pStyle w:val="ListParagraph"/>
        <w:numPr>
          <w:ilvl w:val="0"/>
          <w:numId w:val="217"/>
        </w:numPr>
        <w:snapToGrid w:val="0"/>
        <w:spacing w:before="60" w:after="0" w:line="276" w:lineRule="auto"/>
        <w:ind w:left="2694" w:hanging="426"/>
        <w:contextualSpacing w:val="0"/>
        <w:jc w:val="both"/>
        <w:rPr>
          <w:rFonts w:ascii="Bookman Old Style" w:eastAsiaTheme="minorHAnsi" w:hAnsi="Bookman Old Style" w:cstheme="minorBidi"/>
          <w:sz w:val="24"/>
          <w:szCs w:val="24"/>
        </w:rPr>
      </w:pPr>
      <w:r w:rsidRPr="007A4750">
        <w:rPr>
          <w:rFonts w:ascii="Bookman Old Style" w:hAnsi="Bookman Old Style"/>
          <w:sz w:val="24"/>
          <w:szCs w:val="24"/>
        </w:rPr>
        <w:lastRenderedPageBreak/>
        <w:t>Lampiran</w:t>
      </w:r>
      <w:r w:rsidR="00A954D0">
        <w:rPr>
          <w:rFonts w:ascii="Bookman Old Style" w:hAnsi="Bookman Old Style"/>
          <w:sz w:val="24"/>
          <w:szCs w:val="24"/>
        </w:rPr>
        <w:t xml:space="preserve"> </w:t>
      </w:r>
      <w:r w:rsidRPr="007A4750">
        <w:rPr>
          <w:rFonts w:ascii="Bookman Old Style" w:hAnsi="Bookman Old Style"/>
          <w:sz w:val="24"/>
          <w:szCs w:val="24"/>
        </w:rPr>
        <w:t>IV</w:t>
      </w:r>
      <w:r w:rsidR="00A954D0">
        <w:rPr>
          <w:rFonts w:ascii="Bookman Old Style" w:hAnsi="Bookman Old Style"/>
          <w:sz w:val="24"/>
          <w:szCs w:val="24"/>
        </w:rPr>
        <w:t xml:space="preserve"> </w:t>
      </w:r>
      <w:r w:rsidRPr="007A4750">
        <w:rPr>
          <w:rFonts w:ascii="Bookman Old Style" w:hAnsi="Bookman Old Style"/>
          <w:sz w:val="24"/>
          <w:szCs w:val="24"/>
        </w:rPr>
        <w:t>Rekapitulasi</w:t>
      </w:r>
      <w:r w:rsidR="00A954D0">
        <w:rPr>
          <w:rFonts w:ascii="Bookman Old Style" w:hAnsi="Bookman Old Style"/>
          <w:sz w:val="24"/>
          <w:szCs w:val="24"/>
        </w:rPr>
        <w:t xml:space="preserve"> </w:t>
      </w:r>
      <w:r w:rsidRPr="007A4750">
        <w:rPr>
          <w:rFonts w:ascii="Bookman Old Style" w:hAnsi="Bookman Old Style"/>
          <w:sz w:val="24"/>
          <w:szCs w:val="24"/>
        </w:rPr>
        <w:t>Belanja</w:t>
      </w:r>
      <w:r w:rsidR="00A954D0">
        <w:rPr>
          <w:rFonts w:ascii="Bookman Old Style" w:hAnsi="Bookman Old Style"/>
          <w:sz w:val="24"/>
          <w:szCs w:val="24"/>
        </w:rPr>
        <w:t xml:space="preserve"> </w:t>
      </w:r>
      <w:r w:rsidRPr="007A4750">
        <w:rPr>
          <w:rFonts w:ascii="Bookman Old Style" w:hAnsi="Bookman Old Style"/>
          <w:sz w:val="24"/>
          <w:szCs w:val="24"/>
        </w:rPr>
        <w:t>Menurut</w:t>
      </w:r>
      <w:r w:rsidR="00A954D0">
        <w:rPr>
          <w:rFonts w:ascii="Bookman Old Style" w:hAnsi="Bookman Old Style"/>
          <w:sz w:val="24"/>
          <w:szCs w:val="24"/>
        </w:rPr>
        <w:t xml:space="preserve"> </w:t>
      </w:r>
      <w:r w:rsidRPr="007A4750">
        <w:rPr>
          <w:rFonts w:ascii="Bookman Old Style" w:hAnsi="Bookman Old Style"/>
          <w:sz w:val="24"/>
          <w:szCs w:val="24"/>
        </w:rPr>
        <w:t>Urusan</w:t>
      </w:r>
      <w:r w:rsidR="00A954D0">
        <w:rPr>
          <w:rFonts w:ascii="Bookman Old Style" w:hAnsi="Bookman Old Style"/>
          <w:sz w:val="24"/>
          <w:szCs w:val="24"/>
        </w:rPr>
        <w:t xml:space="preserve"> </w:t>
      </w:r>
      <w:r w:rsidRPr="007A4750">
        <w:rPr>
          <w:rFonts w:ascii="Bookman Old Style" w:hAnsi="Bookman Old Style"/>
          <w:sz w:val="24"/>
          <w:szCs w:val="24"/>
        </w:rPr>
        <w:t>Pemerintahan</w:t>
      </w:r>
      <w:r w:rsidR="00A954D0">
        <w:rPr>
          <w:rFonts w:ascii="Bookman Old Style" w:hAnsi="Bookman Old Style"/>
          <w:sz w:val="24"/>
          <w:szCs w:val="24"/>
        </w:rPr>
        <w:t xml:space="preserve"> </w:t>
      </w:r>
      <w:r w:rsidRPr="007A4750">
        <w:rPr>
          <w:rFonts w:ascii="Bookman Old Style" w:hAnsi="Bookman Old Style"/>
          <w:sz w:val="24"/>
          <w:szCs w:val="24"/>
        </w:rPr>
        <w:t>Daerah,</w:t>
      </w:r>
      <w:r w:rsidR="00A954D0">
        <w:rPr>
          <w:rFonts w:ascii="Bookman Old Style" w:hAnsi="Bookman Old Style"/>
          <w:sz w:val="24"/>
          <w:szCs w:val="24"/>
        </w:rPr>
        <w:t xml:space="preserve"> </w:t>
      </w:r>
      <w:r w:rsidRPr="007A4750">
        <w:rPr>
          <w:rFonts w:ascii="Bookman Old Style" w:hAnsi="Bookman Old Style"/>
          <w:sz w:val="24"/>
          <w:szCs w:val="24"/>
        </w:rPr>
        <w:t>Organisasi,</w:t>
      </w:r>
      <w:r w:rsidR="00A954D0">
        <w:rPr>
          <w:rFonts w:ascii="Bookman Old Style" w:hAnsi="Bookman Old Style"/>
          <w:sz w:val="24"/>
          <w:szCs w:val="24"/>
        </w:rPr>
        <w:t xml:space="preserve"> </w:t>
      </w:r>
      <w:r w:rsidRPr="007A4750">
        <w:rPr>
          <w:rFonts w:ascii="Bookman Old Style" w:hAnsi="Bookman Old Style"/>
          <w:sz w:val="24"/>
          <w:szCs w:val="24"/>
        </w:rPr>
        <w:t>Program,</w:t>
      </w:r>
      <w:r w:rsidR="00A954D0">
        <w:rPr>
          <w:rFonts w:ascii="Bookman Old Style" w:hAnsi="Bookman Old Style"/>
          <w:sz w:val="24"/>
          <w:szCs w:val="24"/>
        </w:rPr>
        <w:t xml:space="preserve"> </w:t>
      </w:r>
      <w:r w:rsidRPr="007A4750">
        <w:rPr>
          <w:rFonts w:ascii="Bookman Old Style" w:hAnsi="Bookman Old Style"/>
          <w:sz w:val="24"/>
          <w:szCs w:val="24"/>
        </w:rPr>
        <w:t>Kegiatan</w:t>
      </w:r>
      <w:r w:rsidR="00A954D0">
        <w:rPr>
          <w:rFonts w:ascii="Bookman Old Style" w:hAnsi="Bookman Old Style"/>
          <w:sz w:val="24"/>
          <w:szCs w:val="24"/>
        </w:rPr>
        <w:t xml:space="preserve"> </w:t>
      </w:r>
      <w:r w:rsidRPr="007A4750">
        <w:rPr>
          <w:rFonts w:ascii="Bookman Old Style" w:hAnsi="Bookman Old Style"/>
          <w:sz w:val="24"/>
          <w:szCs w:val="24"/>
        </w:rPr>
        <w:t>Beserta</w:t>
      </w:r>
      <w:r w:rsidR="00A954D0">
        <w:rPr>
          <w:rFonts w:ascii="Bookman Old Style" w:hAnsi="Bookman Old Style"/>
          <w:sz w:val="24"/>
          <w:szCs w:val="24"/>
        </w:rPr>
        <w:t xml:space="preserve"> </w:t>
      </w:r>
      <w:r w:rsidRPr="007A4750">
        <w:rPr>
          <w:rFonts w:ascii="Bookman Old Style" w:hAnsi="Bookman Old Style"/>
          <w:sz w:val="24"/>
          <w:szCs w:val="24"/>
        </w:rPr>
        <w:t>Hasil</w:t>
      </w:r>
      <w:r w:rsidR="00A954D0">
        <w:rPr>
          <w:rFonts w:ascii="Bookman Old Style" w:hAnsi="Bookman Old Style"/>
          <w:sz w:val="24"/>
          <w:szCs w:val="24"/>
        </w:rPr>
        <w:t xml:space="preserve"> </w:t>
      </w:r>
      <w:r w:rsidRPr="007A4750">
        <w:rPr>
          <w:rFonts w:ascii="Bookman Old Style" w:hAnsi="Bookman Old Style"/>
          <w:sz w:val="24"/>
          <w:szCs w:val="24"/>
        </w:rPr>
        <w:t>dan</w:t>
      </w:r>
      <w:r w:rsidR="00A954D0">
        <w:rPr>
          <w:rFonts w:ascii="Bookman Old Style" w:hAnsi="Bookman Old Style"/>
          <w:sz w:val="24"/>
          <w:szCs w:val="24"/>
        </w:rPr>
        <w:t xml:space="preserve"> </w:t>
      </w:r>
      <w:r w:rsidRPr="007A4750">
        <w:rPr>
          <w:rFonts w:ascii="Bookman Old Style" w:hAnsi="Bookman Old Style"/>
          <w:sz w:val="24"/>
          <w:szCs w:val="24"/>
        </w:rPr>
        <w:t>Sub</w:t>
      </w:r>
      <w:r w:rsidR="00A954D0">
        <w:rPr>
          <w:rFonts w:ascii="Bookman Old Style" w:hAnsi="Bookman Old Style"/>
          <w:sz w:val="24"/>
          <w:szCs w:val="24"/>
        </w:rPr>
        <w:t xml:space="preserve"> </w:t>
      </w:r>
      <w:r w:rsidRPr="007A4750">
        <w:rPr>
          <w:rFonts w:ascii="Bookman Old Style" w:hAnsi="Bookman Old Style"/>
          <w:sz w:val="24"/>
          <w:szCs w:val="24"/>
        </w:rPr>
        <w:t>Kegiatan</w:t>
      </w:r>
      <w:r w:rsidR="00A954D0">
        <w:rPr>
          <w:rFonts w:ascii="Bookman Old Style" w:hAnsi="Bookman Old Style"/>
          <w:sz w:val="24"/>
          <w:szCs w:val="24"/>
        </w:rPr>
        <w:t xml:space="preserve"> </w:t>
      </w:r>
      <w:r w:rsidRPr="007A4750">
        <w:rPr>
          <w:rFonts w:ascii="Bookman Old Style" w:hAnsi="Bookman Old Style"/>
          <w:sz w:val="24"/>
          <w:szCs w:val="24"/>
        </w:rPr>
        <w:t>Beserta</w:t>
      </w:r>
      <w:r w:rsidR="00A954D0">
        <w:rPr>
          <w:rFonts w:ascii="Bookman Old Style" w:hAnsi="Bookman Old Style"/>
          <w:sz w:val="24"/>
          <w:szCs w:val="24"/>
        </w:rPr>
        <w:t xml:space="preserve"> </w:t>
      </w:r>
      <w:r w:rsidRPr="007A4750">
        <w:rPr>
          <w:rFonts w:ascii="Bookman Old Style" w:hAnsi="Bookman Old Style"/>
          <w:sz w:val="24"/>
          <w:szCs w:val="24"/>
        </w:rPr>
        <w:t>Keluaran;</w:t>
      </w:r>
    </w:p>
    <w:p w14:paraId="11686368" w14:textId="15C23A83" w:rsidR="006E2F8F" w:rsidRPr="007A4750" w:rsidRDefault="006E2F8F" w:rsidP="004A784D">
      <w:pPr>
        <w:pStyle w:val="ListParagraph"/>
        <w:numPr>
          <w:ilvl w:val="0"/>
          <w:numId w:val="217"/>
        </w:numPr>
        <w:snapToGrid w:val="0"/>
        <w:spacing w:before="60" w:after="0" w:line="276" w:lineRule="auto"/>
        <w:ind w:left="2694" w:hanging="426"/>
        <w:contextualSpacing w:val="0"/>
        <w:jc w:val="both"/>
        <w:rPr>
          <w:rFonts w:ascii="Bookman Old Style" w:eastAsiaTheme="minorHAnsi" w:hAnsi="Bookman Old Style" w:cstheme="minorBidi"/>
          <w:sz w:val="24"/>
          <w:szCs w:val="24"/>
        </w:rPr>
      </w:pPr>
      <w:r w:rsidRPr="007A4750">
        <w:rPr>
          <w:rFonts w:ascii="Bookman Old Style" w:hAnsi="Bookman Old Style"/>
          <w:sz w:val="24"/>
          <w:szCs w:val="24"/>
        </w:rPr>
        <w:t>Lampiran</w:t>
      </w:r>
      <w:r w:rsidR="00A954D0">
        <w:rPr>
          <w:rFonts w:ascii="Bookman Old Style" w:hAnsi="Bookman Old Style"/>
          <w:sz w:val="24"/>
          <w:szCs w:val="24"/>
        </w:rPr>
        <w:t xml:space="preserve"> </w:t>
      </w:r>
      <w:r w:rsidRPr="007A4750">
        <w:rPr>
          <w:rFonts w:ascii="Bookman Old Style" w:hAnsi="Bookman Old Style"/>
          <w:sz w:val="24"/>
          <w:szCs w:val="24"/>
        </w:rPr>
        <w:t>V</w:t>
      </w:r>
      <w:r w:rsidR="00A954D0">
        <w:rPr>
          <w:rFonts w:ascii="Bookman Old Style" w:hAnsi="Bookman Old Style"/>
          <w:sz w:val="24"/>
          <w:szCs w:val="24"/>
        </w:rPr>
        <w:t xml:space="preserve"> </w:t>
      </w:r>
      <w:r w:rsidRPr="007A4750">
        <w:rPr>
          <w:rFonts w:ascii="Bookman Old Style" w:hAnsi="Bookman Old Style"/>
          <w:sz w:val="24"/>
          <w:szCs w:val="24"/>
        </w:rPr>
        <w:t>Rekapitulasi</w:t>
      </w:r>
      <w:r w:rsidR="00A954D0">
        <w:rPr>
          <w:rFonts w:ascii="Bookman Old Style" w:hAnsi="Bookman Old Style"/>
          <w:sz w:val="24"/>
          <w:szCs w:val="24"/>
        </w:rPr>
        <w:t xml:space="preserve"> </w:t>
      </w:r>
      <w:r w:rsidRPr="007A4750">
        <w:rPr>
          <w:rFonts w:ascii="Bookman Old Style" w:hAnsi="Bookman Old Style"/>
          <w:sz w:val="24"/>
          <w:szCs w:val="24"/>
        </w:rPr>
        <w:t>Belanja</w:t>
      </w:r>
      <w:r w:rsidR="00A954D0">
        <w:rPr>
          <w:rFonts w:ascii="Bookman Old Style" w:hAnsi="Bookman Old Style"/>
          <w:sz w:val="24"/>
          <w:szCs w:val="24"/>
        </w:rPr>
        <w:t xml:space="preserve"> </w:t>
      </w:r>
      <w:r w:rsidRPr="007A4750">
        <w:rPr>
          <w:rFonts w:ascii="Bookman Old Style" w:hAnsi="Bookman Old Style"/>
          <w:sz w:val="24"/>
          <w:szCs w:val="24"/>
        </w:rPr>
        <w:t>Daerah</w:t>
      </w:r>
      <w:r w:rsidR="00A954D0">
        <w:rPr>
          <w:rFonts w:ascii="Bookman Old Style" w:hAnsi="Bookman Old Style"/>
          <w:sz w:val="24"/>
          <w:szCs w:val="24"/>
        </w:rPr>
        <w:t xml:space="preserve"> </w:t>
      </w:r>
      <w:r w:rsidRPr="007A4750">
        <w:rPr>
          <w:rFonts w:ascii="Bookman Old Style" w:hAnsi="Bookman Old Style"/>
          <w:sz w:val="24"/>
          <w:szCs w:val="24"/>
        </w:rPr>
        <w:t>Untuk</w:t>
      </w:r>
      <w:r w:rsidR="00A954D0">
        <w:rPr>
          <w:rFonts w:ascii="Bookman Old Style" w:hAnsi="Bookman Old Style"/>
          <w:sz w:val="24"/>
          <w:szCs w:val="24"/>
        </w:rPr>
        <w:t xml:space="preserve"> </w:t>
      </w:r>
      <w:r w:rsidRPr="007A4750">
        <w:rPr>
          <w:rFonts w:ascii="Bookman Old Style" w:hAnsi="Bookman Old Style"/>
          <w:sz w:val="24"/>
          <w:szCs w:val="24"/>
        </w:rPr>
        <w:t>Keselarasan</w:t>
      </w:r>
      <w:r w:rsidR="00A954D0">
        <w:rPr>
          <w:rFonts w:ascii="Bookman Old Style" w:hAnsi="Bookman Old Style"/>
          <w:sz w:val="24"/>
          <w:szCs w:val="24"/>
        </w:rPr>
        <w:t xml:space="preserve"> </w:t>
      </w:r>
      <w:r w:rsidRPr="007A4750">
        <w:rPr>
          <w:rFonts w:ascii="Bookman Old Style" w:hAnsi="Bookman Old Style"/>
          <w:sz w:val="24"/>
          <w:szCs w:val="24"/>
        </w:rPr>
        <w:t>dan</w:t>
      </w:r>
      <w:r w:rsidR="00A954D0">
        <w:rPr>
          <w:rFonts w:ascii="Bookman Old Style" w:hAnsi="Bookman Old Style"/>
          <w:sz w:val="24"/>
          <w:szCs w:val="24"/>
        </w:rPr>
        <w:t xml:space="preserve"> </w:t>
      </w:r>
      <w:r w:rsidRPr="007A4750">
        <w:rPr>
          <w:rFonts w:ascii="Bookman Old Style" w:hAnsi="Bookman Old Style"/>
          <w:sz w:val="24"/>
          <w:szCs w:val="24"/>
        </w:rPr>
        <w:t>Keterpaduan</w:t>
      </w:r>
      <w:r w:rsidR="00A954D0">
        <w:rPr>
          <w:rFonts w:ascii="Bookman Old Style" w:hAnsi="Bookman Old Style"/>
          <w:sz w:val="24"/>
          <w:szCs w:val="24"/>
        </w:rPr>
        <w:t xml:space="preserve"> </w:t>
      </w:r>
      <w:r w:rsidRPr="007A4750">
        <w:rPr>
          <w:rFonts w:ascii="Bookman Old Style" w:hAnsi="Bookman Old Style"/>
          <w:sz w:val="24"/>
          <w:szCs w:val="24"/>
        </w:rPr>
        <w:t>Urusan</w:t>
      </w:r>
      <w:r w:rsidR="00A954D0">
        <w:rPr>
          <w:rFonts w:ascii="Bookman Old Style" w:hAnsi="Bookman Old Style"/>
          <w:sz w:val="24"/>
          <w:szCs w:val="24"/>
        </w:rPr>
        <w:t xml:space="preserve"> </w:t>
      </w:r>
      <w:r w:rsidRPr="007A4750">
        <w:rPr>
          <w:rFonts w:ascii="Bookman Old Style" w:hAnsi="Bookman Old Style"/>
          <w:sz w:val="24"/>
          <w:szCs w:val="24"/>
        </w:rPr>
        <w:t>Pemerintah</w:t>
      </w:r>
      <w:r w:rsidR="00A954D0">
        <w:rPr>
          <w:rFonts w:ascii="Bookman Old Style" w:hAnsi="Bookman Old Style"/>
          <w:sz w:val="24"/>
          <w:szCs w:val="24"/>
        </w:rPr>
        <w:t xml:space="preserve"> </w:t>
      </w:r>
      <w:r w:rsidRPr="007A4750">
        <w:rPr>
          <w:rFonts w:ascii="Bookman Old Style" w:hAnsi="Bookman Old Style"/>
          <w:sz w:val="24"/>
          <w:szCs w:val="24"/>
        </w:rPr>
        <w:t>Daerah</w:t>
      </w:r>
      <w:r w:rsidR="00A954D0">
        <w:rPr>
          <w:rFonts w:ascii="Bookman Old Style" w:hAnsi="Bookman Old Style"/>
          <w:sz w:val="24"/>
          <w:szCs w:val="24"/>
        </w:rPr>
        <w:t xml:space="preserve"> </w:t>
      </w:r>
      <w:r w:rsidRPr="007A4750">
        <w:rPr>
          <w:rFonts w:ascii="Bookman Old Style" w:hAnsi="Bookman Old Style"/>
          <w:sz w:val="24"/>
          <w:szCs w:val="24"/>
        </w:rPr>
        <w:t>dan</w:t>
      </w:r>
      <w:r w:rsidR="00A954D0">
        <w:rPr>
          <w:rFonts w:ascii="Bookman Old Style" w:hAnsi="Bookman Old Style"/>
          <w:sz w:val="24"/>
          <w:szCs w:val="24"/>
        </w:rPr>
        <w:t xml:space="preserve"> </w:t>
      </w:r>
      <w:r w:rsidRPr="007A4750">
        <w:rPr>
          <w:rFonts w:ascii="Bookman Old Style" w:hAnsi="Bookman Old Style"/>
          <w:sz w:val="24"/>
          <w:szCs w:val="24"/>
        </w:rPr>
        <w:t>Fungsi</w:t>
      </w:r>
      <w:r w:rsidR="00A954D0">
        <w:rPr>
          <w:rFonts w:ascii="Bookman Old Style" w:hAnsi="Bookman Old Style"/>
          <w:sz w:val="24"/>
          <w:szCs w:val="24"/>
        </w:rPr>
        <w:t xml:space="preserve"> </w:t>
      </w:r>
      <w:r w:rsidRPr="007A4750">
        <w:rPr>
          <w:rFonts w:ascii="Bookman Old Style" w:hAnsi="Bookman Old Style"/>
          <w:sz w:val="24"/>
          <w:szCs w:val="24"/>
        </w:rPr>
        <w:t>Dalam</w:t>
      </w:r>
      <w:r w:rsidR="00A954D0">
        <w:rPr>
          <w:rFonts w:ascii="Bookman Old Style" w:hAnsi="Bookman Old Style"/>
          <w:sz w:val="24"/>
          <w:szCs w:val="24"/>
        </w:rPr>
        <w:t xml:space="preserve"> </w:t>
      </w:r>
      <w:r w:rsidRPr="007A4750">
        <w:rPr>
          <w:rFonts w:ascii="Bookman Old Style" w:hAnsi="Bookman Old Style"/>
          <w:sz w:val="24"/>
          <w:szCs w:val="24"/>
        </w:rPr>
        <w:t>Kerangka</w:t>
      </w:r>
      <w:r w:rsidR="00A954D0">
        <w:rPr>
          <w:rFonts w:ascii="Bookman Old Style" w:hAnsi="Bookman Old Style"/>
          <w:sz w:val="24"/>
          <w:szCs w:val="24"/>
        </w:rPr>
        <w:t xml:space="preserve"> </w:t>
      </w:r>
      <w:r w:rsidRPr="007A4750">
        <w:rPr>
          <w:rFonts w:ascii="Bookman Old Style" w:hAnsi="Bookman Old Style"/>
          <w:sz w:val="24"/>
          <w:szCs w:val="24"/>
        </w:rPr>
        <w:t>Pengelolaan</w:t>
      </w:r>
      <w:r w:rsidR="00A954D0">
        <w:rPr>
          <w:rFonts w:ascii="Bookman Old Style" w:hAnsi="Bookman Old Style"/>
          <w:sz w:val="24"/>
          <w:szCs w:val="24"/>
        </w:rPr>
        <w:t xml:space="preserve"> </w:t>
      </w:r>
      <w:r w:rsidRPr="007A4750">
        <w:rPr>
          <w:rFonts w:ascii="Bookman Old Style" w:hAnsi="Bookman Old Style"/>
          <w:sz w:val="24"/>
          <w:szCs w:val="24"/>
        </w:rPr>
        <w:t>Keuangan</w:t>
      </w:r>
      <w:r w:rsidR="00A954D0">
        <w:rPr>
          <w:rFonts w:ascii="Bookman Old Style" w:hAnsi="Bookman Old Style"/>
          <w:sz w:val="24"/>
          <w:szCs w:val="24"/>
        </w:rPr>
        <w:t xml:space="preserve"> </w:t>
      </w:r>
      <w:r w:rsidRPr="007A4750">
        <w:rPr>
          <w:rFonts w:ascii="Bookman Old Style" w:hAnsi="Bookman Old Style"/>
          <w:sz w:val="24"/>
          <w:szCs w:val="24"/>
        </w:rPr>
        <w:t>Negara;</w:t>
      </w:r>
    </w:p>
    <w:p w14:paraId="6CBA37DD" w14:textId="4BAA6B1E" w:rsidR="006E2F8F" w:rsidRPr="007A4750" w:rsidRDefault="006E2F8F" w:rsidP="004A784D">
      <w:pPr>
        <w:pStyle w:val="ListParagraph"/>
        <w:numPr>
          <w:ilvl w:val="0"/>
          <w:numId w:val="217"/>
        </w:numPr>
        <w:snapToGrid w:val="0"/>
        <w:spacing w:before="60" w:after="0" w:line="276" w:lineRule="auto"/>
        <w:ind w:left="2694" w:hanging="426"/>
        <w:contextualSpacing w:val="0"/>
        <w:jc w:val="both"/>
        <w:rPr>
          <w:rFonts w:ascii="Bookman Old Style" w:eastAsiaTheme="minorHAnsi" w:hAnsi="Bookman Old Style" w:cstheme="minorBidi"/>
          <w:sz w:val="24"/>
          <w:szCs w:val="24"/>
        </w:rPr>
      </w:pPr>
      <w:r w:rsidRPr="007A4750">
        <w:rPr>
          <w:rFonts w:ascii="Bookman Old Style" w:hAnsi="Bookman Old Style"/>
          <w:sz w:val="24"/>
          <w:szCs w:val="24"/>
        </w:rPr>
        <w:t>Lampiran</w:t>
      </w:r>
      <w:r w:rsidR="00A954D0">
        <w:rPr>
          <w:rFonts w:ascii="Bookman Old Style" w:hAnsi="Bookman Old Style"/>
          <w:sz w:val="24"/>
          <w:szCs w:val="24"/>
        </w:rPr>
        <w:t xml:space="preserve"> </w:t>
      </w:r>
      <w:r w:rsidRPr="007A4750">
        <w:rPr>
          <w:rFonts w:ascii="Bookman Old Style" w:hAnsi="Bookman Old Style"/>
          <w:sz w:val="24"/>
          <w:szCs w:val="24"/>
        </w:rPr>
        <w:t>VI</w:t>
      </w:r>
      <w:r w:rsidR="00A954D0">
        <w:rPr>
          <w:rFonts w:ascii="Bookman Old Style" w:hAnsi="Bookman Old Style"/>
          <w:sz w:val="24"/>
          <w:szCs w:val="24"/>
        </w:rPr>
        <w:t xml:space="preserve"> </w:t>
      </w:r>
      <w:r w:rsidRPr="007A4750">
        <w:rPr>
          <w:rFonts w:ascii="Bookman Old Style" w:hAnsi="Bookman Old Style"/>
          <w:sz w:val="24"/>
          <w:szCs w:val="24"/>
        </w:rPr>
        <w:t>Rekapitulasi</w:t>
      </w:r>
      <w:r w:rsidR="00A954D0">
        <w:rPr>
          <w:rFonts w:ascii="Bookman Old Style" w:hAnsi="Bookman Old Style"/>
          <w:sz w:val="24"/>
          <w:szCs w:val="24"/>
        </w:rPr>
        <w:t xml:space="preserve"> </w:t>
      </w:r>
      <w:r w:rsidRPr="007A4750">
        <w:rPr>
          <w:rFonts w:ascii="Bookman Old Style" w:hAnsi="Bookman Old Style"/>
          <w:sz w:val="24"/>
          <w:szCs w:val="24"/>
        </w:rPr>
        <w:t>Belanja</w:t>
      </w:r>
      <w:r w:rsidR="00A954D0">
        <w:rPr>
          <w:rFonts w:ascii="Bookman Old Style" w:hAnsi="Bookman Old Style"/>
          <w:sz w:val="24"/>
          <w:szCs w:val="24"/>
        </w:rPr>
        <w:t xml:space="preserve"> </w:t>
      </w:r>
      <w:r w:rsidRPr="007A4750">
        <w:rPr>
          <w:rFonts w:ascii="Bookman Old Style" w:hAnsi="Bookman Old Style"/>
          <w:sz w:val="24"/>
          <w:szCs w:val="24"/>
        </w:rPr>
        <w:t>Untuk</w:t>
      </w:r>
      <w:r w:rsidR="00A954D0">
        <w:rPr>
          <w:rFonts w:ascii="Bookman Old Style" w:hAnsi="Bookman Old Style"/>
          <w:sz w:val="24"/>
          <w:szCs w:val="24"/>
        </w:rPr>
        <w:t xml:space="preserve"> </w:t>
      </w:r>
      <w:r w:rsidRPr="007A4750">
        <w:rPr>
          <w:rFonts w:ascii="Bookman Old Style" w:hAnsi="Bookman Old Style"/>
          <w:sz w:val="24"/>
          <w:szCs w:val="24"/>
        </w:rPr>
        <w:t>PemenuhanSPM;</w:t>
      </w:r>
    </w:p>
    <w:p w14:paraId="3EFE0422" w14:textId="7D83ADED" w:rsidR="006E2F8F" w:rsidRPr="007A4750" w:rsidRDefault="006E2F8F" w:rsidP="004A784D">
      <w:pPr>
        <w:pStyle w:val="ListParagraph"/>
        <w:numPr>
          <w:ilvl w:val="0"/>
          <w:numId w:val="217"/>
        </w:numPr>
        <w:snapToGrid w:val="0"/>
        <w:spacing w:before="60" w:after="0" w:line="276" w:lineRule="auto"/>
        <w:ind w:left="2694" w:hanging="426"/>
        <w:contextualSpacing w:val="0"/>
        <w:jc w:val="both"/>
        <w:rPr>
          <w:rFonts w:ascii="Bookman Old Style" w:eastAsiaTheme="minorHAnsi" w:hAnsi="Bookman Old Style" w:cstheme="minorBidi"/>
          <w:sz w:val="24"/>
          <w:szCs w:val="24"/>
        </w:rPr>
      </w:pPr>
      <w:r w:rsidRPr="007A4750">
        <w:rPr>
          <w:rFonts w:ascii="Bookman Old Style" w:hAnsi="Bookman Old Style"/>
          <w:sz w:val="24"/>
          <w:szCs w:val="24"/>
        </w:rPr>
        <w:t>Lampiran</w:t>
      </w:r>
      <w:r w:rsidR="00A954D0">
        <w:rPr>
          <w:rFonts w:ascii="Bookman Old Style" w:hAnsi="Bookman Old Style"/>
          <w:sz w:val="24"/>
          <w:szCs w:val="24"/>
        </w:rPr>
        <w:t xml:space="preserve"> </w:t>
      </w:r>
      <w:r w:rsidRPr="007A4750">
        <w:rPr>
          <w:rFonts w:ascii="Bookman Old Style" w:hAnsi="Bookman Old Style"/>
          <w:sz w:val="24"/>
          <w:szCs w:val="24"/>
        </w:rPr>
        <w:t>VII</w:t>
      </w:r>
      <w:r w:rsidR="00A954D0">
        <w:rPr>
          <w:rFonts w:ascii="Bookman Old Style" w:hAnsi="Bookman Old Style"/>
          <w:sz w:val="24"/>
          <w:szCs w:val="24"/>
        </w:rPr>
        <w:t xml:space="preserve"> </w:t>
      </w:r>
      <w:r w:rsidRPr="007A4750">
        <w:rPr>
          <w:rFonts w:ascii="Bookman Old Style" w:hAnsi="Bookman Old Style"/>
          <w:sz w:val="24"/>
          <w:szCs w:val="24"/>
        </w:rPr>
        <w:t>Sinkronisasi</w:t>
      </w:r>
      <w:r w:rsidR="00A954D0">
        <w:rPr>
          <w:rFonts w:ascii="Bookman Old Style" w:hAnsi="Bookman Old Style"/>
          <w:sz w:val="24"/>
          <w:szCs w:val="24"/>
        </w:rPr>
        <w:t xml:space="preserve"> </w:t>
      </w:r>
      <w:r w:rsidRPr="007A4750">
        <w:rPr>
          <w:rFonts w:ascii="Bookman Old Style" w:hAnsi="Bookman Old Style"/>
          <w:sz w:val="24"/>
          <w:szCs w:val="24"/>
        </w:rPr>
        <w:t>Program</w:t>
      </w:r>
      <w:r w:rsidR="00A954D0">
        <w:rPr>
          <w:rFonts w:ascii="Bookman Old Style" w:hAnsi="Bookman Old Style"/>
          <w:sz w:val="24"/>
          <w:szCs w:val="24"/>
        </w:rPr>
        <w:t xml:space="preserve"> </w:t>
      </w:r>
      <w:r w:rsidRPr="007A4750">
        <w:rPr>
          <w:rFonts w:ascii="Bookman Old Style" w:hAnsi="Bookman Old Style"/>
          <w:sz w:val="24"/>
          <w:szCs w:val="24"/>
        </w:rPr>
        <w:t>pada</w:t>
      </w:r>
      <w:r w:rsidR="00A954D0">
        <w:rPr>
          <w:rFonts w:ascii="Bookman Old Style" w:hAnsi="Bookman Old Style"/>
          <w:sz w:val="24"/>
          <w:szCs w:val="24"/>
        </w:rPr>
        <w:t xml:space="preserve"> </w:t>
      </w:r>
      <w:r w:rsidRPr="007A4750">
        <w:rPr>
          <w:rFonts w:ascii="Bookman Old Style" w:hAnsi="Bookman Old Style"/>
          <w:sz w:val="24"/>
          <w:szCs w:val="24"/>
        </w:rPr>
        <w:t>RPJMD</w:t>
      </w:r>
      <w:r w:rsidR="00A954D0">
        <w:rPr>
          <w:rFonts w:ascii="Bookman Old Style" w:hAnsi="Bookman Old Style"/>
          <w:sz w:val="24"/>
          <w:szCs w:val="24"/>
        </w:rPr>
        <w:t xml:space="preserve"> </w:t>
      </w:r>
      <w:r w:rsidRPr="007A4750">
        <w:rPr>
          <w:rFonts w:ascii="Bookman Old Style" w:hAnsi="Bookman Old Style"/>
          <w:sz w:val="24"/>
          <w:szCs w:val="24"/>
        </w:rPr>
        <w:t>dengan</w:t>
      </w:r>
      <w:r w:rsidR="00A954D0">
        <w:rPr>
          <w:rFonts w:ascii="Bookman Old Style" w:hAnsi="Bookman Old Style"/>
          <w:sz w:val="24"/>
          <w:szCs w:val="24"/>
        </w:rPr>
        <w:t xml:space="preserve"> </w:t>
      </w:r>
      <w:r w:rsidRPr="007A4750">
        <w:rPr>
          <w:rFonts w:ascii="Bookman Old Style" w:hAnsi="Bookman Old Style"/>
          <w:sz w:val="24"/>
          <w:szCs w:val="24"/>
        </w:rPr>
        <w:t>Rancangan</w:t>
      </w:r>
      <w:r w:rsidR="00A954D0">
        <w:rPr>
          <w:rFonts w:ascii="Bookman Old Style" w:hAnsi="Bookman Old Style"/>
          <w:sz w:val="24"/>
          <w:szCs w:val="24"/>
        </w:rPr>
        <w:t xml:space="preserve"> </w:t>
      </w:r>
      <w:r w:rsidRPr="007A4750">
        <w:rPr>
          <w:rFonts w:ascii="Bookman Old Style" w:hAnsi="Bookman Old Style"/>
          <w:sz w:val="24"/>
          <w:szCs w:val="24"/>
        </w:rPr>
        <w:t>APBD;</w:t>
      </w:r>
    </w:p>
    <w:p w14:paraId="31F16717" w14:textId="2F354DFA" w:rsidR="006E2F8F" w:rsidRPr="007A4750" w:rsidRDefault="006E2F8F" w:rsidP="004A784D">
      <w:pPr>
        <w:pStyle w:val="ListParagraph"/>
        <w:numPr>
          <w:ilvl w:val="0"/>
          <w:numId w:val="217"/>
        </w:numPr>
        <w:snapToGrid w:val="0"/>
        <w:spacing w:before="60" w:after="0" w:line="276" w:lineRule="auto"/>
        <w:ind w:left="2694" w:hanging="426"/>
        <w:contextualSpacing w:val="0"/>
        <w:jc w:val="both"/>
        <w:rPr>
          <w:rFonts w:ascii="Bookman Old Style" w:eastAsiaTheme="minorHAnsi" w:hAnsi="Bookman Old Style" w:cstheme="minorBidi"/>
          <w:sz w:val="24"/>
          <w:szCs w:val="24"/>
        </w:rPr>
      </w:pPr>
      <w:r w:rsidRPr="007A4750">
        <w:rPr>
          <w:rFonts w:ascii="Bookman Old Style" w:hAnsi="Bookman Old Style"/>
          <w:sz w:val="24"/>
          <w:szCs w:val="24"/>
        </w:rPr>
        <w:t>Lampiran</w:t>
      </w:r>
      <w:r w:rsidR="00A954D0">
        <w:rPr>
          <w:rFonts w:ascii="Bookman Old Style" w:hAnsi="Bookman Old Style"/>
          <w:sz w:val="24"/>
          <w:szCs w:val="24"/>
        </w:rPr>
        <w:t xml:space="preserve"> </w:t>
      </w:r>
      <w:r w:rsidRPr="007A4750">
        <w:rPr>
          <w:rFonts w:ascii="Bookman Old Style" w:hAnsi="Bookman Old Style"/>
          <w:sz w:val="24"/>
          <w:szCs w:val="24"/>
        </w:rPr>
        <w:t>VIII</w:t>
      </w:r>
      <w:r w:rsidR="00A954D0">
        <w:rPr>
          <w:rFonts w:ascii="Bookman Old Style" w:hAnsi="Bookman Old Style"/>
          <w:sz w:val="24"/>
          <w:szCs w:val="24"/>
        </w:rPr>
        <w:t xml:space="preserve"> </w:t>
      </w:r>
      <w:r w:rsidRPr="007A4750">
        <w:rPr>
          <w:rFonts w:ascii="Bookman Old Style" w:hAnsi="Bookman Old Style"/>
          <w:sz w:val="24"/>
          <w:szCs w:val="24"/>
        </w:rPr>
        <w:t>Sinkronisasi</w:t>
      </w:r>
      <w:r w:rsidR="00A954D0">
        <w:rPr>
          <w:rFonts w:ascii="Bookman Old Style" w:hAnsi="Bookman Old Style"/>
          <w:sz w:val="24"/>
          <w:szCs w:val="24"/>
        </w:rPr>
        <w:t xml:space="preserve"> </w:t>
      </w:r>
      <w:r w:rsidRPr="007A4750">
        <w:rPr>
          <w:rFonts w:ascii="Bookman Old Style" w:hAnsi="Bookman Old Style"/>
          <w:sz w:val="24"/>
          <w:szCs w:val="24"/>
        </w:rPr>
        <w:t>Program,</w:t>
      </w:r>
      <w:r w:rsidR="00A954D0">
        <w:rPr>
          <w:rFonts w:ascii="Bookman Old Style" w:hAnsi="Bookman Old Style"/>
          <w:sz w:val="24"/>
          <w:szCs w:val="24"/>
        </w:rPr>
        <w:t xml:space="preserve"> </w:t>
      </w:r>
      <w:r w:rsidRPr="007A4750">
        <w:rPr>
          <w:rFonts w:ascii="Bookman Old Style" w:hAnsi="Bookman Old Style"/>
          <w:sz w:val="24"/>
          <w:szCs w:val="24"/>
        </w:rPr>
        <w:t>Kegiatan</w:t>
      </w:r>
      <w:r w:rsidR="00A954D0">
        <w:rPr>
          <w:rFonts w:ascii="Bookman Old Style" w:hAnsi="Bookman Old Style"/>
          <w:sz w:val="24"/>
          <w:szCs w:val="24"/>
        </w:rPr>
        <w:t xml:space="preserve"> </w:t>
      </w:r>
      <w:r w:rsidRPr="007A4750">
        <w:rPr>
          <w:rFonts w:ascii="Bookman Old Style" w:hAnsi="Bookman Old Style"/>
          <w:sz w:val="24"/>
          <w:szCs w:val="24"/>
        </w:rPr>
        <w:t>dan</w:t>
      </w:r>
      <w:r w:rsidR="00A954D0">
        <w:rPr>
          <w:rFonts w:ascii="Bookman Old Style" w:hAnsi="Bookman Old Style"/>
          <w:sz w:val="24"/>
          <w:szCs w:val="24"/>
        </w:rPr>
        <w:t xml:space="preserve"> </w:t>
      </w:r>
      <w:r w:rsidRPr="007A4750">
        <w:rPr>
          <w:rFonts w:ascii="Bookman Old Style" w:hAnsi="Bookman Old Style"/>
          <w:sz w:val="24"/>
          <w:szCs w:val="24"/>
        </w:rPr>
        <w:t>Sub</w:t>
      </w:r>
      <w:r w:rsidR="00A954D0">
        <w:rPr>
          <w:rFonts w:ascii="Bookman Old Style" w:hAnsi="Bookman Old Style"/>
          <w:sz w:val="24"/>
          <w:szCs w:val="24"/>
        </w:rPr>
        <w:t xml:space="preserve"> </w:t>
      </w:r>
      <w:r w:rsidRPr="007A4750">
        <w:rPr>
          <w:rFonts w:ascii="Bookman Old Style" w:hAnsi="Bookman Old Style"/>
          <w:sz w:val="24"/>
          <w:szCs w:val="24"/>
        </w:rPr>
        <w:t>Kegiatan</w:t>
      </w:r>
      <w:r w:rsidR="00A954D0">
        <w:rPr>
          <w:rFonts w:ascii="Bookman Old Style" w:hAnsi="Bookman Old Style"/>
          <w:sz w:val="24"/>
          <w:szCs w:val="24"/>
        </w:rPr>
        <w:t xml:space="preserve"> </w:t>
      </w:r>
      <w:r w:rsidRPr="007A4750">
        <w:rPr>
          <w:rFonts w:ascii="Bookman Old Style" w:hAnsi="Bookman Old Style"/>
          <w:sz w:val="24"/>
          <w:szCs w:val="24"/>
        </w:rPr>
        <w:t>pada</w:t>
      </w:r>
      <w:r w:rsidR="00A954D0">
        <w:rPr>
          <w:rFonts w:ascii="Bookman Old Style" w:hAnsi="Bookman Old Style"/>
          <w:sz w:val="24"/>
          <w:szCs w:val="24"/>
        </w:rPr>
        <w:t xml:space="preserve"> </w:t>
      </w:r>
      <w:r w:rsidRPr="007A4750">
        <w:rPr>
          <w:rFonts w:ascii="Bookman Old Style" w:hAnsi="Bookman Old Style"/>
          <w:sz w:val="24"/>
          <w:szCs w:val="24"/>
        </w:rPr>
        <w:t>RKPD</w:t>
      </w:r>
      <w:r w:rsidR="00A954D0">
        <w:rPr>
          <w:rFonts w:ascii="Bookman Old Style" w:hAnsi="Bookman Old Style"/>
          <w:sz w:val="24"/>
          <w:szCs w:val="24"/>
        </w:rPr>
        <w:t xml:space="preserve"> </w:t>
      </w:r>
      <w:r w:rsidRPr="007A4750">
        <w:rPr>
          <w:rFonts w:ascii="Bookman Old Style" w:hAnsi="Bookman Old Style"/>
          <w:sz w:val="24"/>
          <w:szCs w:val="24"/>
        </w:rPr>
        <w:t>dan</w:t>
      </w:r>
      <w:r w:rsidR="00A954D0">
        <w:rPr>
          <w:rFonts w:ascii="Bookman Old Style" w:hAnsi="Bookman Old Style"/>
          <w:sz w:val="24"/>
          <w:szCs w:val="24"/>
        </w:rPr>
        <w:t xml:space="preserve"> </w:t>
      </w:r>
      <w:r w:rsidRPr="007A4750">
        <w:rPr>
          <w:rFonts w:ascii="Bookman Old Style" w:hAnsi="Bookman Old Style"/>
          <w:sz w:val="24"/>
          <w:szCs w:val="24"/>
        </w:rPr>
        <w:t>PPAS</w:t>
      </w:r>
      <w:r w:rsidR="00A954D0">
        <w:rPr>
          <w:rFonts w:ascii="Bookman Old Style" w:hAnsi="Bookman Old Style"/>
          <w:sz w:val="24"/>
          <w:szCs w:val="24"/>
        </w:rPr>
        <w:t xml:space="preserve"> </w:t>
      </w:r>
      <w:r w:rsidRPr="007A4750">
        <w:rPr>
          <w:rFonts w:ascii="Bookman Old Style" w:hAnsi="Bookman Old Style"/>
          <w:sz w:val="24"/>
          <w:szCs w:val="24"/>
        </w:rPr>
        <w:t>dengan</w:t>
      </w:r>
      <w:r w:rsidR="00A954D0">
        <w:rPr>
          <w:rFonts w:ascii="Bookman Old Style" w:hAnsi="Bookman Old Style"/>
          <w:sz w:val="24"/>
          <w:szCs w:val="24"/>
        </w:rPr>
        <w:t xml:space="preserve"> </w:t>
      </w:r>
      <w:r w:rsidRPr="007A4750">
        <w:rPr>
          <w:rFonts w:ascii="Bookman Old Style" w:hAnsi="Bookman Old Style"/>
          <w:sz w:val="24"/>
          <w:szCs w:val="24"/>
        </w:rPr>
        <w:t>Rancangan</w:t>
      </w:r>
      <w:r w:rsidR="00A954D0">
        <w:rPr>
          <w:rFonts w:ascii="Bookman Old Style" w:hAnsi="Bookman Old Style"/>
          <w:sz w:val="24"/>
          <w:szCs w:val="24"/>
        </w:rPr>
        <w:t xml:space="preserve"> </w:t>
      </w:r>
      <w:r w:rsidRPr="007A4750">
        <w:rPr>
          <w:rFonts w:ascii="Bookman Old Style" w:hAnsi="Bookman Old Style"/>
          <w:sz w:val="24"/>
          <w:szCs w:val="24"/>
        </w:rPr>
        <w:t>APBD</w:t>
      </w:r>
      <w:r>
        <w:rPr>
          <w:rFonts w:ascii="Bookman Old Style" w:hAnsi="Bookman Old Style"/>
          <w:sz w:val="24"/>
          <w:szCs w:val="24"/>
        </w:rPr>
        <w:t>;</w:t>
      </w:r>
    </w:p>
    <w:p w14:paraId="150CB5EC" w14:textId="4D5CBCF9" w:rsidR="006E2F8F" w:rsidRPr="007A4750" w:rsidRDefault="006E2F8F" w:rsidP="004A784D">
      <w:pPr>
        <w:pStyle w:val="ListParagraph"/>
        <w:numPr>
          <w:ilvl w:val="0"/>
          <w:numId w:val="217"/>
        </w:numPr>
        <w:snapToGrid w:val="0"/>
        <w:spacing w:before="60" w:after="0" w:line="276" w:lineRule="auto"/>
        <w:ind w:left="2694" w:hanging="426"/>
        <w:contextualSpacing w:val="0"/>
        <w:jc w:val="both"/>
        <w:rPr>
          <w:rFonts w:ascii="Bookman Old Style" w:eastAsiaTheme="minorHAnsi" w:hAnsi="Bookman Old Style" w:cstheme="minorBidi"/>
          <w:sz w:val="24"/>
          <w:szCs w:val="24"/>
        </w:rPr>
      </w:pPr>
      <w:r w:rsidRPr="007A4750">
        <w:rPr>
          <w:rFonts w:ascii="Bookman Old Style" w:hAnsi="Bookman Old Style"/>
          <w:sz w:val="24"/>
          <w:szCs w:val="24"/>
        </w:rPr>
        <w:t>Lampiran</w:t>
      </w:r>
      <w:r w:rsidR="00A954D0">
        <w:rPr>
          <w:rFonts w:ascii="Bookman Old Style" w:hAnsi="Bookman Old Style"/>
          <w:sz w:val="24"/>
          <w:szCs w:val="24"/>
        </w:rPr>
        <w:t xml:space="preserve"> </w:t>
      </w:r>
      <w:r w:rsidRPr="007A4750">
        <w:rPr>
          <w:rFonts w:ascii="Bookman Old Style" w:hAnsi="Bookman Old Style"/>
          <w:sz w:val="24"/>
          <w:szCs w:val="24"/>
        </w:rPr>
        <w:t>IX</w:t>
      </w:r>
      <w:r w:rsidR="00A954D0">
        <w:rPr>
          <w:rFonts w:ascii="Bookman Old Style" w:hAnsi="Bookman Old Style"/>
          <w:sz w:val="24"/>
          <w:szCs w:val="24"/>
        </w:rPr>
        <w:t xml:space="preserve"> </w:t>
      </w:r>
      <w:r w:rsidRPr="007A4750">
        <w:rPr>
          <w:rFonts w:ascii="Bookman Old Style" w:hAnsi="Bookman Old Style"/>
          <w:sz w:val="24"/>
          <w:szCs w:val="24"/>
        </w:rPr>
        <w:t>Sikronisasi</w:t>
      </w:r>
      <w:r w:rsidR="00A954D0">
        <w:rPr>
          <w:rFonts w:ascii="Bookman Old Style" w:hAnsi="Bookman Old Style"/>
          <w:sz w:val="24"/>
          <w:szCs w:val="24"/>
        </w:rPr>
        <w:t xml:space="preserve"> </w:t>
      </w:r>
      <w:r w:rsidRPr="007A4750">
        <w:rPr>
          <w:rFonts w:ascii="Bookman Old Style" w:hAnsi="Bookman Old Style"/>
          <w:sz w:val="24"/>
          <w:szCs w:val="24"/>
        </w:rPr>
        <w:t>Program</w:t>
      </w:r>
      <w:r w:rsidR="00A954D0">
        <w:rPr>
          <w:rFonts w:ascii="Bookman Old Style" w:hAnsi="Bookman Old Style"/>
          <w:sz w:val="24"/>
          <w:szCs w:val="24"/>
        </w:rPr>
        <w:t xml:space="preserve"> </w:t>
      </w:r>
      <w:r w:rsidRPr="007A4750">
        <w:rPr>
          <w:rFonts w:ascii="Bookman Old Style" w:hAnsi="Bookman Old Style"/>
          <w:sz w:val="24"/>
          <w:szCs w:val="24"/>
        </w:rPr>
        <w:t>Prioritas</w:t>
      </w:r>
      <w:r w:rsidR="00A954D0">
        <w:rPr>
          <w:rFonts w:ascii="Bookman Old Style" w:hAnsi="Bookman Old Style"/>
          <w:sz w:val="24"/>
          <w:szCs w:val="24"/>
        </w:rPr>
        <w:t xml:space="preserve"> </w:t>
      </w:r>
      <w:r w:rsidRPr="007A4750">
        <w:rPr>
          <w:rFonts w:ascii="Bookman Old Style" w:hAnsi="Bookman Old Style"/>
          <w:sz w:val="24"/>
          <w:szCs w:val="24"/>
        </w:rPr>
        <w:t>Nasional</w:t>
      </w:r>
      <w:r w:rsidR="00A954D0">
        <w:rPr>
          <w:rFonts w:ascii="Bookman Old Style" w:hAnsi="Bookman Old Style"/>
          <w:sz w:val="24"/>
          <w:szCs w:val="24"/>
        </w:rPr>
        <w:t xml:space="preserve"> </w:t>
      </w:r>
      <w:r w:rsidRPr="007A4750">
        <w:rPr>
          <w:rFonts w:ascii="Bookman Old Style" w:hAnsi="Bookman Old Style"/>
          <w:sz w:val="24"/>
          <w:szCs w:val="24"/>
        </w:rPr>
        <w:t>dengan</w:t>
      </w:r>
      <w:r w:rsidR="00A954D0">
        <w:rPr>
          <w:rFonts w:ascii="Bookman Old Style" w:hAnsi="Bookman Old Style"/>
          <w:sz w:val="24"/>
          <w:szCs w:val="24"/>
        </w:rPr>
        <w:t xml:space="preserve"> </w:t>
      </w:r>
      <w:r w:rsidRPr="007A4750">
        <w:rPr>
          <w:rFonts w:ascii="Bookman Old Style" w:hAnsi="Bookman Old Style"/>
          <w:sz w:val="24"/>
          <w:szCs w:val="24"/>
        </w:rPr>
        <w:t>Program</w:t>
      </w:r>
      <w:r w:rsidR="00A954D0">
        <w:rPr>
          <w:rFonts w:ascii="Bookman Old Style" w:hAnsi="Bookman Old Style"/>
          <w:sz w:val="24"/>
          <w:szCs w:val="24"/>
        </w:rPr>
        <w:t xml:space="preserve"> </w:t>
      </w:r>
      <w:r w:rsidRPr="007A4750">
        <w:rPr>
          <w:rFonts w:ascii="Bookman Old Style" w:hAnsi="Bookman Old Style"/>
          <w:sz w:val="24"/>
          <w:szCs w:val="24"/>
        </w:rPr>
        <w:t>Prioritas</w:t>
      </w:r>
      <w:r w:rsidR="00A954D0">
        <w:rPr>
          <w:rFonts w:ascii="Bookman Old Style" w:hAnsi="Bookman Old Style"/>
          <w:sz w:val="24"/>
          <w:szCs w:val="24"/>
        </w:rPr>
        <w:t xml:space="preserve"> </w:t>
      </w:r>
      <w:r w:rsidRPr="007A4750">
        <w:rPr>
          <w:rFonts w:ascii="Bookman Old Style" w:hAnsi="Bookman Old Style"/>
          <w:sz w:val="24"/>
          <w:szCs w:val="24"/>
        </w:rPr>
        <w:t>Daerah;</w:t>
      </w:r>
    </w:p>
    <w:p w14:paraId="23ABED09" w14:textId="34FA4092" w:rsidR="006E2F8F" w:rsidRPr="007A4750" w:rsidRDefault="006E2F8F" w:rsidP="004A784D">
      <w:pPr>
        <w:pStyle w:val="ListParagraph"/>
        <w:numPr>
          <w:ilvl w:val="0"/>
          <w:numId w:val="217"/>
        </w:numPr>
        <w:snapToGrid w:val="0"/>
        <w:spacing w:before="60" w:after="0" w:line="276" w:lineRule="auto"/>
        <w:ind w:left="2694" w:hanging="426"/>
        <w:contextualSpacing w:val="0"/>
        <w:jc w:val="both"/>
        <w:rPr>
          <w:rFonts w:ascii="Bookman Old Style" w:eastAsiaTheme="minorHAnsi" w:hAnsi="Bookman Old Style" w:cstheme="minorBidi"/>
          <w:sz w:val="24"/>
          <w:szCs w:val="24"/>
        </w:rPr>
      </w:pPr>
      <w:r w:rsidRPr="007A4750">
        <w:rPr>
          <w:rFonts w:ascii="Bookman Old Style" w:hAnsi="Bookman Old Style"/>
          <w:sz w:val="24"/>
          <w:szCs w:val="24"/>
        </w:rPr>
        <w:t>Lampiran</w:t>
      </w:r>
      <w:r w:rsidR="00A954D0">
        <w:rPr>
          <w:rFonts w:ascii="Bookman Old Style" w:hAnsi="Bookman Old Style"/>
          <w:sz w:val="24"/>
          <w:szCs w:val="24"/>
        </w:rPr>
        <w:t xml:space="preserve"> </w:t>
      </w:r>
      <w:r w:rsidRPr="007A4750">
        <w:rPr>
          <w:rFonts w:ascii="Bookman Old Style" w:hAnsi="Bookman Old Style"/>
          <w:sz w:val="24"/>
          <w:szCs w:val="24"/>
        </w:rPr>
        <w:t>X</w:t>
      </w:r>
      <w:r w:rsidR="00A954D0">
        <w:rPr>
          <w:rFonts w:ascii="Bookman Old Style" w:hAnsi="Bookman Old Style"/>
          <w:sz w:val="24"/>
          <w:szCs w:val="24"/>
        </w:rPr>
        <w:t xml:space="preserve"> </w:t>
      </w:r>
      <w:r w:rsidRPr="007A4750">
        <w:rPr>
          <w:rFonts w:ascii="Bookman Old Style" w:hAnsi="Bookman Old Style"/>
          <w:sz w:val="24"/>
          <w:szCs w:val="24"/>
        </w:rPr>
        <w:t>Daftar</w:t>
      </w:r>
      <w:r w:rsidR="00A954D0">
        <w:rPr>
          <w:rFonts w:ascii="Bookman Old Style" w:hAnsi="Bookman Old Style"/>
          <w:sz w:val="24"/>
          <w:szCs w:val="24"/>
        </w:rPr>
        <w:t xml:space="preserve"> </w:t>
      </w:r>
      <w:r w:rsidRPr="007A4750">
        <w:rPr>
          <w:rFonts w:ascii="Bookman Old Style" w:hAnsi="Bookman Old Style"/>
          <w:sz w:val="24"/>
          <w:szCs w:val="24"/>
        </w:rPr>
        <w:t>Jumlah</w:t>
      </w:r>
      <w:r w:rsidR="00A954D0">
        <w:rPr>
          <w:rFonts w:ascii="Bookman Old Style" w:hAnsi="Bookman Old Style"/>
          <w:sz w:val="24"/>
          <w:szCs w:val="24"/>
        </w:rPr>
        <w:t xml:space="preserve"> </w:t>
      </w:r>
      <w:r w:rsidRPr="007A4750">
        <w:rPr>
          <w:rFonts w:ascii="Bookman Old Style" w:hAnsi="Bookman Old Style"/>
          <w:sz w:val="24"/>
          <w:szCs w:val="24"/>
        </w:rPr>
        <w:t>Pegawai</w:t>
      </w:r>
      <w:r w:rsidR="00A954D0">
        <w:rPr>
          <w:rFonts w:ascii="Bookman Old Style" w:hAnsi="Bookman Old Style"/>
          <w:sz w:val="24"/>
          <w:szCs w:val="24"/>
        </w:rPr>
        <w:t xml:space="preserve"> </w:t>
      </w:r>
      <w:r w:rsidRPr="007A4750">
        <w:rPr>
          <w:rFonts w:ascii="Bookman Old Style" w:hAnsi="Bookman Old Style"/>
          <w:sz w:val="24"/>
          <w:szCs w:val="24"/>
        </w:rPr>
        <w:t>Per</w:t>
      </w:r>
      <w:r w:rsidR="00A954D0">
        <w:rPr>
          <w:rFonts w:ascii="Bookman Old Style" w:hAnsi="Bookman Old Style"/>
          <w:sz w:val="24"/>
          <w:szCs w:val="24"/>
        </w:rPr>
        <w:t xml:space="preserve"> </w:t>
      </w:r>
      <w:r w:rsidRPr="007A4750">
        <w:rPr>
          <w:rFonts w:ascii="Bookman Old Style" w:hAnsi="Bookman Old Style"/>
          <w:sz w:val="24"/>
          <w:szCs w:val="24"/>
        </w:rPr>
        <w:t>Golongan</w:t>
      </w:r>
      <w:r w:rsidR="00A954D0">
        <w:rPr>
          <w:rFonts w:ascii="Bookman Old Style" w:hAnsi="Bookman Old Style"/>
          <w:sz w:val="24"/>
          <w:szCs w:val="24"/>
        </w:rPr>
        <w:t xml:space="preserve"> </w:t>
      </w:r>
      <w:r w:rsidRPr="007A4750">
        <w:rPr>
          <w:rFonts w:ascii="Bookman Old Style" w:hAnsi="Bookman Old Style"/>
          <w:sz w:val="24"/>
          <w:szCs w:val="24"/>
        </w:rPr>
        <w:t>dan</w:t>
      </w:r>
      <w:r w:rsidR="00A954D0">
        <w:rPr>
          <w:rFonts w:ascii="Bookman Old Style" w:hAnsi="Bookman Old Style"/>
          <w:sz w:val="24"/>
          <w:szCs w:val="24"/>
        </w:rPr>
        <w:t xml:space="preserve"> </w:t>
      </w:r>
      <w:r w:rsidRPr="007A4750">
        <w:rPr>
          <w:rFonts w:ascii="Bookman Old Style" w:hAnsi="Bookman Old Style"/>
          <w:sz w:val="24"/>
          <w:szCs w:val="24"/>
        </w:rPr>
        <w:t>Per</w:t>
      </w:r>
      <w:r w:rsidR="00A954D0">
        <w:rPr>
          <w:rFonts w:ascii="Bookman Old Style" w:hAnsi="Bookman Old Style"/>
          <w:sz w:val="24"/>
          <w:szCs w:val="24"/>
        </w:rPr>
        <w:t xml:space="preserve"> </w:t>
      </w:r>
      <w:r w:rsidRPr="007A4750">
        <w:rPr>
          <w:rFonts w:ascii="Bookman Old Style" w:hAnsi="Bookman Old Style"/>
          <w:sz w:val="24"/>
          <w:szCs w:val="24"/>
        </w:rPr>
        <w:t>Jabatan;</w:t>
      </w:r>
    </w:p>
    <w:p w14:paraId="15B144FE" w14:textId="7B0DC1F5" w:rsidR="006E2F8F" w:rsidRPr="007A4750" w:rsidRDefault="006E2F8F" w:rsidP="004A784D">
      <w:pPr>
        <w:pStyle w:val="ListParagraph"/>
        <w:numPr>
          <w:ilvl w:val="0"/>
          <w:numId w:val="217"/>
        </w:numPr>
        <w:snapToGrid w:val="0"/>
        <w:spacing w:before="60" w:after="0" w:line="276" w:lineRule="auto"/>
        <w:ind w:left="2694" w:hanging="426"/>
        <w:contextualSpacing w:val="0"/>
        <w:jc w:val="both"/>
        <w:rPr>
          <w:rFonts w:ascii="Bookman Old Style" w:eastAsiaTheme="minorHAnsi" w:hAnsi="Bookman Old Style" w:cstheme="minorBidi"/>
          <w:sz w:val="24"/>
          <w:szCs w:val="24"/>
        </w:rPr>
      </w:pPr>
      <w:r w:rsidRPr="007A4750">
        <w:rPr>
          <w:rFonts w:ascii="Bookman Old Style" w:hAnsi="Bookman Old Style"/>
          <w:sz w:val="24"/>
          <w:szCs w:val="24"/>
        </w:rPr>
        <w:t>Lampiran</w:t>
      </w:r>
      <w:r w:rsidR="00A954D0">
        <w:rPr>
          <w:rFonts w:ascii="Bookman Old Style" w:hAnsi="Bookman Old Style"/>
          <w:sz w:val="24"/>
          <w:szCs w:val="24"/>
        </w:rPr>
        <w:t xml:space="preserve"> </w:t>
      </w:r>
      <w:r w:rsidRPr="007A4750">
        <w:rPr>
          <w:rFonts w:ascii="Bookman Old Style" w:hAnsi="Bookman Old Style"/>
          <w:sz w:val="24"/>
          <w:szCs w:val="24"/>
        </w:rPr>
        <w:t>XI</w:t>
      </w:r>
      <w:r w:rsidR="00A954D0">
        <w:rPr>
          <w:rFonts w:ascii="Bookman Old Style" w:hAnsi="Bookman Old Style"/>
          <w:sz w:val="24"/>
          <w:szCs w:val="24"/>
        </w:rPr>
        <w:t xml:space="preserve"> </w:t>
      </w:r>
      <w:r w:rsidRPr="007A4750">
        <w:rPr>
          <w:rFonts w:ascii="Bookman Old Style" w:hAnsi="Bookman Old Style"/>
          <w:sz w:val="24"/>
          <w:szCs w:val="24"/>
        </w:rPr>
        <w:t>Daftar</w:t>
      </w:r>
      <w:r w:rsidR="00A954D0">
        <w:rPr>
          <w:rFonts w:ascii="Bookman Old Style" w:hAnsi="Bookman Old Style"/>
          <w:sz w:val="24"/>
          <w:szCs w:val="24"/>
        </w:rPr>
        <w:t xml:space="preserve"> </w:t>
      </w:r>
      <w:r w:rsidRPr="007A4750">
        <w:rPr>
          <w:rFonts w:ascii="Bookman Old Style" w:hAnsi="Bookman Old Style"/>
          <w:sz w:val="24"/>
          <w:szCs w:val="24"/>
        </w:rPr>
        <w:t>Piutang</w:t>
      </w:r>
      <w:r w:rsidR="00A954D0">
        <w:rPr>
          <w:rFonts w:ascii="Bookman Old Style" w:hAnsi="Bookman Old Style"/>
          <w:sz w:val="24"/>
          <w:szCs w:val="24"/>
        </w:rPr>
        <w:t xml:space="preserve"> </w:t>
      </w:r>
      <w:r w:rsidRPr="007A4750">
        <w:rPr>
          <w:rFonts w:ascii="Bookman Old Style" w:hAnsi="Bookman Old Style"/>
          <w:sz w:val="24"/>
          <w:szCs w:val="24"/>
        </w:rPr>
        <w:t>Daerah;</w:t>
      </w:r>
    </w:p>
    <w:p w14:paraId="4CB08C21" w14:textId="2F4E4090" w:rsidR="006E2F8F" w:rsidRPr="007A4750" w:rsidRDefault="006E2F8F" w:rsidP="004A784D">
      <w:pPr>
        <w:pStyle w:val="ListParagraph"/>
        <w:numPr>
          <w:ilvl w:val="0"/>
          <w:numId w:val="217"/>
        </w:numPr>
        <w:snapToGrid w:val="0"/>
        <w:spacing w:before="60" w:after="0" w:line="276" w:lineRule="auto"/>
        <w:ind w:left="2694" w:hanging="426"/>
        <w:contextualSpacing w:val="0"/>
        <w:jc w:val="both"/>
        <w:rPr>
          <w:rFonts w:ascii="Bookman Old Style" w:eastAsiaTheme="minorHAnsi" w:hAnsi="Bookman Old Style" w:cstheme="minorBidi"/>
          <w:sz w:val="24"/>
          <w:szCs w:val="24"/>
        </w:rPr>
      </w:pPr>
      <w:r w:rsidRPr="007A4750">
        <w:rPr>
          <w:rFonts w:ascii="Bookman Old Style" w:hAnsi="Bookman Old Style"/>
          <w:sz w:val="24"/>
          <w:szCs w:val="24"/>
        </w:rPr>
        <w:t>Lampiran</w:t>
      </w:r>
      <w:r w:rsidR="00A954D0">
        <w:rPr>
          <w:rFonts w:ascii="Bookman Old Style" w:hAnsi="Bookman Old Style"/>
          <w:sz w:val="24"/>
          <w:szCs w:val="24"/>
        </w:rPr>
        <w:t xml:space="preserve"> </w:t>
      </w:r>
      <w:r w:rsidRPr="007A4750">
        <w:rPr>
          <w:rFonts w:ascii="Bookman Old Style" w:hAnsi="Bookman Old Style"/>
          <w:sz w:val="24"/>
          <w:szCs w:val="24"/>
        </w:rPr>
        <w:t>XII</w:t>
      </w:r>
      <w:r w:rsidR="00A954D0">
        <w:rPr>
          <w:rFonts w:ascii="Bookman Old Style" w:hAnsi="Bookman Old Style"/>
          <w:sz w:val="24"/>
          <w:szCs w:val="24"/>
        </w:rPr>
        <w:t xml:space="preserve"> </w:t>
      </w:r>
      <w:r w:rsidRPr="007A4750">
        <w:rPr>
          <w:rFonts w:ascii="Bookman Old Style" w:hAnsi="Bookman Old Style"/>
          <w:sz w:val="24"/>
          <w:szCs w:val="24"/>
        </w:rPr>
        <w:t>Daftar</w:t>
      </w:r>
      <w:r w:rsidR="00A954D0">
        <w:rPr>
          <w:rFonts w:ascii="Bookman Old Style" w:hAnsi="Bookman Old Style"/>
          <w:sz w:val="24"/>
          <w:szCs w:val="24"/>
        </w:rPr>
        <w:t xml:space="preserve"> </w:t>
      </w:r>
      <w:r w:rsidRPr="007A4750">
        <w:rPr>
          <w:rFonts w:ascii="Bookman Old Style" w:hAnsi="Bookman Old Style"/>
          <w:sz w:val="24"/>
          <w:szCs w:val="24"/>
        </w:rPr>
        <w:t>Penyertaan</w:t>
      </w:r>
      <w:r w:rsidR="00A954D0">
        <w:rPr>
          <w:rFonts w:ascii="Bookman Old Style" w:hAnsi="Bookman Old Style"/>
          <w:sz w:val="24"/>
          <w:szCs w:val="24"/>
        </w:rPr>
        <w:t xml:space="preserve"> </w:t>
      </w:r>
      <w:r w:rsidRPr="007A4750">
        <w:rPr>
          <w:rFonts w:ascii="Bookman Old Style" w:hAnsi="Bookman Old Style"/>
          <w:sz w:val="24"/>
          <w:szCs w:val="24"/>
        </w:rPr>
        <w:t>Modal</w:t>
      </w:r>
      <w:r w:rsidR="00A954D0">
        <w:rPr>
          <w:rFonts w:ascii="Bookman Old Style" w:hAnsi="Bookman Old Style"/>
          <w:sz w:val="24"/>
          <w:szCs w:val="24"/>
        </w:rPr>
        <w:t xml:space="preserve"> </w:t>
      </w:r>
      <w:r w:rsidRPr="007A4750">
        <w:rPr>
          <w:rFonts w:ascii="Bookman Old Style" w:hAnsi="Bookman Old Style"/>
          <w:sz w:val="24"/>
          <w:szCs w:val="24"/>
        </w:rPr>
        <w:t>Daerah</w:t>
      </w:r>
      <w:r w:rsidR="00A954D0">
        <w:rPr>
          <w:rFonts w:ascii="Bookman Old Style" w:hAnsi="Bookman Old Style"/>
          <w:sz w:val="24"/>
          <w:szCs w:val="24"/>
        </w:rPr>
        <w:t xml:space="preserve"> </w:t>
      </w:r>
      <w:r w:rsidRPr="007A4750">
        <w:rPr>
          <w:rFonts w:ascii="Bookman Old Style" w:hAnsi="Bookman Old Style"/>
          <w:sz w:val="24"/>
          <w:szCs w:val="24"/>
        </w:rPr>
        <w:t>dan</w:t>
      </w:r>
      <w:r w:rsidR="00A954D0">
        <w:rPr>
          <w:rFonts w:ascii="Bookman Old Style" w:hAnsi="Bookman Old Style"/>
          <w:sz w:val="24"/>
          <w:szCs w:val="24"/>
        </w:rPr>
        <w:t xml:space="preserve"> </w:t>
      </w:r>
      <w:r w:rsidRPr="007A4750">
        <w:rPr>
          <w:rFonts w:ascii="Bookman Old Style" w:hAnsi="Bookman Old Style"/>
          <w:sz w:val="24"/>
          <w:szCs w:val="24"/>
        </w:rPr>
        <w:t>Investasi</w:t>
      </w:r>
      <w:r w:rsidR="00A954D0">
        <w:rPr>
          <w:rFonts w:ascii="Bookman Old Style" w:hAnsi="Bookman Old Style"/>
          <w:sz w:val="24"/>
          <w:szCs w:val="24"/>
        </w:rPr>
        <w:t xml:space="preserve"> </w:t>
      </w:r>
      <w:r w:rsidRPr="007A4750">
        <w:rPr>
          <w:rFonts w:ascii="Bookman Old Style" w:hAnsi="Bookman Old Style"/>
          <w:sz w:val="24"/>
          <w:szCs w:val="24"/>
        </w:rPr>
        <w:t>Daerah</w:t>
      </w:r>
      <w:r w:rsidR="00A954D0">
        <w:rPr>
          <w:rFonts w:ascii="Bookman Old Style" w:hAnsi="Bookman Old Style"/>
          <w:sz w:val="24"/>
          <w:szCs w:val="24"/>
        </w:rPr>
        <w:t xml:space="preserve"> </w:t>
      </w:r>
      <w:r w:rsidRPr="007A4750">
        <w:rPr>
          <w:rFonts w:ascii="Bookman Old Style" w:hAnsi="Bookman Old Style"/>
          <w:sz w:val="24"/>
          <w:szCs w:val="24"/>
        </w:rPr>
        <w:t>Lainnya;</w:t>
      </w:r>
    </w:p>
    <w:p w14:paraId="2BFCAF3F" w14:textId="18B35035" w:rsidR="006E2F8F" w:rsidRPr="007A4750" w:rsidRDefault="006E2F8F" w:rsidP="004A784D">
      <w:pPr>
        <w:pStyle w:val="ListParagraph"/>
        <w:numPr>
          <w:ilvl w:val="0"/>
          <w:numId w:val="217"/>
        </w:numPr>
        <w:snapToGrid w:val="0"/>
        <w:spacing w:before="60" w:after="0" w:line="276" w:lineRule="auto"/>
        <w:ind w:left="2694" w:hanging="426"/>
        <w:contextualSpacing w:val="0"/>
        <w:jc w:val="both"/>
        <w:rPr>
          <w:rFonts w:ascii="Bookman Old Style" w:eastAsiaTheme="minorHAnsi" w:hAnsi="Bookman Old Style" w:cstheme="minorBidi"/>
          <w:sz w:val="24"/>
          <w:szCs w:val="24"/>
        </w:rPr>
      </w:pPr>
      <w:r w:rsidRPr="007A4750">
        <w:rPr>
          <w:rFonts w:ascii="Bookman Old Style" w:hAnsi="Bookman Old Style"/>
          <w:sz w:val="24"/>
          <w:szCs w:val="24"/>
        </w:rPr>
        <w:t>Lampiran</w:t>
      </w:r>
      <w:r w:rsidR="00A954D0">
        <w:rPr>
          <w:rFonts w:ascii="Bookman Old Style" w:hAnsi="Bookman Old Style"/>
          <w:sz w:val="24"/>
          <w:szCs w:val="24"/>
        </w:rPr>
        <w:t xml:space="preserve"> </w:t>
      </w:r>
      <w:r w:rsidRPr="007A4750">
        <w:rPr>
          <w:rFonts w:ascii="Bookman Old Style" w:hAnsi="Bookman Old Style"/>
          <w:sz w:val="24"/>
          <w:szCs w:val="24"/>
        </w:rPr>
        <w:t>XIII</w:t>
      </w:r>
      <w:r w:rsidR="00A954D0">
        <w:rPr>
          <w:rFonts w:ascii="Bookman Old Style" w:hAnsi="Bookman Old Style"/>
          <w:sz w:val="24"/>
          <w:szCs w:val="24"/>
        </w:rPr>
        <w:t xml:space="preserve"> </w:t>
      </w:r>
      <w:r w:rsidRPr="007A4750">
        <w:rPr>
          <w:rFonts w:ascii="Bookman Old Style" w:hAnsi="Bookman Old Style"/>
          <w:sz w:val="24"/>
          <w:szCs w:val="24"/>
        </w:rPr>
        <w:t>Daftar</w:t>
      </w:r>
      <w:r w:rsidR="00A954D0">
        <w:rPr>
          <w:rFonts w:ascii="Bookman Old Style" w:hAnsi="Bookman Old Style"/>
          <w:sz w:val="24"/>
          <w:szCs w:val="24"/>
        </w:rPr>
        <w:t xml:space="preserve"> </w:t>
      </w:r>
      <w:r w:rsidRPr="007A4750">
        <w:rPr>
          <w:rFonts w:ascii="Bookman Old Style" w:hAnsi="Bookman Old Style"/>
          <w:sz w:val="24"/>
          <w:szCs w:val="24"/>
        </w:rPr>
        <w:t>Perkiraan</w:t>
      </w:r>
      <w:r w:rsidR="00A954D0">
        <w:rPr>
          <w:rFonts w:ascii="Bookman Old Style" w:hAnsi="Bookman Old Style"/>
          <w:sz w:val="24"/>
          <w:szCs w:val="24"/>
        </w:rPr>
        <w:t xml:space="preserve"> </w:t>
      </w:r>
      <w:r w:rsidRPr="007A4750">
        <w:rPr>
          <w:rFonts w:ascii="Bookman Old Style" w:hAnsi="Bookman Old Style"/>
          <w:sz w:val="24"/>
          <w:szCs w:val="24"/>
        </w:rPr>
        <w:t>Penambahan</w:t>
      </w:r>
      <w:r w:rsidR="00A954D0">
        <w:rPr>
          <w:rFonts w:ascii="Bookman Old Style" w:hAnsi="Bookman Old Style"/>
          <w:sz w:val="24"/>
          <w:szCs w:val="24"/>
        </w:rPr>
        <w:t xml:space="preserve"> </w:t>
      </w:r>
      <w:r w:rsidRPr="007A4750">
        <w:rPr>
          <w:rFonts w:ascii="Bookman Old Style" w:hAnsi="Bookman Old Style"/>
          <w:sz w:val="24"/>
          <w:szCs w:val="24"/>
        </w:rPr>
        <w:t>dan</w:t>
      </w:r>
      <w:r w:rsidR="00A954D0">
        <w:rPr>
          <w:rFonts w:ascii="Bookman Old Style" w:hAnsi="Bookman Old Style"/>
          <w:sz w:val="24"/>
          <w:szCs w:val="24"/>
        </w:rPr>
        <w:t xml:space="preserve"> </w:t>
      </w:r>
      <w:r w:rsidRPr="007A4750">
        <w:rPr>
          <w:rFonts w:ascii="Bookman Old Style" w:hAnsi="Bookman Old Style"/>
          <w:sz w:val="24"/>
          <w:szCs w:val="24"/>
        </w:rPr>
        <w:t>Pengurangan</w:t>
      </w:r>
      <w:r w:rsidR="00A954D0">
        <w:rPr>
          <w:rFonts w:ascii="Bookman Old Style" w:hAnsi="Bookman Old Style"/>
          <w:sz w:val="24"/>
          <w:szCs w:val="24"/>
        </w:rPr>
        <w:t xml:space="preserve"> </w:t>
      </w:r>
      <w:r w:rsidRPr="007A4750">
        <w:rPr>
          <w:rFonts w:ascii="Bookman Old Style" w:hAnsi="Bookman Old Style"/>
          <w:sz w:val="24"/>
          <w:szCs w:val="24"/>
        </w:rPr>
        <w:t>Aset</w:t>
      </w:r>
      <w:r w:rsidR="00A954D0">
        <w:rPr>
          <w:rFonts w:ascii="Bookman Old Style" w:hAnsi="Bookman Old Style"/>
          <w:sz w:val="24"/>
          <w:szCs w:val="24"/>
        </w:rPr>
        <w:t xml:space="preserve"> </w:t>
      </w:r>
      <w:r w:rsidRPr="007A4750">
        <w:rPr>
          <w:rFonts w:ascii="Bookman Old Style" w:hAnsi="Bookman Old Style"/>
          <w:sz w:val="24"/>
          <w:szCs w:val="24"/>
        </w:rPr>
        <w:t>Tetap</w:t>
      </w:r>
      <w:r w:rsidR="00A954D0">
        <w:rPr>
          <w:rFonts w:ascii="Bookman Old Style" w:hAnsi="Bookman Old Style"/>
          <w:sz w:val="24"/>
          <w:szCs w:val="24"/>
        </w:rPr>
        <w:t xml:space="preserve"> </w:t>
      </w:r>
      <w:r w:rsidRPr="007A4750">
        <w:rPr>
          <w:rFonts w:ascii="Bookman Old Style" w:hAnsi="Bookman Old Style"/>
          <w:sz w:val="24"/>
          <w:szCs w:val="24"/>
        </w:rPr>
        <w:t>Daerah</w:t>
      </w:r>
      <w:r w:rsidR="00A954D0">
        <w:rPr>
          <w:rFonts w:ascii="Bookman Old Style" w:hAnsi="Bookman Old Style"/>
          <w:sz w:val="24"/>
          <w:szCs w:val="24"/>
        </w:rPr>
        <w:t xml:space="preserve"> </w:t>
      </w:r>
      <w:r w:rsidRPr="007A4750">
        <w:rPr>
          <w:rFonts w:ascii="Bookman Old Style" w:hAnsi="Bookman Old Style"/>
          <w:sz w:val="24"/>
          <w:szCs w:val="24"/>
        </w:rPr>
        <w:t>dan</w:t>
      </w:r>
      <w:r w:rsidR="00A954D0">
        <w:rPr>
          <w:rFonts w:ascii="Bookman Old Style" w:hAnsi="Bookman Old Style"/>
          <w:sz w:val="24"/>
          <w:szCs w:val="24"/>
        </w:rPr>
        <w:t xml:space="preserve"> </w:t>
      </w:r>
      <w:r w:rsidRPr="007A4750">
        <w:rPr>
          <w:rFonts w:ascii="Bookman Old Style" w:hAnsi="Bookman Old Style"/>
          <w:sz w:val="24"/>
          <w:szCs w:val="24"/>
        </w:rPr>
        <w:t>Aset</w:t>
      </w:r>
      <w:r w:rsidR="00A954D0">
        <w:rPr>
          <w:rFonts w:ascii="Bookman Old Style" w:hAnsi="Bookman Old Style"/>
          <w:sz w:val="24"/>
          <w:szCs w:val="24"/>
        </w:rPr>
        <w:t xml:space="preserve"> </w:t>
      </w:r>
      <w:r w:rsidRPr="007A4750">
        <w:rPr>
          <w:rFonts w:ascii="Bookman Old Style" w:hAnsi="Bookman Old Style"/>
          <w:sz w:val="24"/>
          <w:szCs w:val="24"/>
        </w:rPr>
        <w:t>Lain-</w:t>
      </w:r>
      <w:r w:rsidR="00A954D0">
        <w:rPr>
          <w:rFonts w:ascii="Bookman Old Style" w:hAnsi="Bookman Old Style"/>
          <w:sz w:val="24"/>
          <w:szCs w:val="24"/>
        </w:rPr>
        <w:t xml:space="preserve"> </w:t>
      </w:r>
      <w:r w:rsidRPr="007A4750">
        <w:rPr>
          <w:rFonts w:ascii="Bookman Old Style" w:hAnsi="Bookman Old Style"/>
          <w:sz w:val="24"/>
          <w:szCs w:val="24"/>
        </w:rPr>
        <w:t>Lain;</w:t>
      </w:r>
    </w:p>
    <w:p w14:paraId="17DBD4E3" w14:textId="218F60BA" w:rsidR="006E2F8F" w:rsidRPr="007A4750" w:rsidRDefault="006E2F8F" w:rsidP="004A784D">
      <w:pPr>
        <w:pStyle w:val="ListParagraph"/>
        <w:numPr>
          <w:ilvl w:val="0"/>
          <w:numId w:val="217"/>
        </w:numPr>
        <w:snapToGrid w:val="0"/>
        <w:spacing w:before="60" w:after="0" w:line="276" w:lineRule="auto"/>
        <w:ind w:left="2694" w:hanging="426"/>
        <w:contextualSpacing w:val="0"/>
        <w:jc w:val="both"/>
        <w:rPr>
          <w:rFonts w:ascii="Bookman Old Style" w:eastAsiaTheme="minorHAnsi" w:hAnsi="Bookman Old Style" w:cstheme="minorBidi"/>
          <w:sz w:val="24"/>
          <w:szCs w:val="24"/>
        </w:rPr>
      </w:pPr>
      <w:r w:rsidRPr="007A4750">
        <w:rPr>
          <w:rFonts w:ascii="Bookman Old Style" w:hAnsi="Bookman Old Style"/>
          <w:sz w:val="24"/>
          <w:szCs w:val="24"/>
        </w:rPr>
        <w:t>Lampiran</w:t>
      </w:r>
      <w:r w:rsidR="00A954D0">
        <w:rPr>
          <w:rFonts w:ascii="Bookman Old Style" w:hAnsi="Bookman Old Style"/>
          <w:sz w:val="24"/>
          <w:szCs w:val="24"/>
        </w:rPr>
        <w:t xml:space="preserve"> </w:t>
      </w:r>
      <w:r w:rsidRPr="007A4750">
        <w:rPr>
          <w:rFonts w:ascii="Bookman Old Style" w:hAnsi="Bookman Old Style"/>
          <w:sz w:val="24"/>
          <w:szCs w:val="24"/>
        </w:rPr>
        <w:t>XIV</w:t>
      </w:r>
      <w:r w:rsidR="00A954D0">
        <w:rPr>
          <w:rFonts w:ascii="Bookman Old Style" w:hAnsi="Bookman Old Style"/>
          <w:sz w:val="24"/>
          <w:szCs w:val="24"/>
        </w:rPr>
        <w:t xml:space="preserve"> </w:t>
      </w:r>
      <w:r w:rsidRPr="007A4750">
        <w:rPr>
          <w:rFonts w:ascii="Bookman Old Style" w:hAnsi="Bookman Old Style"/>
          <w:sz w:val="24"/>
          <w:szCs w:val="24"/>
        </w:rPr>
        <w:t>Daftar</w:t>
      </w:r>
      <w:r w:rsidR="00A954D0">
        <w:rPr>
          <w:rFonts w:ascii="Bookman Old Style" w:hAnsi="Bookman Old Style"/>
          <w:sz w:val="24"/>
          <w:szCs w:val="24"/>
        </w:rPr>
        <w:t xml:space="preserve"> </w:t>
      </w:r>
      <w:r w:rsidRPr="007A4750">
        <w:rPr>
          <w:rFonts w:ascii="Bookman Old Style" w:hAnsi="Bookman Old Style"/>
          <w:sz w:val="24"/>
          <w:szCs w:val="24"/>
        </w:rPr>
        <w:t>Sub</w:t>
      </w:r>
      <w:r w:rsidR="00A954D0">
        <w:rPr>
          <w:rFonts w:ascii="Bookman Old Style" w:hAnsi="Bookman Old Style"/>
          <w:sz w:val="24"/>
          <w:szCs w:val="24"/>
        </w:rPr>
        <w:t xml:space="preserve"> </w:t>
      </w:r>
      <w:r w:rsidRPr="007A4750">
        <w:rPr>
          <w:rFonts w:ascii="Bookman Old Style" w:hAnsi="Bookman Old Style"/>
          <w:sz w:val="24"/>
          <w:szCs w:val="24"/>
        </w:rPr>
        <w:t>Kegiatan</w:t>
      </w:r>
      <w:r w:rsidR="00A954D0">
        <w:rPr>
          <w:rFonts w:ascii="Bookman Old Style" w:hAnsi="Bookman Old Style"/>
          <w:sz w:val="24"/>
          <w:szCs w:val="24"/>
        </w:rPr>
        <w:t xml:space="preserve"> </w:t>
      </w:r>
      <w:r w:rsidRPr="007A4750">
        <w:rPr>
          <w:rFonts w:ascii="Bookman Old Style" w:hAnsi="Bookman Old Style"/>
          <w:sz w:val="24"/>
          <w:szCs w:val="24"/>
        </w:rPr>
        <w:t>Tahun</w:t>
      </w:r>
      <w:r w:rsidR="00A954D0">
        <w:rPr>
          <w:rFonts w:ascii="Bookman Old Style" w:hAnsi="Bookman Old Style"/>
          <w:sz w:val="24"/>
          <w:szCs w:val="24"/>
        </w:rPr>
        <w:t xml:space="preserve"> </w:t>
      </w:r>
      <w:r w:rsidRPr="007A4750">
        <w:rPr>
          <w:rFonts w:ascii="Bookman Old Style" w:hAnsi="Bookman Old Style"/>
          <w:sz w:val="24"/>
          <w:szCs w:val="24"/>
        </w:rPr>
        <w:t>jamak</w:t>
      </w:r>
      <w:r w:rsidR="00A954D0">
        <w:rPr>
          <w:rFonts w:ascii="Bookman Old Style" w:hAnsi="Bookman Old Style"/>
          <w:sz w:val="24"/>
          <w:szCs w:val="24"/>
        </w:rPr>
        <w:t xml:space="preserve"> </w:t>
      </w:r>
      <w:r w:rsidRPr="007A4750">
        <w:rPr>
          <w:rFonts w:ascii="Bookman Old Style" w:hAnsi="Bookman Old Style"/>
          <w:b/>
          <w:bCs/>
          <w:i/>
          <w:iCs/>
          <w:sz w:val="24"/>
          <w:szCs w:val="24"/>
        </w:rPr>
        <w:t>(multy</w:t>
      </w:r>
      <w:r w:rsidR="00A954D0">
        <w:rPr>
          <w:rFonts w:ascii="Bookman Old Style" w:hAnsi="Bookman Old Style"/>
          <w:b/>
          <w:bCs/>
          <w:i/>
          <w:iCs/>
          <w:sz w:val="24"/>
          <w:szCs w:val="24"/>
        </w:rPr>
        <w:t xml:space="preserve"> </w:t>
      </w:r>
      <w:r w:rsidRPr="007A4750">
        <w:rPr>
          <w:rFonts w:ascii="Bookman Old Style" w:hAnsi="Bookman Old Style"/>
          <w:b/>
          <w:bCs/>
          <w:i/>
          <w:iCs/>
          <w:sz w:val="24"/>
          <w:szCs w:val="24"/>
        </w:rPr>
        <w:t>years)</w:t>
      </w:r>
      <w:r w:rsidRPr="007A4750">
        <w:rPr>
          <w:rFonts w:ascii="Bookman Old Style" w:hAnsi="Bookman Old Style"/>
          <w:sz w:val="24"/>
          <w:szCs w:val="24"/>
        </w:rPr>
        <w:t>;</w:t>
      </w:r>
    </w:p>
    <w:p w14:paraId="6782C980" w14:textId="36A5907D" w:rsidR="006E2F8F" w:rsidRPr="007A4750" w:rsidRDefault="006E2F8F" w:rsidP="004A784D">
      <w:pPr>
        <w:pStyle w:val="ListParagraph"/>
        <w:numPr>
          <w:ilvl w:val="0"/>
          <w:numId w:val="217"/>
        </w:numPr>
        <w:snapToGrid w:val="0"/>
        <w:spacing w:before="60" w:after="0" w:line="276" w:lineRule="auto"/>
        <w:ind w:left="2694" w:hanging="426"/>
        <w:contextualSpacing w:val="0"/>
        <w:jc w:val="both"/>
        <w:rPr>
          <w:rFonts w:ascii="Bookman Old Style" w:eastAsiaTheme="minorHAnsi" w:hAnsi="Bookman Old Style" w:cstheme="minorBidi"/>
          <w:sz w:val="24"/>
          <w:szCs w:val="24"/>
        </w:rPr>
      </w:pPr>
      <w:r w:rsidRPr="007A4750">
        <w:rPr>
          <w:rFonts w:ascii="Bookman Old Style" w:hAnsi="Bookman Old Style"/>
          <w:sz w:val="24"/>
          <w:szCs w:val="24"/>
        </w:rPr>
        <w:t>Lampiran</w:t>
      </w:r>
      <w:r w:rsidR="00A954D0">
        <w:rPr>
          <w:rFonts w:ascii="Bookman Old Style" w:hAnsi="Bookman Old Style"/>
          <w:sz w:val="24"/>
          <w:szCs w:val="24"/>
        </w:rPr>
        <w:t xml:space="preserve"> </w:t>
      </w:r>
      <w:r w:rsidRPr="007A4750">
        <w:rPr>
          <w:rFonts w:ascii="Bookman Old Style" w:hAnsi="Bookman Old Style"/>
          <w:sz w:val="24"/>
          <w:szCs w:val="24"/>
        </w:rPr>
        <w:t>XV</w:t>
      </w:r>
      <w:r w:rsidR="00A954D0">
        <w:rPr>
          <w:rFonts w:ascii="Bookman Old Style" w:hAnsi="Bookman Old Style"/>
          <w:sz w:val="24"/>
          <w:szCs w:val="24"/>
        </w:rPr>
        <w:t xml:space="preserve"> </w:t>
      </w:r>
      <w:r w:rsidRPr="007A4750">
        <w:rPr>
          <w:rFonts w:ascii="Bookman Old Style" w:hAnsi="Bookman Old Style"/>
          <w:sz w:val="24"/>
          <w:szCs w:val="24"/>
        </w:rPr>
        <w:t>Daftar</w:t>
      </w:r>
      <w:r w:rsidR="00A954D0">
        <w:rPr>
          <w:rFonts w:ascii="Bookman Old Style" w:hAnsi="Bookman Old Style"/>
          <w:sz w:val="24"/>
          <w:szCs w:val="24"/>
        </w:rPr>
        <w:t xml:space="preserve"> </w:t>
      </w:r>
      <w:r w:rsidRPr="007A4750">
        <w:rPr>
          <w:rFonts w:ascii="Bookman Old Style" w:hAnsi="Bookman Old Style"/>
          <w:sz w:val="24"/>
          <w:szCs w:val="24"/>
        </w:rPr>
        <w:t>Dana</w:t>
      </w:r>
      <w:r w:rsidR="00A954D0">
        <w:rPr>
          <w:rFonts w:ascii="Bookman Old Style" w:hAnsi="Bookman Old Style"/>
          <w:sz w:val="24"/>
          <w:szCs w:val="24"/>
        </w:rPr>
        <w:t xml:space="preserve"> </w:t>
      </w:r>
      <w:r w:rsidRPr="007A4750">
        <w:rPr>
          <w:rFonts w:ascii="Bookman Old Style" w:hAnsi="Bookman Old Style"/>
          <w:sz w:val="24"/>
          <w:szCs w:val="24"/>
        </w:rPr>
        <w:t>Cadangan;</w:t>
      </w:r>
      <w:r w:rsidR="00A954D0">
        <w:rPr>
          <w:rFonts w:ascii="Bookman Old Style" w:hAnsi="Bookman Old Style"/>
          <w:sz w:val="24"/>
          <w:szCs w:val="24"/>
        </w:rPr>
        <w:t xml:space="preserve"> </w:t>
      </w:r>
      <w:r w:rsidRPr="007A4750">
        <w:rPr>
          <w:rFonts w:ascii="Bookman Old Style" w:hAnsi="Bookman Old Style"/>
          <w:b/>
          <w:bCs/>
          <w:sz w:val="24"/>
          <w:szCs w:val="24"/>
        </w:rPr>
        <w:t>dan</w:t>
      </w:r>
    </w:p>
    <w:p w14:paraId="1F7926D1" w14:textId="3DCCB444" w:rsidR="006E2F8F" w:rsidRPr="00EE3B9B" w:rsidRDefault="006E2F8F" w:rsidP="004A784D">
      <w:pPr>
        <w:pStyle w:val="ListParagraph"/>
        <w:numPr>
          <w:ilvl w:val="0"/>
          <w:numId w:val="217"/>
        </w:numPr>
        <w:snapToGrid w:val="0"/>
        <w:spacing w:before="60" w:after="0" w:line="276" w:lineRule="auto"/>
        <w:ind w:left="2694" w:hanging="426"/>
        <w:contextualSpacing w:val="0"/>
        <w:jc w:val="both"/>
        <w:rPr>
          <w:rFonts w:ascii="Bookman Old Style" w:eastAsiaTheme="minorHAnsi" w:hAnsi="Bookman Old Style" w:cstheme="minorBidi"/>
          <w:sz w:val="24"/>
          <w:szCs w:val="24"/>
        </w:rPr>
      </w:pPr>
      <w:r w:rsidRPr="007A4750">
        <w:rPr>
          <w:rFonts w:ascii="Bookman Old Style" w:hAnsi="Bookman Old Style"/>
          <w:sz w:val="24"/>
          <w:szCs w:val="24"/>
        </w:rPr>
        <w:t>Lampiran</w:t>
      </w:r>
      <w:r w:rsidR="00A954D0">
        <w:rPr>
          <w:rFonts w:ascii="Bookman Old Style" w:hAnsi="Bookman Old Style"/>
          <w:sz w:val="24"/>
          <w:szCs w:val="24"/>
        </w:rPr>
        <w:t xml:space="preserve"> </w:t>
      </w:r>
      <w:r w:rsidRPr="007A4750">
        <w:rPr>
          <w:rFonts w:ascii="Bookman Old Style" w:hAnsi="Bookman Old Style"/>
          <w:sz w:val="24"/>
          <w:szCs w:val="24"/>
        </w:rPr>
        <w:t>XVI</w:t>
      </w:r>
      <w:r w:rsidR="00A954D0">
        <w:rPr>
          <w:rFonts w:ascii="Bookman Old Style" w:hAnsi="Bookman Old Style"/>
          <w:sz w:val="24"/>
          <w:szCs w:val="24"/>
        </w:rPr>
        <w:t xml:space="preserve"> </w:t>
      </w:r>
      <w:r w:rsidRPr="007A4750">
        <w:rPr>
          <w:rFonts w:ascii="Bookman Old Style" w:hAnsi="Bookman Old Style"/>
          <w:sz w:val="24"/>
          <w:szCs w:val="24"/>
        </w:rPr>
        <w:t>Daftar</w:t>
      </w:r>
      <w:r w:rsidR="00A954D0">
        <w:rPr>
          <w:rFonts w:ascii="Bookman Old Style" w:hAnsi="Bookman Old Style"/>
          <w:sz w:val="24"/>
          <w:szCs w:val="24"/>
        </w:rPr>
        <w:t xml:space="preserve"> </w:t>
      </w:r>
      <w:r w:rsidRPr="007A4750">
        <w:rPr>
          <w:rFonts w:ascii="Bookman Old Style" w:hAnsi="Bookman Old Style"/>
          <w:sz w:val="24"/>
          <w:szCs w:val="24"/>
        </w:rPr>
        <w:t>Pinjaman</w:t>
      </w:r>
      <w:r w:rsidR="00A954D0">
        <w:rPr>
          <w:rFonts w:ascii="Bookman Old Style" w:hAnsi="Bookman Old Style"/>
          <w:sz w:val="24"/>
          <w:szCs w:val="24"/>
        </w:rPr>
        <w:t xml:space="preserve"> </w:t>
      </w:r>
      <w:r w:rsidRPr="007A4750">
        <w:rPr>
          <w:rFonts w:ascii="Bookman Old Style" w:hAnsi="Bookman Old Style"/>
          <w:sz w:val="24"/>
          <w:szCs w:val="24"/>
        </w:rPr>
        <w:t>Daerah.</w:t>
      </w:r>
    </w:p>
    <w:p w14:paraId="05D2E84F" w14:textId="0F82A34A" w:rsidR="006E2F8F" w:rsidRDefault="006E2F8F" w:rsidP="004A784D">
      <w:pPr>
        <w:pStyle w:val="ListParagraph"/>
        <w:numPr>
          <w:ilvl w:val="0"/>
          <w:numId w:val="177"/>
        </w:numPr>
        <w:snapToGrid w:val="0"/>
        <w:spacing w:before="60" w:after="0" w:line="276" w:lineRule="auto"/>
        <w:ind w:left="2268" w:hanging="566"/>
        <w:contextualSpacing w:val="0"/>
        <w:jc w:val="both"/>
        <w:rPr>
          <w:rFonts w:ascii="Bookman Old Style" w:eastAsiaTheme="minorHAnsi" w:hAnsi="Bookman Old Style" w:cstheme="minorBidi"/>
          <w:sz w:val="24"/>
          <w:szCs w:val="24"/>
        </w:rPr>
      </w:pPr>
      <w:r>
        <w:rPr>
          <w:rFonts w:ascii="Bookman Old Style" w:eastAsiaTheme="minorHAnsi" w:hAnsi="Bookman Old Style" w:cstheme="minorBidi"/>
          <w:sz w:val="24"/>
          <w:szCs w:val="24"/>
        </w:rPr>
        <w:t>Pasal</w:t>
      </w:r>
      <w:r w:rsidR="00A954D0">
        <w:rPr>
          <w:rFonts w:ascii="Bookman Old Style" w:eastAsiaTheme="minorHAnsi" w:hAnsi="Bookman Old Style" w:cstheme="minorBidi"/>
          <w:sz w:val="24"/>
          <w:szCs w:val="24"/>
        </w:rPr>
        <w:t xml:space="preserve"> </w:t>
      </w:r>
      <w:r>
        <w:rPr>
          <w:rFonts w:ascii="Bookman Old Style" w:eastAsiaTheme="minorHAnsi" w:hAnsi="Bookman Old Style" w:cstheme="minorBidi"/>
          <w:sz w:val="24"/>
          <w:szCs w:val="24"/>
        </w:rPr>
        <w:t>14</w:t>
      </w:r>
      <w:r w:rsidR="00A954D0">
        <w:rPr>
          <w:rFonts w:ascii="Bookman Old Style" w:eastAsiaTheme="minorHAnsi" w:hAnsi="Bookman Old Style" w:cstheme="minorBidi"/>
          <w:sz w:val="24"/>
          <w:szCs w:val="24"/>
        </w:rPr>
        <w:t xml:space="preserve"> </w:t>
      </w:r>
      <w:r>
        <w:rPr>
          <w:rFonts w:ascii="Bookman Old Style" w:eastAsiaTheme="minorHAnsi" w:hAnsi="Bookman Old Style" w:cstheme="minorBidi"/>
          <w:sz w:val="24"/>
          <w:szCs w:val="24"/>
        </w:rPr>
        <w:t>agar</w:t>
      </w:r>
      <w:r w:rsidR="00A954D0">
        <w:rPr>
          <w:rFonts w:ascii="Bookman Old Style" w:eastAsiaTheme="minorHAnsi" w:hAnsi="Bookman Old Style" w:cstheme="minorBidi"/>
          <w:sz w:val="24"/>
          <w:szCs w:val="24"/>
        </w:rPr>
        <w:t xml:space="preserve"> </w:t>
      </w:r>
      <w:r>
        <w:rPr>
          <w:rFonts w:ascii="Bookman Old Style" w:eastAsiaTheme="minorHAnsi" w:hAnsi="Bookman Old Style" w:cstheme="minorBidi"/>
          <w:sz w:val="24"/>
          <w:szCs w:val="24"/>
        </w:rPr>
        <w:t>diperbaiki</w:t>
      </w:r>
      <w:r w:rsidR="00A954D0">
        <w:rPr>
          <w:rFonts w:ascii="Bookman Old Style" w:eastAsiaTheme="minorHAnsi" w:hAnsi="Bookman Old Style" w:cstheme="minorBidi"/>
          <w:sz w:val="24"/>
          <w:szCs w:val="24"/>
        </w:rPr>
        <w:t xml:space="preserve"> </w:t>
      </w:r>
      <w:r>
        <w:rPr>
          <w:rFonts w:ascii="Bookman Old Style" w:eastAsiaTheme="minorHAnsi" w:hAnsi="Bookman Old Style" w:cstheme="minorBidi"/>
          <w:sz w:val="24"/>
          <w:szCs w:val="24"/>
        </w:rPr>
        <w:t>redaksionalnya</w:t>
      </w:r>
      <w:r w:rsidR="00A954D0">
        <w:rPr>
          <w:rFonts w:ascii="Bookman Old Style" w:eastAsiaTheme="minorHAnsi" w:hAnsi="Bookman Old Style" w:cstheme="minorBidi"/>
          <w:sz w:val="24"/>
          <w:szCs w:val="24"/>
        </w:rPr>
        <w:t xml:space="preserve"> </w:t>
      </w:r>
      <w:r>
        <w:rPr>
          <w:rFonts w:ascii="Bookman Old Style" w:eastAsiaTheme="minorHAnsi" w:hAnsi="Bookman Old Style" w:cstheme="minorBidi"/>
          <w:sz w:val="24"/>
          <w:szCs w:val="24"/>
        </w:rPr>
        <w:t>menjadi:</w:t>
      </w:r>
    </w:p>
    <w:p w14:paraId="0726E403" w14:textId="092FACD5" w:rsidR="006E2F8F" w:rsidRDefault="006E2F8F" w:rsidP="004A784D">
      <w:pPr>
        <w:pStyle w:val="ListParagraph"/>
        <w:snapToGrid w:val="0"/>
        <w:spacing w:before="60" w:after="0" w:line="276" w:lineRule="auto"/>
        <w:ind w:left="2268"/>
        <w:contextualSpacing w:val="0"/>
        <w:jc w:val="both"/>
        <w:rPr>
          <w:rFonts w:ascii="Bookman Old Style" w:hAnsi="Bookman Old Style"/>
          <w:b/>
          <w:bCs/>
          <w:sz w:val="24"/>
          <w:szCs w:val="24"/>
        </w:rPr>
      </w:pPr>
      <w:r w:rsidRPr="00EE3B9B">
        <w:rPr>
          <w:rFonts w:ascii="Bookman Old Style" w:eastAsiaTheme="minorHAnsi" w:hAnsi="Bookman Old Style" w:cstheme="minorBidi"/>
          <w:b/>
          <w:bCs/>
          <w:sz w:val="24"/>
          <w:szCs w:val="24"/>
        </w:rPr>
        <w:t>“</w:t>
      </w:r>
      <w:r w:rsidRPr="00EE3B9B">
        <w:rPr>
          <w:rFonts w:ascii="Bookman Old Style" w:hAnsi="Bookman Old Style"/>
          <w:b/>
          <w:bCs/>
          <w:sz w:val="24"/>
          <w:szCs w:val="24"/>
        </w:rPr>
        <w:t>Ketentuan</w:t>
      </w:r>
      <w:r w:rsidR="00A954D0">
        <w:rPr>
          <w:rFonts w:ascii="Bookman Old Style" w:hAnsi="Bookman Old Style"/>
          <w:b/>
          <w:bCs/>
          <w:sz w:val="24"/>
          <w:szCs w:val="24"/>
        </w:rPr>
        <w:t xml:space="preserve"> </w:t>
      </w:r>
      <w:r w:rsidRPr="00EE3B9B">
        <w:rPr>
          <w:rFonts w:ascii="Bookman Old Style" w:hAnsi="Bookman Old Style"/>
          <w:b/>
          <w:bCs/>
          <w:sz w:val="24"/>
          <w:szCs w:val="24"/>
        </w:rPr>
        <w:t>lebih</w:t>
      </w:r>
      <w:r w:rsidR="00A954D0">
        <w:rPr>
          <w:rFonts w:ascii="Bookman Old Style" w:hAnsi="Bookman Old Style"/>
          <w:b/>
          <w:bCs/>
          <w:sz w:val="24"/>
          <w:szCs w:val="24"/>
        </w:rPr>
        <w:t xml:space="preserve"> </w:t>
      </w:r>
      <w:r w:rsidRPr="00EE3B9B">
        <w:rPr>
          <w:rFonts w:ascii="Bookman Old Style" w:hAnsi="Bookman Old Style"/>
          <w:b/>
          <w:bCs/>
          <w:sz w:val="24"/>
          <w:szCs w:val="24"/>
        </w:rPr>
        <w:t>lanjut</w:t>
      </w:r>
      <w:r w:rsidR="00A954D0">
        <w:rPr>
          <w:rFonts w:ascii="Bookman Old Style" w:hAnsi="Bookman Old Style"/>
          <w:b/>
          <w:bCs/>
          <w:sz w:val="24"/>
          <w:szCs w:val="24"/>
        </w:rPr>
        <w:t xml:space="preserve"> </w:t>
      </w:r>
      <w:r w:rsidRPr="00EE3B9B">
        <w:rPr>
          <w:rFonts w:ascii="Bookman Old Style" w:hAnsi="Bookman Old Style"/>
          <w:b/>
          <w:bCs/>
          <w:sz w:val="24"/>
          <w:szCs w:val="24"/>
        </w:rPr>
        <w:t>mengenai</w:t>
      </w:r>
      <w:r w:rsidR="00A954D0">
        <w:rPr>
          <w:rFonts w:ascii="Bookman Old Style" w:hAnsi="Bookman Old Style"/>
          <w:b/>
          <w:bCs/>
          <w:sz w:val="24"/>
          <w:szCs w:val="24"/>
        </w:rPr>
        <w:t xml:space="preserve"> </w:t>
      </w:r>
      <w:r w:rsidRPr="00EE3B9B">
        <w:rPr>
          <w:rFonts w:ascii="Bookman Old Style" w:hAnsi="Bookman Old Style"/>
          <w:b/>
          <w:bCs/>
          <w:sz w:val="24"/>
          <w:szCs w:val="24"/>
        </w:rPr>
        <w:t>penjabaran</w:t>
      </w:r>
      <w:r w:rsidR="00A954D0">
        <w:rPr>
          <w:rFonts w:ascii="Bookman Old Style" w:hAnsi="Bookman Old Style"/>
          <w:b/>
          <w:bCs/>
          <w:sz w:val="24"/>
          <w:szCs w:val="24"/>
        </w:rPr>
        <w:t xml:space="preserve"> </w:t>
      </w:r>
      <w:r w:rsidRPr="00EE3B9B">
        <w:rPr>
          <w:rFonts w:ascii="Bookman Old Style" w:hAnsi="Bookman Old Style"/>
          <w:b/>
          <w:bCs/>
          <w:sz w:val="24"/>
          <w:szCs w:val="24"/>
        </w:rPr>
        <w:t>APBD</w:t>
      </w:r>
      <w:r w:rsidR="00A954D0">
        <w:rPr>
          <w:rFonts w:ascii="Bookman Old Style" w:hAnsi="Bookman Old Style"/>
          <w:b/>
          <w:bCs/>
          <w:sz w:val="24"/>
          <w:szCs w:val="24"/>
        </w:rPr>
        <w:t xml:space="preserve"> </w:t>
      </w:r>
      <w:r w:rsidRPr="00EE3B9B">
        <w:rPr>
          <w:rFonts w:ascii="Bookman Old Style" w:hAnsi="Bookman Old Style"/>
          <w:b/>
          <w:bCs/>
          <w:sz w:val="24"/>
          <w:szCs w:val="24"/>
        </w:rPr>
        <w:t>K</w:t>
      </w:r>
      <w:r>
        <w:rPr>
          <w:rFonts w:ascii="Bookman Old Style" w:hAnsi="Bookman Old Style"/>
          <w:b/>
          <w:bCs/>
          <w:sz w:val="24"/>
          <w:szCs w:val="24"/>
        </w:rPr>
        <w:t>ota</w:t>
      </w:r>
      <w:r w:rsidR="00A954D0">
        <w:rPr>
          <w:rFonts w:ascii="Bookman Old Style" w:hAnsi="Bookman Old Style"/>
          <w:b/>
          <w:bCs/>
          <w:sz w:val="24"/>
          <w:szCs w:val="24"/>
        </w:rPr>
        <w:t xml:space="preserve"> </w:t>
      </w:r>
      <w:r w:rsidRPr="00EE3B9B">
        <w:rPr>
          <w:rFonts w:ascii="Bookman Old Style" w:hAnsi="Bookman Old Style"/>
          <w:b/>
          <w:bCs/>
          <w:sz w:val="24"/>
          <w:szCs w:val="24"/>
        </w:rPr>
        <w:t>Tangerang</w:t>
      </w:r>
      <w:r w:rsidR="00A954D0">
        <w:rPr>
          <w:rFonts w:ascii="Bookman Old Style" w:hAnsi="Bookman Old Style"/>
          <w:b/>
          <w:bCs/>
          <w:sz w:val="24"/>
          <w:szCs w:val="24"/>
        </w:rPr>
        <w:t xml:space="preserve"> </w:t>
      </w:r>
      <w:r w:rsidRPr="00EE3B9B">
        <w:rPr>
          <w:rFonts w:ascii="Bookman Old Style" w:hAnsi="Bookman Old Style"/>
          <w:b/>
          <w:bCs/>
          <w:sz w:val="24"/>
          <w:szCs w:val="24"/>
        </w:rPr>
        <w:t>Tahun</w:t>
      </w:r>
      <w:r w:rsidR="00A954D0">
        <w:rPr>
          <w:rFonts w:ascii="Bookman Old Style" w:hAnsi="Bookman Old Style"/>
          <w:b/>
          <w:bCs/>
          <w:sz w:val="24"/>
          <w:szCs w:val="24"/>
        </w:rPr>
        <w:t xml:space="preserve"> </w:t>
      </w:r>
      <w:r w:rsidRPr="00EE3B9B">
        <w:rPr>
          <w:rFonts w:ascii="Bookman Old Style" w:hAnsi="Bookman Old Style"/>
          <w:b/>
          <w:bCs/>
          <w:sz w:val="24"/>
          <w:szCs w:val="24"/>
        </w:rPr>
        <w:t>Anggaran</w:t>
      </w:r>
      <w:r w:rsidR="00A954D0">
        <w:rPr>
          <w:rFonts w:ascii="Bookman Old Style" w:hAnsi="Bookman Old Style"/>
          <w:b/>
          <w:bCs/>
          <w:sz w:val="24"/>
          <w:szCs w:val="24"/>
        </w:rPr>
        <w:t xml:space="preserve"> </w:t>
      </w:r>
      <w:r w:rsidRPr="00EE3B9B">
        <w:rPr>
          <w:rFonts w:ascii="Bookman Old Style" w:hAnsi="Bookman Old Style"/>
          <w:b/>
          <w:bCs/>
          <w:sz w:val="24"/>
          <w:szCs w:val="24"/>
        </w:rPr>
        <w:t>2025</w:t>
      </w:r>
      <w:r w:rsidR="00A954D0">
        <w:rPr>
          <w:rFonts w:ascii="Bookman Old Style" w:hAnsi="Bookman Old Style"/>
          <w:b/>
          <w:bCs/>
          <w:sz w:val="24"/>
          <w:szCs w:val="24"/>
        </w:rPr>
        <w:t xml:space="preserve"> </w:t>
      </w:r>
      <w:r w:rsidRPr="00EE3B9B">
        <w:rPr>
          <w:rFonts w:ascii="Bookman Old Style" w:hAnsi="Bookman Old Style"/>
          <w:b/>
          <w:bCs/>
          <w:sz w:val="24"/>
          <w:szCs w:val="24"/>
        </w:rPr>
        <w:t>diatur</w:t>
      </w:r>
      <w:r w:rsidR="00A954D0">
        <w:rPr>
          <w:rFonts w:ascii="Bookman Old Style" w:hAnsi="Bookman Old Style"/>
          <w:b/>
          <w:bCs/>
          <w:sz w:val="24"/>
          <w:szCs w:val="24"/>
        </w:rPr>
        <w:t xml:space="preserve"> </w:t>
      </w:r>
      <w:r w:rsidRPr="00EE3B9B">
        <w:rPr>
          <w:rFonts w:ascii="Bookman Old Style" w:hAnsi="Bookman Old Style"/>
          <w:b/>
          <w:bCs/>
          <w:sz w:val="24"/>
          <w:szCs w:val="24"/>
        </w:rPr>
        <w:t>dengan</w:t>
      </w:r>
      <w:r w:rsidR="00A954D0">
        <w:rPr>
          <w:rFonts w:ascii="Bookman Old Style" w:hAnsi="Bookman Old Style"/>
          <w:b/>
          <w:bCs/>
          <w:sz w:val="24"/>
          <w:szCs w:val="24"/>
        </w:rPr>
        <w:t xml:space="preserve"> </w:t>
      </w:r>
      <w:r w:rsidRPr="00EE3B9B">
        <w:rPr>
          <w:rFonts w:ascii="Bookman Old Style" w:hAnsi="Bookman Old Style"/>
          <w:b/>
          <w:bCs/>
          <w:sz w:val="24"/>
          <w:szCs w:val="24"/>
        </w:rPr>
        <w:t>Peraturan</w:t>
      </w:r>
      <w:r w:rsidR="00A954D0">
        <w:rPr>
          <w:rFonts w:ascii="Bookman Old Style" w:hAnsi="Bookman Old Style"/>
          <w:b/>
          <w:bCs/>
          <w:sz w:val="24"/>
          <w:szCs w:val="24"/>
        </w:rPr>
        <w:t xml:space="preserve"> </w:t>
      </w:r>
      <w:r>
        <w:rPr>
          <w:rFonts w:ascii="Bookman Old Style" w:hAnsi="Bookman Old Style"/>
          <w:b/>
          <w:bCs/>
          <w:sz w:val="24"/>
          <w:szCs w:val="24"/>
        </w:rPr>
        <w:t>Wali</w:t>
      </w:r>
      <w:r w:rsidR="00A954D0">
        <w:rPr>
          <w:rFonts w:ascii="Bookman Old Style" w:hAnsi="Bookman Old Style"/>
          <w:b/>
          <w:bCs/>
          <w:sz w:val="24"/>
          <w:szCs w:val="24"/>
        </w:rPr>
        <w:t xml:space="preserve"> </w:t>
      </w:r>
      <w:r>
        <w:rPr>
          <w:rFonts w:ascii="Bookman Old Style" w:hAnsi="Bookman Old Style"/>
          <w:b/>
          <w:bCs/>
          <w:sz w:val="24"/>
          <w:szCs w:val="24"/>
        </w:rPr>
        <w:t>Kota</w:t>
      </w:r>
      <w:r w:rsidRPr="00EE3B9B">
        <w:rPr>
          <w:rFonts w:ascii="Bookman Old Style" w:hAnsi="Bookman Old Style"/>
          <w:b/>
          <w:bCs/>
          <w:sz w:val="24"/>
          <w:szCs w:val="24"/>
        </w:rPr>
        <w:t>.”</w:t>
      </w:r>
    </w:p>
    <w:p w14:paraId="52843D2F" w14:textId="0B4FC7BC" w:rsidR="006E2F8F" w:rsidRPr="00085C8E" w:rsidRDefault="006E2F8F">
      <w:pPr>
        <w:pStyle w:val="ListParagraph"/>
        <w:numPr>
          <w:ilvl w:val="0"/>
          <w:numId w:val="172"/>
        </w:numPr>
        <w:snapToGrid w:val="0"/>
        <w:spacing w:before="60" w:after="0" w:line="276" w:lineRule="auto"/>
        <w:ind w:left="1276" w:hanging="284"/>
        <w:contextualSpacing w:val="0"/>
        <w:jc w:val="both"/>
        <w:rPr>
          <w:rFonts w:ascii="Bookman Old Style" w:eastAsiaTheme="minorHAnsi" w:hAnsi="Bookman Old Style" w:cstheme="minorBidi"/>
          <w:sz w:val="24"/>
          <w:szCs w:val="24"/>
          <w:lang w:val="sv-SE"/>
        </w:rPr>
      </w:pPr>
      <w:r w:rsidRPr="00877C5F">
        <w:rPr>
          <w:rFonts w:ascii="Bookman Old Style" w:hAnsi="Bookman Old Style"/>
          <w:sz w:val="24"/>
          <w:szCs w:val="24"/>
        </w:rPr>
        <w:t>Rancangan</w:t>
      </w:r>
      <w:r w:rsidR="00A954D0">
        <w:rPr>
          <w:rFonts w:ascii="Bookman Old Style" w:eastAsiaTheme="minorHAnsi" w:hAnsi="Bookman Old Style" w:cstheme="minorBidi"/>
          <w:sz w:val="24"/>
          <w:szCs w:val="24"/>
          <w:lang w:val="sv-SE"/>
        </w:rPr>
        <w:t xml:space="preserve"> </w:t>
      </w:r>
      <w:r w:rsidRPr="00877C5F">
        <w:rPr>
          <w:rFonts w:ascii="Bookman Old Style" w:eastAsiaTheme="minorHAnsi" w:hAnsi="Bookman Old Style" w:cstheme="minorBidi"/>
          <w:sz w:val="24"/>
          <w:szCs w:val="24"/>
          <w:lang w:val="sv-SE"/>
        </w:rPr>
        <w:t>Peraturan</w:t>
      </w:r>
      <w:r w:rsidR="00A954D0">
        <w:rPr>
          <w:rFonts w:ascii="Bookman Old Style" w:eastAsiaTheme="minorHAnsi" w:hAnsi="Bookman Old Style" w:cstheme="minorBidi"/>
          <w:sz w:val="24"/>
          <w:szCs w:val="24"/>
          <w:lang w:val="sv-SE"/>
        </w:rPr>
        <w:t xml:space="preserve"> </w:t>
      </w:r>
      <w:r>
        <w:rPr>
          <w:rFonts w:ascii="Bookman Old Style" w:eastAsiaTheme="minorHAnsi" w:hAnsi="Bookman Old Style" w:cstheme="minorBidi"/>
          <w:sz w:val="24"/>
          <w:szCs w:val="24"/>
          <w:lang w:val="sv-SE"/>
        </w:rPr>
        <w:t>Wali</w:t>
      </w:r>
      <w:r w:rsidR="00A954D0">
        <w:rPr>
          <w:rFonts w:ascii="Bookman Old Style" w:eastAsiaTheme="minorHAnsi" w:hAnsi="Bookman Old Style" w:cstheme="minorBidi"/>
          <w:sz w:val="24"/>
          <w:szCs w:val="24"/>
          <w:lang w:val="sv-SE"/>
        </w:rPr>
        <w:t xml:space="preserve"> </w:t>
      </w:r>
      <w:r>
        <w:rPr>
          <w:rFonts w:ascii="Bookman Old Style" w:eastAsiaTheme="minorHAnsi" w:hAnsi="Bookman Old Style" w:cstheme="minorBidi"/>
          <w:sz w:val="24"/>
          <w:szCs w:val="24"/>
          <w:lang w:val="sv-SE"/>
        </w:rPr>
        <w:t>Kota</w:t>
      </w:r>
      <w:r w:rsidR="00A954D0">
        <w:rPr>
          <w:rFonts w:ascii="Bookman Old Style" w:eastAsiaTheme="minorHAnsi" w:hAnsi="Bookman Old Style" w:cstheme="minorBidi"/>
          <w:sz w:val="24"/>
          <w:szCs w:val="24"/>
          <w:lang w:val="sv-SE"/>
        </w:rPr>
        <w:t xml:space="preserve"> </w:t>
      </w:r>
      <w:r>
        <w:rPr>
          <w:rFonts w:ascii="Bookman Old Style" w:eastAsiaTheme="minorHAnsi" w:hAnsi="Bookman Old Style" w:cstheme="minorBidi"/>
          <w:sz w:val="24"/>
          <w:szCs w:val="24"/>
          <w:lang w:val="sv-SE"/>
        </w:rPr>
        <w:t>Tangerang</w:t>
      </w:r>
      <w:r w:rsidR="00A954D0">
        <w:rPr>
          <w:rFonts w:ascii="Bookman Old Style" w:eastAsiaTheme="minorHAnsi" w:hAnsi="Bookman Old Style" w:cstheme="minorBidi"/>
          <w:sz w:val="24"/>
          <w:szCs w:val="24"/>
          <w:lang w:val="sv-SE"/>
        </w:rPr>
        <w:t xml:space="preserve"> </w:t>
      </w:r>
      <w:r w:rsidRPr="00877C5F">
        <w:rPr>
          <w:rFonts w:ascii="Bookman Old Style" w:eastAsiaTheme="minorHAnsi" w:hAnsi="Bookman Old Style" w:cstheme="minorBidi"/>
          <w:sz w:val="24"/>
          <w:szCs w:val="24"/>
          <w:lang w:val="sv-SE"/>
        </w:rPr>
        <w:t>tentang</w:t>
      </w:r>
      <w:r w:rsidR="00A954D0">
        <w:rPr>
          <w:rFonts w:ascii="Bookman Old Style" w:eastAsiaTheme="minorHAnsi" w:hAnsi="Bookman Old Style" w:cstheme="minorBidi"/>
          <w:sz w:val="24"/>
          <w:szCs w:val="24"/>
          <w:lang w:val="sv-SE"/>
        </w:rPr>
        <w:t xml:space="preserve"> </w:t>
      </w:r>
      <w:r w:rsidRPr="00877C5F">
        <w:rPr>
          <w:rFonts w:ascii="Bookman Old Style" w:eastAsiaTheme="minorHAnsi" w:hAnsi="Bookman Old Style" w:cstheme="minorBidi"/>
          <w:sz w:val="24"/>
          <w:szCs w:val="24"/>
          <w:lang w:val="sv-SE"/>
        </w:rPr>
        <w:t>Penjabaran</w:t>
      </w:r>
      <w:r w:rsidR="00A954D0">
        <w:rPr>
          <w:rFonts w:ascii="Bookman Old Style" w:eastAsiaTheme="minorHAnsi" w:hAnsi="Bookman Old Style" w:cstheme="minorBidi"/>
          <w:sz w:val="24"/>
          <w:szCs w:val="24"/>
          <w:lang w:val="sv-SE"/>
        </w:rPr>
        <w:t xml:space="preserve"> </w:t>
      </w:r>
      <w:r w:rsidRPr="00877C5F">
        <w:rPr>
          <w:rFonts w:ascii="Bookman Old Style" w:eastAsiaTheme="minorHAnsi" w:hAnsi="Bookman Old Style" w:cstheme="minorBidi"/>
          <w:sz w:val="24"/>
          <w:szCs w:val="24"/>
          <w:lang w:val="sv-SE"/>
        </w:rPr>
        <w:t>Anggaran</w:t>
      </w:r>
      <w:r w:rsidR="00A954D0">
        <w:rPr>
          <w:rFonts w:ascii="Bookman Old Style" w:eastAsiaTheme="minorHAnsi" w:hAnsi="Bookman Old Style" w:cstheme="minorBidi"/>
          <w:sz w:val="24"/>
          <w:szCs w:val="24"/>
          <w:lang w:val="sv-SE"/>
        </w:rPr>
        <w:t xml:space="preserve"> </w:t>
      </w:r>
      <w:r w:rsidRPr="00877C5F">
        <w:rPr>
          <w:rFonts w:ascii="Bookman Old Style" w:eastAsiaTheme="minorHAnsi" w:hAnsi="Bookman Old Style" w:cstheme="minorBidi"/>
          <w:sz w:val="24"/>
          <w:szCs w:val="24"/>
          <w:lang w:val="sv-SE"/>
        </w:rPr>
        <w:t>Pendapatan</w:t>
      </w:r>
      <w:r w:rsidR="00A954D0">
        <w:rPr>
          <w:rFonts w:ascii="Bookman Old Style" w:eastAsiaTheme="minorHAnsi" w:hAnsi="Bookman Old Style" w:cstheme="minorBidi"/>
          <w:sz w:val="24"/>
          <w:szCs w:val="24"/>
          <w:lang w:val="sv-SE"/>
        </w:rPr>
        <w:t xml:space="preserve"> </w:t>
      </w:r>
      <w:r w:rsidRPr="00877C5F">
        <w:rPr>
          <w:rFonts w:ascii="Bookman Old Style" w:eastAsiaTheme="minorHAnsi" w:hAnsi="Bookman Old Style" w:cstheme="minorBidi"/>
          <w:sz w:val="24"/>
          <w:szCs w:val="24"/>
          <w:lang w:val="sv-SE"/>
        </w:rPr>
        <w:t>dan</w:t>
      </w:r>
      <w:r w:rsidR="00A954D0">
        <w:rPr>
          <w:rFonts w:ascii="Bookman Old Style" w:eastAsiaTheme="minorHAnsi" w:hAnsi="Bookman Old Style" w:cstheme="minorBidi"/>
          <w:sz w:val="24"/>
          <w:szCs w:val="24"/>
          <w:lang w:val="sv-SE"/>
        </w:rPr>
        <w:t xml:space="preserve"> </w:t>
      </w:r>
      <w:r w:rsidRPr="00877C5F">
        <w:rPr>
          <w:rFonts w:ascii="Bookman Old Style" w:eastAsiaTheme="minorHAnsi" w:hAnsi="Bookman Old Style" w:cstheme="minorBidi"/>
          <w:sz w:val="24"/>
          <w:szCs w:val="24"/>
          <w:lang w:val="sv-SE"/>
        </w:rPr>
        <w:t>Belanja</w:t>
      </w:r>
      <w:r w:rsidR="00A954D0">
        <w:rPr>
          <w:rFonts w:ascii="Bookman Old Style" w:eastAsiaTheme="minorHAnsi" w:hAnsi="Bookman Old Style" w:cstheme="minorBidi"/>
          <w:sz w:val="24"/>
          <w:szCs w:val="24"/>
          <w:lang w:val="sv-SE"/>
        </w:rPr>
        <w:t xml:space="preserve"> </w:t>
      </w:r>
      <w:r w:rsidRPr="00877C5F">
        <w:rPr>
          <w:rFonts w:ascii="Bookman Old Style" w:eastAsiaTheme="minorHAnsi" w:hAnsi="Bookman Old Style" w:cstheme="minorBidi"/>
          <w:sz w:val="24"/>
          <w:szCs w:val="24"/>
          <w:lang w:val="sv-SE"/>
        </w:rPr>
        <w:t>Daerah</w:t>
      </w:r>
      <w:r w:rsidR="00A954D0">
        <w:rPr>
          <w:rFonts w:ascii="Bookman Old Style" w:eastAsiaTheme="minorHAnsi" w:hAnsi="Bookman Old Style" w:cstheme="minorBidi"/>
          <w:sz w:val="24"/>
          <w:szCs w:val="24"/>
          <w:lang w:val="sv-SE"/>
        </w:rPr>
        <w:t xml:space="preserve"> </w:t>
      </w:r>
      <w:r w:rsidRPr="00877C5F">
        <w:rPr>
          <w:rFonts w:ascii="Bookman Old Style" w:eastAsiaTheme="minorHAnsi" w:hAnsi="Bookman Old Style" w:cstheme="minorBidi"/>
          <w:sz w:val="24"/>
          <w:szCs w:val="24"/>
          <w:lang w:val="sv-SE"/>
        </w:rPr>
        <w:t>Tahun</w:t>
      </w:r>
      <w:r w:rsidR="00A954D0">
        <w:rPr>
          <w:rFonts w:ascii="Bookman Old Style" w:eastAsiaTheme="minorHAnsi" w:hAnsi="Bookman Old Style" w:cstheme="minorBidi"/>
          <w:sz w:val="24"/>
          <w:szCs w:val="24"/>
          <w:lang w:val="sv-SE"/>
        </w:rPr>
        <w:t xml:space="preserve"> </w:t>
      </w:r>
      <w:r w:rsidRPr="00877C5F">
        <w:rPr>
          <w:rFonts w:ascii="Bookman Old Style" w:eastAsiaTheme="minorHAnsi" w:hAnsi="Bookman Old Style" w:cstheme="minorBidi"/>
          <w:sz w:val="24"/>
          <w:szCs w:val="24"/>
          <w:lang w:val="sv-SE"/>
        </w:rPr>
        <w:t>Anggaran</w:t>
      </w:r>
      <w:r w:rsidR="00A954D0">
        <w:rPr>
          <w:rFonts w:ascii="Bookman Old Style" w:eastAsiaTheme="minorHAnsi" w:hAnsi="Bookman Old Style" w:cstheme="minorBidi"/>
          <w:sz w:val="24"/>
          <w:szCs w:val="24"/>
          <w:lang w:val="sv-SE"/>
        </w:rPr>
        <w:t xml:space="preserve"> </w:t>
      </w:r>
      <w:r w:rsidRPr="00877C5F">
        <w:rPr>
          <w:rFonts w:ascii="Bookman Old Style" w:eastAsiaTheme="minorHAnsi" w:hAnsi="Bookman Old Style" w:cstheme="minorBidi"/>
          <w:sz w:val="24"/>
          <w:szCs w:val="24"/>
          <w:lang w:val="sv-SE"/>
        </w:rPr>
        <w:t>202</w:t>
      </w:r>
      <w:r>
        <w:rPr>
          <w:rFonts w:ascii="Bookman Old Style" w:eastAsiaTheme="minorHAnsi" w:hAnsi="Bookman Old Style" w:cstheme="minorBidi"/>
          <w:sz w:val="24"/>
          <w:szCs w:val="24"/>
          <w:lang w:val="sv-SE"/>
        </w:rPr>
        <w:t>5</w:t>
      </w:r>
      <w:r w:rsidR="00A954D0">
        <w:rPr>
          <w:rFonts w:ascii="Bookman Old Style" w:eastAsiaTheme="minorHAnsi" w:hAnsi="Bookman Old Style" w:cstheme="minorBidi"/>
          <w:sz w:val="24"/>
          <w:szCs w:val="24"/>
          <w:lang w:val="sv-SE"/>
        </w:rPr>
        <w:t xml:space="preserve"> </w:t>
      </w:r>
      <w:r w:rsidRPr="00877C5F">
        <w:rPr>
          <w:rFonts w:ascii="Bookman Old Style" w:eastAsiaTheme="minorHAnsi" w:hAnsi="Bookman Old Style" w:cstheme="minorBidi"/>
          <w:sz w:val="24"/>
          <w:szCs w:val="24"/>
          <w:lang w:val="sv-SE"/>
        </w:rPr>
        <w:t>sebagai</w:t>
      </w:r>
      <w:r w:rsidR="00A954D0">
        <w:rPr>
          <w:rFonts w:ascii="Bookman Old Style" w:eastAsiaTheme="minorHAnsi" w:hAnsi="Bookman Old Style" w:cstheme="minorBidi"/>
          <w:sz w:val="24"/>
          <w:szCs w:val="24"/>
          <w:lang w:val="sv-SE"/>
        </w:rPr>
        <w:t xml:space="preserve"> </w:t>
      </w:r>
      <w:r w:rsidRPr="00877C5F">
        <w:rPr>
          <w:rFonts w:ascii="Bookman Old Style" w:eastAsiaTheme="minorHAnsi" w:hAnsi="Bookman Old Style" w:cstheme="minorBidi"/>
          <w:sz w:val="24"/>
          <w:szCs w:val="24"/>
          <w:lang w:val="sv-SE"/>
        </w:rPr>
        <w:t>berikut:</w:t>
      </w:r>
    </w:p>
    <w:p w14:paraId="362C0ED0" w14:textId="4A7801EE" w:rsidR="006E2F8F" w:rsidRPr="00834B2D" w:rsidRDefault="006E2F8F">
      <w:pPr>
        <w:numPr>
          <w:ilvl w:val="0"/>
          <w:numId w:val="174"/>
        </w:numPr>
        <w:snapToGrid w:val="0"/>
        <w:spacing w:before="60" w:line="276" w:lineRule="auto"/>
        <w:ind w:left="1702" w:hanging="425"/>
        <w:jc w:val="both"/>
        <w:rPr>
          <w:rFonts w:ascii="Bookman Old Style" w:eastAsiaTheme="minorHAnsi" w:hAnsi="Bookman Old Style" w:cstheme="minorBidi"/>
        </w:rPr>
      </w:pPr>
      <w:r w:rsidRPr="00834B2D">
        <w:rPr>
          <w:rFonts w:ascii="Bookman Old Style" w:eastAsiaTheme="minorHAnsi" w:hAnsi="Bookman Old Style" w:cstheme="minorBidi"/>
        </w:rPr>
        <w:t>Konsideran</w:t>
      </w:r>
      <w:r w:rsidR="00A954D0">
        <w:rPr>
          <w:rFonts w:ascii="Bookman Old Style" w:eastAsiaTheme="minorHAnsi" w:hAnsi="Bookman Old Style" w:cstheme="minorBidi"/>
        </w:rPr>
        <w:t xml:space="preserve"> </w:t>
      </w:r>
      <w:r w:rsidRPr="00834B2D">
        <w:rPr>
          <w:rFonts w:ascii="Bookman Old Style" w:eastAsiaTheme="minorHAnsi" w:hAnsi="Bookman Old Style" w:cstheme="minorBidi"/>
        </w:rPr>
        <w:t>Mengingat:</w:t>
      </w:r>
    </w:p>
    <w:p w14:paraId="53411A20" w14:textId="5589C3FB" w:rsidR="006E2F8F" w:rsidRPr="007D6B6C" w:rsidRDefault="006E2F8F" w:rsidP="004A784D">
      <w:pPr>
        <w:pStyle w:val="ListParagraph"/>
        <w:numPr>
          <w:ilvl w:val="0"/>
          <w:numId w:val="218"/>
        </w:numPr>
        <w:snapToGrid w:val="0"/>
        <w:spacing w:before="60" w:after="0" w:line="276" w:lineRule="auto"/>
        <w:ind w:left="2268" w:hanging="566"/>
        <w:contextualSpacing w:val="0"/>
        <w:jc w:val="both"/>
        <w:rPr>
          <w:rFonts w:ascii="Bookman Old Style" w:hAnsi="Bookman Old Style" w:cs="Arial"/>
          <w:sz w:val="24"/>
          <w:szCs w:val="24"/>
        </w:rPr>
      </w:pPr>
      <w:r w:rsidRPr="007D6B6C">
        <w:rPr>
          <w:rFonts w:ascii="Bookman Old Style" w:hAnsi="Bookman Old Style" w:cs="Arial"/>
          <w:sz w:val="24"/>
          <w:szCs w:val="24"/>
        </w:rPr>
        <w:t>Angka</w:t>
      </w:r>
      <w:r w:rsidR="00A954D0">
        <w:rPr>
          <w:rFonts w:ascii="Bookman Old Style" w:hAnsi="Bookman Old Style" w:cs="Arial"/>
          <w:sz w:val="24"/>
          <w:szCs w:val="24"/>
        </w:rPr>
        <w:t xml:space="preserve"> </w:t>
      </w:r>
      <w:r w:rsidRPr="007D6B6C">
        <w:rPr>
          <w:rFonts w:ascii="Bookman Old Style" w:hAnsi="Bookman Old Style" w:cs="Arial"/>
          <w:sz w:val="24"/>
          <w:szCs w:val="24"/>
        </w:rPr>
        <w:t>3</w:t>
      </w:r>
      <w:r w:rsidR="00A954D0">
        <w:rPr>
          <w:rFonts w:ascii="Bookman Old Style" w:hAnsi="Bookman Old Style" w:cs="Arial"/>
          <w:sz w:val="24"/>
          <w:szCs w:val="24"/>
        </w:rPr>
        <w:t xml:space="preserve"> </w:t>
      </w:r>
      <w:r w:rsidRPr="007D6B6C">
        <w:rPr>
          <w:rFonts w:ascii="Bookman Old Style" w:hAnsi="Bookman Old Style" w:cs="Arial"/>
          <w:sz w:val="24"/>
          <w:szCs w:val="24"/>
        </w:rPr>
        <w:t>agar</w:t>
      </w:r>
      <w:r w:rsidR="00A954D0">
        <w:rPr>
          <w:rFonts w:ascii="Bookman Old Style" w:hAnsi="Bookman Old Style" w:cs="Arial"/>
          <w:sz w:val="24"/>
          <w:szCs w:val="24"/>
        </w:rPr>
        <w:t xml:space="preserve"> </w:t>
      </w:r>
      <w:r w:rsidRPr="007D6B6C">
        <w:rPr>
          <w:rFonts w:ascii="Bookman Old Style" w:hAnsi="Bookman Old Style" w:cs="Arial"/>
          <w:sz w:val="24"/>
          <w:szCs w:val="24"/>
        </w:rPr>
        <w:t>disempurnakan</w:t>
      </w:r>
      <w:r w:rsidR="00A954D0">
        <w:rPr>
          <w:rFonts w:ascii="Bookman Old Style" w:hAnsi="Bookman Old Style" w:cs="Arial"/>
          <w:sz w:val="24"/>
          <w:szCs w:val="24"/>
        </w:rPr>
        <w:t xml:space="preserve"> </w:t>
      </w:r>
      <w:r w:rsidRPr="007D6B6C">
        <w:rPr>
          <w:rFonts w:ascii="Bookman Old Style" w:hAnsi="Bookman Old Style" w:cs="Arial"/>
          <w:sz w:val="24"/>
          <w:szCs w:val="24"/>
        </w:rPr>
        <w:t>menjadi:</w:t>
      </w:r>
    </w:p>
    <w:p w14:paraId="0394324B" w14:textId="34361DD6" w:rsidR="006E2F8F" w:rsidRDefault="006E2F8F" w:rsidP="004A784D">
      <w:pPr>
        <w:pStyle w:val="ListParagraph"/>
        <w:snapToGrid w:val="0"/>
        <w:spacing w:before="60" w:after="0" w:line="276" w:lineRule="auto"/>
        <w:ind w:left="2268"/>
        <w:contextualSpacing w:val="0"/>
        <w:jc w:val="both"/>
        <w:rPr>
          <w:rFonts w:ascii="Bookman Old Style" w:hAnsi="Bookman Old Style" w:cs="Tahoma"/>
          <w:sz w:val="24"/>
          <w:szCs w:val="24"/>
        </w:rPr>
      </w:pPr>
      <w:r w:rsidRPr="007D6B6C">
        <w:rPr>
          <w:rFonts w:ascii="Bookman Old Style" w:eastAsiaTheme="minorHAnsi" w:hAnsi="Bookman Old Style" w:cstheme="minorBidi"/>
          <w:sz w:val="24"/>
          <w:szCs w:val="24"/>
          <w:lang w:val="sv-SE"/>
        </w:rPr>
        <w:t>”</w:t>
      </w:r>
      <w:r w:rsidRPr="007D6B6C">
        <w:rPr>
          <w:rFonts w:ascii="Bookman Old Style" w:hAnsi="Bookman Old Style" w:cs="Tahoma"/>
          <w:sz w:val="24"/>
          <w:szCs w:val="24"/>
        </w:rPr>
        <w:t>Undang-Undang</w:t>
      </w:r>
      <w:r w:rsidR="00A954D0">
        <w:rPr>
          <w:rFonts w:ascii="Bookman Old Style" w:hAnsi="Bookman Old Style" w:cs="Tahoma"/>
          <w:sz w:val="24"/>
          <w:szCs w:val="24"/>
        </w:rPr>
        <w:t xml:space="preserve"> </w:t>
      </w:r>
      <w:r w:rsidRPr="007D6B6C">
        <w:rPr>
          <w:rFonts w:ascii="Bookman Old Style" w:hAnsi="Bookman Old Style" w:cs="Tahoma"/>
          <w:sz w:val="24"/>
          <w:szCs w:val="24"/>
        </w:rPr>
        <w:t>Nomor</w:t>
      </w:r>
      <w:r w:rsidR="00A954D0">
        <w:rPr>
          <w:rFonts w:ascii="Bookman Old Style" w:hAnsi="Bookman Old Style" w:cs="Tahoma"/>
          <w:sz w:val="24"/>
          <w:szCs w:val="24"/>
        </w:rPr>
        <w:t xml:space="preserve"> </w:t>
      </w:r>
      <w:r w:rsidRPr="007D6B6C">
        <w:rPr>
          <w:rFonts w:ascii="Bookman Old Style" w:hAnsi="Bookman Old Style" w:cs="Tahoma"/>
          <w:sz w:val="24"/>
          <w:szCs w:val="24"/>
        </w:rPr>
        <w:t>17</w:t>
      </w:r>
      <w:r w:rsidR="00A954D0">
        <w:rPr>
          <w:rFonts w:ascii="Bookman Old Style" w:hAnsi="Bookman Old Style" w:cs="Tahoma"/>
          <w:sz w:val="24"/>
          <w:szCs w:val="24"/>
        </w:rPr>
        <w:t xml:space="preserve"> </w:t>
      </w:r>
      <w:r w:rsidRPr="007D6B6C">
        <w:rPr>
          <w:rFonts w:ascii="Bookman Old Style" w:hAnsi="Bookman Old Style" w:cs="Tahoma"/>
          <w:sz w:val="24"/>
          <w:szCs w:val="24"/>
        </w:rPr>
        <w:t>Tahun</w:t>
      </w:r>
      <w:r w:rsidR="00A954D0">
        <w:rPr>
          <w:rFonts w:ascii="Bookman Old Style" w:hAnsi="Bookman Old Style" w:cs="Tahoma"/>
          <w:sz w:val="24"/>
          <w:szCs w:val="24"/>
        </w:rPr>
        <w:t xml:space="preserve"> </w:t>
      </w:r>
      <w:r w:rsidRPr="007D6B6C">
        <w:rPr>
          <w:rFonts w:ascii="Bookman Old Style" w:hAnsi="Bookman Old Style" w:cs="Tahoma"/>
          <w:sz w:val="24"/>
          <w:szCs w:val="24"/>
        </w:rPr>
        <w:t>2003</w:t>
      </w:r>
      <w:r w:rsidR="00A954D0">
        <w:rPr>
          <w:rFonts w:ascii="Bookman Old Style" w:hAnsi="Bookman Old Style" w:cs="Tahoma"/>
          <w:sz w:val="24"/>
          <w:szCs w:val="24"/>
        </w:rPr>
        <w:t xml:space="preserve"> </w:t>
      </w:r>
      <w:r w:rsidRPr="007D6B6C">
        <w:rPr>
          <w:rFonts w:ascii="Bookman Old Style" w:hAnsi="Bookman Old Style" w:cs="Tahoma"/>
          <w:sz w:val="24"/>
          <w:szCs w:val="24"/>
        </w:rPr>
        <w:t>tentang</w:t>
      </w:r>
      <w:r w:rsidR="00A954D0">
        <w:rPr>
          <w:rFonts w:ascii="Bookman Old Style" w:hAnsi="Bookman Old Style" w:cs="Tahoma"/>
          <w:sz w:val="24"/>
          <w:szCs w:val="24"/>
        </w:rPr>
        <w:t xml:space="preserve"> </w:t>
      </w:r>
      <w:r w:rsidRPr="007D6B6C">
        <w:rPr>
          <w:rFonts w:ascii="Bookman Old Style" w:hAnsi="Bookman Old Style" w:cs="Tahoma"/>
          <w:sz w:val="24"/>
          <w:szCs w:val="24"/>
        </w:rPr>
        <w:t>Keuangan</w:t>
      </w:r>
      <w:r w:rsidR="00A954D0">
        <w:rPr>
          <w:rFonts w:ascii="Bookman Old Style" w:hAnsi="Bookman Old Style" w:cs="Tahoma"/>
          <w:sz w:val="24"/>
          <w:szCs w:val="24"/>
        </w:rPr>
        <w:t xml:space="preserve"> </w:t>
      </w:r>
      <w:r w:rsidRPr="007D6B6C">
        <w:rPr>
          <w:rFonts w:ascii="Bookman Old Style" w:hAnsi="Bookman Old Style" w:cs="Tahoma"/>
          <w:sz w:val="24"/>
          <w:szCs w:val="24"/>
        </w:rPr>
        <w:t>Negara</w:t>
      </w:r>
      <w:r w:rsidR="00A954D0">
        <w:rPr>
          <w:rFonts w:ascii="Bookman Old Style" w:hAnsi="Bookman Old Style" w:cs="Tahoma"/>
          <w:sz w:val="24"/>
          <w:szCs w:val="24"/>
        </w:rPr>
        <w:t xml:space="preserve"> </w:t>
      </w:r>
      <w:r w:rsidRPr="007D6B6C">
        <w:rPr>
          <w:rFonts w:ascii="Bookman Old Style" w:hAnsi="Bookman Old Style" w:cs="Tahoma"/>
          <w:sz w:val="24"/>
          <w:szCs w:val="24"/>
        </w:rPr>
        <w:t>(Lembaran</w:t>
      </w:r>
      <w:r w:rsidR="00A954D0">
        <w:rPr>
          <w:rFonts w:ascii="Bookman Old Style" w:hAnsi="Bookman Old Style" w:cs="Tahoma"/>
          <w:sz w:val="24"/>
          <w:szCs w:val="24"/>
        </w:rPr>
        <w:t xml:space="preserve"> </w:t>
      </w:r>
      <w:r w:rsidRPr="007D6B6C">
        <w:rPr>
          <w:rFonts w:ascii="Bookman Old Style" w:hAnsi="Bookman Old Style" w:cs="Tahoma"/>
          <w:sz w:val="24"/>
          <w:szCs w:val="24"/>
        </w:rPr>
        <w:t>Negara</w:t>
      </w:r>
      <w:r w:rsidR="00A954D0">
        <w:rPr>
          <w:rFonts w:ascii="Bookman Old Style" w:hAnsi="Bookman Old Style" w:cs="Tahoma"/>
          <w:sz w:val="24"/>
          <w:szCs w:val="24"/>
        </w:rPr>
        <w:t xml:space="preserve"> </w:t>
      </w:r>
      <w:r w:rsidRPr="007D6B6C">
        <w:rPr>
          <w:rFonts w:ascii="Bookman Old Style" w:hAnsi="Bookman Old Style" w:cs="Tahoma"/>
          <w:sz w:val="24"/>
          <w:szCs w:val="24"/>
        </w:rPr>
        <w:t>Republik</w:t>
      </w:r>
      <w:r w:rsidR="00A954D0">
        <w:rPr>
          <w:rFonts w:ascii="Bookman Old Style" w:hAnsi="Bookman Old Style" w:cs="Tahoma"/>
          <w:sz w:val="24"/>
          <w:szCs w:val="24"/>
        </w:rPr>
        <w:t xml:space="preserve"> </w:t>
      </w:r>
      <w:r w:rsidRPr="007D6B6C">
        <w:rPr>
          <w:rFonts w:ascii="Bookman Old Style" w:hAnsi="Bookman Old Style" w:cs="Tahoma"/>
          <w:sz w:val="24"/>
          <w:szCs w:val="24"/>
        </w:rPr>
        <w:t>Indonesia</w:t>
      </w:r>
      <w:r w:rsidR="00A954D0">
        <w:rPr>
          <w:rFonts w:ascii="Bookman Old Style" w:hAnsi="Bookman Old Style" w:cs="Tahoma"/>
          <w:sz w:val="24"/>
          <w:szCs w:val="24"/>
        </w:rPr>
        <w:t xml:space="preserve"> </w:t>
      </w:r>
      <w:r w:rsidRPr="007D6B6C">
        <w:rPr>
          <w:rFonts w:ascii="Bookman Old Style" w:hAnsi="Bookman Old Style" w:cs="Tahoma"/>
          <w:sz w:val="24"/>
          <w:szCs w:val="24"/>
        </w:rPr>
        <w:t>Tahun</w:t>
      </w:r>
      <w:r w:rsidR="00A954D0">
        <w:rPr>
          <w:rFonts w:ascii="Bookman Old Style" w:hAnsi="Bookman Old Style" w:cs="Tahoma"/>
          <w:sz w:val="24"/>
          <w:szCs w:val="24"/>
        </w:rPr>
        <w:t xml:space="preserve"> </w:t>
      </w:r>
      <w:r w:rsidRPr="007D6B6C">
        <w:rPr>
          <w:rFonts w:ascii="Bookman Old Style" w:hAnsi="Bookman Old Style" w:cs="Tahoma"/>
          <w:sz w:val="24"/>
          <w:szCs w:val="24"/>
        </w:rPr>
        <w:t>2003</w:t>
      </w:r>
      <w:r w:rsidR="00A954D0">
        <w:rPr>
          <w:rFonts w:ascii="Bookman Old Style" w:hAnsi="Bookman Old Style" w:cs="Tahoma"/>
          <w:sz w:val="24"/>
          <w:szCs w:val="24"/>
        </w:rPr>
        <w:t xml:space="preserve"> </w:t>
      </w:r>
      <w:r w:rsidRPr="007D6B6C">
        <w:rPr>
          <w:rFonts w:ascii="Bookman Old Style" w:hAnsi="Bookman Old Style" w:cs="Tahoma"/>
          <w:sz w:val="24"/>
          <w:szCs w:val="24"/>
        </w:rPr>
        <w:t>Nomor</w:t>
      </w:r>
      <w:r w:rsidR="00A954D0">
        <w:rPr>
          <w:rFonts w:ascii="Bookman Old Style" w:hAnsi="Bookman Old Style" w:cs="Tahoma"/>
          <w:sz w:val="24"/>
          <w:szCs w:val="24"/>
        </w:rPr>
        <w:t xml:space="preserve"> </w:t>
      </w:r>
      <w:r w:rsidRPr="007D6B6C">
        <w:rPr>
          <w:rFonts w:ascii="Bookman Old Style" w:hAnsi="Bookman Old Style" w:cs="Tahoma"/>
          <w:sz w:val="24"/>
          <w:szCs w:val="24"/>
        </w:rPr>
        <w:t>47,</w:t>
      </w:r>
      <w:r w:rsidR="00A954D0">
        <w:rPr>
          <w:rFonts w:ascii="Bookman Old Style" w:hAnsi="Bookman Old Style" w:cs="Tahoma"/>
          <w:sz w:val="24"/>
          <w:szCs w:val="24"/>
        </w:rPr>
        <w:t xml:space="preserve"> </w:t>
      </w:r>
      <w:r w:rsidRPr="007D6B6C">
        <w:rPr>
          <w:rFonts w:ascii="Bookman Old Style" w:hAnsi="Bookman Old Style" w:cs="Tahoma"/>
          <w:sz w:val="24"/>
          <w:szCs w:val="24"/>
        </w:rPr>
        <w:t>Tambahan</w:t>
      </w:r>
      <w:r w:rsidR="00A954D0">
        <w:rPr>
          <w:rFonts w:ascii="Bookman Old Style" w:hAnsi="Bookman Old Style" w:cs="Tahoma"/>
          <w:sz w:val="24"/>
          <w:szCs w:val="24"/>
        </w:rPr>
        <w:t xml:space="preserve"> </w:t>
      </w:r>
      <w:r w:rsidRPr="007D6B6C">
        <w:rPr>
          <w:rFonts w:ascii="Bookman Old Style" w:hAnsi="Bookman Old Style" w:cs="Tahoma"/>
          <w:sz w:val="24"/>
          <w:szCs w:val="24"/>
        </w:rPr>
        <w:t>Lembaran</w:t>
      </w:r>
      <w:r w:rsidR="00A954D0">
        <w:rPr>
          <w:rFonts w:ascii="Bookman Old Style" w:hAnsi="Bookman Old Style" w:cs="Tahoma"/>
          <w:sz w:val="24"/>
          <w:szCs w:val="24"/>
        </w:rPr>
        <w:t xml:space="preserve"> </w:t>
      </w:r>
      <w:r w:rsidRPr="007D6B6C">
        <w:rPr>
          <w:rFonts w:ascii="Bookman Old Style" w:hAnsi="Bookman Old Style" w:cs="Tahoma"/>
          <w:sz w:val="24"/>
          <w:szCs w:val="24"/>
        </w:rPr>
        <w:t>Negara</w:t>
      </w:r>
      <w:r w:rsidR="00A954D0">
        <w:rPr>
          <w:rFonts w:ascii="Bookman Old Style" w:hAnsi="Bookman Old Style" w:cs="Tahoma"/>
          <w:sz w:val="24"/>
          <w:szCs w:val="24"/>
        </w:rPr>
        <w:t xml:space="preserve"> </w:t>
      </w:r>
      <w:r w:rsidRPr="007D6B6C">
        <w:rPr>
          <w:rFonts w:ascii="Bookman Old Style" w:hAnsi="Bookman Old Style" w:cs="Tahoma"/>
          <w:sz w:val="24"/>
          <w:szCs w:val="24"/>
        </w:rPr>
        <w:t>Republik</w:t>
      </w:r>
      <w:r w:rsidR="00A954D0">
        <w:rPr>
          <w:rFonts w:ascii="Bookman Old Style" w:hAnsi="Bookman Old Style" w:cs="Tahoma"/>
          <w:sz w:val="24"/>
          <w:szCs w:val="24"/>
        </w:rPr>
        <w:t xml:space="preserve"> </w:t>
      </w:r>
      <w:r w:rsidRPr="007D6B6C">
        <w:rPr>
          <w:rFonts w:ascii="Bookman Old Style" w:hAnsi="Bookman Old Style" w:cs="Tahoma"/>
          <w:sz w:val="24"/>
          <w:szCs w:val="24"/>
        </w:rPr>
        <w:t>Indonesia</w:t>
      </w:r>
      <w:r w:rsidR="00A954D0">
        <w:rPr>
          <w:rFonts w:ascii="Bookman Old Style" w:hAnsi="Bookman Old Style" w:cs="Tahoma"/>
          <w:sz w:val="24"/>
          <w:szCs w:val="24"/>
        </w:rPr>
        <w:t xml:space="preserve"> </w:t>
      </w:r>
      <w:r w:rsidRPr="007D6B6C">
        <w:rPr>
          <w:rFonts w:ascii="Bookman Old Style" w:hAnsi="Bookman Old Style" w:cs="Tahoma"/>
          <w:sz w:val="24"/>
          <w:szCs w:val="24"/>
        </w:rPr>
        <w:t>Nomor</w:t>
      </w:r>
      <w:r w:rsidR="00A954D0">
        <w:rPr>
          <w:rFonts w:ascii="Bookman Old Style" w:hAnsi="Bookman Old Style" w:cs="Tahoma"/>
          <w:sz w:val="24"/>
          <w:szCs w:val="24"/>
        </w:rPr>
        <w:t xml:space="preserve"> </w:t>
      </w:r>
      <w:r w:rsidRPr="007D6B6C">
        <w:rPr>
          <w:rFonts w:ascii="Bookman Old Style" w:hAnsi="Bookman Old Style" w:cs="Tahoma"/>
          <w:sz w:val="24"/>
          <w:szCs w:val="24"/>
        </w:rPr>
        <w:t>4286)</w:t>
      </w:r>
      <w:r w:rsidR="00A954D0">
        <w:rPr>
          <w:rFonts w:ascii="Bookman Old Style" w:hAnsi="Bookman Old Style" w:cs="Tahoma"/>
          <w:sz w:val="24"/>
          <w:szCs w:val="24"/>
        </w:rPr>
        <w:t xml:space="preserve"> </w:t>
      </w:r>
      <w:r w:rsidRPr="007D6B6C">
        <w:rPr>
          <w:rFonts w:ascii="Bookman Old Style" w:hAnsi="Bookman Old Style" w:cs="Tahoma"/>
          <w:b/>
          <w:bCs/>
          <w:sz w:val="24"/>
          <w:szCs w:val="24"/>
        </w:rPr>
        <w:t>sebagaimana</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telah</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diubah</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dengan</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Undang-Undang</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Nomor</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2</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Tahun</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2020</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tentang</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Penetapan</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Peraturan</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lastRenderedPageBreak/>
        <w:t>Pemerintah</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Pengganti</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Undang-Undang</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Nomor</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1</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Tahun</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2020</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Tentang</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Kebijakan</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Keuangan</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Negara</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dan</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Stabilitas</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Sistem</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Keuangan</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untuk</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Penanganan</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Pandemi</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Corona</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Virus</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Disease</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2019</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(COVID19)</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dan/atau</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Dalam</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Rangka</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Menghadapi</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Ancaman</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yang</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Membahayakan</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Perekonomian</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Nasional</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dan/atau</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Stabilitas</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Sistem</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Keuangan</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Menjadi</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Undang-Undang</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(Lembaran</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Negara</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Republik</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Indonesia</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Tahun</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2020</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Nomor</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134,</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Tambahan</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Lembaran</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Negara</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Republik</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Indonesia</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Nomor</w:t>
      </w:r>
      <w:r w:rsidR="00A954D0">
        <w:rPr>
          <w:rFonts w:ascii="Bookman Old Style" w:hAnsi="Bookman Old Style" w:cs="Tahoma"/>
          <w:b/>
          <w:bCs/>
          <w:sz w:val="24"/>
          <w:szCs w:val="24"/>
        </w:rPr>
        <w:t xml:space="preserve"> </w:t>
      </w:r>
      <w:r w:rsidRPr="007D6B6C">
        <w:rPr>
          <w:rFonts w:ascii="Bookman Old Style" w:hAnsi="Bookman Old Style" w:cs="Tahoma"/>
          <w:b/>
          <w:bCs/>
          <w:sz w:val="24"/>
          <w:szCs w:val="24"/>
        </w:rPr>
        <w:t>6516)</w:t>
      </w:r>
      <w:r w:rsidRPr="007D6B6C">
        <w:rPr>
          <w:rFonts w:ascii="Bookman Old Style" w:hAnsi="Bookman Old Style" w:cs="Tahoma"/>
          <w:sz w:val="24"/>
          <w:szCs w:val="24"/>
        </w:rPr>
        <w:t>;”</w:t>
      </w:r>
    </w:p>
    <w:p w14:paraId="675A139A" w14:textId="6AE466C6" w:rsidR="006E2F8F" w:rsidRPr="00CB457B" w:rsidRDefault="006E2F8F" w:rsidP="004A784D">
      <w:pPr>
        <w:pStyle w:val="ListParagraph"/>
        <w:numPr>
          <w:ilvl w:val="0"/>
          <w:numId w:val="218"/>
        </w:numPr>
        <w:snapToGrid w:val="0"/>
        <w:spacing w:before="60" w:after="0" w:line="276" w:lineRule="auto"/>
        <w:ind w:left="2268" w:hanging="566"/>
        <w:contextualSpacing w:val="0"/>
        <w:jc w:val="both"/>
        <w:rPr>
          <w:rFonts w:ascii="Bookman Old Style" w:eastAsiaTheme="minorHAnsi" w:hAnsi="Bookman Old Style" w:cstheme="minorBidi"/>
          <w:sz w:val="24"/>
          <w:szCs w:val="24"/>
          <w:lang w:val="sv-SE"/>
        </w:rPr>
      </w:pPr>
      <w:r w:rsidRPr="00CB457B">
        <w:rPr>
          <w:rFonts w:ascii="Bookman Old Style" w:eastAsiaTheme="minorHAnsi" w:hAnsi="Bookman Old Style" w:cstheme="minorBidi"/>
          <w:sz w:val="24"/>
          <w:szCs w:val="24"/>
          <w:lang w:val="sv-SE"/>
        </w:rPr>
        <w:t>Angka</w:t>
      </w:r>
      <w:r w:rsidR="00A954D0">
        <w:rPr>
          <w:rFonts w:ascii="Bookman Old Style" w:eastAsiaTheme="minorHAnsi" w:hAnsi="Bookman Old Style" w:cstheme="minorBidi"/>
          <w:sz w:val="24"/>
          <w:szCs w:val="24"/>
          <w:lang w:val="sv-SE"/>
        </w:rPr>
        <w:t xml:space="preserve"> </w:t>
      </w:r>
      <w:r w:rsidRPr="00CB457B">
        <w:rPr>
          <w:rFonts w:ascii="Bookman Old Style" w:eastAsiaTheme="minorHAnsi" w:hAnsi="Bookman Old Style" w:cstheme="minorBidi"/>
          <w:sz w:val="24"/>
          <w:szCs w:val="24"/>
          <w:lang w:val="sv-SE"/>
        </w:rPr>
        <w:t>18</w:t>
      </w:r>
      <w:r w:rsidR="00A954D0">
        <w:rPr>
          <w:rFonts w:ascii="Bookman Old Style" w:eastAsiaTheme="minorHAnsi" w:hAnsi="Bookman Old Style" w:cstheme="minorBidi"/>
          <w:sz w:val="24"/>
          <w:szCs w:val="24"/>
          <w:lang w:val="sv-SE"/>
        </w:rPr>
        <w:t xml:space="preserve"> </w:t>
      </w:r>
      <w:r w:rsidRPr="00CB457B">
        <w:rPr>
          <w:rFonts w:ascii="Bookman Old Style" w:eastAsiaTheme="minorHAnsi" w:hAnsi="Bookman Old Style" w:cstheme="minorBidi"/>
          <w:sz w:val="24"/>
          <w:szCs w:val="24"/>
          <w:lang w:val="sv-SE"/>
        </w:rPr>
        <w:t>agar</w:t>
      </w:r>
      <w:r w:rsidR="00A954D0">
        <w:rPr>
          <w:rFonts w:ascii="Bookman Old Style" w:eastAsiaTheme="minorHAnsi" w:hAnsi="Bookman Old Style" w:cstheme="minorBidi"/>
          <w:sz w:val="24"/>
          <w:szCs w:val="24"/>
          <w:lang w:val="sv-SE"/>
        </w:rPr>
        <w:t xml:space="preserve"> </w:t>
      </w:r>
      <w:r w:rsidRPr="00CB457B">
        <w:rPr>
          <w:rFonts w:ascii="Bookman Old Style" w:eastAsiaTheme="minorHAnsi" w:hAnsi="Bookman Old Style" w:cstheme="minorBidi"/>
          <w:sz w:val="24"/>
          <w:szCs w:val="24"/>
          <w:lang w:val="sv-SE"/>
        </w:rPr>
        <w:t>disempurnakan</w:t>
      </w:r>
      <w:r w:rsidR="00A954D0">
        <w:rPr>
          <w:rFonts w:ascii="Bookman Old Style" w:eastAsiaTheme="minorHAnsi" w:hAnsi="Bookman Old Style" w:cstheme="minorBidi"/>
          <w:sz w:val="24"/>
          <w:szCs w:val="24"/>
          <w:lang w:val="sv-SE"/>
        </w:rPr>
        <w:t xml:space="preserve"> </w:t>
      </w:r>
      <w:r w:rsidRPr="00CB457B">
        <w:rPr>
          <w:rFonts w:ascii="Bookman Old Style" w:eastAsiaTheme="minorHAnsi" w:hAnsi="Bookman Old Style" w:cstheme="minorBidi"/>
          <w:sz w:val="24"/>
          <w:szCs w:val="24"/>
          <w:lang w:val="sv-SE"/>
        </w:rPr>
        <w:t>menjadi:</w:t>
      </w:r>
    </w:p>
    <w:p w14:paraId="05AEE92B" w14:textId="6EA68D26" w:rsidR="006E2F8F" w:rsidRDefault="006E2F8F" w:rsidP="004A784D">
      <w:pPr>
        <w:pStyle w:val="ListParagraph"/>
        <w:snapToGrid w:val="0"/>
        <w:spacing w:before="60" w:after="0" w:line="276" w:lineRule="auto"/>
        <w:ind w:left="2268"/>
        <w:contextualSpacing w:val="0"/>
        <w:jc w:val="both"/>
        <w:rPr>
          <w:rFonts w:ascii="Bookman Old Style" w:hAnsi="Bookman Old Style"/>
          <w:sz w:val="24"/>
          <w:szCs w:val="24"/>
        </w:rPr>
      </w:pPr>
      <w:r w:rsidRPr="00CB457B">
        <w:rPr>
          <w:rFonts w:ascii="Bookman Old Style" w:hAnsi="Bookman Old Style"/>
          <w:sz w:val="24"/>
          <w:szCs w:val="24"/>
        </w:rPr>
        <w:t>“Peraturan</w:t>
      </w:r>
      <w:r w:rsidR="00A954D0">
        <w:rPr>
          <w:rFonts w:ascii="Bookman Old Style" w:hAnsi="Bookman Old Style"/>
          <w:sz w:val="24"/>
          <w:szCs w:val="24"/>
        </w:rPr>
        <w:t xml:space="preserve"> </w:t>
      </w:r>
      <w:r w:rsidRPr="00CB457B">
        <w:rPr>
          <w:rFonts w:ascii="Bookman Old Style" w:hAnsi="Bookman Old Style"/>
          <w:sz w:val="24"/>
          <w:szCs w:val="24"/>
        </w:rPr>
        <w:t>Menteri</w:t>
      </w:r>
      <w:r w:rsidR="00A954D0">
        <w:rPr>
          <w:rFonts w:ascii="Bookman Old Style" w:hAnsi="Bookman Old Style"/>
          <w:sz w:val="24"/>
          <w:szCs w:val="24"/>
        </w:rPr>
        <w:t xml:space="preserve"> </w:t>
      </w:r>
      <w:r w:rsidRPr="00CB457B">
        <w:rPr>
          <w:rFonts w:ascii="Bookman Old Style" w:hAnsi="Bookman Old Style"/>
          <w:sz w:val="24"/>
          <w:szCs w:val="24"/>
        </w:rPr>
        <w:t>Dalam</w:t>
      </w:r>
      <w:r w:rsidR="00A954D0">
        <w:rPr>
          <w:rFonts w:ascii="Bookman Old Style" w:hAnsi="Bookman Old Style"/>
          <w:sz w:val="24"/>
          <w:szCs w:val="24"/>
        </w:rPr>
        <w:t xml:space="preserve"> </w:t>
      </w:r>
      <w:r w:rsidRPr="00CB457B">
        <w:rPr>
          <w:rFonts w:ascii="Bookman Old Style" w:hAnsi="Bookman Old Style"/>
          <w:sz w:val="24"/>
          <w:szCs w:val="24"/>
        </w:rPr>
        <w:t>Negeri</w:t>
      </w:r>
      <w:r w:rsidR="00A954D0">
        <w:rPr>
          <w:rFonts w:ascii="Bookman Old Style" w:hAnsi="Bookman Old Style"/>
          <w:sz w:val="24"/>
          <w:szCs w:val="24"/>
        </w:rPr>
        <w:t xml:space="preserve"> </w:t>
      </w:r>
      <w:r w:rsidRPr="00CB457B">
        <w:rPr>
          <w:rFonts w:ascii="Bookman Old Style" w:hAnsi="Bookman Old Style"/>
          <w:sz w:val="24"/>
          <w:szCs w:val="24"/>
        </w:rPr>
        <w:t>Nomor</w:t>
      </w:r>
      <w:r w:rsidR="00A954D0">
        <w:rPr>
          <w:rFonts w:ascii="Bookman Old Style" w:hAnsi="Bookman Old Style"/>
          <w:sz w:val="24"/>
          <w:szCs w:val="24"/>
        </w:rPr>
        <w:t xml:space="preserve"> </w:t>
      </w:r>
      <w:r w:rsidRPr="00CB457B">
        <w:rPr>
          <w:rFonts w:ascii="Bookman Old Style" w:hAnsi="Bookman Old Style"/>
          <w:sz w:val="24"/>
          <w:szCs w:val="24"/>
        </w:rPr>
        <w:t>52</w:t>
      </w:r>
      <w:r w:rsidR="00A954D0">
        <w:rPr>
          <w:rFonts w:ascii="Bookman Old Style" w:hAnsi="Bookman Old Style"/>
          <w:sz w:val="24"/>
          <w:szCs w:val="24"/>
        </w:rPr>
        <w:t xml:space="preserve"> </w:t>
      </w:r>
      <w:r w:rsidRPr="00CB457B">
        <w:rPr>
          <w:rFonts w:ascii="Bookman Old Style" w:hAnsi="Bookman Old Style"/>
          <w:sz w:val="24"/>
          <w:szCs w:val="24"/>
        </w:rPr>
        <w:t>Tahun</w:t>
      </w:r>
      <w:r w:rsidR="00A954D0">
        <w:rPr>
          <w:rFonts w:ascii="Bookman Old Style" w:hAnsi="Bookman Old Style"/>
          <w:sz w:val="24"/>
          <w:szCs w:val="24"/>
        </w:rPr>
        <w:t xml:space="preserve"> </w:t>
      </w:r>
      <w:r w:rsidRPr="00CB457B">
        <w:rPr>
          <w:rFonts w:ascii="Bookman Old Style" w:hAnsi="Bookman Old Style"/>
          <w:sz w:val="24"/>
          <w:szCs w:val="24"/>
        </w:rPr>
        <w:t>2012</w:t>
      </w:r>
      <w:r w:rsidR="00A954D0">
        <w:rPr>
          <w:rFonts w:ascii="Bookman Old Style" w:hAnsi="Bookman Old Style"/>
          <w:sz w:val="24"/>
          <w:szCs w:val="24"/>
        </w:rPr>
        <w:t xml:space="preserve"> </w:t>
      </w:r>
      <w:r w:rsidRPr="00CB457B">
        <w:rPr>
          <w:rFonts w:ascii="Bookman Old Style" w:hAnsi="Bookman Old Style"/>
          <w:b/>
          <w:bCs/>
          <w:sz w:val="24"/>
          <w:szCs w:val="24"/>
        </w:rPr>
        <w:t>t</w:t>
      </w:r>
      <w:r w:rsidRPr="00CB457B">
        <w:rPr>
          <w:rFonts w:ascii="Bookman Old Style" w:hAnsi="Bookman Old Style"/>
          <w:sz w:val="24"/>
          <w:szCs w:val="24"/>
        </w:rPr>
        <w:t>entang</w:t>
      </w:r>
      <w:r w:rsidR="00A954D0">
        <w:rPr>
          <w:rFonts w:ascii="Bookman Old Style" w:hAnsi="Bookman Old Style"/>
          <w:sz w:val="24"/>
          <w:szCs w:val="24"/>
        </w:rPr>
        <w:t xml:space="preserve"> </w:t>
      </w:r>
      <w:r w:rsidRPr="00CB457B">
        <w:rPr>
          <w:rFonts w:ascii="Bookman Old Style" w:hAnsi="Bookman Old Style"/>
          <w:sz w:val="24"/>
          <w:szCs w:val="24"/>
        </w:rPr>
        <w:t>Pedoman</w:t>
      </w:r>
      <w:r w:rsidR="00A954D0">
        <w:rPr>
          <w:rFonts w:ascii="Bookman Old Style" w:hAnsi="Bookman Old Style"/>
          <w:sz w:val="24"/>
          <w:szCs w:val="24"/>
        </w:rPr>
        <w:t xml:space="preserve"> </w:t>
      </w:r>
      <w:r w:rsidRPr="00CB457B">
        <w:rPr>
          <w:rFonts w:ascii="Bookman Old Style" w:hAnsi="Bookman Old Style"/>
          <w:sz w:val="24"/>
          <w:szCs w:val="24"/>
        </w:rPr>
        <w:t>Pengelolaan</w:t>
      </w:r>
      <w:r w:rsidR="00A954D0">
        <w:rPr>
          <w:rFonts w:ascii="Bookman Old Style" w:hAnsi="Bookman Old Style"/>
          <w:sz w:val="24"/>
          <w:szCs w:val="24"/>
        </w:rPr>
        <w:t xml:space="preserve"> </w:t>
      </w:r>
      <w:r w:rsidRPr="00CB457B">
        <w:rPr>
          <w:rFonts w:ascii="Bookman Old Style" w:hAnsi="Bookman Old Style"/>
          <w:sz w:val="24"/>
          <w:szCs w:val="24"/>
        </w:rPr>
        <w:t>investasi</w:t>
      </w:r>
      <w:r w:rsidR="00A954D0">
        <w:rPr>
          <w:rFonts w:ascii="Bookman Old Style" w:hAnsi="Bookman Old Style"/>
          <w:sz w:val="24"/>
          <w:szCs w:val="24"/>
        </w:rPr>
        <w:t xml:space="preserve"> </w:t>
      </w:r>
      <w:r w:rsidRPr="00CB457B">
        <w:rPr>
          <w:rFonts w:ascii="Bookman Old Style" w:hAnsi="Bookman Old Style"/>
          <w:sz w:val="24"/>
          <w:szCs w:val="24"/>
        </w:rPr>
        <w:t>Pemerintah</w:t>
      </w:r>
      <w:r w:rsidR="00A954D0">
        <w:rPr>
          <w:rFonts w:ascii="Bookman Old Style" w:hAnsi="Bookman Old Style"/>
          <w:sz w:val="24"/>
          <w:szCs w:val="24"/>
        </w:rPr>
        <w:t xml:space="preserve"> </w:t>
      </w:r>
      <w:r w:rsidRPr="00CB457B">
        <w:rPr>
          <w:rFonts w:ascii="Bookman Old Style" w:hAnsi="Bookman Old Style"/>
          <w:sz w:val="24"/>
          <w:szCs w:val="24"/>
        </w:rPr>
        <w:t>Daerah</w:t>
      </w:r>
      <w:r w:rsidR="00A954D0">
        <w:rPr>
          <w:rFonts w:ascii="Bookman Old Style" w:hAnsi="Bookman Old Style"/>
          <w:sz w:val="24"/>
          <w:szCs w:val="24"/>
        </w:rPr>
        <w:t xml:space="preserve"> </w:t>
      </w:r>
      <w:r w:rsidRPr="00CB457B">
        <w:rPr>
          <w:rFonts w:ascii="Bookman Old Style" w:hAnsi="Bookman Old Style"/>
          <w:sz w:val="24"/>
          <w:szCs w:val="24"/>
        </w:rPr>
        <w:t>(Berita</w:t>
      </w:r>
      <w:r w:rsidR="00A954D0">
        <w:rPr>
          <w:rFonts w:ascii="Bookman Old Style" w:hAnsi="Bookman Old Style"/>
          <w:sz w:val="24"/>
          <w:szCs w:val="24"/>
        </w:rPr>
        <w:t xml:space="preserve"> </w:t>
      </w:r>
      <w:r w:rsidRPr="00CB457B">
        <w:rPr>
          <w:rFonts w:ascii="Bookman Old Style" w:hAnsi="Bookman Old Style"/>
          <w:sz w:val="24"/>
          <w:szCs w:val="24"/>
        </w:rPr>
        <w:t>Negara</w:t>
      </w:r>
      <w:r w:rsidR="00A954D0">
        <w:rPr>
          <w:rFonts w:ascii="Bookman Old Style" w:hAnsi="Bookman Old Style"/>
          <w:sz w:val="24"/>
          <w:szCs w:val="24"/>
        </w:rPr>
        <w:t xml:space="preserve"> </w:t>
      </w:r>
      <w:r w:rsidRPr="00CB457B">
        <w:rPr>
          <w:rFonts w:ascii="Bookman Old Style" w:hAnsi="Bookman Old Style"/>
          <w:sz w:val="24"/>
          <w:szCs w:val="24"/>
        </w:rPr>
        <w:t>Republik</w:t>
      </w:r>
      <w:r w:rsidR="00A954D0">
        <w:rPr>
          <w:rFonts w:ascii="Bookman Old Style" w:hAnsi="Bookman Old Style"/>
          <w:sz w:val="24"/>
          <w:szCs w:val="24"/>
        </w:rPr>
        <w:t xml:space="preserve"> </w:t>
      </w:r>
      <w:r w:rsidRPr="00CB457B">
        <w:rPr>
          <w:rFonts w:ascii="Bookman Old Style" w:hAnsi="Bookman Old Style"/>
          <w:sz w:val="24"/>
          <w:szCs w:val="24"/>
        </w:rPr>
        <w:t>Indonesia</w:t>
      </w:r>
      <w:r w:rsidR="00A954D0">
        <w:rPr>
          <w:rFonts w:ascii="Bookman Old Style" w:hAnsi="Bookman Old Style"/>
          <w:sz w:val="24"/>
          <w:szCs w:val="24"/>
        </w:rPr>
        <w:t xml:space="preserve"> </w:t>
      </w:r>
      <w:r w:rsidRPr="00CB457B">
        <w:rPr>
          <w:rFonts w:ascii="Bookman Old Style" w:hAnsi="Bookman Old Style"/>
          <w:sz w:val="24"/>
          <w:szCs w:val="24"/>
        </w:rPr>
        <w:t>Tahun</w:t>
      </w:r>
      <w:r w:rsidR="00A954D0">
        <w:rPr>
          <w:rFonts w:ascii="Bookman Old Style" w:hAnsi="Bookman Old Style"/>
          <w:sz w:val="24"/>
          <w:szCs w:val="24"/>
        </w:rPr>
        <w:t xml:space="preserve"> </w:t>
      </w:r>
      <w:r w:rsidRPr="00CB457B">
        <w:rPr>
          <w:rFonts w:ascii="Bookman Old Style" w:hAnsi="Bookman Old Style"/>
          <w:sz w:val="24"/>
          <w:szCs w:val="24"/>
        </w:rPr>
        <w:t>2012</w:t>
      </w:r>
      <w:r w:rsidR="00A954D0">
        <w:rPr>
          <w:rFonts w:ascii="Bookman Old Style" w:hAnsi="Bookman Old Style"/>
          <w:sz w:val="24"/>
          <w:szCs w:val="24"/>
        </w:rPr>
        <w:t xml:space="preserve"> </w:t>
      </w:r>
      <w:r w:rsidRPr="00CB457B">
        <w:rPr>
          <w:rFonts w:ascii="Bookman Old Style" w:hAnsi="Bookman Old Style"/>
          <w:sz w:val="24"/>
          <w:szCs w:val="24"/>
        </w:rPr>
        <w:t>Nomor</w:t>
      </w:r>
      <w:r w:rsidR="00A954D0">
        <w:rPr>
          <w:rFonts w:ascii="Bookman Old Style" w:hAnsi="Bookman Old Style"/>
          <w:sz w:val="24"/>
          <w:szCs w:val="24"/>
        </w:rPr>
        <w:t xml:space="preserve"> </w:t>
      </w:r>
      <w:r w:rsidRPr="00CB457B">
        <w:rPr>
          <w:rFonts w:ascii="Bookman Old Style" w:hAnsi="Bookman Old Style"/>
          <w:sz w:val="24"/>
          <w:szCs w:val="24"/>
        </w:rPr>
        <w:t>754);”</w:t>
      </w:r>
    </w:p>
    <w:p w14:paraId="2233D184" w14:textId="73319294" w:rsidR="006E2F8F" w:rsidRDefault="006E2F8F" w:rsidP="004A784D">
      <w:pPr>
        <w:pStyle w:val="ListParagraph"/>
        <w:numPr>
          <w:ilvl w:val="0"/>
          <w:numId w:val="218"/>
        </w:numPr>
        <w:snapToGrid w:val="0"/>
        <w:spacing w:before="60" w:after="0" w:line="276" w:lineRule="auto"/>
        <w:ind w:left="2268" w:hanging="566"/>
        <w:contextualSpacing w:val="0"/>
        <w:jc w:val="both"/>
        <w:rPr>
          <w:rFonts w:ascii="Bookman Old Style" w:eastAsiaTheme="minorHAnsi" w:hAnsi="Bookman Old Style" w:cstheme="minorBidi"/>
          <w:sz w:val="24"/>
          <w:szCs w:val="24"/>
          <w:lang w:val="sv-SE"/>
        </w:rPr>
      </w:pPr>
      <w:r>
        <w:rPr>
          <w:rFonts w:ascii="Bookman Old Style" w:eastAsiaTheme="minorHAnsi" w:hAnsi="Bookman Old Style" w:cstheme="minorBidi"/>
          <w:sz w:val="24"/>
          <w:szCs w:val="24"/>
          <w:lang w:val="sv-SE"/>
        </w:rPr>
        <w:t>Angka</w:t>
      </w:r>
      <w:r w:rsidR="00A954D0">
        <w:rPr>
          <w:rFonts w:ascii="Bookman Old Style" w:eastAsiaTheme="minorHAnsi" w:hAnsi="Bookman Old Style" w:cstheme="minorBidi"/>
          <w:sz w:val="24"/>
          <w:szCs w:val="24"/>
          <w:lang w:val="sv-SE"/>
        </w:rPr>
        <w:t xml:space="preserve"> </w:t>
      </w:r>
      <w:r>
        <w:rPr>
          <w:rFonts w:ascii="Bookman Old Style" w:eastAsiaTheme="minorHAnsi" w:hAnsi="Bookman Old Style" w:cstheme="minorBidi"/>
          <w:sz w:val="24"/>
          <w:szCs w:val="24"/>
          <w:lang w:val="sv-SE"/>
        </w:rPr>
        <w:t>22</w:t>
      </w:r>
      <w:r w:rsidR="00A954D0">
        <w:rPr>
          <w:rFonts w:ascii="Bookman Old Style" w:eastAsiaTheme="minorHAnsi" w:hAnsi="Bookman Old Style" w:cstheme="minorBidi"/>
          <w:sz w:val="24"/>
          <w:szCs w:val="24"/>
          <w:lang w:val="sv-SE"/>
        </w:rPr>
        <w:t xml:space="preserve"> </w:t>
      </w:r>
      <w:r>
        <w:rPr>
          <w:rFonts w:ascii="Bookman Old Style" w:eastAsiaTheme="minorHAnsi" w:hAnsi="Bookman Old Style" w:cstheme="minorBidi"/>
          <w:sz w:val="24"/>
          <w:szCs w:val="24"/>
          <w:lang w:val="sv-SE"/>
        </w:rPr>
        <w:t>dihapus</w:t>
      </w:r>
      <w:r w:rsidR="00A954D0">
        <w:rPr>
          <w:rFonts w:ascii="Bookman Old Style" w:eastAsiaTheme="minorHAnsi" w:hAnsi="Bookman Old Style" w:cstheme="minorBidi"/>
          <w:sz w:val="24"/>
          <w:szCs w:val="24"/>
          <w:lang w:val="sv-SE"/>
        </w:rPr>
        <w:t xml:space="preserve"> </w:t>
      </w:r>
      <w:r>
        <w:rPr>
          <w:rFonts w:ascii="Bookman Old Style" w:eastAsiaTheme="minorHAnsi" w:hAnsi="Bookman Old Style" w:cstheme="minorBidi"/>
          <w:sz w:val="24"/>
          <w:szCs w:val="24"/>
          <w:lang w:val="sv-SE"/>
        </w:rPr>
        <w:t>karena</w:t>
      </w:r>
      <w:r w:rsidR="00A954D0">
        <w:rPr>
          <w:rFonts w:ascii="Bookman Old Style" w:eastAsiaTheme="minorHAnsi" w:hAnsi="Bookman Old Style" w:cstheme="minorBidi"/>
          <w:sz w:val="24"/>
          <w:szCs w:val="24"/>
          <w:lang w:val="sv-SE"/>
        </w:rPr>
        <w:t xml:space="preserve"> </w:t>
      </w:r>
      <w:r>
        <w:rPr>
          <w:rFonts w:ascii="Bookman Old Style" w:eastAsiaTheme="minorHAnsi" w:hAnsi="Bookman Old Style" w:cstheme="minorBidi"/>
          <w:sz w:val="24"/>
          <w:szCs w:val="24"/>
          <w:lang w:val="sv-SE"/>
        </w:rPr>
        <w:t>Tahun</w:t>
      </w:r>
      <w:r w:rsidR="00A954D0">
        <w:rPr>
          <w:rFonts w:ascii="Bookman Old Style" w:eastAsiaTheme="minorHAnsi" w:hAnsi="Bookman Old Style" w:cstheme="minorBidi"/>
          <w:sz w:val="24"/>
          <w:szCs w:val="24"/>
          <w:lang w:val="sv-SE"/>
        </w:rPr>
        <w:t xml:space="preserve"> </w:t>
      </w:r>
      <w:r>
        <w:rPr>
          <w:rFonts w:ascii="Bookman Old Style" w:eastAsiaTheme="minorHAnsi" w:hAnsi="Bookman Old Style" w:cstheme="minorBidi"/>
          <w:sz w:val="24"/>
          <w:szCs w:val="24"/>
          <w:lang w:val="sv-SE"/>
        </w:rPr>
        <w:t>Anggaran</w:t>
      </w:r>
      <w:r w:rsidR="00A954D0">
        <w:rPr>
          <w:rFonts w:ascii="Bookman Old Style" w:eastAsiaTheme="minorHAnsi" w:hAnsi="Bookman Old Style" w:cstheme="minorBidi"/>
          <w:sz w:val="24"/>
          <w:szCs w:val="24"/>
          <w:lang w:val="sv-SE"/>
        </w:rPr>
        <w:t xml:space="preserve"> </w:t>
      </w:r>
      <w:r>
        <w:rPr>
          <w:rFonts w:ascii="Bookman Old Style" w:eastAsiaTheme="minorHAnsi" w:hAnsi="Bookman Old Style" w:cstheme="minorBidi"/>
          <w:sz w:val="24"/>
          <w:szCs w:val="24"/>
          <w:lang w:val="sv-SE"/>
        </w:rPr>
        <w:t>nya</w:t>
      </w:r>
      <w:r w:rsidR="00A954D0">
        <w:rPr>
          <w:rFonts w:ascii="Bookman Old Style" w:eastAsiaTheme="minorHAnsi" w:hAnsi="Bookman Old Style" w:cstheme="minorBidi"/>
          <w:sz w:val="24"/>
          <w:szCs w:val="24"/>
          <w:lang w:val="sv-SE"/>
        </w:rPr>
        <w:t xml:space="preserve"> </w:t>
      </w:r>
      <w:r>
        <w:rPr>
          <w:rFonts w:ascii="Bookman Old Style" w:eastAsiaTheme="minorHAnsi" w:hAnsi="Bookman Old Style" w:cstheme="minorBidi"/>
          <w:sz w:val="24"/>
          <w:szCs w:val="24"/>
          <w:lang w:val="sv-SE"/>
        </w:rPr>
        <w:t>sudah</w:t>
      </w:r>
      <w:r w:rsidR="00A954D0">
        <w:rPr>
          <w:rFonts w:ascii="Bookman Old Style" w:eastAsiaTheme="minorHAnsi" w:hAnsi="Bookman Old Style" w:cstheme="minorBidi"/>
          <w:sz w:val="24"/>
          <w:szCs w:val="24"/>
          <w:lang w:val="sv-SE"/>
        </w:rPr>
        <w:t xml:space="preserve"> </w:t>
      </w:r>
      <w:r>
        <w:rPr>
          <w:rFonts w:ascii="Bookman Old Style" w:eastAsiaTheme="minorHAnsi" w:hAnsi="Bookman Old Style" w:cstheme="minorBidi"/>
          <w:sz w:val="24"/>
          <w:szCs w:val="24"/>
          <w:lang w:val="sv-SE"/>
        </w:rPr>
        <w:t>terlewat.</w:t>
      </w:r>
    </w:p>
    <w:p w14:paraId="38F985F4" w14:textId="51C71E74" w:rsidR="006E2F8F" w:rsidRPr="00CB457B" w:rsidRDefault="006E2F8F" w:rsidP="004A784D">
      <w:pPr>
        <w:pStyle w:val="ListParagraph"/>
        <w:numPr>
          <w:ilvl w:val="0"/>
          <w:numId w:val="218"/>
        </w:numPr>
        <w:snapToGrid w:val="0"/>
        <w:spacing w:before="60" w:after="0" w:line="276" w:lineRule="auto"/>
        <w:ind w:left="2268" w:hanging="566"/>
        <w:contextualSpacing w:val="0"/>
        <w:jc w:val="both"/>
        <w:rPr>
          <w:rFonts w:ascii="Bookman Old Style" w:eastAsiaTheme="minorHAnsi" w:hAnsi="Bookman Old Style" w:cstheme="minorBidi"/>
          <w:sz w:val="24"/>
          <w:szCs w:val="24"/>
          <w:lang w:val="sv-SE"/>
        </w:rPr>
      </w:pPr>
      <w:r>
        <w:rPr>
          <w:rFonts w:ascii="Bookman Old Style" w:eastAsiaTheme="minorHAnsi" w:hAnsi="Bookman Old Style" w:cstheme="minorBidi"/>
          <w:sz w:val="24"/>
          <w:szCs w:val="24"/>
          <w:lang w:val="sv-SE"/>
        </w:rPr>
        <w:t>Ditambahkan</w:t>
      </w:r>
      <w:r w:rsidR="00A954D0">
        <w:rPr>
          <w:rFonts w:ascii="Bookman Old Style" w:eastAsiaTheme="minorHAnsi" w:hAnsi="Bookman Old Style" w:cstheme="minorBidi"/>
          <w:sz w:val="24"/>
          <w:szCs w:val="24"/>
          <w:lang w:val="sv-SE"/>
        </w:rPr>
        <w:t xml:space="preserve"> </w:t>
      </w:r>
      <w:r w:rsidRPr="000F549C">
        <w:rPr>
          <w:rFonts w:ascii="Bookman Old Style" w:hAnsi="Bookman Old Style"/>
          <w:sz w:val="24"/>
          <w:szCs w:val="24"/>
        </w:rPr>
        <w:t>Peraturan</w:t>
      </w:r>
      <w:r w:rsidR="00A954D0">
        <w:rPr>
          <w:rFonts w:ascii="Bookman Old Style" w:hAnsi="Bookman Old Style"/>
          <w:sz w:val="24"/>
          <w:szCs w:val="24"/>
        </w:rPr>
        <w:t xml:space="preserve"> </w:t>
      </w:r>
      <w:r w:rsidRPr="000F549C">
        <w:rPr>
          <w:rFonts w:ascii="Bookman Old Style" w:hAnsi="Bookman Old Style"/>
          <w:sz w:val="24"/>
          <w:szCs w:val="24"/>
        </w:rPr>
        <w:t>Menteri</w:t>
      </w:r>
      <w:r w:rsidR="00A954D0">
        <w:rPr>
          <w:rFonts w:ascii="Bookman Old Style" w:hAnsi="Bookman Old Style"/>
          <w:sz w:val="24"/>
          <w:szCs w:val="24"/>
        </w:rPr>
        <w:t xml:space="preserve"> </w:t>
      </w:r>
      <w:r w:rsidRPr="000F549C">
        <w:rPr>
          <w:rFonts w:ascii="Bookman Old Style" w:hAnsi="Bookman Old Style"/>
          <w:sz w:val="24"/>
          <w:szCs w:val="24"/>
        </w:rPr>
        <w:t>Dalam</w:t>
      </w:r>
      <w:r w:rsidR="00A954D0">
        <w:rPr>
          <w:rFonts w:ascii="Bookman Old Style" w:hAnsi="Bookman Old Style"/>
          <w:sz w:val="24"/>
          <w:szCs w:val="24"/>
        </w:rPr>
        <w:t xml:space="preserve"> </w:t>
      </w:r>
      <w:r w:rsidRPr="000F549C">
        <w:rPr>
          <w:rFonts w:ascii="Bookman Old Style" w:hAnsi="Bookman Old Style"/>
          <w:sz w:val="24"/>
          <w:szCs w:val="24"/>
        </w:rPr>
        <w:t>Negeri</w:t>
      </w:r>
      <w:r w:rsidR="00A954D0">
        <w:rPr>
          <w:rFonts w:ascii="Bookman Old Style" w:hAnsi="Bookman Old Style"/>
          <w:sz w:val="24"/>
          <w:szCs w:val="24"/>
        </w:rPr>
        <w:t xml:space="preserve"> </w:t>
      </w:r>
      <w:r w:rsidRPr="000F549C">
        <w:rPr>
          <w:rFonts w:ascii="Bookman Old Style" w:hAnsi="Bookman Old Style"/>
          <w:sz w:val="24"/>
          <w:szCs w:val="24"/>
        </w:rPr>
        <w:t>Nomor</w:t>
      </w:r>
      <w:r w:rsidR="00A954D0">
        <w:rPr>
          <w:rFonts w:ascii="Bookman Old Style" w:hAnsi="Bookman Old Style"/>
          <w:sz w:val="24"/>
          <w:szCs w:val="24"/>
        </w:rPr>
        <w:t xml:space="preserve"> </w:t>
      </w:r>
      <w:r w:rsidRPr="000F549C">
        <w:rPr>
          <w:rFonts w:ascii="Bookman Old Style" w:hAnsi="Bookman Old Style"/>
          <w:sz w:val="24"/>
          <w:szCs w:val="24"/>
        </w:rPr>
        <w:t>15</w:t>
      </w:r>
      <w:r w:rsidR="00A954D0">
        <w:rPr>
          <w:rFonts w:ascii="Bookman Old Style" w:hAnsi="Bookman Old Style"/>
          <w:sz w:val="24"/>
          <w:szCs w:val="24"/>
        </w:rPr>
        <w:t xml:space="preserve"> </w:t>
      </w:r>
      <w:r w:rsidRPr="000F549C">
        <w:rPr>
          <w:rFonts w:ascii="Bookman Old Style" w:hAnsi="Bookman Old Style"/>
          <w:sz w:val="24"/>
          <w:szCs w:val="24"/>
        </w:rPr>
        <w:t>Tahun</w:t>
      </w:r>
      <w:r w:rsidR="00A954D0">
        <w:rPr>
          <w:rFonts w:ascii="Bookman Old Style" w:hAnsi="Bookman Old Style"/>
          <w:sz w:val="24"/>
          <w:szCs w:val="24"/>
        </w:rPr>
        <w:t xml:space="preserve"> </w:t>
      </w:r>
      <w:r w:rsidRPr="000F549C">
        <w:rPr>
          <w:rFonts w:ascii="Bookman Old Style" w:hAnsi="Bookman Old Style"/>
          <w:sz w:val="24"/>
          <w:szCs w:val="24"/>
        </w:rPr>
        <w:t>2024</w:t>
      </w:r>
      <w:r w:rsidR="00A954D0">
        <w:rPr>
          <w:rFonts w:ascii="Bookman Old Style" w:hAnsi="Bookman Old Style"/>
          <w:sz w:val="24"/>
          <w:szCs w:val="24"/>
        </w:rPr>
        <w:t xml:space="preserve"> </w:t>
      </w:r>
      <w:r w:rsidRPr="000F549C">
        <w:rPr>
          <w:rFonts w:ascii="Bookman Old Style" w:hAnsi="Bookman Old Style"/>
          <w:sz w:val="24"/>
          <w:szCs w:val="24"/>
        </w:rPr>
        <w:t>tentang</w:t>
      </w:r>
      <w:r w:rsidR="00A954D0">
        <w:rPr>
          <w:rFonts w:ascii="Bookman Old Style" w:hAnsi="Bookman Old Style"/>
          <w:sz w:val="24"/>
          <w:szCs w:val="24"/>
        </w:rPr>
        <w:t xml:space="preserve"> </w:t>
      </w:r>
      <w:r w:rsidRPr="000F549C">
        <w:rPr>
          <w:rFonts w:ascii="Bookman Old Style" w:hAnsi="Bookman Old Style"/>
          <w:sz w:val="24"/>
          <w:szCs w:val="24"/>
        </w:rPr>
        <w:t>Pedoman</w:t>
      </w:r>
      <w:r w:rsidR="00A954D0">
        <w:rPr>
          <w:rFonts w:ascii="Bookman Old Style" w:hAnsi="Bookman Old Style"/>
          <w:sz w:val="24"/>
          <w:szCs w:val="24"/>
        </w:rPr>
        <w:t xml:space="preserve"> </w:t>
      </w:r>
      <w:r w:rsidRPr="000F549C">
        <w:rPr>
          <w:rFonts w:ascii="Bookman Old Style" w:hAnsi="Bookman Old Style"/>
          <w:sz w:val="24"/>
          <w:szCs w:val="24"/>
        </w:rPr>
        <w:t>Penyusunan</w:t>
      </w:r>
      <w:r w:rsidR="00A954D0">
        <w:rPr>
          <w:rFonts w:ascii="Bookman Old Style" w:hAnsi="Bookman Old Style"/>
          <w:sz w:val="24"/>
          <w:szCs w:val="24"/>
        </w:rPr>
        <w:t xml:space="preserve"> </w:t>
      </w:r>
      <w:r w:rsidRPr="000F549C">
        <w:rPr>
          <w:rFonts w:ascii="Bookman Old Style" w:hAnsi="Bookman Old Style"/>
          <w:sz w:val="24"/>
          <w:szCs w:val="24"/>
        </w:rPr>
        <w:t>Anggaran</w:t>
      </w:r>
      <w:r w:rsidR="00A954D0">
        <w:rPr>
          <w:rFonts w:ascii="Bookman Old Style" w:hAnsi="Bookman Old Style"/>
          <w:sz w:val="24"/>
          <w:szCs w:val="24"/>
        </w:rPr>
        <w:t xml:space="preserve"> </w:t>
      </w:r>
      <w:r w:rsidRPr="000F549C">
        <w:rPr>
          <w:rFonts w:ascii="Bookman Old Style" w:hAnsi="Bookman Old Style"/>
          <w:sz w:val="24"/>
          <w:szCs w:val="24"/>
        </w:rPr>
        <w:t>Pendapatan</w:t>
      </w:r>
      <w:r w:rsidR="00A954D0">
        <w:rPr>
          <w:rFonts w:ascii="Bookman Old Style" w:hAnsi="Bookman Old Style"/>
          <w:sz w:val="24"/>
          <w:szCs w:val="24"/>
        </w:rPr>
        <w:t xml:space="preserve"> </w:t>
      </w:r>
      <w:r w:rsidRPr="000F549C">
        <w:rPr>
          <w:rFonts w:ascii="Bookman Old Style" w:hAnsi="Bookman Old Style"/>
          <w:sz w:val="24"/>
          <w:szCs w:val="24"/>
        </w:rPr>
        <w:t>dan</w:t>
      </w:r>
      <w:r w:rsidR="00A954D0">
        <w:rPr>
          <w:rFonts w:ascii="Bookman Old Style" w:hAnsi="Bookman Old Style"/>
          <w:sz w:val="24"/>
          <w:szCs w:val="24"/>
        </w:rPr>
        <w:t xml:space="preserve"> </w:t>
      </w:r>
      <w:r w:rsidRPr="000F549C">
        <w:rPr>
          <w:rFonts w:ascii="Bookman Old Style" w:hAnsi="Bookman Old Style"/>
          <w:sz w:val="24"/>
          <w:szCs w:val="24"/>
        </w:rPr>
        <w:t>Belanja</w:t>
      </w:r>
      <w:r w:rsidR="00A954D0">
        <w:rPr>
          <w:rFonts w:ascii="Bookman Old Style" w:hAnsi="Bookman Old Style"/>
          <w:sz w:val="24"/>
          <w:szCs w:val="24"/>
        </w:rPr>
        <w:t xml:space="preserve"> </w:t>
      </w:r>
      <w:r w:rsidRPr="000F549C">
        <w:rPr>
          <w:rFonts w:ascii="Bookman Old Style" w:hAnsi="Bookman Old Style"/>
          <w:sz w:val="24"/>
          <w:szCs w:val="24"/>
        </w:rPr>
        <w:t>Daerah</w:t>
      </w:r>
      <w:r w:rsidR="00A954D0">
        <w:rPr>
          <w:rFonts w:ascii="Bookman Old Style" w:hAnsi="Bookman Old Style"/>
          <w:sz w:val="24"/>
          <w:szCs w:val="24"/>
        </w:rPr>
        <w:t xml:space="preserve"> </w:t>
      </w:r>
      <w:r w:rsidRPr="000F549C">
        <w:rPr>
          <w:rFonts w:ascii="Bookman Old Style" w:hAnsi="Bookman Old Style"/>
          <w:sz w:val="24"/>
          <w:szCs w:val="24"/>
        </w:rPr>
        <w:t>Tahun</w:t>
      </w:r>
      <w:r w:rsidR="00A954D0">
        <w:rPr>
          <w:rFonts w:ascii="Bookman Old Style" w:hAnsi="Bookman Old Style"/>
          <w:sz w:val="24"/>
          <w:szCs w:val="24"/>
        </w:rPr>
        <w:t xml:space="preserve"> </w:t>
      </w:r>
      <w:r w:rsidRPr="000F549C">
        <w:rPr>
          <w:rFonts w:ascii="Bookman Old Style" w:hAnsi="Bookman Old Style"/>
          <w:sz w:val="24"/>
          <w:szCs w:val="24"/>
        </w:rPr>
        <w:t>Anggaran</w:t>
      </w:r>
      <w:r w:rsidR="00A954D0">
        <w:rPr>
          <w:rFonts w:ascii="Bookman Old Style" w:hAnsi="Bookman Old Style"/>
          <w:sz w:val="24"/>
          <w:szCs w:val="24"/>
        </w:rPr>
        <w:t xml:space="preserve"> </w:t>
      </w:r>
      <w:r w:rsidRPr="000F549C">
        <w:rPr>
          <w:rFonts w:ascii="Bookman Old Style" w:hAnsi="Bookman Old Style"/>
          <w:sz w:val="24"/>
          <w:szCs w:val="24"/>
        </w:rPr>
        <w:t>2025</w:t>
      </w:r>
      <w:r w:rsidR="00A954D0">
        <w:rPr>
          <w:rFonts w:ascii="Bookman Old Style" w:hAnsi="Bookman Old Style"/>
          <w:sz w:val="24"/>
          <w:szCs w:val="24"/>
        </w:rPr>
        <w:t xml:space="preserve"> </w:t>
      </w:r>
      <w:r w:rsidRPr="000F549C">
        <w:rPr>
          <w:rFonts w:ascii="Bookman Old Style" w:hAnsi="Bookman Old Style"/>
          <w:sz w:val="24"/>
          <w:szCs w:val="24"/>
        </w:rPr>
        <w:t>(Berita</w:t>
      </w:r>
      <w:r w:rsidR="00A954D0">
        <w:rPr>
          <w:rFonts w:ascii="Bookman Old Style" w:hAnsi="Bookman Old Style"/>
          <w:sz w:val="24"/>
          <w:szCs w:val="24"/>
        </w:rPr>
        <w:t xml:space="preserve"> </w:t>
      </w:r>
      <w:r w:rsidRPr="000F549C">
        <w:rPr>
          <w:rFonts w:ascii="Bookman Old Style" w:hAnsi="Bookman Old Style"/>
          <w:sz w:val="24"/>
          <w:szCs w:val="24"/>
        </w:rPr>
        <w:t>Negara</w:t>
      </w:r>
      <w:r w:rsidR="00A954D0">
        <w:rPr>
          <w:rFonts w:ascii="Bookman Old Style" w:hAnsi="Bookman Old Style"/>
          <w:sz w:val="24"/>
          <w:szCs w:val="24"/>
        </w:rPr>
        <w:t xml:space="preserve"> </w:t>
      </w:r>
      <w:r w:rsidRPr="000F549C">
        <w:rPr>
          <w:rFonts w:ascii="Bookman Old Style" w:hAnsi="Bookman Old Style"/>
          <w:sz w:val="24"/>
          <w:szCs w:val="24"/>
        </w:rPr>
        <w:t>Republik</w:t>
      </w:r>
      <w:r w:rsidR="00A954D0">
        <w:rPr>
          <w:rFonts w:ascii="Bookman Old Style" w:hAnsi="Bookman Old Style"/>
          <w:sz w:val="24"/>
          <w:szCs w:val="24"/>
        </w:rPr>
        <w:t xml:space="preserve"> </w:t>
      </w:r>
      <w:r w:rsidRPr="000F549C">
        <w:rPr>
          <w:rFonts w:ascii="Bookman Old Style" w:hAnsi="Bookman Old Style"/>
          <w:sz w:val="24"/>
          <w:szCs w:val="24"/>
        </w:rPr>
        <w:t>Indonesia</w:t>
      </w:r>
      <w:r w:rsidR="00A954D0">
        <w:rPr>
          <w:rFonts w:ascii="Bookman Old Style" w:hAnsi="Bookman Old Style"/>
          <w:sz w:val="24"/>
          <w:szCs w:val="24"/>
        </w:rPr>
        <w:t xml:space="preserve"> </w:t>
      </w:r>
      <w:r w:rsidRPr="000F549C">
        <w:rPr>
          <w:rFonts w:ascii="Bookman Old Style" w:hAnsi="Bookman Old Style"/>
          <w:sz w:val="24"/>
          <w:szCs w:val="24"/>
        </w:rPr>
        <w:t>Tahun</w:t>
      </w:r>
      <w:r w:rsidR="00A954D0">
        <w:rPr>
          <w:rFonts w:ascii="Bookman Old Style" w:hAnsi="Bookman Old Style"/>
          <w:sz w:val="24"/>
          <w:szCs w:val="24"/>
        </w:rPr>
        <w:t xml:space="preserve"> </w:t>
      </w:r>
      <w:r w:rsidRPr="000F549C">
        <w:rPr>
          <w:rFonts w:ascii="Bookman Old Style" w:hAnsi="Bookman Old Style"/>
          <w:sz w:val="24"/>
          <w:szCs w:val="24"/>
        </w:rPr>
        <w:t>2024</w:t>
      </w:r>
      <w:r w:rsidR="00A954D0">
        <w:rPr>
          <w:rFonts w:ascii="Bookman Old Style" w:hAnsi="Bookman Old Style"/>
          <w:sz w:val="24"/>
          <w:szCs w:val="24"/>
        </w:rPr>
        <w:t xml:space="preserve"> </w:t>
      </w:r>
      <w:r w:rsidRPr="000F549C">
        <w:rPr>
          <w:rFonts w:ascii="Bookman Old Style" w:hAnsi="Bookman Old Style"/>
          <w:sz w:val="24"/>
          <w:szCs w:val="24"/>
        </w:rPr>
        <w:t>Nomor</w:t>
      </w:r>
      <w:r w:rsidR="00A954D0">
        <w:rPr>
          <w:rFonts w:ascii="Bookman Old Style" w:hAnsi="Bookman Old Style"/>
          <w:sz w:val="24"/>
          <w:szCs w:val="24"/>
        </w:rPr>
        <w:t xml:space="preserve"> </w:t>
      </w:r>
      <w:r w:rsidRPr="000F549C">
        <w:rPr>
          <w:rFonts w:ascii="Bookman Old Style" w:hAnsi="Bookman Old Style"/>
          <w:sz w:val="24"/>
          <w:szCs w:val="24"/>
        </w:rPr>
        <w:t>648)</w:t>
      </w:r>
      <w:r>
        <w:rPr>
          <w:rFonts w:ascii="Bookman Old Style" w:hAnsi="Bookman Old Style"/>
          <w:sz w:val="24"/>
          <w:szCs w:val="24"/>
        </w:rPr>
        <w:t>.</w:t>
      </w:r>
    </w:p>
    <w:p w14:paraId="5794A2AD" w14:textId="0C74B473" w:rsidR="006E2F8F" w:rsidRPr="00877C5F" w:rsidRDefault="006E2F8F">
      <w:pPr>
        <w:numPr>
          <w:ilvl w:val="0"/>
          <w:numId w:val="174"/>
        </w:numPr>
        <w:snapToGrid w:val="0"/>
        <w:spacing w:before="60" w:line="276" w:lineRule="auto"/>
        <w:ind w:left="1702" w:hanging="425"/>
        <w:jc w:val="both"/>
        <w:rPr>
          <w:rFonts w:ascii="Bookman Old Style" w:eastAsiaTheme="minorHAnsi" w:hAnsi="Bookman Old Style" w:cstheme="minorBidi"/>
        </w:rPr>
      </w:pPr>
      <w:r w:rsidRPr="00877C5F">
        <w:rPr>
          <w:rFonts w:ascii="Bookman Old Style" w:eastAsiaTheme="minorHAnsi" w:hAnsi="Bookman Old Style" w:cstheme="minorBidi"/>
        </w:rPr>
        <w:t>Batang</w:t>
      </w:r>
      <w:r w:rsidR="00A954D0">
        <w:rPr>
          <w:rFonts w:ascii="Bookman Old Style" w:eastAsiaTheme="minorHAnsi" w:hAnsi="Bookman Old Style" w:cstheme="minorBidi"/>
        </w:rPr>
        <w:t xml:space="preserve"> </w:t>
      </w:r>
      <w:r w:rsidRPr="00877C5F">
        <w:rPr>
          <w:rFonts w:ascii="Bookman Old Style" w:eastAsiaTheme="minorHAnsi" w:hAnsi="Bookman Old Style" w:cstheme="minorBidi"/>
        </w:rPr>
        <w:t>Tubuh</w:t>
      </w:r>
    </w:p>
    <w:p w14:paraId="7C31BA29" w14:textId="4DC4B2F5" w:rsidR="006E2F8F" w:rsidRDefault="006E2F8F" w:rsidP="004A784D">
      <w:pPr>
        <w:numPr>
          <w:ilvl w:val="0"/>
          <w:numId w:val="176"/>
        </w:numPr>
        <w:snapToGrid w:val="0"/>
        <w:spacing w:before="60" w:line="276" w:lineRule="auto"/>
        <w:ind w:left="2268" w:hanging="567"/>
        <w:jc w:val="both"/>
        <w:rPr>
          <w:rFonts w:ascii="Bookman Old Style" w:eastAsiaTheme="minorHAnsi" w:hAnsi="Bookman Old Style" w:cstheme="minorBidi"/>
          <w:lang w:val="sv-SE"/>
        </w:rPr>
      </w:pPr>
      <w:r w:rsidRPr="00877C5F">
        <w:rPr>
          <w:rFonts w:ascii="Bookman Old Style" w:eastAsiaTheme="minorHAnsi" w:hAnsi="Bookman Old Style" w:cstheme="minorBidi"/>
          <w:lang w:val="sv-SE"/>
        </w:rPr>
        <w:t>Pasal</w:t>
      </w:r>
      <w:r w:rsidR="00A954D0">
        <w:rPr>
          <w:rFonts w:ascii="Bookman Old Style" w:eastAsiaTheme="minorHAnsi" w:hAnsi="Bookman Old Style" w:cstheme="minorBidi"/>
          <w:lang w:val="sv-SE"/>
        </w:rPr>
        <w:t xml:space="preserve"> </w:t>
      </w:r>
      <w:r>
        <w:rPr>
          <w:rFonts w:ascii="Bookman Old Style" w:eastAsiaTheme="minorHAnsi" w:hAnsi="Bookman Old Style" w:cstheme="minorBidi"/>
          <w:lang w:val="sv-SE"/>
        </w:rPr>
        <w:t>1</w:t>
      </w:r>
      <w:r w:rsidR="00A954D0">
        <w:rPr>
          <w:rFonts w:ascii="Bookman Old Style" w:eastAsiaTheme="minorHAnsi" w:hAnsi="Bookman Old Style" w:cstheme="minorBidi"/>
          <w:lang w:val="sv-SE"/>
        </w:rPr>
        <w:t xml:space="preserve"> </w:t>
      </w:r>
      <w:r>
        <w:rPr>
          <w:rFonts w:ascii="Bookman Old Style" w:eastAsiaTheme="minorHAnsi" w:hAnsi="Bookman Old Style" w:cstheme="minorBidi"/>
          <w:lang w:val="sv-SE"/>
        </w:rPr>
        <w:t>angka</w:t>
      </w:r>
      <w:r w:rsidR="00A954D0">
        <w:rPr>
          <w:rFonts w:ascii="Bookman Old Style" w:eastAsiaTheme="minorHAnsi" w:hAnsi="Bookman Old Style" w:cstheme="minorBidi"/>
          <w:lang w:val="sv-SE"/>
        </w:rPr>
        <w:t xml:space="preserve"> </w:t>
      </w:r>
      <w:r>
        <w:rPr>
          <w:rFonts w:ascii="Bookman Old Style" w:eastAsiaTheme="minorHAnsi" w:hAnsi="Bookman Old Style" w:cstheme="minorBidi"/>
          <w:lang w:val="sv-SE"/>
        </w:rPr>
        <w:t>11</w:t>
      </w:r>
      <w:r w:rsidR="00A954D0">
        <w:rPr>
          <w:rFonts w:ascii="Bookman Old Style" w:eastAsiaTheme="minorHAnsi" w:hAnsi="Bookman Old Style" w:cstheme="minorBidi"/>
          <w:lang w:val="sv-SE"/>
        </w:rPr>
        <w:t xml:space="preserve"> </w:t>
      </w:r>
      <w:r w:rsidRPr="00877C5F">
        <w:rPr>
          <w:rFonts w:ascii="Bookman Old Style" w:eastAsiaTheme="minorHAnsi" w:hAnsi="Bookman Old Style" w:cstheme="minorBidi"/>
          <w:lang w:val="sv-SE"/>
        </w:rPr>
        <w:t>agar</w:t>
      </w:r>
      <w:r w:rsidR="00A954D0">
        <w:rPr>
          <w:rFonts w:ascii="Bookman Old Style" w:eastAsiaTheme="minorHAnsi" w:hAnsi="Bookman Old Style" w:cstheme="minorBidi"/>
          <w:lang w:val="sv-SE"/>
        </w:rPr>
        <w:t xml:space="preserve"> </w:t>
      </w:r>
      <w:r>
        <w:rPr>
          <w:rFonts w:ascii="Bookman Old Style" w:eastAsiaTheme="minorHAnsi" w:hAnsi="Bookman Old Style" w:cstheme="minorBidi"/>
          <w:lang w:val="sv-SE"/>
        </w:rPr>
        <w:t>diperbaiki</w:t>
      </w:r>
      <w:r w:rsidR="00A954D0">
        <w:rPr>
          <w:rFonts w:ascii="Bookman Old Style" w:eastAsiaTheme="minorHAnsi" w:hAnsi="Bookman Old Style" w:cstheme="minorBidi"/>
          <w:lang w:val="sv-SE"/>
        </w:rPr>
        <w:t xml:space="preserve"> </w:t>
      </w:r>
      <w:r>
        <w:rPr>
          <w:rFonts w:ascii="Bookman Old Style" w:eastAsiaTheme="minorHAnsi" w:hAnsi="Bookman Old Style" w:cstheme="minorBidi"/>
          <w:lang w:val="sv-SE"/>
        </w:rPr>
        <w:t>redaksionalnya</w:t>
      </w:r>
      <w:r w:rsidR="00A954D0">
        <w:rPr>
          <w:rFonts w:ascii="Bookman Old Style" w:eastAsiaTheme="minorHAnsi" w:hAnsi="Bookman Old Style" w:cstheme="minorBidi"/>
          <w:lang w:val="sv-SE"/>
        </w:rPr>
        <w:t xml:space="preserve"> </w:t>
      </w:r>
      <w:r>
        <w:rPr>
          <w:rFonts w:ascii="Bookman Old Style" w:eastAsiaTheme="minorHAnsi" w:hAnsi="Bookman Old Style" w:cstheme="minorBidi"/>
          <w:lang w:val="sv-SE"/>
        </w:rPr>
        <w:t>menjadi:</w:t>
      </w:r>
    </w:p>
    <w:p w14:paraId="1ABFA5A4" w14:textId="5B16822E" w:rsidR="006E2F8F" w:rsidRPr="003255BC" w:rsidRDefault="006E2F8F" w:rsidP="004A784D">
      <w:pPr>
        <w:snapToGrid w:val="0"/>
        <w:spacing w:before="60" w:line="276" w:lineRule="auto"/>
        <w:ind w:left="2268"/>
        <w:jc w:val="both"/>
        <w:rPr>
          <w:rFonts w:ascii="Bookman Old Style" w:hAnsi="Bookman Old Style"/>
          <w:lang w:val="sv-SE"/>
        </w:rPr>
      </w:pPr>
      <w:r w:rsidRPr="003255BC">
        <w:rPr>
          <w:rFonts w:ascii="Bookman Old Style" w:hAnsi="Bookman Old Style"/>
          <w:lang w:val="sv-SE"/>
        </w:rPr>
        <w:t>“Dana</w:t>
      </w:r>
      <w:r w:rsidR="00A954D0" w:rsidRPr="003255BC">
        <w:rPr>
          <w:rFonts w:ascii="Bookman Old Style" w:hAnsi="Bookman Old Style"/>
          <w:lang w:val="sv-SE"/>
        </w:rPr>
        <w:t xml:space="preserve"> </w:t>
      </w:r>
      <w:r w:rsidRPr="003255BC">
        <w:rPr>
          <w:rFonts w:ascii="Bookman Old Style" w:hAnsi="Bookman Old Style"/>
          <w:lang w:val="sv-SE"/>
        </w:rPr>
        <w:t>Transfer</w:t>
      </w:r>
      <w:r w:rsidR="00A954D0" w:rsidRPr="003255BC">
        <w:rPr>
          <w:rFonts w:ascii="Bookman Old Style" w:hAnsi="Bookman Old Style"/>
          <w:lang w:val="sv-SE"/>
        </w:rPr>
        <w:t xml:space="preserve"> </w:t>
      </w:r>
      <w:r w:rsidRPr="003255BC">
        <w:rPr>
          <w:rFonts w:ascii="Bookman Old Style" w:hAnsi="Bookman Old Style"/>
          <w:lang w:val="sv-SE"/>
        </w:rPr>
        <w:t>Umum</w:t>
      </w:r>
      <w:r w:rsidR="00A954D0" w:rsidRPr="003255BC">
        <w:rPr>
          <w:rFonts w:ascii="Bookman Old Style" w:hAnsi="Bookman Old Style"/>
          <w:lang w:val="sv-SE"/>
        </w:rPr>
        <w:t xml:space="preserve"> </w:t>
      </w:r>
      <w:r w:rsidRPr="003255BC">
        <w:rPr>
          <w:rFonts w:ascii="Bookman Old Style" w:hAnsi="Bookman Old Style"/>
          <w:lang w:val="sv-SE"/>
        </w:rPr>
        <w:t>adalah</w:t>
      </w:r>
      <w:r w:rsidR="00A954D0" w:rsidRPr="003255BC">
        <w:rPr>
          <w:rFonts w:ascii="Bookman Old Style" w:hAnsi="Bookman Old Style"/>
          <w:lang w:val="sv-SE"/>
        </w:rPr>
        <w:t xml:space="preserve"> </w:t>
      </w:r>
      <w:r w:rsidRPr="003255BC">
        <w:rPr>
          <w:rFonts w:ascii="Bookman Old Style" w:hAnsi="Bookman Old Style"/>
          <w:lang w:val="sv-SE"/>
        </w:rPr>
        <w:t>dana</w:t>
      </w:r>
      <w:r w:rsidR="00A954D0" w:rsidRPr="003255BC">
        <w:rPr>
          <w:rFonts w:ascii="Bookman Old Style" w:hAnsi="Bookman Old Style"/>
          <w:lang w:val="sv-SE"/>
        </w:rPr>
        <w:t xml:space="preserve"> </w:t>
      </w:r>
      <w:r w:rsidRPr="003255BC">
        <w:rPr>
          <w:rFonts w:ascii="Bookman Old Style" w:hAnsi="Bookman Old Style"/>
          <w:lang w:val="sv-SE"/>
        </w:rPr>
        <w:t>yang</w:t>
      </w:r>
      <w:r w:rsidR="00A954D0" w:rsidRPr="003255BC">
        <w:rPr>
          <w:rFonts w:ascii="Bookman Old Style" w:hAnsi="Bookman Old Style"/>
          <w:lang w:val="sv-SE"/>
        </w:rPr>
        <w:t xml:space="preserve"> </w:t>
      </w:r>
      <w:r w:rsidRPr="003255BC">
        <w:rPr>
          <w:rFonts w:ascii="Bookman Old Style" w:hAnsi="Bookman Old Style"/>
          <w:lang w:val="sv-SE"/>
        </w:rPr>
        <w:t>dialokasikan</w:t>
      </w:r>
      <w:r w:rsidR="00A954D0" w:rsidRPr="003255BC">
        <w:rPr>
          <w:rFonts w:ascii="Bookman Old Style" w:hAnsi="Bookman Old Style"/>
          <w:lang w:val="sv-SE"/>
        </w:rPr>
        <w:t xml:space="preserve"> </w:t>
      </w:r>
      <w:r w:rsidRPr="003255BC">
        <w:rPr>
          <w:rFonts w:ascii="Bookman Old Style" w:hAnsi="Bookman Old Style"/>
          <w:lang w:val="sv-SE"/>
        </w:rPr>
        <w:t>dalam</w:t>
      </w:r>
      <w:r w:rsidR="00A954D0" w:rsidRPr="003255BC">
        <w:rPr>
          <w:rFonts w:ascii="Bookman Old Style" w:hAnsi="Bookman Old Style"/>
          <w:lang w:val="sv-SE"/>
        </w:rPr>
        <w:t xml:space="preserve"> </w:t>
      </w:r>
      <w:r w:rsidRPr="003255BC">
        <w:rPr>
          <w:rFonts w:ascii="Bookman Old Style" w:hAnsi="Bookman Old Style"/>
          <w:b/>
          <w:bCs/>
          <w:lang w:val="sv-SE"/>
        </w:rPr>
        <w:t>Anggaran</w:t>
      </w:r>
      <w:r w:rsidR="00A954D0" w:rsidRPr="003255BC">
        <w:rPr>
          <w:rFonts w:ascii="Bookman Old Style" w:hAnsi="Bookman Old Style"/>
          <w:b/>
          <w:bCs/>
          <w:lang w:val="sv-SE"/>
        </w:rPr>
        <w:t xml:space="preserve"> </w:t>
      </w:r>
      <w:r w:rsidRPr="003255BC">
        <w:rPr>
          <w:rFonts w:ascii="Bookman Old Style" w:hAnsi="Bookman Old Style"/>
          <w:b/>
          <w:bCs/>
          <w:lang w:val="sv-SE"/>
        </w:rPr>
        <w:t>Pendapatan</w:t>
      </w:r>
      <w:r w:rsidR="00A954D0" w:rsidRPr="003255BC">
        <w:rPr>
          <w:rFonts w:ascii="Bookman Old Style" w:hAnsi="Bookman Old Style"/>
          <w:b/>
          <w:bCs/>
          <w:lang w:val="sv-SE"/>
        </w:rPr>
        <w:t xml:space="preserve"> </w:t>
      </w:r>
      <w:r w:rsidRPr="003255BC">
        <w:rPr>
          <w:rFonts w:ascii="Bookman Old Style" w:hAnsi="Bookman Old Style"/>
          <w:b/>
          <w:bCs/>
          <w:lang w:val="sv-SE"/>
        </w:rPr>
        <w:t>dan</w:t>
      </w:r>
      <w:r w:rsidR="00A954D0" w:rsidRPr="003255BC">
        <w:rPr>
          <w:rFonts w:ascii="Bookman Old Style" w:hAnsi="Bookman Old Style"/>
          <w:b/>
          <w:bCs/>
          <w:lang w:val="sv-SE"/>
        </w:rPr>
        <w:t xml:space="preserve"> </w:t>
      </w:r>
      <w:r w:rsidRPr="003255BC">
        <w:rPr>
          <w:rFonts w:ascii="Bookman Old Style" w:hAnsi="Bookman Old Style"/>
          <w:b/>
          <w:bCs/>
          <w:lang w:val="sv-SE"/>
        </w:rPr>
        <w:t>Belanja</w:t>
      </w:r>
      <w:r w:rsidR="00A954D0" w:rsidRPr="003255BC">
        <w:rPr>
          <w:rFonts w:ascii="Bookman Old Style" w:hAnsi="Bookman Old Style"/>
          <w:b/>
          <w:bCs/>
          <w:lang w:val="sv-SE"/>
        </w:rPr>
        <w:t xml:space="preserve"> </w:t>
      </w:r>
      <w:r w:rsidRPr="003255BC">
        <w:rPr>
          <w:rFonts w:ascii="Bookman Old Style" w:hAnsi="Bookman Old Style"/>
          <w:b/>
          <w:bCs/>
          <w:lang w:val="sv-SE"/>
        </w:rPr>
        <w:t>Negara</w:t>
      </w:r>
      <w:r w:rsidR="00A954D0" w:rsidRPr="003255BC">
        <w:rPr>
          <w:rFonts w:ascii="Bookman Old Style" w:hAnsi="Bookman Old Style"/>
          <w:lang w:val="sv-SE"/>
        </w:rPr>
        <w:t xml:space="preserve"> </w:t>
      </w:r>
      <w:r w:rsidRPr="003255BC">
        <w:rPr>
          <w:rFonts w:ascii="Bookman Old Style" w:hAnsi="Bookman Old Style"/>
          <w:lang w:val="sv-SE"/>
        </w:rPr>
        <w:t>kepada</w:t>
      </w:r>
      <w:r w:rsidR="00A954D0" w:rsidRPr="003255BC">
        <w:rPr>
          <w:rFonts w:ascii="Bookman Old Style" w:hAnsi="Bookman Old Style"/>
          <w:lang w:val="sv-SE"/>
        </w:rPr>
        <w:t xml:space="preserve"> </w:t>
      </w:r>
      <w:r w:rsidRPr="003255BC">
        <w:rPr>
          <w:rFonts w:ascii="Bookman Old Style" w:hAnsi="Bookman Old Style"/>
          <w:lang w:val="sv-SE"/>
        </w:rPr>
        <w:t>Daerah</w:t>
      </w:r>
      <w:r w:rsidR="00A954D0" w:rsidRPr="003255BC">
        <w:rPr>
          <w:rFonts w:ascii="Bookman Old Style" w:hAnsi="Bookman Old Style"/>
          <w:lang w:val="sv-SE"/>
        </w:rPr>
        <w:t xml:space="preserve"> </w:t>
      </w:r>
      <w:r w:rsidRPr="003255BC">
        <w:rPr>
          <w:rFonts w:ascii="Bookman Old Style" w:hAnsi="Bookman Old Style"/>
          <w:lang w:val="sv-SE"/>
        </w:rPr>
        <w:t>untuk</w:t>
      </w:r>
      <w:r w:rsidR="00A954D0" w:rsidRPr="003255BC">
        <w:rPr>
          <w:rFonts w:ascii="Bookman Old Style" w:hAnsi="Bookman Old Style"/>
          <w:lang w:val="sv-SE"/>
        </w:rPr>
        <w:t xml:space="preserve"> </w:t>
      </w:r>
      <w:r w:rsidRPr="003255BC">
        <w:rPr>
          <w:rFonts w:ascii="Bookman Old Style" w:hAnsi="Bookman Old Style"/>
          <w:lang w:val="sv-SE"/>
        </w:rPr>
        <w:t>digunakan</w:t>
      </w:r>
      <w:r w:rsidR="00A954D0" w:rsidRPr="003255BC">
        <w:rPr>
          <w:rFonts w:ascii="Bookman Old Style" w:hAnsi="Bookman Old Style"/>
          <w:lang w:val="sv-SE"/>
        </w:rPr>
        <w:t xml:space="preserve"> </w:t>
      </w:r>
      <w:r w:rsidRPr="003255BC">
        <w:rPr>
          <w:rFonts w:ascii="Bookman Old Style" w:hAnsi="Bookman Old Style"/>
          <w:lang w:val="sv-SE"/>
        </w:rPr>
        <w:t>sesuai</w:t>
      </w:r>
      <w:r w:rsidR="00A954D0" w:rsidRPr="003255BC">
        <w:rPr>
          <w:rFonts w:ascii="Bookman Old Style" w:hAnsi="Bookman Old Style"/>
          <w:lang w:val="sv-SE"/>
        </w:rPr>
        <w:t xml:space="preserve"> </w:t>
      </w:r>
      <w:r w:rsidRPr="003255BC">
        <w:rPr>
          <w:rFonts w:ascii="Bookman Old Style" w:hAnsi="Bookman Old Style"/>
          <w:lang w:val="sv-SE"/>
        </w:rPr>
        <w:t>dengan</w:t>
      </w:r>
      <w:r w:rsidR="00A954D0" w:rsidRPr="003255BC">
        <w:rPr>
          <w:rFonts w:ascii="Bookman Old Style" w:hAnsi="Bookman Old Style"/>
          <w:lang w:val="sv-SE"/>
        </w:rPr>
        <w:t xml:space="preserve"> </w:t>
      </w:r>
      <w:r w:rsidRPr="003255BC">
        <w:rPr>
          <w:rFonts w:ascii="Bookman Old Style" w:hAnsi="Bookman Old Style"/>
          <w:lang w:val="sv-SE"/>
        </w:rPr>
        <w:t>kewenangan</w:t>
      </w:r>
      <w:r w:rsidR="00A954D0" w:rsidRPr="003255BC">
        <w:rPr>
          <w:rFonts w:ascii="Bookman Old Style" w:hAnsi="Bookman Old Style"/>
          <w:lang w:val="sv-SE"/>
        </w:rPr>
        <w:t xml:space="preserve"> </w:t>
      </w:r>
      <w:r w:rsidRPr="003255BC">
        <w:rPr>
          <w:rFonts w:ascii="Bookman Old Style" w:hAnsi="Bookman Old Style"/>
          <w:lang w:val="sv-SE"/>
        </w:rPr>
        <w:t>Daerah</w:t>
      </w:r>
      <w:r w:rsidR="00A954D0" w:rsidRPr="003255BC">
        <w:rPr>
          <w:rFonts w:ascii="Bookman Old Style" w:hAnsi="Bookman Old Style"/>
          <w:lang w:val="sv-SE"/>
        </w:rPr>
        <w:t xml:space="preserve"> </w:t>
      </w:r>
      <w:r w:rsidRPr="003255BC">
        <w:rPr>
          <w:rFonts w:ascii="Bookman Old Style" w:hAnsi="Bookman Old Style"/>
          <w:lang w:val="sv-SE"/>
        </w:rPr>
        <w:t>guna</w:t>
      </w:r>
      <w:r w:rsidR="00A954D0" w:rsidRPr="003255BC">
        <w:rPr>
          <w:rFonts w:ascii="Bookman Old Style" w:hAnsi="Bookman Old Style"/>
          <w:lang w:val="sv-SE"/>
        </w:rPr>
        <w:t xml:space="preserve"> </w:t>
      </w:r>
      <w:r w:rsidRPr="003255BC">
        <w:rPr>
          <w:rFonts w:ascii="Bookman Old Style" w:hAnsi="Bookman Old Style"/>
          <w:lang w:val="sv-SE"/>
        </w:rPr>
        <w:t>mendanai</w:t>
      </w:r>
      <w:r w:rsidR="00A954D0" w:rsidRPr="003255BC">
        <w:rPr>
          <w:rFonts w:ascii="Bookman Old Style" w:hAnsi="Bookman Old Style"/>
          <w:lang w:val="sv-SE"/>
        </w:rPr>
        <w:t xml:space="preserve"> </w:t>
      </w:r>
      <w:r w:rsidRPr="003255BC">
        <w:rPr>
          <w:rFonts w:ascii="Bookman Old Style" w:hAnsi="Bookman Old Style"/>
          <w:lang w:val="sv-SE"/>
        </w:rPr>
        <w:t>kebutuhan</w:t>
      </w:r>
      <w:r w:rsidR="00A954D0" w:rsidRPr="003255BC">
        <w:rPr>
          <w:rFonts w:ascii="Bookman Old Style" w:hAnsi="Bookman Old Style"/>
          <w:lang w:val="sv-SE"/>
        </w:rPr>
        <w:t xml:space="preserve"> </w:t>
      </w:r>
      <w:r w:rsidRPr="003255BC">
        <w:rPr>
          <w:rFonts w:ascii="Bookman Old Style" w:hAnsi="Bookman Old Style"/>
          <w:lang w:val="sv-SE"/>
        </w:rPr>
        <w:t>Daerah</w:t>
      </w:r>
      <w:r w:rsidR="00A954D0" w:rsidRPr="003255BC">
        <w:rPr>
          <w:rFonts w:ascii="Bookman Old Style" w:hAnsi="Bookman Old Style"/>
          <w:lang w:val="sv-SE"/>
        </w:rPr>
        <w:t xml:space="preserve"> </w:t>
      </w:r>
      <w:r w:rsidRPr="003255BC">
        <w:rPr>
          <w:rFonts w:ascii="Bookman Old Style" w:hAnsi="Bookman Old Style"/>
          <w:lang w:val="sv-SE"/>
        </w:rPr>
        <w:t>dalam</w:t>
      </w:r>
      <w:r w:rsidR="00A954D0" w:rsidRPr="003255BC">
        <w:rPr>
          <w:rFonts w:ascii="Bookman Old Style" w:hAnsi="Bookman Old Style"/>
          <w:lang w:val="sv-SE"/>
        </w:rPr>
        <w:t xml:space="preserve"> </w:t>
      </w:r>
      <w:r w:rsidRPr="003255BC">
        <w:rPr>
          <w:rFonts w:ascii="Bookman Old Style" w:hAnsi="Bookman Old Style"/>
          <w:lang w:val="sv-SE"/>
        </w:rPr>
        <w:t>rangka</w:t>
      </w:r>
      <w:r w:rsidR="00A954D0" w:rsidRPr="003255BC">
        <w:rPr>
          <w:rFonts w:ascii="Bookman Old Style" w:hAnsi="Bookman Old Style"/>
          <w:lang w:val="sv-SE"/>
        </w:rPr>
        <w:t xml:space="preserve"> </w:t>
      </w:r>
      <w:r w:rsidRPr="003255BC">
        <w:rPr>
          <w:rFonts w:ascii="Bookman Old Style" w:hAnsi="Bookman Old Style"/>
          <w:lang w:val="sv-SE"/>
        </w:rPr>
        <w:t>pelaksanaan</w:t>
      </w:r>
      <w:r w:rsidR="00A954D0" w:rsidRPr="003255BC">
        <w:rPr>
          <w:rFonts w:ascii="Bookman Old Style" w:hAnsi="Bookman Old Style"/>
          <w:lang w:val="sv-SE"/>
        </w:rPr>
        <w:t xml:space="preserve"> </w:t>
      </w:r>
      <w:r w:rsidRPr="003255BC">
        <w:rPr>
          <w:rFonts w:ascii="Bookman Old Style" w:hAnsi="Bookman Old Style"/>
          <w:lang w:val="sv-SE"/>
        </w:rPr>
        <w:t>desentralisasi.”</w:t>
      </w:r>
    </w:p>
    <w:p w14:paraId="45424A09" w14:textId="27674C6E" w:rsidR="006E2F8F" w:rsidRDefault="006E2F8F" w:rsidP="004A784D">
      <w:pPr>
        <w:numPr>
          <w:ilvl w:val="0"/>
          <w:numId w:val="176"/>
        </w:numPr>
        <w:snapToGrid w:val="0"/>
        <w:spacing w:before="60" w:line="276" w:lineRule="auto"/>
        <w:ind w:left="2268" w:hanging="567"/>
        <w:jc w:val="both"/>
        <w:rPr>
          <w:rFonts w:ascii="Bookman Old Style" w:eastAsiaTheme="minorHAnsi" w:hAnsi="Bookman Old Style" w:cstheme="minorBidi"/>
          <w:lang w:val="sv-SE"/>
        </w:rPr>
      </w:pPr>
      <w:r>
        <w:rPr>
          <w:rFonts w:ascii="Bookman Old Style" w:eastAsiaTheme="minorHAnsi" w:hAnsi="Bookman Old Style" w:cstheme="minorBidi"/>
          <w:lang w:val="sv-SE"/>
        </w:rPr>
        <w:t>Pasal</w:t>
      </w:r>
      <w:r w:rsidR="00A954D0">
        <w:rPr>
          <w:rFonts w:ascii="Bookman Old Style" w:eastAsiaTheme="minorHAnsi" w:hAnsi="Bookman Old Style" w:cstheme="minorBidi"/>
          <w:lang w:val="sv-SE"/>
        </w:rPr>
        <w:t xml:space="preserve"> </w:t>
      </w:r>
      <w:r>
        <w:rPr>
          <w:rFonts w:ascii="Bookman Old Style" w:eastAsiaTheme="minorHAnsi" w:hAnsi="Bookman Old Style" w:cstheme="minorBidi"/>
          <w:lang w:val="sv-SE"/>
        </w:rPr>
        <w:t>1</w:t>
      </w:r>
      <w:r w:rsidR="00A954D0">
        <w:rPr>
          <w:rFonts w:ascii="Bookman Old Style" w:eastAsiaTheme="minorHAnsi" w:hAnsi="Bookman Old Style" w:cstheme="minorBidi"/>
          <w:lang w:val="sv-SE"/>
        </w:rPr>
        <w:t xml:space="preserve"> </w:t>
      </w:r>
      <w:r>
        <w:rPr>
          <w:rFonts w:ascii="Bookman Old Style" w:eastAsiaTheme="minorHAnsi" w:hAnsi="Bookman Old Style" w:cstheme="minorBidi"/>
          <w:lang w:val="sv-SE"/>
        </w:rPr>
        <w:t>angka</w:t>
      </w:r>
      <w:r w:rsidR="00A954D0">
        <w:rPr>
          <w:rFonts w:ascii="Bookman Old Style" w:eastAsiaTheme="minorHAnsi" w:hAnsi="Bookman Old Style" w:cstheme="minorBidi"/>
          <w:lang w:val="sv-SE"/>
        </w:rPr>
        <w:t xml:space="preserve"> </w:t>
      </w:r>
      <w:r>
        <w:rPr>
          <w:rFonts w:ascii="Bookman Old Style" w:eastAsiaTheme="minorHAnsi" w:hAnsi="Bookman Old Style" w:cstheme="minorBidi"/>
          <w:lang w:val="sv-SE"/>
        </w:rPr>
        <w:t>12</w:t>
      </w:r>
      <w:r w:rsidR="00A954D0">
        <w:rPr>
          <w:rFonts w:ascii="Bookman Old Style" w:eastAsiaTheme="minorHAnsi" w:hAnsi="Bookman Old Style" w:cstheme="minorBidi"/>
          <w:lang w:val="sv-SE"/>
        </w:rPr>
        <w:t xml:space="preserve"> </w:t>
      </w:r>
      <w:r>
        <w:rPr>
          <w:rFonts w:ascii="Bookman Old Style" w:eastAsiaTheme="minorHAnsi" w:hAnsi="Bookman Old Style" w:cstheme="minorBidi"/>
          <w:lang w:val="sv-SE"/>
        </w:rPr>
        <w:t>agar</w:t>
      </w:r>
      <w:r w:rsidR="00A954D0">
        <w:rPr>
          <w:rFonts w:ascii="Bookman Old Style" w:eastAsiaTheme="minorHAnsi" w:hAnsi="Bookman Old Style" w:cstheme="minorBidi"/>
          <w:lang w:val="sv-SE"/>
        </w:rPr>
        <w:t xml:space="preserve"> </w:t>
      </w:r>
      <w:r>
        <w:rPr>
          <w:rFonts w:ascii="Bookman Old Style" w:eastAsiaTheme="minorHAnsi" w:hAnsi="Bookman Old Style" w:cstheme="minorBidi"/>
          <w:lang w:val="sv-SE"/>
        </w:rPr>
        <w:t>diperbaiki</w:t>
      </w:r>
      <w:r w:rsidR="00A954D0">
        <w:rPr>
          <w:rFonts w:ascii="Bookman Old Style" w:eastAsiaTheme="minorHAnsi" w:hAnsi="Bookman Old Style" w:cstheme="minorBidi"/>
          <w:lang w:val="sv-SE"/>
        </w:rPr>
        <w:t xml:space="preserve"> </w:t>
      </w:r>
      <w:r>
        <w:rPr>
          <w:rFonts w:ascii="Bookman Old Style" w:eastAsiaTheme="minorHAnsi" w:hAnsi="Bookman Old Style" w:cstheme="minorBidi"/>
          <w:lang w:val="sv-SE"/>
        </w:rPr>
        <w:t>redaksionalnya</w:t>
      </w:r>
      <w:r w:rsidR="00A954D0">
        <w:rPr>
          <w:rFonts w:ascii="Bookman Old Style" w:eastAsiaTheme="minorHAnsi" w:hAnsi="Bookman Old Style" w:cstheme="minorBidi"/>
          <w:lang w:val="sv-SE"/>
        </w:rPr>
        <w:t xml:space="preserve"> </w:t>
      </w:r>
      <w:r>
        <w:rPr>
          <w:rFonts w:ascii="Bookman Old Style" w:eastAsiaTheme="minorHAnsi" w:hAnsi="Bookman Old Style" w:cstheme="minorBidi"/>
          <w:lang w:val="sv-SE"/>
        </w:rPr>
        <w:t>menjadi:</w:t>
      </w:r>
    </w:p>
    <w:p w14:paraId="1B1F23B9" w14:textId="799FDCF1" w:rsidR="006E2F8F" w:rsidRPr="005607AD" w:rsidRDefault="006E2F8F" w:rsidP="004A784D">
      <w:pPr>
        <w:snapToGrid w:val="0"/>
        <w:spacing w:before="60" w:line="276" w:lineRule="auto"/>
        <w:ind w:left="2268"/>
        <w:jc w:val="both"/>
        <w:rPr>
          <w:rFonts w:ascii="Bookman Old Style" w:eastAsiaTheme="minorHAnsi" w:hAnsi="Bookman Old Style" w:cstheme="minorBidi"/>
          <w:lang w:val="sv-SE"/>
        </w:rPr>
      </w:pPr>
      <w:r w:rsidRPr="003255BC">
        <w:rPr>
          <w:rFonts w:ascii="Bookman Old Style" w:hAnsi="Bookman Old Style"/>
          <w:lang w:val="sv-SE"/>
        </w:rPr>
        <w:t>“Dana</w:t>
      </w:r>
      <w:r w:rsidR="00A954D0" w:rsidRPr="003255BC">
        <w:rPr>
          <w:rFonts w:ascii="Bookman Old Style" w:hAnsi="Bookman Old Style"/>
          <w:lang w:val="sv-SE"/>
        </w:rPr>
        <w:t xml:space="preserve"> </w:t>
      </w:r>
      <w:r w:rsidRPr="003255BC">
        <w:rPr>
          <w:rFonts w:ascii="Bookman Old Style" w:hAnsi="Bookman Old Style"/>
          <w:lang w:val="sv-SE"/>
        </w:rPr>
        <w:t>Transfer</w:t>
      </w:r>
      <w:r w:rsidR="00A954D0" w:rsidRPr="003255BC">
        <w:rPr>
          <w:rFonts w:ascii="Bookman Old Style" w:hAnsi="Bookman Old Style"/>
          <w:lang w:val="sv-SE"/>
        </w:rPr>
        <w:t xml:space="preserve"> </w:t>
      </w:r>
      <w:r w:rsidRPr="003255BC">
        <w:rPr>
          <w:rFonts w:ascii="Bookman Old Style" w:hAnsi="Bookman Old Style"/>
          <w:lang w:val="sv-SE"/>
        </w:rPr>
        <w:t>Khusus</w:t>
      </w:r>
      <w:r w:rsidR="00A954D0" w:rsidRPr="003255BC">
        <w:rPr>
          <w:rFonts w:ascii="Bookman Old Style" w:hAnsi="Bookman Old Style"/>
          <w:lang w:val="sv-SE"/>
        </w:rPr>
        <w:t xml:space="preserve"> </w:t>
      </w:r>
      <w:r w:rsidRPr="003255BC">
        <w:rPr>
          <w:rFonts w:ascii="Bookman Old Style" w:hAnsi="Bookman Old Style"/>
          <w:lang w:val="sv-SE"/>
        </w:rPr>
        <w:t>adalah</w:t>
      </w:r>
      <w:r w:rsidR="00A954D0" w:rsidRPr="003255BC">
        <w:rPr>
          <w:rFonts w:ascii="Bookman Old Style" w:hAnsi="Bookman Old Style"/>
          <w:lang w:val="sv-SE"/>
        </w:rPr>
        <w:t xml:space="preserve"> </w:t>
      </w:r>
      <w:r w:rsidRPr="003255BC">
        <w:rPr>
          <w:rFonts w:ascii="Bookman Old Style" w:hAnsi="Bookman Old Style"/>
          <w:lang w:val="sv-SE"/>
        </w:rPr>
        <w:t>dana</w:t>
      </w:r>
      <w:r w:rsidR="00A954D0" w:rsidRPr="003255BC">
        <w:rPr>
          <w:rFonts w:ascii="Bookman Old Style" w:hAnsi="Bookman Old Style"/>
          <w:lang w:val="sv-SE"/>
        </w:rPr>
        <w:t xml:space="preserve"> </w:t>
      </w:r>
      <w:r w:rsidRPr="003255BC">
        <w:rPr>
          <w:rFonts w:ascii="Bookman Old Style" w:hAnsi="Bookman Old Style"/>
          <w:lang w:val="sv-SE"/>
        </w:rPr>
        <w:t>yang</w:t>
      </w:r>
      <w:r w:rsidR="00A954D0" w:rsidRPr="003255BC">
        <w:rPr>
          <w:rFonts w:ascii="Bookman Old Style" w:hAnsi="Bookman Old Style"/>
          <w:lang w:val="sv-SE"/>
        </w:rPr>
        <w:t xml:space="preserve"> </w:t>
      </w:r>
      <w:r w:rsidRPr="003255BC">
        <w:rPr>
          <w:rFonts w:ascii="Bookman Old Style" w:hAnsi="Bookman Old Style"/>
          <w:lang w:val="sv-SE"/>
        </w:rPr>
        <w:t>dialokasikan</w:t>
      </w:r>
      <w:r w:rsidR="00A954D0" w:rsidRPr="003255BC">
        <w:rPr>
          <w:rFonts w:ascii="Bookman Old Style" w:hAnsi="Bookman Old Style"/>
          <w:lang w:val="sv-SE"/>
        </w:rPr>
        <w:t xml:space="preserve"> </w:t>
      </w:r>
      <w:r w:rsidRPr="003255BC">
        <w:rPr>
          <w:rFonts w:ascii="Bookman Old Style" w:hAnsi="Bookman Old Style"/>
          <w:lang w:val="sv-SE"/>
        </w:rPr>
        <w:t>dalam</w:t>
      </w:r>
      <w:r w:rsidR="00A954D0" w:rsidRPr="003255BC">
        <w:rPr>
          <w:rFonts w:ascii="Bookman Old Style" w:hAnsi="Bookman Old Style"/>
          <w:lang w:val="sv-SE"/>
        </w:rPr>
        <w:t xml:space="preserve"> </w:t>
      </w:r>
      <w:r w:rsidRPr="003255BC">
        <w:rPr>
          <w:rFonts w:ascii="Bookman Old Style" w:hAnsi="Bookman Old Style"/>
          <w:b/>
          <w:bCs/>
          <w:lang w:val="sv-SE"/>
        </w:rPr>
        <w:t>Anggaran</w:t>
      </w:r>
      <w:r w:rsidR="00A954D0" w:rsidRPr="003255BC">
        <w:rPr>
          <w:rFonts w:ascii="Bookman Old Style" w:hAnsi="Bookman Old Style"/>
          <w:b/>
          <w:bCs/>
          <w:lang w:val="sv-SE"/>
        </w:rPr>
        <w:t xml:space="preserve"> </w:t>
      </w:r>
      <w:r w:rsidRPr="003255BC">
        <w:rPr>
          <w:rFonts w:ascii="Bookman Old Style" w:hAnsi="Bookman Old Style"/>
          <w:b/>
          <w:bCs/>
          <w:lang w:val="sv-SE"/>
        </w:rPr>
        <w:t>Pendapatan</w:t>
      </w:r>
      <w:r w:rsidR="00A954D0" w:rsidRPr="003255BC">
        <w:rPr>
          <w:rFonts w:ascii="Bookman Old Style" w:hAnsi="Bookman Old Style"/>
          <w:b/>
          <w:bCs/>
          <w:lang w:val="sv-SE"/>
        </w:rPr>
        <w:t xml:space="preserve"> </w:t>
      </w:r>
      <w:r w:rsidRPr="003255BC">
        <w:rPr>
          <w:rFonts w:ascii="Bookman Old Style" w:hAnsi="Bookman Old Style"/>
          <w:b/>
          <w:bCs/>
          <w:lang w:val="sv-SE"/>
        </w:rPr>
        <w:t>dan</w:t>
      </w:r>
      <w:r w:rsidR="00A954D0" w:rsidRPr="003255BC">
        <w:rPr>
          <w:rFonts w:ascii="Bookman Old Style" w:hAnsi="Bookman Old Style"/>
          <w:b/>
          <w:bCs/>
          <w:lang w:val="sv-SE"/>
        </w:rPr>
        <w:t xml:space="preserve"> </w:t>
      </w:r>
      <w:r w:rsidRPr="003255BC">
        <w:rPr>
          <w:rFonts w:ascii="Bookman Old Style" w:hAnsi="Bookman Old Style"/>
          <w:b/>
          <w:bCs/>
          <w:lang w:val="sv-SE"/>
        </w:rPr>
        <w:t>Belanja</w:t>
      </w:r>
      <w:r w:rsidR="00A954D0" w:rsidRPr="003255BC">
        <w:rPr>
          <w:rFonts w:ascii="Bookman Old Style" w:hAnsi="Bookman Old Style"/>
          <w:b/>
          <w:bCs/>
          <w:lang w:val="sv-SE"/>
        </w:rPr>
        <w:t xml:space="preserve"> </w:t>
      </w:r>
      <w:r w:rsidRPr="003255BC">
        <w:rPr>
          <w:rFonts w:ascii="Bookman Old Style" w:hAnsi="Bookman Old Style"/>
          <w:b/>
          <w:bCs/>
          <w:lang w:val="sv-SE"/>
        </w:rPr>
        <w:t>Negara</w:t>
      </w:r>
      <w:r w:rsidR="00A954D0" w:rsidRPr="003255BC">
        <w:rPr>
          <w:rFonts w:ascii="Bookman Old Style" w:hAnsi="Bookman Old Style"/>
          <w:lang w:val="sv-SE"/>
        </w:rPr>
        <w:t xml:space="preserve"> </w:t>
      </w:r>
      <w:r w:rsidRPr="003255BC">
        <w:rPr>
          <w:rFonts w:ascii="Bookman Old Style" w:hAnsi="Bookman Old Style"/>
          <w:lang w:val="sv-SE"/>
        </w:rPr>
        <w:t>kepada</w:t>
      </w:r>
      <w:r w:rsidR="00A954D0" w:rsidRPr="003255BC">
        <w:rPr>
          <w:rFonts w:ascii="Bookman Old Style" w:hAnsi="Bookman Old Style"/>
          <w:lang w:val="sv-SE"/>
        </w:rPr>
        <w:t xml:space="preserve"> </w:t>
      </w:r>
      <w:r w:rsidRPr="003255BC">
        <w:rPr>
          <w:rFonts w:ascii="Bookman Old Style" w:hAnsi="Bookman Old Style"/>
          <w:lang w:val="sv-SE"/>
        </w:rPr>
        <w:t>Daerah</w:t>
      </w:r>
      <w:r w:rsidR="00A954D0" w:rsidRPr="003255BC">
        <w:rPr>
          <w:rFonts w:ascii="Bookman Old Style" w:hAnsi="Bookman Old Style"/>
          <w:lang w:val="sv-SE"/>
        </w:rPr>
        <w:t xml:space="preserve"> </w:t>
      </w:r>
      <w:r w:rsidRPr="003255BC">
        <w:rPr>
          <w:rFonts w:ascii="Bookman Old Style" w:hAnsi="Bookman Old Style"/>
          <w:lang w:val="sv-SE"/>
        </w:rPr>
        <w:t>dengan</w:t>
      </w:r>
      <w:r w:rsidR="00A954D0" w:rsidRPr="003255BC">
        <w:rPr>
          <w:rFonts w:ascii="Bookman Old Style" w:hAnsi="Bookman Old Style"/>
          <w:lang w:val="sv-SE"/>
        </w:rPr>
        <w:t xml:space="preserve"> </w:t>
      </w:r>
      <w:r w:rsidRPr="003255BC">
        <w:rPr>
          <w:rFonts w:ascii="Bookman Old Style" w:hAnsi="Bookman Old Style"/>
          <w:lang w:val="sv-SE"/>
        </w:rPr>
        <w:t>tujuan</w:t>
      </w:r>
      <w:r w:rsidR="00A954D0" w:rsidRPr="003255BC">
        <w:rPr>
          <w:rFonts w:ascii="Bookman Old Style" w:hAnsi="Bookman Old Style"/>
          <w:lang w:val="sv-SE"/>
        </w:rPr>
        <w:t xml:space="preserve"> </w:t>
      </w:r>
      <w:r w:rsidRPr="003255BC">
        <w:rPr>
          <w:rFonts w:ascii="Bookman Old Style" w:hAnsi="Bookman Old Style"/>
          <w:lang w:val="sv-SE"/>
        </w:rPr>
        <w:t>untuk</w:t>
      </w:r>
      <w:r w:rsidR="00A954D0" w:rsidRPr="003255BC">
        <w:rPr>
          <w:rFonts w:ascii="Bookman Old Style" w:hAnsi="Bookman Old Style"/>
          <w:lang w:val="sv-SE"/>
        </w:rPr>
        <w:t xml:space="preserve"> </w:t>
      </w:r>
      <w:r w:rsidRPr="003255BC">
        <w:rPr>
          <w:rFonts w:ascii="Bookman Old Style" w:hAnsi="Bookman Old Style"/>
          <w:lang w:val="sv-SE"/>
        </w:rPr>
        <w:t>membantu</w:t>
      </w:r>
      <w:r w:rsidR="00A954D0" w:rsidRPr="003255BC">
        <w:rPr>
          <w:rFonts w:ascii="Bookman Old Style" w:hAnsi="Bookman Old Style"/>
          <w:lang w:val="sv-SE"/>
        </w:rPr>
        <w:t xml:space="preserve"> </w:t>
      </w:r>
      <w:r w:rsidRPr="003255BC">
        <w:rPr>
          <w:rFonts w:ascii="Bookman Old Style" w:hAnsi="Bookman Old Style"/>
          <w:lang w:val="sv-SE"/>
        </w:rPr>
        <w:t>mendanai</w:t>
      </w:r>
      <w:r w:rsidR="00A954D0" w:rsidRPr="003255BC">
        <w:rPr>
          <w:rFonts w:ascii="Bookman Old Style" w:hAnsi="Bookman Old Style"/>
          <w:lang w:val="sv-SE"/>
        </w:rPr>
        <w:t xml:space="preserve"> </w:t>
      </w:r>
      <w:r w:rsidRPr="003255BC">
        <w:rPr>
          <w:rFonts w:ascii="Bookman Old Style" w:hAnsi="Bookman Old Style"/>
          <w:lang w:val="sv-SE"/>
        </w:rPr>
        <w:t>kegiatan</w:t>
      </w:r>
      <w:r w:rsidR="00A954D0" w:rsidRPr="003255BC">
        <w:rPr>
          <w:rFonts w:ascii="Bookman Old Style" w:hAnsi="Bookman Old Style"/>
          <w:lang w:val="sv-SE"/>
        </w:rPr>
        <w:t xml:space="preserve"> </w:t>
      </w:r>
      <w:r w:rsidRPr="003255BC">
        <w:rPr>
          <w:rFonts w:ascii="Bookman Old Style" w:hAnsi="Bookman Old Style"/>
          <w:lang w:val="sv-SE"/>
        </w:rPr>
        <w:t>khusus,</w:t>
      </w:r>
      <w:r w:rsidR="00A954D0" w:rsidRPr="003255BC">
        <w:rPr>
          <w:rFonts w:ascii="Bookman Old Style" w:hAnsi="Bookman Old Style"/>
          <w:lang w:val="sv-SE"/>
        </w:rPr>
        <w:t xml:space="preserve"> </w:t>
      </w:r>
      <w:r w:rsidRPr="003255BC">
        <w:rPr>
          <w:rFonts w:ascii="Bookman Old Style" w:hAnsi="Bookman Old Style"/>
          <w:lang w:val="sv-SE"/>
        </w:rPr>
        <w:t>baik</w:t>
      </w:r>
      <w:r w:rsidR="00A954D0" w:rsidRPr="003255BC">
        <w:rPr>
          <w:rFonts w:ascii="Bookman Old Style" w:hAnsi="Bookman Old Style"/>
          <w:lang w:val="sv-SE"/>
        </w:rPr>
        <w:t xml:space="preserve"> </w:t>
      </w:r>
      <w:r w:rsidRPr="003255BC">
        <w:rPr>
          <w:rFonts w:ascii="Bookman Old Style" w:hAnsi="Bookman Old Style"/>
          <w:lang w:val="sv-SE"/>
        </w:rPr>
        <w:t>fisik</w:t>
      </w:r>
      <w:r w:rsidR="00A954D0" w:rsidRPr="003255BC">
        <w:rPr>
          <w:rFonts w:ascii="Bookman Old Style" w:hAnsi="Bookman Old Style"/>
          <w:lang w:val="sv-SE"/>
        </w:rPr>
        <w:t xml:space="preserve"> </w:t>
      </w:r>
      <w:r w:rsidRPr="003255BC">
        <w:rPr>
          <w:rFonts w:ascii="Bookman Old Style" w:hAnsi="Bookman Old Style"/>
          <w:lang w:val="sv-SE"/>
        </w:rPr>
        <w:t>maupun</w:t>
      </w:r>
      <w:r w:rsidR="00A954D0" w:rsidRPr="003255BC">
        <w:rPr>
          <w:rFonts w:ascii="Bookman Old Style" w:hAnsi="Bookman Old Style"/>
          <w:lang w:val="sv-SE"/>
        </w:rPr>
        <w:t xml:space="preserve"> </w:t>
      </w:r>
      <w:r w:rsidRPr="003255BC">
        <w:rPr>
          <w:rFonts w:ascii="Bookman Old Style" w:hAnsi="Bookman Old Style"/>
          <w:lang w:val="sv-SE"/>
        </w:rPr>
        <w:t>nonfisik</w:t>
      </w:r>
      <w:r w:rsidR="00A954D0" w:rsidRPr="003255BC">
        <w:rPr>
          <w:rFonts w:ascii="Bookman Old Style" w:hAnsi="Bookman Old Style"/>
          <w:lang w:val="sv-SE"/>
        </w:rPr>
        <w:t xml:space="preserve"> </w:t>
      </w:r>
      <w:r w:rsidRPr="003255BC">
        <w:rPr>
          <w:rFonts w:ascii="Bookman Old Style" w:hAnsi="Bookman Old Style"/>
          <w:lang w:val="sv-SE"/>
        </w:rPr>
        <w:t>yang</w:t>
      </w:r>
      <w:r w:rsidR="00A954D0" w:rsidRPr="003255BC">
        <w:rPr>
          <w:rFonts w:ascii="Bookman Old Style" w:hAnsi="Bookman Old Style"/>
          <w:lang w:val="sv-SE"/>
        </w:rPr>
        <w:t xml:space="preserve"> </w:t>
      </w:r>
      <w:r w:rsidRPr="003255BC">
        <w:rPr>
          <w:rFonts w:ascii="Bookman Old Style" w:hAnsi="Bookman Old Style"/>
          <w:lang w:val="sv-SE"/>
        </w:rPr>
        <w:t>merupakan</w:t>
      </w:r>
      <w:r w:rsidR="00A954D0" w:rsidRPr="003255BC">
        <w:rPr>
          <w:rFonts w:ascii="Bookman Old Style" w:hAnsi="Bookman Old Style"/>
          <w:lang w:val="sv-SE"/>
        </w:rPr>
        <w:t xml:space="preserve"> </w:t>
      </w:r>
      <w:r w:rsidRPr="003255BC">
        <w:rPr>
          <w:rFonts w:ascii="Bookman Old Style" w:hAnsi="Bookman Old Style"/>
          <w:lang w:val="sv-SE"/>
        </w:rPr>
        <w:t>urusan</w:t>
      </w:r>
      <w:r w:rsidR="00A954D0" w:rsidRPr="003255BC">
        <w:rPr>
          <w:rFonts w:ascii="Bookman Old Style" w:hAnsi="Bookman Old Style"/>
          <w:lang w:val="sv-SE"/>
        </w:rPr>
        <w:t xml:space="preserve"> </w:t>
      </w:r>
      <w:r w:rsidRPr="003255BC">
        <w:rPr>
          <w:rFonts w:ascii="Bookman Old Style" w:hAnsi="Bookman Old Style"/>
          <w:lang w:val="sv-SE"/>
        </w:rPr>
        <w:t>Daerah.”</w:t>
      </w:r>
    </w:p>
    <w:p w14:paraId="14AA2BA1" w14:textId="32A53008" w:rsidR="006E2F8F" w:rsidRPr="003255BC" w:rsidRDefault="006E2F8F" w:rsidP="004A784D">
      <w:pPr>
        <w:numPr>
          <w:ilvl w:val="0"/>
          <w:numId w:val="176"/>
        </w:numPr>
        <w:snapToGrid w:val="0"/>
        <w:spacing w:before="60" w:line="276" w:lineRule="auto"/>
        <w:ind w:left="2268" w:hanging="567"/>
        <w:jc w:val="both"/>
        <w:rPr>
          <w:rFonts w:ascii="Bookman Old Style" w:hAnsi="Bookman Old Style" w:cs="Tahoma"/>
          <w:lang w:val="sv-FI"/>
        </w:rPr>
      </w:pPr>
      <w:r w:rsidRPr="003255BC">
        <w:rPr>
          <w:rFonts w:ascii="Bookman Old Style" w:hAnsi="Bookman Old Style" w:cs="Tahoma"/>
          <w:lang w:val="sv-FI"/>
        </w:rPr>
        <w:t>Angka</w:t>
      </w:r>
      <w:r w:rsidR="00A954D0" w:rsidRPr="003255BC">
        <w:rPr>
          <w:rFonts w:ascii="Bookman Old Style" w:hAnsi="Bookman Old Style" w:cs="Tahoma"/>
          <w:lang w:val="sv-FI"/>
        </w:rPr>
        <w:t xml:space="preserve"> </w:t>
      </w:r>
      <w:r w:rsidRPr="003255BC">
        <w:rPr>
          <w:rFonts w:ascii="Bookman Old Style" w:hAnsi="Bookman Old Style" w:cs="Tahoma"/>
          <w:lang w:val="sv-FI"/>
        </w:rPr>
        <w:t>13</w:t>
      </w:r>
      <w:r w:rsidR="00A954D0" w:rsidRPr="003255BC">
        <w:rPr>
          <w:rFonts w:ascii="Bookman Old Style" w:hAnsi="Bookman Old Style" w:cs="Tahoma"/>
          <w:lang w:val="sv-FI"/>
        </w:rPr>
        <w:t xml:space="preserve"> </w:t>
      </w:r>
      <w:r w:rsidRPr="003255BC">
        <w:rPr>
          <w:rFonts w:ascii="Bookman Old Style" w:hAnsi="Bookman Old Style" w:cs="Tahoma"/>
          <w:lang w:val="sv-FI"/>
        </w:rPr>
        <w:t>agar</w:t>
      </w:r>
      <w:r w:rsidR="00A954D0" w:rsidRPr="003255BC">
        <w:rPr>
          <w:rFonts w:ascii="Bookman Old Style" w:hAnsi="Bookman Old Style" w:cs="Tahoma"/>
          <w:lang w:val="sv-FI"/>
        </w:rPr>
        <w:t xml:space="preserve"> </w:t>
      </w:r>
      <w:r w:rsidRPr="003255BC">
        <w:rPr>
          <w:rFonts w:ascii="Bookman Old Style" w:hAnsi="Bookman Old Style" w:cs="Tahoma"/>
          <w:lang w:val="sv-FI"/>
        </w:rPr>
        <w:t>diperbaiki</w:t>
      </w:r>
      <w:r w:rsidR="00A954D0" w:rsidRPr="003255BC">
        <w:rPr>
          <w:rFonts w:ascii="Bookman Old Style" w:hAnsi="Bookman Old Style" w:cs="Tahoma"/>
          <w:lang w:val="sv-FI"/>
        </w:rPr>
        <w:t xml:space="preserve"> </w:t>
      </w:r>
      <w:r w:rsidRPr="003255BC">
        <w:rPr>
          <w:rFonts w:ascii="Bookman Old Style" w:hAnsi="Bookman Old Style" w:cs="Tahoma"/>
          <w:lang w:val="sv-FI"/>
        </w:rPr>
        <w:t>redaksionalnya</w:t>
      </w:r>
      <w:r w:rsidR="00A954D0" w:rsidRPr="003255BC">
        <w:rPr>
          <w:rFonts w:ascii="Bookman Old Style" w:hAnsi="Bookman Old Style" w:cs="Tahoma"/>
          <w:lang w:val="sv-FI"/>
        </w:rPr>
        <w:t xml:space="preserve"> </w:t>
      </w:r>
      <w:r w:rsidRPr="003255BC">
        <w:rPr>
          <w:rFonts w:ascii="Bookman Old Style" w:hAnsi="Bookman Old Style" w:cs="Tahoma"/>
          <w:lang w:val="sv-FI"/>
        </w:rPr>
        <w:t>menjadi:</w:t>
      </w:r>
    </w:p>
    <w:p w14:paraId="5F587489" w14:textId="2F319315" w:rsidR="006E2F8F" w:rsidRPr="003255BC" w:rsidRDefault="006E2F8F" w:rsidP="004A784D">
      <w:pPr>
        <w:snapToGrid w:val="0"/>
        <w:spacing w:before="60" w:line="276" w:lineRule="auto"/>
        <w:ind w:left="2268"/>
        <w:jc w:val="both"/>
        <w:rPr>
          <w:rFonts w:ascii="Bookman Old Style" w:hAnsi="Bookman Old Style"/>
          <w:lang w:val="sv-FI"/>
        </w:rPr>
      </w:pPr>
      <w:r w:rsidRPr="003255BC">
        <w:rPr>
          <w:rFonts w:ascii="Bookman Old Style" w:hAnsi="Bookman Old Style" w:cs="Tahoma"/>
          <w:lang w:val="sv-FI"/>
        </w:rPr>
        <w:t>“</w:t>
      </w:r>
      <w:r w:rsidRPr="003255BC">
        <w:rPr>
          <w:rFonts w:ascii="Bookman Old Style" w:hAnsi="Bookman Old Style"/>
          <w:lang w:val="sv-FI"/>
        </w:rPr>
        <w:t>Dana</w:t>
      </w:r>
      <w:r w:rsidR="00A954D0" w:rsidRPr="003255BC">
        <w:rPr>
          <w:rFonts w:ascii="Bookman Old Style" w:hAnsi="Bookman Old Style"/>
          <w:lang w:val="sv-FI"/>
        </w:rPr>
        <w:t xml:space="preserve"> </w:t>
      </w:r>
      <w:r w:rsidRPr="003255BC">
        <w:rPr>
          <w:rFonts w:ascii="Bookman Old Style" w:hAnsi="Bookman Old Style"/>
          <w:lang w:val="sv-FI"/>
        </w:rPr>
        <w:t>Bagi</w:t>
      </w:r>
      <w:r w:rsidR="00A954D0" w:rsidRPr="003255BC">
        <w:rPr>
          <w:rFonts w:ascii="Bookman Old Style" w:hAnsi="Bookman Old Style"/>
          <w:lang w:val="sv-FI"/>
        </w:rPr>
        <w:t xml:space="preserve"> </w:t>
      </w:r>
      <w:r w:rsidRPr="003255BC">
        <w:rPr>
          <w:rFonts w:ascii="Bookman Old Style" w:hAnsi="Bookman Old Style"/>
          <w:lang w:val="sv-FI"/>
        </w:rPr>
        <w:t>Hasil</w:t>
      </w:r>
      <w:r w:rsidR="00A954D0" w:rsidRPr="003255BC">
        <w:rPr>
          <w:rFonts w:ascii="Bookman Old Style" w:hAnsi="Bookman Old Style"/>
          <w:lang w:val="sv-FI"/>
        </w:rPr>
        <w:t xml:space="preserve"> </w:t>
      </w:r>
      <w:r w:rsidRPr="003255BC">
        <w:rPr>
          <w:rFonts w:ascii="Bookman Old Style" w:hAnsi="Bookman Old Style"/>
          <w:lang w:val="sv-FI"/>
        </w:rPr>
        <w:t>yang</w:t>
      </w:r>
      <w:r w:rsidR="00A954D0" w:rsidRPr="003255BC">
        <w:rPr>
          <w:rFonts w:ascii="Bookman Old Style" w:hAnsi="Bookman Old Style"/>
          <w:lang w:val="sv-FI"/>
        </w:rPr>
        <w:t xml:space="preserve"> </w:t>
      </w:r>
      <w:r w:rsidRPr="003255BC">
        <w:rPr>
          <w:rFonts w:ascii="Bookman Old Style" w:hAnsi="Bookman Old Style"/>
          <w:lang w:val="sv-FI"/>
        </w:rPr>
        <w:t>selanjutnya</w:t>
      </w:r>
      <w:r w:rsidR="00A954D0" w:rsidRPr="003255BC">
        <w:rPr>
          <w:rFonts w:ascii="Bookman Old Style" w:hAnsi="Bookman Old Style"/>
          <w:lang w:val="sv-FI"/>
        </w:rPr>
        <w:t xml:space="preserve"> </w:t>
      </w:r>
      <w:r w:rsidRPr="003255BC">
        <w:rPr>
          <w:rFonts w:ascii="Bookman Old Style" w:hAnsi="Bookman Old Style"/>
          <w:lang w:val="sv-FI"/>
        </w:rPr>
        <w:t>disingkat</w:t>
      </w:r>
      <w:r w:rsidR="00A954D0" w:rsidRPr="003255BC">
        <w:rPr>
          <w:rFonts w:ascii="Bookman Old Style" w:hAnsi="Bookman Old Style"/>
          <w:lang w:val="sv-FI"/>
        </w:rPr>
        <w:t xml:space="preserve"> </w:t>
      </w:r>
      <w:r w:rsidRPr="003255BC">
        <w:rPr>
          <w:rFonts w:ascii="Bookman Old Style" w:hAnsi="Bookman Old Style"/>
          <w:lang w:val="sv-FI"/>
        </w:rPr>
        <w:t>DBH</w:t>
      </w:r>
      <w:r w:rsidR="00A954D0" w:rsidRPr="003255BC">
        <w:rPr>
          <w:rFonts w:ascii="Bookman Old Style" w:hAnsi="Bookman Old Style"/>
          <w:lang w:val="sv-FI"/>
        </w:rPr>
        <w:t xml:space="preserve"> </w:t>
      </w:r>
      <w:r w:rsidRPr="003255BC">
        <w:rPr>
          <w:rFonts w:ascii="Bookman Old Style" w:hAnsi="Bookman Old Style"/>
          <w:lang w:val="sv-FI"/>
        </w:rPr>
        <w:t>adalah</w:t>
      </w:r>
      <w:r w:rsidR="00A954D0" w:rsidRPr="003255BC">
        <w:rPr>
          <w:rFonts w:ascii="Bookman Old Style" w:hAnsi="Bookman Old Style"/>
          <w:lang w:val="sv-FI"/>
        </w:rPr>
        <w:t xml:space="preserve"> </w:t>
      </w:r>
      <w:r w:rsidRPr="003255BC">
        <w:rPr>
          <w:rFonts w:ascii="Bookman Old Style" w:hAnsi="Bookman Old Style"/>
          <w:lang w:val="sv-FI"/>
        </w:rPr>
        <w:t>dana</w:t>
      </w:r>
      <w:r w:rsidR="00A954D0" w:rsidRPr="003255BC">
        <w:rPr>
          <w:rFonts w:ascii="Bookman Old Style" w:hAnsi="Bookman Old Style"/>
          <w:lang w:val="sv-FI"/>
        </w:rPr>
        <w:t xml:space="preserve"> </w:t>
      </w:r>
      <w:r w:rsidRPr="003255BC">
        <w:rPr>
          <w:rFonts w:ascii="Bookman Old Style" w:hAnsi="Bookman Old Style"/>
          <w:lang w:val="sv-FI"/>
        </w:rPr>
        <w:t>yang</w:t>
      </w:r>
      <w:r w:rsidR="00A954D0" w:rsidRPr="003255BC">
        <w:rPr>
          <w:rFonts w:ascii="Bookman Old Style" w:hAnsi="Bookman Old Style"/>
          <w:lang w:val="sv-FI"/>
        </w:rPr>
        <w:t xml:space="preserve"> </w:t>
      </w:r>
      <w:r w:rsidRPr="003255BC">
        <w:rPr>
          <w:rFonts w:ascii="Bookman Old Style" w:hAnsi="Bookman Old Style"/>
          <w:lang w:val="sv-FI"/>
        </w:rPr>
        <w:t>bersumber</w:t>
      </w:r>
      <w:r w:rsidR="00A954D0" w:rsidRPr="003255BC">
        <w:rPr>
          <w:rFonts w:ascii="Bookman Old Style" w:hAnsi="Bookman Old Style"/>
          <w:lang w:val="sv-FI"/>
        </w:rPr>
        <w:t xml:space="preserve"> </w:t>
      </w:r>
      <w:r w:rsidRPr="003255BC">
        <w:rPr>
          <w:rFonts w:ascii="Bookman Old Style" w:hAnsi="Bookman Old Style"/>
          <w:lang w:val="sv-FI"/>
        </w:rPr>
        <w:t>dari</w:t>
      </w:r>
      <w:r w:rsidR="00A954D0" w:rsidRPr="003255BC">
        <w:rPr>
          <w:rFonts w:ascii="Bookman Old Style" w:hAnsi="Bookman Old Style"/>
          <w:lang w:val="sv-FI"/>
        </w:rPr>
        <w:t xml:space="preserve"> </w:t>
      </w:r>
      <w:r w:rsidRPr="003255BC">
        <w:rPr>
          <w:rFonts w:ascii="Bookman Old Style" w:hAnsi="Bookman Old Style"/>
          <w:lang w:val="sv-FI"/>
        </w:rPr>
        <w:t>pendapatan</w:t>
      </w:r>
      <w:r w:rsidR="00A954D0" w:rsidRPr="003255BC">
        <w:rPr>
          <w:rFonts w:ascii="Bookman Old Style" w:hAnsi="Bookman Old Style"/>
          <w:lang w:val="sv-FI"/>
        </w:rPr>
        <w:t xml:space="preserve"> </w:t>
      </w:r>
      <w:r w:rsidRPr="003255BC">
        <w:rPr>
          <w:rFonts w:ascii="Bookman Old Style" w:hAnsi="Bookman Old Style"/>
          <w:lang w:val="sv-FI"/>
        </w:rPr>
        <w:t>tertentu</w:t>
      </w:r>
      <w:r w:rsidR="00A954D0" w:rsidRPr="003255BC">
        <w:rPr>
          <w:rFonts w:ascii="Bookman Old Style" w:hAnsi="Bookman Old Style"/>
          <w:lang w:val="sv-FI"/>
        </w:rPr>
        <w:t xml:space="preserve"> </w:t>
      </w:r>
      <w:r w:rsidRPr="003255BC">
        <w:rPr>
          <w:rFonts w:ascii="Bookman Old Style" w:hAnsi="Bookman Old Style"/>
          <w:b/>
          <w:bCs/>
          <w:lang w:val="sv-FI"/>
        </w:rPr>
        <w:t>Anggaran</w:t>
      </w:r>
      <w:r w:rsidR="00A954D0" w:rsidRPr="003255BC">
        <w:rPr>
          <w:rFonts w:ascii="Bookman Old Style" w:hAnsi="Bookman Old Style"/>
          <w:b/>
          <w:bCs/>
          <w:lang w:val="sv-FI"/>
        </w:rPr>
        <w:t xml:space="preserve"> </w:t>
      </w:r>
      <w:r w:rsidRPr="003255BC">
        <w:rPr>
          <w:rFonts w:ascii="Bookman Old Style" w:hAnsi="Bookman Old Style"/>
          <w:b/>
          <w:bCs/>
          <w:lang w:val="sv-FI"/>
        </w:rPr>
        <w:t>Pendapatan</w:t>
      </w:r>
      <w:r w:rsidR="00A954D0" w:rsidRPr="003255BC">
        <w:rPr>
          <w:rFonts w:ascii="Bookman Old Style" w:hAnsi="Bookman Old Style"/>
          <w:b/>
          <w:bCs/>
          <w:lang w:val="sv-FI"/>
        </w:rPr>
        <w:t xml:space="preserve"> </w:t>
      </w:r>
      <w:r w:rsidRPr="003255BC">
        <w:rPr>
          <w:rFonts w:ascii="Bookman Old Style" w:hAnsi="Bookman Old Style"/>
          <w:b/>
          <w:bCs/>
          <w:lang w:val="sv-FI"/>
        </w:rPr>
        <w:t>dan</w:t>
      </w:r>
      <w:r w:rsidR="00A954D0" w:rsidRPr="003255BC">
        <w:rPr>
          <w:rFonts w:ascii="Bookman Old Style" w:hAnsi="Bookman Old Style"/>
          <w:b/>
          <w:bCs/>
          <w:lang w:val="sv-FI"/>
        </w:rPr>
        <w:t xml:space="preserve"> </w:t>
      </w:r>
      <w:r w:rsidRPr="003255BC">
        <w:rPr>
          <w:rFonts w:ascii="Bookman Old Style" w:hAnsi="Bookman Old Style"/>
          <w:b/>
          <w:bCs/>
          <w:lang w:val="sv-FI"/>
        </w:rPr>
        <w:t>Belanja</w:t>
      </w:r>
      <w:r w:rsidR="00A954D0" w:rsidRPr="003255BC">
        <w:rPr>
          <w:rFonts w:ascii="Bookman Old Style" w:hAnsi="Bookman Old Style"/>
          <w:b/>
          <w:bCs/>
          <w:lang w:val="sv-FI"/>
        </w:rPr>
        <w:t xml:space="preserve"> </w:t>
      </w:r>
      <w:r w:rsidRPr="003255BC">
        <w:rPr>
          <w:rFonts w:ascii="Bookman Old Style" w:hAnsi="Bookman Old Style"/>
          <w:b/>
          <w:bCs/>
          <w:lang w:val="sv-FI"/>
        </w:rPr>
        <w:t>Negara</w:t>
      </w:r>
      <w:r w:rsidR="00A954D0" w:rsidRPr="003255BC">
        <w:rPr>
          <w:rFonts w:ascii="Bookman Old Style" w:hAnsi="Bookman Old Style"/>
          <w:lang w:val="sv-FI"/>
        </w:rPr>
        <w:t xml:space="preserve"> </w:t>
      </w:r>
      <w:r w:rsidRPr="003255BC">
        <w:rPr>
          <w:rFonts w:ascii="Bookman Old Style" w:hAnsi="Bookman Old Style"/>
          <w:lang w:val="sv-FI"/>
        </w:rPr>
        <w:t>yang</w:t>
      </w:r>
      <w:r w:rsidR="00A954D0" w:rsidRPr="003255BC">
        <w:rPr>
          <w:rFonts w:ascii="Bookman Old Style" w:hAnsi="Bookman Old Style"/>
          <w:lang w:val="sv-FI"/>
        </w:rPr>
        <w:t xml:space="preserve"> </w:t>
      </w:r>
      <w:r w:rsidRPr="003255BC">
        <w:rPr>
          <w:rFonts w:ascii="Bookman Old Style" w:hAnsi="Bookman Old Style"/>
          <w:lang w:val="sv-FI"/>
        </w:rPr>
        <w:t>dialokasikan</w:t>
      </w:r>
      <w:r w:rsidR="00A954D0" w:rsidRPr="003255BC">
        <w:rPr>
          <w:rFonts w:ascii="Bookman Old Style" w:hAnsi="Bookman Old Style"/>
          <w:lang w:val="sv-FI"/>
        </w:rPr>
        <w:t xml:space="preserve"> </w:t>
      </w:r>
      <w:r w:rsidRPr="003255BC">
        <w:rPr>
          <w:rFonts w:ascii="Bookman Old Style" w:hAnsi="Bookman Old Style"/>
          <w:lang w:val="sv-FI"/>
        </w:rPr>
        <w:t>kepada</w:t>
      </w:r>
      <w:r w:rsidR="00A954D0" w:rsidRPr="003255BC">
        <w:rPr>
          <w:rFonts w:ascii="Bookman Old Style" w:hAnsi="Bookman Old Style"/>
          <w:lang w:val="sv-FI"/>
        </w:rPr>
        <w:t xml:space="preserve"> </w:t>
      </w:r>
      <w:r w:rsidRPr="003255BC">
        <w:rPr>
          <w:rFonts w:ascii="Bookman Old Style" w:hAnsi="Bookman Old Style"/>
          <w:lang w:val="sv-FI"/>
        </w:rPr>
        <w:t>Daerah</w:t>
      </w:r>
      <w:r w:rsidR="00A954D0" w:rsidRPr="003255BC">
        <w:rPr>
          <w:rFonts w:ascii="Bookman Old Style" w:hAnsi="Bookman Old Style"/>
          <w:lang w:val="sv-FI"/>
        </w:rPr>
        <w:t xml:space="preserve"> </w:t>
      </w:r>
      <w:r w:rsidRPr="003255BC">
        <w:rPr>
          <w:rFonts w:ascii="Bookman Old Style" w:hAnsi="Bookman Old Style"/>
          <w:lang w:val="sv-FI"/>
        </w:rPr>
        <w:t>penghasil</w:t>
      </w:r>
      <w:r w:rsidR="00A954D0" w:rsidRPr="003255BC">
        <w:rPr>
          <w:rFonts w:ascii="Bookman Old Style" w:hAnsi="Bookman Old Style"/>
          <w:lang w:val="sv-FI"/>
        </w:rPr>
        <w:t xml:space="preserve"> </w:t>
      </w:r>
      <w:r w:rsidRPr="003255BC">
        <w:rPr>
          <w:rFonts w:ascii="Bookman Old Style" w:hAnsi="Bookman Old Style"/>
          <w:lang w:val="sv-FI"/>
        </w:rPr>
        <w:t>berdasarkan</w:t>
      </w:r>
      <w:r w:rsidR="00A954D0" w:rsidRPr="003255BC">
        <w:rPr>
          <w:rFonts w:ascii="Bookman Old Style" w:hAnsi="Bookman Old Style"/>
          <w:lang w:val="sv-FI"/>
        </w:rPr>
        <w:t xml:space="preserve"> </w:t>
      </w:r>
      <w:r w:rsidRPr="003255BC">
        <w:rPr>
          <w:rFonts w:ascii="Bookman Old Style" w:hAnsi="Bookman Old Style"/>
          <w:lang w:val="sv-FI"/>
        </w:rPr>
        <w:t>angka</w:t>
      </w:r>
      <w:r w:rsidR="00A954D0" w:rsidRPr="003255BC">
        <w:rPr>
          <w:rFonts w:ascii="Bookman Old Style" w:hAnsi="Bookman Old Style"/>
          <w:lang w:val="sv-FI"/>
        </w:rPr>
        <w:t xml:space="preserve"> </w:t>
      </w:r>
      <w:r w:rsidRPr="003255BC">
        <w:rPr>
          <w:rFonts w:ascii="Bookman Old Style" w:hAnsi="Bookman Old Style"/>
          <w:lang w:val="sv-FI"/>
        </w:rPr>
        <w:t>persentase</w:t>
      </w:r>
      <w:r w:rsidR="00A954D0" w:rsidRPr="003255BC">
        <w:rPr>
          <w:rFonts w:ascii="Bookman Old Style" w:hAnsi="Bookman Old Style"/>
          <w:lang w:val="sv-FI"/>
        </w:rPr>
        <w:t xml:space="preserve"> </w:t>
      </w:r>
      <w:r w:rsidRPr="003255BC">
        <w:rPr>
          <w:rFonts w:ascii="Bookman Old Style" w:hAnsi="Bookman Old Style"/>
          <w:lang w:val="sv-FI"/>
        </w:rPr>
        <w:t>tertentu</w:t>
      </w:r>
      <w:r w:rsidR="00A954D0" w:rsidRPr="003255BC">
        <w:rPr>
          <w:rFonts w:ascii="Bookman Old Style" w:hAnsi="Bookman Old Style"/>
          <w:lang w:val="sv-FI"/>
        </w:rPr>
        <w:t xml:space="preserve"> </w:t>
      </w:r>
      <w:r w:rsidRPr="003255BC">
        <w:rPr>
          <w:rFonts w:ascii="Bookman Old Style" w:hAnsi="Bookman Old Style"/>
          <w:lang w:val="sv-FI"/>
        </w:rPr>
        <w:t>dengan</w:t>
      </w:r>
      <w:r w:rsidR="00A954D0" w:rsidRPr="003255BC">
        <w:rPr>
          <w:rFonts w:ascii="Bookman Old Style" w:hAnsi="Bookman Old Style"/>
          <w:lang w:val="sv-FI"/>
        </w:rPr>
        <w:t xml:space="preserve"> </w:t>
      </w:r>
      <w:r w:rsidRPr="003255BC">
        <w:rPr>
          <w:rFonts w:ascii="Bookman Old Style" w:hAnsi="Bookman Old Style"/>
          <w:lang w:val="sv-FI"/>
        </w:rPr>
        <w:t>tujuan</w:t>
      </w:r>
      <w:r w:rsidR="00A954D0" w:rsidRPr="003255BC">
        <w:rPr>
          <w:rFonts w:ascii="Bookman Old Style" w:hAnsi="Bookman Old Style"/>
          <w:lang w:val="sv-FI"/>
        </w:rPr>
        <w:t xml:space="preserve"> </w:t>
      </w:r>
      <w:r w:rsidRPr="003255BC">
        <w:rPr>
          <w:rFonts w:ascii="Bookman Old Style" w:hAnsi="Bookman Old Style"/>
          <w:lang w:val="sv-FI"/>
        </w:rPr>
        <w:t>mengurangi</w:t>
      </w:r>
      <w:r w:rsidR="00A954D0" w:rsidRPr="003255BC">
        <w:rPr>
          <w:rFonts w:ascii="Bookman Old Style" w:hAnsi="Bookman Old Style"/>
          <w:lang w:val="sv-FI"/>
        </w:rPr>
        <w:t xml:space="preserve"> </w:t>
      </w:r>
      <w:r w:rsidRPr="003255BC">
        <w:rPr>
          <w:rFonts w:ascii="Bookman Old Style" w:hAnsi="Bookman Old Style"/>
          <w:lang w:val="sv-FI"/>
        </w:rPr>
        <w:t>ketimpangan</w:t>
      </w:r>
      <w:r w:rsidR="00A954D0" w:rsidRPr="003255BC">
        <w:rPr>
          <w:rFonts w:ascii="Bookman Old Style" w:hAnsi="Bookman Old Style"/>
          <w:lang w:val="sv-FI"/>
        </w:rPr>
        <w:t xml:space="preserve"> </w:t>
      </w:r>
      <w:r w:rsidRPr="003255BC">
        <w:rPr>
          <w:rFonts w:ascii="Bookman Old Style" w:hAnsi="Bookman Old Style"/>
          <w:lang w:val="sv-FI"/>
        </w:rPr>
        <w:t>kemampuan</w:t>
      </w:r>
      <w:r w:rsidR="00A954D0" w:rsidRPr="003255BC">
        <w:rPr>
          <w:rFonts w:ascii="Bookman Old Style" w:hAnsi="Bookman Old Style"/>
          <w:lang w:val="sv-FI"/>
        </w:rPr>
        <w:t xml:space="preserve"> </w:t>
      </w:r>
      <w:r w:rsidRPr="003255BC">
        <w:rPr>
          <w:rFonts w:ascii="Bookman Old Style" w:hAnsi="Bookman Old Style"/>
          <w:lang w:val="sv-FI"/>
        </w:rPr>
        <w:t>keuangan</w:t>
      </w:r>
      <w:r w:rsidR="00A954D0" w:rsidRPr="003255BC">
        <w:rPr>
          <w:rFonts w:ascii="Bookman Old Style" w:hAnsi="Bookman Old Style"/>
          <w:lang w:val="sv-FI"/>
        </w:rPr>
        <w:t xml:space="preserve"> </w:t>
      </w:r>
      <w:r w:rsidRPr="003255BC">
        <w:rPr>
          <w:rFonts w:ascii="Bookman Old Style" w:hAnsi="Bookman Old Style"/>
          <w:lang w:val="sv-FI"/>
        </w:rPr>
        <w:t>antara</w:t>
      </w:r>
      <w:r w:rsidR="00A954D0" w:rsidRPr="003255BC">
        <w:rPr>
          <w:rFonts w:ascii="Bookman Old Style" w:hAnsi="Bookman Old Style"/>
          <w:lang w:val="sv-FI"/>
        </w:rPr>
        <w:t xml:space="preserve"> </w:t>
      </w:r>
      <w:r w:rsidRPr="003255BC">
        <w:rPr>
          <w:rFonts w:ascii="Bookman Old Style" w:hAnsi="Bookman Old Style"/>
          <w:lang w:val="sv-FI"/>
        </w:rPr>
        <w:t>Pemerintah</w:t>
      </w:r>
      <w:r w:rsidR="00A954D0" w:rsidRPr="003255BC">
        <w:rPr>
          <w:rFonts w:ascii="Bookman Old Style" w:hAnsi="Bookman Old Style"/>
          <w:lang w:val="sv-FI"/>
        </w:rPr>
        <w:t xml:space="preserve"> </w:t>
      </w:r>
      <w:r w:rsidRPr="003255BC">
        <w:rPr>
          <w:rFonts w:ascii="Bookman Old Style" w:hAnsi="Bookman Old Style"/>
          <w:lang w:val="sv-FI"/>
        </w:rPr>
        <w:t>Pusat</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Daerah.”</w:t>
      </w:r>
    </w:p>
    <w:p w14:paraId="5F7B9CAF" w14:textId="34BEA7D3" w:rsidR="006E2F8F" w:rsidRPr="003255BC" w:rsidRDefault="006E2F8F" w:rsidP="004A784D">
      <w:pPr>
        <w:numPr>
          <w:ilvl w:val="0"/>
          <w:numId w:val="176"/>
        </w:numPr>
        <w:snapToGrid w:val="0"/>
        <w:spacing w:before="60" w:line="276" w:lineRule="auto"/>
        <w:ind w:left="2268" w:hanging="567"/>
        <w:jc w:val="both"/>
        <w:rPr>
          <w:rFonts w:ascii="Bookman Old Style" w:hAnsi="Bookman Old Style" w:cs="Tahoma"/>
          <w:lang w:val="sv-FI"/>
        </w:rPr>
      </w:pPr>
      <w:r w:rsidRPr="003255BC">
        <w:rPr>
          <w:rFonts w:ascii="Bookman Old Style" w:hAnsi="Bookman Old Style" w:cs="Tahoma"/>
          <w:lang w:val="sv-FI"/>
        </w:rPr>
        <w:lastRenderedPageBreak/>
        <w:t>Pasal</w:t>
      </w:r>
      <w:r w:rsidR="00A954D0" w:rsidRPr="003255BC">
        <w:rPr>
          <w:rFonts w:ascii="Bookman Old Style" w:hAnsi="Bookman Old Style" w:cs="Tahoma"/>
          <w:lang w:val="sv-FI"/>
        </w:rPr>
        <w:t xml:space="preserve"> </w:t>
      </w:r>
      <w:r w:rsidRPr="003255BC">
        <w:rPr>
          <w:rFonts w:ascii="Bookman Old Style" w:hAnsi="Bookman Old Style" w:cs="Tahoma"/>
          <w:lang w:val="sv-FI"/>
        </w:rPr>
        <w:t>2</w:t>
      </w:r>
      <w:r w:rsidR="00A954D0" w:rsidRPr="003255BC">
        <w:rPr>
          <w:rFonts w:ascii="Bookman Old Style" w:hAnsi="Bookman Old Style" w:cs="Tahoma"/>
          <w:lang w:val="sv-FI"/>
        </w:rPr>
        <w:t xml:space="preserve"> </w:t>
      </w:r>
      <w:r w:rsidRPr="003255BC">
        <w:rPr>
          <w:rFonts w:ascii="Bookman Old Style" w:hAnsi="Bookman Old Style" w:cs="Tahoma"/>
          <w:lang w:val="sv-FI"/>
        </w:rPr>
        <w:t>agar</w:t>
      </w:r>
      <w:r w:rsidR="00A954D0" w:rsidRPr="003255BC">
        <w:rPr>
          <w:rFonts w:ascii="Bookman Old Style" w:hAnsi="Bookman Old Style" w:cs="Tahoma"/>
          <w:lang w:val="sv-FI"/>
        </w:rPr>
        <w:t xml:space="preserve"> </w:t>
      </w:r>
      <w:r w:rsidRPr="003255BC">
        <w:rPr>
          <w:rFonts w:ascii="Bookman Old Style" w:hAnsi="Bookman Old Style" w:cs="Tahoma"/>
          <w:lang w:val="sv-FI"/>
        </w:rPr>
        <w:t>diperbaiki</w:t>
      </w:r>
      <w:r w:rsidR="00A954D0" w:rsidRPr="003255BC">
        <w:rPr>
          <w:rFonts w:ascii="Bookman Old Style" w:hAnsi="Bookman Old Style" w:cs="Tahoma"/>
          <w:lang w:val="sv-FI"/>
        </w:rPr>
        <w:t xml:space="preserve"> </w:t>
      </w:r>
      <w:r w:rsidRPr="003255BC">
        <w:rPr>
          <w:rFonts w:ascii="Bookman Old Style" w:hAnsi="Bookman Old Style" w:cs="Tahoma"/>
          <w:lang w:val="sv-FI"/>
        </w:rPr>
        <w:t>redaksionalnya</w:t>
      </w:r>
      <w:r w:rsidR="00A954D0" w:rsidRPr="003255BC">
        <w:rPr>
          <w:rFonts w:ascii="Bookman Old Style" w:hAnsi="Bookman Old Style" w:cs="Tahoma"/>
          <w:lang w:val="sv-FI"/>
        </w:rPr>
        <w:t xml:space="preserve"> </w:t>
      </w:r>
      <w:r w:rsidRPr="003255BC">
        <w:rPr>
          <w:rFonts w:ascii="Bookman Old Style" w:hAnsi="Bookman Old Style" w:cs="Tahoma"/>
          <w:lang w:val="sv-FI"/>
        </w:rPr>
        <w:t>menjadi:</w:t>
      </w:r>
    </w:p>
    <w:p w14:paraId="2436DB83" w14:textId="786F35D3" w:rsidR="006E2F8F" w:rsidRPr="003255BC" w:rsidRDefault="006E2F8F" w:rsidP="004A784D">
      <w:pPr>
        <w:snapToGrid w:val="0"/>
        <w:spacing w:before="60" w:line="276" w:lineRule="auto"/>
        <w:ind w:left="2268"/>
        <w:jc w:val="both"/>
        <w:rPr>
          <w:rFonts w:ascii="Bookman Old Style" w:hAnsi="Bookman Old Style"/>
          <w:lang w:val="sv-FI"/>
        </w:rPr>
      </w:pPr>
      <w:r w:rsidRPr="003255BC">
        <w:rPr>
          <w:rFonts w:ascii="Bookman Old Style" w:hAnsi="Bookman Old Style"/>
          <w:lang w:val="sv-FI"/>
        </w:rPr>
        <w:t>APBD</w:t>
      </w:r>
      <w:r w:rsidR="00A954D0" w:rsidRPr="003255BC">
        <w:rPr>
          <w:rFonts w:ascii="Bookman Old Style" w:hAnsi="Bookman Old Style"/>
          <w:lang w:val="sv-FI"/>
        </w:rPr>
        <w:t xml:space="preserve"> </w:t>
      </w:r>
      <w:r w:rsidRPr="003255BC">
        <w:rPr>
          <w:rFonts w:ascii="Bookman Old Style" w:hAnsi="Bookman Old Style"/>
          <w:lang w:val="sv-FI"/>
        </w:rPr>
        <w:t>Tahun</w:t>
      </w:r>
      <w:r w:rsidR="00A954D0" w:rsidRPr="003255BC">
        <w:rPr>
          <w:rFonts w:ascii="Bookman Old Style" w:hAnsi="Bookman Old Style"/>
          <w:lang w:val="sv-FI"/>
        </w:rPr>
        <w:t xml:space="preserve"> </w:t>
      </w:r>
      <w:r w:rsidRPr="003255BC">
        <w:rPr>
          <w:rFonts w:ascii="Bookman Old Style" w:hAnsi="Bookman Old Style"/>
          <w:lang w:val="sv-FI"/>
        </w:rPr>
        <w:t>Anggaran</w:t>
      </w:r>
      <w:r w:rsidR="00A954D0" w:rsidRPr="003255BC">
        <w:rPr>
          <w:rFonts w:ascii="Bookman Old Style" w:hAnsi="Bookman Old Style"/>
          <w:lang w:val="sv-FI"/>
        </w:rPr>
        <w:t xml:space="preserve"> </w:t>
      </w:r>
      <w:r w:rsidRPr="003255BC">
        <w:rPr>
          <w:rFonts w:ascii="Bookman Old Style" w:hAnsi="Bookman Old Style"/>
          <w:b/>
          <w:bCs/>
          <w:lang w:val="sv-FI"/>
        </w:rPr>
        <w:t>2025</w:t>
      </w:r>
      <w:r w:rsidR="00A954D0" w:rsidRPr="003255BC">
        <w:rPr>
          <w:rFonts w:ascii="Bookman Old Style" w:hAnsi="Bookman Old Style"/>
          <w:lang w:val="sv-FI"/>
        </w:rPr>
        <w:t xml:space="preserve"> </w:t>
      </w:r>
      <w:r w:rsidRPr="003255BC">
        <w:rPr>
          <w:rFonts w:ascii="Bookman Old Style" w:hAnsi="Bookman Old Style"/>
          <w:lang w:val="sv-FI"/>
        </w:rPr>
        <w:t>terdiri</w:t>
      </w:r>
      <w:r w:rsidR="00A954D0" w:rsidRPr="003255BC">
        <w:rPr>
          <w:rFonts w:ascii="Bookman Old Style" w:hAnsi="Bookman Old Style"/>
          <w:lang w:val="sv-FI"/>
        </w:rPr>
        <w:t xml:space="preserve"> </w:t>
      </w:r>
      <w:r w:rsidRPr="003255BC">
        <w:rPr>
          <w:rFonts w:ascii="Bookman Old Style" w:hAnsi="Bookman Old Style"/>
          <w:b/>
          <w:bCs/>
          <w:lang w:val="sv-FI"/>
        </w:rPr>
        <w:t>atas</w:t>
      </w:r>
      <w:r w:rsidRPr="003255BC">
        <w:rPr>
          <w:rFonts w:ascii="Bookman Old Style" w:hAnsi="Bookman Old Style"/>
          <w:lang w:val="sv-FI"/>
        </w:rPr>
        <w:t>:</w:t>
      </w:r>
    </w:p>
    <w:p w14:paraId="679006AE" w14:textId="4C433D95" w:rsidR="006E2F8F" w:rsidRPr="00C04C81" w:rsidRDefault="006E2F8F" w:rsidP="004A784D">
      <w:pPr>
        <w:pStyle w:val="ListParagraph"/>
        <w:numPr>
          <w:ilvl w:val="0"/>
          <w:numId w:val="219"/>
        </w:numPr>
        <w:snapToGrid w:val="0"/>
        <w:spacing w:before="60" w:after="0" w:line="276" w:lineRule="auto"/>
        <w:ind w:left="2694" w:hanging="426"/>
        <w:contextualSpacing w:val="0"/>
        <w:jc w:val="both"/>
        <w:rPr>
          <w:rFonts w:ascii="Bookman Old Style" w:hAnsi="Bookman Old Style" w:cs="Tahoma"/>
          <w:sz w:val="24"/>
          <w:szCs w:val="24"/>
        </w:rPr>
      </w:pPr>
      <w:r w:rsidRPr="00C04C81">
        <w:rPr>
          <w:rFonts w:ascii="Bookman Old Style" w:hAnsi="Bookman Old Style"/>
          <w:sz w:val="24"/>
          <w:szCs w:val="24"/>
        </w:rPr>
        <w:t>Pendapatan</w:t>
      </w:r>
      <w:r w:rsidR="00A954D0">
        <w:rPr>
          <w:rFonts w:ascii="Bookman Old Style" w:hAnsi="Bookman Old Style"/>
          <w:sz w:val="24"/>
          <w:szCs w:val="24"/>
        </w:rPr>
        <w:t xml:space="preserve"> </w:t>
      </w:r>
      <w:r w:rsidRPr="00C04C81">
        <w:rPr>
          <w:rFonts w:ascii="Bookman Old Style" w:hAnsi="Bookman Old Style"/>
          <w:sz w:val="24"/>
          <w:szCs w:val="24"/>
        </w:rPr>
        <w:t>Daerah;</w:t>
      </w:r>
    </w:p>
    <w:p w14:paraId="1B5D361A" w14:textId="23D3D2F6" w:rsidR="006E2F8F" w:rsidRPr="00C04C81" w:rsidRDefault="006E2F8F" w:rsidP="004A784D">
      <w:pPr>
        <w:pStyle w:val="ListParagraph"/>
        <w:numPr>
          <w:ilvl w:val="0"/>
          <w:numId w:val="219"/>
        </w:numPr>
        <w:snapToGrid w:val="0"/>
        <w:spacing w:before="60" w:after="0" w:line="276" w:lineRule="auto"/>
        <w:ind w:left="2694" w:hanging="426"/>
        <w:contextualSpacing w:val="0"/>
        <w:jc w:val="both"/>
        <w:rPr>
          <w:rFonts w:ascii="Bookman Old Style" w:hAnsi="Bookman Old Style" w:cs="Tahoma"/>
          <w:sz w:val="24"/>
          <w:szCs w:val="24"/>
        </w:rPr>
      </w:pPr>
      <w:r w:rsidRPr="00C04C81">
        <w:rPr>
          <w:rFonts w:ascii="Bookman Old Style" w:hAnsi="Bookman Old Style"/>
          <w:sz w:val="24"/>
          <w:szCs w:val="24"/>
        </w:rPr>
        <w:t>Belanja</w:t>
      </w:r>
      <w:r w:rsidR="00A954D0">
        <w:rPr>
          <w:rFonts w:ascii="Bookman Old Style" w:hAnsi="Bookman Old Style"/>
          <w:sz w:val="24"/>
          <w:szCs w:val="24"/>
        </w:rPr>
        <w:t xml:space="preserve"> </w:t>
      </w:r>
      <w:r w:rsidRPr="00C04C81">
        <w:rPr>
          <w:rFonts w:ascii="Bookman Old Style" w:hAnsi="Bookman Old Style"/>
          <w:sz w:val="24"/>
          <w:szCs w:val="24"/>
        </w:rPr>
        <w:t>Daerah;</w:t>
      </w:r>
      <w:r w:rsidR="00A954D0">
        <w:rPr>
          <w:rFonts w:ascii="Bookman Old Style" w:hAnsi="Bookman Old Style"/>
          <w:sz w:val="24"/>
          <w:szCs w:val="24"/>
        </w:rPr>
        <w:t xml:space="preserve"> </w:t>
      </w:r>
      <w:r w:rsidRPr="00C04C81">
        <w:rPr>
          <w:rFonts w:ascii="Bookman Old Style" w:hAnsi="Bookman Old Style"/>
          <w:sz w:val="24"/>
          <w:szCs w:val="24"/>
        </w:rPr>
        <w:t>dan</w:t>
      </w:r>
    </w:p>
    <w:p w14:paraId="61F144B5" w14:textId="0DD6495F" w:rsidR="006E2F8F" w:rsidRPr="009B0C11" w:rsidRDefault="006E2F8F" w:rsidP="004A784D">
      <w:pPr>
        <w:pStyle w:val="ListParagraph"/>
        <w:numPr>
          <w:ilvl w:val="0"/>
          <w:numId w:val="219"/>
        </w:numPr>
        <w:snapToGrid w:val="0"/>
        <w:spacing w:before="60" w:after="0" w:line="276" w:lineRule="auto"/>
        <w:ind w:left="2694" w:hanging="426"/>
        <w:contextualSpacing w:val="0"/>
        <w:jc w:val="both"/>
        <w:rPr>
          <w:rFonts w:ascii="Bookman Old Style" w:hAnsi="Bookman Old Style" w:cs="Tahoma"/>
          <w:sz w:val="24"/>
          <w:szCs w:val="24"/>
        </w:rPr>
      </w:pPr>
      <w:r w:rsidRPr="00C04C81">
        <w:rPr>
          <w:rFonts w:ascii="Bookman Old Style" w:hAnsi="Bookman Old Style"/>
          <w:sz w:val="24"/>
          <w:szCs w:val="24"/>
        </w:rPr>
        <w:t>Pembiayaan</w:t>
      </w:r>
      <w:r w:rsidR="00A954D0">
        <w:rPr>
          <w:rFonts w:ascii="Bookman Old Style" w:hAnsi="Bookman Old Style"/>
          <w:sz w:val="24"/>
          <w:szCs w:val="24"/>
        </w:rPr>
        <w:t xml:space="preserve"> </w:t>
      </w:r>
      <w:r w:rsidRPr="00C04C81">
        <w:rPr>
          <w:rFonts w:ascii="Bookman Old Style" w:hAnsi="Bookman Old Style"/>
          <w:sz w:val="24"/>
          <w:szCs w:val="24"/>
        </w:rPr>
        <w:t>Daerah.</w:t>
      </w:r>
    </w:p>
    <w:p w14:paraId="7FE5B59B" w14:textId="4B066500" w:rsidR="006E2F8F" w:rsidRPr="003255BC" w:rsidRDefault="006E2F8F" w:rsidP="004A784D">
      <w:pPr>
        <w:numPr>
          <w:ilvl w:val="0"/>
          <w:numId w:val="176"/>
        </w:numPr>
        <w:snapToGrid w:val="0"/>
        <w:spacing w:before="60" w:line="276" w:lineRule="auto"/>
        <w:ind w:left="2268" w:hanging="567"/>
        <w:jc w:val="both"/>
        <w:rPr>
          <w:rFonts w:ascii="Bookman Old Style" w:hAnsi="Bookman Old Style" w:cs="Tahoma"/>
          <w:lang w:val="sv-FI"/>
        </w:rPr>
      </w:pPr>
      <w:r w:rsidRPr="003255BC">
        <w:rPr>
          <w:rFonts w:ascii="Bookman Old Style" w:hAnsi="Bookman Old Style" w:cs="Tahoma"/>
          <w:lang w:val="sv-FI"/>
        </w:rPr>
        <w:t>Pasal</w:t>
      </w:r>
      <w:r w:rsidR="00A954D0" w:rsidRPr="003255BC">
        <w:rPr>
          <w:rFonts w:ascii="Bookman Old Style" w:hAnsi="Bookman Old Style" w:cs="Tahoma"/>
          <w:lang w:val="sv-FI"/>
        </w:rPr>
        <w:t xml:space="preserve"> </w:t>
      </w:r>
      <w:r w:rsidRPr="003255BC">
        <w:rPr>
          <w:rFonts w:ascii="Bookman Old Style" w:hAnsi="Bookman Old Style" w:cs="Tahoma"/>
          <w:lang w:val="sv-FI"/>
        </w:rPr>
        <w:t>4</w:t>
      </w:r>
      <w:r w:rsidR="00A954D0" w:rsidRPr="003255BC">
        <w:rPr>
          <w:rFonts w:ascii="Bookman Old Style" w:hAnsi="Bookman Old Style" w:cs="Tahoma"/>
          <w:lang w:val="sv-FI"/>
        </w:rPr>
        <w:t xml:space="preserve"> </w:t>
      </w:r>
      <w:r w:rsidRPr="003255BC">
        <w:rPr>
          <w:rFonts w:ascii="Bookman Old Style" w:hAnsi="Bookman Old Style" w:cs="Tahoma"/>
          <w:lang w:val="sv-FI"/>
        </w:rPr>
        <w:t>ayat</w:t>
      </w:r>
      <w:r w:rsidR="00A954D0" w:rsidRPr="003255BC">
        <w:rPr>
          <w:rFonts w:ascii="Bookman Old Style" w:hAnsi="Bookman Old Style" w:cs="Tahoma"/>
          <w:lang w:val="sv-FI"/>
        </w:rPr>
        <w:t xml:space="preserve"> </w:t>
      </w:r>
      <w:r w:rsidRPr="003255BC">
        <w:rPr>
          <w:rFonts w:ascii="Bookman Old Style" w:hAnsi="Bookman Old Style" w:cs="Tahoma"/>
          <w:lang w:val="sv-FI"/>
        </w:rPr>
        <w:t>(5)</w:t>
      </w:r>
      <w:r w:rsidR="00A954D0" w:rsidRPr="003255BC">
        <w:rPr>
          <w:rFonts w:ascii="Bookman Old Style" w:hAnsi="Bookman Old Style" w:cs="Tahoma"/>
          <w:lang w:val="sv-FI"/>
        </w:rPr>
        <w:t xml:space="preserve"> </w:t>
      </w:r>
      <w:r w:rsidRPr="003255BC">
        <w:rPr>
          <w:rFonts w:ascii="Bookman Old Style" w:hAnsi="Bookman Old Style" w:cs="Tahoma"/>
          <w:lang w:val="sv-FI"/>
        </w:rPr>
        <w:t>agar</w:t>
      </w:r>
      <w:r w:rsidR="00A954D0" w:rsidRPr="003255BC">
        <w:rPr>
          <w:rFonts w:ascii="Bookman Old Style" w:hAnsi="Bookman Old Style" w:cs="Tahoma"/>
          <w:lang w:val="sv-FI"/>
        </w:rPr>
        <w:t xml:space="preserve"> </w:t>
      </w:r>
      <w:r w:rsidRPr="003255BC">
        <w:rPr>
          <w:rFonts w:ascii="Bookman Old Style" w:hAnsi="Bookman Old Style" w:cs="Tahoma"/>
          <w:lang w:val="sv-FI"/>
        </w:rPr>
        <w:t>diperbaiki</w:t>
      </w:r>
      <w:r w:rsidR="00A954D0" w:rsidRPr="003255BC">
        <w:rPr>
          <w:rFonts w:ascii="Bookman Old Style" w:hAnsi="Bookman Old Style" w:cs="Tahoma"/>
          <w:lang w:val="sv-FI"/>
        </w:rPr>
        <w:t xml:space="preserve"> </w:t>
      </w:r>
      <w:r w:rsidRPr="003255BC">
        <w:rPr>
          <w:rFonts w:ascii="Bookman Old Style" w:hAnsi="Bookman Old Style" w:cs="Tahoma"/>
          <w:lang w:val="sv-FI"/>
        </w:rPr>
        <w:t>Redkasionalnya</w:t>
      </w:r>
      <w:r w:rsidR="00A954D0" w:rsidRPr="003255BC">
        <w:rPr>
          <w:rFonts w:ascii="Bookman Old Style" w:hAnsi="Bookman Old Style" w:cs="Tahoma"/>
          <w:lang w:val="sv-FI"/>
        </w:rPr>
        <w:t xml:space="preserve"> </w:t>
      </w:r>
      <w:r w:rsidRPr="003255BC">
        <w:rPr>
          <w:rFonts w:ascii="Bookman Old Style" w:hAnsi="Bookman Old Style" w:cs="Tahoma"/>
          <w:lang w:val="sv-FI"/>
        </w:rPr>
        <w:t>menjadi:</w:t>
      </w:r>
    </w:p>
    <w:p w14:paraId="2A75040E" w14:textId="290F39C0" w:rsidR="006E2F8F" w:rsidRPr="003255BC" w:rsidRDefault="006E2F8F" w:rsidP="00DD7816">
      <w:pPr>
        <w:snapToGrid w:val="0"/>
        <w:spacing w:before="60" w:line="276" w:lineRule="auto"/>
        <w:ind w:left="2127"/>
        <w:jc w:val="both"/>
        <w:rPr>
          <w:rFonts w:ascii="Bookman Old Style" w:hAnsi="Bookman Old Style"/>
          <w:lang w:val="sv-FI"/>
        </w:rPr>
      </w:pPr>
      <w:r w:rsidRPr="003255BC">
        <w:rPr>
          <w:rFonts w:ascii="Bookman Old Style" w:hAnsi="Bookman Old Style"/>
          <w:lang w:val="sv-FI"/>
        </w:rPr>
        <w:t>Lain-lain</w:t>
      </w:r>
      <w:r w:rsidR="00A954D0" w:rsidRPr="003255BC">
        <w:rPr>
          <w:rFonts w:ascii="Bookman Old Style" w:hAnsi="Bookman Old Style"/>
          <w:lang w:val="sv-FI"/>
        </w:rPr>
        <w:t xml:space="preserve"> </w:t>
      </w:r>
      <w:r w:rsidRPr="003255BC">
        <w:rPr>
          <w:rFonts w:ascii="Bookman Old Style" w:hAnsi="Bookman Old Style"/>
          <w:lang w:val="sv-FI"/>
        </w:rPr>
        <w:t>pendapatan</w:t>
      </w:r>
      <w:r w:rsidR="00A954D0" w:rsidRPr="003255BC">
        <w:rPr>
          <w:rFonts w:ascii="Bookman Old Style" w:hAnsi="Bookman Old Style"/>
          <w:lang w:val="sv-FI"/>
        </w:rPr>
        <w:t xml:space="preserve"> </w:t>
      </w:r>
      <w:r w:rsidRPr="003255BC">
        <w:rPr>
          <w:rFonts w:ascii="Bookman Old Style" w:hAnsi="Bookman Old Style"/>
          <w:lang w:val="sv-FI"/>
        </w:rPr>
        <w:t>asli</w:t>
      </w:r>
      <w:r w:rsidR="00A954D0" w:rsidRPr="003255BC">
        <w:rPr>
          <w:rFonts w:ascii="Bookman Old Style" w:hAnsi="Bookman Old Style"/>
          <w:lang w:val="sv-FI"/>
        </w:rPr>
        <w:t xml:space="preserve"> </w:t>
      </w:r>
      <w:r w:rsidRPr="003255BC">
        <w:rPr>
          <w:rFonts w:ascii="Bookman Old Style" w:hAnsi="Bookman Old Style"/>
          <w:lang w:val="sv-FI"/>
        </w:rPr>
        <w:t>Daerah</w:t>
      </w:r>
      <w:r w:rsidR="00A954D0" w:rsidRPr="003255BC">
        <w:rPr>
          <w:rFonts w:ascii="Bookman Old Style" w:hAnsi="Bookman Old Style"/>
          <w:lang w:val="sv-FI"/>
        </w:rPr>
        <w:t xml:space="preserve"> </w:t>
      </w:r>
      <w:r w:rsidRPr="003255BC">
        <w:rPr>
          <w:rFonts w:ascii="Bookman Old Style" w:hAnsi="Bookman Old Style"/>
          <w:lang w:val="sv-FI"/>
        </w:rPr>
        <w:t>yang</w:t>
      </w:r>
      <w:r w:rsidR="00A954D0" w:rsidRPr="003255BC">
        <w:rPr>
          <w:rFonts w:ascii="Bookman Old Style" w:hAnsi="Bookman Old Style"/>
          <w:lang w:val="sv-FI"/>
        </w:rPr>
        <w:t xml:space="preserve"> </w:t>
      </w:r>
      <w:r w:rsidRPr="003255BC">
        <w:rPr>
          <w:rFonts w:ascii="Bookman Old Style" w:hAnsi="Bookman Old Style"/>
          <w:lang w:val="sv-FI"/>
        </w:rPr>
        <w:t>sah</w:t>
      </w:r>
      <w:r w:rsidR="00A954D0" w:rsidRPr="003255BC">
        <w:rPr>
          <w:rFonts w:ascii="Bookman Old Style" w:hAnsi="Bookman Old Style"/>
          <w:lang w:val="sv-FI"/>
        </w:rPr>
        <w:t xml:space="preserve"> </w:t>
      </w:r>
      <w:r w:rsidRPr="003255BC">
        <w:rPr>
          <w:rFonts w:ascii="Bookman Old Style" w:hAnsi="Bookman Old Style"/>
          <w:lang w:val="sv-FI"/>
        </w:rPr>
        <w:t>sebagaimana</w:t>
      </w:r>
      <w:r w:rsidR="00A954D0" w:rsidRPr="003255BC">
        <w:rPr>
          <w:rFonts w:ascii="Bookman Old Style" w:hAnsi="Bookman Old Style"/>
          <w:lang w:val="sv-FI"/>
        </w:rPr>
        <w:t xml:space="preserve"> </w:t>
      </w:r>
      <w:r w:rsidRPr="003255BC">
        <w:rPr>
          <w:rFonts w:ascii="Bookman Old Style" w:hAnsi="Bookman Old Style"/>
          <w:lang w:val="sv-FI"/>
        </w:rPr>
        <w:t>dimaksud</w:t>
      </w:r>
      <w:r w:rsidR="00A954D0" w:rsidRPr="003255BC">
        <w:rPr>
          <w:rFonts w:ascii="Bookman Old Style" w:hAnsi="Bookman Old Style"/>
          <w:lang w:val="sv-FI"/>
        </w:rPr>
        <w:t xml:space="preserve"> </w:t>
      </w:r>
      <w:r w:rsidRPr="003255BC">
        <w:rPr>
          <w:rFonts w:ascii="Bookman Old Style" w:hAnsi="Bookman Old Style"/>
          <w:lang w:val="sv-FI"/>
        </w:rPr>
        <w:t>pada</w:t>
      </w:r>
      <w:r w:rsidR="00A954D0" w:rsidRPr="003255BC">
        <w:rPr>
          <w:rFonts w:ascii="Bookman Old Style" w:hAnsi="Bookman Old Style"/>
          <w:lang w:val="sv-FI"/>
        </w:rPr>
        <w:t xml:space="preserve"> </w:t>
      </w:r>
      <w:r w:rsidRPr="003255BC">
        <w:rPr>
          <w:rFonts w:ascii="Bookman Old Style" w:hAnsi="Bookman Old Style"/>
          <w:lang w:val="sv-FI"/>
        </w:rPr>
        <w:t>ayat</w:t>
      </w:r>
      <w:r w:rsidR="00A954D0" w:rsidRPr="003255BC">
        <w:rPr>
          <w:rFonts w:ascii="Bookman Old Style" w:hAnsi="Bookman Old Style"/>
          <w:lang w:val="sv-FI"/>
        </w:rPr>
        <w:t xml:space="preserve"> </w:t>
      </w:r>
      <w:r w:rsidRPr="003255BC">
        <w:rPr>
          <w:rFonts w:ascii="Bookman Old Style" w:hAnsi="Bookman Old Style"/>
          <w:lang w:val="sv-FI"/>
        </w:rPr>
        <w:t>(1)</w:t>
      </w:r>
      <w:r w:rsidR="00A954D0" w:rsidRPr="003255BC">
        <w:rPr>
          <w:rFonts w:ascii="Bookman Old Style" w:hAnsi="Bookman Old Style"/>
          <w:lang w:val="sv-FI"/>
        </w:rPr>
        <w:t xml:space="preserve"> </w:t>
      </w:r>
      <w:r w:rsidRPr="003255BC">
        <w:rPr>
          <w:rFonts w:ascii="Bookman Old Style" w:hAnsi="Bookman Old Style"/>
          <w:lang w:val="sv-FI"/>
        </w:rPr>
        <w:t>huruf</w:t>
      </w:r>
      <w:r w:rsidR="00A954D0" w:rsidRPr="003255BC">
        <w:rPr>
          <w:rFonts w:ascii="Bookman Old Style" w:hAnsi="Bookman Old Style"/>
          <w:lang w:val="sv-FI"/>
        </w:rPr>
        <w:t xml:space="preserve"> </w:t>
      </w:r>
      <w:r w:rsidRPr="003255BC">
        <w:rPr>
          <w:rFonts w:ascii="Bookman Old Style" w:hAnsi="Bookman Old Style"/>
          <w:b/>
          <w:bCs/>
          <w:lang w:val="sv-FI"/>
        </w:rPr>
        <w:t>d</w:t>
      </w:r>
      <w:r w:rsidR="00A954D0" w:rsidRPr="003255BC">
        <w:rPr>
          <w:rFonts w:ascii="Bookman Old Style" w:hAnsi="Bookman Old Style"/>
          <w:lang w:val="sv-FI"/>
        </w:rPr>
        <w:t xml:space="preserve"> </w:t>
      </w:r>
      <w:r w:rsidRPr="003255BC">
        <w:rPr>
          <w:rFonts w:ascii="Bookman Old Style" w:hAnsi="Bookman Old Style"/>
          <w:lang w:val="sv-FI"/>
        </w:rPr>
        <w:t>direncanakan</w:t>
      </w:r>
      <w:r w:rsidR="00A954D0" w:rsidRPr="003255BC">
        <w:rPr>
          <w:rFonts w:ascii="Bookman Old Style" w:hAnsi="Bookman Old Style"/>
          <w:lang w:val="sv-FI"/>
        </w:rPr>
        <w:t xml:space="preserve"> </w:t>
      </w:r>
      <w:r w:rsidRPr="003255BC">
        <w:rPr>
          <w:rFonts w:ascii="Bookman Old Style" w:hAnsi="Bookman Old Style"/>
          <w:lang w:val="sv-FI"/>
        </w:rPr>
        <w:t>sebesar</w:t>
      </w:r>
      <w:r w:rsidR="00A954D0" w:rsidRPr="003255BC">
        <w:rPr>
          <w:rFonts w:ascii="Bookman Old Style" w:hAnsi="Bookman Old Style"/>
          <w:lang w:val="sv-FI"/>
        </w:rPr>
        <w:t xml:space="preserve"> </w:t>
      </w:r>
      <w:r w:rsidRPr="003255BC">
        <w:rPr>
          <w:rFonts w:ascii="Bookman Old Style" w:hAnsi="Bookman Old Style"/>
          <w:lang w:val="sv-FI"/>
        </w:rPr>
        <w:t>Rp29.695.439.705,00</w:t>
      </w:r>
      <w:r w:rsidR="00A954D0" w:rsidRPr="003255BC">
        <w:rPr>
          <w:rFonts w:ascii="Bookman Old Style" w:hAnsi="Bookman Old Style"/>
          <w:lang w:val="sv-FI"/>
        </w:rPr>
        <w:t xml:space="preserve"> </w:t>
      </w:r>
      <w:r w:rsidRPr="003255BC">
        <w:rPr>
          <w:rFonts w:ascii="Bookman Old Style" w:hAnsi="Bookman Old Style"/>
          <w:lang w:val="sv-FI"/>
        </w:rPr>
        <w:t>(Dua</w:t>
      </w:r>
      <w:r w:rsidR="00A954D0" w:rsidRPr="003255BC">
        <w:rPr>
          <w:rFonts w:ascii="Bookman Old Style" w:hAnsi="Bookman Old Style"/>
          <w:lang w:val="sv-FI"/>
        </w:rPr>
        <w:t xml:space="preserve"> </w:t>
      </w:r>
      <w:r w:rsidRPr="003255BC">
        <w:rPr>
          <w:rFonts w:ascii="Bookman Old Style" w:hAnsi="Bookman Old Style"/>
          <w:lang w:val="sv-FI"/>
        </w:rPr>
        <w:t>Puluh</w:t>
      </w:r>
      <w:r w:rsidR="00A954D0" w:rsidRPr="003255BC">
        <w:rPr>
          <w:rFonts w:ascii="Bookman Old Style" w:hAnsi="Bookman Old Style"/>
          <w:lang w:val="sv-FI"/>
        </w:rPr>
        <w:t xml:space="preserve"> </w:t>
      </w:r>
      <w:r w:rsidRPr="003255BC">
        <w:rPr>
          <w:rFonts w:ascii="Bookman Old Style" w:hAnsi="Bookman Old Style"/>
          <w:lang w:val="sv-FI"/>
        </w:rPr>
        <w:t>Sembilan</w:t>
      </w:r>
      <w:r w:rsidR="00A954D0" w:rsidRPr="003255BC">
        <w:rPr>
          <w:rFonts w:ascii="Bookman Old Style" w:hAnsi="Bookman Old Style"/>
          <w:lang w:val="sv-FI"/>
        </w:rPr>
        <w:t xml:space="preserve"> </w:t>
      </w:r>
      <w:r w:rsidRPr="003255BC">
        <w:rPr>
          <w:rFonts w:ascii="Bookman Old Style" w:hAnsi="Bookman Old Style"/>
          <w:lang w:val="sv-FI"/>
        </w:rPr>
        <w:t>Miliar</w:t>
      </w:r>
      <w:r w:rsidR="00A954D0" w:rsidRPr="003255BC">
        <w:rPr>
          <w:rFonts w:ascii="Bookman Old Style" w:hAnsi="Bookman Old Style"/>
          <w:lang w:val="sv-FI"/>
        </w:rPr>
        <w:t xml:space="preserve"> </w:t>
      </w:r>
      <w:r w:rsidRPr="003255BC">
        <w:rPr>
          <w:rFonts w:ascii="Bookman Old Style" w:hAnsi="Bookman Old Style"/>
          <w:lang w:val="sv-FI"/>
        </w:rPr>
        <w:t>Enam</w:t>
      </w:r>
      <w:r w:rsidR="00A954D0" w:rsidRPr="003255BC">
        <w:rPr>
          <w:rFonts w:ascii="Bookman Old Style" w:hAnsi="Bookman Old Style"/>
          <w:lang w:val="sv-FI"/>
        </w:rPr>
        <w:t xml:space="preserve"> </w:t>
      </w:r>
      <w:r w:rsidRPr="003255BC">
        <w:rPr>
          <w:rFonts w:ascii="Bookman Old Style" w:hAnsi="Bookman Old Style"/>
          <w:lang w:val="sv-FI"/>
        </w:rPr>
        <w:t>Ratus</w:t>
      </w:r>
      <w:r w:rsidR="00A954D0" w:rsidRPr="003255BC">
        <w:rPr>
          <w:rFonts w:ascii="Bookman Old Style" w:hAnsi="Bookman Old Style"/>
          <w:lang w:val="sv-FI"/>
        </w:rPr>
        <w:t xml:space="preserve"> </w:t>
      </w:r>
      <w:r w:rsidRPr="003255BC">
        <w:rPr>
          <w:rFonts w:ascii="Bookman Old Style" w:hAnsi="Bookman Old Style"/>
          <w:lang w:val="sv-FI"/>
        </w:rPr>
        <w:t>Sembilan</w:t>
      </w:r>
      <w:r w:rsidR="00A954D0" w:rsidRPr="003255BC">
        <w:rPr>
          <w:rFonts w:ascii="Bookman Old Style" w:hAnsi="Bookman Old Style"/>
          <w:lang w:val="sv-FI"/>
        </w:rPr>
        <w:t xml:space="preserve"> </w:t>
      </w:r>
      <w:r w:rsidRPr="003255BC">
        <w:rPr>
          <w:rFonts w:ascii="Bookman Old Style" w:hAnsi="Bookman Old Style"/>
          <w:lang w:val="sv-FI"/>
        </w:rPr>
        <w:t>Puluh</w:t>
      </w:r>
      <w:r w:rsidR="00A954D0" w:rsidRPr="003255BC">
        <w:rPr>
          <w:rFonts w:ascii="Bookman Old Style" w:hAnsi="Bookman Old Style"/>
          <w:lang w:val="sv-FI"/>
        </w:rPr>
        <w:t xml:space="preserve"> </w:t>
      </w:r>
      <w:r w:rsidRPr="003255BC">
        <w:rPr>
          <w:rFonts w:ascii="Bookman Old Style" w:hAnsi="Bookman Old Style"/>
          <w:lang w:val="sv-FI"/>
        </w:rPr>
        <w:t>Lima</w:t>
      </w:r>
      <w:r w:rsidR="00A954D0" w:rsidRPr="003255BC">
        <w:rPr>
          <w:rFonts w:ascii="Bookman Old Style" w:hAnsi="Bookman Old Style"/>
          <w:lang w:val="sv-FI"/>
        </w:rPr>
        <w:t xml:space="preserve"> </w:t>
      </w:r>
      <w:r w:rsidRPr="003255BC">
        <w:rPr>
          <w:rFonts w:ascii="Bookman Old Style" w:hAnsi="Bookman Old Style"/>
          <w:lang w:val="sv-FI"/>
        </w:rPr>
        <w:t>Juta</w:t>
      </w:r>
      <w:r w:rsidR="00A954D0" w:rsidRPr="003255BC">
        <w:rPr>
          <w:rFonts w:ascii="Bookman Old Style" w:hAnsi="Bookman Old Style"/>
          <w:lang w:val="sv-FI"/>
        </w:rPr>
        <w:t xml:space="preserve"> </w:t>
      </w:r>
      <w:r w:rsidRPr="003255BC">
        <w:rPr>
          <w:rFonts w:ascii="Bookman Old Style" w:hAnsi="Bookman Old Style"/>
          <w:lang w:val="sv-FI"/>
        </w:rPr>
        <w:t>Empat</w:t>
      </w:r>
      <w:r w:rsidR="00A954D0" w:rsidRPr="003255BC">
        <w:rPr>
          <w:rFonts w:ascii="Bookman Old Style" w:hAnsi="Bookman Old Style"/>
          <w:lang w:val="sv-FI"/>
        </w:rPr>
        <w:t xml:space="preserve"> </w:t>
      </w:r>
      <w:r w:rsidRPr="003255BC">
        <w:rPr>
          <w:rFonts w:ascii="Bookman Old Style" w:hAnsi="Bookman Old Style"/>
          <w:lang w:val="sv-FI"/>
        </w:rPr>
        <w:t>Ratus</w:t>
      </w:r>
      <w:r w:rsidR="00A954D0" w:rsidRPr="003255BC">
        <w:rPr>
          <w:rFonts w:ascii="Bookman Old Style" w:hAnsi="Bookman Old Style"/>
          <w:lang w:val="sv-FI"/>
        </w:rPr>
        <w:t xml:space="preserve"> </w:t>
      </w:r>
      <w:r w:rsidRPr="003255BC">
        <w:rPr>
          <w:rFonts w:ascii="Bookman Old Style" w:hAnsi="Bookman Old Style"/>
          <w:lang w:val="sv-FI"/>
        </w:rPr>
        <w:t>Tiga</w:t>
      </w:r>
      <w:r w:rsidR="00A954D0" w:rsidRPr="003255BC">
        <w:rPr>
          <w:rFonts w:ascii="Bookman Old Style" w:hAnsi="Bookman Old Style"/>
          <w:lang w:val="sv-FI"/>
        </w:rPr>
        <w:t xml:space="preserve"> </w:t>
      </w:r>
      <w:r w:rsidRPr="003255BC">
        <w:rPr>
          <w:rFonts w:ascii="Bookman Old Style" w:hAnsi="Bookman Old Style"/>
          <w:lang w:val="sv-FI"/>
        </w:rPr>
        <w:t>Puluh</w:t>
      </w:r>
      <w:r w:rsidR="00A954D0" w:rsidRPr="003255BC">
        <w:rPr>
          <w:rFonts w:ascii="Bookman Old Style" w:hAnsi="Bookman Old Style"/>
          <w:lang w:val="sv-FI"/>
        </w:rPr>
        <w:t xml:space="preserve"> </w:t>
      </w:r>
      <w:r w:rsidRPr="003255BC">
        <w:rPr>
          <w:rFonts w:ascii="Bookman Old Style" w:hAnsi="Bookman Old Style"/>
          <w:lang w:val="sv-FI"/>
        </w:rPr>
        <w:t>Sembilan</w:t>
      </w:r>
      <w:r w:rsidR="00A954D0" w:rsidRPr="003255BC">
        <w:rPr>
          <w:rFonts w:ascii="Bookman Old Style" w:hAnsi="Bookman Old Style"/>
          <w:lang w:val="sv-FI"/>
        </w:rPr>
        <w:t xml:space="preserve"> </w:t>
      </w:r>
      <w:r w:rsidRPr="003255BC">
        <w:rPr>
          <w:rFonts w:ascii="Bookman Old Style" w:hAnsi="Bookman Old Style"/>
          <w:lang w:val="sv-FI"/>
        </w:rPr>
        <w:t>Ribu</w:t>
      </w:r>
      <w:r w:rsidR="00A954D0" w:rsidRPr="003255BC">
        <w:rPr>
          <w:rFonts w:ascii="Bookman Old Style" w:hAnsi="Bookman Old Style"/>
          <w:lang w:val="sv-FI"/>
        </w:rPr>
        <w:t xml:space="preserve"> </w:t>
      </w:r>
      <w:r w:rsidRPr="003255BC">
        <w:rPr>
          <w:rFonts w:ascii="Bookman Old Style" w:hAnsi="Bookman Old Style"/>
          <w:lang w:val="sv-FI"/>
        </w:rPr>
        <w:t>Tujuh</w:t>
      </w:r>
      <w:r w:rsidR="00A954D0" w:rsidRPr="003255BC">
        <w:rPr>
          <w:rFonts w:ascii="Bookman Old Style" w:hAnsi="Bookman Old Style"/>
          <w:lang w:val="sv-FI"/>
        </w:rPr>
        <w:t xml:space="preserve"> </w:t>
      </w:r>
      <w:r w:rsidRPr="003255BC">
        <w:rPr>
          <w:rFonts w:ascii="Bookman Old Style" w:hAnsi="Bookman Old Style"/>
          <w:lang w:val="sv-FI"/>
        </w:rPr>
        <w:t>Ratus</w:t>
      </w:r>
      <w:r w:rsidR="00A954D0" w:rsidRPr="003255BC">
        <w:rPr>
          <w:rFonts w:ascii="Bookman Old Style" w:hAnsi="Bookman Old Style"/>
          <w:lang w:val="sv-FI"/>
        </w:rPr>
        <w:t xml:space="preserve"> </w:t>
      </w:r>
      <w:r w:rsidRPr="003255BC">
        <w:rPr>
          <w:rFonts w:ascii="Bookman Old Style" w:hAnsi="Bookman Old Style"/>
          <w:lang w:val="sv-FI"/>
        </w:rPr>
        <w:t>Lima</w:t>
      </w:r>
      <w:r w:rsidR="00A954D0" w:rsidRPr="003255BC">
        <w:rPr>
          <w:rFonts w:ascii="Bookman Old Style" w:hAnsi="Bookman Old Style"/>
          <w:lang w:val="sv-FI"/>
        </w:rPr>
        <w:t xml:space="preserve"> </w:t>
      </w:r>
      <w:r w:rsidRPr="003255BC">
        <w:rPr>
          <w:rFonts w:ascii="Bookman Old Style" w:hAnsi="Bookman Old Style"/>
          <w:lang w:val="sv-FI"/>
        </w:rPr>
        <w:t>Rupiah).</w:t>
      </w:r>
    </w:p>
    <w:p w14:paraId="66295397" w14:textId="21E2EBBE" w:rsidR="006E2F8F" w:rsidRPr="003255BC" w:rsidRDefault="006E2F8F" w:rsidP="004A784D">
      <w:pPr>
        <w:numPr>
          <w:ilvl w:val="0"/>
          <w:numId w:val="176"/>
        </w:numPr>
        <w:snapToGrid w:val="0"/>
        <w:spacing w:before="60" w:line="276" w:lineRule="auto"/>
        <w:ind w:left="2268" w:hanging="567"/>
        <w:jc w:val="both"/>
        <w:rPr>
          <w:rFonts w:ascii="Bookman Old Style" w:hAnsi="Bookman Old Style" w:cs="Tahoma"/>
          <w:lang w:val="sv-FI"/>
        </w:rPr>
      </w:pPr>
      <w:r w:rsidRPr="003255BC">
        <w:rPr>
          <w:rFonts w:ascii="Bookman Old Style" w:hAnsi="Bookman Old Style" w:cs="Tahoma"/>
          <w:lang w:val="sv-FI"/>
        </w:rPr>
        <w:t>Pasal</w:t>
      </w:r>
      <w:r w:rsidR="00A954D0" w:rsidRPr="003255BC">
        <w:rPr>
          <w:rFonts w:ascii="Bookman Old Style" w:hAnsi="Bookman Old Style" w:cs="Tahoma"/>
          <w:lang w:val="sv-FI"/>
        </w:rPr>
        <w:t xml:space="preserve"> </w:t>
      </w:r>
      <w:r w:rsidRPr="003255BC">
        <w:rPr>
          <w:rFonts w:ascii="Bookman Old Style" w:hAnsi="Bookman Old Style" w:cs="Tahoma"/>
          <w:lang w:val="sv-FI"/>
        </w:rPr>
        <w:t>8</w:t>
      </w:r>
      <w:r w:rsidR="00A954D0" w:rsidRPr="003255BC">
        <w:rPr>
          <w:rFonts w:ascii="Bookman Old Style" w:hAnsi="Bookman Old Style" w:cs="Tahoma"/>
          <w:lang w:val="sv-FI"/>
        </w:rPr>
        <w:t xml:space="preserve"> </w:t>
      </w:r>
      <w:r w:rsidRPr="003255BC">
        <w:rPr>
          <w:rFonts w:ascii="Bookman Old Style" w:hAnsi="Bookman Old Style" w:cs="Tahoma"/>
          <w:lang w:val="sv-FI"/>
        </w:rPr>
        <w:t>ayat</w:t>
      </w:r>
      <w:r w:rsidR="00A954D0" w:rsidRPr="003255BC">
        <w:rPr>
          <w:rFonts w:ascii="Bookman Old Style" w:hAnsi="Bookman Old Style" w:cs="Tahoma"/>
          <w:lang w:val="sv-FI"/>
        </w:rPr>
        <w:t xml:space="preserve"> </w:t>
      </w:r>
      <w:r w:rsidRPr="003255BC">
        <w:rPr>
          <w:rFonts w:ascii="Bookman Old Style" w:hAnsi="Bookman Old Style" w:cs="Tahoma"/>
          <w:lang w:val="sv-FI"/>
        </w:rPr>
        <w:t>(2)</w:t>
      </w:r>
      <w:r w:rsidR="00A954D0" w:rsidRPr="003255BC">
        <w:rPr>
          <w:rFonts w:ascii="Bookman Old Style" w:hAnsi="Bookman Old Style" w:cs="Tahoma"/>
          <w:lang w:val="sv-FI"/>
        </w:rPr>
        <w:t xml:space="preserve"> </w:t>
      </w:r>
      <w:r w:rsidRPr="003255BC">
        <w:rPr>
          <w:rFonts w:ascii="Bookman Old Style" w:hAnsi="Bookman Old Style" w:cs="Tahoma"/>
          <w:lang w:val="sv-FI"/>
        </w:rPr>
        <w:t>agar</w:t>
      </w:r>
      <w:r w:rsidR="00A954D0" w:rsidRPr="003255BC">
        <w:rPr>
          <w:rFonts w:ascii="Bookman Old Style" w:hAnsi="Bookman Old Style" w:cs="Tahoma"/>
          <w:lang w:val="sv-FI"/>
        </w:rPr>
        <w:t xml:space="preserve"> </w:t>
      </w:r>
      <w:r w:rsidRPr="003255BC">
        <w:rPr>
          <w:rFonts w:ascii="Bookman Old Style" w:hAnsi="Bookman Old Style" w:cs="Tahoma"/>
          <w:lang w:val="sv-FI"/>
        </w:rPr>
        <w:t>diperbaiki</w:t>
      </w:r>
      <w:r w:rsidR="00A954D0" w:rsidRPr="003255BC">
        <w:rPr>
          <w:rFonts w:ascii="Bookman Old Style" w:hAnsi="Bookman Old Style" w:cs="Tahoma"/>
          <w:lang w:val="sv-FI"/>
        </w:rPr>
        <w:t xml:space="preserve"> </w:t>
      </w:r>
      <w:r w:rsidRPr="003255BC">
        <w:rPr>
          <w:rFonts w:ascii="Bookman Old Style" w:hAnsi="Bookman Old Style" w:cs="Tahoma"/>
          <w:lang w:val="sv-FI"/>
        </w:rPr>
        <w:t>redaksionalnya</w:t>
      </w:r>
      <w:r w:rsidR="00A954D0" w:rsidRPr="003255BC">
        <w:rPr>
          <w:rFonts w:ascii="Bookman Old Style" w:hAnsi="Bookman Old Style" w:cs="Tahoma"/>
          <w:lang w:val="sv-FI"/>
        </w:rPr>
        <w:t xml:space="preserve"> </w:t>
      </w:r>
      <w:r w:rsidRPr="003255BC">
        <w:rPr>
          <w:rFonts w:ascii="Bookman Old Style" w:hAnsi="Bookman Old Style" w:cs="Tahoma"/>
          <w:lang w:val="sv-FI"/>
        </w:rPr>
        <w:t>menjadi:</w:t>
      </w:r>
    </w:p>
    <w:p w14:paraId="5A78C522" w14:textId="6341E617" w:rsidR="006E2F8F" w:rsidRPr="003255BC" w:rsidRDefault="006E2F8F" w:rsidP="00DD7816">
      <w:pPr>
        <w:snapToGrid w:val="0"/>
        <w:spacing w:before="60" w:line="276" w:lineRule="auto"/>
        <w:ind w:left="2127"/>
        <w:jc w:val="both"/>
        <w:rPr>
          <w:rFonts w:ascii="Bookman Old Style" w:hAnsi="Bookman Old Style"/>
          <w:lang w:val="sv-FI"/>
        </w:rPr>
      </w:pPr>
      <w:r w:rsidRPr="003255BC">
        <w:rPr>
          <w:rFonts w:ascii="Bookman Old Style" w:hAnsi="Bookman Old Style"/>
          <w:lang w:val="sv-FI"/>
        </w:rPr>
        <w:t>Pendapatan</w:t>
      </w:r>
      <w:r w:rsidR="00A954D0" w:rsidRPr="003255BC">
        <w:rPr>
          <w:rFonts w:ascii="Bookman Old Style" w:hAnsi="Bookman Old Style"/>
          <w:lang w:val="sv-FI"/>
        </w:rPr>
        <w:t xml:space="preserve"> </w:t>
      </w:r>
      <w:r w:rsidRPr="003255BC">
        <w:rPr>
          <w:rFonts w:ascii="Bookman Old Style" w:hAnsi="Bookman Old Style"/>
          <w:lang w:val="sv-FI"/>
        </w:rPr>
        <w:t>Denda</w:t>
      </w:r>
      <w:r w:rsidR="00A954D0" w:rsidRPr="003255BC">
        <w:rPr>
          <w:rFonts w:ascii="Bookman Old Style" w:hAnsi="Bookman Old Style"/>
          <w:lang w:val="sv-FI"/>
        </w:rPr>
        <w:t xml:space="preserve"> </w:t>
      </w:r>
      <w:r w:rsidRPr="003255BC">
        <w:rPr>
          <w:rFonts w:ascii="Bookman Old Style" w:hAnsi="Bookman Old Style"/>
          <w:lang w:val="sv-FI"/>
        </w:rPr>
        <w:t>Pajak</w:t>
      </w:r>
      <w:r w:rsidR="00A954D0" w:rsidRPr="003255BC">
        <w:rPr>
          <w:rFonts w:ascii="Bookman Old Style" w:hAnsi="Bookman Old Style"/>
          <w:lang w:val="sv-FI"/>
        </w:rPr>
        <w:t xml:space="preserve"> </w:t>
      </w:r>
      <w:r w:rsidRPr="003255BC">
        <w:rPr>
          <w:rFonts w:ascii="Bookman Old Style" w:hAnsi="Bookman Old Style"/>
          <w:lang w:val="sv-FI"/>
        </w:rPr>
        <w:t>Daerah</w:t>
      </w:r>
      <w:r w:rsidR="00A954D0" w:rsidRPr="003255BC">
        <w:rPr>
          <w:rFonts w:ascii="Bookman Old Style" w:hAnsi="Bookman Old Style"/>
          <w:lang w:val="sv-FI"/>
        </w:rPr>
        <w:t xml:space="preserve"> </w:t>
      </w:r>
      <w:r w:rsidRPr="003255BC">
        <w:rPr>
          <w:rFonts w:ascii="Bookman Old Style" w:hAnsi="Bookman Old Style"/>
          <w:lang w:val="sv-FI"/>
        </w:rPr>
        <w:t>sebagaimana</w:t>
      </w:r>
      <w:r w:rsidR="00A954D0" w:rsidRPr="003255BC">
        <w:rPr>
          <w:rFonts w:ascii="Bookman Old Style" w:hAnsi="Bookman Old Style"/>
          <w:lang w:val="sv-FI"/>
        </w:rPr>
        <w:t xml:space="preserve"> </w:t>
      </w:r>
      <w:r w:rsidRPr="003255BC">
        <w:rPr>
          <w:rFonts w:ascii="Bookman Old Style" w:hAnsi="Bookman Old Style"/>
          <w:lang w:val="sv-FI"/>
        </w:rPr>
        <w:t>dimaksud</w:t>
      </w:r>
      <w:r w:rsidR="00A954D0" w:rsidRPr="003255BC">
        <w:rPr>
          <w:rFonts w:ascii="Bookman Old Style" w:hAnsi="Bookman Old Style"/>
          <w:lang w:val="sv-FI"/>
        </w:rPr>
        <w:t xml:space="preserve"> </w:t>
      </w:r>
      <w:r w:rsidRPr="003255BC">
        <w:rPr>
          <w:rFonts w:ascii="Bookman Old Style" w:hAnsi="Bookman Old Style"/>
          <w:b/>
          <w:bCs/>
          <w:lang w:val="sv-FI"/>
        </w:rPr>
        <w:t>pada</w:t>
      </w:r>
      <w:r w:rsidR="00A954D0" w:rsidRPr="003255BC">
        <w:rPr>
          <w:rFonts w:ascii="Bookman Old Style" w:hAnsi="Bookman Old Style"/>
          <w:b/>
          <w:bCs/>
          <w:lang w:val="sv-FI"/>
        </w:rPr>
        <w:t xml:space="preserve"> </w:t>
      </w:r>
      <w:r w:rsidRPr="003255BC">
        <w:rPr>
          <w:rFonts w:ascii="Bookman Old Style" w:hAnsi="Bookman Old Style"/>
          <w:b/>
          <w:bCs/>
          <w:lang w:val="sv-FI"/>
        </w:rPr>
        <w:t>ayat</w:t>
      </w:r>
      <w:r w:rsidR="00A954D0" w:rsidRPr="003255BC">
        <w:rPr>
          <w:rFonts w:ascii="Bookman Old Style" w:hAnsi="Bookman Old Style"/>
          <w:b/>
          <w:bCs/>
          <w:lang w:val="sv-FI"/>
        </w:rPr>
        <w:t xml:space="preserve"> </w:t>
      </w:r>
      <w:r w:rsidRPr="003255BC">
        <w:rPr>
          <w:rFonts w:ascii="Bookman Old Style" w:hAnsi="Bookman Old Style"/>
          <w:b/>
          <w:bCs/>
          <w:lang w:val="sv-FI"/>
        </w:rPr>
        <w:t>(1)</w:t>
      </w:r>
      <w:r w:rsidR="00A954D0" w:rsidRPr="003255BC">
        <w:rPr>
          <w:rFonts w:ascii="Bookman Old Style" w:hAnsi="Bookman Old Style"/>
          <w:b/>
          <w:bCs/>
          <w:lang w:val="sv-FI"/>
        </w:rPr>
        <w:t xml:space="preserve"> </w:t>
      </w:r>
      <w:r w:rsidRPr="003255BC">
        <w:rPr>
          <w:rFonts w:ascii="Bookman Old Style" w:hAnsi="Bookman Old Style"/>
          <w:lang w:val="sv-FI"/>
        </w:rPr>
        <w:t>huruf</w:t>
      </w:r>
      <w:r w:rsidR="00A954D0" w:rsidRPr="003255BC">
        <w:rPr>
          <w:rFonts w:ascii="Bookman Old Style" w:hAnsi="Bookman Old Style"/>
          <w:lang w:val="sv-FI"/>
        </w:rPr>
        <w:t xml:space="preserve"> </w:t>
      </w:r>
      <w:r w:rsidRPr="003255BC">
        <w:rPr>
          <w:rFonts w:ascii="Bookman Old Style" w:hAnsi="Bookman Old Style"/>
          <w:lang w:val="sv-FI"/>
        </w:rPr>
        <w:t>h</w:t>
      </w:r>
      <w:r w:rsidR="00A954D0" w:rsidRPr="003255BC">
        <w:rPr>
          <w:rFonts w:ascii="Bookman Old Style" w:hAnsi="Bookman Old Style"/>
          <w:lang w:val="sv-FI"/>
        </w:rPr>
        <w:t xml:space="preserve"> </w:t>
      </w:r>
      <w:r w:rsidRPr="003255BC">
        <w:rPr>
          <w:rFonts w:ascii="Bookman Old Style" w:hAnsi="Bookman Old Style"/>
          <w:lang w:val="sv-FI"/>
        </w:rPr>
        <w:t>terdiri</w:t>
      </w:r>
      <w:r w:rsidR="00A954D0" w:rsidRPr="003255BC">
        <w:rPr>
          <w:rFonts w:ascii="Bookman Old Style" w:hAnsi="Bookman Old Style"/>
          <w:lang w:val="sv-FI"/>
        </w:rPr>
        <w:t xml:space="preserve"> </w:t>
      </w:r>
      <w:r w:rsidRPr="003255BC">
        <w:rPr>
          <w:rFonts w:ascii="Bookman Old Style" w:hAnsi="Bookman Old Style"/>
          <w:lang w:val="sv-FI"/>
        </w:rPr>
        <w:t>atas:</w:t>
      </w:r>
    </w:p>
    <w:p w14:paraId="662F9E2A" w14:textId="73F73B5C" w:rsidR="006E2F8F" w:rsidRPr="000F0B1E" w:rsidRDefault="006E2F8F">
      <w:pPr>
        <w:pStyle w:val="ListParagraph"/>
        <w:numPr>
          <w:ilvl w:val="0"/>
          <w:numId w:val="220"/>
        </w:numPr>
        <w:snapToGrid w:val="0"/>
        <w:spacing w:before="60" w:after="0" w:line="276" w:lineRule="auto"/>
        <w:ind w:left="2487"/>
        <w:contextualSpacing w:val="0"/>
        <w:jc w:val="both"/>
        <w:rPr>
          <w:rFonts w:ascii="Bookman Old Style" w:hAnsi="Bookman Old Style"/>
          <w:sz w:val="24"/>
          <w:szCs w:val="24"/>
        </w:rPr>
      </w:pPr>
      <w:r w:rsidRPr="000F0B1E">
        <w:rPr>
          <w:rFonts w:ascii="Bookman Old Style" w:hAnsi="Bookman Old Style"/>
          <w:sz w:val="24"/>
          <w:szCs w:val="24"/>
        </w:rPr>
        <w:t>Pendapatan</w:t>
      </w:r>
      <w:r w:rsidR="00A954D0">
        <w:rPr>
          <w:rFonts w:ascii="Bookman Old Style" w:hAnsi="Bookman Old Style"/>
          <w:sz w:val="24"/>
          <w:szCs w:val="24"/>
        </w:rPr>
        <w:t xml:space="preserve"> </w:t>
      </w:r>
      <w:r w:rsidRPr="000F0B1E">
        <w:rPr>
          <w:rFonts w:ascii="Bookman Old Style" w:hAnsi="Bookman Old Style"/>
          <w:sz w:val="24"/>
          <w:szCs w:val="24"/>
        </w:rPr>
        <w:t>Denda</w:t>
      </w:r>
      <w:r w:rsidR="00A954D0">
        <w:rPr>
          <w:rFonts w:ascii="Bookman Old Style" w:hAnsi="Bookman Old Style"/>
          <w:sz w:val="24"/>
          <w:szCs w:val="24"/>
        </w:rPr>
        <w:t xml:space="preserve"> </w:t>
      </w:r>
      <w:r w:rsidRPr="000F0B1E">
        <w:rPr>
          <w:rFonts w:ascii="Bookman Old Style" w:hAnsi="Bookman Old Style"/>
          <w:sz w:val="24"/>
          <w:szCs w:val="24"/>
        </w:rPr>
        <w:t>Pajak</w:t>
      </w:r>
      <w:r w:rsidR="00A954D0">
        <w:rPr>
          <w:rFonts w:ascii="Bookman Old Style" w:hAnsi="Bookman Old Style"/>
          <w:sz w:val="24"/>
          <w:szCs w:val="24"/>
        </w:rPr>
        <w:t xml:space="preserve"> </w:t>
      </w:r>
      <w:r w:rsidRPr="000F0B1E">
        <w:rPr>
          <w:rFonts w:ascii="Bookman Old Style" w:hAnsi="Bookman Old Style"/>
          <w:sz w:val="24"/>
          <w:szCs w:val="24"/>
        </w:rPr>
        <w:t>Restoran</w:t>
      </w:r>
      <w:r w:rsidR="00A954D0">
        <w:rPr>
          <w:rFonts w:ascii="Bookman Old Style" w:hAnsi="Bookman Old Style"/>
          <w:sz w:val="24"/>
          <w:szCs w:val="24"/>
        </w:rPr>
        <w:t xml:space="preserve"> </w:t>
      </w:r>
      <w:r w:rsidRPr="000F0B1E">
        <w:rPr>
          <w:rFonts w:ascii="Bookman Old Style" w:hAnsi="Bookman Old Style"/>
          <w:sz w:val="24"/>
          <w:szCs w:val="24"/>
        </w:rPr>
        <w:t>direncanakan</w:t>
      </w:r>
      <w:r w:rsidR="00A954D0">
        <w:rPr>
          <w:rFonts w:ascii="Bookman Old Style" w:hAnsi="Bookman Old Style"/>
          <w:sz w:val="24"/>
          <w:szCs w:val="24"/>
        </w:rPr>
        <w:t xml:space="preserve"> </w:t>
      </w:r>
      <w:r w:rsidRPr="000F0B1E">
        <w:rPr>
          <w:rFonts w:ascii="Bookman Old Style" w:hAnsi="Bookman Old Style"/>
          <w:sz w:val="24"/>
          <w:szCs w:val="24"/>
        </w:rPr>
        <w:t>sebesar</w:t>
      </w:r>
      <w:r w:rsidR="00A954D0">
        <w:rPr>
          <w:rFonts w:ascii="Bookman Old Style" w:hAnsi="Bookman Old Style"/>
          <w:sz w:val="24"/>
          <w:szCs w:val="24"/>
        </w:rPr>
        <w:t xml:space="preserve"> </w:t>
      </w:r>
      <w:r w:rsidRPr="000F0B1E">
        <w:rPr>
          <w:rFonts w:ascii="Bookman Old Style" w:hAnsi="Bookman Old Style"/>
          <w:sz w:val="24"/>
          <w:szCs w:val="24"/>
        </w:rPr>
        <w:t>Rp2.500.000.000,00</w:t>
      </w:r>
      <w:r w:rsidR="00A954D0">
        <w:rPr>
          <w:rFonts w:ascii="Bookman Old Style" w:hAnsi="Bookman Old Style"/>
          <w:sz w:val="24"/>
          <w:szCs w:val="24"/>
        </w:rPr>
        <w:t xml:space="preserve"> </w:t>
      </w:r>
      <w:r w:rsidRPr="000F0B1E">
        <w:rPr>
          <w:rFonts w:ascii="Bookman Old Style" w:hAnsi="Bookman Old Style"/>
          <w:sz w:val="24"/>
          <w:szCs w:val="24"/>
        </w:rPr>
        <w:t>(Dua</w:t>
      </w:r>
      <w:r w:rsidR="00A954D0">
        <w:rPr>
          <w:rFonts w:ascii="Bookman Old Style" w:hAnsi="Bookman Old Style"/>
          <w:sz w:val="24"/>
          <w:szCs w:val="24"/>
        </w:rPr>
        <w:t xml:space="preserve"> </w:t>
      </w:r>
      <w:r w:rsidRPr="000F0B1E">
        <w:rPr>
          <w:rFonts w:ascii="Bookman Old Style" w:hAnsi="Bookman Old Style"/>
          <w:sz w:val="24"/>
          <w:szCs w:val="24"/>
        </w:rPr>
        <w:t>Miliar</w:t>
      </w:r>
      <w:r w:rsidR="00A954D0">
        <w:rPr>
          <w:rFonts w:ascii="Bookman Old Style" w:hAnsi="Bookman Old Style"/>
          <w:sz w:val="24"/>
          <w:szCs w:val="24"/>
        </w:rPr>
        <w:t xml:space="preserve"> </w:t>
      </w:r>
      <w:r w:rsidRPr="000F0B1E">
        <w:rPr>
          <w:rFonts w:ascii="Bookman Old Style" w:hAnsi="Bookman Old Style"/>
          <w:sz w:val="24"/>
          <w:szCs w:val="24"/>
        </w:rPr>
        <w:t>Lima</w:t>
      </w:r>
      <w:r w:rsidR="00A954D0">
        <w:rPr>
          <w:rFonts w:ascii="Bookman Old Style" w:hAnsi="Bookman Old Style"/>
          <w:sz w:val="24"/>
          <w:szCs w:val="24"/>
        </w:rPr>
        <w:t xml:space="preserve"> </w:t>
      </w:r>
      <w:r w:rsidRPr="000F0B1E">
        <w:rPr>
          <w:rFonts w:ascii="Bookman Old Style" w:hAnsi="Bookman Old Style"/>
          <w:sz w:val="24"/>
          <w:szCs w:val="24"/>
        </w:rPr>
        <w:t>Ratus</w:t>
      </w:r>
      <w:r w:rsidR="00A954D0">
        <w:rPr>
          <w:rFonts w:ascii="Bookman Old Style" w:hAnsi="Bookman Old Style"/>
          <w:sz w:val="24"/>
          <w:szCs w:val="24"/>
        </w:rPr>
        <w:t xml:space="preserve"> </w:t>
      </w:r>
      <w:r w:rsidRPr="000F0B1E">
        <w:rPr>
          <w:rFonts w:ascii="Bookman Old Style" w:hAnsi="Bookman Old Style"/>
          <w:sz w:val="24"/>
          <w:szCs w:val="24"/>
        </w:rPr>
        <w:t>Juta</w:t>
      </w:r>
      <w:r w:rsidR="00A954D0">
        <w:rPr>
          <w:rFonts w:ascii="Bookman Old Style" w:hAnsi="Bookman Old Style"/>
          <w:sz w:val="24"/>
          <w:szCs w:val="24"/>
        </w:rPr>
        <w:t xml:space="preserve"> </w:t>
      </w:r>
      <w:r w:rsidRPr="000F0B1E">
        <w:rPr>
          <w:rFonts w:ascii="Bookman Old Style" w:hAnsi="Bookman Old Style"/>
          <w:sz w:val="24"/>
          <w:szCs w:val="24"/>
        </w:rPr>
        <w:t>Rupiah);</w:t>
      </w:r>
      <w:r w:rsidR="00A954D0">
        <w:rPr>
          <w:rFonts w:ascii="Bookman Old Style" w:hAnsi="Bookman Old Style"/>
          <w:sz w:val="24"/>
          <w:szCs w:val="24"/>
        </w:rPr>
        <w:t xml:space="preserve"> </w:t>
      </w:r>
      <w:r w:rsidRPr="000F0B1E">
        <w:rPr>
          <w:rFonts w:ascii="Bookman Old Style" w:hAnsi="Bookman Old Style"/>
          <w:sz w:val="24"/>
          <w:szCs w:val="24"/>
        </w:rPr>
        <w:t>dan</w:t>
      </w:r>
    </w:p>
    <w:p w14:paraId="4BD391EA" w14:textId="1460216E" w:rsidR="006E2F8F" w:rsidRPr="000F0B1E" w:rsidRDefault="006E2F8F">
      <w:pPr>
        <w:pStyle w:val="ListParagraph"/>
        <w:numPr>
          <w:ilvl w:val="0"/>
          <w:numId w:val="220"/>
        </w:numPr>
        <w:snapToGrid w:val="0"/>
        <w:spacing w:before="60" w:after="0" w:line="276" w:lineRule="auto"/>
        <w:ind w:left="2487"/>
        <w:contextualSpacing w:val="0"/>
        <w:jc w:val="both"/>
        <w:rPr>
          <w:rFonts w:ascii="Bookman Old Style" w:hAnsi="Bookman Old Style"/>
          <w:sz w:val="24"/>
          <w:szCs w:val="24"/>
        </w:rPr>
      </w:pPr>
      <w:r w:rsidRPr="000F0B1E">
        <w:rPr>
          <w:rFonts w:ascii="Bookman Old Style" w:hAnsi="Bookman Old Style"/>
          <w:sz w:val="24"/>
          <w:szCs w:val="24"/>
        </w:rPr>
        <w:t>Pendapatan</w:t>
      </w:r>
      <w:r w:rsidR="00A954D0">
        <w:rPr>
          <w:rFonts w:ascii="Bookman Old Style" w:hAnsi="Bookman Old Style"/>
          <w:sz w:val="24"/>
          <w:szCs w:val="24"/>
        </w:rPr>
        <w:t xml:space="preserve"> </w:t>
      </w:r>
      <w:r w:rsidRPr="000F0B1E">
        <w:rPr>
          <w:rFonts w:ascii="Bookman Old Style" w:hAnsi="Bookman Old Style"/>
          <w:sz w:val="24"/>
          <w:szCs w:val="24"/>
        </w:rPr>
        <w:t>Denda</w:t>
      </w:r>
      <w:r w:rsidR="00A954D0">
        <w:rPr>
          <w:rFonts w:ascii="Bookman Old Style" w:hAnsi="Bookman Old Style"/>
          <w:sz w:val="24"/>
          <w:szCs w:val="24"/>
        </w:rPr>
        <w:t xml:space="preserve"> </w:t>
      </w:r>
      <w:r w:rsidRPr="000F0B1E">
        <w:rPr>
          <w:rFonts w:ascii="Bookman Old Style" w:hAnsi="Bookman Old Style"/>
          <w:sz w:val="24"/>
          <w:szCs w:val="24"/>
        </w:rPr>
        <w:t>Pajak</w:t>
      </w:r>
      <w:r w:rsidR="00A954D0">
        <w:rPr>
          <w:rFonts w:ascii="Bookman Old Style" w:hAnsi="Bookman Old Style"/>
          <w:sz w:val="24"/>
          <w:szCs w:val="24"/>
        </w:rPr>
        <w:t xml:space="preserve"> </w:t>
      </w:r>
      <w:r w:rsidRPr="000F0B1E">
        <w:rPr>
          <w:rFonts w:ascii="Bookman Old Style" w:hAnsi="Bookman Old Style"/>
          <w:sz w:val="24"/>
          <w:szCs w:val="24"/>
        </w:rPr>
        <w:t>Bumi</w:t>
      </w:r>
      <w:r w:rsidR="00A954D0">
        <w:rPr>
          <w:rFonts w:ascii="Bookman Old Style" w:hAnsi="Bookman Old Style"/>
          <w:sz w:val="24"/>
          <w:szCs w:val="24"/>
        </w:rPr>
        <w:t xml:space="preserve"> </w:t>
      </w:r>
      <w:r w:rsidRPr="000F0B1E">
        <w:rPr>
          <w:rFonts w:ascii="Bookman Old Style" w:hAnsi="Bookman Old Style"/>
          <w:sz w:val="24"/>
          <w:szCs w:val="24"/>
        </w:rPr>
        <w:t>dan</w:t>
      </w:r>
      <w:r w:rsidR="00A954D0">
        <w:rPr>
          <w:rFonts w:ascii="Bookman Old Style" w:hAnsi="Bookman Old Style"/>
          <w:sz w:val="24"/>
          <w:szCs w:val="24"/>
        </w:rPr>
        <w:t xml:space="preserve"> </w:t>
      </w:r>
      <w:r w:rsidRPr="000F0B1E">
        <w:rPr>
          <w:rFonts w:ascii="Bookman Old Style" w:hAnsi="Bookman Old Style"/>
          <w:sz w:val="24"/>
          <w:szCs w:val="24"/>
        </w:rPr>
        <w:t>bangunan</w:t>
      </w:r>
      <w:r w:rsidR="00A954D0">
        <w:rPr>
          <w:rFonts w:ascii="Bookman Old Style" w:hAnsi="Bookman Old Style"/>
          <w:sz w:val="24"/>
          <w:szCs w:val="24"/>
        </w:rPr>
        <w:t xml:space="preserve"> </w:t>
      </w:r>
      <w:r w:rsidRPr="000F0B1E">
        <w:rPr>
          <w:rFonts w:ascii="Bookman Old Style" w:hAnsi="Bookman Old Style"/>
          <w:sz w:val="24"/>
          <w:szCs w:val="24"/>
        </w:rPr>
        <w:t>Perdesaan</w:t>
      </w:r>
      <w:r w:rsidR="00A954D0">
        <w:rPr>
          <w:rFonts w:ascii="Bookman Old Style" w:hAnsi="Bookman Old Style"/>
          <w:sz w:val="24"/>
          <w:szCs w:val="24"/>
        </w:rPr>
        <w:t xml:space="preserve"> </w:t>
      </w:r>
      <w:r w:rsidRPr="000F0B1E">
        <w:rPr>
          <w:rFonts w:ascii="Bookman Old Style" w:hAnsi="Bookman Old Style"/>
          <w:sz w:val="24"/>
          <w:szCs w:val="24"/>
        </w:rPr>
        <w:t>dan</w:t>
      </w:r>
      <w:r w:rsidR="00A954D0">
        <w:rPr>
          <w:rFonts w:ascii="Bookman Old Style" w:hAnsi="Bookman Old Style"/>
          <w:sz w:val="24"/>
          <w:szCs w:val="24"/>
        </w:rPr>
        <w:t xml:space="preserve"> </w:t>
      </w:r>
      <w:r w:rsidRPr="000F0B1E">
        <w:rPr>
          <w:rFonts w:ascii="Bookman Old Style" w:hAnsi="Bookman Old Style"/>
          <w:sz w:val="24"/>
          <w:szCs w:val="24"/>
        </w:rPr>
        <w:t>Perkotaan</w:t>
      </w:r>
      <w:r w:rsidR="00A954D0">
        <w:rPr>
          <w:rFonts w:ascii="Bookman Old Style" w:hAnsi="Bookman Old Style"/>
          <w:sz w:val="24"/>
          <w:szCs w:val="24"/>
        </w:rPr>
        <w:t xml:space="preserve"> </w:t>
      </w:r>
      <w:r w:rsidRPr="000F0B1E">
        <w:rPr>
          <w:rFonts w:ascii="Bookman Old Style" w:hAnsi="Bookman Old Style"/>
          <w:sz w:val="24"/>
          <w:szCs w:val="24"/>
        </w:rPr>
        <w:t>(PBBP2)</w:t>
      </w:r>
      <w:r w:rsidR="00A954D0">
        <w:rPr>
          <w:rFonts w:ascii="Bookman Old Style" w:hAnsi="Bookman Old Style"/>
          <w:sz w:val="24"/>
          <w:szCs w:val="24"/>
        </w:rPr>
        <w:t xml:space="preserve"> </w:t>
      </w:r>
      <w:r w:rsidRPr="000F0B1E">
        <w:rPr>
          <w:rFonts w:ascii="Bookman Old Style" w:hAnsi="Bookman Old Style"/>
          <w:sz w:val="24"/>
          <w:szCs w:val="24"/>
        </w:rPr>
        <w:t>direncanakan</w:t>
      </w:r>
      <w:r w:rsidR="00A954D0">
        <w:rPr>
          <w:rFonts w:ascii="Bookman Old Style" w:hAnsi="Bookman Old Style"/>
          <w:sz w:val="24"/>
          <w:szCs w:val="24"/>
        </w:rPr>
        <w:t xml:space="preserve"> </w:t>
      </w:r>
      <w:r w:rsidRPr="000F0B1E">
        <w:rPr>
          <w:rFonts w:ascii="Bookman Old Style" w:hAnsi="Bookman Old Style"/>
          <w:sz w:val="24"/>
          <w:szCs w:val="24"/>
        </w:rPr>
        <w:t>sebesar</w:t>
      </w:r>
      <w:r w:rsidR="00A954D0">
        <w:rPr>
          <w:rFonts w:ascii="Bookman Old Style" w:hAnsi="Bookman Old Style"/>
          <w:sz w:val="24"/>
          <w:szCs w:val="24"/>
        </w:rPr>
        <w:t xml:space="preserve"> </w:t>
      </w:r>
      <w:r w:rsidRPr="000F0B1E">
        <w:rPr>
          <w:rFonts w:ascii="Bookman Old Style" w:hAnsi="Bookman Old Style"/>
          <w:sz w:val="24"/>
          <w:szCs w:val="24"/>
        </w:rPr>
        <w:t>Rp2.500.000.000,00</w:t>
      </w:r>
      <w:r w:rsidR="00A954D0">
        <w:rPr>
          <w:rFonts w:ascii="Bookman Old Style" w:hAnsi="Bookman Old Style"/>
          <w:sz w:val="24"/>
          <w:szCs w:val="24"/>
        </w:rPr>
        <w:t xml:space="preserve"> </w:t>
      </w:r>
      <w:r w:rsidRPr="000F0B1E">
        <w:rPr>
          <w:rFonts w:ascii="Bookman Old Style" w:hAnsi="Bookman Old Style"/>
          <w:sz w:val="24"/>
          <w:szCs w:val="24"/>
        </w:rPr>
        <w:t>(Dua</w:t>
      </w:r>
      <w:r w:rsidR="00A954D0">
        <w:rPr>
          <w:rFonts w:ascii="Bookman Old Style" w:hAnsi="Bookman Old Style"/>
          <w:sz w:val="24"/>
          <w:szCs w:val="24"/>
        </w:rPr>
        <w:t xml:space="preserve"> </w:t>
      </w:r>
      <w:r w:rsidRPr="000F0B1E">
        <w:rPr>
          <w:rFonts w:ascii="Bookman Old Style" w:hAnsi="Bookman Old Style"/>
          <w:sz w:val="24"/>
          <w:szCs w:val="24"/>
        </w:rPr>
        <w:t>Miliar</w:t>
      </w:r>
      <w:r w:rsidR="00A954D0">
        <w:rPr>
          <w:rFonts w:ascii="Bookman Old Style" w:hAnsi="Bookman Old Style"/>
          <w:sz w:val="24"/>
          <w:szCs w:val="24"/>
        </w:rPr>
        <w:t xml:space="preserve"> </w:t>
      </w:r>
      <w:r w:rsidRPr="000F0B1E">
        <w:rPr>
          <w:rFonts w:ascii="Bookman Old Style" w:hAnsi="Bookman Old Style"/>
          <w:sz w:val="24"/>
          <w:szCs w:val="24"/>
        </w:rPr>
        <w:t>Lima</w:t>
      </w:r>
      <w:r w:rsidR="00A954D0">
        <w:rPr>
          <w:rFonts w:ascii="Bookman Old Style" w:hAnsi="Bookman Old Style"/>
          <w:sz w:val="24"/>
          <w:szCs w:val="24"/>
        </w:rPr>
        <w:t xml:space="preserve"> </w:t>
      </w:r>
      <w:r w:rsidRPr="000F0B1E">
        <w:rPr>
          <w:rFonts w:ascii="Bookman Old Style" w:hAnsi="Bookman Old Style"/>
          <w:sz w:val="24"/>
          <w:szCs w:val="24"/>
        </w:rPr>
        <w:t>Ratus</w:t>
      </w:r>
      <w:r w:rsidR="00A954D0">
        <w:rPr>
          <w:rFonts w:ascii="Bookman Old Style" w:hAnsi="Bookman Old Style"/>
          <w:sz w:val="24"/>
          <w:szCs w:val="24"/>
        </w:rPr>
        <w:t xml:space="preserve"> </w:t>
      </w:r>
      <w:r w:rsidRPr="000F0B1E">
        <w:rPr>
          <w:rFonts w:ascii="Bookman Old Style" w:hAnsi="Bookman Old Style"/>
          <w:sz w:val="24"/>
          <w:szCs w:val="24"/>
        </w:rPr>
        <w:t>Juta</w:t>
      </w:r>
      <w:r w:rsidR="00A954D0">
        <w:rPr>
          <w:rFonts w:ascii="Bookman Old Style" w:hAnsi="Bookman Old Style"/>
          <w:sz w:val="24"/>
          <w:szCs w:val="24"/>
        </w:rPr>
        <w:t xml:space="preserve"> </w:t>
      </w:r>
      <w:r w:rsidRPr="000F0B1E">
        <w:rPr>
          <w:rFonts w:ascii="Bookman Old Style" w:hAnsi="Bookman Old Style"/>
          <w:sz w:val="24"/>
          <w:szCs w:val="24"/>
        </w:rPr>
        <w:t>Rupiah).</w:t>
      </w:r>
    </w:p>
    <w:p w14:paraId="0E91A3FD" w14:textId="222226E3" w:rsidR="006E2F8F" w:rsidRPr="003255BC" w:rsidRDefault="006E2F8F" w:rsidP="004A784D">
      <w:pPr>
        <w:numPr>
          <w:ilvl w:val="0"/>
          <w:numId w:val="176"/>
        </w:numPr>
        <w:snapToGrid w:val="0"/>
        <w:spacing w:before="60" w:line="276" w:lineRule="auto"/>
        <w:ind w:left="2268" w:hanging="567"/>
        <w:jc w:val="both"/>
        <w:rPr>
          <w:rFonts w:ascii="Bookman Old Style" w:hAnsi="Bookman Old Style" w:cs="Tahoma"/>
          <w:lang w:val="sv-FI"/>
        </w:rPr>
      </w:pPr>
      <w:r w:rsidRPr="003255BC">
        <w:rPr>
          <w:rFonts w:ascii="Bookman Old Style" w:hAnsi="Bookman Old Style" w:cs="Tahoma"/>
          <w:lang w:val="sv-FI"/>
        </w:rPr>
        <w:t>Pasal</w:t>
      </w:r>
      <w:r w:rsidR="00A954D0" w:rsidRPr="003255BC">
        <w:rPr>
          <w:rFonts w:ascii="Bookman Old Style" w:hAnsi="Bookman Old Style" w:cs="Tahoma"/>
          <w:lang w:val="sv-FI"/>
        </w:rPr>
        <w:t xml:space="preserve"> </w:t>
      </w:r>
      <w:r w:rsidRPr="003255BC">
        <w:rPr>
          <w:rFonts w:ascii="Bookman Old Style" w:hAnsi="Bookman Old Style" w:cs="Tahoma"/>
          <w:lang w:val="sv-FI"/>
        </w:rPr>
        <w:t>9</w:t>
      </w:r>
      <w:r w:rsidR="00A954D0" w:rsidRPr="003255BC">
        <w:rPr>
          <w:rFonts w:ascii="Bookman Old Style" w:hAnsi="Bookman Old Style" w:cs="Tahoma"/>
          <w:lang w:val="sv-FI"/>
        </w:rPr>
        <w:t xml:space="preserve"> </w:t>
      </w:r>
      <w:r w:rsidRPr="003255BC">
        <w:rPr>
          <w:rFonts w:ascii="Bookman Old Style" w:hAnsi="Bookman Old Style" w:cs="Tahoma"/>
          <w:lang w:val="sv-FI"/>
        </w:rPr>
        <w:t>ayat</w:t>
      </w:r>
      <w:r w:rsidR="00A954D0" w:rsidRPr="003255BC">
        <w:rPr>
          <w:rFonts w:ascii="Bookman Old Style" w:hAnsi="Bookman Old Style" w:cs="Tahoma"/>
          <w:lang w:val="sv-FI"/>
        </w:rPr>
        <w:t xml:space="preserve"> </w:t>
      </w:r>
      <w:r w:rsidRPr="003255BC">
        <w:rPr>
          <w:rFonts w:ascii="Bookman Old Style" w:hAnsi="Bookman Old Style" w:cs="Tahoma"/>
          <w:lang w:val="sv-FI"/>
        </w:rPr>
        <w:t>(2)</w:t>
      </w:r>
      <w:r w:rsidR="00A954D0" w:rsidRPr="003255BC">
        <w:rPr>
          <w:rFonts w:ascii="Bookman Old Style" w:hAnsi="Bookman Old Style" w:cs="Tahoma"/>
          <w:lang w:val="sv-FI"/>
        </w:rPr>
        <w:t xml:space="preserve"> </w:t>
      </w:r>
      <w:r w:rsidRPr="003255BC">
        <w:rPr>
          <w:rFonts w:ascii="Bookman Old Style" w:hAnsi="Bookman Old Style" w:cs="Tahoma"/>
          <w:lang w:val="sv-FI"/>
        </w:rPr>
        <w:t>agar</w:t>
      </w:r>
      <w:r w:rsidR="00A954D0" w:rsidRPr="003255BC">
        <w:rPr>
          <w:rFonts w:ascii="Bookman Old Style" w:hAnsi="Bookman Old Style" w:cs="Tahoma"/>
          <w:lang w:val="sv-FI"/>
        </w:rPr>
        <w:t xml:space="preserve"> </w:t>
      </w:r>
      <w:r w:rsidRPr="003255BC">
        <w:rPr>
          <w:rFonts w:ascii="Bookman Old Style" w:hAnsi="Bookman Old Style" w:cs="Tahoma"/>
          <w:lang w:val="sv-FI"/>
        </w:rPr>
        <w:t>diperbaiki</w:t>
      </w:r>
      <w:r w:rsidR="00A954D0" w:rsidRPr="003255BC">
        <w:rPr>
          <w:rFonts w:ascii="Bookman Old Style" w:hAnsi="Bookman Old Style" w:cs="Tahoma"/>
          <w:lang w:val="sv-FI"/>
        </w:rPr>
        <w:t xml:space="preserve"> </w:t>
      </w:r>
      <w:r w:rsidRPr="003255BC">
        <w:rPr>
          <w:rFonts w:ascii="Bookman Old Style" w:hAnsi="Bookman Old Style" w:cs="Tahoma"/>
          <w:lang w:val="sv-FI"/>
        </w:rPr>
        <w:t>redaksionalnya</w:t>
      </w:r>
      <w:r w:rsidR="00A954D0" w:rsidRPr="003255BC">
        <w:rPr>
          <w:rFonts w:ascii="Bookman Old Style" w:hAnsi="Bookman Old Style" w:cs="Tahoma"/>
          <w:lang w:val="sv-FI"/>
        </w:rPr>
        <w:t xml:space="preserve"> </w:t>
      </w:r>
      <w:r w:rsidRPr="003255BC">
        <w:rPr>
          <w:rFonts w:ascii="Bookman Old Style" w:hAnsi="Bookman Old Style" w:cs="Tahoma"/>
          <w:lang w:val="sv-FI"/>
        </w:rPr>
        <w:t>menjadi:</w:t>
      </w:r>
    </w:p>
    <w:p w14:paraId="044CDC8F" w14:textId="1F55F490" w:rsidR="006E2F8F" w:rsidRPr="003255BC" w:rsidRDefault="006E2F8F" w:rsidP="00DD7816">
      <w:pPr>
        <w:snapToGrid w:val="0"/>
        <w:spacing w:before="60" w:line="276" w:lineRule="auto"/>
        <w:ind w:left="2127"/>
        <w:jc w:val="both"/>
        <w:rPr>
          <w:rFonts w:ascii="Bookman Old Style" w:hAnsi="Bookman Old Style"/>
          <w:lang w:val="sv-FI"/>
        </w:rPr>
      </w:pPr>
      <w:r w:rsidRPr="003255BC">
        <w:rPr>
          <w:rFonts w:ascii="Bookman Old Style" w:hAnsi="Bookman Old Style"/>
          <w:lang w:val="sv-FI"/>
        </w:rPr>
        <w:t>Pendapatan</w:t>
      </w:r>
      <w:r w:rsidR="00A954D0" w:rsidRPr="003255BC">
        <w:rPr>
          <w:rFonts w:ascii="Bookman Old Style" w:hAnsi="Bookman Old Style"/>
          <w:lang w:val="sv-FI"/>
        </w:rPr>
        <w:t xml:space="preserve"> </w:t>
      </w:r>
      <w:r w:rsidRPr="003255BC">
        <w:rPr>
          <w:rFonts w:ascii="Bookman Old Style" w:hAnsi="Bookman Old Style"/>
          <w:lang w:val="sv-FI"/>
        </w:rPr>
        <w:t>Transfer</w:t>
      </w:r>
      <w:r w:rsidR="00A954D0" w:rsidRPr="003255BC">
        <w:rPr>
          <w:rFonts w:ascii="Bookman Old Style" w:hAnsi="Bookman Old Style"/>
          <w:lang w:val="sv-FI"/>
        </w:rPr>
        <w:t xml:space="preserve"> </w:t>
      </w:r>
      <w:r w:rsidRPr="003255BC">
        <w:rPr>
          <w:rFonts w:ascii="Bookman Old Style" w:hAnsi="Bookman Old Style"/>
          <w:lang w:val="sv-FI"/>
        </w:rPr>
        <w:t>Pemerintah</w:t>
      </w:r>
      <w:r w:rsidR="00A954D0" w:rsidRPr="003255BC">
        <w:rPr>
          <w:rFonts w:ascii="Bookman Old Style" w:hAnsi="Bookman Old Style"/>
          <w:lang w:val="sv-FI"/>
        </w:rPr>
        <w:t xml:space="preserve"> </w:t>
      </w:r>
      <w:r w:rsidRPr="003255BC">
        <w:rPr>
          <w:rFonts w:ascii="Bookman Old Style" w:hAnsi="Bookman Old Style"/>
          <w:lang w:val="sv-FI"/>
        </w:rPr>
        <w:t>Pusat</w:t>
      </w:r>
      <w:r w:rsidR="00A954D0" w:rsidRPr="003255BC">
        <w:rPr>
          <w:rFonts w:ascii="Bookman Old Style" w:hAnsi="Bookman Old Style"/>
          <w:lang w:val="sv-FI"/>
        </w:rPr>
        <w:t xml:space="preserve"> </w:t>
      </w:r>
      <w:r w:rsidRPr="003255BC">
        <w:rPr>
          <w:rFonts w:ascii="Bookman Old Style" w:hAnsi="Bookman Old Style"/>
          <w:lang w:val="sv-FI"/>
        </w:rPr>
        <w:t>sebagaimana</w:t>
      </w:r>
      <w:r w:rsidR="00A954D0" w:rsidRPr="003255BC">
        <w:rPr>
          <w:rFonts w:ascii="Bookman Old Style" w:hAnsi="Bookman Old Style"/>
          <w:lang w:val="sv-FI"/>
        </w:rPr>
        <w:t xml:space="preserve"> </w:t>
      </w:r>
      <w:r w:rsidRPr="003255BC">
        <w:rPr>
          <w:rFonts w:ascii="Bookman Old Style" w:hAnsi="Bookman Old Style"/>
          <w:lang w:val="sv-FI"/>
        </w:rPr>
        <w:t>dimaksud</w:t>
      </w:r>
      <w:r w:rsidR="00A954D0" w:rsidRPr="003255BC">
        <w:rPr>
          <w:rFonts w:ascii="Bookman Old Style" w:hAnsi="Bookman Old Style"/>
          <w:lang w:val="sv-FI"/>
        </w:rPr>
        <w:t xml:space="preserve"> </w:t>
      </w:r>
      <w:r w:rsidRPr="003255BC">
        <w:rPr>
          <w:rFonts w:ascii="Bookman Old Style" w:hAnsi="Bookman Old Style"/>
          <w:b/>
          <w:bCs/>
          <w:lang w:val="sv-FI"/>
        </w:rPr>
        <w:t>pada</w:t>
      </w:r>
      <w:r w:rsidR="00A954D0" w:rsidRPr="003255BC">
        <w:rPr>
          <w:rFonts w:ascii="Bookman Old Style" w:hAnsi="Bookman Old Style"/>
          <w:b/>
          <w:bCs/>
          <w:lang w:val="sv-FI"/>
        </w:rPr>
        <w:t xml:space="preserve"> </w:t>
      </w:r>
      <w:r w:rsidRPr="003255BC">
        <w:rPr>
          <w:rFonts w:ascii="Bookman Old Style" w:hAnsi="Bookman Old Style"/>
          <w:b/>
          <w:bCs/>
          <w:lang w:val="sv-FI"/>
        </w:rPr>
        <w:t>ayat</w:t>
      </w:r>
      <w:r w:rsidR="00A954D0" w:rsidRPr="003255BC">
        <w:rPr>
          <w:rFonts w:ascii="Bookman Old Style" w:hAnsi="Bookman Old Style"/>
          <w:b/>
          <w:bCs/>
          <w:lang w:val="sv-FI"/>
        </w:rPr>
        <w:t xml:space="preserve"> </w:t>
      </w:r>
      <w:r w:rsidRPr="003255BC">
        <w:rPr>
          <w:rFonts w:ascii="Bookman Old Style" w:hAnsi="Bookman Old Style"/>
          <w:b/>
          <w:bCs/>
          <w:lang w:val="sv-FI"/>
        </w:rPr>
        <w:t>(1)</w:t>
      </w:r>
      <w:r w:rsidR="00A954D0" w:rsidRPr="003255BC">
        <w:rPr>
          <w:rFonts w:ascii="Bookman Old Style" w:hAnsi="Bookman Old Style"/>
          <w:lang w:val="sv-FI"/>
        </w:rPr>
        <w:t xml:space="preserve"> </w:t>
      </w:r>
      <w:r w:rsidRPr="003255BC">
        <w:rPr>
          <w:rFonts w:ascii="Bookman Old Style" w:hAnsi="Bookman Old Style"/>
          <w:lang w:val="sv-FI"/>
        </w:rPr>
        <w:t>huruf</w:t>
      </w:r>
      <w:r w:rsidR="00A954D0" w:rsidRPr="003255BC">
        <w:rPr>
          <w:rFonts w:ascii="Bookman Old Style" w:hAnsi="Bookman Old Style"/>
          <w:lang w:val="sv-FI"/>
        </w:rPr>
        <w:t xml:space="preserve"> </w:t>
      </w:r>
      <w:r w:rsidRPr="003255BC">
        <w:rPr>
          <w:rFonts w:ascii="Bookman Old Style" w:hAnsi="Bookman Old Style"/>
          <w:lang w:val="sv-FI"/>
        </w:rPr>
        <w:t>a</w:t>
      </w:r>
      <w:r w:rsidR="00A954D0" w:rsidRPr="003255BC">
        <w:rPr>
          <w:rFonts w:ascii="Bookman Old Style" w:hAnsi="Bookman Old Style"/>
          <w:lang w:val="sv-FI"/>
        </w:rPr>
        <w:t xml:space="preserve"> </w:t>
      </w:r>
      <w:r w:rsidRPr="003255BC">
        <w:rPr>
          <w:rFonts w:ascii="Bookman Old Style" w:hAnsi="Bookman Old Style"/>
          <w:lang w:val="sv-FI"/>
        </w:rPr>
        <w:t>direncanakan</w:t>
      </w:r>
      <w:r w:rsidR="00A954D0" w:rsidRPr="003255BC">
        <w:rPr>
          <w:rFonts w:ascii="Bookman Old Style" w:hAnsi="Bookman Old Style"/>
          <w:lang w:val="sv-FI"/>
        </w:rPr>
        <w:t xml:space="preserve"> </w:t>
      </w:r>
      <w:r w:rsidRPr="003255BC">
        <w:rPr>
          <w:rFonts w:ascii="Bookman Old Style" w:hAnsi="Bookman Old Style"/>
          <w:lang w:val="sv-FI"/>
        </w:rPr>
        <w:t>sebesar</w:t>
      </w:r>
      <w:r w:rsidR="00A954D0" w:rsidRPr="003255BC">
        <w:rPr>
          <w:rFonts w:ascii="Bookman Old Style" w:hAnsi="Bookman Old Style"/>
          <w:lang w:val="sv-FI"/>
        </w:rPr>
        <w:t xml:space="preserve"> </w:t>
      </w:r>
      <w:r w:rsidRPr="003255BC">
        <w:rPr>
          <w:rFonts w:ascii="Bookman Old Style" w:hAnsi="Bookman Old Style"/>
          <w:lang w:val="sv-FI"/>
        </w:rPr>
        <w:t>Rp1.987.071.669.000,00</w:t>
      </w:r>
      <w:r w:rsidR="00A954D0" w:rsidRPr="003255BC">
        <w:rPr>
          <w:rFonts w:ascii="Bookman Old Style" w:hAnsi="Bookman Old Style"/>
          <w:lang w:val="sv-FI"/>
        </w:rPr>
        <w:t xml:space="preserve"> </w:t>
      </w:r>
      <w:r w:rsidRPr="003255BC">
        <w:rPr>
          <w:rFonts w:ascii="Bookman Old Style" w:hAnsi="Bookman Old Style"/>
          <w:lang w:val="sv-FI"/>
        </w:rPr>
        <w:t>(Satu</w:t>
      </w:r>
      <w:r w:rsidR="00A954D0" w:rsidRPr="003255BC">
        <w:rPr>
          <w:rFonts w:ascii="Bookman Old Style" w:hAnsi="Bookman Old Style"/>
          <w:lang w:val="sv-FI"/>
        </w:rPr>
        <w:t xml:space="preserve"> </w:t>
      </w:r>
      <w:r w:rsidRPr="003255BC">
        <w:rPr>
          <w:rFonts w:ascii="Bookman Old Style" w:hAnsi="Bookman Old Style"/>
          <w:lang w:val="sv-FI"/>
        </w:rPr>
        <w:t>Triliun</w:t>
      </w:r>
      <w:r w:rsidR="00A954D0" w:rsidRPr="003255BC">
        <w:rPr>
          <w:rFonts w:ascii="Bookman Old Style" w:hAnsi="Bookman Old Style"/>
          <w:lang w:val="sv-FI"/>
        </w:rPr>
        <w:t xml:space="preserve"> </w:t>
      </w:r>
      <w:r w:rsidRPr="003255BC">
        <w:rPr>
          <w:rFonts w:ascii="Bookman Old Style" w:hAnsi="Bookman Old Style"/>
          <w:lang w:val="sv-FI"/>
        </w:rPr>
        <w:t>Sembilan</w:t>
      </w:r>
      <w:r w:rsidR="00A954D0" w:rsidRPr="003255BC">
        <w:rPr>
          <w:rFonts w:ascii="Bookman Old Style" w:hAnsi="Bookman Old Style"/>
          <w:lang w:val="sv-FI"/>
        </w:rPr>
        <w:t xml:space="preserve"> </w:t>
      </w:r>
      <w:r w:rsidRPr="003255BC">
        <w:rPr>
          <w:rFonts w:ascii="Bookman Old Style" w:hAnsi="Bookman Old Style"/>
          <w:lang w:val="sv-FI"/>
        </w:rPr>
        <w:t>Ratus</w:t>
      </w:r>
      <w:r w:rsidR="00A954D0" w:rsidRPr="003255BC">
        <w:rPr>
          <w:rFonts w:ascii="Bookman Old Style" w:hAnsi="Bookman Old Style"/>
          <w:lang w:val="sv-FI"/>
        </w:rPr>
        <w:t xml:space="preserve"> </w:t>
      </w:r>
      <w:r w:rsidRPr="003255BC">
        <w:rPr>
          <w:rFonts w:ascii="Bookman Old Style" w:hAnsi="Bookman Old Style"/>
          <w:lang w:val="sv-FI"/>
        </w:rPr>
        <w:t>Delapan</w:t>
      </w:r>
      <w:r w:rsidR="00A954D0" w:rsidRPr="003255BC">
        <w:rPr>
          <w:rFonts w:ascii="Bookman Old Style" w:hAnsi="Bookman Old Style"/>
          <w:lang w:val="sv-FI"/>
        </w:rPr>
        <w:t xml:space="preserve"> </w:t>
      </w:r>
      <w:r w:rsidRPr="003255BC">
        <w:rPr>
          <w:rFonts w:ascii="Bookman Old Style" w:hAnsi="Bookman Old Style"/>
          <w:lang w:val="sv-FI"/>
        </w:rPr>
        <w:t>Puluh</w:t>
      </w:r>
      <w:r w:rsidR="00A954D0" w:rsidRPr="003255BC">
        <w:rPr>
          <w:rFonts w:ascii="Bookman Old Style" w:hAnsi="Bookman Old Style"/>
          <w:lang w:val="sv-FI"/>
        </w:rPr>
        <w:t xml:space="preserve"> </w:t>
      </w:r>
      <w:r w:rsidRPr="003255BC">
        <w:rPr>
          <w:rFonts w:ascii="Bookman Old Style" w:hAnsi="Bookman Old Style"/>
          <w:lang w:val="sv-FI"/>
        </w:rPr>
        <w:t>Tujuh</w:t>
      </w:r>
      <w:r w:rsidR="00A954D0" w:rsidRPr="003255BC">
        <w:rPr>
          <w:rFonts w:ascii="Bookman Old Style" w:hAnsi="Bookman Old Style"/>
          <w:lang w:val="sv-FI"/>
        </w:rPr>
        <w:t xml:space="preserve"> </w:t>
      </w:r>
      <w:r w:rsidRPr="003255BC">
        <w:rPr>
          <w:rFonts w:ascii="Bookman Old Style" w:hAnsi="Bookman Old Style"/>
          <w:lang w:val="sv-FI"/>
        </w:rPr>
        <w:t>Miliar</w:t>
      </w:r>
      <w:r w:rsidR="00A954D0" w:rsidRPr="003255BC">
        <w:rPr>
          <w:rFonts w:ascii="Bookman Old Style" w:hAnsi="Bookman Old Style"/>
          <w:lang w:val="sv-FI"/>
        </w:rPr>
        <w:t xml:space="preserve"> </w:t>
      </w:r>
      <w:r w:rsidRPr="003255BC">
        <w:rPr>
          <w:rFonts w:ascii="Bookman Old Style" w:hAnsi="Bookman Old Style"/>
          <w:lang w:val="sv-FI"/>
        </w:rPr>
        <w:t>Tujuh</w:t>
      </w:r>
      <w:r w:rsidR="00A954D0" w:rsidRPr="003255BC">
        <w:rPr>
          <w:rFonts w:ascii="Bookman Old Style" w:hAnsi="Bookman Old Style"/>
          <w:lang w:val="sv-FI"/>
        </w:rPr>
        <w:t xml:space="preserve"> </w:t>
      </w:r>
      <w:r w:rsidRPr="003255BC">
        <w:rPr>
          <w:rFonts w:ascii="Bookman Old Style" w:hAnsi="Bookman Old Style"/>
          <w:lang w:val="sv-FI"/>
        </w:rPr>
        <w:t>Puluh</w:t>
      </w:r>
      <w:r w:rsidR="00A954D0" w:rsidRPr="003255BC">
        <w:rPr>
          <w:rFonts w:ascii="Bookman Old Style" w:hAnsi="Bookman Old Style"/>
          <w:lang w:val="sv-FI"/>
        </w:rPr>
        <w:t xml:space="preserve"> </w:t>
      </w:r>
      <w:r w:rsidRPr="003255BC">
        <w:rPr>
          <w:rFonts w:ascii="Bookman Old Style" w:hAnsi="Bookman Old Style"/>
          <w:lang w:val="sv-FI"/>
        </w:rPr>
        <w:t>Satu</w:t>
      </w:r>
      <w:r w:rsidR="00A954D0" w:rsidRPr="003255BC">
        <w:rPr>
          <w:rFonts w:ascii="Bookman Old Style" w:hAnsi="Bookman Old Style"/>
          <w:lang w:val="sv-FI"/>
        </w:rPr>
        <w:t xml:space="preserve"> </w:t>
      </w:r>
      <w:r w:rsidRPr="003255BC">
        <w:rPr>
          <w:rFonts w:ascii="Bookman Old Style" w:hAnsi="Bookman Old Style"/>
          <w:lang w:val="sv-FI"/>
        </w:rPr>
        <w:t>Juta</w:t>
      </w:r>
      <w:r w:rsidR="00A954D0" w:rsidRPr="003255BC">
        <w:rPr>
          <w:rFonts w:ascii="Bookman Old Style" w:hAnsi="Bookman Old Style"/>
          <w:lang w:val="sv-FI"/>
        </w:rPr>
        <w:t xml:space="preserve"> </w:t>
      </w:r>
      <w:r w:rsidRPr="003255BC">
        <w:rPr>
          <w:rFonts w:ascii="Bookman Old Style" w:hAnsi="Bookman Old Style"/>
          <w:lang w:val="sv-FI"/>
        </w:rPr>
        <w:t>Enam</w:t>
      </w:r>
      <w:r w:rsidR="00A954D0" w:rsidRPr="003255BC">
        <w:rPr>
          <w:rFonts w:ascii="Bookman Old Style" w:hAnsi="Bookman Old Style"/>
          <w:lang w:val="sv-FI"/>
        </w:rPr>
        <w:t xml:space="preserve"> </w:t>
      </w:r>
      <w:r w:rsidRPr="003255BC">
        <w:rPr>
          <w:rFonts w:ascii="Bookman Old Style" w:hAnsi="Bookman Old Style"/>
          <w:lang w:val="sv-FI"/>
        </w:rPr>
        <w:t>Ratus</w:t>
      </w:r>
      <w:r w:rsidR="00A954D0" w:rsidRPr="003255BC">
        <w:rPr>
          <w:rFonts w:ascii="Bookman Old Style" w:hAnsi="Bookman Old Style"/>
          <w:lang w:val="sv-FI"/>
        </w:rPr>
        <w:t xml:space="preserve"> </w:t>
      </w:r>
      <w:r w:rsidRPr="003255BC">
        <w:rPr>
          <w:rFonts w:ascii="Bookman Old Style" w:hAnsi="Bookman Old Style"/>
          <w:lang w:val="sv-FI"/>
        </w:rPr>
        <w:t>Enam</w:t>
      </w:r>
      <w:r w:rsidR="00A954D0" w:rsidRPr="003255BC">
        <w:rPr>
          <w:rFonts w:ascii="Bookman Old Style" w:hAnsi="Bookman Old Style"/>
          <w:lang w:val="sv-FI"/>
        </w:rPr>
        <w:t xml:space="preserve"> </w:t>
      </w:r>
      <w:r w:rsidRPr="003255BC">
        <w:rPr>
          <w:rFonts w:ascii="Bookman Old Style" w:hAnsi="Bookman Old Style"/>
          <w:lang w:val="sv-FI"/>
        </w:rPr>
        <w:t>Puluh</w:t>
      </w:r>
      <w:r w:rsidR="00A954D0" w:rsidRPr="003255BC">
        <w:rPr>
          <w:rFonts w:ascii="Bookman Old Style" w:hAnsi="Bookman Old Style"/>
          <w:lang w:val="sv-FI"/>
        </w:rPr>
        <w:t xml:space="preserve"> </w:t>
      </w:r>
      <w:r w:rsidRPr="003255BC">
        <w:rPr>
          <w:rFonts w:ascii="Bookman Old Style" w:hAnsi="Bookman Old Style"/>
          <w:lang w:val="sv-FI"/>
        </w:rPr>
        <w:t>Sembilan</w:t>
      </w:r>
      <w:r w:rsidR="00A954D0" w:rsidRPr="003255BC">
        <w:rPr>
          <w:rFonts w:ascii="Bookman Old Style" w:hAnsi="Bookman Old Style"/>
          <w:lang w:val="sv-FI"/>
        </w:rPr>
        <w:t xml:space="preserve"> </w:t>
      </w:r>
      <w:r w:rsidRPr="003255BC">
        <w:rPr>
          <w:rFonts w:ascii="Bookman Old Style" w:hAnsi="Bookman Old Style"/>
          <w:lang w:val="sv-FI"/>
        </w:rPr>
        <w:t>Ribu</w:t>
      </w:r>
      <w:r w:rsidR="00A954D0" w:rsidRPr="003255BC">
        <w:rPr>
          <w:rFonts w:ascii="Bookman Old Style" w:hAnsi="Bookman Old Style"/>
          <w:lang w:val="sv-FI"/>
        </w:rPr>
        <w:t xml:space="preserve"> </w:t>
      </w:r>
      <w:r w:rsidRPr="003255BC">
        <w:rPr>
          <w:rFonts w:ascii="Bookman Old Style" w:hAnsi="Bookman Old Style"/>
          <w:lang w:val="sv-FI"/>
        </w:rPr>
        <w:t>Rupiah).</w:t>
      </w:r>
    </w:p>
    <w:p w14:paraId="13B5FD8B" w14:textId="62E60290" w:rsidR="006E2F8F" w:rsidRPr="003255BC" w:rsidRDefault="006E2F8F" w:rsidP="004A784D">
      <w:pPr>
        <w:numPr>
          <w:ilvl w:val="0"/>
          <w:numId w:val="176"/>
        </w:numPr>
        <w:snapToGrid w:val="0"/>
        <w:spacing w:before="60" w:line="276" w:lineRule="auto"/>
        <w:ind w:left="2268" w:hanging="567"/>
        <w:jc w:val="both"/>
        <w:rPr>
          <w:rFonts w:ascii="Bookman Old Style" w:hAnsi="Bookman Old Style" w:cs="Tahoma"/>
          <w:lang w:val="sv-FI"/>
        </w:rPr>
      </w:pPr>
      <w:r w:rsidRPr="003255BC">
        <w:rPr>
          <w:rFonts w:ascii="Bookman Old Style" w:hAnsi="Bookman Old Style" w:cs="Tahoma"/>
          <w:lang w:val="sv-FI"/>
        </w:rPr>
        <w:t>Pasal</w:t>
      </w:r>
      <w:r w:rsidR="00A954D0" w:rsidRPr="003255BC">
        <w:rPr>
          <w:rFonts w:ascii="Bookman Old Style" w:hAnsi="Bookman Old Style" w:cs="Tahoma"/>
          <w:lang w:val="sv-FI"/>
        </w:rPr>
        <w:t xml:space="preserve"> </w:t>
      </w:r>
      <w:r w:rsidRPr="003255BC">
        <w:rPr>
          <w:rFonts w:ascii="Bookman Old Style" w:hAnsi="Bookman Old Style" w:cs="Tahoma"/>
          <w:lang w:val="sv-FI"/>
        </w:rPr>
        <w:t>9</w:t>
      </w:r>
      <w:r w:rsidR="00A954D0" w:rsidRPr="003255BC">
        <w:rPr>
          <w:rFonts w:ascii="Bookman Old Style" w:hAnsi="Bookman Old Style" w:cs="Tahoma"/>
          <w:lang w:val="sv-FI"/>
        </w:rPr>
        <w:t xml:space="preserve"> </w:t>
      </w:r>
      <w:r w:rsidRPr="003255BC">
        <w:rPr>
          <w:rFonts w:ascii="Bookman Old Style" w:hAnsi="Bookman Old Style" w:cs="Tahoma"/>
          <w:lang w:val="sv-FI"/>
        </w:rPr>
        <w:t>ayat</w:t>
      </w:r>
      <w:r w:rsidR="00A954D0" w:rsidRPr="003255BC">
        <w:rPr>
          <w:rFonts w:ascii="Bookman Old Style" w:hAnsi="Bookman Old Style" w:cs="Tahoma"/>
          <w:lang w:val="sv-FI"/>
        </w:rPr>
        <w:t xml:space="preserve"> </w:t>
      </w:r>
      <w:r w:rsidRPr="003255BC">
        <w:rPr>
          <w:rFonts w:ascii="Bookman Old Style" w:hAnsi="Bookman Old Style" w:cs="Tahoma"/>
          <w:lang w:val="sv-FI"/>
        </w:rPr>
        <w:t>(3)</w:t>
      </w:r>
      <w:r w:rsidR="00A954D0" w:rsidRPr="003255BC">
        <w:rPr>
          <w:rFonts w:ascii="Bookman Old Style" w:hAnsi="Bookman Old Style" w:cs="Tahoma"/>
          <w:lang w:val="sv-FI"/>
        </w:rPr>
        <w:t xml:space="preserve"> </w:t>
      </w:r>
      <w:r w:rsidRPr="003255BC">
        <w:rPr>
          <w:rFonts w:ascii="Bookman Old Style" w:hAnsi="Bookman Old Style" w:cs="Tahoma"/>
          <w:lang w:val="sv-FI"/>
        </w:rPr>
        <w:t>agar</w:t>
      </w:r>
      <w:r w:rsidR="00A954D0" w:rsidRPr="003255BC">
        <w:rPr>
          <w:rFonts w:ascii="Bookman Old Style" w:hAnsi="Bookman Old Style" w:cs="Tahoma"/>
          <w:lang w:val="sv-FI"/>
        </w:rPr>
        <w:t xml:space="preserve"> </w:t>
      </w:r>
      <w:r w:rsidRPr="003255BC">
        <w:rPr>
          <w:rFonts w:ascii="Bookman Old Style" w:hAnsi="Bookman Old Style" w:cs="Tahoma"/>
          <w:lang w:val="sv-FI"/>
        </w:rPr>
        <w:t>diperbaiki</w:t>
      </w:r>
      <w:r w:rsidR="00A954D0" w:rsidRPr="003255BC">
        <w:rPr>
          <w:rFonts w:ascii="Bookman Old Style" w:hAnsi="Bookman Old Style" w:cs="Tahoma"/>
          <w:lang w:val="sv-FI"/>
        </w:rPr>
        <w:t xml:space="preserve"> </w:t>
      </w:r>
      <w:r w:rsidRPr="003255BC">
        <w:rPr>
          <w:rFonts w:ascii="Bookman Old Style" w:hAnsi="Bookman Old Style" w:cs="Tahoma"/>
          <w:lang w:val="sv-FI"/>
        </w:rPr>
        <w:t>redaksionalnya</w:t>
      </w:r>
      <w:r w:rsidR="00A954D0" w:rsidRPr="003255BC">
        <w:rPr>
          <w:rFonts w:ascii="Bookman Old Style" w:hAnsi="Bookman Old Style" w:cs="Tahoma"/>
          <w:lang w:val="sv-FI"/>
        </w:rPr>
        <w:t xml:space="preserve"> </w:t>
      </w:r>
      <w:r w:rsidRPr="003255BC">
        <w:rPr>
          <w:rFonts w:ascii="Bookman Old Style" w:hAnsi="Bookman Old Style" w:cs="Tahoma"/>
          <w:lang w:val="sv-FI"/>
        </w:rPr>
        <w:t>menjadi:</w:t>
      </w:r>
    </w:p>
    <w:p w14:paraId="47CC7BB0" w14:textId="06317727" w:rsidR="006E2F8F" w:rsidRPr="003255BC" w:rsidRDefault="006E2F8F" w:rsidP="00DD7816">
      <w:pPr>
        <w:snapToGrid w:val="0"/>
        <w:spacing w:before="60" w:line="276" w:lineRule="auto"/>
        <w:ind w:left="2127"/>
        <w:jc w:val="both"/>
        <w:rPr>
          <w:rFonts w:ascii="Bookman Old Style" w:hAnsi="Bookman Old Style"/>
          <w:lang w:val="sv-FI"/>
        </w:rPr>
      </w:pPr>
      <w:r w:rsidRPr="003255BC">
        <w:rPr>
          <w:rFonts w:ascii="Bookman Old Style" w:hAnsi="Bookman Old Style"/>
          <w:lang w:val="sv-FI"/>
        </w:rPr>
        <w:t>Pendapatan</w:t>
      </w:r>
      <w:r w:rsidR="00A954D0" w:rsidRPr="003255BC">
        <w:rPr>
          <w:rFonts w:ascii="Bookman Old Style" w:hAnsi="Bookman Old Style"/>
          <w:lang w:val="sv-FI"/>
        </w:rPr>
        <w:t xml:space="preserve"> </w:t>
      </w:r>
      <w:r w:rsidRPr="003255BC">
        <w:rPr>
          <w:rFonts w:ascii="Bookman Old Style" w:hAnsi="Bookman Old Style"/>
          <w:lang w:val="sv-FI"/>
        </w:rPr>
        <w:t>Transfer</w:t>
      </w:r>
      <w:r w:rsidR="00A954D0" w:rsidRPr="003255BC">
        <w:rPr>
          <w:rFonts w:ascii="Bookman Old Style" w:hAnsi="Bookman Old Style"/>
          <w:lang w:val="sv-FI"/>
        </w:rPr>
        <w:t xml:space="preserve"> </w:t>
      </w:r>
      <w:r w:rsidRPr="003255BC">
        <w:rPr>
          <w:rFonts w:ascii="Bookman Old Style" w:hAnsi="Bookman Old Style"/>
          <w:lang w:val="sv-FI"/>
        </w:rPr>
        <w:t>Antar</w:t>
      </w:r>
      <w:r w:rsidR="00A954D0" w:rsidRPr="003255BC">
        <w:rPr>
          <w:rFonts w:ascii="Bookman Old Style" w:hAnsi="Bookman Old Style"/>
          <w:lang w:val="sv-FI"/>
        </w:rPr>
        <w:t xml:space="preserve"> </w:t>
      </w:r>
      <w:r w:rsidRPr="003255BC">
        <w:rPr>
          <w:rFonts w:ascii="Bookman Old Style" w:hAnsi="Bookman Old Style"/>
          <w:lang w:val="sv-FI"/>
        </w:rPr>
        <w:t>Daerah</w:t>
      </w:r>
      <w:r w:rsidR="00A954D0" w:rsidRPr="003255BC">
        <w:rPr>
          <w:rFonts w:ascii="Bookman Old Style" w:hAnsi="Bookman Old Style"/>
          <w:lang w:val="sv-FI"/>
        </w:rPr>
        <w:t xml:space="preserve"> </w:t>
      </w:r>
      <w:r w:rsidRPr="003255BC">
        <w:rPr>
          <w:rFonts w:ascii="Bookman Old Style" w:hAnsi="Bookman Old Style"/>
          <w:lang w:val="sv-FI"/>
        </w:rPr>
        <w:t>sebagaimana</w:t>
      </w:r>
      <w:r w:rsidR="00A954D0" w:rsidRPr="003255BC">
        <w:rPr>
          <w:rFonts w:ascii="Bookman Old Style" w:hAnsi="Bookman Old Style"/>
          <w:lang w:val="sv-FI"/>
        </w:rPr>
        <w:t xml:space="preserve"> </w:t>
      </w:r>
      <w:r w:rsidRPr="003255BC">
        <w:rPr>
          <w:rFonts w:ascii="Bookman Old Style" w:hAnsi="Bookman Old Style"/>
          <w:lang w:val="sv-FI"/>
        </w:rPr>
        <w:t>dimaksud</w:t>
      </w:r>
      <w:r w:rsidR="00A954D0" w:rsidRPr="003255BC">
        <w:rPr>
          <w:rFonts w:ascii="Bookman Old Style" w:hAnsi="Bookman Old Style"/>
          <w:lang w:val="sv-FI"/>
        </w:rPr>
        <w:t xml:space="preserve"> </w:t>
      </w:r>
      <w:r w:rsidRPr="003255BC">
        <w:rPr>
          <w:rFonts w:ascii="Bookman Old Style" w:hAnsi="Bookman Old Style"/>
          <w:b/>
          <w:bCs/>
          <w:lang w:val="sv-FI"/>
        </w:rPr>
        <w:t>pada</w:t>
      </w:r>
      <w:r w:rsidR="00A954D0" w:rsidRPr="003255BC">
        <w:rPr>
          <w:rFonts w:ascii="Bookman Old Style" w:hAnsi="Bookman Old Style"/>
          <w:b/>
          <w:bCs/>
          <w:lang w:val="sv-FI"/>
        </w:rPr>
        <w:t xml:space="preserve"> </w:t>
      </w:r>
      <w:r w:rsidRPr="003255BC">
        <w:rPr>
          <w:rFonts w:ascii="Bookman Old Style" w:hAnsi="Bookman Old Style"/>
          <w:b/>
          <w:bCs/>
          <w:lang w:val="sv-FI"/>
        </w:rPr>
        <w:t>ayat</w:t>
      </w:r>
      <w:r w:rsidR="00A954D0" w:rsidRPr="003255BC">
        <w:rPr>
          <w:rFonts w:ascii="Bookman Old Style" w:hAnsi="Bookman Old Style"/>
          <w:b/>
          <w:bCs/>
          <w:lang w:val="sv-FI"/>
        </w:rPr>
        <w:t xml:space="preserve"> </w:t>
      </w:r>
      <w:r w:rsidRPr="003255BC">
        <w:rPr>
          <w:rFonts w:ascii="Bookman Old Style" w:hAnsi="Bookman Old Style"/>
          <w:b/>
          <w:bCs/>
          <w:lang w:val="sv-FI"/>
        </w:rPr>
        <w:t>(1)</w:t>
      </w:r>
      <w:r w:rsidR="00A954D0" w:rsidRPr="003255BC">
        <w:rPr>
          <w:rFonts w:ascii="Bookman Old Style" w:hAnsi="Bookman Old Style"/>
          <w:lang w:val="sv-FI"/>
        </w:rPr>
        <w:t xml:space="preserve"> </w:t>
      </w:r>
      <w:r w:rsidRPr="003255BC">
        <w:rPr>
          <w:rFonts w:ascii="Bookman Old Style" w:hAnsi="Bookman Old Style"/>
          <w:lang w:val="sv-FI"/>
        </w:rPr>
        <w:t>huruf</w:t>
      </w:r>
      <w:r w:rsidR="00A954D0" w:rsidRPr="003255BC">
        <w:rPr>
          <w:rFonts w:ascii="Bookman Old Style" w:hAnsi="Bookman Old Style"/>
          <w:lang w:val="sv-FI"/>
        </w:rPr>
        <w:t xml:space="preserve"> </w:t>
      </w:r>
      <w:r w:rsidRPr="003255BC">
        <w:rPr>
          <w:rFonts w:ascii="Bookman Old Style" w:hAnsi="Bookman Old Style"/>
          <w:lang w:val="sv-FI"/>
        </w:rPr>
        <w:t>b</w:t>
      </w:r>
      <w:r w:rsidR="00A954D0" w:rsidRPr="003255BC">
        <w:rPr>
          <w:rFonts w:ascii="Bookman Old Style" w:hAnsi="Bookman Old Style"/>
          <w:lang w:val="sv-FI"/>
        </w:rPr>
        <w:t xml:space="preserve"> </w:t>
      </w:r>
      <w:r w:rsidRPr="003255BC">
        <w:rPr>
          <w:rFonts w:ascii="Bookman Old Style" w:hAnsi="Bookman Old Style"/>
          <w:lang w:val="sv-FI"/>
        </w:rPr>
        <w:t>direncanakan</w:t>
      </w:r>
      <w:r w:rsidR="00A954D0" w:rsidRPr="003255BC">
        <w:rPr>
          <w:rFonts w:ascii="Bookman Old Style" w:hAnsi="Bookman Old Style"/>
          <w:lang w:val="sv-FI"/>
        </w:rPr>
        <w:t xml:space="preserve"> </w:t>
      </w:r>
      <w:r w:rsidRPr="003255BC">
        <w:rPr>
          <w:rFonts w:ascii="Bookman Old Style" w:hAnsi="Bookman Old Style"/>
          <w:lang w:val="sv-FI"/>
        </w:rPr>
        <w:t>sebesar</w:t>
      </w:r>
      <w:r w:rsidR="00A954D0" w:rsidRPr="003255BC">
        <w:rPr>
          <w:rFonts w:ascii="Bookman Old Style" w:hAnsi="Bookman Old Style"/>
          <w:lang w:val="sv-FI"/>
        </w:rPr>
        <w:t xml:space="preserve"> </w:t>
      </w:r>
      <w:r w:rsidRPr="003255BC">
        <w:rPr>
          <w:rFonts w:ascii="Bookman Old Style" w:hAnsi="Bookman Old Style"/>
          <w:lang w:val="sv-FI"/>
        </w:rPr>
        <w:t>Rp275.885.955.474,00</w:t>
      </w:r>
      <w:r w:rsidR="00A954D0" w:rsidRPr="003255BC">
        <w:rPr>
          <w:rFonts w:ascii="Bookman Old Style" w:hAnsi="Bookman Old Style"/>
          <w:lang w:val="sv-FI"/>
        </w:rPr>
        <w:t xml:space="preserve"> </w:t>
      </w:r>
      <w:r w:rsidRPr="003255BC">
        <w:rPr>
          <w:rFonts w:ascii="Bookman Old Style" w:hAnsi="Bookman Old Style"/>
          <w:lang w:val="sv-FI"/>
        </w:rPr>
        <w:t>(Dua</w:t>
      </w:r>
      <w:r w:rsidR="00A954D0" w:rsidRPr="003255BC">
        <w:rPr>
          <w:rFonts w:ascii="Bookman Old Style" w:hAnsi="Bookman Old Style"/>
          <w:lang w:val="sv-FI"/>
        </w:rPr>
        <w:t xml:space="preserve"> </w:t>
      </w:r>
      <w:r w:rsidRPr="003255BC">
        <w:rPr>
          <w:rFonts w:ascii="Bookman Old Style" w:hAnsi="Bookman Old Style"/>
          <w:lang w:val="sv-FI"/>
        </w:rPr>
        <w:t>Ratus</w:t>
      </w:r>
      <w:r w:rsidR="00A954D0" w:rsidRPr="003255BC">
        <w:rPr>
          <w:rFonts w:ascii="Bookman Old Style" w:hAnsi="Bookman Old Style"/>
          <w:lang w:val="sv-FI"/>
        </w:rPr>
        <w:t xml:space="preserve"> </w:t>
      </w:r>
      <w:r w:rsidRPr="003255BC">
        <w:rPr>
          <w:rFonts w:ascii="Bookman Old Style" w:hAnsi="Bookman Old Style"/>
          <w:lang w:val="sv-FI"/>
        </w:rPr>
        <w:t>Tujuh</w:t>
      </w:r>
      <w:r w:rsidR="00A954D0" w:rsidRPr="003255BC">
        <w:rPr>
          <w:rFonts w:ascii="Bookman Old Style" w:hAnsi="Bookman Old Style"/>
          <w:lang w:val="sv-FI"/>
        </w:rPr>
        <w:t xml:space="preserve"> </w:t>
      </w:r>
      <w:r w:rsidRPr="003255BC">
        <w:rPr>
          <w:rFonts w:ascii="Bookman Old Style" w:hAnsi="Bookman Old Style"/>
          <w:lang w:val="sv-FI"/>
        </w:rPr>
        <w:t>Puluh</w:t>
      </w:r>
      <w:r w:rsidR="00A954D0" w:rsidRPr="003255BC">
        <w:rPr>
          <w:rFonts w:ascii="Bookman Old Style" w:hAnsi="Bookman Old Style"/>
          <w:lang w:val="sv-FI"/>
        </w:rPr>
        <w:t xml:space="preserve"> </w:t>
      </w:r>
      <w:r w:rsidRPr="003255BC">
        <w:rPr>
          <w:rFonts w:ascii="Bookman Old Style" w:hAnsi="Bookman Old Style"/>
          <w:lang w:val="sv-FI"/>
        </w:rPr>
        <w:t>Lima</w:t>
      </w:r>
      <w:r w:rsidR="00A954D0" w:rsidRPr="003255BC">
        <w:rPr>
          <w:rFonts w:ascii="Bookman Old Style" w:hAnsi="Bookman Old Style"/>
          <w:lang w:val="sv-FI"/>
        </w:rPr>
        <w:t xml:space="preserve"> </w:t>
      </w:r>
      <w:r w:rsidRPr="003255BC">
        <w:rPr>
          <w:rFonts w:ascii="Bookman Old Style" w:hAnsi="Bookman Old Style"/>
          <w:lang w:val="sv-FI"/>
        </w:rPr>
        <w:t>Miliar</w:t>
      </w:r>
      <w:r w:rsidR="00A954D0" w:rsidRPr="003255BC">
        <w:rPr>
          <w:rFonts w:ascii="Bookman Old Style" w:hAnsi="Bookman Old Style"/>
          <w:lang w:val="sv-FI"/>
        </w:rPr>
        <w:t xml:space="preserve"> </w:t>
      </w:r>
      <w:r w:rsidRPr="003255BC">
        <w:rPr>
          <w:rFonts w:ascii="Bookman Old Style" w:hAnsi="Bookman Old Style"/>
          <w:lang w:val="sv-FI"/>
        </w:rPr>
        <w:t>Delapan</w:t>
      </w:r>
      <w:r w:rsidR="00A954D0" w:rsidRPr="003255BC">
        <w:rPr>
          <w:rFonts w:ascii="Bookman Old Style" w:hAnsi="Bookman Old Style"/>
          <w:lang w:val="sv-FI"/>
        </w:rPr>
        <w:t xml:space="preserve"> </w:t>
      </w:r>
      <w:r w:rsidRPr="003255BC">
        <w:rPr>
          <w:rFonts w:ascii="Bookman Old Style" w:hAnsi="Bookman Old Style"/>
          <w:lang w:val="sv-FI"/>
        </w:rPr>
        <w:t>Ratus</w:t>
      </w:r>
      <w:r w:rsidR="00A954D0" w:rsidRPr="003255BC">
        <w:rPr>
          <w:rFonts w:ascii="Bookman Old Style" w:hAnsi="Bookman Old Style"/>
          <w:lang w:val="sv-FI"/>
        </w:rPr>
        <w:t xml:space="preserve"> </w:t>
      </w:r>
      <w:r w:rsidRPr="003255BC">
        <w:rPr>
          <w:rFonts w:ascii="Bookman Old Style" w:hAnsi="Bookman Old Style"/>
          <w:lang w:val="sv-FI"/>
        </w:rPr>
        <w:t>Delapan</w:t>
      </w:r>
      <w:r w:rsidR="00A954D0" w:rsidRPr="003255BC">
        <w:rPr>
          <w:rFonts w:ascii="Bookman Old Style" w:hAnsi="Bookman Old Style"/>
          <w:lang w:val="sv-FI"/>
        </w:rPr>
        <w:t xml:space="preserve"> </w:t>
      </w:r>
      <w:r w:rsidRPr="003255BC">
        <w:rPr>
          <w:rFonts w:ascii="Bookman Old Style" w:hAnsi="Bookman Old Style"/>
          <w:lang w:val="sv-FI"/>
        </w:rPr>
        <w:t>Puluh</w:t>
      </w:r>
      <w:r w:rsidR="00A954D0" w:rsidRPr="003255BC">
        <w:rPr>
          <w:rFonts w:ascii="Bookman Old Style" w:hAnsi="Bookman Old Style"/>
          <w:lang w:val="sv-FI"/>
        </w:rPr>
        <w:t xml:space="preserve"> </w:t>
      </w:r>
      <w:r w:rsidRPr="003255BC">
        <w:rPr>
          <w:rFonts w:ascii="Bookman Old Style" w:hAnsi="Bookman Old Style"/>
          <w:lang w:val="sv-FI"/>
        </w:rPr>
        <w:t>Lima</w:t>
      </w:r>
      <w:r w:rsidR="00A954D0" w:rsidRPr="003255BC">
        <w:rPr>
          <w:rFonts w:ascii="Bookman Old Style" w:hAnsi="Bookman Old Style"/>
          <w:lang w:val="sv-FI"/>
        </w:rPr>
        <w:t xml:space="preserve"> </w:t>
      </w:r>
      <w:r w:rsidRPr="003255BC">
        <w:rPr>
          <w:rFonts w:ascii="Bookman Old Style" w:hAnsi="Bookman Old Style"/>
          <w:lang w:val="sv-FI"/>
        </w:rPr>
        <w:t>Juta</w:t>
      </w:r>
      <w:r w:rsidR="00A954D0" w:rsidRPr="003255BC">
        <w:rPr>
          <w:rFonts w:ascii="Bookman Old Style" w:hAnsi="Bookman Old Style"/>
          <w:lang w:val="sv-FI"/>
        </w:rPr>
        <w:t xml:space="preserve"> </w:t>
      </w:r>
      <w:r w:rsidRPr="003255BC">
        <w:rPr>
          <w:rFonts w:ascii="Bookman Old Style" w:hAnsi="Bookman Old Style"/>
          <w:lang w:val="sv-FI"/>
        </w:rPr>
        <w:t>Sembilan</w:t>
      </w:r>
      <w:r w:rsidR="00A954D0" w:rsidRPr="003255BC">
        <w:rPr>
          <w:rFonts w:ascii="Bookman Old Style" w:hAnsi="Bookman Old Style"/>
          <w:lang w:val="sv-FI"/>
        </w:rPr>
        <w:t xml:space="preserve"> </w:t>
      </w:r>
      <w:r w:rsidRPr="003255BC">
        <w:rPr>
          <w:rFonts w:ascii="Bookman Old Style" w:hAnsi="Bookman Old Style"/>
          <w:lang w:val="sv-FI"/>
        </w:rPr>
        <w:t>Ratus</w:t>
      </w:r>
      <w:r w:rsidR="00A954D0" w:rsidRPr="003255BC">
        <w:rPr>
          <w:rFonts w:ascii="Bookman Old Style" w:hAnsi="Bookman Old Style"/>
          <w:lang w:val="sv-FI"/>
        </w:rPr>
        <w:t xml:space="preserve"> </w:t>
      </w:r>
      <w:r w:rsidRPr="003255BC">
        <w:rPr>
          <w:rFonts w:ascii="Bookman Old Style" w:hAnsi="Bookman Old Style"/>
          <w:lang w:val="sv-FI"/>
        </w:rPr>
        <w:t>Lima</w:t>
      </w:r>
      <w:r w:rsidR="00A954D0" w:rsidRPr="003255BC">
        <w:rPr>
          <w:rFonts w:ascii="Bookman Old Style" w:hAnsi="Bookman Old Style"/>
          <w:lang w:val="sv-FI"/>
        </w:rPr>
        <w:t xml:space="preserve"> </w:t>
      </w:r>
      <w:r w:rsidRPr="003255BC">
        <w:rPr>
          <w:rFonts w:ascii="Bookman Old Style" w:hAnsi="Bookman Old Style"/>
          <w:lang w:val="sv-FI"/>
        </w:rPr>
        <w:t>Puluh</w:t>
      </w:r>
      <w:r w:rsidR="00A954D0" w:rsidRPr="003255BC">
        <w:rPr>
          <w:rFonts w:ascii="Bookman Old Style" w:hAnsi="Bookman Old Style"/>
          <w:lang w:val="sv-FI"/>
        </w:rPr>
        <w:t xml:space="preserve"> </w:t>
      </w:r>
      <w:r w:rsidRPr="003255BC">
        <w:rPr>
          <w:rFonts w:ascii="Bookman Old Style" w:hAnsi="Bookman Old Style"/>
          <w:lang w:val="sv-FI"/>
        </w:rPr>
        <w:t>Lima</w:t>
      </w:r>
      <w:r w:rsidR="00A954D0" w:rsidRPr="003255BC">
        <w:rPr>
          <w:rFonts w:ascii="Bookman Old Style" w:hAnsi="Bookman Old Style"/>
          <w:lang w:val="sv-FI"/>
        </w:rPr>
        <w:t xml:space="preserve"> </w:t>
      </w:r>
      <w:r w:rsidRPr="003255BC">
        <w:rPr>
          <w:rFonts w:ascii="Bookman Old Style" w:hAnsi="Bookman Old Style"/>
          <w:lang w:val="sv-FI"/>
        </w:rPr>
        <w:t>Ribu</w:t>
      </w:r>
      <w:r w:rsidR="00A954D0" w:rsidRPr="003255BC">
        <w:rPr>
          <w:rFonts w:ascii="Bookman Old Style" w:hAnsi="Bookman Old Style"/>
          <w:lang w:val="sv-FI"/>
        </w:rPr>
        <w:t xml:space="preserve"> </w:t>
      </w:r>
      <w:r w:rsidRPr="003255BC">
        <w:rPr>
          <w:rFonts w:ascii="Bookman Old Style" w:hAnsi="Bookman Old Style"/>
          <w:lang w:val="sv-FI"/>
        </w:rPr>
        <w:t>Empat</w:t>
      </w:r>
      <w:r w:rsidR="00A954D0" w:rsidRPr="003255BC">
        <w:rPr>
          <w:rFonts w:ascii="Bookman Old Style" w:hAnsi="Bookman Old Style"/>
          <w:lang w:val="sv-FI"/>
        </w:rPr>
        <w:t xml:space="preserve"> </w:t>
      </w:r>
      <w:r w:rsidRPr="003255BC">
        <w:rPr>
          <w:rFonts w:ascii="Bookman Old Style" w:hAnsi="Bookman Old Style"/>
          <w:lang w:val="sv-FI"/>
        </w:rPr>
        <w:t>Ratus</w:t>
      </w:r>
      <w:r w:rsidR="00A954D0" w:rsidRPr="003255BC">
        <w:rPr>
          <w:rFonts w:ascii="Bookman Old Style" w:hAnsi="Bookman Old Style"/>
          <w:lang w:val="sv-FI"/>
        </w:rPr>
        <w:t xml:space="preserve"> </w:t>
      </w:r>
      <w:r w:rsidRPr="003255BC">
        <w:rPr>
          <w:rFonts w:ascii="Bookman Old Style" w:hAnsi="Bookman Old Style"/>
          <w:lang w:val="sv-FI"/>
        </w:rPr>
        <w:t>Tujuh</w:t>
      </w:r>
      <w:r w:rsidR="00A954D0" w:rsidRPr="003255BC">
        <w:rPr>
          <w:rFonts w:ascii="Bookman Old Style" w:hAnsi="Bookman Old Style"/>
          <w:lang w:val="sv-FI"/>
        </w:rPr>
        <w:t xml:space="preserve"> </w:t>
      </w:r>
      <w:r w:rsidRPr="003255BC">
        <w:rPr>
          <w:rFonts w:ascii="Bookman Old Style" w:hAnsi="Bookman Old Style"/>
          <w:lang w:val="sv-FI"/>
        </w:rPr>
        <w:t>Puluh</w:t>
      </w:r>
      <w:r w:rsidR="00A954D0" w:rsidRPr="003255BC">
        <w:rPr>
          <w:rFonts w:ascii="Bookman Old Style" w:hAnsi="Bookman Old Style"/>
          <w:lang w:val="sv-FI"/>
        </w:rPr>
        <w:t xml:space="preserve"> </w:t>
      </w:r>
      <w:r w:rsidRPr="003255BC">
        <w:rPr>
          <w:rFonts w:ascii="Bookman Old Style" w:hAnsi="Bookman Old Style"/>
          <w:lang w:val="sv-FI"/>
        </w:rPr>
        <w:t>Empat</w:t>
      </w:r>
      <w:r w:rsidR="00A954D0" w:rsidRPr="003255BC">
        <w:rPr>
          <w:rFonts w:ascii="Bookman Old Style" w:hAnsi="Bookman Old Style"/>
          <w:lang w:val="sv-FI"/>
        </w:rPr>
        <w:t xml:space="preserve"> </w:t>
      </w:r>
      <w:r w:rsidRPr="003255BC">
        <w:rPr>
          <w:rFonts w:ascii="Bookman Old Style" w:hAnsi="Bookman Old Style"/>
          <w:lang w:val="sv-FI"/>
        </w:rPr>
        <w:t>Rupiah).</w:t>
      </w:r>
    </w:p>
    <w:p w14:paraId="0AB1DFA4" w14:textId="166D1091" w:rsidR="006E2F8F" w:rsidRPr="003255BC" w:rsidRDefault="006E2F8F" w:rsidP="004A784D">
      <w:pPr>
        <w:numPr>
          <w:ilvl w:val="0"/>
          <w:numId w:val="176"/>
        </w:numPr>
        <w:snapToGrid w:val="0"/>
        <w:spacing w:before="60" w:line="276" w:lineRule="auto"/>
        <w:ind w:left="2268" w:hanging="567"/>
        <w:jc w:val="both"/>
        <w:rPr>
          <w:rFonts w:ascii="Bookman Old Style" w:hAnsi="Bookman Old Style" w:cs="Tahoma"/>
          <w:lang w:val="sv-FI"/>
        </w:rPr>
      </w:pPr>
      <w:r w:rsidRPr="003255BC">
        <w:rPr>
          <w:rFonts w:ascii="Bookman Old Style" w:hAnsi="Bookman Old Style" w:cs="Tahoma"/>
          <w:lang w:val="sv-FI"/>
        </w:rPr>
        <w:t>Pasal</w:t>
      </w:r>
      <w:r w:rsidR="00A954D0" w:rsidRPr="003255BC">
        <w:rPr>
          <w:rFonts w:ascii="Bookman Old Style" w:hAnsi="Bookman Old Style" w:cs="Tahoma"/>
          <w:lang w:val="sv-FI"/>
        </w:rPr>
        <w:t xml:space="preserve"> </w:t>
      </w:r>
      <w:r w:rsidRPr="003255BC">
        <w:rPr>
          <w:rFonts w:ascii="Bookman Old Style" w:hAnsi="Bookman Old Style" w:cs="Tahoma"/>
          <w:lang w:val="sv-FI"/>
        </w:rPr>
        <w:t>10</w:t>
      </w:r>
      <w:r w:rsidR="00A954D0" w:rsidRPr="003255BC">
        <w:rPr>
          <w:rFonts w:ascii="Bookman Old Style" w:hAnsi="Bookman Old Style" w:cs="Tahoma"/>
          <w:lang w:val="sv-FI"/>
        </w:rPr>
        <w:t xml:space="preserve"> </w:t>
      </w:r>
      <w:r w:rsidRPr="003255BC">
        <w:rPr>
          <w:rFonts w:ascii="Bookman Old Style" w:hAnsi="Bookman Old Style" w:cs="Tahoma"/>
          <w:lang w:val="sv-FI"/>
        </w:rPr>
        <w:t>ayat</w:t>
      </w:r>
      <w:r w:rsidR="00A954D0" w:rsidRPr="003255BC">
        <w:rPr>
          <w:rFonts w:ascii="Bookman Old Style" w:hAnsi="Bookman Old Style" w:cs="Tahoma"/>
          <w:lang w:val="sv-FI"/>
        </w:rPr>
        <w:t xml:space="preserve"> </w:t>
      </w:r>
      <w:r w:rsidRPr="003255BC">
        <w:rPr>
          <w:rFonts w:ascii="Bookman Old Style" w:hAnsi="Bookman Old Style" w:cs="Tahoma"/>
          <w:lang w:val="sv-FI"/>
        </w:rPr>
        <w:t>(4)</w:t>
      </w:r>
      <w:r w:rsidR="00A954D0" w:rsidRPr="003255BC">
        <w:rPr>
          <w:rFonts w:ascii="Bookman Old Style" w:hAnsi="Bookman Old Style" w:cs="Tahoma"/>
          <w:lang w:val="sv-FI"/>
        </w:rPr>
        <w:t xml:space="preserve"> </w:t>
      </w:r>
      <w:r w:rsidRPr="003255BC">
        <w:rPr>
          <w:rFonts w:ascii="Bookman Old Style" w:hAnsi="Bookman Old Style" w:cs="Tahoma"/>
          <w:lang w:val="sv-FI"/>
        </w:rPr>
        <w:t>agar</w:t>
      </w:r>
      <w:r w:rsidR="00A954D0" w:rsidRPr="003255BC">
        <w:rPr>
          <w:rFonts w:ascii="Bookman Old Style" w:hAnsi="Bookman Old Style" w:cs="Tahoma"/>
          <w:lang w:val="sv-FI"/>
        </w:rPr>
        <w:t xml:space="preserve"> </w:t>
      </w:r>
      <w:r w:rsidRPr="003255BC">
        <w:rPr>
          <w:rFonts w:ascii="Bookman Old Style" w:hAnsi="Bookman Old Style" w:cs="Tahoma"/>
          <w:lang w:val="sv-FI"/>
        </w:rPr>
        <w:t>diperbaiki</w:t>
      </w:r>
      <w:r w:rsidR="00A954D0" w:rsidRPr="003255BC">
        <w:rPr>
          <w:rFonts w:ascii="Bookman Old Style" w:hAnsi="Bookman Old Style" w:cs="Tahoma"/>
          <w:lang w:val="sv-FI"/>
        </w:rPr>
        <w:t xml:space="preserve"> </w:t>
      </w:r>
      <w:r w:rsidRPr="003255BC">
        <w:rPr>
          <w:rFonts w:ascii="Bookman Old Style" w:hAnsi="Bookman Old Style" w:cs="Tahoma"/>
          <w:lang w:val="sv-FI"/>
        </w:rPr>
        <w:t>redaksionalnya</w:t>
      </w:r>
      <w:r w:rsidR="00A954D0" w:rsidRPr="003255BC">
        <w:rPr>
          <w:rFonts w:ascii="Bookman Old Style" w:hAnsi="Bookman Old Style" w:cs="Tahoma"/>
          <w:lang w:val="sv-FI"/>
        </w:rPr>
        <w:t xml:space="preserve"> </w:t>
      </w:r>
      <w:r w:rsidRPr="003255BC">
        <w:rPr>
          <w:rFonts w:ascii="Bookman Old Style" w:hAnsi="Bookman Old Style" w:cs="Tahoma"/>
          <w:lang w:val="sv-FI"/>
        </w:rPr>
        <w:t>menjadi:</w:t>
      </w:r>
    </w:p>
    <w:p w14:paraId="64DD3BBE" w14:textId="1A1746BF" w:rsidR="006E2F8F" w:rsidRPr="003255BC" w:rsidRDefault="006E2F8F" w:rsidP="00DD7816">
      <w:pPr>
        <w:snapToGrid w:val="0"/>
        <w:spacing w:before="60" w:line="276" w:lineRule="auto"/>
        <w:ind w:left="2127"/>
        <w:jc w:val="both"/>
        <w:rPr>
          <w:rFonts w:ascii="Bookman Old Style" w:hAnsi="Bookman Old Style"/>
          <w:lang w:val="sv-FI"/>
        </w:rPr>
      </w:pPr>
      <w:r w:rsidRPr="003255BC">
        <w:rPr>
          <w:rFonts w:ascii="Bookman Old Style" w:hAnsi="Bookman Old Style"/>
          <w:lang w:val="sv-FI"/>
        </w:rPr>
        <w:t>Dana</w:t>
      </w:r>
      <w:r w:rsidR="00A954D0" w:rsidRPr="003255BC">
        <w:rPr>
          <w:rFonts w:ascii="Bookman Old Style" w:hAnsi="Bookman Old Style"/>
          <w:lang w:val="sv-FI"/>
        </w:rPr>
        <w:t xml:space="preserve"> </w:t>
      </w:r>
      <w:r w:rsidRPr="003255BC">
        <w:rPr>
          <w:rFonts w:ascii="Bookman Old Style" w:hAnsi="Bookman Old Style"/>
          <w:lang w:val="sv-FI"/>
        </w:rPr>
        <w:t>Alokasi</w:t>
      </w:r>
      <w:r w:rsidR="00A954D0" w:rsidRPr="003255BC">
        <w:rPr>
          <w:rFonts w:ascii="Bookman Old Style" w:hAnsi="Bookman Old Style"/>
          <w:lang w:val="sv-FI"/>
        </w:rPr>
        <w:t xml:space="preserve"> </w:t>
      </w:r>
      <w:r w:rsidRPr="003255BC">
        <w:rPr>
          <w:rFonts w:ascii="Bookman Old Style" w:hAnsi="Bookman Old Style"/>
          <w:lang w:val="sv-FI"/>
        </w:rPr>
        <w:t>Khusus</w:t>
      </w:r>
      <w:r w:rsidR="00A954D0" w:rsidRPr="003255BC">
        <w:rPr>
          <w:rFonts w:ascii="Bookman Old Style" w:hAnsi="Bookman Old Style"/>
          <w:lang w:val="sv-FI"/>
        </w:rPr>
        <w:t xml:space="preserve"> </w:t>
      </w:r>
      <w:r w:rsidRPr="003255BC">
        <w:rPr>
          <w:rFonts w:ascii="Bookman Old Style" w:hAnsi="Bookman Old Style"/>
          <w:lang w:val="sv-FI"/>
        </w:rPr>
        <w:t>(DAK)</w:t>
      </w:r>
      <w:r w:rsidR="00A954D0" w:rsidRPr="003255BC">
        <w:rPr>
          <w:rFonts w:ascii="Bookman Old Style" w:hAnsi="Bookman Old Style"/>
          <w:lang w:val="sv-FI"/>
        </w:rPr>
        <w:t xml:space="preserve"> </w:t>
      </w:r>
      <w:r w:rsidRPr="003255BC">
        <w:rPr>
          <w:rFonts w:ascii="Bookman Old Style" w:hAnsi="Bookman Old Style"/>
          <w:lang w:val="sv-FI"/>
        </w:rPr>
        <w:t>sebagaimana</w:t>
      </w:r>
      <w:r w:rsidR="00A954D0" w:rsidRPr="003255BC">
        <w:rPr>
          <w:rFonts w:ascii="Bookman Old Style" w:hAnsi="Bookman Old Style"/>
          <w:lang w:val="sv-FI"/>
        </w:rPr>
        <w:t xml:space="preserve"> </w:t>
      </w:r>
      <w:r w:rsidRPr="003255BC">
        <w:rPr>
          <w:rFonts w:ascii="Bookman Old Style" w:hAnsi="Bookman Old Style"/>
          <w:lang w:val="sv-FI"/>
        </w:rPr>
        <w:t>dimaksud</w:t>
      </w:r>
      <w:r w:rsidR="00A954D0" w:rsidRPr="003255BC">
        <w:rPr>
          <w:rFonts w:ascii="Bookman Old Style" w:hAnsi="Bookman Old Style"/>
          <w:lang w:val="sv-FI"/>
        </w:rPr>
        <w:t xml:space="preserve"> </w:t>
      </w:r>
      <w:r w:rsidRPr="003255BC">
        <w:rPr>
          <w:rFonts w:ascii="Bookman Old Style" w:hAnsi="Bookman Old Style"/>
          <w:lang w:val="sv-FI"/>
        </w:rPr>
        <w:t>pada</w:t>
      </w:r>
      <w:r w:rsidR="00A954D0" w:rsidRPr="003255BC">
        <w:rPr>
          <w:rFonts w:ascii="Bookman Old Style" w:hAnsi="Bookman Old Style"/>
          <w:lang w:val="sv-FI"/>
        </w:rPr>
        <w:t xml:space="preserve"> </w:t>
      </w:r>
      <w:r w:rsidRPr="003255BC">
        <w:rPr>
          <w:rFonts w:ascii="Bookman Old Style" w:hAnsi="Bookman Old Style"/>
          <w:lang w:val="sv-FI"/>
        </w:rPr>
        <w:t>ayat</w:t>
      </w:r>
      <w:r w:rsidR="00A954D0" w:rsidRPr="003255BC">
        <w:rPr>
          <w:rFonts w:ascii="Bookman Old Style" w:hAnsi="Bookman Old Style"/>
          <w:lang w:val="sv-FI"/>
        </w:rPr>
        <w:t xml:space="preserve"> </w:t>
      </w:r>
      <w:r w:rsidRPr="003255BC">
        <w:rPr>
          <w:rFonts w:ascii="Bookman Old Style" w:hAnsi="Bookman Old Style"/>
          <w:lang w:val="sv-FI"/>
        </w:rPr>
        <w:t>(1)</w:t>
      </w:r>
      <w:r w:rsidR="00A954D0" w:rsidRPr="003255BC">
        <w:rPr>
          <w:rFonts w:ascii="Bookman Old Style" w:hAnsi="Bookman Old Style"/>
          <w:lang w:val="sv-FI"/>
        </w:rPr>
        <w:t xml:space="preserve"> </w:t>
      </w:r>
      <w:r w:rsidRPr="003255BC">
        <w:rPr>
          <w:rFonts w:ascii="Bookman Old Style" w:hAnsi="Bookman Old Style"/>
          <w:lang w:val="sv-FI"/>
        </w:rPr>
        <w:t>huruf</w:t>
      </w:r>
      <w:r w:rsidR="00A954D0" w:rsidRPr="003255BC">
        <w:rPr>
          <w:rFonts w:ascii="Bookman Old Style" w:hAnsi="Bookman Old Style"/>
          <w:lang w:val="sv-FI"/>
        </w:rPr>
        <w:t xml:space="preserve"> </w:t>
      </w:r>
      <w:r w:rsidRPr="003255BC">
        <w:rPr>
          <w:rFonts w:ascii="Bookman Old Style" w:hAnsi="Bookman Old Style"/>
          <w:b/>
          <w:bCs/>
          <w:lang w:val="sv-FI"/>
        </w:rPr>
        <w:t>d</w:t>
      </w:r>
      <w:r w:rsidR="00A954D0" w:rsidRPr="003255BC">
        <w:rPr>
          <w:rFonts w:ascii="Bookman Old Style" w:hAnsi="Bookman Old Style"/>
          <w:lang w:val="sv-FI"/>
        </w:rPr>
        <w:t xml:space="preserve"> </w:t>
      </w:r>
      <w:r w:rsidRPr="003255BC">
        <w:rPr>
          <w:rFonts w:ascii="Bookman Old Style" w:hAnsi="Bookman Old Style"/>
          <w:lang w:val="sv-FI"/>
        </w:rPr>
        <w:t>terdiri</w:t>
      </w:r>
      <w:r w:rsidR="00A954D0" w:rsidRPr="003255BC">
        <w:rPr>
          <w:rFonts w:ascii="Bookman Old Style" w:hAnsi="Bookman Old Style"/>
          <w:lang w:val="sv-FI"/>
        </w:rPr>
        <w:t xml:space="preserve"> </w:t>
      </w:r>
      <w:r w:rsidRPr="003255BC">
        <w:rPr>
          <w:rFonts w:ascii="Bookman Old Style" w:hAnsi="Bookman Old Style"/>
          <w:lang w:val="sv-FI"/>
        </w:rPr>
        <w:t>atas:</w:t>
      </w:r>
    </w:p>
    <w:p w14:paraId="1649C576" w14:textId="0BD94886" w:rsidR="006E2F8F" w:rsidRPr="0078475B" w:rsidRDefault="006E2F8F">
      <w:pPr>
        <w:pStyle w:val="ListParagraph"/>
        <w:numPr>
          <w:ilvl w:val="0"/>
          <w:numId w:val="221"/>
        </w:numPr>
        <w:snapToGrid w:val="0"/>
        <w:spacing w:before="60" w:after="0" w:line="276" w:lineRule="auto"/>
        <w:ind w:left="2487"/>
        <w:contextualSpacing w:val="0"/>
        <w:jc w:val="both"/>
        <w:rPr>
          <w:rFonts w:ascii="Bookman Old Style" w:hAnsi="Bookman Old Style" w:cs="Tahoma"/>
          <w:sz w:val="24"/>
          <w:szCs w:val="24"/>
        </w:rPr>
      </w:pPr>
      <w:r w:rsidRPr="0078475B">
        <w:rPr>
          <w:rFonts w:ascii="Bookman Old Style" w:hAnsi="Bookman Old Style"/>
          <w:sz w:val="24"/>
          <w:szCs w:val="24"/>
        </w:rPr>
        <w:t>DAK</w:t>
      </w:r>
      <w:r w:rsidR="00A954D0">
        <w:rPr>
          <w:rFonts w:ascii="Bookman Old Style" w:hAnsi="Bookman Old Style"/>
          <w:sz w:val="24"/>
          <w:szCs w:val="24"/>
        </w:rPr>
        <w:t xml:space="preserve"> </w:t>
      </w:r>
      <w:r w:rsidRPr="0078475B">
        <w:rPr>
          <w:rFonts w:ascii="Bookman Old Style" w:hAnsi="Bookman Old Style"/>
          <w:sz w:val="24"/>
          <w:szCs w:val="24"/>
        </w:rPr>
        <w:t>Fisik</w:t>
      </w:r>
      <w:r w:rsidR="00A954D0">
        <w:rPr>
          <w:rFonts w:ascii="Bookman Old Style" w:hAnsi="Bookman Old Style"/>
          <w:sz w:val="24"/>
          <w:szCs w:val="24"/>
        </w:rPr>
        <w:t xml:space="preserve"> </w:t>
      </w:r>
      <w:r w:rsidRPr="0078475B">
        <w:rPr>
          <w:rFonts w:ascii="Bookman Old Style" w:hAnsi="Bookman Old Style"/>
          <w:sz w:val="24"/>
          <w:szCs w:val="24"/>
        </w:rPr>
        <w:t>direncanakan</w:t>
      </w:r>
      <w:r w:rsidR="00A954D0">
        <w:rPr>
          <w:rFonts w:ascii="Bookman Old Style" w:hAnsi="Bookman Old Style"/>
          <w:sz w:val="24"/>
          <w:szCs w:val="24"/>
        </w:rPr>
        <w:t xml:space="preserve"> </w:t>
      </w:r>
      <w:r w:rsidRPr="0078475B">
        <w:rPr>
          <w:rFonts w:ascii="Bookman Old Style" w:hAnsi="Bookman Old Style"/>
          <w:sz w:val="24"/>
          <w:szCs w:val="24"/>
        </w:rPr>
        <w:t>sebesar</w:t>
      </w:r>
      <w:r w:rsidR="00A954D0">
        <w:rPr>
          <w:rFonts w:ascii="Bookman Old Style" w:hAnsi="Bookman Old Style"/>
          <w:sz w:val="24"/>
          <w:szCs w:val="24"/>
        </w:rPr>
        <w:t xml:space="preserve"> </w:t>
      </w:r>
      <w:r w:rsidRPr="0078475B">
        <w:rPr>
          <w:rFonts w:ascii="Bookman Old Style" w:hAnsi="Bookman Old Style"/>
          <w:sz w:val="24"/>
          <w:szCs w:val="24"/>
        </w:rPr>
        <w:t>Rp15.000.000.000,00</w:t>
      </w:r>
      <w:r w:rsidR="00A954D0">
        <w:rPr>
          <w:rFonts w:ascii="Bookman Old Style" w:hAnsi="Bookman Old Style"/>
          <w:sz w:val="24"/>
          <w:szCs w:val="24"/>
        </w:rPr>
        <w:t xml:space="preserve"> </w:t>
      </w:r>
      <w:r w:rsidRPr="0078475B">
        <w:rPr>
          <w:rFonts w:ascii="Bookman Old Style" w:hAnsi="Bookman Old Style"/>
          <w:sz w:val="24"/>
          <w:szCs w:val="24"/>
        </w:rPr>
        <w:t>(Lima</w:t>
      </w:r>
      <w:r w:rsidR="00A954D0">
        <w:rPr>
          <w:rFonts w:ascii="Bookman Old Style" w:hAnsi="Bookman Old Style"/>
          <w:sz w:val="24"/>
          <w:szCs w:val="24"/>
        </w:rPr>
        <w:t xml:space="preserve"> </w:t>
      </w:r>
      <w:r w:rsidRPr="0078475B">
        <w:rPr>
          <w:rFonts w:ascii="Bookman Old Style" w:hAnsi="Bookman Old Style"/>
          <w:sz w:val="24"/>
          <w:szCs w:val="24"/>
        </w:rPr>
        <w:t>Belas</w:t>
      </w:r>
      <w:r w:rsidR="00A954D0">
        <w:rPr>
          <w:rFonts w:ascii="Bookman Old Style" w:hAnsi="Bookman Old Style"/>
          <w:sz w:val="24"/>
          <w:szCs w:val="24"/>
        </w:rPr>
        <w:t xml:space="preserve"> </w:t>
      </w:r>
      <w:r w:rsidRPr="0078475B">
        <w:rPr>
          <w:rFonts w:ascii="Bookman Old Style" w:hAnsi="Bookman Old Style"/>
          <w:sz w:val="24"/>
          <w:szCs w:val="24"/>
        </w:rPr>
        <w:t>Miliar</w:t>
      </w:r>
      <w:r w:rsidR="00A954D0">
        <w:rPr>
          <w:rFonts w:ascii="Bookman Old Style" w:hAnsi="Bookman Old Style"/>
          <w:sz w:val="24"/>
          <w:szCs w:val="24"/>
        </w:rPr>
        <w:t xml:space="preserve"> </w:t>
      </w:r>
      <w:r w:rsidRPr="0078475B">
        <w:rPr>
          <w:rFonts w:ascii="Bookman Old Style" w:hAnsi="Bookman Old Style"/>
          <w:sz w:val="24"/>
          <w:szCs w:val="24"/>
        </w:rPr>
        <w:t>Rupiah);</w:t>
      </w:r>
    </w:p>
    <w:p w14:paraId="272906C0" w14:textId="21B852A1" w:rsidR="006E2F8F" w:rsidRPr="00022048" w:rsidRDefault="006E2F8F">
      <w:pPr>
        <w:pStyle w:val="ListParagraph"/>
        <w:numPr>
          <w:ilvl w:val="0"/>
          <w:numId w:val="221"/>
        </w:numPr>
        <w:snapToGrid w:val="0"/>
        <w:spacing w:before="60" w:after="0" w:line="276" w:lineRule="auto"/>
        <w:ind w:left="2487"/>
        <w:contextualSpacing w:val="0"/>
        <w:jc w:val="both"/>
        <w:rPr>
          <w:rFonts w:ascii="Bookman Old Style" w:hAnsi="Bookman Old Style" w:cs="Tahoma"/>
          <w:sz w:val="24"/>
          <w:szCs w:val="24"/>
        </w:rPr>
      </w:pPr>
      <w:r w:rsidRPr="0078475B">
        <w:rPr>
          <w:rFonts w:ascii="Bookman Old Style" w:hAnsi="Bookman Old Style"/>
          <w:sz w:val="24"/>
          <w:szCs w:val="24"/>
        </w:rPr>
        <w:lastRenderedPageBreak/>
        <w:t>DAK</w:t>
      </w:r>
      <w:r w:rsidR="00A954D0">
        <w:rPr>
          <w:rFonts w:ascii="Bookman Old Style" w:hAnsi="Bookman Old Style"/>
          <w:sz w:val="24"/>
          <w:szCs w:val="24"/>
        </w:rPr>
        <w:t xml:space="preserve"> </w:t>
      </w:r>
      <w:r w:rsidRPr="0078475B">
        <w:rPr>
          <w:rFonts w:ascii="Bookman Old Style" w:hAnsi="Bookman Old Style"/>
          <w:sz w:val="24"/>
          <w:szCs w:val="24"/>
        </w:rPr>
        <w:t>Non</w:t>
      </w:r>
      <w:r w:rsidR="00A954D0">
        <w:rPr>
          <w:rFonts w:ascii="Bookman Old Style" w:hAnsi="Bookman Old Style"/>
          <w:sz w:val="24"/>
          <w:szCs w:val="24"/>
        </w:rPr>
        <w:t xml:space="preserve"> </w:t>
      </w:r>
      <w:r w:rsidRPr="0078475B">
        <w:rPr>
          <w:rFonts w:ascii="Bookman Old Style" w:hAnsi="Bookman Old Style"/>
          <w:sz w:val="24"/>
          <w:szCs w:val="24"/>
        </w:rPr>
        <w:t>Fisik</w:t>
      </w:r>
      <w:r w:rsidR="00A954D0">
        <w:rPr>
          <w:rFonts w:ascii="Bookman Old Style" w:hAnsi="Bookman Old Style"/>
          <w:sz w:val="24"/>
          <w:szCs w:val="24"/>
        </w:rPr>
        <w:t xml:space="preserve"> </w:t>
      </w:r>
      <w:r w:rsidRPr="0078475B">
        <w:rPr>
          <w:rFonts w:ascii="Bookman Old Style" w:hAnsi="Bookman Old Style"/>
          <w:sz w:val="24"/>
          <w:szCs w:val="24"/>
        </w:rPr>
        <w:t>direncanakan</w:t>
      </w:r>
      <w:r w:rsidR="00A954D0">
        <w:rPr>
          <w:rFonts w:ascii="Bookman Old Style" w:hAnsi="Bookman Old Style"/>
          <w:sz w:val="24"/>
          <w:szCs w:val="24"/>
        </w:rPr>
        <w:t xml:space="preserve"> </w:t>
      </w:r>
      <w:r w:rsidRPr="0078475B">
        <w:rPr>
          <w:rFonts w:ascii="Bookman Old Style" w:hAnsi="Bookman Old Style"/>
          <w:sz w:val="24"/>
          <w:szCs w:val="24"/>
        </w:rPr>
        <w:t>sebesar</w:t>
      </w:r>
      <w:r w:rsidR="00A954D0">
        <w:rPr>
          <w:rFonts w:ascii="Bookman Old Style" w:hAnsi="Bookman Old Style"/>
          <w:sz w:val="24"/>
          <w:szCs w:val="24"/>
        </w:rPr>
        <w:t xml:space="preserve"> </w:t>
      </w:r>
      <w:r w:rsidRPr="0078475B">
        <w:rPr>
          <w:rFonts w:ascii="Bookman Old Style" w:hAnsi="Bookman Old Style"/>
          <w:sz w:val="24"/>
          <w:szCs w:val="24"/>
        </w:rPr>
        <w:t>Rp513.989.388.000,00</w:t>
      </w:r>
      <w:r w:rsidR="00A954D0">
        <w:rPr>
          <w:rFonts w:ascii="Bookman Old Style" w:hAnsi="Bookman Old Style"/>
          <w:sz w:val="24"/>
          <w:szCs w:val="24"/>
        </w:rPr>
        <w:t xml:space="preserve"> </w:t>
      </w:r>
      <w:r w:rsidRPr="0078475B">
        <w:rPr>
          <w:rFonts w:ascii="Bookman Old Style" w:hAnsi="Bookman Old Style"/>
          <w:sz w:val="24"/>
          <w:szCs w:val="24"/>
        </w:rPr>
        <w:t>(Lima</w:t>
      </w:r>
      <w:r w:rsidR="00A954D0">
        <w:rPr>
          <w:rFonts w:ascii="Bookman Old Style" w:hAnsi="Bookman Old Style"/>
          <w:sz w:val="24"/>
          <w:szCs w:val="24"/>
        </w:rPr>
        <w:t xml:space="preserve"> </w:t>
      </w:r>
      <w:r w:rsidRPr="0078475B">
        <w:rPr>
          <w:rFonts w:ascii="Bookman Old Style" w:hAnsi="Bookman Old Style"/>
          <w:sz w:val="24"/>
          <w:szCs w:val="24"/>
        </w:rPr>
        <w:t>Ratus</w:t>
      </w:r>
      <w:r w:rsidR="00A954D0">
        <w:rPr>
          <w:rFonts w:ascii="Bookman Old Style" w:hAnsi="Bookman Old Style"/>
          <w:sz w:val="24"/>
          <w:szCs w:val="24"/>
        </w:rPr>
        <w:t xml:space="preserve"> </w:t>
      </w:r>
      <w:r w:rsidRPr="0078475B">
        <w:rPr>
          <w:rFonts w:ascii="Bookman Old Style" w:hAnsi="Bookman Old Style"/>
          <w:sz w:val="24"/>
          <w:szCs w:val="24"/>
        </w:rPr>
        <w:t>Tiga</w:t>
      </w:r>
      <w:r w:rsidR="00A954D0">
        <w:rPr>
          <w:rFonts w:ascii="Bookman Old Style" w:hAnsi="Bookman Old Style"/>
          <w:sz w:val="24"/>
          <w:szCs w:val="24"/>
        </w:rPr>
        <w:t xml:space="preserve"> </w:t>
      </w:r>
      <w:r w:rsidRPr="0078475B">
        <w:rPr>
          <w:rFonts w:ascii="Bookman Old Style" w:hAnsi="Bookman Old Style"/>
          <w:sz w:val="24"/>
          <w:szCs w:val="24"/>
        </w:rPr>
        <w:t>Belas</w:t>
      </w:r>
      <w:r w:rsidR="00A954D0">
        <w:rPr>
          <w:rFonts w:ascii="Bookman Old Style" w:hAnsi="Bookman Old Style"/>
          <w:sz w:val="24"/>
          <w:szCs w:val="24"/>
        </w:rPr>
        <w:t xml:space="preserve"> </w:t>
      </w:r>
      <w:r w:rsidRPr="0078475B">
        <w:rPr>
          <w:rFonts w:ascii="Bookman Old Style" w:hAnsi="Bookman Old Style"/>
          <w:sz w:val="24"/>
          <w:szCs w:val="24"/>
        </w:rPr>
        <w:t>Miliar</w:t>
      </w:r>
      <w:r w:rsidR="00A954D0">
        <w:rPr>
          <w:rFonts w:ascii="Bookman Old Style" w:hAnsi="Bookman Old Style"/>
          <w:sz w:val="24"/>
          <w:szCs w:val="24"/>
        </w:rPr>
        <w:t xml:space="preserve"> </w:t>
      </w:r>
      <w:r w:rsidRPr="0078475B">
        <w:rPr>
          <w:rFonts w:ascii="Bookman Old Style" w:hAnsi="Bookman Old Style"/>
          <w:sz w:val="24"/>
          <w:szCs w:val="24"/>
        </w:rPr>
        <w:t>Sembilan</w:t>
      </w:r>
      <w:r w:rsidR="00A954D0">
        <w:rPr>
          <w:rFonts w:ascii="Bookman Old Style" w:hAnsi="Bookman Old Style"/>
          <w:sz w:val="24"/>
          <w:szCs w:val="24"/>
        </w:rPr>
        <w:t xml:space="preserve"> </w:t>
      </w:r>
      <w:r w:rsidRPr="0078475B">
        <w:rPr>
          <w:rFonts w:ascii="Bookman Old Style" w:hAnsi="Bookman Old Style"/>
          <w:sz w:val="24"/>
          <w:szCs w:val="24"/>
        </w:rPr>
        <w:t>Ratus</w:t>
      </w:r>
      <w:r w:rsidR="00A954D0">
        <w:rPr>
          <w:rFonts w:ascii="Bookman Old Style" w:hAnsi="Bookman Old Style"/>
          <w:sz w:val="24"/>
          <w:szCs w:val="24"/>
        </w:rPr>
        <w:t xml:space="preserve"> </w:t>
      </w:r>
      <w:r w:rsidRPr="0078475B">
        <w:rPr>
          <w:rFonts w:ascii="Bookman Old Style" w:hAnsi="Bookman Old Style"/>
          <w:sz w:val="24"/>
          <w:szCs w:val="24"/>
        </w:rPr>
        <w:t>Delapan</w:t>
      </w:r>
      <w:r w:rsidR="00A954D0">
        <w:rPr>
          <w:rFonts w:ascii="Bookman Old Style" w:hAnsi="Bookman Old Style"/>
          <w:sz w:val="24"/>
          <w:szCs w:val="24"/>
        </w:rPr>
        <w:t xml:space="preserve"> </w:t>
      </w:r>
      <w:r w:rsidRPr="0078475B">
        <w:rPr>
          <w:rFonts w:ascii="Bookman Old Style" w:hAnsi="Bookman Old Style"/>
          <w:sz w:val="24"/>
          <w:szCs w:val="24"/>
        </w:rPr>
        <w:t>Puluh</w:t>
      </w:r>
      <w:r w:rsidR="00A954D0">
        <w:rPr>
          <w:rFonts w:ascii="Bookman Old Style" w:hAnsi="Bookman Old Style"/>
          <w:sz w:val="24"/>
          <w:szCs w:val="24"/>
        </w:rPr>
        <w:t xml:space="preserve"> </w:t>
      </w:r>
      <w:r w:rsidRPr="0078475B">
        <w:rPr>
          <w:rFonts w:ascii="Bookman Old Style" w:hAnsi="Bookman Old Style"/>
          <w:sz w:val="24"/>
          <w:szCs w:val="24"/>
        </w:rPr>
        <w:t>Sembilan</w:t>
      </w:r>
      <w:r w:rsidR="00A954D0">
        <w:rPr>
          <w:rFonts w:ascii="Bookman Old Style" w:hAnsi="Bookman Old Style"/>
          <w:sz w:val="24"/>
          <w:szCs w:val="24"/>
        </w:rPr>
        <w:t xml:space="preserve"> </w:t>
      </w:r>
      <w:r w:rsidRPr="0078475B">
        <w:rPr>
          <w:rFonts w:ascii="Bookman Old Style" w:hAnsi="Bookman Old Style"/>
          <w:sz w:val="24"/>
          <w:szCs w:val="24"/>
        </w:rPr>
        <w:t>Juta</w:t>
      </w:r>
      <w:r w:rsidR="00A954D0">
        <w:rPr>
          <w:rFonts w:ascii="Bookman Old Style" w:hAnsi="Bookman Old Style"/>
          <w:sz w:val="24"/>
          <w:szCs w:val="24"/>
        </w:rPr>
        <w:t xml:space="preserve"> </w:t>
      </w:r>
      <w:r w:rsidRPr="0078475B">
        <w:rPr>
          <w:rFonts w:ascii="Bookman Old Style" w:hAnsi="Bookman Old Style"/>
          <w:sz w:val="24"/>
          <w:szCs w:val="24"/>
        </w:rPr>
        <w:t>Tiga</w:t>
      </w:r>
      <w:r w:rsidR="00A954D0">
        <w:rPr>
          <w:rFonts w:ascii="Bookman Old Style" w:hAnsi="Bookman Old Style"/>
          <w:sz w:val="24"/>
          <w:szCs w:val="24"/>
        </w:rPr>
        <w:t xml:space="preserve"> </w:t>
      </w:r>
      <w:r w:rsidRPr="0078475B">
        <w:rPr>
          <w:rFonts w:ascii="Bookman Old Style" w:hAnsi="Bookman Old Style"/>
          <w:sz w:val="24"/>
          <w:szCs w:val="24"/>
        </w:rPr>
        <w:t>Ratus</w:t>
      </w:r>
      <w:r w:rsidR="00A954D0">
        <w:rPr>
          <w:rFonts w:ascii="Bookman Old Style" w:hAnsi="Bookman Old Style"/>
          <w:sz w:val="24"/>
          <w:szCs w:val="24"/>
        </w:rPr>
        <w:t xml:space="preserve"> </w:t>
      </w:r>
      <w:r w:rsidRPr="0078475B">
        <w:rPr>
          <w:rFonts w:ascii="Bookman Old Style" w:hAnsi="Bookman Old Style"/>
          <w:sz w:val="24"/>
          <w:szCs w:val="24"/>
        </w:rPr>
        <w:t>Delapan</w:t>
      </w:r>
      <w:r w:rsidR="00A954D0">
        <w:rPr>
          <w:rFonts w:ascii="Bookman Old Style" w:hAnsi="Bookman Old Style"/>
          <w:sz w:val="24"/>
          <w:szCs w:val="24"/>
        </w:rPr>
        <w:t xml:space="preserve"> </w:t>
      </w:r>
      <w:r w:rsidRPr="0078475B">
        <w:rPr>
          <w:rFonts w:ascii="Bookman Old Style" w:hAnsi="Bookman Old Style"/>
          <w:sz w:val="24"/>
          <w:szCs w:val="24"/>
        </w:rPr>
        <w:t>Puluh</w:t>
      </w:r>
      <w:r w:rsidR="00A954D0">
        <w:rPr>
          <w:rFonts w:ascii="Bookman Old Style" w:hAnsi="Bookman Old Style"/>
          <w:sz w:val="24"/>
          <w:szCs w:val="24"/>
        </w:rPr>
        <w:t xml:space="preserve"> </w:t>
      </w:r>
      <w:r w:rsidRPr="0078475B">
        <w:rPr>
          <w:rFonts w:ascii="Bookman Old Style" w:hAnsi="Bookman Old Style"/>
          <w:sz w:val="24"/>
          <w:szCs w:val="24"/>
        </w:rPr>
        <w:t>Delapan</w:t>
      </w:r>
      <w:r w:rsidR="00A954D0">
        <w:rPr>
          <w:rFonts w:ascii="Bookman Old Style" w:hAnsi="Bookman Old Style"/>
          <w:sz w:val="24"/>
          <w:szCs w:val="24"/>
        </w:rPr>
        <w:t xml:space="preserve"> </w:t>
      </w:r>
      <w:r w:rsidRPr="0078475B">
        <w:rPr>
          <w:rFonts w:ascii="Bookman Old Style" w:hAnsi="Bookman Old Style"/>
          <w:sz w:val="24"/>
          <w:szCs w:val="24"/>
        </w:rPr>
        <w:t>Ribu</w:t>
      </w:r>
      <w:r w:rsidR="00A954D0">
        <w:rPr>
          <w:rFonts w:ascii="Bookman Old Style" w:hAnsi="Bookman Old Style"/>
          <w:sz w:val="24"/>
          <w:szCs w:val="24"/>
        </w:rPr>
        <w:t xml:space="preserve"> </w:t>
      </w:r>
      <w:r w:rsidRPr="0078475B">
        <w:rPr>
          <w:rFonts w:ascii="Bookman Old Style" w:hAnsi="Bookman Old Style"/>
          <w:sz w:val="24"/>
          <w:szCs w:val="24"/>
        </w:rPr>
        <w:t>Rupiah).</w:t>
      </w:r>
    </w:p>
    <w:p w14:paraId="6BF4C725" w14:textId="7641BFCB" w:rsidR="006E2F8F" w:rsidRPr="003255BC" w:rsidRDefault="006E2F8F" w:rsidP="004A784D">
      <w:pPr>
        <w:numPr>
          <w:ilvl w:val="0"/>
          <w:numId w:val="176"/>
        </w:numPr>
        <w:snapToGrid w:val="0"/>
        <w:spacing w:before="60" w:line="276" w:lineRule="auto"/>
        <w:ind w:left="2268" w:hanging="567"/>
        <w:jc w:val="both"/>
        <w:rPr>
          <w:rFonts w:ascii="Bookman Old Style" w:hAnsi="Bookman Old Style" w:cs="Tahoma"/>
          <w:lang w:val="sv-FI"/>
        </w:rPr>
      </w:pPr>
      <w:r w:rsidRPr="003255BC">
        <w:rPr>
          <w:rFonts w:ascii="Bookman Old Style" w:hAnsi="Bookman Old Style" w:cs="Tahoma"/>
          <w:lang w:val="sv-FI"/>
        </w:rPr>
        <w:t>Pasal</w:t>
      </w:r>
      <w:r w:rsidR="00A954D0" w:rsidRPr="003255BC">
        <w:rPr>
          <w:rFonts w:ascii="Bookman Old Style" w:hAnsi="Bookman Old Style" w:cs="Tahoma"/>
          <w:lang w:val="sv-FI"/>
        </w:rPr>
        <w:t xml:space="preserve"> </w:t>
      </w:r>
      <w:r w:rsidRPr="003255BC">
        <w:rPr>
          <w:rFonts w:ascii="Bookman Old Style" w:hAnsi="Bookman Old Style" w:cs="Tahoma"/>
          <w:lang w:val="sv-FI"/>
        </w:rPr>
        <w:t>13</w:t>
      </w:r>
      <w:r w:rsidR="00A954D0" w:rsidRPr="003255BC">
        <w:rPr>
          <w:rFonts w:ascii="Bookman Old Style" w:hAnsi="Bookman Old Style" w:cs="Tahoma"/>
          <w:lang w:val="sv-FI"/>
        </w:rPr>
        <w:t xml:space="preserve"> </w:t>
      </w:r>
      <w:r w:rsidRPr="003255BC">
        <w:rPr>
          <w:rFonts w:ascii="Bookman Old Style" w:hAnsi="Bookman Old Style" w:cs="Tahoma"/>
          <w:lang w:val="sv-FI"/>
        </w:rPr>
        <w:t>ayat</w:t>
      </w:r>
      <w:r w:rsidR="00A954D0" w:rsidRPr="003255BC">
        <w:rPr>
          <w:rFonts w:ascii="Bookman Old Style" w:hAnsi="Bookman Old Style" w:cs="Tahoma"/>
          <w:lang w:val="sv-FI"/>
        </w:rPr>
        <w:t xml:space="preserve"> </w:t>
      </w:r>
      <w:r w:rsidRPr="003255BC">
        <w:rPr>
          <w:rFonts w:ascii="Bookman Old Style" w:hAnsi="Bookman Old Style" w:cs="Tahoma"/>
          <w:lang w:val="sv-FI"/>
        </w:rPr>
        <w:t>(1)</w:t>
      </w:r>
      <w:r w:rsidR="00A954D0" w:rsidRPr="003255BC">
        <w:rPr>
          <w:rFonts w:ascii="Bookman Old Style" w:hAnsi="Bookman Old Style" w:cs="Tahoma"/>
          <w:lang w:val="sv-FI"/>
        </w:rPr>
        <w:t xml:space="preserve"> </w:t>
      </w:r>
      <w:r w:rsidRPr="003255BC">
        <w:rPr>
          <w:rFonts w:ascii="Bookman Old Style" w:hAnsi="Bookman Old Style" w:cs="Tahoma"/>
          <w:lang w:val="sv-FI"/>
        </w:rPr>
        <w:t>agar</w:t>
      </w:r>
      <w:r w:rsidR="00A954D0" w:rsidRPr="003255BC">
        <w:rPr>
          <w:rFonts w:ascii="Bookman Old Style" w:hAnsi="Bookman Old Style" w:cs="Tahoma"/>
          <w:lang w:val="sv-FI"/>
        </w:rPr>
        <w:t xml:space="preserve"> </w:t>
      </w:r>
      <w:r w:rsidRPr="003255BC">
        <w:rPr>
          <w:rFonts w:ascii="Bookman Old Style" w:hAnsi="Bookman Old Style" w:cs="Tahoma"/>
          <w:lang w:val="sv-FI"/>
        </w:rPr>
        <w:t>diperbaiki</w:t>
      </w:r>
      <w:r w:rsidR="00A954D0" w:rsidRPr="003255BC">
        <w:rPr>
          <w:rFonts w:ascii="Bookman Old Style" w:hAnsi="Bookman Old Style" w:cs="Tahoma"/>
          <w:lang w:val="sv-FI"/>
        </w:rPr>
        <w:t xml:space="preserve"> </w:t>
      </w:r>
      <w:r w:rsidRPr="003255BC">
        <w:rPr>
          <w:rFonts w:ascii="Bookman Old Style" w:hAnsi="Bookman Old Style" w:cs="Tahoma"/>
          <w:lang w:val="sv-FI"/>
        </w:rPr>
        <w:t>redaksionalnya</w:t>
      </w:r>
      <w:r w:rsidR="00A954D0" w:rsidRPr="003255BC">
        <w:rPr>
          <w:rFonts w:ascii="Bookman Old Style" w:hAnsi="Bookman Old Style" w:cs="Tahoma"/>
          <w:lang w:val="sv-FI"/>
        </w:rPr>
        <w:t xml:space="preserve"> </w:t>
      </w:r>
      <w:r w:rsidRPr="003255BC">
        <w:rPr>
          <w:rFonts w:ascii="Bookman Old Style" w:hAnsi="Bookman Old Style" w:cs="Tahoma"/>
          <w:lang w:val="sv-FI"/>
        </w:rPr>
        <w:t>menjadi:</w:t>
      </w:r>
    </w:p>
    <w:p w14:paraId="2888B6A7" w14:textId="49ED94C2" w:rsidR="006E2F8F" w:rsidRPr="003255BC" w:rsidRDefault="006E2F8F" w:rsidP="007D4940">
      <w:pPr>
        <w:snapToGrid w:val="0"/>
        <w:spacing w:before="60" w:line="276" w:lineRule="auto"/>
        <w:ind w:left="2268"/>
        <w:jc w:val="both"/>
        <w:rPr>
          <w:rFonts w:ascii="Bookman Old Style" w:hAnsi="Bookman Old Style"/>
          <w:lang w:val="sv-FI"/>
        </w:rPr>
      </w:pPr>
      <w:r w:rsidRPr="003255BC">
        <w:rPr>
          <w:rFonts w:ascii="Bookman Old Style" w:hAnsi="Bookman Old Style"/>
          <w:lang w:val="sv-FI"/>
        </w:rPr>
        <w:t>Belanja</w:t>
      </w:r>
      <w:r w:rsidR="00A954D0" w:rsidRPr="003255BC">
        <w:rPr>
          <w:rFonts w:ascii="Bookman Old Style" w:hAnsi="Bookman Old Style"/>
          <w:lang w:val="sv-FI"/>
        </w:rPr>
        <w:t xml:space="preserve"> </w:t>
      </w:r>
      <w:r w:rsidRPr="003255BC">
        <w:rPr>
          <w:rFonts w:ascii="Bookman Old Style" w:hAnsi="Bookman Old Style"/>
          <w:lang w:val="sv-FI"/>
        </w:rPr>
        <w:t>Operasi</w:t>
      </w:r>
      <w:r w:rsidR="00A954D0" w:rsidRPr="003255BC">
        <w:rPr>
          <w:rFonts w:ascii="Bookman Old Style" w:hAnsi="Bookman Old Style"/>
          <w:lang w:val="sv-FI"/>
        </w:rPr>
        <w:t xml:space="preserve"> </w:t>
      </w:r>
      <w:r w:rsidRPr="003255BC">
        <w:rPr>
          <w:rFonts w:ascii="Bookman Old Style" w:hAnsi="Bookman Old Style"/>
          <w:lang w:val="sv-FI"/>
        </w:rPr>
        <w:t>sebagaimana</w:t>
      </w:r>
      <w:r w:rsidR="00A954D0" w:rsidRPr="003255BC">
        <w:rPr>
          <w:rFonts w:ascii="Bookman Old Style" w:hAnsi="Bookman Old Style"/>
          <w:lang w:val="sv-FI"/>
        </w:rPr>
        <w:t xml:space="preserve"> </w:t>
      </w:r>
      <w:r w:rsidRPr="003255BC">
        <w:rPr>
          <w:rFonts w:ascii="Bookman Old Style" w:hAnsi="Bookman Old Style"/>
          <w:lang w:val="sv-FI"/>
        </w:rPr>
        <w:t>dimaksud</w:t>
      </w:r>
      <w:r w:rsidR="00A954D0" w:rsidRPr="003255BC">
        <w:rPr>
          <w:rFonts w:ascii="Bookman Old Style" w:hAnsi="Bookman Old Style"/>
          <w:lang w:val="sv-FI"/>
        </w:rPr>
        <w:t xml:space="preserve"> </w:t>
      </w:r>
      <w:r w:rsidRPr="003255BC">
        <w:rPr>
          <w:rFonts w:ascii="Bookman Old Style" w:hAnsi="Bookman Old Style"/>
          <w:lang w:val="sv-FI"/>
        </w:rPr>
        <w:t>dalam</w:t>
      </w:r>
      <w:r w:rsidR="00A954D0" w:rsidRPr="003255BC">
        <w:rPr>
          <w:rFonts w:ascii="Bookman Old Style" w:hAnsi="Bookman Old Style"/>
          <w:lang w:val="sv-FI"/>
        </w:rPr>
        <w:t xml:space="preserve"> </w:t>
      </w:r>
      <w:r w:rsidRPr="003255BC">
        <w:rPr>
          <w:rFonts w:ascii="Bookman Old Style" w:hAnsi="Bookman Old Style"/>
          <w:lang w:val="sv-FI"/>
        </w:rPr>
        <w:t>Pasal</w:t>
      </w:r>
      <w:r w:rsidR="00A954D0" w:rsidRPr="003255BC">
        <w:rPr>
          <w:rFonts w:ascii="Bookman Old Style" w:hAnsi="Bookman Old Style"/>
          <w:lang w:val="sv-FI"/>
        </w:rPr>
        <w:t xml:space="preserve"> </w:t>
      </w:r>
      <w:r w:rsidRPr="003255BC">
        <w:rPr>
          <w:rFonts w:ascii="Bookman Old Style" w:hAnsi="Bookman Old Style"/>
          <w:lang w:val="sv-FI"/>
        </w:rPr>
        <w:t>12</w:t>
      </w:r>
      <w:r w:rsidR="00A954D0" w:rsidRPr="003255BC">
        <w:rPr>
          <w:rFonts w:ascii="Bookman Old Style" w:hAnsi="Bookman Old Style"/>
          <w:lang w:val="sv-FI"/>
        </w:rPr>
        <w:t xml:space="preserve"> </w:t>
      </w:r>
      <w:r w:rsidRPr="003255BC">
        <w:rPr>
          <w:rFonts w:ascii="Bookman Old Style" w:hAnsi="Bookman Old Style"/>
          <w:lang w:val="sv-FI"/>
        </w:rPr>
        <w:t>huruf</w:t>
      </w:r>
      <w:r w:rsidR="00A954D0" w:rsidRPr="003255BC">
        <w:rPr>
          <w:rFonts w:ascii="Bookman Old Style" w:hAnsi="Bookman Old Style"/>
          <w:lang w:val="sv-FI"/>
        </w:rPr>
        <w:t xml:space="preserve"> </w:t>
      </w:r>
      <w:r w:rsidRPr="003255BC">
        <w:rPr>
          <w:rFonts w:ascii="Bookman Old Style" w:hAnsi="Bookman Old Style"/>
          <w:b/>
          <w:bCs/>
          <w:lang w:val="sv-FI"/>
        </w:rPr>
        <w:t>a</w:t>
      </w:r>
      <w:r w:rsidR="00A954D0" w:rsidRPr="003255BC">
        <w:rPr>
          <w:rFonts w:ascii="Bookman Old Style" w:hAnsi="Bookman Old Style"/>
          <w:lang w:val="sv-FI"/>
        </w:rPr>
        <w:t xml:space="preserve"> </w:t>
      </w:r>
      <w:r w:rsidRPr="003255BC">
        <w:rPr>
          <w:rFonts w:ascii="Bookman Old Style" w:hAnsi="Bookman Old Style"/>
          <w:lang w:val="sv-FI"/>
        </w:rPr>
        <w:t>direncanakan</w:t>
      </w:r>
      <w:r w:rsidR="00A954D0" w:rsidRPr="003255BC">
        <w:rPr>
          <w:rFonts w:ascii="Bookman Old Style" w:hAnsi="Bookman Old Style"/>
          <w:lang w:val="sv-FI"/>
        </w:rPr>
        <w:t xml:space="preserve"> </w:t>
      </w:r>
      <w:r w:rsidRPr="003255BC">
        <w:rPr>
          <w:rFonts w:ascii="Bookman Old Style" w:hAnsi="Bookman Old Style"/>
          <w:lang w:val="sv-FI"/>
        </w:rPr>
        <w:t>sebesar</w:t>
      </w:r>
      <w:r w:rsidR="00A954D0" w:rsidRPr="003255BC">
        <w:rPr>
          <w:rFonts w:ascii="Bookman Old Style" w:hAnsi="Bookman Old Style"/>
          <w:lang w:val="sv-FI"/>
        </w:rPr>
        <w:t xml:space="preserve"> </w:t>
      </w:r>
      <w:r w:rsidRPr="003255BC">
        <w:rPr>
          <w:rFonts w:ascii="Bookman Old Style" w:hAnsi="Bookman Old Style"/>
          <w:lang w:val="sv-FI"/>
        </w:rPr>
        <w:t>Rp4.640.912.509.120,00</w:t>
      </w:r>
      <w:r w:rsidR="00A954D0" w:rsidRPr="003255BC">
        <w:rPr>
          <w:rFonts w:ascii="Bookman Old Style" w:hAnsi="Bookman Old Style"/>
          <w:lang w:val="sv-FI"/>
        </w:rPr>
        <w:t xml:space="preserve"> </w:t>
      </w:r>
      <w:r w:rsidRPr="003255BC">
        <w:rPr>
          <w:rFonts w:ascii="Bookman Old Style" w:hAnsi="Bookman Old Style"/>
          <w:lang w:val="sv-FI"/>
        </w:rPr>
        <w:t>(Empat</w:t>
      </w:r>
      <w:r w:rsidR="00A954D0" w:rsidRPr="003255BC">
        <w:rPr>
          <w:rFonts w:ascii="Bookman Old Style" w:hAnsi="Bookman Old Style"/>
          <w:lang w:val="sv-FI"/>
        </w:rPr>
        <w:t xml:space="preserve"> </w:t>
      </w:r>
      <w:r w:rsidRPr="003255BC">
        <w:rPr>
          <w:rFonts w:ascii="Bookman Old Style" w:hAnsi="Bookman Old Style"/>
          <w:lang w:val="sv-FI"/>
        </w:rPr>
        <w:t>Triliun</w:t>
      </w:r>
      <w:r w:rsidR="00A954D0" w:rsidRPr="003255BC">
        <w:rPr>
          <w:rFonts w:ascii="Bookman Old Style" w:hAnsi="Bookman Old Style"/>
          <w:lang w:val="sv-FI"/>
        </w:rPr>
        <w:t xml:space="preserve"> </w:t>
      </w:r>
      <w:r w:rsidRPr="003255BC">
        <w:rPr>
          <w:rFonts w:ascii="Bookman Old Style" w:hAnsi="Bookman Old Style"/>
          <w:lang w:val="sv-FI"/>
        </w:rPr>
        <w:t>Enam</w:t>
      </w:r>
      <w:r w:rsidR="00A954D0" w:rsidRPr="003255BC">
        <w:rPr>
          <w:rFonts w:ascii="Bookman Old Style" w:hAnsi="Bookman Old Style"/>
          <w:lang w:val="sv-FI"/>
        </w:rPr>
        <w:t xml:space="preserve"> </w:t>
      </w:r>
      <w:r w:rsidRPr="003255BC">
        <w:rPr>
          <w:rFonts w:ascii="Bookman Old Style" w:hAnsi="Bookman Old Style"/>
          <w:lang w:val="sv-FI"/>
        </w:rPr>
        <w:t>Ratus</w:t>
      </w:r>
      <w:r w:rsidR="00A954D0" w:rsidRPr="003255BC">
        <w:rPr>
          <w:rFonts w:ascii="Bookman Old Style" w:hAnsi="Bookman Old Style"/>
          <w:lang w:val="sv-FI"/>
        </w:rPr>
        <w:t xml:space="preserve"> </w:t>
      </w:r>
      <w:r w:rsidRPr="003255BC">
        <w:rPr>
          <w:rFonts w:ascii="Bookman Old Style" w:hAnsi="Bookman Old Style"/>
          <w:lang w:val="sv-FI"/>
        </w:rPr>
        <w:t>Empat</w:t>
      </w:r>
      <w:r w:rsidR="00A954D0" w:rsidRPr="003255BC">
        <w:rPr>
          <w:rFonts w:ascii="Bookman Old Style" w:hAnsi="Bookman Old Style"/>
          <w:lang w:val="sv-FI"/>
        </w:rPr>
        <w:t xml:space="preserve"> </w:t>
      </w:r>
      <w:r w:rsidRPr="003255BC">
        <w:rPr>
          <w:rFonts w:ascii="Bookman Old Style" w:hAnsi="Bookman Old Style"/>
          <w:lang w:val="sv-FI"/>
        </w:rPr>
        <w:t>Puluh</w:t>
      </w:r>
      <w:r w:rsidR="00A954D0" w:rsidRPr="003255BC">
        <w:rPr>
          <w:rFonts w:ascii="Bookman Old Style" w:hAnsi="Bookman Old Style"/>
          <w:lang w:val="sv-FI"/>
        </w:rPr>
        <w:t xml:space="preserve"> </w:t>
      </w:r>
      <w:r w:rsidRPr="003255BC">
        <w:rPr>
          <w:rFonts w:ascii="Bookman Old Style" w:hAnsi="Bookman Old Style"/>
          <w:lang w:val="sv-FI"/>
        </w:rPr>
        <w:t>Miliar</w:t>
      </w:r>
      <w:r w:rsidR="00A954D0" w:rsidRPr="003255BC">
        <w:rPr>
          <w:rFonts w:ascii="Bookman Old Style" w:hAnsi="Bookman Old Style"/>
          <w:lang w:val="sv-FI"/>
        </w:rPr>
        <w:t xml:space="preserve"> </w:t>
      </w:r>
      <w:r w:rsidRPr="003255BC">
        <w:rPr>
          <w:rFonts w:ascii="Bookman Old Style" w:hAnsi="Bookman Old Style"/>
          <w:lang w:val="sv-FI"/>
        </w:rPr>
        <w:t>Sembilan</w:t>
      </w:r>
      <w:r w:rsidR="00A954D0" w:rsidRPr="003255BC">
        <w:rPr>
          <w:rFonts w:ascii="Bookman Old Style" w:hAnsi="Bookman Old Style"/>
          <w:lang w:val="sv-FI"/>
        </w:rPr>
        <w:t xml:space="preserve"> </w:t>
      </w:r>
      <w:r w:rsidRPr="003255BC">
        <w:rPr>
          <w:rFonts w:ascii="Bookman Old Style" w:hAnsi="Bookman Old Style"/>
          <w:lang w:val="sv-FI"/>
        </w:rPr>
        <w:t>Ratus</w:t>
      </w:r>
      <w:r w:rsidR="00A954D0" w:rsidRPr="003255BC">
        <w:rPr>
          <w:rFonts w:ascii="Bookman Old Style" w:hAnsi="Bookman Old Style"/>
          <w:lang w:val="sv-FI"/>
        </w:rPr>
        <w:t xml:space="preserve"> </w:t>
      </w:r>
      <w:r w:rsidRPr="003255BC">
        <w:rPr>
          <w:rFonts w:ascii="Bookman Old Style" w:hAnsi="Bookman Old Style"/>
          <w:lang w:val="sv-FI"/>
        </w:rPr>
        <w:t>Dua</w:t>
      </w:r>
      <w:r w:rsidR="00A954D0" w:rsidRPr="003255BC">
        <w:rPr>
          <w:rFonts w:ascii="Bookman Old Style" w:hAnsi="Bookman Old Style"/>
          <w:lang w:val="sv-FI"/>
        </w:rPr>
        <w:t xml:space="preserve"> </w:t>
      </w:r>
      <w:r w:rsidRPr="003255BC">
        <w:rPr>
          <w:rFonts w:ascii="Bookman Old Style" w:hAnsi="Bookman Old Style"/>
          <w:lang w:val="sv-FI"/>
        </w:rPr>
        <w:t>Belas</w:t>
      </w:r>
      <w:r w:rsidR="00A954D0" w:rsidRPr="003255BC">
        <w:rPr>
          <w:rFonts w:ascii="Bookman Old Style" w:hAnsi="Bookman Old Style"/>
          <w:lang w:val="sv-FI"/>
        </w:rPr>
        <w:t xml:space="preserve"> </w:t>
      </w:r>
      <w:r w:rsidRPr="003255BC">
        <w:rPr>
          <w:rFonts w:ascii="Bookman Old Style" w:hAnsi="Bookman Old Style"/>
          <w:lang w:val="sv-FI"/>
        </w:rPr>
        <w:t>Juta</w:t>
      </w:r>
      <w:r w:rsidR="00A954D0" w:rsidRPr="003255BC">
        <w:rPr>
          <w:rFonts w:ascii="Bookman Old Style" w:hAnsi="Bookman Old Style"/>
          <w:lang w:val="sv-FI"/>
        </w:rPr>
        <w:t xml:space="preserve"> </w:t>
      </w:r>
      <w:r w:rsidRPr="003255BC">
        <w:rPr>
          <w:rFonts w:ascii="Bookman Old Style" w:hAnsi="Bookman Old Style"/>
          <w:lang w:val="sv-FI"/>
        </w:rPr>
        <w:t>Lima</w:t>
      </w:r>
      <w:r w:rsidR="00A954D0" w:rsidRPr="003255BC">
        <w:rPr>
          <w:rFonts w:ascii="Bookman Old Style" w:hAnsi="Bookman Old Style"/>
          <w:lang w:val="sv-FI"/>
        </w:rPr>
        <w:t xml:space="preserve"> </w:t>
      </w:r>
      <w:r w:rsidRPr="003255BC">
        <w:rPr>
          <w:rFonts w:ascii="Bookman Old Style" w:hAnsi="Bookman Old Style"/>
          <w:lang w:val="sv-FI"/>
        </w:rPr>
        <w:t>Ratus</w:t>
      </w:r>
      <w:r w:rsidR="00A954D0" w:rsidRPr="003255BC">
        <w:rPr>
          <w:rFonts w:ascii="Bookman Old Style" w:hAnsi="Bookman Old Style"/>
          <w:lang w:val="sv-FI"/>
        </w:rPr>
        <w:t xml:space="preserve"> </w:t>
      </w:r>
      <w:r w:rsidRPr="003255BC">
        <w:rPr>
          <w:rFonts w:ascii="Bookman Old Style" w:hAnsi="Bookman Old Style"/>
          <w:lang w:val="sv-FI"/>
        </w:rPr>
        <w:t>Sembilan</w:t>
      </w:r>
      <w:r w:rsidR="00A954D0" w:rsidRPr="003255BC">
        <w:rPr>
          <w:rFonts w:ascii="Bookman Old Style" w:hAnsi="Bookman Old Style"/>
          <w:lang w:val="sv-FI"/>
        </w:rPr>
        <w:t xml:space="preserve"> </w:t>
      </w:r>
      <w:r w:rsidRPr="003255BC">
        <w:rPr>
          <w:rFonts w:ascii="Bookman Old Style" w:hAnsi="Bookman Old Style"/>
          <w:lang w:val="sv-FI"/>
        </w:rPr>
        <w:t>Ribu</w:t>
      </w:r>
      <w:r w:rsidR="00A954D0" w:rsidRPr="003255BC">
        <w:rPr>
          <w:rFonts w:ascii="Bookman Old Style" w:hAnsi="Bookman Old Style"/>
          <w:lang w:val="sv-FI"/>
        </w:rPr>
        <w:t xml:space="preserve"> </w:t>
      </w:r>
      <w:r w:rsidRPr="003255BC">
        <w:rPr>
          <w:rFonts w:ascii="Bookman Old Style" w:hAnsi="Bookman Old Style"/>
          <w:lang w:val="sv-FI"/>
        </w:rPr>
        <w:t>Seratus</w:t>
      </w:r>
      <w:r w:rsidR="00A954D0" w:rsidRPr="003255BC">
        <w:rPr>
          <w:rFonts w:ascii="Bookman Old Style" w:hAnsi="Bookman Old Style"/>
          <w:lang w:val="sv-FI"/>
        </w:rPr>
        <w:t xml:space="preserve"> </w:t>
      </w:r>
      <w:r w:rsidRPr="003255BC">
        <w:rPr>
          <w:rFonts w:ascii="Bookman Old Style" w:hAnsi="Bookman Old Style"/>
          <w:lang w:val="sv-FI"/>
        </w:rPr>
        <w:t>Dua</w:t>
      </w:r>
      <w:r w:rsidR="00A954D0" w:rsidRPr="003255BC">
        <w:rPr>
          <w:rFonts w:ascii="Bookman Old Style" w:hAnsi="Bookman Old Style"/>
          <w:lang w:val="sv-FI"/>
        </w:rPr>
        <w:t xml:space="preserve"> </w:t>
      </w:r>
      <w:r w:rsidRPr="003255BC">
        <w:rPr>
          <w:rFonts w:ascii="Bookman Old Style" w:hAnsi="Bookman Old Style"/>
          <w:lang w:val="sv-FI"/>
        </w:rPr>
        <w:t>Puluh</w:t>
      </w:r>
      <w:r w:rsidR="00A954D0" w:rsidRPr="003255BC">
        <w:rPr>
          <w:rFonts w:ascii="Bookman Old Style" w:hAnsi="Bookman Old Style"/>
          <w:lang w:val="sv-FI"/>
        </w:rPr>
        <w:t xml:space="preserve"> </w:t>
      </w:r>
      <w:r w:rsidRPr="003255BC">
        <w:rPr>
          <w:rFonts w:ascii="Bookman Old Style" w:hAnsi="Bookman Old Style"/>
          <w:lang w:val="sv-FI"/>
        </w:rPr>
        <w:t>Rupiah),</w:t>
      </w:r>
      <w:r w:rsidR="00A954D0" w:rsidRPr="003255BC">
        <w:rPr>
          <w:rFonts w:ascii="Bookman Old Style" w:hAnsi="Bookman Old Style"/>
          <w:lang w:val="sv-FI"/>
        </w:rPr>
        <w:t xml:space="preserve"> </w:t>
      </w:r>
      <w:r w:rsidRPr="003255BC">
        <w:rPr>
          <w:rFonts w:ascii="Bookman Old Style" w:hAnsi="Bookman Old Style"/>
          <w:b/>
          <w:bCs/>
          <w:lang w:val="sv-FI"/>
        </w:rPr>
        <w:t>terdiri</w:t>
      </w:r>
      <w:r w:rsidR="00A954D0" w:rsidRPr="003255BC">
        <w:rPr>
          <w:rFonts w:ascii="Bookman Old Style" w:hAnsi="Bookman Old Style"/>
          <w:b/>
          <w:bCs/>
          <w:lang w:val="sv-FI"/>
        </w:rPr>
        <w:t xml:space="preserve"> </w:t>
      </w:r>
      <w:r w:rsidRPr="003255BC">
        <w:rPr>
          <w:rFonts w:ascii="Bookman Old Style" w:hAnsi="Bookman Old Style"/>
          <w:b/>
          <w:bCs/>
          <w:lang w:val="sv-FI"/>
        </w:rPr>
        <w:t>atas</w:t>
      </w:r>
      <w:r w:rsidRPr="003255BC">
        <w:rPr>
          <w:rFonts w:ascii="Bookman Old Style" w:hAnsi="Bookman Old Style"/>
          <w:lang w:val="sv-FI"/>
        </w:rPr>
        <w:t>:</w:t>
      </w:r>
    </w:p>
    <w:p w14:paraId="1FD3E0D6" w14:textId="0FA1CB2E" w:rsidR="006E2F8F" w:rsidRPr="00182CAE" w:rsidRDefault="006E2F8F" w:rsidP="007D4940">
      <w:pPr>
        <w:pStyle w:val="ListParagraph"/>
        <w:numPr>
          <w:ilvl w:val="0"/>
          <w:numId w:val="270"/>
        </w:numPr>
        <w:snapToGrid w:val="0"/>
        <w:spacing w:before="60" w:after="0" w:line="276" w:lineRule="auto"/>
        <w:ind w:left="2694" w:hanging="426"/>
        <w:contextualSpacing w:val="0"/>
        <w:jc w:val="both"/>
        <w:rPr>
          <w:rFonts w:ascii="Bookman Old Style" w:hAnsi="Bookman Old Style" w:cs="Tahoma"/>
          <w:sz w:val="24"/>
          <w:szCs w:val="24"/>
        </w:rPr>
      </w:pPr>
      <w:r w:rsidRPr="00182CAE">
        <w:rPr>
          <w:rFonts w:ascii="Bookman Old Style" w:hAnsi="Bookman Old Style"/>
          <w:sz w:val="24"/>
          <w:szCs w:val="24"/>
        </w:rPr>
        <w:t>Belanja</w:t>
      </w:r>
      <w:r w:rsidR="00A954D0">
        <w:rPr>
          <w:rFonts w:ascii="Bookman Old Style" w:hAnsi="Bookman Old Style"/>
          <w:sz w:val="24"/>
          <w:szCs w:val="24"/>
        </w:rPr>
        <w:t xml:space="preserve"> </w:t>
      </w:r>
      <w:r w:rsidRPr="00182CAE">
        <w:rPr>
          <w:rFonts w:ascii="Bookman Old Style" w:hAnsi="Bookman Old Style"/>
          <w:sz w:val="24"/>
          <w:szCs w:val="24"/>
        </w:rPr>
        <w:t>Pegawai;</w:t>
      </w:r>
    </w:p>
    <w:p w14:paraId="1E65461D" w14:textId="4536E3AA" w:rsidR="006E2F8F" w:rsidRPr="00182CAE" w:rsidRDefault="006E2F8F" w:rsidP="007D4940">
      <w:pPr>
        <w:pStyle w:val="ListParagraph"/>
        <w:numPr>
          <w:ilvl w:val="0"/>
          <w:numId w:val="270"/>
        </w:numPr>
        <w:snapToGrid w:val="0"/>
        <w:spacing w:before="60" w:after="0" w:line="276" w:lineRule="auto"/>
        <w:ind w:left="2694" w:hanging="426"/>
        <w:contextualSpacing w:val="0"/>
        <w:jc w:val="both"/>
        <w:rPr>
          <w:rFonts w:ascii="Bookman Old Style" w:hAnsi="Bookman Old Style" w:cs="Tahoma"/>
          <w:sz w:val="24"/>
          <w:szCs w:val="24"/>
        </w:rPr>
      </w:pPr>
      <w:r w:rsidRPr="00182CAE">
        <w:rPr>
          <w:rFonts w:ascii="Bookman Old Style" w:hAnsi="Bookman Old Style"/>
          <w:sz w:val="24"/>
          <w:szCs w:val="24"/>
        </w:rPr>
        <w:t>Belanja</w:t>
      </w:r>
      <w:r w:rsidR="00A954D0">
        <w:rPr>
          <w:rFonts w:ascii="Bookman Old Style" w:hAnsi="Bookman Old Style"/>
          <w:sz w:val="24"/>
          <w:szCs w:val="24"/>
        </w:rPr>
        <w:t xml:space="preserve"> </w:t>
      </w:r>
      <w:r w:rsidRPr="00182CAE">
        <w:rPr>
          <w:rFonts w:ascii="Bookman Old Style" w:hAnsi="Bookman Old Style"/>
          <w:sz w:val="24"/>
          <w:szCs w:val="24"/>
        </w:rPr>
        <w:t>Barang</w:t>
      </w:r>
      <w:r w:rsidR="00A954D0">
        <w:rPr>
          <w:rFonts w:ascii="Bookman Old Style" w:hAnsi="Bookman Old Style"/>
          <w:sz w:val="24"/>
          <w:szCs w:val="24"/>
        </w:rPr>
        <w:t xml:space="preserve"> </w:t>
      </w:r>
      <w:r w:rsidRPr="00182CAE">
        <w:rPr>
          <w:rFonts w:ascii="Bookman Old Style" w:hAnsi="Bookman Old Style"/>
          <w:sz w:val="24"/>
          <w:szCs w:val="24"/>
        </w:rPr>
        <w:t>dan</w:t>
      </w:r>
      <w:r w:rsidR="00A954D0">
        <w:rPr>
          <w:rFonts w:ascii="Bookman Old Style" w:hAnsi="Bookman Old Style"/>
          <w:sz w:val="24"/>
          <w:szCs w:val="24"/>
        </w:rPr>
        <w:t xml:space="preserve"> </w:t>
      </w:r>
      <w:r w:rsidRPr="00182CAE">
        <w:rPr>
          <w:rFonts w:ascii="Bookman Old Style" w:hAnsi="Bookman Old Style"/>
          <w:sz w:val="24"/>
          <w:szCs w:val="24"/>
        </w:rPr>
        <w:t>Jasa;</w:t>
      </w:r>
    </w:p>
    <w:p w14:paraId="2E3F8E3E" w14:textId="63B7D9C0" w:rsidR="006E2F8F" w:rsidRPr="00182CAE" w:rsidRDefault="006E2F8F" w:rsidP="007D4940">
      <w:pPr>
        <w:pStyle w:val="ListParagraph"/>
        <w:numPr>
          <w:ilvl w:val="0"/>
          <w:numId w:val="270"/>
        </w:numPr>
        <w:snapToGrid w:val="0"/>
        <w:spacing w:before="60" w:after="0" w:line="276" w:lineRule="auto"/>
        <w:ind w:left="2694" w:hanging="426"/>
        <w:contextualSpacing w:val="0"/>
        <w:jc w:val="both"/>
        <w:rPr>
          <w:rFonts w:ascii="Bookman Old Style" w:hAnsi="Bookman Old Style" w:cs="Tahoma"/>
          <w:sz w:val="24"/>
          <w:szCs w:val="24"/>
        </w:rPr>
      </w:pPr>
      <w:r w:rsidRPr="00182CAE">
        <w:rPr>
          <w:rFonts w:ascii="Bookman Old Style" w:hAnsi="Bookman Old Style"/>
          <w:sz w:val="24"/>
          <w:szCs w:val="24"/>
        </w:rPr>
        <w:t>Belanja</w:t>
      </w:r>
      <w:r w:rsidR="00A954D0">
        <w:rPr>
          <w:rFonts w:ascii="Bookman Old Style" w:hAnsi="Bookman Old Style"/>
          <w:sz w:val="24"/>
          <w:szCs w:val="24"/>
        </w:rPr>
        <w:t xml:space="preserve"> </w:t>
      </w:r>
      <w:r w:rsidRPr="00182CAE">
        <w:rPr>
          <w:rFonts w:ascii="Bookman Old Style" w:hAnsi="Bookman Old Style"/>
          <w:sz w:val="24"/>
          <w:szCs w:val="24"/>
        </w:rPr>
        <w:t>Subsidi;</w:t>
      </w:r>
    </w:p>
    <w:p w14:paraId="5740B3D8" w14:textId="0131093A" w:rsidR="006E2F8F" w:rsidRPr="00182CAE" w:rsidRDefault="006E2F8F" w:rsidP="007D4940">
      <w:pPr>
        <w:pStyle w:val="ListParagraph"/>
        <w:numPr>
          <w:ilvl w:val="0"/>
          <w:numId w:val="270"/>
        </w:numPr>
        <w:snapToGrid w:val="0"/>
        <w:spacing w:before="60" w:after="0" w:line="276" w:lineRule="auto"/>
        <w:ind w:left="2694" w:hanging="426"/>
        <w:contextualSpacing w:val="0"/>
        <w:jc w:val="both"/>
        <w:rPr>
          <w:rFonts w:ascii="Bookman Old Style" w:hAnsi="Bookman Old Style" w:cs="Tahoma"/>
          <w:sz w:val="24"/>
          <w:szCs w:val="24"/>
        </w:rPr>
      </w:pPr>
      <w:r w:rsidRPr="00182CAE">
        <w:rPr>
          <w:rFonts w:ascii="Bookman Old Style" w:hAnsi="Bookman Old Style"/>
          <w:sz w:val="24"/>
          <w:szCs w:val="24"/>
        </w:rPr>
        <w:t>Belanja</w:t>
      </w:r>
      <w:r w:rsidR="00A954D0">
        <w:rPr>
          <w:rFonts w:ascii="Bookman Old Style" w:hAnsi="Bookman Old Style"/>
          <w:sz w:val="24"/>
          <w:szCs w:val="24"/>
        </w:rPr>
        <w:t xml:space="preserve"> </w:t>
      </w:r>
      <w:r w:rsidRPr="00182CAE">
        <w:rPr>
          <w:rFonts w:ascii="Bookman Old Style" w:hAnsi="Bookman Old Style"/>
          <w:sz w:val="24"/>
          <w:szCs w:val="24"/>
        </w:rPr>
        <w:t>Hibah;</w:t>
      </w:r>
      <w:r w:rsidR="00A954D0">
        <w:rPr>
          <w:rFonts w:ascii="Bookman Old Style" w:hAnsi="Bookman Old Style"/>
          <w:sz w:val="24"/>
          <w:szCs w:val="24"/>
        </w:rPr>
        <w:t xml:space="preserve"> </w:t>
      </w:r>
      <w:r w:rsidRPr="00182CAE">
        <w:rPr>
          <w:rFonts w:ascii="Bookman Old Style" w:hAnsi="Bookman Old Style"/>
          <w:sz w:val="24"/>
          <w:szCs w:val="24"/>
        </w:rPr>
        <w:t>dan</w:t>
      </w:r>
    </w:p>
    <w:p w14:paraId="68403EB5" w14:textId="734B3951" w:rsidR="006E2F8F" w:rsidRPr="00182CAE" w:rsidRDefault="006E2F8F" w:rsidP="007D4940">
      <w:pPr>
        <w:pStyle w:val="ListParagraph"/>
        <w:numPr>
          <w:ilvl w:val="0"/>
          <w:numId w:val="270"/>
        </w:numPr>
        <w:snapToGrid w:val="0"/>
        <w:spacing w:before="60" w:after="0" w:line="276" w:lineRule="auto"/>
        <w:ind w:left="2694" w:hanging="426"/>
        <w:contextualSpacing w:val="0"/>
        <w:jc w:val="both"/>
        <w:rPr>
          <w:rFonts w:ascii="Bookman Old Style" w:hAnsi="Bookman Old Style" w:cs="Tahoma"/>
          <w:sz w:val="24"/>
          <w:szCs w:val="24"/>
        </w:rPr>
      </w:pPr>
      <w:r w:rsidRPr="00182CAE">
        <w:rPr>
          <w:rFonts w:ascii="Bookman Old Style" w:hAnsi="Bookman Old Style"/>
          <w:sz w:val="24"/>
          <w:szCs w:val="24"/>
        </w:rPr>
        <w:t>Belanja</w:t>
      </w:r>
      <w:r w:rsidR="00A954D0">
        <w:rPr>
          <w:rFonts w:ascii="Bookman Old Style" w:hAnsi="Bookman Old Style"/>
          <w:sz w:val="24"/>
          <w:szCs w:val="24"/>
        </w:rPr>
        <w:t xml:space="preserve"> </w:t>
      </w:r>
      <w:r w:rsidRPr="00182CAE">
        <w:rPr>
          <w:rFonts w:ascii="Bookman Old Style" w:hAnsi="Bookman Old Style"/>
          <w:sz w:val="24"/>
          <w:szCs w:val="24"/>
        </w:rPr>
        <w:t>Bantuan</w:t>
      </w:r>
      <w:r w:rsidR="00A954D0">
        <w:rPr>
          <w:rFonts w:ascii="Bookman Old Style" w:hAnsi="Bookman Old Style"/>
          <w:sz w:val="24"/>
          <w:szCs w:val="24"/>
        </w:rPr>
        <w:t xml:space="preserve"> </w:t>
      </w:r>
      <w:r w:rsidRPr="00182CAE">
        <w:rPr>
          <w:rFonts w:ascii="Bookman Old Style" w:hAnsi="Bookman Old Style"/>
          <w:sz w:val="24"/>
          <w:szCs w:val="24"/>
        </w:rPr>
        <w:t>Sosial.</w:t>
      </w:r>
    </w:p>
    <w:p w14:paraId="03B28C69" w14:textId="031791C1" w:rsidR="006E2F8F" w:rsidRPr="003255BC" w:rsidRDefault="006E2F8F" w:rsidP="007D4940">
      <w:pPr>
        <w:numPr>
          <w:ilvl w:val="0"/>
          <w:numId w:val="176"/>
        </w:numPr>
        <w:snapToGrid w:val="0"/>
        <w:spacing w:before="60" w:line="276" w:lineRule="auto"/>
        <w:ind w:left="2268" w:hanging="567"/>
        <w:jc w:val="both"/>
        <w:rPr>
          <w:rFonts w:ascii="Bookman Old Style" w:hAnsi="Bookman Old Style" w:cs="Tahoma"/>
          <w:lang w:val="sv-FI"/>
        </w:rPr>
      </w:pPr>
      <w:r w:rsidRPr="003255BC">
        <w:rPr>
          <w:rFonts w:ascii="Bookman Old Style" w:hAnsi="Bookman Old Style" w:cs="Tahoma"/>
          <w:lang w:val="sv-FI"/>
        </w:rPr>
        <w:t>Pasal</w:t>
      </w:r>
      <w:r w:rsidR="00A954D0" w:rsidRPr="003255BC">
        <w:rPr>
          <w:rFonts w:ascii="Bookman Old Style" w:hAnsi="Bookman Old Style" w:cs="Tahoma"/>
          <w:lang w:val="sv-FI"/>
        </w:rPr>
        <w:t xml:space="preserve"> </w:t>
      </w:r>
      <w:r w:rsidRPr="003255BC">
        <w:rPr>
          <w:rFonts w:ascii="Bookman Old Style" w:hAnsi="Bookman Old Style" w:cs="Tahoma"/>
          <w:lang w:val="sv-FI"/>
        </w:rPr>
        <w:t>14</w:t>
      </w:r>
      <w:r w:rsidR="00A954D0" w:rsidRPr="003255BC">
        <w:rPr>
          <w:rFonts w:ascii="Bookman Old Style" w:hAnsi="Bookman Old Style" w:cs="Tahoma"/>
          <w:lang w:val="sv-FI"/>
        </w:rPr>
        <w:t xml:space="preserve"> </w:t>
      </w:r>
      <w:r w:rsidRPr="003255BC">
        <w:rPr>
          <w:rFonts w:ascii="Bookman Old Style" w:hAnsi="Bookman Old Style" w:cs="Tahoma"/>
          <w:lang w:val="sv-FI"/>
        </w:rPr>
        <w:t>ayat</w:t>
      </w:r>
      <w:r w:rsidR="00A954D0" w:rsidRPr="003255BC">
        <w:rPr>
          <w:rFonts w:ascii="Bookman Old Style" w:hAnsi="Bookman Old Style" w:cs="Tahoma"/>
          <w:lang w:val="sv-FI"/>
        </w:rPr>
        <w:t xml:space="preserve"> </w:t>
      </w:r>
      <w:r w:rsidRPr="003255BC">
        <w:rPr>
          <w:rFonts w:ascii="Bookman Old Style" w:hAnsi="Bookman Old Style" w:cs="Tahoma"/>
          <w:lang w:val="sv-FI"/>
        </w:rPr>
        <w:t>(2)</w:t>
      </w:r>
      <w:r w:rsidR="00A954D0" w:rsidRPr="003255BC">
        <w:rPr>
          <w:rFonts w:ascii="Bookman Old Style" w:hAnsi="Bookman Old Style" w:cs="Tahoma"/>
          <w:lang w:val="sv-FI"/>
        </w:rPr>
        <w:t xml:space="preserve"> </w:t>
      </w:r>
      <w:r w:rsidRPr="003255BC">
        <w:rPr>
          <w:rFonts w:ascii="Bookman Old Style" w:hAnsi="Bookman Old Style" w:cs="Tahoma"/>
          <w:lang w:val="sv-FI"/>
        </w:rPr>
        <w:t>agar</w:t>
      </w:r>
      <w:r w:rsidR="00A954D0" w:rsidRPr="003255BC">
        <w:rPr>
          <w:rFonts w:ascii="Bookman Old Style" w:hAnsi="Bookman Old Style" w:cs="Tahoma"/>
          <w:lang w:val="sv-FI"/>
        </w:rPr>
        <w:t xml:space="preserve"> </w:t>
      </w:r>
      <w:r w:rsidRPr="003255BC">
        <w:rPr>
          <w:rFonts w:ascii="Bookman Old Style" w:hAnsi="Bookman Old Style" w:cs="Tahoma"/>
          <w:lang w:val="sv-FI"/>
        </w:rPr>
        <w:t>diperbaiki</w:t>
      </w:r>
      <w:r w:rsidR="00A954D0" w:rsidRPr="003255BC">
        <w:rPr>
          <w:rFonts w:ascii="Bookman Old Style" w:hAnsi="Bookman Old Style" w:cs="Tahoma"/>
          <w:lang w:val="sv-FI"/>
        </w:rPr>
        <w:t xml:space="preserve"> </w:t>
      </w:r>
      <w:r w:rsidRPr="003255BC">
        <w:rPr>
          <w:rFonts w:ascii="Bookman Old Style" w:hAnsi="Bookman Old Style" w:cs="Tahoma"/>
          <w:lang w:val="sv-FI"/>
        </w:rPr>
        <w:t>redaksionalnya</w:t>
      </w:r>
      <w:r w:rsidR="00A954D0" w:rsidRPr="003255BC">
        <w:rPr>
          <w:rFonts w:ascii="Bookman Old Style" w:hAnsi="Bookman Old Style" w:cs="Tahoma"/>
          <w:lang w:val="sv-FI"/>
        </w:rPr>
        <w:t xml:space="preserve"> </w:t>
      </w:r>
      <w:r w:rsidRPr="003255BC">
        <w:rPr>
          <w:rFonts w:ascii="Bookman Old Style" w:hAnsi="Bookman Old Style" w:cs="Tahoma"/>
          <w:lang w:val="sv-FI"/>
        </w:rPr>
        <w:t>menjadi:</w:t>
      </w:r>
    </w:p>
    <w:p w14:paraId="73C145C6" w14:textId="2D99D35B" w:rsidR="006E2F8F" w:rsidRPr="00256727" w:rsidRDefault="006E2F8F" w:rsidP="007D4940">
      <w:pPr>
        <w:snapToGrid w:val="0"/>
        <w:spacing w:before="60" w:line="276" w:lineRule="auto"/>
        <w:ind w:left="2268"/>
        <w:jc w:val="both"/>
        <w:rPr>
          <w:rFonts w:ascii="Bookman Old Style" w:hAnsi="Bookman Old Style"/>
          <w:lang w:val="sv-FI"/>
        </w:rPr>
      </w:pPr>
      <w:r w:rsidRPr="00256727">
        <w:rPr>
          <w:rFonts w:ascii="Bookman Old Style" w:hAnsi="Bookman Old Style"/>
          <w:lang w:val="sv-FI"/>
        </w:rPr>
        <w:t>Belanja</w:t>
      </w:r>
      <w:r w:rsidR="00A954D0" w:rsidRPr="00256727">
        <w:rPr>
          <w:rFonts w:ascii="Bookman Old Style" w:hAnsi="Bookman Old Style"/>
          <w:lang w:val="sv-FI"/>
        </w:rPr>
        <w:t xml:space="preserve"> </w:t>
      </w:r>
      <w:r w:rsidRPr="00256727">
        <w:rPr>
          <w:rFonts w:ascii="Bookman Old Style" w:hAnsi="Bookman Old Style"/>
          <w:lang w:val="sv-FI"/>
        </w:rPr>
        <w:t>Gaji</w:t>
      </w:r>
      <w:r w:rsidR="00A954D0" w:rsidRPr="00256727">
        <w:rPr>
          <w:rFonts w:ascii="Bookman Old Style" w:hAnsi="Bookman Old Style"/>
          <w:lang w:val="sv-FI"/>
        </w:rPr>
        <w:t xml:space="preserve"> </w:t>
      </w:r>
      <w:r w:rsidRPr="00256727">
        <w:rPr>
          <w:rFonts w:ascii="Bookman Old Style" w:hAnsi="Bookman Old Style"/>
          <w:lang w:val="sv-FI"/>
        </w:rPr>
        <w:t>dan</w:t>
      </w:r>
      <w:r w:rsidR="00A954D0" w:rsidRPr="00256727">
        <w:rPr>
          <w:rFonts w:ascii="Bookman Old Style" w:hAnsi="Bookman Old Style"/>
          <w:lang w:val="sv-FI"/>
        </w:rPr>
        <w:t xml:space="preserve"> </w:t>
      </w:r>
      <w:r w:rsidRPr="00256727">
        <w:rPr>
          <w:rFonts w:ascii="Bookman Old Style" w:hAnsi="Bookman Old Style"/>
          <w:lang w:val="sv-FI"/>
        </w:rPr>
        <w:t>Tunjangan</w:t>
      </w:r>
      <w:r w:rsidR="00A954D0" w:rsidRPr="00256727">
        <w:rPr>
          <w:rFonts w:ascii="Bookman Old Style" w:hAnsi="Bookman Old Style"/>
          <w:lang w:val="sv-FI"/>
        </w:rPr>
        <w:t xml:space="preserve"> </w:t>
      </w:r>
      <w:r w:rsidRPr="00256727">
        <w:rPr>
          <w:rFonts w:ascii="Bookman Old Style" w:hAnsi="Bookman Old Style"/>
          <w:lang w:val="sv-FI"/>
        </w:rPr>
        <w:t>ASN</w:t>
      </w:r>
      <w:r w:rsidR="00A954D0" w:rsidRPr="00256727">
        <w:rPr>
          <w:rFonts w:ascii="Bookman Old Style" w:hAnsi="Bookman Old Style"/>
          <w:lang w:val="sv-FI"/>
        </w:rPr>
        <w:t xml:space="preserve"> </w:t>
      </w:r>
      <w:r w:rsidRPr="00256727">
        <w:rPr>
          <w:rFonts w:ascii="Bookman Old Style" w:hAnsi="Bookman Old Style"/>
          <w:lang w:val="sv-FI"/>
        </w:rPr>
        <w:t>sebagaimana</w:t>
      </w:r>
      <w:r w:rsidR="00A954D0" w:rsidRPr="00256727">
        <w:rPr>
          <w:rFonts w:ascii="Bookman Old Style" w:hAnsi="Bookman Old Style"/>
          <w:lang w:val="sv-FI"/>
        </w:rPr>
        <w:t xml:space="preserve"> </w:t>
      </w:r>
      <w:r w:rsidRPr="00256727">
        <w:rPr>
          <w:rFonts w:ascii="Bookman Old Style" w:hAnsi="Bookman Old Style"/>
          <w:lang w:val="sv-FI"/>
        </w:rPr>
        <w:t>dimaksud</w:t>
      </w:r>
      <w:r w:rsidR="00A954D0" w:rsidRPr="00256727">
        <w:rPr>
          <w:rFonts w:ascii="Bookman Old Style" w:hAnsi="Bookman Old Style"/>
          <w:lang w:val="sv-FI"/>
        </w:rPr>
        <w:t xml:space="preserve"> </w:t>
      </w:r>
      <w:r w:rsidRPr="00256727">
        <w:rPr>
          <w:rFonts w:ascii="Bookman Old Style" w:hAnsi="Bookman Old Style"/>
          <w:b/>
          <w:bCs/>
          <w:lang w:val="sv-FI"/>
        </w:rPr>
        <w:t>pada</w:t>
      </w:r>
      <w:r w:rsidR="00A954D0" w:rsidRPr="00256727">
        <w:rPr>
          <w:rFonts w:ascii="Bookman Old Style" w:hAnsi="Bookman Old Style"/>
          <w:lang w:val="sv-FI"/>
        </w:rPr>
        <w:t xml:space="preserve"> </w:t>
      </w:r>
      <w:r w:rsidRPr="00256727">
        <w:rPr>
          <w:rFonts w:ascii="Bookman Old Style" w:hAnsi="Bookman Old Style"/>
          <w:lang w:val="sv-FI"/>
        </w:rPr>
        <w:t>ayat</w:t>
      </w:r>
      <w:r w:rsidR="00A954D0" w:rsidRPr="00256727">
        <w:rPr>
          <w:rFonts w:ascii="Bookman Old Style" w:hAnsi="Bookman Old Style"/>
          <w:lang w:val="sv-FI"/>
        </w:rPr>
        <w:t xml:space="preserve"> </w:t>
      </w:r>
      <w:r w:rsidRPr="00256727">
        <w:rPr>
          <w:rFonts w:ascii="Bookman Old Style" w:hAnsi="Bookman Old Style"/>
          <w:lang w:val="sv-FI"/>
        </w:rPr>
        <w:t>(1)</w:t>
      </w:r>
      <w:r w:rsidR="00A954D0" w:rsidRPr="00256727">
        <w:rPr>
          <w:rFonts w:ascii="Bookman Old Style" w:hAnsi="Bookman Old Style"/>
          <w:lang w:val="sv-FI"/>
        </w:rPr>
        <w:t xml:space="preserve"> </w:t>
      </w:r>
      <w:r w:rsidRPr="00256727">
        <w:rPr>
          <w:rFonts w:ascii="Bookman Old Style" w:hAnsi="Bookman Old Style"/>
          <w:lang w:val="sv-FI"/>
        </w:rPr>
        <w:t>huruf</w:t>
      </w:r>
      <w:r w:rsidR="00A954D0" w:rsidRPr="00256727">
        <w:rPr>
          <w:rFonts w:ascii="Bookman Old Style" w:hAnsi="Bookman Old Style"/>
          <w:lang w:val="sv-FI"/>
        </w:rPr>
        <w:t xml:space="preserve"> </w:t>
      </w:r>
      <w:r w:rsidRPr="00256727">
        <w:rPr>
          <w:rFonts w:ascii="Bookman Old Style" w:hAnsi="Bookman Old Style"/>
          <w:lang w:val="sv-FI"/>
        </w:rPr>
        <w:t>a</w:t>
      </w:r>
      <w:r w:rsidR="00A954D0" w:rsidRPr="00256727">
        <w:rPr>
          <w:rFonts w:ascii="Bookman Old Style" w:hAnsi="Bookman Old Style"/>
          <w:lang w:val="sv-FI"/>
        </w:rPr>
        <w:t xml:space="preserve"> </w:t>
      </w:r>
      <w:r w:rsidRPr="00256727">
        <w:rPr>
          <w:rFonts w:ascii="Bookman Old Style" w:hAnsi="Bookman Old Style"/>
          <w:lang w:val="sv-FI"/>
        </w:rPr>
        <w:t>terdiri</w:t>
      </w:r>
      <w:r w:rsidR="00A954D0" w:rsidRPr="00256727">
        <w:rPr>
          <w:rFonts w:ascii="Bookman Old Style" w:hAnsi="Bookman Old Style"/>
          <w:lang w:val="sv-FI"/>
        </w:rPr>
        <w:t xml:space="preserve"> </w:t>
      </w:r>
      <w:r w:rsidRPr="00256727">
        <w:rPr>
          <w:rFonts w:ascii="Bookman Old Style" w:hAnsi="Bookman Old Style"/>
          <w:lang w:val="sv-FI"/>
        </w:rPr>
        <w:t>atas:…</w:t>
      </w:r>
    </w:p>
    <w:p w14:paraId="589EAE85" w14:textId="64E470F6" w:rsidR="006E2F8F" w:rsidRPr="00256727" w:rsidRDefault="006E2F8F" w:rsidP="007D4940">
      <w:pPr>
        <w:numPr>
          <w:ilvl w:val="0"/>
          <w:numId w:val="176"/>
        </w:numPr>
        <w:snapToGrid w:val="0"/>
        <w:spacing w:before="60" w:line="276" w:lineRule="auto"/>
        <w:ind w:left="2268" w:hanging="567"/>
        <w:jc w:val="both"/>
        <w:rPr>
          <w:rFonts w:ascii="Bookman Old Style" w:hAnsi="Bookman Old Style" w:cs="Tahoma"/>
          <w:lang w:val="sv-FI"/>
        </w:rPr>
      </w:pPr>
      <w:r w:rsidRPr="00256727">
        <w:rPr>
          <w:rFonts w:ascii="Bookman Old Style" w:hAnsi="Bookman Old Style" w:cs="Tahoma"/>
          <w:lang w:val="sv-FI"/>
        </w:rPr>
        <w:t>Pasal</w:t>
      </w:r>
      <w:r w:rsidR="00A954D0" w:rsidRPr="00256727">
        <w:rPr>
          <w:rFonts w:ascii="Bookman Old Style" w:hAnsi="Bookman Old Style" w:cs="Tahoma"/>
          <w:lang w:val="sv-FI"/>
        </w:rPr>
        <w:t xml:space="preserve"> </w:t>
      </w:r>
      <w:r w:rsidRPr="00256727">
        <w:rPr>
          <w:rFonts w:ascii="Bookman Old Style" w:hAnsi="Bookman Old Style" w:cs="Tahoma"/>
          <w:lang w:val="sv-FI"/>
        </w:rPr>
        <w:t>14</w:t>
      </w:r>
      <w:r w:rsidR="00A954D0" w:rsidRPr="00256727">
        <w:rPr>
          <w:rFonts w:ascii="Bookman Old Style" w:hAnsi="Bookman Old Style" w:cs="Tahoma"/>
          <w:lang w:val="sv-FI"/>
        </w:rPr>
        <w:t xml:space="preserve"> </w:t>
      </w:r>
      <w:r w:rsidRPr="00256727">
        <w:rPr>
          <w:rFonts w:ascii="Bookman Old Style" w:hAnsi="Bookman Old Style" w:cs="Tahoma"/>
          <w:lang w:val="sv-FI"/>
        </w:rPr>
        <w:t>ayat</w:t>
      </w:r>
      <w:r w:rsidR="00A954D0" w:rsidRPr="00256727">
        <w:rPr>
          <w:rFonts w:ascii="Bookman Old Style" w:hAnsi="Bookman Old Style" w:cs="Tahoma"/>
          <w:lang w:val="sv-FI"/>
        </w:rPr>
        <w:t xml:space="preserve"> </w:t>
      </w:r>
      <w:r w:rsidRPr="00256727">
        <w:rPr>
          <w:rFonts w:ascii="Bookman Old Style" w:hAnsi="Bookman Old Style" w:cs="Tahoma"/>
          <w:lang w:val="sv-FI"/>
        </w:rPr>
        <w:t>(3)</w:t>
      </w:r>
      <w:r w:rsidR="00A954D0" w:rsidRPr="00256727">
        <w:rPr>
          <w:rFonts w:ascii="Bookman Old Style" w:hAnsi="Bookman Old Style" w:cs="Tahoma"/>
          <w:lang w:val="sv-FI"/>
        </w:rPr>
        <w:t xml:space="preserve"> </w:t>
      </w:r>
      <w:r w:rsidRPr="00256727">
        <w:rPr>
          <w:rFonts w:ascii="Bookman Old Style" w:hAnsi="Bookman Old Style" w:cs="Tahoma"/>
          <w:lang w:val="sv-FI"/>
        </w:rPr>
        <w:t>agar</w:t>
      </w:r>
      <w:r w:rsidR="00A954D0" w:rsidRPr="00256727">
        <w:rPr>
          <w:rFonts w:ascii="Bookman Old Style" w:hAnsi="Bookman Old Style" w:cs="Tahoma"/>
          <w:lang w:val="sv-FI"/>
        </w:rPr>
        <w:t xml:space="preserve"> </w:t>
      </w:r>
      <w:r w:rsidRPr="00256727">
        <w:rPr>
          <w:rFonts w:ascii="Bookman Old Style" w:hAnsi="Bookman Old Style" w:cs="Tahoma"/>
          <w:lang w:val="sv-FI"/>
        </w:rPr>
        <w:t>diperbaiki</w:t>
      </w:r>
      <w:r w:rsidR="00A954D0" w:rsidRPr="00256727">
        <w:rPr>
          <w:rFonts w:ascii="Bookman Old Style" w:hAnsi="Bookman Old Style" w:cs="Tahoma"/>
          <w:lang w:val="sv-FI"/>
        </w:rPr>
        <w:t xml:space="preserve"> </w:t>
      </w:r>
      <w:r w:rsidRPr="00256727">
        <w:rPr>
          <w:rFonts w:ascii="Bookman Old Style" w:hAnsi="Bookman Old Style" w:cs="Tahoma"/>
          <w:lang w:val="sv-FI"/>
        </w:rPr>
        <w:t>redaksionalnya</w:t>
      </w:r>
      <w:r w:rsidR="00A954D0" w:rsidRPr="00256727">
        <w:rPr>
          <w:rFonts w:ascii="Bookman Old Style" w:hAnsi="Bookman Old Style" w:cs="Tahoma"/>
          <w:lang w:val="sv-FI"/>
        </w:rPr>
        <w:t xml:space="preserve"> </w:t>
      </w:r>
      <w:r w:rsidRPr="00256727">
        <w:rPr>
          <w:rFonts w:ascii="Bookman Old Style" w:hAnsi="Bookman Old Style" w:cs="Tahoma"/>
          <w:lang w:val="sv-FI"/>
        </w:rPr>
        <w:t>menjadi:</w:t>
      </w:r>
    </w:p>
    <w:p w14:paraId="5A9A0C3E" w14:textId="47EF6224" w:rsidR="006E2F8F" w:rsidRPr="00256727" w:rsidRDefault="006E2F8F" w:rsidP="007D4940">
      <w:pPr>
        <w:snapToGrid w:val="0"/>
        <w:spacing w:before="60" w:line="276" w:lineRule="auto"/>
        <w:ind w:left="2268"/>
        <w:jc w:val="both"/>
        <w:rPr>
          <w:rFonts w:ascii="Bookman Old Style" w:hAnsi="Bookman Old Style"/>
          <w:lang w:val="sv-FI"/>
        </w:rPr>
      </w:pPr>
      <w:r w:rsidRPr="00256727">
        <w:rPr>
          <w:rFonts w:ascii="Bookman Old Style" w:hAnsi="Bookman Old Style"/>
          <w:lang w:val="sv-FI"/>
        </w:rPr>
        <w:t>Belanja</w:t>
      </w:r>
      <w:r w:rsidR="00A954D0" w:rsidRPr="00256727">
        <w:rPr>
          <w:rFonts w:ascii="Bookman Old Style" w:hAnsi="Bookman Old Style"/>
          <w:lang w:val="sv-FI"/>
        </w:rPr>
        <w:t xml:space="preserve"> </w:t>
      </w:r>
      <w:r w:rsidRPr="00256727">
        <w:rPr>
          <w:rFonts w:ascii="Bookman Old Style" w:hAnsi="Bookman Old Style"/>
          <w:lang w:val="sv-FI"/>
        </w:rPr>
        <w:t>Tambahan</w:t>
      </w:r>
      <w:r w:rsidR="00A954D0" w:rsidRPr="00256727">
        <w:rPr>
          <w:rFonts w:ascii="Bookman Old Style" w:hAnsi="Bookman Old Style"/>
          <w:lang w:val="sv-FI"/>
        </w:rPr>
        <w:t xml:space="preserve"> </w:t>
      </w:r>
      <w:r w:rsidRPr="00256727">
        <w:rPr>
          <w:rFonts w:ascii="Bookman Old Style" w:hAnsi="Bookman Old Style"/>
          <w:lang w:val="sv-FI"/>
        </w:rPr>
        <w:t>Penghasilan</w:t>
      </w:r>
      <w:r w:rsidR="00A954D0" w:rsidRPr="00256727">
        <w:rPr>
          <w:rFonts w:ascii="Bookman Old Style" w:hAnsi="Bookman Old Style"/>
          <w:lang w:val="sv-FI"/>
        </w:rPr>
        <w:t xml:space="preserve"> </w:t>
      </w:r>
      <w:r w:rsidRPr="00256727">
        <w:rPr>
          <w:rFonts w:ascii="Bookman Old Style" w:hAnsi="Bookman Old Style"/>
          <w:lang w:val="sv-FI"/>
        </w:rPr>
        <w:t>ASN</w:t>
      </w:r>
      <w:r w:rsidR="00A954D0" w:rsidRPr="00256727">
        <w:rPr>
          <w:rFonts w:ascii="Bookman Old Style" w:hAnsi="Bookman Old Style"/>
          <w:lang w:val="sv-FI"/>
        </w:rPr>
        <w:t xml:space="preserve"> </w:t>
      </w:r>
      <w:r w:rsidRPr="00256727">
        <w:rPr>
          <w:rFonts w:ascii="Bookman Old Style" w:hAnsi="Bookman Old Style"/>
          <w:lang w:val="sv-FI"/>
        </w:rPr>
        <w:t>sebagaimana</w:t>
      </w:r>
      <w:r w:rsidR="00A954D0" w:rsidRPr="00256727">
        <w:rPr>
          <w:rFonts w:ascii="Bookman Old Style" w:hAnsi="Bookman Old Style"/>
          <w:lang w:val="sv-FI"/>
        </w:rPr>
        <w:t xml:space="preserve"> </w:t>
      </w:r>
      <w:r w:rsidRPr="00256727">
        <w:rPr>
          <w:rFonts w:ascii="Bookman Old Style" w:hAnsi="Bookman Old Style"/>
          <w:lang w:val="sv-FI"/>
        </w:rPr>
        <w:t>dimaksud</w:t>
      </w:r>
      <w:r w:rsidR="00A954D0" w:rsidRPr="00256727">
        <w:rPr>
          <w:rFonts w:ascii="Bookman Old Style" w:hAnsi="Bookman Old Style"/>
          <w:lang w:val="sv-FI"/>
        </w:rPr>
        <w:t xml:space="preserve"> </w:t>
      </w:r>
      <w:r w:rsidRPr="00256727">
        <w:rPr>
          <w:rFonts w:ascii="Bookman Old Style" w:hAnsi="Bookman Old Style"/>
          <w:b/>
          <w:bCs/>
          <w:lang w:val="sv-FI"/>
        </w:rPr>
        <w:t>pada</w:t>
      </w:r>
      <w:r w:rsidR="00A954D0" w:rsidRPr="00256727">
        <w:rPr>
          <w:rFonts w:ascii="Bookman Old Style" w:hAnsi="Bookman Old Style"/>
          <w:lang w:val="sv-FI"/>
        </w:rPr>
        <w:t xml:space="preserve"> </w:t>
      </w:r>
      <w:r w:rsidRPr="00256727">
        <w:rPr>
          <w:rFonts w:ascii="Bookman Old Style" w:hAnsi="Bookman Old Style"/>
          <w:lang w:val="sv-FI"/>
        </w:rPr>
        <w:t>ayat</w:t>
      </w:r>
      <w:r w:rsidR="00A954D0" w:rsidRPr="00256727">
        <w:rPr>
          <w:rFonts w:ascii="Bookman Old Style" w:hAnsi="Bookman Old Style"/>
          <w:lang w:val="sv-FI"/>
        </w:rPr>
        <w:t xml:space="preserve"> </w:t>
      </w:r>
      <w:r w:rsidRPr="00256727">
        <w:rPr>
          <w:rFonts w:ascii="Bookman Old Style" w:hAnsi="Bookman Old Style"/>
          <w:lang w:val="sv-FI"/>
        </w:rPr>
        <w:t>(1)</w:t>
      </w:r>
      <w:r w:rsidR="00A954D0" w:rsidRPr="00256727">
        <w:rPr>
          <w:rFonts w:ascii="Bookman Old Style" w:hAnsi="Bookman Old Style"/>
          <w:lang w:val="sv-FI"/>
        </w:rPr>
        <w:t xml:space="preserve"> </w:t>
      </w:r>
      <w:r w:rsidRPr="00256727">
        <w:rPr>
          <w:rFonts w:ascii="Bookman Old Style" w:hAnsi="Bookman Old Style"/>
          <w:lang w:val="sv-FI"/>
        </w:rPr>
        <w:t>huruf</w:t>
      </w:r>
      <w:r w:rsidR="00A954D0" w:rsidRPr="00256727">
        <w:rPr>
          <w:rFonts w:ascii="Bookman Old Style" w:hAnsi="Bookman Old Style"/>
          <w:lang w:val="sv-FI"/>
        </w:rPr>
        <w:t xml:space="preserve"> </w:t>
      </w:r>
      <w:r w:rsidRPr="00256727">
        <w:rPr>
          <w:rFonts w:ascii="Bookman Old Style" w:hAnsi="Bookman Old Style"/>
          <w:lang w:val="sv-FI"/>
        </w:rPr>
        <w:t>b</w:t>
      </w:r>
      <w:r w:rsidR="00A954D0" w:rsidRPr="00256727">
        <w:rPr>
          <w:rFonts w:ascii="Bookman Old Style" w:hAnsi="Bookman Old Style"/>
          <w:lang w:val="sv-FI"/>
        </w:rPr>
        <w:t xml:space="preserve"> </w:t>
      </w:r>
      <w:r w:rsidRPr="00256727">
        <w:rPr>
          <w:rFonts w:ascii="Bookman Old Style" w:hAnsi="Bookman Old Style"/>
          <w:lang w:val="sv-FI"/>
        </w:rPr>
        <w:t>terdiri</w:t>
      </w:r>
      <w:r w:rsidR="00A954D0" w:rsidRPr="00256727">
        <w:rPr>
          <w:rFonts w:ascii="Bookman Old Style" w:hAnsi="Bookman Old Style"/>
          <w:lang w:val="sv-FI"/>
        </w:rPr>
        <w:t xml:space="preserve"> </w:t>
      </w:r>
      <w:r w:rsidRPr="00256727">
        <w:rPr>
          <w:rFonts w:ascii="Bookman Old Style" w:hAnsi="Bookman Old Style"/>
          <w:lang w:val="sv-FI"/>
        </w:rPr>
        <w:t>atas:…</w:t>
      </w:r>
    </w:p>
    <w:p w14:paraId="62D47DE3" w14:textId="6DFF418D" w:rsidR="006E2F8F" w:rsidRPr="00256727" w:rsidRDefault="006E2F8F" w:rsidP="007D4940">
      <w:pPr>
        <w:numPr>
          <w:ilvl w:val="0"/>
          <w:numId w:val="176"/>
        </w:numPr>
        <w:snapToGrid w:val="0"/>
        <w:spacing w:before="60" w:line="276" w:lineRule="auto"/>
        <w:ind w:left="2268" w:hanging="567"/>
        <w:jc w:val="both"/>
        <w:rPr>
          <w:rFonts w:ascii="Bookman Old Style" w:hAnsi="Bookman Old Style" w:cs="Tahoma"/>
          <w:lang w:val="sv-FI"/>
        </w:rPr>
      </w:pPr>
      <w:r w:rsidRPr="00256727">
        <w:rPr>
          <w:rFonts w:ascii="Bookman Old Style" w:hAnsi="Bookman Old Style" w:cs="Tahoma"/>
          <w:lang w:val="sv-FI"/>
        </w:rPr>
        <w:t>Pasal</w:t>
      </w:r>
      <w:r w:rsidR="00A954D0" w:rsidRPr="00256727">
        <w:rPr>
          <w:rFonts w:ascii="Bookman Old Style" w:hAnsi="Bookman Old Style" w:cs="Tahoma"/>
          <w:lang w:val="sv-FI"/>
        </w:rPr>
        <w:t xml:space="preserve"> </w:t>
      </w:r>
      <w:r w:rsidRPr="00256727">
        <w:rPr>
          <w:rFonts w:ascii="Bookman Old Style" w:hAnsi="Bookman Old Style" w:cs="Tahoma"/>
          <w:lang w:val="sv-FI"/>
        </w:rPr>
        <w:t>14</w:t>
      </w:r>
      <w:r w:rsidR="00A954D0" w:rsidRPr="00256727">
        <w:rPr>
          <w:rFonts w:ascii="Bookman Old Style" w:hAnsi="Bookman Old Style" w:cs="Tahoma"/>
          <w:lang w:val="sv-FI"/>
        </w:rPr>
        <w:t xml:space="preserve"> </w:t>
      </w:r>
      <w:r w:rsidRPr="00256727">
        <w:rPr>
          <w:rFonts w:ascii="Bookman Old Style" w:hAnsi="Bookman Old Style" w:cs="Tahoma"/>
          <w:lang w:val="sv-FI"/>
        </w:rPr>
        <w:t>ayat</w:t>
      </w:r>
      <w:r w:rsidR="00A954D0" w:rsidRPr="00256727">
        <w:rPr>
          <w:rFonts w:ascii="Bookman Old Style" w:hAnsi="Bookman Old Style" w:cs="Tahoma"/>
          <w:lang w:val="sv-FI"/>
        </w:rPr>
        <w:t xml:space="preserve"> </w:t>
      </w:r>
      <w:r w:rsidRPr="00256727">
        <w:rPr>
          <w:rFonts w:ascii="Bookman Old Style" w:hAnsi="Bookman Old Style" w:cs="Tahoma"/>
          <w:lang w:val="sv-FI"/>
        </w:rPr>
        <w:t>(4)</w:t>
      </w:r>
      <w:r w:rsidR="00A954D0" w:rsidRPr="00256727">
        <w:rPr>
          <w:rFonts w:ascii="Bookman Old Style" w:hAnsi="Bookman Old Style" w:cs="Tahoma"/>
          <w:lang w:val="sv-FI"/>
        </w:rPr>
        <w:t xml:space="preserve"> </w:t>
      </w:r>
      <w:r w:rsidRPr="00256727">
        <w:rPr>
          <w:rFonts w:ascii="Bookman Old Style" w:hAnsi="Bookman Old Style" w:cs="Tahoma"/>
          <w:lang w:val="sv-FI"/>
        </w:rPr>
        <w:t>agar</w:t>
      </w:r>
      <w:r w:rsidR="00A954D0" w:rsidRPr="00256727">
        <w:rPr>
          <w:rFonts w:ascii="Bookman Old Style" w:hAnsi="Bookman Old Style" w:cs="Tahoma"/>
          <w:lang w:val="sv-FI"/>
        </w:rPr>
        <w:t xml:space="preserve"> </w:t>
      </w:r>
      <w:r w:rsidRPr="00256727">
        <w:rPr>
          <w:rFonts w:ascii="Bookman Old Style" w:hAnsi="Bookman Old Style" w:cs="Tahoma"/>
          <w:lang w:val="sv-FI"/>
        </w:rPr>
        <w:t>diperbaiki</w:t>
      </w:r>
      <w:r w:rsidR="00A954D0" w:rsidRPr="00256727">
        <w:rPr>
          <w:rFonts w:ascii="Bookman Old Style" w:hAnsi="Bookman Old Style" w:cs="Tahoma"/>
          <w:lang w:val="sv-FI"/>
        </w:rPr>
        <w:t xml:space="preserve"> </w:t>
      </w:r>
      <w:r w:rsidRPr="00256727">
        <w:rPr>
          <w:rFonts w:ascii="Bookman Old Style" w:hAnsi="Bookman Old Style" w:cs="Tahoma"/>
          <w:lang w:val="sv-FI"/>
        </w:rPr>
        <w:t>redaksionalnya</w:t>
      </w:r>
      <w:r w:rsidR="00A954D0" w:rsidRPr="00256727">
        <w:rPr>
          <w:rFonts w:ascii="Bookman Old Style" w:hAnsi="Bookman Old Style" w:cs="Tahoma"/>
          <w:lang w:val="sv-FI"/>
        </w:rPr>
        <w:t xml:space="preserve"> </w:t>
      </w:r>
      <w:r w:rsidRPr="00256727">
        <w:rPr>
          <w:rFonts w:ascii="Bookman Old Style" w:hAnsi="Bookman Old Style" w:cs="Tahoma"/>
          <w:lang w:val="sv-FI"/>
        </w:rPr>
        <w:t>menjadi:</w:t>
      </w:r>
    </w:p>
    <w:p w14:paraId="0CEE65BA" w14:textId="7ABC5355" w:rsidR="006E2F8F" w:rsidRPr="00256727" w:rsidRDefault="006E2F8F" w:rsidP="007D4940">
      <w:pPr>
        <w:snapToGrid w:val="0"/>
        <w:spacing w:before="60" w:line="276" w:lineRule="auto"/>
        <w:ind w:left="2268"/>
        <w:jc w:val="both"/>
        <w:rPr>
          <w:rFonts w:ascii="Bookman Old Style" w:hAnsi="Bookman Old Style"/>
          <w:lang w:val="sv-FI"/>
        </w:rPr>
      </w:pPr>
      <w:r w:rsidRPr="00256727">
        <w:rPr>
          <w:rFonts w:ascii="Bookman Old Style" w:hAnsi="Bookman Old Style"/>
          <w:lang w:val="sv-FI"/>
        </w:rPr>
        <w:t>Belanja</w:t>
      </w:r>
      <w:r w:rsidR="00A954D0" w:rsidRPr="00256727">
        <w:rPr>
          <w:rFonts w:ascii="Bookman Old Style" w:hAnsi="Bookman Old Style"/>
          <w:lang w:val="sv-FI"/>
        </w:rPr>
        <w:t xml:space="preserve"> </w:t>
      </w:r>
      <w:r w:rsidRPr="00256727">
        <w:rPr>
          <w:rFonts w:ascii="Bookman Old Style" w:hAnsi="Bookman Old Style"/>
          <w:lang w:val="sv-FI"/>
        </w:rPr>
        <w:t>Gaji</w:t>
      </w:r>
      <w:r w:rsidR="00A954D0" w:rsidRPr="00256727">
        <w:rPr>
          <w:rFonts w:ascii="Bookman Old Style" w:hAnsi="Bookman Old Style"/>
          <w:lang w:val="sv-FI"/>
        </w:rPr>
        <w:t xml:space="preserve"> </w:t>
      </w:r>
      <w:r w:rsidRPr="00256727">
        <w:rPr>
          <w:rFonts w:ascii="Bookman Old Style" w:hAnsi="Bookman Old Style"/>
          <w:lang w:val="sv-FI"/>
        </w:rPr>
        <w:t>dan</w:t>
      </w:r>
      <w:r w:rsidR="00A954D0" w:rsidRPr="00256727">
        <w:rPr>
          <w:rFonts w:ascii="Bookman Old Style" w:hAnsi="Bookman Old Style"/>
          <w:lang w:val="sv-FI"/>
        </w:rPr>
        <w:t xml:space="preserve"> </w:t>
      </w:r>
      <w:r w:rsidRPr="00256727">
        <w:rPr>
          <w:rFonts w:ascii="Bookman Old Style" w:hAnsi="Bookman Old Style"/>
          <w:lang w:val="sv-FI"/>
        </w:rPr>
        <w:t>Tunjangan</w:t>
      </w:r>
      <w:r w:rsidR="00A954D0" w:rsidRPr="00256727">
        <w:rPr>
          <w:rFonts w:ascii="Bookman Old Style" w:hAnsi="Bookman Old Style"/>
          <w:lang w:val="sv-FI"/>
        </w:rPr>
        <w:t xml:space="preserve"> </w:t>
      </w:r>
      <w:r w:rsidRPr="00256727">
        <w:rPr>
          <w:rFonts w:ascii="Bookman Old Style" w:hAnsi="Bookman Old Style"/>
          <w:lang w:val="sv-FI"/>
        </w:rPr>
        <w:t>DPRD</w:t>
      </w:r>
      <w:r w:rsidR="00A954D0" w:rsidRPr="00256727">
        <w:rPr>
          <w:rFonts w:ascii="Bookman Old Style" w:hAnsi="Bookman Old Style"/>
          <w:lang w:val="sv-FI"/>
        </w:rPr>
        <w:t xml:space="preserve"> </w:t>
      </w:r>
      <w:r w:rsidRPr="00256727">
        <w:rPr>
          <w:rFonts w:ascii="Bookman Old Style" w:hAnsi="Bookman Old Style"/>
          <w:lang w:val="sv-FI"/>
        </w:rPr>
        <w:t>sebagaimana</w:t>
      </w:r>
      <w:r w:rsidR="00A954D0" w:rsidRPr="00256727">
        <w:rPr>
          <w:rFonts w:ascii="Bookman Old Style" w:hAnsi="Bookman Old Style"/>
          <w:lang w:val="sv-FI"/>
        </w:rPr>
        <w:t xml:space="preserve"> </w:t>
      </w:r>
      <w:r w:rsidRPr="00256727">
        <w:rPr>
          <w:rFonts w:ascii="Bookman Old Style" w:hAnsi="Bookman Old Style"/>
          <w:lang w:val="sv-FI"/>
        </w:rPr>
        <w:t>dimaksud</w:t>
      </w:r>
      <w:r w:rsidR="00A954D0" w:rsidRPr="00256727">
        <w:rPr>
          <w:rFonts w:ascii="Bookman Old Style" w:hAnsi="Bookman Old Style"/>
          <w:lang w:val="sv-FI"/>
        </w:rPr>
        <w:t xml:space="preserve"> </w:t>
      </w:r>
      <w:r w:rsidRPr="00256727">
        <w:rPr>
          <w:rFonts w:ascii="Bookman Old Style" w:hAnsi="Bookman Old Style"/>
          <w:b/>
          <w:bCs/>
          <w:lang w:val="sv-FI"/>
        </w:rPr>
        <w:t>pada</w:t>
      </w:r>
      <w:r w:rsidR="00A954D0" w:rsidRPr="00256727">
        <w:rPr>
          <w:rFonts w:ascii="Bookman Old Style" w:hAnsi="Bookman Old Style"/>
          <w:lang w:val="sv-FI"/>
        </w:rPr>
        <w:t xml:space="preserve"> </w:t>
      </w:r>
      <w:r w:rsidRPr="00256727">
        <w:rPr>
          <w:rFonts w:ascii="Bookman Old Style" w:hAnsi="Bookman Old Style"/>
          <w:lang w:val="sv-FI"/>
        </w:rPr>
        <w:t>ayat</w:t>
      </w:r>
      <w:r w:rsidR="00A954D0" w:rsidRPr="00256727">
        <w:rPr>
          <w:rFonts w:ascii="Bookman Old Style" w:hAnsi="Bookman Old Style"/>
          <w:lang w:val="sv-FI"/>
        </w:rPr>
        <w:t xml:space="preserve"> </w:t>
      </w:r>
      <w:r w:rsidRPr="00256727">
        <w:rPr>
          <w:rFonts w:ascii="Bookman Old Style" w:hAnsi="Bookman Old Style"/>
          <w:lang w:val="sv-FI"/>
        </w:rPr>
        <w:t>(1)</w:t>
      </w:r>
      <w:r w:rsidR="00A954D0" w:rsidRPr="00256727">
        <w:rPr>
          <w:rFonts w:ascii="Bookman Old Style" w:hAnsi="Bookman Old Style"/>
          <w:lang w:val="sv-FI"/>
        </w:rPr>
        <w:t xml:space="preserve"> </w:t>
      </w:r>
      <w:r w:rsidRPr="00256727">
        <w:rPr>
          <w:rFonts w:ascii="Bookman Old Style" w:hAnsi="Bookman Old Style"/>
          <w:lang w:val="sv-FI"/>
        </w:rPr>
        <w:t>huruf</w:t>
      </w:r>
      <w:r w:rsidR="00A954D0" w:rsidRPr="00256727">
        <w:rPr>
          <w:rFonts w:ascii="Bookman Old Style" w:hAnsi="Bookman Old Style"/>
          <w:lang w:val="sv-FI"/>
        </w:rPr>
        <w:t xml:space="preserve"> </w:t>
      </w:r>
      <w:r w:rsidRPr="00256727">
        <w:rPr>
          <w:rFonts w:ascii="Bookman Old Style" w:hAnsi="Bookman Old Style"/>
          <w:b/>
          <w:bCs/>
          <w:lang w:val="sv-FI"/>
        </w:rPr>
        <w:t>c</w:t>
      </w:r>
      <w:r w:rsidR="00A954D0" w:rsidRPr="00256727">
        <w:rPr>
          <w:rFonts w:ascii="Bookman Old Style" w:hAnsi="Bookman Old Style"/>
          <w:lang w:val="sv-FI"/>
        </w:rPr>
        <w:t xml:space="preserve"> </w:t>
      </w:r>
      <w:r w:rsidRPr="00256727">
        <w:rPr>
          <w:rFonts w:ascii="Bookman Old Style" w:hAnsi="Bookman Old Style"/>
          <w:lang w:val="sv-FI"/>
        </w:rPr>
        <w:t>terdiri</w:t>
      </w:r>
      <w:r w:rsidR="00A954D0" w:rsidRPr="00256727">
        <w:rPr>
          <w:rFonts w:ascii="Bookman Old Style" w:hAnsi="Bookman Old Style"/>
          <w:lang w:val="sv-FI"/>
        </w:rPr>
        <w:t xml:space="preserve"> </w:t>
      </w:r>
      <w:r w:rsidRPr="00256727">
        <w:rPr>
          <w:rFonts w:ascii="Bookman Old Style" w:hAnsi="Bookman Old Style"/>
          <w:lang w:val="sv-FI"/>
        </w:rPr>
        <w:t>atas:…</w:t>
      </w:r>
    </w:p>
    <w:p w14:paraId="30C15881" w14:textId="7BF13373" w:rsidR="006E2F8F" w:rsidRPr="00256727" w:rsidRDefault="006E2F8F" w:rsidP="007D4940">
      <w:pPr>
        <w:numPr>
          <w:ilvl w:val="0"/>
          <w:numId w:val="176"/>
        </w:numPr>
        <w:snapToGrid w:val="0"/>
        <w:spacing w:before="60" w:line="276" w:lineRule="auto"/>
        <w:ind w:left="2268" w:hanging="567"/>
        <w:jc w:val="both"/>
        <w:rPr>
          <w:rFonts w:ascii="Bookman Old Style" w:hAnsi="Bookman Old Style" w:cs="Tahoma"/>
          <w:lang w:val="sv-FI"/>
        </w:rPr>
      </w:pPr>
      <w:r w:rsidRPr="00256727">
        <w:rPr>
          <w:rFonts w:ascii="Bookman Old Style" w:hAnsi="Bookman Old Style" w:cs="Tahoma"/>
          <w:lang w:val="sv-FI"/>
        </w:rPr>
        <w:t>Pasal</w:t>
      </w:r>
      <w:r w:rsidR="00A954D0" w:rsidRPr="00256727">
        <w:rPr>
          <w:rFonts w:ascii="Bookman Old Style" w:hAnsi="Bookman Old Style" w:cs="Tahoma"/>
          <w:lang w:val="sv-FI"/>
        </w:rPr>
        <w:t xml:space="preserve"> </w:t>
      </w:r>
      <w:r w:rsidRPr="00256727">
        <w:rPr>
          <w:rFonts w:ascii="Bookman Old Style" w:hAnsi="Bookman Old Style" w:cs="Tahoma"/>
          <w:lang w:val="sv-FI"/>
        </w:rPr>
        <w:t>14</w:t>
      </w:r>
      <w:r w:rsidR="00A954D0" w:rsidRPr="00256727">
        <w:rPr>
          <w:rFonts w:ascii="Bookman Old Style" w:hAnsi="Bookman Old Style" w:cs="Tahoma"/>
          <w:lang w:val="sv-FI"/>
        </w:rPr>
        <w:t xml:space="preserve"> </w:t>
      </w:r>
      <w:r w:rsidRPr="00256727">
        <w:rPr>
          <w:rFonts w:ascii="Bookman Old Style" w:hAnsi="Bookman Old Style" w:cs="Tahoma"/>
          <w:lang w:val="sv-FI"/>
        </w:rPr>
        <w:t>ayat</w:t>
      </w:r>
      <w:r w:rsidR="00A954D0" w:rsidRPr="00256727">
        <w:rPr>
          <w:rFonts w:ascii="Bookman Old Style" w:hAnsi="Bookman Old Style" w:cs="Tahoma"/>
          <w:lang w:val="sv-FI"/>
        </w:rPr>
        <w:t xml:space="preserve"> </w:t>
      </w:r>
      <w:r w:rsidRPr="00256727">
        <w:rPr>
          <w:rFonts w:ascii="Bookman Old Style" w:hAnsi="Bookman Old Style" w:cs="Tahoma"/>
          <w:lang w:val="sv-FI"/>
        </w:rPr>
        <w:t>(5)</w:t>
      </w:r>
      <w:r w:rsidR="00A954D0" w:rsidRPr="00256727">
        <w:rPr>
          <w:rFonts w:ascii="Bookman Old Style" w:hAnsi="Bookman Old Style" w:cs="Tahoma"/>
          <w:lang w:val="sv-FI"/>
        </w:rPr>
        <w:t xml:space="preserve"> </w:t>
      </w:r>
      <w:r w:rsidRPr="00256727">
        <w:rPr>
          <w:rFonts w:ascii="Bookman Old Style" w:hAnsi="Bookman Old Style" w:cs="Tahoma"/>
          <w:lang w:val="sv-FI"/>
        </w:rPr>
        <w:t>agar</w:t>
      </w:r>
      <w:r w:rsidR="00A954D0" w:rsidRPr="00256727">
        <w:rPr>
          <w:rFonts w:ascii="Bookman Old Style" w:hAnsi="Bookman Old Style" w:cs="Tahoma"/>
          <w:lang w:val="sv-FI"/>
        </w:rPr>
        <w:t xml:space="preserve"> </w:t>
      </w:r>
      <w:r w:rsidRPr="00256727">
        <w:rPr>
          <w:rFonts w:ascii="Bookman Old Style" w:hAnsi="Bookman Old Style" w:cs="Tahoma"/>
          <w:lang w:val="sv-FI"/>
        </w:rPr>
        <w:t>diperbaiki</w:t>
      </w:r>
      <w:r w:rsidR="00A954D0" w:rsidRPr="00256727">
        <w:rPr>
          <w:rFonts w:ascii="Bookman Old Style" w:hAnsi="Bookman Old Style" w:cs="Tahoma"/>
          <w:lang w:val="sv-FI"/>
        </w:rPr>
        <w:t xml:space="preserve"> </w:t>
      </w:r>
      <w:r w:rsidRPr="00256727">
        <w:rPr>
          <w:rFonts w:ascii="Bookman Old Style" w:hAnsi="Bookman Old Style" w:cs="Tahoma"/>
          <w:lang w:val="sv-FI"/>
        </w:rPr>
        <w:t>redaksionalnya</w:t>
      </w:r>
      <w:r w:rsidR="00A954D0" w:rsidRPr="00256727">
        <w:rPr>
          <w:rFonts w:ascii="Bookman Old Style" w:hAnsi="Bookman Old Style" w:cs="Tahoma"/>
          <w:lang w:val="sv-FI"/>
        </w:rPr>
        <w:t xml:space="preserve"> </w:t>
      </w:r>
      <w:r w:rsidRPr="00256727">
        <w:rPr>
          <w:rFonts w:ascii="Bookman Old Style" w:hAnsi="Bookman Old Style" w:cs="Tahoma"/>
          <w:lang w:val="sv-FI"/>
        </w:rPr>
        <w:t>menjadi:</w:t>
      </w:r>
    </w:p>
    <w:p w14:paraId="046D0EBB" w14:textId="44B21D97" w:rsidR="006E2F8F" w:rsidRPr="00256727" w:rsidRDefault="006E2F8F" w:rsidP="007D4940">
      <w:pPr>
        <w:snapToGrid w:val="0"/>
        <w:spacing w:before="60" w:line="276" w:lineRule="auto"/>
        <w:ind w:left="2268"/>
        <w:jc w:val="both"/>
        <w:rPr>
          <w:rFonts w:ascii="Bookman Old Style" w:hAnsi="Bookman Old Style"/>
          <w:lang w:val="sv-FI"/>
        </w:rPr>
      </w:pPr>
      <w:r w:rsidRPr="00256727">
        <w:rPr>
          <w:rFonts w:ascii="Bookman Old Style" w:hAnsi="Bookman Old Style"/>
          <w:lang w:val="sv-FI"/>
        </w:rPr>
        <w:t>Belanja</w:t>
      </w:r>
      <w:r w:rsidR="00A954D0" w:rsidRPr="00256727">
        <w:rPr>
          <w:rFonts w:ascii="Bookman Old Style" w:hAnsi="Bookman Old Style"/>
          <w:lang w:val="sv-FI"/>
        </w:rPr>
        <w:t xml:space="preserve"> </w:t>
      </w:r>
      <w:r w:rsidRPr="00256727">
        <w:rPr>
          <w:rFonts w:ascii="Bookman Old Style" w:hAnsi="Bookman Old Style"/>
          <w:lang w:val="sv-FI"/>
        </w:rPr>
        <w:t>Gaji</w:t>
      </w:r>
      <w:r w:rsidR="00A954D0" w:rsidRPr="00256727">
        <w:rPr>
          <w:rFonts w:ascii="Bookman Old Style" w:hAnsi="Bookman Old Style"/>
          <w:lang w:val="sv-FI"/>
        </w:rPr>
        <w:t xml:space="preserve"> </w:t>
      </w:r>
      <w:r w:rsidRPr="00256727">
        <w:rPr>
          <w:rFonts w:ascii="Bookman Old Style" w:hAnsi="Bookman Old Style"/>
          <w:lang w:val="sv-FI"/>
        </w:rPr>
        <w:t>dan</w:t>
      </w:r>
      <w:r w:rsidR="00A954D0" w:rsidRPr="00256727">
        <w:rPr>
          <w:rFonts w:ascii="Bookman Old Style" w:hAnsi="Bookman Old Style"/>
          <w:lang w:val="sv-FI"/>
        </w:rPr>
        <w:t xml:space="preserve"> </w:t>
      </w:r>
      <w:r w:rsidRPr="00256727">
        <w:rPr>
          <w:rFonts w:ascii="Bookman Old Style" w:hAnsi="Bookman Old Style"/>
          <w:lang w:val="sv-FI"/>
        </w:rPr>
        <w:t>Tunjangan</w:t>
      </w:r>
      <w:r w:rsidR="00A954D0" w:rsidRPr="00256727">
        <w:rPr>
          <w:rFonts w:ascii="Bookman Old Style" w:hAnsi="Bookman Old Style"/>
          <w:lang w:val="sv-FI"/>
        </w:rPr>
        <w:t xml:space="preserve"> </w:t>
      </w:r>
      <w:r w:rsidRPr="00256727">
        <w:rPr>
          <w:rFonts w:ascii="Bookman Old Style" w:hAnsi="Bookman Old Style"/>
          <w:lang w:val="sv-FI"/>
        </w:rPr>
        <w:t>KDH/WKDH</w:t>
      </w:r>
      <w:r w:rsidR="00A954D0" w:rsidRPr="00256727">
        <w:rPr>
          <w:rFonts w:ascii="Bookman Old Style" w:hAnsi="Bookman Old Style"/>
          <w:lang w:val="sv-FI"/>
        </w:rPr>
        <w:t xml:space="preserve"> </w:t>
      </w:r>
      <w:r w:rsidRPr="00256727">
        <w:rPr>
          <w:rFonts w:ascii="Bookman Old Style" w:hAnsi="Bookman Old Style"/>
          <w:lang w:val="sv-FI"/>
        </w:rPr>
        <w:t>sebagaimana</w:t>
      </w:r>
      <w:r w:rsidR="00A954D0" w:rsidRPr="00256727">
        <w:rPr>
          <w:rFonts w:ascii="Bookman Old Style" w:hAnsi="Bookman Old Style"/>
          <w:lang w:val="sv-FI"/>
        </w:rPr>
        <w:t xml:space="preserve"> </w:t>
      </w:r>
      <w:r w:rsidRPr="00256727">
        <w:rPr>
          <w:rFonts w:ascii="Bookman Old Style" w:hAnsi="Bookman Old Style"/>
          <w:lang w:val="sv-FI"/>
        </w:rPr>
        <w:t>dimaksud</w:t>
      </w:r>
      <w:r w:rsidR="00A954D0" w:rsidRPr="00256727">
        <w:rPr>
          <w:rFonts w:ascii="Bookman Old Style" w:hAnsi="Bookman Old Style"/>
          <w:lang w:val="sv-FI"/>
        </w:rPr>
        <w:t xml:space="preserve"> </w:t>
      </w:r>
      <w:r w:rsidRPr="00256727">
        <w:rPr>
          <w:rFonts w:ascii="Bookman Old Style" w:hAnsi="Bookman Old Style"/>
          <w:b/>
          <w:bCs/>
          <w:lang w:val="sv-FI"/>
        </w:rPr>
        <w:t>pada</w:t>
      </w:r>
      <w:r w:rsidR="00A954D0" w:rsidRPr="00256727">
        <w:rPr>
          <w:rFonts w:ascii="Bookman Old Style" w:hAnsi="Bookman Old Style"/>
          <w:lang w:val="sv-FI"/>
        </w:rPr>
        <w:t xml:space="preserve"> </w:t>
      </w:r>
      <w:r w:rsidRPr="00256727">
        <w:rPr>
          <w:rFonts w:ascii="Bookman Old Style" w:hAnsi="Bookman Old Style"/>
          <w:lang w:val="sv-FI"/>
        </w:rPr>
        <w:t>ayat</w:t>
      </w:r>
      <w:r w:rsidR="00A954D0" w:rsidRPr="00256727">
        <w:rPr>
          <w:rFonts w:ascii="Bookman Old Style" w:hAnsi="Bookman Old Style"/>
          <w:lang w:val="sv-FI"/>
        </w:rPr>
        <w:t xml:space="preserve"> </w:t>
      </w:r>
      <w:r w:rsidRPr="00256727">
        <w:rPr>
          <w:rFonts w:ascii="Bookman Old Style" w:hAnsi="Bookman Old Style"/>
          <w:lang w:val="sv-FI"/>
        </w:rPr>
        <w:t>(1)</w:t>
      </w:r>
      <w:r w:rsidR="00A954D0" w:rsidRPr="00256727">
        <w:rPr>
          <w:rFonts w:ascii="Bookman Old Style" w:hAnsi="Bookman Old Style"/>
          <w:lang w:val="sv-FI"/>
        </w:rPr>
        <w:t xml:space="preserve"> </w:t>
      </w:r>
      <w:r w:rsidRPr="00256727">
        <w:rPr>
          <w:rFonts w:ascii="Bookman Old Style" w:hAnsi="Bookman Old Style"/>
          <w:lang w:val="sv-FI"/>
        </w:rPr>
        <w:t>huruf</w:t>
      </w:r>
      <w:r w:rsidR="00A954D0" w:rsidRPr="00256727">
        <w:rPr>
          <w:rFonts w:ascii="Bookman Old Style" w:hAnsi="Bookman Old Style"/>
          <w:lang w:val="sv-FI"/>
        </w:rPr>
        <w:t xml:space="preserve"> </w:t>
      </w:r>
      <w:r w:rsidRPr="00256727">
        <w:rPr>
          <w:rFonts w:ascii="Bookman Old Style" w:hAnsi="Bookman Old Style"/>
          <w:b/>
          <w:bCs/>
          <w:lang w:val="sv-FI"/>
        </w:rPr>
        <w:t>d</w:t>
      </w:r>
      <w:r w:rsidR="00A954D0" w:rsidRPr="00256727">
        <w:rPr>
          <w:rFonts w:ascii="Bookman Old Style" w:hAnsi="Bookman Old Style"/>
          <w:lang w:val="sv-FI"/>
        </w:rPr>
        <w:t xml:space="preserve"> </w:t>
      </w:r>
      <w:r w:rsidRPr="00256727">
        <w:rPr>
          <w:rFonts w:ascii="Bookman Old Style" w:hAnsi="Bookman Old Style"/>
          <w:lang w:val="sv-FI"/>
        </w:rPr>
        <w:t>terdiri</w:t>
      </w:r>
      <w:r w:rsidR="00A954D0" w:rsidRPr="00256727">
        <w:rPr>
          <w:rFonts w:ascii="Bookman Old Style" w:hAnsi="Bookman Old Style"/>
          <w:lang w:val="sv-FI"/>
        </w:rPr>
        <w:t xml:space="preserve"> </w:t>
      </w:r>
      <w:r w:rsidRPr="00256727">
        <w:rPr>
          <w:rFonts w:ascii="Bookman Old Style" w:hAnsi="Bookman Old Style"/>
          <w:lang w:val="sv-FI"/>
        </w:rPr>
        <w:t>atas:…</w:t>
      </w:r>
    </w:p>
    <w:p w14:paraId="66DAC272" w14:textId="253A2AD9" w:rsidR="006E2F8F" w:rsidRPr="00256727" w:rsidRDefault="006E2F8F" w:rsidP="007D4940">
      <w:pPr>
        <w:numPr>
          <w:ilvl w:val="0"/>
          <w:numId w:val="176"/>
        </w:numPr>
        <w:snapToGrid w:val="0"/>
        <w:spacing w:before="60" w:line="276" w:lineRule="auto"/>
        <w:ind w:left="2268" w:hanging="567"/>
        <w:jc w:val="both"/>
        <w:rPr>
          <w:rFonts w:ascii="Bookman Old Style" w:hAnsi="Bookman Old Style" w:cs="Tahoma"/>
          <w:lang w:val="sv-FI"/>
        </w:rPr>
      </w:pPr>
      <w:r w:rsidRPr="00256727">
        <w:rPr>
          <w:rFonts w:ascii="Bookman Old Style" w:hAnsi="Bookman Old Style" w:cs="Tahoma"/>
          <w:lang w:val="sv-FI"/>
        </w:rPr>
        <w:t>Pasal</w:t>
      </w:r>
      <w:r w:rsidR="00A954D0" w:rsidRPr="00256727">
        <w:rPr>
          <w:rFonts w:ascii="Bookman Old Style" w:hAnsi="Bookman Old Style" w:cs="Tahoma"/>
          <w:lang w:val="sv-FI"/>
        </w:rPr>
        <w:t xml:space="preserve"> </w:t>
      </w:r>
      <w:r w:rsidRPr="00256727">
        <w:rPr>
          <w:rFonts w:ascii="Bookman Old Style" w:hAnsi="Bookman Old Style" w:cs="Tahoma"/>
          <w:lang w:val="sv-FI"/>
        </w:rPr>
        <w:t>14</w:t>
      </w:r>
      <w:r w:rsidR="00A954D0" w:rsidRPr="00256727">
        <w:rPr>
          <w:rFonts w:ascii="Bookman Old Style" w:hAnsi="Bookman Old Style" w:cs="Tahoma"/>
          <w:lang w:val="sv-FI"/>
        </w:rPr>
        <w:t xml:space="preserve"> </w:t>
      </w:r>
      <w:r w:rsidRPr="00256727">
        <w:rPr>
          <w:rFonts w:ascii="Bookman Old Style" w:hAnsi="Bookman Old Style" w:cs="Tahoma"/>
          <w:lang w:val="sv-FI"/>
        </w:rPr>
        <w:t>ayat</w:t>
      </w:r>
      <w:r w:rsidR="00A954D0" w:rsidRPr="00256727">
        <w:rPr>
          <w:rFonts w:ascii="Bookman Old Style" w:hAnsi="Bookman Old Style" w:cs="Tahoma"/>
          <w:lang w:val="sv-FI"/>
        </w:rPr>
        <w:t xml:space="preserve"> </w:t>
      </w:r>
      <w:r w:rsidRPr="00256727">
        <w:rPr>
          <w:rFonts w:ascii="Bookman Old Style" w:hAnsi="Bookman Old Style" w:cs="Tahoma"/>
          <w:lang w:val="sv-FI"/>
        </w:rPr>
        <w:t>(6)</w:t>
      </w:r>
      <w:r w:rsidR="00A954D0" w:rsidRPr="00256727">
        <w:rPr>
          <w:rFonts w:ascii="Bookman Old Style" w:hAnsi="Bookman Old Style" w:cs="Tahoma"/>
          <w:lang w:val="sv-FI"/>
        </w:rPr>
        <w:t xml:space="preserve"> </w:t>
      </w:r>
      <w:r w:rsidRPr="00256727">
        <w:rPr>
          <w:rFonts w:ascii="Bookman Old Style" w:hAnsi="Bookman Old Style" w:cs="Tahoma"/>
          <w:lang w:val="sv-FI"/>
        </w:rPr>
        <w:t>agar</w:t>
      </w:r>
      <w:r w:rsidR="00A954D0" w:rsidRPr="00256727">
        <w:rPr>
          <w:rFonts w:ascii="Bookman Old Style" w:hAnsi="Bookman Old Style" w:cs="Tahoma"/>
          <w:lang w:val="sv-FI"/>
        </w:rPr>
        <w:t xml:space="preserve"> </w:t>
      </w:r>
      <w:r w:rsidRPr="00256727">
        <w:rPr>
          <w:rFonts w:ascii="Bookman Old Style" w:hAnsi="Bookman Old Style" w:cs="Tahoma"/>
          <w:lang w:val="sv-FI"/>
        </w:rPr>
        <w:t>diperbaiki</w:t>
      </w:r>
      <w:r w:rsidR="00A954D0" w:rsidRPr="00256727">
        <w:rPr>
          <w:rFonts w:ascii="Bookman Old Style" w:hAnsi="Bookman Old Style" w:cs="Tahoma"/>
          <w:lang w:val="sv-FI"/>
        </w:rPr>
        <w:t xml:space="preserve"> </w:t>
      </w:r>
      <w:r w:rsidRPr="00256727">
        <w:rPr>
          <w:rFonts w:ascii="Bookman Old Style" w:hAnsi="Bookman Old Style" w:cs="Tahoma"/>
          <w:lang w:val="sv-FI"/>
        </w:rPr>
        <w:t>redaksionalnya</w:t>
      </w:r>
      <w:r w:rsidR="00A954D0" w:rsidRPr="00256727">
        <w:rPr>
          <w:rFonts w:ascii="Bookman Old Style" w:hAnsi="Bookman Old Style" w:cs="Tahoma"/>
          <w:lang w:val="sv-FI"/>
        </w:rPr>
        <w:t xml:space="preserve"> </w:t>
      </w:r>
      <w:r w:rsidRPr="00256727">
        <w:rPr>
          <w:rFonts w:ascii="Bookman Old Style" w:hAnsi="Bookman Old Style" w:cs="Tahoma"/>
          <w:lang w:val="sv-FI"/>
        </w:rPr>
        <w:t>menjadi:</w:t>
      </w:r>
    </w:p>
    <w:p w14:paraId="71627730" w14:textId="21D130A6" w:rsidR="006E2F8F" w:rsidRDefault="006E2F8F" w:rsidP="007D4940">
      <w:pPr>
        <w:snapToGrid w:val="0"/>
        <w:spacing w:before="60" w:line="276" w:lineRule="auto"/>
        <w:ind w:left="2268"/>
        <w:jc w:val="both"/>
        <w:rPr>
          <w:rFonts w:ascii="Bookman Old Style" w:hAnsi="Bookman Old Style"/>
        </w:rPr>
      </w:pPr>
      <w:r w:rsidRPr="001D1AFB">
        <w:rPr>
          <w:rFonts w:ascii="Bookman Old Style" w:hAnsi="Bookman Old Style"/>
        </w:rPr>
        <w:t>Belanja</w:t>
      </w:r>
      <w:r w:rsidR="00A954D0">
        <w:rPr>
          <w:rFonts w:ascii="Bookman Old Style" w:hAnsi="Bookman Old Style"/>
        </w:rPr>
        <w:t xml:space="preserve"> </w:t>
      </w:r>
      <w:r w:rsidRPr="001D1AFB">
        <w:rPr>
          <w:rFonts w:ascii="Bookman Old Style" w:hAnsi="Bookman Old Style"/>
        </w:rPr>
        <w:t>Penerimaan</w:t>
      </w:r>
      <w:r w:rsidR="00A954D0">
        <w:rPr>
          <w:rFonts w:ascii="Bookman Old Style" w:hAnsi="Bookman Old Style"/>
        </w:rPr>
        <w:t xml:space="preserve"> </w:t>
      </w:r>
      <w:r w:rsidRPr="001D1AFB">
        <w:rPr>
          <w:rFonts w:ascii="Bookman Old Style" w:hAnsi="Bookman Old Style"/>
        </w:rPr>
        <w:t>Lainnya</w:t>
      </w:r>
      <w:r w:rsidR="00A954D0">
        <w:rPr>
          <w:rFonts w:ascii="Bookman Old Style" w:hAnsi="Bookman Old Style"/>
        </w:rPr>
        <w:t xml:space="preserve"> </w:t>
      </w:r>
      <w:r w:rsidRPr="001D1AFB">
        <w:rPr>
          <w:rFonts w:ascii="Bookman Old Style" w:hAnsi="Bookman Old Style"/>
        </w:rPr>
        <w:t>Pimpinan</w:t>
      </w:r>
      <w:r w:rsidR="00A954D0">
        <w:rPr>
          <w:rFonts w:ascii="Bookman Old Style" w:hAnsi="Bookman Old Style"/>
        </w:rPr>
        <w:t xml:space="preserve"> </w:t>
      </w:r>
      <w:r w:rsidRPr="001D1AFB">
        <w:rPr>
          <w:rFonts w:ascii="Bookman Old Style" w:hAnsi="Bookman Old Style"/>
        </w:rPr>
        <w:t>DPRD</w:t>
      </w:r>
      <w:r w:rsidR="00A954D0">
        <w:rPr>
          <w:rFonts w:ascii="Bookman Old Style" w:hAnsi="Bookman Old Style"/>
        </w:rPr>
        <w:t xml:space="preserve"> </w:t>
      </w:r>
      <w:r w:rsidRPr="001D1AFB">
        <w:rPr>
          <w:rFonts w:ascii="Bookman Old Style" w:hAnsi="Bookman Old Style"/>
        </w:rPr>
        <w:t>serta</w:t>
      </w:r>
      <w:r w:rsidR="00A954D0">
        <w:rPr>
          <w:rFonts w:ascii="Bookman Old Style" w:hAnsi="Bookman Old Style"/>
        </w:rPr>
        <w:t xml:space="preserve"> </w:t>
      </w:r>
      <w:r w:rsidRPr="001D1AFB">
        <w:rPr>
          <w:rFonts w:ascii="Bookman Old Style" w:hAnsi="Bookman Old Style"/>
        </w:rPr>
        <w:t>KDH/WKDH</w:t>
      </w:r>
      <w:r w:rsidR="00A954D0">
        <w:rPr>
          <w:rFonts w:ascii="Bookman Old Style" w:hAnsi="Bookman Old Style"/>
        </w:rPr>
        <w:t xml:space="preserve"> </w:t>
      </w:r>
      <w:r w:rsidRPr="001D1AFB">
        <w:rPr>
          <w:rFonts w:ascii="Bookman Old Style" w:hAnsi="Bookman Old Style"/>
        </w:rPr>
        <w:t>sebagaimana</w:t>
      </w:r>
      <w:r w:rsidR="00A954D0">
        <w:rPr>
          <w:rFonts w:ascii="Bookman Old Style" w:hAnsi="Bookman Old Style"/>
        </w:rPr>
        <w:t xml:space="preserve"> </w:t>
      </w:r>
      <w:r w:rsidRPr="001D1AFB">
        <w:rPr>
          <w:rFonts w:ascii="Bookman Old Style" w:hAnsi="Bookman Old Style"/>
        </w:rPr>
        <w:t>dimaksud</w:t>
      </w:r>
      <w:r w:rsidR="00A954D0">
        <w:rPr>
          <w:rFonts w:ascii="Bookman Old Style" w:hAnsi="Bookman Old Style"/>
        </w:rPr>
        <w:t xml:space="preserve"> </w:t>
      </w:r>
      <w:r w:rsidRPr="001D1AFB">
        <w:rPr>
          <w:rFonts w:ascii="Bookman Old Style" w:hAnsi="Bookman Old Style"/>
          <w:b/>
          <w:bCs/>
        </w:rPr>
        <w:t>pada</w:t>
      </w:r>
      <w:r w:rsidR="00A954D0">
        <w:rPr>
          <w:rFonts w:ascii="Bookman Old Style" w:hAnsi="Bookman Old Style"/>
        </w:rPr>
        <w:t xml:space="preserve"> </w:t>
      </w:r>
      <w:r w:rsidRPr="001D1AFB">
        <w:rPr>
          <w:rFonts w:ascii="Bookman Old Style" w:hAnsi="Bookman Old Style"/>
        </w:rPr>
        <w:t>ayat</w:t>
      </w:r>
      <w:r w:rsidR="00A954D0">
        <w:rPr>
          <w:rFonts w:ascii="Bookman Old Style" w:hAnsi="Bookman Old Style"/>
        </w:rPr>
        <w:t xml:space="preserve"> </w:t>
      </w:r>
      <w:r w:rsidRPr="001D1AFB">
        <w:rPr>
          <w:rFonts w:ascii="Bookman Old Style" w:hAnsi="Bookman Old Style"/>
        </w:rPr>
        <w:t>(1)</w:t>
      </w:r>
      <w:r w:rsidR="00A954D0">
        <w:rPr>
          <w:rFonts w:ascii="Bookman Old Style" w:hAnsi="Bookman Old Style"/>
        </w:rPr>
        <w:t xml:space="preserve"> </w:t>
      </w:r>
      <w:r w:rsidRPr="001D1AFB">
        <w:rPr>
          <w:rFonts w:ascii="Bookman Old Style" w:hAnsi="Bookman Old Style"/>
        </w:rPr>
        <w:t>huruf</w:t>
      </w:r>
      <w:r w:rsidR="00A954D0">
        <w:rPr>
          <w:rFonts w:ascii="Bookman Old Style" w:hAnsi="Bookman Old Style"/>
        </w:rPr>
        <w:t xml:space="preserve"> </w:t>
      </w:r>
      <w:r>
        <w:rPr>
          <w:rFonts w:ascii="Bookman Old Style" w:hAnsi="Bookman Old Style"/>
          <w:b/>
          <w:bCs/>
        </w:rPr>
        <w:t>e</w:t>
      </w:r>
      <w:r w:rsidR="00A954D0">
        <w:rPr>
          <w:rFonts w:ascii="Bookman Old Style" w:hAnsi="Bookman Old Style"/>
        </w:rPr>
        <w:t xml:space="preserve"> </w:t>
      </w:r>
      <w:r w:rsidRPr="001D1AFB">
        <w:rPr>
          <w:rFonts w:ascii="Bookman Old Style" w:hAnsi="Bookman Old Style"/>
        </w:rPr>
        <w:t>terdiri</w:t>
      </w:r>
      <w:r w:rsidR="00A954D0">
        <w:rPr>
          <w:rFonts w:ascii="Bookman Old Style" w:hAnsi="Bookman Old Style"/>
        </w:rPr>
        <w:t xml:space="preserve"> </w:t>
      </w:r>
      <w:r w:rsidRPr="001D1AFB">
        <w:rPr>
          <w:rFonts w:ascii="Bookman Old Style" w:hAnsi="Bookman Old Style"/>
        </w:rPr>
        <w:t>atas:…</w:t>
      </w:r>
    </w:p>
    <w:p w14:paraId="69835C3A" w14:textId="7D502C5F" w:rsidR="006E2F8F" w:rsidRPr="003255BC" w:rsidRDefault="006E2F8F" w:rsidP="007D4940">
      <w:pPr>
        <w:numPr>
          <w:ilvl w:val="0"/>
          <w:numId w:val="176"/>
        </w:numPr>
        <w:snapToGrid w:val="0"/>
        <w:spacing w:before="60" w:line="276" w:lineRule="auto"/>
        <w:ind w:left="2268" w:hanging="567"/>
        <w:jc w:val="both"/>
        <w:rPr>
          <w:rFonts w:ascii="Bookman Old Style" w:hAnsi="Bookman Old Style" w:cs="Tahoma"/>
          <w:lang w:val="sv-FI"/>
        </w:rPr>
      </w:pPr>
      <w:r w:rsidRPr="003255BC">
        <w:rPr>
          <w:rFonts w:ascii="Bookman Old Style" w:hAnsi="Bookman Old Style" w:cs="Tahoma"/>
          <w:lang w:val="sv-FI"/>
        </w:rPr>
        <w:t>Pasal</w:t>
      </w:r>
      <w:r w:rsidR="00A954D0" w:rsidRPr="003255BC">
        <w:rPr>
          <w:rFonts w:ascii="Bookman Old Style" w:hAnsi="Bookman Old Style" w:cs="Tahoma"/>
          <w:lang w:val="sv-FI"/>
        </w:rPr>
        <w:t xml:space="preserve"> </w:t>
      </w:r>
      <w:r w:rsidRPr="003255BC">
        <w:rPr>
          <w:rFonts w:ascii="Bookman Old Style" w:hAnsi="Bookman Old Style" w:cs="Tahoma"/>
          <w:lang w:val="sv-FI"/>
        </w:rPr>
        <w:t>15</w:t>
      </w:r>
      <w:r w:rsidR="00A954D0" w:rsidRPr="003255BC">
        <w:rPr>
          <w:rFonts w:ascii="Bookman Old Style" w:hAnsi="Bookman Old Style" w:cs="Tahoma"/>
          <w:lang w:val="sv-FI"/>
        </w:rPr>
        <w:t xml:space="preserve"> </w:t>
      </w:r>
      <w:r w:rsidRPr="003255BC">
        <w:rPr>
          <w:rFonts w:ascii="Bookman Old Style" w:hAnsi="Bookman Old Style" w:cs="Tahoma"/>
          <w:lang w:val="sv-FI"/>
        </w:rPr>
        <w:t>ayat</w:t>
      </w:r>
      <w:r w:rsidR="00A954D0" w:rsidRPr="003255BC">
        <w:rPr>
          <w:rFonts w:ascii="Bookman Old Style" w:hAnsi="Bookman Old Style" w:cs="Tahoma"/>
          <w:lang w:val="sv-FI"/>
        </w:rPr>
        <w:t xml:space="preserve"> </w:t>
      </w:r>
      <w:r w:rsidRPr="003255BC">
        <w:rPr>
          <w:rFonts w:ascii="Bookman Old Style" w:hAnsi="Bookman Old Style" w:cs="Tahoma"/>
          <w:lang w:val="sv-FI"/>
        </w:rPr>
        <w:t>(2)</w:t>
      </w:r>
      <w:r w:rsidR="00A954D0" w:rsidRPr="003255BC">
        <w:rPr>
          <w:rFonts w:ascii="Bookman Old Style" w:hAnsi="Bookman Old Style" w:cs="Tahoma"/>
          <w:lang w:val="sv-FI"/>
        </w:rPr>
        <w:t xml:space="preserve"> </w:t>
      </w:r>
      <w:r w:rsidRPr="003255BC">
        <w:rPr>
          <w:rFonts w:ascii="Bookman Old Style" w:hAnsi="Bookman Old Style" w:cs="Tahoma"/>
          <w:lang w:val="sv-FI"/>
        </w:rPr>
        <w:t>agar</w:t>
      </w:r>
      <w:r w:rsidR="00A954D0" w:rsidRPr="003255BC">
        <w:rPr>
          <w:rFonts w:ascii="Bookman Old Style" w:hAnsi="Bookman Old Style" w:cs="Tahoma"/>
          <w:lang w:val="sv-FI"/>
        </w:rPr>
        <w:t xml:space="preserve"> </w:t>
      </w:r>
      <w:r w:rsidRPr="003255BC">
        <w:rPr>
          <w:rFonts w:ascii="Bookman Old Style" w:hAnsi="Bookman Old Style" w:cs="Tahoma"/>
          <w:lang w:val="sv-FI"/>
        </w:rPr>
        <w:t>diperbaiki</w:t>
      </w:r>
      <w:r w:rsidR="00A954D0" w:rsidRPr="003255BC">
        <w:rPr>
          <w:rFonts w:ascii="Bookman Old Style" w:hAnsi="Bookman Old Style" w:cs="Tahoma"/>
          <w:lang w:val="sv-FI"/>
        </w:rPr>
        <w:t xml:space="preserve"> </w:t>
      </w:r>
      <w:r w:rsidRPr="003255BC">
        <w:rPr>
          <w:rFonts w:ascii="Bookman Old Style" w:hAnsi="Bookman Old Style" w:cs="Tahoma"/>
          <w:lang w:val="sv-FI"/>
        </w:rPr>
        <w:t>redaksionalnya</w:t>
      </w:r>
      <w:r w:rsidR="00A954D0" w:rsidRPr="003255BC">
        <w:rPr>
          <w:rFonts w:ascii="Bookman Old Style" w:hAnsi="Bookman Old Style" w:cs="Tahoma"/>
          <w:lang w:val="sv-FI"/>
        </w:rPr>
        <w:t xml:space="preserve"> </w:t>
      </w:r>
      <w:r w:rsidRPr="003255BC">
        <w:rPr>
          <w:rFonts w:ascii="Bookman Old Style" w:hAnsi="Bookman Old Style" w:cs="Tahoma"/>
          <w:lang w:val="sv-FI"/>
        </w:rPr>
        <w:t>menjadi:</w:t>
      </w:r>
    </w:p>
    <w:p w14:paraId="6F761D92" w14:textId="1A2C6858" w:rsidR="006E2F8F" w:rsidRPr="00256727" w:rsidRDefault="006E2F8F" w:rsidP="007D4940">
      <w:pPr>
        <w:snapToGrid w:val="0"/>
        <w:spacing w:before="60" w:line="276" w:lineRule="auto"/>
        <w:ind w:left="2268"/>
        <w:jc w:val="both"/>
        <w:rPr>
          <w:rFonts w:ascii="Bookman Old Style" w:hAnsi="Bookman Old Style"/>
          <w:lang w:val="sv-FI"/>
        </w:rPr>
      </w:pPr>
      <w:r w:rsidRPr="00256727">
        <w:rPr>
          <w:rFonts w:ascii="Bookman Old Style" w:hAnsi="Bookman Old Style"/>
          <w:lang w:val="sv-FI"/>
        </w:rPr>
        <w:t>Belanja</w:t>
      </w:r>
      <w:r w:rsidR="00A954D0" w:rsidRPr="00256727">
        <w:rPr>
          <w:rFonts w:ascii="Bookman Old Style" w:hAnsi="Bookman Old Style"/>
          <w:lang w:val="sv-FI"/>
        </w:rPr>
        <w:t xml:space="preserve"> </w:t>
      </w:r>
      <w:r w:rsidRPr="00256727">
        <w:rPr>
          <w:rFonts w:ascii="Bookman Old Style" w:hAnsi="Bookman Old Style"/>
          <w:lang w:val="sv-FI"/>
        </w:rPr>
        <w:t>Barang</w:t>
      </w:r>
      <w:r w:rsidR="00A954D0" w:rsidRPr="00256727">
        <w:rPr>
          <w:rFonts w:ascii="Bookman Old Style" w:hAnsi="Bookman Old Style"/>
          <w:lang w:val="sv-FI"/>
        </w:rPr>
        <w:t xml:space="preserve"> </w:t>
      </w:r>
      <w:r w:rsidRPr="00256727">
        <w:rPr>
          <w:rFonts w:ascii="Bookman Old Style" w:hAnsi="Bookman Old Style"/>
          <w:lang w:val="sv-FI"/>
        </w:rPr>
        <w:t>sebagaimana</w:t>
      </w:r>
      <w:r w:rsidR="00A954D0" w:rsidRPr="00256727">
        <w:rPr>
          <w:rFonts w:ascii="Bookman Old Style" w:hAnsi="Bookman Old Style"/>
          <w:lang w:val="sv-FI"/>
        </w:rPr>
        <w:t xml:space="preserve"> </w:t>
      </w:r>
      <w:r w:rsidRPr="00256727">
        <w:rPr>
          <w:rFonts w:ascii="Bookman Old Style" w:hAnsi="Bookman Old Style"/>
          <w:lang w:val="sv-FI"/>
        </w:rPr>
        <w:t>dimaksud</w:t>
      </w:r>
      <w:r w:rsidR="00A954D0" w:rsidRPr="00256727">
        <w:rPr>
          <w:rFonts w:ascii="Bookman Old Style" w:hAnsi="Bookman Old Style"/>
          <w:lang w:val="sv-FI"/>
        </w:rPr>
        <w:t xml:space="preserve"> </w:t>
      </w:r>
      <w:r w:rsidRPr="00256727">
        <w:rPr>
          <w:rFonts w:ascii="Bookman Old Style" w:hAnsi="Bookman Old Style"/>
          <w:b/>
          <w:bCs/>
          <w:lang w:val="sv-FI"/>
        </w:rPr>
        <w:t>pada</w:t>
      </w:r>
      <w:r w:rsidR="00A954D0" w:rsidRPr="00256727">
        <w:rPr>
          <w:rFonts w:ascii="Bookman Old Style" w:hAnsi="Bookman Old Style"/>
          <w:lang w:val="sv-FI"/>
        </w:rPr>
        <w:t xml:space="preserve"> </w:t>
      </w:r>
      <w:r w:rsidRPr="00256727">
        <w:rPr>
          <w:rFonts w:ascii="Bookman Old Style" w:hAnsi="Bookman Old Style"/>
          <w:lang w:val="sv-FI"/>
        </w:rPr>
        <w:t>ayat</w:t>
      </w:r>
      <w:r w:rsidR="00A954D0" w:rsidRPr="00256727">
        <w:rPr>
          <w:rFonts w:ascii="Bookman Old Style" w:hAnsi="Bookman Old Style"/>
          <w:lang w:val="sv-FI"/>
        </w:rPr>
        <w:t xml:space="preserve"> </w:t>
      </w:r>
      <w:r w:rsidRPr="00256727">
        <w:rPr>
          <w:rFonts w:ascii="Bookman Old Style" w:hAnsi="Bookman Old Style"/>
          <w:lang w:val="sv-FI"/>
        </w:rPr>
        <w:t>(1)</w:t>
      </w:r>
      <w:r w:rsidR="00A954D0" w:rsidRPr="00256727">
        <w:rPr>
          <w:rFonts w:ascii="Bookman Old Style" w:hAnsi="Bookman Old Style"/>
          <w:lang w:val="sv-FI"/>
        </w:rPr>
        <w:t xml:space="preserve"> </w:t>
      </w:r>
      <w:r w:rsidRPr="00256727">
        <w:rPr>
          <w:rFonts w:ascii="Bookman Old Style" w:hAnsi="Bookman Old Style"/>
          <w:lang w:val="sv-FI"/>
        </w:rPr>
        <w:t>huruf</w:t>
      </w:r>
      <w:r w:rsidR="00A954D0" w:rsidRPr="00256727">
        <w:rPr>
          <w:rFonts w:ascii="Bookman Old Style" w:hAnsi="Bookman Old Style"/>
          <w:lang w:val="sv-FI"/>
        </w:rPr>
        <w:t xml:space="preserve"> </w:t>
      </w:r>
      <w:r w:rsidRPr="00256727">
        <w:rPr>
          <w:rFonts w:ascii="Bookman Old Style" w:hAnsi="Bookman Old Style"/>
          <w:lang w:val="sv-FI"/>
        </w:rPr>
        <w:t>a</w:t>
      </w:r>
      <w:r w:rsidR="00A954D0" w:rsidRPr="00256727">
        <w:rPr>
          <w:rFonts w:ascii="Bookman Old Style" w:hAnsi="Bookman Old Style"/>
          <w:lang w:val="sv-FI"/>
        </w:rPr>
        <w:t xml:space="preserve"> </w:t>
      </w:r>
      <w:r w:rsidRPr="00256727">
        <w:rPr>
          <w:rFonts w:ascii="Bookman Old Style" w:hAnsi="Bookman Old Style"/>
          <w:lang w:val="sv-FI"/>
        </w:rPr>
        <w:t>terdiri</w:t>
      </w:r>
      <w:r w:rsidR="00A954D0" w:rsidRPr="00256727">
        <w:rPr>
          <w:rFonts w:ascii="Bookman Old Style" w:hAnsi="Bookman Old Style"/>
          <w:lang w:val="sv-FI"/>
        </w:rPr>
        <w:t xml:space="preserve"> </w:t>
      </w:r>
      <w:r w:rsidRPr="00256727">
        <w:rPr>
          <w:rFonts w:ascii="Bookman Old Style" w:hAnsi="Bookman Old Style"/>
          <w:lang w:val="sv-FI"/>
        </w:rPr>
        <w:t>atas:…</w:t>
      </w:r>
    </w:p>
    <w:p w14:paraId="21595796" w14:textId="4F68FA6A" w:rsidR="006E2F8F" w:rsidRPr="00256727" w:rsidRDefault="006E2F8F" w:rsidP="007D4940">
      <w:pPr>
        <w:numPr>
          <w:ilvl w:val="0"/>
          <w:numId w:val="176"/>
        </w:numPr>
        <w:snapToGrid w:val="0"/>
        <w:spacing w:before="60" w:line="276" w:lineRule="auto"/>
        <w:ind w:left="2268" w:hanging="567"/>
        <w:jc w:val="both"/>
        <w:rPr>
          <w:rFonts w:ascii="Bookman Old Style" w:hAnsi="Bookman Old Style" w:cs="Tahoma"/>
          <w:lang w:val="sv-FI"/>
        </w:rPr>
      </w:pPr>
      <w:r w:rsidRPr="00256727">
        <w:rPr>
          <w:rFonts w:ascii="Bookman Old Style" w:hAnsi="Bookman Old Style" w:cs="Tahoma"/>
          <w:lang w:val="sv-FI"/>
        </w:rPr>
        <w:lastRenderedPageBreak/>
        <w:t>Pasal</w:t>
      </w:r>
      <w:r w:rsidR="00A954D0" w:rsidRPr="00256727">
        <w:rPr>
          <w:rFonts w:ascii="Bookman Old Style" w:hAnsi="Bookman Old Style" w:cs="Tahoma"/>
          <w:lang w:val="sv-FI"/>
        </w:rPr>
        <w:t xml:space="preserve"> </w:t>
      </w:r>
      <w:r w:rsidRPr="00256727">
        <w:rPr>
          <w:rFonts w:ascii="Bookman Old Style" w:hAnsi="Bookman Old Style" w:cs="Tahoma"/>
          <w:lang w:val="sv-FI"/>
        </w:rPr>
        <w:t>15</w:t>
      </w:r>
      <w:r w:rsidR="00A954D0" w:rsidRPr="00256727">
        <w:rPr>
          <w:rFonts w:ascii="Bookman Old Style" w:hAnsi="Bookman Old Style" w:cs="Tahoma"/>
          <w:lang w:val="sv-FI"/>
        </w:rPr>
        <w:t xml:space="preserve"> </w:t>
      </w:r>
      <w:r w:rsidRPr="00256727">
        <w:rPr>
          <w:rFonts w:ascii="Bookman Old Style" w:hAnsi="Bookman Old Style" w:cs="Tahoma"/>
          <w:lang w:val="sv-FI"/>
        </w:rPr>
        <w:t>ayat</w:t>
      </w:r>
      <w:r w:rsidR="00A954D0" w:rsidRPr="00256727">
        <w:rPr>
          <w:rFonts w:ascii="Bookman Old Style" w:hAnsi="Bookman Old Style" w:cs="Tahoma"/>
          <w:lang w:val="sv-FI"/>
        </w:rPr>
        <w:t xml:space="preserve"> </w:t>
      </w:r>
      <w:r w:rsidRPr="00256727">
        <w:rPr>
          <w:rFonts w:ascii="Bookman Old Style" w:hAnsi="Bookman Old Style" w:cs="Tahoma"/>
          <w:lang w:val="sv-FI"/>
        </w:rPr>
        <w:t>(3)</w:t>
      </w:r>
      <w:r w:rsidR="00A954D0" w:rsidRPr="00256727">
        <w:rPr>
          <w:rFonts w:ascii="Bookman Old Style" w:hAnsi="Bookman Old Style" w:cs="Tahoma"/>
          <w:lang w:val="sv-FI"/>
        </w:rPr>
        <w:t xml:space="preserve"> </w:t>
      </w:r>
      <w:r w:rsidRPr="00256727">
        <w:rPr>
          <w:rFonts w:ascii="Bookman Old Style" w:hAnsi="Bookman Old Style" w:cs="Tahoma"/>
          <w:lang w:val="sv-FI"/>
        </w:rPr>
        <w:t>agar</w:t>
      </w:r>
      <w:r w:rsidR="00A954D0" w:rsidRPr="00256727">
        <w:rPr>
          <w:rFonts w:ascii="Bookman Old Style" w:hAnsi="Bookman Old Style" w:cs="Tahoma"/>
          <w:lang w:val="sv-FI"/>
        </w:rPr>
        <w:t xml:space="preserve"> </w:t>
      </w:r>
      <w:r w:rsidRPr="00256727">
        <w:rPr>
          <w:rFonts w:ascii="Bookman Old Style" w:hAnsi="Bookman Old Style" w:cs="Tahoma"/>
          <w:lang w:val="sv-FI"/>
        </w:rPr>
        <w:t>diperbaiki</w:t>
      </w:r>
      <w:r w:rsidR="00A954D0" w:rsidRPr="00256727">
        <w:rPr>
          <w:rFonts w:ascii="Bookman Old Style" w:hAnsi="Bookman Old Style" w:cs="Tahoma"/>
          <w:lang w:val="sv-FI"/>
        </w:rPr>
        <w:t xml:space="preserve"> </w:t>
      </w:r>
      <w:r w:rsidRPr="00256727">
        <w:rPr>
          <w:rFonts w:ascii="Bookman Old Style" w:hAnsi="Bookman Old Style" w:cs="Tahoma"/>
          <w:lang w:val="sv-FI"/>
        </w:rPr>
        <w:t>redaksionalnya</w:t>
      </w:r>
      <w:r w:rsidR="00A954D0" w:rsidRPr="00256727">
        <w:rPr>
          <w:rFonts w:ascii="Bookman Old Style" w:hAnsi="Bookman Old Style" w:cs="Tahoma"/>
          <w:lang w:val="sv-FI"/>
        </w:rPr>
        <w:t xml:space="preserve"> </w:t>
      </w:r>
      <w:r w:rsidRPr="00256727">
        <w:rPr>
          <w:rFonts w:ascii="Bookman Old Style" w:hAnsi="Bookman Old Style" w:cs="Tahoma"/>
          <w:lang w:val="sv-FI"/>
        </w:rPr>
        <w:t>menjadi:</w:t>
      </w:r>
    </w:p>
    <w:p w14:paraId="7B81DE8B" w14:textId="6073DE9C" w:rsidR="006E2F8F" w:rsidRPr="00256727" w:rsidRDefault="006E2F8F" w:rsidP="007D4940">
      <w:pPr>
        <w:snapToGrid w:val="0"/>
        <w:spacing w:before="60" w:line="276" w:lineRule="auto"/>
        <w:ind w:left="2268"/>
        <w:jc w:val="both"/>
        <w:rPr>
          <w:rFonts w:ascii="Bookman Old Style" w:hAnsi="Bookman Old Style"/>
          <w:lang w:val="sv-FI"/>
        </w:rPr>
      </w:pPr>
      <w:r w:rsidRPr="00256727">
        <w:rPr>
          <w:rFonts w:ascii="Bookman Old Style" w:hAnsi="Bookman Old Style"/>
          <w:lang w:val="sv-FI"/>
        </w:rPr>
        <w:t>Belanja</w:t>
      </w:r>
      <w:r w:rsidR="00A954D0" w:rsidRPr="00256727">
        <w:rPr>
          <w:rFonts w:ascii="Bookman Old Style" w:hAnsi="Bookman Old Style"/>
          <w:lang w:val="sv-FI"/>
        </w:rPr>
        <w:t xml:space="preserve"> </w:t>
      </w:r>
      <w:r w:rsidRPr="00256727">
        <w:rPr>
          <w:rFonts w:ascii="Bookman Old Style" w:hAnsi="Bookman Old Style"/>
          <w:lang w:val="sv-FI"/>
        </w:rPr>
        <w:t>Jasa</w:t>
      </w:r>
      <w:r w:rsidR="00A954D0" w:rsidRPr="00256727">
        <w:rPr>
          <w:rFonts w:ascii="Bookman Old Style" w:hAnsi="Bookman Old Style"/>
          <w:lang w:val="sv-FI"/>
        </w:rPr>
        <w:t xml:space="preserve"> </w:t>
      </w:r>
      <w:r w:rsidRPr="00256727">
        <w:rPr>
          <w:rFonts w:ascii="Bookman Old Style" w:hAnsi="Bookman Old Style"/>
          <w:lang w:val="sv-FI"/>
        </w:rPr>
        <w:t>sebagaimana</w:t>
      </w:r>
      <w:r w:rsidR="00A954D0" w:rsidRPr="00256727">
        <w:rPr>
          <w:rFonts w:ascii="Bookman Old Style" w:hAnsi="Bookman Old Style"/>
          <w:lang w:val="sv-FI"/>
        </w:rPr>
        <w:t xml:space="preserve"> </w:t>
      </w:r>
      <w:r w:rsidRPr="00256727">
        <w:rPr>
          <w:rFonts w:ascii="Bookman Old Style" w:hAnsi="Bookman Old Style"/>
          <w:lang w:val="sv-FI"/>
        </w:rPr>
        <w:t>dimaksud</w:t>
      </w:r>
      <w:r w:rsidR="00A954D0" w:rsidRPr="00256727">
        <w:rPr>
          <w:rFonts w:ascii="Bookman Old Style" w:hAnsi="Bookman Old Style"/>
          <w:lang w:val="sv-FI"/>
        </w:rPr>
        <w:t xml:space="preserve"> </w:t>
      </w:r>
      <w:r w:rsidRPr="00256727">
        <w:rPr>
          <w:rFonts w:ascii="Bookman Old Style" w:hAnsi="Bookman Old Style"/>
          <w:b/>
          <w:bCs/>
          <w:lang w:val="sv-FI"/>
        </w:rPr>
        <w:t>pada</w:t>
      </w:r>
      <w:r w:rsidR="00A954D0" w:rsidRPr="00256727">
        <w:rPr>
          <w:rFonts w:ascii="Bookman Old Style" w:hAnsi="Bookman Old Style"/>
          <w:lang w:val="sv-FI"/>
        </w:rPr>
        <w:t xml:space="preserve"> </w:t>
      </w:r>
      <w:r w:rsidRPr="00256727">
        <w:rPr>
          <w:rFonts w:ascii="Bookman Old Style" w:hAnsi="Bookman Old Style"/>
          <w:lang w:val="sv-FI"/>
        </w:rPr>
        <w:t>ayat</w:t>
      </w:r>
      <w:r w:rsidR="00A954D0" w:rsidRPr="00256727">
        <w:rPr>
          <w:rFonts w:ascii="Bookman Old Style" w:hAnsi="Bookman Old Style"/>
          <w:lang w:val="sv-FI"/>
        </w:rPr>
        <w:t xml:space="preserve"> </w:t>
      </w:r>
      <w:r w:rsidRPr="00256727">
        <w:rPr>
          <w:rFonts w:ascii="Bookman Old Style" w:hAnsi="Bookman Old Style"/>
          <w:lang w:val="sv-FI"/>
        </w:rPr>
        <w:t>(1)</w:t>
      </w:r>
      <w:r w:rsidR="00A954D0" w:rsidRPr="00256727">
        <w:rPr>
          <w:rFonts w:ascii="Bookman Old Style" w:hAnsi="Bookman Old Style"/>
          <w:lang w:val="sv-FI"/>
        </w:rPr>
        <w:t xml:space="preserve"> </w:t>
      </w:r>
      <w:r w:rsidRPr="00256727">
        <w:rPr>
          <w:rFonts w:ascii="Bookman Old Style" w:hAnsi="Bookman Old Style"/>
          <w:lang w:val="sv-FI"/>
        </w:rPr>
        <w:t>huruf</w:t>
      </w:r>
      <w:r w:rsidR="00A954D0" w:rsidRPr="00256727">
        <w:rPr>
          <w:rFonts w:ascii="Bookman Old Style" w:hAnsi="Bookman Old Style"/>
          <w:lang w:val="sv-FI"/>
        </w:rPr>
        <w:t xml:space="preserve"> </w:t>
      </w:r>
      <w:r w:rsidRPr="00256727">
        <w:rPr>
          <w:rFonts w:ascii="Bookman Old Style" w:hAnsi="Bookman Old Style"/>
          <w:lang w:val="sv-FI"/>
        </w:rPr>
        <w:t>b</w:t>
      </w:r>
      <w:r w:rsidR="00A954D0" w:rsidRPr="00256727">
        <w:rPr>
          <w:rFonts w:ascii="Bookman Old Style" w:hAnsi="Bookman Old Style"/>
          <w:lang w:val="sv-FI"/>
        </w:rPr>
        <w:t xml:space="preserve"> </w:t>
      </w:r>
      <w:r w:rsidRPr="00256727">
        <w:rPr>
          <w:rFonts w:ascii="Bookman Old Style" w:hAnsi="Bookman Old Style"/>
          <w:lang w:val="sv-FI"/>
        </w:rPr>
        <w:t>terdiri</w:t>
      </w:r>
      <w:r w:rsidR="00A954D0" w:rsidRPr="00256727">
        <w:rPr>
          <w:rFonts w:ascii="Bookman Old Style" w:hAnsi="Bookman Old Style"/>
          <w:lang w:val="sv-FI"/>
        </w:rPr>
        <w:t xml:space="preserve"> </w:t>
      </w:r>
      <w:r w:rsidRPr="00256727">
        <w:rPr>
          <w:rFonts w:ascii="Bookman Old Style" w:hAnsi="Bookman Old Style"/>
          <w:lang w:val="sv-FI"/>
        </w:rPr>
        <w:t>atas:…</w:t>
      </w:r>
    </w:p>
    <w:p w14:paraId="40437E85" w14:textId="691FFD9D" w:rsidR="006E2F8F" w:rsidRPr="00256727" w:rsidRDefault="006E2F8F" w:rsidP="007D4940">
      <w:pPr>
        <w:numPr>
          <w:ilvl w:val="0"/>
          <w:numId w:val="176"/>
        </w:numPr>
        <w:snapToGrid w:val="0"/>
        <w:spacing w:before="60" w:line="276" w:lineRule="auto"/>
        <w:ind w:left="2268" w:hanging="567"/>
        <w:jc w:val="both"/>
        <w:rPr>
          <w:rFonts w:ascii="Bookman Old Style" w:hAnsi="Bookman Old Style" w:cs="Tahoma"/>
          <w:lang w:val="sv-FI"/>
        </w:rPr>
      </w:pPr>
      <w:r w:rsidRPr="00256727">
        <w:rPr>
          <w:rFonts w:ascii="Bookman Old Style" w:hAnsi="Bookman Old Style" w:cs="Tahoma"/>
          <w:lang w:val="sv-FI"/>
        </w:rPr>
        <w:t>Pasal</w:t>
      </w:r>
      <w:r w:rsidR="00A954D0" w:rsidRPr="00256727">
        <w:rPr>
          <w:rFonts w:ascii="Bookman Old Style" w:hAnsi="Bookman Old Style" w:cs="Tahoma"/>
          <w:lang w:val="sv-FI"/>
        </w:rPr>
        <w:t xml:space="preserve"> </w:t>
      </w:r>
      <w:r w:rsidRPr="00256727">
        <w:rPr>
          <w:rFonts w:ascii="Bookman Old Style" w:hAnsi="Bookman Old Style" w:cs="Tahoma"/>
          <w:lang w:val="sv-FI"/>
        </w:rPr>
        <w:t>15</w:t>
      </w:r>
      <w:r w:rsidR="00A954D0" w:rsidRPr="00256727">
        <w:rPr>
          <w:rFonts w:ascii="Bookman Old Style" w:hAnsi="Bookman Old Style" w:cs="Tahoma"/>
          <w:lang w:val="sv-FI"/>
        </w:rPr>
        <w:t xml:space="preserve"> </w:t>
      </w:r>
      <w:r w:rsidRPr="00256727">
        <w:rPr>
          <w:rFonts w:ascii="Bookman Old Style" w:hAnsi="Bookman Old Style" w:cs="Tahoma"/>
          <w:lang w:val="sv-FI"/>
        </w:rPr>
        <w:t>ayat</w:t>
      </w:r>
      <w:r w:rsidR="00A954D0" w:rsidRPr="00256727">
        <w:rPr>
          <w:rFonts w:ascii="Bookman Old Style" w:hAnsi="Bookman Old Style" w:cs="Tahoma"/>
          <w:lang w:val="sv-FI"/>
        </w:rPr>
        <w:t xml:space="preserve"> </w:t>
      </w:r>
      <w:r w:rsidRPr="00256727">
        <w:rPr>
          <w:rFonts w:ascii="Bookman Old Style" w:hAnsi="Bookman Old Style" w:cs="Tahoma"/>
          <w:lang w:val="sv-FI"/>
        </w:rPr>
        <w:t>(4)</w:t>
      </w:r>
      <w:r w:rsidR="00A954D0" w:rsidRPr="00256727">
        <w:rPr>
          <w:rFonts w:ascii="Bookman Old Style" w:hAnsi="Bookman Old Style" w:cs="Tahoma"/>
          <w:lang w:val="sv-FI"/>
        </w:rPr>
        <w:t xml:space="preserve"> </w:t>
      </w:r>
      <w:r w:rsidRPr="00256727">
        <w:rPr>
          <w:rFonts w:ascii="Bookman Old Style" w:hAnsi="Bookman Old Style" w:cs="Tahoma"/>
          <w:lang w:val="sv-FI"/>
        </w:rPr>
        <w:t>agar</w:t>
      </w:r>
      <w:r w:rsidR="00A954D0" w:rsidRPr="00256727">
        <w:rPr>
          <w:rFonts w:ascii="Bookman Old Style" w:hAnsi="Bookman Old Style" w:cs="Tahoma"/>
          <w:lang w:val="sv-FI"/>
        </w:rPr>
        <w:t xml:space="preserve"> </w:t>
      </w:r>
      <w:r w:rsidRPr="00256727">
        <w:rPr>
          <w:rFonts w:ascii="Bookman Old Style" w:hAnsi="Bookman Old Style" w:cs="Tahoma"/>
          <w:lang w:val="sv-FI"/>
        </w:rPr>
        <w:t>diperbaiki</w:t>
      </w:r>
      <w:r w:rsidR="00A954D0" w:rsidRPr="00256727">
        <w:rPr>
          <w:rFonts w:ascii="Bookman Old Style" w:hAnsi="Bookman Old Style" w:cs="Tahoma"/>
          <w:lang w:val="sv-FI"/>
        </w:rPr>
        <w:t xml:space="preserve"> </w:t>
      </w:r>
      <w:r w:rsidRPr="00256727">
        <w:rPr>
          <w:rFonts w:ascii="Bookman Old Style" w:hAnsi="Bookman Old Style" w:cs="Tahoma"/>
          <w:lang w:val="sv-FI"/>
        </w:rPr>
        <w:t>redaksionalnya</w:t>
      </w:r>
      <w:r w:rsidR="00A954D0" w:rsidRPr="00256727">
        <w:rPr>
          <w:rFonts w:ascii="Bookman Old Style" w:hAnsi="Bookman Old Style" w:cs="Tahoma"/>
          <w:lang w:val="sv-FI"/>
        </w:rPr>
        <w:t xml:space="preserve"> </w:t>
      </w:r>
      <w:r w:rsidRPr="00256727">
        <w:rPr>
          <w:rFonts w:ascii="Bookman Old Style" w:hAnsi="Bookman Old Style" w:cs="Tahoma"/>
          <w:lang w:val="sv-FI"/>
        </w:rPr>
        <w:t>menjadi:</w:t>
      </w:r>
    </w:p>
    <w:p w14:paraId="78599040" w14:textId="3257A514" w:rsidR="006E2F8F" w:rsidRPr="00830950" w:rsidRDefault="006E2F8F" w:rsidP="007D4940">
      <w:pPr>
        <w:snapToGrid w:val="0"/>
        <w:spacing w:before="60" w:line="276" w:lineRule="auto"/>
        <w:ind w:left="2268"/>
        <w:jc w:val="both"/>
        <w:rPr>
          <w:rFonts w:ascii="Bookman Old Style" w:hAnsi="Bookman Old Style" w:cs="Tahoma"/>
        </w:rPr>
      </w:pPr>
      <w:r w:rsidRPr="00830950">
        <w:rPr>
          <w:rFonts w:ascii="Bookman Old Style" w:hAnsi="Bookman Old Style"/>
        </w:rPr>
        <w:t>Belanja</w:t>
      </w:r>
      <w:r w:rsidR="00A954D0">
        <w:rPr>
          <w:rFonts w:ascii="Bookman Old Style" w:hAnsi="Bookman Old Style"/>
        </w:rPr>
        <w:t xml:space="preserve"> </w:t>
      </w:r>
      <w:r w:rsidRPr="00830950">
        <w:rPr>
          <w:rFonts w:ascii="Bookman Old Style" w:hAnsi="Bookman Old Style"/>
        </w:rPr>
        <w:t>Pemeliharaan</w:t>
      </w:r>
      <w:r w:rsidR="00A954D0">
        <w:rPr>
          <w:rFonts w:ascii="Bookman Old Style" w:hAnsi="Bookman Old Style"/>
        </w:rPr>
        <w:t xml:space="preserve"> </w:t>
      </w:r>
      <w:r w:rsidRPr="00830950">
        <w:rPr>
          <w:rFonts w:ascii="Bookman Old Style" w:hAnsi="Bookman Old Style"/>
        </w:rPr>
        <w:t>sebagaimana</w:t>
      </w:r>
      <w:r w:rsidR="00A954D0">
        <w:rPr>
          <w:rFonts w:ascii="Bookman Old Style" w:hAnsi="Bookman Old Style"/>
        </w:rPr>
        <w:t xml:space="preserve"> </w:t>
      </w:r>
      <w:r w:rsidRPr="00830950">
        <w:rPr>
          <w:rFonts w:ascii="Bookman Old Style" w:hAnsi="Bookman Old Style"/>
        </w:rPr>
        <w:t>dimaksud</w:t>
      </w:r>
      <w:r w:rsidR="00A954D0">
        <w:rPr>
          <w:rFonts w:ascii="Bookman Old Style" w:hAnsi="Bookman Old Style"/>
        </w:rPr>
        <w:t xml:space="preserve"> </w:t>
      </w:r>
      <w:r w:rsidRPr="00830950">
        <w:rPr>
          <w:rFonts w:ascii="Bookman Old Style" w:hAnsi="Bookman Old Style"/>
          <w:b/>
          <w:bCs/>
        </w:rPr>
        <w:t>pada</w:t>
      </w:r>
      <w:r w:rsidR="00A954D0">
        <w:rPr>
          <w:rFonts w:ascii="Bookman Old Style" w:hAnsi="Bookman Old Style"/>
        </w:rPr>
        <w:t xml:space="preserve"> </w:t>
      </w:r>
      <w:r w:rsidRPr="00830950">
        <w:rPr>
          <w:rFonts w:ascii="Bookman Old Style" w:hAnsi="Bookman Old Style"/>
        </w:rPr>
        <w:t>ayat</w:t>
      </w:r>
      <w:r w:rsidR="00A954D0">
        <w:rPr>
          <w:rFonts w:ascii="Bookman Old Style" w:hAnsi="Bookman Old Style"/>
        </w:rPr>
        <w:t xml:space="preserve"> </w:t>
      </w:r>
      <w:r w:rsidRPr="00830950">
        <w:rPr>
          <w:rFonts w:ascii="Bookman Old Style" w:hAnsi="Bookman Old Style"/>
        </w:rPr>
        <w:t>(1)</w:t>
      </w:r>
      <w:r w:rsidR="00A954D0">
        <w:rPr>
          <w:rFonts w:ascii="Bookman Old Style" w:hAnsi="Bookman Old Style"/>
        </w:rPr>
        <w:t xml:space="preserve"> </w:t>
      </w:r>
      <w:r w:rsidRPr="00830950">
        <w:rPr>
          <w:rFonts w:ascii="Bookman Old Style" w:hAnsi="Bookman Old Style"/>
        </w:rPr>
        <w:t>huruf</w:t>
      </w:r>
      <w:r w:rsidR="00A954D0">
        <w:rPr>
          <w:rFonts w:ascii="Bookman Old Style" w:hAnsi="Bookman Old Style"/>
        </w:rPr>
        <w:t xml:space="preserve"> </w:t>
      </w:r>
      <w:r w:rsidRPr="00830950">
        <w:rPr>
          <w:rFonts w:ascii="Bookman Old Style" w:hAnsi="Bookman Old Style"/>
        </w:rPr>
        <w:t>c</w:t>
      </w:r>
      <w:r w:rsidR="00A954D0">
        <w:rPr>
          <w:rFonts w:ascii="Bookman Old Style" w:hAnsi="Bookman Old Style"/>
        </w:rPr>
        <w:t xml:space="preserve"> </w:t>
      </w:r>
      <w:r w:rsidRPr="00830950">
        <w:rPr>
          <w:rFonts w:ascii="Bookman Old Style" w:hAnsi="Bookman Old Style"/>
        </w:rPr>
        <w:t>terdiri</w:t>
      </w:r>
      <w:r w:rsidR="00A954D0">
        <w:rPr>
          <w:rFonts w:ascii="Bookman Old Style" w:hAnsi="Bookman Old Style"/>
        </w:rPr>
        <w:t xml:space="preserve"> </w:t>
      </w:r>
      <w:r w:rsidRPr="00830950">
        <w:rPr>
          <w:rFonts w:ascii="Bookman Old Style" w:hAnsi="Bookman Old Style"/>
        </w:rPr>
        <w:t>atas:…</w:t>
      </w:r>
    </w:p>
    <w:p w14:paraId="1EFFE296" w14:textId="7B807C02" w:rsidR="006E2F8F" w:rsidRPr="003255BC" w:rsidRDefault="006E2F8F" w:rsidP="007D4940">
      <w:pPr>
        <w:numPr>
          <w:ilvl w:val="0"/>
          <w:numId w:val="176"/>
        </w:numPr>
        <w:snapToGrid w:val="0"/>
        <w:spacing w:before="60" w:line="276" w:lineRule="auto"/>
        <w:ind w:left="2268" w:hanging="567"/>
        <w:jc w:val="both"/>
        <w:rPr>
          <w:rFonts w:ascii="Bookman Old Style" w:hAnsi="Bookman Old Style" w:cs="Tahoma"/>
          <w:lang w:val="sv-FI"/>
        </w:rPr>
      </w:pPr>
      <w:r w:rsidRPr="003255BC">
        <w:rPr>
          <w:rFonts w:ascii="Bookman Old Style" w:hAnsi="Bookman Old Style" w:cs="Tahoma"/>
          <w:lang w:val="sv-FI"/>
        </w:rPr>
        <w:t>Pasal</w:t>
      </w:r>
      <w:r w:rsidR="00A954D0" w:rsidRPr="003255BC">
        <w:rPr>
          <w:rFonts w:ascii="Bookman Old Style" w:hAnsi="Bookman Old Style" w:cs="Tahoma"/>
          <w:lang w:val="sv-FI"/>
        </w:rPr>
        <w:t xml:space="preserve"> </w:t>
      </w:r>
      <w:r w:rsidRPr="003255BC">
        <w:rPr>
          <w:rFonts w:ascii="Bookman Old Style" w:hAnsi="Bookman Old Style" w:cs="Tahoma"/>
          <w:lang w:val="sv-FI"/>
        </w:rPr>
        <w:t>15</w:t>
      </w:r>
      <w:r w:rsidR="00A954D0" w:rsidRPr="003255BC">
        <w:rPr>
          <w:rFonts w:ascii="Bookman Old Style" w:hAnsi="Bookman Old Style" w:cs="Tahoma"/>
          <w:lang w:val="sv-FI"/>
        </w:rPr>
        <w:t xml:space="preserve"> </w:t>
      </w:r>
      <w:r w:rsidRPr="003255BC">
        <w:rPr>
          <w:rFonts w:ascii="Bookman Old Style" w:hAnsi="Bookman Old Style" w:cs="Tahoma"/>
          <w:lang w:val="sv-FI"/>
        </w:rPr>
        <w:t>ayat</w:t>
      </w:r>
      <w:r w:rsidR="00A954D0" w:rsidRPr="003255BC">
        <w:rPr>
          <w:rFonts w:ascii="Bookman Old Style" w:hAnsi="Bookman Old Style" w:cs="Tahoma"/>
          <w:lang w:val="sv-FI"/>
        </w:rPr>
        <w:t xml:space="preserve"> </w:t>
      </w:r>
      <w:r w:rsidRPr="003255BC">
        <w:rPr>
          <w:rFonts w:ascii="Bookman Old Style" w:hAnsi="Bookman Old Style" w:cs="Tahoma"/>
          <w:lang w:val="sv-FI"/>
        </w:rPr>
        <w:t>(5)</w:t>
      </w:r>
      <w:r w:rsidR="00A954D0" w:rsidRPr="003255BC">
        <w:rPr>
          <w:rFonts w:ascii="Bookman Old Style" w:hAnsi="Bookman Old Style" w:cs="Tahoma"/>
          <w:lang w:val="sv-FI"/>
        </w:rPr>
        <w:t xml:space="preserve"> </w:t>
      </w:r>
      <w:r w:rsidRPr="003255BC">
        <w:rPr>
          <w:rFonts w:ascii="Bookman Old Style" w:hAnsi="Bookman Old Style" w:cs="Tahoma"/>
          <w:lang w:val="sv-FI"/>
        </w:rPr>
        <w:t>agar</w:t>
      </w:r>
      <w:r w:rsidR="00A954D0" w:rsidRPr="003255BC">
        <w:rPr>
          <w:rFonts w:ascii="Bookman Old Style" w:hAnsi="Bookman Old Style" w:cs="Tahoma"/>
          <w:lang w:val="sv-FI"/>
        </w:rPr>
        <w:t xml:space="preserve"> </w:t>
      </w:r>
      <w:r w:rsidRPr="003255BC">
        <w:rPr>
          <w:rFonts w:ascii="Bookman Old Style" w:hAnsi="Bookman Old Style" w:cs="Tahoma"/>
          <w:lang w:val="sv-FI"/>
        </w:rPr>
        <w:t>diperbaiki</w:t>
      </w:r>
      <w:r w:rsidR="00A954D0" w:rsidRPr="003255BC">
        <w:rPr>
          <w:rFonts w:ascii="Bookman Old Style" w:hAnsi="Bookman Old Style" w:cs="Tahoma"/>
          <w:lang w:val="sv-FI"/>
        </w:rPr>
        <w:t xml:space="preserve"> </w:t>
      </w:r>
      <w:r w:rsidRPr="003255BC">
        <w:rPr>
          <w:rFonts w:ascii="Bookman Old Style" w:hAnsi="Bookman Old Style" w:cs="Tahoma"/>
          <w:lang w:val="sv-FI"/>
        </w:rPr>
        <w:t>redaksionalnya</w:t>
      </w:r>
      <w:r w:rsidR="00A954D0" w:rsidRPr="003255BC">
        <w:rPr>
          <w:rFonts w:ascii="Bookman Old Style" w:hAnsi="Bookman Old Style" w:cs="Tahoma"/>
          <w:lang w:val="sv-FI"/>
        </w:rPr>
        <w:t xml:space="preserve"> </w:t>
      </w:r>
      <w:r w:rsidRPr="003255BC">
        <w:rPr>
          <w:rFonts w:ascii="Bookman Old Style" w:hAnsi="Bookman Old Style" w:cs="Tahoma"/>
          <w:lang w:val="sv-FI"/>
        </w:rPr>
        <w:t>menjadi:</w:t>
      </w:r>
    </w:p>
    <w:p w14:paraId="59A4475E" w14:textId="049998BA" w:rsidR="006E2F8F" w:rsidRPr="00256727" w:rsidRDefault="006E2F8F" w:rsidP="007D4940">
      <w:pPr>
        <w:snapToGrid w:val="0"/>
        <w:spacing w:before="60" w:line="276" w:lineRule="auto"/>
        <w:ind w:left="2268"/>
        <w:jc w:val="both"/>
        <w:rPr>
          <w:rFonts w:ascii="Bookman Old Style" w:hAnsi="Bookman Old Style" w:cs="Tahoma"/>
          <w:lang w:val="sv-FI"/>
        </w:rPr>
      </w:pPr>
      <w:r w:rsidRPr="00256727">
        <w:rPr>
          <w:rFonts w:ascii="Bookman Old Style" w:hAnsi="Bookman Old Style"/>
          <w:lang w:val="sv-FI"/>
        </w:rPr>
        <w:t>Belanja</w:t>
      </w:r>
      <w:r w:rsidR="00A954D0" w:rsidRPr="00256727">
        <w:rPr>
          <w:rFonts w:ascii="Bookman Old Style" w:hAnsi="Bookman Old Style"/>
          <w:lang w:val="sv-FI"/>
        </w:rPr>
        <w:t xml:space="preserve"> </w:t>
      </w:r>
      <w:r w:rsidRPr="00256727">
        <w:rPr>
          <w:rFonts w:ascii="Bookman Old Style" w:hAnsi="Bookman Old Style"/>
          <w:lang w:val="sv-FI"/>
        </w:rPr>
        <w:t>Perjalanan</w:t>
      </w:r>
      <w:r w:rsidR="00A954D0" w:rsidRPr="00256727">
        <w:rPr>
          <w:rFonts w:ascii="Bookman Old Style" w:hAnsi="Bookman Old Style"/>
          <w:lang w:val="sv-FI"/>
        </w:rPr>
        <w:t xml:space="preserve"> </w:t>
      </w:r>
      <w:r w:rsidRPr="00256727">
        <w:rPr>
          <w:rFonts w:ascii="Bookman Old Style" w:hAnsi="Bookman Old Style"/>
          <w:lang w:val="sv-FI"/>
        </w:rPr>
        <w:t>Dinas</w:t>
      </w:r>
      <w:r w:rsidR="00A954D0" w:rsidRPr="00256727">
        <w:rPr>
          <w:rFonts w:ascii="Bookman Old Style" w:hAnsi="Bookman Old Style"/>
          <w:lang w:val="sv-FI"/>
        </w:rPr>
        <w:t xml:space="preserve"> </w:t>
      </w:r>
      <w:r w:rsidRPr="00256727">
        <w:rPr>
          <w:rFonts w:ascii="Bookman Old Style" w:hAnsi="Bookman Old Style"/>
          <w:lang w:val="sv-FI"/>
        </w:rPr>
        <w:t>sebagaimana</w:t>
      </w:r>
      <w:r w:rsidR="00A954D0" w:rsidRPr="00256727">
        <w:rPr>
          <w:rFonts w:ascii="Bookman Old Style" w:hAnsi="Bookman Old Style"/>
          <w:lang w:val="sv-FI"/>
        </w:rPr>
        <w:t xml:space="preserve"> </w:t>
      </w:r>
      <w:r w:rsidRPr="00256727">
        <w:rPr>
          <w:rFonts w:ascii="Bookman Old Style" w:hAnsi="Bookman Old Style"/>
          <w:lang w:val="sv-FI"/>
        </w:rPr>
        <w:t>dimaksud</w:t>
      </w:r>
      <w:r w:rsidR="00A954D0" w:rsidRPr="00256727">
        <w:rPr>
          <w:rFonts w:ascii="Bookman Old Style" w:hAnsi="Bookman Old Style"/>
          <w:lang w:val="sv-FI"/>
        </w:rPr>
        <w:t xml:space="preserve"> </w:t>
      </w:r>
      <w:r w:rsidRPr="00256727">
        <w:rPr>
          <w:rFonts w:ascii="Bookman Old Style" w:hAnsi="Bookman Old Style"/>
          <w:b/>
          <w:bCs/>
          <w:lang w:val="sv-FI"/>
        </w:rPr>
        <w:t>pada</w:t>
      </w:r>
      <w:r w:rsidR="00A954D0" w:rsidRPr="00256727">
        <w:rPr>
          <w:rFonts w:ascii="Bookman Old Style" w:hAnsi="Bookman Old Style"/>
          <w:lang w:val="sv-FI"/>
        </w:rPr>
        <w:t xml:space="preserve"> </w:t>
      </w:r>
      <w:r w:rsidRPr="00256727">
        <w:rPr>
          <w:rFonts w:ascii="Bookman Old Style" w:hAnsi="Bookman Old Style"/>
          <w:lang w:val="sv-FI"/>
        </w:rPr>
        <w:t>ayat</w:t>
      </w:r>
      <w:r w:rsidR="00A954D0" w:rsidRPr="00256727">
        <w:rPr>
          <w:rFonts w:ascii="Bookman Old Style" w:hAnsi="Bookman Old Style"/>
          <w:lang w:val="sv-FI"/>
        </w:rPr>
        <w:t xml:space="preserve"> </w:t>
      </w:r>
      <w:r w:rsidRPr="00256727">
        <w:rPr>
          <w:rFonts w:ascii="Bookman Old Style" w:hAnsi="Bookman Old Style"/>
          <w:lang w:val="sv-FI"/>
        </w:rPr>
        <w:t>(1)</w:t>
      </w:r>
      <w:r w:rsidR="00A954D0" w:rsidRPr="00256727">
        <w:rPr>
          <w:rFonts w:ascii="Bookman Old Style" w:hAnsi="Bookman Old Style"/>
          <w:lang w:val="sv-FI"/>
        </w:rPr>
        <w:t xml:space="preserve"> </w:t>
      </w:r>
      <w:r w:rsidRPr="00256727">
        <w:rPr>
          <w:rFonts w:ascii="Bookman Old Style" w:hAnsi="Bookman Old Style"/>
          <w:lang w:val="sv-FI"/>
        </w:rPr>
        <w:t>huruf</w:t>
      </w:r>
      <w:r w:rsidR="00A954D0" w:rsidRPr="00256727">
        <w:rPr>
          <w:rFonts w:ascii="Bookman Old Style" w:hAnsi="Bookman Old Style"/>
          <w:lang w:val="sv-FI"/>
        </w:rPr>
        <w:t xml:space="preserve"> </w:t>
      </w:r>
      <w:r w:rsidRPr="00256727">
        <w:rPr>
          <w:rFonts w:ascii="Bookman Old Style" w:hAnsi="Bookman Old Style"/>
          <w:lang w:val="sv-FI"/>
        </w:rPr>
        <w:t>d</w:t>
      </w:r>
      <w:r w:rsidR="00A954D0" w:rsidRPr="00256727">
        <w:rPr>
          <w:rFonts w:ascii="Bookman Old Style" w:hAnsi="Bookman Old Style"/>
          <w:lang w:val="sv-FI"/>
        </w:rPr>
        <w:t xml:space="preserve"> </w:t>
      </w:r>
      <w:r w:rsidRPr="00256727">
        <w:rPr>
          <w:rFonts w:ascii="Bookman Old Style" w:hAnsi="Bookman Old Style"/>
          <w:lang w:val="sv-FI"/>
        </w:rPr>
        <w:t>terdiri</w:t>
      </w:r>
      <w:r w:rsidR="00A954D0" w:rsidRPr="00256727">
        <w:rPr>
          <w:rFonts w:ascii="Bookman Old Style" w:hAnsi="Bookman Old Style"/>
          <w:lang w:val="sv-FI"/>
        </w:rPr>
        <w:t xml:space="preserve"> </w:t>
      </w:r>
      <w:r w:rsidRPr="00256727">
        <w:rPr>
          <w:rFonts w:ascii="Bookman Old Style" w:hAnsi="Bookman Old Style"/>
          <w:lang w:val="sv-FI"/>
        </w:rPr>
        <w:t>atas:…</w:t>
      </w:r>
    </w:p>
    <w:p w14:paraId="0E52C7CE" w14:textId="01CD6449" w:rsidR="006E2F8F" w:rsidRPr="00256727" w:rsidRDefault="006E2F8F" w:rsidP="007D4940">
      <w:pPr>
        <w:numPr>
          <w:ilvl w:val="0"/>
          <w:numId w:val="176"/>
        </w:numPr>
        <w:snapToGrid w:val="0"/>
        <w:spacing w:before="60" w:line="276" w:lineRule="auto"/>
        <w:ind w:left="2268" w:hanging="567"/>
        <w:jc w:val="both"/>
        <w:rPr>
          <w:rFonts w:ascii="Bookman Old Style" w:hAnsi="Bookman Old Style" w:cs="Tahoma"/>
          <w:lang w:val="sv-FI"/>
        </w:rPr>
      </w:pPr>
      <w:r w:rsidRPr="00256727">
        <w:rPr>
          <w:rFonts w:ascii="Bookman Old Style" w:hAnsi="Bookman Old Style" w:cs="Tahoma"/>
          <w:lang w:val="sv-FI"/>
        </w:rPr>
        <w:t>Pasal</w:t>
      </w:r>
      <w:r w:rsidR="00A954D0" w:rsidRPr="00256727">
        <w:rPr>
          <w:rFonts w:ascii="Bookman Old Style" w:hAnsi="Bookman Old Style" w:cs="Tahoma"/>
          <w:lang w:val="sv-FI"/>
        </w:rPr>
        <w:t xml:space="preserve"> </w:t>
      </w:r>
      <w:r w:rsidRPr="00256727">
        <w:rPr>
          <w:rFonts w:ascii="Bookman Old Style" w:hAnsi="Bookman Old Style" w:cs="Tahoma"/>
          <w:lang w:val="sv-FI"/>
        </w:rPr>
        <w:t>15</w:t>
      </w:r>
      <w:r w:rsidR="00A954D0" w:rsidRPr="00256727">
        <w:rPr>
          <w:rFonts w:ascii="Bookman Old Style" w:hAnsi="Bookman Old Style" w:cs="Tahoma"/>
          <w:lang w:val="sv-FI"/>
        </w:rPr>
        <w:t xml:space="preserve"> </w:t>
      </w:r>
      <w:r w:rsidRPr="00256727">
        <w:rPr>
          <w:rFonts w:ascii="Bookman Old Style" w:hAnsi="Bookman Old Style" w:cs="Tahoma"/>
          <w:lang w:val="sv-FI"/>
        </w:rPr>
        <w:t>ayat</w:t>
      </w:r>
      <w:r w:rsidR="00A954D0" w:rsidRPr="00256727">
        <w:rPr>
          <w:rFonts w:ascii="Bookman Old Style" w:hAnsi="Bookman Old Style" w:cs="Tahoma"/>
          <w:lang w:val="sv-FI"/>
        </w:rPr>
        <w:t xml:space="preserve"> </w:t>
      </w:r>
      <w:r w:rsidRPr="00256727">
        <w:rPr>
          <w:rFonts w:ascii="Bookman Old Style" w:hAnsi="Bookman Old Style" w:cs="Tahoma"/>
          <w:lang w:val="sv-FI"/>
        </w:rPr>
        <w:t>(6)</w:t>
      </w:r>
      <w:r w:rsidR="00A954D0" w:rsidRPr="00256727">
        <w:rPr>
          <w:rFonts w:ascii="Bookman Old Style" w:hAnsi="Bookman Old Style" w:cs="Tahoma"/>
          <w:lang w:val="sv-FI"/>
        </w:rPr>
        <w:t xml:space="preserve"> </w:t>
      </w:r>
      <w:r w:rsidRPr="00256727">
        <w:rPr>
          <w:rFonts w:ascii="Bookman Old Style" w:hAnsi="Bookman Old Style" w:cs="Tahoma"/>
          <w:lang w:val="sv-FI"/>
        </w:rPr>
        <w:t>agar</w:t>
      </w:r>
      <w:r w:rsidR="00A954D0" w:rsidRPr="00256727">
        <w:rPr>
          <w:rFonts w:ascii="Bookman Old Style" w:hAnsi="Bookman Old Style" w:cs="Tahoma"/>
          <w:lang w:val="sv-FI"/>
        </w:rPr>
        <w:t xml:space="preserve"> </w:t>
      </w:r>
      <w:r w:rsidRPr="00256727">
        <w:rPr>
          <w:rFonts w:ascii="Bookman Old Style" w:hAnsi="Bookman Old Style" w:cs="Tahoma"/>
          <w:lang w:val="sv-FI"/>
        </w:rPr>
        <w:t>diperbaiki</w:t>
      </w:r>
      <w:r w:rsidR="00A954D0" w:rsidRPr="00256727">
        <w:rPr>
          <w:rFonts w:ascii="Bookman Old Style" w:hAnsi="Bookman Old Style" w:cs="Tahoma"/>
          <w:lang w:val="sv-FI"/>
        </w:rPr>
        <w:t xml:space="preserve"> </w:t>
      </w:r>
      <w:r w:rsidRPr="00256727">
        <w:rPr>
          <w:rFonts w:ascii="Bookman Old Style" w:hAnsi="Bookman Old Style" w:cs="Tahoma"/>
          <w:lang w:val="sv-FI"/>
        </w:rPr>
        <w:t>redaksionalnya</w:t>
      </w:r>
      <w:r w:rsidR="00A954D0" w:rsidRPr="00256727">
        <w:rPr>
          <w:rFonts w:ascii="Bookman Old Style" w:hAnsi="Bookman Old Style" w:cs="Tahoma"/>
          <w:lang w:val="sv-FI"/>
        </w:rPr>
        <w:t xml:space="preserve"> </w:t>
      </w:r>
      <w:r w:rsidRPr="00256727">
        <w:rPr>
          <w:rFonts w:ascii="Bookman Old Style" w:hAnsi="Bookman Old Style" w:cs="Tahoma"/>
          <w:lang w:val="sv-FI"/>
        </w:rPr>
        <w:t>menjadi:</w:t>
      </w:r>
    </w:p>
    <w:p w14:paraId="18C7D778" w14:textId="48541A4A" w:rsidR="006E2F8F" w:rsidRDefault="006E2F8F" w:rsidP="007D4940">
      <w:pPr>
        <w:snapToGrid w:val="0"/>
        <w:spacing w:before="60" w:line="276" w:lineRule="auto"/>
        <w:ind w:left="2268"/>
        <w:jc w:val="both"/>
        <w:rPr>
          <w:rFonts w:ascii="Bookman Old Style" w:hAnsi="Bookman Old Style"/>
        </w:rPr>
      </w:pPr>
      <w:r w:rsidRPr="00830950">
        <w:rPr>
          <w:rFonts w:ascii="Bookman Old Style" w:hAnsi="Bookman Old Style"/>
        </w:rPr>
        <w:t>Belanja</w:t>
      </w:r>
      <w:r w:rsidR="00A954D0">
        <w:rPr>
          <w:rFonts w:ascii="Bookman Old Style" w:hAnsi="Bookman Old Style"/>
        </w:rPr>
        <w:t xml:space="preserve"> </w:t>
      </w:r>
      <w:r w:rsidRPr="00830950">
        <w:rPr>
          <w:rFonts w:ascii="Bookman Old Style" w:hAnsi="Bookman Old Style"/>
        </w:rPr>
        <w:t>Uang</w:t>
      </w:r>
      <w:r w:rsidR="00A954D0">
        <w:rPr>
          <w:rFonts w:ascii="Bookman Old Style" w:hAnsi="Bookman Old Style"/>
        </w:rPr>
        <w:t xml:space="preserve"> </w:t>
      </w:r>
      <w:r w:rsidRPr="00830950">
        <w:rPr>
          <w:rFonts w:ascii="Bookman Old Style" w:hAnsi="Bookman Old Style"/>
        </w:rPr>
        <w:t>dan/atau</w:t>
      </w:r>
      <w:r w:rsidR="00A954D0">
        <w:rPr>
          <w:rFonts w:ascii="Bookman Old Style" w:hAnsi="Bookman Old Style"/>
        </w:rPr>
        <w:t xml:space="preserve"> </w:t>
      </w:r>
      <w:r w:rsidRPr="00830950">
        <w:rPr>
          <w:rFonts w:ascii="Bookman Old Style" w:hAnsi="Bookman Old Style"/>
        </w:rPr>
        <w:t>Jasa</w:t>
      </w:r>
      <w:r w:rsidR="00A954D0">
        <w:rPr>
          <w:rFonts w:ascii="Bookman Old Style" w:hAnsi="Bookman Old Style"/>
        </w:rPr>
        <w:t xml:space="preserve"> </w:t>
      </w:r>
      <w:r w:rsidRPr="00830950">
        <w:rPr>
          <w:rFonts w:ascii="Bookman Old Style" w:hAnsi="Bookman Old Style"/>
        </w:rPr>
        <w:t>untuk</w:t>
      </w:r>
      <w:r w:rsidR="00A954D0">
        <w:rPr>
          <w:rFonts w:ascii="Bookman Old Style" w:hAnsi="Bookman Old Style"/>
        </w:rPr>
        <w:t xml:space="preserve"> </w:t>
      </w:r>
      <w:r w:rsidRPr="00830950">
        <w:rPr>
          <w:rFonts w:ascii="Bookman Old Style" w:hAnsi="Bookman Old Style"/>
        </w:rPr>
        <w:t>Diberikan</w:t>
      </w:r>
      <w:r w:rsidR="00A954D0">
        <w:rPr>
          <w:rFonts w:ascii="Bookman Old Style" w:hAnsi="Bookman Old Style"/>
        </w:rPr>
        <w:t xml:space="preserve"> </w:t>
      </w:r>
      <w:r w:rsidRPr="00830950">
        <w:rPr>
          <w:rFonts w:ascii="Bookman Old Style" w:hAnsi="Bookman Old Style"/>
        </w:rPr>
        <w:t>kepada</w:t>
      </w:r>
      <w:r w:rsidR="00A954D0">
        <w:rPr>
          <w:rFonts w:ascii="Bookman Old Style" w:hAnsi="Bookman Old Style"/>
        </w:rPr>
        <w:t xml:space="preserve"> </w:t>
      </w:r>
      <w:r w:rsidRPr="00830950">
        <w:rPr>
          <w:rFonts w:ascii="Bookman Old Style" w:hAnsi="Bookman Old Style"/>
        </w:rPr>
        <w:t>Pihak</w:t>
      </w:r>
      <w:r w:rsidR="00A954D0">
        <w:rPr>
          <w:rFonts w:ascii="Bookman Old Style" w:hAnsi="Bookman Old Style"/>
        </w:rPr>
        <w:t xml:space="preserve"> </w:t>
      </w:r>
      <w:r w:rsidRPr="00830950">
        <w:rPr>
          <w:rFonts w:ascii="Bookman Old Style" w:hAnsi="Bookman Old Style"/>
        </w:rPr>
        <w:t>Ketiga/Pihak</w:t>
      </w:r>
      <w:r w:rsidR="00A954D0">
        <w:rPr>
          <w:rFonts w:ascii="Bookman Old Style" w:hAnsi="Bookman Old Style"/>
        </w:rPr>
        <w:t xml:space="preserve"> </w:t>
      </w:r>
      <w:r w:rsidRPr="00830950">
        <w:rPr>
          <w:rFonts w:ascii="Bookman Old Style" w:hAnsi="Bookman Old Style"/>
        </w:rPr>
        <w:t>Lain/Masyarakat</w:t>
      </w:r>
      <w:r w:rsidR="00A954D0">
        <w:rPr>
          <w:rFonts w:ascii="Bookman Old Style" w:hAnsi="Bookman Old Style"/>
        </w:rPr>
        <w:t xml:space="preserve"> </w:t>
      </w:r>
      <w:r w:rsidRPr="00830950">
        <w:rPr>
          <w:rFonts w:ascii="Bookman Old Style" w:hAnsi="Bookman Old Style"/>
        </w:rPr>
        <w:t>sebagaimana</w:t>
      </w:r>
      <w:r w:rsidR="00A954D0">
        <w:rPr>
          <w:rFonts w:ascii="Bookman Old Style" w:hAnsi="Bookman Old Style"/>
        </w:rPr>
        <w:t xml:space="preserve"> </w:t>
      </w:r>
      <w:r w:rsidRPr="00830950">
        <w:rPr>
          <w:rFonts w:ascii="Bookman Old Style" w:hAnsi="Bookman Old Style"/>
        </w:rPr>
        <w:t>dimaksud</w:t>
      </w:r>
      <w:r w:rsidR="00A954D0">
        <w:rPr>
          <w:rFonts w:ascii="Bookman Old Style" w:hAnsi="Bookman Old Style"/>
        </w:rPr>
        <w:t xml:space="preserve"> </w:t>
      </w:r>
      <w:r w:rsidRPr="00830950">
        <w:rPr>
          <w:rFonts w:ascii="Bookman Old Style" w:hAnsi="Bookman Old Style"/>
          <w:b/>
          <w:bCs/>
        </w:rPr>
        <w:t>pada</w:t>
      </w:r>
      <w:r w:rsidR="00A954D0">
        <w:rPr>
          <w:rFonts w:ascii="Bookman Old Style" w:hAnsi="Bookman Old Style"/>
        </w:rPr>
        <w:t xml:space="preserve"> </w:t>
      </w:r>
      <w:r w:rsidRPr="00830950">
        <w:rPr>
          <w:rFonts w:ascii="Bookman Old Style" w:hAnsi="Bookman Old Style"/>
        </w:rPr>
        <w:t>ayat</w:t>
      </w:r>
      <w:r w:rsidR="00A954D0">
        <w:rPr>
          <w:rFonts w:ascii="Bookman Old Style" w:hAnsi="Bookman Old Style"/>
        </w:rPr>
        <w:t xml:space="preserve"> </w:t>
      </w:r>
      <w:r w:rsidRPr="00830950">
        <w:rPr>
          <w:rFonts w:ascii="Bookman Old Style" w:hAnsi="Bookman Old Style"/>
        </w:rPr>
        <w:t>(1)</w:t>
      </w:r>
      <w:r w:rsidR="00A954D0">
        <w:rPr>
          <w:rFonts w:ascii="Bookman Old Style" w:hAnsi="Bookman Old Style"/>
        </w:rPr>
        <w:t xml:space="preserve"> </w:t>
      </w:r>
      <w:r w:rsidRPr="00830950">
        <w:rPr>
          <w:rFonts w:ascii="Bookman Old Style" w:hAnsi="Bookman Old Style"/>
        </w:rPr>
        <w:t>huruf</w:t>
      </w:r>
      <w:r w:rsidR="00A954D0">
        <w:rPr>
          <w:rFonts w:ascii="Bookman Old Style" w:hAnsi="Bookman Old Style"/>
        </w:rPr>
        <w:t xml:space="preserve"> </w:t>
      </w:r>
      <w:r w:rsidRPr="00830950">
        <w:rPr>
          <w:rFonts w:ascii="Bookman Old Style" w:hAnsi="Bookman Old Style"/>
        </w:rPr>
        <w:t>e</w:t>
      </w:r>
      <w:r w:rsidR="00A954D0">
        <w:rPr>
          <w:rFonts w:ascii="Bookman Old Style" w:hAnsi="Bookman Old Style"/>
        </w:rPr>
        <w:t xml:space="preserve"> </w:t>
      </w:r>
      <w:r w:rsidRPr="00830950">
        <w:rPr>
          <w:rFonts w:ascii="Bookman Old Style" w:hAnsi="Bookman Old Style"/>
        </w:rPr>
        <w:t>terdiri</w:t>
      </w:r>
      <w:r w:rsidR="00A954D0">
        <w:rPr>
          <w:rFonts w:ascii="Bookman Old Style" w:hAnsi="Bookman Old Style"/>
        </w:rPr>
        <w:t xml:space="preserve"> </w:t>
      </w:r>
      <w:r w:rsidRPr="00830950">
        <w:rPr>
          <w:rFonts w:ascii="Bookman Old Style" w:hAnsi="Bookman Old Style"/>
        </w:rPr>
        <w:t>atas:</w:t>
      </w:r>
      <w:r>
        <w:rPr>
          <w:rFonts w:ascii="Bookman Old Style" w:hAnsi="Bookman Old Style"/>
        </w:rPr>
        <w:t>…</w:t>
      </w:r>
    </w:p>
    <w:p w14:paraId="45A1E1D2" w14:textId="6F3FD259" w:rsidR="006E2F8F" w:rsidRPr="003255BC" w:rsidRDefault="006E2F8F" w:rsidP="007D4940">
      <w:pPr>
        <w:numPr>
          <w:ilvl w:val="0"/>
          <w:numId w:val="176"/>
        </w:numPr>
        <w:snapToGrid w:val="0"/>
        <w:spacing w:before="60" w:line="276" w:lineRule="auto"/>
        <w:ind w:left="2268" w:hanging="567"/>
        <w:jc w:val="both"/>
        <w:rPr>
          <w:rFonts w:ascii="Bookman Old Style" w:hAnsi="Bookman Old Style" w:cs="Tahoma"/>
          <w:lang w:val="sv-FI"/>
        </w:rPr>
      </w:pPr>
      <w:r w:rsidRPr="003255BC">
        <w:rPr>
          <w:rFonts w:ascii="Bookman Old Style" w:hAnsi="Bookman Old Style" w:cs="Tahoma"/>
          <w:lang w:val="sv-FI"/>
        </w:rPr>
        <w:t>Pasal</w:t>
      </w:r>
      <w:r w:rsidR="00A954D0" w:rsidRPr="003255BC">
        <w:rPr>
          <w:rFonts w:ascii="Bookman Old Style" w:hAnsi="Bookman Old Style" w:cs="Tahoma"/>
          <w:lang w:val="sv-FI"/>
        </w:rPr>
        <w:t xml:space="preserve"> </w:t>
      </w:r>
      <w:r w:rsidRPr="003255BC">
        <w:rPr>
          <w:rFonts w:ascii="Bookman Old Style" w:hAnsi="Bookman Old Style" w:cs="Tahoma"/>
          <w:lang w:val="sv-FI"/>
        </w:rPr>
        <w:t>17</w:t>
      </w:r>
      <w:r w:rsidR="00A954D0" w:rsidRPr="003255BC">
        <w:rPr>
          <w:rFonts w:ascii="Bookman Old Style" w:hAnsi="Bookman Old Style" w:cs="Tahoma"/>
          <w:lang w:val="sv-FI"/>
        </w:rPr>
        <w:t xml:space="preserve"> </w:t>
      </w:r>
      <w:r w:rsidRPr="003255BC">
        <w:rPr>
          <w:rFonts w:ascii="Bookman Old Style" w:hAnsi="Bookman Old Style" w:cs="Tahoma"/>
          <w:lang w:val="sv-FI"/>
        </w:rPr>
        <w:t>ayat</w:t>
      </w:r>
      <w:r w:rsidR="00A954D0" w:rsidRPr="003255BC">
        <w:rPr>
          <w:rFonts w:ascii="Bookman Old Style" w:hAnsi="Bookman Old Style" w:cs="Tahoma"/>
          <w:lang w:val="sv-FI"/>
        </w:rPr>
        <w:t xml:space="preserve"> </w:t>
      </w:r>
      <w:r w:rsidRPr="003255BC">
        <w:rPr>
          <w:rFonts w:ascii="Bookman Old Style" w:hAnsi="Bookman Old Style" w:cs="Tahoma"/>
          <w:lang w:val="sv-FI"/>
        </w:rPr>
        <w:t>(2)</w:t>
      </w:r>
      <w:r w:rsidR="00A954D0" w:rsidRPr="003255BC">
        <w:rPr>
          <w:rFonts w:ascii="Bookman Old Style" w:hAnsi="Bookman Old Style" w:cs="Tahoma"/>
          <w:lang w:val="sv-FI"/>
        </w:rPr>
        <w:t xml:space="preserve"> </w:t>
      </w:r>
      <w:r w:rsidRPr="003255BC">
        <w:rPr>
          <w:rFonts w:ascii="Bookman Old Style" w:hAnsi="Bookman Old Style" w:cs="Tahoma"/>
          <w:lang w:val="sv-FI"/>
        </w:rPr>
        <w:t>agar</w:t>
      </w:r>
      <w:r w:rsidR="00A954D0" w:rsidRPr="003255BC">
        <w:rPr>
          <w:rFonts w:ascii="Bookman Old Style" w:hAnsi="Bookman Old Style" w:cs="Tahoma"/>
          <w:lang w:val="sv-FI"/>
        </w:rPr>
        <w:t xml:space="preserve"> </w:t>
      </w:r>
      <w:r w:rsidRPr="003255BC">
        <w:rPr>
          <w:rFonts w:ascii="Bookman Old Style" w:hAnsi="Bookman Old Style" w:cs="Tahoma"/>
          <w:lang w:val="sv-FI"/>
        </w:rPr>
        <w:t>diperbaiki</w:t>
      </w:r>
      <w:r w:rsidR="00A954D0" w:rsidRPr="003255BC">
        <w:rPr>
          <w:rFonts w:ascii="Bookman Old Style" w:hAnsi="Bookman Old Style" w:cs="Tahoma"/>
          <w:lang w:val="sv-FI"/>
        </w:rPr>
        <w:t xml:space="preserve"> </w:t>
      </w:r>
      <w:r w:rsidRPr="003255BC">
        <w:rPr>
          <w:rFonts w:ascii="Bookman Old Style" w:hAnsi="Bookman Old Style" w:cs="Tahoma"/>
          <w:lang w:val="sv-FI"/>
        </w:rPr>
        <w:t>redaksionalnya</w:t>
      </w:r>
      <w:r w:rsidR="00A954D0" w:rsidRPr="003255BC">
        <w:rPr>
          <w:rFonts w:ascii="Bookman Old Style" w:hAnsi="Bookman Old Style" w:cs="Tahoma"/>
          <w:lang w:val="sv-FI"/>
        </w:rPr>
        <w:t xml:space="preserve"> </w:t>
      </w:r>
      <w:r w:rsidRPr="003255BC">
        <w:rPr>
          <w:rFonts w:ascii="Bookman Old Style" w:hAnsi="Bookman Old Style" w:cs="Tahoma"/>
          <w:lang w:val="sv-FI"/>
        </w:rPr>
        <w:t>menjadi:</w:t>
      </w:r>
    </w:p>
    <w:p w14:paraId="6E611D36" w14:textId="14CDF7C0" w:rsidR="006E2F8F" w:rsidRDefault="006E2F8F" w:rsidP="007D4940">
      <w:pPr>
        <w:snapToGrid w:val="0"/>
        <w:spacing w:before="60" w:line="276" w:lineRule="auto"/>
        <w:ind w:left="2268"/>
        <w:jc w:val="both"/>
        <w:rPr>
          <w:rFonts w:ascii="Bookman Old Style" w:hAnsi="Bookman Old Style"/>
        </w:rPr>
      </w:pPr>
      <w:r w:rsidRPr="003E1DDA">
        <w:rPr>
          <w:rFonts w:ascii="Bookman Old Style" w:hAnsi="Bookman Old Style"/>
        </w:rPr>
        <w:t>Belanja</w:t>
      </w:r>
      <w:r w:rsidR="00A954D0">
        <w:rPr>
          <w:rFonts w:ascii="Bookman Old Style" w:hAnsi="Bookman Old Style"/>
        </w:rPr>
        <w:t xml:space="preserve"> </w:t>
      </w:r>
      <w:r w:rsidRPr="003E1DDA">
        <w:rPr>
          <w:rFonts w:ascii="Bookman Old Style" w:hAnsi="Bookman Old Style"/>
        </w:rPr>
        <w:t>Hibah</w:t>
      </w:r>
      <w:r w:rsidR="00A954D0">
        <w:rPr>
          <w:rFonts w:ascii="Bookman Old Style" w:hAnsi="Bookman Old Style"/>
        </w:rPr>
        <w:t xml:space="preserve"> </w:t>
      </w:r>
      <w:r w:rsidRPr="003E1DDA">
        <w:rPr>
          <w:rFonts w:ascii="Bookman Old Style" w:hAnsi="Bookman Old Style"/>
        </w:rPr>
        <w:t>kepada</w:t>
      </w:r>
      <w:r w:rsidR="00A954D0">
        <w:rPr>
          <w:rFonts w:ascii="Bookman Old Style" w:hAnsi="Bookman Old Style"/>
        </w:rPr>
        <w:t xml:space="preserve"> </w:t>
      </w:r>
      <w:r w:rsidRPr="003E1DDA">
        <w:rPr>
          <w:rFonts w:ascii="Bookman Old Style" w:hAnsi="Bookman Old Style"/>
        </w:rPr>
        <w:t>Badan,</w:t>
      </w:r>
      <w:r w:rsidR="00A954D0">
        <w:rPr>
          <w:rFonts w:ascii="Bookman Old Style" w:hAnsi="Bookman Old Style"/>
        </w:rPr>
        <w:t xml:space="preserve"> </w:t>
      </w:r>
      <w:r w:rsidRPr="003E1DDA">
        <w:rPr>
          <w:rFonts w:ascii="Bookman Old Style" w:hAnsi="Bookman Old Style"/>
        </w:rPr>
        <w:t>Lembaga,</w:t>
      </w:r>
      <w:r w:rsidR="00A954D0">
        <w:rPr>
          <w:rFonts w:ascii="Bookman Old Style" w:hAnsi="Bookman Old Style"/>
        </w:rPr>
        <w:t xml:space="preserve"> </w:t>
      </w:r>
      <w:r w:rsidRPr="003E1DDA">
        <w:rPr>
          <w:rFonts w:ascii="Bookman Old Style" w:hAnsi="Bookman Old Style"/>
        </w:rPr>
        <w:t>Organisasi</w:t>
      </w:r>
      <w:r w:rsidR="00A954D0">
        <w:rPr>
          <w:rFonts w:ascii="Bookman Old Style" w:hAnsi="Bookman Old Style"/>
        </w:rPr>
        <w:t xml:space="preserve"> </w:t>
      </w:r>
      <w:r w:rsidRPr="003E1DDA">
        <w:rPr>
          <w:rFonts w:ascii="Bookman Old Style" w:hAnsi="Bookman Old Style"/>
        </w:rPr>
        <w:t>Kemasyarakatan</w:t>
      </w:r>
      <w:r w:rsidR="00A954D0">
        <w:rPr>
          <w:rFonts w:ascii="Bookman Old Style" w:hAnsi="Bookman Old Style"/>
        </w:rPr>
        <w:t xml:space="preserve"> </w:t>
      </w:r>
      <w:r w:rsidRPr="003E1DDA">
        <w:rPr>
          <w:rFonts w:ascii="Bookman Old Style" w:hAnsi="Bookman Old Style"/>
        </w:rPr>
        <w:t>yang</w:t>
      </w:r>
      <w:r w:rsidR="00A954D0">
        <w:rPr>
          <w:rFonts w:ascii="Bookman Old Style" w:hAnsi="Bookman Old Style"/>
        </w:rPr>
        <w:t xml:space="preserve"> </w:t>
      </w:r>
      <w:r w:rsidRPr="003E1DDA">
        <w:rPr>
          <w:rFonts w:ascii="Bookman Old Style" w:hAnsi="Bookman Old Style"/>
        </w:rPr>
        <w:t>Berbadan</w:t>
      </w:r>
      <w:r w:rsidR="00A954D0">
        <w:rPr>
          <w:rFonts w:ascii="Bookman Old Style" w:hAnsi="Bookman Old Style"/>
        </w:rPr>
        <w:t xml:space="preserve"> </w:t>
      </w:r>
      <w:r w:rsidRPr="003E1DDA">
        <w:rPr>
          <w:rFonts w:ascii="Bookman Old Style" w:hAnsi="Bookman Old Style"/>
        </w:rPr>
        <w:t>Hukum</w:t>
      </w:r>
      <w:r w:rsidR="00A954D0">
        <w:rPr>
          <w:rFonts w:ascii="Bookman Old Style" w:hAnsi="Bookman Old Style"/>
        </w:rPr>
        <w:t xml:space="preserve"> </w:t>
      </w:r>
      <w:r w:rsidRPr="003E1DDA">
        <w:rPr>
          <w:rFonts w:ascii="Bookman Old Style" w:hAnsi="Bookman Old Style"/>
        </w:rPr>
        <w:t>Indonesia</w:t>
      </w:r>
      <w:r w:rsidR="00A954D0">
        <w:rPr>
          <w:rFonts w:ascii="Bookman Old Style" w:hAnsi="Bookman Old Style"/>
        </w:rPr>
        <w:t xml:space="preserve"> </w:t>
      </w:r>
      <w:r w:rsidRPr="003E1DDA">
        <w:rPr>
          <w:rFonts w:ascii="Bookman Old Style" w:hAnsi="Bookman Old Style"/>
        </w:rPr>
        <w:t>sebagaimana</w:t>
      </w:r>
      <w:r w:rsidR="00A954D0">
        <w:rPr>
          <w:rFonts w:ascii="Bookman Old Style" w:hAnsi="Bookman Old Style"/>
        </w:rPr>
        <w:t xml:space="preserve"> </w:t>
      </w:r>
      <w:r w:rsidRPr="003E1DDA">
        <w:rPr>
          <w:rFonts w:ascii="Bookman Old Style" w:hAnsi="Bookman Old Style"/>
        </w:rPr>
        <w:t>dimaksud</w:t>
      </w:r>
      <w:r w:rsidR="00A954D0">
        <w:rPr>
          <w:rFonts w:ascii="Bookman Old Style" w:hAnsi="Bookman Old Style"/>
        </w:rPr>
        <w:t xml:space="preserve"> </w:t>
      </w:r>
      <w:r w:rsidRPr="003E1DDA">
        <w:rPr>
          <w:rFonts w:ascii="Bookman Old Style" w:hAnsi="Bookman Old Style"/>
          <w:b/>
          <w:bCs/>
        </w:rPr>
        <w:t>pada</w:t>
      </w:r>
      <w:r w:rsidR="00A954D0">
        <w:rPr>
          <w:rFonts w:ascii="Bookman Old Style" w:hAnsi="Bookman Old Style"/>
        </w:rPr>
        <w:t xml:space="preserve"> </w:t>
      </w:r>
      <w:r w:rsidRPr="003E1DDA">
        <w:rPr>
          <w:rFonts w:ascii="Bookman Old Style" w:hAnsi="Bookman Old Style"/>
        </w:rPr>
        <w:t>ayat</w:t>
      </w:r>
      <w:r w:rsidR="00A954D0">
        <w:rPr>
          <w:rFonts w:ascii="Bookman Old Style" w:hAnsi="Bookman Old Style"/>
        </w:rPr>
        <w:t xml:space="preserve"> </w:t>
      </w:r>
      <w:r w:rsidRPr="003E1DDA">
        <w:rPr>
          <w:rFonts w:ascii="Bookman Old Style" w:hAnsi="Bookman Old Style"/>
        </w:rPr>
        <w:t>(1)</w:t>
      </w:r>
      <w:r w:rsidR="00A954D0">
        <w:rPr>
          <w:rFonts w:ascii="Bookman Old Style" w:hAnsi="Bookman Old Style"/>
        </w:rPr>
        <w:t xml:space="preserve"> </w:t>
      </w:r>
      <w:r w:rsidRPr="003E1DDA">
        <w:rPr>
          <w:rFonts w:ascii="Bookman Old Style" w:hAnsi="Bookman Old Style"/>
        </w:rPr>
        <w:t>huruf</w:t>
      </w:r>
      <w:r w:rsidR="00A954D0">
        <w:rPr>
          <w:rFonts w:ascii="Bookman Old Style" w:hAnsi="Bookman Old Style"/>
        </w:rPr>
        <w:t xml:space="preserve"> </w:t>
      </w:r>
      <w:r w:rsidRPr="003E1DDA">
        <w:rPr>
          <w:rFonts w:ascii="Bookman Old Style" w:hAnsi="Bookman Old Style"/>
        </w:rPr>
        <w:t>b</w:t>
      </w:r>
      <w:r w:rsidR="00A954D0">
        <w:rPr>
          <w:rFonts w:ascii="Bookman Old Style" w:hAnsi="Bookman Old Style"/>
        </w:rPr>
        <w:t xml:space="preserve"> </w:t>
      </w:r>
      <w:r w:rsidRPr="003E1DDA">
        <w:rPr>
          <w:rFonts w:ascii="Bookman Old Style" w:hAnsi="Bookman Old Style"/>
        </w:rPr>
        <w:t>terdiri</w:t>
      </w:r>
      <w:r w:rsidR="00A954D0">
        <w:rPr>
          <w:rFonts w:ascii="Bookman Old Style" w:hAnsi="Bookman Old Style"/>
        </w:rPr>
        <w:t xml:space="preserve"> </w:t>
      </w:r>
      <w:r w:rsidRPr="003E1DDA">
        <w:rPr>
          <w:rFonts w:ascii="Bookman Old Style" w:hAnsi="Bookman Old Style"/>
        </w:rPr>
        <w:t>atas:…</w:t>
      </w:r>
    </w:p>
    <w:p w14:paraId="1EAA9E59" w14:textId="48F9D8E4" w:rsidR="006E2F8F" w:rsidRPr="003255BC" w:rsidRDefault="006E2F8F" w:rsidP="007D4940">
      <w:pPr>
        <w:numPr>
          <w:ilvl w:val="0"/>
          <w:numId w:val="176"/>
        </w:numPr>
        <w:snapToGrid w:val="0"/>
        <w:spacing w:before="60" w:line="276" w:lineRule="auto"/>
        <w:ind w:left="2268" w:hanging="567"/>
        <w:jc w:val="both"/>
        <w:rPr>
          <w:rFonts w:ascii="Bookman Old Style" w:hAnsi="Bookman Old Style" w:cs="Tahoma"/>
          <w:lang w:val="sv-FI"/>
        </w:rPr>
      </w:pPr>
      <w:r w:rsidRPr="003255BC">
        <w:rPr>
          <w:rFonts w:ascii="Bookman Old Style" w:hAnsi="Bookman Old Style" w:cs="Tahoma"/>
          <w:lang w:val="sv-FI"/>
        </w:rPr>
        <w:t>Pasal</w:t>
      </w:r>
      <w:r w:rsidR="00A954D0" w:rsidRPr="003255BC">
        <w:rPr>
          <w:rFonts w:ascii="Bookman Old Style" w:hAnsi="Bookman Old Style" w:cs="Tahoma"/>
          <w:lang w:val="sv-FI"/>
        </w:rPr>
        <w:t xml:space="preserve"> </w:t>
      </w:r>
      <w:r w:rsidRPr="003255BC">
        <w:rPr>
          <w:rFonts w:ascii="Bookman Old Style" w:hAnsi="Bookman Old Style" w:cs="Tahoma"/>
          <w:lang w:val="sv-FI"/>
        </w:rPr>
        <w:t>19</w:t>
      </w:r>
      <w:r w:rsidR="00A954D0" w:rsidRPr="003255BC">
        <w:rPr>
          <w:rFonts w:ascii="Bookman Old Style" w:hAnsi="Bookman Old Style" w:cs="Tahoma"/>
          <w:lang w:val="sv-FI"/>
        </w:rPr>
        <w:t xml:space="preserve"> </w:t>
      </w:r>
      <w:r w:rsidRPr="003255BC">
        <w:rPr>
          <w:rFonts w:ascii="Bookman Old Style" w:hAnsi="Bookman Old Style" w:cs="Tahoma"/>
          <w:lang w:val="sv-FI"/>
        </w:rPr>
        <w:t>ayat</w:t>
      </w:r>
      <w:r w:rsidR="00A954D0" w:rsidRPr="003255BC">
        <w:rPr>
          <w:rFonts w:ascii="Bookman Old Style" w:hAnsi="Bookman Old Style" w:cs="Tahoma"/>
          <w:lang w:val="sv-FI"/>
        </w:rPr>
        <w:t xml:space="preserve"> </w:t>
      </w:r>
      <w:r w:rsidRPr="003255BC">
        <w:rPr>
          <w:rFonts w:ascii="Bookman Old Style" w:hAnsi="Bookman Old Style" w:cs="Tahoma"/>
          <w:lang w:val="sv-FI"/>
        </w:rPr>
        <w:t>(1)</w:t>
      </w:r>
      <w:r w:rsidR="00A954D0" w:rsidRPr="003255BC">
        <w:rPr>
          <w:rFonts w:ascii="Bookman Old Style" w:hAnsi="Bookman Old Style" w:cs="Tahoma"/>
          <w:lang w:val="sv-FI"/>
        </w:rPr>
        <w:t xml:space="preserve"> </w:t>
      </w:r>
      <w:r w:rsidRPr="003255BC">
        <w:rPr>
          <w:rFonts w:ascii="Bookman Old Style" w:hAnsi="Bookman Old Style" w:cs="Tahoma"/>
          <w:lang w:val="sv-FI"/>
        </w:rPr>
        <w:t>agar</w:t>
      </w:r>
      <w:r w:rsidR="00A954D0" w:rsidRPr="003255BC">
        <w:rPr>
          <w:rFonts w:ascii="Bookman Old Style" w:hAnsi="Bookman Old Style" w:cs="Tahoma"/>
          <w:lang w:val="sv-FI"/>
        </w:rPr>
        <w:t xml:space="preserve"> </w:t>
      </w:r>
      <w:r w:rsidRPr="003255BC">
        <w:rPr>
          <w:rFonts w:ascii="Bookman Old Style" w:hAnsi="Bookman Old Style" w:cs="Tahoma"/>
          <w:lang w:val="sv-FI"/>
        </w:rPr>
        <w:t>diperbaiki</w:t>
      </w:r>
      <w:r w:rsidR="00A954D0" w:rsidRPr="003255BC">
        <w:rPr>
          <w:rFonts w:ascii="Bookman Old Style" w:hAnsi="Bookman Old Style" w:cs="Tahoma"/>
          <w:lang w:val="sv-FI"/>
        </w:rPr>
        <w:t xml:space="preserve"> </w:t>
      </w:r>
      <w:r w:rsidRPr="003255BC">
        <w:rPr>
          <w:rFonts w:ascii="Bookman Old Style" w:hAnsi="Bookman Old Style" w:cs="Tahoma"/>
          <w:lang w:val="sv-FI"/>
        </w:rPr>
        <w:t>redaksionalnya</w:t>
      </w:r>
      <w:r w:rsidR="00A954D0" w:rsidRPr="003255BC">
        <w:rPr>
          <w:rFonts w:ascii="Bookman Old Style" w:hAnsi="Bookman Old Style" w:cs="Tahoma"/>
          <w:lang w:val="sv-FI"/>
        </w:rPr>
        <w:t xml:space="preserve"> </w:t>
      </w:r>
      <w:r w:rsidRPr="003255BC">
        <w:rPr>
          <w:rFonts w:ascii="Bookman Old Style" w:hAnsi="Bookman Old Style" w:cs="Tahoma"/>
          <w:lang w:val="sv-FI"/>
        </w:rPr>
        <w:t>menjadi:</w:t>
      </w:r>
    </w:p>
    <w:p w14:paraId="12898E62" w14:textId="0FECBBAF" w:rsidR="006E2F8F" w:rsidRPr="008E4F97" w:rsidRDefault="006E2F8F" w:rsidP="007D4940">
      <w:pPr>
        <w:snapToGrid w:val="0"/>
        <w:spacing w:before="60" w:line="276" w:lineRule="auto"/>
        <w:ind w:left="2268"/>
        <w:jc w:val="both"/>
        <w:rPr>
          <w:rFonts w:ascii="Bookman Old Style" w:hAnsi="Bookman Old Style"/>
        </w:rPr>
      </w:pPr>
      <w:r w:rsidRPr="00DE5B4F">
        <w:rPr>
          <w:rFonts w:ascii="Bookman Old Style" w:hAnsi="Bookman Old Style"/>
        </w:rPr>
        <w:t>Anggaran</w:t>
      </w:r>
      <w:r w:rsidR="00A954D0">
        <w:rPr>
          <w:rFonts w:ascii="Bookman Old Style" w:hAnsi="Bookman Old Style"/>
        </w:rPr>
        <w:t xml:space="preserve"> </w:t>
      </w:r>
      <w:r w:rsidRPr="00DE5B4F">
        <w:rPr>
          <w:rFonts w:ascii="Bookman Old Style" w:hAnsi="Bookman Old Style"/>
        </w:rPr>
        <w:t>Belanja</w:t>
      </w:r>
      <w:r w:rsidR="00A954D0">
        <w:rPr>
          <w:rFonts w:ascii="Bookman Old Style" w:hAnsi="Bookman Old Style"/>
        </w:rPr>
        <w:t xml:space="preserve"> </w:t>
      </w:r>
      <w:r w:rsidRPr="00DE5B4F">
        <w:rPr>
          <w:rFonts w:ascii="Bookman Old Style" w:hAnsi="Bookman Old Style"/>
        </w:rPr>
        <w:t>Modal</w:t>
      </w:r>
      <w:r w:rsidR="00A954D0">
        <w:rPr>
          <w:rFonts w:ascii="Bookman Old Style" w:hAnsi="Bookman Old Style"/>
        </w:rPr>
        <w:t xml:space="preserve"> </w:t>
      </w:r>
      <w:r w:rsidRPr="00DE5B4F">
        <w:rPr>
          <w:rFonts w:ascii="Bookman Old Style" w:hAnsi="Bookman Old Style"/>
        </w:rPr>
        <w:t>sebagaimana</w:t>
      </w:r>
      <w:r w:rsidR="00A954D0">
        <w:rPr>
          <w:rFonts w:ascii="Bookman Old Style" w:hAnsi="Bookman Old Style"/>
        </w:rPr>
        <w:t xml:space="preserve"> </w:t>
      </w:r>
      <w:r w:rsidRPr="00DE5B4F">
        <w:rPr>
          <w:rFonts w:ascii="Bookman Old Style" w:hAnsi="Bookman Old Style"/>
        </w:rPr>
        <w:t>dimaksud</w:t>
      </w:r>
      <w:r w:rsidR="00A954D0">
        <w:rPr>
          <w:rFonts w:ascii="Bookman Old Style" w:hAnsi="Bookman Old Style"/>
        </w:rPr>
        <w:t xml:space="preserve"> </w:t>
      </w:r>
      <w:r w:rsidRPr="00DE5B4F">
        <w:rPr>
          <w:rFonts w:ascii="Bookman Old Style" w:hAnsi="Bookman Old Style"/>
        </w:rPr>
        <w:t>dalam</w:t>
      </w:r>
      <w:r w:rsidR="00A954D0">
        <w:rPr>
          <w:rFonts w:ascii="Bookman Old Style" w:hAnsi="Bookman Old Style"/>
        </w:rPr>
        <w:t xml:space="preserve"> </w:t>
      </w:r>
      <w:r w:rsidRPr="00DE5B4F">
        <w:rPr>
          <w:rFonts w:ascii="Bookman Old Style" w:hAnsi="Bookman Old Style"/>
        </w:rPr>
        <w:t>Pasal</w:t>
      </w:r>
      <w:r w:rsidR="00A954D0">
        <w:rPr>
          <w:rFonts w:ascii="Bookman Old Style" w:hAnsi="Bookman Old Style"/>
        </w:rPr>
        <w:t xml:space="preserve"> </w:t>
      </w:r>
      <w:r w:rsidRPr="00DE5B4F">
        <w:rPr>
          <w:rFonts w:ascii="Bookman Old Style" w:hAnsi="Bookman Old Style"/>
        </w:rPr>
        <w:t>12</w:t>
      </w:r>
      <w:r w:rsidR="00A954D0">
        <w:rPr>
          <w:rFonts w:ascii="Bookman Old Style" w:hAnsi="Bookman Old Style"/>
        </w:rPr>
        <w:t xml:space="preserve"> </w:t>
      </w:r>
      <w:r w:rsidRPr="00DE5B4F">
        <w:rPr>
          <w:rFonts w:ascii="Bookman Old Style" w:hAnsi="Bookman Old Style"/>
        </w:rPr>
        <w:t>hur</w:t>
      </w:r>
      <w:r w:rsidRPr="008E4F97">
        <w:rPr>
          <w:rFonts w:ascii="Bookman Old Style" w:hAnsi="Bookman Old Style"/>
        </w:rPr>
        <w:t>uf</w:t>
      </w:r>
      <w:r w:rsidR="00A954D0">
        <w:rPr>
          <w:rFonts w:ascii="Bookman Old Style" w:hAnsi="Bookman Old Style"/>
        </w:rPr>
        <w:t xml:space="preserve"> </w:t>
      </w:r>
      <w:r w:rsidRPr="008E4F97">
        <w:rPr>
          <w:rFonts w:ascii="Bookman Old Style" w:hAnsi="Bookman Old Style"/>
          <w:b/>
          <w:bCs/>
        </w:rPr>
        <w:t>b</w:t>
      </w:r>
      <w:r w:rsidR="00A954D0">
        <w:rPr>
          <w:rFonts w:ascii="Bookman Old Style" w:hAnsi="Bookman Old Style"/>
        </w:rPr>
        <w:t xml:space="preserve"> </w:t>
      </w:r>
      <w:r w:rsidRPr="008E4F97">
        <w:rPr>
          <w:rFonts w:ascii="Bookman Old Style" w:hAnsi="Bookman Old Style"/>
        </w:rPr>
        <w:t>direncanakan</w:t>
      </w:r>
      <w:r w:rsidR="00A954D0">
        <w:rPr>
          <w:rFonts w:ascii="Bookman Old Style" w:hAnsi="Bookman Old Style"/>
        </w:rPr>
        <w:t xml:space="preserve"> </w:t>
      </w:r>
      <w:r w:rsidRPr="008E4F97">
        <w:rPr>
          <w:rFonts w:ascii="Bookman Old Style" w:hAnsi="Bookman Old Style"/>
        </w:rPr>
        <w:t>sebesar</w:t>
      </w:r>
      <w:r w:rsidR="00A954D0">
        <w:rPr>
          <w:rFonts w:ascii="Bookman Old Style" w:hAnsi="Bookman Old Style"/>
        </w:rPr>
        <w:t xml:space="preserve"> </w:t>
      </w:r>
      <w:r w:rsidRPr="008E4F97">
        <w:rPr>
          <w:rFonts w:ascii="Bookman Old Style" w:hAnsi="Bookman Old Style"/>
        </w:rPr>
        <w:t>Rp1.037.873.336.541,00</w:t>
      </w:r>
      <w:r w:rsidR="00A954D0">
        <w:rPr>
          <w:rFonts w:ascii="Bookman Old Style" w:hAnsi="Bookman Old Style"/>
        </w:rPr>
        <w:t xml:space="preserve"> </w:t>
      </w:r>
      <w:r w:rsidRPr="008E4F97">
        <w:rPr>
          <w:rFonts w:ascii="Bookman Old Style" w:hAnsi="Bookman Old Style"/>
        </w:rPr>
        <w:t>(Satu</w:t>
      </w:r>
      <w:r w:rsidR="00A954D0">
        <w:rPr>
          <w:rFonts w:ascii="Bookman Old Style" w:hAnsi="Bookman Old Style"/>
        </w:rPr>
        <w:t xml:space="preserve"> </w:t>
      </w:r>
      <w:r w:rsidRPr="008E4F97">
        <w:rPr>
          <w:rFonts w:ascii="Bookman Old Style" w:hAnsi="Bookman Old Style"/>
        </w:rPr>
        <w:t>Triliun</w:t>
      </w:r>
      <w:r w:rsidR="00A954D0">
        <w:rPr>
          <w:rFonts w:ascii="Bookman Old Style" w:hAnsi="Bookman Old Style"/>
        </w:rPr>
        <w:t xml:space="preserve"> </w:t>
      </w:r>
      <w:r w:rsidRPr="008E4F97">
        <w:rPr>
          <w:rFonts w:ascii="Bookman Old Style" w:hAnsi="Bookman Old Style"/>
        </w:rPr>
        <w:t>Tiga</w:t>
      </w:r>
      <w:r w:rsidR="00A954D0">
        <w:rPr>
          <w:rFonts w:ascii="Bookman Old Style" w:hAnsi="Bookman Old Style"/>
        </w:rPr>
        <w:t xml:space="preserve"> </w:t>
      </w:r>
      <w:r w:rsidRPr="008E4F97">
        <w:rPr>
          <w:rFonts w:ascii="Bookman Old Style" w:hAnsi="Bookman Old Style"/>
        </w:rPr>
        <w:t>Puluh</w:t>
      </w:r>
      <w:r w:rsidR="00A954D0">
        <w:rPr>
          <w:rFonts w:ascii="Bookman Old Style" w:hAnsi="Bookman Old Style"/>
        </w:rPr>
        <w:t xml:space="preserve"> </w:t>
      </w:r>
      <w:r w:rsidRPr="008E4F97">
        <w:rPr>
          <w:rFonts w:ascii="Bookman Old Style" w:hAnsi="Bookman Old Style"/>
        </w:rPr>
        <w:t>Tujuh</w:t>
      </w:r>
      <w:r w:rsidR="00A954D0">
        <w:rPr>
          <w:rFonts w:ascii="Bookman Old Style" w:hAnsi="Bookman Old Style"/>
        </w:rPr>
        <w:t xml:space="preserve"> </w:t>
      </w:r>
      <w:r w:rsidRPr="008E4F97">
        <w:rPr>
          <w:rFonts w:ascii="Bookman Old Style" w:hAnsi="Bookman Old Style"/>
        </w:rPr>
        <w:t>Miliar</w:t>
      </w:r>
      <w:r w:rsidR="00A954D0">
        <w:rPr>
          <w:rFonts w:ascii="Bookman Old Style" w:hAnsi="Bookman Old Style"/>
        </w:rPr>
        <w:t xml:space="preserve"> </w:t>
      </w:r>
      <w:r w:rsidRPr="008E4F97">
        <w:rPr>
          <w:rFonts w:ascii="Bookman Old Style" w:hAnsi="Bookman Old Style"/>
        </w:rPr>
        <w:t>Delapan</w:t>
      </w:r>
      <w:r w:rsidR="00A954D0">
        <w:rPr>
          <w:rFonts w:ascii="Bookman Old Style" w:hAnsi="Bookman Old Style"/>
        </w:rPr>
        <w:t xml:space="preserve"> </w:t>
      </w:r>
      <w:r w:rsidRPr="008E4F97">
        <w:rPr>
          <w:rFonts w:ascii="Bookman Old Style" w:hAnsi="Bookman Old Style"/>
        </w:rPr>
        <w:t>Ratus</w:t>
      </w:r>
      <w:r w:rsidR="00A954D0">
        <w:rPr>
          <w:rFonts w:ascii="Bookman Old Style" w:hAnsi="Bookman Old Style"/>
        </w:rPr>
        <w:t xml:space="preserve"> </w:t>
      </w:r>
      <w:r w:rsidRPr="008E4F97">
        <w:rPr>
          <w:rFonts w:ascii="Bookman Old Style" w:hAnsi="Bookman Old Style"/>
        </w:rPr>
        <w:t>Tujuh</w:t>
      </w:r>
      <w:r w:rsidR="00A954D0">
        <w:rPr>
          <w:rFonts w:ascii="Bookman Old Style" w:hAnsi="Bookman Old Style"/>
        </w:rPr>
        <w:t xml:space="preserve"> </w:t>
      </w:r>
      <w:r w:rsidRPr="008E4F97">
        <w:rPr>
          <w:rFonts w:ascii="Bookman Old Style" w:hAnsi="Bookman Old Style"/>
        </w:rPr>
        <w:t>Puluh</w:t>
      </w:r>
      <w:r w:rsidR="00A954D0">
        <w:rPr>
          <w:rFonts w:ascii="Bookman Old Style" w:hAnsi="Bookman Old Style"/>
        </w:rPr>
        <w:t xml:space="preserve"> </w:t>
      </w:r>
      <w:r w:rsidRPr="008E4F97">
        <w:rPr>
          <w:rFonts w:ascii="Bookman Old Style" w:hAnsi="Bookman Old Style"/>
        </w:rPr>
        <w:t>Tiga</w:t>
      </w:r>
      <w:r w:rsidR="00A954D0">
        <w:rPr>
          <w:rFonts w:ascii="Bookman Old Style" w:hAnsi="Bookman Old Style"/>
        </w:rPr>
        <w:t xml:space="preserve"> </w:t>
      </w:r>
      <w:r w:rsidRPr="008E4F97">
        <w:rPr>
          <w:rFonts w:ascii="Bookman Old Style" w:hAnsi="Bookman Old Style"/>
        </w:rPr>
        <w:t>Juta</w:t>
      </w:r>
      <w:r w:rsidR="00A954D0">
        <w:rPr>
          <w:rFonts w:ascii="Bookman Old Style" w:hAnsi="Bookman Old Style"/>
        </w:rPr>
        <w:t xml:space="preserve"> </w:t>
      </w:r>
      <w:r w:rsidRPr="008E4F97">
        <w:rPr>
          <w:rFonts w:ascii="Bookman Old Style" w:hAnsi="Bookman Old Style"/>
        </w:rPr>
        <w:t>Tiga</w:t>
      </w:r>
      <w:r w:rsidR="00A954D0">
        <w:rPr>
          <w:rFonts w:ascii="Bookman Old Style" w:hAnsi="Bookman Old Style"/>
        </w:rPr>
        <w:t xml:space="preserve"> </w:t>
      </w:r>
      <w:r w:rsidRPr="008E4F97">
        <w:rPr>
          <w:rFonts w:ascii="Bookman Old Style" w:hAnsi="Bookman Old Style"/>
        </w:rPr>
        <w:t>Ratus</w:t>
      </w:r>
      <w:r w:rsidR="00A954D0">
        <w:rPr>
          <w:rFonts w:ascii="Bookman Old Style" w:hAnsi="Bookman Old Style"/>
        </w:rPr>
        <w:t xml:space="preserve"> </w:t>
      </w:r>
      <w:r w:rsidRPr="008E4F97">
        <w:rPr>
          <w:rFonts w:ascii="Bookman Old Style" w:hAnsi="Bookman Old Style"/>
        </w:rPr>
        <w:t>Tiga</w:t>
      </w:r>
      <w:r w:rsidR="00A954D0">
        <w:rPr>
          <w:rFonts w:ascii="Bookman Old Style" w:hAnsi="Bookman Old Style"/>
        </w:rPr>
        <w:t xml:space="preserve"> </w:t>
      </w:r>
      <w:r w:rsidRPr="008E4F97">
        <w:rPr>
          <w:rFonts w:ascii="Bookman Old Style" w:hAnsi="Bookman Old Style"/>
        </w:rPr>
        <w:t>Puluh</w:t>
      </w:r>
      <w:r w:rsidR="00A954D0">
        <w:rPr>
          <w:rFonts w:ascii="Bookman Old Style" w:hAnsi="Bookman Old Style"/>
        </w:rPr>
        <w:t xml:space="preserve"> </w:t>
      </w:r>
      <w:r w:rsidRPr="008E4F97">
        <w:rPr>
          <w:rFonts w:ascii="Bookman Old Style" w:hAnsi="Bookman Old Style"/>
        </w:rPr>
        <w:t>Enam</w:t>
      </w:r>
      <w:r w:rsidR="00A954D0">
        <w:rPr>
          <w:rFonts w:ascii="Bookman Old Style" w:hAnsi="Bookman Old Style"/>
        </w:rPr>
        <w:t xml:space="preserve"> </w:t>
      </w:r>
      <w:r w:rsidRPr="008E4F97">
        <w:rPr>
          <w:rFonts w:ascii="Bookman Old Style" w:hAnsi="Bookman Old Style"/>
        </w:rPr>
        <w:t>Ribu</w:t>
      </w:r>
      <w:r w:rsidR="00A954D0">
        <w:rPr>
          <w:rFonts w:ascii="Bookman Old Style" w:hAnsi="Bookman Old Style"/>
        </w:rPr>
        <w:t xml:space="preserve"> </w:t>
      </w:r>
      <w:r w:rsidRPr="008E4F97">
        <w:rPr>
          <w:rFonts w:ascii="Bookman Old Style" w:hAnsi="Bookman Old Style"/>
        </w:rPr>
        <w:t>Lima</w:t>
      </w:r>
      <w:r w:rsidR="00A954D0">
        <w:rPr>
          <w:rFonts w:ascii="Bookman Old Style" w:hAnsi="Bookman Old Style"/>
        </w:rPr>
        <w:t xml:space="preserve"> </w:t>
      </w:r>
      <w:r w:rsidRPr="008E4F97">
        <w:rPr>
          <w:rFonts w:ascii="Bookman Old Style" w:hAnsi="Bookman Old Style"/>
        </w:rPr>
        <w:t>Ratus</w:t>
      </w:r>
      <w:r w:rsidR="00A954D0">
        <w:rPr>
          <w:rFonts w:ascii="Bookman Old Style" w:hAnsi="Bookman Old Style"/>
        </w:rPr>
        <w:t xml:space="preserve"> </w:t>
      </w:r>
      <w:r w:rsidRPr="008E4F97">
        <w:rPr>
          <w:rFonts w:ascii="Bookman Old Style" w:hAnsi="Bookman Old Style"/>
        </w:rPr>
        <w:t>Empat</w:t>
      </w:r>
      <w:r w:rsidR="00A954D0">
        <w:rPr>
          <w:rFonts w:ascii="Bookman Old Style" w:hAnsi="Bookman Old Style"/>
        </w:rPr>
        <w:t xml:space="preserve"> </w:t>
      </w:r>
      <w:r w:rsidRPr="008E4F97">
        <w:rPr>
          <w:rFonts w:ascii="Bookman Old Style" w:hAnsi="Bookman Old Style"/>
        </w:rPr>
        <w:t>Puluh</w:t>
      </w:r>
      <w:r w:rsidR="00A954D0">
        <w:rPr>
          <w:rFonts w:ascii="Bookman Old Style" w:hAnsi="Bookman Old Style"/>
        </w:rPr>
        <w:t xml:space="preserve"> </w:t>
      </w:r>
      <w:r w:rsidRPr="008E4F97">
        <w:rPr>
          <w:rFonts w:ascii="Bookman Old Style" w:hAnsi="Bookman Old Style"/>
        </w:rPr>
        <w:t>Satu</w:t>
      </w:r>
      <w:r w:rsidR="00A954D0">
        <w:rPr>
          <w:rFonts w:ascii="Bookman Old Style" w:hAnsi="Bookman Old Style"/>
        </w:rPr>
        <w:t xml:space="preserve"> </w:t>
      </w:r>
      <w:r w:rsidRPr="008E4F97">
        <w:rPr>
          <w:rFonts w:ascii="Bookman Old Style" w:hAnsi="Bookman Old Style"/>
        </w:rPr>
        <w:t>Rupiah),</w:t>
      </w:r>
      <w:r w:rsidR="00A954D0">
        <w:rPr>
          <w:rFonts w:ascii="Bookman Old Style" w:hAnsi="Bookman Old Style"/>
        </w:rPr>
        <w:t xml:space="preserve"> </w:t>
      </w:r>
      <w:r w:rsidRPr="008E4F97">
        <w:rPr>
          <w:rFonts w:ascii="Bookman Old Style" w:hAnsi="Bookman Old Style"/>
        </w:rPr>
        <w:t>yang</w:t>
      </w:r>
      <w:r w:rsidR="00A954D0">
        <w:rPr>
          <w:rFonts w:ascii="Bookman Old Style" w:hAnsi="Bookman Old Style"/>
        </w:rPr>
        <w:t xml:space="preserve"> </w:t>
      </w:r>
      <w:r w:rsidRPr="008E4F97">
        <w:rPr>
          <w:rFonts w:ascii="Bookman Old Style" w:hAnsi="Bookman Old Style"/>
        </w:rPr>
        <w:t>terdiri</w:t>
      </w:r>
      <w:r w:rsidR="00A954D0">
        <w:rPr>
          <w:rFonts w:ascii="Bookman Old Style" w:hAnsi="Bookman Old Style"/>
        </w:rPr>
        <w:t xml:space="preserve"> </w:t>
      </w:r>
      <w:r w:rsidRPr="008E4F97">
        <w:rPr>
          <w:rFonts w:ascii="Bookman Old Style" w:hAnsi="Bookman Old Style"/>
        </w:rPr>
        <w:t>atas:…</w:t>
      </w:r>
    </w:p>
    <w:p w14:paraId="4227F51B" w14:textId="5B7A36D6" w:rsidR="006E2F8F" w:rsidRPr="003255BC" w:rsidRDefault="006E2F8F" w:rsidP="007D4940">
      <w:pPr>
        <w:numPr>
          <w:ilvl w:val="0"/>
          <w:numId w:val="176"/>
        </w:numPr>
        <w:snapToGrid w:val="0"/>
        <w:spacing w:before="60" w:line="276" w:lineRule="auto"/>
        <w:ind w:left="2268" w:hanging="567"/>
        <w:jc w:val="both"/>
        <w:rPr>
          <w:rFonts w:ascii="Bookman Old Style" w:hAnsi="Bookman Old Style" w:cs="Tahoma"/>
          <w:lang w:val="sv-FI"/>
        </w:rPr>
      </w:pPr>
      <w:r w:rsidRPr="003255BC">
        <w:rPr>
          <w:rFonts w:ascii="Bookman Old Style" w:hAnsi="Bookman Old Style" w:cs="Tahoma"/>
          <w:lang w:val="sv-FI"/>
        </w:rPr>
        <w:t>Pasal</w:t>
      </w:r>
      <w:r w:rsidR="00A954D0" w:rsidRPr="003255BC">
        <w:rPr>
          <w:rFonts w:ascii="Bookman Old Style" w:hAnsi="Bookman Old Style" w:cs="Tahoma"/>
          <w:lang w:val="sv-FI"/>
        </w:rPr>
        <w:t xml:space="preserve"> </w:t>
      </w:r>
      <w:r w:rsidRPr="003255BC">
        <w:rPr>
          <w:rFonts w:ascii="Bookman Old Style" w:hAnsi="Bookman Old Style" w:cs="Tahoma"/>
          <w:lang w:val="sv-FI"/>
        </w:rPr>
        <w:t>21</w:t>
      </w:r>
      <w:r w:rsidR="00A954D0" w:rsidRPr="003255BC">
        <w:rPr>
          <w:rFonts w:ascii="Bookman Old Style" w:hAnsi="Bookman Old Style" w:cs="Tahoma"/>
          <w:lang w:val="sv-FI"/>
        </w:rPr>
        <w:t xml:space="preserve"> </w:t>
      </w:r>
      <w:r w:rsidRPr="003255BC">
        <w:rPr>
          <w:rFonts w:ascii="Bookman Old Style" w:hAnsi="Bookman Old Style" w:cs="Tahoma"/>
          <w:lang w:val="sv-FI"/>
        </w:rPr>
        <w:t>ayat</w:t>
      </w:r>
      <w:r w:rsidR="00A954D0" w:rsidRPr="003255BC">
        <w:rPr>
          <w:rFonts w:ascii="Bookman Old Style" w:hAnsi="Bookman Old Style" w:cs="Tahoma"/>
          <w:lang w:val="sv-FI"/>
        </w:rPr>
        <w:t xml:space="preserve"> </w:t>
      </w:r>
      <w:r w:rsidRPr="003255BC">
        <w:rPr>
          <w:rFonts w:ascii="Bookman Old Style" w:hAnsi="Bookman Old Style" w:cs="Tahoma"/>
          <w:lang w:val="sv-FI"/>
        </w:rPr>
        <w:t>(3)</w:t>
      </w:r>
      <w:r w:rsidR="00A954D0" w:rsidRPr="003255BC">
        <w:rPr>
          <w:rFonts w:ascii="Bookman Old Style" w:hAnsi="Bookman Old Style" w:cs="Tahoma"/>
          <w:lang w:val="sv-FI"/>
        </w:rPr>
        <w:t xml:space="preserve"> </w:t>
      </w:r>
      <w:r w:rsidRPr="003255BC">
        <w:rPr>
          <w:rFonts w:ascii="Bookman Old Style" w:hAnsi="Bookman Old Style" w:cs="Tahoma"/>
          <w:lang w:val="sv-FI"/>
        </w:rPr>
        <w:t>agar</w:t>
      </w:r>
      <w:r w:rsidR="00A954D0" w:rsidRPr="003255BC">
        <w:rPr>
          <w:rFonts w:ascii="Bookman Old Style" w:hAnsi="Bookman Old Style" w:cs="Tahoma"/>
          <w:lang w:val="sv-FI"/>
        </w:rPr>
        <w:t xml:space="preserve"> </w:t>
      </w:r>
      <w:r w:rsidRPr="003255BC">
        <w:rPr>
          <w:rFonts w:ascii="Bookman Old Style" w:hAnsi="Bookman Old Style" w:cs="Tahoma"/>
          <w:lang w:val="sv-FI"/>
        </w:rPr>
        <w:t>diperbaiki</w:t>
      </w:r>
      <w:r w:rsidR="00A954D0" w:rsidRPr="003255BC">
        <w:rPr>
          <w:rFonts w:ascii="Bookman Old Style" w:hAnsi="Bookman Old Style" w:cs="Tahoma"/>
          <w:lang w:val="sv-FI"/>
        </w:rPr>
        <w:t xml:space="preserve"> </w:t>
      </w:r>
      <w:r w:rsidRPr="003255BC">
        <w:rPr>
          <w:rFonts w:ascii="Bookman Old Style" w:hAnsi="Bookman Old Style" w:cs="Tahoma"/>
          <w:lang w:val="sv-FI"/>
        </w:rPr>
        <w:t>redaksionalnya</w:t>
      </w:r>
      <w:r w:rsidR="00A954D0" w:rsidRPr="003255BC">
        <w:rPr>
          <w:rFonts w:ascii="Bookman Old Style" w:hAnsi="Bookman Old Style" w:cs="Tahoma"/>
          <w:lang w:val="sv-FI"/>
        </w:rPr>
        <w:t xml:space="preserve"> </w:t>
      </w:r>
      <w:r w:rsidRPr="003255BC">
        <w:rPr>
          <w:rFonts w:ascii="Bookman Old Style" w:hAnsi="Bookman Old Style" w:cs="Tahoma"/>
          <w:lang w:val="sv-FI"/>
        </w:rPr>
        <w:t>menjadi:</w:t>
      </w:r>
    </w:p>
    <w:p w14:paraId="11F2ECCB" w14:textId="4E0CCA5F" w:rsidR="006E2F8F" w:rsidRPr="00256727" w:rsidRDefault="006E2F8F" w:rsidP="007D4940">
      <w:pPr>
        <w:snapToGrid w:val="0"/>
        <w:spacing w:before="60" w:line="276" w:lineRule="auto"/>
        <w:ind w:left="2268"/>
        <w:jc w:val="both"/>
        <w:rPr>
          <w:rFonts w:ascii="Bookman Old Style" w:hAnsi="Bookman Old Style" w:cs="Tahoma"/>
          <w:lang w:val="sv-FI"/>
        </w:rPr>
      </w:pPr>
      <w:r w:rsidRPr="00256727">
        <w:rPr>
          <w:rFonts w:ascii="Bookman Old Style" w:hAnsi="Bookman Old Style"/>
          <w:lang w:val="sv-FI"/>
        </w:rPr>
        <w:t>Anggaran</w:t>
      </w:r>
      <w:r w:rsidR="00A954D0" w:rsidRPr="00256727">
        <w:rPr>
          <w:rFonts w:ascii="Bookman Old Style" w:hAnsi="Bookman Old Style"/>
          <w:lang w:val="sv-FI"/>
        </w:rPr>
        <w:t xml:space="preserve"> </w:t>
      </w:r>
      <w:r w:rsidRPr="00256727">
        <w:rPr>
          <w:rFonts w:ascii="Bookman Old Style" w:hAnsi="Bookman Old Style"/>
          <w:lang w:val="sv-FI"/>
        </w:rPr>
        <w:t>Belanja</w:t>
      </w:r>
      <w:r w:rsidR="00A954D0" w:rsidRPr="00256727">
        <w:rPr>
          <w:rFonts w:ascii="Bookman Old Style" w:hAnsi="Bookman Old Style"/>
          <w:lang w:val="sv-FI"/>
        </w:rPr>
        <w:t xml:space="preserve"> </w:t>
      </w:r>
      <w:r w:rsidRPr="00256727">
        <w:rPr>
          <w:rFonts w:ascii="Bookman Old Style" w:hAnsi="Bookman Old Style"/>
          <w:lang w:val="sv-FI"/>
        </w:rPr>
        <w:t>Modal</w:t>
      </w:r>
      <w:r w:rsidR="00A954D0" w:rsidRPr="00256727">
        <w:rPr>
          <w:rFonts w:ascii="Bookman Old Style" w:hAnsi="Bookman Old Style"/>
          <w:lang w:val="sv-FI"/>
        </w:rPr>
        <w:t xml:space="preserve"> </w:t>
      </w:r>
      <w:r w:rsidRPr="00256727">
        <w:rPr>
          <w:rFonts w:ascii="Bookman Old Style" w:hAnsi="Bookman Old Style"/>
          <w:lang w:val="sv-FI"/>
        </w:rPr>
        <w:t>Alat</w:t>
      </w:r>
      <w:r w:rsidR="00A954D0" w:rsidRPr="00256727">
        <w:rPr>
          <w:rFonts w:ascii="Bookman Old Style" w:hAnsi="Bookman Old Style"/>
          <w:lang w:val="sv-FI"/>
        </w:rPr>
        <w:t xml:space="preserve"> </w:t>
      </w:r>
      <w:r w:rsidRPr="00256727">
        <w:rPr>
          <w:rFonts w:ascii="Bookman Old Style" w:hAnsi="Bookman Old Style"/>
          <w:lang w:val="sv-FI"/>
        </w:rPr>
        <w:t>Angkutan</w:t>
      </w:r>
      <w:r w:rsidR="00A954D0" w:rsidRPr="00256727">
        <w:rPr>
          <w:rFonts w:ascii="Bookman Old Style" w:hAnsi="Bookman Old Style"/>
          <w:lang w:val="sv-FI"/>
        </w:rPr>
        <w:t xml:space="preserve"> </w:t>
      </w:r>
      <w:r w:rsidRPr="00256727">
        <w:rPr>
          <w:rFonts w:ascii="Bookman Old Style" w:hAnsi="Bookman Old Style"/>
          <w:lang w:val="sv-FI"/>
        </w:rPr>
        <w:t>sebagaimana</w:t>
      </w:r>
      <w:r w:rsidR="00A954D0" w:rsidRPr="00256727">
        <w:rPr>
          <w:rFonts w:ascii="Bookman Old Style" w:hAnsi="Bookman Old Style"/>
          <w:lang w:val="sv-FI"/>
        </w:rPr>
        <w:t xml:space="preserve"> </w:t>
      </w:r>
      <w:r w:rsidRPr="00256727">
        <w:rPr>
          <w:rFonts w:ascii="Bookman Old Style" w:hAnsi="Bookman Old Style"/>
          <w:lang w:val="sv-FI"/>
        </w:rPr>
        <w:t>dimaksud</w:t>
      </w:r>
      <w:r w:rsidR="00A954D0" w:rsidRPr="00256727">
        <w:rPr>
          <w:rFonts w:ascii="Bookman Old Style" w:hAnsi="Bookman Old Style"/>
          <w:lang w:val="sv-FI"/>
        </w:rPr>
        <w:t xml:space="preserve"> </w:t>
      </w:r>
      <w:r w:rsidRPr="00256727">
        <w:rPr>
          <w:rFonts w:ascii="Bookman Old Style" w:hAnsi="Bookman Old Style"/>
          <w:b/>
          <w:bCs/>
          <w:lang w:val="sv-FI"/>
        </w:rPr>
        <w:t>pada</w:t>
      </w:r>
      <w:r w:rsidR="00A954D0" w:rsidRPr="00256727">
        <w:rPr>
          <w:rFonts w:ascii="Bookman Old Style" w:hAnsi="Bookman Old Style"/>
          <w:lang w:val="sv-FI"/>
        </w:rPr>
        <w:t xml:space="preserve"> </w:t>
      </w:r>
      <w:r w:rsidRPr="00256727">
        <w:rPr>
          <w:rFonts w:ascii="Bookman Old Style" w:hAnsi="Bookman Old Style"/>
          <w:lang w:val="sv-FI"/>
        </w:rPr>
        <w:t>ayat</w:t>
      </w:r>
      <w:r w:rsidR="00A954D0" w:rsidRPr="00256727">
        <w:rPr>
          <w:rFonts w:ascii="Bookman Old Style" w:hAnsi="Bookman Old Style"/>
          <w:lang w:val="sv-FI"/>
        </w:rPr>
        <w:t xml:space="preserve"> </w:t>
      </w:r>
      <w:r w:rsidRPr="00256727">
        <w:rPr>
          <w:rFonts w:ascii="Bookman Old Style" w:hAnsi="Bookman Old Style"/>
          <w:lang w:val="sv-FI"/>
        </w:rPr>
        <w:t>(1)</w:t>
      </w:r>
      <w:r w:rsidR="00A954D0" w:rsidRPr="00256727">
        <w:rPr>
          <w:rFonts w:ascii="Bookman Old Style" w:hAnsi="Bookman Old Style"/>
          <w:lang w:val="sv-FI"/>
        </w:rPr>
        <w:t xml:space="preserve"> </w:t>
      </w:r>
      <w:r w:rsidRPr="00256727">
        <w:rPr>
          <w:rFonts w:ascii="Bookman Old Style" w:hAnsi="Bookman Old Style"/>
          <w:lang w:val="sv-FI"/>
        </w:rPr>
        <w:t>huruf</w:t>
      </w:r>
      <w:r w:rsidR="00A954D0" w:rsidRPr="00256727">
        <w:rPr>
          <w:rFonts w:ascii="Bookman Old Style" w:hAnsi="Bookman Old Style"/>
          <w:lang w:val="sv-FI"/>
        </w:rPr>
        <w:t xml:space="preserve"> </w:t>
      </w:r>
      <w:r w:rsidRPr="00256727">
        <w:rPr>
          <w:rFonts w:ascii="Bookman Old Style" w:hAnsi="Bookman Old Style"/>
          <w:lang w:val="sv-FI"/>
        </w:rPr>
        <w:t>b</w:t>
      </w:r>
      <w:r w:rsidR="00A954D0" w:rsidRPr="00256727">
        <w:rPr>
          <w:rFonts w:ascii="Bookman Old Style" w:hAnsi="Bookman Old Style"/>
          <w:lang w:val="sv-FI"/>
        </w:rPr>
        <w:t xml:space="preserve"> </w:t>
      </w:r>
      <w:r w:rsidRPr="00256727">
        <w:rPr>
          <w:rFonts w:ascii="Bookman Old Style" w:hAnsi="Bookman Old Style"/>
          <w:lang w:val="sv-FI"/>
        </w:rPr>
        <w:t>terdiri</w:t>
      </w:r>
      <w:r w:rsidR="00A954D0" w:rsidRPr="00256727">
        <w:rPr>
          <w:rFonts w:ascii="Bookman Old Style" w:hAnsi="Bookman Old Style"/>
          <w:lang w:val="sv-FI"/>
        </w:rPr>
        <w:t xml:space="preserve"> </w:t>
      </w:r>
      <w:r w:rsidRPr="00256727">
        <w:rPr>
          <w:rFonts w:ascii="Bookman Old Style" w:hAnsi="Bookman Old Style"/>
          <w:lang w:val="sv-FI"/>
        </w:rPr>
        <w:t>atas:…</w:t>
      </w:r>
    </w:p>
    <w:p w14:paraId="2F72F560" w14:textId="527208CC" w:rsidR="006E2F8F" w:rsidRPr="00256727" w:rsidRDefault="006E2F8F" w:rsidP="007D4940">
      <w:pPr>
        <w:numPr>
          <w:ilvl w:val="0"/>
          <w:numId w:val="176"/>
        </w:numPr>
        <w:snapToGrid w:val="0"/>
        <w:spacing w:before="60" w:line="276" w:lineRule="auto"/>
        <w:ind w:left="2268" w:hanging="567"/>
        <w:jc w:val="both"/>
        <w:rPr>
          <w:rFonts w:ascii="Bookman Old Style" w:hAnsi="Bookman Old Style" w:cs="Tahoma"/>
          <w:lang w:val="sv-FI"/>
        </w:rPr>
      </w:pPr>
      <w:r w:rsidRPr="00256727">
        <w:rPr>
          <w:rFonts w:ascii="Bookman Old Style" w:hAnsi="Bookman Old Style" w:cs="Tahoma"/>
          <w:lang w:val="sv-FI"/>
        </w:rPr>
        <w:t>Pasal</w:t>
      </w:r>
      <w:r w:rsidR="00A954D0" w:rsidRPr="00256727">
        <w:rPr>
          <w:rFonts w:ascii="Bookman Old Style" w:hAnsi="Bookman Old Style" w:cs="Tahoma"/>
          <w:lang w:val="sv-FI"/>
        </w:rPr>
        <w:t xml:space="preserve"> </w:t>
      </w:r>
      <w:r w:rsidRPr="00256727">
        <w:rPr>
          <w:rFonts w:ascii="Bookman Old Style" w:hAnsi="Bookman Old Style" w:cs="Tahoma"/>
          <w:lang w:val="sv-FI"/>
        </w:rPr>
        <w:t>21</w:t>
      </w:r>
      <w:r w:rsidR="00A954D0" w:rsidRPr="00256727">
        <w:rPr>
          <w:rFonts w:ascii="Bookman Old Style" w:hAnsi="Bookman Old Style" w:cs="Tahoma"/>
          <w:lang w:val="sv-FI"/>
        </w:rPr>
        <w:t xml:space="preserve"> </w:t>
      </w:r>
      <w:r w:rsidRPr="00256727">
        <w:rPr>
          <w:rFonts w:ascii="Bookman Old Style" w:hAnsi="Bookman Old Style" w:cs="Tahoma"/>
          <w:lang w:val="sv-FI"/>
        </w:rPr>
        <w:t>ayat</w:t>
      </w:r>
      <w:r w:rsidR="00A954D0" w:rsidRPr="00256727">
        <w:rPr>
          <w:rFonts w:ascii="Bookman Old Style" w:hAnsi="Bookman Old Style" w:cs="Tahoma"/>
          <w:lang w:val="sv-FI"/>
        </w:rPr>
        <w:t xml:space="preserve"> </w:t>
      </w:r>
      <w:r w:rsidRPr="00256727">
        <w:rPr>
          <w:rFonts w:ascii="Bookman Old Style" w:hAnsi="Bookman Old Style" w:cs="Tahoma"/>
          <w:lang w:val="sv-FI"/>
        </w:rPr>
        <w:t>(4)</w:t>
      </w:r>
      <w:r w:rsidR="00A954D0" w:rsidRPr="00256727">
        <w:rPr>
          <w:rFonts w:ascii="Bookman Old Style" w:hAnsi="Bookman Old Style" w:cs="Tahoma"/>
          <w:lang w:val="sv-FI"/>
        </w:rPr>
        <w:t xml:space="preserve"> </w:t>
      </w:r>
      <w:r w:rsidRPr="00256727">
        <w:rPr>
          <w:rFonts w:ascii="Bookman Old Style" w:hAnsi="Bookman Old Style" w:cs="Tahoma"/>
          <w:lang w:val="sv-FI"/>
        </w:rPr>
        <w:t>agar</w:t>
      </w:r>
      <w:r w:rsidR="00A954D0" w:rsidRPr="00256727">
        <w:rPr>
          <w:rFonts w:ascii="Bookman Old Style" w:hAnsi="Bookman Old Style" w:cs="Tahoma"/>
          <w:lang w:val="sv-FI"/>
        </w:rPr>
        <w:t xml:space="preserve"> </w:t>
      </w:r>
      <w:r w:rsidRPr="00256727">
        <w:rPr>
          <w:rFonts w:ascii="Bookman Old Style" w:hAnsi="Bookman Old Style" w:cs="Tahoma"/>
          <w:lang w:val="sv-FI"/>
        </w:rPr>
        <w:t>diperbaiki</w:t>
      </w:r>
      <w:r w:rsidR="00A954D0" w:rsidRPr="00256727">
        <w:rPr>
          <w:rFonts w:ascii="Bookman Old Style" w:hAnsi="Bookman Old Style" w:cs="Tahoma"/>
          <w:lang w:val="sv-FI"/>
        </w:rPr>
        <w:t xml:space="preserve"> </w:t>
      </w:r>
      <w:r w:rsidRPr="00256727">
        <w:rPr>
          <w:rFonts w:ascii="Bookman Old Style" w:hAnsi="Bookman Old Style" w:cs="Tahoma"/>
          <w:lang w:val="sv-FI"/>
        </w:rPr>
        <w:t>redaksionalnya</w:t>
      </w:r>
      <w:r w:rsidR="00A954D0" w:rsidRPr="00256727">
        <w:rPr>
          <w:rFonts w:ascii="Bookman Old Style" w:hAnsi="Bookman Old Style" w:cs="Tahoma"/>
          <w:lang w:val="sv-FI"/>
        </w:rPr>
        <w:t xml:space="preserve"> </w:t>
      </w:r>
      <w:r w:rsidRPr="00256727">
        <w:rPr>
          <w:rFonts w:ascii="Bookman Old Style" w:hAnsi="Bookman Old Style" w:cs="Tahoma"/>
          <w:lang w:val="sv-FI"/>
        </w:rPr>
        <w:t>menjadi:</w:t>
      </w:r>
    </w:p>
    <w:p w14:paraId="683C1E3E" w14:textId="401AF514" w:rsidR="006E2F8F" w:rsidRPr="00256727" w:rsidRDefault="006E2F8F" w:rsidP="007D4940">
      <w:pPr>
        <w:snapToGrid w:val="0"/>
        <w:spacing w:before="60" w:line="276" w:lineRule="auto"/>
        <w:ind w:left="2268"/>
        <w:jc w:val="both"/>
        <w:rPr>
          <w:rFonts w:ascii="Bookman Old Style" w:hAnsi="Bookman Old Style" w:cs="Tahoma"/>
          <w:lang w:val="sv-FI"/>
        </w:rPr>
      </w:pPr>
      <w:r w:rsidRPr="00256727">
        <w:rPr>
          <w:rFonts w:ascii="Bookman Old Style" w:hAnsi="Bookman Old Style"/>
          <w:lang w:val="sv-FI"/>
        </w:rPr>
        <w:t>Anggaran</w:t>
      </w:r>
      <w:r w:rsidR="00A954D0" w:rsidRPr="00256727">
        <w:rPr>
          <w:rFonts w:ascii="Bookman Old Style" w:hAnsi="Bookman Old Style"/>
          <w:lang w:val="sv-FI"/>
        </w:rPr>
        <w:t xml:space="preserve"> </w:t>
      </w:r>
      <w:r w:rsidRPr="00256727">
        <w:rPr>
          <w:rFonts w:ascii="Bookman Old Style" w:hAnsi="Bookman Old Style"/>
          <w:lang w:val="sv-FI"/>
        </w:rPr>
        <w:t>Belanja</w:t>
      </w:r>
      <w:r w:rsidR="00A954D0" w:rsidRPr="00256727">
        <w:rPr>
          <w:rFonts w:ascii="Bookman Old Style" w:hAnsi="Bookman Old Style"/>
          <w:lang w:val="sv-FI"/>
        </w:rPr>
        <w:t xml:space="preserve"> </w:t>
      </w:r>
      <w:r w:rsidRPr="00256727">
        <w:rPr>
          <w:rFonts w:ascii="Bookman Old Style" w:hAnsi="Bookman Old Style"/>
          <w:lang w:val="sv-FI"/>
        </w:rPr>
        <w:t>Modal</w:t>
      </w:r>
      <w:r w:rsidR="00A954D0" w:rsidRPr="00256727">
        <w:rPr>
          <w:rFonts w:ascii="Bookman Old Style" w:hAnsi="Bookman Old Style"/>
          <w:lang w:val="sv-FI"/>
        </w:rPr>
        <w:t xml:space="preserve"> </w:t>
      </w:r>
      <w:r w:rsidRPr="00256727">
        <w:rPr>
          <w:rFonts w:ascii="Bookman Old Style" w:hAnsi="Bookman Old Style"/>
          <w:lang w:val="sv-FI"/>
        </w:rPr>
        <w:t>Alat</w:t>
      </w:r>
      <w:r w:rsidR="00A954D0" w:rsidRPr="00256727">
        <w:rPr>
          <w:rFonts w:ascii="Bookman Old Style" w:hAnsi="Bookman Old Style"/>
          <w:lang w:val="sv-FI"/>
        </w:rPr>
        <w:t xml:space="preserve"> </w:t>
      </w:r>
      <w:r w:rsidRPr="00256727">
        <w:rPr>
          <w:rFonts w:ascii="Bookman Old Style" w:hAnsi="Bookman Old Style"/>
          <w:lang w:val="sv-FI"/>
        </w:rPr>
        <w:t>Bengkel</w:t>
      </w:r>
      <w:r w:rsidR="00A954D0" w:rsidRPr="00256727">
        <w:rPr>
          <w:rFonts w:ascii="Bookman Old Style" w:hAnsi="Bookman Old Style"/>
          <w:lang w:val="sv-FI"/>
        </w:rPr>
        <w:t xml:space="preserve"> </w:t>
      </w:r>
      <w:r w:rsidRPr="00256727">
        <w:rPr>
          <w:rFonts w:ascii="Bookman Old Style" w:hAnsi="Bookman Old Style"/>
          <w:lang w:val="sv-FI"/>
        </w:rPr>
        <w:t>dan</w:t>
      </w:r>
      <w:r w:rsidR="00A954D0" w:rsidRPr="00256727">
        <w:rPr>
          <w:rFonts w:ascii="Bookman Old Style" w:hAnsi="Bookman Old Style"/>
          <w:lang w:val="sv-FI"/>
        </w:rPr>
        <w:t xml:space="preserve"> </w:t>
      </w:r>
      <w:r w:rsidRPr="00256727">
        <w:rPr>
          <w:rFonts w:ascii="Bookman Old Style" w:hAnsi="Bookman Old Style"/>
          <w:lang w:val="sv-FI"/>
        </w:rPr>
        <w:t>Alat</w:t>
      </w:r>
      <w:r w:rsidR="00A954D0" w:rsidRPr="00256727">
        <w:rPr>
          <w:rFonts w:ascii="Bookman Old Style" w:hAnsi="Bookman Old Style"/>
          <w:lang w:val="sv-FI"/>
        </w:rPr>
        <w:t xml:space="preserve"> </w:t>
      </w:r>
      <w:r w:rsidRPr="00256727">
        <w:rPr>
          <w:rFonts w:ascii="Bookman Old Style" w:hAnsi="Bookman Old Style"/>
          <w:lang w:val="sv-FI"/>
        </w:rPr>
        <w:t>Ukur</w:t>
      </w:r>
      <w:r w:rsidR="00A954D0" w:rsidRPr="00256727">
        <w:rPr>
          <w:rFonts w:ascii="Bookman Old Style" w:hAnsi="Bookman Old Style"/>
          <w:lang w:val="sv-FI"/>
        </w:rPr>
        <w:t xml:space="preserve"> </w:t>
      </w:r>
      <w:r w:rsidRPr="00256727">
        <w:rPr>
          <w:rFonts w:ascii="Bookman Old Style" w:hAnsi="Bookman Old Style"/>
          <w:lang w:val="sv-FI"/>
        </w:rPr>
        <w:t>sebagaimana</w:t>
      </w:r>
      <w:r w:rsidR="00A954D0" w:rsidRPr="00256727">
        <w:rPr>
          <w:rFonts w:ascii="Bookman Old Style" w:hAnsi="Bookman Old Style"/>
          <w:lang w:val="sv-FI"/>
        </w:rPr>
        <w:t xml:space="preserve"> </w:t>
      </w:r>
      <w:r w:rsidRPr="00256727">
        <w:rPr>
          <w:rFonts w:ascii="Bookman Old Style" w:hAnsi="Bookman Old Style"/>
          <w:lang w:val="sv-FI"/>
        </w:rPr>
        <w:t>dimaksud</w:t>
      </w:r>
      <w:r w:rsidR="00A954D0" w:rsidRPr="00256727">
        <w:rPr>
          <w:rFonts w:ascii="Bookman Old Style" w:hAnsi="Bookman Old Style"/>
          <w:lang w:val="sv-FI"/>
        </w:rPr>
        <w:t xml:space="preserve"> </w:t>
      </w:r>
      <w:r w:rsidRPr="00256727">
        <w:rPr>
          <w:rFonts w:ascii="Bookman Old Style" w:hAnsi="Bookman Old Style"/>
          <w:b/>
          <w:bCs/>
          <w:lang w:val="sv-FI"/>
        </w:rPr>
        <w:t>pada</w:t>
      </w:r>
      <w:r w:rsidR="00A954D0" w:rsidRPr="00256727">
        <w:rPr>
          <w:rFonts w:ascii="Bookman Old Style" w:hAnsi="Bookman Old Style"/>
          <w:lang w:val="sv-FI"/>
        </w:rPr>
        <w:t xml:space="preserve"> </w:t>
      </w:r>
      <w:r w:rsidRPr="00256727">
        <w:rPr>
          <w:rFonts w:ascii="Bookman Old Style" w:hAnsi="Bookman Old Style"/>
          <w:lang w:val="sv-FI"/>
        </w:rPr>
        <w:t>ayat</w:t>
      </w:r>
      <w:r w:rsidR="00A954D0" w:rsidRPr="00256727">
        <w:rPr>
          <w:rFonts w:ascii="Bookman Old Style" w:hAnsi="Bookman Old Style"/>
          <w:lang w:val="sv-FI"/>
        </w:rPr>
        <w:t xml:space="preserve"> </w:t>
      </w:r>
      <w:r w:rsidRPr="00256727">
        <w:rPr>
          <w:rFonts w:ascii="Bookman Old Style" w:hAnsi="Bookman Old Style"/>
          <w:lang w:val="sv-FI"/>
        </w:rPr>
        <w:t>(1)</w:t>
      </w:r>
      <w:r w:rsidR="00A954D0" w:rsidRPr="00256727">
        <w:rPr>
          <w:rFonts w:ascii="Bookman Old Style" w:hAnsi="Bookman Old Style"/>
          <w:lang w:val="sv-FI"/>
        </w:rPr>
        <w:t xml:space="preserve"> </w:t>
      </w:r>
      <w:r w:rsidRPr="00256727">
        <w:rPr>
          <w:rFonts w:ascii="Bookman Old Style" w:hAnsi="Bookman Old Style"/>
          <w:lang w:val="sv-FI"/>
        </w:rPr>
        <w:t>huruf</w:t>
      </w:r>
      <w:r w:rsidR="00A954D0" w:rsidRPr="00256727">
        <w:rPr>
          <w:rFonts w:ascii="Bookman Old Style" w:hAnsi="Bookman Old Style"/>
          <w:lang w:val="sv-FI"/>
        </w:rPr>
        <w:t xml:space="preserve"> </w:t>
      </w:r>
      <w:r w:rsidRPr="00256727">
        <w:rPr>
          <w:rFonts w:ascii="Bookman Old Style" w:hAnsi="Bookman Old Style"/>
          <w:lang w:val="sv-FI"/>
        </w:rPr>
        <w:t>c</w:t>
      </w:r>
      <w:r w:rsidR="00A954D0" w:rsidRPr="00256727">
        <w:rPr>
          <w:rFonts w:ascii="Bookman Old Style" w:hAnsi="Bookman Old Style"/>
          <w:lang w:val="sv-FI"/>
        </w:rPr>
        <w:t xml:space="preserve"> </w:t>
      </w:r>
      <w:r w:rsidRPr="00256727">
        <w:rPr>
          <w:rFonts w:ascii="Bookman Old Style" w:hAnsi="Bookman Old Style"/>
          <w:lang w:val="sv-FI"/>
        </w:rPr>
        <w:t>terdiri</w:t>
      </w:r>
      <w:r w:rsidR="00A954D0" w:rsidRPr="00256727">
        <w:rPr>
          <w:rFonts w:ascii="Bookman Old Style" w:hAnsi="Bookman Old Style"/>
          <w:lang w:val="sv-FI"/>
        </w:rPr>
        <w:t xml:space="preserve"> </w:t>
      </w:r>
      <w:r w:rsidRPr="00256727">
        <w:rPr>
          <w:rFonts w:ascii="Bookman Old Style" w:hAnsi="Bookman Old Style"/>
          <w:lang w:val="sv-FI"/>
        </w:rPr>
        <w:t>atas:…</w:t>
      </w:r>
    </w:p>
    <w:p w14:paraId="65611D78" w14:textId="3AD015D8" w:rsidR="006E2F8F" w:rsidRPr="00256727" w:rsidRDefault="006E2F8F" w:rsidP="007D4940">
      <w:pPr>
        <w:numPr>
          <w:ilvl w:val="0"/>
          <w:numId w:val="176"/>
        </w:numPr>
        <w:snapToGrid w:val="0"/>
        <w:spacing w:before="60" w:line="276" w:lineRule="auto"/>
        <w:ind w:left="2268" w:hanging="567"/>
        <w:jc w:val="both"/>
        <w:rPr>
          <w:rFonts w:ascii="Bookman Old Style" w:hAnsi="Bookman Old Style" w:cs="Tahoma"/>
          <w:lang w:val="sv-FI"/>
        </w:rPr>
      </w:pPr>
      <w:r w:rsidRPr="00256727">
        <w:rPr>
          <w:rFonts w:ascii="Bookman Old Style" w:hAnsi="Bookman Old Style" w:cs="Tahoma"/>
          <w:lang w:val="sv-FI"/>
        </w:rPr>
        <w:t>Pasal</w:t>
      </w:r>
      <w:r w:rsidR="00A954D0" w:rsidRPr="00256727">
        <w:rPr>
          <w:rFonts w:ascii="Bookman Old Style" w:hAnsi="Bookman Old Style" w:cs="Tahoma"/>
          <w:lang w:val="sv-FI"/>
        </w:rPr>
        <w:t xml:space="preserve"> </w:t>
      </w:r>
      <w:r w:rsidRPr="00256727">
        <w:rPr>
          <w:rFonts w:ascii="Bookman Old Style" w:hAnsi="Bookman Old Style" w:cs="Tahoma"/>
          <w:lang w:val="sv-FI"/>
        </w:rPr>
        <w:t>21</w:t>
      </w:r>
      <w:r w:rsidR="00A954D0" w:rsidRPr="00256727">
        <w:rPr>
          <w:rFonts w:ascii="Bookman Old Style" w:hAnsi="Bookman Old Style" w:cs="Tahoma"/>
          <w:lang w:val="sv-FI"/>
        </w:rPr>
        <w:t xml:space="preserve"> </w:t>
      </w:r>
      <w:r w:rsidRPr="00256727">
        <w:rPr>
          <w:rFonts w:ascii="Bookman Old Style" w:hAnsi="Bookman Old Style" w:cs="Tahoma"/>
          <w:lang w:val="sv-FI"/>
        </w:rPr>
        <w:t>ayat</w:t>
      </w:r>
      <w:r w:rsidR="00A954D0" w:rsidRPr="00256727">
        <w:rPr>
          <w:rFonts w:ascii="Bookman Old Style" w:hAnsi="Bookman Old Style" w:cs="Tahoma"/>
          <w:lang w:val="sv-FI"/>
        </w:rPr>
        <w:t xml:space="preserve"> </w:t>
      </w:r>
      <w:r w:rsidRPr="00256727">
        <w:rPr>
          <w:rFonts w:ascii="Bookman Old Style" w:hAnsi="Bookman Old Style" w:cs="Tahoma"/>
          <w:lang w:val="sv-FI"/>
        </w:rPr>
        <w:t>(5)</w:t>
      </w:r>
      <w:r w:rsidR="00A954D0" w:rsidRPr="00256727">
        <w:rPr>
          <w:rFonts w:ascii="Bookman Old Style" w:hAnsi="Bookman Old Style" w:cs="Tahoma"/>
          <w:lang w:val="sv-FI"/>
        </w:rPr>
        <w:t xml:space="preserve"> </w:t>
      </w:r>
      <w:r w:rsidRPr="00256727">
        <w:rPr>
          <w:rFonts w:ascii="Bookman Old Style" w:hAnsi="Bookman Old Style" w:cs="Tahoma"/>
          <w:lang w:val="sv-FI"/>
        </w:rPr>
        <w:t>agar</w:t>
      </w:r>
      <w:r w:rsidR="00A954D0" w:rsidRPr="00256727">
        <w:rPr>
          <w:rFonts w:ascii="Bookman Old Style" w:hAnsi="Bookman Old Style" w:cs="Tahoma"/>
          <w:lang w:val="sv-FI"/>
        </w:rPr>
        <w:t xml:space="preserve"> </w:t>
      </w:r>
      <w:r w:rsidRPr="00256727">
        <w:rPr>
          <w:rFonts w:ascii="Bookman Old Style" w:hAnsi="Bookman Old Style" w:cs="Tahoma"/>
          <w:lang w:val="sv-FI"/>
        </w:rPr>
        <w:t>diperbaiki</w:t>
      </w:r>
      <w:r w:rsidR="00A954D0" w:rsidRPr="00256727">
        <w:rPr>
          <w:rFonts w:ascii="Bookman Old Style" w:hAnsi="Bookman Old Style" w:cs="Tahoma"/>
          <w:lang w:val="sv-FI"/>
        </w:rPr>
        <w:t xml:space="preserve"> </w:t>
      </w:r>
      <w:r w:rsidRPr="00256727">
        <w:rPr>
          <w:rFonts w:ascii="Bookman Old Style" w:hAnsi="Bookman Old Style" w:cs="Tahoma"/>
          <w:lang w:val="sv-FI"/>
        </w:rPr>
        <w:t>redaksionalnya</w:t>
      </w:r>
      <w:r w:rsidR="00A954D0" w:rsidRPr="00256727">
        <w:rPr>
          <w:rFonts w:ascii="Bookman Old Style" w:hAnsi="Bookman Old Style" w:cs="Tahoma"/>
          <w:lang w:val="sv-FI"/>
        </w:rPr>
        <w:t xml:space="preserve"> </w:t>
      </w:r>
      <w:r w:rsidRPr="00256727">
        <w:rPr>
          <w:rFonts w:ascii="Bookman Old Style" w:hAnsi="Bookman Old Style" w:cs="Tahoma"/>
          <w:lang w:val="sv-FI"/>
        </w:rPr>
        <w:t>menjadi:</w:t>
      </w:r>
    </w:p>
    <w:p w14:paraId="59B4627A" w14:textId="69FC04DE" w:rsidR="006E2F8F" w:rsidRPr="00256727" w:rsidRDefault="006E2F8F" w:rsidP="007D4940">
      <w:pPr>
        <w:snapToGrid w:val="0"/>
        <w:spacing w:before="60" w:line="276" w:lineRule="auto"/>
        <w:ind w:left="2268"/>
        <w:jc w:val="both"/>
        <w:rPr>
          <w:rFonts w:ascii="Bookman Old Style" w:hAnsi="Bookman Old Style" w:cs="Tahoma"/>
          <w:lang w:val="sv-FI"/>
        </w:rPr>
      </w:pPr>
      <w:r w:rsidRPr="00256727">
        <w:rPr>
          <w:rFonts w:ascii="Bookman Old Style" w:hAnsi="Bookman Old Style"/>
          <w:lang w:val="sv-FI"/>
        </w:rPr>
        <w:lastRenderedPageBreak/>
        <w:t>Anggaran</w:t>
      </w:r>
      <w:r w:rsidR="00A954D0" w:rsidRPr="00256727">
        <w:rPr>
          <w:rFonts w:ascii="Bookman Old Style" w:hAnsi="Bookman Old Style"/>
          <w:lang w:val="sv-FI"/>
        </w:rPr>
        <w:t xml:space="preserve"> </w:t>
      </w:r>
      <w:r w:rsidRPr="00256727">
        <w:rPr>
          <w:rFonts w:ascii="Bookman Old Style" w:hAnsi="Bookman Old Style"/>
          <w:lang w:val="sv-FI"/>
        </w:rPr>
        <w:t>Belanja</w:t>
      </w:r>
      <w:r w:rsidR="00A954D0" w:rsidRPr="00256727">
        <w:rPr>
          <w:rFonts w:ascii="Bookman Old Style" w:hAnsi="Bookman Old Style"/>
          <w:lang w:val="sv-FI"/>
        </w:rPr>
        <w:t xml:space="preserve"> </w:t>
      </w:r>
      <w:r w:rsidRPr="00256727">
        <w:rPr>
          <w:rFonts w:ascii="Bookman Old Style" w:hAnsi="Bookman Old Style"/>
          <w:lang w:val="sv-FI"/>
        </w:rPr>
        <w:t>Modal</w:t>
      </w:r>
      <w:r w:rsidR="00A954D0" w:rsidRPr="00256727">
        <w:rPr>
          <w:rFonts w:ascii="Bookman Old Style" w:hAnsi="Bookman Old Style"/>
          <w:lang w:val="sv-FI"/>
        </w:rPr>
        <w:t xml:space="preserve"> </w:t>
      </w:r>
      <w:r w:rsidRPr="00256727">
        <w:rPr>
          <w:rFonts w:ascii="Bookman Old Style" w:hAnsi="Bookman Old Style"/>
          <w:lang w:val="sv-FI"/>
        </w:rPr>
        <w:t>Alat</w:t>
      </w:r>
      <w:r w:rsidR="00A954D0" w:rsidRPr="00256727">
        <w:rPr>
          <w:rFonts w:ascii="Bookman Old Style" w:hAnsi="Bookman Old Style"/>
          <w:lang w:val="sv-FI"/>
        </w:rPr>
        <w:t xml:space="preserve"> </w:t>
      </w:r>
      <w:r w:rsidRPr="00256727">
        <w:rPr>
          <w:rFonts w:ascii="Bookman Old Style" w:hAnsi="Bookman Old Style"/>
          <w:lang w:val="sv-FI"/>
        </w:rPr>
        <w:t>Kantor</w:t>
      </w:r>
      <w:r w:rsidR="00A954D0" w:rsidRPr="00256727">
        <w:rPr>
          <w:rFonts w:ascii="Bookman Old Style" w:hAnsi="Bookman Old Style"/>
          <w:lang w:val="sv-FI"/>
        </w:rPr>
        <w:t xml:space="preserve"> </w:t>
      </w:r>
      <w:r w:rsidRPr="00256727">
        <w:rPr>
          <w:rFonts w:ascii="Bookman Old Style" w:hAnsi="Bookman Old Style"/>
          <w:lang w:val="sv-FI"/>
        </w:rPr>
        <w:t>dan</w:t>
      </w:r>
      <w:r w:rsidR="00A954D0" w:rsidRPr="00256727">
        <w:rPr>
          <w:rFonts w:ascii="Bookman Old Style" w:hAnsi="Bookman Old Style"/>
          <w:lang w:val="sv-FI"/>
        </w:rPr>
        <w:t xml:space="preserve"> </w:t>
      </w:r>
      <w:r w:rsidRPr="00256727">
        <w:rPr>
          <w:rFonts w:ascii="Bookman Old Style" w:hAnsi="Bookman Old Style"/>
          <w:lang w:val="sv-FI"/>
        </w:rPr>
        <w:t>Rumah</w:t>
      </w:r>
      <w:r w:rsidR="00A954D0" w:rsidRPr="00256727">
        <w:rPr>
          <w:rFonts w:ascii="Bookman Old Style" w:hAnsi="Bookman Old Style"/>
          <w:lang w:val="sv-FI"/>
        </w:rPr>
        <w:t xml:space="preserve"> </w:t>
      </w:r>
      <w:r w:rsidRPr="00256727">
        <w:rPr>
          <w:rFonts w:ascii="Bookman Old Style" w:hAnsi="Bookman Old Style"/>
          <w:lang w:val="sv-FI"/>
        </w:rPr>
        <w:t>Tangga</w:t>
      </w:r>
      <w:r w:rsidR="00A954D0" w:rsidRPr="00256727">
        <w:rPr>
          <w:rFonts w:ascii="Bookman Old Style" w:hAnsi="Bookman Old Style"/>
          <w:lang w:val="sv-FI"/>
        </w:rPr>
        <w:t xml:space="preserve"> </w:t>
      </w:r>
      <w:r w:rsidRPr="00256727">
        <w:rPr>
          <w:rFonts w:ascii="Bookman Old Style" w:hAnsi="Bookman Old Style"/>
          <w:lang w:val="sv-FI"/>
        </w:rPr>
        <w:t>sebagaimana</w:t>
      </w:r>
      <w:r w:rsidR="00A954D0" w:rsidRPr="00256727">
        <w:rPr>
          <w:rFonts w:ascii="Bookman Old Style" w:hAnsi="Bookman Old Style"/>
          <w:lang w:val="sv-FI"/>
        </w:rPr>
        <w:t xml:space="preserve"> </w:t>
      </w:r>
      <w:r w:rsidRPr="00256727">
        <w:rPr>
          <w:rFonts w:ascii="Bookman Old Style" w:hAnsi="Bookman Old Style"/>
          <w:lang w:val="sv-FI"/>
        </w:rPr>
        <w:t>dimaksud</w:t>
      </w:r>
      <w:r w:rsidR="00A954D0" w:rsidRPr="00256727">
        <w:rPr>
          <w:rFonts w:ascii="Bookman Old Style" w:hAnsi="Bookman Old Style"/>
          <w:lang w:val="sv-FI"/>
        </w:rPr>
        <w:t xml:space="preserve"> </w:t>
      </w:r>
      <w:r w:rsidRPr="00256727">
        <w:rPr>
          <w:rFonts w:ascii="Bookman Old Style" w:hAnsi="Bookman Old Style"/>
          <w:b/>
          <w:bCs/>
          <w:lang w:val="sv-FI"/>
        </w:rPr>
        <w:t>pada</w:t>
      </w:r>
      <w:r w:rsidR="00A954D0" w:rsidRPr="00256727">
        <w:rPr>
          <w:rFonts w:ascii="Bookman Old Style" w:hAnsi="Bookman Old Style"/>
          <w:lang w:val="sv-FI"/>
        </w:rPr>
        <w:t xml:space="preserve"> </w:t>
      </w:r>
      <w:r w:rsidRPr="00256727">
        <w:rPr>
          <w:rFonts w:ascii="Bookman Old Style" w:hAnsi="Bookman Old Style"/>
          <w:lang w:val="sv-FI"/>
        </w:rPr>
        <w:t>ayat</w:t>
      </w:r>
      <w:r w:rsidR="00A954D0" w:rsidRPr="00256727">
        <w:rPr>
          <w:rFonts w:ascii="Bookman Old Style" w:hAnsi="Bookman Old Style"/>
          <w:lang w:val="sv-FI"/>
        </w:rPr>
        <w:t xml:space="preserve"> </w:t>
      </w:r>
      <w:r w:rsidRPr="00256727">
        <w:rPr>
          <w:rFonts w:ascii="Bookman Old Style" w:hAnsi="Bookman Old Style"/>
          <w:lang w:val="sv-FI"/>
        </w:rPr>
        <w:t>(1)</w:t>
      </w:r>
      <w:r w:rsidR="00A954D0" w:rsidRPr="00256727">
        <w:rPr>
          <w:rFonts w:ascii="Bookman Old Style" w:hAnsi="Bookman Old Style"/>
          <w:lang w:val="sv-FI"/>
        </w:rPr>
        <w:t xml:space="preserve"> </w:t>
      </w:r>
      <w:r w:rsidRPr="00256727">
        <w:rPr>
          <w:rFonts w:ascii="Bookman Old Style" w:hAnsi="Bookman Old Style"/>
          <w:lang w:val="sv-FI"/>
        </w:rPr>
        <w:t>huruf</w:t>
      </w:r>
      <w:r w:rsidR="00A954D0" w:rsidRPr="00256727">
        <w:rPr>
          <w:rFonts w:ascii="Bookman Old Style" w:hAnsi="Bookman Old Style"/>
          <w:lang w:val="sv-FI"/>
        </w:rPr>
        <w:t xml:space="preserve"> </w:t>
      </w:r>
      <w:r w:rsidRPr="00256727">
        <w:rPr>
          <w:rFonts w:ascii="Bookman Old Style" w:hAnsi="Bookman Old Style"/>
          <w:lang w:val="sv-FI"/>
        </w:rPr>
        <w:t>e</w:t>
      </w:r>
      <w:r w:rsidR="00A954D0" w:rsidRPr="00256727">
        <w:rPr>
          <w:rFonts w:ascii="Bookman Old Style" w:hAnsi="Bookman Old Style"/>
          <w:lang w:val="sv-FI"/>
        </w:rPr>
        <w:t xml:space="preserve"> </w:t>
      </w:r>
      <w:r w:rsidRPr="00256727">
        <w:rPr>
          <w:rFonts w:ascii="Bookman Old Style" w:hAnsi="Bookman Old Style"/>
          <w:lang w:val="sv-FI"/>
        </w:rPr>
        <w:t>terdiri</w:t>
      </w:r>
      <w:r w:rsidR="00A954D0" w:rsidRPr="00256727">
        <w:rPr>
          <w:rFonts w:ascii="Bookman Old Style" w:hAnsi="Bookman Old Style"/>
          <w:lang w:val="sv-FI"/>
        </w:rPr>
        <w:t xml:space="preserve"> </w:t>
      </w:r>
      <w:r w:rsidRPr="00256727">
        <w:rPr>
          <w:rFonts w:ascii="Bookman Old Style" w:hAnsi="Bookman Old Style"/>
          <w:lang w:val="sv-FI"/>
        </w:rPr>
        <w:t>atas:</w:t>
      </w:r>
    </w:p>
    <w:p w14:paraId="7832D302" w14:textId="46AF0A3A" w:rsidR="006E2F8F" w:rsidRPr="00256727" w:rsidRDefault="006E2F8F" w:rsidP="007D4940">
      <w:pPr>
        <w:numPr>
          <w:ilvl w:val="0"/>
          <w:numId w:val="176"/>
        </w:numPr>
        <w:snapToGrid w:val="0"/>
        <w:spacing w:before="60" w:line="276" w:lineRule="auto"/>
        <w:ind w:left="2268" w:hanging="567"/>
        <w:jc w:val="both"/>
        <w:rPr>
          <w:rFonts w:ascii="Bookman Old Style" w:hAnsi="Bookman Old Style" w:cs="Tahoma"/>
          <w:lang w:val="sv-FI"/>
        </w:rPr>
      </w:pPr>
      <w:r w:rsidRPr="00256727">
        <w:rPr>
          <w:rFonts w:ascii="Bookman Old Style" w:hAnsi="Bookman Old Style" w:cs="Tahoma"/>
          <w:lang w:val="sv-FI"/>
        </w:rPr>
        <w:t>Pasal</w:t>
      </w:r>
      <w:r w:rsidR="00A954D0" w:rsidRPr="00256727">
        <w:rPr>
          <w:rFonts w:ascii="Bookman Old Style" w:hAnsi="Bookman Old Style" w:cs="Tahoma"/>
          <w:lang w:val="sv-FI"/>
        </w:rPr>
        <w:t xml:space="preserve"> </w:t>
      </w:r>
      <w:r w:rsidRPr="00256727">
        <w:rPr>
          <w:rFonts w:ascii="Bookman Old Style" w:hAnsi="Bookman Old Style" w:cs="Tahoma"/>
          <w:lang w:val="sv-FI"/>
        </w:rPr>
        <w:t>21</w:t>
      </w:r>
      <w:r w:rsidR="00A954D0" w:rsidRPr="00256727">
        <w:rPr>
          <w:rFonts w:ascii="Bookman Old Style" w:hAnsi="Bookman Old Style" w:cs="Tahoma"/>
          <w:lang w:val="sv-FI"/>
        </w:rPr>
        <w:t xml:space="preserve"> </w:t>
      </w:r>
      <w:r w:rsidRPr="00256727">
        <w:rPr>
          <w:rFonts w:ascii="Bookman Old Style" w:hAnsi="Bookman Old Style" w:cs="Tahoma"/>
          <w:lang w:val="sv-FI"/>
        </w:rPr>
        <w:t>ayat</w:t>
      </w:r>
      <w:r w:rsidR="00A954D0" w:rsidRPr="00256727">
        <w:rPr>
          <w:rFonts w:ascii="Bookman Old Style" w:hAnsi="Bookman Old Style" w:cs="Tahoma"/>
          <w:lang w:val="sv-FI"/>
        </w:rPr>
        <w:t xml:space="preserve"> </w:t>
      </w:r>
      <w:r w:rsidRPr="00256727">
        <w:rPr>
          <w:rFonts w:ascii="Bookman Old Style" w:hAnsi="Bookman Old Style" w:cs="Tahoma"/>
          <w:lang w:val="sv-FI"/>
        </w:rPr>
        <w:t>(6)</w:t>
      </w:r>
      <w:r w:rsidR="00A954D0" w:rsidRPr="00256727">
        <w:rPr>
          <w:rFonts w:ascii="Bookman Old Style" w:hAnsi="Bookman Old Style" w:cs="Tahoma"/>
          <w:lang w:val="sv-FI"/>
        </w:rPr>
        <w:t xml:space="preserve"> </w:t>
      </w:r>
      <w:r w:rsidRPr="00256727">
        <w:rPr>
          <w:rFonts w:ascii="Bookman Old Style" w:hAnsi="Bookman Old Style" w:cs="Tahoma"/>
          <w:lang w:val="sv-FI"/>
        </w:rPr>
        <w:t>agar</w:t>
      </w:r>
      <w:r w:rsidR="00A954D0" w:rsidRPr="00256727">
        <w:rPr>
          <w:rFonts w:ascii="Bookman Old Style" w:hAnsi="Bookman Old Style" w:cs="Tahoma"/>
          <w:lang w:val="sv-FI"/>
        </w:rPr>
        <w:t xml:space="preserve"> </w:t>
      </w:r>
      <w:r w:rsidRPr="00256727">
        <w:rPr>
          <w:rFonts w:ascii="Bookman Old Style" w:hAnsi="Bookman Old Style" w:cs="Tahoma"/>
          <w:lang w:val="sv-FI"/>
        </w:rPr>
        <w:t>diperbaiki</w:t>
      </w:r>
      <w:r w:rsidR="00A954D0" w:rsidRPr="00256727">
        <w:rPr>
          <w:rFonts w:ascii="Bookman Old Style" w:hAnsi="Bookman Old Style" w:cs="Tahoma"/>
          <w:lang w:val="sv-FI"/>
        </w:rPr>
        <w:t xml:space="preserve"> </w:t>
      </w:r>
      <w:r w:rsidRPr="00256727">
        <w:rPr>
          <w:rFonts w:ascii="Bookman Old Style" w:hAnsi="Bookman Old Style" w:cs="Tahoma"/>
          <w:lang w:val="sv-FI"/>
        </w:rPr>
        <w:t>redaksionalnya</w:t>
      </w:r>
      <w:r w:rsidR="00A954D0" w:rsidRPr="00256727">
        <w:rPr>
          <w:rFonts w:ascii="Bookman Old Style" w:hAnsi="Bookman Old Style" w:cs="Tahoma"/>
          <w:lang w:val="sv-FI"/>
        </w:rPr>
        <w:t xml:space="preserve"> </w:t>
      </w:r>
      <w:r w:rsidRPr="00256727">
        <w:rPr>
          <w:rFonts w:ascii="Bookman Old Style" w:hAnsi="Bookman Old Style" w:cs="Tahoma"/>
          <w:lang w:val="sv-FI"/>
        </w:rPr>
        <w:t>menjadi:</w:t>
      </w:r>
    </w:p>
    <w:p w14:paraId="50D5FB1F" w14:textId="6C51A4C8" w:rsidR="006E2F8F" w:rsidRPr="00256727" w:rsidRDefault="006E2F8F" w:rsidP="007D4940">
      <w:pPr>
        <w:snapToGrid w:val="0"/>
        <w:spacing w:before="60" w:line="276" w:lineRule="auto"/>
        <w:ind w:left="2268"/>
        <w:jc w:val="both"/>
        <w:rPr>
          <w:rFonts w:ascii="Bookman Old Style" w:hAnsi="Bookman Old Style" w:cs="Tahoma"/>
          <w:lang w:val="sv-FI"/>
        </w:rPr>
      </w:pPr>
      <w:r w:rsidRPr="00256727">
        <w:rPr>
          <w:rFonts w:ascii="Bookman Old Style" w:hAnsi="Bookman Old Style"/>
          <w:lang w:val="sv-FI"/>
        </w:rPr>
        <w:t>Anggaran</w:t>
      </w:r>
      <w:r w:rsidR="00A954D0" w:rsidRPr="00256727">
        <w:rPr>
          <w:rFonts w:ascii="Bookman Old Style" w:hAnsi="Bookman Old Style"/>
          <w:lang w:val="sv-FI"/>
        </w:rPr>
        <w:t xml:space="preserve"> </w:t>
      </w:r>
      <w:r w:rsidRPr="00256727">
        <w:rPr>
          <w:rFonts w:ascii="Bookman Old Style" w:hAnsi="Bookman Old Style"/>
          <w:lang w:val="sv-FI"/>
        </w:rPr>
        <w:t>Belanja</w:t>
      </w:r>
      <w:r w:rsidR="00A954D0" w:rsidRPr="00256727">
        <w:rPr>
          <w:rFonts w:ascii="Bookman Old Style" w:hAnsi="Bookman Old Style"/>
          <w:lang w:val="sv-FI"/>
        </w:rPr>
        <w:t xml:space="preserve"> </w:t>
      </w:r>
      <w:r w:rsidRPr="00256727">
        <w:rPr>
          <w:rFonts w:ascii="Bookman Old Style" w:hAnsi="Bookman Old Style"/>
          <w:lang w:val="sv-FI"/>
        </w:rPr>
        <w:t>Modal</w:t>
      </w:r>
      <w:r w:rsidR="00A954D0" w:rsidRPr="00256727">
        <w:rPr>
          <w:rFonts w:ascii="Bookman Old Style" w:hAnsi="Bookman Old Style"/>
          <w:lang w:val="sv-FI"/>
        </w:rPr>
        <w:t xml:space="preserve"> </w:t>
      </w:r>
      <w:r w:rsidRPr="00256727">
        <w:rPr>
          <w:rFonts w:ascii="Bookman Old Style" w:hAnsi="Bookman Old Style"/>
          <w:lang w:val="sv-FI"/>
        </w:rPr>
        <w:t>Alat</w:t>
      </w:r>
      <w:r w:rsidR="00A954D0" w:rsidRPr="00256727">
        <w:rPr>
          <w:rFonts w:ascii="Bookman Old Style" w:hAnsi="Bookman Old Style"/>
          <w:lang w:val="sv-FI"/>
        </w:rPr>
        <w:t xml:space="preserve"> </w:t>
      </w:r>
      <w:r w:rsidRPr="00256727">
        <w:rPr>
          <w:rFonts w:ascii="Bookman Old Style" w:hAnsi="Bookman Old Style"/>
          <w:lang w:val="sv-FI"/>
        </w:rPr>
        <w:t>Studio,</w:t>
      </w:r>
      <w:r w:rsidR="00A954D0" w:rsidRPr="00256727">
        <w:rPr>
          <w:rFonts w:ascii="Bookman Old Style" w:hAnsi="Bookman Old Style"/>
          <w:lang w:val="sv-FI"/>
        </w:rPr>
        <w:t xml:space="preserve"> </w:t>
      </w:r>
      <w:r w:rsidRPr="00256727">
        <w:rPr>
          <w:rFonts w:ascii="Bookman Old Style" w:hAnsi="Bookman Old Style"/>
          <w:lang w:val="sv-FI"/>
        </w:rPr>
        <w:t>Komunikasi,</w:t>
      </w:r>
      <w:r w:rsidR="00A954D0" w:rsidRPr="00256727">
        <w:rPr>
          <w:rFonts w:ascii="Bookman Old Style" w:hAnsi="Bookman Old Style"/>
          <w:lang w:val="sv-FI"/>
        </w:rPr>
        <w:t xml:space="preserve"> </w:t>
      </w:r>
      <w:r w:rsidRPr="00256727">
        <w:rPr>
          <w:rFonts w:ascii="Bookman Old Style" w:hAnsi="Bookman Old Style"/>
          <w:lang w:val="sv-FI"/>
        </w:rPr>
        <w:t>dan</w:t>
      </w:r>
      <w:r w:rsidR="00A954D0" w:rsidRPr="00256727">
        <w:rPr>
          <w:rFonts w:ascii="Bookman Old Style" w:hAnsi="Bookman Old Style"/>
          <w:lang w:val="sv-FI"/>
        </w:rPr>
        <w:t xml:space="preserve"> </w:t>
      </w:r>
      <w:r w:rsidRPr="00256727">
        <w:rPr>
          <w:rFonts w:ascii="Bookman Old Style" w:hAnsi="Bookman Old Style"/>
          <w:lang w:val="sv-FI"/>
        </w:rPr>
        <w:t>Pemancar</w:t>
      </w:r>
      <w:r w:rsidR="00A954D0" w:rsidRPr="00256727">
        <w:rPr>
          <w:rFonts w:ascii="Bookman Old Style" w:hAnsi="Bookman Old Style"/>
          <w:lang w:val="sv-FI"/>
        </w:rPr>
        <w:t xml:space="preserve"> </w:t>
      </w:r>
      <w:r w:rsidRPr="00256727">
        <w:rPr>
          <w:rFonts w:ascii="Bookman Old Style" w:hAnsi="Bookman Old Style"/>
          <w:lang w:val="sv-FI"/>
        </w:rPr>
        <w:t>sebagaimana</w:t>
      </w:r>
      <w:r w:rsidR="00A954D0" w:rsidRPr="00256727">
        <w:rPr>
          <w:rFonts w:ascii="Bookman Old Style" w:hAnsi="Bookman Old Style"/>
          <w:lang w:val="sv-FI"/>
        </w:rPr>
        <w:t xml:space="preserve"> </w:t>
      </w:r>
      <w:r w:rsidRPr="00256727">
        <w:rPr>
          <w:rFonts w:ascii="Bookman Old Style" w:hAnsi="Bookman Old Style"/>
          <w:lang w:val="sv-FI"/>
        </w:rPr>
        <w:t>dimaksud</w:t>
      </w:r>
      <w:r w:rsidR="00A954D0" w:rsidRPr="00256727">
        <w:rPr>
          <w:rFonts w:ascii="Bookman Old Style" w:hAnsi="Bookman Old Style"/>
          <w:lang w:val="sv-FI"/>
        </w:rPr>
        <w:t xml:space="preserve"> </w:t>
      </w:r>
      <w:r w:rsidRPr="00256727">
        <w:rPr>
          <w:rFonts w:ascii="Bookman Old Style" w:hAnsi="Bookman Old Style"/>
          <w:b/>
          <w:bCs/>
          <w:lang w:val="sv-FI"/>
        </w:rPr>
        <w:t>pada</w:t>
      </w:r>
      <w:r w:rsidR="00A954D0" w:rsidRPr="00256727">
        <w:rPr>
          <w:rFonts w:ascii="Bookman Old Style" w:hAnsi="Bookman Old Style"/>
          <w:lang w:val="sv-FI"/>
        </w:rPr>
        <w:t xml:space="preserve"> </w:t>
      </w:r>
      <w:r w:rsidRPr="00256727">
        <w:rPr>
          <w:rFonts w:ascii="Bookman Old Style" w:hAnsi="Bookman Old Style"/>
          <w:lang w:val="sv-FI"/>
        </w:rPr>
        <w:t>ayat</w:t>
      </w:r>
      <w:r w:rsidR="00A954D0" w:rsidRPr="00256727">
        <w:rPr>
          <w:rFonts w:ascii="Bookman Old Style" w:hAnsi="Bookman Old Style"/>
          <w:lang w:val="sv-FI"/>
        </w:rPr>
        <w:t xml:space="preserve"> </w:t>
      </w:r>
      <w:r w:rsidRPr="00256727">
        <w:rPr>
          <w:rFonts w:ascii="Bookman Old Style" w:hAnsi="Bookman Old Style"/>
          <w:lang w:val="sv-FI"/>
        </w:rPr>
        <w:t>(1)</w:t>
      </w:r>
      <w:r w:rsidR="00A954D0" w:rsidRPr="00256727">
        <w:rPr>
          <w:rFonts w:ascii="Bookman Old Style" w:hAnsi="Bookman Old Style"/>
          <w:lang w:val="sv-FI"/>
        </w:rPr>
        <w:t xml:space="preserve"> </w:t>
      </w:r>
      <w:r w:rsidRPr="00256727">
        <w:rPr>
          <w:rFonts w:ascii="Bookman Old Style" w:hAnsi="Bookman Old Style"/>
          <w:lang w:val="sv-FI"/>
        </w:rPr>
        <w:t>huruf</w:t>
      </w:r>
      <w:r w:rsidR="00A954D0" w:rsidRPr="00256727">
        <w:rPr>
          <w:rFonts w:ascii="Bookman Old Style" w:hAnsi="Bookman Old Style"/>
          <w:lang w:val="sv-FI"/>
        </w:rPr>
        <w:t xml:space="preserve"> </w:t>
      </w:r>
      <w:r w:rsidRPr="00256727">
        <w:rPr>
          <w:rFonts w:ascii="Bookman Old Style" w:hAnsi="Bookman Old Style"/>
          <w:lang w:val="sv-FI"/>
        </w:rPr>
        <w:t>f</w:t>
      </w:r>
      <w:r w:rsidR="00A954D0" w:rsidRPr="00256727">
        <w:rPr>
          <w:rFonts w:ascii="Bookman Old Style" w:hAnsi="Bookman Old Style"/>
          <w:lang w:val="sv-FI"/>
        </w:rPr>
        <w:t xml:space="preserve"> </w:t>
      </w:r>
      <w:r w:rsidRPr="00256727">
        <w:rPr>
          <w:rFonts w:ascii="Bookman Old Style" w:hAnsi="Bookman Old Style"/>
          <w:lang w:val="sv-FI"/>
        </w:rPr>
        <w:t>terdiri</w:t>
      </w:r>
      <w:r w:rsidR="00A954D0" w:rsidRPr="00256727">
        <w:rPr>
          <w:rFonts w:ascii="Bookman Old Style" w:hAnsi="Bookman Old Style"/>
          <w:lang w:val="sv-FI"/>
        </w:rPr>
        <w:t xml:space="preserve"> </w:t>
      </w:r>
      <w:r w:rsidRPr="00256727">
        <w:rPr>
          <w:rFonts w:ascii="Bookman Old Style" w:hAnsi="Bookman Old Style"/>
          <w:lang w:val="sv-FI"/>
        </w:rPr>
        <w:t>atas:…</w:t>
      </w:r>
    </w:p>
    <w:p w14:paraId="3C0FB6CB" w14:textId="2E04F9AD" w:rsidR="006E2F8F" w:rsidRPr="00256727" w:rsidRDefault="006E2F8F" w:rsidP="007D4940">
      <w:pPr>
        <w:numPr>
          <w:ilvl w:val="0"/>
          <w:numId w:val="176"/>
        </w:numPr>
        <w:snapToGrid w:val="0"/>
        <w:spacing w:before="60" w:line="276" w:lineRule="auto"/>
        <w:ind w:left="2268" w:hanging="567"/>
        <w:jc w:val="both"/>
        <w:rPr>
          <w:rFonts w:ascii="Bookman Old Style" w:hAnsi="Bookman Old Style" w:cs="Tahoma"/>
          <w:lang w:val="sv-FI"/>
        </w:rPr>
      </w:pPr>
      <w:r w:rsidRPr="00256727">
        <w:rPr>
          <w:rFonts w:ascii="Bookman Old Style" w:hAnsi="Bookman Old Style" w:cs="Tahoma"/>
          <w:lang w:val="sv-FI"/>
        </w:rPr>
        <w:t>Pasal</w:t>
      </w:r>
      <w:r w:rsidR="00A954D0" w:rsidRPr="00256727">
        <w:rPr>
          <w:rFonts w:ascii="Bookman Old Style" w:hAnsi="Bookman Old Style" w:cs="Tahoma"/>
          <w:lang w:val="sv-FI"/>
        </w:rPr>
        <w:t xml:space="preserve"> </w:t>
      </w:r>
      <w:r w:rsidRPr="00256727">
        <w:rPr>
          <w:rFonts w:ascii="Bookman Old Style" w:hAnsi="Bookman Old Style" w:cs="Tahoma"/>
          <w:lang w:val="sv-FI"/>
        </w:rPr>
        <w:t>21</w:t>
      </w:r>
      <w:r w:rsidR="00A954D0" w:rsidRPr="00256727">
        <w:rPr>
          <w:rFonts w:ascii="Bookman Old Style" w:hAnsi="Bookman Old Style" w:cs="Tahoma"/>
          <w:lang w:val="sv-FI"/>
        </w:rPr>
        <w:t xml:space="preserve"> </w:t>
      </w:r>
      <w:r w:rsidRPr="00256727">
        <w:rPr>
          <w:rFonts w:ascii="Bookman Old Style" w:hAnsi="Bookman Old Style" w:cs="Tahoma"/>
          <w:lang w:val="sv-FI"/>
        </w:rPr>
        <w:t>ayat</w:t>
      </w:r>
      <w:r w:rsidR="00A954D0" w:rsidRPr="00256727">
        <w:rPr>
          <w:rFonts w:ascii="Bookman Old Style" w:hAnsi="Bookman Old Style" w:cs="Tahoma"/>
          <w:lang w:val="sv-FI"/>
        </w:rPr>
        <w:t xml:space="preserve"> </w:t>
      </w:r>
      <w:r w:rsidRPr="00256727">
        <w:rPr>
          <w:rFonts w:ascii="Bookman Old Style" w:hAnsi="Bookman Old Style" w:cs="Tahoma"/>
          <w:lang w:val="sv-FI"/>
        </w:rPr>
        <w:t>(7)</w:t>
      </w:r>
      <w:r w:rsidR="00A954D0" w:rsidRPr="00256727">
        <w:rPr>
          <w:rFonts w:ascii="Bookman Old Style" w:hAnsi="Bookman Old Style" w:cs="Tahoma"/>
          <w:lang w:val="sv-FI"/>
        </w:rPr>
        <w:t xml:space="preserve"> </w:t>
      </w:r>
      <w:r w:rsidRPr="00256727">
        <w:rPr>
          <w:rFonts w:ascii="Bookman Old Style" w:hAnsi="Bookman Old Style" w:cs="Tahoma"/>
          <w:lang w:val="sv-FI"/>
        </w:rPr>
        <w:t>agar</w:t>
      </w:r>
      <w:r w:rsidR="00A954D0" w:rsidRPr="00256727">
        <w:rPr>
          <w:rFonts w:ascii="Bookman Old Style" w:hAnsi="Bookman Old Style" w:cs="Tahoma"/>
          <w:lang w:val="sv-FI"/>
        </w:rPr>
        <w:t xml:space="preserve"> </w:t>
      </w:r>
      <w:r w:rsidRPr="00256727">
        <w:rPr>
          <w:rFonts w:ascii="Bookman Old Style" w:hAnsi="Bookman Old Style" w:cs="Tahoma"/>
          <w:lang w:val="sv-FI"/>
        </w:rPr>
        <w:t>diperbaiki</w:t>
      </w:r>
      <w:r w:rsidR="00A954D0" w:rsidRPr="00256727">
        <w:rPr>
          <w:rFonts w:ascii="Bookman Old Style" w:hAnsi="Bookman Old Style" w:cs="Tahoma"/>
          <w:lang w:val="sv-FI"/>
        </w:rPr>
        <w:t xml:space="preserve"> </w:t>
      </w:r>
      <w:r w:rsidRPr="00256727">
        <w:rPr>
          <w:rFonts w:ascii="Bookman Old Style" w:hAnsi="Bookman Old Style" w:cs="Tahoma"/>
          <w:lang w:val="sv-FI"/>
        </w:rPr>
        <w:t>redaksionalnya</w:t>
      </w:r>
      <w:r w:rsidR="00A954D0" w:rsidRPr="00256727">
        <w:rPr>
          <w:rFonts w:ascii="Bookman Old Style" w:hAnsi="Bookman Old Style" w:cs="Tahoma"/>
          <w:lang w:val="sv-FI"/>
        </w:rPr>
        <w:t xml:space="preserve"> </w:t>
      </w:r>
      <w:r w:rsidRPr="00256727">
        <w:rPr>
          <w:rFonts w:ascii="Bookman Old Style" w:hAnsi="Bookman Old Style" w:cs="Tahoma"/>
          <w:lang w:val="sv-FI"/>
        </w:rPr>
        <w:t>menjadi:</w:t>
      </w:r>
    </w:p>
    <w:p w14:paraId="41E45E1E" w14:textId="7370C1E8" w:rsidR="006E2F8F" w:rsidRPr="00256727" w:rsidRDefault="006E2F8F" w:rsidP="007D4940">
      <w:pPr>
        <w:snapToGrid w:val="0"/>
        <w:spacing w:before="60" w:line="276" w:lineRule="auto"/>
        <w:ind w:left="2268"/>
        <w:jc w:val="both"/>
        <w:rPr>
          <w:rFonts w:ascii="Bookman Old Style" w:hAnsi="Bookman Old Style" w:cs="Tahoma"/>
          <w:lang w:val="sv-FI"/>
        </w:rPr>
      </w:pPr>
      <w:r w:rsidRPr="00256727">
        <w:rPr>
          <w:rFonts w:ascii="Bookman Old Style" w:hAnsi="Bookman Old Style"/>
          <w:lang w:val="sv-FI"/>
        </w:rPr>
        <w:t>Anggaran</w:t>
      </w:r>
      <w:r w:rsidR="00A954D0" w:rsidRPr="00256727">
        <w:rPr>
          <w:rFonts w:ascii="Bookman Old Style" w:hAnsi="Bookman Old Style"/>
          <w:lang w:val="sv-FI"/>
        </w:rPr>
        <w:t xml:space="preserve"> </w:t>
      </w:r>
      <w:r w:rsidRPr="00256727">
        <w:rPr>
          <w:rFonts w:ascii="Bookman Old Style" w:hAnsi="Bookman Old Style"/>
          <w:lang w:val="sv-FI"/>
        </w:rPr>
        <w:t>Belanja</w:t>
      </w:r>
      <w:r w:rsidR="00A954D0" w:rsidRPr="00256727">
        <w:rPr>
          <w:rFonts w:ascii="Bookman Old Style" w:hAnsi="Bookman Old Style"/>
          <w:lang w:val="sv-FI"/>
        </w:rPr>
        <w:t xml:space="preserve"> </w:t>
      </w:r>
      <w:r w:rsidRPr="00256727">
        <w:rPr>
          <w:rFonts w:ascii="Bookman Old Style" w:hAnsi="Bookman Old Style"/>
          <w:lang w:val="sv-FI"/>
        </w:rPr>
        <w:t>Modal</w:t>
      </w:r>
      <w:r w:rsidR="00A954D0" w:rsidRPr="00256727">
        <w:rPr>
          <w:rFonts w:ascii="Bookman Old Style" w:hAnsi="Bookman Old Style"/>
          <w:lang w:val="sv-FI"/>
        </w:rPr>
        <w:t xml:space="preserve"> </w:t>
      </w:r>
      <w:r w:rsidRPr="00256727">
        <w:rPr>
          <w:rFonts w:ascii="Bookman Old Style" w:hAnsi="Bookman Old Style"/>
          <w:lang w:val="sv-FI"/>
        </w:rPr>
        <w:t>Alat</w:t>
      </w:r>
      <w:r w:rsidR="00A954D0" w:rsidRPr="00256727">
        <w:rPr>
          <w:rFonts w:ascii="Bookman Old Style" w:hAnsi="Bookman Old Style"/>
          <w:lang w:val="sv-FI"/>
        </w:rPr>
        <w:t xml:space="preserve"> </w:t>
      </w:r>
      <w:r w:rsidRPr="00256727">
        <w:rPr>
          <w:rFonts w:ascii="Bookman Old Style" w:hAnsi="Bookman Old Style"/>
          <w:lang w:val="sv-FI"/>
        </w:rPr>
        <w:t>Kedokteran</w:t>
      </w:r>
      <w:r w:rsidR="00A954D0" w:rsidRPr="00256727">
        <w:rPr>
          <w:rFonts w:ascii="Bookman Old Style" w:hAnsi="Bookman Old Style"/>
          <w:lang w:val="sv-FI"/>
        </w:rPr>
        <w:t xml:space="preserve"> </w:t>
      </w:r>
      <w:r w:rsidRPr="00256727">
        <w:rPr>
          <w:rFonts w:ascii="Bookman Old Style" w:hAnsi="Bookman Old Style"/>
          <w:lang w:val="sv-FI"/>
        </w:rPr>
        <w:t>dan</w:t>
      </w:r>
      <w:r w:rsidR="00A954D0" w:rsidRPr="00256727">
        <w:rPr>
          <w:rFonts w:ascii="Bookman Old Style" w:hAnsi="Bookman Old Style"/>
          <w:lang w:val="sv-FI"/>
        </w:rPr>
        <w:t xml:space="preserve"> </w:t>
      </w:r>
      <w:r w:rsidRPr="00256727">
        <w:rPr>
          <w:rFonts w:ascii="Bookman Old Style" w:hAnsi="Bookman Old Style"/>
          <w:lang w:val="sv-FI"/>
        </w:rPr>
        <w:t>Kesehatan</w:t>
      </w:r>
      <w:r w:rsidR="00A954D0" w:rsidRPr="00256727">
        <w:rPr>
          <w:rFonts w:ascii="Bookman Old Style" w:hAnsi="Bookman Old Style"/>
          <w:lang w:val="sv-FI"/>
        </w:rPr>
        <w:t xml:space="preserve"> </w:t>
      </w:r>
      <w:r w:rsidRPr="00256727">
        <w:rPr>
          <w:rFonts w:ascii="Bookman Old Style" w:hAnsi="Bookman Old Style"/>
          <w:lang w:val="sv-FI"/>
        </w:rPr>
        <w:t>sebagaimana</w:t>
      </w:r>
      <w:r w:rsidR="00A954D0" w:rsidRPr="00256727">
        <w:rPr>
          <w:rFonts w:ascii="Bookman Old Style" w:hAnsi="Bookman Old Style"/>
          <w:lang w:val="sv-FI"/>
        </w:rPr>
        <w:t xml:space="preserve"> </w:t>
      </w:r>
      <w:r w:rsidRPr="00256727">
        <w:rPr>
          <w:rFonts w:ascii="Bookman Old Style" w:hAnsi="Bookman Old Style"/>
          <w:lang w:val="sv-FI"/>
        </w:rPr>
        <w:t>dimaksud</w:t>
      </w:r>
      <w:r w:rsidR="00A954D0" w:rsidRPr="00256727">
        <w:rPr>
          <w:rFonts w:ascii="Bookman Old Style" w:hAnsi="Bookman Old Style"/>
          <w:lang w:val="sv-FI"/>
        </w:rPr>
        <w:t xml:space="preserve"> </w:t>
      </w:r>
      <w:r w:rsidRPr="00256727">
        <w:rPr>
          <w:rFonts w:ascii="Bookman Old Style" w:hAnsi="Bookman Old Style"/>
          <w:b/>
          <w:bCs/>
          <w:lang w:val="sv-FI"/>
        </w:rPr>
        <w:t>pada</w:t>
      </w:r>
      <w:r w:rsidR="00A954D0" w:rsidRPr="00256727">
        <w:rPr>
          <w:rFonts w:ascii="Bookman Old Style" w:hAnsi="Bookman Old Style"/>
          <w:lang w:val="sv-FI"/>
        </w:rPr>
        <w:t xml:space="preserve"> </w:t>
      </w:r>
      <w:r w:rsidRPr="00256727">
        <w:rPr>
          <w:rFonts w:ascii="Bookman Old Style" w:hAnsi="Bookman Old Style"/>
          <w:lang w:val="sv-FI"/>
        </w:rPr>
        <w:t>ayat</w:t>
      </w:r>
      <w:r w:rsidR="00A954D0" w:rsidRPr="00256727">
        <w:rPr>
          <w:rFonts w:ascii="Bookman Old Style" w:hAnsi="Bookman Old Style"/>
          <w:lang w:val="sv-FI"/>
        </w:rPr>
        <w:t xml:space="preserve"> </w:t>
      </w:r>
      <w:r w:rsidRPr="00256727">
        <w:rPr>
          <w:rFonts w:ascii="Bookman Old Style" w:hAnsi="Bookman Old Style"/>
          <w:lang w:val="sv-FI"/>
        </w:rPr>
        <w:t>(1)</w:t>
      </w:r>
      <w:r w:rsidR="00A954D0" w:rsidRPr="00256727">
        <w:rPr>
          <w:rFonts w:ascii="Bookman Old Style" w:hAnsi="Bookman Old Style"/>
          <w:lang w:val="sv-FI"/>
        </w:rPr>
        <w:t xml:space="preserve"> </w:t>
      </w:r>
      <w:r w:rsidRPr="00256727">
        <w:rPr>
          <w:rFonts w:ascii="Bookman Old Style" w:hAnsi="Bookman Old Style"/>
          <w:lang w:val="sv-FI"/>
        </w:rPr>
        <w:t>huruf</w:t>
      </w:r>
      <w:r w:rsidR="00A954D0" w:rsidRPr="00256727">
        <w:rPr>
          <w:rFonts w:ascii="Bookman Old Style" w:hAnsi="Bookman Old Style"/>
          <w:lang w:val="sv-FI"/>
        </w:rPr>
        <w:t xml:space="preserve"> </w:t>
      </w:r>
      <w:r w:rsidRPr="00256727">
        <w:rPr>
          <w:rFonts w:ascii="Bookman Old Style" w:hAnsi="Bookman Old Style"/>
          <w:lang w:val="sv-FI"/>
        </w:rPr>
        <w:t>g</w:t>
      </w:r>
      <w:r w:rsidR="00A954D0" w:rsidRPr="00256727">
        <w:rPr>
          <w:rFonts w:ascii="Bookman Old Style" w:hAnsi="Bookman Old Style"/>
          <w:lang w:val="sv-FI"/>
        </w:rPr>
        <w:t xml:space="preserve"> </w:t>
      </w:r>
      <w:r w:rsidRPr="00256727">
        <w:rPr>
          <w:rFonts w:ascii="Bookman Old Style" w:hAnsi="Bookman Old Style"/>
          <w:lang w:val="sv-FI"/>
        </w:rPr>
        <w:t>terdiri</w:t>
      </w:r>
      <w:r w:rsidR="00A954D0" w:rsidRPr="00256727">
        <w:rPr>
          <w:rFonts w:ascii="Bookman Old Style" w:hAnsi="Bookman Old Style"/>
          <w:lang w:val="sv-FI"/>
        </w:rPr>
        <w:t xml:space="preserve"> </w:t>
      </w:r>
      <w:r w:rsidRPr="00256727">
        <w:rPr>
          <w:rFonts w:ascii="Bookman Old Style" w:hAnsi="Bookman Old Style"/>
          <w:lang w:val="sv-FI"/>
        </w:rPr>
        <w:t>atas:…</w:t>
      </w:r>
    </w:p>
    <w:p w14:paraId="70FB6C9A" w14:textId="2FFCA543" w:rsidR="006E2F8F" w:rsidRPr="00256727" w:rsidRDefault="006E2F8F" w:rsidP="007D4940">
      <w:pPr>
        <w:numPr>
          <w:ilvl w:val="0"/>
          <w:numId w:val="176"/>
        </w:numPr>
        <w:snapToGrid w:val="0"/>
        <w:spacing w:before="60" w:line="276" w:lineRule="auto"/>
        <w:ind w:left="2268" w:hanging="567"/>
        <w:jc w:val="both"/>
        <w:rPr>
          <w:rFonts w:ascii="Bookman Old Style" w:hAnsi="Bookman Old Style" w:cs="Tahoma"/>
          <w:lang w:val="sv-FI"/>
        </w:rPr>
      </w:pPr>
      <w:r w:rsidRPr="00256727">
        <w:rPr>
          <w:rFonts w:ascii="Bookman Old Style" w:hAnsi="Bookman Old Style" w:cs="Tahoma"/>
          <w:lang w:val="sv-FI"/>
        </w:rPr>
        <w:t>Pasal</w:t>
      </w:r>
      <w:r w:rsidR="00A954D0" w:rsidRPr="00256727">
        <w:rPr>
          <w:rFonts w:ascii="Bookman Old Style" w:hAnsi="Bookman Old Style" w:cs="Tahoma"/>
          <w:lang w:val="sv-FI"/>
        </w:rPr>
        <w:t xml:space="preserve"> </w:t>
      </w:r>
      <w:r w:rsidRPr="00256727">
        <w:rPr>
          <w:rFonts w:ascii="Bookman Old Style" w:hAnsi="Bookman Old Style" w:cs="Tahoma"/>
          <w:lang w:val="sv-FI"/>
        </w:rPr>
        <w:t>21</w:t>
      </w:r>
      <w:r w:rsidR="00A954D0" w:rsidRPr="00256727">
        <w:rPr>
          <w:rFonts w:ascii="Bookman Old Style" w:hAnsi="Bookman Old Style" w:cs="Tahoma"/>
          <w:lang w:val="sv-FI"/>
        </w:rPr>
        <w:t xml:space="preserve"> </w:t>
      </w:r>
      <w:r w:rsidRPr="00256727">
        <w:rPr>
          <w:rFonts w:ascii="Bookman Old Style" w:hAnsi="Bookman Old Style" w:cs="Tahoma"/>
          <w:lang w:val="sv-FI"/>
        </w:rPr>
        <w:t>ayat</w:t>
      </w:r>
      <w:r w:rsidR="00A954D0" w:rsidRPr="00256727">
        <w:rPr>
          <w:rFonts w:ascii="Bookman Old Style" w:hAnsi="Bookman Old Style" w:cs="Tahoma"/>
          <w:lang w:val="sv-FI"/>
        </w:rPr>
        <w:t xml:space="preserve"> </w:t>
      </w:r>
      <w:r w:rsidRPr="00256727">
        <w:rPr>
          <w:rFonts w:ascii="Bookman Old Style" w:hAnsi="Bookman Old Style" w:cs="Tahoma"/>
          <w:lang w:val="sv-FI"/>
        </w:rPr>
        <w:t>(8)</w:t>
      </w:r>
      <w:r w:rsidR="00A954D0" w:rsidRPr="00256727">
        <w:rPr>
          <w:rFonts w:ascii="Bookman Old Style" w:hAnsi="Bookman Old Style" w:cs="Tahoma"/>
          <w:lang w:val="sv-FI"/>
        </w:rPr>
        <w:t xml:space="preserve"> </w:t>
      </w:r>
      <w:r w:rsidRPr="00256727">
        <w:rPr>
          <w:rFonts w:ascii="Bookman Old Style" w:hAnsi="Bookman Old Style" w:cs="Tahoma"/>
          <w:lang w:val="sv-FI"/>
        </w:rPr>
        <w:t>agar</w:t>
      </w:r>
      <w:r w:rsidR="00A954D0" w:rsidRPr="00256727">
        <w:rPr>
          <w:rFonts w:ascii="Bookman Old Style" w:hAnsi="Bookman Old Style" w:cs="Tahoma"/>
          <w:lang w:val="sv-FI"/>
        </w:rPr>
        <w:t xml:space="preserve"> </w:t>
      </w:r>
      <w:r w:rsidRPr="00256727">
        <w:rPr>
          <w:rFonts w:ascii="Bookman Old Style" w:hAnsi="Bookman Old Style" w:cs="Tahoma"/>
          <w:lang w:val="sv-FI"/>
        </w:rPr>
        <w:t>diperbaiki</w:t>
      </w:r>
      <w:r w:rsidR="00A954D0" w:rsidRPr="00256727">
        <w:rPr>
          <w:rFonts w:ascii="Bookman Old Style" w:hAnsi="Bookman Old Style" w:cs="Tahoma"/>
          <w:lang w:val="sv-FI"/>
        </w:rPr>
        <w:t xml:space="preserve"> </w:t>
      </w:r>
      <w:r w:rsidRPr="00256727">
        <w:rPr>
          <w:rFonts w:ascii="Bookman Old Style" w:hAnsi="Bookman Old Style" w:cs="Tahoma"/>
          <w:lang w:val="sv-FI"/>
        </w:rPr>
        <w:t>redaksionalnya</w:t>
      </w:r>
      <w:r w:rsidR="00A954D0" w:rsidRPr="00256727">
        <w:rPr>
          <w:rFonts w:ascii="Bookman Old Style" w:hAnsi="Bookman Old Style" w:cs="Tahoma"/>
          <w:lang w:val="sv-FI"/>
        </w:rPr>
        <w:t xml:space="preserve"> </w:t>
      </w:r>
      <w:r w:rsidRPr="00256727">
        <w:rPr>
          <w:rFonts w:ascii="Bookman Old Style" w:hAnsi="Bookman Old Style" w:cs="Tahoma"/>
          <w:lang w:val="sv-FI"/>
        </w:rPr>
        <w:t>menjadi:</w:t>
      </w:r>
    </w:p>
    <w:p w14:paraId="788249A0" w14:textId="0290E56A" w:rsidR="006E2F8F" w:rsidRPr="00256727" w:rsidRDefault="006E2F8F" w:rsidP="007D4940">
      <w:pPr>
        <w:snapToGrid w:val="0"/>
        <w:spacing w:before="60" w:line="276" w:lineRule="auto"/>
        <w:ind w:left="2268"/>
        <w:jc w:val="both"/>
        <w:rPr>
          <w:rFonts w:ascii="Bookman Old Style" w:hAnsi="Bookman Old Style" w:cs="Tahoma"/>
          <w:lang w:val="sv-FI"/>
        </w:rPr>
      </w:pPr>
      <w:r w:rsidRPr="00256727">
        <w:rPr>
          <w:rFonts w:ascii="Bookman Old Style" w:hAnsi="Bookman Old Style"/>
          <w:lang w:val="sv-FI"/>
        </w:rPr>
        <w:t>Anggaran</w:t>
      </w:r>
      <w:r w:rsidR="00A954D0" w:rsidRPr="00256727">
        <w:rPr>
          <w:rFonts w:ascii="Bookman Old Style" w:hAnsi="Bookman Old Style"/>
          <w:lang w:val="sv-FI"/>
        </w:rPr>
        <w:t xml:space="preserve"> </w:t>
      </w:r>
      <w:r w:rsidRPr="00256727">
        <w:rPr>
          <w:rFonts w:ascii="Bookman Old Style" w:hAnsi="Bookman Old Style"/>
          <w:lang w:val="sv-FI"/>
        </w:rPr>
        <w:t>Belanja</w:t>
      </w:r>
      <w:r w:rsidR="00A954D0" w:rsidRPr="00256727">
        <w:rPr>
          <w:rFonts w:ascii="Bookman Old Style" w:hAnsi="Bookman Old Style"/>
          <w:lang w:val="sv-FI"/>
        </w:rPr>
        <w:t xml:space="preserve"> </w:t>
      </w:r>
      <w:r w:rsidRPr="00256727">
        <w:rPr>
          <w:rFonts w:ascii="Bookman Old Style" w:hAnsi="Bookman Old Style"/>
          <w:lang w:val="sv-FI"/>
        </w:rPr>
        <w:t>Modal</w:t>
      </w:r>
      <w:r w:rsidR="00A954D0" w:rsidRPr="00256727">
        <w:rPr>
          <w:rFonts w:ascii="Bookman Old Style" w:hAnsi="Bookman Old Style"/>
          <w:lang w:val="sv-FI"/>
        </w:rPr>
        <w:t xml:space="preserve"> </w:t>
      </w:r>
      <w:r w:rsidRPr="00256727">
        <w:rPr>
          <w:rFonts w:ascii="Bookman Old Style" w:hAnsi="Bookman Old Style"/>
          <w:lang w:val="sv-FI"/>
        </w:rPr>
        <w:t>Alat</w:t>
      </w:r>
      <w:r w:rsidR="00A954D0" w:rsidRPr="00256727">
        <w:rPr>
          <w:rFonts w:ascii="Bookman Old Style" w:hAnsi="Bookman Old Style"/>
          <w:lang w:val="sv-FI"/>
        </w:rPr>
        <w:t xml:space="preserve"> </w:t>
      </w:r>
      <w:r w:rsidRPr="00256727">
        <w:rPr>
          <w:rFonts w:ascii="Bookman Old Style" w:hAnsi="Bookman Old Style"/>
          <w:lang w:val="sv-FI"/>
        </w:rPr>
        <w:t>Laboratorium</w:t>
      </w:r>
      <w:r w:rsidR="00A954D0" w:rsidRPr="00256727">
        <w:rPr>
          <w:rFonts w:ascii="Bookman Old Style" w:hAnsi="Bookman Old Style"/>
          <w:lang w:val="sv-FI"/>
        </w:rPr>
        <w:t xml:space="preserve"> </w:t>
      </w:r>
      <w:r w:rsidRPr="00256727">
        <w:rPr>
          <w:rFonts w:ascii="Bookman Old Style" w:hAnsi="Bookman Old Style"/>
          <w:lang w:val="sv-FI"/>
        </w:rPr>
        <w:t>sebagaimana</w:t>
      </w:r>
      <w:r w:rsidR="00A954D0" w:rsidRPr="00256727">
        <w:rPr>
          <w:rFonts w:ascii="Bookman Old Style" w:hAnsi="Bookman Old Style"/>
          <w:lang w:val="sv-FI"/>
        </w:rPr>
        <w:t xml:space="preserve"> </w:t>
      </w:r>
      <w:r w:rsidRPr="00256727">
        <w:rPr>
          <w:rFonts w:ascii="Bookman Old Style" w:hAnsi="Bookman Old Style"/>
          <w:lang w:val="sv-FI"/>
        </w:rPr>
        <w:t>dimaksud</w:t>
      </w:r>
      <w:r w:rsidR="00A954D0" w:rsidRPr="00256727">
        <w:rPr>
          <w:rFonts w:ascii="Bookman Old Style" w:hAnsi="Bookman Old Style"/>
          <w:lang w:val="sv-FI"/>
        </w:rPr>
        <w:t xml:space="preserve"> </w:t>
      </w:r>
      <w:r w:rsidRPr="00256727">
        <w:rPr>
          <w:rFonts w:ascii="Bookman Old Style" w:hAnsi="Bookman Old Style"/>
          <w:b/>
          <w:bCs/>
          <w:lang w:val="sv-FI"/>
        </w:rPr>
        <w:t>pada</w:t>
      </w:r>
      <w:r w:rsidR="00A954D0" w:rsidRPr="00256727">
        <w:rPr>
          <w:rFonts w:ascii="Bookman Old Style" w:hAnsi="Bookman Old Style"/>
          <w:lang w:val="sv-FI"/>
        </w:rPr>
        <w:t xml:space="preserve"> </w:t>
      </w:r>
      <w:r w:rsidRPr="00256727">
        <w:rPr>
          <w:rFonts w:ascii="Bookman Old Style" w:hAnsi="Bookman Old Style"/>
          <w:lang w:val="sv-FI"/>
        </w:rPr>
        <w:t>ayat</w:t>
      </w:r>
      <w:r w:rsidR="00A954D0" w:rsidRPr="00256727">
        <w:rPr>
          <w:rFonts w:ascii="Bookman Old Style" w:hAnsi="Bookman Old Style"/>
          <w:lang w:val="sv-FI"/>
        </w:rPr>
        <w:t xml:space="preserve"> </w:t>
      </w:r>
      <w:r w:rsidRPr="00256727">
        <w:rPr>
          <w:rFonts w:ascii="Bookman Old Style" w:hAnsi="Bookman Old Style"/>
          <w:lang w:val="sv-FI"/>
        </w:rPr>
        <w:t>(1)</w:t>
      </w:r>
      <w:r w:rsidR="00A954D0" w:rsidRPr="00256727">
        <w:rPr>
          <w:rFonts w:ascii="Bookman Old Style" w:hAnsi="Bookman Old Style"/>
          <w:lang w:val="sv-FI"/>
        </w:rPr>
        <w:t xml:space="preserve"> </w:t>
      </w:r>
      <w:r w:rsidRPr="00256727">
        <w:rPr>
          <w:rFonts w:ascii="Bookman Old Style" w:hAnsi="Bookman Old Style"/>
          <w:lang w:val="sv-FI"/>
        </w:rPr>
        <w:t>huruf</w:t>
      </w:r>
      <w:r w:rsidR="00A954D0" w:rsidRPr="00256727">
        <w:rPr>
          <w:rFonts w:ascii="Bookman Old Style" w:hAnsi="Bookman Old Style"/>
          <w:lang w:val="sv-FI"/>
        </w:rPr>
        <w:t xml:space="preserve"> </w:t>
      </w:r>
      <w:r w:rsidRPr="00256727">
        <w:rPr>
          <w:rFonts w:ascii="Bookman Old Style" w:hAnsi="Bookman Old Style"/>
          <w:lang w:val="sv-FI"/>
        </w:rPr>
        <w:t>h</w:t>
      </w:r>
      <w:r w:rsidR="00A954D0" w:rsidRPr="00256727">
        <w:rPr>
          <w:rFonts w:ascii="Bookman Old Style" w:hAnsi="Bookman Old Style"/>
          <w:lang w:val="sv-FI"/>
        </w:rPr>
        <w:t xml:space="preserve"> </w:t>
      </w:r>
      <w:r w:rsidRPr="00256727">
        <w:rPr>
          <w:rFonts w:ascii="Bookman Old Style" w:hAnsi="Bookman Old Style"/>
          <w:lang w:val="sv-FI"/>
        </w:rPr>
        <w:t>terdiri</w:t>
      </w:r>
      <w:r w:rsidR="00A954D0" w:rsidRPr="00256727">
        <w:rPr>
          <w:rFonts w:ascii="Bookman Old Style" w:hAnsi="Bookman Old Style"/>
          <w:lang w:val="sv-FI"/>
        </w:rPr>
        <w:t xml:space="preserve"> </w:t>
      </w:r>
      <w:r w:rsidRPr="00256727">
        <w:rPr>
          <w:rFonts w:ascii="Bookman Old Style" w:hAnsi="Bookman Old Style"/>
          <w:lang w:val="sv-FI"/>
        </w:rPr>
        <w:t>atas:….</w:t>
      </w:r>
    </w:p>
    <w:p w14:paraId="394F7EBB" w14:textId="456D876D" w:rsidR="006E2F8F" w:rsidRPr="00256727" w:rsidRDefault="006E2F8F" w:rsidP="007D4940">
      <w:pPr>
        <w:numPr>
          <w:ilvl w:val="0"/>
          <w:numId w:val="176"/>
        </w:numPr>
        <w:snapToGrid w:val="0"/>
        <w:spacing w:before="60" w:line="276" w:lineRule="auto"/>
        <w:ind w:left="2268" w:hanging="567"/>
        <w:jc w:val="both"/>
        <w:rPr>
          <w:rFonts w:ascii="Bookman Old Style" w:hAnsi="Bookman Old Style" w:cs="Tahoma"/>
          <w:lang w:val="sv-FI"/>
        </w:rPr>
      </w:pPr>
      <w:r w:rsidRPr="00256727">
        <w:rPr>
          <w:rFonts w:ascii="Bookman Old Style" w:hAnsi="Bookman Old Style" w:cs="Tahoma"/>
          <w:lang w:val="sv-FI"/>
        </w:rPr>
        <w:t>Pasal</w:t>
      </w:r>
      <w:r w:rsidR="00A954D0" w:rsidRPr="00256727">
        <w:rPr>
          <w:rFonts w:ascii="Bookman Old Style" w:hAnsi="Bookman Old Style" w:cs="Tahoma"/>
          <w:lang w:val="sv-FI"/>
        </w:rPr>
        <w:t xml:space="preserve"> </w:t>
      </w:r>
      <w:r w:rsidRPr="00256727">
        <w:rPr>
          <w:rFonts w:ascii="Bookman Old Style" w:hAnsi="Bookman Old Style" w:cs="Tahoma"/>
          <w:lang w:val="sv-FI"/>
        </w:rPr>
        <w:t>21</w:t>
      </w:r>
      <w:r w:rsidR="00A954D0" w:rsidRPr="00256727">
        <w:rPr>
          <w:rFonts w:ascii="Bookman Old Style" w:hAnsi="Bookman Old Style" w:cs="Tahoma"/>
          <w:lang w:val="sv-FI"/>
        </w:rPr>
        <w:t xml:space="preserve"> </w:t>
      </w:r>
      <w:r w:rsidRPr="00256727">
        <w:rPr>
          <w:rFonts w:ascii="Bookman Old Style" w:hAnsi="Bookman Old Style" w:cs="Tahoma"/>
          <w:lang w:val="sv-FI"/>
        </w:rPr>
        <w:t>ayat</w:t>
      </w:r>
      <w:r w:rsidR="00A954D0" w:rsidRPr="00256727">
        <w:rPr>
          <w:rFonts w:ascii="Bookman Old Style" w:hAnsi="Bookman Old Style" w:cs="Tahoma"/>
          <w:lang w:val="sv-FI"/>
        </w:rPr>
        <w:t xml:space="preserve"> </w:t>
      </w:r>
      <w:r w:rsidRPr="00256727">
        <w:rPr>
          <w:rFonts w:ascii="Bookman Old Style" w:hAnsi="Bookman Old Style" w:cs="Tahoma"/>
          <w:lang w:val="sv-FI"/>
        </w:rPr>
        <w:t>(9)</w:t>
      </w:r>
      <w:r w:rsidR="00A954D0" w:rsidRPr="00256727">
        <w:rPr>
          <w:rFonts w:ascii="Bookman Old Style" w:hAnsi="Bookman Old Style" w:cs="Tahoma"/>
          <w:lang w:val="sv-FI"/>
        </w:rPr>
        <w:t xml:space="preserve"> </w:t>
      </w:r>
      <w:r w:rsidRPr="00256727">
        <w:rPr>
          <w:rFonts w:ascii="Bookman Old Style" w:hAnsi="Bookman Old Style" w:cs="Tahoma"/>
          <w:lang w:val="sv-FI"/>
        </w:rPr>
        <w:t>agar</w:t>
      </w:r>
      <w:r w:rsidR="00A954D0" w:rsidRPr="00256727">
        <w:rPr>
          <w:rFonts w:ascii="Bookman Old Style" w:hAnsi="Bookman Old Style" w:cs="Tahoma"/>
          <w:lang w:val="sv-FI"/>
        </w:rPr>
        <w:t xml:space="preserve"> </w:t>
      </w:r>
      <w:r w:rsidRPr="00256727">
        <w:rPr>
          <w:rFonts w:ascii="Bookman Old Style" w:hAnsi="Bookman Old Style" w:cs="Tahoma"/>
          <w:lang w:val="sv-FI"/>
        </w:rPr>
        <w:t>diperbaiki</w:t>
      </w:r>
      <w:r w:rsidR="00A954D0" w:rsidRPr="00256727">
        <w:rPr>
          <w:rFonts w:ascii="Bookman Old Style" w:hAnsi="Bookman Old Style" w:cs="Tahoma"/>
          <w:lang w:val="sv-FI"/>
        </w:rPr>
        <w:t xml:space="preserve"> </w:t>
      </w:r>
      <w:r w:rsidRPr="00256727">
        <w:rPr>
          <w:rFonts w:ascii="Bookman Old Style" w:hAnsi="Bookman Old Style" w:cs="Tahoma"/>
          <w:lang w:val="sv-FI"/>
        </w:rPr>
        <w:t>redaksionalnya</w:t>
      </w:r>
      <w:r w:rsidR="00A954D0" w:rsidRPr="00256727">
        <w:rPr>
          <w:rFonts w:ascii="Bookman Old Style" w:hAnsi="Bookman Old Style" w:cs="Tahoma"/>
          <w:lang w:val="sv-FI"/>
        </w:rPr>
        <w:t xml:space="preserve"> </w:t>
      </w:r>
      <w:r w:rsidRPr="00256727">
        <w:rPr>
          <w:rFonts w:ascii="Bookman Old Style" w:hAnsi="Bookman Old Style" w:cs="Tahoma"/>
          <w:lang w:val="sv-FI"/>
        </w:rPr>
        <w:t>menjadi:</w:t>
      </w:r>
    </w:p>
    <w:p w14:paraId="39BD8C4C" w14:textId="4C193FE9" w:rsidR="006E2F8F" w:rsidRPr="00256727" w:rsidRDefault="006E2F8F" w:rsidP="007D4940">
      <w:pPr>
        <w:snapToGrid w:val="0"/>
        <w:spacing w:before="60" w:line="276" w:lineRule="auto"/>
        <w:ind w:left="2268"/>
        <w:jc w:val="both"/>
        <w:rPr>
          <w:rFonts w:ascii="Bookman Old Style" w:hAnsi="Bookman Old Style" w:cs="Tahoma"/>
          <w:lang w:val="sv-FI"/>
        </w:rPr>
      </w:pPr>
      <w:r w:rsidRPr="00256727">
        <w:rPr>
          <w:rFonts w:ascii="Bookman Old Style" w:hAnsi="Bookman Old Style"/>
          <w:lang w:val="sv-FI"/>
        </w:rPr>
        <w:t>Anggaran</w:t>
      </w:r>
      <w:r w:rsidR="00A954D0" w:rsidRPr="00256727">
        <w:rPr>
          <w:rFonts w:ascii="Bookman Old Style" w:hAnsi="Bookman Old Style"/>
          <w:lang w:val="sv-FI"/>
        </w:rPr>
        <w:t xml:space="preserve"> </w:t>
      </w:r>
      <w:r w:rsidRPr="00256727">
        <w:rPr>
          <w:rFonts w:ascii="Bookman Old Style" w:hAnsi="Bookman Old Style"/>
          <w:lang w:val="sv-FI"/>
        </w:rPr>
        <w:t>Belanja</w:t>
      </w:r>
      <w:r w:rsidR="00A954D0" w:rsidRPr="00256727">
        <w:rPr>
          <w:rFonts w:ascii="Bookman Old Style" w:hAnsi="Bookman Old Style"/>
          <w:lang w:val="sv-FI"/>
        </w:rPr>
        <w:t xml:space="preserve"> </w:t>
      </w:r>
      <w:r w:rsidRPr="00256727">
        <w:rPr>
          <w:rFonts w:ascii="Bookman Old Style" w:hAnsi="Bookman Old Style"/>
          <w:lang w:val="sv-FI"/>
        </w:rPr>
        <w:t>Modal</w:t>
      </w:r>
      <w:r w:rsidR="00A954D0" w:rsidRPr="00256727">
        <w:rPr>
          <w:rFonts w:ascii="Bookman Old Style" w:hAnsi="Bookman Old Style"/>
          <w:lang w:val="sv-FI"/>
        </w:rPr>
        <w:t xml:space="preserve"> </w:t>
      </w:r>
      <w:r w:rsidRPr="00256727">
        <w:rPr>
          <w:rFonts w:ascii="Bookman Old Style" w:hAnsi="Bookman Old Style"/>
          <w:lang w:val="sv-FI"/>
        </w:rPr>
        <w:t>Komputer</w:t>
      </w:r>
      <w:r w:rsidR="00A954D0" w:rsidRPr="00256727">
        <w:rPr>
          <w:rFonts w:ascii="Bookman Old Style" w:hAnsi="Bookman Old Style"/>
          <w:lang w:val="sv-FI"/>
        </w:rPr>
        <w:t xml:space="preserve"> </w:t>
      </w:r>
      <w:r w:rsidRPr="00256727">
        <w:rPr>
          <w:rFonts w:ascii="Bookman Old Style" w:hAnsi="Bookman Old Style"/>
          <w:lang w:val="sv-FI"/>
        </w:rPr>
        <w:t>sebagaimana</w:t>
      </w:r>
      <w:r w:rsidR="00A954D0" w:rsidRPr="00256727">
        <w:rPr>
          <w:rFonts w:ascii="Bookman Old Style" w:hAnsi="Bookman Old Style"/>
          <w:lang w:val="sv-FI"/>
        </w:rPr>
        <w:t xml:space="preserve"> </w:t>
      </w:r>
      <w:r w:rsidRPr="00256727">
        <w:rPr>
          <w:rFonts w:ascii="Bookman Old Style" w:hAnsi="Bookman Old Style"/>
          <w:lang w:val="sv-FI"/>
        </w:rPr>
        <w:t>dimaksud</w:t>
      </w:r>
      <w:r w:rsidR="00A954D0" w:rsidRPr="00256727">
        <w:rPr>
          <w:rFonts w:ascii="Bookman Old Style" w:hAnsi="Bookman Old Style"/>
          <w:lang w:val="sv-FI"/>
        </w:rPr>
        <w:t xml:space="preserve"> </w:t>
      </w:r>
      <w:r w:rsidRPr="00256727">
        <w:rPr>
          <w:rFonts w:ascii="Bookman Old Style" w:hAnsi="Bookman Old Style"/>
          <w:b/>
          <w:bCs/>
          <w:lang w:val="sv-FI"/>
        </w:rPr>
        <w:t>pada</w:t>
      </w:r>
      <w:r w:rsidR="00A954D0" w:rsidRPr="00256727">
        <w:rPr>
          <w:rFonts w:ascii="Bookman Old Style" w:hAnsi="Bookman Old Style"/>
          <w:lang w:val="sv-FI"/>
        </w:rPr>
        <w:t xml:space="preserve"> </w:t>
      </w:r>
      <w:r w:rsidRPr="00256727">
        <w:rPr>
          <w:rFonts w:ascii="Bookman Old Style" w:hAnsi="Bookman Old Style"/>
          <w:lang w:val="sv-FI"/>
        </w:rPr>
        <w:t>ayat</w:t>
      </w:r>
      <w:r w:rsidR="00A954D0" w:rsidRPr="00256727">
        <w:rPr>
          <w:rFonts w:ascii="Bookman Old Style" w:hAnsi="Bookman Old Style"/>
          <w:lang w:val="sv-FI"/>
        </w:rPr>
        <w:t xml:space="preserve"> </w:t>
      </w:r>
      <w:r w:rsidRPr="00256727">
        <w:rPr>
          <w:rFonts w:ascii="Bookman Old Style" w:hAnsi="Bookman Old Style"/>
          <w:lang w:val="sv-FI"/>
        </w:rPr>
        <w:t>(1)</w:t>
      </w:r>
      <w:r w:rsidR="00A954D0" w:rsidRPr="00256727">
        <w:rPr>
          <w:rFonts w:ascii="Bookman Old Style" w:hAnsi="Bookman Old Style"/>
          <w:lang w:val="sv-FI"/>
        </w:rPr>
        <w:t xml:space="preserve"> </w:t>
      </w:r>
      <w:r w:rsidRPr="00256727">
        <w:rPr>
          <w:rFonts w:ascii="Bookman Old Style" w:hAnsi="Bookman Old Style"/>
          <w:lang w:val="sv-FI"/>
        </w:rPr>
        <w:t>huruf</w:t>
      </w:r>
      <w:r w:rsidR="00A954D0" w:rsidRPr="00256727">
        <w:rPr>
          <w:rFonts w:ascii="Bookman Old Style" w:hAnsi="Bookman Old Style"/>
          <w:lang w:val="sv-FI"/>
        </w:rPr>
        <w:t xml:space="preserve"> </w:t>
      </w:r>
      <w:r w:rsidRPr="00256727">
        <w:rPr>
          <w:rFonts w:ascii="Bookman Old Style" w:hAnsi="Bookman Old Style"/>
          <w:lang w:val="sv-FI"/>
        </w:rPr>
        <w:t>i</w:t>
      </w:r>
      <w:r w:rsidR="00A954D0" w:rsidRPr="00256727">
        <w:rPr>
          <w:rFonts w:ascii="Bookman Old Style" w:hAnsi="Bookman Old Style"/>
          <w:lang w:val="sv-FI"/>
        </w:rPr>
        <w:t xml:space="preserve"> </w:t>
      </w:r>
      <w:r w:rsidRPr="00256727">
        <w:rPr>
          <w:rFonts w:ascii="Bookman Old Style" w:hAnsi="Bookman Old Style"/>
          <w:lang w:val="sv-FI"/>
        </w:rPr>
        <w:t>terdiri</w:t>
      </w:r>
      <w:r w:rsidR="00A954D0" w:rsidRPr="00256727">
        <w:rPr>
          <w:rFonts w:ascii="Bookman Old Style" w:hAnsi="Bookman Old Style"/>
          <w:lang w:val="sv-FI"/>
        </w:rPr>
        <w:t xml:space="preserve"> </w:t>
      </w:r>
      <w:r w:rsidRPr="00256727">
        <w:rPr>
          <w:rFonts w:ascii="Bookman Old Style" w:hAnsi="Bookman Old Style"/>
          <w:lang w:val="sv-FI"/>
        </w:rPr>
        <w:t>atas:…</w:t>
      </w:r>
    </w:p>
    <w:p w14:paraId="37BC1A93" w14:textId="31DD5B17" w:rsidR="006E2F8F" w:rsidRPr="00256727" w:rsidRDefault="006E2F8F" w:rsidP="007D4940">
      <w:pPr>
        <w:numPr>
          <w:ilvl w:val="0"/>
          <w:numId w:val="176"/>
        </w:numPr>
        <w:snapToGrid w:val="0"/>
        <w:spacing w:before="60" w:line="276" w:lineRule="auto"/>
        <w:ind w:left="2268" w:hanging="567"/>
        <w:jc w:val="both"/>
        <w:rPr>
          <w:rFonts w:ascii="Bookman Old Style" w:hAnsi="Bookman Old Style" w:cs="Tahoma"/>
          <w:lang w:val="sv-FI"/>
        </w:rPr>
      </w:pPr>
      <w:r w:rsidRPr="00256727">
        <w:rPr>
          <w:rFonts w:ascii="Bookman Old Style" w:hAnsi="Bookman Old Style" w:cs="Tahoma"/>
          <w:lang w:val="sv-FI"/>
        </w:rPr>
        <w:t>Pasal</w:t>
      </w:r>
      <w:r w:rsidR="00A954D0" w:rsidRPr="00256727">
        <w:rPr>
          <w:rFonts w:ascii="Bookman Old Style" w:hAnsi="Bookman Old Style" w:cs="Tahoma"/>
          <w:lang w:val="sv-FI"/>
        </w:rPr>
        <w:t xml:space="preserve"> </w:t>
      </w:r>
      <w:r w:rsidRPr="00256727">
        <w:rPr>
          <w:rFonts w:ascii="Bookman Old Style" w:hAnsi="Bookman Old Style" w:cs="Tahoma"/>
          <w:lang w:val="sv-FI"/>
        </w:rPr>
        <w:t>23</w:t>
      </w:r>
      <w:r w:rsidR="00A954D0" w:rsidRPr="00256727">
        <w:rPr>
          <w:rFonts w:ascii="Bookman Old Style" w:hAnsi="Bookman Old Style" w:cs="Tahoma"/>
          <w:lang w:val="sv-FI"/>
        </w:rPr>
        <w:t xml:space="preserve"> </w:t>
      </w:r>
      <w:r w:rsidRPr="00256727">
        <w:rPr>
          <w:rFonts w:ascii="Bookman Old Style" w:hAnsi="Bookman Old Style" w:cs="Tahoma"/>
          <w:lang w:val="sv-FI"/>
        </w:rPr>
        <w:t>ayat</w:t>
      </w:r>
      <w:r w:rsidR="00A954D0" w:rsidRPr="00256727">
        <w:rPr>
          <w:rFonts w:ascii="Bookman Old Style" w:hAnsi="Bookman Old Style" w:cs="Tahoma"/>
          <w:lang w:val="sv-FI"/>
        </w:rPr>
        <w:t xml:space="preserve"> </w:t>
      </w:r>
      <w:r w:rsidRPr="00256727">
        <w:rPr>
          <w:rFonts w:ascii="Bookman Old Style" w:hAnsi="Bookman Old Style" w:cs="Tahoma"/>
          <w:lang w:val="sv-FI"/>
        </w:rPr>
        <w:t>(2)</w:t>
      </w:r>
      <w:r w:rsidR="00A954D0" w:rsidRPr="00256727">
        <w:rPr>
          <w:rFonts w:ascii="Bookman Old Style" w:hAnsi="Bookman Old Style" w:cs="Tahoma"/>
          <w:lang w:val="sv-FI"/>
        </w:rPr>
        <w:t xml:space="preserve"> </w:t>
      </w:r>
      <w:r w:rsidRPr="00256727">
        <w:rPr>
          <w:rFonts w:ascii="Bookman Old Style" w:hAnsi="Bookman Old Style" w:cs="Tahoma"/>
          <w:lang w:val="sv-FI"/>
        </w:rPr>
        <w:t>agar</w:t>
      </w:r>
      <w:r w:rsidR="00A954D0" w:rsidRPr="00256727">
        <w:rPr>
          <w:rFonts w:ascii="Bookman Old Style" w:hAnsi="Bookman Old Style" w:cs="Tahoma"/>
          <w:lang w:val="sv-FI"/>
        </w:rPr>
        <w:t xml:space="preserve"> </w:t>
      </w:r>
      <w:r w:rsidRPr="00256727">
        <w:rPr>
          <w:rFonts w:ascii="Bookman Old Style" w:hAnsi="Bookman Old Style" w:cs="Tahoma"/>
          <w:lang w:val="sv-FI"/>
        </w:rPr>
        <w:t>diperbaiki</w:t>
      </w:r>
      <w:r w:rsidR="00A954D0" w:rsidRPr="00256727">
        <w:rPr>
          <w:rFonts w:ascii="Bookman Old Style" w:hAnsi="Bookman Old Style" w:cs="Tahoma"/>
          <w:lang w:val="sv-FI"/>
        </w:rPr>
        <w:t xml:space="preserve"> </w:t>
      </w:r>
      <w:r w:rsidRPr="00256727">
        <w:rPr>
          <w:rFonts w:ascii="Bookman Old Style" w:hAnsi="Bookman Old Style" w:cs="Tahoma"/>
          <w:lang w:val="sv-FI"/>
        </w:rPr>
        <w:t>redaksionalnya</w:t>
      </w:r>
      <w:r w:rsidR="00A954D0" w:rsidRPr="00256727">
        <w:rPr>
          <w:rFonts w:ascii="Bookman Old Style" w:hAnsi="Bookman Old Style" w:cs="Tahoma"/>
          <w:lang w:val="sv-FI"/>
        </w:rPr>
        <w:t xml:space="preserve"> </w:t>
      </w:r>
      <w:r w:rsidRPr="00256727">
        <w:rPr>
          <w:rFonts w:ascii="Bookman Old Style" w:hAnsi="Bookman Old Style" w:cs="Tahoma"/>
          <w:lang w:val="sv-FI"/>
        </w:rPr>
        <w:t>menjadi:</w:t>
      </w:r>
    </w:p>
    <w:p w14:paraId="46544082" w14:textId="0676CF25" w:rsidR="006E2F8F" w:rsidRPr="00256727" w:rsidRDefault="006E2F8F" w:rsidP="007D4940">
      <w:pPr>
        <w:snapToGrid w:val="0"/>
        <w:spacing w:before="60" w:line="276" w:lineRule="auto"/>
        <w:ind w:left="2268"/>
        <w:jc w:val="both"/>
        <w:rPr>
          <w:rFonts w:ascii="Bookman Old Style" w:hAnsi="Bookman Old Style" w:cs="Tahoma"/>
          <w:lang w:val="sv-FI"/>
        </w:rPr>
      </w:pPr>
      <w:r w:rsidRPr="00256727">
        <w:rPr>
          <w:rFonts w:ascii="Bookman Old Style" w:hAnsi="Bookman Old Style"/>
          <w:lang w:val="sv-FI"/>
        </w:rPr>
        <w:t>Belanja</w:t>
      </w:r>
      <w:r w:rsidR="00A954D0" w:rsidRPr="00256727">
        <w:rPr>
          <w:rFonts w:ascii="Bookman Old Style" w:hAnsi="Bookman Old Style"/>
          <w:lang w:val="sv-FI"/>
        </w:rPr>
        <w:t xml:space="preserve"> </w:t>
      </w:r>
      <w:r w:rsidRPr="00256727">
        <w:rPr>
          <w:rFonts w:ascii="Bookman Old Style" w:hAnsi="Bookman Old Style"/>
          <w:lang w:val="sv-FI"/>
        </w:rPr>
        <w:t>Modal</w:t>
      </w:r>
      <w:r w:rsidR="00A954D0" w:rsidRPr="00256727">
        <w:rPr>
          <w:rFonts w:ascii="Bookman Old Style" w:hAnsi="Bookman Old Style"/>
          <w:lang w:val="sv-FI"/>
        </w:rPr>
        <w:t xml:space="preserve"> </w:t>
      </w:r>
      <w:r w:rsidRPr="00256727">
        <w:rPr>
          <w:rFonts w:ascii="Bookman Old Style" w:hAnsi="Bookman Old Style"/>
          <w:lang w:val="sv-FI"/>
        </w:rPr>
        <w:t>Jalan</w:t>
      </w:r>
      <w:r w:rsidR="00A954D0" w:rsidRPr="00256727">
        <w:rPr>
          <w:rFonts w:ascii="Bookman Old Style" w:hAnsi="Bookman Old Style"/>
          <w:lang w:val="sv-FI"/>
        </w:rPr>
        <w:t xml:space="preserve"> </w:t>
      </w:r>
      <w:r w:rsidRPr="00256727">
        <w:rPr>
          <w:rFonts w:ascii="Bookman Old Style" w:hAnsi="Bookman Old Style"/>
          <w:lang w:val="sv-FI"/>
        </w:rPr>
        <w:t>dan</w:t>
      </w:r>
      <w:r w:rsidR="00A954D0" w:rsidRPr="00256727">
        <w:rPr>
          <w:rFonts w:ascii="Bookman Old Style" w:hAnsi="Bookman Old Style"/>
          <w:lang w:val="sv-FI"/>
        </w:rPr>
        <w:t xml:space="preserve"> </w:t>
      </w:r>
      <w:r w:rsidRPr="00256727">
        <w:rPr>
          <w:rFonts w:ascii="Bookman Old Style" w:hAnsi="Bookman Old Style"/>
          <w:lang w:val="sv-FI"/>
        </w:rPr>
        <w:t>Jembatan</w:t>
      </w:r>
      <w:r w:rsidR="00A954D0" w:rsidRPr="00256727">
        <w:rPr>
          <w:rFonts w:ascii="Bookman Old Style" w:hAnsi="Bookman Old Style"/>
          <w:lang w:val="sv-FI"/>
        </w:rPr>
        <w:t xml:space="preserve"> </w:t>
      </w:r>
      <w:r w:rsidRPr="00256727">
        <w:rPr>
          <w:rFonts w:ascii="Bookman Old Style" w:hAnsi="Bookman Old Style"/>
          <w:lang w:val="sv-FI"/>
        </w:rPr>
        <w:t>sebagaimana</w:t>
      </w:r>
      <w:r w:rsidR="00A954D0" w:rsidRPr="00256727">
        <w:rPr>
          <w:rFonts w:ascii="Bookman Old Style" w:hAnsi="Bookman Old Style"/>
          <w:lang w:val="sv-FI"/>
        </w:rPr>
        <w:t xml:space="preserve"> </w:t>
      </w:r>
      <w:r w:rsidRPr="00256727">
        <w:rPr>
          <w:rFonts w:ascii="Bookman Old Style" w:hAnsi="Bookman Old Style"/>
          <w:lang w:val="sv-FI"/>
        </w:rPr>
        <w:t>dimaksud</w:t>
      </w:r>
      <w:r w:rsidR="00A954D0" w:rsidRPr="00256727">
        <w:rPr>
          <w:rFonts w:ascii="Bookman Old Style" w:hAnsi="Bookman Old Style"/>
          <w:lang w:val="sv-FI"/>
        </w:rPr>
        <w:t xml:space="preserve"> </w:t>
      </w:r>
      <w:r w:rsidRPr="00256727">
        <w:rPr>
          <w:rFonts w:ascii="Bookman Old Style" w:hAnsi="Bookman Old Style"/>
          <w:b/>
          <w:bCs/>
          <w:lang w:val="sv-FI"/>
        </w:rPr>
        <w:t>pada</w:t>
      </w:r>
      <w:r w:rsidR="00A954D0" w:rsidRPr="00256727">
        <w:rPr>
          <w:rFonts w:ascii="Bookman Old Style" w:hAnsi="Bookman Old Style"/>
          <w:lang w:val="sv-FI"/>
        </w:rPr>
        <w:t xml:space="preserve"> </w:t>
      </w:r>
      <w:r w:rsidRPr="00256727">
        <w:rPr>
          <w:rFonts w:ascii="Bookman Old Style" w:hAnsi="Bookman Old Style"/>
          <w:lang w:val="sv-FI"/>
        </w:rPr>
        <w:t>ayat</w:t>
      </w:r>
      <w:r w:rsidR="00A954D0" w:rsidRPr="00256727">
        <w:rPr>
          <w:rFonts w:ascii="Bookman Old Style" w:hAnsi="Bookman Old Style"/>
          <w:lang w:val="sv-FI"/>
        </w:rPr>
        <w:t xml:space="preserve"> </w:t>
      </w:r>
      <w:r w:rsidRPr="00256727">
        <w:rPr>
          <w:rFonts w:ascii="Bookman Old Style" w:hAnsi="Bookman Old Style"/>
          <w:lang w:val="sv-FI"/>
        </w:rPr>
        <w:t>(1)</w:t>
      </w:r>
      <w:r w:rsidR="00A954D0" w:rsidRPr="00256727">
        <w:rPr>
          <w:rFonts w:ascii="Bookman Old Style" w:hAnsi="Bookman Old Style"/>
          <w:lang w:val="sv-FI"/>
        </w:rPr>
        <w:t xml:space="preserve"> </w:t>
      </w:r>
      <w:r w:rsidRPr="00256727">
        <w:rPr>
          <w:rFonts w:ascii="Bookman Old Style" w:hAnsi="Bookman Old Style"/>
          <w:lang w:val="sv-FI"/>
        </w:rPr>
        <w:t>huruf</w:t>
      </w:r>
      <w:r w:rsidR="00A954D0" w:rsidRPr="00256727">
        <w:rPr>
          <w:rFonts w:ascii="Bookman Old Style" w:hAnsi="Bookman Old Style"/>
          <w:lang w:val="sv-FI"/>
        </w:rPr>
        <w:t xml:space="preserve"> </w:t>
      </w:r>
      <w:r w:rsidRPr="00256727">
        <w:rPr>
          <w:rFonts w:ascii="Bookman Old Style" w:hAnsi="Bookman Old Style"/>
          <w:lang w:val="sv-FI"/>
        </w:rPr>
        <w:t>a</w:t>
      </w:r>
      <w:r w:rsidR="00A954D0" w:rsidRPr="00256727">
        <w:rPr>
          <w:rFonts w:ascii="Bookman Old Style" w:hAnsi="Bookman Old Style"/>
          <w:lang w:val="sv-FI"/>
        </w:rPr>
        <w:t xml:space="preserve"> </w:t>
      </w:r>
      <w:r w:rsidRPr="00256727">
        <w:rPr>
          <w:rFonts w:ascii="Bookman Old Style" w:hAnsi="Bookman Old Style"/>
          <w:lang w:val="sv-FI"/>
        </w:rPr>
        <w:t>terdiri</w:t>
      </w:r>
      <w:r w:rsidR="00A954D0" w:rsidRPr="00256727">
        <w:rPr>
          <w:rFonts w:ascii="Bookman Old Style" w:hAnsi="Bookman Old Style"/>
          <w:lang w:val="sv-FI"/>
        </w:rPr>
        <w:t xml:space="preserve"> </w:t>
      </w:r>
      <w:r w:rsidRPr="00256727">
        <w:rPr>
          <w:rFonts w:ascii="Bookman Old Style" w:hAnsi="Bookman Old Style"/>
          <w:lang w:val="sv-FI"/>
        </w:rPr>
        <w:t>atas:…</w:t>
      </w:r>
    </w:p>
    <w:p w14:paraId="293BA387" w14:textId="2ADCE8F1" w:rsidR="006E2F8F" w:rsidRPr="00256727" w:rsidRDefault="006E2F8F" w:rsidP="007D4940">
      <w:pPr>
        <w:numPr>
          <w:ilvl w:val="0"/>
          <w:numId w:val="176"/>
        </w:numPr>
        <w:snapToGrid w:val="0"/>
        <w:spacing w:before="60" w:line="276" w:lineRule="auto"/>
        <w:ind w:left="2268" w:hanging="567"/>
        <w:jc w:val="both"/>
        <w:rPr>
          <w:rFonts w:ascii="Bookman Old Style" w:hAnsi="Bookman Old Style" w:cs="Tahoma"/>
          <w:lang w:val="sv-FI"/>
        </w:rPr>
      </w:pPr>
      <w:r w:rsidRPr="00256727">
        <w:rPr>
          <w:rFonts w:ascii="Bookman Old Style" w:hAnsi="Bookman Old Style" w:cs="Tahoma"/>
          <w:lang w:val="sv-FI"/>
        </w:rPr>
        <w:t>Pasal</w:t>
      </w:r>
      <w:r w:rsidR="00A954D0" w:rsidRPr="00256727">
        <w:rPr>
          <w:rFonts w:ascii="Bookman Old Style" w:hAnsi="Bookman Old Style" w:cs="Tahoma"/>
          <w:lang w:val="sv-FI"/>
        </w:rPr>
        <w:t xml:space="preserve"> </w:t>
      </w:r>
      <w:r w:rsidRPr="00256727">
        <w:rPr>
          <w:rFonts w:ascii="Bookman Old Style" w:hAnsi="Bookman Old Style" w:cs="Tahoma"/>
          <w:lang w:val="sv-FI"/>
        </w:rPr>
        <w:t>23</w:t>
      </w:r>
      <w:r w:rsidR="00A954D0" w:rsidRPr="00256727">
        <w:rPr>
          <w:rFonts w:ascii="Bookman Old Style" w:hAnsi="Bookman Old Style" w:cs="Tahoma"/>
          <w:lang w:val="sv-FI"/>
        </w:rPr>
        <w:t xml:space="preserve"> </w:t>
      </w:r>
      <w:r w:rsidRPr="00256727">
        <w:rPr>
          <w:rFonts w:ascii="Bookman Old Style" w:hAnsi="Bookman Old Style" w:cs="Tahoma"/>
          <w:lang w:val="sv-FI"/>
        </w:rPr>
        <w:t>ayat</w:t>
      </w:r>
      <w:r w:rsidR="00A954D0" w:rsidRPr="00256727">
        <w:rPr>
          <w:rFonts w:ascii="Bookman Old Style" w:hAnsi="Bookman Old Style" w:cs="Tahoma"/>
          <w:lang w:val="sv-FI"/>
        </w:rPr>
        <w:t xml:space="preserve"> </w:t>
      </w:r>
      <w:r w:rsidRPr="00256727">
        <w:rPr>
          <w:rFonts w:ascii="Bookman Old Style" w:hAnsi="Bookman Old Style" w:cs="Tahoma"/>
          <w:lang w:val="sv-FI"/>
        </w:rPr>
        <w:t>(3)</w:t>
      </w:r>
      <w:r w:rsidR="00A954D0" w:rsidRPr="00256727">
        <w:rPr>
          <w:rFonts w:ascii="Bookman Old Style" w:hAnsi="Bookman Old Style" w:cs="Tahoma"/>
          <w:lang w:val="sv-FI"/>
        </w:rPr>
        <w:t xml:space="preserve"> </w:t>
      </w:r>
      <w:r w:rsidRPr="00256727">
        <w:rPr>
          <w:rFonts w:ascii="Bookman Old Style" w:hAnsi="Bookman Old Style" w:cs="Tahoma"/>
          <w:lang w:val="sv-FI"/>
        </w:rPr>
        <w:t>agar</w:t>
      </w:r>
      <w:r w:rsidR="00A954D0" w:rsidRPr="00256727">
        <w:rPr>
          <w:rFonts w:ascii="Bookman Old Style" w:hAnsi="Bookman Old Style" w:cs="Tahoma"/>
          <w:lang w:val="sv-FI"/>
        </w:rPr>
        <w:t xml:space="preserve"> </w:t>
      </w:r>
      <w:r w:rsidRPr="00256727">
        <w:rPr>
          <w:rFonts w:ascii="Bookman Old Style" w:hAnsi="Bookman Old Style" w:cs="Tahoma"/>
          <w:lang w:val="sv-FI"/>
        </w:rPr>
        <w:t>diperbaiki</w:t>
      </w:r>
      <w:r w:rsidR="00A954D0" w:rsidRPr="00256727">
        <w:rPr>
          <w:rFonts w:ascii="Bookman Old Style" w:hAnsi="Bookman Old Style" w:cs="Tahoma"/>
          <w:lang w:val="sv-FI"/>
        </w:rPr>
        <w:t xml:space="preserve"> </w:t>
      </w:r>
      <w:r w:rsidRPr="00256727">
        <w:rPr>
          <w:rFonts w:ascii="Bookman Old Style" w:hAnsi="Bookman Old Style" w:cs="Tahoma"/>
          <w:lang w:val="sv-FI"/>
        </w:rPr>
        <w:t>redaksionalnya</w:t>
      </w:r>
      <w:r w:rsidR="00A954D0" w:rsidRPr="00256727">
        <w:rPr>
          <w:rFonts w:ascii="Bookman Old Style" w:hAnsi="Bookman Old Style" w:cs="Tahoma"/>
          <w:lang w:val="sv-FI"/>
        </w:rPr>
        <w:t xml:space="preserve"> </w:t>
      </w:r>
      <w:r w:rsidRPr="00256727">
        <w:rPr>
          <w:rFonts w:ascii="Bookman Old Style" w:hAnsi="Bookman Old Style" w:cs="Tahoma"/>
          <w:lang w:val="sv-FI"/>
        </w:rPr>
        <w:t>menjadi:</w:t>
      </w:r>
    </w:p>
    <w:p w14:paraId="6FFD45E3" w14:textId="4605A9FF" w:rsidR="006E2F8F" w:rsidRPr="000E2664" w:rsidRDefault="006E2F8F" w:rsidP="007D4940">
      <w:pPr>
        <w:snapToGrid w:val="0"/>
        <w:spacing w:before="60" w:line="276" w:lineRule="auto"/>
        <w:ind w:left="2268"/>
        <w:jc w:val="both"/>
        <w:rPr>
          <w:rFonts w:ascii="Bookman Old Style" w:hAnsi="Bookman Old Style" w:cs="Tahoma"/>
        </w:rPr>
      </w:pPr>
      <w:r w:rsidRPr="000E2664">
        <w:rPr>
          <w:rFonts w:ascii="Bookman Old Style" w:hAnsi="Bookman Old Style"/>
        </w:rPr>
        <w:t>Belanja</w:t>
      </w:r>
      <w:r w:rsidR="00A954D0">
        <w:rPr>
          <w:rFonts w:ascii="Bookman Old Style" w:hAnsi="Bookman Old Style"/>
        </w:rPr>
        <w:t xml:space="preserve"> </w:t>
      </w:r>
      <w:r w:rsidRPr="000E2664">
        <w:rPr>
          <w:rFonts w:ascii="Bookman Old Style" w:hAnsi="Bookman Old Style"/>
        </w:rPr>
        <w:t>Modal</w:t>
      </w:r>
      <w:r w:rsidR="00A954D0">
        <w:rPr>
          <w:rFonts w:ascii="Bookman Old Style" w:hAnsi="Bookman Old Style"/>
        </w:rPr>
        <w:t xml:space="preserve"> </w:t>
      </w:r>
      <w:r w:rsidRPr="000E2664">
        <w:rPr>
          <w:rFonts w:ascii="Bookman Old Style" w:hAnsi="Bookman Old Style"/>
        </w:rPr>
        <w:t>Bangunan</w:t>
      </w:r>
      <w:r w:rsidR="00A954D0">
        <w:rPr>
          <w:rFonts w:ascii="Bookman Old Style" w:hAnsi="Bookman Old Style"/>
        </w:rPr>
        <w:t xml:space="preserve"> </w:t>
      </w:r>
      <w:r w:rsidRPr="000E2664">
        <w:rPr>
          <w:rFonts w:ascii="Bookman Old Style" w:hAnsi="Bookman Old Style"/>
        </w:rPr>
        <w:t>Air</w:t>
      </w:r>
      <w:r w:rsidR="00A954D0">
        <w:rPr>
          <w:rFonts w:ascii="Bookman Old Style" w:hAnsi="Bookman Old Style"/>
        </w:rPr>
        <w:t xml:space="preserve"> </w:t>
      </w:r>
      <w:r w:rsidRPr="000E2664">
        <w:rPr>
          <w:rFonts w:ascii="Bookman Old Style" w:hAnsi="Bookman Old Style"/>
        </w:rPr>
        <w:t>sebagaimana</w:t>
      </w:r>
      <w:r w:rsidR="00A954D0">
        <w:rPr>
          <w:rFonts w:ascii="Bookman Old Style" w:hAnsi="Bookman Old Style"/>
        </w:rPr>
        <w:t xml:space="preserve"> </w:t>
      </w:r>
      <w:r w:rsidRPr="000E2664">
        <w:rPr>
          <w:rFonts w:ascii="Bookman Old Style" w:hAnsi="Bookman Old Style"/>
        </w:rPr>
        <w:t>dimaksud</w:t>
      </w:r>
      <w:r w:rsidR="00A954D0">
        <w:rPr>
          <w:rFonts w:ascii="Bookman Old Style" w:hAnsi="Bookman Old Style"/>
        </w:rPr>
        <w:t xml:space="preserve"> </w:t>
      </w:r>
      <w:r w:rsidRPr="000E2664">
        <w:rPr>
          <w:rFonts w:ascii="Bookman Old Style" w:hAnsi="Bookman Old Style"/>
          <w:b/>
          <w:bCs/>
        </w:rPr>
        <w:t>pada</w:t>
      </w:r>
      <w:r w:rsidR="00A954D0">
        <w:rPr>
          <w:rFonts w:ascii="Bookman Old Style" w:hAnsi="Bookman Old Style"/>
        </w:rPr>
        <w:t xml:space="preserve"> </w:t>
      </w:r>
      <w:r w:rsidRPr="000E2664">
        <w:rPr>
          <w:rFonts w:ascii="Bookman Old Style" w:hAnsi="Bookman Old Style"/>
        </w:rPr>
        <w:t>ayat</w:t>
      </w:r>
      <w:r w:rsidR="00A954D0">
        <w:rPr>
          <w:rFonts w:ascii="Bookman Old Style" w:hAnsi="Bookman Old Style"/>
        </w:rPr>
        <w:t xml:space="preserve"> </w:t>
      </w:r>
      <w:r w:rsidRPr="000E2664">
        <w:rPr>
          <w:rFonts w:ascii="Bookman Old Style" w:hAnsi="Bookman Old Style"/>
        </w:rPr>
        <w:t>(1)</w:t>
      </w:r>
      <w:r w:rsidR="00A954D0">
        <w:rPr>
          <w:rFonts w:ascii="Bookman Old Style" w:hAnsi="Bookman Old Style"/>
        </w:rPr>
        <w:t xml:space="preserve"> </w:t>
      </w:r>
      <w:r w:rsidRPr="000E2664">
        <w:rPr>
          <w:rFonts w:ascii="Bookman Old Style" w:hAnsi="Bookman Old Style"/>
        </w:rPr>
        <w:t>huruf</w:t>
      </w:r>
      <w:r w:rsidR="00A954D0">
        <w:rPr>
          <w:rFonts w:ascii="Bookman Old Style" w:hAnsi="Bookman Old Style"/>
        </w:rPr>
        <w:t xml:space="preserve"> </w:t>
      </w:r>
      <w:r w:rsidRPr="000E2664">
        <w:rPr>
          <w:rFonts w:ascii="Bookman Old Style" w:hAnsi="Bookman Old Style"/>
        </w:rPr>
        <w:t>b</w:t>
      </w:r>
      <w:r w:rsidR="00A954D0">
        <w:rPr>
          <w:rFonts w:ascii="Bookman Old Style" w:hAnsi="Bookman Old Style"/>
        </w:rPr>
        <w:t xml:space="preserve"> </w:t>
      </w:r>
      <w:r w:rsidRPr="000E2664">
        <w:rPr>
          <w:rFonts w:ascii="Bookman Old Style" w:hAnsi="Bookman Old Style"/>
        </w:rPr>
        <w:t>terdiri</w:t>
      </w:r>
      <w:r w:rsidR="00A954D0">
        <w:rPr>
          <w:rFonts w:ascii="Bookman Old Style" w:hAnsi="Bookman Old Style"/>
        </w:rPr>
        <w:t xml:space="preserve"> </w:t>
      </w:r>
      <w:r w:rsidRPr="000E2664">
        <w:rPr>
          <w:rFonts w:ascii="Bookman Old Style" w:hAnsi="Bookman Old Style"/>
        </w:rPr>
        <w:t>atas:….</w:t>
      </w:r>
    </w:p>
    <w:p w14:paraId="626EF91E" w14:textId="7F5E9602" w:rsidR="006E2F8F" w:rsidRPr="003255BC" w:rsidRDefault="006E2F8F" w:rsidP="007D4940">
      <w:pPr>
        <w:numPr>
          <w:ilvl w:val="0"/>
          <w:numId w:val="176"/>
        </w:numPr>
        <w:snapToGrid w:val="0"/>
        <w:spacing w:before="60" w:line="276" w:lineRule="auto"/>
        <w:ind w:left="2268" w:hanging="567"/>
        <w:jc w:val="both"/>
        <w:rPr>
          <w:rFonts w:ascii="Bookman Old Style" w:hAnsi="Bookman Old Style" w:cs="Tahoma"/>
          <w:lang w:val="sv-FI"/>
        </w:rPr>
      </w:pPr>
      <w:r w:rsidRPr="003255BC">
        <w:rPr>
          <w:rFonts w:ascii="Bookman Old Style" w:hAnsi="Bookman Old Style" w:cs="Tahoma"/>
          <w:lang w:val="sv-FI"/>
        </w:rPr>
        <w:t>Pasal</w:t>
      </w:r>
      <w:r w:rsidR="00A954D0" w:rsidRPr="003255BC">
        <w:rPr>
          <w:rFonts w:ascii="Bookman Old Style" w:hAnsi="Bookman Old Style" w:cs="Tahoma"/>
          <w:lang w:val="sv-FI"/>
        </w:rPr>
        <w:t xml:space="preserve"> </w:t>
      </w:r>
      <w:r w:rsidRPr="003255BC">
        <w:rPr>
          <w:rFonts w:ascii="Bookman Old Style" w:hAnsi="Bookman Old Style" w:cs="Tahoma"/>
          <w:lang w:val="sv-FI"/>
        </w:rPr>
        <w:t>23</w:t>
      </w:r>
      <w:r w:rsidR="00A954D0" w:rsidRPr="003255BC">
        <w:rPr>
          <w:rFonts w:ascii="Bookman Old Style" w:hAnsi="Bookman Old Style" w:cs="Tahoma"/>
          <w:lang w:val="sv-FI"/>
        </w:rPr>
        <w:t xml:space="preserve"> </w:t>
      </w:r>
      <w:r w:rsidRPr="003255BC">
        <w:rPr>
          <w:rFonts w:ascii="Bookman Old Style" w:hAnsi="Bookman Old Style" w:cs="Tahoma"/>
          <w:lang w:val="sv-FI"/>
        </w:rPr>
        <w:t>ayat</w:t>
      </w:r>
      <w:r w:rsidR="00A954D0" w:rsidRPr="003255BC">
        <w:rPr>
          <w:rFonts w:ascii="Bookman Old Style" w:hAnsi="Bookman Old Style" w:cs="Tahoma"/>
          <w:lang w:val="sv-FI"/>
        </w:rPr>
        <w:t xml:space="preserve"> </w:t>
      </w:r>
      <w:r w:rsidRPr="003255BC">
        <w:rPr>
          <w:rFonts w:ascii="Bookman Old Style" w:hAnsi="Bookman Old Style" w:cs="Tahoma"/>
          <w:lang w:val="sv-FI"/>
        </w:rPr>
        <w:t>(4)</w:t>
      </w:r>
      <w:r w:rsidR="00A954D0" w:rsidRPr="003255BC">
        <w:rPr>
          <w:rFonts w:ascii="Bookman Old Style" w:hAnsi="Bookman Old Style" w:cs="Tahoma"/>
          <w:lang w:val="sv-FI"/>
        </w:rPr>
        <w:t xml:space="preserve"> </w:t>
      </w:r>
      <w:r w:rsidRPr="003255BC">
        <w:rPr>
          <w:rFonts w:ascii="Bookman Old Style" w:hAnsi="Bookman Old Style" w:cs="Tahoma"/>
          <w:lang w:val="sv-FI"/>
        </w:rPr>
        <w:t>agar</w:t>
      </w:r>
      <w:r w:rsidR="00A954D0" w:rsidRPr="003255BC">
        <w:rPr>
          <w:rFonts w:ascii="Bookman Old Style" w:hAnsi="Bookman Old Style" w:cs="Tahoma"/>
          <w:lang w:val="sv-FI"/>
        </w:rPr>
        <w:t xml:space="preserve"> </w:t>
      </w:r>
      <w:r w:rsidRPr="003255BC">
        <w:rPr>
          <w:rFonts w:ascii="Bookman Old Style" w:hAnsi="Bookman Old Style" w:cs="Tahoma"/>
          <w:lang w:val="sv-FI"/>
        </w:rPr>
        <w:t>diperbaiki</w:t>
      </w:r>
      <w:r w:rsidR="00A954D0" w:rsidRPr="003255BC">
        <w:rPr>
          <w:rFonts w:ascii="Bookman Old Style" w:hAnsi="Bookman Old Style" w:cs="Tahoma"/>
          <w:lang w:val="sv-FI"/>
        </w:rPr>
        <w:t xml:space="preserve"> </w:t>
      </w:r>
      <w:r w:rsidRPr="003255BC">
        <w:rPr>
          <w:rFonts w:ascii="Bookman Old Style" w:hAnsi="Bookman Old Style" w:cs="Tahoma"/>
          <w:lang w:val="sv-FI"/>
        </w:rPr>
        <w:t>redaksionalnya</w:t>
      </w:r>
      <w:r w:rsidR="00A954D0" w:rsidRPr="003255BC">
        <w:rPr>
          <w:rFonts w:ascii="Bookman Old Style" w:hAnsi="Bookman Old Style" w:cs="Tahoma"/>
          <w:lang w:val="sv-FI"/>
        </w:rPr>
        <w:t xml:space="preserve"> </w:t>
      </w:r>
      <w:r w:rsidRPr="003255BC">
        <w:rPr>
          <w:rFonts w:ascii="Bookman Old Style" w:hAnsi="Bookman Old Style" w:cs="Tahoma"/>
          <w:lang w:val="sv-FI"/>
        </w:rPr>
        <w:t>menjadi:</w:t>
      </w:r>
    </w:p>
    <w:p w14:paraId="5657E437" w14:textId="531EB739" w:rsidR="006E2F8F" w:rsidRPr="00256727" w:rsidRDefault="006E2F8F" w:rsidP="007D4940">
      <w:pPr>
        <w:snapToGrid w:val="0"/>
        <w:spacing w:before="60" w:line="276" w:lineRule="auto"/>
        <w:ind w:left="2268"/>
        <w:jc w:val="both"/>
        <w:rPr>
          <w:rFonts w:ascii="Bookman Old Style" w:hAnsi="Bookman Old Style" w:cs="Tahoma"/>
          <w:lang w:val="sv-FI"/>
        </w:rPr>
      </w:pPr>
      <w:r w:rsidRPr="00256727">
        <w:rPr>
          <w:rFonts w:ascii="Bookman Old Style" w:hAnsi="Bookman Old Style"/>
          <w:lang w:val="sv-FI"/>
        </w:rPr>
        <w:t>Anggaran</w:t>
      </w:r>
      <w:r w:rsidR="00A954D0" w:rsidRPr="00256727">
        <w:rPr>
          <w:rFonts w:ascii="Bookman Old Style" w:hAnsi="Bookman Old Style"/>
          <w:lang w:val="sv-FI"/>
        </w:rPr>
        <w:t xml:space="preserve"> </w:t>
      </w:r>
      <w:r w:rsidRPr="00256727">
        <w:rPr>
          <w:rFonts w:ascii="Bookman Old Style" w:hAnsi="Bookman Old Style"/>
          <w:lang w:val="sv-FI"/>
        </w:rPr>
        <w:t>Belanja</w:t>
      </w:r>
      <w:r w:rsidR="00A954D0" w:rsidRPr="00256727">
        <w:rPr>
          <w:rFonts w:ascii="Bookman Old Style" w:hAnsi="Bookman Old Style"/>
          <w:lang w:val="sv-FI"/>
        </w:rPr>
        <w:t xml:space="preserve"> </w:t>
      </w:r>
      <w:r w:rsidRPr="00256727">
        <w:rPr>
          <w:rFonts w:ascii="Bookman Old Style" w:hAnsi="Bookman Old Style"/>
          <w:lang w:val="sv-FI"/>
        </w:rPr>
        <w:t>Modal</w:t>
      </w:r>
      <w:r w:rsidR="00A954D0" w:rsidRPr="00256727">
        <w:rPr>
          <w:rFonts w:ascii="Bookman Old Style" w:hAnsi="Bookman Old Style"/>
          <w:lang w:val="sv-FI"/>
        </w:rPr>
        <w:t xml:space="preserve"> </w:t>
      </w:r>
      <w:r w:rsidRPr="00256727">
        <w:rPr>
          <w:rFonts w:ascii="Bookman Old Style" w:hAnsi="Bookman Old Style"/>
          <w:lang w:val="sv-FI"/>
        </w:rPr>
        <w:t>Jaringan</w:t>
      </w:r>
      <w:r w:rsidR="00A954D0" w:rsidRPr="00256727">
        <w:rPr>
          <w:rFonts w:ascii="Bookman Old Style" w:hAnsi="Bookman Old Style"/>
          <w:lang w:val="sv-FI"/>
        </w:rPr>
        <w:t xml:space="preserve"> </w:t>
      </w:r>
      <w:r w:rsidRPr="00256727">
        <w:rPr>
          <w:rFonts w:ascii="Bookman Old Style" w:hAnsi="Bookman Old Style"/>
          <w:lang w:val="sv-FI"/>
        </w:rPr>
        <w:t>sebagaimana</w:t>
      </w:r>
      <w:r w:rsidR="00A954D0" w:rsidRPr="00256727">
        <w:rPr>
          <w:rFonts w:ascii="Bookman Old Style" w:hAnsi="Bookman Old Style"/>
          <w:lang w:val="sv-FI"/>
        </w:rPr>
        <w:t xml:space="preserve"> </w:t>
      </w:r>
      <w:r w:rsidRPr="00256727">
        <w:rPr>
          <w:rFonts w:ascii="Bookman Old Style" w:hAnsi="Bookman Old Style"/>
          <w:lang w:val="sv-FI"/>
        </w:rPr>
        <w:t>dimaksud</w:t>
      </w:r>
      <w:r w:rsidR="00A954D0" w:rsidRPr="00256727">
        <w:rPr>
          <w:rFonts w:ascii="Bookman Old Style" w:hAnsi="Bookman Old Style"/>
          <w:lang w:val="sv-FI"/>
        </w:rPr>
        <w:t xml:space="preserve"> </w:t>
      </w:r>
      <w:r w:rsidRPr="00256727">
        <w:rPr>
          <w:rFonts w:ascii="Bookman Old Style" w:hAnsi="Bookman Old Style"/>
          <w:b/>
          <w:bCs/>
          <w:lang w:val="sv-FI"/>
        </w:rPr>
        <w:t>pada</w:t>
      </w:r>
      <w:r w:rsidR="00A954D0" w:rsidRPr="00256727">
        <w:rPr>
          <w:rFonts w:ascii="Bookman Old Style" w:hAnsi="Bookman Old Style"/>
          <w:lang w:val="sv-FI"/>
        </w:rPr>
        <w:t xml:space="preserve"> </w:t>
      </w:r>
      <w:r w:rsidRPr="00256727">
        <w:rPr>
          <w:rFonts w:ascii="Bookman Old Style" w:hAnsi="Bookman Old Style"/>
          <w:lang w:val="sv-FI"/>
        </w:rPr>
        <w:t>ayat</w:t>
      </w:r>
      <w:r w:rsidR="00A954D0" w:rsidRPr="00256727">
        <w:rPr>
          <w:rFonts w:ascii="Bookman Old Style" w:hAnsi="Bookman Old Style"/>
          <w:lang w:val="sv-FI"/>
        </w:rPr>
        <w:t xml:space="preserve"> </w:t>
      </w:r>
      <w:r w:rsidRPr="00256727">
        <w:rPr>
          <w:rFonts w:ascii="Bookman Old Style" w:hAnsi="Bookman Old Style"/>
          <w:lang w:val="sv-FI"/>
        </w:rPr>
        <w:t>(1)</w:t>
      </w:r>
      <w:r w:rsidR="00A954D0" w:rsidRPr="00256727">
        <w:rPr>
          <w:rFonts w:ascii="Bookman Old Style" w:hAnsi="Bookman Old Style"/>
          <w:lang w:val="sv-FI"/>
        </w:rPr>
        <w:t xml:space="preserve"> </w:t>
      </w:r>
      <w:r w:rsidRPr="00256727">
        <w:rPr>
          <w:rFonts w:ascii="Bookman Old Style" w:hAnsi="Bookman Old Style"/>
          <w:lang w:val="sv-FI"/>
        </w:rPr>
        <w:t>huruf</w:t>
      </w:r>
      <w:r w:rsidR="00A954D0" w:rsidRPr="00256727">
        <w:rPr>
          <w:rFonts w:ascii="Bookman Old Style" w:hAnsi="Bookman Old Style"/>
          <w:lang w:val="sv-FI"/>
        </w:rPr>
        <w:t xml:space="preserve"> </w:t>
      </w:r>
      <w:r w:rsidRPr="00256727">
        <w:rPr>
          <w:rFonts w:ascii="Bookman Old Style" w:hAnsi="Bookman Old Style"/>
          <w:lang w:val="sv-FI"/>
        </w:rPr>
        <w:t>d</w:t>
      </w:r>
      <w:r w:rsidR="00A954D0" w:rsidRPr="00256727">
        <w:rPr>
          <w:rFonts w:ascii="Bookman Old Style" w:hAnsi="Bookman Old Style"/>
          <w:lang w:val="sv-FI"/>
        </w:rPr>
        <w:t xml:space="preserve"> </w:t>
      </w:r>
      <w:r w:rsidRPr="00256727">
        <w:rPr>
          <w:rFonts w:ascii="Bookman Old Style" w:hAnsi="Bookman Old Style"/>
          <w:lang w:val="sv-FI"/>
        </w:rPr>
        <w:t>terdiri</w:t>
      </w:r>
      <w:r w:rsidR="00A954D0" w:rsidRPr="00256727">
        <w:rPr>
          <w:rFonts w:ascii="Bookman Old Style" w:hAnsi="Bookman Old Style"/>
          <w:lang w:val="sv-FI"/>
        </w:rPr>
        <w:t xml:space="preserve"> </w:t>
      </w:r>
      <w:r w:rsidRPr="00256727">
        <w:rPr>
          <w:rFonts w:ascii="Bookman Old Style" w:hAnsi="Bookman Old Style"/>
          <w:lang w:val="sv-FI"/>
        </w:rPr>
        <w:t>atas:….</w:t>
      </w:r>
    </w:p>
    <w:p w14:paraId="04DAF68A" w14:textId="0621286A" w:rsidR="006E2F8F" w:rsidRPr="00256727" w:rsidRDefault="006E2F8F" w:rsidP="007D4940">
      <w:pPr>
        <w:numPr>
          <w:ilvl w:val="0"/>
          <w:numId w:val="176"/>
        </w:numPr>
        <w:snapToGrid w:val="0"/>
        <w:spacing w:before="60" w:line="276" w:lineRule="auto"/>
        <w:ind w:left="2268" w:hanging="567"/>
        <w:jc w:val="both"/>
        <w:rPr>
          <w:rFonts w:ascii="Bookman Old Style" w:hAnsi="Bookman Old Style" w:cs="Tahoma"/>
          <w:lang w:val="sv-FI"/>
        </w:rPr>
      </w:pPr>
      <w:r w:rsidRPr="00256727">
        <w:rPr>
          <w:rFonts w:ascii="Bookman Old Style" w:hAnsi="Bookman Old Style" w:cs="Tahoma"/>
          <w:lang w:val="sv-FI"/>
        </w:rPr>
        <w:t>Pasal</w:t>
      </w:r>
      <w:r w:rsidR="00A954D0" w:rsidRPr="00256727">
        <w:rPr>
          <w:rFonts w:ascii="Bookman Old Style" w:hAnsi="Bookman Old Style" w:cs="Tahoma"/>
          <w:lang w:val="sv-FI"/>
        </w:rPr>
        <w:t xml:space="preserve"> </w:t>
      </w:r>
      <w:r w:rsidRPr="00256727">
        <w:rPr>
          <w:rFonts w:ascii="Bookman Old Style" w:hAnsi="Bookman Old Style" w:cs="Tahoma"/>
          <w:lang w:val="sv-FI"/>
        </w:rPr>
        <w:t>26</w:t>
      </w:r>
      <w:r w:rsidR="00A954D0" w:rsidRPr="00256727">
        <w:rPr>
          <w:rFonts w:ascii="Bookman Old Style" w:hAnsi="Bookman Old Style" w:cs="Tahoma"/>
          <w:lang w:val="sv-FI"/>
        </w:rPr>
        <w:t xml:space="preserve"> </w:t>
      </w:r>
      <w:r w:rsidRPr="00256727">
        <w:rPr>
          <w:rFonts w:ascii="Bookman Old Style" w:hAnsi="Bookman Old Style" w:cs="Tahoma"/>
          <w:lang w:val="sv-FI"/>
        </w:rPr>
        <w:t>agar</w:t>
      </w:r>
      <w:r w:rsidR="00A954D0" w:rsidRPr="00256727">
        <w:rPr>
          <w:rFonts w:ascii="Bookman Old Style" w:hAnsi="Bookman Old Style" w:cs="Tahoma"/>
          <w:lang w:val="sv-FI"/>
        </w:rPr>
        <w:t xml:space="preserve"> </w:t>
      </w:r>
      <w:r w:rsidRPr="00256727">
        <w:rPr>
          <w:rFonts w:ascii="Bookman Old Style" w:hAnsi="Bookman Old Style" w:cs="Tahoma"/>
          <w:lang w:val="sv-FI"/>
        </w:rPr>
        <w:t>diperbaiki</w:t>
      </w:r>
      <w:r w:rsidR="00A954D0" w:rsidRPr="00256727">
        <w:rPr>
          <w:rFonts w:ascii="Bookman Old Style" w:hAnsi="Bookman Old Style" w:cs="Tahoma"/>
          <w:lang w:val="sv-FI"/>
        </w:rPr>
        <w:t xml:space="preserve"> </w:t>
      </w:r>
      <w:r w:rsidRPr="00256727">
        <w:rPr>
          <w:rFonts w:ascii="Bookman Old Style" w:hAnsi="Bookman Old Style" w:cs="Tahoma"/>
          <w:lang w:val="sv-FI"/>
        </w:rPr>
        <w:t>redaksionalnya</w:t>
      </w:r>
      <w:r w:rsidR="00A954D0" w:rsidRPr="00256727">
        <w:rPr>
          <w:rFonts w:ascii="Bookman Old Style" w:hAnsi="Bookman Old Style" w:cs="Tahoma"/>
          <w:lang w:val="sv-FI"/>
        </w:rPr>
        <w:t xml:space="preserve"> </w:t>
      </w:r>
      <w:r w:rsidRPr="00256727">
        <w:rPr>
          <w:rFonts w:ascii="Bookman Old Style" w:hAnsi="Bookman Old Style" w:cs="Tahoma"/>
          <w:lang w:val="sv-FI"/>
        </w:rPr>
        <w:t>menjadi:</w:t>
      </w:r>
    </w:p>
    <w:p w14:paraId="5F30B677" w14:textId="6B1B273D" w:rsidR="006E2F8F" w:rsidRPr="00256727" w:rsidRDefault="006E2F8F" w:rsidP="007D4940">
      <w:pPr>
        <w:snapToGrid w:val="0"/>
        <w:spacing w:before="60" w:line="276" w:lineRule="auto"/>
        <w:ind w:left="2268"/>
        <w:jc w:val="both"/>
        <w:rPr>
          <w:rFonts w:ascii="Bookman Old Style" w:hAnsi="Bookman Old Style" w:cs="Tahoma"/>
          <w:lang w:val="sv-FI"/>
        </w:rPr>
      </w:pPr>
      <w:r w:rsidRPr="00256727">
        <w:rPr>
          <w:rFonts w:ascii="Bookman Old Style" w:hAnsi="Bookman Old Style"/>
          <w:lang w:val="sv-FI"/>
        </w:rPr>
        <w:t>Anggaran</w:t>
      </w:r>
      <w:r w:rsidR="00A954D0" w:rsidRPr="00256727">
        <w:rPr>
          <w:rFonts w:ascii="Bookman Old Style" w:hAnsi="Bookman Old Style"/>
          <w:lang w:val="sv-FI"/>
        </w:rPr>
        <w:t xml:space="preserve"> </w:t>
      </w:r>
      <w:r w:rsidRPr="00256727">
        <w:rPr>
          <w:rFonts w:ascii="Bookman Old Style" w:hAnsi="Bookman Old Style"/>
          <w:lang w:val="sv-FI"/>
        </w:rPr>
        <w:t>Belanja</w:t>
      </w:r>
      <w:r w:rsidR="00A954D0" w:rsidRPr="00256727">
        <w:rPr>
          <w:rFonts w:ascii="Bookman Old Style" w:hAnsi="Bookman Old Style"/>
          <w:lang w:val="sv-FI"/>
        </w:rPr>
        <w:t xml:space="preserve"> </w:t>
      </w:r>
      <w:r w:rsidRPr="00256727">
        <w:rPr>
          <w:rFonts w:ascii="Bookman Old Style" w:hAnsi="Bookman Old Style"/>
          <w:lang w:val="sv-FI"/>
        </w:rPr>
        <w:t>Tidak</w:t>
      </w:r>
      <w:r w:rsidR="00A954D0" w:rsidRPr="00256727">
        <w:rPr>
          <w:rFonts w:ascii="Bookman Old Style" w:hAnsi="Bookman Old Style"/>
          <w:lang w:val="sv-FI"/>
        </w:rPr>
        <w:t xml:space="preserve"> </w:t>
      </w:r>
      <w:r w:rsidRPr="00256727">
        <w:rPr>
          <w:rFonts w:ascii="Bookman Old Style" w:hAnsi="Bookman Old Style"/>
          <w:lang w:val="sv-FI"/>
        </w:rPr>
        <w:t>Terduga</w:t>
      </w:r>
      <w:r w:rsidR="00A954D0" w:rsidRPr="00256727">
        <w:rPr>
          <w:rFonts w:ascii="Bookman Old Style" w:hAnsi="Bookman Old Style"/>
          <w:lang w:val="sv-FI"/>
        </w:rPr>
        <w:t xml:space="preserve"> </w:t>
      </w:r>
      <w:r w:rsidRPr="00256727">
        <w:rPr>
          <w:rFonts w:ascii="Bookman Old Style" w:hAnsi="Bookman Old Style"/>
          <w:lang w:val="sv-FI"/>
        </w:rPr>
        <w:t>sebagaimana</w:t>
      </w:r>
      <w:r w:rsidR="00A954D0" w:rsidRPr="00256727">
        <w:rPr>
          <w:rFonts w:ascii="Bookman Old Style" w:hAnsi="Bookman Old Style"/>
          <w:lang w:val="sv-FI"/>
        </w:rPr>
        <w:t xml:space="preserve"> </w:t>
      </w:r>
      <w:r w:rsidRPr="00256727">
        <w:rPr>
          <w:rFonts w:ascii="Bookman Old Style" w:hAnsi="Bookman Old Style"/>
          <w:lang w:val="sv-FI"/>
        </w:rPr>
        <w:t>dimaksud</w:t>
      </w:r>
      <w:r w:rsidR="00A954D0" w:rsidRPr="00256727">
        <w:rPr>
          <w:rFonts w:ascii="Bookman Old Style" w:hAnsi="Bookman Old Style"/>
          <w:lang w:val="sv-FI"/>
        </w:rPr>
        <w:t xml:space="preserve"> </w:t>
      </w:r>
      <w:r w:rsidRPr="00256727">
        <w:rPr>
          <w:rFonts w:ascii="Bookman Old Style" w:hAnsi="Bookman Old Style"/>
          <w:lang w:val="sv-FI"/>
        </w:rPr>
        <w:t>dalam</w:t>
      </w:r>
      <w:r w:rsidR="00A954D0" w:rsidRPr="00256727">
        <w:rPr>
          <w:rFonts w:ascii="Bookman Old Style" w:hAnsi="Bookman Old Style"/>
          <w:lang w:val="sv-FI"/>
        </w:rPr>
        <w:t xml:space="preserve"> </w:t>
      </w:r>
      <w:r w:rsidRPr="00256727">
        <w:rPr>
          <w:rFonts w:ascii="Bookman Old Style" w:hAnsi="Bookman Old Style"/>
          <w:lang w:val="sv-FI"/>
        </w:rPr>
        <w:t>Pasal</w:t>
      </w:r>
      <w:r w:rsidR="00A954D0" w:rsidRPr="00256727">
        <w:rPr>
          <w:rFonts w:ascii="Bookman Old Style" w:hAnsi="Bookman Old Style"/>
          <w:lang w:val="sv-FI"/>
        </w:rPr>
        <w:t xml:space="preserve"> </w:t>
      </w:r>
      <w:r w:rsidRPr="00256727">
        <w:rPr>
          <w:rFonts w:ascii="Bookman Old Style" w:hAnsi="Bookman Old Style"/>
          <w:lang w:val="sv-FI"/>
        </w:rPr>
        <w:t>12</w:t>
      </w:r>
      <w:r w:rsidR="00A954D0" w:rsidRPr="00256727">
        <w:rPr>
          <w:rFonts w:ascii="Bookman Old Style" w:hAnsi="Bookman Old Style"/>
          <w:lang w:val="sv-FI"/>
        </w:rPr>
        <w:t xml:space="preserve"> </w:t>
      </w:r>
      <w:r w:rsidRPr="00256727">
        <w:rPr>
          <w:rFonts w:ascii="Bookman Old Style" w:hAnsi="Bookman Old Style"/>
          <w:lang w:val="sv-FI"/>
        </w:rPr>
        <w:t>huruf</w:t>
      </w:r>
      <w:r w:rsidR="00A954D0" w:rsidRPr="00256727">
        <w:rPr>
          <w:rFonts w:ascii="Bookman Old Style" w:hAnsi="Bookman Old Style"/>
          <w:lang w:val="sv-FI"/>
        </w:rPr>
        <w:t xml:space="preserve"> </w:t>
      </w:r>
      <w:r w:rsidRPr="00256727">
        <w:rPr>
          <w:rFonts w:ascii="Bookman Old Style" w:hAnsi="Bookman Old Style"/>
          <w:b/>
          <w:bCs/>
          <w:lang w:val="sv-FI"/>
        </w:rPr>
        <w:t>c</w:t>
      </w:r>
      <w:r w:rsidR="00A954D0" w:rsidRPr="00256727">
        <w:rPr>
          <w:rFonts w:ascii="Bookman Old Style" w:hAnsi="Bookman Old Style"/>
          <w:lang w:val="sv-FI"/>
        </w:rPr>
        <w:t xml:space="preserve"> </w:t>
      </w:r>
      <w:r w:rsidRPr="00256727">
        <w:rPr>
          <w:rFonts w:ascii="Bookman Old Style" w:hAnsi="Bookman Old Style"/>
          <w:lang w:val="sv-FI"/>
        </w:rPr>
        <w:t>direncanakan</w:t>
      </w:r>
      <w:r w:rsidR="00A954D0" w:rsidRPr="00256727">
        <w:rPr>
          <w:rFonts w:ascii="Bookman Old Style" w:hAnsi="Bookman Old Style"/>
          <w:lang w:val="sv-FI"/>
        </w:rPr>
        <w:t xml:space="preserve"> </w:t>
      </w:r>
      <w:r w:rsidRPr="00256727">
        <w:rPr>
          <w:rFonts w:ascii="Bookman Old Style" w:hAnsi="Bookman Old Style"/>
          <w:lang w:val="sv-FI"/>
        </w:rPr>
        <w:t>sebesar</w:t>
      </w:r>
      <w:r w:rsidR="00A954D0" w:rsidRPr="00256727">
        <w:rPr>
          <w:rFonts w:ascii="Bookman Old Style" w:hAnsi="Bookman Old Style"/>
          <w:lang w:val="sv-FI"/>
        </w:rPr>
        <w:t xml:space="preserve"> </w:t>
      </w:r>
      <w:r w:rsidRPr="00256727">
        <w:rPr>
          <w:rFonts w:ascii="Bookman Old Style" w:hAnsi="Bookman Old Style"/>
          <w:lang w:val="sv-FI"/>
        </w:rPr>
        <w:t>Rp27.814.693.294,00</w:t>
      </w:r>
      <w:r w:rsidR="00A954D0" w:rsidRPr="00256727">
        <w:rPr>
          <w:rFonts w:ascii="Bookman Old Style" w:hAnsi="Bookman Old Style"/>
          <w:lang w:val="sv-FI"/>
        </w:rPr>
        <w:t xml:space="preserve"> </w:t>
      </w:r>
      <w:r w:rsidRPr="00256727">
        <w:rPr>
          <w:rFonts w:ascii="Bookman Old Style" w:hAnsi="Bookman Old Style"/>
          <w:lang w:val="sv-FI"/>
        </w:rPr>
        <w:t>(Dua</w:t>
      </w:r>
      <w:r w:rsidR="00A954D0" w:rsidRPr="00256727">
        <w:rPr>
          <w:rFonts w:ascii="Bookman Old Style" w:hAnsi="Bookman Old Style"/>
          <w:lang w:val="sv-FI"/>
        </w:rPr>
        <w:t xml:space="preserve"> </w:t>
      </w:r>
      <w:r w:rsidRPr="00256727">
        <w:rPr>
          <w:rFonts w:ascii="Bookman Old Style" w:hAnsi="Bookman Old Style"/>
          <w:lang w:val="sv-FI"/>
        </w:rPr>
        <w:t>Puluh</w:t>
      </w:r>
      <w:r w:rsidR="00A954D0" w:rsidRPr="00256727">
        <w:rPr>
          <w:rFonts w:ascii="Bookman Old Style" w:hAnsi="Bookman Old Style"/>
          <w:lang w:val="sv-FI"/>
        </w:rPr>
        <w:t xml:space="preserve"> </w:t>
      </w:r>
      <w:r w:rsidRPr="00256727">
        <w:rPr>
          <w:rFonts w:ascii="Bookman Old Style" w:hAnsi="Bookman Old Style"/>
          <w:lang w:val="sv-FI"/>
        </w:rPr>
        <w:t>Tujuh</w:t>
      </w:r>
      <w:r w:rsidR="00A954D0" w:rsidRPr="00256727">
        <w:rPr>
          <w:rFonts w:ascii="Bookman Old Style" w:hAnsi="Bookman Old Style"/>
          <w:lang w:val="sv-FI"/>
        </w:rPr>
        <w:t xml:space="preserve"> </w:t>
      </w:r>
      <w:r w:rsidRPr="00256727">
        <w:rPr>
          <w:rFonts w:ascii="Bookman Old Style" w:hAnsi="Bookman Old Style"/>
          <w:lang w:val="sv-FI"/>
        </w:rPr>
        <w:t>Miliar</w:t>
      </w:r>
      <w:r w:rsidR="00A954D0" w:rsidRPr="00256727">
        <w:rPr>
          <w:rFonts w:ascii="Bookman Old Style" w:hAnsi="Bookman Old Style"/>
          <w:lang w:val="sv-FI"/>
        </w:rPr>
        <w:t xml:space="preserve"> </w:t>
      </w:r>
      <w:r w:rsidRPr="00256727">
        <w:rPr>
          <w:rFonts w:ascii="Bookman Old Style" w:hAnsi="Bookman Old Style"/>
          <w:lang w:val="sv-FI"/>
        </w:rPr>
        <w:t>Delapan</w:t>
      </w:r>
      <w:r w:rsidR="00A954D0" w:rsidRPr="00256727">
        <w:rPr>
          <w:rFonts w:ascii="Bookman Old Style" w:hAnsi="Bookman Old Style"/>
          <w:lang w:val="sv-FI"/>
        </w:rPr>
        <w:t xml:space="preserve"> </w:t>
      </w:r>
      <w:r w:rsidRPr="00256727">
        <w:rPr>
          <w:rFonts w:ascii="Bookman Old Style" w:hAnsi="Bookman Old Style"/>
          <w:lang w:val="sv-FI"/>
        </w:rPr>
        <w:t>Ratus</w:t>
      </w:r>
      <w:r w:rsidR="00A954D0" w:rsidRPr="00256727">
        <w:rPr>
          <w:rFonts w:ascii="Bookman Old Style" w:hAnsi="Bookman Old Style"/>
          <w:lang w:val="sv-FI"/>
        </w:rPr>
        <w:t xml:space="preserve"> </w:t>
      </w:r>
      <w:r w:rsidRPr="00256727">
        <w:rPr>
          <w:rFonts w:ascii="Bookman Old Style" w:hAnsi="Bookman Old Style"/>
          <w:lang w:val="sv-FI"/>
        </w:rPr>
        <w:t>Empat</w:t>
      </w:r>
      <w:r w:rsidR="00A954D0" w:rsidRPr="00256727">
        <w:rPr>
          <w:rFonts w:ascii="Bookman Old Style" w:hAnsi="Bookman Old Style"/>
          <w:lang w:val="sv-FI"/>
        </w:rPr>
        <w:t xml:space="preserve"> </w:t>
      </w:r>
      <w:r w:rsidRPr="00256727">
        <w:rPr>
          <w:rFonts w:ascii="Bookman Old Style" w:hAnsi="Bookman Old Style"/>
          <w:lang w:val="sv-FI"/>
        </w:rPr>
        <w:t>Belas</w:t>
      </w:r>
      <w:r w:rsidR="00A954D0" w:rsidRPr="00256727">
        <w:rPr>
          <w:rFonts w:ascii="Bookman Old Style" w:hAnsi="Bookman Old Style"/>
          <w:lang w:val="sv-FI"/>
        </w:rPr>
        <w:t xml:space="preserve"> </w:t>
      </w:r>
      <w:r w:rsidRPr="00256727">
        <w:rPr>
          <w:rFonts w:ascii="Bookman Old Style" w:hAnsi="Bookman Old Style"/>
          <w:lang w:val="sv-FI"/>
        </w:rPr>
        <w:t>Juta</w:t>
      </w:r>
      <w:r w:rsidR="00A954D0" w:rsidRPr="00256727">
        <w:rPr>
          <w:rFonts w:ascii="Bookman Old Style" w:hAnsi="Bookman Old Style"/>
          <w:lang w:val="sv-FI"/>
        </w:rPr>
        <w:t xml:space="preserve"> </w:t>
      </w:r>
      <w:r w:rsidRPr="00256727">
        <w:rPr>
          <w:rFonts w:ascii="Bookman Old Style" w:hAnsi="Bookman Old Style"/>
          <w:lang w:val="sv-FI"/>
        </w:rPr>
        <w:t>Enam</w:t>
      </w:r>
      <w:r w:rsidR="00A954D0" w:rsidRPr="00256727">
        <w:rPr>
          <w:rFonts w:ascii="Bookman Old Style" w:hAnsi="Bookman Old Style"/>
          <w:lang w:val="sv-FI"/>
        </w:rPr>
        <w:t xml:space="preserve"> </w:t>
      </w:r>
      <w:r w:rsidRPr="00256727">
        <w:rPr>
          <w:rFonts w:ascii="Bookman Old Style" w:hAnsi="Bookman Old Style"/>
          <w:lang w:val="sv-FI"/>
        </w:rPr>
        <w:t>Ratus</w:t>
      </w:r>
      <w:r w:rsidR="00A954D0" w:rsidRPr="00256727">
        <w:rPr>
          <w:rFonts w:ascii="Bookman Old Style" w:hAnsi="Bookman Old Style"/>
          <w:lang w:val="sv-FI"/>
        </w:rPr>
        <w:t xml:space="preserve"> </w:t>
      </w:r>
      <w:r w:rsidRPr="00256727">
        <w:rPr>
          <w:rFonts w:ascii="Bookman Old Style" w:hAnsi="Bookman Old Style"/>
          <w:lang w:val="sv-FI"/>
        </w:rPr>
        <w:t>Sembilan</w:t>
      </w:r>
      <w:r w:rsidR="00A954D0" w:rsidRPr="00256727">
        <w:rPr>
          <w:rFonts w:ascii="Bookman Old Style" w:hAnsi="Bookman Old Style"/>
          <w:lang w:val="sv-FI"/>
        </w:rPr>
        <w:t xml:space="preserve"> </w:t>
      </w:r>
      <w:r w:rsidRPr="00256727">
        <w:rPr>
          <w:rFonts w:ascii="Bookman Old Style" w:hAnsi="Bookman Old Style"/>
          <w:lang w:val="sv-FI"/>
        </w:rPr>
        <w:t>Puluh</w:t>
      </w:r>
      <w:r w:rsidR="00A954D0" w:rsidRPr="00256727">
        <w:rPr>
          <w:rFonts w:ascii="Bookman Old Style" w:hAnsi="Bookman Old Style"/>
          <w:lang w:val="sv-FI"/>
        </w:rPr>
        <w:t xml:space="preserve"> </w:t>
      </w:r>
      <w:r w:rsidRPr="00256727">
        <w:rPr>
          <w:rFonts w:ascii="Bookman Old Style" w:hAnsi="Bookman Old Style"/>
          <w:lang w:val="sv-FI"/>
        </w:rPr>
        <w:t>Tiga</w:t>
      </w:r>
      <w:r w:rsidR="00A954D0" w:rsidRPr="00256727">
        <w:rPr>
          <w:rFonts w:ascii="Bookman Old Style" w:hAnsi="Bookman Old Style"/>
          <w:lang w:val="sv-FI"/>
        </w:rPr>
        <w:t xml:space="preserve"> </w:t>
      </w:r>
      <w:r w:rsidRPr="00256727">
        <w:rPr>
          <w:rFonts w:ascii="Bookman Old Style" w:hAnsi="Bookman Old Style"/>
          <w:lang w:val="sv-FI"/>
        </w:rPr>
        <w:t>Ribu</w:t>
      </w:r>
      <w:r w:rsidR="00A954D0" w:rsidRPr="00256727">
        <w:rPr>
          <w:rFonts w:ascii="Bookman Old Style" w:hAnsi="Bookman Old Style"/>
          <w:lang w:val="sv-FI"/>
        </w:rPr>
        <w:t xml:space="preserve"> </w:t>
      </w:r>
      <w:r w:rsidRPr="00256727">
        <w:rPr>
          <w:rFonts w:ascii="Bookman Old Style" w:hAnsi="Bookman Old Style"/>
          <w:lang w:val="sv-FI"/>
        </w:rPr>
        <w:t>Dua</w:t>
      </w:r>
      <w:r w:rsidR="00A954D0" w:rsidRPr="00256727">
        <w:rPr>
          <w:rFonts w:ascii="Bookman Old Style" w:hAnsi="Bookman Old Style"/>
          <w:lang w:val="sv-FI"/>
        </w:rPr>
        <w:t xml:space="preserve"> </w:t>
      </w:r>
      <w:r w:rsidRPr="00256727">
        <w:rPr>
          <w:rFonts w:ascii="Bookman Old Style" w:hAnsi="Bookman Old Style"/>
          <w:lang w:val="sv-FI"/>
        </w:rPr>
        <w:t>Ratus</w:t>
      </w:r>
      <w:r w:rsidR="00A954D0" w:rsidRPr="00256727">
        <w:rPr>
          <w:rFonts w:ascii="Bookman Old Style" w:hAnsi="Bookman Old Style"/>
          <w:lang w:val="sv-FI"/>
        </w:rPr>
        <w:t xml:space="preserve"> </w:t>
      </w:r>
      <w:r w:rsidRPr="00256727">
        <w:rPr>
          <w:rFonts w:ascii="Bookman Old Style" w:hAnsi="Bookman Old Style"/>
          <w:lang w:val="sv-FI"/>
        </w:rPr>
        <w:t>Sembilan</w:t>
      </w:r>
      <w:r w:rsidR="00A954D0" w:rsidRPr="00256727">
        <w:rPr>
          <w:rFonts w:ascii="Bookman Old Style" w:hAnsi="Bookman Old Style"/>
          <w:lang w:val="sv-FI"/>
        </w:rPr>
        <w:t xml:space="preserve"> </w:t>
      </w:r>
      <w:r w:rsidRPr="00256727">
        <w:rPr>
          <w:rFonts w:ascii="Bookman Old Style" w:hAnsi="Bookman Old Style"/>
          <w:lang w:val="sv-FI"/>
        </w:rPr>
        <w:t>Puluh</w:t>
      </w:r>
      <w:r w:rsidR="00A954D0" w:rsidRPr="00256727">
        <w:rPr>
          <w:rFonts w:ascii="Bookman Old Style" w:hAnsi="Bookman Old Style"/>
          <w:lang w:val="sv-FI"/>
        </w:rPr>
        <w:t xml:space="preserve"> </w:t>
      </w:r>
      <w:r w:rsidRPr="00256727">
        <w:rPr>
          <w:rFonts w:ascii="Bookman Old Style" w:hAnsi="Bookman Old Style"/>
          <w:lang w:val="sv-FI"/>
        </w:rPr>
        <w:t>Empat</w:t>
      </w:r>
      <w:r w:rsidR="00A954D0" w:rsidRPr="00256727">
        <w:rPr>
          <w:rFonts w:ascii="Bookman Old Style" w:hAnsi="Bookman Old Style"/>
          <w:lang w:val="sv-FI"/>
        </w:rPr>
        <w:t xml:space="preserve"> </w:t>
      </w:r>
      <w:r w:rsidRPr="00256727">
        <w:rPr>
          <w:rFonts w:ascii="Bookman Old Style" w:hAnsi="Bookman Old Style"/>
          <w:lang w:val="sv-FI"/>
        </w:rPr>
        <w:t>Rupiah).</w:t>
      </w:r>
    </w:p>
    <w:p w14:paraId="6AD4E51F" w14:textId="4574DCC2" w:rsidR="006E2F8F" w:rsidRPr="00256727" w:rsidRDefault="006E2F8F" w:rsidP="007D4940">
      <w:pPr>
        <w:numPr>
          <w:ilvl w:val="0"/>
          <w:numId w:val="176"/>
        </w:numPr>
        <w:snapToGrid w:val="0"/>
        <w:spacing w:before="60" w:line="276" w:lineRule="auto"/>
        <w:ind w:left="2268" w:hanging="567"/>
        <w:jc w:val="both"/>
        <w:rPr>
          <w:rFonts w:ascii="Bookman Old Style" w:hAnsi="Bookman Old Style" w:cs="Tahoma"/>
          <w:lang w:val="sv-FI"/>
        </w:rPr>
      </w:pPr>
      <w:r w:rsidRPr="00256727">
        <w:rPr>
          <w:rFonts w:ascii="Bookman Old Style" w:hAnsi="Bookman Old Style" w:cs="Tahoma"/>
          <w:lang w:val="sv-FI"/>
        </w:rPr>
        <w:t>Pasal</w:t>
      </w:r>
      <w:r w:rsidR="00A954D0" w:rsidRPr="00256727">
        <w:rPr>
          <w:rFonts w:ascii="Bookman Old Style" w:hAnsi="Bookman Old Style" w:cs="Tahoma"/>
          <w:lang w:val="sv-FI"/>
        </w:rPr>
        <w:t xml:space="preserve"> </w:t>
      </w:r>
      <w:r w:rsidRPr="00256727">
        <w:rPr>
          <w:rFonts w:ascii="Bookman Old Style" w:hAnsi="Bookman Old Style" w:cs="Tahoma"/>
          <w:lang w:val="sv-FI"/>
        </w:rPr>
        <w:t>31</w:t>
      </w:r>
      <w:r w:rsidR="00A954D0" w:rsidRPr="00256727">
        <w:rPr>
          <w:rFonts w:ascii="Bookman Old Style" w:hAnsi="Bookman Old Style" w:cs="Tahoma"/>
          <w:lang w:val="sv-FI"/>
        </w:rPr>
        <w:t xml:space="preserve"> </w:t>
      </w:r>
      <w:r w:rsidRPr="00256727">
        <w:rPr>
          <w:rFonts w:ascii="Bookman Old Style" w:hAnsi="Bookman Old Style" w:cs="Tahoma"/>
          <w:lang w:val="sv-FI"/>
        </w:rPr>
        <w:t>agar</w:t>
      </w:r>
      <w:r w:rsidR="00A954D0" w:rsidRPr="00256727">
        <w:rPr>
          <w:rFonts w:ascii="Bookman Old Style" w:hAnsi="Bookman Old Style" w:cs="Tahoma"/>
          <w:lang w:val="sv-FI"/>
        </w:rPr>
        <w:t xml:space="preserve"> </w:t>
      </w:r>
      <w:r w:rsidRPr="00256727">
        <w:rPr>
          <w:rFonts w:ascii="Bookman Old Style" w:hAnsi="Bookman Old Style" w:cs="Tahoma"/>
          <w:lang w:val="sv-FI"/>
        </w:rPr>
        <w:t>diperbaiki</w:t>
      </w:r>
      <w:r w:rsidR="00A954D0" w:rsidRPr="00256727">
        <w:rPr>
          <w:rFonts w:ascii="Bookman Old Style" w:hAnsi="Bookman Old Style" w:cs="Tahoma"/>
          <w:lang w:val="sv-FI"/>
        </w:rPr>
        <w:t xml:space="preserve"> </w:t>
      </w:r>
      <w:r w:rsidRPr="00256727">
        <w:rPr>
          <w:rFonts w:ascii="Bookman Old Style" w:hAnsi="Bookman Old Style" w:cs="Tahoma"/>
          <w:lang w:val="sv-FI"/>
        </w:rPr>
        <w:t>redaksionalnya</w:t>
      </w:r>
      <w:r w:rsidR="00A954D0" w:rsidRPr="00256727">
        <w:rPr>
          <w:rFonts w:ascii="Bookman Old Style" w:hAnsi="Bookman Old Style" w:cs="Tahoma"/>
          <w:lang w:val="sv-FI"/>
        </w:rPr>
        <w:t xml:space="preserve"> </w:t>
      </w:r>
      <w:r w:rsidRPr="00256727">
        <w:rPr>
          <w:rFonts w:ascii="Bookman Old Style" w:hAnsi="Bookman Old Style" w:cs="Tahoma"/>
          <w:lang w:val="sv-FI"/>
        </w:rPr>
        <w:t>menjadi:</w:t>
      </w:r>
    </w:p>
    <w:p w14:paraId="0466B3B4" w14:textId="43E07EDD" w:rsidR="006E2F8F" w:rsidRPr="00256727" w:rsidRDefault="006E2F8F" w:rsidP="007D4940">
      <w:pPr>
        <w:snapToGrid w:val="0"/>
        <w:spacing w:before="60" w:line="276" w:lineRule="auto"/>
        <w:ind w:left="2268"/>
        <w:jc w:val="both"/>
        <w:rPr>
          <w:rFonts w:ascii="Bookman Old Style" w:hAnsi="Bookman Old Style"/>
          <w:lang w:val="sv-FI"/>
        </w:rPr>
      </w:pPr>
      <w:r w:rsidRPr="00256727">
        <w:rPr>
          <w:rFonts w:ascii="Bookman Old Style" w:hAnsi="Bookman Old Style"/>
          <w:lang w:val="sv-FI"/>
        </w:rPr>
        <w:t>Uraian</w:t>
      </w:r>
      <w:r w:rsidR="00A954D0" w:rsidRPr="00256727">
        <w:rPr>
          <w:rFonts w:ascii="Bookman Old Style" w:hAnsi="Bookman Old Style"/>
          <w:lang w:val="sv-FI"/>
        </w:rPr>
        <w:t xml:space="preserve"> </w:t>
      </w:r>
      <w:r w:rsidRPr="00256727">
        <w:rPr>
          <w:rFonts w:ascii="Bookman Old Style" w:hAnsi="Bookman Old Style"/>
          <w:lang w:val="sv-FI"/>
        </w:rPr>
        <w:t>lebih</w:t>
      </w:r>
      <w:r w:rsidR="00A954D0" w:rsidRPr="00256727">
        <w:rPr>
          <w:rFonts w:ascii="Bookman Old Style" w:hAnsi="Bookman Old Style"/>
          <w:lang w:val="sv-FI"/>
        </w:rPr>
        <w:t xml:space="preserve"> </w:t>
      </w:r>
      <w:r w:rsidRPr="00256727">
        <w:rPr>
          <w:rFonts w:ascii="Bookman Old Style" w:hAnsi="Bookman Old Style"/>
          <w:lang w:val="sv-FI"/>
        </w:rPr>
        <w:t>lanjut</w:t>
      </w:r>
      <w:r w:rsidR="00A954D0" w:rsidRPr="00256727">
        <w:rPr>
          <w:rFonts w:ascii="Bookman Old Style" w:hAnsi="Bookman Old Style"/>
          <w:lang w:val="sv-FI"/>
        </w:rPr>
        <w:t xml:space="preserve"> </w:t>
      </w:r>
      <w:r w:rsidRPr="00256727">
        <w:rPr>
          <w:rFonts w:ascii="Bookman Old Style" w:hAnsi="Bookman Old Style"/>
          <w:lang w:val="sv-FI"/>
        </w:rPr>
        <w:t>anggaran</w:t>
      </w:r>
      <w:r w:rsidR="00A954D0" w:rsidRPr="00256727">
        <w:rPr>
          <w:rFonts w:ascii="Bookman Old Style" w:hAnsi="Bookman Old Style"/>
          <w:lang w:val="sv-FI"/>
        </w:rPr>
        <w:t xml:space="preserve"> </w:t>
      </w:r>
      <w:r w:rsidRPr="00256727">
        <w:rPr>
          <w:rFonts w:ascii="Bookman Old Style" w:hAnsi="Bookman Old Style"/>
          <w:lang w:val="sv-FI"/>
        </w:rPr>
        <w:t>pendapatan</w:t>
      </w:r>
      <w:r w:rsidR="00A954D0" w:rsidRPr="00256727">
        <w:rPr>
          <w:rFonts w:ascii="Bookman Old Style" w:hAnsi="Bookman Old Style"/>
          <w:lang w:val="sv-FI"/>
        </w:rPr>
        <w:t xml:space="preserve"> </w:t>
      </w:r>
      <w:r w:rsidRPr="00256727">
        <w:rPr>
          <w:rFonts w:ascii="Bookman Old Style" w:hAnsi="Bookman Old Style"/>
          <w:lang w:val="sv-FI"/>
        </w:rPr>
        <w:t>dan</w:t>
      </w:r>
      <w:r w:rsidR="00A954D0" w:rsidRPr="00256727">
        <w:rPr>
          <w:rFonts w:ascii="Bookman Old Style" w:hAnsi="Bookman Old Style"/>
          <w:lang w:val="sv-FI"/>
        </w:rPr>
        <w:t xml:space="preserve"> </w:t>
      </w:r>
      <w:r w:rsidRPr="00256727">
        <w:rPr>
          <w:rFonts w:ascii="Bookman Old Style" w:hAnsi="Bookman Old Style"/>
          <w:lang w:val="sv-FI"/>
        </w:rPr>
        <w:t>belanja</w:t>
      </w:r>
      <w:r w:rsidR="00A954D0" w:rsidRPr="00256727">
        <w:rPr>
          <w:rFonts w:ascii="Bookman Old Style" w:hAnsi="Bookman Old Style"/>
          <w:lang w:val="sv-FI"/>
        </w:rPr>
        <w:t xml:space="preserve"> </w:t>
      </w:r>
      <w:r w:rsidRPr="00256727">
        <w:rPr>
          <w:rFonts w:ascii="Bookman Old Style" w:hAnsi="Bookman Old Style"/>
          <w:lang w:val="sv-FI"/>
        </w:rPr>
        <w:t>Daerah</w:t>
      </w:r>
      <w:r w:rsidR="00A954D0" w:rsidRPr="00256727">
        <w:rPr>
          <w:rFonts w:ascii="Bookman Old Style" w:hAnsi="Bookman Old Style"/>
          <w:lang w:val="sv-FI"/>
        </w:rPr>
        <w:t xml:space="preserve"> </w:t>
      </w:r>
      <w:r w:rsidRPr="00256727">
        <w:rPr>
          <w:rFonts w:ascii="Bookman Old Style" w:hAnsi="Bookman Old Style"/>
          <w:lang w:val="sv-FI"/>
        </w:rPr>
        <w:t>sebagaimana</w:t>
      </w:r>
      <w:r w:rsidR="00A954D0" w:rsidRPr="00256727">
        <w:rPr>
          <w:rFonts w:ascii="Bookman Old Style" w:hAnsi="Bookman Old Style"/>
          <w:lang w:val="sv-FI"/>
        </w:rPr>
        <w:t xml:space="preserve"> </w:t>
      </w:r>
      <w:r w:rsidRPr="00256727">
        <w:rPr>
          <w:rFonts w:ascii="Bookman Old Style" w:hAnsi="Bookman Old Style"/>
          <w:lang w:val="sv-FI"/>
        </w:rPr>
        <w:t>dimaksud</w:t>
      </w:r>
      <w:r w:rsidR="00A954D0" w:rsidRPr="00256727">
        <w:rPr>
          <w:rFonts w:ascii="Bookman Old Style" w:hAnsi="Bookman Old Style"/>
          <w:lang w:val="sv-FI"/>
        </w:rPr>
        <w:t xml:space="preserve"> </w:t>
      </w:r>
      <w:r w:rsidRPr="00256727">
        <w:rPr>
          <w:rFonts w:ascii="Bookman Old Style" w:hAnsi="Bookman Old Style"/>
          <w:lang w:val="sv-FI"/>
        </w:rPr>
        <w:t>dalam</w:t>
      </w:r>
      <w:r w:rsidR="00A954D0" w:rsidRPr="00256727">
        <w:rPr>
          <w:rFonts w:ascii="Bookman Old Style" w:hAnsi="Bookman Old Style"/>
          <w:lang w:val="sv-FI"/>
        </w:rPr>
        <w:t xml:space="preserve"> </w:t>
      </w:r>
      <w:r w:rsidRPr="00256727">
        <w:rPr>
          <w:rFonts w:ascii="Bookman Old Style" w:hAnsi="Bookman Old Style"/>
          <w:lang w:val="sv-FI"/>
        </w:rPr>
        <w:t>Pasal</w:t>
      </w:r>
      <w:r w:rsidR="00A954D0" w:rsidRPr="00256727">
        <w:rPr>
          <w:rFonts w:ascii="Bookman Old Style" w:hAnsi="Bookman Old Style"/>
          <w:lang w:val="sv-FI"/>
        </w:rPr>
        <w:t xml:space="preserve"> </w:t>
      </w:r>
      <w:r w:rsidRPr="00256727">
        <w:rPr>
          <w:rFonts w:ascii="Bookman Old Style" w:hAnsi="Bookman Old Style"/>
          <w:lang w:val="sv-FI"/>
        </w:rPr>
        <w:t>2,</w:t>
      </w:r>
      <w:r w:rsidR="00A954D0" w:rsidRPr="00256727">
        <w:rPr>
          <w:rFonts w:ascii="Bookman Old Style" w:hAnsi="Bookman Old Style"/>
          <w:lang w:val="sv-FI"/>
        </w:rPr>
        <w:t xml:space="preserve"> </w:t>
      </w:r>
      <w:r w:rsidRPr="00256727">
        <w:rPr>
          <w:rFonts w:ascii="Bookman Old Style" w:hAnsi="Bookman Old Style"/>
          <w:lang w:val="sv-FI"/>
        </w:rPr>
        <w:lastRenderedPageBreak/>
        <w:t>tercantum</w:t>
      </w:r>
      <w:r w:rsidR="00A954D0" w:rsidRPr="00256727">
        <w:rPr>
          <w:rFonts w:ascii="Bookman Old Style" w:hAnsi="Bookman Old Style"/>
          <w:lang w:val="sv-FI"/>
        </w:rPr>
        <w:t xml:space="preserve"> </w:t>
      </w:r>
      <w:r w:rsidRPr="00256727">
        <w:rPr>
          <w:rFonts w:ascii="Bookman Old Style" w:hAnsi="Bookman Old Style"/>
          <w:lang w:val="sv-FI"/>
        </w:rPr>
        <w:t>dalam</w:t>
      </w:r>
      <w:r w:rsidR="00A954D0" w:rsidRPr="00256727">
        <w:rPr>
          <w:rFonts w:ascii="Bookman Old Style" w:hAnsi="Bookman Old Style"/>
          <w:lang w:val="sv-FI"/>
        </w:rPr>
        <w:t xml:space="preserve"> </w:t>
      </w:r>
      <w:r w:rsidRPr="00256727">
        <w:rPr>
          <w:rFonts w:ascii="Bookman Old Style" w:hAnsi="Bookman Old Style"/>
          <w:lang w:val="sv-FI"/>
        </w:rPr>
        <w:t>Lampiran</w:t>
      </w:r>
      <w:r w:rsidR="00A954D0" w:rsidRPr="00256727">
        <w:rPr>
          <w:rFonts w:ascii="Bookman Old Style" w:hAnsi="Bookman Old Style"/>
          <w:lang w:val="sv-FI"/>
        </w:rPr>
        <w:t xml:space="preserve"> </w:t>
      </w:r>
      <w:r w:rsidRPr="00256727">
        <w:rPr>
          <w:rFonts w:ascii="Bookman Old Style" w:hAnsi="Bookman Old Style"/>
          <w:lang w:val="sv-FI"/>
        </w:rPr>
        <w:t>yang</w:t>
      </w:r>
      <w:r w:rsidR="00A954D0" w:rsidRPr="00256727">
        <w:rPr>
          <w:rFonts w:ascii="Bookman Old Style" w:hAnsi="Bookman Old Style"/>
          <w:lang w:val="sv-FI"/>
        </w:rPr>
        <w:t xml:space="preserve"> </w:t>
      </w:r>
      <w:r w:rsidRPr="00256727">
        <w:rPr>
          <w:rFonts w:ascii="Bookman Old Style" w:hAnsi="Bookman Old Style"/>
          <w:lang w:val="sv-FI"/>
        </w:rPr>
        <w:t>merupakan</w:t>
      </w:r>
      <w:r w:rsidR="00A954D0" w:rsidRPr="00256727">
        <w:rPr>
          <w:rFonts w:ascii="Bookman Old Style" w:hAnsi="Bookman Old Style"/>
          <w:lang w:val="sv-FI"/>
        </w:rPr>
        <w:t xml:space="preserve"> </w:t>
      </w:r>
      <w:r w:rsidRPr="00256727">
        <w:rPr>
          <w:rFonts w:ascii="Bookman Old Style" w:hAnsi="Bookman Old Style"/>
          <w:lang w:val="sv-FI"/>
        </w:rPr>
        <w:t>bagian</w:t>
      </w:r>
      <w:r w:rsidR="00A954D0" w:rsidRPr="00256727">
        <w:rPr>
          <w:rFonts w:ascii="Bookman Old Style" w:hAnsi="Bookman Old Style"/>
          <w:lang w:val="sv-FI"/>
        </w:rPr>
        <w:t xml:space="preserve"> </w:t>
      </w:r>
      <w:r w:rsidRPr="00256727">
        <w:rPr>
          <w:rFonts w:ascii="Bookman Old Style" w:hAnsi="Bookman Old Style"/>
          <w:lang w:val="sv-FI"/>
        </w:rPr>
        <w:t>tidak</w:t>
      </w:r>
      <w:r w:rsidR="00A954D0" w:rsidRPr="00256727">
        <w:rPr>
          <w:rFonts w:ascii="Bookman Old Style" w:hAnsi="Bookman Old Style"/>
          <w:lang w:val="sv-FI"/>
        </w:rPr>
        <w:t xml:space="preserve"> </w:t>
      </w:r>
      <w:r w:rsidRPr="00256727">
        <w:rPr>
          <w:rFonts w:ascii="Bookman Old Style" w:hAnsi="Bookman Old Style"/>
          <w:lang w:val="sv-FI"/>
        </w:rPr>
        <w:t>terpisahkan</w:t>
      </w:r>
      <w:r w:rsidR="00A954D0" w:rsidRPr="00256727">
        <w:rPr>
          <w:rFonts w:ascii="Bookman Old Style" w:hAnsi="Bookman Old Style"/>
          <w:lang w:val="sv-FI"/>
        </w:rPr>
        <w:t xml:space="preserve"> </w:t>
      </w:r>
      <w:r w:rsidRPr="00256727">
        <w:rPr>
          <w:rFonts w:ascii="Bookman Old Style" w:hAnsi="Bookman Old Style"/>
          <w:lang w:val="sv-FI"/>
        </w:rPr>
        <w:t>dari</w:t>
      </w:r>
      <w:r w:rsidR="00A954D0" w:rsidRPr="00256727">
        <w:rPr>
          <w:rFonts w:ascii="Bookman Old Style" w:hAnsi="Bookman Old Style"/>
          <w:lang w:val="sv-FI"/>
        </w:rPr>
        <w:t xml:space="preserve"> </w:t>
      </w:r>
      <w:r w:rsidRPr="00256727">
        <w:rPr>
          <w:rFonts w:ascii="Bookman Old Style" w:hAnsi="Bookman Old Style"/>
          <w:b/>
          <w:bCs/>
          <w:lang w:val="sv-FI"/>
        </w:rPr>
        <w:t>Peraturan</w:t>
      </w:r>
      <w:r w:rsidR="00A954D0" w:rsidRPr="00256727">
        <w:rPr>
          <w:rFonts w:ascii="Bookman Old Style" w:hAnsi="Bookman Old Style"/>
          <w:b/>
          <w:bCs/>
          <w:lang w:val="sv-FI"/>
        </w:rPr>
        <w:t xml:space="preserve"> </w:t>
      </w:r>
      <w:r w:rsidRPr="00256727">
        <w:rPr>
          <w:rFonts w:ascii="Bookman Old Style" w:hAnsi="Bookman Old Style"/>
          <w:b/>
          <w:bCs/>
          <w:lang w:val="sv-FI"/>
        </w:rPr>
        <w:t>Wali</w:t>
      </w:r>
      <w:r w:rsidR="00A954D0" w:rsidRPr="00256727">
        <w:rPr>
          <w:rFonts w:ascii="Bookman Old Style" w:hAnsi="Bookman Old Style"/>
          <w:b/>
          <w:bCs/>
          <w:lang w:val="sv-FI"/>
        </w:rPr>
        <w:t xml:space="preserve"> </w:t>
      </w:r>
      <w:r w:rsidRPr="00256727">
        <w:rPr>
          <w:rFonts w:ascii="Bookman Old Style" w:hAnsi="Bookman Old Style"/>
          <w:b/>
          <w:bCs/>
          <w:lang w:val="sv-FI"/>
        </w:rPr>
        <w:t>Kota</w:t>
      </w:r>
      <w:r w:rsidR="00A954D0" w:rsidRPr="00256727">
        <w:rPr>
          <w:rFonts w:ascii="Bookman Old Style" w:hAnsi="Bookman Old Style"/>
          <w:lang w:val="sv-FI"/>
        </w:rPr>
        <w:t xml:space="preserve"> </w:t>
      </w:r>
      <w:r w:rsidRPr="00256727">
        <w:rPr>
          <w:rFonts w:ascii="Bookman Old Style" w:hAnsi="Bookman Old Style"/>
          <w:lang w:val="sv-FI"/>
        </w:rPr>
        <w:t>ini</w:t>
      </w:r>
      <w:r w:rsidR="00A954D0" w:rsidRPr="00256727">
        <w:rPr>
          <w:rFonts w:ascii="Bookman Old Style" w:hAnsi="Bookman Old Style"/>
          <w:lang w:val="sv-FI"/>
        </w:rPr>
        <w:t xml:space="preserve"> </w:t>
      </w:r>
      <w:r w:rsidRPr="00256727">
        <w:rPr>
          <w:rFonts w:ascii="Bookman Old Style" w:hAnsi="Bookman Old Style"/>
          <w:lang w:val="sv-FI"/>
        </w:rPr>
        <w:t>terdiri</w:t>
      </w:r>
      <w:r w:rsidR="00A954D0" w:rsidRPr="00256727">
        <w:rPr>
          <w:rFonts w:ascii="Bookman Old Style" w:hAnsi="Bookman Old Style"/>
          <w:lang w:val="sv-FI"/>
        </w:rPr>
        <w:t xml:space="preserve"> </w:t>
      </w:r>
      <w:r w:rsidRPr="00256727">
        <w:rPr>
          <w:rFonts w:ascii="Bookman Old Style" w:hAnsi="Bookman Old Style"/>
          <w:b/>
          <w:bCs/>
          <w:lang w:val="sv-FI"/>
        </w:rPr>
        <w:t>atas</w:t>
      </w:r>
      <w:r w:rsidRPr="00256727">
        <w:rPr>
          <w:rFonts w:ascii="Bookman Old Style" w:hAnsi="Bookman Old Style"/>
          <w:lang w:val="sv-FI"/>
        </w:rPr>
        <w:t>:</w:t>
      </w:r>
    </w:p>
    <w:p w14:paraId="7308A0FB" w14:textId="0B87D268" w:rsidR="006E2F8F" w:rsidRPr="000E2664" w:rsidRDefault="006E2F8F" w:rsidP="007D4940">
      <w:pPr>
        <w:pStyle w:val="ListParagraph"/>
        <w:numPr>
          <w:ilvl w:val="0"/>
          <w:numId w:val="223"/>
        </w:numPr>
        <w:snapToGrid w:val="0"/>
        <w:spacing w:before="60" w:after="0" w:line="276" w:lineRule="auto"/>
        <w:ind w:left="2694" w:hanging="426"/>
        <w:contextualSpacing w:val="0"/>
        <w:jc w:val="both"/>
        <w:rPr>
          <w:rFonts w:ascii="Bookman Old Style" w:hAnsi="Bookman Old Style" w:cs="Tahoma"/>
          <w:sz w:val="24"/>
          <w:szCs w:val="24"/>
        </w:rPr>
      </w:pPr>
      <w:r w:rsidRPr="000E2664">
        <w:rPr>
          <w:rFonts w:ascii="Bookman Old Style" w:hAnsi="Bookman Old Style"/>
          <w:sz w:val="24"/>
          <w:szCs w:val="24"/>
        </w:rPr>
        <w:t>Lampiran</w:t>
      </w:r>
      <w:r w:rsidR="00A954D0">
        <w:rPr>
          <w:rFonts w:ascii="Bookman Old Style" w:hAnsi="Bookman Old Style"/>
          <w:sz w:val="24"/>
          <w:szCs w:val="24"/>
        </w:rPr>
        <w:t xml:space="preserve"> </w:t>
      </w:r>
      <w:r w:rsidRPr="000E2664">
        <w:rPr>
          <w:rFonts w:ascii="Bookman Old Style" w:hAnsi="Bookman Old Style"/>
          <w:sz w:val="24"/>
          <w:szCs w:val="24"/>
        </w:rPr>
        <w:t>I</w:t>
      </w:r>
      <w:r w:rsidR="00A954D0">
        <w:rPr>
          <w:rFonts w:ascii="Bookman Old Style" w:hAnsi="Bookman Old Style"/>
          <w:sz w:val="24"/>
          <w:szCs w:val="24"/>
        </w:rPr>
        <w:t xml:space="preserve"> </w:t>
      </w:r>
      <w:r w:rsidRPr="000E2664">
        <w:rPr>
          <w:rFonts w:ascii="Bookman Old Style" w:hAnsi="Bookman Old Style"/>
          <w:sz w:val="24"/>
          <w:szCs w:val="24"/>
        </w:rPr>
        <w:t>Ringkasan</w:t>
      </w:r>
      <w:r w:rsidR="00A954D0">
        <w:rPr>
          <w:rFonts w:ascii="Bookman Old Style" w:hAnsi="Bookman Old Style"/>
          <w:sz w:val="24"/>
          <w:szCs w:val="24"/>
        </w:rPr>
        <w:t xml:space="preserve"> </w:t>
      </w:r>
      <w:r w:rsidRPr="000E2664">
        <w:rPr>
          <w:rFonts w:ascii="Bookman Old Style" w:hAnsi="Bookman Old Style"/>
          <w:sz w:val="24"/>
          <w:szCs w:val="24"/>
        </w:rPr>
        <w:t>Penjabaran</w:t>
      </w:r>
      <w:r w:rsidR="00A954D0">
        <w:rPr>
          <w:rFonts w:ascii="Bookman Old Style" w:hAnsi="Bookman Old Style"/>
          <w:sz w:val="24"/>
          <w:szCs w:val="24"/>
        </w:rPr>
        <w:t xml:space="preserve"> </w:t>
      </w:r>
      <w:r w:rsidRPr="000E2664">
        <w:rPr>
          <w:rFonts w:ascii="Bookman Old Style" w:hAnsi="Bookman Old Style"/>
          <w:sz w:val="24"/>
          <w:szCs w:val="24"/>
        </w:rPr>
        <w:t>APBD</w:t>
      </w:r>
      <w:r w:rsidR="00A954D0">
        <w:rPr>
          <w:rFonts w:ascii="Bookman Old Style" w:hAnsi="Bookman Old Style"/>
          <w:sz w:val="24"/>
          <w:szCs w:val="24"/>
        </w:rPr>
        <w:t xml:space="preserve"> </w:t>
      </w:r>
      <w:r w:rsidRPr="000E2664">
        <w:rPr>
          <w:rFonts w:ascii="Bookman Old Style" w:hAnsi="Bookman Old Style"/>
          <w:sz w:val="24"/>
          <w:szCs w:val="24"/>
        </w:rPr>
        <w:t>Yang</w:t>
      </w:r>
      <w:r w:rsidR="00A954D0">
        <w:rPr>
          <w:rFonts w:ascii="Bookman Old Style" w:hAnsi="Bookman Old Style"/>
          <w:sz w:val="24"/>
          <w:szCs w:val="24"/>
        </w:rPr>
        <w:t xml:space="preserve"> </w:t>
      </w:r>
      <w:r w:rsidRPr="000E2664">
        <w:rPr>
          <w:rFonts w:ascii="Bookman Old Style" w:hAnsi="Bookman Old Style"/>
          <w:sz w:val="24"/>
          <w:szCs w:val="24"/>
        </w:rPr>
        <w:t>Diklasifikasi</w:t>
      </w:r>
      <w:r w:rsidR="00A954D0">
        <w:rPr>
          <w:rFonts w:ascii="Bookman Old Style" w:hAnsi="Bookman Old Style"/>
          <w:sz w:val="24"/>
          <w:szCs w:val="24"/>
        </w:rPr>
        <w:t xml:space="preserve"> </w:t>
      </w:r>
      <w:r w:rsidRPr="000E2664">
        <w:rPr>
          <w:rFonts w:ascii="Bookman Old Style" w:hAnsi="Bookman Old Style"/>
          <w:sz w:val="24"/>
          <w:szCs w:val="24"/>
        </w:rPr>
        <w:t>Menurut</w:t>
      </w:r>
      <w:r w:rsidR="00A954D0">
        <w:rPr>
          <w:rFonts w:ascii="Bookman Old Style" w:hAnsi="Bookman Old Style"/>
          <w:sz w:val="24"/>
          <w:szCs w:val="24"/>
        </w:rPr>
        <w:t xml:space="preserve"> </w:t>
      </w:r>
      <w:r w:rsidRPr="000E2664">
        <w:rPr>
          <w:rFonts w:ascii="Bookman Old Style" w:hAnsi="Bookman Old Style"/>
          <w:sz w:val="24"/>
          <w:szCs w:val="24"/>
        </w:rPr>
        <w:t>Kelompok,</w:t>
      </w:r>
      <w:r w:rsidR="00A954D0">
        <w:rPr>
          <w:rFonts w:ascii="Bookman Old Style" w:hAnsi="Bookman Old Style"/>
          <w:sz w:val="24"/>
          <w:szCs w:val="24"/>
        </w:rPr>
        <w:t xml:space="preserve"> </w:t>
      </w:r>
      <w:r w:rsidRPr="000E2664">
        <w:rPr>
          <w:rFonts w:ascii="Bookman Old Style" w:hAnsi="Bookman Old Style"/>
          <w:sz w:val="24"/>
          <w:szCs w:val="24"/>
        </w:rPr>
        <w:t>Jenis,</w:t>
      </w:r>
      <w:r w:rsidR="00A954D0">
        <w:rPr>
          <w:rFonts w:ascii="Bookman Old Style" w:hAnsi="Bookman Old Style"/>
          <w:sz w:val="24"/>
          <w:szCs w:val="24"/>
        </w:rPr>
        <w:t xml:space="preserve"> </w:t>
      </w:r>
      <w:r w:rsidRPr="000E2664">
        <w:rPr>
          <w:rFonts w:ascii="Bookman Old Style" w:hAnsi="Bookman Old Style"/>
          <w:sz w:val="24"/>
          <w:szCs w:val="24"/>
        </w:rPr>
        <w:t>Objek,</w:t>
      </w:r>
      <w:r w:rsidR="00A954D0">
        <w:rPr>
          <w:rFonts w:ascii="Bookman Old Style" w:hAnsi="Bookman Old Style"/>
          <w:sz w:val="24"/>
          <w:szCs w:val="24"/>
        </w:rPr>
        <w:t xml:space="preserve"> </w:t>
      </w:r>
      <w:r w:rsidRPr="000E2664">
        <w:rPr>
          <w:rFonts w:ascii="Bookman Old Style" w:hAnsi="Bookman Old Style"/>
          <w:sz w:val="24"/>
          <w:szCs w:val="24"/>
        </w:rPr>
        <w:t>Rincian</w:t>
      </w:r>
      <w:r w:rsidR="00A954D0">
        <w:rPr>
          <w:rFonts w:ascii="Bookman Old Style" w:hAnsi="Bookman Old Style"/>
          <w:sz w:val="24"/>
          <w:szCs w:val="24"/>
        </w:rPr>
        <w:t xml:space="preserve"> </w:t>
      </w:r>
      <w:r w:rsidRPr="000E2664">
        <w:rPr>
          <w:rFonts w:ascii="Bookman Old Style" w:hAnsi="Bookman Old Style"/>
          <w:sz w:val="24"/>
          <w:szCs w:val="24"/>
        </w:rPr>
        <w:t>Objek</w:t>
      </w:r>
      <w:r w:rsidR="00A954D0">
        <w:rPr>
          <w:rFonts w:ascii="Bookman Old Style" w:hAnsi="Bookman Old Style"/>
          <w:sz w:val="24"/>
          <w:szCs w:val="24"/>
        </w:rPr>
        <w:t xml:space="preserve"> </w:t>
      </w:r>
      <w:r w:rsidRPr="000E2664">
        <w:rPr>
          <w:rFonts w:ascii="Bookman Old Style" w:hAnsi="Bookman Old Style"/>
          <w:sz w:val="24"/>
          <w:szCs w:val="24"/>
        </w:rPr>
        <w:t>Pendapatan,</w:t>
      </w:r>
      <w:r w:rsidR="00A954D0">
        <w:rPr>
          <w:rFonts w:ascii="Bookman Old Style" w:hAnsi="Bookman Old Style"/>
          <w:sz w:val="24"/>
          <w:szCs w:val="24"/>
        </w:rPr>
        <w:t xml:space="preserve"> </w:t>
      </w:r>
      <w:r w:rsidRPr="000E2664">
        <w:rPr>
          <w:rFonts w:ascii="Bookman Old Style" w:hAnsi="Bookman Old Style"/>
          <w:sz w:val="24"/>
          <w:szCs w:val="24"/>
        </w:rPr>
        <w:t>Belanja,</w:t>
      </w:r>
      <w:r w:rsidR="00A954D0">
        <w:rPr>
          <w:rFonts w:ascii="Bookman Old Style" w:hAnsi="Bookman Old Style"/>
          <w:sz w:val="24"/>
          <w:szCs w:val="24"/>
        </w:rPr>
        <w:t xml:space="preserve"> </w:t>
      </w:r>
      <w:r w:rsidRPr="000E2664">
        <w:rPr>
          <w:rFonts w:ascii="Bookman Old Style" w:hAnsi="Bookman Old Style"/>
          <w:sz w:val="24"/>
          <w:szCs w:val="24"/>
        </w:rPr>
        <w:t>dan</w:t>
      </w:r>
      <w:r w:rsidR="00A954D0">
        <w:rPr>
          <w:rFonts w:ascii="Bookman Old Style" w:hAnsi="Bookman Old Style"/>
          <w:sz w:val="24"/>
          <w:szCs w:val="24"/>
        </w:rPr>
        <w:t xml:space="preserve"> </w:t>
      </w:r>
      <w:r w:rsidRPr="000E2664">
        <w:rPr>
          <w:rFonts w:ascii="Bookman Old Style" w:hAnsi="Bookman Old Style"/>
          <w:sz w:val="24"/>
          <w:szCs w:val="24"/>
        </w:rPr>
        <w:t>Pembiayaan;</w:t>
      </w:r>
    </w:p>
    <w:p w14:paraId="2D14BDE9" w14:textId="237C6486" w:rsidR="006E2F8F" w:rsidRPr="000E2664" w:rsidRDefault="006E2F8F" w:rsidP="007D4940">
      <w:pPr>
        <w:pStyle w:val="ListParagraph"/>
        <w:numPr>
          <w:ilvl w:val="0"/>
          <w:numId w:val="223"/>
        </w:numPr>
        <w:snapToGrid w:val="0"/>
        <w:spacing w:before="60" w:after="0" w:line="276" w:lineRule="auto"/>
        <w:ind w:left="2694" w:hanging="426"/>
        <w:contextualSpacing w:val="0"/>
        <w:jc w:val="both"/>
        <w:rPr>
          <w:rFonts w:ascii="Bookman Old Style" w:hAnsi="Bookman Old Style" w:cs="Tahoma"/>
          <w:sz w:val="24"/>
          <w:szCs w:val="24"/>
        </w:rPr>
      </w:pPr>
      <w:r w:rsidRPr="000E2664">
        <w:rPr>
          <w:rFonts w:ascii="Bookman Old Style" w:hAnsi="Bookman Old Style"/>
          <w:sz w:val="24"/>
          <w:szCs w:val="24"/>
        </w:rPr>
        <w:t>Lampiran</w:t>
      </w:r>
      <w:r w:rsidR="00A954D0">
        <w:rPr>
          <w:rFonts w:ascii="Bookman Old Style" w:hAnsi="Bookman Old Style"/>
          <w:sz w:val="24"/>
          <w:szCs w:val="24"/>
        </w:rPr>
        <w:t xml:space="preserve"> </w:t>
      </w:r>
      <w:r w:rsidRPr="000E2664">
        <w:rPr>
          <w:rFonts w:ascii="Bookman Old Style" w:hAnsi="Bookman Old Style"/>
          <w:sz w:val="24"/>
          <w:szCs w:val="24"/>
        </w:rPr>
        <w:t>II</w:t>
      </w:r>
      <w:r w:rsidR="00A954D0">
        <w:rPr>
          <w:rFonts w:ascii="Bookman Old Style" w:hAnsi="Bookman Old Style"/>
          <w:sz w:val="24"/>
          <w:szCs w:val="24"/>
        </w:rPr>
        <w:t xml:space="preserve"> </w:t>
      </w:r>
      <w:r w:rsidRPr="000E2664">
        <w:rPr>
          <w:rFonts w:ascii="Bookman Old Style" w:hAnsi="Bookman Old Style"/>
          <w:sz w:val="24"/>
          <w:szCs w:val="24"/>
        </w:rPr>
        <w:t>Penjabaran</w:t>
      </w:r>
      <w:r w:rsidR="00A954D0">
        <w:rPr>
          <w:rFonts w:ascii="Bookman Old Style" w:hAnsi="Bookman Old Style"/>
          <w:sz w:val="24"/>
          <w:szCs w:val="24"/>
        </w:rPr>
        <w:t xml:space="preserve"> </w:t>
      </w:r>
      <w:r w:rsidRPr="000E2664">
        <w:rPr>
          <w:rFonts w:ascii="Bookman Old Style" w:hAnsi="Bookman Old Style"/>
          <w:sz w:val="24"/>
          <w:szCs w:val="24"/>
        </w:rPr>
        <w:t>APBD</w:t>
      </w:r>
      <w:r w:rsidR="00A954D0">
        <w:rPr>
          <w:rFonts w:ascii="Bookman Old Style" w:hAnsi="Bookman Old Style"/>
          <w:sz w:val="24"/>
          <w:szCs w:val="24"/>
        </w:rPr>
        <w:t xml:space="preserve"> </w:t>
      </w:r>
      <w:r w:rsidRPr="000E2664">
        <w:rPr>
          <w:rFonts w:ascii="Bookman Old Style" w:hAnsi="Bookman Old Style"/>
          <w:sz w:val="24"/>
          <w:szCs w:val="24"/>
        </w:rPr>
        <w:t>Menurut</w:t>
      </w:r>
      <w:r w:rsidR="00A954D0">
        <w:rPr>
          <w:rFonts w:ascii="Bookman Old Style" w:hAnsi="Bookman Old Style"/>
          <w:sz w:val="24"/>
          <w:szCs w:val="24"/>
        </w:rPr>
        <w:t xml:space="preserve"> </w:t>
      </w:r>
      <w:r w:rsidRPr="000E2664">
        <w:rPr>
          <w:rFonts w:ascii="Bookman Old Style" w:hAnsi="Bookman Old Style"/>
          <w:sz w:val="24"/>
          <w:szCs w:val="24"/>
        </w:rPr>
        <w:t>Urusan</w:t>
      </w:r>
      <w:r w:rsidR="00A954D0">
        <w:rPr>
          <w:rFonts w:ascii="Bookman Old Style" w:hAnsi="Bookman Old Style"/>
          <w:sz w:val="24"/>
          <w:szCs w:val="24"/>
        </w:rPr>
        <w:t xml:space="preserve"> </w:t>
      </w:r>
      <w:r w:rsidRPr="000E2664">
        <w:rPr>
          <w:rFonts w:ascii="Bookman Old Style" w:hAnsi="Bookman Old Style"/>
          <w:sz w:val="24"/>
          <w:szCs w:val="24"/>
        </w:rPr>
        <w:t>Pemerintahan</w:t>
      </w:r>
      <w:r w:rsidR="00A954D0">
        <w:rPr>
          <w:rFonts w:ascii="Bookman Old Style" w:hAnsi="Bookman Old Style"/>
          <w:sz w:val="24"/>
          <w:szCs w:val="24"/>
        </w:rPr>
        <w:t xml:space="preserve"> </w:t>
      </w:r>
      <w:r w:rsidRPr="000E2664">
        <w:rPr>
          <w:rFonts w:ascii="Bookman Old Style" w:hAnsi="Bookman Old Style"/>
          <w:sz w:val="24"/>
          <w:szCs w:val="24"/>
        </w:rPr>
        <w:t>Daerah,</w:t>
      </w:r>
      <w:r w:rsidR="00A954D0">
        <w:rPr>
          <w:rFonts w:ascii="Bookman Old Style" w:hAnsi="Bookman Old Style"/>
          <w:sz w:val="24"/>
          <w:szCs w:val="24"/>
        </w:rPr>
        <w:t xml:space="preserve"> </w:t>
      </w:r>
      <w:r w:rsidRPr="000E2664">
        <w:rPr>
          <w:rFonts w:ascii="Bookman Old Style" w:hAnsi="Bookman Old Style"/>
          <w:sz w:val="24"/>
          <w:szCs w:val="24"/>
        </w:rPr>
        <w:t>Organisasi,</w:t>
      </w:r>
      <w:r w:rsidR="00A954D0">
        <w:rPr>
          <w:rFonts w:ascii="Bookman Old Style" w:hAnsi="Bookman Old Style"/>
          <w:sz w:val="24"/>
          <w:szCs w:val="24"/>
        </w:rPr>
        <w:t xml:space="preserve"> </w:t>
      </w:r>
      <w:r w:rsidRPr="000E2664">
        <w:rPr>
          <w:rFonts w:ascii="Bookman Old Style" w:hAnsi="Bookman Old Style"/>
          <w:sz w:val="24"/>
          <w:szCs w:val="24"/>
        </w:rPr>
        <w:t>Program,</w:t>
      </w:r>
      <w:r w:rsidR="00A954D0">
        <w:rPr>
          <w:rFonts w:ascii="Bookman Old Style" w:hAnsi="Bookman Old Style"/>
          <w:sz w:val="24"/>
          <w:szCs w:val="24"/>
        </w:rPr>
        <w:t xml:space="preserve"> </w:t>
      </w:r>
      <w:r w:rsidRPr="000E2664">
        <w:rPr>
          <w:rFonts w:ascii="Bookman Old Style" w:hAnsi="Bookman Old Style"/>
          <w:sz w:val="24"/>
          <w:szCs w:val="24"/>
        </w:rPr>
        <w:t>Kegiatan,</w:t>
      </w:r>
      <w:r w:rsidR="00A954D0">
        <w:rPr>
          <w:rFonts w:ascii="Bookman Old Style" w:hAnsi="Bookman Old Style"/>
          <w:sz w:val="24"/>
          <w:szCs w:val="24"/>
        </w:rPr>
        <w:t xml:space="preserve"> </w:t>
      </w:r>
      <w:r w:rsidRPr="000E2664">
        <w:rPr>
          <w:rFonts w:ascii="Bookman Old Style" w:hAnsi="Bookman Old Style"/>
          <w:sz w:val="24"/>
          <w:szCs w:val="24"/>
        </w:rPr>
        <w:t>Sub</w:t>
      </w:r>
      <w:r w:rsidR="00A954D0">
        <w:rPr>
          <w:rFonts w:ascii="Bookman Old Style" w:hAnsi="Bookman Old Style"/>
          <w:sz w:val="24"/>
          <w:szCs w:val="24"/>
        </w:rPr>
        <w:t xml:space="preserve"> </w:t>
      </w:r>
      <w:r w:rsidRPr="000E2664">
        <w:rPr>
          <w:rFonts w:ascii="Bookman Old Style" w:hAnsi="Bookman Old Style"/>
          <w:sz w:val="24"/>
          <w:szCs w:val="24"/>
        </w:rPr>
        <w:t>Kegiatan,</w:t>
      </w:r>
      <w:r w:rsidR="00A954D0">
        <w:rPr>
          <w:rFonts w:ascii="Bookman Old Style" w:hAnsi="Bookman Old Style"/>
          <w:sz w:val="24"/>
          <w:szCs w:val="24"/>
        </w:rPr>
        <w:t xml:space="preserve"> </w:t>
      </w:r>
      <w:r w:rsidRPr="000E2664">
        <w:rPr>
          <w:rFonts w:ascii="Bookman Old Style" w:hAnsi="Bookman Old Style"/>
          <w:sz w:val="24"/>
          <w:szCs w:val="24"/>
        </w:rPr>
        <w:t>Kelompok,</w:t>
      </w:r>
      <w:r w:rsidR="00A954D0">
        <w:rPr>
          <w:rFonts w:ascii="Bookman Old Style" w:hAnsi="Bookman Old Style"/>
          <w:sz w:val="24"/>
          <w:szCs w:val="24"/>
        </w:rPr>
        <w:t xml:space="preserve"> </w:t>
      </w:r>
      <w:r w:rsidRPr="000E2664">
        <w:rPr>
          <w:rFonts w:ascii="Bookman Old Style" w:hAnsi="Bookman Old Style"/>
          <w:sz w:val="24"/>
          <w:szCs w:val="24"/>
        </w:rPr>
        <w:t>Jenis,</w:t>
      </w:r>
      <w:r w:rsidR="00A954D0">
        <w:rPr>
          <w:rFonts w:ascii="Bookman Old Style" w:hAnsi="Bookman Old Style"/>
          <w:sz w:val="24"/>
          <w:szCs w:val="24"/>
        </w:rPr>
        <w:t xml:space="preserve"> </w:t>
      </w:r>
      <w:r w:rsidRPr="000E2664">
        <w:rPr>
          <w:rFonts w:ascii="Bookman Old Style" w:hAnsi="Bookman Old Style"/>
          <w:sz w:val="24"/>
          <w:szCs w:val="24"/>
        </w:rPr>
        <w:t>Objek,</w:t>
      </w:r>
      <w:r w:rsidR="00A954D0">
        <w:rPr>
          <w:rFonts w:ascii="Bookman Old Style" w:hAnsi="Bookman Old Style"/>
          <w:sz w:val="24"/>
          <w:szCs w:val="24"/>
        </w:rPr>
        <w:t xml:space="preserve"> </w:t>
      </w:r>
      <w:r w:rsidRPr="000E2664">
        <w:rPr>
          <w:rFonts w:ascii="Bookman Old Style" w:hAnsi="Bookman Old Style"/>
          <w:sz w:val="24"/>
          <w:szCs w:val="24"/>
        </w:rPr>
        <w:t>Rincian</w:t>
      </w:r>
      <w:r w:rsidR="00A954D0">
        <w:rPr>
          <w:rFonts w:ascii="Bookman Old Style" w:hAnsi="Bookman Old Style"/>
          <w:sz w:val="24"/>
          <w:szCs w:val="24"/>
        </w:rPr>
        <w:t xml:space="preserve"> </w:t>
      </w:r>
      <w:r w:rsidRPr="000E2664">
        <w:rPr>
          <w:rFonts w:ascii="Bookman Old Style" w:hAnsi="Bookman Old Style"/>
          <w:sz w:val="24"/>
          <w:szCs w:val="24"/>
        </w:rPr>
        <w:t>Objek</w:t>
      </w:r>
      <w:r w:rsidR="00A954D0">
        <w:rPr>
          <w:rFonts w:ascii="Bookman Old Style" w:hAnsi="Bookman Old Style"/>
          <w:sz w:val="24"/>
          <w:szCs w:val="24"/>
        </w:rPr>
        <w:t xml:space="preserve"> </w:t>
      </w:r>
      <w:r w:rsidRPr="000E2664">
        <w:rPr>
          <w:rFonts w:ascii="Bookman Old Style" w:hAnsi="Bookman Old Style"/>
          <w:sz w:val="24"/>
          <w:szCs w:val="24"/>
        </w:rPr>
        <w:t>Pendapatan,</w:t>
      </w:r>
      <w:r w:rsidR="00A954D0">
        <w:rPr>
          <w:rFonts w:ascii="Bookman Old Style" w:hAnsi="Bookman Old Style"/>
          <w:sz w:val="24"/>
          <w:szCs w:val="24"/>
        </w:rPr>
        <w:t xml:space="preserve"> </w:t>
      </w:r>
      <w:r w:rsidRPr="000E2664">
        <w:rPr>
          <w:rFonts w:ascii="Bookman Old Style" w:hAnsi="Bookman Old Style"/>
          <w:sz w:val="24"/>
          <w:szCs w:val="24"/>
        </w:rPr>
        <w:t>Belanja,</w:t>
      </w:r>
      <w:r w:rsidR="00A954D0">
        <w:rPr>
          <w:rFonts w:ascii="Bookman Old Style" w:hAnsi="Bookman Old Style"/>
          <w:sz w:val="24"/>
          <w:szCs w:val="24"/>
        </w:rPr>
        <w:t xml:space="preserve"> </w:t>
      </w:r>
      <w:r w:rsidRPr="000E2664">
        <w:rPr>
          <w:rFonts w:ascii="Bookman Old Style" w:hAnsi="Bookman Old Style"/>
          <w:sz w:val="24"/>
          <w:szCs w:val="24"/>
        </w:rPr>
        <w:t>dan</w:t>
      </w:r>
      <w:r w:rsidR="00A954D0">
        <w:rPr>
          <w:rFonts w:ascii="Bookman Old Style" w:hAnsi="Bookman Old Style"/>
          <w:sz w:val="24"/>
          <w:szCs w:val="24"/>
        </w:rPr>
        <w:t xml:space="preserve"> </w:t>
      </w:r>
      <w:r w:rsidRPr="000E2664">
        <w:rPr>
          <w:rFonts w:ascii="Bookman Old Style" w:hAnsi="Bookman Old Style"/>
          <w:sz w:val="24"/>
          <w:szCs w:val="24"/>
        </w:rPr>
        <w:t>Pembiayaan;</w:t>
      </w:r>
    </w:p>
    <w:p w14:paraId="0FC66FE2" w14:textId="360123E3" w:rsidR="006E2F8F" w:rsidRPr="000E2664" w:rsidRDefault="006E2F8F" w:rsidP="007D4940">
      <w:pPr>
        <w:pStyle w:val="ListParagraph"/>
        <w:numPr>
          <w:ilvl w:val="0"/>
          <w:numId w:val="223"/>
        </w:numPr>
        <w:snapToGrid w:val="0"/>
        <w:spacing w:before="60" w:after="0" w:line="276" w:lineRule="auto"/>
        <w:ind w:left="2694" w:hanging="426"/>
        <w:contextualSpacing w:val="0"/>
        <w:jc w:val="both"/>
        <w:rPr>
          <w:rFonts w:ascii="Bookman Old Style" w:hAnsi="Bookman Old Style" w:cs="Tahoma"/>
          <w:sz w:val="24"/>
          <w:szCs w:val="24"/>
        </w:rPr>
      </w:pPr>
      <w:r w:rsidRPr="000E2664">
        <w:rPr>
          <w:rFonts w:ascii="Bookman Old Style" w:hAnsi="Bookman Old Style"/>
          <w:sz w:val="24"/>
          <w:szCs w:val="24"/>
        </w:rPr>
        <w:t>Lampiran</w:t>
      </w:r>
      <w:r w:rsidR="00A954D0">
        <w:rPr>
          <w:rFonts w:ascii="Bookman Old Style" w:hAnsi="Bookman Old Style"/>
          <w:sz w:val="24"/>
          <w:szCs w:val="24"/>
        </w:rPr>
        <w:t xml:space="preserve"> </w:t>
      </w:r>
      <w:r w:rsidRPr="000E2664">
        <w:rPr>
          <w:rFonts w:ascii="Bookman Old Style" w:hAnsi="Bookman Old Style"/>
          <w:sz w:val="24"/>
          <w:szCs w:val="24"/>
        </w:rPr>
        <w:t>III</w:t>
      </w:r>
      <w:r w:rsidR="00A954D0">
        <w:rPr>
          <w:rFonts w:ascii="Bookman Old Style" w:hAnsi="Bookman Old Style"/>
          <w:sz w:val="24"/>
          <w:szCs w:val="24"/>
        </w:rPr>
        <w:t xml:space="preserve"> </w:t>
      </w:r>
      <w:r w:rsidRPr="000E2664">
        <w:rPr>
          <w:rFonts w:ascii="Bookman Old Style" w:hAnsi="Bookman Old Style"/>
          <w:sz w:val="24"/>
          <w:szCs w:val="24"/>
        </w:rPr>
        <w:t>Daftar</w:t>
      </w:r>
      <w:r w:rsidR="00A954D0">
        <w:rPr>
          <w:rFonts w:ascii="Bookman Old Style" w:hAnsi="Bookman Old Style"/>
          <w:sz w:val="24"/>
          <w:szCs w:val="24"/>
        </w:rPr>
        <w:t xml:space="preserve"> </w:t>
      </w:r>
      <w:r w:rsidRPr="000E2664">
        <w:rPr>
          <w:rFonts w:ascii="Bookman Old Style" w:hAnsi="Bookman Old Style"/>
          <w:sz w:val="24"/>
          <w:szCs w:val="24"/>
        </w:rPr>
        <w:t>Nama</w:t>
      </w:r>
      <w:r w:rsidR="00A954D0">
        <w:rPr>
          <w:rFonts w:ascii="Bookman Old Style" w:hAnsi="Bookman Old Style"/>
          <w:sz w:val="24"/>
          <w:szCs w:val="24"/>
        </w:rPr>
        <w:t xml:space="preserve"> </w:t>
      </w:r>
      <w:r w:rsidRPr="000E2664">
        <w:rPr>
          <w:rFonts w:ascii="Bookman Old Style" w:hAnsi="Bookman Old Style"/>
          <w:sz w:val="24"/>
          <w:szCs w:val="24"/>
        </w:rPr>
        <w:t>Penerima,</w:t>
      </w:r>
      <w:r w:rsidR="00A954D0">
        <w:rPr>
          <w:rFonts w:ascii="Bookman Old Style" w:hAnsi="Bookman Old Style"/>
          <w:sz w:val="24"/>
          <w:szCs w:val="24"/>
        </w:rPr>
        <w:t xml:space="preserve"> </w:t>
      </w:r>
      <w:r w:rsidRPr="000E2664">
        <w:rPr>
          <w:rFonts w:ascii="Bookman Old Style" w:hAnsi="Bookman Old Style"/>
          <w:sz w:val="24"/>
          <w:szCs w:val="24"/>
        </w:rPr>
        <w:t>Alamat</w:t>
      </w:r>
      <w:r w:rsidR="00A954D0">
        <w:rPr>
          <w:rFonts w:ascii="Bookman Old Style" w:hAnsi="Bookman Old Style"/>
          <w:sz w:val="24"/>
          <w:szCs w:val="24"/>
        </w:rPr>
        <w:t xml:space="preserve"> </w:t>
      </w:r>
      <w:r w:rsidRPr="000E2664">
        <w:rPr>
          <w:rFonts w:ascii="Bookman Old Style" w:hAnsi="Bookman Old Style"/>
          <w:sz w:val="24"/>
          <w:szCs w:val="24"/>
        </w:rPr>
        <w:t>Penerima,</w:t>
      </w:r>
      <w:r w:rsidR="00A954D0">
        <w:rPr>
          <w:rFonts w:ascii="Bookman Old Style" w:hAnsi="Bookman Old Style"/>
          <w:sz w:val="24"/>
          <w:szCs w:val="24"/>
        </w:rPr>
        <w:t xml:space="preserve"> </w:t>
      </w:r>
      <w:r w:rsidRPr="000E2664">
        <w:rPr>
          <w:rFonts w:ascii="Bookman Old Style" w:hAnsi="Bookman Old Style"/>
          <w:sz w:val="24"/>
          <w:szCs w:val="24"/>
        </w:rPr>
        <w:t>dan</w:t>
      </w:r>
      <w:r w:rsidR="00A954D0">
        <w:rPr>
          <w:rFonts w:ascii="Bookman Old Style" w:hAnsi="Bookman Old Style"/>
          <w:sz w:val="24"/>
          <w:szCs w:val="24"/>
        </w:rPr>
        <w:t xml:space="preserve"> </w:t>
      </w:r>
      <w:r w:rsidRPr="000E2664">
        <w:rPr>
          <w:rFonts w:ascii="Bookman Old Style" w:hAnsi="Bookman Old Style"/>
          <w:sz w:val="24"/>
          <w:szCs w:val="24"/>
        </w:rPr>
        <w:t>Besaran</w:t>
      </w:r>
      <w:r w:rsidR="00A954D0">
        <w:rPr>
          <w:rFonts w:ascii="Bookman Old Style" w:hAnsi="Bookman Old Style"/>
          <w:sz w:val="24"/>
          <w:szCs w:val="24"/>
        </w:rPr>
        <w:t xml:space="preserve"> </w:t>
      </w:r>
      <w:r w:rsidRPr="000E2664">
        <w:rPr>
          <w:rFonts w:ascii="Bookman Old Style" w:hAnsi="Bookman Old Style"/>
          <w:sz w:val="24"/>
          <w:szCs w:val="24"/>
        </w:rPr>
        <w:t>Hibah;</w:t>
      </w:r>
    </w:p>
    <w:p w14:paraId="4ABEFB94" w14:textId="015DDAC8" w:rsidR="006E2F8F" w:rsidRPr="000E2664" w:rsidRDefault="006E2F8F" w:rsidP="007D4940">
      <w:pPr>
        <w:pStyle w:val="ListParagraph"/>
        <w:numPr>
          <w:ilvl w:val="0"/>
          <w:numId w:val="223"/>
        </w:numPr>
        <w:snapToGrid w:val="0"/>
        <w:spacing w:before="60" w:after="0" w:line="276" w:lineRule="auto"/>
        <w:ind w:left="2694" w:hanging="426"/>
        <w:contextualSpacing w:val="0"/>
        <w:jc w:val="both"/>
        <w:rPr>
          <w:rFonts w:ascii="Bookman Old Style" w:hAnsi="Bookman Old Style" w:cs="Tahoma"/>
          <w:sz w:val="24"/>
          <w:szCs w:val="24"/>
        </w:rPr>
      </w:pPr>
      <w:r w:rsidRPr="000E2664">
        <w:rPr>
          <w:rFonts w:ascii="Bookman Old Style" w:hAnsi="Bookman Old Style"/>
          <w:sz w:val="24"/>
          <w:szCs w:val="24"/>
        </w:rPr>
        <w:t>Lampiran</w:t>
      </w:r>
      <w:r w:rsidR="00A954D0">
        <w:rPr>
          <w:rFonts w:ascii="Bookman Old Style" w:hAnsi="Bookman Old Style"/>
          <w:sz w:val="24"/>
          <w:szCs w:val="24"/>
        </w:rPr>
        <w:t xml:space="preserve"> </w:t>
      </w:r>
      <w:r w:rsidRPr="000E2664">
        <w:rPr>
          <w:rFonts w:ascii="Bookman Old Style" w:hAnsi="Bookman Old Style"/>
          <w:sz w:val="24"/>
          <w:szCs w:val="24"/>
        </w:rPr>
        <w:t>IV</w:t>
      </w:r>
      <w:r w:rsidR="00A954D0">
        <w:rPr>
          <w:rFonts w:ascii="Bookman Old Style" w:hAnsi="Bookman Old Style"/>
          <w:sz w:val="24"/>
          <w:szCs w:val="24"/>
        </w:rPr>
        <w:t xml:space="preserve"> </w:t>
      </w:r>
      <w:r w:rsidRPr="000E2664">
        <w:rPr>
          <w:rFonts w:ascii="Bookman Old Style" w:hAnsi="Bookman Old Style"/>
          <w:sz w:val="24"/>
          <w:szCs w:val="24"/>
        </w:rPr>
        <w:t>Daftar</w:t>
      </w:r>
      <w:r w:rsidR="00A954D0">
        <w:rPr>
          <w:rFonts w:ascii="Bookman Old Style" w:hAnsi="Bookman Old Style"/>
          <w:sz w:val="24"/>
          <w:szCs w:val="24"/>
        </w:rPr>
        <w:t xml:space="preserve"> </w:t>
      </w:r>
      <w:r w:rsidRPr="000E2664">
        <w:rPr>
          <w:rFonts w:ascii="Bookman Old Style" w:hAnsi="Bookman Old Style"/>
          <w:sz w:val="24"/>
          <w:szCs w:val="24"/>
        </w:rPr>
        <w:t>Nama</w:t>
      </w:r>
      <w:r w:rsidR="00A954D0">
        <w:rPr>
          <w:rFonts w:ascii="Bookman Old Style" w:hAnsi="Bookman Old Style"/>
          <w:sz w:val="24"/>
          <w:szCs w:val="24"/>
        </w:rPr>
        <w:t xml:space="preserve"> </w:t>
      </w:r>
      <w:r w:rsidRPr="000E2664">
        <w:rPr>
          <w:rFonts w:ascii="Bookman Old Style" w:hAnsi="Bookman Old Style"/>
          <w:sz w:val="24"/>
          <w:szCs w:val="24"/>
        </w:rPr>
        <w:t>Penerima,</w:t>
      </w:r>
      <w:r w:rsidR="00A954D0">
        <w:rPr>
          <w:rFonts w:ascii="Bookman Old Style" w:hAnsi="Bookman Old Style"/>
          <w:sz w:val="24"/>
          <w:szCs w:val="24"/>
        </w:rPr>
        <w:t xml:space="preserve"> </w:t>
      </w:r>
      <w:r w:rsidRPr="000E2664">
        <w:rPr>
          <w:rFonts w:ascii="Bookman Old Style" w:hAnsi="Bookman Old Style"/>
          <w:sz w:val="24"/>
          <w:szCs w:val="24"/>
        </w:rPr>
        <w:t>Alamat</w:t>
      </w:r>
      <w:r w:rsidR="00A954D0">
        <w:rPr>
          <w:rFonts w:ascii="Bookman Old Style" w:hAnsi="Bookman Old Style"/>
          <w:sz w:val="24"/>
          <w:szCs w:val="24"/>
        </w:rPr>
        <w:t xml:space="preserve"> </w:t>
      </w:r>
      <w:r w:rsidRPr="000E2664">
        <w:rPr>
          <w:rFonts w:ascii="Bookman Old Style" w:hAnsi="Bookman Old Style"/>
          <w:sz w:val="24"/>
          <w:szCs w:val="24"/>
        </w:rPr>
        <w:t>Penerima,</w:t>
      </w:r>
      <w:r w:rsidR="00A954D0">
        <w:rPr>
          <w:rFonts w:ascii="Bookman Old Style" w:hAnsi="Bookman Old Style"/>
          <w:sz w:val="24"/>
          <w:szCs w:val="24"/>
        </w:rPr>
        <w:t xml:space="preserve"> </w:t>
      </w:r>
      <w:r w:rsidRPr="000E2664">
        <w:rPr>
          <w:rFonts w:ascii="Bookman Old Style" w:hAnsi="Bookman Old Style"/>
          <w:sz w:val="24"/>
          <w:szCs w:val="24"/>
        </w:rPr>
        <w:t>dan</w:t>
      </w:r>
      <w:r w:rsidR="00A954D0">
        <w:rPr>
          <w:rFonts w:ascii="Bookman Old Style" w:hAnsi="Bookman Old Style"/>
          <w:sz w:val="24"/>
          <w:szCs w:val="24"/>
        </w:rPr>
        <w:t xml:space="preserve"> </w:t>
      </w:r>
      <w:r w:rsidRPr="000E2664">
        <w:rPr>
          <w:rFonts w:ascii="Bookman Old Style" w:hAnsi="Bookman Old Style"/>
          <w:sz w:val="24"/>
          <w:szCs w:val="24"/>
        </w:rPr>
        <w:t>Besaran</w:t>
      </w:r>
      <w:r w:rsidR="00A954D0">
        <w:rPr>
          <w:rFonts w:ascii="Bookman Old Style" w:hAnsi="Bookman Old Style"/>
          <w:sz w:val="24"/>
          <w:szCs w:val="24"/>
        </w:rPr>
        <w:t xml:space="preserve"> </w:t>
      </w:r>
      <w:r w:rsidRPr="000E2664">
        <w:rPr>
          <w:rFonts w:ascii="Bookman Old Style" w:hAnsi="Bookman Old Style"/>
          <w:sz w:val="24"/>
          <w:szCs w:val="24"/>
        </w:rPr>
        <w:t>Bantuan</w:t>
      </w:r>
      <w:r w:rsidR="00A954D0">
        <w:rPr>
          <w:rFonts w:ascii="Bookman Old Style" w:hAnsi="Bookman Old Style"/>
          <w:sz w:val="24"/>
          <w:szCs w:val="24"/>
        </w:rPr>
        <w:t xml:space="preserve"> </w:t>
      </w:r>
      <w:r w:rsidRPr="000E2664">
        <w:rPr>
          <w:rFonts w:ascii="Bookman Old Style" w:hAnsi="Bookman Old Style"/>
          <w:sz w:val="24"/>
          <w:szCs w:val="24"/>
        </w:rPr>
        <w:t>Sosial;</w:t>
      </w:r>
    </w:p>
    <w:p w14:paraId="1BC64BBD" w14:textId="0A6E7E8D" w:rsidR="006E2F8F" w:rsidRPr="000E2664" w:rsidRDefault="006E2F8F" w:rsidP="007D4940">
      <w:pPr>
        <w:pStyle w:val="ListParagraph"/>
        <w:numPr>
          <w:ilvl w:val="0"/>
          <w:numId w:val="223"/>
        </w:numPr>
        <w:snapToGrid w:val="0"/>
        <w:spacing w:before="60" w:after="0" w:line="276" w:lineRule="auto"/>
        <w:ind w:left="2694" w:hanging="426"/>
        <w:contextualSpacing w:val="0"/>
        <w:jc w:val="both"/>
        <w:rPr>
          <w:rFonts w:ascii="Bookman Old Style" w:hAnsi="Bookman Old Style" w:cs="Tahoma"/>
          <w:sz w:val="24"/>
          <w:szCs w:val="24"/>
        </w:rPr>
      </w:pPr>
      <w:r w:rsidRPr="000E2664">
        <w:rPr>
          <w:rFonts w:ascii="Bookman Old Style" w:hAnsi="Bookman Old Style"/>
          <w:sz w:val="24"/>
          <w:szCs w:val="24"/>
        </w:rPr>
        <w:t>Lampiran</w:t>
      </w:r>
      <w:r w:rsidR="00A954D0">
        <w:rPr>
          <w:rFonts w:ascii="Bookman Old Style" w:hAnsi="Bookman Old Style"/>
          <w:sz w:val="24"/>
          <w:szCs w:val="24"/>
        </w:rPr>
        <w:t xml:space="preserve"> </w:t>
      </w:r>
      <w:r w:rsidRPr="000E2664">
        <w:rPr>
          <w:rFonts w:ascii="Bookman Old Style" w:hAnsi="Bookman Old Style"/>
          <w:sz w:val="24"/>
          <w:szCs w:val="24"/>
        </w:rPr>
        <w:t>V</w:t>
      </w:r>
      <w:r w:rsidR="00A954D0">
        <w:rPr>
          <w:rFonts w:ascii="Bookman Old Style" w:hAnsi="Bookman Old Style"/>
          <w:sz w:val="24"/>
          <w:szCs w:val="24"/>
        </w:rPr>
        <w:t xml:space="preserve"> </w:t>
      </w:r>
      <w:r w:rsidRPr="000E2664">
        <w:rPr>
          <w:rFonts w:ascii="Bookman Old Style" w:hAnsi="Bookman Old Style"/>
          <w:sz w:val="24"/>
          <w:szCs w:val="24"/>
        </w:rPr>
        <w:t>Daftar</w:t>
      </w:r>
      <w:r w:rsidR="00A954D0">
        <w:rPr>
          <w:rFonts w:ascii="Bookman Old Style" w:hAnsi="Bookman Old Style"/>
          <w:sz w:val="24"/>
          <w:szCs w:val="24"/>
        </w:rPr>
        <w:t xml:space="preserve"> </w:t>
      </w:r>
      <w:r w:rsidRPr="000E2664">
        <w:rPr>
          <w:rFonts w:ascii="Bookman Old Style" w:hAnsi="Bookman Old Style"/>
          <w:sz w:val="24"/>
          <w:szCs w:val="24"/>
        </w:rPr>
        <w:t>Nama</w:t>
      </w:r>
      <w:r w:rsidR="00A954D0">
        <w:rPr>
          <w:rFonts w:ascii="Bookman Old Style" w:hAnsi="Bookman Old Style"/>
          <w:sz w:val="24"/>
          <w:szCs w:val="24"/>
        </w:rPr>
        <w:t xml:space="preserve"> </w:t>
      </w:r>
      <w:r w:rsidRPr="000E2664">
        <w:rPr>
          <w:rFonts w:ascii="Bookman Old Style" w:hAnsi="Bookman Old Style"/>
          <w:sz w:val="24"/>
          <w:szCs w:val="24"/>
        </w:rPr>
        <w:t>Penerima,</w:t>
      </w:r>
      <w:r w:rsidR="00A954D0">
        <w:rPr>
          <w:rFonts w:ascii="Bookman Old Style" w:hAnsi="Bookman Old Style"/>
          <w:sz w:val="24"/>
          <w:szCs w:val="24"/>
        </w:rPr>
        <w:t xml:space="preserve"> </w:t>
      </w:r>
      <w:r w:rsidRPr="000E2664">
        <w:rPr>
          <w:rFonts w:ascii="Bookman Old Style" w:hAnsi="Bookman Old Style"/>
          <w:sz w:val="24"/>
          <w:szCs w:val="24"/>
        </w:rPr>
        <w:t>Alamat</w:t>
      </w:r>
      <w:r w:rsidR="00A954D0">
        <w:rPr>
          <w:rFonts w:ascii="Bookman Old Style" w:hAnsi="Bookman Old Style"/>
          <w:sz w:val="24"/>
          <w:szCs w:val="24"/>
        </w:rPr>
        <w:t xml:space="preserve"> </w:t>
      </w:r>
      <w:r w:rsidRPr="000E2664">
        <w:rPr>
          <w:rFonts w:ascii="Bookman Old Style" w:hAnsi="Bookman Old Style"/>
          <w:sz w:val="24"/>
          <w:szCs w:val="24"/>
        </w:rPr>
        <w:t>Penerima,</w:t>
      </w:r>
      <w:r w:rsidR="00A954D0">
        <w:rPr>
          <w:rFonts w:ascii="Bookman Old Style" w:hAnsi="Bookman Old Style"/>
          <w:sz w:val="24"/>
          <w:szCs w:val="24"/>
        </w:rPr>
        <w:t xml:space="preserve"> </w:t>
      </w:r>
      <w:r w:rsidRPr="000E2664">
        <w:rPr>
          <w:rFonts w:ascii="Bookman Old Style" w:hAnsi="Bookman Old Style"/>
          <w:sz w:val="24"/>
          <w:szCs w:val="24"/>
        </w:rPr>
        <w:t>dan</w:t>
      </w:r>
      <w:r w:rsidR="00A954D0">
        <w:rPr>
          <w:rFonts w:ascii="Bookman Old Style" w:hAnsi="Bookman Old Style"/>
          <w:sz w:val="24"/>
          <w:szCs w:val="24"/>
        </w:rPr>
        <w:t xml:space="preserve"> </w:t>
      </w:r>
      <w:r w:rsidRPr="000E2664">
        <w:rPr>
          <w:rFonts w:ascii="Bookman Old Style" w:hAnsi="Bookman Old Style"/>
          <w:sz w:val="24"/>
          <w:szCs w:val="24"/>
        </w:rPr>
        <w:t>Besaran</w:t>
      </w:r>
      <w:r w:rsidR="00A954D0">
        <w:rPr>
          <w:rFonts w:ascii="Bookman Old Style" w:hAnsi="Bookman Old Style"/>
          <w:sz w:val="24"/>
          <w:szCs w:val="24"/>
        </w:rPr>
        <w:t xml:space="preserve"> </w:t>
      </w:r>
      <w:r w:rsidRPr="000E2664">
        <w:rPr>
          <w:rFonts w:ascii="Bookman Old Style" w:hAnsi="Bookman Old Style"/>
          <w:sz w:val="24"/>
          <w:szCs w:val="24"/>
        </w:rPr>
        <w:t>Bantuan</w:t>
      </w:r>
      <w:r w:rsidR="00A954D0">
        <w:rPr>
          <w:rFonts w:ascii="Bookman Old Style" w:hAnsi="Bookman Old Style"/>
          <w:sz w:val="24"/>
          <w:szCs w:val="24"/>
        </w:rPr>
        <w:t xml:space="preserve"> </w:t>
      </w:r>
      <w:r w:rsidRPr="000E2664">
        <w:rPr>
          <w:rFonts w:ascii="Bookman Old Style" w:hAnsi="Bookman Old Style"/>
          <w:sz w:val="24"/>
          <w:szCs w:val="24"/>
        </w:rPr>
        <w:t>Keuangan</w:t>
      </w:r>
      <w:r w:rsidR="00A954D0">
        <w:rPr>
          <w:rFonts w:ascii="Bookman Old Style" w:hAnsi="Bookman Old Style"/>
          <w:sz w:val="24"/>
          <w:szCs w:val="24"/>
        </w:rPr>
        <w:t xml:space="preserve"> </w:t>
      </w:r>
      <w:r w:rsidRPr="000E2664">
        <w:rPr>
          <w:rFonts w:ascii="Bookman Old Style" w:hAnsi="Bookman Old Style"/>
          <w:sz w:val="24"/>
          <w:szCs w:val="24"/>
        </w:rPr>
        <w:t>bersifat</w:t>
      </w:r>
      <w:r w:rsidR="00A954D0">
        <w:rPr>
          <w:rFonts w:ascii="Bookman Old Style" w:hAnsi="Bookman Old Style"/>
          <w:sz w:val="24"/>
          <w:szCs w:val="24"/>
        </w:rPr>
        <w:t xml:space="preserve"> </w:t>
      </w:r>
      <w:r w:rsidRPr="000E2664">
        <w:rPr>
          <w:rFonts w:ascii="Bookman Old Style" w:hAnsi="Bookman Old Style"/>
          <w:sz w:val="24"/>
          <w:szCs w:val="24"/>
        </w:rPr>
        <w:t>umum</w:t>
      </w:r>
      <w:r w:rsidR="00A954D0">
        <w:rPr>
          <w:rFonts w:ascii="Bookman Old Style" w:hAnsi="Bookman Old Style"/>
          <w:sz w:val="24"/>
          <w:szCs w:val="24"/>
        </w:rPr>
        <w:t xml:space="preserve"> </w:t>
      </w:r>
      <w:r w:rsidRPr="000E2664">
        <w:rPr>
          <w:rFonts w:ascii="Bookman Old Style" w:hAnsi="Bookman Old Style"/>
          <w:sz w:val="24"/>
          <w:szCs w:val="24"/>
        </w:rPr>
        <w:t>dan</w:t>
      </w:r>
      <w:r w:rsidR="00A954D0">
        <w:rPr>
          <w:rFonts w:ascii="Bookman Old Style" w:hAnsi="Bookman Old Style"/>
          <w:sz w:val="24"/>
          <w:szCs w:val="24"/>
        </w:rPr>
        <w:t xml:space="preserve"> </w:t>
      </w:r>
      <w:r w:rsidRPr="000E2664">
        <w:rPr>
          <w:rFonts w:ascii="Bookman Old Style" w:hAnsi="Bookman Old Style"/>
          <w:sz w:val="24"/>
          <w:szCs w:val="24"/>
        </w:rPr>
        <w:t>bersifat</w:t>
      </w:r>
      <w:r w:rsidR="00A954D0">
        <w:rPr>
          <w:rFonts w:ascii="Bookman Old Style" w:hAnsi="Bookman Old Style"/>
          <w:sz w:val="24"/>
          <w:szCs w:val="24"/>
        </w:rPr>
        <w:t xml:space="preserve"> </w:t>
      </w:r>
      <w:r w:rsidRPr="000E2664">
        <w:rPr>
          <w:rFonts w:ascii="Bookman Old Style" w:hAnsi="Bookman Old Style"/>
          <w:sz w:val="24"/>
          <w:szCs w:val="24"/>
        </w:rPr>
        <w:t>khusus;</w:t>
      </w:r>
    </w:p>
    <w:p w14:paraId="21544583" w14:textId="71537103" w:rsidR="006E2F8F" w:rsidRPr="000E2664" w:rsidRDefault="006E2F8F" w:rsidP="007D4940">
      <w:pPr>
        <w:pStyle w:val="ListParagraph"/>
        <w:numPr>
          <w:ilvl w:val="0"/>
          <w:numId w:val="223"/>
        </w:numPr>
        <w:snapToGrid w:val="0"/>
        <w:spacing w:before="60" w:after="0" w:line="276" w:lineRule="auto"/>
        <w:ind w:left="2694" w:hanging="426"/>
        <w:contextualSpacing w:val="0"/>
        <w:jc w:val="both"/>
        <w:rPr>
          <w:rFonts w:ascii="Bookman Old Style" w:hAnsi="Bookman Old Style" w:cs="Tahoma"/>
          <w:sz w:val="24"/>
          <w:szCs w:val="24"/>
        </w:rPr>
      </w:pPr>
      <w:r w:rsidRPr="000E2664">
        <w:rPr>
          <w:rFonts w:ascii="Bookman Old Style" w:hAnsi="Bookman Old Style"/>
          <w:sz w:val="24"/>
          <w:szCs w:val="24"/>
        </w:rPr>
        <w:t>Lampiran</w:t>
      </w:r>
      <w:r w:rsidR="00A954D0">
        <w:rPr>
          <w:rFonts w:ascii="Bookman Old Style" w:hAnsi="Bookman Old Style"/>
          <w:sz w:val="24"/>
          <w:szCs w:val="24"/>
        </w:rPr>
        <w:t xml:space="preserve"> </w:t>
      </w:r>
      <w:r w:rsidRPr="000E2664">
        <w:rPr>
          <w:rFonts w:ascii="Bookman Old Style" w:hAnsi="Bookman Old Style"/>
          <w:sz w:val="24"/>
          <w:szCs w:val="24"/>
        </w:rPr>
        <w:t>VI</w:t>
      </w:r>
      <w:r w:rsidR="00A954D0">
        <w:rPr>
          <w:rFonts w:ascii="Bookman Old Style" w:hAnsi="Bookman Old Style"/>
          <w:sz w:val="24"/>
          <w:szCs w:val="24"/>
        </w:rPr>
        <w:t xml:space="preserve"> </w:t>
      </w:r>
      <w:r w:rsidRPr="000E2664">
        <w:rPr>
          <w:rFonts w:ascii="Bookman Old Style" w:hAnsi="Bookman Old Style"/>
          <w:sz w:val="24"/>
          <w:szCs w:val="24"/>
        </w:rPr>
        <w:t>Daftar</w:t>
      </w:r>
      <w:r w:rsidR="00A954D0">
        <w:rPr>
          <w:rFonts w:ascii="Bookman Old Style" w:hAnsi="Bookman Old Style"/>
          <w:sz w:val="24"/>
          <w:szCs w:val="24"/>
        </w:rPr>
        <w:t xml:space="preserve"> </w:t>
      </w:r>
      <w:r w:rsidRPr="000E2664">
        <w:rPr>
          <w:rFonts w:ascii="Bookman Old Style" w:hAnsi="Bookman Old Style"/>
          <w:sz w:val="24"/>
          <w:szCs w:val="24"/>
        </w:rPr>
        <w:t>Nama</w:t>
      </w:r>
      <w:r w:rsidR="00A954D0">
        <w:rPr>
          <w:rFonts w:ascii="Bookman Old Style" w:hAnsi="Bookman Old Style"/>
          <w:sz w:val="24"/>
          <w:szCs w:val="24"/>
        </w:rPr>
        <w:t xml:space="preserve"> </w:t>
      </w:r>
      <w:r w:rsidRPr="000E2664">
        <w:rPr>
          <w:rFonts w:ascii="Bookman Old Style" w:hAnsi="Bookman Old Style"/>
          <w:sz w:val="24"/>
          <w:szCs w:val="24"/>
        </w:rPr>
        <w:t>Penerima,</w:t>
      </w:r>
      <w:r w:rsidR="00A954D0">
        <w:rPr>
          <w:rFonts w:ascii="Bookman Old Style" w:hAnsi="Bookman Old Style"/>
          <w:sz w:val="24"/>
          <w:szCs w:val="24"/>
        </w:rPr>
        <w:t xml:space="preserve"> </w:t>
      </w:r>
      <w:r w:rsidRPr="000E2664">
        <w:rPr>
          <w:rFonts w:ascii="Bookman Old Style" w:hAnsi="Bookman Old Style"/>
          <w:sz w:val="24"/>
          <w:szCs w:val="24"/>
        </w:rPr>
        <w:t>Alamat</w:t>
      </w:r>
      <w:r w:rsidR="00A954D0">
        <w:rPr>
          <w:rFonts w:ascii="Bookman Old Style" w:hAnsi="Bookman Old Style"/>
          <w:sz w:val="24"/>
          <w:szCs w:val="24"/>
        </w:rPr>
        <w:t xml:space="preserve"> </w:t>
      </w:r>
      <w:r w:rsidRPr="000E2664">
        <w:rPr>
          <w:rFonts w:ascii="Bookman Old Style" w:hAnsi="Bookman Old Style"/>
          <w:sz w:val="24"/>
          <w:szCs w:val="24"/>
        </w:rPr>
        <w:t>Penerima,</w:t>
      </w:r>
      <w:r w:rsidR="00A954D0">
        <w:rPr>
          <w:rFonts w:ascii="Bookman Old Style" w:hAnsi="Bookman Old Style"/>
          <w:sz w:val="24"/>
          <w:szCs w:val="24"/>
        </w:rPr>
        <w:t xml:space="preserve"> </w:t>
      </w:r>
      <w:r w:rsidRPr="000E2664">
        <w:rPr>
          <w:rFonts w:ascii="Bookman Old Style" w:hAnsi="Bookman Old Style"/>
          <w:sz w:val="24"/>
          <w:szCs w:val="24"/>
        </w:rPr>
        <w:t>dan</w:t>
      </w:r>
      <w:r w:rsidR="00A954D0">
        <w:rPr>
          <w:rFonts w:ascii="Bookman Old Style" w:hAnsi="Bookman Old Style"/>
          <w:sz w:val="24"/>
          <w:szCs w:val="24"/>
        </w:rPr>
        <w:t xml:space="preserve"> </w:t>
      </w:r>
      <w:r w:rsidRPr="000E2664">
        <w:rPr>
          <w:rFonts w:ascii="Bookman Old Style" w:hAnsi="Bookman Old Style"/>
          <w:sz w:val="24"/>
          <w:szCs w:val="24"/>
        </w:rPr>
        <w:t>Besaran</w:t>
      </w:r>
      <w:r w:rsidR="00A954D0">
        <w:rPr>
          <w:rFonts w:ascii="Bookman Old Style" w:hAnsi="Bookman Old Style"/>
          <w:sz w:val="24"/>
          <w:szCs w:val="24"/>
        </w:rPr>
        <w:t xml:space="preserve"> </w:t>
      </w:r>
      <w:r w:rsidRPr="000E2664">
        <w:rPr>
          <w:rFonts w:ascii="Bookman Old Style" w:hAnsi="Bookman Old Style"/>
          <w:sz w:val="24"/>
          <w:szCs w:val="24"/>
        </w:rPr>
        <w:t>belanja</w:t>
      </w:r>
      <w:r w:rsidR="00A954D0">
        <w:rPr>
          <w:rFonts w:ascii="Bookman Old Style" w:hAnsi="Bookman Old Style"/>
          <w:sz w:val="24"/>
          <w:szCs w:val="24"/>
        </w:rPr>
        <w:t xml:space="preserve"> </w:t>
      </w:r>
      <w:r w:rsidRPr="000E2664">
        <w:rPr>
          <w:rFonts w:ascii="Bookman Old Style" w:hAnsi="Bookman Old Style"/>
          <w:sz w:val="24"/>
          <w:szCs w:val="24"/>
        </w:rPr>
        <w:t>bagi</w:t>
      </w:r>
      <w:r w:rsidR="00A954D0">
        <w:rPr>
          <w:rFonts w:ascii="Bookman Old Style" w:hAnsi="Bookman Old Style"/>
          <w:sz w:val="24"/>
          <w:szCs w:val="24"/>
        </w:rPr>
        <w:t xml:space="preserve"> </w:t>
      </w:r>
      <w:r w:rsidRPr="000E2664">
        <w:rPr>
          <w:rFonts w:ascii="Bookman Old Style" w:hAnsi="Bookman Old Style"/>
          <w:sz w:val="24"/>
          <w:szCs w:val="24"/>
        </w:rPr>
        <w:t>hasil;</w:t>
      </w:r>
    </w:p>
    <w:p w14:paraId="38FB80BE" w14:textId="29525AE7" w:rsidR="006E2F8F" w:rsidRPr="000E2664" w:rsidRDefault="006E2F8F" w:rsidP="007D4940">
      <w:pPr>
        <w:pStyle w:val="ListParagraph"/>
        <w:numPr>
          <w:ilvl w:val="0"/>
          <w:numId w:val="223"/>
        </w:numPr>
        <w:snapToGrid w:val="0"/>
        <w:spacing w:before="60" w:after="0" w:line="276" w:lineRule="auto"/>
        <w:ind w:left="2694" w:hanging="426"/>
        <w:contextualSpacing w:val="0"/>
        <w:jc w:val="both"/>
        <w:rPr>
          <w:rFonts w:ascii="Bookman Old Style" w:hAnsi="Bookman Old Style" w:cs="Tahoma"/>
          <w:sz w:val="24"/>
          <w:szCs w:val="24"/>
        </w:rPr>
      </w:pPr>
      <w:r w:rsidRPr="000E2664">
        <w:rPr>
          <w:rFonts w:ascii="Bookman Old Style" w:hAnsi="Bookman Old Style"/>
          <w:sz w:val="24"/>
          <w:szCs w:val="24"/>
        </w:rPr>
        <w:t>Lampiran</w:t>
      </w:r>
      <w:r w:rsidR="00A954D0">
        <w:rPr>
          <w:rFonts w:ascii="Bookman Old Style" w:hAnsi="Bookman Old Style"/>
          <w:sz w:val="24"/>
          <w:szCs w:val="24"/>
        </w:rPr>
        <w:t xml:space="preserve"> </w:t>
      </w:r>
      <w:r w:rsidRPr="000E2664">
        <w:rPr>
          <w:rFonts w:ascii="Bookman Old Style" w:hAnsi="Bookman Old Style"/>
          <w:sz w:val="24"/>
          <w:szCs w:val="24"/>
        </w:rPr>
        <w:t>VII</w:t>
      </w:r>
      <w:r w:rsidR="00A954D0">
        <w:rPr>
          <w:rFonts w:ascii="Bookman Old Style" w:hAnsi="Bookman Old Style"/>
          <w:sz w:val="24"/>
          <w:szCs w:val="24"/>
        </w:rPr>
        <w:t xml:space="preserve"> </w:t>
      </w:r>
      <w:r w:rsidRPr="000E2664">
        <w:rPr>
          <w:rFonts w:ascii="Bookman Old Style" w:hAnsi="Bookman Old Style"/>
          <w:sz w:val="24"/>
          <w:szCs w:val="24"/>
        </w:rPr>
        <w:t>Rincian</w:t>
      </w:r>
      <w:r w:rsidR="00A954D0">
        <w:rPr>
          <w:rFonts w:ascii="Bookman Old Style" w:hAnsi="Bookman Old Style"/>
          <w:sz w:val="24"/>
          <w:szCs w:val="24"/>
        </w:rPr>
        <w:t xml:space="preserve"> </w:t>
      </w:r>
      <w:r w:rsidRPr="000E2664">
        <w:rPr>
          <w:rFonts w:ascii="Bookman Old Style" w:hAnsi="Bookman Old Style"/>
          <w:sz w:val="24"/>
          <w:szCs w:val="24"/>
        </w:rPr>
        <w:t>Dana</w:t>
      </w:r>
      <w:r w:rsidR="00A954D0">
        <w:rPr>
          <w:rFonts w:ascii="Bookman Old Style" w:hAnsi="Bookman Old Style"/>
          <w:sz w:val="24"/>
          <w:szCs w:val="24"/>
        </w:rPr>
        <w:t xml:space="preserve"> </w:t>
      </w:r>
      <w:r w:rsidRPr="000E2664">
        <w:rPr>
          <w:rFonts w:ascii="Bookman Old Style" w:hAnsi="Bookman Old Style"/>
          <w:sz w:val="24"/>
          <w:szCs w:val="24"/>
        </w:rPr>
        <w:t>Otonomi</w:t>
      </w:r>
      <w:r w:rsidR="00A954D0">
        <w:rPr>
          <w:rFonts w:ascii="Bookman Old Style" w:hAnsi="Bookman Old Style"/>
          <w:sz w:val="24"/>
          <w:szCs w:val="24"/>
        </w:rPr>
        <w:t xml:space="preserve"> </w:t>
      </w:r>
      <w:r w:rsidRPr="000E2664">
        <w:rPr>
          <w:rFonts w:ascii="Bookman Old Style" w:hAnsi="Bookman Old Style"/>
          <w:sz w:val="24"/>
          <w:szCs w:val="24"/>
        </w:rPr>
        <w:t>Khusus</w:t>
      </w:r>
      <w:r w:rsidR="00A954D0">
        <w:rPr>
          <w:rFonts w:ascii="Bookman Old Style" w:hAnsi="Bookman Old Style"/>
          <w:sz w:val="24"/>
          <w:szCs w:val="24"/>
        </w:rPr>
        <w:t xml:space="preserve"> </w:t>
      </w:r>
      <w:r w:rsidRPr="000E2664">
        <w:rPr>
          <w:rFonts w:ascii="Bookman Old Style" w:hAnsi="Bookman Old Style"/>
          <w:sz w:val="24"/>
          <w:szCs w:val="24"/>
        </w:rPr>
        <w:t>Menurut</w:t>
      </w:r>
      <w:r w:rsidR="00A954D0">
        <w:rPr>
          <w:rFonts w:ascii="Bookman Old Style" w:hAnsi="Bookman Old Style"/>
          <w:sz w:val="24"/>
          <w:szCs w:val="24"/>
        </w:rPr>
        <w:t xml:space="preserve"> </w:t>
      </w:r>
      <w:r w:rsidRPr="000E2664">
        <w:rPr>
          <w:rFonts w:ascii="Bookman Old Style" w:hAnsi="Bookman Old Style"/>
          <w:sz w:val="24"/>
          <w:szCs w:val="24"/>
        </w:rPr>
        <w:t>Urusan</w:t>
      </w:r>
      <w:r w:rsidR="00A954D0">
        <w:rPr>
          <w:rFonts w:ascii="Bookman Old Style" w:hAnsi="Bookman Old Style"/>
          <w:sz w:val="24"/>
          <w:szCs w:val="24"/>
        </w:rPr>
        <w:t xml:space="preserve"> </w:t>
      </w:r>
      <w:r w:rsidRPr="000E2664">
        <w:rPr>
          <w:rFonts w:ascii="Bookman Old Style" w:hAnsi="Bookman Old Style"/>
          <w:sz w:val="24"/>
          <w:szCs w:val="24"/>
        </w:rPr>
        <w:t>Pemerintahan</w:t>
      </w:r>
      <w:r w:rsidR="00A954D0">
        <w:rPr>
          <w:rFonts w:ascii="Bookman Old Style" w:hAnsi="Bookman Old Style"/>
          <w:sz w:val="24"/>
          <w:szCs w:val="24"/>
        </w:rPr>
        <w:t xml:space="preserve"> </w:t>
      </w:r>
      <w:r w:rsidRPr="000E2664">
        <w:rPr>
          <w:rFonts w:ascii="Bookman Old Style" w:hAnsi="Bookman Old Style"/>
          <w:sz w:val="24"/>
          <w:szCs w:val="24"/>
        </w:rPr>
        <w:t>Daerah,</w:t>
      </w:r>
      <w:r w:rsidR="00A954D0">
        <w:rPr>
          <w:rFonts w:ascii="Bookman Old Style" w:hAnsi="Bookman Old Style"/>
          <w:sz w:val="24"/>
          <w:szCs w:val="24"/>
        </w:rPr>
        <w:t xml:space="preserve"> </w:t>
      </w:r>
      <w:r w:rsidRPr="000E2664">
        <w:rPr>
          <w:rFonts w:ascii="Bookman Old Style" w:hAnsi="Bookman Old Style"/>
          <w:sz w:val="24"/>
          <w:szCs w:val="24"/>
        </w:rPr>
        <w:t>Organisasi,</w:t>
      </w:r>
      <w:r w:rsidR="00A954D0">
        <w:rPr>
          <w:rFonts w:ascii="Bookman Old Style" w:hAnsi="Bookman Old Style"/>
          <w:sz w:val="24"/>
          <w:szCs w:val="24"/>
        </w:rPr>
        <w:t xml:space="preserve"> </w:t>
      </w:r>
      <w:r w:rsidRPr="000E2664">
        <w:rPr>
          <w:rFonts w:ascii="Bookman Old Style" w:hAnsi="Bookman Old Style"/>
          <w:sz w:val="24"/>
          <w:szCs w:val="24"/>
        </w:rPr>
        <w:t>Program,</w:t>
      </w:r>
      <w:r w:rsidR="00A954D0">
        <w:rPr>
          <w:rFonts w:ascii="Bookman Old Style" w:hAnsi="Bookman Old Style"/>
          <w:sz w:val="24"/>
          <w:szCs w:val="24"/>
        </w:rPr>
        <w:t xml:space="preserve"> </w:t>
      </w:r>
      <w:r w:rsidRPr="000E2664">
        <w:rPr>
          <w:rFonts w:ascii="Bookman Old Style" w:hAnsi="Bookman Old Style"/>
          <w:sz w:val="24"/>
          <w:szCs w:val="24"/>
        </w:rPr>
        <w:t>Kegiatan,</w:t>
      </w:r>
      <w:r w:rsidR="00A954D0">
        <w:rPr>
          <w:rFonts w:ascii="Bookman Old Style" w:hAnsi="Bookman Old Style"/>
          <w:sz w:val="24"/>
          <w:szCs w:val="24"/>
        </w:rPr>
        <w:t xml:space="preserve"> </w:t>
      </w:r>
      <w:r w:rsidRPr="000E2664">
        <w:rPr>
          <w:rFonts w:ascii="Bookman Old Style" w:hAnsi="Bookman Old Style"/>
          <w:sz w:val="24"/>
          <w:szCs w:val="24"/>
        </w:rPr>
        <w:t>Sub</w:t>
      </w:r>
      <w:r w:rsidR="00A954D0">
        <w:rPr>
          <w:rFonts w:ascii="Bookman Old Style" w:hAnsi="Bookman Old Style"/>
          <w:sz w:val="24"/>
          <w:szCs w:val="24"/>
        </w:rPr>
        <w:t xml:space="preserve"> </w:t>
      </w:r>
      <w:r w:rsidRPr="000E2664">
        <w:rPr>
          <w:rFonts w:ascii="Bookman Old Style" w:hAnsi="Bookman Old Style"/>
          <w:sz w:val="24"/>
          <w:szCs w:val="24"/>
        </w:rPr>
        <w:t>Kegiatan,</w:t>
      </w:r>
      <w:r w:rsidR="00A954D0">
        <w:rPr>
          <w:rFonts w:ascii="Bookman Old Style" w:hAnsi="Bookman Old Style"/>
          <w:sz w:val="24"/>
          <w:szCs w:val="24"/>
        </w:rPr>
        <w:t xml:space="preserve"> </w:t>
      </w:r>
      <w:r w:rsidRPr="000E2664">
        <w:rPr>
          <w:rFonts w:ascii="Bookman Old Style" w:hAnsi="Bookman Old Style"/>
          <w:sz w:val="24"/>
          <w:szCs w:val="24"/>
        </w:rPr>
        <w:t>Kelompok,</w:t>
      </w:r>
      <w:r w:rsidR="00A954D0">
        <w:rPr>
          <w:rFonts w:ascii="Bookman Old Style" w:hAnsi="Bookman Old Style"/>
          <w:sz w:val="24"/>
          <w:szCs w:val="24"/>
        </w:rPr>
        <w:t xml:space="preserve"> </w:t>
      </w:r>
      <w:r w:rsidRPr="000E2664">
        <w:rPr>
          <w:rFonts w:ascii="Bookman Old Style" w:hAnsi="Bookman Old Style"/>
          <w:sz w:val="24"/>
          <w:szCs w:val="24"/>
        </w:rPr>
        <w:t>Jenis,</w:t>
      </w:r>
      <w:r w:rsidR="00A954D0">
        <w:rPr>
          <w:rFonts w:ascii="Bookman Old Style" w:hAnsi="Bookman Old Style"/>
          <w:sz w:val="24"/>
          <w:szCs w:val="24"/>
        </w:rPr>
        <w:t xml:space="preserve"> </w:t>
      </w:r>
      <w:r w:rsidRPr="000E2664">
        <w:rPr>
          <w:rFonts w:ascii="Bookman Old Style" w:hAnsi="Bookman Old Style"/>
          <w:sz w:val="24"/>
          <w:szCs w:val="24"/>
        </w:rPr>
        <w:t>Objek,</w:t>
      </w:r>
      <w:r w:rsidR="00A954D0">
        <w:rPr>
          <w:rFonts w:ascii="Bookman Old Style" w:hAnsi="Bookman Old Style"/>
          <w:sz w:val="24"/>
          <w:szCs w:val="24"/>
        </w:rPr>
        <w:t xml:space="preserve"> </w:t>
      </w:r>
      <w:r w:rsidRPr="000E2664">
        <w:rPr>
          <w:rFonts w:ascii="Bookman Old Style" w:hAnsi="Bookman Old Style"/>
          <w:sz w:val="24"/>
          <w:szCs w:val="24"/>
        </w:rPr>
        <w:t>Dan</w:t>
      </w:r>
      <w:r w:rsidR="00A954D0">
        <w:rPr>
          <w:rFonts w:ascii="Bookman Old Style" w:hAnsi="Bookman Old Style"/>
          <w:sz w:val="24"/>
          <w:szCs w:val="24"/>
        </w:rPr>
        <w:t xml:space="preserve"> </w:t>
      </w:r>
      <w:r w:rsidRPr="000E2664">
        <w:rPr>
          <w:rFonts w:ascii="Bookman Old Style" w:hAnsi="Bookman Old Style"/>
          <w:sz w:val="24"/>
          <w:szCs w:val="24"/>
        </w:rPr>
        <w:t>Rincian</w:t>
      </w:r>
      <w:r w:rsidR="00A954D0">
        <w:rPr>
          <w:rFonts w:ascii="Bookman Old Style" w:hAnsi="Bookman Old Style"/>
          <w:sz w:val="24"/>
          <w:szCs w:val="24"/>
        </w:rPr>
        <w:t xml:space="preserve"> </w:t>
      </w:r>
      <w:r w:rsidRPr="000E2664">
        <w:rPr>
          <w:rFonts w:ascii="Bookman Old Style" w:hAnsi="Bookman Old Style"/>
          <w:sz w:val="24"/>
          <w:szCs w:val="24"/>
        </w:rPr>
        <w:t>Objek</w:t>
      </w:r>
      <w:r w:rsidR="00A954D0">
        <w:rPr>
          <w:rFonts w:ascii="Bookman Old Style" w:hAnsi="Bookman Old Style"/>
          <w:sz w:val="24"/>
          <w:szCs w:val="24"/>
        </w:rPr>
        <w:t xml:space="preserve"> </w:t>
      </w:r>
      <w:r w:rsidRPr="000E2664">
        <w:rPr>
          <w:rFonts w:ascii="Bookman Old Style" w:hAnsi="Bookman Old Style"/>
          <w:sz w:val="24"/>
          <w:szCs w:val="24"/>
        </w:rPr>
        <w:t>Pendapatan,</w:t>
      </w:r>
      <w:r w:rsidR="00A954D0">
        <w:rPr>
          <w:rFonts w:ascii="Bookman Old Style" w:hAnsi="Bookman Old Style"/>
          <w:sz w:val="24"/>
          <w:szCs w:val="24"/>
        </w:rPr>
        <w:t xml:space="preserve"> </w:t>
      </w:r>
      <w:r w:rsidRPr="000E2664">
        <w:rPr>
          <w:rFonts w:ascii="Bookman Old Style" w:hAnsi="Bookman Old Style"/>
          <w:sz w:val="24"/>
          <w:szCs w:val="24"/>
        </w:rPr>
        <w:t>Belanja</w:t>
      </w:r>
      <w:r w:rsidR="00A954D0">
        <w:rPr>
          <w:rFonts w:ascii="Bookman Old Style" w:hAnsi="Bookman Old Style"/>
          <w:sz w:val="24"/>
          <w:szCs w:val="24"/>
        </w:rPr>
        <w:t xml:space="preserve"> </w:t>
      </w:r>
      <w:r w:rsidRPr="000E2664">
        <w:rPr>
          <w:rFonts w:ascii="Bookman Old Style" w:hAnsi="Bookman Old Style"/>
          <w:sz w:val="24"/>
          <w:szCs w:val="24"/>
        </w:rPr>
        <w:t>dan</w:t>
      </w:r>
      <w:r w:rsidR="00A954D0">
        <w:rPr>
          <w:rFonts w:ascii="Bookman Old Style" w:hAnsi="Bookman Old Style"/>
          <w:sz w:val="24"/>
          <w:szCs w:val="24"/>
        </w:rPr>
        <w:t xml:space="preserve"> </w:t>
      </w:r>
      <w:r w:rsidRPr="000E2664">
        <w:rPr>
          <w:rFonts w:ascii="Bookman Old Style" w:hAnsi="Bookman Old Style"/>
          <w:sz w:val="24"/>
          <w:szCs w:val="24"/>
        </w:rPr>
        <w:t>Pembiayaan;</w:t>
      </w:r>
    </w:p>
    <w:p w14:paraId="2386BDCF" w14:textId="2E07A994" w:rsidR="006E2F8F" w:rsidRPr="000E2664" w:rsidRDefault="006E2F8F" w:rsidP="007D4940">
      <w:pPr>
        <w:pStyle w:val="ListParagraph"/>
        <w:numPr>
          <w:ilvl w:val="0"/>
          <w:numId w:val="223"/>
        </w:numPr>
        <w:snapToGrid w:val="0"/>
        <w:spacing w:before="60" w:after="0" w:line="276" w:lineRule="auto"/>
        <w:ind w:left="2694" w:hanging="426"/>
        <w:contextualSpacing w:val="0"/>
        <w:jc w:val="both"/>
        <w:rPr>
          <w:rFonts w:ascii="Bookman Old Style" w:hAnsi="Bookman Old Style" w:cs="Tahoma"/>
          <w:sz w:val="24"/>
          <w:szCs w:val="24"/>
        </w:rPr>
      </w:pPr>
      <w:r w:rsidRPr="000E2664">
        <w:rPr>
          <w:rFonts w:ascii="Bookman Old Style" w:hAnsi="Bookman Old Style"/>
          <w:sz w:val="24"/>
          <w:szCs w:val="24"/>
        </w:rPr>
        <w:t>Lampiran</w:t>
      </w:r>
      <w:r w:rsidR="00A954D0">
        <w:rPr>
          <w:rFonts w:ascii="Bookman Old Style" w:hAnsi="Bookman Old Style"/>
          <w:sz w:val="24"/>
          <w:szCs w:val="24"/>
        </w:rPr>
        <w:t xml:space="preserve"> </w:t>
      </w:r>
      <w:r w:rsidRPr="000E2664">
        <w:rPr>
          <w:rFonts w:ascii="Bookman Old Style" w:hAnsi="Bookman Old Style"/>
          <w:sz w:val="24"/>
          <w:szCs w:val="24"/>
        </w:rPr>
        <w:t>VIII</w:t>
      </w:r>
      <w:r w:rsidR="00A954D0">
        <w:rPr>
          <w:rFonts w:ascii="Bookman Old Style" w:hAnsi="Bookman Old Style"/>
          <w:sz w:val="24"/>
          <w:szCs w:val="24"/>
        </w:rPr>
        <w:t xml:space="preserve"> </w:t>
      </w:r>
      <w:r w:rsidRPr="000E2664">
        <w:rPr>
          <w:rFonts w:ascii="Bookman Old Style" w:hAnsi="Bookman Old Style"/>
          <w:sz w:val="24"/>
          <w:szCs w:val="24"/>
        </w:rPr>
        <w:t>Rincian</w:t>
      </w:r>
      <w:r w:rsidR="00A954D0">
        <w:rPr>
          <w:rFonts w:ascii="Bookman Old Style" w:hAnsi="Bookman Old Style"/>
          <w:sz w:val="24"/>
          <w:szCs w:val="24"/>
        </w:rPr>
        <w:t xml:space="preserve"> </w:t>
      </w:r>
      <w:r w:rsidRPr="000E2664">
        <w:rPr>
          <w:rFonts w:ascii="Bookman Old Style" w:hAnsi="Bookman Old Style"/>
          <w:sz w:val="24"/>
          <w:szCs w:val="24"/>
        </w:rPr>
        <w:t>DBH-SDA</w:t>
      </w:r>
      <w:r w:rsidR="00A954D0">
        <w:rPr>
          <w:rFonts w:ascii="Bookman Old Style" w:hAnsi="Bookman Old Style"/>
          <w:sz w:val="24"/>
          <w:szCs w:val="24"/>
        </w:rPr>
        <w:t xml:space="preserve"> </w:t>
      </w:r>
      <w:r w:rsidRPr="000E2664">
        <w:rPr>
          <w:rFonts w:ascii="Bookman Old Style" w:hAnsi="Bookman Old Style"/>
          <w:sz w:val="24"/>
          <w:szCs w:val="24"/>
        </w:rPr>
        <w:t>Pertambangan</w:t>
      </w:r>
      <w:r w:rsidR="00A954D0">
        <w:rPr>
          <w:rFonts w:ascii="Bookman Old Style" w:hAnsi="Bookman Old Style"/>
          <w:sz w:val="24"/>
          <w:szCs w:val="24"/>
        </w:rPr>
        <w:t xml:space="preserve"> </w:t>
      </w:r>
      <w:r w:rsidRPr="000E2664">
        <w:rPr>
          <w:rFonts w:ascii="Bookman Old Style" w:hAnsi="Bookman Old Style"/>
          <w:sz w:val="24"/>
          <w:szCs w:val="24"/>
        </w:rPr>
        <w:t>Minyak</w:t>
      </w:r>
      <w:r w:rsidR="00A954D0">
        <w:rPr>
          <w:rFonts w:ascii="Bookman Old Style" w:hAnsi="Bookman Old Style"/>
          <w:sz w:val="24"/>
          <w:szCs w:val="24"/>
        </w:rPr>
        <w:t xml:space="preserve"> </w:t>
      </w:r>
      <w:r w:rsidRPr="000E2664">
        <w:rPr>
          <w:rFonts w:ascii="Bookman Old Style" w:hAnsi="Bookman Old Style"/>
          <w:sz w:val="24"/>
          <w:szCs w:val="24"/>
        </w:rPr>
        <w:t>Bumi</w:t>
      </w:r>
      <w:r w:rsidR="00A954D0">
        <w:rPr>
          <w:rFonts w:ascii="Bookman Old Style" w:hAnsi="Bookman Old Style"/>
          <w:sz w:val="24"/>
          <w:szCs w:val="24"/>
        </w:rPr>
        <w:t xml:space="preserve"> </w:t>
      </w:r>
      <w:r w:rsidRPr="000E2664">
        <w:rPr>
          <w:rFonts w:ascii="Bookman Old Style" w:hAnsi="Bookman Old Style"/>
          <w:sz w:val="24"/>
          <w:szCs w:val="24"/>
        </w:rPr>
        <w:t>Dan</w:t>
      </w:r>
      <w:r w:rsidR="00A954D0">
        <w:rPr>
          <w:rFonts w:ascii="Bookman Old Style" w:hAnsi="Bookman Old Style"/>
          <w:sz w:val="24"/>
          <w:szCs w:val="24"/>
        </w:rPr>
        <w:t xml:space="preserve"> </w:t>
      </w:r>
      <w:r w:rsidRPr="000E2664">
        <w:rPr>
          <w:rFonts w:ascii="Bookman Old Style" w:hAnsi="Bookman Old Style"/>
          <w:sz w:val="24"/>
          <w:szCs w:val="24"/>
        </w:rPr>
        <w:t>Pertambangan</w:t>
      </w:r>
      <w:r w:rsidR="00A954D0">
        <w:rPr>
          <w:rFonts w:ascii="Bookman Old Style" w:hAnsi="Bookman Old Style"/>
          <w:sz w:val="24"/>
          <w:szCs w:val="24"/>
        </w:rPr>
        <w:t xml:space="preserve"> </w:t>
      </w:r>
      <w:r w:rsidRPr="000E2664">
        <w:rPr>
          <w:rFonts w:ascii="Bookman Old Style" w:hAnsi="Bookman Old Style"/>
          <w:sz w:val="24"/>
          <w:szCs w:val="24"/>
        </w:rPr>
        <w:t>Gas</w:t>
      </w:r>
      <w:r w:rsidR="00A954D0">
        <w:rPr>
          <w:rFonts w:ascii="Bookman Old Style" w:hAnsi="Bookman Old Style"/>
          <w:sz w:val="24"/>
          <w:szCs w:val="24"/>
        </w:rPr>
        <w:t xml:space="preserve"> </w:t>
      </w:r>
      <w:r w:rsidRPr="000E2664">
        <w:rPr>
          <w:rFonts w:ascii="Bookman Old Style" w:hAnsi="Bookman Old Style"/>
          <w:sz w:val="24"/>
          <w:szCs w:val="24"/>
        </w:rPr>
        <w:t>Alam/</w:t>
      </w:r>
      <w:r w:rsidR="00A954D0">
        <w:rPr>
          <w:rFonts w:ascii="Bookman Old Style" w:hAnsi="Bookman Old Style"/>
          <w:sz w:val="24"/>
          <w:szCs w:val="24"/>
        </w:rPr>
        <w:t xml:space="preserve"> </w:t>
      </w:r>
      <w:r w:rsidRPr="000E2664">
        <w:rPr>
          <w:rFonts w:ascii="Bookman Old Style" w:hAnsi="Bookman Old Style"/>
          <w:sz w:val="24"/>
          <w:szCs w:val="24"/>
        </w:rPr>
        <w:t>Tambahan</w:t>
      </w:r>
      <w:r w:rsidR="00A954D0">
        <w:rPr>
          <w:rFonts w:ascii="Bookman Old Style" w:hAnsi="Bookman Old Style"/>
          <w:sz w:val="24"/>
          <w:szCs w:val="24"/>
        </w:rPr>
        <w:t xml:space="preserve"> </w:t>
      </w:r>
      <w:r w:rsidRPr="000E2664">
        <w:rPr>
          <w:rFonts w:ascii="Bookman Old Style" w:hAnsi="Bookman Old Style"/>
          <w:sz w:val="24"/>
          <w:szCs w:val="24"/>
        </w:rPr>
        <w:t>DBH-</w:t>
      </w:r>
      <w:r w:rsidR="00A954D0">
        <w:rPr>
          <w:rFonts w:ascii="Bookman Old Style" w:hAnsi="Bookman Old Style"/>
          <w:sz w:val="24"/>
          <w:szCs w:val="24"/>
        </w:rPr>
        <w:t xml:space="preserve"> </w:t>
      </w:r>
      <w:r w:rsidRPr="000E2664">
        <w:rPr>
          <w:rFonts w:ascii="Bookman Old Style" w:hAnsi="Bookman Old Style"/>
          <w:sz w:val="24"/>
          <w:szCs w:val="24"/>
        </w:rPr>
        <w:t>Minyak</w:t>
      </w:r>
      <w:r w:rsidR="00A954D0">
        <w:rPr>
          <w:rFonts w:ascii="Bookman Old Style" w:hAnsi="Bookman Old Style"/>
          <w:sz w:val="24"/>
          <w:szCs w:val="24"/>
        </w:rPr>
        <w:t xml:space="preserve"> </w:t>
      </w:r>
      <w:r w:rsidRPr="000E2664">
        <w:rPr>
          <w:rFonts w:ascii="Bookman Old Style" w:hAnsi="Bookman Old Style"/>
          <w:sz w:val="24"/>
          <w:szCs w:val="24"/>
        </w:rPr>
        <w:t>dan</w:t>
      </w:r>
      <w:r w:rsidR="00A954D0">
        <w:rPr>
          <w:rFonts w:ascii="Bookman Old Style" w:hAnsi="Bookman Old Style"/>
          <w:sz w:val="24"/>
          <w:szCs w:val="24"/>
        </w:rPr>
        <w:t xml:space="preserve"> </w:t>
      </w:r>
      <w:r w:rsidRPr="000E2664">
        <w:rPr>
          <w:rFonts w:ascii="Bookman Old Style" w:hAnsi="Bookman Old Style"/>
          <w:sz w:val="24"/>
          <w:szCs w:val="24"/>
        </w:rPr>
        <w:t>Gas</w:t>
      </w:r>
      <w:r w:rsidR="00A954D0">
        <w:rPr>
          <w:rFonts w:ascii="Bookman Old Style" w:hAnsi="Bookman Old Style"/>
          <w:sz w:val="24"/>
          <w:szCs w:val="24"/>
        </w:rPr>
        <w:t xml:space="preserve"> </w:t>
      </w:r>
      <w:r w:rsidRPr="000E2664">
        <w:rPr>
          <w:rFonts w:ascii="Bookman Old Style" w:hAnsi="Bookman Old Style"/>
          <w:sz w:val="24"/>
          <w:szCs w:val="24"/>
        </w:rPr>
        <w:t>Bumi*)</w:t>
      </w:r>
      <w:r w:rsidR="00A954D0">
        <w:rPr>
          <w:rFonts w:ascii="Bookman Old Style" w:hAnsi="Bookman Old Style"/>
          <w:sz w:val="24"/>
          <w:szCs w:val="24"/>
        </w:rPr>
        <w:t xml:space="preserve"> </w:t>
      </w:r>
      <w:r w:rsidRPr="000E2664">
        <w:rPr>
          <w:rFonts w:ascii="Bookman Old Style" w:hAnsi="Bookman Old Style"/>
          <w:sz w:val="24"/>
          <w:szCs w:val="24"/>
        </w:rPr>
        <w:t>Menurut</w:t>
      </w:r>
      <w:r w:rsidR="00A954D0">
        <w:rPr>
          <w:rFonts w:ascii="Bookman Old Style" w:hAnsi="Bookman Old Style"/>
          <w:sz w:val="24"/>
          <w:szCs w:val="24"/>
        </w:rPr>
        <w:t xml:space="preserve"> </w:t>
      </w:r>
      <w:r w:rsidRPr="000E2664">
        <w:rPr>
          <w:rFonts w:ascii="Bookman Old Style" w:hAnsi="Bookman Old Style"/>
          <w:sz w:val="24"/>
          <w:szCs w:val="24"/>
        </w:rPr>
        <w:t>Urusan</w:t>
      </w:r>
      <w:r w:rsidR="00A954D0">
        <w:rPr>
          <w:rFonts w:ascii="Bookman Old Style" w:hAnsi="Bookman Old Style"/>
          <w:sz w:val="24"/>
          <w:szCs w:val="24"/>
        </w:rPr>
        <w:t xml:space="preserve"> </w:t>
      </w:r>
      <w:r w:rsidRPr="000E2664">
        <w:rPr>
          <w:rFonts w:ascii="Bookman Old Style" w:hAnsi="Bookman Old Style"/>
          <w:sz w:val="24"/>
          <w:szCs w:val="24"/>
        </w:rPr>
        <w:t>Pemerintahan</w:t>
      </w:r>
      <w:r w:rsidR="00A954D0">
        <w:rPr>
          <w:rFonts w:ascii="Bookman Old Style" w:hAnsi="Bookman Old Style"/>
          <w:sz w:val="24"/>
          <w:szCs w:val="24"/>
        </w:rPr>
        <w:t xml:space="preserve"> </w:t>
      </w:r>
      <w:r w:rsidRPr="000E2664">
        <w:rPr>
          <w:rFonts w:ascii="Bookman Old Style" w:hAnsi="Bookman Old Style"/>
          <w:sz w:val="24"/>
          <w:szCs w:val="24"/>
        </w:rPr>
        <w:t>Daerah,</w:t>
      </w:r>
      <w:r w:rsidR="00A954D0">
        <w:rPr>
          <w:rFonts w:ascii="Bookman Old Style" w:hAnsi="Bookman Old Style"/>
          <w:sz w:val="24"/>
          <w:szCs w:val="24"/>
        </w:rPr>
        <w:t xml:space="preserve"> </w:t>
      </w:r>
      <w:r w:rsidRPr="000E2664">
        <w:rPr>
          <w:rFonts w:ascii="Bookman Old Style" w:hAnsi="Bookman Old Style"/>
          <w:sz w:val="24"/>
          <w:szCs w:val="24"/>
        </w:rPr>
        <w:t>Organisasi,</w:t>
      </w:r>
      <w:r w:rsidR="00A954D0">
        <w:rPr>
          <w:rFonts w:ascii="Bookman Old Style" w:hAnsi="Bookman Old Style"/>
          <w:sz w:val="24"/>
          <w:szCs w:val="24"/>
        </w:rPr>
        <w:t xml:space="preserve"> </w:t>
      </w:r>
      <w:r w:rsidRPr="000E2664">
        <w:rPr>
          <w:rFonts w:ascii="Bookman Old Style" w:hAnsi="Bookman Old Style"/>
          <w:sz w:val="24"/>
          <w:szCs w:val="24"/>
        </w:rPr>
        <w:t>Program,</w:t>
      </w:r>
      <w:r w:rsidR="00A954D0">
        <w:rPr>
          <w:rFonts w:ascii="Bookman Old Style" w:hAnsi="Bookman Old Style"/>
          <w:sz w:val="24"/>
          <w:szCs w:val="24"/>
        </w:rPr>
        <w:t xml:space="preserve"> </w:t>
      </w:r>
      <w:r w:rsidRPr="000E2664">
        <w:rPr>
          <w:rFonts w:ascii="Bookman Old Style" w:hAnsi="Bookman Old Style"/>
          <w:sz w:val="24"/>
          <w:szCs w:val="24"/>
        </w:rPr>
        <w:t>Kegiatan,</w:t>
      </w:r>
      <w:r w:rsidR="00A954D0">
        <w:rPr>
          <w:rFonts w:ascii="Bookman Old Style" w:hAnsi="Bookman Old Style"/>
          <w:sz w:val="24"/>
          <w:szCs w:val="24"/>
        </w:rPr>
        <w:t xml:space="preserve"> </w:t>
      </w:r>
      <w:r w:rsidRPr="000E2664">
        <w:rPr>
          <w:rFonts w:ascii="Bookman Old Style" w:hAnsi="Bookman Old Style"/>
          <w:sz w:val="24"/>
          <w:szCs w:val="24"/>
        </w:rPr>
        <w:t>Sub</w:t>
      </w:r>
      <w:r w:rsidR="00A954D0">
        <w:rPr>
          <w:rFonts w:ascii="Bookman Old Style" w:hAnsi="Bookman Old Style"/>
          <w:sz w:val="24"/>
          <w:szCs w:val="24"/>
        </w:rPr>
        <w:t xml:space="preserve"> </w:t>
      </w:r>
      <w:r w:rsidRPr="000E2664">
        <w:rPr>
          <w:rFonts w:ascii="Bookman Old Style" w:hAnsi="Bookman Old Style"/>
          <w:sz w:val="24"/>
          <w:szCs w:val="24"/>
        </w:rPr>
        <w:t>Kegiatan,</w:t>
      </w:r>
      <w:r w:rsidR="00A954D0">
        <w:rPr>
          <w:rFonts w:ascii="Bookman Old Style" w:hAnsi="Bookman Old Style"/>
          <w:sz w:val="24"/>
          <w:szCs w:val="24"/>
        </w:rPr>
        <w:t xml:space="preserve"> </w:t>
      </w:r>
      <w:r w:rsidRPr="000E2664">
        <w:rPr>
          <w:rFonts w:ascii="Bookman Old Style" w:hAnsi="Bookman Old Style"/>
          <w:sz w:val="24"/>
          <w:szCs w:val="24"/>
        </w:rPr>
        <w:t>Kelompok,</w:t>
      </w:r>
      <w:r w:rsidR="00A954D0">
        <w:rPr>
          <w:rFonts w:ascii="Bookman Old Style" w:hAnsi="Bookman Old Style"/>
          <w:sz w:val="24"/>
          <w:szCs w:val="24"/>
        </w:rPr>
        <w:t xml:space="preserve"> </w:t>
      </w:r>
      <w:r w:rsidRPr="000E2664">
        <w:rPr>
          <w:rFonts w:ascii="Bookman Old Style" w:hAnsi="Bookman Old Style"/>
          <w:sz w:val="24"/>
          <w:szCs w:val="24"/>
        </w:rPr>
        <w:t>Jenis,</w:t>
      </w:r>
      <w:r w:rsidR="00A954D0">
        <w:rPr>
          <w:rFonts w:ascii="Bookman Old Style" w:hAnsi="Bookman Old Style"/>
          <w:sz w:val="24"/>
          <w:szCs w:val="24"/>
        </w:rPr>
        <w:t xml:space="preserve"> </w:t>
      </w:r>
      <w:r w:rsidRPr="000E2664">
        <w:rPr>
          <w:rFonts w:ascii="Bookman Old Style" w:hAnsi="Bookman Old Style"/>
          <w:sz w:val="24"/>
          <w:szCs w:val="24"/>
        </w:rPr>
        <w:t>Objek,</w:t>
      </w:r>
      <w:r w:rsidR="00A954D0">
        <w:rPr>
          <w:rFonts w:ascii="Bookman Old Style" w:hAnsi="Bookman Old Style"/>
          <w:sz w:val="24"/>
          <w:szCs w:val="24"/>
        </w:rPr>
        <w:t xml:space="preserve"> </w:t>
      </w:r>
      <w:r w:rsidRPr="000E2664">
        <w:rPr>
          <w:rFonts w:ascii="Bookman Old Style" w:hAnsi="Bookman Old Style"/>
          <w:sz w:val="24"/>
          <w:szCs w:val="24"/>
        </w:rPr>
        <w:t>dan</w:t>
      </w:r>
      <w:r w:rsidR="00A954D0">
        <w:rPr>
          <w:rFonts w:ascii="Bookman Old Style" w:hAnsi="Bookman Old Style"/>
          <w:sz w:val="24"/>
          <w:szCs w:val="24"/>
        </w:rPr>
        <w:t xml:space="preserve"> </w:t>
      </w:r>
      <w:r w:rsidRPr="000E2664">
        <w:rPr>
          <w:rFonts w:ascii="Bookman Old Style" w:hAnsi="Bookman Old Style"/>
          <w:sz w:val="24"/>
          <w:szCs w:val="24"/>
        </w:rPr>
        <w:t>Rincian</w:t>
      </w:r>
      <w:r w:rsidR="00A954D0">
        <w:rPr>
          <w:rFonts w:ascii="Bookman Old Style" w:hAnsi="Bookman Old Style"/>
          <w:sz w:val="24"/>
          <w:szCs w:val="24"/>
        </w:rPr>
        <w:t xml:space="preserve"> </w:t>
      </w:r>
      <w:r w:rsidRPr="000E2664">
        <w:rPr>
          <w:rFonts w:ascii="Bookman Old Style" w:hAnsi="Bookman Old Style"/>
          <w:sz w:val="24"/>
          <w:szCs w:val="24"/>
        </w:rPr>
        <w:t>Objek</w:t>
      </w:r>
      <w:r w:rsidR="00A954D0">
        <w:rPr>
          <w:rFonts w:ascii="Bookman Old Style" w:hAnsi="Bookman Old Style"/>
          <w:sz w:val="24"/>
          <w:szCs w:val="24"/>
        </w:rPr>
        <w:t xml:space="preserve"> </w:t>
      </w:r>
      <w:r w:rsidRPr="000E2664">
        <w:rPr>
          <w:rFonts w:ascii="Bookman Old Style" w:hAnsi="Bookman Old Style"/>
          <w:sz w:val="24"/>
          <w:szCs w:val="24"/>
        </w:rPr>
        <w:t>Pendapatan,</w:t>
      </w:r>
      <w:r w:rsidR="00A954D0">
        <w:rPr>
          <w:rFonts w:ascii="Bookman Old Style" w:hAnsi="Bookman Old Style"/>
          <w:sz w:val="24"/>
          <w:szCs w:val="24"/>
        </w:rPr>
        <w:t xml:space="preserve"> </w:t>
      </w:r>
      <w:r w:rsidRPr="000E2664">
        <w:rPr>
          <w:rFonts w:ascii="Bookman Old Style" w:hAnsi="Bookman Old Style"/>
          <w:sz w:val="24"/>
          <w:szCs w:val="24"/>
        </w:rPr>
        <w:t>Belanja</w:t>
      </w:r>
      <w:r w:rsidR="00A954D0">
        <w:rPr>
          <w:rFonts w:ascii="Bookman Old Style" w:hAnsi="Bookman Old Style"/>
          <w:sz w:val="24"/>
          <w:szCs w:val="24"/>
        </w:rPr>
        <w:t xml:space="preserve"> </w:t>
      </w:r>
      <w:r w:rsidRPr="000E2664">
        <w:rPr>
          <w:rFonts w:ascii="Bookman Old Style" w:hAnsi="Bookman Old Style"/>
          <w:sz w:val="24"/>
          <w:szCs w:val="24"/>
        </w:rPr>
        <w:t>dan</w:t>
      </w:r>
      <w:r w:rsidR="00A954D0">
        <w:rPr>
          <w:rFonts w:ascii="Bookman Old Style" w:hAnsi="Bookman Old Style"/>
          <w:sz w:val="24"/>
          <w:szCs w:val="24"/>
        </w:rPr>
        <w:t xml:space="preserve"> </w:t>
      </w:r>
      <w:r w:rsidRPr="000E2664">
        <w:rPr>
          <w:rFonts w:ascii="Bookman Old Style" w:hAnsi="Bookman Old Style"/>
          <w:sz w:val="24"/>
          <w:szCs w:val="24"/>
        </w:rPr>
        <w:t>Pembiayaan;</w:t>
      </w:r>
    </w:p>
    <w:p w14:paraId="032C7E4D" w14:textId="7A5356FE" w:rsidR="006E2F8F" w:rsidRPr="006D61F3" w:rsidRDefault="006E2F8F" w:rsidP="007D4940">
      <w:pPr>
        <w:pStyle w:val="ListParagraph"/>
        <w:numPr>
          <w:ilvl w:val="0"/>
          <w:numId w:val="223"/>
        </w:numPr>
        <w:snapToGrid w:val="0"/>
        <w:spacing w:before="60" w:after="0" w:line="276" w:lineRule="auto"/>
        <w:ind w:left="2694" w:hanging="426"/>
        <w:contextualSpacing w:val="0"/>
        <w:jc w:val="both"/>
        <w:rPr>
          <w:rFonts w:ascii="Bookman Old Style" w:hAnsi="Bookman Old Style" w:cs="Tahoma"/>
          <w:sz w:val="24"/>
          <w:szCs w:val="24"/>
        </w:rPr>
      </w:pPr>
      <w:r w:rsidRPr="000E2664">
        <w:rPr>
          <w:rFonts w:ascii="Bookman Old Style" w:hAnsi="Bookman Old Style"/>
          <w:sz w:val="24"/>
          <w:szCs w:val="24"/>
        </w:rPr>
        <w:t>Lampiran</w:t>
      </w:r>
      <w:r w:rsidR="00A954D0">
        <w:rPr>
          <w:rFonts w:ascii="Bookman Old Style" w:hAnsi="Bookman Old Style"/>
          <w:sz w:val="24"/>
          <w:szCs w:val="24"/>
        </w:rPr>
        <w:t xml:space="preserve"> </w:t>
      </w:r>
      <w:r w:rsidRPr="000E2664">
        <w:rPr>
          <w:rFonts w:ascii="Bookman Old Style" w:hAnsi="Bookman Old Style"/>
          <w:sz w:val="24"/>
          <w:szCs w:val="24"/>
        </w:rPr>
        <w:t>IX</w:t>
      </w:r>
      <w:r w:rsidR="00A954D0">
        <w:rPr>
          <w:rFonts w:ascii="Bookman Old Style" w:hAnsi="Bookman Old Style"/>
          <w:sz w:val="24"/>
          <w:szCs w:val="24"/>
        </w:rPr>
        <w:t xml:space="preserve"> </w:t>
      </w:r>
      <w:r w:rsidRPr="000E2664">
        <w:rPr>
          <w:rFonts w:ascii="Bookman Old Style" w:hAnsi="Bookman Old Style"/>
          <w:sz w:val="24"/>
          <w:szCs w:val="24"/>
        </w:rPr>
        <w:t>Rincian</w:t>
      </w:r>
      <w:r w:rsidR="00A954D0">
        <w:rPr>
          <w:rFonts w:ascii="Bookman Old Style" w:hAnsi="Bookman Old Style"/>
          <w:sz w:val="24"/>
          <w:szCs w:val="24"/>
        </w:rPr>
        <w:t xml:space="preserve"> </w:t>
      </w:r>
      <w:r w:rsidRPr="000E2664">
        <w:rPr>
          <w:rFonts w:ascii="Bookman Old Style" w:hAnsi="Bookman Old Style"/>
          <w:sz w:val="24"/>
          <w:szCs w:val="24"/>
        </w:rPr>
        <w:t>Dana</w:t>
      </w:r>
      <w:r w:rsidR="00A954D0">
        <w:rPr>
          <w:rFonts w:ascii="Bookman Old Style" w:hAnsi="Bookman Old Style"/>
          <w:sz w:val="24"/>
          <w:szCs w:val="24"/>
        </w:rPr>
        <w:t xml:space="preserve"> </w:t>
      </w:r>
      <w:r w:rsidRPr="000E2664">
        <w:rPr>
          <w:rFonts w:ascii="Bookman Old Style" w:hAnsi="Bookman Old Style"/>
          <w:sz w:val="24"/>
          <w:szCs w:val="24"/>
        </w:rPr>
        <w:t>Tambahan</w:t>
      </w:r>
      <w:r w:rsidR="00A954D0">
        <w:rPr>
          <w:rFonts w:ascii="Bookman Old Style" w:hAnsi="Bookman Old Style"/>
          <w:sz w:val="24"/>
          <w:szCs w:val="24"/>
        </w:rPr>
        <w:t xml:space="preserve"> </w:t>
      </w:r>
      <w:r w:rsidRPr="000E2664">
        <w:rPr>
          <w:rFonts w:ascii="Bookman Old Style" w:hAnsi="Bookman Old Style"/>
          <w:sz w:val="24"/>
          <w:szCs w:val="24"/>
        </w:rPr>
        <w:t>Infrastuktur</w:t>
      </w:r>
      <w:r w:rsidR="00A954D0">
        <w:rPr>
          <w:rFonts w:ascii="Bookman Old Style" w:hAnsi="Bookman Old Style"/>
          <w:sz w:val="24"/>
          <w:szCs w:val="24"/>
        </w:rPr>
        <w:t xml:space="preserve"> </w:t>
      </w:r>
      <w:r w:rsidRPr="000E2664">
        <w:rPr>
          <w:rFonts w:ascii="Bookman Old Style" w:hAnsi="Bookman Old Style"/>
          <w:sz w:val="24"/>
          <w:szCs w:val="24"/>
        </w:rPr>
        <w:t>Menurut</w:t>
      </w:r>
      <w:r w:rsidR="00A954D0">
        <w:rPr>
          <w:rFonts w:ascii="Bookman Old Style" w:hAnsi="Bookman Old Style"/>
          <w:sz w:val="24"/>
          <w:szCs w:val="24"/>
        </w:rPr>
        <w:t xml:space="preserve"> </w:t>
      </w:r>
      <w:r w:rsidRPr="000E2664">
        <w:rPr>
          <w:rFonts w:ascii="Bookman Old Style" w:hAnsi="Bookman Old Style"/>
          <w:sz w:val="24"/>
          <w:szCs w:val="24"/>
        </w:rPr>
        <w:t>Urusan</w:t>
      </w:r>
      <w:r w:rsidR="00A954D0">
        <w:rPr>
          <w:rFonts w:ascii="Bookman Old Style" w:hAnsi="Bookman Old Style"/>
          <w:sz w:val="24"/>
          <w:szCs w:val="24"/>
        </w:rPr>
        <w:t xml:space="preserve"> </w:t>
      </w:r>
      <w:r w:rsidRPr="000E2664">
        <w:rPr>
          <w:rFonts w:ascii="Bookman Old Style" w:hAnsi="Bookman Old Style"/>
          <w:sz w:val="24"/>
          <w:szCs w:val="24"/>
        </w:rPr>
        <w:t>Pemerintahan</w:t>
      </w:r>
      <w:r w:rsidR="00A954D0">
        <w:rPr>
          <w:rFonts w:ascii="Bookman Old Style" w:hAnsi="Bookman Old Style"/>
          <w:sz w:val="24"/>
          <w:szCs w:val="24"/>
        </w:rPr>
        <w:t xml:space="preserve"> </w:t>
      </w:r>
      <w:r w:rsidRPr="000E2664">
        <w:rPr>
          <w:rFonts w:ascii="Bookman Old Style" w:hAnsi="Bookman Old Style"/>
          <w:sz w:val="24"/>
          <w:szCs w:val="24"/>
        </w:rPr>
        <w:t>Daerah,</w:t>
      </w:r>
      <w:r w:rsidR="00A954D0">
        <w:rPr>
          <w:rFonts w:ascii="Bookman Old Style" w:hAnsi="Bookman Old Style"/>
          <w:sz w:val="24"/>
          <w:szCs w:val="24"/>
        </w:rPr>
        <w:t xml:space="preserve"> </w:t>
      </w:r>
      <w:r w:rsidRPr="000E2664">
        <w:rPr>
          <w:rFonts w:ascii="Bookman Old Style" w:hAnsi="Bookman Old Style"/>
          <w:sz w:val="24"/>
          <w:szCs w:val="24"/>
        </w:rPr>
        <w:t>Organisasi,</w:t>
      </w:r>
      <w:r w:rsidR="00A954D0">
        <w:rPr>
          <w:rFonts w:ascii="Bookman Old Style" w:hAnsi="Bookman Old Style"/>
          <w:sz w:val="24"/>
          <w:szCs w:val="24"/>
        </w:rPr>
        <w:t xml:space="preserve"> </w:t>
      </w:r>
      <w:r w:rsidRPr="000E2664">
        <w:rPr>
          <w:rFonts w:ascii="Bookman Old Style" w:hAnsi="Bookman Old Style"/>
          <w:sz w:val="24"/>
          <w:szCs w:val="24"/>
        </w:rPr>
        <w:t>Program,</w:t>
      </w:r>
      <w:r w:rsidR="00A954D0">
        <w:rPr>
          <w:rFonts w:ascii="Bookman Old Style" w:hAnsi="Bookman Old Style"/>
          <w:sz w:val="24"/>
          <w:szCs w:val="24"/>
        </w:rPr>
        <w:t xml:space="preserve"> </w:t>
      </w:r>
      <w:r w:rsidRPr="000E2664">
        <w:rPr>
          <w:rFonts w:ascii="Bookman Old Style" w:hAnsi="Bookman Old Style"/>
          <w:sz w:val="24"/>
          <w:szCs w:val="24"/>
        </w:rPr>
        <w:t>Kegiatan,</w:t>
      </w:r>
      <w:r w:rsidR="00A954D0">
        <w:rPr>
          <w:rFonts w:ascii="Bookman Old Style" w:hAnsi="Bookman Old Style"/>
          <w:sz w:val="24"/>
          <w:szCs w:val="24"/>
        </w:rPr>
        <w:t xml:space="preserve"> </w:t>
      </w:r>
      <w:r w:rsidRPr="000E2664">
        <w:rPr>
          <w:rFonts w:ascii="Bookman Old Style" w:hAnsi="Bookman Old Style"/>
          <w:sz w:val="24"/>
          <w:szCs w:val="24"/>
        </w:rPr>
        <w:t>Sub</w:t>
      </w:r>
      <w:r w:rsidR="00A954D0">
        <w:rPr>
          <w:rFonts w:ascii="Bookman Old Style" w:hAnsi="Bookman Old Style"/>
          <w:sz w:val="24"/>
          <w:szCs w:val="24"/>
        </w:rPr>
        <w:t xml:space="preserve"> </w:t>
      </w:r>
      <w:r w:rsidRPr="000E2664">
        <w:rPr>
          <w:rFonts w:ascii="Bookman Old Style" w:hAnsi="Bookman Old Style"/>
          <w:sz w:val="24"/>
          <w:szCs w:val="24"/>
        </w:rPr>
        <w:t>Kegiatan,</w:t>
      </w:r>
      <w:r w:rsidR="00A954D0">
        <w:rPr>
          <w:rFonts w:ascii="Bookman Old Style" w:hAnsi="Bookman Old Style"/>
          <w:sz w:val="24"/>
          <w:szCs w:val="24"/>
        </w:rPr>
        <w:t xml:space="preserve"> </w:t>
      </w:r>
      <w:r w:rsidRPr="000E2664">
        <w:rPr>
          <w:rFonts w:ascii="Bookman Old Style" w:hAnsi="Bookman Old Style"/>
          <w:sz w:val="24"/>
          <w:szCs w:val="24"/>
        </w:rPr>
        <w:t>Kelompok,</w:t>
      </w:r>
      <w:r w:rsidR="00A954D0">
        <w:rPr>
          <w:rFonts w:ascii="Bookman Old Style" w:hAnsi="Bookman Old Style"/>
          <w:sz w:val="24"/>
          <w:szCs w:val="24"/>
        </w:rPr>
        <w:t xml:space="preserve"> </w:t>
      </w:r>
      <w:r w:rsidRPr="000E2664">
        <w:rPr>
          <w:rFonts w:ascii="Bookman Old Style" w:hAnsi="Bookman Old Style"/>
          <w:sz w:val="24"/>
          <w:szCs w:val="24"/>
        </w:rPr>
        <w:t>Jenis,</w:t>
      </w:r>
      <w:r w:rsidR="00A954D0">
        <w:rPr>
          <w:rFonts w:ascii="Bookman Old Style" w:hAnsi="Bookman Old Style"/>
          <w:sz w:val="24"/>
          <w:szCs w:val="24"/>
        </w:rPr>
        <w:t xml:space="preserve"> </w:t>
      </w:r>
      <w:r w:rsidRPr="000E2664">
        <w:rPr>
          <w:rFonts w:ascii="Bookman Old Style" w:hAnsi="Bookman Old Style"/>
          <w:sz w:val="24"/>
          <w:szCs w:val="24"/>
        </w:rPr>
        <w:t>Objek,</w:t>
      </w:r>
      <w:r w:rsidR="00A954D0">
        <w:rPr>
          <w:rFonts w:ascii="Bookman Old Style" w:hAnsi="Bookman Old Style"/>
          <w:sz w:val="24"/>
          <w:szCs w:val="24"/>
        </w:rPr>
        <w:t xml:space="preserve"> </w:t>
      </w:r>
      <w:r w:rsidRPr="006D61F3">
        <w:rPr>
          <w:rFonts w:ascii="Bookman Old Style" w:hAnsi="Bookman Old Style"/>
          <w:sz w:val="24"/>
          <w:szCs w:val="24"/>
        </w:rPr>
        <w:t>dan</w:t>
      </w:r>
      <w:r w:rsidR="00A954D0">
        <w:rPr>
          <w:rFonts w:ascii="Bookman Old Style" w:hAnsi="Bookman Old Style"/>
          <w:sz w:val="24"/>
          <w:szCs w:val="24"/>
        </w:rPr>
        <w:t xml:space="preserve"> </w:t>
      </w:r>
      <w:r w:rsidRPr="006D61F3">
        <w:rPr>
          <w:rFonts w:ascii="Bookman Old Style" w:hAnsi="Bookman Old Style"/>
          <w:sz w:val="24"/>
          <w:szCs w:val="24"/>
        </w:rPr>
        <w:t>Rincian</w:t>
      </w:r>
      <w:r w:rsidR="00A954D0">
        <w:rPr>
          <w:rFonts w:ascii="Bookman Old Style" w:hAnsi="Bookman Old Style"/>
          <w:sz w:val="24"/>
          <w:szCs w:val="24"/>
        </w:rPr>
        <w:t xml:space="preserve"> </w:t>
      </w:r>
      <w:r w:rsidRPr="006D61F3">
        <w:rPr>
          <w:rFonts w:ascii="Bookman Old Style" w:hAnsi="Bookman Old Style"/>
          <w:sz w:val="24"/>
          <w:szCs w:val="24"/>
        </w:rPr>
        <w:t>Objek</w:t>
      </w:r>
      <w:r w:rsidR="00A954D0">
        <w:rPr>
          <w:rFonts w:ascii="Bookman Old Style" w:hAnsi="Bookman Old Style"/>
          <w:sz w:val="24"/>
          <w:szCs w:val="24"/>
        </w:rPr>
        <w:t xml:space="preserve"> </w:t>
      </w:r>
      <w:r w:rsidRPr="006D61F3">
        <w:rPr>
          <w:rFonts w:ascii="Bookman Old Style" w:hAnsi="Bookman Old Style"/>
          <w:sz w:val="24"/>
          <w:szCs w:val="24"/>
        </w:rPr>
        <w:t>Pendapatan,</w:t>
      </w:r>
      <w:r w:rsidR="00A954D0">
        <w:rPr>
          <w:rFonts w:ascii="Bookman Old Style" w:hAnsi="Bookman Old Style"/>
          <w:sz w:val="24"/>
          <w:szCs w:val="24"/>
        </w:rPr>
        <w:t xml:space="preserve"> </w:t>
      </w:r>
      <w:r w:rsidRPr="006D61F3">
        <w:rPr>
          <w:rFonts w:ascii="Bookman Old Style" w:hAnsi="Bookman Old Style"/>
          <w:sz w:val="24"/>
          <w:szCs w:val="24"/>
        </w:rPr>
        <w:t>Belanja</w:t>
      </w:r>
      <w:r w:rsidR="00A954D0">
        <w:rPr>
          <w:rFonts w:ascii="Bookman Old Style" w:hAnsi="Bookman Old Style"/>
          <w:sz w:val="24"/>
          <w:szCs w:val="24"/>
        </w:rPr>
        <w:t xml:space="preserve"> </w:t>
      </w:r>
      <w:r w:rsidRPr="006D61F3">
        <w:rPr>
          <w:rFonts w:ascii="Bookman Old Style" w:hAnsi="Bookman Old Style"/>
          <w:sz w:val="24"/>
          <w:szCs w:val="24"/>
        </w:rPr>
        <w:t>dan</w:t>
      </w:r>
      <w:r w:rsidR="00A954D0">
        <w:rPr>
          <w:rFonts w:ascii="Bookman Old Style" w:hAnsi="Bookman Old Style"/>
          <w:sz w:val="24"/>
          <w:szCs w:val="24"/>
        </w:rPr>
        <w:t xml:space="preserve"> </w:t>
      </w:r>
      <w:r w:rsidRPr="006D61F3">
        <w:rPr>
          <w:rFonts w:ascii="Bookman Old Style" w:hAnsi="Bookman Old Style"/>
          <w:sz w:val="24"/>
          <w:szCs w:val="24"/>
        </w:rPr>
        <w:t>Pembiayaan;</w:t>
      </w:r>
    </w:p>
    <w:p w14:paraId="2A37A425" w14:textId="53EAE8F3" w:rsidR="007F364F" w:rsidRPr="00207603" w:rsidRDefault="006E2F8F" w:rsidP="007D4940">
      <w:pPr>
        <w:pStyle w:val="ListParagraph"/>
        <w:numPr>
          <w:ilvl w:val="0"/>
          <w:numId w:val="223"/>
        </w:numPr>
        <w:snapToGrid w:val="0"/>
        <w:spacing w:before="60" w:after="0" w:line="276" w:lineRule="auto"/>
        <w:ind w:left="2694" w:hanging="426"/>
        <w:contextualSpacing w:val="0"/>
        <w:jc w:val="both"/>
        <w:rPr>
          <w:rFonts w:ascii="Bookman Old Style" w:hAnsi="Bookman Old Style" w:cs="Arial"/>
          <w:sz w:val="24"/>
          <w:szCs w:val="24"/>
          <w:lang w:val="sv-FI"/>
        </w:rPr>
      </w:pPr>
      <w:r w:rsidRPr="006D61F3">
        <w:rPr>
          <w:rFonts w:ascii="Bookman Old Style" w:hAnsi="Bookman Old Style"/>
          <w:sz w:val="24"/>
          <w:szCs w:val="24"/>
        </w:rPr>
        <w:t>Lampiran</w:t>
      </w:r>
      <w:r w:rsidR="00A954D0">
        <w:rPr>
          <w:rFonts w:ascii="Bookman Old Style" w:hAnsi="Bookman Old Style"/>
          <w:sz w:val="24"/>
          <w:szCs w:val="24"/>
        </w:rPr>
        <w:t xml:space="preserve"> </w:t>
      </w:r>
      <w:r w:rsidRPr="006D61F3">
        <w:rPr>
          <w:rFonts w:ascii="Bookman Old Style" w:hAnsi="Bookman Old Style"/>
          <w:sz w:val="24"/>
          <w:szCs w:val="24"/>
        </w:rPr>
        <w:t>X</w:t>
      </w:r>
      <w:r w:rsidR="00A954D0">
        <w:rPr>
          <w:rFonts w:ascii="Bookman Old Style" w:hAnsi="Bookman Old Style"/>
          <w:sz w:val="24"/>
          <w:szCs w:val="24"/>
        </w:rPr>
        <w:t xml:space="preserve"> </w:t>
      </w:r>
      <w:r w:rsidRPr="006D61F3">
        <w:rPr>
          <w:rFonts w:ascii="Bookman Old Style" w:hAnsi="Bookman Old Style"/>
          <w:sz w:val="24"/>
          <w:szCs w:val="24"/>
        </w:rPr>
        <w:t>Sinkronisasi</w:t>
      </w:r>
      <w:r w:rsidR="00A954D0">
        <w:rPr>
          <w:rFonts w:ascii="Bookman Old Style" w:hAnsi="Bookman Old Style"/>
          <w:sz w:val="24"/>
          <w:szCs w:val="24"/>
        </w:rPr>
        <w:t xml:space="preserve"> </w:t>
      </w:r>
      <w:r w:rsidRPr="006D61F3">
        <w:rPr>
          <w:rFonts w:ascii="Bookman Old Style" w:hAnsi="Bookman Old Style"/>
          <w:sz w:val="24"/>
          <w:szCs w:val="24"/>
        </w:rPr>
        <w:t>Kebijakan</w:t>
      </w:r>
      <w:r w:rsidR="00A954D0">
        <w:rPr>
          <w:rFonts w:ascii="Bookman Old Style" w:hAnsi="Bookman Old Style"/>
          <w:sz w:val="24"/>
          <w:szCs w:val="24"/>
        </w:rPr>
        <w:t xml:space="preserve"> </w:t>
      </w:r>
      <w:r w:rsidRPr="006D61F3">
        <w:rPr>
          <w:rFonts w:ascii="Bookman Old Style" w:hAnsi="Bookman Old Style"/>
          <w:sz w:val="24"/>
          <w:szCs w:val="24"/>
        </w:rPr>
        <w:t>Pemerintah</w:t>
      </w:r>
      <w:r w:rsidR="00A954D0">
        <w:rPr>
          <w:rFonts w:ascii="Bookman Old Style" w:hAnsi="Bookman Old Style"/>
          <w:sz w:val="24"/>
          <w:szCs w:val="24"/>
        </w:rPr>
        <w:t xml:space="preserve"> </w:t>
      </w:r>
      <w:r w:rsidRPr="006D61F3">
        <w:rPr>
          <w:rFonts w:ascii="Bookman Old Style" w:hAnsi="Bookman Old Style"/>
          <w:sz w:val="24"/>
          <w:szCs w:val="24"/>
        </w:rPr>
        <w:t>Provinsi/Kota</w:t>
      </w:r>
      <w:r w:rsidR="00A954D0">
        <w:rPr>
          <w:rFonts w:ascii="Bookman Old Style" w:hAnsi="Bookman Old Style"/>
          <w:sz w:val="24"/>
          <w:szCs w:val="24"/>
        </w:rPr>
        <w:t xml:space="preserve"> </w:t>
      </w:r>
      <w:r w:rsidRPr="006D61F3">
        <w:rPr>
          <w:rFonts w:ascii="Bookman Old Style" w:hAnsi="Bookman Old Style"/>
          <w:sz w:val="24"/>
          <w:szCs w:val="24"/>
        </w:rPr>
        <w:t>pada</w:t>
      </w:r>
      <w:r w:rsidR="00A954D0">
        <w:rPr>
          <w:rFonts w:ascii="Bookman Old Style" w:hAnsi="Bookman Old Style"/>
          <w:sz w:val="24"/>
          <w:szCs w:val="24"/>
        </w:rPr>
        <w:t xml:space="preserve"> </w:t>
      </w:r>
      <w:r w:rsidRPr="006D61F3">
        <w:rPr>
          <w:rFonts w:ascii="Bookman Old Style" w:hAnsi="Bookman Old Style"/>
          <w:sz w:val="24"/>
          <w:szCs w:val="24"/>
        </w:rPr>
        <w:t>Daerah</w:t>
      </w:r>
      <w:r w:rsidR="00A954D0">
        <w:rPr>
          <w:rFonts w:ascii="Bookman Old Style" w:hAnsi="Bookman Old Style"/>
          <w:sz w:val="24"/>
          <w:szCs w:val="24"/>
        </w:rPr>
        <w:t xml:space="preserve"> </w:t>
      </w:r>
      <w:r w:rsidRPr="006D61F3">
        <w:rPr>
          <w:rFonts w:ascii="Bookman Old Style" w:hAnsi="Bookman Old Style"/>
          <w:sz w:val="24"/>
          <w:szCs w:val="24"/>
        </w:rPr>
        <w:t>Perbatasan</w:t>
      </w:r>
      <w:r w:rsidR="00A954D0">
        <w:rPr>
          <w:rFonts w:ascii="Bookman Old Style" w:hAnsi="Bookman Old Style"/>
          <w:sz w:val="24"/>
          <w:szCs w:val="24"/>
        </w:rPr>
        <w:t xml:space="preserve"> </w:t>
      </w:r>
      <w:r w:rsidRPr="006D61F3">
        <w:rPr>
          <w:rFonts w:ascii="Bookman Old Style" w:hAnsi="Bookman Old Style"/>
          <w:sz w:val="24"/>
          <w:szCs w:val="24"/>
        </w:rPr>
        <w:t>Dalam</w:t>
      </w:r>
      <w:r w:rsidR="00A954D0">
        <w:rPr>
          <w:rFonts w:ascii="Bookman Old Style" w:hAnsi="Bookman Old Style"/>
          <w:sz w:val="24"/>
          <w:szCs w:val="24"/>
        </w:rPr>
        <w:t xml:space="preserve"> </w:t>
      </w:r>
      <w:r w:rsidRPr="006D61F3">
        <w:rPr>
          <w:rFonts w:ascii="Bookman Old Style" w:hAnsi="Bookman Old Style"/>
          <w:sz w:val="24"/>
          <w:szCs w:val="24"/>
        </w:rPr>
        <w:t>Rancangan</w:t>
      </w:r>
      <w:r w:rsidR="00A954D0">
        <w:rPr>
          <w:rFonts w:ascii="Bookman Old Style" w:hAnsi="Bookman Old Style"/>
          <w:sz w:val="24"/>
          <w:szCs w:val="24"/>
        </w:rPr>
        <w:t xml:space="preserve"> </w:t>
      </w:r>
      <w:r w:rsidRPr="006D61F3">
        <w:rPr>
          <w:rFonts w:ascii="Bookman Old Style" w:hAnsi="Bookman Old Style"/>
          <w:sz w:val="24"/>
          <w:szCs w:val="24"/>
        </w:rPr>
        <w:t>Perda</w:t>
      </w:r>
      <w:r w:rsidR="00A954D0">
        <w:rPr>
          <w:rFonts w:ascii="Bookman Old Style" w:hAnsi="Bookman Old Style"/>
          <w:sz w:val="24"/>
          <w:szCs w:val="24"/>
        </w:rPr>
        <w:t xml:space="preserve"> </w:t>
      </w:r>
      <w:r w:rsidRPr="006D61F3">
        <w:rPr>
          <w:rFonts w:ascii="Bookman Old Style" w:hAnsi="Bookman Old Style"/>
          <w:sz w:val="24"/>
          <w:szCs w:val="24"/>
        </w:rPr>
        <w:t>tentang</w:t>
      </w:r>
      <w:r w:rsidR="00A954D0">
        <w:rPr>
          <w:rFonts w:ascii="Bookman Old Style" w:hAnsi="Bookman Old Style"/>
          <w:sz w:val="24"/>
          <w:szCs w:val="24"/>
        </w:rPr>
        <w:t xml:space="preserve"> </w:t>
      </w:r>
      <w:r w:rsidRPr="006D61F3">
        <w:rPr>
          <w:rFonts w:ascii="Bookman Old Style" w:hAnsi="Bookman Old Style"/>
          <w:sz w:val="24"/>
          <w:szCs w:val="24"/>
        </w:rPr>
        <w:t>APBD</w:t>
      </w:r>
      <w:r w:rsidR="00A954D0">
        <w:rPr>
          <w:rFonts w:ascii="Bookman Old Style" w:hAnsi="Bookman Old Style"/>
          <w:sz w:val="24"/>
          <w:szCs w:val="24"/>
        </w:rPr>
        <w:t xml:space="preserve"> </w:t>
      </w:r>
      <w:r w:rsidRPr="006D61F3">
        <w:rPr>
          <w:rFonts w:ascii="Bookman Old Style" w:hAnsi="Bookman Old Style"/>
          <w:sz w:val="24"/>
          <w:szCs w:val="24"/>
        </w:rPr>
        <w:t>dan</w:t>
      </w:r>
      <w:r w:rsidR="00A954D0">
        <w:rPr>
          <w:rFonts w:ascii="Bookman Old Style" w:hAnsi="Bookman Old Style"/>
          <w:sz w:val="24"/>
          <w:szCs w:val="24"/>
        </w:rPr>
        <w:t xml:space="preserve"> </w:t>
      </w:r>
      <w:r w:rsidRPr="006D61F3">
        <w:rPr>
          <w:rFonts w:ascii="Bookman Old Style" w:hAnsi="Bookman Old Style"/>
          <w:sz w:val="24"/>
          <w:szCs w:val="24"/>
        </w:rPr>
        <w:t>Rancangan</w:t>
      </w:r>
      <w:r w:rsidR="00A954D0">
        <w:rPr>
          <w:rFonts w:ascii="Bookman Old Style" w:hAnsi="Bookman Old Style"/>
          <w:sz w:val="24"/>
          <w:szCs w:val="24"/>
        </w:rPr>
        <w:t xml:space="preserve"> </w:t>
      </w:r>
      <w:r w:rsidRPr="006D61F3">
        <w:rPr>
          <w:rFonts w:ascii="Bookman Old Style" w:hAnsi="Bookman Old Style"/>
          <w:sz w:val="24"/>
          <w:szCs w:val="24"/>
        </w:rPr>
        <w:t>Perkada</w:t>
      </w:r>
      <w:r w:rsidR="00A954D0">
        <w:rPr>
          <w:rFonts w:ascii="Bookman Old Style" w:hAnsi="Bookman Old Style"/>
          <w:sz w:val="24"/>
          <w:szCs w:val="24"/>
        </w:rPr>
        <w:t xml:space="preserve"> </w:t>
      </w:r>
      <w:r w:rsidRPr="006D61F3">
        <w:rPr>
          <w:rFonts w:ascii="Bookman Old Style" w:hAnsi="Bookman Old Style"/>
          <w:sz w:val="24"/>
          <w:szCs w:val="24"/>
        </w:rPr>
        <w:t>tentang</w:t>
      </w:r>
      <w:r w:rsidR="00A954D0">
        <w:rPr>
          <w:rFonts w:ascii="Bookman Old Style" w:hAnsi="Bookman Old Style"/>
          <w:sz w:val="24"/>
          <w:szCs w:val="24"/>
        </w:rPr>
        <w:t xml:space="preserve"> </w:t>
      </w:r>
      <w:r w:rsidRPr="006D61F3">
        <w:rPr>
          <w:rFonts w:ascii="Bookman Old Style" w:hAnsi="Bookman Old Style"/>
          <w:sz w:val="24"/>
          <w:szCs w:val="24"/>
        </w:rPr>
        <w:t>Penjabaran</w:t>
      </w:r>
      <w:r w:rsidR="00A954D0">
        <w:rPr>
          <w:rFonts w:ascii="Bookman Old Style" w:hAnsi="Bookman Old Style"/>
          <w:sz w:val="24"/>
          <w:szCs w:val="24"/>
        </w:rPr>
        <w:t xml:space="preserve"> </w:t>
      </w:r>
      <w:r w:rsidRPr="006D61F3">
        <w:rPr>
          <w:rFonts w:ascii="Bookman Old Style" w:hAnsi="Bookman Old Style"/>
          <w:sz w:val="24"/>
          <w:szCs w:val="24"/>
        </w:rPr>
        <w:t>APBD</w:t>
      </w:r>
      <w:r w:rsidR="00A954D0">
        <w:rPr>
          <w:rFonts w:ascii="Bookman Old Style" w:hAnsi="Bookman Old Style"/>
          <w:sz w:val="24"/>
          <w:szCs w:val="24"/>
        </w:rPr>
        <w:t xml:space="preserve"> </w:t>
      </w:r>
      <w:r w:rsidRPr="006D61F3">
        <w:rPr>
          <w:rFonts w:ascii="Bookman Old Style" w:hAnsi="Bookman Old Style"/>
          <w:sz w:val="24"/>
          <w:szCs w:val="24"/>
        </w:rPr>
        <w:t>dengan</w:t>
      </w:r>
      <w:r w:rsidR="00A954D0">
        <w:rPr>
          <w:rFonts w:ascii="Bookman Old Style" w:hAnsi="Bookman Old Style"/>
          <w:sz w:val="24"/>
          <w:szCs w:val="24"/>
        </w:rPr>
        <w:t xml:space="preserve"> </w:t>
      </w:r>
      <w:r w:rsidRPr="006D61F3">
        <w:rPr>
          <w:rFonts w:ascii="Bookman Old Style" w:hAnsi="Bookman Old Style"/>
          <w:sz w:val="24"/>
          <w:szCs w:val="24"/>
        </w:rPr>
        <w:t>Program</w:t>
      </w:r>
      <w:r w:rsidR="00A954D0">
        <w:rPr>
          <w:rFonts w:ascii="Bookman Old Style" w:hAnsi="Bookman Old Style"/>
          <w:sz w:val="24"/>
          <w:szCs w:val="24"/>
        </w:rPr>
        <w:t xml:space="preserve"> </w:t>
      </w:r>
      <w:r w:rsidRPr="006D61F3">
        <w:rPr>
          <w:rFonts w:ascii="Bookman Old Style" w:hAnsi="Bookman Old Style"/>
          <w:sz w:val="24"/>
          <w:szCs w:val="24"/>
        </w:rPr>
        <w:t>Prioritas</w:t>
      </w:r>
      <w:r w:rsidR="00A954D0">
        <w:rPr>
          <w:rFonts w:ascii="Bookman Old Style" w:hAnsi="Bookman Old Style"/>
          <w:sz w:val="24"/>
          <w:szCs w:val="24"/>
        </w:rPr>
        <w:t xml:space="preserve"> </w:t>
      </w:r>
      <w:r w:rsidRPr="006D61F3">
        <w:rPr>
          <w:rFonts w:ascii="Bookman Old Style" w:hAnsi="Bookman Old Style"/>
          <w:sz w:val="24"/>
          <w:szCs w:val="24"/>
        </w:rPr>
        <w:t>Perbatasan</w:t>
      </w:r>
      <w:r w:rsidR="00A954D0">
        <w:rPr>
          <w:rFonts w:ascii="Bookman Old Style" w:hAnsi="Bookman Old Style"/>
          <w:sz w:val="24"/>
          <w:szCs w:val="24"/>
        </w:rPr>
        <w:t xml:space="preserve"> </w:t>
      </w:r>
      <w:r w:rsidRPr="006D61F3">
        <w:rPr>
          <w:rFonts w:ascii="Bookman Old Style" w:hAnsi="Bookman Old Style"/>
          <w:sz w:val="24"/>
          <w:szCs w:val="24"/>
        </w:rPr>
        <w:t>Negara.</w:t>
      </w:r>
    </w:p>
    <w:p w14:paraId="14D8A138" w14:textId="77777777" w:rsidR="00207603" w:rsidRPr="003255BC" w:rsidRDefault="00207603" w:rsidP="00207603">
      <w:pPr>
        <w:pStyle w:val="ListParagraph"/>
        <w:snapToGrid w:val="0"/>
        <w:spacing w:before="60" w:after="0" w:line="276" w:lineRule="auto"/>
        <w:ind w:left="2694"/>
        <w:contextualSpacing w:val="0"/>
        <w:jc w:val="both"/>
        <w:rPr>
          <w:rFonts w:ascii="Bookman Old Style" w:hAnsi="Bookman Old Style" w:cs="Arial"/>
          <w:sz w:val="24"/>
          <w:szCs w:val="24"/>
          <w:lang w:val="sv-FI"/>
        </w:rPr>
      </w:pPr>
    </w:p>
    <w:p w14:paraId="390FB3C1" w14:textId="244916D9" w:rsidR="007F364F" w:rsidRPr="00296283" w:rsidRDefault="007F364F" w:rsidP="00727324">
      <w:pPr>
        <w:pStyle w:val="ListParagraph"/>
        <w:spacing w:before="60" w:after="0" w:line="276" w:lineRule="auto"/>
        <w:ind w:left="1701"/>
        <w:contextualSpacing w:val="0"/>
        <w:jc w:val="both"/>
        <w:rPr>
          <w:rFonts w:ascii="Bookman Old Style" w:hAnsi="Bookman Old Style" w:cs="Arial"/>
          <w:sz w:val="24"/>
          <w:szCs w:val="24"/>
          <w:lang w:val="sv-FI"/>
        </w:rPr>
      </w:pPr>
    </w:p>
    <w:p w14:paraId="52595FE3" w14:textId="2AA742FD" w:rsidR="009104DD" w:rsidRPr="00296283" w:rsidRDefault="00C74D87" w:rsidP="007D4940">
      <w:pPr>
        <w:numPr>
          <w:ilvl w:val="0"/>
          <w:numId w:val="8"/>
        </w:numPr>
        <w:spacing w:before="60" w:line="276" w:lineRule="auto"/>
        <w:ind w:left="993" w:hanging="426"/>
        <w:jc w:val="both"/>
        <w:rPr>
          <w:rFonts w:ascii="Bookman Old Style" w:hAnsi="Bookman Old Style" w:cs="Arial"/>
          <w:color w:val="000000" w:themeColor="text1"/>
          <w:lang w:val="en-GB"/>
        </w:rPr>
      </w:pPr>
      <w:r w:rsidRPr="00296283">
        <w:rPr>
          <w:rFonts w:ascii="Bookman Old Style" w:hAnsi="Bookman Old Style" w:cs="Arial"/>
          <w:color w:val="000000" w:themeColor="text1"/>
          <w:lang w:val="en-GB"/>
        </w:rPr>
        <w:lastRenderedPageBreak/>
        <w:t>ASPEK</w:t>
      </w:r>
      <w:r w:rsidR="00A954D0">
        <w:rPr>
          <w:rFonts w:ascii="Bookman Old Style" w:hAnsi="Bookman Old Style" w:cs="Arial"/>
          <w:color w:val="000000" w:themeColor="text1"/>
          <w:lang w:val="en-GB"/>
        </w:rPr>
        <w:t xml:space="preserve"> </w:t>
      </w:r>
      <w:r w:rsidR="009104DD" w:rsidRPr="00296283">
        <w:rPr>
          <w:rFonts w:ascii="Bookman Old Style" w:hAnsi="Bookman Old Style" w:cs="Arial"/>
          <w:color w:val="000000" w:themeColor="text1"/>
          <w:lang w:val="en-GB"/>
        </w:rPr>
        <w:t>LAIN-LAIN</w:t>
      </w:r>
      <w:r w:rsidR="00A954D0">
        <w:rPr>
          <w:rFonts w:ascii="Bookman Old Style" w:hAnsi="Bookman Old Style" w:cs="Arial"/>
          <w:color w:val="000000" w:themeColor="text1"/>
          <w:lang w:val="en-GB"/>
        </w:rPr>
        <w:t xml:space="preserve"> </w:t>
      </w:r>
    </w:p>
    <w:p w14:paraId="7C8CA1B3" w14:textId="7B58A522" w:rsidR="004A158E" w:rsidRPr="00F95768" w:rsidRDefault="004A158E" w:rsidP="007D4940">
      <w:pPr>
        <w:pStyle w:val="ListParagraph"/>
        <w:numPr>
          <w:ilvl w:val="1"/>
          <w:numId w:val="172"/>
        </w:numPr>
        <w:spacing w:before="60" w:line="276" w:lineRule="auto"/>
        <w:ind w:left="1276" w:hanging="283"/>
        <w:jc w:val="both"/>
        <w:rPr>
          <w:rFonts w:ascii="Bookman Old Style" w:hAnsi="Bookman Old Style"/>
          <w:sz w:val="24"/>
          <w:szCs w:val="24"/>
          <w:lang w:val="es-BO"/>
        </w:rPr>
      </w:pPr>
      <w:r w:rsidRPr="00F95768">
        <w:rPr>
          <w:rFonts w:ascii="Bookman Old Style" w:hAnsi="Bookman Old Style"/>
          <w:sz w:val="24"/>
          <w:szCs w:val="24"/>
          <w:lang w:val="es-BO"/>
        </w:rPr>
        <w:t>Lampiran</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XII</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Rancangan</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Peraturan</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Daerah</w:t>
      </w:r>
      <w:r w:rsidR="00A954D0">
        <w:rPr>
          <w:rFonts w:ascii="Bookman Old Style" w:hAnsi="Bookman Old Style"/>
          <w:sz w:val="24"/>
          <w:szCs w:val="24"/>
          <w:lang w:val="es-BO"/>
        </w:rPr>
        <w:t xml:space="preserve"> </w:t>
      </w:r>
      <w:r w:rsidRPr="004A158E">
        <w:rPr>
          <w:rFonts w:ascii="Bookman Old Style" w:hAnsi="Bookman Old Style"/>
          <w:sz w:val="24"/>
          <w:szCs w:val="24"/>
          <w:lang w:val="en-ID"/>
        </w:rPr>
        <w:t>tentang</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Perubahan</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Anggaran</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Pendapatan</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dan</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Belanja</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Daerah</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TA.</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202</w:t>
      </w:r>
      <w:r>
        <w:rPr>
          <w:rFonts w:ascii="Bookman Old Style" w:hAnsi="Bookman Old Style"/>
          <w:sz w:val="24"/>
          <w:szCs w:val="24"/>
          <w:lang w:val="es-BO"/>
        </w:rPr>
        <w:t>5</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mencantumkan</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Hasil</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Pengelolaan</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Kekayaan</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Daerah</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Yang</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Dipisahkan</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dari</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bagian</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laba</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yang</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dibagikan</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kepada</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Pemerintah</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Daerah</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(dividen)</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atas</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penyertaan</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modal</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pada</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BUMD</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sebesar</w:t>
      </w:r>
      <w:r w:rsidR="00A954D0">
        <w:rPr>
          <w:rFonts w:ascii="Bookman Old Style" w:hAnsi="Bookman Old Style"/>
          <w:sz w:val="24"/>
          <w:szCs w:val="24"/>
          <w:lang w:val="es-BO"/>
        </w:rPr>
        <w:t xml:space="preserve"> </w:t>
      </w:r>
      <w:r w:rsidR="00EF5FD0" w:rsidRPr="00EF5FD0">
        <w:rPr>
          <w:rFonts w:ascii="Bookman Old Style" w:hAnsi="Bookman Old Style"/>
          <w:sz w:val="24"/>
          <w:szCs w:val="24"/>
          <w:lang w:val="es-BO"/>
        </w:rPr>
        <w:t>Rp</w:t>
      </w:r>
      <w:r w:rsidR="00685074">
        <w:rPr>
          <w:rFonts w:ascii="Bookman Old Style" w:hAnsi="Bookman Old Style"/>
          <w:sz w:val="24"/>
          <w:szCs w:val="24"/>
          <w:lang w:val="es-BO"/>
        </w:rPr>
        <w:t>15.723.830.122,00</w:t>
      </w:r>
      <w:r>
        <w:rPr>
          <w:rFonts w:ascii="Bookman Old Style" w:hAnsi="Bookman Old Style"/>
          <w:sz w:val="24"/>
          <w:szCs w:val="24"/>
          <w:lang w:val="es-BO"/>
        </w:rPr>
        <w:t>.</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Hal</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ini</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tidak</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sesuai</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dengan</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Lampiran</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I</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Rancangan</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Peraturan</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Daerah</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tentang</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Perubahan</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Anggaran</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Pendapatan</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dan</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Belanja</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Daerah</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Tahun</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Anggaran</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202</w:t>
      </w:r>
      <w:r>
        <w:rPr>
          <w:rFonts w:ascii="Bookman Old Style" w:hAnsi="Bookman Old Style"/>
          <w:sz w:val="24"/>
          <w:szCs w:val="24"/>
          <w:lang w:val="es-BO"/>
        </w:rPr>
        <w:t>5</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mencantumkan</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Hasil</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Pengelolaan</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Kekayaan</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Daerah</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Yang</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Dipisahkan</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dari</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bagian</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laba</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yang</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dibagikan</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kepada</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Pemerintah</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Daerah</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(dividen)</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atas</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penyertaan</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modal</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pada</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BUMD</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sebesar</w:t>
      </w:r>
      <w:r w:rsidR="00A954D0">
        <w:rPr>
          <w:rFonts w:ascii="Bookman Old Style" w:hAnsi="Bookman Old Style"/>
          <w:sz w:val="24"/>
          <w:szCs w:val="24"/>
          <w:lang w:val="es-BO"/>
        </w:rPr>
        <w:t xml:space="preserve"> </w:t>
      </w:r>
      <w:r>
        <w:rPr>
          <w:rFonts w:ascii="Bookman Old Style" w:hAnsi="Bookman Old Style"/>
          <w:sz w:val="24"/>
          <w:szCs w:val="24"/>
          <w:lang w:val="es-BO"/>
        </w:rPr>
        <w:t>Rp</w:t>
      </w:r>
      <w:r w:rsidR="00685074" w:rsidRPr="00EF5FD0">
        <w:rPr>
          <w:rFonts w:ascii="Bookman Old Style" w:hAnsi="Bookman Old Style"/>
          <w:sz w:val="24"/>
          <w:szCs w:val="24"/>
          <w:lang w:val="es-BO"/>
        </w:rPr>
        <w:t>23.467.177.212,00</w:t>
      </w:r>
      <w:r w:rsidRPr="00F95768">
        <w:rPr>
          <w:rFonts w:ascii="Bookman Old Style" w:hAnsi="Bookman Old Style"/>
          <w:sz w:val="24"/>
          <w:szCs w:val="24"/>
          <w:lang w:val="es-BO"/>
        </w:rPr>
        <w:t>.</w:t>
      </w:r>
    </w:p>
    <w:p w14:paraId="69765AF7" w14:textId="58EBCC28" w:rsidR="004A158E" w:rsidRPr="003255BC" w:rsidRDefault="004A158E" w:rsidP="007D4940">
      <w:pPr>
        <w:pStyle w:val="ListParagraph"/>
        <w:spacing w:before="60" w:line="276" w:lineRule="auto"/>
        <w:ind w:left="1276"/>
        <w:jc w:val="both"/>
        <w:rPr>
          <w:rFonts w:ascii="Bookman Old Style" w:hAnsi="Bookman Old Style"/>
          <w:sz w:val="24"/>
          <w:szCs w:val="24"/>
          <w:lang w:val="sv-FI"/>
        </w:rPr>
      </w:pPr>
      <w:r w:rsidRPr="00F95768">
        <w:rPr>
          <w:rFonts w:ascii="Bookman Old Style" w:hAnsi="Bookman Old Style"/>
          <w:sz w:val="24"/>
          <w:szCs w:val="24"/>
          <w:lang w:val="es-BO"/>
        </w:rPr>
        <w:t>Sehubungan</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dengan</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hal</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tersebut</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agar</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diperbaiki</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sebagaimana</w:t>
      </w:r>
      <w:r w:rsidR="00A954D0">
        <w:rPr>
          <w:rFonts w:ascii="Bookman Old Style" w:hAnsi="Bookman Old Style"/>
          <w:sz w:val="24"/>
          <w:szCs w:val="24"/>
          <w:lang w:val="es-BO"/>
        </w:rPr>
        <w:t xml:space="preserve"> </w:t>
      </w:r>
      <w:r w:rsidRPr="00F95768">
        <w:rPr>
          <w:rFonts w:ascii="Bookman Old Style" w:hAnsi="Bookman Old Style"/>
          <w:sz w:val="24"/>
          <w:szCs w:val="24"/>
          <w:lang w:val="es-BO"/>
        </w:rPr>
        <w:t>semestinya.</w:t>
      </w:r>
    </w:p>
    <w:p w14:paraId="2B660403" w14:textId="1CE39941" w:rsidR="00965EA4" w:rsidRPr="003255BC" w:rsidRDefault="00965EA4" w:rsidP="007D4940">
      <w:pPr>
        <w:pStyle w:val="ListParagraph"/>
        <w:numPr>
          <w:ilvl w:val="1"/>
          <w:numId w:val="172"/>
        </w:numPr>
        <w:spacing w:before="60" w:line="276" w:lineRule="auto"/>
        <w:ind w:left="1276" w:hanging="283"/>
        <w:jc w:val="both"/>
        <w:rPr>
          <w:rFonts w:ascii="Bookman Old Style" w:hAnsi="Bookman Old Style"/>
          <w:sz w:val="24"/>
          <w:szCs w:val="24"/>
          <w:lang w:val="sv-FI"/>
        </w:rPr>
      </w:pPr>
      <w:r w:rsidRPr="003255BC">
        <w:rPr>
          <w:rFonts w:ascii="Bookman Old Style" w:hAnsi="Bookman Old Style"/>
          <w:sz w:val="24"/>
          <w:szCs w:val="24"/>
          <w:lang w:val="sv-FI"/>
        </w:rPr>
        <w:t>Pemerintah</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Kota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Tangerang</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agar</w:t>
      </w:r>
      <w:r w:rsidR="00A954D0" w:rsidRPr="003255BC">
        <w:rPr>
          <w:rFonts w:ascii="Bookman Old Style" w:hAnsi="Bookman Old Style"/>
          <w:sz w:val="24"/>
          <w:szCs w:val="24"/>
          <w:lang w:val="sv-FI"/>
        </w:rPr>
        <w:t xml:space="preserve"> </w:t>
      </w:r>
      <w:r w:rsidR="00DD7816" w:rsidRPr="003255BC">
        <w:rPr>
          <w:rFonts w:ascii="Bookman Old Style" w:hAnsi="Bookman Old Style"/>
          <w:sz w:val="24"/>
          <w:szCs w:val="24"/>
          <w:lang w:val="sv-FI"/>
        </w:rPr>
        <w:t>memperbaiki</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Lampiran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IIIa</w:t>
      </w:r>
      <w:r w:rsidR="00A954D0" w:rsidRPr="003255BC">
        <w:rPr>
          <w:rFonts w:ascii="Bookman Old Style" w:hAnsi="Bookman Old Style"/>
          <w:sz w:val="24"/>
          <w:szCs w:val="24"/>
          <w:lang w:val="sv-FI"/>
        </w:rPr>
        <w:t xml:space="preserve"> </w:t>
      </w:r>
      <w:r w:rsidRPr="00296283">
        <w:rPr>
          <w:rFonts w:ascii="Bookman Old Style" w:hAnsi="Bookman Old Style"/>
          <w:sz w:val="24"/>
          <w:szCs w:val="24"/>
        </w:rPr>
        <w:t>Rancangan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Peraturan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Wali</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Kota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Tangerang</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tentang</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Penjabaran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APBD</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Tahun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Anggaran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2025</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untuk</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menambahkan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rincian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nama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dan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alamat</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calon</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penerima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hibah</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berupa</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uang,</w:t>
      </w:r>
      <w:r w:rsidR="00A954D0" w:rsidRPr="003255BC">
        <w:rPr>
          <w:rFonts w:ascii="Bookman Old Style" w:hAnsi="Bookman Old Style"/>
          <w:sz w:val="24"/>
          <w:szCs w:val="24"/>
          <w:lang w:val="sv-FI"/>
        </w:rPr>
        <w:t xml:space="preserve"> </w:t>
      </w:r>
      <w:r w:rsidR="00DD7816" w:rsidRPr="003255BC">
        <w:rPr>
          <w:rFonts w:ascii="Bookman Old Style" w:hAnsi="Bookman Old Style"/>
          <w:sz w:val="24"/>
          <w:szCs w:val="24"/>
          <w:lang w:val="sv-FI"/>
        </w:rPr>
        <w:t>antara</w:t>
      </w:r>
      <w:r w:rsidR="00A954D0" w:rsidRPr="003255BC">
        <w:rPr>
          <w:rFonts w:ascii="Bookman Old Style" w:hAnsi="Bookman Old Style"/>
          <w:sz w:val="24"/>
          <w:szCs w:val="24"/>
          <w:lang w:val="sv-FI"/>
        </w:rPr>
        <w:t xml:space="preserve"> </w:t>
      </w:r>
      <w:r w:rsidR="00DD7816" w:rsidRPr="003255BC">
        <w:rPr>
          <w:rFonts w:ascii="Bookman Old Style" w:hAnsi="Bookman Old Style"/>
          <w:sz w:val="24"/>
          <w:szCs w:val="24"/>
          <w:lang w:val="sv-FI"/>
        </w:rPr>
        <w:t>lain</w:t>
      </w:r>
      <w:r w:rsidRPr="003255BC">
        <w:rPr>
          <w:rFonts w:ascii="Bookman Old Style" w:hAnsi="Bookman Old Style"/>
          <w:sz w:val="24"/>
          <w:szCs w:val="24"/>
          <w:lang w:val="sv-FI"/>
        </w:rPr>
        <w:t>:</w:t>
      </w:r>
    </w:p>
    <w:p w14:paraId="03B49EB1" w14:textId="009071D5" w:rsidR="00965EA4" w:rsidRPr="00256727" w:rsidRDefault="00965EA4" w:rsidP="007D4940">
      <w:pPr>
        <w:pStyle w:val="ListParagraph"/>
        <w:numPr>
          <w:ilvl w:val="0"/>
          <w:numId w:val="246"/>
        </w:numPr>
        <w:spacing w:before="60" w:line="276" w:lineRule="auto"/>
        <w:ind w:left="1701" w:hanging="425"/>
        <w:jc w:val="both"/>
        <w:rPr>
          <w:rFonts w:ascii="Bookman Old Style" w:hAnsi="Bookman Old Style"/>
          <w:sz w:val="24"/>
          <w:szCs w:val="24"/>
          <w:lang w:val="sv-FI"/>
        </w:rPr>
      </w:pPr>
      <w:r w:rsidRPr="00256727">
        <w:rPr>
          <w:rFonts w:ascii="Bookman Old Style" w:hAnsi="Bookman Old Style"/>
          <w:sz w:val="24"/>
          <w:szCs w:val="24"/>
          <w:lang w:val="sv-FI"/>
        </w:rPr>
        <w:t>Dinas</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Pendidikan,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Sub</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Kegiatan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Pembinaan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Kelembagaan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dan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Manajemen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Sekolah</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pada</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Nomor</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urut</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21,</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CPCL</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Kosong,</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Rp1.000.000.000,00;</w:t>
      </w:r>
    </w:p>
    <w:p w14:paraId="4338973C" w14:textId="0A8A0ABF" w:rsidR="00965EA4" w:rsidRPr="00256727" w:rsidRDefault="00965EA4" w:rsidP="007D4940">
      <w:pPr>
        <w:pStyle w:val="ListParagraph"/>
        <w:numPr>
          <w:ilvl w:val="0"/>
          <w:numId w:val="246"/>
        </w:numPr>
        <w:spacing w:before="60" w:line="276" w:lineRule="auto"/>
        <w:ind w:left="1701" w:hanging="425"/>
        <w:jc w:val="both"/>
        <w:rPr>
          <w:rFonts w:ascii="Bookman Old Style" w:hAnsi="Bookman Old Style"/>
          <w:sz w:val="24"/>
          <w:szCs w:val="24"/>
          <w:lang w:val="sv-FI"/>
        </w:rPr>
      </w:pPr>
      <w:r w:rsidRPr="00256727">
        <w:rPr>
          <w:rFonts w:ascii="Bookman Old Style" w:hAnsi="Bookman Old Style"/>
          <w:sz w:val="24"/>
          <w:szCs w:val="24"/>
          <w:lang w:val="sv-FI"/>
        </w:rPr>
        <w:t>Dinas</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Pendidikan,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Sub</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Kegiatan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Pengelolaan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Dana</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BOS</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Sekolah</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Dasar,</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pada:</w:t>
      </w:r>
    </w:p>
    <w:p w14:paraId="6D0EB5B5" w14:textId="4C84553E" w:rsidR="00965EA4" w:rsidRPr="00256727" w:rsidRDefault="00965EA4" w:rsidP="007D4940">
      <w:pPr>
        <w:pStyle w:val="ListParagraph"/>
        <w:numPr>
          <w:ilvl w:val="3"/>
          <w:numId w:val="271"/>
        </w:numPr>
        <w:spacing w:before="60" w:line="276" w:lineRule="auto"/>
        <w:ind w:left="2268" w:hanging="567"/>
        <w:jc w:val="both"/>
        <w:rPr>
          <w:rFonts w:ascii="Bookman Old Style" w:hAnsi="Bookman Old Style"/>
          <w:sz w:val="24"/>
          <w:szCs w:val="24"/>
          <w:lang w:val="sv-FI"/>
        </w:rPr>
      </w:pPr>
      <w:r w:rsidRPr="00256727">
        <w:rPr>
          <w:rFonts w:ascii="Bookman Old Style" w:hAnsi="Bookman Old Style"/>
          <w:sz w:val="24"/>
          <w:szCs w:val="24"/>
          <w:lang w:val="sv-FI"/>
        </w:rPr>
        <w:t>Nomor</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urut</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690,</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SD</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SWASTA</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KOTA</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TANGERANG,</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Alamat:</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KOTA</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TANGERANG,</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Rp97.740.000,00</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w:t>
      </w:r>
      <w:r w:rsidR="00C62BFE" w:rsidRPr="00256727">
        <w:rPr>
          <w:rFonts w:ascii="Bookman Old Style" w:hAnsi="Bookman Old Style"/>
          <w:sz w:val="24"/>
          <w:szCs w:val="24"/>
          <w:lang w:val="sv-FI"/>
        </w:rPr>
        <w:t>belum</w:t>
      </w:r>
      <w:r w:rsidR="00A954D0" w:rsidRPr="00256727">
        <w:rPr>
          <w:rFonts w:ascii="Bookman Old Style" w:hAnsi="Bookman Old Style"/>
          <w:sz w:val="24"/>
          <w:szCs w:val="24"/>
          <w:lang w:val="sv-FI"/>
        </w:rPr>
        <w:t xml:space="preserve"> </w:t>
      </w:r>
      <w:r w:rsidR="00C62BFE" w:rsidRPr="00256727">
        <w:rPr>
          <w:rFonts w:ascii="Bookman Old Style" w:hAnsi="Bookman Old Style"/>
          <w:sz w:val="24"/>
          <w:szCs w:val="24"/>
          <w:lang w:val="sv-FI"/>
        </w:rPr>
        <w:t>dirinci</w:t>
      </w:r>
      <w:r w:rsidRPr="00256727">
        <w:rPr>
          <w:rFonts w:ascii="Bookman Old Style" w:hAnsi="Bookman Old Style"/>
          <w:sz w:val="24"/>
          <w:szCs w:val="24"/>
          <w:lang w:val="sv-FI"/>
        </w:rPr>
        <w:t>);</w:t>
      </w:r>
    </w:p>
    <w:p w14:paraId="685DC395" w14:textId="0EDCD72D" w:rsidR="00965EA4" w:rsidRPr="00256727" w:rsidRDefault="00965EA4" w:rsidP="007D4940">
      <w:pPr>
        <w:pStyle w:val="ListParagraph"/>
        <w:numPr>
          <w:ilvl w:val="3"/>
          <w:numId w:val="271"/>
        </w:numPr>
        <w:spacing w:before="60" w:line="276" w:lineRule="auto"/>
        <w:ind w:left="2268" w:hanging="567"/>
        <w:jc w:val="both"/>
        <w:rPr>
          <w:rFonts w:ascii="Bookman Old Style" w:hAnsi="Bookman Old Style"/>
          <w:sz w:val="24"/>
          <w:szCs w:val="24"/>
          <w:lang w:val="sv-FI"/>
        </w:rPr>
      </w:pPr>
      <w:r w:rsidRPr="00256727">
        <w:rPr>
          <w:rFonts w:ascii="Bookman Old Style" w:hAnsi="Bookman Old Style"/>
          <w:sz w:val="24"/>
          <w:szCs w:val="24"/>
          <w:lang w:val="sv-FI"/>
        </w:rPr>
        <w:t>Nomor</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urut</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691,</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SD</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SWASTA</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KOTA</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TANGERANG,</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Alamat:</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KOTA</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TANGERANG,</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Rp27.936.950.000,00</w:t>
      </w:r>
      <w:r w:rsidR="00DD7816" w:rsidRPr="00256727">
        <w:rPr>
          <w:rFonts w:ascii="Bookman Old Style" w:hAnsi="Bookman Old Style"/>
          <w:sz w:val="24"/>
          <w:szCs w:val="24"/>
          <w:lang w:val="sv-FI"/>
        </w:rPr>
        <w:t>.</w:t>
      </w:r>
    </w:p>
    <w:p w14:paraId="70251B72" w14:textId="035AE6B1" w:rsidR="00965EA4" w:rsidRPr="007D4940" w:rsidRDefault="00965EA4" w:rsidP="007D4940">
      <w:pPr>
        <w:pStyle w:val="ListParagraph"/>
        <w:numPr>
          <w:ilvl w:val="1"/>
          <w:numId w:val="172"/>
        </w:numPr>
        <w:spacing w:before="60" w:line="276" w:lineRule="auto"/>
        <w:ind w:left="1276" w:hanging="283"/>
        <w:jc w:val="both"/>
        <w:rPr>
          <w:rFonts w:ascii="Bookman Old Style" w:hAnsi="Bookman Old Style"/>
          <w:sz w:val="24"/>
          <w:szCs w:val="24"/>
          <w:lang w:val="sv-FI"/>
        </w:rPr>
      </w:pPr>
      <w:r w:rsidRPr="00256727">
        <w:rPr>
          <w:rFonts w:ascii="Bookman Old Style" w:hAnsi="Bookman Old Style"/>
          <w:sz w:val="24"/>
          <w:szCs w:val="24"/>
          <w:lang w:val="sv-FI"/>
        </w:rPr>
        <w:t>Pemerintah</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Kota</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Tangerang</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agar</w:t>
      </w:r>
      <w:r w:rsidR="00A954D0" w:rsidRPr="00256727">
        <w:rPr>
          <w:rFonts w:ascii="Bookman Old Style" w:hAnsi="Bookman Old Style"/>
          <w:sz w:val="24"/>
          <w:szCs w:val="24"/>
          <w:lang w:val="sv-FI"/>
        </w:rPr>
        <w:t xml:space="preserve"> </w:t>
      </w:r>
      <w:r w:rsidR="00DD7816" w:rsidRPr="00256727">
        <w:rPr>
          <w:rFonts w:ascii="Bookman Old Style" w:hAnsi="Bookman Old Style"/>
          <w:sz w:val="24"/>
          <w:szCs w:val="24"/>
          <w:lang w:val="sv-FI"/>
        </w:rPr>
        <w:t>memperbaiki</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Lampiran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IIIb</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Rancangan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Peraturan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Wali</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Kota</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Tangerang</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tentang</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Penjabaran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APBD</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Tahun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Anggaran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2025</w:t>
      </w:r>
      <w:r w:rsidR="00A954D0" w:rsidRPr="00256727">
        <w:rPr>
          <w:rFonts w:ascii="Bookman Old Style" w:hAnsi="Bookman Old Style"/>
          <w:sz w:val="24"/>
          <w:szCs w:val="24"/>
          <w:lang w:val="sv-FI"/>
        </w:rPr>
        <w:t xml:space="preserve"> </w:t>
      </w:r>
      <w:r w:rsidR="00DD7816" w:rsidRPr="00256727">
        <w:rPr>
          <w:rFonts w:ascii="Bookman Old Style" w:hAnsi="Bookman Old Style"/>
          <w:sz w:val="24"/>
          <w:szCs w:val="24"/>
          <w:lang w:val="sv-FI"/>
        </w:rPr>
        <w:t>dengan</w:t>
      </w:r>
      <w:r w:rsidR="00A954D0" w:rsidRPr="00256727">
        <w:rPr>
          <w:rFonts w:ascii="Bookman Old Style" w:hAnsi="Bookman Old Style"/>
          <w:sz w:val="24"/>
          <w:szCs w:val="24"/>
          <w:lang w:val="sv-FI"/>
        </w:rPr>
        <w:t xml:space="preserve"> </w:t>
      </w:r>
      <w:r w:rsidR="00DD7816" w:rsidRPr="00256727">
        <w:rPr>
          <w:rFonts w:ascii="Bookman Old Style" w:hAnsi="Bookman Old Style"/>
          <w:sz w:val="24"/>
          <w:szCs w:val="24"/>
          <w:lang w:val="sv-FI"/>
        </w:rPr>
        <w:t>tidak</w:t>
      </w:r>
      <w:r w:rsidR="00A954D0" w:rsidRPr="00256727">
        <w:rPr>
          <w:rFonts w:ascii="Bookman Old Style" w:hAnsi="Bookman Old Style"/>
          <w:sz w:val="24"/>
          <w:szCs w:val="24"/>
          <w:lang w:val="sv-FI"/>
        </w:rPr>
        <w:t xml:space="preserve"> </w:t>
      </w:r>
      <w:r w:rsidR="00DD7816" w:rsidRPr="00256727">
        <w:rPr>
          <w:rFonts w:ascii="Bookman Old Style" w:hAnsi="Bookman Old Style"/>
          <w:sz w:val="24"/>
          <w:szCs w:val="24"/>
          <w:lang w:val="sv-FI"/>
        </w:rPr>
        <w:t>mencantumkan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rencana</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pemberian</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hibah</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berupa</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barang</w:t>
      </w:r>
      <w:r w:rsidR="00A954D0" w:rsidRPr="00256727">
        <w:rPr>
          <w:rFonts w:ascii="Bookman Old Style" w:hAnsi="Bookman Old Style"/>
          <w:sz w:val="24"/>
          <w:szCs w:val="24"/>
          <w:lang w:val="sv-FI"/>
        </w:rPr>
        <w:t xml:space="preserve"> </w:t>
      </w:r>
      <w:r w:rsidR="00DD7816" w:rsidRPr="00256727">
        <w:rPr>
          <w:rFonts w:ascii="Bookman Old Style" w:hAnsi="Bookman Old Style"/>
          <w:sz w:val="24"/>
          <w:szCs w:val="24"/>
          <w:lang w:val="sv-FI"/>
        </w:rPr>
        <w:t>yang</w:t>
      </w:r>
      <w:r w:rsidR="00A954D0" w:rsidRPr="00256727">
        <w:rPr>
          <w:rFonts w:ascii="Bookman Old Style" w:hAnsi="Bookman Old Style"/>
          <w:sz w:val="24"/>
          <w:szCs w:val="24"/>
          <w:lang w:val="sv-FI"/>
        </w:rPr>
        <w:t xml:space="preserve"> </w:t>
      </w:r>
      <w:r w:rsidR="00DD7816" w:rsidRPr="00256727">
        <w:rPr>
          <w:rFonts w:ascii="Bookman Old Style" w:hAnsi="Bookman Old Style"/>
          <w:sz w:val="24"/>
          <w:szCs w:val="24"/>
          <w:lang w:val="sv-FI"/>
        </w:rPr>
        <w:t>tidak</w:t>
      </w:r>
      <w:r w:rsidR="00A954D0" w:rsidRPr="00256727">
        <w:rPr>
          <w:rFonts w:ascii="Bookman Old Style" w:hAnsi="Bookman Old Style"/>
          <w:sz w:val="24"/>
          <w:szCs w:val="24"/>
          <w:lang w:val="sv-FI"/>
        </w:rPr>
        <w:t xml:space="preserve"> </w:t>
      </w:r>
      <w:r w:rsidR="00DD7816" w:rsidRPr="00256727">
        <w:rPr>
          <w:rFonts w:ascii="Bookman Old Style" w:hAnsi="Bookman Old Style"/>
          <w:sz w:val="24"/>
          <w:szCs w:val="24"/>
          <w:lang w:val="sv-FI"/>
        </w:rPr>
        <w:t>tercantum</w:t>
      </w:r>
      <w:r w:rsidR="00A954D0" w:rsidRPr="00256727">
        <w:rPr>
          <w:rFonts w:ascii="Bookman Old Style" w:hAnsi="Bookman Old Style"/>
          <w:sz w:val="24"/>
          <w:szCs w:val="24"/>
          <w:lang w:val="sv-FI"/>
        </w:rPr>
        <w:t xml:space="preserve"> </w:t>
      </w:r>
      <w:r w:rsidR="00DD7816" w:rsidRPr="00256727">
        <w:rPr>
          <w:rFonts w:ascii="Bookman Old Style" w:hAnsi="Bookman Old Style"/>
          <w:sz w:val="24"/>
          <w:szCs w:val="24"/>
          <w:lang w:val="sv-FI"/>
        </w:rPr>
        <w:t>nilainya</w:t>
      </w:r>
      <w:r w:rsidR="00A954D0" w:rsidRPr="00256727">
        <w:rPr>
          <w:rFonts w:ascii="Bookman Old Style" w:hAnsi="Bookman Old Style"/>
          <w:sz w:val="24"/>
          <w:szCs w:val="24"/>
          <w:lang w:val="sv-FI"/>
        </w:rPr>
        <w:t xml:space="preserve"> </w:t>
      </w:r>
      <w:r w:rsidR="00DD7816" w:rsidRPr="00256727">
        <w:rPr>
          <w:rFonts w:ascii="Bookman Old Style" w:hAnsi="Bookman Old Style"/>
          <w:sz w:val="24"/>
          <w:szCs w:val="24"/>
          <w:lang w:val="sv-FI"/>
        </w:rPr>
        <w:t>atau</w:t>
      </w:r>
      <w:r w:rsidR="00A954D0" w:rsidRPr="00256727">
        <w:rPr>
          <w:rFonts w:ascii="Bookman Old Style" w:hAnsi="Bookman Old Style"/>
          <w:sz w:val="24"/>
          <w:szCs w:val="24"/>
          <w:lang w:val="sv-FI"/>
        </w:rPr>
        <w:t xml:space="preserve"> </w:t>
      </w:r>
      <w:r w:rsidRPr="00256727">
        <w:rPr>
          <w:rFonts w:ascii="Bookman Old Style" w:hAnsi="Bookman Old Style"/>
          <w:sz w:val="24"/>
          <w:szCs w:val="24"/>
          <w:lang w:val="sv-FI"/>
        </w:rPr>
        <w:t>Rp0,00</w:t>
      </w:r>
      <w:r w:rsidR="007D4940">
        <w:rPr>
          <w:rFonts w:ascii="Bookman Old Style" w:hAnsi="Bookman Old Style"/>
          <w:sz w:val="24"/>
          <w:szCs w:val="24"/>
          <w:lang w:val="sv-FI"/>
        </w:rPr>
        <w:t>;</w:t>
      </w:r>
    </w:p>
    <w:p w14:paraId="75714501" w14:textId="256548A2" w:rsidR="00296283" w:rsidRPr="007878F5" w:rsidRDefault="00296283" w:rsidP="007D4940">
      <w:pPr>
        <w:pStyle w:val="ListParagraph"/>
        <w:numPr>
          <w:ilvl w:val="1"/>
          <w:numId w:val="172"/>
        </w:numPr>
        <w:spacing w:before="60" w:line="276" w:lineRule="auto"/>
        <w:ind w:left="1276" w:hanging="283"/>
        <w:jc w:val="both"/>
        <w:rPr>
          <w:rFonts w:ascii="Bookman Old Style" w:hAnsi="Bookman Old Style"/>
          <w:sz w:val="24"/>
          <w:szCs w:val="24"/>
          <w:lang w:val="en-US"/>
        </w:rPr>
      </w:pPr>
      <w:r w:rsidRPr="007D4940">
        <w:rPr>
          <w:rFonts w:ascii="Bookman Old Style" w:hAnsi="Bookman Old Style"/>
          <w:sz w:val="24"/>
          <w:szCs w:val="24"/>
          <w:lang w:val="sv-FI"/>
        </w:rPr>
        <w:t>Pemerintah</w:t>
      </w:r>
      <w:r w:rsidR="00A954D0">
        <w:rPr>
          <w:rFonts w:ascii="Bookman Old Style" w:hAnsi="Bookman Old Style"/>
          <w:sz w:val="24"/>
          <w:szCs w:val="24"/>
          <w:lang w:val="en-US"/>
        </w:rPr>
        <w:t xml:space="preserve"> </w:t>
      </w:r>
      <w:r w:rsidRPr="007878F5">
        <w:rPr>
          <w:rFonts w:ascii="Bookman Old Style" w:hAnsi="Bookman Old Style"/>
          <w:sz w:val="24"/>
          <w:szCs w:val="24"/>
          <w:lang w:val="en-US"/>
        </w:rPr>
        <w:t>Kota</w:t>
      </w:r>
      <w:r w:rsidR="00A954D0">
        <w:rPr>
          <w:rFonts w:ascii="Bookman Old Style" w:hAnsi="Bookman Old Style"/>
          <w:sz w:val="24"/>
          <w:szCs w:val="24"/>
          <w:lang w:val="en-US"/>
        </w:rPr>
        <w:t xml:space="preserve"> </w:t>
      </w:r>
      <w:r w:rsidRPr="007878F5">
        <w:rPr>
          <w:rFonts w:ascii="Bookman Old Style" w:hAnsi="Bookman Old Style"/>
          <w:sz w:val="24"/>
          <w:szCs w:val="24"/>
          <w:lang w:val="en-US"/>
        </w:rPr>
        <w:t>Tangerang</w:t>
      </w:r>
      <w:r w:rsidR="00A954D0">
        <w:rPr>
          <w:rFonts w:ascii="Bookman Old Style" w:hAnsi="Bookman Old Style"/>
          <w:sz w:val="24"/>
          <w:szCs w:val="24"/>
          <w:lang w:val="en-US"/>
        </w:rPr>
        <w:t xml:space="preserve"> </w:t>
      </w:r>
      <w:r w:rsidRPr="007878F5">
        <w:rPr>
          <w:rFonts w:ascii="Bookman Old Style" w:hAnsi="Bookman Old Style"/>
          <w:sz w:val="24"/>
          <w:szCs w:val="24"/>
          <w:lang w:val="en-US"/>
        </w:rPr>
        <w:t>agar</w:t>
      </w:r>
      <w:r w:rsidR="00A954D0">
        <w:rPr>
          <w:rFonts w:ascii="Bookman Old Style" w:hAnsi="Bookman Old Style"/>
          <w:sz w:val="24"/>
          <w:szCs w:val="24"/>
          <w:lang w:val="en-US"/>
        </w:rPr>
        <w:t xml:space="preserve"> </w:t>
      </w:r>
      <w:r w:rsidR="00DD7816">
        <w:rPr>
          <w:rFonts w:ascii="Bookman Old Style" w:hAnsi="Bookman Old Style"/>
          <w:sz w:val="24"/>
          <w:szCs w:val="24"/>
          <w:lang w:val="en-US"/>
        </w:rPr>
        <w:t>memperbaiki</w:t>
      </w:r>
      <w:r w:rsidR="00A954D0">
        <w:rPr>
          <w:rFonts w:ascii="Bookman Old Style" w:hAnsi="Bookman Old Style"/>
          <w:sz w:val="24"/>
          <w:szCs w:val="24"/>
          <w:lang w:val="en-US"/>
        </w:rPr>
        <w:t xml:space="preserve"> </w:t>
      </w:r>
      <w:r w:rsidRPr="007878F5">
        <w:rPr>
          <w:rFonts w:ascii="Bookman Old Style" w:hAnsi="Bookman Old Style"/>
          <w:sz w:val="24"/>
          <w:szCs w:val="24"/>
          <w:lang w:val="en-US"/>
        </w:rPr>
        <w:t>Lampiran</w:t>
      </w:r>
      <w:r w:rsidR="00A954D0">
        <w:rPr>
          <w:rFonts w:ascii="Bookman Old Style" w:hAnsi="Bookman Old Style"/>
          <w:sz w:val="24"/>
          <w:szCs w:val="24"/>
          <w:lang w:val="en-US"/>
        </w:rPr>
        <w:t xml:space="preserve"> </w:t>
      </w:r>
      <w:r w:rsidRPr="007878F5">
        <w:rPr>
          <w:rFonts w:ascii="Bookman Old Style" w:hAnsi="Bookman Old Style"/>
          <w:sz w:val="24"/>
          <w:szCs w:val="24"/>
          <w:lang w:val="en-US"/>
        </w:rPr>
        <w:t>IVa</w:t>
      </w:r>
      <w:r w:rsidR="00A954D0">
        <w:rPr>
          <w:rFonts w:ascii="Bookman Old Style" w:hAnsi="Bookman Old Style"/>
          <w:sz w:val="24"/>
          <w:szCs w:val="24"/>
          <w:lang w:val="en-US"/>
        </w:rPr>
        <w:t xml:space="preserve"> </w:t>
      </w:r>
      <w:r w:rsidRPr="007878F5">
        <w:rPr>
          <w:rFonts w:ascii="Bookman Old Style" w:hAnsi="Bookman Old Style"/>
          <w:sz w:val="24"/>
          <w:szCs w:val="24"/>
          <w:lang w:val="en-US"/>
        </w:rPr>
        <w:t>Rancangan</w:t>
      </w:r>
      <w:r w:rsidR="00A954D0">
        <w:rPr>
          <w:rFonts w:ascii="Bookman Old Style" w:hAnsi="Bookman Old Style"/>
          <w:sz w:val="24"/>
          <w:szCs w:val="24"/>
          <w:lang w:val="en-US"/>
        </w:rPr>
        <w:t xml:space="preserve"> </w:t>
      </w:r>
      <w:r w:rsidRPr="007878F5">
        <w:rPr>
          <w:rFonts w:ascii="Bookman Old Style" w:hAnsi="Bookman Old Style"/>
          <w:sz w:val="24"/>
          <w:szCs w:val="24"/>
          <w:lang w:val="en-US"/>
        </w:rPr>
        <w:t>Peraturan</w:t>
      </w:r>
      <w:r w:rsidR="00A954D0">
        <w:rPr>
          <w:rFonts w:ascii="Bookman Old Style" w:hAnsi="Bookman Old Style"/>
          <w:sz w:val="24"/>
          <w:szCs w:val="24"/>
          <w:lang w:val="en-US"/>
        </w:rPr>
        <w:t xml:space="preserve"> </w:t>
      </w:r>
      <w:r w:rsidRPr="007878F5">
        <w:rPr>
          <w:rFonts w:ascii="Bookman Old Style" w:hAnsi="Bookman Old Style"/>
          <w:sz w:val="24"/>
          <w:szCs w:val="24"/>
          <w:lang w:val="en-US"/>
        </w:rPr>
        <w:t>Wali</w:t>
      </w:r>
      <w:r w:rsidR="00A954D0">
        <w:rPr>
          <w:rFonts w:ascii="Bookman Old Style" w:hAnsi="Bookman Old Style"/>
          <w:sz w:val="24"/>
          <w:szCs w:val="24"/>
          <w:lang w:val="en-US"/>
        </w:rPr>
        <w:t xml:space="preserve"> </w:t>
      </w:r>
      <w:r w:rsidRPr="007878F5">
        <w:rPr>
          <w:rFonts w:ascii="Bookman Old Style" w:hAnsi="Bookman Old Style"/>
          <w:sz w:val="24"/>
          <w:szCs w:val="24"/>
          <w:lang w:val="en-US"/>
        </w:rPr>
        <w:t>Kota</w:t>
      </w:r>
      <w:r w:rsidR="00A954D0">
        <w:rPr>
          <w:rFonts w:ascii="Bookman Old Style" w:hAnsi="Bookman Old Style"/>
          <w:sz w:val="24"/>
          <w:szCs w:val="24"/>
          <w:lang w:val="en-US"/>
        </w:rPr>
        <w:t xml:space="preserve"> </w:t>
      </w:r>
      <w:r w:rsidRPr="007878F5">
        <w:rPr>
          <w:rFonts w:ascii="Bookman Old Style" w:hAnsi="Bookman Old Style"/>
          <w:sz w:val="24"/>
          <w:szCs w:val="24"/>
          <w:lang w:val="en-US"/>
        </w:rPr>
        <w:t>Tangerang</w:t>
      </w:r>
      <w:r w:rsidR="00A954D0">
        <w:rPr>
          <w:rFonts w:ascii="Bookman Old Style" w:hAnsi="Bookman Old Style"/>
          <w:sz w:val="24"/>
          <w:szCs w:val="24"/>
          <w:lang w:val="en-US"/>
        </w:rPr>
        <w:t xml:space="preserve"> </w:t>
      </w:r>
      <w:r w:rsidRPr="007878F5">
        <w:rPr>
          <w:rFonts w:ascii="Bookman Old Style" w:hAnsi="Bookman Old Style"/>
          <w:sz w:val="24"/>
          <w:szCs w:val="24"/>
          <w:lang w:val="en-US"/>
        </w:rPr>
        <w:t>tentang</w:t>
      </w:r>
      <w:r w:rsidR="00A954D0">
        <w:rPr>
          <w:rFonts w:ascii="Bookman Old Style" w:hAnsi="Bookman Old Style"/>
          <w:sz w:val="24"/>
          <w:szCs w:val="24"/>
          <w:lang w:val="en-US"/>
        </w:rPr>
        <w:t xml:space="preserve"> </w:t>
      </w:r>
      <w:r w:rsidRPr="007878F5">
        <w:rPr>
          <w:rFonts w:ascii="Bookman Old Style" w:hAnsi="Bookman Old Style"/>
          <w:sz w:val="24"/>
          <w:szCs w:val="24"/>
          <w:lang w:val="en-US"/>
        </w:rPr>
        <w:t>Penjabaran</w:t>
      </w:r>
      <w:r w:rsidR="00A954D0">
        <w:rPr>
          <w:rFonts w:ascii="Bookman Old Style" w:hAnsi="Bookman Old Style"/>
          <w:sz w:val="24"/>
          <w:szCs w:val="24"/>
          <w:lang w:val="en-US"/>
        </w:rPr>
        <w:t xml:space="preserve"> </w:t>
      </w:r>
      <w:r w:rsidRPr="007878F5">
        <w:rPr>
          <w:rFonts w:ascii="Bookman Old Style" w:hAnsi="Bookman Old Style"/>
          <w:sz w:val="24"/>
          <w:szCs w:val="24"/>
          <w:lang w:val="en-US"/>
        </w:rPr>
        <w:t>APBD</w:t>
      </w:r>
      <w:r w:rsidR="00A954D0">
        <w:rPr>
          <w:rFonts w:ascii="Bookman Old Style" w:hAnsi="Bookman Old Style"/>
          <w:sz w:val="24"/>
          <w:szCs w:val="24"/>
          <w:lang w:val="en-US"/>
        </w:rPr>
        <w:t xml:space="preserve"> </w:t>
      </w:r>
      <w:r w:rsidRPr="007878F5">
        <w:rPr>
          <w:rFonts w:ascii="Bookman Old Style" w:hAnsi="Bookman Old Style"/>
          <w:sz w:val="24"/>
          <w:szCs w:val="24"/>
          <w:lang w:val="en-US"/>
        </w:rPr>
        <w:t>Tahun</w:t>
      </w:r>
      <w:r w:rsidR="00A954D0">
        <w:rPr>
          <w:rFonts w:ascii="Bookman Old Style" w:hAnsi="Bookman Old Style"/>
          <w:sz w:val="24"/>
          <w:szCs w:val="24"/>
          <w:lang w:val="en-US"/>
        </w:rPr>
        <w:t xml:space="preserve"> </w:t>
      </w:r>
      <w:r w:rsidRPr="007878F5">
        <w:rPr>
          <w:rFonts w:ascii="Bookman Old Style" w:hAnsi="Bookman Old Style"/>
          <w:sz w:val="24"/>
          <w:szCs w:val="24"/>
          <w:lang w:val="en-US"/>
        </w:rPr>
        <w:t>Anggaran</w:t>
      </w:r>
      <w:r w:rsidR="00A954D0">
        <w:rPr>
          <w:rFonts w:ascii="Bookman Old Style" w:hAnsi="Bookman Old Style"/>
          <w:sz w:val="24"/>
          <w:szCs w:val="24"/>
          <w:lang w:val="en-US"/>
        </w:rPr>
        <w:t xml:space="preserve"> </w:t>
      </w:r>
      <w:r w:rsidRPr="007878F5">
        <w:rPr>
          <w:rFonts w:ascii="Bookman Old Style" w:hAnsi="Bookman Old Style"/>
          <w:sz w:val="24"/>
          <w:szCs w:val="24"/>
          <w:lang w:val="en-US"/>
        </w:rPr>
        <w:t>2025</w:t>
      </w:r>
      <w:r w:rsidR="00A954D0">
        <w:rPr>
          <w:rFonts w:ascii="Bookman Old Style" w:hAnsi="Bookman Old Style"/>
          <w:sz w:val="24"/>
          <w:szCs w:val="24"/>
          <w:lang w:val="en-US"/>
        </w:rPr>
        <w:t xml:space="preserve"> </w:t>
      </w:r>
      <w:r w:rsidR="00DD7816">
        <w:rPr>
          <w:rFonts w:ascii="Bookman Old Style" w:hAnsi="Bookman Old Style"/>
          <w:sz w:val="24"/>
          <w:szCs w:val="24"/>
          <w:lang w:val="en-US"/>
        </w:rPr>
        <w:t>dengan</w:t>
      </w:r>
      <w:r w:rsidR="00A954D0">
        <w:rPr>
          <w:rFonts w:ascii="Bookman Old Style" w:hAnsi="Bookman Old Style"/>
          <w:sz w:val="24"/>
          <w:szCs w:val="24"/>
          <w:lang w:val="en-US"/>
        </w:rPr>
        <w:t xml:space="preserve"> </w:t>
      </w:r>
      <w:r w:rsidRPr="007878F5">
        <w:rPr>
          <w:rFonts w:ascii="Bookman Old Style" w:hAnsi="Bookman Old Style"/>
          <w:sz w:val="24"/>
          <w:szCs w:val="24"/>
          <w:lang w:val="en-US"/>
        </w:rPr>
        <w:t>menambahkan</w:t>
      </w:r>
      <w:r w:rsidR="00A954D0">
        <w:rPr>
          <w:rFonts w:ascii="Bookman Old Style" w:hAnsi="Bookman Old Style"/>
          <w:sz w:val="24"/>
          <w:szCs w:val="24"/>
          <w:lang w:val="en-US"/>
        </w:rPr>
        <w:t xml:space="preserve"> </w:t>
      </w:r>
      <w:r w:rsidRPr="007878F5">
        <w:rPr>
          <w:rFonts w:ascii="Bookman Old Style" w:hAnsi="Bookman Old Style"/>
          <w:sz w:val="24"/>
          <w:szCs w:val="24"/>
          <w:lang w:val="en-US"/>
        </w:rPr>
        <w:t>rincian</w:t>
      </w:r>
      <w:r w:rsidR="00A954D0">
        <w:rPr>
          <w:rFonts w:ascii="Bookman Old Style" w:hAnsi="Bookman Old Style"/>
          <w:sz w:val="24"/>
          <w:szCs w:val="24"/>
          <w:lang w:val="en-US"/>
        </w:rPr>
        <w:t xml:space="preserve"> </w:t>
      </w:r>
      <w:r w:rsidRPr="007878F5">
        <w:rPr>
          <w:rFonts w:ascii="Bookman Old Style" w:hAnsi="Bookman Old Style"/>
          <w:sz w:val="24"/>
          <w:szCs w:val="24"/>
          <w:lang w:val="en-US"/>
        </w:rPr>
        <w:t>nama</w:t>
      </w:r>
      <w:r w:rsidR="00A954D0">
        <w:rPr>
          <w:rFonts w:ascii="Bookman Old Style" w:hAnsi="Bookman Old Style"/>
          <w:sz w:val="24"/>
          <w:szCs w:val="24"/>
          <w:lang w:val="en-US"/>
        </w:rPr>
        <w:t xml:space="preserve"> </w:t>
      </w:r>
      <w:r w:rsidRPr="007878F5">
        <w:rPr>
          <w:rFonts w:ascii="Bookman Old Style" w:hAnsi="Bookman Old Style"/>
          <w:sz w:val="24"/>
          <w:szCs w:val="24"/>
          <w:lang w:val="en-US"/>
        </w:rPr>
        <w:t>dan</w:t>
      </w:r>
      <w:r w:rsidR="00A954D0">
        <w:rPr>
          <w:rFonts w:ascii="Bookman Old Style" w:hAnsi="Bookman Old Style"/>
          <w:sz w:val="24"/>
          <w:szCs w:val="24"/>
          <w:lang w:val="en-US"/>
        </w:rPr>
        <w:t xml:space="preserve"> </w:t>
      </w:r>
      <w:r w:rsidRPr="007878F5">
        <w:rPr>
          <w:rFonts w:ascii="Bookman Old Style" w:hAnsi="Bookman Old Style"/>
          <w:sz w:val="24"/>
          <w:szCs w:val="24"/>
          <w:lang w:val="en-US"/>
        </w:rPr>
        <w:t>alamat</w:t>
      </w:r>
      <w:r w:rsidR="00A954D0">
        <w:rPr>
          <w:rFonts w:ascii="Bookman Old Style" w:hAnsi="Bookman Old Style"/>
          <w:sz w:val="24"/>
          <w:szCs w:val="24"/>
          <w:lang w:val="en-US"/>
        </w:rPr>
        <w:t xml:space="preserve"> </w:t>
      </w:r>
      <w:r w:rsidRPr="007878F5">
        <w:rPr>
          <w:rFonts w:ascii="Bookman Old Style" w:hAnsi="Bookman Old Style"/>
          <w:sz w:val="24"/>
          <w:szCs w:val="24"/>
          <w:lang w:val="en-US"/>
        </w:rPr>
        <w:t>calon</w:t>
      </w:r>
      <w:r w:rsidR="00A954D0">
        <w:rPr>
          <w:rFonts w:ascii="Bookman Old Style" w:hAnsi="Bookman Old Style"/>
          <w:sz w:val="24"/>
          <w:szCs w:val="24"/>
          <w:lang w:val="en-US"/>
        </w:rPr>
        <w:t xml:space="preserve"> </w:t>
      </w:r>
      <w:r w:rsidRPr="007878F5">
        <w:rPr>
          <w:rFonts w:ascii="Bookman Old Style" w:hAnsi="Bookman Old Style"/>
          <w:sz w:val="24"/>
          <w:szCs w:val="24"/>
          <w:lang w:val="en-US"/>
        </w:rPr>
        <w:t>penerima</w:t>
      </w:r>
      <w:r w:rsidR="00A954D0">
        <w:rPr>
          <w:rFonts w:ascii="Bookman Old Style" w:hAnsi="Bookman Old Style"/>
          <w:sz w:val="24"/>
          <w:szCs w:val="24"/>
          <w:lang w:val="en-US"/>
        </w:rPr>
        <w:t xml:space="preserve"> </w:t>
      </w:r>
      <w:r w:rsidRPr="007878F5">
        <w:rPr>
          <w:rFonts w:ascii="Bookman Old Style" w:hAnsi="Bookman Old Style"/>
          <w:sz w:val="24"/>
          <w:szCs w:val="24"/>
          <w:lang w:val="en-US"/>
        </w:rPr>
        <w:t>bantuan</w:t>
      </w:r>
      <w:r w:rsidR="00A954D0">
        <w:rPr>
          <w:rFonts w:ascii="Bookman Old Style" w:hAnsi="Bookman Old Style"/>
          <w:sz w:val="24"/>
          <w:szCs w:val="24"/>
          <w:lang w:val="en-US"/>
        </w:rPr>
        <w:t xml:space="preserve"> </w:t>
      </w:r>
      <w:r w:rsidRPr="007878F5">
        <w:rPr>
          <w:rFonts w:ascii="Bookman Old Style" w:hAnsi="Bookman Old Style"/>
          <w:sz w:val="24"/>
          <w:szCs w:val="24"/>
          <w:lang w:val="en-US"/>
        </w:rPr>
        <w:t>sosial</w:t>
      </w:r>
      <w:r w:rsidR="00A954D0">
        <w:rPr>
          <w:rFonts w:ascii="Bookman Old Style" w:hAnsi="Bookman Old Style"/>
          <w:sz w:val="24"/>
          <w:szCs w:val="24"/>
          <w:lang w:val="en-US"/>
        </w:rPr>
        <w:t xml:space="preserve"> </w:t>
      </w:r>
      <w:r w:rsidRPr="007878F5">
        <w:rPr>
          <w:rFonts w:ascii="Bookman Old Style" w:hAnsi="Bookman Old Style"/>
          <w:sz w:val="24"/>
          <w:szCs w:val="24"/>
          <w:lang w:val="en-US"/>
        </w:rPr>
        <w:t>berupa</w:t>
      </w:r>
      <w:r w:rsidR="00A954D0">
        <w:rPr>
          <w:rFonts w:ascii="Bookman Old Style" w:hAnsi="Bookman Old Style"/>
          <w:sz w:val="24"/>
          <w:szCs w:val="24"/>
          <w:lang w:val="en-US"/>
        </w:rPr>
        <w:t xml:space="preserve"> </w:t>
      </w:r>
      <w:r w:rsidRPr="007878F5">
        <w:rPr>
          <w:rFonts w:ascii="Bookman Old Style" w:hAnsi="Bookman Old Style"/>
          <w:sz w:val="24"/>
          <w:szCs w:val="24"/>
          <w:lang w:val="en-US"/>
        </w:rPr>
        <w:t>uang,</w:t>
      </w:r>
      <w:r w:rsidR="00A954D0">
        <w:rPr>
          <w:rFonts w:ascii="Bookman Old Style" w:hAnsi="Bookman Old Style"/>
          <w:sz w:val="24"/>
          <w:szCs w:val="24"/>
          <w:lang w:val="en-US"/>
        </w:rPr>
        <w:t xml:space="preserve"> </w:t>
      </w:r>
      <w:r w:rsidR="00DD7816">
        <w:rPr>
          <w:rFonts w:ascii="Bookman Old Style" w:hAnsi="Bookman Old Style"/>
          <w:sz w:val="24"/>
          <w:szCs w:val="24"/>
          <w:lang w:val="en-US"/>
        </w:rPr>
        <w:t>antara</w:t>
      </w:r>
      <w:r w:rsidR="00A954D0">
        <w:rPr>
          <w:rFonts w:ascii="Bookman Old Style" w:hAnsi="Bookman Old Style"/>
          <w:sz w:val="24"/>
          <w:szCs w:val="24"/>
          <w:lang w:val="en-US"/>
        </w:rPr>
        <w:t xml:space="preserve"> </w:t>
      </w:r>
      <w:r w:rsidR="00DD7816">
        <w:rPr>
          <w:rFonts w:ascii="Bookman Old Style" w:hAnsi="Bookman Old Style"/>
          <w:sz w:val="24"/>
          <w:szCs w:val="24"/>
          <w:lang w:val="en-US"/>
        </w:rPr>
        <w:t>lain</w:t>
      </w:r>
      <w:r w:rsidR="00A954D0">
        <w:rPr>
          <w:rFonts w:ascii="Bookman Old Style" w:hAnsi="Bookman Old Style"/>
          <w:sz w:val="24"/>
          <w:szCs w:val="24"/>
          <w:lang w:val="en-US"/>
        </w:rPr>
        <w:t xml:space="preserve"> </w:t>
      </w:r>
      <w:r w:rsidR="00DD7816">
        <w:rPr>
          <w:rFonts w:ascii="Bookman Old Style" w:hAnsi="Bookman Old Style"/>
          <w:sz w:val="24"/>
          <w:szCs w:val="24"/>
          <w:lang w:val="en-US"/>
        </w:rPr>
        <w:t>pada</w:t>
      </w:r>
      <w:r w:rsidR="00A954D0">
        <w:rPr>
          <w:rFonts w:ascii="Bookman Old Style" w:hAnsi="Bookman Old Style"/>
          <w:sz w:val="24"/>
          <w:szCs w:val="24"/>
          <w:lang w:val="en-US"/>
        </w:rPr>
        <w:t xml:space="preserve"> </w:t>
      </w:r>
      <w:r w:rsidRPr="007878F5">
        <w:rPr>
          <w:rFonts w:ascii="Bookman Old Style" w:hAnsi="Bookman Old Style"/>
          <w:sz w:val="24"/>
          <w:szCs w:val="24"/>
        </w:rPr>
        <w:t>Dinas</w:t>
      </w:r>
      <w:r w:rsidR="00A954D0">
        <w:rPr>
          <w:rFonts w:ascii="Bookman Old Style" w:hAnsi="Bookman Old Style"/>
          <w:sz w:val="24"/>
          <w:szCs w:val="24"/>
        </w:rPr>
        <w:t xml:space="preserve"> </w:t>
      </w:r>
      <w:r w:rsidRPr="007878F5">
        <w:rPr>
          <w:rFonts w:ascii="Bookman Old Style" w:hAnsi="Bookman Old Style"/>
          <w:sz w:val="24"/>
          <w:szCs w:val="24"/>
        </w:rPr>
        <w:t>Sosial</w:t>
      </w:r>
      <w:r w:rsidRPr="007878F5">
        <w:rPr>
          <w:rFonts w:ascii="Bookman Old Style" w:hAnsi="Bookman Old Style"/>
          <w:sz w:val="24"/>
          <w:szCs w:val="24"/>
          <w:lang w:val="en-US"/>
        </w:rPr>
        <w:t>,</w:t>
      </w:r>
      <w:r w:rsidR="00A954D0">
        <w:rPr>
          <w:rFonts w:ascii="Bookman Old Style" w:hAnsi="Bookman Old Style"/>
          <w:sz w:val="24"/>
          <w:szCs w:val="24"/>
          <w:lang w:val="en-US"/>
        </w:rPr>
        <w:t xml:space="preserve"> </w:t>
      </w:r>
      <w:r w:rsidRPr="007878F5">
        <w:rPr>
          <w:rFonts w:ascii="Bookman Old Style" w:hAnsi="Bookman Old Style"/>
          <w:sz w:val="24"/>
          <w:szCs w:val="24"/>
          <w:lang w:val="en-US"/>
        </w:rPr>
        <w:t>Sub</w:t>
      </w:r>
      <w:r w:rsidR="00A954D0">
        <w:rPr>
          <w:rFonts w:ascii="Bookman Old Style" w:hAnsi="Bookman Old Style"/>
          <w:sz w:val="24"/>
          <w:szCs w:val="24"/>
          <w:lang w:val="en-US"/>
        </w:rPr>
        <w:t xml:space="preserve"> </w:t>
      </w:r>
      <w:r w:rsidRPr="007878F5">
        <w:rPr>
          <w:rFonts w:ascii="Bookman Old Style" w:hAnsi="Bookman Old Style"/>
          <w:sz w:val="24"/>
          <w:szCs w:val="24"/>
          <w:lang w:val="en-US"/>
        </w:rPr>
        <w:t>Kegiatan</w:t>
      </w:r>
      <w:r w:rsidR="00A954D0">
        <w:rPr>
          <w:rFonts w:ascii="Bookman Old Style" w:hAnsi="Bookman Old Style"/>
          <w:sz w:val="24"/>
          <w:szCs w:val="24"/>
          <w:lang w:val="en-US"/>
        </w:rPr>
        <w:t xml:space="preserve"> </w:t>
      </w:r>
      <w:r w:rsidRPr="007878F5">
        <w:rPr>
          <w:rFonts w:ascii="Bookman Old Style" w:hAnsi="Bookman Old Style"/>
          <w:sz w:val="24"/>
          <w:szCs w:val="24"/>
        </w:rPr>
        <w:t>Fasilitasi</w:t>
      </w:r>
      <w:r w:rsidR="00A954D0">
        <w:rPr>
          <w:rFonts w:ascii="Bookman Old Style" w:hAnsi="Bookman Old Style"/>
          <w:sz w:val="24"/>
          <w:szCs w:val="24"/>
        </w:rPr>
        <w:t xml:space="preserve"> </w:t>
      </w:r>
      <w:r w:rsidRPr="007878F5">
        <w:rPr>
          <w:rFonts w:ascii="Bookman Old Style" w:hAnsi="Bookman Old Style"/>
          <w:sz w:val="24"/>
          <w:szCs w:val="24"/>
        </w:rPr>
        <w:t>Bantuan</w:t>
      </w:r>
      <w:r w:rsidR="00A954D0">
        <w:rPr>
          <w:rFonts w:ascii="Bookman Old Style" w:hAnsi="Bookman Old Style"/>
          <w:sz w:val="24"/>
          <w:szCs w:val="24"/>
        </w:rPr>
        <w:t xml:space="preserve"> </w:t>
      </w:r>
      <w:r w:rsidRPr="007878F5">
        <w:rPr>
          <w:rFonts w:ascii="Bookman Old Style" w:hAnsi="Bookman Old Style"/>
          <w:sz w:val="24"/>
          <w:szCs w:val="24"/>
        </w:rPr>
        <w:t>Sosial</w:t>
      </w:r>
      <w:r w:rsidR="00A954D0">
        <w:rPr>
          <w:rFonts w:ascii="Bookman Old Style" w:hAnsi="Bookman Old Style"/>
          <w:sz w:val="24"/>
          <w:szCs w:val="24"/>
        </w:rPr>
        <w:t xml:space="preserve"> </w:t>
      </w:r>
      <w:r w:rsidRPr="007878F5">
        <w:rPr>
          <w:rFonts w:ascii="Bookman Old Style" w:hAnsi="Bookman Old Style"/>
          <w:sz w:val="24"/>
          <w:szCs w:val="24"/>
        </w:rPr>
        <w:t>Kesejahteraan</w:t>
      </w:r>
      <w:r w:rsidR="00A954D0">
        <w:rPr>
          <w:rFonts w:ascii="Bookman Old Style" w:hAnsi="Bookman Old Style"/>
          <w:sz w:val="24"/>
          <w:szCs w:val="24"/>
        </w:rPr>
        <w:t xml:space="preserve"> </w:t>
      </w:r>
      <w:r w:rsidRPr="007878F5">
        <w:rPr>
          <w:rFonts w:ascii="Bookman Old Style" w:hAnsi="Bookman Old Style"/>
          <w:sz w:val="24"/>
          <w:szCs w:val="24"/>
        </w:rPr>
        <w:t>Keluarga</w:t>
      </w:r>
      <w:r w:rsidRPr="007878F5">
        <w:rPr>
          <w:rFonts w:ascii="Bookman Old Style" w:hAnsi="Bookman Old Style"/>
          <w:sz w:val="24"/>
          <w:szCs w:val="24"/>
          <w:lang w:val="en-US"/>
        </w:rPr>
        <w:t>,</w:t>
      </w:r>
      <w:r w:rsidR="00A954D0">
        <w:rPr>
          <w:rFonts w:ascii="Bookman Old Style" w:hAnsi="Bookman Old Style"/>
          <w:sz w:val="24"/>
          <w:szCs w:val="24"/>
          <w:lang w:val="en-US"/>
        </w:rPr>
        <w:t xml:space="preserve"> </w:t>
      </w:r>
      <w:r w:rsidRPr="007878F5">
        <w:rPr>
          <w:rFonts w:ascii="Bookman Old Style" w:hAnsi="Bookman Old Style"/>
          <w:sz w:val="24"/>
          <w:szCs w:val="24"/>
          <w:lang w:val="en-US"/>
        </w:rPr>
        <w:t>pada:</w:t>
      </w:r>
    </w:p>
    <w:p w14:paraId="15713B17" w14:textId="63A44ADF" w:rsidR="00296283" w:rsidRPr="007878F5" w:rsidRDefault="00296283" w:rsidP="007D4940">
      <w:pPr>
        <w:pStyle w:val="ListParagraph"/>
        <w:numPr>
          <w:ilvl w:val="5"/>
          <w:numId w:val="247"/>
        </w:numPr>
        <w:spacing w:before="60" w:line="276" w:lineRule="auto"/>
        <w:ind w:left="1701" w:hanging="425"/>
        <w:jc w:val="both"/>
        <w:rPr>
          <w:rFonts w:ascii="Bookman Old Style" w:hAnsi="Bookman Old Style"/>
          <w:sz w:val="24"/>
          <w:szCs w:val="24"/>
          <w:lang w:val="en-US"/>
        </w:rPr>
      </w:pPr>
      <w:r w:rsidRPr="007878F5">
        <w:rPr>
          <w:rFonts w:ascii="Bookman Old Style" w:hAnsi="Bookman Old Style"/>
          <w:sz w:val="24"/>
          <w:szCs w:val="24"/>
          <w:lang w:val="en-US"/>
        </w:rPr>
        <w:t>Nomor</w:t>
      </w:r>
      <w:r w:rsidR="00A954D0">
        <w:rPr>
          <w:rFonts w:ascii="Bookman Old Style" w:hAnsi="Bookman Old Style"/>
          <w:sz w:val="24"/>
          <w:szCs w:val="24"/>
          <w:lang w:val="en-US"/>
        </w:rPr>
        <w:t xml:space="preserve"> </w:t>
      </w:r>
      <w:r w:rsidRPr="007878F5">
        <w:rPr>
          <w:rFonts w:ascii="Bookman Old Style" w:hAnsi="Bookman Old Style"/>
          <w:sz w:val="24"/>
          <w:szCs w:val="24"/>
          <w:lang w:val="en-US"/>
        </w:rPr>
        <w:t>urut</w:t>
      </w:r>
      <w:r w:rsidR="00A954D0">
        <w:rPr>
          <w:rFonts w:ascii="Bookman Old Style" w:hAnsi="Bookman Old Style"/>
          <w:sz w:val="24"/>
          <w:szCs w:val="24"/>
          <w:lang w:val="en-US"/>
        </w:rPr>
        <w:t xml:space="preserve"> </w:t>
      </w:r>
      <w:r w:rsidRPr="007878F5">
        <w:rPr>
          <w:rFonts w:ascii="Bookman Old Style" w:hAnsi="Bookman Old Style"/>
          <w:sz w:val="24"/>
          <w:szCs w:val="24"/>
        </w:rPr>
        <w:t>1</w:t>
      </w:r>
      <w:r w:rsidRPr="007878F5">
        <w:rPr>
          <w:rFonts w:ascii="Bookman Old Style" w:hAnsi="Bookman Old Style"/>
          <w:sz w:val="24"/>
          <w:szCs w:val="24"/>
          <w:lang w:val="en-US"/>
        </w:rPr>
        <w:t>,</w:t>
      </w:r>
      <w:r w:rsidR="00A954D0">
        <w:rPr>
          <w:rFonts w:ascii="Bookman Old Style" w:hAnsi="Bookman Old Style"/>
          <w:sz w:val="24"/>
          <w:szCs w:val="24"/>
          <w:lang w:val="en-US"/>
        </w:rPr>
        <w:t xml:space="preserve"> </w:t>
      </w:r>
      <w:r w:rsidRPr="007878F5">
        <w:rPr>
          <w:rFonts w:ascii="Bookman Old Style" w:hAnsi="Bookman Old Style"/>
          <w:sz w:val="24"/>
          <w:szCs w:val="24"/>
        </w:rPr>
        <w:t>Bantuan</w:t>
      </w:r>
      <w:r w:rsidR="00A954D0">
        <w:rPr>
          <w:rFonts w:ascii="Bookman Old Style" w:hAnsi="Bookman Old Style"/>
          <w:sz w:val="24"/>
          <w:szCs w:val="24"/>
        </w:rPr>
        <w:t xml:space="preserve"> </w:t>
      </w:r>
      <w:r w:rsidRPr="007878F5">
        <w:rPr>
          <w:rFonts w:ascii="Bookman Old Style" w:hAnsi="Bookman Old Style"/>
          <w:sz w:val="24"/>
          <w:szCs w:val="24"/>
        </w:rPr>
        <w:t>Sosial</w:t>
      </w:r>
      <w:r w:rsidR="00A954D0">
        <w:rPr>
          <w:rFonts w:ascii="Bookman Old Style" w:hAnsi="Bookman Old Style"/>
          <w:sz w:val="24"/>
          <w:szCs w:val="24"/>
        </w:rPr>
        <w:t xml:space="preserve"> </w:t>
      </w:r>
      <w:r w:rsidRPr="007878F5">
        <w:rPr>
          <w:rFonts w:ascii="Bookman Old Style" w:hAnsi="Bookman Old Style"/>
          <w:sz w:val="24"/>
          <w:szCs w:val="24"/>
        </w:rPr>
        <w:t>Keluarga</w:t>
      </w:r>
      <w:r w:rsidR="00A954D0">
        <w:rPr>
          <w:rFonts w:ascii="Bookman Old Style" w:hAnsi="Bookman Old Style"/>
          <w:sz w:val="24"/>
          <w:szCs w:val="24"/>
        </w:rPr>
        <w:t xml:space="preserve"> </w:t>
      </w:r>
      <w:r w:rsidRPr="007878F5">
        <w:rPr>
          <w:rFonts w:ascii="Bookman Old Style" w:hAnsi="Bookman Old Style"/>
          <w:sz w:val="24"/>
          <w:szCs w:val="24"/>
        </w:rPr>
        <w:t>Miskin</w:t>
      </w:r>
      <w:r w:rsidRPr="007878F5">
        <w:rPr>
          <w:rFonts w:ascii="Bookman Old Style" w:hAnsi="Bookman Old Style"/>
          <w:sz w:val="24"/>
          <w:szCs w:val="24"/>
          <w:lang w:val="en-US"/>
        </w:rPr>
        <w:t>,</w:t>
      </w:r>
      <w:r w:rsidR="00A954D0">
        <w:rPr>
          <w:rFonts w:ascii="Bookman Old Style" w:hAnsi="Bookman Old Style"/>
          <w:sz w:val="24"/>
          <w:szCs w:val="24"/>
          <w:lang w:val="en-US"/>
        </w:rPr>
        <w:t xml:space="preserve"> </w:t>
      </w:r>
      <w:r w:rsidRPr="007878F5">
        <w:rPr>
          <w:rFonts w:ascii="Bookman Old Style" w:hAnsi="Bookman Old Style"/>
          <w:sz w:val="24"/>
          <w:szCs w:val="24"/>
          <w:lang w:val="en-US"/>
        </w:rPr>
        <w:t>Alamat:</w:t>
      </w:r>
      <w:r w:rsidR="00A954D0">
        <w:rPr>
          <w:rFonts w:ascii="Bookman Old Style" w:hAnsi="Bookman Old Style"/>
          <w:sz w:val="24"/>
          <w:szCs w:val="24"/>
          <w:lang w:val="en-US"/>
        </w:rPr>
        <w:t xml:space="preserve"> </w:t>
      </w:r>
      <w:r w:rsidRPr="007878F5">
        <w:rPr>
          <w:rFonts w:ascii="Bookman Old Style" w:hAnsi="Bookman Old Style"/>
          <w:sz w:val="24"/>
          <w:szCs w:val="24"/>
        </w:rPr>
        <w:t>Dinsos</w:t>
      </w:r>
      <w:r w:rsidRPr="007878F5">
        <w:rPr>
          <w:rFonts w:ascii="Bookman Old Style" w:hAnsi="Bookman Old Style"/>
          <w:sz w:val="24"/>
          <w:szCs w:val="24"/>
          <w:lang w:val="en-US"/>
        </w:rPr>
        <w:t>,</w:t>
      </w:r>
      <w:r w:rsidR="00A954D0">
        <w:rPr>
          <w:rFonts w:ascii="Bookman Old Style" w:hAnsi="Bookman Old Style"/>
          <w:sz w:val="24"/>
          <w:szCs w:val="24"/>
          <w:lang w:val="en-US"/>
        </w:rPr>
        <w:t xml:space="preserve"> </w:t>
      </w:r>
      <w:r w:rsidRPr="007878F5">
        <w:rPr>
          <w:rFonts w:ascii="Bookman Old Style" w:hAnsi="Bookman Old Style"/>
          <w:sz w:val="24"/>
          <w:szCs w:val="24"/>
          <w:lang w:val="en-US"/>
        </w:rPr>
        <w:t>Rp</w:t>
      </w:r>
      <w:r w:rsidRPr="007878F5">
        <w:rPr>
          <w:rFonts w:ascii="Bookman Old Style" w:hAnsi="Bookman Old Style"/>
          <w:sz w:val="24"/>
          <w:szCs w:val="24"/>
        </w:rPr>
        <w:t>2.248.200.000,00</w:t>
      </w:r>
      <w:r w:rsidRPr="007878F5">
        <w:rPr>
          <w:rFonts w:ascii="Bookman Old Style" w:hAnsi="Bookman Old Style"/>
          <w:sz w:val="24"/>
          <w:szCs w:val="24"/>
          <w:lang w:val="en-US"/>
        </w:rPr>
        <w:t>;</w:t>
      </w:r>
    </w:p>
    <w:p w14:paraId="38C2C4BD" w14:textId="2FFA4EF9" w:rsidR="00365761" w:rsidRPr="00845C90" w:rsidRDefault="00296283" w:rsidP="007D4940">
      <w:pPr>
        <w:pStyle w:val="ListParagraph"/>
        <w:numPr>
          <w:ilvl w:val="5"/>
          <w:numId w:val="247"/>
        </w:numPr>
        <w:spacing w:before="60" w:line="276" w:lineRule="auto"/>
        <w:ind w:left="1701" w:hanging="425"/>
        <w:jc w:val="both"/>
        <w:rPr>
          <w:rFonts w:ascii="Bookman Old Style" w:hAnsi="Bookman Old Style" w:cs="Arial"/>
          <w:color w:val="000000" w:themeColor="text1"/>
          <w:sz w:val="24"/>
          <w:szCs w:val="24"/>
          <w:lang w:val="sv-FI"/>
        </w:rPr>
      </w:pPr>
      <w:r w:rsidRPr="003255BC">
        <w:rPr>
          <w:rFonts w:ascii="Bookman Old Style" w:hAnsi="Bookman Old Style"/>
          <w:sz w:val="24"/>
          <w:szCs w:val="24"/>
          <w:lang w:val="sv-FI"/>
        </w:rPr>
        <w:t>Nomor</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urut</w:t>
      </w:r>
      <w:r w:rsidR="00A954D0" w:rsidRPr="003255BC">
        <w:rPr>
          <w:rFonts w:ascii="Bookman Old Style" w:hAnsi="Bookman Old Style"/>
          <w:sz w:val="24"/>
          <w:szCs w:val="24"/>
          <w:lang w:val="sv-FI"/>
        </w:rPr>
        <w:t xml:space="preserve"> </w:t>
      </w:r>
      <w:r w:rsidRPr="007878F5">
        <w:rPr>
          <w:rFonts w:ascii="Bookman Old Style" w:hAnsi="Bookman Old Style"/>
          <w:sz w:val="24"/>
          <w:szCs w:val="24"/>
        </w:rPr>
        <w:t>2</w:t>
      </w:r>
      <w:r w:rsidRPr="003255BC">
        <w:rPr>
          <w:rFonts w:ascii="Bookman Old Style" w:hAnsi="Bookman Old Style"/>
          <w:sz w:val="24"/>
          <w:szCs w:val="24"/>
          <w:lang w:val="sv-FI"/>
        </w:rPr>
        <w:t>,</w:t>
      </w:r>
      <w:r w:rsidR="00A954D0" w:rsidRPr="003255BC">
        <w:rPr>
          <w:rFonts w:ascii="Bookman Old Style" w:hAnsi="Bookman Old Style"/>
          <w:sz w:val="24"/>
          <w:szCs w:val="24"/>
          <w:lang w:val="sv-FI"/>
        </w:rPr>
        <w:t xml:space="preserve"> </w:t>
      </w:r>
      <w:r w:rsidRPr="007878F5">
        <w:rPr>
          <w:rFonts w:ascii="Bookman Old Style" w:hAnsi="Bookman Old Style"/>
          <w:sz w:val="24"/>
          <w:szCs w:val="24"/>
        </w:rPr>
        <w:t>Bantuan</w:t>
      </w:r>
      <w:r w:rsidR="00A954D0">
        <w:rPr>
          <w:rFonts w:ascii="Bookman Old Style" w:hAnsi="Bookman Old Style"/>
          <w:sz w:val="24"/>
          <w:szCs w:val="24"/>
        </w:rPr>
        <w:t xml:space="preserve"> </w:t>
      </w:r>
      <w:r w:rsidRPr="007878F5">
        <w:rPr>
          <w:rFonts w:ascii="Bookman Old Style" w:hAnsi="Bookman Old Style"/>
          <w:sz w:val="24"/>
          <w:szCs w:val="24"/>
        </w:rPr>
        <w:t>Sosial</w:t>
      </w:r>
      <w:r w:rsidR="00A954D0">
        <w:rPr>
          <w:rFonts w:ascii="Bookman Old Style" w:hAnsi="Bookman Old Style"/>
          <w:sz w:val="24"/>
          <w:szCs w:val="24"/>
        </w:rPr>
        <w:t xml:space="preserve"> </w:t>
      </w:r>
      <w:r w:rsidRPr="007878F5">
        <w:rPr>
          <w:rFonts w:ascii="Bookman Old Style" w:hAnsi="Bookman Old Style"/>
          <w:sz w:val="24"/>
          <w:szCs w:val="24"/>
        </w:rPr>
        <w:t>Balita</w:t>
      </w:r>
      <w:r w:rsidR="00A954D0">
        <w:rPr>
          <w:rFonts w:ascii="Bookman Old Style" w:hAnsi="Bookman Old Style"/>
          <w:sz w:val="24"/>
          <w:szCs w:val="24"/>
        </w:rPr>
        <w:t xml:space="preserve"> </w:t>
      </w:r>
      <w:r w:rsidRPr="007878F5">
        <w:rPr>
          <w:rFonts w:ascii="Bookman Old Style" w:hAnsi="Bookman Old Style"/>
          <w:sz w:val="24"/>
          <w:szCs w:val="24"/>
        </w:rPr>
        <w:t>Stunting</w:t>
      </w:r>
      <w:r w:rsidRPr="003255BC">
        <w:rPr>
          <w:rFonts w:ascii="Bookman Old Style" w:hAnsi="Bookman Old Style"/>
          <w:sz w:val="24"/>
          <w:szCs w:val="24"/>
          <w:lang w:val="sv-FI"/>
        </w:rPr>
        <w:t>,</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Alamat:</w:t>
      </w:r>
      <w:r w:rsidR="00A954D0" w:rsidRPr="003255BC">
        <w:rPr>
          <w:rFonts w:ascii="Bookman Old Style" w:hAnsi="Bookman Old Style"/>
          <w:sz w:val="24"/>
          <w:szCs w:val="24"/>
          <w:lang w:val="sv-FI"/>
        </w:rPr>
        <w:t xml:space="preserve"> </w:t>
      </w:r>
      <w:r w:rsidRPr="007878F5">
        <w:rPr>
          <w:rFonts w:ascii="Bookman Old Style" w:hAnsi="Bookman Old Style"/>
          <w:sz w:val="24"/>
          <w:szCs w:val="24"/>
        </w:rPr>
        <w:t>Dinsos</w:t>
      </w:r>
      <w:r w:rsidRPr="003255BC">
        <w:rPr>
          <w:rFonts w:ascii="Bookman Old Style" w:hAnsi="Bookman Old Style"/>
          <w:sz w:val="24"/>
          <w:szCs w:val="24"/>
          <w:lang w:val="sv-FI"/>
        </w:rPr>
        <w:t>,</w:t>
      </w:r>
      <w:r w:rsidR="00A954D0" w:rsidRPr="003255BC">
        <w:rPr>
          <w:rFonts w:ascii="Bookman Old Style" w:hAnsi="Bookman Old Style"/>
          <w:sz w:val="24"/>
          <w:szCs w:val="24"/>
          <w:lang w:val="sv-FI"/>
        </w:rPr>
        <w:t xml:space="preserve"> </w:t>
      </w:r>
      <w:r w:rsidRPr="003255BC">
        <w:rPr>
          <w:rFonts w:ascii="Bookman Old Style" w:hAnsi="Bookman Old Style"/>
          <w:sz w:val="24"/>
          <w:szCs w:val="24"/>
          <w:lang w:val="sv-FI"/>
        </w:rPr>
        <w:t>Rp</w:t>
      </w:r>
      <w:r w:rsidRPr="007878F5">
        <w:rPr>
          <w:rFonts w:ascii="Bookman Old Style" w:hAnsi="Bookman Old Style"/>
          <w:sz w:val="24"/>
          <w:szCs w:val="24"/>
        </w:rPr>
        <w:t>211.800.000,00</w:t>
      </w:r>
      <w:r w:rsidRPr="003255BC">
        <w:rPr>
          <w:rFonts w:ascii="Bookman Old Style" w:hAnsi="Bookman Old Style"/>
          <w:sz w:val="24"/>
          <w:szCs w:val="24"/>
          <w:lang w:val="sv-FI"/>
        </w:rPr>
        <w:t>.</w:t>
      </w:r>
    </w:p>
    <w:p w14:paraId="36800FBC" w14:textId="77777777" w:rsidR="00845C90" w:rsidRPr="003255BC" w:rsidRDefault="00845C90" w:rsidP="00845C90">
      <w:pPr>
        <w:pStyle w:val="ListParagraph"/>
        <w:spacing w:before="60" w:line="276" w:lineRule="auto"/>
        <w:ind w:left="1701"/>
        <w:jc w:val="both"/>
        <w:rPr>
          <w:rFonts w:ascii="Bookman Old Style" w:hAnsi="Bookman Old Style" w:cs="Arial"/>
          <w:color w:val="000000" w:themeColor="text1"/>
          <w:sz w:val="24"/>
          <w:szCs w:val="24"/>
          <w:lang w:val="sv-FI"/>
        </w:rPr>
      </w:pPr>
    </w:p>
    <w:p w14:paraId="1FA0A5E4" w14:textId="77777777" w:rsidR="00DD7816" w:rsidRPr="003255BC" w:rsidRDefault="00DD7816" w:rsidP="00DD7816">
      <w:pPr>
        <w:pStyle w:val="ListParagraph"/>
        <w:spacing w:before="60" w:line="276" w:lineRule="auto"/>
        <w:ind w:left="2127"/>
        <w:jc w:val="both"/>
        <w:rPr>
          <w:rFonts w:ascii="Bookman Old Style" w:hAnsi="Bookman Old Style" w:cs="Arial"/>
          <w:color w:val="000000" w:themeColor="text1"/>
          <w:sz w:val="24"/>
          <w:szCs w:val="24"/>
          <w:lang w:val="sv-FI"/>
        </w:rPr>
      </w:pPr>
    </w:p>
    <w:p w14:paraId="6DF2B7C1" w14:textId="2A870274" w:rsidR="00EF6EB3" w:rsidRPr="00BF3751" w:rsidRDefault="005E5619" w:rsidP="00727324">
      <w:pPr>
        <w:pStyle w:val="ListParagraph"/>
        <w:numPr>
          <w:ilvl w:val="0"/>
          <w:numId w:val="1"/>
        </w:numPr>
        <w:spacing w:before="60" w:after="0" w:line="276" w:lineRule="auto"/>
        <w:ind w:left="567" w:hanging="567"/>
        <w:contextualSpacing w:val="0"/>
        <w:jc w:val="both"/>
        <w:rPr>
          <w:rFonts w:ascii="Bookman Old Style" w:hAnsi="Bookman Old Style" w:cs="Arial"/>
          <w:sz w:val="24"/>
          <w:szCs w:val="24"/>
        </w:rPr>
      </w:pPr>
      <w:r w:rsidRPr="00BF3751">
        <w:rPr>
          <w:rFonts w:ascii="Bookman Old Style" w:hAnsi="Bookman Old Style" w:cs="Arial"/>
          <w:sz w:val="24"/>
          <w:szCs w:val="24"/>
          <w:lang w:val="en-US"/>
        </w:rPr>
        <w:lastRenderedPageBreak/>
        <w:t>REKOMENDASI</w:t>
      </w:r>
    </w:p>
    <w:p w14:paraId="7792D63E" w14:textId="5BEE3EBD" w:rsidR="00393D95" w:rsidRPr="00BF3751" w:rsidRDefault="00393D95" w:rsidP="00727324">
      <w:pPr>
        <w:spacing w:before="60" w:line="276" w:lineRule="auto"/>
        <w:ind w:left="574"/>
        <w:jc w:val="both"/>
        <w:rPr>
          <w:rFonts w:ascii="Bookman Old Style" w:hAnsi="Bookman Old Style" w:cs="Arial"/>
        </w:rPr>
      </w:pPr>
      <w:r w:rsidRPr="00BF3751">
        <w:rPr>
          <w:rFonts w:ascii="Bookman Old Style" w:hAnsi="Bookman Old Style" w:cs="Arial"/>
        </w:rPr>
        <w:t>Pemerintah</w:t>
      </w:r>
      <w:r w:rsidR="00A954D0">
        <w:rPr>
          <w:rFonts w:ascii="Bookman Old Style" w:hAnsi="Bookman Old Style" w:cs="Arial"/>
        </w:rPr>
        <w:t xml:space="preserve"> </w:t>
      </w:r>
      <w:r w:rsidRPr="00BF3751">
        <w:rPr>
          <w:rFonts w:ascii="Bookman Old Style" w:hAnsi="Bookman Old Style" w:cs="Arial"/>
        </w:rPr>
        <w:t>Daerah</w:t>
      </w:r>
      <w:r w:rsidR="00A954D0">
        <w:rPr>
          <w:rFonts w:ascii="Bookman Old Style" w:hAnsi="Bookman Old Style" w:cs="Arial"/>
        </w:rPr>
        <w:t xml:space="preserve"> </w:t>
      </w:r>
      <w:r w:rsidRPr="00BF3751">
        <w:rPr>
          <w:rFonts w:ascii="Bookman Old Style" w:hAnsi="Bookman Old Style" w:cs="Arial"/>
        </w:rPr>
        <w:t>Kota</w:t>
      </w:r>
      <w:r w:rsidR="00A954D0">
        <w:rPr>
          <w:rFonts w:ascii="Bookman Old Style" w:hAnsi="Bookman Old Style" w:cs="Arial"/>
        </w:rPr>
        <w:t xml:space="preserve"> </w:t>
      </w:r>
      <w:r w:rsidR="00770F22" w:rsidRPr="00BF3751">
        <w:rPr>
          <w:rFonts w:ascii="Bookman Old Style" w:hAnsi="Bookman Old Style"/>
        </w:rPr>
        <w:t>Tangerang</w:t>
      </w:r>
      <w:r w:rsidR="00A954D0">
        <w:rPr>
          <w:rFonts w:ascii="Bookman Old Style" w:hAnsi="Bookman Old Style" w:cs="Arial"/>
          <w:lang w:val="id-ID"/>
        </w:rPr>
        <w:t xml:space="preserve"> </w:t>
      </w:r>
      <w:r w:rsidRPr="00BF3751">
        <w:rPr>
          <w:rFonts w:ascii="Bookman Old Style" w:hAnsi="Bookman Old Style" w:cs="Arial"/>
          <w:lang w:val="id-ID"/>
        </w:rPr>
        <w:t>dalam</w:t>
      </w:r>
      <w:r w:rsidR="00A954D0">
        <w:rPr>
          <w:rFonts w:ascii="Bookman Old Style" w:hAnsi="Bookman Old Style" w:cs="Arial"/>
          <w:lang w:val="id-ID"/>
        </w:rPr>
        <w:t xml:space="preserve"> </w:t>
      </w:r>
      <w:r w:rsidRPr="00BF3751">
        <w:rPr>
          <w:rFonts w:ascii="Bookman Old Style" w:hAnsi="Bookman Old Style" w:cs="Arial"/>
          <w:lang w:val="id-ID"/>
        </w:rPr>
        <w:t>menyusun</w:t>
      </w:r>
      <w:r w:rsidR="00A954D0">
        <w:rPr>
          <w:rFonts w:ascii="Bookman Old Style" w:hAnsi="Bookman Old Style" w:cs="Arial"/>
          <w:lang w:val="id-ID"/>
        </w:rPr>
        <w:t xml:space="preserve"> </w:t>
      </w:r>
      <w:r w:rsidRPr="00BF3751">
        <w:rPr>
          <w:rFonts w:ascii="Bookman Old Style" w:hAnsi="Bookman Old Style" w:cs="Arial"/>
        </w:rPr>
        <w:t>Rancangan</w:t>
      </w:r>
      <w:r w:rsidR="00A954D0">
        <w:rPr>
          <w:rFonts w:ascii="Bookman Old Style" w:hAnsi="Bookman Old Style" w:cs="Arial"/>
        </w:rPr>
        <w:t xml:space="preserve"> </w:t>
      </w:r>
      <w:r w:rsidRPr="00BF3751">
        <w:rPr>
          <w:rFonts w:ascii="Bookman Old Style" w:hAnsi="Bookman Old Style" w:cs="Arial"/>
        </w:rPr>
        <w:t>Peraturan</w:t>
      </w:r>
      <w:r w:rsidR="00A954D0">
        <w:rPr>
          <w:rFonts w:ascii="Bookman Old Style" w:hAnsi="Bookman Old Style" w:cs="Arial"/>
        </w:rPr>
        <w:t xml:space="preserve"> </w:t>
      </w:r>
      <w:r w:rsidRPr="00BF3751">
        <w:rPr>
          <w:rFonts w:ascii="Bookman Old Style" w:hAnsi="Bookman Old Style" w:cs="Arial"/>
        </w:rPr>
        <w:t>Daerah</w:t>
      </w:r>
      <w:r w:rsidR="00A954D0">
        <w:rPr>
          <w:rFonts w:ascii="Bookman Old Style" w:hAnsi="Bookman Old Style" w:cs="Arial"/>
        </w:rPr>
        <w:t xml:space="preserve"> </w:t>
      </w:r>
      <w:r w:rsidRPr="00BF3751">
        <w:rPr>
          <w:rFonts w:ascii="Bookman Old Style" w:hAnsi="Bookman Old Style" w:cs="Arial"/>
        </w:rPr>
        <w:t>Kota</w:t>
      </w:r>
      <w:r w:rsidR="00A954D0">
        <w:rPr>
          <w:rFonts w:ascii="Bookman Old Style" w:hAnsi="Bookman Old Style" w:cs="Arial"/>
        </w:rPr>
        <w:t xml:space="preserve"> </w:t>
      </w:r>
      <w:r w:rsidR="00770F22" w:rsidRPr="00BF3751">
        <w:rPr>
          <w:rFonts w:ascii="Bookman Old Style" w:hAnsi="Bookman Old Style"/>
        </w:rPr>
        <w:t>Tangerang</w:t>
      </w:r>
      <w:r w:rsidR="00A954D0">
        <w:rPr>
          <w:rFonts w:ascii="Bookman Old Style" w:hAnsi="Bookman Old Style" w:cs="Arial"/>
        </w:rPr>
        <w:t xml:space="preserve"> </w:t>
      </w:r>
      <w:r w:rsidRPr="00BF3751">
        <w:rPr>
          <w:rFonts w:ascii="Bookman Old Style" w:hAnsi="Bookman Old Style" w:cs="Arial"/>
        </w:rPr>
        <w:t>tentang</w:t>
      </w:r>
      <w:r w:rsidR="00A954D0">
        <w:rPr>
          <w:rFonts w:ascii="Bookman Old Style" w:hAnsi="Bookman Old Style" w:cs="Arial"/>
        </w:rPr>
        <w:t xml:space="preserve"> </w:t>
      </w:r>
      <w:r w:rsidRPr="00BF3751">
        <w:rPr>
          <w:rFonts w:ascii="Bookman Old Style" w:hAnsi="Bookman Old Style" w:cs="Arial"/>
        </w:rPr>
        <w:t>Perubahan</w:t>
      </w:r>
      <w:r w:rsidR="00A954D0">
        <w:rPr>
          <w:rFonts w:ascii="Bookman Old Style" w:hAnsi="Bookman Old Style" w:cs="Arial"/>
        </w:rPr>
        <w:t xml:space="preserve"> </w:t>
      </w:r>
      <w:r w:rsidRPr="00BF3751">
        <w:rPr>
          <w:rFonts w:ascii="Bookman Old Style" w:hAnsi="Bookman Old Style" w:cs="Arial"/>
        </w:rPr>
        <w:t>APBD</w:t>
      </w:r>
      <w:r w:rsidR="00A954D0">
        <w:rPr>
          <w:rFonts w:ascii="Bookman Old Style" w:hAnsi="Bookman Old Style" w:cs="Arial"/>
        </w:rPr>
        <w:t xml:space="preserve"> </w:t>
      </w:r>
      <w:r w:rsidRPr="00BF3751">
        <w:rPr>
          <w:rFonts w:ascii="Bookman Old Style" w:hAnsi="Bookman Old Style" w:cs="Arial"/>
        </w:rPr>
        <w:t>Tahun</w:t>
      </w:r>
      <w:r w:rsidR="00A954D0">
        <w:rPr>
          <w:rFonts w:ascii="Bookman Old Style" w:hAnsi="Bookman Old Style" w:cs="Arial"/>
        </w:rPr>
        <w:t xml:space="preserve"> </w:t>
      </w:r>
      <w:r w:rsidRPr="00BF3751">
        <w:rPr>
          <w:rFonts w:ascii="Bookman Old Style" w:hAnsi="Bookman Old Style" w:cs="Arial"/>
        </w:rPr>
        <w:t>Anggaran</w:t>
      </w:r>
      <w:r w:rsidR="00A954D0">
        <w:rPr>
          <w:rFonts w:ascii="Bookman Old Style" w:hAnsi="Bookman Old Style" w:cs="Arial"/>
        </w:rPr>
        <w:t xml:space="preserve"> </w:t>
      </w:r>
      <w:r w:rsidRPr="00BF3751">
        <w:rPr>
          <w:rFonts w:ascii="Bookman Old Style" w:hAnsi="Bookman Old Style" w:cs="Arial"/>
        </w:rPr>
        <w:t>2025</w:t>
      </w:r>
      <w:r w:rsidRPr="00BF3751">
        <w:rPr>
          <w:rFonts w:ascii="Bookman Old Style" w:hAnsi="Bookman Old Style" w:cs="Arial"/>
          <w:lang w:val="id-ID"/>
        </w:rPr>
        <w:t>,</w:t>
      </w:r>
      <w:r w:rsidR="00A954D0">
        <w:rPr>
          <w:rFonts w:ascii="Bookman Old Style" w:hAnsi="Bookman Old Style" w:cs="Arial"/>
          <w:lang w:val="id-ID"/>
        </w:rPr>
        <w:t xml:space="preserve"> </w:t>
      </w:r>
      <w:r w:rsidRPr="00BF3751">
        <w:rPr>
          <w:rFonts w:ascii="Bookman Old Style" w:hAnsi="Bookman Old Style" w:cs="Arial"/>
          <w:lang w:val="id-ID"/>
        </w:rPr>
        <w:t>selain</w:t>
      </w:r>
      <w:r w:rsidR="00A954D0">
        <w:rPr>
          <w:rFonts w:ascii="Bookman Old Style" w:hAnsi="Bookman Old Style" w:cs="Arial"/>
          <w:lang w:val="id-ID"/>
        </w:rPr>
        <w:t xml:space="preserve"> </w:t>
      </w:r>
      <w:r w:rsidRPr="00BF3751">
        <w:rPr>
          <w:rFonts w:ascii="Bookman Old Style" w:hAnsi="Bookman Old Style" w:cs="Arial"/>
          <w:lang w:val="id-ID"/>
        </w:rPr>
        <w:t>memperhatikan</w:t>
      </w:r>
      <w:r w:rsidR="00A954D0">
        <w:rPr>
          <w:rFonts w:ascii="Bookman Old Style" w:hAnsi="Bookman Old Style" w:cs="Arial"/>
          <w:lang w:val="id-ID"/>
        </w:rPr>
        <w:t xml:space="preserve"> </w:t>
      </w:r>
      <w:r w:rsidRPr="00BF3751">
        <w:rPr>
          <w:rFonts w:ascii="Bookman Old Style" w:hAnsi="Bookman Old Style" w:cs="Arial"/>
          <w:lang w:val="id-ID"/>
        </w:rPr>
        <w:t>kebijakan</w:t>
      </w:r>
      <w:r w:rsidR="00A954D0">
        <w:rPr>
          <w:rFonts w:ascii="Bookman Old Style" w:hAnsi="Bookman Old Style" w:cs="Arial"/>
          <w:lang w:val="id-ID"/>
        </w:rPr>
        <w:t xml:space="preserve"> </w:t>
      </w:r>
      <w:r w:rsidRPr="00BF3751">
        <w:rPr>
          <w:rFonts w:ascii="Bookman Old Style" w:hAnsi="Bookman Old Style" w:cs="Arial"/>
          <w:lang w:val="id-ID"/>
        </w:rPr>
        <w:t>dan</w:t>
      </w:r>
      <w:r w:rsidR="00A954D0">
        <w:rPr>
          <w:rFonts w:ascii="Bookman Old Style" w:hAnsi="Bookman Old Style" w:cs="Arial"/>
          <w:lang w:val="id-ID"/>
        </w:rPr>
        <w:t xml:space="preserve"> </w:t>
      </w:r>
      <w:r w:rsidRPr="00BF3751">
        <w:rPr>
          <w:rFonts w:ascii="Bookman Old Style" w:hAnsi="Bookman Old Style" w:cs="Arial"/>
          <w:lang w:val="id-ID"/>
        </w:rPr>
        <w:t>teknis</w:t>
      </w:r>
      <w:r w:rsidR="00A954D0">
        <w:rPr>
          <w:rFonts w:ascii="Bookman Old Style" w:hAnsi="Bookman Old Style" w:cs="Arial"/>
          <w:lang w:val="id-ID"/>
        </w:rPr>
        <w:t xml:space="preserve"> </w:t>
      </w:r>
      <w:r w:rsidRPr="00BF3751">
        <w:rPr>
          <w:rFonts w:ascii="Bookman Old Style" w:hAnsi="Bookman Old Style" w:cs="Arial"/>
          <w:lang w:val="id-ID"/>
        </w:rPr>
        <w:t>penyusunan</w:t>
      </w:r>
      <w:r w:rsidR="00A954D0">
        <w:rPr>
          <w:rFonts w:ascii="Bookman Old Style" w:hAnsi="Bookman Old Style" w:cs="Arial"/>
          <w:lang w:val="id-ID"/>
        </w:rPr>
        <w:t xml:space="preserve"> </w:t>
      </w:r>
      <w:r w:rsidRPr="00BF3751">
        <w:rPr>
          <w:rFonts w:ascii="Bookman Old Style" w:hAnsi="Bookman Old Style" w:cs="Arial"/>
          <w:lang w:val="id-ID"/>
        </w:rPr>
        <w:t>APBD,</w:t>
      </w:r>
      <w:r w:rsidR="00A954D0">
        <w:rPr>
          <w:rFonts w:ascii="Bookman Old Style" w:hAnsi="Bookman Old Style" w:cs="Arial"/>
          <w:lang w:val="id-ID"/>
        </w:rPr>
        <w:t xml:space="preserve"> </w:t>
      </w:r>
      <w:r w:rsidRPr="00BF3751">
        <w:rPr>
          <w:rFonts w:ascii="Bookman Old Style" w:hAnsi="Bookman Old Style" w:cs="Arial"/>
          <w:lang w:val="id-ID"/>
        </w:rPr>
        <w:t>juga</w:t>
      </w:r>
      <w:r w:rsidR="00A954D0">
        <w:rPr>
          <w:rFonts w:ascii="Bookman Old Style" w:hAnsi="Bookman Old Style" w:cs="Arial"/>
          <w:lang w:val="id-ID"/>
        </w:rPr>
        <w:t xml:space="preserve"> </w:t>
      </w:r>
      <w:r w:rsidRPr="00BF3751">
        <w:rPr>
          <w:rFonts w:ascii="Bookman Old Style" w:hAnsi="Bookman Old Style" w:cs="Arial"/>
        </w:rPr>
        <w:t>berpedoman</w:t>
      </w:r>
      <w:r w:rsidR="00A954D0">
        <w:rPr>
          <w:rFonts w:ascii="Bookman Old Style" w:hAnsi="Bookman Old Style" w:cs="Arial"/>
        </w:rPr>
        <w:t xml:space="preserve"> </w:t>
      </w:r>
      <w:r w:rsidRPr="00BF3751">
        <w:rPr>
          <w:rFonts w:ascii="Bookman Old Style" w:hAnsi="Bookman Old Style" w:cs="Arial"/>
        </w:rPr>
        <w:t>pada</w:t>
      </w:r>
      <w:r w:rsidR="00A954D0">
        <w:rPr>
          <w:rFonts w:ascii="Bookman Old Style" w:hAnsi="Bookman Old Style" w:cs="Arial"/>
          <w:lang w:val="id-ID"/>
        </w:rPr>
        <w:t xml:space="preserve"> </w:t>
      </w:r>
      <w:r w:rsidRPr="00BF3751">
        <w:rPr>
          <w:rFonts w:ascii="Bookman Old Style" w:hAnsi="Bookman Old Style" w:cs="Arial"/>
          <w:lang w:val="id-ID"/>
        </w:rPr>
        <w:t>antara</w:t>
      </w:r>
      <w:r w:rsidR="00A954D0">
        <w:rPr>
          <w:rFonts w:ascii="Bookman Old Style" w:hAnsi="Bookman Old Style" w:cs="Arial"/>
          <w:lang w:val="id-ID"/>
        </w:rPr>
        <w:t xml:space="preserve"> </w:t>
      </w:r>
      <w:r w:rsidRPr="00BF3751">
        <w:rPr>
          <w:rFonts w:ascii="Bookman Old Style" w:hAnsi="Bookman Old Style" w:cs="Arial"/>
          <w:lang w:val="id-ID"/>
        </w:rPr>
        <w:t>lain</w:t>
      </w:r>
      <w:r w:rsidR="00A954D0">
        <w:rPr>
          <w:rFonts w:ascii="Bookman Old Style" w:hAnsi="Bookman Old Style" w:cs="Arial"/>
          <w:lang w:val="id-ID"/>
        </w:rPr>
        <w:t xml:space="preserve"> </w:t>
      </w:r>
      <w:r w:rsidRPr="00BF3751">
        <w:rPr>
          <w:rFonts w:ascii="Bookman Old Style" w:hAnsi="Bookman Old Style" w:cs="Arial"/>
          <w:lang w:val="id-ID"/>
        </w:rPr>
        <w:t>sebagai</w:t>
      </w:r>
      <w:r w:rsidR="00A954D0">
        <w:rPr>
          <w:rFonts w:ascii="Bookman Old Style" w:hAnsi="Bookman Old Style" w:cs="Arial"/>
          <w:lang w:val="id-ID"/>
        </w:rPr>
        <w:t xml:space="preserve"> </w:t>
      </w:r>
      <w:r w:rsidRPr="00BF3751">
        <w:rPr>
          <w:rFonts w:ascii="Bookman Old Style" w:hAnsi="Bookman Old Style" w:cs="Arial"/>
          <w:lang w:val="id-ID"/>
        </w:rPr>
        <w:t>berikut</w:t>
      </w:r>
      <w:r w:rsidRPr="00BF3751">
        <w:rPr>
          <w:rFonts w:ascii="Bookman Old Style" w:hAnsi="Bookman Old Style" w:cs="Arial"/>
        </w:rPr>
        <w:t>:</w:t>
      </w:r>
    </w:p>
    <w:p w14:paraId="10DB48FF" w14:textId="5F0B2F82" w:rsidR="003374DF" w:rsidRPr="003255BC" w:rsidRDefault="003374DF" w:rsidP="00FD35E9">
      <w:pPr>
        <w:numPr>
          <w:ilvl w:val="0"/>
          <w:numId w:val="156"/>
        </w:numPr>
        <w:spacing w:before="60" w:line="276" w:lineRule="auto"/>
        <w:ind w:left="993" w:hanging="426"/>
        <w:jc w:val="both"/>
        <w:rPr>
          <w:rFonts w:ascii="Bookman Old Style" w:hAnsi="Bookman Old Style"/>
          <w:lang w:val="sv-FI"/>
        </w:rPr>
      </w:pPr>
      <w:r w:rsidRPr="003255BC">
        <w:rPr>
          <w:rFonts w:ascii="Bookman Old Style" w:hAnsi="Bookman Old Style"/>
          <w:lang w:val="sv-FI"/>
        </w:rPr>
        <w:t>Pemerintah</w:t>
      </w:r>
      <w:r w:rsidR="00A954D0" w:rsidRPr="003255BC">
        <w:rPr>
          <w:rFonts w:ascii="Bookman Old Style" w:hAnsi="Bookman Old Style"/>
          <w:lang w:val="sv-FI"/>
        </w:rPr>
        <w:t xml:space="preserve"> </w:t>
      </w:r>
      <w:r w:rsidRPr="003255BC">
        <w:rPr>
          <w:rFonts w:ascii="Bookman Old Style" w:hAnsi="Bookman Old Style"/>
          <w:lang w:val="sv-FI"/>
        </w:rPr>
        <w:t>Daerah</w:t>
      </w:r>
      <w:r w:rsidR="00A954D0" w:rsidRPr="003255BC">
        <w:rPr>
          <w:rFonts w:ascii="Bookman Old Style" w:hAnsi="Bookman Old Style"/>
          <w:lang w:val="sv-FI"/>
        </w:rPr>
        <w:t xml:space="preserve"> </w:t>
      </w:r>
      <w:r w:rsidR="00046408" w:rsidRPr="003255BC">
        <w:rPr>
          <w:rFonts w:ascii="Bookman Old Style" w:hAnsi="Bookman Old Style"/>
          <w:lang w:val="sv-FI"/>
        </w:rPr>
        <w:t>Kota</w:t>
      </w:r>
      <w:r w:rsidR="00A954D0" w:rsidRPr="003255BC">
        <w:rPr>
          <w:rFonts w:ascii="Bookman Old Style" w:hAnsi="Bookman Old Style"/>
          <w:lang w:val="sv-FI"/>
        </w:rPr>
        <w:t xml:space="preserve"> </w:t>
      </w:r>
      <w:r w:rsidR="00770F22" w:rsidRPr="003255BC">
        <w:rPr>
          <w:rFonts w:ascii="Bookman Old Style" w:hAnsi="Bookman Old Style"/>
          <w:lang w:val="sv-FI"/>
        </w:rPr>
        <w:t>Tangerang</w:t>
      </w:r>
      <w:r w:rsidR="00A954D0" w:rsidRPr="003255BC">
        <w:rPr>
          <w:rFonts w:ascii="Bookman Old Style" w:hAnsi="Bookman Old Style"/>
          <w:lang w:val="sv-FI"/>
        </w:rPr>
        <w:t xml:space="preserve"> </w:t>
      </w:r>
      <w:r w:rsidRPr="003255BC">
        <w:rPr>
          <w:rFonts w:ascii="Bookman Old Style" w:hAnsi="Bookman Old Style"/>
          <w:lang w:val="sv-FI"/>
        </w:rPr>
        <w:t>dalam</w:t>
      </w:r>
      <w:r w:rsidR="00A954D0" w:rsidRPr="003255BC">
        <w:rPr>
          <w:rFonts w:ascii="Bookman Old Style" w:hAnsi="Bookman Old Style"/>
          <w:lang w:val="sv-FI"/>
        </w:rPr>
        <w:t xml:space="preserve"> </w:t>
      </w:r>
      <w:r w:rsidRPr="003255BC">
        <w:rPr>
          <w:rFonts w:ascii="Bookman Old Style" w:hAnsi="Bookman Old Style"/>
          <w:lang w:val="sv-FI"/>
        </w:rPr>
        <w:t>penyusunan</w:t>
      </w:r>
      <w:r w:rsidR="00A954D0" w:rsidRPr="003255BC">
        <w:rPr>
          <w:rFonts w:ascii="Bookman Old Style" w:hAnsi="Bookman Old Style"/>
          <w:lang w:val="sv-FI"/>
        </w:rPr>
        <w:t xml:space="preserve"> </w:t>
      </w:r>
      <w:r w:rsidRPr="003255BC">
        <w:rPr>
          <w:rFonts w:ascii="Bookman Old Style" w:hAnsi="Bookman Old Style"/>
          <w:lang w:val="sv-FI"/>
        </w:rPr>
        <w:t>APBD</w:t>
      </w:r>
      <w:r w:rsidR="00A954D0" w:rsidRPr="003255BC">
        <w:rPr>
          <w:rFonts w:ascii="Bookman Old Style" w:hAnsi="Bookman Old Style"/>
          <w:lang w:val="sv-FI"/>
        </w:rPr>
        <w:t xml:space="preserve"> </w:t>
      </w:r>
      <w:r w:rsidRPr="003255BC">
        <w:rPr>
          <w:rFonts w:ascii="Bookman Old Style" w:hAnsi="Bookman Old Style"/>
          <w:lang w:val="sv-FI"/>
        </w:rPr>
        <w:t>Tahun</w:t>
      </w:r>
      <w:r w:rsidR="00A954D0" w:rsidRPr="003255BC">
        <w:rPr>
          <w:rFonts w:ascii="Bookman Old Style" w:hAnsi="Bookman Old Style"/>
          <w:lang w:val="sv-FI"/>
        </w:rPr>
        <w:t xml:space="preserve"> </w:t>
      </w:r>
      <w:r w:rsidRPr="003255BC">
        <w:rPr>
          <w:rFonts w:ascii="Bookman Old Style" w:hAnsi="Bookman Old Style"/>
          <w:lang w:val="sv-FI"/>
        </w:rPr>
        <w:t>Anggaran</w:t>
      </w:r>
      <w:r w:rsidR="00A954D0" w:rsidRPr="003255BC">
        <w:rPr>
          <w:rFonts w:ascii="Bookman Old Style" w:hAnsi="Bookman Old Style"/>
          <w:lang w:val="sv-FI"/>
        </w:rPr>
        <w:t xml:space="preserve"> </w:t>
      </w:r>
      <w:r w:rsidRPr="003255BC">
        <w:rPr>
          <w:rFonts w:ascii="Bookman Old Style" w:hAnsi="Bookman Old Style"/>
          <w:lang w:val="sv-FI"/>
        </w:rPr>
        <w:t>2025</w:t>
      </w:r>
      <w:r w:rsidR="00A954D0" w:rsidRPr="003255BC">
        <w:rPr>
          <w:rFonts w:ascii="Bookman Old Style" w:hAnsi="Bookman Old Style"/>
          <w:lang w:val="sv-FI"/>
        </w:rPr>
        <w:t xml:space="preserve"> </w:t>
      </w:r>
      <w:r w:rsidRPr="003255BC">
        <w:rPr>
          <w:rFonts w:ascii="Bookman Old Style" w:hAnsi="Bookman Old Style"/>
          <w:lang w:val="sv-FI"/>
        </w:rPr>
        <w:t>untuk</w:t>
      </w:r>
      <w:r w:rsidR="00A954D0" w:rsidRPr="003255BC">
        <w:rPr>
          <w:rFonts w:ascii="Bookman Old Style" w:hAnsi="Bookman Old Style"/>
          <w:lang w:val="sv-FI"/>
        </w:rPr>
        <w:t xml:space="preserve"> </w:t>
      </w:r>
      <w:r w:rsidRPr="003255BC">
        <w:rPr>
          <w:rFonts w:ascii="Bookman Old Style" w:hAnsi="Bookman Old Style"/>
          <w:lang w:val="sv-FI"/>
        </w:rPr>
        <w:t>mendukung</w:t>
      </w:r>
      <w:r w:rsidR="00A954D0" w:rsidRPr="003255BC">
        <w:rPr>
          <w:rFonts w:ascii="Bookman Old Style" w:hAnsi="Bookman Old Style"/>
          <w:lang w:val="sv-FI"/>
        </w:rPr>
        <w:t xml:space="preserve"> </w:t>
      </w:r>
      <w:r w:rsidRPr="003255BC">
        <w:rPr>
          <w:rFonts w:ascii="Bookman Old Style" w:hAnsi="Bookman Old Style"/>
          <w:lang w:val="sv-FI"/>
        </w:rPr>
        <w:t>17</w:t>
      </w:r>
      <w:r w:rsidR="00A954D0" w:rsidRPr="003255BC">
        <w:rPr>
          <w:rFonts w:ascii="Bookman Old Style" w:hAnsi="Bookman Old Style"/>
          <w:lang w:val="sv-FI"/>
        </w:rPr>
        <w:t xml:space="preserve"> </w:t>
      </w:r>
      <w:r w:rsidRPr="003255BC">
        <w:rPr>
          <w:rFonts w:ascii="Bookman Old Style" w:hAnsi="Bookman Old Style"/>
          <w:lang w:val="sv-FI"/>
        </w:rPr>
        <w:t>(tujuh</w:t>
      </w:r>
      <w:r w:rsidR="00A954D0" w:rsidRPr="003255BC">
        <w:rPr>
          <w:rFonts w:ascii="Bookman Old Style" w:hAnsi="Bookman Old Style"/>
          <w:lang w:val="sv-FI"/>
        </w:rPr>
        <w:t xml:space="preserve"> </w:t>
      </w:r>
      <w:r w:rsidRPr="003255BC">
        <w:rPr>
          <w:rFonts w:ascii="Bookman Old Style" w:hAnsi="Bookman Old Style"/>
          <w:lang w:val="sv-FI"/>
        </w:rPr>
        <w:t>belas)</w:t>
      </w:r>
      <w:r w:rsidR="00A954D0" w:rsidRPr="003255BC">
        <w:rPr>
          <w:rFonts w:ascii="Bookman Old Style" w:hAnsi="Bookman Old Style"/>
          <w:lang w:val="sv-FI"/>
        </w:rPr>
        <w:t xml:space="preserve"> </w:t>
      </w:r>
      <w:r w:rsidRPr="003255BC">
        <w:rPr>
          <w:rFonts w:ascii="Bookman Old Style" w:hAnsi="Bookman Old Style"/>
          <w:lang w:val="sv-FI"/>
        </w:rPr>
        <w:t>Program</w:t>
      </w:r>
      <w:r w:rsidR="00A954D0" w:rsidRPr="003255BC">
        <w:rPr>
          <w:rFonts w:ascii="Bookman Old Style" w:hAnsi="Bookman Old Style"/>
          <w:lang w:val="sv-FI"/>
        </w:rPr>
        <w:t xml:space="preserve"> </w:t>
      </w:r>
      <w:r w:rsidRPr="003255BC">
        <w:rPr>
          <w:rFonts w:ascii="Bookman Old Style" w:hAnsi="Bookman Old Style"/>
          <w:lang w:val="sv-FI"/>
        </w:rPr>
        <w:t>Prioritas</w:t>
      </w:r>
      <w:r w:rsidR="00A954D0" w:rsidRPr="003255BC">
        <w:rPr>
          <w:rFonts w:ascii="Bookman Old Style" w:hAnsi="Bookman Old Style"/>
          <w:lang w:val="sv-FI"/>
        </w:rPr>
        <w:t xml:space="preserve"> </w:t>
      </w:r>
      <w:r w:rsidRPr="003255BC">
        <w:rPr>
          <w:rFonts w:ascii="Bookman Old Style" w:hAnsi="Bookman Old Style"/>
          <w:lang w:val="sv-FI"/>
        </w:rPr>
        <w:t>Presiden</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Wakil</w:t>
      </w:r>
      <w:r w:rsidR="00A954D0" w:rsidRPr="003255BC">
        <w:rPr>
          <w:rFonts w:ascii="Bookman Old Style" w:hAnsi="Bookman Old Style"/>
          <w:lang w:val="sv-FI"/>
        </w:rPr>
        <w:t xml:space="preserve"> </w:t>
      </w:r>
      <w:r w:rsidRPr="003255BC">
        <w:rPr>
          <w:rFonts w:ascii="Bookman Old Style" w:hAnsi="Bookman Old Style"/>
          <w:lang w:val="sv-FI"/>
        </w:rPr>
        <w:t>Presiden</w:t>
      </w:r>
      <w:r w:rsidR="00A954D0" w:rsidRPr="003255BC">
        <w:rPr>
          <w:rFonts w:ascii="Bookman Old Style" w:hAnsi="Bookman Old Style"/>
          <w:lang w:val="sv-FI"/>
        </w:rPr>
        <w:t xml:space="preserve"> </w:t>
      </w:r>
      <w:r w:rsidRPr="003255BC">
        <w:rPr>
          <w:rFonts w:ascii="Bookman Old Style" w:hAnsi="Bookman Old Style"/>
          <w:lang w:val="sv-FI"/>
        </w:rPr>
        <w:t>RI,</w:t>
      </w:r>
      <w:r w:rsidR="00A954D0" w:rsidRPr="003255BC">
        <w:rPr>
          <w:rFonts w:ascii="Bookman Old Style" w:hAnsi="Bookman Old Style"/>
          <w:lang w:val="sv-FI"/>
        </w:rPr>
        <w:t xml:space="preserve"> </w:t>
      </w:r>
      <w:r w:rsidRPr="003255BC">
        <w:rPr>
          <w:rFonts w:ascii="Bookman Old Style" w:hAnsi="Bookman Old Style"/>
          <w:lang w:val="sv-FI"/>
        </w:rPr>
        <w:t>yaitu:</w:t>
      </w:r>
    </w:p>
    <w:p w14:paraId="478C1F73" w14:textId="13E97F0C" w:rsidR="003374DF" w:rsidRPr="00BF3751" w:rsidRDefault="003374DF" w:rsidP="00953DC9">
      <w:pPr>
        <w:pStyle w:val="ListParagraph"/>
        <w:numPr>
          <w:ilvl w:val="0"/>
          <w:numId w:val="155"/>
        </w:numPr>
        <w:spacing w:before="60" w:after="0" w:line="276" w:lineRule="auto"/>
        <w:ind w:left="1418" w:hanging="425"/>
        <w:contextualSpacing w:val="0"/>
        <w:jc w:val="both"/>
        <w:rPr>
          <w:rFonts w:ascii="Bookman Old Style" w:hAnsi="Bookman Old Style"/>
          <w:sz w:val="24"/>
          <w:szCs w:val="24"/>
        </w:rPr>
      </w:pPr>
      <w:r w:rsidRPr="00BF3751">
        <w:rPr>
          <w:rFonts w:ascii="Bookman Old Style" w:hAnsi="Bookman Old Style"/>
          <w:sz w:val="24"/>
          <w:szCs w:val="24"/>
        </w:rPr>
        <w:t>Swasembada</w:t>
      </w:r>
      <w:r w:rsidR="00A954D0">
        <w:rPr>
          <w:rFonts w:ascii="Bookman Old Style" w:hAnsi="Bookman Old Style"/>
          <w:sz w:val="24"/>
          <w:szCs w:val="24"/>
        </w:rPr>
        <w:t xml:space="preserve"> </w:t>
      </w:r>
      <w:r w:rsidRPr="00BF3751">
        <w:rPr>
          <w:rFonts w:ascii="Bookman Old Style" w:hAnsi="Bookman Old Style"/>
          <w:sz w:val="24"/>
          <w:szCs w:val="24"/>
        </w:rPr>
        <w:t>pangan,</w:t>
      </w:r>
      <w:r w:rsidR="00A954D0">
        <w:rPr>
          <w:rFonts w:ascii="Bookman Old Style" w:hAnsi="Bookman Old Style"/>
          <w:sz w:val="24"/>
          <w:szCs w:val="24"/>
        </w:rPr>
        <w:t xml:space="preserve"> </w:t>
      </w:r>
      <w:r w:rsidRPr="00BF3751">
        <w:rPr>
          <w:rFonts w:ascii="Bookman Old Style" w:hAnsi="Bookman Old Style"/>
          <w:sz w:val="24"/>
          <w:szCs w:val="24"/>
        </w:rPr>
        <w:t>energi,</w:t>
      </w:r>
      <w:r w:rsidR="00A954D0">
        <w:rPr>
          <w:rFonts w:ascii="Bookman Old Style" w:hAnsi="Bookman Old Style"/>
          <w:sz w:val="24"/>
          <w:szCs w:val="24"/>
        </w:rPr>
        <w:t xml:space="preserve"> </w:t>
      </w:r>
      <w:r w:rsidRPr="00BF3751">
        <w:rPr>
          <w:rFonts w:ascii="Bookman Old Style" w:hAnsi="Bookman Old Style"/>
          <w:sz w:val="24"/>
          <w:szCs w:val="24"/>
        </w:rPr>
        <w:t>dan</w:t>
      </w:r>
      <w:r w:rsidR="00A954D0">
        <w:rPr>
          <w:rFonts w:ascii="Bookman Old Style" w:hAnsi="Bookman Old Style"/>
          <w:sz w:val="24"/>
          <w:szCs w:val="24"/>
        </w:rPr>
        <w:t xml:space="preserve"> </w:t>
      </w:r>
      <w:r w:rsidRPr="00BF3751">
        <w:rPr>
          <w:rFonts w:ascii="Bookman Old Style" w:hAnsi="Bookman Old Style"/>
          <w:sz w:val="24"/>
          <w:szCs w:val="24"/>
        </w:rPr>
        <w:t>air;</w:t>
      </w:r>
    </w:p>
    <w:p w14:paraId="659F5D2F" w14:textId="1B388D6A" w:rsidR="003374DF" w:rsidRPr="00BF3751" w:rsidRDefault="003374DF" w:rsidP="00953DC9">
      <w:pPr>
        <w:pStyle w:val="ListParagraph"/>
        <w:numPr>
          <w:ilvl w:val="0"/>
          <w:numId w:val="155"/>
        </w:numPr>
        <w:spacing w:before="60" w:after="0" w:line="276" w:lineRule="auto"/>
        <w:ind w:left="1418" w:hanging="425"/>
        <w:contextualSpacing w:val="0"/>
        <w:jc w:val="both"/>
        <w:rPr>
          <w:rFonts w:ascii="Bookman Old Style" w:hAnsi="Bookman Old Style"/>
          <w:sz w:val="24"/>
          <w:szCs w:val="24"/>
        </w:rPr>
      </w:pPr>
      <w:r w:rsidRPr="00BF3751">
        <w:rPr>
          <w:rFonts w:ascii="Bookman Old Style" w:hAnsi="Bookman Old Style"/>
          <w:sz w:val="24"/>
          <w:szCs w:val="24"/>
        </w:rPr>
        <w:t>Penyempurnaan</w:t>
      </w:r>
      <w:r w:rsidR="00A954D0">
        <w:rPr>
          <w:rFonts w:ascii="Bookman Old Style" w:hAnsi="Bookman Old Style"/>
          <w:sz w:val="24"/>
          <w:szCs w:val="24"/>
        </w:rPr>
        <w:t xml:space="preserve"> </w:t>
      </w:r>
      <w:r w:rsidRPr="00BF3751">
        <w:rPr>
          <w:rFonts w:ascii="Bookman Old Style" w:hAnsi="Bookman Old Style"/>
          <w:sz w:val="24"/>
          <w:szCs w:val="24"/>
        </w:rPr>
        <w:t>sistem</w:t>
      </w:r>
      <w:r w:rsidR="00A954D0">
        <w:rPr>
          <w:rFonts w:ascii="Bookman Old Style" w:hAnsi="Bookman Old Style"/>
          <w:sz w:val="24"/>
          <w:szCs w:val="24"/>
        </w:rPr>
        <w:t xml:space="preserve"> </w:t>
      </w:r>
      <w:r w:rsidRPr="00BF3751">
        <w:rPr>
          <w:rFonts w:ascii="Bookman Old Style" w:hAnsi="Bookman Old Style"/>
          <w:sz w:val="24"/>
          <w:szCs w:val="24"/>
        </w:rPr>
        <w:t>penerimaan</w:t>
      </w:r>
      <w:r w:rsidR="00A954D0">
        <w:rPr>
          <w:rFonts w:ascii="Bookman Old Style" w:hAnsi="Bookman Old Style"/>
          <w:sz w:val="24"/>
          <w:szCs w:val="24"/>
        </w:rPr>
        <w:t xml:space="preserve"> </w:t>
      </w:r>
      <w:r w:rsidRPr="00BF3751">
        <w:rPr>
          <w:rFonts w:ascii="Bookman Old Style" w:hAnsi="Bookman Old Style"/>
          <w:sz w:val="24"/>
          <w:szCs w:val="24"/>
        </w:rPr>
        <w:t>negara;</w:t>
      </w:r>
    </w:p>
    <w:p w14:paraId="2DC6CF2F" w14:textId="41C2B791" w:rsidR="003374DF" w:rsidRPr="00BF3751" w:rsidRDefault="003374DF" w:rsidP="00953DC9">
      <w:pPr>
        <w:pStyle w:val="ListParagraph"/>
        <w:numPr>
          <w:ilvl w:val="0"/>
          <w:numId w:val="155"/>
        </w:numPr>
        <w:spacing w:before="60" w:after="0" w:line="276" w:lineRule="auto"/>
        <w:ind w:left="1418" w:hanging="425"/>
        <w:contextualSpacing w:val="0"/>
        <w:jc w:val="both"/>
        <w:rPr>
          <w:rFonts w:ascii="Bookman Old Style" w:hAnsi="Bookman Old Style"/>
          <w:sz w:val="24"/>
          <w:szCs w:val="24"/>
        </w:rPr>
      </w:pPr>
      <w:r w:rsidRPr="00BF3751">
        <w:rPr>
          <w:rFonts w:ascii="Bookman Old Style" w:hAnsi="Bookman Old Style"/>
          <w:sz w:val="24"/>
          <w:szCs w:val="24"/>
        </w:rPr>
        <w:t>Reformasi</w:t>
      </w:r>
      <w:r w:rsidR="00A954D0">
        <w:rPr>
          <w:rFonts w:ascii="Bookman Old Style" w:hAnsi="Bookman Old Style"/>
          <w:sz w:val="24"/>
          <w:szCs w:val="24"/>
        </w:rPr>
        <w:t xml:space="preserve"> </w:t>
      </w:r>
      <w:r w:rsidRPr="00BF3751">
        <w:rPr>
          <w:rFonts w:ascii="Bookman Old Style" w:hAnsi="Bookman Old Style"/>
          <w:sz w:val="24"/>
          <w:szCs w:val="24"/>
        </w:rPr>
        <w:t>Politik,</w:t>
      </w:r>
      <w:r w:rsidR="00A954D0">
        <w:rPr>
          <w:rFonts w:ascii="Bookman Old Style" w:hAnsi="Bookman Old Style"/>
          <w:sz w:val="24"/>
          <w:szCs w:val="24"/>
        </w:rPr>
        <w:t xml:space="preserve"> </w:t>
      </w:r>
      <w:r w:rsidRPr="00BF3751">
        <w:rPr>
          <w:rFonts w:ascii="Bookman Old Style" w:hAnsi="Bookman Old Style"/>
          <w:sz w:val="24"/>
          <w:szCs w:val="24"/>
        </w:rPr>
        <w:t>hukum,</w:t>
      </w:r>
      <w:r w:rsidR="00A954D0">
        <w:rPr>
          <w:rFonts w:ascii="Bookman Old Style" w:hAnsi="Bookman Old Style"/>
          <w:sz w:val="24"/>
          <w:szCs w:val="24"/>
        </w:rPr>
        <w:t xml:space="preserve"> </w:t>
      </w:r>
      <w:r w:rsidRPr="00BF3751">
        <w:rPr>
          <w:rFonts w:ascii="Bookman Old Style" w:hAnsi="Bookman Old Style"/>
          <w:sz w:val="24"/>
          <w:szCs w:val="24"/>
        </w:rPr>
        <w:t>dan</w:t>
      </w:r>
      <w:r w:rsidR="00A954D0">
        <w:rPr>
          <w:rFonts w:ascii="Bookman Old Style" w:hAnsi="Bookman Old Style"/>
          <w:sz w:val="24"/>
          <w:szCs w:val="24"/>
        </w:rPr>
        <w:t xml:space="preserve"> </w:t>
      </w:r>
      <w:r w:rsidRPr="00BF3751">
        <w:rPr>
          <w:rFonts w:ascii="Bookman Old Style" w:hAnsi="Bookman Old Style"/>
          <w:sz w:val="24"/>
          <w:szCs w:val="24"/>
        </w:rPr>
        <w:t>birokrasi;</w:t>
      </w:r>
    </w:p>
    <w:p w14:paraId="3F070242" w14:textId="17A49F37" w:rsidR="003374DF" w:rsidRPr="00BF3751" w:rsidRDefault="003374DF" w:rsidP="00953DC9">
      <w:pPr>
        <w:pStyle w:val="ListParagraph"/>
        <w:numPr>
          <w:ilvl w:val="0"/>
          <w:numId w:val="155"/>
        </w:numPr>
        <w:spacing w:before="60" w:after="0" w:line="276" w:lineRule="auto"/>
        <w:ind w:left="1418" w:hanging="425"/>
        <w:contextualSpacing w:val="0"/>
        <w:jc w:val="both"/>
        <w:rPr>
          <w:rFonts w:ascii="Bookman Old Style" w:hAnsi="Bookman Old Style"/>
          <w:sz w:val="24"/>
          <w:szCs w:val="24"/>
        </w:rPr>
      </w:pPr>
      <w:r w:rsidRPr="00BF3751">
        <w:rPr>
          <w:rFonts w:ascii="Bookman Old Style" w:hAnsi="Bookman Old Style"/>
          <w:sz w:val="24"/>
          <w:szCs w:val="24"/>
        </w:rPr>
        <w:t>Pencegahan</w:t>
      </w:r>
      <w:r w:rsidR="00A954D0">
        <w:rPr>
          <w:rFonts w:ascii="Bookman Old Style" w:hAnsi="Bookman Old Style"/>
          <w:sz w:val="24"/>
          <w:szCs w:val="24"/>
        </w:rPr>
        <w:t xml:space="preserve"> </w:t>
      </w:r>
      <w:r w:rsidRPr="00BF3751">
        <w:rPr>
          <w:rFonts w:ascii="Bookman Old Style" w:hAnsi="Bookman Old Style"/>
          <w:sz w:val="24"/>
          <w:szCs w:val="24"/>
        </w:rPr>
        <w:t>dan</w:t>
      </w:r>
      <w:r w:rsidR="00A954D0">
        <w:rPr>
          <w:rFonts w:ascii="Bookman Old Style" w:hAnsi="Bookman Old Style"/>
          <w:sz w:val="24"/>
          <w:szCs w:val="24"/>
        </w:rPr>
        <w:t xml:space="preserve"> </w:t>
      </w:r>
      <w:r w:rsidRPr="00BF3751">
        <w:rPr>
          <w:rFonts w:ascii="Bookman Old Style" w:hAnsi="Bookman Old Style"/>
          <w:sz w:val="24"/>
          <w:szCs w:val="24"/>
        </w:rPr>
        <w:t>pemberantasan</w:t>
      </w:r>
      <w:r w:rsidR="00A954D0">
        <w:rPr>
          <w:rFonts w:ascii="Bookman Old Style" w:hAnsi="Bookman Old Style"/>
          <w:sz w:val="24"/>
          <w:szCs w:val="24"/>
        </w:rPr>
        <w:t xml:space="preserve"> </w:t>
      </w:r>
      <w:r w:rsidRPr="00BF3751">
        <w:rPr>
          <w:rFonts w:ascii="Bookman Old Style" w:hAnsi="Bookman Old Style"/>
          <w:sz w:val="24"/>
          <w:szCs w:val="24"/>
        </w:rPr>
        <w:t>korupsi;</w:t>
      </w:r>
    </w:p>
    <w:p w14:paraId="0AEE830F" w14:textId="4C738C84" w:rsidR="003374DF" w:rsidRPr="00BF3751" w:rsidRDefault="003374DF" w:rsidP="00953DC9">
      <w:pPr>
        <w:pStyle w:val="ListParagraph"/>
        <w:numPr>
          <w:ilvl w:val="0"/>
          <w:numId w:val="155"/>
        </w:numPr>
        <w:spacing w:before="60" w:after="0" w:line="276" w:lineRule="auto"/>
        <w:ind w:left="1418" w:hanging="425"/>
        <w:contextualSpacing w:val="0"/>
        <w:jc w:val="both"/>
        <w:rPr>
          <w:rFonts w:ascii="Bookman Old Style" w:hAnsi="Bookman Old Style"/>
          <w:sz w:val="24"/>
          <w:szCs w:val="24"/>
        </w:rPr>
      </w:pPr>
      <w:r w:rsidRPr="00BF3751">
        <w:rPr>
          <w:rFonts w:ascii="Bookman Old Style" w:hAnsi="Bookman Old Style"/>
          <w:sz w:val="24"/>
          <w:szCs w:val="24"/>
        </w:rPr>
        <w:t>Pemberantasan</w:t>
      </w:r>
      <w:r w:rsidR="00A954D0">
        <w:rPr>
          <w:rFonts w:ascii="Bookman Old Style" w:hAnsi="Bookman Old Style"/>
          <w:sz w:val="24"/>
          <w:szCs w:val="24"/>
        </w:rPr>
        <w:t xml:space="preserve"> </w:t>
      </w:r>
      <w:r w:rsidRPr="00BF3751">
        <w:rPr>
          <w:rFonts w:ascii="Bookman Old Style" w:hAnsi="Bookman Old Style"/>
          <w:sz w:val="24"/>
          <w:szCs w:val="24"/>
        </w:rPr>
        <w:t>kemiskinan;</w:t>
      </w:r>
    </w:p>
    <w:p w14:paraId="7B268B32" w14:textId="23DE787A" w:rsidR="003374DF" w:rsidRPr="00BF3751" w:rsidRDefault="003374DF" w:rsidP="00953DC9">
      <w:pPr>
        <w:pStyle w:val="ListParagraph"/>
        <w:numPr>
          <w:ilvl w:val="0"/>
          <w:numId w:val="155"/>
        </w:numPr>
        <w:spacing w:before="60" w:after="0" w:line="276" w:lineRule="auto"/>
        <w:ind w:left="1418" w:hanging="425"/>
        <w:contextualSpacing w:val="0"/>
        <w:jc w:val="both"/>
        <w:rPr>
          <w:rFonts w:ascii="Bookman Old Style" w:hAnsi="Bookman Old Style"/>
          <w:sz w:val="24"/>
          <w:szCs w:val="24"/>
        </w:rPr>
      </w:pPr>
      <w:r w:rsidRPr="00BF3751">
        <w:rPr>
          <w:rFonts w:ascii="Bookman Old Style" w:hAnsi="Bookman Old Style"/>
          <w:sz w:val="24"/>
          <w:szCs w:val="24"/>
        </w:rPr>
        <w:t>Pencegahan</w:t>
      </w:r>
      <w:r w:rsidR="00A954D0">
        <w:rPr>
          <w:rFonts w:ascii="Bookman Old Style" w:hAnsi="Bookman Old Style"/>
          <w:sz w:val="24"/>
          <w:szCs w:val="24"/>
        </w:rPr>
        <w:t xml:space="preserve"> </w:t>
      </w:r>
      <w:r w:rsidRPr="00BF3751">
        <w:rPr>
          <w:rFonts w:ascii="Bookman Old Style" w:hAnsi="Bookman Old Style"/>
          <w:sz w:val="24"/>
          <w:szCs w:val="24"/>
        </w:rPr>
        <w:t>dan</w:t>
      </w:r>
      <w:r w:rsidR="00A954D0">
        <w:rPr>
          <w:rFonts w:ascii="Bookman Old Style" w:hAnsi="Bookman Old Style"/>
          <w:sz w:val="24"/>
          <w:szCs w:val="24"/>
        </w:rPr>
        <w:t xml:space="preserve"> </w:t>
      </w:r>
      <w:r w:rsidRPr="00BF3751">
        <w:rPr>
          <w:rFonts w:ascii="Bookman Old Style" w:hAnsi="Bookman Old Style"/>
          <w:sz w:val="24"/>
          <w:szCs w:val="24"/>
        </w:rPr>
        <w:t>pemberantasan</w:t>
      </w:r>
      <w:r w:rsidR="00A954D0">
        <w:rPr>
          <w:rFonts w:ascii="Bookman Old Style" w:hAnsi="Bookman Old Style"/>
          <w:sz w:val="24"/>
          <w:szCs w:val="24"/>
        </w:rPr>
        <w:t xml:space="preserve"> </w:t>
      </w:r>
      <w:r w:rsidRPr="00BF3751">
        <w:rPr>
          <w:rFonts w:ascii="Bookman Old Style" w:hAnsi="Bookman Old Style"/>
          <w:sz w:val="24"/>
          <w:szCs w:val="24"/>
        </w:rPr>
        <w:t>narkoba;</w:t>
      </w:r>
    </w:p>
    <w:p w14:paraId="10B6F893" w14:textId="3092234B" w:rsidR="003374DF" w:rsidRPr="00BF3751" w:rsidRDefault="003374DF" w:rsidP="00953DC9">
      <w:pPr>
        <w:pStyle w:val="ListParagraph"/>
        <w:numPr>
          <w:ilvl w:val="0"/>
          <w:numId w:val="155"/>
        </w:numPr>
        <w:spacing w:before="60" w:after="0" w:line="276" w:lineRule="auto"/>
        <w:ind w:left="1418" w:hanging="425"/>
        <w:contextualSpacing w:val="0"/>
        <w:jc w:val="both"/>
        <w:rPr>
          <w:rFonts w:ascii="Bookman Old Style" w:hAnsi="Bookman Old Style"/>
          <w:sz w:val="24"/>
          <w:szCs w:val="24"/>
        </w:rPr>
      </w:pPr>
      <w:r w:rsidRPr="00BF3751">
        <w:rPr>
          <w:rFonts w:ascii="Bookman Old Style" w:hAnsi="Bookman Old Style"/>
          <w:sz w:val="24"/>
          <w:szCs w:val="24"/>
        </w:rPr>
        <w:t>Jaminan</w:t>
      </w:r>
      <w:r w:rsidR="00A954D0">
        <w:rPr>
          <w:rFonts w:ascii="Bookman Old Style" w:hAnsi="Bookman Old Style"/>
          <w:sz w:val="24"/>
          <w:szCs w:val="24"/>
        </w:rPr>
        <w:t xml:space="preserve"> </w:t>
      </w:r>
      <w:r w:rsidRPr="00BF3751">
        <w:rPr>
          <w:rFonts w:ascii="Bookman Old Style" w:hAnsi="Bookman Old Style"/>
          <w:sz w:val="24"/>
          <w:szCs w:val="24"/>
        </w:rPr>
        <w:t>tersedianya</w:t>
      </w:r>
      <w:r w:rsidR="00A954D0">
        <w:rPr>
          <w:rFonts w:ascii="Bookman Old Style" w:hAnsi="Bookman Old Style"/>
          <w:sz w:val="24"/>
          <w:szCs w:val="24"/>
        </w:rPr>
        <w:t xml:space="preserve"> </w:t>
      </w:r>
      <w:r w:rsidRPr="00BF3751">
        <w:rPr>
          <w:rFonts w:ascii="Bookman Old Style" w:hAnsi="Bookman Old Style"/>
          <w:sz w:val="24"/>
          <w:szCs w:val="24"/>
        </w:rPr>
        <w:t>pelayanan</w:t>
      </w:r>
      <w:r w:rsidR="00A954D0">
        <w:rPr>
          <w:rFonts w:ascii="Bookman Old Style" w:hAnsi="Bookman Old Style"/>
          <w:sz w:val="24"/>
          <w:szCs w:val="24"/>
        </w:rPr>
        <w:t xml:space="preserve"> </w:t>
      </w:r>
      <w:r w:rsidRPr="00BF3751">
        <w:rPr>
          <w:rFonts w:ascii="Bookman Old Style" w:hAnsi="Bookman Old Style"/>
          <w:sz w:val="24"/>
          <w:szCs w:val="24"/>
        </w:rPr>
        <w:t>kesehatan</w:t>
      </w:r>
      <w:r w:rsidR="00A954D0">
        <w:rPr>
          <w:rFonts w:ascii="Bookman Old Style" w:hAnsi="Bookman Old Style"/>
          <w:sz w:val="24"/>
          <w:szCs w:val="24"/>
        </w:rPr>
        <w:t xml:space="preserve"> </w:t>
      </w:r>
      <w:r w:rsidRPr="00BF3751">
        <w:rPr>
          <w:rFonts w:ascii="Bookman Old Style" w:hAnsi="Bookman Old Style"/>
          <w:sz w:val="24"/>
          <w:szCs w:val="24"/>
        </w:rPr>
        <w:t>bagi</w:t>
      </w:r>
      <w:r w:rsidR="00A954D0">
        <w:rPr>
          <w:rFonts w:ascii="Bookman Old Style" w:hAnsi="Bookman Old Style"/>
          <w:sz w:val="24"/>
          <w:szCs w:val="24"/>
        </w:rPr>
        <w:t xml:space="preserve"> </w:t>
      </w:r>
      <w:r w:rsidRPr="00BF3751">
        <w:rPr>
          <w:rFonts w:ascii="Bookman Old Style" w:hAnsi="Bookman Old Style"/>
          <w:sz w:val="24"/>
          <w:szCs w:val="24"/>
        </w:rPr>
        <w:t>seluruh</w:t>
      </w:r>
      <w:r w:rsidR="00A954D0">
        <w:rPr>
          <w:rFonts w:ascii="Bookman Old Style" w:hAnsi="Bookman Old Style"/>
          <w:sz w:val="24"/>
          <w:szCs w:val="24"/>
        </w:rPr>
        <w:t xml:space="preserve"> </w:t>
      </w:r>
      <w:r w:rsidRPr="00BF3751">
        <w:rPr>
          <w:rFonts w:ascii="Bookman Old Style" w:hAnsi="Bookman Old Style"/>
          <w:sz w:val="24"/>
          <w:szCs w:val="24"/>
        </w:rPr>
        <w:t>rakyat;</w:t>
      </w:r>
    </w:p>
    <w:p w14:paraId="566AD92C" w14:textId="4F040325" w:rsidR="003374DF" w:rsidRPr="00BF3751" w:rsidRDefault="003374DF" w:rsidP="00953DC9">
      <w:pPr>
        <w:pStyle w:val="ListParagraph"/>
        <w:numPr>
          <w:ilvl w:val="0"/>
          <w:numId w:val="155"/>
        </w:numPr>
        <w:spacing w:before="60" w:after="0" w:line="276" w:lineRule="auto"/>
        <w:ind w:left="1418" w:hanging="425"/>
        <w:contextualSpacing w:val="0"/>
        <w:jc w:val="both"/>
        <w:rPr>
          <w:rFonts w:ascii="Bookman Old Style" w:hAnsi="Bookman Old Style"/>
          <w:sz w:val="24"/>
          <w:szCs w:val="24"/>
        </w:rPr>
      </w:pPr>
      <w:r w:rsidRPr="00BF3751">
        <w:rPr>
          <w:rFonts w:ascii="Bookman Old Style" w:hAnsi="Bookman Old Style"/>
          <w:sz w:val="24"/>
          <w:szCs w:val="24"/>
        </w:rPr>
        <w:t>Penguatan</w:t>
      </w:r>
      <w:r w:rsidR="00A954D0">
        <w:rPr>
          <w:rFonts w:ascii="Bookman Old Style" w:hAnsi="Bookman Old Style"/>
          <w:sz w:val="24"/>
          <w:szCs w:val="24"/>
        </w:rPr>
        <w:t xml:space="preserve"> </w:t>
      </w:r>
      <w:r w:rsidRPr="00BF3751">
        <w:rPr>
          <w:rFonts w:ascii="Bookman Old Style" w:hAnsi="Bookman Old Style"/>
          <w:sz w:val="24"/>
          <w:szCs w:val="24"/>
        </w:rPr>
        <w:t>pendidikan,</w:t>
      </w:r>
      <w:r w:rsidR="00A954D0">
        <w:rPr>
          <w:rFonts w:ascii="Bookman Old Style" w:hAnsi="Bookman Old Style"/>
          <w:sz w:val="24"/>
          <w:szCs w:val="24"/>
        </w:rPr>
        <w:t xml:space="preserve"> </w:t>
      </w:r>
      <w:r w:rsidRPr="00BF3751">
        <w:rPr>
          <w:rFonts w:ascii="Bookman Old Style" w:hAnsi="Bookman Old Style"/>
          <w:sz w:val="24"/>
          <w:szCs w:val="24"/>
        </w:rPr>
        <w:t>sains,</w:t>
      </w:r>
      <w:r w:rsidR="00A954D0">
        <w:rPr>
          <w:rFonts w:ascii="Bookman Old Style" w:hAnsi="Bookman Old Style"/>
          <w:sz w:val="24"/>
          <w:szCs w:val="24"/>
        </w:rPr>
        <w:t xml:space="preserve"> </w:t>
      </w:r>
      <w:r w:rsidRPr="00BF3751">
        <w:rPr>
          <w:rFonts w:ascii="Bookman Old Style" w:hAnsi="Bookman Old Style"/>
          <w:sz w:val="24"/>
          <w:szCs w:val="24"/>
        </w:rPr>
        <w:t>dan</w:t>
      </w:r>
      <w:r w:rsidR="00A954D0">
        <w:rPr>
          <w:rFonts w:ascii="Bookman Old Style" w:hAnsi="Bookman Old Style"/>
          <w:sz w:val="24"/>
          <w:szCs w:val="24"/>
        </w:rPr>
        <w:t xml:space="preserve"> </w:t>
      </w:r>
      <w:r w:rsidRPr="00BF3751">
        <w:rPr>
          <w:rFonts w:ascii="Bookman Old Style" w:hAnsi="Bookman Old Style"/>
          <w:sz w:val="24"/>
          <w:szCs w:val="24"/>
        </w:rPr>
        <w:t>teknologi,</w:t>
      </w:r>
      <w:r w:rsidR="00A954D0">
        <w:rPr>
          <w:rFonts w:ascii="Bookman Old Style" w:hAnsi="Bookman Old Style"/>
          <w:sz w:val="24"/>
          <w:szCs w:val="24"/>
        </w:rPr>
        <w:t xml:space="preserve"> </w:t>
      </w:r>
      <w:r w:rsidRPr="00BF3751">
        <w:rPr>
          <w:rFonts w:ascii="Bookman Old Style" w:hAnsi="Bookman Old Style"/>
          <w:sz w:val="24"/>
          <w:szCs w:val="24"/>
        </w:rPr>
        <w:t>serta</w:t>
      </w:r>
      <w:r w:rsidR="00A954D0">
        <w:rPr>
          <w:rFonts w:ascii="Bookman Old Style" w:hAnsi="Bookman Old Style"/>
          <w:sz w:val="24"/>
          <w:szCs w:val="24"/>
        </w:rPr>
        <w:t xml:space="preserve"> </w:t>
      </w:r>
      <w:r w:rsidRPr="00BF3751">
        <w:rPr>
          <w:rFonts w:ascii="Bookman Old Style" w:hAnsi="Bookman Old Style"/>
          <w:sz w:val="24"/>
          <w:szCs w:val="24"/>
        </w:rPr>
        <w:t>digitalisasi;</w:t>
      </w:r>
    </w:p>
    <w:p w14:paraId="5C1A488C" w14:textId="21985998" w:rsidR="003374DF" w:rsidRPr="00BF3751" w:rsidRDefault="003374DF" w:rsidP="00953DC9">
      <w:pPr>
        <w:pStyle w:val="ListParagraph"/>
        <w:numPr>
          <w:ilvl w:val="0"/>
          <w:numId w:val="155"/>
        </w:numPr>
        <w:spacing w:before="60" w:after="0" w:line="276" w:lineRule="auto"/>
        <w:ind w:left="1418" w:hanging="425"/>
        <w:contextualSpacing w:val="0"/>
        <w:jc w:val="both"/>
        <w:rPr>
          <w:rFonts w:ascii="Bookman Old Style" w:hAnsi="Bookman Old Style"/>
          <w:sz w:val="24"/>
          <w:szCs w:val="24"/>
        </w:rPr>
      </w:pPr>
      <w:r w:rsidRPr="00BF3751">
        <w:rPr>
          <w:rFonts w:ascii="Bookman Old Style" w:hAnsi="Bookman Old Style"/>
          <w:sz w:val="24"/>
          <w:szCs w:val="24"/>
        </w:rPr>
        <w:t>Penguatan</w:t>
      </w:r>
      <w:r w:rsidR="00A954D0">
        <w:rPr>
          <w:rFonts w:ascii="Bookman Old Style" w:hAnsi="Bookman Old Style"/>
          <w:sz w:val="24"/>
          <w:szCs w:val="24"/>
        </w:rPr>
        <w:t xml:space="preserve"> </w:t>
      </w:r>
      <w:r w:rsidRPr="00BF3751">
        <w:rPr>
          <w:rFonts w:ascii="Bookman Old Style" w:hAnsi="Bookman Old Style"/>
          <w:sz w:val="24"/>
          <w:szCs w:val="24"/>
        </w:rPr>
        <w:t>pertahanan</w:t>
      </w:r>
      <w:r w:rsidR="00A954D0">
        <w:rPr>
          <w:rFonts w:ascii="Bookman Old Style" w:hAnsi="Bookman Old Style"/>
          <w:sz w:val="24"/>
          <w:szCs w:val="24"/>
        </w:rPr>
        <w:t xml:space="preserve"> </w:t>
      </w:r>
      <w:r w:rsidRPr="00BF3751">
        <w:rPr>
          <w:rFonts w:ascii="Bookman Old Style" w:hAnsi="Bookman Old Style"/>
          <w:sz w:val="24"/>
          <w:szCs w:val="24"/>
        </w:rPr>
        <w:t>dan</w:t>
      </w:r>
      <w:r w:rsidR="00A954D0">
        <w:rPr>
          <w:rFonts w:ascii="Bookman Old Style" w:hAnsi="Bookman Old Style"/>
          <w:sz w:val="24"/>
          <w:szCs w:val="24"/>
        </w:rPr>
        <w:t xml:space="preserve"> </w:t>
      </w:r>
      <w:r w:rsidRPr="00BF3751">
        <w:rPr>
          <w:rFonts w:ascii="Bookman Old Style" w:hAnsi="Bookman Old Style"/>
          <w:sz w:val="24"/>
          <w:szCs w:val="24"/>
        </w:rPr>
        <w:t>keamanan</w:t>
      </w:r>
      <w:r w:rsidR="00A954D0">
        <w:rPr>
          <w:rFonts w:ascii="Bookman Old Style" w:hAnsi="Bookman Old Style"/>
          <w:sz w:val="24"/>
          <w:szCs w:val="24"/>
        </w:rPr>
        <w:t xml:space="preserve"> </w:t>
      </w:r>
      <w:r w:rsidRPr="00BF3751">
        <w:rPr>
          <w:rFonts w:ascii="Bookman Old Style" w:hAnsi="Bookman Old Style"/>
          <w:sz w:val="24"/>
          <w:szCs w:val="24"/>
        </w:rPr>
        <w:t>negara</w:t>
      </w:r>
      <w:r w:rsidR="00A954D0">
        <w:rPr>
          <w:rFonts w:ascii="Bookman Old Style" w:hAnsi="Bookman Old Style"/>
          <w:sz w:val="24"/>
          <w:szCs w:val="24"/>
        </w:rPr>
        <w:t xml:space="preserve"> </w:t>
      </w:r>
      <w:r w:rsidRPr="00BF3751">
        <w:rPr>
          <w:rFonts w:ascii="Bookman Old Style" w:hAnsi="Bookman Old Style"/>
          <w:sz w:val="24"/>
          <w:szCs w:val="24"/>
        </w:rPr>
        <w:t>dan</w:t>
      </w:r>
      <w:r w:rsidR="00A954D0">
        <w:rPr>
          <w:rFonts w:ascii="Bookman Old Style" w:hAnsi="Bookman Old Style"/>
          <w:sz w:val="24"/>
          <w:szCs w:val="24"/>
        </w:rPr>
        <w:t xml:space="preserve"> </w:t>
      </w:r>
      <w:r w:rsidRPr="00BF3751">
        <w:rPr>
          <w:rFonts w:ascii="Bookman Old Style" w:hAnsi="Bookman Old Style"/>
          <w:sz w:val="24"/>
          <w:szCs w:val="24"/>
        </w:rPr>
        <w:t>pemeliharaan</w:t>
      </w:r>
      <w:r w:rsidR="00A954D0">
        <w:rPr>
          <w:rFonts w:ascii="Bookman Old Style" w:hAnsi="Bookman Old Style"/>
          <w:sz w:val="24"/>
          <w:szCs w:val="24"/>
        </w:rPr>
        <w:t xml:space="preserve"> </w:t>
      </w:r>
      <w:r w:rsidRPr="00BF3751">
        <w:rPr>
          <w:rFonts w:ascii="Bookman Old Style" w:hAnsi="Bookman Old Style"/>
          <w:sz w:val="24"/>
          <w:szCs w:val="24"/>
        </w:rPr>
        <w:t>hubungan</w:t>
      </w:r>
      <w:r w:rsidR="00A954D0">
        <w:rPr>
          <w:rFonts w:ascii="Bookman Old Style" w:hAnsi="Bookman Old Style"/>
          <w:sz w:val="24"/>
          <w:szCs w:val="24"/>
        </w:rPr>
        <w:t xml:space="preserve"> </w:t>
      </w:r>
      <w:r w:rsidRPr="00BF3751">
        <w:rPr>
          <w:rFonts w:ascii="Bookman Old Style" w:hAnsi="Bookman Old Style"/>
          <w:sz w:val="24"/>
          <w:szCs w:val="24"/>
        </w:rPr>
        <w:t>internasional</w:t>
      </w:r>
      <w:r w:rsidR="00A954D0">
        <w:rPr>
          <w:rFonts w:ascii="Bookman Old Style" w:hAnsi="Bookman Old Style"/>
          <w:sz w:val="24"/>
          <w:szCs w:val="24"/>
        </w:rPr>
        <w:t xml:space="preserve"> </w:t>
      </w:r>
      <w:r w:rsidRPr="00BF3751">
        <w:rPr>
          <w:rFonts w:ascii="Bookman Old Style" w:hAnsi="Bookman Old Style"/>
          <w:sz w:val="24"/>
          <w:szCs w:val="24"/>
        </w:rPr>
        <w:t>yang</w:t>
      </w:r>
      <w:r w:rsidR="00A954D0">
        <w:rPr>
          <w:rFonts w:ascii="Bookman Old Style" w:hAnsi="Bookman Old Style"/>
          <w:sz w:val="24"/>
          <w:szCs w:val="24"/>
        </w:rPr>
        <w:t xml:space="preserve"> </w:t>
      </w:r>
      <w:r w:rsidRPr="00BF3751">
        <w:rPr>
          <w:rFonts w:ascii="Bookman Old Style" w:hAnsi="Bookman Old Style"/>
          <w:sz w:val="24"/>
          <w:szCs w:val="24"/>
        </w:rPr>
        <w:t>kondusif;</w:t>
      </w:r>
    </w:p>
    <w:p w14:paraId="775DFB59" w14:textId="7D865BFF" w:rsidR="003374DF" w:rsidRPr="00BF3751" w:rsidRDefault="003374DF" w:rsidP="00953DC9">
      <w:pPr>
        <w:pStyle w:val="ListParagraph"/>
        <w:numPr>
          <w:ilvl w:val="0"/>
          <w:numId w:val="155"/>
        </w:numPr>
        <w:spacing w:before="60" w:after="0" w:line="276" w:lineRule="auto"/>
        <w:ind w:left="1418" w:hanging="425"/>
        <w:contextualSpacing w:val="0"/>
        <w:jc w:val="both"/>
        <w:rPr>
          <w:rFonts w:ascii="Bookman Old Style" w:hAnsi="Bookman Old Style"/>
          <w:sz w:val="24"/>
          <w:szCs w:val="24"/>
        </w:rPr>
      </w:pPr>
      <w:r w:rsidRPr="00BF3751">
        <w:rPr>
          <w:rFonts w:ascii="Bookman Old Style" w:hAnsi="Bookman Old Style"/>
          <w:sz w:val="24"/>
          <w:szCs w:val="24"/>
        </w:rPr>
        <w:t>Penguatan</w:t>
      </w:r>
      <w:r w:rsidR="00A954D0">
        <w:rPr>
          <w:rFonts w:ascii="Bookman Old Style" w:hAnsi="Bookman Old Style"/>
          <w:sz w:val="24"/>
          <w:szCs w:val="24"/>
        </w:rPr>
        <w:t xml:space="preserve"> </w:t>
      </w:r>
      <w:r w:rsidRPr="00BF3751">
        <w:rPr>
          <w:rFonts w:ascii="Bookman Old Style" w:hAnsi="Bookman Old Style"/>
          <w:sz w:val="24"/>
          <w:szCs w:val="24"/>
        </w:rPr>
        <w:t>kesetaraan</w:t>
      </w:r>
      <w:r w:rsidR="00A954D0">
        <w:rPr>
          <w:rFonts w:ascii="Bookman Old Style" w:hAnsi="Bookman Old Style"/>
          <w:sz w:val="24"/>
          <w:szCs w:val="24"/>
        </w:rPr>
        <w:t xml:space="preserve"> </w:t>
      </w:r>
      <w:r w:rsidRPr="00BF3751">
        <w:rPr>
          <w:rFonts w:ascii="Bookman Old Style" w:hAnsi="Bookman Old Style"/>
          <w:sz w:val="24"/>
          <w:szCs w:val="24"/>
        </w:rPr>
        <w:t>gender</w:t>
      </w:r>
      <w:r w:rsidR="00A954D0">
        <w:rPr>
          <w:rFonts w:ascii="Bookman Old Style" w:hAnsi="Bookman Old Style"/>
          <w:sz w:val="24"/>
          <w:szCs w:val="24"/>
        </w:rPr>
        <w:t xml:space="preserve"> </w:t>
      </w:r>
      <w:r w:rsidRPr="00BF3751">
        <w:rPr>
          <w:rFonts w:ascii="Bookman Old Style" w:hAnsi="Bookman Old Style"/>
          <w:sz w:val="24"/>
          <w:szCs w:val="24"/>
        </w:rPr>
        <w:t>dan</w:t>
      </w:r>
      <w:r w:rsidR="00A954D0">
        <w:rPr>
          <w:rFonts w:ascii="Bookman Old Style" w:hAnsi="Bookman Old Style"/>
          <w:sz w:val="24"/>
          <w:szCs w:val="24"/>
        </w:rPr>
        <w:t xml:space="preserve"> </w:t>
      </w:r>
      <w:r w:rsidRPr="00BF3751">
        <w:rPr>
          <w:rFonts w:ascii="Bookman Old Style" w:hAnsi="Bookman Old Style"/>
          <w:sz w:val="24"/>
          <w:szCs w:val="24"/>
        </w:rPr>
        <w:t>perlindungan</w:t>
      </w:r>
      <w:r w:rsidR="00A954D0">
        <w:rPr>
          <w:rFonts w:ascii="Bookman Old Style" w:hAnsi="Bookman Old Style"/>
          <w:sz w:val="24"/>
          <w:szCs w:val="24"/>
        </w:rPr>
        <w:t xml:space="preserve"> </w:t>
      </w:r>
      <w:r w:rsidRPr="00BF3751">
        <w:rPr>
          <w:rFonts w:ascii="Bookman Old Style" w:hAnsi="Bookman Old Style"/>
          <w:sz w:val="24"/>
          <w:szCs w:val="24"/>
        </w:rPr>
        <w:t>hak</w:t>
      </w:r>
      <w:r w:rsidR="00A954D0">
        <w:rPr>
          <w:rFonts w:ascii="Bookman Old Style" w:hAnsi="Bookman Old Style"/>
          <w:sz w:val="24"/>
          <w:szCs w:val="24"/>
        </w:rPr>
        <w:t xml:space="preserve"> </w:t>
      </w:r>
      <w:r w:rsidRPr="00BF3751">
        <w:rPr>
          <w:rFonts w:ascii="Bookman Old Style" w:hAnsi="Bookman Old Style"/>
          <w:sz w:val="24"/>
          <w:szCs w:val="24"/>
        </w:rPr>
        <w:t>perempuan,</w:t>
      </w:r>
      <w:r w:rsidR="00A954D0">
        <w:rPr>
          <w:rFonts w:ascii="Bookman Old Style" w:hAnsi="Bookman Old Style"/>
          <w:sz w:val="24"/>
          <w:szCs w:val="24"/>
        </w:rPr>
        <w:t xml:space="preserve"> </w:t>
      </w:r>
      <w:r w:rsidRPr="00BF3751">
        <w:rPr>
          <w:rFonts w:ascii="Bookman Old Style" w:hAnsi="Bookman Old Style"/>
          <w:sz w:val="24"/>
          <w:szCs w:val="24"/>
        </w:rPr>
        <w:t>anak,</w:t>
      </w:r>
      <w:r w:rsidR="00A954D0">
        <w:rPr>
          <w:rFonts w:ascii="Bookman Old Style" w:hAnsi="Bookman Old Style"/>
          <w:sz w:val="24"/>
          <w:szCs w:val="24"/>
        </w:rPr>
        <w:t xml:space="preserve"> </w:t>
      </w:r>
      <w:r w:rsidRPr="00BF3751">
        <w:rPr>
          <w:rFonts w:ascii="Bookman Old Style" w:hAnsi="Bookman Old Style"/>
          <w:sz w:val="24"/>
          <w:szCs w:val="24"/>
        </w:rPr>
        <w:t>serta</w:t>
      </w:r>
      <w:r w:rsidR="00A954D0">
        <w:rPr>
          <w:rFonts w:ascii="Bookman Old Style" w:hAnsi="Bookman Old Style"/>
          <w:sz w:val="24"/>
          <w:szCs w:val="24"/>
        </w:rPr>
        <w:t xml:space="preserve"> </w:t>
      </w:r>
      <w:r w:rsidRPr="00BF3751">
        <w:rPr>
          <w:rFonts w:ascii="Bookman Old Style" w:hAnsi="Bookman Old Style"/>
          <w:sz w:val="24"/>
          <w:szCs w:val="24"/>
        </w:rPr>
        <w:t>penyandang</w:t>
      </w:r>
      <w:r w:rsidR="00A954D0">
        <w:rPr>
          <w:rFonts w:ascii="Bookman Old Style" w:hAnsi="Bookman Old Style"/>
          <w:sz w:val="24"/>
          <w:szCs w:val="24"/>
        </w:rPr>
        <w:t xml:space="preserve"> </w:t>
      </w:r>
      <w:r w:rsidRPr="00BF3751">
        <w:rPr>
          <w:rFonts w:ascii="Bookman Old Style" w:hAnsi="Bookman Old Style"/>
          <w:sz w:val="24"/>
          <w:szCs w:val="24"/>
        </w:rPr>
        <w:t>disabilitas;</w:t>
      </w:r>
    </w:p>
    <w:p w14:paraId="6B807306" w14:textId="5BD51C33" w:rsidR="003374DF" w:rsidRPr="00BF3751" w:rsidRDefault="003374DF" w:rsidP="00953DC9">
      <w:pPr>
        <w:pStyle w:val="ListParagraph"/>
        <w:numPr>
          <w:ilvl w:val="0"/>
          <w:numId w:val="155"/>
        </w:numPr>
        <w:spacing w:before="60" w:after="0" w:line="276" w:lineRule="auto"/>
        <w:ind w:left="1418" w:hanging="425"/>
        <w:contextualSpacing w:val="0"/>
        <w:jc w:val="both"/>
        <w:rPr>
          <w:rFonts w:ascii="Bookman Old Style" w:hAnsi="Bookman Old Style"/>
          <w:sz w:val="24"/>
          <w:szCs w:val="24"/>
        </w:rPr>
      </w:pPr>
      <w:r w:rsidRPr="00BF3751">
        <w:rPr>
          <w:rFonts w:ascii="Bookman Old Style" w:hAnsi="Bookman Old Style"/>
          <w:sz w:val="24"/>
          <w:szCs w:val="24"/>
        </w:rPr>
        <w:t>Menjamin</w:t>
      </w:r>
      <w:r w:rsidR="00A954D0">
        <w:rPr>
          <w:rFonts w:ascii="Bookman Old Style" w:hAnsi="Bookman Old Style"/>
          <w:sz w:val="24"/>
          <w:szCs w:val="24"/>
        </w:rPr>
        <w:t xml:space="preserve"> </w:t>
      </w:r>
      <w:r w:rsidRPr="00BF3751">
        <w:rPr>
          <w:rFonts w:ascii="Bookman Old Style" w:hAnsi="Bookman Old Style"/>
          <w:sz w:val="24"/>
          <w:szCs w:val="24"/>
        </w:rPr>
        <w:t>pelestarian</w:t>
      </w:r>
      <w:r w:rsidR="00A954D0">
        <w:rPr>
          <w:rFonts w:ascii="Bookman Old Style" w:hAnsi="Bookman Old Style"/>
          <w:sz w:val="24"/>
          <w:szCs w:val="24"/>
        </w:rPr>
        <w:t xml:space="preserve"> </w:t>
      </w:r>
      <w:r w:rsidRPr="00BF3751">
        <w:rPr>
          <w:rFonts w:ascii="Bookman Old Style" w:hAnsi="Bookman Old Style"/>
          <w:sz w:val="24"/>
          <w:szCs w:val="24"/>
        </w:rPr>
        <w:t>lingkungan</w:t>
      </w:r>
      <w:r w:rsidR="00A954D0">
        <w:rPr>
          <w:rFonts w:ascii="Bookman Old Style" w:hAnsi="Bookman Old Style"/>
          <w:sz w:val="24"/>
          <w:szCs w:val="24"/>
        </w:rPr>
        <w:t xml:space="preserve"> </w:t>
      </w:r>
      <w:r w:rsidRPr="00BF3751">
        <w:rPr>
          <w:rFonts w:ascii="Bookman Old Style" w:hAnsi="Bookman Old Style"/>
          <w:sz w:val="24"/>
          <w:szCs w:val="24"/>
        </w:rPr>
        <w:t>hidup;</w:t>
      </w:r>
    </w:p>
    <w:p w14:paraId="39C9AA63" w14:textId="77A82D28" w:rsidR="003374DF" w:rsidRPr="00BF3751" w:rsidRDefault="003374DF" w:rsidP="00953DC9">
      <w:pPr>
        <w:pStyle w:val="ListParagraph"/>
        <w:numPr>
          <w:ilvl w:val="0"/>
          <w:numId w:val="155"/>
        </w:numPr>
        <w:spacing w:before="60" w:after="0" w:line="276" w:lineRule="auto"/>
        <w:ind w:left="1418" w:hanging="425"/>
        <w:contextualSpacing w:val="0"/>
        <w:jc w:val="both"/>
        <w:rPr>
          <w:rFonts w:ascii="Bookman Old Style" w:hAnsi="Bookman Old Style"/>
          <w:sz w:val="24"/>
          <w:szCs w:val="24"/>
        </w:rPr>
      </w:pPr>
      <w:r w:rsidRPr="00BF3751">
        <w:rPr>
          <w:rFonts w:ascii="Bookman Old Style" w:hAnsi="Bookman Old Style"/>
          <w:sz w:val="24"/>
          <w:szCs w:val="24"/>
        </w:rPr>
        <w:t>Menjamin</w:t>
      </w:r>
      <w:r w:rsidR="00A954D0">
        <w:rPr>
          <w:rFonts w:ascii="Bookman Old Style" w:hAnsi="Bookman Old Style"/>
          <w:sz w:val="24"/>
          <w:szCs w:val="24"/>
        </w:rPr>
        <w:t xml:space="preserve"> </w:t>
      </w:r>
      <w:r w:rsidRPr="00BF3751">
        <w:rPr>
          <w:rFonts w:ascii="Bookman Old Style" w:hAnsi="Bookman Old Style"/>
          <w:sz w:val="24"/>
          <w:szCs w:val="24"/>
        </w:rPr>
        <w:t>ketersediaan</w:t>
      </w:r>
      <w:r w:rsidR="00A954D0">
        <w:rPr>
          <w:rFonts w:ascii="Bookman Old Style" w:hAnsi="Bookman Old Style"/>
          <w:sz w:val="24"/>
          <w:szCs w:val="24"/>
        </w:rPr>
        <w:t xml:space="preserve"> </w:t>
      </w:r>
      <w:r w:rsidRPr="00BF3751">
        <w:rPr>
          <w:rFonts w:ascii="Bookman Old Style" w:hAnsi="Bookman Old Style"/>
          <w:sz w:val="24"/>
          <w:szCs w:val="24"/>
        </w:rPr>
        <w:t>pupuk,</w:t>
      </w:r>
      <w:r w:rsidR="00A954D0">
        <w:rPr>
          <w:rFonts w:ascii="Bookman Old Style" w:hAnsi="Bookman Old Style"/>
          <w:sz w:val="24"/>
          <w:szCs w:val="24"/>
        </w:rPr>
        <w:t xml:space="preserve"> </w:t>
      </w:r>
      <w:r w:rsidRPr="00BF3751">
        <w:rPr>
          <w:rFonts w:ascii="Bookman Old Style" w:hAnsi="Bookman Old Style"/>
          <w:sz w:val="24"/>
          <w:szCs w:val="24"/>
        </w:rPr>
        <w:t>benih,</w:t>
      </w:r>
      <w:r w:rsidR="00A954D0">
        <w:rPr>
          <w:rFonts w:ascii="Bookman Old Style" w:hAnsi="Bookman Old Style"/>
          <w:sz w:val="24"/>
          <w:szCs w:val="24"/>
        </w:rPr>
        <w:t xml:space="preserve"> </w:t>
      </w:r>
      <w:r w:rsidRPr="00BF3751">
        <w:rPr>
          <w:rFonts w:ascii="Bookman Old Style" w:hAnsi="Bookman Old Style"/>
          <w:sz w:val="24"/>
          <w:szCs w:val="24"/>
        </w:rPr>
        <w:t>dan</w:t>
      </w:r>
      <w:r w:rsidR="00A954D0">
        <w:rPr>
          <w:rFonts w:ascii="Bookman Old Style" w:hAnsi="Bookman Old Style"/>
          <w:sz w:val="24"/>
          <w:szCs w:val="24"/>
        </w:rPr>
        <w:t xml:space="preserve"> </w:t>
      </w:r>
      <w:r w:rsidRPr="00BF3751">
        <w:rPr>
          <w:rFonts w:ascii="Bookman Old Style" w:hAnsi="Bookman Old Style"/>
          <w:sz w:val="24"/>
          <w:szCs w:val="24"/>
        </w:rPr>
        <w:t>pestisida</w:t>
      </w:r>
      <w:r w:rsidR="00A954D0">
        <w:rPr>
          <w:rFonts w:ascii="Bookman Old Style" w:hAnsi="Bookman Old Style"/>
          <w:sz w:val="24"/>
          <w:szCs w:val="24"/>
        </w:rPr>
        <w:t xml:space="preserve"> </w:t>
      </w:r>
      <w:r w:rsidRPr="00BF3751">
        <w:rPr>
          <w:rFonts w:ascii="Bookman Old Style" w:hAnsi="Bookman Old Style"/>
          <w:sz w:val="24"/>
          <w:szCs w:val="24"/>
        </w:rPr>
        <w:t>langsung</w:t>
      </w:r>
      <w:r w:rsidR="00A954D0">
        <w:rPr>
          <w:rFonts w:ascii="Bookman Old Style" w:hAnsi="Bookman Old Style"/>
          <w:sz w:val="24"/>
          <w:szCs w:val="24"/>
        </w:rPr>
        <w:t xml:space="preserve"> </w:t>
      </w:r>
      <w:r w:rsidRPr="00BF3751">
        <w:rPr>
          <w:rFonts w:ascii="Bookman Old Style" w:hAnsi="Bookman Old Style"/>
          <w:sz w:val="24"/>
          <w:szCs w:val="24"/>
        </w:rPr>
        <w:t>ke</w:t>
      </w:r>
      <w:r w:rsidR="00A954D0">
        <w:rPr>
          <w:rFonts w:ascii="Bookman Old Style" w:hAnsi="Bookman Old Style"/>
          <w:sz w:val="24"/>
          <w:szCs w:val="24"/>
        </w:rPr>
        <w:t xml:space="preserve"> </w:t>
      </w:r>
      <w:r w:rsidRPr="00BF3751">
        <w:rPr>
          <w:rFonts w:ascii="Bookman Old Style" w:hAnsi="Bookman Old Style"/>
          <w:sz w:val="24"/>
          <w:szCs w:val="24"/>
        </w:rPr>
        <w:t>petani;</w:t>
      </w:r>
    </w:p>
    <w:p w14:paraId="089A5F86" w14:textId="6D78D5E3" w:rsidR="003374DF" w:rsidRPr="00BF3751" w:rsidRDefault="003374DF" w:rsidP="00953DC9">
      <w:pPr>
        <w:pStyle w:val="ListParagraph"/>
        <w:numPr>
          <w:ilvl w:val="0"/>
          <w:numId w:val="155"/>
        </w:numPr>
        <w:spacing w:before="60" w:after="0" w:line="276" w:lineRule="auto"/>
        <w:ind w:left="1418" w:hanging="425"/>
        <w:contextualSpacing w:val="0"/>
        <w:jc w:val="both"/>
        <w:rPr>
          <w:rFonts w:ascii="Bookman Old Style" w:hAnsi="Bookman Old Style"/>
          <w:sz w:val="24"/>
          <w:szCs w:val="24"/>
        </w:rPr>
      </w:pPr>
      <w:r w:rsidRPr="00BF3751">
        <w:rPr>
          <w:rFonts w:ascii="Bookman Old Style" w:hAnsi="Bookman Old Style"/>
          <w:sz w:val="24"/>
          <w:szCs w:val="24"/>
        </w:rPr>
        <w:t>Menjamin</w:t>
      </w:r>
      <w:r w:rsidR="00A954D0">
        <w:rPr>
          <w:rFonts w:ascii="Bookman Old Style" w:hAnsi="Bookman Old Style"/>
          <w:sz w:val="24"/>
          <w:szCs w:val="24"/>
        </w:rPr>
        <w:t xml:space="preserve"> </w:t>
      </w:r>
      <w:r w:rsidRPr="00BF3751">
        <w:rPr>
          <w:rFonts w:ascii="Bookman Old Style" w:hAnsi="Bookman Old Style"/>
          <w:sz w:val="24"/>
          <w:szCs w:val="24"/>
        </w:rPr>
        <w:t>rumah</w:t>
      </w:r>
      <w:r w:rsidR="00A954D0">
        <w:rPr>
          <w:rFonts w:ascii="Bookman Old Style" w:hAnsi="Bookman Old Style"/>
          <w:sz w:val="24"/>
          <w:szCs w:val="24"/>
        </w:rPr>
        <w:t xml:space="preserve"> </w:t>
      </w:r>
      <w:r w:rsidRPr="00BF3751">
        <w:rPr>
          <w:rFonts w:ascii="Bookman Old Style" w:hAnsi="Bookman Old Style"/>
          <w:sz w:val="24"/>
          <w:szCs w:val="24"/>
        </w:rPr>
        <w:t>murah</w:t>
      </w:r>
      <w:r w:rsidR="00A954D0">
        <w:rPr>
          <w:rFonts w:ascii="Bookman Old Style" w:hAnsi="Bookman Old Style"/>
          <w:sz w:val="24"/>
          <w:szCs w:val="24"/>
        </w:rPr>
        <w:t xml:space="preserve"> </w:t>
      </w:r>
      <w:r w:rsidRPr="00BF3751">
        <w:rPr>
          <w:rFonts w:ascii="Bookman Old Style" w:hAnsi="Bookman Old Style"/>
          <w:sz w:val="24"/>
          <w:szCs w:val="24"/>
        </w:rPr>
        <w:t>dan</w:t>
      </w:r>
      <w:r w:rsidR="00A954D0">
        <w:rPr>
          <w:rFonts w:ascii="Bookman Old Style" w:hAnsi="Bookman Old Style"/>
          <w:sz w:val="24"/>
          <w:szCs w:val="24"/>
        </w:rPr>
        <w:t xml:space="preserve"> </w:t>
      </w:r>
      <w:r w:rsidRPr="00BF3751">
        <w:rPr>
          <w:rFonts w:ascii="Bookman Old Style" w:hAnsi="Bookman Old Style"/>
          <w:sz w:val="24"/>
          <w:szCs w:val="24"/>
        </w:rPr>
        <w:t>sanitasi</w:t>
      </w:r>
      <w:r w:rsidR="00A954D0">
        <w:rPr>
          <w:rFonts w:ascii="Bookman Old Style" w:hAnsi="Bookman Old Style"/>
          <w:sz w:val="24"/>
          <w:szCs w:val="24"/>
        </w:rPr>
        <w:t xml:space="preserve"> </w:t>
      </w:r>
      <w:r w:rsidRPr="00BF3751">
        <w:rPr>
          <w:rFonts w:ascii="Bookman Old Style" w:hAnsi="Bookman Old Style"/>
          <w:sz w:val="24"/>
          <w:szCs w:val="24"/>
        </w:rPr>
        <w:t>untuk</w:t>
      </w:r>
      <w:r w:rsidR="00A954D0">
        <w:rPr>
          <w:rFonts w:ascii="Bookman Old Style" w:hAnsi="Bookman Old Style"/>
          <w:sz w:val="24"/>
          <w:szCs w:val="24"/>
        </w:rPr>
        <w:t xml:space="preserve"> </w:t>
      </w:r>
      <w:r w:rsidRPr="00BF3751">
        <w:rPr>
          <w:rFonts w:ascii="Bookman Old Style" w:hAnsi="Bookman Old Style"/>
          <w:sz w:val="24"/>
          <w:szCs w:val="24"/>
        </w:rPr>
        <w:t>masyarakat</w:t>
      </w:r>
      <w:r w:rsidR="00A954D0">
        <w:rPr>
          <w:rFonts w:ascii="Bookman Old Style" w:hAnsi="Bookman Old Style"/>
          <w:sz w:val="24"/>
          <w:szCs w:val="24"/>
        </w:rPr>
        <w:t xml:space="preserve"> </w:t>
      </w:r>
      <w:r w:rsidRPr="00BF3751">
        <w:rPr>
          <w:rFonts w:ascii="Bookman Old Style" w:hAnsi="Bookman Old Style"/>
          <w:sz w:val="24"/>
          <w:szCs w:val="24"/>
        </w:rPr>
        <w:t>desa</w:t>
      </w:r>
      <w:r w:rsidR="00A954D0">
        <w:rPr>
          <w:rFonts w:ascii="Bookman Old Style" w:hAnsi="Bookman Old Style"/>
          <w:sz w:val="24"/>
          <w:szCs w:val="24"/>
        </w:rPr>
        <w:t xml:space="preserve"> </w:t>
      </w:r>
      <w:r w:rsidRPr="00BF3751">
        <w:rPr>
          <w:rFonts w:ascii="Bookman Old Style" w:hAnsi="Bookman Old Style"/>
          <w:sz w:val="24"/>
          <w:szCs w:val="24"/>
        </w:rPr>
        <w:t>dan</w:t>
      </w:r>
      <w:r w:rsidR="00A954D0">
        <w:rPr>
          <w:rFonts w:ascii="Bookman Old Style" w:hAnsi="Bookman Old Style"/>
          <w:sz w:val="24"/>
          <w:szCs w:val="24"/>
        </w:rPr>
        <w:t xml:space="preserve"> </w:t>
      </w:r>
      <w:r w:rsidRPr="00BF3751">
        <w:rPr>
          <w:rFonts w:ascii="Bookman Old Style" w:hAnsi="Bookman Old Style"/>
          <w:sz w:val="24"/>
          <w:szCs w:val="24"/>
        </w:rPr>
        <w:t>rakyat</w:t>
      </w:r>
      <w:r w:rsidR="00A954D0">
        <w:rPr>
          <w:rFonts w:ascii="Bookman Old Style" w:hAnsi="Bookman Old Style"/>
          <w:sz w:val="24"/>
          <w:szCs w:val="24"/>
        </w:rPr>
        <w:t xml:space="preserve"> </w:t>
      </w:r>
      <w:r w:rsidRPr="00BF3751">
        <w:rPr>
          <w:rFonts w:ascii="Bookman Old Style" w:hAnsi="Bookman Old Style"/>
          <w:sz w:val="24"/>
          <w:szCs w:val="24"/>
        </w:rPr>
        <w:t>yang</w:t>
      </w:r>
      <w:r w:rsidR="00A954D0">
        <w:rPr>
          <w:rFonts w:ascii="Bookman Old Style" w:hAnsi="Bookman Old Style"/>
          <w:sz w:val="24"/>
          <w:szCs w:val="24"/>
        </w:rPr>
        <w:t xml:space="preserve"> </w:t>
      </w:r>
      <w:r w:rsidRPr="00BF3751">
        <w:rPr>
          <w:rFonts w:ascii="Bookman Old Style" w:hAnsi="Bookman Old Style"/>
          <w:sz w:val="24"/>
          <w:szCs w:val="24"/>
        </w:rPr>
        <w:t>membutuhkan;</w:t>
      </w:r>
    </w:p>
    <w:p w14:paraId="254F5D11" w14:textId="4B1099AA" w:rsidR="003374DF" w:rsidRPr="00BF3751" w:rsidRDefault="003374DF" w:rsidP="00953DC9">
      <w:pPr>
        <w:pStyle w:val="ListParagraph"/>
        <w:numPr>
          <w:ilvl w:val="0"/>
          <w:numId w:val="155"/>
        </w:numPr>
        <w:spacing w:before="60" w:after="0" w:line="276" w:lineRule="auto"/>
        <w:ind w:left="1418" w:hanging="425"/>
        <w:contextualSpacing w:val="0"/>
        <w:jc w:val="both"/>
        <w:rPr>
          <w:rFonts w:ascii="Bookman Old Style" w:hAnsi="Bookman Old Style"/>
          <w:sz w:val="24"/>
          <w:szCs w:val="24"/>
        </w:rPr>
      </w:pPr>
      <w:r w:rsidRPr="00BF3751">
        <w:rPr>
          <w:rFonts w:ascii="Bookman Old Style" w:hAnsi="Bookman Old Style"/>
          <w:sz w:val="24"/>
          <w:szCs w:val="24"/>
        </w:rPr>
        <w:t>Melanjutkan</w:t>
      </w:r>
      <w:r w:rsidR="00A954D0">
        <w:rPr>
          <w:rFonts w:ascii="Bookman Old Style" w:hAnsi="Bookman Old Style"/>
          <w:sz w:val="24"/>
          <w:szCs w:val="24"/>
        </w:rPr>
        <w:t xml:space="preserve"> </w:t>
      </w:r>
      <w:r w:rsidRPr="00BF3751">
        <w:rPr>
          <w:rFonts w:ascii="Bookman Old Style" w:hAnsi="Bookman Old Style"/>
          <w:sz w:val="24"/>
          <w:szCs w:val="24"/>
        </w:rPr>
        <w:t>pemerataan</w:t>
      </w:r>
      <w:r w:rsidR="00A954D0">
        <w:rPr>
          <w:rFonts w:ascii="Bookman Old Style" w:hAnsi="Bookman Old Style"/>
          <w:sz w:val="24"/>
          <w:szCs w:val="24"/>
        </w:rPr>
        <w:t xml:space="preserve"> </w:t>
      </w:r>
      <w:r w:rsidRPr="00BF3751">
        <w:rPr>
          <w:rFonts w:ascii="Bookman Old Style" w:hAnsi="Bookman Old Style"/>
          <w:sz w:val="24"/>
          <w:szCs w:val="24"/>
        </w:rPr>
        <w:t>ekonomi,</w:t>
      </w:r>
      <w:r w:rsidR="00A954D0">
        <w:rPr>
          <w:rFonts w:ascii="Bookman Old Style" w:hAnsi="Bookman Old Style"/>
          <w:sz w:val="24"/>
          <w:szCs w:val="24"/>
        </w:rPr>
        <w:t xml:space="preserve"> </w:t>
      </w:r>
      <w:r w:rsidRPr="00BF3751">
        <w:rPr>
          <w:rFonts w:ascii="Bookman Old Style" w:hAnsi="Bookman Old Style"/>
          <w:sz w:val="24"/>
          <w:szCs w:val="24"/>
        </w:rPr>
        <w:t>penguatan</w:t>
      </w:r>
      <w:r w:rsidR="00A954D0">
        <w:rPr>
          <w:rFonts w:ascii="Bookman Old Style" w:hAnsi="Bookman Old Style"/>
          <w:sz w:val="24"/>
          <w:szCs w:val="24"/>
        </w:rPr>
        <w:t xml:space="preserve"> </w:t>
      </w:r>
      <w:r w:rsidRPr="00BF3751">
        <w:rPr>
          <w:rFonts w:ascii="Bookman Old Style" w:hAnsi="Bookman Old Style"/>
          <w:sz w:val="24"/>
          <w:szCs w:val="24"/>
        </w:rPr>
        <w:t>UMKM</w:t>
      </w:r>
      <w:r w:rsidR="00A954D0">
        <w:rPr>
          <w:rFonts w:ascii="Bookman Old Style" w:hAnsi="Bookman Old Style"/>
          <w:sz w:val="24"/>
          <w:szCs w:val="24"/>
        </w:rPr>
        <w:t xml:space="preserve"> </w:t>
      </w:r>
      <w:r w:rsidRPr="00BF3751">
        <w:rPr>
          <w:rFonts w:ascii="Bookman Old Style" w:hAnsi="Bookman Old Style"/>
          <w:sz w:val="24"/>
          <w:szCs w:val="24"/>
        </w:rPr>
        <w:t>dan</w:t>
      </w:r>
      <w:r w:rsidR="00A954D0">
        <w:rPr>
          <w:rFonts w:ascii="Bookman Old Style" w:hAnsi="Bookman Old Style"/>
          <w:sz w:val="24"/>
          <w:szCs w:val="24"/>
        </w:rPr>
        <w:t xml:space="preserve"> </w:t>
      </w:r>
      <w:r w:rsidRPr="00BF3751">
        <w:rPr>
          <w:rFonts w:ascii="Bookman Old Style" w:hAnsi="Bookman Old Style"/>
          <w:sz w:val="24"/>
          <w:szCs w:val="24"/>
        </w:rPr>
        <w:t>pembangunan</w:t>
      </w:r>
      <w:r w:rsidR="00A954D0">
        <w:rPr>
          <w:rFonts w:ascii="Bookman Old Style" w:hAnsi="Bookman Old Style"/>
          <w:sz w:val="24"/>
          <w:szCs w:val="24"/>
        </w:rPr>
        <w:t xml:space="preserve"> </w:t>
      </w:r>
      <w:r w:rsidRPr="00BF3751">
        <w:rPr>
          <w:rFonts w:ascii="Bookman Old Style" w:hAnsi="Bookman Old Style"/>
          <w:sz w:val="24"/>
          <w:szCs w:val="24"/>
        </w:rPr>
        <w:t>Ibu</w:t>
      </w:r>
      <w:r w:rsidR="00A954D0">
        <w:rPr>
          <w:rFonts w:ascii="Bookman Old Style" w:hAnsi="Bookman Old Style"/>
          <w:sz w:val="24"/>
          <w:szCs w:val="24"/>
        </w:rPr>
        <w:t xml:space="preserve"> </w:t>
      </w:r>
      <w:r w:rsidRPr="00BF3751">
        <w:rPr>
          <w:rFonts w:ascii="Bookman Old Style" w:hAnsi="Bookman Old Style"/>
          <w:sz w:val="24"/>
          <w:szCs w:val="24"/>
        </w:rPr>
        <w:t>Kota</w:t>
      </w:r>
      <w:r w:rsidR="00A954D0">
        <w:rPr>
          <w:rFonts w:ascii="Bookman Old Style" w:hAnsi="Bookman Old Style"/>
          <w:sz w:val="24"/>
          <w:szCs w:val="24"/>
        </w:rPr>
        <w:t xml:space="preserve"> </w:t>
      </w:r>
      <w:r w:rsidRPr="00BF3751">
        <w:rPr>
          <w:rFonts w:ascii="Bookman Old Style" w:hAnsi="Bookman Old Style"/>
          <w:sz w:val="24"/>
          <w:szCs w:val="24"/>
        </w:rPr>
        <w:t>Nusantara</w:t>
      </w:r>
      <w:r w:rsidR="00A954D0">
        <w:rPr>
          <w:rFonts w:ascii="Bookman Old Style" w:hAnsi="Bookman Old Style"/>
          <w:sz w:val="24"/>
          <w:szCs w:val="24"/>
        </w:rPr>
        <w:t xml:space="preserve"> </w:t>
      </w:r>
      <w:r w:rsidRPr="00BF3751">
        <w:rPr>
          <w:rFonts w:ascii="Bookman Old Style" w:hAnsi="Bookman Old Style"/>
          <w:sz w:val="24"/>
          <w:szCs w:val="24"/>
        </w:rPr>
        <w:t>(IKN);</w:t>
      </w:r>
    </w:p>
    <w:p w14:paraId="70B2104B" w14:textId="04FC85D5" w:rsidR="003374DF" w:rsidRPr="00BF3751" w:rsidRDefault="003374DF" w:rsidP="00953DC9">
      <w:pPr>
        <w:pStyle w:val="ListParagraph"/>
        <w:numPr>
          <w:ilvl w:val="0"/>
          <w:numId w:val="155"/>
        </w:numPr>
        <w:spacing w:before="60" w:after="0" w:line="276" w:lineRule="auto"/>
        <w:ind w:left="1418" w:hanging="425"/>
        <w:contextualSpacing w:val="0"/>
        <w:jc w:val="both"/>
        <w:rPr>
          <w:rFonts w:ascii="Bookman Old Style" w:hAnsi="Bookman Old Style"/>
          <w:sz w:val="24"/>
          <w:szCs w:val="24"/>
        </w:rPr>
      </w:pPr>
      <w:r w:rsidRPr="00BF3751">
        <w:rPr>
          <w:rFonts w:ascii="Bookman Old Style" w:hAnsi="Bookman Old Style"/>
          <w:sz w:val="24"/>
          <w:szCs w:val="24"/>
        </w:rPr>
        <w:t>Melanjutkan</w:t>
      </w:r>
      <w:r w:rsidR="00A954D0">
        <w:rPr>
          <w:rFonts w:ascii="Bookman Old Style" w:hAnsi="Bookman Old Style"/>
          <w:sz w:val="24"/>
          <w:szCs w:val="24"/>
        </w:rPr>
        <w:t xml:space="preserve"> </w:t>
      </w:r>
      <w:r w:rsidRPr="00BF3751">
        <w:rPr>
          <w:rFonts w:ascii="Bookman Old Style" w:hAnsi="Bookman Old Style"/>
          <w:sz w:val="24"/>
          <w:szCs w:val="24"/>
        </w:rPr>
        <w:t>hilirisasi</w:t>
      </w:r>
      <w:r w:rsidR="00A954D0">
        <w:rPr>
          <w:rFonts w:ascii="Bookman Old Style" w:hAnsi="Bookman Old Style"/>
          <w:sz w:val="24"/>
          <w:szCs w:val="24"/>
        </w:rPr>
        <w:t xml:space="preserve"> </w:t>
      </w:r>
      <w:r w:rsidRPr="00BF3751">
        <w:rPr>
          <w:rFonts w:ascii="Bookman Old Style" w:hAnsi="Bookman Old Style"/>
          <w:sz w:val="24"/>
          <w:szCs w:val="24"/>
        </w:rPr>
        <w:t>dan</w:t>
      </w:r>
      <w:r w:rsidR="00A954D0">
        <w:rPr>
          <w:rFonts w:ascii="Bookman Old Style" w:hAnsi="Bookman Old Style"/>
          <w:sz w:val="24"/>
          <w:szCs w:val="24"/>
        </w:rPr>
        <w:t xml:space="preserve"> </w:t>
      </w:r>
      <w:r w:rsidRPr="00BF3751">
        <w:rPr>
          <w:rFonts w:ascii="Bookman Old Style" w:hAnsi="Bookman Old Style"/>
          <w:sz w:val="24"/>
          <w:szCs w:val="24"/>
        </w:rPr>
        <w:t>industrialisasi</w:t>
      </w:r>
      <w:r w:rsidR="00A954D0">
        <w:rPr>
          <w:rFonts w:ascii="Bookman Old Style" w:hAnsi="Bookman Old Style"/>
          <w:sz w:val="24"/>
          <w:szCs w:val="24"/>
        </w:rPr>
        <w:t xml:space="preserve"> </w:t>
      </w:r>
      <w:r w:rsidRPr="00BF3751">
        <w:rPr>
          <w:rFonts w:ascii="Bookman Old Style" w:hAnsi="Bookman Old Style"/>
          <w:sz w:val="24"/>
          <w:szCs w:val="24"/>
        </w:rPr>
        <w:t>berbasiskan</w:t>
      </w:r>
      <w:r w:rsidR="00A954D0">
        <w:rPr>
          <w:rFonts w:ascii="Bookman Old Style" w:hAnsi="Bookman Old Style"/>
          <w:sz w:val="24"/>
          <w:szCs w:val="24"/>
        </w:rPr>
        <w:t xml:space="preserve"> </w:t>
      </w:r>
      <w:r w:rsidRPr="00BF3751">
        <w:rPr>
          <w:rFonts w:ascii="Bookman Old Style" w:hAnsi="Bookman Old Style"/>
          <w:sz w:val="24"/>
          <w:szCs w:val="24"/>
        </w:rPr>
        <w:t>sumber</w:t>
      </w:r>
      <w:r w:rsidR="00A954D0">
        <w:rPr>
          <w:rFonts w:ascii="Bookman Old Style" w:hAnsi="Bookman Old Style"/>
          <w:sz w:val="24"/>
          <w:szCs w:val="24"/>
        </w:rPr>
        <w:t xml:space="preserve"> </w:t>
      </w:r>
      <w:r w:rsidRPr="00BF3751">
        <w:rPr>
          <w:rFonts w:ascii="Bookman Old Style" w:hAnsi="Bookman Old Style"/>
          <w:sz w:val="24"/>
          <w:szCs w:val="24"/>
        </w:rPr>
        <w:t>daya</w:t>
      </w:r>
      <w:r w:rsidR="00A954D0">
        <w:rPr>
          <w:rFonts w:ascii="Bookman Old Style" w:hAnsi="Bookman Old Style"/>
          <w:sz w:val="24"/>
          <w:szCs w:val="24"/>
        </w:rPr>
        <w:t xml:space="preserve"> </w:t>
      </w:r>
      <w:r w:rsidRPr="00BF3751">
        <w:rPr>
          <w:rFonts w:ascii="Bookman Old Style" w:hAnsi="Bookman Old Style"/>
          <w:sz w:val="24"/>
          <w:szCs w:val="24"/>
        </w:rPr>
        <w:t>alam</w:t>
      </w:r>
      <w:r w:rsidR="00A954D0">
        <w:rPr>
          <w:rFonts w:ascii="Bookman Old Style" w:hAnsi="Bookman Old Style"/>
          <w:sz w:val="24"/>
          <w:szCs w:val="24"/>
        </w:rPr>
        <w:t xml:space="preserve"> </w:t>
      </w:r>
      <w:r w:rsidRPr="00BF3751">
        <w:rPr>
          <w:rFonts w:ascii="Bookman Old Style" w:hAnsi="Bookman Old Style"/>
          <w:sz w:val="24"/>
          <w:szCs w:val="24"/>
        </w:rPr>
        <w:t>(SDA)</w:t>
      </w:r>
      <w:r w:rsidR="00A954D0">
        <w:rPr>
          <w:rFonts w:ascii="Bookman Old Style" w:hAnsi="Bookman Old Style"/>
          <w:sz w:val="24"/>
          <w:szCs w:val="24"/>
        </w:rPr>
        <w:t xml:space="preserve"> </w:t>
      </w:r>
      <w:r w:rsidRPr="00BF3751">
        <w:rPr>
          <w:rFonts w:ascii="Bookman Old Style" w:hAnsi="Bookman Old Style"/>
          <w:sz w:val="24"/>
          <w:szCs w:val="24"/>
        </w:rPr>
        <w:t>dan</w:t>
      </w:r>
      <w:r w:rsidR="00A954D0">
        <w:rPr>
          <w:rFonts w:ascii="Bookman Old Style" w:hAnsi="Bookman Old Style"/>
          <w:sz w:val="24"/>
          <w:szCs w:val="24"/>
        </w:rPr>
        <w:t xml:space="preserve"> </w:t>
      </w:r>
      <w:r w:rsidRPr="00BF3751">
        <w:rPr>
          <w:rFonts w:ascii="Bookman Old Style" w:hAnsi="Bookman Old Style"/>
          <w:sz w:val="24"/>
          <w:szCs w:val="24"/>
        </w:rPr>
        <w:t>maritim</w:t>
      </w:r>
      <w:r w:rsidR="00A954D0">
        <w:rPr>
          <w:rFonts w:ascii="Bookman Old Style" w:hAnsi="Bookman Old Style"/>
          <w:sz w:val="24"/>
          <w:szCs w:val="24"/>
        </w:rPr>
        <w:t xml:space="preserve"> </w:t>
      </w:r>
      <w:r w:rsidRPr="00BF3751">
        <w:rPr>
          <w:rFonts w:ascii="Bookman Old Style" w:hAnsi="Bookman Old Style"/>
          <w:sz w:val="24"/>
          <w:szCs w:val="24"/>
        </w:rPr>
        <w:t>untuk</w:t>
      </w:r>
      <w:r w:rsidR="00A954D0">
        <w:rPr>
          <w:rFonts w:ascii="Bookman Old Style" w:hAnsi="Bookman Old Style"/>
          <w:sz w:val="24"/>
          <w:szCs w:val="24"/>
        </w:rPr>
        <w:t xml:space="preserve"> </w:t>
      </w:r>
      <w:r w:rsidRPr="00BF3751">
        <w:rPr>
          <w:rFonts w:ascii="Bookman Old Style" w:hAnsi="Bookman Old Style"/>
          <w:sz w:val="24"/>
          <w:szCs w:val="24"/>
        </w:rPr>
        <w:t>membuka</w:t>
      </w:r>
      <w:r w:rsidR="00A954D0">
        <w:rPr>
          <w:rFonts w:ascii="Bookman Old Style" w:hAnsi="Bookman Old Style"/>
          <w:sz w:val="24"/>
          <w:szCs w:val="24"/>
        </w:rPr>
        <w:t xml:space="preserve"> </w:t>
      </w:r>
      <w:r w:rsidRPr="00BF3751">
        <w:rPr>
          <w:rFonts w:ascii="Bookman Old Style" w:hAnsi="Bookman Old Style"/>
          <w:sz w:val="24"/>
          <w:szCs w:val="24"/>
        </w:rPr>
        <w:t>lapangan</w:t>
      </w:r>
      <w:r w:rsidR="00A954D0">
        <w:rPr>
          <w:rFonts w:ascii="Bookman Old Style" w:hAnsi="Bookman Old Style"/>
          <w:sz w:val="24"/>
          <w:szCs w:val="24"/>
        </w:rPr>
        <w:t xml:space="preserve"> </w:t>
      </w:r>
      <w:r w:rsidRPr="00BF3751">
        <w:rPr>
          <w:rFonts w:ascii="Bookman Old Style" w:hAnsi="Bookman Old Style"/>
          <w:sz w:val="24"/>
          <w:szCs w:val="24"/>
        </w:rPr>
        <w:t>kerja</w:t>
      </w:r>
      <w:r w:rsidR="00A954D0">
        <w:rPr>
          <w:rFonts w:ascii="Bookman Old Style" w:hAnsi="Bookman Old Style"/>
          <w:sz w:val="24"/>
          <w:szCs w:val="24"/>
        </w:rPr>
        <w:t xml:space="preserve"> </w:t>
      </w:r>
      <w:r w:rsidRPr="00BF3751">
        <w:rPr>
          <w:rFonts w:ascii="Bookman Old Style" w:hAnsi="Bookman Old Style"/>
          <w:sz w:val="24"/>
          <w:szCs w:val="24"/>
        </w:rPr>
        <w:t>yang</w:t>
      </w:r>
      <w:r w:rsidR="00A954D0">
        <w:rPr>
          <w:rFonts w:ascii="Bookman Old Style" w:hAnsi="Bookman Old Style"/>
          <w:sz w:val="24"/>
          <w:szCs w:val="24"/>
        </w:rPr>
        <w:t xml:space="preserve"> </w:t>
      </w:r>
      <w:r w:rsidRPr="00BF3751">
        <w:rPr>
          <w:rFonts w:ascii="Bookman Old Style" w:hAnsi="Bookman Old Style"/>
          <w:sz w:val="24"/>
          <w:szCs w:val="24"/>
        </w:rPr>
        <w:t>seluas-luasnya</w:t>
      </w:r>
      <w:r w:rsidR="00A954D0">
        <w:rPr>
          <w:rFonts w:ascii="Bookman Old Style" w:hAnsi="Bookman Old Style"/>
          <w:sz w:val="24"/>
          <w:szCs w:val="24"/>
        </w:rPr>
        <w:t xml:space="preserve"> </w:t>
      </w:r>
      <w:r w:rsidRPr="00BF3751">
        <w:rPr>
          <w:rFonts w:ascii="Bookman Old Style" w:hAnsi="Bookman Old Style"/>
          <w:sz w:val="24"/>
          <w:szCs w:val="24"/>
        </w:rPr>
        <w:t>dalam</w:t>
      </w:r>
      <w:r w:rsidR="00A954D0">
        <w:rPr>
          <w:rFonts w:ascii="Bookman Old Style" w:hAnsi="Bookman Old Style"/>
          <w:sz w:val="24"/>
          <w:szCs w:val="24"/>
        </w:rPr>
        <w:t xml:space="preserve"> </w:t>
      </w:r>
      <w:r w:rsidRPr="00BF3751">
        <w:rPr>
          <w:rFonts w:ascii="Bookman Old Style" w:hAnsi="Bookman Old Style"/>
          <w:sz w:val="24"/>
          <w:szCs w:val="24"/>
        </w:rPr>
        <w:t>mewujudkan</w:t>
      </w:r>
      <w:r w:rsidR="00A954D0">
        <w:rPr>
          <w:rFonts w:ascii="Bookman Old Style" w:hAnsi="Bookman Old Style"/>
          <w:sz w:val="24"/>
          <w:szCs w:val="24"/>
        </w:rPr>
        <w:t xml:space="preserve"> </w:t>
      </w:r>
      <w:r w:rsidRPr="00BF3751">
        <w:rPr>
          <w:rFonts w:ascii="Bookman Old Style" w:hAnsi="Bookman Old Style"/>
          <w:sz w:val="24"/>
          <w:szCs w:val="24"/>
        </w:rPr>
        <w:t>keadilan</w:t>
      </w:r>
      <w:r w:rsidR="00A954D0">
        <w:rPr>
          <w:rFonts w:ascii="Bookman Old Style" w:hAnsi="Bookman Old Style"/>
          <w:sz w:val="24"/>
          <w:szCs w:val="24"/>
        </w:rPr>
        <w:t xml:space="preserve"> </w:t>
      </w:r>
      <w:r w:rsidRPr="00BF3751">
        <w:rPr>
          <w:rFonts w:ascii="Bookman Old Style" w:hAnsi="Bookman Old Style"/>
          <w:sz w:val="24"/>
          <w:szCs w:val="24"/>
        </w:rPr>
        <w:t>ekonomi;</w:t>
      </w:r>
    </w:p>
    <w:p w14:paraId="7A27F325" w14:textId="230C2653" w:rsidR="003374DF" w:rsidRPr="00BF3751" w:rsidRDefault="003374DF" w:rsidP="00953DC9">
      <w:pPr>
        <w:pStyle w:val="ListParagraph"/>
        <w:numPr>
          <w:ilvl w:val="0"/>
          <w:numId w:val="155"/>
        </w:numPr>
        <w:spacing w:before="60" w:after="0" w:line="276" w:lineRule="auto"/>
        <w:ind w:left="1418" w:hanging="425"/>
        <w:contextualSpacing w:val="0"/>
        <w:jc w:val="both"/>
        <w:rPr>
          <w:rFonts w:ascii="Bookman Old Style" w:hAnsi="Bookman Old Style"/>
          <w:sz w:val="24"/>
          <w:szCs w:val="24"/>
        </w:rPr>
      </w:pPr>
      <w:r w:rsidRPr="00BF3751">
        <w:rPr>
          <w:rFonts w:ascii="Bookman Old Style" w:hAnsi="Bookman Old Style"/>
          <w:sz w:val="24"/>
          <w:szCs w:val="24"/>
        </w:rPr>
        <w:t>Memastikan</w:t>
      </w:r>
      <w:r w:rsidR="00A954D0">
        <w:rPr>
          <w:rFonts w:ascii="Bookman Old Style" w:hAnsi="Bookman Old Style"/>
          <w:sz w:val="24"/>
          <w:szCs w:val="24"/>
        </w:rPr>
        <w:t xml:space="preserve"> </w:t>
      </w:r>
      <w:r w:rsidRPr="00BF3751">
        <w:rPr>
          <w:rFonts w:ascii="Bookman Old Style" w:hAnsi="Bookman Old Style"/>
          <w:sz w:val="24"/>
          <w:szCs w:val="24"/>
        </w:rPr>
        <w:t>kerukunan</w:t>
      </w:r>
      <w:r w:rsidR="00A954D0">
        <w:rPr>
          <w:rFonts w:ascii="Bookman Old Style" w:hAnsi="Bookman Old Style"/>
          <w:sz w:val="24"/>
          <w:szCs w:val="24"/>
        </w:rPr>
        <w:t xml:space="preserve"> </w:t>
      </w:r>
      <w:r w:rsidRPr="00BF3751">
        <w:rPr>
          <w:rFonts w:ascii="Bookman Old Style" w:hAnsi="Bookman Old Style"/>
          <w:sz w:val="24"/>
          <w:szCs w:val="24"/>
        </w:rPr>
        <w:t>antar</w:t>
      </w:r>
      <w:r w:rsidR="00A954D0">
        <w:rPr>
          <w:rFonts w:ascii="Bookman Old Style" w:hAnsi="Bookman Old Style"/>
          <w:sz w:val="24"/>
          <w:szCs w:val="24"/>
        </w:rPr>
        <w:t xml:space="preserve"> </w:t>
      </w:r>
      <w:r w:rsidRPr="00BF3751">
        <w:rPr>
          <w:rFonts w:ascii="Bookman Old Style" w:hAnsi="Bookman Old Style"/>
          <w:sz w:val="24"/>
          <w:szCs w:val="24"/>
        </w:rPr>
        <w:t>umat</w:t>
      </w:r>
      <w:r w:rsidR="00A954D0">
        <w:rPr>
          <w:rFonts w:ascii="Bookman Old Style" w:hAnsi="Bookman Old Style"/>
          <w:sz w:val="24"/>
          <w:szCs w:val="24"/>
        </w:rPr>
        <w:t xml:space="preserve"> </w:t>
      </w:r>
      <w:r w:rsidRPr="00BF3751">
        <w:rPr>
          <w:rFonts w:ascii="Bookman Old Style" w:hAnsi="Bookman Old Style"/>
          <w:sz w:val="24"/>
          <w:szCs w:val="24"/>
        </w:rPr>
        <w:t>beragama,</w:t>
      </w:r>
      <w:r w:rsidR="00A954D0">
        <w:rPr>
          <w:rFonts w:ascii="Bookman Old Style" w:hAnsi="Bookman Old Style"/>
          <w:sz w:val="24"/>
          <w:szCs w:val="24"/>
        </w:rPr>
        <w:t xml:space="preserve"> </w:t>
      </w:r>
      <w:r w:rsidRPr="00BF3751">
        <w:rPr>
          <w:rFonts w:ascii="Bookman Old Style" w:hAnsi="Bookman Old Style"/>
          <w:sz w:val="24"/>
          <w:szCs w:val="24"/>
        </w:rPr>
        <w:t>kebebasan</w:t>
      </w:r>
      <w:r w:rsidR="00A954D0">
        <w:rPr>
          <w:rFonts w:ascii="Bookman Old Style" w:hAnsi="Bookman Old Style"/>
          <w:sz w:val="24"/>
          <w:szCs w:val="24"/>
        </w:rPr>
        <w:t xml:space="preserve"> </w:t>
      </w:r>
      <w:r w:rsidRPr="00BF3751">
        <w:rPr>
          <w:rFonts w:ascii="Bookman Old Style" w:hAnsi="Bookman Old Style"/>
          <w:sz w:val="24"/>
          <w:szCs w:val="24"/>
        </w:rPr>
        <w:t>beribadah,</w:t>
      </w:r>
      <w:r w:rsidR="00A954D0">
        <w:rPr>
          <w:rFonts w:ascii="Bookman Old Style" w:hAnsi="Bookman Old Style"/>
          <w:sz w:val="24"/>
          <w:szCs w:val="24"/>
        </w:rPr>
        <w:t xml:space="preserve"> </w:t>
      </w:r>
      <w:r w:rsidRPr="00BF3751">
        <w:rPr>
          <w:rFonts w:ascii="Bookman Old Style" w:hAnsi="Bookman Old Style"/>
          <w:sz w:val="24"/>
          <w:szCs w:val="24"/>
        </w:rPr>
        <w:t>dan</w:t>
      </w:r>
      <w:r w:rsidR="00A954D0">
        <w:rPr>
          <w:rFonts w:ascii="Bookman Old Style" w:hAnsi="Bookman Old Style"/>
          <w:sz w:val="24"/>
          <w:szCs w:val="24"/>
        </w:rPr>
        <w:t xml:space="preserve"> </w:t>
      </w:r>
      <w:r w:rsidRPr="00BF3751">
        <w:rPr>
          <w:rFonts w:ascii="Bookman Old Style" w:hAnsi="Bookman Old Style"/>
          <w:sz w:val="24"/>
          <w:szCs w:val="24"/>
        </w:rPr>
        <w:t>perawatan</w:t>
      </w:r>
      <w:r w:rsidR="00A954D0">
        <w:rPr>
          <w:rFonts w:ascii="Bookman Old Style" w:hAnsi="Bookman Old Style"/>
          <w:sz w:val="24"/>
          <w:szCs w:val="24"/>
        </w:rPr>
        <w:t xml:space="preserve"> </w:t>
      </w:r>
      <w:r w:rsidRPr="00BF3751">
        <w:rPr>
          <w:rFonts w:ascii="Bookman Old Style" w:hAnsi="Bookman Old Style"/>
          <w:sz w:val="24"/>
          <w:szCs w:val="24"/>
        </w:rPr>
        <w:t>rumah</w:t>
      </w:r>
      <w:r w:rsidR="00A954D0">
        <w:rPr>
          <w:rFonts w:ascii="Bookman Old Style" w:hAnsi="Bookman Old Style"/>
          <w:sz w:val="24"/>
          <w:szCs w:val="24"/>
        </w:rPr>
        <w:t xml:space="preserve"> </w:t>
      </w:r>
      <w:r w:rsidRPr="00BF3751">
        <w:rPr>
          <w:rFonts w:ascii="Bookman Old Style" w:hAnsi="Bookman Old Style"/>
          <w:sz w:val="24"/>
          <w:szCs w:val="24"/>
        </w:rPr>
        <w:t>ibadah;</w:t>
      </w:r>
      <w:r w:rsidR="00A954D0">
        <w:rPr>
          <w:rFonts w:ascii="Bookman Old Style" w:hAnsi="Bookman Old Style"/>
          <w:sz w:val="24"/>
          <w:szCs w:val="24"/>
        </w:rPr>
        <w:t xml:space="preserve"> </w:t>
      </w:r>
      <w:r w:rsidRPr="00BF3751">
        <w:rPr>
          <w:rFonts w:ascii="Bookman Old Style" w:hAnsi="Bookman Old Style"/>
          <w:sz w:val="24"/>
          <w:szCs w:val="24"/>
        </w:rPr>
        <w:t>dan</w:t>
      </w:r>
    </w:p>
    <w:p w14:paraId="36D1273E" w14:textId="7C9A1378" w:rsidR="003374DF" w:rsidRPr="003255BC" w:rsidRDefault="003374DF" w:rsidP="00953DC9">
      <w:pPr>
        <w:pStyle w:val="ListParagraph"/>
        <w:numPr>
          <w:ilvl w:val="0"/>
          <w:numId w:val="155"/>
        </w:numPr>
        <w:spacing w:before="60" w:after="0" w:line="276" w:lineRule="auto"/>
        <w:ind w:left="1418" w:hanging="425"/>
        <w:contextualSpacing w:val="0"/>
        <w:jc w:val="both"/>
        <w:rPr>
          <w:rFonts w:ascii="Bookman Old Style" w:hAnsi="Bookman Old Style" w:cs="Arial"/>
          <w:sz w:val="24"/>
          <w:szCs w:val="24"/>
          <w:lang w:val="sv-FI"/>
        </w:rPr>
      </w:pPr>
      <w:r w:rsidRPr="00BF3751">
        <w:rPr>
          <w:rFonts w:ascii="Bookman Old Style" w:hAnsi="Bookman Old Style"/>
          <w:sz w:val="24"/>
          <w:szCs w:val="24"/>
        </w:rPr>
        <w:t>Pelestarian</w:t>
      </w:r>
      <w:r w:rsidR="00A954D0">
        <w:rPr>
          <w:rFonts w:ascii="Bookman Old Style" w:hAnsi="Bookman Old Style"/>
          <w:sz w:val="24"/>
          <w:szCs w:val="24"/>
        </w:rPr>
        <w:t xml:space="preserve"> </w:t>
      </w:r>
      <w:r w:rsidRPr="00BF3751">
        <w:rPr>
          <w:rFonts w:ascii="Bookman Old Style" w:hAnsi="Bookman Old Style"/>
          <w:sz w:val="24"/>
          <w:szCs w:val="24"/>
        </w:rPr>
        <w:t>seni</w:t>
      </w:r>
      <w:r w:rsidR="00A954D0">
        <w:rPr>
          <w:rFonts w:ascii="Bookman Old Style" w:hAnsi="Bookman Old Style"/>
          <w:sz w:val="24"/>
          <w:szCs w:val="24"/>
        </w:rPr>
        <w:t xml:space="preserve"> </w:t>
      </w:r>
      <w:r w:rsidRPr="00BF3751">
        <w:rPr>
          <w:rFonts w:ascii="Bookman Old Style" w:hAnsi="Bookman Old Style"/>
          <w:sz w:val="24"/>
          <w:szCs w:val="24"/>
        </w:rPr>
        <w:t>budaya,</w:t>
      </w:r>
      <w:r w:rsidR="00A954D0">
        <w:rPr>
          <w:rFonts w:ascii="Bookman Old Style" w:hAnsi="Bookman Old Style"/>
          <w:sz w:val="24"/>
          <w:szCs w:val="24"/>
        </w:rPr>
        <w:t xml:space="preserve"> </w:t>
      </w:r>
      <w:r w:rsidRPr="00BF3751">
        <w:rPr>
          <w:rFonts w:ascii="Bookman Old Style" w:hAnsi="Bookman Old Style"/>
          <w:sz w:val="24"/>
          <w:szCs w:val="24"/>
        </w:rPr>
        <w:t>peningkatan</w:t>
      </w:r>
      <w:r w:rsidR="00A954D0">
        <w:rPr>
          <w:rFonts w:ascii="Bookman Old Style" w:hAnsi="Bookman Old Style"/>
          <w:sz w:val="24"/>
          <w:szCs w:val="24"/>
        </w:rPr>
        <w:t xml:space="preserve"> </w:t>
      </w:r>
      <w:r w:rsidRPr="00BF3751">
        <w:rPr>
          <w:rFonts w:ascii="Bookman Old Style" w:hAnsi="Bookman Old Style"/>
          <w:sz w:val="24"/>
          <w:szCs w:val="24"/>
        </w:rPr>
        <w:t>ekonomi</w:t>
      </w:r>
      <w:r w:rsidR="00A954D0">
        <w:rPr>
          <w:rFonts w:ascii="Bookman Old Style" w:hAnsi="Bookman Old Style"/>
          <w:sz w:val="24"/>
          <w:szCs w:val="24"/>
        </w:rPr>
        <w:t xml:space="preserve"> </w:t>
      </w:r>
      <w:r w:rsidRPr="00BF3751">
        <w:rPr>
          <w:rFonts w:ascii="Bookman Old Style" w:hAnsi="Bookman Old Style"/>
          <w:sz w:val="24"/>
          <w:szCs w:val="24"/>
        </w:rPr>
        <w:t>kreatif,</w:t>
      </w:r>
      <w:r w:rsidR="00A954D0">
        <w:rPr>
          <w:rFonts w:ascii="Bookman Old Style" w:hAnsi="Bookman Old Style"/>
          <w:sz w:val="24"/>
          <w:szCs w:val="24"/>
        </w:rPr>
        <w:t xml:space="preserve"> </w:t>
      </w:r>
      <w:r w:rsidRPr="00BF3751">
        <w:rPr>
          <w:rFonts w:ascii="Bookman Old Style" w:hAnsi="Bookman Old Style"/>
          <w:sz w:val="24"/>
          <w:szCs w:val="24"/>
        </w:rPr>
        <w:t>dan</w:t>
      </w:r>
      <w:r w:rsidR="00A954D0">
        <w:rPr>
          <w:rFonts w:ascii="Bookman Old Style" w:hAnsi="Bookman Old Style"/>
          <w:sz w:val="24"/>
          <w:szCs w:val="24"/>
        </w:rPr>
        <w:t xml:space="preserve"> </w:t>
      </w:r>
      <w:r w:rsidRPr="00BF3751">
        <w:rPr>
          <w:rFonts w:ascii="Bookman Old Style" w:hAnsi="Bookman Old Style"/>
          <w:sz w:val="24"/>
          <w:szCs w:val="24"/>
        </w:rPr>
        <w:t>peningkatan</w:t>
      </w:r>
      <w:r w:rsidR="00A954D0">
        <w:rPr>
          <w:rFonts w:ascii="Bookman Old Style" w:hAnsi="Bookman Old Style"/>
          <w:sz w:val="24"/>
          <w:szCs w:val="24"/>
        </w:rPr>
        <w:t xml:space="preserve"> </w:t>
      </w:r>
      <w:r w:rsidRPr="00BF3751">
        <w:rPr>
          <w:rFonts w:ascii="Bookman Old Style" w:hAnsi="Bookman Old Style"/>
          <w:sz w:val="24"/>
          <w:szCs w:val="24"/>
        </w:rPr>
        <w:t>prestasi</w:t>
      </w:r>
      <w:r w:rsidR="00A954D0">
        <w:rPr>
          <w:rFonts w:ascii="Bookman Old Style" w:hAnsi="Bookman Old Style"/>
          <w:sz w:val="24"/>
          <w:szCs w:val="24"/>
        </w:rPr>
        <w:t xml:space="preserve"> </w:t>
      </w:r>
      <w:r w:rsidRPr="00BF3751">
        <w:rPr>
          <w:rFonts w:ascii="Bookman Old Style" w:hAnsi="Bookman Old Style"/>
          <w:sz w:val="24"/>
          <w:szCs w:val="24"/>
        </w:rPr>
        <w:t>olahraga</w:t>
      </w:r>
      <w:r w:rsidRPr="00BF3751">
        <w:rPr>
          <w:rFonts w:ascii="Bookman Old Style" w:hAnsi="Bookman Old Style"/>
          <w:sz w:val="24"/>
          <w:szCs w:val="24"/>
          <w:lang w:val="it-IT"/>
        </w:rPr>
        <w:t>.</w:t>
      </w:r>
    </w:p>
    <w:p w14:paraId="1189CB83" w14:textId="4EF2D73C" w:rsidR="009D6C83" w:rsidRPr="003255BC" w:rsidRDefault="009D6C83" w:rsidP="00953DC9">
      <w:pPr>
        <w:numPr>
          <w:ilvl w:val="0"/>
          <w:numId w:val="156"/>
        </w:numPr>
        <w:spacing w:before="60" w:line="276" w:lineRule="auto"/>
        <w:ind w:left="993" w:hanging="426"/>
        <w:jc w:val="both"/>
        <w:rPr>
          <w:rFonts w:ascii="Bookman Old Style" w:hAnsi="Bookman Old Style"/>
          <w:lang w:val="sv-FI"/>
        </w:rPr>
      </w:pPr>
      <w:r w:rsidRPr="003255BC">
        <w:rPr>
          <w:rFonts w:ascii="Bookman Old Style" w:hAnsi="Bookman Old Style"/>
          <w:lang w:val="sv-FI"/>
        </w:rPr>
        <w:t>Penganggaran</w:t>
      </w:r>
      <w:r w:rsidR="00A954D0" w:rsidRPr="003255BC">
        <w:rPr>
          <w:rFonts w:ascii="Bookman Old Style" w:hAnsi="Bookman Old Style"/>
          <w:lang w:val="sv-FI"/>
        </w:rPr>
        <w:t xml:space="preserve"> </w:t>
      </w:r>
      <w:r w:rsidRPr="003255BC">
        <w:rPr>
          <w:rFonts w:ascii="Bookman Old Style" w:hAnsi="Bookman Old Style"/>
          <w:lang w:val="sv-FI"/>
        </w:rPr>
        <w:t>pendapatan,</w:t>
      </w:r>
      <w:r w:rsidR="00A954D0" w:rsidRPr="003255BC">
        <w:rPr>
          <w:rFonts w:ascii="Bookman Old Style" w:hAnsi="Bookman Old Style"/>
          <w:lang w:val="sv-FI"/>
        </w:rPr>
        <w:t xml:space="preserve"> </w:t>
      </w:r>
      <w:r w:rsidRPr="003255BC">
        <w:rPr>
          <w:rFonts w:ascii="Bookman Old Style" w:hAnsi="Bookman Old Style"/>
          <w:lang w:val="sv-FI"/>
        </w:rPr>
        <w:t>belanja,</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pembiayaan</w:t>
      </w:r>
      <w:r w:rsidR="00A954D0" w:rsidRPr="003255BC">
        <w:rPr>
          <w:rFonts w:ascii="Bookman Old Style" w:hAnsi="Bookman Old Style"/>
          <w:lang w:val="sv-FI"/>
        </w:rPr>
        <w:t xml:space="preserve"> </w:t>
      </w:r>
      <w:r w:rsidRPr="003255BC">
        <w:rPr>
          <w:rFonts w:ascii="Bookman Old Style" w:hAnsi="Bookman Old Style"/>
          <w:lang w:val="sv-FI"/>
        </w:rPr>
        <w:t>dalam</w:t>
      </w:r>
      <w:r w:rsidR="00A954D0" w:rsidRPr="003255BC">
        <w:rPr>
          <w:rFonts w:ascii="Bookman Old Style" w:hAnsi="Bookman Old Style"/>
          <w:lang w:val="sv-FI"/>
        </w:rPr>
        <w:t xml:space="preserve"> </w:t>
      </w:r>
      <w:r w:rsidRPr="003255BC">
        <w:rPr>
          <w:rFonts w:ascii="Bookman Old Style" w:hAnsi="Bookman Old Style"/>
          <w:lang w:val="sv-FI"/>
        </w:rPr>
        <w:t>Peraturan</w:t>
      </w:r>
      <w:r w:rsidR="00A954D0" w:rsidRPr="003255BC">
        <w:rPr>
          <w:rFonts w:ascii="Bookman Old Style" w:hAnsi="Bookman Old Style"/>
          <w:lang w:val="sv-FI"/>
        </w:rPr>
        <w:t xml:space="preserve"> </w:t>
      </w:r>
      <w:r w:rsidRPr="003255BC">
        <w:rPr>
          <w:rFonts w:ascii="Bookman Old Style" w:hAnsi="Bookman Old Style"/>
          <w:lang w:val="sv-FI"/>
        </w:rPr>
        <w:t>Daerah</w:t>
      </w:r>
      <w:r w:rsidR="00A954D0" w:rsidRPr="003255BC">
        <w:rPr>
          <w:rFonts w:ascii="Bookman Old Style" w:hAnsi="Bookman Old Style"/>
          <w:lang w:val="sv-FI"/>
        </w:rPr>
        <w:t xml:space="preserve"> </w:t>
      </w:r>
      <w:r w:rsidRPr="003255BC">
        <w:rPr>
          <w:rFonts w:ascii="Bookman Old Style" w:hAnsi="Bookman Old Style"/>
          <w:lang w:val="sv-FI"/>
        </w:rPr>
        <w:t>Kota</w:t>
      </w:r>
      <w:r w:rsidR="00A954D0" w:rsidRPr="003255BC">
        <w:rPr>
          <w:rFonts w:ascii="Bookman Old Style" w:hAnsi="Bookman Old Style"/>
          <w:lang w:val="sv-FI"/>
        </w:rPr>
        <w:t xml:space="preserve"> </w:t>
      </w:r>
      <w:r w:rsidR="00770F22" w:rsidRPr="003255BC">
        <w:rPr>
          <w:rFonts w:ascii="Bookman Old Style" w:hAnsi="Bookman Old Style"/>
          <w:lang w:val="sv-FI"/>
        </w:rPr>
        <w:t>Tangerang</w:t>
      </w:r>
      <w:r w:rsidR="00A954D0" w:rsidRPr="003255BC">
        <w:rPr>
          <w:rFonts w:ascii="Bookman Old Style" w:hAnsi="Bookman Old Style"/>
          <w:lang w:val="sv-FI"/>
        </w:rPr>
        <w:t xml:space="preserve"> </w:t>
      </w:r>
      <w:r w:rsidRPr="003255BC">
        <w:rPr>
          <w:rFonts w:ascii="Bookman Old Style" w:hAnsi="Bookman Old Style"/>
          <w:lang w:val="sv-FI"/>
        </w:rPr>
        <w:t>tentang</w:t>
      </w:r>
      <w:r w:rsidR="00A954D0" w:rsidRPr="003255BC">
        <w:rPr>
          <w:rFonts w:ascii="Bookman Old Style" w:hAnsi="Bookman Old Style"/>
          <w:lang w:val="sv-FI"/>
        </w:rPr>
        <w:t xml:space="preserve"> </w:t>
      </w:r>
      <w:r w:rsidRPr="003255BC">
        <w:rPr>
          <w:rFonts w:ascii="Bookman Old Style" w:hAnsi="Bookman Old Style"/>
          <w:lang w:val="sv-FI"/>
        </w:rPr>
        <w:t>APBD</w:t>
      </w:r>
      <w:r w:rsidR="00A954D0" w:rsidRPr="003255BC">
        <w:rPr>
          <w:rFonts w:ascii="Bookman Old Style" w:hAnsi="Bookman Old Style"/>
          <w:lang w:val="sv-FI"/>
        </w:rPr>
        <w:t xml:space="preserve"> </w:t>
      </w:r>
      <w:r w:rsidRPr="003255BC">
        <w:rPr>
          <w:rFonts w:ascii="Bookman Old Style" w:hAnsi="Bookman Old Style"/>
          <w:lang w:val="sv-FI"/>
        </w:rPr>
        <w:t>Tahun</w:t>
      </w:r>
      <w:r w:rsidR="00A954D0" w:rsidRPr="003255BC">
        <w:rPr>
          <w:rFonts w:ascii="Bookman Old Style" w:hAnsi="Bookman Old Style"/>
          <w:lang w:val="sv-FI"/>
        </w:rPr>
        <w:t xml:space="preserve"> </w:t>
      </w:r>
      <w:r w:rsidRPr="003255BC">
        <w:rPr>
          <w:rFonts w:ascii="Bookman Old Style" w:hAnsi="Bookman Old Style"/>
          <w:lang w:val="sv-FI"/>
        </w:rPr>
        <w:t>Anggaran</w:t>
      </w:r>
      <w:r w:rsidR="00A954D0" w:rsidRPr="003255BC">
        <w:rPr>
          <w:rFonts w:ascii="Bookman Old Style" w:hAnsi="Bookman Old Style"/>
          <w:lang w:val="sv-FI"/>
        </w:rPr>
        <w:t xml:space="preserve"> </w:t>
      </w:r>
      <w:r w:rsidRPr="003255BC">
        <w:rPr>
          <w:rFonts w:ascii="Bookman Old Style" w:hAnsi="Bookman Old Style"/>
          <w:lang w:val="sv-FI"/>
        </w:rPr>
        <w:t>2025</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Peraturan</w:t>
      </w:r>
      <w:r w:rsidR="00A954D0" w:rsidRPr="003255BC">
        <w:rPr>
          <w:rFonts w:ascii="Bookman Old Style" w:hAnsi="Bookman Old Style"/>
          <w:lang w:val="sv-FI"/>
        </w:rPr>
        <w:t xml:space="preserve"> </w:t>
      </w:r>
      <w:r w:rsidRPr="003255BC">
        <w:rPr>
          <w:rFonts w:ascii="Bookman Old Style" w:hAnsi="Bookman Old Style"/>
          <w:lang w:val="sv-FI"/>
        </w:rPr>
        <w:t>Wali</w:t>
      </w:r>
      <w:r w:rsidR="00A954D0" w:rsidRPr="003255BC">
        <w:rPr>
          <w:rFonts w:ascii="Bookman Old Style" w:hAnsi="Bookman Old Style"/>
          <w:lang w:val="sv-FI"/>
        </w:rPr>
        <w:t xml:space="preserve"> </w:t>
      </w:r>
      <w:r w:rsidRPr="003255BC">
        <w:rPr>
          <w:rFonts w:ascii="Bookman Old Style" w:hAnsi="Bookman Old Style"/>
          <w:lang w:val="sv-FI"/>
        </w:rPr>
        <w:t>Kota</w:t>
      </w:r>
      <w:r w:rsidR="00A954D0" w:rsidRPr="003255BC">
        <w:rPr>
          <w:rFonts w:ascii="Bookman Old Style" w:hAnsi="Bookman Old Style"/>
          <w:lang w:val="sv-FI"/>
        </w:rPr>
        <w:t xml:space="preserve"> </w:t>
      </w:r>
      <w:r w:rsidR="00770F22" w:rsidRPr="003255BC">
        <w:rPr>
          <w:rFonts w:ascii="Bookman Old Style" w:hAnsi="Bookman Old Style"/>
          <w:lang w:val="sv-FI"/>
        </w:rPr>
        <w:t>Tangerang</w:t>
      </w:r>
      <w:r w:rsidR="00A954D0" w:rsidRPr="003255BC">
        <w:rPr>
          <w:rFonts w:ascii="Bookman Old Style" w:hAnsi="Bookman Old Style"/>
          <w:lang w:val="sv-FI"/>
        </w:rPr>
        <w:t xml:space="preserve"> </w:t>
      </w:r>
      <w:r w:rsidRPr="003255BC">
        <w:rPr>
          <w:rFonts w:ascii="Bookman Old Style" w:hAnsi="Bookman Old Style"/>
          <w:lang w:val="sv-FI"/>
        </w:rPr>
        <w:t>tentang</w:t>
      </w:r>
      <w:r w:rsidR="00A954D0" w:rsidRPr="003255BC">
        <w:rPr>
          <w:rFonts w:ascii="Bookman Old Style" w:hAnsi="Bookman Old Style"/>
          <w:lang w:val="sv-FI"/>
        </w:rPr>
        <w:t xml:space="preserve"> </w:t>
      </w:r>
      <w:r w:rsidRPr="003255BC">
        <w:rPr>
          <w:rFonts w:ascii="Bookman Old Style" w:hAnsi="Bookman Old Style"/>
          <w:lang w:val="sv-FI"/>
        </w:rPr>
        <w:t>Penjabaran</w:t>
      </w:r>
      <w:r w:rsidR="00A954D0" w:rsidRPr="003255BC">
        <w:rPr>
          <w:rFonts w:ascii="Bookman Old Style" w:hAnsi="Bookman Old Style"/>
          <w:lang w:val="sv-FI"/>
        </w:rPr>
        <w:t xml:space="preserve"> </w:t>
      </w:r>
      <w:r w:rsidRPr="003255BC">
        <w:rPr>
          <w:rFonts w:ascii="Bookman Old Style" w:hAnsi="Bookman Old Style"/>
          <w:lang w:val="sv-FI"/>
        </w:rPr>
        <w:t>APBD</w:t>
      </w:r>
      <w:r w:rsidR="00A954D0" w:rsidRPr="003255BC">
        <w:rPr>
          <w:rFonts w:ascii="Bookman Old Style" w:hAnsi="Bookman Old Style"/>
          <w:lang w:val="sv-FI"/>
        </w:rPr>
        <w:t xml:space="preserve"> </w:t>
      </w:r>
      <w:r w:rsidRPr="003255BC">
        <w:rPr>
          <w:rFonts w:ascii="Bookman Old Style" w:hAnsi="Bookman Old Style"/>
          <w:lang w:val="sv-FI"/>
        </w:rPr>
        <w:t>Tahun</w:t>
      </w:r>
      <w:r w:rsidR="00A954D0" w:rsidRPr="003255BC">
        <w:rPr>
          <w:rFonts w:ascii="Bookman Old Style" w:hAnsi="Bookman Old Style"/>
          <w:lang w:val="sv-FI"/>
        </w:rPr>
        <w:t xml:space="preserve"> </w:t>
      </w:r>
      <w:r w:rsidRPr="003255BC">
        <w:rPr>
          <w:rFonts w:ascii="Bookman Old Style" w:hAnsi="Bookman Old Style"/>
          <w:lang w:val="sv-FI"/>
        </w:rPr>
        <w:t>Anggaran</w:t>
      </w:r>
      <w:r w:rsidR="00A954D0" w:rsidRPr="003255BC">
        <w:rPr>
          <w:rFonts w:ascii="Bookman Old Style" w:hAnsi="Bookman Old Style"/>
          <w:lang w:val="sv-FI"/>
        </w:rPr>
        <w:t xml:space="preserve"> </w:t>
      </w:r>
      <w:r w:rsidRPr="003255BC">
        <w:rPr>
          <w:rFonts w:ascii="Bookman Old Style" w:hAnsi="Bookman Old Style"/>
          <w:lang w:val="sv-FI"/>
        </w:rPr>
        <w:t>2025</w:t>
      </w:r>
      <w:r w:rsidR="00A954D0" w:rsidRPr="003255BC">
        <w:rPr>
          <w:rFonts w:ascii="Bookman Old Style" w:hAnsi="Bookman Old Style"/>
          <w:lang w:val="sv-FI"/>
        </w:rPr>
        <w:t xml:space="preserve"> </w:t>
      </w:r>
      <w:r w:rsidRPr="003255BC">
        <w:rPr>
          <w:rFonts w:ascii="Bookman Old Style" w:hAnsi="Bookman Old Style"/>
          <w:lang w:val="sv-FI"/>
        </w:rPr>
        <w:t>harus</w:t>
      </w:r>
      <w:r w:rsidR="00A954D0" w:rsidRPr="003255BC">
        <w:rPr>
          <w:rFonts w:ascii="Bookman Old Style" w:hAnsi="Bookman Old Style"/>
          <w:lang w:val="sv-FI"/>
        </w:rPr>
        <w:t xml:space="preserve"> </w:t>
      </w:r>
      <w:r w:rsidRPr="003255BC">
        <w:rPr>
          <w:rFonts w:ascii="Bookman Old Style" w:hAnsi="Bookman Old Style"/>
          <w:lang w:val="sv-FI"/>
        </w:rPr>
        <w:t>berdasarkan</w:t>
      </w:r>
      <w:r w:rsidR="00A954D0" w:rsidRPr="003255BC">
        <w:rPr>
          <w:rFonts w:ascii="Bookman Old Style" w:hAnsi="Bookman Old Style"/>
          <w:lang w:val="sv-FI"/>
        </w:rPr>
        <w:t xml:space="preserve"> </w:t>
      </w:r>
      <w:r w:rsidRPr="003255BC">
        <w:rPr>
          <w:rFonts w:ascii="Bookman Old Style" w:hAnsi="Bookman Old Style"/>
          <w:lang w:val="sv-FI"/>
        </w:rPr>
        <w:t>pada</w:t>
      </w:r>
      <w:r w:rsidR="00A954D0" w:rsidRPr="003255BC">
        <w:rPr>
          <w:rFonts w:ascii="Bookman Old Style" w:hAnsi="Bookman Old Style"/>
          <w:lang w:val="sv-FI"/>
        </w:rPr>
        <w:t xml:space="preserve"> </w:t>
      </w:r>
      <w:r w:rsidRPr="003255BC">
        <w:rPr>
          <w:rFonts w:ascii="Bookman Old Style" w:hAnsi="Bookman Old Style"/>
          <w:lang w:val="sv-FI"/>
        </w:rPr>
        <w:t>ketentuan</w:t>
      </w:r>
      <w:r w:rsidR="00A954D0" w:rsidRPr="003255BC">
        <w:rPr>
          <w:rFonts w:ascii="Bookman Old Style" w:hAnsi="Bookman Old Style"/>
          <w:lang w:val="sv-FI"/>
        </w:rPr>
        <w:t xml:space="preserve"> </w:t>
      </w:r>
      <w:r w:rsidRPr="003255BC">
        <w:rPr>
          <w:rFonts w:ascii="Bookman Old Style" w:hAnsi="Bookman Old Style"/>
          <w:lang w:val="sv-FI"/>
        </w:rPr>
        <w:t>peraturan</w:t>
      </w:r>
      <w:r w:rsidR="00A954D0" w:rsidRPr="003255BC">
        <w:rPr>
          <w:rFonts w:ascii="Bookman Old Style" w:hAnsi="Bookman Old Style"/>
          <w:lang w:val="sv-FI"/>
        </w:rPr>
        <w:t xml:space="preserve"> </w:t>
      </w:r>
      <w:r w:rsidRPr="003255BC">
        <w:rPr>
          <w:rFonts w:ascii="Bookman Old Style" w:hAnsi="Bookman Old Style"/>
          <w:lang w:val="sv-FI"/>
        </w:rPr>
        <w:t>perundang</w:t>
      </w:r>
      <w:r w:rsidR="00A954D0" w:rsidRPr="003255BC">
        <w:rPr>
          <w:rFonts w:ascii="Bookman Old Style" w:hAnsi="Bookman Old Style"/>
          <w:lang w:val="sv-FI"/>
        </w:rPr>
        <w:t xml:space="preserve"> </w:t>
      </w:r>
      <w:r w:rsidRPr="003255BC">
        <w:rPr>
          <w:rFonts w:ascii="Bookman Old Style" w:hAnsi="Bookman Old Style"/>
          <w:lang w:val="sv-FI"/>
        </w:rPr>
        <w:t>undangan</w:t>
      </w:r>
      <w:r w:rsidR="00A954D0" w:rsidRPr="003255BC">
        <w:rPr>
          <w:rFonts w:ascii="Bookman Old Style" w:hAnsi="Bookman Old Style"/>
          <w:lang w:val="sv-FI"/>
        </w:rPr>
        <w:t xml:space="preserve"> </w:t>
      </w:r>
      <w:r w:rsidRPr="003255BC">
        <w:rPr>
          <w:rFonts w:ascii="Bookman Old Style" w:hAnsi="Bookman Old Style"/>
          <w:lang w:val="sv-FI"/>
        </w:rPr>
        <w:t>sebagaimana</w:t>
      </w:r>
      <w:r w:rsidR="00A954D0" w:rsidRPr="003255BC">
        <w:rPr>
          <w:rFonts w:ascii="Bookman Old Style" w:hAnsi="Bookman Old Style"/>
          <w:lang w:val="sv-FI"/>
        </w:rPr>
        <w:t xml:space="preserve"> </w:t>
      </w:r>
      <w:r w:rsidRPr="003255BC">
        <w:rPr>
          <w:rFonts w:ascii="Bookman Old Style" w:hAnsi="Bookman Old Style"/>
          <w:lang w:val="sv-FI"/>
        </w:rPr>
        <w:t>maksud</w:t>
      </w:r>
      <w:r w:rsidR="00A954D0" w:rsidRPr="003255BC">
        <w:rPr>
          <w:rFonts w:ascii="Bookman Old Style" w:hAnsi="Bookman Old Style"/>
          <w:lang w:val="sv-FI"/>
        </w:rPr>
        <w:t xml:space="preserve"> </w:t>
      </w:r>
      <w:r w:rsidRPr="003255BC">
        <w:rPr>
          <w:rFonts w:ascii="Bookman Old Style" w:hAnsi="Bookman Old Style"/>
          <w:lang w:val="sv-FI"/>
        </w:rPr>
        <w:t>Pasal</w:t>
      </w:r>
      <w:r w:rsidR="00A954D0" w:rsidRPr="003255BC">
        <w:rPr>
          <w:rFonts w:ascii="Bookman Old Style" w:hAnsi="Bookman Old Style"/>
          <w:lang w:val="sv-FI"/>
        </w:rPr>
        <w:t xml:space="preserve"> </w:t>
      </w:r>
      <w:r w:rsidRPr="003255BC">
        <w:rPr>
          <w:rFonts w:ascii="Bookman Old Style" w:hAnsi="Bookman Old Style"/>
          <w:lang w:val="sv-FI"/>
        </w:rPr>
        <w:t>24</w:t>
      </w:r>
      <w:r w:rsidR="00A954D0" w:rsidRPr="003255BC">
        <w:rPr>
          <w:rFonts w:ascii="Bookman Old Style" w:hAnsi="Bookman Old Style"/>
          <w:lang w:val="sv-FI"/>
        </w:rPr>
        <w:t xml:space="preserve"> </w:t>
      </w:r>
      <w:r w:rsidRPr="003255BC">
        <w:rPr>
          <w:rFonts w:ascii="Bookman Old Style" w:hAnsi="Bookman Old Style"/>
          <w:lang w:val="sv-FI"/>
        </w:rPr>
        <w:t>ayat</w:t>
      </w:r>
      <w:r w:rsidR="00A954D0" w:rsidRPr="003255BC">
        <w:rPr>
          <w:rFonts w:ascii="Bookman Old Style" w:hAnsi="Bookman Old Style"/>
          <w:lang w:val="sv-FI"/>
        </w:rPr>
        <w:t xml:space="preserve"> </w:t>
      </w:r>
      <w:r w:rsidRPr="003255BC">
        <w:rPr>
          <w:rFonts w:ascii="Bookman Old Style" w:hAnsi="Bookman Old Style"/>
          <w:lang w:val="sv-FI"/>
        </w:rPr>
        <w:t>(4)</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ayat</w:t>
      </w:r>
      <w:r w:rsidR="00A954D0" w:rsidRPr="003255BC">
        <w:rPr>
          <w:rFonts w:ascii="Bookman Old Style" w:hAnsi="Bookman Old Style"/>
          <w:lang w:val="sv-FI"/>
        </w:rPr>
        <w:t xml:space="preserve"> </w:t>
      </w:r>
      <w:r w:rsidRPr="003255BC">
        <w:rPr>
          <w:rFonts w:ascii="Bookman Old Style" w:hAnsi="Bookman Old Style"/>
          <w:lang w:val="sv-FI"/>
        </w:rPr>
        <w:t>(6)</w:t>
      </w:r>
      <w:r w:rsidR="00A954D0" w:rsidRPr="003255BC">
        <w:rPr>
          <w:rFonts w:ascii="Bookman Old Style" w:hAnsi="Bookman Old Style"/>
          <w:lang w:val="sv-FI"/>
        </w:rPr>
        <w:t xml:space="preserve"> </w:t>
      </w:r>
      <w:r w:rsidRPr="003255BC">
        <w:rPr>
          <w:rFonts w:ascii="Bookman Old Style" w:hAnsi="Bookman Old Style"/>
          <w:lang w:val="sv-FI"/>
        </w:rPr>
        <w:t>Peraturan</w:t>
      </w:r>
      <w:r w:rsidR="00A954D0" w:rsidRPr="003255BC">
        <w:rPr>
          <w:rFonts w:ascii="Bookman Old Style" w:hAnsi="Bookman Old Style"/>
          <w:lang w:val="sv-FI"/>
        </w:rPr>
        <w:t xml:space="preserve"> </w:t>
      </w:r>
      <w:r w:rsidRPr="003255BC">
        <w:rPr>
          <w:rFonts w:ascii="Bookman Old Style" w:hAnsi="Bookman Old Style"/>
          <w:lang w:val="sv-FI"/>
        </w:rPr>
        <w:t>Pemerintah</w:t>
      </w:r>
      <w:r w:rsidR="00A954D0" w:rsidRPr="003255BC">
        <w:rPr>
          <w:rFonts w:ascii="Bookman Old Style" w:hAnsi="Bookman Old Style"/>
          <w:lang w:val="sv-FI"/>
        </w:rPr>
        <w:t xml:space="preserve"> </w:t>
      </w:r>
      <w:r w:rsidRPr="003255BC">
        <w:rPr>
          <w:rFonts w:ascii="Bookman Old Style" w:hAnsi="Bookman Old Style"/>
          <w:lang w:val="sv-FI"/>
        </w:rPr>
        <w:t>Nomor</w:t>
      </w:r>
      <w:r w:rsidR="00A954D0" w:rsidRPr="003255BC">
        <w:rPr>
          <w:rFonts w:ascii="Bookman Old Style" w:hAnsi="Bookman Old Style"/>
          <w:lang w:val="sv-FI"/>
        </w:rPr>
        <w:t xml:space="preserve"> </w:t>
      </w:r>
      <w:r w:rsidRPr="003255BC">
        <w:rPr>
          <w:rFonts w:ascii="Bookman Old Style" w:hAnsi="Bookman Old Style"/>
          <w:lang w:val="sv-FI"/>
        </w:rPr>
        <w:t>12</w:t>
      </w:r>
      <w:r w:rsidR="00A954D0" w:rsidRPr="003255BC">
        <w:rPr>
          <w:rFonts w:ascii="Bookman Old Style" w:hAnsi="Bookman Old Style"/>
          <w:lang w:val="sv-FI"/>
        </w:rPr>
        <w:t xml:space="preserve"> </w:t>
      </w:r>
      <w:r w:rsidRPr="003255BC">
        <w:rPr>
          <w:rFonts w:ascii="Bookman Old Style" w:hAnsi="Bookman Old Style"/>
          <w:lang w:val="sv-FI"/>
        </w:rPr>
        <w:t>Tahun</w:t>
      </w:r>
      <w:r w:rsidR="00A954D0" w:rsidRPr="003255BC">
        <w:rPr>
          <w:rFonts w:ascii="Bookman Old Style" w:hAnsi="Bookman Old Style"/>
          <w:lang w:val="sv-FI"/>
        </w:rPr>
        <w:t xml:space="preserve"> </w:t>
      </w:r>
      <w:r w:rsidRPr="003255BC">
        <w:rPr>
          <w:rFonts w:ascii="Bookman Old Style" w:hAnsi="Bookman Old Style"/>
          <w:lang w:val="sv-FI"/>
        </w:rPr>
        <w:t>2019,</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disesuaikan</w:t>
      </w:r>
      <w:r w:rsidR="00A954D0" w:rsidRPr="003255BC">
        <w:rPr>
          <w:rFonts w:ascii="Bookman Old Style" w:hAnsi="Bookman Old Style"/>
          <w:lang w:val="sv-FI"/>
        </w:rPr>
        <w:t xml:space="preserve"> </w:t>
      </w:r>
      <w:r w:rsidRPr="003255BC">
        <w:rPr>
          <w:rFonts w:ascii="Bookman Old Style" w:hAnsi="Bookman Old Style"/>
          <w:lang w:val="sv-FI"/>
        </w:rPr>
        <w:t>dengan</w:t>
      </w:r>
      <w:r w:rsidR="00A954D0" w:rsidRPr="003255BC">
        <w:rPr>
          <w:rFonts w:ascii="Bookman Old Style" w:hAnsi="Bookman Old Style"/>
          <w:lang w:val="sv-FI"/>
        </w:rPr>
        <w:t xml:space="preserve"> </w:t>
      </w:r>
      <w:r w:rsidRPr="003255BC">
        <w:rPr>
          <w:rFonts w:ascii="Bookman Old Style" w:hAnsi="Bookman Old Style"/>
          <w:lang w:val="sv-FI"/>
        </w:rPr>
        <w:t>susunan</w:t>
      </w:r>
      <w:r w:rsidR="00A954D0" w:rsidRPr="003255BC">
        <w:rPr>
          <w:rFonts w:ascii="Bookman Old Style" w:hAnsi="Bookman Old Style"/>
          <w:lang w:val="sv-FI"/>
        </w:rPr>
        <w:t xml:space="preserve"> </w:t>
      </w:r>
      <w:r w:rsidRPr="003255BC">
        <w:rPr>
          <w:rFonts w:ascii="Bookman Old Style" w:hAnsi="Bookman Old Style"/>
          <w:lang w:val="sv-FI"/>
        </w:rPr>
        <w:t>organisasi</w:t>
      </w:r>
      <w:r w:rsidR="00A954D0" w:rsidRPr="003255BC">
        <w:rPr>
          <w:rFonts w:ascii="Bookman Old Style" w:hAnsi="Bookman Old Style"/>
          <w:lang w:val="sv-FI"/>
        </w:rPr>
        <w:t xml:space="preserve"> </w:t>
      </w:r>
      <w:r w:rsidRPr="003255BC">
        <w:rPr>
          <w:rFonts w:ascii="Bookman Old Style" w:hAnsi="Bookman Old Style"/>
          <w:lang w:val="sv-FI"/>
        </w:rPr>
        <w:t>yang</w:t>
      </w:r>
      <w:r w:rsidR="00A954D0" w:rsidRPr="003255BC">
        <w:rPr>
          <w:rFonts w:ascii="Bookman Old Style" w:hAnsi="Bookman Old Style"/>
          <w:lang w:val="sv-FI"/>
        </w:rPr>
        <w:t xml:space="preserve"> </w:t>
      </w:r>
      <w:r w:rsidRPr="003255BC">
        <w:rPr>
          <w:rFonts w:ascii="Bookman Old Style" w:hAnsi="Bookman Old Style"/>
          <w:lang w:val="sv-FI"/>
        </w:rPr>
        <w:t>ditetapkan</w:t>
      </w:r>
      <w:r w:rsidR="00A954D0" w:rsidRPr="003255BC">
        <w:rPr>
          <w:rFonts w:ascii="Bookman Old Style" w:hAnsi="Bookman Old Style"/>
          <w:lang w:val="sv-FI"/>
        </w:rPr>
        <w:t xml:space="preserve"> </w:t>
      </w:r>
      <w:r w:rsidRPr="003255BC">
        <w:rPr>
          <w:rFonts w:ascii="Bookman Old Style" w:hAnsi="Bookman Old Style"/>
          <w:lang w:val="sv-FI"/>
        </w:rPr>
        <w:lastRenderedPageBreak/>
        <w:t>berdasarkan</w:t>
      </w:r>
      <w:r w:rsidR="00A954D0" w:rsidRPr="003255BC">
        <w:rPr>
          <w:rFonts w:ascii="Bookman Old Style" w:hAnsi="Bookman Old Style"/>
          <w:lang w:val="sv-FI"/>
        </w:rPr>
        <w:t xml:space="preserve"> </w:t>
      </w:r>
      <w:r w:rsidRPr="003255BC">
        <w:rPr>
          <w:rFonts w:ascii="Bookman Old Style" w:hAnsi="Bookman Old Style"/>
          <w:lang w:val="sv-FI"/>
        </w:rPr>
        <w:t>ketentuan</w:t>
      </w:r>
      <w:r w:rsidR="00A954D0" w:rsidRPr="003255BC">
        <w:rPr>
          <w:rFonts w:ascii="Bookman Old Style" w:hAnsi="Bookman Old Style"/>
          <w:lang w:val="sv-FI"/>
        </w:rPr>
        <w:t xml:space="preserve"> </w:t>
      </w:r>
      <w:r w:rsidRPr="003255BC">
        <w:rPr>
          <w:rFonts w:ascii="Bookman Old Style" w:hAnsi="Bookman Old Style"/>
          <w:lang w:val="sv-FI"/>
        </w:rPr>
        <w:t>peraturan</w:t>
      </w:r>
      <w:r w:rsidR="00A954D0" w:rsidRPr="003255BC">
        <w:rPr>
          <w:rFonts w:ascii="Bookman Old Style" w:hAnsi="Bookman Old Style"/>
          <w:lang w:val="sv-FI"/>
        </w:rPr>
        <w:t xml:space="preserve"> </w:t>
      </w:r>
      <w:r w:rsidRPr="003255BC">
        <w:rPr>
          <w:rFonts w:ascii="Bookman Old Style" w:hAnsi="Bookman Old Style"/>
          <w:lang w:val="sv-FI"/>
        </w:rPr>
        <w:t>perundang</w:t>
      </w:r>
      <w:r w:rsidR="00A954D0" w:rsidRPr="003255BC">
        <w:rPr>
          <w:rFonts w:ascii="Bookman Old Style" w:hAnsi="Bookman Old Style"/>
          <w:lang w:val="sv-FI"/>
        </w:rPr>
        <w:t xml:space="preserve"> </w:t>
      </w:r>
      <w:r w:rsidRPr="003255BC">
        <w:rPr>
          <w:rFonts w:ascii="Bookman Old Style" w:hAnsi="Bookman Old Style"/>
          <w:lang w:val="sv-FI"/>
        </w:rPr>
        <w:t>undangan</w:t>
      </w:r>
      <w:r w:rsidR="00A954D0" w:rsidRPr="003255BC">
        <w:rPr>
          <w:rFonts w:ascii="Bookman Old Style" w:hAnsi="Bookman Old Style"/>
          <w:lang w:val="sv-FI"/>
        </w:rPr>
        <w:t xml:space="preserve"> </w:t>
      </w:r>
      <w:r w:rsidRPr="003255BC">
        <w:rPr>
          <w:rFonts w:ascii="Bookman Old Style" w:hAnsi="Bookman Old Style"/>
          <w:lang w:val="sv-FI"/>
        </w:rPr>
        <w:t>sebagaimana</w:t>
      </w:r>
      <w:r w:rsidR="00A954D0" w:rsidRPr="003255BC">
        <w:rPr>
          <w:rFonts w:ascii="Bookman Old Style" w:hAnsi="Bookman Old Style"/>
          <w:lang w:val="sv-FI"/>
        </w:rPr>
        <w:t xml:space="preserve"> </w:t>
      </w:r>
      <w:r w:rsidRPr="003255BC">
        <w:rPr>
          <w:rFonts w:ascii="Bookman Old Style" w:hAnsi="Bookman Old Style"/>
          <w:lang w:val="sv-FI"/>
        </w:rPr>
        <w:t>maksud</w:t>
      </w:r>
      <w:r w:rsidR="00A954D0" w:rsidRPr="003255BC">
        <w:rPr>
          <w:rFonts w:ascii="Bookman Old Style" w:hAnsi="Bookman Old Style"/>
          <w:lang w:val="sv-FI"/>
        </w:rPr>
        <w:t xml:space="preserve"> </w:t>
      </w:r>
      <w:r w:rsidRPr="003255BC">
        <w:rPr>
          <w:rFonts w:ascii="Bookman Old Style" w:hAnsi="Bookman Old Style"/>
          <w:lang w:val="sv-FI"/>
        </w:rPr>
        <w:t>Pasal</w:t>
      </w:r>
      <w:r w:rsidR="00A954D0" w:rsidRPr="003255BC">
        <w:rPr>
          <w:rFonts w:ascii="Bookman Old Style" w:hAnsi="Bookman Old Style"/>
          <w:lang w:val="sv-FI"/>
        </w:rPr>
        <w:t xml:space="preserve"> </w:t>
      </w:r>
      <w:r w:rsidRPr="003255BC">
        <w:rPr>
          <w:rFonts w:ascii="Bookman Old Style" w:hAnsi="Bookman Old Style"/>
          <w:lang w:val="sv-FI"/>
        </w:rPr>
        <w:t>53</w:t>
      </w:r>
      <w:r w:rsidR="00A954D0" w:rsidRPr="003255BC">
        <w:rPr>
          <w:rFonts w:ascii="Bookman Old Style" w:hAnsi="Bookman Old Style"/>
          <w:lang w:val="sv-FI"/>
        </w:rPr>
        <w:t xml:space="preserve"> </w:t>
      </w:r>
      <w:r w:rsidRPr="003255BC">
        <w:rPr>
          <w:rFonts w:ascii="Bookman Old Style" w:hAnsi="Bookman Old Style"/>
          <w:lang w:val="sv-FI"/>
        </w:rPr>
        <w:t>Peraturan</w:t>
      </w:r>
      <w:r w:rsidR="00A954D0" w:rsidRPr="003255BC">
        <w:rPr>
          <w:rFonts w:ascii="Bookman Old Style" w:hAnsi="Bookman Old Style"/>
          <w:lang w:val="sv-FI"/>
        </w:rPr>
        <w:t xml:space="preserve"> </w:t>
      </w:r>
      <w:r w:rsidRPr="003255BC">
        <w:rPr>
          <w:rFonts w:ascii="Bookman Old Style" w:hAnsi="Bookman Old Style"/>
          <w:lang w:val="sv-FI"/>
        </w:rPr>
        <w:t>Pemerintah</w:t>
      </w:r>
      <w:r w:rsidR="00A954D0" w:rsidRPr="003255BC">
        <w:rPr>
          <w:rFonts w:ascii="Bookman Old Style" w:hAnsi="Bookman Old Style"/>
          <w:lang w:val="sv-FI"/>
        </w:rPr>
        <w:t xml:space="preserve"> </w:t>
      </w:r>
      <w:r w:rsidRPr="003255BC">
        <w:rPr>
          <w:rFonts w:ascii="Bookman Old Style" w:hAnsi="Bookman Old Style"/>
          <w:lang w:val="sv-FI"/>
        </w:rPr>
        <w:t>Nomor</w:t>
      </w:r>
      <w:r w:rsidR="00A954D0" w:rsidRPr="003255BC">
        <w:rPr>
          <w:rFonts w:ascii="Bookman Old Style" w:hAnsi="Bookman Old Style"/>
          <w:lang w:val="sv-FI"/>
        </w:rPr>
        <w:t xml:space="preserve"> </w:t>
      </w:r>
      <w:r w:rsidRPr="003255BC">
        <w:rPr>
          <w:rFonts w:ascii="Bookman Old Style" w:hAnsi="Bookman Old Style"/>
          <w:lang w:val="sv-FI"/>
        </w:rPr>
        <w:t>12</w:t>
      </w:r>
      <w:r w:rsidR="00A954D0" w:rsidRPr="003255BC">
        <w:rPr>
          <w:rFonts w:ascii="Bookman Old Style" w:hAnsi="Bookman Old Style"/>
          <w:lang w:val="sv-FI"/>
        </w:rPr>
        <w:t xml:space="preserve"> </w:t>
      </w:r>
      <w:r w:rsidRPr="003255BC">
        <w:rPr>
          <w:rFonts w:ascii="Bookman Old Style" w:hAnsi="Bookman Old Style"/>
          <w:lang w:val="sv-FI"/>
        </w:rPr>
        <w:t>Tahun</w:t>
      </w:r>
      <w:r w:rsidR="00A954D0" w:rsidRPr="003255BC">
        <w:rPr>
          <w:rFonts w:ascii="Bookman Old Style" w:hAnsi="Bookman Old Style"/>
          <w:lang w:val="sv-FI"/>
        </w:rPr>
        <w:t xml:space="preserve"> </w:t>
      </w:r>
      <w:r w:rsidRPr="003255BC">
        <w:rPr>
          <w:rFonts w:ascii="Bookman Old Style" w:hAnsi="Bookman Old Style"/>
          <w:lang w:val="sv-FI"/>
        </w:rPr>
        <w:t>2019.</w:t>
      </w:r>
    </w:p>
    <w:p w14:paraId="1A2C6E9F" w14:textId="0B8EE0FE" w:rsidR="003374DF" w:rsidRPr="003255BC" w:rsidRDefault="003374DF" w:rsidP="00953DC9">
      <w:pPr>
        <w:numPr>
          <w:ilvl w:val="0"/>
          <w:numId w:val="156"/>
        </w:numPr>
        <w:spacing w:before="60" w:line="276" w:lineRule="auto"/>
        <w:ind w:left="993" w:hanging="426"/>
        <w:jc w:val="both"/>
        <w:rPr>
          <w:rFonts w:ascii="Bookman Old Style" w:hAnsi="Bookman Old Style"/>
          <w:lang w:val="sv-FI"/>
        </w:rPr>
      </w:pPr>
      <w:r w:rsidRPr="00BF3751">
        <w:rPr>
          <w:rFonts w:ascii="Bookman Old Style" w:hAnsi="Bookman Old Style"/>
          <w:lang w:val="id-ID"/>
        </w:rPr>
        <w:t>Pemerintah</w:t>
      </w:r>
      <w:r w:rsidR="00A954D0" w:rsidRPr="003255BC">
        <w:rPr>
          <w:rFonts w:ascii="Bookman Old Style" w:hAnsi="Bookman Old Style"/>
          <w:lang w:val="sv-FI"/>
        </w:rPr>
        <w:t xml:space="preserve"> </w:t>
      </w:r>
      <w:r w:rsidRPr="003255BC">
        <w:rPr>
          <w:rFonts w:ascii="Bookman Old Style" w:hAnsi="Bookman Old Style"/>
          <w:lang w:val="sv-FI"/>
        </w:rPr>
        <w:t>Daerah</w:t>
      </w:r>
      <w:r w:rsidR="00A954D0" w:rsidRPr="003255BC">
        <w:rPr>
          <w:rFonts w:ascii="Bookman Old Style" w:hAnsi="Bookman Old Style"/>
          <w:lang w:val="sv-FI"/>
        </w:rPr>
        <w:t xml:space="preserve"> </w:t>
      </w:r>
      <w:r w:rsidR="00046408" w:rsidRPr="003255BC">
        <w:rPr>
          <w:rFonts w:ascii="Bookman Old Style" w:hAnsi="Bookman Old Style"/>
          <w:lang w:val="sv-FI"/>
        </w:rPr>
        <w:t>Kota</w:t>
      </w:r>
      <w:r w:rsidR="00A954D0" w:rsidRPr="003255BC">
        <w:rPr>
          <w:rFonts w:ascii="Bookman Old Style" w:hAnsi="Bookman Old Style"/>
          <w:lang w:val="sv-FI"/>
        </w:rPr>
        <w:t xml:space="preserve"> </w:t>
      </w:r>
      <w:r w:rsidR="00770F22" w:rsidRPr="003255BC">
        <w:rPr>
          <w:rFonts w:ascii="Bookman Old Style" w:hAnsi="Bookman Old Style"/>
          <w:lang w:val="sv-FI"/>
        </w:rPr>
        <w:t>Tangerang</w:t>
      </w:r>
      <w:r w:rsidR="00A954D0" w:rsidRPr="003255BC">
        <w:rPr>
          <w:rFonts w:ascii="Bookman Old Style" w:hAnsi="Bookman Old Style"/>
          <w:lang w:val="sv-FI"/>
        </w:rPr>
        <w:t xml:space="preserve"> </w:t>
      </w:r>
      <w:r w:rsidRPr="003255BC">
        <w:rPr>
          <w:rFonts w:ascii="Bookman Old Style" w:hAnsi="Bookman Old Style"/>
          <w:lang w:val="sv-FI"/>
        </w:rPr>
        <w:t>dalam</w:t>
      </w:r>
      <w:r w:rsidR="00A954D0" w:rsidRPr="003255BC">
        <w:rPr>
          <w:rFonts w:ascii="Bookman Old Style" w:hAnsi="Bookman Old Style"/>
          <w:lang w:val="sv-FI"/>
        </w:rPr>
        <w:t xml:space="preserve"> </w:t>
      </w:r>
      <w:r w:rsidRPr="003255BC">
        <w:rPr>
          <w:rFonts w:ascii="Bookman Old Style" w:hAnsi="Bookman Old Style"/>
          <w:lang w:val="sv-FI"/>
        </w:rPr>
        <w:t>penyusunan</w:t>
      </w:r>
      <w:r w:rsidR="00A954D0">
        <w:rPr>
          <w:rFonts w:ascii="Bookman Old Style" w:hAnsi="Bookman Old Style"/>
          <w:lang w:val="id-ID"/>
        </w:rPr>
        <w:t xml:space="preserve"> </w:t>
      </w:r>
      <w:r w:rsidRPr="00953DC9">
        <w:rPr>
          <w:rFonts w:ascii="Bookman Old Style" w:hAnsi="Bookman Old Style"/>
          <w:lang w:val="sv-FI"/>
        </w:rPr>
        <w:t>rancangan</w:t>
      </w:r>
      <w:r w:rsidR="00A954D0">
        <w:rPr>
          <w:rFonts w:ascii="Bookman Old Style" w:hAnsi="Bookman Old Style"/>
          <w:lang w:val="id-ID"/>
        </w:rPr>
        <w:t xml:space="preserve"> </w:t>
      </w:r>
      <w:r w:rsidRPr="003255BC">
        <w:rPr>
          <w:rFonts w:ascii="Bookman Old Style" w:hAnsi="Bookman Old Style"/>
          <w:lang w:val="sv-FI"/>
        </w:rPr>
        <w:t>RKPD</w:t>
      </w:r>
      <w:r w:rsidRPr="00BF3751">
        <w:rPr>
          <w:rFonts w:ascii="Bookman Old Style" w:hAnsi="Bookman Old Style"/>
          <w:lang w:val="id-ID"/>
        </w:rPr>
        <w:t>,</w:t>
      </w:r>
      <w:r w:rsidR="00A954D0" w:rsidRPr="003255BC">
        <w:rPr>
          <w:rFonts w:ascii="Bookman Old Style" w:hAnsi="Bookman Old Style"/>
          <w:lang w:val="sv-FI"/>
        </w:rPr>
        <w:t xml:space="preserve"> </w:t>
      </w:r>
      <w:r w:rsidRPr="00BF3751">
        <w:rPr>
          <w:rFonts w:ascii="Bookman Old Style" w:hAnsi="Bookman Old Style"/>
          <w:lang w:val="id-ID"/>
        </w:rPr>
        <w:t>rancangan</w:t>
      </w:r>
      <w:r w:rsidR="00A954D0">
        <w:rPr>
          <w:rFonts w:ascii="Bookman Old Style" w:hAnsi="Bookman Old Style"/>
          <w:lang w:val="id-ID"/>
        </w:rPr>
        <w:t xml:space="preserve"> </w:t>
      </w:r>
      <w:r w:rsidRPr="00BF3751">
        <w:rPr>
          <w:rFonts w:ascii="Bookman Old Style" w:hAnsi="Bookman Old Style"/>
          <w:lang w:val="id-ID"/>
        </w:rPr>
        <w:t>KUA</w:t>
      </w:r>
      <w:r w:rsidR="00A954D0">
        <w:rPr>
          <w:rFonts w:ascii="Bookman Old Style" w:hAnsi="Bookman Old Style"/>
          <w:lang w:val="id-ID"/>
        </w:rPr>
        <w:t xml:space="preserve"> </w:t>
      </w:r>
      <w:r w:rsidRPr="00BF3751">
        <w:rPr>
          <w:rFonts w:ascii="Bookman Old Style" w:hAnsi="Bookman Old Style"/>
          <w:lang w:val="id-ID"/>
        </w:rPr>
        <w:t>dan</w:t>
      </w:r>
      <w:r w:rsidR="00A954D0">
        <w:rPr>
          <w:rFonts w:ascii="Bookman Old Style" w:hAnsi="Bookman Old Style"/>
          <w:lang w:val="id-ID"/>
        </w:rPr>
        <w:t xml:space="preserve"> </w:t>
      </w:r>
      <w:r w:rsidRPr="00BF3751">
        <w:rPr>
          <w:rFonts w:ascii="Bookman Old Style" w:hAnsi="Bookman Old Style"/>
          <w:lang w:val="id-ID"/>
        </w:rPr>
        <w:t>PPAS</w:t>
      </w:r>
      <w:r w:rsidR="00A954D0">
        <w:rPr>
          <w:rFonts w:ascii="Bookman Old Style" w:hAnsi="Bookman Old Style"/>
          <w:lang w:val="id-ID"/>
        </w:rPr>
        <w:t xml:space="preserve"> </w:t>
      </w:r>
      <w:r w:rsidRPr="00BF3751">
        <w:rPr>
          <w:rFonts w:ascii="Bookman Old Style" w:hAnsi="Bookman Old Style"/>
          <w:lang w:val="id-ID"/>
        </w:rPr>
        <w:t>serta</w:t>
      </w:r>
      <w:r w:rsidR="00A954D0">
        <w:rPr>
          <w:rFonts w:ascii="Bookman Old Style" w:hAnsi="Bookman Old Style"/>
          <w:lang w:val="id-ID"/>
        </w:rPr>
        <w:t xml:space="preserve"> </w:t>
      </w:r>
      <w:r w:rsidRPr="003255BC">
        <w:rPr>
          <w:rFonts w:ascii="Bookman Old Style" w:hAnsi="Bookman Old Style"/>
          <w:lang w:val="sv-FI"/>
        </w:rPr>
        <w:t>Rancangan</w:t>
      </w:r>
      <w:r w:rsidR="00A954D0" w:rsidRPr="003255BC">
        <w:rPr>
          <w:rFonts w:ascii="Bookman Old Style" w:hAnsi="Bookman Old Style"/>
          <w:lang w:val="sv-FI"/>
        </w:rPr>
        <w:t xml:space="preserve"> </w:t>
      </w:r>
      <w:r w:rsidRPr="003255BC">
        <w:rPr>
          <w:rFonts w:ascii="Bookman Old Style" w:hAnsi="Bookman Old Style"/>
          <w:lang w:val="sv-FI"/>
        </w:rPr>
        <w:t>Peraturan</w:t>
      </w:r>
      <w:r w:rsidR="00A954D0" w:rsidRPr="003255BC">
        <w:rPr>
          <w:rFonts w:ascii="Bookman Old Style" w:hAnsi="Bookman Old Style"/>
          <w:lang w:val="sv-FI"/>
        </w:rPr>
        <w:t xml:space="preserve"> </w:t>
      </w:r>
      <w:r w:rsidRPr="003255BC">
        <w:rPr>
          <w:rFonts w:ascii="Bookman Old Style" w:hAnsi="Bookman Old Style"/>
          <w:lang w:val="sv-FI"/>
        </w:rPr>
        <w:t>Daerah</w:t>
      </w:r>
      <w:r w:rsidR="00A954D0" w:rsidRPr="003255BC">
        <w:rPr>
          <w:rFonts w:ascii="Bookman Old Style" w:hAnsi="Bookman Old Style"/>
          <w:lang w:val="sv-FI"/>
        </w:rPr>
        <w:t xml:space="preserve"> </w:t>
      </w:r>
      <w:r w:rsidR="00B055C5" w:rsidRPr="003255BC">
        <w:rPr>
          <w:rFonts w:ascii="Bookman Old Style" w:hAnsi="Bookman Old Style"/>
          <w:lang w:val="sv-FI"/>
        </w:rPr>
        <w:t>Kota</w:t>
      </w:r>
      <w:r w:rsidR="00A954D0" w:rsidRPr="003255BC">
        <w:rPr>
          <w:rFonts w:ascii="Bookman Old Style" w:hAnsi="Bookman Old Style"/>
          <w:lang w:val="sv-FI"/>
        </w:rPr>
        <w:t xml:space="preserve"> </w:t>
      </w:r>
      <w:r w:rsidR="00770F22" w:rsidRPr="003255BC">
        <w:rPr>
          <w:rFonts w:ascii="Bookman Old Style" w:hAnsi="Bookman Old Style"/>
          <w:lang w:val="sv-FI"/>
        </w:rPr>
        <w:t>Tangerang</w:t>
      </w:r>
      <w:r w:rsidR="00A954D0" w:rsidRPr="003255BC">
        <w:rPr>
          <w:rFonts w:ascii="Bookman Old Style" w:hAnsi="Bookman Old Style"/>
          <w:lang w:val="sv-FI"/>
        </w:rPr>
        <w:t xml:space="preserve"> </w:t>
      </w:r>
      <w:r w:rsidR="00BE6ED9" w:rsidRPr="003255BC">
        <w:rPr>
          <w:rFonts w:ascii="Bookman Old Style" w:hAnsi="Bookman Old Style"/>
          <w:lang w:val="sv-FI"/>
        </w:rPr>
        <w:t>tentang</w:t>
      </w:r>
      <w:r w:rsidR="00A954D0" w:rsidRPr="003255BC">
        <w:rPr>
          <w:rFonts w:ascii="Bookman Old Style" w:hAnsi="Bookman Old Style"/>
          <w:lang w:val="sv-FI"/>
        </w:rPr>
        <w:t xml:space="preserve"> </w:t>
      </w:r>
      <w:r w:rsidR="00BE6ED9" w:rsidRPr="003255BC">
        <w:rPr>
          <w:rFonts w:ascii="Bookman Old Style" w:hAnsi="Bookman Old Style"/>
          <w:lang w:val="sv-FI"/>
        </w:rPr>
        <w:t>APBD</w:t>
      </w:r>
      <w:r w:rsidR="00A954D0" w:rsidRPr="003255BC">
        <w:rPr>
          <w:rFonts w:ascii="Bookman Old Style" w:hAnsi="Bookman Old Style"/>
          <w:lang w:val="sv-FI"/>
        </w:rPr>
        <w:t xml:space="preserve"> </w:t>
      </w:r>
      <w:r w:rsidRPr="003255BC">
        <w:rPr>
          <w:rFonts w:ascii="Bookman Old Style" w:hAnsi="Bookman Old Style"/>
          <w:lang w:val="sv-FI"/>
        </w:rPr>
        <w:t>Tahun</w:t>
      </w:r>
      <w:r w:rsidR="00A954D0" w:rsidRPr="003255BC">
        <w:rPr>
          <w:rFonts w:ascii="Bookman Old Style" w:hAnsi="Bookman Old Style"/>
          <w:lang w:val="sv-FI"/>
        </w:rPr>
        <w:t xml:space="preserve"> </w:t>
      </w:r>
      <w:r w:rsidRPr="003255BC">
        <w:rPr>
          <w:rFonts w:ascii="Bookman Old Style" w:hAnsi="Bookman Old Style"/>
          <w:lang w:val="sv-FI"/>
        </w:rPr>
        <w:t>Anggaran</w:t>
      </w:r>
      <w:r w:rsidR="00A954D0" w:rsidRPr="003255BC">
        <w:rPr>
          <w:rFonts w:ascii="Bookman Old Style" w:hAnsi="Bookman Old Style"/>
          <w:lang w:val="sv-FI"/>
        </w:rPr>
        <w:t xml:space="preserve"> </w:t>
      </w:r>
      <w:r w:rsidRPr="003255BC">
        <w:rPr>
          <w:rFonts w:ascii="Bookman Old Style" w:hAnsi="Bookman Old Style"/>
          <w:lang w:val="sv-FI"/>
        </w:rPr>
        <w:t>2025</w:t>
      </w:r>
      <w:r w:rsidR="00A954D0" w:rsidRPr="003255BC">
        <w:rPr>
          <w:rFonts w:ascii="Bookman Old Style" w:hAnsi="Bookman Old Style"/>
          <w:lang w:val="sv-FI"/>
        </w:rPr>
        <w:t xml:space="preserve"> </w:t>
      </w:r>
      <w:r w:rsidRPr="003255BC">
        <w:rPr>
          <w:rFonts w:ascii="Bookman Old Style" w:hAnsi="Bookman Old Style"/>
          <w:lang w:val="sv-FI"/>
        </w:rPr>
        <w:t>harus</w:t>
      </w:r>
      <w:r w:rsidR="00A954D0" w:rsidRPr="003255BC">
        <w:rPr>
          <w:rFonts w:ascii="Bookman Old Style" w:hAnsi="Bookman Old Style"/>
          <w:lang w:val="sv-FI"/>
        </w:rPr>
        <w:t xml:space="preserve"> </w:t>
      </w:r>
      <w:r w:rsidRPr="00BF3751">
        <w:rPr>
          <w:rFonts w:ascii="Bookman Old Style" w:hAnsi="Bookman Old Style"/>
          <w:lang w:val="id-ID"/>
        </w:rPr>
        <w:t>menggunakan</w:t>
      </w:r>
      <w:r w:rsidR="00A954D0">
        <w:rPr>
          <w:rFonts w:ascii="Bookman Old Style" w:hAnsi="Bookman Old Style"/>
          <w:lang w:val="id-ID"/>
        </w:rPr>
        <w:t xml:space="preserve"> </w:t>
      </w:r>
      <w:r w:rsidRPr="00BF3751">
        <w:rPr>
          <w:rFonts w:ascii="Bookman Old Style" w:hAnsi="Bookman Old Style"/>
          <w:lang w:val="id-ID"/>
        </w:rPr>
        <w:t>klasifikasi,</w:t>
      </w:r>
      <w:r w:rsidR="00A954D0">
        <w:rPr>
          <w:rFonts w:ascii="Bookman Old Style" w:hAnsi="Bookman Old Style"/>
          <w:lang w:val="id-ID"/>
        </w:rPr>
        <w:t xml:space="preserve"> </w:t>
      </w:r>
      <w:r w:rsidRPr="00BF3751">
        <w:rPr>
          <w:rFonts w:ascii="Bookman Old Style" w:hAnsi="Bookman Old Style"/>
          <w:lang w:val="id-ID"/>
        </w:rPr>
        <w:t>kodefikasi</w:t>
      </w:r>
      <w:r w:rsidR="00A954D0">
        <w:rPr>
          <w:rFonts w:ascii="Bookman Old Style" w:hAnsi="Bookman Old Style"/>
          <w:lang w:val="id-ID"/>
        </w:rPr>
        <w:t xml:space="preserve"> </w:t>
      </w:r>
      <w:r w:rsidRPr="00BF3751">
        <w:rPr>
          <w:rFonts w:ascii="Bookman Old Style" w:hAnsi="Bookman Old Style"/>
          <w:lang w:val="id-ID"/>
        </w:rPr>
        <w:t>dan</w:t>
      </w:r>
      <w:r w:rsidR="00A954D0">
        <w:rPr>
          <w:rFonts w:ascii="Bookman Old Style" w:hAnsi="Bookman Old Style"/>
          <w:lang w:val="id-ID"/>
        </w:rPr>
        <w:t xml:space="preserve"> </w:t>
      </w:r>
      <w:r w:rsidRPr="00BF3751">
        <w:rPr>
          <w:rFonts w:ascii="Bookman Old Style" w:hAnsi="Bookman Old Style"/>
          <w:lang w:val="id-ID"/>
        </w:rPr>
        <w:t>nomenklatur</w:t>
      </w:r>
      <w:r w:rsidR="00A954D0">
        <w:rPr>
          <w:rFonts w:ascii="Bookman Old Style" w:hAnsi="Bookman Old Style"/>
          <w:lang w:val="id-ID"/>
        </w:rPr>
        <w:t xml:space="preserve"> </w:t>
      </w:r>
      <w:r w:rsidRPr="00BF3751">
        <w:rPr>
          <w:rFonts w:ascii="Bookman Old Style" w:hAnsi="Bookman Old Style"/>
          <w:lang w:val="id-ID"/>
        </w:rPr>
        <w:t>perencanaan</w:t>
      </w:r>
      <w:r w:rsidR="00A954D0">
        <w:rPr>
          <w:rFonts w:ascii="Bookman Old Style" w:hAnsi="Bookman Old Style"/>
          <w:lang w:val="id-ID"/>
        </w:rPr>
        <w:t xml:space="preserve"> </w:t>
      </w:r>
      <w:r w:rsidRPr="00BF3751">
        <w:rPr>
          <w:rFonts w:ascii="Bookman Old Style" w:hAnsi="Bookman Old Style"/>
          <w:lang w:val="id-ID"/>
        </w:rPr>
        <w:t>pembangunan</w:t>
      </w:r>
      <w:r w:rsidR="00A954D0">
        <w:rPr>
          <w:rFonts w:ascii="Bookman Old Style" w:hAnsi="Bookman Old Style"/>
          <w:lang w:val="id-ID"/>
        </w:rPr>
        <w:t xml:space="preserve"> </w:t>
      </w:r>
      <w:r w:rsidRPr="00BF3751">
        <w:rPr>
          <w:rFonts w:ascii="Bookman Old Style" w:hAnsi="Bookman Old Style"/>
          <w:lang w:val="id-ID"/>
        </w:rPr>
        <w:t>dan</w:t>
      </w:r>
      <w:r w:rsidR="00A954D0">
        <w:rPr>
          <w:rFonts w:ascii="Bookman Old Style" w:hAnsi="Bookman Old Style"/>
          <w:lang w:val="id-ID"/>
        </w:rPr>
        <w:t xml:space="preserve"> </w:t>
      </w:r>
      <w:r w:rsidRPr="00BF3751">
        <w:rPr>
          <w:rFonts w:ascii="Bookman Old Style" w:hAnsi="Bookman Old Style"/>
          <w:lang w:val="id-ID"/>
        </w:rPr>
        <w:t>keuangan</w:t>
      </w:r>
      <w:r w:rsidR="00A954D0">
        <w:rPr>
          <w:rFonts w:ascii="Bookman Old Style" w:hAnsi="Bookman Old Style"/>
          <w:lang w:val="id-ID"/>
        </w:rPr>
        <w:t xml:space="preserve"> </w:t>
      </w:r>
      <w:r w:rsidRPr="00BF3751">
        <w:rPr>
          <w:rFonts w:ascii="Bookman Old Style" w:hAnsi="Bookman Old Style"/>
          <w:lang w:val="id-ID"/>
        </w:rPr>
        <w:t>daerah</w:t>
      </w:r>
      <w:r w:rsidR="00A954D0">
        <w:rPr>
          <w:rFonts w:ascii="Bookman Old Style" w:hAnsi="Bookman Old Style"/>
          <w:lang w:val="id-ID"/>
        </w:rPr>
        <w:t xml:space="preserve"> </w:t>
      </w:r>
      <w:r w:rsidRPr="00BF3751">
        <w:rPr>
          <w:rFonts w:ascii="Bookman Old Style" w:hAnsi="Bookman Old Style"/>
          <w:lang w:val="id-ID"/>
        </w:rPr>
        <w:t>yang</w:t>
      </w:r>
      <w:r w:rsidR="00A954D0">
        <w:rPr>
          <w:rFonts w:ascii="Bookman Old Style" w:hAnsi="Bookman Old Style"/>
          <w:lang w:val="id-ID"/>
        </w:rPr>
        <w:t xml:space="preserve"> </w:t>
      </w:r>
      <w:r w:rsidRPr="003255BC">
        <w:rPr>
          <w:rFonts w:ascii="Bookman Old Style" w:hAnsi="Bookman Old Style"/>
          <w:lang w:val="sv-FI"/>
        </w:rPr>
        <w:t>diamanatkan</w:t>
      </w:r>
      <w:r w:rsidR="00A954D0">
        <w:rPr>
          <w:rFonts w:ascii="Bookman Old Style" w:hAnsi="Bookman Old Style"/>
          <w:lang w:val="id-ID"/>
        </w:rPr>
        <w:t xml:space="preserve"> </w:t>
      </w:r>
      <w:r w:rsidRPr="00BF3751">
        <w:rPr>
          <w:rFonts w:ascii="Bookman Old Style" w:hAnsi="Bookman Old Style"/>
          <w:lang w:val="id-ID"/>
        </w:rPr>
        <w:t>dalam</w:t>
      </w:r>
      <w:r w:rsidR="00A954D0">
        <w:rPr>
          <w:rFonts w:ascii="Bookman Old Style" w:hAnsi="Bookman Old Style"/>
          <w:lang w:val="id-ID"/>
        </w:rPr>
        <w:t xml:space="preserve"> </w:t>
      </w:r>
      <w:r w:rsidRPr="00BF3751">
        <w:rPr>
          <w:rFonts w:ascii="Bookman Old Style" w:hAnsi="Bookman Old Style"/>
          <w:lang w:val="id-ID"/>
        </w:rPr>
        <w:t>Peraturan</w:t>
      </w:r>
      <w:r w:rsidR="00A954D0">
        <w:rPr>
          <w:rFonts w:ascii="Bookman Old Style" w:hAnsi="Bookman Old Style"/>
          <w:lang w:val="id-ID"/>
        </w:rPr>
        <w:t xml:space="preserve"> </w:t>
      </w:r>
      <w:r w:rsidRPr="00BF3751">
        <w:rPr>
          <w:rFonts w:ascii="Bookman Old Style" w:hAnsi="Bookman Old Style"/>
          <w:lang w:val="id-ID"/>
        </w:rPr>
        <w:t>Menteri</w:t>
      </w:r>
      <w:r w:rsidR="00A954D0">
        <w:rPr>
          <w:rFonts w:ascii="Bookman Old Style" w:hAnsi="Bookman Old Style"/>
          <w:lang w:val="id-ID"/>
        </w:rPr>
        <w:t xml:space="preserve"> </w:t>
      </w:r>
      <w:r w:rsidRPr="00BF3751">
        <w:rPr>
          <w:rFonts w:ascii="Bookman Old Style" w:hAnsi="Bookman Old Style"/>
          <w:lang w:val="id-ID"/>
        </w:rPr>
        <w:t>Dalam</w:t>
      </w:r>
      <w:r w:rsidR="00A954D0">
        <w:rPr>
          <w:rFonts w:ascii="Bookman Old Style" w:hAnsi="Bookman Old Style"/>
          <w:lang w:val="id-ID"/>
        </w:rPr>
        <w:t xml:space="preserve"> </w:t>
      </w:r>
      <w:r w:rsidRPr="00BF3751">
        <w:rPr>
          <w:rFonts w:ascii="Bookman Old Style" w:hAnsi="Bookman Old Style"/>
          <w:lang w:val="id-ID"/>
        </w:rPr>
        <w:t>Negeri</w:t>
      </w:r>
      <w:r w:rsidR="00A954D0">
        <w:rPr>
          <w:rFonts w:ascii="Bookman Old Style" w:hAnsi="Bookman Old Style"/>
          <w:lang w:val="id-ID"/>
        </w:rPr>
        <w:t xml:space="preserve"> </w:t>
      </w:r>
      <w:r w:rsidRPr="00BF3751">
        <w:rPr>
          <w:rFonts w:ascii="Bookman Old Style" w:hAnsi="Bookman Old Style"/>
          <w:lang w:val="id-ID"/>
        </w:rPr>
        <w:t>Nomor</w:t>
      </w:r>
      <w:r w:rsidR="00A954D0">
        <w:rPr>
          <w:rFonts w:ascii="Bookman Old Style" w:hAnsi="Bookman Old Style"/>
          <w:lang w:val="id-ID"/>
        </w:rPr>
        <w:t xml:space="preserve"> </w:t>
      </w:r>
      <w:r w:rsidRPr="00BF3751">
        <w:rPr>
          <w:rFonts w:ascii="Bookman Old Style" w:hAnsi="Bookman Old Style"/>
          <w:lang w:val="id-ID"/>
        </w:rPr>
        <w:t>90</w:t>
      </w:r>
      <w:r w:rsidR="00A954D0">
        <w:rPr>
          <w:rFonts w:ascii="Bookman Old Style" w:hAnsi="Bookman Old Style"/>
          <w:lang w:val="id-ID"/>
        </w:rPr>
        <w:t xml:space="preserve"> </w:t>
      </w:r>
      <w:r w:rsidRPr="00BF3751">
        <w:rPr>
          <w:rFonts w:ascii="Bookman Old Style" w:hAnsi="Bookman Old Style"/>
          <w:lang w:val="id-ID"/>
        </w:rPr>
        <w:t>Tahun</w:t>
      </w:r>
      <w:r w:rsidR="00A954D0">
        <w:rPr>
          <w:rFonts w:ascii="Bookman Old Style" w:hAnsi="Bookman Old Style"/>
          <w:lang w:val="id-ID"/>
        </w:rPr>
        <w:t xml:space="preserve"> </w:t>
      </w:r>
      <w:r w:rsidRPr="00BF3751">
        <w:rPr>
          <w:rFonts w:ascii="Bookman Old Style" w:hAnsi="Bookman Old Style"/>
          <w:lang w:val="id-ID"/>
        </w:rPr>
        <w:t>2019</w:t>
      </w:r>
      <w:r w:rsidR="00A954D0">
        <w:rPr>
          <w:rFonts w:ascii="Bookman Old Style" w:hAnsi="Bookman Old Style"/>
          <w:lang w:val="id-ID"/>
        </w:rPr>
        <w:t xml:space="preserve"> </w:t>
      </w:r>
      <w:r w:rsidRPr="00BF3751">
        <w:rPr>
          <w:rFonts w:ascii="Bookman Old Style" w:hAnsi="Bookman Old Style"/>
          <w:lang w:val="id-ID"/>
        </w:rPr>
        <w:t>tentang</w:t>
      </w:r>
      <w:r w:rsidR="00A954D0">
        <w:rPr>
          <w:rFonts w:ascii="Bookman Old Style" w:hAnsi="Bookman Old Style"/>
          <w:lang w:val="id-ID"/>
        </w:rPr>
        <w:t xml:space="preserve"> </w:t>
      </w:r>
      <w:r w:rsidRPr="00BF3751">
        <w:rPr>
          <w:rFonts w:ascii="Bookman Old Style" w:hAnsi="Bookman Old Style"/>
          <w:lang w:val="id-ID"/>
        </w:rPr>
        <w:t>Klasifikasi,</w:t>
      </w:r>
      <w:r w:rsidR="00A954D0">
        <w:rPr>
          <w:rFonts w:ascii="Bookman Old Style" w:hAnsi="Bookman Old Style"/>
          <w:lang w:val="id-ID"/>
        </w:rPr>
        <w:t xml:space="preserve"> </w:t>
      </w:r>
      <w:r w:rsidRPr="00BF3751">
        <w:rPr>
          <w:rFonts w:ascii="Bookman Old Style" w:hAnsi="Bookman Old Style"/>
          <w:lang w:val="id-ID"/>
        </w:rPr>
        <w:t>Kodefikasi,</w:t>
      </w:r>
      <w:r w:rsidR="00A954D0">
        <w:rPr>
          <w:rFonts w:ascii="Bookman Old Style" w:hAnsi="Bookman Old Style"/>
          <w:lang w:val="id-ID"/>
        </w:rPr>
        <w:t xml:space="preserve"> </w:t>
      </w:r>
      <w:r w:rsidRPr="00BF3751">
        <w:rPr>
          <w:rFonts w:ascii="Bookman Old Style" w:hAnsi="Bookman Old Style"/>
          <w:lang w:val="id-ID"/>
        </w:rPr>
        <w:t>dan</w:t>
      </w:r>
      <w:r w:rsidR="00A954D0">
        <w:rPr>
          <w:rFonts w:ascii="Bookman Old Style" w:hAnsi="Bookman Old Style"/>
          <w:lang w:val="id-ID"/>
        </w:rPr>
        <w:t xml:space="preserve"> </w:t>
      </w:r>
      <w:r w:rsidRPr="00BF3751">
        <w:rPr>
          <w:rFonts w:ascii="Bookman Old Style" w:hAnsi="Bookman Old Style"/>
          <w:lang w:val="id-ID"/>
        </w:rPr>
        <w:t>Nomenklatur</w:t>
      </w:r>
      <w:r w:rsidR="00A954D0">
        <w:rPr>
          <w:rFonts w:ascii="Bookman Old Style" w:hAnsi="Bookman Old Style"/>
          <w:lang w:val="id-ID"/>
        </w:rPr>
        <w:t xml:space="preserve"> </w:t>
      </w:r>
      <w:r w:rsidRPr="00BF3751">
        <w:rPr>
          <w:rFonts w:ascii="Bookman Old Style" w:hAnsi="Bookman Old Style"/>
          <w:lang w:val="id-ID"/>
        </w:rPr>
        <w:t>Perencanaan</w:t>
      </w:r>
      <w:r w:rsidR="00A954D0">
        <w:rPr>
          <w:rFonts w:ascii="Bookman Old Style" w:hAnsi="Bookman Old Style"/>
          <w:lang w:val="id-ID"/>
        </w:rPr>
        <w:t xml:space="preserve"> </w:t>
      </w:r>
      <w:r w:rsidRPr="00BF3751">
        <w:rPr>
          <w:rFonts w:ascii="Bookman Old Style" w:hAnsi="Bookman Old Style"/>
          <w:lang w:val="id-ID"/>
        </w:rPr>
        <w:t>Pembangunan</w:t>
      </w:r>
      <w:r w:rsidR="00A954D0">
        <w:rPr>
          <w:rFonts w:ascii="Bookman Old Style" w:hAnsi="Bookman Old Style"/>
          <w:lang w:val="id-ID"/>
        </w:rPr>
        <w:t xml:space="preserve"> </w:t>
      </w:r>
      <w:r w:rsidRPr="00BF3751">
        <w:rPr>
          <w:rFonts w:ascii="Bookman Old Style" w:hAnsi="Bookman Old Style"/>
          <w:lang w:val="id-ID"/>
        </w:rPr>
        <w:t>dan</w:t>
      </w:r>
      <w:r w:rsidR="00A954D0">
        <w:rPr>
          <w:rFonts w:ascii="Bookman Old Style" w:hAnsi="Bookman Old Style"/>
          <w:lang w:val="id-ID"/>
        </w:rPr>
        <w:t xml:space="preserve"> </w:t>
      </w:r>
      <w:r w:rsidRPr="00BF3751">
        <w:rPr>
          <w:rFonts w:ascii="Bookman Old Style" w:hAnsi="Bookman Old Style"/>
          <w:lang w:val="id-ID"/>
        </w:rPr>
        <w:t>Keuangan</w:t>
      </w:r>
      <w:r w:rsidR="00A954D0">
        <w:rPr>
          <w:rFonts w:ascii="Bookman Old Style" w:hAnsi="Bookman Old Style"/>
          <w:lang w:val="id-ID"/>
        </w:rPr>
        <w:t xml:space="preserve"> </w:t>
      </w:r>
      <w:r w:rsidRPr="00BF3751">
        <w:rPr>
          <w:rFonts w:ascii="Bookman Old Style" w:hAnsi="Bookman Old Style"/>
          <w:lang w:val="id-ID"/>
        </w:rPr>
        <w:t>Daerah</w:t>
      </w:r>
      <w:r w:rsidRPr="003255BC">
        <w:rPr>
          <w:rFonts w:ascii="Bookman Old Style" w:hAnsi="Bookman Old Style"/>
          <w:lang w:val="sv-FI"/>
        </w:rPr>
        <w:t>,</w:t>
      </w:r>
      <w:r w:rsidR="00A954D0" w:rsidRPr="003255BC">
        <w:rPr>
          <w:rFonts w:ascii="Bookman Old Style" w:hAnsi="Bookman Old Style"/>
          <w:lang w:val="sv-FI"/>
        </w:rPr>
        <w:t xml:space="preserve"> </w:t>
      </w:r>
      <w:r w:rsidRPr="003255BC">
        <w:rPr>
          <w:rFonts w:ascii="Bookman Old Style" w:hAnsi="Bookman Old Style"/>
          <w:lang w:val="sv-FI"/>
        </w:rPr>
        <w:t>Keputusan</w:t>
      </w:r>
      <w:r w:rsidR="00A954D0" w:rsidRPr="003255BC">
        <w:rPr>
          <w:rFonts w:ascii="Bookman Old Style" w:hAnsi="Bookman Old Style"/>
          <w:lang w:val="sv-FI"/>
        </w:rPr>
        <w:t xml:space="preserve"> </w:t>
      </w:r>
      <w:r w:rsidRPr="003255BC">
        <w:rPr>
          <w:rFonts w:ascii="Bookman Old Style" w:hAnsi="Bookman Old Style"/>
          <w:lang w:val="sv-FI"/>
        </w:rPr>
        <w:t>Menteri</w:t>
      </w:r>
      <w:r w:rsidR="00A954D0" w:rsidRPr="003255BC">
        <w:rPr>
          <w:rFonts w:ascii="Bookman Old Style" w:hAnsi="Bookman Old Style"/>
          <w:lang w:val="sv-FI"/>
        </w:rPr>
        <w:t xml:space="preserve"> </w:t>
      </w:r>
      <w:r w:rsidRPr="003255BC">
        <w:rPr>
          <w:rFonts w:ascii="Bookman Old Style" w:hAnsi="Bookman Old Style"/>
          <w:lang w:val="sv-FI"/>
        </w:rPr>
        <w:t>Dalam</w:t>
      </w:r>
      <w:r w:rsidR="00A954D0" w:rsidRPr="003255BC">
        <w:rPr>
          <w:rFonts w:ascii="Bookman Old Style" w:hAnsi="Bookman Old Style"/>
          <w:lang w:val="sv-FI"/>
        </w:rPr>
        <w:t xml:space="preserve"> </w:t>
      </w:r>
      <w:r w:rsidRPr="003255BC">
        <w:rPr>
          <w:rFonts w:ascii="Bookman Old Style" w:hAnsi="Bookman Old Style"/>
          <w:lang w:val="sv-FI"/>
        </w:rPr>
        <w:t>Negeri</w:t>
      </w:r>
      <w:r w:rsidR="00A954D0" w:rsidRPr="003255BC">
        <w:rPr>
          <w:rFonts w:ascii="Bookman Old Style" w:hAnsi="Bookman Old Style"/>
          <w:lang w:val="sv-FI"/>
        </w:rPr>
        <w:t xml:space="preserve"> </w:t>
      </w:r>
      <w:r w:rsidRPr="003255BC">
        <w:rPr>
          <w:rFonts w:ascii="Bookman Old Style" w:hAnsi="Bookman Old Style"/>
          <w:lang w:val="sv-FI"/>
        </w:rPr>
        <w:t>Nomor</w:t>
      </w:r>
      <w:r w:rsidR="00A954D0" w:rsidRPr="003255BC">
        <w:rPr>
          <w:rFonts w:ascii="Bookman Old Style" w:hAnsi="Bookman Old Style"/>
          <w:lang w:val="sv-FI"/>
        </w:rPr>
        <w:t xml:space="preserve"> </w:t>
      </w:r>
      <w:r w:rsidRPr="003255BC">
        <w:rPr>
          <w:rFonts w:ascii="Bookman Old Style" w:hAnsi="Bookman Old Style"/>
          <w:lang w:val="sv-FI"/>
        </w:rPr>
        <w:t>050-5889</w:t>
      </w:r>
      <w:r w:rsidR="00A954D0" w:rsidRPr="003255BC">
        <w:rPr>
          <w:rFonts w:ascii="Bookman Old Style" w:hAnsi="Bookman Old Style"/>
          <w:lang w:val="sv-FI"/>
        </w:rPr>
        <w:t xml:space="preserve"> </w:t>
      </w:r>
      <w:r w:rsidRPr="003255BC">
        <w:rPr>
          <w:rFonts w:ascii="Bookman Old Style" w:hAnsi="Bookman Old Style"/>
          <w:lang w:val="sv-FI"/>
        </w:rPr>
        <w:t>Tahun</w:t>
      </w:r>
      <w:r w:rsidR="00A954D0" w:rsidRPr="003255BC">
        <w:rPr>
          <w:rFonts w:ascii="Bookman Old Style" w:hAnsi="Bookman Old Style"/>
          <w:lang w:val="sv-FI"/>
        </w:rPr>
        <w:t xml:space="preserve"> </w:t>
      </w:r>
      <w:r w:rsidRPr="003255BC">
        <w:rPr>
          <w:rFonts w:ascii="Bookman Old Style" w:hAnsi="Bookman Old Style"/>
          <w:lang w:val="sv-FI"/>
        </w:rPr>
        <w:t>2021</w:t>
      </w:r>
      <w:r w:rsidR="00A954D0" w:rsidRPr="003255BC">
        <w:rPr>
          <w:rFonts w:ascii="Bookman Old Style" w:hAnsi="Bookman Old Style"/>
          <w:lang w:val="sv-FI"/>
        </w:rPr>
        <w:t xml:space="preserve"> </w:t>
      </w:r>
      <w:r w:rsidRPr="00BF3751">
        <w:rPr>
          <w:rFonts w:ascii="Bookman Old Style" w:hAnsi="Bookman Old Style"/>
          <w:lang w:val="fi-FI"/>
        </w:rPr>
        <w:t>sebagaimana</w:t>
      </w:r>
      <w:r w:rsidR="00A954D0">
        <w:rPr>
          <w:rFonts w:ascii="Bookman Old Style" w:hAnsi="Bookman Old Style"/>
          <w:lang w:val="fi-FI"/>
        </w:rPr>
        <w:t xml:space="preserve"> </w:t>
      </w:r>
      <w:r w:rsidRPr="00BF3751">
        <w:rPr>
          <w:rFonts w:ascii="Bookman Old Style" w:hAnsi="Bookman Old Style"/>
          <w:lang w:val="fi-FI"/>
        </w:rPr>
        <w:t>telah</w:t>
      </w:r>
      <w:r w:rsidR="00A954D0">
        <w:rPr>
          <w:rFonts w:ascii="Bookman Old Style" w:hAnsi="Bookman Old Style"/>
          <w:lang w:val="fi-FI"/>
        </w:rPr>
        <w:t xml:space="preserve"> </w:t>
      </w:r>
      <w:r w:rsidRPr="00BF3751">
        <w:rPr>
          <w:rFonts w:ascii="Bookman Old Style" w:hAnsi="Bookman Old Style"/>
          <w:lang w:val="fi-FI"/>
        </w:rPr>
        <w:t>diubah</w:t>
      </w:r>
      <w:r w:rsidR="00A954D0">
        <w:rPr>
          <w:rFonts w:ascii="Bookman Old Style" w:hAnsi="Bookman Old Style"/>
          <w:lang w:val="fi-FI"/>
        </w:rPr>
        <w:t xml:space="preserve"> </w:t>
      </w:r>
      <w:r w:rsidRPr="00BF3751">
        <w:rPr>
          <w:rFonts w:ascii="Bookman Old Style" w:hAnsi="Bookman Old Style"/>
          <w:lang w:val="fi-FI"/>
        </w:rPr>
        <w:t>beberapa</w:t>
      </w:r>
      <w:r w:rsidR="00A954D0">
        <w:rPr>
          <w:rFonts w:ascii="Bookman Old Style" w:hAnsi="Bookman Old Style"/>
          <w:lang w:val="fi-FI"/>
        </w:rPr>
        <w:t xml:space="preserve"> </w:t>
      </w:r>
      <w:r w:rsidRPr="00BF3751">
        <w:rPr>
          <w:rFonts w:ascii="Bookman Old Style" w:hAnsi="Bookman Old Style"/>
          <w:lang w:val="fi-FI"/>
        </w:rPr>
        <w:t>kali</w:t>
      </w:r>
      <w:r w:rsidR="00A954D0">
        <w:rPr>
          <w:rFonts w:ascii="Bookman Old Style" w:hAnsi="Bookman Old Style"/>
          <w:lang w:val="fi-FI"/>
        </w:rPr>
        <w:t xml:space="preserve"> </w:t>
      </w:r>
      <w:r w:rsidRPr="00BF3751">
        <w:rPr>
          <w:rFonts w:ascii="Bookman Old Style" w:hAnsi="Bookman Old Style"/>
          <w:lang w:val="fi-FI"/>
        </w:rPr>
        <w:t>terakhir</w:t>
      </w:r>
      <w:r w:rsidR="00A954D0">
        <w:rPr>
          <w:rFonts w:ascii="Bookman Old Style" w:hAnsi="Bookman Old Style"/>
          <w:lang w:val="fi-FI"/>
        </w:rPr>
        <w:t xml:space="preserve"> </w:t>
      </w:r>
      <w:r w:rsidRPr="00BF3751">
        <w:rPr>
          <w:rFonts w:ascii="Bookman Old Style" w:hAnsi="Bookman Old Style"/>
          <w:lang w:val="fi-FI"/>
        </w:rPr>
        <w:t>dengan</w:t>
      </w:r>
      <w:r w:rsidR="00A954D0">
        <w:rPr>
          <w:rFonts w:ascii="Bookman Old Style" w:hAnsi="Bookman Old Style"/>
          <w:lang w:val="fi-FI"/>
        </w:rPr>
        <w:t xml:space="preserve"> </w:t>
      </w:r>
      <w:r w:rsidRPr="00BF3751">
        <w:rPr>
          <w:rFonts w:ascii="Bookman Old Style" w:hAnsi="Bookman Old Style"/>
          <w:lang w:val="fi-FI"/>
        </w:rPr>
        <w:t>Keputusan</w:t>
      </w:r>
      <w:r w:rsidR="00A954D0">
        <w:rPr>
          <w:rFonts w:ascii="Bookman Old Style" w:hAnsi="Bookman Old Style"/>
          <w:lang w:val="fi-FI"/>
        </w:rPr>
        <w:t xml:space="preserve"> </w:t>
      </w:r>
      <w:r w:rsidRPr="00BF3751">
        <w:rPr>
          <w:rFonts w:ascii="Bookman Old Style" w:hAnsi="Bookman Old Style"/>
          <w:lang w:val="fi-FI"/>
        </w:rPr>
        <w:t>Menteri</w:t>
      </w:r>
      <w:r w:rsidR="00A954D0">
        <w:rPr>
          <w:rFonts w:ascii="Bookman Old Style" w:hAnsi="Bookman Old Style"/>
          <w:lang w:val="fi-FI"/>
        </w:rPr>
        <w:t xml:space="preserve"> </w:t>
      </w:r>
      <w:r w:rsidRPr="00BF3751">
        <w:rPr>
          <w:rFonts w:ascii="Bookman Old Style" w:hAnsi="Bookman Old Style"/>
          <w:lang w:val="fi-FI"/>
        </w:rPr>
        <w:t>Dalam</w:t>
      </w:r>
      <w:r w:rsidR="00A954D0">
        <w:rPr>
          <w:rFonts w:ascii="Bookman Old Style" w:hAnsi="Bookman Old Style"/>
          <w:lang w:val="fi-FI"/>
        </w:rPr>
        <w:t xml:space="preserve"> </w:t>
      </w:r>
      <w:r w:rsidRPr="00BF3751">
        <w:rPr>
          <w:rFonts w:ascii="Bookman Old Style" w:hAnsi="Bookman Old Style"/>
          <w:lang w:val="fi-FI"/>
        </w:rPr>
        <w:t>Negeri</w:t>
      </w:r>
      <w:r w:rsidR="00A954D0">
        <w:rPr>
          <w:rFonts w:ascii="Bookman Old Style" w:hAnsi="Bookman Old Style"/>
          <w:lang w:val="fi-FI"/>
        </w:rPr>
        <w:t xml:space="preserve"> </w:t>
      </w:r>
      <w:r w:rsidRPr="00BF3751">
        <w:rPr>
          <w:rFonts w:ascii="Bookman Old Style" w:hAnsi="Bookman Old Style"/>
          <w:lang w:val="fi-FI"/>
        </w:rPr>
        <w:t>Nomor</w:t>
      </w:r>
      <w:r w:rsidR="00A954D0">
        <w:rPr>
          <w:rFonts w:ascii="Bookman Old Style" w:hAnsi="Bookman Old Style"/>
          <w:lang w:val="fi-FI"/>
        </w:rPr>
        <w:t xml:space="preserve"> </w:t>
      </w:r>
      <w:r w:rsidRPr="00BF3751">
        <w:rPr>
          <w:rFonts w:ascii="Bookman Old Style" w:hAnsi="Bookman Old Style"/>
          <w:lang w:val="fi-FI"/>
        </w:rPr>
        <w:t>900.1.15.5-3406</w:t>
      </w:r>
      <w:r w:rsidR="00A954D0">
        <w:rPr>
          <w:rFonts w:ascii="Bookman Old Style" w:hAnsi="Bookman Old Style"/>
          <w:lang w:val="fi-FI"/>
        </w:rPr>
        <w:t xml:space="preserve"> </w:t>
      </w:r>
      <w:r w:rsidRPr="00BF3751">
        <w:rPr>
          <w:rFonts w:ascii="Bookman Old Style" w:hAnsi="Bookman Old Style"/>
          <w:lang w:val="fi-FI"/>
        </w:rPr>
        <w:t>Tahun</w:t>
      </w:r>
      <w:r w:rsidR="00A954D0">
        <w:rPr>
          <w:rFonts w:ascii="Bookman Old Style" w:hAnsi="Bookman Old Style"/>
          <w:lang w:val="fi-FI"/>
        </w:rPr>
        <w:t xml:space="preserve"> </w:t>
      </w:r>
      <w:r w:rsidRPr="00BF3751">
        <w:rPr>
          <w:rFonts w:ascii="Bookman Old Style" w:hAnsi="Bookman Old Style"/>
          <w:lang w:val="fi-FI"/>
        </w:rPr>
        <w:t>2024</w:t>
      </w:r>
      <w:r w:rsidR="00A954D0">
        <w:rPr>
          <w:rFonts w:ascii="Bookman Old Style" w:hAnsi="Bookman Old Style"/>
          <w:lang w:val="fi-FI"/>
        </w:rPr>
        <w:t xml:space="preserve"> </w:t>
      </w:r>
      <w:r w:rsidRPr="00BF3751">
        <w:rPr>
          <w:rFonts w:ascii="Bookman Old Style" w:hAnsi="Bookman Old Style"/>
          <w:lang w:val="id-ID"/>
        </w:rPr>
        <w:t>dan</w:t>
      </w:r>
      <w:r w:rsidR="00A954D0">
        <w:rPr>
          <w:rFonts w:ascii="Bookman Old Style" w:hAnsi="Bookman Old Style"/>
          <w:lang w:val="id-ID"/>
        </w:rPr>
        <w:t xml:space="preserve"> </w:t>
      </w:r>
      <w:r w:rsidRPr="00BF3751">
        <w:rPr>
          <w:rFonts w:ascii="Bookman Old Style" w:hAnsi="Bookman Old Style"/>
          <w:lang w:val="id-ID"/>
        </w:rPr>
        <w:t>pemutakhirannya</w:t>
      </w:r>
      <w:r w:rsidR="00A954D0">
        <w:rPr>
          <w:rFonts w:ascii="Bookman Old Style" w:hAnsi="Bookman Old Style"/>
          <w:lang w:val="id-ID"/>
        </w:rPr>
        <w:t xml:space="preserve"> </w:t>
      </w:r>
      <w:r w:rsidRPr="00BF3751">
        <w:rPr>
          <w:rFonts w:ascii="Bookman Old Style" w:hAnsi="Bookman Old Style"/>
          <w:lang w:val="id-ID"/>
        </w:rPr>
        <w:t>serta</w:t>
      </w:r>
      <w:r w:rsidR="00A954D0">
        <w:rPr>
          <w:rFonts w:ascii="Bookman Old Style" w:hAnsi="Bookman Old Style"/>
          <w:lang w:val="id-ID"/>
        </w:rPr>
        <w:t xml:space="preserve"> </w:t>
      </w:r>
      <w:r w:rsidRPr="00BF3751">
        <w:rPr>
          <w:rFonts w:ascii="Bookman Old Style" w:hAnsi="Bookman Old Style"/>
          <w:lang w:val="id-ID"/>
        </w:rPr>
        <w:t>dilaksanakan</w:t>
      </w:r>
      <w:r w:rsidR="00A954D0">
        <w:rPr>
          <w:rFonts w:ascii="Bookman Old Style" w:hAnsi="Bookman Old Style"/>
          <w:lang w:val="id-ID"/>
        </w:rPr>
        <w:t xml:space="preserve"> </w:t>
      </w:r>
      <w:r w:rsidRPr="00BF3751">
        <w:rPr>
          <w:rFonts w:ascii="Bookman Old Style" w:hAnsi="Bookman Old Style"/>
          <w:lang w:val="id-ID"/>
        </w:rPr>
        <w:t>secara</w:t>
      </w:r>
      <w:r w:rsidR="00A954D0">
        <w:rPr>
          <w:rFonts w:ascii="Bookman Old Style" w:hAnsi="Bookman Old Style"/>
          <w:lang w:val="id-ID"/>
        </w:rPr>
        <w:t xml:space="preserve"> </w:t>
      </w:r>
      <w:r w:rsidRPr="00BF3751">
        <w:rPr>
          <w:rFonts w:ascii="Bookman Old Style" w:hAnsi="Bookman Old Style"/>
          <w:lang w:val="id-ID"/>
        </w:rPr>
        <w:t>elektronik</w:t>
      </w:r>
      <w:r w:rsidR="00A954D0">
        <w:rPr>
          <w:rFonts w:ascii="Bookman Old Style" w:hAnsi="Bookman Old Style"/>
          <w:lang w:val="id-ID"/>
        </w:rPr>
        <w:t xml:space="preserve"> </w:t>
      </w:r>
      <w:r w:rsidRPr="00BF3751">
        <w:rPr>
          <w:rFonts w:ascii="Bookman Old Style" w:hAnsi="Bookman Old Style"/>
          <w:lang w:val="id-ID"/>
        </w:rPr>
        <w:t>melalui</w:t>
      </w:r>
      <w:r w:rsidR="00A954D0">
        <w:rPr>
          <w:rFonts w:ascii="Bookman Old Style" w:hAnsi="Bookman Old Style"/>
          <w:lang w:val="id-ID"/>
        </w:rPr>
        <w:t xml:space="preserve"> </w:t>
      </w:r>
      <w:r w:rsidRPr="00BF3751">
        <w:rPr>
          <w:rFonts w:ascii="Bookman Old Style" w:hAnsi="Bookman Old Style"/>
          <w:lang w:val="id-ID"/>
        </w:rPr>
        <w:t>Sistem</w:t>
      </w:r>
      <w:r w:rsidR="00A954D0">
        <w:rPr>
          <w:rFonts w:ascii="Bookman Old Style" w:hAnsi="Bookman Old Style"/>
          <w:lang w:val="id-ID"/>
        </w:rPr>
        <w:t xml:space="preserve"> </w:t>
      </w:r>
      <w:r w:rsidRPr="00BF3751">
        <w:rPr>
          <w:rFonts w:ascii="Bookman Old Style" w:hAnsi="Bookman Old Style"/>
          <w:lang w:val="id-ID"/>
        </w:rPr>
        <w:t>Informasi</w:t>
      </w:r>
      <w:r w:rsidR="00A954D0">
        <w:rPr>
          <w:rFonts w:ascii="Bookman Old Style" w:hAnsi="Bookman Old Style"/>
          <w:lang w:val="id-ID"/>
        </w:rPr>
        <w:t xml:space="preserve"> </w:t>
      </w:r>
      <w:r w:rsidRPr="00BF3751">
        <w:rPr>
          <w:rFonts w:ascii="Bookman Old Style" w:hAnsi="Bookman Old Style"/>
          <w:lang w:val="id-ID"/>
        </w:rPr>
        <w:t>Pemerintahan</w:t>
      </w:r>
      <w:r w:rsidR="00A954D0">
        <w:rPr>
          <w:rFonts w:ascii="Bookman Old Style" w:hAnsi="Bookman Old Style"/>
          <w:lang w:val="id-ID"/>
        </w:rPr>
        <w:t xml:space="preserve"> </w:t>
      </w:r>
      <w:r w:rsidRPr="00BF3751">
        <w:rPr>
          <w:rFonts w:ascii="Bookman Old Style" w:hAnsi="Bookman Old Style"/>
          <w:lang w:val="id-ID"/>
        </w:rPr>
        <w:t>Daerah</w:t>
      </w:r>
      <w:r w:rsidR="00A954D0">
        <w:rPr>
          <w:rFonts w:ascii="Bookman Old Style" w:hAnsi="Bookman Old Style"/>
          <w:lang w:val="id-ID"/>
        </w:rPr>
        <w:t xml:space="preserve"> </w:t>
      </w:r>
      <w:r w:rsidRPr="003255BC">
        <w:rPr>
          <w:rFonts w:ascii="Bookman Old Style" w:hAnsi="Bookman Old Style"/>
          <w:lang w:val="sv-FI"/>
        </w:rPr>
        <w:t>sebagaimana</w:t>
      </w:r>
      <w:r w:rsidR="00A954D0" w:rsidRPr="003255BC">
        <w:rPr>
          <w:rFonts w:ascii="Bookman Old Style" w:hAnsi="Bookman Old Style"/>
          <w:lang w:val="sv-FI"/>
        </w:rPr>
        <w:t xml:space="preserve"> </w:t>
      </w:r>
      <w:r w:rsidRPr="003255BC">
        <w:rPr>
          <w:rFonts w:ascii="Bookman Old Style" w:hAnsi="Bookman Old Style"/>
          <w:lang w:val="sv-FI"/>
        </w:rPr>
        <w:t>di</w:t>
      </w:r>
      <w:r w:rsidRPr="00BF3751">
        <w:rPr>
          <w:rFonts w:ascii="Bookman Old Style" w:hAnsi="Bookman Old Style"/>
          <w:lang w:val="id-ID"/>
        </w:rPr>
        <w:t>amanat</w:t>
      </w:r>
      <w:r w:rsidRPr="003255BC">
        <w:rPr>
          <w:rFonts w:ascii="Bookman Old Style" w:hAnsi="Bookman Old Style"/>
          <w:lang w:val="sv-FI"/>
        </w:rPr>
        <w:t>kan</w:t>
      </w:r>
      <w:r w:rsidR="00A954D0" w:rsidRPr="003255BC">
        <w:rPr>
          <w:rFonts w:ascii="Bookman Old Style" w:hAnsi="Bookman Old Style"/>
          <w:lang w:val="sv-FI"/>
        </w:rPr>
        <w:t xml:space="preserve"> </w:t>
      </w:r>
      <w:r w:rsidRPr="003255BC">
        <w:rPr>
          <w:rFonts w:ascii="Bookman Old Style" w:hAnsi="Bookman Old Style"/>
          <w:lang w:val="sv-FI"/>
        </w:rPr>
        <w:t>dalam</w:t>
      </w:r>
      <w:r w:rsidR="00A954D0">
        <w:rPr>
          <w:rFonts w:ascii="Bookman Old Style" w:hAnsi="Bookman Old Style"/>
          <w:lang w:val="id-ID"/>
        </w:rPr>
        <w:t xml:space="preserve"> </w:t>
      </w:r>
      <w:r w:rsidRPr="00BF3751">
        <w:rPr>
          <w:rFonts w:ascii="Bookman Old Style" w:hAnsi="Bookman Old Style"/>
          <w:lang w:val="id-ID"/>
        </w:rPr>
        <w:t>Peraturan</w:t>
      </w:r>
      <w:r w:rsidR="00A954D0">
        <w:rPr>
          <w:rFonts w:ascii="Bookman Old Style" w:hAnsi="Bookman Old Style"/>
          <w:lang w:val="id-ID"/>
        </w:rPr>
        <w:t xml:space="preserve"> </w:t>
      </w:r>
      <w:r w:rsidRPr="00BF3751">
        <w:rPr>
          <w:rFonts w:ascii="Bookman Old Style" w:hAnsi="Bookman Old Style"/>
          <w:lang w:val="id-ID"/>
        </w:rPr>
        <w:t>Menteri</w:t>
      </w:r>
      <w:r w:rsidR="00A954D0">
        <w:rPr>
          <w:rFonts w:ascii="Bookman Old Style" w:hAnsi="Bookman Old Style"/>
          <w:lang w:val="id-ID"/>
        </w:rPr>
        <w:t xml:space="preserve"> </w:t>
      </w:r>
      <w:r w:rsidRPr="00BF3751">
        <w:rPr>
          <w:rFonts w:ascii="Bookman Old Style" w:hAnsi="Bookman Old Style"/>
          <w:lang w:val="id-ID"/>
        </w:rPr>
        <w:t>Dalam</w:t>
      </w:r>
      <w:r w:rsidR="00A954D0">
        <w:rPr>
          <w:rFonts w:ascii="Bookman Old Style" w:hAnsi="Bookman Old Style"/>
          <w:lang w:val="id-ID"/>
        </w:rPr>
        <w:t xml:space="preserve"> </w:t>
      </w:r>
      <w:r w:rsidRPr="00BF3751">
        <w:rPr>
          <w:rFonts w:ascii="Bookman Old Style" w:hAnsi="Bookman Old Style"/>
          <w:lang w:val="id-ID"/>
        </w:rPr>
        <w:t>Negeri</w:t>
      </w:r>
      <w:r w:rsidR="00A954D0">
        <w:rPr>
          <w:rFonts w:ascii="Bookman Old Style" w:hAnsi="Bookman Old Style"/>
          <w:lang w:val="id-ID"/>
        </w:rPr>
        <w:t xml:space="preserve"> </w:t>
      </w:r>
      <w:r w:rsidRPr="00BF3751">
        <w:rPr>
          <w:rFonts w:ascii="Bookman Old Style" w:hAnsi="Bookman Old Style"/>
          <w:lang w:val="id-ID"/>
        </w:rPr>
        <w:t>Nomor</w:t>
      </w:r>
      <w:r w:rsidR="00A954D0">
        <w:rPr>
          <w:rFonts w:ascii="Bookman Old Style" w:hAnsi="Bookman Old Style"/>
          <w:lang w:val="id-ID"/>
        </w:rPr>
        <w:t xml:space="preserve"> </w:t>
      </w:r>
      <w:r w:rsidRPr="00BF3751">
        <w:rPr>
          <w:rFonts w:ascii="Bookman Old Style" w:hAnsi="Bookman Old Style"/>
          <w:lang w:val="id-ID"/>
        </w:rPr>
        <w:t>70</w:t>
      </w:r>
      <w:r w:rsidR="00A954D0">
        <w:rPr>
          <w:rFonts w:ascii="Bookman Old Style" w:hAnsi="Bookman Old Style"/>
          <w:lang w:val="id-ID"/>
        </w:rPr>
        <w:t xml:space="preserve"> </w:t>
      </w:r>
      <w:r w:rsidRPr="00BF3751">
        <w:rPr>
          <w:rFonts w:ascii="Bookman Old Style" w:hAnsi="Bookman Old Style"/>
          <w:lang w:val="id-ID"/>
        </w:rPr>
        <w:t>Tahun</w:t>
      </w:r>
      <w:r w:rsidR="00A954D0">
        <w:rPr>
          <w:rFonts w:ascii="Bookman Old Style" w:hAnsi="Bookman Old Style"/>
          <w:lang w:val="id-ID"/>
        </w:rPr>
        <w:t xml:space="preserve"> </w:t>
      </w:r>
      <w:r w:rsidRPr="00BF3751">
        <w:rPr>
          <w:rFonts w:ascii="Bookman Old Style" w:hAnsi="Bookman Old Style"/>
          <w:lang w:val="id-ID"/>
        </w:rPr>
        <w:t>2019</w:t>
      </w:r>
      <w:r w:rsidR="00A954D0">
        <w:rPr>
          <w:rFonts w:ascii="Bookman Old Style" w:hAnsi="Bookman Old Style"/>
          <w:lang w:val="id-ID"/>
        </w:rPr>
        <w:t xml:space="preserve"> </w:t>
      </w:r>
      <w:r w:rsidRPr="00BF3751">
        <w:rPr>
          <w:rFonts w:ascii="Bookman Old Style" w:hAnsi="Bookman Old Style"/>
          <w:lang w:val="id-ID"/>
        </w:rPr>
        <w:t>tentang</w:t>
      </w:r>
      <w:r w:rsidR="00A954D0">
        <w:rPr>
          <w:rFonts w:ascii="Bookman Old Style" w:hAnsi="Bookman Old Style"/>
          <w:lang w:val="id-ID"/>
        </w:rPr>
        <w:t xml:space="preserve"> </w:t>
      </w:r>
      <w:r w:rsidRPr="00BF3751">
        <w:rPr>
          <w:rFonts w:ascii="Bookman Old Style" w:hAnsi="Bookman Old Style"/>
          <w:lang w:val="id-ID"/>
        </w:rPr>
        <w:t>Sistem</w:t>
      </w:r>
      <w:r w:rsidR="00A954D0">
        <w:rPr>
          <w:rFonts w:ascii="Bookman Old Style" w:hAnsi="Bookman Old Style"/>
          <w:lang w:val="id-ID"/>
        </w:rPr>
        <w:t xml:space="preserve"> </w:t>
      </w:r>
      <w:r w:rsidRPr="00BF3751">
        <w:rPr>
          <w:rFonts w:ascii="Bookman Old Style" w:hAnsi="Bookman Old Style"/>
          <w:lang w:val="id-ID"/>
        </w:rPr>
        <w:t>Informasi</w:t>
      </w:r>
      <w:r w:rsidR="00A954D0">
        <w:rPr>
          <w:rFonts w:ascii="Bookman Old Style" w:hAnsi="Bookman Old Style"/>
          <w:lang w:val="id-ID"/>
        </w:rPr>
        <w:t xml:space="preserve"> </w:t>
      </w:r>
      <w:r w:rsidRPr="00BF3751">
        <w:rPr>
          <w:rFonts w:ascii="Bookman Old Style" w:hAnsi="Bookman Old Style"/>
          <w:lang w:val="id-ID"/>
        </w:rPr>
        <w:t>Pemerintahan</w:t>
      </w:r>
      <w:r w:rsidR="00A954D0">
        <w:rPr>
          <w:rFonts w:ascii="Bookman Old Style" w:hAnsi="Bookman Old Style"/>
          <w:lang w:val="id-ID"/>
        </w:rPr>
        <w:t xml:space="preserve"> </w:t>
      </w:r>
      <w:r w:rsidRPr="00BF3751">
        <w:rPr>
          <w:rFonts w:ascii="Bookman Old Style" w:hAnsi="Bookman Old Style"/>
          <w:lang w:val="id-ID"/>
        </w:rPr>
        <w:t>Daerah</w:t>
      </w:r>
      <w:r w:rsidRPr="003255BC">
        <w:rPr>
          <w:rFonts w:ascii="Bookman Old Style" w:hAnsi="Bookman Old Style"/>
          <w:lang w:val="sv-FI"/>
        </w:rPr>
        <w:t>,</w:t>
      </w:r>
      <w:r w:rsidR="00A954D0">
        <w:rPr>
          <w:rFonts w:ascii="Bookman Old Style" w:hAnsi="Bookman Old Style"/>
          <w:bCs/>
          <w:lang w:val="id-ID" w:eastAsia="id-ID"/>
        </w:rPr>
        <w:t xml:space="preserve"> </w:t>
      </w:r>
      <w:r w:rsidRPr="003255BC">
        <w:rPr>
          <w:rFonts w:ascii="Bookman Old Style" w:hAnsi="Bookman Old Style"/>
          <w:lang w:val="sv-FI"/>
        </w:rPr>
        <w:t>Pasal</w:t>
      </w:r>
      <w:r w:rsidR="00A954D0" w:rsidRPr="003255BC">
        <w:rPr>
          <w:rFonts w:ascii="Bookman Old Style" w:hAnsi="Bookman Old Style"/>
          <w:lang w:val="sv-FI"/>
        </w:rPr>
        <w:t xml:space="preserve"> </w:t>
      </w:r>
      <w:r w:rsidRPr="003255BC">
        <w:rPr>
          <w:rFonts w:ascii="Bookman Old Style" w:hAnsi="Bookman Old Style"/>
          <w:lang w:val="sv-FI"/>
        </w:rPr>
        <w:t>3</w:t>
      </w:r>
      <w:r w:rsidR="00A954D0" w:rsidRPr="003255BC">
        <w:rPr>
          <w:rFonts w:ascii="Bookman Old Style" w:hAnsi="Bookman Old Style"/>
          <w:lang w:val="sv-FI"/>
        </w:rPr>
        <w:t xml:space="preserve"> </w:t>
      </w:r>
      <w:r w:rsidRPr="003255BC">
        <w:rPr>
          <w:rFonts w:ascii="Bookman Old Style" w:hAnsi="Bookman Old Style"/>
          <w:lang w:val="sv-FI"/>
        </w:rPr>
        <w:t>ayat</w:t>
      </w:r>
      <w:r w:rsidR="00A954D0" w:rsidRPr="003255BC">
        <w:rPr>
          <w:rFonts w:ascii="Bookman Old Style" w:hAnsi="Bookman Old Style"/>
          <w:lang w:val="sv-FI"/>
        </w:rPr>
        <w:t xml:space="preserve"> </w:t>
      </w:r>
      <w:r w:rsidRPr="003255BC">
        <w:rPr>
          <w:rFonts w:ascii="Bookman Old Style" w:hAnsi="Bookman Old Style"/>
          <w:lang w:val="sv-FI"/>
        </w:rPr>
        <w:t>(2)</w:t>
      </w:r>
      <w:r w:rsidR="00A954D0" w:rsidRPr="003255BC">
        <w:rPr>
          <w:rFonts w:ascii="Bookman Old Style" w:hAnsi="Bookman Old Style"/>
          <w:lang w:val="sv-FI"/>
        </w:rPr>
        <w:t xml:space="preserve"> </w:t>
      </w:r>
      <w:r w:rsidRPr="003255BC">
        <w:rPr>
          <w:rFonts w:ascii="Bookman Old Style" w:hAnsi="Bookman Old Style"/>
          <w:lang w:val="sv-FI"/>
        </w:rPr>
        <w:t>dan</w:t>
      </w:r>
      <w:r w:rsidR="00A954D0" w:rsidRPr="003255BC">
        <w:rPr>
          <w:rFonts w:ascii="Bookman Old Style" w:hAnsi="Bookman Old Style"/>
          <w:lang w:val="sv-FI"/>
        </w:rPr>
        <w:t xml:space="preserve"> </w:t>
      </w:r>
      <w:r w:rsidRPr="003255BC">
        <w:rPr>
          <w:rFonts w:ascii="Bookman Old Style" w:hAnsi="Bookman Old Style"/>
          <w:lang w:val="sv-FI"/>
        </w:rPr>
        <w:t>b</w:t>
      </w:r>
      <w:r w:rsidRPr="00BF3751">
        <w:rPr>
          <w:rFonts w:ascii="Bookman Old Style" w:hAnsi="Bookman Old Style"/>
          <w:lang w:val="id-ID"/>
        </w:rPr>
        <w:t>utir</w:t>
      </w:r>
      <w:r w:rsidR="00A954D0">
        <w:rPr>
          <w:rFonts w:ascii="Bookman Old Style" w:hAnsi="Bookman Old Style"/>
          <w:lang w:val="id-ID"/>
        </w:rPr>
        <w:t xml:space="preserve"> </w:t>
      </w:r>
      <w:r w:rsidRPr="003255BC">
        <w:rPr>
          <w:rFonts w:ascii="Bookman Old Style" w:hAnsi="Bookman Old Style"/>
          <w:lang w:val="sv-FI"/>
        </w:rPr>
        <w:t>3</w:t>
      </w:r>
      <w:r w:rsidRPr="00BF3751">
        <w:rPr>
          <w:rFonts w:ascii="Bookman Old Style" w:hAnsi="Bookman Old Style"/>
          <w:lang w:val="id-ID"/>
        </w:rPr>
        <w:t>.</w:t>
      </w:r>
      <w:r w:rsidRPr="003255BC">
        <w:rPr>
          <w:rFonts w:ascii="Bookman Old Style" w:hAnsi="Bookman Old Style"/>
          <w:lang w:val="sv-FI"/>
        </w:rPr>
        <w:t>1.k</w:t>
      </w:r>
      <w:r w:rsidR="00A954D0">
        <w:rPr>
          <w:rFonts w:ascii="Bookman Old Style" w:hAnsi="Bookman Old Style"/>
          <w:lang w:val="id-ID"/>
        </w:rPr>
        <w:t xml:space="preserve"> </w:t>
      </w:r>
      <w:r w:rsidRPr="00BF3751">
        <w:rPr>
          <w:rFonts w:ascii="Bookman Old Style" w:hAnsi="Bookman Old Style"/>
          <w:lang w:val="id-ID"/>
        </w:rPr>
        <w:t>Lampiran</w:t>
      </w:r>
      <w:r w:rsidR="00A954D0">
        <w:rPr>
          <w:rFonts w:ascii="Bookman Old Style" w:hAnsi="Bookman Old Style"/>
          <w:lang w:val="id-ID"/>
        </w:rPr>
        <w:t xml:space="preserve"> </w:t>
      </w:r>
      <w:r w:rsidRPr="00BF3751">
        <w:rPr>
          <w:rFonts w:ascii="Bookman Old Style" w:hAnsi="Bookman Old Style"/>
          <w:lang w:val="id-ID"/>
        </w:rPr>
        <w:t>Peraturan</w:t>
      </w:r>
      <w:r w:rsidR="00A954D0">
        <w:rPr>
          <w:rFonts w:ascii="Bookman Old Style" w:hAnsi="Bookman Old Style"/>
          <w:lang w:val="id-ID"/>
        </w:rPr>
        <w:t xml:space="preserve"> </w:t>
      </w:r>
      <w:r w:rsidRPr="00BF3751">
        <w:rPr>
          <w:rFonts w:ascii="Bookman Old Style" w:hAnsi="Bookman Old Style"/>
          <w:lang w:val="id-ID"/>
        </w:rPr>
        <w:t>Menteri</w:t>
      </w:r>
      <w:r w:rsidR="00A954D0">
        <w:rPr>
          <w:rFonts w:ascii="Bookman Old Style" w:hAnsi="Bookman Old Style"/>
          <w:lang w:val="id-ID"/>
        </w:rPr>
        <w:t xml:space="preserve"> </w:t>
      </w:r>
      <w:r w:rsidRPr="00BF3751">
        <w:rPr>
          <w:rFonts w:ascii="Bookman Old Style" w:hAnsi="Bookman Old Style"/>
          <w:lang w:val="id-ID"/>
        </w:rPr>
        <w:t>Dalam</w:t>
      </w:r>
      <w:r w:rsidR="00A954D0">
        <w:rPr>
          <w:rFonts w:ascii="Bookman Old Style" w:hAnsi="Bookman Old Style"/>
          <w:lang w:val="id-ID"/>
        </w:rPr>
        <w:t xml:space="preserve"> </w:t>
      </w:r>
      <w:r w:rsidRPr="00BF3751">
        <w:rPr>
          <w:rFonts w:ascii="Bookman Old Style" w:hAnsi="Bookman Old Style"/>
          <w:lang w:val="id-ID"/>
        </w:rPr>
        <w:t>Negeri</w:t>
      </w:r>
      <w:r w:rsidR="00A954D0">
        <w:rPr>
          <w:rFonts w:ascii="Bookman Old Style" w:hAnsi="Bookman Old Style"/>
          <w:lang w:val="id-ID"/>
        </w:rPr>
        <w:t xml:space="preserve"> </w:t>
      </w:r>
      <w:r w:rsidRPr="00BF3751">
        <w:rPr>
          <w:rFonts w:ascii="Bookman Old Style" w:hAnsi="Bookman Old Style"/>
          <w:lang w:val="id-ID"/>
        </w:rPr>
        <w:t>Nomor</w:t>
      </w:r>
      <w:r w:rsidR="00A954D0">
        <w:rPr>
          <w:rFonts w:ascii="Bookman Old Style" w:hAnsi="Bookman Old Style"/>
          <w:lang w:val="id-ID"/>
        </w:rPr>
        <w:t xml:space="preserve"> </w:t>
      </w:r>
      <w:r w:rsidRPr="003255BC">
        <w:rPr>
          <w:rFonts w:ascii="Bookman Old Style" w:hAnsi="Bookman Old Style"/>
          <w:lang w:val="sv-FI"/>
        </w:rPr>
        <w:t>15</w:t>
      </w:r>
      <w:r w:rsidR="00A954D0">
        <w:rPr>
          <w:rFonts w:ascii="Bookman Old Style" w:hAnsi="Bookman Old Style"/>
          <w:lang w:val="id-ID"/>
        </w:rPr>
        <w:t xml:space="preserve"> </w:t>
      </w:r>
      <w:r w:rsidRPr="00BF3751">
        <w:rPr>
          <w:rFonts w:ascii="Bookman Old Style" w:hAnsi="Bookman Old Style"/>
          <w:lang w:val="id-ID"/>
        </w:rPr>
        <w:t>Tahun</w:t>
      </w:r>
      <w:r w:rsidR="00A954D0">
        <w:rPr>
          <w:rFonts w:ascii="Bookman Old Style" w:hAnsi="Bookman Old Style"/>
          <w:lang w:val="id-ID"/>
        </w:rPr>
        <w:t xml:space="preserve"> </w:t>
      </w:r>
      <w:r w:rsidRPr="00BF3751">
        <w:rPr>
          <w:rFonts w:ascii="Bookman Old Style" w:hAnsi="Bookman Old Style"/>
          <w:lang w:val="id-ID"/>
        </w:rPr>
        <w:t>202</w:t>
      </w:r>
      <w:r w:rsidRPr="003255BC">
        <w:rPr>
          <w:rFonts w:ascii="Bookman Old Style" w:hAnsi="Bookman Old Style"/>
          <w:lang w:val="sv-FI"/>
        </w:rPr>
        <w:t>4.</w:t>
      </w:r>
    </w:p>
    <w:p w14:paraId="359C7AC4" w14:textId="73A8E234" w:rsidR="003374DF" w:rsidRPr="00BF3751" w:rsidRDefault="003374DF" w:rsidP="00953DC9">
      <w:pPr>
        <w:numPr>
          <w:ilvl w:val="0"/>
          <w:numId w:val="156"/>
        </w:numPr>
        <w:spacing w:before="60" w:line="276" w:lineRule="auto"/>
        <w:ind w:left="993" w:hanging="426"/>
        <w:jc w:val="both"/>
        <w:rPr>
          <w:rFonts w:ascii="Bookman Old Style" w:hAnsi="Bookman Old Style"/>
          <w:lang w:val="id-ID"/>
        </w:rPr>
      </w:pPr>
      <w:r w:rsidRPr="00BF3751">
        <w:rPr>
          <w:rFonts w:ascii="Bookman Old Style" w:hAnsi="Bookman Old Style"/>
          <w:lang w:val="id-ID"/>
        </w:rPr>
        <w:t>Dalam</w:t>
      </w:r>
      <w:r w:rsidR="00A954D0">
        <w:rPr>
          <w:rFonts w:ascii="Bookman Old Style" w:hAnsi="Bookman Old Style"/>
          <w:lang w:val="id-ID"/>
        </w:rPr>
        <w:t xml:space="preserve"> </w:t>
      </w:r>
      <w:r w:rsidRPr="00BF3751">
        <w:rPr>
          <w:rFonts w:ascii="Bookman Old Style" w:hAnsi="Bookman Old Style"/>
          <w:lang w:val="id-ID"/>
        </w:rPr>
        <w:t>rangka</w:t>
      </w:r>
      <w:r w:rsidR="00A954D0">
        <w:rPr>
          <w:rFonts w:ascii="Bookman Old Style" w:hAnsi="Bookman Old Style"/>
          <w:lang w:val="id-ID"/>
        </w:rPr>
        <w:t xml:space="preserve"> </w:t>
      </w:r>
      <w:r w:rsidRPr="00BF3751">
        <w:rPr>
          <w:rFonts w:ascii="Bookman Old Style" w:hAnsi="Bookman Old Style"/>
          <w:lang w:val="id-ID"/>
        </w:rPr>
        <w:t>menjaga</w:t>
      </w:r>
      <w:r w:rsidR="00A954D0">
        <w:rPr>
          <w:rFonts w:ascii="Bookman Old Style" w:hAnsi="Bookman Old Style"/>
          <w:lang w:val="id-ID"/>
        </w:rPr>
        <w:t xml:space="preserve"> </w:t>
      </w:r>
      <w:r w:rsidRPr="00BF3751">
        <w:rPr>
          <w:rFonts w:ascii="Bookman Old Style" w:hAnsi="Bookman Old Style"/>
          <w:lang w:val="id-ID"/>
        </w:rPr>
        <w:t>stabilitas</w:t>
      </w:r>
      <w:r w:rsidR="00A954D0">
        <w:rPr>
          <w:rFonts w:ascii="Bookman Old Style" w:hAnsi="Bookman Old Style"/>
          <w:lang w:val="id-ID"/>
        </w:rPr>
        <w:t xml:space="preserve"> </w:t>
      </w:r>
      <w:r w:rsidRPr="00BF3751">
        <w:rPr>
          <w:rFonts w:ascii="Bookman Old Style" w:hAnsi="Bookman Old Style"/>
          <w:lang w:val="id-ID"/>
        </w:rPr>
        <w:t>perekonomian</w:t>
      </w:r>
      <w:r w:rsidR="00A954D0">
        <w:rPr>
          <w:rFonts w:ascii="Bookman Old Style" w:hAnsi="Bookman Old Style"/>
          <w:lang w:val="id-ID"/>
        </w:rPr>
        <w:t xml:space="preserve"> </w:t>
      </w:r>
      <w:r w:rsidRPr="00BF3751">
        <w:rPr>
          <w:rFonts w:ascii="Bookman Old Style" w:hAnsi="Bookman Old Style"/>
          <w:lang w:val="id-ID"/>
        </w:rPr>
        <w:t>di</w:t>
      </w:r>
      <w:r w:rsidR="00A954D0">
        <w:rPr>
          <w:rFonts w:ascii="Bookman Old Style" w:hAnsi="Bookman Old Style"/>
          <w:lang w:val="id-ID"/>
        </w:rPr>
        <w:t xml:space="preserve"> </w:t>
      </w:r>
      <w:r w:rsidRPr="00BF3751">
        <w:rPr>
          <w:rFonts w:ascii="Bookman Old Style" w:hAnsi="Bookman Old Style"/>
          <w:lang w:val="id-ID"/>
        </w:rPr>
        <w:t>daerah</w:t>
      </w:r>
      <w:r w:rsidR="00A954D0">
        <w:rPr>
          <w:rFonts w:ascii="Bookman Old Style" w:hAnsi="Bookman Old Style"/>
          <w:lang w:val="id-ID"/>
        </w:rPr>
        <w:t xml:space="preserve"> </w:t>
      </w:r>
      <w:r w:rsidRPr="00BF3751">
        <w:rPr>
          <w:rFonts w:ascii="Bookman Old Style" w:hAnsi="Bookman Old Style"/>
          <w:lang w:val="id-ID"/>
        </w:rPr>
        <w:t>dan</w:t>
      </w:r>
      <w:r w:rsidR="00A954D0">
        <w:rPr>
          <w:rFonts w:ascii="Bookman Old Style" w:hAnsi="Bookman Old Style"/>
          <w:lang w:val="id-ID"/>
        </w:rPr>
        <w:t xml:space="preserve"> </w:t>
      </w:r>
      <w:r w:rsidRPr="003255BC">
        <w:rPr>
          <w:rFonts w:ascii="Bookman Old Style" w:hAnsi="Bookman Old Style"/>
          <w:lang w:val="sv-FI"/>
        </w:rPr>
        <w:t>mengatasi</w:t>
      </w:r>
      <w:r w:rsidR="00A954D0">
        <w:rPr>
          <w:rFonts w:ascii="Bookman Old Style" w:hAnsi="Bookman Old Style"/>
          <w:lang w:val="id-ID"/>
        </w:rPr>
        <w:t xml:space="preserve"> </w:t>
      </w:r>
      <w:r w:rsidRPr="00BF3751">
        <w:rPr>
          <w:rFonts w:ascii="Bookman Old Style" w:hAnsi="Bookman Old Style"/>
          <w:lang w:val="id-ID"/>
        </w:rPr>
        <w:t>permasalahan</w:t>
      </w:r>
      <w:r w:rsidR="00A954D0">
        <w:rPr>
          <w:rFonts w:ascii="Bookman Old Style" w:hAnsi="Bookman Old Style"/>
          <w:lang w:val="id-ID"/>
        </w:rPr>
        <w:t xml:space="preserve"> </w:t>
      </w:r>
      <w:r w:rsidRPr="00BF3751">
        <w:rPr>
          <w:rFonts w:ascii="Bookman Old Style" w:hAnsi="Bookman Old Style"/>
          <w:lang w:val="id-ID"/>
        </w:rPr>
        <w:t>ekonomi</w:t>
      </w:r>
      <w:r w:rsidR="00A954D0">
        <w:rPr>
          <w:rFonts w:ascii="Bookman Old Style" w:hAnsi="Bookman Old Style"/>
          <w:lang w:val="id-ID"/>
        </w:rPr>
        <w:t xml:space="preserve"> </w:t>
      </w:r>
      <w:r w:rsidRPr="00BF3751">
        <w:rPr>
          <w:rFonts w:ascii="Bookman Old Style" w:hAnsi="Bookman Old Style"/>
          <w:lang w:val="id-ID"/>
        </w:rPr>
        <w:t>sektor</w:t>
      </w:r>
      <w:r w:rsidR="00A954D0">
        <w:rPr>
          <w:rFonts w:ascii="Bookman Old Style" w:hAnsi="Bookman Old Style"/>
          <w:lang w:val="id-ID"/>
        </w:rPr>
        <w:t xml:space="preserve"> </w:t>
      </w:r>
      <w:r w:rsidRPr="00BF3751">
        <w:rPr>
          <w:rFonts w:ascii="Bookman Old Style" w:hAnsi="Bookman Old Style"/>
          <w:lang w:val="id-ID"/>
        </w:rPr>
        <w:t>riil</w:t>
      </w:r>
      <w:r w:rsidR="00A954D0">
        <w:rPr>
          <w:rFonts w:ascii="Bookman Old Style" w:hAnsi="Bookman Old Style"/>
          <w:lang w:val="id-ID"/>
        </w:rPr>
        <w:t xml:space="preserve"> </w:t>
      </w:r>
      <w:r w:rsidRPr="00BF3751">
        <w:rPr>
          <w:rFonts w:ascii="Bookman Old Style" w:hAnsi="Bookman Old Style"/>
          <w:lang w:val="id-ID"/>
        </w:rPr>
        <w:t>serta</w:t>
      </w:r>
      <w:r w:rsidR="00A954D0">
        <w:rPr>
          <w:rFonts w:ascii="Bookman Old Style" w:hAnsi="Bookman Old Style"/>
          <w:lang w:val="id-ID"/>
        </w:rPr>
        <w:t xml:space="preserve"> </w:t>
      </w:r>
      <w:r w:rsidRPr="00BF3751">
        <w:rPr>
          <w:rFonts w:ascii="Bookman Old Style" w:hAnsi="Bookman Old Style"/>
          <w:lang w:val="id-ID"/>
        </w:rPr>
        <w:t>menjaga</w:t>
      </w:r>
      <w:r w:rsidR="00A954D0">
        <w:rPr>
          <w:rFonts w:ascii="Bookman Old Style" w:hAnsi="Bookman Old Style"/>
          <w:lang w:val="id-ID"/>
        </w:rPr>
        <w:t xml:space="preserve"> </w:t>
      </w:r>
      <w:r w:rsidRPr="00953DC9">
        <w:rPr>
          <w:rFonts w:ascii="Bookman Old Style" w:hAnsi="Bookman Old Style"/>
          <w:lang w:val="sv-FI"/>
        </w:rPr>
        <w:t>stabilitas</w:t>
      </w:r>
      <w:r w:rsidR="00A954D0">
        <w:rPr>
          <w:rFonts w:ascii="Bookman Old Style" w:hAnsi="Bookman Old Style"/>
          <w:lang w:val="id-ID"/>
        </w:rPr>
        <w:t xml:space="preserve"> </w:t>
      </w:r>
      <w:r w:rsidRPr="00BF3751">
        <w:rPr>
          <w:rFonts w:ascii="Bookman Old Style" w:hAnsi="Bookman Old Style"/>
          <w:lang w:val="id-ID"/>
        </w:rPr>
        <w:t>harga</w:t>
      </w:r>
      <w:r w:rsidR="00A954D0">
        <w:rPr>
          <w:rFonts w:ascii="Bookman Old Style" w:hAnsi="Bookman Old Style"/>
          <w:lang w:val="id-ID"/>
        </w:rPr>
        <w:t xml:space="preserve"> </w:t>
      </w:r>
      <w:r w:rsidRPr="00BF3751">
        <w:rPr>
          <w:rFonts w:ascii="Bookman Old Style" w:hAnsi="Bookman Old Style"/>
          <w:lang w:val="id-ID"/>
        </w:rPr>
        <w:t>barang</w:t>
      </w:r>
      <w:r w:rsidR="00A954D0">
        <w:rPr>
          <w:rFonts w:ascii="Bookman Old Style" w:hAnsi="Bookman Old Style"/>
          <w:lang w:val="id-ID"/>
        </w:rPr>
        <w:t xml:space="preserve"> </w:t>
      </w:r>
      <w:r w:rsidRPr="00BF3751">
        <w:rPr>
          <w:rFonts w:ascii="Bookman Old Style" w:hAnsi="Bookman Old Style"/>
          <w:lang w:val="id-ID"/>
        </w:rPr>
        <w:t>dan</w:t>
      </w:r>
      <w:r w:rsidR="00A954D0">
        <w:rPr>
          <w:rFonts w:ascii="Bookman Old Style" w:hAnsi="Bookman Old Style"/>
          <w:lang w:val="id-ID"/>
        </w:rPr>
        <w:t xml:space="preserve"> </w:t>
      </w:r>
      <w:r w:rsidRPr="00BF3751">
        <w:rPr>
          <w:rFonts w:ascii="Bookman Old Style" w:hAnsi="Bookman Old Style"/>
          <w:lang w:val="id-ID"/>
        </w:rPr>
        <w:t>jasa</w:t>
      </w:r>
      <w:r w:rsidR="00A954D0">
        <w:rPr>
          <w:rFonts w:ascii="Bookman Old Style" w:hAnsi="Bookman Old Style"/>
          <w:lang w:val="id-ID"/>
        </w:rPr>
        <w:t xml:space="preserve"> </w:t>
      </w:r>
      <w:r w:rsidRPr="00BF3751">
        <w:rPr>
          <w:rFonts w:ascii="Bookman Old Style" w:hAnsi="Bookman Old Style"/>
          <w:lang w:val="id-ID"/>
        </w:rPr>
        <w:t>yang</w:t>
      </w:r>
      <w:r w:rsidR="00A954D0">
        <w:rPr>
          <w:rFonts w:ascii="Bookman Old Style" w:hAnsi="Bookman Old Style"/>
          <w:lang w:val="id-ID"/>
        </w:rPr>
        <w:t xml:space="preserve"> </w:t>
      </w:r>
      <w:r w:rsidRPr="00BF3751">
        <w:rPr>
          <w:rFonts w:ascii="Bookman Old Style" w:hAnsi="Bookman Old Style"/>
          <w:lang w:val="id-ID"/>
        </w:rPr>
        <w:t>terjangkau</w:t>
      </w:r>
      <w:r w:rsidR="00A954D0">
        <w:rPr>
          <w:rFonts w:ascii="Bookman Old Style" w:hAnsi="Bookman Old Style"/>
          <w:lang w:val="id-ID"/>
        </w:rPr>
        <w:t xml:space="preserve"> </w:t>
      </w:r>
      <w:r w:rsidRPr="00BF3751">
        <w:rPr>
          <w:rFonts w:ascii="Bookman Old Style" w:hAnsi="Bookman Old Style"/>
          <w:lang w:val="id-ID"/>
        </w:rPr>
        <w:t>oleh</w:t>
      </w:r>
      <w:r w:rsidR="00A954D0">
        <w:rPr>
          <w:rFonts w:ascii="Bookman Old Style" w:hAnsi="Bookman Old Style"/>
          <w:lang w:val="id-ID"/>
        </w:rPr>
        <w:t xml:space="preserve"> </w:t>
      </w:r>
      <w:r w:rsidRPr="00BF3751">
        <w:rPr>
          <w:rFonts w:ascii="Bookman Old Style" w:hAnsi="Bookman Old Style"/>
          <w:lang w:val="id-ID"/>
        </w:rPr>
        <w:t>masyarakat,</w:t>
      </w:r>
      <w:r w:rsidR="00A954D0">
        <w:rPr>
          <w:rFonts w:ascii="Bookman Old Style" w:hAnsi="Bookman Old Style"/>
          <w:lang w:val="id-ID"/>
        </w:rPr>
        <w:t xml:space="preserve"> </w:t>
      </w:r>
      <w:r w:rsidRPr="00BF3751">
        <w:rPr>
          <w:rFonts w:ascii="Bookman Old Style" w:hAnsi="Bookman Old Style"/>
          <w:lang w:val="id-ID"/>
        </w:rPr>
        <w:t>Pemerintah</w:t>
      </w:r>
      <w:r w:rsidR="00A954D0">
        <w:rPr>
          <w:rFonts w:ascii="Bookman Old Style" w:hAnsi="Bookman Old Style"/>
          <w:lang w:val="id-ID"/>
        </w:rPr>
        <w:t xml:space="preserve"> </w:t>
      </w:r>
      <w:r w:rsidRPr="00BF3751">
        <w:rPr>
          <w:rFonts w:ascii="Bookman Old Style" w:hAnsi="Bookman Old Style"/>
          <w:lang w:val="id-ID"/>
        </w:rPr>
        <w:t>Daerah</w:t>
      </w:r>
      <w:r w:rsidR="00A954D0">
        <w:rPr>
          <w:rFonts w:ascii="Bookman Old Style" w:hAnsi="Bookman Old Style"/>
          <w:lang w:val="id-ID"/>
        </w:rPr>
        <w:t xml:space="preserve"> </w:t>
      </w:r>
      <w:r w:rsidR="00046408" w:rsidRPr="003255BC">
        <w:rPr>
          <w:rFonts w:ascii="Bookman Old Style" w:hAnsi="Bookman Old Style"/>
          <w:lang w:val="sv-FI"/>
        </w:rPr>
        <w:t>Kota</w:t>
      </w:r>
      <w:r w:rsidR="00A954D0" w:rsidRPr="003255BC">
        <w:rPr>
          <w:rFonts w:ascii="Bookman Old Style" w:hAnsi="Bookman Old Style"/>
          <w:lang w:val="sv-FI"/>
        </w:rPr>
        <w:t xml:space="preserve"> </w:t>
      </w:r>
      <w:r w:rsidR="00770F22" w:rsidRPr="003255BC">
        <w:rPr>
          <w:rFonts w:ascii="Bookman Old Style" w:hAnsi="Bookman Old Style"/>
          <w:lang w:val="sv-FI"/>
        </w:rPr>
        <w:t>Tangerang</w:t>
      </w:r>
      <w:r w:rsidR="00A954D0" w:rsidRPr="003255BC">
        <w:rPr>
          <w:rFonts w:ascii="Bookman Old Style" w:hAnsi="Bookman Old Style"/>
          <w:lang w:val="sv-FI"/>
        </w:rPr>
        <w:t xml:space="preserve"> </w:t>
      </w:r>
      <w:r w:rsidRPr="00BF3751">
        <w:rPr>
          <w:rFonts w:ascii="Bookman Old Style" w:hAnsi="Bookman Old Style"/>
          <w:lang w:val="id-ID"/>
        </w:rPr>
        <w:t>menyediakan</w:t>
      </w:r>
      <w:r w:rsidR="00A954D0">
        <w:rPr>
          <w:rFonts w:ascii="Bookman Old Style" w:hAnsi="Bookman Old Style"/>
          <w:lang w:val="id-ID"/>
        </w:rPr>
        <w:t xml:space="preserve"> </w:t>
      </w:r>
      <w:r w:rsidRPr="00BF3751">
        <w:rPr>
          <w:rFonts w:ascii="Bookman Old Style" w:hAnsi="Bookman Old Style"/>
          <w:lang w:val="id-ID"/>
        </w:rPr>
        <w:t>anggaran</w:t>
      </w:r>
      <w:r w:rsidR="00A954D0">
        <w:rPr>
          <w:rFonts w:ascii="Bookman Old Style" w:hAnsi="Bookman Old Style"/>
          <w:lang w:val="id-ID"/>
        </w:rPr>
        <w:t xml:space="preserve"> </w:t>
      </w:r>
      <w:r w:rsidRPr="00BF3751">
        <w:rPr>
          <w:rFonts w:ascii="Bookman Old Style" w:hAnsi="Bookman Old Style"/>
          <w:lang w:val="id-ID"/>
        </w:rPr>
        <w:t>untuk:</w:t>
      </w:r>
    </w:p>
    <w:p w14:paraId="4F1E8319" w14:textId="7F5CD29C" w:rsidR="003374DF" w:rsidRPr="00BF3751" w:rsidRDefault="003374DF" w:rsidP="00953DC9">
      <w:pPr>
        <w:pStyle w:val="ListParagraph"/>
        <w:numPr>
          <w:ilvl w:val="0"/>
          <w:numId w:val="62"/>
        </w:numPr>
        <w:shd w:val="clear" w:color="auto" w:fill="FFFFFF" w:themeFill="background1"/>
        <w:spacing w:before="60" w:after="0" w:line="276" w:lineRule="auto"/>
        <w:ind w:left="1276" w:hanging="283"/>
        <w:contextualSpacing w:val="0"/>
        <w:jc w:val="both"/>
        <w:rPr>
          <w:rFonts w:ascii="Bookman Old Style" w:hAnsi="Bookman Old Style"/>
          <w:sz w:val="24"/>
          <w:szCs w:val="24"/>
          <w:lang w:val="id-ID"/>
        </w:rPr>
      </w:pPr>
      <w:r w:rsidRPr="00BF3751">
        <w:rPr>
          <w:rFonts w:ascii="Bookman Old Style" w:hAnsi="Bookman Old Style"/>
          <w:sz w:val="24"/>
          <w:szCs w:val="24"/>
          <w:lang w:val="id-ID"/>
        </w:rPr>
        <w:t>mendukung</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tugas</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Tim</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Pengendali</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Inflasi</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Daerah</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(TPID),</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Pemerintah</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Daerah</w:t>
      </w:r>
      <w:r w:rsidR="00A954D0">
        <w:rPr>
          <w:rFonts w:ascii="Bookman Old Style" w:hAnsi="Bookman Old Style"/>
          <w:sz w:val="24"/>
          <w:szCs w:val="24"/>
          <w:lang w:val="id-ID"/>
        </w:rPr>
        <w:t xml:space="preserve"> </w:t>
      </w:r>
      <w:r w:rsidR="00046408" w:rsidRPr="00BF3751">
        <w:rPr>
          <w:rFonts w:ascii="Bookman Old Style" w:hAnsi="Bookman Old Style"/>
          <w:sz w:val="24"/>
          <w:szCs w:val="24"/>
          <w:lang w:val="id-ID"/>
        </w:rPr>
        <w:t>Kota</w:t>
      </w:r>
      <w:r w:rsidR="00A954D0">
        <w:rPr>
          <w:rFonts w:ascii="Bookman Old Style" w:hAnsi="Bookman Old Style"/>
          <w:sz w:val="24"/>
          <w:szCs w:val="24"/>
          <w:lang w:val="id-ID"/>
        </w:rPr>
        <w:t xml:space="preserve"> </w:t>
      </w:r>
      <w:r w:rsidR="00770F22" w:rsidRPr="00BF3751">
        <w:rPr>
          <w:rFonts w:ascii="Bookman Old Style" w:hAnsi="Bookman Old Style"/>
          <w:sz w:val="24"/>
          <w:szCs w:val="24"/>
          <w:lang w:val="id-ID"/>
        </w:rPr>
        <w:t>Tangerang</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menyediakan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alokasi</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anggaran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dalam</w:t>
      </w:r>
      <w:r w:rsidR="00A954D0">
        <w:rPr>
          <w:rFonts w:ascii="Bookman Old Style" w:hAnsi="Bookman Old Style"/>
          <w:sz w:val="24"/>
          <w:szCs w:val="24"/>
          <w:lang w:val="id-ID"/>
        </w:rPr>
        <w:t xml:space="preserve"> </w:t>
      </w:r>
      <w:r w:rsidRPr="00BF3751">
        <w:rPr>
          <w:rFonts w:ascii="Bookman Old Style" w:hAnsi="Bookman Old Style"/>
          <w:sz w:val="24"/>
          <w:szCs w:val="24"/>
        </w:rPr>
        <w:t>Rancangan</w:t>
      </w:r>
      <w:r w:rsidR="00A954D0">
        <w:rPr>
          <w:rFonts w:ascii="Bookman Old Style" w:hAnsi="Bookman Old Style"/>
          <w:sz w:val="24"/>
          <w:szCs w:val="24"/>
        </w:rPr>
        <w:t xml:space="preserve"> </w:t>
      </w:r>
      <w:r w:rsidRPr="00BF3751">
        <w:rPr>
          <w:rFonts w:ascii="Bookman Old Style" w:hAnsi="Bookman Old Style"/>
          <w:sz w:val="24"/>
          <w:szCs w:val="24"/>
        </w:rPr>
        <w:t>Peraturan</w:t>
      </w:r>
      <w:r w:rsidR="00A954D0">
        <w:rPr>
          <w:rFonts w:ascii="Bookman Old Style" w:hAnsi="Bookman Old Style"/>
          <w:sz w:val="24"/>
          <w:szCs w:val="24"/>
        </w:rPr>
        <w:t xml:space="preserve"> </w:t>
      </w:r>
      <w:r w:rsidRPr="00BF3751">
        <w:rPr>
          <w:rFonts w:ascii="Bookman Old Style" w:hAnsi="Bookman Old Style"/>
          <w:sz w:val="24"/>
          <w:szCs w:val="24"/>
        </w:rPr>
        <w:t>Daerah</w:t>
      </w:r>
      <w:r w:rsidR="00A954D0">
        <w:rPr>
          <w:rFonts w:ascii="Bookman Old Style" w:hAnsi="Bookman Old Style"/>
          <w:sz w:val="24"/>
          <w:szCs w:val="24"/>
        </w:rPr>
        <w:t xml:space="preserve"> </w:t>
      </w:r>
      <w:r w:rsidR="00B055C5" w:rsidRPr="00BF3751">
        <w:rPr>
          <w:rFonts w:ascii="Bookman Old Style" w:hAnsi="Bookman Old Style"/>
          <w:sz w:val="24"/>
          <w:szCs w:val="24"/>
        </w:rPr>
        <w:t>Kota</w:t>
      </w:r>
      <w:r w:rsidR="00A954D0">
        <w:rPr>
          <w:rFonts w:ascii="Bookman Old Style" w:hAnsi="Bookman Old Style"/>
          <w:sz w:val="24"/>
          <w:szCs w:val="24"/>
        </w:rPr>
        <w:t xml:space="preserve"> </w:t>
      </w:r>
      <w:r w:rsidR="00770F22" w:rsidRPr="00BF3751">
        <w:rPr>
          <w:rFonts w:ascii="Bookman Old Style" w:hAnsi="Bookman Old Style"/>
          <w:sz w:val="24"/>
          <w:szCs w:val="24"/>
        </w:rPr>
        <w:t>Tangerang</w:t>
      </w:r>
      <w:r w:rsidR="00A954D0">
        <w:rPr>
          <w:rFonts w:ascii="Bookman Old Style" w:hAnsi="Bookman Old Style"/>
          <w:sz w:val="24"/>
          <w:szCs w:val="24"/>
        </w:rPr>
        <w:t xml:space="preserve"> </w:t>
      </w:r>
      <w:r w:rsidR="00BE6ED9" w:rsidRPr="00BF3751">
        <w:rPr>
          <w:rFonts w:ascii="Bookman Old Style" w:hAnsi="Bookman Old Style"/>
          <w:sz w:val="24"/>
          <w:szCs w:val="24"/>
        </w:rPr>
        <w:t>tentang</w:t>
      </w:r>
      <w:r w:rsidR="00A954D0">
        <w:rPr>
          <w:rFonts w:ascii="Bookman Old Style" w:hAnsi="Bookman Old Style"/>
          <w:sz w:val="24"/>
          <w:szCs w:val="24"/>
        </w:rPr>
        <w:t xml:space="preserve"> </w:t>
      </w:r>
      <w:r w:rsidR="00BE6ED9" w:rsidRPr="00BF3751">
        <w:rPr>
          <w:rFonts w:ascii="Bookman Old Style" w:hAnsi="Bookman Old Style"/>
          <w:sz w:val="24"/>
          <w:szCs w:val="24"/>
        </w:rPr>
        <w:t>APBD</w:t>
      </w:r>
      <w:r w:rsidR="00A954D0">
        <w:rPr>
          <w:rFonts w:ascii="Bookman Old Style" w:hAnsi="Bookman Old Style"/>
          <w:sz w:val="24"/>
          <w:szCs w:val="24"/>
        </w:rPr>
        <w:t xml:space="preserve"> </w:t>
      </w:r>
      <w:r w:rsidRPr="00BF3751">
        <w:rPr>
          <w:rFonts w:ascii="Bookman Old Style" w:hAnsi="Bookman Old Style"/>
          <w:sz w:val="24"/>
          <w:szCs w:val="24"/>
        </w:rPr>
        <w:t>Tahun</w:t>
      </w:r>
      <w:r w:rsidR="00A954D0">
        <w:rPr>
          <w:rFonts w:ascii="Bookman Old Style" w:hAnsi="Bookman Old Style"/>
          <w:sz w:val="24"/>
          <w:szCs w:val="24"/>
        </w:rPr>
        <w:t xml:space="preserve"> </w:t>
      </w:r>
      <w:r w:rsidRPr="00BF3751">
        <w:rPr>
          <w:rFonts w:ascii="Bookman Old Style" w:hAnsi="Bookman Old Style"/>
          <w:sz w:val="24"/>
          <w:szCs w:val="24"/>
        </w:rPr>
        <w:t>Anggaran</w:t>
      </w:r>
      <w:r w:rsidR="00A954D0">
        <w:rPr>
          <w:rFonts w:ascii="Bookman Old Style" w:hAnsi="Bookman Old Style"/>
          <w:sz w:val="24"/>
          <w:szCs w:val="24"/>
        </w:rPr>
        <w:t xml:space="preserve"> </w:t>
      </w:r>
      <w:r w:rsidRPr="00BF3751">
        <w:rPr>
          <w:rFonts w:ascii="Bookman Old Style" w:hAnsi="Bookman Old Style"/>
          <w:sz w:val="24"/>
          <w:szCs w:val="24"/>
        </w:rPr>
        <w:t>2025</w:t>
      </w:r>
      <w:r w:rsidR="00A954D0">
        <w:rPr>
          <w:rFonts w:ascii="Bookman Old Style" w:hAnsi="Bookman Old Style"/>
          <w:sz w:val="24"/>
          <w:szCs w:val="24"/>
        </w:rPr>
        <w:t xml:space="preserve"> </w:t>
      </w:r>
      <w:r w:rsidRPr="00BF3751">
        <w:rPr>
          <w:rFonts w:ascii="Bookman Old Style" w:hAnsi="Bookman Old Style"/>
          <w:sz w:val="24"/>
          <w:szCs w:val="24"/>
          <w:lang w:val="id-ID"/>
        </w:rPr>
        <w:t>sesuai</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dengan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ketentuan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peraturan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perundang-undangan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terkait;</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dan</w:t>
      </w:r>
    </w:p>
    <w:p w14:paraId="60984460" w14:textId="582029B6" w:rsidR="003374DF" w:rsidRPr="00BF3751" w:rsidRDefault="003374DF" w:rsidP="00953DC9">
      <w:pPr>
        <w:pStyle w:val="ListParagraph"/>
        <w:numPr>
          <w:ilvl w:val="0"/>
          <w:numId w:val="62"/>
        </w:numPr>
        <w:shd w:val="clear" w:color="auto" w:fill="FFFFFF" w:themeFill="background1"/>
        <w:spacing w:before="60" w:after="0" w:line="276" w:lineRule="auto"/>
        <w:ind w:left="1276" w:hanging="283"/>
        <w:contextualSpacing w:val="0"/>
        <w:jc w:val="both"/>
        <w:rPr>
          <w:rFonts w:ascii="Bookman Old Style" w:hAnsi="Bookman Old Style"/>
          <w:sz w:val="24"/>
          <w:szCs w:val="24"/>
          <w:lang w:val="id-ID"/>
        </w:rPr>
      </w:pPr>
      <w:r w:rsidRPr="00BF3751">
        <w:rPr>
          <w:rFonts w:ascii="Bookman Old Style" w:hAnsi="Bookman Old Style"/>
          <w:sz w:val="24"/>
          <w:szCs w:val="24"/>
          <w:lang w:val="id-ID"/>
        </w:rPr>
        <w:t>pengendalian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harga</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barang</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jasa</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yang</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menjadi</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kebutuhan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masyarakat,</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seperti</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penyediaan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9</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(sembilan)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bahan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pokok,</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melalui</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Belanja</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Tidak</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Terduga</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yang</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dapat</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digunakan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sesuai</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dengan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kebutuhan</w:t>
      </w:r>
      <w:r w:rsidR="00953DC9" w:rsidRPr="00953DC9">
        <w:rPr>
          <w:rFonts w:ascii="Bookman Old Style" w:hAnsi="Bookman Old Style"/>
          <w:sz w:val="24"/>
          <w:szCs w:val="24"/>
          <w:lang w:val="id-ID"/>
        </w:rPr>
        <w:t>.</w:t>
      </w:r>
    </w:p>
    <w:p w14:paraId="4C83FF1A" w14:textId="3496CFA6" w:rsidR="003374DF" w:rsidRPr="00BF3751" w:rsidRDefault="00953DC9" w:rsidP="00953DC9">
      <w:pPr>
        <w:shd w:val="clear" w:color="auto" w:fill="FFFFFF" w:themeFill="background1"/>
        <w:spacing w:before="60" w:line="276" w:lineRule="auto"/>
        <w:ind w:left="993"/>
        <w:jc w:val="both"/>
        <w:rPr>
          <w:rFonts w:ascii="Bookman Old Style" w:hAnsi="Bookman Old Style"/>
          <w:lang w:val="id-ID"/>
        </w:rPr>
      </w:pPr>
      <w:r>
        <w:rPr>
          <w:rFonts w:ascii="Bookman Old Style" w:hAnsi="Bookman Old Style"/>
          <w:lang w:val="sv-FI"/>
        </w:rPr>
        <w:t>S</w:t>
      </w:r>
      <w:r w:rsidR="003374DF" w:rsidRPr="00BF3751">
        <w:rPr>
          <w:rFonts w:ascii="Bookman Old Style" w:hAnsi="Bookman Old Style"/>
          <w:lang w:val="id-ID"/>
        </w:rPr>
        <w:t>ebagaimana</w:t>
      </w:r>
      <w:r w:rsidR="00A954D0">
        <w:rPr>
          <w:rFonts w:ascii="Bookman Old Style" w:hAnsi="Bookman Old Style"/>
          <w:lang w:val="id-ID"/>
        </w:rPr>
        <w:t xml:space="preserve"> </w:t>
      </w:r>
      <w:r w:rsidR="003374DF" w:rsidRPr="00BF3751">
        <w:rPr>
          <w:rFonts w:ascii="Bookman Old Style" w:hAnsi="Bookman Old Style"/>
          <w:lang w:val="id-ID"/>
        </w:rPr>
        <w:t>maksud</w:t>
      </w:r>
      <w:r w:rsidR="00A954D0">
        <w:rPr>
          <w:rFonts w:ascii="Bookman Old Style" w:hAnsi="Bookman Old Style"/>
          <w:lang w:val="id-ID"/>
        </w:rPr>
        <w:t xml:space="preserve"> </w:t>
      </w:r>
      <w:r w:rsidR="003374DF" w:rsidRPr="00BF3751">
        <w:rPr>
          <w:rFonts w:ascii="Bookman Old Style" w:hAnsi="Bookman Old Style"/>
          <w:lang w:val="id-ID"/>
        </w:rPr>
        <w:t>butir</w:t>
      </w:r>
      <w:r w:rsidR="00A954D0">
        <w:rPr>
          <w:rFonts w:ascii="Bookman Old Style" w:hAnsi="Bookman Old Style"/>
          <w:lang w:val="id-ID"/>
        </w:rPr>
        <w:t xml:space="preserve"> </w:t>
      </w:r>
      <w:r w:rsidR="003374DF" w:rsidRPr="00BF3751">
        <w:rPr>
          <w:rFonts w:ascii="Bookman Old Style" w:hAnsi="Bookman Old Style"/>
          <w:lang w:val="it-IT"/>
        </w:rPr>
        <w:t>5.2.20.c</w:t>
      </w:r>
      <w:r w:rsidR="00A954D0">
        <w:rPr>
          <w:rFonts w:ascii="Bookman Old Style" w:hAnsi="Bookman Old Style"/>
          <w:lang w:val="it-IT"/>
        </w:rPr>
        <w:t xml:space="preserve"> </w:t>
      </w:r>
      <w:r w:rsidR="003374DF" w:rsidRPr="00BF3751">
        <w:rPr>
          <w:rFonts w:ascii="Bookman Old Style" w:hAnsi="Bookman Old Style"/>
          <w:lang w:val="id-ID"/>
        </w:rPr>
        <w:t>Lampiran</w:t>
      </w:r>
      <w:r w:rsidR="00A954D0">
        <w:rPr>
          <w:rFonts w:ascii="Bookman Old Style" w:hAnsi="Bookman Old Style"/>
          <w:lang w:val="id-ID"/>
        </w:rPr>
        <w:t xml:space="preserve"> </w:t>
      </w:r>
      <w:r w:rsidR="003374DF" w:rsidRPr="00BF3751">
        <w:rPr>
          <w:rFonts w:ascii="Bookman Old Style" w:hAnsi="Bookman Old Style"/>
          <w:lang w:val="id-ID"/>
        </w:rPr>
        <w:t>Peraturan</w:t>
      </w:r>
      <w:r w:rsidR="00A954D0">
        <w:rPr>
          <w:rFonts w:ascii="Bookman Old Style" w:hAnsi="Bookman Old Style"/>
          <w:lang w:val="id-ID"/>
        </w:rPr>
        <w:t xml:space="preserve"> </w:t>
      </w:r>
      <w:r w:rsidR="003374DF" w:rsidRPr="00BF3751">
        <w:rPr>
          <w:rFonts w:ascii="Bookman Old Style" w:hAnsi="Bookman Old Style"/>
          <w:lang w:val="id-ID"/>
        </w:rPr>
        <w:t>Menteri</w:t>
      </w:r>
      <w:r w:rsidR="00A954D0">
        <w:rPr>
          <w:rFonts w:ascii="Bookman Old Style" w:hAnsi="Bookman Old Style"/>
          <w:lang w:val="id-ID"/>
        </w:rPr>
        <w:t xml:space="preserve"> </w:t>
      </w:r>
      <w:r w:rsidR="003374DF" w:rsidRPr="00BF3751">
        <w:rPr>
          <w:rFonts w:ascii="Bookman Old Style" w:hAnsi="Bookman Old Style"/>
          <w:lang w:val="id-ID"/>
        </w:rPr>
        <w:t>Dalam</w:t>
      </w:r>
      <w:r w:rsidR="00A954D0">
        <w:rPr>
          <w:rFonts w:ascii="Bookman Old Style" w:hAnsi="Bookman Old Style"/>
          <w:lang w:val="id-ID"/>
        </w:rPr>
        <w:t xml:space="preserve"> </w:t>
      </w:r>
      <w:r w:rsidR="003374DF" w:rsidRPr="00BF3751">
        <w:rPr>
          <w:rFonts w:ascii="Bookman Old Style" w:hAnsi="Bookman Old Style"/>
          <w:lang w:val="id-ID"/>
        </w:rPr>
        <w:t>Negeri</w:t>
      </w:r>
      <w:r w:rsidR="00A954D0">
        <w:rPr>
          <w:rFonts w:ascii="Bookman Old Style" w:hAnsi="Bookman Old Style"/>
          <w:lang w:val="id-ID"/>
        </w:rPr>
        <w:t xml:space="preserve"> </w:t>
      </w:r>
      <w:r w:rsidR="003374DF" w:rsidRPr="00BF3751">
        <w:rPr>
          <w:rFonts w:ascii="Bookman Old Style" w:hAnsi="Bookman Old Style"/>
          <w:lang w:val="id-ID"/>
        </w:rPr>
        <w:t>Nomor</w:t>
      </w:r>
      <w:r w:rsidR="00A954D0">
        <w:rPr>
          <w:rFonts w:ascii="Bookman Old Style" w:hAnsi="Bookman Old Style"/>
          <w:lang w:val="id-ID"/>
        </w:rPr>
        <w:t xml:space="preserve"> </w:t>
      </w:r>
      <w:r w:rsidR="003374DF" w:rsidRPr="00BF3751">
        <w:rPr>
          <w:rFonts w:ascii="Bookman Old Style" w:hAnsi="Bookman Old Style"/>
          <w:lang w:val="it-IT"/>
        </w:rPr>
        <w:t>15</w:t>
      </w:r>
      <w:r w:rsidR="00A954D0">
        <w:rPr>
          <w:rFonts w:ascii="Bookman Old Style" w:hAnsi="Bookman Old Style"/>
          <w:lang w:val="id-ID"/>
        </w:rPr>
        <w:t xml:space="preserve"> </w:t>
      </w:r>
      <w:r w:rsidR="003374DF" w:rsidRPr="00BF3751">
        <w:rPr>
          <w:rFonts w:ascii="Bookman Old Style" w:hAnsi="Bookman Old Style"/>
          <w:lang w:val="id-ID"/>
        </w:rPr>
        <w:t>Tahun</w:t>
      </w:r>
      <w:r w:rsidR="00A954D0">
        <w:rPr>
          <w:rFonts w:ascii="Bookman Old Style" w:hAnsi="Bookman Old Style"/>
          <w:lang w:val="id-ID"/>
        </w:rPr>
        <w:t xml:space="preserve"> </w:t>
      </w:r>
      <w:r w:rsidR="003374DF" w:rsidRPr="00BF3751">
        <w:rPr>
          <w:rFonts w:ascii="Bookman Old Style" w:hAnsi="Bookman Old Style"/>
          <w:lang w:val="id-ID"/>
        </w:rPr>
        <w:t>202</w:t>
      </w:r>
      <w:r w:rsidR="003374DF" w:rsidRPr="00BF3751">
        <w:rPr>
          <w:rFonts w:ascii="Bookman Old Style" w:hAnsi="Bookman Old Style"/>
          <w:lang w:val="it-IT"/>
        </w:rPr>
        <w:t>4</w:t>
      </w:r>
      <w:r w:rsidR="003374DF" w:rsidRPr="00BF3751">
        <w:rPr>
          <w:rFonts w:ascii="Bookman Old Style" w:hAnsi="Bookman Old Style"/>
          <w:lang w:val="id-ID"/>
        </w:rPr>
        <w:t>.</w:t>
      </w:r>
    </w:p>
    <w:p w14:paraId="7EDE5551" w14:textId="55001113" w:rsidR="003374DF" w:rsidRPr="00953DC9" w:rsidRDefault="003374DF" w:rsidP="00953DC9">
      <w:pPr>
        <w:numPr>
          <w:ilvl w:val="0"/>
          <w:numId w:val="156"/>
        </w:numPr>
        <w:spacing w:before="60" w:line="276" w:lineRule="auto"/>
        <w:ind w:left="993" w:hanging="426"/>
        <w:jc w:val="both"/>
        <w:rPr>
          <w:rFonts w:ascii="Bookman Old Style" w:hAnsi="Bookman Old Style"/>
          <w:lang w:val="sv-FI"/>
        </w:rPr>
      </w:pPr>
      <w:r w:rsidRPr="00BF3751">
        <w:rPr>
          <w:rFonts w:ascii="Bookman Old Style" w:hAnsi="Bookman Old Style"/>
          <w:lang w:val="id-ID"/>
        </w:rPr>
        <w:t>Penganggaran</w:t>
      </w:r>
      <w:r w:rsidR="00A954D0">
        <w:rPr>
          <w:rFonts w:ascii="Bookman Old Style" w:hAnsi="Bookman Old Style"/>
          <w:lang w:val="id-ID"/>
        </w:rPr>
        <w:t xml:space="preserve"> </w:t>
      </w:r>
      <w:r w:rsidRPr="00BF3751">
        <w:rPr>
          <w:rFonts w:ascii="Bookman Old Style" w:hAnsi="Bookman Old Style"/>
          <w:lang w:val="id-ID"/>
        </w:rPr>
        <w:t>jenis</w:t>
      </w:r>
      <w:r w:rsidR="00A954D0">
        <w:rPr>
          <w:rFonts w:ascii="Bookman Old Style" w:hAnsi="Bookman Old Style"/>
          <w:lang w:val="id-ID"/>
        </w:rPr>
        <w:t xml:space="preserve"> </w:t>
      </w:r>
      <w:r w:rsidRPr="00BF3751">
        <w:rPr>
          <w:rFonts w:ascii="Bookman Old Style" w:hAnsi="Bookman Old Style"/>
          <w:lang w:val="id-ID"/>
        </w:rPr>
        <w:t>pajak</w:t>
      </w:r>
      <w:r w:rsidR="00A954D0">
        <w:rPr>
          <w:rFonts w:ascii="Bookman Old Style" w:hAnsi="Bookman Old Style"/>
          <w:lang w:val="id-ID"/>
        </w:rPr>
        <w:t xml:space="preserve"> </w:t>
      </w:r>
      <w:r w:rsidRPr="00BF3751">
        <w:rPr>
          <w:rFonts w:ascii="Bookman Old Style" w:hAnsi="Bookman Old Style"/>
          <w:lang w:val="id-ID"/>
        </w:rPr>
        <w:t>daerah</w:t>
      </w:r>
      <w:r w:rsidR="00A954D0">
        <w:rPr>
          <w:rFonts w:ascii="Bookman Old Style" w:hAnsi="Bookman Old Style"/>
          <w:lang w:val="id-ID"/>
        </w:rPr>
        <w:t xml:space="preserve"> </w:t>
      </w:r>
      <w:r w:rsidRPr="00BF3751">
        <w:rPr>
          <w:rFonts w:ascii="Bookman Old Style" w:hAnsi="Bookman Old Style"/>
          <w:lang w:val="id-ID"/>
        </w:rPr>
        <w:t>dan</w:t>
      </w:r>
      <w:r w:rsidR="00A954D0">
        <w:rPr>
          <w:rFonts w:ascii="Bookman Old Style" w:hAnsi="Bookman Old Style"/>
          <w:lang w:val="id-ID"/>
        </w:rPr>
        <w:t xml:space="preserve"> </w:t>
      </w:r>
      <w:r w:rsidRPr="00BF3751">
        <w:rPr>
          <w:rFonts w:ascii="Bookman Old Style" w:hAnsi="Bookman Old Style"/>
          <w:lang w:val="id-ID"/>
        </w:rPr>
        <w:t>retribusi</w:t>
      </w:r>
      <w:r w:rsidR="00A954D0">
        <w:rPr>
          <w:rFonts w:ascii="Bookman Old Style" w:hAnsi="Bookman Old Style"/>
          <w:lang w:val="id-ID"/>
        </w:rPr>
        <w:t xml:space="preserve"> </w:t>
      </w:r>
      <w:r w:rsidRPr="00BF3751">
        <w:rPr>
          <w:rFonts w:ascii="Bookman Old Style" w:hAnsi="Bookman Old Style"/>
          <w:lang w:val="id-ID"/>
        </w:rPr>
        <w:t>daerah</w:t>
      </w:r>
      <w:r w:rsidR="00A954D0">
        <w:rPr>
          <w:rFonts w:ascii="Bookman Old Style" w:hAnsi="Bookman Old Style"/>
          <w:lang w:val="id-ID"/>
        </w:rPr>
        <w:t xml:space="preserve"> </w:t>
      </w:r>
      <w:r w:rsidRPr="00BF3751">
        <w:rPr>
          <w:rFonts w:ascii="Bookman Old Style" w:hAnsi="Bookman Old Style"/>
          <w:lang w:val="id-ID"/>
        </w:rPr>
        <w:t>harus</w:t>
      </w:r>
      <w:r w:rsidR="00A954D0">
        <w:rPr>
          <w:rFonts w:ascii="Bookman Old Style" w:hAnsi="Bookman Old Style"/>
          <w:lang w:val="id-ID"/>
        </w:rPr>
        <w:t xml:space="preserve"> </w:t>
      </w:r>
      <w:r w:rsidRPr="00BF3751">
        <w:rPr>
          <w:rFonts w:ascii="Bookman Old Style" w:hAnsi="Bookman Old Style"/>
          <w:lang w:val="id-ID"/>
        </w:rPr>
        <w:t>ditetapkan</w:t>
      </w:r>
      <w:r w:rsidR="00A954D0">
        <w:rPr>
          <w:rFonts w:ascii="Bookman Old Style" w:hAnsi="Bookman Old Style"/>
          <w:lang w:val="id-ID"/>
        </w:rPr>
        <w:t xml:space="preserve"> </w:t>
      </w:r>
      <w:r w:rsidRPr="00BF3751">
        <w:rPr>
          <w:rFonts w:ascii="Bookman Old Style" w:hAnsi="Bookman Old Style"/>
          <w:lang w:val="id-ID"/>
        </w:rPr>
        <w:t>dengan</w:t>
      </w:r>
      <w:r w:rsidR="00A954D0">
        <w:rPr>
          <w:rFonts w:ascii="Bookman Old Style" w:hAnsi="Bookman Old Style"/>
          <w:lang w:val="id-ID"/>
        </w:rPr>
        <w:t xml:space="preserve"> </w:t>
      </w:r>
      <w:r w:rsidRPr="00BF3751">
        <w:rPr>
          <w:rFonts w:ascii="Bookman Old Style" w:hAnsi="Bookman Old Style"/>
          <w:lang w:val="id-ID"/>
        </w:rPr>
        <w:t>peraturan</w:t>
      </w:r>
      <w:r w:rsidR="00A954D0">
        <w:rPr>
          <w:rFonts w:ascii="Bookman Old Style" w:hAnsi="Bookman Old Style"/>
          <w:lang w:val="id-ID"/>
        </w:rPr>
        <w:t xml:space="preserve"> </w:t>
      </w:r>
      <w:r w:rsidRPr="00BF3751">
        <w:rPr>
          <w:rFonts w:ascii="Bookman Old Style" w:hAnsi="Bookman Old Style"/>
          <w:lang w:val="id-ID"/>
        </w:rPr>
        <w:t>daerah</w:t>
      </w:r>
      <w:r w:rsidR="00A954D0">
        <w:rPr>
          <w:rFonts w:ascii="Bookman Old Style" w:hAnsi="Bookman Old Style"/>
          <w:lang w:val="id-ID"/>
        </w:rPr>
        <w:t xml:space="preserve"> </w:t>
      </w:r>
      <w:r w:rsidRPr="00BF3751">
        <w:rPr>
          <w:rFonts w:ascii="Bookman Old Style" w:hAnsi="Bookman Old Style"/>
          <w:lang w:val="id-ID"/>
        </w:rPr>
        <w:t>yang</w:t>
      </w:r>
      <w:r w:rsidR="00A954D0">
        <w:rPr>
          <w:rFonts w:ascii="Bookman Old Style" w:hAnsi="Bookman Old Style"/>
          <w:lang w:val="id-ID"/>
        </w:rPr>
        <w:t xml:space="preserve"> </w:t>
      </w:r>
      <w:r w:rsidRPr="00BF3751">
        <w:rPr>
          <w:rFonts w:ascii="Bookman Old Style" w:hAnsi="Bookman Old Style"/>
          <w:lang w:val="id-ID"/>
        </w:rPr>
        <w:t>menjadi</w:t>
      </w:r>
      <w:r w:rsidR="00A954D0">
        <w:rPr>
          <w:rFonts w:ascii="Bookman Old Style" w:hAnsi="Bookman Old Style"/>
          <w:lang w:val="id-ID"/>
        </w:rPr>
        <w:t xml:space="preserve"> </w:t>
      </w:r>
      <w:r w:rsidRPr="00BF3751">
        <w:rPr>
          <w:rFonts w:ascii="Bookman Old Style" w:hAnsi="Bookman Old Style"/>
          <w:lang w:val="id-ID"/>
        </w:rPr>
        <w:t>dasar</w:t>
      </w:r>
      <w:r w:rsidR="00A954D0">
        <w:rPr>
          <w:rFonts w:ascii="Bookman Old Style" w:hAnsi="Bookman Old Style"/>
          <w:lang w:val="id-ID"/>
        </w:rPr>
        <w:t xml:space="preserve"> </w:t>
      </w:r>
      <w:r w:rsidRPr="00BF3751">
        <w:rPr>
          <w:rFonts w:ascii="Bookman Old Style" w:hAnsi="Bookman Old Style"/>
          <w:lang w:val="id-ID"/>
        </w:rPr>
        <w:t>pemungutan</w:t>
      </w:r>
      <w:r w:rsidR="00A954D0">
        <w:rPr>
          <w:rFonts w:ascii="Bookman Old Style" w:hAnsi="Bookman Old Style"/>
          <w:lang w:val="id-ID"/>
        </w:rPr>
        <w:t xml:space="preserve"> </w:t>
      </w:r>
      <w:r w:rsidRPr="00953DC9">
        <w:rPr>
          <w:rFonts w:ascii="Bookman Old Style" w:hAnsi="Bookman Old Style"/>
          <w:lang w:val="sv-FI"/>
        </w:rPr>
        <w:t>pajak</w:t>
      </w:r>
      <w:r w:rsidR="00A954D0" w:rsidRPr="00953DC9">
        <w:rPr>
          <w:rFonts w:ascii="Bookman Old Style" w:hAnsi="Bookman Old Style"/>
          <w:lang w:val="sv-FI"/>
        </w:rPr>
        <w:t xml:space="preserve"> </w:t>
      </w:r>
      <w:r w:rsidRPr="00953DC9">
        <w:rPr>
          <w:rFonts w:ascii="Bookman Old Style" w:hAnsi="Bookman Old Style"/>
          <w:lang w:val="sv-FI"/>
        </w:rPr>
        <w:t>daerah</w:t>
      </w:r>
      <w:r w:rsidR="00A954D0" w:rsidRPr="00953DC9">
        <w:rPr>
          <w:rFonts w:ascii="Bookman Old Style" w:hAnsi="Bookman Old Style"/>
          <w:lang w:val="sv-FI"/>
        </w:rPr>
        <w:t xml:space="preserve"> </w:t>
      </w:r>
      <w:r w:rsidRPr="00953DC9">
        <w:rPr>
          <w:rFonts w:ascii="Bookman Old Style" w:hAnsi="Bookman Old Style"/>
          <w:lang w:val="sv-FI"/>
        </w:rPr>
        <w:t>dan</w:t>
      </w:r>
      <w:r w:rsidR="00A954D0" w:rsidRPr="00953DC9">
        <w:rPr>
          <w:rFonts w:ascii="Bookman Old Style" w:hAnsi="Bookman Old Style"/>
          <w:lang w:val="sv-FI"/>
        </w:rPr>
        <w:t xml:space="preserve"> </w:t>
      </w:r>
      <w:r w:rsidRPr="00953DC9">
        <w:rPr>
          <w:rFonts w:ascii="Bookman Old Style" w:hAnsi="Bookman Old Style"/>
          <w:lang w:val="sv-FI"/>
        </w:rPr>
        <w:t>retribusi</w:t>
      </w:r>
      <w:r w:rsidR="00A954D0" w:rsidRPr="00953DC9">
        <w:rPr>
          <w:rFonts w:ascii="Bookman Old Style" w:hAnsi="Bookman Old Style"/>
          <w:lang w:val="sv-FI"/>
        </w:rPr>
        <w:t xml:space="preserve"> </w:t>
      </w:r>
      <w:r w:rsidRPr="00953DC9">
        <w:rPr>
          <w:rFonts w:ascii="Bookman Old Style" w:hAnsi="Bookman Old Style"/>
          <w:lang w:val="sv-FI"/>
        </w:rPr>
        <w:t>daerah</w:t>
      </w:r>
      <w:r w:rsidR="00A954D0" w:rsidRPr="00953DC9">
        <w:rPr>
          <w:rFonts w:ascii="Bookman Old Style" w:hAnsi="Bookman Old Style"/>
          <w:lang w:val="sv-FI"/>
        </w:rPr>
        <w:t xml:space="preserve"> </w:t>
      </w:r>
      <w:r w:rsidRPr="00953DC9">
        <w:rPr>
          <w:rFonts w:ascii="Bookman Old Style" w:hAnsi="Bookman Old Style"/>
          <w:lang w:val="sv-FI"/>
        </w:rPr>
        <w:t>dimaksud</w:t>
      </w:r>
      <w:r w:rsidR="00A954D0" w:rsidRPr="00953DC9">
        <w:rPr>
          <w:rFonts w:ascii="Bookman Old Style" w:hAnsi="Bookman Old Style"/>
          <w:lang w:val="sv-FI"/>
        </w:rPr>
        <w:t xml:space="preserve"> </w:t>
      </w:r>
      <w:r w:rsidRPr="00953DC9">
        <w:rPr>
          <w:rFonts w:ascii="Bookman Old Style" w:hAnsi="Bookman Old Style"/>
          <w:lang w:val="sv-FI"/>
        </w:rPr>
        <w:t>dan</w:t>
      </w:r>
      <w:r w:rsidR="00A954D0" w:rsidRPr="00953DC9">
        <w:rPr>
          <w:rFonts w:ascii="Bookman Old Style" w:hAnsi="Bookman Old Style"/>
          <w:lang w:val="sv-FI"/>
        </w:rPr>
        <w:t xml:space="preserve"> </w:t>
      </w:r>
      <w:r w:rsidRPr="00953DC9">
        <w:rPr>
          <w:rFonts w:ascii="Bookman Old Style" w:hAnsi="Bookman Old Style"/>
          <w:lang w:val="sv-FI"/>
        </w:rPr>
        <w:t>berpedoman</w:t>
      </w:r>
      <w:r w:rsidR="00A954D0" w:rsidRPr="00953DC9">
        <w:rPr>
          <w:rFonts w:ascii="Bookman Old Style" w:hAnsi="Bookman Old Style"/>
          <w:lang w:val="sv-FI"/>
        </w:rPr>
        <w:t xml:space="preserve"> </w:t>
      </w:r>
      <w:r w:rsidRPr="00953DC9">
        <w:rPr>
          <w:rFonts w:ascii="Bookman Old Style" w:hAnsi="Bookman Old Style"/>
          <w:lang w:val="sv-FI"/>
        </w:rPr>
        <w:t>pada</w:t>
      </w:r>
      <w:r w:rsidR="00A954D0" w:rsidRPr="00953DC9">
        <w:rPr>
          <w:rFonts w:ascii="Bookman Old Style" w:hAnsi="Bookman Old Style"/>
          <w:lang w:val="sv-FI"/>
        </w:rPr>
        <w:t xml:space="preserve"> </w:t>
      </w:r>
      <w:r w:rsidRPr="00953DC9">
        <w:rPr>
          <w:rFonts w:ascii="Bookman Old Style" w:hAnsi="Bookman Old Style"/>
          <w:lang w:val="sv-FI"/>
        </w:rPr>
        <w:t>Pasal</w:t>
      </w:r>
      <w:r w:rsidR="00A954D0" w:rsidRPr="00953DC9">
        <w:rPr>
          <w:rFonts w:ascii="Bookman Old Style" w:hAnsi="Bookman Old Style"/>
          <w:lang w:val="sv-FI"/>
        </w:rPr>
        <w:t xml:space="preserve"> </w:t>
      </w:r>
      <w:r w:rsidRPr="00953DC9">
        <w:rPr>
          <w:rFonts w:ascii="Bookman Old Style" w:hAnsi="Bookman Old Style"/>
          <w:lang w:val="sv-FI"/>
        </w:rPr>
        <w:t>187</w:t>
      </w:r>
      <w:r w:rsidR="00A954D0" w:rsidRPr="00953DC9">
        <w:rPr>
          <w:rFonts w:ascii="Bookman Old Style" w:hAnsi="Bookman Old Style"/>
          <w:lang w:val="sv-FI"/>
        </w:rPr>
        <w:t xml:space="preserve"> </w:t>
      </w:r>
      <w:r w:rsidRPr="00953DC9">
        <w:rPr>
          <w:rFonts w:ascii="Bookman Old Style" w:hAnsi="Bookman Old Style"/>
          <w:lang w:val="sv-FI"/>
        </w:rPr>
        <w:t>huruf</w:t>
      </w:r>
      <w:r w:rsidR="00A954D0" w:rsidRPr="00953DC9">
        <w:rPr>
          <w:rFonts w:ascii="Bookman Old Style" w:hAnsi="Bookman Old Style"/>
          <w:lang w:val="sv-FI"/>
        </w:rPr>
        <w:t xml:space="preserve"> </w:t>
      </w:r>
      <w:r w:rsidRPr="00953DC9">
        <w:rPr>
          <w:rFonts w:ascii="Bookman Old Style" w:hAnsi="Bookman Old Style"/>
          <w:lang w:val="sv-FI"/>
        </w:rPr>
        <w:t>b</w:t>
      </w:r>
      <w:r w:rsidR="00A954D0" w:rsidRPr="00953DC9">
        <w:rPr>
          <w:rFonts w:ascii="Bookman Old Style" w:hAnsi="Bookman Old Style"/>
          <w:lang w:val="sv-FI"/>
        </w:rPr>
        <w:t xml:space="preserve"> </w:t>
      </w:r>
      <w:r w:rsidRPr="00953DC9">
        <w:rPr>
          <w:rFonts w:ascii="Bookman Old Style" w:hAnsi="Bookman Old Style"/>
          <w:lang w:val="sv-FI"/>
        </w:rPr>
        <w:t>Undang-Undang</w:t>
      </w:r>
      <w:r w:rsidR="00A954D0" w:rsidRPr="00953DC9">
        <w:rPr>
          <w:rFonts w:ascii="Bookman Old Style" w:hAnsi="Bookman Old Style"/>
          <w:lang w:val="sv-FI"/>
        </w:rPr>
        <w:t xml:space="preserve"> </w:t>
      </w:r>
      <w:r w:rsidRPr="00953DC9">
        <w:rPr>
          <w:rFonts w:ascii="Bookman Old Style" w:hAnsi="Bookman Old Style"/>
          <w:lang w:val="sv-FI"/>
        </w:rPr>
        <w:t>Nomor</w:t>
      </w:r>
      <w:r w:rsidR="00A954D0" w:rsidRPr="00953DC9">
        <w:rPr>
          <w:rFonts w:ascii="Bookman Old Style" w:hAnsi="Bookman Old Style"/>
          <w:lang w:val="sv-FI"/>
        </w:rPr>
        <w:t xml:space="preserve"> </w:t>
      </w:r>
      <w:r w:rsidRPr="00953DC9">
        <w:rPr>
          <w:rFonts w:ascii="Bookman Old Style" w:hAnsi="Bookman Old Style"/>
          <w:lang w:val="sv-FI"/>
        </w:rPr>
        <w:t>1</w:t>
      </w:r>
      <w:r w:rsidR="00A954D0" w:rsidRPr="00953DC9">
        <w:rPr>
          <w:rFonts w:ascii="Bookman Old Style" w:hAnsi="Bookman Old Style"/>
          <w:lang w:val="sv-FI"/>
        </w:rPr>
        <w:t xml:space="preserve"> </w:t>
      </w:r>
      <w:r w:rsidRPr="00953DC9">
        <w:rPr>
          <w:rFonts w:ascii="Bookman Old Style" w:hAnsi="Bookman Old Style"/>
          <w:lang w:val="sv-FI"/>
        </w:rPr>
        <w:t>Tahun</w:t>
      </w:r>
      <w:r w:rsidR="00A954D0" w:rsidRPr="00953DC9">
        <w:rPr>
          <w:rFonts w:ascii="Bookman Old Style" w:hAnsi="Bookman Old Style"/>
          <w:lang w:val="sv-FI"/>
        </w:rPr>
        <w:t xml:space="preserve"> </w:t>
      </w:r>
      <w:r w:rsidRPr="00953DC9">
        <w:rPr>
          <w:rFonts w:ascii="Bookman Old Style" w:hAnsi="Bookman Old Style"/>
          <w:lang w:val="sv-FI"/>
        </w:rPr>
        <w:t>2022.</w:t>
      </w:r>
    </w:p>
    <w:p w14:paraId="5CE10E2E" w14:textId="7107EC0C" w:rsidR="003374DF" w:rsidRPr="00953DC9" w:rsidRDefault="003374DF" w:rsidP="00953DC9">
      <w:pPr>
        <w:numPr>
          <w:ilvl w:val="0"/>
          <w:numId w:val="156"/>
        </w:numPr>
        <w:spacing w:before="60" w:line="276" w:lineRule="auto"/>
        <w:ind w:left="993" w:hanging="426"/>
        <w:jc w:val="both"/>
        <w:rPr>
          <w:rFonts w:ascii="Bookman Old Style" w:hAnsi="Bookman Old Style"/>
          <w:lang w:val="sv-FI"/>
        </w:rPr>
      </w:pPr>
      <w:r w:rsidRPr="00953DC9">
        <w:rPr>
          <w:rFonts w:ascii="Bookman Old Style" w:hAnsi="Bookman Old Style"/>
          <w:lang w:val="sv-FI"/>
        </w:rPr>
        <w:t>Pemerintah</w:t>
      </w:r>
      <w:r w:rsidR="00A954D0" w:rsidRPr="00953DC9">
        <w:rPr>
          <w:rFonts w:ascii="Bookman Old Style" w:hAnsi="Bookman Old Style"/>
          <w:lang w:val="sv-FI"/>
        </w:rPr>
        <w:t xml:space="preserve"> </w:t>
      </w:r>
      <w:r w:rsidRPr="00953DC9">
        <w:rPr>
          <w:rFonts w:ascii="Bookman Old Style" w:hAnsi="Bookman Old Style"/>
          <w:lang w:val="sv-FI"/>
        </w:rPr>
        <w:t>Daerah</w:t>
      </w:r>
      <w:r w:rsidR="00A954D0" w:rsidRPr="00953DC9">
        <w:rPr>
          <w:rFonts w:ascii="Bookman Old Style" w:hAnsi="Bookman Old Style"/>
          <w:lang w:val="sv-FI"/>
        </w:rPr>
        <w:t xml:space="preserve"> </w:t>
      </w:r>
      <w:r w:rsidR="00046408" w:rsidRPr="00953DC9">
        <w:rPr>
          <w:rFonts w:ascii="Bookman Old Style" w:hAnsi="Bookman Old Style"/>
          <w:lang w:val="sv-FI"/>
        </w:rPr>
        <w:t>Kota</w:t>
      </w:r>
      <w:r w:rsidR="00A954D0" w:rsidRPr="00953DC9">
        <w:rPr>
          <w:rFonts w:ascii="Bookman Old Style" w:hAnsi="Bookman Old Style"/>
          <w:lang w:val="sv-FI"/>
        </w:rPr>
        <w:t xml:space="preserve"> </w:t>
      </w:r>
      <w:r w:rsidR="00770F22" w:rsidRPr="00953DC9">
        <w:rPr>
          <w:rFonts w:ascii="Bookman Old Style" w:hAnsi="Bookman Old Style"/>
          <w:lang w:val="sv-FI"/>
        </w:rPr>
        <w:t>Tangerang</w:t>
      </w:r>
      <w:r w:rsidR="00A954D0" w:rsidRPr="00953DC9">
        <w:rPr>
          <w:rFonts w:ascii="Bookman Old Style" w:hAnsi="Bookman Old Style"/>
          <w:lang w:val="sv-FI"/>
        </w:rPr>
        <w:t xml:space="preserve"> </w:t>
      </w:r>
      <w:r w:rsidRPr="00953DC9">
        <w:rPr>
          <w:rFonts w:ascii="Bookman Old Style" w:hAnsi="Bookman Old Style"/>
          <w:lang w:val="sv-FI"/>
        </w:rPr>
        <w:t>untuk</w:t>
      </w:r>
      <w:r w:rsidR="00A954D0" w:rsidRPr="00953DC9">
        <w:rPr>
          <w:rFonts w:ascii="Bookman Old Style" w:hAnsi="Bookman Old Style"/>
          <w:lang w:val="sv-FI"/>
        </w:rPr>
        <w:t xml:space="preserve"> </w:t>
      </w:r>
      <w:r w:rsidRPr="00953DC9">
        <w:rPr>
          <w:rFonts w:ascii="Bookman Old Style" w:hAnsi="Bookman Old Style"/>
          <w:lang w:val="sv-FI"/>
        </w:rPr>
        <w:t>memperhatikan</w:t>
      </w:r>
      <w:r w:rsidR="00A954D0" w:rsidRPr="00953DC9">
        <w:rPr>
          <w:rFonts w:ascii="Bookman Old Style" w:hAnsi="Bookman Old Style"/>
          <w:lang w:val="sv-FI"/>
        </w:rPr>
        <w:t xml:space="preserve"> </w:t>
      </w:r>
      <w:r w:rsidRPr="00953DC9">
        <w:rPr>
          <w:rFonts w:ascii="Bookman Old Style" w:hAnsi="Bookman Old Style"/>
          <w:lang w:val="sv-FI"/>
        </w:rPr>
        <w:t>realisasi</w:t>
      </w:r>
      <w:r w:rsidR="00A954D0" w:rsidRPr="00953DC9">
        <w:rPr>
          <w:rFonts w:ascii="Bookman Old Style" w:hAnsi="Bookman Old Style"/>
          <w:lang w:val="sv-FI"/>
        </w:rPr>
        <w:t xml:space="preserve"> </w:t>
      </w:r>
      <w:r w:rsidRPr="00953DC9">
        <w:rPr>
          <w:rFonts w:ascii="Bookman Old Style" w:hAnsi="Bookman Old Style"/>
          <w:lang w:val="sv-FI"/>
        </w:rPr>
        <w:t>program,</w:t>
      </w:r>
      <w:r w:rsidR="00A954D0" w:rsidRPr="00953DC9">
        <w:rPr>
          <w:rFonts w:ascii="Bookman Old Style" w:hAnsi="Bookman Old Style"/>
          <w:lang w:val="sv-FI"/>
        </w:rPr>
        <w:t xml:space="preserve"> </w:t>
      </w:r>
      <w:r w:rsidRPr="00953DC9">
        <w:rPr>
          <w:rFonts w:ascii="Bookman Old Style" w:hAnsi="Bookman Old Style"/>
          <w:lang w:val="sv-FI"/>
        </w:rPr>
        <w:t>kegiatan,</w:t>
      </w:r>
      <w:r w:rsidR="00A954D0" w:rsidRPr="00953DC9">
        <w:rPr>
          <w:rFonts w:ascii="Bookman Old Style" w:hAnsi="Bookman Old Style"/>
          <w:lang w:val="sv-FI"/>
        </w:rPr>
        <w:t xml:space="preserve"> </w:t>
      </w:r>
      <w:r w:rsidRPr="00953DC9">
        <w:rPr>
          <w:rFonts w:ascii="Bookman Old Style" w:hAnsi="Bookman Old Style"/>
          <w:lang w:val="sv-FI"/>
        </w:rPr>
        <w:t>dan</w:t>
      </w:r>
      <w:r w:rsidR="00A954D0" w:rsidRPr="00953DC9">
        <w:rPr>
          <w:rFonts w:ascii="Bookman Old Style" w:hAnsi="Bookman Old Style"/>
          <w:lang w:val="sv-FI"/>
        </w:rPr>
        <w:t xml:space="preserve"> </w:t>
      </w:r>
      <w:r w:rsidRPr="00953DC9">
        <w:rPr>
          <w:rFonts w:ascii="Bookman Old Style" w:hAnsi="Bookman Old Style"/>
          <w:lang w:val="sv-FI"/>
        </w:rPr>
        <w:t>sub</w:t>
      </w:r>
      <w:r w:rsidR="00A954D0" w:rsidRPr="00953DC9">
        <w:rPr>
          <w:rFonts w:ascii="Bookman Old Style" w:hAnsi="Bookman Old Style"/>
          <w:lang w:val="sv-FI"/>
        </w:rPr>
        <w:t xml:space="preserve"> </w:t>
      </w:r>
      <w:r w:rsidRPr="00953DC9">
        <w:rPr>
          <w:rFonts w:ascii="Bookman Old Style" w:hAnsi="Bookman Old Style"/>
          <w:lang w:val="sv-FI"/>
        </w:rPr>
        <w:t>kegiatan</w:t>
      </w:r>
      <w:r w:rsidR="00A954D0" w:rsidRPr="00953DC9">
        <w:rPr>
          <w:rFonts w:ascii="Bookman Old Style" w:hAnsi="Bookman Old Style"/>
          <w:lang w:val="sv-FI"/>
        </w:rPr>
        <w:t xml:space="preserve"> </w:t>
      </w:r>
      <w:r w:rsidRPr="00953DC9">
        <w:rPr>
          <w:rFonts w:ascii="Bookman Old Style" w:hAnsi="Bookman Old Style"/>
          <w:lang w:val="sv-FI"/>
        </w:rPr>
        <w:t>dalam</w:t>
      </w:r>
      <w:r w:rsidR="00A954D0" w:rsidRPr="00953DC9">
        <w:rPr>
          <w:rFonts w:ascii="Bookman Old Style" w:hAnsi="Bookman Old Style"/>
          <w:lang w:val="sv-FI"/>
        </w:rPr>
        <w:t xml:space="preserve"> </w:t>
      </w:r>
      <w:r w:rsidRPr="00953DC9">
        <w:rPr>
          <w:rFonts w:ascii="Bookman Old Style" w:hAnsi="Bookman Old Style"/>
          <w:lang w:val="sv-FI"/>
        </w:rPr>
        <w:t>APBD</w:t>
      </w:r>
      <w:r w:rsidR="00A954D0" w:rsidRPr="00953DC9">
        <w:rPr>
          <w:rFonts w:ascii="Bookman Old Style" w:hAnsi="Bookman Old Style"/>
          <w:lang w:val="sv-FI"/>
        </w:rPr>
        <w:t xml:space="preserve"> </w:t>
      </w:r>
      <w:r w:rsidRPr="00953DC9">
        <w:rPr>
          <w:rFonts w:ascii="Bookman Old Style" w:hAnsi="Bookman Old Style"/>
          <w:lang w:val="sv-FI"/>
        </w:rPr>
        <w:t>Tahun</w:t>
      </w:r>
      <w:r w:rsidR="00A954D0" w:rsidRPr="00953DC9">
        <w:rPr>
          <w:rFonts w:ascii="Bookman Old Style" w:hAnsi="Bookman Old Style"/>
          <w:lang w:val="sv-FI"/>
        </w:rPr>
        <w:t xml:space="preserve"> </w:t>
      </w:r>
      <w:r w:rsidRPr="00953DC9">
        <w:rPr>
          <w:rFonts w:ascii="Bookman Old Style" w:hAnsi="Bookman Old Style"/>
          <w:lang w:val="sv-FI"/>
        </w:rPr>
        <w:t>Anggaran</w:t>
      </w:r>
      <w:r w:rsidR="00A954D0" w:rsidRPr="00953DC9">
        <w:rPr>
          <w:rFonts w:ascii="Bookman Old Style" w:hAnsi="Bookman Old Style"/>
          <w:lang w:val="sv-FI"/>
        </w:rPr>
        <w:t xml:space="preserve"> </w:t>
      </w:r>
      <w:r w:rsidRPr="00953DC9">
        <w:rPr>
          <w:rFonts w:ascii="Bookman Old Style" w:hAnsi="Bookman Old Style"/>
          <w:lang w:val="sv-FI"/>
        </w:rPr>
        <w:t>2024,</w:t>
      </w:r>
      <w:r w:rsidR="00A954D0" w:rsidRPr="00953DC9">
        <w:rPr>
          <w:rFonts w:ascii="Bookman Old Style" w:hAnsi="Bookman Old Style"/>
          <w:lang w:val="sv-FI"/>
        </w:rPr>
        <w:t xml:space="preserve"> </w:t>
      </w:r>
      <w:r w:rsidRPr="00953DC9">
        <w:rPr>
          <w:rFonts w:ascii="Bookman Old Style" w:hAnsi="Bookman Old Style"/>
          <w:lang w:val="sv-FI"/>
        </w:rPr>
        <w:t>guna</w:t>
      </w:r>
      <w:r w:rsidR="00A954D0" w:rsidRPr="00953DC9">
        <w:rPr>
          <w:rFonts w:ascii="Bookman Old Style" w:hAnsi="Bookman Old Style"/>
          <w:lang w:val="sv-FI"/>
        </w:rPr>
        <w:t xml:space="preserve"> </w:t>
      </w:r>
      <w:r w:rsidRPr="00953DC9">
        <w:rPr>
          <w:rFonts w:ascii="Bookman Old Style" w:hAnsi="Bookman Old Style"/>
          <w:lang w:val="sv-FI"/>
        </w:rPr>
        <w:t>menghindari</w:t>
      </w:r>
      <w:r w:rsidR="00A954D0" w:rsidRPr="00953DC9">
        <w:rPr>
          <w:rFonts w:ascii="Bookman Old Style" w:hAnsi="Bookman Old Style"/>
          <w:lang w:val="sv-FI"/>
        </w:rPr>
        <w:t xml:space="preserve"> </w:t>
      </w:r>
      <w:r w:rsidRPr="00953DC9">
        <w:rPr>
          <w:rFonts w:ascii="Bookman Old Style" w:hAnsi="Bookman Old Style"/>
          <w:lang w:val="sv-FI"/>
        </w:rPr>
        <w:t>kemungkinan</w:t>
      </w:r>
      <w:r w:rsidR="00A954D0" w:rsidRPr="00953DC9">
        <w:rPr>
          <w:rFonts w:ascii="Bookman Old Style" w:hAnsi="Bookman Old Style"/>
          <w:lang w:val="sv-FI"/>
        </w:rPr>
        <w:t xml:space="preserve"> </w:t>
      </w:r>
      <w:r w:rsidRPr="00953DC9">
        <w:rPr>
          <w:rFonts w:ascii="Bookman Old Style" w:hAnsi="Bookman Old Style"/>
          <w:lang w:val="sv-FI"/>
        </w:rPr>
        <w:t>adanya</w:t>
      </w:r>
      <w:r w:rsidR="00A954D0" w:rsidRPr="00953DC9">
        <w:rPr>
          <w:rFonts w:ascii="Bookman Old Style" w:hAnsi="Bookman Old Style"/>
          <w:lang w:val="sv-FI"/>
        </w:rPr>
        <w:t xml:space="preserve"> </w:t>
      </w:r>
      <w:r w:rsidRPr="00953DC9">
        <w:rPr>
          <w:rFonts w:ascii="Bookman Old Style" w:hAnsi="Bookman Old Style"/>
          <w:lang w:val="sv-FI"/>
        </w:rPr>
        <w:t>pengeluaran</w:t>
      </w:r>
      <w:r w:rsidR="00A954D0" w:rsidRPr="00953DC9">
        <w:rPr>
          <w:rFonts w:ascii="Bookman Old Style" w:hAnsi="Bookman Old Style"/>
          <w:lang w:val="sv-FI"/>
        </w:rPr>
        <w:t xml:space="preserve"> </w:t>
      </w:r>
      <w:r w:rsidRPr="00953DC9">
        <w:rPr>
          <w:rFonts w:ascii="Bookman Old Style" w:hAnsi="Bookman Old Style"/>
          <w:lang w:val="sv-FI"/>
        </w:rPr>
        <w:t>yang</w:t>
      </w:r>
      <w:r w:rsidR="00A954D0" w:rsidRPr="00953DC9">
        <w:rPr>
          <w:rFonts w:ascii="Bookman Old Style" w:hAnsi="Bookman Old Style"/>
          <w:lang w:val="sv-FI"/>
        </w:rPr>
        <w:t xml:space="preserve"> </w:t>
      </w:r>
      <w:r w:rsidRPr="00953DC9">
        <w:rPr>
          <w:rFonts w:ascii="Bookman Old Style" w:hAnsi="Bookman Old Style"/>
          <w:lang w:val="sv-FI"/>
        </w:rPr>
        <w:t>tidak</w:t>
      </w:r>
      <w:r w:rsidR="00A954D0" w:rsidRPr="00953DC9">
        <w:rPr>
          <w:rFonts w:ascii="Bookman Old Style" w:hAnsi="Bookman Old Style"/>
          <w:lang w:val="sv-FI"/>
        </w:rPr>
        <w:t xml:space="preserve"> </w:t>
      </w:r>
      <w:r w:rsidRPr="00953DC9">
        <w:rPr>
          <w:rFonts w:ascii="Bookman Old Style" w:hAnsi="Bookman Old Style"/>
          <w:lang w:val="sv-FI"/>
        </w:rPr>
        <w:t>dapat</w:t>
      </w:r>
      <w:r w:rsidR="00A954D0" w:rsidRPr="00953DC9">
        <w:rPr>
          <w:rFonts w:ascii="Bookman Old Style" w:hAnsi="Bookman Old Style"/>
          <w:lang w:val="sv-FI"/>
        </w:rPr>
        <w:t xml:space="preserve"> </w:t>
      </w:r>
      <w:r w:rsidRPr="00953DC9">
        <w:rPr>
          <w:rFonts w:ascii="Bookman Old Style" w:hAnsi="Bookman Old Style"/>
          <w:lang w:val="sv-FI"/>
        </w:rPr>
        <w:t>dibayarkan</w:t>
      </w:r>
      <w:r w:rsidR="00A954D0" w:rsidRPr="00953DC9">
        <w:rPr>
          <w:rFonts w:ascii="Bookman Old Style" w:hAnsi="Bookman Old Style"/>
          <w:lang w:val="sv-FI"/>
        </w:rPr>
        <w:t xml:space="preserve"> </w:t>
      </w:r>
      <w:r w:rsidRPr="00953DC9">
        <w:rPr>
          <w:rFonts w:ascii="Bookman Old Style" w:hAnsi="Bookman Old Style"/>
          <w:lang w:val="sv-FI"/>
        </w:rPr>
        <w:t>(defisit</w:t>
      </w:r>
      <w:r w:rsidR="00A954D0" w:rsidRPr="00953DC9">
        <w:rPr>
          <w:rFonts w:ascii="Bookman Old Style" w:hAnsi="Bookman Old Style"/>
          <w:lang w:val="sv-FI"/>
        </w:rPr>
        <w:t xml:space="preserve"> </w:t>
      </w:r>
      <w:r w:rsidRPr="00953DC9">
        <w:rPr>
          <w:rFonts w:ascii="Bookman Old Style" w:hAnsi="Bookman Old Style"/>
          <w:lang w:val="sv-FI"/>
        </w:rPr>
        <w:t>anggaran)</w:t>
      </w:r>
      <w:r w:rsidR="00A954D0" w:rsidRPr="00953DC9">
        <w:rPr>
          <w:rFonts w:ascii="Bookman Old Style" w:hAnsi="Bookman Old Style"/>
          <w:lang w:val="sv-FI"/>
        </w:rPr>
        <w:t xml:space="preserve"> </w:t>
      </w:r>
      <w:r w:rsidRPr="00953DC9">
        <w:rPr>
          <w:rFonts w:ascii="Bookman Old Style" w:hAnsi="Bookman Old Style"/>
          <w:lang w:val="sv-FI"/>
        </w:rPr>
        <w:t>di</w:t>
      </w:r>
      <w:r w:rsidR="00A954D0" w:rsidRPr="00953DC9">
        <w:rPr>
          <w:rFonts w:ascii="Bookman Old Style" w:hAnsi="Bookman Old Style"/>
          <w:lang w:val="sv-FI"/>
        </w:rPr>
        <w:t xml:space="preserve"> </w:t>
      </w:r>
      <w:r w:rsidRPr="00953DC9">
        <w:rPr>
          <w:rFonts w:ascii="Bookman Old Style" w:hAnsi="Bookman Old Style"/>
          <w:lang w:val="sv-FI"/>
        </w:rPr>
        <w:t>Tahun</w:t>
      </w:r>
      <w:r w:rsidR="00A954D0" w:rsidRPr="00953DC9">
        <w:rPr>
          <w:rFonts w:ascii="Bookman Old Style" w:hAnsi="Bookman Old Style"/>
          <w:lang w:val="sv-FI"/>
        </w:rPr>
        <w:t xml:space="preserve"> </w:t>
      </w:r>
      <w:r w:rsidRPr="00953DC9">
        <w:rPr>
          <w:rFonts w:ascii="Bookman Old Style" w:hAnsi="Bookman Old Style"/>
          <w:lang w:val="sv-FI"/>
        </w:rPr>
        <w:t>Anggaran</w:t>
      </w:r>
      <w:r w:rsidR="00A954D0" w:rsidRPr="00953DC9">
        <w:rPr>
          <w:rFonts w:ascii="Bookman Old Style" w:hAnsi="Bookman Old Style"/>
          <w:lang w:val="sv-FI"/>
        </w:rPr>
        <w:t xml:space="preserve"> </w:t>
      </w:r>
      <w:r w:rsidRPr="00953DC9">
        <w:rPr>
          <w:rFonts w:ascii="Bookman Old Style" w:hAnsi="Bookman Old Style"/>
          <w:lang w:val="sv-FI"/>
        </w:rPr>
        <w:t>2025,</w:t>
      </w:r>
      <w:r w:rsidR="00A954D0" w:rsidRPr="00953DC9">
        <w:rPr>
          <w:rFonts w:ascii="Bookman Old Style" w:hAnsi="Bookman Old Style"/>
          <w:lang w:val="sv-FI"/>
        </w:rPr>
        <w:t xml:space="preserve"> </w:t>
      </w:r>
      <w:r w:rsidRPr="00953DC9">
        <w:rPr>
          <w:rFonts w:ascii="Bookman Old Style" w:hAnsi="Bookman Old Style"/>
          <w:lang w:val="sv-FI"/>
        </w:rPr>
        <w:t>yang</w:t>
      </w:r>
      <w:r w:rsidR="00A954D0" w:rsidRPr="00953DC9">
        <w:rPr>
          <w:rFonts w:ascii="Bookman Old Style" w:hAnsi="Bookman Old Style"/>
          <w:lang w:val="sv-FI"/>
        </w:rPr>
        <w:t xml:space="preserve"> </w:t>
      </w:r>
      <w:r w:rsidRPr="00953DC9">
        <w:rPr>
          <w:rFonts w:ascii="Bookman Old Style" w:hAnsi="Bookman Old Style"/>
          <w:lang w:val="sv-FI"/>
        </w:rPr>
        <w:t>memiliki</w:t>
      </w:r>
      <w:r w:rsidR="00A954D0" w:rsidRPr="00953DC9">
        <w:rPr>
          <w:rFonts w:ascii="Bookman Old Style" w:hAnsi="Bookman Old Style"/>
          <w:lang w:val="sv-FI"/>
        </w:rPr>
        <w:t xml:space="preserve"> </w:t>
      </w:r>
      <w:r w:rsidRPr="00953DC9">
        <w:rPr>
          <w:rFonts w:ascii="Bookman Old Style" w:hAnsi="Bookman Old Style"/>
          <w:lang w:val="sv-FI"/>
        </w:rPr>
        <w:t>potensi</w:t>
      </w:r>
      <w:r w:rsidR="00A954D0" w:rsidRPr="00953DC9">
        <w:rPr>
          <w:rFonts w:ascii="Bookman Old Style" w:hAnsi="Bookman Old Style"/>
          <w:lang w:val="sv-FI"/>
        </w:rPr>
        <w:t xml:space="preserve"> </w:t>
      </w:r>
      <w:r w:rsidRPr="00953DC9">
        <w:rPr>
          <w:rFonts w:ascii="Bookman Old Style" w:hAnsi="Bookman Old Style"/>
          <w:lang w:val="sv-FI"/>
        </w:rPr>
        <w:t>menjadi</w:t>
      </w:r>
      <w:r w:rsidR="00A954D0" w:rsidRPr="00953DC9">
        <w:rPr>
          <w:rFonts w:ascii="Bookman Old Style" w:hAnsi="Bookman Old Style"/>
          <w:lang w:val="sv-FI"/>
        </w:rPr>
        <w:t xml:space="preserve"> </w:t>
      </w:r>
      <w:r w:rsidRPr="00953DC9">
        <w:rPr>
          <w:rFonts w:ascii="Bookman Old Style" w:hAnsi="Bookman Old Style"/>
          <w:lang w:val="sv-FI"/>
        </w:rPr>
        <w:t>kewajiban</w:t>
      </w:r>
      <w:r w:rsidR="00A954D0" w:rsidRPr="00953DC9">
        <w:rPr>
          <w:rFonts w:ascii="Bookman Old Style" w:hAnsi="Bookman Old Style"/>
          <w:lang w:val="sv-FI"/>
        </w:rPr>
        <w:t xml:space="preserve"> </w:t>
      </w:r>
      <w:r w:rsidRPr="00953DC9">
        <w:rPr>
          <w:rFonts w:ascii="Bookman Old Style" w:hAnsi="Bookman Old Style"/>
          <w:lang w:val="sv-FI"/>
        </w:rPr>
        <w:lastRenderedPageBreak/>
        <w:t>Pemerintah</w:t>
      </w:r>
      <w:r w:rsidR="00A954D0" w:rsidRPr="00953DC9">
        <w:rPr>
          <w:rFonts w:ascii="Bookman Old Style" w:hAnsi="Bookman Old Style"/>
          <w:lang w:val="sv-FI"/>
        </w:rPr>
        <w:t xml:space="preserve"> </w:t>
      </w:r>
      <w:r w:rsidRPr="00953DC9">
        <w:rPr>
          <w:rFonts w:ascii="Bookman Old Style" w:hAnsi="Bookman Old Style"/>
          <w:lang w:val="sv-FI"/>
        </w:rPr>
        <w:t>Daerah</w:t>
      </w:r>
      <w:r w:rsidR="00A954D0" w:rsidRPr="00953DC9">
        <w:rPr>
          <w:rFonts w:ascii="Bookman Old Style" w:hAnsi="Bookman Old Style"/>
          <w:lang w:val="sv-FI"/>
        </w:rPr>
        <w:t xml:space="preserve"> </w:t>
      </w:r>
      <w:r w:rsidR="00046408" w:rsidRPr="00953DC9">
        <w:rPr>
          <w:rFonts w:ascii="Bookman Old Style" w:hAnsi="Bookman Old Style"/>
          <w:lang w:val="sv-FI"/>
        </w:rPr>
        <w:t>Kota</w:t>
      </w:r>
      <w:r w:rsidR="00A954D0" w:rsidRPr="00953DC9">
        <w:rPr>
          <w:rFonts w:ascii="Bookman Old Style" w:hAnsi="Bookman Old Style"/>
          <w:lang w:val="sv-FI"/>
        </w:rPr>
        <w:t xml:space="preserve"> </w:t>
      </w:r>
      <w:r w:rsidR="00770F22" w:rsidRPr="00953DC9">
        <w:rPr>
          <w:rFonts w:ascii="Bookman Old Style" w:hAnsi="Bookman Old Style"/>
          <w:lang w:val="sv-FI"/>
        </w:rPr>
        <w:t>Tangerang</w:t>
      </w:r>
      <w:r w:rsidR="00A954D0" w:rsidRPr="00953DC9">
        <w:rPr>
          <w:rFonts w:ascii="Bookman Old Style" w:hAnsi="Bookman Old Style"/>
          <w:lang w:val="sv-FI"/>
        </w:rPr>
        <w:t xml:space="preserve"> </w:t>
      </w:r>
      <w:r w:rsidRPr="00953DC9">
        <w:rPr>
          <w:rFonts w:ascii="Bookman Old Style" w:hAnsi="Bookman Old Style"/>
          <w:lang w:val="sv-FI"/>
        </w:rPr>
        <w:t>untuk</w:t>
      </w:r>
      <w:r w:rsidR="00A954D0" w:rsidRPr="00953DC9">
        <w:rPr>
          <w:rFonts w:ascii="Bookman Old Style" w:hAnsi="Bookman Old Style"/>
          <w:lang w:val="sv-FI"/>
        </w:rPr>
        <w:t xml:space="preserve"> </w:t>
      </w:r>
      <w:r w:rsidRPr="00953DC9">
        <w:rPr>
          <w:rFonts w:ascii="Bookman Old Style" w:hAnsi="Bookman Old Style"/>
          <w:lang w:val="sv-FI"/>
        </w:rPr>
        <w:t>dibayarkan</w:t>
      </w:r>
      <w:r w:rsidR="00A954D0" w:rsidRPr="00953DC9">
        <w:rPr>
          <w:rFonts w:ascii="Bookman Old Style" w:hAnsi="Bookman Old Style"/>
          <w:lang w:val="sv-FI"/>
        </w:rPr>
        <w:t xml:space="preserve"> </w:t>
      </w:r>
      <w:r w:rsidRPr="00953DC9">
        <w:rPr>
          <w:rFonts w:ascii="Bookman Old Style" w:hAnsi="Bookman Old Style"/>
          <w:lang w:val="sv-FI"/>
        </w:rPr>
        <w:t>di</w:t>
      </w:r>
      <w:r w:rsidR="00A954D0" w:rsidRPr="00953DC9">
        <w:rPr>
          <w:rFonts w:ascii="Bookman Old Style" w:hAnsi="Bookman Old Style"/>
          <w:lang w:val="sv-FI"/>
        </w:rPr>
        <w:t xml:space="preserve"> </w:t>
      </w:r>
      <w:r w:rsidRPr="00953DC9">
        <w:rPr>
          <w:rFonts w:ascii="Bookman Old Style" w:hAnsi="Bookman Old Style"/>
          <w:lang w:val="sv-FI"/>
        </w:rPr>
        <w:t>Tahun</w:t>
      </w:r>
      <w:r w:rsidR="00A954D0" w:rsidRPr="00953DC9">
        <w:rPr>
          <w:rFonts w:ascii="Bookman Old Style" w:hAnsi="Bookman Old Style"/>
          <w:lang w:val="sv-FI"/>
        </w:rPr>
        <w:t xml:space="preserve"> </w:t>
      </w:r>
      <w:r w:rsidRPr="00953DC9">
        <w:rPr>
          <w:rFonts w:ascii="Bookman Old Style" w:hAnsi="Bookman Old Style"/>
          <w:lang w:val="sv-FI"/>
        </w:rPr>
        <w:t>Anggaran</w:t>
      </w:r>
      <w:r w:rsidR="00A954D0" w:rsidRPr="00953DC9">
        <w:rPr>
          <w:rFonts w:ascii="Bookman Old Style" w:hAnsi="Bookman Old Style"/>
          <w:lang w:val="sv-FI"/>
        </w:rPr>
        <w:t xml:space="preserve"> </w:t>
      </w:r>
      <w:r w:rsidRPr="00953DC9">
        <w:rPr>
          <w:rFonts w:ascii="Bookman Old Style" w:hAnsi="Bookman Old Style"/>
          <w:lang w:val="sv-FI"/>
        </w:rPr>
        <w:t>2025,</w:t>
      </w:r>
      <w:r w:rsidR="00A954D0" w:rsidRPr="00953DC9">
        <w:rPr>
          <w:rFonts w:ascii="Bookman Old Style" w:hAnsi="Bookman Old Style"/>
          <w:lang w:val="sv-FI"/>
        </w:rPr>
        <w:t xml:space="preserve"> </w:t>
      </w:r>
      <w:r w:rsidRPr="00953DC9">
        <w:rPr>
          <w:rFonts w:ascii="Bookman Old Style" w:hAnsi="Bookman Old Style"/>
          <w:lang w:val="sv-FI"/>
        </w:rPr>
        <w:t>serta</w:t>
      </w:r>
      <w:r w:rsidR="00A954D0" w:rsidRPr="00953DC9">
        <w:rPr>
          <w:rFonts w:ascii="Bookman Old Style" w:hAnsi="Bookman Old Style"/>
          <w:lang w:val="sv-FI"/>
        </w:rPr>
        <w:t xml:space="preserve"> </w:t>
      </w:r>
      <w:r w:rsidRPr="00953DC9">
        <w:rPr>
          <w:rFonts w:ascii="Bookman Old Style" w:hAnsi="Bookman Old Style"/>
          <w:lang w:val="sv-FI"/>
        </w:rPr>
        <w:t>memastikan</w:t>
      </w:r>
      <w:r w:rsidR="00A954D0" w:rsidRPr="00953DC9">
        <w:rPr>
          <w:rFonts w:ascii="Bookman Old Style" w:hAnsi="Bookman Old Style"/>
          <w:lang w:val="sv-FI"/>
        </w:rPr>
        <w:t xml:space="preserve"> </w:t>
      </w:r>
      <w:r w:rsidRPr="00953DC9">
        <w:rPr>
          <w:rFonts w:ascii="Bookman Old Style" w:hAnsi="Bookman Old Style"/>
          <w:lang w:val="sv-FI"/>
        </w:rPr>
        <w:t>kembali</w:t>
      </w:r>
      <w:r w:rsidR="00A954D0" w:rsidRPr="00953DC9">
        <w:rPr>
          <w:rFonts w:ascii="Bookman Old Style" w:hAnsi="Bookman Old Style"/>
          <w:lang w:val="sv-FI"/>
        </w:rPr>
        <w:t xml:space="preserve"> </w:t>
      </w:r>
      <w:r w:rsidRPr="00953DC9">
        <w:rPr>
          <w:rFonts w:ascii="Bookman Old Style" w:hAnsi="Bookman Old Style"/>
          <w:lang w:val="sv-FI"/>
        </w:rPr>
        <w:t>alokasi</w:t>
      </w:r>
      <w:r w:rsidR="00A954D0" w:rsidRPr="00953DC9">
        <w:rPr>
          <w:rFonts w:ascii="Bookman Old Style" w:hAnsi="Bookman Old Style"/>
          <w:lang w:val="sv-FI"/>
        </w:rPr>
        <w:t xml:space="preserve"> </w:t>
      </w:r>
      <w:r w:rsidRPr="00953DC9">
        <w:rPr>
          <w:rFonts w:ascii="Bookman Old Style" w:hAnsi="Bookman Old Style"/>
          <w:lang w:val="sv-FI"/>
        </w:rPr>
        <w:t>anggaran</w:t>
      </w:r>
      <w:r w:rsidR="00A954D0" w:rsidRPr="00953DC9">
        <w:rPr>
          <w:rFonts w:ascii="Bookman Old Style" w:hAnsi="Bookman Old Style"/>
          <w:lang w:val="sv-FI"/>
        </w:rPr>
        <w:t xml:space="preserve"> </w:t>
      </w:r>
      <w:r w:rsidRPr="00953DC9">
        <w:rPr>
          <w:rFonts w:ascii="Bookman Old Style" w:hAnsi="Bookman Old Style"/>
          <w:lang w:val="sv-FI"/>
        </w:rPr>
        <w:t>program,</w:t>
      </w:r>
      <w:r w:rsidR="00A954D0" w:rsidRPr="00953DC9">
        <w:rPr>
          <w:rFonts w:ascii="Bookman Old Style" w:hAnsi="Bookman Old Style"/>
          <w:lang w:val="sv-FI"/>
        </w:rPr>
        <w:t xml:space="preserve"> </w:t>
      </w:r>
      <w:r w:rsidRPr="00953DC9">
        <w:rPr>
          <w:rFonts w:ascii="Bookman Old Style" w:hAnsi="Bookman Old Style"/>
          <w:lang w:val="sv-FI"/>
        </w:rPr>
        <w:t>kegiatan,</w:t>
      </w:r>
      <w:r w:rsidR="00A954D0" w:rsidRPr="00953DC9">
        <w:rPr>
          <w:rFonts w:ascii="Bookman Old Style" w:hAnsi="Bookman Old Style"/>
          <w:lang w:val="sv-FI"/>
        </w:rPr>
        <w:t xml:space="preserve"> </w:t>
      </w:r>
      <w:r w:rsidRPr="00953DC9">
        <w:rPr>
          <w:rFonts w:ascii="Bookman Old Style" w:hAnsi="Bookman Old Style"/>
          <w:lang w:val="sv-FI"/>
        </w:rPr>
        <w:t>sub</w:t>
      </w:r>
      <w:r w:rsidR="00A954D0" w:rsidRPr="00953DC9">
        <w:rPr>
          <w:rFonts w:ascii="Bookman Old Style" w:hAnsi="Bookman Old Style"/>
          <w:lang w:val="sv-FI"/>
        </w:rPr>
        <w:t xml:space="preserve"> </w:t>
      </w:r>
      <w:r w:rsidRPr="00953DC9">
        <w:rPr>
          <w:rFonts w:ascii="Bookman Old Style" w:hAnsi="Bookman Old Style"/>
          <w:lang w:val="sv-FI"/>
        </w:rPr>
        <w:t>kegiatan</w:t>
      </w:r>
      <w:r w:rsidR="00A954D0" w:rsidRPr="00953DC9">
        <w:rPr>
          <w:rFonts w:ascii="Bookman Old Style" w:hAnsi="Bookman Old Style"/>
          <w:lang w:val="sv-FI"/>
        </w:rPr>
        <w:t xml:space="preserve"> </w:t>
      </w:r>
      <w:r w:rsidRPr="00953DC9">
        <w:rPr>
          <w:rFonts w:ascii="Bookman Old Style" w:hAnsi="Bookman Old Style"/>
          <w:lang w:val="sv-FI"/>
        </w:rPr>
        <w:t>tersedia</w:t>
      </w:r>
      <w:r w:rsidR="00A954D0" w:rsidRPr="00953DC9">
        <w:rPr>
          <w:rFonts w:ascii="Bookman Old Style" w:hAnsi="Bookman Old Style"/>
          <w:lang w:val="sv-FI"/>
        </w:rPr>
        <w:t xml:space="preserve"> </w:t>
      </w:r>
      <w:r w:rsidRPr="00953DC9">
        <w:rPr>
          <w:rFonts w:ascii="Bookman Old Style" w:hAnsi="Bookman Old Style"/>
          <w:lang w:val="sv-FI"/>
        </w:rPr>
        <w:t>atau</w:t>
      </w:r>
      <w:r w:rsidR="00A954D0" w:rsidRPr="00953DC9">
        <w:rPr>
          <w:rFonts w:ascii="Bookman Old Style" w:hAnsi="Bookman Old Style"/>
          <w:lang w:val="sv-FI"/>
        </w:rPr>
        <w:t xml:space="preserve"> </w:t>
      </w:r>
      <w:r w:rsidRPr="00953DC9">
        <w:rPr>
          <w:rFonts w:ascii="Bookman Old Style" w:hAnsi="Bookman Old Style"/>
          <w:lang w:val="sv-FI"/>
        </w:rPr>
        <w:t>cukup</w:t>
      </w:r>
      <w:r w:rsidR="00A954D0" w:rsidRPr="00953DC9">
        <w:rPr>
          <w:rFonts w:ascii="Bookman Old Style" w:hAnsi="Bookman Old Style"/>
          <w:lang w:val="sv-FI"/>
        </w:rPr>
        <w:t xml:space="preserve"> </w:t>
      </w:r>
      <w:r w:rsidRPr="00953DC9">
        <w:rPr>
          <w:rFonts w:ascii="Bookman Old Style" w:hAnsi="Bookman Old Style"/>
          <w:lang w:val="sv-FI"/>
        </w:rPr>
        <w:t>tersedia</w:t>
      </w:r>
      <w:r w:rsidR="00A954D0" w:rsidRPr="00953DC9">
        <w:rPr>
          <w:rFonts w:ascii="Bookman Old Style" w:hAnsi="Bookman Old Style"/>
          <w:lang w:val="sv-FI"/>
        </w:rPr>
        <w:t xml:space="preserve"> </w:t>
      </w:r>
      <w:r w:rsidRPr="00953DC9">
        <w:rPr>
          <w:rFonts w:ascii="Bookman Old Style" w:hAnsi="Bookman Old Style"/>
          <w:lang w:val="sv-FI"/>
        </w:rPr>
        <w:t>dalam</w:t>
      </w:r>
      <w:r w:rsidR="00A954D0" w:rsidRPr="00953DC9">
        <w:rPr>
          <w:rFonts w:ascii="Bookman Old Style" w:hAnsi="Bookman Old Style"/>
          <w:lang w:val="sv-FI"/>
        </w:rPr>
        <w:t xml:space="preserve"> </w:t>
      </w:r>
      <w:r w:rsidRPr="00953DC9">
        <w:rPr>
          <w:rFonts w:ascii="Bookman Old Style" w:hAnsi="Bookman Old Style"/>
          <w:lang w:val="sv-FI"/>
        </w:rPr>
        <w:t>Rancangan</w:t>
      </w:r>
      <w:r w:rsidR="00A954D0" w:rsidRPr="00953DC9">
        <w:rPr>
          <w:rFonts w:ascii="Bookman Old Style" w:hAnsi="Bookman Old Style"/>
          <w:lang w:val="sv-FI"/>
        </w:rPr>
        <w:t xml:space="preserve"> </w:t>
      </w:r>
      <w:r w:rsidRPr="00953DC9">
        <w:rPr>
          <w:rFonts w:ascii="Bookman Old Style" w:hAnsi="Bookman Old Style"/>
          <w:lang w:val="sv-FI"/>
        </w:rPr>
        <w:t>Peraturan</w:t>
      </w:r>
      <w:r w:rsidR="00A954D0" w:rsidRPr="00953DC9">
        <w:rPr>
          <w:rFonts w:ascii="Bookman Old Style" w:hAnsi="Bookman Old Style"/>
          <w:lang w:val="sv-FI"/>
        </w:rPr>
        <w:t xml:space="preserve"> </w:t>
      </w:r>
      <w:r w:rsidRPr="00953DC9">
        <w:rPr>
          <w:rFonts w:ascii="Bookman Old Style" w:hAnsi="Bookman Old Style"/>
          <w:lang w:val="sv-FI"/>
        </w:rPr>
        <w:t>Daerah</w:t>
      </w:r>
      <w:r w:rsidR="00A954D0" w:rsidRPr="00953DC9">
        <w:rPr>
          <w:rFonts w:ascii="Bookman Old Style" w:hAnsi="Bookman Old Style"/>
          <w:lang w:val="sv-FI"/>
        </w:rPr>
        <w:t xml:space="preserve"> </w:t>
      </w:r>
      <w:r w:rsidR="00B055C5" w:rsidRPr="00953DC9">
        <w:rPr>
          <w:rFonts w:ascii="Bookman Old Style" w:hAnsi="Bookman Old Style"/>
          <w:lang w:val="sv-FI"/>
        </w:rPr>
        <w:t>Kota</w:t>
      </w:r>
      <w:r w:rsidR="00A954D0" w:rsidRPr="00953DC9">
        <w:rPr>
          <w:rFonts w:ascii="Bookman Old Style" w:hAnsi="Bookman Old Style"/>
          <w:lang w:val="sv-FI"/>
        </w:rPr>
        <w:t xml:space="preserve"> </w:t>
      </w:r>
      <w:r w:rsidR="00770F22" w:rsidRPr="00953DC9">
        <w:rPr>
          <w:rFonts w:ascii="Bookman Old Style" w:hAnsi="Bookman Old Style"/>
          <w:lang w:val="sv-FI"/>
        </w:rPr>
        <w:t>Tangerang</w:t>
      </w:r>
      <w:r w:rsidR="00A954D0" w:rsidRPr="00953DC9">
        <w:rPr>
          <w:rFonts w:ascii="Bookman Old Style" w:hAnsi="Bookman Old Style"/>
          <w:lang w:val="sv-FI"/>
        </w:rPr>
        <w:t xml:space="preserve"> </w:t>
      </w:r>
      <w:r w:rsidR="00BE6ED9" w:rsidRPr="00953DC9">
        <w:rPr>
          <w:rFonts w:ascii="Bookman Old Style" w:hAnsi="Bookman Old Style"/>
          <w:lang w:val="sv-FI"/>
        </w:rPr>
        <w:t>tentang</w:t>
      </w:r>
      <w:r w:rsidR="00A954D0" w:rsidRPr="00953DC9">
        <w:rPr>
          <w:rFonts w:ascii="Bookman Old Style" w:hAnsi="Bookman Old Style"/>
          <w:lang w:val="sv-FI"/>
        </w:rPr>
        <w:t xml:space="preserve"> </w:t>
      </w:r>
      <w:r w:rsidR="00BE6ED9" w:rsidRPr="00953DC9">
        <w:rPr>
          <w:rFonts w:ascii="Bookman Old Style" w:hAnsi="Bookman Old Style"/>
          <w:lang w:val="sv-FI"/>
        </w:rPr>
        <w:t>APBD</w:t>
      </w:r>
      <w:r w:rsidR="00A954D0" w:rsidRPr="00953DC9">
        <w:rPr>
          <w:rFonts w:ascii="Bookman Old Style" w:hAnsi="Bookman Old Style"/>
          <w:lang w:val="sv-FI"/>
        </w:rPr>
        <w:t xml:space="preserve"> </w:t>
      </w:r>
      <w:r w:rsidRPr="00953DC9">
        <w:rPr>
          <w:rFonts w:ascii="Bookman Old Style" w:hAnsi="Bookman Old Style"/>
          <w:lang w:val="sv-FI"/>
        </w:rPr>
        <w:t>Tahun</w:t>
      </w:r>
      <w:r w:rsidR="00A954D0" w:rsidRPr="00953DC9">
        <w:rPr>
          <w:rFonts w:ascii="Bookman Old Style" w:hAnsi="Bookman Old Style"/>
          <w:lang w:val="sv-FI"/>
        </w:rPr>
        <w:t xml:space="preserve"> </w:t>
      </w:r>
      <w:r w:rsidRPr="00953DC9">
        <w:rPr>
          <w:rFonts w:ascii="Bookman Old Style" w:hAnsi="Bookman Old Style"/>
          <w:lang w:val="sv-FI"/>
        </w:rPr>
        <w:t>Anggaran</w:t>
      </w:r>
      <w:r w:rsidR="00A954D0" w:rsidRPr="00953DC9">
        <w:rPr>
          <w:rFonts w:ascii="Bookman Old Style" w:hAnsi="Bookman Old Style"/>
          <w:lang w:val="sv-FI"/>
        </w:rPr>
        <w:t xml:space="preserve"> </w:t>
      </w:r>
      <w:r w:rsidRPr="00953DC9">
        <w:rPr>
          <w:rFonts w:ascii="Bookman Old Style" w:hAnsi="Bookman Old Style"/>
          <w:lang w:val="sv-FI"/>
        </w:rPr>
        <w:t>2025.</w:t>
      </w:r>
    </w:p>
    <w:p w14:paraId="40E9DBD1" w14:textId="21F5CA93" w:rsidR="003374DF" w:rsidRPr="00BF3751" w:rsidRDefault="003374DF" w:rsidP="00953DC9">
      <w:pPr>
        <w:numPr>
          <w:ilvl w:val="0"/>
          <w:numId w:val="156"/>
        </w:numPr>
        <w:spacing w:before="60" w:line="276" w:lineRule="auto"/>
        <w:ind w:left="993" w:hanging="426"/>
        <w:jc w:val="both"/>
        <w:rPr>
          <w:rFonts w:ascii="Bookman Old Style" w:hAnsi="Bookman Old Style" w:cs="Arial"/>
          <w:lang w:val="id-ID"/>
        </w:rPr>
      </w:pPr>
      <w:r w:rsidRPr="00953DC9">
        <w:rPr>
          <w:rFonts w:ascii="Bookman Old Style" w:hAnsi="Bookman Old Style"/>
          <w:lang w:val="sv-FI"/>
        </w:rPr>
        <w:t>Setiap</w:t>
      </w:r>
      <w:r w:rsidR="00A954D0" w:rsidRPr="00953DC9">
        <w:rPr>
          <w:rFonts w:ascii="Bookman Old Style" w:hAnsi="Bookman Old Style"/>
          <w:lang w:val="sv-FI"/>
        </w:rPr>
        <w:t xml:space="preserve"> </w:t>
      </w:r>
      <w:r w:rsidRPr="00953DC9">
        <w:rPr>
          <w:rFonts w:ascii="Bookman Old Style" w:hAnsi="Bookman Old Style"/>
          <w:lang w:val="sv-FI"/>
        </w:rPr>
        <w:t>pejabat</w:t>
      </w:r>
      <w:r w:rsidR="00A954D0" w:rsidRPr="00953DC9">
        <w:rPr>
          <w:rFonts w:ascii="Bookman Old Style" w:hAnsi="Bookman Old Style"/>
          <w:lang w:val="sv-FI"/>
        </w:rPr>
        <w:t xml:space="preserve"> </w:t>
      </w:r>
      <w:r w:rsidRPr="00953DC9">
        <w:rPr>
          <w:rFonts w:ascii="Bookman Old Style" w:hAnsi="Bookman Old Style"/>
          <w:lang w:val="sv-FI"/>
        </w:rPr>
        <w:t>dilarang</w:t>
      </w:r>
      <w:r w:rsidR="00A954D0" w:rsidRPr="00953DC9">
        <w:rPr>
          <w:rFonts w:ascii="Bookman Old Style" w:hAnsi="Bookman Old Style"/>
          <w:lang w:val="sv-FI"/>
        </w:rPr>
        <w:t xml:space="preserve"> </w:t>
      </w:r>
      <w:r w:rsidRPr="00953DC9">
        <w:rPr>
          <w:rFonts w:ascii="Bookman Old Style" w:hAnsi="Bookman Old Style"/>
          <w:lang w:val="sv-FI"/>
        </w:rPr>
        <w:t>melakukan</w:t>
      </w:r>
      <w:r w:rsidR="00A954D0" w:rsidRPr="00953DC9">
        <w:rPr>
          <w:rFonts w:ascii="Bookman Old Style" w:hAnsi="Bookman Old Style"/>
          <w:lang w:val="sv-FI"/>
        </w:rPr>
        <w:t xml:space="preserve"> </w:t>
      </w:r>
      <w:r w:rsidRPr="00953DC9">
        <w:rPr>
          <w:rFonts w:ascii="Bookman Old Style" w:hAnsi="Bookman Old Style"/>
          <w:lang w:val="sv-FI"/>
        </w:rPr>
        <w:t>tindakan</w:t>
      </w:r>
      <w:r w:rsidR="00A954D0" w:rsidRPr="00953DC9">
        <w:rPr>
          <w:rFonts w:ascii="Bookman Old Style" w:hAnsi="Bookman Old Style"/>
          <w:lang w:val="sv-FI"/>
        </w:rPr>
        <w:t xml:space="preserve"> </w:t>
      </w:r>
      <w:r w:rsidRPr="00953DC9">
        <w:rPr>
          <w:rFonts w:ascii="Bookman Old Style" w:hAnsi="Bookman Old Style"/>
          <w:lang w:val="sv-FI"/>
        </w:rPr>
        <w:t>yang</w:t>
      </w:r>
      <w:r w:rsidR="00A954D0" w:rsidRPr="00953DC9">
        <w:rPr>
          <w:rFonts w:ascii="Bookman Old Style" w:hAnsi="Bookman Old Style"/>
          <w:lang w:val="sv-FI"/>
        </w:rPr>
        <w:t xml:space="preserve"> </w:t>
      </w:r>
      <w:r w:rsidRPr="00953DC9">
        <w:rPr>
          <w:rFonts w:ascii="Bookman Old Style" w:hAnsi="Bookman Old Style"/>
          <w:lang w:val="sv-FI"/>
        </w:rPr>
        <w:t>berakibat</w:t>
      </w:r>
      <w:r w:rsidR="00A954D0" w:rsidRPr="00953DC9">
        <w:rPr>
          <w:rFonts w:ascii="Bookman Old Style" w:hAnsi="Bookman Old Style"/>
          <w:lang w:val="sv-FI"/>
        </w:rPr>
        <w:t xml:space="preserve"> </w:t>
      </w:r>
      <w:r w:rsidRPr="00953DC9">
        <w:rPr>
          <w:rFonts w:ascii="Bookman Old Style" w:hAnsi="Bookman Old Style"/>
          <w:lang w:val="sv-FI"/>
        </w:rPr>
        <w:t>pengeluaran</w:t>
      </w:r>
      <w:r w:rsidR="00A954D0" w:rsidRPr="00953DC9">
        <w:rPr>
          <w:rFonts w:ascii="Bookman Old Style" w:hAnsi="Bookman Old Style"/>
          <w:lang w:val="sv-FI"/>
        </w:rPr>
        <w:t xml:space="preserve"> </w:t>
      </w:r>
      <w:r w:rsidRPr="00953DC9">
        <w:rPr>
          <w:rFonts w:ascii="Bookman Old Style" w:hAnsi="Bookman Old Style"/>
          <w:lang w:val="sv-FI"/>
        </w:rPr>
        <w:t>atas</w:t>
      </w:r>
      <w:r w:rsidR="00A954D0">
        <w:rPr>
          <w:rFonts w:ascii="Bookman Old Style" w:hAnsi="Bookman Old Style" w:cs="Arial"/>
          <w:lang w:val="id-ID"/>
        </w:rPr>
        <w:t xml:space="preserve"> </w:t>
      </w:r>
      <w:r w:rsidRPr="00BF3751">
        <w:rPr>
          <w:rFonts w:ascii="Bookman Old Style" w:hAnsi="Bookman Old Style" w:cs="Arial"/>
          <w:lang w:val="id-ID"/>
        </w:rPr>
        <w:t>beban</w:t>
      </w:r>
      <w:r w:rsidR="00A954D0">
        <w:rPr>
          <w:rFonts w:ascii="Bookman Old Style" w:hAnsi="Bookman Old Style" w:cs="Arial"/>
          <w:lang w:val="id-ID"/>
        </w:rPr>
        <w:t xml:space="preserve"> </w:t>
      </w:r>
      <w:r w:rsidRPr="00BF3751">
        <w:rPr>
          <w:rFonts w:ascii="Bookman Old Style" w:hAnsi="Bookman Old Style" w:cs="Arial"/>
          <w:lang w:val="id-ID"/>
        </w:rPr>
        <w:t>APBD</w:t>
      </w:r>
      <w:r w:rsidR="00A954D0">
        <w:rPr>
          <w:rFonts w:ascii="Bookman Old Style" w:hAnsi="Bookman Old Style" w:cs="Arial"/>
          <w:lang w:val="id-ID"/>
        </w:rPr>
        <w:t xml:space="preserve"> </w:t>
      </w:r>
      <w:r w:rsidRPr="00BF3751">
        <w:rPr>
          <w:rFonts w:ascii="Bookman Old Style" w:hAnsi="Bookman Old Style" w:cs="Arial"/>
          <w:lang w:val="id-ID"/>
        </w:rPr>
        <w:t>jika</w:t>
      </w:r>
      <w:r w:rsidR="00A954D0">
        <w:rPr>
          <w:rFonts w:ascii="Bookman Old Style" w:hAnsi="Bookman Old Style" w:cs="Arial"/>
          <w:lang w:val="id-ID"/>
        </w:rPr>
        <w:t xml:space="preserve"> </w:t>
      </w:r>
      <w:r w:rsidRPr="00BF3751">
        <w:rPr>
          <w:rFonts w:ascii="Bookman Old Style" w:hAnsi="Bookman Old Style" w:cs="Arial"/>
          <w:lang w:val="id-ID"/>
        </w:rPr>
        <w:t>anggaran</w:t>
      </w:r>
      <w:r w:rsidR="00A954D0">
        <w:rPr>
          <w:rFonts w:ascii="Bookman Old Style" w:hAnsi="Bookman Old Style" w:cs="Arial"/>
          <w:lang w:val="id-ID"/>
        </w:rPr>
        <w:t xml:space="preserve"> </w:t>
      </w:r>
      <w:r w:rsidRPr="00BF3751">
        <w:rPr>
          <w:rFonts w:ascii="Bookman Old Style" w:hAnsi="Bookman Old Style" w:cs="Arial"/>
          <w:lang w:val="id-ID"/>
        </w:rPr>
        <w:t>untuk</w:t>
      </w:r>
      <w:r w:rsidR="00A954D0">
        <w:rPr>
          <w:rFonts w:ascii="Bookman Old Style" w:hAnsi="Bookman Old Style" w:cs="Arial"/>
          <w:lang w:val="id-ID"/>
        </w:rPr>
        <w:t xml:space="preserve"> </w:t>
      </w:r>
      <w:r w:rsidRPr="00BF3751">
        <w:rPr>
          <w:rFonts w:ascii="Bookman Old Style" w:hAnsi="Bookman Old Style" w:cs="Arial"/>
          <w:lang w:val="id-ID"/>
        </w:rPr>
        <w:t>membiayai</w:t>
      </w:r>
      <w:r w:rsidR="00A954D0">
        <w:rPr>
          <w:rFonts w:ascii="Bookman Old Style" w:hAnsi="Bookman Old Style" w:cs="Arial"/>
          <w:lang w:val="id-ID"/>
        </w:rPr>
        <w:t xml:space="preserve"> </w:t>
      </w:r>
      <w:r w:rsidRPr="00BF3751">
        <w:rPr>
          <w:rFonts w:ascii="Bookman Old Style" w:hAnsi="Bookman Old Style" w:cs="Arial"/>
          <w:lang w:val="id-ID"/>
        </w:rPr>
        <w:t>pengeluaran</w:t>
      </w:r>
      <w:r w:rsidR="00A954D0">
        <w:rPr>
          <w:rFonts w:ascii="Bookman Old Style" w:hAnsi="Bookman Old Style" w:cs="Arial"/>
          <w:lang w:val="id-ID"/>
        </w:rPr>
        <w:t xml:space="preserve"> </w:t>
      </w:r>
      <w:r w:rsidRPr="00BF3751">
        <w:rPr>
          <w:rFonts w:ascii="Bookman Old Style" w:hAnsi="Bookman Old Style" w:cs="Arial"/>
          <w:lang w:val="id-ID"/>
        </w:rPr>
        <w:t>tersebut</w:t>
      </w:r>
      <w:r w:rsidR="00A954D0">
        <w:rPr>
          <w:rFonts w:ascii="Bookman Old Style" w:hAnsi="Bookman Old Style" w:cs="Arial"/>
          <w:lang w:val="id-ID"/>
        </w:rPr>
        <w:t xml:space="preserve"> </w:t>
      </w:r>
      <w:r w:rsidRPr="00BF3751">
        <w:rPr>
          <w:rFonts w:ascii="Bookman Old Style" w:hAnsi="Bookman Old Style" w:cs="Arial"/>
          <w:lang w:val="id-ID"/>
        </w:rPr>
        <w:t>tidak</w:t>
      </w:r>
      <w:r w:rsidR="00A954D0">
        <w:rPr>
          <w:rFonts w:ascii="Bookman Old Style" w:hAnsi="Bookman Old Style" w:cs="Arial"/>
          <w:lang w:val="id-ID"/>
        </w:rPr>
        <w:t xml:space="preserve"> </w:t>
      </w:r>
      <w:r w:rsidRPr="00BF3751">
        <w:rPr>
          <w:rFonts w:ascii="Bookman Old Style" w:hAnsi="Bookman Old Style" w:cs="Arial"/>
          <w:lang w:val="id-ID"/>
        </w:rPr>
        <w:t>tersedia</w:t>
      </w:r>
      <w:r w:rsidR="00A954D0">
        <w:rPr>
          <w:rFonts w:ascii="Bookman Old Style" w:hAnsi="Bookman Old Style" w:cs="Arial"/>
          <w:lang w:val="id-ID"/>
        </w:rPr>
        <w:t xml:space="preserve"> </w:t>
      </w:r>
      <w:r w:rsidRPr="00BF3751">
        <w:rPr>
          <w:rFonts w:ascii="Bookman Old Style" w:hAnsi="Bookman Old Style" w:cs="Arial"/>
          <w:lang w:val="id-ID"/>
        </w:rPr>
        <w:t>atau</w:t>
      </w:r>
      <w:r w:rsidR="00A954D0">
        <w:rPr>
          <w:rFonts w:ascii="Bookman Old Style" w:hAnsi="Bookman Old Style" w:cs="Arial"/>
          <w:lang w:val="id-ID"/>
        </w:rPr>
        <w:t xml:space="preserve"> </w:t>
      </w:r>
      <w:r w:rsidRPr="00BF3751">
        <w:rPr>
          <w:rFonts w:ascii="Bookman Old Style" w:hAnsi="Bookman Old Style" w:cs="Arial"/>
          <w:lang w:val="id-ID"/>
        </w:rPr>
        <w:t>tidak</w:t>
      </w:r>
      <w:r w:rsidR="00A954D0">
        <w:rPr>
          <w:rFonts w:ascii="Bookman Old Style" w:hAnsi="Bookman Old Style" w:cs="Arial"/>
          <w:lang w:val="id-ID"/>
        </w:rPr>
        <w:t xml:space="preserve"> </w:t>
      </w:r>
      <w:r w:rsidRPr="00BF3751">
        <w:rPr>
          <w:rFonts w:ascii="Bookman Old Style" w:hAnsi="Bookman Old Style" w:cs="Arial"/>
          <w:lang w:val="id-ID"/>
        </w:rPr>
        <w:t>cukup</w:t>
      </w:r>
      <w:r w:rsidR="00A954D0">
        <w:rPr>
          <w:rFonts w:ascii="Bookman Old Style" w:hAnsi="Bookman Old Style" w:cs="Arial"/>
          <w:lang w:val="id-ID"/>
        </w:rPr>
        <w:t xml:space="preserve"> </w:t>
      </w:r>
      <w:r w:rsidRPr="00BF3751">
        <w:rPr>
          <w:rFonts w:ascii="Bookman Old Style" w:hAnsi="Bookman Old Style" w:cs="Arial"/>
          <w:lang w:val="id-ID"/>
        </w:rPr>
        <w:t>tersedia</w:t>
      </w:r>
      <w:r w:rsidR="00A954D0">
        <w:rPr>
          <w:rFonts w:ascii="Bookman Old Style" w:hAnsi="Bookman Old Style" w:cs="Arial"/>
          <w:lang w:val="id-ID"/>
        </w:rPr>
        <w:t xml:space="preserve"> </w:t>
      </w:r>
      <w:r w:rsidRPr="00BF3751">
        <w:rPr>
          <w:rFonts w:ascii="Bookman Old Style" w:hAnsi="Bookman Old Style" w:cs="Arial"/>
          <w:lang w:val="id-ID"/>
        </w:rPr>
        <w:t>sebagaimana</w:t>
      </w:r>
      <w:r w:rsidR="00A954D0">
        <w:rPr>
          <w:rFonts w:ascii="Bookman Old Style" w:hAnsi="Bookman Old Style" w:cs="Arial"/>
          <w:lang w:val="id-ID"/>
        </w:rPr>
        <w:t xml:space="preserve"> </w:t>
      </w:r>
      <w:r w:rsidRPr="00BF3751">
        <w:rPr>
          <w:rFonts w:ascii="Bookman Old Style" w:hAnsi="Bookman Old Style" w:cs="Arial"/>
          <w:lang w:val="id-ID"/>
        </w:rPr>
        <w:t>maksud</w:t>
      </w:r>
      <w:r w:rsidR="00A954D0">
        <w:rPr>
          <w:rFonts w:ascii="Bookman Old Style" w:hAnsi="Bookman Old Style" w:cs="Arial"/>
          <w:lang w:val="id-ID"/>
        </w:rPr>
        <w:t xml:space="preserve"> </w:t>
      </w:r>
      <w:r w:rsidRPr="00BF3751">
        <w:rPr>
          <w:rFonts w:ascii="Bookman Old Style" w:hAnsi="Bookman Old Style" w:cs="Arial"/>
          <w:lang w:val="id-ID"/>
        </w:rPr>
        <w:t>Pasal</w:t>
      </w:r>
      <w:r w:rsidR="00A954D0">
        <w:rPr>
          <w:rFonts w:ascii="Bookman Old Style" w:hAnsi="Bookman Old Style" w:cs="Arial"/>
          <w:lang w:val="id-ID"/>
        </w:rPr>
        <w:t xml:space="preserve"> </w:t>
      </w:r>
      <w:r w:rsidRPr="00BF3751">
        <w:rPr>
          <w:rFonts w:ascii="Bookman Old Style" w:hAnsi="Bookman Old Style" w:cs="Arial"/>
          <w:lang w:val="id-ID"/>
        </w:rPr>
        <w:t>3</w:t>
      </w:r>
      <w:r w:rsidR="00A954D0">
        <w:rPr>
          <w:rFonts w:ascii="Bookman Old Style" w:hAnsi="Bookman Old Style" w:cs="Arial"/>
          <w:lang w:val="id-ID"/>
        </w:rPr>
        <w:t xml:space="preserve"> </w:t>
      </w:r>
      <w:r w:rsidRPr="00BF3751">
        <w:rPr>
          <w:rFonts w:ascii="Bookman Old Style" w:hAnsi="Bookman Old Style" w:cs="Arial"/>
          <w:lang w:val="id-ID"/>
        </w:rPr>
        <w:t>ayat</w:t>
      </w:r>
      <w:r w:rsidR="00A954D0">
        <w:rPr>
          <w:rFonts w:ascii="Bookman Old Style" w:hAnsi="Bookman Old Style" w:cs="Arial"/>
          <w:lang w:val="id-ID"/>
        </w:rPr>
        <w:t xml:space="preserve"> </w:t>
      </w:r>
      <w:r w:rsidRPr="00BF3751">
        <w:rPr>
          <w:rFonts w:ascii="Bookman Old Style" w:hAnsi="Bookman Old Style" w:cs="Arial"/>
          <w:lang w:val="id-ID"/>
        </w:rPr>
        <w:t>(3)</w:t>
      </w:r>
      <w:r w:rsidR="00A954D0">
        <w:rPr>
          <w:rFonts w:ascii="Bookman Old Style" w:hAnsi="Bookman Old Style" w:cs="Arial"/>
          <w:lang w:val="id-ID"/>
        </w:rPr>
        <w:t xml:space="preserve"> </w:t>
      </w:r>
      <w:r w:rsidRPr="00BF3751">
        <w:rPr>
          <w:rFonts w:ascii="Bookman Old Style" w:hAnsi="Bookman Old Style" w:cs="Arial"/>
          <w:lang w:val="id-ID"/>
        </w:rPr>
        <w:t>Undang-Undang</w:t>
      </w:r>
      <w:r w:rsidR="00A954D0">
        <w:rPr>
          <w:rFonts w:ascii="Bookman Old Style" w:hAnsi="Bookman Old Style" w:cs="Arial"/>
          <w:lang w:val="id-ID"/>
        </w:rPr>
        <w:t xml:space="preserve"> </w:t>
      </w:r>
      <w:r w:rsidRPr="00BF3751">
        <w:rPr>
          <w:rFonts w:ascii="Bookman Old Style" w:hAnsi="Bookman Old Style" w:cs="Arial"/>
          <w:lang w:val="id-ID"/>
        </w:rPr>
        <w:t>Nomor</w:t>
      </w:r>
      <w:r w:rsidR="00A954D0">
        <w:rPr>
          <w:rFonts w:ascii="Bookman Old Style" w:hAnsi="Bookman Old Style" w:cs="Arial"/>
          <w:lang w:val="id-ID"/>
        </w:rPr>
        <w:t xml:space="preserve"> </w:t>
      </w:r>
      <w:r w:rsidRPr="00BF3751">
        <w:rPr>
          <w:rFonts w:ascii="Bookman Old Style" w:hAnsi="Bookman Old Style" w:cs="Arial"/>
          <w:lang w:val="id-ID"/>
        </w:rPr>
        <w:t>1</w:t>
      </w:r>
      <w:r w:rsidR="00A954D0">
        <w:rPr>
          <w:rFonts w:ascii="Bookman Old Style" w:hAnsi="Bookman Old Style" w:cs="Arial"/>
          <w:lang w:val="id-ID"/>
        </w:rPr>
        <w:t xml:space="preserve"> </w:t>
      </w:r>
      <w:r w:rsidRPr="00BF3751">
        <w:rPr>
          <w:rFonts w:ascii="Bookman Old Style" w:hAnsi="Bookman Old Style" w:cs="Arial"/>
          <w:lang w:val="id-ID"/>
        </w:rPr>
        <w:t>Tahun</w:t>
      </w:r>
      <w:r w:rsidR="00A954D0">
        <w:rPr>
          <w:rFonts w:ascii="Bookman Old Style" w:hAnsi="Bookman Old Style" w:cs="Arial"/>
          <w:lang w:val="id-ID"/>
        </w:rPr>
        <w:t xml:space="preserve"> </w:t>
      </w:r>
      <w:r w:rsidRPr="00BF3751">
        <w:rPr>
          <w:rFonts w:ascii="Bookman Old Style" w:hAnsi="Bookman Old Style" w:cs="Arial"/>
          <w:lang w:val="id-ID"/>
        </w:rPr>
        <w:t>2004</w:t>
      </w:r>
      <w:r w:rsidR="00A954D0">
        <w:rPr>
          <w:rFonts w:ascii="Bookman Old Style" w:hAnsi="Bookman Old Style" w:cs="Arial"/>
          <w:lang w:val="id-ID"/>
        </w:rPr>
        <w:t xml:space="preserve"> </w:t>
      </w:r>
      <w:r w:rsidRPr="00BF3751">
        <w:rPr>
          <w:rFonts w:ascii="Bookman Old Style" w:hAnsi="Bookman Old Style" w:cs="Arial"/>
          <w:lang w:val="id-ID"/>
        </w:rPr>
        <w:t>tentang</w:t>
      </w:r>
      <w:r w:rsidR="00A954D0">
        <w:rPr>
          <w:rFonts w:ascii="Bookman Old Style" w:hAnsi="Bookman Old Style" w:cs="Arial"/>
          <w:lang w:val="id-ID"/>
        </w:rPr>
        <w:t xml:space="preserve"> </w:t>
      </w:r>
      <w:r w:rsidRPr="00BF3751">
        <w:rPr>
          <w:rFonts w:ascii="Bookman Old Style" w:hAnsi="Bookman Old Style" w:cs="Arial"/>
          <w:lang w:val="id-ID"/>
        </w:rPr>
        <w:t>Perbendaharaan</w:t>
      </w:r>
      <w:r w:rsidR="00A954D0">
        <w:rPr>
          <w:rFonts w:ascii="Bookman Old Style" w:hAnsi="Bookman Old Style" w:cs="Arial"/>
          <w:lang w:val="id-ID"/>
        </w:rPr>
        <w:t xml:space="preserve"> </w:t>
      </w:r>
      <w:r w:rsidRPr="00BF3751">
        <w:rPr>
          <w:rFonts w:ascii="Bookman Old Style" w:hAnsi="Bookman Old Style" w:cs="Arial"/>
          <w:lang w:val="id-ID"/>
        </w:rPr>
        <w:t>Negara</w:t>
      </w:r>
      <w:r w:rsidR="00A954D0">
        <w:rPr>
          <w:rFonts w:ascii="Bookman Old Style" w:hAnsi="Bookman Old Style" w:cs="Arial"/>
          <w:lang w:val="id-ID"/>
        </w:rPr>
        <w:t xml:space="preserve"> </w:t>
      </w:r>
      <w:r w:rsidRPr="00BF3751">
        <w:rPr>
          <w:rFonts w:ascii="Bookman Old Style" w:hAnsi="Bookman Old Style" w:cs="Arial"/>
          <w:lang w:val="id-ID"/>
        </w:rPr>
        <w:t>dan</w:t>
      </w:r>
      <w:r w:rsidR="00A954D0">
        <w:rPr>
          <w:rFonts w:ascii="Bookman Old Style" w:hAnsi="Bookman Old Style" w:cs="Arial"/>
          <w:lang w:val="id-ID"/>
        </w:rPr>
        <w:t xml:space="preserve"> </w:t>
      </w:r>
      <w:r w:rsidRPr="00BF3751">
        <w:rPr>
          <w:rFonts w:ascii="Bookman Old Style" w:hAnsi="Bookman Old Style" w:cs="Arial"/>
          <w:lang w:val="id-ID"/>
        </w:rPr>
        <w:t>Pasal</w:t>
      </w:r>
      <w:r w:rsidR="00A954D0">
        <w:rPr>
          <w:rFonts w:ascii="Bookman Old Style" w:hAnsi="Bookman Old Style" w:cs="Arial"/>
          <w:lang w:val="id-ID"/>
        </w:rPr>
        <w:t xml:space="preserve"> </w:t>
      </w:r>
      <w:r w:rsidRPr="00BF3751">
        <w:rPr>
          <w:rFonts w:ascii="Bookman Old Style" w:hAnsi="Bookman Old Style" w:cs="Arial"/>
          <w:lang w:val="id-ID"/>
        </w:rPr>
        <w:t>124</w:t>
      </w:r>
      <w:r w:rsidR="00A954D0">
        <w:rPr>
          <w:rFonts w:ascii="Bookman Old Style" w:hAnsi="Bookman Old Style" w:cs="Arial"/>
          <w:lang w:val="id-ID"/>
        </w:rPr>
        <w:t xml:space="preserve"> </w:t>
      </w:r>
      <w:r w:rsidRPr="00BF3751">
        <w:rPr>
          <w:rFonts w:ascii="Bookman Old Style" w:hAnsi="Bookman Old Style" w:cs="Arial"/>
          <w:lang w:val="id-ID"/>
        </w:rPr>
        <w:t>ayat</w:t>
      </w:r>
      <w:r w:rsidR="00A954D0">
        <w:rPr>
          <w:rFonts w:ascii="Bookman Old Style" w:hAnsi="Bookman Old Style" w:cs="Arial"/>
          <w:lang w:val="id-ID"/>
        </w:rPr>
        <w:t xml:space="preserve"> </w:t>
      </w:r>
      <w:r w:rsidRPr="00BF3751">
        <w:rPr>
          <w:rFonts w:ascii="Bookman Old Style" w:hAnsi="Bookman Old Style" w:cs="Arial"/>
          <w:lang w:val="id-ID"/>
        </w:rPr>
        <w:t>(1)</w:t>
      </w:r>
      <w:r w:rsidR="00A954D0">
        <w:rPr>
          <w:rFonts w:ascii="Bookman Old Style" w:hAnsi="Bookman Old Style" w:cs="Arial"/>
          <w:lang w:val="id-ID"/>
        </w:rPr>
        <w:t xml:space="preserve"> </w:t>
      </w:r>
      <w:r w:rsidRPr="00BF3751">
        <w:rPr>
          <w:rFonts w:ascii="Bookman Old Style" w:hAnsi="Bookman Old Style" w:cs="Arial"/>
          <w:lang w:val="id-ID"/>
        </w:rPr>
        <w:t>Peraturan</w:t>
      </w:r>
      <w:r w:rsidR="00A954D0">
        <w:rPr>
          <w:rFonts w:ascii="Bookman Old Style" w:hAnsi="Bookman Old Style" w:cs="Arial"/>
          <w:lang w:val="id-ID"/>
        </w:rPr>
        <w:t xml:space="preserve"> </w:t>
      </w:r>
      <w:r w:rsidRPr="00BF3751">
        <w:rPr>
          <w:rFonts w:ascii="Bookman Old Style" w:hAnsi="Bookman Old Style" w:cs="Arial"/>
          <w:lang w:val="id-ID"/>
        </w:rPr>
        <w:t>Pemerintah</w:t>
      </w:r>
      <w:r w:rsidR="00A954D0">
        <w:rPr>
          <w:rFonts w:ascii="Bookman Old Style" w:hAnsi="Bookman Old Style" w:cs="Arial"/>
          <w:lang w:val="id-ID"/>
        </w:rPr>
        <w:t xml:space="preserve"> </w:t>
      </w:r>
      <w:r w:rsidRPr="00BF3751">
        <w:rPr>
          <w:rFonts w:ascii="Bookman Old Style" w:hAnsi="Bookman Old Style" w:cs="Arial"/>
          <w:lang w:val="id-ID"/>
        </w:rPr>
        <w:t>Nomor</w:t>
      </w:r>
      <w:r w:rsidR="00A954D0">
        <w:rPr>
          <w:rFonts w:ascii="Bookman Old Style" w:hAnsi="Bookman Old Style" w:cs="Arial"/>
          <w:lang w:val="id-ID"/>
        </w:rPr>
        <w:t xml:space="preserve"> </w:t>
      </w:r>
      <w:r w:rsidRPr="00BF3751">
        <w:rPr>
          <w:rFonts w:ascii="Bookman Old Style" w:hAnsi="Bookman Old Style" w:cs="Arial"/>
          <w:lang w:val="id-ID"/>
        </w:rPr>
        <w:t>12</w:t>
      </w:r>
      <w:r w:rsidR="00A954D0">
        <w:rPr>
          <w:rFonts w:ascii="Bookman Old Style" w:hAnsi="Bookman Old Style" w:cs="Arial"/>
          <w:lang w:val="id-ID"/>
        </w:rPr>
        <w:t xml:space="preserve"> </w:t>
      </w:r>
      <w:r w:rsidRPr="00BF3751">
        <w:rPr>
          <w:rFonts w:ascii="Bookman Old Style" w:hAnsi="Bookman Old Style" w:cs="Arial"/>
          <w:lang w:val="id-ID"/>
        </w:rPr>
        <w:t>Tahun</w:t>
      </w:r>
      <w:r w:rsidR="00A954D0">
        <w:rPr>
          <w:rFonts w:ascii="Bookman Old Style" w:hAnsi="Bookman Old Style" w:cs="Arial"/>
          <w:lang w:val="id-ID"/>
        </w:rPr>
        <w:t xml:space="preserve"> </w:t>
      </w:r>
      <w:r w:rsidRPr="00BF3751">
        <w:rPr>
          <w:rFonts w:ascii="Bookman Old Style" w:hAnsi="Bookman Old Style" w:cs="Arial"/>
          <w:lang w:val="id-ID"/>
        </w:rPr>
        <w:t>2019.</w:t>
      </w:r>
    </w:p>
    <w:p w14:paraId="66A2CA59" w14:textId="4F2433BC" w:rsidR="003374DF" w:rsidRPr="00BF3751" w:rsidRDefault="003374DF" w:rsidP="00953DC9">
      <w:pPr>
        <w:numPr>
          <w:ilvl w:val="0"/>
          <w:numId w:val="156"/>
        </w:numPr>
        <w:spacing w:before="60" w:line="276" w:lineRule="auto"/>
        <w:ind w:left="993" w:hanging="426"/>
        <w:jc w:val="both"/>
        <w:rPr>
          <w:rFonts w:ascii="Bookman Old Style" w:hAnsi="Bookman Old Style"/>
          <w:lang w:val="id-ID"/>
        </w:rPr>
      </w:pPr>
      <w:r w:rsidRPr="00BF3751">
        <w:rPr>
          <w:rFonts w:ascii="Bookman Old Style" w:hAnsi="Bookman Old Style"/>
          <w:lang w:val="id-ID"/>
        </w:rPr>
        <w:t>Dalam</w:t>
      </w:r>
      <w:r w:rsidR="00A954D0">
        <w:rPr>
          <w:rFonts w:ascii="Bookman Old Style" w:hAnsi="Bookman Old Style" w:cs="Arial"/>
          <w:lang w:val="id-ID"/>
        </w:rPr>
        <w:t xml:space="preserve"> </w:t>
      </w:r>
      <w:r w:rsidRPr="00BF3751">
        <w:rPr>
          <w:rFonts w:ascii="Bookman Old Style" w:hAnsi="Bookman Old Style" w:cs="Arial"/>
          <w:lang w:val="id-ID"/>
        </w:rPr>
        <w:t>hal</w:t>
      </w:r>
      <w:r w:rsidR="00A954D0">
        <w:rPr>
          <w:rFonts w:ascii="Bookman Old Style" w:hAnsi="Bookman Old Style" w:cs="Arial"/>
          <w:lang w:val="id-ID"/>
        </w:rPr>
        <w:t xml:space="preserve"> </w:t>
      </w:r>
      <w:r w:rsidRPr="00BF3751">
        <w:rPr>
          <w:rFonts w:ascii="Bookman Old Style" w:hAnsi="Bookman Old Style" w:cs="Arial"/>
          <w:lang w:val="id-ID"/>
        </w:rPr>
        <w:t>terdapat</w:t>
      </w:r>
      <w:r w:rsidR="00A954D0">
        <w:rPr>
          <w:rFonts w:ascii="Bookman Old Style" w:hAnsi="Bookman Old Style" w:cs="Arial"/>
          <w:lang w:val="id-ID"/>
        </w:rPr>
        <w:t xml:space="preserve"> </w:t>
      </w:r>
      <w:r w:rsidRPr="00BF3751">
        <w:rPr>
          <w:rFonts w:ascii="Bookman Old Style" w:hAnsi="Bookman Old Style" w:cs="Arial"/>
          <w:lang w:val="id-ID"/>
        </w:rPr>
        <w:t>peningkatan</w:t>
      </w:r>
      <w:r w:rsidR="00A954D0">
        <w:rPr>
          <w:rFonts w:ascii="Bookman Old Style" w:hAnsi="Bookman Old Style" w:cs="Arial"/>
          <w:lang w:val="id-ID"/>
        </w:rPr>
        <w:t xml:space="preserve"> </w:t>
      </w:r>
      <w:r w:rsidRPr="00BF3751">
        <w:rPr>
          <w:rFonts w:ascii="Bookman Old Style" w:hAnsi="Bookman Old Style" w:cs="Arial"/>
          <w:lang w:val="id-ID"/>
        </w:rPr>
        <w:t>prognosis</w:t>
      </w:r>
      <w:r w:rsidR="00A954D0">
        <w:rPr>
          <w:rFonts w:ascii="Bookman Old Style" w:hAnsi="Bookman Old Style" w:cs="Arial"/>
          <w:lang w:val="id-ID"/>
        </w:rPr>
        <w:t xml:space="preserve"> </w:t>
      </w:r>
      <w:r w:rsidRPr="00BF3751">
        <w:rPr>
          <w:rFonts w:ascii="Bookman Old Style" w:hAnsi="Bookman Old Style" w:cs="Arial"/>
          <w:lang w:val="id-ID"/>
        </w:rPr>
        <w:t>target</w:t>
      </w:r>
      <w:r w:rsidR="00A954D0">
        <w:rPr>
          <w:rFonts w:ascii="Bookman Old Style" w:hAnsi="Bookman Old Style" w:cs="Arial"/>
          <w:lang w:val="id-ID"/>
        </w:rPr>
        <w:t xml:space="preserve"> </w:t>
      </w:r>
      <w:r w:rsidRPr="00BF3751">
        <w:rPr>
          <w:rFonts w:ascii="Bookman Old Style" w:hAnsi="Bookman Old Style" w:cs="Arial"/>
          <w:lang w:val="id-ID"/>
        </w:rPr>
        <w:t>pendapatan,</w:t>
      </w:r>
      <w:r w:rsidR="00A954D0">
        <w:rPr>
          <w:rFonts w:ascii="Bookman Old Style" w:hAnsi="Bookman Old Style" w:cs="Arial"/>
          <w:lang w:val="id-ID"/>
        </w:rPr>
        <w:t xml:space="preserve"> </w:t>
      </w:r>
      <w:r w:rsidRPr="00BF3751">
        <w:rPr>
          <w:rFonts w:ascii="Bookman Old Style" w:hAnsi="Bookman Old Style" w:cs="Arial"/>
          <w:lang w:val="id-ID"/>
        </w:rPr>
        <w:t>rasionalisasi</w:t>
      </w:r>
      <w:r w:rsidR="00A954D0">
        <w:rPr>
          <w:rFonts w:ascii="Bookman Old Style" w:hAnsi="Bookman Old Style" w:cs="Arial"/>
          <w:lang w:val="id-ID"/>
        </w:rPr>
        <w:t xml:space="preserve"> </w:t>
      </w:r>
      <w:r w:rsidRPr="00BF3751">
        <w:rPr>
          <w:rFonts w:ascii="Bookman Old Style" w:hAnsi="Bookman Old Style" w:cs="Arial"/>
          <w:lang w:val="id-ID"/>
        </w:rPr>
        <w:t>atas</w:t>
      </w:r>
      <w:r w:rsidR="00A954D0">
        <w:rPr>
          <w:rFonts w:ascii="Bookman Old Style" w:hAnsi="Bookman Old Style" w:cs="Arial"/>
          <w:lang w:val="id-ID"/>
        </w:rPr>
        <w:t xml:space="preserve"> </w:t>
      </w:r>
      <w:r w:rsidRPr="00BF3751">
        <w:rPr>
          <w:rFonts w:ascii="Bookman Old Style" w:hAnsi="Bookman Old Style" w:cs="Arial"/>
          <w:lang w:val="id-ID"/>
        </w:rPr>
        <w:t>belanja,</w:t>
      </w:r>
      <w:r w:rsidR="00A954D0">
        <w:rPr>
          <w:rFonts w:ascii="Bookman Old Style" w:hAnsi="Bookman Old Style" w:cs="Arial"/>
          <w:lang w:val="id-ID"/>
        </w:rPr>
        <w:t xml:space="preserve"> </w:t>
      </w:r>
      <w:r w:rsidRPr="00BF3751">
        <w:rPr>
          <w:rFonts w:ascii="Bookman Old Style" w:hAnsi="Bookman Old Style" w:cs="Arial"/>
          <w:lang w:val="id-ID"/>
        </w:rPr>
        <w:t>dan/atau</w:t>
      </w:r>
      <w:r w:rsidR="00A954D0">
        <w:rPr>
          <w:rFonts w:ascii="Bookman Old Style" w:hAnsi="Bookman Old Style" w:cs="Arial"/>
          <w:lang w:val="id-ID"/>
        </w:rPr>
        <w:t xml:space="preserve"> </w:t>
      </w:r>
      <w:r w:rsidRPr="00BF3751">
        <w:rPr>
          <w:rFonts w:ascii="Bookman Old Style" w:hAnsi="Bookman Old Style" w:cs="Arial"/>
          <w:lang w:val="id-ID"/>
        </w:rPr>
        <w:t>sub</w:t>
      </w:r>
      <w:r w:rsidR="00A954D0">
        <w:rPr>
          <w:rFonts w:ascii="Bookman Old Style" w:hAnsi="Bookman Old Style" w:cs="Arial"/>
          <w:lang w:val="id-ID"/>
        </w:rPr>
        <w:t xml:space="preserve"> </w:t>
      </w:r>
      <w:r w:rsidRPr="00BF3751">
        <w:rPr>
          <w:rFonts w:ascii="Bookman Old Style" w:hAnsi="Bookman Old Style" w:cs="Arial"/>
          <w:lang w:val="id-ID"/>
        </w:rPr>
        <w:t>rincian</w:t>
      </w:r>
      <w:r w:rsidR="00A954D0">
        <w:rPr>
          <w:rFonts w:ascii="Bookman Old Style" w:hAnsi="Bookman Old Style" w:cs="Arial"/>
          <w:lang w:val="id-ID"/>
        </w:rPr>
        <w:t xml:space="preserve"> </w:t>
      </w:r>
      <w:r w:rsidRPr="00BF3751">
        <w:rPr>
          <w:rFonts w:ascii="Bookman Old Style" w:hAnsi="Bookman Old Style" w:cs="Arial"/>
          <w:lang w:val="id-ID"/>
        </w:rPr>
        <w:t>objek</w:t>
      </w:r>
      <w:r w:rsidR="00A954D0">
        <w:rPr>
          <w:rFonts w:ascii="Bookman Old Style" w:hAnsi="Bookman Old Style" w:cs="Arial"/>
          <w:lang w:val="id-ID"/>
        </w:rPr>
        <w:t xml:space="preserve"> </w:t>
      </w:r>
      <w:r w:rsidRPr="00BF3751">
        <w:rPr>
          <w:rFonts w:ascii="Bookman Old Style" w:hAnsi="Bookman Old Style" w:cs="Arial"/>
          <w:lang w:val="id-ID"/>
        </w:rPr>
        <w:t>belanja</w:t>
      </w:r>
      <w:r w:rsidR="00A954D0">
        <w:rPr>
          <w:rFonts w:ascii="Bookman Old Style" w:hAnsi="Bookman Old Style" w:cs="Arial"/>
          <w:lang w:val="id-ID"/>
        </w:rPr>
        <w:t xml:space="preserve"> </w:t>
      </w:r>
      <w:r w:rsidRPr="00BF3751">
        <w:rPr>
          <w:rFonts w:ascii="Bookman Old Style" w:hAnsi="Bookman Old Style" w:cs="Arial"/>
          <w:lang w:val="id-ID"/>
        </w:rPr>
        <w:t>yang</w:t>
      </w:r>
      <w:r w:rsidR="00A954D0">
        <w:rPr>
          <w:rFonts w:ascii="Bookman Old Style" w:hAnsi="Bookman Old Style" w:cs="Arial"/>
          <w:lang w:val="id-ID"/>
        </w:rPr>
        <w:t xml:space="preserve"> </w:t>
      </w:r>
      <w:r w:rsidRPr="00BF3751">
        <w:rPr>
          <w:rFonts w:ascii="Bookman Old Style" w:hAnsi="Bookman Old Style" w:cs="Arial"/>
          <w:lang w:val="id-ID"/>
        </w:rPr>
        <w:t>tidak</w:t>
      </w:r>
      <w:r w:rsidR="00A954D0">
        <w:rPr>
          <w:rFonts w:ascii="Bookman Old Style" w:hAnsi="Bookman Old Style" w:cs="Arial"/>
          <w:lang w:val="id-ID"/>
        </w:rPr>
        <w:t xml:space="preserve"> </w:t>
      </w:r>
      <w:r w:rsidRPr="00BF3751">
        <w:rPr>
          <w:rFonts w:ascii="Bookman Old Style" w:hAnsi="Bookman Old Style" w:cs="Arial"/>
          <w:lang w:val="id-ID"/>
        </w:rPr>
        <w:t>memiliki</w:t>
      </w:r>
      <w:r w:rsidR="00A954D0">
        <w:rPr>
          <w:rFonts w:ascii="Bookman Old Style" w:hAnsi="Bookman Old Style" w:cs="Arial"/>
          <w:lang w:val="id-ID"/>
        </w:rPr>
        <w:t xml:space="preserve"> </w:t>
      </w:r>
      <w:r w:rsidRPr="00BF3751">
        <w:rPr>
          <w:rFonts w:ascii="Bookman Old Style" w:hAnsi="Bookman Old Style" w:cs="Arial"/>
          <w:lang w:val="id-ID"/>
        </w:rPr>
        <w:t>korelasi</w:t>
      </w:r>
      <w:r w:rsidR="00A954D0">
        <w:rPr>
          <w:rFonts w:ascii="Bookman Old Style" w:hAnsi="Bookman Old Style" w:cs="Arial"/>
          <w:lang w:val="id-ID"/>
        </w:rPr>
        <w:t xml:space="preserve"> </w:t>
      </w:r>
      <w:r w:rsidRPr="00BF3751">
        <w:rPr>
          <w:rFonts w:ascii="Bookman Old Style" w:hAnsi="Bookman Old Style" w:cs="Arial"/>
          <w:lang w:val="id-ID"/>
        </w:rPr>
        <w:t>dalam</w:t>
      </w:r>
      <w:r w:rsidR="00A954D0">
        <w:rPr>
          <w:rFonts w:ascii="Bookman Old Style" w:hAnsi="Bookman Old Style" w:cs="Arial"/>
          <w:lang w:val="id-ID"/>
        </w:rPr>
        <w:t xml:space="preserve"> </w:t>
      </w:r>
      <w:r w:rsidRPr="00BF3751">
        <w:rPr>
          <w:rFonts w:ascii="Bookman Old Style" w:hAnsi="Bookman Old Style" w:cs="Arial"/>
          <w:lang w:val="id-ID"/>
        </w:rPr>
        <w:t>Rancangan</w:t>
      </w:r>
      <w:r w:rsidR="00A954D0">
        <w:rPr>
          <w:rFonts w:ascii="Bookman Old Style" w:hAnsi="Bookman Old Style" w:cs="Arial"/>
          <w:lang w:val="id-ID"/>
        </w:rPr>
        <w:t xml:space="preserve"> </w:t>
      </w:r>
      <w:r w:rsidRPr="00BF3751">
        <w:rPr>
          <w:rFonts w:ascii="Bookman Old Style" w:hAnsi="Bookman Old Style" w:cs="Arial"/>
          <w:lang w:val="id-ID"/>
        </w:rPr>
        <w:t>Peraturan</w:t>
      </w:r>
      <w:r w:rsidR="00A954D0">
        <w:rPr>
          <w:rFonts w:ascii="Bookman Old Style" w:hAnsi="Bookman Old Style" w:cs="Arial"/>
          <w:lang w:val="id-ID"/>
        </w:rPr>
        <w:t xml:space="preserve"> </w:t>
      </w:r>
      <w:r w:rsidRPr="00BF3751">
        <w:rPr>
          <w:rFonts w:ascii="Bookman Old Style" w:hAnsi="Bookman Old Style" w:cs="Arial"/>
          <w:lang w:val="id-ID"/>
        </w:rPr>
        <w:t>Daerah</w:t>
      </w:r>
      <w:r w:rsidR="00A954D0">
        <w:rPr>
          <w:rFonts w:ascii="Bookman Old Style" w:hAnsi="Bookman Old Style" w:cs="Arial"/>
          <w:lang w:val="id-ID"/>
        </w:rPr>
        <w:t xml:space="preserve"> </w:t>
      </w:r>
      <w:r w:rsidR="00B055C5" w:rsidRPr="00BF3751">
        <w:rPr>
          <w:rFonts w:ascii="Bookman Old Style" w:hAnsi="Bookman Old Style" w:cs="Arial"/>
          <w:lang w:val="id-ID"/>
        </w:rPr>
        <w:t>Kota</w:t>
      </w:r>
      <w:r w:rsidR="00A954D0">
        <w:rPr>
          <w:rFonts w:ascii="Bookman Old Style" w:hAnsi="Bookman Old Style" w:cs="Arial"/>
          <w:lang w:val="id-ID"/>
        </w:rPr>
        <w:t xml:space="preserve"> </w:t>
      </w:r>
      <w:r w:rsidR="00770F22" w:rsidRPr="00BF3751">
        <w:rPr>
          <w:rFonts w:ascii="Bookman Old Style" w:hAnsi="Bookman Old Style" w:cs="Arial"/>
          <w:lang w:val="id-ID"/>
        </w:rPr>
        <w:t>Tangerang</w:t>
      </w:r>
      <w:r w:rsidR="00A954D0">
        <w:rPr>
          <w:rFonts w:ascii="Bookman Old Style" w:hAnsi="Bookman Old Style" w:cs="Arial"/>
          <w:lang w:val="id-ID"/>
        </w:rPr>
        <w:t xml:space="preserve"> </w:t>
      </w:r>
      <w:r w:rsidR="00BE6ED9" w:rsidRPr="00BF3751">
        <w:rPr>
          <w:rFonts w:ascii="Bookman Old Style" w:hAnsi="Bookman Old Style" w:cs="Arial"/>
          <w:lang w:val="id-ID"/>
        </w:rPr>
        <w:t>tentang</w:t>
      </w:r>
      <w:r w:rsidR="00A954D0">
        <w:rPr>
          <w:rFonts w:ascii="Bookman Old Style" w:hAnsi="Bookman Old Style" w:cs="Arial"/>
          <w:lang w:val="id-ID"/>
        </w:rPr>
        <w:t xml:space="preserve"> </w:t>
      </w:r>
      <w:r w:rsidR="00BE6ED9" w:rsidRPr="00BF3751">
        <w:rPr>
          <w:rFonts w:ascii="Bookman Old Style" w:hAnsi="Bookman Old Style" w:cs="Arial"/>
          <w:lang w:val="id-ID"/>
        </w:rPr>
        <w:t>APBD</w:t>
      </w:r>
      <w:r w:rsidR="00A954D0">
        <w:rPr>
          <w:rFonts w:ascii="Bookman Old Style" w:hAnsi="Bookman Old Style" w:cs="Arial"/>
          <w:lang w:val="id-ID"/>
        </w:rPr>
        <w:t xml:space="preserve"> </w:t>
      </w:r>
      <w:r w:rsidRPr="00BF3751">
        <w:rPr>
          <w:rFonts w:ascii="Bookman Old Style" w:hAnsi="Bookman Old Style" w:cs="Arial"/>
          <w:lang w:val="id-ID"/>
        </w:rPr>
        <w:t>Tahun</w:t>
      </w:r>
      <w:r w:rsidR="00A954D0">
        <w:rPr>
          <w:rFonts w:ascii="Bookman Old Style" w:hAnsi="Bookman Old Style" w:cs="Arial"/>
          <w:lang w:val="id-ID"/>
        </w:rPr>
        <w:t xml:space="preserve"> </w:t>
      </w:r>
      <w:r w:rsidRPr="00BF3751">
        <w:rPr>
          <w:rFonts w:ascii="Bookman Old Style" w:hAnsi="Bookman Old Style" w:cs="Arial"/>
          <w:lang w:val="id-ID"/>
        </w:rPr>
        <w:t>Anggaran</w:t>
      </w:r>
      <w:r w:rsidR="00A954D0">
        <w:rPr>
          <w:rFonts w:ascii="Bookman Old Style" w:hAnsi="Bookman Old Style" w:cs="Arial"/>
          <w:lang w:val="id-ID"/>
        </w:rPr>
        <w:t xml:space="preserve"> </w:t>
      </w:r>
      <w:r w:rsidRPr="00BF3751">
        <w:rPr>
          <w:rFonts w:ascii="Bookman Old Style" w:hAnsi="Bookman Old Style" w:cs="Arial"/>
          <w:lang w:val="id-ID"/>
        </w:rPr>
        <w:t>2025,</w:t>
      </w:r>
      <w:r w:rsidR="00A954D0">
        <w:rPr>
          <w:rFonts w:ascii="Bookman Old Style" w:hAnsi="Bookman Old Style" w:cs="Arial"/>
          <w:lang w:val="id-ID"/>
        </w:rPr>
        <w:t xml:space="preserve"> </w:t>
      </w:r>
      <w:r w:rsidRPr="00BF3751">
        <w:rPr>
          <w:rFonts w:ascii="Bookman Old Style" w:hAnsi="Bookman Old Style" w:cs="Arial"/>
          <w:lang w:val="id-ID"/>
        </w:rPr>
        <w:t>penyediaan</w:t>
      </w:r>
      <w:r w:rsidR="00A954D0">
        <w:rPr>
          <w:rFonts w:ascii="Bookman Old Style" w:hAnsi="Bookman Old Style" w:cs="Arial"/>
          <w:lang w:val="id-ID"/>
        </w:rPr>
        <w:t xml:space="preserve"> </w:t>
      </w:r>
      <w:r w:rsidRPr="00BF3751">
        <w:rPr>
          <w:rFonts w:ascii="Bookman Old Style" w:hAnsi="Bookman Old Style" w:cs="Arial"/>
          <w:lang w:val="id-ID"/>
        </w:rPr>
        <w:t>anggaran</w:t>
      </w:r>
      <w:r w:rsidR="00A954D0">
        <w:rPr>
          <w:rFonts w:ascii="Bookman Old Style" w:hAnsi="Bookman Old Style" w:cs="Arial"/>
          <w:lang w:val="id-ID"/>
        </w:rPr>
        <w:t xml:space="preserve"> </w:t>
      </w:r>
      <w:r w:rsidRPr="00BF3751">
        <w:rPr>
          <w:rFonts w:ascii="Bookman Old Style" w:hAnsi="Bookman Old Style" w:cs="Arial"/>
          <w:lang w:val="id-ID"/>
        </w:rPr>
        <w:t>tersebut</w:t>
      </w:r>
      <w:r w:rsidR="00A954D0">
        <w:rPr>
          <w:rFonts w:ascii="Bookman Old Style" w:hAnsi="Bookman Old Style" w:cs="Arial"/>
          <w:lang w:val="id-ID"/>
        </w:rPr>
        <w:t xml:space="preserve"> </w:t>
      </w:r>
      <w:r w:rsidRPr="00BF3751">
        <w:rPr>
          <w:rFonts w:ascii="Bookman Old Style" w:hAnsi="Bookman Old Style" w:cs="Arial"/>
          <w:lang w:val="id-ID"/>
        </w:rPr>
        <w:t>harus</w:t>
      </w:r>
      <w:r w:rsidR="00A954D0">
        <w:rPr>
          <w:rFonts w:ascii="Bookman Old Style" w:hAnsi="Bookman Old Style" w:cs="Arial"/>
          <w:lang w:val="id-ID"/>
        </w:rPr>
        <w:t xml:space="preserve"> </w:t>
      </w:r>
      <w:r w:rsidRPr="00BF3751">
        <w:rPr>
          <w:rFonts w:ascii="Bookman Old Style" w:hAnsi="Bookman Old Style"/>
          <w:lang w:val="id-ID"/>
        </w:rPr>
        <w:t>dialihkan</w:t>
      </w:r>
      <w:r w:rsidR="00A954D0">
        <w:rPr>
          <w:rFonts w:ascii="Bookman Old Style" w:hAnsi="Bookman Old Style"/>
          <w:lang w:val="id-ID"/>
        </w:rPr>
        <w:t xml:space="preserve"> </w:t>
      </w:r>
      <w:r w:rsidRPr="00BF3751">
        <w:rPr>
          <w:rFonts w:ascii="Bookman Old Style" w:hAnsi="Bookman Old Style"/>
          <w:lang w:val="id-ID"/>
        </w:rPr>
        <w:t>untuk</w:t>
      </w:r>
      <w:r w:rsidR="00A954D0">
        <w:rPr>
          <w:rFonts w:ascii="Bookman Old Style" w:hAnsi="Bookman Old Style"/>
          <w:lang w:val="id-ID"/>
        </w:rPr>
        <w:t xml:space="preserve"> </w:t>
      </w:r>
      <w:r w:rsidRPr="00BF3751">
        <w:rPr>
          <w:rFonts w:ascii="Bookman Old Style" w:hAnsi="Bookman Old Style"/>
          <w:lang w:val="id-ID"/>
        </w:rPr>
        <w:t>mendanai</w:t>
      </w:r>
      <w:r w:rsidR="00A954D0">
        <w:rPr>
          <w:rFonts w:ascii="Bookman Old Style" w:hAnsi="Bookman Old Style"/>
          <w:lang w:val="id-ID"/>
        </w:rPr>
        <w:t xml:space="preserve"> </w:t>
      </w:r>
      <w:r w:rsidRPr="00BF3751">
        <w:rPr>
          <w:rFonts w:ascii="Bookman Old Style" w:hAnsi="Bookman Old Style"/>
          <w:lang w:val="id-ID"/>
        </w:rPr>
        <w:t>program,</w:t>
      </w:r>
      <w:r w:rsidR="00A954D0">
        <w:rPr>
          <w:rFonts w:ascii="Bookman Old Style" w:hAnsi="Bookman Old Style"/>
          <w:lang w:val="id-ID"/>
        </w:rPr>
        <w:t xml:space="preserve"> </w:t>
      </w:r>
      <w:r w:rsidRPr="00BF3751">
        <w:rPr>
          <w:rFonts w:ascii="Bookman Old Style" w:hAnsi="Bookman Old Style"/>
          <w:lang w:val="id-ID"/>
        </w:rPr>
        <w:t>kegiatan</w:t>
      </w:r>
      <w:r w:rsidR="00A954D0">
        <w:rPr>
          <w:rFonts w:ascii="Bookman Old Style" w:hAnsi="Bookman Old Style"/>
          <w:lang w:val="id-ID"/>
        </w:rPr>
        <w:t xml:space="preserve"> </w:t>
      </w:r>
      <w:r w:rsidRPr="00BF3751">
        <w:rPr>
          <w:rFonts w:ascii="Bookman Old Style" w:hAnsi="Bookman Old Style"/>
          <w:lang w:val="id-ID"/>
        </w:rPr>
        <w:t>dan</w:t>
      </w:r>
      <w:r w:rsidR="00A954D0">
        <w:rPr>
          <w:rFonts w:ascii="Bookman Old Style" w:hAnsi="Bookman Old Style"/>
          <w:lang w:val="id-ID"/>
        </w:rPr>
        <w:t xml:space="preserve"> </w:t>
      </w:r>
      <w:r w:rsidRPr="00BF3751">
        <w:rPr>
          <w:rFonts w:ascii="Bookman Old Style" w:hAnsi="Bookman Old Style"/>
          <w:lang w:val="id-ID"/>
        </w:rPr>
        <w:t>sub</w:t>
      </w:r>
      <w:r w:rsidR="00A954D0">
        <w:rPr>
          <w:rFonts w:ascii="Bookman Old Style" w:hAnsi="Bookman Old Style"/>
          <w:lang w:val="id-ID"/>
        </w:rPr>
        <w:t xml:space="preserve"> </w:t>
      </w:r>
      <w:r w:rsidRPr="00BF3751">
        <w:rPr>
          <w:rFonts w:ascii="Bookman Old Style" w:hAnsi="Bookman Old Style"/>
          <w:lang w:val="id-ID"/>
        </w:rPr>
        <w:t>kegiatan</w:t>
      </w:r>
      <w:r w:rsidR="00A954D0">
        <w:rPr>
          <w:rFonts w:ascii="Bookman Old Style" w:hAnsi="Bookman Old Style"/>
          <w:lang w:val="id-ID"/>
        </w:rPr>
        <w:t xml:space="preserve"> </w:t>
      </w:r>
      <w:r w:rsidRPr="00BF3751">
        <w:rPr>
          <w:rFonts w:ascii="Bookman Old Style" w:hAnsi="Bookman Old Style"/>
          <w:lang w:val="id-ID"/>
        </w:rPr>
        <w:t>prioritas</w:t>
      </w:r>
      <w:r w:rsidR="00A954D0">
        <w:rPr>
          <w:rFonts w:ascii="Bookman Old Style" w:hAnsi="Bookman Old Style"/>
          <w:lang w:val="id-ID"/>
        </w:rPr>
        <w:t xml:space="preserve"> </w:t>
      </w:r>
      <w:r w:rsidRPr="00BF3751">
        <w:rPr>
          <w:rFonts w:ascii="Bookman Old Style" w:hAnsi="Bookman Old Style"/>
          <w:lang w:val="id-ID"/>
        </w:rPr>
        <w:t>sebagaimana</w:t>
      </w:r>
      <w:r w:rsidR="00A954D0">
        <w:rPr>
          <w:rFonts w:ascii="Bookman Old Style" w:hAnsi="Bookman Old Style"/>
          <w:lang w:val="id-ID"/>
        </w:rPr>
        <w:t xml:space="preserve"> </w:t>
      </w:r>
      <w:r w:rsidRPr="00BF3751">
        <w:rPr>
          <w:rFonts w:ascii="Bookman Old Style" w:hAnsi="Bookman Old Style"/>
          <w:lang w:val="id-ID"/>
        </w:rPr>
        <w:t>tercantum</w:t>
      </w:r>
      <w:r w:rsidR="00A954D0">
        <w:rPr>
          <w:rFonts w:ascii="Bookman Old Style" w:hAnsi="Bookman Old Style"/>
          <w:lang w:val="id-ID"/>
        </w:rPr>
        <w:t xml:space="preserve"> </w:t>
      </w:r>
      <w:r w:rsidRPr="00BF3751">
        <w:rPr>
          <w:rFonts w:ascii="Bookman Old Style" w:hAnsi="Bookman Old Style"/>
          <w:lang w:val="id-ID"/>
        </w:rPr>
        <w:t>dalam</w:t>
      </w:r>
      <w:r w:rsidR="00A954D0">
        <w:rPr>
          <w:rFonts w:ascii="Bookman Old Style" w:hAnsi="Bookman Old Style"/>
          <w:lang w:val="id-ID"/>
        </w:rPr>
        <w:t xml:space="preserve"> </w:t>
      </w:r>
      <w:r w:rsidRPr="00BF3751">
        <w:rPr>
          <w:rFonts w:ascii="Bookman Old Style" w:hAnsi="Bookman Old Style"/>
          <w:lang w:val="id-ID"/>
        </w:rPr>
        <w:t>RKPD,</w:t>
      </w:r>
      <w:r w:rsidR="00A954D0">
        <w:rPr>
          <w:rFonts w:ascii="Bookman Old Style" w:hAnsi="Bookman Old Style"/>
          <w:lang w:val="id-ID"/>
        </w:rPr>
        <w:t xml:space="preserve"> </w:t>
      </w:r>
      <w:r w:rsidRPr="00BF3751">
        <w:rPr>
          <w:rFonts w:ascii="Bookman Old Style" w:hAnsi="Bookman Old Style"/>
          <w:lang w:val="id-ID"/>
        </w:rPr>
        <w:t>KUA</w:t>
      </w:r>
      <w:r w:rsidR="00A954D0">
        <w:rPr>
          <w:rFonts w:ascii="Bookman Old Style" w:hAnsi="Bookman Old Style"/>
          <w:lang w:val="id-ID"/>
        </w:rPr>
        <w:t xml:space="preserve"> </w:t>
      </w:r>
      <w:r w:rsidRPr="00BF3751">
        <w:rPr>
          <w:rFonts w:ascii="Bookman Old Style" w:hAnsi="Bookman Old Style"/>
          <w:lang w:val="id-ID"/>
        </w:rPr>
        <w:t>dan</w:t>
      </w:r>
      <w:r w:rsidR="00A954D0">
        <w:rPr>
          <w:rFonts w:ascii="Bookman Old Style" w:hAnsi="Bookman Old Style"/>
          <w:lang w:val="id-ID"/>
        </w:rPr>
        <w:t xml:space="preserve"> </w:t>
      </w:r>
      <w:r w:rsidRPr="00BF3751">
        <w:rPr>
          <w:rFonts w:ascii="Bookman Old Style" w:hAnsi="Bookman Old Style"/>
          <w:lang w:val="id-ID"/>
        </w:rPr>
        <w:t>PPAS</w:t>
      </w:r>
      <w:r w:rsidR="00A954D0">
        <w:rPr>
          <w:rFonts w:ascii="Bookman Old Style" w:hAnsi="Bookman Old Style"/>
          <w:lang w:val="id-ID"/>
        </w:rPr>
        <w:t xml:space="preserve"> </w:t>
      </w:r>
      <w:r w:rsidRPr="00BF3751">
        <w:rPr>
          <w:rFonts w:ascii="Bookman Old Style" w:hAnsi="Bookman Old Style"/>
          <w:lang w:val="id-ID"/>
        </w:rPr>
        <w:t>yang</w:t>
      </w:r>
      <w:r w:rsidR="00A954D0">
        <w:rPr>
          <w:rFonts w:ascii="Bookman Old Style" w:hAnsi="Bookman Old Style"/>
          <w:lang w:val="id-ID"/>
        </w:rPr>
        <w:t xml:space="preserve"> </w:t>
      </w:r>
      <w:r w:rsidRPr="00BF3751">
        <w:rPr>
          <w:rFonts w:ascii="Bookman Old Style" w:hAnsi="Bookman Old Style"/>
          <w:lang w:val="id-ID"/>
        </w:rPr>
        <w:t>menunjang</w:t>
      </w:r>
      <w:r w:rsidR="00A954D0">
        <w:rPr>
          <w:rFonts w:ascii="Bookman Old Style" w:hAnsi="Bookman Old Style"/>
          <w:lang w:val="id-ID"/>
        </w:rPr>
        <w:t xml:space="preserve"> </w:t>
      </w:r>
      <w:r w:rsidRPr="00BF3751">
        <w:rPr>
          <w:rFonts w:ascii="Bookman Old Style" w:hAnsi="Bookman Old Style"/>
          <w:lang w:val="id-ID"/>
        </w:rPr>
        <w:t>pencapaian</w:t>
      </w:r>
      <w:r w:rsidR="00A954D0">
        <w:rPr>
          <w:rFonts w:ascii="Bookman Old Style" w:hAnsi="Bookman Old Style"/>
          <w:lang w:val="id-ID"/>
        </w:rPr>
        <w:t xml:space="preserve"> </w:t>
      </w:r>
      <w:r w:rsidRPr="00BF3751">
        <w:rPr>
          <w:rFonts w:ascii="Bookman Old Style" w:hAnsi="Bookman Old Style"/>
          <w:lang w:val="id-ID"/>
        </w:rPr>
        <w:t>17</w:t>
      </w:r>
      <w:r w:rsidR="00A954D0">
        <w:rPr>
          <w:rFonts w:ascii="Bookman Old Style" w:hAnsi="Bookman Old Style"/>
          <w:lang w:val="id-ID"/>
        </w:rPr>
        <w:t xml:space="preserve"> </w:t>
      </w:r>
      <w:r w:rsidRPr="00BF3751">
        <w:rPr>
          <w:rFonts w:ascii="Bookman Old Style" w:hAnsi="Bookman Old Style"/>
          <w:lang w:val="id-ID"/>
        </w:rPr>
        <w:t>(tujuh</w:t>
      </w:r>
      <w:r w:rsidR="00A954D0">
        <w:rPr>
          <w:rFonts w:ascii="Bookman Old Style" w:hAnsi="Bookman Old Style"/>
          <w:lang w:val="id-ID"/>
        </w:rPr>
        <w:t xml:space="preserve"> </w:t>
      </w:r>
      <w:r w:rsidRPr="00BF3751">
        <w:rPr>
          <w:rFonts w:ascii="Bookman Old Style" w:hAnsi="Bookman Old Style"/>
          <w:lang w:val="id-ID"/>
        </w:rPr>
        <w:t>belas)</w:t>
      </w:r>
      <w:r w:rsidR="00A954D0">
        <w:rPr>
          <w:rFonts w:ascii="Bookman Old Style" w:hAnsi="Bookman Old Style"/>
          <w:lang w:val="id-ID"/>
        </w:rPr>
        <w:t xml:space="preserve"> </w:t>
      </w:r>
      <w:r w:rsidRPr="00BF3751">
        <w:rPr>
          <w:rFonts w:ascii="Bookman Old Style" w:hAnsi="Bookman Old Style"/>
          <w:lang w:val="id-ID"/>
        </w:rPr>
        <w:t>Program</w:t>
      </w:r>
      <w:r w:rsidR="00A954D0">
        <w:rPr>
          <w:rFonts w:ascii="Bookman Old Style" w:hAnsi="Bookman Old Style"/>
          <w:lang w:val="id-ID"/>
        </w:rPr>
        <w:t xml:space="preserve"> </w:t>
      </w:r>
      <w:r w:rsidRPr="00BF3751">
        <w:rPr>
          <w:rFonts w:ascii="Bookman Old Style" w:hAnsi="Bookman Old Style"/>
          <w:lang w:val="id-ID"/>
        </w:rPr>
        <w:t>Prioritas</w:t>
      </w:r>
      <w:r w:rsidR="00A954D0">
        <w:rPr>
          <w:rFonts w:ascii="Bookman Old Style" w:hAnsi="Bookman Old Style"/>
          <w:lang w:val="id-ID"/>
        </w:rPr>
        <w:t xml:space="preserve"> </w:t>
      </w:r>
      <w:r w:rsidRPr="00BF3751">
        <w:rPr>
          <w:rFonts w:ascii="Bookman Old Style" w:hAnsi="Bookman Old Style"/>
          <w:lang w:val="id-ID"/>
        </w:rPr>
        <w:t>dan</w:t>
      </w:r>
      <w:r w:rsidR="00A954D0">
        <w:rPr>
          <w:rFonts w:ascii="Bookman Old Style" w:hAnsi="Bookman Old Style"/>
          <w:lang w:val="id-ID"/>
        </w:rPr>
        <w:t xml:space="preserve"> </w:t>
      </w:r>
      <w:r w:rsidRPr="00BF3751">
        <w:rPr>
          <w:rFonts w:ascii="Bookman Old Style" w:hAnsi="Bookman Old Style"/>
          <w:lang w:val="id-ID"/>
        </w:rPr>
        <w:t>8</w:t>
      </w:r>
      <w:r w:rsidR="00A954D0">
        <w:rPr>
          <w:rFonts w:ascii="Bookman Old Style" w:hAnsi="Bookman Old Style"/>
          <w:lang w:val="id-ID"/>
        </w:rPr>
        <w:t xml:space="preserve"> </w:t>
      </w:r>
      <w:r w:rsidRPr="00BF3751">
        <w:rPr>
          <w:rFonts w:ascii="Bookman Old Style" w:hAnsi="Bookman Old Style"/>
          <w:lang w:val="id-ID"/>
        </w:rPr>
        <w:t>(delapan)</w:t>
      </w:r>
      <w:r w:rsidR="00A954D0">
        <w:rPr>
          <w:rFonts w:ascii="Bookman Old Style" w:hAnsi="Bookman Old Style"/>
          <w:lang w:val="id-ID"/>
        </w:rPr>
        <w:t xml:space="preserve"> </w:t>
      </w:r>
      <w:r w:rsidRPr="00BF3751">
        <w:rPr>
          <w:rFonts w:ascii="Bookman Old Style" w:hAnsi="Bookman Old Style"/>
          <w:lang w:val="id-ID"/>
        </w:rPr>
        <w:t>misi</w:t>
      </w:r>
      <w:r w:rsidR="00A954D0">
        <w:rPr>
          <w:rFonts w:ascii="Bookman Old Style" w:hAnsi="Bookman Old Style"/>
          <w:lang w:val="id-ID"/>
        </w:rPr>
        <w:t xml:space="preserve"> </w:t>
      </w:r>
      <w:r w:rsidRPr="00BF3751">
        <w:rPr>
          <w:rFonts w:ascii="Bookman Old Style" w:hAnsi="Bookman Old Style"/>
          <w:lang w:val="id-ID"/>
        </w:rPr>
        <w:t>atau</w:t>
      </w:r>
      <w:r w:rsidR="00A954D0">
        <w:rPr>
          <w:rFonts w:ascii="Bookman Old Style" w:hAnsi="Bookman Old Style"/>
          <w:lang w:val="id-ID"/>
        </w:rPr>
        <w:t xml:space="preserve"> </w:t>
      </w:r>
      <w:r w:rsidRPr="00BF3751">
        <w:rPr>
          <w:rFonts w:ascii="Bookman Old Style" w:hAnsi="Bookman Old Style"/>
          <w:lang w:val="id-ID"/>
        </w:rPr>
        <w:t>Asta</w:t>
      </w:r>
      <w:r w:rsidR="00A954D0">
        <w:rPr>
          <w:rFonts w:ascii="Bookman Old Style" w:hAnsi="Bookman Old Style"/>
          <w:lang w:val="id-ID"/>
        </w:rPr>
        <w:t xml:space="preserve"> </w:t>
      </w:r>
      <w:r w:rsidRPr="00BF3751">
        <w:rPr>
          <w:rFonts w:ascii="Bookman Old Style" w:hAnsi="Bookman Old Style"/>
          <w:lang w:val="id-ID"/>
        </w:rPr>
        <w:t>Cita,</w:t>
      </w:r>
      <w:r w:rsidR="00A954D0">
        <w:rPr>
          <w:rFonts w:ascii="Bookman Old Style" w:hAnsi="Bookman Old Style"/>
          <w:lang w:val="id-ID"/>
        </w:rPr>
        <w:t xml:space="preserve"> </w:t>
      </w:r>
      <w:r w:rsidRPr="00BF3751">
        <w:rPr>
          <w:rFonts w:ascii="Bookman Old Style" w:hAnsi="Bookman Old Style"/>
          <w:lang w:val="id-ID"/>
        </w:rPr>
        <w:t>Prioritas</w:t>
      </w:r>
      <w:r w:rsidR="00A954D0">
        <w:rPr>
          <w:rFonts w:ascii="Bookman Old Style" w:hAnsi="Bookman Old Style"/>
          <w:lang w:val="id-ID"/>
        </w:rPr>
        <w:t xml:space="preserve"> </w:t>
      </w:r>
      <w:r w:rsidRPr="00BF3751">
        <w:rPr>
          <w:rFonts w:ascii="Bookman Old Style" w:hAnsi="Bookman Old Style"/>
          <w:lang w:val="id-ID"/>
        </w:rPr>
        <w:t>Pembangunan</w:t>
      </w:r>
      <w:r w:rsidR="00A954D0">
        <w:rPr>
          <w:rFonts w:ascii="Bookman Old Style" w:hAnsi="Bookman Old Style"/>
          <w:lang w:val="id-ID"/>
        </w:rPr>
        <w:t xml:space="preserve"> </w:t>
      </w:r>
      <w:r w:rsidRPr="00BF3751">
        <w:rPr>
          <w:rFonts w:ascii="Bookman Old Style" w:hAnsi="Bookman Old Style"/>
          <w:lang w:val="id-ID"/>
        </w:rPr>
        <w:t>Nasional</w:t>
      </w:r>
      <w:r w:rsidR="00A954D0">
        <w:rPr>
          <w:rFonts w:ascii="Bookman Old Style" w:hAnsi="Bookman Old Style"/>
          <w:lang w:val="id-ID"/>
        </w:rPr>
        <w:t xml:space="preserve"> </w:t>
      </w:r>
      <w:r w:rsidRPr="00BF3751">
        <w:rPr>
          <w:rFonts w:ascii="Bookman Old Style" w:hAnsi="Bookman Old Style"/>
          <w:lang w:val="id-ID"/>
        </w:rPr>
        <w:t>Tahun</w:t>
      </w:r>
      <w:r w:rsidR="00A954D0">
        <w:rPr>
          <w:rFonts w:ascii="Bookman Old Style" w:hAnsi="Bookman Old Style"/>
          <w:lang w:val="id-ID"/>
        </w:rPr>
        <w:t xml:space="preserve"> </w:t>
      </w:r>
      <w:r w:rsidRPr="00BF3751">
        <w:rPr>
          <w:rFonts w:ascii="Bookman Old Style" w:hAnsi="Bookman Old Style"/>
          <w:lang w:val="id-ID"/>
        </w:rPr>
        <w:t>2025</w:t>
      </w:r>
      <w:r w:rsidR="00A954D0">
        <w:rPr>
          <w:rFonts w:ascii="Bookman Old Style" w:hAnsi="Bookman Old Style"/>
          <w:lang w:val="id-ID"/>
        </w:rPr>
        <w:t xml:space="preserve"> </w:t>
      </w:r>
      <w:r w:rsidRPr="00BF3751">
        <w:rPr>
          <w:rFonts w:ascii="Bookman Old Style" w:hAnsi="Bookman Old Style"/>
          <w:lang w:val="id-ID"/>
        </w:rPr>
        <w:t>sesuai</w:t>
      </w:r>
      <w:r w:rsidR="00A954D0">
        <w:rPr>
          <w:rFonts w:ascii="Bookman Old Style" w:hAnsi="Bookman Old Style"/>
          <w:lang w:val="id-ID"/>
        </w:rPr>
        <w:t xml:space="preserve"> </w:t>
      </w:r>
      <w:r w:rsidRPr="00BF3751">
        <w:rPr>
          <w:rFonts w:ascii="Bookman Old Style" w:hAnsi="Bookman Old Style"/>
          <w:lang w:val="id-ID"/>
        </w:rPr>
        <w:t>dengan</w:t>
      </w:r>
      <w:r w:rsidR="00A954D0">
        <w:rPr>
          <w:rFonts w:ascii="Bookman Old Style" w:hAnsi="Bookman Old Style"/>
          <w:lang w:val="id-ID"/>
        </w:rPr>
        <w:t xml:space="preserve"> </w:t>
      </w:r>
      <w:r w:rsidRPr="00BF3751">
        <w:rPr>
          <w:rFonts w:ascii="Bookman Old Style" w:hAnsi="Bookman Old Style"/>
          <w:lang w:val="id-ID"/>
        </w:rPr>
        <w:t>kewenangan</w:t>
      </w:r>
      <w:r w:rsidR="00A954D0">
        <w:rPr>
          <w:rFonts w:ascii="Bookman Old Style" w:hAnsi="Bookman Old Style"/>
          <w:lang w:val="id-ID"/>
        </w:rPr>
        <w:t xml:space="preserve"> </w:t>
      </w:r>
      <w:r w:rsidRPr="00BF3751">
        <w:rPr>
          <w:rFonts w:ascii="Bookman Old Style" w:hAnsi="Bookman Old Style"/>
          <w:lang w:val="id-ID"/>
        </w:rPr>
        <w:t>Pemerintah</w:t>
      </w:r>
      <w:r w:rsidR="00A954D0">
        <w:rPr>
          <w:rFonts w:ascii="Bookman Old Style" w:hAnsi="Bookman Old Style"/>
          <w:lang w:val="id-ID"/>
        </w:rPr>
        <w:t xml:space="preserve"> </w:t>
      </w:r>
      <w:r w:rsidRPr="00BF3751">
        <w:rPr>
          <w:rFonts w:ascii="Bookman Old Style" w:hAnsi="Bookman Old Style" w:cs="Arial"/>
          <w:lang w:val="de-DE"/>
        </w:rPr>
        <w:t>Daerah</w:t>
      </w:r>
      <w:r w:rsidR="00A954D0">
        <w:rPr>
          <w:rFonts w:ascii="Bookman Old Style" w:hAnsi="Bookman Old Style" w:cs="Arial"/>
          <w:lang w:val="de-DE"/>
        </w:rPr>
        <w:t xml:space="preserve"> </w:t>
      </w:r>
      <w:r w:rsidR="00EC6F08" w:rsidRPr="00BF3751">
        <w:rPr>
          <w:rFonts w:ascii="Bookman Old Style" w:hAnsi="Bookman Old Style" w:cs="Arial"/>
          <w:lang w:val="id-ID"/>
        </w:rPr>
        <w:t>Kota</w:t>
      </w:r>
      <w:r w:rsidR="00A954D0">
        <w:rPr>
          <w:rFonts w:ascii="Bookman Old Style" w:hAnsi="Bookman Old Style" w:cs="Arial"/>
          <w:lang w:val="id-ID"/>
        </w:rPr>
        <w:t xml:space="preserve"> </w:t>
      </w:r>
      <w:r w:rsidR="00770F22" w:rsidRPr="00BF3751">
        <w:rPr>
          <w:rFonts w:ascii="Bookman Old Style" w:hAnsi="Bookman Old Style" w:cs="Arial"/>
          <w:lang w:val="id-ID"/>
        </w:rPr>
        <w:t>Tangerang</w:t>
      </w:r>
      <w:r w:rsidRPr="00BF3751">
        <w:rPr>
          <w:rFonts w:ascii="Bookman Old Style" w:hAnsi="Bookman Old Style"/>
          <w:lang w:val="id-ID"/>
        </w:rPr>
        <w:t>,</w:t>
      </w:r>
      <w:r w:rsidR="00A954D0">
        <w:rPr>
          <w:rFonts w:ascii="Bookman Old Style" w:hAnsi="Bookman Old Style"/>
          <w:lang w:val="id-ID"/>
        </w:rPr>
        <w:t xml:space="preserve"> </w:t>
      </w:r>
      <w:r w:rsidRPr="00BF3751">
        <w:rPr>
          <w:rFonts w:ascii="Bookman Old Style" w:hAnsi="Bookman Old Style"/>
          <w:lang w:val="id-ID"/>
        </w:rPr>
        <w:t>penanganan</w:t>
      </w:r>
      <w:r w:rsidR="00A954D0">
        <w:rPr>
          <w:rFonts w:ascii="Bookman Old Style" w:hAnsi="Bookman Old Style"/>
          <w:lang w:val="id-ID"/>
        </w:rPr>
        <w:t xml:space="preserve"> </w:t>
      </w:r>
      <w:r w:rsidRPr="00BF3751">
        <w:rPr>
          <w:rFonts w:ascii="Bookman Old Style" w:hAnsi="Bookman Old Style"/>
          <w:lang w:val="id-ID"/>
        </w:rPr>
        <w:t>inflasi,</w:t>
      </w:r>
      <w:r w:rsidR="00A954D0">
        <w:rPr>
          <w:rFonts w:ascii="Bookman Old Style" w:hAnsi="Bookman Old Style"/>
          <w:lang w:val="id-ID"/>
        </w:rPr>
        <w:t xml:space="preserve"> </w:t>
      </w:r>
      <w:r w:rsidRPr="00BF3751">
        <w:rPr>
          <w:rFonts w:ascii="Bookman Old Style" w:hAnsi="Bookman Old Style"/>
          <w:lang w:val="id-ID"/>
        </w:rPr>
        <w:t>pemenuhan</w:t>
      </w:r>
      <w:r w:rsidR="00A954D0">
        <w:rPr>
          <w:rFonts w:ascii="Bookman Old Style" w:hAnsi="Bookman Old Style"/>
          <w:lang w:val="id-ID"/>
        </w:rPr>
        <w:t xml:space="preserve"> </w:t>
      </w:r>
      <w:r w:rsidRPr="00BF3751">
        <w:rPr>
          <w:rFonts w:ascii="Bookman Old Style" w:hAnsi="Bookman Old Style"/>
          <w:lang w:val="id-ID"/>
        </w:rPr>
        <w:t>alokasi</w:t>
      </w:r>
      <w:r w:rsidR="00A954D0">
        <w:rPr>
          <w:rFonts w:ascii="Bookman Old Style" w:hAnsi="Bookman Old Style"/>
          <w:lang w:val="id-ID"/>
        </w:rPr>
        <w:t xml:space="preserve"> </w:t>
      </w:r>
      <w:r w:rsidRPr="00BF3751">
        <w:rPr>
          <w:rFonts w:ascii="Bookman Old Style" w:hAnsi="Bookman Old Style"/>
          <w:lang w:val="id-ID"/>
        </w:rPr>
        <w:t>anggaran</w:t>
      </w:r>
      <w:r w:rsidR="00A954D0">
        <w:rPr>
          <w:rFonts w:ascii="Bookman Old Style" w:hAnsi="Bookman Old Style"/>
          <w:lang w:val="id-ID"/>
        </w:rPr>
        <w:t xml:space="preserve"> </w:t>
      </w:r>
      <w:r w:rsidRPr="00BF3751">
        <w:rPr>
          <w:rFonts w:ascii="Bookman Old Style" w:hAnsi="Bookman Old Style"/>
          <w:lang w:val="id-ID"/>
        </w:rPr>
        <w:t>Belanja</w:t>
      </w:r>
      <w:r w:rsidR="00A954D0">
        <w:rPr>
          <w:rFonts w:ascii="Bookman Old Style" w:hAnsi="Bookman Old Style"/>
          <w:lang w:val="id-ID"/>
        </w:rPr>
        <w:t xml:space="preserve"> </w:t>
      </w:r>
      <w:r w:rsidRPr="00BF3751">
        <w:rPr>
          <w:rFonts w:ascii="Bookman Old Style" w:hAnsi="Bookman Old Style"/>
          <w:lang w:val="id-ID"/>
        </w:rPr>
        <w:t>Infrastruktur</w:t>
      </w:r>
      <w:r w:rsidR="00A954D0">
        <w:rPr>
          <w:rFonts w:ascii="Bookman Old Style" w:hAnsi="Bookman Old Style"/>
          <w:lang w:val="id-ID"/>
        </w:rPr>
        <w:t xml:space="preserve"> </w:t>
      </w:r>
      <w:r w:rsidRPr="00BF3751">
        <w:rPr>
          <w:rFonts w:ascii="Bookman Old Style" w:hAnsi="Bookman Old Style"/>
          <w:lang w:val="id-ID"/>
        </w:rPr>
        <w:t>Pelayanan</w:t>
      </w:r>
      <w:r w:rsidR="00A954D0">
        <w:rPr>
          <w:rFonts w:ascii="Bookman Old Style" w:hAnsi="Bookman Old Style"/>
          <w:lang w:val="id-ID"/>
        </w:rPr>
        <w:t xml:space="preserve"> </w:t>
      </w:r>
      <w:r w:rsidRPr="00BF3751">
        <w:rPr>
          <w:rFonts w:ascii="Bookman Old Style" w:hAnsi="Bookman Old Style"/>
          <w:lang w:val="id-ID"/>
        </w:rPr>
        <w:t>Publik</w:t>
      </w:r>
      <w:r w:rsidR="00A954D0">
        <w:rPr>
          <w:rFonts w:ascii="Bookman Old Style" w:hAnsi="Bookman Old Style"/>
          <w:lang w:val="id-ID"/>
        </w:rPr>
        <w:t xml:space="preserve"> </w:t>
      </w:r>
      <w:r w:rsidRPr="00BF3751">
        <w:rPr>
          <w:rFonts w:ascii="Bookman Old Style" w:hAnsi="Bookman Old Style"/>
          <w:lang w:val="id-ID"/>
        </w:rPr>
        <w:t>paling</w:t>
      </w:r>
      <w:r w:rsidR="00A954D0">
        <w:rPr>
          <w:rFonts w:ascii="Bookman Old Style" w:hAnsi="Bookman Old Style"/>
          <w:lang w:val="id-ID"/>
        </w:rPr>
        <w:t xml:space="preserve"> </w:t>
      </w:r>
      <w:r w:rsidRPr="00BF3751">
        <w:rPr>
          <w:rFonts w:ascii="Bookman Old Style" w:hAnsi="Bookman Old Style"/>
          <w:lang w:val="id-ID"/>
        </w:rPr>
        <w:t>rendah</w:t>
      </w:r>
      <w:r w:rsidR="00A954D0">
        <w:rPr>
          <w:rFonts w:ascii="Bookman Old Style" w:hAnsi="Bookman Old Style"/>
          <w:lang w:val="id-ID"/>
        </w:rPr>
        <w:t xml:space="preserve"> </w:t>
      </w:r>
      <w:r w:rsidRPr="00BF3751">
        <w:rPr>
          <w:rFonts w:ascii="Bookman Old Style" w:hAnsi="Bookman Old Style"/>
          <w:lang w:val="id-ID"/>
        </w:rPr>
        <w:t>40%</w:t>
      </w:r>
      <w:r w:rsidR="00A954D0">
        <w:rPr>
          <w:rFonts w:ascii="Bookman Old Style" w:hAnsi="Bookman Old Style"/>
          <w:lang w:val="id-ID"/>
        </w:rPr>
        <w:t xml:space="preserve"> </w:t>
      </w:r>
      <w:r w:rsidRPr="00BF3751">
        <w:rPr>
          <w:rFonts w:ascii="Bookman Old Style" w:hAnsi="Bookman Old Style"/>
          <w:lang w:val="id-ID"/>
        </w:rPr>
        <w:t>(empat</w:t>
      </w:r>
      <w:r w:rsidR="00A954D0">
        <w:rPr>
          <w:rFonts w:ascii="Bookman Old Style" w:hAnsi="Bookman Old Style"/>
          <w:lang w:val="id-ID"/>
        </w:rPr>
        <w:t xml:space="preserve"> </w:t>
      </w:r>
      <w:r w:rsidRPr="00BF3751">
        <w:rPr>
          <w:rFonts w:ascii="Bookman Old Style" w:hAnsi="Bookman Old Style"/>
          <w:lang w:val="id-ID"/>
        </w:rPr>
        <w:t>puluh</w:t>
      </w:r>
      <w:r w:rsidR="00A954D0">
        <w:rPr>
          <w:rFonts w:ascii="Bookman Old Style" w:hAnsi="Bookman Old Style"/>
          <w:lang w:val="id-ID"/>
        </w:rPr>
        <w:t xml:space="preserve"> </w:t>
      </w:r>
      <w:r w:rsidRPr="00BF3751">
        <w:rPr>
          <w:rFonts w:ascii="Bookman Old Style" w:hAnsi="Bookman Old Style"/>
          <w:lang w:val="id-ID"/>
        </w:rPr>
        <w:t>persen)</w:t>
      </w:r>
      <w:r w:rsidR="00A954D0">
        <w:rPr>
          <w:rFonts w:ascii="Bookman Old Style" w:hAnsi="Bookman Old Style"/>
          <w:lang w:val="id-ID"/>
        </w:rPr>
        <w:t xml:space="preserve"> </w:t>
      </w:r>
      <w:r w:rsidRPr="00BF3751">
        <w:rPr>
          <w:rFonts w:ascii="Bookman Old Style" w:hAnsi="Bookman Old Style"/>
          <w:lang w:val="id-ID"/>
        </w:rPr>
        <w:t>dari</w:t>
      </w:r>
      <w:r w:rsidR="00A954D0">
        <w:rPr>
          <w:rFonts w:ascii="Bookman Old Style" w:hAnsi="Bookman Old Style"/>
          <w:lang w:val="id-ID"/>
        </w:rPr>
        <w:t xml:space="preserve"> </w:t>
      </w:r>
      <w:r w:rsidRPr="00BF3751">
        <w:rPr>
          <w:rFonts w:ascii="Bookman Old Style" w:hAnsi="Bookman Old Style"/>
          <w:lang w:val="id-ID"/>
        </w:rPr>
        <w:t>total</w:t>
      </w:r>
      <w:r w:rsidR="00A954D0">
        <w:rPr>
          <w:rFonts w:ascii="Bookman Old Style" w:hAnsi="Bookman Old Style"/>
          <w:lang w:val="id-ID"/>
        </w:rPr>
        <w:t xml:space="preserve"> </w:t>
      </w:r>
      <w:r w:rsidRPr="00BF3751">
        <w:rPr>
          <w:rFonts w:ascii="Bookman Old Style" w:hAnsi="Bookman Old Style"/>
          <w:lang w:val="id-ID"/>
        </w:rPr>
        <w:t>belanja</w:t>
      </w:r>
      <w:r w:rsidR="00A954D0">
        <w:rPr>
          <w:rFonts w:ascii="Bookman Old Style" w:hAnsi="Bookman Old Style"/>
          <w:lang w:val="id-ID"/>
        </w:rPr>
        <w:t xml:space="preserve"> </w:t>
      </w:r>
      <w:r w:rsidRPr="00BF3751">
        <w:rPr>
          <w:rFonts w:ascii="Bookman Old Style" w:hAnsi="Bookman Old Style"/>
          <w:lang w:val="id-ID"/>
        </w:rPr>
        <w:t>daerah</w:t>
      </w:r>
      <w:r w:rsidR="00A954D0">
        <w:rPr>
          <w:rFonts w:ascii="Bookman Old Style" w:hAnsi="Bookman Old Style"/>
          <w:lang w:val="id-ID"/>
        </w:rPr>
        <w:t xml:space="preserve"> </w:t>
      </w:r>
      <w:r w:rsidRPr="00BF3751">
        <w:rPr>
          <w:rFonts w:ascii="Bookman Old Style" w:hAnsi="Bookman Old Style"/>
          <w:lang w:val="id-ID"/>
        </w:rPr>
        <w:t>di</w:t>
      </w:r>
      <w:r w:rsidR="00A954D0">
        <w:rPr>
          <w:rFonts w:ascii="Bookman Old Style" w:hAnsi="Bookman Old Style"/>
          <w:lang w:val="id-ID"/>
        </w:rPr>
        <w:t xml:space="preserve"> </w:t>
      </w:r>
      <w:r w:rsidRPr="00BF3751">
        <w:rPr>
          <w:rFonts w:ascii="Bookman Old Style" w:hAnsi="Bookman Old Style"/>
          <w:lang w:val="id-ID"/>
        </w:rPr>
        <w:t>luar</w:t>
      </w:r>
      <w:r w:rsidR="00A954D0">
        <w:rPr>
          <w:rFonts w:ascii="Bookman Old Style" w:hAnsi="Bookman Old Style"/>
          <w:lang w:val="id-ID"/>
        </w:rPr>
        <w:t xml:space="preserve"> </w:t>
      </w:r>
      <w:r w:rsidRPr="00BF3751">
        <w:rPr>
          <w:rFonts w:ascii="Bookman Old Style" w:hAnsi="Bookman Old Style"/>
          <w:lang w:val="id-ID"/>
        </w:rPr>
        <w:t>Belanja</w:t>
      </w:r>
      <w:r w:rsidR="00A954D0">
        <w:rPr>
          <w:rFonts w:ascii="Bookman Old Style" w:hAnsi="Bookman Old Style"/>
          <w:lang w:val="id-ID"/>
        </w:rPr>
        <w:t xml:space="preserve"> </w:t>
      </w:r>
      <w:r w:rsidRPr="00BF3751">
        <w:rPr>
          <w:rFonts w:ascii="Bookman Old Style" w:hAnsi="Bookman Old Style"/>
          <w:lang w:val="id-ID"/>
        </w:rPr>
        <w:t>Bagi</w:t>
      </w:r>
      <w:r w:rsidR="00A954D0">
        <w:rPr>
          <w:rFonts w:ascii="Bookman Old Style" w:hAnsi="Bookman Old Style"/>
          <w:lang w:val="id-ID"/>
        </w:rPr>
        <w:t xml:space="preserve"> </w:t>
      </w:r>
      <w:r w:rsidRPr="00BF3751">
        <w:rPr>
          <w:rFonts w:ascii="Bookman Old Style" w:hAnsi="Bookman Old Style"/>
          <w:lang w:val="id-ID"/>
        </w:rPr>
        <w:t>Hasil</w:t>
      </w:r>
      <w:r w:rsidR="00A954D0">
        <w:rPr>
          <w:rFonts w:ascii="Bookman Old Style" w:hAnsi="Bookman Old Style"/>
          <w:lang w:val="id-ID"/>
        </w:rPr>
        <w:t xml:space="preserve"> </w:t>
      </w:r>
      <w:r w:rsidRPr="00BF3751">
        <w:rPr>
          <w:rFonts w:ascii="Bookman Old Style" w:hAnsi="Bookman Old Style"/>
          <w:lang w:val="id-ID"/>
        </w:rPr>
        <w:t>dan/atau</w:t>
      </w:r>
      <w:r w:rsidR="00A954D0">
        <w:rPr>
          <w:rFonts w:ascii="Bookman Old Style" w:hAnsi="Bookman Old Style"/>
          <w:lang w:val="id-ID"/>
        </w:rPr>
        <w:t xml:space="preserve"> </w:t>
      </w:r>
      <w:r w:rsidRPr="00BF3751">
        <w:rPr>
          <w:rFonts w:ascii="Bookman Old Style" w:hAnsi="Bookman Old Style"/>
          <w:lang w:val="id-ID"/>
        </w:rPr>
        <w:t>Transfer</w:t>
      </w:r>
      <w:r w:rsidR="00A954D0">
        <w:rPr>
          <w:rFonts w:ascii="Bookman Old Style" w:hAnsi="Bookman Old Style"/>
          <w:lang w:val="id-ID"/>
        </w:rPr>
        <w:t xml:space="preserve"> </w:t>
      </w:r>
      <w:r w:rsidRPr="00BF3751">
        <w:rPr>
          <w:rFonts w:ascii="Bookman Old Style" w:hAnsi="Bookman Old Style"/>
          <w:lang w:val="id-ID"/>
        </w:rPr>
        <w:t>Kepada</w:t>
      </w:r>
      <w:r w:rsidR="00A954D0">
        <w:rPr>
          <w:rFonts w:ascii="Bookman Old Style" w:hAnsi="Bookman Old Style"/>
          <w:lang w:val="id-ID"/>
        </w:rPr>
        <w:t xml:space="preserve"> </w:t>
      </w:r>
      <w:r w:rsidRPr="00BF3751">
        <w:rPr>
          <w:rFonts w:ascii="Bookman Old Style" w:hAnsi="Bookman Old Style"/>
          <w:lang w:val="id-ID"/>
        </w:rPr>
        <w:t>Daerah</w:t>
      </w:r>
      <w:r w:rsidR="00A954D0">
        <w:rPr>
          <w:rFonts w:ascii="Bookman Old Style" w:hAnsi="Bookman Old Style"/>
          <w:lang w:val="id-ID"/>
        </w:rPr>
        <w:t xml:space="preserve"> </w:t>
      </w:r>
      <w:r w:rsidRPr="00BF3751">
        <w:rPr>
          <w:rFonts w:ascii="Bookman Old Style" w:hAnsi="Bookman Old Style"/>
          <w:lang w:val="id-ID"/>
        </w:rPr>
        <w:t>dan/atau</w:t>
      </w:r>
      <w:r w:rsidR="00A954D0">
        <w:rPr>
          <w:rFonts w:ascii="Bookman Old Style" w:hAnsi="Bookman Old Style"/>
          <w:lang w:val="id-ID"/>
        </w:rPr>
        <w:t xml:space="preserve"> </w:t>
      </w:r>
      <w:r w:rsidRPr="00BF3751">
        <w:rPr>
          <w:rFonts w:ascii="Bookman Old Style" w:hAnsi="Bookman Old Style"/>
          <w:lang w:val="id-ID"/>
        </w:rPr>
        <w:t>Desa,</w:t>
      </w:r>
      <w:r w:rsidR="00A954D0">
        <w:rPr>
          <w:rFonts w:ascii="Bookman Old Style" w:hAnsi="Bookman Old Style"/>
          <w:lang w:val="id-ID"/>
        </w:rPr>
        <w:t xml:space="preserve"> </w:t>
      </w:r>
      <w:r w:rsidRPr="00BF3751">
        <w:rPr>
          <w:rFonts w:ascii="Bookman Old Style" w:hAnsi="Bookman Old Style"/>
          <w:lang w:val="id-ID"/>
        </w:rPr>
        <w:t>alokasi</w:t>
      </w:r>
      <w:r w:rsidR="00A954D0">
        <w:rPr>
          <w:rFonts w:ascii="Bookman Old Style" w:hAnsi="Bookman Old Style"/>
          <w:lang w:val="id-ID"/>
        </w:rPr>
        <w:t xml:space="preserve"> </w:t>
      </w:r>
      <w:r w:rsidRPr="00BF3751">
        <w:rPr>
          <w:rFonts w:ascii="Bookman Old Style" w:hAnsi="Bookman Old Style"/>
          <w:lang w:val="id-ID"/>
        </w:rPr>
        <w:t>anggaran</w:t>
      </w:r>
      <w:r w:rsidR="00A954D0">
        <w:rPr>
          <w:rFonts w:ascii="Bookman Old Style" w:hAnsi="Bookman Old Style"/>
          <w:lang w:val="id-ID"/>
        </w:rPr>
        <w:t xml:space="preserve"> </w:t>
      </w:r>
      <w:r w:rsidRPr="00BF3751">
        <w:rPr>
          <w:rFonts w:ascii="Bookman Old Style" w:hAnsi="Bookman Old Style"/>
          <w:lang w:val="id-ID"/>
        </w:rPr>
        <w:t>Penguatan</w:t>
      </w:r>
      <w:r w:rsidR="00A954D0">
        <w:rPr>
          <w:rFonts w:ascii="Bookman Old Style" w:hAnsi="Bookman Old Style"/>
          <w:lang w:val="id-ID"/>
        </w:rPr>
        <w:t xml:space="preserve"> </w:t>
      </w:r>
      <w:r w:rsidRPr="00BF3751">
        <w:rPr>
          <w:rFonts w:ascii="Bookman Old Style" w:hAnsi="Bookman Old Style"/>
          <w:lang w:val="id-ID"/>
        </w:rPr>
        <w:t>Pembinaan</w:t>
      </w:r>
      <w:r w:rsidR="00A954D0">
        <w:rPr>
          <w:rFonts w:ascii="Bookman Old Style" w:hAnsi="Bookman Old Style"/>
          <w:lang w:val="id-ID"/>
        </w:rPr>
        <w:t xml:space="preserve"> </w:t>
      </w:r>
      <w:r w:rsidRPr="00BF3751">
        <w:rPr>
          <w:rFonts w:ascii="Bookman Old Style" w:hAnsi="Bookman Old Style"/>
          <w:lang w:val="id-ID"/>
        </w:rPr>
        <w:t>dan</w:t>
      </w:r>
      <w:r w:rsidR="00A954D0">
        <w:rPr>
          <w:rFonts w:ascii="Bookman Old Style" w:hAnsi="Bookman Old Style"/>
          <w:lang w:val="id-ID"/>
        </w:rPr>
        <w:t xml:space="preserve"> </w:t>
      </w:r>
      <w:r w:rsidRPr="00BF3751">
        <w:rPr>
          <w:rFonts w:ascii="Bookman Old Style" w:hAnsi="Bookman Old Style"/>
          <w:lang w:val="id-ID"/>
        </w:rPr>
        <w:t>Pengawasan</w:t>
      </w:r>
      <w:r w:rsidR="00A954D0">
        <w:rPr>
          <w:rFonts w:ascii="Bookman Old Style" w:hAnsi="Bookman Old Style" w:cs="Arial"/>
          <w:shd w:val="clear" w:color="auto" w:fill="FFFFFF"/>
          <w:lang w:val="de-DE"/>
        </w:rPr>
        <w:t xml:space="preserve"> </w:t>
      </w:r>
      <w:r w:rsidRPr="00BF3751">
        <w:rPr>
          <w:rFonts w:ascii="Bookman Old Style" w:hAnsi="Bookman Old Style" w:cs="Arial"/>
          <w:shd w:val="clear" w:color="auto" w:fill="FFFFFF"/>
          <w:lang w:val="de-DE"/>
        </w:rPr>
        <w:t>pada</w:t>
      </w:r>
      <w:r w:rsidR="00A954D0">
        <w:rPr>
          <w:rFonts w:ascii="Bookman Old Style" w:hAnsi="Bookman Old Style" w:cs="Arial"/>
          <w:shd w:val="clear" w:color="auto" w:fill="FFFFFF"/>
          <w:lang w:val="de-DE"/>
        </w:rPr>
        <w:t xml:space="preserve"> </w:t>
      </w:r>
      <w:r w:rsidRPr="00BF3751">
        <w:rPr>
          <w:rFonts w:ascii="Bookman Old Style" w:hAnsi="Bookman Old Style" w:cs="Arial"/>
          <w:shd w:val="clear" w:color="auto" w:fill="FFFFFF"/>
          <w:lang w:val="id-ID"/>
        </w:rPr>
        <w:t>I</w:t>
      </w:r>
      <w:r w:rsidRPr="00BF3751">
        <w:rPr>
          <w:rFonts w:ascii="Bookman Old Style" w:hAnsi="Bookman Old Style" w:cs="Arial"/>
          <w:shd w:val="clear" w:color="auto" w:fill="FFFFFF"/>
          <w:lang w:val="de-DE"/>
        </w:rPr>
        <w:t>nspektorat</w:t>
      </w:r>
      <w:r w:rsidR="00A954D0">
        <w:rPr>
          <w:rFonts w:ascii="Bookman Old Style" w:hAnsi="Bookman Old Style" w:cs="Arial"/>
          <w:shd w:val="clear" w:color="auto" w:fill="FFFFFF"/>
          <w:lang w:val="de-DE"/>
        </w:rPr>
        <w:t xml:space="preserve"> </w:t>
      </w:r>
      <w:r w:rsidRPr="00BF3751">
        <w:rPr>
          <w:rFonts w:ascii="Bookman Old Style" w:hAnsi="Bookman Old Style" w:cs="Arial"/>
          <w:lang w:val="de-DE"/>
        </w:rPr>
        <w:t>Daerah</w:t>
      </w:r>
      <w:r w:rsidR="00A954D0">
        <w:rPr>
          <w:rFonts w:ascii="Bookman Old Style" w:hAnsi="Bookman Old Style" w:cs="Arial"/>
          <w:lang w:val="de-DE"/>
        </w:rPr>
        <w:t xml:space="preserve"> </w:t>
      </w:r>
      <w:r w:rsidRPr="00BF3751">
        <w:rPr>
          <w:rFonts w:ascii="Bookman Old Style" w:hAnsi="Bookman Old Style"/>
          <w:lang w:val="id-ID"/>
        </w:rPr>
        <w:t>paling</w:t>
      </w:r>
      <w:r w:rsidR="00A954D0">
        <w:rPr>
          <w:rFonts w:ascii="Bookman Old Style" w:hAnsi="Bookman Old Style"/>
          <w:lang w:val="id-ID"/>
        </w:rPr>
        <w:t xml:space="preserve"> </w:t>
      </w:r>
      <w:r w:rsidRPr="00BF3751">
        <w:rPr>
          <w:rFonts w:ascii="Bookman Old Style" w:hAnsi="Bookman Old Style"/>
          <w:lang w:val="id-ID"/>
        </w:rPr>
        <w:t>sedikit</w:t>
      </w:r>
      <w:r w:rsidR="00A954D0">
        <w:rPr>
          <w:rFonts w:ascii="Bookman Old Style" w:hAnsi="Bookman Old Style"/>
          <w:lang w:val="id-ID"/>
        </w:rPr>
        <w:t xml:space="preserve"> </w:t>
      </w:r>
      <w:r w:rsidRPr="00BF3751">
        <w:rPr>
          <w:rFonts w:ascii="Bookman Old Style" w:hAnsi="Bookman Old Style" w:cs="Arial"/>
          <w:lang w:val="id-ID"/>
        </w:rPr>
        <w:t>sebesar</w:t>
      </w:r>
      <w:r w:rsidR="00A954D0">
        <w:rPr>
          <w:rFonts w:ascii="Bookman Old Style" w:hAnsi="Bookman Old Style" w:cs="Arial"/>
          <w:lang w:val="id-ID"/>
        </w:rPr>
        <w:t xml:space="preserve"> </w:t>
      </w:r>
      <w:r w:rsidRPr="00BF3751">
        <w:rPr>
          <w:rFonts w:ascii="Bookman Old Style" w:hAnsi="Bookman Old Style" w:cs="Arial"/>
          <w:lang w:val="id-ID"/>
        </w:rPr>
        <w:t>0,</w:t>
      </w:r>
      <w:r w:rsidR="004A7683" w:rsidRPr="00BF3751">
        <w:rPr>
          <w:rFonts w:ascii="Bookman Old Style" w:hAnsi="Bookman Old Style" w:cs="Arial"/>
          <w:lang w:val="id-ID"/>
        </w:rPr>
        <w:t>5</w:t>
      </w:r>
      <w:r w:rsidRPr="00BF3751">
        <w:rPr>
          <w:rFonts w:ascii="Bookman Old Style" w:hAnsi="Bookman Old Style" w:cs="Arial"/>
          <w:lang w:val="id-ID"/>
        </w:rPr>
        <w:t>0%</w:t>
      </w:r>
      <w:r w:rsidR="00A954D0">
        <w:rPr>
          <w:rFonts w:ascii="Bookman Old Style" w:hAnsi="Bookman Old Style" w:cs="Arial"/>
          <w:lang w:val="id-ID"/>
        </w:rPr>
        <w:t xml:space="preserve"> </w:t>
      </w:r>
      <w:r w:rsidRPr="00BF3751">
        <w:rPr>
          <w:rFonts w:ascii="Bookman Old Style" w:hAnsi="Bookman Old Style" w:cs="Arial"/>
          <w:lang w:val="id-ID"/>
        </w:rPr>
        <w:t>(nol</w:t>
      </w:r>
      <w:r w:rsidR="00A954D0">
        <w:rPr>
          <w:rFonts w:ascii="Bookman Old Style" w:hAnsi="Bookman Old Style" w:cs="Arial"/>
          <w:lang w:val="id-ID"/>
        </w:rPr>
        <w:t xml:space="preserve"> </w:t>
      </w:r>
      <w:r w:rsidRPr="00BF3751">
        <w:rPr>
          <w:rFonts w:ascii="Bookman Old Style" w:hAnsi="Bookman Old Style" w:cs="Arial"/>
          <w:lang w:val="id-ID"/>
        </w:rPr>
        <w:t>koma</w:t>
      </w:r>
      <w:r w:rsidR="00A954D0">
        <w:rPr>
          <w:rFonts w:ascii="Bookman Old Style" w:hAnsi="Bookman Old Style" w:cs="Arial"/>
          <w:lang w:val="id-ID"/>
        </w:rPr>
        <w:t xml:space="preserve"> </w:t>
      </w:r>
      <w:r w:rsidR="004A7683" w:rsidRPr="00BF3751">
        <w:rPr>
          <w:rFonts w:ascii="Bookman Old Style" w:hAnsi="Bookman Old Style" w:cs="Arial"/>
          <w:lang w:val="id-ID"/>
        </w:rPr>
        <w:t>lima</w:t>
      </w:r>
      <w:r w:rsidR="00A954D0">
        <w:rPr>
          <w:rFonts w:ascii="Bookman Old Style" w:hAnsi="Bookman Old Style" w:cs="Arial"/>
          <w:lang w:val="id-ID"/>
        </w:rPr>
        <w:t xml:space="preserve"> </w:t>
      </w:r>
      <w:r w:rsidRPr="00BF3751">
        <w:rPr>
          <w:rFonts w:ascii="Bookman Old Style" w:hAnsi="Bookman Old Style" w:cs="Arial"/>
          <w:lang w:val="id-ID"/>
        </w:rPr>
        <w:t>puluh</w:t>
      </w:r>
      <w:r w:rsidR="00A954D0">
        <w:rPr>
          <w:rFonts w:ascii="Bookman Old Style" w:hAnsi="Bookman Old Style" w:cs="Arial"/>
          <w:lang w:val="id-ID"/>
        </w:rPr>
        <w:t xml:space="preserve"> </w:t>
      </w:r>
      <w:r w:rsidRPr="00BF3751">
        <w:rPr>
          <w:rFonts w:ascii="Bookman Old Style" w:hAnsi="Bookman Old Style" w:cs="Arial"/>
          <w:lang w:val="id-ID"/>
        </w:rPr>
        <w:t>persen)</w:t>
      </w:r>
      <w:r w:rsidR="00A954D0">
        <w:rPr>
          <w:rFonts w:ascii="Bookman Old Style" w:hAnsi="Bookman Old Style" w:cs="Arial"/>
          <w:lang w:val="id-ID"/>
        </w:rPr>
        <w:t xml:space="preserve"> </w:t>
      </w:r>
      <w:r w:rsidRPr="00BF3751">
        <w:rPr>
          <w:rFonts w:ascii="Bookman Old Style" w:hAnsi="Bookman Old Style" w:cs="Arial"/>
          <w:lang w:val="id-ID"/>
        </w:rPr>
        <w:t>dari</w:t>
      </w:r>
      <w:r w:rsidR="00A954D0">
        <w:rPr>
          <w:rFonts w:ascii="Bookman Old Style" w:hAnsi="Bookman Old Style" w:cs="Arial"/>
          <w:lang w:val="id-ID"/>
        </w:rPr>
        <w:t xml:space="preserve"> </w:t>
      </w:r>
      <w:r w:rsidRPr="00BF3751">
        <w:rPr>
          <w:rFonts w:ascii="Bookman Old Style" w:hAnsi="Bookman Old Style" w:cs="Arial"/>
          <w:lang w:val="id-ID"/>
        </w:rPr>
        <w:t>total</w:t>
      </w:r>
      <w:r w:rsidR="00A954D0">
        <w:rPr>
          <w:rFonts w:ascii="Bookman Old Style" w:hAnsi="Bookman Old Style" w:cs="Arial"/>
          <w:lang w:val="id-ID"/>
        </w:rPr>
        <w:t xml:space="preserve"> </w:t>
      </w:r>
      <w:r w:rsidRPr="00BF3751">
        <w:rPr>
          <w:rFonts w:ascii="Bookman Old Style" w:hAnsi="Bookman Old Style" w:cs="Arial"/>
          <w:lang w:val="id-ID"/>
        </w:rPr>
        <w:t>belanja</w:t>
      </w:r>
      <w:r w:rsidR="00A954D0">
        <w:rPr>
          <w:rFonts w:ascii="Bookman Old Style" w:hAnsi="Bookman Old Style" w:cs="Arial"/>
          <w:lang w:val="id-ID"/>
        </w:rPr>
        <w:t xml:space="preserve"> </w:t>
      </w:r>
      <w:r w:rsidRPr="00BF3751">
        <w:rPr>
          <w:rFonts w:ascii="Bookman Old Style" w:hAnsi="Bookman Old Style" w:cs="Arial"/>
          <w:lang w:val="id-ID"/>
        </w:rPr>
        <w:t>daerah</w:t>
      </w:r>
      <w:r w:rsidR="00A954D0">
        <w:rPr>
          <w:rFonts w:ascii="Bookman Old Style" w:hAnsi="Bookman Old Style" w:cs="Arial"/>
          <w:lang w:val="id-ID"/>
        </w:rPr>
        <w:t xml:space="preserve"> </w:t>
      </w:r>
      <w:r w:rsidRPr="00BF3751">
        <w:rPr>
          <w:rFonts w:ascii="Bookman Old Style" w:hAnsi="Bookman Old Style" w:cs="Arial"/>
          <w:lang w:val="id-ID"/>
        </w:rPr>
        <w:t>dan</w:t>
      </w:r>
      <w:r w:rsidR="00A954D0">
        <w:rPr>
          <w:rFonts w:ascii="Bookman Old Style" w:hAnsi="Bookman Old Style" w:cs="Arial"/>
          <w:lang w:val="id-ID"/>
        </w:rPr>
        <w:t xml:space="preserve"> </w:t>
      </w:r>
      <w:r w:rsidRPr="00BF3751">
        <w:rPr>
          <w:rFonts w:ascii="Bookman Old Style" w:hAnsi="Bookman Old Style" w:cs="Arial"/>
          <w:lang w:val="id-ID"/>
        </w:rPr>
        <w:t>diatas</w:t>
      </w:r>
      <w:r w:rsidR="00A954D0">
        <w:rPr>
          <w:rFonts w:ascii="Bookman Old Style" w:hAnsi="Bookman Old Style" w:cs="Arial"/>
          <w:lang w:val="id-ID"/>
        </w:rPr>
        <w:t xml:space="preserve"> </w:t>
      </w:r>
      <w:r w:rsidRPr="00BF3751">
        <w:rPr>
          <w:rFonts w:ascii="Bookman Old Style" w:hAnsi="Bookman Old Style" w:cs="Arial"/>
          <w:lang w:val="id-ID"/>
        </w:rPr>
        <w:t>Rp</w:t>
      </w:r>
      <w:r w:rsidR="004A7683" w:rsidRPr="00BF3751">
        <w:rPr>
          <w:rFonts w:ascii="Bookman Old Style" w:hAnsi="Bookman Old Style" w:cs="Arial"/>
          <w:lang w:val="id-ID"/>
        </w:rPr>
        <w:t>15</w:t>
      </w:r>
      <w:r w:rsidRPr="00BF3751">
        <w:rPr>
          <w:rFonts w:ascii="Bookman Old Style" w:hAnsi="Bookman Old Style" w:cs="Arial"/>
          <w:lang w:val="id-ID"/>
        </w:rPr>
        <w:t>.000.000.000,00</w:t>
      </w:r>
      <w:r w:rsidR="00A954D0">
        <w:rPr>
          <w:rFonts w:ascii="Bookman Old Style" w:hAnsi="Bookman Old Style" w:cs="Arial"/>
          <w:lang w:val="id-ID"/>
        </w:rPr>
        <w:t xml:space="preserve"> </w:t>
      </w:r>
      <w:r w:rsidRPr="00BF3751">
        <w:rPr>
          <w:rFonts w:ascii="Bookman Old Style" w:hAnsi="Bookman Old Style" w:cs="Arial"/>
          <w:lang w:val="id-ID"/>
        </w:rPr>
        <w:t>(</w:t>
      </w:r>
      <w:r w:rsidR="004A7683" w:rsidRPr="00BF3751">
        <w:rPr>
          <w:rFonts w:ascii="Bookman Old Style" w:hAnsi="Bookman Old Style" w:cs="Arial"/>
          <w:lang w:val="id-ID"/>
        </w:rPr>
        <w:t>lima</w:t>
      </w:r>
      <w:r w:rsidR="00A954D0">
        <w:rPr>
          <w:rFonts w:ascii="Bookman Old Style" w:hAnsi="Bookman Old Style" w:cs="Arial"/>
          <w:lang w:val="id-ID"/>
        </w:rPr>
        <w:t xml:space="preserve"> </w:t>
      </w:r>
      <w:r w:rsidR="004A7683" w:rsidRPr="00BF3751">
        <w:rPr>
          <w:rFonts w:ascii="Bookman Old Style" w:hAnsi="Bookman Old Style" w:cs="Arial"/>
          <w:lang w:val="id-ID"/>
        </w:rPr>
        <w:t>belas</w:t>
      </w:r>
      <w:r w:rsidR="00A954D0">
        <w:rPr>
          <w:rFonts w:ascii="Bookman Old Style" w:hAnsi="Bookman Old Style" w:cs="Arial"/>
          <w:lang w:val="id-ID"/>
        </w:rPr>
        <w:t xml:space="preserve"> </w:t>
      </w:r>
      <w:r w:rsidRPr="00BF3751">
        <w:rPr>
          <w:rFonts w:ascii="Bookman Old Style" w:hAnsi="Bookman Old Style" w:cs="Arial"/>
          <w:lang w:val="id-ID"/>
        </w:rPr>
        <w:t>miliar</w:t>
      </w:r>
      <w:r w:rsidR="00A954D0">
        <w:rPr>
          <w:rFonts w:ascii="Bookman Old Style" w:hAnsi="Bookman Old Style" w:cs="Arial"/>
          <w:lang w:val="id-ID"/>
        </w:rPr>
        <w:t xml:space="preserve"> </w:t>
      </w:r>
      <w:r w:rsidRPr="00BF3751">
        <w:rPr>
          <w:rFonts w:ascii="Bookman Old Style" w:hAnsi="Bookman Old Style" w:cs="Arial"/>
          <w:lang w:val="id-ID"/>
        </w:rPr>
        <w:t>rupiah)</w:t>
      </w:r>
      <w:r w:rsidR="00A954D0">
        <w:rPr>
          <w:rFonts w:ascii="Bookman Old Style" w:hAnsi="Bookman Old Style" w:cs="Arial"/>
          <w:lang w:val="id-ID"/>
        </w:rPr>
        <w:t xml:space="preserve"> </w:t>
      </w:r>
      <w:r w:rsidRPr="00BF3751">
        <w:rPr>
          <w:rFonts w:ascii="Bookman Old Style" w:hAnsi="Bookman Old Style" w:cs="Arial"/>
          <w:lang w:val="id-ID"/>
        </w:rPr>
        <w:t>tidak</w:t>
      </w:r>
      <w:r w:rsidR="00A954D0">
        <w:rPr>
          <w:rFonts w:ascii="Bookman Old Style" w:hAnsi="Bookman Old Style" w:cs="Arial"/>
          <w:lang w:val="id-ID"/>
        </w:rPr>
        <w:t xml:space="preserve"> </w:t>
      </w:r>
      <w:r w:rsidRPr="00BF3751">
        <w:rPr>
          <w:rFonts w:ascii="Bookman Old Style" w:hAnsi="Bookman Old Style" w:cs="Arial"/>
          <w:lang w:val="id-ID"/>
        </w:rPr>
        <w:t>termasuk</w:t>
      </w:r>
      <w:r w:rsidR="00A954D0">
        <w:rPr>
          <w:rFonts w:ascii="Bookman Old Style" w:hAnsi="Bookman Old Style" w:cs="Arial"/>
          <w:lang w:val="id-ID"/>
        </w:rPr>
        <w:t xml:space="preserve"> </w:t>
      </w:r>
      <w:r w:rsidRPr="00BF3751">
        <w:rPr>
          <w:rFonts w:ascii="Bookman Old Style" w:hAnsi="Bookman Old Style" w:cs="Arial"/>
          <w:lang w:val="id-ID"/>
        </w:rPr>
        <w:t>belanja</w:t>
      </w:r>
      <w:r w:rsidR="00A954D0">
        <w:rPr>
          <w:rFonts w:ascii="Bookman Old Style" w:hAnsi="Bookman Old Style" w:cs="Arial"/>
          <w:lang w:val="id-ID"/>
        </w:rPr>
        <w:t xml:space="preserve"> </w:t>
      </w:r>
      <w:r w:rsidRPr="00BF3751">
        <w:rPr>
          <w:rFonts w:ascii="Bookman Old Style" w:hAnsi="Bookman Old Style" w:cs="Arial"/>
          <w:lang w:val="id-ID"/>
        </w:rPr>
        <w:t>gaji</w:t>
      </w:r>
      <w:r w:rsidR="004A7683" w:rsidRPr="00BF3751">
        <w:rPr>
          <w:rFonts w:ascii="Bookman Old Style" w:hAnsi="Bookman Old Style" w:cs="Arial"/>
          <w:lang w:val="id-ID"/>
        </w:rPr>
        <w:t>,</w:t>
      </w:r>
      <w:r w:rsidR="00A954D0">
        <w:rPr>
          <w:rFonts w:ascii="Bookman Old Style" w:hAnsi="Bookman Old Style" w:cs="Arial"/>
          <w:lang w:val="id-ID"/>
        </w:rPr>
        <w:t xml:space="preserve"> </w:t>
      </w:r>
      <w:r w:rsidRPr="00BF3751">
        <w:rPr>
          <w:rFonts w:ascii="Bookman Old Style" w:hAnsi="Bookman Old Style" w:cs="Arial"/>
          <w:lang w:val="id-ID"/>
        </w:rPr>
        <w:t>tunjangan</w:t>
      </w:r>
      <w:r w:rsidR="00A954D0">
        <w:rPr>
          <w:rFonts w:ascii="Bookman Old Style" w:hAnsi="Bookman Old Style" w:cs="Arial"/>
          <w:lang w:val="id-ID"/>
        </w:rPr>
        <w:t xml:space="preserve"> </w:t>
      </w:r>
      <w:r w:rsidR="004A7683" w:rsidRPr="00BF3751">
        <w:rPr>
          <w:rFonts w:ascii="Bookman Old Style" w:hAnsi="Bookman Old Style" w:cs="Arial"/>
          <w:lang w:val="id-ID"/>
        </w:rPr>
        <w:t>dan</w:t>
      </w:r>
      <w:r w:rsidR="00A954D0">
        <w:rPr>
          <w:rFonts w:ascii="Bookman Old Style" w:hAnsi="Bookman Old Style" w:cs="Arial"/>
          <w:lang w:val="id-ID"/>
        </w:rPr>
        <w:t xml:space="preserve"> </w:t>
      </w:r>
      <w:r w:rsidR="004A7683" w:rsidRPr="00BF3751">
        <w:rPr>
          <w:rFonts w:ascii="Bookman Old Style" w:hAnsi="Bookman Old Style" w:cs="Arial"/>
          <w:lang w:val="id-ID"/>
        </w:rPr>
        <w:t>TP</w:t>
      </w:r>
      <w:r w:rsidR="00A954D0">
        <w:rPr>
          <w:rFonts w:ascii="Bookman Old Style" w:hAnsi="Bookman Old Style" w:cs="Arial"/>
          <w:lang w:val="id-ID"/>
        </w:rPr>
        <w:t xml:space="preserve"> </w:t>
      </w:r>
      <w:r w:rsidRPr="00BF3751">
        <w:rPr>
          <w:rFonts w:ascii="Bookman Old Style" w:hAnsi="Bookman Old Style" w:cs="Arial"/>
          <w:lang w:val="id-ID"/>
        </w:rPr>
        <w:t>ASN</w:t>
      </w:r>
      <w:r w:rsidR="00A954D0">
        <w:rPr>
          <w:rFonts w:ascii="Bookman Old Style" w:hAnsi="Bookman Old Style" w:cs="Arial"/>
          <w:lang w:val="id-ID"/>
        </w:rPr>
        <w:t xml:space="preserve"> </w:t>
      </w:r>
      <w:r w:rsidRPr="00BF3751">
        <w:rPr>
          <w:rFonts w:ascii="Bookman Old Style" w:hAnsi="Bookman Old Style" w:cs="Arial"/>
          <w:lang w:val="id-ID"/>
        </w:rPr>
        <w:t>pada</w:t>
      </w:r>
      <w:r w:rsidR="00A954D0">
        <w:rPr>
          <w:rFonts w:ascii="Bookman Old Style" w:hAnsi="Bookman Old Style" w:cs="Arial"/>
          <w:lang w:val="id-ID"/>
        </w:rPr>
        <w:t xml:space="preserve"> </w:t>
      </w:r>
      <w:r w:rsidRPr="00BF3751">
        <w:rPr>
          <w:rFonts w:ascii="Bookman Old Style" w:hAnsi="Bookman Old Style" w:cs="Arial"/>
          <w:lang w:val="id-ID"/>
        </w:rPr>
        <w:t>SKPD</w:t>
      </w:r>
      <w:r w:rsidR="00A954D0">
        <w:rPr>
          <w:rFonts w:ascii="Bookman Old Style" w:hAnsi="Bookman Old Style" w:cs="Arial"/>
          <w:lang w:val="id-ID"/>
        </w:rPr>
        <w:t xml:space="preserve"> </w:t>
      </w:r>
      <w:r w:rsidRPr="00BF3751">
        <w:rPr>
          <w:rFonts w:ascii="Bookman Old Style" w:hAnsi="Bookman Old Style" w:cs="Arial"/>
          <w:lang w:val="id-ID"/>
        </w:rPr>
        <w:t>Inspektorat,</w:t>
      </w:r>
      <w:r w:rsidR="00A954D0">
        <w:rPr>
          <w:rFonts w:ascii="Bookman Old Style" w:hAnsi="Bookman Old Style" w:cs="Arial"/>
          <w:lang w:val="id-ID"/>
        </w:rPr>
        <w:t xml:space="preserve"> </w:t>
      </w:r>
      <w:r w:rsidRPr="00BF3751">
        <w:rPr>
          <w:rFonts w:ascii="Bookman Old Style" w:hAnsi="Bookman Old Style"/>
          <w:lang w:val="id-ID"/>
        </w:rPr>
        <w:t>alokasi</w:t>
      </w:r>
      <w:r w:rsidR="00A954D0">
        <w:rPr>
          <w:rFonts w:ascii="Bookman Old Style" w:hAnsi="Bookman Old Style"/>
          <w:lang w:val="id-ID"/>
        </w:rPr>
        <w:t xml:space="preserve"> </w:t>
      </w:r>
      <w:r w:rsidRPr="00BF3751">
        <w:rPr>
          <w:rFonts w:ascii="Bookman Old Style" w:hAnsi="Bookman Old Style"/>
          <w:lang w:val="id-ID"/>
        </w:rPr>
        <w:t>anggaran</w:t>
      </w:r>
      <w:r w:rsidR="00A954D0">
        <w:rPr>
          <w:rFonts w:ascii="Bookman Old Style" w:hAnsi="Bookman Old Style"/>
          <w:lang w:val="id-ID"/>
        </w:rPr>
        <w:t xml:space="preserve"> </w:t>
      </w:r>
      <w:r w:rsidRPr="00BF3751">
        <w:rPr>
          <w:rFonts w:ascii="Bookman Old Style" w:hAnsi="Bookman Old Style"/>
          <w:lang w:val="id-ID"/>
        </w:rPr>
        <w:t>untuk</w:t>
      </w:r>
      <w:r w:rsidR="00A954D0">
        <w:rPr>
          <w:rFonts w:ascii="Bookman Old Style" w:hAnsi="Bookman Old Style"/>
          <w:lang w:val="id-ID"/>
        </w:rPr>
        <w:t xml:space="preserve"> </w:t>
      </w:r>
      <w:r w:rsidRPr="00BF3751">
        <w:rPr>
          <w:rFonts w:ascii="Bookman Old Style" w:hAnsi="Bookman Old Style"/>
          <w:lang w:val="id-ID"/>
        </w:rPr>
        <w:t>pendidikan</w:t>
      </w:r>
      <w:r w:rsidR="00A954D0">
        <w:rPr>
          <w:rFonts w:ascii="Bookman Old Style" w:hAnsi="Bookman Old Style"/>
          <w:lang w:val="id-ID"/>
        </w:rPr>
        <w:t xml:space="preserve"> </w:t>
      </w:r>
      <w:r w:rsidRPr="00BF3751">
        <w:rPr>
          <w:rFonts w:ascii="Bookman Old Style" w:hAnsi="Bookman Old Style"/>
          <w:lang w:val="id-ID"/>
        </w:rPr>
        <w:t>dan</w:t>
      </w:r>
      <w:r w:rsidR="00A954D0">
        <w:rPr>
          <w:rFonts w:ascii="Bookman Old Style" w:hAnsi="Bookman Old Style"/>
          <w:lang w:val="id-ID"/>
        </w:rPr>
        <w:t xml:space="preserve"> </w:t>
      </w:r>
      <w:r w:rsidRPr="00BF3751">
        <w:rPr>
          <w:rFonts w:ascii="Bookman Old Style" w:hAnsi="Bookman Old Style"/>
          <w:lang w:val="id-ID"/>
        </w:rPr>
        <w:t>pelatihan</w:t>
      </w:r>
      <w:r w:rsidR="00A954D0">
        <w:rPr>
          <w:rFonts w:ascii="Bookman Old Style" w:hAnsi="Bookman Old Style"/>
          <w:lang w:val="id-ID"/>
        </w:rPr>
        <w:t xml:space="preserve"> </w:t>
      </w:r>
      <w:r w:rsidRPr="00BF3751">
        <w:rPr>
          <w:rFonts w:ascii="Bookman Old Style" w:hAnsi="Bookman Old Style"/>
          <w:lang w:val="id-ID"/>
        </w:rPr>
        <w:t>bagi</w:t>
      </w:r>
      <w:r w:rsidR="00A954D0">
        <w:rPr>
          <w:rFonts w:ascii="Bookman Old Style" w:hAnsi="Bookman Old Style"/>
          <w:lang w:val="id-ID"/>
        </w:rPr>
        <w:t xml:space="preserve"> </w:t>
      </w:r>
      <w:r w:rsidRPr="00BF3751">
        <w:rPr>
          <w:rFonts w:ascii="Bookman Old Style" w:hAnsi="Bookman Old Style"/>
          <w:lang w:val="id-ID"/>
        </w:rPr>
        <w:t>ASN</w:t>
      </w:r>
      <w:r w:rsidR="00A954D0">
        <w:rPr>
          <w:rFonts w:ascii="Bookman Old Style" w:hAnsi="Bookman Old Style"/>
          <w:lang w:val="id-ID"/>
        </w:rPr>
        <w:t xml:space="preserve"> </w:t>
      </w:r>
      <w:r w:rsidRPr="00BF3751">
        <w:rPr>
          <w:rFonts w:ascii="Bookman Old Style" w:hAnsi="Bookman Old Style"/>
          <w:lang w:val="id-ID"/>
        </w:rPr>
        <w:t>dalam</w:t>
      </w:r>
      <w:r w:rsidR="00A954D0">
        <w:rPr>
          <w:rFonts w:ascii="Bookman Old Style" w:hAnsi="Bookman Old Style"/>
          <w:lang w:val="id-ID"/>
        </w:rPr>
        <w:t xml:space="preserve"> </w:t>
      </w:r>
      <w:r w:rsidRPr="00BF3751">
        <w:rPr>
          <w:rFonts w:ascii="Bookman Old Style" w:hAnsi="Bookman Old Style"/>
          <w:lang w:val="id-ID"/>
        </w:rPr>
        <w:t>rangka</w:t>
      </w:r>
      <w:r w:rsidR="00A954D0">
        <w:rPr>
          <w:rFonts w:ascii="Bookman Old Style" w:hAnsi="Bookman Old Style"/>
          <w:lang w:val="id-ID"/>
        </w:rPr>
        <w:t xml:space="preserve"> </w:t>
      </w:r>
      <w:r w:rsidRPr="00BF3751">
        <w:rPr>
          <w:rFonts w:ascii="Bookman Old Style" w:hAnsi="Bookman Old Style"/>
          <w:lang w:val="id-ID"/>
        </w:rPr>
        <w:t>pengembangan</w:t>
      </w:r>
      <w:r w:rsidR="00A954D0">
        <w:rPr>
          <w:rFonts w:ascii="Bookman Old Style" w:hAnsi="Bookman Old Style"/>
          <w:lang w:val="id-ID"/>
        </w:rPr>
        <w:t xml:space="preserve"> </w:t>
      </w:r>
      <w:r w:rsidRPr="00BF3751">
        <w:rPr>
          <w:rFonts w:ascii="Bookman Old Style" w:hAnsi="Bookman Old Style"/>
          <w:lang w:val="id-ID"/>
        </w:rPr>
        <w:t>kompetensi</w:t>
      </w:r>
      <w:r w:rsidR="00A954D0">
        <w:rPr>
          <w:rFonts w:ascii="Bookman Old Style" w:hAnsi="Bookman Old Style"/>
          <w:lang w:val="id-ID"/>
        </w:rPr>
        <w:t xml:space="preserve"> </w:t>
      </w:r>
      <w:r w:rsidRPr="00BF3751">
        <w:rPr>
          <w:rFonts w:ascii="Bookman Old Style" w:hAnsi="Bookman Old Style"/>
          <w:lang w:val="id-ID"/>
        </w:rPr>
        <w:t>penyelenggara</w:t>
      </w:r>
      <w:r w:rsidR="00A954D0">
        <w:rPr>
          <w:rFonts w:ascii="Bookman Old Style" w:hAnsi="Bookman Old Style"/>
          <w:lang w:val="id-ID"/>
        </w:rPr>
        <w:t xml:space="preserve"> </w:t>
      </w:r>
      <w:r w:rsidRPr="00BF3751">
        <w:rPr>
          <w:rFonts w:ascii="Bookman Old Style" w:hAnsi="Bookman Old Style"/>
          <w:lang w:val="id-ID"/>
        </w:rPr>
        <w:t>pemerintah</w:t>
      </w:r>
      <w:r w:rsidR="00A954D0">
        <w:rPr>
          <w:rFonts w:ascii="Bookman Old Style" w:hAnsi="Bookman Old Style"/>
          <w:lang w:val="id-ID"/>
        </w:rPr>
        <w:t xml:space="preserve"> </w:t>
      </w:r>
      <w:r w:rsidRPr="00BF3751">
        <w:rPr>
          <w:rFonts w:ascii="Bookman Old Style" w:hAnsi="Bookman Old Style"/>
          <w:lang w:val="id-ID"/>
        </w:rPr>
        <w:t>daerah</w:t>
      </w:r>
      <w:r w:rsidR="00A954D0">
        <w:rPr>
          <w:rFonts w:ascii="Bookman Old Style" w:hAnsi="Bookman Old Style"/>
          <w:lang w:val="id-ID"/>
        </w:rPr>
        <w:t xml:space="preserve"> </w:t>
      </w:r>
      <w:r w:rsidRPr="00BF3751">
        <w:rPr>
          <w:rFonts w:ascii="Bookman Old Style" w:hAnsi="Bookman Old Style"/>
          <w:lang w:val="id-ID"/>
        </w:rPr>
        <w:t>paling</w:t>
      </w:r>
      <w:r w:rsidR="00A954D0">
        <w:rPr>
          <w:rFonts w:ascii="Bookman Old Style" w:hAnsi="Bookman Old Style"/>
          <w:lang w:val="id-ID"/>
        </w:rPr>
        <w:t xml:space="preserve"> </w:t>
      </w:r>
      <w:r w:rsidRPr="00BF3751">
        <w:rPr>
          <w:rFonts w:ascii="Bookman Old Style" w:hAnsi="Bookman Old Style"/>
          <w:lang w:val="id-ID"/>
        </w:rPr>
        <w:t>sedikit</w:t>
      </w:r>
      <w:r w:rsidR="00A954D0">
        <w:rPr>
          <w:rFonts w:ascii="Bookman Old Style" w:hAnsi="Bookman Old Style"/>
          <w:lang w:val="id-ID"/>
        </w:rPr>
        <w:t xml:space="preserve"> </w:t>
      </w:r>
      <w:r w:rsidRPr="00BF3751">
        <w:rPr>
          <w:rFonts w:ascii="Bookman Old Style" w:hAnsi="Bookman Old Style"/>
          <w:lang w:val="id-ID"/>
        </w:rPr>
        <w:t>0,</w:t>
      </w:r>
      <w:r w:rsidR="004A7683" w:rsidRPr="00BF3751">
        <w:rPr>
          <w:rFonts w:ascii="Bookman Old Style" w:hAnsi="Bookman Old Style"/>
          <w:lang w:val="id-ID"/>
        </w:rPr>
        <w:t>16</w:t>
      </w:r>
      <w:r w:rsidRPr="00BF3751">
        <w:rPr>
          <w:rFonts w:ascii="Bookman Old Style" w:hAnsi="Bookman Old Style"/>
          <w:lang w:val="id-ID"/>
        </w:rPr>
        <w:t>%</w:t>
      </w:r>
      <w:r w:rsidR="00A954D0">
        <w:rPr>
          <w:rFonts w:ascii="Bookman Old Style" w:hAnsi="Bookman Old Style"/>
          <w:lang w:val="id-ID"/>
        </w:rPr>
        <w:t xml:space="preserve"> </w:t>
      </w:r>
      <w:r w:rsidRPr="00BF3751">
        <w:rPr>
          <w:rFonts w:ascii="Bookman Old Style" w:hAnsi="Bookman Old Style"/>
          <w:lang w:val="id-ID"/>
        </w:rPr>
        <w:t>(nol</w:t>
      </w:r>
      <w:r w:rsidR="00A954D0">
        <w:rPr>
          <w:rFonts w:ascii="Bookman Old Style" w:hAnsi="Bookman Old Style"/>
          <w:lang w:val="id-ID"/>
        </w:rPr>
        <w:t xml:space="preserve"> </w:t>
      </w:r>
      <w:r w:rsidRPr="00BF3751">
        <w:rPr>
          <w:rFonts w:ascii="Bookman Old Style" w:hAnsi="Bookman Old Style"/>
          <w:lang w:val="id-ID"/>
        </w:rPr>
        <w:t>koma</w:t>
      </w:r>
      <w:r w:rsidR="00A954D0">
        <w:rPr>
          <w:rFonts w:ascii="Bookman Old Style" w:hAnsi="Bookman Old Style"/>
          <w:lang w:val="id-ID"/>
        </w:rPr>
        <w:t xml:space="preserve"> </w:t>
      </w:r>
      <w:r w:rsidR="004A7683" w:rsidRPr="00BF3751">
        <w:rPr>
          <w:rFonts w:ascii="Bookman Old Style" w:hAnsi="Bookman Old Style"/>
          <w:lang w:val="id-ID"/>
        </w:rPr>
        <w:t>enam</w:t>
      </w:r>
      <w:r w:rsidR="00A954D0">
        <w:rPr>
          <w:rFonts w:ascii="Bookman Old Style" w:hAnsi="Bookman Old Style"/>
          <w:lang w:val="id-ID"/>
        </w:rPr>
        <w:t xml:space="preserve"> </w:t>
      </w:r>
      <w:r w:rsidR="004A7683" w:rsidRPr="00BF3751">
        <w:rPr>
          <w:rFonts w:ascii="Bookman Old Style" w:hAnsi="Bookman Old Style"/>
          <w:lang w:val="id-ID"/>
        </w:rPr>
        <w:t>belas</w:t>
      </w:r>
      <w:r w:rsidR="00A954D0">
        <w:rPr>
          <w:rFonts w:ascii="Bookman Old Style" w:hAnsi="Bookman Old Style"/>
          <w:lang w:val="id-ID"/>
        </w:rPr>
        <w:t xml:space="preserve"> </w:t>
      </w:r>
      <w:r w:rsidRPr="00BF3751">
        <w:rPr>
          <w:rFonts w:ascii="Bookman Old Style" w:hAnsi="Bookman Old Style"/>
          <w:lang w:val="id-ID"/>
        </w:rPr>
        <w:t>persen)</w:t>
      </w:r>
      <w:r w:rsidR="00A954D0">
        <w:rPr>
          <w:rFonts w:ascii="Bookman Old Style" w:hAnsi="Bookman Old Style"/>
          <w:lang w:val="id-ID"/>
        </w:rPr>
        <w:t xml:space="preserve"> </w:t>
      </w:r>
      <w:r w:rsidRPr="00BF3751">
        <w:rPr>
          <w:rFonts w:ascii="Bookman Old Style" w:hAnsi="Bookman Old Style"/>
          <w:lang w:val="id-ID"/>
        </w:rPr>
        <w:t>dari</w:t>
      </w:r>
      <w:r w:rsidR="00A954D0">
        <w:rPr>
          <w:rFonts w:ascii="Bookman Old Style" w:hAnsi="Bookman Old Style"/>
          <w:lang w:val="id-ID"/>
        </w:rPr>
        <w:t xml:space="preserve"> </w:t>
      </w:r>
      <w:r w:rsidRPr="00BF3751">
        <w:rPr>
          <w:rFonts w:ascii="Bookman Old Style" w:hAnsi="Bookman Old Style"/>
          <w:lang w:val="id-ID"/>
        </w:rPr>
        <w:t>total</w:t>
      </w:r>
      <w:r w:rsidR="00A954D0">
        <w:rPr>
          <w:rFonts w:ascii="Bookman Old Style" w:hAnsi="Bookman Old Style"/>
          <w:lang w:val="id-ID"/>
        </w:rPr>
        <w:t xml:space="preserve"> </w:t>
      </w:r>
      <w:r w:rsidRPr="00BF3751">
        <w:rPr>
          <w:rFonts w:ascii="Bookman Old Style" w:hAnsi="Bookman Old Style"/>
          <w:lang w:val="id-ID"/>
        </w:rPr>
        <w:t>belanja</w:t>
      </w:r>
      <w:r w:rsidR="00A954D0">
        <w:rPr>
          <w:rFonts w:ascii="Bookman Old Style" w:hAnsi="Bookman Old Style"/>
          <w:lang w:val="id-ID"/>
        </w:rPr>
        <w:t xml:space="preserve"> </w:t>
      </w:r>
      <w:r w:rsidRPr="00BF3751">
        <w:rPr>
          <w:rFonts w:ascii="Bookman Old Style" w:hAnsi="Bookman Old Style"/>
          <w:lang w:val="id-ID"/>
        </w:rPr>
        <w:t>daerah</w:t>
      </w:r>
      <w:r w:rsidR="00A954D0">
        <w:rPr>
          <w:rFonts w:ascii="Bookman Old Style" w:hAnsi="Bookman Old Style" w:cs="Arial"/>
          <w:lang w:val="id-ID"/>
        </w:rPr>
        <w:t xml:space="preserve"> </w:t>
      </w:r>
      <w:r w:rsidRPr="00BF3751">
        <w:rPr>
          <w:rFonts w:ascii="Bookman Old Style" w:hAnsi="Bookman Old Style" w:cs="Arial"/>
          <w:lang w:val="id-ID"/>
        </w:rPr>
        <w:t>di</w:t>
      </w:r>
      <w:r w:rsidR="00A954D0">
        <w:rPr>
          <w:rFonts w:ascii="Bookman Old Style" w:hAnsi="Bookman Old Style" w:cs="Arial"/>
          <w:lang w:val="id-ID"/>
        </w:rPr>
        <w:t xml:space="preserve"> </w:t>
      </w:r>
      <w:r w:rsidRPr="00BF3751">
        <w:rPr>
          <w:rFonts w:ascii="Bookman Old Style" w:hAnsi="Bookman Old Style" w:cs="Arial"/>
          <w:lang w:val="id-ID"/>
        </w:rPr>
        <w:t>luar</w:t>
      </w:r>
      <w:r w:rsidR="00A954D0">
        <w:rPr>
          <w:rFonts w:ascii="Bookman Old Style" w:hAnsi="Bookman Old Style" w:cs="Arial"/>
          <w:lang w:val="id-ID"/>
        </w:rPr>
        <w:t xml:space="preserve"> </w:t>
      </w:r>
      <w:r w:rsidRPr="00BF3751">
        <w:rPr>
          <w:rFonts w:ascii="Bookman Old Style" w:hAnsi="Bookman Old Style" w:cs="Arial"/>
          <w:lang w:val="id-ID"/>
        </w:rPr>
        <w:t>Belanja</w:t>
      </w:r>
      <w:r w:rsidR="00A954D0">
        <w:rPr>
          <w:rFonts w:ascii="Bookman Old Style" w:hAnsi="Bookman Old Style" w:cs="Arial"/>
          <w:lang w:val="id-ID"/>
        </w:rPr>
        <w:t xml:space="preserve"> </w:t>
      </w:r>
      <w:r w:rsidRPr="00BF3751">
        <w:rPr>
          <w:rFonts w:ascii="Bookman Old Style" w:hAnsi="Bookman Old Style" w:cs="Arial"/>
          <w:lang w:val="id-ID"/>
        </w:rPr>
        <w:t>Pegawai</w:t>
      </w:r>
      <w:r w:rsidR="00A954D0">
        <w:rPr>
          <w:rFonts w:ascii="Bookman Old Style" w:hAnsi="Bookman Old Style" w:cs="Arial"/>
          <w:lang w:val="id-ID"/>
        </w:rPr>
        <w:t xml:space="preserve"> </w:t>
      </w:r>
      <w:r w:rsidRPr="00BF3751">
        <w:rPr>
          <w:rFonts w:ascii="Bookman Old Style" w:hAnsi="Bookman Old Style" w:cs="Arial"/>
          <w:lang w:val="id-ID"/>
        </w:rPr>
        <w:t>dan</w:t>
      </w:r>
      <w:r w:rsidR="00A954D0">
        <w:rPr>
          <w:rFonts w:ascii="Bookman Old Style" w:hAnsi="Bookman Old Style" w:cs="Arial"/>
          <w:lang w:val="id-ID"/>
        </w:rPr>
        <w:t xml:space="preserve"> </w:t>
      </w:r>
      <w:r w:rsidRPr="00BF3751">
        <w:rPr>
          <w:rFonts w:ascii="Bookman Old Style" w:hAnsi="Bookman Old Style" w:cs="Arial"/>
          <w:lang w:val="id-ID"/>
        </w:rPr>
        <w:t>Belanja</w:t>
      </w:r>
      <w:r w:rsidR="00A954D0">
        <w:rPr>
          <w:rFonts w:ascii="Bookman Old Style" w:hAnsi="Bookman Old Style" w:cs="Arial"/>
          <w:lang w:val="id-ID"/>
        </w:rPr>
        <w:t xml:space="preserve"> </w:t>
      </w:r>
      <w:r w:rsidRPr="00BF3751">
        <w:rPr>
          <w:rFonts w:ascii="Bookman Old Style" w:hAnsi="Bookman Old Style" w:cs="Arial"/>
          <w:lang w:val="id-ID"/>
        </w:rPr>
        <w:t>Pemeliharaan,</w:t>
      </w:r>
      <w:r w:rsidR="00A954D0">
        <w:rPr>
          <w:rFonts w:ascii="Bookman Old Style" w:hAnsi="Bookman Old Style" w:cs="Arial"/>
          <w:lang w:val="id-ID"/>
        </w:rPr>
        <w:t xml:space="preserve"> </w:t>
      </w:r>
      <w:r w:rsidRPr="00BF3751">
        <w:rPr>
          <w:rFonts w:ascii="Bookman Old Style" w:hAnsi="Bookman Old Style" w:cs="Arial"/>
          <w:lang w:val="de-DE"/>
        </w:rPr>
        <w:t>alokasi</w:t>
      </w:r>
      <w:r w:rsidR="00A954D0">
        <w:rPr>
          <w:rFonts w:ascii="Bookman Old Style" w:hAnsi="Bookman Old Style" w:cs="Arial"/>
          <w:lang w:val="id-ID"/>
        </w:rPr>
        <w:t xml:space="preserve"> </w:t>
      </w:r>
      <w:r w:rsidRPr="00BF3751">
        <w:rPr>
          <w:rFonts w:ascii="Bookman Old Style" w:hAnsi="Bookman Old Style" w:cs="Arial"/>
          <w:lang w:val="id-ID"/>
        </w:rPr>
        <w:t>anggaran</w:t>
      </w:r>
      <w:r w:rsidR="00A954D0">
        <w:rPr>
          <w:rFonts w:ascii="Bookman Old Style" w:hAnsi="Bookman Old Style" w:cs="Arial"/>
          <w:lang w:val="id-ID"/>
        </w:rPr>
        <w:t xml:space="preserve"> </w:t>
      </w:r>
      <w:r w:rsidRPr="00BF3751">
        <w:rPr>
          <w:rFonts w:ascii="Bookman Old Style" w:hAnsi="Bookman Old Style"/>
          <w:lang w:val="id-ID"/>
        </w:rPr>
        <w:t>untuk</w:t>
      </w:r>
      <w:r w:rsidR="00A954D0">
        <w:rPr>
          <w:rFonts w:ascii="Bookman Old Style" w:hAnsi="Bookman Old Style"/>
          <w:lang w:val="id-ID"/>
        </w:rPr>
        <w:t xml:space="preserve"> </w:t>
      </w:r>
      <w:r w:rsidRPr="00BF3751">
        <w:rPr>
          <w:rFonts w:ascii="Bookman Old Style" w:hAnsi="Bookman Old Style"/>
          <w:lang w:val="id-ID"/>
        </w:rPr>
        <w:t>Penggunaan</w:t>
      </w:r>
      <w:r w:rsidR="00A954D0">
        <w:rPr>
          <w:rFonts w:ascii="Bookman Old Style" w:hAnsi="Bookman Old Style"/>
          <w:lang w:val="id-ID"/>
        </w:rPr>
        <w:t xml:space="preserve"> </w:t>
      </w:r>
      <w:r w:rsidRPr="00BF3751">
        <w:rPr>
          <w:rFonts w:ascii="Bookman Old Style" w:hAnsi="Bookman Old Style"/>
          <w:lang w:val="id-ID"/>
        </w:rPr>
        <w:t>Produk</w:t>
      </w:r>
      <w:r w:rsidR="00A954D0">
        <w:rPr>
          <w:rFonts w:ascii="Bookman Old Style" w:hAnsi="Bookman Old Style"/>
          <w:lang w:val="id-ID"/>
        </w:rPr>
        <w:t xml:space="preserve"> </w:t>
      </w:r>
      <w:r w:rsidRPr="00BF3751">
        <w:rPr>
          <w:rFonts w:ascii="Bookman Old Style" w:hAnsi="Bookman Old Style"/>
          <w:lang w:val="id-ID"/>
        </w:rPr>
        <w:t>Dalam</w:t>
      </w:r>
      <w:r w:rsidR="00A954D0">
        <w:rPr>
          <w:rFonts w:ascii="Bookman Old Style" w:hAnsi="Bookman Old Style"/>
          <w:lang w:val="id-ID"/>
        </w:rPr>
        <w:t xml:space="preserve"> </w:t>
      </w:r>
      <w:r w:rsidRPr="00BF3751">
        <w:rPr>
          <w:rFonts w:ascii="Bookman Old Style" w:hAnsi="Bookman Old Style"/>
          <w:lang w:val="id-ID"/>
        </w:rPr>
        <w:t>Negeri</w:t>
      </w:r>
      <w:r w:rsidR="00A954D0">
        <w:rPr>
          <w:rFonts w:ascii="Bookman Old Style" w:hAnsi="Bookman Old Style"/>
          <w:lang w:val="id-ID"/>
        </w:rPr>
        <w:t xml:space="preserve"> </w:t>
      </w:r>
      <w:r w:rsidRPr="00BF3751">
        <w:rPr>
          <w:rFonts w:ascii="Bookman Old Style" w:hAnsi="Bookman Old Style"/>
          <w:lang w:val="id-ID"/>
        </w:rPr>
        <w:t>dan</w:t>
      </w:r>
      <w:r w:rsidR="00A954D0">
        <w:rPr>
          <w:rFonts w:ascii="Bookman Old Style" w:hAnsi="Bookman Old Style"/>
          <w:lang w:val="id-ID"/>
        </w:rPr>
        <w:t xml:space="preserve"> </w:t>
      </w:r>
      <w:r w:rsidRPr="00BF3751">
        <w:rPr>
          <w:rFonts w:ascii="Bookman Old Style" w:hAnsi="Bookman Old Style"/>
          <w:lang w:val="id-ID"/>
        </w:rPr>
        <w:t>Produk</w:t>
      </w:r>
      <w:r w:rsidR="00A954D0">
        <w:rPr>
          <w:rFonts w:ascii="Bookman Old Style" w:hAnsi="Bookman Old Style"/>
          <w:lang w:val="id-ID"/>
        </w:rPr>
        <w:t xml:space="preserve"> </w:t>
      </w:r>
      <w:r w:rsidRPr="00BF3751">
        <w:rPr>
          <w:rFonts w:ascii="Bookman Old Style" w:hAnsi="Bookman Old Style"/>
          <w:lang w:val="id-ID"/>
        </w:rPr>
        <w:t>Usaha</w:t>
      </w:r>
      <w:r w:rsidR="00A954D0">
        <w:rPr>
          <w:rFonts w:ascii="Bookman Old Style" w:hAnsi="Bookman Old Style"/>
          <w:lang w:val="id-ID"/>
        </w:rPr>
        <w:t xml:space="preserve"> </w:t>
      </w:r>
      <w:r w:rsidRPr="00BF3751">
        <w:rPr>
          <w:rFonts w:ascii="Bookman Old Style" w:hAnsi="Bookman Old Style"/>
          <w:lang w:val="id-ID"/>
        </w:rPr>
        <w:t>Mikro,</w:t>
      </w:r>
      <w:r w:rsidR="00A954D0">
        <w:rPr>
          <w:rFonts w:ascii="Bookman Old Style" w:hAnsi="Bookman Old Style"/>
          <w:lang w:val="id-ID"/>
        </w:rPr>
        <w:t xml:space="preserve"> </w:t>
      </w:r>
      <w:r w:rsidRPr="00BF3751">
        <w:rPr>
          <w:rFonts w:ascii="Bookman Old Style" w:hAnsi="Bookman Old Style"/>
          <w:lang w:val="id-ID"/>
        </w:rPr>
        <w:t>Usaha</w:t>
      </w:r>
      <w:r w:rsidR="00A954D0">
        <w:rPr>
          <w:rFonts w:ascii="Bookman Old Style" w:hAnsi="Bookman Old Style"/>
          <w:lang w:val="id-ID"/>
        </w:rPr>
        <w:t xml:space="preserve"> </w:t>
      </w:r>
      <w:r w:rsidRPr="00BF3751">
        <w:rPr>
          <w:rFonts w:ascii="Bookman Old Style" w:hAnsi="Bookman Old Style"/>
          <w:lang w:val="id-ID"/>
        </w:rPr>
        <w:t>Kecil</w:t>
      </w:r>
      <w:r w:rsidR="00A954D0">
        <w:rPr>
          <w:rFonts w:ascii="Bookman Old Style" w:hAnsi="Bookman Old Style"/>
          <w:lang w:val="id-ID"/>
        </w:rPr>
        <w:t xml:space="preserve"> </w:t>
      </w:r>
      <w:r w:rsidRPr="00BF3751">
        <w:rPr>
          <w:rFonts w:ascii="Bookman Old Style" w:hAnsi="Bookman Old Style"/>
          <w:lang w:val="id-ID"/>
        </w:rPr>
        <w:t>dan</w:t>
      </w:r>
      <w:r w:rsidR="00A954D0">
        <w:rPr>
          <w:rFonts w:ascii="Bookman Old Style" w:hAnsi="Bookman Old Style"/>
          <w:lang w:val="id-ID"/>
        </w:rPr>
        <w:t xml:space="preserve"> </w:t>
      </w:r>
      <w:r w:rsidRPr="00BF3751">
        <w:rPr>
          <w:rFonts w:ascii="Bookman Old Style" w:hAnsi="Bookman Old Style"/>
          <w:lang w:val="id-ID"/>
        </w:rPr>
        <w:t>Menengah</w:t>
      </w:r>
      <w:r w:rsidR="00A954D0">
        <w:rPr>
          <w:rFonts w:ascii="Bookman Old Style" w:hAnsi="Bookman Old Style" w:cs="Arial"/>
          <w:lang w:val="de-DE"/>
        </w:rPr>
        <w:t xml:space="preserve"> </w:t>
      </w:r>
      <w:r w:rsidRPr="00BF3751">
        <w:rPr>
          <w:rFonts w:ascii="Bookman Old Style" w:hAnsi="Bookman Old Style" w:cs="Arial"/>
          <w:lang w:val="de-DE"/>
        </w:rPr>
        <w:t>sekurang-kurangnya</w:t>
      </w:r>
      <w:r w:rsidR="00A954D0">
        <w:rPr>
          <w:rFonts w:ascii="Bookman Old Style" w:hAnsi="Bookman Old Style" w:cs="Arial"/>
          <w:lang w:val="de-DE"/>
        </w:rPr>
        <w:t xml:space="preserve"> </w:t>
      </w:r>
      <w:r w:rsidRPr="00BF3751">
        <w:rPr>
          <w:rFonts w:ascii="Bookman Old Style" w:hAnsi="Bookman Old Style" w:cs="Arial"/>
          <w:lang w:val="id-ID"/>
        </w:rPr>
        <w:t>4</w:t>
      </w:r>
      <w:r w:rsidRPr="00BF3751">
        <w:rPr>
          <w:rFonts w:ascii="Bookman Old Style" w:hAnsi="Bookman Old Style" w:cs="Arial"/>
          <w:lang w:val="de-DE"/>
        </w:rPr>
        <w:t>0%</w:t>
      </w:r>
      <w:r w:rsidR="00A954D0">
        <w:rPr>
          <w:rFonts w:ascii="Bookman Old Style" w:hAnsi="Bookman Old Style" w:cs="Arial"/>
          <w:lang w:val="de-DE"/>
        </w:rPr>
        <w:t xml:space="preserve"> </w:t>
      </w:r>
      <w:r w:rsidRPr="00BF3751">
        <w:rPr>
          <w:rFonts w:ascii="Bookman Old Style" w:hAnsi="Bookman Old Style" w:cs="Arial"/>
          <w:lang w:val="de-DE"/>
        </w:rPr>
        <w:t>(</w:t>
      </w:r>
      <w:r w:rsidRPr="00BF3751">
        <w:rPr>
          <w:rFonts w:ascii="Bookman Old Style" w:hAnsi="Bookman Old Style" w:cs="Arial"/>
          <w:lang w:val="id-ID"/>
        </w:rPr>
        <w:t>empat</w:t>
      </w:r>
      <w:r w:rsidR="00A954D0">
        <w:rPr>
          <w:rFonts w:ascii="Bookman Old Style" w:hAnsi="Bookman Old Style" w:cs="Arial"/>
          <w:lang w:val="de-DE"/>
        </w:rPr>
        <w:t xml:space="preserve"> </w:t>
      </w:r>
      <w:r w:rsidRPr="00BF3751">
        <w:rPr>
          <w:rFonts w:ascii="Bookman Old Style" w:hAnsi="Bookman Old Style" w:cs="Arial"/>
          <w:lang w:val="de-DE"/>
        </w:rPr>
        <w:t>puluh</w:t>
      </w:r>
      <w:r w:rsidR="00A954D0">
        <w:rPr>
          <w:rFonts w:ascii="Bookman Old Style" w:hAnsi="Bookman Old Style" w:cs="Arial"/>
          <w:lang w:val="de-DE"/>
        </w:rPr>
        <w:t xml:space="preserve"> </w:t>
      </w:r>
      <w:r w:rsidRPr="00BF3751">
        <w:rPr>
          <w:rFonts w:ascii="Bookman Old Style" w:hAnsi="Bookman Old Style" w:cs="Arial"/>
          <w:lang w:val="de-DE"/>
        </w:rPr>
        <w:t>persen)</w:t>
      </w:r>
      <w:r w:rsidR="00A954D0">
        <w:rPr>
          <w:rFonts w:ascii="Bookman Old Style" w:hAnsi="Bookman Old Style" w:cs="Arial"/>
          <w:lang w:val="de-DE"/>
        </w:rPr>
        <w:t xml:space="preserve"> </w:t>
      </w:r>
      <w:r w:rsidRPr="00BF3751">
        <w:rPr>
          <w:rFonts w:ascii="Bookman Old Style" w:hAnsi="Bookman Old Style" w:cs="Arial"/>
          <w:lang w:val="id-ID"/>
        </w:rPr>
        <w:t>dari</w:t>
      </w:r>
      <w:r w:rsidR="00A954D0">
        <w:rPr>
          <w:rFonts w:ascii="Bookman Old Style" w:hAnsi="Bookman Old Style" w:cs="Arial"/>
          <w:lang w:val="id-ID"/>
        </w:rPr>
        <w:t xml:space="preserve"> </w:t>
      </w:r>
      <w:r w:rsidRPr="00BF3751">
        <w:rPr>
          <w:rFonts w:ascii="Bookman Old Style" w:hAnsi="Bookman Old Style" w:cs="Arial"/>
          <w:lang w:val="id-ID"/>
        </w:rPr>
        <w:t>total</w:t>
      </w:r>
      <w:r w:rsidR="00A954D0">
        <w:rPr>
          <w:rFonts w:ascii="Bookman Old Style" w:hAnsi="Bookman Old Style" w:cs="Arial"/>
          <w:lang w:val="id-ID"/>
        </w:rPr>
        <w:t xml:space="preserve"> </w:t>
      </w:r>
      <w:r w:rsidRPr="00BF3751">
        <w:rPr>
          <w:rFonts w:ascii="Bookman Old Style" w:hAnsi="Bookman Old Style" w:cs="Arial"/>
          <w:lang w:val="id-ID"/>
        </w:rPr>
        <w:t>belanja</w:t>
      </w:r>
      <w:r w:rsidR="00A954D0">
        <w:rPr>
          <w:rFonts w:ascii="Bookman Old Style" w:hAnsi="Bookman Old Style" w:cs="Arial"/>
          <w:lang w:val="id-ID"/>
        </w:rPr>
        <w:t xml:space="preserve"> </w:t>
      </w:r>
      <w:r w:rsidRPr="00BF3751">
        <w:rPr>
          <w:rFonts w:ascii="Bookman Old Style" w:hAnsi="Bookman Old Style" w:cs="Arial"/>
          <w:lang w:val="id-ID"/>
        </w:rPr>
        <w:t>barang</w:t>
      </w:r>
      <w:r w:rsidR="00A954D0">
        <w:rPr>
          <w:rFonts w:ascii="Bookman Old Style" w:hAnsi="Bookman Old Style" w:cs="Arial"/>
          <w:lang w:val="id-ID"/>
        </w:rPr>
        <w:t xml:space="preserve"> </w:t>
      </w:r>
      <w:r w:rsidRPr="00BF3751">
        <w:rPr>
          <w:rFonts w:ascii="Bookman Old Style" w:hAnsi="Bookman Old Style" w:cs="Arial"/>
          <w:lang w:val="id-ID"/>
        </w:rPr>
        <w:t>dan</w:t>
      </w:r>
      <w:r w:rsidR="00A954D0">
        <w:rPr>
          <w:rFonts w:ascii="Bookman Old Style" w:hAnsi="Bookman Old Style" w:cs="Arial"/>
          <w:lang w:val="id-ID"/>
        </w:rPr>
        <w:t xml:space="preserve"> </w:t>
      </w:r>
      <w:r w:rsidRPr="00BF3751">
        <w:rPr>
          <w:rFonts w:ascii="Bookman Old Style" w:hAnsi="Bookman Old Style" w:cs="Arial"/>
          <w:lang w:val="id-ID"/>
        </w:rPr>
        <w:t>jasa</w:t>
      </w:r>
      <w:r w:rsidR="00A954D0">
        <w:rPr>
          <w:rFonts w:ascii="Bookman Old Style" w:hAnsi="Bookman Old Style" w:cs="Arial"/>
          <w:lang w:val="id-ID"/>
        </w:rPr>
        <w:t xml:space="preserve"> </w:t>
      </w:r>
      <w:r w:rsidRPr="00BF3751">
        <w:rPr>
          <w:rFonts w:ascii="Bookman Old Style" w:hAnsi="Bookman Old Style" w:cs="Arial"/>
          <w:lang w:val="id-ID"/>
        </w:rPr>
        <w:t>dan</w:t>
      </w:r>
      <w:r w:rsidR="00A954D0">
        <w:rPr>
          <w:rFonts w:ascii="Bookman Old Style" w:hAnsi="Bookman Old Style" w:cs="Arial"/>
          <w:lang w:val="id-ID"/>
        </w:rPr>
        <w:t xml:space="preserve"> </w:t>
      </w:r>
      <w:r w:rsidRPr="00BF3751">
        <w:rPr>
          <w:rFonts w:ascii="Bookman Old Style" w:hAnsi="Bookman Old Style" w:cs="Arial"/>
          <w:lang w:val="id-ID"/>
        </w:rPr>
        <w:t>belanja</w:t>
      </w:r>
      <w:r w:rsidR="00A954D0">
        <w:rPr>
          <w:rFonts w:ascii="Bookman Old Style" w:hAnsi="Bookman Old Style" w:cs="Arial"/>
          <w:lang w:val="id-ID"/>
        </w:rPr>
        <w:t xml:space="preserve"> </w:t>
      </w:r>
      <w:r w:rsidRPr="00BF3751">
        <w:rPr>
          <w:rFonts w:ascii="Bookman Old Style" w:hAnsi="Bookman Old Style" w:cs="Arial"/>
          <w:lang w:val="id-ID"/>
        </w:rPr>
        <w:t>modal</w:t>
      </w:r>
      <w:r w:rsidR="00A954D0">
        <w:rPr>
          <w:rFonts w:ascii="Bookman Old Style" w:hAnsi="Bookman Old Style" w:cs="Arial"/>
          <w:lang w:val="id-ID"/>
        </w:rPr>
        <w:t xml:space="preserve"> </w:t>
      </w:r>
      <w:r w:rsidRPr="00BF3751">
        <w:rPr>
          <w:rFonts w:ascii="Bookman Old Style" w:hAnsi="Bookman Old Style" w:cs="Arial"/>
          <w:lang w:val="id-ID"/>
        </w:rPr>
        <w:t>di</w:t>
      </w:r>
      <w:r w:rsidR="00A954D0">
        <w:rPr>
          <w:rFonts w:ascii="Bookman Old Style" w:hAnsi="Bookman Old Style" w:cs="Arial"/>
          <w:lang w:val="id-ID"/>
        </w:rPr>
        <w:t xml:space="preserve"> </w:t>
      </w:r>
      <w:r w:rsidRPr="00BF3751">
        <w:rPr>
          <w:rFonts w:ascii="Bookman Old Style" w:hAnsi="Bookman Old Style" w:cs="Arial"/>
          <w:lang w:val="id-ID"/>
        </w:rPr>
        <w:t>luar</w:t>
      </w:r>
      <w:r w:rsidR="00A954D0">
        <w:rPr>
          <w:rFonts w:ascii="Bookman Old Style" w:hAnsi="Bookman Old Style" w:cs="Arial"/>
          <w:lang w:val="id-ID"/>
        </w:rPr>
        <w:t xml:space="preserve"> </w:t>
      </w:r>
      <w:r w:rsidRPr="00BF3751">
        <w:rPr>
          <w:rFonts w:ascii="Bookman Old Style" w:hAnsi="Bookman Old Style" w:cs="Arial"/>
          <w:lang w:val="id-ID"/>
        </w:rPr>
        <w:t>belanja</w:t>
      </w:r>
      <w:r w:rsidR="00A954D0">
        <w:rPr>
          <w:rFonts w:ascii="Bookman Old Style" w:hAnsi="Bookman Old Style" w:cs="Arial"/>
          <w:lang w:val="id-ID"/>
        </w:rPr>
        <w:t xml:space="preserve"> </w:t>
      </w:r>
      <w:r w:rsidRPr="00BF3751">
        <w:rPr>
          <w:rFonts w:ascii="Bookman Old Style" w:hAnsi="Bookman Old Style" w:cs="Arial"/>
          <w:lang w:val="id-ID"/>
        </w:rPr>
        <w:t>modal</w:t>
      </w:r>
      <w:r w:rsidR="00A954D0">
        <w:rPr>
          <w:rFonts w:ascii="Bookman Old Style" w:hAnsi="Bookman Old Style" w:cs="Arial"/>
          <w:lang w:val="id-ID"/>
        </w:rPr>
        <w:t xml:space="preserve"> </w:t>
      </w:r>
      <w:r w:rsidRPr="00BF3751">
        <w:rPr>
          <w:rFonts w:ascii="Bookman Old Style" w:hAnsi="Bookman Old Style" w:cs="Arial"/>
          <w:lang w:val="id-ID"/>
        </w:rPr>
        <w:t>tanah</w:t>
      </w:r>
      <w:r w:rsidR="00A954D0">
        <w:rPr>
          <w:rFonts w:ascii="Bookman Old Style" w:hAnsi="Bookman Old Style" w:cs="Arial"/>
          <w:lang w:val="id-ID"/>
        </w:rPr>
        <w:t xml:space="preserve"> </w:t>
      </w:r>
      <w:r w:rsidRPr="00BF3751">
        <w:rPr>
          <w:rFonts w:ascii="Bookman Old Style" w:hAnsi="Bookman Old Style" w:cs="Arial"/>
          <w:lang w:val="id-ID"/>
        </w:rPr>
        <w:t>sesuai</w:t>
      </w:r>
      <w:r w:rsidR="00A954D0">
        <w:rPr>
          <w:rFonts w:ascii="Bookman Old Style" w:hAnsi="Bookman Old Style" w:cs="Arial"/>
          <w:lang w:val="id-ID"/>
        </w:rPr>
        <w:t xml:space="preserve"> </w:t>
      </w:r>
      <w:r w:rsidRPr="00BF3751">
        <w:rPr>
          <w:rFonts w:ascii="Bookman Old Style" w:hAnsi="Bookman Old Style" w:cs="Arial"/>
          <w:lang w:val="id-ID"/>
        </w:rPr>
        <w:t>dengan</w:t>
      </w:r>
      <w:r w:rsidR="00A954D0">
        <w:rPr>
          <w:rFonts w:ascii="Bookman Old Style" w:hAnsi="Bookman Old Style" w:cs="Arial"/>
          <w:lang w:val="id-ID"/>
        </w:rPr>
        <w:t xml:space="preserve"> </w:t>
      </w:r>
      <w:r w:rsidRPr="00BF3751">
        <w:rPr>
          <w:rFonts w:ascii="Bookman Old Style" w:hAnsi="Bookman Old Style" w:cs="Arial"/>
          <w:lang w:val="id-ID"/>
        </w:rPr>
        <w:t>ketentuan</w:t>
      </w:r>
      <w:r w:rsidR="00A954D0">
        <w:rPr>
          <w:rFonts w:ascii="Bookman Old Style" w:hAnsi="Bookman Old Style" w:cs="Arial"/>
          <w:lang w:val="id-ID"/>
        </w:rPr>
        <w:t xml:space="preserve"> </w:t>
      </w:r>
      <w:r w:rsidRPr="00BF3751">
        <w:rPr>
          <w:rFonts w:ascii="Bookman Old Style" w:hAnsi="Bookman Old Style" w:cs="Arial"/>
          <w:lang w:val="id-ID"/>
        </w:rPr>
        <w:t>peraturan</w:t>
      </w:r>
      <w:r w:rsidR="00A954D0">
        <w:rPr>
          <w:rFonts w:ascii="Bookman Old Style" w:hAnsi="Bookman Old Style" w:cs="Arial"/>
          <w:lang w:val="id-ID"/>
        </w:rPr>
        <w:t xml:space="preserve"> </w:t>
      </w:r>
      <w:r w:rsidRPr="00BF3751">
        <w:rPr>
          <w:rFonts w:ascii="Bookman Old Style" w:hAnsi="Bookman Old Style" w:cs="Arial"/>
          <w:lang w:val="id-ID"/>
        </w:rPr>
        <w:t>perundang-undangan</w:t>
      </w:r>
      <w:r w:rsidRPr="003255BC">
        <w:rPr>
          <w:rFonts w:ascii="Bookman Old Style" w:hAnsi="Bookman Old Style" w:cs="Arial"/>
          <w:lang w:val="id-ID"/>
        </w:rPr>
        <w:t>.</w:t>
      </w:r>
    </w:p>
    <w:p w14:paraId="0E39A7FB" w14:textId="7EEE40FC" w:rsidR="003374DF" w:rsidRPr="00953DC9" w:rsidRDefault="003374DF" w:rsidP="00953DC9">
      <w:pPr>
        <w:numPr>
          <w:ilvl w:val="0"/>
          <w:numId w:val="156"/>
        </w:numPr>
        <w:spacing w:before="60" w:line="276" w:lineRule="auto"/>
        <w:ind w:left="993" w:hanging="426"/>
        <w:jc w:val="both"/>
        <w:rPr>
          <w:rFonts w:ascii="Bookman Old Style" w:hAnsi="Bookman Old Style"/>
          <w:lang w:val="sv-FI"/>
        </w:rPr>
      </w:pPr>
      <w:r w:rsidRPr="00BF3751">
        <w:rPr>
          <w:rFonts w:ascii="Bookman Old Style" w:hAnsi="Bookman Old Style" w:cs="Arial"/>
          <w:lang w:val="id-ID"/>
        </w:rPr>
        <w:t>Dalam</w:t>
      </w:r>
      <w:r w:rsidR="00A954D0">
        <w:rPr>
          <w:rFonts w:ascii="Bookman Old Style" w:hAnsi="Bookman Old Style" w:cs="Arial"/>
          <w:lang w:val="id-ID"/>
        </w:rPr>
        <w:t xml:space="preserve"> </w:t>
      </w:r>
      <w:r w:rsidRPr="00BF3751">
        <w:rPr>
          <w:rFonts w:ascii="Bookman Old Style" w:hAnsi="Bookman Old Style" w:cs="Arial"/>
          <w:lang w:val="id-ID"/>
        </w:rPr>
        <w:t>rangka</w:t>
      </w:r>
      <w:r w:rsidR="00A954D0">
        <w:rPr>
          <w:rFonts w:ascii="Bookman Old Style" w:hAnsi="Bookman Old Style" w:cs="Arial"/>
          <w:lang w:val="id-ID"/>
        </w:rPr>
        <w:t xml:space="preserve"> </w:t>
      </w:r>
      <w:r w:rsidRPr="00BF3751">
        <w:rPr>
          <w:rFonts w:ascii="Bookman Old Style" w:hAnsi="Bookman Old Style" w:cs="Arial"/>
          <w:lang w:val="id-ID"/>
        </w:rPr>
        <w:t>mendukung</w:t>
      </w:r>
      <w:r w:rsidR="00A954D0">
        <w:rPr>
          <w:rFonts w:ascii="Bookman Old Style" w:hAnsi="Bookman Old Style" w:cs="Arial"/>
          <w:lang w:val="id-ID"/>
        </w:rPr>
        <w:t xml:space="preserve"> </w:t>
      </w:r>
      <w:r w:rsidRPr="00BF3751">
        <w:rPr>
          <w:rFonts w:ascii="Bookman Old Style" w:hAnsi="Bookman Old Style" w:cs="Arial"/>
          <w:lang w:val="id-ID"/>
        </w:rPr>
        <w:t>pemulihan</w:t>
      </w:r>
      <w:r w:rsidR="00A954D0">
        <w:rPr>
          <w:rFonts w:ascii="Bookman Old Style" w:hAnsi="Bookman Old Style" w:cs="Arial"/>
          <w:lang w:val="id-ID"/>
        </w:rPr>
        <w:t xml:space="preserve"> </w:t>
      </w:r>
      <w:r w:rsidRPr="00BF3751">
        <w:rPr>
          <w:rFonts w:ascii="Bookman Old Style" w:hAnsi="Bookman Old Style" w:cs="Arial"/>
          <w:lang w:val="id-ID"/>
        </w:rPr>
        <w:t>ekonomi</w:t>
      </w:r>
      <w:r w:rsidR="00A954D0">
        <w:rPr>
          <w:rFonts w:ascii="Bookman Old Style" w:hAnsi="Bookman Old Style" w:cs="Arial"/>
          <w:lang w:val="id-ID"/>
        </w:rPr>
        <w:t xml:space="preserve"> </w:t>
      </w:r>
      <w:r w:rsidRPr="00BF3751">
        <w:rPr>
          <w:rFonts w:ascii="Bookman Old Style" w:hAnsi="Bookman Old Style" w:cs="Arial"/>
          <w:lang w:val="id-ID"/>
        </w:rPr>
        <w:t>nasional</w:t>
      </w:r>
      <w:r w:rsidR="00A954D0">
        <w:rPr>
          <w:rFonts w:ascii="Bookman Old Style" w:hAnsi="Bookman Old Style" w:cs="Arial"/>
          <w:lang w:val="id-ID"/>
        </w:rPr>
        <w:t xml:space="preserve"> </w:t>
      </w:r>
      <w:r w:rsidRPr="00BF3751">
        <w:rPr>
          <w:rFonts w:ascii="Bookman Old Style" w:hAnsi="Bookman Old Style" w:cs="Arial"/>
          <w:lang w:val="id-ID"/>
        </w:rPr>
        <w:t>dan</w:t>
      </w:r>
      <w:r w:rsidR="00A954D0">
        <w:rPr>
          <w:rFonts w:ascii="Bookman Old Style" w:hAnsi="Bookman Old Style" w:cs="Arial"/>
          <w:lang w:val="id-ID"/>
        </w:rPr>
        <w:t xml:space="preserve"> </w:t>
      </w:r>
      <w:r w:rsidRPr="00BF3751">
        <w:rPr>
          <w:rFonts w:ascii="Bookman Old Style" w:hAnsi="Bookman Old Style" w:cs="Arial"/>
          <w:lang w:val="id-ID"/>
        </w:rPr>
        <w:t>meningkatkan</w:t>
      </w:r>
      <w:r w:rsidR="00A954D0">
        <w:rPr>
          <w:rFonts w:ascii="Bookman Old Style" w:hAnsi="Bookman Old Style" w:cs="Arial"/>
          <w:lang w:val="id-ID"/>
        </w:rPr>
        <w:t xml:space="preserve"> </w:t>
      </w:r>
      <w:r w:rsidRPr="00BF3751">
        <w:rPr>
          <w:rFonts w:ascii="Bookman Old Style" w:hAnsi="Bookman Old Style" w:cs="Arial"/>
          <w:lang w:val="id-ID"/>
        </w:rPr>
        <w:t>kualitas</w:t>
      </w:r>
      <w:r w:rsidR="00A954D0">
        <w:rPr>
          <w:rFonts w:ascii="Bookman Old Style" w:hAnsi="Bookman Old Style" w:cs="Arial"/>
          <w:lang w:val="id-ID"/>
        </w:rPr>
        <w:t xml:space="preserve"> </w:t>
      </w:r>
      <w:r w:rsidRPr="00BF3751">
        <w:rPr>
          <w:rFonts w:ascii="Bookman Old Style" w:hAnsi="Bookman Old Style" w:cs="Arial"/>
          <w:lang w:val="id-ID"/>
        </w:rPr>
        <w:t>perencanaan</w:t>
      </w:r>
      <w:r w:rsidR="00A954D0">
        <w:rPr>
          <w:rFonts w:ascii="Bookman Old Style" w:hAnsi="Bookman Old Style" w:cs="Arial"/>
          <w:lang w:val="id-ID"/>
        </w:rPr>
        <w:t xml:space="preserve"> </w:t>
      </w:r>
      <w:r w:rsidRPr="00BF3751">
        <w:rPr>
          <w:rFonts w:ascii="Bookman Old Style" w:hAnsi="Bookman Old Style" w:cs="Arial"/>
          <w:lang w:val="id-ID"/>
        </w:rPr>
        <w:t>pengadaan</w:t>
      </w:r>
      <w:r w:rsidR="00A954D0">
        <w:rPr>
          <w:rFonts w:ascii="Bookman Old Style" w:hAnsi="Bookman Old Style" w:cs="Arial"/>
          <w:lang w:val="id-ID"/>
        </w:rPr>
        <w:t xml:space="preserve"> </w:t>
      </w:r>
      <w:r w:rsidRPr="00BF3751">
        <w:rPr>
          <w:rFonts w:ascii="Bookman Old Style" w:hAnsi="Bookman Old Style" w:cs="Arial"/>
          <w:lang w:val="id-ID"/>
        </w:rPr>
        <w:t>barang/jasa</w:t>
      </w:r>
      <w:r w:rsidR="00A954D0">
        <w:rPr>
          <w:rFonts w:ascii="Bookman Old Style" w:hAnsi="Bookman Old Style" w:cs="Arial"/>
          <w:lang w:val="id-ID"/>
        </w:rPr>
        <w:t xml:space="preserve"> </w:t>
      </w:r>
      <w:r w:rsidRPr="00BF3751">
        <w:rPr>
          <w:rFonts w:ascii="Bookman Old Style" w:hAnsi="Bookman Old Style" w:cs="Arial"/>
          <w:lang w:val="id-ID"/>
        </w:rPr>
        <w:t>yang</w:t>
      </w:r>
      <w:r w:rsidR="00A954D0">
        <w:rPr>
          <w:rFonts w:ascii="Bookman Old Style" w:hAnsi="Bookman Old Style" w:cs="Arial"/>
          <w:lang w:val="id-ID"/>
        </w:rPr>
        <w:t xml:space="preserve"> </w:t>
      </w:r>
      <w:r w:rsidRPr="00BF3751">
        <w:rPr>
          <w:rFonts w:ascii="Bookman Old Style" w:hAnsi="Bookman Old Style" w:cs="Arial"/>
          <w:lang w:val="id-ID"/>
        </w:rPr>
        <w:t>tepat</w:t>
      </w:r>
      <w:r w:rsidR="00A954D0">
        <w:rPr>
          <w:rFonts w:ascii="Bookman Old Style" w:hAnsi="Bookman Old Style" w:cs="Arial"/>
          <w:lang w:val="id-ID"/>
        </w:rPr>
        <w:t xml:space="preserve"> </w:t>
      </w:r>
      <w:r w:rsidRPr="00BF3751">
        <w:rPr>
          <w:rFonts w:ascii="Bookman Old Style" w:hAnsi="Bookman Old Style" w:cs="Arial"/>
          <w:lang w:val="id-ID"/>
        </w:rPr>
        <w:t>waktu</w:t>
      </w:r>
      <w:r w:rsidR="00A954D0">
        <w:rPr>
          <w:rFonts w:ascii="Bookman Old Style" w:hAnsi="Bookman Old Style" w:cs="Arial"/>
          <w:lang w:val="id-ID"/>
        </w:rPr>
        <w:t xml:space="preserve"> </w:t>
      </w:r>
      <w:r w:rsidRPr="00BF3751">
        <w:rPr>
          <w:rFonts w:ascii="Bookman Old Style" w:hAnsi="Bookman Old Style" w:cs="Arial"/>
          <w:lang w:val="id-ID"/>
        </w:rPr>
        <w:t>guna</w:t>
      </w:r>
      <w:r w:rsidR="00A954D0">
        <w:rPr>
          <w:rFonts w:ascii="Bookman Old Style" w:hAnsi="Bookman Old Style" w:cs="Arial"/>
          <w:lang w:val="id-ID"/>
        </w:rPr>
        <w:t xml:space="preserve"> </w:t>
      </w:r>
      <w:r w:rsidRPr="00BF3751">
        <w:rPr>
          <w:rFonts w:ascii="Bookman Old Style" w:hAnsi="Bookman Old Style" w:cs="Arial"/>
          <w:lang w:val="id-ID"/>
        </w:rPr>
        <w:t>mencapai</w:t>
      </w:r>
      <w:r w:rsidR="00A954D0">
        <w:rPr>
          <w:rFonts w:ascii="Bookman Old Style" w:hAnsi="Bookman Old Style" w:cs="Arial"/>
          <w:lang w:val="id-ID"/>
        </w:rPr>
        <w:t xml:space="preserve"> </w:t>
      </w:r>
      <w:r w:rsidRPr="00BF3751">
        <w:rPr>
          <w:rFonts w:ascii="Bookman Old Style" w:hAnsi="Bookman Old Style"/>
          <w:lang w:val="id-ID"/>
        </w:rPr>
        <w:t>pemulihan</w:t>
      </w:r>
      <w:r w:rsidR="00A954D0">
        <w:rPr>
          <w:rFonts w:ascii="Bookman Old Style" w:hAnsi="Bookman Old Style" w:cs="Arial"/>
          <w:lang w:val="id-ID"/>
        </w:rPr>
        <w:t xml:space="preserve"> </w:t>
      </w:r>
      <w:r w:rsidRPr="00BF3751">
        <w:rPr>
          <w:rFonts w:ascii="Bookman Old Style" w:hAnsi="Bookman Old Style" w:cs="Arial"/>
          <w:lang w:val="id-ID"/>
        </w:rPr>
        <w:t>nilai</w:t>
      </w:r>
      <w:r w:rsidR="00A954D0">
        <w:rPr>
          <w:rFonts w:ascii="Bookman Old Style" w:hAnsi="Bookman Old Style" w:cs="Arial"/>
          <w:lang w:val="id-ID"/>
        </w:rPr>
        <w:t xml:space="preserve"> </w:t>
      </w:r>
      <w:r w:rsidRPr="00BF3751">
        <w:rPr>
          <w:rFonts w:ascii="Bookman Old Style" w:hAnsi="Bookman Old Style" w:cs="Arial"/>
          <w:lang w:val="id-ID"/>
        </w:rPr>
        <w:t>manfaat</w:t>
      </w:r>
      <w:r w:rsidR="00A954D0">
        <w:rPr>
          <w:rFonts w:ascii="Bookman Old Style" w:hAnsi="Bookman Old Style" w:cs="Arial"/>
          <w:lang w:val="id-ID"/>
        </w:rPr>
        <w:t xml:space="preserve"> </w:t>
      </w:r>
      <w:r w:rsidRPr="00BF3751">
        <w:rPr>
          <w:rFonts w:ascii="Bookman Old Style" w:hAnsi="Bookman Old Style" w:cs="Arial"/>
          <w:lang w:val="id-ID"/>
        </w:rPr>
        <w:t>belanja</w:t>
      </w:r>
      <w:r w:rsidR="00A954D0">
        <w:rPr>
          <w:rFonts w:ascii="Bookman Old Style" w:hAnsi="Bookman Old Style" w:cs="Arial"/>
          <w:lang w:val="id-ID"/>
        </w:rPr>
        <w:t xml:space="preserve"> </w:t>
      </w:r>
      <w:r w:rsidRPr="00BF3751">
        <w:rPr>
          <w:rFonts w:ascii="Bookman Old Style" w:hAnsi="Bookman Old Style" w:cs="Arial"/>
          <w:lang w:val="id-ID"/>
        </w:rPr>
        <w:t>pengadaan</w:t>
      </w:r>
      <w:r w:rsidR="00A954D0">
        <w:rPr>
          <w:rFonts w:ascii="Bookman Old Style" w:hAnsi="Bookman Old Style" w:cs="Arial"/>
          <w:lang w:val="id-ID"/>
        </w:rPr>
        <w:t xml:space="preserve"> </w:t>
      </w:r>
      <w:r w:rsidRPr="00BF3751">
        <w:rPr>
          <w:rFonts w:ascii="Bookman Old Style" w:hAnsi="Bookman Old Style" w:cs="Arial"/>
          <w:lang w:val="id-ID"/>
        </w:rPr>
        <w:t>yang</w:t>
      </w:r>
      <w:r w:rsidR="00A954D0">
        <w:rPr>
          <w:rFonts w:ascii="Bookman Old Style" w:hAnsi="Bookman Old Style" w:cs="Arial"/>
          <w:lang w:val="id-ID"/>
        </w:rPr>
        <w:t xml:space="preserve"> </w:t>
      </w:r>
      <w:r w:rsidRPr="00BF3751">
        <w:rPr>
          <w:rFonts w:ascii="Bookman Old Style" w:hAnsi="Bookman Old Style" w:cs="Arial"/>
          <w:lang w:val="id-ID"/>
        </w:rPr>
        <w:t>sebesar-besarnya</w:t>
      </w:r>
      <w:r w:rsidR="00A954D0">
        <w:rPr>
          <w:rFonts w:ascii="Bookman Old Style" w:hAnsi="Bookman Old Style" w:cs="Arial"/>
          <w:lang w:val="id-ID"/>
        </w:rPr>
        <w:t xml:space="preserve"> </w:t>
      </w:r>
      <w:r w:rsidRPr="00BF3751">
        <w:rPr>
          <w:rFonts w:ascii="Bookman Old Style" w:hAnsi="Bookman Old Style" w:cs="Arial"/>
          <w:lang w:val="id-ID"/>
        </w:rPr>
        <w:t>(</w:t>
      </w:r>
      <w:r w:rsidRPr="00BF3751">
        <w:rPr>
          <w:rFonts w:ascii="Bookman Old Style" w:hAnsi="Bookman Old Style" w:cs="Arial"/>
          <w:i/>
          <w:lang w:val="id-ID"/>
        </w:rPr>
        <w:t>value</w:t>
      </w:r>
      <w:r w:rsidR="00A954D0">
        <w:rPr>
          <w:rFonts w:ascii="Bookman Old Style" w:hAnsi="Bookman Old Style" w:cs="Arial"/>
          <w:i/>
          <w:lang w:val="id-ID"/>
        </w:rPr>
        <w:t xml:space="preserve"> </w:t>
      </w:r>
      <w:r w:rsidRPr="00BF3751">
        <w:rPr>
          <w:rFonts w:ascii="Bookman Old Style" w:hAnsi="Bookman Old Style" w:cs="Arial"/>
          <w:i/>
          <w:lang w:val="id-ID"/>
        </w:rPr>
        <w:t>for</w:t>
      </w:r>
      <w:r w:rsidR="00A954D0">
        <w:rPr>
          <w:rFonts w:ascii="Bookman Old Style" w:hAnsi="Bookman Old Style" w:cs="Arial"/>
          <w:i/>
          <w:lang w:val="id-ID"/>
        </w:rPr>
        <w:t xml:space="preserve"> </w:t>
      </w:r>
      <w:r w:rsidRPr="00BF3751">
        <w:rPr>
          <w:rFonts w:ascii="Bookman Old Style" w:hAnsi="Bookman Old Style" w:cs="Arial"/>
          <w:i/>
          <w:lang w:val="id-ID"/>
        </w:rPr>
        <w:t>money</w:t>
      </w:r>
      <w:r w:rsidRPr="00BF3751">
        <w:rPr>
          <w:rFonts w:ascii="Bookman Old Style" w:hAnsi="Bookman Old Style" w:cs="Arial"/>
          <w:lang w:val="id-ID"/>
        </w:rPr>
        <w:t>),</w:t>
      </w:r>
      <w:r w:rsidR="00A954D0">
        <w:rPr>
          <w:rFonts w:ascii="Bookman Old Style" w:hAnsi="Bookman Old Style" w:cs="Arial"/>
          <w:lang w:val="id-ID"/>
        </w:rPr>
        <w:t xml:space="preserve"> </w:t>
      </w:r>
      <w:r w:rsidRPr="00BF3751">
        <w:rPr>
          <w:rFonts w:ascii="Bookman Old Style" w:hAnsi="Bookman Old Style" w:cs="Arial"/>
          <w:lang w:val="id-ID"/>
        </w:rPr>
        <w:t>Pemerintah</w:t>
      </w:r>
      <w:r w:rsidR="00A954D0">
        <w:rPr>
          <w:rFonts w:ascii="Bookman Old Style" w:hAnsi="Bookman Old Style" w:cs="Arial"/>
          <w:lang w:val="id-ID"/>
        </w:rPr>
        <w:t xml:space="preserve"> </w:t>
      </w:r>
      <w:r w:rsidRPr="00BF3751">
        <w:rPr>
          <w:rFonts w:ascii="Bookman Old Style" w:hAnsi="Bookman Old Style" w:cs="Arial"/>
          <w:lang w:val="id-ID"/>
        </w:rPr>
        <w:t>Daerah</w:t>
      </w:r>
      <w:r w:rsidR="00A954D0">
        <w:rPr>
          <w:rFonts w:ascii="Bookman Old Style" w:hAnsi="Bookman Old Style" w:cs="Arial"/>
          <w:lang w:val="id-ID"/>
        </w:rPr>
        <w:t xml:space="preserve"> </w:t>
      </w:r>
      <w:r w:rsidR="00046408" w:rsidRPr="00BF3751">
        <w:rPr>
          <w:rFonts w:ascii="Bookman Old Style" w:hAnsi="Bookman Old Style"/>
          <w:lang w:val="id-ID"/>
        </w:rPr>
        <w:t>Kota</w:t>
      </w:r>
      <w:r w:rsidR="00A954D0">
        <w:rPr>
          <w:rFonts w:ascii="Bookman Old Style" w:hAnsi="Bookman Old Style"/>
          <w:lang w:val="id-ID"/>
        </w:rPr>
        <w:t xml:space="preserve"> </w:t>
      </w:r>
      <w:r w:rsidR="00770F22" w:rsidRPr="00BF3751">
        <w:rPr>
          <w:rFonts w:ascii="Bookman Old Style" w:hAnsi="Bookman Old Style"/>
          <w:lang w:val="id-ID"/>
        </w:rPr>
        <w:t>Tangerang</w:t>
      </w:r>
      <w:r w:rsidR="00A954D0">
        <w:rPr>
          <w:rFonts w:ascii="Bookman Old Style" w:hAnsi="Bookman Old Style"/>
          <w:lang w:val="id-ID"/>
        </w:rPr>
        <w:t xml:space="preserve"> </w:t>
      </w:r>
      <w:r w:rsidRPr="00BF3751">
        <w:rPr>
          <w:rFonts w:ascii="Bookman Old Style" w:hAnsi="Bookman Old Style" w:cs="Arial"/>
          <w:lang w:val="id-ID"/>
        </w:rPr>
        <w:t>harus</w:t>
      </w:r>
      <w:r w:rsidR="00A954D0">
        <w:rPr>
          <w:rFonts w:ascii="Bookman Old Style" w:hAnsi="Bookman Old Style" w:cs="Arial"/>
          <w:lang w:val="id-ID"/>
        </w:rPr>
        <w:t xml:space="preserve"> </w:t>
      </w:r>
      <w:r w:rsidRPr="00BF3751">
        <w:rPr>
          <w:rFonts w:ascii="Bookman Old Style" w:hAnsi="Bookman Old Style" w:cs="Arial"/>
          <w:lang w:val="id-ID"/>
        </w:rPr>
        <w:t>melakukan</w:t>
      </w:r>
      <w:r w:rsidR="00A954D0">
        <w:rPr>
          <w:rFonts w:ascii="Bookman Old Style" w:hAnsi="Bookman Old Style" w:cs="Arial"/>
          <w:lang w:val="id-ID"/>
        </w:rPr>
        <w:t xml:space="preserve"> </w:t>
      </w:r>
      <w:r w:rsidRPr="00BF3751">
        <w:rPr>
          <w:rFonts w:ascii="Bookman Old Style" w:hAnsi="Bookman Old Style" w:cs="Arial"/>
          <w:lang w:val="id-ID"/>
        </w:rPr>
        <w:t>langkah-langkah</w:t>
      </w:r>
      <w:r w:rsidR="00A954D0">
        <w:rPr>
          <w:rFonts w:ascii="Bookman Old Style" w:hAnsi="Bookman Old Style" w:cs="Arial"/>
          <w:lang w:val="id-ID"/>
        </w:rPr>
        <w:t xml:space="preserve"> </w:t>
      </w:r>
      <w:r w:rsidRPr="00BF3751">
        <w:rPr>
          <w:rFonts w:ascii="Bookman Old Style" w:hAnsi="Bookman Old Style" w:cs="Arial"/>
          <w:lang w:val="id-ID"/>
        </w:rPr>
        <w:t>strategis</w:t>
      </w:r>
      <w:r w:rsidR="00A954D0">
        <w:rPr>
          <w:rFonts w:ascii="Bookman Old Style" w:hAnsi="Bookman Old Style" w:cs="Arial"/>
          <w:lang w:val="id-ID"/>
        </w:rPr>
        <w:t xml:space="preserve"> </w:t>
      </w:r>
      <w:r w:rsidRPr="00BF3751">
        <w:rPr>
          <w:rFonts w:ascii="Bookman Old Style" w:hAnsi="Bookman Old Style" w:cs="Arial"/>
          <w:lang w:val="id-ID"/>
        </w:rPr>
        <w:t>percepatan</w:t>
      </w:r>
      <w:r w:rsidR="00A954D0">
        <w:rPr>
          <w:rFonts w:ascii="Bookman Old Style" w:hAnsi="Bookman Old Style" w:cs="Arial"/>
          <w:lang w:val="id-ID"/>
        </w:rPr>
        <w:t xml:space="preserve"> </w:t>
      </w:r>
      <w:r w:rsidRPr="00BF3751">
        <w:rPr>
          <w:rFonts w:ascii="Bookman Old Style" w:hAnsi="Bookman Old Style" w:cs="Arial"/>
          <w:lang w:val="id-ID"/>
        </w:rPr>
        <w:t>realisasi</w:t>
      </w:r>
      <w:r w:rsidR="00A954D0">
        <w:rPr>
          <w:rFonts w:ascii="Bookman Old Style" w:hAnsi="Bookman Old Style" w:cs="Arial"/>
          <w:lang w:val="id-ID"/>
        </w:rPr>
        <w:t xml:space="preserve"> </w:t>
      </w:r>
      <w:r w:rsidRPr="00BF3751">
        <w:rPr>
          <w:rFonts w:ascii="Bookman Old Style" w:hAnsi="Bookman Old Style" w:cs="Arial"/>
          <w:lang w:val="id-ID"/>
        </w:rPr>
        <w:t>anggaran</w:t>
      </w:r>
      <w:r w:rsidR="00A954D0">
        <w:rPr>
          <w:rFonts w:ascii="Bookman Old Style" w:hAnsi="Bookman Old Style" w:cs="Arial"/>
          <w:lang w:val="id-ID"/>
        </w:rPr>
        <w:t xml:space="preserve"> </w:t>
      </w:r>
      <w:r w:rsidRPr="00BF3751">
        <w:rPr>
          <w:rFonts w:ascii="Bookman Old Style" w:hAnsi="Bookman Old Style" w:cs="Arial"/>
          <w:lang w:val="id-ID"/>
        </w:rPr>
        <w:t>dalam</w:t>
      </w:r>
      <w:r w:rsidR="00A954D0">
        <w:rPr>
          <w:rFonts w:ascii="Bookman Old Style" w:hAnsi="Bookman Old Style" w:cs="Arial"/>
          <w:lang w:val="id-ID"/>
        </w:rPr>
        <w:t xml:space="preserve"> </w:t>
      </w:r>
      <w:r w:rsidRPr="00BF3751">
        <w:rPr>
          <w:rFonts w:ascii="Bookman Old Style" w:hAnsi="Bookman Old Style"/>
          <w:lang w:val="id-ID"/>
        </w:rPr>
        <w:t>Rancangan</w:t>
      </w:r>
      <w:r w:rsidR="00A954D0">
        <w:rPr>
          <w:rFonts w:ascii="Bookman Old Style" w:hAnsi="Bookman Old Style"/>
          <w:lang w:val="id-ID"/>
        </w:rPr>
        <w:t xml:space="preserve"> </w:t>
      </w:r>
      <w:r w:rsidRPr="00BF3751">
        <w:rPr>
          <w:rFonts w:ascii="Bookman Old Style" w:hAnsi="Bookman Old Style"/>
          <w:lang w:val="id-ID"/>
        </w:rPr>
        <w:t>Peraturan</w:t>
      </w:r>
      <w:r w:rsidR="00A954D0">
        <w:rPr>
          <w:rFonts w:ascii="Bookman Old Style" w:hAnsi="Bookman Old Style"/>
          <w:lang w:val="id-ID"/>
        </w:rPr>
        <w:t xml:space="preserve"> </w:t>
      </w:r>
      <w:r w:rsidRPr="00BF3751">
        <w:rPr>
          <w:rFonts w:ascii="Bookman Old Style" w:hAnsi="Bookman Old Style"/>
          <w:lang w:val="id-ID"/>
        </w:rPr>
        <w:t>Daerah</w:t>
      </w:r>
      <w:r w:rsidR="00A954D0">
        <w:rPr>
          <w:rFonts w:ascii="Bookman Old Style" w:hAnsi="Bookman Old Style"/>
          <w:lang w:val="id-ID"/>
        </w:rPr>
        <w:t xml:space="preserve"> </w:t>
      </w:r>
      <w:r w:rsidR="00B055C5" w:rsidRPr="00BF3751">
        <w:rPr>
          <w:rFonts w:ascii="Bookman Old Style" w:hAnsi="Bookman Old Style"/>
          <w:lang w:val="id-ID"/>
        </w:rPr>
        <w:t>Kota</w:t>
      </w:r>
      <w:r w:rsidR="00A954D0">
        <w:rPr>
          <w:rFonts w:ascii="Bookman Old Style" w:hAnsi="Bookman Old Style"/>
          <w:lang w:val="id-ID"/>
        </w:rPr>
        <w:t xml:space="preserve"> </w:t>
      </w:r>
      <w:r w:rsidR="00770F22" w:rsidRPr="00953DC9">
        <w:rPr>
          <w:rFonts w:ascii="Bookman Old Style" w:hAnsi="Bookman Old Style"/>
          <w:lang w:val="sv-FI"/>
        </w:rPr>
        <w:t>Tangerang</w:t>
      </w:r>
      <w:r w:rsidR="00A954D0" w:rsidRPr="00953DC9">
        <w:rPr>
          <w:rFonts w:ascii="Bookman Old Style" w:hAnsi="Bookman Old Style"/>
          <w:lang w:val="sv-FI"/>
        </w:rPr>
        <w:t xml:space="preserve"> </w:t>
      </w:r>
      <w:r w:rsidR="00BE6ED9" w:rsidRPr="00953DC9">
        <w:rPr>
          <w:rFonts w:ascii="Bookman Old Style" w:hAnsi="Bookman Old Style"/>
          <w:lang w:val="sv-FI"/>
        </w:rPr>
        <w:t>tentang</w:t>
      </w:r>
      <w:r w:rsidR="00A954D0" w:rsidRPr="00953DC9">
        <w:rPr>
          <w:rFonts w:ascii="Bookman Old Style" w:hAnsi="Bookman Old Style"/>
          <w:lang w:val="sv-FI"/>
        </w:rPr>
        <w:t xml:space="preserve"> </w:t>
      </w:r>
      <w:r w:rsidR="00BE6ED9" w:rsidRPr="00953DC9">
        <w:rPr>
          <w:rFonts w:ascii="Bookman Old Style" w:hAnsi="Bookman Old Style"/>
          <w:lang w:val="sv-FI"/>
        </w:rPr>
        <w:t>APBD</w:t>
      </w:r>
      <w:r w:rsidR="00A954D0" w:rsidRPr="00953DC9">
        <w:rPr>
          <w:rFonts w:ascii="Bookman Old Style" w:hAnsi="Bookman Old Style"/>
          <w:lang w:val="sv-FI"/>
        </w:rPr>
        <w:t xml:space="preserve"> </w:t>
      </w:r>
      <w:r w:rsidRPr="00953DC9">
        <w:rPr>
          <w:rFonts w:ascii="Bookman Old Style" w:hAnsi="Bookman Old Style"/>
          <w:lang w:val="sv-FI"/>
        </w:rPr>
        <w:t>Tahun</w:t>
      </w:r>
      <w:r w:rsidR="00A954D0" w:rsidRPr="00953DC9">
        <w:rPr>
          <w:rFonts w:ascii="Bookman Old Style" w:hAnsi="Bookman Old Style"/>
          <w:lang w:val="sv-FI"/>
        </w:rPr>
        <w:t xml:space="preserve"> </w:t>
      </w:r>
      <w:r w:rsidRPr="00953DC9">
        <w:rPr>
          <w:rFonts w:ascii="Bookman Old Style" w:hAnsi="Bookman Old Style"/>
          <w:lang w:val="sv-FI"/>
        </w:rPr>
        <w:t>Anggaran</w:t>
      </w:r>
      <w:r w:rsidR="00A954D0" w:rsidRPr="00953DC9">
        <w:rPr>
          <w:rFonts w:ascii="Bookman Old Style" w:hAnsi="Bookman Old Style"/>
          <w:lang w:val="sv-FI"/>
        </w:rPr>
        <w:t xml:space="preserve"> </w:t>
      </w:r>
      <w:r w:rsidRPr="00953DC9">
        <w:rPr>
          <w:rFonts w:ascii="Bookman Old Style" w:hAnsi="Bookman Old Style"/>
          <w:lang w:val="sv-FI"/>
        </w:rPr>
        <w:lastRenderedPageBreak/>
        <w:t>2025</w:t>
      </w:r>
      <w:r w:rsidR="00A954D0" w:rsidRPr="00953DC9">
        <w:rPr>
          <w:rFonts w:ascii="Bookman Old Style" w:hAnsi="Bookman Old Style"/>
          <w:lang w:val="sv-FI"/>
        </w:rPr>
        <w:t xml:space="preserve"> </w:t>
      </w:r>
      <w:r w:rsidRPr="00953DC9">
        <w:rPr>
          <w:rFonts w:ascii="Bookman Old Style" w:hAnsi="Bookman Old Style"/>
          <w:lang w:val="sv-FI"/>
        </w:rPr>
        <w:t>dengan</w:t>
      </w:r>
      <w:r w:rsidR="00A954D0" w:rsidRPr="00953DC9">
        <w:rPr>
          <w:rFonts w:ascii="Bookman Old Style" w:hAnsi="Bookman Old Style"/>
          <w:lang w:val="sv-FI"/>
        </w:rPr>
        <w:t xml:space="preserve"> </w:t>
      </w:r>
      <w:r w:rsidRPr="00953DC9">
        <w:rPr>
          <w:rFonts w:ascii="Bookman Old Style" w:hAnsi="Bookman Old Style"/>
          <w:lang w:val="sv-FI"/>
        </w:rPr>
        <w:t>melakukan</w:t>
      </w:r>
      <w:r w:rsidR="00A954D0" w:rsidRPr="00953DC9">
        <w:rPr>
          <w:rFonts w:ascii="Bookman Old Style" w:hAnsi="Bookman Old Style"/>
          <w:lang w:val="sv-FI"/>
        </w:rPr>
        <w:t xml:space="preserve"> </w:t>
      </w:r>
      <w:r w:rsidRPr="00953DC9">
        <w:rPr>
          <w:rFonts w:ascii="Bookman Old Style" w:hAnsi="Bookman Old Style"/>
          <w:lang w:val="sv-FI"/>
        </w:rPr>
        <w:t>lelang</w:t>
      </w:r>
      <w:r w:rsidR="00A954D0" w:rsidRPr="00953DC9">
        <w:rPr>
          <w:rFonts w:ascii="Bookman Old Style" w:hAnsi="Bookman Old Style"/>
          <w:lang w:val="sv-FI"/>
        </w:rPr>
        <w:t xml:space="preserve"> </w:t>
      </w:r>
      <w:r w:rsidRPr="00953DC9">
        <w:rPr>
          <w:rFonts w:ascii="Bookman Old Style" w:hAnsi="Bookman Old Style"/>
          <w:lang w:val="sv-FI"/>
        </w:rPr>
        <w:t>barang/jasa</w:t>
      </w:r>
      <w:r w:rsidR="00A954D0" w:rsidRPr="00953DC9">
        <w:rPr>
          <w:rFonts w:ascii="Bookman Old Style" w:hAnsi="Bookman Old Style"/>
          <w:lang w:val="sv-FI"/>
        </w:rPr>
        <w:t xml:space="preserve"> </w:t>
      </w:r>
      <w:r w:rsidRPr="00953DC9">
        <w:rPr>
          <w:rFonts w:ascii="Bookman Old Style" w:hAnsi="Bookman Old Style"/>
          <w:lang w:val="sv-FI"/>
        </w:rPr>
        <w:t>pada</w:t>
      </w:r>
      <w:r w:rsidR="00A954D0" w:rsidRPr="00953DC9">
        <w:rPr>
          <w:rFonts w:ascii="Bookman Old Style" w:hAnsi="Bookman Old Style"/>
          <w:lang w:val="sv-FI"/>
        </w:rPr>
        <w:t xml:space="preserve"> </w:t>
      </w:r>
      <w:r w:rsidRPr="00953DC9">
        <w:rPr>
          <w:rFonts w:ascii="Bookman Old Style" w:hAnsi="Bookman Old Style"/>
          <w:lang w:val="sv-FI"/>
        </w:rPr>
        <w:t>awal</w:t>
      </w:r>
      <w:r w:rsidR="00A954D0" w:rsidRPr="00953DC9">
        <w:rPr>
          <w:rFonts w:ascii="Bookman Old Style" w:hAnsi="Bookman Old Style"/>
          <w:lang w:val="sv-FI"/>
        </w:rPr>
        <w:t xml:space="preserve"> </w:t>
      </w:r>
      <w:r w:rsidRPr="00953DC9">
        <w:rPr>
          <w:rFonts w:ascii="Bookman Old Style" w:hAnsi="Bookman Old Style"/>
          <w:lang w:val="sv-FI"/>
        </w:rPr>
        <w:t>tahun</w:t>
      </w:r>
      <w:r w:rsidR="00A954D0" w:rsidRPr="00953DC9">
        <w:rPr>
          <w:rFonts w:ascii="Bookman Old Style" w:hAnsi="Bookman Old Style"/>
          <w:lang w:val="sv-FI"/>
        </w:rPr>
        <w:t xml:space="preserve"> </w:t>
      </w:r>
      <w:r w:rsidRPr="00953DC9">
        <w:rPr>
          <w:rFonts w:ascii="Bookman Old Style" w:hAnsi="Bookman Old Style"/>
          <w:lang w:val="sv-FI"/>
        </w:rPr>
        <w:t>dengan</w:t>
      </w:r>
      <w:r w:rsidR="00A954D0" w:rsidRPr="00953DC9">
        <w:rPr>
          <w:rFonts w:ascii="Bookman Old Style" w:hAnsi="Bookman Old Style"/>
          <w:lang w:val="sv-FI"/>
        </w:rPr>
        <w:t xml:space="preserve"> </w:t>
      </w:r>
      <w:r w:rsidRPr="00953DC9">
        <w:rPr>
          <w:rFonts w:ascii="Bookman Old Style" w:hAnsi="Bookman Old Style"/>
          <w:lang w:val="sv-FI"/>
        </w:rPr>
        <w:t>berpedoman</w:t>
      </w:r>
      <w:r w:rsidR="00A954D0" w:rsidRPr="00953DC9">
        <w:rPr>
          <w:rFonts w:ascii="Bookman Old Style" w:hAnsi="Bookman Old Style"/>
          <w:lang w:val="sv-FI"/>
        </w:rPr>
        <w:t xml:space="preserve"> </w:t>
      </w:r>
      <w:r w:rsidRPr="00953DC9">
        <w:rPr>
          <w:rFonts w:ascii="Bookman Old Style" w:hAnsi="Bookman Old Style"/>
          <w:lang w:val="sv-FI"/>
        </w:rPr>
        <w:t>pada</w:t>
      </w:r>
      <w:r w:rsidR="00A954D0" w:rsidRPr="00953DC9">
        <w:rPr>
          <w:rFonts w:ascii="Bookman Old Style" w:hAnsi="Bookman Old Style"/>
          <w:lang w:val="sv-FI"/>
        </w:rPr>
        <w:t xml:space="preserve"> </w:t>
      </w:r>
      <w:r w:rsidRPr="00953DC9">
        <w:rPr>
          <w:rFonts w:ascii="Bookman Old Style" w:hAnsi="Bookman Old Style"/>
          <w:lang w:val="sv-FI"/>
        </w:rPr>
        <w:t>Peraturan</w:t>
      </w:r>
      <w:r w:rsidR="00A954D0" w:rsidRPr="00953DC9">
        <w:rPr>
          <w:rFonts w:ascii="Bookman Old Style" w:hAnsi="Bookman Old Style"/>
          <w:lang w:val="sv-FI"/>
        </w:rPr>
        <w:t xml:space="preserve"> </w:t>
      </w:r>
      <w:r w:rsidRPr="00953DC9">
        <w:rPr>
          <w:rFonts w:ascii="Bookman Old Style" w:hAnsi="Bookman Old Style"/>
          <w:lang w:val="sv-FI"/>
        </w:rPr>
        <w:t>Presiden</w:t>
      </w:r>
      <w:r w:rsidR="00A954D0" w:rsidRPr="00953DC9">
        <w:rPr>
          <w:rFonts w:ascii="Bookman Old Style" w:hAnsi="Bookman Old Style"/>
          <w:lang w:val="sv-FI"/>
        </w:rPr>
        <w:t xml:space="preserve"> </w:t>
      </w:r>
      <w:r w:rsidRPr="00953DC9">
        <w:rPr>
          <w:rFonts w:ascii="Bookman Old Style" w:hAnsi="Bookman Old Style"/>
          <w:lang w:val="sv-FI"/>
        </w:rPr>
        <w:t>Nomor</w:t>
      </w:r>
      <w:r w:rsidR="00A954D0" w:rsidRPr="00953DC9">
        <w:rPr>
          <w:rFonts w:ascii="Bookman Old Style" w:hAnsi="Bookman Old Style"/>
          <w:lang w:val="sv-FI"/>
        </w:rPr>
        <w:t xml:space="preserve"> </w:t>
      </w:r>
      <w:r w:rsidRPr="00953DC9">
        <w:rPr>
          <w:rFonts w:ascii="Bookman Old Style" w:hAnsi="Bookman Old Style"/>
          <w:lang w:val="sv-FI"/>
        </w:rPr>
        <w:t>16</w:t>
      </w:r>
      <w:r w:rsidR="00A954D0" w:rsidRPr="00953DC9">
        <w:rPr>
          <w:rFonts w:ascii="Bookman Old Style" w:hAnsi="Bookman Old Style"/>
          <w:lang w:val="sv-FI"/>
        </w:rPr>
        <w:t xml:space="preserve"> </w:t>
      </w:r>
      <w:r w:rsidRPr="00953DC9">
        <w:rPr>
          <w:rFonts w:ascii="Bookman Old Style" w:hAnsi="Bookman Old Style"/>
          <w:lang w:val="sv-FI"/>
        </w:rPr>
        <w:t>Tahun</w:t>
      </w:r>
      <w:r w:rsidR="00A954D0" w:rsidRPr="00953DC9">
        <w:rPr>
          <w:rFonts w:ascii="Bookman Old Style" w:hAnsi="Bookman Old Style"/>
          <w:lang w:val="sv-FI"/>
        </w:rPr>
        <w:t xml:space="preserve"> </w:t>
      </w:r>
      <w:r w:rsidRPr="00953DC9">
        <w:rPr>
          <w:rFonts w:ascii="Bookman Old Style" w:hAnsi="Bookman Old Style"/>
          <w:lang w:val="sv-FI"/>
        </w:rPr>
        <w:t>2018</w:t>
      </w:r>
      <w:r w:rsidR="00A954D0" w:rsidRPr="00953DC9">
        <w:rPr>
          <w:rFonts w:ascii="Bookman Old Style" w:hAnsi="Bookman Old Style"/>
          <w:lang w:val="sv-FI"/>
        </w:rPr>
        <w:t xml:space="preserve"> </w:t>
      </w:r>
      <w:r w:rsidRPr="00953DC9">
        <w:rPr>
          <w:rFonts w:ascii="Bookman Old Style" w:hAnsi="Bookman Old Style"/>
          <w:lang w:val="sv-FI"/>
        </w:rPr>
        <w:t>tentang</w:t>
      </w:r>
      <w:r w:rsidR="00A954D0" w:rsidRPr="00953DC9">
        <w:rPr>
          <w:rFonts w:ascii="Bookman Old Style" w:hAnsi="Bookman Old Style"/>
          <w:lang w:val="sv-FI"/>
        </w:rPr>
        <w:t xml:space="preserve"> </w:t>
      </w:r>
      <w:r w:rsidRPr="00953DC9">
        <w:rPr>
          <w:rFonts w:ascii="Bookman Old Style" w:hAnsi="Bookman Old Style"/>
          <w:lang w:val="sv-FI"/>
        </w:rPr>
        <w:t>Pengadaan</w:t>
      </w:r>
      <w:r w:rsidR="00A954D0" w:rsidRPr="00953DC9">
        <w:rPr>
          <w:rFonts w:ascii="Bookman Old Style" w:hAnsi="Bookman Old Style"/>
          <w:lang w:val="sv-FI"/>
        </w:rPr>
        <w:t xml:space="preserve"> </w:t>
      </w:r>
      <w:r w:rsidRPr="00953DC9">
        <w:rPr>
          <w:rFonts w:ascii="Bookman Old Style" w:hAnsi="Bookman Old Style"/>
          <w:lang w:val="sv-FI"/>
        </w:rPr>
        <w:t>Barang/Jasa</w:t>
      </w:r>
      <w:r w:rsidR="00A954D0" w:rsidRPr="00953DC9">
        <w:rPr>
          <w:rFonts w:ascii="Bookman Old Style" w:hAnsi="Bookman Old Style"/>
          <w:lang w:val="sv-FI"/>
        </w:rPr>
        <w:t xml:space="preserve"> </w:t>
      </w:r>
      <w:r w:rsidRPr="00953DC9">
        <w:rPr>
          <w:rFonts w:ascii="Bookman Old Style" w:hAnsi="Bookman Old Style"/>
          <w:lang w:val="sv-FI"/>
        </w:rPr>
        <w:t>Pemerintah,</w:t>
      </w:r>
      <w:r w:rsidR="00A954D0" w:rsidRPr="00953DC9">
        <w:rPr>
          <w:rFonts w:ascii="Bookman Old Style" w:hAnsi="Bookman Old Style"/>
          <w:lang w:val="sv-FI"/>
        </w:rPr>
        <w:t xml:space="preserve"> </w:t>
      </w:r>
      <w:r w:rsidRPr="00953DC9">
        <w:rPr>
          <w:rFonts w:ascii="Bookman Old Style" w:hAnsi="Bookman Old Style"/>
          <w:lang w:val="sv-FI"/>
        </w:rPr>
        <w:t>sebagaimana</w:t>
      </w:r>
      <w:r w:rsidR="00A954D0" w:rsidRPr="00953DC9">
        <w:rPr>
          <w:rFonts w:ascii="Bookman Old Style" w:hAnsi="Bookman Old Style"/>
          <w:lang w:val="sv-FI"/>
        </w:rPr>
        <w:t xml:space="preserve"> </w:t>
      </w:r>
      <w:r w:rsidRPr="00953DC9">
        <w:rPr>
          <w:rFonts w:ascii="Bookman Old Style" w:hAnsi="Bookman Old Style"/>
          <w:lang w:val="sv-FI"/>
        </w:rPr>
        <w:t>telah</w:t>
      </w:r>
      <w:r w:rsidR="00A954D0" w:rsidRPr="00953DC9">
        <w:rPr>
          <w:rFonts w:ascii="Bookman Old Style" w:hAnsi="Bookman Old Style"/>
          <w:lang w:val="sv-FI"/>
        </w:rPr>
        <w:t xml:space="preserve"> </w:t>
      </w:r>
      <w:r w:rsidRPr="00953DC9">
        <w:rPr>
          <w:rFonts w:ascii="Bookman Old Style" w:hAnsi="Bookman Old Style"/>
          <w:lang w:val="sv-FI"/>
        </w:rPr>
        <w:t>diubah</w:t>
      </w:r>
      <w:r w:rsidR="00A954D0" w:rsidRPr="00953DC9">
        <w:rPr>
          <w:rFonts w:ascii="Bookman Old Style" w:hAnsi="Bookman Old Style"/>
          <w:lang w:val="sv-FI"/>
        </w:rPr>
        <w:t xml:space="preserve"> </w:t>
      </w:r>
      <w:r w:rsidRPr="00953DC9">
        <w:rPr>
          <w:rFonts w:ascii="Bookman Old Style" w:hAnsi="Bookman Old Style"/>
          <w:lang w:val="sv-FI"/>
        </w:rPr>
        <w:t>dengan</w:t>
      </w:r>
      <w:r w:rsidR="00A954D0" w:rsidRPr="00953DC9">
        <w:rPr>
          <w:rFonts w:ascii="Bookman Old Style" w:hAnsi="Bookman Old Style"/>
          <w:lang w:val="sv-FI"/>
        </w:rPr>
        <w:t xml:space="preserve"> </w:t>
      </w:r>
      <w:r w:rsidRPr="00953DC9">
        <w:rPr>
          <w:rFonts w:ascii="Bookman Old Style" w:hAnsi="Bookman Old Style"/>
          <w:lang w:val="sv-FI"/>
        </w:rPr>
        <w:t>Peraturan</w:t>
      </w:r>
      <w:r w:rsidR="00A954D0" w:rsidRPr="00953DC9">
        <w:rPr>
          <w:rFonts w:ascii="Bookman Old Style" w:hAnsi="Bookman Old Style"/>
          <w:lang w:val="sv-FI"/>
        </w:rPr>
        <w:t xml:space="preserve"> </w:t>
      </w:r>
      <w:r w:rsidRPr="00953DC9">
        <w:rPr>
          <w:rFonts w:ascii="Bookman Old Style" w:hAnsi="Bookman Old Style"/>
          <w:lang w:val="sv-FI"/>
        </w:rPr>
        <w:t>Presiden</w:t>
      </w:r>
      <w:r w:rsidR="00A954D0" w:rsidRPr="00953DC9">
        <w:rPr>
          <w:rFonts w:ascii="Bookman Old Style" w:hAnsi="Bookman Old Style"/>
          <w:lang w:val="sv-FI"/>
        </w:rPr>
        <w:t xml:space="preserve"> </w:t>
      </w:r>
      <w:r w:rsidRPr="00953DC9">
        <w:rPr>
          <w:rFonts w:ascii="Bookman Old Style" w:hAnsi="Bookman Old Style"/>
          <w:lang w:val="sv-FI"/>
        </w:rPr>
        <w:t>Nomor</w:t>
      </w:r>
      <w:r w:rsidR="00A954D0" w:rsidRPr="00953DC9">
        <w:rPr>
          <w:rFonts w:ascii="Bookman Old Style" w:hAnsi="Bookman Old Style"/>
          <w:lang w:val="sv-FI"/>
        </w:rPr>
        <w:t xml:space="preserve"> </w:t>
      </w:r>
      <w:r w:rsidRPr="00953DC9">
        <w:rPr>
          <w:rFonts w:ascii="Bookman Old Style" w:hAnsi="Bookman Old Style"/>
          <w:lang w:val="sv-FI"/>
        </w:rPr>
        <w:t>12</w:t>
      </w:r>
      <w:r w:rsidR="00A954D0" w:rsidRPr="00953DC9">
        <w:rPr>
          <w:rFonts w:ascii="Bookman Old Style" w:hAnsi="Bookman Old Style"/>
          <w:lang w:val="sv-FI"/>
        </w:rPr>
        <w:t xml:space="preserve"> </w:t>
      </w:r>
      <w:r w:rsidRPr="00953DC9">
        <w:rPr>
          <w:rFonts w:ascii="Bookman Old Style" w:hAnsi="Bookman Old Style"/>
          <w:lang w:val="sv-FI"/>
        </w:rPr>
        <w:t>Tahun</w:t>
      </w:r>
      <w:r w:rsidR="00A954D0" w:rsidRPr="00953DC9">
        <w:rPr>
          <w:rFonts w:ascii="Bookman Old Style" w:hAnsi="Bookman Old Style"/>
          <w:lang w:val="sv-FI"/>
        </w:rPr>
        <w:t xml:space="preserve"> </w:t>
      </w:r>
      <w:r w:rsidRPr="00953DC9">
        <w:rPr>
          <w:rFonts w:ascii="Bookman Old Style" w:hAnsi="Bookman Old Style"/>
          <w:lang w:val="sv-FI"/>
        </w:rPr>
        <w:t>2021</w:t>
      </w:r>
      <w:r w:rsidR="00A954D0" w:rsidRPr="00953DC9">
        <w:rPr>
          <w:rFonts w:ascii="Bookman Old Style" w:hAnsi="Bookman Old Style"/>
          <w:lang w:val="sv-FI"/>
        </w:rPr>
        <w:t xml:space="preserve"> </w:t>
      </w:r>
      <w:r w:rsidRPr="00953DC9">
        <w:rPr>
          <w:rFonts w:ascii="Bookman Old Style" w:hAnsi="Bookman Old Style"/>
          <w:lang w:val="sv-FI"/>
        </w:rPr>
        <w:t>tentang</w:t>
      </w:r>
      <w:r w:rsidR="00A954D0" w:rsidRPr="00953DC9">
        <w:rPr>
          <w:rFonts w:ascii="Bookman Old Style" w:hAnsi="Bookman Old Style"/>
          <w:lang w:val="sv-FI"/>
        </w:rPr>
        <w:t xml:space="preserve"> </w:t>
      </w:r>
      <w:r w:rsidRPr="00953DC9">
        <w:rPr>
          <w:rFonts w:ascii="Bookman Old Style" w:hAnsi="Bookman Old Style"/>
          <w:lang w:val="sv-FI"/>
        </w:rPr>
        <w:t>Perubahan</w:t>
      </w:r>
      <w:r w:rsidR="00A954D0" w:rsidRPr="00953DC9">
        <w:rPr>
          <w:rFonts w:ascii="Bookman Old Style" w:hAnsi="Bookman Old Style"/>
          <w:lang w:val="sv-FI"/>
        </w:rPr>
        <w:t xml:space="preserve"> </w:t>
      </w:r>
      <w:r w:rsidRPr="00953DC9">
        <w:rPr>
          <w:rFonts w:ascii="Bookman Old Style" w:hAnsi="Bookman Old Style"/>
          <w:lang w:val="sv-FI"/>
        </w:rPr>
        <w:t>atas</w:t>
      </w:r>
      <w:r w:rsidR="00A954D0" w:rsidRPr="00953DC9">
        <w:rPr>
          <w:rFonts w:ascii="Bookman Old Style" w:hAnsi="Bookman Old Style"/>
          <w:lang w:val="sv-FI"/>
        </w:rPr>
        <w:t xml:space="preserve"> </w:t>
      </w:r>
      <w:r w:rsidRPr="00953DC9">
        <w:rPr>
          <w:rFonts w:ascii="Bookman Old Style" w:hAnsi="Bookman Old Style"/>
          <w:lang w:val="sv-FI"/>
        </w:rPr>
        <w:t>Peraturan</w:t>
      </w:r>
      <w:r w:rsidR="00A954D0" w:rsidRPr="00953DC9">
        <w:rPr>
          <w:rFonts w:ascii="Bookman Old Style" w:hAnsi="Bookman Old Style"/>
          <w:lang w:val="sv-FI"/>
        </w:rPr>
        <w:t xml:space="preserve"> </w:t>
      </w:r>
      <w:r w:rsidRPr="00953DC9">
        <w:rPr>
          <w:rFonts w:ascii="Bookman Old Style" w:hAnsi="Bookman Old Style"/>
          <w:lang w:val="sv-FI"/>
        </w:rPr>
        <w:t>Presiden</w:t>
      </w:r>
      <w:r w:rsidR="00A954D0" w:rsidRPr="00953DC9">
        <w:rPr>
          <w:rFonts w:ascii="Bookman Old Style" w:hAnsi="Bookman Old Style"/>
          <w:lang w:val="sv-FI"/>
        </w:rPr>
        <w:t xml:space="preserve"> </w:t>
      </w:r>
      <w:r w:rsidRPr="00953DC9">
        <w:rPr>
          <w:rFonts w:ascii="Bookman Old Style" w:hAnsi="Bookman Old Style"/>
          <w:lang w:val="sv-FI"/>
        </w:rPr>
        <w:t>Nomor</w:t>
      </w:r>
      <w:r w:rsidR="00A954D0" w:rsidRPr="00953DC9">
        <w:rPr>
          <w:rFonts w:ascii="Bookman Old Style" w:hAnsi="Bookman Old Style"/>
          <w:lang w:val="sv-FI"/>
        </w:rPr>
        <w:t xml:space="preserve"> </w:t>
      </w:r>
      <w:r w:rsidRPr="00953DC9">
        <w:rPr>
          <w:rFonts w:ascii="Bookman Old Style" w:hAnsi="Bookman Old Style"/>
          <w:lang w:val="sv-FI"/>
        </w:rPr>
        <w:t>16</w:t>
      </w:r>
      <w:r w:rsidR="00A954D0" w:rsidRPr="00953DC9">
        <w:rPr>
          <w:rFonts w:ascii="Bookman Old Style" w:hAnsi="Bookman Old Style"/>
          <w:lang w:val="sv-FI"/>
        </w:rPr>
        <w:t xml:space="preserve"> </w:t>
      </w:r>
      <w:r w:rsidRPr="00953DC9">
        <w:rPr>
          <w:rFonts w:ascii="Bookman Old Style" w:hAnsi="Bookman Old Style"/>
          <w:lang w:val="sv-FI"/>
        </w:rPr>
        <w:t>Tahun</w:t>
      </w:r>
      <w:r w:rsidR="00A954D0" w:rsidRPr="00953DC9">
        <w:rPr>
          <w:rFonts w:ascii="Bookman Old Style" w:hAnsi="Bookman Old Style"/>
          <w:lang w:val="sv-FI"/>
        </w:rPr>
        <w:t xml:space="preserve"> </w:t>
      </w:r>
      <w:r w:rsidRPr="00953DC9">
        <w:rPr>
          <w:rFonts w:ascii="Bookman Old Style" w:hAnsi="Bookman Old Style"/>
          <w:lang w:val="sv-FI"/>
        </w:rPr>
        <w:t>2018</w:t>
      </w:r>
      <w:r w:rsidR="00A954D0" w:rsidRPr="00953DC9">
        <w:rPr>
          <w:rFonts w:ascii="Bookman Old Style" w:hAnsi="Bookman Old Style"/>
          <w:lang w:val="sv-FI"/>
        </w:rPr>
        <w:t xml:space="preserve"> </w:t>
      </w:r>
      <w:r w:rsidRPr="00953DC9">
        <w:rPr>
          <w:rFonts w:ascii="Bookman Old Style" w:hAnsi="Bookman Old Style"/>
          <w:lang w:val="sv-FI"/>
        </w:rPr>
        <w:t>tentang</w:t>
      </w:r>
      <w:r w:rsidR="00A954D0" w:rsidRPr="00953DC9">
        <w:rPr>
          <w:rFonts w:ascii="Bookman Old Style" w:hAnsi="Bookman Old Style"/>
          <w:lang w:val="sv-FI"/>
        </w:rPr>
        <w:t xml:space="preserve"> </w:t>
      </w:r>
      <w:r w:rsidRPr="00953DC9">
        <w:rPr>
          <w:rFonts w:ascii="Bookman Old Style" w:hAnsi="Bookman Old Style"/>
          <w:lang w:val="sv-FI"/>
        </w:rPr>
        <w:t>Pengadaan</w:t>
      </w:r>
      <w:r w:rsidR="00A954D0" w:rsidRPr="00953DC9">
        <w:rPr>
          <w:rFonts w:ascii="Bookman Old Style" w:hAnsi="Bookman Old Style"/>
          <w:lang w:val="sv-FI"/>
        </w:rPr>
        <w:t xml:space="preserve"> </w:t>
      </w:r>
      <w:r w:rsidRPr="00953DC9">
        <w:rPr>
          <w:rFonts w:ascii="Bookman Old Style" w:hAnsi="Bookman Old Style"/>
          <w:lang w:val="sv-FI"/>
        </w:rPr>
        <w:t>Barang/Jasa</w:t>
      </w:r>
      <w:r w:rsidR="00A954D0" w:rsidRPr="00953DC9">
        <w:rPr>
          <w:rFonts w:ascii="Bookman Old Style" w:hAnsi="Bookman Old Style"/>
          <w:lang w:val="sv-FI"/>
        </w:rPr>
        <w:t xml:space="preserve"> </w:t>
      </w:r>
      <w:r w:rsidRPr="00953DC9">
        <w:rPr>
          <w:rFonts w:ascii="Bookman Old Style" w:hAnsi="Bookman Old Style"/>
          <w:lang w:val="sv-FI"/>
        </w:rPr>
        <w:t>Pemerintah.</w:t>
      </w:r>
    </w:p>
    <w:p w14:paraId="54EDEE05" w14:textId="368D5D93" w:rsidR="003374DF" w:rsidRPr="00BF3751" w:rsidRDefault="003374DF" w:rsidP="00953DC9">
      <w:pPr>
        <w:numPr>
          <w:ilvl w:val="0"/>
          <w:numId w:val="156"/>
        </w:numPr>
        <w:spacing w:before="60" w:line="276" w:lineRule="auto"/>
        <w:ind w:left="993" w:hanging="426"/>
        <w:jc w:val="both"/>
        <w:rPr>
          <w:rFonts w:ascii="Bookman Old Style" w:hAnsi="Bookman Old Style" w:cs="Arial"/>
          <w:lang w:val="id-ID"/>
        </w:rPr>
      </w:pPr>
      <w:r w:rsidRPr="00953DC9">
        <w:rPr>
          <w:rFonts w:ascii="Bookman Old Style" w:hAnsi="Bookman Old Style"/>
          <w:lang w:val="sv-FI"/>
        </w:rPr>
        <w:t>Pemerintah</w:t>
      </w:r>
      <w:r w:rsidR="00A954D0" w:rsidRPr="00953DC9">
        <w:rPr>
          <w:rFonts w:ascii="Bookman Old Style" w:hAnsi="Bookman Old Style"/>
          <w:lang w:val="sv-FI"/>
        </w:rPr>
        <w:t xml:space="preserve"> </w:t>
      </w:r>
      <w:r w:rsidRPr="00953DC9">
        <w:rPr>
          <w:rFonts w:ascii="Bookman Old Style" w:hAnsi="Bookman Old Style"/>
          <w:lang w:val="sv-FI"/>
        </w:rPr>
        <w:t>Daerah</w:t>
      </w:r>
      <w:r w:rsidR="00A954D0" w:rsidRPr="00953DC9">
        <w:rPr>
          <w:rFonts w:ascii="Bookman Old Style" w:hAnsi="Bookman Old Style"/>
          <w:lang w:val="sv-FI"/>
        </w:rPr>
        <w:t xml:space="preserve"> </w:t>
      </w:r>
      <w:r w:rsidR="00046408" w:rsidRPr="00953DC9">
        <w:rPr>
          <w:rFonts w:ascii="Bookman Old Style" w:hAnsi="Bookman Old Style"/>
          <w:lang w:val="sv-FI"/>
        </w:rPr>
        <w:t>Kota</w:t>
      </w:r>
      <w:r w:rsidR="00A954D0" w:rsidRPr="00953DC9">
        <w:rPr>
          <w:rFonts w:ascii="Bookman Old Style" w:hAnsi="Bookman Old Style"/>
          <w:lang w:val="sv-FI"/>
        </w:rPr>
        <w:t xml:space="preserve"> </w:t>
      </w:r>
      <w:r w:rsidR="00770F22" w:rsidRPr="00953DC9">
        <w:rPr>
          <w:rFonts w:ascii="Bookman Old Style" w:hAnsi="Bookman Old Style"/>
          <w:lang w:val="sv-FI"/>
        </w:rPr>
        <w:t>Tangerang</w:t>
      </w:r>
      <w:r w:rsidR="00A954D0" w:rsidRPr="00953DC9">
        <w:rPr>
          <w:rFonts w:ascii="Bookman Old Style" w:hAnsi="Bookman Old Style"/>
          <w:lang w:val="sv-FI"/>
        </w:rPr>
        <w:t xml:space="preserve"> </w:t>
      </w:r>
      <w:r w:rsidRPr="00953DC9">
        <w:rPr>
          <w:rFonts w:ascii="Bookman Old Style" w:hAnsi="Bookman Old Style"/>
          <w:lang w:val="sv-FI"/>
        </w:rPr>
        <w:t>dalam</w:t>
      </w:r>
      <w:r w:rsidR="00A954D0" w:rsidRPr="00953DC9">
        <w:rPr>
          <w:rFonts w:ascii="Bookman Old Style" w:hAnsi="Bookman Old Style"/>
          <w:lang w:val="sv-FI"/>
        </w:rPr>
        <w:t xml:space="preserve"> </w:t>
      </w:r>
      <w:r w:rsidRPr="00953DC9">
        <w:rPr>
          <w:rFonts w:ascii="Bookman Old Style" w:hAnsi="Bookman Old Style"/>
          <w:lang w:val="sv-FI"/>
        </w:rPr>
        <w:t>menganggarkan</w:t>
      </w:r>
      <w:r w:rsidR="00A954D0" w:rsidRPr="00953DC9">
        <w:rPr>
          <w:rFonts w:ascii="Bookman Old Style" w:hAnsi="Bookman Old Style"/>
          <w:lang w:val="sv-FI"/>
        </w:rPr>
        <w:t xml:space="preserve"> </w:t>
      </w:r>
      <w:r w:rsidRPr="00953DC9">
        <w:rPr>
          <w:rFonts w:ascii="Bookman Old Style" w:hAnsi="Bookman Old Style"/>
          <w:lang w:val="sv-FI"/>
        </w:rPr>
        <w:t>percepatan</w:t>
      </w:r>
      <w:r w:rsidR="00A954D0" w:rsidRPr="00953DC9">
        <w:rPr>
          <w:rFonts w:ascii="Bookman Old Style" w:hAnsi="Bookman Old Style"/>
          <w:lang w:val="sv-FI"/>
        </w:rPr>
        <w:t xml:space="preserve"> </w:t>
      </w:r>
      <w:r w:rsidRPr="00953DC9">
        <w:rPr>
          <w:rFonts w:ascii="Bookman Old Style" w:hAnsi="Bookman Old Style"/>
          <w:lang w:val="sv-FI"/>
        </w:rPr>
        <w:t>peningkatan</w:t>
      </w:r>
      <w:r w:rsidR="00A954D0" w:rsidRPr="00953DC9">
        <w:rPr>
          <w:rFonts w:ascii="Bookman Old Style" w:hAnsi="Bookman Old Style"/>
          <w:lang w:val="sv-FI"/>
        </w:rPr>
        <w:t xml:space="preserve"> </w:t>
      </w:r>
      <w:r w:rsidRPr="00953DC9">
        <w:rPr>
          <w:rFonts w:ascii="Bookman Old Style" w:hAnsi="Bookman Old Style"/>
          <w:lang w:val="sv-FI"/>
        </w:rPr>
        <w:t>penggunaan</w:t>
      </w:r>
      <w:r w:rsidR="00A954D0" w:rsidRPr="00953DC9">
        <w:rPr>
          <w:rFonts w:ascii="Bookman Old Style" w:hAnsi="Bookman Old Style"/>
          <w:lang w:val="sv-FI"/>
        </w:rPr>
        <w:t xml:space="preserve"> </w:t>
      </w:r>
      <w:r w:rsidRPr="00953DC9">
        <w:rPr>
          <w:rFonts w:ascii="Bookman Old Style" w:hAnsi="Bookman Old Style"/>
          <w:lang w:val="sv-FI"/>
        </w:rPr>
        <w:t>produk</w:t>
      </w:r>
      <w:r w:rsidR="00A954D0" w:rsidRPr="00953DC9">
        <w:rPr>
          <w:rFonts w:ascii="Bookman Old Style" w:hAnsi="Bookman Old Style"/>
          <w:lang w:val="sv-FI"/>
        </w:rPr>
        <w:t xml:space="preserve"> </w:t>
      </w:r>
      <w:r w:rsidRPr="00953DC9">
        <w:rPr>
          <w:rFonts w:ascii="Bookman Old Style" w:hAnsi="Bookman Old Style"/>
          <w:lang w:val="sv-FI"/>
        </w:rPr>
        <w:t>dalam</w:t>
      </w:r>
      <w:r w:rsidR="00A954D0" w:rsidRPr="00953DC9">
        <w:rPr>
          <w:rFonts w:ascii="Bookman Old Style" w:hAnsi="Bookman Old Style"/>
          <w:lang w:val="sv-FI"/>
        </w:rPr>
        <w:t xml:space="preserve"> </w:t>
      </w:r>
      <w:r w:rsidRPr="00953DC9">
        <w:rPr>
          <w:rFonts w:ascii="Bookman Old Style" w:hAnsi="Bookman Old Style"/>
          <w:lang w:val="sv-FI"/>
        </w:rPr>
        <w:t>negeri</w:t>
      </w:r>
      <w:r w:rsidR="00A954D0" w:rsidRPr="00953DC9">
        <w:rPr>
          <w:rFonts w:ascii="Bookman Old Style" w:hAnsi="Bookman Old Style"/>
          <w:lang w:val="sv-FI"/>
        </w:rPr>
        <w:t xml:space="preserve"> </w:t>
      </w:r>
      <w:r w:rsidRPr="00953DC9">
        <w:rPr>
          <w:rFonts w:ascii="Bookman Old Style" w:hAnsi="Bookman Old Style"/>
          <w:lang w:val="sv-FI"/>
        </w:rPr>
        <w:t>dan</w:t>
      </w:r>
      <w:r w:rsidR="00A954D0" w:rsidRPr="00953DC9">
        <w:rPr>
          <w:rFonts w:ascii="Bookman Old Style" w:hAnsi="Bookman Old Style"/>
          <w:lang w:val="sv-FI"/>
        </w:rPr>
        <w:t xml:space="preserve"> </w:t>
      </w:r>
      <w:r w:rsidRPr="00953DC9">
        <w:rPr>
          <w:rFonts w:ascii="Bookman Old Style" w:hAnsi="Bookman Old Style"/>
          <w:lang w:val="sv-FI"/>
        </w:rPr>
        <w:t>produk</w:t>
      </w:r>
      <w:r w:rsidR="00A954D0" w:rsidRPr="00953DC9">
        <w:rPr>
          <w:rFonts w:ascii="Bookman Old Style" w:hAnsi="Bookman Old Style"/>
          <w:lang w:val="sv-FI"/>
        </w:rPr>
        <w:t xml:space="preserve"> </w:t>
      </w:r>
      <w:r w:rsidRPr="00953DC9">
        <w:rPr>
          <w:rFonts w:ascii="Bookman Old Style" w:hAnsi="Bookman Old Style"/>
          <w:lang w:val="sv-FI"/>
        </w:rPr>
        <w:t>usaha</w:t>
      </w:r>
      <w:r w:rsidR="00A954D0" w:rsidRPr="00953DC9">
        <w:rPr>
          <w:rFonts w:ascii="Bookman Old Style" w:hAnsi="Bookman Old Style"/>
          <w:lang w:val="sv-FI"/>
        </w:rPr>
        <w:t xml:space="preserve"> </w:t>
      </w:r>
      <w:r w:rsidRPr="00953DC9">
        <w:rPr>
          <w:rFonts w:ascii="Bookman Old Style" w:hAnsi="Bookman Old Style"/>
          <w:lang w:val="sv-FI"/>
        </w:rPr>
        <w:t>mikro,</w:t>
      </w:r>
      <w:r w:rsidR="00A954D0">
        <w:rPr>
          <w:rFonts w:ascii="Bookman Old Style" w:hAnsi="Bookman Old Style"/>
          <w:lang w:val="id-ID"/>
        </w:rPr>
        <w:t xml:space="preserve"> </w:t>
      </w:r>
      <w:r w:rsidRPr="00BF3751">
        <w:rPr>
          <w:rFonts w:ascii="Bookman Old Style" w:hAnsi="Bookman Old Style"/>
          <w:lang w:val="id-ID"/>
        </w:rPr>
        <w:t>usaha</w:t>
      </w:r>
      <w:r w:rsidR="00A954D0">
        <w:rPr>
          <w:rFonts w:ascii="Bookman Old Style" w:hAnsi="Bookman Old Style"/>
          <w:lang w:val="id-ID"/>
        </w:rPr>
        <w:t xml:space="preserve"> </w:t>
      </w:r>
      <w:r w:rsidRPr="00BF3751">
        <w:rPr>
          <w:rFonts w:ascii="Bookman Old Style" w:hAnsi="Bookman Old Style"/>
          <w:lang w:val="id-ID"/>
        </w:rPr>
        <w:t>kecil</w:t>
      </w:r>
      <w:r w:rsidR="00A954D0">
        <w:rPr>
          <w:rFonts w:ascii="Bookman Old Style" w:hAnsi="Bookman Old Style"/>
          <w:lang w:val="id-ID"/>
        </w:rPr>
        <w:t xml:space="preserve"> </w:t>
      </w:r>
      <w:r w:rsidRPr="00BF3751">
        <w:rPr>
          <w:rFonts w:ascii="Bookman Old Style" w:hAnsi="Bookman Old Style"/>
          <w:lang w:val="id-ID"/>
        </w:rPr>
        <w:t>dan</w:t>
      </w:r>
      <w:r w:rsidR="00A954D0">
        <w:rPr>
          <w:rFonts w:ascii="Bookman Old Style" w:hAnsi="Bookman Old Style"/>
          <w:lang w:val="id-ID"/>
        </w:rPr>
        <w:t xml:space="preserve"> </w:t>
      </w:r>
      <w:r w:rsidRPr="00BF3751">
        <w:rPr>
          <w:rFonts w:ascii="Bookman Old Style" w:hAnsi="Bookman Old Style"/>
          <w:lang w:val="id-ID"/>
        </w:rPr>
        <w:t>menengah</w:t>
      </w:r>
      <w:r w:rsidR="00A954D0">
        <w:rPr>
          <w:rFonts w:ascii="Bookman Old Style" w:hAnsi="Bookman Old Style"/>
          <w:lang w:val="id-ID"/>
        </w:rPr>
        <w:t xml:space="preserve"> </w:t>
      </w:r>
      <w:r w:rsidRPr="00BF3751">
        <w:rPr>
          <w:rFonts w:ascii="Bookman Old Style" w:hAnsi="Bookman Old Style" w:cs="Arial"/>
          <w:lang w:val="de-DE"/>
        </w:rPr>
        <w:t>sekurang-kurangnya</w:t>
      </w:r>
      <w:r w:rsidR="00A954D0">
        <w:rPr>
          <w:rFonts w:ascii="Bookman Old Style" w:hAnsi="Bookman Old Style" w:cs="Arial"/>
          <w:lang w:val="de-DE"/>
        </w:rPr>
        <w:t xml:space="preserve"> </w:t>
      </w:r>
      <w:r w:rsidRPr="00BF3751">
        <w:rPr>
          <w:rFonts w:ascii="Bookman Old Style" w:hAnsi="Bookman Old Style" w:cs="Arial"/>
          <w:lang w:val="id-ID"/>
        </w:rPr>
        <w:t>4</w:t>
      </w:r>
      <w:r w:rsidRPr="00BF3751">
        <w:rPr>
          <w:rFonts w:ascii="Bookman Old Style" w:hAnsi="Bookman Old Style" w:cs="Arial"/>
          <w:lang w:val="de-DE"/>
        </w:rPr>
        <w:t>0%</w:t>
      </w:r>
      <w:r w:rsidR="00A954D0">
        <w:rPr>
          <w:rFonts w:ascii="Bookman Old Style" w:hAnsi="Bookman Old Style" w:cs="Arial"/>
          <w:lang w:val="de-DE"/>
        </w:rPr>
        <w:t xml:space="preserve"> </w:t>
      </w:r>
      <w:r w:rsidRPr="00BF3751">
        <w:rPr>
          <w:rFonts w:ascii="Bookman Old Style" w:hAnsi="Bookman Old Style" w:cs="Arial"/>
          <w:lang w:val="de-DE"/>
        </w:rPr>
        <w:t>(</w:t>
      </w:r>
      <w:r w:rsidRPr="00BF3751">
        <w:rPr>
          <w:rFonts w:ascii="Bookman Old Style" w:hAnsi="Bookman Old Style" w:cs="Arial"/>
          <w:lang w:val="id-ID"/>
        </w:rPr>
        <w:t>empat</w:t>
      </w:r>
      <w:r w:rsidR="00A954D0">
        <w:rPr>
          <w:rFonts w:ascii="Bookman Old Style" w:hAnsi="Bookman Old Style" w:cs="Arial"/>
          <w:lang w:val="de-DE"/>
        </w:rPr>
        <w:t xml:space="preserve"> </w:t>
      </w:r>
      <w:r w:rsidRPr="00BF3751">
        <w:rPr>
          <w:rFonts w:ascii="Bookman Old Style" w:hAnsi="Bookman Old Style" w:cs="Arial"/>
          <w:lang w:val="de-DE"/>
        </w:rPr>
        <w:t>puluh</w:t>
      </w:r>
      <w:r w:rsidR="00A954D0">
        <w:rPr>
          <w:rFonts w:ascii="Bookman Old Style" w:hAnsi="Bookman Old Style" w:cs="Arial"/>
          <w:lang w:val="de-DE"/>
        </w:rPr>
        <w:t xml:space="preserve"> </w:t>
      </w:r>
      <w:r w:rsidRPr="00BF3751">
        <w:rPr>
          <w:rFonts w:ascii="Bookman Old Style" w:hAnsi="Bookman Old Style" w:cs="Arial"/>
          <w:lang w:val="de-DE"/>
        </w:rPr>
        <w:t>persen)</w:t>
      </w:r>
      <w:r w:rsidR="00A954D0">
        <w:rPr>
          <w:rFonts w:ascii="Bookman Old Style" w:hAnsi="Bookman Old Style" w:cs="Arial"/>
          <w:lang w:val="de-DE"/>
        </w:rPr>
        <w:t xml:space="preserve"> </w:t>
      </w:r>
      <w:r w:rsidRPr="00BF3751">
        <w:rPr>
          <w:rFonts w:ascii="Bookman Old Style" w:hAnsi="Bookman Old Style" w:cs="Arial"/>
          <w:lang w:val="id-ID"/>
        </w:rPr>
        <w:t>dari</w:t>
      </w:r>
      <w:r w:rsidR="00A954D0">
        <w:rPr>
          <w:rFonts w:ascii="Bookman Old Style" w:hAnsi="Bookman Old Style" w:cs="Arial"/>
          <w:lang w:val="id-ID"/>
        </w:rPr>
        <w:t xml:space="preserve"> </w:t>
      </w:r>
      <w:r w:rsidRPr="00BF3751">
        <w:rPr>
          <w:rFonts w:ascii="Bookman Old Style" w:hAnsi="Bookman Old Style" w:cs="Arial"/>
          <w:lang w:val="id-ID"/>
        </w:rPr>
        <w:t>total</w:t>
      </w:r>
      <w:r w:rsidR="00A954D0">
        <w:rPr>
          <w:rFonts w:ascii="Bookman Old Style" w:hAnsi="Bookman Old Style" w:cs="Arial"/>
          <w:lang w:val="id-ID"/>
        </w:rPr>
        <w:t xml:space="preserve"> </w:t>
      </w:r>
      <w:r w:rsidRPr="00BF3751">
        <w:rPr>
          <w:rFonts w:ascii="Bookman Old Style" w:hAnsi="Bookman Old Style" w:cs="Arial"/>
          <w:lang w:val="id-ID"/>
        </w:rPr>
        <w:t>Belanja</w:t>
      </w:r>
      <w:r w:rsidR="00A954D0">
        <w:rPr>
          <w:rFonts w:ascii="Bookman Old Style" w:hAnsi="Bookman Old Style" w:cs="Arial"/>
          <w:lang w:val="id-ID"/>
        </w:rPr>
        <w:t xml:space="preserve"> </w:t>
      </w:r>
      <w:r w:rsidRPr="00BF3751">
        <w:rPr>
          <w:rFonts w:ascii="Bookman Old Style" w:hAnsi="Bookman Old Style" w:cs="Arial"/>
          <w:lang w:val="id-ID"/>
        </w:rPr>
        <w:t>Barang</w:t>
      </w:r>
      <w:r w:rsidR="00A954D0">
        <w:rPr>
          <w:rFonts w:ascii="Bookman Old Style" w:hAnsi="Bookman Old Style" w:cs="Arial"/>
          <w:lang w:val="id-ID"/>
        </w:rPr>
        <w:t xml:space="preserve"> </w:t>
      </w:r>
      <w:r w:rsidRPr="00BF3751">
        <w:rPr>
          <w:rFonts w:ascii="Bookman Old Style" w:hAnsi="Bookman Old Style" w:cs="Arial"/>
          <w:lang w:val="id-ID"/>
        </w:rPr>
        <w:t>dan</w:t>
      </w:r>
      <w:r w:rsidR="00A954D0">
        <w:rPr>
          <w:rFonts w:ascii="Bookman Old Style" w:hAnsi="Bookman Old Style" w:cs="Arial"/>
          <w:lang w:val="id-ID"/>
        </w:rPr>
        <w:t xml:space="preserve"> </w:t>
      </w:r>
      <w:r w:rsidRPr="00BF3751">
        <w:rPr>
          <w:rFonts w:ascii="Bookman Old Style" w:hAnsi="Bookman Old Style" w:cs="Arial"/>
          <w:lang w:val="id-ID"/>
        </w:rPr>
        <w:t>Jasa</w:t>
      </w:r>
      <w:r w:rsidR="00A954D0">
        <w:rPr>
          <w:rFonts w:ascii="Bookman Old Style" w:hAnsi="Bookman Old Style" w:cs="Arial"/>
          <w:lang w:val="id-ID"/>
        </w:rPr>
        <w:t xml:space="preserve"> </w:t>
      </w:r>
      <w:r w:rsidRPr="00BF3751">
        <w:rPr>
          <w:rFonts w:ascii="Bookman Old Style" w:hAnsi="Bookman Old Style" w:cs="Arial"/>
          <w:lang w:val="id-ID"/>
        </w:rPr>
        <w:t>dan</w:t>
      </w:r>
      <w:r w:rsidR="00A954D0">
        <w:rPr>
          <w:rFonts w:ascii="Bookman Old Style" w:hAnsi="Bookman Old Style" w:cs="Arial"/>
          <w:lang w:val="id-ID"/>
        </w:rPr>
        <w:t xml:space="preserve"> </w:t>
      </w:r>
      <w:r w:rsidRPr="00BF3751">
        <w:rPr>
          <w:rFonts w:ascii="Bookman Old Style" w:hAnsi="Bookman Old Style" w:cs="Arial"/>
          <w:lang w:val="id-ID"/>
        </w:rPr>
        <w:t>Belanja</w:t>
      </w:r>
      <w:r w:rsidR="00A954D0">
        <w:rPr>
          <w:rFonts w:ascii="Bookman Old Style" w:hAnsi="Bookman Old Style" w:cs="Arial"/>
          <w:lang w:val="id-ID"/>
        </w:rPr>
        <w:t xml:space="preserve"> </w:t>
      </w:r>
      <w:r w:rsidRPr="00BF3751">
        <w:rPr>
          <w:rFonts w:ascii="Bookman Old Style" w:hAnsi="Bookman Old Style" w:cs="Arial"/>
          <w:lang w:val="id-ID"/>
        </w:rPr>
        <w:t>Modal</w:t>
      </w:r>
      <w:r w:rsidR="00A954D0">
        <w:rPr>
          <w:rFonts w:ascii="Bookman Old Style" w:hAnsi="Bookman Old Style" w:cs="Arial"/>
          <w:lang w:val="id-ID"/>
        </w:rPr>
        <w:t xml:space="preserve"> </w:t>
      </w:r>
      <w:r w:rsidRPr="00BF3751">
        <w:rPr>
          <w:rFonts w:ascii="Bookman Old Style" w:hAnsi="Bookman Old Style" w:cs="Arial"/>
          <w:lang w:val="id-ID"/>
        </w:rPr>
        <w:t>di</w:t>
      </w:r>
      <w:r w:rsidR="00A954D0">
        <w:rPr>
          <w:rFonts w:ascii="Bookman Old Style" w:hAnsi="Bookman Old Style" w:cs="Arial"/>
          <w:lang w:val="id-ID"/>
        </w:rPr>
        <w:t xml:space="preserve"> </w:t>
      </w:r>
      <w:r w:rsidRPr="00BF3751">
        <w:rPr>
          <w:rFonts w:ascii="Bookman Old Style" w:hAnsi="Bookman Old Style" w:cs="Arial"/>
          <w:lang w:val="id-ID"/>
        </w:rPr>
        <w:t>luar</w:t>
      </w:r>
      <w:r w:rsidR="00A954D0">
        <w:rPr>
          <w:rFonts w:ascii="Bookman Old Style" w:hAnsi="Bookman Old Style" w:cs="Arial"/>
          <w:lang w:val="id-ID"/>
        </w:rPr>
        <w:t xml:space="preserve"> </w:t>
      </w:r>
      <w:r w:rsidRPr="00BF3751">
        <w:rPr>
          <w:rFonts w:ascii="Bookman Old Style" w:hAnsi="Bookman Old Style" w:cs="Arial"/>
          <w:lang w:val="id-ID"/>
        </w:rPr>
        <w:t>Belanja</w:t>
      </w:r>
      <w:r w:rsidR="00A954D0">
        <w:rPr>
          <w:rFonts w:ascii="Bookman Old Style" w:hAnsi="Bookman Old Style" w:cs="Arial"/>
          <w:lang w:val="id-ID"/>
        </w:rPr>
        <w:t xml:space="preserve"> </w:t>
      </w:r>
      <w:r w:rsidRPr="00BF3751">
        <w:rPr>
          <w:rFonts w:ascii="Bookman Old Style" w:hAnsi="Bookman Old Style" w:cs="Arial"/>
          <w:lang w:val="id-ID"/>
        </w:rPr>
        <w:t>Modal</w:t>
      </w:r>
      <w:r w:rsidR="00A954D0">
        <w:rPr>
          <w:rFonts w:ascii="Bookman Old Style" w:hAnsi="Bookman Old Style" w:cs="Arial"/>
          <w:lang w:val="id-ID"/>
        </w:rPr>
        <w:t xml:space="preserve"> </w:t>
      </w:r>
      <w:r w:rsidRPr="00BF3751">
        <w:rPr>
          <w:rFonts w:ascii="Bookman Old Style" w:hAnsi="Bookman Old Style" w:cs="Arial"/>
          <w:lang w:val="id-ID"/>
        </w:rPr>
        <w:t>Tanah</w:t>
      </w:r>
      <w:r w:rsidR="00A954D0">
        <w:rPr>
          <w:rFonts w:ascii="Bookman Old Style" w:hAnsi="Bookman Old Style"/>
          <w:lang w:val="id-ID"/>
        </w:rPr>
        <w:t xml:space="preserve"> </w:t>
      </w:r>
      <w:r w:rsidRPr="00BF3751">
        <w:rPr>
          <w:rFonts w:ascii="Bookman Old Style" w:hAnsi="Bookman Old Style"/>
          <w:lang w:val="id-ID"/>
        </w:rPr>
        <w:t>sebagaimana</w:t>
      </w:r>
      <w:r w:rsidR="00A954D0">
        <w:rPr>
          <w:rFonts w:ascii="Bookman Old Style" w:hAnsi="Bookman Old Style"/>
          <w:lang w:val="id-ID"/>
        </w:rPr>
        <w:t xml:space="preserve"> </w:t>
      </w:r>
      <w:r w:rsidRPr="00BF3751">
        <w:rPr>
          <w:rFonts w:ascii="Bookman Old Style" w:hAnsi="Bookman Old Style"/>
          <w:lang w:val="id-ID"/>
        </w:rPr>
        <w:t>diamanatkan</w:t>
      </w:r>
      <w:r w:rsidR="00A954D0">
        <w:rPr>
          <w:rFonts w:ascii="Bookman Old Style" w:hAnsi="Bookman Old Style"/>
          <w:lang w:val="id-ID"/>
        </w:rPr>
        <w:t xml:space="preserve"> </w:t>
      </w:r>
      <w:r w:rsidRPr="00BF3751">
        <w:rPr>
          <w:rFonts w:ascii="Bookman Old Style" w:hAnsi="Bookman Old Style"/>
          <w:lang w:val="id-ID"/>
        </w:rPr>
        <w:t>dalam</w:t>
      </w:r>
      <w:r w:rsidR="00A954D0">
        <w:rPr>
          <w:rFonts w:ascii="Bookman Old Style" w:hAnsi="Bookman Old Style"/>
          <w:lang w:val="id-ID"/>
        </w:rPr>
        <w:t xml:space="preserve"> </w:t>
      </w:r>
      <w:r w:rsidRPr="00BF3751">
        <w:rPr>
          <w:rFonts w:ascii="Bookman Old Style" w:hAnsi="Bookman Old Style"/>
          <w:lang w:val="id-ID"/>
        </w:rPr>
        <w:t>Instruksi</w:t>
      </w:r>
      <w:r w:rsidR="00A954D0">
        <w:rPr>
          <w:rFonts w:ascii="Bookman Old Style" w:hAnsi="Bookman Old Style"/>
          <w:lang w:val="id-ID"/>
        </w:rPr>
        <w:t xml:space="preserve"> </w:t>
      </w:r>
      <w:r w:rsidRPr="00BF3751">
        <w:rPr>
          <w:rFonts w:ascii="Bookman Old Style" w:hAnsi="Bookman Old Style"/>
          <w:lang w:val="id-ID"/>
        </w:rPr>
        <w:t>Presiden</w:t>
      </w:r>
      <w:r w:rsidR="00A954D0">
        <w:rPr>
          <w:rFonts w:ascii="Bookman Old Style" w:hAnsi="Bookman Old Style"/>
          <w:lang w:val="id-ID"/>
        </w:rPr>
        <w:t xml:space="preserve"> </w:t>
      </w:r>
      <w:r w:rsidRPr="00BF3751">
        <w:rPr>
          <w:rFonts w:ascii="Bookman Old Style" w:hAnsi="Bookman Old Style"/>
          <w:lang w:val="id-ID"/>
        </w:rPr>
        <w:t>Nomor</w:t>
      </w:r>
      <w:r w:rsidR="00A954D0">
        <w:rPr>
          <w:rFonts w:ascii="Bookman Old Style" w:hAnsi="Bookman Old Style"/>
          <w:lang w:val="id-ID"/>
        </w:rPr>
        <w:t xml:space="preserve"> </w:t>
      </w:r>
      <w:r w:rsidRPr="00BF3751">
        <w:rPr>
          <w:rFonts w:ascii="Bookman Old Style" w:hAnsi="Bookman Old Style"/>
          <w:lang w:val="id-ID"/>
        </w:rPr>
        <w:t>2</w:t>
      </w:r>
      <w:r w:rsidR="00A954D0">
        <w:rPr>
          <w:rFonts w:ascii="Bookman Old Style" w:hAnsi="Bookman Old Style"/>
          <w:lang w:val="id-ID"/>
        </w:rPr>
        <w:t xml:space="preserve"> </w:t>
      </w:r>
      <w:r w:rsidRPr="00BF3751">
        <w:rPr>
          <w:rFonts w:ascii="Bookman Old Style" w:hAnsi="Bookman Old Style"/>
          <w:lang w:val="id-ID"/>
        </w:rPr>
        <w:t>Tahun</w:t>
      </w:r>
      <w:r w:rsidR="00A954D0">
        <w:rPr>
          <w:rFonts w:ascii="Bookman Old Style" w:hAnsi="Bookman Old Style"/>
          <w:lang w:val="id-ID"/>
        </w:rPr>
        <w:t xml:space="preserve"> </w:t>
      </w:r>
      <w:r w:rsidRPr="00BF3751">
        <w:rPr>
          <w:rFonts w:ascii="Bookman Old Style" w:hAnsi="Bookman Old Style"/>
          <w:lang w:val="id-ID"/>
        </w:rPr>
        <w:t>2022</w:t>
      </w:r>
      <w:r w:rsidR="00A954D0">
        <w:rPr>
          <w:rFonts w:ascii="Bookman Old Style" w:hAnsi="Bookman Old Style"/>
          <w:lang w:val="id-ID"/>
        </w:rPr>
        <w:t xml:space="preserve"> </w:t>
      </w:r>
      <w:r w:rsidRPr="00BF3751">
        <w:rPr>
          <w:rFonts w:ascii="Bookman Old Style" w:hAnsi="Bookman Old Style"/>
          <w:lang w:val="id-ID"/>
        </w:rPr>
        <w:t>tanggal</w:t>
      </w:r>
      <w:r w:rsidR="00A954D0">
        <w:rPr>
          <w:rFonts w:ascii="Bookman Old Style" w:hAnsi="Bookman Old Style"/>
          <w:lang w:val="id-ID"/>
        </w:rPr>
        <w:t xml:space="preserve"> </w:t>
      </w:r>
      <w:r w:rsidRPr="00BF3751">
        <w:rPr>
          <w:rFonts w:ascii="Bookman Old Style" w:hAnsi="Bookman Old Style"/>
          <w:lang w:val="id-ID"/>
        </w:rPr>
        <w:t>30</w:t>
      </w:r>
      <w:r w:rsidR="00A954D0">
        <w:rPr>
          <w:rFonts w:ascii="Bookman Old Style" w:hAnsi="Bookman Old Style"/>
          <w:lang w:val="id-ID"/>
        </w:rPr>
        <w:t xml:space="preserve"> </w:t>
      </w:r>
      <w:r w:rsidRPr="00BF3751">
        <w:rPr>
          <w:rFonts w:ascii="Bookman Old Style" w:hAnsi="Bookman Old Style"/>
          <w:lang w:val="id-ID"/>
        </w:rPr>
        <w:t>Maret</w:t>
      </w:r>
      <w:r w:rsidR="00A954D0">
        <w:rPr>
          <w:rFonts w:ascii="Bookman Old Style" w:hAnsi="Bookman Old Style"/>
          <w:lang w:val="id-ID"/>
        </w:rPr>
        <w:t xml:space="preserve"> </w:t>
      </w:r>
      <w:r w:rsidRPr="00BF3751">
        <w:rPr>
          <w:rFonts w:ascii="Bookman Old Style" w:hAnsi="Bookman Old Style"/>
          <w:lang w:val="id-ID"/>
        </w:rPr>
        <w:t>2022.</w:t>
      </w:r>
      <w:r w:rsidR="00A954D0">
        <w:rPr>
          <w:rFonts w:ascii="Bookman Old Style" w:hAnsi="Bookman Old Style"/>
          <w:lang w:val="id-ID"/>
        </w:rPr>
        <w:t xml:space="preserve"> </w:t>
      </w:r>
      <w:r w:rsidRPr="00BF3751">
        <w:rPr>
          <w:rFonts w:ascii="Bookman Old Style" w:hAnsi="Bookman Old Style"/>
          <w:lang w:val="id-ID"/>
        </w:rPr>
        <w:t>Berkaitan</w:t>
      </w:r>
      <w:r w:rsidR="00A954D0">
        <w:rPr>
          <w:rFonts w:ascii="Bookman Old Style" w:hAnsi="Bookman Old Style"/>
          <w:lang w:val="id-ID"/>
        </w:rPr>
        <w:t xml:space="preserve"> </w:t>
      </w:r>
      <w:r w:rsidRPr="00BF3751">
        <w:rPr>
          <w:rFonts w:ascii="Bookman Old Style" w:hAnsi="Bookman Old Style"/>
          <w:lang w:val="id-ID"/>
        </w:rPr>
        <w:t>dengan</w:t>
      </w:r>
      <w:r w:rsidR="00A954D0">
        <w:rPr>
          <w:rFonts w:ascii="Bookman Old Style" w:hAnsi="Bookman Old Style"/>
          <w:lang w:val="id-ID"/>
        </w:rPr>
        <w:t xml:space="preserve"> </w:t>
      </w:r>
      <w:r w:rsidRPr="00BF3751">
        <w:rPr>
          <w:rFonts w:ascii="Bookman Old Style" w:hAnsi="Bookman Old Style"/>
          <w:lang w:val="id-ID"/>
        </w:rPr>
        <w:t>hal</w:t>
      </w:r>
      <w:r w:rsidR="00A954D0">
        <w:rPr>
          <w:rFonts w:ascii="Bookman Old Style" w:hAnsi="Bookman Old Style"/>
          <w:lang w:val="id-ID"/>
        </w:rPr>
        <w:t xml:space="preserve"> </w:t>
      </w:r>
      <w:r w:rsidRPr="00BF3751">
        <w:rPr>
          <w:rFonts w:ascii="Bookman Old Style" w:hAnsi="Bookman Old Style"/>
          <w:lang w:val="id-ID"/>
        </w:rPr>
        <w:t>tersebut,</w:t>
      </w:r>
      <w:r w:rsidR="00A954D0">
        <w:rPr>
          <w:rFonts w:ascii="Bookman Old Style" w:hAnsi="Bookman Old Style"/>
          <w:lang w:val="id-ID"/>
        </w:rPr>
        <w:t xml:space="preserve"> </w:t>
      </w:r>
      <w:r w:rsidRPr="00BF3751">
        <w:rPr>
          <w:rFonts w:ascii="Bookman Old Style" w:hAnsi="Bookman Old Style" w:cs="Gill Sans Light (Arabid)"/>
          <w:lang w:val="id-ID"/>
        </w:rPr>
        <w:t>pengadaan</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barang/jasa</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dalam</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rangka</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menjamin</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terlaksananya</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program</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pembangunan</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dan</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preservasi</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jalan</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untuk</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meningkatkan</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kualitas</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dan</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jangkauan</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pelayanan</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jalan,</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Pemerintah</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Daerah</w:t>
      </w:r>
      <w:r w:rsidR="00A954D0">
        <w:rPr>
          <w:rFonts w:ascii="Bookman Old Style" w:hAnsi="Bookman Old Style" w:cs="Gill Sans Light (Arabid)"/>
          <w:lang w:val="id-ID"/>
        </w:rPr>
        <w:t xml:space="preserve"> </w:t>
      </w:r>
      <w:r w:rsidR="00046408" w:rsidRPr="00BF3751">
        <w:rPr>
          <w:rFonts w:ascii="Bookman Old Style" w:hAnsi="Bookman Old Style" w:cs="Gill Sans Light (Arabid)"/>
          <w:lang w:val="id-ID"/>
        </w:rPr>
        <w:t>Kota</w:t>
      </w:r>
      <w:r w:rsidR="00A954D0">
        <w:rPr>
          <w:rFonts w:ascii="Bookman Old Style" w:hAnsi="Bookman Old Style" w:cs="Gill Sans Light (Arabid)"/>
          <w:lang w:val="id-ID"/>
        </w:rPr>
        <w:t xml:space="preserve"> </w:t>
      </w:r>
      <w:r w:rsidR="00770F22" w:rsidRPr="00BF3751">
        <w:rPr>
          <w:rFonts w:ascii="Bookman Old Style" w:hAnsi="Bookman Old Style" w:cs="Gill Sans Light (Arabid)"/>
          <w:lang w:val="id-ID"/>
        </w:rPr>
        <w:t>Tangerang</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dalam</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pembangunan</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dan/atau</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pemeliharaan</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jalan</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harus</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mengutamakan</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aspal</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nasional</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berbasis</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aspal</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buton</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(aspal</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alam</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dari</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Pulau</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Buton)</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dalam</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upaya</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peningkatan</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penggunaan</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aspal</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buton</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sebagai</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bahan</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tambah,</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bahan</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substitusi,</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dan/atau</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bahan</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pengganti</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aspal</w:t>
      </w:r>
      <w:r w:rsidR="00A954D0">
        <w:rPr>
          <w:rFonts w:ascii="Bookman Old Style" w:hAnsi="Bookman Old Style" w:cs="Gill Sans Light (Arabid)"/>
          <w:lang w:val="id-ID"/>
        </w:rPr>
        <w:t xml:space="preserve"> </w:t>
      </w:r>
      <w:r w:rsidRPr="00BF3751">
        <w:rPr>
          <w:rFonts w:ascii="Bookman Old Style" w:hAnsi="Bookman Old Style" w:cs="Gill Sans Light (Arabid)"/>
          <w:lang w:val="id-ID"/>
        </w:rPr>
        <w:t>minyak,</w:t>
      </w:r>
      <w:r w:rsidR="00A954D0">
        <w:rPr>
          <w:rFonts w:ascii="Bookman Old Style" w:hAnsi="Bookman Old Style" w:cs="Gill Sans Light (Arabid)"/>
          <w:lang w:val="id-ID"/>
        </w:rPr>
        <w:t xml:space="preserve"> </w:t>
      </w:r>
      <w:r w:rsidRPr="00BF3751">
        <w:rPr>
          <w:rFonts w:ascii="Bookman Old Style" w:hAnsi="Bookman Old Style"/>
          <w:lang w:val="id-ID"/>
        </w:rPr>
        <w:t>sebagaimana</w:t>
      </w:r>
      <w:r w:rsidR="00A954D0">
        <w:rPr>
          <w:rFonts w:ascii="Bookman Old Style" w:hAnsi="Bookman Old Style"/>
          <w:lang w:val="id-ID"/>
        </w:rPr>
        <w:t xml:space="preserve"> </w:t>
      </w:r>
      <w:r w:rsidRPr="00BF3751">
        <w:rPr>
          <w:rFonts w:ascii="Bookman Old Style" w:hAnsi="Bookman Old Style"/>
          <w:lang w:val="id-ID"/>
        </w:rPr>
        <w:t>maksud</w:t>
      </w:r>
      <w:r w:rsidR="00A954D0">
        <w:rPr>
          <w:rFonts w:ascii="Bookman Old Style" w:hAnsi="Bookman Old Style"/>
          <w:lang w:val="id-ID"/>
        </w:rPr>
        <w:t xml:space="preserve"> </w:t>
      </w:r>
      <w:r w:rsidRPr="00BF3751">
        <w:rPr>
          <w:rFonts w:ascii="Bookman Old Style" w:hAnsi="Bookman Old Style"/>
          <w:lang w:val="id-ID"/>
        </w:rPr>
        <w:t>butir</w:t>
      </w:r>
      <w:r w:rsidR="00A954D0">
        <w:rPr>
          <w:rFonts w:ascii="Bookman Old Style" w:hAnsi="Bookman Old Style"/>
          <w:lang w:val="id-ID"/>
        </w:rPr>
        <w:t xml:space="preserve"> </w:t>
      </w:r>
      <w:r w:rsidRPr="00BF3751">
        <w:rPr>
          <w:rFonts w:ascii="Bookman Old Style" w:hAnsi="Bookman Old Style"/>
          <w:lang w:val="id-ID"/>
        </w:rPr>
        <w:t>5.2.5.a</w:t>
      </w:r>
      <w:r w:rsidR="00A954D0">
        <w:rPr>
          <w:rFonts w:ascii="Bookman Old Style" w:hAnsi="Bookman Old Style"/>
          <w:lang w:val="id-ID"/>
        </w:rPr>
        <w:t xml:space="preserve"> </w:t>
      </w:r>
      <w:r w:rsidRPr="00BF3751">
        <w:rPr>
          <w:rFonts w:ascii="Bookman Old Style" w:hAnsi="Bookman Old Style"/>
          <w:lang w:val="id-ID"/>
        </w:rPr>
        <w:t>Lampiran</w:t>
      </w:r>
      <w:r w:rsidR="00A954D0">
        <w:rPr>
          <w:rFonts w:ascii="Bookman Old Style" w:hAnsi="Bookman Old Style"/>
          <w:lang w:val="id-ID"/>
        </w:rPr>
        <w:t xml:space="preserve"> </w:t>
      </w:r>
      <w:r w:rsidRPr="00BF3751">
        <w:rPr>
          <w:rFonts w:ascii="Bookman Old Style" w:hAnsi="Bookman Old Style"/>
          <w:lang w:val="id-ID"/>
        </w:rPr>
        <w:t>Peraturan</w:t>
      </w:r>
      <w:r w:rsidR="00A954D0">
        <w:rPr>
          <w:rFonts w:ascii="Bookman Old Style" w:hAnsi="Bookman Old Style"/>
          <w:lang w:val="id-ID"/>
        </w:rPr>
        <w:t xml:space="preserve"> </w:t>
      </w:r>
      <w:r w:rsidRPr="00BF3751">
        <w:rPr>
          <w:rFonts w:ascii="Bookman Old Style" w:hAnsi="Bookman Old Style"/>
          <w:lang w:val="id-ID"/>
        </w:rPr>
        <w:t>Menteri</w:t>
      </w:r>
      <w:r w:rsidR="00A954D0">
        <w:rPr>
          <w:rFonts w:ascii="Bookman Old Style" w:hAnsi="Bookman Old Style"/>
          <w:lang w:val="id-ID"/>
        </w:rPr>
        <w:t xml:space="preserve"> </w:t>
      </w:r>
      <w:r w:rsidRPr="00BF3751">
        <w:rPr>
          <w:rFonts w:ascii="Bookman Old Style" w:hAnsi="Bookman Old Style"/>
          <w:lang w:val="id-ID"/>
        </w:rPr>
        <w:t>Dalam</w:t>
      </w:r>
      <w:r w:rsidR="00A954D0">
        <w:rPr>
          <w:rFonts w:ascii="Bookman Old Style" w:hAnsi="Bookman Old Style"/>
          <w:lang w:val="id-ID"/>
        </w:rPr>
        <w:t xml:space="preserve"> </w:t>
      </w:r>
      <w:r w:rsidRPr="00BF3751">
        <w:rPr>
          <w:rFonts w:ascii="Bookman Old Style" w:hAnsi="Bookman Old Style"/>
          <w:lang w:val="id-ID"/>
        </w:rPr>
        <w:t>Negeri</w:t>
      </w:r>
      <w:r w:rsidR="00A954D0">
        <w:rPr>
          <w:rFonts w:ascii="Bookman Old Style" w:hAnsi="Bookman Old Style"/>
          <w:lang w:val="id-ID"/>
        </w:rPr>
        <w:t xml:space="preserve"> </w:t>
      </w:r>
      <w:r w:rsidRPr="00BF3751">
        <w:rPr>
          <w:rFonts w:ascii="Bookman Old Style" w:hAnsi="Bookman Old Style"/>
          <w:lang w:val="id-ID"/>
        </w:rPr>
        <w:t>Nomor</w:t>
      </w:r>
      <w:r w:rsidR="00A954D0">
        <w:rPr>
          <w:rFonts w:ascii="Bookman Old Style" w:hAnsi="Bookman Old Style"/>
          <w:lang w:val="id-ID"/>
        </w:rPr>
        <w:t xml:space="preserve"> </w:t>
      </w:r>
      <w:r w:rsidRPr="00BF3751">
        <w:rPr>
          <w:rFonts w:ascii="Bookman Old Style" w:hAnsi="Bookman Old Style"/>
          <w:lang w:val="id-ID"/>
        </w:rPr>
        <w:t>15</w:t>
      </w:r>
      <w:r w:rsidR="00A954D0">
        <w:rPr>
          <w:rFonts w:ascii="Bookman Old Style" w:hAnsi="Bookman Old Style"/>
          <w:lang w:val="id-ID"/>
        </w:rPr>
        <w:t xml:space="preserve"> </w:t>
      </w:r>
      <w:r w:rsidRPr="00BF3751">
        <w:rPr>
          <w:rFonts w:ascii="Bookman Old Style" w:hAnsi="Bookman Old Style"/>
          <w:lang w:val="id-ID"/>
        </w:rPr>
        <w:t>Tahun</w:t>
      </w:r>
      <w:r w:rsidR="00A954D0">
        <w:rPr>
          <w:rFonts w:ascii="Bookman Old Style" w:hAnsi="Bookman Old Style"/>
          <w:lang w:val="id-ID"/>
        </w:rPr>
        <w:t xml:space="preserve"> </w:t>
      </w:r>
      <w:r w:rsidRPr="00BF3751">
        <w:rPr>
          <w:rFonts w:ascii="Bookman Old Style" w:hAnsi="Bookman Old Style"/>
          <w:lang w:val="id-ID"/>
        </w:rPr>
        <w:t>2024.</w:t>
      </w:r>
    </w:p>
    <w:p w14:paraId="46D12B9B" w14:textId="0FC24BAC" w:rsidR="003374DF" w:rsidRPr="00BF3751" w:rsidRDefault="003374DF" w:rsidP="00953DC9">
      <w:pPr>
        <w:numPr>
          <w:ilvl w:val="0"/>
          <w:numId w:val="156"/>
        </w:numPr>
        <w:spacing w:before="60" w:line="276" w:lineRule="auto"/>
        <w:ind w:left="993" w:hanging="426"/>
        <w:jc w:val="both"/>
        <w:rPr>
          <w:rFonts w:ascii="Bookman Old Style" w:hAnsi="Bookman Old Style"/>
          <w:lang w:val="id-ID"/>
        </w:rPr>
      </w:pPr>
      <w:r w:rsidRPr="00BF3751">
        <w:rPr>
          <w:rFonts w:ascii="Bookman Old Style" w:hAnsi="Bookman Old Style"/>
          <w:lang w:val="id-ID"/>
        </w:rPr>
        <w:t>Dalam</w:t>
      </w:r>
      <w:r w:rsidR="00A954D0">
        <w:rPr>
          <w:rFonts w:ascii="Bookman Old Style" w:hAnsi="Bookman Old Style"/>
          <w:lang w:val="id-ID"/>
        </w:rPr>
        <w:t xml:space="preserve"> </w:t>
      </w:r>
      <w:r w:rsidRPr="00BF3751">
        <w:rPr>
          <w:rFonts w:ascii="Bookman Old Style" w:hAnsi="Bookman Old Style"/>
          <w:lang w:val="id-ID"/>
        </w:rPr>
        <w:t>rangka</w:t>
      </w:r>
      <w:r w:rsidR="00A954D0">
        <w:rPr>
          <w:rFonts w:ascii="Bookman Old Style" w:hAnsi="Bookman Old Style"/>
          <w:lang w:val="id-ID"/>
        </w:rPr>
        <w:t xml:space="preserve"> </w:t>
      </w:r>
      <w:r w:rsidRPr="00BF3751">
        <w:rPr>
          <w:rFonts w:ascii="Bookman Old Style" w:hAnsi="Bookman Old Style"/>
          <w:lang w:val="id-ID"/>
        </w:rPr>
        <w:t>optimalisasi</w:t>
      </w:r>
      <w:r w:rsidR="00A954D0">
        <w:rPr>
          <w:rFonts w:ascii="Bookman Old Style" w:hAnsi="Bookman Old Style"/>
          <w:lang w:val="id-ID"/>
        </w:rPr>
        <w:t xml:space="preserve"> </w:t>
      </w:r>
      <w:r w:rsidRPr="00BF3751">
        <w:rPr>
          <w:rFonts w:ascii="Bookman Old Style" w:hAnsi="Bookman Old Style"/>
          <w:lang w:val="id-ID"/>
        </w:rPr>
        <w:t>percepatan</w:t>
      </w:r>
      <w:r w:rsidR="00A954D0">
        <w:rPr>
          <w:rFonts w:ascii="Bookman Old Style" w:hAnsi="Bookman Old Style"/>
          <w:lang w:val="id-ID"/>
        </w:rPr>
        <w:t xml:space="preserve"> </w:t>
      </w:r>
      <w:r w:rsidRPr="00BF3751">
        <w:rPr>
          <w:rFonts w:ascii="Bookman Old Style" w:hAnsi="Bookman Old Style"/>
          <w:lang w:val="id-ID"/>
        </w:rPr>
        <w:t>realisasi</w:t>
      </w:r>
      <w:r w:rsidR="00A954D0">
        <w:rPr>
          <w:rFonts w:ascii="Bookman Old Style" w:hAnsi="Bookman Old Style"/>
          <w:lang w:val="id-ID"/>
        </w:rPr>
        <w:t xml:space="preserve"> </w:t>
      </w:r>
      <w:r w:rsidRPr="00BF3751">
        <w:rPr>
          <w:rFonts w:ascii="Bookman Old Style" w:hAnsi="Bookman Old Style"/>
          <w:lang w:val="id-ID"/>
        </w:rPr>
        <w:t>pendapatan</w:t>
      </w:r>
      <w:r w:rsidR="00A954D0">
        <w:rPr>
          <w:rFonts w:ascii="Bookman Old Style" w:hAnsi="Bookman Old Style"/>
          <w:lang w:val="id-ID"/>
        </w:rPr>
        <w:t xml:space="preserve"> </w:t>
      </w:r>
      <w:r w:rsidRPr="00BF3751">
        <w:rPr>
          <w:rFonts w:ascii="Bookman Old Style" w:hAnsi="Bookman Old Style"/>
          <w:lang w:val="id-ID"/>
        </w:rPr>
        <w:t>daerah,</w:t>
      </w:r>
      <w:r w:rsidR="00A954D0">
        <w:rPr>
          <w:rFonts w:ascii="Bookman Old Style" w:hAnsi="Bookman Old Style"/>
          <w:lang w:val="id-ID"/>
        </w:rPr>
        <w:t xml:space="preserve"> </w:t>
      </w:r>
      <w:r w:rsidRPr="00BF3751">
        <w:rPr>
          <w:rFonts w:ascii="Bookman Old Style" w:hAnsi="Bookman Old Style"/>
          <w:lang w:val="id-ID"/>
        </w:rPr>
        <w:t>belanja</w:t>
      </w:r>
      <w:r w:rsidR="00A954D0">
        <w:rPr>
          <w:rFonts w:ascii="Bookman Old Style" w:hAnsi="Bookman Old Style"/>
          <w:lang w:val="id-ID"/>
        </w:rPr>
        <w:t xml:space="preserve"> </w:t>
      </w:r>
      <w:r w:rsidRPr="00BF3751">
        <w:rPr>
          <w:rFonts w:ascii="Bookman Old Style" w:hAnsi="Bookman Old Style" w:cs="Arial"/>
          <w:lang w:val="id-ID"/>
        </w:rPr>
        <w:t>daerah</w:t>
      </w:r>
      <w:r w:rsidRPr="00BF3751">
        <w:rPr>
          <w:rFonts w:ascii="Bookman Old Style" w:hAnsi="Bookman Old Style"/>
          <w:lang w:val="id-ID"/>
        </w:rPr>
        <w:t>,</w:t>
      </w:r>
      <w:r w:rsidR="00A954D0">
        <w:rPr>
          <w:rFonts w:ascii="Bookman Old Style" w:hAnsi="Bookman Old Style"/>
          <w:lang w:val="id-ID"/>
        </w:rPr>
        <w:t xml:space="preserve"> </w:t>
      </w:r>
      <w:r w:rsidRPr="00BF3751">
        <w:rPr>
          <w:rFonts w:ascii="Bookman Old Style" w:hAnsi="Bookman Old Style"/>
          <w:lang w:val="id-ID"/>
        </w:rPr>
        <w:t>dan</w:t>
      </w:r>
      <w:r w:rsidR="00A954D0">
        <w:rPr>
          <w:rFonts w:ascii="Bookman Old Style" w:hAnsi="Bookman Old Style"/>
          <w:lang w:val="id-ID"/>
        </w:rPr>
        <w:t xml:space="preserve"> </w:t>
      </w:r>
      <w:r w:rsidRPr="00BF3751">
        <w:rPr>
          <w:rFonts w:ascii="Bookman Old Style" w:hAnsi="Bookman Old Style"/>
          <w:lang w:val="id-ID"/>
        </w:rPr>
        <w:t>pembiayaan</w:t>
      </w:r>
      <w:r w:rsidR="00A954D0">
        <w:rPr>
          <w:rFonts w:ascii="Bookman Old Style" w:hAnsi="Bookman Old Style"/>
          <w:lang w:val="id-ID"/>
        </w:rPr>
        <w:t xml:space="preserve"> </w:t>
      </w:r>
      <w:r w:rsidRPr="00BF3751">
        <w:rPr>
          <w:rFonts w:ascii="Bookman Old Style" w:hAnsi="Bookman Old Style"/>
          <w:lang w:val="id-ID"/>
        </w:rPr>
        <w:t>daerah</w:t>
      </w:r>
      <w:r w:rsidR="00A954D0">
        <w:rPr>
          <w:rFonts w:ascii="Bookman Old Style" w:hAnsi="Bookman Old Style"/>
          <w:lang w:val="id-ID"/>
        </w:rPr>
        <w:t xml:space="preserve"> </w:t>
      </w:r>
      <w:r w:rsidRPr="00BF3751">
        <w:rPr>
          <w:rFonts w:ascii="Bookman Old Style" w:hAnsi="Bookman Old Style"/>
          <w:lang w:val="id-ID"/>
        </w:rPr>
        <w:t>dalam</w:t>
      </w:r>
      <w:r w:rsidR="00A954D0">
        <w:rPr>
          <w:rFonts w:ascii="Bookman Old Style" w:hAnsi="Bookman Old Style"/>
          <w:lang w:val="id-ID"/>
        </w:rPr>
        <w:t xml:space="preserve"> </w:t>
      </w:r>
      <w:r w:rsidRPr="00BF3751">
        <w:rPr>
          <w:rFonts w:ascii="Bookman Old Style" w:hAnsi="Bookman Old Style"/>
          <w:lang w:val="id-ID"/>
        </w:rPr>
        <w:t>Rancangan</w:t>
      </w:r>
      <w:r w:rsidR="00A954D0">
        <w:rPr>
          <w:rFonts w:ascii="Bookman Old Style" w:hAnsi="Bookman Old Style"/>
          <w:lang w:val="id-ID"/>
        </w:rPr>
        <w:t xml:space="preserve"> </w:t>
      </w:r>
      <w:r w:rsidRPr="00953DC9">
        <w:rPr>
          <w:rFonts w:ascii="Bookman Old Style" w:hAnsi="Bookman Old Style"/>
          <w:lang w:val="sv-FI"/>
        </w:rPr>
        <w:t>Peraturan</w:t>
      </w:r>
      <w:r w:rsidR="00A954D0">
        <w:rPr>
          <w:rFonts w:ascii="Bookman Old Style" w:hAnsi="Bookman Old Style"/>
          <w:lang w:val="id-ID"/>
        </w:rPr>
        <w:t xml:space="preserve"> </w:t>
      </w:r>
      <w:r w:rsidRPr="00BF3751">
        <w:rPr>
          <w:rFonts w:ascii="Bookman Old Style" w:hAnsi="Bookman Old Style"/>
          <w:lang w:val="id-ID"/>
        </w:rPr>
        <w:t>Daerah</w:t>
      </w:r>
      <w:r w:rsidR="00A954D0">
        <w:rPr>
          <w:rFonts w:ascii="Bookman Old Style" w:hAnsi="Bookman Old Style"/>
          <w:lang w:val="id-ID"/>
        </w:rPr>
        <w:t xml:space="preserve"> </w:t>
      </w:r>
      <w:r w:rsidR="00B055C5" w:rsidRPr="00BF3751">
        <w:rPr>
          <w:rFonts w:ascii="Bookman Old Style" w:hAnsi="Bookman Old Style"/>
          <w:lang w:val="id-ID"/>
        </w:rPr>
        <w:t>Kota</w:t>
      </w:r>
      <w:r w:rsidR="00A954D0">
        <w:rPr>
          <w:rFonts w:ascii="Bookman Old Style" w:hAnsi="Bookman Old Style"/>
          <w:lang w:val="id-ID"/>
        </w:rPr>
        <w:t xml:space="preserve"> </w:t>
      </w:r>
      <w:r w:rsidR="00770F22" w:rsidRPr="00BF3751">
        <w:rPr>
          <w:rFonts w:ascii="Bookman Old Style" w:hAnsi="Bookman Old Style"/>
          <w:lang w:val="id-ID"/>
        </w:rPr>
        <w:t>Tangerang</w:t>
      </w:r>
      <w:r w:rsidR="00A954D0">
        <w:rPr>
          <w:rFonts w:ascii="Bookman Old Style" w:hAnsi="Bookman Old Style"/>
          <w:lang w:val="id-ID"/>
        </w:rPr>
        <w:t xml:space="preserve"> </w:t>
      </w:r>
      <w:r w:rsidR="00BE6ED9" w:rsidRPr="00BF3751">
        <w:rPr>
          <w:rFonts w:ascii="Bookman Old Style" w:hAnsi="Bookman Old Style"/>
          <w:lang w:val="id-ID"/>
        </w:rPr>
        <w:t>tentang</w:t>
      </w:r>
      <w:r w:rsidR="00A954D0">
        <w:rPr>
          <w:rFonts w:ascii="Bookman Old Style" w:hAnsi="Bookman Old Style"/>
          <w:lang w:val="id-ID"/>
        </w:rPr>
        <w:t xml:space="preserve"> </w:t>
      </w:r>
      <w:r w:rsidR="00BE6ED9" w:rsidRPr="00BF3751">
        <w:rPr>
          <w:rFonts w:ascii="Bookman Old Style" w:hAnsi="Bookman Old Style"/>
          <w:lang w:val="id-ID"/>
        </w:rPr>
        <w:t>APBD</w:t>
      </w:r>
      <w:r w:rsidR="00A954D0">
        <w:rPr>
          <w:rFonts w:ascii="Bookman Old Style" w:hAnsi="Bookman Old Style"/>
          <w:lang w:val="id-ID"/>
        </w:rPr>
        <w:t xml:space="preserve"> </w:t>
      </w:r>
      <w:r w:rsidRPr="00BF3751">
        <w:rPr>
          <w:rFonts w:ascii="Bookman Old Style" w:hAnsi="Bookman Old Style"/>
          <w:lang w:val="id-ID"/>
        </w:rPr>
        <w:t>Tahun</w:t>
      </w:r>
      <w:r w:rsidR="00A954D0">
        <w:rPr>
          <w:rFonts w:ascii="Bookman Old Style" w:hAnsi="Bookman Old Style"/>
          <w:lang w:val="id-ID"/>
        </w:rPr>
        <w:t xml:space="preserve"> </w:t>
      </w:r>
      <w:r w:rsidRPr="00BF3751">
        <w:rPr>
          <w:rFonts w:ascii="Bookman Old Style" w:hAnsi="Bookman Old Style"/>
          <w:lang w:val="id-ID"/>
        </w:rPr>
        <w:t>Anggaran</w:t>
      </w:r>
      <w:r w:rsidR="00A954D0">
        <w:rPr>
          <w:rFonts w:ascii="Bookman Old Style" w:hAnsi="Bookman Old Style"/>
          <w:lang w:val="id-ID"/>
        </w:rPr>
        <w:t xml:space="preserve"> </w:t>
      </w:r>
      <w:r w:rsidRPr="00BF3751">
        <w:rPr>
          <w:rFonts w:ascii="Bookman Old Style" w:hAnsi="Bookman Old Style"/>
          <w:lang w:val="id-ID"/>
        </w:rPr>
        <w:t>2025,</w:t>
      </w:r>
      <w:r w:rsidR="00A954D0">
        <w:rPr>
          <w:rFonts w:ascii="Bookman Old Style" w:hAnsi="Bookman Old Style"/>
          <w:lang w:val="id-ID"/>
        </w:rPr>
        <w:t xml:space="preserve"> </w:t>
      </w:r>
      <w:r w:rsidRPr="00BF3751">
        <w:rPr>
          <w:rFonts w:ascii="Bookman Old Style" w:hAnsi="Bookman Old Style"/>
          <w:lang w:val="id-ID"/>
        </w:rPr>
        <w:t>Pemerintah</w:t>
      </w:r>
      <w:r w:rsidR="00A954D0">
        <w:rPr>
          <w:rFonts w:ascii="Bookman Old Style" w:hAnsi="Bookman Old Style"/>
          <w:lang w:val="id-ID"/>
        </w:rPr>
        <w:t xml:space="preserve"> </w:t>
      </w:r>
      <w:r w:rsidRPr="00BF3751">
        <w:rPr>
          <w:rFonts w:ascii="Bookman Old Style" w:hAnsi="Bookman Old Style"/>
          <w:lang w:val="id-ID"/>
        </w:rPr>
        <w:t>Daerah</w:t>
      </w:r>
      <w:r w:rsidR="00A954D0">
        <w:rPr>
          <w:rFonts w:ascii="Bookman Old Style" w:hAnsi="Bookman Old Style"/>
          <w:lang w:val="id-ID"/>
        </w:rPr>
        <w:t xml:space="preserve"> </w:t>
      </w:r>
      <w:r w:rsidR="00046408" w:rsidRPr="00BF3751">
        <w:rPr>
          <w:rFonts w:ascii="Bookman Old Style" w:hAnsi="Bookman Old Style"/>
          <w:lang w:val="id-ID"/>
        </w:rPr>
        <w:t>Kota</w:t>
      </w:r>
      <w:r w:rsidR="00A954D0">
        <w:rPr>
          <w:rFonts w:ascii="Bookman Old Style" w:hAnsi="Bookman Old Style"/>
          <w:lang w:val="id-ID"/>
        </w:rPr>
        <w:t xml:space="preserve"> </w:t>
      </w:r>
      <w:r w:rsidR="00770F22" w:rsidRPr="00BF3751">
        <w:rPr>
          <w:rFonts w:ascii="Bookman Old Style" w:hAnsi="Bookman Old Style"/>
          <w:lang w:val="id-ID"/>
        </w:rPr>
        <w:t>Tangerang</w:t>
      </w:r>
      <w:r w:rsidR="00A954D0">
        <w:rPr>
          <w:rFonts w:ascii="Bookman Old Style" w:hAnsi="Bookman Old Style"/>
          <w:lang w:val="id-ID"/>
        </w:rPr>
        <w:t xml:space="preserve"> </w:t>
      </w:r>
      <w:r w:rsidRPr="00BF3751">
        <w:rPr>
          <w:rFonts w:ascii="Bookman Old Style" w:hAnsi="Bookman Old Style"/>
          <w:lang w:val="id-ID"/>
        </w:rPr>
        <w:t>untuk</w:t>
      </w:r>
      <w:r w:rsidR="00A954D0">
        <w:rPr>
          <w:rFonts w:ascii="Bookman Old Style" w:hAnsi="Bookman Old Style"/>
          <w:lang w:val="id-ID"/>
        </w:rPr>
        <w:t xml:space="preserve"> </w:t>
      </w:r>
      <w:r w:rsidRPr="00BF3751">
        <w:rPr>
          <w:rFonts w:ascii="Bookman Old Style" w:hAnsi="Bookman Old Style"/>
          <w:lang w:val="id-ID"/>
        </w:rPr>
        <w:t>melakukan</w:t>
      </w:r>
      <w:r w:rsidR="00A954D0">
        <w:rPr>
          <w:rFonts w:ascii="Bookman Old Style" w:hAnsi="Bookman Old Style"/>
          <w:lang w:val="id-ID"/>
        </w:rPr>
        <w:t xml:space="preserve"> </w:t>
      </w:r>
      <w:r w:rsidRPr="00BF3751">
        <w:rPr>
          <w:rFonts w:ascii="Bookman Old Style" w:hAnsi="Bookman Old Style"/>
          <w:lang w:val="id-ID"/>
        </w:rPr>
        <w:t>langkah-langkah</w:t>
      </w:r>
      <w:r w:rsidR="00A954D0">
        <w:rPr>
          <w:rFonts w:ascii="Bookman Old Style" w:hAnsi="Bookman Old Style"/>
          <w:lang w:val="id-ID"/>
        </w:rPr>
        <w:t xml:space="preserve"> </w:t>
      </w:r>
      <w:r w:rsidRPr="00BF3751">
        <w:rPr>
          <w:rFonts w:ascii="Bookman Old Style" w:hAnsi="Bookman Old Style"/>
          <w:lang w:val="id-ID"/>
        </w:rPr>
        <w:t>strategis,</w:t>
      </w:r>
      <w:r w:rsidR="00A954D0">
        <w:rPr>
          <w:rFonts w:ascii="Bookman Old Style" w:hAnsi="Bookman Old Style"/>
          <w:lang w:val="id-ID"/>
        </w:rPr>
        <w:t xml:space="preserve"> </w:t>
      </w:r>
      <w:r w:rsidRPr="00BF3751">
        <w:rPr>
          <w:rFonts w:ascii="Bookman Old Style" w:hAnsi="Bookman Old Style"/>
          <w:lang w:val="id-ID"/>
        </w:rPr>
        <w:t>antara</w:t>
      </w:r>
      <w:r w:rsidR="00A954D0">
        <w:rPr>
          <w:rFonts w:ascii="Bookman Old Style" w:hAnsi="Bookman Old Style"/>
          <w:lang w:val="id-ID"/>
        </w:rPr>
        <w:t xml:space="preserve"> </w:t>
      </w:r>
      <w:r w:rsidRPr="00BF3751">
        <w:rPr>
          <w:rFonts w:ascii="Bookman Old Style" w:hAnsi="Bookman Old Style"/>
          <w:lang w:val="id-ID"/>
        </w:rPr>
        <w:t>lain:</w:t>
      </w:r>
    </w:p>
    <w:p w14:paraId="6182A176" w14:textId="6F7E31A3" w:rsidR="003374DF" w:rsidRPr="00BF3751" w:rsidRDefault="003374DF" w:rsidP="00953DC9">
      <w:pPr>
        <w:pStyle w:val="ListParagraph"/>
        <w:numPr>
          <w:ilvl w:val="0"/>
          <w:numId w:val="56"/>
        </w:numPr>
        <w:spacing w:before="60" w:after="0" w:line="276" w:lineRule="auto"/>
        <w:ind w:left="1276" w:hanging="283"/>
        <w:contextualSpacing w:val="0"/>
        <w:jc w:val="both"/>
        <w:rPr>
          <w:rFonts w:ascii="Bookman Old Style" w:hAnsi="Bookman Old Style"/>
          <w:sz w:val="24"/>
          <w:szCs w:val="24"/>
        </w:rPr>
      </w:pPr>
      <w:r w:rsidRPr="00BF3751">
        <w:rPr>
          <w:rFonts w:ascii="Bookman Old Style" w:hAnsi="Bookman Old Style"/>
          <w:sz w:val="24"/>
          <w:szCs w:val="24"/>
        </w:rPr>
        <w:t>Mengoptimalkan</w:t>
      </w:r>
      <w:r w:rsidR="00A954D0">
        <w:rPr>
          <w:rFonts w:ascii="Bookman Old Style" w:hAnsi="Bookman Old Style"/>
          <w:sz w:val="24"/>
          <w:szCs w:val="24"/>
        </w:rPr>
        <w:t xml:space="preserve"> </w:t>
      </w:r>
      <w:r w:rsidRPr="00BF3751">
        <w:rPr>
          <w:rFonts w:ascii="Bookman Old Style" w:hAnsi="Bookman Old Style"/>
          <w:sz w:val="24"/>
          <w:szCs w:val="24"/>
        </w:rPr>
        <w:t>penerimaan</w:t>
      </w:r>
      <w:r w:rsidR="00A954D0">
        <w:rPr>
          <w:rFonts w:ascii="Bookman Old Style" w:hAnsi="Bookman Old Style"/>
          <w:sz w:val="24"/>
          <w:szCs w:val="24"/>
        </w:rPr>
        <w:t xml:space="preserve"> </w:t>
      </w:r>
      <w:r w:rsidRPr="00BF3751">
        <w:rPr>
          <w:rFonts w:ascii="Bookman Old Style" w:hAnsi="Bookman Old Style"/>
          <w:sz w:val="24"/>
          <w:szCs w:val="24"/>
        </w:rPr>
        <w:t>pajak</w:t>
      </w:r>
      <w:r w:rsidR="00A954D0">
        <w:rPr>
          <w:rFonts w:ascii="Bookman Old Style" w:hAnsi="Bookman Old Style"/>
          <w:sz w:val="24"/>
          <w:szCs w:val="24"/>
        </w:rPr>
        <w:t xml:space="preserve"> </w:t>
      </w:r>
      <w:r w:rsidRPr="00BF3751">
        <w:rPr>
          <w:rFonts w:ascii="Bookman Old Style" w:hAnsi="Bookman Old Style"/>
          <w:sz w:val="24"/>
          <w:szCs w:val="24"/>
        </w:rPr>
        <w:t>daerah</w:t>
      </w:r>
      <w:r w:rsidR="00A954D0">
        <w:rPr>
          <w:rFonts w:ascii="Bookman Old Style" w:hAnsi="Bookman Old Style"/>
          <w:sz w:val="24"/>
          <w:szCs w:val="24"/>
        </w:rPr>
        <w:t xml:space="preserve"> </w:t>
      </w:r>
      <w:r w:rsidRPr="00BF3751">
        <w:rPr>
          <w:rFonts w:ascii="Bookman Old Style" w:hAnsi="Bookman Old Style"/>
          <w:sz w:val="24"/>
          <w:szCs w:val="24"/>
        </w:rPr>
        <w:t>dan</w:t>
      </w:r>
      <w:r w:rsidR="00A954D0">
        <w:rPr>
          <w:rFonts w:ascii="Bookman Old Style" w:hAnsi="Bookman Old Style"/>
          <w:sz w:val="24"/>
          <w:szCs w:val="24"/>
        </w:rPr>
        <w:t xml:space="preserve"> </w:t>
      </w:r>
      <w:r w:rsidRPr="00BF3751">
        <w:rPr>
          <w:rFonts w:ascii="Bookman Old Style" w:hAnsi="Bookman Old Style"/>
          <w:sz w:val="24"/>
          <w:szCs w:val="24"/>
        </w:rPr>
        <w:t>retribusi</w:t>
      </w:r>
      <w:r w:rsidR="00A954D0">
        <w:rPr>
          <w:rFonts w:ascii="Bookman Old Style" w:hAnsi="Bookman Old Style"/>
          <w:sz w:val="24"/>
          <w:szCs w:val="24"/>
        </w:rPr>
        <w:t xml:space="preserve"> </w:t>
      </w:r>
      <w:r w:rsidRPr="00BF3751">
        <w:rPr>
          <w:rFonts w:ascii="Bookman Old Style" w:hAnsi="Bookman Old Style"/>
          <w:sz w:val="24"/>
          <w:szCs w:val="24"/>
        </w:rPr>
        <w:t>daerah,</w:t>
      </w:r>
      <w:r w:rsidR="00A954D0">
        <w:rPr>
          <w:rFonts w:ascii="Bookman Old Style" w:hAnsi="Bookman Old Style"/>
          <w:sz w:val="24"/>
          <w:szCs w:val="24"/>
        </w:rPr>
        <w:t xml:space="preserve"> </w:t>
      </w:r>
      <w:r w:rsidRPr="00BF3751">
        <w:rPr>
          <w:rFonts w:ascii="Bookman Old Style" w:hAnsi="Bookman Old Style"/>
          <w:sz w:val="24"/>
          <w:szCs w:val="24"/>
        </w:rPr>
        <w:t>secara</w:t>
      </w:r>
      <w:r w:rsidR="00A954D0">
        <w:rPr>
          <w:rFonts w:ascii="Bookman Old Style" w:hAnsi="Bookman Old Style"/>
          <w:sz w:val="24"/>
          <w:szCs w:val="24"/>
        </w:rPr>
        <w:t xml:space="preserve"> </w:t>
      </w:r>
      <w:r w:rsidRPr="00BF3751">
        <w:rPr>
          <w:rFonts w:ascii="Bookman Old Style" w:hAnsi="Bookman Old Style"/>
          <w:sz w:val="24"/>
          <w:szCs w:val="24"/>
        </w:rPr>
        <w:t>bertahap</w:t>
      </w:r>
      <w:r w:rsidR="00A954D0">
        <w:rPr>
          <w:rFonts w:ascii="Bookman Old Style" w:hAnsi="Bookman Old Style"/>
          <w:sz w:val="24"/>
          <w:szCs w:val="24"/>
        </w:rPr>
        <w:t xml:space="preserve"> </w:t>
      </w:r>
      <w:r w:rsidRPr="00BF3751">
        <w:rPr>
          <w:rFonts w:ascii="Bookman Old Style" w:hAnsi="Bookman Old Style"/>
          <w:sz w:val="24"/>
          <w:szCs w:val="24"/>
        </w:rPr>
        <w:t>melalui</w:t>
      </w:r>
      <w:r w:rsidR="00A954D0">
        <w:rPr>
          <w:rFonts w:ascii="Bookman Old Style" w:hAnsi="Bookman Old Style"/>
          <w:sz w:val="24"/>
          <w:szCs w:val="24"/>
        </w:rPr>
        <w:t xml:space="preserve"> </w:t>
      </w:r>
      <w:r w:rsidRPr="00BF3751">
        <w:rPr>
          <w:rFonts w:ascii="Bookman Old Style" w:hAnsi="Bookman Old Style"/>
          <w:sz w:val="24"/>
          <w:szCs w:val="24"/>
        </w:rPr>
        <w:t>pengelolaan</w:t>
      </w:r>
      <w:r w:rsidR="00A954D0">
        <w:rPr>
          <w:rFonts w:ascii="Bookman Old Style" w:hAnsi="Bookman Old Style"/>
          <w:sz w:val="24"/>
          <w:szCs w:val="24"/>
        </w:rPr>
        <w:t xml:space="preserve"> </w:t>
      </w:r>
      <w:r w:rsidRPr="00BF3751">
        <w:rPr>
          <w:rFonts w:ascii="Bookman Old Style" w:hAnsi="Bookman Old Style"/>
          <w:sz w:val="24"/>
          <w:szCs w:val="24"/>
        </w:rPr>
        <w:t>pajak</w:t>
      </w:r>
      <w:r w:rsidR="00A954D0">
        <w:rPr>
          <w:rFonts w:ascii="Bookman Old Style" w:hAnsi="Bookman Old Style"/>
          <w:sz w:val="24"/>
          <w:szCs w:val="24"/>
        </w:rPr>
        <w:t xml:space="preserve"> </w:t>
      </w:r>
      <w:r w:rsidRPr="00BF3751">
        <w:rPr>
          <w:rFonts w:ascii="Bookman Old Style" w:hAnsi="Bookman Old Style"/>
          <w:sz w:val="24"/>
          <w:szCs w:val="24"/>
        </w:rPr>
        <w:t>dan</w:t>
      </w:r>
      <w:r w:rsidR="00A954D0">
        <w:rPr>
          <w:rFonts w:ascii="Bookman Old Style" w:hAnsi="Bookman Old Style"/>
          <w:sz w:val="24"/>
          <w:szCs w:val="24"/>
        </w:rPr>
        <w:t xml:space="preserve"> </w:t>
      </w:r>
      <w:r w:rsidRPr="00BF3751">
        <w:rPr>
          <w:rFonts w:ascii="Bookman Old Style" w:hAnsi="Bookman Old Style"/>
          <w:sz w:val="24"/>
          <w:szCs w:val="24"/>
        </w:rPr>
        <w:t>retribusi</w:t>
      </w:r>
      <w:r w:rsidR="00A954D0">
        <w:rPr>
          <w:rFonts w:ascii="Bookman Old Style" w:hAnsi="Bookman Old Style"/>
          <w:sz w:val="24"/>
          <w:szCs w:val="24"/>
        </w:rPr>
        <w:t xml:space="preserve"> </w:t>
      </w:r>
      <w:r w:rsidRPr="00BF3751">
        <w:rPr>
          <w:rFonts w:ascii="Bookman Old Style" w:hAnsi="Bookman Old Style"/>
          <w:sz w:val="24"/>
          <w:szCs w:val="24"/>
        </w:rPr>
        <w:t>dengan</w:t>
      </w:r>
      <w:r w:rsidR="00A954D0">
        <w:rPr>
          <w:rFonts w:ascii="Bookman Old Style" w:hAnsi="Bookman Old Style"/>
          <w:sz w:val="24"/>
          <w:szCs w:val="24"/>
        </w:rPr>
        <w:t xml:space="preserve"> </w:t>
      </w:r>
      <w:r w:rsidRPr="00BF3751">
        <w:rPr>
          <w:rFonts w:ascii="Bookman Old Style" w:hAnsi="Bookman Old Style"/>
          <w:sz w:val="24"/>
          <w:szCs w:val="24"/>
        </w:rPr>
        <w:t>berbasis</w:t>
      </w:r>
      <w:r w:rsidR="00A954D0">
        <w:rPr>
          <w:rFonts w:ascii="Bookman Old Style" w:hAnsi="Bookman Old Style"/>
          <w:sz w:val="24"/>
          <w:szCs w:val="24"/>
        </w:rPr>
        <w:t xml:space="preserve"> </w:t>
      </w:r>
      <w:r w:rsidRPr="00BF3751">
        <w:rPr>
          <w:rFonts w:ascii="Bookman Old Style" w:hAnsi="Bookman Old Style"/>
          <w:sz w:val="24"/>
          <w:szCs w:val="24"/>
        </w:rPr>
        <w:t>teknologi</w:t>
      </w:r>
      <w:r w:rsidR="00A954D0">
        <w:rPr>
          <w:rFonts w:ascii="Bookman Old Style" w:hAnsi="Bookman Old Style"/>
          <w:sz w:val="24"/>
          <w:szCs w:val="24"/>
        </w:rPr>
        <w:t xml:space="preserve"> </w:t>
      </w:r>
      <w:r w:rsidRPr="00BF3751">
        <w:rPr>
          <w:rFonts w:ascii="Bookman Old Style" w:hAnsi="Bookman Old Style"/>
          <w:sz w:val="24"/>
          <w:szCs w:val="24"/>
        </w:rPr>
        <w:t>informasi;</w:t>
      </w:r>
    </w:p>
    <w:p w14:paraId="6B7928FF" w14:textId="779CE2A6" w:rsidR="003374DF" w:rsidRPr="00BF3751" w:rsidRDefault="003374DF" w:rsidP="00953DC9">
      <w:pPr>
        <w:pStyle w:val="ListParagraph"/>
        <w:numPr>
          <w:ilvl w:val="0"/>
          <w:numId w:val="56"/>
        </w:numPr>
        <w:spacing w:before="60" w:after="0" w:line="276" w:lineRule="auto"/>
        <w:ind w:left="1276" w:hanging="283"/>
        <w:contextualSpacing w:val="0"/>
        <w:jc w:val="both"/>
        <w:rPr>
          <w:rFonts w:ascii="Bookman Old Style" w:hAnsi="Bookman Old Style"/>
          <w:sz w:val="24"/>
          <w:szCs w:val="24"/>
        </w:rPr>
      </w:pPr>
      <w:r w:rsidRPr="00BF3751">
        <w:rPr>
          <w:rFonts w:ascii="Bookman Old Style" w:hAnsi="Bookman Old Style"/>
          <w:sz w:val="24"/>
          <w:szCs w:val="24"/>
        </w:rPr>
        <w:t>Menyusun</w:t>
      </w:r>
      <w:r w:rsidR="00A954D0">
        <w:rPr>
          <w:rFonts w:ascii="Bookman Old Style" w:hAnsi="Bookman Old Style"/>
          <w:sz w:val="24"/>
          <w:szCs w:val="24"/>
        </w:rPr>
        <w:t xml:space="preserve"> </w:t>
      </w:r>
      <w:r w:rsidRPr="00BF3751">
        <w:rPr>
          <w:rFonts w:ascii="Bookman Old Style" w:hAnsi="Bookman Old Style"/>
          <w:sz w:val="24"/>
          <w:szCs w:val="24"/>
        </w:rPr>
        <w:t>rencana</w:t>
      </w:r>
      <w:r w:rsidR="00A954D0">
        <w:rPr>
          <w:rFonts w:ascii="Bookman Old Style" w:hAnsi="Bookman Old Style"/>
          <w:sz w:val="24"/>
          <w:szCs w:val="24"/>
        </w:rPr>
        <w:t xml:space="preserve"> </w:t>
      </w:r>
      <w:r w:rsidRPr="00BF3751">
        <w:rPr>
          <w:rFonts w:ascii="Bookman Old Style" w:hAnsi="Bookman Old Style"/>
          <w:sz w:val="24"/>
          <w:szCs w:val="24"/>
        </w:rPr>
        <w:t>kegiatan/sub</w:t>
      </w:r>
      <w:r w:rsidR="00A954D0" w:rsidRPr="003255BC">
        <w:rPr>
          <w:rFonts w:ascii="Bookman Old Style" w:hAnsi="Bookman Old Style"/>
          <w:sz w:val="24"/>
          <w:szCs w:val="24"/>
          <w:lang w:val="sv-FI"/>
        </w:rPr>
        <w:t xml:space="preserve"> </w:t>
      </w:r>
      <w:r w:rsidRPr="00BF3751">
        <w:rPr>
          <w:rFonts w:ascii="Bookman Old Style" w:hAnsi="Bookman Old Style"/>
          <w:sz w:val="24"/>
          <w:szCs w:val="24"/>
        </w:rPr>
        <w:t>kegiatan</w:t>
      </w:r>
      <w:r w:rsidR="00A954D0">
        <w:rPr>
          <w:rFonts w:ascii="Bookman Old Style" w:hAnsi="Bookman Old Style"/>
          <w:sz w:val="24"/>
          <w:szCs w:val="24"/>
        </w:rPr>
        <w:t xml:space="preserve"> </w:t>
      </w:r>
      <w:r w:rsidRPr="00BF3751">
        <w:rPr>
          <w:rFonts w:ascii="Bookman Old Style" w:hAnsi="Bookman Old Style"/>
          <w:sz w:val="24"/>
          <w:szCs w:val="24"/>
        </w:rPr>
        <w:t>(</w:t>
      </w:r>
      <w:r w:rsidRPr="00BF3751">
        <w:rPr>
          <w:rFonts w:ascii="Bookman Old Style" w:hAnsi="Bookman Old Style"/>
          <w:i/>
          <w:iCs/>
          <w:sz w:val="24"/>
          <w:szCs w:val="24"/>
        </w:rPr>
        <w:t>roadmap</w:t>
      </w:r>
      <w:r w:rsidRPr="00BF3751">
        <w:rPr>
          <w:rFonts w:ascii="Bookman Old Style" w:hAnsi="Bookman Old Style"/>
          <w:sz w:val="24"/>
          <w:szCs w:val="24"/>
        </w:rPr>
        <w:t>)</w:t>
      </w:r>
      <w:r w:rsidR="00A954D0">
        <w:rPr>
          <w:rFonts w:ascii="Bookman Old Style" w:hAnsi="Bookman Old Style"/>
          <w:sz w:val="24"/>
          <w:szCs w:val="24"/>
        </w:rPr>
        <w:t xml:space="preserve"> </w:t>
      </w:r>
      <w:r w:rsidRPr="00BF3751">
        <w:rPr>
          <w:rFonts w:ascii="Bookman Old Style" w:hAnsi="Bookman Old Style"/>
          <w:sz w:val="24"/>
          <w:szCs w:val="24"/>
        </w:rPr>
        <w:t>dengan</w:t>
      </w:r>
      <w:r w:rsidR="00A954D0">
        <w:rPr>
          <w:rFonts w:ascii="Bookman Old Style" w:hAnsi="Bookman Old Style"/>
          <w:sz w:val="24"/>
          <w:szCs w:val="24"/>
        </w:rPr>
        <w:t xml:space="preserve"> </w:t>
      </w:r>
      <w:r w:rsidRPr="00BF3751">
        <w:rPr>
          <w:rFonts w:ascii="Bookman Old Style" w:hAnsi="Bookman Old Style"/>
          <w:sz w:val="24"/>
          <w:szCs w:val="24"/>
        </w:rPr>
        <w:t>penjadwalan</w:t>
      </w:r>
      <w:r w:rsidR="00A954D0">
        <w:rPr>
          <w:rFonts w:ascii="Bookman Old Style" w:hAnsi="Bookman Old Style"/>
          <w:sz w:val="24"/>
          <w:szCs w:val="24"/>
        </w:rPr>
        <w:t xml:space="preserve"> </w:t>
      </w:r>
      <w:r w:rsidRPr="00BF3751">
        <w:rPr>
          <w:rFonts w:ascii="Bookman Old Style" w:hAnsi="Bookman Old Style"/>
          <w:sz w:val="24"/>
          <w:szCs w:val="24"/>
        </w:rPr>
        <w:t>secara</w:t>
      </w:r>
      <w:r w:rsidR="00A954D0">
        <w:rPr>
          <w:rFonts w:ascii="Bookman Old Style" w:hAnsi="Bookman Old Style"/>
          <w:sz w:val="24"/>
          <w:szCs w:val="24"/>
        </w:rPr>
        <w:t xml:space="preserve"> </w:t>
      </w:r>
      <w:r w:rsidRPr="00BF3751">
        <w:rPr>
          <w:rFonts w:ascii="Bookman Old Style" w:hAnsi="Bookman Old Style"/>
          <w:sz w:val="24"/>
          <w:szCs w:val="24"/>
        </w:rPr>
        <w:t>periodik,</w:t>
      </w:r>
      <w:r w:rsidR="00A954D0">
        <w:rPr>
          <w:rFonts w:ascii="Bookman Old Style" w:hAnsi="Bookman Old Style"/>
          <w:sz w:val="24"/>
          <w:szCs w:val="24"/>
        </w:rPr>
        <w:t xml:space="preserve"> </w:t>
      </w:r>
      <w:r w:rsidRPr="00BF3751">
        <w:rPr>
          <w:rFonts w:ascii="Bookman Old Style" w:hAnsi="Bookman Old Style"/>
          <w:sz w:val="24"/>
          <w:szCs w:val="24"/>
        </w:rPr>
        <w:t>konsisten,</w:t>
      </w:r>
      <w:r w:rsidR="00A954D0">
        <w:rPr>
          <w:rFonts w:ascii="Bookman Old Style" w:hAnsi="Bookman Old Style"/>
          <w:sz w:val="24"/>
          <w:szCs w:val="24"/>
        </w:rPr>
        <w:t xml:space="preserve"> </w:t>
      </w:r>
      <w:r w:rsidRPr="00BF3751">
        <w:rPr>
          <w:rFonts w:ascii="Bookman Old Style" w:hAnsi="Bookman Old Style"/>
          <w:sz w:val="24"/>
          <w:szCs w:val="24"/>
        </w:rPr>
        <w:t>dan</w:t>
      </w:r>
      <w:r w:rsidR="00A954D0">
        <w:rPr>
          <w:rFonts w:ascii="Bookman Old Style" w:hAnsi="Bookman Old Style"/>
          <w:sz w:val="24"/>
          <w:szCs w:val="24"/>
        </w:rPr>
        <w:t xml:space="preserve"> </w:t>
      </w:r>
      <w:r w:rsidRPr="00BF3751">
        <w:rPr>
          <w:rFonts w:ascii="Bookman Old Style" w:hAnsi="Bookman Old Style"/>
          <w:sz w:val="24"/>
          <w:szCs w:val="24"/>
        </w:rPr>
        <w:t>terukur;</w:t>
      </w:r>
    </w:p>
    <w:p w14:paraId="2226A584" w14:textId="61A46049" w:rsidR="003374DF" w:rsidRPr="00BF3751" w:rsidRDefault="003374DF" w:rsidP="00953DC9">
      <w:pPr>
        <w:pStyle w:val="ListParagraph"/>
        <w:numPr>
          <w:ilvl w:val="0"/>
          <w:numId w:val="56"/>
        </w:numPr>
        <w:spacing w:before="60" w:after="0" w:line="276" w:lineRule="auto"/>
        <w:ind w:left="1276" w:hanging="283"/>
        <w:contextualSpacing w:val="0"/>
        <w:jc w:val="both"/>
        <w:rPr>
          <w:rFonts w:ascii="Bookman Old Style" w:hAnsi="Bookman Old Style"/>
          <w:sz w:val="24"/>
          <w:szCs w:val="24"/>
        </w:rPr>
      </w:pPr>
      <w:r w:rsidRPr="00BF3751">
        <w:rPr>
          <w:rFonts w:ascii="Bookman Old Style" w:hAnsi="Bookman Old Style"/>
          <w:sz w:val="24"/>
          <w:szCs w:val="24"/>
        </w:rPr>
        <w:t>Melakukan</w:t>
      </w:r>
      <w:r w:rsidR="00A954D0">
        <w:rPr>
          <w:rFonts w:ascii="Bookman Old Style" w:hAnsi="Bookman Old Style"/>
          <w:sz w:val="24"/>
          <w:szCs w:val="24"/>
        </w:rPr>
        <w:t xml:space="preserve"> </w:t>
      </w:r>
      <w:r w:rsidRPr="00BF3751">
        <w:rPr>
          <w:rFonts w:ascii="Bookman Old Style" w:hAnsi="Bookman Old Style"/>
          <w:sz w:val="24"/>
          <w:szCs w:val="24"/>
        </w:rPr>
        <w:t>percepatan</w:t>
      </w:r>
      <w:r w:rsidR="00A954D0">
        <w:rPr>
          <w:rFonts w:ascii="Bookman Old Style" w:hAnsi="Bookman Old Style"/>
          <w:sz w:val="24"/>
          <w:szCs w:val="24"/>
        </w:rPr>
        <w:t xml:space="preserve"> </w:t>
      </w:r>
      <w:r w:rsidRPr="00BF3751">
        <w:rPr>
          <w:rFonts w:ascii="Bookman Old Style" w:hAnsi="Bookman Old Style"/>
          <w:sz w:val="24"/>
          <w:szCs w:val="24"/>
        </w:rPr>
        <w:t>realisasi</w:t>
      </w:r>
      <w:r w:rsidR="00A954D0">
        <w:rPr>
          <w:rFonts w:ascii="Bookman Old Style" w:hAnsi="Bookman Old Style"/>
          <w:sz w:val="24"/>
          <w:szCs w:val="24"/>
        </w:rPr>
        <w:t xml:space="preserve"> </w:t>
      </w:r>
      <w:r w:rsidRPr="00BF3751">
        <w:rPr>
          <w:rFonts w:ascii="Bookman Old Style" w:hAnsi="Bookman Old Style"/>
          <w:sz w:val="24"/>
          <w:szCs w:val="24"/>
        </w:rPr>
        <w:t>dengan</w:t>
      </w:r>
      <w:r w:rsidR="00A954D0">
        <w:rPr>
          <w:rFonts w:ascii="Bookman Old Style" w:hAnsi="Bookman Old Style"/>
          <w:sz w:val="24"/>
          <w:szCs w:val="24"/>
        </w:rPr>
        <w:t xml:space="preserve"> </w:t>
      </w:r>
      <w:r w:rsidRPr="00BF3751">
        <w:rPr>
          <w:rFonts w:ascii="Bookman Old Style" w:hAnsi="Bookman Old Style"/>
          <w:sz w:val="24"/>
          <w:szCs w:val="24"/>
        </w:rPr>
        <w:t>tidak</w:t>
      </w:r>
      <w:r w:rsidR="00A954D0">
        <w:rPr>
          <w:rFonts w:ascii="Bookman Old Style" w:hAnsi="Bookman Old Style"/>
          <w:sz w:val="24"/>
          <w:szCs w:val="24"/>
        </w:rPr>
        <w:t xml:space="preserve"> </w:t>
      </w:r>
      <w:r w:rsidRPr="00BF3751">
        <w:rPr>
          <w:rFonts w:ascii="Bookman Old Style" w:hAnsi="Bookman Old Style"/>
          <w:sz w:val="24"/>
          <w:szCs w:val="24"/>
        </w:rPr>
        <w:t>menunda</w:t>
      </w:r>
      <w:r w:rsidR="00A954D0">
        <w:rPr>
          <w:rFonts w:ascii="Bookman Old Style" w:hAnsi="Bookman Old Style"/>
          <w:sz w:val="24"/>
          <w:szCs w:val="24"/>
        </w:rPr>
        <w:t xml:space="preserve"> </w:t>
      </w:r>
      <w:r w:rsidRPr="00BF3751">
        <w:rPr>
          <w:rFonts w:ascii="Bookman Old Style" w:hAnsi="Bookman Old Style"/>
          <w:sz w:val="24"/>
          <w:szCs w:val="24"/>
        </w:rPr>
        <w:t>administrasi</w:t>
      </w:r>
      <w:r w:rsidR="00A954D0">
        <w:rPr>
          <w:rFonts w:ascii="Bookman Old Style" w:hAnsi="Bookman Old Style"/>
          <w:sz w:val="24"/>
          <w:szCs w:val="24"/>
        </w:rPr>
        <w:t xml:space="preserve"> </w:t>
      </w:r>
      <w:r w:rsidRPr="00BF3751">
        <w:rPr>
          <w:rFonts w:ascii="Bookman Old Style" w:hAnsi="Bookman Old Style"/>
          <w:sz w:val="24"/>
          <w:szCs w:val="24"/>
        </w:rPr>
        <w:t>pertanggung</w:t>
      </w:r>
      <w:r w:rsidR="00A954D0">
        <w:rPr>
          <w:rFonts w:ascii="Bookman Old Style" w:hAnsi="Bookman Old Style"/>
          <w:sz w:val="24"/>
          <w:szCs w:val="24"/>
        </w:rPr>
        <w:t xml:space="preserve"> </w:t>
      </w:r>
      <w:r w:rsidRPr="00BF3751">
        <w:rPr>
          <w:rFonts w:ascii="Bookman Old Style" w:hAnsi="Bookman Old Style"/>
          <w:sz w:val="24"/>
          <w:szCs w:val="24"/>
        </w:rPr>
        <w:t>jawaban</w:t>
      </w:r>
      <w:r w:rsidR="00A954D0">
        <w:rPr>
          <w:rFonts w:ascii="Bookman Old Style" w:hAnsi="Bookman Old Style"/>
          <w:sz w:val="24"/>
          <w:szCs w:val="24"/>
        </w:rPr>
        <w:t xml:space="preserve"> </w:t>
      </w:r>
      <w:r w:rsidRPr="00BF3751">
        <w:rPr>
          <w:rFonts w:ascii="Bookman Old Style" w:hAnsi="Bookman Old Style"/>
          <w:sz w:val="24"/>
          <w:szCs w:val="24"/>
        </w:rPr>
        <w:t>pelaksanaan</w:t>
      </w:r>
      <w:r w:rsidR="00A954D0">
        <w:rPr>
          <w:rFonts w:ascii="Bookman Old Style" w:hAnsi="Bookman Old Style"/>
          <w:sz w:val="24"/>
          <w:szCs w:val="24"/>
        </w:rPr>
        <w:t xml:space="preserve"> </w:t>
      </w:r>
      <w:r w:rsidRPr="00BF3751">
        <w:rPr>
          <w:rFonts w:ascii="Bookman Old Style" w:hAnsi="Bookman Old Style"/>
          <w:sz w:val="24"/>
          <w:szCs w:val="24"/>
        </w:rPr>
        <w:t>kegiatan/sub</w:t>
      </w:r>
      <w:r w:rsidR="00A954D0">
        <w:rPr>
          <w:rFonts w:ascii="Bookman Old Style" w:hAnsi="Bookman Old Style"/>
          <w:sz w:val="24"/>
          <w:szCs w:val="24"/>
          <w:lang w:val="fi-FI"/>
        </w:rPr>
        <w:t xml:space="preserve"> </w:t>
      </w:r>
      <w:r w:rsidRPr="00BF3751">
        <w:rPr>
          <w:rFonts w:ascii="Bookman Old Style" w:hAnsi="Bookman Old Style"/>
          <w:sz w:val="24"/>
          <w:szCs w:val="24"/>
        </w:rPr>
        <w:t>kegiatan;</w:t>
      </w:r>
      <w:r w:rsidR="00A954D0">
        <w:rPr>
          <w:rFonts w:ascii="Bookman Old Style" w:hAnsi="Bookman Old Style"/>
          <w:sz w:val="24"/>
          <w:szCs w:val="24"/>
          <w:lang w:val="fi-FI"/>
        </w:rPr>
        <w:t xml:space="preserve"> </w:t>
      </w:r>
      <w:r w:rsidRPr="00BF3751">
        <w:rPr>
          <w:rFonts w:ascii="Bookman Old Style" w:hAnsi="Bookman Old Style"/>
          <w:sz w:val="24"/>
          <w:szCs w:val="24"/>
          <w:lang w:val="fi-FI"/>
        </w:rPr>
        <w:t>dan</w:t>
      </w:r>
    </w:p>
    <w:p w14:paraId="3FA87B91" w14:textId="5A31D2FC" w:rsidR="003374DF" w:rsidRPr="00BF3751" w:rsidRDefault="003374DF" w:rsidP="00953DC9">
      <w:pPr>
        <w:pStyle w:val="ListParagraph"/>
        <w:numPr>
          <w:ilvl w:val="0"/>
          <w:numId w:val="56"/>
        </w:numPr>
        <w:spacing w:before="60" w:after="0" w:line="276" w:lineRule="auto"/>
        <w:ind w:left="1276" w:hanging="283"/>
        <w:contextualSpacing w:val="0"/>
        <w:jc w:val="both"/>
        <w:rPr>
          <w:rFonts w:ascii="Bookman Old Style" w:hAnsi="Bookman Old Style"/>
          <w:sz w:val="24"/>
          <w:szCs w:val="24"/>
        </w:rPr>
      </w:pPr>
      <w:r w:rsidRPr="00BF3751">
        <w:rPr>
          <w:rFonts w:ascii="Bookman Old Style" w:hAnsi="Bookman Old Style"/>
          <w:sz w:val="24"/>
          <w:szCs w:val="24"/>
        </w:rPr>
        <w:t>Untuk</w:t>
      </w:r>
      <w:r w:rsidR="00A954D0">
        <w:rPr>
          <w:rFonts w:ascii="Bookman Old Style" w:hAnsi="Bookman Old Style"/>
          <w:sz w:val="24"/>
          <w:szCs w:val="24"/>
        </w:rPr>
        <w:t xml:space="preserve"> </w:t>
      </w:r>
      <w:r w:rsidRPr="00BF3751">
        <w:rPr>
          <w:rFonts w:ascii="Bookman Old Style" w:hAnsi="Bookman Old Style"/>
          <w:sz w:val="24"/>
          <w:szCs w:val="24"/>
        </w:rPr>
        <w:t>melakukan</w:t>
      </w:r>
      <w:r w:rsidR="00A954D0">
        <w:rPr>
          <w:rFonts w:ascii="Bookman Old Style" w:hAnsi="Bookman Old Style"/>
          <w:sz w:val="24"/>
          <w:szCs w:val="24"/>
        </w:rPr>
        <w:t xml:space="preserve"> </w:t>
      </w:r>
      <w:r w:rsidRPr="00BF3751">
        <w:rPr>
          <w:rFonts w:ascii="Bookman Old Style" w:hAnsi="Bookman Old Style"/>
          <w:sz w:val="24"/>
          <w:szCs w:val="24"/>
        </w:rPr>
        <w:t>asistensi</w:t>
      </w:r>
      <w:r w:rsidR="00A954D0">
        <w:rPr>
          <w:rFonts w:ascii="Bookman Old Style" w:hAnsi="Bookman Old Style"/>
          <w:sz w:val="24"/>
          <w:szCs w:val="24"/>
        </w:rPr>
        <w:t xml:space="preserve"> </w:t>
      </w:r>
      <w:r w:rsidRPr="00BF3751">
        <w:rPr>
          <w:rFonts w:ascii="Bookman Old Style" w:hAnsi="Bookman Old Style"/>
          <w:sz w:val="24"/>
          <w:szCs w:val="24"/>
        </w:rPr>
        <w:t>dan</w:t>
      </w:r>
      <w:r w:rsidR="00A954D0">
        <w:rPr>
          <w:rFonts w:ascii="Bookman Old Style" w:hAnsi="Bookman Old Style"/>
          <w:sz w:val="24"/>
          <w:szCs w:val="24"/>
        </w:rPr>
        <w:t xml:space="preserve"> </w:t>
      </w:r>
      <w:r w:rsidRPr="00BF3751">
        <w:rPr>
          <w:rFonts w:ascii="Bookman Old Style" w:hAnsi="Bookman Old Style"/>
          <w:i/>
          <w:iCs/>
          <w:sz w:val="24"/>
          <w:szCs w:val="24"/>
        </w:rPr>
        <w:t>monitoring</w:t>
      </w:r>
      <w:r w:rsidR="00A954D0">
        <w:rPr>
          <w:rFonts w:ascii="Bookman Old Style" w:hAnsi="Bookman Old Style"/>
          <w:sz w:val="24"/>
          <w:szCs w:val="24"/>
        </w:rPr>
        <w:t xml:space="preserve"> </w:t>
      </w:r>
      <w:r w:rsidRPr="00BF3751">
        <w:rPr>
          <w:rFonts w:ascii="Bookman Old Style" w:hAnsi="Bookman Old Style"/>
          <w:sz w:val="24"/>
          <w:szCs w:val="24"/>
        </w:rPr>
        <w:t>terhadap</w:t>
      </w:r>
      <w:r w:rsidR="00A954D0">
        <w:rPr>
          <w:rFonts w:ascii="Bookman Old Style" w:hAnsi="Bookman Old Style"/>
          <w:sz w:val="24"/>
          <w:szCs w:val="24"/>
        </w:rPr>
        <w:t xml:space="preserve"> </w:t>
      </w:r>
      <w:r w:rsidRPr="00BF3751">
        <w:rPr>
          <w:rFonts w:ascii="Bookman Old Style" w:hAnsi="Bookman Old Style"/>
          <w:sz w:val="24"/>
          <w:szCs w:val="24"/>
        </w:rPr>
        <w:t>yang</w:t>
      </w:r>
      <w:r w:rsidR="00A954D0">
        <w:rPr>
          <w:rFonts w:ascii="Bookman Old Style" w:hAnsi="Bookman Old Style"/>
          <w:sz w:val="24"/>
          <w:szCs w:val="24"/>
        </w:rPr>
        <w:t xml:space="preserve"> </w:t>
      </w:r>
      <w:r w:rsidRPr="00BF3751">
        <w:rPr>
          <w:rFonts w:ascii="Bookman Old Style" w:hAnsi="Bookman Old Style"/>
          <w:sz w:val="24"/>
          <w:szCs w:val="24"/>
        </w:rPr>
        <w:t>masih</w:t>
      </w:r>
      <w:r w:rsidR="00A954D0">
        <w:rPr>
          <w:rFonts w:ascii="Bookman Old Style" w:hAnsi="Bookman Old Style"/>
          <w:sz w:val="24"/>
          <w:szCs w:val="24"/>
        </w:rPr>
        <w:t xml:space="preserve"> </w:t>
      </w:r>
      <w:r w:rsidRPr="00BF3751">
        <w:rPr>
          <w:rFonts w:ascii="Bookman Old Style" w:hAnsi="Bookman Old Style"/>
          <w:sz w:val="24"/>
          <w:szCs w:val="24"/>
        </w:rPr>
        <w:t>rendah</w:t>
      </w:r>
      <w:r w:rsidR="00A954D0">
        <w:rPr>
          <w:rFonts w:ascii="Bookman Old Style" w:hAnsi="Bookman Old Style"/>
          <w:sz w:val="24"/>
          <w:szCs w:val="24"/>
        </w:rPr>
        <w:t xml:space="preserve"> </w:t>
      </w:r>
      <w:r w:rsidRPr="00BF3751">
        <w:rPr>
          <w:rFonts w:ascii="Bookman Old Style" w:hAnsi="Bookman Old Style"/>
          <w:sz w:val="24"/>
          <w:szCs w:val="24"/>
        </w:rPr>
        <w:t>penyerapan</w:t>
      </w:r>
      <w:r w:rsidR="00A954D0">
        <w:rPr>
          <w:rFonts w:ascii="Bookman Old Style" w:hAnsi="Bookman Old Style"/>
          <w:sz w:val="24"/>
          <w:szCs w:val="24"/>
        </w:rPr>
        <w:t xml:space="preserve"> </w:t>
      </w:r>
      <w:r w:rsidRPr="00BF3751">
        <w:rPr>
          <w:rFonts w:ascii="Bookman Old Style" w:hAnsi="Bookman Old Style"/>
          <w:sz w:val="24"/>
          <w:szCs w:val="24"/>
        </w:rPr>
        <w:t>anggarannya</w:t>
      </w:r>
      <w:r w:rsidR="00953DC9" w:rsidRPr="00953DC9">
        <w:rPr>
          <w:rFonts w:ascii="Bookman Old Style" w:hAnsi="Bookman Old Style"/>
          <w:sz w:val="24"/>
          <w:szCs w:val="24"/>
          <w:lang w:val="sv-FI"/>
        </w:rPr>
        <w:t>.</w:t>
      </w:r>
    </w:p>
    <w:p w14:paraId="3D992F82" w14:textId="5257F3B2" w:rsidR="003374DF" w:rsidRPr="00BF3751" w:rsidRDefault="00953DC9" w:rsidP="00953DC9">
      <w:pPr>
        <w:spacing w:before="60" w:line="276" w:lineRule="auto"/>
        <w:ind w:left="993"/>
        <w:jc w:val="both"/>
        <w:rPr>
          <w:rFonts w:ascii="Bookman Old Style" w:hAnsi="Bookman Old Style" w:cs="Gill Sans Light (Arabid)"/>
          <w:lang w:val="id-ID"/>
        </w:rPr>
      </w:pPr>
      <w:r>
        <w:rPr>
          <w:rFonts w:ascii="Bookman Old Style" w:hAnsi="Bookman Old Style"/>
          <w:lang w:val="sv-FI"/>
        </w:rPr>
        <w:t>D</w:t>
      </w:r>
      <w:r w:rsidR="003374DF" w:rsidRPr="003255BC">
        <w:rPr>
          <w:rFonts w:ascii="Bookman Old Style" w:hAnsi="Bookman Old Style"/>
          <w:lang w:val="sv-FI"/>
        </w:rPr>
        <w:t>engan</w:t>
      </w:r>
      <w:r w:rsidR="00A954D0" w:rsidRPr="003255BC">
        <w:rPr>
          <w:rFonts w:ascii="Bookman Old Style" w:hAnsi="Bookman Old Style"/>
          <w:lang w:val="sv-FI"/>
        </w:rPr>
        <w:t xml:space="preserve"> </w:t>
      </w:r>
      <w:r w:rsidR="003374DF" w:rsidRPr="003255BC">
        <w:rPr>
          <w:rFonts w:ascii="Bookman Old Style" w:hAnsi="Bookman Old Style"/>
          <w:lang w:val="sv-FI"/>
        </w:rPr>
        <w:t>tetap</w:t>
      </w:r>
      <w:r w:rsidR="00A954D0" w:rsidRPr="003255BC">
        <w:rPr>
          <w:rFonts w:ascii="Bookman Old Style" w:hAnsi="Bookman Old Style"/>
          <w:lang w:val="sv-FI"/>
        </w:rPr>
        <w:t xml:space="preserve"> </w:t>
      </w:r>
      <w:r w:rsidR="003374DF" w:rsidRPr="003255BC">
        <w:rPr>
          <w:rFonts w:ascii="Bookman Old Style" w:hAnsi="Bookman Old Style"/>
          <w:lang w:val="sv-FI"/>
        </w:rPr>
        <w:t>berpedoman</w:t>
      </w:r>
      <w:r w:rsidR="00A954D0" w:rsidRPr="003255BC">
        <w:rPr>
          <w:rFonts w:ascii="Bookman Old Style" w:hAnsi="Bookman Old Style"/>
          <w:lang w:val="sv-FI"/>
        </w:rPr>
        <w:t xml:space="preserve"> </w:t>
      </w:r>
      <w:r w:rsidR="003374DF" w:rsidRPr="003255BC">
        <w:rPr>
          <w:rFonts w:ascii="Bookman Old Style" w:hAnsi="Bookman Old Style"/>
          <w:lang w:val="sv-FI"/>
        </w:rPr>
        <w:t>pada</w:t>
      </w:r>
      <w:r w:rsidR="00A954D0" w:rsidRPr="003255BC">
        <w:rPr>
          <w:rFonts w:ascii="Bookman Old Style" w:hAnsi="Bookman Old Style"/>
          <w:lang w:val="sv-FI"/>
        </w:rPr>
        <w:t xml:space="preserve"> </w:t>
      </w:r>
      <w:r w:rsidR="003374DF" w:rsidRPr="003255BC">
        <w:rPr>
          <w:rFonts w:ascii="Bookman Old Style" w:hAnsi="Bookman Old Style"/>
          <w:lang w:val="sv-FI"/>
        </w:rPr>
        <w:t>ketentuan</w:t>
      </w:r>
      <w:r w:rsidR="00A954D0" w:rsidRPr="003255BC">
        <w:rPr>
          <w:rFonts w:ascii="Bookman Old Style" w:hAnsi="Bookman Old Style"/>
          <w:lang w:val="sv-FI"/>
        </w:rPr>
        <w:t xml:space="preserve"> </w:t>
      </w:r>
      <w:r w:rsidR="003374DF" w:rsidRPr="003255BC">
        <w:rPr>
          <w:rFonts w:ascii="Bookman Old Style" w:hAnsi="Bookman Old Style"/>
          <w:lang w:val="sv-FI"/>
        </w:rPr>
        <w:t>peraturan</w:t>
      </w:r>
      <w:r w:rsidR="00A954D0" w:rsidRPr="003255BC">
        <w:rPr>
          <w:rFonts w:ascii="Bookman Old Style" w:hAnsi="Bookman Old Style"/>
          <w:lang w:val="sv-FI"/>
        </w:rPr>
        <w:t xml:space="preserve"> </w:t>
      </w:r>
      <w:r w:rsidR="003374DF" w:rsidRPr="003255BC">
        <w:rPr>
          <w:rFonts w:ascii="Bookman Old Style" w:hAnsi="Bookman Old Style"/>
          <w:lang w:val="sv-FI"/>
        </w:rPr>
        <w:t>perundang-undangan</w:t>
      </w:r>
      <w:r w:rsidR="003374DF" w:rsidRPr="00BF3751">
        <w:rPr>
          <w:rFonts w:ascii="Bookman Old Style" w:hAnsi="Bookman Old Style" w:cs="Gill Sans Light (Arabid)"/>
          <w:lang w:val="id-ID"/>
        </w:rPr>
        <w:t>.</w:t>
      </w:r>
    </w:p>
    <w:p w14:paraId="38C07328" w14:textId="0C147C1C" w:rsidR="003374DF" w:rsidRPr="00BF3751" w:rsidRDefault="003374DF" w:rsidP="00953DC9">
      <w:pPr>
        <w:numPr>
          <w:ilvl w:val="0"/>
          <w:numId w:val="156"/>
        </w:numPr>
        <w:spacing w:before="60" w:line="276" w:lineRule="auto"/>
        <w:ind w:left="993" w:hanging="426"/>
        <w:jc w:val="both"/>
        <w:rPr>
          <w:rFonts w:ascii="Bookman Old Style" w:hAnsi="Bookman Old Style" w:cs="Arial"/>
          <w:lang w:val="id-ID"/>
        </w:rPr>
      </w:pPr>
      <w:r w:rsidRPr="00BF3751">
        <w:rPr>
          <w:rFonts w:ascii="Bookman Old Style" w:hAnsi="Bookman Old Style" w:cs="Gill Sans Light (Arabid)"/>
          <w:lang w:val="id-ID"/>
        </w:rPr>
        <w:t>Dalam</w:t>
      </w:r>
      <w:r w:rsidR="00A954D0">
        <w:rPr>
          <w:rFonts w:ascii="Bookman Old Style" w:hAnsi="Bookman Old Style" w:cs="Arial"/>
          <w:lang w:val="id-ID"/>
        </w:rPr>
        <w:t xml:space="preserve"> </w:t>
      </w:r>
      <w:r w:rsidRPr="00BF3751">
        <w:rPr>
          <w:rFonts w:ascii="Bookman Old Style" w:hAnsi="Bookman Old Style" w:cs="Arial"/>
          <w:lang w:val="id-ID"/>
        </w:rPr>
        <w:t>rangka</w:t>
      </w:r>
      <w:r w:rsidR="00A954D0">
        <w:rPr>
          <w:rFonts w:ascii="Bookman Old Style" w:hAnsi="Bookman Old Style" w:cs="Arial"/>
          <w:lang w:val="id-ID"/>
        </w:rPr>
        <w:t xml:space="preserve"> </w:t>
      </w:r>
      <w:r w:rsidRPr="00BF3751">
        <w:rPr>
          <w:rFonts w:ascii="Bookman Old Style" w:hAnsi="Bookman Old Style" w:cs="Arial"/>
          <w:lang w:val="id-ID"/>
        </w:rPr>
        <w:t>percepatan</w:t>
      </w:r>
      <w:r w:rsidR="00A954D0">
        <w:rPr>
          <w:rFonts w:ascii="Bookman Old Style" w:hAnsi="Bookman Old Style" w:cs="Arial"/>
          <w:lang w:val="id-ID"/>
        </w:rPr>
        <w:t xml:space="preserve"> </w:t>
      </w:r>
      <w:r w:rsidRPr="00BF3751">
        <w:rPr>
          <w:rFonts w:ascii="Bookman Old Style" w:hAnsi="Bookman Old Style" w:cs="Arial"/>
          <w:lang w:val="id-ID"/>
        </w:rPr>
        <w:t>pelaksanaan</w:t>
      </w:r>
      <w:r w:rsidR="00A954D0">
        <w:rPr>
          <w:rFonts w:ascii="Bookman Old Style" w:hAnsi="Bookman Old Style" w:cs="Arial"/>
          <w:lang w:val="id-ID"/>
        </w:rPr>
        <w:t xml:space="preserve"> </w:t>
      </w:r>
      <w:r w:rsidRPr="00BF3751">
        <w:rPr>
          <w:rFonts w:ascii="Bookman Old Style" w:hAnsi="Bookman Old Style" w:cs="Arial"/>
          <w:lang w:val="id-ID"/>
        </w:rPr>
        <w:t>program</w:t>
      </w:r>
      <w:r w:rsidR="00A954D0">
        <w:rPr>
          <w:rFonts w:ascii="Bookman Old Style" w:hAnsi="Bookman Old Style" w:cs="Arial"/>
          <w:lang w:val="id-ID"/>
        </w:rPr>
        <w:t xml:space="preserve"> </w:t>
      </w:r>
      <w:r w:rsidRPr="00BF3751">
        <w:rPr>
          <w:rFonts w:ascii="Bookman Old Style" w:hAnsi="Bookman Old Style" w:cs="Arial"/>
          <w:lang w:val="id-ID"/>
        </w:rPr>
        <w:t>penggunaan</w:t>
      </w:r>
      <w:r w:rsidR="00A954D0">
        <w:rPr>
          <w:rFonts w:ascii="Bookman Old Style" w:hAnsi="Bookman Old Style" w:cs="Arial"/>
          <w:lang w:val="id-ID"/>
        </w:rPr>
        <w:t xml:space="preserve"> </w:t>
      </w:r>
      <w:r w:rsidRPr="00BF3751">
        <w:rPr>
          <w:rFonts w:ascii="Bookman Old Style" w:hAnsi="Bookman Old Style" w:cs="Arial"/>
          <w:lang w:val="id-ID"/>
        </w:rPr>
        <w:t>kendaraan</w:t>
      </w:r>
      <w:r w:rsidR="00A954D0">
        <w:rPr>
          <w:rFonts w:ascii="Bookman Old Style" w:hAnsi="Bookman Old Style" w:cs="Arial"/>
          <w:lang w:val="id-ID"/>
        </w:rPr>
        <w:t xml:space="preserve"> </w:t>
      </w:r>
      <w:r w:rsidRPr="00BF3751">
        <w:rPr>
          <w:rFonts w:ascii="Bookman Old Style" w:hAnsi="Bookman Old Style" w:cs="Arial"/>
          <w:lang w:val="id-ID"/>
        </w:rPr>
        <w:t>bermotor</w:t>
      </w:r>
      <w:r w:rsidR="00A954D0">
        <w:rPr>
          <w:rFonts w:ascii="Bookman Old Style" w:hAnsi="Bookman Old Style" w:cs="Arial"/>
          <w:lang w:val="id-ID"/>
        </w:rPr>
        <w:t xml:space="preserve"> </w:t>
      </w:r>
      <w:r w:rsidRPr="00BF3751">
        <w:rPr>
          <w:rFonts w:ascii="Bookman Old Style" w:hAnsi="Bookman Old Style" w:cs="Arial"/>
          <w:lang w:val="id-ID"/>
        </w:rPr>
        <w:t>listrik</w:t>
      </w:r>
      <w:r w:rsidR="00A954D0">
        <w:rPr>
          <w:rFonts w:ascii="Bookman Old Style" w:hAnsi="Bookman Old Style" w:cs="Arial"/>
          <w:lang w:val="id-ID"/>
        </w:rPr>
        <w:t xml:space="preserve"> </w:t>
      </w:r>
      <w:r w:rsidRPr="00BF3751">
        <w:rPr>
          <w:rFonts w:ascii="Bookman Old Style" w:hAnsi="Bookman Old Style" w:cs="Arial"/>
          <w:lang w:val="id-ID"/>
        </w:rPr>
        <w:t>berbasis</w:t>
      </w:r>
      <w:r w:rsidR="00A954D0">
        <w:rPr>
          <w:rFonts w:ascii="Bookman Old Style" w:hAnsi="Bookman Old Style" w:cs="Arial"/>
          <w:lang w:val="id-ID"/>
        </w:rPr>
        <w:t xml:space="preserve"> </w:t>
      </w:r>
      <w:r w:rsidRPr="00BF3751">
        <w:rPr>
          <w:rFonts w:ascii="Bookman Old Style" w:hAnsi="Bookman Old Style" w:cs="Arial"/>
          <w:lang w:val="id-ID"/>
        </w:rPr>
        <w:t>baterai</w:t>
      </w:r>
      <w:r w:rsidR="00A954D0">
        <w:rPr>
          <w:rFonts w:ascii="Bookman Old Style" w:hAnsi="Bookman Old Style" w:cs="Arial"/>
          <w:lang w:val="id-ID"/>
        </w:rPr>
        <w:t xml:space="preserve"> </w:t>
      </w:r>
      <w:r w:rsidRPr="00BF3751">
        <w:rPr>
          <w:rFonts w:ascii="Bookman Old Style" w:hAnsi="Bookman Old Style" w:cs="Arial"/>
          <w:i/>
          <w:lang w:val="id-ID"/>
        </w:rPr>
        <w:t>(battery</w:t>
      </w:r>
      <w:r w:rsidR="00A954D0">
        <w:rPr>
          <w:rFonts w:ascii="Bookman Old Style" w:hAnsi="Bookman Old Style" w:cs="Arial"/>
          <w:i/>
          <w:lang w:val="id-ID"/>
        </w:rPr>
        <w:t xml:space="preserve"> </w:t>
      </w:r>
      <w:r w:rsidRPr="00BF3751">
        <w:rPr>
          <w:rFonts w:ascii="Bookman Old Style" w:hAnsi="Bookman Old Style" w:cs="Arial"/>
          <w:i/>
          <w:lang w:val="id-ID"/>
        </w:rPr>
        <w:t>electric</w:t>
      </w:r>
      <w:r w:rsidR="00A954D0">
        <w:rPr>
          <w:rFonts w:ascii="Bookman Old Style" w:hAnsi="Bookman Old Style" w:cs="Arial"/>
          <w:i/>
          <w:lang w:val="id-ID"/>
        </w:rPr>
        <w:t xml:space="preserve"> </w:t>
      </w:r>
      <w:r w:rsidRPr="00BF3751">
        <w:rPr>
          <w:rFonts w:ascii="Bookman Old Style" w:hAnsi="Bookman Old Style" w:cs="Arial"/>
          <w:i/>
          <w:lang w:val="id-ID"/>
        </w:rPr>
        <w:t>vehicle)</w:t>
      </w:r>
      <w:r w:rsidR="00A954D0">
        <w:rPr>
          <w:rFonts w:ascii="Bookman Old Style" w:hAnsi="Bookman Old Style" w:cs="Arial"/>
          <w:lang w:val="id-ID"/>
        </w:rPr>
        <w:t xml:space="preserve"> </w:t>
      </w:r>
      <w:r w:rsidRPr="00BF3751">
        <w:rPr>
          <w:rFonts w:ascii="Bookman Old Style" w:hAnsi="Bookman Old Style" w:cs="Arial"/>
          <w:lang w:val="id-ID"/>
        </w:rPr>
        <w:t>sebagai</w:t>
      </w:r>
      <w:r w:rsidR="00A954D0">
        <w:rPr>
          <w:rFonts w:ascii="Bookman Old Style" w:hAnsi="Bookman Old Style" w:cs="Arial"/>
          <w:lang w:val="id-ID"/>
        </w:rPr>
        <w:t xml:space="preserve"> </w:t>
      </w:r>
      <w:r w:rsidRPr="00BF3751">
        <w:rPr>
          <w:rFonts w:ascii="Bookman Old Style" w:hAnsi="Bookman Old Style" w:cs="Arial"/>
          <w:lang w:val="id-ID"/>
        </w:rPr>
        <w:t>kendaraan</w:t>
      </w:r>
      <w:r w:rsidR="00A954D0">
        <w:rPr>
          <w:rFonts w:ascii="Bookman Old Style" w:hAnsi="Bookman Old Style" w:cs="Arial"/>
          <w:lang w:val="id-ID"/>
        </w:rPr>
        <w:t xml:space="preserve"> </w:t>
      </w:r>
      <w:r w:rsidRPr="00BF3751">
        <w:rPr>
          <w:rFonts w:ascii="Bookman Old Style" w:hAnsi="Bookman Old Style" w:cs="Arial"/>
          <w:lang w:val="id-ID"/>
        </w:rPr>
        <w:t>dinas</w:t>
      </w:r>
      <w:r w:rsidR="00A954D0">
        <w:rPr>
          <w:rFonts w:ascii="Bookman Old Style" w:hAnsi="Bookman Old Style" w:cs="Arial"/>
          <w:lang w:val="id-ID"/>
        </w:rPr>
        <w:t xml:space="preserve"> </w:t>
      </w:r>
      <w:r w:rsidRPr="00BF3751">
        <w:rPr>
          <w:rFonts w:ascii="Bookman Old Style" w:hAnsi="Bookman Old Style" w:cs="Arial"/>
          <w:lang w:val="id-ID"/>
        </w:rPr>
        <w:t>operasional</w:t>
      </w:r>
      <w:r w:rsidR="00A954D0">
        <w:rPr>
          <w:rFonts w:ascii="Bookman Old Style" w:hAnsi="Bookman Old Style" w:cs="Arial"/>
          <w:lang w:val="id-ID"/>
        </w:rPr>
        <w:t xml:space="preserve"> </w:t>
      </w:r>
      <w:r w:rsidRPr="00BF3751">
        <w:rPr>
          <w:rFonts w:ascii="Bookman Old Style" w:hAnsi="Bookman Old Style" w:cs="Arial"/>
          <w:lang w:val="id-ID"/>
        </w:rPr>
        <w:t>dan/atau</w:t>
      </w:r>
      <w:r w:rsidR="00A954D0">
        <w:rPr>
          <w:rFonts w:ascii="Bookman Old Style" w:hAnsi="Bookman Old Style" w:cs="Arial"/>
          <w:lang w:val="id-ID"/>
        </w:rPr>
        <w:t xml:space="preserve"> </w:t>
      </w:r>
      <w:r w:rsidRPr="00BF3751">
        <w:rPr>
          <w:rFonts w:ascii="Bookman Old Style" w:hAnsi="Bookman Old Style" w:cs="Arial"/>
          <w:lang w:val="id-ID"/>
        </w:rPr>
        <w:t>kendaraan</w:t>
      </w:r>
      <w:r w:rsidR="00A954D0">
        <w:rPr>
          <w:rFonts w:ascii="Bookman Old Style" w:hAnsi="Bookman Old Style" w:cs="Arial"/>
          <w:lang w:val="id-ID"/>
        </w:rPr>
        <w:t xml:space="preserve"> </w:t>
      </w:r>
      <w:r w:rsidRPr="00BF3751">
        <w:rPr>
          <w:rFonts w:ascii="Bookman Old Style" w:hAnsi="Bookman Old Style" w:cs="Arial"/>
          <w:lang w:val="id-ID"/>
        </w:rPr>
        <w:t>perorangan</w:t>
      </w:r>
      <w:r w:rsidR="00A954D0">
        <w:rPr>
          <w:rFonts w:ascii="Bookman Old Style" w:hAnsi="Bookman Old Style" w:cs="Arial"/>
          <w:lang w:val="id-ID"/>
        </w:rPr>
        <w:t xml:space="preserve"> </w:t>
      </w:r>
      <w:r w:rsidRPr="00BF3751">
        <w:rPr>
          <w:rFonts w:ascii="Bookman Old Style" w:hAnsi="Bookman Old Style" w:cs="Arial"/>
          <w:lang w:val="id-ID"/>
        </w:rPr>
        <w:t>dinas</w:t>
      </w:r>
      <w:r w:rsidR="00A954D0">
        <w:rPr>
          <w:rFonts w:ascii="Bookman Old Style" w:hAnsi="Bookman Old Style" w:cs="Arial"/>
          <w:lang w:val="id-ID"/>
        </w:rPr>
        <w:t xml:space="preserve"> </w:t>
      </w:r>
      <w:r w:rsidRPr="00BF3751">
        <w:rPr>
          <w:rFonts w:ascii="Bookman Old Style" w:hAnsi="Bookman Old Style" w:cs="Arial"/>
          <w:lang w:val="id-ID"/>
        </w:rPr>
        <w:t>instansi</w:t>
      </w:r>
      <w:r w:rsidR="00A954D0">
        <w:rPr>
          <w:rFonts w:ascii="Bookman Old Style" w:hAnsi="Bookman Old Style" w:cs="Arial"/>
          <w:lang w:val="id-ID"/>
        </w:rPr>
        <w:t xml:space="preserve"> </w:t>
      </w:r>
      <w:r w:rsidRPr="00BF3751">
        <w:rPr>
          <w:rFonts w:ascii="Bookman Old Style" w:hAnsi="Bookman Old Style" w:cs="Arial"/>
          <w:lang w:val="id-ID"/>
        </w:rPr>
        <w:t>pemerintahan</w:t>
      </w:r>
      <w:r w:rsidR="00A954D0">
        <w:rPr>
          <w:rFonts w:ascii="Bookman Old Style" w:hAnsi="Bookman Old Style" w:cs="Arial"/>
          <w:lang w:val="id-ID"/>
        </w:rPr>
        <w:t xml:space="preserve"> </w:t>
      </w:r>
      <w:r w:rsidRPr="00BF3751">
        <w:rPr>
          <w:rFonts w:ascii="Bookman Old Style" w:hAnsi="Bookman Old Style" w:cs="Arial"/>
          <w:lang w:val="id-ID"/>
        </w:rPr>
        <w:t>daerah,</w:t>
      </w:r>
      <w:r w:rsidR="00A954D0">
        <w:rPr>
          <w:rFonts w:ascii="Bookman Old Style" w:hAnsi="Bookman Old Style" w:cs="Arial"/>
          <w:lang w:val="id-ID"/>
        </w:rPr>
        <w:t xml:space="preserve"> </w:t>
      </w:r>
      <w:r w:rsidRPr="00BF3751">
        <w:rPr>
          <w:rFonts w:ascii="Bookman Old Style" w:hAnsi="Bookman Old Style" w:cs="Arial"/>
          <w:lang w:val="id-ID"/>
        </w:rPr>
        <w:t>Pemerintah</w:t>
      </w:r>
      <w:r w:rsidR="00A954D0">
        <w:rPr>
          <w:rFonts w:ascii="Bookman Old Style" w:hAnsi="Bookman Old Style" w:cs="Arial"/>
          <w:lang w:val="id-ID"/>
        </w:rPr>
        <w:t xml:space="preserve"> </w:t>
      </w:r>
      <w:r w:rsidRPr="00BF3751">
        <w:rPr>
          <w:rFonts w:ascii="Bookman Old Style" w:hAnsi="Bookman Old Style" w:cs="Arial"/>
          <w:lang w:val="id-ID"/>
        </w:rPr>
        <w:lastRenderedPageBreak/>
        <w:t>Daerah</w:t>
      </w:r>
      <w:r w:rsidR="00A954D0">
        <w:rPr>
          <w:rFonts w:ascii="Bookman Old Style" w:hAnsi="Bookman Old Style" w:cs="Arial"/>
          <w:lang w:val="id-ID"/>
        </w:rPr>
        <w:t xml:space="preserve"> </w:t>
      </w:r>
      <w:r w:rsidR="00046408" w:rsidRPr="00BF3751">
        <w:rPr>
          <w:rFonts w:ascii="Bookman Old Style" w:hAnsi="Bookman Old Style"/>
          <w:lang w:val="id-ID"/>
        </w:rPr>
        <w:t>Kota</w:t>
      </w:r>
      <w:r w:rsidR="00A954D0">
        <w:rPr>
          <w:rFonts w:ascii="Bookman Old Style" w:hAnsi="Bookman Old Style"/>
          <w:lang w:val="id-ID"/>
        </w:rPr>
        <w:t xml:space="preserve"> </w:t>
      </w:r>
      <w:r w:rsidR="00770F22" w:rsidRPr="00953DC9">
        <w:rPr>
          <w:rFonts w:ascii="Bookman Old Style" w:hAnsi="Bookman Old Style"/>
          <w:lang w:val="sv-FI"/>
        </w:rPr>
        <w:t>Tangerang</w:t>
      </w:r>
      <w:r w:rsidR="00A954D0">
        <w:rPr>
          <w:rFonts w:ascii="Bookman Old Style" w:hAnsi="Bookman Old Style"/>
          <w:lang w:val="id-ID"/>
        </w:rPr>
        <w:t xml:space="preserve"> </w:t>
      </w:r>
      <w:r w:rsidRPr="00BF3751">
        <w:rPr>
          <w:rFonts w:ascii="Bookman Old Style" w:hAnsi="Bookman Old Style" w:cs="Arial"/>
          <w:lang w:val="id-ID"/>
        </w:rPr>
        <w:t>untuk</w:t>
      </w:r>
      <w:r w:rsidR="00A954D0">
        <w:rPr>
          <w:rFonts w:ascii="Bookman Old Style" w:hAnsi="Bookman Old Style" w:cs="Arial"/>
          <w:lang w:val="id-ID"/>
        </w:rPr>
        <w:t xml:space="preserve"> </w:t>
      </w:r>
      <w:r w:rsidRPr="00BF3751">
        <w:rPr>
          <w:rFonts w:ascii="Bookman Old Style" w:hAnsi="Bookman Old Style" w:cs="Arial"/>
          <w:lang w:val="id-ID"/>
        </w:rPr>
        <w:t>melakukan</w:t>
      </w:r>
      <w:r w:rsidR="00A954D0">
        <w:rPr>
          <w:rFonts w:ascii="Bookman Old Style" w:hAnsi="Bookman Old Style" w:cs="Arial"/>
          <w:lang w:val="id-ID"/>
        </w:rPr>
        <w:t xml:space="preserve"> </w:t>
      </w:r>
      <w:r w:rsidRPr="00BF3751">
        <w:rPr>
          <w:rFonts w:ascii="Bookman Old Style" w:hAnsi="Bookman Old Style" w:cs="Arial"/>
          <w:lang w:val="id-ID"/>
        </w:rPr>
        <w:t>langkah-langkah</w:t>
      </w:r>
      <w:r w:rsidR="00A954D0">
        <w:rPr>
          <w:rFonts w:ascii="Bookman Old Style" w:hAnsi="Bookman Old Style" w:cs="Arial"/>
          <w:lang w:val="id-ID"/>
        </w:rPr>
        <w:t xml:space="preserve"> </w:t>
      </w:r>
      <w:r w:rsidRPr="00BF3751">
        <w:rPr>
          <w:rFonts w:ascii="Bookman Old Style" w:hAnsi="Bookman Old Style" w:cs="Arial"/>
          <w:lang w:val="id-ID"/>
        </w:rPr>
        <w:t>percepatan</w:t>
      </w:r>
      <w:r w:rsidR="00A954D0">
        <w:rPr>
          <w:rFonts w:ascii="Bookman Old Style" w:hAnsi="Bookman Old Style" w:cs="Arial"/>
          <w:lang w:val="id-ID"/>
        </w:rPr>
        <w:t xml:space="preserve"> </w:t>
      </w:r>
      <w:r w:rsidRPr="00BF3751">
        <w:rPr>
          <w:rFonts w:ascii="Bookman Old Style" w:hAnsi="Bookman Old Style" w:cs="Arial"/>
          <w:lang w:val="id-ID"/>
        </w:rPr>
        <w:t>pelaksanaan</w:t>
      </w:r>
      <w:r w:rsidR="00A954D0">
        <w:rPr>
          <w:rFonts w:ascii="Bookman Old Style" w:hAnsi="Bookman Old Style" w:cs="Arial"/>
          <w:lang w:val="id-ID"/>
        </w:rPr>
        <w:t xml:space="preserve"> </w:t>
      </w:r>
      <w:r w:rsidRPr="00BF3751">
        <w:rPr>
          <w:rFonts w:ascii="Bookman Old Style" w:hAnsi="Bookman Old Style" w:cs="Arial"/>
          <w:lang w:val="id-ID"/>
        </w:rPr>
        <w:t>program</w:t>
      </w:r>
      <w:r w:rsidR="00A954D0">
        <w:rPr>
          <w:rFonts w:ascii="Bookman Old Style" w:hAnsi="Bookman Old Style" w:cs="Arial"/>
          <w:lang w:val="id-ID"/>
        </w:rPr>
        <w:t xml:space="preserve"> </w:t>
      </w:r>
      <w:r w:rsidRPr="00BF3751">
        <w:rPr>
          <w:rFonts w:ascii="Bookman Old Style" w:hAnsi="Bookman Old Style" w:cs="Arial"/>
          <w:lang w:val="id-ID"/>
        </w:rPr>
        <w:t>dimaksud</w:t>
      </w:r>
      <w:r w:rsidR="00A954D0">
        <w:rPr>
          <w:rFonts w:ascii="Bookman Old Style" w:hAnsi="Bookman Old Style" w:cs="Arial"/>
          <w:lang w:val="id-ID"/>
        </w:rPr>
        <w:t xml:space="preserve"> </w:t>
      </w:r>
      <w:r w:rsidRPr="00BF3751">
        <w:rPr>
          <w:rFonts w:ascii="Bookman Old Style" w:hAnsi="Bookman Old Style" w:cs="Arial"/>
          <w:lang w:val="id-ID"/>
        </w:rPr>
        <w:t>antara</w:t>
      </w:r>
      <w:r w:rsidR="00A954D0">
        <w:rPr>
          <w:rFonts w:ascii="Bookman Old Style" w:hAnsi="Bookman Old Style" w:cs="Arial"/>
          <w:lang w:val="id-ID"/>
        </w:rPr>
        <w:t xml:space="preserve"> </w:t>
      </w:r>
      <w:r w:rsidRPr="00BF3751">
        <w:rPr>
          <w:rFonts w:ascii="Bookman Old Style" w:hAnsi="Bookman Old Style" w:cs="Arial"/>
          <w:lang w:val="id-ID"/>
        </w:rPr>
        <w:t>lain</w:t>
      </w:r>
      <w:r w:rsidR="00A954D0">
        <w:rPr>
          <w:rFonts w:ascii="Bookman Old Style" w:hAnsi="Bookman Old Style" w:cs="Arial"/>
          <w:lang w:val="id-ID"/>
        </w:rPr>
        <w:t xml:space="preserve"> </w:t>
      </w:r>
      <w:r w:rsidRPr="00BF3751">
        <w:rPr>
          <w:rFonts w:ascii="Bookman Old Style" w:hAnsi="Bookman Old Style" w:cs="Arial"/>
          <w:lang w:val="id-ID"/>
        </w:rPr>
        <w:t>yaitu:</w:t>
      </w:r>
    </w:p>
    <w:p w14:paraId="4A0E92B5" w14:textId="7B636BC5" w:rsidR="003374DF" w:rsidRPr="00BF3751" w:rsidRDefault="003374DF" w:rsidP="00DA7A4C">
      <w:pPr>
        <w:pStyle w:val="ListParagraph"/>
        <w:numPr>
          <w:ilvl w:val="0"/>
          <w:numId w:val="40"/>
        </w:numPr>
        <w:spacing w:before="60" w:after="0" w:line="276" w:lineRule="auto"/>
        <w:ind w:left="1276" w:hanging="283"/>
        <w:contextualSpacing w:val="0"/>
        <w:jc w:val="both"/>
        <w:rPr>
          <w:rFonts w:ascii="Bookman Old Style" w:hAnsi="Bookman Old Style" w:cs="Arial"/>
          <w:sz w:val="24"/>
          <w:szCs w:val="24"/>
        </w:rPr>
      </w:pPr>
      <w:r w:rsidRPr="00BF3751">
        <w:rPr>
          <w:rFonts w:ascii="Bookman Old Style" w:hAnsi="Bookman Old Style" w:cs="Arial"/>
          <w:sz w:val="24"/>
          <w:szCs w:val="24"/>
        </w:rPr>
        <w:t>menyusun</w:t>
      </w:r>
      <w:r w:rsidR="00A954D0">
        <w:rPr>
          <w:rFonts w:ascii="Bookman Old Style" w:hAnsi="Bookman Old Style" w:cs="Arial"/>
          <w:sz w:val="24"/>
          <w:szCs w:val="24"/>
        </w:rPr>
        <w:t xml:space="preserve"> </w:t>
      </w:r>
      <w:r w:rsidRPr="00BF3751">
        <w:rPr>
          <w:rFonts w:ascii="Bookman Old Style" w:hAnsi="Bookman Old Style" w:cs="Arial"/>
          <w:sz w:val="24"/>
          <w:szCs w:val="24"/>
        </w:rPr>
        <w:t>dan</w:t>
      </w:r>
      <w:r w:rsidR="00A954D0">
        <w:rPr>
          <w:rFonts w:ascii="Bookman Old Style" w:hAnsi="Bookman Old Style" w:cs="Arial"/>
          <w:sz w:val="24"/>
          <w:szCs w:val="24"/>
        </w:rPr>
        <w:t xml:space="preserve"> </w:t>
      </w:r>
      <w:r w:rsidRPr="00BF3751">
        <w:rPr>
          <w:rFonts w:ascii="Bookman Old Style" w:hAnsi="Bookman Old Style" w:cs="Arial"/>
          <w:sz w:val="24"/>
          <w:szCs w:val="24"/>
        </w:rPr>
        <w:t>menetapkan</w:t>
      </w:r>
      <w:r w:rsidR="00A954D0">
        <w:rPr>
          <w:rFonts w:ascii="Bookman Old Style" w:hAnsi="Bookman Old Style" w:cs="Arial"/>
          <w:sz w:val="24"/>
          <w:szCs w:val="24"/>
        </w:rPr>
        <w:t xml:space="preserve"> </w:t>
      </w:r>
      <w:r w:rsidRPr="00BF3751">
        <w:rPr>
          <w:rFonts w:ascii="Bookman Old Style" w:hAnsi="Bookman Old Style" w:cs="Arial"/>
          <w:sz w:val="24"/>
          <w:szCs w:val="24"/>
        </w:rPr>
        <w:t>Peraturan</w:t>
      </w:r>
      <w:r w:rsidR="00A954D0">
        <w:rPr>
          <w:rFonts w:ascii="Bookman Old Style" w:hAnsi="Bookman Old Style" w:cs="Arial"/>
          <w:sz w:val="24"/>
          <w:szCs w:val="24"/>
        </w:rPr>
        <w:t xml:space="preserve"> </w:t>
      </w:r>
      <w:r w:rsidRPr="00BF3751">
        <w:rPr>
          <w:rFonts w:ascii="Bookman Old Style" w:hAnsi="Bookman Old Style" w:cs="Arial"/>
          <w:sz w:val="24"/>
          <w:szCs w:val="24"/>
        </w:rPr>
        <w:t>Kepala</w:t>
      </w:r>
      <w:r w:rsidR="00A954D0">
        <w:rPr>
          <w:rFonts w:ascii="Bookman Old Style" w:hAnsi="Bookman Old Style" w:cs="Arial"/>
          <w:sz w:val="24"/>
          <w:szCs w:val="24"/>
        </w:rPr>
        <w:t xml:space="preserve"> </w:t>
      </w:r>
      <w:r w:rsidRPr="00BF3751">
        <w:rPr>
          <w:rFonts w:ascii="Bookman Old Style" w:hAnsi="Bookman Old Style" w:cs="Arial"/>
          <w:sz w:val="24"/>
          <w:szCs w:val="24"/>
        </w:rPr>
        <w:t>Daerah</w:t>
      </w:r>
      <w:r w:rsidR="00A954D0">
        <w:rPr>
          <w:rFonts w:ascii="Bookman Old Style" w:hAnsi="Bookman Old Style" w:cs="Arial"/>
          <w:sz w:val="24"/>
          <w:szCs w:val="24"/>
        </w:rPr>
        <w:t xml:space="preserve"> </w:t>
      </w:r>
      <w:r w:rsidRPr="00BF3751">
        <w:rPr>
          <w:rFonts w:ascii="Bookman Old Style" w:hAnsi="Bookman Old Style" w:cs="Arial"/>
          <w:sz w:val="24"/>
          <w:szCs w:val="24"/>
        </w:rPr>
        <w:t>dan</w:t>
      </w:r>
      <w:r w:rsidR="00A954D0">
        <w:rPr>
          <w:rFonts w:ascii="Bookman Old Style" w:hAnsi="Bookman Old Style" w:cs="Arial"/>
          <w:sz w:val="24"/>
          <w:szCs w:val="24"/>
        </w:rPr>
        <w:t xml:space="preserve"> </w:t>
      </w:r>
      <w:r w:rsidRPr="00BF3751">
        <w:rPr>
          <w:rFonts w:ascii="Bookman Old Style" w:hAnsi="Bookman Old Style" w:cs="Arial"/>
          <w:sz w:val="24"/>
          <w:szCs w:val="24"/>
        </w:rPr>
        <w:t>alokasi</w:t>
      </w:r>
      <w:r w:rsidR="00A954D0">
        <w:rPr>
          <w:rFonts w:ascii="Bookman Old Style" w:hAnsi="Bookman Old Style" w:cs="Arial"/>
          <w:sz w:val="24"/>
          <w:szCs w:val="24"/>
        </w:rPr>
        <w:t xml:space="preserve"> </w:t>
      </w:r>
      <w:r w:rsidRPr="00BF3751">
        <w:rPr>
          <w:rFonts w:ascii="Bookman Old Style" w:hAnsi="Bookman Old Style" w:cs="Arial"/>
          <w:sz w:val="24"/>
          <w:szCs w:val="24"/>
        </w:rPr>
        <w:t>anggaran</w:t>
      </w:r>
      <w:r w:rsidR="00A954D0">
        <w:rPr>
          <w:rFonts w:ascii="Bookman Old Style" w:hAnsi="Bookman Old Style" w:cs="Arial"/>
          <w:sz w:val="24"/>
          <w:szCs w:val="24"/>
        </w:rPr>
        <w:t xml:space="preserve"> </w:t>
      </w:r>
      <w:r w:rsidRPr="00BF3751">
        <w:rPr>
          <w:rFonts w:ascii="Bookman Old Style" w:hAnsi="Bookman Old Style" w:cs="Arial"/>
          <w:sz w:val="24"/>
          <w:szCs w:val="24"/>
        </w:rPr>
        <w:t>dalam</w:t>
      </w:r>
      <w:r w:rsidR="00A954D0">
        <w:rPr>
          <w:rFonts w:ascii="Bookman Old Style" w:hAnsi="Bookman Old Style" w:cs="Arial"/>
          <w:sz w:val="24"/>
          <w:szCs w:val="24"/>
        </w:rPr>
        <w:t xml:space="preserve"> </w:t>
      </w:r>
      <w:r w:rsidRPr="00BF3751">
        <w:rPr>
          <w:rFonts w:ascii="Bookman Old Style" w:hAnsi="Bookman Old Style" w:cs="Arial"/>
          <w:sz w:val="24"/>
          <w:szCs w:val="24"/>
        </w:rPr>
        <w:t>rangka</w:t>
      </w:r>
      <w:r w:rsidR="00A954D0">
        <w:rPr>
          <w:rFonts w:ascii="Bookman Old Style" w:hAnsi="Bookman Old Style" w:cs="Arial"/>
          <w:sz w:val="24"/>
          <w:szCs w:val="24"/>
        </w:rPr>
        <w:t xml:space="preserve"> </w:t>
      </w:r>
      <w:r w:rsidRPr="00BF3751">
        <w:rPr>
          <w:rFonts w:ascii="Bookman Old Style" w:hAnsi="Bookman Old Style" w:cs="Arial"/>
          <w:sz w:val="24"/>
          <w:szCs w:val="24"/>
        </w:rPr>
        <w:t>mendukung</w:t>
      </w:r>
      <w:r w:rsidR="00A954D0">
        <w:rPr>
          <w:rFonts w:ascii="Bookman Old Style" w:hAnsi="Bookman Old Style" w:cs="Arial"/>
          <w:sz w:val="24"/>
          <w:szCs w:val="24"/>
        </w:rPr>
        <w:t xml:space="preserve"> </w:t>
      </w:r>
      <w:r w:rsidRPr="00BF3751">
        <w:rPr>
          <w:rFonts w:ascii="Bookman Old Style" w:hAnsi="Bookman Old Style" w:cs="Arial"/>
          <w:sz w:val="24"/>
          <w:szCs w:val="24"/>
        </w:rPr>
        <w:t>percepatan</w:t>
      </w:r>
      <w:r w:rsidR="00A954D0">
        <w:rPr>
          <w:rFonts w:ascii="Bookman Old Style" w:hAnsi="Bookman Old Style" w:cs="Arial"/>
          <w:sz w:val="24"/>
          <w:szCs w:val="24"/>
        </w:rPr>
        <w:t xml:space="preserve"> </w:t>
      </w:r>
      <w:r w:rsidRPr="00BF3751">
        <w:rPr>
          <w:rFonts w:ascii="Bookman Old Style" w:hAnsi="Bookman Old Style" w:cs="Arial"/>
          <w:sz w:val="24"/>
          <w:szCs w:val="24"/>
        </w:rPr>
        <w:t>pelaksanaan</w:t>
      </w:r>
      <w:r w:rsidR="00A954D0">
        <w:rPr>
          <w:rFonts w:ascii="Bookman Old Style" w:hAnsi="Bookman Old Style" w:cs="Arial"/>
          <w:sz w:val="24"/>
          <w:szCs w:val="24"/>
        </w:rPr>
        <w:t xml:space="preserve"> </w:t>
      </w:r>
      <w:r w:rsidRPr="00BF3751">
        <w:rPr>
          <w:rFonts w:ascii="Bookman Old Style" w:hAnsi="Bookman Old Style" w:cs="Arial"/>
          <w:sz w:val="24"/>
          <w:szCs w:val="24"/>
        </w:rPr>
        <w:t>program</w:t>
      </w:r>
      <w:r w:rsidR="00A954D0">
        <w:rPr>
          <w:rFonts w:ascii="Bookman Old Style" w:hAnsi="Bookman Old Style" w:cs="Arial"/>
          <w:sz w:val="24"/>
          <w:szCs w:val="24"/>
        </w:rPr>
        <w:t xml:space="preserve"> </w:t>
      </w:r>
      <w:r w:rsidRPr="00BF3751">
        <w:rPr>
          <w:rFonts w:ascii="Bookman Old Style" w:hAnsi="Bookman Old Style" w:cs="Arial"/>
          <w:sz w:val="24"/>
          <w:szCs w:val="24"/>
        </w:rPr>
        <w:t>penggunaan</w:t>
      </w:r>
      <w:r w:rsidR="00A954D0">
        <w:rPr>
          <w:rFonts w:ascii="Bookman Old Style" w:hAnsi="Bookman Old Style" w:cs="Arial"/>
          <w:sz w:val="24"/>
          <w:szCs w:val="24"/>
        </w:rPr>
        <w:t xml:space="preserve"> </w:t>
      </w:r>
      <w:r w:rsidRPr="00BF3751">
        <w:rPr>
          <w:rFonts w:ascii="Bookman Old Style" w:hAnsi="Bookman Old Style" w:cs="Arial"/>
          <w:sz w:val="24"/>
          <w:szCs w:val="24"/>
        </w:rPr>
        <w:t>kendaraan</w:t>
      </w:r>
      <w:r w:rsidR="00A954D0">
        <w:rPr>
          <w:rFonts w:ascii="Bookman Old Style" w:hAnsi="Bookman Old Style" w:cs="Arial"/>
          <w:sz w:val="24"/>
          <w:szCs w:val="24"/>
        </w:rPr>
        <w:t xml:space="preserve"> </w:t>
      </w:r>
      <w:r w:rsidRPr="00BF3751">
        <w:rPr>
          <w:rFonts w:ascii="Bookman Old Style" w:hAnsi="Bookman Old Style" w:cs="Arial"/>
          <w:sz w:val="24"/>
          <w:szCs w:val="24"/>
        </w:rPr>
        <w:t>bermotor</w:t>
      </w:r>
      <w:r w:rsidR="00A954D0">
        <w:rPr>
          <w:rFonts w:ascii="Bookman Old Style" w:hAnsi="Bookman Old Style" w:cs="Arial"/>
          <w:sz w:val="24"/>
          <w:szCs w:val="24"/>
        </w:rPr>
        <w:t xml:space="preserve"> </w:t>
      </w:r>
      <w:r w:rsidRPr="00BF3751">
        <w:rPr>
          <w:rFonts w:ascii="Bookman Old Style" w:hAnsi="Bookman Old Style" w:cs="Arial"/>
          <w:sz w:val="24"/>
          <w:szCs w:val="24"/>
        </w:rPr>
        <w:t>listrik</w:t>
      </w:r>
      <w:r w:rsidR="00A954D0">
        <w:rPr>
          <w:rFonts w:ascii="Bookman Old Style" w:hAnsi="Bookman Old Style" w:cs="Arial"/>
          <w:sz w:val="24"/>
          <w:szCs w:val="24"/>
        </w:rPr>
        <w:t xml:space="preserve"> </w:t>
      </w:r>
      <w:r w:rsidRPr="00BF3751">
        <w:rPr>
          <w:rFonts w:ascii="Bookman Old Style" w:hAnsi="Bookman Old Style" w:cs="Arial"/>
          <w:sz w:val="24"/>
          <w:szCs w:val="24"/>
        </w:rPr>
        <w:t>berbasis</w:t>
      </w:r>
      <w:r w:rsidR="00A954D0">
        <w:rPr>
          <w:rFonts w:ascii="Bookman Old Style" w:hAnsi="Bookman Old Style" w:cs="Arial"/>
          <w:sz w:val="24"/>
          <w:szCs w:val="24"/>
        </w:rPr>
        <w:t xml:space="preserve"> </w:t>
      </w:r>
      <w:r w:rsidRPr="00BF3751">
        <w:rPr>
          <w:rFonts w:ascii="Bookman Old Style" w:hAnsi="Bookman Old Style" w:cs="Arial"/>
          <w:sz w:val="24"/>
          <w:szCs w:val="24"/>
        </w:rPr>
        <w:t>baterai</w:t>
      </w:r>
      <w:r w:rsidR="00A954D0">
        <w:rPr>
          <w:rFonts w:ascii="Bookman Old Style" w:hAnsi="Bookman Old Style" w:cs="Arial"/>
          <w:sz w:val="24"/>
          <w:szCs w:val="24"/>
        </w:rPr>
        <w:t xml:space="preserve"> </w:t>
      </w:r>
      <w:r w:rsidRPr="00BF3751">
        <w:rPr>
          <w:rFonts w:ascii="Bookman Old Style" w:hAnsi="Bookman Old Style" w:cs="Arial"/>
          <w:i/>
          <w:sz w:val="24"/>
          <w:szCs w:val="24"/>
        </w:rPr>
        <w:t>(battery</w:t>
      </w:r>
      <w:r w:rsidR="00A954D0">
        <w:rPr>
          <w:rFonts w:ascii="Bookman Old Style" w:hAnsi="Bookman Old Style" w:cs="Arial"/>
          <w:i/>
          <w:sz w:val="24"/>
          <w:szCs w:val="24"/>
        </w:rPr>
        <w:t xml:space="preserve"> </w:t>
      </w:r>
      <w:r w:rsidRPr="00BF3751">
        <w:rPr>
          <w:rFonts w:ascii="Bookman Old Style" w:hAnsi="Bookman Old Style" w:cs="Arial"/>
          <w:i/>
          <w:sz w:val="24"/>
          <w:szCs w:val="24"/>
        </w:rPr>
        <w:t>electric</w:t>
      </w:r>
      <w:r w:rsidR="00A954D0">
        <w:rPr>
          <w:rFonts w:ascii="Bookman Old Style" w:hAnsi="Bookman Old Style" w:cs="Arial"/>
          <w:i/>
          <w:sz w:val="24"/>
          <w:szCs w:val="24"/>
        </w:rPr>
        <w:t xml:space="preserve"> </w:t>
      </w:r>
      <w:r w:rsidRPr="00BF3751">
        <w:rPr>
          <w:rFonts w:ascii="Bookman Old Style" w:hAnsi="Bookman Old Style" w:cs="Arial"/>
          <w:i/>
          <w:sz w:val="24"/>
          <w:szCs w:val="24"/>
        </w:rPr>
        <w:t>vehicle)</w:t>
      </w:r>
      <w:r w:rsidR="00A954D0">
        <w:rPr>
          <w:rFonts w:ascii="Bookman Old Style" w:hAnsi="Bookman Old Style" w:cs="Arial"/>
          <w:sz w:val="24"/>
          <w:szCs w:val="24"/>
        </w:rPr>
        <w:t xml:space="preserve"> </w:t>
      </w:r>
      <w:r w:rsidRPr="00BF3751">
        <w:rPr>
          <w:rFonts w:ascii="Bookman Old Style" w:hAnsi="Bookman Old Style" w:cs="Arial"/>
          <w:sz w:val="24"/>
          <w:szCs w:val="24"/>
        </w:rPr>
        <w:t>sebagai</w:t>
      </w:r>
      <w:r w:rsidR="00A954D0">
        <w:rPr>
          <w:rFonts w:ascii="Bookman Old Style" w:hAnsi="Bookman Old Style" w:cs="Arial"/>
          <w:sz w:val="24"/>
          <w:szCs w:val="24"/>
        </w:rPr>
        <w:t xml:space="preserve"> </w:t>
      </w:r>
      <w:r w:rsidRPr="00BF3751">
        <w:rPr>
          <w:rFonts w:ascii="Bookman Old Style" w:hAnsi="Bookman Old Style" w:cs="Arial"/>
          <w:sz w:val="24"/>
          <w:szCs w:val="24"/>
        </w:rPr>
        <w:t>kendaraan</w:t>
      </w:r>
      <w:r w:rsidR="00A954D0">
        <w:rPr>
          <w:rFonts w:ascii="Bookman Old Style" w:hAnsi="Bookman Old Style" w:cs="Arial"/>
          <w:sz w:val="24"/>
          <w:szCs w:val="24"/>
        </w:rPr>
        <w:t xml:space="preserve"> </w:t>
      </w:r>
      <w:r w:rsidRPr="00BF3751">
        <w:rPr>
          <w:rFonts w:ascii="Bookman Old Style" w:hAnsi="Bookman Old Style" w:cs="Arial"/>
          <w:sz w:val="24"/>
          <w:szCs w:val="24"/>
        </w:rPr>
        <w:t>dinas</w:t>
      </w:r>
      <w:r w:rsidR="00A954D0">
        <w:rPr>
          <w:rFonts w:ascii="Bookman Old Style" w:hAnsi="Bookman Old Style" w:cs="Arial"/>
          <w:sz w:val="24"/>
          <w:szCs w:val="24"/>
        </w:rPr>
        <w:t xml:space="preserve"> </w:t>
      </w:r>
      <w:r w:rsidRPr="00BF3751">
        <w:rPr>
          <w:rFonts w:ascii="Bookman Old Style" w:hAnsi="Bookman Old Style" w:cs="Arial"/>
          <w:sz w:val="24"/>
          <w:szCs w:val="24"/>
        </w:rPr>
        <w:t>operasional</w:t>
      </w:r>
      <w:r w:rsidR="00A954D0">
        <w:rPr>
          <w:rFonts w:ascii="Bookman Old Style" w:hAnsi="Bookman Old Style" w:cs="Arial"/>
          <w:sz w:val="24"/>
          <w:szCs w:val="24"/>
        </w:rPr>
        <w:t xml:space="preserve"> </w:t>
      </w:r>
      <w:r w:rsidRPr="00BF3751">
        <w:rPr>
          <w:rFonts w:ascii="Bookman Old Style" w:hAnsi="Bookman Old Style" w:cs="Arial"/>
          <w:sz w:val="24"/>
          <w:szCs w:val="24"/>
        </w:rPr>
        <w:t>dan/atau</w:t>
      </w:r>
      <w:r w:rsidR="00A954D0">
        <w:rPr>
          <w:rFonts w:ascii="Bookman Old Style" w:hAnsi="Bookman Old Style" w:cs="Arial"/>
          <w:sz w:val="24"/>
          <w:szCs w:val="24"/>
        </w:rPr>
        <w:t xml:space="preserve"> </w:t>
      </w:r>
      <w:r w:rsidRPr="00BF3751">
        <w:rPr>
          <w:rFonts w:ascii="Bookman Old Style" w:hAnsi="Bookman Old Style" w:cs="Arial"/>
          <w:sz w:val="24"/>
          <w:szCs w:val="24"/>
        </w:rPr>
        <w:t>kendaraan</w:t>
      </w:r>
      <w:r w:rsidR="00A954D0">
        <w:rPr>
          <w:rFonts w:ascii="Bookman Old Style" w:hAnsi="Bookman Old Style" w:cs="Arial"/>
          <w:sz w:val="24"/>
          <w:szCs w:val="24"/>
        </w:rPr>
        <w:t xml:space="preserve"> </w:t>
      </w:r>
      <w:r w:rsidRPr="00BF3751">
        <w:rPr>
          <w:rFonts w:ascii="Bookman Old Style" w:hAnsi="Bookman Old Style" w:cs="Arial"/>
          <w:sz w:val="24"/>
          <w:szCs w:val="24"/>
        </w:rPr>
        <w:t>perorangan</w:t>
      </w:r>
      <w:r w:rsidR="00A954D0">
        <w:rPr>
          <w:rFonts w:ascii="Bookman Old Style" w:hAnsi="Bookman Old Style" w:cs="Arial"/>
          <w:sz w:val="24"/>
          <w:szCs w:val="24"/>
        </w:rPr>
        <w:t xml:space="preserve"> </w:t>
      </w:r>
      <w:r w:rsidRPr="00BF3751">
        <w:rPr>
          <w:rFonts w:ascii="Bookman Old Style" w:hAnsi="Bookman Old Style" w:cs="Arial"/>
          <w:sz w:val="24"/>
          <w:szCs w:val="24"/>
        </w:rPr>
        <w:t>dinas</w:t>
      </w:r>
      <w:r w:rsidR="00A954D0">
        <w:rPr>
          <w:rFonts w:ascii="Bookman Old Style" w:hAnsi="Bookman Old Style" w:cs="Arial"/>
          <w:sz w:val="24"/>
          <w:szCs w:val="24"/>
        </w:rPr>
        <w:t xml:space="preserve"> </w:t>
      </w:r>
      <w:r w:rsidRPr="00BF3751">
        <w:rPr>
          <w:rFonts w:ascii="Bookman Old Style" w:hAnsi="Bookman Old Style" w:cs="Arial"/>
          <w:sz w:val="24"/>
          <w:szCs w:val="24"/>
        </w:rPr>
        <w:t>instansi</w:t>
      </w:r>
      <w:r w:rsidR="00A954D0">
        <w:rPr>
          <w:rFonts w:ascii="Bookman Old Style" w:hAnsi="Bookman Old Style" w:cs="Arial"/>
          <w:sz w:val="24"/>
          <w:szCs w:val="24"/>
        </w:rPr>
        <w:t xml:space="preserve"> </w:t>
      </w:r>
      <w:r w:rsidRPr="00BF3751">
        <w:rPr>
          <w:rFonts w:ascii="Bookman Old Style" w:hAnsi="Bookman Old Style" w:cs="Arial"/>
          <w:sz w:val="24"/>
          <w:szCs w:val="24"/>
        </w:rPr>
        <w:t>pemerintahan</w:t>
      </w:r>
      <w:r w:rsidR="00A954D0">
        <w:rPr>
          <w:rFonts w:ascii="Bookman Old Style" w:hAnsi="Bookman Old Style" w:cs="Arial"/>
          <w:sz w:val="24"/>
          <w:szCs w:val="24"/>
        </w:rPr>
        <w:t xml:space="preserve"> </w:t>
      </w:r>
      <w:r w:rsidRPr="00BF3751">
        <w:rPr>
          <w:rFonts w:ascii="Bookman Old Style" w:hAnsi="Bookman Old Style" w:cs="Arial"/>
          <w:sz w:val="24"/>
          <w:szCs w:val="24"/>
        </w:rPr>
        <w:t>daerah;</w:t>
      </w:r>
    </w:p>
    <w:p w14:paraId="2C1F070B" w14:textId="33330BF1" w:rsidR="003374DF" w:rsidRPr="00BF3751" w:rsidRDefault="003374DF" w:rsidP="00DA7A4C">
      <w:pPr>
        <w:pStyle w:val="ListParagraph"/>
        <w:numPr>
          <w:ilvl w:val="0"/>
          <w:numId w:val="40"/>
        </w:numPr>
        <w:spacing w:before="60" w:after="0" w:line="276" w:lineRule="auto"/>
        <w:ind w:left="1276" w:hanging="283"/>
        <w:contextualSpacing w:val="0"/>
        <w:jc w:val="both"/>
        <w:rPr>
          <w:rFonts w:ascii="Bookman Old Style" w:hAnsi="Bookman Old Style" w:cs="Arial"/>
          <w:sz w:val="24"/>
          <w:szCs w:val="24"/>
        </w:rPr>
      </w:pPr>
      <w:r w:rsidRPr="00BF3751">
        <w:rPr>
          <w:rFonts w:ascii="Bookman Old Style" w:hAnsi="Bookman Old Style" w:cs="Arial"/>
          <w:sz w:val="24"/>
          <w:szCs w:val="24"/>
        </w:rPr>
        <w:t>mendorong</w:t>
      </w:r>
      <w:r w:rsidR="00A954D0">
        <w:rPr>
          <w:rFonts w:ascii="Bookman Old Style" w:hAnsi="Bookman Old Style" w:cs="Arial"/>
          <w:sz w:val="24"/>
          <w:szCs w:val="24"/>
        </w:rPr>
        <w:t xml:space="preserve"> </w:t>
      </w:r>
      <w:r w:rsidRPr="00BF3751">
        <w:rPr>
          <w:rFonts w:ascii="Bookman Old Style" w:hAnsi="Bookman Old Style" w:cs="Arial"/>
          <w:sz w:val="24"/>
          <w:szCs w:val="24"/>
          <w:lang w:val="en-US"/>
        </w:rPr>
        <w:t>BUMD</w:t>
      </w:r>
      <w:r w:rsidR="00A954D0">
        <w:rPr>
          <w:rFonts w:ascii="Bookman Old Style" w:hAnsi="Bookman Old Style" w:cs="Arial"/>
          <w:sz w:val="24"/>
          <w:szCs w:val="24"/>
        </w:rPr>
        <w:t xml:space="preserve"> </w:t>
      </w:r>
      <w:r w:rsidRPr="00BF3751">
        <w:rPr>
          <w:rFonts w:ascii="Bookman Old Style" w:hAnsi="Bookman Old Style" w:cs="Arial"/>
          <w:sz w:val="24"/>
          <w:szCs w:val="24"/>
        </w:rPr>
        <w:t>untuk</w:t>
      </w:r>
      <w:r w:rsidR="00A954D0">
        <w:rPr>
          <w:rFonts w:ascii="Bookman Old Style" w:hAnsi="Bookman Old Style" w:cs="Arial"/>
          <w:sz w:val="24"/>
          <w:szCs w:val="24"/>
        </w:rPr>
        <w:t xml:space="preserve"> </w:t>
      </w:r>
      <w:r w:rsidRPr="00BF3751">
        <w:rPr>
          <w:rFonts w:ascii="Bookman Old Style" w:hAnsi="Bookman Old Style" w:cs="Arial"/>
          <w:sz w:val="24"/>
          <w:szCs w:val="24"/>
        </w:rPr>
        <w:t>meningkatkan</w:t>
      </w:r>
      <w:r w:rsidR="00A954D0">
        <w:rPr>
          <w:rFonts w:ascii="Bookman Old Style" w:hAnsi="Bookman Old Style" w:cs="Arial"/>
          <w:sz w:val="24"/>
          <w:szCs w:val="24"/>
        </w:rPr>
        <w:t xml:space="preserve"> </w:t>
      </w:r>
      <w:r w:rsidRPr="00BF3751">
        <w:rPr>
          <w:rFonts w:ascii="Bookman Old Style" w:hAnsi="Bookman Old Style" w:cs="Arial"/>
          <w:sz w:val="24"/>
          <w:szCs w:val="24"/>
        </w:rPr>
        <w:t>penggunaan</w:t>
      </w:r>
      <w:r w:rsidR="00A954D0">
        <w:rPr>
          <w:rFonts w:ascii="Bookman Old Style" w:hAnsi="Bookman Old Style" w:cs="Arial"/>
          <w:sz w:val="24"/>
          <w:szCs w:val="24"/>
        </w:rPr>
        <w:t xml:space="preserve"> </w:t>
      </w:r>
      <w:r w:rsidRPr="00BF3751">
        <w:rPr>
          <w:rFonts w:ascii="Bookman Old Style" w:hAnsi="Bookman Old Style" w:cs="Arial"/>
          <w:sz w:val="24"/>
          <w:szCs w:val="24"/>
        </w:rPr>
        <w:t>berbagai</w:t>
      </w:r>
      <w:r w:rsidR="00A954D0">
        <w:rPr>
          <w:rFonts w:ascii="Bookman Old Style" w:hAnsi="Bookman Old Style" w:cs="Arial"/>
          <w:sz w:val="24"/>
          <w:szCs w:val="24"/>
        </w:rPr>
        <w:t xml:space="preserve"> </w:t>
      </w:r>
      <w:r w:rsidRPr="00BF3751">
        <w:rPr>
          <w:rFonts w:ascii="Bookman Old Style" w:hAnsi="Bookman Old Style" w:cs="Arial"/>
          <w:sz w:val="24"/>
          <w:szCs w:val="24"/>
        </w:rPr>
        <w:t>jenis</w:t>
      </w:r>
      <w:r w:rsidR="00A954D0">
        <w:rPr>
          <w:rFonts w:ascii="Bookman Old Style" w:hAnsi="Bookman Old Style" w:cs="Arial"/>
          <w:sz w:val="24"/>
          <w:szCs w:val="24"/>
        </w:rPr>
        <w:t xml:space="preserve"> </w:t>
      </w:r>
      <w:r w:rsidRPr="00BF3751">
        <w:rPr>
          <w:rFonts w:ascii="Bookman Old Style" w:hAnsi="Bookman Old Style" w:cs="Arial"/>
          <w:sz w:val="24"/>
          <w:szCs w:val="24"/>
        </w:rPr>
        <w:t>kendaraan</w:t>
      </w:r>
      <w:r w:rsidR="00A954D0">
        <w:rPr>
          <w:rFonts w:ascii="Bookman Old Style" w:hAnsi="Bookman Old Style" w:cs="Arial"/>
          <w:sz w:val="24"/>
          <w:szCs w:val="24"/>
        </w:rPr>
        <w:t xml:space="preserve"> </w:t>
      </w:r>
      <w:r w:rsidRPr="00BF3751">
        <w:rPr>
          <w:rFonts w:ascii="Bookman Old Style" w:hAnsi="Bookman Old Style" w:cs="Arial"/>
          <w:sz w:val="24"/>
          <w:szCs w:val="24"/>
        </w:rPr>
        <w:t>bermotor</w:t>
      </w:r>
      <w:r w:rsidR="00A954D0">
        <w:rPr>
          <w:rFonts w:ascii="Bookman Old Style" w:hAnsi="Bookman Old Style" w:cs="Arial"/>
          <w:sz w:val="24"/>
          <w:szCs w:val="24"/>
        </w:rPr>
        <w:t xml:space="preserve"> </w:t>
      </w:r>
      <w:r w:rsidRPr="00BF3751">
        <w:rPr>
          <w:rFonts w:ascii="Bookman Old Style" w:hAnsi="Bookman Old Style" w:cs="Arial"/>
          <w:sz w:val="24"/>
          <w:szCs w:val="24"/>
        </w:rPr>
        <w:t>listrik</w:t>
      </w:r>
      <w:r w:rsidR="00A954D0">
        <w:rPr>
          <w:rFonts w:ascii="Bookman Old Style" w:hAnsi="Bookman Old Style" w:cs="Arial"/>
          <w:sz w:val="24"/>
          <w:szCs w:val="24"/>
        </w:rPr>
        <w:t xml:space="preserve"> </w:t>
      </w:r>
      <w:r w:rsidRPr="00BF3751">
        <w:rPr>
          <w:rFonts w:ascii="Bookman Old Style" w:hAnsi="Bookman Old Style" w:cs="Arial"/>
          <w:sz w:val="24"/>
          <w:szCs w:val="24"/>
        </w:rPr>
        <w:t>berbasis</w:t>
      </w:r>
      <w:r w:rsidR="00A954D0">
        <w:rPr>
          <w:rFonts w:ascii="Bookman Old Style" w:hAnsi="Bookman Old Style" w:cs="Arial"/>
          <w:sz w:val="24"/>
          <w:szCs w:val="24"/>
        </w:rPr>
        <w:t xml:space="preserve"> </w:t>
      </w:r>
      <w:r w:rsidRPr="00BF3751">
        <w:rPr>
          <w:rFonts w:ascii="Bookman Old Style" w:hAnsi="Bookman Old Style" w:cs="Arial"/>
          <w:sz w:val="24"/>
          <w:szCs w:val="24"/>
        </w:rPr>
        <w:t>baterai</w:t>
      </w:r>
      <w:r w:rsidR="00A954D0">
        <w:rPr>
          <w:rFonts w:ascii="Bookman Old Style" w:hAnsi="Bookman Old Style" w:cs="Arial"/>
          <w:sz w:val="24"/>
          <w:szCs w:val="24"/>
        </w:rPr>
        <w:t xml:space="preserve"> </w:t>
      </w:r>
      <w:r w:rsidRPr="00BF3751">
        <w:rPr>
          <w:rFonts w:ascii="Bookman Old Style" w:hAnsi="Bookman Old Style" w:cs="Arial"/>
          <w:i/>
          <w:sz w:val="24"/>
          <w:szCs w:val="24"/>
        </w:rPr>
        <w:t>(battery</w:t>
      </w:r>
      <w:r w:rsidR="00A954D0">
        <w:rPr>
          <w:rFonts w:ascii="Bookman Old Style" w:hAnsi="Bookman Old Style" w:cs="Arial"/>
          <w:i/>
          <w:sz w:val="24"/>
          <w:szCs w:val="24"/>
        </w:rPr>
        <w:t xml:space="preserve"> </w:t>
      </w:r>
      <w:r w:rsidRPr="00BF3751">
        <w:rPr>
          <w:rFonts w:ascii="Bookman Old Style" w:hAnsi="Bookman Old Style" w:cs="Arial"/>
          <w:i/>
          <w:sz w:val="24"/>
          <w:szCs w:val="24"/>
        </w:rPr>
        <w:t>electric</w:t>
      </w:r>
      <w:r w:rsidR="00A954D0">
        <w:rPr>
          <w:rFonts w:ascii="Bookman Old Style" w:hAnsi="Bookman Old Style" w:cs="Arial"/>
          <w:i/>
          <w:sz w:val="24"/>
          <w:szCs w:val="24"/>
        </w:rPr>
        <w:t xml:space="preserve"> </w:t>
      </w:r>
      <w:r w:rsidRPr="00BF3751">
        <w:rPr>
          <w:rFonts w:ascii="Bookman Old Style" w:hAnsi="Bookman Old Style" w:cs="Arial"/>
          <w:i/>
          <w:sz w:val="24"/>
          <w:szCs w:val="24"/>
        </w:rPr>
        <w:t>vehicle)</w:t>
      </w:r>
      <w:r w:rsidRPr="00BF3751">
        <w:rPr>
          <w:rFonts w:ascii="Bookman Old Style" w:hAnsi="Bookman Old Style" w:cs="Arial"/>
          <w:sz w:val="24"/>
          <w:szCs w:val="24"/>
          <w:lang w:val="en-US"/>
        </w:rPr>
        <w:t>;</w:t>
      </w:r>
    </w:p>
    <w:p w14:paraId="3D5DE9F1" w14:textId="76CAE400" w:rsidR="003374DF" w:rsidRPr="00BF3751" w:rsidRDefault="003374DF" w:rsidP="00DA7A4C">
      <w:pPr>
        <w:pStyle w:val="ListParagraph"/>
        <w:numPr>
          <w:ilvl w:val="0"/>
          <w:numId w:val="40"/>
        </w:numPr>
        <w:spacing w:before="60" w:after="0" w:line="276" w:lineRule="auto"/>
        <w:ind w:left="1276" w:hanging="283"/>
        <w:contextualSpacing w:val="0"/>
        <w:jc w:val="both"/>
        <w:rPr>
          <w:rFonts w:ascii="Bookman Old Style" w:hAnsi="Bookman Old Style" w:cs="Arial"/>
          <w:sz w:val="24"/>
          <w:szCs w:val="24"/>
        </w:rPr>
      </w:pPr>
      <w:r w:rsidRPr="00BF3751">
        <w:rPr>
          <w:rFonts w:ascii="Bookman Old Style" w:hAnsi="Bookman Old Style" w:cs="Arial"/>
          <w:sz w:val="24"/>
          <w:szCs w:val="24"/>
        </w:rPr>
        <w:t>melakukan</w:t>
      </w:r>
      <w:r w:rsidR="00A954D0">
        <w:rPr>
          <w:rFonts w:ascii="Bookman Old Style" w:hAnsi="Bookman Old Style" w:cs="Arial"/>
          <w:sz w:val="24"/>
          <w:szCs w:val="24"/>
        </w:rPr>
        <w:t xml:space="preserve"> </w:t>
      </w:r>
      <w:r w:rsidRPr="00BF3751">
        <w:rPr>
          <w:rFonts w:ascii="Bookman Old Style" w:hAnsi="Bookman Old Style" w:cs="Arial"/>
          <w:sz w:val="24"/>
          <w:szCs w:val="24"/>
        </w:rPr>
        <w:t>sinergi</w:t>
      </w:r>
      <w:r w:rsidR="00A954D0">
        <w:rPr>
          <w:rFonts w:ascii="Bookman Old Style" w:hAnsi="Bookman Old Style" w:cs="Arial"/>
          <w:sz w:val="24"/>
          <w:szCs w:val="24"/>
        </w:rPr>
        <w:t xml:space="preserve"> </w:t>
      </w:r>
      <w:r w:rsidRPr="00BF3751">
        <w:rPr>
          <w:rFonts w:ascii="Bookman Old Style" w:hAnsi="Bookman Old Style" w:cs="Arial"/>
          <w:sz w:val="24"/>
          <w:szCs w:val="24"/>
        </w:rPr>
        <w:t>dan</w:t>
      </w:r>
      <w:r w:rsidR="00A954D0">
        <w:rPr>
          <w:rFonts w:ascii="Bookman Old Style" w:hAnsi="Bookman Old Style" w:cs="Arial"/>
          <w:sz w:val="24"/>
          <w:szCs w:val="24"/>
        </w:rPr>
        <w:t xml:space="preserve"> </w:t>
      </w:r>
      <w:r w:rsidRPr="00BF3751">
        <w:rPr>
          <w:rFonts w:ascii="Bookman Old Style" w:hAnsi="Bookman Old Style" w:cs="Arial"/>
          <w:sz w:val="24"/>
          <w:szCs w:val="24"/>
        </w:rPr>
        <w:t>pengawasan</w:t>
      </w:r>
      <w:r w:rsidR="00A954D0">
        <w:rPr>
          <w:rFonts w:ascii="Bookman Old Style" w:hAnsi="Bookman Old Style" w:cs="Arial"/>
          <w:sz w:val="24"/>
          <w:szCs w:val="24"/>
        </w:rPr>
        <w:t xml:space="preserve"> </w:t>
      </w:r>
      <w:r w:rsidRPr="00BF3751">
        <w:rPr>
          <w:rFonts w:ascii="Bookman Old Style" w:hAnsi="Bookman Old Style" w:cs="Arial"/>
          <w:sz w:val="24"/>
          <w:szCs w:val="24"/>
        </w:rPr>
        <w:t>kepada</w:t>
      </w:r>
      <w:r w:rsidR="00A954D0">
        <w:rPr>
          <w:rFonts w:ascii="Bookman Old Style" w:hAnsi="Bookman Old Style" w:cs="Arial"/>
          <w:sz w:val="24"/>
          <w:szCs w:val="24"/>
        </w:rPr>
        <w:t xml:space="preserve"> </w:t>
      </w:r>
      <w:r w:rsidRPr="00BF3751">
        <w:rPr>
          <w:rFonts w:ascii="Bookman Old Style" w:hAnsi="Bookman Old Style" w:cs="Arial"/>
          <w:sz w:val="24"/>
          <w:szCs w:val="24"/>
        </w:rPr>
        <w:t>tiap</w:t>
      </w:r>
      <w:r w:rsidR="00A954D0">
        <w:rPr>
          <w:rFonts w:ascii="Bookman Old Style" w:hAnsi="Bookman Old Style" w:cs="Arial"/>
          <w:sz w:val="24"/>
          <w:szCs w:val="24"/>
        </w:rPr>
        <w:t xml:space="preserve"> </w:t>
      </w:r>
      <w:r w:rsidRPr="00BF3751">
        <w:rPr>
          <w:rFonts w:ascii="Bookman Old Style" w:hAnsi="Bookman Old Style" w:cs="Arial"/>
          <w:sz w:val="24"/>
          <w:szCs w:val="24"/>
        </w:rPr>
        <w:t>satuan</w:t>
      </w:r>
      <w:r w:rsidR="00A954D0">
        <w:rPr>
          <w:rFonts w:ascii="Bookman Old Style" w:hAnsi="Bookman Old Style" w:cs="Arial"/>
          <w:sz w:val="24"/>
          <w:szCs w:val="24"/>
        </w:rPr>
        <w:t xml:space="preserve"> </w:t>
      </w:r>
      <w:r w:rsidRPr="00BF3751">
        <w:rPr>
          <w:rFonts w:ascii="Bookman Old Style" w:hAnsi="Bookman Old Style" w:cs="Arial"/>
          <w:sz w:val="24"/>
          <w:szCs w:val="24"/>
        </w:rPr>
        <w:t>kerja</w:t>
      </w:r>
      <w:r w:rsidR="00A954D0">
        <w:rPr>
          <w:rFonts w:ascii="Bookman Old Style" w:hAnsi="Bookman Old Style" w:cs="Arial"/>
          <w:sz w:val="24"/>
          <w:szCs w:val="24"/>
        </w:rPr>
        <w:t xml:space="preserve"> </w:t>
      </w:r>
      <w:r w:rsidRPr="00BF3751">
        <w:rPr>
          <w:rFonts w:ascii="Bookman Old Style" w:hAnsi="Bookman Old Style" w:cs="Arial"/>
          <w:sz w:val="24"/>
          <w:szCs w:val="24"/>
        </w:rPr>
        <w:t>perangkat</w:t>
      </w:r>
      <w:r w:rsidR="00A954D0">
        <w:rPr>
          <w:rFonts w:ascii="Bookman Old Style" w:hAnsi="Bookman Old Style" w:cs="Arial"/>
          <w:sz w:val="24"/>
          <w:szCs w:val="24"/>
        </w:rPr>
        <w:t xml:space="preserve"> </w:t>
      </w:r>
      <w:r w:rsidRPr="00BF3751">
        <w:rPr>
          <w:rFonts w:ascii="Bookman Old Style" w:hAnsi="Bookman Old Style" w:cs="Arial"/>
          <w:sz w:val="24"/>
          <w:szCs w:val="24"/>
        </w:rPr>
        <w:t>daerah</w:t>
      </w:r>
      <w:r w:rsidR="00A954D0">
        <w:rPr>
          <w:rFonts w:ascii="Bookman Old Style" w:hAnsi="Bookman Old Style" w:cs="Arial"/>
          <w:sz w:val="24"/>
          <w:szCs w:val="24"/>
        </w:rPr>
        <w:t xml:space="preserve"> </w:t>
      </w:r>
      <w:r w:rsidRPr="00BF3751">
        <w:rPr>
          <w:rFonts w:ascii="Bookman Old Style" w:hAnsi="Bookman Old Style" w:cs="Arial"/>
          <w:sz w:val="24"/>
          <w:szCs w:val="24"/>
        </w:rPr>
        <w:t>untuk</w:t>
      </w:r>
      <w:r w:rsidR="00A954D0">
        <w:rPr>
          <w:rFonts w:ascii="Bookman Old Style" w:hAnsi="Bookman Old Style" w:cs="Arial"/>
          <w:sz w:val="24"/>
          <w:szCs w:val="24"/>
        </w:rPr>
        <w:t xml:space="preserve"> </w:t>
      </w:r>
      <w:r w:rsidRPr="00BF3751">
        <w:rPr>
          <w:rFonts w:ascii="Bookman Old Style" w:hAnsi="Bookman Old Style" w:cs="Arial"/>
          <w:sz w:val="24"/>
          <w:szCs w:val="24"/>
        </w:rPr>
        <w:t>memantau</w:t>
      </w:r>
      <w:r w:rsidR="00A954D0">
        <w:rPr>
          <w:rFonts w:ascii="Bookman Old Style" w:hAnsi="Bookman Old Style" w:cs="Arial"/>
          <w:sz w:val="24"/>
          <w:szCs w:val="24"/>
        </w:rPr>
        <w:t xml:space="preserve"> </w:t>
      </w:r>
      <w:r w:rsidRPr="00BF3751">
        <w:rPr>
          <w:rFonts w:ascii="Bookman Old Style" w:hAnsi="Bookman Old Style" w:cs="Arial"/>
          <w:sz w:val="24"/>
          <w:szCs w:val="24"/>
        </w:rPr>
        <w:t>perkembangan</w:t>
      </w:r>
      <w:r w:rsidR="00A954D0">
        <w:rPr>
          <w:rFonts w:ascii="Bookman Old Style" w:hAnsi="Bookman Old Style" w:cs="Arial"/>
          <w:sz w:val="24"/>
          <w:szCs w:val="24"/>
        </w:rPr>
        <w:t xml:space="preserve"> </w:t>
      </w:r>
      <w:r w:rsidRPr="00BF3751">
        <w:rPr>
          <w:rFonts w:ascii="Bookman Old Style" w:hAnsi="Bookman Old Style" w:cs="Arial"/>
          <w:sz w:val="24"/>
          <w:szCs w:val="24"/>
        </w:rPr>
        <w:t>penggunaan</w:t>
      </w:r>
      <w:r w:rsidR="00A954D0">
        <w:rPr>
          <w:rFonts w:ascii="Bookman Old Style" w:hAnsi="Bookman Old Style" w:cs="Arial"/>
          <w:sz w:val="24"/>
          <w:szCs w:val="24"/>
        </w:rPr>
        <w:t xml:space="preserve"> </w:t>
      </w:r>
      <w:r w:rsidRPr="00BF3751">
        <w:rPr>
          <w:rFonts w:ascii="Bookman Old Style" w:hAnsi="Bookman Old Style" w:cs="Arial"/>
          <w:sz w:val="24"/>
          <w:szCs w:val="24"/>
        </w:rPr>
        <w:t>kendaraan</w:t>
      </w:r>
      <w:r w:rsidR="00A954D0">
        <w:rPr>
          <w:rFonts w:ascii="Bookman Old Style" w:hAnsi="Bookman Old Style" w:cs="Arial"/>
          <w:sz w:val="24"/>
          <w:szCs w:val="24"/>
        </w:rPr>
        <w:t xml:space="preserve"> </w:t>
      </w:r>
      <w:r w:rsidRPr="00BF3751">
        <w:rPr>
          <w:rFonts w:ascii="Bookman Old Style" w:hAnsi="Bookman Old Style" w:cs="Arial"/>
          <w:sz w:val="24"/>
          <w:szCs w:val="24"/>
        </w:rPr>
        <w:t>bermotor</w:t>
      </w:r>
      <w:r w:rsidR="00A954D0">
        <w:rPr>
          <w:rFonts w:ascii="Bookman Old Style" w:hAnsi="Bookman Old Style" w:cs="Arial"/>
          <w:sz w:val="24"/>
          <w:szCs w:val="24"/>
        </w:rPr>
        <w:t xml:space="preserve"> </w:t>
      </w:r>
      <w:r w:rsidRPr="00BF3751">
        <w:rPr>
          <w:rFonts w:ascii="Bookman Old Style" w:hAnsi="Bookman Old Style" w:cs="Arial"/>
          <w:sz w:val="24"/>
          <w:szCs w:val="24"/>
        </w:rPr>
        <w:t>listrik</w:t>
      </w:r>
      <w:r w:rsidR="00A954D0">
        <w:rPr>
          <w:rFonts w:ascii="Bookman Old Style" w:hAnsi="Bookman Old Style" w:cs="Arial"/>
          <w:sz w:val="24"/>
          <w:szCs w:val="24"/>
        </w:rPr>
        <w:t xml:space="preserve"> </w:t>
      </w:r>
      <w:r w:rsidRPr="00BF3751">
        <w:rPr>
          <w:rFonts w:ascii="Bookman Old Style" w:hAnsi="Bookman Old Style" w:cs="Arial"/>
          <w:sz w:val="24"/>
          <w:szCs w:val="24"/>
        </w:rPr>
        <w:t>berbasis</w:t>
      </w:r>
      <w:r w:rsidR="00A954D0">
        <w:rPr>
          <w:rFonts w:ascii="Bookman Old Style" w:hAnsi="Bookman Old Style" w:cs="Arial"/>
          <w:sz w:val="24"/>
          <w:szCs w:val="24"/>
        </w:rPr>
        <w:t xml:space="preserve"> </w:t>
      </w:r>
      <w:r w:rsidRPr="00BF3751">
        <w:rPr>
          <w:rFonts w:ascii="Bookman Old Style" w:hAnsi="Bookman Old Style" w:cs="Arial"/>
          <w:sz w:val="24"/>
          <w:szCs w:val="24"/>
        </w:rPr>
        <w:t>baterai</w:t>
      </w:r>
      <w:r w:rsidR="00A954D0">
        <w:rPr>
          <w:rFonts w:ascii="Bookman Old Style" w:hAnsi="Bookman Old Style" w:cs="Arial"/>
          <w:sz w:val="24"/>
          <w:szCs w:val="24"/>
        </w:rPr>
        <w:t xml:space="preserve"> </w:t>
      </w:r>
      <w:r w:rsidRPr="00BF3751">
        <w:rPr>
          <w:rFonts w:ascii="Bookman Old Style" w:hAnsi="Bookman Old Style" w:cs="Arial"/>
          <w:i/>
          <w:sz w:val="24"/>
          <w:szCs w:val="24"/>
        </w:rPr>
        <w:t>(battery</w:t>
      </w:r>
      <w:r w:rsidR="00A954D0">
        <w:rPr>
          <w:rFonts w:ascii="Bookman Old Style" w:hAnsi="Bookman Old Style" w:cs="Arial"/>
          <w:i/>
          <w:sz w:val="24"/>
          <w:szCs w:val="24"/>
        </w:rPr>
        <w:t xml:space="preserve"> </w:t>
      </w:r>
      <w:r w:rsidRPr="00BF3751">
        <w:rPr>
          <w:rFonts w:ascii="Bookman Old Style" w:hAnsi="Bookman Old Style" w:cs="Arial"/>
          <w:i/>
          <w:sz w:val="24"/>
          <w:szCs w:val="24"/>
        </w:rPr>
        <w:t>electric</w:t>
      </w:r>
      <w:r w:rsidR="00A954D0">
        <w:rPr>
          <w:rFonts w:ascii="Bookman Old Style" w:hAnsi="Bookman Old Style" w:cs="Arial"/>
          <w:i/>
          <w:sz w:val="24"/>
          <w:szCs w:val="24"/>
        </w:rPr>
        <w:t xml:space="preserve"> </w:t>
      </w:r>
      <w:r w:rsidRPr="00BF3751">
        <w:rPr>
          <w:rFonts w:ascii="Bookman Old Style" w:hAnsi="Bookman Old Style" w:cs="Arial"/>
          <w:i/>
          <w:sz w:val="24"/>
          <w:szCs w:val="24"/>
        </w:rPr>
        <w:t>vehicle)</w:t>
      </w:r>
      <w:r w:rsidR="00A954D0">
        <w:rPr>
          <w:rFonts w:ascii="Bookman Old Style" w:hAnsi="Bookman Old Style" w:cs="Arial"/>
          <w:i/>
          <w:sz w:val="24"/>
          <w:szCs w:val="24"/>
          <w:lang w:val="en-US"/>
        </w:rPr>
        <w:t xml:space="preserve"> </w:t>
      </w:r>
      <w:r w:rsidRPr="00BF3751">
        <w:rPr>
          <w:rFonts w:ascii="Bookman Old Style" w:hAnsi="Bookman Old Style" w:cs="Arial"/>
          <w:sz w:val="24"/>
          <w:szCs w:val="24"/>
        </w:rPr>
        <w:t>sebagai</w:t>
      </w:r>
      <w:r w:rsidR="00A954D0">
        <w:rPr>
          <w:rFonts w:ascii="Bookman Old Style" w:hAnsi="Bookman Old Style" w:cs="Arial"/>
          <w:sz w:val="24"/>
          <w:szCs w:val="24"/>
        </w:rPr>
        <w:t xml:space="preserve"> </w:t>
      </w:r>
      <w:r w:rsidRPr="00BF3751">
        <w:rPr>
          <w:rFonts w:ascii="Bookman Old Style" w:hAnsi="Bookman Old Style" w:cs="Arial"/>
          <w:sz w:val="24"/>
          <w:szCs w:val="24"/>
        </w:rPr>
        <w:t>kendaraan</w:t>
      </w:r>
      <w:r w:rsidR="00A954D0">
        <w:rPr>
          <w:rFonts w:ascii="Bookman Old Style" w:hAnsi="Bookman Old Style" w:cs="Arial"/>
          <w:sz w:val="24"/>
          <w:szCs w:val="24"/>
        </w:rPr>
        <w:t xml:space="preserve"> </w:t>
      </w:r>
      <w:r w:rsidRPr="00BF3751">
        <w:rPr>
          <w:rFonts w:ascii="Bookman Old Style" w:hAnsi="Bookman Old Style" w:cs="Arial"/>
          <w:sz w:val="24"/>
          <w:szCs w:val="24"/>
        </w:rPr>
        <w:t>dinas</w:t>
      </w:r>
      <w:r w:rsidR="00A954D0">
        <w:rPr>
          <w:rFonts w:ascii="Bookman Old Style" w:hAnsi="Bookman Old Style" w:cs="Arial"/>
          <w:sz w:val="24"/>
          <w:szCs w:val="24"/>
        </w:rPr>
        <w:t xml:space="preserve"> </w:t>
      </w:r>
      <w:r w:rsidRPr="00BF3751">
        <w:rPr>
          <w:rFonts w:ascii="Bookman Old Style" w:hAnsi="Bookman Old Style" w:cs="Arial"/>
          <w:sz w:val="24"/>
          <w:szCs w:val="24"/>
        </w:rPr>
        <w:t>operasional</w:t>
      </w:r>
      <w:r w:rsidR="00A954D0">
        <w:rPr>
          <w:rFonts w:ascii="Bookman Old Style" w:hAnsi="Bookman Old Style" w:cs="Arial"/>
          <w:sz w:val="24"/>
          <w:szCs w:val="24"/>
        </w:rPr>
        <w:t xml:space="preserve"> </w:t>
      </w:r>
      <w:r w:rsidRPr="00BF3751">
        <w:rPr>
          <w:rFonts w:ascii="Bookman Old Style" w:hAnsi="Bookman Old Style" w:cs="Arial"/>
          <w:sz w:val="24"/>
          <w:szCs w:val="24"/>
        </w:rPr>
        <w:t>dan/atau</w:t>
      </w:r>
      <w:r w:rsidR="00A954D0">
        <w:rPr>
          <w:rFonts w:ascii="Bookman Old Style" w:hAnsi="Bookman Old Style" w:cs="Arial"/>
          <w:sz w:val="24"/>
          <w:szCs w:val="24"/>
        </w:rPr>
        <w:t xml:space="preserve"> </w:t>
      </w:r>
      <w:r w:rsidRPr="00BF3751">
        <w:rPr>
          <w:rFonts w:ascii="Bookman Old Style" w:hAnsi="Bookman Old Style" w:cs="Arial"/>
          <w:sz w:val="24"/>
          <w:szCs w:val="24"/>
        </w:rPr>
        <w:t>kendaraan</w:t>
      </w:r>
      <w:r w:rsidR="00A954D0">
        <w:rPr>
          <w:rFonts w:ascii="Bookman Old Style" w:hAnsi="Bookman Old Style" w:cs="Arial"/>
          <w:sz w:val="24"/>
          <w:szCs w:val="24"/>
        </w:rPr>
        <w:t xml:space="preserve"> </w:t>
      </w:r>
      <w:r w:rsidRPr="00BF3751">
        <w:rPr>
          <w:rFonts w:ascii="Bookman Old Style" w:hAnsi="Bookman Old Style" w:cs="Arial"/>
          <w:sz w:val="24"/>
          <w:szCs w:val="24"/>
        </w:rPr>
        <w:t>perorangan</w:t>
      </w:r>
      <w:r w:rsidR="00A954D0">
        <w:rPr>
          <w:rFonts w:ascii="Bookman Old Style" w:hAnsi="Bookman Old Style" w:cs="Arial"/>
          <w:sz w:val="24"/>
          <w:szCs w:val="24"/>
        </w:rPr>
        <w:t xml:space="preserve"> </w:t>
      </w:r>
      <w:r w:rsidRPr="00BF3751">
        <w:rPr>
          <w:rFonts w:ascii="Bookman Old Style" w:hAnsi="Bookman Old Style" w:cs="Arial"/>
          <w:sz w:val="24"/>
          <w:szCs w:val="24"/>
        </w:rPr>
        <w:t>dinas</w:t>
      </w:r>
      <w:r w:rsidR="00A954D0">
        <w:rPr>
          <w:rFonts w:ascii="Bookman Old Style" w:hAnsi="Bookman Old Style" w:cs="Arial"/>
          <w:sz w:val="24"/>
          <w:szCs w:val="24"/>
        </w:rPr>
        <w:t xml:space="preserve"> </w:t>
      </w:r>
      <w:r w:rsidRPr="00BF3751">
        <w:rPr>
          <w:rFonts w:ascii="Bookman Old Style" w:hAnsi="Bookman Old Style" w:cs="Arial"/>
          <w:sz w:val="24"/>
          <w:szCs w:val="24"/>
        </w:rPr>
        <w:t>Instansi</w:t>
      </w:r>
      <w:r w:rsidR="00A954D0">
        <w:rPr>
          <w:rFonts w:ascii="Bookman Old Style" w:hAnsi="Bookman Old Style" w:cs="Arial"/>
          <w:sz w:val="24"/>
          <w:szCs w:val="24"/>
        </w:rPr>
        <w:t xml:space="preserve"> </w:t>
      </w:r>
      <w:r w:rsidRPr="00BF3751">
        <w:rPr>
          <w:rFonts w:ascii="Bookman Old Style" w:hAnsi="Bookman Old Style" w:cs="Arial"/>
          <w:sz w:val="24"/>
          <w:szCs w:val="24"/>
        </w:rPr>
        <w:t>Pemerintahan</w:t>
      </w:r>
      <w:r w:rsidR="00A954D0">
        <w:rPr>
          <w:rFonts w:ascii="Bookman Old Style" w:hAnsi="Bookman Old Style" w:cs="Arial"/>
          <w:sz w:val="24"/>
          <w:szCs w:val="24"/>
        </w:rPr>
        <w:t xml:space="preserve"> </w:t>
      </w:r>
      <w:r w:rsidRPr="00BF3751">
        <w:rPr>
          <w:rFonts w:ascii="Bookman Old Style" w:hAnsi="Bookman Old Style" w:cs="Arial"/>
          <w:sz w:val="24"/>
          <w:szCs w:val="24"/>
        </w:rPr>
        <w:t>Daerah</w:t>
      </w:r>
      <w:r w:rsidR="00A954D0">
        <w:rPr>
          <w:rFonts w:ascii="Bookman Old Style" w:hAnsi="Bookman Old Style" w:cs="Arial"/>
          <w:sz w:val="24"/>
          <w:szCs w:val="24"/>
        </w:rPr>
        <w:t xml:space="preserve"> </w:t>
      </w:r>
      <w:r w:rsidRPr="00BF3751">
        <w:rPr>
          <w:rFonts w:ascii="Bookman Old Style" w:hAnsi="Bookman Old Style" w:cs="Arial"/>
          <w:sz w:val="24"/>
          <w:szCs w:val="24"/>
        </w:rPr>
        <w:t>di</w:t>
      </w:r>
      <w:r w:rsidR="00A954D0">
        <w:rPr>
          <w:rFonts w:ascii="Bookman Old Style" w:hAnsi="Bookman Old Style" w:cs="Arial"/>
          <w:sz w:val="24"/>
          <w:szCs w:val="24"/>
        </w:rPr>
        <w:t xml:space="preserve"> </w:t>
      </w:r>
      <w:r w:rsidRPr="00BF3751">
        <w:rPr>
          <w:rFonts w:ascii="Bookman Old Style" w:hAnsi="Bookman Old Style" w:cs="Arial"/>
          <w:sz w:val="24"/>
          <w:szCs w:val="24"/>
        </w:rPr>
        <w:t>Daerah</w:t>
      </w:r>
      <w:r w:rsidR="00A954D0">
        <w:rPr>
          <w:rFonts w:ascii="Bookman Old Style" w:hAnsi="Bookman Old Style" w:cs="Arial"/>
          <w:sz w:val="24"/>
          <w:szCs w:val="24"/>
        </w:rPr>
        <w:t xml:space="preserve"> </w:t>
      </w:r>
      <w:r w:rsidRPr="00BF3751">
        <w:rPr>
          <w:rFonts w:ascii="Bookman Old Style" w:hAnsi="Bookman Old Style" w:cs="Arial"/>
          <w:sz w:val="24"/>
          <w:szCs w:val="24"/>
        </w:rPr>
        <w:t>masing-masing;</w:t>
      </w:r>
      <w:r w:rsidR="00A954D0">
        <w:rPr>
          <w:rFonts w:ascii="Bookman Old Style" w:hAnsi="Bookman Old Style" w:cs="Arial"/>
          <w:sz w:val="24"/>
          <w:szCs w:val="24"/>
        </w:rPr>
        <w:t xml:space="preserve"> </w:t>
      </w:r>
      <w:r w:rsidRPr="00BF3751">
        <w:rPr>
          <w:rFonts w:ascii="Bookman Old Style" w:hAnsi="Bookman Old Style" w:cs="Arial"/>
          <w:sz w:val="24"/>
          <w:szCs w:val="24"/>
        </w:rPr>
        <w:t>dan</w:t>
      </w:r>
    </w:p>
    <w:p w14:paraId="56E49E30" w14:textId="683D5FDF" w:rsidR="003374DF" w:rsidRPr="00BF3751" w:rsidRDefault="003374DF" w:rsidP="00DA7A4C">
      <w:pPr>
        <w:pStyle w:val="ListParagraph"/>
        <w:numPr>
          <w:ilvl w:val="0"/>
          <w:numId w:val="40"/>
        </w:numPr>
        <w:spacing w:before="60" w:after="0" w:line="276" w:lineRule="auto"/>
        <w:ind w:left="1276" w:hanging="283"/>
        <w:contextualSpacing w:val="0"/>
        <w:jc w:val="both"/>
        <w:rPr>
          <w:rFonts w:ascii="Bookman Old Style" w:hAnsi="Bookman Old Style" w:cs="Arial"/>
          <w:sz w:val="24"/>
          <w:szCs w:val="24"/>
        </w:rPr>
      </w:pPr>
      <w:r w:rsidRPr="00BF3751">
        <w:rPr>
          <w:rFonts w:ascii="Bookman Old Style" w:hAnsi="Bookman Old Style" w:cs="Arial"/>
          <w:sz w:val="24"/>
          <w:szCs w:val="24"/>
        </w:rPr>
        <w:t>memberikan</w:t>
      </w:r>
      <w:r w:rsidR="00A954D0">
        <w:rPr>
          <w:rFonts w:ascii="Bookman Old Style" w:hAnsi="Bookman Old Style" w:cs="Arial"/>
          <w:sz w:val="24"/>
          <w:szCs w:val="24"/>
        </w:rPr>
        <w:t xml:space="preserve"> </w:t>
      </w:r>
      <w:r w:rsidRPr="00BF3751">
        <w:rPr>
          <w:rFonts w:ascii="Bookman Old Style" w:hAnsi="Bookman Old Style" w:cs="Arial"/>
          <w:sz w:val="24"/>
          <w:szCs w:val="24"/>
        </w:rPr>
        <w:t>insentif</w:t>
      </w:r>
      <w:r w:rsidR="00A954D0">
        <w:rPr>
          <w:rFonts w:ascii="Bookman Old Style" w:hAnsi="Bookman Old Style" w:cs="Arial"/>
          <w:sz w:val="24"/>
          <w:szCs w:val="24"/>
        </w:rPr>
        <w:t xml:space="preserve"> </w:t>
      </w:r>
      <w:r w:rsidRPr="00BF3751">
        <w:rPr>
          <w:rFonts w:ascii="Bookman Old Style" w:hAnsi="Bookman Old Style" w:cs="Arial"/>
          <w:sz w:val="24"/>
          <w:szCs w:val="24"/>
        </w:rPr>
        <w:t>fiskal</w:t>
      </w:r>
      <w:r w:rsidR="00A954D0">
        <w:rPr>
          <w:rFonts w:ascii="Bookman Old Style" w:hAnsi="Bookman Old Style" w:cs="Arial"/>
          <w:sz w:val="24"/>
          <w:szCs w:val="24"/>
        </w:rPr>
        <w:t xml:space="preserve"> </w:t>
      </w:r>
      <w:r w:rsidRPr="00BF3751">
        <w:rPr>
          <w:rFonts w:ascii="Bookman Old Style" w:hAnsi="Bookman Old Style" w:cs="Arial"/>
          <w:sz w:val="24"/>
          <w:szCs w:val="24"/>
        </w:rPr>
        <w:t>dan</w:t>
      </w:r>
      <w:r w:rsidR="00A954D0">
        <w:rPr>
          <w:rFonts w:ascii="Bookman Old Style" w:hAnsi="Bookman Old Style" w:cs="Arial"/>
          <w:sz w:val="24"/>
          <w:szCs w:val="24"/>
        </w:rPr>
        <w:t xml:space="preserve"> </w:t>
      </w:r>
      <w:r w:rsidRPr="00BF3751">
        <w:rPr>
          <w:rFonts w:ascii="Bookman Old Style" w:hAnsi="Bookman Old Style" w:cs="Arial"/>
          <w:sz w:val="24"/>
          <w:szCs w:val="24"/>
        </w:rPr>
        <w:t>nonfiskal</w:t>
      </w:r>
      <w:r w:rsidR="00A954D0">
        <w:rPr>
          <w:rFonts w:ascii="Bookman Old Style" w:hAnsi="Bookman Old Style" w:cs="Arial"/>
          <w:sz w:val="24"/>
          <w:szCs w:val="24"/>
        </w:rPr>
        <w:t xml:space="preserve"> </w:t>
      </w:r>
      <w:r w:rsidRPr="00BF3751">
        <w:rPr>
          <w:rFonts w:ascii="Bookman Old Style" w:hAnsi="Bookman Old Style" w:cs="Arial"/>
          <w:sz w:val="24"/>
          <w:szCs w:val="24"/>
        </w:rPr>
        <w:t>be</w:t>
      </w:r>
      <w:r w:rsidRPr="00BF3751">
        <w:rPr>
          <w:rFonts w:ascii="Bookman Old Style" w:hAnsi="Bookman Old Style" w:cs="Arial"/>
          <w:sz w:val="24"/>
          <w:szCs w:val="24"/>
          <w:lang w:val="en-US"/>
        </w:rPr>
        <w:t>ru</w:t>
      </w:r>
      <w:r w:rsidRPr="00BF3751">
        <w:rPr>
          <w:rFonts w:ascii="Bookman Old Style" w:hAnsi="Bookman Old Style" w:cs="Arial"/>
          <w:sz w:val="24"/>
          <w:szCs w:val="24"/>
        </w:rPr>
        <w:t>pa</w:t>
      </w:r>
      <w:r w:rsidR="00A954D0">
        <w:rPr>
          <w:rFonts w:ascii="Bookman Old Style" w:hAnsi="Bookman Old Style" w:cs="Arial"/>
          <w:sz w:val="24"/>
          <w:szCs w:val="24"/>
        </w:rPr>
        <w:t xml:space="preserve"> </w:t>
      </w:r>
      <w:r w:rsidRPr="00BF3751">
        <w:rPr>
          <w:rFonts w:ascii="Bookman Old Style" w:hAnsi="Bookman Old Style" w:cs="Arial"/>
          <w:sz w:val="24"/>
          <w:szCs w:val="24"/>
        </w:rPr>
        <w:t>kemudahan</w:t>
      </w:r>
      <w:r w:rsidR="00A954D0">
        <w:rPr>
          <w:rFonts w:ascii="Bookman Old Style" w:hAnsi="Bookman Old Style" w:cs="Arial"/>
          <w:sz w:val="24"/>
          <w:szCs w:val="24"/>
        </w:rPr>
        <w:t xml:space="preserve"> </w:t>
      </w:r>
      <w:r w:rsidRPr="00BF3751">
        <w:rPr>
          <w:rFonts w:ascii="Bookman Old Style" w:hAnsi="Bookman Old Style" w:cs="Arial"/>
          <w:sz w:val="24"/>
          <w:szCs w:val="24"/>
        </w:rPr>
        <w:t>dan</w:t>
      </w:r>
      <w:r w:rsidR="00A954D0">
        <w:rPr>
          <w:rFonts w:ascii="Bookman Old Style" w:hAnsi="Bookman Old Style" w:cs="Arial"/>
          <w:sz w:val="24"/>
          <w:szCs w:val="24"/>
        </w:rPr>
        <w:t xml:space="preserve"> </w:t>
      </w:r>
      <w:r w:rsidRPr="00BF3751">
        <w:rPr>
          <w:rFonts w:ascii="Bookman Old Style" w:hAnsi="Bookman Old Style" w:cs="Arial"/>
          <w:sz w:val="24"/>
          <w:szCs w:val="24"/>
        </w:rPr>
        <w:t>prioritas</w:t>
      </w:r>
      <w:r w:rsidR="00A954D0">
        <w:rPr>
          <w:rFonts w:ascii="Bookman Old Style" w:hAnsi="Bookman Old Style" w:cs="Arial"/>
          <w:sz w:val="24"/>
          <w:szCs w:val="24"/>
        </w:rPr>
        <w:t xml:space="preserve"> </w:t>
      </w:r>
      <w:r w:rsidRPr="00BF3751">
        <w:rPr>
          <w:rFonts w:ascii="Bookman Old Style" w:hAnsi="Bookman Old Style" w:cs="Arial"/>
          <w:sz w:val="24"/>
          <w:szCs w:val="24"/>
        </w:rPr>
        <w:t>bagi</w:t>
      </w:r>
      <w:r w:rsidR="00A954D0">
        <w:rPr>
          <w:rFonts w:ascii="Bookman Old Style" w:hAnsi="Bookman Old Style" w:cs="Arial"/>
          <w:sz w:val="24"/>
          <w:szCs w:val="24"/>
        </w:rPr>
        <w:t xml:space="preserve"> </w:t>
      </w:r>
      <w:r w:rsidRPr="00BF3751">
        <w:rPr>
          <w:rFonts w:ascii="Bookman Old Style" w:hAnsi="Bookman Old Style" w:cs="Arial"/>
          <w:sz w:val="24"/>
          <w:szCs w:val="24"/>
        </w:rPr>
        <w:t>pengguna</w:t>
      </w:r>
      <w:r w:rsidR="00A954D0">
        <w:rPr>
          <w:rFonts w:ascii="Bookman Old Style" w:hAnsi="Bookman Old Style" w:cs="Arial"/>
          <w:sz w:val="24"/>
          <w:szCs w:val="24"/>
        </w:rPr>
        <w:t xml:space="preserve"> </w:t>
      </w:r>
      <w:r w:rsidRPr="00BF3751">
        <w:rPr>
          <w:rFonts w:ascii="Bookman Old Style" w:hAnsi="Bookman Old Style" w:cs="Arial"/>
          <w:sz w:val="24"/>
          <w:szCs w:val="24"/>
        </w:rPr>
        <w:t>kendaraan</w:t>
      </w:r>
      <w:r w:rsidR="00A954D0">
        <w:rPr>
          <w:rFonts w:ascii="Bookman Old Style" w:hAnsi="Bookman Old Style" w:cs="Arial"/>
          <w:sz w:val="24"/>
          <w:szCs w:val="24"/>
        </w:rPr>
        <w:t xml:space="preserve"> </w:t>
      </w:r>
      <w:r w:rsidRPr="00BF3751">
        <w:rPr>
          <w:rFonts w:ascii="Bookman Old Style" w:hAnsi="Bookman Old Style" w:cs="Arial"/>
          <w:sz w:val="24"/>
          <w:szCs w:val="24"/>
        </w:rPr>
        <w:t>bermotor</w:t>
      </w:r>
      <w:r w:rsidR="00A954D0">
        <w:rPr>
          <w:rFonts w:ascii="Bookman Old Style" w:hAnsi="Bookman Old Style" w:cs="Arial"/>
          <w:sz w:val="24"/>
          <w:szCs w:val="24"/>
        </w:rPr>
        <w:t xml:space="preserve"> </w:t>
      </w:r>
      <w:r w:rsidRPr="00BF3751">
        <w:rPr>
          <w:rFonts w:ascii="Bookman Old Style" w:hAnsi="Bookman Old Style" w:cs="Arial"/>
          <w:sz w:val="24"/>
          <w:szCs w:val="24"/>
        </w:rPr>
        <w:t>listrik</w:t>
      </w:r>
      <w:r w:rsidR="00A954D0">
        <w:rPr>
          <w:rFonts w:ascii="Bookman Old Style" w:hAnsi="Bookman Old Style" w:cs="Arial"/>
          <w:sz w:val="24"/>
          <w:szCs w:val="24"/>
        </w:rPr>
        <w:t xml:space="preserve"> </w:t>
      </w:r>
      <w:r w:rsidRPr="00BF3751">
        <w:rPr>
          <w:rFonts w:ascii="Bookman Old Style" w:hAnsi="Bookman Old Style" w:cs="Arial"/>
          <w:sz w:val="24"/>
          <w:szCs w:val="24"/>
        </w:rPr>
        <w:t>berbasis</w:t>
      </w:r>
      <w:r w:rsidR="00A954D0">
        <w:rPr>
          <w:rFonts w:ascii="Bookman Old Style" w:hAnsi="Bookman Old Style" w:cs="Arial"/>
          <w:sz w:val="24"/>
          <w:szCs w:val="24"/>
        </w:rPr>
        <w:t xml:space="preserve"> </w:t>
      </w:r>
      <w:r w:rsidRPr="00BF3751">
        <w:rPr>
          <w:rFonts w:ascii="Bookman Old Style" w:hAnsi="Bookman Old Style" w:cs="Arial"/>
          <w:sz w:val="24"/>
          <w:szCs w:val="24"/>
        </w:rPr>
        <w:t>baterai</w:t>
      </w:r>
      <w:r w:rsidR="00A954D0">
        <w:rPr>
          <w:rFonts w:ascii="Bookman Old Style" w:hAnsi="Bookman Old Style" w:cs="Arial"/>
          <w:sz w:val="24"/>
          <w:szCs w:val="24"/>
        </w:rPr>
        <w:t xml:space="preserve"> </w:t>
      </w:r>
      <w:r w:rsidRPr="00BF3751">
        <w:rPr>
          <w:rFonts w:ascii="Bookman Old Style" w:hAnsi="Bookman Old Style" w:cs="Arial"/>
          <w:i/>
          <w:sz w:val="24"/>
          <w:szCs w:val="24"/>
        </w:rPr>
        <w:t>(battery</w:t>
      </w:r>
      <w:r w:rsidR="00A954D0">
        <w:rPr>
          <w:rFonts w:ascii="Bookman Old Style" w:hAnsi="Bookman Old Style" w:cs="Arial"/>
          <w:i/>
          <w:sz w:val="24"/>
          <w:szCs w:val="24"/>
        </w:rPr>
        <w:t xml:space="preserve"> </w:t>
      </w:r>
      <w:r w:rsidRPr="00BF3751">
        <w:rPr>
          <w:rFonts w:ascii="Bookman Old Style" w:hAnsi="Bookman Old Style" w:cs="Arial"/>
          <w:i/>
          <w:sz w:val="24"/>
          <w:szCs w:val="24"/>
        </w:rPr>
        <w:t>electric</w:t>
      </w:r>
      <w:r w:rsidR="00A954D0">
        <w:rPr>
          <w:rFonts w:ascii="Bookman Old Style" w:hAnsi="Bookman Old Style" w:cs="Arial"/>
          <w:i/>
          <w:sz w:val="24"/>
          <w:szCs w:val="24"/>
        </w:rPr>
        <w:t xml:space="preserve"> </w:t>
      </w:r>
      <w:r w:rsidRPr="00BF3751">
        <w:rPr>
          <w:rFonts w:ascii="Bookman Old Style" w:hAnsi="Bookman Old Style" w:cs="Arial"/>
          <w:i/>
          <w:sz w:val="24"/>
          <w:szCs w:val="24"/>
        </w:rPr>
        <w:t>vehicle)</w:t>
      </w:r>
      <w:r w:rsidR="00A954D0">
        <w:rPr>
          <w:rFonts w:ascii="Bookman Old Style" w:hAnsi="Bookman Old Style" w:cs="Arial"/>
          <w:sz w:val="24"/>
          <w:szCs w:val="24"/>
        </w:rPr>
        <w:t xml:space="preserve"> </w:t>
      </w:r>
      <w:r w:rsidRPr="00BF3751">
        <w:rPr>
          <w:rFonts w:ascii="Bookman Old Style" w:hAnsi="Bookman Old Style" w:cs="Arial"/>
          <w:sz w:val="24"/>
          <w:szCs w:val="24"/>
        </w:rPr>
        <w:t>sesuai</w:t>
      </w:r>
      <w:r w:rsidR="00A954D0">
        <w:rPr>
          <w:rFonts w:ascii="Bookman Old Style" w:hAnsi="Bookman Old Style" w:cs="Arial"/>
          <w:sz w:val="24"/>
          <w:szCs w:val="24"/>
        </w:rPr>
        <w:t xml:space="preserve"> </w:t>
      </w:r>
      <w:r w:rsidRPr="00BF3751">
        <w:rPr>
          <w:rFonts w:ascii="Bookman Old Style" w:hAnsi="Bookman Old Style" w:cs="Arial"/>
          <w:sz w:val="24"/>
          <w:szCs w:val="24"/>
        </w:rPr>
        <w:t>dengan</w:t>
      </w:r>
      <w:r w:rsidR="00A954D0">
        <w:rPr>
          <w:rFonts w:ascii="Bookman Old Style" w:hAnsi="Bookman Old Style" w:cs="Arial"/>
          <w:sz w:val="24"/>
          <w:szCs w:val="24"/>
        </w:rPr>
        <w:t xml:space="preserve"> </w:t>
      </w:r>
      <w:r w:rsidRPr="00BF3751">
        <w:rPr>
          <w:rFonts w:ascii="Bookman Old Style" w:hAnsi="Bookman Old Style" w:cs="Arial"/>
          <w:sz w:val="24"/>
          <w:szCs w:val="24"/>
        </w:rPr>
        <w:t>ketentuan</w:t>
      </w:r>
      <w:r w:rsidR="00A954D0">
        <w:rPr>
          <w:rFonts w:ascii="Bookman Old Style" w:hAnsi="Bookman Old Style" w:cs="Arial"/>
          <w:sz w:val="24"/>
          <w:szCs w:val="24"/>
        </w:rPr>
        <w:t xml:space="preserve"> </w:t>
      </w:r>
      <w:r w:rsidRPr="00BF3751">
        <w:rPr>
          <w:rFonts w:ascii="Bookman Old Style" w:hAnsi="Bookman Old Style" w:cs="Arial"/>
          <w:sz w:val="24"/>
          <w:szCs w:val="24"/>
        </w:rPr>
        <w:t>peraturan</w:t>
      </w:r>
      <w:r w:rsidR="00A954D0">
        <w:rPr>
          <w:rFonts w:ascii="Bookman Old Style" w:hAnsi="Bookman Old Style" w:cs="Arial"/>
          <w:sz w:val="24"/>
          <w:szCs w:val="24"/>
        </w:rPr>
        <w:t xml:space="preserve"> </w:t>
      </w:r>
      <w:r w:rsidRPr="00BF3751">
        <w:rPr>
          <w:rFonts w:ascii="Bookman Old Style" w:hAnsi="Bookman Old Style" w:cs="Arial"/>
          <w:sz w:val="24"/>
          <w:szCs w:val="24"/>
        </w:rPr>
        <w:t>perundang-undangan</w:t>
      </w:r>
      <w:r w:rsidR="00DA7A4C">
        <w:rPr>
          <w:rFonts w:ascii="Bookman Old Style" w:hAnsi="Bookman Old Style" w:cs="Arial"/>
          <w:sz w:val="24"/>
          <w:szCs w:val="24"/>
          <w:lang w:val="en-US"/>
        </w:rPr>
        <w:t>.</w:t>
      </w:r>
    </w:p>
    <w:p w14:paraId="1B9576E6" w14:textId="6665EE51" w:rsidR="003374DF" w:rsidRPr="00BF3751" w:rsidRDefault="00DA7A4C" w:rsidP="00DA7A4C">
      <w:pPr>
        <w:spacing w:before="60" w:line="276" w:lineRule="auto"/>
        <w:ind w:left="993"/>
        <w:jc w:val="both"/>
        <w:rPr>
          <w:rFonts w:ascii="Bookman Old Style" w:hAnsi="Bookman Old Style" w:cs="Arial"/>
        </w:rPr>
      </w:pPr>
      <w:r>
        <w:rPr>
          <w:rFonts w:ascii="Bookman Old Style" w:hAnsi="Bookman Old Style" w:cs="Arial"/>
        </w:rPr>
        <w:t>D</w:t>
      </w:r>
      <w:r w:rsidR="003374DF" w:rsidRPr="00BF3751">
        <w:rPr>
          <w:rFonts w:ascii="Bookman Old Style" w:hAnsi="Bookman Old Style" w:cs="Arial"/>
        </w:rPr>
        <w:t>engan</w:t>
      </w:r>
      <w:r w:rsidR="00A954D0">
        <w:rPr>
          <w:rFonts w:ascii="Bookman Old Style" w:hAnsi="Bookman Old Style" w:cs="Arial"/>
        </w:rPr>
        <w:t xml:space="preserve"> </w:t>
      </w:r>
      <w:r w:rsidR="003374DF" w:rsidRPr="00BF3751">
        <w:rPr>
          <w:rFonts w:ascii="Bookman Old Style" w:hAnsi="Bookman Old Style" w:cs="Arial"/>
        </w:rPr>
        <w:t>berpedoman</w:t>
      </w:r>
      <w:r w:rsidR="00A954D0">
        <w:rPr>
          <w:rFonts w:ascii="Bookman Old Style" w:hAnsi="Bookman Old Style" w:cs="Arial"/>
        </w:rPr>
        <w:t xml:space="preserve"> </w:t>
      </w:r>
      <w:r w:rsidR="003374DF" w:rsidRPr="00BF3751">
        <w:rPr>
          <w:rFonts w:ascii="Bookman Old Style" w:hAnsi="Bookman Old Style" w:cs="Arial"/>
        </w:rPr>
        <w:t>pada</w:t>
      </w:r>
      <w:r w:rsidR="00A954D0">
        <w:rPr>
          <w:rFonts w:ascii="Bookman Old Style" w:hAnsi="Bookman Old Style" w:cs="Arial"/>
        </w:rPr>
        <w:t xml:space="preserve"> </w:t>
      </w:r>
      <w:r w:rsidR="003374DF" w:rsidRPr="00BF3751">
        <w:rPr>
          <w:rFonts w:ascii="Bookman Old Style" w:hAnsi="Bookman Old Style" w:cs="Arial"/>
        </w:rPr>
        <w:t>Instruksi</w:t>
      </w:r>
      <w:r w:rsidR="00A954D0">
        <w:rPr>
          <w:rFonts w:ascii="Bookman Old Style" w:hAnsi="Bookman Old Style" w:cs="Arial"/>
        </w:rPr>
        <w:t xml:space="preserve"> </w:t>
      </w:r>
      <w:r w:rsidR="003374DF" w:rsidRPr="00BF3751">
        <w:rPr>
          <w:rFonts w:ascii="Bookman Old Style" w:hAnsi="Bookman Old Style" w:cs="Arial"/>
        </w:rPr>
        <w:t>Presiden</w:t>
      </w:r>
      <w:r w:rsidR="00A954D0">
        <w:rPr>
          <w:rFonts w:ascii="Bookman Old Style" w:hAnsi="Bookman Old Style" w:cs="Arial"/>
        </w:rPr>
        <w:t xml:space="preserve"> </w:t>
      </w:r>
      <w:r w:rsidR="003374DF" w:rsidRPr="00BF3751">
        <w:rPr>
          <w:rFonts w:ascii="Bookman Old Style" w:hAnsi="Bookman Old Style" w:cs="Arial"/>
        </w:rPr>
        <w:t>Nomor</w:t>
      </w:r>
      <w:r w:rsidR="00A954D0">
        <w:rPr>
          <w:rFonts w:ascii="Bookman Old Style" w:hAnsi="Bookman Old Style" w:cs="Arial"/>
        </w:rPr>
        <w:t xml:space="preserve"> </w:t>
      </w:r>
      <w:r w:rsidR="003374DF" w:rsidRPr="00BF3751">
        <w:rPr>
          <w:rFonts w:ascii="Bookman Old Style" w:hAnsi="Bookman Old Style" w:cs="Arial"/>
        </w:rPr>
        <w:t>7</w:t>
      </w:r>
      <w:r w:rsidR="00A954D0">
        <w:rPr>
          <w:rFonts w:ascii="Bookman Old Style" w:hAnsi="Bookman Old Style" w:cs="Arial"/>
        </w:rPr>
        <w:t xml:space="preserve"> </w:t>
      </w:r>
      <w:r w:rsidR="003374DF" w:rsidRPr="00BF3751">
        <w:rPr>
          <w:rFonts w:ascii="Bookman Old Style" w:hAnsi="Bookman Old Style" w:cs="Arial"/>
        </w:rPr>
        <w:t>Tahun</w:t>
      </w:r>
      <w:r w:rsidR="00A954D0">
        <w:rPr>
          <w:rFonts w:ascii="Bookman Old Style" w:hAnsi="Bookman Old Style" w:cs="Arial"/>
        </w:rPr>
        <w:t xml:space="preserve"> </w:t>
      </w:r>
      <w:r w:rsidR="003374DF" w:rsidRPr="00BF3751">
        <w:rPr>
          <w:rFonts w:ascii="Bookman Old Style" w:hAnsi="Bookman Old Style" w:cs="Arial"/>
        </w:rPr>
        <w:t>2022</w:t>
      </w:r>
      <w:r w:rsidR="00A954D0">
        <w:rPr>
          <w:rFonts w:ascii="Bookman Old Style" w:hAnsi="Bookman Old Style" w:cs="Arial"/>
        </w:rPr>
        <w:t xml:space="preserve"> </w:t>
      </w:r>
      <w:r w:rsidR="003374DF" w:rsidRPr="00BF3751">
        <w:rPr>
          <w:rFonts w:ascii="Bookman Old Style" w:hAnsi="Bookman Old Style" w:cs="Arial"/>
        </w:rPr>
        <w:t>tentang</w:t>
      </w:r>
      <w:r w:rsidR="00A954D0">
        <w:rPr>
          <w:rFonts w:ascii="Bookman Old Style" w:hAnsi="Bookman Old Style" w:cs="Arial"/>
        </w:rPr>
        <w:t xml:space="preserve"> </w:t>
      </w:r>
      <w:r w:rsidR="003374DF" w:rsidRPr="00BF3751">
        <w:rPr>
          <w:rFonts w:ascii="Bookman Old Style" w:hAnsi="Bookman Old Style" w:cs="Arial"/>
        </w:rPr>
        <w:t>Penggunaan</w:t>
      </w:r>
      <w:r w:rsidR="00A954D0">
        <w:rPr>
          <w:rFonts w:ascii="Bookman Old Style" w:hAnsi="Bookman Old Style" w:cs="Arial"/>
        </w:rPr>
        <w:t xml:space="preserve"> </w:t>
      </w:r>
      <w:r w:rsidR="003374DF" w:rsidRPr="00BF3751">
        <w:rPr>
          <w:rFonts w:ascii="Bookman Old Style" w:hAnsi="Bookman Old Style" w:cs="Arial"/>
        </w:rPr>
        <w:t>Kendaraan</w:t>
      </w:r>
      <w:r w:rsidR="00A954D0">
        <w:rPr>
          <w:rFonts w:ascii="Bookman Old Style" w:hAnsi="Bookman Old Style" w:cs="Arial"/>
        </w:rPr>
        <w:t xml:space="preserve"> </w:t>
      </w:r>
      <w:r w:rsidR="003374DF" w:rsidRPr="00BF3751">
        <w:rPr>
          <w:rFonts w:ascii="Bookman Old Style" w:hAnsi="Bookman Old Style" w:cs="Arial"/>
        </w:rPr>
        <w:t>Bermotor</w:t>
      </w:r>
      <w:r w:rsidR="00A954D0">
        <w:rPr>
          <w:rFonts w:ascii="Bookman Old Style" w:hAnsi="Bookman Old Style" w:cs="Arial"/>
        </w:rPr>
        <w:t xml:space="preserve"> </w:t>
      </w:r>
      <w:r w:rsidR="003374DF" w:rsidRPr="00BF3751">
        <w:rPr>
          <w:rFonts w:ascii="Bookman Old Style" w:hAnsi="Bookman Old Style" w:cs="Arial"/>
        </w:rPr>
        <w:t>Listrik</w:t>
      </w:r>
      <w:r w:rsidR="00A954D0">
        <w:rPr>
          <w:rFonts w:ascii="Bookman Old Style" w:hAnsi="Bookman Old Style" w:cs="Arial"/>
        </w:rPr>
        <w:t xml:space="preserve"> </w:t>
      </w:r>
      <w:r w:rsidR="003374DF" w:rsidRPr="00BF3751">
        <w:rPr>
          <w:rFonts w:ascii="Bookman Old Style" w:hAnsi="Bookman Old Style" w:cs="Arial"/>
        </w:rPr>
        <w:t>Berbasis</w:t>
      </w:r>
      <w:r w:rsidR="00A954D0">
        <w:rPr>
          <w:rFonts w:ascii="Bookman Old Style" w:hAnsi="Bookman Old Style" w:cs="Arial"/>
        </w:rPr>
        <w:t xml:space="preserve"> </w:t>
      </w:r>
      <w:r w:rsidR="003374DF" w:rsidRPr="00BF3751">
        <w:rPr>
          <w:rFonts w:ascii="Bookman Old Style" w:hAnsi="Bookman Old Style" w:cs="Arial"/>
        </w:rPr>
        <w:t>Baterai</w:t>
      </w:r>
      <w:r w:rsidR="00A954D0">
        <w:rPr>
          <w:rFonts w:ascii="Bookman Old Style" w:hAnsi="Bookman Old Style" w:cs="Arial"/>
        </w:rPr>
        <w:t xml:space="preserve"> </w:t>
      </w:r>
      <w:r w:rsidR="003374DF" w:rsidRPr="00BF3751">
        <w:rPr>
          <w:rFonts w:ascii="Bookman Old Style" w:hAnsi="Bookman Old Style" w:cs="Arial"/>
          <w:i/>
        </w:rPr>
        <w:t>(Battery</w:t>
      </w:r>
      <w:r w:rsidR="00A954D0">
        <w:rPr>
          <w:rFonts w:ascii="Bookman Old Style" w:hAnsi="Bookman Old Style" w:cs="Arial"/>
          <w:i/>
        </w:rPr>
        <w:t xml:space="preserve"> </w:t>
      </w:r>
      <w:r w:rsidR="003374DF" w:rsidRPr="00BF3751">
        <w:rPr>
          <w:rFonts w:ascii="Bookman Old Style" w:hAnsi="Bookman Old Style" w:cs="Arial"/>
          <w:i/>
        </w:rPr>
        <w:t>Electric</w:t>
      </w:r>
      <w:r w:rsidR="00A954D0">
        <w:rPr>
          <w:rFonts w:ascii="Bookman Old Style" w:hAnsi="Bookman Old Style" w:cs="Arial"/>
          <w:i/>
        </w:rPr>
        <w:t xml:space="preserve"> </w:t>
      </w:r>
      <w:r w:rsidR="003374DF" w:rsidRPr="00BF3751">
        <w:rPr>
          <w:rFonts w:ascii="Bookman Old Style" w:hAnsi="Bookman Old Style" w:cs="Arial"/>
          <w:i/>
        </w:rPr>
        <w:t>Vehicle)</w:t>
      </w:r>
      <w:r w:rsidR="00A954D0">
        <w:rPr>
          <w:rFonts w:ascii="Bookman Old Style" w:hAnsi="Bookman Old Style" w:cs="Arial"/>
        </w:rPr>
        <w:t xml:space="preserve"> </w:t>
      </w:r>
      <w:r w:rsidR="003374DF" w:rsidRPr="00BF3751">
        <w:rPr>
          <w:rFonts w:ascii="Bookman Old Style" w:hAnsi="Bookman Old Style" w:cs="Arial"/>
        </w:rPr>
        <w:t>Sebagai</w:t>
      </w:r>
      <w:r w:rsidR="00A954D0">
        <w:rPr>
          <w:rFonts w:ascii="Bookman Old Style" w:hAnsi="Bookman Old Style" w:cs="Arial"/>
        </w:rPr>
        <w:t xml:space="preserve"> </w:t>
      </w:r>
      <w:r w:rsidR="003374DF" w:rsidRPr="00BF3751">
        <w:rPr>
          <w:rFonts w:ascii="Bookman Old Style" w:hAnsi="Bookman Old Style" w:cs="Arial"/>
        </w:rPr>
        <w:t>Kendaraan</w:t>
      </w:r>
      <w:r w:rsidR="00A954D0">
        <w:rPr>
          <w:rFonts w:ascii="Bookman Old Style" w:hAnsi="Bookman Old Style" w:cs="Arial"/>
        </w:rPr>
        <w:t xml:space="preserve"> </w:t>
      </w:r>
      <w:r w:rsidR="003374DF" w:rsidRPr="00BF3751">
        <w:rPr>
          <w:rFonts w:ascii="Bookman Old Style" w:hAnsi="Bookman Old Style" w:cs="Arial"/>
        </w:rPr>
        <w:t>Dinas</w:t>
      </w:r>
      <w:r w:rsidR="00A954D0">
        <w:rPr>
          <w:rFonts w:ascii="Bookman Old Style" w:hAnsi="Bookman Old Style" w:cs="Arial"/>
        </w:rPr>
        <w:t xml:space="preserve"> </w:t>
      </w:r>
      <w:r w:rsidR="003374DF" w:rsidRPr="00BF3751">
        <w:rPr>
          <w:rFonts w:ascii="Bookman Old Style" w:hAnsi="Bookman Old Style" w:cs="Arial"/>
        </w:rPr>
        <w:t>Operasional</w:t>
      </w:r>
      <w:r w:rsidR="00A954D0">
        <w:rPr>
          <w:rFonts w:ascii="Bookman Old Style" w:hAnsi="Bookman Old Style" w:cs="Arial"/>
        </w:rPr>
        <w:t xml:space="preserve"> </w:t>
      </w:r>
      <w:r w:rsidR="003374DF" w:rsidRPr="00BF3751">
        <w:rPr>
          <w:rFonts w:ascii="Bookman Old Style" w:hAnsi="Bookman Old Style" w:cs="Arial"/>
        </w:rPr>
        <w:t>dan/atau</w:t>
      </w:r>
      <w:r w:rsidR="00A954D0">
        <w:rPr>
          <w:rFonts w:ascii="Bookman Old Style" w:hAnsi="Bookman Old Style" w:cs="Arial"/>
        </w:rPr>
        <w:t xml:space="preserve"> </w:t>
      </w:r>
      <w:r w:rsidR="003374DF" w:rsidRPr="00BF3751">
        <w:rPr>
          <w:rFonts w:ascii="Bookman Old Style" w:hAnsi="Bookman Old Style" w:cs="Arial"/>
        </w:rPr>
        <w:t>Kendaraan</w:t>
      </w:r>
      <w:r w:rsidR="00A954D0">
        <w:rPr>
          <w:rFonts w:ascii="Bookman Old Style" w:hAnsi="Bookman Old Style" w:cs="Arial"/>
        </w:rPr>
        <w:t xml:space="preserve"> </w:t>
      </w:r>
      <w:r w:rsidR="003374DF" w:rsidRPr="00BF3751">
        <w:rPr>
          <w:rFonts w:ascii="Bookman Old Style" w:hAnsi="Bookman Old Style" w:cs="Arial"/>
        </w:rPr>
        <w:t>Perorangan</w:t>
      </w:r>
      <w:r w:rsidR="00A954D0">
        <w:rPr>
          <w:rFonts w:ascii="Bookman Old Style" w:hAnsi="Bookman Old Style" w:cs="Arial"/>
        </w:rPr>
        <w:t xml:space="preserve"> </w:t>
      </w:r>
      <w:r w:rsidR="003374DF" w:rsidRPr="00BF3751">
        <w:rPr>
          <w:rFonts w:ascii="Bookman Old Style" w:hAnsi="Bookman Old Style" w:cs="Arial"/>
        </w:rPr>
        <w:t>Dinas</w:t>
      </w:r>
      <w:r w:rsidR="00A954D0">
        <w:rPr>
          <w:rFonts w:ascii="Bookman Old Style" w:hAnsi="Bookman Old Style" w:cs="Arial"/>
        </w:rPr>
        <w:t xml:space="preserve"> </w:t>
      </w:r>
      <w:r w:rsidR="003374DF" w:rsidRPr="00BF3751">
        <w:rPr>
          <w:rFonts w:ascii="Bookman Old Style" w:hAnsi="Bookman Old Style" w:cs="Arial"/>
        </w:rPr>
        <w:t>Instansi</w:t>
      </w:r>
      <w:r w:rsidR="00A954D0">
        <w:rPr>
          <w:rFonts w:ascii="Bookman Old Style" w:hAnsi="Bookman Old Style" w:cs="Arial"/>
        </w:rPr>
        <w:t xml:space="preserve"> </w:t>
      </w:r>
      <w:r w:rsidR="003374DF" w:rsidRPr="00BF3751">
        <w:rPr>
          <w:rFonts w:ascii="Bookman Old Style" w:hAnsi="Bookman Old Style" w:cs="Arial"/>
        </w:rPr>
        <w:t>Pemerintah</w:t>
      </w:r>
      <w:r w:rsidR="00A954D0">
        <w:rPr>
          <w:rFonts w:ascii="Bookman Old Style" w:hAnsi="Bookman Old Style" w:cs="Arial"/>
        </w:rPr>
        <w:t xml:space="preserve"> </w:t>
      </w:r>
      <w:r w:rsidR="003374DF" w:rsidRPr="00BF3751">
        <w:rPr>
          <w:rFonts w:ascii="Bookman Old Style" w:hAnsi="Bookman Old Style" w:cs="Arial"/>
        </w:rPr>
        <w:t>Pusat</w:t>
      </w:r>
      <w:r w:rsidR="00A954D0">
        <w:rPr>
          <w:rFonts w:ascii="Bookman Old Style" w:hAnsi="Bookman Old Style" w:cs="Arial"/>
        </w:rPr>
        <w:t xml:space="preserve"> </w:t>
      </w:r>
      <w:r w:rsidR="003374DF" w:rsidRPr="00BF3751">
        <w:rPr>
          <w:rFonts w:ascii="Bookman Old Style" w:hAnsi="Bookman Old Style" w:cs="Arial"/>
        </w:rPr>
        <w:t>dan</w:t>
      </w:r>
      <w:r w:rsidR="00A954D0">
        <w:rPr>
          <w:rFonts w:ascii="Bookman Old Style" w:hAnsi="Bookman Old Style" w:cs="Arial"/>
        </w:rPr>
        <w:t xml:space="preserve"> </w:t>
      </w:r>
      <w:r w:rsidR="003374DF" w:rsidRPr="00BF3751">
        <w:rPr>
          <w:rFonts w:ascii="Bookman Old Style" w:hAnsi="Bookman Old Style" w:cs="Arial"/>
        </w:rPr>
        <w:t>Pemerintahan</w:t>
      </w:r>
      <w:r w:rsidR="00A954D0">
        <w:rPr>
          <w:rFonts w:ascii="Bookman Old Style" w:hAnsi="Bookman Old Style" w:cs="Arial"/>
        </w:rPr>
        <w:t xml:space="preserve"> </w:t>
      </w:r>
      <w:r w:rsidR="003374DF" w:rsidRPr="00BF3751">
        <w:rPr>
          <w:rFonts w:ascii="Bookman Old Style" w:hAnsi="Bookman Old Style" w:cs="Arial"/>
        </w:rPr>
        <w:t>Daerah.</w:t>
      </w:r>
    </w:p>
    <w:p w14:paraId="4FFF18C4" w14:textId="6DA746D4" w:rsidR="003374DF" w:rsidRPr="00BF3751" w:rsidRDefault="003374DF" w:rsidP="00953DC9">
      <w:pPr>
        <w:numPr>
          <w:ilvl w:val="0"/>
          <w:numId w:val="156"/>
        </w:numPr>
        <w:spacing w:before="60" w:line="276" w:lineRule="auto"/>
        <w:ind w:left="993" w:hanging="426"/>
        <w:jc w:val="both"/>
        <w:rPr>
          <w:rFonts w:ascii="Bookman Old Style" w:hAnsi="Bookman Old Style" w:cs="Arial"/>
        </w:rPr>
      </w:pPr>
      <w:r w:rsidRPr="00BF3751">
        <w:rPr>
          <w:rFonts w:ascii="Bookman Old Style" w:hAnsi="Bookman Old Style" w:cs="Arial"/>
        </w:rPr>
        <w:t>Dalam</w:t>
      </w:r>
      <w:r w:rsidR="00A954D0">
        <w:rPr>
          <w:rFonts w:ascii="Bookman Old Style" w:hAnsi="Bookman Old Style" w:cs="Arial"/>
        </w:rPr>
        <w:t xml:space="preserve"> </w:t>
      </w:r>
      <w:r w:rsidRPr="00BF3751">
        <w:rPr>
          <w:rFonts w:ascii="Bookman Old Style" w:hAnsi="Bookman Old Style" w:cs="Arial"/>
        </w:rPr>
        <w:t>rangka</w:t>
      </w:r>
      <w:r w:rsidR="00A954D0">
        <w:rPr>
          <w:rFonts w:ascii="Bookman Old Style" w:hAnsi="Bookman Old Style" w:cs="Arial"/>
        </w:rPr>
        <w:t xml:space="preserve"> </w:t>
      </w:r>
      <w:r w:rsidRPr="00BF3751">
        <w:rPr>
          <w:rFonts w:ascii="Bookman Old Style" w:hAnsi="Bookman Old Style" w:cs="Arial"/>
          <w:lang w:val="id-ID"/>
        </w:rPr>
        <w:t>mengantisipasi</w:t>
      </w:r>
      <w:r w:rsidR="00A954D0">
        <w:rPr>
          <w:rFonts w:ascii="Bookman Old Style" w:hAnsi="Bookman Old Style" w:cs="Arial"/>
        </w:rPr>
        <w:t xml:space="preserve"> </w:t>
      </w:r>
      <w:r w:rsidRPr="00BF3751">
        <w:rPr>
          <w:rFonts w:ascii="Bookman Old Style" w:hAnsi="Bookman Old Style" w:cs="Arial"/>
        </w:rPr>
        <w:t>pendanaan</w:t>
      </w:r>
      <w:r w:rsidR="00A954D0">
        <w:rPr>
          <w:rFonts w:ascii="Bookman Old Style" w:hAnsi="Bookman Old Style" w:cs="Arial"/>
        </w:rPr>
        <w:t xml:space="preserve"> </w:t>
      </w:r>
      <w:r w:rsidRPr="00BF3751">
        <w:rPr>
          <w:rFonts w:ascii="Bookman Old Style" w:hAnsi="Bookman Old Style" w:cs="Arial"/>
        </w:rPr>
        <w:t>keadaan</w:t>
      </w:r>
      <w:r w:rsidR="00A954D0">
        <w:rPr>
          <w:rFonts w:ascii="Bookman Old Style" w:hAnsi="Bookman Old Style" w:cs="Arial"/>
        </w:rPr>
        <w:t xml:space="preserve"> </w:t>
      </w:r>
      <w:r w:rsidRPr="00BF3751">
        <w:rPr>
          <w:rFonts w:ascii="Bookman Old Style" w:hAnsi="Bookman Old Style" w:cs="Arial"/>
        </w:rPr>
        <w:t>darurat</w:t>
      </w:r>
      <w:r w:rsidR="00A954D0">
        <w:rPr>
          <w:rFonts w:ascii="Bookman Old Style" w:hAnsi="Bookman Old Style" w:cs="Arial"/>
        </w:rPr>
        <w:t xml:space="preserve"> </w:t>
      </w:r>
      <w:r w:rsidRPr="00BF3751">
        <w:rPr>
          <w:rFonts w:ascii="Bookman Old Style" w:hAnsi="Bookman Old Style" w:cs="Arial"/>
        </w:rPr>
        <w:t>termasuk</w:t>
      </w:r>
      <w:r w:rsidR="00A954D0">
        <w:rPr>
          <w:rFonts w:ascii="Bookman Old Style" w:hAnsi="Bookman Old Style" w:cs="Arial"/>
        </w:rPr>
        <w:t xml:space="preserve"> </w:t>
      </w:r>
      <w:r w:rsidRPr="00BF3751">
        <w:rPr>
          <w:rFonts w:ascii="Bookman Old Style" w:hAnsi="Bookman Old Style" w:cs="Arial"/>
        </w:rPr>
        <w:t>belanja</w:t>
      </w:r>
      <w:r w:rsidR="00A954D0">
        <w:rPr>
          <w:rFonts w:ascii="Bookman Old Style" w:hAnsi="Bookman Old Style" w:cs="Arial"/>
        </w:rPr>
        <w:t xml:space="preserve"> </w:t>
      </w:r>
      <w:r w:rsidRPr="00BF3751">
        <w:rPr>
          <w:rFonts w:ascii="Bookman Old Style" w:hAnsi="Bookman Old Style" w:cs="Arial"/>
        </w:rPr>
        <w:t>untuk</w:t>
      </w:r>
      <w:r w:rsidR="00A954D0">
        <w:rPr>
          <w:rFonts w:ascii="Bookman Old Style" w:hAnsi="Bookman Old Style" w:cs="Arial"/>
        </w:rPr>
        <w:t xml:space="preserve"> </w:t>
      </w:r>
      <w:r w:rsidRPr="00BF3751">
        <w:rPr>
          <w:rFonts w:ascii="Bookman Old Style" w:hAnsi="Bookman Old Style" w:cs="Arial"/>
          <w:lang w:val="id-ID"/>
        </w:rPr>
        <w:t>keperluan</w:t>
      </w:r>
      <w:r w:rsidR="00A954D0">
        <w:rPr>
          <w:rFonts w:ascii="Bookman Old Style" w:hAnsi="Bookman Old Style" w:cs="Arial"/>
        </w:rPr>
        <w:t xml:space="preserve"> </w:t>
      </w:r>
      <w:r w:rsidRPr="00BF3751">
        <w:rPr>
          <w:rFonts w:ascii="Bookman Old Style" w:hAnsi="Bookman Old Style" w:cs="Arial"/>
        </w:rPr>
        <w:t>mendesak,</w:t>
      </w:r>
      <w:r w:rsidR="00A954D0">
        <w:rPr>
          <w:rFonts w:ascii="Bookman Old Style" w:hAnsi="Bookman Old Style" w:cs="Arial"/>
        </w:rPr>
        <w:t xml:space="preserve"> </w:t>
      </w:r>
      <w:r w:rsidRPr="00BF3751">
        <w:rPr>
          <w:rFonts w:ascii="Bookman Old Style" w:hAnsi="Bookman Old Style" w:cs="Arial"/>
        </w:rPr>
        <w:t>Pemerintah</w:t>
      </w:r>
      <w:r w:rsidR="00A954D0">
        <w:rPr>
          <w:rFonts w:ascii="Bookman Old Style" w:hAnsi="Bookman Old Style" w:cs="Arial"/>
        </w:rPr>
        <w:t xml:space="preserve"> </w:t>
      </w:r>
      <w:r w:rsidRPr="00BF3751">
        <w:rPr>
          <w:rFonts w:ascii="Bookman Old Style" w:hAnsi="Bookman Old Style" w:cs="Arial"/>
        </w:rPr>
        <w:t>Daerah</w:t>
      </w:r>
      <w:r w:rsidR="00A954D0">
        <w:rPr>
          <w:rFonts w:ascii="Bookman Old Style" w:hAnsi="Bookman Old Style" w:cs="Arial"/>
        </w:rPr>
        <w:t xml:space="preserve"> </w:t>
      </w:r>
      <w:r w:rsidR="00046408" w:rsidRPr="00BF3751">
        <w:rPr>
          <w:rFonts w:ascii="Bookman Old Style" w:hAnsi="Bookman Old Style"/>
        </w:rPr>
        <w:t>Kota</w:t>
      </w:r>
      <w:r w:rsidR="00A954D0">
        <w:rPr>
          <w:rFonts w:ascii="Bookman Old Style" w:hAnsi="Bookman Old Style"/>
        </w:rPr>
        <w:t xml:space="preserve"> </w:t>
      </w:r>
      <w:r w:rsidR="00770F22" w:rsidRPr="00BF3751">
        <w:rPr>
          <w:rFonts w:ascii="Bookman Old Style" w:hAnsi="Bookman Old Style"/>
        </w:rPr>
        <w:t>Tangerang</w:t>
      </w:r>
      <w:r w:rsidR="00A954D0">
        <w:rPr>
          <w:rFonts w:ascii="Bookman Old Style" w:hAnsi="Bookman Old Style"/>
        </w:rPr>
        <w:t xml:space="preserve"> </w:t>
      </w:r>
      <w:r w:rsidRPr="00BF3751">
        <w:rPr>
          <w:rFonts w:ascii="Bookman Old Style" w:hAnsi="Bookman Old Style" w:cs="Arial"/>
        </w:rPr>
        <w:t>harus</w:t>
      </w:r>
      <w:r w:rsidR="00A954D0">
        <w:rPr>
          <w:rFonts w:ascii="Bookman Old Style" w:hAnsi="Bookman Old Style" w:cs="Arial"/>
        </w:rPr>
        <w:t xml:space="preserve"> </w:t>
      </w:r>
      <w:r w:rsidRPr="00BF3751">
        <w:rPr>
          <w:rFonts w:ascii="Bookman Old Style" w:hAnsi="Bookman Old Style" w:cs="Arial"/>
        </w:rPr>
        <w:t>mencantumkan</w:t>
      </w:r>
      <w:r w:rsidR="00A954D0">
        <w:rPr>
          <w:rFonts w:ascii="Bookman Old Style" w:hAnsi="Bookman Old Style" w:cs="Arial"/>
        </w:rPr>
        <w:t xml:space="preserve"> </w:t>
      </w:r>
      <w:r w:rsidRPr="00BF3751">
        <w:rPr>
          <w:rFonts w:ascii="Bookman Old Style" w:hAnsi="Bookman Old Style" w:cs="Arial"/>
        </w:rPr>
        <w:t>kriteria</w:t>
      </w:r>
      <w:r w:rsidR="00A954D0">
        <w:rPr>
          <w:rFonts w:ascii="Bookman Old Style" w:hAnsi="Bookman Old Style" w:cs="Arial"/>
        </w:rPr>
        <w:t xml:space="preserve"> </w:t>
      </w:r>
      <w:r w:rsidRPr="00BF3751">
        <w:rPr>
          <w:rFonts w:ascii="Bookman Old Style" w:hAnsi="Bookman Old Style" w:cs="Arial"/>
        </w:rPr>
        <w:t>keadaan</w:t>
      </w:r>
      <w:r w:rsidR="00A954D0">
        <w:rPr>
          <w:rFonts w:ascii="Bookman Old Style" w:hAnsi="Bookman Old Style" w:cs="Arial"/>
        </w:rPr>
        <w:t xml:space="preserve"> </w:t>
      </w:r>
      <w:r w:rsidRPr="00BF3751">
        <w:rPr>
          <w:rFonts w:ascii="Bookman Old Style" w:hAnsi="Bookman Old Style" w:cs="Arial"/>
        </w:rPr>
        <w:t>darurat</w:t>
      </w:r>
      <w:r w:rsidR="00A954D0">
        <w:rPr>
          <w:rFonts w:ascii="Bookman Old Style" w:hAnsi="Bookman Old Style" w:cs="Arial"/>
        </w:rPr>
        <w:t xml:space="preserve"> </w:t>
      </w:r>
      <w:r w:rsidRPr="00BF3751">
        <w:rPr>
          <w:rFonts w:ascii="Bookman Old Style" w:hAnsi="Bookman Old Style" w:cs="Arial"/>
        </w:rPr>
        <w:t>dan</w:t>
      </w:r>
      <w:r w:rsidR="00A954D0">
        <w:rPr>
          <w:rFonts w:ascii="Bookman Old Style" w:hAnsi="Bookman Old Style" w:cs="Arial"/>
        </w:rPr>
        <w:t xml:space="preserve"> </w:t>
      </w:r>
      <w:r w:rsidRPr="00BF3751">
        <w:rPr>
          <w:rFonts w:ascii="Bookman Old Style" w:hAnsi="Bookman Old Style" w:cs="Arial"/>
          <w:lang w:val="id-ID"/>
        </w:rPr>
        <w:t>keperluan</w:t>
      </w:r>
      <w:r w:rsidR="00A954D0">
        <w:rPr>
          <w:rFonts w:ascii="Bookman Old Style" w:hAnsi="Bookman Old Style" w:cs="Arial"/>
          <w:lang w:val="id-ID"/>
        </w:rPr>
        <w:t xml:space="preserve"> </w:t>
      </w:r>
      <w:r w:rsidRPr="00BF3751">
        <w:rPr>
          <w:rFonts w:ascii="Bookman Old Style" w:hAnsi="Bookman Old Style" w:cs="Arial"/>
        </w:rPr>
        <w:t>mendesak</w:t>
      </w:r>
      <w:r w:rsidR="00A954D0">
        <w:rPr>
          <w:rFonts w:ascii="Bookman Old Style" w:hAnsi="Bookman Old Style" w:cs="Arial"/>
        </w:rPr>
        <w:t xml:space="preserve"> </w:t>
      </w:r>
      <w:r w:rsidRPr="00BF3751">
        <w:rPr>
          <w:rFonts w:ascii="Bookman Old Style" w:hAnsi="Bookman Old Style" w:cs="Arial"/>
        </w:rPr>
        <w:t>dalam</w:t>
      </w:r>
      <w:r w:rsidR="00A954D0">
        <w:rPr>
          <w:rFonts w:ascii="Bookman Old Style" w:hAnsi="Bookman Old Style" w:cs="Arial"/>
        </w:rPr>
        <w:t xml:space="preserve"> </w:t>
      </w:r>
      <w:r w:rsidRPr="00BF3751">
        <w:rPr>
          <w:rFonts w:ascii="Bookman Old Style" w:hAnsi="Bookman Old Style" w:cs="Arial"/>
        </w:rPr>
        <w:t>Rancangan</w:t>
      </w:r>
      <w:r w:rsidR="00A954D0">
        <w:rPr>
          <w:rFonts w:ascii="Bookman Old Style" w:hAnsi="Bookman Old Style" w:cs="Arial"/>
        </w:rPr>
        <w:t xml:space="preserve"> </w:t>
      </w:r>
      <w:r w:rsidRPr="00BF3751">
        <w:rPr>
          <w:rFonts w:ascii="Bookman Old Style" w:hAnsi="Bookman Old Style" w:cs="Arial"/>
        </w:rPr>
        <w:t>Peraturan</w:t>
      </w:r>
      <w:r w:rsidR="00A954D0">
        <w:rPr>
          <w:rFonts w:ascii="Bookman Old Style" w:hAnsi="Bookman Old Style" w:cs="Arial"/>
        </w:rPr>
        <w:t xml:space="preserve"> </w:t>
      </w:r>
      <w:r w:rsidRPr="00BF3751">
        <w:rPr>
          <w:rFonts w:ascii="Bookman Old Style" w:hAnsi="Bookman Old Style" w:cs="Arial"/>
        </w:rPr>
        <w:t>Daerah</w:t>
      </w:r>
      <w:r w:rsidR="00A954D0">
        <w:rPr>
          <w:rFonts w:ascii="Bookman Old Style" w:hAnsi="Bookman Old Style" w:cs="Arial"/>
        </w:rPr>
        <w:t xml:space="preserve"> </w:t>
      </w:r>
      <w:r w:rsidR="00B055C5" w:rsidRPr="00BF3751">
        <w:rPr>
          <w:rFonts w:ascii="Bookman Old Style" w:hAnsi="Bookman Old Style" w:cs="Arial"/>
        </w:rPr>
        <w:t>Kota</w:t>
      </w:r>
      <w:r w:rsidR="00A954D0">
        <w:rPr>
          <w:rFonts w:ascii="Bookman Old Style" w:hAnsi="Bookman Old Style" w:cs="Arial"/>
        </w:rPr>
        <w:t xml:space="preserve"> </w:t>
      </w:r>
      <w:r w:rsidR="00770F22" w:rsidRPr="00BF3751">
        <w:rPr>
          <w:rFonts w:ascii="Bookman Old Style" w:hAnsi="Bookman Old Style" w:cs="Arial"/>
        </w:rPr>
        <w:t>Tangerang</w:t>
      </w:r>
      <w:r w:rsidR="00A954D0">
        <w:rPr>
          <w:rFonts w:ascii="Bookman Old Style" w:hAnsi="Bookman Old Style" w:cs="Arial"/>
        </w:rPr>
        <w:t xml:space="preserve"> </w:t>
      </w:r>
      <w:r w:rsidR="00BE6ED9" w:rsidRPr="00BF3751">
        <w:rPr>
          <w:rFonts w:ascii="Bookman Old Style" w:hAnsi="Bookman Old Style" w:cs="Arial"/>
        </w:rPr>
        <w:t>tentang</w:t>
      </w:r>
      <w:r w:rsidR="00A954D0">
        <w:rPr>
          <w:rFonts w:ascii="Bookman Old Style" w:hAnsi="Bookman Old Style" w:cs="Arial"/>
        </w:rPr>
        <w:t xml:space="preserve"> </w:t>
      </w:r>
      <w:r w:rsidR="00BE6ED9" w:rsidRPr="00BF3751">
        <w:rPr>
          <w:rFonts w:ascii="Bookman Old Style" w:hAnsi="Bookman Old Style" w:cs="Arial"/>
        </w:rPr>
        <w:t>APBD</w:t>
      </w:r>
      <w:r w:rsidR="00A954D0">
        <w:rPr>
          <w:rFonts w:ascii="Bookman Old Style" w:hAnsi="Bookman Old Style" w:cs="Arial"/>
        </w:rPr>
        <w:t xml:space="preserve"> </w:t>
      </w:r>
      <w:r w:rsidRPr="00BF3751">
        <w:rPr>
          <w:rFonts w:ascii="Bookman Old Style" w:hAnsi="Bookman Old Style" w:cs="Arial"/>
        </w:rPr>
        <w:t>Tahun</w:t>
      </w:r>
      <w:r w:rsidR="00A954D0">
        <w:rPr>
          <w:rFonts w:ascii="Bookman Old Style" w:hAnsi="Bookman Old Style" w:cs="Arial"/>
        </w:rPr>
        <w:t xml:space="preserve"> </w:t>
      </w:r>
      <w:r w:rsidRPr="00BF3751">
        <w:rPr>
          <w:rFonts w:ascii="Bookman Old Style" w:hAnsi="Bookman Old Style" w:cs="Arial"/>
        </w:rPr>
        <w:t>Anggaran</w:t>
      </w:r>
      <w:r w:rsidR="00A954D0">
        <w:rPr>
          <w:rFonts w:ascii="Bookman Old Style" w:hAnsi="Bookman Old Style" w:cs="Arial"/>
        </w:rPr>
        <w:t xml:space="preserve"> </w:t>
      </w:r>
      <w:r w:rsidRPr="00BF3751">
        <w:rPr>
          <w:rFonts w:ascii="Bookman Old Style" w:hAnsi="Bookman Old Style" w:cs="Arial"/>
        </w:rPr>
        <w:t>2025</w:t>
      </w:r>
      <w:r w:rsidR="00A954D0">
        <w:rPr>
          <w:rFonts w:ascii="Bookman Old Style" w:hAnsi="Bookman Old Style" w:cs="Arial"/>
        </w:rPr>
        <w:t xml:space="preserve"> </w:t>
      </w:r>
      <w:r w:rsidRPr="00BF3751">
        <w:rPr>
          <w:rFonts w:ascii="Bookman Old Style" w:hAnsi="Bookman Old Style" w:cs="Arial"/>
        </w:rPr>
        <w:t>sebagaimana</w:t>
      </w:r>
      <w:r w:rsidR="00A954D0">
        <w:rPr>
          <w:rFonts w:ascii="Bookman Old Style" w:hAnsi="Bookman Old Style" w:cs="Arial"/>
        </w:rPr>
        <w:t xml:space="preserve"> </w:t>
      </w:r>
      <w:r w:rsidRPr="00BF3751">
        <w:rPr>
          <w:rFonts w:ascii="Bookman Old Style" w:hAnsi="Bookman Old Style" w:cs="Arial"/>
        </w:rPr>
        <w:t>maksud</w:t>
      </w:r>
      <w:r w:rsidR="00A954D0">
        <w:rPr>
          <w:rFonts w:ascii="Bookman Old Style" w:hAnsi="Bookman Old Style" w:cs="Arial"/>
        </w:rPr>
        <w:t xml:space="preserve"> </w:t>
      </w:r>
      <w:r w:rsidRPr="00BF3751">
        <w:rPr>
          <w:rFonts w:ascii="Bookman Old Style" w:hAnsi="Bookman Old Style" w:cs="Arial"/>
        </w:rPr>
        <w:t>Pasal</w:t>
      </w:r>
      <w:r w:rsidR="00A954D0">
        <w:rPr>
          <w:rFonts w:ascii="Bookman Old Style" w:hAnsi="Bookman Old Style" w:cs="Arial"/>
        </w:rPr>
        <w:t xml:space="preserve"> </w:t>
      </w:r>
      <w:r w:rsidRPr="00BF3751">
        <w:rPr>
          <w:rFonts w:ascii="Bookman Old Style" w:hAnsi="Bookman Old Style" w:cs="Arial"/>
        </w:rPr>
        <w:t>69</w:t>
      </w:r>
      <w:r w:rsidR="00A954D0">
        <w:rPr>
          <w:rFonts w:ascii="Bookman Old Style" w:hAnsi="Bookman Old Style" w:cs="Arial"/>
        </w:rPr>
        <w:t xml:space="preserve"> </w:t>
      </w:r>
      <w:r w:rsidRPr="00BF3751">
        <w:rPr>
          <w:rFonts w:ascii="Bookman Old Style" w:hAnsi="Bookman Old Style" w:cs="Arial"/>
        </w:rPr>
        <w:t>Peraturan</w:t>
      </w:r>
      <w:r w:rsidR="00A954D0">
        <w:rPr>
          <w:rFonts w:ascii="Bookman Old Style" w:hAnsi="Bookman Old Style" w:cs="Arial"/>
        </w:rPr>
        <w:t xml:space="preserve"> </w:t>
      </w:r>
      <w:r w:rsidRPr="00BF3751">
        <w:rPr>
          <w:rFonts w:ascii="Bookman Old Style" w:hAnsi="Bookman Old Style" w:cs="Arial"/>
        </w:rPr>
        <w:t>Pemerintah</w:t>
      </w:r>
      <w:r w:rsidR="00A954D0">
        <w:rPr>
          <w:rFonts w:ascii="Bookman Old Style" w:hAnsi="Bookman Old Style" w:cs="Arial"/>
        </w:rPr>
        <w:t xml:space="preserve"> </w:t>
      </w:r>
      <w:r w:rsidRPr="00BF3751">
        <w:rPr>
          <w:rFonts w:ascii="Bookman Old Style" w:hAnsi="Bookman Old Style" w:cs="Arial"/>
        </w:rPr>
        <w:t>Nomor</w:t>
      </w:r>
      <w:r w:rsidR="00A954D0">
        <w:rPr>
          <w:rFonts w:ascii="Bookman Old Style" w:hAnsi="Bookman Old Style" w:cs="Arial"/>
        </w:rPr>
        <w:t xml:space="preserve"> </w:t>
      </w:r>
      <w:r w:rsidRPr="00BF3751">
        <w:rPr>
          <w:rFonts w:ascii="Bookman Old Style" w:hAnsi="Bookman Old Style" w:cs="Arial"/>
        </w:rPr>
        <w:t>12</w:t>
      </w:r>
      <w:r w:rsidR="00A954D0">
        <w:rPr>
          <w:rFonts w:ascii="Bookman Old Style" w:hAnsi="Bookman Old Style" w:cs="Arial"/>
        </w:rPr>
        <w:t xml:space="preserve"> </w:t>
      </w:r>
      <w:r w:rsidRPr="00BF3751">
        <w:rPr>
          <w:rFonts w:ascii="Bookman Old Style" w:hAnsi="Bookman Old Style" w:cs="Arial"/>
        </w:rPr>
        <w:t>Tahun</w:t>
      </w:r>
      <w:r w:rsidR="00A954D0">
        <w:rPr>
          <w:rFonts w:ascii="Bookman Old Style" w:hAnsi="Bookman Old Style" w:cs="Arial"/>
        </w:rPr>
        <w:t xml:space="preserve"> </w:t>
      </w:r>
      <w:r w:rsidRPr="00BF3751">
        <w:rPr>
          <w:rFonts w:ascii="Bookman Old Style" w:hAnsi="Bookman Old Style" w:cs="Arial"/>
        </w:rPr>
        <w:t>2019.</w:t>
      </w:r>
    </w:p>
    <w:p w14:paraId="0865EE6C" w14:textId="7ADEA972" w:rsidR="003374DF" w:rsidRPr="00BF3751" w:rsidRDefault="003374DF" w:rsidP="00DA7A4C">
      <w:pPr>
        <w:spacing w:before="60" w:line="276" w:lineRule="auto"/>
        <w:ind w:left="993"/>
        <w:jc w:val="both"/>
        <w:rPr>
          <w:rFonts w:ascii="Bookman Old Style" w:hAnsi="Bookman Old Style" w:cs="Arial"/>
        </w:rPr>
      </w:pPr>
      <w:r w:rsidRPr="00BF3751">
        <w:rPr>
          <w:rFonts w:ascii="Bookman Old Style" w:hAnsi="Bookman Old Style" w:cs="Arial"/>
        </w:rPr>
        <w:t>Keadaan</w:t>
      </w:r>
      <w:r w:rsidR="00A954D0">
        <w:rPr>
          <w:rFonts w:ascii="Bookman Old Style" w:hAnsi="Bookman Old Style" w:cs="Arial"/>
        </w:rPr>
        <w:t xml:space="preserve"> </w:t>
      </w:r>
      <w:r w:rsidRPr="00BF3751">
        <w:rPr>
          <w:rFonts w:ascii="Bookman Old Style" w:hAnsi="Bookman Old Style" w:cs="Arial"/>
        </w:rPr>
        <w:t>darurat</w:t>
      </w:r>
      <w:r w:rsidR="00A954D0">
        <w:rPr>
          <w:rFonts w:ascii="Bookman Old Style" w:hAnsi="Bookman Old Style" w:cs="Arial"/>
        </w:rPr>
        <w:t xml:space="preserve"> </w:t>
      </w:r>
      <w:r w:rsidRPr="00BF3751">
        <w:rPr>
          <w:rFonts w:ascii="Bookman Old Style" w:hAnsi="Bookman Old Style" w:cs="Arial"/>
        </w:rPr>
        <w:t>meliputi:</w:t>
      </w:r>
    </w:p>
    <w:p w14:paraId="49786932" w14:textId="242B40DD" w:rsidR="003374DF" w:rsidRPr="00BF3751" w:rsidRDefault="003374DF" w:rsidP="00DA7A4C">
      <w:pPr>
        <w:numPr>
          <w:ilvl w:val="0"/>
          <w:numId w:val="28"/>
        </w:numPr>
        <w:spacing w:before="60" w:line="276" w:lineRule="auto"/>
        <w:ind w:left="1276" w:hanging="283"/>
        <w:jc w:val="both"/>
        <w:rPr>
          <w:rFonts w:ascii="Bookman Old Style" w:hAnsi="Bookman Old Style" w:cs="Arial"/>
          <w:lang w:val="fi-FI"/>
        </w:rPr>
      </w:pPr>
      <w:r w:rsidRPr="00BF3751">
        <w:rPr>
          <w:rFonts w:ascii="Bookman Old Style" w:hAnsi="Bookman Old Style" w:cs="Arial"/>
          <w:lang w:val="id-ID"/>
        </w:rPr>
        <w:t>B</w:t>
      </w:r>
      <w:r w:rsidRPr="00BF3751">
        <w:rPr>
          <w:rFonts w:ascii="Bookman Old Style" w:hAnsi="Bookman Old Style" w:cs="Arial"/>
          <w:lang w:val="fi-FI"/>
        </w:rPr>
        <w:t>encana</w:t>
      </w:r>
      <w:r w:rsidR="00A954D0">
        <w:rPr>
          <w:rFonts w:ascii="Bookman Old Style" w:hAnsi="Bookman Old Style" w:cs="Arial"/>
          <w:lang w:val="fi-FI"/>
        </w:rPr>
        <w:t xml:space="preserve"> </w:t>
      </w:r>
      <w:r w:rsidRPr="00BF3751">
        <w:rPr>
          <w:rFonts w:ascii="Bookman Old Style" w:hAnsi="Bookman Old Style" w:cs="Arial"/>
          <w:lang w:val="fi-FI"/>
        </w:rPr>
        <w:t>alam,</w:t>
      </w:r>
      <w:r w:rsidR="00A954D0">
        <w:rPr>
          <w:rFonts w:ascii="Bookman Old Style" w:hAnsi="Bookman Old Style" w:cs="Arial"/>
          <w:lang w:val="fi-FI"/>
        </w:rPr>
        <w:t xml:space="preserve"> </w:t>
      </w:r>
      <w:r w:rsidRPr="00BF3751">
        <w:rPr>
          <w:rFonts w:ascii="Bookman Old Style" w:hAnsi="Bookman Old Style" w:cs="Arial"/>
          <w:lang w:val="fi-FI"/>
        </w:rPr>
        <w:t>bencana</w:t>
      </w:r>
      <w:r w:rsidR="00A954D0">
        <w:rPr>
          <w:rFonts w:ascii="Bookman Old Style" w:hAnsi="Bookman Old Style" w:cs="Arial"/>
          <w:lang w:val="fi-FI"/>
        </w:rPr>
        <w:t xml:space="preserve"> </w:t>
      </w:r>
      <w:r w:rsidRPr="00BF3751">
        <w:rPr>
          <w:rFonts w:ascii="Bookman Old Style" w:hAnsi="Bookman Old Style" w:cs="Arial"/>
          <w:lang w:val="fi-FI"/>
        </w:rPr>
        <w:t>non-alam,</w:t>
      </w:r>
      <w:r w:rsidR="00A954D0">
        <w:rPr>
          <w:rFonts w:ascii="Bookman Old Style" w:hAnsi="Bookman Old Style" w:cs="Arial"/>
          <w:lang w:val="fi-FI"/>
        </w:rPr>
        <w:t xml:space="preserve"> </w:t>
      </w:r>
      <w:r w:rsidRPr="00BF3751">
        <w:rPr>
          <w:rFonts w:ascii="Bookman Old Style" w:hAnsi="Bookman Old Style" w:cs="Arial"/>
          <w:lang w:val="fi-FI"/>
        </w:rPr>
        <w:t>bencana</w:t>
      </w:r>
      <w:r w:rsidR="00A954D0">
        <w:rPr>
          <w:rFonts w:ascii="Bookman Old Style" w:hAnsi="Bookman Old Style" w:cs="Arial"/>
          <w:lang w:val="fi-FI"/>
        </w:rPr>
        <w:t xml:space="preserve"> </w:t>
      </w:r>
      <w:r w:rsidRPr="00BF3751">
        <w:rPr>
          <w:rFonts w:ascii="Bookman Old Style" w:hAnsi="Bookman Old Style" w:cs="Arial"/>
          <w:lang w:val="fi-FI"/>
        </w:rPr>
        <w:t>so</w:t>
      </w:r>
      <w:r w:rsidRPr="00BF3751">
        <w:rPr>
          <w:rFonts w:ascii="Bookman Old Style" w:hAnsi="Bookman Old Style" w:cs="Arial"/>
          <w:lang w:val="id-ID"/>
        </w:rPr>
        <w:t>s</w:t>
      </w:r>
      <w:r w:rsidRPr="00BF3751">
        <w:rPr>
          <w:rFonts w:ascii="Bookman Old Style" w:hAnsi="Bookman Old Style" w:cs="Arial"/>
          <w:lang w:val="fi-FI"/>
        </w:rPr>
        <w:t>ial</w:t>
      </w:r>
      <w:r w:rsidR="00A954D0">
        <w:rPr>
          <w:rFonts w:ascii="Bookman Old Style" w:hAnsi="Bookman Old Style" w:cs="Arial"/>
          <w:lang w:val="fi-FI"/>
        </w:rPr>
        <w:t xml:space="preserve"> </w:t>
      </w:r>
      <w:r w:rsidRPr="00BF3751">
        <w:rPr>
          <w:rFonts w:ascii="Bookman Old Style" w:hAnsi="Bookman Old Style" w:cs="Arial"/>
          <w:lang w:val="fi-FI"/>
        </w:rPr>
        <w:t>dan/atau</w:t>
      </w:r>
      <w:r w:rsidR="00A954D0">
        <w:rPr>
          <w:rFonts w:ascii="Bookman Old Style" w:hAnsi="Bookman Old Style" w:cs="Arial"/>
          <w:lang w:val="fi-FI"/>
        </w:rPr>
        <w:t xml:space="preserve"> </w:t>
      </w:r>
      <w:r w:rsidRPr="00BF3751">
        <w:rPr>
          <w:rFonts w:ascii="Bookman Old Style" w:hAnsi="Bookman Old Style" w:cs="Arial"/>
          <w:lang w:val="fi-FI"/>
        </w:rPr>
        <w:t>kejadian</w:t>
      </w:r>
      <w:r w:rsidR="00A954D0">
        <w:rPr>
          <w:rFonts w:ascii="Bookman Old Style" w:hAnsi="Bookman Old Style" w:cs="Arial"/>
          <w:lang w:val="fi-FI"/>
        </w:rPr>
        <w:t xml:space="preserve"> </w:t>
      </w:r>
      <w:r w:rsidRPr="00BF3751">
        <w:rPr>
          <w:rFonts w:ascii="Bookman Old Style" w:hAnsi="Bookman Old Style" w:cs="Arial"/>
          <w:lang w:val="fi-FI"/>
        </w:rPr>
        <w:t>luar</w:t>
      </w:r>
      <w:r w:rsidR="00A954D0">
        <w:rPr>
          <w:rFonts w:ascii="Bookman Old Style" w:hAnsi="Bookman Old Style" w:cs="Arial"/>
          <w:lang w:val="fi-FI"/>
        </w:rPr>
        <w:t xml:space="preserve"> </w:t>
      </w:r>
      <w:r w:rsidRPr="00BF3751">
        <w:rPr>
          <w:rFonts w:ascii="Bookman Old Style" w:hAnsi="Bookman Old Style" w:cs="Arial"/>
          <w:lang w:val="fi-FI"/>
        </w:rPr>
        <w:t>biasa;</w:t>
      </w:r>
    </w:p>
    <w:p w14:paraId="2B687357" w14:textId="771B649E" w:rsidR="003374DF" w:rsidRPr="00BF3751" w:rsidRDefault="003374DF" w:rsidP="00DA7A4C">
      <w:pPr>
        <w:numPr>
          <w:ilvl w:val="0"/>
          <w:numId w:val="28"/>
        </w:numPr>
        <w:spacing w:before="60" w:line="276" w:lineRule="auto"/>
        <w:ind w:left="1276" w:hanging="283"/>
        <w:jc w:val="both"/>
        <w:rPr>
          <w:rFonts w:ascii="Bookman Old Style" w:hAnsi="Bookman Old Style" w:cs="Arial"/>
          <w:lang w:val="fi-FI"/>
        </w:rPr>
      </w:pPr>
      <w:r w:rsidRPr="00BF3751">
        <w:rPr>
          <w:rFonts w:ascii="Bookman Old Style" w:hAnsi="Bookman Old Style" w:cs="Arial"/>
          <w:lang w:val="id-ID"/>
        </w:rPr>
        <w:t>P</w:t>
      </w:r>
      <w:r w:rsidRPr="00BF3751">
        <w:rPr>
          <w:rFonts w:ascii="Bookman Old Style" w:hAnsi="Bookman Old Style" w:cs="Arial"/>
          <w:lang w:val="fi-FI"/>
        </w:rPr>
        <w:t>elaksanaan</w:t>
      </w:r>
      <w:r w:rsidR="00A954D0">
        <w:rPr>
          <w:rFonts w:ascii="Bookman Old Style" w:hAnsi="Bookman Old Style" w:cs="Arial"/>
          <w:lang w:val="fi-FI"/>
        </w:rPr>
        <w:t xml:space="preserve"> </w:t>
      </w:r>
      <w:r w:rsidRPr="00BF3751">
        <w:rPr>
          <w:rFonts w:ascii="Bookman Old Style" w:hAnsi="Bookman Old Style" w:cs="Arial"/>
          <w:lang w:val="fi-FI"/>
        </w:rPr>
        <w:t>operasi</w:t>
      </w:r>
      <w:r w:rsidR="00A954D0">
        <w:rPr>
          <w:rFonts w:ascii="Bookman Old Style" w:hAnsi="Bookman Old Style" w:cs="Arial"/>
          <w:lang w:val="fi-FI"/>
        </w:rPr>
        <w:t xml:space="preserve"> </w:t>
      </w:r>
      <w:r w:rsidRPr="00BF3751">
        <w:rPr>
          <w:rFonts w:ascii="Bookman Old Style" w:hAnsi="Bookman Old Style" w:cs="Arial"/>
          <w:lang w:val="fi-FI"/>
        </w:rPr>
        <w:t>pencarian</w:t>
      </w:r>
      <w:r w:rsidR="00A954D0">
        <w:rPr>
          <w:rFonts w:ascii="Bookman Old Style" w:hAnsi="Bookman Old Style" w:cs="Arial"/>
          <w:lang w:val="fi-FI"/>
        </w:rPr>
        <w:t xml:space="preserve"> </w:t>
      </w:r>
      <w:r w:rsidRPr="00BF3751">
        <w:rPr>
          <w:rFonts w:ascii="Bookman Old Style" w:hAnsi="Bookman Old Style" w:cs="Arial"/>
          <w:lang w:val="fi-FI"/>
        </w:rPr>
        <w:t>dan</w:t>
      </w:r>
      <w:r w:rsidR="00A954D0">
        <w:rPr>
          <w:rFonts w:ascii="Bookman Old Style" w:hAnsi="Bookman Old Style" w:cs="Arial"/>
          <w:lang w:val="fi-FI"/>
        </w:rPr>
        <w:t xml:space="preserve"> </w:t>
      </w:r>
      <w:r w:rsidRPr="00BF3751">
        <w:rPr>
          <w:rFonts w:ascii="Bookman Old Style" w:hAnsi="Bookman Old Style" w:cs="Arial"/>
          <w:lang w:val="fi-FI"/>
        </w:rPr>
        <w:t>pertolongan;</w:t>
      </w:r>
      <w:r w:rsidR="00A954D0">
        <w:rPr>
          <w:rFonts w:ascii="Bookman Old Style" w:hAnsi="Bookman Old Style" w:cs="Arial"/>
          <w:lang w:val="fi-FI"/>
        </w:rPr>
        <w:t xml:space="preserve"> </w:t>
      </w:r>
      <w:r w:rsidRPr="00BF3751">
        <w:rPr>
          <w:rFonts w:ascii="Bookman Old Style" w:hAnsi="Bookman Old Style" w:cs="Arial"/>
          <w:lang w:val="fi-FI"/>
        </w:rPr>
        <w:t>dan/atau</w:t>
      </w:r>
    </w:p>
    <w:p w14:paraId="611D91B7" w14:textId="5E1AC23F" w:rsidR="003374DF" w:rsidRPr="00BF3751" w:rsidRDefault="003374DF" w:rsidP="00DA7A4C">
      <w:pPr>
        <w:numPr>
          <w:ilvl w:val="0"/>
          <w:numId w:val="28"/>
        </w:numPr>
        <w:spacing w:before="60" w:line="276" w:lineRule="auto"/>
        <w:ind w:left="1276" w:hanging="283"/>
        <w:jc w:val="both"/>
        <w:rPr>
          <w:rFonts w:ascii="Bookman Old Style" w:hAnsi="Bookman Old Style" w:cs="Arial"/>
          <w:lang w:val="fi-FI"/>
        </w:rPr>
      </w:pPr>
      <w:r w:rsidRPr="00BF3751">
        <w:rPr>
          <w:rFonts w:ascii="Bookman Old Style" w:hAnsi="Bookman Old Style" w:cs="Arial"/>
          <w:lang w:val="id-ID"/>
        </w:rPr>
        <w:t>K</w:t>
      </w:r>
      <w:r w:rsidRPr="00BF3751">
        <w:rPr>
          <w:rFonts w:ascii="Bookman Old Style" w:hAnsi="Bookman Old Style" w:cs="Arial"/>
          <w:lang w:val="fi-FI"/>
        </w:rPr>
        <w:t>erusakan</w:t>
      </w:r>
      <w:r w:rsidR="00A954D0">
        <w:rPr>
          <w:rFonts w:ascii="Bookman Old Style" w:hAnsi="Bookman Old Style" w:cs="Arial"/>
          <w:lang w:val="fi-FI"/>
        </w:rPr>
        <w:t xml:space="preserve"> </w:t>
      </w:r>
      <w:r w:rsidRPr="00BF3751">
        <w:rPr>
          <w:rFonts w:ascii="Bookman Old Style" w:hAnsi="Bookman Old Style" w:cs="Arial"/>
          <w:lang w:val="fi-FI"/>
        </w:rPr>
        <w:t>sarana/prasarana</w:t>
      </w:r>
      <w:r w:rsidR="00A954D0">
        <w:rPr>
          <w:rFonts w:ascii="Bookman Old Style" w:hAnsi="Bookman Old Style" w:cs="Arial"/>
          <w:lang w:val="fi-FI"/>
        </w:rPr>
        <w:t xml:space="preserve"> </w:t>
      </w:r>
      <w:r w:rsidRPr="00BF3751">
        <w:rPr>
          <w:rFonts w:ascii="Bookman Old Style" w:hAnsi="Bookman Old Style" w:cs="Arial"/>
          <w:lang w:val="fi-FI"/>
        </w:rPr>
        <w:t>yang</w:t>
      </w:r>
      <w:r w:rsidR="00A954D0">
        <w:rPr>
          <w:rFonts w:ascii="Bookman Old Style" w:hAnsi="Bookman Old Style" w:cs="Arial"/>
          <w:lang w:val="fi-FI"/>
        </w:rPr>
        <w:t xml:space="preserve"> </w:t>
      </w:r>
      <w:r w:rsidRPr="00BF3751">
        <w:rPr>
          <w:rFonts w:ascii="Bookman Old Style" w:hAnsi="Bookman Old Style" w:cs="Arial"/>
          <w:lang w:val="fi-FI"/>
        </w:rPr>
        <w:t>dapat</w:t>
      </w:r>
      <w:r w:rsidR="00A954D0">
        <w:rPr>
          <w:rFonts w:ascii="Bookman Old Style" w:hAnsi="Bookman Old Style" w:cs="Arial"/>
          <w:lang w:val="fi-FI"/>
        </w:rPr>
        <w:t xml:space="preserve"> </w:t>
      </w:r>
      <w:r w:rsidRPr="00BF3751">
        <w:rPr>
          <w:rFonts w:ascii="Bookman Old Style" w:hAnsi="Bookman Old Style" w:cs="Arial"/>
          <w:lang w:val="fi-FI"/>
        </w:rPr>
        <w:t>mengganggu</w:t>
      </w:r>
      <w:r w:rsidR="00A954D0">
        <w:rPr>
          <w:rFonts w:ascii="Bookman Old Style" w:hAnsi="Bookman Old Style" w:cs="Arial"/>
          <w:lang w:val="fi-FI"/>
        </w:rPr>
        <w:t xml:space="preserve"> </w:t>
      </w:r>
      <w:r w:rsidRPr="00BF3751">
        <w:rPr>
          <w:rFonts w:ascii="Bookman Old Style" w:hAnsi="Bookman Old Style" w:cs="Arial"/>
          <w:lang w:val="fi-FI"/>
        </w:rPr>
        <w:t>kegiatan</w:t>
      </w:r>
      <w:r w:rsidR="00A954D0">
        <w:rPr>
          <w:rFonts w:ascii="Bookman Old Style" w:hAnsi="Bookman Old Style" w:cs="Arial"/>
          <w:lang w:val="fi-FI"/>
        </w:rPr>
        <w:t xml:space="preserve"> </w:t>
      </w:r>
      <w:r w:rsidRPr="00BF3751">
        <w:rPr>
          <w:rFonts w:ascii="Bookman Old Style" w:hAnsi="Bookman Old Style" w:cs="Arial"/>
          <w:lang w:val="fi-FI"/>
        </w:rPr>
        <w:t>pelayanan</w:t>
      </w:r>
      <w:r w:rsidR="00A954D0">
        <w:rPr>
          <w:rFonts w:ascii="Bookman Old Style" w:hAnsi="Bookman Old Style" w:cs="Arial"/>
          <w:lang w:val="fi-FI"/>
        </w:rPr>
        <w:t xml:space="preserve"> </w:t>
      </w:r>
      <w:r w:rsidRPr="00BF3751">
        <w:rPr>
          <w:rFonts w:ascii="Bookman Old Style" w:hAnsi="Bookman Old Style" w:cs="Arial"/>
          <w:lang w:val="fi-FI"/>
        </w:rPr>
        <w:t>publik.</w:t>
      </w:r>
    </w:p>
    <w:p w14:paraId="466C13C3" w14:textId="200ADE5E" w:rsidR="003374DF" w:rsidRPr="00BF3751" w:rsidRDefault="003374DF" w:rsidP="00DA7A4C">
      <w:pPr>
        <w:spacing w:before="60" w:line="276" w:lineRule="auto"/>
        <w:ind w:left="993"/>
        <w:jc w:val="both"/>
        <w:rPr>
          <w:rFonts w:ascii="Bookman Old Style" w:hAnsi="Bookman Old Style" w:cs="Arial"/>
        </w:rPr>
      </w:pPr>
      <w:r w:rsidRPr="00BF3751">
        <w:rPr>
          <w:rFonts w:ascii="Bookman Old Style" w:hAnsi="Bookman Old Style" w:cs="Arial"/>
        </w:rPr>
        <w:t>Keperluan</w:t>
      </w:r>
      <w:r w:rsidR="00A954D0">
        <w:rPr>
          <w:rFonts w:ascii="Bookman Old Style" w:hAnsi="Bookman Old Style" w:cs="Arial"/>
        </w:rPr>
        <w:t xml:space="preserve"> </w:t>
      </w:r>
      <w:r w:rsidRPr="00BF3751">
        <w:rPr>
          <w:rFonts w:ascii="Bookman Old Style" w:hAnsi="Bookman Old Style" w:cs="Arial"/>
        </w:rPr>
        <w:t>mendesak</w:t>
      </w:r>
      <w:r w:rsidR="00A954D0">
        <w:rPr>
          <w:rFonts w:ascii="Bookman Old Style" w:hAnsi="Bookman Old Style" w:cs="Arial"/>
        </w:rPr>
        <w:t xml:space="preserve"> </w:t>
      </w:r>
      <w:r w:rsidRPr="00BF3751">
        <w:rPr>
          <w:rFonts w:ascii="Bookman Old Style" w:hAnsi="Bookman Old Style" w:cs="Arial"/>
        </w:rPr>
        <w:t>meliputi:</w:t>
      </w:r>
    </w:p>
    <w:p w14:paraId="3B3F0A77" w14:textId="766B5F49" w:rsidR="003374DF" w:rsidRPr="00256727" w:rsidRDefault="003374DF" w:rsidP="00DA7A4C">
      <w:pPr>
        <w:numPr>
          <w:ilvl w:val="0"/>
          <w:numId w:val="29"/>
        </w:numPr>
        <w:spacing w:before="60" w:line="276" w:lineRule="auto"/>
        <w:ind w:left="1276" w:hanging="283"/>
        <w:jc w:val="both"/>
        <w:rPr>
          <w:rFonts w:ascii="Bookman Old Style" w:hAnsi="Bookman Old Style" w:cs="Arial"/>
          <w:lang w:val="sv-FI"/>
        </w:rPr>
      </w:pPr>
      <w:r w:rsidRPr="00256727">
        <w:rPr>
          <w:rFonts w:ascii="Bookman Old Style" w:hAnsi="Bookman Old Style" w:cs="Arial"/>
          <w:lang w:val="sv-FI"/>
        </w:rPr>
        <w:t>Kebutuhan</w:t>
      </w:r>
      <w:r w:rsidR="00A954D0" w:rsidRPr="00256727">
        <w:rPr>
          <w:rFonts w:ascii="Bookman Old Style" w:hAnsi="Bookman Old Style" w:cs="Arial"/>
          <w:lang w:val="sv-FI"/>
        </w:rPr>
        <w:t xml:space="preserve"> </w:t>
      </w:r>
      <w:r w:rsidRPr="00256727">
        <w:rPr>
          <w:rFonts w:ascii="Bookman Old Style" w:hAnsi="Bookman Old Style" w:cs="Arial"/>
          <w:lang w:val="sv-FI"/>
        </w:rPr>
        <w:t>daerah</w:t>
      </w:r>
      <w:r w:rsidR="00A954D0" w:rsidRPr="00256727">
        <w:rPr>
          <w:rFonts w:ascii="Bookman Old Style" w:hAnsi="Bookman Old Style" w:cs="Arial"/>
          <w:lang w:val="sv-FI"/>
        </w:rPr>
        <w:t xml:space="preserve"> </w:t>
      </w:r>
      <w:r w:rsidRPr="00256727">
        <w:rPr>
          <w:rFonts w:ascii="Bookman Old Style" w:hAnsi="Bookman Old Style" w:cs="Arial"/>
          <w:lang w:val="sv-FI"/>
        </w:rPr>
        <w:t>dalam</w:t>
      </w:r>
      <w:r w:rsidR="00A954D0" w:rsidRPr="00256727">
        <w:rPr>
          <w:rFonts w:ascii="Bookman Old Style" w:hAnsi="Bookman Old Style" w:cs="Arial"/>
          <w:lang w:val="sv-FI"/>
        </w:rPr>
        <w:t xml:space="preserve"> </w:t>
      </w:r>
      <w:r w:rsidRPr="00256727">
        <w:rPr>
          <w:rFonts w:ascii="Bookman Old Style" w:hAnsi="Bookman Old Style" w:cs="Arial"/>
          <w:lang w:val="sv-FI"/>
        </w:rPr>
        <w:t>rangka</w:t>
      </w:r>
      <w:r w:rsidR="00A954D0" w:rsidRPr="00256727">
        <w:rPr>
          <w:rFonts w:ascii="Bookman Old Style" w:hAnsi="Bookman Old Style" w:cs="Arial"/>
          <w:lang w:val="sv-FI"/>
        </w:rPr>
        <w:t xml:space="preserve"> </w:t>
      </w:r>
      <w:r w:rsidRPr="00256727">
        <w:rPr>
          <w:rFonts w:ascii="Bookman Old Style" w:hAnsi="Bookman Old Style" w:cs="Arial"/>
          <w:lang w:val="sv-FI"/>
        </w:rPr>
        <w:t>Pelayanan</w:t>
      </w:r>
      <w:r w:rsidR="00A954D0" w:rsidRPr="00256727">
        <w:rPr>
          <w:rFonts w:ascii="Bookman Old Style" w:hAnsi="Bookman Old Style" w:cs="Arial"/>
          <w:lang w:val="sv-FI"/>
        </w:rPr>
        <w:t xml:space="preserve"> </w:t>
      </w:r>
      <w:r w:rsidRPr="00256727">
        <w:rPr>
          <w:rFonts w:ascii="Bookman Old Style" w:hAnsi="Bookman Old Style" w:cs="Arial"/>
          <w:lang w:val="sv-FI"/>
        </w:rPr>
        <w:t>Dasar</w:t>
      </w:r>
      <w:r w:rsidR="00A954D0" w:rsidRPr="00256727">
        <w:rPr>
          <w:rFonts w:ascii="Bookman Old Style" w:hAnsi="Bookman Old Style" w:cs="Arial"/>
          <w:lang w:val="sv-FI"/>
        </w:rPr>
        <w:t xml:space="preserve"> </w:t>
      </w:r>
      <w:r w:rsidRPr="00256727">
        <w:rPr>
          <w:rFonts w:ascii="Bookman Old Style" w:hAnsi="Bookman Old Style" w:cs="Arial"/>
          <w:lang w:val="sv-FI"/>
        </w:rPr>
        <w:t>masyarakat</w:t>
      </w:r>
      <w:r w:rsidR="00A954D0" w:rsidRPr="00256727">
        <w:rPr>
          <w:rFonts w:ascii="Bookman Old Style" w:hAnsi="Bookman Old Style" w:cs="Arial"/>
          <w:lang w:val="sv-FI"/>
        </w:rPr>
        <w:t xml:space="preserve"> </w:t>
      </w:r>
      <w:r w:rsidRPr="00256727">
        <w:rPr>
          <w:rFonts w:ascii="Bookman Old Style" w:hAnsi="Bookman Old Style" w:cs="Arial"/>
          <w:lang w:val="sv-FI"/>
        </w:rPr>
        <w:t>yang</w:t>
      </w:r>
      <w:r w:rsidR="00A954D0" w:rsidRPr="00256727">
        <w:rPr>
          <w:rFonts w:ascii="Bookman Old Style" w:hAnsi="Bookman Old Style" w:cs="Arial"/>
          <w:lang w:val="sv-FI"/>
        </w:rPr>
        <w:t xml:space="preserve"> </w:t>
      </w:r>
      <w:r w:rsidRPr="00256727">
        <w:rPr>
          <w:rFonts w:ascii="Bookman Old Style" w:hAnsi="Bookman Old Style" w:cs="Arial"/>
          <w:lang w:val="sv-FI"/>
        </w:rPr>
        <w:t>anggarannya</w:t>
      </w:r>
      <w:r w:rsidR="00A954D0" w:rsidRPr="00256727">
        <w:rPr>
          <w:rFonts w:ascii="Bookman Old Style" w:hAnsi="Bookman Old Style" w:cs="Arial"/>
          <w:lang w:val="sv-FI"/>
        </w:rPr>
        <w:t xml:space="preserve"> </w:t>
      </w:r>
      <w:r w:rsidRPr="00256727">
        <w:rPr>
          <w:rFonts w:ascii="Bookman Old Style" w:hAnsi="Bookman Old Style" w:cs="Arial"/>
          <w:lang w:val="sv-FI"/>
        </w:rPr>
        <w:t>belum</w:t>
      </w:r>
      <w:r w:rsidR="00A954D0" w:rsidRPr="00256727">
        <w:rPr>
          <w:rFonts w:ascii="Bookman Old Style" w:hAnsi="Bookman Old Style" w:cs="Arial"/>
          <w:lang w:val="sv-FI"/>
        </w:rPr>
        <w:t xml:space="preserve"> </w:t>
      </w:r>
      <w:r w:rsidRPr="00256727">
        <w:rPr>
          <w:rFonts w:ascii="Bookman Old Style" w:hAnsi="Bookman Old Style" w:cs="Arial"/>
          <w:lang w:val="sv-FI"/>
        </w:rPr>
        <w:t>tersedia</w:t>
      </w:r>
      <w:r w:rsidR="00A954D0" w:rsidRPr="00256727">
        <w:rPr>
          <w:rFonts w:ascii="Bookman Old Style" w:hAnsi="Bookman Old Style" w:cs="Arial"/>
          <w:lang w:val="sv-FI"/>
        </w:rPr>
        <w:t xml:space="preserve"> </w:t>
      </w:r>
      <w:r w:rsidRPr="00256727">
        <w:rPr>
          <w:rFonts w:ascii="Bookman Old Style" w:hAnsi="Bookman Old Style" w:cs="Arial"/>
          <w:lang w:val="sv-FI"/>
        </w:rPr>
        <w:t>dalam</w:t>
      </w:r>
      <w:r w:rsidR="00A954D0" w:rsidRPr="00256727">
        <w:rPr>
          <w:rFonts w:ascii="Bookman Old Style" w:hAnsi="Bookman Old Style" w:cs="Arial"/>
          <w:lang w:val="sv-FI"/>
        </w:rPr>
        <w:t xml:space="preserve"> </w:t>
      </w:r>
      <w:r w:rsidRPr="00256727">
        <w:rPr>
          <w:rFonts w:ascii="Bookman Old Style" w:hAnsi="Bookman Old Style" w:cs="Arial"/>
          <w:lang w:val="sv-FI"/>
        </w:rPr>
        <w:t>tahun</w:t>
      </w:r>
      <w:r w:rsidR="00A954D0" w:rsidRPr="00256727">
        <w:rPr>
          <w:rFonts w:ascii="Bookman Old Style" w:hAnsi="Bookman Old Style" w:cs="Arial"/>
          <w:lang w:val="sv-FI"/>
        </w:rPr>
        <w:t xml:space="preserve"> </w:t>
      </w:r>
      <w:r w:rsidRPr="00256727">
        <w:rPr>
          <w:rFonts w:ascii="Bookman Old Style" w:hAnsi="Bookman Old Style" w:cs="Arial"/>
          <w:lang w:val="sv-FI"/>
        </w:rPr>
        <w:t>anggaran</w:t>
      </w:r>
      <w:r w:rsidR="00A954D0" w:rsidRPr="00256727">
        <w:rPr>
          <w:rFonts w:ascii="Bookman Old Style" w:hAnsi="Bookman Old Style" w:cs="Arial"/>
          <w:lang w:val="sv-FI"/>
        </w:rPr>
        <w:t xml:space="preserve"> </w:t>
      </w:r>
      <w:r w:rsidRPr="00256727">
        <w:rPr>
          <w:rFonts w:ascii="Bookman Old Style" w:hAnsi="Bookman Old Style" w:cs="Arial"/>
          <w:lang w:val="sv-FI"/>
        </w:rPr>
        <w:t>berjalan;</w:t>
      </w:r>
    </w:p>
    <w:p w14:paraId="7C813CE9" w14:textId="7A2BD5A8" w:rsidR="003374DF" w:rsidRPr="00256727" w:rsidRDefault="003374DF" w:rsidP="00DA7A4C">
      <w:pPr>
        <w:numPr>
          <w:ilvl w:val="0"/>
          <w:numId w:val="29"/>
        </w:numPr>
        <w:spacing w:before="60" w:line="276" w:lineRule="auto"/>
        <w:ind w:left="1276" w:hanging="283"/>
        <w:jc w:val="both"/>
        <w:rPr>
          <w:rFonts w:ascii="Bookman Old Style" w:hAnsi="Bookman Old Style" w:cs="Arial"/>
          <w:lang w:val="sv-FI"/>
        </w:rPr>
      </w:pPr>
      <w:r w:rsidRPr="00256727">
        <w:rPr>
          <w:rFonts w:ascii="Bookman Old Style" w:hAnsi="Bookman Old Style" w:cs="Arial"/>
          <w:lang w:val="sv-FI"/>
        </w:rPr>
        <w:t>Belanja</w:t>
      </w:r>
      <w:r w:rsidR="00A954D0" w:rsidRPr="00256727">
        <w:rPr>
          <w:rFonts w:ascii="Bookman Old Style" w:hAnsi="Bookman Old Style" w:cs="Arial"/>
          <w:lang w:val="sv-FI"/>
        </w:rPr>
        <w:t xml:space="preserve"> </w:t>
      </w:r>
      <w:r w:rsidRPr="00256727">
        <w:rPr>
          <w:rFonts w:ascii="Bookman Old Style" w:hAnsi="Bookman Old Style" w:cs="Arial"/>
          <w:lang w:val="sv-FI"/>
        </w:rPr>
        <w:t>Daerah</w:t>
      </w:r>
      <w:r w:rsidR="00A954D0" w:rsidRPr="00256727">
        <w:rPr>
          <w:rFonts w:ascii="Bookman Old Style" w:hAnsi="Bookman Old Style" w:cs="Arial"/>
          <w:lang w:val="sv-FI"/>
        </w:rPr>
        <w:t xml:space="preserve"> </w:t>
      </w:r>
      <w:r w:rsidRPr="00256727">
        <w:rPr>
          <w:rFonts w:ascii="Bookman Old Style" w:hAnsi="Bookman Old Style" w:cs="Arial"/>
          <w:lang w:val="sv-FI"/>
        </w:rPr>
        <w:t>yang</w:t>
      </w:r>
      <w:r w:rsidR="00A954D0" w:rsidRPr="00256727">
        <w:rPr>
          <w:rFonts w:ascii="Bookman Old Style" w:hAnsi="Bookman Old Style" w:cs="Arial"/>
          <w:lang w:val="sv-FI"/>
        </w:rPr>
        <w:t xml:space="preserve"> </w:t>
      </w:r>
      <w:r w:rsidRPr="00256727">
        <w:rPr>
          <w:rFonts w:ascii="Bookman Old Style" w:hAnsi="Bookman Old Style" w:cs="Arial"/>
          <w:lang w:val="sv-FI"/>
        </w:rPr>
        <w:t>bersifat</w:t>
      </w:r>
      <w:r w:rsidR="00A954D0" w:rsidRPr="00256727">
        <w:rPr>
          <w:rFonts w:ascii="Bookman Old Style" w:hAnsi="Bookman Old Style" w:cs="Arial"/>
          <w:lang w:val="sv-FI"/>
        </w:rPr>
        <w:t xml:space="preserve"> </w:t>
      </w:r>
      <w:r w:rsidRPr="00256727">
        <w:rPr>
          <w:rFonts w:ascii="Bookman Old Style" w:hAnsi="Bookman Old Style" w:cs="Arial"/>
          <w:lang w:val="sv-FI"/>
        </w:rPr>
        <w:t>mengikat</w:t>
      </w:r>
      <w:r w:rsidR="00A954D0" w:rsidRPr="00256727">
        <w:rPr>
          <w:rFonts w:ascii="Bookman Old Style" w:hAnsi="Bookman Old Style" w:cs="Arial"/>
          <w:lang w:val="sv-FI"/>
        </w:rPr>
        <w:t xml:space="preserve"> </w:t>
      </w:r>
      <w:r w:rsidRPr="00256727">
        <w:rPr>
          <w:rFonts w:ascii="Bookman Old Style" w:hAnsi="Bookman Old Style" w:cs="Arial"/>
          <w:lang w:val="sv-FI"/>
        </w:rPr>
        <w:t>dan</w:t>
      </w:r>
      <w:r w:rsidR="00A954D0" w:rsidRPr="00256727">
        <w:rPr>
          <w:rFonts w:ascii="Bookman Old Style" w:hAnsi="Bookman Old Style" w:cs="Arial"/>
          <w:lang w:val="sv-FI"/>
        </w:rPr>
        <w:t xml:space="preserve"> </w:t>
      </w:r>
      <w:r w:rsidRPr="00256727">
        <w:rPr>
          <w:rFonts w:ascii="Bookman Old Style" w:hAnsi="Bookman Old Style" w:cs="Arial"/>
          <w:lang w:val="sv-FI"/>
        </w:rPr>
        <w:t>belanja</w:t>
      </w:r>
      <w:r w:rsidR="00A954D0" w:rsidRPr="00256727">
        <w:rPr>
          <w:rFonts w:ascii="Bookman Old Style" w:hAnsi="Bookman Old Style" w:cs="Arial"/>
          <w:lang w:val="sv-FI"/>
        </w:rPr>
        <w:t xml:space="preserve"> </w:t>
      </w:r>
      <w:r w:rsidRPr="00256727">
        <w:rPr>
          <w:rFonts w:ascii="Bookman Old Style" w:hAnsi="Bookman Old Style" w:cs="Arial"/>
          <w:lang w:val="sv-FI"/>
        </w:rPr>
        <w:t>yang</w:t>
      </w:r>
      <w:r w:rsidR="00A954D0" w:rsidRPr="00256727">
        <w:rPr>
          <w:rFonts w:ascii="Bookman Old Style" w:hAnsi="Bookman Old Style" w:cs="Arial"/>
          <w:lang w:val="sv-FI"/>
        </w:rPr>
        <w:t xml:space="preserve"> </w:t>
      </w:r>
      <w:r w:rsidRPr="00256727">
        <w:rPr>
          <w:rFonts w:ascii="Bookman Old Style" w:hAnsi="Bookman Old Style" w:cs="Arial"/>
          <w:lang w:val="sv-FI"/>
        </w:rPr>
        <w:t>bersifat</w:t>
      </w:r>
      <w:r w:rsidR="00A954D0" w:rsidRPr="00256727">
        <w:rPr>
          <w:rFonts w:ascii="Bookman Old Style" w:hAnsi="Bookman Old Style" w:cs="Arial"/>
          <w:lang w:val="sv-FI"/>
        </w:rPr>
        <w:t xml:space="preserve"> </w:t>
      </w:r>
      <w:r w:rsidRPr="00256727">
        <w:rPr>
          <w:rFonts w:ascii="Bookman Old Style" w:hAnsi="Bookman Old Style" w:cs="Arial"/>
          <w:lang w:val="sv-FI"/>
        </w:rPr>
        <w:t>wajib;</w:t>
      </w:r>
    </w:p>
    <w:p w14:paraId="050AB401" w14:textId="7D413A03" w:rsidR="003374DF" w:rsidRPr="00256727" w:rsidRDefault="003374DF" w:rsidP="00DA7A4C">
      <w:pPr>
        <w:numPr>
          <w:ilvl w:val="0"/>
          <w:numId w:val="29"/>
        </w:numPr>
        <w:spacing w:before="60" w:line="276" w:lineRule="auto"/>
        <w:ind w:left="1276" w:hanging="283"/>
        <w:jc w:val="both"/>
        <w:rPr>
          <w:rFonts w:ascii="Bookman Old Style" w:hAnsi="Bookman Old Style" w:cs="Arial"/>
          <w:lang w:val="sv-FI"/>
        </w:rPr>
      </w:pPr>
      <w:r w:rsidRPr="00256727">
        <w:rPr>
          <w:rFonts w:ascii="Bookman Old Style" w:hAnsi="Bookman Old Style" w:cs="Arial"/>
          <w:lang w:val="sv-FI"/>
        </w:rPr>
        <w:lastRenderedPageBreak/>
        <w:t>Pengeluaran</w:t>
      </w:r>
      <w:r w:rsidR="00A954D0" w:rsidRPr="00256727">
        <w:rPr>
          <w:rFonts w:ascii="Bookman Old Style" w:hAnsi="Bookman Old Style" w:cs="Arial"/>
          <w:lang w:val="sv-FI"/>
        </w:rPr>
        <w:t xml:space="preserve"> </w:t>
      </w:r>
      <w:r w:rsidRPr="00256727">
        <w:rPr>
          <w:rFonts w:ascii="Bookman Old Style" w:hAnsi="Bookman Old Style" w:cs="Arial"/>
          <w:lang w:val="sv-FI"/>
        </w:rPr>
        <w:t>Daerah</w:t>
      </w:r>
      <w:r w:rsidR="00A954D0" w:rsidRPr="00256727">
        <w:rPr>
          <w:rFonts w:ascii="Bookman Old Style" w:hAnsi="Bookman Old Style" w:cs="Arial"/>
          <w:lang w:val="sv-FI"/>
        </w:rPr>
        <w:t xml:space="preserve"> </w:t>
      </w:r>
      <w:r w:rsidRPr="00256727">
        <w:rPr>
          <w:rFonts w:ascii="Bookman Old Style" w:hAnsi="Bookman Old Style" w:cs="Arial"/>
          <w:lang w:val="sv-FI"/>
        </w:rPr>
        <w:t>yang</w:t>
      </w:r>
      <w:r w:rsidR="00A954D0" w:rsidRPr="00256727">
        <w:rPr>
          <w:rFonts w:ascii="Bookman Old Style" w:hAnsi="Bookman Old Style" w:cs="Arial"/>
          <w:lang w:val="sv-FI"/>
        </w:rPr>
        <w:t xml:space="preserve"> </w:t>
      </w:r>
      <w:r w:rsidRPr="00256727">
        <w:rPr>
          <w:rFonts w:ascii="Bookman Old Style" w:hAnsi="Bookman Old Style" w:cs="Arial"/>
          <w:lang w:val="sv-FI"/>
        </w:rPr>
        <w:t>berada</w:t>
      </w:r>
      <w:r w:rsidR="00A954D0" w:rsidRPr="00256727">
        <w:rPr>
          <w:rFonts w:ascii="Bookman Old Style" w:hAnsi="Bookman Old Style" w:cs="Arial"/>
          <w:lang w:val="sv-FI"/>
        </w:rPr>
        <w:t xml:space="preserve"> </w:t>
      </w:r>
      <w:r w:rsidRPr="00256727">
        <w:rPr>
          <w:rFonts w:ascii="Bookman Old Style" w:hAnsi="Bookman Old Style" w:cs="Arial"/>
          <w:lang w:val="sv-FI"/>
        </w:rPr>
        <w:t>diluar</w:t>
      </w:r>
      <w:r w:rsidR="00A954D0" w:rsidRPr="00256727">
        <w:rPr>
          <w:rFonts w:ascii="Bookman Old Style" w:hAnsi="Bookman Old Style" w:cs="Arial"/>
          <w:lang w:val="sv-FI"/>
        </w:rPr>
        <w:t xml:space="preserve"> </w:t>
      </w:r>
      <w:r w:rsidRPr="00256727">
        <w:rPr>
          <w:rFonts w:ascii="Bookman Old Style" w:hAnsi="Bookman Old Style" w:cs="Arial"/>
          <w:lang w:val="sv-FI"/>
        </w:rPr>
        <w:t>kendali</w:t>
      </w:r>
      <w:r w:rsidR="00A954D0" w:rsidRPr="00256727">
        <w:rPr>
          <w:rFonts w:ascii="Bookman Old Style" w:hAnsi="Bookman Old Style" w:cs="Arial"/>
          <w:lang w:val="sv-FI"/>
        </w:rPr>
        <w:t xml:space="preserve"> </w:t>
      </w:r>
      <w:r w:rsidRPr="00256727">
        <w:rPr>
          <w:rFonts w:ascii="Bookman Old Style" w:hAnsi="Bookman Old Style" w:cs="Arial"/>
          <w:lang w:val="sv-FI"/>
        </w:rPr>
        <w:t>Pemerintah</w:t>
      </w:r>
      <w:r w:rsidR="00A954D0" w:rsidRPr="00256727">
        <w:rPr>
          <w:rFonts w:ascii="Bookman Old Style" w:hAnsi="Bookman Old Style" w:cs="Arial"/>
          <w:lang w:val="sv-FI"/>
        </w:rPr>
        <w:t xml:space="preserve"> </w:t>
      </w:r>
      <w:r w:rsidRPr="00256727">
        <w:rPr>
          <w:rFonts w:ascii="Bookman Old Style" w:hAnsi="Bookman Old Style" w:cs="Arial"/>
          <w:lang w:val="sv-FI"/>
        </w:rPr>
        <w:t>Daerah</w:t>
      </w:r>
      <w:r w:rsidR="00A954D0" w:rsidRPr="00256727">
        <w:rPr>
          <w:rFonts w:ascii="Bookman Old Style" w:hAnsi="Bookman Old Style" w:cs="Arial"/>
          <w:lang w:val="sv-FI"/>
        </w:rPr>
        <w:t xml:space="preserve"> </w:t>
      </w:r>
      <w:r w:rsidRPr="00256727">
        <w:rPr>
          <w:rFonts w:ascii="Bookman Old Style" w:hAnsi="Bookman Old Style" w:cs="Arial"/>
          <w:lang w:val="sv-FI"/>
        </w:rPr>
        <w:t>dan</w:t>
      </w:r>
      <w:r w:rsidR="00A954D0" w:rsidRPr="00256727">
        <w:rPr>
          <w:rFonts w:ascii="Bookman Old Style" w:hAnsi="Bookman Old Style" w:cs="Arial"/>
          <w:lang w:val="sv-FI"/>
        </w:rPr>
        <w:t xml:space="preserve"> </w:t>
      </w:r>
      <w:r w:rsidRPr="00256727">
        <w:rPr>
          <w:rFonts w:ascii="Bookman Old Style" w:hAnsi="Bookman Old Style" w:cs="Arial"/>
          <w:lang w:val="sv-FI"/>
        </w:rPr>
        <w:t>tidak</w:t>
      </w:r>
      <w:r w:rsidR="00A954D0" w:rsidRPr="00256727">
        <w:rPr>
          <w:rFonts w:ascii="Bookman Old Style" w:hAnsi="Bookman Old Style" w:cs="Arial"/>
          <w:lang w:val="sv-FI"/>
        </w:rPr>
        <w:t xml:space="preserve"> </w:t>
      </w:r>
      <w:r w:rsidRPr="00256727">
        <w:rPr>
          <w:rFonts w:ascii="Bookman Old Style" w:hAnsi="Bookman Old Style" w:cs="Arial"/>
          <w:lang w:val="sv-FI"/>
        </w:rPr>
        <w:t>dapat</w:t>
      </w:r>
      <w:r w:rsidR="00A954D0" w:rsidRPr="00256727">
        <w:rPr>
          <w:rFonts w:ascii="Bookman Old Style" w:hAnsi="Bookman Old Style" w:cs="Arial"/>
          <w:lang w:val="sv-FI"/>
        </w:rPr>
        <w:t xml:space="preserve"> </w:t>
      </w:r>
      <w:r w:rsidRPr="00256727">
        <w:rPr>
          <w:rFonts w:ascii="Bookman Old Style" w:hAnsi="Bookman Old Style" w:cs="Arial"/>
          <w:lang w:val="sv-FI"/>
        </w:rPr>
        <w:t>diprediksikan</w:t>
      </w:r>
      <w:r w:rsidR="00A954D0" w:rsidRPr="00256727">
        <w:rPr>
          <w:rFonts w:ascii="Bookman Old Style" w:hAnsi="Bookman Old Style" w:cs="Arial"/>
          <w:lang w:val="sv-FI"/>
        </w:rPr>
        <w:t xml:space="preserve"> </w:t>
      </w:r>
      <w:r w:rsidRPr="00256727">
        <w:rPr>
          <w:rFonts w:ascii="Bookman Old Style" w:hAnsi="Bookman Old Style" w:cs="Arial"/>
          <w:lang w:val="sv-FI"/>
        </w:rPr>
        <w:t>sebelumnya,</w:t>
      </w:r>
      <w:r w:rsidR="00A954D0" w:rsidRPr="00256727">
        <w:rPr>
          <w:rFonts w:ascii="Bookman Old Style" w:hAnsi="Bookman Old Style" w:cs="Arial"/>
          <w:lang w:val="sv-FI"/>
        </w:rPr>
        <w:t xml:space="preserve"> </w:t>
      </w:r>
      <w:r w:rsidRPr="00256727">
        <w:rPr>
          <w:rFonts w:ascii="Bookman Old Style" w:hAnsi="Bookman Old Style" w:cs="Arial"/>
          <w:lang w:val="sv-FI"/>
        </w:rPr>
        <w:t>serta</w:t>
      </w:r>
      <w:r w:rsidR="00A954D0" w:rsidRPr="00256727">
        <w:rPr>
          <w:rFonts w:ascii="Bookman Old Style" w:hAnsi="Bookman Old Style" w:cs="Arial"/>
          <w:lang w:val="sv-FI"/>
        </w:rPr>
        <w:t xml:space="preserve"> </w:t>
      </w:r>
      <w:r w:rsidRPr="00256727">
        <w:rPr>
          <w:rFonts w:ascii="Bookman Old Style" w:hAnsi="Bookman Old Style" w:cs="Arial"/>
          <w:lang w:val="sv-FI"/>
        </w:rPr>
        <w:t>amanat</w:t>
      </w:r>
      <w:r w:rsidR="00A954D0" w:rsidRPr="00256727">
        <w:rPr>
          <w:rFonts w:ascii="Bookman Old Style" w:hAnsi="Bookman Old Style" w:cs="Arial"/>
          <w:lang w:val="sv-FI"/>
        </w:rPr>
        <w:t xml:space="preserve"> </w:t>
      </w:r>
      <w:r w:rsidRPr="00256727">
        <w:rPr>
          <w:rFonts w:ascii="Bookman Old Style" w:hAnsi="Bookman Old Style" w:cs="Arial"/>
          <w:lang w:val="sv-FI"/>
        </w:rPr>
        <w:t>peraturan</w:t>
      </w:r>
      <w:r w:rsidR="00A954D0" w:rsidRPr="00256727">
        <w:rPr>
          <w:rFonts w:ascii="Bookman Old Style" w:hAnsi="Bookman Old Style" w:cs="Arial"/>
          <w:lang w:val="sv-FI"/>
        </w:rPr>
        <w:t xml:space="preserve"> </w:t>
      </w:r>
      <w:r w:rsidRPr="00256727">
        <w:rPr>
          <w:rFonts w:ascii="Bookman Old Style" w:hAnsi="Bookman Old Style" w:cs="Arial"/>
          <w:lang w:val="sv-FI"/>
        </w:rPr>
        <w:t>perundang-undangan;</w:t>
      </w:r>
      <w:r w:rsidR="00A954D0" w:rsidRPr="00256727">
        <w:rPr>
          <w:rFonts w:ascii="Bookman Old Style" w:hAnsi="Bookman Old Style" w:cs="Arial"/>
          <w:lang w:val="sv-FI"/>
        </w:rPr>
        <w:t xml:space="preserve"> </w:t>
      </w:r>
      <w:r w:rsidRPr="00256727">
        <w:rPr>
          <w:rFonts w:ascii="Bookman Old Style" w:hAnsi="Bookman Old Style" w:cs="Arial"/>
          <w:lang w:val="sv-FI"/>
        </w:rPr>
        <w:t>dan/atau</w:t>
      </w:r>
    </w:p>
    <w:p w14:paraId="06A8397F" w14:textId="2E8ED35E" w:rsidR="003374DF" w:rsidRPr="00256727" w:rsidRDefault="003374DF" w:rsidP="00DA7A4C">
      <w:pPr>
        <w:numPr>
          <w:ilvl w:val="0"/>
          <w:numId w:val="29"/>
        </w:numPr>
        <w:spacing w:before="60" w:line="276" w:lineRule="auto"/>
        <w:ind w:left="1276" w:hanging="283"/>
        <w:jc w:val="both"/>
        <w:rPr>
          <w:rFonts w:ascii="Bookman Old Style" w:hAnsi="Bookman Old Style" w:cs="Arial"/>
          <w:lang w:val="sv-FI"/>
        </w:rPr>
      </w:pPr>
      <w:r w:rsidRPr="00256727">
        <w:rPr>
          <w:rFonts w:ascii="Bookman Old Style" w:hAnsi="Bookman Old Style" w:cs="Arial"/>
          <w:lang w:val="sv-FI"/>
        </w:rPr>
        <w:t>Pengeluaran</w:t>
      </w:r>
      <w:r w:rsidR="00A954D0" w:rsidRPr="00256727">
        <w:rPr>
          <w:rFonts w:ascii="Bookman Old Style" w:hAnsi="Bookman Old Style" w:cs="Arial"/>
          <w:lang w:val="sv-FI"/>
        </w:rPr>
        <w:t xml:space="preserve"> </w:t>
      </w:r>
      <w:r w:rsidRPr="00256727">
        <w:rPr>
          <w:rFonts w:ascii="Bookman Old Style" w:hAnsi="Bookman Old Style" w:cs="Arial"/>
          <w:lang w:val="sv-FI"/>
        </w:rPr>
        <w:t>Daerah</w:t>
      </w:r>
      <w:r w:rsidR="00A954D0" w:rsidRPr="00256727">
        <w:rPr>
          <w:rFonts w:ascii="Bookman Old Style" w:hAnsi="Bookman Old Style" w:cs="Arial"/>
          <w:lang w:val="sv-FI"/>
        </w:rPr>
        <w:t xml:space="preserve"> </w:t>
      </w:r>
      <w:r w:rsidRPr="00256727">
        <w:rPr>
          <w:rFonts w:ascii="Bookman Old Style" w:hAnsi="Bookman Old Style" w:cs="Arial"/>
          <w:lang w:val="sv-FI"/>
        </w:rPr>
        <w:t>lainnya</w:t>
      </w:r>
      <w:r w:rsidR="00A954D0" w:rsidRPr="00256727">
        <w:rPr>
          <w:rFonts w:ascii="Bookman Old Style" w:hAnsi="Bookman Old Style" w:cs="Arial"/>
          <w:lang w:val="sv-FI"/>
        </w:rPr>
        <w:t xml:space="preserve"> </w:t>
      </w:r>
      <w:r w:rsidRPr="00256727">
        <w:rPr>
          <w:rFonts w:ascii="Bookman Old Style" w:hAnsi="Bookman Old Style" w:cs="Arial"/>
          <w:lang w:val="sv-FI"/>
        </w:rPr>
        <w:t>yang</w:t>
      </w:r>
      <w:r w:rsidR="00A954D0" w:rsidRPr="00256727">
        <w:rPr>
          <w:rFonts w:ascii="Bookman Old Style" w:hAnsi="Bookman Old Style" w:cs="Arial"/>
          <w:lang w:val="sv-FI"/>
        </w:rPr>
        <w:t xml:space="preserve"> </w:t>
      </w:r>
      <w:r w:rsidRPr="00256727">
        <w:rPr>
          <w:rFonts w:ascii="Bookman Old Style" w:hAnsi="Bookman Old Style" w:cs="Arial"/>
          <w:lang w:val="sv-FI"/>
        </w:rPr>
        <w:t>apabila</w:t>
      </w:r>
      <w:r w:rsidR="00A954D0" w:rsidRPr="00256727">
        <w:rPr>
          <w:rFonts w:ascii="Bookman Old Style" w:hAnsi="Bookman Old Style" w:cs="Arial"/>
          <w:lang w:val="sv-FI"/>
        </w:rPr>
        <w:t xml:space="preserve"> </w:t>
      </w:r>
      <w:r w:rsidRPr="00256727">
        <w:rPr>
          <w:rFonts w:ascii="Bookman Old Style" w:hAnsi="Bookman Old Style" w:cs="Arial"/>
          <w:lang w:val="sv-FI"/>
        </w:rPr>
        <w:t>ditunda</w:t>
      </w:r>
      <w:r w:rsidR="00A954D0" w:rsidRPr="00256727">
        <w:rPr>
          <w:rFonts w:ascii="Bookman Old Style" w:hAnsi="Bookman Old Style" w:cs="Arial"/>
          <w:lang w:val="sv-FI"/>
        </w:rPr>
        <w:t xml:space="preserve"> </w:t>
      </w:r>
      <w:r w:rsidRPr="00256727">
        <w:rPr>
          <w:rFonts w:ascii="Bookman Old Style" w:hAnsi="Bookman Old Style" w:cs="Arial"/>
          <w:lang w:val="sv-FI"/>
        </w:rPr>
        <w:t>akan</w:t>
      </w:r>
      <w:r w:rsidR="00A954D0" w:rsidRPr="00256727">
        <w:rPr>
          <w:rFonts w:ascii="Bookman Old Style" w:hAnsi="Bookman Old Style" w:cs="Arial"/>
          <w:lang w:val="sv-FI"/>
        </w:rPr>
        <w:t xml:space="preserve"> </w:t>
      </w:r>
      <w:r w:rsidRPr="00256727">
        <w:rPr>
          <w:rFonts w:ascii="Bookman Old Style" w:hAnsi="Bookman Old Style" w:cs="Arial"/>
          <w:lang w:val="sv-FI"/>
        </w:rPr>
        <w:t>menimbulkan</w:t>
      </w:r>
      <w:r w:rsidR="00A954D0" w:rsidRPr="00256727">
        <w:rPr>
          <w:rFonts w:ascii="Bookman Old Style" w:hAnsi="Bookman Old Style" w:cs="Arial"/>
          <w:lang w:val="sv-FI"/>
        </w:rPr>
        <w:t xml:space="preserve"> </w:t>
      </w:r>
      <w:r w:rsidRPr="00256727">
        <w:rPr>
          <w:rFonts w:ascii="Bookman Old Style" w:hAnsi="Bookman Old Style" w:cs="Arial"/>
          <w:lang w:val="sv-FI"/>
        </w:rPr>
        <w:t>kerugian</w:t>
      </w:r>
      <w:r w:rsidR="00A954D0" w:rsidRPr="00256727">
        <w:rPr>
          <w:rFonts w:ascii="Bookman Old Style" w:hAnsi="Bookman Old Style" w:cs="Arial"/>
          <w:lang w:val="sv-FI"/>
        </w:rPr>
        <w:t xml:space="preserve"> </w:t>
      </w:r>
      <w:r w:rsidRPr="00256727">
        <w:rPr>
          <w:rFonts w:ascii="Bookman Old Style" w:hAnsi="Bookman Old Style" w:cs="Arial"/>
          <w:lang w:val="sv-FI"/>
        </w:rPr>
        <w:t>yang</w:t>
      </w:r>
      <w:r w:rsidR="00A954D0" w:rsidRPr="00256727">
        <w:rPr>
          <w:rFonts w:ascii="Bookman Old Style" w:hAnsi="Bookman Old Style" w:cs="Arial"/>
          <w:lang w:val="sv-FI"/>
        </w:rPr>
        <w:t xml:space="preserve"> </w:t>
      </w:r>
      <w:r w:rsidRPr="00256727">
        <w:rPr>
          <w:rFonts w:ascii="Bookman Old Style" w:hAnsi="Bookman Old Style" w:cs="Arial"/>
          <w:lang w:val="sv-FI"/>
        </w:rPr>
        <w:t>lebih</w:t>
      </w:r>
      <w:r w:rsidR="00A954D0" w:rsidRPr="00256727">
        <w:rPr>
          <w:rFonts w:ascii="Bookman Old Style" w:hAnsi="Bookman Old Style" w:cs="Arial"/>
          <w:lang w:val="sv-FI"/>
        </w:rPr>
        <w:t xml:space="preserve"> </w:t>
      </w:r>
      <w:r w:rsidRPr="00256727">
        <w:rPr>
          <w:rFonts w:ascii="Bookman Old Style" w:hAnsi="Bookman Old Style" w:cs="Arial"/>
          <w:lang w:val="sv-FI"/>
        </w:rPr>
        <w:t>besar</w:t>
      </w:r>
      <w:r w:rsidR="00A954D0" w:rsidRPr="00256727">
        <w:rPr>
          <w:rFonts w:ascii="Bookman Old Style" w:hAnsi="Bookman Old Style" w:cs="Arial"/>
          <w:lang w:val="sv-FI"/>
        </w:rPr>
        <w:t xml:space="preserve"> </w:t>
      </w:r>
      <w:r w:rsidRPr="00256727">
        <w:rPr>
          <w:rFonts w:ascii="Bookman Old Style" w:hAnsi="Bookman Old Style" w:cs="Arial"/>
          <w:lang w:val="sv-FI"/>
        </w:rPr>
        <w:t>bagi</w:t>
      </w:r>
      <w:r w:rsidR="00A954D0" w:rsidRPr="00256727">
        <w:rPr>
          <w:rFonts w:ascii="Bookman Old Style" w:hAnsi="Bookman Old Style" w:cs="Arial"/>
          <w:lang w:val="sv-FI"/>
        </w:rPr>
        <w:t xml:space="preserve"> </w:t>
      </w:r>
      <w:r w:rsidRPr="00256727">
        <w:rPr>
          <w:rFonts w:ascii="Bookman Old Style" w:hAnsi="Bookman Old Style" w:cs="Arial"/>
          <w:lang w:val="sv-FI"/>
        </w:rPr>
        <w:t>Pemerintah</w:t>
      </w:r>
      <w:r w:rsidR="00A954D0" w:rsidRPr="00256727">
        <w:rPr>
          <w:rFonts w:ascii="Bookman Old Style" w:hAnsi="Bookman Old Style" w:cs="Arial"/>
          <w:lang w:val="sv-FI"/>
        </w:rPr>
        <w:t xml:space="preserve"> </w:t>
      </w:r>
      <w:r w:rsidRPr="00256727">
        <w:rPr>
          <w:rFonts w:ascii="Bookman Old Style" w:hAnsi="Bookman Old Style" w:cs="Arial"/>
          <w:lang w:val="sv-FI"/>
        </w:rPr>
        <w:t>Daerah</w:t>
      </w:r>
      <w:r w:rsidR="00A954D0" w:rsidRPr="00256727">
        <w:rPr>
          <w:rFonts w:ascii="Bookman Old Style" w:hAnsi="Bookman Old Style" w:cs="Arial"/>
          <w:lang w:val="sv-FI"/>
        </w:rPr>
        <w:t xml:space="preserve"> </w:t>
      </w:r>
      <w:r w:rsidR="00046408" w:rsidRPr="00256727">
        <w:rPr>
          <w:rFonts w:ascii="Bookman Old Style" w:hAnsi="Bookman Old Style"/>
          <w:lang w:val="sv-FI"/>
        </w:rPr>
        <w:t>Kota</w:t>
      </w:r>
      <w:r w:rsidR="00A954D0" w:rsidRPr="00256727">
        <w:rPr>
          <w:rFonts w:ascii="Bookman Old Style" w:hAnsi="Bookman Old Style"/>
          <w:lang w:val="sv-FI"/>
        </w:rPr>
        <w:t xml:space="preserve"> </w:t>
      </w:r>
      <w:r w:rsidR="00770F22" w:rsidRPr="00256727">
        <w:rPr>
          <w:rFonts w:ascii="Bookman Old Style" w:hAnsi="Bookman Old Style"/>
          <w:lang w:val="sv-FI"/>
        </w:rPr>
        <w:t>Tangerang</w:t>
      </w:r>
      <w:r w:rsidR="00A954D0" w:rsidRPr="00256727">
        <w:rPr>
          <w:rFonts w:ascii="Bookman Old Style" w:hAnsi="Bookman Old Style"/>
          <w:lang w:val="sv-FI"/>
        </w:rPr>
        <w:t xml:space="preserve"> </w:t>
      </w:r>
      <w:r w:rsidRPr="00256727">
        <w:rPr>
          <w:rFonts w:ascii="Bookman Old Style" w:hAnsi="Bookman Old Style" w:cs="Arial"/>
          <w:lang w:val="sv-FI"/>
        </w:rPr>
        <w:t>dan/atau</w:t>
      </w:r>
      <w:r w:rsidR="00A954D0" w:rsidRPr="00256727">
        <w:rPr>
          <w:rFonts w:ascii="Bookman Old Style" w:hAnsi="Bookman Old Style" w:cs="Arial"/>
          <w:lang w:val="sv-FI"/>
        </w:rPr>
        <w:t xml:space="preserve"> </w:t>
      </w:r>
      <w:r w:rsidRPr="00256727">
        <w:rPr>
          <w:rFonts w:ascii="Bookman Old Style" w:hAnsi="Bookman Old Style" w:cs="Arial"/>
          <w:lang w:val="sv-FI"/>
        </w:rPr>
        <w:t>masyarakat.</w:t>
      </w:r>
    </w:p>
    <w:p w14:paraId="7EB27A46" w14:textId="788B8B1F" w:rsidR="003374DF" w:rsidRPr="00BF3751" w:rsidRDefault="003374DF" w:rsidP="00953DC9">
      <w:pPr>
        <w:numPr>
          <w:ilvl w:val="0"/>
          <w:numId w:val="156"/>
        </w:numPr>
        <w:spacing w:before="60" w:line="276" w:lineRule="auto"/>
        <w:ind w:left="993" w:hanging="426"/>
        <w:jc w:val="both"/>
        <w:rPr>
          <w:rFonts w:ascii="Bookman Old Style" w:hAnsi="Bookman Old Style" w:cs="Arial"/>
          <w:lang w:val="fi-FI"/>
        </w:rPr>
      </w:pPr>
      <w:r w:rsidRPr="00BF3751">
        <w:rPr>
          <w:rFonts w:ascii="Bookman Old Style" w:hAnsi="Bookman Old Style" w:cs="Arial"/>
          <w:lang w:val="fi-FI"/>
        </w:rPr>
        <w:t>Pemerintah</w:t>
      </w:r>
      <w:r w:rsidR="00A954D0">
        <w:rPr>
          <w:rFonts w:ascii="Bookman Old Style" w:hAnsi="Bookman Old Style"/>
          <w:lang w:val="fi-FI"/>
        </w:rPr>
        <w:t xml:space="preserve"> </w:t>
      </w:r>
      <w:r w:rsidRPr="00BF3751">
        <w:rPr>
          <w:rFonts w:ascii="Bookman Old Style" w:hAnsi="Bookman Old Style"/>
          <w:lang w:val="fi-FI"/>
        </w:rPr>
        <w:t>Daerah</w:t>
      </w:r>
      <w:r w:rsidR="00A954D0">
        <w:rPr>
          <w:rFonts w:ascii="Bookman Old Style" w:hAnsi="Bookman Old Style"/>
          <w:lang w:val="fi-FI"/>
        </w:rPr>
        <w:t xml:space="preserve"> </w:t>
      </w:r>
      <w:r w:rsidR="00046408" w:rsidRPr="00BF3751">
        <w:rPr>
          <w:rFonts w:ascii="Bookman Old Style" w:hAnsi="Bookman Old Style"/>
          <w:lang w:val="fi-FI"/>
        </w:rPr>
        <w:t>Kota</w:t>
      </w:r>
      <w:r w:rsidR="00A954D0">
        <w:rPr>
          <w:rFonts w:ascii="Bookman Old Style" w:hAnsi="Bookman Old Style"/>
          <w:lang w:val="fi-FI"/>
        </w:rPr>
        <w:t xml:space="preserve"> </w:t>
      </w:r>
      <w:r w:rsidR="00770F22" w:rsidRPr="00BF3751">
        <w:rPr>
          <w:rFonts w:ascii="Bookman Old Style" w:hAnsi="Bookman Old Style"/>
          <w:lang w:val="fi-FI"/>
        </w:rPr>
        <w:t>Tangerang</w:t>
      </w:r>
      <w:r w:rsidR="00A954D0">
        <w:rPr>
          <w:rFonts w:ascii="Bookman Old Style" w:hAnsi="Bookman Old Style"/>
          <w:lang w:val="fi-FI"/>
        </w:rPr>
        <w:t xml:space="preserve"> </w:t>
      </w:r>
      <w:r w:rsidRPr="00BF3751">
        <w:rPr>
          <w:rFonts w:ascii="Bookman Old Style" w:hAnsi="Bookman Old Style" w:cs="Arial"/>
          <w:lang w:val="id-ID"/>
        </w:rPr>
        <w:t>menyediakan</w:t>
      </w:r>
      <w:r w:rsidR="00A954D0">
        <w:rPr>
          <w:rFonts w:ascii="Bookman Old Style" w:hAnsi="Bookman Old Style"/>
          <w:lang w:val="fi-FI"/>
        </w:rPr>
        <w:t xml:space="preserve"> </w:t>
      </w:r>
      <w:r w:rsidRPr="00BF3751">
        <w:rPr>
          <w:rFonts w:ascii="Bookman Old Style" w:hAnsi="Bookman Old Style"/>
          <w:lang w:val="fi-FI"/>
        </w:rPr>
        <w:t>alokasi</w:t>
      </w:r>
      <w:r w:rsidR="00A954D0">
        <w:rPr>
          <w:rFonts w:ascii="Bookman Old Style" w:hAnsi="Bookman Old Style"/>
          <w:lang w:val="fi-FI"/>
        </w:rPr>
        <w:t xml:space="preserve"> </w:t>
      </w:r>
      <w:r w:rsidRPr="00BF3751">
        <w:rPr>
          <w:rFonts w:ascii="Bookman Old Style" w:hAnsi="Bookman Old Style"/>
          <w:lang w:val="fi-FI"/>
        </w:rPr>
        <w:t>anggaran</w:t>
      </w:r>
      <w:r w:rsidR="00A954D0">
        <w:rPr>
          <w:rFonts w:ascii="Bookman Old Style" w:hAnsi="Bookman Old Style"/>
          <w:lang w:val="fi-FI"/>
        </w:rPr>
        <w:t xml:space="preserve"> </w:t>
      </w:r>
      <w:r w:rsidRPr="00BF3751">
        <w:rPr>
          <w:rFonts w:ascii="Bookman Old Style" w:hAnsi="Bookman Old Style"/>
          <w:lang w:val="fi-FI"/>
        </w:rPr>
        <w:t>dalam</w:t>
      </w:r>
      <w:r w:rsidR="00A954D0">
        <w:rPr>
          <w:rFonts w:ascii="Bookman Old Style" w:hAnsi="Bookman Old Style"/>
          <w:lang w:val="fi-FI"/>
        </w:rPr>
        <w:t xml:space="preserve"> </w:t>
      </w:r>
      <w:r w:rsidRPr="00953DC9">
        <w:rPr>
          <w:rFonts w:ascii="Bookman Old Style" w:hAnsi="Bookman Old Style"/>
          <w:lang w:val="sv-FI"/>
        </w:rPr>
        <w:t>Rancangan</w:t>
      </w:r>
      <w:r w:rsidR="00A954D0">
        <w:rPr>
          <w:rFonts w:ascii="Bookman Old Style" w:hAnsi="Bookman Old Style"/>
          <w:lang w:val="fi-FI"/>
        </w:rPr>
        <w:t xml:space="preserve"> </w:t>
      </w:r>
      <w:r w:rsidRPr="00BF3751">
        <w:rPr>
          <w:rFonts w:ascii="Bookman Old Style" w:hAnsi="Bookman Old Style"/>
          <w:lang w:val="fi-FI"/>
        </w:rPr>
        <w:t>Peraturan</w:t>
      </w:r>
      <w:r w:rsidR="00A954D0">
        <w:rPr>
          <w:rFonts w:ascii="Bookman Old Style" w:hAnsi="Bookman Old Style"/>
          <w:lang w:val="fi-FI"/>
        </w:rPr>
        <w:t xml:space="preserve"> </w:t>
      </w:r>
      <w:r w:rsidRPr="00BF3751">
        <w:rPr>
          <w:rFonts w:ascii="Bookman Old Style" w:hAnsi="Bookman Old Style"/>
          <w:lang w:val="fi-FI"/>
        </w:rPr>
        <w:t>Daerah</w:t>
      </w:r>
      <w:r w:rsidR="00A954D0">
        <w:rPr>
          <w:rFonts w:ascii="Bookman Old Style" w:hAnsi="Bookman Old Style"/>
          <w:lang w:val="fi-FI"/>
        </w:rPr>
        <w:t xml:space="preserve"> </w:t>
      </w:r>
      <w:r w:rsidR="00B055C5" w:rsidRPr="00BF3751">
        <w:rPr>
          <w:rFonts w:ascii="Bookman Old Style" w:hAnsi="Bookman Old Style"/>
          <w:lang w:val="fi-FI"/>
        </w:rPr>
        <w:t>Kota</w:t>
      </w:r>
      <w:r w:rsidR="00A954D0">
        <w:rPr>
          <w:rFonts w:ascii="Bookman Old Style" w:hAnsi="Bookman Old Style"/>
          <w:lang w:val="fi-FI"/>
        </w:rPr>
        <w:t xml:space="preserve"> </w:t>
      </w:r>
      <w:r w:rsidR="00770F22" w:rsidRPr="00BF3751">
        <w:rPr>
          <w:rFonts w:ascii="Bookman Old Style" w:hAnsi="Bookman Old Style"/>
          <w:lang w:val="fi-FI"/>
        </w:rPr>
        <w:t>Tangerang</w:t>
      </w:r>
      <w:r w:rsidR="00A954D0">
        <w:rPr>
          <w:rFonts w:ascii="Bookman Old Style" w:hAnsi="Bookman Old Style"/>
          <w:lang w:val="fi-FI"/>
        </w:rPr>
        <w:t xml:space="preserve"> </w:t>
      </w:r>
      <w:r w:rsidR="00BE6ED9" w:rsidRPr="00BF3751">
        <w:rPr>
          <w:rFonts w:ascii="Bookman Old Style" w:hAnsi="Bookman Old Style"/>
          <w:lang w:val="fi-FI"/>
        </w:rPr>
        <w:t>tentang</w:t>
      </w:r>
      <w:r w:rsidR="00A954D0">
        <w:rPr>
          <w:rFonts w:ascii="Bookman Old Style" w:hAnsi="Bookman Old Style"/>
          <w:lang w:val="fi-FI"/>
        </w:rPr>
        <w:t xml:space="preserve"> </w:t>
      </w:r>
      <w:r w:rsidR="00BE6ED9" w:rsidRPr="00BF3751">
        <w:rPr>
          <w:rFonts w:ascii="Bookman Old Style" w:hAnsi="Bookman Old Style"/>
          <w:lang w:val="fi-FI"/>
        </w:rPr>
        <w:t>APBD</w:t>
      </w:r>
      <w:r w:rsidR="00A954D0">
        <w:rPr>
          <w:rFonts w:ascii="Bookman Old Style" w:hAnsi="Bookman Old Style"/>
          <w:lang w:val="fi-FI"/>
        </w:rPr>
        <w:t xml:space="preserve"> </w:t>
      </w:r>
      <w:r w:rsidRPr="00BF3751">
        <w:rPr>
          <w:rFonts w:ascii="Bookman Old Style" w:hAnsi="Bookman Old Style" w:cs="Arial"/>
          <w:lang w:val="id-ID"/>
        </w:rPr>
        <w:t>Tahun</w:t>
      </w:r>
      <w:r w:rsidR="00A954D0">
        <w:rPr>
          <w:rFonts w:ascii="Bookman Old Style" w:hAnsi="Bookman Old Style"/>
          <w:lang w:val="fi-FI"/>
        </w:rPr>
        <w:t xml:space="preserve"> </w:t>
      </w:r>
      <w:r w:rsidRPr="00BF3751">
        <w:rPr>
          <w:rFonts w:ascii="Bookman Old Style" w:hAnsi="Bookman Old Style"/>
          <w:lang w:val="fi-FI"/>
        </w:rPr>
        <w:t>Anggaran</w:t>
      </w:r>
      <w:r w:rsidR="00A954D0">
        <w:rPr>
          <w:rFonts w:ascii="Bookman Old Style" w:hAnsi="Bookman Old Style"/>
          <w:lang w:val="fi-FI"/>
        </w:rPr>
        <w:t xml:space="preserve"> </w:t>
      </w:r>
      <w:r w:rsidRPr="00BF3751">
        <w:rPr>
          <w:rFonts w:ascii="Bookman Old Style" w:hAnsi="Bookman Old Style"/>
          <w:lang w:val="fi-FI"/>
        </w:rPr>
        <w:t>2025,</w:t>
      </w:r>
      <w:r w:rsidR="00A954D0">
        <w:rPr>
          <w:rFonts w:ascii="Bookman Old Style" w:hAnsi="Bookman Old Style"/>
          <w:lang w:val="fi-FI"/>
        </w:rPr>
        <w:t xml:space="preserve"> </w:t>
      </w:r>
      <w:r w:rsidRPr="00BF3751">
        <w:rPr>
          <w:rFonts w:ascii="Bookman Old Style" w:hAnsi="Bookman Old Style"/>
          <w:lang w:val="fi-FI"/>
        </w:rPr>
        <w:t>antara</w:t>
      </w:r>
      <w:r w:rsidR="00A954D0">
        <w:rPr>
          <w:rFonts w:ascii="Bookman Old Style" w:hAnsi="Bookman Old Style"/>
          <w:lang w:val="fi-FI"/>
        </w:rPr>
        <w:t xml:space="preserve"> </w:t>
      </w:r>
      <w:r w:rsidRPr="00BF3751">
        <w:rPr>
          <w:rFonts w:ascii="Bookman Old Style" w:hAnsi="Bookman Old Style"/>
          <w:lang w:val="fi-FI"/>
        </w:rPr>
        <w:t>lain</w:t>
      </w:r>
      <w:r w:rsidR="00A954D0">
        <w:rPr>
          <w:rFonts w:ascii="Bookman Old Style" w:hAnsi="Bookman Old Style"/>
          <w:lang w:val="fi-FI"/>
        </w:rPr>
        <w:t xml:space="preserve"> </w:t>
      </w:r>
      <w:r w:rsidRPr="00BF3751">
        <w:rPr>
          <w:rFonts w:ascii="Bookman Old Style" w:hAnsi="Bookman Old Style"/>
          <w:lang w:val="fi-FI"/>
        </w:rPr>
        <w:t>untuk</w:t>
      </w:r>
      <w:r w:rsidRPr="00BF3751">
        <w:rPr>
          <w:rFonts w:ascii="Bookman Old Style" w:hAnsi="Bookman Old Style"/>
          <w:lang w:val="id-ID"/>
        </w:rPr>
        <w:t>:</w:t>
      </w:r>
    </w:p>
    <w:p w14:paraId="2009D807" w14:textId="12577B6B" w:rsidR="003374DF" w:rsidRPr="00BF3751" w:rsidRDefault="003374DF" w:rsidP="006E2101">
      <w:pPr>
        <w:numPr>
          <w:ilvl w:val="0"/>
          <w:numId w:val="17"/>
        </w:numPr>
        <w:spacing w:before="60" w:line="276" w:lineRule="auto"/>
        <w:ind w:left="1276" w:hanging="283"/>
        <w:jc w:val="both"/>
        <w:rPr>
          <w:rFonts w:ascii="Bookman Old Style" w:hAnsi="Bookman Old Style" w:cs="Arial"/>
          <w:lang w:val="fi-FI"/>
        </w:rPr>
      </w:pPr>
      <w:r w:rsidRPr="00BF3751">
        <w:rPr>
          <w:rFonts w:ascii="Bookman Old Style" w:hAnsi="Bookman Old Style" w:cs="Arial"/>
          <w:lang w:val="id-ID"/>
        </w:rPr>
        <w:t>Peningkatan</w:t>
      </w:r>
      <w:r w:rsidR="00A954D0">
        <w:rPr>
          <w:rFonts w:ascii="Bookman Old Style" w:hAnsi="Bookman Old Style" w:cs="Arial"/>
          <w:lang w:val="id-ID"/>
        </w:rPr>
        <w:t xml:space="preserve"> </w:t>
      </w:r>
      <w:r w:rsidRPr="00BF3751">
        <w:rPr>
          <w:rFonts w:ascii="Bookman Old Style" w:hAnsi="Bookman Old Style" w:cs="Arial"/>
          <w:lang w:val="id-ID"/>
        </w:rPr>
        <w:t>Kapasitas</w:t>
      </w:r>
      <w:r w:rsidR="00A954D0">
        <w:rPr>
          <w:rFonts w:ascii="Bookman Old Style" w:hAnsi="Bookman Old Style" w:cs="Arial"/>
          <w:lang w:val="id-ID"/>
        </w:rPr>
        <w:t xml:space="preserve"> </w:t>
      </w:r>
      <w:r w:rsidRPr="00BF3751">
        <w:rPr>
          <w:rFonts w:ascii="Bookman Old Style" w:hAnsi="Bookman Old Style" w:cs="Arial"/>
          <w:lang w:val="id-ID"/>
        </w:rPr>
        <w:t>Kelembagaan</w:t>
      </w:r>
      <w:r w:rsidR="00A954D0">
        <w:rPr>
          <w:rFonts w:ascii="Bookman Old Style" w:hAnsi="Bookman Old Style" w:cs="Arial"/>
          <w:lang w:val="id-ID"/>
        </w:rPr>
        <w:t xml:space="preserve"> </w:t>
      </w:r>
      <w:r w:rsidRPr="00BF3751">
        <w:rPr>
          <w:rFonts w:ascii="Bookman Old Style" w:hAnsi="Bookman Old Style" w:cs="Arial"/>
          <w:lang w:val="id-ID"/>
        </w:rPr>
        <w:t>Lembaga</w:t>
      </w:r>
      <w:r w:rsidR="00A954D0">
        <w:rPr>
          <w:rFonts w:ascii="Bookman Old Style" w:hAnsi="Bookman Old Style" w:cs="Arial"/>
          <w:lang w:val="id-ID"/>
        </w:rPr>
        <w:t xml:space="preserve"> </w:t>
      </w:r>
      <w:r w:rsidRPr="00BF3751">
        <w:rPr>
          <w:rFonts w:ascii="Bookman Old Style" w:hAnsi="Bookman Old Style" w:cs="Arial"/>
          <w:lang w:val="id-ID"/>
        </w:rPr>
        <w:t>Ke</w:t>
      </w:r>
      <w:r w:rsidR="003473C7" w:rsidRPr="00BF3751">
        <w:rPr>
          <w:rFonts w:ascii="Bookman Old Style" w:hAnsi="Bookman Old Style" w:cs="Arial"/>
          <w:lang w:val="id-ID"/>
        </w:rPr>
        <w:t>m</w:t>
      </w:r>
      <w:r w:rsidRPr="00BF3751">
        <w:rPr>
          <w:rFonts w:ascii="Bookman Old Style" w:hAnsi="Bookman Old Style" w:cs="Arial"/>
          <w:lang w:val="id-ID"/>
        </w:rPr>
        <w:t>asyarakatan</w:t>
      </w:r>
      <w:r w:rsidR="00A954D0">
        <w:rPr>
          <w:rFonts w:ascii="Bookman Old Style" w:hAnsi="Bookman Old Style" w:cs="Arial"/>
          <w:lang w:val="id-ID"/>
        </w:rPr>
        <w:t xml:space="preserve"> </w:t>
      </w:r>
      <w:r w:rsidRPr="00BF3751">
        <w:rPr>
          <w:rFonts w:ascii="Bookman Old Style" w:hAnsi="Bookman Old Style" w:cs="Arial"/>
          <w:lang w:val="id-ID"/>
        </w:rPr>
        <w:t>Desa/Kelurahan,</w:t>
      </w:r>
      <w:r w:rsidR="00A954D0">
        <w:rPr>
          <w:rFonts w:ascii="Bookman Old Style" w:hAnsi="Bookman Old Style" w:cs="Arial"/>
          <w:lang w:val="id-ID"/>
        </w:rPr>
        <w:t xml:space="preserve"> </w:t>
      </w:r>
      <w:r w:rsidRPr="00BF3751">
        <w:rPr>
          <w:rFonts w:ascii="Bookman Old Style" w:hAnsi="Bookman Old Style" w:cs="Arial"/>
          <w:lang w:val="id-ID"/>
        </w:rPr>
        <w:t>Lembaga</w:t>
      </w:r>
      <w:r w:rsidR="00A954D0">
        <w:rPr>
          <w:rFonts w:ascii="Bookman Old Style" w:hAnsi="Bookman Old Style" w:cs="Arial"/>
          <w:lang w:val="id-ID"/>
        </w:rPr>
        <w:t xml:space="preserve"> </w:t>
      </w:r>
      <w:r w:rsidRPr="00BF3751">
        <w:rPr>
          <w:rFonts w:ascii="Bookman Old Style" w:hAnsi="Bookman Old Style" w:cs="Arial"/>
          <w:lang w:val="id-ID"/>
        </w:rPr>
        <w:t>Adat</w:t>
      </w:r>
      <w:r w:rsidR="00A954D0">
        <w:rPr>
          <w:rFonts w:ascii="Bookman Old Style" w:hAnsi="Bookman Old Style" w:cs="Arial"/>
          <w:lang w:val="id-ID"/>
        </w:rPr>
        <w:t xml:space="preserve"> </w:t>
      </w:r>
      <w:r w:rsidRPr="00BF3751">
        <w:rPr>
          <w:rFonts w:ascii="Bookman Old Style" w:hAnsi="Bookman Old Style" w:cs="Arial"/>
          <w:lang w:val="id-ID"/>
        </w:rPr>
        <w:t>Desa/Kelurahan</w:t>
      </w:r>
      <w:r w:rsidR="00A954D0">
        <w:rPr>
          <w:rFonts w:ascii="Bookman Old Style" w:hAnsi="Bookman Old Style" w:cs="Arial"/>
          <w:lang w:val="id-ID"/>
        </w:rPr>
        <w:t xml:space="preserve"> </w:t>
      </w:r>
      <w:r w:rsidRPr="00BF3751">
        <w:rPr>
          <w:rFonts w:ascii="Bookman Old Style" w:hAnsi="Bookman Old Style" w:cs="Arial"/>
          <w:lang w:val="id-ID"/>
        </w:rPr>
        <w:t>dan</w:t>
      </w:r>
      <w:r w:rsidR="00A954D0">
        <w:rPr>
          <w:rFonts w:ascii="Bookman Old Style" w:hAnsi="Bookman Old Style" w:cs="Arial"/>
          <w:lang w:val="id-ID"/>
        </w:rPr>
        <w:t xml:space="preserve"> </w:t>
      </w:r>
      <w:r w:rsidRPr="00BF3751">
        <w:rPr>
          <w:rFonts w:ascii="Bookman Old Style" w:hAnsi="Bookman Old Style" w:cs="Arial"/>
          <w:lang w:val="id-ID"/>
        </w:rPr>
        <w:t>Masyarakat</w:t>
      </w:r>
      <w:r w:rsidR="00A954D0">
        <w:rPr>
          <w:rFonts w:ascii="Bookman Old Style" w:hAnsi="Bookman Old Style" w:cs="Arial"/>
          <w:lang w:val="id-ID"/>
        </w:rPr>
        <w:t xml:space="preserve"> </w:t>
      </w:r>
      <w:r w:rsidRPr="00BF3751">
        <w:rPr>
          <w:rFonts w:ascii="Bookman Old Style" w:hAnsi="Bookman Old Style" w:cs="Arial"/>
          <w:lang w:val="id-ID"/>
        </w:rPr>
        <w:t>Hukum</w:t>
      </w:r>
      <w:r w:rsidR="00A954D0">
        <w:rPr>
          <w:rFonts w:ascii="Bookman Old Style" w:hAnsi="Bookman Old Style" w:cs="Arial"/>
          <w:lang w:val="id-ID"/>
        </w:rPr>
        <w:t xml:space="preserve"> </w:t>
      </w:r>
      <w:r w:rsidRPr="00BF3751">
        <w:rPr>
          <w:rFonts w:ascii="Bookman Old Style" w:hAnsi="Bookman Old Style" w:cs="Arial"/>
          <w:lang w:val="id-ID"/>
        </w:rPr>
        <w:t>Adat</w:t>
      </w:r>
      <w:r w:rsidR="00A954D0">
        <w:rPr>
          <w:rFonts w:ascii="Bookman Old Style" w:hAnsi="Bookman Old Style"/>
          <w:lang w:val="fi-FI"/>
        </w:rPr>
        <w:t xml:space="preserve"> </w:t>
      </w:r>
      <w:r w:rsidRPr="00BF3751">
        <w:rPr>
          <w:rFonts w:ascii="Bookman Old Style" w:hAnsi="Bookman Old Style"/>
          <w:lang w:val="id-ID"/>
        </w:rPr>
        <w:t>sesuai</w:t>
      </w:r>
      <w:r w:rsidR="00A954D0">
        <w:rPr>
          <w:rFonts w:ascii="Bookman Old Style" w:hAnsi="Bookman Old Style"/>
          <w:lang w:val="id-ID"/>
        </w:rPr>
        <w:t xml:space="preserve"> </w:t>
      </w:r>
      <w:r w:rsidRPr="00BF3751">
        <w:rPr>
          <w:rFonts w:ascii="Bookman Old Style" w:hAnsi="Bookman Old Style"/>
          <w:lang w:val="id-ID"/>
        </w:rPr>
        <w:t>kewenangannya</w:t>
      </w:r>
      <w:r w:rsidR="00A954D0">
        <w:rPr>
          <w:rFonts w:ascii="Bookman Old Style" w:hAnsi="Bookman Old Style"/>
          <w:lang w:val="id-ID"/>
        </w:rPr>
        <w:t xml:space="preserve"> </w:t>
      </w:r>
      <w:r w:rsidRPr="00BF3751">
        <w:rPr>
          <w:rFonts w:ascii="Bookman Old Style" w:hAnsi="Bookman Old Style"/>
          <w:lang w:val="id-ID"/>
        </w:rPr>
        <w:t>yang</w:t>
      </w:r>
      <w:r w:rsidR="00A954D0">
        <w:rPr>
          <w:rFonts w:ascii="Bookman Old Style" w:hAnsi="Bookman Old Style"/>
          <w:lang w:val="id-ID"/>
        </w:rPr>
        <w:t xml:space="preserve"> </w:t>
      </w:r>
      <w:r w:rsidRPr="00BF3751">
        <w:rPr>
          <w:rFonts w:ascii="Bookman Old Style" w:hAnsi="Bookman Old Style"/>
          <w:lang w:val="id-ID"/>
        </w:rPr>
        <w:t>dianggarkan</w:t>
      </w:r>
      <w:r w:rsidR="00A954D0">
        <w:rPr>
          <w:rFonts w:ascii="Bookman Old Style" w:hAnsi="Bookman Old Style"/>
          <w:lang w:val="id-ID"/>
        </w:rPr>
        <w:t xml:space="preserve"> </w:t>
      </w:r>
      <w:r w:rsidRPr="00BF3751">
        <w:rPr>
          <w:rFonts w:ascii="Bookman Old Style" w:hAnsi="Bookman Old Style"/>
          <w:lang w:val="id-ID"/>
        </w:rPr>
        <w:t>melalui</w:t>
      </w:r>
      <w:r w:rsidR="00A954D0">
        <w:rPr>
          <w:rFonts w:ascii="Bookman Old Style" w:hAnsi="Bookman Old Style"/>
          <w:lang w:val="id-ID"/>
        </w:rPr>
        <w:t xml:space="preserve"> </w:t>
      </w:r>
      <w:r w:rsidRPr="00BF3751">
        <w:rPr>
          <w:rFonts w:ascii="Bookman Old Style" w:hAnsi="Bookman Old Style"/>
          <w:lang w:val="id-ID"/>
        </w:rPr>
        <w:t>program,</w:t>
      </w:r>
      <w:r w:rsidR="00A954D0">
        <w:rPr>
          <w:rFonts w:ascii="Bookman Old Style" w:hAnsi="Bookman Old Style"/>
          <w:lang w:val="id-ID"/>
        </w:rPr>
        <w:t xml:space="preserve"> </w:t>
      </w:r>
      <w:r w:rsidRPr="00BF3751">
        <w:rPr>
          <w:rFonts w:ascii="Bookman Old Style" w:hAnsi="Bookman Old Style"/>
          <w:lang w:val="id-ID"/>
        </w:rPr>
        <w:t>kegiatan</w:t>
      </w:r>
      <w:r w:rsidR="00A954D0">
        <w:rPr>
          <w:rFonts w:ascii="Bookman Old Style" w:hAnsi="Bookman Old Style"/>
          <w:lang w:val="id-ID"/>
        </w:rPr>
        <w:t xml:space="preserve"> </w:t>
      </w:r>
      <w:r w:rsidRPr="00BF3751">
        <w:rPr>
          <w:rFonts w:ascii="Bookman Old Style" w:hAnsi="Bookman Old Style"/>
          <w:lang w:val="id-ID"/>
        </w:rPr>
        <w:t>dan</w:t>
      </w:r>
      <w:r w:rsidR="00A954D0">
        <w:rPr>
          <w:rFonts w:ascii="Bookman Old Style" w:hAnsi="Bookman Old Style"/>
          <w:lang w:val="id-ID"/>
        </w:rPr>
        <w:t xml:space="preserve"> </w:t>
      </w:r>
      <w:r w:rsidRPr="00BF3751">
        <w:rPr>
          <w:rFonts w:ascii="Bookman Old Style" w:hAnsi="Bookman Old Style"/>
          <w:lang w:val="id-ID"/>
        </w:rPr>
        <w:t>sub</w:t>
      </w:r>
      <w:r w:rsidR="00A954D0">
        <w:rPr>
          <w:rFonts w:ascii="Bookman Old Style" w:hAnsi="Bookman Old Style"/>
          <w:lang w:val="id-ID"/>
        </w:rPr>
        <w:t xml:space="preserve"> </w:t>
      </w:r>
      <w:r w:rsidRPr="00BF3751">
        <w:rPr>
          <w:rFonts w:ascii="Bookman Old Style" w:hAnsi="Bookman Old Style"/>
          <w:lang w:val="id-ID"/>
        </w:rPr>
        <w:t>kegiatan</w:t>
      </w:r>
      <w:r w:rsidR="00A954D0">
        <w:rPr>
          <w:rFonts w:ascii="Bookman Old Style" w:hAnsi="Bookman Old Style"/>
          <w:lang w:val="id-ID"/>
        </w:rPr>
        <w:t xml:space="preserve"> </w:t>
      </w:r>
      <w:r w:rsidRPr="00BF3751">
        <w:rPr>
          <w:rFonts w:ascii="Bookman Old Style" w:hAnsi="Bookman Old Style"/>
          <w:lang w:val="id-ID"/>
        </w:rPr>
        <w:t>pada</w:t>
      </w:r>
      <w:r w:rsidR="00A954D0">
        <w:rPr>
          <w:rFonts w:ascii="Bookman Old Style" w:hAnsi="Bookman Old Style"/>
          <w:lang w:val="id-ID"/>
        </w:rPr>
        <w:t xml:space="preserve"> </w:t>
      </w:r>
      <w:r w:rsidRPr="00BF3751">
        <w:rPr>
          <w:rFonts w:ascii="Bookman Old Style" w:hAnsi="Bookman Old Style"/>
          <w:lang w:val="id-ID"/>
        </w:rPr>
        <w:t>SKPD</w:t>
      </w:r>
      <w:r w:rsidR="00A954D0">
        <w:rPr>
          <w:rFonts w:ascii="Bookman Old Style" w:hAnsi="Bookman Old Style"/>
          <w:lang w:val="id-ID"/>
        </w:rPr>
        <w:t xml:space="preserve"> </w:t>
      </w:r>
      <w:r w:rsidRPr="00BF3751">
        <w:rPr>
          <w:rFonts w:ascii="Bookman Old Style" w:hAnsi="Bookman Old Style"/>
          <w:lang w:val="id-ID"/>
        </w:rPr>
        <w:t>terkait</w:t>
      </w:r>
      <w:r w:rsidR="00A954D0">
        <w:rPr>
          <w:rFonts w:ascii="Bookman Old Style" w:hAnsi="Bookman Old Style"/>
          <w:lang w:val="id-ID"/>
        </w:rPr>
        <w:t xml:space="preserve"> </w:t>
      </w:r>
      <w:r w:rsidRPr="00BF3751">
        <w:rPr>
          <w:rFonts w:ascii="Bookman Old Style" w:hAnsi="Bookman Old Style"/>
          <w:lang w:val="id-ID"/>
        </w:rPr>
        <w:t>dengan</w:t>
      </w:r>
      <w:r w:rsidR="00A954D0">
        <w:rPr>
          <w:rFonts w:ascii="Bookman Old Style" w:hAnsi="Bookman Old Style"/>
          <w:lang w:val="id-ID"/>
        </w:rPr>
        <w:t xml:space="preserve"> </w:t>
      </w:r>
      <w:r w:rsidRPr="00BF3751">
        <w:rPr>
          <w:rFonts w:ascii="Bookman Old Style" w:hAnsi="Bookman Old Style"/>
          <w:lang w:val="id-ID"/>
        </w:rPr>
        <w:t>berpedoman</w:t>
      </w:r>
      <w:r w:rsidR="00A954D0">
        <w:rPr>
          <w:rFonts w:ascii="Bookman Old Style" w:hAnsi="Bookman Old Style"/>
          <w:lang w:val="id-ID"/>
        </w:rPr>
        <w:t xml:space="preserve"> </w:t>
      </w:r>
      <w:r w:rsidRPr="00BF3751">
        <w:rPr>
          <w:rFonts w:ascii="Bookman Old Style" w:hAnsi="Bookman Old Style"/>
          <w:lang w:val="id-ID"/>
        </w:rPr>
        <w:t>pada</w:t>
      </w:r>
      <w:r w:rsidR="00A954D0">
        <w:rPr>
          <w:rFonts w:ascii="Bookman Old Style" w:hAnsi="Bookman Old Style"/>
          <w:lang w:val="id-ID"/>
        </w:rPr>
        <w:t xml:space="preserve"> </w:t>
      </w:r>
      <w:r w:rsidRPr="00BF3751">
        <w:rPr>
          <w:rFonts w:ascii="Bookman Old Style" w:hAnsi="Bookman Old Style"/>
          <w:lang w:val="fi-FI"/>
        </w:rPr>
        <w:t>Keputusan</w:t>
      </w:r>
      <w:r w:rsidR="00A954D0">
        <w:rPr>
          <w:rFonts w:ascii="Bookman Old Style" w:hAnsi="Bookman Old Style"/>
          <w:lang w:val="fi-FI"/>
        </w:rPr>
        <w:t xml:space="preserve"> </w:t>
      </w:r>
      <w:r w:rsidRPr="00BF3751">
        <w:rPr>
          <w:rFonts w:ascii="Bookman Old Style" w:hAnsi="Bookman Old Style"/>
          <w:lang w:val="fi-FI"/>
        </w:rPr>
        <w:t>Menteri</w:t>
      </w:r>
      <w:r w:rsidR="00A954D0">
        <w:rPr>
          <w:rFonts w:ascii="Bookman Old Style" w:hAnsi="Bookman Old Style"/>
          <w:lang w:val="fi-FI"/>
        </w:rPr>
        <w:t xml:space="preserve"> </w:t>
      </w:r>
      <w:r w:rsidRPr="00BF3751">
        <w:rPr>
          <w:rFonts w:ascii="Bookman Old Style" w:hAnsi="Bookman Old Style"/>
          <w:lang w:val="fi-FI"/>
        </w:rPr>
        <w:t>Dalam</w:t>
      </w:r>
      <w:r w:rsidR="00A954D0">
        <w:rPr>
          <w:rFonts w:ascii="Bookman Old Style" w:hAnsi="Bookman Old Style"/>
          <w:lang w:val="fi-FI"/>
        </w:rPr>
        <w:t xml:space="preserve"> </w:t>
      </w:r>
      <w:r w:rsidRPr="00BF3751">
        <w:rPr>
          <w:rFonts w:ascii="Bookman Old Style" w:hAnsi="Bookman Old Style"/>
          <w:lang w:val="fi-FI"/>
        </w:rPr>
        <w:t>Negeri</w:t>
      </w:r>
      <w:r w:rsidR="00A954D0">
        <w:rPr>
          <w:rFonts w:ascii="Bookman Old Style" w:hAnsi="Bookman Old Style"/>
          <w:lang w:val="fi-FI"/>
        </w:rPr>
        <w:t xml:space="preserve"> </w:t>
      </w:r>
      <w:r w:rsidRPr="00BF3751">
        <w:rPr>
          <w:rFonts w:ascii="Bookman Old Style" w:hAnsi="Bookman Old Style"/>
          <w:lang w:val="fi-FI"/>
        </w:rPr>
        <w:t>Nomor</w:t>
      </w:r>
      <w:r w:rsidR="00A954D0">
        <w:rPr>
          <w:rFonts w:ascii="Bookman Old Style" w:hAnsi="Bookman Old Style"/>
          <w:lang w:val="fi-FI"/>
        </w:rPr>
        <w:t xml:space="preserve"> </w:t>
      </w:r>
      <w:r w:rsidRPr="00BF3751">
        <w:rPr>
          <w:rFonts w:ascii="Bookman Old Style" w:hAnsi="Bookman Old Style"/>
          <w:lang w:val="fi-FI"/>
        </w:rPr>
        <w:t>050-5889</w:t>
      </w:r>
      <w:r w:rsidR="00A954D0">
        <w:rPr>
          <w:rFonts w:ascii="Bookman Old Style" w:hAnsi="Bookman Old Style"/>
          <w:lang w:val="fi-FI"/>
        </w:rPr>
        <w:t xml:space="preserve"> </w:t>
      </w:r>
      <w:r w:rsidRPr="00BF3751">
        <w:rPr>
          <w:rFonts w:ascii="Bookman Old Style" w:hAnsi="Bookman Old Style"/>
          <w:lang w:val="fi-FI"/>
        </w:rPr>
        <w:t>Tahun</w:t>
      </w:r>
      <w:r w:rsidR="00A954D0">
        <w:rPr>
          <w:rFonts w:ascii="Bookman Old Style" w:hAnsi="Bookman Old Style"/>
          <w:lang w:val="fi-FI"/>
        </w:rPr>
        <w:t xml:space="preserve"> </w:t>
      </w:r>
      <w:r w:rsidRPr="00BF3751">
        <w:rPr>
          <w:rFonts w:ascii="Bookman Old Style" w:hAnsi="Bookman Old Style"/>
          <w:lang w:val="fi-FI"/>
        </w:rPr>
        <w:t>2021</w:t>
      </w:r>
      <w:r w:rsidR="00A954D0">
        <w:rPr>
          <w:rFonts w:ascii="Bookman Old Style" w:hAnsi="Bookman Old Style"/>
          <w:lang w:val="fi-FI"/>
        </w:rPr>
        <w:t xml:space="preserve"> </w:t>
      </w:r>
      <w:r w:rsidRPr="00BF3751">
        <w:rPr>
          <w:rFonts w:ascii="Bookman Old Style" w:hAnsi="Bookman Old Style"/>
          <w:lang w:val="fi-FI"/>
        </w:rPr>
        <w:t>sebagaimana</w:t>
      </w:r>
      <w:r w:rsidR="00A954D0">
        <w:rPr>
          <w:rFonts w:ascii="Bookman Old Style" w:hAnsi="Bookman Old Style"/>
          <w:lang w:val="fi-FI"/>
        </w:rPr>
        <w:t xml:space="preserve"> </w:t>
      </w:r>
      <w:r w:rsidRPr="00BF3751">
        <w:rPr>
          <w:rFonts w:ascii="Bookman Old Style" w:hAnsi="Bookman Old Style"/>
          <w:lang w:val="fi-FI"/>
        </w:rPr>
        <w:t>telah</w:t>
      </w:r>
      <w:r w:rsidR="00A954D0">
        <w:rPr>
          <w:rFonts w:ascii="Bookman Old Style" w:hAnsi="Bookman Old Style"/>
          <w:lang w:val="fi-FI"/>
        </w:rPr>
        <w:t xml:space="preserve"> </w:t>
      </w:r>
      <w:r w:rsidRPr="00BF3751">
        <w:rPr>
          <w:rFonts w:ascii="Bookman Old Style" w:hAnsi="Bookman Old Style"/>
          <w:lang w:val="fi-FI"/>
        </w:rPr>
        <w:t>diubah</w:t>
      </w:r>
      <w:r w:rsidR="00A954D0">
        <w:rPr>
          <w:rFonts w:ascii="Bookman Old Style" w:hAnsi="Bookman Old Style"/>
          <w:lang w:val="fi-FI"/>
        </w:rPr>
        <w:t xml:space="preserve"> </w:t>
      </w:r>
      <w:r w:rsidRPr="00BF3751">
        <w:rPr>
          <w:rFonts w:ascii="Bookman Old Style" w:hAnsi="Bookman Old Style"/>
          <w:lang w:val="fi-FI"/>
        </w:rPr>
        <w:t>beberapa</w:t>
      </w:r>
      <w:r w:rsidR="00A954D0">
        <w:rPr>
          <w:rFonts w:ascii="Bookman Old Style" w:hAnsi="Bookman Old Style"/>
          <w:lang w:val="fi-FI"/>
        </w:rPr>
        <w:t xml:space="preserve"> </w:t>
      </w:r>
      <w:r w:rsidRPr="00BF3751">
        <w:rPr>
          <w:rFonts w:ascii="Bookman Old Style" w:hAnsi="Bookman Old Style"/>
          <w:lang w:val="fi-FI"/>
        </w:rPr>
        <w:t>kali</w:t>
      </w:r>
      <w:r w:rsidR="00A954D0">
        <w:rPr>
          <w:rFonts w:ascii="Bookman Old Style" w:hAnsi="Bookman Old Style"/>
          <w:lang w:val="fi-FI"/>
        </w:rPr>
        <w:t xml:space="preserve"> </w:t>
      </w:r>
      <w:r w:rsidRPr="00BF3751">
        <w:rPr>
          <w:rFonts w:ascii="Bookman Old Style" w:hAnsi="Bookman Old Style"/>
          <w:lang w:val="fi-FI"/>
        </w:rPr>
        <w:t>terakhir</w:t>
      </w:r>
      <w:r w:rsidR="00A954D0">
        <w:rPr>
          <w:rFonts w:ascii="Bookman Old Style" w:hAnsi="Bookman Old Style"/>
          <w:lang w:val="fi-FI"/>
        </w:rPr>
        <w:t xml:space="preserve"> </w:t>
      </w:r>
      <w:r w:rsidRPr="00BF3751">
        <w:rPr>
          <w:rFonts w:ascii="Bookman Old Style" w:hAnsi="Bookman Old Style"/>
          <w:lang w:val="fi-FI"/>
        </w:rPr>
        <w:t>dengan</w:t>
      </w:r>
      <w:r w:rsidR="00A954D0">
        <w:rPr>
          <w:rFonts w:ascii="Bookman Old Style" w:hAnsi="Bookman Old Style"/>
          <w:lang w:val="fi-FI"/>
        </w:rPr>
        <w:t xml:space="preserve"> </w:t>
      </w:r>
      <w:r w:rsidRPr="00BF3751">
        <w:rPr>
          <w:rFonts w:ascii="Bookman Old Style" w:hAnsi="Bookman Old Style"/>
          <w:lang w:val="fi-FI"/>
        </w:rPr>
        <w:t>Keputusan</w:t>
      </w:r>
      <w:r w:rsidR="00A954D0">
        <w:rPr>
          <w:rFonts w:ascii="Bookman Old Style" w:hAnsi="Bookman Old Style"/>
          <w:lang w:val="fi-FI"/>
        </w:rPr>
        <w:t xml:space="preserve"> </w:t>
      </w:r>
      <w:r w:rsidRPr="00BF3751">
        <w:rPr>
          <w:rFonts w:ascii="Bookman Old Style" w:hAnsi="Bookman Old Style"/>
          <w:lang w:val="fi-FI"/>
        </w:rPr>
        <w:t>Menteri</w:t>
      </w:r>
      <w:r w:rsidR="00A954D0">
        <w:rPr>
          <w:rFonts w:ascii="Bookman Old Style" w:hAnsi="Bookman Old Style"/>
          <w:lang w:val="fi-FI"/>
        </w:rPr>
        <w:t xml:space="preserve"> </w:t>
      </w:r>
      <w:r w:rsidRPr="00BF3751">
        <w:rPr>
          <w:rFonts w:ascii="Bookman Old Style" w:hAnsi="Bookman Old Style"/>
          <w:lang w:val="fi-FI"/>
        </w:rPr>
        <w:t>Dalam</w:t>
      </w:r>
      <w:r w:rsidR="00A954D0">
        <w:rPr>
          <w:rFonts w:ascii="Bookman Old Style" w:hAnsi="Bookman Old Style"/>
          <w:lang w:val="fi-FI"/>
        </w:rPr>
        <w:t xml:space="preserve"> </w:t>
      </w:r>
      <w:r w:rsidRPr="00BF3751">
        <w:rPr>
          <w:rFonts w:ascii="Bookman Old Style" w:hAnsi="Bookman Old Style"/>
          <w:lang w:val="fi-FI"/>
        </w:rPr>
        <w:t>Negeri</w:t>
      </w:r>
      <w:r w:rsidR="00A954D0">
        <w:rPr>
          <w:rFonts w:ascii="Bookman Old Style" w:hAnsi="Bookman Old Style"/>
          <w:lang w:val="fi-FI"/>
        </w:rPr>
        <w:t xml:space="preserve"> </w:t>
      </w:r>
      <w:r w:rsidRPr="00BF3751">
        <w:rPr>
          <w:rFonts w:ascii="Bookman Old Style" w:hAnsi="Bookman Old Style"/>
          <w:lang w:val="fi-FI"/>
        </w:rPr>
        <w:t>Nomor</w:t>
      </w:r>
      <w:r w:rsidR="00A954D0">
        <w:rPr>
          <w:rFonts w:ascii="Bookman Old Style" w:hAnsi="Bookman Old Style"/>
          <w:lang w:val="fi-FI"/>
        </w:rPr>
        <w:t xml:space="preserve"> </w:t>
      </w:r>
      <w:r w:rsidRPr="00BF3751">
        <w:rPr>
          <w:rFonts w:ascii="Bookman Old Style" w:hAnsi="Bookman Old Style"/>
          <w:lang w:val="fi-FI"/>
        </w:rPr>
        <w:t>900.1.15.5-3406</w:t>
      </w:r>
      <w:r w:rsidR="00A954D0">
        <w:rPr>
          <w:rFonts w:ascii="Bookman Old Style" w:hAnsi="Bookman Old Style"/>
          <w:lang w:val="fi-FI"/>
        </w:rPr>
        <w:t xml:space="preserve"> </w:t>
      </w:r>
      <w:r w:rsidRPr="00BF3751">
        <w:rPr>
          <w:rFonts w:ascii="Bookman Old Style" w:hAnsi="Bookman Old Style"/>
          <w:lang w:val="fi-FI"/>
        </w:rPr>
        <w:t>Tahun</w:t>
      </w:r>
      <w:r w:rsidR="00A954D0">
        <w:rPr>
          <w:rFonts w:ascii="Bookman Old Style" w:hAnsi="Bookman Old Style"/>
          <w:lang w:val="fi-FI"/>
        </w:rPr>
        <w:t xml:space="preserve"> </w:t>
      </w:r>
      <w:r w:rsidRPr="00BF3751">
        <w:rPr>
          <w:rFonts w:ascii="Bookman Old Style" w:hAnsi="Bookman Old Style"/>
          <w:lang w:val="fi-FI"/>
        </w:rPr>
        <w:t>2024</w:t>
      </w:r>
      <w:r w:rsidR="006E2101" w:rsidRPr="006E2101">
        <w:rPr>
          <w:rFonts w:ascii="Bookman Old Style" w:hAnsi="Bookman Old Style"/>
          <w:lang w:val="fi-FI"/>
        </w:rPr>
        <w:t>;</w:t>
      </w:r>
    </w:p>
    <w:p w14:paraId="34B13D1D" w14:textId="0E8DE6DA" w:rsidR="003374DF" w:rsidRPr="00BF3751" w:rsidRDefault="003374DF" w:rsidP="006E2101">
      <w:pPr>
        <w:numPr>
          <w:ilvl w:val="0"/>
          <w:numId w:val="17"/>
        </w:numPr>
        <w:spacing w:before="60" w:line="276" w:lineRule="auto"/>
        <w:ind w:left="1276" w:hanging="283"/>
        <w:jc w:val="both"/>
        <w:rPr>
          <w:rFonts w:ascii="Bookman Old Style" w:hAnsi="Bookman Old Style" w:cs="Arial"/>
          <w:lang w:val="fi-FI"/>
        </w:rPr>
      </w:pPr>
      <w:r w:rsidRPr="00BF3751">
        <w:rPr>
          <w:rFonts w:ascii="Bookman Old Style" w:hAnsi="Bookman Old Style" w:cs="Arial"/>
          <w:lang w:val="fi-FI"/>
        </w:rPr>
        <w:t>Dalam</w:t>
      </w:r>
      <w:r w:rsidR="00A954D0">
        <w:rPr>
          <w:rFonts w:ascii="Bookman Old Style" w:hAnsi="Bookman Old Style" w:cs="Arial"/>
          <w:lang w:val="fi-FI"/>
        </w:rPr>
        <w:t xml:space="preserve"> </w:t>
      </w:r>
      <w:r w:rsidRPr="00BF3751">
        <w:rPr>
          <w:rFonts w:ascii="Bookman Old Style" w:hAnsi="Bookman Old Style" w:cs="Arial"/>
          <w:lang w:val="fi-FI"/>
        </w:rPr>
        <w:t>rangka</w:t>
      </w:r>
      <w:r w:rsidR="00A954D0">
        <w:rPr>
          <w:rFonts w:ascii="Bookman Old Style" w:hAnsi="Bookman Old Style" w:cs="Arial"/>
          <w:lang w:val="fi-FI"/>
        </w:rPr>
        <w:t xml:space="preserve"> </w:t>
      </w:r>
      <w:r w:rsidRPr="00BF3751">
        <w:rPr>
          <w:rFonts w:ascii="Bookman Old Style" w:hAnsi="Bookman Old Style" w:cs="Arial"/>
          <w:lang w:val="fi-FI"/>
        </w:rPr>
        <w:t>penghapusan</w:t>
      </w:r>
      <w:r w:rsidR="00A954D0">
        <w:rPr>
          <w:rFonts w:ascii="Bookman Old Style" w:hAnsi="Bookman Old Style" w:cs="Arial"/>
          <w:lang w:val="fi-FI"/>
        </w:rPr>
        <w:t xml:space="preserve"> </w:t>
      </w:r>
      <w:r w:rsidRPr="00BF3751">
        <w:rPr>
          <w:rFonts w:ascii="Bookman Old Style" w:hAnsi="Bookman Old Style" w:cs="Arial"/>
          <w:lang w:val="fi-FI"/>
        </w:rPr>
        <w:t>kemiskinan</w:t>
      </w:r>
      <w:r w:rsidR="00A954D0">
        <w:rPr>
          <w:rFonts w:ascii="Bookman Old Style" w:hAnsi="Bookman Old Style" w:cs="Arial"/>
          <w:lang w:val="fi-FI"/>
        </w:rPr>
        <w:t xml:space="preserve"> </w:t>
      </w:r>
      <w:r w:rsidRPr="00BF3751">
        <w:rPr>
          <w:rFonts w:ascii="Bookman Old Style" w:hAnsi="Bookman Old Style" w:cs="Arial"/>
          <w:lang w:val="fi-FI"/>
        </w:rPr>
        <w:t>ekstrem</w:t>
      </w:r>
      <w:r w:rsidR="00A954D0">
        <w:rPr>
          <w:rFonts w:ascii="Bookman Old Style" w:hAnsi="Bookman Old Style" w:cs="Arial"/>
          <w:lang w:val="fi-FI"/>
        </w:rPr>
        <w:t xml:space="preserve"> </w:t>
      </w:r>
      <w:r w:rsidRPr="00BF3751">
        <w:rPr>
          <w:rFonts w:ascii="Bookman Old Style" w:hAnsi="Bookman Old Style" w:cs="Arial"/>
          <w:lang w:val="fi-FI"/>
        </w:rPr>
        <w:t>di</w:t>
      </w:r>
      <w:r w:rsidR="00A954D0">
        <w:rPr>
          <w:rFonts w:ascii="Bookman Old Style" w:hAnsi="Bookman Old Style" w:cs="Arial"/>
          <w:lang w:val="fi-FI"/>
        </w:rPr>
        <w:t xml:space="preserve"> </w:t>
      </w:r>
      <w:r w:rsidRPr="00BF3751">
        <w:rPr>
          <w:rFonts w:ascii="Bookman Old Style" w:hAnsi="Bookman Old Style" w:cs="Arial"/>
          <w:lang w:val="fi-FI"/>
        </w:rPr>
        <w:t>seluruh</w:t>
      </w:r>
      <w:r w:rsidR="00A954D0">
        <w:rPr>
          <w:rFonts w:ascii="Bookman Old Style" w:hAnsi="Bookman Old Style" w:cs="Arial"/>
          <w:lang w:val="fi-FI"/>
        </w:rPr>
        <w:t xml:space="preserve"> </w:t>
      </w:r>
      <w:r w:rsidRPr="00BF3751">
        <w:rPr>
          <w:rFonts w:ascii="Bookman Old Style" w:hAnsi="Bookman Old Style" w:cs="Arial"/>
          <w:lang w:val="fi-FI"/>
        </w:rPr>
        <w:t>wilayah</w:t>
      </w:r>
      <w:r w:rsidR="00A954D0">
        <w:rPr>
          <w:rFonts w:ascii="Bookman Old Style" w:hAnsi="Bookman Old Style" w:cs="Arial"/>
          <w:lang w:val="fi-FI"/>
        </w:rPr>
        <w:t xml:space="preserve"> </w:t>
      </w:r>
      <w:r w:rsidRPr="00BF3751">
        <w:rPr>
          <w:rFonts w:ascii="Bookman Old Style" w:hAnsi="Bookman Old Style" w:cs="Arial"/>
          <w:lang w:val="fi-FI"/>
        </w:rPr>
        <w:t>Republik</w:t>
      </w:r>
      <w:r w:rsidR="00A954D0">
        <w:rPr>
          <w:rFonts w:ascii="Bookman Old Style" w:hAnsi="Bookman Old Style" w:cs="Arial"/>
          <w:lang w:val="fi-FI"/>
        </w:rPr>
        <w:t xml:space="preserve"> </w:t>
      </w:r>
      <w:r w:rsidRPr="00BF3751">
        <w:rPr>
          <w:rFonts w:ascii="Bookman Old Style" w:hAnsi="Bookman Old Style" w:cs="Arial"/>
          <w:lang w:val="fi-FI"/>
        </w:rPr>
        <w:t>Indonesia</w:t>
      </w:r>
      <w:r w:rsidR="00A954D0">
        <w:rPr>
          <w:rFonts w:ascii="Bookman Old Style" w:hAnsi="Bookman Old Style" w:cs="Arial"/>
          <w:lang w:val="fi-FI"/>
        </w:rPr>
        <w:t xml:space="preserve"> </w:t>
      </w:r>
      <w:r w:rsidRPr="00BF3751">
        <w:rPr>
          <w:rFonts w:ascii="Bookman Old Style" w:hAnsi="Bookman Old Style" w:cs="Arial"/>
          <w:lang w:val="fi-FI"/>
        </w:rPr>
        <w:t>pada</w:t>
      </w:r>
      <w:r w:rsidR="00A954D0">
        <w:rPr>
          <w:rFonts w:ascii="Bookman Old Style" w:hAnsi="Bookman Old Style" w:cs="Arial"/>
          <w:lang w:val="fi-FI"/>
        </w:rPr>
        <w:t xml:space="preserve"> </w:t>
      </w:r>
      <w:r w:rsidRPr="00BF3751">
        <w:rPr>
          <w:rFonts w:ascii="Bookman Old Style" w:hAnsi="Bookman Old Style" w:cs="Arial"/>
          <w:lang w:val="fi-FI"/>
        </w:rPr>
        <w:t>tahun</w:t>
      </w:r>
      <w:r w:rsidR="00A954D0">
        <w:rPr>
          <w:rFonts w:ascii="Bookman Old Style" w:hAnsi="Bookman Old Style" w:cs="Arial"/>
          <w:lang w:val="fi-FI"/>
        </w:rPr>
        <w:t xml:space="preserve"> </w:t>
      </w:r>
      <w:r w:rsidRPr="00BF3751">
        <w:rPr>
          <w:rFonts w:ascii="Bookman Old Style" w:hAnsi="Bookman Old Style" w:cs="Arial"/>
          <w:lang w:val="fi-FI"/>
        </w:rPr>
        <w:t>2024</w:t>
      </w:r>
      <w:r w:rsidR="00A954D0">
        <w:rPr>
          <w:rFonts w:ascii="Bookman Old Style" w:hAnsi="Bookman Old Style" w:cs="Arial"/>
          <w:lang w:val="fi-FI"/>
        </w:rPr>
        <w:t xml:space="preserve"> </w:t>
      </w:r>
      <w:r w:rsidRPr="00BF3751">
        <w:rPr>
          <w:rFonts w:ascii="Bookman Old Style" w:hAnsi="Bookman Old Style" w:cs="Arial"/>
          <w:lang w:val="fi-FI"/>
        </w:rPr>
        <w:t>berpedoman</w:t>
      </w:r>
      <w:r w:rsidR="00A954D0">
        <w:rPr>
          <w:rFonts w:ascii="Bookman Old Style" w:hAnsi="Bookman Old Style" w:cs="Arial"/>
          <w:lang w:val="fi-FI"/>
        </w:rPr>
        <w:t xml:space="preserve"> </w:t>
      </w:r>
      <w:r w:rsidRPr="00BF3751">
        <w:rPr>
          <w:rFonts w:ascii="Bookman Old Style" w:hAnsi="Bookman Old Style" w:cs="Arial"/>
          <w:lang w:val="fi-FI"/>
        </w:rPr>
        <w:t>pada</w:t>
      </w:r>
      <w:r w:rsidR="00A954D0">
        <w:rPr>
          <w:rFonts w:ascii="Bookman Old Style" w:hAnsi="Bookman Old Style" w:cs="Arial"/>
          <w:lang w:val="fi-FI"/>
        </w:rPr>
        <w:t xml:space="preserve"> </w:t>
      </w:r>
      <w:r w:rsidRPr="00BF3751">
        <w:rPr>
          <w:rFonts w:ascii="Bookman Old Style" w:hAnsi="Bookman Old Style" w:cs="Arial"/>
          <w:lang w:val="fi-FI"/>
        </w:rPr>
        <w:t>Instruksi</w:t>
      </w:r>
      <w:r w:rsidR="00A954D0">
        <w:rPr>
          <w:rFonts w:ascii="Bookman Old Style" w:hAnsi="Bookman Old Style" w:cs="Arial"/>
          <w:lang w:val="fi-FI"/>
        </w:rPr>
        <w:t xml:space="preserve"> </w:t>
      </w:r>
      <w:r w:rsidRPr="00BF3751">
        <w:rPr>
          <w:rFonts w:ascii="Bookman Old Style" w:hAnsi="Bookman Old Style" w:cs="Arial"/>
          <w:lang w:val="fi-FI"/>
        </w:rPr>
        <w:t>Presiden</w:t>
      </w:r>
      <w:r w:rsidR="00A954D0">
        <w:rPr>
          <w:rFonts w:ascii="Bookman Old Style" w:hAnsi="Bookman Old Style" w:cs="Arial"/>
          <w:lang w:val="fi-FI"/>
        </w:rPr>
        <w:t xml:space="preserve"> </w:t>
      </w:r>
      <w:r w:rsidRPr="00BF3751">
        <w:rPr>
          <w:rFonts w:ascii="Bookman Old Style" w:hAnsi="Bookman Old Style" w:cs="Arial"/>
          <w:lang w:val="fi-FI"/>
        </w:rPr>
        <w:t>Nomor</w:t>
      </w:r>
      <w:r w:rsidR="00A954D0">
        <w:rPr>
          <w:rFonts w:ascii="Bookman Old Style" w:hAnsi="Bookman Old Style" w:cs="Arial"/>
          <w:lang w:val="fi-FI"/>
        </w:rPr>
        <w:t xml:space="preserve"> </w:t>
      </w:r>
      <w:r w:rsidRPr="00BF3751">
        <w:rPr>
          <w:rFonts w:ascii="Bookman Old Style" w:hAnsi="Bookman Old Style" w:cs="Arial"/>
          <w:lang w:val="fi-FI"/>
        </w:rPr>
        <w:t>4</w:t>
      </w:r>
      <w:r w:rsidR="00A954D0">
        <w:rPr>
          <w:rFonts w:ascii="Bookman Old Style" w:hAnsi="Bookman Old Style" w:cs="Arial"/>
          <w:lang w:val="fi-FI"/>
        </w:rPr>
        <w:t xml:space="preserve"> </w:t>
      </w:r>
      <w:r w:rsidRPr="00BF3751">
        <w:rPr>
          <w:rFonts w:ascii="Bookman Old Style" w:hAnsi="Bookman Old Style" w:cs="Arial"/>
          <w:lang w:val="fi-FI"/>
        </w:rPr>
        <w:t>Tahun</w:t>
      </w:r>
      <w:r w:rsidR="00A954D0">
        <w:rPr>
          <w:rFonts w:ascii="Bookman Old Style" w:hAnsi="Bookman Old Style" w:cs="Arial"/>
          <w:lang w:val="fi-FI"/>
        </w:rPr>
        <w:t xml:space="preserve"> </w:t>
      </w:r>
      <w:r w:rsidRPr="00BF3751">
        <w:rPr>
          <w:rFonts w:ascii="Bookman Old Style" w:hAnsi="Bookman Old Style" w:cs="Arial"/>
          <w:lang w:val="fi-FI"/>
        </w:rPr>
        <w:t>2022</w:t>
      </w:r>
      <w:r w:rsidR="00A954D0">
        <w:rPr>
          <w:rFonts w:ascii="Bookman Old Style" w:hAnsi="Bookman Old Style" w:cs="Arial"/>
          <w:lang w:val="fi-FI"/>
        </w:rPr>
        <w:t xml:space="preserve"> </w:t>
      </w:r>
      <w:r w:rsidRPr="00BF3751">
        <w:rPr>
          <w:rFonts w:ascii="Bookman Old Style" w:hAnsi="Bookman Old Style" w:cs="Arial"/>
          <w:lang w:val="fi-FI"/>
        </w:rPr>
        <w:t>tentang</w:t>
      </w:r>
      <w:r w:rsidR="00A954D0">
        <w:rPr>
          <w:rFonts w:ascii="Bookman Old Style" w:hAnsi="Bookman Old Style" w:cs="Arial"/>
          <w:lang w:val="fi-FI"/>
        </w:rPr>
        <w:t xml:space="preserve"> </w:t>
      </w:r>
      <w:r w:rsidRPr="00BF3751">
        <w:rPr>
          <w:rFonts w:ascii="Bookman Old Style" w:hAnsi="Bookman Old Style" w:cs="Arial"/>
          <w:lang w:val="fi-FI"/>
        </w:rPr>
        <w:t>Percepatan</w:t>
      </w:r>
      <w:r w:rsidR="00A954D0">
        <w:rPr>
          <w:rFonts w:ascii="Bookman Old Style" w:hAnsi="Bookman Old Style" w:cs="Arial"/>
          <w:lang w:val="fi-FI"/>
        </w:rPr>
        <w:t xml:space="preserve"> </w:t>
      </w:r>
      <w:r w:rsidRPr="00BF3751">
        <w:rPr>
          <w:rFonts w:ascii="Bookman Old Style" w:hAnsi="Bookman Old Style" w:cs="Arial"/>
          <w:lang w:val="fi-FI"/>
        </w:rPr>
        <w:t>Penghapusan</w:t>
      </w:r>
      <w:r w:rsidR="00A954D0">
        <w:rPr>
          <w:rFonts w:ascii="Bookman Old Style" w:hAnsi="Bookman Old Style" w:cs="Arial"/>
          <w:lang w:val="fi-FI"/>
        </w:rPr>
        <w:t xml:space="preserve"> </w:t>
      </w:r>
      <w:r w:rsidRPr="00BF3751">
        <w:rPr>
          <w:rFonts w:ascii="Bookman Old Style" w:hAnsi="Bookman Old Style" w:cs="Arial"/>
          <w:lang w:val="fi-FI"/>
        </w:rPr>
        <w:t>Kemiskinan</w:t>
      </w:r>
      <w:r w:rsidR="00A954D0">
        <w:rPr>
          <w:rFonts w:ascii="Bookman Old Style" w:hAnsi="Bookman Old Style" w:cs="Arial"/>
          <w:lang w:val="fi-FI"/>
        </w:rPr>
        <w:t xml:space="preserve"> </w:t>
      </w:r>
      <w:r w:rsidRPr="00BF3751">
        <w:rPr>
          <w:rFonts w:ascii="Bookman Old Style" w:hAnsi="Bookman Old Style" w:cs="Arial"/>
          <w:lang w:val="fi-FI"/>
        </w:rPr>
        <w:t>Ekstrem,</w:t>
      </w:r>
      <w:r w:rsidR="00A954D0">
        <w:rPr>
          <w:rFonts w:ascii="Bookman Old Style" w:hAnsi="Bookman Old Style" w:cs="Arial"/>
          <w:lang w:val="fi-FI"/>
        </w:rPr>
        <w:t xml:space="preserve"> </w:t>
      </w:r>
      <w:r w:rsidRPr="00BF3751">
        <w:rPr>
          <w:rFonts w:ascii="Bookman Old Style" w:hAnsi="Bookman Old Style" w:cs="Arial"/>
          <w:lang w:val="fi-FI"/>
        </w:rPr>
        <w:t>Pemerintah</w:t>
      </w:r>
      <w:r w:rsidR="00A954D0">
        <w:rPr>
          <w:rFonts w:ascii="Bookman Old Style" w:hAnsi="Bookman Old Style" w:cs="Arial"/>
          <w:lang w:val="fi-FI"/>
        </w:rPr>
        <w:t xml:space="preserve"> </w:t>
      </w:r>
      <w:r w:rsidRPr="00BF3751">
        <w:rPr>
          <w:rFonts w:ascii="Bookman Old Style" w:hAnsi="Bookman Old Style" w:cs="Arial"/>
          <w:lang w:val="fi-FI"/>
        </w:rPr>
        <w:t>Daerah</w:t>
      </w:r>
      <w:r w:rsidR="00A954D0">
        <w:rPr>
          <w:rFonts w:ascii="Bookman Old Style" w:hAnsi="Bookman Old Style" w:cs="Arial"/>
          <w:lang w:val="fi-FI"/>
        </w:rPr>
        <w:t xml:space="preserve"> </w:t>
      </w:r>
      <w:r w:rsidR="00046408" w:rsidRPr="00BF3751">
        <w:rPr>
          <w:rFonts w:ascii="Bookman Old Style" w:hAnsi="Bookman Old Style" w:cs="Arial"/>
          <w:lang w:val="fi-FI"/>
        </w:rPr>
        <w:t>Kota</w:t>
      </w:r>
      <w:r w:rsidR="00A954D0">
        <w:rPr>
          <w:rFonts w:ascii="Bookman Old Style" w:hAnsi="Bookman Old Style" w:cs="Arial"/>
          <w:lang w:val="fi-FI"/>
        </w:rPr>
        <w:t xml:space="preserve"> </w:t>
      </w:r>
      <w:r w:rsidR="00770F22" w:rsidRPr="00BF3751">
        <w:rPr>
          <w:rFonts w:ascii="Bookman Old Style" w:hAnsi="Bookman Old Style" w:cs="Arial"/>
          <w:lang w:val="fi-FI"/>
        </w:rPr>
        <w:t>Tangerang</w:t>
      </w:r>
      <w:r w:rsidR="00A954D0">
        <w:rPr>
          <w:rFonts w:ascii="Bookman Old Style" w:hAnsi="Bookman Old Style" w:cs="Arial"/>
          <w:lang w:val="fi-FI"/>
        </w:rPr>
        <w:t xml:space="preserve"> </w:t>
      </w:r>
      <w:r w:rsidRPr="00BF3751">
        <w:rPr>
          <w:rFonts w:ascii="Bookman Old Style" w:hAnsi="Bookman Old Style" w:cs="Arial"/>
          <w:lang w:val="fi-FI"/>
        </w:rPr>
        <w:t>agar</w:t>
      </w:r>
      <w:r w:rsidR="00A954D0">
        <w:rPr>
          <w:rFonts w:ascii="Bookman Old Style" w:hAnsi="Bookman Old Style" w:cs="Arial"/>
          <w:lang w:val="fi-FI"/>
        </w:rPr>
        <w:t xml:space="preserve"> </w:t>
      </w:r>
      <w:r w:rsidRPr="00BF3751">
        <w:rPr>
          <w:rFonts w:ascii="Bookman Old Style" w:hAnsi="Bookman Old Style" w:cs="Arial"/>
          <w:lang w:val="fi-FI"/>
        </w:rPr>
        <w:t>mengambil</w:t>
      </w:r>
      <w:r w:rsidR="00A954D0">
        <w:rPr>
          <w:rFonts w:ascii="Bookman Old Style" w:hAnsi="Bookman Old Style" w:cs="Arial"/>
          <w:lang w:val="fi-FI"/>
        </w:rPr>
        <w:t xml:space="preserve"> </w:t>
      </w:r>
      <w:r w:rsidRPr="00BF3751">
        <w:rPr>
          <w:rFonts w:ascii="Bookman Old Style" w:hAnsi="Bookman Old Style" w:cs="Arial"/>
          <w:lang w:val="fi-FI"/>
        </w:rPr>
        <w:t>langkah-langkah</w:t>
      </w:r>
      <w:r w:rsidR="00A954D0">
        <w:rPr>
          <w:rFonts w:ascii="Bookman Old Style" w:hAnsi="Bookman Old Style" w:cs="Arial"/>
          <w:lang w:val="fi-FI"/>
        </w:rPr>
        <w:t xml:space="preserve"> </w:t>
      </w:r>
      <w:r w:rsidRPr="00BF3751">
        <w:rPr>
          <w:rFonts w:ascii="Bookman Old Style" w:hAnsi="Bookman Old Style" w:cs="Arial"/>
          <w:lang w:val="fi-FI"/>
        </w:rPr>
        <w:t>sebagai</w:t>
      </w:r>
      <w:r w:rsidR="00A954D0">
        <w:rPr>
          <w:rFonts w:ascii="Bookman Old Style" w:hAnsi="Bookman Old Style" w:cs="Arial"/>
          <w:lang w:val="fi-FI"/>
        </w:rPr>
        <w:t xml:space="preserve"> </w:t>
      </w:r>
      <w:r w:rsidRPr="00BF3751">
        <w:rPr>
          <w:rFonts w:ascii="Bookman Old Style" w:hAnsi="Bookman Old Style" w:cs="Arial"/>
          <w:lang w:val="fi-FI"/>
        </w:rPr>
        <w:t>berikut:</w:t>
      </w:r>
    </w:p>
    <w:p w14:paraId="0E8260B3" w14:textId="09E0FCA9" w:rsidR="003374DF" w:rsidRPr="00BF3751" w:rsidRDefault="003374DF" w:rsidP="006E2101">
      <w:pPr>
        <w:pStyle w:val="ListParagraph"/>
        <w:numPr>
          <w:ilvl w:val="0"/>
          <w:numId w:val="42"/>
        </w:numPr>
        <w:shd w:val="clear" w:color="auto" w:fill="FFFFFF" w:themeFill="background1"/>
        <w:spacing w:before="60" w:after="0" w:line="276" w:lineRule="auto"/>
        <w:ind w:left="1701" w:hanging="425"/>
        <w:contextualSpacing w:val="0"/>
        <w:jc w:val="both"/>
        <w:rPr>
          <w:rFonts w:ascii="Bookman Old Style" w:hAnsi="Bookman Old Style" w:cs="Arial"/>
          <w:sz w:val="24"/>
          <w:szCs w:val="24"/>
          <w:lang w:val="fi-FI"/>
        </w:rPr>
      </w:pPr>
      <w:r w:rsidRPr="00BF3751">
        <w:rPr>
          <w:rFonts w:ascii="Bookman Old Style" w:hAnsi="Bookman Old Style" w:cs="Arial"/>
          <w:sz w:val="24"/>
          <w:szCs w:val="24"/>
          <w:lang w:val="fi-FI"/>
        </w:rPr>
        <w:t>mengoordinasikan</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pelaksanaan</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percepatan</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penghapusan</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kemiskinan</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ekstrem</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di</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wilayah</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Provinsi</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melalui</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kegiatan/sub</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kegiatan</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antara</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lain:</w:t>
      </w:r>
    </w:p>
    <w:p w14:paraId="3AC45A5E" w14:textId="1461FD05" w:rsidR="003374DF" w:rsidRPr="00BF3751" w:rsidRDefault="003374DF" w:rsidP="00B47BF6">
      <w:pPr>
        <w:pStyle w:val="ListParagraph"/>
        <w:numPr>
          <w:ilvl w:val="0"/>
          <w:numId w:val="138"/>
        </w:numPr>
        <w:shd w:val="clear" w:color="auto" w:fill="FFFFFF" w:themeFill="background1"/>
        <w:spacing w:before="60" w:after="0" w:line="276" w:lineRule="auto"/>
        <w:ind w:left="2268" w:hanging="567"/>
        <w:contextualSpacing w:val="0"/>
        <w:jc w:val="both"/>
        <w:rPr>
          <w:rFonts w:ascii="Bookman Old Style" w:hAnsi="Bookman Old Style" w:cs="Arial"/>
          <w:sz w:val="24"/>
          <w:szCs w:val="24"/>
          <w:lang w:val="it-IT"/>
        </w:rPr>
      </w:pPr>
      <w:r w:rsidRPr="00BF3751">
        <w:rPr>
          <w:rFonts w:ascii="Bookman Old Style" w:hAnsi="Bookman Old Style" w:cs="Arial"/>
          <w:sz w:val="24"/>
          <w:szCs w:val="24"/>
          <w:lang w:val="it-IT"/>
        </w:rPr>
        <w:t>Rehabilitasi</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Sosial</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Dasar</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Penyandang</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Disabilitas</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Terlantar</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di</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dalam</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Panti;</w:t>
      </w:r>
    </w:p>
    <w:p w14:paraId="19CB897D" w14:textId="36E03890" w:rsidR="003374DF" w:rsidRPr="00BF3751" w:rsidRDefault="003374DF" w:rsidP="00B47BF6">
      <w:pPr>
        <w:pStyle w:val="ListParagraph"/>
        <w:numPr>
          <w:ilvl w:val="0"/>
          <w:numId w:val="138"/>
        </w:numPr>
        <w:shd w:val="clear" w:color="auto" w:fill="FFFFFF" w:themeFill="background1"/>
        <w:spacing w:before="60" w:after="0" w:line="276" w:lineRule="auto"/>
        <w:ind w:left="2268" w:hanging="567"/>
        <w:contextualSpacing w:val="0"/>
        <w:jc w:val="both"/>
        <w:rPr>
          <w:rFonts w:ascii="Bookman Old Style" w:hAnsi="Bookman Old Style" w:cs="Arial"/>
          <w:sz w:val="24"/>
          <w:szCs w:val="24"/>
          <w:lang w:val="it-IT"/>
        </w:rPr>
      </w:pPr>
      <w:r w:rsidRPr="00BF3751">
        <w:rPr>
          <w:rFonts w:ascii="Bookman Old Style" w:hAnsi="Bookman Old Style" w:cs="Arial"/>
          <w:sz w:val="24"/>
          <w:szCs w:val="24"/>
          <w:lang w:val="it-IT"/>
        </w:rPr>
        <w:t>Rehabilitasi</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Sosial</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Dasar</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Anak</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Terlantar</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di</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dalam</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Panti;</w:t>
      </w:r>
    </w:p>
    <w:p w14:paraId="306642DF" w14:textId="5BAE864B" w:rsidR="003374DF" w:rsidRPr="00BF3751" w:rsidRDefault="003374DF" w:rsidP="00B47BF6">
      <w:pPr>
        <w:pStyle w:val="ListParagraph"/>
        <w:numPr>
          <w:ilvl w:val="0"/>
          <w:numId w:val="138"/>
        </w:numPr>
        <w:shd w:val="clear" w:color="auto" w:fill="FFFFFF" w:themeFill="background1"/>
        <w:spacing w:before="60" w:after="0" w:line="276" w:lineRule="auto"/>
        <w:ind w:left="2268" w:hanging="567"/>
        <w:contextualSpacing w:val="0"/>
        <w:jc w:val="both"/>
        <w:rPr>
          <w:rFonts w:ascii="Bookman Old Style" w:hAnsi="Bookman Old Style" w:cs="Arial"/>
          <w:sz w:val="24"/>
          <w:szCs w:val="24"/>
          <w:lang w:val="it-IT"/>
        </w:rPr>
      </w:pPr>
      <w:r w:rsidRPr="00BF3751">
        <w:rPr>
          <w:rFonts w:ascii="Bookman Old Style" w:hAnsi="Bookman Old Style" w:cs="Arial"/>
          <w:sz w:val="24"/>
          <w:szCs w:val="24"/>
          <w:lang w:val="it-IT"/>
        </w:rPr>
        <w:t>Rehabilitasi</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Sosial</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Dasar</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Lanjut</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Usia</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Terlantar</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di</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dalam</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Panti;</w:t>
      </w:r>
    </w:p>
    <w:p w14:paraId="5E204345" w14:textId="20306533" w:rsidR="003374DF" w:rsidRPr="00BF3751" w:rsidRDefault="003374DF" w:rsidP="00B47BF6">
      <w:pPr>
        <w:pStyle w:val="ListParagraph"/>
        <w:numPr>
          <w:ilvl w:val="0"/>
          <w:numId w:val="138"/>
        </w:numPr>
        <w:shd w:val="clear" w:color="auto" w:fill="FFFFFF" w:themeFill="background1"/>
        <w:spacing w:before="60" w:after="0" w:line="276" w:lineRule="auto"/>
        <w:ind w:left="2268" w:hanging="567"/>
        <w:contextualSpacing w:val="0"/>
        <w:jc w:val="both"/>
        <w:rPr>
          <w:rFonts w:ascii="Bookman Old Style" w:hAnsi="Bookman Old Style" w:cs="Arial"/>
          <w:sz w:val="24"/>
          <w:szCs w:val="24"/>
          <w:lang w:val="it-IT"/>
        </w:rPr>
      </w:pPr>
      <w:r w:rsidRPr="00BF3751">
        <w:rPr>
          <w:rFonts w:ascii="Bookman Old Style" w:hAnsi="Bookman Old Style" w:cs="Arial"/>
          <w:sz w:val="24"/>
          <w:szCs w:val="24"/>
          <w:lang w:val="it-IT"/>
        </w:rPr>
        <w:t>Rehabilitasi</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Sosial</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Dasar</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Gelandangan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Pengemis</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di</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dalam</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Panti;</w:t>
      </w:r>
    </w:p>
    <w:p w14:paraId="16C19B3D" w14:textId="66DDC562" w:rsidR="003374DF" w:rsidRPr="00BF3751" w:rsidRDefault="003374DF" w:rsidP="00B47BF6">
      <w:pPr>
        <w:pStyle w:val="ListParagraph"/>
        <w:numPr>
          <w:ilvl w:val="0"/>
          <w:numId w:val="138"/>
        </w:numPr>
        <w:shd w:val="clear" w:color="auto" w:fill="FFFFFF" w:themeFill="background1"/>
        <w:spacing w:before="60" w:after="0" w:line="276" w:lineRule="auto"/>
        <w:ind w:left="2268" w:hanging="567"/>
        <w:contextualSpacing w:val="0"/>
        <w:jc w:val="both"/>
        <w:rPr>
          <w:rFonts w:ascii="Bookman Old Style" w:hAnsi="Bookman Old Style" w:cs="Arial"/>
          <w:sz w:val="24"/>
          <w:szCs w:val="24"/>
          <w:lang w:val="it-IT"/>
        </w:rPr>
      </w:pPr>
      <w:r w:rsidRPr="00BF3751">
        <w:rPr>
          <w:rFonts w:ascii="Bookman Old Style" w:hAnsi="Bookman Old Style" w:cs="Arial"/>
          <w:sz w:val="24"/>
          <w:szCs w:val="24"/>
          <w:lang w:val="it-IT"/>
        </w:rPr>
        <w:t>Rehabilitasi</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Sosial</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bagi</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Penyandang</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Masalah</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Kesejahteraan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Sosial</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(PMKS)</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Lainnya</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di</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Luar</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HIV/AIDS</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NAPZA</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di</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dalam</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Panti;</w:t>
      </w:r>
    </w:p>
    <w:p w14:paraId="1C6D3F97" w14:textId="12F0356A" w:rsidR="003374DF" w:rsidRPr="00BF3751" w:rsidRDefault="003374DF" w:rsidP="00B47BF6">
      <w:pPr>
        <w:pStyle w:val="ListParagraph"/>
        <w:numPr>
          <w:ilvl w:val="0"/>
          <w:numId w:val="138"/>
        </w:numPr>
        <w:shd w:val="clear" w:color="auto" w:fill="FFFFFF" w:themeFill="background1"/>
        <w:spacing w:before="60" w:after="0" w:line="276" w:lineRule="auto"/>
        <w:ind w:left="2268" w:hanging="567"/>
        <w:contextualSpacing w:val="0"/>
        <w:jc w:val="both"/>
        <w:rPr>
          <w:rFonts w:ascii="Bookman Old Style" w:hAnsi="Bookman Old Style" w:cs="Arial"/>
          <w:sz w:val="24"/>
          <w:szCs w:val="24"/>
          <w:lang w:val="it-IT"/>
        </w:rPr>
      </w:pPr>
      <w:r w:rsidRPr="00BF3751">
        <w:rPr>
          <w:rFonts w:ascii="Bookman Old Style" w:hAnsi="Bookman Old Style" w:cs="Arial"/>
          <w:sz w:val="24"/>
          <w:szCs w:val="24"/>
          <w:lang w:val="it-IT"/>
        </w:rPr>
        <w:t>Penyediaan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Fasilitas</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Pelayanan,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Sarana,</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Prasarana</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Alat</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Kesehatan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untuk</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UKP</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Rujukan,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UKM</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UKM</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Rujukan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Tingkat</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Daerah</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Provinsi;</w:t>
      </w:r>
    </w:p>
    <w:p w14:paraId="262D41D3" w14:textId="2AB852B3" w:rsidR="003374DF" w:rsidRPr="003255BC" w:rsidRDefault="003374DF" w:rsidP="00B47BF6">
      <w:pPr>
        <w:pStyle w:val="ListParagraph"/>
        <w:numPr>
          <w:ilvl w:val="0"/>
          <w:numId w:val="138"/>
        </w:numPr>
        <w:shd w:val="clear" w:color="auto" w:fill="FFFFFF" w:themeFill="background1"/>
        <w:spacing w:before="60" w:after="0" w:line="276" w:lineRule="auto"/>
        <w:ind w:left="2268" w:hanging="567"/>
        <w:contextualSpacing w:val="0"/>
        <w:jc w:val="both"/>
        <w:rPr>
          <w:rFonts w:ascii="Bookman Old Style" w:hAnsi="Bookman Old Style" w:cs="Arial"/>
          <w:sz w:val="24"/>
          <w:szCs w:val="24"/>
          <w:lang w:val="sv-FI"/>
        </w:rPr>
      </w:pPr>
      <w:r w:rsidRPr="003255BC">
        <w:rPr>
          <w:rFonts w:ascii="Bookman Old Style" w:hAnsi="Bookman Old Style" w:cs="Arial"/>
          <w:sz w:val="24"/>
          <w:szCs w:val="24"/>
          <w:lang w:val="sv-FI"/>
        </w:rPr>
        <w:t>Pengelolaan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dan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Pengembangan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SPAM</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Lintas</w:t>
      </w:r>
      <w:r w:rsidR="00A954D0" w:rsidRPr="003255BC">
        <w:rPr>
          <w:rFonts w:ascii="Bookman Old Style" w:hAnsi="Bookman Old Style" w:cs="Arial"/>
          <w:sz w:val="24"/>
          <w:szCs w:val="24"/>
          <w:lang w:val="sv-FI"/>
        </w:rPr>
        <w:t xml:space="preserve"> </w:t>
      </w:r>
      <w:r w:rsidR="00172E1C" w:rsidRPr="003255BC">
        <w:rPr>
          <w:rFonts w:ascii="Bookman Old Style" w:hAnsi="Bookman Old Style" w:cs="Arial"/>
          <w:sz w:val="24"/>
          <w:szCs w:val="24"/>
          <w:lang w:val="sv-FI"/>
        </w:rPr>
        <w:t>Kabupaten/Kota</w:t>
      </w:r>
      <w:r w:rsidRPr="003255BC">
        <w:rPr>
          <w:rFonts w:ascii="Bookman Old Style" w:hAnsi="Bookman Old Style" w:cs="Arial"/>
          <w:sz w:val="24"/>
          <w:szCs w:val="24"/>
          <w:lang w:val="sv-FI"/>
        </w:rPr>
        <w:t>;</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dan</w:t>
      </w:r>
    </w:p>
    <w:p w14:paraId="3142F772" w14:textId="6FD264A0" w:rsidR="003374DF" w:rsidRPr="003255BC" w:rsidRDefault="003374DF" w:rsidP="00B47BF6">
      <w:pPr>
        <w:pStyle w:val="ListParagraph"/>
        <w:numPr>
          <w:ilvl w:val="0"/>
          <w:numId w:val="138"/>
        </w:numPr>
        <w:shd w:val="clear" w:color="auto" w:fill="FFFFFF" w:themeFill="background1"/>
        <w:spacing w:before="60" w:after="0" w:line="276" w:lineRule="auto"/>
        <w:ind w:left="2268" w:hanging="567"/>
        <w:contextualSpacing w:val="0"/>
        <w:jc w:val="both"/>
        <w:rPr>
          <w:rFonts w:ascii="Bookman Old Style" w:hAnsi="Bookman Old Style" w:cs="Arial"/>
          <w:sz w:val="24"/>
          <w:szCs w:val="24"/>
          <w:lang w:val="sv-FI"/>
        </w:rPr>
      </w:pPr>
      <w:r w:rsidRPr="003255BC">
        <w:rPr>
          <w:rFonts w:ascii="Bookman Old Style" w:hAnsi="Bookman Old Style" w:cs="Arial"/>
          <w:sz w:val="24"/>
          <w:szCs w:val="24"/>
          <w:lang w:val="sv-FI"/>
        </w:rPr>
        <w:t>Penyediaan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dan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Penyaluran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Pangan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Pokok</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atau</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Pangan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Lainnya</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sesuai</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dengan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Kebutuhan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Daerah</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Provinsi,</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serta</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penyediaan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fasilitasi</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distribusi</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atau</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lastRenderedPageBreak/>
        <w:t>intervensi</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lainnya</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dalam</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rangka</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Stabilisasi</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Pasokan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dan</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Harga</w:t>
      </w:r>
      <w:r w:rsidR="00A954D0" w:rsidRPr="003255BC">
        <w:rPr>
          <w:rFonts w:ascii="Bookman Old Style" w:hAnsi="Bookman Old Style" w:cs="Arial"/>
          <w:sz w:val="24"/>
          <w:szCs w:val="24"/>
          <w:lang w:val="sv-FI"/>
        </w:rPr>
        <w:t xml:space="preserve"> </w:t>
      </w:r>
      <w:r w:rsidRPr="003255BC">
        <w:rPr>
          <w:rFonts w:ascii="Bookman Old Style" w:hAnsi="Bookman Old Style" w:cs="Arial"/>
          <w:sz w:val="24"/>
          <w:szCs w:val="24"/>
          <w:lang w:val="sv-FI"/>
        </w:rPr>
        <w:t>Pangan.</w:t>
      </w:r>
    </w:p>
    <w:p w14:paraId="711BA84D" w14:textId="047C15CD" w:rsidR="003374DF" w:rsidRPr="00BF3751" w:rsidRDefault="003374DF" w:rsidP="00B47BF6">
      <w:pPr>
        <w:pStyle w:val="ListParagraph"/>
        <w:numPr>
          <w:ilvl w:val="0"/>
          <w:numId w:val="42"/>
        </w:numPr>
        <w:shd w:val="clear" w:color="auto" w:fill="FFFFFF" w:themeFill="background1"/>
        <w:spacing w:before="60" w:after="0" w:line="276" w:lineRule="auto"/>
        <w:ind w:left="1701" w:hanging="425"/>
        <w:contextualSpacing w:val="0"/>
        <w:jc w:val="both"/>
        <w:rPr>
          <w:rFonts w:ascii="Bookman Old Style" w:hAnsi="Bookman Old Style" w:cs="Arial"/>
          <w:sz w:val="24"/>
          <w:szCs w:val="24"/>
          <w:lang w:val="fi-FI"/>
        </w:rPr>
      </w:pPr>
      <w:r w:rsidRPr="00BF3751">
        <w:rPr>
          <w:rFonts w:ascii="Bookman Old Style" w:hAnsi="Bookman Old Style" w:cs="Arial"/>
          <w:sz w:val="24"/>
          <w:szCs w:val="24"/>
          <w:lang w:val="fi-FI"/>
        </w:rPr>
        <w:t>mengoordinasikan</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penyiapan</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data</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sasaran</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keluarga</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miskin</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ekstrem</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yang</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ditetapkan</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oleh</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Bupati/Wali</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Kota</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melalui</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kegiatan/sub</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kegiatan</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antara</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lain:</w:t>
      </w:r>
    </w:p>
    <w:p w14:paraId="4D1494A6" w14:textId="5340248F" w:rsidR="003374DF" w:rsidRPr="00BF3751" w:rsidRDefault="003374DF" w:rsidP="00B47BF6">
      <w:pPr>
        <w:pStyle w:val="ListParagraph"/>
        <w:numPr>
          <w:ilvl w:val="0"/>
          <w:numId w:val="139"/>
        </w:numPr>
        <w:shd w:val="clear" w:color="auto" w:fill="FFFFFF" w:themeFill="background1"/>
        <w:spacing w:before="60" w:after="0" w:line="276" w:lineRule="auto"/>
        <w:ind w:left="2268" w:hanging="567"/>
        <w:contextualSpacing w:val="0"/>
        <w:jc w:val="both"/>
        <w:rPr>
          <w:rFonts w:ascii="Bookman Old Style" w:hAnsi="Bookman Old Style" w:cs="Arial"/>
          <w:sz w:val="24"/>
          <w:szCs w:val="24"/>
          <w:lang w:val="en-ID"/>
        </w:rPr>
      </w:pPr>
      <w:r w:rsidRPr="00BF3751">
        <w:rPr>
          <w:rFonts w:ascii="Bookman Old Style" w:hAnsi="Bookman Old Style" w:cs="Arial"/>
          <w:sz w:val="24"/>
          <w:szCs w:val="24"/>
          <w:lang w:val="en-ID"/>
        </w:rPr>
        <w:t>Pengelolaan</w:t>
      </w:r>
      <w:r w:rsidR="00A954D0">
        <w:rPr>
          <w:rFonts w:ascii="Bookman Old Style" w:hAnsi="Bookman Old Style" w:cs="Arial"/>
          <w:sz w:val="24"/>
          <w:szCs w:val="24"/>
          <w:lang w:val="en-ID"/>
        </w:rPr>
        <w:t xml:space="preserve"> </w:t>
      </w:r>
      <w:r w:rsidRPr="00BF3751">
        <w:rPr>
          <w:rFonts w:ascii="Bookman Old Style" w:hAnsi="Bookman Old Style" w:cs="Arial"/>
          <w:sz w:val="24"/>
          <w:szCs w:val="24"/>
          <w:lang w:val="en-ID"/>
        </w:rPr>
        <w:t>Data</w:t>
      </w:r>
      <w:r w:rsidR="00A954D0">
        <w:rPr>
          <w:rFonts w:ascii="Bookman Old Style" w:hAnsi="Bookman Old Style" w:cs="Arial"/>
          <w:sz w:val="24"/>
          <w:szCs w:val="24"/>
          <w:lang w:val="en-ID"/>
        </w:rPr>
        <w:t xml:space="preserve"> </w:t>
      </w:r>
      <w:r w:rsidRPr="00BF3751">
        <w:rPr>
          <w:rFonts w:ascii="Bookman Old Style" w:hAnsi="Bookman Old Style" w:cs="Arial"/>
          <w:sz w:val="24"/>
          <w:szCs w:val="24"/>
          <w:lang w:val="en-ID"/>
        </w:rPr>
        <w:t>Fakir</w:t>
      </w:r>
      <w:r w:rsidR="00A954D0">
        <w:rPr>
          <w:rFonts w:ascii="Bookman Old Style" w:hAnsi="Bookman Old Style" w:cs="Arial"/>
          <w:sz w:val="24"/>
          <w:szCs w:val="24"/>
          <w:lang w:val="en-ID"/>
        </w:rPr>
        <w:t xml:space="preserve"> </w:t>
      </w:r>
      <w:r w:rsidRPr="00BF3751">
        <w:rPr>
          <w:rFonts w:ascii="Bookman Old Style" w:hAnsi="Bookman Old Style" w:cs="Arial"/>
          <w:sz w:val="24"/>
          <w:szCs w:val="24"/>
          <w:lang w:val="en-ID"/>
        </w:rPr>
        <w:t>Miskin</w:t>
      </w:r>
      <w:r w:rsidR="00A954D0">
        <w:rPr>
          <w:rFonts w:ascii="Bookman Old Style" w:hAnsi="Bookman Old Style" w:cs="Arial"/>
          <w:sz w:val="24"/>
          <w:szCs w:val="24"/>
          <w:lang w:val="en-ID"/>
        </w:rPr>
        <w:t xml:space="preserve"> </w:t>
      </w:r>
      <w:r w:rsidRPr="00BF3751">
        <w:rPr>
          <w:rFonts w:ascii="Bookman Old Style" w:hAnsi="Bookman Old Style" w:cs="Arial"/>
          <w:sz w:val="24"/>
          <w:szCs w:val="24"/>
          <w:lang w:val="en-ID"/>
        </w:rPr>
        <w:t>Cakupan</w:t>
      </w:r>
      <w:r w:rsidR="00A954D0">
        <w:rPr>
          <w:rFonts w:ascii="Bookman Old Style" w:hAnsi="Bookman Old Style" w:cs="Arial"/>
          <w:sz w:val="24"/>
          <w:szCs w:val="24"/>
          <w:lang w:val="en-ID"/>
        </w:rPr>
        <w:t xml:space="preserve"> </w:t>
      </w:r>
      <w:r w:rsidRPr="00BF3751">
        <w:rPr>
          <w:rFonts w:ascii="Bookman Old Style" w:hAnsi="Bookman Old Style" w:cs="Arial"/>
          <w:sz w:val="24"/>
          <w:szCs w:val="24"/>
          <w:lang w:val="en-ID"/>
        </w:rPr>
        <w:t>Daerah</w:t>
      </w:r>
      <w:r w:rsidR="00A954D0">
        <w:rPr>
          <w:rFonts w:ascii="Bookman Old Style" w:hAnsi="Bookman Old Style" w:cs="Arial"/>
          <w:sz w:val="24"/>
          <w:szCs w:val="24"/>
          <w:lang w:val="en-ID"/>
        </w:rPr>
        <w:t xml:space="preserve"> </w:t>
      </w:r>
      <w:r w:rsidRPr="00BF3751">
        <w:rPr>
          <w:rFonts w:ascii="Bookman Old Style" w:hAnsi="Bookman Old Style" w:cs="Arial"/>
          <w:sz w:val="24"/>
          <w:szCs w:val="24"/>
          <w:lang w:val="en-ID"/>
        </w:rPr>
        <w:t>Provinsi;</w:t>
      </w:r>
    </w:p>
    <w:p w14:paraId="299775C1" w14:textId="1AE0A6D5" w:rsidR="003374DF" w:rsidRPr="00BF3751" w:rsidRDefault="003374DF" w:rsidP="00B47BF6">
      <w:pPr>
        <w:pStyle w:val="ListParagraph"/>
        <w:numPr>
          <w:ilvl w:val="0"/>
          <w:numId w:val="139"/>
        </w:numPr>
        <w:shd w:val="clear" w:color="auto" w:fill="FFFFFF" w:themeFill="background1"/>
        <w:spacing w:before="60" w:after="0" w:line="276" w:lineRule="auto"/>
        <w:ind w:left="2268" w:hanging="567"/>
        <w:contextualSpacing w:val="0"/>
        <w:jc w:val="both"/>
        <w:rPr>
          <w:rFonts w:ascii="Bookman Old Style" w:hAnsi="Bookman Old Style" w:cs="Arial"/>
          <w:sz w:val="24"/>
          <w:szCs w:val="24"/>
          <w:lang w:val="fi-FI"/>
        </w:rPr>
      </w:pPr>
      <w:r w:rsidRPr="00BF3751">
        <w:rPr>
          <w:rFonts w:ascii="Bookman Old Style" w:hAnsi="Bookman Old Style" w:cs="Arial"/>
          <w:sz w:val="24"/>
          <w:szCs w:val="24"/>
          <w:lang w:val="fi-FI"/>
        </w:rPr>
        <w:t>Pengelolaan</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Data</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Fakir</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Miskin</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Cakupan</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Daerah</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Lintas</w:t>
      </w:r>
      <w:r w:rsidR="00A954D0">
        <w:rPr>
          <w:rFonts w:ascii="Bookman Old Style" w:hAnsi="Bookman Old Style" w:cs="Arial"/>
          <w:sz w:val="24"/>
          <w:szCs w:val="24"/>
          <w:lang w:val="fi-FI"/>
        </w:rPr>
        <w:t xml:space="preserve"> </w:t>
      </w:r>
      <w:r w:rsidR="00172E1C" w:rsidRPr="00BF3751">
        <w:rPr>
          <w:rFonts w:ascii="Bookman Old Style" w:hAnsi="Bookman Old Style" w:cs="Arial"/>
          <w:sz w:val="24"/>
          <w:szCs w:val="24"/>
          <w:lang w:val="fi-FI"/>
        </w:rPr>
        <w:t>Kabupaten/Kota</w:t>
      </w:r>
      <w:r w:rsidRPr="00BF3751">
        <w:rPr>
          <w:rFonts w:ascii="Bookman Old Style" w:hAnsi="Bookman Old Style" w:cs="Arial"/>
          <w:sz w:val="24"/>
          <w:szCs w:val="24"/>
          <w:lang w:val="fi-FI"/>
        </w:rPr>
        <w:t>;</w:t>
      </w:r>
      <w:r w:rsidR="00A954D0">
        <w:rPr>
          <w:rFonts w:ascii="Bookman Old Style" w:hAnsi="Bookman Old Style" w:cs="Arial"/>
          <w:sz w:val="24"/>
          <w:szCs w:val="24"/>
          <w:lang w:val="fi-FI"/>
        </w:rPr>
        <w:t xml:space="preserve"> </w:t>
      </w:r>
    </w:p>
    <w:p w14:paraId="328D3199" w14:textId="65A507AB" w:rsidR="003374DF" w:rsidRPr="00BF3751" w:rsidRDefault="003374DF" w:rsidP="00B47BF6">
      <w:pPr>
        <w:pStyle w:val="ListParagraph"/>
        <w:numPr>
          <w:ilvl w:val="0"/>
          <w:numId w:val="139"/>
        </w:numPr>
        <w:shd w:val="clear" w:color="auto" w:fill="FFFFFF" w:themeFill="background1"/>
        <w:spacing w:before="60" w:after="0" w:line="276" w:lineRule="auto"/>
        <w:ind w:left="2268" w:hanging="567"/>
        <w:contextualSpacing w:val="0"/>
        <w:jc w:val="both"/>
        <w:rPr>
          <w:rFonts w:ascii="Bookman Old Style" w:hAnsi="Bookman Old Style" w:cs="Arial"/>
          <w:sz w:val="24"/>
          <w:szCs w:val="24"/>
          <w:lang w:val="fi-FI"/>
        </w:rPr>
      </w:pPr>
      <w:r w:rsidRPr="00BF3751">
        <w:rPr>
          <w:rFonts w:ascii="Bookman Old Style" w:hAnsi="Bookman Old Style" w:cs="Arial"/>
          <w:sz w:val="24"/>
          <w:szCs w:val="24"/>
          <w:lang w:val="fi-FI"/>
        </w:rPr>
        <w:t>Pemberdayaan</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Usaha</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Kecil</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yang</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dilakukan</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Melalui</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Pendataan,</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Kemitraan,</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Kemudahan</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Perizinan,</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Penguatan</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Kelembagaan</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dan</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Koordinasi</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Dengan</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Para</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Pemangku</w:t>
      </w:r>
      <w:r w:rsidR="00A954D0">
        <w:rPr>
          <w:rFonts w:ascii="Bookman Old Style" w:hAnsi="Bookman Old Style" w:cs="Arial"/>
          <w:sz w:val="24"/>
          <w:szCs w:val="24"/>
          <w:lang w:val="fi-FI"/>
        </w:rPr>
        <w:t xml:space="preserve"> </w:t>
      </w:r>
      <w:r w:rsidRPr="00BF3751">
        <w:rPr>
          <w:rFonts w:ascii="Bookman Old Style" w:hAnsi="Bookman Old Style" w:cs="Arial"/>
          <w:sz w:val="24"/>
          <w:szCs w:val="24"/>
          <w:lang w:val="fi-FI"/>
        </w:rPr>
        <w:t>Kepentingan;</w:t>
      </w:r>
    </w:p>
    <w:p w14:paraId="6DB4952B" w14:textId="4C291FD1" w:rsidR="003374DF" w:rsidRPr="00BF3751" w:rsidRDefault="003374DF" w:rsidP="00B47BF6">
      <w:pPr>
        <w:pStyle w:val="ListParagraph"/>
        <w:numPr>
          <w:ilvl w:val="0"/>
          <w:numId w:val="139"/>
        </w:numPr>
        <w:shd w:val="clear" w:color="auto" w:fill="FFFFFF" w:themeFill="background1"/>
        <w:spacing w:before="60" w:after="0" w:line="276" w:lineRule="auto"/>
        <w:ind w:left="2268" w:hanging="567"/>
        <w:contextualSpacing w:val="0"/>
        <w:jc w:val="both"/>
        <w:rPr>
          <w:rFonts w:ascii="Bookman Old Style" w:hAnsi="Bookman Old Style" w:cs="Arial"/>
          <w:sz w:val="24"/>
          <w:szCs w:val="24"/>
          <w:lang w:val="it-IT"/>
        </w:rPr>
      </w:pPr>
      <w:r w:rsidRPr="00BF3751">
        <w:rPr>
          <w:rFonts w:ascii="Bookman Old Style" w:hAnsi="Bookman Old Style" w:cs="Arial"/>
          <w:sz w:val="24"/>
          <w:szCs w:val="24"/>
          <w:lang w:val="it-IT"/>
        </w:rPr>
        <w:t>Rehabilitasi</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Sosial</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Dasar</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Penyandang</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Disabilitas</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Terlantar</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di</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luar</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Panti;</w:t>
      </w:r>
    </w:p>
    <w:p w14:paraId="43CB839D" w14:textId="28352B12" w:rsidR="003374DF" w:rsidRPr="00BF3751" w:rsidRDefault="003374DF" w:rsidP="00B47BF6">
      <w:pPr>
        <w:pStyle w:val="ListParagraph"/>
        <w:numPr>
          <w:ilvl w:val="0"/>
          <w:numId w:val="139"/>
        </w:numPr>
        <w:shd w:val="clear" w:color="auto" w:fill="FFFFFF" w:themeFill="background1"/>
        <w:spacing w:before="60" w:after="0" w:line="276" w:lineRule="auto"/>
        <w:ind w:left="2268" w:hanging="567"/>
        <w:contextualSpacing w:val="0"/>
        <w:jc w:val="both"/>
        <w:rPr>
          <w:rFonts w:ascii="Bookman Old Style" w:hAnsi="Bookman Old Style" w:cs="Arial"/>
          <w:sz w:val="24"/>
          <w:szCs w:val="24"/>
          <w:lang w:val="it-IT"/>
        </w:rPr>
      </w:pPr>
      <w:r w:rsidRPr="00BF3751">
        <w:rPr>
          <w:rFonts w:ascii="Bookman Old Style" w:hAnsi="Bookman Old Style" w:cs="Arial"/>
          <w:sz w:val="24"/>
          <w:szCs w:val="24"/>
          <w:lang w:val="it-IT"/>
        </w:rPr>
        <w:t>Rehabilitasi</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Sosial</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Dasar</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Anak</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Terlantar</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di</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luar</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Panti;</w:t>
      </w:r>
    </w:p>
    <w:p w14:paraId="7184F493" w14:textId="6265181A" w:rsidR="003374DF" w:rsidRPr="00BF3751" w:rsidRDefault="003374DF" w:rsidP="00B47BF6">
      <w:pPr>
        <w:pStyle w:val="ListParagraph"/>
        <w:numPr>
          <w:ilvl w:val="0"/>
          <w:numId w:val="139"/>
        </w:numPr>
        <w:shd w:val="clear" w:color="auto" w:fill="FFFFFF" w:themeFill="background1"/>
        <w:spacing w:before="60" w:after="0" w:line="276" w:lineRule="auto"/>
        <w:ind w:left="2268" w:hanging="567"/>
        <w:contextualSpacing w:val="0"/>
        <w:jc w:val="both"/>
        <w:rPr>
          <w:rFonts w:ascii="Bookman Old Style" w:hAnsi="Bookman Old Style" w:cs="Arial"/>
          <w:sz w:val="24"/>
          <w:szCs w:val="24"/>
          <w:lang w:val="it-IT"/>
        </w:rPr>
      </w:pPr>
      <w:r w:rsidRPr="00BF3751">
        <w:rPr>
          <w:rFonts w:ascii="Bookman Old Style" w:hAnsi="Bookman Old Style" w:cs="Arial"/>
          <w:sz w:val="24"/>
          <w:szCs w:val="24"/>
          <w:lang w:val="it-IT"/>
        </w:rPr>
        <w:t>Rehabilitasi</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Sosial</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Dasar</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Lanjut</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Usia</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Terlantar</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di</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luar</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Panti;</w:t>
      </w:r>
    </w:p>
    <w:p w14:paraId="14A7A3BD" w14:textId="4E791830" w:rsidR="003374DF" w:rsidRPr="00BF3751" w:rsidRDefault="003374DF" w:rsidP="00B47BF6">
      <w:pPr>
        <w:pStyle w:val="ListParagraph"/>
        <w:numPr>
          <w:ilvl w:val="0"/>
          <w:numId w:val="139"/>
        </w:numPr>
        <w:shd w:val="clear" w:color="auto" w:fill="FFFFFF" w:themeFill="background1"/>
        <w:spacing w:before="60" w:after="0" w:line="276" w:lineRule="auto"/>
        <w:ind w:left="2268" w:hanging="567"/>
        <w:contextualSpacing w:val="0"/>
        <w:jc w:val="both"/>
        <w:rPr>
          <w:rFonts w:ascii="Bookman Old Style" w:hAnsi="Bookman Old Style" w:cs="Arial"/>
          <w:sz w:val="24"/>
          <w:szCs w:val="24"/>
          <w:lang w:val="it-IT"/>
        </w:rPr>
      </w:pPr>
      <w:r w:rsidRPr="00BF3751">
        <w:rPr>
          <w:rFonts w:ascii="Bookman Old Style" w:hAnsi="Bookman Old Style" w:cs="Arial"/>
          <w:sz w:val="24"/>
          <w:szCs w:val="24"/>
          <w:lang w:val="it-IT"/>
        </w:rPr>
        <w:t>Rehabilitasi</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Sosial</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Dasar</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Gelandangan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Pengemis</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di</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luar</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Panti;</w:t>
      </w:r>
    </w:p>
    <w:p w14:paraId="7E4158B5" w14:textId="6CF677DC" w:rsidR="003374DF" w:rsidRPr="00BF3751" w:rsidRDefault="003374DF" w:rsidP="00B47BF6">
      <w:pPr>
        <w:pStyle w:val="ListParagraph"/>
        <w:numPr>
          <w:ilvl w:val="0"/>
          <w:numId w:val="139"/>
        </w:numPr>
        <w:shd w:val="clear" w:color="auto" w:fill="FFFFFF" w:themeFill="background1"/>
        <w:spacing w:before="60" w:after="0" w:line="276" w:lineRule="auto"/>
        <w:ind w:left="2268" w:hanging="567"/>
        <w:contextualSpacing w:val="0"/>
        <w:jc w:val="both"/>
        <w:rPr>
          <w:rFonts w:ascii="Bookman Old Style" w:hAnsi="Bookman Old Style" w:cs="Arial"/>
          <w:sz w:val="24"/>
          <w:szCs w:val="24"/>
          <w:lang w:val="it-IT"/>
        </w:rPr>
      </w:pPr>
      <w:r w:rsidRPr="00BF3751">
        <w:rPr>
          <w:rFonts w:ascii="Bookman Old Style" w:hAnsi="Bookman Old Style" w:cs="Arial"/>
          <w:sz w:val="24"/>
          <w:szCs w:val="24"/>
          <w:lang w:val="it-IT"/>
        </w:rPr>
        <w:t>Rehabilitasi</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Sosial</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bagi</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PMKS</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Lainnya</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di</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Luar</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HIV/AIDS</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NAPZA</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di</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luar</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Panti;</w:t>
      </w:r>
    </w:p>
    <w:p w14:paraId="2BF509CC" w14:textId="5878E407" w:rsidR="003374DF" w:rsidRPr="00BF3751" w:rsidRDefault="003374DF" w:rsidP="00B47BF6">
      <w:pPr>
        <w:pStyle w:val="ListParagraph"/>
        <w:numPr>
          <w:ilvl w:val="0"/>
          <w:numId w:val="139"/>
        </w:numPr>
        <w:shd w:val="clear" w:color="auto" w:fill="FFFFFF" w:themeFill="background1"/>
        <w:spacing w:before="60" w:after="0" w:line="276" w:lineRule="auto"/>
        <w:ind w:left="2268" w:hanging="567"/>
        <w:contextualSpacing w:val="0"/>
        <w:jc w:val="both"/>
        <w:rPr>
          <w:rFonts w:ascii="Bookman Old Style" w:hAnsi="Bookman Old Style" w:cs="Arial"/>
          <w:sz w:val="24"/>
          <w:szCs w:val="24"/>
          <w:lang w:val="en-ID"/>
        </w:rPr>
      </w:pPr>
      <w:r w:rsidRPr="00BF3751">
        <w:rPr>
          <w:rFonts w:ascii="Bookman Old Style" w:hAnsi="Bookman Old Style" w:cs="Arial"/>
          <w:sz w:val="24"/>
          <w:szCs w:val="24"/>
          <w:lang w:val="en-ID"/>
        </w:rPr>
        <w:t>Pengelolaan</w:t>
      </w:r>
      <w:r w:rsidR="00A954D0">
        <w:rPr>
          <w:rFonts w:ascii="Bookman Old Style" w:hAnsi="Bookman Old Style" w:cs="Arial"/>
          <w:sz w:val="24"/>
          <w:szCs w:val="24"/>
          <w:lang w:val="en-ID"/>
        </w:rPr>
        <w:t xml:space="preserve"> </w:t>
      </w:r>
      <w:r w:rsidRPr="00BF3751">
        <w:rPr>
          <w:rFonts w:ascii="Bookman Old Style" w:hAnsi="Bookman Old Style" w:cs="Arial"/>
          <w:sz w:val="24"/>
          <w:szCs w:val="24"/>
          <w:lang w:val="en-ID"/>
        </w:rPr>
        <w:t>Data</w:t>
      </w:r>
      <w:r w:rsidR="00A954D0">
        <w:rPr>
          <w:rFonts w:ascii="Bookman Old Style" w:hAnsi="Bookman Old Style" w:cs="Arial"/>
          <w:sz w:val="24"/>
          <w:szCs w:val="24"/>
          <w:lang w:val="en-ID"/>
        </w:rPr>
        <w:t xml:space="preserve"> </w:t>
      </w:r>
      <w:r w:rsidRPr="00BF3751">
        <w:rPr>
          <w:rFonts w:ascii="Bookman Old Style" w:hAnsi="Bookman Old Style" w:cs="Arial"/>
          <w:sz w:val="24"/>
          <w:szCs w:val="24"/>
          <w:lang w:val="en-ID"/>
        </w:rPr>
        <w:t>Fakir</w:t>
      </w:r>
      <w:r w:rsidR="00A954D0">
        <w:rPr>
          <w:rFonts w:ascii="Bookman Old Style" w:hAnsi="Bookman Old Style" w:cs="Arial"/>
          <w:sz w:val="24"/>
          <w:szCs w:val="24"/>
          <w:lang w:val="en-ID"/>
        </w:rPr>
        <w:t xml:space="preserve"> </w:t>
      </w:r>
      <w:r w:rsidRPr="00BF3751">
        <w:rPr>
          <w:rFonts w:ascii="Bookman Old Style" w:hAnsi="Bookman Old Style" w:cs="Arial"/>
          <w:sz w:val="24"/>
          <w:szCs w:val="24"/>
          <w:lang w:val="en-ID"/>
        </w:rPr>
        <w:t>Miskin</w:t>
      </w:r>
      <w:r w:rsidR="00A954D0">
        <w:rPr>
          <w:rFonts w:ascii="Bookman Old Style" w:hAnsi="Bookman Old Style" w:cs="Arial"/>
          <w:sz w:val="24"/>
          <w:szCs w:val="24"/>
          <w:lang w:val="en-ID"/>
        </w:rPr>
        <w:t xml:space="preserve"> </w:t>
      </w:r>
      <w:r w:rsidRPr="00BF3751">
        <w:rPr>
          <w:rFonts w:ascii="Bookman Old Style" w:hAnsi="Bookman Old Style" w:cs="Arial"/>
          <w:sz w:val="24"/>
          <w:szCs w:val="24"/>
          <w:lang w:val="en-ID"/>
        </w:rPr>
        <w:t>Cakupan</w:t>
      </w:r>
      <w:r w:rsidR="00A954D0">
        <w:rPr>
          <w:rFonts w:ascii="Bookman Old Style" w:hAnsi="Bookman Old Style" w:cs="Arial"/>
          <w:sz w:val="24"/>
          <w:szCs w:val="24"/>
          <w:lang w:val="en-ID"/>
        </w:rPr>
        <w:t xml:space="preserve"> </w:t>
      </w:r>
      <w:r w:rsidRPr="00BF3751">
        <w:rPr>
          <w:rFonts w:ascii="Bookman Old Style" w:hAnsi="Bookman Old Style" w:cs="Arial"/>
          <w:sz w:val="24"/>
          <w:szCs w:val="24"/>
          <w:lang w:val="en-ID"/>
        </w:rPr>
        <w:t>Daerah</w:t>
      </w:r>
      <w:r w:rsidR="00A954D0">
        <w:rPr>
          <w:rFonts w:ascii="Bookman Old Style" w:hAnsi="Bookman Old Style" w:cs="Arial"/>
          <w:sz w:val="24"/>
          <w:szCs w:val="24"/>
          <w:lang w:val="en-ID"/>
        </w:rPr>
        <w:t xml:space="preserve"> </w:t>
      </w:r>
      <w:r w:rsidRPr="00BF3751">
        <w:rPr>
          <w:rFonts w:ascii="Bookman Old Style" w:hAnsi="Bookman Old Style" w:cs="Arial"/>
          <w:sz w:val="24"/>
          <w:szCs w:val="24"/>
          <w:lang w:val="en-ID"/>
        </w:rPr>
        <w:t>Provinsi;</w:t>
      </w:r>
    </w:p>
    <w:p w14:paraId="72859C44" w14:textId="31858287" w:rsidR="003374DF" w:rsidRPr="00BF3751" w:rsidRDefault="003374DF" w:rsidP="00B47BF6">
      <w:pPr>
        <w:pStyle w:val="ListParagraph"/>
        <w:numPr>
          <w:ilvl w:val="0"/>
          <w:numId w:val="139"/>
        </w:numPr>
        <w:shd w:val="clear" w:color="auto" w:fill="FFFFFF" w:themeFill="background1"/>
        <w:spacing w:before="60" w:after="0" w:line="276" w:lineRule="auto"/>
        <w:ind w:left="2268" w:hanging="567"/>
        <w:contextualSpacing w:val="0"/>
        <w:jc w:val="both"/>
        <w:rPr>
          <w:rFonts w:ascii="Bookman Old Style" w:hAnsi="Bookman Old Style" w:cs="Arial"/>
          <w:sz w:val="24"/>
          <w:szCs w:val="24"/>
          <w:lang w:val="it-IT"/>
        </w:rPr>
      </w:pPr>
      <w:r w:rsidRPr="00BF3751">
        <w:rPr>
          <w:rFonts w:ascii="Bookman Old Style" w:hAnsi="Bookman Old Style" w:cs="Arial"/>
          <w:sz w:val="24"/>
          <w:szCs w:val="24"/>
          <w:lang w:val="it-IT"/>
        </w:rPr>
        <w:t>Pengelolaan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Data</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Fakir</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Miskin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Cakupan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Daerah</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Lintas</w:t>
      </w:r>
      <w:r w:rsidR="00A954D0">
        <w:rPr>
          <w:rFonts w:ascii="Bookman Old Style" w:hAnsi="Bookman Old Style" w:cs="Arial"/>
          <w:sz w:val="24"/>
          <w:szCs w:val="24"/>
          <w:lang w:val="it-IT"/>
        </w:rPr>
        <w:t xml:space="preserve"> </w:t>
      </w:r>
      <w:r w:rsidR="00172E1C" w:rsidRPr="00BF3751">
        <w:rPr>
          <w:rFonts w:ascii="Bookman Old Style" w:hAnsi="Bookman Old Style" w:cs="Arial"/>
          <w:sz w:val="24"/>
          <w:szCs w:val="24"/>
          <w:lang w:val="it-IT"/>
        </w:rPr>
        <w:t>Kabupaten/Kota</w:t>
      </w:r>
      <w:r w:rsidRPr="00BF3751">
        <w:rPr>
          <w:rFonts w:ascii="Bookman Old Style" w:hAnsi="Bookman Old Style" w:cs="Arial"/>
          <w:sz w:val="24"/>
          <w:szCs w:val="24"/>
          <w:lang w:val="it-IT"/>
        </w:rPr>
        <w:t>;</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dan</w:t>
      </w:r>
    </w:p>
    <w:p w14:paraId="0AC8CFA6" w14:textId="71B347D6" w:rsidR="003374DF" w:rsidRPr="00BF3751" w:rsidRDefault="003374DF" w:rsidP="00B47BF6">
      <w:pPr>
        <w:pStyle w:val="ListParagraph"/>
        <w:numPr>
          <w:ilvl w:val="0"/>
          <w:numId w:val="139"/>
        </w:numPr>
        <w:shd w:val="clear" w:color="auto" w:fill="FFFFFF" w:themeFill="background1"/>
        <w:spacing w:before="60" w:after="0" w:line="276" w:lineRule="auto"/>
        <w:ind w:left="2268" w:hanging="567"/>
        <w:contextualSpacing w:val="0"/>
        <w:jc w:val="both"/>
        <w:rPr>
          <w:rFonts w:ascii="Bookman Old Style" w:hAnsi="Bookman Old Style" w:cs="Arial"/>
          <w:sz w:val="24"/>
          <w:szCs w:val="24"/>
          <w:lang w:val="it-IT"/>
        </w:rPr>
      </w:pPr>
      <w:r w:rsidRPr="00BF3751">
        <w:rPr>
          <w:rFonts w:ascii="Bookman Old Style" w:hAnsi="Bookman Old Style" w:cs="Arial"/>
          <w:sz w:val="24"/>
          <w:szCs w:val="24"/>
          <w:lang w:val="it-IT"/>
        </w:rPr>
        <w:t>Pemberdayaan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Usaha</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Kecil</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yang</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dilakukan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Melalui</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Pendataan,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Kemitraan,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Kemudahan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Perizinan,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Penguatan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Kelembagaan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Koordinasi</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dengan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Para</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Pemangku</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Kepentingan.</w:t>
      </w:r>
    </w:p>
    <w:p w14:paraId="54D2B8FE" w14:textId="6676EF03" w:rsidR="003374DF" w:rsidRPr="003255BC" w:rsidRDefault="003374DF" w:rsidP="00B47BF6">
      <w:pPr>
        <w:pStyle w:val="ListParagraph"/>
        <w:numPr>
          <w:ilvl w:val="0"/>
          <w:numId w:val="42"/>
        </w:numPr>
        <w:shd w:val="clear" w:color="auto" w:fill="FFFFFF" w:themeFill="background1"/>
        <w:spacing w:before="60" w:after="0" w:line="276" w:lineRule="auto"/>
        <w:ind w:left="1701" w:hanging="425"/>
        <w:contextualSpacing w:val="0"/>
        <w:jc w:val="both"/>
        <w:rPr>
          <w:rFonts w:ascii="Bookman Old Style" w:hAnsi="Bookman Old Style" w:cs="Arial"/>
          <w:i/>
          <w:sz w:val="24"/>
          <w:szCs w:val="24"/>
          <w:lang w:val="it-IT"/>
        </w:rPr>
      </w:pPr>
      <w:r w:rsidRPr="003255BC">
        <w:rPr>
          <w:rFonts w:ascii="Bookman Old Style" w:hAnsi="Bookman Old Style" w:cs="Arial"/>
          <w:sz w:val="24"/>
          <w:szCs w:val="24"/>
          <w:lang w:val="it-IT"/>
        </w:rPr>
        <w:t>percepatan</w:t>
      </w:r>
      <w:r w:rsidR="00A954D0" w:rsidRPr="003255BC">
        <w:rPr>
          <w:rFonts w:ascii="Bookman Old Style" w:hAnsi="Bookman Old Style" w:cs="Arial"/>
          <w:sz w:val="24"/>
          <w:szCs w:val="24"/>
          <w:lang w:val="it-IT"/>
        </w:rPr>
        <w:t xml:space="preserve"> </w:t>
      </w:r>
      <w:r w:rsidRPr="003255BC">
        <w:rPr>
          <w:rFonts w:ascii="Bookman Old Style" w:hAnsi="Bookman Old Style" w:cs="Arial"/>
          <w:sz w:val="24"/>
          <w:szCs w:val="24"/>
          <w:lang w:val="it-IT"/>
        </w:rPr>
        <w:t>penghapusan</w:t>
      </w:r>
      <w:r w:rsidR="00A954D0" w:rsidRPr="003255BC">
        <w:rPr>
          <w:rFonts w:ascii="Bookman Old Style" w:hAnsi="Bookman Old Style" w:cs="Arial"/>
          <w:sz w:val="24"/>
          <w:szCs w:val="24"/>
          <w:lang w:val="it-IT"/>
        </w:rPr>
        <w:t xml:space="preserve"> </w:t>
      </w:r>
      <w:r w:rsidRPr="003255BC">
        <w:rPr>
          <w:rFonts w:ascii="Bookman Old Style" w:hAnsi="Bookman Old Style" w:cs="Arial"/>
          <w:sz w:val="24"/>
          <w:szCs w:val="24"/>
          <w:lang w:val="it-IT"/>
        </w:rPr>
        <w:t>kemiskinan</w:t>
      </w:r>
      <w:r w:rsidR="00A954D0" w:rsidRPr="003255BC">
        <w:rPr>
          <w:rFonts w:ascii="Bookman Old Style" w:hAnsi="Bookman Old Style" w:cs="Arial"/>
          <w:sz w:val="24"/>
          <w:szCs w:val="24"/>
          <w:lang w:val="it-IT"/>
        </w:rPr>
        <w:t xml:space="preserve"> </w:t>
      </w:r>
      <w:r w:rsidRPr="003255BC">
        <w:rPr>
          <w:rFonts w:ascii="Bookman Old Style" w:hAnsi="Bookman Old Style" w:cs="Arial"/>
          <w:sz w:val="24"/>
          <w:szCs w:val="24"/>
          <w:lang w:val="it-IT"/>
        </w:rPr>
        <w:t>ekstrem,</w:t>
      </w:r>
      <w:r w:rsidR="00A954D0" w:rsidRPr="003255BC">
        <w:rPr>
          <w:rFonts w:ascii="Bookman Old Style" w:hAnsi="Bookman Old Style" w:cs="Arial"/>
          <w:sz w:val="24"/>
          <w:szCs w:val="24"/>
          <w:lang w:val="it-IT"/>
        </w:rPr>
        <w:t xml:space="preserve"> </w:t>
      </w:r>
      <w:r w:rsidRPr="003255BC">
        <w:rPr>
          <w:rFonts w:ascii="Bookman Old Style" w:hAnsi="Bookman Old Style" w:cs="Arial"/>
          <w:sz w:val="24"/>
          <w:szCs w:val="24"/>
          <w:lang w:val="it-IT"/>
        </w:rPr>
        <w:t>termasuk</w:t>
      </w:r>
      <w:r w:rsidR="00A954D0" w:rsidRPr="003255BC">
        <w:rPr>
          <w:rFonts w:ascii="Bookman Old Style" w:hAnsi="Bookman Old Style" w:cs="Arial"/>
          <w:sz w:val="24"/>
          <w:szCs w:val="24"/>
          <w:lang w:val="it-IT"/>
        </w:rPr>
        <w:t xml:space="preserve"> </w:t>
      </w:r>
      <w:r w:rsidRPr="00BF3751">
        <w:rPr>
          <w:rFonts w:ascii="Bookman Old Style" w:hAnsi="Bookman Old Style" w:cs="Arial"/>
          <w:sz w:val="24"/>
          <w:szCs w:val="24"/>
          <w:lang w:val="fi-FI"/>
        </w:rPr>
        <w:t>pemutakhiran</w:t>
      </w:r>
      <w:r w:rsidR="00A954D0" w:rsidRPr="003255BC">
        <w:rPr>
          <w:rFonts w:ascii="Bookman Old Style" w:hAnsi="Bookman Old Style" w:cs="Arial"/>
          <w:sz w:val="24"/>
          <w:szCs w:val="24"/>
          <w:lang w:val="it-IT"/>
        </w:rPr>
        <w:t xml:space="preserve"> </w:t>
      </w:r>
      <w:r w:rsidRPr="003255BC">
        <w:rPr>
          <w:rFonts w:ascii="Bookman Old Style" w:hAnsi="Bookman Old Style" w:cs="Arial"/>
          <w:sz w:val="24"/>
          <w:szCs w:val="24"/>
          <w:lang w:val="it-IT"/>
        </w:rPr>
        <w:t>data</w:t>
      </w:r>
      <w:r w:rsidR="00A954D0" w:rsidRPr="003255BC">
        <w:rPr>
          <w:rFonts w:ascii="Bookman Old Style" w:hAnsi="Bookman Old Style" w:cs="Arial"/>
          <w:sz w:val="24"/>
          <w:szCs w:val="24"/>
          <w:lang w:val="it-IT"/>
        </w:rPr>
        <w:t xml:space="preserve"> </w:t>
      </w:r>
      <w:r w:rsidRPr="003255BC">
        <w:rPr>
          <w:rFonts w:ascii="Bookman Old Style" w:hAnsi="Bookman Old Style" w:cs="Arial"/>
          <w:sz w:val="24"/>
          <w:szCs w:val="24"/>
          <w:lang w:val="it-IT"/>
        </w:rPr>
        <w:t>penerima</w:t>
      </w:r>
      <w:r w:rsidR="00A954D0" w:rsidRPr="003255BC">
        <w:rPr>
          <w:rFonts w:ascii="Bookman Old Style" w:hAnsi="Bookman Old Style" w:cs="Arial"/>
          <w:sz w:val="24"/>
          <w:szCs w:val="24"/>
          <w:lang w:val="it-IT"/>
        </w:rPr>
        <w:t xml:space="preserve"> </w:t>
      </w:r>
      <w:r w:rsidRPr="003255BC">
        <w:rPr>
          <w:rFonts w:ascii="Bookman Old Style" w:hAnsi="Bookman Old Style" w:cs="Arial"/>
          <w:sz w:val="24"/>
          <w:szCs w:val="24"/>
          <w:lang w:val="it-IT"/>
        </w:rPr>
        <w:t>dengan</w:t>
      </w:r>
      <w:r w:rsidR="00A954D0" w:rsidRPr="003255BC">
        <w:rPr>
          <w:rFonts w:ascii="Bookman Old Style" w:hAnsi="Bookman Old Style" w:cs="Arial"/>
          <w:sz w:val="24"/>
          <w:szCs w:val="24"/>
          <w:lang w:val="it-IT"/>
        </w:rPr>
        <w:t xml:space="preserve"> </w:t>
      </w:r>
      <w:r w:rsidRPr="003255BC">
        <w:rPr>
          <w:rFonts w:ascii="Bookman Old Style" w:hAnsi="Bookman Old Style" w:cs="Arial"/>
          <w:sz w:val="24"/>
          <w:szCs w:val="24"/>
          <w:lang w:val="it-IT"/>
        </w:rPr>
        <w:t>nama</w:t>
      </w:r>
      <w:r w:rsidR="00A954D0" w:rsidRPr="003255BC">
        <w:rPr>
          <w:rFonts w:ascii="Bookman Old Style" w:hAnsi="Bookman Old Style" w:cs="Arial"/>
          <w:sz w:val="24"/>
          <w:szCs w:val="24"/>
          <w:lang w:val="it-IT"/>
        </w:rPr>
        <w:t xml:space="preserve"> </w:t>
      </w:r>
      <w:r w:rsidRPr="003255BC">
        <w:rPr>
          <w:rFonts w:ascii="Bookman Old Style" w:hAnsi="Bookman Old Style" w:cs="Arial"/>
          <w:sz w:val="24"/>
          <w:szCs w:val="24"/>
          <w:lang w:val="it-IT"/>
        </w:rPr>
        <w:t>dan</w:t>
      </w:r>
      <w:r w:rsidR="00A954D0" w:rsidRPr="003255BC">
        <w:rPr>
          <w:rFonts w:ascii="Bookman Old Style" w:hAnsi="Bookman Old Style" w:cs="Arial"/>
          <w:sz w:val="24"/>
          <w:szCs w:val="24"/>
          <w:lang w:val="it-IT"/>
        </w:rPr>
        <w:t xml:space="preserve"> </w:t>
      </w:r>
      <w:r w:rsidRPr="003255BC">
        <w:rPr>
          <w:rFonts w:ascii="Bookman Old Style" w:hAnsi="Bookman Old Style" w:cs="Arial"/>
          <w:sz w:val="24"/>
          <w:szCs w:val="24"/>
          <w:lang w:val="it-IT"/>
        </w:rPr>
        <w:t>alamat</w:t>
      </w:r>
      <w:r w:rsidR="00A954D0" w:rsidRPr="003255BC">
        <w:rPr>
          <w:rFonts w:ascii="Bookman Old Style" w:hAnsi="Bookman Old Style" w:cs="Arial"/>
          <w:sz w:val="24"/>
          <w:szCs w:val="24"/>
          <w:lang w:val="it-IT"/>
        </w:rPr>
        <w:t xml:space="preserve"> </w:t>
      </w:r>
      <w:r w:rsidRPr="003255BC">
        <w:rPr>
          <w:rFonts w:ascii="Bookman Old Style" w:hAnsi="Bookman Old Style" w:cs="Arial"/>
          <w:sz w:val="24"/>
          <w:szCs w:val="24"/>
          <w:lang w:val="it-IT"/>
        </w:rPr>
        <w:t>(</w:t>
      </w:r>
      <w:r w:rsidRPr="003255BC">
        <w:rPr>
          <w:rFonts w:ascii="Bookman Old Style" w:hAnsi="Bookman Old Style" w:cs="Arial"/>
          <w:i/>
          <w:sz w:val="24"/>
          <w:szCs w:val="24"/>
          <w:lang w:val="it-IT"/>
        </w:rPr>
        <w:t>by</w:t>
      </w:r>
      <w:r w:rsidR="00A954D0" w:rsidRPr="003255BC">
        <w:rPr>
          <w:rFonts w:ascii="Bookman Old Style" w:hAnsi="Bookman Old Style" w:cs="Arial"/>
          <w:i/>
          <w:sz w:val="24"/>
          <w:szCs w:val="24"/>
          <w:lang w:val="it-IT"/>
        </w:rPr>
        <w:t xml:space="preserve"> </w:t>
      </w:r>
      <w:r w:rsidRPr="003255BC">
        <w:rPr>
          <w:rFonts w:ascii="Bookman Old Style" w:hAnsi="Bookman Old Style" w:cs="Arial"/>
          <w:i/>
          <w:sz w:val="24"/>
          <w:szCs w:val="24"/>
          <w:lang w:val="it-IT"/>
        </w:rPr>
        <w:t>name</w:t>
      </w:r>
      <w:r w:rsidR="00A954D0" w:rsidRPr="003255BC">
        <w:rPr>
          <w:rFonts w:ascii="Bookman Old Style" w:hAnsi="Bookman Old Style" w:cs="Arial"/>
          <w:i/>
          <w:sz w:val="24"/>
          <w:szCs w:val="24"/>
          <w:lang w:val="it-IT"/>
        </w:rPr>
        <w:t xml:space="preserve"> </w:t>
      </w:r>
      <w:r w:rsidRPr="003255BC">
        <w:rPr>
          <w:rFonts w:ascii="Bookman Old Style" w:hAnsi="Bookman Old Style" w:cs="Arial"/>
          <w:i/>
          <w:sz w:val="24"/>
          <w:szCs w:val="24"/>
          <w:lang w:val="it-IT"/>
        </w:rPr>
        <w:t>by</w:t>
      </w:r>
      <w:r w:rsidR="00A954D0" w:rsidRPr="003255BC">
        <w:rPr>
          <w:rFonts w:ascii="Bookman Old Style" w:hAnsi="Bookman Old Style" w:cs="Arial"/>
          <w:i/>
          <w:sz w:val="24"/>
          <w:szCs w:val="24"/>
          <w:lang w:val="it-IT"/>
        </w:rPr>
        <w:t xml:space="preserve"> </w:t>
      </w:r>
      <w:r w:rsidRPr="003255BC">
        <w:rPr>
          <w:rFonts w:ascii="Bookman Old Style" w:hAnsi="Bookman Old Style" w:cs="Arial"/>
          <w:i/>
          <w:sz w:val="24"/>
          <w:szCs w:val="24"/>
          <w:lang w:val="it-IT"/>
        </w:rPr>
        <w:t>address</w:t>
      </w:r>
      <w:r w:rsidRPr="003255BC">
        <w:rPr>
          <w:rFonts w:ascii="Bookman Old Style" w:hAnsi="Bookman Old Style" w:cs="Arial"/>
          <w:sz w:val="24"/>
          <w:szCs w:val="24"/>
          <w:lang w:val="it-IT"/>
        </w:rPr>
        <w:t>)</w:t>
      </w:r>
      <w:r w:rsidR="00A954D0" w:rsidRPr="003255BC">
        <w:rPr>
          <w:rFonts w:ascii="Bookman Old Style" w:hAnsi="Bookman Old Style" w:cs="Arial"/>
          <w:sz w:val="24"/>
          <w:szCs w:val="24"/>
          <w:lang w:val="it-IT"/>
        </w:rPr>
        <w:t xml:space="preserve"> </w:t>
      </w:r>
      <w:r w:rsidRPr="003255BC">
        <w:rPr>
          <w:rFonts w:ascii="Bookman Old Style" w:hAnsi="Bookman Old Style" w:cs="Arial"/>
          <w:sz w:val="24"/>
          <w:szCs w:val="24"/>
          <w:lang w:val="it-IT"/>
        </w:rPr>
        <w:t>melalui</w:t>
      </w:r>
      <w:r w:rsidR="00A954D0" w:rsidRPr="003255BC">
        <w:rPr>
          <w:rFonts w:ascii="Bookman Old Style" w:hAnsi="Bookman Old Style" w:cs="Arial"/>
          <w:sz w:val="24"/>
          <w:szCs w:val="24"/>
          <w:lang w:val="it-IT"/>
        </w:rPr>
        <w:t xml:space="preserve"> </w:t>
      </w:r>
      <w:r w:rsidRPr="003255BC">
        <w:rPr>
          <w:rFonts w:ascii="Bookman Old Style" w:hAnsi="Bookman Old Style" w:cs="Arial"/>
          <w:sz w:val="24"/>
          <w:szCs w:val="24"/>
          <w:lang w:val="it-IT"/>
        </w:rPr>
        <w:t>kegiatan/sub</w:t>
      </w:r>
      <w:r w:rsidR="00A954D0" w:rsidRPr="003255BC">
        <w:rPr>
          <w:rFonts w:ascii="Bookman Old Style" w:hAnsi="Bookman Old Style" w:cs="Arial"/>
          <w:sz w:val="24"/>
          <w:szCs w:val="24"/>
          <w:lang w:val="it-IT"/>
        </w:rPr>
        <w:t xml:space="preserve"> </w:t>
      </w:r>
      <w:r w:rsidRPr="003255BC">
        <w:rPr>
          <w:rFonts w:ascii="Bookman Old Style" w:hAnsi="Bookman Old Style" w:cs="Arial"/>
          <w:sz w:val="24"/>
          <w:szCs w:val="24"/>
          <w:lang w:val="it-IT"/>
        </w:rPr>
        <w:t>kegiatan</w:t>
      </w:r>
      <w:r w:rsidR="00A954D0" w:rsidRPr="003255BC">
        <w:rPr>
          <w:rFonts w:ascii="Bookman Old Style" w:hAnsi="Bookman Old Style" w:cs="Arial"/>
          <w:sz w:val="24"/>
          <w:szCs w:val="24"/>
          <w:lang w:val="it-IT"/>
        </w:rPr>
        <w:t xml:space="preserve"> </w:t>
      </w:r>
      <w:r w:rsidRPr="003255BC">
        <w:rPr>
          <w:rFonts w:ascii="Bookman Old Style" w:hAnsi="Bookman Old Style" w:cs="Arial"/>
          <w:sz w:val="24"/>
          <w:szCs w:val="24"/>
          <w:lang w:val="it-IT"/>
        </w:rPr>
        <w:t>antara</w:t>
      </w:r>
      <w:r w:rsidR="00A954D0" w:rsidRPr="003255BC">
        <w:rPr>
          <w:rFonts w:ascii="Bookman Old Style" w:hAnsi="Bookman Old Style" w:cs="Arial"/>
          <w:sz w:val="24"/>
          <w:szCs w:val="24"/>
          <w:lang w:val="it-IT"/>
        </w:rPr>
        <w:t xml:space="preserve"> </w:t>
      </w:r>
      <w:r w:rsidRPr="003255BC">
        <w:rPr>
          <w:rFonts w:ascii="Bookman Old Style" w:hAnsi="Bookman Old Style" w:cs="Arial"/>
          <w:sz w:val="24"/>
          <w:szCs w:val="24"/>
          <w:lang w:val="it-IT"/>
        </w:rPr>
        <w:t>lain:</w:t>
      </w:r>
    </w:p>
    <w:p w14:paraId="330FD020" w14:textId="256F263D" w:rsidR="003374DF" w:rsidRPr="003255BC" w:rsidRDefault="003374DF" w:rsidP="00B47BF6">
      <w:pPr>
        <w:pStyle w:val="ListParagraph"/>
        <w:numPr>
          <w:ilvl w:val="0"/>
          <w:numId w:val="43"/>
        </w:numPr>
        <w:shd w:val="clear" w:color="auto" w:fill="FFFFFF" w:themeFill="background1"/>
        <w:spacing w:before="60" w:after="0" w:line="276" w:lineRule="auto"/>
        <w:ind w:left="2268" w:hanging="567"/>
        <w:contextualSpacing w:val="0"/>
        <w:jc w:val="both"/>
        <w:rPr>
          <w:rFonts w:ascii="Bookman Old Style" w:hAnsi="Bookman Old Style" w:cs="Arial"/>
          <w:i/>
          <w:sz w:val="24"/>
          <w:szCs w:val="24"/>
          <w:lang w:val="it-IT"/>
        </w:rPr>
      </w:pPr>
      <w:r w:rsidRPr="003255BC">
        <w:rPr>
          <w:rFonts w:ascii="Bookman Old Style" w:hAnsi="Bookman Old Style" w:cs="Arial"/>
          <w:sz w:val="24"/>
          <w:szCs w:val="24"/>
          <w:lang w:val="it-IT"/>
        </w:rPr>
        <w:t>Penganggaran</w:t>
      </w:r>
      <w:r w:rsidR="00A954D0" w:rsidRPr="003255BC">
        <w:rPr>
          <w:rFonts w:ascii="Bookman Old Style" w:hAnsi="Bookman Old Style" w:cs="Arial"/>
          <w:sz w:val="24"/>
          <w:szCs w:val="24"/>
          <w:lang w:val="it-IT"/>
        </w:rPr>
        <w:t xml:space="preserve"> </w:t>
      </w:r>
      <w:r w:rsidRPr="003255BC">
        <w:rPr>
          <w:rFonts w:ascii="Bookman Old Style" w:hAnsi="Bookman Old Style" w:cs="Arial"/>
          <w:sz w:val="24"/>
          <w:szCs w:val="24"/>
          <w:lang w:val="it-IT"/>
        </w:rPr>
        <w:t>untuk</w:t>
      </w:r>
      <w:r w:rsidR="00A954D0" w:rsidRPr="003255BC">
        <w:rPr>
          <w:rFonts w:ascii="Bookman Old Style" w:hAnsi="Bookman Old Style" w:cs="Arial"/>
          <w:sz w:val="24"/>
          <w:szCs w:val="24"/>
          <w:lang w:val="it-IT"/>
        </w:rPr>
        <w:t xml:space="preserve"> </w:t>
      </w:r>
      <w:r w:rsidRPr="003255BC">
        <w:rPr>
          <w:rFonts w:ascii="Bookman Old Style" w:hAnsi="Bookman Old Style" w:cs="Arial"/>
          <w:sz w:val="24"/>
          <w:szCs w:val="24"/>
          <w:lang w:val="it-IT"/>
        </w:rPr>
        <w:t>Kelompok</w:t>
      </w:r>
      <w:r w:rsidR="00A954D0" w:rsidRPr="003255BC">
        <w:rPr>
          <w:rFonts w:ascii="Bookman Old Style" w:hAnsi="Bookman Old Style" w:cs="Arial"/>
          <w:sz w:val="24"/>
          <w:szCs w:val="24"/>
          <w:lang w:val="it-IT"/>
        </w:rPr>
        <w:t xml:space="preserve"> </w:t>
      </w:r>
      <w:r w:rsidRPr="003255BC">
        <w:rPr>
          <w:rFonts w:ascii="Bookman Old Style" w:hAnsi="Bookman Old Style" w:cs="Arial"/>
          <w:sz w:val="24"/>
          <w:szCs w:val="24"/>
          <w:lang w:val="it-IT"/>
        </w:rPr>
        <w:t>Masyarakat</w:t>
      </w:r>
      <w:r w:rsidR="00A954D0" w:rsidRPr="003255BC">
        <w:rPr>
          <w:rFonts w:ascii="Bookman Old Style" w:hAnsi="Bookman Old Style" w:cs="Arial"/>
          <w:sz w:val="24"/>
          <w:szCs w:val="24"/>
          <w:lang w:val="it-IT"/>
        </w:rPr>
        <w:t xml:space="preserve"> </w:t>
      </w:r>
      <w:r w:rsidRPr="003255BC">
        <w:rPr>
          <w:rFonts w:ascii="Bookman Old Style" w:hAnsi="Bookman Old Style" w:cs="Arial"/>
          <w:sz w:val="24"/>
          <w:szCs w:val="24"/>
          <w:lang w:val="it-IT"/>
        </w:rPr>
        <w:t>Tidak</w:t>
      </w:r>
      <w:r w:rsidR="00A954D0" w:rsidRPr="003255BC">
        <w:rPr>
          <w:rFonts w:ascii="Bookman Old Style" w:hAnsi="Bookman Old Style" w:cs="Arial"/>
          <w:sz w:val="24"/>
          <w:szCs w:val="24"/>
          <w:lang w:val="it-IT"/>
        </w:rPr>
        <w:t xml:space="preserve"> </w:t>
      </w:r>
      <w:r w:rsidRPr="003255BC">
        <w:rPr>
          <w:rFonts w:ascii="Bookman Old Style" w:hAnsi="Bookman Old Style" w:cs="Arial"/>
          <w:sz w:val="24"/>
          <w:szCs w:val="24"/>
          <w:lang w:val="it-IT"/>
        </w:rPr>
        <w:t>Mampu,</w:t>
      </w:r>
      <w:r w:rsidR="00A954D0" w:rsidRPr="003255BC">
        <w:rPr>
          <w:rFonts w:ascii="Bookman Old Style" w:hAnsi="Bookman Old Style" w:cs="Arial"/>
          <w:sz w:val="24"/>
          <w:szCs w:val="24"/>
          <w:lang w:val="it-IT"/>
        </w:rPr>
        <w:t xml:space="preserve"> </w:t>
      </w:r>
      <w:r w:rsidRPr="003255BC">
        <w:rPr>
          <w:rFonts w:ascii="Bookman Old Style" w:hAnsi="Bookman Old Style" w:cs="Arial"/>
          <w:sz w:val="24"/>
          <w:szCs w:val="24"/>
          <w:lang w:val="it-IT"/>
        </w:rPr>
        <w:t>Pembangunan</w:t>
      </w:r>
      <w:r w:rsidR="00A954D0" w:rsidRPr="003255BC">
        <w:rPr>
          <w:rFonts w:ascii="Bookman Old Style" w:hAnsi="Bookman Old Style" w:cs="Arial"/>
          <w:sz w:val="24"/>
          <w:szCs w:val="24"/>
          <w:lang w:val="it-IT"/>
        </w:rPr>
        <w:t xml:space="preserve"> </w:t>
      </w:r>
      <w:r w:rsidRPr="003255BC">
        <w:rPr>
          <w:rFonts w:ascii="Bookman Old Style" w:hAnsi="Bookman Old Style" w:cs="Arial"/>
          <w:sz w:val="24"/>
          <w:szCs w:val="24"/>
          <w:lang w:val="it-IT"/>
        </w:rPr>
        <w:t>Sarana</w:t>
      </w:r>
      <w:r w:rsidR="00A954D0" w:rsidRPr="003255BC">
        <w:rPr>
          <w:rFonts w:ascii="Bookman Old Style" w:hAnsi="Bookman Old Style" w:cs="Arial"/>
          <w:sz w:val="24"/>
          <w:szCs w:val="24"/>
          <w:lang w:val="it-IT"/>
        </w:rPr>
        <w:t xml:space="preserve"> </w:t>
      </w:r>
      <w:r w:rsidRPr="003255BC">
        <w:rPr>
          <w:rFonts w:ascii="Bookman Old Style" w:hAnsi="Bookman Old Style" w:cs="Arial"/>
          <w:sz w:val="24"/>
          <w:szCs w:val="24"/>
          <w:lang w:val="it-IT"/>
        </w:rPr>
        <w:t>Penyediaan</w:t>
      </w:r>
      <w:r w:rsidR="00A954D0" w:rsidRPr="003255BC">
        <w:rPr>
          <w:rFonts w:ascii="Bookman Old Style" w:hAnsi="Bookman Old Style" w:cs="Arial"/>
          <w:sz w:val="24"/>
          <w:szCs w:val="24"/>
          <w:lang w:val="it-IT"/>
        </w:rPr>
        <w:t xml:space="preserve"> </w:t>
      </w:r>
      <w:r w:rsidRPr="003255BC">
        <w:rPr>
          <w:rFonts w:ascii="Bookman Old Style" w:hAnsi="Bookman Old Style" w:cs="Arial"/>
          <w:sz w:val="24"/>
          <w:szCs w:val="24"/>
          <w:lang w:val="it-IT"/>
        </w:rPr>
        <w:t>Tenaga</w:t>
      </w:r>
      <w:r w:rsidR="00A954D0" w:rsidRPr="003255BC">
        <w:rPr>
          <w:rFonts w:ascii="Bookman Old Style" w:hAnsi="Bookman Old Style" w:cs="Arial"/>
          <w:sz w:val="24"/>
          <w:szCs w:val="24"/>
          <w:lang w:val="it-IT"/>
        </w:rPr>
        <w:t xml:space="preserve"> </w:t>
      </w:r>
      <w:r w:rsidRPr="003255BC">
        <w:rPr>
          <w:rFonts w:ascii="Bookman Old Style" w:hAnsi="Bookman Old Style" w:cs="Arial"/>
          <w:sz w:val="24"/>
          <w:szCs w:val="24"/>
          <w:lang w:val="it-IT"/>
        </w:rPr>
        <w:t>Listrik</w:t>
      </w:r>
      <w:r w:rsidR="00A954D0" w:rsidRPr="003255BC">
        <w:rPr>
          <w:rFonts w:ascii="Bookman Old Style" w:hAnsi="Bookman Old Style" w:cs="Arial"/>
          <w:sz w:val="24"/>
          <w:szCs w:val="24"/>
          <w:lang w:val="it-IT"/>
        </w:rPr>
        <w:t xml:space="preserve"> </w:t>
      </w:r>
      <w:r w:rsidRPr="003255BC">
        <w:rPr>
          <w:rFonts w:ascii="Bookman Old Style" w:hAnsi="Bookman Old Style" w:cs="Arial"/>
          <w:sz w:val="24"/>
          <w:szCs w:val="24"/>
          <w:lang w:val="it-IT"/>
        </w:rPr>
        <w:t>Belum</w:t>
      </w:r>
      <w:r w:rsidR="00A954D0" w:rsidRPr="003255BC">
        <w:rPr>
          <w:rFonts w:ascii="Bookman Old Style" w:hAnsi="Bookman Old Style" w:cs="Arial"/>
          <w:sz w:val="24"/>
          <w:szCs w:val="24"/>
          <w:lang w:val="it-IT"/>
        </w:rPr>
        <w:t xml:space="preserve"> </w:t>
      </w:r>
      <w:r w:rsidRPr="003255BC">
        <w:rPr>
          <w:rFonts w:ascii="Bookman Old Style" w:hAnsi="Bookman Old Style" w:cs="Arial"/>
          <w:sz w:val="24"/>
          <w:szCs w:val="24"/>
          <w:lang w:val="it-IT"/>
        </w:rPr>
        <w:t>Berkembang,</w:t>
      </w:r>
      <w:r w:rsidR="00A954D0" w:rsidRPr="003255BC">
        <w:rPr>
          <w:rFonts w:ascii="Bookman Old Style" w:hAnsi="Bookman Old Style" w:cs="Arial"/>
          <w:sz w:val="24"/>
          <w:szCs w:val="24"/>
          <w:lang w:val="it-IT"/>
        </w:rPr>
        <w:t xml:space="preserve"> </w:t>
      </w:r>
      <w:r w:rsidRPr="003255BC">
        <w:rPr>
          <w:rFonts w:ascii="Bookman Old Style" w:hAnsi="Bookman Old Style" w:cs="Arial"/>
          <w:sz w:val="24"/>
          <w:szCs w:val="24"/>
          <w:lang w:val="it-IT"/>
        </w:rPr>
        <w:t>Daerah</w:t>
      </w:r>
      <w:r w:rsidR="00A954D0" w:rsidRPr="003255BC">
        <w:rPr>
          <w:rFonts w:ascii="Bookman Old Style" w:hAnsi="Bookman Old Style" w:cs="Arial"/>
          <w:sz w:val="24"/>
          <w:szCs w:val="24"/>
          <w:lang w:val="it-IT"/>
        </w:rPr>
        <w:t xml:space="preserve"> </w:t>
      </w:r>
      <w:r w:rsidRPr="003255BC">
        <w:rPr>
          <w:rFonts w:ascii="Bookman Old Style" w:hAnsi="Bookman Old Style" w:cs="Arial"/>
          <w:sz w:val="24"/>
          <w:szCs w:val="24"/>
          <w:lang w:val="it-IT"/>
        </w:rPr>
        <w:t>Terpencil</w:t>
      </w:r>
      <w:r w:rsidR="00A954D0" w:rsidRPr="003255BC">
        <w:rPr>
          <w:rFonts w:ascii="Bookman Old Style" w:hAnsi="Bookman Old Style" w:cs="Arial"/>
          <w:sz w:val="24"/>
          <w:szCs w:val="24"/>
          <w:lang w:val="it-IT"/>
        </w:rPr>
        <w:t xml:space="preserve"> </w:t>
      </w:r>
      <w:r w:rsidRPr="003255BC">
        <w:rPr>
          <w:rFonts w:ascii="Bookman Old Style" w:hAnsi="Bookman Old Style" w:cs="Arial"/>
          <w:sz w:val="24"/>
          <w:szCs w:val="24"/>
          <w:lang w:val="it-IT"/>
        </w:rPr>
        <w:t>dan</w:t>
      </w:r>
      <w:r w:rsidR="00A954D0" w:rsidRPr="003255BC">
        <w:rPr>
          <w:rFonts w:ascii="Bookman Old Style" w:hAnsi="Bookman Old Style" w:cs="Arial"/>
          <w:sz w:val="24"/>
          <w:szCs w:val="24"/>
          <w:lang w:val="it-IT"/>
        </w:rPr>
        <w:t xml:space="preserve"> </w:t>
      </w:r>
      <w:r w:rsidRPr="003255BC">
        <w:rPr>
          <w:rFonts w:ascii="Bookman Old Style" w:hAnsi="Bookman Old Style" w:cs="Arial"/>
          <w:sz w:val="24"/>
          <w:szCs w:val="24"/>
          <w:lang w:val="it-IT"/>
        </w:rPr>
        <w:t>Perdesaan;</w:t>
      </w:r>
      <w:r w:rsidR="00A954D0" w:rsidRPr="003255BC">
        <w:rPr>
          <w:rFonts w:ascii="Bookman Old Style" w:hAnsi="Bookman Old Style" w:cs="Arial"/>
          <w:sz w:val="24"/>
          <w:szCs w:val="24"/>
          <w:lang w:val="it-IT"/>
        </w:rPr>
        <w:t xml:space="preserve"> </w:t>
      </w:r>
      <w:r w:rsidRPr="003255BC">
        <w:rPr>
          <w:rFonts w:ascii="Bookman Old Style" w:hAnsi="Bookman Old Style" w:cs="Arial"/>
          <w:sz w:val="24"/>
          <w:szCs w:val="24"/>
          <w:lang w:val="it-IT"/>
        </w:rPr>
        <w:t>dan</w:t>
      </w:r>
    </w:p>
    <w:p w14:paraId="00B02C07" w14:textId="78E7060A" w:rsidR="003374DF" w:rsidRPr="00BF3751" w:rsidRDefault="003374DF" w:rsidP="00B47BF6">
      <w:pPr>
        <w:pStyle w:val="ListParagraph"/>
        <w:numPr>
          <w:ilvl w:val="0"/>
          <w:numId w:val="43"/>
        </w:numPr>
        <w:shd w:val="clear" w:color="auto" w:fill="FFFFFF" w:themeFill="background1"/>
        <w:spacing w:before="60" w:after="0" w:line="276" w:lineRule="auto"/>
        <w:ind w:left="2268" w:hanging="567"/>
        <w:contextualSpacing w:val="0"/>
        <w:jc w:val="both"/>
        <w:rPr>
          <w:rFonts w:ascii="Bookman Old Style" w:hAnsi="Bookman Old Style" w:cs="Arial"/>
          <w:i/>
          <w:sz w:val="24"/>
          <w:szCs w:val="24"/>
          <w:lang w:val="it-IT"/>
        </w:rPr>
      </w:pPr>
      <w:r w:rsidRPr="00BF3751">
        <w:rPr>
          <w:rFonts w:ascii="Bookman Old Style" w:hAnsi="Bookman Old Style" w:cs="Arial"/>
          <w:sz w:val="24"/>
          <w:szCs w:val="24"/>
          <w:lang w:val="it-IT"/>
        </w:rPr>
        <w:t>Pengelolaan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Pendidikan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Sekolah</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Menengah</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Kejuruan.</w:t>
      </w:r>
    </w:p>
    <w:p w14:paraId="0195B834" w14:textId="38AA4884" w:rsidR="003374DF" w:rsidRPr="00BF3751" w:rsidRDefault="003374DF" w:rsidP="00B47BF6">
      <w:pPr>
        <w:pStyle w:val="ListParagraph"/>
        <w:numPr>
          <w:ilvl w:val="0"/>
          <w:numId w:val="42"/>
        </w:numPr>
        <w:shd w:val="clear" w:color="auto" w:fill="FFFFFF" w:themeFill="background1"/>
        <w:spacing w:before="60" w:after="0" w:line="276" w:lineRule="auto"/>
        <w:ind w:left="1701" w:hanging="425"/>
        <w:contextualSpacing w:val="0"/>
        <w:jc w:val="both"/>
        <w:rPr>
          <w:rFonts w:ascii="Bookman Old Style" w:hAnsi="Bookman Old Style" w:cs="Arial"/>
          <w:sz w:val="24"/>
          <w:szCs w:val="24"/>
          <w:lang w:val="it-IT"/>
        </w:rPr>
      </w:pPr>
      <w:r w:rsidRPr="00BF3751">
        <w:rPr>
          <w:rFonts w:ascii="Bookman Old Style" w:hAnsi="Bookman Old Style" w:cs="Arial"/>
          <w:sz w:val="24"/>
          <w:szCs w:val="24"/>
          <w:lang w:val="it-IT"/>
        </w:rPr>
        <w:t>melakukan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pembinaan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pengawasan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kepada</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Bupati/Wali</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Kota</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fi-FI"/>
        </w:rPr>
        <w:t>terkait</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pelaksanaan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percepatan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penghapusan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kemiskinan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ekstrem</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melalui</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kegiatan/sub</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kegiatan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antara</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lain:</w:t>
      </w:r>
    </w:p>
    <w:p w14:paraId="67C84415" w14:textId="776C3526" w:rsidR="003374DF" w:rsidRPr="00BF3751" w:rsidRDefault="003374DF" w:rsidP="00B47BF6">
      <w:pPr>
        <w:pStyle w:val="ListParagraph"/>
        <w:numPr>
          <w:ilvl w:val="0"/>
          <w:numId w:val="141"/>
        </w:numPr>
        <w:shd w:val="clear" w:color="auto" w:fill="FFFFFF" w:themeFill="background1"/>
        <w:spacing w:before="60" w:after="0" w:line="276" w:lineRule="auto"/>
        <w:ind w:left="2268" w:hanging="567"/>
        <w:contextualSpacing w:val="0"/>
        <w:jc w:val="both"/>
        <w:rPr>
          <w:rFonts w:ascii="Bookman Old Style" w:hAnsi="Bookman Old Style" w:cs="Arial"/>
          <w:sz w:val="24"/>
          <w:szCs w:val="24"/>
          <w:lang w:val="it-IT"/>
        </w:rPr>
      </w:pPr>
      <w:r w:rsidRPr="00BF3751">
        <w:rPr>
          <w:rFonts w:ascii="Bookman Old Style" w:hAnsi="Bookman Old Style" w:cs="Arial"/>
          <w:sz w:val="24"/>
          <w:szCs w:val="24"/>
          <w:lang w:val="it-IT"/>
        </w:rPr>
        <w:lastRenderedPageBreak/>
        <w:t>Pendistribusian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Serah</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Terima</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Rumah</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bagi</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Korban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Bencana</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atau</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Relokasi</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Program</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Provinsi;</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dan</w:t>
      </w:r>
    </w:p>
    <w:p w14:paraId="08E8D0E1" w14:textId="358F96D3" w:rsidR="003374DF" w:rsidRPr="00BF3751" w:rsidRDefault="003374DF" w:rsidP="00B47BF6">
      <w:pPr>
        <w:pStyle w:val="ListParagraph"/>
        <w:numPr>
          <w:ilvl w:val="0"/>
          <w:numId w:val="141"/>
        </w:numPr>
        <w:shd w:val="clear" w:color="auto" w:fill="FFFFFF" w:themeFill="background1"/>
        <w:spacing w:before="60" w:after="0" w:line="276" w:lineRule="auto"/>
        <w:ind w:left="2268" w:hanging="567"/>
        <w:contextualSpacing w:val="0"/>
        <w:jc w:val="both"/>
        <w:rPr>
          <w:rFonts w:ascii="Bookman Old Style" w:hAnsi="Bookman Old Style" w:cs="Arial"/>
          <w:sz w:val="24"/>
          <w:szCs w:val="24"/>
          <w:lang w:val="it-IT"/>
        </w:rPr>
      </w:pPr>
      <w:r w:rsidRPr="00BF3751">
        <w:rPr>
          <w:rFonts w:ascii="Bookman Old Style" w:hAnsi="Bookman Old Style" w:cs="Arial"/>
          <w:sz w:val="24"/>
          <w:szCs w:val="24"/>
          <w:lang w:val="it-IT"/>
        </w:rPr>
        <w:t>Penataan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Kawasan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Permukiman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Kumuh</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dengan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Luas</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10</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(Sepuluh)</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Ha</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sampai</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dengan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di</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Bawah</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15</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(Lima</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Belas)</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Ha.</w:t>
      </w:r>
    </w:p>
    <w:p w14:paraId="66A1FA8A" w14:textId="448088AD" w:rsidR="003374DF" w:rsidRPr="00BF3751" w:rsidRDefault="003374DF" w:rsidP="00CA027E">
      <w:pPr>
        <w:pStyle w:val="ListParagraph"/>
        <w:numPr>
          <w:ilvl w:val="0"/>
          <w:numId w:val="42"/>
        </w:numPr>
        <w:shd w:val="clear" w:color="auto" w:fill="FFFFFF" w:themeFill="background1"/>
        <w:spacing w:before="60" w:after="0" w:line="276" w:lineRule="auto"/>
        <w:ind w:left="1701" w:hanging="425"/>
        <w:contextualSpacing w:val="0"/>
        <w:jc w:val="both"/>
        <w:rPr>
          <w:rFonts w:ascii="Bookman Old Style" w:hAnsi="Bookman Old Style" w:cs="Arial"/>
          <w:sz w:val="24"/>
          <w:szCs w:val="24"/>
        </w:rPr>
      </w:pPr>
      <w:r w:rsidRPr="00BF3751">
        <w:rPr>
          <w:rFonts w:ascii="Bookman Old Style" w:hAnsi="Bookman Old Style" w:cs="Arial"/>
          <w:sz w:val="24"/>
          <w:szCs w:val="24"/>
          <w:lang w:val="it-IT"/>
        </w:rPr>
        <w:t>menyampaikan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laporan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hasil</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pelaksanaan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percepatan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penghapusan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kemiskinan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ekstrem</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kepada</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Menteri</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Dalam</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Negeri</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dengan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tembusan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kepada</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Menteri</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Koordinator</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Bidang</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Pembangunan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Manusia</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dan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Kebudayaan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setiap</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3</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(tiga)</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bulan</w:t>
      </w:r>
      <w:r w:rsidR="00A954D0">
        <w:rPr>
          <w:rFonts w:ascii="Bookman Old Style" w:hAnsi="Bookman Old Style" w:cs="Arial"/>
          <w:sz w:val="24"/>
          <w:szCs w:val="24"/>
          <w:lang w:val="it-IT"/>
        </w:rPr>
        <w:t xml:space="preserve"> </w:t>
      </w:r>
      <w:r w:rsidRPr="00BF3751">
        <w:rPr>
          <w:rFonts w:ascii="Bookman Old Style" w:hAnsi="Bookman Old Style" w:cs="Arial"/>
          <w:sz w:val="24"/>
          <w:szCs w:val="24"/>
          <w:lang w:val="it-IT"/>
        </w:rPr>
        <w:t>sekali.</w:t>
      </w:r>
    </w:p>
    <w:p w14:paraId="6F155FD0" w14:textId="380E9964" w:rsidR="003374DF" w:rsidRPr="00BF3751" w:rsidRDefault="003374DF" w:rsidP="00CA027E">
      <w:pPr>
        <w:numPr>
          <w:ilvl w:val="0"/>
          <w:numId w:val="17"/>
        </w:numPr>
        <w:spacing w:before="60" w:line="276" w:lineRule="auto"/>
        <w:ind w:left="1276" w:hanging="284"/>
        <w:jc w:val="both"/>
        <w:rPr>
          <w:rFonts w:ascii="Bookman Old Style" w:hAnsi="Bookman Old Style" w:cs="Arial"/>
        </w:rPr>
      </w:pPr>
      <w:r w:rsidRPr="00BF3751">
        <w:rPr>
          <w:rFonts w:ascii="Bookman Old Style" w:hAnsi="Bookman Old Style" w:cs="Arial"/>
        </w:rPr>
        <w:t>Pemerintah</w:t>
      </w:r>
      <w:r w:rsidR="00A954D0">
        <w:rPr>
          <w:rFonts w:ascii="Bookman Old Style" w:hAnsi="Bookman Old Style" w:cs="Arial"/>
        </w:rPr>
        <w:t xml:space="preserve"> </w:t>
      </w:r>
      <w:r w:rsidRPr="00BF3751">
        <w:rPr>
          <w:rFonts w:ascii="Bookman Old Style" w:hAnsi="Bookman Old Style" w:cs="Arial"/>
        </w:rPr>
        <w:t>Daerah</w:t>
      </w:r>
      <w:r w:rsidR="00A954D0">
        <w:rPr>
          <w:rFonts w:ascii="Bookman Old Style" w:hAnsi="Bookman Old Style" w:cs="Arial"/>
        </w:rPr>
        <w:t xml:space="preserve"> </w:t>
      </w:r>
      <w:r w:rsidR="00046408" w:rsidRPr="00BF3751">
        <w:rPr>
          <w:rFonts w:ascii="Bookman Old Style" w:hAnsi="Bookman Old Style"/>
        </w:rPr>
        <w:t>Kota</w:t>
      </w:r>
      <w:r w:rsidR="00A954D0">
        <w:rPr>
          <w:rFonts w:ascii="Bookman Old Style" w:hAnsi="Bookman Old Style"/>
        </w:rPr>
        <w:t xml:space="preserve"> </w:t>
      </w:r>
      <w:r w:rsidR="00770F22" w:rsidRPr="00BF3751">
        <w:rPr>
          <w:rFonts w:ascii="Bookman Old Style" w:hAnsi="Bookman Old Style"/>
        </w:rPr>
        <w:t>Tangerang</w:t>
      </w:r>
      <w:r w:rsidR="00A954D0">
        <w:rPr>
          <w:rFonts w:ascii="Bookman Old Style" w:hAnsi="Bookman Old Style"/>
        </w:rPr>
        <w:t xml:space="preserve"> </w:t>
      </w:r>
      <w:r w:rsidRPr="00BF3751">
        <w:rPr>
          <w:rFonts w:ascii="Bookman Old Style" w:hAnsi="Bookman Old Style" w:cs="Arial"/>
        </w:rPr>
        <w:t>dapat</w:t>
      </w:r>
      <w:r w:rsidR="00A954D0">
        <w:rPr>
          <w:rFonts w:ascii="Bookman Old Style" w:hAnsi="Bookman Old Style" w:cs="Arial"/>
        </w:rPr>
        <w:t xml:space="preserve"> </w:t>
      </w:r>
      <w:r w:rsidRPr="00BF3751">
        <w:rPr>
          <w:rFonts w:ascii="Bookman Old Style" w:hAnsi="Bookman Old Style" w:cs="Arial"/>
        </w:rPr>
        <w:t>menyediakan</w:t>
      </w:r>
      <w:r w:rsidR="00A954D0">
        <w:rPr>
          <w:rFonts w:ascii="Bookman Old Style" w:hAnsi="Bookman Old Style" w:cs="Arial"/>
        </w:rPr>
        <w:t xml:space="preserve"> </w:t>
      </w:r>
      <w:r w:rsidRPr="00BF3751">
        <w:rPr>
          <w:rFonts w:ascii="Bookman Old Style" w:hAnsi="Bookman Old Style" w:cs="Arial"/>
        </w:rPr>
        <w:t>alokasi</w:t>
      </w:r>
      <w:r w:rsidR="00A954D0">
        <w:rPr>
          <w:rFonts w:ascii="Bookman Old Style" w:hAnsi="Bookman Old Style" w:cs="Arial"/>
        </w:rPr>
        <w:t xml:space="preserve"> </w:t>
      </w:r>
      <w:r w:rsidRPr="00BF3751">
        <w:rPr>
          <w:rFonts w:ascii="Bookman Old Style" w:hAnsi="Bookman Old Style" w:cs="Arial"/>
        </w:rPr>
        <w:t>anggaran</w:t>
      </w:r>
      <w:r w:rsidR="00A954D0">
        <w:rPr>
          <w:rFonts w:ascii="Bookman Old Style" w:hAnsi="Bookman Old Style" w:cs="Arial"/>
        </w:rPr>
        <w:t xml:space="preserve"> </w:t>
      </w:r>
      <w:r w:rsidRPr="00BF3751">
        <w:rPr>
          <w:rFonts w:ascii="Bookman Old Style" w:hAnsi="Bookman Old Style" w:cs="Arial"/>
        </w:rPr>
        <w:t>dalam</w:t>
      </w:r>
      <w:r w:rsidR="00A954D0">
        <w:rPr>
          <w:rFonts w:ascii="Bookman Old Style" w:hAnsi="Bookman Old Style" w:cs="Arial"/>
        </w:rPr>
        <w:t xml:space="preserve"> </w:t>
      </w:r>
      <w:r w:rsidRPr="00BF3751">
        <w:rPr>
          <w:rFonts w:ascii="Bookman Old Style" w:hAnsi="Bookman Old Style" w:cs="Arial"/>
        </w:rPr>
        <w:t>Rancangan</w:t>
      </w:r>
      <w:r w:rsidR="00A954D0">
        <w:rPr>
          <w:rFonts w:ascii="Bookman Old Style" w:hAnsi="Bookman Old Style" w:cs="Arial"/>
        </w:rPr>
        <w:t xml:space="preserve"> </w:t>
      </w:r>
      <w:r w:rsidRPr="00BF3751">
        <w:rPr>
          <w:rFonts w:ascii="Bookman Old Style" w:hAnsi="Bookman Old Style" w:cs="Arial"/>
        </w:rPr>
        <w:t>Peraturan</w:t>
      </w:r>
      <w:r w:rsidR="00A954D0">
        <w:rPr>
          <w:rFonts w:ascii="Bookman Old Style" w:hAnsi="Bookman Old Style" w:cs="Arial"/>
        </w:rPr>
        <w:t xml:space="preserve"> </w:t>
      </w:r>
      <w:r w:rsidRPr="00BF3751">
        <w:rPr>
          <w:rFonts w:ascii="Bookman Old Style" w:hAnsi="Bookman Old Style" w:cs="Arial"/>
        </w:rPr>
        <w:t>Daerah</w:t>
      </w:r>
      <w:r w:rsidR="00A954D0">
        <w:rPr>
          <w:rFonts w:ascii="Bookman Old Style" w:hAnsi="Bookman Old Style" w:cs="Arial"/>
        </w:rPr>
        <w:t xml:space="preserve"> </w:t>
      </w:r>
      <w:r w:rsidR="00B055C5" w:rsidRPr="00BF3751">
        <w:rPr>
          <w:rFonts w:ascii="Bookman Old Style" w:hAnsi="Bookman Old Style" w:cs="Arial"/>
        </w:rPr>
        <w:t>Kota</w:t>
      </w:r>
      <w:r w:rsidR="00A954D0">
        <w:rPr>
          <w:rFonts w:ascii="Bookman Old Style" w:hAnsi="Bookman Old Style" w:cs="Arial"/>
        </w:rPr>
        <w:t xml:space="preserve"> </w:t>
      </w:r>
      <w:r w:rsidR="00770F22" w:rsidRPr="00BF3751">
        <w:rPr>
          <w:rFonts w:ascii="Bookman Old Style" w:hAnsi="Bookman Old Style" w:cs="Arial"/>
        </w:rPr>
        <w:t>Tangerang</w:t>
      </w:r>
      <w:r w:rsidR="00A954D0">
        <w:rPr>
          <w:rFonts w:ascii="Bookman Old Style" w:hAnsi="Bookman Old Style" w:cs="Arial"/>
        </w:rPr>
        <w:t xml:space="preserve"> </w:t>
      </w:r>
      <w:r w:rsidR="00BE6ED9" w:rsidRPr="00BF3751">
        <w:rPr>
          <w:rFonts w:ascii="Bookman Old Style" w:hAnsi="Bookman Old Style" w:cs="Arial"/>
        </w:rPr>
        <w:t>tentang</w:t>
      </w:r>
      <w:r w:rsidR="00A954D0">
        <w:rPr>
          <w:rFonts w:ascii="Bookman Old Style" w:hAnsi="Bookman Old Style" w:cs="Arial"/>
        </w:rPr>
        <w:t xml:space="preserve"> </w:t>
      </w:r>
      <w:r w:rsidR="00BE6ED9" w:rsidRPr="00BF3751">
        <w:rPr>
          <w:rFonts w:ascii="Bookman Old Style" w:hAnsi="Bookman Old Style" w:cs="Arial"/>
        </w:rPr>
        <w:t>APBD</w:t>
      </w:r>
      <w:r w:rsidR="00A954D0">
        <w:rPr>
          <w:rFonts w:ascii="Bookman Old Style" w:hAnsi="Bookman Old Style" w:cs="Arial"/>
        </w:rPr>
        <w:t xml:space="preserve"> </w:t>
      </w:r>
      <w:r w:rsidRPr="00BF3751">
        <w:rPr>
          <w:rFonts w:ascii="Bookman Old Style" w:hAnsi="Bookman Old Style" w:cs="Arial"/>
        </w:rPr>
        <w:t>Tahun</w:t>
      </w:r>
      <w:r w:rsidR="00A954D0">
        <w:rPr>
          <w:rFonts w:ascii="Bookman Old Style" w:hAnsi="Bookman Old Style" w:cs="Arial"/>
        </w:rPr>
        <w:t xml:space="preserve"> </w:t>
      </w:r>
      <w:r w:rsidRPr="00BF3751">
        <w:rPr>
          <w:rFonts w:ascii="Bookman Old Style" w:hAnsi="Bookman Old Style" w:cs="Arial"/>
        </w:rPr>
        <w:t>Anggaran</w:t>
      </w:r>
      <w:r w:rsidR="00A954D0">
        <w:rPr>
          <w:rFonts w:ascii="Bookman Old Style" w:hAnsi="Bookman Old Style" w:cs="Arial"/>
        </w:rPr>
        <w:t xml:space="preserve"> </w:t>
      </w:r>
      <w:r w:rsidRPr="00BF3751">
        <w:rPr>
          <w:rFonts w:ascii="Bookman Old Style" w:hAnsi="Bookman Old Style" w:cs="Arial"/>
        </w:rPr>
        <w:t>2025</w:t>
      </w:r>
      <w:r w:rsidR="00A954D0">
        <w:rPr>
          <w:rFonts w:ascii="Bookman Old Style" w:hAnsi="Bookman Old Style" w:cs="Arial"/>
        </w:rPr>
        <w:t xml:space="preserve"> </w:t>
      </w:r>
      <w:r w:rsidRPr="00BF3751">
        <w:rPr>
          <w:rFonts w:ascii="Bookman Old Style" w:hAnsi="Bookman Old Style" w:cs="Arial"/>
        </w:rPr>
        <w:t>kepada</w:t>
      </w:r>
      <w:r w:rsidR="00A954D0">
        <w:rPr>
          <w:rFonts w:ascii="Bookman Old Style" w:hAnsi="Bookman Old Style" w:cs="Arial"/>
        </w:rPr>
        <w:t xml:space="preserve"> </w:t>
      </w:r>
      <w:r w:rsidRPr="00BF3751">
        <w:rPr>
          <w:rFonts w:ascii="Bookman Old Style" w:hAnsi="Bookman Old Style" w:cs="Arial"/>
        </w:rPr>
        <w:t>pelayanan</w:t>
      </w:r>
      <w:r w:rsidR="00A954D0">
        <w:rPr>
          <w:rFonts w:ascii="Bookman Old Style" w:hAnsi="Bookman Old Style" w:cs="Arial"/>
        </w:rPr>
        <w:t xml:space="preserve"> </w:t>
      </w:r>
      <w:r w:rsidRPr="00BF3751">
        <w:rPr>
          <w:rFonts w:ascii="Bookman Old Style" w:hAnsi="Bookman Old Style" w:cs="Arial"/>
          <w:lang w:val="id-ID"/>
        </w:rPr>
        <w:t>pendidikan</w:t>
      </w:r>
      <w:r w:rsidR="00A954D0">
        <w:rPr>
          <w:rFonts w:ascii="Bookman Old Style" w:hAnsi="Bookman Old Style" w:cs="Arial"/>
        </w:rPr>
        <w:t xml:space="preserve"> </w:t>
      </w:r>
      <w:r w:rsidRPr="00BF3751">
        <w:rPr>
          <w:rFonts w:ascii="Bookman Old Style" w:hAnsi="Bookman Old Style" w:cs="Arial"/>
        </w:rPr>
        <w:t>di</w:t>
      </w:r>
      <w:r w:rsidR="00A954D0">
        <w:rPr>
          <w:rFonts w:ascii="Bookman Old Style" w:hAnsi="Bookman Old Style" w:cs="Arial"/>
        </w:rPr>
        <w:t xml:space="preserve"> </w:t>
      </w:r>
      <w:r w:rsidRPr="00BF3751">
        <w:rPr>
          <w:rFonts w:ascii="Bookman Old Style" w:hAnsi="Bookman Old Style" w:cs="Arial"/>
        </w:rPr>
        <w:t>bawah</w:t>
      </w:r>
      <w:r w:rsidR="00A954D0">
        <w:rPr>
          <w:rFonts w:ascii="Bookman Old Style" w:hAnsi="Bookman Old Style" w:cs="Arial"/>
        </w:rPr>
        <w:t xml:space="preserve"> </w:t>
      </w:r>
      <w:r w:rsidRPr="00BF3751">
        <w:rPr>
          <w:rFonts w:ascii="Bookman Old Style" w:hAnsi="Bookman Old Style" w:cs="Arial"/>
        </w:rPr>
        <w:t>binaan</w:t>
      </w:r>
      <w:r w:rsidR="00A954D0">
        <w:rPr>
          <w:rFonts w:ascii="Bookman Old Style" w:hAnsi="Bookman Old Style" w:cs="Arial"/>
        </w:rPr>
        <w:t xml:space="preserve"> </w:t>
      </w:r>
      <w:r w:rsidRPr="00BF3751">
        <w:rPr>
          <w:rFonts w:ascii="Bookman Old Style" w:hAnsi="Bookman Old Style" w:cs="Arial"/>
        </w:rPr>
        <w:t>Kementerian</w:t>
      </w:r>
      <w:r w:rsidR="00A954D0">
        <w:rPr>
          <w:rFonts w:ascii="Bookman Old Style" w:hAnsi="Bookman Old Style" w:cs="Arial"/>
        </w:rPr>
        <w:t xml:space="preserve"> </w:t>
      </w:r>
      <w:r w:rsidRPr="00BF3751">
        <w:rPr>
          <w:rFonts w:ascii="Bookman Old Style" w:hAnsi="Bookman Old Style" w:cs="Arial"/>
        </w:rPr>
        <w:t>Agama</w:t>
      </w:r>
      <w:r w:rsidR="00A954D0">
        <w:rPr>
          <w:rFonts w:ascii="Bookman Old Style" w:hAnsi="Bookman Old Style" w:cs="Arial"/>
        </w:rPr>
        <w:t xml:space="preserve"> </w:t>
      </w:r>
      <w:r w:rsidRPr="00BF3751">
        <w:rPr>
          <w:rFonts w:ascii="Bookman Old Style" w:hAnsi="Bookman Old Style" w:cs="Arial"/>
        </w:rPr>
        <w:t>seperti</w:t>
      </w:r>
      <w:r w:rsidR="00A954D0">
        <w:rPr>
          <w:rFonts w:ascii="Bookman Old Style" w:hAnsi="Bookman Old Style" w:cs="Arial"/>
        </w:rPr>
        <w:t xml:space="preserve"> </w:t>
      </w:r>
      <w:r w:rsidRPr="00BF3751">
        <w:rPr>
          <w:rFonts w:ascii="Bookman Old Style" w:hAnsi="Bookman Old Style" w:cs="Arial"/>
        </w:rPr>
        <w:t>madrasah,</w:t>
      </w:r>
      <w:r w:rsidR="00A954D0">
        <w:rPr>
          <w:rFonts w:ascii="Bookman Old Style" w:hAnsi="Bookman Old Style" w:cs="Arial"/>
        </w:rPr>
        <w:t xml:space="preserve"> </w:t>
      </w:r>
      <w:r w:rsidRPr="00BF3751">
        <w:rPr>
          <w:rFonts w:ascii="Bookman Old Style" w:hAnsi="Bookman Old Style" w:cs="Arial"/>
        </w:rPr>
        <w:t>pondok</w:t>
      </w:r>
      <w:r w:rsidR="00A954D0">
        <w:rPr>
          <w:rFonts w:ascii="Bookman Old Style" w:hAnsi="Bookman Old Style" w:cs="Arial"/>
        </w:rPr>
        <w:t xml:space="preserve"> </w:t>
      </w:r>
      <w:r w:rsidRPr="00BF3751">
        <w:rPr>
          <w:rFonts w:ascii="Bookman Old Style" w:hAnsi="Bookman Old Style" w:cs="Arial"/>
        </w:rPr>
        <w:t>pesantren,</w:t>
      </w:r>
      <w:r w:rsidR="00A954D0">
        <w:rPr>
          <w:rFonts w:ascii="Bookman Old Style" w:hAnsi="Bookman Old Style" w:cs="Arial"/>
        </w:rPr>
        <w:t xml:space="preserve"> </w:t>
      </w:r>
      <w:r w:rsidRPr="00BF3751">
        <w:rPr>
          <w:rFonts w:ascii="Bookman Old Style" w:hAnsi="Bookman Old Style" w:cs="Arial"/>
        </w:rPr>
        <w:t>serta</w:t>
      </w:r>
      <w:r w:rsidR="00A954D0">
        <w:rPr>
          <w:rFonts w:ascii="Bookman Old Style" w:hAnsi="Bookman Old Style" w:cs="Arial"/>
        </w:rPr>
        <w:t xml:space="preserve"> </w:t>
      </w:r>
      <w:r w:rsidRPr="00BF3751">
        <w:rPr>
          <w:rFonts w:ascii="Bookman Old Style" w:hAnsi="Bookman Old Style" w:cs="Arial"/>
        </w:rPr>
        <w:t>pendidikan</w:t>
      </w:r>
      <w:r w:rsidR="00A954D0">
        <w:rPr>
          <w:rFonts w:ascii="Bookman Old Style" w:hAnsi="Bookman Old Style" w:cs="Arial"/>
        </w:rPr>
        <w:t xml:space="preserve"> </w:t>
      </w:r>
      <w:r w:rsidRPr="00BF3751">
        <w:rPr>
          <w:rFonts w:ascii="Bookman Old Style" w:hAnsi="Bookman Old Style" w:cs="Arial"/>
        </w:rPr>
        <w:t>agama</w:t>
      </w:r>
      <w:r w:rsidR="00A954D0">
        <w:rPr>
          <w:rFonts w:ascii="Bookman Old Style" w:hAnsi="Bookman Old Style" w:cs="Arial"/>
        </w:rPr>
        <w:t xml:space="preserve"> </w:t>
      </w:r>
      <w:r w:rsidRPr="00BF3751">
        <w:rPr>
          <w:rFonts w:ascii="Bookman Old Style" w:hAnsi="Bookman Old Style" w:cs="Arial"/>
        </w:rPr>
        <w:t>dan</w:t>
      </w:r>
      <w:r w:rsidR="00A954D0">
        <w:rPr>
          <w:rFonts w:ascii="Bookman Old Style" w:hAnsi="Bookman Old Style" w:cs="Arial"/>
        </w:rPr>
        <w:t xml:space="preserve"> </w:t>
      </w:r>
      <w:r w:rsidRPr="00BF3751">
        <w:rPr>
          <w:rFonts w:ascii="Bookman Old Style" w:hAnsi="Bookman Old Style" w:cs="Arial"/>
          <w:lang w:val="fi-FI"/>
        </w:rPr>
        <w:t>keagamaan</w:t>
      </w:r>
      <w:r w:rsidRPr="00BF3751">
        <w:rPr>
          <w:rFonts w:ascii="Bookman Old Style" w:hAnsi="Bookman Old Style" w:cs="Arial"/>
        </w:rPr>
        <w:t>,</w:t>
      </w:r>
      <w:r w:rsidR="00A954D0">
        <w:rPr>
          <w:rFonts w:ascii="Bookman Old Style" w:hAnsi="Bookman Old Style" w:cs="Arial"/>
        </w:rPr>
        <w:t xml:space="preserve"> </w:t>
      </w:r>
      <w:r w:rsidRPr="00BF3751">
        <w:rPr>
          <w:rFonts w:ascii="Bookman Old Style" w:hAnsi="Bookman Old Style" w:cs="Arial"/>
        </w:rPr>
        <w:t>termasuk</w:t>
      </w:r>
      <w:r w:rsidR="00A954D0">
        <w:rPr>
          <w:rFonts w:ascii="Bookman Old Style" w:hAnsi="Bookman Old Style" w:cs="Arial"/>
        </w:rPr>
        <w:t xml:space="preserve"> </w:t>
      </w:r>
      <w:r w:rsidRPr="00BF3751">
        <w:rPr>
          <w:rFonts w:ascii="Bookman Old Style" w:hAnsi="Bookman Old Style" w:cs="Arial"/>
        </w:rPr>
        <w:t>guru,</w:t>
      </w:r>
      <w:r w:rsidR="00A954D0">
        <w:rPr>
          <w:rFonts w:ascii="Bookman Old Style" w:hAnsi="Bookman Old Style" w:cs="Arial"/>
        </w:rPr>
        <w:t xml:space="preserve"> </w:t>
      </w:r>
      <w:r w:rsidRPr="00BF3751">
        <w:rPr>
          <w:rFonts w:ascii="Bookman Old Style" w:hAnsi="Bookman Old Style" w:cs="Arial"/>
        </w:rPr>
        <w:t>pengawas</w:t>
      </w:r>
      <w:r w:rsidR="00A954D0">
        <w:rPr>
          <w:rFonts w:ascii="Bookman Old Style" w:hAnsi="Bookman Old Style" w:cs="Arial"/>
        </w:rPr>
        <w:t xml:space="preserve"> </w:t>
      </w:r>
      <w:r w:rsidRPr="00BF3751">
        <w:rPr>
          <w:rFonts w:ascii="Bookman Old Style" w:hAnsi="Bookman Old Style" w:cs="Arial"/>
        </w:rPr>
        <w:t>dan</w:t>
      </w:r>
      <w:r w:rsidR="00A954D0">
        <w:rPr>
          <w:rFonts w:ascii="Bookman Old Style" w:hAnsi="Bookman Old Style" w:cs="Arial"/>
        </w:rPr>
        <w:t xml:space="preserve"> </w:t>
      </w:r>
      <w:r w:rsidRPr="00BF3751">
        <w:rPr>
          <w:rFonts w:ascii="Bookman Old Style" w:hAnsi="Bookman Old Style" w:cs="Arial"/>
        </w:rPr>
        <w:t>peserta</w:t>
      </w:r>
      <w:r w:rsidR="00A954D0">
        <w:rPr>
          <w:rFonts w:ascii="Bookman Old Style" w:hAnsi="Bookman Old Style" w:cs="Arial"/>
        </w:rPr>
        <w:t xml:space="preserve"> </w:t>
      </w:r>
      <w:r w:rsidRPr="00BF3751">
        <w:rPr>
          <w:rFonts w:ascii="Bookman Old Style" w:hAnsi="Bookman Old Style" w:cs="Arial"/>
        </w:rPr>
        <w:t>didiknya</w:t>
      </w:r>
      <w:r w:rsidR="00A954D0">
        <w:rPr>
          <w:rFonts w:ascii="Bookman Old Style" w:hAnsi="Bookman Old Style" w:cs="Arial"/>
        </w:rPr>
        <w:t xml:space="preserve"> </w:t>
      </w:r>
      <w:r w:rsidRPr="00BF3751">
        <w:rPr>
          <w:rFonts w:ascii="Bookman Old Style" w:hAnsi="Bookman Old Style" w:cs="Arial"/>
        </w:rPr>
        <w:t>sebagai</w:t>
      </w:r>
      <w:r w:rsidR="00A954D0">
        <w:rPr>
          <w:rFonts w:ascii="Bookman Old Style" w:hAnsi="Bookman Old Style" w:cs="Arial"/>
        </w:rPr>
        <w:t xml:space="preserve"> </w:t>
      </w:r>
      <w:r w:rsidRPr="00BF3751">
        <w:rPr>
          <w:rFonts w:ascii="Bookman Old Style" w:hAnsi="Bookman Old Style" w:cs="Arial"/>
        </w:rPr>
        <w:t>bagian</w:t>
      </w:r>
      <w:r w:rsidR="00A954D0">
        <w:rPr>
          <w:rFonts w:ascii="Bookman Old Style" w:hAnsi="Bookman Old Style" w:cs="Arial"/>
        </w:rPr>
        <w:t xml:space="preserve"> </w:t>
      </w:r>
      <w:r w:rsidRPr="00BF3751">
        <w:rPr>
          <w:rFonts w:ascii="Bookman Old Style" w:hAnsi="Bookman Old Style" w:cs="Arial"/>
        </w:rPr>
        <w:t>integral</w:t>
      </w:r>
      <w:r w:rsidR="00A954D0">
        <w:rPr>
          <w:rFonts w:ascii="Bookman Old Style" w:hAnsi="Bookman Old Style" w:cs="Arial"/>
        </w:rPr>
        <w:t xml:space="preserve"> </w:t>
      </w:r>
      <w:r w:rsidRPr="00BF3751">
        <w:rPr>
          <w:rFonts w:ascii="Bookman Old Style" w:hAnsi="Bookman Old Style" w:cs="Arial"/>
        </w:rPr>
        <w:t>pendidikan</w:t>
      </w:r>
      <w:r w:rsidR="00A954D0">
        <w:rPr>
          <w:rFonts w:ascii="Bookman Old Style" w:hAnsi="Bookman Old Style" w:cs="Arial"/>
        </w:rPr>
        <w:t xml:space="preserve"> </w:t>
      </w:r>
      <w:r w:rsidRPr="00BF3751">
        <w:rPr>
          <w:rFonts w:ascii="Bookman Old Style" w:hAnsi="Bookman Old Style" w:cs="Arial"/>
        </w:rPr>
        <w:t>nasional</w:t>
      </w:r>
      <w:r w:rsidR="00A954D0">
        <w:rPr>
          <w:rFonts w:ascii="Bookman Old Style" w:hAnsi="Bookman Old Style" w:cs="Arial"/>
        </w:rPr>
        <w:t xml:space="preserve"> </w:t>
      </w:r>
      <w:r w:rsidRPr="00BF3751">
        <w:rPr>
          <w:rFonts w:ascii="Bookman Old Style" w:hAnsi="Bookman Old Style" w:cs="Arial"/>
        </w:rPr>
        <w:t>dan</w:t>
      </w:r>
      <w:r w:rsidR="00A954D0">
        <w:rPr>
          <w:rFonts w:ascii="Bookman Old Style" w:hAnsi="Bookman Old Style" w:cs="Arial"/>
        </w:rPr>
        <w:t xml:space="preserve"> </w:t>
      </w:r>
      <w:r w:rsidRPr="00BF3751">
        <w:rPr>
          <w:rFonts w:ascii="Bookman Old Style" w:hAnsi="Bookman Old Style" w:cs="Arial"/>
        </w:rPr>
        <w:t>pengembangan</w:t>
      </w:r>
      <w:r w:rsidR="00A954D0">
        <w:rPr>
          <w:rFonts w:ascii="Bookman Old Style" w:hAnsi="Bookman Old Style" w:cs="Arial"/>
        </w:rPr>
        <w:t xml:space="preserve"> </w:t>
      </w:r>
      <w:r w:rsidRPr="00BF3751">
        <w:rPr>
          <w:rFonts w:ascii="Bookman Old Style" w:hAnsi="Bookman Old Style" w:cs="Arial"/>
        </w:rPr>
        <w:t>budaya</w:t>
      </w:r>
      <w:r w:rsidR="00A954D0">
        <w:rPr>
          <w:rFonts w:ascii="Bookman Old Style" w:hAnsi="Bookman Old Style" w:cs="Arial"/>
        </w:rPr>
        <w:t xml:space="preserve"> </w:t>
      </w:r>
      <w:r w:rsidRPr="00BF3751">
        <w:rPr>
          <w:rFonts w:ascii="Bookman Old Style" w:hAnsi="Bookman Old Style" w:cs="Arial"/>
        </w:rPr>
        <w:t>keagamaan</w:t>
      </w:r>
      <w:r w:rsidR="00A954D0">
        <w:rPr>
          <w:rFonts w:ascii="Bookman Old Style" w:hAnsi="Bookman Old Style" w:cs="Arial"/>
        </w:rPr>
        <w:t xml:space="preserve"> </w:t>
      </w:r>
      <w:r w:rsidRPr="00BF3751">
        <w:rPr>
          <w:rFonts w:ascii="Bookman Old Style" w:hAnsi="Bookman Old Style" w:cs="Arial"/>
        </w:rPr>
        <w:t>dalam</w:t>
      </w:r>
      <w:r w:rsidR="00A954D0">
        <w:rPr>
          <w:rFonts w:ascii="Bookman Old Style" w:hAnsi="Bookman Old Style" w:cs="Arial"/>
        </w:rPr>
        <w:t xml:space="preserve"> </w:t>
      </w:r>
      <w:r w:rsidRPr="00BF3751">
        <w:rPr>
          <w:rFonts w:ascii="Bookman Old Style" w:hAnsi="Bookman Old Style" w:cs="Arial"/>
        </w:rPr>
        <w:t>rangka</w:t>
      </w:r>
      <w:r w:rsidR="00A954D0">
        <w:rPr>
          <w:rFonts w:ascii="Bookman Old Style" w:hAnsi="Bookman Old Style"/>
        </w:rPr>
        <w:t xml:space="preserve"> </w:t>
      </w:r>
      <w:r w:rsidRPr="00BF3751">
        <w:rPr>
          <w:rFonts w:ascii="Bookman Old Style" w:hAnsi="Bookman Old Style" w:cs="Arial"/>
        </w:rPr>
        <w:t>peningkatan</w:t>
      </w:r>
      <w:r w:rsidR="00A954D0">
        <w:rPr>
          <w:rFonts w:ascii="Bookman Old Style" w:hAnsi="Bookman Old Style" w:cs="Arial"/>
        </w:rPr>
        <w:t xml:space="preserve"> </w:t>
      </w:r>
      <w:r w:rsidRPr="00BF3751">
        <w:rPr>
          <w:rFonts w:ascii="Bookman Old Style" w:hAnsi="Bookman Old Style" w:cs="Arial"/>
        </w:rPr>
        <w:t>akses,</w:t>
      </w:r>
      <w:r w:rsidR="00A954D0">
        <w:rPr>
          <w:rFonts w:ascii="Bookman Old Style" w:hAnsi="Bookman Old Style" w:cs="Arial"/>
        </w:rPr>
        <w:t xml:space="preserve"> </w:t>
      </w:r>
      <w:r w:rsidRPr="00BF3751">
        <w:rPr>
          <w:rFonts w:ascii="Bookman Old Style" w:hAnsi="Bookman Old Style" w:cs="Arial"/>
        </w:rPr>
        <w:t>mutu,</w:t>
      </w:r>
      <w:r w:rsidR="00A954D0">
        <w:rPr>
          <w:rFonts w:ascii="Bookman Old Style" w:hAnsi="Bookman Old Style" w:cs="Arial"/>
        </w:rPr>
        <w:t xml:space="preserve"> </w:t>
      </w:r>
      <w:r w:rsidRPr="00BF3751">
        <w:rPr>
          <w:rFonts w:ascii="Bookman Old Style" w:hAnsi="Bookman Old Style" w:cs="Arial"/>
        </w:rPr>
        <w:t>daya</w:t>
      </w:r>
      <w:r w:rsidR="00A954D0">
        <w:rPr>
          <w:rFonts w:ascii="Bookman Old Style" w:hAnsi="Bookman Old Style" w:cs="Arial"/>
        </w:rPr>
        <w:t xml:space="preserve"> </w:t>
      </w:r>
      <w:r w:rsidRPr="00BF3751">
        <w:rPr>
          <w:rFonts w:ascii="Bookman Old Style" w:hAnsi="Bookman Old Style" w:cs="Arial"/>
        </w:rPr>
        <w:t>saing,</w:t>
      </w:r>
      <w:r w:rsidR="00A954D0">
        <w:rPr>
          <w:rFonts w:ascii="Bookman Old Style" w:hAnsi="Bookman Old Style" w:cs="Arial"/>
        </w:rPr>
        <w:t xml:space="preserve"> </w:t>
      </w:r>
      <w:r w:rsidRPr="00BF3751">
        <w:rPr>
          <w:rFonts w:ascii="Bookman Old Style" w:hAnsi="Bookman Old Style" w:cs="Arial"/>
        </w:rPr>
        <w:t>dan</w:t>
      </w:r>
      <w:r w:rsidR="00A954D0">
        <w:rPr>
          <w:rFonts w:ascii="Bookman Old Style" w:hAnsi="Bookman Old Style" w:cs="Arial"/>
        </w:rPr>
        <w:t xml:space="preserve"> </w:t>
      </w:r>
      <w:r w:rsidRPr="00BF3751">
        <w:rPr>
          <w:rFonts w:ascii="Bookman Old Style" w:hAnsi="Bookman Old Style" w:cs="Arial"/>
        </w:rPr>
        <w:t>relevansi</w:t>
      </w:r>
      <w:r w:rsidR="00A954D0">
        <w:rPr>
          <w:rFonts w:ascii="Bookman Old Style" w:hAnsi="Bookman Old Style" w:cs="Arial"/>
        </w:rPr>
        <w:t xml:space="preserve"> </w:t>
      </w:r>
      <w:r w:rsidRPr="00BF3751">
        <w:rPr>
          <w:rFonts w:ascii="Bookman Old Style" w:hAnsi="Bookman Old Style"/>
          <w:lang w:val="id-ID"/>
        </w:rPr>
        <w:t>sebagaimana</w:t>
      </w:r>
      <w:r w:rsidR="00A954D0">
        <w:rPr>
          <w:rFonts w:ascii="Bookman Old Style" w:hAnsi="Bookman Old Style"/>
          <w:lang w:val="id-ID"/>
        </w:rPr>
        <w:t xml:space="preserve"> </w:t>
      </w:r>
      <w:r w:rsidRPr="00BF3751">
        <w:rPr>
          <w:rFonts w:ascii="Bookman Old Style" w:hAnsi="Bookman Old Style"/>
          <w:lang w:val="id-ID"/>
        </w:rPr>
        <w:t>maksud</w:t>
      </w:r>
      <w:r w:rsidR="00A954D0">
        <w:rPr>
          <w:rFonts w:ascii="Bookman Old Style" w:hAnsi="Bookman Old Style"/>
          <w:lang w:val="id-ID"/>
        </w:rPr>
        <w:t xml:space="preserve"> </w:t>
      </w:r>
      <w:r w:rsidRPr="00BF3751">
        <w:rPr>
          <w:rFonts w:ascii="Bookman Old Style" w:hAnsi="Bookman Old Style"/>
        </w:rPr>
        <w:t>butir</w:t>
      </w:r>
      <w:r w:rsidR="00A954D0">
        <w:rPr>
          <w:rFonts w:ascii="Bookman Old Style" w:hAnsi="Bookman Old Style"/>
        </w:rPr>
        <w:t xml:space="preserve"> </w:t>
      </w:r>
      <w:r w:rsidRPr="00BF3751">
        <w:rPr>
          <w:rFonts w:ascii="Bookman Old Style" w:hAnsi="Bookman Old Style"/>
          <w:lang w:val="de-DE"/>
        </w:rPr>
        <w:t>5.2.9.b</w:t>
      </w:r>
      <w:r w:rsidR="00A954D0">
        <w:rPr>
          <w:rFonts w:ascii="Bookman Old Style" w:hAnsi="Bookman Old Style"/>
        </w:rPr>
        <w:t xml:space="preserve"> </w:t>
      </w:r>
      <w:r w:rsidRPr="00BF3751">
        <w:rPr>
          <w:rFonts w:ascii="Bookman Old Style" w:hAnsi="Bookman Old Style"/>
        </w:rPr>
        <w:t>Lampiran</w:t>
      </w:r>
      <w:r w:rsidR="00A954D0">
        <w:rPr>
          <w:rFonts w:ascii="Bookman Old Style" w:hAnsi="Bookman Old Style"/>
        </w:rPr>
        <w:t xml:space="preserve"> </w:t>
      </w:r>
      <w:r w:rsidRPr="00BF3751">
        <w:rPr>
          <w:rFonts w:ascii="Bookman Old Style" w:hAnsi="Bookman Old Style"/>
        </w:rPr>
        <w:t>Peraturan</w:t>
      </w:r>
      <w:r w:rsidR="00A954D0">
        <w:rPr>
          <w:rFonts w:ascii="Bookman Old Style" w:hAnsi="Bookman Old Style"/>
        </w:rPr>
        <w:t xml:space="preserve"> </w:t>
      </w:r>
      <w:r w:rsidRPr="00BF3751">
        <w:rPr>
          <w:rFonts w:ascii="Bookman Old Style" w:hAnsi="Bookman Old Style"/>
        </w:rPr>
        <w:t>Menteri</w:t>
      </w:r>
      <w:r w:rsidR="00A954D0">
        <w:rPr>
          <w:rFonts w:ascii="Bookman Old Style" w:hAnsi="Bookman Old Style"/>
        </w:rPr>
        <w:t xml:space="preserve"> </w:t>
      </w:r>
      <w:r w:rsidRPr="00BF3751">
        <w:rPr>
          <w:rFonts w:ascii="Bookman Old Style" w:hAnsi="Bookman Old Style"/>
        </w:rPr>
        <w:t>Dalam</w:t>
      </w:r>
      <w:r w:rsidR="00A954D0">
        <w:rPr>
          <w:rFonts w:ascii="Bookman Old Style" w:hAnsi="Bookman Old Style"/>
        </w:rPr>
        <w:t xml:space="preserve"> </w:t>
      </w:r>
      <w:r w:rsidRPr="00BF3751">
        <w:rPr>
          <w:rFonts w:ascii="Bookman Old Style" w:hAnsi="Bookman Old Style"/>
        </w:rPr>
        <w:t>Negeri</w:t>
      </w:r>
      <w:r w:rsidR="00A954D0">
        <w:rPr>
          <w:rFonts w:ascii="Bookman Old Style" w:hAnsi="Bookman Old Style"/>
        </w:rPr>
        <w:t xml:space="preserve"> </w:t>
      </w:r>
      <w:r w:rsidRPr="00BF3751">
        <w:rPr>
          <w:rFonts w:ascii="Bookman Old Style" w:hAnsi="Bookman Old Style"/>
        </w:rPr>
        <w:t>Nomor</w:t>
      </w:r>
      <w:r w:rsidR="00A954D0">
        <w:rPr>
          <w:rFonts w:ascii="Bookman Old Style" w:hAnsi="Bookman Old Style"/>
        </w:rPr>
        <w:t xml:space="preserve"> </w:t>
      </w:r>
      <w:r w:rsidRPr="00BF3751">
        <w:rPr>
          <w:rFonts w:ascii="Bookman Old Style" w:hAnsi="Bookman Old Style"/>
          <w:lang w:val="de-DE"/>
        </w:rPr>
        <w:t>15</w:t>
      </w:r>
      <w:r w:rsidR="00A954D0">
        <w:rPr>
          <w:rFonts w:ascii="Bookman Old Style" w:hAnsi="Bookman Old Style"/>
        </w:rPr>
        <w:t xml:space="preserve"> </w:t>
      </w:r>
      <w:r w:rsidRPr="00BF3751">
        <w:rPr>
          <w:rFonts w:ascii="Bookman Old Style" w:hAnsi="Bookman Old Style"/>
        </w:rPr>
        <w:t>Tahun</w:t>
      </w:r>
      <w:r w:rsidR="00A954D0">
        <w:rPr>
          <w:rFonts w:ascii="Bookman Old Style" w:hAnsi="Bookman Old Style"/>
        </w:rPr>
        <w:t xml:space="preserve"> </w:t>
      </w:r>
      <w:r w:rsidRPr="00BF3751">
        <w:rPr>
          <w:rFonts w:ascii="Bookman Old Style" w:hAnsi="Bookman Old Style"/>
        </w:rPr>
        <w:t>202</w:t>
      </w:r>
      <w:r w:rsidRPr="00BF3751">
        <w:rPr>
          <w:rFonts w:ascii="Bookman Old Style" w:hAnsi="Bookman Old Style"/>
          <w:lang w:val="de-DE"/>
        </w:rPr>
        <w:t>4</w:t>
      </w:r>
      <w:r w:rsidR="00CA027E">
        <w:rPr>
          <w:rFonts w:ascii="Bookman Old Style" w:hAnsi="Bookman Old Style" w:cs="Arial"/>
        </w:rPr>
        <w:t>;</w:t>
      </w:r>
    </w:p>
    <w:p w14:paraId="2209AD0B" w14:textId="666CD9F3" w:rsidR="003374DF" w:rsidRPr="00BF3751" w:rsidRDefault="003374DF" w:rsidP="00CA027E">
      <w:pPr>
        <w:numPr>
          <w:ilvl w:val="0"/>
          <w:numId w:val="17"/>
        </w:numPr>
        <w:spacing w:before="60" w:line="276" w:lineRule="auto"/>
        <w:ind w:left="1276" w:hanging="283"/>
        <w:jc w:val="both"/>
        <w:rPr>
          <w:rFonts w:ascii="Bookman Old Style" w:hAnsi="Bookman Old Style" w:cs="Arial"/>
          <w:lang w:val="id-ID"/>
        </w:rPr>
      </w:pPr>
      <w:r w:rsidRPr="00BF3751">
        <w:rPr>
          <w:rFonts w:ascii="Bookman Old Style" w:hAnsi="Bookman Old Style" w:cs="Arial"/>
          <w:lang w:val="fi-FI"/>
        </w:rPr>
        <w:t>Pemerintah</w:t>
      </w:r>
      <w:r w:rsidR="00A954D0">
        <w:rPr>
          <w:rFonts w:ascii="Bookman Old Style" w:hAnsi="Bookman Old Style" w:cs="Arial"/>
        </w:rPr>
        <w:t xml:space="preserve"> </w:t>
      </w:r>
      <w:r w:rsidRPr="00BF3751">
        <w:rPr>
          <w:rFonts w:ascii="Bookman Old Style" w:hAnsi="Bookman Old Style" w:cs="Arial"/>
        </w:rPr>
        <w:t>Daerah</w:t>
      </w:r>
      <w:r w:rsidR="00A954D0">
        <w:rPr>
          <w:rFonts w:ascii="Bookman Old Style" w:hAnsi="Bookman Old Style" w:cs="Arial"/>
        </w:rPr>
        <w:t xml:space="preserve"> </w:t>
      </w:r>
      <w:r w:rsidR="00046408" w:rsidRPr="00BF3751">
        <w:rPr>
          <w:rFonts w:ascii="Bookman Old Style" w:hAnsi="Bookman Old Style"/>
        </w:rPr>
        <w:t>Kota</w:t>
      </w:r>
      <w:r w:rsidR="00A954D0">
        <w:rPr>
          <w:rFonts w:ascii="Bookman Old Style" w:hAnsi="Bookman Old Style"/>
        </w:rPr>
        <w:t xml:space="preserve"> </w:t>
      </w:r>
      <w:r w:rsidR="00770F22" w:rsidRPr="00BF3751">
        <w:rPr>
          <w:rFonts w:ascii="Bookman Old Style" w:hAnsi="Bookman Old Style"/>
        </w:rPr>
        <w:t>Tangerang</w:t>
      </w:r>
      <w:r w:rsidR="00A954D0">
        <w:rPr>
          <w:rFonts w:ascii="Bookman Old Style" w:hAnsi="Bookman Old Style"/>
        </w:rPr>
        <w:t xml:space="preserve"> </w:t>
      </w:r>
      <w:r w:rsidRPr="00BF3751">
        <w:rPr>
          <w:rFonts w:ascii="Bookman Old Style" w:hAnsi="Bookman Old Style" w:cs="Arial"/>
        </w:rPr>
        <w:t>dapat</w:t>
      </w:r>
      <w:r w:rsidR="00A954D0">
        <w:rPr>
          <w:rFonts w:ascii="Bookman Old Style" w:hAnsi="Bookman Old Style" w:cs="Arial"/>
        </w:rPr>
        <w:t xml:space="preserve"> </w:t>
      </w:r>
      <w:r w:rsidRPr="00BF3751">
        <w:rPr>
          <w:rFonts w:ascii="Bookman Old Style" w:hAnsi="Bookman Old Style" w:cs="Arial"/>
        </w:rPr>
        <w:t>menyediakan</w:t>
      </w:r>
      <w:r w:rsidR="00A954D0">
        <w:rPr>
          <w:rFonts w:ascii="Bookman Old Style" w:hAnsi="Bookman Old Style" w:cs="Arial"/>
        </w:rPr>
        <w:t xml:space="preserve"> </w:t>
      </w:r>
      <w:r w:rsidRPr="00BF3751">
        <w:rPr>
          <w:rFonts w:ascii="Bookman Old Style" w:hAnsi="Bookman Old Style" w:cs="Arial"/>
        </w:rPr>
        <w:t>alokasi</w:t>
      </w:r>
      <w:r w:rsidR="00A954D0">
        <w:rPr>
          <w:rFonts w:ascii="Bookman Old Style" w:hAnsi="Bookman Old Style" w:cs="Arial"/>
        </w:rPr>
        <w:t xml:space="preserve"> </w:t>
      </w:r>
      <w:r w:rsidRPr="00BF3751">
        <w:rPr>
          <w:rFonts w:ascii="Bookman Old Style" w:hAnsi="Bookman Old Style" w:cs="Arial"/>
        </w:rPr>
        <w:t>anggaran</w:t>
      </w:r>
      <w:r w:rsidR="00A954D0">
        <w:rPr>
          <w:rFonts w:ascii="Bookman Old Style" w:hAnsi="Bookman Old Style" w:cs="Arial"/>
        </w:rPr>
        <w:t xml:space="preserve"> </w:t>
      </w:r>
      <w:r w:rsidRPr="00BF3751">
        <w:rPr>
          <w:rFonts w:ascii="Bookman Old Style" w:hAnsi="Bookman Old Style" w:cs="Arial"/>
        </w:rPr>
        <w:t>dalam</w:t>
      </w:r>
      <w:r w:rsidR="00A954D0">
        <w:rPr>
          <w:rFonts w:ascii="Bookman Old Style" w:hAnsi="Bookman Old Style" w:cs="Arial"/>
        </w:rPr>
        <w:t xml:space="preserve"> </w:t>
      </w:r>
      <w:r w:rsidRPr="00BF3751">
        <w:rPr>
          <w:rFonts w:ascii="Bookman Old Style" w:hAnsi="Bookman Old Style" w:cs="Arial"/>
        </w:rPr>
        <w:t>Rancangan</w:t>
      </w:r>
      <w:r w:rsidR="00A954D0">
        <w:rPr>
          <w:rFonts w:ascii="Bookman Old Style" w:hAnsi="Bookman Old Style" w:cs="Arial"/>
        </w:rPr>
        <w:t xml:space="preserve"> </w:t>
      </w:r>
      <w:r w:rsidRPr="00BF3751">
        <w:rPr>
          <w:rFonts w:ascii="Bookman Old Style" w:hAnsi="Bookman Old Style" w:cs="Arial"/>
        </w:rPr>
        <w:t>Peraturan</w:t>
      </w:r>
      <w:r w:rsidR="00A954D0">
        <w:rPr>
          <w:rFonts w:ascii="Bookman Old Style" w:hAnsi="Bookman Old Style" w:cs="Arial"/>
        </w:rPr>
        <w:t xml:space="preserve"> </w:t>
      </w:r>
      <w:r w:rsidRPr="00BF3751">
        <w:rPr>
          <w:rFonts w:ascii="Bookman Old Style" w:hAnsi="Bookman Old Style" w:cs="Arial"/>
        </w:rPr>
        <w:t>Daerah</w:t>
      </w:r>
      <w:r w:rsidR="00A954D0">
        <w:rPr>
          <w:rFonts w:ascii="Bookman Old Style" w:hAnsi="Bookman Old Style" w:cs="Arial"/>
        </w:rPr>
        <w:t xml:space="preserve"> </w:t>
      </w:r>
      <w:r w:rsidR="00B055C5" w:rsidRPr="00BF3751">
        <w:rPr>
          <w:rFonts w:ascii="Bookman Old Style" w:hAnsi="Bookman Old Style" w:cs="Arial"/>
        </w:rPr>
        <w:t>Kota</w:t>
      </w:r>
      <w:r w:rsidR="00A954D0">
        <w:rPr>
          <w:rFonts w:ascii="Bookman Old Style" w:hAnsi="Bookman Old Style" w:cs="Arial"/>
        </w:rPr>
        <w:t xml:space="preserve"> </w:t>
      </w:r>
      <w:r w:rsidR="00770F22" w:rsidRPr="00BF3751">
        <w:rPr>
          <w:rFonts w:ascii="Bookman Old Style" w:hAnsi="Bookman Old Style" w:cs="Arial"/>
        </w:rPr>
        <w:t>Tangerang</w:t>
      </w:r>
      <w:r w:rsidR="00A954D0">
        <w:rPr>
          <w:rFonts w:ascii="Bookman Old Style" w:hAnsi="Bookman Old Style" w:cs="Arial"/>
        </w:rPr>
        <w:t xml:space="preserve"> </w:t>
      </w:r>
      <w:r w:rsidR="00BE6ED9" w:rsidRPr="00BF3751">
        <w:rPr>
          <w:rFonts w:ascii="Bookman Old Style" w:hAnsi="Bookman Old Style" w:cs="Arial"/>
        </w:rPr>
        <w:t>tentang</w:t>
      </w:r>
      <w:r w:rsidR="00A954D0">
        <w:rPr>
          <w:rFonts w:ascii="Bookman Old Style" w:hAnsi="Bookman Old Style" w:cs="Arial"/>
        </w:rPr>
        <w:t xml:space="preserve"> </w:t>
      </w:r>
      <w:r w:rsidR="00BE6ED9" w:rsidRPr="00BF3751">
        <w:rPr>
          <w:rFonts w:ascii="Bookman Old Style" w:hAnsi="Bookman Old Style" w:cs="Arial"/>
        </w:rPr>
        <w:t>APBD</w:t>
      </w:r>
      <w:r w:rsidR="00A954D0">
        <w:rPr>
          <w:rFonts w:ascii="Bookman Old Style" w:hAnsi="Bookman Old Style" w:cs="Arial"/>
        </w:rPr>
        <w:t xml:space="preserve"> </w:t>
      </w:r>
      <w:r w:rsidRPr="00BF3751">
        <w:rPr>
          <w:rFonts w:ascii="Bookman Old Style" w:hAnsi="Bookman Old Style" w:cs="Arial"/>
        </w:rPr>
        <w:t>Tahun</w:t>
      </w:r>
      <w:r w:rsidR="00A954D0">
        <w:rPr>
          <w:rFonts w:ascii="Bookman Old Style" w:hAnsi="Bookman Old Style" w:cs="Arial"/>
        </w:rPr>
        <w:t xml:space="preserve"> </w:t>
      </w:r>
      <w:r w:rsidRPr="00BF3751">
        <w:rPr>
          <w:rFonts w:ascii="Bookman Old Style" w:hAnsi="Bookman Old Style" w:cs="Arial"/>
        </w:rPr>
        <w:t>Anggaran</w:t>
      </w:r>
      <w:r w:rsidR="00A954D0">
        <w:rPr>
          <w:rFonts w:ascii="Bookman Old Style" w:hAnsi="Bookman Old Style" w:cs="Arial"/>
        </w:rPr>
        <w:t xml:space="preserve"> </w:t>
      </w:r>
      <w:r w:rsidRPr="00BF3751">
        <w:rPr>
          <w:rFonts w:ascii="Bookman Old Style" w:hAnsi="Bookman Old Style" w:cs="Arial"/>
        </w:rPr>
        <w:t>2025</w:t>
      </w:r>
      <w:r w:rsidR="00A954D0">
        <w:rPr>
          <w:rFonts w:ascii="Bookman Old Style" w:hAnsi="Bookman Old Style" w:cs="Arial"/>
        </w:rPr>
        <w:t xml:space="preserve"> </w:t>
      </w:r>
      <w:r w:rsidRPr="00BF3751">
        <w:rPr>
          <w:rFonts w:ascii="Bookman Old Style" w:hAnsi="Bookman Old Style" w:cs="Arial"/>
        </w:rPr>
        <w:t>kepada</w:t>
      </w:r>
      <w:r w:rsidR="00A954D0">
        <w:rPr>
          <w:rFonts w:ascii="Bookman Old Style" w:hAnsi="Bookman Old Style" w:cs="Arial"/>
        </w:rPr>
        <w:t xml:space="preserve"> </w:t>
      </w:r>
      <w:r w:rsidRPr="00BF3751">
        <w:rPr>
          <w:rFonts w:ascii="Bookman Old Style" w:hAnsi="Bookman Old Style" w:cs="Arial"/>
        </w:rPr>
        <w:t>Majelis</w:t>
      </w:r>
      <w:r w:rsidR="00A954D0">
        <w:rPr>
          <w:rFonts w:ascii="Bookman Old Style" w:hAnsi="Bookman Old Style" w:cs="Arial"/>
        </w:rPr>
        <w:t xml:space="preserve"> </w:t>
      </w:r>
      <w:r w:rsidRPr="00BF3751">
        <w:rPr>
          <w:rFonts w:ascii="Bookman Old Style" w:hAnsi="Bookman Old Style" w:cs="Arial"/>
        </w:rPr>
        <w:t>Ulama</w:t>
      </w:r>
      <w:r w:rsidR="00A954D0">
        <w:rPr>
          <w:rFonts w:ascii="Bookman Old Style" w:hAnsi="Bookman Old Style" w:cs="Arial"/>
        </w:rPr>
        <w:t xml:space="preserve"> </w:t>
      </w:r>
      <w:r w:rsidRPr="00BF3751">
        <w:rPr>
          <w:rFonts w:ascii="Bookman Old Style" w:hAnsi="Bookman Old Style" w:cs="Arial"/>
        </w:rPr>
        <w:t>Indonesia</w:t>
      </w:r>
      <w:r w:rsidR="00A954D0">
        <w:rPr>
          <w:rFonts w:ascii="Bookman Old Style" w:hAnsi="Bookman Old Style" w:cs="Arial"/>
        </w:rPr>
        <w:t xml:space="preserve"> </w:t>
      </w:r>
      <w:r w:rsidRPr="00BF3751">
        <w:rPr>
          <w:rFonts w:ascii="Bookman Old Style" w:hAnsi="Bookman Old Style" w:cs="Arial"/>
        </w:rPr>
        <w:t>(MUI)</w:t>
      </w:r>
      <w:r w:rsidR="00A954D0">
        <w:rPr>
          <w:rFonts w:ascii="Bookman Old Style" w:hAnsi="Bookman Old Style" w:cs="Arial"/>
        </w:rPr>
        <w:t xml:space="preserve"> </w:t>
      </w:r>
      <w:r w:rsidRPr="00BF3751">
        <w:rPr>
          <w:rFonts w:ascii="Bookman Old Style" w:hAnsi="Bookman Old Style" w:cs="Arial"/>
        </w:rPr>
        <w:t>dalam</w:t>
      </w:r>
      <w:r w:rsidR="00A954D0">
        <w:rPr>
          <w:rFonts w:ascii="Bookman Old Style" w:hAnsi="Bookman Old Style" w:cs="Arial"/>
        </w:rPr>
        <w:t xml:space="preserve"> </w:t>
      </w:r>
      <w:r w:rsidRPr="00BF3751">
        <w:rPr>
          <w:rFonts w:ascii="Bookman Old Style" w:hAnsi="Bookman Old Style" w:cs="Arial"/>
        </w:rPr>
        <w:t>rangka</w:t>
      </w:r>
      <w:r w:rsidR="00A954D0">
        <w:rPr>
          <w:rFonts w:ascii="Bookman Old Style" w:hAnsi="Bookman Old Style" w:cs="Arial"/>
        </w:rPr>
        <w:t xml:space="preserve"> </w:t>
      </w:r>
      <w:r w:rsidRPr="00BF3751">
        <w:rPr>
          <w:rFonts w:ascii="Bookman Old Style" w:hAnsi="Bookman Old Style" w:cs="Arial"/>
        </w:rPr>
        <w:t>pelayanan</w:t>
      </w:r>
      <w:r w:rsidR="00A954D0">
        <w:rPr>
          <w:rFonts w:ascii="Bookman Old Style" w:hAnsi="Bookman Old Style" w:cs="Arial"/>
        </w:rPr>
        <w:t xml:space="preserve"> </w:t>
      </w:r>
      <w:r w:rsidRPr="00BF3751">
        <w:rPr>
          <w:rFonts w:ascii="Bookman Old Style" w:hAnsi="Bookman Old Style" w:cs="Arial"/>
        </w:rPr>
        <w:t>kepada</w:t>
      </w:r>
      <w:r w:rsidR="00A954D0">
        <w:rPr>
          <w:rFonts w:ascii="Bookman Old Style" w:hAnsi="Bookman Old Style" w:cs="Arial"/>
        </w:rPr>
        <w:t xml:space="preserve"> </w:t>
      </w:r>
      <w:r w:rsidRPr="00BF3751">
        <w:rPr>
          <w:rFonts w:ascii="Bookman Old Style" w:hAnsi="Bookman Old Style" w:cs="Arial"/>
        </w:rPr>
        <w:t>umat</w:t>
      </w:r>
      <w:r w:rsidR="00A954D0">
        <w:rPr>
          <w:rFonts w:ascii="Bookman Old Style" w:hAnsi="Bookman Old Style" w:cs="Arial"/>
        </w:rPr>
        <w:t xml:space="preserve"> </w:t>
      </w:r>
      <w:r w:rsidRPr="00BF3751">
        <w:rPr>
          <w:rFonts w:ascii="Bookman Old Style" w:hAnsi="Bookman Old Style" w:cs="Arial"/>
        </w:rPr>
        <w:t>serta</w:t>
      </w:r>
      <w:r w:rsidR="00A954D0">
        <w:rPr>
          <w:rFonts w:ascii="Bookman Old Style" w:hAnsi="Bookman Old Style" w:cs="Arial"/>
        </w:rPr>
        <w:t xml:space="preserve"> </w:t>
      </w:r>
      <w:r w:rsidRPr="00BF3751">
        <w:rPr>
          <w:rFonts w:ascii="Bookman Old Style" w:hAnsi="Bookman Old Style" w:cs="Arial"/>
        </w:rPr>
        <w:t>mewujudkan</w:t>
      </w:r>
      <w:r w:rsidR="00A954D0">
        <w:rPr>
          <w:rFonts w:ascii="Bookman Old Style" w:hAnsi="Bookman Old Style" w:cs="Arial"/>
        </w:rPr>
        <w:t xml:space="preserve"> </w:t>
      </w:r>
      <w:r w:rsidRPr="00BF3751">
        <w:rPr>
          <w:rFonts w:ascii="Bookman Old Style" w:hAnsi="Bookman Old Style" w:cs="Arial"/>
        </w:rPr>
        <w:t>peningkatan</w:t>
      </w:r>
      <w:r w:rsidR="00A954D0">
        <w:rPr>
          <w:rFonts w:ascii="Bookman Old Style" w:hAnsi="Bookman Old Style" w:cs="Arial"/>
        </w:rPr>
        <w:t xml:space="preserve"> </w:t>
      </w:r>
      <w:r w:rsidRPr="00BF3751">
        <w:rPr>
          <w:rFonts w:ascii="Bookman Old Style" w:hAnsi="Bookman Old Style" w:cs="Arial"/>
        </w:rPr>
        <w:t>kualitas</w:t>
      </w:r>
      <w:r w:rsidR="00A954D0">
        <w:rPr>
          <w:rFonts w:ascii="Bookman Old Style" w:hAnsi="Bookman Old Style" w:cs="Arial"/>
        </w:rPr>
        <w:t xml:space="preserve"> </w:t>
      </w:r>
      <w:r w:rsidRPr="00BF3751">
        <w:rPr>
          <w:rFonts w:ascii="Bookman Old Style" w:hAnsi="Bookman Old Style" w:cs="Arial"/>
        </w:rPr>
        <w:t>akidah</w:t>
      </w:r>
      <w:r w:rsidR="00A954D0">
        <w:rPr>
          <w:rFonts w:ascii="Bookman Old Style" w:hAnsi="Bookman Old Style" w:cs="Arial"/>
        </w:rPr>
        <w:t xml:space="preserve"> </w:t>
      </w:r>
      <w:r w:rsidRPr="00BF3751">
        <w:rPr>
          <w:rFonts w:ascii="Bookman Old Style" w:hAnsi="Bookman Old Style" w:cs="Arial"/>
        </w:rPr>
        <w:t>dan</w:t>
      </w:r>
      <w:r w:rsidR="00A954D0">
        <w:rPr>
          <w:rFonts w:ascii="Bookman Old Style" w:hAnsi="Bookman Old Style" w:cs="Arial"/>
        </w:rPr>
        <w:t xml:space="preserve"> </w:t>
      </w:r>
      <w:r w:rsidRPr="00BF3751">
        <w:rPr>
          <w:rFonts w:ascii="Bookman Old Style" w:hAnsi="Bookman Old Style" w:cs="Arial"/>
        </w:rPr>
        <w:t>akhlak</w:t>
      </w:r>
      <w:r w:rsidR="00A954D0">
        <w:rPr>
          <w:rFonts w:ascii="Bookman Old Style" w:hAnsi="Bookman Old Style" w:cs="Arial"/>
        </w:rPr>
        <w:t xml:space="preserve"> </w:t>
      </w:r>
      <w:r w:rsidRPr="00BF3751">
        <w:rPr>
          <w:rFonts w:ascii="Bookman Old Style" w:hAnsi="Bookman Old Style" w:cs="Arial"/>
        </w:rPr>
        <w:t>di</w:t>
      </w:r>
      <w:r w:rsidR="00A954D0">
        <w:rPr>
          <w:rFonts w:ascii="Bookman Old Style" w:hAnsi="Bookman Old Style" w:cs="Arial"/>
        </w:rPr>
        <w:t xml:space="preserve"> </w:t>
      </w:r>
      <w:r w:rsidRPr="00BF3751">
        <w:rPr>
          <w:rFonts w:ascii="Bookman Old Style" w:hAnsi="Bookman Old Style" w:cs="Arial"/>
        </w:rPr>
        <w:t>daerah</w:t>
      </w:r>
      <w:r w:rsidR="00A954D0">
        <w:rPr>
          <w:rFonts w:ascii="Bookman Old Style" w:hAnsi="Bookman Old Style" w:cs="Arial"/>
        </w:rPr>
        <w:t xml:space="preserve"> </w:t>
      </w:r>
      <w:r w:rsidRPr="00BF3751">
        <w:rPr>
          <w:rFonts w:ascii="Bookman Old Style" w:hAnsi="Bookman Old Style" w:cs="Arial"/>
        </w:rPr>
        <w:t>dalam</w:t>
      </w:r>
      <w:r w:rsidR="00A954D0">
        <w:rPr>
          <w:rFonts w:ascii="Bookman Old Style" w:hAnsi="Bookman Old Style" w:cs="Arial"/>
        </w:rPr>
        <w:t xml:space="preserve"> </w:t>
      </w:r>
      <w:r w:rsidRPr="00BF3751">
        <w:rPr>
          <w:rFonts w:ascii="Bookman Old Style" w:hAnsi="Bookman Old Style" w:cs="Arial"/>
        </w:rPr>
        <w:t>bentuk</w:t>
      </w:r>
      <w:r w:rsidR="00A954D0">
        <w:rPr>
          <w:rFonts w:ascii="Bookman Old Style" w:hAnsi="Bookman Old Style" w:cs="Arial"/>
        </w:rPr>
        <w:t xml:space="preserve"> </w:t>
      </w:r>
      <w:r w:rsidRPr="00BF3751">
        <w:rPr>
          <w:rFonts w:ascii="Bookman Old Style" w:hAnsi="Bookman Old Style" w:cs="Arial"/>
        </w:rPr>
        <w:t>belanja</w:t>
      </w:r>
      <w:r w:rsidR="00A954D0">
        <w:rPr>
          <w:rFonts w:ascii="Bookman Old Style" w:hAnsi="Bookman Old Style" w:cs="Arial"/>
        </w:rPr>
        <w:t xml:space="preserve"> </w:t>
      </w:r>
      <w:r w:rsidRPr="00BF3751">
        <w:rPr>
          <w:rFonts w:ascii="Bookman Old Style" w:hAnsi="Bookman Old Style" w:cs="Arial"/>
        </w:rPr>
        <w:t>hibah,</w:t>
      </w:r>
      <w:r w:rsidR="00A954D0">
        <w:rPr>
          <w:rFonts w:ascii="Bookman Old Style" w:hAnsi="Bookman Old Style" w:cs="Arial"/>
        </w:rPr>
        <w:t xml:space="preserve"> </w:t>
      </w:r>
      <w:r w:rsidRPr="00BF3751">
        <w:rPr>
          <w:rFonts w:ascii="Bookman Old Style" w:hAnsi="Bookman Old Style" w:cs="Arial"/>
        </w:rPr>
        <w:t>sebagaimana</w:t>
      </w:r>
      <w:r w:rsidR="00A954D0">
        <w:rPr>
          <w:rFonts w:ascii="Bookman Old Style" w:hAnsi="Bookman Old Style" w:cs="Arial"/>
        </w:rPr>
        <w:t xml:space="preserve"> </w:t>
      </w:r>
      <w:r w:rsidRPr="00BF3751">
        <w:rPr>
          <w:rFonts w:ascii="Bookman Old Style" w:hAnsi="Bookman Old Style" w:cs="Arial"/>
        </w:rPr>
        <w:t>diamanatkan</w:t>
      </w:r>
      <w:r w:rsidR="00A954D0">
        <w:rPr>
          <w:rFonts w:ascii="Bookman Old Style" w:hAnsi="Bookman Old Style" w:cs="Arial"/>
        </w:rPr>
        <w:t xml:space="preserve"> </w:t>
      </w:r>
      <w:r w:rsidRPr="00BF3751">
        <w:rPr>
          <w:rFonts w:ascii="Bookman Old Style" w:hAnsi="Bookman Old Style" w:cs="Arial"/>
        </w:rPr>
        <w:t>dalam</w:t>
      </w:r>
      <w:r w:rsidR="00A954D0">
        <w:rPr>
          <w:rFonts w:ascii="Bookman Old Style" w:hAnsi="Bookman Old Style" w:cs="Arial"/>
        </w:rPr>
        <w:t xml:space="preserve"> </w:t>
      </w:r>
      <w:r w:rsidRPr="00BF3751">
        <w:rPr>
          <w:rFonts w:ascii="Bookman Old Style" w:hAnsi="Bookman Old Style" w:cs="Arial"/>
        </w:rPr>
        <w:t>Peraturan</w:t>
      </w:r>
      <w:r w:rsidR="00A954D0">
        <w:rPr>
          <w:rFonts w:ascii="Bookman Old Style" w:hAnsi="Bookman Old Style" w:cs="Arial"/>
        </w:rPr>
        <w:t xml:space="preserve"> </w:t>
      </w:r>
      <w:r w:rsidRPr="00BF3751">
        <w:rPr>
          <w:rFonts w:ascii="Bookman Old Style" w:hAnsi="Bookman Old Style" w:cs="Arial"/>
        </w:rPr>
        <w:t>Presiden</w:t>
      </w:r>
      <w:r w:rsidR="00A954D0">
        <w:rPr>
          <w:rFonts w:ascii="Bookman Old Style" w:hAnsi="Bookman Old Style" w:cs="Arial"/>
        </w:rPr>
        <w:t xml:space="preserve"> </w:t>
      </w:r>
      <w:r w:rsidRPr="00BF3751">
        <w:rPr>
          <w:rFonts w:ascii="Bookman Old Style" w:hAnsi="Bookman Old Style" w:cs="Arial"/>
        </w:rPr>
        <w:t>Nomor</w:t>
      </w:r>
      <w:r w:rsidR="00A954D0">
        <w:rPr>
          <w:rFonts w:ascii="Bookman Old Style" w:hAnsi="Bookman Old Style" w:cs="Arial"/>
        </w:rPr>
        <w:t xml:space="preserve"> </w:t>
      </w:r>
      <w:r w:rsidRPr="00BF3751">
        <w:rPr>
          <w:rFonts w:ascii="Bookman Old Style" w:hAnsi="Bookman Old Style" w:cs="Arial"/>
        </w:rPr>
        <w:t>151</w:t>
      </w:r>
      <w:r w:rsidR="00A954D0">
        <w:rPr>
          <w:rFonts w:ascii="Bookman Old Style" w:hAnsi="Bookman Old Style" w:cs="Arial"/>
        </w:rPr>
        <w:t xml:space="preserve"> </w:t>
      </w:r>
      <w:r w:rsidRPr="00BF3751">
        <w:rPr>
          <w:rFonts w:ascii="Bookman Old Style" w:hAnsi="Bookman Old Style" w:cs="Arial"/>
        </w:rPr>
        <w:t>Tahun</w:t>
      </w:r>
      <w:r w:rsidR="00A954D0">
        <w:rPr>
          <w:rFonts w:ascii="Bookman Old Style" w:hAnsi="Bookman Old Style" w:cs="Arial"/>
        </w:rPr>
        <w:t xml:space="preserve"> </w:t>
      </w:r>
      <w:r w:rsidRPr="00BF3751">
        <w:rPr>
          <w:rFonts w:ascii="Bookman Old Style" w:hAnsi="Bookman Old Style" w:cs="Arial"/>
        </w:rPr>
        <w:t>2014</w:t>
      </w:r>
      <w:r w:rsidR="00A954D0">
        <w:rPr>
          <w:rFonts w:ascii="Bookman Old Style" w:hAnsi="Bookman Old Style" w:cs="Arial"/>
        </w:rPr>
        <w:t xml:space="preserve"> </w:t>
      </w:r>
      <w:r w:rsidRPr="00BF3751">
        <w:rPr>
          <w:rFonts w:ascii="Bookman Old Style" w:hAnsi="Bookman Old Style" w:cs="Arial"/>
        </w:rPr>
        <w:t>tentang</w:t>
      </w:r>
      <w:r w:rsidR="00A954D0">
        <w:rPr>
          <w:rFonts w:ascii="Bookman Old Style" w:hAnsi="Bookman Old Style" w:cs="Arial"/>
        </w:rPr>
        <w:t xml:space="preserve"> </w:t>
      </w:r>
      <w:r w:rsidRPr="00BF3751">
        <w:rPr>
          <w:rFonts w:ascii="Bookman Old Style" w:hAnsi="Bookman Old Style" w:cs="Arial"/>
        </w:rPr>
        <w:t>Bantuan</w:t>
      </w:r>
      <w:r w:rsidR="00A954D0">
        <w:rPr>
          <w:rFonts w:ascii="Bookman Old Style" w:hAnsi="Bookman Old Style" w:cs="Arial"/>
        </w:rPr>
        <w:t xml:space="preserve"> </w:t>
      </w:r>
      <w:r w:rsidRPr="00BF3751">
        <w:rPr>
          <w:rFonts w:ascii="Bookman Old Style" w:hAnsi="Bookman Old Style" w:cs="Arial"/>
        </w:rPr>
        <w:t>Pendanaan</w:t>
      </w:r>
      <w:r w:rsidR="00A954D0">
        <w:rPr>
          <w:rFonts w:ascii="Bookman Old Style" w:hAnsi="Bookman Old Style" w:cs="Arial"/>
        </w:rPr>
        <w:t xml:space="preserve"> </w:t>
      </w:r>
      <w:r w:rsidRPr="00BF3751">
        <w:rPr>
          <w:rFonts w:ascii="Bookman Old Style" w:hAnsi="Bookman Old Style" w:cs="Arial"/>
        </w:rPr>
        <w:t>Kegiatan</w:t>
      </w:r>
      <w:r w:rsidR="00A954D0">
        <w:rPr>
          <w:rFonts w:ascii="Bookman Old Style" w:hAnsi="Bookman Old Style" w:cs="Arial"/>
        </w:rPr>
        <w:t xml:space="preserve"> </w:t>
      </w:r>
      <w:r w:rsidRPr="00BF3751">
        <w:rPr>
          <w:rFonts w:ascii="Bookman Old Style" w:hAnsi="Bookman Old Style" w:cs="Arial"/>
        </w:rPr>
        <w:t>MUI</w:t>
      </w:r>
      <w:r w:rsidR="00CA027E">
        <w:rPr>
          <w:rFonts w:ascii="Bookman Old Style" w:hAnsi="Bookman Old Style" w:cs="Arial"/>
        </w:rPr>
        <w:t>;</w:t>
      </w:r>
    </w:p>
    <w:p w14:paraId="684049D9" w14:textId="7DDF415B" w:rsidR="003374DF" w:rsidRPr="00BF3751" w:rsidRDefault="003374DF" w:rsidP="00CA027E">
      <w:pPr>
        <w:numPr>
          <w:ilvl w:val="0"/>
          <w:numId w:val="17"/>
        </w:numPr>
        <w:spacing w:before="60" w:line="276" w:lineRule="auto"/>
        <w:ind w:left="1276" w:hanging="283"/>
        <w:jc w:val="both"/>
        <w:rPr>
          <w:rFonts w:ascii="Bookman Old Style" w:hAnsi="Bookman Old Style" w:cs="Arial"/>
          <w:lang w:val="id-ID"/>
        </w:rPr>
      </w:pPr>
      <w:r w:rsidRPr="00BF3751">
        <w:rPr>
          <w:rFonts w:ascii="Bookman Old Style" w:hAnsi="Bookman Old Style" w:cs="Arial"/>
          <w:lang w:val="id-ID"/>
        </w:rPr>
        <w:t>Dalam</w:t>
      </w:r>
      <w:r w:rsidR="00A954D0">
        <w:rPr>
          <w:rFonts w:ascii="Bookman Old Style" w:hAnsi="Bookman Old Style" w:cs="Arial"/>
          <w:lang w:val="id-ID"/>
        </w:rPr>
        <w:t xml:space="preserve"> </w:t>
      </w:r>
      <w:r w:rsidRPr="00BF3751">
        <w:rPr>
          <w:rFonts w:ascii="Bookman Old Style" w:hAnsi="Bookman Old Style" w:cs="Arial"/>
          <w:lang w:val="fi-FI"/>
        </w:rPr>
        <w:t>rangka</w:t>
      </w:r>
      <w:r w:rsidR="00A954D0">
        <w:rPr>
          <w:rFonts w:ascii="Bookman Old Style" w:hAnsi="Bookman Old Style" w:cs="Arial"/>
          <w:lang w:val="id-ID"/>
        </w:rPr>
        <w:t xml:space="preserve"> </w:t>
      </w:r>
      <w:r w:rsidRPr="00BF3751">
        <w:rPr>
          <w:rFonts w:ascii="Bookman Old Style" w:hAnsi="Bookman Old Style" w:cs="Arial"/>
          <w:lang w:val="id-ID"/>
        </w:rPr>
        <w:t>mewujudkan</w:t>
      </w:r>
      <w:r w:rsidR="00A954D0">
        <w:rPr>
          <w:rFonts w:ascii="Bookman Old Style" w:hAnsi="Bookman Old Style" w:cs="Arial"/>
          <w:lang w:val="id-ID"/>
        </w:rPr>
        <w:t xml:space="preserve"> </w:t>
      </w:r>
      <w:r w:rsidRPr="00BF3751">
        <w:rPr>
          <w:rFonts w:ascii="Bookman Old Style" w:hAnsi="Bookman Old Style" w:cs="Arial"/>
          <w:lang w:val="id-ID"/>
        </w:rPr>
        <w:t>pertumbuhan</w:t>
      </w:r>
      <w:r w:rsidR="00A954D0">
        <w:rPr>
          <w:rFonts w:ascii="Bookman Old Style" w:hAnsi="Bookman Old Style" w:cs="Arial"/>
          <w:lang w:val="id-ID"/>
        </w:rPr>
        <w:t xml:space="preserve"> </w:t>
      </w:r>
      <w:r w:rsidRPr="00BF3751">
        <w:rPr>
          <w:rFonts w:ascii="Bookman Old Style" w:hAnsi="Bookman Old Style" w:cs="Arial"/>
          <w:lang w:val="id-ID"/>
        </w:rPr>
        <w:t>ekonomi</w:t>
      </w:r>
      <w:r w:rsidR="00A954D0">
        <w:rPr>
          <w:rFonts w:ascii="Bookman Old Style" w:hAnsi="Bookman Old Style" w:cs="Arial"/>
          <w:lang w:val="id-ID"/>
        </w:rPr>
        <w:t xml:space="preserve"> </w:t>
      </w:r>
      <w:r w:rsidRPr="00BF3751">
        <w:rPr>
          <w:rFonts w:ascii="Bookman Old Style" w:hAnsi="Bookman Old Style" w:cs="Arial"/>
          <w:lang w:val="id-ID"/>
        </w:rPr>
        <w:t>daerah</w:t>
      </w:r>
      <w:r w:rsidR="00A954D0">
        <w:rPr>
          <w:rFonts w:ascii="Bookman Old Style" w:hAnsi="Bookman Old Style" w:cs="Arial"/>
          <w:lang w:val="id-ID"/>
        </w:rPr>
        <w:t xml:space="preserve"> </w:t>
      </w:r>
      <w:r w:rsidRPr="00BF3751">
        <w:rPr>
          <w:rFonts w:ascii="Bookman Old Style" w:hAnsi="Bookman Old Style" w:cs="Arial"/>
          <w:lang w:val="id-ID"/>
        </w:rPr>
        <w:t>dan</w:t>
      </w:r>
      <w:r w:rsidR="00A954D0">
        <w:rPr>
          <w:rFonts w:ascii="Bookman Old Style" w:hAnsi="Bookman Old Style" w:cs="Arial"/>
          <w:lang w:val="id-ID"/>
        </w:rPr>
        <w:t xml:space="preserve"> </w:t>
      </w:r>
      <w:r w:rsidRPr="00BF3751">
        <w:rPr>
          <w:rFonts w:ascii="Bookman Old Style" w:hAnsi="Bookman Old Style" w:cs="Arial"/>
          <w:lang w:val="id-ID"/>
        </w:rPr>
        <w:t>nasional</w:t>
      </w:r>
      <w:r w:rsidR="00A954D0">
        <w:rPr>
          <w:rFonts w:ascii="Bookman Old Style" w:hAnsi="Bookman Old Style" w:cs="Arial"/>
          <w:lang w:val="id-ID"/>
        </w:rPr>
        <w:t xml:space="preserve"> </w:t>
      </w:r>
      <w:r w:rsidRPr="00BF3751">
        <w:rPr>
          <w:rFonts w:ascii="Bookman Old Style" w:hAnsi="Bookman Old Style" w:cs="Arial"/>
          <w:lang w:val="id-ID"/>
        </w:rPr>
        <w:t>terutama</w:t>
      </w:r>
      <w:r w:rsidR="00A954D0">
        <w:rPr>
          <w:rFonts w:ascii="Bookman Old Style" w:hAnsi="Bookman Old Style" w:cs="Arial"/>
          <w:lang w:val="id-ID"/>
        </w:rPr>
        <w:t xml:space="preserve"> </w:t>
      </w:r>
      <w:r w:rsidRPr="00BF3751">
        <w:rPr>
          <w:rFonts w:ascii="Bookman Old Style" w:hAnsi="Bookman Old Style" w:cs="Arial"/>
          <w:lang w:val="id-ID"/>
        </w:rPr>
        <w:t>untuk</w:t>
      </w:r>
      <w:r w:rsidR="00A954D0">
        <w:rPr>
          <w:rFonts w:ascii="Bookman Old Style" w:hAnsi="Bookman Old Style" w:cs="Arial"/>
          <w:lang w:val="id-ID"/>
        </w:rPr>
        <w:t xml:space="preserve"> </w:t>
      </w:r>
      <w:r w:rsidRPr="00BF3751">
        <w:rPr>
          <w:rFonts w:ascii="Bookman Old Style" w:hAnsi="Bookman Old Style" w:cs="Arial"/>
          <w:lang w:val="id-ID"/>
        </w:rPr>
        <w:t>percepatan</w:t>
      </w:r>
      <w:r w:rsidR="00A954D0">
        <w:rPr>
          <w:rFonts w:ascii="Bookman Old Style" w:hAnsi="Bookman Old Style" w:cs="Arial"/>
          <w:lang w:val="id-ID"/>
        </w:rPr>
        <w:t xml:space="preserve"> </w:t>
      </w:r>
      <w:r w:rsidRPr="00BF3751">
        <w:rPr>
          <w:rFonts w:ascii="Bookman Old Style" w:hAnsi="Bookman Old Style" w:cs="Arial"/>
          <w:lang w:val="id-ID"/>
        </w:rPr>
        <w:t>Pemulihan</w:t>
      </w:r>
      <w:r w:rsidR="00A954D0">
        <w:rPr>
          <w:rFonts w:ascii="Bookman Old Style" w:hAnsi="Bookman Old Style" w:cs="Arial"/>
          <w:lang w:val="id-ID"/>
        </w:rPr>
        <w:t xml:space="preserve"> </w:t>
      </w:r>
      <w:r w:rsidRPr="00BF3751">
        <w:rPr>
          <w:rFonts w:ascii="Bookman Old Style" w:hAnsi="Bookman Old Style" w:cs="Arial"/>
          <w:lang w:val="id-ID"/>
        </w:rPr>
        <w:t>Ekonomi</w:t>
      </w:r>
      <w:r w:rsidR="00A954D0">
        <w:rPr>
          <w:rFonts w:ascii="Bookman Old Style" w:hAnsi="Bookman Old Style" w:cs="Arial"/>
          <w:lang w:val="id-ID"/>
        </w:rPr>
        <w:t xml:space="preserve"> </w:t>
      </w:r>
      <w:r w:rsidRPr="00BF3751">
        <w:rPr>
          <w:rFonts w:ascii="Bookman Old Style" w:hAnsi="Bookman Old Style" w:cs="Arial"/>
          <w:lang w:val="id-ID"/>
        </w:rPr>
        <w:t>Nasional,</w:t>
      </w:r>
      <w:r w:rsidR="00A954D0">
        <w:rPr>
          <w:rFonts w:ascii="Bookman Old Style" w:hAnsi="Bookman Old Style" w:cs="Arial"/>
          <w:lang w:val="id-ID"/>
        </w:rPr>
        <w:t xml:space="preserve"> </w:t>
      </w:r>
      <w:r w:rsidRPr="00BF3751">
        <w:rPr>
          <w:rFonts w:ascii="Bookman Old Style" w:hAnsi="Bookman Old Style" w:cs="Arial"/>
          <w:lang w:val="id-ID"/>
        </w:rPr>
        <w:t>Pemerintah</w:t>
      </w:r>
      <w:r w:rsidR="00A954D0">
        <w:rPr>
          <w:rFonts w:ascii="Bookman Old Style" w:hAnsi="Bookman Old Style" w:cs="Arial"/>
          <w:lang w:val="id-ID"/>
        </w:rPr>
        <w:t xml:space="preserve"> </w:t>
      </w:r>
      <w:r w:rsidRPr="00BF3751">
        <w:rPr>
          <w:rFonts w:ascii="Bookman Old Style" w:hAnsi="Bookman Old Style" w:cs="Arial"/>
          <w:lang w:val="id-ID"/>
        </w:rPr>
        <w:t>Daerah</w:t>
      </w:r>
      <w:r w:rsidR="00A954D0">
        <w:rPr>
          <w:rFonts w:ascii="Bookman Old Style" w:hAnsi="Bookman Old Style" w:cs="Arial"/>
          <w:lang w:val="id-ID"/>
        </w:rPr>
        <w:t xml:space="preserve"> </w:t>
      </w:r>
      <w:r w:rsidR="00046408" w:rsidRPr="00BF3751">
        <w:rPr>
          <w:rFonts w:ascii="Bookman Old Style" w:hAnsi="Bookman Old Style"/>
          <w:lang w:val="id-ID"/>
        </w:rPr>
        <w:t>Kota</w:t>
      </w:r>
      <w:r w:rsidR="00A954D0">
        <w:rPr>
          <w:rFonts w:ascii="Bookman Old Style" w:hAnsi="Bookman Old Style"/>
          <w:lang w:val="id-ID"/>
        </w:rPr>
        <w:t xml:space="preserve"> </w:t>
      </w:r>
      <w:r w:rsidR="00770F22" w:rsidRPr="00BF3751">
        <w:rPr>
          <w:rFonts w:ascii="Bookman Old Style" w:hAnsi="Bookman Old Style"/>
          <w:lang w:val="id-ID"/>
        </w:rPr>
        <w:t>Tangerang</w:t>
      </w:r>
      <w:r w:rsidR="00A954D0">
        <w:rPr>
          <w:rFonts w:ascii="Bookman Old Style" w:hAnsi="Bookman Old Style"/>
          <w:lang w:val="id-ID"/>
        </w:rPr>
        <w:t xml:space="preserve"> </w:t>
      </w:r>
      <w:r w:rsidRPr="00BF3751">
        <w:rPr>
          <w:rFonts w:ascii="Bookman Old Style" w:hAnsi="Bookman Old Style" w:cs="Arial"/>
          <w:lang w:val="id-ID"/>
        </w:rPr>
        <w:t>dapat</w:t>
      </w:r>
      <w:r w:rsidR="00A954D0">
        <w:rPr>
          <w:rFonts w:ascii="Bookman Old Style" w:hAnsi="Bookman Old Style" w:cs="Arial"/>
          <w:lang w:val="id-ID"/>
        </w:rPr>
        <w:t xml:space="preserve"> </w:t>
      </w:r>
      <w:r w:rsidRPr="00BF3751">
        <w:rPr>
          <w:rFonts w:ascii="Bookman Old Style" w:hAnsi="Bookman Old Style" w:cs="Arial"/>
          <w:lang w:val="id-ID"/>
        </w:rPr>
        <w:t>menyediakan</w:t>
      </w:r>
      <w:r w:rsidR="00A954D0">
        <w:rPr>
          <w:rFonts w:ascii="Bookman Old Style" w:hAnsi="Bookman Old Style" w:cs="Arial"/>
          <w:lang w:val="id-ID"/>
        </w:rPr>
        <w:t xml:space="preserve"> </w:t>
      </w:r>
      <w:r w:rsidRPr="00BF3751">
        <w:rPr>
          <w:rFonts w:ascii="Bookman Old Style" w:hAnsi="Bookman Old Style" w:cs="Arial"/>
          <w:lang w:val="id-ID"/>
        </w:rPr>
        <w:t>alokasi</w:t>
      </w:r>
      <w:r w:rsidR="00A954D0">
        <w:rPr>
          <w:rFonts w:ascii="Bookman Old Style" w:hAnsi="Bookman Old Style" w:cs="Arial"/>
          <w:lang w:val="id-ID"/>
        </w:rPr>
        <w:t xml:space="preserve"> </w:t>
      </w:r>
      <w:r w:rsidRPr="00BF3751">
        <w:rPr>
          <w:rFonts w:ascii="Bookman Old Style" w:hAnsi="Bookman Old Style" w:cs="Arial"/>
          <w:lang w:val="id-ID"/>
        </w:rPr>
        <w:t>anggaran</w:t>
      </w:r>
      <w:r w:rsidR="00A954D0">
        <w:rPr>
          <w:rFonts w:ascii="Bookman Old Style" w:hAnsi="Bookman Old Style" w:cs="Arial"/>
          <w:lang w:val="id-ID"/>
        </w:rPr>
        <w:t xml:space="preserve"> </w:t>
      </w:r>
      <w:r w:rsidRPr="00BF3751">
        <w:rPr>
          <w:rFonts w:ascii="Bookman Old Style" w:hAnsi="Bookman Old Style" w:cs="Arial"/>
          <w:lang w:val="id-ID"/>
        </w:rPr>
        <w:t>terkait</w:t>
      </w:r>
      <w:r w:rsidR="00A954D0">
        <w:rPr>
          <w:rFonts w:ascii="Bookman Old Style" w:hAnsi="Bookman Old Style" w:cs="Arial"/>
          <w:lang w:val="id-ID"/>
        </w:rPr>
        <w:t xml:space="preserve"> </w:t>
      </w:r>
      <w:r w:rsidRPr="00BF3751">
        <w:rPr>
          <w:rFonts w:ascii="Bookman Old Style" w:hAnsi="Bookman Old Style" w:cs="Arial"/>
          <w:lang w:val="id-ID"/>
        </w:rPr>
        <w:t>dukungan</w:t>
      </w:r>
      <w:r w:rsidR="00A954D0">
        <w:rPr>
          <w:rFonts w:ascii="Bookman Old Style" w:hAnsi="Bookman Old Style" w:cs="Arial"/>
          <w:lang w:val="id-ID"/>
        </w:rPr>
        <w:t xml:space="preserve"> </w:t>
      </w:r>
      <w:r w:rsidRPr="00BF3751">
        <w:rPr>
          <w:rFonts w:ascii="Bookman Old Style" w:hAnsi="Bookman Old Style" w:cs="Arial"/>
          <w:lang w:val="id-ID"/>
        </w:rPr>
        <w:t>percepatan</w:t>
      </w:r>
      <w:r w:rsidR="00A954D0">
        <w:rPr>
          <w:rFonts w:ascii="Bookman Old Style" w:hAnsi="Bookman Old Style" w:cs="Arial"/>
          <w:lang w:val="id-ID"/>
        </w:rPr>
        <w:t xml:space="preserve"> </w:t>
      </w:r>
      <w:r w:rsidRPr="00BF3751">
        <w:rPr>
          <w:rFonts w:ascii="Bookman Old Style" w:hAnsi="Bookman Old Style" w:cs="Arial"/>
          <w:lang w:val="id-ID"/>
        </w:rPr>
        <w:t>pengembangan</w:t>
      </w:r>
      <w:r w:rsidR="00A954D0">
        <w:rPr>
          <w:rFonts w:ascii="Bookman Old Style" w:hAnsi="Bookman Old Style" w:cs="Arial"/>
          <w:lang w:val="id-ID"/>
        </w:rPr>
        <w:t xml:space="preserve"> </w:t>
      </w:r>
      <w:r w:rsidRPr="00BF3751">
        <w:rPr>
          <w:rFonts w:ascii="Bookman Old Style" w:hAnsi="Bookman Old Style" w:cs="Arial"/>
          <w:lang w:val="id-ID"/>
        </w:rPr>
        <w:t>ekonomi</w:t>
      </w:r>
      <w:r w:rsidR="00A954D0">
        <w:rPr>
          <w:rFonts w:ascii="Bookman Old Style" w:hAnsi="Bookman Old Style" w:cs="Arial"/>
          <w:lang w:val="id-ID"/>
        </w:rPr>
        <w:t xml:space="preserve"> </w:t>
      </w:r>
      <w:r w:rsidRPr="00BF3751">
        <w:rPr>
          <w:rFonts w:ascii="Bookman Old Style" w:hAnsi="Bookman Old Style" w:cs="Arial"/>
          <w:lang w:val="id-ID"/>
        </w:rPr>
        <w:t>syariah</w:t>
      </w:r>
      <w:r w:rsidR="00A954D0">
        <w:rPr>
          <w:rFonts w:ascii="Bookman Old Style" w:hAnsi="Bookman Old Style" w:cs="Arial"/>
          <w:lang w:val="id-ID"/>
        </w:rPr>
        <w:t xml:space="preserve"> </w:t>
      </w:r>
      <w:r w:rsidRPr="00BF3751">
        <w:rPr>
          <w:rFonts w:ascii="Bookman Old Style" w:hAnsi="Bookman Old Style" w:cs="Arial"/>
          <w:lang w:val="id-ID"/>
        </w:rPr>
        <w:t>di</w:t>
      </w:r>
      <w:r w:rsidR="00A954D0">
        <w:rPr>
          <w:rFonts w:ascii="Bookman Old Style" w:hAnsi="Bookman Old Style" w:cs="Arial"/>
          <w:lang w:val="id-ID"/>
        </w:rPr>
        <w:t xml:space="preserve"> </w:t>
      </w:r>
      <w:r w:rsidRPr="00BF3751">
        <w:rPr>
          <w:rFonts w:ascii="Bookman Old Style" w:hAnsi="Bookman Old Style" w:cs="Arial"/>
          <w:lang w:val="id-ID"/>
        </w:rPr>
        <w:t>daerah</w:t>
      </w:r>
      <w:r w:rsidR="00A954D0">
        <w:rPr>
          <w:rFonts w:ascii="Bookman Old Style" w:hAnsi="Bookman Old Style" w:cs="Arial"/>
          <w:lang w:val="id-ID"/>
        </w:rPr>
        <w:t xml:space="preserve"> </w:t>
      </w:r>
      <w:r w:rsidRPr="00BF3751">
        <w:rPr>
          <w:rFonts w:ascii="Bookman Old Style" w:hAnsi="Bookman Old Style" w:cs="Arial"/>
          <w:lang w:val="id-ID"/>
        </w:rPr>
        <w:t>antara</w:t>
      </w:r>
      <w:r w:rsidR="00A954D0">
        <w:rPr>
          <w:rFonts w:ascii="Bookman Old Style" w:hAnsi="Bookman Old Style" w:cs="Arial"/>
          <w:lang w:val="id-ID"/>
        </w:rPr>
        <w:t xml:space="preserve"> </w:t>
      </w:r>
      <w:r w:rsidRPr="00BF3751">
        <w:rPr>
          <w:rFonts w:ascii="Bookman Old Style" w:hAnsi="Bookman Old Style" w:cs="Arial"/>
          <w:lang w:val="id-ID"/>
        </w:rPr>
        <w:t>lain</w:t>
      </w:r>
      <w:r w:rsidR="00A954D0">
        <w:rPr>
          <w:rFonts w:ascii="Bookman Old Style" w:hAnsi="Bookman Old Style" w:cs="Arial"/>
          <w:lang w:val="id-ID"/>
        </w:rPr>
        <w:t xml:space="preserve"> </w:t>
      </w:r>
      <w:r w:rsidRPr="00BF3751">
        <w:rPr>
          <w:rFonts w:ascii="Bookman Old Style" w:hAnsi="Bookman Old Style" w:cs="Arial"/>
          <w:lang w:val="id-ID"/>
        </w:rPr>
        <w:t>mendorong</w:t>
      </w:r>
      <w:r w:rsidR="00A954D0">
        <w:rPr>
          <w:rFonts w:ascii="Bookman Old Style" w:hAnsi="Bookman Old Style" w:cs="Arial"/>
          <w:lang w:val="id-ID"/>
        </w:rPr>
        <w:t xml:space="preserve"> </w:t>
      </w:r>
      <w:r w:rsidRPr="00BF3751">
        <w:rPr>
          <w:rFonts w:ascii="Bookman Old Style" w:hAnsi="Bookman Old Style" w:cs="Arial"/>
          <w:lang w:val="id-ID"/>
        </w:rPr>
        <w:t>percepatan</w:t>
      </w:r>
      <w:r w:rsidR="00A954D0">
        <w:rPr>
          <w:rFonts w:ascii="Bookman Old Style" w:hAnsi="Bookman Old Style" w:cs="Arial"/>
          <w:lang w:val="id-ID"/>
        </w:rPr>
        <w:t xml:space="preserve"> </w:t>
      </w:r>
      <w:r w:rsidRPr="00BF3751">
        <w:rPr>
          <w:rFonts w:ascii="Bookman Old Style" w:hAnsi="Bookman Old Style" w:cs="Arial"/>
          <w:lang w:val="id-ID"/>
        </w:rPr>
        <w:t>pembentukan</w:t>
      </w:r>
      <w:r w:rsidR="00A954D0">
        <w:rPr>
          <w:rFonts w:ascii="Bookman Old Style" w:hAnsi="Bookman Old Style" w:cs="Arial"/>
          <w:lang w:val="id-ID"/>
        </w:rPr>
        <w:t xml:space="preserve"> </w:t>
      </w:r>
      <w:r w:rsidRPr="00BF3751">
        <w:rPr>
          <w:rFonts w:ascii="Bookman Old Style" w:hAnsi="Bookman Old Style" w:cs="Arial"/>
          <w:lang w:val="id-ID"/>
        </w:rPr>
        <w:t>Komite</w:t>
      </w:r>
      <w:r w:rsidR="00A954D0">
        <w:rPr>
          <w:rFonts w:ascii="Bookman Old Style" w:hAnsi="Bookman Old Style" w:cs="Arial"/>
          <w:lang w:val="id-ID"/>
        </w:rPr>
        <w:t xml:space="preserve"> </w:t>
      </w:r>
      <w:r w:rsidRPr="00BF3751">
        <w:rPr>
          <w:rFonts w:ascii="Bookman Old Style" w:hAnsi="Bookman Old Style" w:cs="Arial"/>
          <w:lang w:val="id-ID"/>
        </w:rPr>
        <w:t>Daerah</w:t>
      </w:r>
      <w:r w:rsidR="00A954D0">
        <w:rPr>
          <w:rFonts w:ascii="Bookman Old Style" w:hAnsi="Bookman Old Style" w:cs="Arial"/>
          <w:lang w:val="id-ID"/>
        </w:rPr>
        <w:t xml:space="preserve"> </w:t>
      </w:r>
      <w:r w:rsidRPr="00BF3751">
        <w:rPr>
          <w:rFonts w:ascii="Bookman Old Style" w:hAnsi="Bookman Old Style" w:cs="Arial"/>
          <w:lang w:val="id-ID"/>
        </w:rPr>
        <w:t>Ekonomi</w:t>
      </w:r>
      <w:r w:rsidR="00A954D0">
        <w:rPr>
          <w:rFonts w:ascii="Bookman Old Style" w:hAnsi="Bookman Old Style" w:cs="Arial"/>
          <w:lang w:val="id-ID"/>
        </w:rPr>
        <w:t xml:space="preserve"> </w:t>
      </w:r>
      <w:r w:rsidRPr="00BF3751">
        <w:rPr>
          <w:rFonts w:ascii="Bookman Old Style" w:hAnsi="Bookman Old Style" w:cs="Arial"/>
          <w:lang w:val="id-ID"/>
        </w:rPr>
        <w:t>dan</w:t>
      </w:r>
      <w:r w:rsidR="00A954D0">
        <w:rPr>
          <w:rFonts w:ascii="Bookman Old Style" w:hAnsi="Bookman Old Style" w:cs="Arial"/>
          <w:lang w:val="id-ID"/>
        </w:rPr>
        <w:t xml:space="preserve"> </w:t>
      </w:r>
      <w:r w:rsidRPr="00BF3751">
        <w:rPr>
          <w:rFonts w:ascii="Bookman Old Style" w:hAnsi="Bookman Old Style" w:cs="Arial"/>
          <w:lang w:val="id-ID"/>
        </w:rPr>
        <w:t>Keuangan</w:t>
      </w:r>
      <w:r w:rsidR="00A954D0">
        <w:rPr>
          <w:rFonts w:ascii="Bookman Old Style" w:hAnsi="Bookman Old Style" w:cs="Arial"/>
          <w:lang w:val="id-ID"/>
        </w:rPr>
        <w:t xml:space="preserve"> </w:t>
      </w:r>
      <w:r w:rsidRPr="00BF3751">
        <w:rPr>
          <w:rFonts w:ascii="Bookman Old Style" w:hAnsi="Bookman Old Style" w:cs="Arial"/>
          <w:lang w:val="id-ID"/>
        </w:rPr>
        <w:t>Syariah</w:t>
      </w:r>
      <w:r w:rsidR="00A954D0">
        <w:rPr>
          <w:rFonts w:ascii="Bookman Old Style" w:hAnsi="Bookman Old Style" w:cs="Arial"/>
          <w:lang w:val="id-ID"/>
        </w:rPr>
        <w:t xml:space="preserve"> </w:t>
      </w:r>
      <w:r w:rsidRPr="00BF3751">
        <w:rPr>
          <w:rFonts w:ascii="Bookman Old Style" w:hAnsi="Bookman Old Style" w:cs="Arial"/>
          <w:lang w:val="id-ID"/>
        </w:rPr>
        <w:t>(KDEKS),</w:t>
      </w:r>
      <w:r w:rsidR="00A954D0">
        <w:rPr>
          <w:rFonts w:ascii="Bookman Old Style" w:hAnsi="Bookman Old Style" w:cs="Arial"/>
          <w:lang w:val="id-ID"/>
        </w:rPr>
        <w:t xml:space="preserve"> </w:t>
      </w:r>
      <w:r w:rsidRPr="00BF3751">
        <w:rPr>
          <w:rFonts w:ascii="Bookman Old Style" w:hAnsi="Bookman Old Style" w:cs="Arial"/>
          <w:lang w:val="id-ID"/>
        </w:rPr>
        <w:t>penyusunan</w:t>
      </w:r>
      <w:r w:rsidR="00A954D0">
        <w:rPr>
          <w:rFonts w:ascii="Bookman Old Style" w:hAnsi="Bookman Old Style" w:cs="Arial"/>
          <w:lang w:val="id-ID"/>
        </w:rPr>
        <w:t xml:space="preserve"> </w:t>
      </w:r>
      <w:r w:rsidRPr="00BF3751">
        <w:rPr>
          <w:rFonts w:ascii="Bookman Old Style" w:hAnsi="Bookman Old Style" w:cs="Arial"/>
          <w:lang w:val="id-ID"/>
        </w:rPr>
        <w:t>peraturan</w:t>
      </w:r>
      <w:r w:rsidR="00A954D0">
        <w:rPr>
          <w:rFonts w:ascii="Bookman Old Style" w:hAnsi="Bookman Old Style" w:cs="Arial"/>
          <w:lang w:val="id-ID"/>
        </w:rPr>
        <w:t xml:space="preserve"> </w:t>
      </w:r>
      <w:r w:rsidRPr="00BF3751">
        <w:rPr>
          <w:rFonts w:ascii="Bookman Old Style" w:hAnsi="Bookman Old Style" w:cs="Arial"/>
          <w:lang w:val="id-ID"/>
        </w:rPr>
        <w:t>daerah</w:t>
      </w:r>
      <w:r w:rsidR="00A954D0">
        <w:rPr>
          <w:rFonts w:ascii="Bookman Old Style" w:hAnsi="Bookman Old Style" w:cs="Arial"/>
          <w:lang w:val="id-ID"/>
        </w:rPr>
        <w:t xml:space="preserve"> </w:t>
      </w:r>
      <w:r w:rsidRPr="00BF3751">
        <w:rPr>
          <w:rFonts w:ascii="Bookman Old Style" w:hAnsi="Bookman Old Style" w:cs="Arial"/>
          <w:lang w:val="id-ID"/>
        </w:rPr>
        <w:t>terkait</w:t>
      </w:r>
      <w:r w:rsidR="00A954D0">
        <w:rPr>
          <w:rFonts w:ascii="Bookman Old Style" w:hAnsi="Bookman Old Style" w:cs="Arial"/>
          <w:lang w:val="id-ID"/>
        </w:rPr>
        <w:t xml:space="preserve"> </w:t>
      </w:r>
      <w:r w:rsidRPr="00BF3751">
        <w:rPr>
          <w:rFonts w:ascii="Bookman Old Style" w:hAnsi="Bookman Old Style" w:cs="Arial"/>
          <w:lang w:val="id-ID"/>
        </w:rPr>
        <w:t>pengembangan</w:t>
      </w:r>
      <w:r w:rsidR="00A954D0">
        <w:rPr>
          <w:rFonts w:ascii="Bookman Old Style" w:hAnsi="Bookman Old Style" w:cs="Arial"/>
          <w:lang w:val="id-ID"/>
        </w:rPr>
        <w:t xml:space="preserve"> </w:t>
      </w:r>
      <w:r w:rsidRPr="00BF3751">
        <w:rPr>
          <w:rFonts w:ascii="Bookman Old Style" w:hAnsi="Bookman Old Style" w:cs="Arial"/>
          <w:lang w:val="id-ID"/>
        </w:rPr>
        <w:t>Ekonomi</w:t>
      </w:r>
      <w:r w:rsidR="00A954D0">
        <w:rPr>
          <w:rFonts w:ascii="Bookman Old Style" w:hAnsi="Bookman Old Style" w:cs="Arial"/>
          <w:lang w:val="id-ID"/>
        </w:rPr>
        <w:t xml:space="preserve"> </w:t>
      </w:r>
      <w:r w:rsidRPr="00BF3751">
        <w:rPr>
          <w:rFonts w:ascii="Bookman Old Style" w:hAnsi="Bookman Old Style" w:cs="Arial"/>
          <w:lang w:val="id-ID"/>
        </w:rPr>
        <w:t>Syariah,</w:t>
      </w:r>
      <w:r w:rsidR="00A954D0">
        <w:rPr>
          <w:rFonts w:ascii="Bookman Old Style" w:hAnsi="Bookman Old Style" w:cs="Arial"/>
          <w:lang w:val="id-ID"/>
        </w:rPr>
        <w:t xml:space="preserve"> </w:t>
      </w:r>
      <w:r w:rsidRPr="00BF3751">
        <w:rPr>
          <w:rFonts w:ascii="Bookman Old Style" w:hAnsi="Bookman Old Style" w:cs="Arial"/>
          <w:lang w:val="id-ID"/>
        </w:rPr>
        <w:t>memfasilitasi</w:t>
      </w:r>
      <w:r w:rsidR="00A954D0">
        <w:rPr>
          <w:rFonts w:ascii="Bookman Old Style" w:hAnsi="Bookman Old Style" w:cs="Arial"/>
          <w:lang w:val="id-ID"/>
        </w:rPr>
        <w:t xml:space="preserve"> </w:t>
      </w:r>
      <w:r w:rsidRPr="00BF3751">
        <w:rPr>
          <w:rFonts w:ascii="Bookman Old Style" w:hAnsi="Bookman Old Style" w:cs="Arial"/>
          <w:lang w:val="id-ID"/>
        </w:rPr>
        <w:t>penyelenggaraan</w:t>
      </w:r>
      <w:r w:rsidR="00A954D0">
        <w:rPr>
          <w:rFonts w:ascii="Bookman Old Style" w:hAnsi="Bookman Old Style" w:cs="Arial"/>
          <w:lang w:val="id-ID"/>
        </w:rPr>
        <w:t xml:space="preserve"> </w:t>
      </w:r>
      <w:r w:rsidRPr="00BF3751">
        <w:rPr>
          <w:rFonts w:ascii="Bookman Old Style" w:hAnsi="Bookman Old Style" w:cs="Arial"/>
          <w:lang w:val="id-ID"/>
        </w:rPr>
        <w:t>Sertifikasi</w:t>
      </w:r>
      <w:r w:rsidR="00A954D0">
        <w:rPr>
          <w:rFonts w:ascii="Bookman Old Style" w:hAnsi="Bookman Old Style" w:cs="Arial"/>
          <w:lang w:val="id-ID"/>
        </w:rPr>
        <w:t xml:space="preserve"> </w:t>
      </w:r>
      <w:r w:rsidRPr="00BF3751">
        <w:rPr>
          <w:rFonts w:ascii="Bookman Old Style" w:hAnsi="Bookman Old Style" w:cs="Arial"/>
          <w:lang w:val="id-ID"/>
        </w:rPr>
        <w:t>Halal</w:t>
      </w:r>
      <w:r w:rsidR="00A954D0">
        <w:rPr>
          <w:rFonts w:ascii="Bookman Old Style" w:hAnsi="Bookman Old Style" w:cs="Arial"/>
          <w:lang w:val="id-ID"/>
        </w:rPr>
        <w:t xml:space="preserve"> </w:t>
      </w:r>
      <w:r w:rsidRPr="00BF3751">
        <w:rPr>
          <w:rFonts w:ascii="Bookman Old Style" w:hAnsi="Bookman Old Style" w:cs="Arial"/>
          <w:lang w:val="id-ID"/>
        </w:rPr>
        <w:t>bagi</w:t>
      </w:r>
      <w:r w:rsidR="00A954D0">
        <w:rPr>
          <w:rFonts w:ascii="Bookman Old Style" w:hAnsi="Bookman Old Style" w:cs="Arial"/>
          <w:lang w:val="id-ID"/>
        </w:rPr>
        <w:t xml:space="preserve"> </w:t>
      </w:r>
      <w:r w:rsidRPr="00BF3751">
        <w:rPr>
          <w:rFonts w:ascii="Bookman Old Style" w:hAnsi="Bookman Old Style" w:cs="Arial"/>
          <w:lang w:val="id-ID"/>
        </w:rPr>
        <w:t>pelaku</w:t>
      </w:r>
      <w:r w:rsidR="00A954D0">
        <w:rPr>
          <w:rFonts w:ascii="Bookman Old Style" w:hAnsi="Bookman Old Style" w:cs="Arial"/>
          <w:lang w:val="id-ID"/>
        </w:rPr>
        <w:t xml:space="preserve"> </w:t>
      </w:r>
      <w:r w:rsidRPr="00BF3751">
        <w:rPr>
          <w:rFonts w:ascii="Bookman Old Style" w:hAnsi="Bookman Old Style" w:cs="Arial"/>
          <w:lang w:val="id-ID"/>
        </w:rPr>
        <w:t>usaha</w:t>
      </w:r>
      <w:r w:rsidR="00A954D0">
        <w:rPr>
          <w:rFonts w:ascii="Bookman Old Style" w:hAnsi="Bookman Old Style" w:cs="Arial"/>
          <w:lang w:val="id-ID"/>
        </w:rPr>
        <w:t xml:space="preserve"> </w:t>
      </w:r>
      <w:r w:rsidRPr="00BF3751">
        <w:rPr>
          <w:rFonts w:ascii="Bookman Old Style" w:hAnsi="Bookman Old Style" w:cs="Arial"/>
          <w:lang w:val="id-ID"/>
        </w:rPr>
        <w:t>mikro</w:t>
      </w:r>
      <w:r w:rsidR="00A954D0">
        <w:rPr>
          <w:rFonts w:ascii="Bookman Old Style" w:hAnsi="Bookman Old Style" w:cs="Arial"/>
          <w:lang w:val="id-ID"/>
        </w:rPr>
        <w:t xml:space="preserve"> </w:t>
      </w:r>
      <w:r w:rsidRPr="00BF3751">
        <w:rPr>
          <w:rFonts w:ascii="Bookman Old Style" w:hAnsi="Bookman Old Style" w:cs="Arial"/>
          <w:lang w:val="id-ID"/>
        </w:rPr>
        <w:t>dan</w:t>
      </w:r>
      <w:r w:rsidR="00A954D0">
        <w:rPr>
          <w:rFonts w:ascii="Bookman Old Style" w:hAnsi="Bookman Old Style" w:cs="Arial"/>
          <w:lang w:val="id-ID"/>
        </w:rPr>
        <w:t xml:space="preserve"> </w:t>
      </w:r>
      <w:r w:rsidRPr="00BF3751">
        <w:rPr>
          <w:rFonts w:ascii="Bookman Old Style" w:hAnsi="Bookman Old Style" w:cs="Arial"/>
          <w:lang w:val="id-ID"/>
        </w:rPr>
        <w:t>kecil</w:t>
      </w:r>
      <w:r w:rsidR="00A954D0">
        <w:rPr>
          <w:rFonts w:ascii="Bookman Old Style" w:hAnsi="Bookman Old Style" w:cs="Arial"/>
          <w:lang w:val="id-ID"/>
        </w:rPr>
        <w:t xml:space="preserve"> </w:t>
      </w:r>
      <w:r w:rsidRPr="00BF3751">
        <w:rPr>
          <w:rFonts w:ascii="Bookman Old Style" w:hAnsi="Bookman Old Style"/>
          <w:lang w:val="id-ID"/>
        </w:rPr>
        <w:t>sebagaimana</w:t>
      </w:r>
      <w:r w:rsidR="00A954D0">
        <w:rPr>
          <w:rFonts w:ascii="Bookman Old Style" w:hAnsi="Bookman Old Style"/>
          <w:lang w:val="id-ID"/>
        </w:rPr>
        <w:t xml:space="preserve"> </w:t>
      </w:r>
      <w:r w:rsidRPr="00BF3751">
        <w:rPr>
          <w:rFonts w:ascii="Bookman Old Style" w:hAnsi="Bookman Old Style"/>
          <w:lang w:val="id-ID"/>
        </w:rPr>
        <w:t>maksud</w:t>
      </w:r>
      <w:r w:rsidR="00A954D0">
        <w:rPr>
          <w:rFonts w:ascii="Bookman Old Style" w:hAnsi="Bookman Old Style"/>
          <w:lang w:val="id-ID"/>
        </w:rPr>
        <w:t xml:space="preserve"> </w:t>
      </w:r>
      <w:r w:rsidRPr="00BF3751">
        <w:rPr>
          <w:rFonts w:ascii="Bookman Old Style" w:hAnsi="Bookman Old Style"/>
          <w:lang w:val="id-ID"/>
        </w:rPr>
        <w:t>butir</w:t>
      </w:r>
      <w:r w:rsidR="00A954D0">
        <w:rPr>
          <w:rFonts w:ascii="Bookman Old Style" w:hAnsi="Bookman Old Style"/>
          <w:lang w:val="id-ID"/>
        </w:rPr>
        <w:t xml:space="preserve"> </w:t>
      </w:r>
      <w:r w:rsidRPr="00BF3751">
        <w:rPr>
          <w:rFonts w:ascii="Bookman Old Style" w:hAnsi="Bookman Old Style"/>
          <w:lang w:val="de-DE"/>
        </w:rPr>
        <w:t>5.2.19.b</w:t>
      </w:r>
      <w:r w:rsidR="00A954D0">
        <w:rPr>
          <w:rFonts w:ascii="Bookman Old Style" w:hAnsi="Bookman Old Style"/>
          <w:lang w:val="id-ID"/>
        </w:rPr>
        <w:t xml:space="preserve"> </w:t>
      </w:r>
      <w:r w:rsidRPr="00BF3751">
        <w:rPr>
          <w:rFonts w:ascii="Bookman Old Style" w:hAnsi="Bookman Old Style"/>
          <w:lang w:val="id-ID"/>
        </w:rPr>
        <w:t>Lampiran</w:t>
      </w:r>
      <w:r w:rsidR="00A954D0">
        <w:rPr>
          <w:rFonts w:ascii="Bookman Old Style" w:hAnsi="Bookman Old Style"/>
          <w:lang w:val="id-ID"/>
        </w:rPr>
        <w:t xml:space="preserve"> </w:t>
      </w:r>
      <w:r w:rsidRPr="00BF3751">
        <w:rPr>
          <w:rFonts w:ascii="Bookman Old Style" w:hAnsi="Bookman Old Style"/>
          <w:lang w:val="id-ID"/>
        </w:rPr>
        <w:t>Peraturan</w:t>
      </w:r>
      <w:r w:rsidR="00A954D0">
        <w:rPr>
          <w:rFonts w:ascii="Bookman Old Style" w:hAnsi="Bookman Old Style"/>
          <w:lang w:val="id-ID"/>
        </w:rPr>
        <w:t xml:space="preserve"> </w:t>
      </w:r>
      <w:r w:rsidRPr="00BF3751">
        <w:rPr>
          <w:rFonts w:ascii="Bookman Old Style" w:hAnsi="Bookman Old Style"/>
          <w:lang w:val="id-ID"/>
        </w:rPr>
        <w:t>Menteri</w:t>
      </w:r>
      <w:r w:rsidR="00A954D0">
        <w:rPr>
          <w:rFonts w:ascii="Bookman Old Style" w:hAnsi="Bookman Old Style"/>
          <w:lang w:val="id-ID"/>
        </w:rPr>
        <w:t xml:space="preserve"> </w:t>
      </w:r>
      <w:r w:rsidRPr="00BF3751">
        <w:rPr>
          <w:rFonts w:ascii="Bookman Old Style" w:hAnsi="Bookman Old Style"/>
          <w:lang w:val="id-ID"/>
        </w:rPr>
        <w:t>Dalam</w:t>
      </w:r>
      <w:r w:rsidR="00A954D0">
        <w:rPr>
          <w:rFonts w:ascii="Bookman Old Style" w:hAnsi="Bookman Old Style"/>
          <w:lang w:val="id-ID"/>
        </w:rPr>
        <w:t xml:space="preserve"> </w:t>
      </w:r>
      <w:r w:rsidRPr="00BF3751">
        <w:rPr>
          <w:rFonts w:ascii="Bookman Old Style" w:hAnsi="Bookman Old Style"/>
          <w:lang w:val="id-ID"/>
        </w:rPr>
        <w:t>Negeri</w:t>
      </w:r>
      <w:r w:rsidR="00A954D0">
        <w:rPr>
          <w:rFonts w:ascii="Bookman Old Style" w:hAnsi="Bookman Old Style"/>
          <w:lang w:val="id-ID"/>
        </w:rPr>
        <w:t xml:space="preserve"> </w:t>
      </w:r>
      <w:r w:rsidRPr="00BF3751">
        <w:rPr>
          <w:rFonts w:ascii="Bookman Old Style" w:hAnsi="Bookman Old Style"/>
          <w:lang w:val="id-ID"/>
        </w:rPr>
        <w:t>Nomor</w:t>
      </w:r>
      <w:r w:rsidR="00A954D0">
        <w:rPr>
          <w:rFonts w:ascii="Bookman Old Style" w:hAnsi="Bookman Old Style"/>
          <w:lang w:val="id-ID"/>
        </w:rPr>
        <w:t xml:space="preserve"> </w:t>
      </w:r>
      <w:r w:rsidRPr="00BF3751">
        <w:rPr>
          <w:rFonts w:ascii="Bookman Old Style" w:hAnsi="Bookman Old Style"/>
          <w:lang w:val="de-DE"/>
        </w:rPr>
        <w:t>15</w:t>
      </w:r>
      <w:r w:rsidR="00A954D0">
        <w:rPr>
          <w:rFonts w:ascii="Bookman Old Style" w:hAnsi="Bookman Old Style"/>
          <w:lang w:val="id-ID"/>
        </w:rPr>
        <w:t xml:space="preserve"> </w:t>
      </w:r>
      <w:r w:rsidRPr="00BF3751">
        <w:rPr>
          <w:rFonts w:ascii="Bookman Old Style" w:hAnsi="Bookman Old Style"/>
          <w:lang w:val="id-ID"/>
        </w:rPr>
        <w:t>Tahun</w:t>
      </w:r>
      <w:r w:rsidR="00A954D0">
        <w:rPr>
          <w:rFonts w:ascii="Bookman Old Style" w:hAnsi="Bookman Old Style"/>
          <w:lang w:val="id-ID"/>
        </w:rPr>
        <w:t xml:space="preserve"> </w:t>
      </w:r>
      <w:r w:rsidRPr="00BF3751">
        <w:rPr>
          <w:rFonts w:ascii="Bookman Old Style" w:hAnsi="Bookman Old Style"/>
          <w:lang w:val="id-ID"/>
        </w:rPr>
        <w:t>202</w:t>
      </w:r>
      <w:r w:rsidRPr="00BF3751">
        <w:rPr>
          <w:rFonts w:ascii="Bookman Old Style" w:hAnsi="Bookman Old Style"/>
          <w:lang w:val="de-DE"/>
        </w:rPr>
        <w:t>4</w:t>
      </w:r>
      <w:r w:rsidR="00CA027E" w:rsidRPr="00CA027E">
        <w:rPr>
          <w:rFonts w:ascii="Bookman Old Style" w:hAnsi="Bookman Old Style" w:cs="Arial"/>
          <w:lang w:val="id-ID"/>
        </w:rPr>
        <w:t>;</w:t>
      </w:r>
    </w:p>
    <w:p w14:paraId="055DF548" w14:textId="7A74B129" w:rsidR="003374DF" w:rsidRPr="00BF3751" w:rsidRDefault="003374DF" w:rsidP="00CA027E">
      <w:pPr>
        <w:numPr>
          <w:ilvl w:val="0"/>
          <w:numId w:val="17"/>
        </w:numPr>
        <w:spacing w:before="60" w:line="276" w:lineRule="auto"/>
        <w:ind w:left="1276" w:hanging="284"/>
        <w:jc w:val="both"/>
        <w:rPr>
          <w:rFonts w:ascii="Bookman Old Style" w:hAnsi="Bookman Old Style" w:cs="Arial"/>
          <w:lang w:val="id-ID"/>
        </w:rPr>
      </w:pPr>
      <w:r w:rsidRPr="00BF3751">
        <w:rPr>
          <w:rFonts w:ascii="Bookman Old Style" w:hAnsi="Bookman Old Style" w:cs="Arial"/>
          <w:lang w:val="id-ID"/>
        </w:rPr>
        <w:t>Pemerintah</w:t>
      </w:r>
      <w:r w:rsidR="00A954D0">
        <w:rPr>
          <w:rFonts w:ascii="Bookman Old Style" w:hAnsi="Bookman Old Style" w:cs="Arial"/>
          <w:lang w:val="id-ID"/>
        </w:rPr>
        <w:t xml:space="preserve"> </w:t>
      </w:r>
      <w:r w:rsidRPr="00BF3751">
        <w:rPr>
          <w:rFonts w:ascii="Bookman Old Style" w:hAnsi="Bookman Old Style" w:cs="Arial"/>
          <w:lang w:val="id-ID"/>
        </w:rPr>
        <w:t>Daerah</w:t>
      </w:r>
      <w:r w:rsidR="00A954D0">
        <w:rPr>
          <w:rFonts w:ascii="Bookman Old Style" w:hAnsi="Bookman Old Style" w:cs="Arial"/>
          <w:lang w:val="id-ID"/>
        </w:rPr>
        <w:t xml:space="preserve"> </w:t>
      </w:r>
      <w:r w:rsidR="00046408" w:rsidRPr="00BF3751">
        <w:rPr>
          <w:rFonts w:ascii="Bookman Old Style" w:hAnsi="Bookman Old Style"/>
          <w:lang w:val="id-ID"/>
        </w:rPr>
        <w:t>Kota</w:t>
      </w:r>
      <w:r w:rsidR="00A954D0">
        <w:rPr>
          <w:rFonts w:ascii="Bookman Old Style" w:hAnsi="Bookman Old Style"/>
          <w:lang w:val="id-ID"/>
        </w:rPr>
        <w:t xml:space="preserve"> </w:t>
      </w:r>
      <w:r w:rsidR="00770F22" w:rsidRPr="00BF3751">
        <w:rPr>
          <w:rFonts w:ascii="Bookman Old Style" w:hAnsi="Bookman Old Style"/>
          <w:lang w:val="id-ID"/>
        </w:rPr>
        <w:t>Tangerang</w:t>
      </w:r>
      <w:r w:rsidR="00A954D0">
        <w:rPr>
          <w:rFonts w:ascii="Bookman Old Style" w:hAnsi="Bookman Old Style"/>
          <w:lang w:val="id-ID"/>
        </w:rPr>
        <w:t xml:space="preserve"> </w:t>
      </w:r>
      <w:r w:rsidRPr="00BF3751">
        <w:rPr>
          <w:rFonts w:ascii="Bookman Old Style" w:hAnsi="Bookman Old Style" w:cs="Arial"/>
          <w:lang w:val="id-ID"/>
        </w:rPr>
        <w:t>dapat</w:t>
      </w:r>
      <w:r w:rsidR="00A954D0">
        <w:rPr>
          <w:rFonts w:ascii="Bookman Old Style" w:hAnsi="Bookman Old Style" w:cs="Arial"/>
          <w:lang w:val="id-ID"/>
        </w:rPr>
        <w:t xml:space="preserve"> </w:t>
      </w:r>
      <w:r w:rsidRPr="00BF3751">
        <w:rPr>
          <w:rFonts w:ascii="Bookman Old Style" w:hAnsi="Bookman Old Style" w:cs="Arial"/>
          <w:lang w:val="id-ID"/>
        </w:rPr>
        <w:t>menyediakan</w:t>
      </w:r>
      <w:r w:rsidR="00A954D0">
        <w:rPr>
          <w:rFonts w:ascii="Bookman Old Style" w:hAnsi="Bookman Old Style" w:cs="Arial"/>
          <w:lang w:val="id-ID"/>
        </w:rPr>
        <w:t xml:space="preserve"> </w:t>
      </w:r>
      <w:r w:rsidRPr="00BF3751">
        <w:rPr>
          <w:rFonts w:ascii="Bookman Old Style" w:hAnsi="Bookman Old Style" w:cs="Arial"/>
          <w:lang w:val="fi-FI"/>
        </w:rPr>
        <w:t>alokasi</w:t>
      </w:r>
      <w:r w:rsidR="00A954D0">
        <w:rPr>
          <w:rFonts w:ascii="Bookman Old Style" w:hAnsi="Bookman Old Style" w:cs="Arial"/>
          <w:lang w:val="id-ID"/>
        </w:rPr>
        <w:t xml:space="preserve"> </w:t>
      </w:r>
      <w:r w:rsidRPr="00BF3751">
        <w:rPr>
          <w:rFonts w:ascii="Bookman Old Style" w:hAnsi="Bookman Old Style" w:cs="Arial"/>
          <w:lang w:val="id-ID"/>
        </w:rPr>
        <w:t>anggaran</w:t>
      </w:r>
      <w:r w:rsidR="00A954D0">
        <w:rPr>
          <w:rFonts w:ascii="Bookman Old Style" w:hAnsi="Bookman Old Style" w:cs="Arial"/>
          <w:lang w:val="id-ID"/>
        </w:rPr>
        <w:t xml:space="preserve"> </w:t>
      </w:r>
      <w:r w:rsidRPr="00BF3751">
        <w:rPr>
          <w:rFonts w:ascii="Bookman Old Style" w:hAnsi="Bookman Old Style" w:cs="Arial"/>
          <w:lang w:val="id-ID"/>
        </w:rPr>
        <w:t>dalam</w:t>
      </w:r>
      <w:r w:rsidR="00A954D0">
        <w:rPr>
          <w:rFonts w:ascii="Bookman Old Style" w:hAnsi="Bookman Old Style" w:cs="Arial"/>
          <w:lang w:val="id-ID"/>
        </w:rPr>
        <w:t xml:space="preserve"> </w:t>
      </w:r>
      <w:r w:rsidRPr="00BF3751">
        <w:rPr>
          <w:rFonts w:ascii="Bookman Old Style" w:hAnsi="Bookman Old Style" w:cs="Arial"/>
          <w:lang w:val="id-ID"/>
        </w:rPr>
        <w:t>Rancangan</w:t>
      </w:r>
      <w:r w:rsidR="00A954D0">
        <w:rPr>
          <w:rFonts w:ascii="Bookman Old Style" w:hAnsi="Bookman Old Style" w:cs="Arial"/>
          <w:lang w:val="id-ID"/>
        </w:rPr>
        <w:t xml:space="preserve"> </w:t>
      </w:r>
      <w:r w:rsidRPr="00BF3751">
        <w:rPr>
          <w:rFonts w:ascii="Bookman Old Style" w:hAnsi="Bookman Old Style" w:cs="Arial"/>
          <w:lang w:val="id-ID"/>
        </w:rPr>
        <w:t>Peraturan</w:t>
      </w:r>
      <w:r w:rsidR="00A954D0">
        <w:rPr>
          <w:rFonts w:ascii="Bookman Old Style" w:hAnsi="Bookman Old Style" w:cs="Arial"/>
          <w:lang w:val="id-ID"/>
        </w:rPr>
        <w:t xml:space="preserve"> </w:t>
      </w:r>
      <w:r w:rsidRPr="00BF3751">
        <w:rPr>
          <w:rFonts w:ascii="Bookman Old Style" w:hAnsi="Bookman Old Style" w:cs="Arial"/>
          <w:lang w:val="id-ID"/>
        </w:rPr>
        <w:t>Daerah</w:t>
      </w:r>
      <w:r w:rsidR="00A954D0">
        <w:rPr>
          <w:rFonts w:ascii="Bookman Old Style" w:hAnsi="Bookman Old Style" w:cs="Arial"/>
          <w:lang w:val="id-ID"/>
        </w:rPr>
        <w:t xml:space="preserve"> </w:t>
      </w:r>
      <w:r w:rsidR="00B055C5" w:rsidRPr="00BF3751">
        <w:rPr>
          <w:rFonts w:ascii="Bookman Old Style" w:hAnsi="Bookman Old Style" w:cs="Arial"/>
          <w:lang w:val="id-ID"/>
        </w:rPr>
        <w:t>Kota</w:t>
      </w:r>
      <w:r w:rsidR="00A954D0">
        <w:rPr>
          <w:rFonts w:ascii="Bookman Old Style" w:hAnsi="Bookman Old Style" w:cs="Arial"/>
          <w:lang w:val="id-ID"/>
        </w:rPr>
        <w:t xml:space="preserve"> </w:t>
      </w:r>
      <w:r w:rsidR="00770F22" w:rsidRPr="003255BC">
        <w:rPr>
          <w:rFonts w:ascii="Bookman Old Style" w:hAnsi="Bookman Old Style" w:cs="Arial"/>
          <w:lang w:val="id-ID"/>
        </w:rPr>
        <w:t>Tangerang</w:t>
      </w:r>
      <w:r w:rsidR="00A954D0">
        <w:rPr>
          <w:rFonts w:ascii="Bookman Old Style" w:hAnsi="Bookman Old Style" w:cs="Arial"/>
          <w:lang w:val="id-ID"/>
        </w:rPr>
        <w:t xml:space="preserve"> </w:t>
      </w:r>
      <w:r w:rsidR="00BE6ED9" w:rsidRPr="00BF3751">
        <w:rPr>
          <w:rFonts w:ascii="Bookman Old Style" w:hAnsi="Bookman Old Style" w:cs="Arial"/>
          <w:lang w:val="id-ID"/>
        </w:rPr>
        <w:t>tentang</w:t>
      </w:r>
      <w:r w:rsidR="00A954D0">
        <w:rPr>
          <w:rFonts w:ascii="Bookman Old Style" w:hAnsi="Bookman Old Style" w:cs="Arial"/>
          <w:lang w:val="id-ID"/>
        </w:rPr>
        <w:t xml:space="preserve"> </w:t>
      </w:r>
      <w:r w:rsidR="00BE6ED9" w:rsidRPr="00BF3751">
        <w:rPr>
          <w:rFonts w:ascii="Bookman Old Style" w:hAnsi="Bookman Old Style" w:cs="Arial"/>
          <w:lang w:val="id-ID"/>
        </w:rPr>
        <w:t>APBD</w:t>
      </w:r>
      <w:r w:rsidR="00A954D0">
        <w:rPr>
          <w:rFonts w:ascii="Bookman Old Style" w:hAnsi="Bookman Old Style" w:cs="Arial"/>
          <w:lang w:val="id-ID"/>
        </w:rPr>
        <w:t xml:space="preserve"> </w:t>
      </w:r>
      <w:r w:rsidRPr="00BF3751">
        <w:rPr>
          <w:rFonts w:ascii="Bookman Old Style" w:hAnsi="Bookman Old Style" w:cs="Arial"/>
          <w:lang w:val="id-ID"/>
        </w:rPr>
        <w:t>Tahun</w:t>
      </w:r>
      <w:r w:rsidR="00A954D0">
        <w:rPr>
          <w:rFonts w:ascii="Bookman Old Style" w:hAnsi="Bookman Old Style" w:cs="Arial"/>
          <w:lang w:val="id-ID"/>
        </w:rPr>
        <w:t xml:space="preserve"> </w:t>
      </w:r>
      <w:r w:rsidRPr="00BF3751">
        <w:rPr>
          <w:rFonts w:ascii="Bookman Old Style" w:hAnsi="Bookman Old Style" w:cs="Arial"/>
          <w:lang w:val="id-ID"/>
        </w:rPr>
        <w:t>Anggaran</w:t>
      </w:r>
      <w:r w:rsidR="00A954D0">
        <w:rPr>
          <w:rFonts w:ascii="Bookman Old Style" w:hAnsi="Bookman Old Style" w:cs="Arial"/>
          <w:lang w:val="id-ID"/>
        </w:rPr>
        <w:t xml:space="preserve"> </w:t>
      </w:r>
      <w:r w:rsidRPr="00BF3751">
        <w:rPr>
          <w:rFonts w:ascii="Bookman Old Style" w:hAnsi="Bookman Old Style" w:cs="Arial"/>
          <w:lang w:val="id-ID"/>
        </w:rPr>
        <w:t>2025</w:t>
      </w:r>
      <w:r w:rsidR="00A954D0">
        <w:rPr>
          <w:rFonts w:ascii="Bookman Old Style" w:hAnsi="Bookman Old Style" w:cs="Arial"/>
          <w:lang w:val="id-ID"/>
        </w:rPr>
        <w:t xml:space="preserve"> </w:t>
      </w:r>
      <w:r w:rsidRPr="00BF3751">
        <w:rPr>
          <w:rFonts w:ascii="Bookman Old Style" w:hAnsi="Bookman Old Style" w:cs="Arial"/>
          <w:lang w:val="id-ID"/>
        </w:rPr>
        <w:t>kepada</w:t>
      </w:r>
      <w:r w:rsidR="00A954D0">
        <w:rPr>
          <w:rFonts w:ascii="Bookman Old Style" w:hAnsi="Bookman Old Style" w:cs="Arial"/>
          <w:lang w:val="id-ID"/>
        </w:rPr>
        <w:t xml:space="preserve"> </w:t>
      </w:r>
      <w:r w:rsidRPr="00BF3751">
        <w:rPr>
          <w:rFonts w:ascii="Bookman Old Style" w:hAnsi="Bookman Old Style" w:cs="Arial"/>
          <w:lang w:val="de-DE"/>
        </w:rPr>
        <w:t>BAZNAS</w:t>
      </w:r>
      <w:r w:rsidR="00A954D0">
        <w:rPr>
          <w:rFonts w:ascii="Bookman Old Style" w:hAnsi="Bookman Old Style" w:cs="Arial"/>
          <w:lang w:val="de-DE"/>
        </w:rPr>
        <w:t xml:space="preserve"> </w:t>
      </w:r>
      <w:r w:rsidR="00391062" w:rsidRPr="00BF3751">
        <w:rPr>
          <w:rFonts w:ascii="Bookman Old Style" w:hAnsi="Bookman Old Style"/>
          <w:lang w:val="id-ID"/>
        </w:rPr>
        <w:t>Kota</w:t>
      </w:r>
      <w:r w:rsidR="00A954D0">
        <w:rPr>
          <w:rFonts w:ascii="Bookman Old Style" w:hAnsi="Bookman Old Style"/>
          <w:lang w:val="id-ID"/>
        </w:rPr>
        <w:t xml:space="preserve"> </w:t>
      </w:r>
      <w:r w:rsidR="00770F22" w:rsidRPr="00BF3751">
        <w:rPr>
          <w:rFonts w:ascii="Bookman Old Style" w:hAnsi="Bookman Old Style"/>
          <w:lang w:val="id-ID"/>
        </w:rPr>
        <w:t>Tangerang</w:t>
      </w:r>
      <w:r w:rsidR="00A954D0">
        <w:rPr>
          <w:rFonts w:ascii="Bookman Old Style" w:hAnsi="Bookman Old Style"/>
          <w:lang w:val="id-ID"/>
        </w:rPr>
        <w:t xml:space="preserve"> </w:t>
      </w:r>
      <w:r w:rsidRPr="00BF3751">
        <w:rPr>
          <w:rFonts w:ascii="Bookman Old Style" w:hAnsi="Bookman Old Style" w:cs="Arial"/>
          <w:lang w:val="de-DE"/>
        </w:rPr>
        <w:t>dalam</w:t>
      </w:r>
      <w:r w:rsidR="00A954D0">
        <w:rPr>
          <w:rFonts w:ascii="Bookman Old Style" w:hAnsi="Bookman Old Style" w:cs="Arial"/>
          <w:lang w:val="de-DE"/>
        </w:rPr>
        <w:t xml:space="preserve"> </w:t>
      </w:r>
      <w:r w:rsidRPr="00BF3751">
        <w:rPr>
          <w:rFonts w:ascii="Bookman Old Style" w:hAnsi="Bookman Old Style" w:cs="Arial"/>
          <w:lang w:val="de-DE"/>
        </w:rPr>
        <w:t>bentuk</w:t>
      </w:r>
      <w:r w:rsidR="00A954D0">
        <w:rPr>
          <w:rFonts w:ascii="Bookman Old Style" w:hAnsi="Bookman Old Style" w:cs="Arial"/>
          <w:lang w:val="de-DE"/>
        </w:rPr>
        <w:t xml:space="preserve"> </w:t>
      </w:r>
      <w:r w:rsidRPr="00BF3751">
        <w:rPr>
          <w:rFonts w:ascii="Bookman Old Style" w:hAnsi="Bookman Old Style" w:cs="Arial"/>
          <w:lang w:val="de-DE"/>
        </w:rPr>
        <w:t>belanja</w:t>
      </w:r>
      <w:r w:rsidR="00A954D0">
        <w:rPr>
          <w:rFonts w:ascii="Bookman Old Style" w:hAnsi="Bookman Old Style" w:cs="Arial"/>
          <w:lang w:val="de-DE"/>
        </w:rPr>
        <w:t xml:space="preserve"> </w:t>
      </w:r>
      <w:r w:rsidRPr="00BF3751">
        <w:rPr>
          <w:rFonts w:ascii="Bookman Old Style" w:hAnsi="Bookman Old Style" w:cs="Arial"/>
          <w:lang w:val="de-DE"/>
        </w:rPr>
        <w:t>hibah</w:t>
      </w:r>
      <w:r w:rsidR="00A954D0">
        <w:rPr>
          <w:rFonts w:ascii="Bookman Old Style" w:hAnsi="Bookman Old Style"/>
          <w:lang w:val="id-ID"/>
        </w:rPr>
        <w:t xml:space="preserve"> </w:t>
      </w:r>
      <w:r w:rsidRPr="00BF3751">
        <w:rPr>
          <w:rFonts w:ascii="Bookman Old Style" w:hAnsi="Bookman Old Style"/>
          <w:lang w:val="id-ID"/>
        </w:rPr>
        <w:t>sebagaimana</w:t>
      </w:r>
      <w:r w:rsidR="00A954D0">
        <w:rPr>
          <w:rFonts w:ascii="Bookman Old Style" w:hAnsi="Bookman Old Style"/>
          <w:lang w:val="id-ID"/>
        </w:rPr>
        <w:t xml:space="preserve"> </w:t>
      </w:r>
      <w:r w:rsidRPr="00BF3751">
        <w:rPr>
          <w:rFonts w:ascii="Bookman Old Style" w:hAnsi="Bookman Old Style"/>
          <w:lang w:val="id-ID"/>
        </w:rPr>
        <w:t>maksud</w:t>
      </w:r>
      <w:r w:rsidR="00A954D0">
        <w:rPr>
          <w:rFonts w:ascii="Bookman Old Style" w:hAnsi="Bookman Old Style"/>
          <w:lang w:val="id-ID"/>
        </w:rPr>
        <w:t xml:space="preserve"> </w:t>
      </w:r>
      <w:r w:rsidRPr="00BF3751">
        <w:rPr>
          <w:rFonts w:ascii="Bookman Old Style" w:hAnsi="Bookman Old Style"/>
          <w:lang w:val="id-ID"/>
        </w:rPr>
        <w:t>butir</w:t>
      </w:r>
      <w:r w:rsidR="00A954D0">
        <w:rPr>
          <w:rFonts w:ascii="Bookman Old Style" w:hAnsi="Bookman Old Style"/>
          <w:lang w:val="id-ID"/>
        </w:rPr>
        <w:t xml:space="preserve"> </w:t>
      </w:r>
      <w:r w:rsidRPr="00BF3751">
        <w:rPr>
          <w:rFonts w:ascii="Bookman Old Style" w:hAnsi="Bookman Old Style"/>
          <w:lang w:val="de-DE"/>
        </w:rPr>
        <w:t>5.2.9.h</w:t>
      </w:r>
      <w:r w:rsidR="00A954D0">
        <w:rPr>
          <w:rFonts w:ascii="Bookman Old Style" w:hAnsi="Bookman Old Style"/>
          <w:lang w:val="id-ID"/>
        </w:rPr>
        <w:t xml:space="preserve"> </w:t>
      </w:r>
      <w:r w:rsidRPr="00BF3751">
        <w:rPr>
          <w:rFonts w:ascii="Bookman Old Style" w:hAnsi="Bookman Old Style"/>
          <w:lang w:val="id-ID"/>
        </w:rPr>
        <w:t>Lampiran</w:t>
      </w:r>
      <w:r w:rsidR="00A954D0">
        <w:rPr>
          <w:rFonts w:ascii="Bookman Old Style" w:hAnsi="Bookman Old Style"/>
          <w:lang w:val="id-ID"/>
        </w:rPr>
        <w:t xml:space="preserve"> </w:t>
      </w:r>
      <w:r w:rsidRPr="00BF3751">
        <w:rPr>
          <w:rFonts w:ascii="Bookman Old Style" w:hAnsi="Bookman Old Style"/>
          <w:lang w:val="id-ID"/>
        </w:rPr>
        <w:t>Peraturan</w:t>
      </w:r>
      <w:r w:rsidR="00A954D0">
        <w:rPr>
          <w:rFonts w:ascii="Bookman Old Style" w:hAnsi="Bookman Old Style"/>
          <w:lang w:val="id-ID"/>
        </w:rPr>
        <w:t xml:space="preserve"> </w:t>
      </w:r>
      <w:r w:rsidRPr="00BF3751">
        <w:rPr>
          <w:rFonts w:ascii="Bookman Old Style" w:hAnsi="Bookman Old Style"/>
          <w:lang w:val="id-ID"/>
        </w:rPr>
        <w:t>Menteri</w:t>
      </w:r>
      <w:r w:rsidR="00A954D0">
        <w:rPr>
          <w:rFonts w:ascii="Bookman Old Style" w:hAnsi="Bookman Old Style"/>
          <w:lang w:val="id-ID"/>
        </w:rPr>
        <w:t xml:space="preserve"> </w:t>
      </w:r>
      <w:r w:rsidRPr="00BF3751">
        <w:rPr>
          <w:rFonts w:ascii="Bookman Old Style" w:hAnsi="Bookman Old Style"/>
          <w:lang w:val="id-ID"/>
        </w:rPr>
        <w:t>Dalam</w:t>
      </w:r>
      <w:r w:rsidR="00A954D0">
        <w:rPr>
          <w:rFonts w:ascii="Bookman Old Style" w:hAnsi="Bookman Old Style"/>
          <w:lang w:val="id-ID"/>
        </w:rPr>
        <w:t xml:space="preserve"> </w:t>
      </w:r>
      <w:r w:rsidRPr="00BF3751">
        <w:rPr>
          <w:rFonts w:ascii="Bookman Old Style" w:hAnsi="Bookman Old Style"/>
          <w:lang w:val="id-ID"/>
        </w:rPr>
        <w:t>Negeri</w:t>
      </w:r>
      <w:r w:rsidR="00A954D0">
        <w:rPr>
          <w:rFonts w:ascii="Bookman Old Style" w:hAnsi="Bookman Old Style"/>
          <w:lang w:val="id-ID"/>
        </w:rPr>
        <w:t xml:space="preserve"> </w:t>
      </w:r>
      <w:r w:rsidRPr="00BF3751">
        <w:rPr>
          <w:rFonts w:ascii="Bookman Old Style" w:hAnsi="Bookman Old Style"/>
          <w:lang w:val="id-ID"/>
        </w:rPr>
        <w:t>Nomor</w:t>
      </w:r>
      <w:r w:rsidR="00A954D0">
        <w:rPr>
          <w:rFonts w:ascii="Bookman Old Style" w:hAnsi="Bookman Old Style"/>
          <w:lang w:val="id-ID"/>
        </w:rPr>
        <w:t xml:space="preserve"> </w:t>
      </w:r>
      <w:r w:rsidRPr="00BF3751">
        <w:rPr>
          <w:rFonts w:ascii="Bookman Old Style" w:hAnsi="Bookman Old Style"/>
          <w:lang w:val="de-DE"/>
        </w:rPr>
        <w:t>15</w:t>
      </w:r>
      <w:r w:rsidR="00A954D0">
        <w:rPr>
          <w:rFonts w:ascii="Bookman Old Style" w:hAnsi="Bookman Old Style"/>
          <w:lang w:val="id-ID"/>
        </w:rPr>
        <w:t xml:space="preserve"> </w:t>
      </w:r>
      <w:r w:rsidRPr="00BF3751">
        <w:rPr>
          <w:rFonts w:ascii="Bookman Old Style" w:hAnsi="Bookman Old Style"/>
          <w:lang w:val="id-ID"/>
        </w:rPr>
        <w:t>Tahun</w:t>
      </w:r>
      <w:r w:rsidR="00A954D0">
        <w:rPr>
          <w:rFonts w:ascii="Bookman Old Style" w:hAnsi="Bookman Old Style"/>
          <w:lang w:val="id-ID"/>
        </w:rPr>
        <w:t xml:space="preserve"> </w:t>
      </w:r>
      <w:r w:rsidRPr="00BF3751">
        <w:rPr>
          <w:rFonts w:ascii="Bookman Old Style" w:hAnsi="Bookman Old Style"/>
          <w:lang w:val="id-ID"/>
        </w:rPr>
        <w:t>202</w:t>
      </w:r>
      <w:r w:rsidRPr="00BF3751">
        <w:rPr>
          <w:rFonts w:ascii="Bookman Old Style" w:hAnsi="Bookman Old Style"/>
          <w:lang w:val="de-DE"/>
        </w:rPr>
        <w:t>4</w:t>
      </w:r>
      <w:r w:rsidRPr="00BF3751">
        <w:rPr>
          <w:rFonts w:ascii="Bookman Old Style" w:hAnsi="Bookman Old Style"/>
          <w:lang w:val="id-ID"/>
        </w:rPr>
        <w:t>.</w:t>
      </w:r>
    </w:p>
    <w:p w14:paraId="009790C5" w14:textId="32FECD8B" w:rsidR="003374DF" w:rsidRPr="00BF3751" w:rsidRDefault="003374DF" w:rsidP="00953DC9">
      <w:pPr>
        <w:numPr>
          <w:ilvl w:val="0"/>
          <w:numId w:val="156"/>
        </w:numPr>
        <w:spacing w:before="60" w:line="276" w:lineRule="auto"/>
        <w:ind w:left="993" w:hanging="426"/>
        <w:jc w:val="both"/>
        <w:rPr>
          <w:rFonts w:ascii="Bookman Old Style" w:hAnsi="Bookman Old Style"/>
          <w:lang w:val="id-ID"/>
        </w:rPr>
      </w:pPr>
      <w:r w:rsidRPr="00BF3751">
        <w:rPr>
          <w:rFonts w:ascii="Bookman Old Style" w:hAnsi="Bookman Old Style"/>
          <w:lang w:val="id-ID"/>
        </w:rPr>
        <w:lastRenderedPageBreak/>
        <w:t>Penganggaran</w:t>
      </w:r>
      <w:r w:rsidR="00A954D0">
        <w:rPr>
          <w:rFonts w:ascii="Bookman Old Style" w:hAnsi="Bookman Old Style"/>
          <w:lang w:val="id-ID"/>
        </w:rPr>
        <w:t xml:space="preserve"> </w:t>
      </w:r>
      <w:r w:rsidRPr="00BF3751">
        <w:rPr>
          <w:rFonts w:ascii="Bookman Old Style" w:hAnsi="Bookman Old Style"/>
          <w:lang w:val="id-ID"/>
        </w:rPr>
        <w:t>kegiatan</w:t>
      </w:r>
      <w:r w:rsidR="00A954D0">
        <w:rPr>
          <w:rFonts w:ascii="Bookman Old Style" w:hAnsi="Bookman Old Style"/>
          <w:lang w:val="id-ID"/>
        </w:rPr>
        <w:t xml:space="preserve"> </w:t>
      </w:r>
      <w:r w:rsidRPr="00BF3751">
        <w:rPr>
          <w:rFonts w:ascii="Bookman Old Style" w:hAnsi="Bookman Old Style"/>
          <w:lang w:val="id-ID"/>
        </w:rPr>
        <w:t>tahun</w:t>
      </w:r>
      <w:r w:rsidR="00A954D0">
        <w:rPr>
          <w:rFonts w:ascii="Bookman Old Style" w:hAnsi="Bookman Old Style"/>
          <w:lang w:val="id-ID"/>
        </w:rPr>
        <w:t xml:space="preserve"> </w:t>
      </w:r>
      <w:r w:rsidRPr="00BF3751">
        <w:rPr>
          <w:rFonts w:ascii="Bookman Old Style" w:hAnsi="Bookman Old Style"/>
          <w:lang w:val="id-ID"/>
        </w:rPr>
        <w:t>jamak</w:t>
      </w:r>
      <w:r w:rsidR="00A954D0">
        <w:rPr>
          <w:rFonts w:ascii="Bookman Old Style" w:hAnsi="Bookman Old Style"/>
          <w:lang w:val="id-ID"/>
        </w:rPr>
        <w:t xml:space="preserve"> </w:t>
      </w:r>
      <w:r w:rsidRPr="00BF3751">
        <w:rPr>
          <w:rFonts w:ascii="Bookman Old Style" w:hAnsi="Bookman Old Style"/>
          <w:lang w:val="id-ID"/>
        </w:rPr>
        <w:t>merupakan</w:t>
      </w:r>
      <w:r w:rsidR="00A954D0">
        <w:rPr>
          <w:rFonts w:ascii="Bookman Old Style" w:hAnsi="Bookman Old Style"/>
          <w:lang w:val="id-ID"/>
        </w:rPr>
        <w:t xml:space="preserve"> </w:t>
      </w:r>
      <w:r w:rsidRPr="00BF3751">
        <w:rPr>
          <w:rFonts w:ascii="Bookman Old Style" w:hAnsi="Bookman Old Style"/>
          <w:lang w:val="id-ID"/>
        </w:rPr>
        <w:t>kegiatan</w:t>
      </w:r>
      <w:r w:rsidR="00A954D0">
        <w:rPr>
          <w:rFonts w:ascii="Bookman Old Style" w:hAnsi="Bookman Old Style"/>
          <w:lang w:val="id-ID"/>
        </w:rPr>
        <w:t xml:space="preserve"> </w:t>
      </w:r>
      <w:r w:rsidRPr="00BF3751">
        <w:rPr>
          <w:rFonts w:ascii="Bookman Old Style" w:hAnsi="Bookman Old Style"/>
          <w:lang w:val="id-ID"/>
        </w:rPr>
        <w:t>lebih</w:t>
      </w:r>
      <w:r w:rsidR="00A954D0">
        <w:rPr>
          <w:rFonts w:ascii="Bookman Old Style" w:hAnsi="Bookman Old Style"/>
          <w:lang w:val="id-ID"/>
        </w:rPr>
        <w:t xml:space="preserve"> </w:t>
      </w:r>
      <w:r w:rsidRPr="00BF3751">
        <w:rPr>
          <w:rFonts w:ascii="Bookman Old Style" w:hAnsi="Bookman Old Style"/>
          <w:lang w:val="id-ID"/>
        </w:rPr>
        <w:t>dari</w:t>
      </w:r>
      <w:r w:rsidR="00A954D0">
        <w:rPr>
          <w:rFonts w:ascii="Bookman Old Style" w:hAnsi="Bookman Old Style"/>
          <w:lang w:val="id-ID"/>
        </w:rPr>
        <w:t xml:space="preserve"> </w:t>
      </w:r>
      <w:r w:rsidRPr="00BF3751">
        <w:rPr>
          <w:rFonts w:ascii="Bookman Old Style" w:hAnsi="Bookman Old Style"/>
          <w:lang w:val="id-ID"/>
        </w:rPr>
        <w:t>1</w:t>
      </w:r>
      <w:r w:rsidR="00A954D0">
        <w:rPr>
          <w:rFonts w:ascii="Bookman Old Style" w:hAnsi="Bookman Old Style"/>
          <w:lang w:val="id-ID"/>
        </w:rPr>
        <w:t xml:space="preserve"> </w:t>
      </w:r>
      <w:r w:rsidRPr="00BF3751">
        <w:rPr>
          <w:rFonts w:ascii="Bookman Old Style" w:hAnsi="Bookman Old Style"/>
          <w:lang w:val="id-ID"/>
        </w:rPr>
        <w:t>(satu)</w:t>
      </w:r>
      <w:r w:rsidR="00A954D0">
        <w:rPr>
          <w:rFonts w:ascii="Bookman Old Style" w:hAnsi="Bookman Old Style"/>
          <w:lang w:val="id-ID"/>
        </w:rPr>
        <w:t xml:space="preserve"> </w:t>
      </w:r>
      <w:r w:rsidRPr="00BF3751">
        <w:rPr>
          <w:rFonts w:ascii="Bookman Old Style" w:hAnsi="Bookman Old Style"/>
          <w:lang w:val="id-ID"/>
        </w:rPr>
        <w:t>tahun</w:t>
      </w:r>
      <w:r w:rsidR="00A954D0">
        <w:rPr>
          <w:rFonts w:ascii="Bookman Old Style" w:hAnsi="Bookman Old Style"/>
          <w:lang w:val="id-ID"/>
        </w:rPr>
        <w:t xml:space="preserve"> </w:t>
      </w:r>
      <w:r w:rsidRPr="00BF3751">
        <w:rPr>
          <w:rFonts w:ascii="Bookman Old Style" w:hAnsi="Bookman Old Style"/>
          <w:lang w:val="id-ID"/>
        </w:rPr>
        <w:t>anggaran.</w:t>
      </w:r>
      <w:r w:rsidR="00A954D0">
        <w:rPr>
          <w:rFonts w:ascii="Bookman Old Style" w:hAnsi="Bookman Old Style"/>
          <w:lang w:val="id-ID"/>
        </w:rPr>
        <w:t xml:space="preserve"> </w:t>
      </w:r>
      <w:r w:rsidRPr="00BF3751">
        <w:rPr>
          <w:rFonts w:ascii="Bookman Old Style" w:hAnsi="Bookman Old Style"/>
          <w:lang w:val="id-ID"/>
        </w:rPr>
        <w:t>Kegiatan</w:t>
      </w:r>
      <w:r w:rsidR="00A954D0">
        <w:rPr>
          <w:rFonts w:ascii="Bookman Old Style" w:hAnsi="Bookman Old Style"/>
          <w:lang w:val="id-ID"/>
        </w:rPr>
        <w:t xml:space="preserve"> </w:t>
      </w:r>
      <w:r w:rsidRPr="00BF3751">
        <w:rPr>
          <w:rFonts w:ascii="Bookman Old Style" w:hAnsi="Bookman Old Style"/>
          <w:lang w:val="id-ID"/>
        </w:rPr>
        <w:t>tahun</w:t>
      </w:r>
      <w:r w:rsidR="00A954D0">
        <w:rPr>
          <w:rFonts w:ascii="Bookman Old Style" w:hAnsi="Bookman Old Style"/>
          <w:lang w:val="id-ID"/>
        </w:rPr>
        <w:t xml:space="preserve"> </w:t>
      </w:r>
      <w:r w:rsidRPr="00BF3751">
        <w:rPr>
          <w:rFonts w:ascii="Bookman Old Style" w:hAnsi="Bookman Old Style"/>
          <w:lang w:val="id-ID"/>
        </w:rPr>
        <w:t>jamak</w:t>
      </w:r>
      <w:r w:rsidR="00A954D0">
        <w:rPr>
          <w:rFonts w:ascii="Bookman Old Style" w:hAnsi="Bookman Old Style"/>
          <w:lang w:val="id-ID"/>
        </w:rPr>
        <w:t xml:space="preserve"> </w:t>
      </w:r>
      <w:r w:rsidRPr="00BF3751">
        <w:rPr>
          <w:rFonts w:ascii="Bookman Old Style" w:hAnsi="Bookman Old Style"/>
          <w:lang w:val="id-ID"/>
        </w:rPr>
        <w:t>tersebut</w:t>
      </w:r>
      <w:r w:rsidR="00A954D0">
        <w:rPr>
          <w:rFonts w:ascii="Bookman Old Style" w:hAnsi="Bookman Old Style"/>
          <w:lang w:val="id-ID"/>
        </w:rPr>
        <w:t xml:space="preserve"> </w:t>
      </w:r>
      <w:r w:rsidRPr="00BF3751">
        <w:rPr>
          <w:rFonts w:ascii="Bookman Old Style" w:hAnsi="Bookman Old Style"/>
          <w:lang w:val="id-ID"/>
        </w:rPr>
        <w:t>harus</w:t>
      </w:r>
      <w:r w:rsidR="00A954D0">
        <w:rPr>
          <w:rFonts w:ascii="Bookman Old Style" w:hAnsi="Bookman Old Style"/>
          <w:lang w:val="id-ID"/>
        </w:rPr>
        <w:t xml:space="preserve"> </w:t>
      </w:r>
      <w:r w:rsidRPr="00BF3751">
        <w:rPr>
          <w:rFonts w:ascii="Bookman Old Style" w:hAnsi="Bookman Old Style"/>
          <w:lang w:val="id-ID"/>
        </w:rPr>
        <w:t>memenuhi</w:t>
      </w:r>
      <w:r w:rsidR="00A954D0">
        <w:rPr>
          <w:rFonts w:ascii="Bookman Old Style" w:hAnsi="Bookman Old Style"/>
          <w:lang w:val="id-ID"/>
        </w:rPr>
        <w:t xml:space="preserve"> </w:t>
      </w:r>
      <w:r w:rsidRPr="00953DC9">
        <w:rPr>
          <w:rFonts w:ascii="Bookman Old Style" w:hAnsi="Bookman Old Style"/>
          <w:lang w:val="sv-FI"/>
        </w:rPr>
        <w:t>kriteria</w:t>
      </w:r>
      <w:r w:rsidR="00A954D0">
        <w:rPr>
          <w:rFonts w:ascii="Bookman Old Style" w:hAnsi="Bookman Old Style"/>
          <w:lang w:val="id-ID"/>
        </w:rPr>
        <w:t xml:space="preserve"> </w:t>
      </w:r>
      <w:r w:rsidRPr="00BF3751">
        <w:rPr>
          <w:rFonts w:ascii="Bookman Old Style" w:hAnsi="Bookman Old Style"/>
          <w:lang w:val="id-ID"/>
        </w:rPr>
        <w:t>paling</w:t>
      </w:r>
      <w:r w:rsidR="00A954D0">
        <w:rPr>
          <w:rFonts w:ascii="Bookman Old Style" w:hAnsi="Bookman Old Style"/>
          <w:lang w:val="id-ID"/>
        </w:rPr>
        <w:t xml:space="preserve"> </w:t>
      </w:r>
      <w:r w:rsidRPr="00BF3751">
        <w:rPr>
          <w:rFonts w:ascii="Bookman Old Style" w:hAnsi="Bookman Old Style"/>
          <w:lang w:val="id-ID"/>
        </w:rPr>
        <w:t>sedikit:</w:t>
      </w:r>
      <w:r w:rsidR="00A954D0">
        <w:rPr>
          <w:rFonts w:ascii="Bookman Old Style" w:hAnsi="Bookman Old Style"/>
          <w:lang w:val="id-ID"/>
        </w:rPr>
        <w:t xml:space="preserve"> </w:t>
      </w:r>
    </w:p>
    <w:p w14:paraId="51997F3A" w14:textId="5D2D2652" w:rsidR="003374DF" w:rsidRPr="00BF3751" w:rsidRDefault="003374DF" w:rsidP="00CA027E">
      <w:pPr>
        <w:pStyle w:val="ListParagraph"/>
        <w:numPr>
          <w:ilvl w:val="0"/>
          <w:numId w:val="44"/>
        </w:numPr>
        <w:spacing w:before="60" w:after="0" w:line="276" w:lineRule="auto"/>
        <w:ind w:left="1276" w:hanging="283"/>
        <w:contextualSpacing w:val="0"/>
        <w:jc w:val="both"/>
        <w:rPr>
          <w:rFonts w:ascii="Bookman Old Style" w:hAnsi="Bookman Old Style"/>
          <w:sz w:val="24"/>
          <w:szCs w:val="24"/>
          <w:lang w:val="id-ID"/>
        </w:rPr>
      </w:pPr>
      <w:r w:rsidRPr="00BF3751">
        <w:rPr>
          <w:rFonts w:ascii="Bookman Old Style" w:hAnsi="Bookman Old Style"/>
          <w:sz w:val="24"/>
          <w:szCs w:val="24"/>
          <w:lang w:val="id-ID"/>
        </w:rPr>
        <w:t>pekerjaan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konstruksi</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atas</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pelaksanaan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kegiatan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yang</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secara</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teknis</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merupakan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satu</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kesatuan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untuk</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menghasilkan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1</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(satu)</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keluaran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yang</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memerlukan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waktu</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penyelesaian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lebih</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dari</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12</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(dua</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belas)</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bulan;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atau</w:t>
      </w:r>
      <w:r w:rsidR="00A954D0">
        <w:rPr>
          <w:rFonts w:ascii="Bookman Old Style" w:hAnsi="Bookman Old Style"/>
          <w:sz w:val="24"/>
          <w:szCs w:val="24"/>
          <w:lang w:val="id-ID"/>
        </w:rPr>
        <w:t xml:space="preserve"> </w:t>
      </w:r>
    </w:p>
    <w:p w14:paraId="08B2AD9D" w14:textId="316A21DB" w:rsidR="003374DF" w:rsidRPr="00BF3751" w:rsidRDefault="003374DF" w:rsidP="00CA027E">
      <w:pPr>
        <w:pStyle w:val="ListParagraph"/>
        <w:numPr>
          <w:ilvl w:val="0"/>
          <w:numId w:val="44"/>
        </w:numPr>
        <w:spacing w:before="60" w:after="0" w:line="276" w:lineRule="auto"/>
        <w:ind w:left="1276" w:hanging="283"/>
        <w:contextualSpacing w:val="0"/>
        <w:jc w:val="both"/>
        <w:rPr>
          <w:rFonts w:ascii="Bookman Old Style" w:hAnsi="Bookman Old Style"/>
          <w:sz w:val="24"/>
          <w:szCs w:val="24"/>
        </w:rPr>
      </w:pPr>
      <w:r w:rsidRPr="00BF3751">
        <w:rPr>
          <w:rFonts w:ascii="Bookman Old Style" w:hAnsi="Bookman Old Style"/>
          <w:sz w:val="24"/>
          <w:szCs w:val="24"/>
          <w:lang w:val="id-ID"/>
        </w:rPr>
        <w:t>pekerjaan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atas</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pelaksanaan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kegiatan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yang</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menurut</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sifatnya</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harus</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tetap</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berlangsung</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pada</w:t>
      </w:r>
      <w:r w:rsidR="00A954D0">
        <w:rPr>
          <w:rFonts w:ascii="Bookman Old Style" w:hAnsi="Bookman Old Style"/>
          <w:sz w:val="24"/>
          <w:szCs w:val="24"/>
        </w:rPr>
        <w:t xml:space="preserve"> </w:t>
      </w:r>
      <w:r w:rsidRPr="00BF3751">
        <w:rPr>
          <w:rFonts w:ascii="Bookman Old Style" w:hAnsi="Bookman Old Style"/>
          <w:sz w:val="24"/>
          <w:szCs w:val="24"/>
        </w:rPr>
        <w:t>pergantian</w:t>
      </w:r>
      <w:r w:rsidR="00A954D0">
        <w:rPr>
          <w:rFonts w:ascii="Bookman Old Style" w:hAnsi="Bookman Old Style"/>
          <w:sz w:val="24"/>
          <w:szCs w:val="24"/>
        </w:rPr>
        <w:t xml:space="preserve"> </w:t>
      </w:r>
      <w:r w:rsidRPr="00BF3751">
        <w:rPr>
          <w:rFonts w:ascii="Bookman Old Style" w:hAnsi="Bookman Old Style"/>
          <w:sz w:val="24"/>
          <w:szCs w:val="24"/>
        </w:rPr>
        <w:t>tahun</w:t>
      </w:r>
      <w:r w:rsidR="00A954D0">
        <w:rPr>
          <w:rFonts w:ascii="Bookman Old Style" w:hAnsi="Bookman Old Style"/>
          <w:sz w:val="24"/>
          <w:szCs w:val="24"/>
        </w:rPr>
        <w:t xml:space="preserve"> </w:t>
      </w:r>
      <w:r w:rsidRPr="00BF3751">
        <w:rPr>
          <w:rFonts w:ascii="Bookman Old Style" w:hAnsi="Bookman Old Style"/>
          <w:sz w:val="24"/>
          <w:szCs w:val="24"/>
        </w:rPr>
        <w:t>anggaran.</w:t>
      </w:r>
      <w:r w:rsidR="00A954D0">
        <w:rPr>
          <w:rFonts w:ascii="Bookman Old Style" w:hAnsi="Bookman Old Style"/>
          <w:sz w:val="24"/>
          <w:szCs w:val="24"/>
        </w:rPr>
        <w:t xml:space="preserve"> </w:t>
      </w:r>
    </w:p>
    <w:p w14:paraId="49BB214C" w14:textId="1A4E7459" w:rsidR="003374DF" w:rsidRPr="00BF3751" w:rsidRDefault="003374DF" w:rsidP="00CA027E">
      <w:pPr>
        <w:spacing w:before="60" w:line="276" w:lineRule="auto"/>
        <w:ind w:left="993"/>
        <w:jc w:val="both"/>
        <w:rPr>
          <w:rFonts w:ascii="Bookman Old Style" w:hAnsi="Bookman Old Style"/>
          <w:lang w:val="id-ID"/>
        </w:rPr>
      </w:pPr>
      <w:r w:rsidRPr="00BF3751">
        <w:rPr>
          <w:rFonts w:ascii="Bookman Old Style" w:hAnsi="Bookman Old Style"/>
          <w:lang w:val="id-ID"/>
        </w:rPr>
        <w:t>Selanjutnya,</w:t>
      </w:r>
      <w:r w:rsidR="00A954D0">
        <w:rPr>
          <w:rFonts w:ascii="Bookman Old Style" w:hAnsi="Bookman Old Style"/>
          <w:lang w:val="id-ID"/>
        </w:rPr>
        <w:t xml:space="preserve"> </w:t>
      </w:r>
      <w:r w:rsidRPr="00BF3751">
        <w:rPr>
          <w:rFonts w:ascii="Bookman Old Style" w:hAnsi="Bookman Old Style"/>
          <w:lang w:val="id-ID"/>
        </w:rPr>
        <w:t>penganggaran</w:t>
      </w:r>
      <w:r w:rsidR="00A954D0">
        <w:rPr>
          <w:rFonts w:ascii="Bookman Old Style" w:hAnsi="Bookman Old Style"/>
          <w:lang w:val="id-ID"/>
        </w:rPr>
        <w:t xml:space="preserve"> </w:t>
      </w:r>
      <w:r w:rsidRPr="00BF3751">
        <w:rPr>
          <w:rFonts w:ascii="Bookman Old Style" w:hAnsi="Bookman Old Style"/>
          <w:lang w:val="id-ID"/>
        </w:rPr>
        <w:t>kegiatan</w:t>
      </w:r>
      <w:r w:rsidR="00A954D0">
        <w:rPr>
          <w:rFonts w:ascii="Bookman Old Style" w:hAnsi="Bookman Old Style"/>
          <w:lang w:val="id-ID"/>
        </w:rPr>
        <w:t xml:space="preserve"> </w:t>
      </w:r>
      <w:r w:rsidRPr="00BF3751">
        <w:rPr>
          <w:rFonts w:ascii="Bookman Old Style" w:hAnsi="Bookman Old Style"/>
          <w:lang w:val="id-ID"/>
        </w:rPr>
        <w:t>tahun</w:t>
      </w:r>
      <w:r w:rsidR="00A954D0">
        <w:rPr>
          <w:rFonts w:ascii="Bookman Old Style" w:hAnsi="Bookman Old Style"/>
          <w:lang w:val="id-ID"/>
        </w:rPr>
        <w:t xml:space="preserve"> </w:t>
      </w:r>
      <w:r w:rsidRPr="00BF3751">
        <w:rPr>
          <w:rFonts w:ascii="Bookman Old Style" w:hAnsi="Bookman Old Style"/>
          <w:lang w:val="id-ID"/>
        </w:rPr>
        <w:t>jamak</w:t>
      </w:r>
      <w:r w:rsidR="00A954D0">
        <w:rPr>
          <w:rFonts w:ascii="Bookman Old Style" w:hAnsi="Bookman Old Style"/>
          <w:lang w:val="id-ID"/>
        </w:rPr>
        <w:t xml:space="preserve"> </w:t>
      </w:r>
      <w:r w:rsidRPr="00BF3751">
        <w:rPr>
          <w:rFonts w:ascii="Bookman Old Style" w:hAnsi="Bookman Old Style"/>
          <w:lang w:val="id-ID"/>
        </w:rPr>
        <w:t>berdasarkan</w:t>
      </w:r>
      <w:r w:rsidR="00A954D0">
        <w:rPr>
          <w:rFonts w:ascii="Bookman Old Style" w:hAnsi="Bookman Old Style"/>
          <w:lang w:val="id-ID"/>
        </w:rPr>
        <w:t xml:space="preserve"> </w:t>
      </w:r>
      <w:r w:rsidRPr="00BF3751">
        <w:rPr>
          <w:rFonts w:ascii="Bookman Old Style" w:hAnsi="Bookman Old Style"/>
          <w:lang w:val="id-ID"/>
        </w:rPr>
        <w:t>atas</w:t>
      </w:r>
      <w:r w:rsidR="00A954D0">
        <w:rPr>
          <w:rFonts w:ascii="Bookman Old Style" w:hAnsi="Bookman Old Style"/>
          <w:lang w:val="id-ID"/>
        </w:rPr>
        <w:t xml:space="preserve"> </w:t>
      </w:r>
      <w:r w:rsidRPr="00BF3751">
        <w:rPr>
          <w:rFonts w:ascii="Bookman Old Style" w:hAnsi="Bookman Old Style"/>
          <w:lang w:val="id-ID"/>
        </w:rPr>
        <w:t>persetujuan</w:t>
      </w:r>
      <w:r w:rsidR="00A954D0">
        <w:rPr>
          <w:rFonts w:ascii="Bookman Old Style" w:hAnsi="Bookman Old Style"/>
          <w:lang w:val="id-ID"/>
        </w:rPr>
        <w:t xml:space="preserve"> </w:t>
      </w:r>
      <w:r w:rsidRPr="00BF3751">
        <w:rPr>
          <w:rFonts w:ascii="Bookman Old Style" w:hAnsi="Bookman Old Style"/>
          <w:lang w:val="id-ID"/>
        </w:rPr>
        <w:t>bersama</w:t>
      </w:r>
      <w:r w:rsidR="00A954D0">
        <w:rPr>
          <w:rFonts w:ascii="Bookman Old Style" w:hAnsi="Bookman Old Style"/>
          <w:lang w:val="id-ID"/>
        </w:rPr>
        <w:t xml:space="preserve"> </w:t>
      </w:r>
      <w:r w:rsidRPr="00BF3751">
        <w:rPr>
          <w:rFonts w:ascii="Bookman Old Style" w:hAnsi="Bookman Old Style"/>
          <w:lang w:val="id-ID"/>
        </w:rPr>
        <w:t>antara</w:t>
      </w:r>
      <w:r w:rsidR="00A954D0">
        <w:rPr>
          <w:rFonts w:ascii="Bookman Old Style" w:hAnsi="Bookman Old Style"/>
          <w:lang w:val="id-ID"/>
        </w:rPr>
        <w:t xml:space="preserve"> </w:t>
      </w:r>
      <w:r w:rsidRPr="00BF3751">
        <w:rPr>
          <w:rFonts w:ascii="Bookman Old Style" w:hAnsi="Bookman Old Style"/>
          <w:lang w:val="id-ID"/>
        </w:rPr>
        <w:t>Kepala</w:t>
      </w:r>
      <w:r w:rsidR="00A954D0">
        <w:rPr>
          <w:rFonts w:ascii="Bookman Old Style" w:hAnsi="Bookman Old Style"/>
          <w:lang w:val="id-ID"/>
        </w:rPr>
        <w:t xml:space="preserve"> </w:t>
      </w:r>
      <w:r w:rsidRPr="00BF3751">
        <w:rPr>
          <w:rFonts w:ascii="Bookman Old Style" w:hAnsi="Bookman Old Style"/>
          <w:lang w:val="id-ID"/>
        </w:rPr>
        <w:t>Daerah</w:t>
      </w:r>
      <w:r w:rsidR="00A954D0">
        <w:rPr>
          <w:rFonts w:ascii="Bookman Old Style" w:hAnsi="Bookman Old Style"/>
          <w:lang w:val="id-ID"/>
        </w:rPr>
        <w:t xml:space="preserve"> </w:t>
      </w:r>
      <w:r w:rsidRPr="00BF3751">
        <w:rPr>
          <w:rFonts w:ascii="Bookman Old Style" w:hAnsi="Bookman Old Style"/>
          <w:lang w:val="id-ID"/>
        </w:rPr>
        <w:t>dan</w:t>
      </w:r>
      <w:r w:rsidR="00A954D0">
        <w:rPr>
          <w:rFonts w:ascii="Bookman Old Style" w:hAnsi="Bookman Old Style"/>
          <w:lang w:val="id-ID"/>
        </w:rPr>
        <w:t xml:space="preserve"> </w:t>
      </w:r>
      <w:r w:rsidRPr="00BF3751">
        <w:rPr>
          <w:rFonts w:ascii="Bookman Old Style" w:hAnsi="Bookman Old Style"/>
          <w:lang w:val="id-ID"/>
        </w:rPr>
        <w:t>DPRD</w:t>
      </w:r>
      <w:r w:rsidR="00A954D0">
        <w:rPr>
          <w:rFonts w:ascii="Bookman Old Style" w:hAnsi="Bookman Old Style"/>
          <w:lang w:val="id-ID"/>
        </w:rPr>
        <w:t xml:space="preserve"> </w:t>
      </w:r>
      <w:r w:rsidRPr="00BF3751">
        <w:rPr>
          <w:rFonts w:ascii="Bookman Old Style" w:hAnsi="Bookman Old Style"/>
          <w:lang w:val="id-ID"/>
        </w:rPr>
        <w:t>yang</w:t>
      </w:r>
      <w:r w:rsidR="00A954D0">
        <w:rPr>
          <w:rFonts w:ascii="Bookman Old Style" w:hAnsi="Bookman Old Style"/>
          <w:lang w:val="id-ID"/>
        </w:rPr>
        <w:t xml:space="preserve"> </w:t>
      </w:r>
      <w:r w:rsidRPr="00BF3751">
        <w:rPr>
          <w:rFonts w:ascii="Bookman Old Style" w:hAnsi="Bookman Old Style"/>
          <w:lang w:val="id-ID"/>
        </w:rPr>
        <w:t>ditandatangani</w:t>
      </w:r>
      <w:r w:rsidR="00A954D0">
        <w:rPr>
          <w:rFonts w:ascii="Bookman Old Style" w:hAnsi="Bookman Old Style"/>
          <w:lang w:val="id-ID"/>
        </w:rPr>
        <w:t xml:space="preserve"> </w:t>
      </w:r>
      <w:r w:rsidRPr="00BF3751">
        <w:rPr>
          <w:rFonts w:ascii="Bookman Old Style" w:hAnsi="Bookman Old Style"/>
          <w:lang w:val="id-ID"/>
        </w:rPr>
        <w:t>bersamaan</w:t>
      </w:r>
      <w:r w:rsidR="00A954D0">
        <w:rPr>
          <w:rFonts w:ascii="Bookman Old Style" w:hAnsi="Bookman Old Style"/>
          <w:lang w:val="id-ID"/>
        </w:rPr>
        <w:t xml:space="preserve"> </w:t>
      </w:r>
      <w:r w:rsidRPr="00BF3751">
        <w:rPr>
          <w:rFonts w:ascii="Bookman Old Style" w:hAnsi="Bookman Old Style"/>
          <w:lang w:val="id-ID"/>
        </w:rPr>
        <w:t>dengan</w:t>
      </w:r>
      <w:r w:rsidR="00A954D0">
        <w:rPr>
          <w:rFonts w:ascii="Bookman Old Style" w:hAnsi="Bookman Old Style"/>
          <w:lang w:val="id-ID"/>
        </w:rPr>
        <w:t xml:space="preserve"> </w:t>
      </w:r>
      <w:r w:rsidRPr="00BF3751">
        <w:rPr>
          <w:rFonts w:ascii="Bookman Old Style" w:hAnsi="Bookman Old Style"/>
          <w:lang w:val="id-ID"/>
        </w:rPr>
        <w:t>penandatanganan</w:t>
      </w:r>
      <w:r w:rsidR="00A954D0">
        <w:rPr>
          <w:rFonts w:ascii="Bookman Old Style" w:hAnsi="Bookman Old Style"/>
          <w:lang w:val="id-ID"/>
        </w:rPr>
        <w:t xml:space="preserve"> </w:t>
      </w:r>
      <w:r w:rsidRPr="00BF3751">
        <w:rPr>
          <w:rFonts w:ascii="Bookman Old Style" w:hAnsi="Bookman Old Style"/>
          <w:lang w:val="id-ID"/>
        </w:rPr>
        <w:t>KUA</w:t>
      </w:r>
      <w:r w:rsidR="00A954D0">
        <w:rPr>
          <w:rFonts w:ascii="Bookman Old Style" w:hAnsi="Bookman Old Style"/>
          <w:lang w:val="id-ID"/>
        </w:rPr>
        <w:t xml:space="preserve"> </w:t>
      </w:r>
      <w:r w:rsidRPr="00BF3751">
        <w:rPr>
          <w:rFonts w:ascii="Bookman Old Style" w:hAnsi="Bookman Old Style"/>
          <w:lang w:val="id-ID"/>
        </w:rPr>
        <w:t>dan</w:t>
      </w:r>
      <w:r w:rsidR="00A954D0">
        <w:rPr>
          <w:rFonts w:ascii="Bookman Old Style" w:hAnsi="Bookman Old Style"/>
          <w:lang w:val="id-ID"/>
        </w:rPr>
        <w:t xml:space="preserve"> </w:t>
      </w:r>
      <w:r w:rsidRPr="00BF3751">
        <w:rPr>
          <w:rFonts w:ascii="Bookman Old Style" w:hAnsi="Bookman Old Style"/>
          <w:lang w:val="id-ID"/>
        </w:rPr>
        <w:t>PPAS,</w:t>
      </w:r>
      <w:r w:rsidR="00A954D0">
        <w:rPr>
          <w:rFonts w:ascii="Bookman Old Style" w:hAnsi="Bookman Old Style"/>
          <w:lang w:val="id-ID"/>
        </w:rPr>
        <w:t xml:space="preserve"> </w:t>
      </w:r>
      <w:r w:rsidRPr="00BF3751">
        <w:rPr>
          <w:rFonts w:ascii="Bookman Old Style" w:hAnsi="Bookman Old Style"/>
          <w:lang w:val="id-ID"/>
        </w:rPr>
        <w:t>serta</w:t>
      </w:r>
      <w:r w:rsidR="00A954D0">
        <w:rPr>
          <w:rFonts w:ascii="Bookman Old Style" w:hAnsi="Bookman Old Style"/>
          <w:lang w:val="id-ID"/>
        </w:rPr>
        <w:t xml:space="preserve"> </w:t>
      </w:r>
      <w:r w:rsidRPr="00BF3751">
        <w:rPr>
          <w:rFonts w:ascii="Bookman Old Style" w:hAnsi="Bookman Old Style"/>
          <w:lang w:val="id-ID"/>
        </w:rPr>
        <w:t>paling</w:t>
      </w:r>
      <w:r w:rsidR="00A954D0">
        <w:rPr>
          <w:rFonts w:ascii="Bookman Old Style" w:hAnsi="Bookman Old Style"/>
          <w:lang w:val="id-ID"/>
        </w:rPr>
        <w:t xml:space="preserve"> </w:t>
      </w:r>
      <w:r w:rsidRPr="00BF3751">
        <w:rPr>
          <w:rFonts w:ascii="Bookman Old Style" w:hAnsi="Bookman Old Style"/>
          <w:lang w:val="id-ID"/>
        </w:rPr>
        <w:t>sedikit</w:t>
      </w:r>
      <w:r w:rsidR="00A954D0">
        <w:rPr>
          <w:rFonts w:ascii="Bookman Old Style" w:hAnsi="Bookman Old Style"/>
          <w:lang w:val="id-ID"/>
        </w:rPr>
        <w:t xml:space="preserve"> </w:t>
      </w:r>
      <w:r w:rsidRPr="00BF3751">
        <w:rPr>
          <w:rFonts w:ascii="Bookman Old Style" w:hAnsi="Bookman Old Style"/>
          <w:lang w:val="id-ID"/>
        </w:rPr>
        <w:t>memuat:</w:t>
      </w:r>
      <w:r w:rsidR="00A954D0">
        <w:rPr>
          <w:rFonts w:ascii="Bookman Old Style" w:hAnsi="Bookman Old Style"/>
          <w:lang w:val="id-ID"/>
        </w:rPr>
        <w:t xml:space="preserve"> </w:t>
      </w:r>
    </w:p>
    <w:p w14:paraId="2AF94278" w14:textId="72C0B283" w:rsidR="003374DF" w:rsidRPr="00BF3751" w:rsidRDefault="003374DF" w:rsidP="00CA027E">
      <w:pPr>
        <w:pStyle w:val="ListParagraph"/>
        <w:numPr>
          <w:ilvl w:val="0"/>
          <w:numId w:val="45"/>
        </w:numPr>
        <w:spacing w:before="60" w:after="0" w:line="276" w:lineRule="auto"/>
        <w:ind w:left="1276" w:hanging="283"/>
        <w:contextualSpacing w:val="0"/>
        <w:jc w:val="both"/>
        <w:rPr>
          <w:rFonts w:ascii="Bookman Old Style" w:hAnsi="Bookman Old Style"/>
          <w:sz w:val="24"/>
          <w:szCs w:val="24"/>
          <w:lang w:val="id-ID"/>
        </w:rPr>
      </w:pPr>
      <w:r w:rsidRPr="00BF3751">
        <w:rPr>
          <w:rFonts w:ascii="Bookman Old Style" w:hAnsi="Bookman Old Style"/>
          <w:sz w:val="24"/>
          <w:szCs w:val="24"/>
          <w:lang w:val="en-US"/>
        </w:rPr>
        <w:t>nama</w:t>
      </w:r>
      <w:r w:rsidR="00A954D0">
        <w:rPr>
          <w:rFonts w:ascii="Bookman Old Style" w:hAnsi="Bookman Old Style"/>
          <w:sz w:val="24"/>
          <w:szCs w:val="24"/>
          <w:lang w:val="en-US"/>
        </w:rPr>
        <w:t xml:space="preserve"> </w:t>
      </w:r>
      <w:r w:rsidRPr="00BF3751">
        <w:rPr>
          <w:rFonts w:ascii="Bookman Old Style" w:hAnsi="Bookman Old Style"/>
          <w:sz w:val="24"/>
          <w:szCs w:val="24"/>
          <w:lang w:val="en-US"/>
        </w:rPr>
        <w:t>kegiatan;</w:t>
      </w:r>
    </w:p>
    <w:p w14:paraId="3777B19D" w14:textId="3C8AE99C" w:rsidR="003374DF" w:rsidRPr="00BF3751" w:rsidRDefault="003374DF" w:rsidP="00CA027E">
      <w:pPr>
        <w:pStyle w:val="ListParagraph"/>
        <w:numPr>
          <w:ilvl w:val="0"/>
          <w:numId w:val="45"/>
        </w:numPr>
        <w:spacing w:before="60" w:after="0" w:line="276" w:lineRule="auto"/>
        <w:ind w:left="1276" w:hanging="283"/>
        <w:contextualSpacing w:val="0"/>
        <w:jc w:val="both"/>
        <w:rPr>
          <w:rFonts w:ascii="Bookman Old Style" w:hAnsi="Bookman Old Style"/>
          <w:sz w:val="24"/>
          <w:szCs w:val="24"/>
          <w:lang w:val="id-ID"/>
        </w:rPr>
      </w:pPr>
      <w:r w:rsidRPr="00BF3751">
        <w:rPr>
          <w:rFonts w:ascii="Bookman Old Style" w:hAnsi="Bookman Old Style"/>
          <w:sz w:val="24"/>
          <w:szCs w:val="24"/>
          <w:lang w:val="id-ID"/>
        </w:rPr>
        <w:t>jangka</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waktu</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pelaksanaan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kegiatan;</w:t>
      </w:r>
      <w:r w:rsidR="00A954D0">
        <w:rPr>
          <w:rFonts w:ascii="Bookman Old Style" w:hAnsi="Bookman Old Style"/>
          <w:sz w:val="24"/>
          <w:szCs w:val="24"/>
          <w:lang w:val="id-ID"/>
        </w:rPr>
        <w:t xml:space="preserve"> </w:t>
      </w:r>
    </w:p>
    <w:p w14:paraId="05E59A79" w14:textId="420765CE" w:rsidR="003374DF" w:rsidRPr="00BF3751" w:rsidRDefault="003374DF" w:rsidP="00CA027E">
      <w:pPr>
        <w:pStyle w:val="ListParagraph"/>
        <w:numPr>
          <w:ilvl w:val="0"/>
          <w:numId w:val="45"/>
        </w:numPr>
        <w:spacing w:before="60" w:after="0" w:line="276" w:lineRule="auto"/>
        <w:ind w:left="1276" w:hanging="283"/>
        <w:contextualSpacing w:val="0"/>
        <w:jc w:val="both"/>
        <w:rPr>
          <w:rFonts w:ascii="Bookman Old Style" w:hAnsi="Bookman Old Style"/>
          <w:sz w:val="24"/>
          <w:szCs w:val="24"/>
          <w:lang w:val="id-ID"/>
        </w:rPr>
      </w:pPr>
      <w:r w:rsidRPr="00BF3751">
        <w:rPr>
          <w:rFonts w:ascii="Bookman Old Style" w:hAnsi="Bookman Old Style"/>
          <w:sz w:val="24"/>
          <w:szCs w:val="24"/>
          <w:lang w:val="en-US"/>
        </w:rPr>
        <w:t>jumlah</w:t>
      </w:r>
      <w:r w:rsidR="00A954D0">
        <w:rPr>
          <w:rFonts w:ascii="Bookman Old Style" w:hAnsi="Bookman Old Style"/>
          <w:sz w:val="24"/>
          <w:szCs w:val="24"/>
          <w:lang w:val="en-US"/>
        </w:rPr>
        <w:t xml:space="preserve"> </w:t>
      </w:r>
      <w:r w:rsidRPr="00BF3751">
        <w:rPr>
          <w:rFonts w:ascii="Bookman Old Style" w:hAnsi="Bookman Old Style"/>
          <w:sz w:val="24"/>
          <w:szCs w:val="24"/>
          <w:lang w:val="en-US"/>
        </w:rPr>
        <w:t>anggaran;</w:t>
      </w:r>
      <w:r w:rsidR="00A954D0">
        <w:rPr>
          <w:rFonts w:ascii="Bookman Old Style" w:hAnsi="Bookman Old Style"/>
          <w:sz w:val="24"/>
          <w:szCs w:val="24"/>
          <w:lang w:val="en-US"/>
        </w:rPr>
        <w:t xml:space="preserve"> </w:t>
      </w:r>
      <w:r w:rsidRPr="00BF3751">
        <w:rPr>
          <w:rFonts w:ascii="Bookman Old Style" w:hAnsi="Bookman Old Style"/>
          <w:sz w:val="24"/>
          <w:szCs w:val="24"/>
          <w:lang w:val="en-US"/>
        </w:rPr>
        <w:t>dan</w:t>
      </w:r>
    </w:p>
    <w:p w14:paraId="5463BD8B" w14:textId="7BC7E084" w:rsidR="003374DF" w:rsidRPr="00BF3751" w:rsidRDefault="003374DF" w:rsidP="00CA027E">
      <w:pPr>
        <w:pStyle w:val="ListParagraph"/>
        <w:numPr>
          <w:ilvl w:val="0"/>
          <w:numId w:val="45"/>
        </w:numPr>
        <w:spacing w:before="60" w:after="0" w:line="276" w:lineRule="auto"/>
        <w:ind w:left="1276" w:hanging="283"/>
        <w:contextualSpacing w:val="0"/>
        <w:jc w:val="both"/>
        <w:rPr>
          <w:rFonts w:ascii="Bookman Old Style" w:hAnsi="Bookman Old Style"/>
          <w:sz w:val="24"/>
          <w:szCs w:val="24"/>
          <w:lang w:val="id-ID"/>
        </w:rPr>
      </w:pPr>
      <w:r w:rsidRPr="00BF3751">
        <w:rPr>
          <w:rFonts w:ascii="Bookman Old Style" w:hAnsi="Bookman Old Style"/>
          <w:sz w:val="24"/>
          <w:szCs w:val="24"/>
          <w:lang w:val="id-ID"/>
        </w:rPr>
        <w:t>alokasi</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anggaran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per</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tahun.</w:t>
      </w:r>
      <w:r w:rsidR="00A954D0">
        <w:rPr>
          <w:rFonts w:ascii="Bookman Old Style" w:hAnsi="Bookman Old Style"/>
          <w:sz w:val="24"/>
          <w:szCs w:val="24"/>
          <w:lang w:val="id-ID"/>
        </w:rPr>
        <w:t xml:space="preserve"> </w:t>
      </w:r>
    </w:p>
    <w:p w14:paraId="116B5012" w14:textId="2FDF528E" w:rsidR="003374DF" w:rsidRPr="00BF3751" w:rsidRDefault="003374DF" w:rsidP="00CA027E">
      <w:pPr>
        <w:spacing w:before="60" w:line="276" w:lineRule="auto"/>
        <w:ind w:left="993"/>
        <w:jc w:val="both"/>
        <w:rPr>
          <w:rFonts w:ascii="Bookman Old Style" w:hAnsi="Bookman Old Style"/>
          <w:lang w:val="id-ID"/>
        </w:rPr>
      </w:pPr>
      <w:r w:rsidRPr="00BF3751">
        <w:rPr>
          <w:rFonts w:ascii="Bookman Old Style" w:hAnsi="Bookman Old Style"/>
          <w:lang w:val="id-ID"/>
        </w:rPr>
        <w:t>Jangka</w:t>
      </w:r>
      <w:r w:rsidR="00A954D0">
        <w:rPr>
          <w:rFonts w:ascii="Bookman Old Style" w:hAnsi="Bookman Old Style"/>
          <w:lang w:val="id-ID"/>
        </w:rPr>
        <w:t xml:space="preserve"> </w:t>
      </w:r>
      <w:r w:rsidRPr="00BF3751">
        <w:rPr>
          <w:rFonts w:ascii="Bookman Old Style" w:hAnsi="Bookman Old Style"/>
          <w:lang w:val="id-ID"/>
        </w:rPr>
        <w:t>waktu</w:t>
      </w:r>
      <w:r w:rsidR="00A954D0">
        <w:rPr>
          <w:rFonts w:ascii="Bookman Old Style" w:hAnsi="Bookman Old Style"/>
          <w:lang w:val="id-ID"/>
        </w:rPr>
        <w:t xml:space="preserve"> </w:t>
      </w:r>
      <w:r w:rsidRPr="00BF3751">
        <w:rPr>
          <w:rFonts w:ascii="Bookman Old Style" w:hAnsi="Bookman Old Style"/>
          <w:lang w:val="id-ID"/>
        </w:rPr>
        <w:t>penganggaran</w:t>
      </w:r>
      <w:r w:rsidR="00A954D0">
        <w:rPr>
          <w:rFonts w:ascii="Bookman Old Style" w:hAnsi="Bookman Old Style"/>
          <w:lang w:val="id-ID"/>
        </w:rPr>
        <w:t xml:space="preserve"> </w:t>
      </w:r>
      <w:r w:rsidRPr="00BF3751">
        <w:rPr>
          <w:rFonts w:ascii="Bookman Old Style" w:hAnsi="Bookman Old Style"/>
          <w:lang w:val="id-ID"/>
        </w:rPr>
        <w:t>pelaksanaan</w:t>
      </w:r>
      <w:r w:rsidR="00A954D0">
        <w:rPr>
          <w:rFonts w:ascii="Bookman Old Style" w:hAnsi="Bookman Old Style"/>
          <w:lang w:val="id-ID"/>
        </w:rPr>
        <w:t xml:space="preserve"> </w:t>
      </w:r>
      <w:r w:rsidRPr="00BF3751">
        <w:rPr>
          <w:rFonts w:ascii="Bookman Old Style" w:hAnsi="Bookman Old Style"/>
          <w:lang w:val="id-ID"/>
        </w:rPr>
        <w:t>kegiatan</w:t>
      </w:r>
      <w:r w:rsidR="00A954D0">
        <w:rPr>
          <w:rFonts w:ascii="Bookman Old Style" w:hAnsi="Bookman Old Style"/>
          <w:lang w:val="id-ID"/>
        </w:rPr>
        <w:t xml:space="preserve"> </w:t>
      </w:r>
      <w:r w:rsidRPr="00BF3751">
        <w:rPr>
          <w:rFonts w:ascii="Bookman Old Style" w:hAnsi="Bookman Old Style"/>
          <w:lang w:val="id-ID"/>
        </w:rPr>
        <w:t>tahun</w:t>
      </w:r>
      <w:r w:rsidR="00A954D0">
        <w:rPr>
          <w:rFonts w:ascii="Bookman Old Style" w:hAnsi="Bookman Old Style"/>
          <w:lang w:val="id-ID"/>
        </w:rPr>
        <w:t xml:space="preserve"> </w:t>
      </w:r>
      <w:r w:rsidRPr="00BF3751">
        <w:rPr>
          <w:rFonts w:ascii="Bookman Old Style" w:hAnsi="Bookman Old Style"/>
          <w:lang w:val="id-ID"/>
        </w:rPr>
        <w:t>jamak</w:t>
      </w:r>
      <w:r w:rsidR="00A954D0">
        <w:rPr>
          <w:rFonts w:ascii="Bookman Old Style" w:hAnsi="Bookman Old Style"/>
          <w:lang w:val="id-ID"/>
        </w:rPr>
        <w:t xml:space="preserve"> </w:t>
      </w:r>
      <w:r w:rsidRPr="00BF3751">
        <w:rPr>
          <w:rFonts w:ascii="Bookman Old Style" w:hAnsi="Bookman Old Style"/>
          <w:lang w:val="id-ID"/>
        </w:rPr>
        <w:t>tidak</w:t>
      </w:r>
      <w:r w:rsidR="00A954D0">
        <w:rPr>
          <w:rFonts w:ascii="Bookman Old Style" w:hAnsi="Bookman Old Style"/>
          <w:lang w:val="id-ID"/>
        </w:rPr>
        <w:t xml:space="preserve"> </w:t>
      </w:r>
      <w:r w:rsidRPr="00BF3751">
        <w:rPr>
          <w:rFonts w:ascii="Bookman Old Style" w:hAnsi="Bookman Old Style"/>
          <w:lang w:val="id-ID"/>
        </w:rPr>
        <w:t>melampaui</w:t>
      </w:r>
      <w:r w:rsidR="00A954D0">
        <w:rPr>
          <w:rFonts w:ascii="Bookman Old Style" w:hAnsi="Bookman Old Style"/>
          <w:lang w:val="id-ID"/>
        </w:rPr>
        <w:t xml:space="preserve"> </w:t>
      </w:r>
      <w:r w:rsidRPr="00BF3751">
        <w:rPr>
          <w:rFonts w:ascii="Bookman Old Style" w:hAnsi="Bookman Old Style"/>
          <w:lang w:val="id-ID"/>
        </w:rPr>
        <w:t>akhir</w:t>
      </w:r>
      <w:r w:rsidR="00A954D0">
        <w:rPr>
          <w:rFonts w:ascii="Bookman Old Style" w:hAnsi="Bookman Old Style"/>
          <w:lang w:val="id-ID"/>
        </w:rPr>
        <w:t xml:space="preserve"> </w:t>
      </w:r>
      <w:r w:rsidRPr="00BF3751">
        <w:rPr>
          <w:rFonts w:ascii="Bookman Old Style" w:hAnsi="Bookman Old Style"/>
          <w:lang w:val="id-ID"/>
        </w:rPr>
        <w:t>tahun</w:t>
      </w:r>
      <w:r w:rsidR="00A954D0">
        <w:rPr>
          <w:rFonts w:ascii="Bookman Old Style" w:hAnsi="Bookman Old Style"/>
          <w:lang w:val="id-ID"/>
        </w:rPr>
        <w:t xml:space="preserve"> </w:t>
      </w:r>
      <w:r w:rsidRPr="00BF3751">
        <w:rPr>
          <w:rFonts w:ascii="Bookman Old Style" w:hAnsi="Bookman Old Style"/>
          <w:lang w:val="id-ID"/>
        </w:rPr>
        <w:t>masa</w:t>
      </w:r>
      <w:r w:rsidR="00A954D0">
        <w:rPr>
          <w:rFonts w:ascii="Bookman Old Style" w:hAnsi="Bookman Old Style"/>
          <w:lang w:val="id-ID"/>
        </w:rPr>
        <w:t xml:space="preserve"> </w:t>
      </w:r>
      <w:r w:rsidRPr="00BF3751">
        <w:rPr>
          <w:rFonts w:ascii="Bookman Old Style" w:hAnsi="Bookman Old Style"/>
          <w:lang w:val="id-ID"/>
        </w:rPr>
        <w:t>jabatan</w:t>
      </w:r>
      <w:r w:rsidR="00A954D0">
        <w:rPr>
          <w:rFonts w:ascii="Bookman Old Style" w:hAnsi="Bookman Old Style"/>
          <w:lang w:val="id-ID"/>
        </w:rPr>
        <w:t xml:space="preserve"> </w:t>
      </w:r>
      <w:r w:rsidRPr="00BF3751">
        <w:rPr>
          <w:rFonts w:ascii="Bookman Old Style" w:hAnsi="Bookman Old Style"/>
          <w:lang w:val="id-ID"/>
        </w:rPr>
        <w:t>kepala</w:t>
      </w:r>
      <w:r w:rsidR="00A954D0">
        <w:rPr>
          <w:rFonts w:ascii="Bookman Old Style" w:hAnsi="Bookman Old Style"/>
          <w:lang w:val="id-ID"/>
        </w:rPr>
        <w:t xml:space="preserve"> </w:t>
      </w:r>
      <w:r w:rsidRPr="00BF3751">
        <w:rPr>
          <w:rFonts w:ascii="Bookman Old Style" w:hAnsi="Bookman Old Style"/>
          <w:lang w:val="id-ID"/>
        </w:rPr>
        <w:t>daerah</w:t>
      </w:r>
      <w:r w:rsidR="00A954D0">
        <w:rPr>
          <w:rFonts w:ascii="Bookman Old Style" w:hAnsi="Bookman Old Style"/>
          <w:lang w:val="id-ID"/>
        </w:rPr>
        <w:t xml:space="preserve"> </w:t>
      </w:r>
      <w:r w:rsidRPr="00BF3751">
        <w:rPr>
          <w:rFonts w:ascii="Bookman Old Style" w:hAnsi="Bookman Old Style"/>
          <w:lang w:val="id-ID"/>
        </w:rPr>
        <w:t>berakhir,</w:t>
      </w:r>
      <w:r w:rsidR="00A954D0">
        <w:rPr>
          <w:rFonts w:ascii="Bookman Old Style" w:hAnsi="Bookman Old Style"/>
          <w:lang w:val="id-ID"/>
        </w:rPr>
        <w:t xml:space="preserve"> </w:t>
      </w:r>
      <w:r w:rsidRPr="00BF3751">
        <w:rPr>
          <w:rFonts w:ascii="Bookman Old Style" w:hAnsi="Bookman Old Style"/>
          <w:lang w:val="id-ID"/>
        </w:rPr>
        <w:t>kecuali</w:t>
      </w:r>
      <w:r w:rsidR="00A954D0">
        <w:rPr>
          <w:rFonts w:ascii="Bookman Old Style" w:hAnsi="Bookman Old Style"/>
          <w:lang w:val="id-ID"/>
        </w:rPr>
        <w:t xml:space="preserve"> </w:t>
      </w:r>
      <w:r w:rsidRPr="00BF3751">
        <w:rPr>
          <w:rFonts w:ascii="Bookman Old Style" w:hAnsi="Bookman Old Style"/>
          <w:lang w:val="id-ID"/>
        </w:rPr>
        <w:t>kegiatan</w:t>
      </w:r>
      <w:r w:rsidR="00A954D0">
        <w:rPr>
          <w:rFonts w:ascii="Bookman Old Style" w:hAnsi="Bookman Old Style"/>
          <w:lang w:val="id-ID"/>
        </w:rPr>
        <w:t xml:space="preserve"> </w:t>
      </w:r>
      <w:r w:rsidRPr="00BF3751">
        <w:rPr>
          <w:rFonts w:ascii="Bookman Old Style" w:hAnsi="Bookman Old Style"/>
          <w:lang w:val="id-ID"/>
        </w:rPr>
        <w:t>tahun</w:t>
      </w:r>
      <w:r w:rsidR="00A954D0">
        <w:rPr>
          <w:rFonts w:ascii="Bookman Old Style" w:hAnsi="Bookman Old Style"/>
          <w:lang w:val="id-ID"/>
        </w:rPr>
        <w:t xml:space="preserve"> </w:t>
      </w:r>
      <w:r w:rsidRPr="00BF3751">
        <w:rPr>
          <w:rFonts w:ascii="Bookman Old Style" w:hAnsi="Bookman Old Style"/>
          <w:lang w:val="id-ID"/>
        </w:rPr>
        <w:t>jamak</w:t>
      </w:r>
      <w:r w:rsidR="00A954D0">
        <w:rPr>
          <w:rFonts w:ascii="Bookman Old Style" w:hAnsi="Bookman Old Style"/>
          <w:lang w:val="id-ID"/>
        </w:rPr>
        <w:t xml:space="preserve"> </w:t>
      </w:r>
      <w:r w:rsidRPr="00BF3751">
        <w:rPr>
          <w:rFonts w:ascii="Bookman Old Style" w:hAnsi="Bookman Old Style"/>
          <w:lang w:val="id-ID"/>
        </w:rPr>
        <w:t>dimaksud</w:t>
      </w:r>
      <w:r w:rsidR="00A954D0">
        <w:rPr>
          <w:rFonts w:ascii="Bookman Old Style" w:hAnsi="Bookman Old Style"/>
          <w:lang w:val="id-ID"/>
        </w:rPr>
        <w:t xml:space="preserve"> </w:t>
      </w:r>
      <w:r w:rsidRPr="00BF3751">
        <w:rPr>
          <w:rFonts w:ascii="Bookman Old Style" w:hAnsi="Bookman Old Style"/>
          <w:lang w:val="id-ID"/>
        </w:rPr>
        <w:t>merupakan</w:t>
      </w:r>
      <w:r w:rsidR="00A954D0">
        <w:rPr>
          <w:rFonts w:ascii="Bookman Old Style" w:hAnsi="Bookman Old Style"/>
          <w:lang w:val="id-ID"/>
        </w:rPr>
        <w:t xml:space="preserve"> </w:t>
      </w:r>
      <w:r w:rsidRPr="00BF3751">
        <w:rPr>
          <w:rFonts w:ascii="Bookman Old Style" w:hAnsi="Bookman Old Style"/>
          <w:lang w:val="id-ID"/>
        </w:rPr>
        <w:t>prioritas</w:t>
      </w:r>
      <w:r w:rsidR="00A954D0">
        <w:rPr>
          <w:rFonts w:ascii="Bookman Old Style" w:hAnsi="Bookman Old Style"/>
          <w:lang w:val="id-ID"/>
        </w:rPr>
        <w:t xml:space="preserve"> </w:t>
      </w:r>
      <w:r w:rsidRPr="00BF3751">
        <w:rPr>
          <w:rFonts w:ascii="Bookman Old Style" w:hAnsi="Bookman Old Style"/>
          <w:lang w:val="id-ID"/>
        </w:rPr>
        <w:t>nasional</w:t>
      </w:r>
      <w:r w:rsidR="00A954D0">
        <w:rPr>
          <w:rFonts w:ascii="Bookman Old Style" w:hAnsi="Bookman Old Style"/>
          <w:lang w:val="id-ID"/>
        </w:rPr>
        <w:t xml:space="preserve"> </w:t>
      </w:r>
      <w:r w:rsidRPr="00BF3751">
        <w:rPr>
          <w:rFonts w:ascii="Bookman Old Style" w:hAnsi="Bookman Old Style"/>
          <w:lang w:val="id-ID"/>
        </w:rPr>
        <w:t>dan/atau</w:t>
      </w:r>
      <w:r w:rsidR="00A954D0">
        <w:rPr>
          <w:rFonts w:ascii="Bookman Old Style" w:hAnsi="Bookman Old Style"/>
          <w:lang w:val="id-ID"/>
        </w:rPr>
        <w:t xml:space="preserve"> </w:t>
      </w:r>
      <w:r w:rsidRPr="00BF3751">
        <w:rPr>
          <w:rFonts w:ascii="Bookman Old Style" w:hAnsi="Bookman Old Style"/>
          <w:lang w:val="id-ID"/>
        </w:rPr>
        <w:t>kepentingan</w:t>
      </w:r>
      <w:r w:rsidR="00A954D0">
        <w:rPr>
          <w:rFonts w:ascii="Bookman Old Style" w:hAnsi="Bookman Old Style"/>
          <w:lang w:val="id-ID"/>
        </w:rPr>
        <w:t xml:space="preserve"> </w:t>
      </w:r>
      <w:r w:rsidRPr="00BF3751">
        <w:rPr>
          <w:rFonts w:ascii="Bookman Old Style" w:hAnsi="Bookman Old Style"/>
          <w:lang w:val="id-ID"/>
        </w:rPr>
        <w:t>strategis</w:t>
      </w:r>
      <w:r w:rsidR="00A954D0">
        <w:rPr>
          <w:rFonts w:ascii="Bookman Old Style" w:hAnsi="Bookman Old Style"/>
          <w:lang w:val="id-ID"/>
        </w:rPr>
        <w:t xml:space="preserve"> </w:t>
      </w:r>
      <w:r w:rsidRPr="00BF3751">
        <w:rPr>
          <w:rFonts w:ascii="Bookman Old Style" w:hAnsi="Bookman Old Style"/>
          <w:lang w:val="id-ID"/>
        </w:rPr>
        <w:t>nasional,</w:t>
      </w:r>
      <w:r w:rsidR="00A954D0">
        <w:rPr>
          <w:rFonts w:ascii="Bookman Old Style" w:hAnsi="Bookman Old Style"/>
          <w:lang w:val="id-ID"/>
        </w:rPr>
        <w:t xml:space="preserve"> </w:t>
      </w:r>
      <w:r w:rsidRPr="00BF3751">
        <w:rPr>
          <w:rFonts w:ascii="Bookman Old Style" w:hAnsi="Bookman Old Style"/>
          <w:lang w:val="id-ID"/>
        </w:rPr>
        <w:t>sebagaimana</w:t>
      </w:r>
      <w:r w:rsidR="00A954D0">
        <w:rPr>
          <w:rFonts w:ascii="Bookman Old Style" w:hAnsi="Bookman Old Style"/>
          <w:lang w:val="id-ID"/>
        </w:rPr>
        <w:t xml:space="preserve"> </w:t>
      </w:r>
      <w:r w:rsidRPr="00BF3751">
        <w:rPr>
          <w:rFonts w:ascii="Bookman Old Style" w:hAnsi="Bookman Old Style"/>
          <w:lang w:val="id-ID"/>
        </w:rPr>
        <w:t>maksud</w:t>
      </w:r>
      <w:r w:rsidR="00A954D0">
        <w:rPr>
          <w:rFonts w:ascii="Bookman Old Style" w:hAnsi="Bookman Old Style"/>
          <w:lang w:val="id-ID"/>
        </w:rPr>
        <w:t xml:space="preserve"> </w:t>
      </w:r>
      <w:r w:rsidRPr="00BF3751">
        <w:rPr>
          <w:rFonts w:ascii="Bookman Old Style" w:hAnsi="Bookman Old Style"/>
          <w:lang w:val="id-ID"/>
        </w:rPr>
        <w:t>Pasal</w:t>
      </w:r>
      <w:r w:rsidR="00A954D0">
        <w:rPr>
          <w:rFonts w:ascii="Bookman Old Style" w:hAnsi="Bookman Old Style"/>
          <w:lang w:val="id-ID"/>
        </w:rPr>
        <w:t xml:space="preserve"> </w:t>
      </w:r>
      <w:r w:rsidRPr="00BF3751">
        <w:rPr>
          <w:rFonts w:ascii="Bookman Old Style" w:hAnsi="Bookman Old Style"/>
          <w:lang w:val="id-ID"/>
        </w:rPr>
        <w:t>92</w:t>
      </w:r>
      <w:r w:rsidR="00A954D0">
        <w:rPr>
          <w:rFonts w:ascii="Bookman Old Style" w:hAnsi="Bookman Old Style"/>
          <w:lang w:val="id-ID"/>
        </w:rPr>
        <w:t xml:space="preserve"> </w:t>
      </w:r>
      <w:r w:rsidRPr="00BF3751">
        <w:rPr>
          <w:rFonts w:ascii="Bookman Old Style" w:hAnsi="Bookman Old Style"/>
          <w:lang w:val="id-ID"/>
        </w:rPr>
        <w:t>Peraturan</w:t>
      </w:r>
      <w:r w:rsidR="00A954D0">
        <w:rPr>
          <w:rFonts w:ascii="Bookman Old Style" w:hAnsi="Bookman Old Style"/>
          <w:lang w:val="id-ID"/>
        </w:rPr>
        <w:t xml:space="preserve"> </w:t>
      </w:r>
      <w:r w:rsidRPr="00BF3751">
        <w:rPr>
          <w:rFonts w:ascii="Bookman Old Style" w:hAnsi="Bookman Old Style"/>
          <w:lang w:val="id-ID"/>
        </w:rPr>
        <w:t>Pemerintah</w:t>
      </w:r>
      <w:r w:rsidR="00A954D0">
        <w:rPr>
          <w:rFonts w:ascii="Bookman Old Style" w:hAnsi="Bookman Old Style"/>
          <w:lang w:val="id-ID"/>
        </w:rPr>
        <w:t xml:space="preserve"> </w:t>
      </w:r>
      <w:r w:rsidRPr="00BF3751">
        <w:rPr>
          <w:rFonts w:ascii="Bookman Old Style" w:hAnsi="Bookman Old Style"/>
          <w:lang w:val="id-ID"/>
        </w:rPr>
        <w:t>Nomor</w:t>
      </w:r>
      <w:r w:rsidR="00A954D0">
        <w:rPr>
          <w:rFonts w:ascii="Bookman Old Style" w:hAnsi="Bookman Old Style"/>
          <w:lang w:val="id-ID"/>
        </w:rPr>
        <w:t xml:space="preserve"> </w:t>
      </w:r>
      <w:r w:rsidRPr="00BF3751">
        <w:rPr>
          <w:rFonts w:ascii="Bookman Old Style" w:hAnsi="Bookman Old Style"/>
          <w:lang w:val="id-ID"/>
        </w:rPr>
        <w:t>12</w:t>
      </w:r>
      <w:r w:rsidR="00A954D0">
        <w:rPr>
          <w:rFonts w:ascii="Bookman Old Style" w:hAnsi="Bookman Old Style"/>
          <w:lang w:val="id-ID"/>
        </w:rPr>
        <w:t xml:space="preserve"> </w:t>
      </w:r>
      <w:r w:rsidRPr="00BF3751">
        <w:rPr>
          <w:rFonts w:ascii="Bookman Old Style" w:hAnsi="Bookman Old Style"/>
          <w:lang w:val="id-ID"/>
        </w:rPr>
        <w:t>Tahun</w:t>
      </w:r>
      <w:r w:rsidR="00A954D0">
        <w:rPr>
          <w:rFonts w:ascii="Bookman Old Style" w:hAnsi="Bookman Old Style"/>
          <w:lang w:val="id-ID"/>
        </w:rPr>
        <w:t xml:space="preserve"> </w:t>
      </w:r>
      <w:r w:rsidRPr="00BF3751">
        <w:rPr>
          <w:rFonts w:ascii="Bookman Old Style" w:hAnsi="Bookman Old Style"/>
          <w:lang w:val="id-ID"/>
        </w:rPr>
        <w:t>2019.</w:t>
      </w:r>
      <w:r w:rsidR="00A954D0">
        <w:rPr>
          <w:rFonts w:ascii="Bookman Old Style" w:hAnsi="Bookman Old Style"/>
          <w:lang w:val="id-ID"/>
        </w:rPr>
        <w:t xml:space="preserve"> </w:t>
      </w:r>
    </w:p>
    <w:p w14:paraId="5CEB7C75" w14:textId="1310A5ED" w:rsidR="003374DF" w:rsidRPr="00BF3751" w:rsidRDefault="003374DF" w:rsidP="00953DC9">
      <w:pPr>
        <w:numPr>
          <w:ilvl w:val="0"/>
          <w:numId w:val="156"/>
        </w:numPr>
        <w:spacing w:before="60" w:line="276" w:lineRule="auto"/>
        <w:ind w:left="993" w:hanging="426"/>
        <w:jc w:val="both"/>
        <w:rPr>
          <w:rFonts w:ascii="Bookman Old Style" w:hAnsi="Bookman Old Style"/>
          <w:lang w:val="id-ID"/>
        </w:rPr>
      </w:pPr>
      <w:r w:rsidRPr="00BF3751">
        <w:rPr>
          <w:rFonts w:ascii="Bookman Old Style" w:hAnsi="Bookman Old Style"/>
          <w:lang w:val="id-ID"/>
        </w:rPr>
        <w:t>Dalam</w:t>
      </w:r>
      <w:r w:rsidR="00A954D0">
        <w:rPr>
          <w:rFonts w:ascii="Bookman Old Style" w:hAnsi="Bookman Old Style"/>
          <w:lang w:val="id-ID"/>
        </w:rPr>
        <w:t xml:space="preserve"> </w:t>
      </w:r>
      <w:r w:rsidRPr="00BF3751">
        <w:rPr>
          <w:rFonts w:ascii="Bookman Old Style" w:hAnsi="Bookman Old Style"/>
          <w:lang w:val="id-ID"/>
        </w:rPr>
        <w:t>rangka</w:t>
      </w:r>
      <w:r w:rsidR="00A954D0">
        <w:rPr>
          <w:rFonts w:ascii="Bookman Old Style" w:hAnsi="Bookman Old Style"/>
          <w:lang w:val="id-ID"/>
        </w:rPr>
        <w:t xml:space="preserve"> </w:t>
      </w:r>
      <w:r w:rsidRPr="00BF3751">
        <w:rPr>
          <w:rFonts w:ascii="Bookman Old Style" w:hAnsi="Bookman Old Style"/>
          <w:lang w:val="id-ID"/>
        </w:rPr>
        <w:t>percepatan</w:t>
      </w:r>
      <w:r w:rsidR="00A954D0">
        <w:rPr>
          <w:rFonts w:ascii="Bookman Old Style" w:hAnsi="Bookman Old Style"/>
          <w:lang w:val="id-ID"/>
        </w:rPr>
        <w:t xml:space="preserve"> </w:t>
      </w:r>
      <w:r w:rsidRPr="00BF3751">
        <w:rPr>
          <w:rFonts w:ascii="Bookman Old Style" w:hAnsi="Bookman Old Style"/>
          <w:lang w:val="id-ID"/>
        </w:rPr>
        <w:t>peningkatan</w:t>
      </w:r>
      <w:r w:rsidR="00A954D0">
        <w:rPr>
          <w:rFonts w:ascii="Bookman Old Style" w:hAnsi="Bookman Old Style"/>
          <w:lang w:val="id-ID"/>
        </w:rPr>
        <w:t xml:space="preserve"> </w:t>
      </w:r>
      <w:r w:rsidRPr="00BF3751">
        <w:rPr>
          <w:rFonts w:ascii="Bookman Old Style" w:hAnsi="Bookman Old Style"/>
          <w:lang w:val="id-ID"/>
        </w:rPr>
        <w:t>prestasi</w:t>
      </w:r>
      <w:r w:rsidR="00A954D0">
        <w:rPr>
          <w:rFonts w:ascii="Bookman Old Style" w:hAnsi="Bookman Old Style"/>
          <w:lang w:val="id-ID"/>
        </w:rPr>
        <w:t xml:space="preserve"> </w:t>
      </w:r>
      <w:r w:rsidRPr="00BF3751">
        <w:rPr>
          <w:rFonts w:ascii="Bookman Old Style" w:hAnsi="Bookman Old Style"/>
          <w:lang w:val="id-ID"/>
        </w:rPr>
        <w:t>sepak</w:t>
      </w:r>
      <w:r w:rsidR="00A954D0">
        <w:rPr>
          <w:rFonts w:ascii="Bookman Old Style" w:hAnsi="Bookman Old Style"/>
          <w:lang w:val="id-ID"/>
        </w:rPr>
        <w:t xml:space="preserve"> </w:t>
      </w:r>
      <w:r w:rsidRPr="00BF3751">
        <w:rPr>
          <w:rFonts w:ascii="Bookman Old Style" w:hAnsi="Bookman Old Style"/>
          <w:lang w:val="id-ID"/>
        </w:rPr>
        <w:t>bola</w:t>
      </w:r>
      <w:r w:rsidR="00A954D0">
        <w:rPr>
          <w:rFonts w:ascii="Bookman Old Style" w:hAnsi="Bookman Old Style"/>
          <w:lang w:val="id-ID"/>
        </w:rPr>
        <w:t xml:space="preserve"> </w:t>
      </w:r>
      <w:r w:rsidRPr="00BF3751">
        <w:rPr>
          <w:rFonts w:ascii="Bookman Old Style" w:hAnsi="Bookman Old Style"/>
          <w:lang w:val="id-ID"/>
        </w:rPr>
        <w:t>nasional</w:t>
      </w:r>
      <w:r w:rsidR="00A954D0">
        <w:rPr>
          <w:rFonts w:ascii="Bookman Old Style" w:hAnsi="Bookman Old Style"/>
          <w:lang w:val="id-ID"/>
        </w:rPr>
        <w:t xml:space="preserve"> </w:t>
      </w:r>
      <w:r w:rsidRPr="00BF3751">
        <w:rPr>
          <w:rFonts w:ascii="Bookman Old Style" w:hAnsi="Bookman Old Style"/>
          <w:lang w:val="fi-FI"/>
        </w:rPr>
        <w:t>guna</w:t>
      </w:r>
      <w:r w:rsidR="00A954D0">
        <w:rPr>
          <w:rFonts w:ascii="Bookman Old Style" w:hAnsi="Bookman Old Style"/>
          <w:lang w:val="id-ID"/>
        </w:rPr>
        <w:t xml:space="preserve"> </w:t>
      </w:r>
      <w:r w:rsidRPr="00BF3751">
        <w:rPr>
          <w:rFonts w:ascii="Bookman Old Style" w:hAnsi="Bookman Old Style"/>
          <w:lang w:val="id-ID"/>
        </w:rPr>
        <w:t>tercapainya</w:t>
      </w:r>
      <w:r w:rsidR="00A954D0">
        <w:rPr>
          <w:rFonts w:ascii="Bookman Old Style" w:hAnsi="Bookman Old Style"/>
          <w:lang w:val="id-ID"/>
        </w:rPr>
        <w:t xml:space="preserve"> </w:t>
      </w:r>
      <w:r w:rsidRPr="00BF3751">
        <w:rPr>
          <w:rFonts w:ascii="Bookman Old Style" w:hAnsi="Bookman Old Style"/>
          <w:lang w:val="id-ID"/>
        </w:rPr>
        <w:t>prestasi</w:t>
      </w:r>
      <w:r w:rsidR="00A954D0">
        <w:rPr>
          <w:rFonts w:ascii="Bookman Old Style" w:hAnsi="Bookman Old Style"/>
          <w:lang w:val="id-ID"/>
        </w:rPr>
        <w:t xml:space="preserve"> </w:t>
      </w:r>
      <w:r w:rsidRPr="00BF3751">
        <w:rPr>
          <w:rFonts w:ascii="Bookman Old Style" w:hAnsi="Bookman Old Style"/>
          <w:lang w:val="id-ID"/>
        </w:rPr>
        <w:t>sepakbola</w:t>
      </w:r>
      <w:r w:rsidR="00A954D0">
        <w:rPr>
          <w:rFonts w:ascii="Bookman Old Style" w:hAnsi="Bookman Old Style"/>
          <w:lang w:val="id-ID"/>
        </w:rPr>
        <w:t xml:space="preserve"> </w:t>
      </w:r>
      <w:r w:rsidRPr="00BF3751">
        <w:rPr>
          <w:rFonts w:ascii="Bookman Old Style" w:hAnsi="Bookman Old Style"/>
          <w:lang w:val="id-ID"/>
        </w:rPr>
        <w:t>sebagai</w:t>
      </w:r>
      <w:r w:rsidR="00A954D0">
        <w:rPr>
          <w:rFonts w:ascii="Bookman Old Style" w:hAnsi="Bookman Old Style"/>
          <w:lang w:val="id-ID"/>
        </w:rPr>
        <w:t xml:space="preserve"> </w:t>
      </w:r>
      <w:r w:rsidRPr="00BF3751">
        <w:rPr>
          <w:rFonts w:ascii="Bookman Old Style" w:hAnsi="Bookman Old Style"/>
          <w:lang w:val="id-ID"/>
        </w:rPr>
        <w:t>kebanggaan</w:t>
      </w:r>
      <w:r w:rsidR="00A954D0">
        <w:rPr>
          <w:rFonts w:ascii="Bookman Old Style" w:hAnsi="Bookman Old Style"/>
          <w:lang w:val="id-ID"/>
        </w:rPr>
        <w:t xml:space="preserve"> </w:t>
      </w:r>
      <w:r w:rsidRPr="00BF3751">
        <w:rPr>
          <w:rFonts w:ascii="Bookman Old Style" w:hAnsi="Bookman Old Style"/>
          <w:lang w:val="id-ID"/>
        </w:rPr>
        <w:t>bangsa,</w:t>
      </w:r>
      <w:r w:rsidR="00A954D0">
        <w:rPr>
          <w:rFonts w:ascii="Bookman Old Style" w:hAnsi="Bookman Old Style"/>
          <w:lang w:val="id-ID"/>
        </w:rPr>
        <w:t xml:space="preserve"> </w:t>
      </w:r>
      <w:r w:rsidRPr="00BF3751">
        <w:rPr>
          <w:rFonts w:ascii="Bookman Old Style" w:hAnsi="Bookman Old Style"/>
          <w:lang w:val="id-ID"/>
        </w:rPr>
        <w:t>dan</w:t>
      </w:r>
      <w:r w:rsidR="00A954D0">
        <w:rPr>
          <w:rFonts w:ascii="Bookman Old Style" w:hAnsi="Bookman Old Style"/>
          <w:lang w:val="id-ID"/>
        </w:rPr>
        <w:t xml:space="preserve"> </w:t>
      </w:r>
      <w:r w:rsidRPr="00BF3751">
        <w:rPr>
          <w:rFonts w:ascii="Bookman Old Style" w:hAnsi="Bookman Old Style"/>
          <w:lang w:val="id-ID"/>
        </w:rPr>
        <w:t>menjadi</w:t>
      </w:r>
      <w:r w:rsidR="00A954D0">
        <w:rPr>
          <w:rFonts w:ascii="Bookman Old Style" w:hAnsi="Bookman Old Style"/>
          <w:lang w:val="id-ID"/>
        </w:rPr>
        <w:t xml:space="preserve"> </w:t>
      </w:r>
      <w:r w:rsidRPr="00BF3751">
        <w:rPr>
          <w:rFonts w:ascii="Bookman Old Style" w:hAnsi="Bookman Old Style"/>
          <w:lang w:val="id-ID"/>
        </w:rPr>
        <w:t>industri</w:t>
      </w:r>
      <w:r w:rsidR="00A954D0">
        <w:rPr>
          <w:rFonts w:ascii="Bookman Old Style" w:hAnsi="Bookman Old Style"/>
          <w:lang w:val="id-ID"/>
        </w:rPr>
        <w:t xml:space="preserve"> </w:t>
      </w:r>
      <w:r w:rsidRPr="00BF3751">
        <w:rPr>
          <w:rFonts w:ascii="Bookman Old Style" w:hAnsi="Bookman Old Style"/>
          <w:lang w:val="id-ID"/>
        </w:rPr>
        <w:t>olahraga</w:t>
      </w:r>
      <w:r w:rsidR="00A954D0">
        <w:rPr>
          <w:rFonts w:ascii="Bookman Old Style" w:hAnsi="Bookman Old Style"/>
          <w:lang w:val="id-ID"/>
        </w:rPr>
        <w:t xml:space="preserve"> </w:t>
      </w:r>
      <w:r w:rsidRPr="00BF3751">
        <w:rPr>
          <w:rFonts w:ascii="Bookman Old Style" w:hAnsi="Bookman Old Style"/>
          <w:lang w:val="id-ID"/>
        </w:rPr>
        <w:t>yang</w:t>
      </w:r>
      <w:r w:rsidR="00A954D0">
        <w:rPr>
          <w:rFonts w:ascii="Bookman Old Style" w:hAnsi="Bookman Old Style"/>
          <w:lang w:val="id-ID"/>
        </w:rPr>
        <w:t xml:space="preserve"> </w:t>
      </w:r>
      <w:r w:rsidRPr="00BF3751">
        <w:rPr>
          <w:rFonts w:ascii="Bookman Old Style" w:hAnsi="Bookman Old Style"/>
          <w:lang w:val="id-ID"/>
        </w:rPr>
        <w:t>dapat</w:t>
      </w:r>
      <w:r w:rsidR="00A954D0">
        <w:rPr>
          <w:rFonts w:ascii="Bookman Old Style" w:hAnsi="Bookman Old Style"/>
          <w:lang w:val="id-ID"/>
        </w:rPr>
        <w:t xml:space="preserve"> </w:t>
      </w:r>
      <w:r w:rsidRPr="00BF3751">
        <w:rPr>
          <w:rFonts w:ascii="Bookman Old Style" w:hAnsi="Bookman Old Style"/>
          <w:lang w:val="id-ID"/>
        </w:rPr>
        <w:t>menggerakan</w:t>
      </w:r>
      <w:r w:rsidR="00A954D0">
        <w:rPr>
          <w:rFonts w:ascii="Bookman Old Style" w:hAnsi="Bookman Old Style"/>
          <w:lang w:val="id-ID"/>
        </w:rPr>
        <w:t xml:space="preserve"> </w:t>
      </w:r>
      <w:r w:rsidRPr="00BF3751">
        <w:rPr>
          <w:rFonts w:ascii="Bookman Old Style" w:hAnsi="Bookman Old Style"/>
          <w:lang w:val="id-ID"/>
        </w:rPr>
        <w:t>roda</w:t>
      </w:r>
      <w:r w:rsidR="00A954D0">
        <w:rPr>
          <w:rFonts w:ascii="Bookman Old Style" w:hAnsi="Bookman Old Style"/>
          <w:lang w:val="id-ID"/>
        </w:rPr>
        <w:t xml:space="preserve"> </w:t>
      </w:r>
      <w:r w:rsidRPr="00BF3751">
        <w:rPr>
          <w:rFonts w:ascii="Bookman Old Style" w:hAnsi="Bookman Old Style"/>
          <w:lang w:val="id-ID"/>
        </w:rPr>
        <w:t>perekonomian</w:t>
      </w:r>
      <w:r w:rsidR="00A954D0">
        <w:rPr>
          <w:rFonts w:ascii="Bookman Old Style" w:hAnsi="Bookman Old Style"/>
          <w:lang w:val="id-ID"/>
        </w:rPr>
        <w:t xml:space="preserve"> </w:t>
      </w:r>
      <w:r w:rsidRPr="00BF3751">
        <w:rPr>
          <w:rFonts w:ascii="Bookman Old Style" w:hAnsi="Bookman Old Style"/>
          <w:lang w:val="id-ID"/>
        </w:rPr>
        <w:t>serta</w:t>
      </w:r>
      <w:r w:rsidR="00A954D0">
        <w:rPr>
          <w:rFonts w:ascii="Bookman Old Style" w:hAnsi="Bookman Old Style"/>
          <w:lang w:val="id-ID"/>
        </w:rPr>
        <w:t xml:space="preserve"> </w:t>
      </w:r>
      <w:r w:rsidRPr="00BF3751">
        <w:rPr>
          <w:rFonts w:ascii="Bookman Old Style" w:hAnsi="Bookman Old Style"/>
          <w:lang w:val="id-ID"/>
        </w:rPr>
        <w:t>pembangunan</w:t>
      </w:r>
      <w:r w:rsidR="00A954D0">
        <w:rPr>
          <w:rFonts w:ascii="Bookman Old Style" w:hAnsi="Bookman Old Style"/>
          <w:lang w:val="id-ID"/>
        </w:rPr>
        <w:t xml:space="preserve"> </w:t>
      </w:r>
      <w:r w:rsidRPr="00BF3751">
        <w:rPr>
          <w:rFonts w:ascii="Bookman Old Style" w:hAnsi="Bookman Old Style"/>
          <w:lang w:val="id-ID"/>
        </w:rPr>
        <w:t>manusia,</w:t>
      </w:r>
      <w:r w:rsidR="00A954D0">
        <w:rPr>
          <w:rFonts w:ascii="Bookman Old Style" w:hAnsi="Bookman Old Style"/>
          <w:lang w:val="id-ID"/>
        </w:rPr>
        <w:t xml:space="preserve"> </w:t>
      </w:r>
      <w:r w:rsidRPr="00BF3751">
        <w:rPr>
          <w:rFonts w:ascii="Bookman Old Style" w:hAnsi="Bookman Old Style"/>
          <w:lang w:val="id-ID"/>
        </w:rPr>
        <w:t>diperlukan</w:t>
      </w:r>
      <w:r w:rsidR="00A954D0">
        <w:rPr>
          <w:rFonts w:ascii="Bookman Old Style" w:hAnsi="Bookman Old Style"/>
          <w:lang w:val="id-ID"/>
        </w:rPr>
        <w:t xml:space="preserve"> </w:t>
      </w:r>
      <w:r w:rsidRPr="00BF3751">
        <w:rPr>
          <w:rFonts w:ascii="Bookman Old Style" w:hAnsi="Bookman Old Style"/>
          <w:lang w:val="id-ID"/>
        </w:rPr>
        <w:t>dukungan</w:t>
      </w:r>
      <w:r w:rsidR="00A954D0">
        <w:rPr>
          <w:rFonts w:ascii="Bookman Old Style" w:hAnsi="Bookman Old Style"/>
          <w:lang w:val="id-ID"/>
        </w:rPr>
        <w:t xml:space="preserve"> </w:t>
      </w:r>
      <w:r w:rsidRPr="00BF3751">
        <w:rPr>
          <w:rFonts w:ascii="Bookman Old Style" w:hAnsi="Bookman Old Style"/>
          <w:lang w:val="id-ID"/>
        </w:rPr>
        <w:t>pemerintah</w:t>
      </w:r>
      <w:r w:rsidR="00A954D0">
        <w:rPr>
          <w:rFonts w:ascii="Bookman Old Style" w:hAnsi="Bookman Old Style"/>
          <w:lang w:val="id-ID"/>
        </w:rPr>
        <w:t xml:space="preserve"> </w:t>
      </w:r>
      <w:r w:rsidRPr="00BF3751">
        <w:rPr>
          <w:rFonts w:ascii="Bookman Old Style" w:hAnsi="Bookman Old Style"/>
          <w:lang w:val="id-ID"/>
        </w:rPr>
        <w:t>daerah</w:t>
      </w:r>
      <w:r w:rsidR="00A954D0">
        <w:rPr>
          <w:rFonts w:ascii="Bookman Old Style" w:hAnsi="Bookman Old Style"/>
          <w:lang w:val="id-ID"/>
        </w:rPr>
        <w:t xml:space="preserve"> </w:t>
      </w:r>
      <w:r w:rsidRPr="00BF3751">
        <w:rPr>
          <w:rFonts w:ascii="Bookman Old Style" w:hAnsi="Bookman Old Style"/>
          <w:lang w:val="id-ID"/>
        </w:rPr>
        <w:t>sesuai</w:t>
      </w:r>
      <w:r w:rsidR="00A954D0">
        <w:rPr>
          <w:rFonts w:ascii="Bookman Old Style" w:hAnsi="Bookman Old Style"/>
          <w:lang w:val="id-ID"/>
        </w:rPr>
        <w:t xml:space="preserve"> </w:t>
      </w:r>
      <w:r w:rsidRPr="00BF3751">
        <w:rPr>
          <w:rFonts w:ascii="Bookman Old Style" w:hAnsi="Bookman Old Style"/>
          <w:lang w:val="id-ID"/>
        </w:rPr>
        <w:t>dengan</w:t>
      </w:r>
      <w:r w:rsidR="00A954D0">
        <w:rPr>
          <w:rFonts w:ascii="Bookman Old Style" w:hAnsi="Bookman Old Style"/>
          <w:lang w:val="id-ID"/>
        </w:rPr>
        <w:t xml:space="preserve"> </w:t>
      </w:r>
      <w:r w:rsidRPr="00BF3751">
        <w:rPr>
          <w:rFonts w:ascii="Bookman Old Style" w:hAnsi="Bookman Old Style"/>
          <w:lang w:val="id-ID"/>
        </w:rPr>
        <w:t>kewenangan</w:t>
      </w:r>
      <w:r w:rsidR="00A954D0">
        <w:rPr>
          <w:rFonts w:ascii="Bookman Old Style" w:hAnsi="Bookman Old Style"/>
          <w:lang w:val="id-ID"/>
        </w:rPr>
        <w:t xml:space="preserve"> </w:t>
      </w:r>
      <w:r w:rsidRPr="00BF3751">
        <w:rPr>
          <w:rFonts w:ascii="Bookman Old Style" w:hAnsi="Bookman Old Style"/>
          <w:lang w:val="id-ID"/>
        </w:rPr>
        <w:t>daerah</w:t>
      </w:r>
      <w:r w:rsidR="00A954D0">
        <w:rPr>
          <w:rFonts w:ascii="Bookman Old Style" w:hAnsi="Bookman Old Style"/>
          <w:lang w:val="id-ID"/>
        </w:rPr>
        <w:t xml:space="preserve"> </w:t>
      </w:r>
      <w:r w:rsidRPr="00BF3751">
        <w:rPr>
          <w:rFonts w:ascii="Bookman Old Style" w:hAnsi="Bookman Old Style"/>
          <w:lang w:val="id-ID"/>
        </w:rPr>
        <w:t>sebagaimana</w:t>
      </w:r>
      <w:r w:rsidR="00A954D0">
        <w:rPr>
          <w:rFonts w:ascii="Bookman Old Style" w:hAnsi="Bookman Old Style"/>
          <w:lang w:val="id-ID"/>
        </w:rPr>
        <w:t xml:space="preserve"> </w:t>
      </w:r>
      <w:r w:rsidRPr="00BF3751">
        <w:rPr>
          <w:rFonts w:ascii="Bookman Old Style" w:hAnsi="Bookman Old Style"/>
          <w:lang w:val="id-ID"/>
        </w:rPr>
        <w:t>amanat</w:t>
      </w:r>
      <w:r w:rsidR="00A954D0">
        <w:rPr>
          <w:rFonts w:ascii="Bookman Old Style" w:hAnsi="Bookman Old Style"/>
          <w:lang w:val="id-ID"/>
        </w:rPr>
        <w:t xml:space="preserve"> </w:t>
      </w:r>
      <w:r w:rsidRPr="00BF3751">
        <w:rPr>
          <w:rFonts w:ascii="Bookman Old Style" w:hAnsi="Bookman Old Style"/>
          <w:lang w:val="id-ID"/>
        </w:rPr>
        <w:t>Instruksi</w:t>
      </w:r>
      <w:r w:rsidR="00A954D0">
        <w:rPr>
          <w:rFonts w:ascii="Bookman Old Style" w:hAnsi="Bookman Old Style"/>
          <w:lang w:val="id-ID"/>
        </w:rPr>
        <w:t xml:space="preserve"> </w:t>
      </w:r>
      <w:r w:rsidRPr="00BF3751">
        <w:rPr>
          <w:rFonts w:ascii="Bookman Old Style" w:hAnsi="Bookman Old Style"/>
          <w:lang w:val="id-ID"/>
        </w:rPr>
        <w:t>Presiden</w:t>
      </w:r>
      <w:r w:rsidR="00A954D0">
        <w:rPr>
          <w:rFonts w:ascii="Bookman Old Style" w:hAnsi="Bookman Old Style"/>
          <w:lang w:val="id-ID"/>
        </w:rPr>
        <w:t xml:space="preserve"> </w:t>
      </w:r>
      <w:r w:rsidRPr="00BF3751">
        <w:rPr>
          <w:rFonts w:ascii="Bookman Old Style" w:hAnsi="Bookman Old Style"/>
          <w:lang w:val="id-ID"/>
        </w:rPr>
        <w:t>Nomor</w:t>
      </w:r>
      <w:r w:rsidR="00A954D0">
        <w:rPr>
          <w:rFonts w:ascii="Bookman Old Style" w:hAnsi="Bookman Old Style"/>
          <w:lang w:val="id-ID"/>
        </w:rPr>
        <w:t xml:space="preserve"> </w:t>
      </w:r>
      <w:r w:rsidRPr="00BF3751">
        <w:rPr>
          <w:rFonts w:ascii="Bookman Old Style" w:hAnsi="Bookman Old Style"/>
          <w:lang w:val="id-ID"/>
        </w:rPr>
        <w:t>3</w:t>
      </w:r>
      <w:r w:rsidR="00A954D0">
        <w:rPr>
          <w:rFonts w:ascii="Bookman Old Style" w:hAnsi="Bookman Old Style"/>
          <w:lang w:val="id-ID"/>
        </w:rPr>
        <w:t xml:space="preserve"> </w:t>
      </w:r>
      <w:r w:rsidRPr="00BF3751">
        <w:rPr>
          <w:rFonts w:ascii="Bookman Old Style" w:hAnsi="Bookman Old Style"/>
          <w:lang w:val="id-ID"/>
        </w:rPr>
        <w:t>Tahun</w:t>
      </w:r>
      <w:r w:rsidR="00A954D0">
        <w:rPr>
          <w:rFonts w:ascii="Bookman Old Style" w:hAnsi="Bookman Old Style"/>
          <w:lang w:val="id-ID"/>
        </w:rPr>
        <w:t xml:space="preserve"> </w:t>
      </w:r>
      <w:r w:rsidRPr="00BF3751">
        <w:rPr>
          <w:rFonts w:ascii="Bookman Old Style" w:hAnsi="Bookman Old Style"/>
          <w:lang w:val="id-ID"/>
        </w:rPr>
        <w:t>2019</w:t>
      </w:r>
      <w:r w:rsidR="00A954D0">
        <w:rPr>
          <w:rFonts w:ascii="Bookman Old Style" w:hAnsi="Bookman Old Style"/>
          <w:lang w:val="id-ID"/>
        </w:rPr>
        <w:t xml:space="preserve"> </w:t>
      </w:r>
      <w:r w:rsidRPr="00BF3751">
        <w:rPr>
          <w:rFonts w:ascii="Bookman Old Style" w:hAnsi="Bookman Old Style"/>
          <w:lang w:val="id-ID"/>
        </w:rPr>
        <w:t>tentang</w:t>
      </w:r>
      <w:r w:rsidR="00A954D0">
        <w:rPr>
          <w:rFonts w:ascii="Bookman Old Style" w:hAnsi="Bookman Old Style"/>
          <w:lang w:val="id-ID"/>
        </w:rPr>
        <w:t xml:space="preserve"> </w:t>
      </w:r>
      <w:r w:rsidRPr="00BF3751">
        <w:rPr>
          <w:rFonts w:ascii="Bookman Old Style" w:hAnsi="Bookman Old Style"/>
          <w:lang w:val="id-ID"/>
        </w:rPr>
        <w:t>Percepatan</w:t>
      </w:r>
      <w:r w:rsidR="00A954D0">
        <w:rPr>
          <w:rFonts w:ascii="Bookman Old Style" w:hAnsi="Bookman Old Style"/>
          <w:lang w:val="id-ID"/>
        </w:rPr>
        <w:t xml:space="preserve"> </w:t>
      </w:r>
      <w:r w:rsidRPr="00BF3751">
        <w:rPr>
          <w:rFonts w:ascii="Bookman Old Style" w:hAnsi="Bookman Old Style"/>
          <w:lang w:val="id-ID"/>
        </w:rPr>
        <w:t>Pembangunan</w:t>
      </w:r>
      <w:r w:rsidR="00A954D0">
        <w:rPr>
          <w:rFonts w:ascii="Bookman Old Style" w:hAnsi="Bookman Old Style"/>
          <w:lang w:val="id-ID"/>
        </w:rPr>
        <w:t xml:space="preserve"> </w:t>
      </w:r>
      <w:r w:rsidRPr="00BF3751">
        <w:rPr>
          <w:rFonts w:ascii="Bookman Old Style" w:hAnsi="Bookman Old Style"/>
          <w:lang w:val="id-ID"/>
        </w:rPr>
        <w:t>Persepakbolaan</w:t>
      </w:r>
      <w:r w:rsidR="00A954D0">
        <w:rPr>
          <w:rFonts w:ascii="Bookman Old Style" w:hAnsi="Bookman Old Style"/>
          <w:lang w:val="id-ID"/>
        </w:rPr>
        <w:t xml:space="preserve"> </w:t>
      </w:r>
      <w:r w:rsidRPr="00BF3751">
        <w:rPr>
          <w:rFonts w:ascii="Bookman Old Style" w:hAnsi="Bookman Old Style"/>
          <w:lang w:val="id-ID"/>
        </w:rPr>
        <w:t>Nasional</w:t>
      </w:r>
      <w:r w:rsidR="00A954D0">
        <w:rPr>
          <w:rFonts w:ascii="Bookman Old Style" w:hAnsi="Bookman Old Style"/>
          <w:lang w:val="id-ID"/>
        </w:rPr>
        <w:t xml:space="preserve"> </w:t>
      </w:r>
      <w:r w:rsidRPr="00BF3751">
        <w:rPr>
          <w:rFonts w:ascii="Bookman Old Style" w:hAnsi="Bookman Old Style"/>
          <w:lang w:val="id-ID"/>
        </w:rPr>
        <w:t>dan</w:t>
      </w:r>
      <w:r w:rsidR="00A954D0">
        <w:rPr>
          <w:rFonts w:ascii="Bookman Old Style" w:hAnsi="Bookman Old Style"/>
          <w:lang w:val="id-ID"/>
        </w:rPr>
        <w:t xml:space="preserve"> </w:t>
      </w:r>
      <w:r w:rsidRPr="00BF3751">
        <w:rPr>
          <w:rFonts w:ascii="Bookman Old Style" w:hAnsi="Bookman Old Style"/>
          <w:lang w:val="id-ID"/>
        </w:rPr>
        <w:t>ditindaklanjuti</w:t>
      </w:r>
      <w:r w:rsidR="00A954D0">
        <w:rPr>
          <w:rFonts w:ascii="Bookman Old Style" w:hAnsi="Bookman Old Style"/>
          <w:lang w:val="id-ID"/>
        </w:rPr>
        <w:t xml:space="preserve"> </w:t>
      </w:r>
      <w:r w:rsidRPr="00BF3751">
        <w:rPr>
          <w:rFonts w:ascii="Bookman Old Style" w:hAnsi="Bookman Old Style"/>
          <w:lang w:val="id-ID"/>
        </w:rPr>
        <w:t>dengan</w:t>
      </w:r>
      <w:r w:rsidR="00A954D0">
        <w:rPr>
          <w:rFonts w:ascii="Bookman Old Style" w:hAnsi="Bookman Old Style"/>
          <w:lang w:val="id-ID"/>
        </w:rPr>
        <w:t xml:space="preserve"> </w:t>
      </w:r>
      <w:r w:rsidRPr="00BF3751">
        <w:rPr>
          <w:rFonts w:ascii="Bookman Old Style" w:hAnsi="Bookman Old Style"/>
          <w:lang w:val="id-ID"/>
        </w:rPr>
        <w:t>Surat</w:t>
      </w:r>
      <w:r w:rsidR="00A954D0">
        <w:rPr>
          <w:rFonts w:ascii="Bookman Old Style" w:hAnsi="Bookman Old Style"/>
          <w:lang w:val="id-ID"/>
        </w:rPr>
        <w:t xml:space="preserve"> </w:t>
      </w:r>
      <w:r w:rsidRPr="00BF3751">
        <w:rPr>
          <w:rFonts w:ascii="Bookman Old Style" w:hAnsi="Bookman Old Style"/>
          <w:lang w:val="id-ID"/>
        </w:rPr>
        <w:t>Menteri</w:t>
      </w:r>
      <w:r w:rsidR="00A954D0">
        <w:rPr>
          <w:rFonts w:ascii="Bookman Old Style" w:hAnsi="Bookman Old Style"/>
          <w:lang w:val="id-ID"/>
        </w:rPr>
        <w:t xml:space="preserve"> </w:t>
      </w:r>
      <w:r w:rsidRPr="00BF3751">
        <w:rPr>
          <w:rFonts w:ascii="Bookman Old Style" w:hAnsi="Bookman Old Style"/>
          <w:lang w:val="id-ID"/>
        </w:rPr>
        <w:t>Pemuda</w:t>
      </w:r>
      <w:r w:rsidR="00A954D0">
        <w:rPr>
          <w:rFonts w:ascii="Bookman Old Style" w:hAnsi="Bookman Old Style"/>
          <w:lang w:val="id-ID"/>
        </w:rPr>
        <w:t xml:space="preserve"> </w:t>
      </w:r>
      <w:r w:rsidRPr="00BF3751">
        <w:rPr>
          <w:rFonts w:ascii="Bookman Old Style" w:hAnsi="Bookman Old Style"/>
          <w:lang w:val="id-ID"/>
        </w:rPr>
        <w:t>dan</w:t>
      </w:r>
      <w:r w:rsidR="00A954D0">
        <w:rPr>
          <w:rFonts w:ascii="Bookman Old Style" w:hAnsi="Bookman Old Style"/>
          <w:lang w:val="id-ID"/>
        </w:rPr>
        <w:t xml:space="preserve"> </w:t>
      </w:r>
      <w:r w:rsidRPr="00BF3751">
        <w:rPr>
          <w:rFonts w:ascii="Bookman Old Style" w:hAnsi="Bookman Old Style"/>
          <w:lang w:val="id-ID"/>
        </w:rPr>
        <w:t>Olahraga</w:t>
      </w:r>
      <w:r w:rsidR="00A954D0">
        <w:rPr>
          <w:rFonts w:ascii="Bookman Old Style" w:hAnsi="Bookman Old Style"/>
          <w:lang w:val="id-ID"/>
        </w:rPr>
        <w:t xml:space="preserve"> </w:t>
      </w:r>
      <w:r w:rsidRPr="00BF3751">
        <w:rPr>
          <w:rFonts w:ascii="Bookman Old Style" w:hAnsi="Bookman Old Style"/>
          <w:lang w:val="id-ID"/>
        </w:rPr>
        <w:t>Nomor</w:t>
      </w:r>
      <w:r w:rsidR="00A954D0">
        <w:rPr>
          <w:rFonts w:ascii="Bookman Old Style" w:hAnsi="Bookman Old Style"/>
          <w:lang w:val="id-ID"/>
        </w:rPr>
        <w:t xml:space="preserve"> </w:t>
      </w:r>
      <w:r w:rsidRPr="00BF3751">
        <w:rPr>
          <w:rFonts w:ascii="Bookman Old Style" w:hAnsi="Bookman Old Style"/>
          <w:lang w:val="id-ID"/>
        </w:rPr>
        <w:t>B</w:t>
      </w:r>
      <w:r w:rsidR="00A954D0">
        <w:rPr>
          <w:rFonts w:ascii="Bookman Old Style" w:hAnsi="Bookman Old Style"/>
          <w:lang w:val="id-ID"/>
        </w:rPr>
        <w:t xml:space="preserve"> </w:t>
      </w:r>
      <w:r w:rsidRPr="00BF3751">
        <w:rPr>
          <w:rFonts w:ascii="Bookman Old Style" w:hAnsi="Bookman Old Style"/>
          <w:lang w:val="id-ID"/>
        </w:rPr>
        <w:t>PO/6.4.22/MENPORA/VI/2024</w:t>
      </w:r>
      <w:r w:rsidR="00A954D0">
        <w:rPr>
          <w:rFonts w:ascii="Bookman Old Style" w:hAnsi="Bookman Old Style"/>
          <w:lang w:val="id-ID"/>
        </w:rPr>
        <w:t xml:space="preserve"> </w:t>
      </w:r>
      <w:r w:rsidRPr="00BF3751">
        <w:rPr>
          <w:rFonts w:ascii="Bookman Old Style" w:hAnsi="Bookman Old Style"/>
          <w:lang w:val="id-ID"/>
        </w:rPr>
        <w:t>tanggal</w:t>
      </w:r>
      <w:r w:rsidR="00A954D0">
        <w:rPr>
          <w:rFonts w:ascii="Bookman Old Style" w:hAnsi="Bookman Old Style"/>
          <w:lang w:val="id-ID"/>
        </w:rPr>
        <w:t xml:space="preserve"> </w:t>
      </w:r>
      <w:r w:rsidRPr="00BF3751">
        <w:rPr>
          <w:rFonts w:ascii="Bookman Old Style" w:hAnsi="Bookman Old Style"/>
          <w:lang w:val="id-ID"/>
        </w:rPr>
        <w:t>4</w:t>
      </w:r>
      <w:r w:rsidR="00A954D0">
        <w:rPr>
          <w:rFonts w:ascii="Bookman Old Style" w:hAnsi="Bookman Old Style"/>
          <w:lang w:val="id-ID"/>
        </w:rPr>
        <w:t xml:space="preserve"> </w:t>
      </w:r>
      <w:r w:rsidRPr="00BF3751">
        <w:rPr>
          <w:rFonts w:ascii="Bookman Old Style" w:hAnsi="Bookman Old Style"/>
          <w:lang w:val="id-ID"/>
        </w:rPr>
        <w:t>Juni</w:t>
      </w:r>
      <w:r w:rsidR="00A954D0">
        <w:rPr>
          <w:rFonts w:ascii="Bookman Old Style" w:hAnsi="Bookman Old Style"/>
          <w:lang w:val="id-ID"/>
        </w:rPr>
        <w:t xml:space="preserve"> </w:t>
      </w:r>
      <w:r w:rsidRPr="00BF3751">
        <w:rPr>
          <w:rFonts w:ascii="Bookman Old Style" w:hAnsi="Bookman Old Style"/>
          <w:lang w:val="id-ID"/>
        </w:rPr>
        <w:t>2024,</w:t>
      </w:r>
      <w:r w:rsidR="00A954D0">
        <w:rPr>
          <w:rFonts w:ascii="Bookman Old Style" w:hAnsi="Bookman Old Style"/>
          <w:lang w:val="id-ID"/>
        </w:rPr>
        <w:t xml:space="preserve"> </w:t>
      </w:r>
      <w:r w:rsidRPr="00BF3751">
        <w:rPr>
          <w:rFonts w:ascii="Bookman Old Style" w:hAnsi="Bookman Old Style"/>
          <w:lang w:val="id-ID"/>
        </w:rPr>
        <w:t>untuk:</w:t>
      </w:r>
      <w:r w:rsidR="00A954D0">
        <w:rPr>
          <w:rFonts w:ascii="Bookman Old Style" w:hAnsi="Bookman Old Style"/>
          <w:lang w:val="id-ID"/>
        </w:rPr>
        <w:t xml:space="preserve"> </w:t>
      </w:r>
    </w:p>
    <w:p w14:paraId="51127E01" w14:textId="7300D8C6" w:rsidR="003374DF" w:rsidRPr="00BF3751" w:rsidRDefault="003374DF" w:rsidP="00CA027E">
      <w:pPr>
        <w:pStyle w:val="ListParagraph"/>
        <w:numPr>
          <w:ilvl w:val="0"/>
          <w:numId w:val="154"/>
        </w:numPr>
        <w:spacing w:before="60" w:after="0" w:line="276" w:lineRule="auto"/>
        <w:ind w:left="1276" w:hanging="283"/>
        <w:contextualSpacing w:val="0"/>
        <w:jc w:val="both"/>
        <w:rPr>
          <w:rFonts w:ascii="Bookman Old Style" w:hAnsi="Bookman Old Style"/>
          <w:sz w:val="24"/>
          <w:szCs w:val="24"/>
          <w:lang w:val="id-ID"/>
        </w:rPr>
      </w:pPr>
      <w:r w:rsidRPr="00BF3751">
        <w:rPr>
          <w:rFonts w:ascii="Bookman Old Style" w:hAnsi="Bookman Old Style"/>
          <w:sz w:val="24"/>
          <w:szCs w:val="24"/>
          <w:lang w:val="id-ID"/>
        </w:rPr>
        <w:t>pembangunan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prasarana</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sarana,</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pembinaan,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kompetisi</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amatir,</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kompetisi</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kelompok</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umur</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sepak</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bola</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elit</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(unggulan)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dalam</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APBD</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sesuai</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dengan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kewenangan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kemampuan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keuangan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daerah</w:t>
      </w:r>
      <w:r w:rsidR="00CA027E" w:rsidRPr="00CA027E">
        <w:rPr>
          <w:rFonts w:ascii="Bookman Old Style" w:hAnsi="Bookman Old Style"/>
          <w:sz w:val="24"/>
          <w:szCs w:val="24"/>
          <w:lang w:val="sv-FI"/>
        </w:rPr>
        <w:t>;</w:t>
      </w:r>
      <w:r w:rsidR="00A954D0">
        <w:rPr>
          <w:rFonts w:ascii="Bookman Old Style" w:hAnsi="Bookman Old Style"/>
          <w:sz w:val="24"/>
          <w:szCs w:val="24"/>
          <w:lang w:val="id-ID"/>
        </w:rPr>
        <w:t xml:space="preserve"> </w:t>
      </w:r>
    </w:p>
    <w:p w14:paraId="4D78BC9C" w14:textId="63025519" w:rsidR="003374DF" w:rsidRPr="00BF3751" w:rsidRDefault="003374DF" w:rsidP="00CA027E">
      <w:pPr>
        <w:pStyle w:val="ListParagraph"/>
        <w:numPr>
          <w:ilvl w:val="0"/>
          <w:numId w:val="154"/>
        </w:numPr>
        <w:spacing w:before="60" w:after="0" w:line="276" w:lineRule="auto"/>
        <w:ind w:left="1276" w:hanging="283"/>
        <w:contextualSpacing w:val="0"/>
        <w:jc w:val="both"/>
        <w:rPr>
          <w:rFonts w:ascii="Bookman Old Style" w:hAnsi="Bookman Old Style"/>
          <w:sz w:val="24"/>
          <w:szCs w:val="24"/>
          <w:lang w:val="id-ID"/>
        </w:rPr>
      </w:pPr>
      <w:r w:rsidRPr="00BF3751">
        <w:rPr>
          <w:rFonts w:ascii="Bookman Old Style" w:hAnsi="Bookman Old Style"/>
          <w:sz w:val="24"/>
          <w:szCs w:val="24"/>
          <w:lang w:val="id-ID"/>
        </w:rPr>
        <w:t>penyelenggaraan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kompetisi</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amatir</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yang</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tidak</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dilakukan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dengan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pendekatan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ekonomi</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bisnis</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sesuai</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dengan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kewenangan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kemampuan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keuangan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daerah,</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serta</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kemudahan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atau</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insentif</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dalam</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penggunaan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prasarana</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sarana</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sepak</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bola</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kepada</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pemerintah</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daerah</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yang</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melaksanakan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Kompetisi</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Sepak</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Bola</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Amatir</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Indonesia</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melalui</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sewa</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atau</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kerja</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sama</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pemanfaatan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stadion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milik</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pemerintah</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daerah</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yang</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telah</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dibangun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untuk</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mendukung</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keberlanjutan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lastRenderedPageBreak/>
        <w:t>pemanfaatan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stadion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dimaksud</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dengan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berpedoman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pada</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ketentuan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peraturan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perundang-undangan</w:t>
      </w:r>
      <w:r w:rsidR="00CA027E" w:rsidRPr="00CA027E">
        <w:rPr>
          <w:rFonts w:ascii="Bookman Old Style" w:hAnsi="Bookman Old Style"/>
          <w:sz w:val="24"/>
          <w:szCs w:val="24"/>
          <w:lang w:val="id-ID"/>
        </w:rPr>
        <w:t>;</w:t>
      </w:r>
      <w:r w:rsidR="00A954D0">
        <w:rPr>
          <w:rFonts w:ascii="Bookman Old Style" w:hAnsi="Bookman Old Style"/>
          <w:sz w:val="24"/>
          <w:szCs w:val="24"/>
          <w:lang w:val="id-ID"/>
        </w:rPr>
        <w:t xml:space="preserve"> </w:t>
      </w:r>
    </w:p>
    <w:p w14:paraId="2BE89B1E" w14:textId="465A1F54" w:rsidR="003374DF" w:rsidRPr="00BF3751" w:rsidRDefault="003374DF" w:rsidP="00CA027E">
      <w:pPr>
        <w:pStyle w:val="ListParagraph"/>
        <w:numPr>
          <w:ilvl w:val="0"/>
          <w:numId w:val="154"/>
        </w:numPr>
        <w:spacing w:before="60" w:after="0" w:line="276" w:lineRule="auto"/>
        <w:ind w:left="1276" w:hanging="283"/>
        <w:contextualSpacing w:val="0"/>
        <w:jc w:val="both"/>
        <w:rPr>
          <w:rFonts w:ascii="Bookman Old Style" w:hAnsi="Bookman Old Style"/>
          <w:sz w:val="24"/>
          <w:szCs w:val="24"/>
          <w:lang w:val="id-ID"/>
        </w:rPr>
      </w:pPr>
      <w:r w:rsidRPr="00BF3751">
        <w:rPr>
          <w:rFonts w:ascii="Bookman Old Style" w:hAnsi="Bookman Old Style"/>
          <w:sz w:val="24"/>
          <w:szCs w:val="24"/>
          <w:lang w:val="id-ID"/>
        </w:rPr>
        <w:t>pencantuman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kegiatan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kejuaraan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kompetisi</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amatir,</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kompetisi</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kelompok</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umur</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sepak</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bola</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elit</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(unggulan)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di</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tingkat</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provinsi</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maupun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kegiatan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lainnya</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yang</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mendukung</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pembinaan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pengembangan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agar</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memedomani</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Peraturan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Menteri</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Dalam</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Negeri</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Nomor</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90</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Tahun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2019.</w:t>
      </w:r>
    </w:p>
    <w:p w14:paraId="15939DB3" w14:textId="32EC1AB8" w:rsidR="003374DF" w:rsidRPr="00BF3751" w:rsidRDefault="003374DF" w:rsidP="00953DC9">
      <w:pPr>
        <w:numPr>
          <w:ilvl w:val="0"/>
          <w:numId w:val="156"/>
        </w:numPr>
        <w:spacing w:before="60" w:line="276" w:lineRule="auto"/>
        <w:ind w:left="993" w:hanging="426"/>
        <w:jc w:val="both"/>
        <w:rPr>
          <w:rFonts w:ascii="Bookman Old Style" w:hAnsi="Bookman Old Style"/>
          <w:lang w:val="id-ID"/>
        </w:rPr>
      </w:pPr>
      <w:r w:rsidRPr="00BF3751">
        <w:rPr>
          <w:rFonts w:ascii="Bookman Old Style" w:hAnsi="Bookman Old Style"/>
          <w:lang w:val="id-ID"/>
        </w:rPr>
        <w:t>Dalam</w:t>
      </w:r>
      <w:r w:rsidR="00A954D0">
        <w:rPr>
          <w:rFonts w:ascii="Bookman Old Style" w:hAnsi="Bookman Old Style"/>
          <w:lang w:val="id-ID"/>
        </w:rPr>
        <w:t xml:space="preserve"> </w:t>
      </w:r>
      <w:r w:rsidRPr="00BF3751">
        <w:rPr>
          <w:rFonts w:ascii="Bookman Old Style" w:hAnsi="Bookman Old Style"/>
          <w:lang w:val="id-ID"/>
        </w:rPr>
        <w:t>rangka</w:t>
      </w:r>
      <w:r w:rsidR="00A954D0">
        <w:rPr>
          <w:rFonts w:ascii="Bookman Old Style" w:hAnsi="Bookman Old Style"/>
          <w:lang w:val="id-ID"/>
        </w:rPr>
        <w:t xml:space="preserve"> </w:t>
      </w:r>
      <w:r w:rsidRPr="00BF3751">
        <w:rPr>
          <w:rFonts w:ascii="Bookman Old Style" w:hAnsi="Bookman Old Style"/>
          <w:lang w:val="id-ID"/>
        </w:rPr>
        <w:t>melaksanakan</w:t>
      </w:r>
      <w:r w:rsidR="00A954D0">
        <w:rPr>
          <w:rFonts w:ascii="Bookman Old Style" w:hAnsi="Bookman Old Style"/>
          <w:lang w:val="id-ID"/>
        </w:rPr>
        <w:t xml:space="preserve"> </w:t>
      </w:r>
      <w:r w:rsidRPr="00BF3751">
        <w:rPr>
          <w:rFonts w:ascii="Bookman Old Style" w:hAnsi="Bookman Old Style"/>
          <w:lang w:val="id-ID"/>
        </w:rPr>
        <w:t>Desain</w:t>
      </w:r>
      <w:r w:rsidR="00A954D0">
        <w:rPr>
          <w:rFonts w:ascii="Bookman Old Style" w:hAnsi="Bookman Old Style"/>
          <w:lang w:val="id-ID"/>
        </w:rPr>
        <w:t xml:space="preserve"> </w:t>
      </w:r>
      <w:r w:rsidRPr="00BF3751">
        <w:rPr>
          <w:rFonts w:ascii="Bookman Old Style" w:hAnsi="Bookman Old Style"/>
          <w:lang w:val="id-ID"/>
        </w:rPr>
        <w:t>Besar</w:t>
      </w:r>
      <w:r w:rsidR="00A954D0">
        <w:rPr>
          <w:rFonts w:ascii="Bookman Old Style" w:hAnsi="Bookman Old Style"/>
          <w:lang w:val="id-ID"/>
        </w:rPr>
        <w:t xml:space="preserve"> </w:t>
      </w:r>
      <w:r w:rsidRPr="00BF3751">
        <w:rPr>
          <w:rFonts w:ascii="Bookman Old Style" w:hAnsi="Bookman Old Style"/>
          <w:lang w:val="id-ID"/>
        </w:rPr>
        <w:t>Olahraga</w:t>
      </w:r>
      <w:r w:rsidR="00A954D0">
        <w:rPr>
          <w:rFonts w:ascii="Bookman Old Style" w:hAnsi="Bookman Old Style"/>
          <w:lang w:val="id-ID"/>
        </w:rPr>
        <w:t xml:space="preserve"> </w:t>
      </w:r>
      <w:r w:rsidRPr="00BF3751">
        <w:rPr>
          <w:rFonts w:ascii="Bookman Old Style" w:hAnsi="Bookman Old Style"/>
          <w:lang w:val="id-ID"/>
        </w:rPr>
        <w:t>Nasional</w:t>
      </w:r>
      <w:r w:rsidR="00A954D0">
        <w:rPr>
          <w:rFonts w:ascii="Bookman Old Style" w:hAnsi="Bookman Old Style"/>
          <w:lang w:val="id-ID"/>
        </w:rPr>
        <w:t xml:space="preserve"> </w:t>
      </w:r>
      <w:r w:rsidRPr="00BF3751">
        <w:rPr>
          <w:rFonts w:ascii="Bookman Old Style" w:hAnsi="Bookman Old Style"/>
          <w:lang w:val="id-ID"/>
        </w:rPr>
        <w:t>(DBON)</w:t>
      </w:r>
      <w:r w:rsidR="00A954D0">
        <w:rPr>
          <w:rFonts w:ascii="Bookman Old Style" w:hAnsi="Bookman Old Style"/>
          <w:lang w:val="id-ID"/>
        </w:rPr>
        <w:t xml:space="preserve"> </w:t>
      </w:r>
      <w:r w:rsidRPr="00BF3751">
        <w:rPr>
          <w:rFonts w:ascii="Bookman Old Style" w:hAnsi="Bookman Old Style"/>
          <w:lang w:val="fi-FI"/>
        </w:rPr>
        <w:t>sebagaimana</w:t>
      </w:r>
      <w:r w:rsidR="00A954D0">
        <w:rPr>
          <w:rFonts w:ascii="Bookman Old Style" w:hAnsi="Bookman Old Style"/>
          <w:lang w:val="id-ID"/>
        </w:rPr>
        <w:t xml:space="preserve"> </w:t>
      </w:r>
      <w:r w:rsidRPr="00BF3751">
        <w:rPr>
          <w:rFonts w:ascii="Bookman Old Style" w:hAnsi="Bookman Old Style"/>
          <w:lang w:val="id-ID"/>
        </w:rPr>
        <w:t>diamanatkan</w:t>
      </w:r>
      <w:r w:rsidR="00A954D0">
        <w:rPr>
          <w:rFonts w:ascii="Bookman Old Style" w:hAnsi="Bookman Old Style"/>
          <w:lang w:val="id-ID"/>
        </w:rPr>
        <w:t xml:space="preserve"> </w:t>
      </w:r>
      <w:r w:rsidRPr="00BF3751">
        <w:rPr>
          <w:rFonts w:ascii="Bookman Old Style" w:hAnsi="Bookman Old Style"/>
          <w:lang w:val="id-ID"/>
        </w:rPr>
        <w:t>dalam</w:t>
      </w:r>
      <w:r w:rsidR="00A954D0">
        <w:rPr>
          <w:rFonts w:ascii="Bookman Old Style" w:hAnsi="Bookman Old Style"/>
          <w:lang w:val="id-ID"/>
        </w:rPr>
        <w:t xml:space="preserve"> </w:t>
      </w:r>
      <w:r w:rsidRPr="00BF3751">
        <w:rPr>
          <w:rFonts w:ascii="Bookman Old Style" w:hAnsi="Bookman Old Style"/>
          <w:lang w:val="id-ID"/>
        </w:rPr>
        <w:t>Peraturan</w:t>
      </w:r>
      <w:r w:rsidR="00A954D0">
        <w:rPr>
          <w:rFonts w:ascii="Bookman Old Style" w:hAnsi="Bookman Old Style"/>
          <w:lang w:val="id-ID"/>
        </w:rPr>
        <w:t xml:space="preserve"> </w:t>
      </w:r>
      <w:r w:rsidRPr="00BF3751">
        <w:rPr>
          <w:rFonts w:ascii="Bookman Old Style" w:hAnsi="Bookman Old Style"/>
          <w:lang w:val="id-ID"/>
        </w:rPr>
        <w:t>Presiden</w:t>
      </w:r>
      <w:r w:rsidR="00A954D0">
        <w:rPr>
          <w:rFonts w:ascii="Bookman Old Style" w:hAnsi="Bookman Old Style"/>
          <w:lang w:val="id-ID"/>
        </w:rPr>
        <w:t xml:space="preserve"> </w:t>
      </w:r>
      <w:r w:rsidRPr="00BF3751">
        <w:rPr>
          <w:rFonts w:ascii="Bookman Old Style" w:hAnsi="Bookman Old Style"/>
          <w:lang w:val="id-ID"/>
        </w:rPr>
        <w:t>Nomor</w:t>
      </w:r>
      <w:r w:rsidR="00A954D0">
        <w:rPr>
          <w:rFonts w:ascii="Bookman Old Style" w:hAnsi="Bookman Old Style"/>
          <w:lang w:val="id-ID"/>
        </w:rPr>
        <w:t xml:space="preserve"> </w:t>
      </w:r>
      <w:r w:rsidRPr="00BF3751">
        <w:rPr>
          <w:rFonts w:ascii="Bookman Old Style" w:hAnsi="Bookman Old Style"/>
          <w:lang w:val="id-ID"/>
        </w:rPr>
        <w:t>86</w:t>
      </w:r>
      <w:r w:rsidR="00A954D0">
        <w:rPr>
          <w:rFonts w:ascii="Bookman Old Style" w:hAnsi="Bookman Old Style"/>
          <w:lang w:val="id-ID"/>
        </w:rPr>
        <w:t xml:space="preserve"> </w:t>
      </w:r>
      <w:r w:rsidRPr="00BF3751">
        <w:rPr>
          <w:rFonts w:ascii="Bookman Old Style" w:hAnsi="Bookman Old Style"/>
          <w:lang w:val="id-ID"/>
        </w:rPr>
        <w:t>Tahun</w:t>
      </w:r>
      <w:r w:rsidR="00A954D0">
        <w:rPr>
          <w:rFonts w:ascii="Bookman Old Style" w:hAnsi="Bookman Old Style"/>
          <w:lang w:val="id-ID"/>
        </w:rPr>
        <w:t xml:space="preserve"> </w:t>
      </w:r>
      <w:r w:rsidRPr="00BF3751">
        <w:rPr>
          <w:rFonts w:ascii="Bookman Old Style" w:hAnsi="Bookman Old Style"/>
          <w:lang w:val="id-ID"/>
        </w:rPr>
        <w:t>2021</w:t>
      </w:r>
      <w:r w:rsidR="00A954D0">
        <w:rPr>
          <w:rFonts w:ascii="Bookman Old Style" w:hAnsi="Bookman Old Style"/>
          <w:lang w:val="id-ID"/>
        </w:rPr>
        <w:t xml:space="preserve"> </w:t>
      </w:r>
      <w:r w:rsidRPr="00BF3751">
        <w:rPr>
          <w:rFonts w:ascii="Bookman Old Style" w:hAnsi="Bookman Old Style"/>
          <w:lang w:val="id-ID"/>
        </w:rPr>
        <w:t>tentang</w:t>
      </w:r>
      <w:r w:rsidR="00A954D0">
        <w:rPr>
          <w:rFonts w:ascii="Bookman Old Style" w:hAnsi="Bookman Old Style"/>
          <w:lang w:val="id-ID"/>
        </w:rPr>
        <w:t xml:space="preserve"> </w:t>
      </w:r>
      <w:r w:rsidRPr="00BF3751">
        <w:rPr>
          <w:rFonts w:ascii="Bookman Old Style" w:hAnsi="Bookman Old Style"/>
          <w:lang w:val="id-ID"/>
        </w:rPr>
        <w:t>Desain</w:t>
      </w:r>
      <w:r w:rsidR="00A954D0">
        <w:rPr>
          <w:rFonts w:ascii="Bookman Old Style" w:hAnsi="Bookman Old Style"/>
          <w:lang w:val="id-ID"/>
        </w:rPr>
        <w:t xml:space="preserve"> </w:t>
      </w:r>
      <w:r w:rsidRPr="00BF3751">
        <w:rPr>
          <w:rFonts w:ascii="Bookman Old Style" w:hAnsi="Bookman Old Style"/>
          <w:lang w:val="id-ID"/>
        </w:rPr>
        <w:t>Besar</w:t>
      </w:r>
      <w:r w:rsidR="00A954D0">
        <w:rPr>
          <w:rFonts w:ascii="Bookman Old Style" w:hAnsi="Bookman Old Style"/>
          <w:lang w:val="id-ID"/>
        </w:rPr>
        <w:t xml:space="preserve"> </w:t>
      </w:r>
      <w:r w:rsidRPr="00BF3751">
        <w:rPr>
          <w:rFonts w:ascii="Bookman Old Style" w:hAnsi="Bookman Old Style"/>
          <w:lang w:val="id-ID"/>
        </w:rPr>
        <w:t>Olahraga</w:t>
      </w:r>
      <w:r w:rsidR="00A954D0">
        <w:rPr>
          <w:rFonts w:ascii="Bookman Old Style" w:hAnsi="Bookman Old Style"/>
          <w:lang w:val="id-ID"/>
        </w:rPr>
        <w:t xml:space="preserve"> </w:t>
      </w:r>
      <w:r w:rsidRPr="00BF3751">
        <w:rPr>
          <w:rFonts w:ascii="Bookman Old Style" w:hAnsi="Bookman Old Style"/>
          <w:lang w:val="id-ID"/>
        </w:rPr>
        <w:t>Nasional,</w:t>
      </w:r>
      <w:r w:rsidR="00A954D0">
        <w:rPr>
          <w:rFonts w:ascii="Bookman Old Style" w:hAnsi="Bookman Old Style"/>
          <w:lang w:val="id-ID"/>
        </w:rPr>
        <w:t xml:space="preserve"> </w:t>
      </w:r>
      <w:r w:rsidRPr="00BF3751">
        <w:rPr>
          <w:rFonts w:ascii="Bookman Old Style" w:hAnsi="Bookman Old Style"/>
          <w:lang w:val="id-ID"/>
        </w:rPr>
        <w:t>Pemerintah</w:t>
      </w:r>
      <w:r w:rsidR="00A954D0">
        <w:rPr>
          <w:rFonts w:ascii="Bookman Old Style" w:hAnsi="Bookman Old Style"/>
          <w:lang w:val="id-ID"/>
        </w:rPr>
        <w:t xml:space="preserve"> </w:t>
      </w:r>
      <w:r w:rsidRPr="00BF3751">
        <w:rPr>
          <w:rFonts w:ascii="Bookman Old Style" w:hAnsi="Bookman Old Style"/>
          <w:lang w:val="id-ID"/>
        </w:rPr>
        <w:t>Daerah</w:t>
      </w:r>
      <w:r w:rsidR="00A954D0">
        <w:rPr>
          <w:rFonts w:ascii="Bookman Old Style" w:hAnsi="Bookman Old Style"/>
          <w:lang w:val="id-ID"/>
        </w:rPr>
        <w:t xml:space="preserve"> </w:t>
      </w:r>
      <w:r w:rsidR="00046408" w:rsidRPr="00953DC9">
        <w:rPr>
          <w:rFonts w:ascii="Bookman Old Style" w:hAnsi="Bookman Old Style"/>
          <w:lang w:val="sv-FI"/>
        </w:rPr>
        <w:t>Kota</w:t>
      </w:r>
      <w:r w:rsidR="00A954D0">
        <w:rPr>
          <w:rFonts w:ascii="Bookman Old Style" w:hAnsi="Bookman Old Style"/>
          <w:lang w:val="id-ID"/>
        </w:rPr>
        <w:t xml:space="preserve"> </w:t>
      </w:r>
      <w:r w:rsidR="00770F22" w:rsidRPr="00BF3751">
        <w:rPr>
          <w:rFonts w:ascii="Bookman Old Style" w:hAnsi="Bookman Old Style"/>
          <w:lang w:val="id-ID"/>
        </w:rPr>
        <w:t>Tangerang</w:t>
      </w:r>
      <w:r w:rsidR="00A954D0">
        <w:rPr>
          <w:rFonts w:ascii="Bookman Old Style" w:hAnsi="Bookman Old Style"/>
          <w:lang w:val="id-ID"/>
        </w:rPr>
        <w:t xml:space="preserve"> </w:t>
      </w:r>
      <w:r w:rsidRPr="00BF3751">
        <w:rPr>
          <w:rFonts w:ascii="Bookman Old Style" w:hAnsi="Bookman Old Style"/>
          <w:lang w:val="id-ID"/>
        </w:rPr>
        <w:t>untuk</w:t>
      </w:r>
      <w:r w:rsidR="00A954D0">
        <w:rPr>
          <w:rFonts w:ascii="Bookman Old Style" w:hAnsi="Bookman Old Style"/>
          <w:lang w:val="id-ID"/>
        </w:rPr>
        <w:t xml:space="preserve"> </w:t>
      </w:r>
      <w:r w:rsidRPr="00BF3751">
        <w:rPr>
          <w:rFonts w:ascii="Bookman Old Style" w:hAnsi="Bookman Old Style"/>
          <w:lang w:val="id-ID"/>
        </w:rPr>
        <w:t>melaksanakan</w:t>
      </w:r>
      <w:r w:rsidR="00A954D0">
        <w:rPr>
          <w:rFonts w:ascii="Bookman Old Style" w:hAnsi="Bookman Old Style"/>
          <w:lang w:val="id-ID"/>
        </w:rPr>
        <w:t xml:space="preserve"> </w:t>
      </w:r>
      <w:r w:rsidRPr="00BF3751">
        <w:rPr>
          <w:rFonts w:ascii="Bookman Old Style" w:hAnsi="Bookman Old Style"/>
          <w:lang w:val="id-ID"/>
        </w:rPr>
        <w:t>sekurang-kurangnya</w:t>
      </w:r>
      <w:r w:rsidR="00A954D0">
        <w:rPr>
          <w:rFonts w:ascii="Bookman Old Style" w:hAnsi="Bookman Old Style"/>
          <w:lang w:val="id-ID"/>
        </w:rPr>
        <w:t xml:space="preserve"> </w:t>
      </w:r>
      <w:r w:rsidRPr="00BF3751">
        <w:rPr>
          <w:rFonts w:ascii="Bookman Old Style" w:hAnsi="Bookman Old Style"/>
          <w:lang w:val="id-ID"/>
        </w:rPr>
        <w:t>meliputi:</w:t>
      </w:r>
    </w:p>
    <w:p w14:paraId="5B15A0A9" w14:textId="2341B773" w:rsidR="003374DF" w:rsidRPr="00BF3751" w:rsidRDefault="003374DF" w:rsidP="00CA027E">
      <w:pPr>
        <w:pStyle w:val="ListParagraph"/>
        <w:numPr>
          <w:ilvl w:val="0"/>
          <w:numId w:val="59"/>
        </w:numPr>
        <w:spacing w:before="60" w:after="0" w:line="276" w:lineRule="auto"/>
        <w:ind w:left="1276" w:hanging="283"/>
        <w:contextualSpacing w:val="0"/>
        <w:jc w:val="both"/>
        <w:rPr>
          <w:rFonts w:ascii="Bookman Old Style" w:hAnsi="Bookman Old Style"/>
          <w:sz w:val="24"/>
          <w:szCs w:val="24"/>
          <w:lang w:val="id-ID"/>
        </w:rPr>
      </w:pPr>
      <w:r w:rsidRPr="00BF3751">
        <w:rPr>
          <w:rFonts w:ascii="Bookman Old Style" w:hAnsi="Bookman Old Style"/>
          <w:sz w:val="24"/>
          <w:szCs w:val="24"/>
          <w:lang w:val="id-ID"/>
        </w:rPr>
        <w:t>menyelenggarakan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DBON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secara</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bertahap</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dengan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berpedoman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pada</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peta</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jalan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DBON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berdasarkan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periode</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DBON;</w:t>
      </w:r>
    </w:p>
    <w:p w14:paraId="67C15BEB" w14:textId="64FDCBE9" w:rsidR="003374DF" w:rsidRPr="00BF3751" w:rsidRDefault="003374DF" w:rsidP="00CA027E">
      <w:pPr>
        <w:pStyle w:val="ListParagraph"/>
        <w:numPr>
          <w:ilvl w:val="0"/>
          <w:numId w:val="59"/>
        </w:numPr>
        <w:spacing w:before="60" w:after="0" w:line="276" w:lineRule="auto"/>
        <w:ind w:left="1276" w:hanging="283"/>
        <w:contextualSpacing w:val="0"/>
        <w:jc w:val="both"/>
        <w:rPr>
          <w:rFonts w:ascii="Bookman Old Style" w:hAnsi="Bookman Old Style"/>
          <w:sz w:val="24"/>
          <w:szCs w:val="24"/>
          <w:lang w:val="id-ID"/>
        </w:rPr>
      </w:pPr>
      <w:r w:rsidRPr="00BF3751">
        <w:rPr>
          <w:rFonts w:ascii="Bookman Old Style" w:hAnsi="Bookman Old Style"/>
          <w:sz w:val="24"/>
          <w:szCs w:val="24"/>
          <w:lang w:val="id-ID"/>
        </w:rPr>
        <w:t>mengelola</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paling</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sedikit</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1</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(satu)</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cabang</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olahraga</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unggulan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berdasarkan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DBON;</w:t>
      </w:r>
    </w:p>
    <w:p w14:paraId="7FF02F1E" w14:textId="1D158306" w:rsidR="003374DF" w:rsidRPr="00BF3751" w:rsidRDefault="003374DF" w:rsidP="00CA027E">
      <w:pPr>
        <w:pStyle w:val="ListParagraph"/>
        <w:numPr>
          <w:ilvl w:val="0"/>
          <w:numId w:val="59"/>
        </w:numPr>
        <w:spacing w:before="60" w:after="0" w:line="276" w:lineRule="auto"/>
        <w:ind w:left="1276" w:hanging="283"/>
        <w:contextualSpacing w:val="0"/>
        <w:jc w:val="both"/>
        <w:rPr>
          <w:rFonts w:ascii="Bookman Old Style" w:hAnsi="Bookman Old Style"/>
          <w:sz w:val="24"/>
          <w:szCs w:val="24"/>
          <w:lang w:val="id-ID"/>
        </w:rPr>
      </w:pPr>
      <w:r w:rsidRPr="00BF3751">
        <w:rPr>
          <w:rFonts w:ascii="Bookman Old Style" w:hAnsi="Bookman Old Style"/>
          <w:sz w:val="24"/>
          <w:szCs w:val="24"/>
          <w:lang w:val="id-ID"/>
        </w:rPr>
        <w:t>membentuk</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tim</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koordinasi</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tingkat</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daerah</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Provinsi</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dan</w:t>
      </w:r>
      <w:r w:rsidR="00A954D0">
        <w:rPr>
          <w:rFonts w:ascii="Bookman Old Style" w:hAnsi="Bookman Old Style"/>
          <w:sz w:val="24"/>
          <w:szCs w:val="24"/>
          <w:lang w:val="id-ID"/>
        </w:rPr>
        <w:t xml:space="preserve"> </w:t>
      </w:r>
      <w:r w:rsidR="00172E1C" w:rsidRPr="00BF3751">
        <w:rPr>
          <w:rFonts w:ascii="Bookman Old Style" w:hAnsi="Bookman Old Style"/>
          <w:sz w:val="24"/>
          <w:szCs w:val="24"/>
          <w:lang w:val="id-ID"/>
        </w:rPr>
        <w:t>Kabupaten/Kota</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dalam</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menyelenggarakan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DBON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di</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daerah;</w:t>
      </w:r>
    </w:p>
    <w:p w14:paraId="3C4C8F8E" w14:textId="49EC3485" w:rsidR="003374DF" w:rsidRPr="00BF3751" w:rsidRDefault="003374DF" w:rsidP="00CA027E">
      <w:pPr>
        <w:pStyle w:val="ListParagraph"/>
        <w:numPr>
          <w:ilvl w:val="0"/>
          <w:numId w:val="59"/>
        </w:numPr>
        <w:spacing w:before="60" w:after="0" w:line="276" w:lineRule="auto"/>
        <w:ind w:left="1276" w:hanging="283"/>
        <w:contextualSpacing w:val="0"/>
        <w:jc w:val="both"/>
        <w:rPr>
          <w:rFonts w:ascii="Bookman Old Style" w:hAnsi="Bookman Old Style"/>
          <w:sz w:val="24"/>
          <w:szCs w:val="24"/>
          <w:lang w:val="id-ID"/>
        </w:rPr>
      </w:pPr>
      <w:r w:rsidRPr="00BF3751">
        <w:rPr>
          <w:rFonts w:ascii="Bookman Old Style" w:hAnsi="Bookman Old Style"/>
          <w:sz w:val="24"/>
          <w:szCs w:val="24"/>
          <w:lang w:val="id-ID"/>
        </w:rPr>
        <w:t>menyediakan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anggaran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yang</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bersumber</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dari</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APBD</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sesuai</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dengan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kemampuan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keuangan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daerah</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mempertimbangkan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target</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capaian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DBON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yang</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menjadi</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kewenangan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Pemerintah</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Daerah;</w:t>
      </w:r>
      <w:r w:rsidR="00A954D0">
        <w:rPr>
          <w:rFonts w:ascii="Bookman Old Style" w:hAnsi="Bookman Old Style"/>
          <w:sz w:val="24"/>
          <w:szCs w:val="24"/>
          <w:lang w:val="id-ID"/>
        </w:rPr>
        <w:t xml:space="preserve"> </w:t>
      </w:r>
    </w:p>
    <w:p w14:paraId="602C0596" w14:textId="77B406B5" w:rsidR="003374DF" w:rsidRPr="00BF3751" w:rsidRDefault="003374DF" w:rsidP="006E7862">
      <w:pPr>
        <w:pStyle w:val="ListParagraph"/>
        <w:numPr>
          <w:ilvl w:val="0"/>
          <w:numId w:val="59"/>
        </w:numPr>
        <w:spacing w:before="60" w:after="0" w:line="276" w:lineRule="auto"/>
        <w:ind w:left="1276" w:hanging="283"/>
        <w:contextualSpacing w:val="0"/>
        <w:jc w:val="both"/>
        <w:rPr>
          <w:rFonts w:ascii="Bookman Old Style" w:hAnsi="Bookman Old Style"/>
          <w:sz w:val="24"/>
          <w:szCs w:val="24"/>
          <w:lang w:val="id-ID"/>
        </w:rPr>
      </w:pPr>
      <w:r w:rsidRPr="00BF3751">
        <w:rPr>
          <w:rFonts w:ascii="Bookman Old Style" w:hAnsi="Bookman Old Style"/>
          <w:sz w:val="24"/>
          <w:szCs w:val="24"/>
          <w:lang w:val="id-ID"/>
        </w:rPr>
        <w:t>menyediakan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dukungan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anggaran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dalam</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APBD</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dalam</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rangka</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pengukuran</w:t>
      </w:r>
      <w:r w:rsidR="00A954D0">
        <w:rPr>
          <w:rFonts w:ascii="Bookman Old Style" w:hAnsi="Bookman Old Style"/>
          <w:sz w:val="24"/>
          <w:szCs w:val="24"/>
          <w:lang w:val="id-ID"/>
        </w:rPr>
        <w:t xml:space="preserve"> </w:t>
      </w:r>
      <w:r w:rsidRPr="00BF3751">
        <w:rPr>
          <w:rFonts w:ascii="Bookman Old Style" w:hAnsi="Bookman Old Style"/>
          <w:i/>
          <w:iCs/>
          <w:sz w:val="24"/>
          <w:szCs w:val="24"/>
          <w:lang w:val="id-ID"/>
        </w:rPr>
        <w:t>Sport</w:t>
      </w:r>
      <w:r w:rsidR="00A954D0">
        <w:rPr>
          <w:rFonts w:ascii="Bookman Old Style" w:hAnsi="Bookman Old Style"/>
          <w:i/>
          <w:iCs/>
          <w:sz w:val="24"/>
          <w:szCs w:val="24"/>
          <w:lang w:val="id-ID"/>
        </w:rPr>
        <w:t xml:space="preserve"> </w:t>
      </w:r>
      <w:r w:rsidRPr="00BF3751">
        <w:rPr>
          <w:rFonts w:ascii="Bookman Old Style" w:hAnsi="Bookman Old Style"/>
          <w:i/>
          <w:iCs/>
          <w:sz w:val="24"/>
          <w:szCs w:val="24"/>
          <w:lang w:val="id-ID"/>
        </w:rPr>
        <w:t>Developmen</w:t>
      </w:r>
      <w:r w:rsidRPr="003255BC">
        <w:rPr>
          <w:rFonts w:ascii="Bookman Old Style" w:hAnsi="Bookman Old Style"/>
          <w:i/>
          <w:iCs/>
          <w:sz w:val="24"/>
          <w:szCs w:val="24"/>
          <w:lang w:val="sv-FI"/>
        </w:rPr>
        <w:t>t</w:t>
      </w:r>
      <w:r w:rsidR="00A954D0">
        <w:rPr>
          <w:rFonts w:ascii="Bookman Old Style" w:hAnsi="Bookman Old Style"/>
          <w:i/>
          <w:iCs/>
          <w:sz w:val="24"/>
          <w:szCs w:val="24"/>
          <w:lang w:val="id-ID"/>
        </w:rPr>
        <w:t xml:space="preserve"> </w:t>
      </w:r>
      <w:r w:rsidRPr="00BF3751">
        <w:rPr>
          <w:rFonts w:ascii="Bookman Old Style" w:hAnsi="Bookman Old Style"/>
          <w:i/>
          <w:iCs/>
          <w:sz w:val="24"/>
          <w:szCs w:val="24"/>
          <w:lang w:val="id-ID"/>
        </w:rPr>
        <w:t>Index</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(SDI)</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di</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daerah</w:t>
      </w:r>
      <w:r w:rsidRPr="003255BC">
        <w:rPr>
          <w:rFonts w:ascii="Bookman Old Style" w:hAnsi="Bookman Old Style"/>
          <w:sz w:val="24"/>
          <w:szCs w:val="24"/>
          <w:lang w:val="sv-FI"/>
        </w:rPr>
        <w:t>;</w:t>
      </w:r>
    </w:p>
    <w:p w14:paraId="13DF44E1" w14:textId="79592EA1" w:rsidR="003374DF" w:rsidRPr="00BF3751" w:rsidRDefault="003374DF" w:rsidP="006E7862">
      <w:pPr>
        <w:pStyle w:val="ListParagraph"/>
        <w:numPr>
          <w:ilvl w:val="0"/>
          <w:numId w:val="59"/>
        </w:numPr>
        <w:shd w:val="clear" w:color="auto" w:fill="FFFFFF" w:themeFill="background1"/>
        <w:tabs>
          <w:tab w:val="left" w:pos="3828"/>
        </w:tabs>
        <w:spacing w:before="60" w:after="0" w:line="276" w:lineRule="auto"/>
        <w:ind w:left="1276" w:hanging="283"/>
        <w:contextualSpacing w:val="0"/>
        <w:jc w:val="both"/>
        <w:rPr>
          <w:rFonts w:ascii="Bookman Old Style" w:hAnsi="Bookman Old Style" w:cs="Arial"/>
          <w:sz w:val="24"/>
          <w:szCs w:val="24"/>
        </w:rPr>
      </w:pPr>
      <w:r w:rsidRPr="00BF3751">
        <w:rPr>
          <w:rFonts w:ascii="Bookman Old Style" w:hAnsi="Bookman Old Style"/>
          <w:sz w:val="24"/>
          <w:szCs w:val="24"/>
        </w:rPr>
        <w:t>menyediakan</w:t>
      </w:r>
      <w:r w:rsidR="00A954D0">
        <w:rPr>
          <w:rFonts w:ascii="Bookman Old Style" w:hAnsi="Bookman Old Style"/>
          <w:sz w:val="24"/>
          <w:szCs w:val="24"/>
        </w:rPr>
        <w:t xml:space="preserve"> </w:t>
      </w:r>
      <w:r w:rsidRPr="00BF3751">
        <w:rPr>
          <w:rFonts w:ascii="Bookman Old Style" w:hAnsi="Bookman Old Style"/>
          <w:sz w:val="24"/>
          <w:szCs w:val="24"/>
        </w:rPr>
        <w:t>dukungan</w:t>
      </w:r>
      <w:r w:rsidR="00A954D0">
        <w:rPr>
          <w:rFonts w:ascii="Bookman Old Style" w:hAnsi="Bookman Old Style"/>
          <w:sz w:val="24"/>
          <w:szCs w:val="24"/>
        </w:rPr>
        <w:t xml:space="preserve"> </w:t>
      </w:r>
      <w:r w:rsidRPr="00BF3751">
        <w:rPr>
          <w:rFonts w:ascii="Bookman Old Style" w:hAnsi="Bookman Old Style"/>
          <w:sz w:val="24"/>
          <w:szCs w:val="24"/>
        </w:rPr>
        <w:t>untuk</w:t>
      </w:r>
      <w:r w:rsidR="00A954D0">
        <w:rPr>
          <w:rFonts w:ascii="Bookman Old Style" w:hAnsi="Bookman Old Style"/>
          <w:sz w:val="24"/>
          <w:szCs w:val="24"/>
        </w:rPr>
        <w:t xml:space="preserve"> </w:t>
      </w:r>
      <w:r w:rsidRPr="00BF3751">
        <w:rPr>
          <w:rFonts w:ascii="Bookman Old Style" w:hAnsi="Bookman Old Style"/>
          <w:sz w:val="24"/>
          <w:szCs w:val="24"/>
        </w:rPr>
        <w:t>pembinaan</w:t>
      </w:r>
      <w:r w:rsidR="00A954D0">
        <w:rPr>
          <w:rFonts w:ascii="Bookman Old Style" w:hAnsi="Bookman Old Style"/>
          <w:sz w:val="24"/>
          <w:szCs w:val="24"/>
        </w:rPr>
        <w:t xml:space="preserve"> </w:t>
      </w:r>
      <w:r w:rsidRPr="00BF3751">
        <w:rPr>
          <w:rFonts w:ascii="Bookman Old Style" w:hAnsi="Bookman Old Style"/>
          <w:sz w:val="24"/>
          <w:szCs w:val="24"/>
        </w:rPr>
        <w:t>atlet</w:t>
      </w:r>
      <w:r w:rsidR="00A954D0">
        <w:rPr>
          <w:rFonts w:ascii="Bookman Old Style" w:hAnsi="Bookman Old Style"/>
          <w:sz w:val="24"/>
          <w:szCs w:val="24"/>
        </w:rPr>
        <w:t xml:space="preserve"> </w:t>
      </w:r>
      <w:r w:rsidRPr="00BF3751">
        <w:rPr>
          <w:rFonts w:ascii="Bookman Old Style" w:hAnsi="Bookman Old Style"/>
          <w:sz w:val="24"/>
          <w:szCs w:val="24"/>
        </w:rPr>
        <w:t>daerah</w:t>
      </w:r>
      <w:r w:rsidR="00A954D0">
        <w:rPr>
          <w:rFonts w:ascii="Bookman Old Style" w:hAnsi="Bookman Old Style"/>
          <w:sz w:val="24"/>
          <w:szCs w:val="24"/>
        </w:rPr>
        <w:t xml:space="preserve"> </w:t>
      </w:r>
      <w:r w:rsidRPr="00BF3751">
        <w:rPr>
          <w:rFonts w:ascii="Bookman Old Style" w:hAnsi="Bookman Old Style"/>
          <w:sz w:val="24"/>
          <w:szCs w:val="24"/>
        </w:rPr>
        <w:t>melalui</w:t>
      </w:r>
      <w:r w:rsidR="00A954D0">
        <w:rPr>
          <w:rFonts w:ascii="Bookman Old Style" w:hAnsi="Bookman Old Style"/>
          <w:sz w:val="24"/>
          <w:szCs w:val="24"/>
        </w:rPr>
        <w:t xml:space="preserve"> </w:t>
      </w:r>
      <w:r w:rsidRPr="00BF3751">
        <w:rPr>
          <w:rFonts w:ascii="Bookman Old Style" w:hAnsi="Bookman Old Style"/>
          <w:sz w:val="24"/>
          <w:szCs w:val="24"/>
        </w:rPr>
        <w:t>Pusat</w:t>
      </w:r>
      <w:r w:rsidR="00A954D0">
        <w:rPr>
          <w:rFonts w:ascii="Bookman Old Style" w:hAnsi="Bookman Old Style"/>
          <w:sz w:val="24"/>
          <w:szCs w:val="24"/>
        </w:rPr>
        <w:t xml:space="preserve"> </w:t>
      </w:r>
      <w:r w:rsidRPr="00BF3751">
        <w:rPr>
          <w:rFonts w:ascii="Bookman Old Style" w:hAnsi="Bookman Old Style"/>
          <w:sz w:val="24"/>
          <w:szCs w:val="24"/>
        </w:rPr>
        <w:t>Pendidikan</w:t>
      </w:r>
      <w:r w:rsidR="00A954D0">
        <w:rPr>
          <w:rFonts w:ascii="Bookman Old Style" w:hAnsi="Bookman Old Style"/>
          <w:sz w:val="24"/>
          <w:szCs w:val="24"/>
        </w:rPr>
        <w:t xml:space="preserve"> </w:t>
      </w:r>
      <w:r w:rsidRPr="00BF3751">
        <w:rPr>
          <w:rFonts w:ascii="Bookman Old Style" w:hAnsi="Bookman Old Style"/>
          <w:sz w:val="24"/>
          <w:szCs w:val="24"/>
        </w:rPr>
        <w:t>dan</w:t>
      </w:r>
      <w:r w:rsidR="00A954D0">
        <w:rPr>
          <w:rFonts w:ascii="Bookman Old Style" w:hAnsi="Bookman Old Style"/>
          <w:sz w:val="24"/>
          <w:szCs w:val="24"/>
        </w:rPr>
        <w:t xml:space="preserve"> </w:t>
      </w:r>
      <w:r w:rsidRPr="00BF3751">
        <w:rPr>
          <w:rFonts w:ascii="Bookman Old Style" w:hAnsi="Bookman Old Style"/>
          <w:sz w:val="24"/>
          <w:szCs w:val="24"/>
        </w:rPr>
        <w:t>Latihan</w:t>
      </w:r>
      <w:r w:rsidR="00A954D0">
        <w:rPr>
          <w:rFonts w:ascii="Bookman Old Style" w:hAnsi="Bookman Old Style"/>
          <w:sz w:val="24"/>
          <w:szCs w:val="24"/>
        </w:rPr>
        <w:t xml:space="preserve"> </w:t>
      </w:r>
      <w:r w:rsidRPr="00BF3751">
        <w:rPr>
          <w:rFonts w:ascii="Bookman Old Style" w:hAnsi="Bookman Old Style"/>
          <w:sz w:val="24"/>
          <w:szCs w:val="24"/>
        </w:rPr>
        <w:t>Pelajar</w:t>
      </w:r>
      <w:r w:rsidR="00A954D0">
        <w:rPr>
          <w:rFonts w:ascii="Bookman Old Style" w:hAnsi="Bookman Old Style"/>
          <w:sz w:val="24"/>
          <w:szCs w:val="24"/>
        </w:rPr>
        <w:t xml:space="preserve"> </w:t>
      </w:r>
      <w:r w:rsidRPr="00BF3751">
        <w:rPr>
          <w:rFonts w:ascii="Bookman Old Style" w:hAnsi="Bookman Old Style"/>
          <w:sz w:val="24"/>
          <w:szCs w:val="24"/>
        </w:rPr>
        <w:t>(PPLP),</w:t>
      </w:r>
      <w:r w:rsidR="00A954D0">
        <w:rPr>
          <w:rFonts w:ascii="Bookman Old Style" w:hAnsi="Bookman Old Style"/>
          <w:sz w:val="24"/>
          <w:szCs w:val="24"/>
        </w:rPr>
        <w:t xml:space="preserve"> </w:t>
      </w:r>
      <w:r w:rsidRPr="00BF3751">
        <w:rPr>
          <w:rFonts w:ascii="Bookman Old Style" w:hAnsi="Bookman Old Style"/>
          <w:sz w:val="24"/>
          <w:szCs w:val="24"/>
        </w:rPr>
        <w:t>Sekolah</w:t>
      </w:r>
      <w:r w:rsidR="00A954D0">
        <w:rPr>
          <w:rFonts w:ascii="Bookman Old Style" w:hAnsi="Bookman Old Style"/>
          <w:sz w:val="24"/>
          <w:szCs w:val="24"/>
        </w:rPr>
        <w:t xml:space="preserve"> </w:t>
      </w:r>
      <w:r w:rsidRPr="00BF3751">
        <w:rPr>
          <w:rFonts w:ascii="Bookman Old Style" w:hAnsi="Bookman Old Style"/>
          <w:sz w:val="24"/>
          <w:szCs w:val="24"/>
        </w:rPr>
        <w:t>Khusus</w:t>
      </w:r>
      <w:r w:rsidR="00A954D0">
        <w:rPr>
          <w:rFonts w:ascii="Bookman Old Style" w:hAnsi="Bookman Old Style"/>
          <w:sz w:val="24"/>
          <w:szCs w:val="24"/>
        </w:rPr>
        <w:t xml:space="preserve"> </w:t>
      </w:r>
      <w:r w:rsidRPr="00BF3751">
        <w:rPr>
          <w:rFonts w:ascii="Bookman Old Style" w:hAnsi="Bookman Old Style"/>
          <w:sz w:val="24"/>
          <w:szCs w:val="24"/>
        </w:rPr>
        <w:t>Olahragawan</w:t>
      </w:r>
      <w:r w:rsidR="00A954D0">
        <w:rPr>
          <w:rFonts w:ascii="Bookman Old Style" w:hAnsi="Bookman Old Style"/>
          <w:sz w:val="24"/>
          <w:szCs w:val="24"/>
        </w:rPr>
        <w:t xml:space="preserve"> </w:t>
      </w:r>
      <w:r w:rsidRPr="00BF3751">
        <w:rPr>
          <w:rFonts w:ascii="Bookman Old Style" w:hAnsi="Bookman Old Style"/>
          <w:sz w:val="24"/>
          <w:szCs w:val="24"/>
        </w:rPr>
        <w:t>(SKO),</w:t>
      </w:r>
      <w:r w:rsidR="00A954D0">
        <w:rPr>
          <w:rFonts w:ascii="Bookman Old Style" w:hAnsi="Bookman Old Style"/>
          <w:sz w:val="24"/>
          <w:szCs w:val="24"/>
        </w:rPr>
        <w:t xml:space="preserve"> </w:t>
      </w:r>
      <w:r w:rsidRPr="00BF3751">
        <w:rPr>
          <w:rFonts w:ascii="Bookman Old Style" w:hAnsi="Bookman Old Style"/>
          <w:sz w:val="24"/>
          <w:szCs w:val="24"/>
        </w:rPr>
        <w:t>dukungan</w:t>
      </w:r>
      <w:r w:rsidR="00A954D0">
        <w:rPr>
          <w:rFonts w:ascii="Bookman Old Style" w:hAnsi="Bookman Old Style"/>
          <w:sz w:val="24"/>
          <w:szCs w:val="24"/>
        </w:rPr>
        <w:t xml:space="preserve"> </w:t>
      </w:r>
      <w:r w:rsidRPr="00BF3751">
        <w:rPr>
          <w:rFonts w:ascii="Bookman Old Style" w:hAnsi="Bookman Old Style"/>
          <w:i/>
          <w:iCs/>
          <w:sz w:val="24"/>
          <w:szCs w:val="24"/>
        </w:rPr>
        <w:t>sport</w:t>
      </w:r>
      <w:r w:rsidR="00A954D0">
        <w:rPr>
          <w:rFonts w:ascii="Bookman Old Style" w:hAnsi="Bookman Old Style"/>
          <w:i/>
          <w:iCs/>
          <w:sz w:val="24"/>
          <w:szCs w:val="24"/>
        </w:rPr>
        <w:t xml:space="preserve"> </w:t>
      </w:r>
      <w:r w:rsidRPr="00BF3751">
        <w:rPr>
          <w:rFonts w:ascii="Bookman Old Style" w:hAnsi="Bookman Old Style"/>
          <w:i/>
          <w:iCs/>
          <w:sz w:val="24"/>
          <w:szCs w:val="24"/>
        </w:rPr>
        <w:t>science</w:t>
      </w:r>
      <w:r w:rsidR="00A954D0">
        <w:rPr>
          <w:rFonts w:ascii="Bookman Old Style" w:hAnsi="Bookman Old Style"/>
          <w:sz w:val="24"/>
          <w:szCs w:val="24"/>
        </w:rPr>
        <w:t xml:space="preserve"> </w:t>
      </w:r>
      <w:r w:rsidRPr="00BF3751">
        <w:rPr>
          <w:rFonts w:ascii="Bookman Old Style" w:hAnsi="Bookman Old Style"/>
          <w:sz w:val="24"/>
          <w:szCs w:val="24"/>
        </w:rPr>
        <w:t>yang</w:t>
      </w:r>
      <w:r w:rsidR="00A954D0">
        <w:rPr>
          <w:rFonts w:ascii="Bookman Old Style" w:hAnsi="Bookman Old Style"/>
          <w:sz w:val="24"/>
          <w:szCs w:val="24"/>
        </w:rPr>
        <w:t xml:space="preserve"> </w:t>
      </w:r>
      <w:r w:rsidRPr="00BF3751">
        <w:rPr>
          <w:rFonts w:ascii="Bookman Old Style" w:hAnsi="Bookman Old Style"/>
          <w:sz w:val="24"/>
          <w:szCs w:val="24"/>
        </w:rPr>
        <w:t>bekerjasama</w:t>
      </w:r>
      <w:r w:rsidR="00A954D0">
        <w:rPr>
          <w:rFonts w:ascii="Bookman Old Style" w:hAnsi="Bookman Old Style"/>
          <w:sz w:val="24"/>
          <w:szCs w:val="24"/>
        </w:rPr>
        <w:t xml:space="preserve"> </w:t>
      </w:r>
      <w:r w:rsidRPr="00BF3751">
        <w:rPr>
          <w:rFonts w:ascii="Bookman Old Style" w:hAnsi="Bookman Old Style"/>
          <w:sz w:val="24"/>
          <w:szCs w:val="24"/>
        </w:rPr>
        <w:t>dengan</w:t>
      </w:r>
      <w:r w:rsidR="00A954D0">
        <w:rPr>
          <w:rFonts w:ascii="Bookman Old Style" w:hAnsi="Bookman Old Style"/>
          <w:sz w:val="24"/>
          <w:szCs w:val="24"/>
        </w:rPr>
        <w:t xml:space="preserve"> </w:t>
      </w:r>
      <w:r w:rsidRPr="00BF3751">
        <w:rPr>
          <w:rFonts w:ascii="Bookman Old Style" w:hAnsi="Bookman Old Style"/>
          <w:sz w:val="24"/>
          <w:szCs w:val="24"/>
        </w:rPr>
        <w:t>Universitas;</w:t>
      </w:r>
      <w:r w:rsidR="00A954D0">
        <w:rPr>
          <w:rFonts w:ascii="Bookman Old Style" w:hAnsi="Bookman Old Style"/>
          <w:sz w:val="24"/>
          <w:szCs w:val="24"/>
        </w:rPr>
        <w:t xml:space="preserve"> </w:t>
      </w:r>
      <w:r w:rsidRPr="00BF3751">
        <w:rPr>
          <w:rFonts w:ascii="Bookman Old Style" w:hAnsi="Bookman Old Style"/>
          <w:sz w:val="24"/>
          <w:szCs w:val="24"/>
        </w:rPr>
        <w:t>dan</w:t>
      </w:r>
    </w:p>
    <w:p w14:paraId="7762291A" w14:textId="118294B4" w:rsidR="003374DF" w:rsidRPr="00BF3751" w:rsidRDefault="003374DF" w:rsidP="006E7862">
      <w:pPr>
        <w:pStyle w:val="ListParagraph"/>
        <w:numPr>
          <w:ilvl w:val="0"/>
          <w:numId w:val="59"/>
        </w:numPr>
        <w:spacing w:before="60" w:after="0" w:line="276" w:lineRule="auto"/>
        <w:ind w:left="1276" w:hanging="283"/>
        <w:contextualSpacing w:val="0"/>
        <w:jc w:val="both"/>
        <w:rPr>
          <w:rFonts w:ascii="Bookman Old Style" w:hAnsi="Bookman Old Style"/>
          <w:sz w:val="24"/>
          <w:szCs w:val="24"/>
          <w:lang w:val="id-ID"/>
        </w:rPr>
      </w:pPr>
      <w:r w:rsidRPr="00BF3751">
        <w:rPr>
          <w:rFonts w:ascii="Bookman Old Style" w:hAnsi="Bookman Old Style"/>
          <w:sz w:val="24"/>
          <w:szCs w:val="24"/>
        </w:rPr>
        <w:t>menyusun</w:t>
      </w:r>
      <w:r w:rsidR="00A954D0">
        <w:rPr>
          <w:rFonts w:ascii="Bookman Old Style" w:hAnsi="Bookman Old Style"/>
          <w:sz w:val="24"/>
          <w:szCs w:val="24"/>
        </w:rPr>
        <w:t xml:space="preserve"> </w:t>
      </w:r>
      <w:r w:rsidRPr="00BF3751">
        <w:rPr>
          <w:rFonts w:ascii="Bookman Old Style" w:hAnsi="Bookman Old Style"/>
          <w:sz w:val="24"/>
          <w:szCs w:val="24"/>
        </w:rPr>
        <w:t>desain</w:t>
      </w:r>
      <w:r w:rsidR="00A954D0">
        <w:rPr>
          <w:rFonts w:ascii="Bookman Old Style" w:hAnsi="Bookman Old Style"/>
          <w:sz w:val="24"/>
          <w:szCs w:val="24"/>
        </w:rPr>
        <w:t xml:space="preserve"> </w:t>
      </w:r>
      <w:r w:rsidRPr="00BF3751">
        <w:rPr>
          <w:rFonts w:ascii="Bookman Old Style" w:hAnsi="Bookman Old Style"/>
          <w:sz w:val="24"/>
          <w:szCs w:val="24"/>
        </w:rPr>
        <w:t>olahraga</w:t>
      </w:r>
      <w:r w:rsidR="00A954D0">
        <w:rPr>
          <w:rFonts w:ascii="Bookman Old Style" w:hAnsi="Bookman Old Style"/>
          <w:sz w:val="24"/>
          <w:szCs w:val="24"/>
        </w:rPr>
        <w:t xml:space="preserve"> </w:t>
      </w:r>
      <w:r w:rsidRPr="00BF3751">
        <w:rPr>
          <w:rFonts w:ascii="Bookman Old Style" w:hAnsi="Bookman Old Style"/>
          <w:sz w:val="24"/>
          <w:szCs w:val="24"/>
        </w:rPr>
        <w:t>daerah</w:t>
      </w:r>
      <w:r w:rsidR="00A954D0">
        <w:rPr>
          <w:rFonts w:ascii="Bookman Old Style" w:hAnsi="Bookman Old Style"/>
          <w:sz w:val="24"/>
          <w:szCs w:val="24"/>
        </w:rPr>
        <w:t xml:space="preserve"> </w:t>
      </w:r>
      <w:r w:rsidRPr="00BF3751">
        <w:rPr>
          <w:rFonts w:ascii="Bookman Old Style" w:hAnsi="Bookman Old Style"/>
          <w:sz w:val="24"/>
          <w:szCs w:val="24"/>
        </w:rPr>
        <w:t>berdasarkan</w:t>
      </w:r>
      <w:r w:rsidR="00A954D0">
        <w:rPr>
          <w:rFonts w:ascii="Bookman Old Style" w:hAnsi="Bookman Old Style"/>
          <w:sz w:val="24"/>
          <w:szCs w:val="24"/>
        </w:rPr>
        <w:t xml:space="preserve"> </w:t>
      </w:r>
      <w:r w:rsidRPr="00BF3751">
        <w:rPr>
          <w:rFonts w:ascii="Bookman Old Style" w:hAnsi="Bookman Old Style"/>
          <w:sz w:val="24"/>
          <w:szCs w:val="24"/>
        </w:rPr>
        <w:t>DBON</w:t>
      </w:r>
      <w:r w:rsidRPr="003255BC">
        <w:rPr>
          <w:rFonts w:ascii="Bookman Old Style" w:hAnsi="Bookman Old Style"/>
          <w:sz w:val="24"/>
          <w:szCs w:val="24"/>
          <w:lang w:val="sv-FI"/>
        </w:rPr>
        <w:t>;</w:t>
      </w:r>
    </w:p>
    <w:p w14:paraId="0BCFC196" w14:textId="4AE096CB" w:rsidR="003374DF" w:rsidRPr="00BF3751" w:rsidRDefault="003374DF" w:rsidP="006E7862">
      <w:pPr>
        <w:pStyle w:val="ListParagraph"/>
        <w:numPr>
          <w:ilvl w:val="0"/>
          <w:numId w:val="59"/>
        </w:numPr>
        <w:spacing w:before="60" w:after="0" w:line="276" w:lineRule="auto"/>
        <w:ind w:left="1276" w:hanging="283"/>
        <w:contextualSpacing w:val="0"/>
        <w:jc w:val="both"/>
        <w:rPr>
          <w:rFonts w:ascii="Bookman Old Style" w:hAnsi="Bookman Old Style"/>
          <w:sz w:val="24"/>
          <w:szCs w:val="24"/>
          <w:lang w:val="id-ID"/>
        </w:rPr>
      </w:pPr>
      <w:r w:rsidRPr="00BF3751">
        <w:rPr>
          <w:rFonts w:ascii="Bookman Old Style" w:hAnsi="Bookman Old Style"/>
          <w:sz w:val="24"/>
          <w:szCs w:val="24"/>
        </w:rPr>
        <w:t>menyediakan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pendanaan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menyelenggarakan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pelatihan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pelatih</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olahraga</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cabang</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olahraga</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unggulan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DBON</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di</w:t>
      </w:r>
      <w:r w:rsidR="00A954D0">
        <w:rPr>
          <w:rFonts w:ascii="Bookman Old Style" w:hAnsi="Bookman Old Style"/>
          <w:sz w:val="24"/>
          <w:szCs w:val="24"/>
          <w:lang w:val="id-ID"/>
        </w:rPr>
        <w:t xml:space="preserve"> </w:t>
      </w:r>
      <w:r w:rsidRPr="00BF3751">
        <w:rPr>
          <w:rFonts w:ascii="Bookman Old Style" w:hAnsi="Bookman Old Style"/>
          <w:sz w:val="24"/>
          <w:szCs w:val="24"/>
          <w:lang w:val="id-ID"/>
        </w:rPr>
        <w:t>daerah.</w:t>
      </w:r>
    </w:p>
    <w:p w14:paraId="3C4243C6" w14:textId="3979E028" w:rsidR="003374DF" w:rsidRPr="00BF3751" w:rsidRDefault="006E7862" w:rsidP="006E7862">
      <w:pPr>
        <w:pStyle w:val="ListParagraph"/>
        <w:spacing w:before="60" w:after="0" w:line="276" w:lineRule="auto"/>
        <w:ind w:left="993"/>
        <w:contextualSpacing w:val="0"/>
        <w:jc w:val="both"/>
        <w:rPr>
          <w:rFonts w:ascii="Bookman Old Style" w:hAnsi="Bookman Old Style"/>
          <w:sz w:val="24"/>
          <w:szCs w:val="24"/>
          <w:lang w:val="id-ID"/>
        </w:rPr>
      </w:pPr>
      <w:r w:rsidRPr="006E7862">
        <w:rPr>
          <w:rFonts w:ascii="Bookman Old Style" w:hAnsi="Bookman Old Style"/>
          <w:sz w:val="24"/>
          <w:szCs w:val="24"/>
          <w:lang w:val="sv-FI"/>
        </w:rPr>
        <w:t>S</w:t>
      </w:r>
      <w:r w:rsidR="003374DF" w:rsidRPr="00BF3751">
        <w:rPr>
          <w:rFonts w:ascii="Bookman Old Style" w:hAnsi="Bookman Old Style"/>
          <w:sz w:val="24"/>
          <w:szCs w:val="24"/>
          <w:lang w:val="id-ID"/>
        </w:rPr>
        <w:t>ebagaimana</w:t>
      </w:r>
      <w:r w:rsidR="00A954D0">
        <w:rPr>
          <w:rFonts w:ascii="Bookman Old Style" w:hAnsi="Bookman Old Style"/>
          <w:sz w:val="24"/>
          <w:szCs w:val="24"/>
          <w:lang w:val="id-ID"/>
        </w:rPr>
        <w:t xml:space="preserve"> </w:t>
      </w:r>
      <w:r w:rsidR="003374DF" w:rsidRPr="00BF3751">
        <w:rPr>
          <w:rFonts w:ascii="Bookman Old Style" w:hAnsi="Bookman Old Style"/>
          <w:sz w:val="24"/>
          <w:szCs w:val="24"/>
          <w:lang w:val="id-ID"/>
        </w:rPr>
        <w:t>maksud</w:t>
      </w:r>
      <w:r w:rsidR="00A954D0">
        <w:rPr>
          <w:rFonts w:ascii="Bookman Old Style" w:hAnsi="Bookman Old Style"/>
          <w:sz w:val="24"/>
          <w:szCs w:val="24"/>
          <w:lang w:val="id-ID"/>
        </w:rPr>
        <w:t xml:space="preserve"> </w:t>
      </w:r>
      <w:r w:rsidR="003374DF" w:rsidRPr="00BF3751">
        <w:rPr>
          <w:rFonts w:ascii="Bookman Old Style" w:hAnsi="Bookman Old Style"/>
          <w:sz w:val="24"/>
          <w:szCs w:val="24"/>
          <w:lang w:val="id-ID"/>
        </w:rPr>
        <w:t>butir</w:t>
      </w:r>
      <w:r w:rsidR="00A954D0">
        <w:rPr>
          <w:rFonts w:ascii="Bookman Old Style" w:hAnsi="Bookman Old Style"/>
          <w:sz w:val="24"/>
          <w:szCs w:val="24"/>
          <w:lang w:val="id-ID"/>
        </w:rPr>
        <w:t xml:space="preserve"> </w:t>
      </w:r>
      <w:r w:rsidR="003374DF" w:rsidRPr="00BF3751">
        <w:rPr>
          <w:rFonts w:ascii="Bookman Old Style" w:hAnsi="Bookman Old Style"/>
          <w:sz w:val="24"/>
          <w:szCs w:val="24"/>
          <w:lang w:val="it-IT"/>
        </w:rPr>
        <w:t>5.3.18.c</w:t>
      </w:r>
      <w:r w:rsidR="00A954D0">
        <w:rPr>
          <w:rFonts w:ascii="Bookman Old Style" w:hAnsi="Bookman Old Style"/>
          <w:sz w:val="24"/>
          <w:szCs w:val="24"/>
          <w:lang w:val="id-ID"/>
        </w:rPr>
        <w:t xml:space="preserve"> </w:t>
      </w:r>
      <w:r w:rsidR="003374DF" w:rsidRPr="00BF3751">
        <w:rPr>
          <w:rFonts w:ascii="Bookman Old Style" w:hAnsi="Bookman Old Style"/>
          <w:sz w:val="24"/>
          <w:szCs w:val="24"/>
          <w:lang w:val="id-ID"/>
        </w:rPr>
        <w:t>Lampiran</w:t>
      </w:r>
      <w:r w:rsidR="00A954D0">
        <w:rPr>
          <w:rFonts w:ascii="Bookman Old Style" w:hAnsi="Bookman Old Style"/>
          <w:sz w:val="24"/>
          <w:szCs w:val="24"/>
          <w:lang w:val="id-ID"/>
        </w:rPr>
        <w:t xml:space="preserve"> </w:t>
      </w:r>
      <w:r w:rsidR="003374DF" w:rsidRPr="00BF3751">
        <w:rPr>
          <w:rFonts w:ascii="Bookman Old Style" w:hAnsi="Bookman Old Style"/>
          <w:sz w:val="24"/>
          <w:szCs w:val="24"/>
          <w:lang w:val="id-ID"/>
        </w:rPr>
        <w:t>Peraturan</w:t>
      </w:r>
      <w:r w:rsidR="00A954D0">
        <w:rPr>
          <w:rFonts w:ascii="Bookman Old Style" w:hAnsi="Bookman Old Style"/>
          <w:sz w:val="24"/>
          <w:szCs w:val="24"/>
          <w:lang w:val="id-ID"/>
        </w:rPr>
        <w:t xml:space="preserve"> </w:t>
      </w:r>
      <w:r w:rsidR="003374DF" w:rsidRPr="00BF3751">
        <w:rPr>
          <w:rFonts w:ascii="Bookman Old Style" w:hAnsi="Bookman Old Style"/>
          <w:sz w:val="24"/>
          <w:szCs w:val="24"/>
          <w:lang w:val="id-ID"/>
        </w:rPr>
        <w:t>Menteri</w:t>
      </w:r>
      <w:r w:rsidR="00A954D0">
        <w:rPr>
          <w:rFonts w:ascii="Bookman Old Style" w:hAnsi="Bookman Old Style"/>
          <w:sz w:val="24"/>
          <w:szCs w:val="24"/>
          <w:lang w:val="id-ID"/>
        </w:rPr>
        <w:t xml:space="preserve"> </w:t>
      </w:r>
      <w:r w:rsidR="003374DF" w:rsidRPr="00BF3751">
        <w:rPr>
          <w:rFonts w:ascii="Bookman Old Style" w:hAnsi="Bookman Old Style"/>
          <w:sz w:val="24"/>
          <w:szCs w:val="24"/>
          <w:lang w:val="id-ID"/>
        </w:rPr>
        <w:t>Dalam</w:t>
      </w:r>
      <w:r w:rsidR="00A954D0">
        <w:rPr>
          <w:rFonts w:ascii="Bookman Old Style" w:hAnsi="Bookman Old Style"/>
          <w:sz w:val="24"/>
          <w:szCs w:val="24"/>
          <w:lang w:val="id-ID"/>
        </w:rPr>
        <w:t xml:space="preserve"> </w:t>
      </w:r>
      <w:r w:rsidR="003374DF" w:rsidRPr="00BF3751">
        <w:rPr>
          <w:rFonts w:ascii="Bookman Old Style" w:hAnsi="Bookman Old Style"/>
          <w:sz w:val="24"/>
          <w:szCs w:val="24"/>
          <w:lang w:val="id-ID"/>
        </w:rPr>
        <w:t>Negeri</w:t>
      </w:r>
      <w:r w:rsidR="00A954D0">
        <w:rPr>
          <w:rFonts w:ascii="Bookman Old Style" w:hAnsi="Bookman Old Style"/>
          <w:sz w:val="24"/>
          <w:szCs w:val="24"/>
          <w:lang w:val="id-ID"/>
        </w:rPr>
        <w:t xml:space="preserve"> </w:t>
      </w:r>
      <w:r w:rsidR="003374DF" w:rsidRPr="00BF3751">
        <w:rPr>
          <w:rFonts w:ascii="Bookman Old Style" w:hAnsi="Bookman Old Style"/>
          <w:sz w:val="24"/>
          <w:szCs w:val="24"/>
          <w:lang w:val="id-ID"/>
        </w:rPr>
        <w:t>Nomor</w:t>
      </w:r>
      <w:r w:rsidR="00A954D0">
        <w:rPr>
          <w:rFonts w:ascii="Bookman Old Style" w:hAnsi="Bookman Old Style"/>
          <w:sz w:val="24"/>
          <w:szCs w:val="24"/>
          <w:lang w:val="id-ID"/>
        </w:rPr>
        <w:t xml:space="preserve"> </w:t>
      </w:r>
      <w:r w:rsidR="003374DF" w:rsidRPr="00BF3751">
        <w:rPr>
          <w:rFonts w:ascii="Bookman Old Style" w:hAnsi="Bookman Old Style"/>
          <w:sz w:val="24"/>
          <w:szCs w:val="24"/>
          <w:lang w:val="id-ID"/>
        </w:rPr>
        <w:t>15</w:t>
      </w:r>
      <w:r w:rsidR="00A954D0">
        <w:rPr>
          <w:rFonts w:ascii="Bookman Old Style" w:hAnsi="Bookman Old Style"/>
          <w:sz w:val="24"/>
          <w:szCs w:val="24"/>
          <w:lang w:val="id-ID"/>
        </w:rPr>
        <w:t xml:space="preserve"> </w:t>
      </w:r>
      <w:r w:rsidR="003374DF" w:rsidRPr="00BF3751">
        <w:rPr>
          <w:rFonts w:ascii="Bookman Old Style" w:hAnsi="Bookman Old Style"/>
          <w:sz w:val="24"/>
          <w:szCs w:val="24"/>
          <w:lang w:val="id-ID"/>
        </w:rPr>
        <w:t>Tahun</w:t>
      </w:r>
      <w:r w:rsidR="00A954D0">
        <w:rPr>
          <w:rFonts w:ascii="Bookman Old Style" w:hAnsi="Bookman Old Style"/>
          <w:sz w:val="24"/>
          <w:szCs w:val="24"/>
          <w:lang w:val="id-ID"/>
        </w:rPr>
        <w:t xml:space="preserve"> </w:t>
      </w:r>
      <w:r w:rsidR="003374DF" w:rsidRPr="00BF3751">
        <w:rPr>
          <w:rFonts w:ascii="Bookman Old Style" w:hAnsi="Bookman Old Style"/>
          <w:sz w:val="24"/>
          <w:szCs w:val="24"/>
          <w:lang w:val="id-ID"/>
        </w:rPr>
        <w:t>2024.</w:t>
      </w:r>
    </w:p>
    <w:p w14:paraId="552EEA2E" w14:textId="6BFBC6B9" w:rsidR="003374DF" w:rsidRPr="00BF3751" w:rsidRDefault="003374DF" w:rsidP="008C0A72">
      <w:pPr>
        <w:numPr>
          <w:ilvl w:val="0"/>
          <w:numId w:val="156"/>
        </w:numPr>
        <w:spacing w:line="276" w:lineRule="auto"/>
        <w:ind w:left="993" w:hanging="426"/>
        <w:jc w:val="both"/>
        <w:rPr>
          <w:rFonts w:ascii="Bookman Old Style" w:hAnsi="Bookman Old Style"/>
          <w:lang w:val="id-ID"/>
        </w:rPr>
      </w:pPr>
      <w:r w:rsidRPr="00BF3751">
        <w:rPr>
          <w:rFonts w:ascii="Bookman Old Style" w:hAnsi="Bookman Old Style"/>
          <w:lang w:val="id-ID"/>
        </w:rPr>
        <w:t>Pemerintah</w:t>
      </w:r>
      <w:r w:rsidR="00A954D0">
        <w:rPr>
          <w:rFonts w:ascii="Bookman Old Style" w:hAnsi="Bookman Old Style"/>
          <w:lang w:val="id-ID"/>
        </w:rPr>
        <w:t xml:space="preserve"> </w:t>
      </w:r>
      <w:r w:rsidRPr="00BF3751">
        <w:rPr>
          <w:rFonts w:ascii="Bookman Old Style" w:hAnsi="Bookman Old Style"/>
          <w:lang w:val="id-ID"/>
        </w:rPr>
        <w:t>Daerah</w:t>
      </w:r>
      <w:r w:rsidR="00A954D0">
        <w:rPr>
          <w:rFonts w:ascii="Bookman Old Style" w:hAnsi="Bookman Old Style"/>
          <w:lang w:val="id-ID"/>
        </w:rPr>
        <w:t xml:space="preserve"> </w:t>
      </w:r>
      <w:r w:rsidR="00046408" w:rsidRPr="00BF3751">
        <w:rPr>
          <w:rFonts w:ascii="Bookman Old Style" w:hAnsi="Bookman Old Style"/>
          <w:lang w:val="id-ID"/>
        </w:rPr>
        <w:t>Kota</w:t>
      </w:r>
      <w:r w:rsidR="00A954D0">
        <w:rPr>
          <w:rFonts w:ascii="Bookman Old Style" w:hAnsi="Bookman Old Style"/>
          <w:lang w:val="id-ID"/>
        </w:rPr>
        <w:t xml:space="preserve"> </w:t>
      </w:r>
      <w:r w:rsidR="00770F22" w:rsidRPr="00BF3751">
        <w:rPr>
          <w:rFonts w:ascii="Bookman Old Style" w:hAnsi="Bookman Old Style"/>
          <w:lang w:val="id-ID"/>
        </w:rPr>
        <w:t>Tangerang</w:t>
      </w:r>
      <w:r w:rsidR="00A954D0">
        <w:rPr>
          <w:rFonts w:ascii="Bookman Old Style" w:hAnsi="Bookman Old Style"/>
          <w:lang w:val="id-ID"/>
        </w:rPr>
        <w:t xml:space="preserve"> </w:t>
      </w:r>
      <w:r w:rsidRPr="00BF3751">
        <w:rPr>
          <w:rFonts w:ascii="Bookman Old Style" w:hAnsi="Bookman Old Style"/>
          <w:lang w:val="id-ID"/>
        </w:rPr>
        <w:t>agar</w:t>
      </w:r>
      <w:r w:rsidR="00A954D0">
        <w:rPr>
          <w:rFonts w:ascii="Bookman Old Style" w:hAnsi="Bookman Old Style"/>
          <w:lang w:val="id-ID"/>
        </w:rPr>
        <w:t xml:space="preserve"> </w:t>
      </w:r>
      <w:r w:rsidRPr="00BF3751">
        <w:rPr>
          <w:rFonts w:ascii="Bookman Old Style" w:hAnsi="Bookman Old Style"/>
          <w:lang w:val="id-ID"/>
        </w:rPr>
        <w:t>mengalokasikan</w:t>
      </w:r>
      <w:r w:rsidR="00A954D0">
        <w:rPr>
          <w:rFonts w:ascii="Bookman Old Style" w:hAnsi="Bookman Old Style"/>
          <w:lang w:val="id-ID"/>
        </w:rPr>
        <w:t xml:space="preserve"> </w:t>
      </w:r>
      <w:r w:rsidRPr="00BF3751">
        <w:rPr>
          <w:rFonts w:ascii="Bookman Old Style" w:hAnsi="Bookman Old Style"/>
          <w:lang w:val="id-ID"/>
        </w:rPr>
        <w:t>anggaran</w:t>
      </w:r>
      <w:r w:rsidR="00A954D0">
        <w:rPr>
          <w:rFonts w:ascii="Bookman Old Style" w:hAnsi="Bookman Old Style"/>
          <w:lang w:val="id-ID"/>
        </w:rPr>
        <w:t xml:space="preserve"> </w:t>
      </w:r>
      <w:r w:rsidRPr="00BF3751">
        <w:rPr>
          <w:rFonts w:ascii="Bookman Old Style" w:hAnsi="Bookman Old Style"/>
          <w:lang w:val="fi-FI"/>
        </w:rPr>
        <w:t>yang</w:t>
      </w:r>
      <w:r w:rsidR="00A954D0">
        <w:rPr>
          <w:rFonts w:ascii="Bookman Old Style" w:hAnsi="Bookman Old Style"/>
          <w:lang w:val="id-ID"/>
        </w:rPr>
        <w:t xml:space="preserve"> </w:t>
      </w:r>
      <w:r w:rsidRPr="00BF3751">
        <w:rPr>
          <w:rFonts w:ascii="Bookman Old Style" w:hAnsi="Bookman Old Style"/>
          <w:lang w:val="id-ID"/>
        </w:rPr>
        <w:t>memadai</w:t>
      </w:r>
      <w:r w:rsidR="00A954D0">
        <w:rPr>
          <w:rFonts w:ascii="Bookman Old Style" w:hAnsi="Bookman Old Style"/>
          <w:lang w:val="id-ID"/>
        </w:rPr>
        <w:t xml:space="preserve"> </w:t>
      </w:r>
      <w:r w:rsidRPr="00BF3751">
        <w:rPr>
          <w:rFonts w:ascii="Bookman Old Style" w:hAnsi="Bookman Old Style"/>
          <w:lang w:val="id-ID"/>
        </w:rPr>
        <w:t>dalam</w:t>
      </w:r>
      <w:r w:rsidR="00A954D0">
        <w:rPr>
          <w:rFonts w:ascii="Bookman Old Style" w:hAnsi="Bookman Old Style"/>
          <w:lang w:val="id-ID"/>
        </w:rPr>
        <w:t xml:space="preserve"> </w:t>
      </w:r>
      <w:r w:rsidRPr="00BF3751">
        <w:rPr>
          <w:rFonts w:ascii="Bookman Old Style" w:hAnsi="Bookman Old Style"/>
          <w:lang w:val="id-ID"/>
        </w:rPr>
        <w:t>rangka</w:t>
      </w:r>
      <w:r w:rsidR="00A954D0">
        <w:rPr>
          <w:rFonts w:ascii="Bookman Old Style" w:hAnsi="Bookman Old Style"/>
          <w:lang w:val="id-ID"/>
        </w:rPr>
        <w:t xml:space="preserve"> </w:t>
      </w:r>
      <w:r w:rsidRPr="00BF3751">
        <w:rPr>
          <w:rFonts w:ascii="Bookman Old Style" w:hAnsi="Bookman Old Style"/>
          <w:lang w:val="id-ID"/>
        </w:rPr>
        <w:t>pengelolaan</w:t>
      </w:r>
      <w:r w:rsidR="00A954D0">
        <w:rPr>
          <w:rFonts w:ascii="Bookman Old Style" w:hAnsi="Bookman Old Style"/>
          <w:lang w:val="id-ID"/>
        </w:rPr>
        <w:t xml:space="preserve"> </w:t>
      </w:r>
      <w:r w:rsidRPr="00BF3751">
        <w:rPr>
          <w:rFonts w:ascii="Bookman Old Style" w:hAnsi="Bookman Old Style"/>
          <w:lang w:val="id-ID"/>
        </w:rPr>
        <w:t>barang</w:t>
      </w:r>
      <w:r w:rsidR="00A954D0">
        <w:rPr>
          <w:rFonts w:ascii="Bookman Old Style" w:hAnsi="Bookman Old Style"/>
          <w:lang w:val="id-ID"/>
        </w:rPr>
        <w:t xml:space="preserve"> </w:t>
      </w:r>
      <w:r w:rsidRPr="00BF3751">
        <w:rPr>
          <w:rFonts w:ascii="Bookman Old Style" w:hAnsi="Bookman Old Style"/>
          <w:lang w:val="id-ID"/>
        </w:rPr>
        <w:t>milik</w:t>
      </w:r>
      <w:r w:rsidR="00A954D0">
        <w:rPr>
          <w:rFonts w:ascii="Bookman Old Style" w:hAnsi="Bookman Old Style"/>
          <w:lang w:val="id-ID"/>
        </w:rPr>
        <w:t xml:space="preserve"> </w:t>
      </w:r>
      <w:r w:rsidRPr="00BF3751">
        <w:rPr>
          <w:rFonts w:ascii="Bookman Old Style" w:hAnsi="Bookman Old Style"/>
          <w:lang w:val="id-ID"/>
        </w:rPr>
        <w:t>daerah</w:t>
      </w:r>
      <w:r w:rsidR="00A954D0">
        <w:rPr>
          <w:rFonts w:ascii="Bookman Old Style" w:hAnsi="Bookman Old Style"/>
          <w:lang w:val="id-ID"/>
        </w:rPr>
        <w:t xml:space="preserve"> </w:t>
      </w:r>
      <w:r w:rsidRPr="00BF3751">
        <w:rPr>
          <w:rFonts w:ascii="Bookman Old Style" w:hAnsi="Bookman Old Style"/>
          <w:lang w:val="id-ID"/>
        </w:rPr>
        <w:t>untuk</w:t>
      </w:r>
      <w:r w:rsidR="00A954D0">
        <w:rPr>
          <w:rFonts w:ascii="Bookman Old Style" w:hAnsi="Bookman Old Style"/>
          <w:lang w:val="id-ID"/>
        </w:rPr>
        <w:t xml:space="preserve"> </w:t>
      </w:r>
      <w:r w:rsidRPr="00BF3751">
        <w:rPr>
          <w:rFonts w:ascii="Bookman Old Style" w:hAnsi="Bookman Old Style"/>
          <w:lang w:val="id-ID"/>
        </w:rPr>
        <w:t>mendukung</w:t>
      </w:r>
      <w:r w:rsidR="00A954D0">
        <w:rPr>
          <w:rFonts w:ascii="Bookman Old Style" w:hAnsi="Bookman Old Style"/>
          <w:lang w:val="id-ID"/>
        </w:rPr>
        <w:t xml:space="preserve"> </w:t>
      </w:r>
      <w:r w:rsidRPr="00BF3751">
        <w:rPr>
          <w:rFonts w:ascii="Bookman Old Style" w:hAnsi="Bookman Old Style"/>
          <w:lang w:val="id-ID"/>
        </w:rPr>
        <w:t>program</w:t>
      </w:r>
      <w:r w:rsidR="00A954D0">
        <w:rPr>
          <w:rFonts w:ascii="Bookman Old Style" w:hAnsi="Bookman Old Style"/>
          <w:lang w:val="id-ID"/>
        </w:rPr>
        <w:t xml:space="preserve"> </w:t>
      </w:r>
      <w:r w:rsidRPr="00BF3751">
        <w:rPr>
          <w:rFonts w:ascii="Bookman Old Style" w:hAnsi="Bookman Old Style"/>
          <w:lang w:val="id-ID"/>
        </w:rPr>
        <w:t>koordinasi</w:t>
      </w:r>
      <w:r w:rsidR="00A954D0">
        <w:rPr>
          <w:rFonts w:ascii="Bookman Old Style" w:hAnsi="Bookman Old Style"/>
          <w:lang w:val="id-ID"/>
        </w:rPr>
        <w:t xml:space="preserve"> </w:t>
      </w:r>
      <w:r w:rsidRPr="00BF3751">
        <w:rPr>
          <w:rFonts w:ascii="Bookman Old Style" w:hAnsi="Bookman Old Style"/>
          <w:lang w:val="id-ID"/>
        </w:rPr>
        <w:t>dan</w:t>
      </w:r>
      <w:r w:rsidR="00A954D0">
        <w:rPr>
          <w:rFonts w:ascii="Bookman Old Style" w:hAnsi="Bookman Old Style"/>
          <w:lang w:val="id-ID"/>
        </w:rPr>
        <w:t xml:space="preserve"> </w:t>
      </w:r>
      <w:r w:rsidRPr="00BF3751">
        <w:rPr>
          <w:rFonts w:ascii="Bookman Old Style" w:hAnsi="Bookman Old Style"/>
          <w:lang w:val="id-ID"/>
        </w:rPr>
        <w:t>supervisi</w:t>
      </w:r>
      <w:r w:rsidR="00A954D0">
        <w:rPr>
          <w:rFonts w:ascii="Bookman Old Style" w:hAnsi="Bookman Old Style"/>
          <w:lang w:val="id-ID"/>
        </w:rPr>
        <w:t xml:space="preserve"> </w:t>
      </w:r>
      <w:r w:rsidRPr="00BF3751">
        <w:rPr>
          <w:rFonts w:ascii="Bookman Old Style" w:hAnsi="Bookman Old Style"/>
          <w:lang w:val="id-ID"/>
        </w:rPr>
        <w:t>KPK</w:t>
      </w:r>
      <w:r w:rsidR="00A954D0">
        <w:rPr>
          <w:rFonts w:ascii="Bookman Old Style" w:hAnsi="Bookman Old Style"/>
          <w:lang w:val="id-ID"/>
        </w:rPr>
        <w:t xml:space="preserve"> </w:t>
      </w:r>
      <w:r w:rsidRPr="00BF3751">
        <w:rPr>
          <w:rFonts w:ascii="Bookman Old Style" w:hAnsi="Bookman Old Style"/>
          <w:lang w:val="id-ID"/>
        </w:rPr>
        <w:t>dalam</w:t>
      </w:r>
      <w:r w:rsidR="00A954D0">
        <w:rPr>
          <w:rFonts w:ascii="Bookman Old Style" w:hAnsi="Bookman Old Style"/>
          <w:lang w:val="id-ID"/>
        </w:rPr>
        <w:t xml:space="preserve"> </w:t>
      </w:r>
      <w:r w:rsidRPr="00BF3751">
        <w:rPr>
          <w:rFonts w:ascii="Bookman Old Style" w:hAnsi="Bookman Old Style"/>
          <w:lang w:val="id-ID"/>
        </w:rPr>
        <w:t>melakukan</w:t>
      </w:r>
      <w:r w:rsidR="00A954D0">
        <w:rPr>
          <w:rFonts w:ascii="Bookman Old Style" w:hAnsi="Bookman Old Style"/>
          <w:lang w:val="id-ID"/>
        </w:rPr>
        <w:t xml:space="preserve"> </w:t>
      </w:r>
      <w:r w:rsidRPr="00BF3751">
        <w:rPr>
          <w:rFonts w:ascii="Bookman Old Style" w:hAnsi="Bookman Old Style"/>
          <w:lang w:val="id-ID"/>
        </w:rPr>
        <w:t>tugas</w:t>
      </w:r>
      <w:r w:rsidR="00A954D0">
        <w:rPr>
          <w:rFonts w:ascii="Bookman Old Style" w:hAnsi="Bookman Old Style"/>
          <w:lang w:val="id-ID"/>
        </w:rPr>
        <w:t xml:space="preserve"> </w:t>
      </w:r>
      <w:r w:rsidRPr="00BF3751">
        <w:rPr>
          <w:rFonts w:ascii="Bookman Old Style" w:hAnsi="Bookman Old Style"/>
          <w:lang w:val="id-ID"/>
        </w:rPr>
        <w:t>pencegahan,</w:t>
      </w:r>
      <w:r w:rsidR="00A954D0">
        <w:rPr>
          <w:rFonts w:ascii="Bookman Old Style" w:hAnsi="Bookman Old Style"/>
          <w:lang w:val="id-ID"/>
        </w:rPr>
        <w:t xml:space="preserve"> </w:t>
      </w:r>
      <w:r w:rsidRPr="00BF3751">
        <w:rPr>
          <w:rFonts w:ascii="Bookman Old Style" w:hAnsi="Bookman Old Style"/>
          <w:lang w:val="id-ID"/>
        </w:rPr>
        <w:t>koordinasi,</w:t>
      </w:r>
      <w:r w:rsidR="00A954D0">
        <w:rPr>
          <w:rFonts w:ascii="Bookman Old Style" w:hAnsi="Bookman Old Style"/>
          <w:lang w:val="id-ID"/>
        </w:rPr>
        <w:t xml:space="preserve"> </w:t>
      </w:r>
      <w:r w:rsidRPr="00BF3751">
        <w:rPr>
          <w:rFonts w:ascii="Bookman Old Style" w:hAnsi="Bookman Old Style"/>
          <w:lang w:val="id-ID"/>
        </w:rPr>
        <w:t>dan</w:t>
      </w:r>
      <w:r w:rsidR="00A954D0">
        <w:rPr>
          <w:rFonts w:ascii="Bookman Old Style" w:hAnsi="Bookman Old Style"/>
          <w:lang w:val="id-ID"/>
        </w:rPr>
        <w:t xml:space="preserve"> </w:t>
      </w:r>
      <w:r w:rsidRPr="00BF3751">
        <w:rPr>
          <w:rFonts w:ascii="Bookman Old Style" w:hAnsi="Bookman Old Style"/>
          <w:i/>
          <w:lang w:val="id-ID"/>
        </w:rPr>
        <w:t>monitoring</w:t>
      </w:r>
      <w:r w:rsidR="00A954D0">
        <w:rPr>
          <w:rFonts w:ascii="Bookman Old Style" w:hAnsi="Bookman Old Style"/>
          <w:lang w:val="id-ID"/>
        </w:rPr>
        <w:t xml:space="preserve"> </w:t>
      </w:r>
      <w:r w:rsidRPr="00BF3751">
        <w:rPr>
          <w:rFonts w:ascii="Bookman Old Style" w:hAnsi="Bookman Old Style"/>
          <w:lang w:val="id-ID"/>
        </w:rPr>
        <w:t>sehingga</w:t>
      </w:r>
      <w:r w:rsidR="00A954D0">
        <w:rPr>
          <w:rFonts w:ascii="Bookman Old Style" w:hAnsi="Bookman Old Style"/>
          <w:lang w:val="id-ID"/>
        </w:rPr>
        <w:t xml:space="preserve"> </w:t>
      </w:r>
      <w:r w:rsidRPr="00BF3751">
        <w:rPr>
          <w:rFonts w:ascii="Bookman Old Style" w:hAnsi="Bookman Old Style"/>
          <w:lang w:val="id-ID"/>
        </w:rPr>
        <w:t>tidak</w:t>
      </w:r>
      <w:r w:rsidR="00A954D0">
        <w:rPr>
          <w:rFonts w:ascii="Bookman Old Style" w:hAnsi="Bookman Old Style"/>
          <w:lang w:val="id-ID"/>
        </w:rPr>
        <w:t xml:space="preserve"> </w:t>
      </w:r>
      <w:r w:rsidRPr="00BF3751">
        <w:rPr>
          <w:rFonts w:ascii="Bookman Old Style" w:hAnsi="Bookman Old Style"/>
          <w:lang w:val="id-ID"/>
        </w:rPr>
        <w:t>terjadi</w:t>
      </w:r>
      <w:r w:rsidR="00A954D0">
        <w:rPr>
          <w:rFonts w:ascii="Bookman Old Style" w:hAnsi="Bookman Old Style"/>
          <w:lang w:val="id-ID"/>
        </w:rPr>
        <w:t xml:space="preserve"> </w:t>
      </w:r>
      <w:r w:rsidRPr="00BF3751">
        <w:rPr>
          <w:rFonts w:ascii="Bookman Old Style" w:hAnsi="Bookman Old Style"/>
          <w:lang w:val="id-ID"/>
        </w:rPr>
        <w:t>tindak</w:t>
      </w:r>
      <w:r w:rsidR="00A954D0">
        <w:rPr>
          <w:rFonts w:ascii="Bookman Old Style" w:hAnsi="Bookman Old Style"/>
          <w:lang w:val="id-ID"/>
        </w:rPr>
        <w:t xml:space="preserve"> </w:t>
      </w:r>
      <w:r w:rsidRPr="00BF3751">
        <w:rPr>
          <w:rFonts w:ascii="Bookman Old Style" w:hAnsi="Bookman Old Style"/>
          <w:lang w:val="id-ID"/>
        </w:rPr>
        <w:t>pidana</w:t>
      </w:r>
      <w:r w:rsidR="00A954D0">
        <w:rPr>
          <w:rFonts w:ascii="Bookman Old Style" w:hAnsi="Bookman Old Style"/>
          <w:lang w:val="id-ID"/>
        </w:rPr>
        <w:t xml:space="preserve"> </w:t>
      </w:r>
      <w:r w:rsidRPr="00BF3751">
        <w:rPr>
          <w:rFonts w:ascii="Bookman Old Style" w:hAnsi="Bookman Old Style"/>
          <w:lang w:val="id-ID"/>
        </w:rPr>
        <w:t>korupsi</w:t>
      </w:r>
      <w:r w:rsidR="00A954D0">
        <w:rPr>
          <w:rFonts w:ascii="Bookman Old Style" w:hAnsi="Bookman Old Style"/>
          <w:lang w:val="id-ID"/>
        </w:rPr>
        <w:t xml:space="preserve"> </w:t>
      </w:r>
      <w:r w:rsidRPr="00BF3751">
        <w:rPr>
          <w:rFonts w:ascii="Bookman Old Style" w:hAnsi="Bookman Old Style"/>
          <w:lang w:val="id-ID"/>
        </w:rPr>
        <w:t>sebagaimana</w:t>
      </w:r>
      <w:r w:rsidR="00A954D0">
        <w:rPr>
          <w:rFonts w:ascii="Bookman Old Style" w:hAnsi="Bookman Old Style"/>
          <w:lang w:val="id-ID"/>
        </w:rPr>
        <w:t xml:space="preserve"> </w:t>
      </w:r>
      <w:r w:rsidRPr="00BF3751">
        <w:rPr>
          <w:rFonts w:ascii="Bookman Old Style" w:hAnsi="Bookman Old Style"/>
          <w:lang w:val="id-ID"/>
        </w:rPr>
        <w:t>diamanatkan</w:t>
      </w:r>
      <w:r w:rsidR="00A954D0">
        <w:rPr>
          <w:rFonts w:ascii="Bookman Old Style" w:hAnsi="Bookman Old Style"/>
          <w:lang w:val="id-ID"/>
        </w:rPr>
        <w:t xml:space="preserve"> </w:t>
      </w:r>
      <w:r w:rsidRPr="00BF3751">
        <w:rPr>
          <w:rFonts w:ascii="Bookman Old Style" w:hAnsi="Bookman Old Style"/>
          <w:lang w:val="id-ID"/>
        </w:rPr>
        <w:t>dalam</w:t>
      </w:r>
      <w:r w:rsidR="00A954D0">
        <w:rPr>
          <w:rFonts w:ascii="Bookman Old Style" w:hAnsi="Bookman Old Style"/>
          <w:lang w:val="id-ID"/>
        </w:rPr>
        <w:t xml:space="preserve"> </w:t>
      </w:r>
      <w:r w:rsidRPr="00BF3751">
        <w:rPr>
          <w:rFonts w:ascii="Bookman Old Style" w:hAnsi="Bookman Old Style"/>
          <w:lang w:val="id-ID"/>
        </w:rPr>
        <w:t>Pasal</w:t>
      </w:r>
      <w:r w:rsidR="00A954D0">
        <w:rPr>
          <w:rFonts w:ascii="Bookman Old Style" w:hAnsi="Bookman Old Style"/>
          <w:lang w:val="id-ID"/>
        </w:rPr>
        <w:t xml:space="preserve"> </w:t>
      </w:r>
      <w:r w:rsidRPr="00BF3751">
        <w:rPr>
          <w:rFonts w:ascii="Bookman Old Style" w:hAnsi="Bookman Old Style"/>
          <w:lang w:val="id-ID"/>
        </w:rPr>
        <w:t>6</w:t>
      </w:r>
      <w:r w:rsidR="00A954D0">
        <w:rPr>
          <w:rFonts w:ascii="Bookman Old Style" w:hAnsi="Bookman Old Style"/>
          <w:lang w:val="id-ID"/>
        </w:rPr>
        <w:t xml:space="preserve"> </w:t>
      </w:r>
      <w:r w:rsidRPr="00BF3751">
        <w:rPr>
          <w:rFonts w:ascii="Bookman Old Style" w:hAnsi="Bookman Old Style"/>
          <w:lang w:val="id-ID"/>
        </w:rPr>
        <w:t>huruf</w:t>
      </w:r>
      <w:r w:rsidR="00A954D0">
        <w:rPr>
          <w:rFonts w:ascii="Bookman Old Style" w:hAnsi="Bookman Old Style"/>
          <w:lang w:val="id-ID"/>
        </w:rPr>
        <w:t xml:space="preserve"> </w:t>
      </w:r>
      <w:r w:rsidRPr="00BF3751">
        <w:rPr>
          <w:rFonts w:ascii="Bookman Old Style" w:hAnsi="Bookman Old Style"/>
          <w:lang w:val="id-ID"/>
        </w:rPr>
        <w:t>a,</w:t>
      </w:r>
      <w:r w:rsidR="00A954D0">
        <w:rPr>
          <w:rFonts w:ascii="Bookman Old Style" w:hAnsi="Bookman Old Style"/>
          <w:lang w:val="id-ID"/>
        </w:rPr>
        <w:t xml:space="preserve"> </w:t>
      </w:r>
      <w:r w:rsidRPr="00BF3751">
        <w:rPr>
          <w:rFonts w:ascii="Bookman Old Style" w:hAnsi="Bookman Old Style"/>
          <w:lang w:val="id-ID"/>
        </w:rPr>
        <w:t>huruf</w:t>
      </w:r>
      <w:r w:rsidR="00A954D0">
        <w:rPr>
          <w:rFonts w:ascii="Bookman Old Style" w:hAnsi="Bookman Old Style"/>
          <w:lang w:val="id-ID"/>
        </w:rPr>
        <w:t xml:space="preserve"> </w:t>
      </w:r>
      <w:r w:rsidRPr="00BF3751">
        <w:rPr>
          <w:rFonts w:ascii="Bookman Old Style" w:hAnsi="Bookman Old Style"/>
          <w:lang w:val="id-ID"/>
        </w:rPr>
        <w:t>b</w:t>
      </w:r>
      <w:r w:rsidR="00A954D0">
        <w:rPr>
          <w:rFonts w:ascii="Bookman Old Style" w:hAnsi="Bookman Old Style"/>
          <w:lang w:val="id-ID"/>
        </w:rPr>
        <w:t xml:space="preserve"> </w:t>
      </w:r>
      <w:r w:rsidRPr="00BF3751">
        <w:rPr>
          <w:rFonts w:ascii="Bookman Old Style" w:hAnsi="Bookman Old Style"/>
          <w:lang w:val="id-ID"/>
        </w:rPr>
        <w:t>dan</w:t>
      </w:r>
      <w:r w:rsidR="00A954D0">
        <w:rPr>
          <w:rFonts w:ascii="Bookman Old Style" w:hAnsi="Bookman Old Style"/>
          <w:lang w:val="id-ID"/>
        </w:rPr>
        <w:t xml:space="preserve"> </w:t>
      </w:r>
      <w:r w:rsidRPr="00BF3751">
        <w:rPr>
          <w:rFonts w:ascii="Bookman Old Style" w:hAnsi="Bookman Old Style"/>
          <w:lang w:val="id-ID"/>
        </w:rPr>
        <w:t>huruf</w:t>
      </w:r>
      <w:r w:rsidR="00A954D0">
        <w:rPr>
          <w:rFonts w:ascii="Bookman Old Style" w:hAnsi="Bookman Old Style"/>
          <w:lang w:val="id-ID"/>
        </w:rPr>
        <w:t xml:space="preserve"> </w:t>
      </w:r>
      <w:r w:rsidRPr="00BF3751">
        <w:rPr>
          <w:rFonts w:ascii="Bookman Old Style" w:hAnsi="Bookman Old Style"/>
          <w:lang w:val="id-ID"/>
        </w:rPr>
        <w:t>c</w:t>
      </w:r>
      <w:r w:rsidR="00A954D0">
        <w:rPr>
          <w:rFonts w:ascii="Bookman Old Style" w:hAnsi="Bookman Old Style"/>
          <w:lang w:val="id-ID"/>
        </w:rPr>
        <w:t xml:space="preserve"> </w:t>
      </w:r>
      <w:r w:rsidRPr="00BF3751">
        <w:rPr>
          <w:rFonts w:ascii="Bookman Old Style" w:hAnsi="Bookman Old Style"/>
          <w:lang w:val="id-ID"/>
        </w:rPr>
        <w:t>Undang-Undang</w:t>
      </w:r>
      <w:r w:rsidR="00A954D0">
        <w:rPr>
          <w:rFonts w:ascii="Bookman Old Style" w:hAnsi="Bookman Old Style"/>
          <w:lang w:val="id-ID"/>
        </w:rPr>
        <w:t xml:space="preserve"> </w:t>
      </w:r>
      <w:r w:rsidRPr="00BF3751">
        <w:rPr>
          <w:rFonts w:ascii="Bookman Old Style" w:hAnsi="Bookman Old Style"/>
          <w:lang w:val="id-ID"/>
        </w:rPr>
        <w:t>Nomor</w:t>
      </w:r>
      <w:r w:rsidR="00A954D0">
        <w:rPr>
          <w:rFonts w:ascii="Bookman Old Style" w:hAnsi="Bookman Old Style"/>
          <w:lang w:val="id-ID"/>
        </w:rPr>
        <w:t xml:space="preserve"> </w:t>
      </w:r>
      <w:r w:rsidRPr="00BF3751">
        <w:rPr>
          <w:rFonts w:ascii="Bookman Old Style" w:hAnsi="Bookman Old Style"/>
          <w:lang w:val="id-ID"/>
        </w:rPr>
        <w:t>19</w:t>
      </w:r>
      <w:r w:rsidR="00A954D0">
        <w:rPr>
          <w:rFonts w:ascii="Bookman Old Style" w:hAnsi="Bookman Old Style"/>
          <w:lang w:val="id-ID"/>
        </w:rPr>
        <w:t xml:space="preserve"> </w:t>
      </w:r>
      <w:r w:rsidRPr="00BF3751">
        <w:rPr>
          <w:rFonts w:ascii="Bookman Old Style" w:hAnsi="Bookman Old Style"/>
          <w:lang w:val="id-ID"/>
        </w:rPr>
        <w:t>Tahun</w:t>
      </w:r>
      <w:r w:rsidR="00A954D0">
        <w:rPr>
          <w:rFonts w:ascii="Bookman Old Style" w:hAnsi="Bookman Old Style"/>
          <w:lang w:val="id-ID"/>
        </w:rPr>
        <w:t xml:space="preserve"> </w:t>
      </w:r>
      <w:r w:rsidRPr="00BF3751">
        <w:rPr>
          <w:rFonts w:ascii="Bookman Old Style" w:hAnsi="Bookman Old Style"/>
          <w:lang w:val="id-ID"/>
        </w:rPr>
        <w:t>2019,</w:t>
      </w:r>
      <w:r w:rsidR="00A954D0">
        <w:rPr>
          <w:rFonts w:ascii="Bookman Old Style" w:hAnsi="Bookman Old Style"/>
          <w:lang w:val="id-ID"/>
        </w:rPr>
        <w:t xml:space="preserve"> </w:t>
      </w:r>
      <w:r w:rsidRPr="00BF3751">
        <w:rPr>
          <w:rFonts w:ascii="Bookman Old Style" w:hAnsi="Bookman Old Style"/>
          <w:lang w:val="id-ID"/>
        </w:rPr>
        <w:t>antara</w:t>
      </w:r>
      <w:r w:rsidR="00A954D0">
        <w:rPr>
          <w:rFonts w:ascii="Bookman Old Style" w:hAnsi="Bookman Old Style"/>
          <w:lang w:val="id-ID"/>
        </w:rPr>
        <w:t xml:space="preserve"> </w:t>
      </w:r>
      <w:r w:rsidRPr="00BF3751">
        <w:rPr>
          <w:rFonts w:ascii="Bookman Old Style" w:hAnsi="Bookman Old Style"/>
          <w:lang w:val="id-ID"/>
        </w:rPr>
        <w:t>lain:</w:t>
      </w:r>
    </w:p>
    <w:p w14:paraId="03DACC18" w14:textId="59D222DC" w:rsidR="003374DF" w:rsidRPr="00BF3751" w:rsidRDefault="003374DF" w:rsidP="008C0A72">
      <w:pPr>
        <w:pStyle w:val="ListParagraph"/>
        <w:numPr>
          <w:ilvl w:val="0"/>
          <w:numId w:val="153"/>
        </w:numPr>
        <w:spacing w:after="0" w:line="276" w:lineRule="auto"/>
        <w:ind w:left="1276" w:hanging="283"/>
        <w:contextualSpacing w:val="0"/>
        <w:jc w:val="both"/>
        <w:rPr>
          <w:rFonts w:ascii="Bookman Old Style" w:hAnsi="Bookman Old Style"/>
          <w:sz w:val="24"/>
          <w:szCs w:val="24"/>
          <w:lang w:val="id-ID" w:eastAsia="en-US"/>
        </w:rPr>
      </w:pPr>
      <w:r w:rsidRPr="00BF3751">
        <w:rPr>
          <w:rFonts w:ascii="Bookman Old Style" w:hAnsi="Bookman Old Style"/>
          <w:sz w:val="24"/>
          <w:szCs w:val="24"/>
          <w:lang w:val="id-ID" w:eastAsia="en-US"/>
        </w:rPr>
        <w:t>melaksanakan</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kegiatan</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penertiban</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aset</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berupa</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prasarana,</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sarana,</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dan</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utilitas</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(PSU)</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yang</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harus</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diserahkan</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oleh</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pengembang</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kepada</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Pemerintah</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Daerah</w:t>
      </w:r>
      <w:r w:rsidR="00A954D0">
        <w:rPr>
          <w:rFonts w:ascii="Bookman Old Style" w:hAnsi="Bookman Old Style"/>
          <w:sz w:val="24"/>
          <w:szCs w:val="24"/>
        </w:rPr>
        <w:t xml:space="preserve"> </w:t>
      </w:r>
      <w:r w:rsidR="00046408" w:rsidRPr="00BF3751">
        <w:rPr>
          <w:rFonts w:ascii="Bookman Old Style" w:hAnsi="Bookman Old Style"/>
          <w:sz w:val="24"/>
          <w:szCs w:val="24"/>
          <w:lang w:val="id-ID" w:eastAsia="en-US"/>
        </w:rPr>
        <w:t>Kota</w:t>
      </w:r>
      <w:r w:rsidR="00A954D0">
        <w:rPr>
          <w:rFonts w:ascii="Bookman Old Style" w:hAnsi="Bookman Old Style"/>
          <w:sz w:val="24"/>
          <w:szCs w:val="24"/>
          <w:lang w:val="id-ID" w:eastAsia="en-US"/>
        </w:rPr>
        <w:t xml:space="preserve"> </w:t>
      </w:r>
      <w:r w:rsidR="00770F22" w:rsidRPr="00BF3751">
        <w:rPr>
          <w:rFonts w:ascii="Bookman Old Style" w:hAnsi="Bookman Old Style"/>
          <w:sz w:val="24"/>
          <w:szCs w:val="24"/>
          <w:lang w:val="id-ID" w:eastAsia="en-US"/>
        </w:rPr>
        <w:t>Tangerang</w:t>
      </w:r>
      <w:r w:rsidRPr="00BF3751">
        <w:rPr>
          <w:rFonts w:ascii="Bookman Old Style" w:hAnsi="Bookman Old Style"/>
          <w:sz w:val="24"/>
          <w:szCs w:val="24"/>
          <w:lang w:val="id-ID" w:eastAsia="en-US"/>
        </w:rPr>
        <w:t>;</w:t>
      </w:r>
    </w:p>
    <w:p w14:paraId="7BD45EFA" w14:textId="11E8E5BC" w:rsidR="003374DF" w:rsidRPr="00BF3751" w:rsidRDefault="003374DF" w:rsidP="008C0A72">
      <w:pPr>
        <w:pStyle w:val="ListParagraph"/>
        <w:numPr>
          <w:ilvl w:val="0"/>
          <w:numId w:val="153"/>
        </w:numPr>
        <w:spacing w:after="0" w:line="276" w:lineRule="auto"/>
        <w:ind w:left="1276" w:hanging="283"/>
        <w:contextualSpacing w:val="0"/>
        <w:jc w:val="both"/>
        <w:rPr>
          <w:rFonts w:ascii="Bookman Old Style" w:hAnsi="Bookman Old Style"/>
          <w:sz w:val="24"/>
          <w:szCs w:val="24"/>
          <w:lang w:val="id-ID" w:eastAsia="en-US"/>
        </w:rPr>
      </w:pPr>
      <w:r w:rsidRPr="00BF3751">
        <w:rPr>
          <w:rFonts w:ascii="Bookman Old Style" w:hAnsi="Bookman Old Style"/>
          <w:sz w:val="24"/>
          <w:szCs w:val="24"/>
          <w:lang w:val="id-ID" w:eastAsia="en-US"/>
        </w:rPr>
        <w:t>melaksanakan</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kegiatan</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penertiban</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dan/atau</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penyelamatan</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aset/Barang</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Milik</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Daerah</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yang</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dikuasai</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secara</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tidak</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sah</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oleh</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lastRenderedPageBreak/>
        <w:t>pihak</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lain,</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baik</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yang</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dilakukan</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secara</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mandiri</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oleh</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perangkat</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daerah</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yang</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terkait</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maupun</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melalui</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kerja</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sama</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dengan</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pihak</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Kejaksaan</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Tinggi/Kejaksaan</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Negeri;</w:t>
      </w:r>
    </w:p>
    <w:p w14:paraId="1D4C87BF" w14:textId="125285AD" w:rsidR="003374DF" w:rsidRPr="00BF3751" w:rsidRDefault="003374DF" w:rsidP="008C0A72">
      <w:pPr>
        <w:pStyle w:val="ListParagraph"/>
        <w:numPr>
          <w:ilvl w:val="0"/>
          <w:numId w:val="153"/>
        </w:numPr>
        <w:spacing w:after="0" w:line="276" w:lineRule="auto"/>
        <w:ind w:left="1276" w:hanging="283"/>
        <w:contextualSpacing w:val="0"/>
        <w:jc w:val="both"/>
        <w:rPr>
          <w:rFonts w:ascii="Bookman Old Style" w:hAnsi="Bookman Old Style"/>
          <w:sz w:val="24"/>
          <w:szCs w:val="24"/>
          <w:lang w:val="id-ID" w:eastAsia="en-US"/>
        </w:rPr>
      </w:pPr>
      <w:r w:rsidRPr="00BF3751">
        <w:rPr>
          <w:rFonts w:ascii="Bookman Old Style" w:hAnsi="Bookman Old Style"/>
          <w:sz w:val="24"/>
          <w:szCs w:val="24"/>
          <w:lang w:val="id-ID" w:eastAsia="en-US"/>
        </w:rPr>
        <w:t>menganggarkan</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sensus</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Barang</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Milik</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Daerah</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bagi</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yang</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telah</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melaksanakan</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sensus</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terakhir</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lebih</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dari</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5</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(lima)</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tahun;</w:t>
      </w:r>
    </w:p>
    <w:p w14:paraId="1C0065A8" w14:textId="57A17BE4" w:rsidR="003374DF" w:rsidRPr="00BF3751" w:rsidRDefault="003374DF" w:rsidP="008C0A72">
      <w:pPr>
        <w:pStyle w:val="ListParagraph"/>
        <w:numPr>
          <w:ilvl w:val="0"/>
          <w:numId w:val="153"/>
        </w:numPr>
        <w:spacing w:after="0" w:line="276" w:lineRule="auto"/>
        <w:ind w:left="1276" w:hanging="283"/>
        <w:contextualSpacing w:val="0"/>
        <w:jc w:val="both"/>
        <w:rPr>
          <w:rFonts w:ascii="Bookman Old Style" w:hAnsi="Bookman Old Style"/>
          <w:sz w:val="24"/>
          <w:szCs w:val="24"/>
          <w:lang w:val="id-ID" w:eastAsia="en-US"/>
        </w:rPr>
      </w:pPr>
      <w:r w:rsidRPr="00BF3751">
        <w:rPr>
          <w:rFonts w:ascii="Bookman Old Style" w:hAnsi="Bookman Old Style"/>
          <w:sz w:val="24"/>
          <w:szCs w:val="24"/>
          <w:lang w:val="id-ID" w:eastAsia="en-US"/>
        </w:rPr>
        <w:t>menganggarkan</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sertifikasi</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tanah</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milik</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Pemerintah</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Daerah</w:t>
      </w:r>
      <w:r w:rsidR="00A954D0">
        <w:rPr>
          <w:rFonts w:ascii="Bookman Old Style" w:hAnsi="Bookman Old Style"/>
          <w:sz w:val="24"/>
          <w:szCs w:val="24"/>
          <w:lang w:val="id-ID" w:eastAsia="en-US"/>
        </w:rPr>
        <w:t xml:space="preserve"> </w:t>
      </w:r>
      <w:r w:rsidR="00046408" w:rsidRPr="00BF3751">
        <w:rPr>
          <w:rFonts w:ascii="Bookman Old Style" w:hAnsi="Bookman Old Style"/>
          <w:sz w:val="24"/>
          <w:szCs w:val="24"/>
          <w:lang w:val="id-ID" w:eastAsia="en-US"/>
        </w:rPr>
        <w:t>Kota</w:t>
      </w:r>
      <w:r w:rsidR="00A954D0">
        <w:rPr>
          <w:rFonts w:ascii="Bookman Old Style" w:hAnsi="Bookman Old Style"/>
          <w:sz w:val="24"/>
          <w:szCs w:val="24"/>
          <w:lang w:val="id-ID" w:eastAsia="en-US"/>
        </w:rPr>
        <w:t xml:space="preserve"> </w:t>
      </w:r>
      <w:r w:rsidR="00770F22" w:rsidRPr="00BF3751">
        <w:rPr>
          <w:rFonts w:ascii="Bookman Old Style" w:hAnsi="Bookman Old Style"/>
          <w:sz w:val="24"/>
          <w:szCs w:val="24"/>
          <w:lang w:val="id-ID" w:eastAsia="en-US"/>
        </w:rPr>
        <w:t>Tangerang</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dalam</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rangka</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mencapai</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target</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sertifikasi</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tanah;</w:t>
      </w:r>
    </w:p>
    <w:p w14:paraId="5648AB82" w14:textId="34346129" w:rsidR="003374DF" w:rsidRPr="00BF3751" w:rsidRDefault="003374DF" w:rsidP="008C0A72">
      <w:pPr>
        <w:pStyle w:val="ListParagraph"/>
        <w:numPr>
          <w:ilvl w:val="0"/>
          <w:numId w:val="153"/>
        </w:numPr>
        <w:spacing w:after="0" w:line="276" w:lineRule="auto"/>
        <w:ind w:left="1276" w:hanging="283"/>
        <w:contextualSpacing w:val="0"/>
        <w:jc w:val="both"/>
        <w:rPr>
          <w:rFonts w:ascii="Bookman Old Style" w:hAnsi="Bookman Old Style"/>
          <w:sz w:val="24"/>
          <w:szCs w:val="24"/>
          <w:lang w:val="id-ID" w:eastAsia="en-US"/>
        </w:rPr>
      </w:pPr>
      <w:r w:rsidRPr="00BF3751">
        <w:rPr>
          <w:rFonts w:ascii="Bookman Old Style" w:hAnsi="Bookman Old Style"/>
          <w:sz w:val="24"/>
          <w:szCs w:val="24"/>
          <w:lang w:val="id-ID" w:eastAsia="en-US"/>
        </w:rPr>
        <w:t>melaksanakan</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Inventarisasi</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Tanah</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Instansi</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Pemerintah</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(INTIP)</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Partisipatif</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bekerja</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sama</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dengan</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Kantor</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Wilayah</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atau</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Kantor</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Pertanahan</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Badan</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Pertanahan</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Nasional;</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dan</w:t>
      </w:r>
    </w:p>
    <w:p w14:paraId="3CE86D06" w14:textId="11C90BE7" w:rsidR="003374DF" w:rsidRPr="00BF3751" w:rsidRDefault="003374DF" w:rsidP="008C0A72">
      <w:pPr>
        <w:pStyle w:val="ListParagraph"/>
        <w:numPr>
          <w:ilvl w:val="0"/>
          <w:numId w:val="153"/>
        </w:numPr>
        <w:spacing w:after="0" w:line="276" w:lineRule="auto"/>
        <w:ind w:left="1276" w:hanging="283"/>
        <w:contextualSpacing w:val="0"/>
        <w:jc w:val="both"/>
        <w:rPr>
          <w:rFonts w:ascii="Bookman Old Style" w:hAnsi="Bookman Old Style"/>
          <w:sz w:val="24"/>
          <w:szCs w:val="24"/>
          <w:lang w:val="id-ID" w:eastAsia="en-US"/>
        </w:rPr>
      </w:pPr>
      <w:r w:rsidRPr="00BF3751">
        <w:rPr>
          <w:rFonts w:ascii="Bookman Old Style" w:hAnsi="Bookman Old Style"/>
          <w:sz w:val="24"/>
          <w:szCs w:val="24"/>
          <w:lang w:val="id-ID" w:eastAsia="en-US"/>
        </w:rPr>
        <w:t>melakukan</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percepatan</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implementasi</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Peraturan</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Menteri</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Dalam</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Negeri</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Nomor</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47</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Tahun</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2021</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tentang</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Tata</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Cara</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Pelaksanaan</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Pembukuan,</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Inventarisasi</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dan</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Pelaporan</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Barang</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Milik</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Daerah,</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Pemerintah</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Daerah</w:t>
      </w:r>
      <w:r w:rsidR="00A954D0">
        <w:rPr>
          <w:rFonts w:ascii="Bookman Old Style" w:hAnsi="Bookman Old Style"/>
          <w:sz w:val="24"/>
          <w:szCs w:val="24"/>
          <w:lang w:val="id-ID" w:eastAsia="en-US"/>
        </w:rPr>
        <w:t xml:space="preserve"> </w:t>
      </w:r>
      <w:r w:rsidR="005A01E3" w:rsidRPr="00BF3751">
        <w:rPr>
          <w:rFonts w:ascii="Bookman Old Style" w:hAnsi="Bookman Old Style"/>
          <w:sz w:val="24"/>
          <w:szCs w:val="24"/>
          <w:lang w:val="id-ID"/>
        </w:rPr>
        <w:t>Kota</w:t>
      </w:r>
      <w:r w:rsidR="00A954D0">
        <w:rPr>
          <w:rFonts w:ascii="Bookman Old Style" w:hAnsi="Bookman Old Style"/>
          <w:sz w:val="24"/>
          <w:szCs w:val="24"/>
          <w:lang w:val="id-ID"/>
        </w:rPr>
        <w:t xml:space="preserve"> </w:t>
      </w:r>
      <w:r w:rsidR="00770F22" w:rsidRPr="00BF3751">
        <w:rPr>
          <w:rFonts w:ascii="Bookman Old Style" w:hAnsi="Bookman Old Style" w:cs="Arial"/>
          <w:sz w:val="24"/>
          <w:szCs w:val="24"/>
          <w:lang w:val="id-ID"/>
        </w:rPr>
        <w:t>Tangerang</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mengalokasikan</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anggaran</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pelaksanaan</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inventarisasi</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Barang</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Milik</w:t>
      </w:r>
      <w:r w:rsidR="00A954D0">
        <w:rPr>
          <w:rFonts w:ascii="Bookman Old Style" w:hAnsi="Bookman Old Style"/>
          <w:sz w:val="24"/>
          <w:szCs w:val="24"/>
          <w:lang w:val="id-ID" w:eastAsia="en-US"/>
        </w:rPr>
        <w:t xml:space="preserve"> </w:t>
      </w:r>
      <w:r w:rsidRPr="00BF3751">
        <w:rPr>
          <w:rFonts w:ascii="Bookman Old Style" w:hAnsi="Bookman Old Style"/>
          <w:sz w:val="24"/>
          <w:szCs w:val="24"/>
          <w:lang w:val="id-ID" w:eastAsia="en-US"/>
        </w:rPr>
        <w:t>Daerah</w:t>
      </w:r>
      <w:r w:rsidR="006E7862" w:rsidRPr="006E7862">
        <w:rPr>
          <w:rFonts w:ascii="Bookman Old Style" w:hAnsi="Bookman Old Style"/>
          <w:sz w:val="24"/>
          <w:szCs w:val="24"/>
          <w:lang w:val="sv-FI" w:eastAsia="en-US"/>
        </w:rPr>
        <w:t>.</w:t>
      </w:r>
    </w:p>
    <w:p w14:paraId="3BAB4E01" w14:textId="2A3C76EB" w:rsidR="003374DF" w:rsidRPr="006E7862" w:rsidRDefault="003374DF" w:rsidP="008C0A72">
      <w:pPr>
        <w:numPr>
          <w:ilvl w:val="0"/>
          <w:numId w:val="156"/>
        </w:numPr>
        <w:spacing w:line="276" w:lineRule="auto"/>
        <w:ind w:left="993" w:hanging="426"/>
        <w:jc w:val="both"/>
        <w:rPr>
          <w:rFonts w:ascii="Bookman Old Style" w:hAnsi="Bookman Old Style"/>
          <w:lang w:val="id-ID"/>
        </w:rPr>
      </w:pPr>
      <w:r w:rsidRPr="00BF3751">
        <w:rPr>
          <w:rFonts w:ascii="Bookman Old Style" w:hAnsi="Bookman Old Style"/>
          <w:lang w:val="id-ID"/>
        </w:rPr>
        <w:t>Hasil</w:t>
      </w:r>
      <w:r w:rsidR="00A954D0">
        <w:rPr>
          <w:rFonts w:ascii="Bookman Old Style" w:hAnsi="Bookman Old Style"/>
          <w:lang w:val="id-ID"/>
        </w:rPr>
        <w:t xml:space="preserve"> </w:t>
      </w:r>
      <w:r w:rsidRPr="00BF3751">
        <w:rPr>
          <w:rFonts w:ascii="Bookman Old Style" w:hAnsi="Bookman Old Style"/>
          <w:lang w:val="fi-FI"/>
        </w:rPr>
        <w:t>Evaluasi</w:t>
      </w:r>
      <w:r w:rsidR="00A954D0">
        <w:rPr>
          <w:rFonts w:ascii="Bookman Old Style" w:hAnsi="Bookman Old Style"/>
          <w:lang w:val="id-ID"/>
        </w:rPr>
        <w:t xml:space="preserve"> </w:t>
      </w:r>
      <w:r w:rsidRPr="00BF3751">
        <w:rPr>
          <w:rFonts w:ascii="Bookman Old Style" w:hAnsi="Bookman Old Style"/>
          <w:lang w:val="id-ID"/>
        </w:rPr>
        <w:t>terhadap</w:t>
      </w:r>
      <w:r w:rsidR="00A954D0">
        <w:rPr>
          <w:rFonts w:ascii="Bookman Old Style" w:hAnsi="Bookman Old Style"/>
          <w:lang w:val="id-ID"/>
        </w:rPr>
        <w:t xml:space="preserve"> </w:t>
      </w:r>
      <w:r w:rsidRPr="00BF3751">
        <w:rPr>
          <w:rFonts w:ascii="Bookman Old Style" w:hAnsi="Bookman Old Style"/>
          <w:lang w:val="id-ID"/>
        </w:rPr>
        <w:t>Rancangan</w:t>
      </w:r>
      <w:r w:rsidR="00A954D0">
        <w:rPr>
          <w:rFonts w:ascii="Bookman Old Style" w:hAnsi="Bookman Old Style"/>
          <w:lang w:val="id-ID"/>
        </w:rPr>
        <w:t xml:space="preserve"> </w:t>
      </w:r>
      <w:r w:rsidRPr="00BF3751">
        <w:rPr>
          <w:rFonts w:ascii="Bookman Old Style" w:hAnsi="Bookman Old Style"/>
          <w:lang w:val="id-ID"/>
        </w:rPr>
        <w:t>Peraturan</w:t>
      </w:r>
      <w:r w:rsidR="00A954D0">
        <w:rPr>
          <w:rFonts w:ascii="Bookman Old Style" w:hAnsi="Bookman Old Style"/>
          <w:lang w:val="id-ID"/>
        </w:rPr>
        <w:t xml:space="preserve"> </w:t>
      </w:r>
      <w:r w:rsidRPr="00BF3751">
        <w:rPr>
          <w:rFonts w:ascii="Bookman Old Style" w:hAnsi="Bookman Old Style"/>
          <w:lang w:val="id-ID"/>
        </w:rPr>
        <w:t>Daerah</w:t>
      </w:r>
      <w:r w:rsidR="00A954D0">
        <w:rPr>
          <w:rFonts w:ascii="Bookman Old Style" w:hAnsi="Bookman Old Style"/>
          <w:lang w:val="id-ID"/>
        </w:rPr>
        <w:t xml:space="preserve"> </w:t>
      </w:r>
      <w:r w:rsidR="00B055C5" w:rsidRPr="00BF3751">
        <w:rPr>
          <w:rFonts w:ascii="Bookman Old Style" w:hAnsi="Bookman Old Style"/>
          <w:lang w:val="id-ID"/>
        </w:rPr>
        <w:t>Kota</w:t>
      </w:r>
      <w:r w:rsidR="00A954D0">
        <w:rPr>
          <w:rFonts w:ascii="Bookman Old Style" w:hAnsi="Bookman Old Style"/>
          <w:lang w:val="id-ID"/>
        </w:rPr>
        <w:t xml:space="preserve"> </w:t>
      </w:r>
      <w:r w:rsidR="00770F22" w:rsidRPr="00BF3751">
        <w:rPr>
          <w:rFonts w:ascii="Bookman Old Style" w:hAnsi="Bookman Old Style"/>
          <w:lang w:val="id-ID"/>
        </w:rPr>
        <w:t>Tangerang</w:t>
      </w:r>
      <w:r w:rsidR="00A954D0">
        <w:rPr>
          <w:rFonts w:ascii="Bookman Old Style" w:hAnsi="Bookman Old Style"/>
          <w:lang w:val="id-ID"/>
        </w:rPr>
        <w:t xml:space="preserve"> </w:t>
      </w:r>
      <w:r w:rsidR="00BE6ED9" w:rsidRPr="00BF3751">
        <w:rPr>
          <w:rFonts w:ascii="Bookman Old Style" w:hAnsi="Bookman Old Style"/>
          <w:lang w:val="id-ID"/>
        </w:rPr>
        <w:t>tentang</w:t>
      </w:r>
      <w:r w:rsidR="00A954D0">
        <w:rPr>
          <w:rFonts w:ascii="Bookman Old Style" w:hAnsi="Bookman Old Style"/>
          <w:lang w:val="id-ID"/>
        </w:rPr>
        <w:t xml:space="preserve"> </w:t>
      </w:r>
      <w:r w:rsidR="00BE6ED9" w:rsidRPr="00BF3751">
        <w:rPr>
          <w:rFonts w:ascii="Bookman Old Style" w:hAnsi="Bookman Old Style"/>
          <w:lang w:val="id-ID"/>
        </w:rPr>
        <w:t>APBD</w:t>
      </w:r>
      <w:r w:rsidR="00A954D0">
        <w:rPr>
          <w:rFonts w:ascii="Bookman Old Style" w:hAnsi="Bookman Old Style"/>
          <w:lang w:val="id-ID"/>
        </w:rPr>
        <w:t xml:space="preserve"> </w:t>
      </w:r>
      <w:r w:rsidRPr="00BF3751">
        <w:rPr>
          <w:rFonts w:ascii="Bookman Old Style" w:hAnsi="Bookman Old Style"/>
          <w:lang w:val="id-ID"/>
        </w:rPr>
        <w:t>Tahun</w:t>
      </w:r>
      <w:r w:rsidR="00A954D0">
        <w:rPr>
          <w:rFonts w:ascii="Bookman Old Style" w:hAnsi="Bookman Old Style"/>
          <w:lang w:val="id-ID"/>
        </w:rPr>
        <w:t xml:space="preserve"> </w:t>
      </w:r>
      <w:r w:rsidRPr="00BF3751">
        <w:rPr>
          <w:rFonts w:ascii="Bookman Old Style" w:hAnsi="Bookman Old Style"/>
          <w:lang w:val="id-ID"/>
        </w:rPr>
        <w:t>Anggaran</w:t>
      </w:r>
      <w:r w:rsidR="00A954D0">
        <w:rPr>
          <w:rFonts w:ascii="Bookman Old Style" w:hAnsi="Bookman Old Style"/>
          <w:lang w:val="id-ID"/>
        </w:rPr>
        <w:t xml:space="preserve"> </w:t>
      </w:r>
      <w:r w:rsidRPr="00BF3751">
        <w:rPr>
          <w:rFonts w:ascii="Bookman Old Style" w:hAnsi="Bookman Old Style"/>
          <w:lang w:val="id-ID"/>
        </w:rPr>
        <w:t>2025</w:t>
      </w:r>
      <w:r w:rsidR="00A954D0">
        <w:rPr>
          <w:rFonts w:ascii="Bookman Old Style" w:hAnsi="Bookman Old Style"/>
          <w:lang w:val="id-ID"/>
        </w:rPr>
        <w:t xml:space="preserve"> </w:t>
      </w:r>
      <w:r w:rsidRPr="00BF3751">
        <w:rPr>
          <w:rFonts w:ascii="Bookman Old Style" w:hAnsi="Bookman Old Style"/>
          <w:lang w:val="id-ID"/>
        </w:rPr>
        <w:t>dan</w:t>
      </w:r>
      <w:r w:rsidR="00A954D0">
        <w:rPr>
          <w:rFonts w:ascii="Bookman Old Style" w:hAnsi="Bookman Old Style"/>
          <w:lang w:val="id-ID"/>
        </w:rPr>
        <w:t xml:space="preserve"> </w:t>
      </w:r>
      <w:r w:rsidRPr="00BF3751">
        <w:rPr>
          <w:rFonts w:ascii="Bookman Old Style" w:hAnsi="Bookman Old Style"/>
          <w:lang w:val="id-ID"/>
        </w:rPr>
        <w:t>Rancangan</w:t>
      </w:r>
      <w:r w:rsidR="00A954D0">
        <w:rPr>
          <w:rFonts w:ascii="Bookman Old Style" w:hAnsi="Bookman Old Style"/>
          <w:lang w:val="id-ID"/>
        </w:rPr>
        <w:t xml:space="preserve"> </w:t>
      </w:r>
      <w:r w:rsidRPr="00BF3751">
        <w:rPr>
          <w:rFonts w:ascii="Bookman Old Style" w:hAnsi="Bookman Old Style"/>
          <w:lang w:val="id-ID"/>
        </w:rPr>
        <w:t>Peraturan</w:t>
      </w:r>
      <w:r w:rsidR="00A954D0">
        <w:rPr>
          <w:rFonts w:ascii="Bookman Old Style" w:hAnsi="Bookman Old Style"/>
          <w:lang w:val="id-ID"/>
        </w:rPr>
        <w:t xml:space="preserve"> </w:t>
      </w:r>
      <w:r w:rsidR="00EC6F08" w:rsidRPr="00BF3751">
        <w:rPr>
          <w:rFonts w:ascii="Bookman Old Style" w:hAnsi="Bookman Old Style"/>
          <w:lang w:val="id-ID"/>
        </w:rPr>
        <w:t>Wali</w:t>
      </w:r>
      <w:r w:rsidR="00A954D0">
        <w:rPr>
          <w:rFonts w:ascii="Bookman Old Style" w:hAnsi="Bookman Old Style"/>
          <w:lang w:val="id-ID"/>
        </w:rPr>
        <w:t xml:space="preserve"> </w:t>
      </w:r>
      <w:r w:rsidR="00EC6F08" w:rsidRPr="00BF3751">
        <w:rPr>
          <w:rFonts w:ascii="Bookman Old Style" w:hAnsi="Bookman Old Style"/>
          <w:lang w:val="id-ID"/>
        </w:rPr>
        <w:t>Kota</w:t>
      </w:r>
      <w:r w:rsidR="00A954D0">
        <w:rPr>
          <w:rFonts w:ascii="Bookman Old Style" w:hAnsi="Bookman Old Style"/>
          <w:lang w:val="id-ID"/>
        </w:rPr>
        <w:t xml:space="preserve"> </w:t>
      </w:r>
      <w:r w:rsidR="00770F22" w:rsidRPr="00BF3751">
        <w:rPr>
          <w:rFonts w:ascii="Bookman Old Style" w:hAnsi="Bookman Old Style" w:cs="Arial"/>
          <w:lang w:val="id-ID"/>
        </w:rPr>
        <w:t>Tangerang</w:t>
      </w:r>
      <w:r w:rsidR="00A954D0">
        <w:rPr>
          <w:rFonts w:ascii="Bookman Old Style" w:hAnsi="Bookman Old Style" w:cs="Arial"/>
          <w:lang w:val="id-ID"/>
        </w:rPr>
        <w:t xml:space="preserve"> </w:t>
      </w:r>
      <w:r w:rsidRPr="00BF3751">
        <w:rPr>
          <w:rFonts w:ascii="Bookman Old Style" w:hAnsi="Bookman Old Style"/>
          <w:lang w:val="id-ID"/>
        </w:rPr>
        <w:t>tentang</w:t>
      </w:r>
      <w:r w:rsidR="00A954D0">
        <w:rPr>
          <w:rFonts w:ascii="Bookman Old Style" w:hAnsi="Bookman Old Style"/>
          <w:lang w:val="id-ID"/>
        </w:rPr>
        <w:t xml:space="preserve"> </w:t>
      </w:r>
      <w:r w:rsidRPr="00BF3751">
        <w:rPr>
          <w:rFonts w:ascii="Bookman Old Style" w:hAnsi="Bookman Old Style"/>
          <w:lang w:val="id-ID"/>
        </w:rPr>
        <w:t>Penjabaran</w:t>
      </w:r>
      <w:r w:rsidR="00A954D0">
        <w:rPr>
          <w:rFonts w:ascii="Bookman Old Style" w:hAnsi="Bookman Old Style"/>
          <w:lang w:val="id-ID"/>
        </w:rPr>
        <w:t xml:space="preserve"> </w:t>
      </w:r>
      <w:r w:rsidRPr="00BF3751">
        <w:rPr>
          <w:rFonts w:ascii="Bookman Old Style" w:hAnsi="Bookman Old Style"/>
          <w:lang w:val="id-ID"/>
        </w:rPr>
        <w:t>APBD</w:t>
      </w:r>
      <w:r w:rsidR="00A954D0">
        <w:rPr>
          <w:rFonts w:ascii="Bookman Old Style" w:hAnsi="Bookman Old Style"/>
          <w:lang w:val="id-ID"/>
        </w:rPr>
        <w:t xml:space="preserve"> </w:t>
      </w:r>
      <w:r w:rsidRPr="00BF3751">
        <w:rPr>
          <w:rFonts w:ascii="Bookman Old Style" w:hAnsi="Bookman Old Style"/>
          <w:lang w:val="id-ID"/>
        </w:rPr>
        <w:t>Tahun</w:t>
      </w:r>
      <w:r w:rsidR="00A954D0">
        <w:rPr>
          <w:rFonts w:ascii="Bookman Old Style" w:hAnsi="Bookman Old Style"/>
          <w:lang w:val="id-ID"/>
        </w:rPr>
        <w:t xml:space="preserve"> </w:t>
      </w:r>
      <w:r w:rsidRPr="00BF3751">
        <w:rPr>
          <w:rFonts w:ascii="Bookman Old Style" w:hAnsi="Bookman Old Style"/>
          <w:lang w:val="id-ID"/>
        </w:rPr>
        <w:t>Anggaran</w:t>
      </w:r>
      <w:r w:rsidR="00A954D0">
        <w:rPr>
          <w:rFonts w:ascii="Bookman Old Style" w:hAnsi="Bookman Old Style"/>
          <w:lang w:val="id-ID"/>
        </w:rPr>
        <w:t xml:space="preserve"> </w:t>
      </w:r>
      <w:r w:rsidRPr="00BF3751">
        <w:rPr>
          <w:rFonts w:ascii="Bookman Old Style" w:hAnsi="Bookman Old Style"/>
          <w:lang w:val="id-ID"/>
        </w:rPr>
        <w:t>2025</w:t>
      </w:r>
      <w:r w:rsidR="00A954D0">
        <w:rPr>
          <w:rFonts w:ascii="Bookman Old Style" w:hAnsi="Bookman Old Style"/>
          <w:lang w:val="id-ID"/>
        </w:rPr>
        <w:t xml:space="preserve"> </w:t>
      </w:r>
      <w:r w:rsidRPr="00BF3751">
        <w:rPr>
          <w:rFonts w:ascii="Bookman Old Style" w:hAnsi="Bookman Old Style"/>
          <w:lang w:val="id-ID"/>
        </w:rPr>
        <w:t>yang</w:t>
      </w:r>
      <w:r w:rsidR="00A954D0">
        <w:rPr>
          <w:rFonts w:ascii="Bookman Old Style" w:hAnsi="Bookman Old Style"/>
          <w:lang w:val="id-ID"/>
        </w:rPr>
        <w:t xml:space="preserve"> </w:t>
      </w:r>
      <w:r w:rsidRPr="00BF3751">
        <w:rPr>
          <w:rFonts w:ascii="Bookman Old Style" w:hAnsi="Bookman Old Style"/>
          <w:lang w:val="id-ID"/>
        </w:rPr>
        <w:t>tertuang</w:t>
      </w:r>
      <w:r w:rsidR="00A954D0">
        <w:rPr>
          <w:rFonts w:ascii="Bookman Old Style" w:hAnsi="Bookman Old Style"/>
          <w:lang w:val="id-ID"/>
        </w:rPr>
        <w:t xml:space="preserve"> </w:t>
      </w:r>
      <w:r w:rsidRPr="00BF3751">
        <w:rPr>
          <w:rFonts w:ascii="Bookman Old Style" w:hAnsi="Bookman Old Style"/>
          <w:lang w:val="id-ID"/>
        </w:rPr>
        <w:t>dalam</w:t>
      </w:r>
      <w:r w:rsidR="00A954D0">
        <w:rPr>
          <w:rFonts w:ascii="Bookman Old Style" w:hAnsi="Bookman Old Style"/>
          <w:lang w:val="id-ID"/>
        </w:rPr>
        <w:t xml:space="preserve"> </w:t>
      </w:r>
      <w:r w:rsidRPr="00BF3751">
        <w:rPr>
          <w:rFonts w:ascii="Bookman Old Style" w:hAnsi="Bookman Old Style"/>
          <w:lang w:val="id-ID"/>
        </w:rPr>
        <w:t>Keputusan</w:t>
      </w:r>
      <w:r w:rsidR="00A954D0">
        <w:rPr>
          <w:rFonts w:ascii="Bookman Old Style" w:hAnsi="Bookman Old Style"/>
          <w:lang w:val="id-ID"/>
        </w:rPr>
        <w:t xml:space="preserve"> </w:t>
      </w:r>
      <w:r w:rsidR="00EC6F08" w:rsidRPr="00BF3751">
        <w:rPr>
          <w:rFonts w:ascii="Bookman Old Style" w:hAnsi="Bookman Old Style"/>
          <w:lang w:val="id-ID"/>
        </w:rPr>
        <w:t>Gubernur</w:t>
      </w:r>
      <w:r w:rsidR="00A954D0">
        <w:rPr>
          <w:rFonts w:ascii="Bookman Old Style" w:hAnsi="Bookman Old Style"/>
          <w:lang w:val="id-ID"/>
        </w:rPr>
        <w:t xml:space="preserve"> </w:t>
      </w:r>
      <w:r w:rsidRPr="00BF3751">
        <w:rPr>
          <w:rFonts w:ascii="Bookman Old Style" w:hAnsi="Bookman Old Style"/>
          <w:lang w:val="id-ID"/>
        </w:rPr>
        <w:t>ini,</w:t>
      </w:r>
      <w:r w:rsidR="00A954D0">
        <w:rPr>
          <w:rFonts w:ascii="Bookman Old Style" w:hAnsi="Bookman Old Style"/>
          <w:lang w:val="id-ID"/>
        </w:rPr>
        <w:t xml:space="preserve"> </w:t>
      </w:r>
      <w:r w:rsidRPr="00BF3751">
        <w:rPr>
          <w:rFonts w:ascii="Bookman Old Style" w:hAnsi="Bookman Old Style"/>
          <w:lang w:val="id-ID"/>
        </w:rPr>
        <w:t>menjadi</w:t>
      </w:r>
      <w:r w:rsidR="00A954D0">
        <w:rPr>
          <w:rFonts w:ascii="Bookman Old Style" w:hAnsi="Bookman Old Style"/>
          <w:lang w:val="id-ID"/>
        </w:rPr>
        <w:t xml:space="preserve"> </w:t>
      </w:r>
      <w:r w:rsidRPr="00BF3751">
        <w:rPr>
          <w:rFonts w:ascii="Bookman Old Style" w:hAnsi="Bookman Old Style"/>
          <w:lang w:val="id-ID"/>
        </w:rPr>
        <w:t>dasar</w:t>
      </w:r>
      <w:r w:rsidR="00A954D0">
        <w:rPr>
          <w:rFonts w:ascii="Bookman Old Style" w:hAnsi="Bookman Old Style"/>
          <w:lang w:val="id-ID"/>
        </w:rPr>
        <w:t xml:space="preserve"> </w:t>
      </w:r>
      <w:r w:rsidRPr="00BF3751">
        <w:rPr>
          <w:rFonts w:ascii="Bookman Old Style" w:hAnsi="Bookman Old Style"/>
          <w:lang w:val="id-ID"/>
        </w:rPr>
        <w:t>penyempurnaan</w:t>
      </w:r>
      <w:r w:rsidR="00A954D0">
        <w:rPr>
          <w:rFonts w:ascii="Bookman Old Style" w:hAnsi="Bookman Old Style"/>
          <w:lang w:val="id-ID"/>
        </w:rPr>
        <w:t xml:space="preserve"> </w:t>
      </w:r>
      <w:r w:rsidRPr="00BF3751">
        <w:rPr>
          <w:rFonts w:ascii="Bookman Old Style" w:hAnsi="Bookman Old Style"/>
          <w:lang w:val="id-ID"/>
        </w:rPr>
        <w:t>dan</w:t>
      </w:r>
      <w:r w:rsidR="00A954D0">
        <w:rPr>
          <w:rFonts w:ascii="Bookman Old Style" w:hAnsi="Bookman Old Style"/>
          <w:lang w:val="id-ID"/>
        </w:rPr>
        <w:t xml:space="preserve"> </w:t>
      </w:r>
      <w:r w:rsidRPr="00BF3751">
        <w:rPr>
          <w:rFonts w:ascii="Bookman Old Style" w:hAnsi="Bookman Old Style"/>
          <w:lang w:val="id-ID"/>
        </w:rPr>
        <w:t>penyesuaian</w:t>
      </w:r>
      <w:r w:rsidR="00A954D0">
        <w:rPr>
          <w:rFonts w:ascii="Bookman Old Style" w:hAnsi="Bookman Old Style"/>
          <w:lang w:val="id-ID"/>
        </w:rPr>
        <w:t xml:space="preserve"> </w:t>
      </w:r>
      <w:r w:rsidRPr="00BF3751">
        <w:rPr>
          <w:rFonts w:ascii="Bookman Old Style" w:hAnsi="Bookman Old Style"/>
          <w:lang w:val="id-ID"/>
        </w:rPr>
        <w:t>Rancangan</w:t>
      </w:r>
      <w:r w:rsidR="00A954D0">
        <w:rPr>
          <w:rFonts w:ascii="Bookman Old Style" w:hAnsi="Bookman Old Style"/>
          <w:lang w:val="id-ID"/>
        </w:rPr>
        <w:t xml:space="preserve"> </w:t>
      </w:r>
      <w:r w:rsidRPr="00BF3751">
        <w:rPr>
          <w:rFonts w:ascii="Bookman Old Style" w:hAnsi="Bookman Old Style"/>
          <w:lang w:val="id-ID"/>
        </w:rPr>
        <w:t>Peraturan</w:t>
      </w:r>
      <w:r w:rsidR="00A954D0">
        <w:rPr>
          <w:rFonts w:ascii="Bookman Old Style" w:hAnsi="Bookman Old Style"/>
          <w:lang w:val="id-ID"/>
        </w:rPr>
        <w:t xml:space="preserve"> </w:t>
      </w:r>
      <w:r w:rsidRPr="00BF3751">
        <w:rPr>
          <w:rFonts w:ascii="Bookman Old Style" w:hAnsi="Bookman Old Style"/>
          <w:lang w:val="id-ID"/>
        </w:rPr>
        <w:t>Daerah</w:t>
      </w:r>
      <w:r w:rsidR="00A954D0">
        <w:rPr>
          <w:rFonts w:ascii="Bookman Old Style" w:hAnsi="Bookman Old Style"/>
          <w:lang w:val="id-ID"/>
        </w:rPr>
        <w:t xml:space="preserve"> </w:t>
      </w:r>
      <w:r w:rsidR="00B055C5" w:rsidRPr="00BF3751">
        <w:rPr>
          <w:rFonts w:ascii="Bookman Old Style" w:hAnsi="Bookman Old Style"/>
          <w:lang w:val="id-ID"/>
        </w:rPr>
        <w:t>Kota</w:t>
      </w:r>
      <w:r w:rsidR="00A954D0">
        <w:rPr>
          <w:rFonts w:ascii="Bookman Old Style" w:hAnsi="Bookman Old Style"/>
          <w:lang w:val="id-ID"/>
        </w:rPr>
        <w:t xml:space="preserve"> </w:t>
      </w:r>
      <w:r w:rsidR="00770F22" w:rsidRPr="00BF3751">
        <w:rPr>
          <w:rFonts w:ascii="Bookman Old Style" w:hAnsi="Bookman Old Style"/>
          <w:lang w:val="id-ID"/>
        </w:rPr>
        <w:t>Tangerang</w:t>
      </w:r>
      <w:r w:rsidR="00A954D0">
        <w:rPr>
          <w:rFonts w:ascii="Bookman Old Style" w:hAnsi="Bookman Old Style"/>
          <w:lang w:val="id-ID"/>
        </w:rPr>
        <w:t xml:space="preserve"> </w:t>
      </w:r>
      <w:r w:rsidR="00BE6ED9" w:rsidRPr="00BF3751">
        <w:rPr>
          <w:rFonts w:ascii="Bookman Old Style" w:hAnsi="Bookman Old Style"/>
          <w:lang w:val="id-ID"/>
        </w:rPr>
        <w:t>tentang</w:t>
      </w:r>
      <w:r w:rsidR="00A954D0">
        <w:rPr>
          <w:rFonts w:ascii="Bookman Old Style" w:hAnsi="Bookman Old Style"/>
          <w:lang w:val="id-ID"/>
        </w:rPr>
        <w:t xml:space="preserve"> </w:t>
      </w:r>
      <w:r w:rsidR="00BE6ED9" w:rsidRPr="00BF3751">
        <w:rPr>
          <w:rFonts w:ascii="Bookman Old Style" w:hAnsi="Bookman Old Style"/>
          <w:lang w:val="id-ID"/>
        </w:rPr>
        <w:t>APBD</w:t>
      </w:r>
      <w:r w:rsidR="00A954D0">
        <w:rPr>
          <w:rFonts w:ascii="Bookman Old Style" w:hAnsi="Bookman Old Style"/>
          <w:lang w:val="id-ID"/>
        </w:rPr>
        <w:t xml:space="preserve"> </w:t>
      </w:r>
      <w:r w:rsidRPr="00BF3751">
        <w:rPr>
          <w:rFonts w:ascii="Bookman Old Style" w:hAnsi="Bookman Old Style"/>
          <w:lang w:val="id-ID"/>
        </w:rPr>
        <w:t>Tahun</w:t>
      </w:r>
      <w:r w:rsidR="00A954D0">
        <w:rPr>
          <w:rFonts w:ascii="Bookman Old Style" w:hAnsi="Bookman Old Style"/>
          <w:lang w:val="id-ID"/>
        </w:rPr>
        <w:t xml:space="preserve"> </w:t>
      </w:r>
      <w:r w:rsidRPr="00BF3751">
        <w:rPr>
          <w:rFonts w:ascii="Bookman Old Style" w:hAnsi="Bookman Old Style"/>
          <w:lang w:val="id-ID"/>
        </w:rPr>
        <w:t>Anggaran</w:t>
      </w:r>
      <w:r w:rsidR="00A954D0">
        <w:rPr>
          <w:rFonts w:ascii="Bookman Old Style" w:hAnsi="Bookman Old Style"/>
          <w:lang w:val="id-ID"/>
        </w:rPr>
        <w:t xml:space="preserve"> </w:t>
      </w:r>
      <w:r w:rsidRPr="00BF3751">
        <w:rPr>
          <w:rFonts w:ascii="Bookman Old Style" w:hAnsi="Bookman Old Style"/>
          <w:lang w:val="id-ID"/>
        </w:rPr>
        <w:t>2025</w:t>
      </w:r>
      <w:r w:rsidR="00A954D0">
        <w:rPr>
          <w:rFonts w:ascii="Bookman Old Style" w:hAnsi="Bookman Old Style"/>
          <w:lang w:val="id-ID"/>
        </w:rPr>
        <w:t xml:space="preserve"> </w:t>
      </w:r>
      <w:r w:rsidRPr="00BF3751">
        <w:rPr>
          <w:rFonts w:ascii="Bookman Old Style" w:hAnsi="Bookman Old Style"/>
          <w:lang w:val="id-ID"/>
        </w:rPr>
        <w:t>dan</w:t>
      </w:r>
      <w:r w:rsidR="00A954D0">
        <w:rPr>
          <w:rFonts w:ascii="Bookman Old Style" w:hAnsi="Bookman Old Style"/>
          <w:lang w:val="id-ID"/>
        </w:rPr>
        <w:t xml:space="preserve"> </w:t>
      </w:r>
      <w:r w:rsidRPr="00BF3751">
        <w:rPr>
          <w:rFonts w:ascii="Bookman Old Style" w:hAnsi="Bookman Old Style"/>
          <w:lang w:val="id-ID"/>
        </w:rPr>
        <w:t>Rancangan</w:t>
      </w:r>
      <w:r w:rsidR="00A954D0">
        <w:rPr>
          <w:rFonts w:ascii="Bookman Old Style" w:hAnsi="Bookman Old Style"/>
          <w:lang w:val="id-ID"/>
        </w:rPr>
        <w:t xml:space="preserve"> </w:t>
      </w:r>
      <w:r w:rsidRPr="00BF3751">
        <w:rPr>
          <w:rFonts w:ascii="Bookman Old Style" w:hAnsi="Bookman Old Style"/>
          <w:lang w:val="id-ID"/>
        </w:rPr>
        <w:t>Peraturan</w:t>
      </w:r>
      <w:r w:rsidR="00A954D0">
        <w:rPr>
          <w:rFonts w:ascii="Bookman Old Style" w:hAnsi="Bookman Old Style"/>
          <w:lang w:val="id-ID"/>
        </w:rPr>
        <w:t xml:space="preserve"> </w:t>
      </w:r>
      <w:r w:rsidR="00D13BB0" w:rsidRPr="006E7862">
        <w:rPr>
          <w:rFonts w:ascii="Bookman Old Style" w:hAnsi="Bookman Old Style"/>
          <w:lang w:val="id-ID"/>
        </w:rPr>
        <w:t>Wali</w:t>
      </w:r>
      <w:r w:rsidR="00A954D0" w:rsidRPr="006E7862">
        <w:rPr>
          <w:rFonts w:ascii="Bookman Old Style" w:hAnsi="Bookman Old Style"/>
          <w:lang w:val="id-ID"/>
        </w:rPr>
        <w:t xml:space="preserve"> </w:t>
      </w:r>
      <w:r w:rsidR="00D13BB0" w:rsidRPr="006E7862">
        <w:rPr>
          <w:rFonts w:ascii="Bookman Old Style" w:hAnsi="Bookman Old Style"/>
          <w:lang w:val="id-ID"/>
        </w:rPr>
        <w:t>Kota</w:t>
      </w:r>
      <w:r w:rsidR="00A954D0" w:rsidRPr="006E7862">
        <w:rPr>
          <w:rFonts w:ascii="Bookman Old Style" w:hAnsi="Bookman Old Style"/>
          <w:lang w:val="id-ID"/>
        </w:rPr>
        <w:t xml:space="preserve"> </w:t>
      </w:r>
      <w:r w:rsidR="00770F22" w:rsidRPr="006E7862">
        <w:rPr>
          <w:rFonts w:ascii="Bookman Old Style" w:hAnsi="Bookman Old Style"/>
          <w:lang w:val="id-ID"/>
        </w:rPr>
        <w:t>Tangerang</w:t>
      </w:r>
      <w:r w:rsidR="00A954D0" w:rsidRPr="006E7862">
        <w:rPr>
          <w:rFonts w:ascii="Bookman Old Style" w:hAnsi="Bookman Old Style"/>
          <w:lang w:val="id-ID"/>
        </w:rPr>
        <w:t xml:space="preserve"> </w:t>
      </w:r>
      <w:r w:rsidRPr="006E7862">
        <w:rPr>
          <w:rFonts w:ascii="Bookman Old Style" w:hAnsi="Bookman Old Style"/>
          <w:lang w:val="id-ID"/>
        </w:rPr>
        <w:t>tentang</w:t>
      </w:r>
      <w:r w:rsidR="00A954D0" w:rsidRPr="006E7862">
        <w:rPr>
          <w:rFonts w:ascii="Bookman Old Style" w:hAnsi="Bookman Old Style"/>
          <w:lang w:val="id-ID"/>
        </w:rPr>
        <w:t xml:space="preserve"> </w:t>
      </w:r>
      <w:r w:rsidRPr="006E7862">
        <w:rPr>
          <w:rFonts w:ascii="Bookman Old Style" w:hAnsi="Bookman Old Style"/>
          <w:lang w:val="id-ID"/>
        </w:rPr>
        <w:t>Penjabaran</w:t>
      </w:r>
      <w:r w:rsidR="00A954D0" w:rsidRPr="006E7862">
        <w:rPr>
          <w:rFonts w:ascii="Bookman Old Style" w:hAnsi="Bookman Old Style"/>
          <w:lang w:val="id-ID"/>
        </w:rPr>
        <w:t xml:space="preserve"> </w:t>
      </w:r>
      <w:r w:rsidRPr="006E7862">
        <w:rPr>
          <w:rFonts w:ascii="Bookman Old Style" w:hAnsi="Bookman Old Style"/>
          <w:lang w:val="id-ID"/>
        </w:rPr>
        <w:t>APBD</w:t>
      </w:r>
      <w:r w:rsidR="00A954D0" w:rsidRPr="006E7862">
        <w:rPr>
          <w:rFonts w:ascii="Bookman Old Style" w:hAnsi="Bookman Old Style"/>
          <w:lang w:val="id-ID"/>
        </w:rPr>
        <w:t xml:space="preserve"> </w:t>
      </w:r>
      <w:r w:rsidRPr="006E7862">
        <w:rPr>
          <w:rFonts w:ascii="Bookman Old Style" w:hAnsi="Bookman Old Style"/>
          <w:lang w:val="id-ID"/>
        </w:rPr>
        <w:t>Tahun</w:t>
      </w:r>
      <w:r w:rsidR="00A954D0" w:rsidRPr="006E7862">
        <w:rPr>
          <w:rFonts w:ascii="Bookman Old Style" w:hAnsi="Bookman Old Style"/>
          <w:lang w:val="id-ID"/>
        </w:rPr>
        <w:t xml:space="preserve"> </w:t>
      </w:r>
      <w:r w:rsidRPr="006E7862">
        <w:rPr>
          <w:rFonts w:ascii="Bookman Old Style" w:hAnsi="Bookman Old Style"/>
          <w:lang w:val="id-ID"/>
        </w:rPr>
        <w:t>Anggaran</w:t>
      </w:r>
      <w:r w:rsidR="00A954D0" w:rsidRPr="006E7862">
        <w:rPr>
          <w:rFonts w:ascii="Bookman Old Style" w:hAnsi="Bookman Old Style"/>
          <w:lang w:val="id-ID"/>
        </w:rPr>
        <w:t xml:space="preserve"> </w:t>
      </w:r>
      <w:r w:rsidRPr="006E7862">
        <w:rPr>
          <w:rFonts w:ascii="Bookman Old Style" w:hAnsi="Bookman Old Style"/>
          <w:lang w:val="id-ID"/>
        </w:rPr>
        <w:t>2025</w:t>
      </w:r>
      <w:r w:rsidR="00A954D0" w:rsidRPr="006E7862">
        <w:rPr>
          <w:rFonts w:ascii="Bookman Old Style" w:hAnsi="Bookman Old Style"/>
          <w:lang w:val="id-ID"/>
        </w:rPr>
        <w:t xml:space="preserve"> </w:t>
      </w:r>
      <w:r w:rsidRPr="006E7862">
        <w:rPr>
          <w:rFonts w:ascii="Bookman Old Style" w:hAnsi="Bookman Old Style"/>
          <w:lang w:val="id-ID"/>
        </w:rPr>
        <w:t>yang</w:t>
      </w:r>
      <w:r w:rsidR="00A954D0" w:rsidRPr="006E7862">
        <w:rPr>
          <w:rFonts w:ascii="Bookman Old Style" w:hAnsi="Bookman Old Style"/>
          <w:lang w:val="id-ID"/>
        </w:rPr>
        <w:t xml:space="preserve"> </w:t>
      </w:r>
      <w:r w:rsidRPr="006E7862">
        <w:rPr>
          <w:rFonts w:ascii="Bookman Old Style" w:hAnsi="Bookman Old Style"/>
          <w:lang w:val="id-ID"/>
        </w:rPr>
        <w:t>ditetapkan</w:t>
      </w:r>
      <w:r w:rsidR="00A954D0" w:rsidRPr="006E7862">
        <w:rPr>
          <w:rFonts w:ascii="Bookman Old Style" w:hAnsi="Bookman Old Style"/>
          <w:lang w:val="id-ID"/>
        </w:rPr>
        <w:t xml:space="preserve"> </w:t>
      </w:r>
      <w:r w:rsidRPr="006E7862">
        <w:rPr>
          <w:rFonts w:ascii="Bookman Old Style" w:hAnsi="Bookman Old Style"/>
          <w:lang w:val="id-ID"/>
        </w:rPr>
        <w:t>dengan</w:t>
      </w:r>
      <w:r w:rsidR="00A954D0" w:rsidRPr="006E7862">
        <w:rPr>
          <w:rFonts w:ascii="Bookman Old Style" w:hAnsi="Bookman Old Style"/>
          <w:lang w:val="id-ID"/>
        </w:rPr>
        <w:t xml:space="preserve"> </w:t>
      </w:r>
      <w:r w:rsidRPr="006E7862">
        <w:rPr>
          <w:rFonts w:ascii="Bookman Old Style" w:hAnsi="Bookman Old Style"/>
          <w:lang w:val="id-ID"/>
        </w:rPr>
        <w:t>Keputusan</w:t>
      </w:r>
      <w:r w:rsidR="00A954D0" w:rsidRPr="006E7862">
        <w:rPr>
          <w:rFonts w:ascii="Bookman Old Style" w:hAnsi="Bookman Old Style"/>
          <w:lang w:val="id-ID"/>
        </w:rPr>
        <w:t xml:space="preserve"> </w:t>
      </w:r>
      <w:r w:rsidRPr="006E7862">
        <w:rPr>
          <w:rFonts w:ascii="Bookman Old Style" w:hAnsi="Bookman Old Style"/>
          <w:lang w:val="id-ID"/>
        </w:rPr>
        <w:t>Pimpinan</w:t>
      </w:r>
      <w:r w:rsidR="00A954D0" w:rsidRPr="006E7862">
        <w:rPr>
          <w:rFonts w:ascii="Bookman Old Style" w:hAnsi="Bookman Old Style"/>
          <w:lang w:val="id-ID"/>
        </w:rPr>
        <w:t xml:space="preserve"> </w:t>
      </w:r>
      <w:r w:rsidRPr="006E7862">
        <w:rPr>
          <w:rFonts w:ascii="Bookman Old Style" w:hAnsi="Bookman Old Style"/>
          <w:lang w:val="id-ID"/>
        </w:rPr>
        <w:t>DPRD</w:t>
      </w:r>
      <w:r w:rsidR="00A954D0" w:rsidRPr="006E7862">
        <w:rPr>
          <w:rFonts w:ascii="Bookman Old Style" w:hAnsi="Bookman Old Style"/>
          <w:lang w:val="id-ID"/>
        </w:rPr>
        <w:t xml:space="preserve"> </w:t>
      </w:r>
      <w:r w:rsidRPr="006E7862">
        <w:rPr>
          <w:rFonts w:ascii="Bookman Old Style" w:hAnsi="Bookman Old Style"/>
          <w:lang w:val="id-ID"/>
        </w:rPr>
        <w:t>sesuai</w:t>
      </w:r>
      <w:r w:rsidR="00A954D0" w:rsidRPr="006E7862">
        <w:rPr>
          <w:rFonts w:ascii="Bookman Old Style" w:hAnsi="Bookman Old Style"/>
          <w:lang w:val="id-ID"/>
        </w:rPr>
        <w:t xml:space="preserve"> </w:t>
      </w:r>
      <w:r w:rsidRPr="006E7862">
        <w:rPr>
          <w:rFonts w:ascii="Bookman Old Style" w:hAnsi="Bookman Old Style"/>
          <w:lang w:val="id-ID"/>
        </w:rPr>
        <w:t>dengan</w:t>
      </w:r>
      <w:r w:rsidR="00A954D0" w:rsidRPr="006E7862">
        <w:rPr>
          <w:rFonts w:ascii="Bookman Old Style" w:hAnsi="Bookman Old Style"/>
          <w:lang w:val="id-ID"/>
        </w:rPr>
        <w:t xml:space="preserve"> </w:t>
      </w:r>
      <w:r w:rsidRPr="006E7862">
        <w:rPr>
          <w:rFonts w:ascii="Bookman Old Style" w:hAnsi="Bookman Old Style"/>
          <w:lang w:val="id-ID"/>
        </w:rPr>
        <w:t>ketentuan</w:t>
      </w:r>
      <w:r w:rsidR="00A954D0" w:rsidRPr="006E7862">
        <w:rPr>
          <w:rFonts w:ascii="Bookman Old Style" w:hAnsi="Bookman Old Style"/>
          <w:lang w:val="id-ID"/>
        </w:rPr>
        <w:t xml:space="preserve"> </w:t>
      </w:r>
      <w:r w:rsidRPr="006E7862">
        <w:rPr>
          <w:rFonts w:ascii="Bookman Old Style" w:hAnsi="Bookman Old Style"/>
          <w:lang w:val="id-ID"/>
        </w:rPr>
        <w:t>peraturan</w:t>
      </w:r>
      <w:r w:rsidR="00A954D0" w:rsidRPr="006E7862">
        <w:rPr>
          <w:rFonts w:ascii="Bookman Old Style" w:hAnsi="Bookman Old Style"/>
          <w:lang w:val="id-ID"/>
        </w:rPr>
        <w:t xml:space="preserve"> </w:t>
      </w:r>
      <w:r w:rsidRPr="006E7862">
        <w:rPr>
          <w:rFonts w:ascii="Bookman Old Style" w:hAnsi="Bookman Old Style"/>
          <w:lang w:val="id-ID"/>
        </w:rPr>
        <w:t>perundang-undangan.</w:t>
      </w:r>
    </w:p>
    <w:p w14:paraId="35DC5980" w14:textId="6970A3DE" w:rsidR="003374DF" w:rsidRPr="00953DC9" w:rsidRDefault="003374DF" w:rsidP="008C0A72">
      <w:pPr>
        <w:numPr>
          <w:ilvl w:val="0"/>
          <w:numId w:val="156"/>
        </w:numPr>
        <w:spacing w:line="276" w:lineRule="auto"/>
        <w:ind w:left="993" w:hanging="426"/>
        <w:jc w:val="both"/>
        <w:rPr>
          <w:rFonts w:ascii="Bookman Old Style" w:hAnsi="Bookman Old Style"/>
          <w:lang w:val="sv-FI"/>
        </w:rPr>
      </w:pPr>
      <w:r w:rsidRPr="00953DC9">
        <w:rPr>
          <w:rFonts w:ascii="Bookman Old Style" w:hAnsi="Bookman Old Style"/>
          <w:lang w:val="sv-FI"/>
        </w:rPr>
        <w:t>Penganggaran</w:t>
      </w:r>
      <w:r w:rsidR="00A954D0" w:rsidRPr="00953DC9">
        <w:rPr>
          <w:rFonts w:ascii="Bookman Old Style" w:hAnsi="Bookman Old Style"/>
          <w:lang w:val="sv-FI"/>
        </w:rPr>
        <w:t xml:space="preserve"> </w:t>
      </w:r>
      <w:r w:rsidRPr="00953DC9">
        <w:rPr>
          <w:rFonts w:ascii="Bookman Old Style" w:hAnsi="Bookman Old Style"/>
          <w:lang w:val="sv-FI"/>
        </w:rPr>
        <w:t>pendapatan,</w:t>
      </w:r>
      <w:r w:rsidR="00A954D0" w:rsidRPr="00953DC9">
        <w:rPr>
          <w:rFonts w:ascii="Bookman Old Style" w:hAnsi="Bookman Old Style"/>
          <w:lang w:val="sv-FI"/>
        </w:rPr>
        <w:t xml:space="preserve"> </w:t>
      </w:r>
      <w:r w:rsidRPr="00953DC9">
        <w:rPr>
          <w:rFonts w:ascii="Bookman Old Style" w:hAnsi="Bookman Old Style"/>
          <w:lang w:val="sv-FI"/>
        </w:rPr>
        <w:t>belanja,</w:t>
      </w:r>
      <w:r w:rsidR="00A954D0" w:rsidRPr="00953DC9">
        <w:rPr>
          <w:rFonts w:ascii="Bookman Old Style" w:hAnsi="Bookman Old Style"/>
          <w:lang w:val="sv-FI"/>
        </w:rPr>
        <w:t xml:space="preserve"> </w:t>
      </w:r>
      <w:r w:rsidRPr="00953DC9">
        <w:rPr>
          <w:rFonts w:ascii="Bookman Old Style" w:hAnsi="Bookman Old Style"/>
          <w:lang w:val="sv-FI"/>
        </w:rPr>
        <w:t>dan</w:t>
      </w:r>
      <w:r w:rsidR="00A954D0" w:rsidRPr="00953DC9">
        <w:rPr>
          <w:rFonts w:ascii="Bookman Old Style" w:hAnsi="Bookman Old Style"/>
          <w:lang w:val="sv-FI"/>
        </w:rPr>
        <w:t xml:space="preserve"> </w:t>
      </w:r>
      <w:r w:rsidRPr="00953DC9">
        <w:rPr>
          <w:rFonts w:ascii="Bookman Old Style" w:hAnsi="Bookman Old Style"/>
          <w:lang w:val="sv-FI"/>
        </w:rPr>
        <w:t>pembiayaan</w:t>
      </w:r>
      <w:r w:rsidR="00A954D0" w:rsidRPr="00953DC9">
        <w:rPr>
          <w:rFonts w:ascii="Bookman Old Style" w:hAnsi="Bookman Old Style"/>
          <w:lang w:val="sv-FI"/>
        </w:rPr>
        <w:t xml:space="preserve"> </w:t>
      </w:r>
      <w:r w:rsidRPr="00953DC9">
        <w:rPr>
          <w:rFonts w:ascii="Bookman Old Style" w:hAnsi="Bookman Old Style"/>
          <w:lang w:val="sv-FI"/>
        </w:rPr>
        <w:t>dalam</w:t>
      </w:r>
      <w:r w:rsidR="00A954D0" w:rsidRPr="00953DC9">
        <w:rPr>
          <w:rFonts w:ascii="Bookman Old Style" w:hAnsi="Bookman Old Style"/>
          <w:lang w:val="sv-FI"/>
        </w:rPr>
        <w:t xml:space="preserve"> </w:t>
      </w:r>
      <w:r w:rsidRPr="00953DC9">
        <w:rPr>
          <w:rFonts w:ascii="Bookman Old Style" w:hAnsi="Bookman Old Style"/>
          <w:lang w:val="sv-FI"/>
        </w:rPr>
        <w:t>Peraturan</w:t>
      </w:r>
      <w:r w:rsidR="00A954D0" w:rsidRPr="00953DC9">
        <w:rPr>
          <w:rFonts w:ascii="Bookman Old Style" w:hAnsi="Bookman Old Style"/>
          <w:lang w:val="sv-FI"/>
        </w:rPr>
        <w:t xml:space="preserve"> </w:t>
      </w:r>
      <w:r w:rsidRPr="00953DC9">
        <w:rPr>
          <w:rFonts w:ascii="Bookman Old Style" w:hAnsi="Bookman Old Style"/>
          <w:lang w:val="sv-FI"/>
        </w:rPr>
        <w:t>Daerah</w:t>
      </w:r>
      <w:r w:rsidR="00A954D0" w:rsidRPr="00953DC9">
        <w:rPr>
          <w:rFonts w:ascii="Bookman Old Style" w:hAnsi="Bookman Old Style"/>
          <w:lang w:val="sv-FI"/>
        </w:rPr>
        <w:t xml:space="preserve"> </w:t>
      </w:r>
      <w:r w:rsidR="00B055C5" w:rsidRPr="00953DC9">
        <w:rPr>
          <w:rFonts w:ascii="Bookman Old Style" w:hAnsi="Bookman Old Style"/>
          <w:lang w:val="sv-FI"/>
        </w:rPr>
        <w:t>Kota</w:t>
      </w:r>
      <w:r w:rsidR="00A954D0" w:rsidRPr="00953DC9">
        <w:rPr>
          <w:rFonts w:ascii="Bookman Old Style" w:hAnsi="Bookman Old Style"/>
          <w:lang w:val="sv-FI"/>
        </w:rPr>
        <w:t xml:space="preserve"> </w:t>
      </w:r>
      <w:r w:rsidR="00770F22" w:rsidRPr="00953DC9">
        <w:rPr>
          <w:rFonts w:ascii="Bookman Old Style" w:hAnsi="Bookman Old Style"/>
          <w:lang w:val="sv-FI"/>
        </w:rPr>
        <w:t>Tangerang</w:t>
      </w:r>
      <w:r w:rsidR="00A954D0" w:rsidRPr="00953DC9">
        <w:rPr>
          <w:rFonts w:ascii="Bookman Old Style" w:hAnsi="Bookman Old Style"/>
          <w:lang w:val="sv-FI"/>
        </w:rPr>
        <w:t xml:space="preserve"> </w:t>
      </w:r>
      <w:r w:rsidR="00BE6ED9" w:rsidRPr="00953DC9">
        <w:rPr>
          <w:rFonts w:ascii="Bookman Old Style" w:hAnsi="Bookman Old Style"/>
          <w:lang w:val="sv-FI"/>
        </w:rPr>
        <w:t>tentang</w:t>
      </w:r>
      <w:r w:rsidR="00A954D0" w:rsidRPr="00953DC9">
        <w:rPr>
          <w:rFonts w:ascii="Bookman Old Style" w:hAnsi="Bookman Old Style"/>
          <w:lang w:val="sv-FI"/>
        </w:rPr>
        <w:t xml:space="preserve"> </w:t>
      </w:r>
      <w:r w:rsidR="00BE6ED9" w:rsidRPr="00953DC9">
        <w:rPr>
          <w:rFonts w:ascii="Bookman Old Style" w:hAnsi="Bookman Old Style"/>
          <w:lang w:val="sv-FI"/>
        </w:rPr>
        <w:t>APBD</w:t>
      </w:r>
      <w:r w:rsidR="00A954D0" w:rsidRPr="00953DC9">
        <w:rPr>
          <w:rFonts w:ascii="Bookman Old Style" w:hAnsi="Bookman Old Style"/>
          <w:lang w:val="sv-FI"/>
        </w:rPr>
        <w:t xml:space="preserve"> </w:t>
      </w:r>
      <w:r w:rsidRPr="00953DC9">
        <w:rPr>
          <w:rFonts w:ascii="Bookman Old Style" w:hAnsi="Bookman Old Style"/>
          <w:lang w:val="sv-FI"/>
        </w:rPr>
        <w:t>Tahun</w:t>
      </w:r>
      <w:r w:rsidR="00A954D0" w:rsidRPr="00953DC9">
        <w:rPr>
          <w:rFonts w:ascii="Bookman Old Style" w:hAnsi="Bookman Old Style"/>
          <w:lang w:val="sv-FI"/>
        </w:rPr>
        <w:t xml:space="preserve"> </w:t>
      </w:r>
      <w:r w:rsidRPr="00953DC9">
        <w:rPr>
          <w:rFonts w:ascii="Bookman Old Style" w:hAnsi="Bookman Old Style"/>
          <w:lang w:val="sv-FI"/>
        </w:rPr>
        <w:t>Anggaran</w:t>
      </w:r>
      <w:r w:rsidR="00A954D0" w:rsidRPr="00953DC9">
        <w:rPr>
          <w:rFonts w:ascii="Bookman Old Style" w:hAnsi="Bookman Old Style"/>
          <w:lang w:val="sv-FI"/>
        </w:rPr>
        <w:t xml:space="preserve"> </w:t>
      </w:r>
      <w:r w:rsidRPr="00953DC9">
        <w:rPr>
          <w:rFonts w:ascii="Bookman Old Style" w:hAnsi="Bookman Old Style"/>
          <w:lang w:val="sv-FI"/>
        </w:rPr>
        <w:t>202</w:t>
      </w:r>
      <w:r w:rsidR="004A7683" w:rsidRPr="00953DC9">
        <w:rPr>
          <w:rFonts w:ascii="Bookman Old Style" w:hAnsi="Bookman Old Style"/>
          <w:lang w:val="sv-FI"/>
        </w:rPr>
        <w:t>5</w:t>
      </w:r>
      <w:r w:rsidR="00A954D0" w:rsidRPr="00953DC9">
        <w:rPr>
          <w:rFonts w:ascii="Bookman Old Style" w:hAnsi="Bookman Old Style"/>
          <w:lang w:val="sv-FI"/>
        </w:rPr>
        <w:t xml:space="preserve"> </w:t>
      </w:r>
      <w:r w:rsidRPr="00953DC9">
        <w:rPr>
          <w:rFonts w:ascii="Bookman Old Style" w:hAnsi="Bookman Old Style"/>
          <w:lang w:val="sv-FI"/>
        </w:rPr>
        <w:t>dan</w:t>
      </w:r>
      <w:r w:rsidR="00A954D0" w:rsidRPr="00953DC9">
        <w:rPr>
          <w:rFonts w:ascii="Bookman Old Style" w:hAnsi="Bookman Old Style"/>
          <w:lang w:val="sv-FI"/>
        </w:rPr>
        <w:t xml:space="preserve"> </w:t>
      </w:r>
      <w:r w:rsidRPr="00953DC9">
        <w:rPr>
          <w:rFonts w:ascii="Bookman Old Style" w:hAnsi="Bookman Old Style"/>
          <w:lang w:val="sv-FI"/>
        </w:rPr>
        <w:t>Peraturan</w:t>
      </w:r>
      <w:r w:rsidR="00A954D0" w:rsidRPr="00953DC9">
        <w:rPr>
          <w:rFonts w:ascii="Bookman Old Style" w:hAnsi="Bookman Old Style"/>
          <w:lang w:val="sv-FI"/>
        </w:rPr>
        <w:t xml:space="preserve"> </w:t>
      </w:r>
      <w:r w:rsidR="00D13BB0" w:rsidRPr="00953DC9">
        <w:rPr>
          <w:rFonts w:ascii="Bookman Old Style" w:hAnsi="Bookman Old Style"/>
          <w:lang w:val="sv-FI"/>
        </w:rPr>
        <w:t>Wali</w:t>
      </w:r>
      <w:r w:rsidR="00A954D0" w:rsidRPr="00953DC9">
        <w:rPr>
          <w:rFonts w:ascii="Bookman Old Style" w:hAnsi="Bookman Old Style"/>
          <w:lang w:val="sv-FI"/>
        </w:rPr>
        <w:t xml:space="preserve"> </w:t>
      </w:r>
      <w:r w:rsidR="00D13BB0" w:rsidRPr="00953DC9">
        <w:rPr>
          <w:rFonts w:ascii="Bookman Old Style" w:hAnsi="Bookman Old Style"/>
          <w:lang w:val="sv-FI"/>
        </w:rPr>
        <w:t>Kota</w:t>
      </w:r>
      <w:r w:rsidR="00A954D0" w:rsidRPr="00953DC9">
        <w:rPr>
          <w:rFonts w:ascii="Bookman Old Style" w:hAnsi="Bookman Old Style"/>
          <w:lang w:val="sv-FI"/>
        </w:rPr>
        <w:t xml:space="preserve"> </w:t>
      </w:r>
      <w:r w:rsidR="00770F22" w:rsidRPr="00953DC9">
        <w:rPr>
          <w:rFonts w:ascii="Bookman Old Style" w:hAnsi="Bookman Old Style"/>
          <w:lang w:val="sv-FI"/>
        </w:rPr>
        <w:t>Tangerang</w:t>
      </w:r>
      <w:r w:rsidR="00A954D0" w:rsidRPr="00953DC9">
        <w:rPr>
          <w:rFonts w:ascii="Bookman Old Style" w:hAnsi="Bookman Old Style"/>
          <w:lang w:val="sv-FI"/>
        </w:rPr>
        <w:t xml:space="preserve"> </w:t>
      </w:r>
      <w:r w:rsidRPr="00953DC9">
        <w:rPr>
          <w:rFonts w:ascii="Bookman Old Style" w:hAnsi="Bookman Old Style"/>
          <w:lang w:val="sv-FI"/>
        </w:rPr>
        <w:t>tentang</w:t>
      </w:r>
      <w:r w:rsidR="00A954D0" w:rsidRPr="00953DC9">
        <w:rPr>
          <w:rFonts w:ascii="Bookman Old Style" w:hAnsi="Bookman Old Style"/>
          <w:lang w:val="sv-FI"/>
        </w:rPr>
        <w:t xml:space="preserve"> </w:t>
      </w:r>
      <w:r w:rsidRPr="00953DC9">
        <w:rPr>
          <w:rFonts w:ascii="Bookman Old Style" w:hAnsi="Bookman Old Style"/>
          <w:lang w:val="sv-FI"/>
        </w:rPr>
        <w:t>Penjabaran</w:t>
      </w:r>
      <w:r w:rsidR="00A954D0" w:rsidRPr="00953DC9">
        <w:rPr>
          <w:rFonts w:ascii="Bookman Old Style" w:hAnsi="Bookman Old Style"/>
          <w:lang w:val="sv-FI"/>
        </w:rPr>
        <w:t xml:space="preserve"> </w:t>
      </w:r>
      <w:r w:rsidRPr="00953DC9">
        <w:rPr>
          <w:rFonts w:ascii="Bookman Old Style" w:hAnsi="Bookman Old Style"/>
          <w:lang w:val="sv-FI"/>
        </w:rPr>
        <w:t>APBD</w:t>
      </w:r>
      <w:r w:rsidR="00A954D0" w:rsidRPr="00953DC9">
        <w:rPr>
          <w:rFonts w:ascii="Bookman Old Style" w:hAnsi="Bookman Old Style"/>
          <w:lang w:val="sv-FI"/>
        </w:rPr>
        <w:t xml:space="preserve"> </w:t>
      </w:r>
      <w:r w:rsidRPr="00953DC9">
        <w:rPr>
          <w:rFonts w:ascii="Bookman Old Style" w:hAnsi="Bookman Old Style"/>
          <w:lang w:val="sv-FI"/>
        </w:rPr>
        <w:t>Tahun</w:t>
      </w:r>
      <w:r w:rsidR="00A954D0" w:rsidRPr="00953DC9">
        <w:rPr>
          <w:rFonts w:ascii="Bookman Old Style" w:hAnsi="Bookman Old Style"/>
          <w:lang w:val="sv-FI"/>
        </w:rPr>
        <w:t xml:space="preserve"> </w:t>
      </w:r>
      <w:r w:rsidRPr="00953DC9">
        <w:rPr>
          <w:rFonts w:ascii="Bookman Old Style" w:hAnsi="Bookman Old Style"/>
          <w:lang w:val="sv-FI"/>
        </w:rPr>
        <w:t>Anggaran</w:t>
      </w:r>
      <w:r w:rsidR="00A954D0" w:rsidRPr="00953DC9">
        <w:rPr>
          <w:rFonts w:ascii="Bookman Old Style" w:hAnsi="Bookman Old Style"/>
          <w:lang w:val="sv-FI"/>
        </w:rPr>
        <w:t xml:space="preserve"> </w:t>
      </w:r>
      <w:r w:rsidRPr="00953DC9">
        <w:rPr>
          <w:rFonts w:ascii="Bookman Old Style" w:hAnsi="Bookman Old Style"/>
          <w:lang w:val="sv-FI"/>
        </w:rPr>
        <w:t>202</w:t>
      </w:r>
      <w:r w:rsidR="004A7683" w:rsidRPr="00953DC9">
        <w:rPr>
          <w:rFonts w:ascii="Bookman Old Style" w:hAnsi="Bookman Old Style"/>
          <w:lang w:val="sv-FI"/>
        </w:rPr>
        <w:t>5</w:t>
      </w:r>
      <w:r w:rsidR="00A954D0" w:rsidRPr="00953DC9">
        <w:rPr>
          <w:rFonts w:ascii="Bookman Old Style" w:hAnsi="Bookman Old Style"/>
          <w:lang w:val="sv-FI"/>
        </w:rPr>
        <w:t xml:space="preserve"> </w:t>
      </w:r>
      <w:r w:rsidRPr="00953DC9">
        <w:rPr>
          <w:rFonts w:ascii="Bookman Old Style" w:hAnsi="Bookman Old Style"/>
          <w:lang w:val="sv-FI"/>
        </w:rPr>
        <w:t>yang</w:t>
      </w:r>
      <w:r w:rsidR="00A954D0" w:rsidRPr="00953DC9">
        <w:rPr>
          <w:rFonts w:ascii="Bookman Old Style" w:hAnsi="Bookman Old Style"/>
          <w:lang w:val="sv-FI"/>
        </w:rPr>
        <w:t xml:space="preserve"> </w:t>
      </w:r>
      <w:r w:rsidRPr="00953DC9">
        <w:rPr>
          <w:rFonts w:ascii="Bookman Old Style" w:hAnsi="Bookman Old Style"/>
          <w:lang w:val="sv-FI"/>
        </w:rPr>
        <w:t>tidak</w:t>
      </w:r>
      <w:r w:rsidR="00A954D0" w:rsidRPr="00953DC9">
        <w:rPr>
          <w:rFonts w:ascii="Bookman Old Style" w:hAnsi="Bookman Old Style"/>
          <w:lang w:val="sv-FI"/>
        </w:rPr>
        <w:t xml:space="preserve"> </w:t>
      </w:r>
      <w:r w:rsidRPr="00953DC9">
        <w:rPr>
          <w:rFonts w:ascii="Bookman Old Style" w:hAnsi="Bookman Old Style"/>
          <w:lang w:val="sv-FI"/>
        </w:rPr>
        <w:t>tertuang</w:t>
      </w:r>
      <w:r w:rsidR="00A954D0" w:rsidRPr="00953DC9">
        <w:rPr>
          <w:rFonts w:ascii="Bookman Old Style" w:hAnsi="Bookman Old Style"/>
          <w:lang w:val="sv-FI"/>
        </w:rPr>
        <w:t xml:space="preserve"> </w:t>
      </w:r>
      <w:r w:rsidRPr="00953DC9">
        <w:rPr>
          <w:rFonts w:ascii="Bookman Old Style" w:hAnsi="Bookman Old Style"/>
          <w:lang w:val="sv-FI"/>
        </w:rPr>
        <w:t>dalam</w:t>
      </w:r>
      <w:r w:rsidR="00A954D0" w:rsidRPr="00953DC9">
        <w:rPr>
          <w:rFonts w:ascii="Bookman Old Style" w:hAnsi="Bookman Old Style"/>
          <w:lang w:val="sv-FI"/>
        </w:rPr>
        <w:t xml:space="preserve"> </w:t>
      </w:r>
      <w:r w:rsidRPr="00953DC9">
        <w:rPr>
          <w:rFonts w:ascii="Bookman Old Style" w:hAnsi="Bookman Old Style"/>
          <w:lang w:val="sv-FI"/>
        </w:rPr>
        <w:t>Keputusan</w:t>
      </w:r>
      <w:r w:rsidR="00A954D0" w:rsidRPr="00953DC9">
        <w:rPr>
          <w:rFonts w:ascii="Bookman Old Style" w:hAnsi="Bookman Old Style"/>
          <w:lang w:val="sv-FI"/>
        </w:rPr>
        <w:t xml:space="preserve"> </w:t>
      </w:r>
      <w:r w:rsidR="00473F38" w:rsidRPr="00953DC9">
        <w:rPr>
          <w:rFonts w:ascii="Bookman Old Style" w:hAnsi="Bookman Old Style"/>
          <w:lang w:val="sv-FI"/>
        </w:rPr>
        <w:t>Gubernur</w:t>
      </w:r>
      <w:r w:rsidR="00A954D0" w:rsidRPr="00953DC9">
        <w:rPr>
          <w:rFonts w:ascii="Bookman Old Style" w:hAnsi="Bookman Old Style"/>
          <w:lang w:val="sv-FI"/>
        </w:rPr>
        <w:t xml:space="preserve"> </w:t>
      </w:r>
      <w:r w:rsidRPr="00953DC9">
        <w:rPr>
          <w:rFonts w:ascii="Bookman Old Style" w:hAnsi="Bookman Old Style"/>
          <w:lang w:val="sv-FI"/>
        </w:rPr>
        <w:t>ini,</w:t>
      </w:r>
      <w:r w:rsidR="00A954D0" w:rsidRPr="00953DC9">
        <w:rPr>
          <w:rFonts w:ascii="Bookman Old Style" w:hAnsi="Bookman Old Style"/>
          <w:lang w:val="sv-FI"/>
        </w:rPr>
        <w:t xml:space="preserve"> </w:t>
      </w:r>
      <w:r w:rsidRPr="00953DC9">
        <w:rPr>
          <w:rFonts w:ascii="Bookman Old Style" w:hAnsi="Bookman Old Style"/>
          <w:lang w:val="sv-FI"/>
        </w:rPr>
        <w:t>tetap</w:t>
      </w:r>
      <w:r w:rsidR="00A954D0" w:rsidRPr="00953DC9">
        <w:rPr>
          <w:rFonts w:ascii="Bookman Old Style" w:hAnsi="Bookman Old Style"/>
          <w:lang w:val="sv-FI"/>
        </w:rPr>
        <w:t xml:space="preserve"> </w:t>
      </w:r>
      <w:r w:rsidRPr="00953DC9">
        <w:rPr>
          <w:rFonts w:ascii="Bookman Old Style" w:hAnsi="Bookman Old Style"/>
          <w:lang w:val="sv-FI"/>
        </w:rPr>
        <w:t>harus</w:t>
      </w:r>
      <w:r w:rsidR="00A954D0" w:rsidRPr="00953DC9">
        <w:rPr>
          <w:rFonts w:ascii="Bookman Old Style" w:hAnsi="Bookman Old Style"/>
          <w:lang w:val="sv-FI"/>
        </w:rPr>
        <w:t xml:space="preserve"> </w:t>
      </w:r>
      <w:r w:rsidRPr="00953DC9">
        <w:rPr>
          <w:rFonts w:ascii="Bookman Old Style" w:hAnsi="Bookman Old Style"/>
          <w:lang w:val="sv-FI"/>
        </w:rPr>
        <w:t>berpedoman</w:t>
      </w:r>
      <w:r w:rsidR="00A954D0" w:rsidRPr="00953DC9">
        <w:rPr>
          <w:rFonts w:ascii="Bookman Old Style" w:hAnsi="Bookman Old Style"/>
          <w:lang w:val="sv-FI"/>
        </w:rPr>
        <w:t xml:space="preserve"> </w:t>
      </w:r>
      <w:r w:rsidRPr="00953DC9">
        <w:rPr>
          <w:rFonts w:ascii="Bookman Old Style" w:hAnsi="Bookman Old Style"/>
          <w:lang w:val="sv-FI"/>
        </w:rPr>
        <w:t>pada</w:t>
      </w:r>
      <w:r w:rsidR="00A954D0" w:rsidRPr="00953DC9">
        <w:rPr>
          <w:rFonts w:ascii="Bookman Old Style" w:hAnsi="Bookman Old Style"/>
          <w:lang w:val="sv-FI"/>
        </w:rPr>
        <w:t xml:space="preserve"> </w:t>
      </w:r>
      <w:r w:rsidRPr="00953DC9">
        <w:rPr>
          <w:rFonts w:ascii="Bookman Old Style" w:hAnsi="Bookman Old Style"/>
          <w:lang w:val="sv-FI"/>
        </w:rPr>
        <w:t>ketentuan</w:t>
      </w:r>
      <w:r w:rsidR="00A954D0" w:rsidRPr="00953DC9">
        <w:rPr>
          <w:rFonts w:ascii="Bookman Old Style" w:hAnsi="Bookman Old Style"/>
          <w:lang w:val="sv-FI"/>
        </w:rPr>
        <w:t xml:space="preserve"> </w:t>
      </w:r>
      <w:r w:rsidRPr="00953DC9">
        <w:rPr>
          <w:rFonts w:ascii="Bookman Old Style" w:hAnsi="Bookman Old Style"/>
          <w:lang w:val="sv-FI"/>
        </w:rPr>
        <w:t>peraturan</w:t>
      </w:r>
      <w:r w:rsidR="00A954D0" w:rsidRPr="00953DC9">
        <w:rPr>
          <w:rFonts w:ascii="Bookman Old Style" w:hAnsi="Bookman Old Style"/>
          <w:lang w:val="sv-FI"/>
        </w:rPr>
        <w:t xml:space="preserve"> </w:t>
      </w:r>
      <w:r w:rsidRPr="00953DC9">
        <w:rPr>
          <w:rFonts w:ascii="Bookman Old Style" w:hAnsi="Bookman Old Style"/>
          <w:lang w:val="sv-FI"/>
        </w:rPr>
        <w:t>perundang-undangan.</w:t>
      </w:r>
    </w:p>
    <w:p w14:paraId="616254DF" w14:textId="7B7F481D" w:rsidR="003374DF" w:rsidRDefault="003374DF" w:rsidP="008C0A72">
      <w:pPr>
        <w:numPr>
          <w:ilvl w:val="0"/>
          <w:numId w:val="156"/>
        </w:numPr>
        <w:spacing w:line="276" w:lineRule="auto"/>
        <w:ind w:left="993" w:hanging="426"/>
        <w:jc w:val="both"/>
        <w:rPr>
          <w:rFonts w:ascii="Bookman Old Style" w:hAnsi="Bookman Old Style"/>
          <w:lang w:val="sv-FI"/>
        </w:rPr>
      </w:pPr>
      <w:r w:rsidRPr="00953DC9">
        <w:rPr>
          <w:rFonts w:ascii="Bookman Old Style" w:hAnsi="Bookman Old Style"/>
          <w:lang w:val="sv-FI"/>
        </w:rPr>
        <w:t>Evaluasi</w:t>
      </w:r>
      <w:r w:rsidR="00A954D0" w:rsidRPr="00953DC9">
        <w:rPr>
          <w:rFonts w:ascii="Bookman Old Style" w:hAnsi="Bookman Old Style"/>
          <w:lang w:val="sv-FI"/>
        </w:rPr>
        <w:t xml:space="preserve"> </w:t>
      </w:r>
      <w:r w:rsidRPr="00953DC9">
        <w:rPr>
          <w:rFonts w:ascii="Bookman Old Style" w:hAnsi="Bookman Old Style"/>
          <w:lang w:val="sv-FI"/>
        </w:rPr>
        <w:t>terhadap</w:t>
      </w:r>
      <w:r w:rsidR="00A954D0" w:rsidRPr="00953DC9">
        <w:rPr>
          <w:rFonts w:ascii="Bookman Old Style" w:hAnsi="Bookman Old Style"/>
          <w:lang w:val="sv-FI"/>
        </w:rPr>
        <w:t xml:space="preserve"> </w:t>
      </w:r>
      <w:r w:rsidRPr="00953DC9">
        <w:rPr>
          <w:rFonts w:ascii="Bookman Old Style" w:hAnsi="Bookman Old Style"/>
          <w:lang w:val="sv-FI"/>
        </w:rPr>
        <w:t>Rancangan</w:t>
      </w:r>
      <w:r w:rsidR="00A954D0" w:rsidRPr="00953DC9">
        <w:rPr>
          <w:rFonts w:ascii="Bookman Old Style" w:hAnsi="Bookman Old Style"/>
          <w:lang w:val="sv-FI"/>
        </w:rPr>
        <w:t xml:space="preserve"> </w:t>
      </w:r>
      <w:r w:rsidRPr="00953DC9">
        <w:rPr>
          <w:rFonts w:ascii="Bookman Old Style" w:hAnsi="Bookman Old Style"/>
          <w:lang w:val="sv-FI"/>
        </w:rPr>
        <w:t>Peraturan</w:t>
      </w:r>
      <w:r w:rsidR="00A954D0" w:rsidRPr="00953DC9">
        <w:rPr>
          <w:rFonts w:ascii="Bookman Old Style" w:hAnsi="Bookman Old Style"/>
          <w:lang w:val="sv-FI"/>
        </w:rPr>
        <w:t xml:space="preserve"> </w:t>
      </w:r>
      <w:r w:rsidRPr="00953DC9">
        <w:rPr>
          <w:rFonts w:ascii="Bookman Old Style" w:hAnsi="Bookman Old Style"/>
          <w:lang w:val="sv-FI"/>
        </w:rPr>
        <w:t>Daerah</w:t>
      </w:r>
      <w:r w:rsidR="00A954D0" w:rsidRPr="00953DC9">
        <w:rPr>
          <w:rFonts w:ascii="Bookman Old Style" w:hAnsi="Bookman Old Style"/>
          <w:lang w:val="sv-FI"/>
        </w:rPr>
        <w:t xml:space="preserve"> </w:t>
      </w:r>
      <w:r w:rsidR="00B055C5" w:rsidRPr="00953DC9">
        <w:rPr>
          <w:rFonts w:ascii="Bookman Old Style" w:hAnsi="Bookman Old Style"/>
          <w:lang w:val="sv-FI"/>
        </w:rPr>
        <w:t>Kota</w:t>
      </w:r>
      <w:r w:rsidR="00A954D0" w:rsidRPr="00953DC9">
        <w:rPr>
          <w:rFonts w:ascii="Bookman Old Style" w:hAnsi="Bookman Old Style"/>
          <w:lang w:val="sv-FI"/>
        </w:rPr>
        <w:t xml:space="preserve"> </w:t>
      </w:r>
      <w:r w:rsidR="00770F22" w:rsidRPr="00953DC9">
        <w:rPr>
          <w:rFonts w:ascii="Bookman Old Style" w:hAnsi="Bookman Old Style"/>
          <w:lang w:val="sv-FI"/>
        </w:rPr>
        <w:t>Tangerang</w:t>
      </w:r>
      <w:r w:rsidR="00A954D0" w:rsidRPr="00953DC9">
        <w:rPr>
          <w:rFonts w:ascii="Bookman Old Style" w:hAnsi="Bookman Old Style"/>
          <w:lang w:val="sv-FI"/>
        </w:rPr>
        <w:t xml:space="preserve"> </w:t>
      </w:r>
      <w:r w:rsidR="00BE6ED9" w:rsidRPr="00953DC9">
        <w:rPr>
          <w:rFonts w:ascii="Bookman Old Style" w:hAnsi="Bookman Old Style"/>
          <w:lang w:val="sv-FI"/>
        </w:rPr>
        <w:t>tentang</w:t>
      </w:r>
      <w:r w:rsidR="00A954D0" w:rsidRPr="00953DC9">
        <w:rPr>
          <w:rFonts w:ascii="Bookman Old Style" w:hAnsi="Bookman Old Style"/>
          <w:lang w:val="sv-FI"/>
        </w:rPr>
        <w:t xml:space="preserve"> </w:t>
      </w:r>
      <w:r w:rsidR="00BE6ED9" w:rsidRPr="00953DC9">
        <w:rPr>
          <w:rFonts w:ascii="Bookman Old Style" w:hAnsi="Bookman Old Style"/>
          <w:lang w:val="sv-FI"/>
        </w:rPr>
        <w:t>APBD</w:t>
      </w:r>
      <w:r w:rsidR="00A954D0" w:rsidRPr="00953DC9">
        <w:rPr>
          <w:rFonts w:ascii="Bookman Old Style" w:hAnsi="Bookman Old Style"/>
          <w:lang w:val="sv-FI"/>
        </w:rPr>
        <w:t xml:space="preserve"> </w:t>
      </w:r>
      <w:r w:rsidRPr="00953DC9">
        <w:rPr>
          <w:rFonts w:ascii="Bookman Old Style" w:hAnsi="Bookman Old Style"/>
          <w:lang w:val="sv-FI"/>
        </w:rPr>
        <w:t>Tahun</w:t>
      </w:r>
      <w:r w:rsidR="00A954D0" w:rsidRPr="00953DC9">
        <w:rPr>
          <w:rFonts w:ascii="Bookman Old Style" w:hAnsi="Bookman Old Style"/>
          <w:lang w:val="sv-FI"/>
        </w:rPr>
        <w:t xml:space="preserve"> </w:t>
      </w:r>
      <w:r w:rsidRPr="00953DC9">
        <w:rPr>
          <w:rFonts w:ascii="Bookman Old Style" w:hAnsi="Bookman Old Style"/>
          <w:lang w:val="sv-FI"/>
        </w:rPr>
        <w:t>Anggaran</w:t>
      </w:r>
      <w:r w:rsidR="00A954D0" w:rsidRPr="00953DC9">
        <w:rPr>
          <w:rFonts w:ascii="Bookman Old Style" w:hAnsi="Bookman Old Style"/>
          <w:lang w:val="sv-FI"/>
        </w:rPr>
        <w:t xml:space="preserve"> </w:t>
      </w:r>
      <w:r w:rsidRPr="00953DC9">
        <w:rPr>
          <w:rFonts w:ascii="Bookman Old Style" w:hAnsi="Bookman Old Style"/>
          <w:lang w:val="sv-FI"/>
        </w:rPr>
        <w:t>2025</w:t>
      </w:r>
      <w:r w:rsidR="00A954D0" w:rsidRPr="00953DC9">
        <w:rPr>
          <w:rFonts w:ascii="Bookman Old Style" w:hAnsi="Bookman Old Style"/>
          <w:lang w:val="sv-FI"/>
        </w:rPr>
        <w:t xml:space="preserve"> </w:t>
      </w:r>
      <w:r w:rsidRPr="00953DC9">
        <w:rPr>
          <w:rFonts w:ascii="Bookman Old Style" w:hAnsi="Bookman Old Style"/>
          <w:lang w:val="sv-FI"/>
        </w:rPr>
        <w:t>dan</w:t>
      </w:r>
      <w:r w:rsidR="00A954D0" w:rsidRPr="00953DC9">
        <w:rPr>
          <w:rFonts w:ascii="Bookman Old Style" w:hAnsi="Bookman Old Style"/>
          <w:lang w:val="sv-FI"/>
        </w:rPr>
        <w:t xml:space="preserve"> </w:t>
      </w:r>
      <w:r w:rsidRPr="00953DC9">
        <w:rPr>
          <w:rFonts w:ascii="Bookman Old Style" w:hAnsi="Bookman Old Style"/>
          <w:lang w:val="sv-FI"/>
        </w:rPr>
        <w:t>Rancangan</w:t>
      </w:r>
      <w:r w:rsidR="00A954D0" w:rsidRPr="00953DC9">
        <w:rPr>
          <w:rFonts w:ascii="Bookman Old Style" w:hAnsi="Bookman Old Style"/>
          <w:lang w:val="sv-FI"/>
        </w:rPr>
        <w:t xml:space="preserve"> </w:t>
      </w:r>
      <w:r w:rsidRPr="00953DC9">
        <w:rPr>
          <w:rFonts w:ascii="Bookman Old Style" w:hAnsi="Bookman Old Style"/>
          <w:lang w:val="sv-FI"/>
        </w:rPr>
        <w:t>Peraturan</w:t>
      </w:r>
      <w:r w:rsidR="00A954D0" w:rsidRPr="00953DC9">
        <w:rPr>
          <w:rFonts w:ascii="Bookman Old Style" w:hAnsi="Bookman Old Style"/>
          <w:lang w:val="sv-FI"/>
        </w:rPr>
        <w:t xml:space="preserve"> </w:t>
      </w:r>
      <w:r w:rsidR="004A7683" w:rsidRPr="00953DC9">
        <w:rPr>
          <w:rFonts w:ascii="Bookman Old Style" w:hAnsi="Bookman Old Style"/>
          <w:lang w:val="sv-FI"/>
        </w:rPr>
        <w:t>Wali</w:t>
      </w:r>
      <w:r w:rsidR="00A954D0" w:rsidRPr="00953DC9">
        <w:rPr>
          <w:rFonts w:ascii="Bookman Old Style" w:hAnsi="Bookman Old Style"/>
          <w:lang w:val="sv-FI"/>
        </w:rPr>
        <w:t xml:space="preserve"> </w:t>
      </w:r>
      <w:r w:rsidR="004A7683" w:rsidRPr="00953DC9">
        <w:rPr>
          <w:rFonts w:ascii="Bookman Old Style" w:hAnsi="Bookman Old Style"/>
          <w:lang w:val="sv-FI"/>
        </w:rPr>
        <w:t>Kota</w:t>
      </w:r>
      <w:r w:rsidR="00A954D0" w:rsidRPr="00953DC9">
        <w:rPr>
          <w:rFonts w:ascii="Bookman Old Style" w:hAnsi="Bookman Old Style"/>
          <w:lang w:val="sv-FI"/>
        </w:rPr>
        <w:t xml:space="preserve"> </w:t>
      </w:r>
      <w:r w:rsidR="00770F22" w:rsidRPr="00953DC9">
        <w:rPr>
          <w:rFonts w:ascii="Bookman Old Style" w:hAnsi="Bookman Old Style"/>
          <w:lang w:val="sv-FI"/>
        </w:rPr>
        <w:t>Tangerang</w:t>
      </w:r>
      <w:r w:rsidR="00A954D0" w:rsidRPr="00953DC9">
        <w:rPr>
          <w:rFonts w:ascii="Bookman Old Style" w:hAnsi="Bookman Old Style"/>
          <w:lang w:val="sv-FI"/>
        </w:rPr>
        <w:t xml:space="preserve"> </w:t>
      </w:r>
      <w:r w:rsidRPr="00953DC9">
        <w:rPr>
          <w:rFonts w:ascii="Bookman Old Style" w:hAnsi="Bookman Old Style"/>
          <w:lang w:val="sv-FI"/>
        </w:rPr>
        <w:t>tentang</w:t>
      </w:r>
      <w:r w:rsidR="00A954D0" w:rsidRPr="00953DC9">
        <w:rPr>
          <w:rFonts w:ascii="Bookman Old Style" w:hAnsi="Bookman Old Style"/>
          <w:lang w:val="sv-FI"/>
        </w:rPr>
        <w:t xml:space="preserve"> </w:t>
      </w:r>
      <w:r w:rsidRPr="00953DC9">
        <w:rPr>
          <w:rFonts w:ascii="Bookman Old Style" w:hAnsi="Bookman Old Style"/>
          <w:lang w:val="sv-FI"/>
        </w:rPr>
        <w:t>Penjabaran</w:t>
      </w:r>
      <w:r w:rsidR="00A954D0" w:rsidRPr="00953DC9">
        <w:rPr>
          <w:rFonts w:ascii="Bookman Old Style" w:hAnsi="Bookman Old Style"/>
          <w:lang w:val="sv-FI"/>
        </w:rPr>
        <w:t xml:space="preserve"> </w:t>
      </w:r>
      <w:r w:rsidRPr="00953DC9">
        <w:rPr>
          <w:rFonts w:ascii="Bookman Old Style" w:hAnsi="Bookman Old Style"/>
          <w:lang w:val="sv-FI"/>
        </w:rPr>
        <w:t>APBD</w:t>
      </w:r>
      <w:r w:rsidR="00A954D0" w:rsidRPr="00953DC9">
        <w:rPr>
          <w:rFonts w:ascii="Bookman Old Style" w:hAnsi="Bookman Old Style"/>
          <w:lang w:val="sv-FI"/>
        </w:rPr>
        <w:t xml:space="preserve"> </w:t>
      </w:r>
      <w:r w:rsidRPr="00953DC9">
        <w:rPr>
          <w:rFonts w:ascii="Bookman Old Style" w:hAnsi="Bookman Old Style"/>
          <w:lang w:val="sv-FI"/>
        </w:rPr>
        <w:t>Tahun</w:t>
      </w:r>
      <w:r w:rsidR="00A954D0" w:rsidRPr="00953DC9">
        <w:rPr>
          <w:rFonts w:ascii="Bookman Old Style" w:hAnsi="Bookman Old Style"/>
          <w:lang w:val="sv-FI"/>
        </w:rPr>
        <w:t xml:space="preserve"> </w:t>
      </w:r>
      <w:r w:rsidRPr="00953DC9">
        <w:rPr>
          <w:rFonts w:ascii="Bookman Old Style" w:hAnsi="Bookman Old Style"/>
          <w:lang w:val="sv-FI"/>
        </w:rPr>
        <w:t>Anggaran</w:t>
      </w:r>
      <w:r w:rsidR="00A954D0" w:rsidRPr="00953DC9">
        <w:rPr>
          <w:rFonts w:ascii="Bookman Old Style" w:hAnsi="Bookman Old Style"/>
          <w:lang w:val="sv-FI"/>
        </w:rPr>
        <w:t xml:space="preserve"> </w:t>
      </w:r>
      <w:r w:rsidRPr="00953DC9">
        <w:rPr>
          <w:rFonts w:ascii="Bookman Old Style" w:hAnsi="Bookman Old Style"/>
          <w:lang w:val="sv-FI"/>
        </w:rPr>
        <w:t>2025</w:t>
      </w:r>
      <w:r w:rsidR="00A954D0" w:rsidRPr="00953DC9">
        <w:rPr>
          <w:rFonts w:ascii="Bookman Old Style" w:hAnsi="Bookman Old Style"/>
          <w:lang w:val="sv-FI"/>
        </w:rPr>
        <w:t xml:space="preserve"> </w:t>
      </w:r>
      <w:r w:rsidRPr="00953DC9">
        <w:rPr>
          <w:rFonts w:ascii="Bookman Old Style" w:hAnsi="Bookman Old Style"/>
          <w:lang w:val="sv-FI"/>
        </w:rPr>
        <w:t>yang</w:t>
      </w:r>
      <w:r w:rsidR="00A954D0" w:rsidRPr="00953DC9">
        <w:rPr>
          <w:rFonts w:ascii="Bookman Old Style" w:hAnsi="Bookman Old Style"/>
          <w:lang w:val="sv-FI"/>
        </w:rPr>
        <w:t xml:space="preserve"> </w:t>
      </w:r>
      <w:r w:rsidRPr="00953DC9">
        <w:rPr>
          <w:rFonts w:ascii="Bookman Old Style" w:hAnsi="Bookman Old Style"/>
          <w:lang w:val="sv-FI"/>
        </w:rPr>
        <w:t>tertuang</w:t>
      </w:r>
      <w:r w:rsidR="00A954D0" w:rsidRPr="00953DC9">
        <w:rPr>
          <w:rFonts w:ascii="Bookman Old Style" w:hAnsi="Bookman Old Style"/>
          <w:lang w:val="sv-FI"/>
        </w:rPr>
        <w:t xml:space="preserve"> </w:t>
      </w:r>
      <w:r w:rsidRPr="00953DC9">
        <w:rPr>
          <w:rFonts w:ascii="Bookman Old Style" w:hAnsi="Bookman Old Style"/>
          <w:lang w:val="sv-FI"/>
        </w:rPr>
        <w:t>dalam</w:t>
      </w:r>
      <w:r w:rsidR="00A954D0" w:rsidRPr="00953DC9">
        <w:rPr>
          <w:rFonts w:ascii="Bookman Old Style" w:hAnsi="Bookman Old Style"/>
          <w:lang w:val="sv-FI"/>
        </w:rPr>
        <w:t xml:space="preserve"> </w:t>
      </w:r>
      <w:r w:rsidRPr="00953DC9">
        <w:rPr>
          <w:rFonts w:ascii="Bookman Old Style" w:hAnsi="Bookman Old Style"/>
          <w:lang w:val="sv-FI"/>
        </w:rPr>
        <w:t>Keputusan</w:t>
      </w:r>
      <w:r w:rsidR="00A954D0" w:rsidRPr="00953DC9">
        <w:rPr>
          <w:rFonts w:ascii="Bookman Old Style" w:hAnsi="Bookman Old Style"/>
          <w:lang w:val="sv-FI"/>
        </w:rPr>
        <w:t xml:space="preserve"> </w:t>
      </w:r>
      <w:r w:rsidR="00391062" w:rsidRPr="00953DC9">
        <w:rPr>
          <w:rFonts w:ascii="Bookman Old Style" w:hAnsi="Bookman Old Style"/>
          <w:lang w:val="sv-FI"/>
        </w:rPr>
        <w:t>Gubernur</w:t>
      </w:r>
      <w:r w:rsidR="00A954D0" w:rsidRPr="00953DC9">
        <w:rPr>
          <w:rFonts w:ascii="Bookman Old Style" w:hAnsi="Bookman Old Style"/>
          <w:lang w:val="sv-FI"/>
        </w:rPr>
        <w:t xml:space="preserve"> </w:t>
      </w:r>
      <w:r w:rsidRPr="00953DC9">
        <w:rPr>
          <w:rFonts w:ascii="Bookman Old Style" w:hAnsi="Bookman Old Style"/>
          <w:lang w:val="sv-FI"/>
        </w:rPr>
        <w:t>ini,</w:t>
      </w:r>
      <w:r w:rsidR="00A954D0" w:rsidRPr="00953DC9">
        <w:rPr>
          <w:rFonts w:ascii="Bookman Old Style" w:hAnsi="Bookman Old Style"/>
          <w:lang w:val="sv-FI"/>
        </w:rPr>
        <w:t xml:space="preserve"> </w:t>
      </w:r>
      <w:r w:rsidRPr="00953DC9">
        <w:rPr>
          <w:rFonts w:ascii="Bookman Old Style" w:hAnsi="Bookman Old Style"/>
          <w:lang w:val="sv-FI"/>
        </w:rPr>
        <w:t>berdasarkan</w:t>
      </w:r>
      <w:r w:rsidR="00A954D0" w:rsidRPr="00953DC9">
        <w:rPr>
          <w:rFonts w:ascii="Bookman Old Style" w:hAnsi="Bookman Old Style"/>
          <w:lang w:val="sv-FI"/>
        </w:rPr>
        <w:t xml:space="preserve"> </w:t>
      </w:r>
      <w:r w:rsidRPr="00953DC9">
        <w:rPr>
          <w:rFonts w:ascii="Bookman Old Style" w:hAnsi="Bookman Old Style"/>
          <w:lang w:val="sv-FI"/>
        </w:rPr>
        <w:t>dokumen</w:t>
      </w:r>
      <w:r w:rsidR="00A954D0" w:rsidRPr="00953DC9">
        <w:rPr>
          <w:rFonts w:ascii="Bookman Old Style" w:hAnsi="Bookman Old Style"/>
          <w:lang w:val="sv-FI"/>
        </w:rPr>
        <w:t xml:space="preserve"> </w:t>
      </w:r>
      <w:r w:rsidRPr="00953DC9">
        <w:rPr>
          <w:rFonts w:ascii="Bookman Old Style" w:hAnsi="Bookman Old Style"/>
          <w:lang w:val="sv-FI"/>
        </w:rPr>
        <w:t>yang</w:t>
      </w:r>
      <w:r w:rsidR="00A954D0" w:rsidRPr="00953DC9">
        <w:rPr>
          <w:rFonts w:ascii="Bookman Old Style" w:hAnsi="Bookman Old Style"/>
          <w:lang w:val="sv-FI"/>
        </w:rPr>
        <w:t xml:space="preserve"> </w:t>
      </w:r>
      <w:r w:rsidRPr="00953DC9">
        <w:rPr>
          <w:rFonts w:ascii="Bookman Old Style" w:hAnsi="Bookman Old Style"/>
          <w:lang w:val="sv-FI"/>
        </w:rPr>
        <w:t>disampaikan</w:t>
      </w:r>
      <w:r w:rsidR="00A954D0" w:rsidRPr="00953DC9">
        <w:rPr>
          <w:rFonts w:ascii="Bookman Old Style" w:hAnsi="Bookman Old Style"/>
          <w:lang w:val="sv-FI"/>
        </w:rPr>
        <w:t xml:space="preserve"> </w:t>
      </w:r>
      <w:r w:rsidRPr="00953DC9">
        <w:rPr>
          <w:rFonts w:ascii="Bookman Old Style" w:hAnsi="Bookman Old Style"/>
          <w:lang w:val="sv-FI"/>
        </w:rPr>
        <w:t>oleh</w:t>
      </w:r>
      <w:r w:rsidR="00A954D0" w:rsidRPr="00953DC9">
        <w:rPr>
          <w:rFonts w:ascii="Bookman Old Style" w:hAnsi="Bookman Old Style"/>
          <w:lang w:val="sv-FI"/>
        </w:rPr>
        <w:t xml:space="preserve"> </w:t>
      </w:r>
      <w:r w:rsidRPr="00953DC9">
        <w:rPr>
          <w:rFonts w:ascii="Bookman Old Style" w:hAnsi="Bookman Old Style"/>
          <w:lang w:val="sv-FI"/>
        </w:rPr>
        <w:t>Pemerintah</w:t>
      </w:r>
      <w:r w:rsidR="00A954D0" w:rsidRPr="00953DC9">
        <w:rPr>
          <w:rFonts w:ascii="Bookman Old Style" w:hAnsi="Bookman Old Style"/>
          <w:lang w:val="sv-FI"/>
        </w:rPr>
        <w:t xml:space="preserve"> </w:t>
      </w:r>
      <w:r w:rsidRPr="00953DC9">
        <w:rPr>
          <w:rFonts w:ascii="Bookman Old Style" w:hAnsi="Bookman Old Style"/>
          <w:lang w:val="sv-FI"/>
        </w:rPr>
        <w:t>Daerah</w:t>
      </w:r>
      <w:r w:rsidR="00A954D0" w:rsidRPr="00953DC9">
        <w:rPr>
          <w:rFonts w:ascii="Bookman Old Style" w:hAnsi="Bookman Old Style"/>
          <w:lang w:val="sv-FI"/>
        </w:rPr>
        <w:t xml:space="preserve"> </w:t>
      </w:r>
      <w:r w:rsidR="00046408" w:rsidRPr="00953DC9">
        <w:rPr>
          <w:rFonts w:ascii="Bookman Old Style" w:hAnsi="Bookman Old Style"/>
          <w:lang w:val="sv-FI"/>
        </w:rPr>
        <w:t>Kota</w:t>
      </w:r>
      <w:r w:rsidR="00A954D0" w:rsidRPr="00953DC9">
        <w:rPr>
          <w:rFonts w:ascii="Bookman Old Style" w:hAnsi="Bookman Old Style"/>
          <w:lang w:val="sv-FI"/>
        </w:rPr>
        <w:t xml:space="preserve"> </w:t>
      </w:r>
      <w:r w:rsidR="00770F22" w:rsidRPr="00953DC9">
        <w:rPr>
          <w:rFonts w:ascii="Bookman Old Style" w:hAnsi="Bookman Old Style"/>
          <w:lang w:val="sv-FI"/>
        </w:rPr>
        <w:t>Tangerang</w:t>
      </w:r>
      <w:r w:rsidR="00A954D0" w:rsidRPr="00953DC9">
        <w:rPr>
          <w:rFonts w:ascii="Bookman Old Style" w:hAnsi="Bookman Old Style"/>
          <w:lang w:val="sv-FI"/>
        </w:rPr>
        <w:t xml:space="preserve"> </w:t>
      </w:r>
      <w:r w:rsidRPr="00953DC9">
        <w:rPr>
          <w:rFonts w:ascii="Bookman Old Style" w:hAnsi="Bookman Old Style"/>
          <w:lang w:val="sv-FI"/>
        </w:rPr>
        <w:t>dan</w:t>
      </w:r>
      <w:r w:rsidR="00A954D0" w:rsidRPr="00953DC9">
        <w:rPr>
          <w:rFonts w:ascii="Bookman Old Style" w:hAnsi="Bookman Old Style"/>
          <w:lang w:val="sv-FI"/>
        </w:rPr>
        <w:t xml:space="preserve"> </w:t>
      </w:r>
      <w:r w:rsidRPr="00953DC9">
        <w:rPr>
          <w:rFonts w:ascii="Bookman Old Style" w:hAnsi="Bookman Old Style"/>
          <w:lang w:val="sv-FI"/>
        </w:rPr>
        <w:t>kebenaran</w:t>
      </w:r>
      <w:r w:rsidR="00A954D0" w:rsidRPr="00953DC9">
        <w:rPr>
          <w:rFonts w:ascii="Bookman Old Style" w:hAnsi="Bookman Old Style"/>
          <w:lang w:val="sv-FI"/>
        </w:rPr>
        <w:t xml:space="preserve"> </w:t>
      </w:r>
      <w:r w:rsidRPr="00953DC9">
        <w:rPr>
          <w:rFonts w:ascii="Bookman Old Style" w:hAnsi="Bookman Old Style"/>
          <w:lang w:val="sv-FI"/>
        </w:rPr>
        <w:t>atas</w:t>
      </w:r>
      <w:r w:rsidR="00A954D0" w:rsidRPr="00953DC9">
        <w:rPr>
          <w:rFonts w:ascii="Bookman Old Style" w:hAnsi="Bookman Old Style"/>
          <w:lang w:val="sv-FI"/>
        </w:rPr>
        <w:t xml:space="preserve"> </w:t>
      </w:r>
      <w:r w:rsidRPr="00953DC9">
        <w:rPr>
          <w:rFonts w:ascii="Bookman Old Style" w:hAnsi="Bookman Old Style"/>
          <w:lang w:val="sv-FI"/>
        </w:rPr>
        <w:t>informasi</w:t>
      </w:r>
      <w:r w:rsidR="00A954D0" w:rsidRPr="00953DC9">
        <w:rPr>
          <w:rFonts w:ascii="Bookman Old Style" w:hAnsi="Bookman Old Style"/>
          <w:lang w:val="sv-FI"/>
        </w:rPr>
        <w:t xml:space="preserve"> </w:t>
      </w:r>
      <w:r w:rsidRPr="00953DC9">
        <w:rPr>
          <w:rFonts w:ascii="Bookman Old Style" w:hAnsi="Bookman Old Style"/>
          <w:lang w:val="sv-FI"/>
        </w:rPr>
        <w:t>dalam</w:t>
      </w:r>
      <w:r w:rsidR="00A954D0" w:rsidRPr="00953DC9">
        <w:rPr>
          <w:rFonts w:ascii="Bookman Old Style" w:hAnsi="Bookman Old Style"/>
          <w:lang w:val="sv-FI"/>
        </w:rPr>
        <w:t xml:space="preserve"> </w:t>
      </w:r>
      <w:r w:rsidRPr="00953DC9">
        <w:rPr>
          <w:rFonts w:ascii="Bookman Old Style" w:hAnsi="Bookman Old Style"/>
          <w:lang w:val="sv-FI"/>
        </w:rPr>
        <w:t>dokumen</w:t>
      </w:r>
      <w:r w:rsidR="00A954D0" w:rsidRPr="00953DC9">
        <w:rPr>
          <w:rFonts w:ascii="Bookman Old Style" w:hAnsi="Bookman Old Style"/>
          <w:lang w:val="sv-FI"/>
        </w:rPr>
        <w:t xml:space="preserve"> </w:t>
      </w:r>
      <w:r w:rsidRPr="00953DC9">
        <w:rPr>
          <w:rFonts w:ascii="Bookman Old Style" w:hAnsi="Bookman Old Style"/>
          <w:lang w:val="sv-FI"/>
        </w:rPr>
        <w:t>dimaksud</w:t>
      </w:r>
      <w:r w:rsidR="00A954D0" w:rsidRPr="00953DC9">
        <w:rPr>
          <w:rFonts w:ascii="Bookman Old Style" w:hAnsi="Bookman Old Style"/>
          <w:lang w:val="sv-FI"/>
        </w:rPr>
        <w:t xml:space="preserve"> </w:t>
      </w:r>
      <w:r w:rsidRPr="00953DC9">
        <w:rPr>
          <w:rFonts w:ascii="Bookman Old Style" w:hAnsi="Bookman Old Style"/>
          <w:lang w:val="sv-FI"/>
        </w:rPr>
        <w:t>menjadi</w:t>
      </w:r>
      <w:r w:rsidR="00A954D0" w:rsidRPr="00953DC9">
        <w:rPr>
          <w:rFonts w:ascii="Bookman Old Style" w:hAnsi="Bookman Old Style"/>
          <w:lang w:val="sv-FI"/>
        </w:rPr>
        <w:t xml:space="preserve"> </w:t>
      </w:r>
      <w:r w:rsidRPr="00953DC9">
        <w:rPr>
          <w:rFonts w:ascii="Bookman Old Style" w:hAnsi="Bookman Old Style"/>
          <w:lang w:val="sv-FI"/>
        </w:rPr>
        <w:t>tanggung</w:t>
      </w:r>
      <w:r w:rsidR="00A954D0" w:rsidRPr="00953DC9">
        <w:rPr>
          <w:rFonts w:ascii="Bookman Old Style" w:hAnsi="Bookman Old Style"/>
          <w:lang w:val="sv-FI"/>
        </w:rPr>
        <w:t xml:space="preserve"> </w:t>
      </w:r>
      <w:r w:rsidRPr="00953DC9">
        <w:rPr>
          <w:rFonts w:ascii="Bookman Old Style" w:hAnsi="Bookman Old Style"/>
          <w:lang w:val="sv-FI"/>
        </w:rPr>
        <w:t>jawab</w:t>
      </w:r>
      <w:r w:rsidR="00A954D0" w:rsidRPr="00953DC9">
        <w:rPr>
          <w:rFonts w:ascii="Bookman Old Style" w:hAnsi="Bookman Old Style"/>
          <w:lang w:val="sv-FI"/>
        </w:rPr>
        <w:t xml:space="preserve"> </w:t>
      </w:r>
      <w:r w:rsidRPr="00953DC9">
        <w:rPr>
          <w:rFonts w:ascii="Bookman Old Style" w:hAnsi="Bookman Old Style"/>
          <w:lang w:val="sv-FI"/>
        </w:rPr>
        <w:t>Pemerintah</w:t>
      </w:r>
      <w:r w:rsidR="00A954D0" w:rsidRPr="00953DC9">
        <w:rPr>
          <w:rFonts w:ascii="Bookman Old Style" w:hAnsi="Bookman Old Style"/>
          <w:lang w:val="sv-FI"/>
        </w:rPr>
        <w:t xml:space="preserve"> </w:t>
      </w:r>
      <w:r w:rsidRPr="00953DC9">
        <w:rPr>
          <w:rFonts w:ascii="Bookman Old Style" w:hAnsi="Bookman Old Style"/>
          <w:lang w:val="sv-FI"/>
        </w:rPr>
        <w:t>Daerah</w:t>
      </w:r>
      <w:r w:rsidR="00A954D0" w:rsidRPr="00953DC9">
        <w:rPr>
          <w:rFonts w:ascii="Bookman Old Style" w:hAnsi="Bookman Old Style"/>
          <w:lang w:val="sv-FI"/>
        </w:rPr>
        <w:t xml:space="preserve"> </w:t>
      </w:r>
      <w:r w:rsidR="00046408" w:rsidRPr="00953DC9">
        <w:rPr>
          <w:rFonts w:ascii="Bookman Old Style" w:hAnsi="Bookman Old Style"/>
          <w:lang w:val="sv-FI"/>
        </w:rPr>
        <w:t>Kota</w:t>
      </w:r>
      <w:r w:rsidR="00A954D0" w:rsidRPr="00953DC9">
        <w:rPr>
          <w:rFonts w:ascii="Bookman Old Style" w:hAnsi="Bookman Old Style"/>
          <w:lang w:val="sv-FI"/>
        </w:rPr>
        <w:t xml:space="preserve"> </w:t>
      </w:r>
      <w:r w:rsidR="00770F22" w:rsidRPr="00953DC9">
        <w:rPr>
          <w:rFonts w:ascii="Bookman Old Style" w:hAnsi="Bookman Old Style"/>
          <w:lang w:val="sv-FI"/>
        </w:rPr>
        <w:t>Tangerang</w:t>
      </w:r>
      <w:r w:rsidRPr="00953DC9">
        <w:rPr>
          <w:rFonts w:ascii="Bookman Old Style" w:hAnsi="Bookman Old Style"/>
          <w:lang w:val="sv-FI"/>
        </w:rPr>
        <w:t>.</w:t>
      </w:r>
    </w:p>
    <w:p w14:paraId="2C0E5B4D" w14:textId="77777777" w:rsidR="008C0A72" w:rsidRDefault="008C0A72" w:rsidP="0087042D">
      <w:pPr>
        <w:tabs>
          <w:tab w:val="left" w:pos="1350"/>
        </w:tabs>
        <w:spacing w:line="320" w:lineRule="exact"/>
        <w:ind w:left="4766"/>
        <w:jc w:val="center"/>
        <w:rPr>
          <w:rFonts w:ascii="Bookman Old Style" w:hAnsi="Bookman Old Style" w:cs="Arial"/>
          <w:bCs/>
          <w:lang w:val="id-ID"/>
        </w:rPr>
      </w:pPr>
    </w:p>
    <w:p w14:paraId="7F00A3C2" w14:textId="77777777" w:rsidR="0087042D" w:rsidRPr="008379CA" w:rsidRDefault="0087042D" w:rsidP="0087042D">
      <w:pPr>
        <w:tabs>
          <w:tab w:val="left" w:pos="1350"/>
        </w:tabs>
        <w:spacing w:line="320" w:lineRule="exact"/>
        <w:ind w:left="4766"/>
        <w:jc w:val="center"/>
        <w:rPr>
          <w:rFonts w:ascii="Bookman Old Style" w:hAnsi="Bookman Old Style" w:cs="Arial"/>
          <w:bCs/>
          <w:lang w:val="es-BO"/>
        </w:rPr>
      </w:pPr>
      <w:r w:rsidRPr="008379CA">
        <w:rPr>
          <w:rFonts w:ascii="Bookman Old Style" w:hAnsi="Bookman Old Style" w:cs="Arial"/>
          <w:bCs/>
          <w:lang w:val="id-ID"/>
        </w:rPr>
        <w:t>Pj. GUBERNUR BANTEN</w:t>
      </w:r>
      <w:r w:rsidRPr="008379CA">
        <w:rPr>
          <w:rFonts w:ascii="Bookman Old Style" w:hAnsi="Bookman Old Style" w:cs="Arial"/>
          <w:bCs/>
          <w:lang w:val="es-BO"/>
        </w:rPr>
        <w:t>,</w:t>
      </w:r>
    </w:p>
    <w:p w14:paraId="5697519F" w14:textId="77777777" w:rsidR="0087042D" w:rsidRPr="008379CA" w:rsidRDefault="0087042D" w:rsidP="0087042D">
      <w:pPr>
        <w:tabs>
          <w:tab w:val="left" w:pos="1350"/>
        </w:tabs>
        <w:spacing w:line="320" w:lineRule="exact"/>
        <w:ind w:left="4766"/>
        <w:jc w:val="center"/>
        <w:rPr>
          <w:rFonts w:ascii="Bookman Old Style" w:hAnsi="Bookman Old Style" w:cs="Arial"/>
          <w:bCs/>
          <w:lang w:val="id-ID"/>
        </w:rPr>
      </w:pPr>
    </w:p>
    <w:p w14:paraId="06231C41" w14:textId="77777777" w:rsidR="0087042D" w:rsidRDefault="0087042D" w:rsidP="0087042D">
      <w:pPr>
        <w:tabs>
          <w:tab w:val="left" w:pos="1350"/>
        </w:tabs>
        <w:spacing w:line="320" w:lineRule="exact"/>
        <w:ind w:left="4766"/>
        <w:jc w:val="center"/>
        <w:rPr>
          <w:rFonts w:ascii="Bookman Old Style" w:hAnsi="Bookman Old Style" w:cs="Arial"/>
          <w:bCs/>
          <w:lang w:val="id-ID"/>
        </w:rPr>
      </w:pPr>
    </w:p>
    <w:p w14:paraId="3DD15A29" w14:textId="77777777" w:rsidR="008C0A72" w:rsidRDefault="008C0A72" w:rsidP="0087042D">
      <w:pPr>
        <w:tabs>
          <w:tab w:val="left" w:pos="1350"/>
        </w:tabs>
        <w:spacing w:line="320" w:lineRule="exact"/>
        <w:ind w:left="4766"/>
        <w:jc w:val="center"/>
        <w:rPr>
          <w:rFonts w:ascii="Bookman Old Style" w:hAnsi="Bookman Old Style" w:cs="Arial"/>
          <w:bCs/>
          <w:lang w:val="id-ID"/>
        </w:rPr>
      </w:pPr>
    </w:p>
    <w:p w14:paraId="237CB1C9" w14:textId="77777777" w:rsidR="008C0A72" w:rsidRPr="008379CA" w:rsidRDefault="008C0A72" w:rsidP="0087042D">
      <w:pPr>
        <w:tabs>
          <w:tab w:val="left" w:pos="1350"/>
        </w:tabs>
        <w:spacing w:line="320" w:lineRule="exact"/>
        <w:ind w:left="4766"/>
        <w:jc w:val="center"/>
        <w:rPr>
          <w:rFonts w:ascii="Bookman Old Style" w:hAnsi="Bookman Old Style" w:cs="Arial"/>
          <w:bCs/>
          <w:lang w:val="id-ID"/>
        </w:rPr>
      </w:pPr>
    </w:p>
    <w:p w14:paraId="7F1C62A1" w14:textId="4AE07508" w:rsidR="0087042D" w:rsidRPr="00953DC9" w:rsidRDefault="00EA0BC0" w:rsidP="0087042D">
      <w:pPr>
        <w:spacing w:before="60" w:line="276" w:lineRule="auto"/>
        <w:ind w:left="4766"/>
        <w:jc w:val="center"/>
        <w:rPr>
          <w:rFonts w:ascii="Bookman Old Style" w:hAnsi="Bookman Old Style"/>
          <w:lang w:val="sv-FI"/>
        </w:rPr>
      </w:pPr>
      <w:r>
        <w:rPr>
          <w:rFonts w:ascii="Bookman Old Style" w:hAnsi="Bookman Old Style" w:cs="Arial"/>
          <w:bCs/>
          <w:lang w:val="id-ID"/>
        </w:rPr>
        <w:t>UCOK ABDULRAUF DAMENTA</w:t>
      </w:r>
    </w:p>
    <w:sectPr w:rsidR="0087042D" w:rsidRPr="00953DC9" w:rsidSect="003C1F03">
      <w:headerReference w:type="even" r:id="rId13"/>
      <w:headerReference w:type="default" r:id="rId14"/>
      <w:headerReference w:type="first" r:id="rId15"/>
      <w:pgSz w:w="12242" w:h="18722" w:code="142"/>
      <w:pgMar w:top="1701" w:right="1701" w:bottom="1701" w:left="1701" w:header="720" w:footer="720"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8B6EB" w14:textId="77777777" w:rsidR="005261FB" w:rsidRDefault="005261FB" w:rsidP="00F2432A">
      <w:r>
        <w:separator/>
      </w:r>
    </w:p>
  </w:endnote>
  <w:endnote w:type="continuationSeparator" w:id="0">
    <w:p w14:paraId="4EE6173F" w14:textId="77777777" w:rsidR="005261FB" w:rsidRDefault="005261FB" w:rsidP="00F24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Light (Vietnamese) T">
    <w:altName w:val="Times New Roman"/>
    <w:panose1 w:val="00000000000000000000"/>
    <w:charset w:val="A2"/>
    <w:family w:val="auto"/>
    <w:notTrueType/>
    <w:pitch w:val="variable"/>
    <w:sig w:usb0="20000287"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Grande">
    <w:altName w:val="Arial"/>
    <w:charset w:val="00"/>
    <w:family w:val="swiss"/>
    <w:pitch w:val="variable"/>
    <w:sig w:usb0="20000A87" w:usb1="5000A1FF" w:usb2="00000000" w:usb3="00000000" w:csb0="000001BF" w:csb1="00000000"/>
  </w:font>
  <w:font w:name="Courier New Bold (Arabid)">
    <w:charset w:val="00"/>
    <w:family w:val="modern"/>
    <w:pitch w:val="fixed"/>
    <w:sig w:usb0="E0002AFF" w:usb1="C0007843" w:usb2="00000009" w:usb3="00000000" w:csb0="000001FF" w:csb1="00000000"/>
  </w:font>
  <w:font w:name="Century">
    <w:panose1 w:val="020406030507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Light (Arabid)">
    <w:altName w:val="Gill Sans Nova Light"/>
    <w:panose1 w:val="00000000000000000000"/>
    <w:charset w:val="00"/>
    <w:family w:val="auto"/>
    <w:notTrueType/>
    <w:pitch w:val="variable"/>
    <w:sig w:usb0="00000003" w:usb1="00000000" w:usb2="00000000" w:usb3="00000000" w:csb0="00000001" w:csb1="00000000"/>
  </w:font>
  <w:font w:name="Tahoma,Bold">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man Old Style" w:hAnsi="Bookman Old Style"/>
        <w:sz w:val="24"/>
        <w:szCs w:val="24"/>
      </w:rPr>
      <w:id w:val="1084729413"/>
      <w:docPartObj>
        <w:docPartGallery w:val="Page Numbers (Bottom of Page)"/>
        <w:docPartUnique/>
      </w:docPartObj>
    </w:sdtPr>
    <w:sdtEndPr>
      <w:rPr>
        <w:noProof/>
      </w:rPr>
    </w:sdtEndPr>
    <w:sdtContent>
      <w:p w14:paraId="6A3654AA" w14:textId="2E878708" w:rsidR="00327538" w:rsidRPr="00C04000" w:rsidRDefault="00327538">
        <w:pPr>
          <w:pStyle w:val="Footer"/>
          <w:jc w:val="center"/>
          <w:rPr>
            <w:rFonts w:ascii="Bookman Old Style" w:hAnsi="Bookman Old Style"/>
            <w:sz w:val="24"/>
            <w:szCs w:val="24"/>
          </w:rPr>
        </w:pPr>
        <w:r w:rsidRPr="00C04000">
          <w:rPr>
            <w:rFonts w:ascii="Bookman Old Style" w:hAnsi="Bookman Old Style"/>
            <w:sz w:val="24"/>
            <w:szCs w:val="24"/>
          </w:rPr>
          <w:fldChar w:fldCharType="begin"/>
        </w:r>
        <w:r w:rsidRPr="00C04000">
          <w:rPr>
            <w:rFonts w:ascii="Bookman Old Style" w:hAnsi="Bookman Old Style"/>
            <w:sz w:val="24"/>
            <w:szCs w:val="24"/>
          </w:rPr>
          <w:instrText xml:space="preserve"> PAGE   \* MERGEFORMAT </w:instrText>
        </w:r>
        <w:r w:rsidRPr="00C04000">
          <w:rPr>
            <w:rFonts w:ascii="Bookman Old Style" w:hAnsi="Bookman Old Style"/>
            <w:sz w:val="24"/>
            <w:szCs w:val="24"/>
          </w:rPr>
          <w:fldChar w:fldCharType="separate"/>
        </w:r>
        <w:r w:rsidR="008C0A72">
          <w:rPr>
            <w:rFonts w:ascii="Bookman Old Style" w:hAnsi="Bookman Old Style"/>
            <w:noProof/>
            <w:sz w:val="24"/>
            <w:szCs w:val="24"/>
          </w:rPr>
          <w:t>- 180 -</w:t>
        </w:r>
        <w:r w:rsidRPr="00C04000">
          <w:rPr>
            <w:rFonts w:ascii="Bookman Old Style" w:hAnsi="Bookman Old Style"/>
            <w:noProof/>
            <w:sz w:val="24"/>
            <w:szCs w:val="24"/>
          </w:rPr>
          <w:fldChar w:fldCharType="end"/>
        </w:r>
      </w:p>
    </w:sdtContent>
  </w:sdt>
  <w:p w14:paraId="5BC08D90" w14:textId="77777777" w:rsidR="00327538" w:rsidRDefault="003275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man Old Style" w:hAnsi="Bookman Old Style"/>
      </w:rPr>
      <w:id w:val="707684981"/>
      <w:docPartObj>
        <w:docPartGallery w:val="Page Numbers (Bottom of Page)"/>
        <w:docPartUnique/>
      </w:docPartObj>
    </w:sdtPr>
    <w:sdtEndPr>
      <w:rPr>
        <w:noProof/>
      </w:rPr>
    </w:sdtEndPr>
    <w:sdtContent>
      <w:p w14:paraId="7BEA05DF" w14:textId="0410D710" w:rsidR="00327538" w:rsidRPr="00C04000" w:rsidRDefault="00327538">
        <w:pPr>
          <w:pStyle w:val="Footer"/>
          <w:jc w:val="center"/>
          <w:rPr>
            <w:rFonts w:ascii="Bookman Old Style" w:hAnsi="Bookman Old Style"/>
          </w:rPr>
        </w:pPr>
        <w:r w:rsidRPr="00C04000">
          <w:rPr>
            <w:rFonts w:ascii="Bookman Old Style" w:hAnsi="Bookman Old Style"/>
          </w:rPr>
          <w:fldChar w:fldCharType="begin"/>
        </w:r>
        <w:r w:rsidRPr="00C04000">
          <w:rPr>
            <w:rFonts w:ascii="Bookman Old Style" w:hAnsi="Bookman Old Style"/>
          </w:rPr>
          <w:instrText xml:space="preserve"> PAGE   \* MERGEFORMAT </w:instrText>
        </w:r>
        <w:r w:rsidRPr="00C04000">
          <w:rPr>
            <w:rFonts w:ascii="Bookman Old Style" w:hAnsi="Bookman Old Style"/>
          </w:rPr>
          <w:fldChar w:fldCharType="separate"/>
        </w:r>
        <w:r>
          <w:rPr>
            <w:rFonts w:ascii="Bookman Old Style" w:hAnsi="Bookman Old Style"/>
            <w:noProof/>
          </w:rPr>
          <w:t>- 1 -</w:t>
        </w:r>
        <w:r w:rsidRPr="00C04000">
          <w:rPr>
            <w:rFonts w:ascii="Bookman Old Style" w:hAnsi="Bookman Old Style"/>
            <w:noProof/>
          </w:rPr>
          <w:fldChar w:fldCharType="end"/>
        </w:r>
      </w:p>
    </w:sdtContent>
  </w:sdt>
  <w:p w14:paraId="43FD6C87" w14:textId="77777777" w:rsidR="00327538" w:rsidRDefault="00327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B1E3E" w14:textId="77777777" w:rsidR="005261FB" w:rsidRDefault="005261FB" w:rsidP="00F2432A">
      <w:r>
        <w:separator/>
      </w:r>
    </w:p>
  </w:footnote>
  <w:footnote w:type="continuationSeparator" w:id="0">
    <w:p w14:paraId="312936CD" w14:textId="77777777" w:rsidR="005261FB" w:rsidRDefault="005261FB" w:rsidP="00F24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9A4C" w14:textId="7C224AC7" w:rsidR="00327538" w:rsidRDefault="003275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9159" w14:textId="4A9BBC10" w:rsidR="00327538" w:rsidRDefault="00327538" w:rsidP="000C0A56">
    <w:pPr>
      <w:pStyle w:val="Header"/>
      <w:ind w:firstLin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E707B" w14:textId="03E6BBA7" w:rsidR="00327538" w:rsidRPr="002E72B2" w:rsidRDefault="00327538" w:rsidP="002E72B2">
    <w:pPr>
      <w:pStyle w:val="Header"/>
      <w:rPr>
        <w:rFonts w:ascii="Bookman Old Style" w:hAnsi="Bookman Old Style"/>
        <w:sz w:val="24"/>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E3A2" w14:textId="05DFCE8D" w:rsidR="00327538" w:rsidRDefault="003275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D1EB" w14:textId="76039E8F" w:rsidR="00327538" w:rsidRPr="004117C9" w:rsidRDefault="00327538" w:rsidP="004117C9">
    <w:pPr>
      <w:pStyle w:val="Header"/>
      <w:jc w:val="center"/>
      <w:rPr>
        <w:rFonts w:ascii="Bookman Old Style" w:hAnsi="Bookman Old Style"/>
        <w:sz w:val="16"/>
        <w:szCs w:val="12"/>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06D2" w14:textId="538A90BF" w:rsidR="00327538" w:rsidRDefault="00327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C7A"/>
    <w:multiLevelType w:val="hybridMultilevel"/>
    <w:tmpl w:val="BA6C640A"/>
    <w:lvl w:ilvl="0" w:tplc="FFFFFFFF">
      <w:start w:val="1"/>
      <w:numFmt w:val="decimal"/>
      <w:lvlText w:val="(%1)"/>
      <w:lvlJc w:val="left"/>
      <w:pPr>
        <w:ind w:left="2730" w:hanging="360"/>
      </w:pPr>
      <w:rPr>
        <w:rFonts w:cs="Times New Roman" w:hint="default"/>
        <w:i w:val="0"/>
        <w:strike w:val="0"/>
        <w:color w:val="auto"/>
        <w:kern w:val="24"/>
      </w:rPr>
    </w:lvl>
    <w:lvl w:ilvl="1" w:tplc="FFFFFFFF" w:tentative="1">
      <w:start w:val="1"/>
      <w:numFmt w:val="lowerLetter"/>
      <w:lvlText w:val="%2."/>
      <w:lvlJc w:val="left"/>
      <w:pPr>
        <w:ind w:left="3450" w:hanging="360"/>
      </w:pPr>
    </w:lvl>
    <w:lvl w:ilvl="2" w:tplc="FFFFFFFF" w:tentative="1">
      <w:start w:val="1"/>
      <w:numFmt w:val="lowerRoman"/>
      <w:lvlText w:val="%3."/>
      <w:lvlJc w:val="right"/>
      <w:pPr>
        <w:ind w:left="4170" w:hanging="180"/>
      </w:pPr>
    </w:lvl>
    <w:lvl w:ilvl="3" w:tplc="FFFFFFFF" w:tentative="1">
      <w:start w:val="1"/>
      <w:numFmt w:val="decimal"/>
      <w:lvlText w:val="%4."/>
      <w:lvlJc w:val="left"/>
      <w:pPr>
        <w:ind w:left="4890" w:hanging="360"/>
      </w:pPr>
    </w:lvl>
    <w:lvl w:ilvl="4" w:tplc="FFFFFFFF" w:tentative="1">
      <w:start w:val="1"/>
      <w:numFmt w:val="lowerLetter"/>
      <w:lvlText w:val="%5."/>
      <w:lvlJc w:val="left"/>
      <w:pPr>
        <w:ind w:left="5610" w:hanging="360"/>
      </w:pPr>
    </w:lvl>
    <w:lvl w:ilvl="5" w:tplc="FFFFFFFF" w:tentative="1">
      <w:start w:val="1"/>
      <w:numFmt w:val="lowerRoman"/>
      <w:lvlText w:val="%6."/>
      <w:lvlJc w:val="right"/>
      <w:pPr>
        <w:ind w:left="6330" w:hanging="180"/>
      </w:pPr>
    </w:lvl>
    <w:lvl w:ilvl="6" w:tplc="FFFFFFFF" w:tentative="1">
      <w:start w:val="1"/>
      <w:numFmt w:val="decimal"/>
      <w:lvlText w:val="%7."/>
      <w:lvlJc w:val="left"/>
      <w:pPr>
        <w:ind w:left="7050" w:hanging="360"/>
      </w:pPr>
    </w:lvl>
    <w:lvl w:ilvl="7" w:tplc="FFFFFFFF" w:tentative="1">
      <w:start w:val="1"/>
      <w:numFmt w:val="lowerLetter"/>
      <w:lvlText w:val="%8."/>
      <w:lvlJc w:val="left"/>
      <w:pPr>
        <w:ind w:left="7770" w:hanging="360"/>
      </w:pPr>
    </w:lvl>
    <w:lvl w:ilvl="8" w:tplc="FFFFFFFF" w:tentative="1">
      <w:start w:val="1"/>
      <w:numFmt w:val="lowerRoman"/>
      <w:lvlText w:val="%9."/>
      <w:lvlJc w:val="right"/>
      <w:pPr>
        <w:ind w:left="8490" w:hanging="180"/>
      </w:pPr>
    </w:lvl>
  </w:abstractNum>
  <w:abstractNum w:abstractNumId="1" w15:restartNumberingAfterBreak="0">
    <w:nsid w:val="007F23C1"/>
    <w:multiLevelType w:val="hybridMultilevel"/>
    <w:tmpl w:val="36DCEF9E"/>
    <w:lvl w:ilvl="0" w:tplc="FFFFFFFF">
      <w:start w:val="1"/>
      <w:numFmt w:val="decimal"/>
      <w:lvlText w:val="%1)"/>
      <w:lvlJc w:val="left"/>
      <w:pPr>
        <w:ind w:left="2280" w:hanging="360"/>
      </w:pPr>
      <w:rPr>
        <w:rFonts w:hint="default"/>
      </w:rPr>
    </w:lvl>
    <w:lvl w:ilvl="1" w:tplc="FFFFFFFF" w:tentative="1">
      <w:start w:val="1"/>
      <w:numFmt w:val="lowerLetter"/>
      <w:lvlText w:val="%2."/>
      <w:lvlJc w:val="left"/>
      <w:pPr>
        <w:ind w:left="3000" w:hanging="360"/>
      </w:pPr>
    </w:lvl>
    <w:lvl w:ilvl="2" w:tplc="FFFFFFFF" w:tentative="1">
      <w:start w:val="1"/>
      <w:numFmt w:val="lowerRoman"/>
      <w:lvlText w:val="%3."/>
      <w:lvlJc w:val="right"/>
      <w:pPr>
        <w:ind w:left="3720" w:hanging="180"/>
      </w:pPr>
    </w:lvl>
    <w:lvl w:ilvl="3" w:tplc="FFFFFFFF" w:tentative="1">
      <w:start w:val="1"/>
      <w:numFmt w:val="decimal"/>
      <w:lvlText w:val="%4."/>
      <w:lvlJc w:val="left"/>
      <w:pPr>
        <w:ind w:left="4440" w:hanging="360"/>
      </w:pPr>
    </w:lvl>
    <w:lvl w:ilvl="4" w:tplc="FFFFFFFF" w:tentative="1">
      <w:start w:val="1"/>
      <w:numFmt w:val="lowerLetter"/>
      <w:lvlText w:val="%5."/>
      <w:lvlJc w:val="left"/>
      <w:pPr>
        <w:ind w:left="5160" w:hanging="360"/>
      </w:pPr>
    </w:lvl>
    <w:lvl w:ilvl="5" w:tplc="FFFFFFFF" w:tentative="1">
      <w:start w:val="1"/>
      <w:numFmt w:val="lowerRoman"/>
      <w:lvlText w:val="%6."/>
      <w:lvlJc w:val="right"/>
      <w:pPr>
        <w:ind w:left="5880" w:hanging="18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2" w15:restartNumberingAfterBreak="0">
    <w:nsid w:val="008E00E1"/>
    <w:multiLevelType w:val="hybridMultilevel"/>
    <w:tmpl w:val="DF185B00"/>
    <w:lvl w:ilvl="0" w:tplc="3809000F">
      <w:start w:val="1"/>
      <w:numFmt w:val="decimal"/>
      <w:lvlText w:val="%1."/>
      <w:lvlJc w:val="left"/>
      <w:pPr>
        <w:ind w:left="1647" w:hanging="360"/>
      </w:p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3" w15:restartNumberingAfterBreak="0">
    <w:nsid w:val="01361A30"/>
    <w:multiLevelType w:val="hybridMultilevel"/>
    <w:tmpl w:val="A98AC646"/>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4" w15:restartNumberingAfterBreak="0">
    <w:nsid w:val="01664B78"/>
    <w:multiLevelType w:val="hybridMultilevel"/>
    <w:tmpl w:val="8FBE0CEE"/>
    <w:lvl w:ilvl="0" w:tplc="FFFFFFFF">
      <w:start w:val="1"/>
      <w:numFmt w:val="lowerLetter"/>
      <w:lvlText w:val="%1)"/>
      <w:lvlJc w:val="left"/>
      <w:pPr>
        <w:ind w:left="2364" w:hanging="360"/>
      </w:pPr>
      <w:rPr>
        <w:rFonts w:hint="default"/>
        <w:color w:val="auto"/>
      </w:rPr>
    </w:lvl>
    <w:lvl w:ilvl="1" w:tplc="FFFFFFFF" w:tentative="1">
      <w:start w:val="1"/>
      <w:numFmt w:val="lowerLetter"/>
      <w:lvlText w:val="%2."/>
      <w:lvlJc w:val="left"/>
      <w:pPr>
        <w:ind w:left="3084" w:hanging="360"/>
      </w:pPr>
    </w:lvl>
    <w:lvl w:ilvl="2" w:tplc="FFFFFFFF" w:tentative="1">
      <w:start w:val="1"/>
      <w:numFmt w:val="lowerRoman"/>
      <w:lvlText w:val="%3."/>
      <w:lvlJc w:val="right"/>
      <w:pPr>
        <w:ind w:left="3804" w:hanging="180"/>
      </w:pPr>
    </w:lvl>
    <w:lvl w:ilvl="3" w:tplc="FFFFFFFF" w:tentative="1">
      <w:start w:val="1"/>
      <w:numFmt w:val="decimal"/>
      <w:lvlText w:val="%4."/>
      <w:lvlJc w:val="left"/>
      <w:pPr>
        <w:ind w:left="4524" w:hanging="360"/>
      </w:pPr>
    </w:lvl>
    <w:lvl w:ilvl="4" w:tplc="FFFFFFFF" w:tentative="1">
      <w:start w:val="1"/>
      <w:numFmt w:val="lowerLetter"/>
      <w:lvlText w:val="%5."/>
      <w:lvlJc w:val="left"/>
      <w:pPr>
        <w:ind w:left="5244" w:hanging="360"/>
      </w:pPr>
    </w:lvl>
    <w:lvl w:ilvl="5" w:tplc="FFFFFFFF" w:tentative="1">
      <w:start w:val="1"/>
      <w:numFmt w:val="lowerRoman"/>
      <w:lvlText w:val="%6."/>
      <w:lvlJc w:val="right"/>
      <w:pPr>
        <w:ind w:left="5964" w:hanging="180"/>
      </w:pPr>
    </w:lvl>
    <w:lvl w:ilvl="6" w:tplc="FFFFFFFF" w:tentative="1">
      <w:start w:val="1"/>
      <w:numFmt w:val="decimal"/>
      <w:lvlText w:val="%7."/>
      <w:lvlJc w:val="left"/>
      <w:pPr>
        <w:ind w:left="6684" w:hanging="360"/>
      </w:pPr>
    </w:lvl>
    <w:lvl w:ilvl="7" w:tplc="FFFFFFFF" w:tentative="1">
      <w:start w:val="1"/>
      <w:numFmt w:val="lowerLetter"/>
      <w:lvlText w:val="%8."/>
      <w:lvlJc w:val="left"/>
      <w:pPr>
        <w:ind w:left="7404" w:hanging="360"/>
      </w:pPr>
    </w:lvl>
    <w:lvl w:ilvl="8" w:tplc="FFFFFFFF" w:tentative="1">
      <w:start w:val="1"/>
      <w:numFmt w:val="lowerRoman"/>
      <w:lvlText w:val="%9."/>
      <w:lvlJc w:val="right"/>
      <w:pPr>
        <w:ind w:left="8124" w:hanging="180"/>
      </w:pPr>
    </w:lvl>
  </w:abstractNum>
  <w:abstractNum w:abstractNumId="5" w15:restartNumberingAfterBreak="0">
    <w:nsid w:val="02907FA6"/>
    <w:multiLevelType w:val="hybridMultilevel"/>
    <w:tmpl w:val="12941EDC"/>
    <w:lvl w:ilvl="0" w:tplc="5BD46C60">
      <w:start w:val="1"/>
      <w:numFmt w:val="lowerLetter"/>
      <w:lvlText w:val="%1."/>
      <w:lvlJc w:val="left"/>
      <w:pPr>
        <w:ind w:left="1705" w:hanging="360"/>
      </w:pPr>
      <w:rPr>
        <w:i w:val="0"/>
        <w:iCs/>
        <w:color w:val="000000" w:themeColor="text1"/>
        <w:sz w:val="24"/>
        <w:szCs w:val="24"/>
      </w:rPr>
    </w:lvl>
    <w:lvl w:ilvl="1" w:tplc="FFFFFFFF" w:tentative="1">
      <w:start w:val="1"/>
      <w:numFmt w:val="lowerLetter"/>
      <w:lvlText w:val="%2."/>
      <w:lvlJc w:val="left"/>
      <w:pPr>
        <w:ind w:left="2425" w:hanging="360"/>
      </w:pPr>
    </w:lvl>
    <w:lvl w:ilvl="2" w:tplc="FFFFFFFF" w:tentative="1">
      <w:start w:val="1"/>
      <w:numFmt w:val="lowerRoman"/>
      <w:lvlText w:val="%3."/>
      <w:lvlJc w:val="right"/>
      <w:pPr>
        <w:ind w:left="3145" w:hanging="180"/>
      </w:pPr>
    </w:lvl>
    <w:lvl w:ilvl="3" w:tplc="FFFFFFFF" w:tentative="1">
      <w:start w:val="1"/>
      <w:numFmt w:val="decimal"/>
      <w:lvlText w:val="%4."/>
      <w:lvlJc w:val="left"/>
      <w:pPr>
        <w:ind w:left="3865" w:hanging="360"/>
      </w:pPr>
    </w:lvl>
    <w:lvl w:ilvl="4" w:tplc="FFFFFFFF" w:tentative="1">
      <w:start w:val="1"/>
      <w:numFmt w:val="lowerLetter"/>
      <w:lvlText w:val="%5."/>
      <w:lvlJc w:val="left"/>
      <w:pPr>
        <w:ind w:left="4585" w:hanging="360"/>
      </w:pPr>
    </w:lvl>
    <w:lvl w:ilvl="5" w:tplc="FFFFFFFF" w:tentative="1">
      <w:start w:val="1"/>
      <w:numFmt w:val="lowerRoman"/>
      <w:lvlText w:val="%6."/>
      <w:lvlJc w:val="right"/>
      <w:pPr>
        <w:ind w:left="5305" w:hanging="180"/>
      </w:pPr>
    </w:lvl>
    <w:lvl w:ilvl="6" w:tplc="FFFFFFFF" w:tentative="1">
      <w:start w:val="1"/>
      <w:numFmt w:val="decimal"/>
      <w:lvlText w:val="%7."/>
      <w:lvlJc w:val="left"/>
      <w:pPr>
        <w:ind w:left="6025" w:hanging="360"/>
      </w:pPr>
    </w:lvl>
    <w:lvl w:ilvl="7" w:tplc="FFFFFFFF" w:tentative="1">
      <w:start w:val="1"/>
      <w:numFmt w:val="lowerLetter"/>
      <w:lvlText w:val="%8."/>
      <w:lvlJc w:val="left"/>
      <w:pPr>
        <w:ind w:left="6745" w:hanging="360"/>
      </w:pPr>
    </w:lvl>
    <w:lvl w:ilvl="8" w:tplc="FFFFFFFF" w:tentative="1">
      <w:start w:val="1"/>
      <w:numFmt w:val="lowerRoman"/>
      <w:lvlText w:val="%9."/>
      <w:lvlJc w:val="right"/>
      <w:pPr>
        <w:ind w:left="7465" w:hanging="180"/>
      </w:pPr>
    </w:lvl>
  </w:abstractNum>
  <w:abstractNum w:abstractNumId="6" w15:restartNumberingAfterBreak="0">
    <w:nsid w:val="033B2576"/>
    <w:multiLevelType w:val="hybridMultilevel"/>
    <w:tmpl w:val="23168BC2"/>
    <w:lvl w:ilvl="0" w:tplc="3516E478">
      <w:start w:val="1"/>
      <w:numFmt w:val="decimal"/>
      <w:lvlText w:val="%1)"/>
      <w:lvlJc w:val="left"/>
      <w:pPr>
        <w:ind w:left="2007" w:hanging="360"/>
      </w:pPr>
      <w:rPr>
        <w:rFonts w:hint="default"/>
        <w:color w:val="auto"/>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7" w15:restartNumberingAfterBreak="0">
    <w:nsid w:val="035619A0"/>
    <w:multiLevelType w:val="hybridMultilevel"/>
    <w:tmpl w:val="FF783F0A"/>
    <w:lvl w:ilvl="0" w:tplc="04090011">
      <w:start w:val="1"/>
      <w:numFmt w:val="decimal"/>
      <w:lvlText w:val="%1)"/>
      <w:lvlJc w:val="left"/>
      <w:pPr>
        <w:ind w:left="1987" w:hanging="360"/>
      </w:pPr>
      <w:rPr>
        <w:rFonts w:hint="default"/>
        <w:i w:val="0"/>
        <w:strike w:val="0"/>
        <w:color w:val="auto"/>
        <w:kern w:val="24"/>
      </w:rPr>
    </w:lvl>
    <w:lvl w:ilvl="1" w:tplc="FFFFFFFF" w:tentative="1">
      <w:start w:val="1"/>
      <w:numFmt w:val="lowerLetter"/>
      <w:lvlText w:val="%2."/>
      <w:lvlJc w:val="left"/>
      <w:pPr>
        <w:ind w:left="2707" w:hanging="360"/>
      </w:pPr>
    </w:lvl>
    <w:lvl w:ilvl="2" w:tplc="FFFFFFFF" w:tentative="1">
      <w:start w:val="1"/>
      <w:numFmt w:val="lowerRoman"/>
      <w:lvlText w:val="%3."/>
      <w:lvlJc w:val="right"/>
      <w:pPr>
        <w:ind w:left="3427" w:hanging="180"/>
      </w:pPr>
    </w:lvl>
    <w:lvl w:ilvl="3" w:tplc="FFFFFFFF" w:tentative="1">
      <w:start w:val="1"/>
      <w:numFmt w:val="decimal"/>
      <w:lvlText w:val="%4."/>
      <w:lvlJc w:val="left"/>
      <w:pPr>
        <w:ind w:left="4147" w:hanging="360"/>
      </w:pPr>
    </w:lvl>
    <w:lvl w:ilvl="4" w:tplc="FFFFFFFF" w:tentative="1">
      <w:start w:val="1"/>
      <w:numFmt w:val="lowerLetter"/>
      <w:lvlText w:val="%5."/>
      <w:lvlJc w:val="left"/>
      <w:pPr>
        <w:ind w:left="4867" w:hanging="360"/>
      </w:pPr>
    </w:lvl>
    <w:lvl w:ilvl="5" w:tplc="FFFFFFFF" w:tentative="1">
      <w:start w:val="1"/>
      <w:numFmt w:val="lowerRoman"/>
      <w:lvlText w:val="%6."/>
      <w:lvlJc w:val="right"/>
      <w:pPr>
        <w:ind w:left="5587" w:hanging="180"/>
      </w:pPr>
    </w:lvl>
    <w:lvl w:ilvl="6" w:tplc="FFFFFFFF" w:tentative="1">
      <w:start w:val="1"/>
      <w:numFmt w:val="decimal"/>
      <w:lvlText w:val="%7."/>
      <w:lvlJc w:val="left"/>
      <w:pPr>
        <w:ind w:left="6307" w:hanging="360"/>
      </w:pPr>
    </w:lvl>
    <w:lvl w:ilvl="7" w:tplc="FFFFFFFF" w:tentative="1">
      <w:start w:val="1"/>
      <w:numFmt w:val="lowerLetter"/>
      <w:lvlText w:val="%8."/>
      <w:lvlJc w:val="left"/>
      <w:pPr>
        <w:ind w:left="7027" w:hanging="360"/>
      </w:pPr>
    </w:lvl>
    <w:lvl w:ilvl="8" w:tplc="FFFFFFFF" w:tentative="1">
      <w:start w:val="1"/>
      <w:numFmt w:val="lowerRoman"/>
      <w:lvlText w:val="%9."/>
      <w:lvlJc w:val="right"/>
      <w:pPr>
        <w:ind w:left="7747" w:hanging="180"/>
      </w:pPr>
    </w:lvl>
  </w:abstractNum>
  <w:abstractNum w:abstractNumId="8" w15:restartNumberingAfterBreak="0">
    <w:nsid w:val="035E5BD7"/>
    <w:multiLevelType w:val="hybridMultilevel"/>
    <w:tmpl w:val="0B122834"/>
    <w:lvl w:ilvl="0" w:tplc="38090017">
      <w:start w:val="1"/>
      <w:numFmt w:val="lowerLetter"/>
      <w:lvlText w:val="%1)"/>
      <w:lvlJc w:val="left"/>
      <w:pPr>
        <w:ind w:left="2847" w:hanging="360"/>
      </w:pPr>
    </w:lvl>
    <w:lvl w:ilvl="1" w:tplc="38090019" w:tentative="1">
      <w:start w:val="1"/>
      <w:numFmt w:val="lowerLetter"/>
      <w:lvlText w:val="%2."/>
      <w:lvlJc w:val="left"/>
      <w:pPr>
        <w:ind w:left="3567" w:hanging="360"/>
      </w:pPr>
    </w:lvl>
    <w:lvl w:ilvl="2" w:tplc="3809001B" w:tentative="1">
      <w:start w:val="1"/>
      <w:numFmt w:val="lowerRoman"/>
      <w:lvlText w:val="%3."/>
      <w:lvlJc w:val="right"/>
      <w:pPr>
        <w:ind w:left="4287" w:hanging="180"/>
      </w:pPr>
    </w:lvl>
    <w:lvl w:ilvl="3" w:tplc="3809000F" w:tentative="1">
      <w:start w:val="1"/>
      <w:numFmt w:val="decimal"/>
      <w:lvlText w:val="%4."/>
      <w:lvlJc w:val="left"/>
      <w:pPr>
        <w:ind w:left="5007" w:hanging="360"/>
      </w:pPr>
    </w:lvl>
    <w:lvl w:ilvl="4" w:tplc="38090019" w:tentative="1">
      <w:start w:val="1"/>
      <w:numFmt w:val="lowerLetter"/>
      <w:lvlText w:val="%5."/>
      <w:lvlJc w:val="left"/>
      <w:pPr>
        <w:ind w:left="5727" w:hanging="360"/>
      </w:pPr>
    </w:lvl>
    <w:lvl w:ilvl="5" w:tplc="3809001B" w:tentative="1">
      <w:start w:val="1"/>
      <w:numFmt w:val="lowerRoman"/>
      <w:lvlText w:val="%6."/>
      <w:lvlJc w:val="right"/>
      <w:pPr>
        <w:ind w:left="6447" w:hanging="180"/>
      </w:pPr>
    </w:lvl>
    <w:lvl w:ilvl="6" w:tplc="3809000F" w:tentative="1">
      <w:start w:val="1"/>
      <w:numFmt w:val="decimal"/>
      <w:lvlText w:val="%7."/>
      <w:lvlJc w:val="left"/>
      <w:pPr>
        <w:ind w:left="7167" w:hanging="360"/>
      </w:pPr>
    </w:lvl>
    <w:lvl w:ilvl="7" w:tplc="38090019" w:tentative="1">
      <w:start w:val="1"/>
      <w:numFmt w:val="lowerLetter"/>
      <w:lvlText w:val="%8."/>
      <w:lvlJc w:val="left"/>
      <w:pPr>
        <w:ind w:left="7887" w:hanging="360"/>
      </w:pPr>
    </w:lvl>
    <w:lvl w:ilvl="8" w:tplc="3809001B" w:tentative="1">
      <w:start w:val="1"/>
      <w:numFmt w:val="lowerRoman"/>
      <w:lvlText w:val="%9."/>
      <w:lvlJc w:val="right"/>
      <w:pPr>
        <w:ind w:left="8607" w:hanging="180"/>
      </w:pPr>
    </w:lvl>
  </w:abstractNum>
  <w:abstractNum w:abstractNumId="9" w15:restartNumberingAfterBreak="0">
    <w:nsid w:val="03981A7E"/>
    <w:multiLevelType w:val="hybridMultilevel"/>
    <w:tmpl w:val="189EBA6C"/>
    <w:lvl w:ilvl="0" w:tplc="FFFFFFFF">
      <w:start w:val="1"/>
      <w:numFmt w:val="lowerLetter"/>
      <w:lvlText w:val="%1."/>
      <w:lvlJc w:val="left"/>
      <w:pPr>
        <w:ind w:left="1647" w:hanging="360"/>
      </w:pPr>
      <w:rPr>
        <w:rFonts w:hint="default"/>
        <w:color w:val="000000" w:themeColor="text1"/>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0" w15:restartNumberingAfterBreak="0">
    <w:nsid w:val="03E0553A"/>
    <w:multiLevelType w:val="hybridMultilevel"/>
    <w:tmpl w:val="D5FCD314"/>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47407D1"/>
    <w:multiLevelType w:val="hybridMultilevel"/>
    <w:tmpl w:val="67163EA8"/>
    <w:lvl w:ilvl="0" w:tplc="FFFFFFFF">
      <w:start w:val="1"/>
      <w:numFmt w:val="lowerLetter"/>
      <w:lvlText w:val="%1."/>
      <w:lvlJc w:val="left"/>
      <w:pPr>
        <w:ind w:left="1636" w:hanging="360"/>
      </w:pPr>
      <w:rPr>
        <w:color w:val="auto"/>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2" w15:restartNumberingAfterBreak="0">
    <w:nsid w:val="048F10CF"/>
    <w:multiLevelType w:val="hybridMultilevel"/>
    <w:tmpl w:val="1540BD48"/>
    <w:lvl w:ilvl="0" w:tplc="04090019">
      <w:start w:val="1"/>
      <w:numFmt w:val="lowerLetter"/>
      <w:lvlText w:val="%1."/>
      <w:lvlJc w:val="left"/>
      <w:pPr>
        <w:ind w:left="1920" w:hanging="360"/>
      </w:p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3" w15:restartNumberingAfterBreak="0">
    <w:nsid w:val="05541B91"/>
    <w:multiLevelType w:val="hybridMultilevel"/>
    <w:tmpl w:val="E0CC6E18"/>
    <w:lvl w:ilvl="0" w:tplc="7622778C">
      <w:start w:val="1"/>
      <w:numFmt w:val="decimal"/>
      <w:lvlText w:val="%1."/>
      <w:lvlJc w:val="left"/>
      <w:pPr>
        <w:ind w:left="1287" w:hanging="360"/>
      </w:pPr>
      <w:rPr>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05DB4551"/>
    <w:multiLevelType w:val="hybridMultilevel"/>
    <w:tmpl w:val="1AA48D70"/>
    <w:lvl w:ilvl="0" w:tplc="FFFFFFFF">
      <w:start w:val="1"/>
      <w:numFmt w:val="lowerLetter"/>
      <w:lvlText w:val="%1)"/>
      <w:lvlJc w:val="left"/>
      <w:pPr>
        <w:ind w:left="2367" w:hanging="360"/>
      </w:pPr>
    </w:lvl>
    <w:lvl w:ilvl="1" w:tplc="FFFFFFFF" w:tentative="1">
      <w:start w:val="1"/>
      <w:numFmt w:val="lowerLetter"/>
      <w:lvlText w:val="%2."/>
      <w:lvlJc w:val="left"/>
      <w:pPr>
        <w:ind w:left="3087" w:hanging="360"/>
      </w:pPr>
    </w:lvl>
    <w:lvl w:ilvl="2" w:tplc="FFFFFFFF" w:tentative="1">
      <w:start w:val="1"/>
      <w:numFmt w:val="lowerRoman"/>
      <w:lvlText w:val="%3."/>
      <w:lvlJc w:val="right"/>
      <w:pPr>
        <w:ind w:left="3807" w:hanging="180"/>
      </w:pPr>
    </w:lvl>
    <w:lvl w:ilvl="3" w:tplc="FFFFFFFF" w:tentative="1">
      <w:start w:val="1"/>
      <w:numFmt w:val="decimal"/>
      <w:lvlText w:val="%4."/>
      <w:lvlJc w:val="left"/>
      <w:pPr>
        <w:ind w:left="4527" w:hanging="360"/>
      </w:pPr>
    </w:lvl>
    <w:lvl w:ilvl="4" w:tplc="FFFFFFFF" w:tentative="1">
      <w:start w:val="1"/>
      <w:numFmt w:val="lowerLetter"/>
      <w:lvlText w:val="%5."/>
      <w:lvlJc w:val="left"/>
      <w:pPr>
        <w:ind w:left="5247" w:hanging="360"/>
      </w:pPr>
    </w:lvl>
    <w:lvl w:ilvl="5" w:tplc="FFFFFFFF" w:tentative="1">
      <w:start w:val="1"/>
      <w:numFmt w:val="lowerRoman"/>
      <w:lvlText w:val="%6."/>
      <w:lvlJc w:val="right"/>
      <w:pPr>
        <w:ind w:left="5967" w:hanging="180"/>
      </w:pPr>
    </w:lvl>
    <w:lvl w:ilvl="6" w:tplc="FFFFFFFF" w:tentative="1">
      <w:start w:val="1"/>
      <w:numFmt w:val="decimal"/>
      <w:lvlText w:val="%7."/>
      <w:lvlJc w:val="left"/>
      <w:pPr>
        <w:ind w:left="6687" w:hanging="360"/>
      </w:pPr>
    </w:lvl>
    <w:lvl w:ilvl="7" w:tplc="FFFFFFFF" w:tentative="1">
      <w:start w:val="1"/>
      <w:numFmt w:val="lowerLetter"/>
      <w:lvlText w:val="%8."/>
      <w:lvlJc w:val="left"/>
      <w:pPr>
        <w:ind w:left="7407" w:hanging="360"/>
      </w:pPr>
    </w:lvl>
    <w:lvl w:ilvl="8" w:tplc="FFFFFFFF" w:tentative="1">
      <w:start w:val="1"/>
      <w:numFmt w:val="lowerRoman"/>
      <w:lvlText w:val="%9."/>
      <w:lvlJc w:val="right"/>
      <w:pPr>
        <w:ind w:left="8127" w:hanging="180"/>
      </w:pPr>
    </w:lvl>
  </w:abstractNum>
  <w:abstractNum w:abstractNumId="15" w15:restartNumberingAfterBreak="0">
    <w:nsid w:val="063F5FC7"/>
    <w:multiLevelType w:val="hybridMultilevel"/>
    <w:tmpl w:val="D5605C72"/>
    <w:lvl w:ilvl="0" w:tplc="FFFFFFFF">
      <w:start w:val="1"/>
      <w:numFmt w:val="decimal"/>
      <w:lvlText w:val="%1)"/>
      <w:lvlJc w:val="left"/>
      <w:pPr>
        <w:ind w:left="2356" w:hanging="360"/>
      </w:pPr>
    </w:lvl>
    <w:lvl w:ilvl="1" w:tplc="FFFFFFFF" w:tentative="1">
      <w:start w:val="1"/>
      <w:numFmt w:val="lowerLetter"/>
      <w:lvlText w:val="%2."/>
      <w:lvlJc w:val="left"/>
      <w:pPr>
        <w:ind w:left="3076" w:hanging="360"/>
      </w:pPr>
    </w:lvl>
    <w:lvl w:ilvl="2" w:tplc="FFFFFFFF" w:tentative="1">
      <w:start w:val="1"/>
      <w:numFmt w:val="lowerRoman"/>
      <w:lvlText w:val="%3."/>
      <w:lvlJc w:val="right"/>
      <w:pPr>
        <w:ind w:left="3796" w:hanging="180"/>
      </w:pPr>
    </w:lvl>
    <w:lvl w:ilvl="3" w:tplc="FFFFFFFF" w:tentative="1">
      <w:start w:val="1"/>
      <w:numFmt w:val="decimal"/>
      <w:lvlText w:val="%4."/>
      <w:lvlJc w:val="left"/>
      <w:pPr>
        <w:ind w:left="4516" w:hanging="360"/>
      </w:pPr>
    </w:lvl>
    <w:lvl w:ilvl="4" w:tplc="FFFFFFFF" w:tentative="1">
      <w:start w:val="1"/>
      <w:numFmt w:val="lowerLetter"/>
      <w:lvlText w:val="%5."/>
      <w:lvlJc w:val="left"/>
      <w:pPr>
        <w:ind w:left="5236" w:hanging="360"/>
      </w:pPr>
    </w:lvl>
    <w:lvl w:ilvl="5" w:tplc="FFFFFFFF" w:tentative="1">
      <w:start w:val="1"/>
      <w:numFmt w:val="lowerRoman"/>
      <w:lvlText w:val="%6."/>
      <w:lvlJc w:val="right"/>
      <w:pPr>
        <w:ind w:left="5956" w:hanging="180"/>
      </w:pPr>
    </w:lvl>
    <w:lvl w:ilvl="6" w:tplc="FFFFFFFF" w:tentative="1">
      <w:start w:val="1"/>
      <w:numFmt w:val="decimal"/>
      <w:lvlText w:val="%7."/>
      <w:lvlJc w:val="left"/>
      <w:pPr>
        <w:ind w:left="6676" w:hanging="360"/>
      </w:pPr>
    </w:lvl>
    <w:lvl w:ilvl="7" w:tplc="FFFFFFFF" w:tentative="1">
      <w:start w:val="1"/>
      <w:numFmt w:val="lowerLetter"/>
      <w:lvlText w:val="%8."/>
      <w:lvlJc w:val="left"/>
      <w:pPr>
        <w:ind w:left="7396" w:hanging="360"/>
      </w:pPr>
    </w:lvl>
    <w:lvl w:ilvl="8" w:tplc="FFFFFFFF" w:tentative="1">
      <w:start w:val="1"/>
      <w:numFmt w:val="lowerRoman"/>
      <w:lvlText w:val="%9."/>
      <w:lvlJc w:val="right"/>
      <w:pPr>
        <w:ind w:left="8116" w:hanging="180"/>
      </w:pPr>
    </w:lvl>
  </w:abstractNum>
  <w:abstractNum w:abstractNumId="16" w15:restartNumberingAfterBreak="0">
    <w:nsid w:val="0698196E"/>
    <w:multiLevelType w:val="hybridMultilevel"/>
    <w:tmpl w:val="AADC3E8E"/>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7" w15:restartNumberingAfterBreak="0">
    <w:nsid w:val="07921D05"/>
    <w:multiLevelType w:val="hybridMultilevel"/>
    <w:tmpl w:val="DC9AA202"/>
    <w:lvl w:ilvl="0" w:tplc="FFFFFFFF">
      <w:start w:val="1"/>
      <w:numFmt w:val="lowerLetter"/>
      <w:lvlText w:val="%1."/>
      <w:lvlJc w:val="left"/>
      <w:pPr>
        <w:ind w:left="1647"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7C07F60"/>
    <w:multiLevelType w:val="hybridMultilevel"/>
    <w:tmpl w:val="9C2016CA"/>
    <w:lvl w:ilvl="0" w:tplc="3516E478">
      <w:start w:val="1"/>
      <w:numFmt w:val="decimal"/>
      <w:lvlText w:val="%1)"/>
      <w:lvlJc w:val="left"/>
      <w:pPr>
        <w:ind w:left="2280" w:hanging="360"/>
      </w:pPr>
      <w:rPr>
        <w:rFonts w:hint="default"/>
        <w:color w:val="auto"/>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9" w15:restartNumberingAfterBreak="0">
    <w:nsid w:val="084457C7"/>
    <w:multiLevelType w:val="hybridMultilevel"/>
    <w:tmpl w:val="9D9CFC36"/>
    <w:lvl w:ilvl="0" w:tplc="3809000F">
      <w:start w:val="1"/>
      <w:numFmt w:val="decimal"/>
      <w:lvlText w:val="%1."/>
      <w:lvlJc w:val="left"/>
      <w:pPr>
        <w:ind w:left="2259" w:hanging="360"/>
      </w:pPr>
      <w:rPr>
        <w:rFonts w:hint="default"/>
      </w:rPr>
    </w:lvl>
    <w:lvl w:ilvl="1" w:tplc="38090019" w:tentative="1">
      <w:start w:val="1"/>
      <w:numFmt w:val="lowerLetter"/>
      <w:lvlText w:val="%2."/>
      <w:lvlJc w:val="left"/>
      <w:pPr>
        <w:ind w:left="2979" w:hanging="360"/>
      </w:pPr>
    </w:lvl>
    <w:lvl w:ilvl="2" w:tplc="3809001B" w:tentative="1">
      <w:start w:val="1"/>
      <w:numFmt w:val="lowerRoman"/>
      <w:lvlText w:val="%3."/>
      <w:lvlJc w:val="right"/>
      <w:pPr>
        <w:ind w:left="3699" w:hanging="180"/>
      </w:pPr>
    </w:lvl>
    <w:lvl w:ilvl="3" w:tplc="3809000F" w:tentative="1">
      <w:start w:val="1"/>
      <w:numFmt w:val="decimal"/>
      <w:lvlText w:val="%4."/>
      <w:lvlJc w:val="left"/>
      <w:pPr>
        <w:ind w:left="4419" w:hanging="360"/>
      </w:pPr>
    </w:lvl>
    <w:lvl w:ilvl="4" w:tplc="38090019" w:tentative="1">
      <w:start w:val="1"/>
      <w:numFmt w:val="lowerLetter"/>
      <w:lvlText w:val="%5."/>
      <w:lvlJc w:val="left"/>
      <w:pPr>
        <w:ind w:left="5139" w:hanging="360"/>
      </w:pPr>
    </w:lvl>
    <w:lvl w:ilvl="5" w:tplc="3809001B" w:tentative="1">
      <w:start w:val="1"/>
      <w:numFmt w:val="lowerRoman"/>
      <w:lvlText w:val="%6."/>
      <w:lvlJc w:val="right"/>
      <w:pPr>
        <w:ind w:left="5859" w:hanging="180"/>
      </w:pPr>
    </w:lvl>
    <w:lvl w:ilvl="6" w:tplc="3809000F" w:tentative="1">
      <w:start w:val="1"/>
      <w:numFmt w:val="decimal"/>
      <w:lvlText w:val="%7."/>
      <w:lvlJc w:val="left"/>
      <w:pPr>
        <w:ind w:left="6579" w:hanging="360"/>
      </w:pPr>
    </w:lvl>
    <w:lvl w:ilvl="7" w:tplc="38090019" w:tentative="1">
      <w:start w:val="1"/>
      <w:numFmt w:val="lowerLetter"/>
      <w:lvlText w:val="%8."/>
      <w:lvlJc w:val="left"/>
      <w:pPr>
        <w:ind w:left="7299" w:hanging="360"/>
      </w:pPr>
    </w:lvl>
    <w:lvl w:ilvl="8" w:tplc="3809001B" w:tentative="1">
      <w:start w:val="1"/>
      <w:numFmt w:val="lowerRoman"/>
      <w:lvlText w:val="%9."/>
      <w:lvlJc w:val="right"/>
      <w:pPr>
        <w:ind w:left="8019" w:hanging="180"/>
      </w:pPr>
    </w:lvl>
  </w:abstractNum>
  <w:abstractNum w:abstractNumId="20" w15:restartNumberingAfterBreak="0">
    <w:nsid w:val="084D1F6B"/>
    <w:multiLevelType w:val="hybridMultilevel"/>
    <w:tmpl w:val="22882242"/>
    <w:lvl w:ilvl="0" w:tplc="0409000F">
      <w:start w:val="1"/>
      <w:numFmt w:val="decimal"/>
      <w:lvlText w:val="%1."/>
      <w:lvlJc w:val="left"/>
      <w:pPr>
        <w:ind w:left="1267" w:hanging="360"/>
      </w:pPr>
    </w:lvl>
    <w:lvl w:ilvl="1" w:tplc="04090019" w:tentative="1">
      <w:start w:val="1"/>
      <w:numFmt w:val="lowerLetter"/>
      <w:lvlText w:val="%2."/>
      <w:lvlJc w:val="left"/>
      <w:pPr>
        <w:ind w:left="1651" w:hanging="360"/>
      </w:pPr>
    </w:lvl>
    <w:lvl w:ilvl="2" w:tplc="0409001B" w:tentative="1">
      <w:start w:val="1"/>
      <w:numFmt w:val="lowerRoman"/>
      <w:lvlText w:val="%3."/>
      <w:lvlJc w:val="right"/>
      <w:pPr>
        <w:ind w:left="2371" w:hanging="180"/>
      </w:pPr>
    </w:lvl>
    <w:lvl w:ilvl="3" w:tplc="0409000F" w:tentative="1">
      <w:start w:val="1"/>
      <w:numFmt w:val="decimal"/>
      <w:lvlText w:val="%4."/>
      <w:lvlJc w:val="left"/>
      <w:pPr>
        <w:ind w:left="3091" w:hanging="360"/>
      </w:pPr>
    </w:lvl>
    <w:lvl w:ilvl="4" w:tplc="04090019" w:tentative="1">
      <w:start w:val="1"/>
      <w:numFmt w:val="lowerLetter"/>
      <w:lvlText w:val="%5."/>
      <w:lvlJc w:val="left"/>
      <w:pPr>
        <w:ind w:left="3811" w:hanging="360"/>
      </w:pPr>
    </w:lvl>
    <w:lvl w:ilvl="5" w:tplc="0409001B" w:tentative="1">
      <w:start w:val="1"/>
      <w:numFmt w:val="lowerRoman"/>
      <w:lvlText w:val="%6."/>
      <w:lvlJc w:val="right"/>
      <w:pPr>
        <w:ind w:left="4531" w:hanging="180"/>
      </w:pPr>
    </w:lvl>
    <w:lvl w:ilvl="6" w:tplc="0409000F" w:tentative="1">
      <w:start w:val="1"/>
      <w:numFmt w:val="decimal"/>
      <w:lvlText w:val="%7."/>
      <w:lvlJc w:val="left"/>
      <w:pPr>
        <w:ind w:left="5251" w:hanging="360"/>
      </w:pPr>
    </w:lvl>
    <w:lvl w:ilvl="7" w:tplc="04090019" w:tentative="1">
      <w:start w:val="1"/>
      <w:numFmt w:val="lowerLetter"/>
      <w:lvlText w:val="%8."/>
      <w:lvlJc w:val="left"/>
      <w:pPr>
        <w:ind w:left="5971" w:hanging="360"/>
      </w:pPr>
    </w:lvl>
    <w:lvl w:ilvl="8" w:tplc="0409001B" w:tentative="1">
      <w:start w:val="1"/>
      <w:numFmt w:val="lowerRoman"/>
      <w:lvlText w:val="%9."/>
      <w:lvlJc w:val="right"/>
      <w:pPr>
        <w:ind w:left="6691" w:hanging="180"/>
      </w:pPr>
    </w:lvl>
  </w:abstractNum>
  <w:abstractNum w:abstractNumId="21" w15:restartNumberingAfterBreak="0">
    <w:nsid w:val="08F96E49"/>
    <w:multiLevelType w:val="hybridMultilevel"/>
    <w:tmpl w:val="7B1A31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9037576"/>
    <w:multiLevelType w:val="hybridMultilevel"/>
    <w:tmpl w:val="B9627BA8"/>
    <w:lvl w:ilvl="0" w:tplc="FFFFFFFF">
      <w:start w:val="1"/>
      <w:numFmt w:val="decimal"/>
      <w:lvlText w:val="%1."/>
      <w:lvlJc w:val="left"/>
      <w:pPr>
        <w:ind w:left="1267" w:hanging="360"/>
      </w:pPr>
    </w:lvl>
    <w:lvl w:ilvl="1" w:tplc="FFFFFFFF" w:tentative="1">
      <w:start w:val="1"/>
      <w:numFmt w:val="lowerLetter"/>
      <w:lvlText w:val="%2."/>
      <w:lvlJc w:val="left"/>
      <w:pPr>
        <w:ind w:left="1987" w:hanging="360"/>
      </w:p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23" w15:restartNumberingAfterBreak="0">
    <w:nsid w:val="09066B1A"/>
    <w:multiLevelType w:val="hybridMultilevel"/>
    <w:tmpl w:val="C4B84552"/>
    <w:lvl w:ilvl="0" w:tplc="3809000F">
      <w:start w:val="1"/>
      <w:numFmt w:val="decimal"/>
      <w:lvlText w:val="%1."/>
      <w:lvlJc w:val="left"/>
      <w:pPr>
        <w:ind w:left="2160" w:hanging="360"/>
      </w:pPr>
    </w:lvl>
    <w:lvl w:ilvl="1" w:tplc="38090019">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4" w15:restartNumberingAfterBreak="0">
    <w:nsid w:val="09675E6E"/>
    <w:multiLevelType w:val="hybridMultilevel"/>
    <w:tmpl w:val="E87C8B46"/>
    <w:lvl w:ilvl="0" w:tplc="04090017">
      <w:start w:val="1"/>
      <w:numFmt w:val="lowerLetter"/>
      <w:lvlText w:val="%1)"/>
      <w:lvlJc w:val="left"/>
      <w:pPr>
        <w:ind w:left="2367" w:hanging="360"/>
      </w:p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25" w15:restartNumberingAfterBreak="0">
    <w:nsid w:val="096C16D2"/>
    <w:multiLevelType w:val="hybridMultilevel"/>
    <w:tmpl w:val="9F32EDE4"/>
    <w:lvl w:ilvl="0" w:tplc="FFFFFFFF">
      <w:start w:val="1"/>
      <w:numFmt w:val="decimal"/>
      <w:lvlText w:val="%1)"/>
      <w:lvlJc w:val="left"/>
      <w:pPr>
        <w:ind w:left="2203" w:hanging="360"/>
      </w:pPr>
      <w:rPr>
        <w:rFonts w:hint="default"/>
      </w:rPr>
    </w:lvl>
    <w:lvl w:ilvl="1" w:tplc="FFFFFFFF" w:tentative="1">
      <w:start w:val="1"/>
      <w:numFmt w:val="bullet"/>
      <w:lvlText w:val="o"/>
      <w:lvlJc w:val="left"/>
      <w:pPr>
        <w:ind w:left="2923" w:hanging="360"/>
      </w:pPr>
      <w:rPr>
        <w:rFonts w:ascii="Courier New" w:hAnsi="Courier New" w:cs="Courier New" w:hint="default"/>
      </w:rPr>
    </w:lvl>
    <w:lvl w:ilvl="2" w:tplc="FFFFFFFF" w:tentative="1">
      <w:start w:val="1"/>
      <w:numFmt w:val="bullet"/>
      <w:lvlText w:val=""/>
      <w:lvlJc w:val="left"/>
      <w:pPr>
        <w:ind w:left="3643" w:hanging="360"/>
      </w:pPr>
      <w:rPr>
        <w:rFonts w:ascii="Wingdings" w:hAnsi="Wingdings" w:hint="default"/>
      </w:rPr>
    </w:lvl>
    <w:lvl w:ilvl="3" w:tplc="FFFFFFFF" w:tentative="1">
      <w:start w:val="1"/>
      <w:numFmt w:val="bullet"/>
      <w:lvlText w:val=""/>
      <w:lvlJc w:val="left"/>
      <w:pPr>
        <w:ind w:left="4363" w:hanging="360"/>
      </w:pPr>
      <w:rPr>
        <w:rFonts w:ascii="Symbol" w:hAnsi="Symbol" w:hint="default"/>
      </w:rPr>
    </w:lvl>
    <w:lvl w:ilvl="4" w:tplc="FFFFFFFF" w:tentative="1">
      <w:start w:val="1"/>
      <w:numFmt w:val="bullet"/>
      <w:lvlText w:val="o"/>
      <w:lvlJc w:val="left"/>
      <w:pPr>
        <w:ind w:left="5083" w:hanging="360"/>
      </w:pPr>
      <w:rPr>
        <w:rFonts w:ascii="Courier New" w:hAnsi="Courier New" w:cs="Courier New" w:hint="default"/>
      </w:rPr>
    </w:lvl>
    <w:lvl w:ilvl="5" w:tplc="FFFFFFFF" w:tentative="1">
      <w:start w:val="1"/>
      <w:numFmt w:val="bullet"/>
      <w:lvlText w:val=""/>
      <w:lvlJc w:val="left"/>
      <w:pPr>
        <w:ind w:left="5803" w:hanging="360"/>
      </w:pPr>
      <w:rPr>
        <w:rFonts w:ascii="Wingdings" w:hAnsi="Wingdings" w:hint="default"/>
      </w:rPr>
    </w:lvl>
    <w:lvl w:ilvl="6" w:tplc="FFFFFFFF" w:tentative="1">
      <w:start w:val="1"/>
      <w:numFmt w:val="bullet"/>
      <w:lvlText w:val=""/>
      <w:lvlJc w:val="left"/>
      <w:pPr>
        <w:ind w:left="6523" w:hanging="360"/>
      </w:pPr>
      <w:rPr>
        <w:rFonts w:ascii="Symbol" w:hAnsi="Symbol" w:hint="default"/>
      </w:rPr>
    </w:lvl>
    <w:lvl w:ilvl="7" w:tplc="FFFFFFFF" w:tentative="1">
      <w:start w:val="1"/>
      <w:numFmt w:val="bullet"/>
      <w:lvlText w:val="o"/>
      <w:lvlJc w:val="left"/>
      <w:pPr>
        <w:ind w:left="7243" w:hanging="360"/>
      </w:pPr>
      <w:rPr>
        <w:rFonts w:ascii="Courier New" w:hAnsi="Courier New" w:cs="Courier New" w:hint="default"/>
      </w:rPr>
    </w:lvl>
    <w:lvl w:ilvl="8" w:tplc="FFFFFFFF" w:tentative="1">
      <w:start w:val="1"/>
      <w:numFmt w:val="bullet"/>
      <w:lvlText w:val=""/>
      <w:lvlJc w:val="left"/>
      <w:pPr>
        <w:ind w:left="7963" w:hanging="360"/>
      </w:pPr>
      <w:rPr>
        <w:rFonts w:ascii="Wingdings" w:hAnsi="Wingdings" w:hint="default"/>
      </w:rPr>
    </w:lvl>
  </w:abstractNum>
  <w:abstractNum w:abstractNumId="26" w15:restartNumberingAfterBreak="0">
    <w:nsid w:val="09C156C9"/>
    <w:multiLevelType w:val="hybridMultilevel"/>
    <w:tmpl w:val="6A26B788"/>
    <w:lvl w:ilvl="0" w:tplc="3809000F">
      <w:start w:val="1"/>
      <w:numFmt w:val="decimal"/>
      <w:lvlText w:val="%1."/>
      <w:lvlJc w:val="left"/>
      <w:pPr>
        <w:ind w:left="1647" w:hanging="360"/>
      </w:p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27" w15:restartNumberingAfterBreak="0">
    <w:nsid w:val="09C210F2"/>
    <w:multiLevelType w:val="hybridMultilevel"/>
    <w:tmpl w:val="79ECC4DE"/>
    <w:lvl w:ilvl="0" w:tplc="0409001B">
      <w:start w:val="1"/>
      <w:numFmt w:val="lowerRoman"/>
      <w:lvlText w:val="%1."/>
      <w:lvlJc w:val="right"/>
      <w:pPr>
        <w:ind w:left="4992" w:hanging="360"/>
      </w:pPr>
    </w:lvl>
    <w:lvl w:ilvl="1" w:tplc="38090019" w:tentative="1">
      <w:start w:val="1"/>
      <w:numFmt w:val="lowerLetter"/>
      <w:lvlText w:val="%2."/>
      <w:lvlJc w:val="left"/>
      <w:pPr>
        <w:ind w:left="5712" w:hanging="360"/>
      </w:pPr>
    </w:lvl>
    <w:lvl w:ilvl="2" w:tplc="3809001B" w:tentative="1">
      <w:start w:val="1"/>
      <w:numFmt w:val="lowerRoman"/>
      <w:lvlText w:val="%3."/>
      <w:lvlJc w:val="right"/>
      <w:pPr>
        <w:ind w:left="6432" w:hanging="180"/>
      </w:pPr>
    </w:lvl>
    <w:lvl w:ilvl="3" w:tplc="3809000F" w:tentative="1">
      <w:start w:val="1"/>
      <w:numFmt w:val="decimal"/>
      <w:lvlText w:val="%4."/>
      <w:lvlJc w:val="left"/>
      <w:pPr>
        <w:ind w:left="7152" w:hanging="360"/>
      </w:pPr>
    </w:lvl>
    <w:lvl w:ilvl="4" w:tplc="38090019" w:tentative="1">
      <w:start w:val="1"/>
      <w:numFmt w:val="lowerLetter"/>
      <w:lvlText w:val="%5."/>
      <w:lvlJc w:val="left"/>
      <w:pPr>
        <w:ind w:left="7872" w:hanging="360"/>
      </w:pPr>
    </w:lvl>
    <w:lvl w:ilvl="5" w:tplc="3809001B" w:tentative="1">
      <w:start w:val="1"/>
      <w:numFmt w:val="lowerRoman"/>
      <w:lvlText w:val="%6."/>
      <w:lvlJc w:val="right"/>
      <w:pPr>
        <w:ind w:left="8592" w:hanging="180"/>
      </w:pPr>
    </w:lvl>
    <w:lvl w:ilvl="6" w:tplc="3809000F" w:tentative="1">
      <w:start w:val="1"/>
      <w:numFmt w:val="decimal"/>
      <w:lvlText w:val="%7."/>
      <w:lvlJc w:val="left"/>
      <w:pPr>
        <w:ind w:left="9312" w:hanging="360"/>
      </w:pPr>
    </w:lvl>
    <w:lvl w:ilvl="7" w:tplc="38090019" w:tentative="1">
      <w:start w:val="1"/>
      <w:numFmt w:val="lowerLetter"/>
      <w:lvlText w:val="%8."/>
      <w:lvlJc w:val="left"/>
      <w:pPr>
        <w:ind w:left="10032" w:hanging="360"/>
      </w:pPr>
    </w:lvl>
    <w:lvl w:ilvl="8" w:tplc="3809001B" w:tentative="1">
      <w:start w:val="1"/>
      <w:numFmt w:val="lowerRoman"/>
      <w:lvlText w:val="%9."/>
      <w:lvlJc w:val="right"/>
      <w:pPr>
        <w:ind w:left="10752" w:hanging="180"/>
      </w:pPr>
    </w:lvl>
  </w:abstractNum>
  <w:abstractNum w:abstractNumId="28" w15:restartNumberingAfterBreak="0">
    <w:nsid w:val="09C461F4"/>
    <w:multiLevelType w:val="hybridMultilevel"/>
    <w:tmpl w:val="3C3AE652"/>
    <w:lvl w:ilvl="0" w:tplc="38090015">
      <w:start w:val="1"/>
      <w:numFmt w:val="upperLetter"/>
      <w:lvlText w:val="%1."/>
      <w:lvlJc w:val="left"/>
      <w:pPr>
        <w:ind w:left="5765" w:hanging="360"/>
      </w:pPr>
      <w:rPr>
        <w:color w:val="auto"/>
      </w:rPr>
    </w:lvl>
    <w:lvl w:ilvl="1" w:tplc="04090019">
      <w:start w:val="1"/>
      <w:numFmt w:val="lowerLetter"/>
      <w:lvlText w:val="%2."/>
      <w:lvlJc w:val="left"/>
      <w:pPr>
        <w:ind w:left="1886" w:hanging="360"/>
      </w:pPr>
      <w:rPr>
        <w:rFonts w:cs="Times New Roman"/>
      </w:rPr>
    </w:lvl>
    <w:lvl w:ilvl="2" w:tplc="0409001B" w:tentative="1">
      <w:start w:val="1"/>
      <w:numFmt w:val="lowerRoman"/>
      <w:lvlText w:val="%3."/>
      <w:lvlJc w:val="right"/>
      <w:pPr>
        <w:ind w:left="2606" w:hanging="180"/>
      </w:pPr>
      <w:rPr>
        <w:rFonts w:cs="Times New Roman"/>
      </w:rPr>
    </w:lvl>
    <w:lvl w:ilvl="3" w:tplc="0409000F">
      <w:start w:val="1"/>
      <w:numFmt w:val="decimal"/>
      <w:lvlText w:val="%4."/>
      <w:lvlJc w:val="left"/>
      <w:pPr>
        <w:ind w:left="3326" w:hanging="360"/>
      </w:pPr>
      <w:rPr>
        <w:rFonts w:cs="Times New Roman"/>
      </w:rPr>
    </w:lvl>
    <w:lvl w:ilvl="4" w:tplc="04090019" w:tentative="1">
      <w:start w:val="1"/>
      <w:numFmt w:val="lowerLetter"/>
      <w:lvlText w:val="%5."/>
      <w:lvlJc w:val="left"/>
      <w:pPr>
        <w:ind w:left="4046" w:hanging="360"/>
      </w:pPr>
      <w:rPr>
        <w:rFonts w:cs="Times New Roman"/>
      </w:rPr>
    </w:lvl>
    <w:lvl w:ilvl="5" w:tplc="0409001B" w:tentative="1">
      <w:start w:val="1"/>
      <w:numFmt w:val="lowerRoman"/>
      <w:lvlText w:val="%6."/>
      <w:lvlJc w:val="right"/>
      <w:pPr>
        <w:ind w:left="4766" w:hanging="180"/>
      </w:pPr>
      <w:rPr>
        <w:rFonts w:cs="Times New Roman"/>
      </w:rPr>
    </w:lvl>
    <w:lvl w:ilvl="6" w:tplc="0409000F" w:tentative="1">
      <w:start w:val="1"/>
      <w:numFmt w:val="decimal"/>
      <w:lvlText w:val="%7."/>
      <w:lvlJc w:val="left"/>
      <w:pPr>
        <w:ind w:left="5486" w:hanging="360"/>
      </w:pPr>
      <w:rPr>
        <w:rFonts w:cs="Times New Roman"/>
      </w:rPr>
    </w:lvl>
    <w:lvl w:ilvl="7" w:tplc="04090019" w:tentative="1">
      <w:start w:val="1"/>
      <w:numFmt w:val="lowerLetter"/>
      <w:lvlText w:val="%8."/>
      <w:lvlJc w:val="left"/>
      <w:pPr>
        <w:ind w:left="6206" w:hanging="360"/>
      </w:pPr>
      <w:rPr>
        <w:rFonts w:cs="Times New Roman"/>
      </w:rPr>
    </w:lvl>
    <w:lvl w:ilvl="8" w:tplc="0409001B" w:tentative="1">
      <w:start w:val="1"/>
      <w:numFmt w:val="lowerRoman"/>
      <w:lvlText w:val="%9."/>
      <w:lvlJc w:val="right"/>
      <w:pPr>
        <w:ind w:left="6926" w:hanging="180"/>
      </w:pPr>
      <w:rPr>
        <w:rFonts w:cs="Times New Roman"/>
      </w:rPr>
    </w:lvl>
  </w:abstractNum>
  <w:abstractNum w:abstractNumId="29" w15:restartNumberingAfterBreak="0">
    <w:nsid w:val="0A5B072F"/>
    <w:multiLevelType w:val="hybridMultilevel"/>
    <w:tmpl w:val="36DCEF9E"/>
    <w:lvl w:ilvl="0" w:tplc="8D44D210">
      <w:start w:val="1"/>
      <w:numFmt w:val="decimal"/>
      <w:lvlText w:val="%1)"/>
      <w:lvlJc w:val="left"/>
      <w:pPr>
        <w:ind w:left="2280" w:hanging="360"/>
      </w:pPr>
      <w:rPr>
        <w:rFonts w:hint="default"/>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30" w15:restartNumberingAfterBreak="0">
    <w:nsid w:val="0AF87160"/>
    <w:multiLevelType w:val="hybridMultilevel"/>
    <w:tmpl w:val="FDB81842"/>
    <w:lvl w:ilvl="0" w:tplc="FFFFFFFF">
      <w:start w:val="1"/>
      <w:numFmt w:val="decimal"/>
      <w:lvlText w:val="%1)"/>
      <w:lvlJc w:val="left"/>
      <w:pPr>
        <w:ind w:left="1353" w:hanging="360"/>
      </w:pPr>
      <w:rPr>
        <w:rFonts w:hint="default"/>
        <w:color w:val="auto"/>
        <w:sz w:val="24"/>
        <w:szCs w:val="24"/>
      </w:rPr>
    </w:lvl>
    <w:lvl w:ilvl="1" w:tplc="FE3AB24A">
      <w:start w:val="1"/>
      <w:numFmt w:val="lowerLetter"/>
      <w:lvlText w:val="%2)"/>
      <w:lvlJc w:val="left"/>
      <w:pPr>
        <w:ind w:left="2523" w:hanging="810"/>
      </w:pPr>
      <w:rPr>
        <w:rFonts w:hint="default"/>
      </w:r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1" w15:restartNumberingAfterBreak="0">
    <w:nsid w:val="0AFA5C0D"/>
    <w:multiLevelType w:val="hybridMultilevel"/>
    <w:tmpl w:val="2D8EF0E6"/>
    <w:lvl w:ilvl="0" w:tplc="04090019">
      <w:start w:val="1"/>
      <w:numFmt w:val="lowerLetter"/>
      <w:lvlText w:val="%1."/>
      <w:lvlJc w:val="left"/>
      <w:pPr>
        <w:ind w:left="1509" w:hanging="360"/>
      </w:pPr>
      <w:rPr>
        <w:color w:val="auto"/>
      </w:r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32" w15:restartNumberingAfterBreak="0">
    <w:nsid w:val="0B474DCA"/>
    <w:multiLevelType w:val="hybridMultilevel"/>
    <w:tmpl w:val="95A8F8F6"/>
    <w:lvl w:ilvl="0" w:tplc="9364023A">
      <w:start w:val="1"/>
      <w:numFmt w:val="lowerLetter"/>
      <w:lvlText w:val="%1)"/>
      <w:lvlJc w:val="left"/>
      <w:pPr>
        <w:ind w:left="2376"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B817954"/>
    <w:multiLevelType w:val="hybridMultilevel"/>
    <w:tmpl w:val="F232EF30"/>
    <w:lvl w:ilvl="0" w:tplc="CAD27A76">
      <w:start w:val="1"/>
      <w:numFmt w:val="lowerLetter"/>
      <w:lvlText w:val="(%1)"/>
      <w:lvlJc w:val="left"/>
      <w:pPr>
        <w:ind w:left="3090" w:hanging="360"/>
      </w:pPr>
      <w:rPr>
        <w:rFonts w:hint="default"/>
        <w:color w:val="auto"/>
        <w:sz w:val="24"/>
      </w:rPr>
    </w:lvl>
    <w:lvl w:ilvl="1" w:tplc="04090019" w:tentative="1">
      <w:start w:val="1"/>
      <w:numFmt w:val="lowerLetter"/>
      <w:lvlText w:val="%2."/>
      <w:lvlJc w:val="left"/>
      <w:pPr>
        <w:ind w:left="3810" w:hanging="360"/>
      </w:pPr>
    </w:lvl>
    <w:lvl w:ilvl="2" w:tplc="0409001B" w:tentative="1">
      <w:start w:val="1"/>
      <w:numFmt w:val="lowerRoman"/>
      <w:lvlText w:val="%3."/>
      <w:lvlJc w:val="right"/>
      <w:pPr>
        <w:ind w:left="4530" w:hanging="180"/>
      </w:pPr>
    </w:lvl>
    <w:lvl w:ilvl="3" w:tplc="0409000F" w:tentative="1">
      <w:start w:val="1"/>
      <w:numFmt w:val="decimal"/>
      <w:lvlText w:val="%4."/>
      <w:lvlJc w:val="left"/>
      <w:pPr>
        <w:ind w:left="5250" w:hanging="360"/>
      </w:pPr>
    </w:lvl>
    <w:lvl w:ilvl="4" w:tplc="04090019" w:tentative="1">
      <w:start w:val="1"/>
      <w:numFmt w:val="lowerLetter"/>
      <w:lvlText w:val="%5."/>
      <w:lvlJc w:val="left"/>
      <w:pPr>
        <w:ind w:left="5970" w:hanging="360"/>
      </w:pPr>
    </w:lvl>
    <w:lvl w:ilvl="5" w:tplc="0409001B" w:tentative="1">
      <w:start w:val="1"/>
      <w:numFmt w:val="lowerRoman"/>
      <w:lvlText w:val="%6."/>
      <w:lvlJc w:val="right"/>
      <w:pPr>
        <w:ind w:left="6690" w:hanging="180"/>
      </w:pPr>
    </w:lvl>
    <w:lvl w:ilvl="6" w:tplc="0409000F" w:tentative="1">
      <w:start w:val="1"/>
      <w:numFmt w:val="decimal"/>
      <w:lvlText w:val="%7."/>
      <w:lvlJc w:val="left"/>
      <w:pPr>
        <w:ind w:left="7410" w:hanging="360"/>
      </w:pPr>
    </w:lvl>
    <w:lvl w:ilvl="7" w:tplc="04090019" w:tentative="1">
      <w:start w:val="1"/>
      <w:numFmt w:val="lowerLetter"/>
      <w:lvlText w:val="%8."/>
      <w:lvlJc w:val="left"/>
      <w:pPr>
        <w:ind w:left="8130" w:hanging="360"/>
      </w:pPr>
    </w:lvl>
    <w:lvl w:ilvl="8" w:tplc="0409001B" w:tentative="1">
      <w:start w:val="1"/>
      <w:numFmt w:val="lowerRoman"/>
      <w:lvlText w:val="%9."/>
      <w:lvlJc w:val="right"/>
      <w:pPr>
        <w:ind w:left="8850" w:hanging="180"/>
      </w:pPr>
    </w:lvl>
  </w:abstractNum>
  <w:abstractNum w:abstractNumId="34" w15:restartNumberingAfterBreak="0">
    <w:nsid w:val="0B9B6FE0"/>
    <w:multiLevelType w:val="hybridMultilevel"/>
    <w:tmpl w:val="A68CB690"/>
    <w:lvl w:ilvl="0" w:tplc="38090019">
      <w:start w:val="1"/>
      <w:numFmt w:val="lowerLetter"/>
      <w:lvlText w:val="%1."/>
      <w:lvlJc w:val="left"/>
      <w:pPr>
        <w:ind w:left="1480" w:hanging="360"/>
      </w:pPr>
      <w:rPr>
        <w:color w:val="000000" w:themeColor="text1"/>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35" w15:restartNumberingAfterBreak="0">
    <w:nsid w:val="0BED3D53"/>
    <w:multiLevelType w:val="hybridMultilevel"/>
    <w:tmpl w:val="A3A685E8"/>
    <w:lvl w:ilvl="0" w:tplc="04090017">
      <w:start w:val="1"/>
      <w:numFmt w:val="lowerLetter"/>
      <w:lvlText w:val="%1)"/>
      <w:lvlJc w:val="left"/>
      <w:pPr>
        <w:ind w:left="2414" w:hanging="360"/>
      </w:pPr>
    </w:lvl>
    <w:lvl w:ilvl="1" w:tplc="04090019" w:tentative="1">
      <w:start w:val="1"/>
      <w:numFmt w:val="lowerLetter"/>
      <w:lvlText w:val="%2."/>
      <w:lvlJc w:val="left"/>
      <w:pPr>
        <w:ind w:left="3134" w:hanging="360"/>
      </w:pPr>
    </w:lvl>
    <w:lvl w:ilvl="2" w:tplc="0409001B" w:tentative="1">
      <w:start w:val="1"/>
      <w:numFmt w:val="lowerRoman"/>
      <w:lvlText w:val="%3."/>
      <w:lvlJc w:val="right"/>
      <w:pPr>
        <w:ind w:left="3854" w:hanging="180"/>
      </w:pPr>
    </w:lvl>
    <w:lvl w:ilvl="3" w:tplc="0409000F" w:tentative="1">
      <w:start w:val="1"/>
      <w:numFmt w:val="decimal"/>
      <w:lvlText w:val="%4."/>
      <w:lvlJc w:val="left"/>
      <w:pPr>
        <w:ind w:left="4574" w:hanging="360"/>
      </w:pPr>
    </w:lvl>
    <w:lvl w:ilvl="4" w:tplc="04090019" w:tentative="1">
      <w:start w:val="1"/>
      <w:numFmt w:val="lowerLetter"/>
      <w:lvlText w:val="%5."/>
      <w:lvlJc w:val="left"/>
      <w:pPr>
        <w:ind w:left="5294" w:hanging="360"/>
      </w:pPr>
    </w:lvl>
    <w:lvl w:ilvl="5" w:tplc="0409001B" w:tentative="1">
      <w:start w:val="1"/>
      <w:numFmt w:val="lowerRoman"/>
      <w:lvlText w:val="%6."/>
      <w:lvlJc w:val="right"/>
      <w:pPr>
        <w:ind w:left="6014" w:hanging="180"/>
      </w:pPr>
    </w:lvl>
    <w:lvl w:ilvl="6" w:tplc="0409000F" w:tentative="1">
      <w:start w:val="1"/>
      <w:numFmt w:val="decimal"/>
      <w:lvlText w:val="%7."/>
      <w:lvlJc w:val="left"/>
      <w:pPr>
        <w:ind w:left="6734" w:hanging="360"/>
      </w:pPr>
    </w:lvl>
    <w:lvl w:ilvl="7" w:tplc="04090019" w:tentative="1">
      <w:start w:val="1"/>
      <w:numFmt w:val="lowerLetter"/>
      <w:lvlText w:val="%8."/>
      <w:lvlJc w:val="left"/>
      <w:pPr>
        <w:ind w:left="7454" w:hanging="360"/>
      </w:pPr>
    </w:lvl>
    <w:lvl w:ilvl="8" w:tplc="0409001B" w:tentative="1">
      <w:start w:val="1"/>
      <w:numFmt w:val="lowerRoman"/>
      <w:lvlText w:val="%9."/>
      <w:lvlJc w:val="right"/>
      <w:pPr>
        <w:ind w:left="8174" w:hanging="180"/>
      </w:pPr>
    </w:lvl>
  </w:abstractNum>
  <w:abstractNum w:abstractNumId="36" w15:restartNumberingAfterBreak="0">
    <w:nsid w:val="0C111D8F"/>
    <w:multiLevelType w:val="hybridMultilevel"/>
    <w:tmpl w:val="1E526FD0"/>
    <w:lvl w:ilvl="0" w:tplc="04090019">
      <w:start w:val="1"/>
      <w:numFmt w:val="lowerLetter"/>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37" w15:restartNumberingAfterBreak="0">
    <w:nsid w:val="0C2224E1"/>
    <w:multiLevelType w:val="hybridMultilevel"/>
    <w:tmpl w:val="2C96C70A"/>
    <w:lvl w:ilvl="0" w:tplc="04090019">
      <w:start w:val="1"/>
      <w:numFmt w:val="lowerLetter"/>
      <w:lvlText w:val="%1."/>
      <w:lvlJc w:val="left"/>
      <w:pPr>
        <w:ind w:left="2061" w:hanging="360"/>
      </w:pPr>
    </w:lvl>
    <w:lvl w:ilvl="1" w:tplc="E3B89988">
      <w:start w:val="1"/>
      <w:numFmt w:val="lowerLetter"/>
      <w:lvlText w:val="%2)"/>
      <w:lvlJc w:val="left"/>
      <w:pPr>
        <w:ind w:left="2781" w:hanging="360"/>
      </w:pPr>
      <w:rPr>
        <w:rFonts w:hint="default"/>
      </w:r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38" w15:restartNumberingAfterBreak="0">
    <w:nsid w:val="0CDB6CCA"/>
    <w:multiLevelType w:val="hybridMultilevel"/>
    <w:tmpl w:val="E88CD0CC"/>
    <w:lvl w:ilvl="0" w:tplc="04090017">
      <w:start w:val="1"/>
      <w:numFmt w:val="lowerLetter"/>
      <w:lvlText w:val="%1)"/>
      <w:lvlJc w:val="left"/>
      <w:pPr>
        <w:ind w:left="2370" w:hanging="360"/>
      </w:pPr>
      <w:rPr>
        <w:rFonts w:hint="default"/>
        <w:color w:val="auto"/>
      </w:rPr>
    </w:lvl>
    <w:lvl w:ilvl="1" w:tplc="04210019" w:tentative="1">
      <w:start w:val="1"/>
      <w:numFmt w:val="lowerLetter"/>
      <w:lvlText w:val="%2."/>
      <w:lvlJc w:val="left"/>
      <w:pPr>
        <w:ind w:left="3090" w:hanging="360"/>
      </w:pPr>
    </w:lvl>
    <w:lvl w:ilvl="2" w:tplc="0421001B" w:tentative="1">
      <w:start w:val="1"/>
      <w:numFmt w:val="lowerRoman"/>
      <w:lvlText w:val="%3."/>
      <w:lvlJc w:val="right"/>
      <w:pPr>
        <w:ind w:left="3810" w:hanging="180"/>
      </w:pPr>
    </w:lvl>
    <w:lvl w:ilvl="3" w:tplc="0421000F" w:tentative="1">
      <w:start w:val="1"/>
      <w:numFmt w:val="decimal"/>
      <w:lvlText w:val="%4."/>
      <w:lvlJc w:val="left"/>
      <w:pPr>
        <w:ind w:left="4530" w:hanging="360"/>
      </w:pPr>
    </w:lvl>
    <w:lvl w:ilvl="4" w:tplc="04210019" w:tentative="1">
      <w:start w:val="1"/>
      <w:numFmt w:val="lowerLetter"/>
      <w:lvlText w:val="%5."/>
      <w:lvlJc w:val="left"/>
      <w:pPr>
        <w:ind w:left="5250" w:hanging="360"/>
      </w:pPr>
    </w:lvl>
    <w:lvl w:ilvl="5" w:tplc="0421001B" w:tentative="1">
      <w:start w:val="1"/>
      <w:numFmt w:val="lowerRoman"/>
      <w:lvlText w:val="%6."/>
      <w:lvlJc w:val="right"/>
      <w:pPr>
        <w:ind w:left="5970" w:hanging="180"/>
      </w:pPr>
    </w:lvl>
    <w:lvl w:ilvl="6" w:tplc="0421000F" w:tentative="1">
      <w:start w:val="1"/>
      <w:numFmt w:val="decimal"/>
      <w:lvlText w:val="%7."/>
      <w:lvlJc w:val="left"/>
      <w:pPr>
        <w:ind w:left="6690" w:hanging="360"/>
      </w:pPr>
    </w:lvl>
    <w:lvl w:ilvl="7" w:tplc="04210019" w:tentative="1">
      <w:start w:val="1"/>
      <w:numFmt w:val="lowerLetter"/>
      <w:lvlText w:val="%8."/>
      <w:lvlJc w:val="left"/>
      <w:pPr>
        <w:ind w:left="7410" w:hanging="360"/>
      </w:pPr>
    </w:lvl>
    <w:lvl w:ilvl="8" w:tplc="0421001B" w:tentative="1">
      <w:start w:val="1"/>
      <w:numFmt w:val="lowerRoman"/>
      <w:lvlText w:val="%9."/>
      <w:lvlJc w:val="right"/>
      <w:pPr>
        <w:ind w:left="8130" w:hanging="180"/>
      </w:pPr>
    </w:lvl>
  </w:abstractNum>
  <w:abstractNum w:abstractNumId="39" w15:restartNumberingAfterBreak="0">
    <w:nsid w:val="0CEF4C15"/>
    <w:multiLevelType w:val="hybridMultilevel"/>
    <w:tmpl w:val="9594F1CA"/>
    <w:lvl w:ilvl="0" w:tplc="AD482BDA">
      <w:start w:val="1"/>
      <w:numFmt w:val="decimal"/>
      <w:lvlText w:val="(%1)"/>
      <w:lvlJc w:val="right"/>
      <w:pPr>
        <w:ind w:left="3600" w:hanging="360"/>
      </w:pPr>
      <w:rPr>
        <w:rFonts w:hint="default"/>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0" w15:restartNumberingAfterBreak="0">
    <w:nsid w:val="0CF957DC"/>
    <w:multiLevelType w:val="hybridMultilevel"/>
    <w:tmpl w:val="636C9794"/>
    <w:lvl w:ilvl="0" w:tplc="FFFFFFFF">
      <w:start w:val="1"/>
      <w:numFmt w:val="decimal"/>
      <w:lvlText w:val="(%1)"/>
      <w:lvlJc w:val="right"/>
      <w:pPr>
        <w:ind w:left="2727" w:hanging="360"/>
      </w:pPr>
      <w:rPr>
        <w:rFonts w:hint="default"/>
      </w:rPr>
    </w:lvl>
    <w:lvl w:ilvl="1" w:tplc="38090019" w:tentative="1">
      <w:start w:val="1"/>
      <w:numFmt w:val="lowerLetter"/>
      <w:lvlText w:val="%2."/>
      <w:lvlJc w:val="left"/>
      <w:pPr>
        <w:ind w:left="3447" w:hanging="360"/>
      </w:pPr>
    </w:lvl>
    <w:lvl w:ilvl="2" w:tplc="3809001B" w:tentative="1">
      <w:start w:val="1"/>
      <w:numFmt w:val="lowerRoman"/>
      <w:lvlText w:val="%3."/>
      <w:lvlJc w:val="right"/>
      <w:pPr>
        <w:ind w:left="4167" w:hanging="180"/>
      </w:pPr>
    </w:lvl>
    <w:lvl w:ilvl="3" w:tplc="3809000F" w:tentative="1">
      <w:start w:val="1"/>
      <w:numFmt w:val="decimal"/>
      <w:lvlText w:val="%4."/>
      <w:lvlJc w:val="left"/>
      <w:pPr>
        <w:ind w:left="4887" w:hanging="360"/>
      </w:pPr>
    </w:lvl>
    <w:lvl w:ilvl="4" w:tplc="38090019" w:tentative="1">
      <w:start w:val="1"/>
      <w:numFmt w:val="lowerLetter"/>
      <w:lvlText w:val="%5."/>
      <w:lvlJc w:val="left"/>
      <w:pPr>
        <w:ind w:left="5607" w:hanging="360"/>
      </w:pPr>
    </w:lvl>
    <w:lvl w:ilvl="5" w:tplc="3809001B" w:tentative="1">
      <w:start w:val="1"/>
      <w:numFmt w:val="lowerRoman"/>
      <w:lvlText w:val="%6."/>
      <w:lvlJc w:val="right"/>
      <w:pPr>
        <w:ind w:left="6327" w:hanging="180"/>
      </w:pPr>
    </w:lvl>
    <w:lvl w:ilvl="6" w:tplc="3809000F" w:tentative="1">
      <w:start w:val="1"/>
      <w:numFmt w:val="decimal"/>
      <w:lvlText w:val="%7."/>
      <w:lvlJc w:val="left"/>
      <w:pPr>
        <w:ind w:left="7047" w:hanging="360"/>
      </w:pPr>
    </w:lvl>
    <w:lvl w:ilvl="7" w:tplc="38090019" w:tentative="1">
      <w:start w:val="1"/>
      <w:numFmt w:val="lowerLetter"/>
      <w:lvlText w:val="%8."/>
      <w:lvlJc w:val="left"/>
      <w:pPr>
        <w:ind w:left="7767" w:hanging="360"/>
      </w:pPr>
    </w:lvl>
    <w:lvl w:ilvl="8" w:tplc="3809001B" w:tentative="1">
      <w:start w:val="1"/>
      <w:numFmt w:val="lowerRoman"/>
      <w:lvlText w:val="%9."/>
      <w:lvlJc w:val="right"/>
      <w:pPr>
        <w:ind w:left="8487" w:hanging="180"/>
      </w:pPr>
    </w:lvl>
  </w:abstractNum>
  <w:abstractNum w:abstractNumId="41" w15:restartNumberingAfterBreak="0">
    <w:nsid w:val="0DCD1693"/>
    <w:multiLevelType w:val="hybridMultilevel"/>
    <w:tmpl w:val="0A3CFD8E"/>
    <w:lvl w:ilvl="0" w:tplc="FFFFFFFF">
      <w:start w:val="1"/>
      <w:numFmt w:val="upperLetter"/>
      <w:lvlText w:val="%1."/>
      <w:lvlJc w:val="left"/>
      <w:pPr>
        <w:ind w:left="927" w:hanging="360"/>
      </w:pPr>
      <w:rPr>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0E1A3ADE"/>
    <w:multiLevelType w:val="multilevel"/>
    <w:tmpl w:val="40623CA0"/>
    <w:styleLink w:val="CurrentList1"/>
    <w:lvl w:ilvl="0">
      <w:start w:val="1"/>
      <w:numFmt w:val="lowerLetter"/>
      <w:lvlText w:val="%1."/>
      <w:lvlJc w:val="left"/>
      <w:pPr>
        <w:ind w:left="1627" w:hanging="360"/>
      </w:pPr>
      <w:rPr>
        <w:rFonts w:hint="default"/>
      </w:rPr>
    </w:lvl>
    <w:lvl w:ilvl="1">
      <w:start w:val="1"/>
      <w:numFmt w:val="lowerLetter"/>
      <w:lvlText w:val="%2."/>
      <w:lvlJc w:val="left"/>
      <w:pPr>
        <w:ind w:left="2347" w:hanging="360"/>
      </w:pPr>
    </w:lvl>
    <w:lvl w:ilvl="2">
      <w:start w:val="1"/>
      <w:numFmt w:val="lowerRoman"/>
      <w:lvlText w:val="%3."/>
      <w:lvlJc w:val="right"/>
      <w:pPr>
        <w:ind w:left="3067" w:hanging="180"/>
      </w:pPr>
    </w:lvl>
    <w:lvl w:ilvl="3">
      <w:start w:val="1"/>
      <w:numFmt w:val="decimal"/>
      <w:lvlText w:val="%4."/>
      <w:lvlJc w:val="left"/>
      <w:pPr>
        <w:ind w:left="3787" w:hanging="360"/>
      </w:pPr>
    </w:lvl>
    <w:lvl w:ilvl="4">
      <w:start w:val="1"/>
      <w:numFmt w:val="lowerLetter"/>
      <w:lvlText w:val="%5."/>
      <w:lvlJc w:val="left"/>
      <w:pPr>
        <w:ind w:left="4507" w:hanging="360"/>
      </w:pPr>
    </w:lvl>
    <w:lvl w:ilvl="5">
      <w:start w:val="1"/>
      <w:numFmt w:val="lowerRoman"/>
      <w:lvlText w:val="%6."/>
      <w:lvlJc w:val="right"/>
      <w:pPr>
        <w:ind w:left="5227" w:hanging="180"/>
      </w:pPr>
    </w:lvl>
    <w:lvl w:ilvl="6">
      <w:start w:val="1"/>
      <w:numFmt w:val="decimal"/>
      <w:lvlText w:val="%7."/>
      <w:lvlJc w:val="left"/>
      <w:pPr>
        <w:ind w:left="5947" w:hanging="360"/>
      </w:pPr>
    </w:lvl>
    <w:lvl w:ilvl="7">
      <w:start w:val="1"/>
      <w:numFmt w:val="lowerLetter"/>
      <w:lvlText w:val="%8."/>
      <w:lvlJc w:val="left"/>
      <w:pPr>
        <w:ind w:left="6667" w:hanging="360"/>
      </w:pPr>
    </w:lvl>
    <w:lvl w:ilvl="8">
      <w:start w:val="1"/>
      <w:numFmt w:val="lowerRoman"/>
      <w:lvlText w:val="%9."/>
      <w:lvlJc w:val="right"/>
      <w:pPr>
        <w:ind w:left="7387" w:hanging="180"/>
      </w:pPr>
    </w:lvl>
  </w:abstractNum>
  <w:abstractNum w:abstractNumId="43" w15:restartNumberingAfterBreak="0">
    <w:nsid w:val="0ED83906"/>
    <w:multiLevelType w:val="hybridMultilevel"/>
    <w:tmpl w:val="5426B744"/>
    <w:lvl w:ilvl="0" w:tplc="04090019">
      <w:start w:val="1"/>
      <w:numFmt w:val="lowerLetter"/>
      <w:lvlText w:val="%1."/>
      <w:lvlJc w:val="left"/>
      <w:pPr>
        <w:ind w:left="1920" w:hanging="360"/>
      </w:pPr>
      <w:rPr>
        <w:rFonts w:hint="default"/>
        <w:color w:val="auto"/>
      </w:rPr>
    </w:lvl>
    <w:lvl w:ilvl="1" w:tplc="04090019" w:tentative="1">
      <w:start w:val="1"/>
      <w:numFmt w:val="lowerLetter"/>
      <w:lvlText w:val="%2."/>
      <w:lvlJc w:val="left"/>
      <w:pPr>
        <w:ind w:left="2640" w:hanging="360"/>
      </w:pPr>
      <w:rPr>
        <w:rFonts w:cs="Times New Roman"/>
      </w:rPr>
    </w:lvl>
    <w:lvl w:ilvl="2" w:tplc="0409001B" w:tentative="1">
      <w:start w:val="1"/>
      <w:numFmt w:val="lowerRoman"/>
      <w:lvlText w:val="%3."/>
      <w:lvlJc w:val="right"/>
      <w:pPr>
        <w:ind w:left="3360" w:hanging="180"/>
      </w:pPr>
      <w:rPr>
        <w:rFonts w:cs="Times New Roman"/>
      </w:rPr>
    </w:lvl>
    <w:lvl w:ilvl="3" w:tplc="0409000F" w:tentative="1">
      <w:start w:val="1"/>
      <w:numFmt w:val="decimal"/>
      <w:lvlText w:val="%4."/>
      <w:lvlJc w:val="left"/>
      <w:pPr>
        <w:ind w:left="4080" w:hanging="360"/>
      </w:pPr>
      <w:rPr>
        <w:rFonts w:cs="Times New Roman"/>
      </w:rPr>
    </w:lvl>
    <w:lvl w:ilvl="4" w:tplc="04090019" w:tentative="1">
      <w:start w:val="1"/>
      <w:numFmt w:val="lowerLetter"/>
      <w:lvlText w:val="%5."/>
      <w:lvlJc w:val="left"/>
      <w:pPr>
        <w:ind w:left="4800" w:hanging="360"/>
      </w:pPr>
      <w:rPr>
        <w:rFonts w:cs="Times New Roman"/>
      </w:rPr>
    </w:lvl>
    <w:lvl w:ilvl="5" w:tplc="0409001B" w:tentative="1">
      <w:start w:val="1"/>
      <w:numFmt w:val="lowerRoman"/>
      <w:lvlText w:val="%6."/>
      <w:lvlJc w:val="right"/>
      <w:pPr>
        <w:ind w:left="5520" w:hanging="180"/>
      </w:pPr>
      <w:rPr>
        <w:rFonts w:cs="Times New Roman"/>
      </w:rPr>
    </w:lvl>
    <w:lvl w:ilvl="6" w:tplc="0409000F" w:tentative="1">
      <w:start w:val="1"/>
      <w:numFmt w:val="decimal"/>
      <w:lvlText w:val="%7."/>
      <w:lvlJc w:val="left"/>
      <w:pPr>
        <w:ind w:left="6240" w:hanging="360"/>
      </w:pPr>
      <w:rPr>
        <w:rFonts w:cs="Times New Roman"/>
      </w:rPr>
    </w:lvl>
    <w:lvl w:ilvl="7" w:tplc="04090019" w:tentative="1">
      <w:start w:val="1"/>
      <w:numFmt w:val="lowerLetter"/>
      <w:lvlText w:val="%8."/>
      <w:lvlJc w:val="left"/>
      <w:pPr>
        <w:ind w:left="6960" w:hanging="360"/>
      </w:pPr>
      <w:rPr>
        <w:rFonts w:cs="Times New Roman"/>
      </w:rPr>
    </w:lvl>
    <w:lvl w:ilvl="8" w:tplc="0409001B" w:tentative="1">
      <w:start w:val="1"/>
      <w:numFmt w:val="lowerRoman"/>
      <w:lvlText w:val="%9."/>
      <w:lvlJc w:val="right"/>
      <w:pPr>
        <w:ind w:left="7680" w:hanging="180"/>
      </w:pPr>
      <w:rPr>
        <w:rFonts w:cs="Times New Roman"/>
      </w:rPr>
    </w:lvl>
  </w:abstractNum>
  <w:abstractNum w:abstractNumId="44" w15:restartNumberingAfterBreak="0">
    <w:nsid w:val="0F270446"/>
    <w:multiLevelType w:val="hybridMultilevel"/>
    <w:tmpl w:val="27BCE2B8"/>
    <w:lvl w:ilvl="0" w:tplc="04090017">
      <w:start w:val="1"/>
      <w:numFmt w:val="lowerLetter"/>
      <w:lvlText w:val="%1)"/>
      <w:lvlJc w:val="left"/>
      <w:pPr>
        <w:ind w:left="2847" w:hanging="360"/>
      </w:pPr>
      <w:rPr>
        <w:rFonts w:hint="default"/>
        <w:i w:val="0"/>
        <w:strike w:val="0"/>
        <w:color w:val="auto"/>
        <w:kern w:val="24"/>
        <w:sz w:val="24"/>
        <w:szCs w:val="24"/>
      </w:rPr>
    </w:lvl>
    <w:lvl w:ilvl="1" w:tplc="38090019" w:tentative="1">
      <w:start w:val="1"/>
      <w:numFmt w:val="lowerLetter"/>
      <w:lvlText w:val="%2."/>
      <w:lvlJc w:val="left"/>
      <w:pPr>
        <w:ind w:left="3567" w:hanging="360"/>
      </w:pPr>
    </w:lvl>
    <w:lvl w:ilvl="2" w:tplc="3809001B" w:tentative="1">
      <w:start w:val="1"/>
      <w:numFmt w:val="lowerRoman"/>
      <w:lvlText w:val="%3."/>
      <w:lvlJc w:val="right"/>
      <w:pPr>
        <w:ind w:left="4287" w:hanging="180"/>
      </w:pPr>
    </w:lvl>
    <w:lvl w:ilvl="3" w:tplc="3809000F" w:tentative="1">
      <w:start w:val="1"/>
      <w:numFmt w:val="decimal"/>
      <w:lvlText w:val="%4."/>
      <w:lvlJc w:val="left"/>
      <w:pPr>
        <w:ind w:left="5007" w:hanging="360"/>
      </w:pPr>
    </w:lvl>
    <w:lvl w:ilvl="4" w:tplc="38090019" w:tentative="1">
      <w:start w:val="1"/>
      <w:numFmt w:val="lowerLetter"/>
      <w:lvlText w:val="%5."/>
      <w:lvlJc w:val="left"/>
      <w:pPr>
        <w:ind w:left="5727" w:hanging="360"/>
      </w:pPr>
    </w:lvl>
    <w:lvl w:ilvl="5" w:tplc="3809001B" w:tentative="1">
      <w:start w:val="1"/>
      <w:numFmt w:val="lowerRoman"/>
      <w:lvlText w:val="%6."/>
      <w:lvlJc w:val="right"/>
      <w:pPr>
        <w:ind w:left="6447" w:hanging="180"/>
      </w:pPr>
    </w:lvl>
    <w:lvl w:ilvl="6" w:tplc="3809000F" w:tentative="1">
      <w:start w:val="1"/>
      <w:numFmt w:val="decimal"/>
      <w:lvlText w:val="%7."/>
      <w:lvlJc w:val="left"/>
      <w:pPr>
        <w:ind w:left="7167" w:hanging="360"/>
      </w:pPr>
    </w:lvl>
    <w:lvl w:ilvl="7" w:tplc="38090019" w:tentative="1">
      <w:start w:val="1"/>
      <w:numFmt w:val="lowerLetter"/>
      <w:lvlText w:val="%8."/>
      <w:lvlJc w:val="left"/>
      <w:pPr>
        <w:ind w:left="7887" w:hanging="360"/>
      </w:pPr>
    </w:lvl>
    <w:lvl w:ilvl="8" w:tplc="3809001B" w:tentative="1">
      <w:start w:val="1"/>
      <w:numFmt w:val="lowerRoman"/>
      <w:lvlText w:val="%9."/>
      <w:lvlJc w:val="right"/>
      <w:pPr>
        <w:ind w:left="8607" w:hanging="180"/>
      </w:pPr>
    </w:lvl>
  </w:abstractNum>
  <w:abstractNum w:abstractNumId="45" w15:restartNumberingAfterBreak="0">
    <w:nsid w:val="0FF614F2"/>
    <w:multiLevelType w:val="hybridMultilevel"/>
    <w:tmpl w:val="746A9D56"/>
    <w:lvl w:ilvl="0" w:tplc="CC64C6A2">
      <w:start w:val="1"/>
      <w:numFmt w:val="decimal"/>
      <w:lvlText w:val="(%1)"/>
      <w:lvlJc w:val="left"/>
      <w:pPr>
        <w:ind w:left="2736" w:hanging="360"/>
      </w:pPr>
      <w:rPr>
        <w:rFonts w:ascii="Bookman Old Style" w:hAnsi="Bookman Old Style" w:cs="Times New Roman" w:hint="default"/>
        <w:color w:val="auto"/>
        <w:sz w:val="24"/>
      </w:rPr>
    </w:lvl>
    <w:lvl w:ilvl="1" w:tplc="04090019" w:tentative="1">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46" w15:restartNumberingAfterBreak="0">
    <w:nsid w:val="10582494"/>
    <w:multiLevelType w:val="hybridMultilevel"/>
    <w:tmpl w:val="F07A1332"/>
    <w:lvl w:ilvl="0" w:tplc="04210019">
      <w:start w:val="1"/>
      <w:numFmt w:val="lowerLetter"/>
      <w:lvlText w:val="%1."/>
      <w:lvlJc w:val="left"/>
      <w:pPr>
        <w:ind w:left="1647" w:hanging="360"/>
      </w:pPr>
    </w:lvl>
    <w:lvl w:ilvl="1" w:tplc="38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19234C3"/>
    <w:multiLevelType w:val="multilevel"/>
    <w:tmpl w:val="990AB0A6"/>
    <w:lvl w:ilvl="0">
      <w:start w:val="1"/>
      <w:numFmt w:val="lowerLetter"/>
      <w:lvlText w:val="%1."/>
      <w:lvlJc w:val="left"/>
      <w:pPr>
        <w:ind w:left="1642" w:hanging="360"/>
      </w:pPr>
      <w:rPr>
        <w:b w:val="0"/>
        <w:color w:val="auto"/>
        <w:sz w:val="24"/>
      </w:rPr>
    </w:lvl>
    <w:lvl w:ilvl="1">
      <w:start w:val="2"/>
      <w:numFmt w:val="decimalZero"/>
      <w:isLgl/>
      <w:lvlText w:val="%1.%2"/>
      <w:lvlJc w:val="left"/>
      <w:pPr>
        <w:ind w:left="3857" w:hanging="2370"/>
      </w:pPr>
      <w:rPr>
        <w:rFonts w:hint="default"/>
      </w:rPr>
    </w:lvl>
    <w:lvl w:ilvl="2">
      <w:start w:val="1"/>
      <w:numFmt w:val="decimal"/>
      <w:isLgl/>
      <w:lvlText w:val="%1.%2.%3"/>
      <w:lvlJc w:val="left"/>
      <w:pPr>
        <w:ind w:left="4062" w:hanging="2370"/>
      </w:pPr>
      <w:rPr>
        <w:rFonts w:hint="default"/>
      </w:rPr>
    </w:lvl>
    <w:lvl w:ilvl="3">
      <w:start w:val="2"/>
      <w:numFmt w:val="decimalZero"/>
      <w:isLgl/>
      <w:lvlText w:val="%1.%2.%3.%4"/>
      <w:lvlJc w:val="left"/>
      <w:pPr>
        <w:ind w:left="4267" w:hanging="2370"/>
      </w:pPr>
      <w:rPr>
        <w:rFonts w:hint="default"/>
      </w:rPr>
    </w:lvl>
    <w:lvl w:ilvl="4">
      <w:start w:val="1"/>
      <w:numFmt w:val="decimalZero"/>
      <w:isLgl/>
      <w:lvlText w:val="%1.%2.%3.%4.%5"/>
      <w:lvlJc w:val="left"/>
      <w:pPr>
        <w:ind w:left="4472" w:hanging="2370"/>
      </w:pPr>
      <w:rPr>
        <w:rFonts w:hint="default"/>
      </w:rPr>
    </w:lvl>
    <w:lvl w:ilvl="5">
      <w:start w:val="12"/>
      <w:numFmt w:val="decimal"/>
      <w:isLgl/>
      <w:lvlText w:val="%1.%2.%3.%4.%5.%6"/>
      <w:lvlJc w:val="left"/>
      <w:pPr>
        <w:ind w:left="4677" w:hanging="2370"/>
      </w:pPr>
      <w:rPr>
        <w:rFonts w:hint="default"/>
      </w:rPr>
    </w:lvl>
    <w:lvl w:ilvl="6">
      <w:start w:val="4"/>
      <w:numFmt w:val="decimalZero"/>
      <w:isLgl/>
      <w:lvlText w:val="%1.%2.%3.%4.%5.%6.%7"/>
      <w:lvlJc w:val="left"/>
      <w:pPr>
        <w:ind w:left="4882" w:hanging="2370"/>
      </w:pPr>
      <w:rPr>
        <w:rFonts w:hint="default"/>
      </w:rPr>
    </w:lvl>
    <w:lvl w:ilvl="7">
      <w:start w:val="1"/>
      <w:numFmt w:val="decimal"/>
      <w:isLgl/>
      <w:lvlText w:val="%1.%2.%3.%4.%5.%6.%7.%8"/>
      <w:lvlJc w:val="left"/>
      <w:pPr>
        <w:ind w:left="5087" w:hanging="2370"/>
      </w:pPr>
      <w:rPr>
        <w:rFonts w:hint="default"/>
      </w:rPr>
    </w:lvl>
    <w:lvl w:ilvl="8">
      <w:start w:val="1"/>
      <w:numFmt w:val="decimal"/>
      <w:isLgl/>
      <w:lvlText w:val="%1.%2.%3.%4.%5.%6.%7.%8.%9"/>
      <w:lvlJc w:val="left"/>
      <w:pPr>
        <w:ind w:left="5292" w:hanging="2370"/>
      </w:pPr>
      <w:rPr>
        <w:rFonts w:hint="default"/>
      </w:rPr>
    </w:lvl>
  </w:abstractNum>
  <w:abstractNum w:abstractNumId="48" w15:restartNumberingAfterBreak="0">
    <w:nsid w:val="1291700A"/>
    <w:multiLevelType w:val="hybridMultilevel"/>
    <w:tmpl w:val="8CD64F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29F16BE"/>
    <w:multiLevelType w:val="hybridMultilevel"/>
    <w:tmpl w:val="B0D68DB8"/>
    <w:lvl w:ilvl="0" w:tplc="04090019">
      <w:start w:val="1"/>
      <w:numFmt w:val="lowerLetter"/>
      <w:lvlText w:val="%1."/>
      <w:lvlJc w:val="left"/>
      <w:pPr>
        <w:ind w:left="2745" w:hanging="360"/>
      </w:pPr>
    </w:lvl>
    <w:lvl w:ilvl="1" w:tplc="04090019" w:tentative="1">
      <w:start w:val="1"/>
      <w:numFmt w:val="lowerLetter"/>
      <w:lvlText w:val="%2."/>
      <w:lvlJc w:val="left"/>
      <w:pPr>
        <w:ind w:left="3465" w:hanging="360"/>
      </w:pPr>
    </w:lvl>
    <w:lvl w:ilvl="2" w:tplc="0409001B" w:tentative="1">
      <w:start w:val="1"/>
      <w:numFmt w:val="lowerRoman"/>
      <w:lvlText w:val="%3."/>
      <w:lvlJc w:val="right"/>
      <w:pPr>
        <w:ind w:left="4185" w:hanging="180"/>
      </w:pPr>
    </w:lvl>
    <w:lvl w:ilvl="3" w:tplc="0409000F" w:tentative="1">
      <w:start w:val="1"/>
      <w:numFmt w:val="decimal"/>
      <w:lvlText w:val="%4."/>
      <w:lvlJc w:val="left"/>
      <w:pPr>
        <w:ind w:left="4905" w:hanging="360"/>
      </w:pPr>
    </w:lvl>
    <w:lvl w:ilvl="4" w:tplc="04090019" w:tentative="1">
      <w:start w:val="1"/>
      <w:numFmt w:val="lowerLetter"/>
      <w:lvlText w:val="%5."/>
      <w:lvlJc w:val="left"/>
      <w:pPr>
        <w:ind w:left="5625" w:hanging="360"/>
      </w:pPr>
    </w:lvl>
    <w:lvl w:ilvl="5" w:tplc="0409001B" w:tentative="1">
      <w:start w:val="1"/>
      <w:numFmt w:val="lowerRoman"/>
      <w:lvlText w:val="%6."/>
      <w:lvlJc w:val="right"/>
      <w:pPr>
        <w:ind w:left="6345" w:hanging="180"/>
      </w:pPr>
    </w:lvl>
    <w:lvl w:ilvl="6" w:tplc="0409000F" w:tentative="1">
      <w:start w:val="1"/>
      <w:numFmt w:val="decimal"/>
      <w:lvlText w:val="%7."/>
      <w:lvlJc w:val="left"/>
      <w:pPr>
        <w:ind w:left="7065" w:hanging="360"/>
      </w:pPr>
    </w:lvl>
    <w:lvl w:ilvl="7" w:tplc="04090019" w:tentative="1">
      <w:start w:val="1"/>
      <w:numFmt w:val="lowerLetter"/>
      <w:lvlText w:val="%8."/>
      <w:lvlJc w:val="left"/>
      <w:pPr>
        <w:ind w:left="7785" w:hanging="360"/>
      </w:pPr>
    </w:lvl>
    <w:lvl w:ilvl="8" w:tplc="0409001B" w:tentative="1">
      <w:start w:val="1"/>
      <w:numFmt w:val="lowerRoman"/>
      <w:lvlText w:val="%9."/>
      <w:lvlJc w:val="right"/>
      <w:pPr>
        <w:ind w:left="8505" w:hanging="180"/>
      </w:pPr>
    </w:lvl>
  </w:abstractNum>
  <w:abstractNum w:abstractNumId="50" w15:restartNumberingAfterBreak="0">
    <w:nsid w:val="12D82B64"/>
    <w:multiLevelType w:val="hybridMultilevel"/>
    <w:tmpl w:val="1BE81CE8"/>
    <w:lvl w:ilvl="0" w:tplc="BC7C969A">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51" w15:restartNumberingAfterBreak="0">
    <w:nsid w:val="12FA2D08"/>
    <w:multiLevelType w:val="hybridMultilevel"/>
    <w:tmpl w:val="6E02A65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132A6402"/>
    <w:multiLevelType w:val="hybridMultilevel"/>
    <w:tmpl w:val="9E883088"/>
    <w:lvl w:ilvl="0" w:tplc="3809000F">
      <w:start w:val="1"/>
      <w:numFmt w:val="decimal"/>
      <w:lvlText w:val="%1."/>
      <w:lvlJc w:val="left"/>
      <w:pPr>
        <w:ind w:left="720" w:hanging="360"/>
      </w:pPr>
      <w:rPr>
        <w:rFonts w:hint="default"/>
      </w:rPr>
    </w:lvl>
    <w:lvl w:ilvl="1" w:tplc="38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34E4B53"/>
    <w:multiLevelType w:val="hybridMultilevel"/>
    <w:tmpl w:val="8A9C0F92"/>
    <w:lvl w:ilvl="0" w:tplc="04090011">
      <w:start w:val="1"/>
      <w:numFmt w:val="decimal"/>
      <w:lvlText w:val="%1)"/>
      <w:lvlJc w:val="left"/>
      <w:pPr>
        <w:ind w:left="1987" w:hanging="360"/>
      </w:pPr>
      <w:rPr>
        <w:rFonts w:hint="default"/>
        <w:i w:val="0"/>
        <w:strike w:val="0"/>
        <w:color w:val="auto"/>
        <w:kern w:val="24"/>
      </w:rPr>
    </w:lvl>
    <w:lvl w:ilvl="1" w:tplc="FFFFFFFF" w:tentative="1">
      <w:start w:val="1"/>
      <w:numFmt w:val="lowerLetter"/>
      <w:lvlText w:val="%2."/>
      <w:lvlJc w:val="left"/>
      <w:pPr>
        <w:ind w:left="2707" w:hanging="360"/>
      </w:pPr>
    </w:lvl>
    <w:lvl w:ilvl="2" w:tplc="FFFFFFFF" w:tentative="1">
      <w:start w:val="1"/>
      <w:numFmt w:val="lowerRoman"/>
      <w:lvlText w:val="%3."/>
      <w:lvlJc w:val="right"/>
      <w:pPr>
        <w:ind w:left="3427" w:hanging="180"/>
      </w:pPr>
    </w:lvl>
    <w:lvl w:ilvl="3" w:tplc="FFFFFFFF" w:tentative="1">
      <w:start w:val="1"/>
      <w:numFmt w:val="decimal"/>
      <w:lvlText w:val="%4."/>
      <w:lvlJc w:val="left"/>
      <w:pPr>
        <w:ind w:left="4147" w:hanging="360"/>
      </w:pPr>
    </w:lvl>
    <w:lvl w:ilvl="4" w:tplc="FFFFFFFF" w:tentative="1">
      <w:start w:val="1"/>
      <w:numFmt w:val="lowerLetter"/>
      <w:lvlText w:val="%5."/>
      <w:lvlJc w:val="left"/>
      <w:pPr>
        <w:ind w:left="4867" w:hanging="360"/>
      </w:pPr>
    </w:lvl>
    <w:lvl w:ilvl="5" w:tplc="FFFFFFFF" w:tentative="1">
      <w:start w:val="1"/>
      <w:numFmt w:val="lowerRoman"/>
      <w:lvlText w:val="%6."/>
      <w:lvlJc w:val="right"/>
      <w:pPr>
        <w:ind w:left="5587" w:hanging="180"/>
      </w:pPr>
    </w:lvl>
    <w:lvl w:ilvl="6" w:tplc="FFFFFFFF" w:tentative="1">
      <w:start w:val="1"/>
      <w:numFmt w:val="decimal"/>
      <w:lvlText w:val="%7."/>
      <w:lvlJc w:val="left"/>
      <w:pPr>
        <w:ind w:left="6307" w:hanging="360"/>
      </w:pPr>
    </w:lvl>
    <w:lvl w:ilvl="7" w:tplc="FFFFFFFF" w:tentative="1">
      <w:start w:val="1"/>
      <w:numFmt w:val="lowerLetter"/>
      <w:lvlText w:val="%8."/>
      <w:lvlJc w:val="left"/>
      <w:pPr>
        <w:ind w:left="7027" w:hanging="360"/>
      </w:pPr>
    </w:lvl>
    <w:lvl w:ilvl="8" w:tplc="FFFFFFFF" w:tentative="1">
      <w:start w:val="1"/>
      <w:numFmt w:val="lowerRoman"/>
      <w:lvlText w:val="%9."/>
      <w:lvlJc w:val="right"/>
      <w:pPr>
        <w:ind w:left="7747" w:hanging="180"/>
      </w:pPr>
    </w:lvl>
  </w:abstractNum>
  <w:abstractNum w:abstractNumId="54" w15:restartNumberingAfterBreak="0">
    <w:nsid w:val="13B36B98"/>
    <w:multiLevelType w:val="hybridMultilevel"/>
    <w:tmpl w:val="C99C0F00"/>
    <w:lvl w:ilvl="0" w:tplc="DB7CDF64">
      <w:start w:val="1"/>
      <w:numFmt w:val="lowerLetter"/>
      <w:lvlText w:val="(%1)"/>
      <w:lvlJc w:val="left"/>
      <w:pPr>
        <w:ind w:left="3450" w:hanging="360"/>
      </w:pPr>
      <w:rPr>
        <w:rFonts w:cs="Times New Roman" w:hint="default"/>
        <w:i w:val="0"/>
        <w:strike w:val="0"/>
        <w:color w:val="auto"/>
        <w:kern w:val="24"/>
      </w:rPr>
    </w:lvl>
    <w:lvl w:ilvl="1" w:tplc="04090019" w:tentative="1">
      <w:start w:val="1"/>
      <w:numFmt w:val="lowerLetter"/>
      <w:lvlText w:val="%2."/>
      <w:lvlJc w:val="left"/>
      <w:pPr>
        <w:ind w:left="4170" w:hanging="360"/>
      </w:pPr>
    </w:lvl>
    <w:lvl w:ilvl="2" w:tplc="0409001B" w:tentative="1">
      <w:start w:val="1"/>
      <w:numFmt w:val="lowerRoman"/>
      <w:lvlText w:val="%3."/>
      <w:lvlJc w:val="right"/>
      <w:pPr>
        <w:ind w:left="4890" w:hanging="180"/>
      </w:pPr>
    </w:lvl>
    <w:lvl w:ilvl="3" w:tplc="0409000F" w:tentative="1">
      <w:start w:val="1"/>
      <w:numFmt w:val="decimal"/>
      <w:lvlText w:val="%4."/>
      <w:lvlJc w:val="left"/>
      <w:pPr>
        <w:ind w:left="5610" w:hanging="360"/>
      </w:pPr>
    </w:lvl>
    <w:lvl w:ilvl="4" w:tplc="04090019" w:tentative="1">
      <w:start w:val="1"/>
      <w:numFmt w:val="lowerLetter"/>
      <w:lvlText w:val="%5."/>
      <w:lvlJc w:val="left"/>
      <w:pPr>
        <w:ind w:left="6330" w:hanging="360"/>
      </w:pPr>
    </w:lvl>
    <w:lvl w:ilvl="5" w:tplc="0409001B" w:tentative="1">
      <w:start w:val="1"/>
      <w:numFmt w:val="lowerRoman"/>
      <w:lvlText w:val="%6."/>
      <w:lvlJc w:val="right"/>
      <w:pPr>
        <w:ind w:left="7050" w:hanging="180"/>
      </w:pPr>
    </w:lvl>
    <w:lvl w:ilvl="6" w:tplc="0409000F" w:tentative="1">
      <w:start w:val="1"/>
      <w:numFmt w:val="decimal"/>
      <w:lvlText w:val="%7."/>
      <w:lvlJc w:val="left"/>
      <w:pPr>
        <w:ind w:left="7770" w:hanging="360"/>
      </w:pPr>
    </w:lvl>
    <w:lvl w:ilvl="7" w:tplc="04090019" w:tentative="1">
      <w:start w:val="1"/>
      <w:numFmt w:val="lowerLetter"/>
      <w:lvlText w:val="%8."/>
      <w:lvlJc w:val="left"/>
      <w:pPr>
        <w:ind w:left="8490" w:hanging="360"/>
      </w:pPr>
    </w:lvl>
    <w:lvl w:ilvl="8" w:tplc="0409001B" w:tentative="1">
      <w:start w:val="1"/>
      <w:numFmt w:val="lowerRoman"/>
      <w:lvlText w:val="%9."/>
      <w:lvlJc w:val="right"/>
      <w:pPr>
        <w:ind w:left="9210" w:hanging="180"/>
      </w:pPr>
    </w:lvl>
  </w:abstractNum>
  <w:abstractNum w:abstractNumId="55" w15:restartNumberingAfterBreak="0">
    <w:nsid w:val="13C46DE6"/>
    <w:multiLevelType w:val="multilevel"/>
    <w:tmpl w:val="B0E4B8F8"/>
    <w:styleLink w:val="CurrentList6"/>
    <w:lvl w:ilvl="0">
      <w:start w:val="1"/>
      <w:numFmt w:val="decimal"/>
      <w:lvlText w:val="%1)"/>
      <w:lvlJc w:val="left"/>
      <w:pPr>
        <w:ind w:left="1620" w:hanging="360"/>
      </w:pPr>
      <w:rPr>
        <w:color w:val="auto"/>
      </w:rPr>
    </w:lvl>
    <w:lvl w:ilvl="1">
      <w:start w:val="1"/>
      <w:numFmt w:val="lowerLetter"/>
      <w:lvlText w:val="%2."/>
      <w:lvlJc w:val="left"/>
      <w:pPr>
        <w:ind w:left="2722" w:hanging="360"/>
      </w:pPr>
    </w:lvl>
    <w:lvl w:ilvl="2">
      <w:start w:val="1"/>
      <w:numFmt w:val="lowerRoman"/>
      <w:lvlText w:val="%3."/>
      <w:lvlJc w:val="right"/>
      <w:pPr>
        <w:ind w:left="3442" w:hanging="180"/>
      </w:pPr>
    </w:lvl>
    <w:lvl w:ilvl="3">
      <w:start w:val="1"/>
      <w:numFmt w:val="decimal"/>
      <w:lvlText w:val="%4."/>
      <w:lvlJc w:val="left"/>
      <w:pPr>
        <w:ind w:left="4162" w:hanging="360"/>
      </w:pPr>
    </w:lvl>
    <w:lvl w:ilvl="4">
      <w:start w:val="1"/>
      <w:numFmt w:val="lowerLetter"/>
      <w:lvlText w:val="%5."/>
      <w:lvlJc w:val="left"/>
      <w:pPr>
        <w:ind w:left="4882" w:hanging="360"/>
      </w:pPr>
    </w:lvl>
    <w:lvl w:ilvl="5">
      <w:start w:val="1"/>
      <w:numFmt w:val="lowerRoman"/>
      <w:lvlText w:val="%6."/>
      <w:lvlJc w:val="right"/>
      <w:pPr>
        <w:ind w:left="5602" w:hanging="180"/>
      </w:pPr>
    </w:lvl>
    <w:lvl w:ilvl="6">
      <w:start w:val="1"/>
      <w:numFmt w:val="decimal"/>
      <w:lvlText w:val="%7."/>
      <w:lvlJc w:val="left"/>
      <w:pPr>
        <w:ind w:left="6322" w:hanging="360"/>
      </w:pPr>
    </w:lvl>
    <w:lvl w:ilvl="7">
      <w:start w:val="1"/>
      <w:numFmt w:val="lowerLetter"/>
      <w:lvlText w:val="%8."/>
      <w:lvlJc w:val="left"/>
      <w:pPr>
        <w:ind w:left="7042" w:hanging="360"/>
      </w:pPr>
    </w:lvl>
    <w:lvl w:ilvl="8">
      <w:start w:val="1"/>
      <w:numFmt w:val="lowerRoman"/>
      <w:lvlText w:val="%9."/>
      <w:lvlJc w:val="right"/>
      <w:pPr>
        <w:ind w:left="7762" w:hanging="180"/>
      </w:pPr>
    </w:lvl>
  </w:abstractNum>
  <w:abstractNum w:abstractNumId="56" w15:restartNumberingAfterBreak="0">
    <w:nsid w:val="13DB59BF"/>
    <w:multiLevelType w:val="hybridMultilevel"/>
    <w:tmpl w:val="849CD0A0"/>
    <w:lvl w:ilvl="0" w:tplc="38090019">
      <w:start w:val="1"/>
      <w:numFmt w:val="lowerLetter"/>
      <w:lvlText w:val="%1."/>
      <w:lvlJc w:val="left"/>
      <w:pPr>
        <w:ind w:left="1647" w:hanging="360"/>
      </w:p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57" w15:restartNumberingAfterBreak="0">
    <w:nsid w:val="14122092"/>
    <w:multiLevelType w:val="hybridMultilevel"/>
    <w:tmpl w:val="CBE21AC2"/>
    <w:lvl w:ilvl="0" w:tplc="C71855B6">
      <w:start w:val="1"/>
      <w:numFmt w:val="upperLetter"/>
      <w:lvlText w:val="%1."/>
      <w:lvlJc w:val="left"/>
      <w:pPr>
        <w:ind w:left="927" w:hanging="360"/>
      </w:pPr>
      <w:rPr>
        <w:rFonts w:hint="default"/>
      </w:rPr>
    </w:lvl>
    <w:lvl w:ilvl="1" w:tplc="3809000F">
      <w:start w:val="1"/>
      <w:numFmt w:val="decimal"/>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8" w15:restartNumberingAfterBreak="0">
    <w:nsid w:val="146756CF"/>
    <w:multiLevelType w:val="hybridMultilevel"/>
    <w:tmpl w:val="92DA22A4"/>
    <w:lvl w:ilvl="0" w:tplc="60EA846A">
      <w:start w:val="1"/>
      <w:numFmt w:val="lowerLetter"/>
      <w:lvlText w:val="(%1)"/>
      <w:lvlJc w:val="left"/>
      <w:pPr>
        <w:ind w:left="2730" w:hanging="360"/>
      </w:pPr>
      <w:rPr>
        <w:rFonts w:hint="default"/>
        <w:i w:val="0"/>
        <w:strike w:val="0"/>
        <w:color w:val="auto"/>
        <w:kern w:val="24"/>
        <w:sz w:val="24"/>
      </w:rPr>
    </w:lvl>
    <w:lvl w:ilvl="1" w:tplc="04090019" w:tentative="1">
      <w:start w:val="1"/>
      <w:numFmt w:val="lowerLetter"/>
      <w:lvlText w:val="%2."/>
      <w:lvlJc w:val="left"/>
      <w:pPr>
        <w:ind w:left="3450" w:hanging="360"/>
      </w:pPr>
    </w:lvl>
    <w:lvl w:ilvl="2" w:tplc="0409001B" w:tentative="1">
      <w:start w:val="1"/>
      <w:numFmt w:val="lowerRoman"/>
      <w:lvlText w:val="%3."/>
      <w:lvlJc w:val="right"/>
      <w:pPr>
        <w:ind w:left="4170" w:hanging="180"/>
      </w:pPr>
    </w:lvl>
    <w:lvl w:ilvl="3" w:tplc="0409000F" w:tentative="1">
      <w:start w:val="1"/>
      <w:numFmt w:val="decimal"/>
      <w:lvlText w:val="%4."/>
      <w:lvlJc w:val="left"/>
      <w:pPr>
        <w:ind w:left="4890" w:hanging="360"/>
      </w:pPr>
    </w:lvl>
    <w:lvl w:ilvl="4" w:tplc="04090019" w:tentative="1">
      <w:start w:val="1"/>
      <w:numFmt w:val="lowerLetter"/>
      <w:lvlText w:val="%5."/>
      <w:lvlJc w:val="left"/>
      <w:pPr>
        <w:ind w:left="5610" w:hanging="360"/>
      </w:pPr>
    </w:lvl>
    <w:lvl w:ilvl="5" w:tplc="0409001B" w:tentative="1">
      <w:start w:val="1"/>
      <w:numFmt w:val="lowerRoman"/>
      <w:lvlText w:val="%6."/>
      <w:lvlJc w:val="right"/>
      <w:pPr>
        <w:ind w:left="6330" w:hanging="180"/>
      </w:pPr>
    </w:lvl>
    <w:lvl w:ilvl="6" w:tplc="0409000F" w:tentative="1">
      <w:start w:val="1"/>
      <w:numFmt w:val="decimal"/>
      <w:lvlText w:val="%7."/>
      <w:lvlJc w:val="left"/>
      <w:pPr>
        <w:ind w:left="7050" w:hanging="360"/>
      </w:pPr>
    </w:lvl>
    <w:lvl w:ilvl="7" w:tplc="04090019" w:tentative="1">
      <w:start w:val="1"/>
      <w:numFmt w:val="lowerLetter"/>
      <w:lvlText w:val="%8."/>
      <w:lvlJc w:val="left"/>
      <w:pPr>
        <w:ind w:left="7770" w:hanging="360"/>
      </w:pPr>
    </w:lvl>
    <w:lvl w:ilvl="8" w:tplc="0409001B" w:tentative="1">
      <w:start w:val="1"/>
      <w:numFmt w:val="lowerRoman"/>
      <w:lvlText w:val="%9."/>
      <w:lvlJc w:val="right"/>
      <w:pPr>
        <w:ind w:left="8490" w:hanging="180"/>
      </w:pPr>
    </w:lvl>
  </w:abstractNum>
  <w:abstractNum w:abstractNumId="59" w15:restartNumberingAfterBreak="0">
    <w:nsid w:val="1477474A"/>
    <w:multiLevelType w:val="hybridMultilevel"/>
    <w:tmpl w:val="07EC54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14EC4BDC"/>
    <w:multiLevelType w:val="hybridMultilevel"/>
    <w:tmpl w:val="84A2DA90"/>
    <w:lvl w:ilvl="0" w:tplc="348AD96C">
      <w:start w:val="1"/>
      <w:numFmt w:val="lowerLetter"/>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61" w15:restartNumberingAfterBreak="0">
    <w:nsid w:val="14EC5711"/>
    <w:multiLevelType w:val="hybridMultilevel"/>
    <w:tmpl w:val="CBB0A2EA"/>
    <w:lvl w:ilvl="0" w:tplc="7622778C">
      <w:start w:val="1"/>
      <w:numFmt w:val="decimal"/>
      <w:lvlText w:val="%1."/>
      <w:lvlJc w:val="left"/>
      <w:pPr>
        <w:ind w:left="1260" w:hanging="360"/>
      </w:pPr>
      <w:rPr>
        <w:color w:val="auto"/>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62" w15:restartNumberingAfterBreak="0">
    <w:nsid w:val="155C29B2"/>
    <w:multiLevelType w:val="hybridMultilevel"/>
    <w:tmpl w:val="89227420"/>
    <w:lvl w:ilvl="0" w:tplc="04210011">
      <w:start w:val="1"/>
      <w:numFmt w:val="decimal"/>
      <w:lvlText w:val="%1)"/>
      <w:lvlJc w:val="left"/>
      <w:pPr>
        <w:ind w:left="2421" w:hanging="360"/>
      </w:pPr>
      <w:rPr>
        <w:rFonts w:hint="default"/>
        <w:color w:val="auto"/>
      </w:r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63" w15:restartNumberingAfterBreak="0">
    <w:nsid w:val="15657445"/>
    <w:multiLevelType w:val="hybridMultilevel"/>
    <w:tmpl w:val="56CC232E"/>
    <w:lvl w:ilvl="0" w:tplc="04090017">
      <w:start w:val="1"/>
      <w:numFmt w:val="lowerLetter"/>
      <w:lvlText w:val="%1)"/>
      <w:lvlJc w:val="left"/>
      <w:pPr>
        <w:ind w:left="2640" w:hanging="360"/>
      </w:pPr>
      <w:rPr>
        <w:rFonts w:hint="default"/>
        <w:i w:val="0"/>
        <w:strike w:val="0"/>
        <w:color w:val="auto"/>
        <w:kern w:val="24"/>
        <w:sz w:val="24"/>
        <w:szCs w:val="24"/>
      </w:rPr>
    </w:lvl>
    <w:lvl w:ilvl="1" w:tplc="04210019" w:tentative="1">
      <w:start w:val="1"/>
      <w:numFmt w:val="lowerLetter"/>
      <w:lvlText w:val="%2."/>
      <w:lvlJc w:val="left"/>
      <w:pPr>
        <w:ind w:left="3360" w:hanging="360"/>
      </w:pPr>
    </w:lvl>
    <w:lvl w:ilvl="2" w:tplc="0421001B" w:tentative="1">
      <w:start w:val="1"/>
      <w:numFmt w:val="lowerRoman"/>
      <w:lvlText w:val="%3."/>
      <w:lvlJc w:val="right"/>
      <w:pPr>
        <w:ind w:left="4080" w:hanging="180"/>
      </w:pPr>
    </w:lvl>
    <w:lvl w:ilvl="3" w:tplc="0421000F" w:tentative="1">
      <w:start w:val="1"/>
      <w:numFmt w:val="decimal"/>
      <w:lvlText w:val="%4."/>
      <w:lvlJc w:val="left"/>
      <w:pPr>
        <w:ind w:left="4800" w:hanging="360"/>
      </w:pPr>
    </w:lvl>
    <w:lvl w:ilvl="4" w:tplc="04210019" w:tentative="1">
      <w:start w:val="1"/>
      <w:numFmt w:val="lowerLetter"/>
      <w:lvlText w:val="%5."/>
      <w:lvlJc w:val="left"/>
      <w:pPr>
        <w:ind w:left="5520" w:hanging="360"/>
      </w:pPr>
    </w:lvl>
    <w:lvl w:ilvl="5" w:tplc="0421001B" w:tentative="1">
      <w:start w:val="1"/>
      <w:numFmt w:val="lowerRoman"/>
      <w:lvlText w:val="%6."/>
      <w:lvlJc w:val="right"/>
      <w:pPr>
        <w:ind w:left="6240" w:hanging="180"/>
      </w:pPr>
    </w:lvl>
    <w:lvl w:ilvl="6" w:tplc="0421000F" w:tentative="1">
      <w:start w:val="1"/>
      <w:numFmt w:val="decimal"/>
      <w:lvlText w:val="%7."/>
      <w:lvlJc w:val="left"/>
      <w:pPr>
        <w:ind w:left="6960" w:hanging="360"/>
      </w:pPr>
    </w:lvl>
    <w:lvl w:ilvl="7" w:tplc="04210019" w:tentative="1">
      <w:start w:val="1"/>
      <w:numFmt w:val="lowerLetter"/>
      <w:lvlText w:val="%8."/>
      <w:lvlJc w:val="left"/>
      <w:pPr>
        <w:ind w:left="7680" w:hanging="360"/>
      </w:pPr>
    </w:lvl>
    <w:lvl w:ilvl="8" w:tplc="0421001B" w:tentative="1">
      <w:start w:val="1"/>
      <w:numFmt w:val="lowerRoman"/>
      <w:lvlText w:val="%9."/>
      <w:lvlJc w:val="right"/>
      <w:pPr>
        <w:ind w:left="8400" w:hanging="180"/>
      </w:pPr>
    </w:lvl>
  </w:abstractNum>
  <w:abstractNum w:abstractNumId="64" w15:restartNumberingAfterBreak="0">
    <w:nsid w:val="15CB2F87"/>
    <w:multiLevelType w:val="hybridMultilevel"/>
    <w:tmpl w:val="3E5264EE"/>
    <w:lvl w:ilvl="0" w:tplc="04090017">
      <w:start w:val="1"/>
      <w:numFmt w:val="lowerLetter"/>
      <w:lvlText w:val="%1)"/>
      <w:lvlJc w:val="left"/>
      <w:pPr>
        <w:ind w:left="2487" w:hanging="360"/>
      </w:pPr>
      <w:rPr>
        <w:rFonts w:hint="default"/>
        <w:b w:val="0"/>
        <w:bCs w:val="0"/>
        <w:i w:val="0"/>
        <w:strike w:val="0"/>
        <w:color w:val="auto"/>
        <w:kern w:val="24"/>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15F3504C"/>
    <w:multiLevelType w:val="hybridMultilevel"/>
    <w:tmpl w:val="8FBE0CEE"/>
    <w:lvl w:ilvl="0" w:tplc="FFFFFFFF">
      <w:start w:val="1"/>
      <w:numFmt w:val="lowerLetter"/>
      <w:lvlText w:val="%1)"/>
      <w:lvlJc w:val="left"/>
      <w:pPr>
        <w:ind w:left="2706" w:hanging="360"/>
      </w:pPr>
      <w:rPr>
        <w:rFonts w:hint="default"/>
        <w:color w:val="auto"/>
      </w:rPr>
    </w:lvl>
    <w:lvl w:ilvl="1" w:tplc="FFFFFFFF" w:tentative="1">
      <w:start w:val="1"/>
      <w:numFmt w:val="lowerLetter"/>
      <w:lvlText w:val="%2."/>
      <w:lvlJc w:val="left"/>
      <w:pPr>
        <w:ind w:left="3426" w:hanging="360"/>
      </w:pPr>
    </w:lvl>
    <w:lvl w:ilvl="2" w:tplc="FFFFFFFF" w:tentative="1">
      <w:start w:val="1"/>
      <w:numFmt w:val="lowerRoman"/>
      <w:lvlText w:val="%3."/>
      <w:lvlJc w:val="right"/>
      <w:pPr>
        <w:ind w:left="4146" w:hanging="180"/>
      </w:pPr>
    </w:lvl>
    <w:lvl w:ilvl="3" w:tplc="FFFFFFFF" w:tentative="1">
      <w:start w:val="1"/>
      <w:numFmt w:val="decimal"/>
      <w:lvlText w:val="%4."/>
      <w:lvlJc w:val="left"/>
      <w:pPr>
        <w:ind w:left="4866" w:hanging="360"/>
      </w:pPr>
    </w:lvl>
    <w:lvl w:ilvl="4" w:tplc="FFFFFFFF" w:tentative="1">
      <w:start w:val="1"/>
      <w:numFmt w:val="lowerLetter"/>
      <w:lvlText w:val="%5."/>
      <w:lvlJc w:val="left"/>
      <w:pPr>
        <w:ind w:left="5586" w:hanging="360"/>
      </w:pPr>
    </w:lvl>
    <w:lvl w:ilvl="5" w:tplc="FFFFFFFF" w:tentative="1">
      <w:start w:val="1"/>
      <w:numFmt w:val="lowerRoman"/>
      <w:lvlText w:val="%6."/>
      <w:lvlJc w:val="right"/>
      <w:pPr>
        <w:ind w:left="6306" w:hanging="180"/>
      </w:pPr>
    </w:lvl>
    <w:lvl w:ilvl="6" w:tplc="FFFFFFFF" w:tentative="1">
      <w:start w:val="1"/>
      <w:numFmt w:val="decimal"/>
      <w:lvlText w:val="%7."/>
      <w:lvlJc w:val="left"/>
      <w:pPr>
        <w:ind w:left="7026" w:hanging="360"/>
      </w:pPr>
    </w:lvl>
    <w:lvl w:ilvl="7" w:tplc="FFFFFFFF" w:tentative="1">
      <w:start w:val="1"/>
      <w:numFmt w:val="lowerLetter"/>
      <w:lvlText w:val="%8."/>
      <w:lvlJc w:val="left"/>
      <w:pPr>
        <w:ind w:left="7746" w:hanging="360"/>
      </w:pPr>
    </w:lvl>
    <w:lvl w:ilvl="8" w:tplc="FFFFFFFF" w:tentative="1">
      <w:start w:val="1"/>
      <w:numFmt w:val="lowerRoman"/>
      <w:lvlText w:val="%9."/>
      <w:lvlJc w:val="right"/>
      <w:pPr>
        <w:ind w:left="8466" w:hanging="180"/>
      </w:pPr>
    </w:lvl>
  </w:abstractNum>
  <w:abstractNum w:abstractNumId="66" w15:restartNumberingAfterBreak="0">
    <w:nsid w:val="164A5581"/>
    <w:multiLevelType w:val="hybridMultilevel"/>
    <w:tmpl w:val="423EB084"/>
    <w:lvl w:ilvl="0" w:tplc="5F0CCC0A">
      <w:start w:val="1"/>
      <w:numFmt w:val="decimal"/>
      <w:lvlText w:val="(%1)"/>
      <w:lvlJc w:val="left"/>
      <w:pPr>
        <w:ind w:left="2730" w:hanging="360"/>
      </w:pPr>
      <w:rPr>
        <w:rFonts w:hint="default"/>
        <w:color w:val="auto"/>
      </w:rPr>
    </w:lvl>
    <w:lvl w:ilvl="1" w:tplc="04090019" w:tentative="1">
      <w:start w:val="1"/>
      <w:numFmt w:val="lowerLetter"/>
      <w:lvlText w:val="%2."/>
      <w:lvlJc w:val="left"/>
      <w:pPr>
        <w:ind w:left="3450" w:hanging="360"/>
      </w:pPr>
    </w:lvl>
    <w:lvl w:ilvl="2" w:tplc="0409001B" w:tentative="1">
      <w:start w:val="1"/>
      <w:numFmt w:val="lowerRoman"/>
      <w:lvlText w:val="%3."/>
      <w:lvlJc w:val="right"/>
      <w:pPr>
        <w:ind w:left="4170" w:hanging="180"/>
      </w:pPr>
    </w:lvl>
    <w:lvl w:ilvl="3" w:tplc="0409000F" w:tentative="1">
      <w:start w:val="1"/>
      <w:numFmt w:val="decimal"/>
      <w:lvlText w:val="%4."/>
      <w:lvlJc w:val="left"/>
      <w:pPr>
        <w:ind w:left="4890" w:hanging="360"/>
      </w:pPr>
    </w:lvl>
    <w:lvl w:ilvl="4" w:tplc="04090019" w:tentative="1">
      <w:start w:val="1"/>
      <w:numFmt w:val="lowerLetter"/>
      <w:lvlText w:val="%5."/>
      <w:lvlJc w:val="left"/>
      <w:pPr>
        <w:ind w:left="5610" w:hanging="360"/>
      </w:pPr>
    </w:lvl>
    <w:lvl w:ilvl="5" w:tplc="0409001B" w:tentative="1">
      <w:start w:val="1"/>
      <w:numFmt w:val="lowerRoman"/>
      <w:lvlText w:val="%6."/>
      <w:lvlJc w:val="right"/>
      <w:pPr>
        <w:ind w:left="6330" w:hanging="180"/>
      </w:pPr>
    </w:lvl>
    <w:lvl w:ilvl="6" w:tplc="0409000F" w:tentative="1">
      <w:start w:val="1"/>
      <w:numFmt w:val="decimal"/>
      <w:lvlText w:val="%7."/>
      <w:lvlJc w:val="left"/>
      <w:pPr>
        <w:ind w:left="7050" w:hanging="360"/>
      </w:pPr>
    </w:lvl>
    <w:lvl w:ilvl="7" w:tplc="04090019" w:tentative="1">
      <w:start w:val="1"/>
      <w:numFmt w:val="lowerLetter"/>
      <w:lvlText w:val="%8."/>
      <w:lvlJc w:val="left"/>
      <w:pPr>
        <w:ind w:left="7770" w:hanging="360"/>
      </w:pPr>
    </w:lvl>
    <w:lvl w:ilvl="8" w:tplc="0409001B" w:tentative="1">
      <w:start w:val="1"/>
      <w:numFmt w:val="lowerRoman"/>
      <w:lvlText w:val="%9."/>
      <w:lvlJc w:val="right"/>
      <w:pPr>
        <w:ind w:left="8490" w:hanging="180"/>
      </w:pPr>
    </w:lvl>
  </w:abstractNum>
  <w:abstractNum w:abstractNumId="67" w15:restartNumberingAfterBreak="0">
    <w:nsid w:val="169923AC"/>
    <w:multiLevelType w:val="hybridMultilevel"/>
    <w:tmpl w:val="50ECF19E"/>
    <w:lvl w:ilvl="0" w:tplc="60B201E6">
      <w:start w:val="1"/>
      <w:numFmt w:val="lowerLetter"/>
      <w:lvlText w:val="%1."/>
      <w:lvlJc w:val="left"/>
      <w:pPr>
        <w:ind w:left="2912" w:hanging="360"/>
      </w:pPr>
      <w:rPr>
        <w:rFonts w:cs="Times New Roman"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68" w15:restartNumberingAfterBreak="0">
    <w:nsid w:val="17973741"/>
    <w:multiLevelType w:val="hybridMultilevel"/>
    <w:tmpl w:val="E5323BA8"/>
    <w:lvl w:ilvl="0" w:tplc="FFFFFFFF">
      <w:start w:val="1"/>
      <w:numFmt w:val="lowerLetter"/>
      <w:lvlText w:val="%1)"/>
      <w:lvlJc w:val="left"/>
      <w:pPr>
        <w:ind w:left="2458" w:hanging="810"/>
      </w:pPr>
      <w:rPr>
        <w:rFonts w:hint="default"/>
      </w:rPr>
    </w:lvl>
    <w:lvl w:ilvl="1" w:tplc="FFFFFFFF" w:tentative="1">
      <w:start w:val="1"/>
      <w:numFmt w:val="lowerLetter"/>
      <w:lvlText w:val="%2."/>
      <w:lvlJc w:val="left"/>
      <w:pPr>
        <w:ind w:left="1375" w:hanging="360"/>
      </w:pPr>
    </w:lvl>
    <w:lvl w:ilvl="2" w:tplc="FFFFFFFF" w:tentative="1">
      <w:start w:val="1"/>
      <w:numFmt w:val="lowerRoman"/>
      <w:lvlText w:val="%3."/>
      <w:lvlJc w:val="right"/>
      <w:pPr>
        <w:ind w:left="2095" w:hanging="180"/>
      </w:pPr>
    </w:lvl>
    <w:lvl w:ilvl="3" w:tplc="FFFFFFFF" w:tentative="1">
      <w:start w:val="1"/>
      <w:numFmt w:val="decimal"/>
      <w:lvlText w:val="%4."/>
      <w:lvlJc w:val="left"/>
      <w:pPr>
        <w:ind w:left="2815" w:hanging="360"/>
      </w:pPr>
    </w:lvl>
    <w:lvl w:ilvl="4" w:tplc="FFFFFFFF" w:tentative="1">
      <w:start w:val="1"/>
      <w:numFmt w:val="lowerLetter"/>
      <w:lvlText w:val="%5."/>
      <w:lvlJc w:val="left"/>
      <w:pPr>
        <w:ind w:left="3535" w:hanging="360"/>
      </w:pPr>
    </w:lvl>
    <w:lvl w:ilvl="5" w:tplc="FFFFFFFF" w:tentative="1">
      <w:start w:val="1"/>
      <w:numFmt w:val="lowerRoman"/>
      <w:lvlText w:val="%6."/>
      <w:lvlJc w:val="right"/>
      <w:pPr>
        <w:ind w:left="4255" w:hanging="180"/>
      </w:pPr>
    </w:lvl>
    <w:lvl w:ilvl="6" w:tplc="FFFFFFFF" w:tentative="1">
      <w:start w:val="1"/>
      <w:numFmt w:val="decimal"/>
      <w:lvlText w:val="%7."/>
      <w:lvlJc w:val="left"/>
      <w:pPr>
        <w:ind w:left="4975" w:hanging="360"/>
      </w:pPr>
    </w:lvl>
    <w:lvl w:ilvl="7" w:tplc="FFFFFFFF" w:tentative="1">
      <w:start w:val="1"/>
      <w:numFmt w:val="lowerLetter"/>
      <w:lvlText w:val="%8."/>
      <w:lvlJc w:val="left"/>
      <w:pPr>
        <w:ind w:left="5695" w:hanging="360"/>
      </w:pPr>
    </w:lvl>
    <w:lvl w:ilvl="8" w:tplc="FFFFFFFF" w:tentative="1">
      <w:start w:val="1"/>
      <w:numFmt w:val="lowerRoman"/>
      <w:lvlText w:val="%9."/>
      <w:lvlJc w:val="right"/>
      <w:pPr>
        <w:ind w:left="6415" w:hanging="180"/>
      </w:pPr>
    </w:lvl>
  </w:abstractNum>
  <w:abstractNum w:abstractNumId="69" w15:restartNumberingAfterBreak="0">
    <w:nsid w:val="183726BE"/>
    <w:multiLevelType w:val="hybridMultilevel"/>
    <w:tmpl w:val="0F32418C"/>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0" w15:restartNumberingAfterBreak="0">
    <w:nsid w:val="188A2745"/>
    <w:multiLevelType w:val="hybridMultilevel"/>
    <w:tmpl w:val="98880BE6"/>
    <w:lvl w:ilvl="0" w:tplc="DB7CDF64">
      <w:start w:val="1"/>
      <w:numFmt w:val="lowerLetter"/>
      <w:lvlText w:val="(%1)"/>
      <w:lvlJc w:val="left"/>
      <w:pPr>
        <w:ind w:left="3090" w:hanging="360"/>
      </w:pPr>
      <w:rPr>
        <w:rFonts w:cs="Times New Roman" w:hint="default"/>
        <w:i w:val="0"/>
        <w:strike w:val="0"/>
        <w:color w:val="auto"/>
        <w:kern w:val="24"/>
      </w:rPr>
    </w:lvl>
    <w:lvl w:ilvl="1" w:tplc="04090019" w:tentative="1">
      <w:start w:val="1"/>
      <w:numFmt w:val="lowerLetter"/>
      <w:lvlText w:val="%2."/>
      <w:lvlJc w:val="left"/>
      <w:pPr>
        <w:ind w:left="3810" w:hanging="360"/>
      </w:pPr>
    </w:lvl>
    <w:lvl w:ilvl="2" w:tplc="0409001B" w:tentative="1">
      <w:start w:val="1"/>
      <w:numFmt w:val="lowerRoman"/>
      <w:lvlText w:val="%3."/>
      <w:lvlJc w:val="right"/>
      <w:pPr>
        <w:ind w:left="4530" w:hanging="180"/>
      </w:pPr>
    </w:lvl>
    <w:lvl w:ilvl="3" w:tplc="0409000F" w:tentative="1">
      <w:start w:val="1"/>
      <w:numFmt w:val="decimal"/>
      <w:lvlText w:val="%4."/>
      <w:lvlJc w:val="left"/>
      <w:pPr>
        <w:ind w:left="5250" w:hanging="360"/>
      </w:pPr>
    </w:lvl>
    <w:lvl w:ilvl="4" w:tplc="04090019" w:tentative="1">
      <w:start w:val="1"/>
      <w:numFmt w:val="lowerLetter"/>
      <w:lvlText w:val="%5."/>
      <w:lvlJc w:val="left"/>
      <w:pPr>
        <w:ind w:left="5970" w:hanging="360"/>
      </w:pPr>
    </w:lvl>
    <w:lvl w:ilvl="5" w:tplc="0409001B" w:tentative="1">
      <w:start w:val="1"/>
      <w:numFmt w:val="lowerRoman"/>
      <w:lvlText w:val="%6."/>
      <w:lvlJc w:val="right"/>
      <w:pPr>
        <w:ind w:left="6690" w:hanging="180"/>
      </w:pPr>
    </w:lvl>
    <w:lvl w:ilvl="6" w:tplc="0409000F" w:tentative="1">
      <w:start w:val="1"/>
      <w:numFmt w:val="decimal"/>
      <w:lvlText w:val="%7."/>
      <w:lvlJc w:val="left"/>
      <w:pPr>
        <w:ind w:left="7410" w:hanging="360"/>
      </w:pPr>
    </w:lvl>
    <w:lvl w:ilvl="7" w:tplc="04090019" w:tentative="1">
      <w:start w:val="1"/>
      <w:numFmt w:val="lowerLetter"/>
      <w:lvlText w:val="%8."/>
      <w:lvlJc w:val="left"/>
      <w:pPr>
        <w:ind w:left="8130" w:hanging="360"/>
      </w:pPr>
    </w:lvl>
    <w:lvl w:ilvl="8" w:tplc="0409001B" w:tentative="1">
      <w:start w:val="1"/>
      <w:numFmt w:val="lowerRoman"/>
      <w:lvlText w:val="%9."/>
      <w:lvlJc w:val="right"/>
      <w:pPr>
        <w:ind w:left="8850" w:hanging="180"/>
      </w:pPr>
    </w:lvl>
  </w:abstractNum>
  <w:abstractNum w:abstractNumId="71" w15:restartNumberingAfterBreak="0">
    <w:nsid w:val="18C91930"/>
    <w:multiLevelType w:val="hybridMultilevel"/>
    <w:tmpl w:val="D29AE556"/>
    <w:lvl w:ilvl="0" w:tplc="AC42FEE2">
      <w:start w:val="1"/>
      <w:numFmt w:val="decimal"/>
      <w:lvlText w:val="(%1)"/>
      <w:lvlJc w:val="left"/>
      <w:pPr>
        <w:ind w:left="720" w:hanging="360"/>
      </w:pPr>
      <w:rPr>
        <w:rFonts w:hint="default"/>
        <w:b w:val="0"/>
        <w:bCs w:val="0"/>
        <w:color w:val="auto"/>
        <w:spacing w:val="-1"/>
        <w:w w:val="101"/>
        <w:sz w:val="24"/>
        <w:szCs w:val="24"/>
        <w:lang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19743773"/>
    <w:multiLevelType w:val="hybridMultilevel"/>
    <w:tmpl w:val="B6427948"/>
    <w:lvl w:ilvl="0" w:tplc="30A8F914">
      <w:start w:val="1"/>
      <w:numFmt w:val="decimal"/>
      <w:lvlText w:val="(%1)"/>
      <w:lvlJc w:val="right"/>
      <w:pPr>
        <w:ind w:left="3090" w:hanging="360"/>
      </w:pPr>
      <w:rPr>
        <w:rFonts w:hint="default"/>
        <w:color w:val="000000" w:themeColor="text1"/>
      </w:rPr>
    </w:lvl>
    <w:lvl w:ilvl="1" w:tplc="FFFFFFFF" w:tentative="1">
      <w:start w:val="1"/>
      <w:numFmt w:val="lowerLetter"/>
      <w:lvlText w:val="%2."/>
      <w:lvlJc w:val="left"/>
      <w:pPr>
        <w:ind w:left="3810" w:hanging="360"/>
      </w:pPr>
    </w:lvl>
    <w:lvl w:ilvl="2" w:tplc="FFFFFFFF" w:tentative="1">
      <w:start w:val="1"/>
      <w:numFmt w:val="lowerRoman"/>
      <w:lvlText w:val="%3."/>
      <w:lvlJc w:val="right"/>
      <w:pPr>
        <w:ind w:left="4530" w:hanging="180"/>
      </w:pPr>
    </w:lvl>
    <w:lvl w:ilvl="3" w:tplc="FFFFFFFF" w:tentative="1">
      <w:start w:val="1"/>
      <w:numFmt w:val="decimal"/>
      <w:lvlText w:val="%4."/>
      <w:lvlJc w:val="left"/>
      <w:pPr>
        <w:ind w:left="5250" w:hanging="360"/>
      </w:pPr>
    </w:lvl>
    <w:lvl w:ilvl="4" w:tplc="FFFFFFFF" w:tentative="1">
      <w:start w:val="1"/>
      <w:numFmt w:val="lowerLetter"/>
      <w:lvlText w:val="%5."/>
      <w:lvlJc w:val="left"/>
      <w:pPr>
        <w:ind w:left="5970" w:hanging="360"/>
      </w:pPr>
    </w:lvl>
    <w:lvl w:ilvl="5" w:tplc="FFFFFFFF" w:tentative="1">
      <w:start w:val="1"/>
      <w:numFmt w:val="lowerRoman"/>
      <w:lvlText w:val="%6."/>
      <w:lvlJc w:val="right"/>
      <w:pPr>
        <w:ind w:left="6690" w:hanging="180"/>
      </w:pPr>
    </w:lvl>
    <w:lvl w:ilvl="6" w:tplc="FFFFFFFF" w:tentative="1">
      <w:start w:val="1"/>
      <w:numFmt w:val="decimal"/>
      <w:lvlText w:val="%7."/>
      <w:lvlJc w:val="left"/>
      <w:pPr>
        <w:ind w:left="7410" w:hanging="360"/>
      </w:pPr>
    </w:lvl>
    <w:lvl w:ilvl="7" w:tplc="FFFFFFFF" w:tentative="1">
      <w:start w:val="1"/>
      <w:numFmt w:val="lowerLetter"/>
      <w:lvlText w:val="%8."/>
      <w:lvlJc w:val="left"/>
      <w:pPr>
        <w:ind w:left="8130" w:hanging="360"/>
      </w:pPr>
    </w:lvl>
    <w:lvl w:ilvl="8" w:tplc="FFFFFFFF" w:tentative="1">
      <w:start w:val="1"/>
      <w:numFmt w:val="lowerRoman"/>
      <w:lvlText w:val="%9."/>
      <w:lvlJc w:val="right"/>
      <w:pPr>
        <w:ind w:left="8850" w:hanging="180"/>
      </w:pPr>
    </w:lvl>
  </w:abstractNum>
  <w:abstractNum w:abstractNumId="73" w15:restartNumberingAfterBreak="0">
    <w:nsid w:val="1A9321AF"/>
    <w:multiLevelType w:val="hybridMultilevel"/>
    <w:tmpl w:val="D8CEFD16"/>
    <w:lvl w:ilvl="0" w:tplc="3C22562A">
      <w:start w:val="1"/>
      <w:numFmt w:val="decimal"/>
      <w:lvlText w:val="%1."/>
      <w:lvlJc w:val="left"/>
      <w:pPr>
        <w:ind w:left="1084" w:hanging="360"/>
      </w:pPr>
      <w:rPr>
        <w:rFonts w:hint="default"/>
      </w:rPr>
    </w:lvl>
    <w:lvl w:ilvl="1" w:tplc="38090019" w:tentative="1">
      <w:start w:val="1"/>
      <w:numFmt w:val="lowerLetter"/>
      <w:lvlText w:val="%2."/>
      <w:lvlJc w:val="left"/>
      <w:pPr>
        <w:ind w:left="877" w:hanging="360"/>
      </w:pPr>
    </w:lvl>
    <w:lvl w:ilvl="2" w:tplc="3809001B" w:tentative="1">
      <w:start w:val="1"/>
      <w:numFmt w:val="lowerRoman"/>
      <w:lvlText w:val="%3."/>
      <w:lvlJc w:val="right"/>
      <w:pPr>
        <w:ind w:left="1597" w:hanging="180"/>
      </w:pPr>
    </w:lvl>
    <w:lvl w:ilvl="3" w:tplc="3809000F" w:tentative="1">
      <w:start w:val="1"/>
      <w:numFmt w:val="decimal"/>
      <w:lvlText w:val="%4."/>
      <w:lvlJc w:val="left"/>
      <w:pPr>
        <w:ind w:left="2317" w:hanging="360"/>
      </w:pPr>
    </w:lvl>
    <w:lvl w:ilvl="4" w:tplc="38090019" w:tentative="1">
      <w:start w:val="1"/>
      <w:numFmt w:val="lowerLetter"/>
      <w:lvlText w:val="%5."/>
      <w:lvlJc w:val="left"/>
      <w:pPr>
        <w:ind w:left="3037" w:hanging="360"/>
      </w:pPr>
    </w:lvl>
    <w:lvl w:ilvl="5" w:tplc="3809001B" w:tentative="1">
      <w:start w:val="1"/>
      <w:numFmt w:val="lowerRoman"/>
      <w:lvlText w:val="%6."/>
      <w:lvlJc w:val="right"/>
      <w:pPr>
        <w:ind w:left="3757" w:hanging="180"/>
      </w:pPr>
    </w:lvl>
    <w:lvl w:ilvl="6" w:tplc="3809000F" w:tentative="1">
      <w:start w:val="1"/>
      <w:numFmt w:val="decimal"/>
      <w:lvlText w:val="%7."/>
      <w:lvlJc w:val="left"/>
      <w:pPr>
        <w:ind w:left="4477" w:hanging="360"/>
      </w:pPr>
    </w:lvl>
    <w:lvl w:ilvl="7" w:tplc="38090019" w:tentative="1">
      <w:start w:val="1"/>
      <w:numFmt w:val="lowerLetter"/>
      <w:lvlText w:val="%8."/>
      <w:lvlJc w:val="left"/>
      <w:pPr>
        <w:ind w:left="5197" w:hanging="360"/>
      </w:pPr>
    </w:lvl>
    <w:lvl w:ilvl="8" w:tplc="3809001B" w:tentative="1">
      <w:start w:val="1"/>
      <w:numFmt w:val="lowerRoman"/>
      <w:lvlText w:val="%9."/>
      <w:lvlJc w:val="right"/>
      <w:pPr>
        <w:ind w:left="5917" w:hanging="180"/>
      </w:pPr>
    </w:lvl>
  </w:abstractNum>
  <w:abstractNum w:abstractNumId="74" w15:restartNumberingAfterBreak="0">
    <w:nsid w:val="1B3B5EF6"/>
    <w:multiLevelType w:val="hybridMultilevel"/>
    <w:tmpl w:val="85FA3BDE"/>
    <w:lvl w:ilvl="0" w:tplc="04210011">
      <w:start w:val="1"/>
      <w:numFmt w:val="decimal"/>
      <w:lvlText w:val="%1)"/>
      <w:lvlJc w:val="left"/>
      <w:pPr>
        <w:ind w:left="2004" w:hanging="360"/>
      </w:pPr>
      <w:rPr>
        <w:rFonts w:hint="default"/>
        <w:color w:val="auto"/>
        <w:sz w:val="24"/>
        <w:szCs w:val="24"/>
      </w:rPr>
    </w:lvl>
    <w:lvl w:ilvl="1" w:tplc="FFFFFFFF" w:tentative="1">
      <w:start w:val="1"/>
      <w:numFmt w:val="lowerLetter"/>
      <w:lvlText w:val="%2."/>
      <w:lvlJc w:val="left"/>
      <w:pPr>
        <w:ind w:left="2724" w:hanging="360"/>
      </w:pPr>
    </w:lvl>
    <w:lvl w:ilvl="2" w:tplc="FFFFFFFF" w:tentative="1">
      <w:start w:val="1"/>
      <w:numFmt w:val="lowerRoman"/>
      <w:lvlText w:val="%3."/>
      <w:lvlJc w:val="right"/>
      <w:pPr>
        <w:ind w:left="3444" w:hanging="180"/>
      </w:pPr>
    </w:lvl>
    <w:lvl w:ilvl="3" w:tplc="FFFFFFFF" w:tentative="1">
      <w:start w:val="1"/>
      <w:numFmt w:val="decimal"/>
      <w:lvlText w:val="%4."/>
      <w:lvlJc w:val="left"/>
      <w:pPr>
        <w:ind w:left="4164" w:hanging="360"/>
      </w:pPr>
    </w:lvl>
    <w:lvl w:ilvl="4" w:tplc="FFFFFFFF" w:tentative="1">
      <w:start w:val="1"/>
      <w:numFmt w:val="lowerLetter"/>
      <w:lvlText w:val="%5."/>
      <w:lvlJc w:val="left"/>
      <w:pPr>
        <w:ind w:left="4884" w:hanging="360"/>
      </w:pPr>
    </w:lvl>
    <w:lvl w:ilvl="5" w:tplc="FFFFFFFF" w:tentative="1">
      <w:start w:val="1"/>
      <w:numFmt w:val="lowerRoman"/>
      <w:lvlText w:val="%6."/>
      <w:lvlJc w:val="right"/>
      <w:pPr>
        <w:ind w:left="5604" w:hanging="180"/>
      </w:pPr>
    </w:lvl>
    <w:lvl w:ilvl="6" w:tplc="FFFFFFFF" w:tentative="1">
      <w:start w:val="1"/>
      <w:numFmt w:val="decimal"/>
      <w:lvlText w:val="%7."/>
      <w:lvlJc w:val="left"/>
      <w:pPr>
        <w:ind w:left="6324" w:hanging="360"/>
      </w:pPr>
    </w:lvl>
    <w:lvl w:ilvl="7" w:tplc="FFFFFFFF" w:tentative="1">
      <w:start w:val="1"/>
      <w:numFmt w:val="lowerLetter"/>
      <w:lvlText w:val="%8."/>
      <w:lvlJc w:val="left"/>
      <w:pPr>
        <w:ind w:left="7044" w:hanging="360"/>
      </w:pPr>
    </w:lvl>
    <w:lvl w:ilvl="8" w:tplc="FFFFFFFF" w:tentative="1">
      <w:start w:val="1"/>
      <w:numFmt w:val="lowerRoman"/>
      <w:lvlText w:val="%9."/>
      <w:lvlJc w:val="right"/>
      <w:pPr>
        <w:ind w:left="7764" w:hanging="180"/>
      </w:pPr>
    </w:lvl>
  </w:abstractNum>
  <w:abstractNum w:abstractNumId="75" w15:restartNumberingAfterBreak="0">
    <w:nsid w:val="1B8C0698"/>
    <w:multiLevelType w:val="hybridMultilevel"/>
    <w:tmpl w:val="A858B11A"/>
    <w:lvl w:ilvl="0" w:tplc="3809000F">
      <w:start w:val="1"/>
      <w:numFmt w:val="decimal"/>
      <w:lvlText w:val="%1."/>
      <w:lvlJc w:val="left"/>
      <w:pPr>
        <w:ind w:left="1102" w:hanging="360"/>
      </w:pPr>
      <w:rPr>
        <w:color w:val="auto"/>
      </w:rPr>
    </w:lvl>
    <w:lvl w:ilvl="1" w:tplc="04090019" w:tentative="1">
      <w:start w:val="1"/>
      <w:numFmt w:val="lowerLetter"/>
      <w:lvlText w:val="%2."/>
      <w:lvlJc w:val="left"/>
      <w:pPr>
        <w:ind w:left="1822" w:hanging="360"/>
      </w:pPr>
    </w:lvl>
    <w:lvl w:ilvl="2" w:tplc="0409001B" w:tentative="1">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abstractNum w:abstractNumId="76" w15:restartNumberingAfterBreak="0">
    <w:nsid w:val="1C132916"/>
    <w:multiLevelType w:val="hybridMultilevel"/>
    <w:tmpl w:val="E5323BA8"/>
    <w:lvl w:ilvl="0" w:tplc="FE3AB24A">
      <w:start w:val="1"/>
      <w:numFmt w:val="lowerLetter"/>
      <w:lvlText w:val="%1)"/>
      <w:lvlJc w:val="left"/>
      <w:pPr>
        <w:ind w:left="2458" w:hanging="810"/>
      </w:pPr>
      <w:rPr>
        <w:rFonts w:hint="default"/>
      </w:rPr>
    </w:lvl>
    <w:lvl w:ilvl="1" w:tplc="38090019" w:tentative="1">
      <w:start w:val="1"/>
      <w:numFmt w:val="lowerLetter"/>
      <w:lvlText w:val="%2."/>
      <w:lvlJc w:val="left"/>
      <w:pPr>
        <w:ind w:left="1375" w:hanging="360"/>
      </w:pPr>
    </w:lvl>
    <w:lvl w:ilvl="2" w:tplc="3809001B" w:tentative="1">
      <w:start w:val="1"/>
      <w:numFmt w:val="lowerRoman"/>
      <w:lvlText w:val="%3."/>
      <w:lvlJc w:val="right"/>
      <w:pPr>
        <w:ind w:left="2095" w:hanging="180"/>
      </w:pPr>
    </w:lvl>
    <w:lvl w:ilvl="3" w:tplc="3809000F" w:tentative="1">
      <w:start w:val="1"/>
      <w:numFmt w:val="decimal"/>
      <w:lvlText w:val="%4."/>
      <w:lvlJc w:val="left"/>
      <w:pPr>
        <w:ind w:left="2815" w:hanging="360"/>
      </w:pPr>
    </w:lvl>
    <w:lvl w:ilvl="4" w:tplc="38090019" w:tentative="1">
      <w:start w:val="1"/>
      <w:numFmt w:val="lowerLetter"/>
      <w:lvlText w:val="%5."/>
      <w:lvlJc w:val="left"/>
      <w:pPr>
        <w:ind w:left="3535" w:hanging="360"/>
      </w:pPr>
    </w:lvl>
    <w:lvl w:ilvl="5" w:tplc="3809001B" w:tentative="1">
      <w:start w:val="1"/>
      <w:numFmt w:val="lowerRoman"/>
      <w:lvlText w:val="%6."/>
      <w:lvlJc w:val="right"/>
      <w:pPr>
        <w:ind w:left="4255" w:hanging="180"/>
      </w:pPr>
    </w:lvl>
    <w:lvl w:ilvl="6" w:tplc="3809000F" w:tentative="1">
      <w:start w:val="1"/>
      <w:numFmt w:val="decimal"/>
      <w:lvlText w:val="%7."/>
      <w:lvlJc w:val="left"/>
      <w:pPr>
        <w:ind w:left="4975" w:hanging="360"/>
      </w:pPr>
    </w:lvl>
    <w:lvl w:ilvl="7" w:tplc="38090019" w:tentative="1">
      <w:start w:val="1"/>
      <w:numFmt w:val="lowerLetter"/>
      <w:lvlText w:val="%8."/>
      <w:lvlJc w:val="left"/>
      <w:pPr>
        <w:ind w:left="5695" w:hanging="360"/>
      </w:pPr>
    </w:lvl>
    <w:lvl w:ilvl="8" w:tplc="3809001B" w:tentative="1">
      <w:start w:val="1"/>
      <w:numFmt w:val="lowerRoman"/>
      <w:lvlText w:val="%9."/>
      <w:lvlJc w:val="right"/>
      <w:pPr>
        <w:ind w:left="6415" w:hanging="180"/>
      </w:pPr>
    </w:lvl>
  </w:abstractNum>
  <w:abstractNum w:abstractNumId="77" w15:restartNumberingAfterBreak="0">
    <w:nsid w:val="1CD308FD"/>
    <w:multiLevelType w:val="hybridMultilevel"/>
    <w:tmpl w:val="2EF27AA2"/>
    <w:lvl w:ilvl="0" w:tplc="FFFFFFFF">
      <w:start w:val="1"/>
      <w:numFmt w:val="lowerLetter"/>
      <w:lvlText w:val="(%1)"/>
      <w:lvlJc w:val="left"/>
      <w:pPr>
        <w:ind w:left="3254" w:hanging="360"/>
      </w:pPr>
      <w:rPr>
        <w:rFonts w:cs="Times New Roman" w:hint="default"/>
        <w:i w:val="0"/>
        <w:strike w:val="0"/>
        <w:color w:val="auto"/>
        <w:kern w:val="24"/>
      </w:rPr>
    </w:lvl>
    <w:lvl w:ilvl="1" w:tplc="FFFFFFFF" w:tentative="1">
      <w:start w:val="1"/>
      <w:numFmt w:val="lowerLetter"/>
      <w:lvlText w:val="%2."/>
      <w:lvlJc w:val="left"/>
      <w:pPr>
        <w:ind w:left="3974" w:hanging="360"/>
      </w:pPr>
    </w:lvl>
    <w:lvl w:ilvl="2" w:tplc="FFFFFFFF" w:tentative="1">
      <w:start w:val="1"/>
      <w:numFmt w:val="lowerRoman"/>
      <w:lvlText w:val="%3."/>
      <w:lvlJc w:val="right"/>
      <w:pPr>
        <w:ind w:left="4694" w:hanging="180"/>
      </w:pPr>
    </w:lvl>
    <w:lvl w:ilvl="3" w:tplc="FFFFFFFF" w:tentative="1">
      <w:start w:val="1"/>
      <w:numFmt w:val="decimal"/>
      <w:lvlText w:val="%4."/>
      <w:lvlJc w:val="left"/>
      <w:pPr>
        <w:ind w:left="5414" w:hanging="360"/>
      </w:pPr>
    </w:lvl>
    <w:lvl w:ilvl="4" w:tplc="FFFFFFFF" w:tentative="1">
      <w:start w:val="1"/>
      <w:numFmt w:val="lowerLetter"/>
      <w:lvlText w:val="%5."/>
      <w:lvlJc w:val="left"/>
      <w:pPr>
        <w:ind w:left="6134" w:hanging="360"/>
      </w:pPr>
    </w:lvl>
    <w:lvl w:ilvl="5" w:tplc="FFFFFFFF" w:tentative="1">
      <w:start w:val="1"/>
      <w:numFmt w:val="lowerRoman"/>
      <w:lvlText w:val="%6."/>
      <w:lvlJc w:val="right"/>
      <w:pPr>
        <w:ind w:left="6854" w:hanging="180"/>
      </w:pPr>
    </w:lvl>
    <w:lvl w:ilvl="6" w:tplc="FFFFFFFF" w:tentative="1">
      <w:start w:val="1"/>
      <w:numFmt w:val="decimal"/>
      <w:lvlText w:val="%7."/>
      <w:lvlJc w:val="left"/>
      <w:pPr>
        <w:ind w:left="7574" w:hanging="360"/>
      </w:pPr>
    </w:lvl>
    <w:lvl w:ilvl="7" w:tplc="FFFFFFFF" w:tentative="1">
      <w:start w:val="1"/>
      <w:numFmt w:val="lowerLetter"/>
      <w:lvlText w:val="%8."/>
      <w:lvlJc w:val="left"/>
      <w:pPr>
        <w:ind w:left="8294" w:hanging="360"/>
      </w:pPr>
    </w:lvl>
    <w:lvl w:ilvl="8" w:tplc="FFFFFFFF" w:tentative="1">
      <w:start w:val="1"/>
      <w:numFmt w:val="lowerRoman"/>
      <w:lvlText w:val="%9."/>
      <w:lvlJc w:val="right"/>
      <w:pPr>
        <w:ind w:left="9014" w:hanging="180"/>
      </w:pPr>
    </w:lvl>
  </w:abstractNum>
  <w:abstractNum w:abstractNumId="78" w15:restartNumberingAfterBreak="0">
    <w:nsid w:val="1E80435E"/>
    <w:multiLevelType w:val="hybridMultilevel"/>
    <w:tmpl w:val="06AA07EC"/>
    <w:lvl w:ilvl="0" w:tplc="FFFFFFFF">
      <w:start w:val="1"/>
      <w:numFmt w:val="lowerLetter"/>
      <w:lvlText w:val="%1)"/>
      <w:lvlJc w:val="left"/>
      <w:pPr>
        <w:ind w:left="2203" w:hanging="360"/>
      </w:pPr>
      <w:rPr>
        <w:rFonts w:hint="default"/>
      </w:rPr>
    </w:lvl>
    <w:lvl w:ilvl="1" w:tplc="FFFFFFFF" w:tentative="1">
      <w:start w:val="1"/>
      <w:numFmt w:val="bullet"/>
      <w:lvlText w:val="o"/>
      <w:lvlJc w:val="left"/>
      <w:pPr>
        <w:ind w:left="2923" w:hanging="360"/>
      </w:pPr>
      <w:rPr>
        <w:rFonts w:ascii="Courier New" w:hAnsi="Courier New" w:cs="Courier New" w:hint="default"/>
      </w:rPr>
    </w:lvl>
    <w:lvl w:ilvl="2" w:tplc="FFFFFFFF" w:tentative="1">
      <w:start w:val="1"/>
      <w:numFmt w:val="bullet"/>
      <w:lvlText w:val=""/>
      <w:lvlJc w:val="left"/>
      <w:pPr>
        <w:ind w:left="3643" w:hanging="360"/>
      </w:pPr>
      <w:rPr>
        <w:rFonts w:ascii="Wingdings" w:hAnsi="Wingdings" w:hint="default"/>
      </w:rPr>
    </w:lvl>
    <w:lvl w:ilvl="3" w:tplc="FFFFFFFF" w:tentative="1">
      <w:start w:val="1"/>
      <w:numFmt w:val="bullet"/>
      <w:lvlText w:val=""/>
      <w:lvlJc w:val="left"/>
      <w:pPr>
        <w:ind w:left="4363" w:hanging="360"/>
      </w:pPr>
      <w:rPr>
        <w:rFonts w:ascii="Symbol" w:hAnsi="Symbol" w:hint="default"/>
      </w:rPr>
    </w:lvl>
    <w:lvl w:ilvl="4" w:tplc="FFFFFFFF" w:tentative="1">
      <w:start w:val="1"/>
      <w:numFmt w:val="bullet"/>
      <w:lvlText w:val="o"/>
      <w:lvlJc w:val="left"/>
      <w:pPr>
        <w:ind w:left="5083" w:hanging="360"/>
      </w:pPr>
      <w:rPr>
        <w:rFonts w:ascii="Courier New" w:hAnsi="Courier New" w:cs="Courier New" w:hint="default"/>
      </w:rPr>
    </w:lvl>
    <w:lvl w:ilvl="5" w:tplc="FFFFFFFF" w:tentative="1">
      <w:start w:val="1"/>
      <w:numFmt w:val="bullet"/>
      <w:lvlText w:val=""/>
      <w:lvlJc w:val="left"/>
      <w:pPr>
        <w:ind w:left="5803" w:hanging="360"/>
      </w:pPr>
      <w:rPr>
        <w:rFonts w:ascii="Wingdings" w:hAnsi="Wingdings" w:hint="default"/>
      </w:rPr>
    </w:lvl>
    <w:lvl w:ilvl="6" w:tplc="FFFFFFFF" w:tentative="1">
      <w:start w:val="1"/>
      <w:numFmt w:val="bullet"/>
      <w:lvlText w:val=""/>
      <w:lvlJc w:val="left"/>
      <w:pPr>
        <w:ind w:left="6523" w:hanging="360"/>
      </w:pPr>
      <w:rPr>
        <w:rFonts w:ascii="Symbol" w:hAnsi="Symbol" w:hint="default"/>
      </w:rPr>
    </w:lvl>
    <w:lvl w:ilvl="7" w:tplc="FFFFFFFF" w:tentative="1">
      <w:start w:val="1"/>
      <w:numFmt w:val="bullet"/>
      <w:lvlText w:val="o"/>
      <w:lvlJc w:val="left"/>
      <w:pPr>
        <w:ind w:left="7243" w:hanging="360"/>
      </w:pPr>
      <w:rPr>
        <w:rFonts w:ascii="Courier New" w:hAnsi="Courier New" w:cs="Courier New" w:hint="default"/>
      </w:rPr>
    </w:lvl>
    <w:lvl w:ilvl="8" w:tplc="FFFFFFFF" w:tentative="1">
      <w:start w:val="1"/>
      <w:numFmt w:val="bullet"/>
      <w:lvlText w:val=""/>
      <w:lvlJc w:val="left"/>
      <w:pPr>
        <w:ind w:left="7963" w:hanging="360"/>
      </w:pPr>
      <w:rPr>
        <w:rFonts w:ascii="Wingdings" w:hAnsi="Wingdings" w:hint="default"/>
      </w:rPr>
    </w:lvl>
  </w:abstractNum>
  <w:abstractNum w:abstractNumId="79" w15:restartNumberingAfterBreak="0">
    <w:nsid w:val="1ECF10A4"/>
    <w:multiLevelType w:val="hybridMultilevel"/>
    <w:tmpl w:val="FA1E02D8"/>
    <w:lvl w:ilvl="0" w:tplc="892CF81E">
      <w:start w:val="1"/>
      <w:numFmt w:val="decimal"/>
      <w:lvlText w:val="(%1)"/>
      <w:lvlJc w:val="right"/>
      <w:pPr>
        <w:ind w:left="3090" w:hanging="360"/>
      </w:pPr>
      <w:rPr>
        <w:rFonts w:hint="default"/>
        <w:color w:val="auto"/>
      </w:rPr>
    </w:lvl>
    <w:lvl w:ilvl="1" w:tplc="04090019" w:tentative="1">
      <w:start w:val="1"/>
      <w:numFmt w:val="lowerLetter"/>
      <w:lvlText w:val="%2."/>
      <w:lvlJc w:val="left"/>
      <w:pPr>
        <w:ind w:left="3810" w:hanging="360"/>
      </w:pPr>
    </w:lvl>
    <w:lvl w:ilvl="2" w:tplc="0409001B" w:tentative="1">
      <w:start w:val="1"/>
      <w:numFmt w:val="lowerRoman"/>
      <w:lvlText w:val="%3."/>
      <w:lvlJc w:val="right"/>
      <w:pPr>
        <w:ind w:left="4530" w:hanging="180"/>
      </w:pPr>
    </w:lvl>
    <w:lvl w:ilvl="3" w:tplc="0409000F" w:tentative="1">
      <w:start w:val="1"/>
      <w:numFmt w:val="decimal"/>
      <w:lvlText w:val="%4."/>
      <w:lvlJc w:val="left"/>
      <w:pPr>
        <w:ind w:left="5250" w:hanging="360"/>
      </w:pPr>
    </w:lvl>
    <w:lvl w:ilvl="4" w:tplc="04090019" w:tentative="1">
      <w:start w:val="1"/>
      <w:numFmt w:val="lowerLetter"/>
      <w:lvlText w:val="%5."/>
      <w:lvlJc w:val="left"/>
      <w:pPr>
        <w:ind w:left="5970" w:hanging="360"/>
      </w:pPr>
    </w:lvl>
    <w:lvl w:ilvl="5" w:tplc="0409001B" w:tentative="1">
      <w:start w:val="1"/>
      <w:numFmt w:val="lowerRoman"/>
      <w:lvlText w:val="%6."/>
      <w:lvlJc w:val="right"/>
      <w:pPr>
        <w:ind w:left="6690" w:hanging="180"/>
      </w:pPr>
    </w:lvl>
    <w:lvl w:ilvl="6" w:tplc="0409000F" w:tentative="1">
      <w:start w:val="1"/>
      <w:numFmt w:val="decimal"/>
      <w:lvlText w:val="%7."/>
      <w:lvlJc w:val="left"/>
      <w:pPr>
        <w:ind w:left="7410" w:hanging="360"/>
      </w:pPr>
    </w:lvl>
    <w:lvl w:ilvl="7" w:tplc="04090019" w:tentative="1">
      <w:start w:val="1"/>
      <w:numFmt w:val="lowerLetter"/>
      <w:lvlText w:val="%8."/>
      <w:lvlJc w:val="left"/>
      <w:pPr>
        <w:ind w:left="8130" w:hanging="360"/>
      </w:pPr>
    </w:lvl>
    <w:lvl w:ilvl="8" w:tplc="0409001B" w:tentative="1">
      <w:start w:val="1"/>
      <w:numFmt w:val="lowerRoman"/>
      <w:lvlText w:val="%9."/>
      <w:lvlJc w:val="right"/>
      <w:pPr>
        <w:ind w:left="8850" w:hanging="180"/>
      </w:pPr>
    </w:lvl>
  </w:abstractNum>
  <w:abstractNum w:abstractNumId="80" w15:restartNumberingAfterBreak="0">
    <w:nsid w:val="1F0958CD"/>
    <w:multiLevelType w:val="hybridMultilevel"/>
    <w:tmpl w:val="7494CAF0"/>
    <w:lvl w:ilvl="0" w:tplc="0409000F">
      <w:start w:val="1"/>
      <w:numFmt w:val="decimal"/>
      <w:lvlText w:val="%1."/>
      <w:lvlJc w:val="left"/>
      <w:pPr>
        <w:ind w:left="1080" w:hanging="360"/>
      </w:pPr>
      <w:rPr>
        <w:strike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1FC756D4"/>
    <w:multiLevelType w:val="hybridMultilevel"/>
    <w:tmpl w:val="09F68046"/>
    <w:lvl w:ilvl="0" w:tplc="38090011">
      <w:start w:val="1"/>
      <w:numFmt w:val="decimal"/>
      <w:lvlText w:val="%1)"/>
      <w:lvlJc w:val="left"/>
      <w:pPr>
        <w:ind w:left="2356" w:hanging="360"/>
      </w:pPr>
    </w:lvl>
    <w:lvl w:ilvl="1" w:tplc="38090019" w:tentative="1">
      <w:start w:val="1"/>
      <w:numFmt w:val="lowerLetter"/>
      <w:lvlText w:val="%2."/>
      <w:lvlJc w:val="left"/>
      <w:pPr>
        <w:ind w:left="3076" w:hanging="360"/>
      </w:pPr>
    </w:lvl>
    <w:lvl w:ilvl="2" w:tplc="3809001B" w:tentative="1">
      <w:start w:val="1"/>
      <w:numFmt w:val="lowerRoman"/>
      <w:lvlText w:val="%3."/>
      <w:lvlJc w:val="right"/>
      <w:pPr>
        <w:ind w:left="3796" w:hanging="180"/>
      </w:pPr>
    </w:lvl>
    <w:lvl w:ilvl="3" w:tplc="3809000F" w:tentative="1">
      <w:start w:val="1"/>
      <w:numFmt w:val="decimal"/>
      <w:lvlText w:val="%4."/>
      <w:lvlJc w:val="left"/>
      <w:pPr>
        <w:ind w:left="4516" w:hanging="360"/>
      </w:pPr>
    </w:lvl>
    <w:lvl w:ilvl="4" w:tplc="38090019" w:tentative="1">
      <w:start w:val="1"/>
      <w:numFmt w:val="lowerLetter"/>
      <w:lvlText w:val="%5."/>
      <w:lvlJc w:val="left"/>
      <w:pPr>
        <w:ind w:left="5236" w:hanging="360"/>
      </w:pPr>
    </w:lvl>
    <w:lvl w:ilvl="5" w:tplc="3809001B" w:tentative="1">
      <w:start w:val="1"/>
      <w:numFmt w:val="lowerRoman"/>
      <w:lvlText w:val="%6."/>
      <w:lvlJc w:val="right"/>
      <w:pPr>
        <w:ind w:left="5956" w:hanging="180"/>
      </w:pPr>
    </w:lvl>
    <w:lvl w:ilvl="6" w:tplc="3809000F" w:tentative="1">
      <w:start w:val="1"/>
      <w:numFmt w:val="decimal"/>
      <w:lvlText w:val="%7."/>
      <w:lvlJc w:val="left"/>
      <w:pPr>
        <w:ind w:left="6676" w:hanging="360"/>
      </w:pPr>
    </w:lvl>
    <w:lvl w:ilvl="7" w:tplc="38090019" w:tentative="1">
      <w:start w:val="1"/>
      <w:numFmt w:val="lowerLetter"/>
      <w:lvlText w:val="%8."/>
      <w:lvlJc w:val="left"/>
      <w:pPr>
        <w:ind w:left="7396" w:hanging="360"/>
      </w:pPr>
    </w:lvl>
    <w:lvl w:ilvl="8" w:tplc="3809001B" w:tentative="1">
      <w:start w:val="1"/>
      <w:numFmt w:val="lowerRoman"/>
      <w:lvlText w:val="%9."/>
      <w:lvlJc w:val="right"/>
      <w:pPr>
        <w:ind w:left="8116" w:hanging="180"/>
      </w:pPr>
    </w:lvl>
  </w:abstractNum>
  <w:abstractNum w:abstractNumId="82" w15:restartNumberingAfterBreak="0">
    <w:nsid w:val="20370539"/>
    <w:multiLevelType w:val="multilevel"/>
    <w:tmpl w:val="FBA6B2CC"/>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83" w15:restartNumberingAfterBreak="0">
    <w:nsid w:val="21487F48"/>
    <w:multiLevelType w:val="hybridMultilevel"/>
    <w:tmpl w:val="6D5CFD4E"/>
    <w:lvl w:ilvl="0" w:tplc="3809000F">
      <w:start w:val="1"/>
      <w:numFmt w:val="decimal"/>
      <w:lvlText w:val="%1."/>
      <w:lvlJc w:val="left"/>
      <w:pPr>
        <w:ind w:left="1647" w:hanging="360"/>
      </w:p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84" w15:restartNumberingAfterBreak="0">
    <w:nsid w:val="21612D23"/>
    <w:multiLevelType w:val="hybridMultilevel"/>
    <w:tmpl w:val="927E83D4"/>
    <w:lvl w:ilvl="0" w:tplc="FFFFFFFF">
      <w:start w:val="1"/>
      <w:numFmt w:val="lowerLetter"/>
      <w:lvlText w:val="%1)"/>
      <w:lvlJc w:val="left"/>
      <w:pPr>
        <w:ind w:left="1713" w:hanging="360"/>
      </w:pPr>
      <w:rPr>
        <w:rFonts w:hint="default"/>
        <w:color w:val="auto"/>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85" w15:restartNumberingAfterBreak="0">
    <w:nsid w:val="219225B1"/>
    <w:multiLevelType w:val="hybridMultilevel"/>
    <w:tmpl w:val="72C0D484"/>
    <w:lvl w:ilvl="0" w:tplc="DB7CDF64">
      <w:start w:val="1"/>
      <w:numFmt w:val="lowerLetter"/>
      <w:lvlText w:val="(%1)"/>
      <w:lvlJc w:val="left"/>
      <w:pPr>
        <w:ind w:left="3240" w:hanging="360"/>
      </w:pPr>
      <w:rPr>
        <w:rFonts w:cs="Times New Roman" w:hint="default"/>
        <w:i w:val="0"/>
        <w:strike w:val="0"/>
        <w:color w:val="auto"/>
        <w:kern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6" w15:restartNumberingAfterBreak="0">
    <w:nsid w:val="21957758"/>
    <w:multiLevelType w:val="hybridMultilevel"/>
    <w:tmpl w:val="9F32EDE4"/>
    <w:lvl w:ilvl="0" w:tplc="FFFFFFFF">
      <w:start w:val="1"/>
      <w:numFmt w:val="decimal"/>
      <w:lvlText w:val="%1)"/>
      <w:lvlJc w:val="left"/>
      <w:pPr>
        <w:ind w:left="2203" w:hanging="360"/>
      </w:pPr>
      <w:rPr>
        <w:rFonts w:hint="default"/>
      </w:rPr>
    </w:lvl>
    <w:lvl w:ilvl="1" w:tplc="FFFFFFFF" w:tentative="1">
      <w:start w:val="1"/>
      <w:numFmt w:val="bullet"/>
      <w:lvlText w:val="o"/>
      <w:lvlJc w:val="left"/>
      <w:pPr>
        <w:ind w:left="2923" w:hanging="360"/>
      </w:pPr>
      <w:rPr>
        <w:rFonts w:ascii="Courier New" w:hAnsi="Courier New" w:cs="Courier New" w:hint="default"/>
      </w:rPr>
    </w:lvl>
    <w:lvl w:ilvl="2" w:tplc="FFFFFFFF" w:tentative="1">
      <w:start w:val="1"/>
      <w:numFmt w:val="bullet"/>
      <w:lvlText w:val=""/>
      <w:lvlJc w:val="left"/>
      <w:pPr>
        <w:ind w:left="3643" w:hanging="360"/>
      </w:pPr>
      <w:rPr>
        <w:rFonts w:ascii="Wingdings" w:hAnsi="Wingdings" w:hint="default"/>
      </w:rPr>
    </w:lvl>
    <w:lvl w:ilvl="3" w:tplc="FFFFFFFF" w:tentative="1">
      <w:start w:val="1"/>
      <w:numFmt w:val="bullet"/>
      <w:lvlText w:val=""/>
      <w:lvlJc w:val="left"/>
      <w:pPr>
        <w:ind w:left="4363" w:hanging="360"/>
      </w:pPr>
      <w:rPr>
        <w:rFonts w:ascii="Symbol" w:hAnsi="Symbol" w:hint="default"/>
      </w:rPr>
    </w:lvl>
    <w:lvl w:ilvl="4" w:tplc="FFFFFFFF" w:tentative="1">
      <w:start w:val="1"/>
      <w:numFmt w:val="bullet"/>
      <w:lvlText w:val="o"/>
      <w:lvlJc w:val="left"/>
      <w:pPr>
        <w:ind w:left="5083" w:hanging="360"/>
      </w:pPr>
      <w:rPr>
        <w:rFonts w:ascii="Courier New" w:hAnsi="Courier New" w:cs="Courier New" w:hint="default"/>
      </w:rPr>
    </w:lvl>
    <w:lvl w:ilvl="5" w:tplc="FFFFFFFF" w:tentative="1">
      <w:start w:val="1"/>
      <w:numFmt w:val="bullet"/>
      <w:lvlText w:val=""/>
      <w:lvlJc w:val="left"/>
      <w:pPr>
        <w:ind w:left="5803" w:hanging="360"/>
      </w:pPr>
      <w:rPr>
        <w:rFonts w:ascii="Wingdings" w:hAnsi="Wingdings" w:hint="default"/>
      </w:rPr>
    </w:lvl>
    <w:lvl w:ilvl="6" w:tplc="FFFFFFFF" w:tentative="1">
      <w:start w:val="1"/>
      <w:numFmt w:val="bullet"/>
      <w:lvlText w:val=""/>
      <w:lvlJc w:val="left"/>
      <w:pPr>
        <w:ind w:left="6523" w:hanging="360"/>
      </w:pPr>
      <w:rPr>
        <w:rFonts w:ascii="Symbol" w:hAnsi="Symbol" w:hint="default"/>
      </w:rPr>
    </w:lvl>
    <w:lvl w:ilvl="7" w:tplc="FFFFFFFF" w:tentative="1">
      <w:start w:val="1"/>
      <w:numFmt w:val="bullet"/>
      <w:lvlText w:val="o"/>
      <w:lvlJc w:val="left"/>
      <w:pPr>
        <w:ind w:left="7243" w:hanging="360"/>
      </w:pPr>
      <w:rPr>
        <w:rFonts w:ascii="Courier New" w:hAnsi="Courier New" w:cs="Courier New" w:hint="default"/>
      </w:rPr>
    </w:lvl>
    <w:lvl w:ilvl="8" w:tplc="FFFFFFFF" w:tentative="1">
      <w:start w:val="1"/>
      <w:numFmt w:val="bullet"/>
      <w:lvlText w:val=""/>
      <w:lvlJc w:val="left"/>
      <w:pPr>
        <w:ind w:left="7963" w:hanging="360"/>
      </w:pPr>
      <w:rPr>
        <w:rFonts w:ascii="Wingdings" w:hAnsi="Wingdings" w:hint="default"/>
      </w:rPr>
    </w:lvl>
  </w:abstractNum>
  <w:abstractNum w:abstractNumId="87" w15:restartNumberingAfterBreak="0">
    <w:nsid w:val="22183DF8"/>
    <w:multiLevelType w:val="hybridMultilevel"/>
    <w:tmpl w:val="252A2CC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8" w15:restartNumberingAfterBreak="0">
    <w:nsid w:val="223E58E3"/>
    <w:multiLevelType w:val="hybridMultilevel"/>
    <w:tmpl w:val="6484B1F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9" w15:restartNumberingAfterBreak="0">
    <w:nsid w:val="2258378A"/>
    <w:multiLevelType w:val="hybridMultilevel"/>
    <w:tmpl w:val="62B63AFA"/>
    <w:lvl w:ilvl="0" w:tplc="38090019">
      <w:start w:val="1"/>
      <w:numFmt w:val="lowerLetter"/>
      <w:lvlText w:val="%1."/>
      <w:lvlJc w:val="left"/>
      <w:pPr>
        <w:ind w:left="897" w:hanging="360"/>
      </w:pPr>
      <w:rPr>
        <w:rFonts w:hint="default"/>
        <w:color w:val="auto"/>
      </w:rPr>
    </w:lvl>
    <w:lvl w:ilvl="1" w:tplc="04090019" w:tentative="1">
      <w:start w:val="1"/>
      <w:numFmt w:val="lowerLetter"/>
      <w:lvlText w:val="%2."/>
      <w:lvlJc w:val="left"/>
      <w:pPr>
        <w:ind w:left="1617" w:hanging="360"/>
      </w:pPr>
      <w:rPr>
        <w:rFonts w:cs="Times New Roman"/>
      </w:rPr>
    </w:lvl>
    <w:lvl w:ilvl="2" w:tplc="0409001B" w:tentative="1">
      <w:start w:val="1"/>
      <w:numFmt w:val="lowerRoman"/>
      <w:lvlText w:val="%3."/>
      <w:lvlJc w:val="right"/>
      <w:pPr>
        <w:ind w:left="2337" w:hanging="180"/>
      </w:pPr>
      <w:rPr>
        <w:rFonts w:cs="Times New Roman"/>
      </w:rPr>
    </w:lvl>
    <w:lvl w:ilvl="3" w:tplc="0409000F" w:tentative="1">
      <w:start w:val="1"/>
      <w:numFmt w:val="decimal"/>
      <w:lvlText w:val="%4."/>
      <w:lvlJc w:val="left"/>
      <w:pPr>
        <w:ind w:left="3057" w:hanging="360"/>
      </w:pPr>
      <w:rPr>
        <w:rFonts w:cs="Times New Roman"/>
      </w:rPr>
    </w:lvl>
    <w:lvl w:ilvl="4" w:tplc="04090019" w:tentative="1">
      <w:start w:val="1"/>
      <w:numFmt w:val="lowerLetter"/>
      <w:lvlText w:val="%5."/>
      <w:lvlJc w:val="left"/>
      <w:pPr>
        <w:ind w:left="3777" w:hanging="360"/>
      </w:pPr>
      <w:rPr>
        <w:rFonts w:cs="Times New Roman"/>
      </w:rPr>
    </w:lvl>
    <w:lvl w:ilvl="5" w:tplc="0409001B" w:tentative="1">
      <w:start w:val="1"/>
      <w:numFmt w:val="lowerRoman"/>
      <w:lvlText w:val="%6."/>
      <w:lvlJc w:val="right"/>
      <w:pPr>
        <w:ind w:left="4497" w:hanging="180"/>
      </w:pPr>
      <w:rPr>
        <w:rFonts w:cs="Times New Roman"/>
      </w:rPr>
    </w:lvl>
    <w:lvl w:ilvl="6" w:tplc="0409000F" w:tentative="1">
      <w:start w:val="1"/>
      <w:numFmt w:val="decimal"/>
      <w:lvlText w:val="%7."/>
      <w:lvlJc w:val="left"/>
      <w:pPr>
        <w:ind w:left="5217" w:hanging="360"/>
      </w:pPr>
      <w:rPr>
        <w:rFonts w:cs="Times New Roman"/>
      </w:rPr>
    </w:lvl>
    <w:lvl w:ilvl="7" w:tplc="04090019" w:tentative="1">
      <w:start w:val="1"/>
      <w:numFmt w:val="lowerLetter"/>
      <w:lvlText w:val="%8."/>
      <w:lvlJc w:val="left"/>
      <w:pPr>
        <w:ind w:left="5937" w:hanging="360"/>
      </w:pPr>
      <w:rPr>
        <w:rFonts w:cs="Times New Roman"/>
      </w:rPr>
    </w:lvl>
    <w:lvl w:ilvl="8" w:tplc="0409001B" w:tentative="1">
      <w:start w:val="1"/>
      <w:numFmt w:val="lowerRoman"/>
      <w:lvlText w:val="%9."/>
      <w:lvlJc w:val="right"/>
      <w:pPr>
        <w:ind w:left="6657" w:hanging="180"/>
      </w:pPr>
      <w:rPr>
        <w:rFonts w:cs="Times New Roman"/>
      </w:rPr>
    </w:lvl>
  </w:abstractNum>
  <w:abstractNum w:abstractNumId="90" w15:restartNumberingAfterBreak="0">
    <w:nsid w:val="227515DB"/>
    <w:multiLevelType w:val="multilevel"/>
    <w:tmpl w:val="B37E89B4"/>
    <w:lvl w:ilvl="0">
      <w:start w:val="1"/>
      <w:numFmt w:val="lowerLetter"/>
      <w:lvlText w:val="%1."/>
      <w:lvlJc w:val="left"/>
      <w:pPr>
        <w:ind w:left="1287" w:hanging="360"/>
      </w:pPr>
      <w:rPr>
        <w:color w:val="auto"/>
      </w:rPr>
    </w:lvl>
    <w:lvl w:ilvl="1">
      <w:start w:val="1"/>
      <w:numFmt w:val="decimalZero"/>
      <w:isLgl/>
      <w:lvlText w:val="%1.%2"/>
      <w:lvlJc w:val="left"/>
      <w:pPr>
        <w:ind w:left="3387" w:hanging="2400"/>
      </w:pPr>
      <w:rPr>
        <w:rFonts w:cs="Tahoma" w:hint="default"/>
      </w:rPr>
    </w:lvl>
    <w:lvl w:ilvl="2">
      <w:start w:val="4"/>
      <w:numFmt w:val="decimal"/>
      <w:isLgl/>
      <w:lvlText w:val="%1.%2.%3"/>
      <w:lvlJc w:val="left"/>
      <w:pPr>
        <w:ind w:left="3447" w:hanging="2400"/>
      </w:pPr>
      <w:rPr>
        <w:rFonts w:cs="Tahoma" w:hint="default"/>
      </w:rPr>
    </w:lvl>
    <w:lvl w:ilvl="3">
      <w:start w:val="1"/>
      <w:numFmt w:val="decimalZero"/>
      <w:isLgl/>
      <w:lvlText w:val="%1.%2.%3.%4"/>
      <w:lvlJc w:val="left"/>
      <w:pPr>
        <w:ind w:left="3507" w:hanging="2400"/>
      </w:pPr>
      <w:rPr>
        <w:rFonts w:cs="Tahoma" w:hint="default"/>
      </w:rPr>
    </w:lvl>
    <w:lvl w:ilvl="4">
      <w:start w:val="4"/>
      <w:numFmt w:val="decimalZero"/>
      <w:isLgl/>
      <w:lvlText w:val="%1.%2.%3.%4.%5"/>
      <w:lvlJc w:val="left"/>
      <w:pPr>
        <w:ind w:left="3567" w:hanging="2400"/>
      </w:pPr>
      <w:rPr>
        <w:rFonts w:cs="Tahoma" w:hint="default"/>
      </w:rPr>
    </w:lvl>
    <w:lvl w:ilvl="5">
      <w:start w:val="35"/>
      <w:numFmt w:val="decimal"/>
      <w:isLgl/>
      <w:lvlText w:val="%1.%2.%3.%4.%5.%6"/>
      <w:lvlJc w:val="left"/>
      <w:pPr>
        <w:ind w:left="3627" w:hanging="2400"/>
      </w:pPr>
      <w:rPr>
        <w:rFonts w:cs="Tahoma" w:hint="default"/>
      </w:rPr>
    </w:lvl>
    <w:lvl w:ilvl="6">
      <w:start w:val="5"/>
      <w:numFmt w:val="decimalZero"/>
      <w:isLgl/>
      <w:lvlText w:val="%1.%2.%3.%4.%5.%6.%7"/>
      <w:lvlJc w:val="left"/>
      <w:pPr>
        <w:ind w:left="3687" w:hanging="2400"/>
      </w:pPr>
      <w:rPr>
        <w:rFonts w:cs="Tahoma" w:hint="default"/>
      </w:rPr>
    </w:lvl>
    <w:lvl w:ilvl="7">
      <w:start w:val="1"/>
      <w:numFmt w:val="decimal"/>
      <w:isLgl/>
      <w:lvlText w:val="%1.%2.%3.%4.%5.%6.%7.%8"/>
      <w:lvlJc w:val="left"/>
      <w:pPr>
        <w:ind w:left="3747" w:hanging="2400"/>
      </w:pPr>
      <w:rPr>
        <w:rFonts w:cs="Tahoma" w:hint="default"/>
      </w:rPr>
    </w:lvl>
    <w:lvl w:ilvl="8">
      <w:start w:val="1"/>
      <w:numFmt w:val="decimal"/>
      <w:isLgl/>
      <w:lvlText w:val="%1.%2.%3.%4.%5.%6.%7.%8.%9"/>
      <w:lvlJc w:val="left"/>
      <w:pPr>
        <w:ind w:left="3807" w:hanging="2400"/>
      </w:pPr>
      <w:rPr>
        <w:rFonts w:cs="Tahoma" w:hint="default"/>
      </w:rPr>
    </w:lvl>
  </w:abstractNum>
  <w:abstractNum w:abstractNumId="91" w15:restartNumberingAfterBreak="0">
    <w:nsid w:val="22FF5006"/>
    <w:multiLevelType w:val="hybridMultilevel"/>
    <w:tmpl w:val="FF783F0A"/>
    <w:lvl w:ilvl="0" w:tplc="FFFFFFFF">
      <w:start w:val="1"/>
      <w:numFmt w:val="decimal"/>
      <w:lvlText w:val="%1)"/>
      <w:lvlJc w:val="left"/>
      <w:pPr>
        <w:ind w:left="2345" w:hanging="360"/>
      </w:pPr>
      <w:rPr>
        <w:rFonts w:hint="default"/>
        <w:i w:val="0"/>
        <w:strike w:val="0"/>
        <w:color w:val="auto"/>
        <w:kern w:val="24"/>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92" w15:restartNumberingAfterBreak="0">
    <w:nsid w:val="237278F0"/>
    <w:multiLevelType w:val="hybridMultilevel"/>
    <w:tmpl w:val="79ECC4DE"/>
    <w:lvl w:ilvl="0" w:tplc="FFFFFFFF">
      <w:start w:val="1"/>
      <w:numFmt w:val="lowerRoman"/>
      <w:lvlText w:val="%1."/>
      <w:lvlJc w:val="right"/>
      <w:pPr>
        <w:ind w:left="4992" w:hanging="360"/>
      </w:pPr>
    </w:lvl>
    <w:lvl w:ilvl="1" w:tplc="FFFFFFFF" w:tentative="1">
      <w:start w:val="1"/>
      <w:numFmt w:val="lowerLetter"/>
      <w:lvlText w:val="%2."/>
      <w:lvlJc w:val="left"/>
      <w:pPr>
        <w:ind w:left="5712" w:hanging="360"/>
      </w:pPr>
    </w:lvl>
    <w:lvl w:ilvl="2" w:tplc="FFFFFFFF" w:tentative="1">
      <w:start w:val="1"/>
      <w:numFmt w:val="lowerRoman"/>
      <w:lvlText w:val="%3."/>
      <w:lvlJc w:val="right"/>
      <w:pPr>
        <w:ind w:left="6432" w:hanging="180"/>
      </w:pPr>
    </w:lvl>
    <w:lvl w:ilvl="3" w:tplc="FFFFFFFF" w:tentative="1">
      <w:start w:val="1"/>
      <w:numFmt w:val="decimal"/>
      <w:lvlText w:val="%4."/>
      <w:lvlJc w:val="left"/>
      <w:pPr>
        <w:ind w:left="7152" w:hanging="360"/>
      </w:pPr>
    </w:lvl>
    <w:lvl w:ilvl="4" w:tplc="FFFFFFFF" w:tentative="1">
      <w:start w:val="1"/>
      <w:numFmt w:val="lowerLetter"/>
      <w:lvlText w:val="%5."/>
      <w:lvlJc w:val="left"/>
      <w:pPr>
        <w:ind w:left="7872" w:hanging="360"/>
      </w:pPr>
    </w:lvl>
    <w:lvl w:ilvl="5" w:tplc="FFFFFFFF" w:tentative="1">
      <w:start w:val="1"/>
      <w:numFmt w:val="lowerRoman"/>
      <w:lvlText w:val="%6."/>
      <w:lvlJc w:val="right"/>
      <w:pPr>
        <w:ind w:left="8592" w:hanging="180"/>
      </w:pPr>
    </w:lvl>
    <w:lvl w:ilvl="6" w:tplc="FFFFFFFF" w:tentative="1">
      <w:start w:val="1"/>
      <w:numFmt w:val="decimal"/>
      <w:lvlText w:val="%7."/>
      <w:lvlJc w:val="left"/>
      <w:pPr>
        <w:ind w:left="9312" w:hanging="360"/>
      </w:pPr>
    </w:lvl>
    <w:lvl w:ilvl="7" w:tplc="FFFFFFFF" w:tentative="1">
      <w:start w:val="1"/>
      <w:numFmt w:val="lowerLetter"/>
      <w:lvlText w:val="%8."/>
      <w:lvlJc w:val="left"/>
      <w:pPr>
        <w:ind w:left="10032" w:hanging="360"/>
      </w:pPr>
    </w:lvl>
    <w:lvl w:ilvl="8" w:tplc="FFFFFFFF" w:tentative="1">
      <w:start w:val="1"/>
      <w:numFmt w:val="lowerRoman"/>
      <w:lvlText w:val="%9."/>
      <w:lvlJc w:val="right"/>
      <w:pPr>
        <w:ind w:left="10752" w:hanging="180"/>
      </w:pPr>
    </w:lvl>
  </w:abstractNum>
  <w:abstractNum w:abstractNumId="93" w15:restartNumberingAfterBreak="0">
    <w:nsid w:val="23B229C2"/>
    <w:multiLevelType w:val="hybridMultilevel"/>
    <w:tmpl w:val="6484B1F0"/>
    <w:lvl w:ilvl="0" w:tplc="FFFFFFFF">
      <w:start w:val="1"/>
      <w:numFmt w:val="decimal"/>
      <w:lvlText w:val="%1."/>
      <w:lvlJc w:val="left"/>
      <w:pPr>
        <w:ind w:left="1261" w:hanging="360"/>
      </w:pPr>
    </w:lvl>
    <w:lvl w:ilvl="1" w:tplc="FFFFFFFF" w:tentative="1">
      <w:start w:val="1"/>
      <w:numFmt w:val="lowerLetter"/>
      <w:lvlText w:val="%2."/>
      <w:lvlJc w:val="left"/>
      <w:pPr>
        <w:ind w:left="1981" w:hanging="360"/>
      </w:pPr>
    </w:lvl>
    <w:lvl w:ilvl="2" w:tplc="FFFFFFFF" w:tentative="1">
      <w:start w:val="1"/>
      <w:numFmt w:val="lowerRoman"/>
      <w:lvlText w:val="%3."/>
      <w:lvlJc w:val="right"/>
      <w:pPr>
        <w:ind w:left="2701" w:hanging="180"/>
      </w:pPr>
    </w:lvl>
    <w:lvl w:ilvl="3" w:tplc="FFFFFFFF" w:tentative="1">
      <w:start w:val="1"/>
      <w:numFmt w:val="decimal"/>
      <w:lvlText w:val="%4."/>
      <w:lvlJc w:val="left"/>
      <w:pPr>
        <w:ind w:left="3421" w:hanging="360"/>
      </w:pPr>
    </w:lvl>
    <w:lvl w:ilvl="4" w:tplc="FFFFFFFF" w:tentative="1">
      <w:start w:val="1"/>
      <w:numFmt w:val="lowerLetter"/>
      <w:lvlText w:val="%5."/>
      <w:lvlJc w:val="left"/>
      <w:pPr>
        <w:ind w:left="4141" w:hanging="360"/>
      </w:pPr>
    </w:lvl>
    <w:lvl w:ilvl="5" w:tplc="FFFFFFFF" w:tentative="1">
      <w:start w:val="1"/>
      <w:numFmt w:val="lowerRoman"/>
      <w:lvlText w:val="%6."/>
      <w:lvlJc w:val="right"/>
      <w:pPr>
        <w:ind w:left="4861" w:hanging="180"/>
      </w:pPr>
    </w:lvl>
    <w:lvl w:ilvl="6" w:tplc="FFFFFFFF" w:tentative="1">
      <w:start w:val="1"/>
      <w:numFmt w:val="decimal"/>
      <w:lvlText w:val="%7."/>
      <w:lvlJc w:val="left"/>
      <w:pPr>
        <w:ind w:left="5581" w:hanging="360"/>
      </w:pPr>
    </w:lvl>
    <w:lvl w:ilvl="7" w:tplc="FFFFFFFF" w:tentative="1">
      <w:start w:val="1"/>
      <w:numFmt w:val="lowerLetter"/>
      <w:lvlText w:val="%8."/>
      <w:lvlJc w:val="left"/>
      <w:pPr>
        <w:ind w:left="6301" w:hanging="360"/>
      </w:pPr>
    </w:lvl>
    <w:lvl w:ilvl="8" w:tplc="FFFFFFFF" w:tentative="1">
      <w:start w:val="1"/>
      <w:numFmt w:val="lowerRoman"/>
      <w:lvlText w:val="%9."/>
      <w:lvlJc w:val="right"/>
      <w:pPr>
        <w:ind w:left="7021" w:hanging="180"/>
      </w:pPr>
    </w:lvl>
  </w:abstractNum>
  <w:abstractNum w:abstractNumId="94" w15:restartNumberingAfterBreak="0">
    <w:nsid w:val="23DB3CF0"/>
    <w:multiLevelType w:val="hybridMultilevel"/>
    <w:tmpl w:val="8BBC4338"/>
    <w:lvl w:ilvl="0" w:tplc="2CC879C6">
      <w:start w:val="1"/>
      <w:numFmt w:val="decimal"/>
      <w:lvlText w:val="%1)"/>
      <w:lvlJc w:val="left"/>
      <w:pPr>
        <w:ind w:left="2433" w:hanging="360"/>
      </w:pPr>
      <w:rPr>
        <w:rFonts w:hint="default"/>
        <w:color w:val="000000" w:themeColor="text1"/>
        <w:sz w:val="24"/>
      </w:rPr>
    </w:lvl>
    <w:lvl w:ilvl="1" w:tplc="FFFFFFFF" w:tentative="1">
      <w:start w:val="1"/>
      <w:numFmt w:val="lowerLetter"/>
      <w:lvlText w:val="%2."/>
      <w:lvlJc w:val="left"/>
      <w:pPr>
        <w:ind w:left="3153" w:hanging="360"/>
      </w:pPr>
    </w:lvl>
    <w:lvl w:ilvl="2" w:tplc="FFFFFFFF" w:tentative="1">
      <w:start w:val="1"/>
      <w:numFmt w:val="lowerRoman"/>
      <w:lvlText w:val="%3."/>
      <w:lvlJc w:val="right"/>
      <w:pPr>
        <w:ind w:left="3873" w:hanging="180"/>
      </w:pPr>
    </w:lvl>
    <w:lvl w:ilvl="3" w:tplc="FFFFFFFF" w:tentative="1">
      <w:start w:val="1"/>
      <w:numFmt w:val="decimal"/>
      <w:lvlText w:val="%4."/>
      <w:lvlJc w:val="left"/>
      <w:pPr>
        <w:ind w:left="4593" w:hanging="360"/>
      </w:pPr>
    </w:lvl>
    <w:lvl w:ilvl="4" w:tplc="FFFFFFFF" w:tentative="1">
      <w:start w:val="1"/>
      <w:numFmt w:val="lowerLetter"/>
      <w:lvlText w:val="%5."/>
      <w:lvlJc w:val="left"/>
      <w:pPr>
        <w:ind w:left="5313" w:hanging="360"/>
      </w:pPr>
    </w:lvl>
    <w:lvl w:ilvl="5" w:tplc="FFFFFFFF" w:tentative="1">
      <w:start w:val="1"/>
      <w:numFmt w:val="lowerRoman"/>
      <w:lvlText w:val="%6."/>
      <w:lvlJc w:val="right"/>
      <w:pPr>
        <w:ind w:left="6033" w:hanging="180"/>
      </w:pPr>
    </w:lvl>
    <w:lvl w:ilvl="6" w:tplc="FFFFFFFF" w:tentative="1">
      <w:start w:val="1"/>
      <w:numFmt w:val="decimal"/>
      <w:lvlText w:val="%7."/>
      <w:lvlJc w:val="left"/>
      <w:pPr>
        <w:ind w:left="6753" w:hanging="360"/>
      </w:pPr>
    </w:lvl>
    <w:lvl w:ilvl="7" w:tplc="FFFFFFFF" w:tentative="1">
      <w:start w:val="1"/>
      <w:numFmt w:val="lowerLetter"/>
      <w:lvlText w:val="%8."/>
      <w:lvlJc w:val="left"/>
      <w:pPr>
        <w:ind w:left="7473" w:hanging="360"/>
      </w:pPr>
    </w:lvl>
    <w:lvl w:ilvl="8" w:tplc="FFFFFFFF" w:tentative="1">
      <w:start w:val="1"/>
      <w:numFmt w:val="lowerRoman"/>
      <w:lvlText w:val="%9."/>
      <w:lvlJc w:val="right"/>
      <w:pPr>
        <w:ind w:left="8193" w:hanging="180"/>
      </w:pPr>
    </w:lvl>
  </w:abstractNum>
  <w:abstractNum w:abstractNumId="95" w15:restartNumberingAfterBreak="0">
    <w:nsid w:val="246B61A5"/>
    <w:multiLevelType w:val="hybridMultilevel"/>
    <w:tmpl w:val="A0DEED06"/>
    <w:lvl w:ilvl="0" w:tplc="38090017">
      <w:start w:val="1"/>
      <w:numFmt w:val="lowerLetter"/>
      <w:lvlText w:val="%1)"/>
      <w:lvlJc w:val="left"/>
      <w:pPr>
        <w:ind w:left="3130" w:hanging="360"/>
      </w:pPr>
    </w:lvl>
    <w:lvl w:ilvl="1" w:tplc="38090019" w:tentative="1">
      <w:start w:val="1"/>
      <w:numFmt w:val="lowerLetter"/>
      <w:lvlText w:val="%2."/>
      <w:lvlJc w:val="left"/>
      <w:pPr>
        <w:ind w:left="3850" w:hanging="360"/>
      </w:pPr>
    </w:lvl>
    <w:lvl w:ilvl="2" w:tplc="3809001B" w:tentative="1">
      <w:start w:val="1"/>
      <w:numFmt w:val="lowerRoman"/>
      <w:lvlText w:val="%3."/>
      <w:lvlJc w:val="right"/>
      <w:pPr>
        <w:ind w:left="4570" w:hanging="180"/>
      </w:pPr>
    </w:lvl>
    <w:lvl w:ilvl="3" w:tplc="3809000F" w:tentative="1">
      <w:start w:val="1"/>
      <w:numFmt w:val="decimal"/>
      <w:lvlText w:val="%4."/>
      <w:lvlJc w:val="left"/>
      <w:pPr>
        <w:ind w:left="5290" w:hanging="360"/>
      </w:pPr>
    </w:lvl>
    <w:lvl w:ilvl="4" w:tplc="38090019" w:tentative="1">
      <w:start w:val="1"/>
      <w:numFmt w:val="lowerLetter"/>
      <w:lvlText w:val="%5."/>
      <w:lvlJc w:val="left"/>
      <w:pPr>
        <w:ind w:left="6010" w:hanging="360"/>
      </w:pPr>
    </w:lvl>
    <w:lvl w:ilvl="5" w:tplc="3809001B" w:tentative="1">
      <w:start w:val="1"/>
      <w:numFmt w:val="lowerRoman"/>
      <w:lvlText w:val="%6."/>
      <w:lvlJc w:val="right"/>
      <w:pPr>
        <w:ind w:left="6730" w:hanging="180"/>
      </w:pPr>
    </w:lvl>
    <w:lvl w:ilvl="6" w:tplc="3809000F" w:tentative="1">
      <w:start w:val="1"/>
      <w:numFmt w:val="decimal"/>
      <w:lvlText w:val="%7."/>
      <w:lvlJc w:val="left"/>
      <w:pPr>
        <w:ind w:left="7450" w:hanging="360"/>
      </w:pPr>
    </w:lvl>
    <w:lvl w:ilvl="7" w:tplc="38090019" w:tentative="1">
      <w:start w:val="1"/>
      <w:numFmt w:val="lowerLetter"/>
      <w:lvlText w:val="%8."/>
      <w:lvlJc w:val="left"/>
      <w:pPr>
        <w:ind w:left="8170" w:hanging="360"/>
      </w:pPr>
    </w:lvl>
    <w:lvl w:ilvl="8" w:tplc="3809001B" w:tentative="1">
      <w:start w:val="1"/>
      <w:numFmt w:val="lowerRoman"/>
      <w:lvlText w:val="%9."/>
      <w:lvlJc w:val="right"/>
      <w:pPr>
        <w:ind w:left="8890" w:hanging="180"/>
      </w:pPr>
    </w:lvl>
  </w:abstractNum>
  <w:abstractNum w:abstractNumId="96" w15:restartNumberingAfterBreak="0">
    <w:nsid w:val="24981F8E"/>
    <w:multiLevelType w:val="hybridMultilevel"/>
    <w:tmpl w:val="3C3AE652"/>
    <w:lvl w:ilvl="0" w:tplc="FFFFFFFF">
      <w:start w:val="1"/>
      <w:numFmt w:val="upperLetter"/>
      <w:lvlText w:val="%1."/>
      <w:lvlJc w:val="left"/>
      <w:pPr>
        <w:ind w:left="5765" w:hanging="360"/>
      </w:pPr>
      <w:rPr>
        <w:color w:val="auto"/>
      </w:rPr>
    </w:lvl>
    <w:lvl w:ilvl="1" w:tplc="FFFFFFFF">
      <w:start w:val="1"/>
      <w:numFmt w:val="lowerLetter"/>
      <w:lvlText w:val="%2."/>
      <w:lvlJc w:val="left"/>
      <w:pPr>
        <w:ind w:left="1886" w:hanging="360"/>
      </w:pPr>
      <w:rPr>
        <w:rFonts w:cs="Times New Roman"/>
      </w:rPr>
    </w:lvl>
    <w:lvl w:ilvl="2" w:tplc="FFFFFFFF" w:tentative="1">
      <w:start w:val="1"/>
      <w:numFmt w:val="lowerRoman"/>
      <w:lvlText w:val="%3."/>
      <w:lvlJc w:val="right"/>
      <w:pPr>
        <w:ind w:left="2606" w:hanging="180"/>
      </w:pPr>
      <w:rPr>
        <w:rFonts w:cs="Times New Roman"/>
      </w:rPr>
    </w:lvl>
    <w:lvl w:ilvl="3" w:tplc="FFFFFFFF">
      <w:start w:val="1"/>
      <w:numFmt w:val="decimal"/>
      <w:lvlText w:val="%4."/>
      <w:lvlJc w:val="left"/>
      <w:pPr>
        <w:ind w:left="3326" w:hanging="360"/>
      </w:pPr>
      <w:rPr>
        <w:rFonts w:cs="Times New Roman"/>
      </w:rPr>
    </w:lvl>
    <w:lvl w:ilvl="4" w:tplc="FFFFFFFF" w:tentative="1">
      <w:start w:val="1"/>
      <w:numFmt w:val="lowerLetter"/>
      <w:lvlText w:val="%5."/>
      <w:lvlJc w:val="left"/>
      <w:pPr>
        <w:ind w:left="4046" w:hanging="360"/>
      </w:pPr>
      <w:rPr>
        <w:rFonts w:cs="Times New Roman"/>
      </w:rPr>
    </w:lvl>
    <w:lvl w:ilvl="5" w:tplc="FFFFFFFF" w:tentative="1">
      <w:start w:val="1"/>
      <w:numFmt w:val="lowerRoman"/>
      <w:lvlText w:val="%6."/>
      <w:lvlJc w:val="right"/>
      <w:pPr>
        <w:ind w:left="4766" w:hanging="180"/>
      </w:pPr>
      <w:rPr>
        <w:rFonts w:cs="Times New Roman"/>
      </w:rPr>
    </w:lvl>
    <w:lvl w:ilvl="6" w:tplc="FFFFFFFF" w:tentative="1">
      <w:start w:val="1"/>
      <w:numFmt w:val="decimal"/>
      <w:lvlText w:val="%7."/>
      <w:lvlJc w:val="left"/>
      <w:pPr>
        <w:ind w:left="5486" w:hanging="360"/>
      </w:pPr>
      <w:rPr>
        <w:rFonts w:cs="Times New Roman"/>
      </w:rPr>
    </w:lvl>
    <w:lvl w:ilvl="7" w:tplc="FFFFFFFF" w:tentative="1">
      <w:start w:val="1"/>
      <w:numFmt w:val="lowerLetter"/>
      <w:lvlText w:val="%8."/>
      <w:lvlJc w:val="left"/>
      <w:pPr>
        <w:ind w:left="6206" w:hanging="360"/>
      </w:pPr>
      <w:rPr>
        <w:rFonts w:cs="Times New Roman"/>
      </w:rPr>
    </w:lvl>
    <w:lvl w:ilvl="8" w:tplc="FFFFFFFF" w:tentative="1">
      <w:start w:val="1"/>
      <w:numFmt w:val="lowerRoman"/>
      <w:lvlText w:val="%9."/>
      <w:lvlJc w:val="right"/>
      <w:pPr>
        <w:ind w:left="6926" w:hanging="180"/>
      </w:pPr>
      <w:rPr>
        <w:rFonts w:cs="Times New Roman"/>
      </w:rPr>
    </w:lvl>
  </w:abstractNum>
  <w:abstractNum w:abstractNumId="97" w15:restartNumberingAfterBreak="0">
    <w:nsid w:val="24AD4C7C"/>
    <w:multiLevelType w:val="hybridMultilevel"/>
    <w:tmpl w:val="167AC24E"/>
    <w:lvl w:ilvl="0" w:tplc="04090019">
      <w:start w:val="1"/>
      <w:numFmt w:val="lowerLetter"/>
      <w:lvlText w:val="%1."/>
      <w:lvlJc w:val="left"/>
      <w:pPr>
        <w:ind w:left="1987" w:hanging="360"/>
      </w:pPr>
      <w:rPr>
        <w:rFonts w:cs="Times New Roman"/>
        <w:color w:val="auto"/>
      </w:rPr>
    </w:lvl>
    <w:lvl w:ilvl="1" w:tplc="FFFFFFFF" w:tentative="1">
      <w:start w:val="1"/>
      <w:numFmt w:val="lowerLetter"/>
      <w:lvlText w:val="%2."/>
      <w:lvlJc w:val="left"/>
      <w:pPr>
        <w:ind w:left="2707" w:hanging="360"/>
      </w:pPr>
      <w:rPr>
        <w:rFonts w:cs="Times New Roman"/>
      </w:rPr>
    </w:lvl>
    <w:lvl w:ilvl="2" w:tplc="FFFFFFFF" w:tentative="1">
      <w:start w:val="1"/>
      <w:numFmt w:val="lowerRoman"/>
      <w:lvlText w:val="%3."/>
      <w:lvlJc w:val="right"/>
      <w:pPr>
        <w:ind w:left="3427" w:hanging="180"/>
      </w:pPr>
      <w:rPr>
        <w:rFonts w:cs="Times New Roman"/>
      </w:rPr>
    </w:lvl>
    <w:lvl w:ilvl="3" w:tplc="FFFFFFFF" w:tentative="1">
      <w:start w:val="1"/>
      <w:numFmt w:val="decimal"/>
      <w:lvlText w:val="%4."/>
      <w:lvlJc w:val="left"/>
      <w:pPr>
        <w:ind w:left="4147" w:hanging="360"/>
      </w:pPr>
      <w:rPr>
        <w:rFonts w:cs="Times New Roman"/>
      </w:rPr>
    </w:lvl>
    <w:lvl w:ilvl="4" w:tplc="FFFFFFFF" w:tentative="1">
      <w:start w:val="1"/>
      <w:numFmt w:val="lowerLetter"/>
      <w:lvlText w:val="%5."/>
      <w:lvlJc w:val="left"/>
      <w:pPr>
        <w:ind w:left="4867" w:hanging="360"/>
      </w:pPr>
      <w:rPr>
        <w:rFonts w:cs="Times New Roman"/>
      </w:rPr>
    </w:lvl>
    <w:lvl w:ilvl="5" w:tplc="FFFFFFFF" w:tentative="1">
      <w:start w:val="1"/>
      <w:numFmt w:val="lowerRoman"/>
      <w:lvlText w:val="%6."/>
      <w:lvlJc w:val="right"/>
      <w:pPr>
        <w:ind w:left="5587" w:hanging="180"/>
      </w:pPr>
      <w:rPr>
        <w:rFonts w:cs="Times New Roman"/>
      </w:rPr>
    </w:lvl>
    <w:lvl w:ilvl="6" w:tplc="FFFFFFFF" w:tentative="1">
      <w:start w:val="1"/>
      <w:numFmt w:val="decimal"/>
      <w:lvlText w:val="%7."/>
      <w:lvlJc w:val="left"/>
      <w:pPr>
        <w:ind w:left="6307" w:hanging="360"/>
      </w:pPr>
      <w:rPr>
        <w:rFonts w:cs="Times New Roman"/>
      </w:rPr>
    </w:lvl>
    <w:lvl w:ilvl="7" w:tplc="FFFFFFFF" w:tentative="1">
      <w:start w:val="1"/>
      <w:numFmt w:val="lowerLetter"/>
      <w:lvlText w:val="%8."/>
      <w:lvlJc w:val="left"/>
      <w:pPr>
        <w:ind w:left="7027" w:hanging="360"/>
      </w:pPr>
      <w:rPr>
        <w:rFonts w:cs="Times New Roman"/>
      </w:rPr>
    </w:lvl>
    <w:lvl w:ilvl="8" w:tplc="FFFFFFFF" w:tentative="1">
      <w:start w:val="1"/>
      <w:numFmt w:val="lowerRoman"/>
      <w:lvlText w:val="%9."/>
      <w:lvlJc w:val="right"/>
      <w:pPr>
        <w:ind w:left="7747" w:hanging="180"/>
      </w:pPr>
      <w:rPr>
        <w:rFonts w:cs="Times New Roman"/>
      </w:rPr>
    </w:lvl>
  </w:abstractNum>
  <w:abstractNum w:abstractNumId="98" w15:restartNumberingAfterBreak="0">
    <w:nsid w:val="24FD40BE"/>
    <w:multiLevelType w:val="hybridMultilevel"/>
    <w:tmpl w:val="D69830D2"/>
    <w:lvl w:ilvl="0" w:tplc="DB7CDF64">
      <w:start w:val="1"/>
      <w:numFmt w:val="lowerLetter"/>
      <w:lvlText w:val="(%1)"/>
      <w:lvlJc w:val="left"/>
      <w:pPr>
        <w:ind w:left="2839" w:hanging="360"/>
      </w:pPr>
      <w:rPr>
        <w:rFonts w:cs="Times New Roman" w:hint="default"/>
        <w:i w:val="0"/>
        <w:strike w:val="0"/>
        <w:color w:val="auto"/>
        <w:kern w:val="24"/>
      </w:rPr>
    </w:lvl>
    <w:lvl w:ilvl="1" w:tplc="04090019" w:tentative="1">
      <w:start w:val="1"/>
      <w:numFmt w:val="lowerLetter"/>
      <w:lvlText w:val="%2."/>
      <w:lvlJc w:val="left"/>
      <w:pPr>
        <w:ind w:left="3559" w:hanging="360"/>
      </w:pPr>
    </w:lvl>
    <w:lvl w:ilvl="2" w:tplc="0409001B" w:tentative="1">
      <w:start w:val="1"/>
      <w:numFmt w:val="lowerRoman"/>
      <w:lvlText w:val="%3."/>
      <w:lvlJc w:val="right"/>
      <w:pPr>
        <w:ind w:left="4279" w:hanging="180"/>
      </w:pPr>
    </w:lvl>
    <w:lvl w:ilvl="3" w:tplc="0409000F" w:tentative="1">
      <w:start w:val="1"/>
      <w:numFmt w:val="decimal"/>
      <w:lvlText w:val="%4."/>
      <w:lvlJc w:val="left"/>
      <w:pPr>
        <w:ind w:left="4999" w:hanging="360"/>
      </w:pPr>
    </w:lvl>
    <w:lvl w:ilvl="4" w:tplc="04090019" w:tentative="1">
      <w:start w:val="1"/>
      <w:numFmt w:val="lowerLetter"/>
      <w:lvlText w:val="%5."/>
      <w:lvlJc w:val="left"/>
      <w:pPr>
        <w:ind w:left="5719" w:hanging="360"/>
      </w:pPr>
    </w:lvl>
    <w:lvl w:ilvl="5" w:tplc="0409001B" w:tentative="1">
      <w:start w:val="1"/>
      <w:numFmt w:val="lowerRoman"/>
      <w:lvlText w:val="%6."/>
      <w:lvlJc w:val="right"/>
      <w:pPr>
        <w:ind w:left="6439" w:hanging="180"/>
      </w:pPr>
    </w:lvl>
    <w:lvl w:ilvl="6" w:tplc="0409000F" w:tentative="1">
      <w:start w:val="1"/>
      <w:numFmt w:val="decimal"/>
      <w:lvlText w:val="%7."/>
      <w:lvlJc w:val="left"/>
      <w:pPr>
        <w:ind w:left="7159" w:hanging="360"/>
      </w:pPr>
    </w:lvl>
    <w:lvl w:ilvl="7" w:tplc="04090019" w:tentative="1">
      <w:start w:val="1"/>
      <w:numFmt w:val="lowerLetter"/>
      <w:lvlText w:val="%8."/>
      <w:lvlJc w:val="left"/>
      <w:pPr>
        <w:ind w:left="7879" w:hanging="360"/>
      </w:pPr>
    </w:lvl>
    <w:lvl w:ilvl="8" w:tplc="0409001B" w:tentative="1">
      <w:start w:val="1"/>
      <w:numFmt w:val="lowerRoman"/>
      <w:lvlText w:val="%9."/>
      <w:lvlJc w:val="right"/>
      <w:pPr>
        <w:ind w:left="8599" w:hanging="180"/>
      </w:pPr>
    </w:lvl>
  </w:abstractNum>
  <w:abstractNum w:abstractNumId="99" w15:restartNumberingAfterBreak="0">
    <w:nsid w:val="2600121A"/>
    <w:multiLevelType w:val="hybridMultilevel"/>
    <w:tmpl w:val="DD3286F2"/>
    <w:lvl w:ilvl="0" w:tplc="04090017">
      <w:start w:val="1"/>
      <w:numFmt w:val="lowerLetter"/>
      <w:lvlText w:val="%1)"/>
      <w:lvlJc w:val="left"/>
      <w:pPr>
        <w:ind w:left="2880" w:hanging="360"/>
      </w:pPr>
      <w:rPr>
        <w:rFonts w:hint="default"/>
        <w:i w:val="0"/>
        <w:strike w:val="0"/>
        <w:color w:val="auto"/>
        <w:kern w:val="24"/>
        <w:sz w:val="24"/>
        <w:szCs w:val="24"/>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100" w15:restartNumberingAfterBreak="0">
    <w:nsid w:val="261D6B46"/>
    <w:multiLevelType w:val="hybridMultilevel"/>
    <w:tmpl w:val="9F32EDE4"/>
    <w:lvl w:ilvl="0" w:tplc="FFFFFFFF">
      <w:start w:val="1"/>
      <w:numFmt w:val="decimal"/>
      <w:lvlText w:val="%1)"/>
      <w:lvlJc w:val="left"/>
      <w:pPr>
        <w:ind w:left="2203" w:hanging="360"/>
      </w:pPr>
      <w:rPr>
        <w:rFonts w:hint="default"/>
      </w:rPr>
    </w:lvl>
    <w:lvl w:ilvl="1" w:tplc="FFFFFFFF" w:tentative="1">
      <w:start w:val="1"/>
      <w:numFmt w:val="bullet"/>
      <w:lvlText w:val="o"/>
      <w:lvlJc w:val="left"/>
      <w:pPr>
        <w:ind w:left="2923" w:hanging="360"/>
      </w:pPr>
      <w:rPr>
        <w:rFonts w:ascii="Courier New" w:hAnsi="Courier New" w:cs="Courier New" w:hint="default"/>
      </w:rPr>
    </w:lvl>
    <w:lvl w:ilvl="2" w:tplc="FFFFFFFF" w:tentative="1">
      <w:start w:val="1"/>
      <w:numFmt w:val="bullet"/>
      <w:lvlText w:val=""/>
      <w:lvlJc w:val="left"/>
      <w:pPr>
        <w:ind w:left="3643" w:hanging="360"/>
      </w:pPr>
      <w:rPr>
        <w:rFonts w:ascii="Wingdings" w:hAnsi="Wingdings" w:hint="default"/>
      </w:rPr>
    </w:lvl>
    <w:lvl w:ilvl="3" w:tplc="FFFFFFFF" w:tentative="1">
      <w:start w:val="1"/>
      <w:numFmt w:val="bullet"/>
      <w:lvlText w:val=""/>
      <w:lvlJc w:val="left"/>
      <w:pPr>
        <w:ind w:left="4363" w:hanging="360"/>
      </w:pPr>
      <w:rPr>
        <w:rFonts w:ascii="Symbol" w:hAnsi="Symbol" w:hint="default"/>
      </w:rPr>
    </w:lvl>
    <w:lvl w:ilvl="4" w:tplc="FFFFFFFF" w:tentative="1">
      <w:start w:val="1"/>
      <w:numFmt w:val="bullet"/>
      <w:lvlText w:val="o"/>
      <w:lvlJc w:val="left"/>
      <w:pPr>
        <w:ind w:left="5083" w:hanging="360"/>
      </w:pPr>
      <w:rPr>
        <w:rFonts w:ascii="Courier New" w:hAnsi="Courier New" w:cs="Courier New" w:hint="default"/>
      </w:rPr>
    </w:lvl>
    <w:lvl w:ilvl="5" w:tplc="FFFFFFFF" w:tentative="1">
      <w:start w:val="1"/>
      <w:numFmt w:val="bullet"/>
      <w:lvlText w:val=""/>
      <w:lvlJc w:val="left"/>
      <w:pPr>
        <w:ind w:left="5803" w:hanging="360"/>
      </w:pPr>
      <w:rPr>
        <w:rFonts w:ascii="Wingdings" w:hAnsi="Wingdings" w:hint="default"/>
      </w:rPr>
    </w:lvl>
    <w:lvl w:ilvl="6" w:tplc="FFFFFFFF" w:tentative="1">
      <w:start w:val="1"/>
      <w:numFmt w:val="bullet"/>
      <w:lvlText w:val=""/>
      <w:lvlJc w:val="left"/>
      <w:pPr>
        <w:ind w:left="6523" w:hanging="360"/>
      </w:pPr>
      <w:rPr>
        <w:rFonts w:ascii="Symbol" w:hAnsi="Symbol" w:hint="default"/>
      </w:rPr>
    </w:lvl>
    <w:lvl w:ilvl="7" w:tplc="FFFFFFFF" w:tentative="1">
      <w:start w:val="1"/>
      <w:numFmt w:val="bullet"/>
      <w:lvlText w:val="o"/>
      <w:lvlJc w:val="left"/>
      <w:pPr>
        <w:ind w:left="7243" w:hanging="360"/>
      </w:pPr>
      <w:rPr>
        <w:rFonts w:ascii="Courier New" w:hAnsi="Courier New" w:cs="Courier New" w:hint="default"/>
      </w:rPr>
    </w:lvl>
    <w:lvl w:ilvl="8" w:tplc="FFFFFFFF" w:tentative="1">
      <w:start w:val="1"/>
      <w:numFmt w:val="bullet"/>
      <w:lvlText w:val=""/>
      <w:lvlJc w:val="left"/>
      <w:pPr>
        <w:ind w:left="7963" w:hanging="360"/>
      </w:pPr>
      <w:rPr>
        <w:rFonts w:ascii="Wingdings" w:hAnsi="Wingdings" w:hint="default"/>
      </w:rPr>
    </w:lvl>
  </w:abstractNum>
  <w:abstractNum w:abstractNumId="101" w15:restartNumberingAfterBreak="0">
    <w:nsid w:val="26431D65"/>
    <w:multiLevelType w:val="hybridMultilevel"/>
    <w:tmpl w:val="5B3EDA76"/>
    <w:lvl w:ilvl="0" w:tplc="5F0CCC0A">
      <w:start w:val="1"/>
      <w:numFmt w:val="decimal"/>
      <w:lvlText w:val="(%1)"/>
      <w:lvlJc w:val="left"/>
      <w:pPr>
        <w:ind w:left="2730" w:hanging="360"/>
      </w:pPr>
      <w:rPr>
        <w:rFonts w:cs="Times New Roman" w:hint="default"/>
        <w:i w:val="0"/>
        <w:strike w:val="0"/>
        <w:color w:val="auto"/>
        <w:kern w:val="24"/>
      </w:rPr>
    </w:lvl>
    <w:lvl w:ilvl="1" w:tplc="04090019">
      <w:start w:val="1"/>
      <w:numFmt w:val="lowerLetter"/>
      <w:lvlText w:val="%2."/>
      <w:lvlJc w:val="left"/>
      <w:pPr>
        <w:ind w:left="3450" w:hanging="360"/>
      </w:pPr>
    </w:lvl>
    <w:lvl w:ilvl="2" w:tplc="0409001B" w:tentative="1">
      <w:start w:val="1"/>
      <w:numFmt w:val="lowerRoman"/>
      <w:lvlText w:val="%3."/>
      <w:lvlJc w:val="right"/>
      <w:pPr>
        <w:ind w:left="4170" w:hanging="180"/>
      </w:pPr>
    </w:lvl>
    <w:lvl w:ilvl="3" w:tplc="0409000F" w:tentative="1">
      <w:start w:val="1"/>
      <w:numFmt w:val="decimal"/>
      <w:lvlText w:val="%4."/>
      <w:lvlJc w:val="left"/>
      <w:pPr>
        <w:ind w:left="4890" w:hanging="360"/>
      </w:pPr>
    </w:lvl>
    <w:lvl w:ilvl="4" w:tplc="04090019" w:tentative="1">
      <w:start w:val="1"/>
      <w:numFmt w:val="lowerLetter"/>
      <w:lvlText w:val="%5."/>
      <w:lvlJc w:val="left"/>
      <w:pPr>
        <w:ind w:left="5610" w:hanging="360"/>
      </w:pPr>
    </w:lvl>
    <w:lvl w:ilvl="5" w:tplc="0409001B" w:tentative="1">
      <w:start w:val="1"/>
      <w:numFmt w:val="lowerRoman"/>
      <w:lvlText w:val="%6."/>
      <w:lvlJc w:val="right"/>
      <w:pPr>
        <w:ind w:left="6330" w:hanging="180"/>
      </w:pPr>
    </w:lvl>
    <w:lvl w:ilvl="6" w:tplc="0409000F" w:tentative="1">
      <w:start w:val="1"/>
      <w:numFmt w:val="decimal"/>
      <w:lvlText w:val="%7."/>
      <w:lvlJc w:val="left"/>
      <w:pPr>
        <w:ind w:left="7050" w:hanging="360"/>
      </w:pPr>
    </w:lvl>
    <w:lvl w:ilvl="7" w:tplc="04090019" w:tentative="1">
      <w:start w:val="1"/>
      <w:numFmt w:val="lowerLetter"/>
      <w:lvlText w:val="%8."/>
      <w:lvlJc w:val="left"/>
      <w:pPr>
        <w:ind w:left="7770" w:hanging="360"/>
      </w:pPr>
    </w:lvl>
    <w:lvl w:ilvl="8" w:tplc="0409001B" w:tentative="1">
      <w:start w:val="1"/>
      <w:numFmt w:val="lowerRoman"/>
      <w:lvlText w:val="%9."/>
      <w:lvlJc w:val="right"/>
      <w:pPr>
        <w:ind w:left="8490" w:hanging="180"/>
      </w:pPr>
    </w:lvl>
  </w:abstractNum>
  <w:abstractNum w:abstractNumId="102" w15:restartNumberingAfterBreak="0">
    <w:nsid w:val="280167CF"/>
    <w:multiLevelType w:val="hybridMultilevel"/>
    <w:tmpl w:val="F3188102"/>
    <w:lvl w:ilvl="0" w:tplc="8EBA20DE">
      <w:start w:val="1"/>
      <w:numFmt w:val="lowerLetter"/>
      <w:lvlText w:val="%1)"/>
      <w:lvlJc w:val="left"/>
      <w:pPr>
        <w:ind w:left="2847" w:hanging="360"/>
      </w:pPr>
      <w:rPr>
        <w:rFonts w:hint="default"/>
        <w:b w:val="0"/>
        <w:bCs w:val="0"/>
        <w:color w:val="000000" w:themeColor="text1"/>
      </w:rPr>
    </w:lvl>
    <w:lvl w:ilvl="1" w:tplc="38090019" w:tentative="1">
      <w:start w:val="1"/>
      <w:numFmt w:val="lowerLetter"/>
      <w:lvlText w:val="%2."/>
      <w:lvlJc w:val="left"/>
      <w:pPr>
        <w:ind w:left="3567" w:hanging="360"/>
      </w:pPr>
    </w:lvl>
    <w:lvl w:ilvl="2" w:tplc="3809001B" w:tentative="1">
      <w:start w:val="1"/>
      <w:numFmt w:val="lowerRoman"/>
      <w:lvlText w:val="%3."/>
      <w:lvlJc w:val="right"/>
      <w:pPr>
        <w:ind w:left="4287" w:hanging="180"/>
      </w:pPr>
    </w:lvl>
    <w:lvl w:ilvl="3" w:tplc="3809000F" w:tentative="1">
      <w:start w:val="1"/>
      <w:numFmt w:val="decimal"/>
      <w:lvlText w:val="%4."/>
      <w:lvlJc w:val="left"/>
      <w:pPr>
        <w:ind w:left="5007" w:hanging="360"/>
      </w:pPr>
    </w:lvl>
    <w:lvl w:ilvl="4" w:tplc="38090019" w:tentative="1">
      <w:start w:val="1"/>
      <w:numFmt w:val="lowerLetter"/>
      <w:lvlText w:val="%5."/>
      <w:lvlJc w:val="left"/>
      <w:pPr>
        <w:ind w:left="5727" w:hanging="360"/>
      </w:pPr>
    </w:lvl>
    <w:lvl w:ilvl="5" w:tplc="3809001B" w:tentative="1">
      <w:start w:val="1"/>
      <w:numFmt w:val="lowerRoman"/>
      <w:lvlText w:val="%6."/>
      <w:lvlJc w:val="right"/>
      <w:pPr>
        <w:ind w:left="6447" w:hanging="180"/>
      </w:pPr>
    </w:lvl>
    <w:lvl w:ilvl="6" w:tplc="3809000F" w:tentative="1">
      <w:start w:val="1"/>
      <w:numFmt w:val="decimal"/>
      <w:lvlText w:val="%7."/>
      <w:lvlJc w:val="left"/>
      <w:pPr>
        <w:ind w:left="7167" w:hanging="360"/>
      </w:pPr>
    </w:lvl>
    <w:lvl w:ilvl="7" w:tplc="38090019" w:tentative="1">
      <w:start w:val="1"/>
      <w:numFmt w:val="lowerLetter"/>
      <w:lvlText w:val="%8."/>
      <w:lvlJc w:val="left"/>
      <w:pPr>
        <w:ind w:left="7887" w:hanging="360"/>
      </w:pPr>
    </w:lvl>
    <w:lvl w:ilvl="8" w:tplc="3809001B" w:tentative="1">
      <w:start w:val="1"/>
      <w:numFmt w:val="lowerRoman"/>
      <w:lvlText w:val="%9."/>
      <w:lvlJc w:val="right"/>
      <w:pPr>
        <w:ind w:left="8607" w:hanging="180"/>
      </w:pPr>
    </w:lvl>
  </w:abstractNum>
  <w:abstractNum w:abstractNumId="103" w15:restartNumberingAfterBreak="0">
    <w:nsid w:val="2843535B"/>
    <w:multiLevelType w:val="hybridMultilevel"/>
    <w:tmpl w:val="E738DFBE"/>
    <w:lvl w:ilvl="0" w:tplc="38090019">
      <w:start w:val="1"/>
      <w:numFmt w:val="lowerLetter"/>
      <w:lvlText w:val="%1."/>
      <w:lvlJc w:val="left"/>
      <w:pPr>
        <w:ind w:left="2073" w:hanging="360"/>
      </w:pPr>
    </w:lvl>
    <w:lvl w:ilvl="1" w:tplc="FFFFFFFF" w:tentative="1">
      <w:start w:val="1"/>
      <w:numFmt w:val="lowerLetter"/>
      <w:lvlText w:val="%2."/>
      <w:lvlJc w:val="left"/>
      <w:pPr>
        <w:ind w:left="2793" w:hanging="360"/>
      </w:pPr>
    </w:lvl>
    <w:lvl w:ilvl="2" w:tplc="FFFFFFFF" w:tentative="1">
      <w:start w:val="1"/>
      <w:numFmt w:val="lowerRoman"/>
      <w:lvlText w:val="%3."/>
      <w:lvlJc w:val="right"/>
      <w:pPr>
        <w:ind w:left="3513" w:hanging="180"/>
      </w:pPr>
    </w:lvl>
    <w:lvl w:ilvl="3" w:tplc="FFFFFFFF" w:tentative="1">
      <w:start w:val="1"/>
      <w:numFmt w:val="decimal"/>
      <w:lvlText w:val="%4."/>
      <w:lvlJc w:val="left"/>
      <w:pPr>
        <w:ind w:left="4233" w:hanging="360"/>
      </w:pPr>
    </w:lvl>
    <w:lvl w:ilvl="4" w:tplc="FFFFFFFF" w:tentative="1">
      <w:start w:val="1"/>
      <w:numFmt w:val="lowerLetter"/>
      <w:lvlText w:val="%5."/>
      <w:lvlJc w:val="left"/>
      <w:pPr>
        <w:ind w:left="4953" w:hanging="360"/>
      </w:pPr>
    </w:lvl>
    <w:lvl w:ilvl="5" w:tplc="FFFFFFFF" w:tentative="1">
      <w:start w:val="1"/>
      <w:numFmt w:val="lowerRoman"/>
      <w:lvlText w:val="%6."/>
      <w:lvlJc w:val="right"/>
      <w:pPr>
        <w:ind w:left="5673" w:hanging="180"/>
      </w:pPr>
    </w:lvl>
    <w:lvl w:ilvl="6" w:tplc="FFFFFFFF" w:tentative="1">
      <w:start w:val="1"/>
      <w:numFmt w:val="decimal"/>
      <w:lvlText w:val="%7."/>
      <w:lvlJc w:val="left"/>
      <w:pPr>
        <w:ind w:left="6393" w:hanging="360"/>
      </w:pPr>
    </w:lvl>
    <w:lvl w:ilvl="7" w:tplc="FFFFFFFF" w:tentative="1">
      <w:start w:val="1"/>
      <w:numFmt w:val="lowerLetter"/>
      <w:lvlText w:val="%8."/>
      <w:lvlJc w:val="left"/>
      <w:pPr>
        <w:ind w:left="7113" w:hanging="360"/>
      </w:pPr>
    </w:lvl>
    <w:lvl w:ilvl="8" w:tplc="FFFFFFFF" w:tentative="1">
      <w:start w:val="1"/>
      <w:numFmt w:val="lowerRoman"/>
      <w:lvlText w:val="%9."/>
      <w:lvlJc w:val="right"/>
      <w:pPr>
        <w:ind w:left="7833" w:hanging="180"/>
      </w:pPr>
    </w:lvl>
  </w:abstractNum>
  <w:abstractNum w:abstractNumId="104" w15:restartNumberingAfterBreak="0">
    <w:nsid w:val="287D6BB3"/>
    <w:multiLevelType w:val="hybridMultilevel"/>
    <w:tmpl w:val="DD06D550"/>
    <w:lvl w:ilvl="0" w:tplc="60EA846A">
      <w:start w:val="1"/>
      <w:numFmt w:val="lowerLetter"/>
      <w:lvlText w:val="(%1)"/>
      <w:lvlJc w:val="left"/>
      <w:pPr>
        <w:ind w:left="3087" w:hanging="360"/>
      </w:pPr>
      <w:rPr>
        <w:rFonts w:hint="default"/>
        <w:color w:val="auto"/>
        <w:sz w:val="24"/>
      </w:rPr>
    </w:lvl>
    <w:lvl w:ilvl="1" w:tplc="38090019" w:tentative="1">
      <w:start w:val="1"/>
      <w:numFmt w:val="lowerLetter"/>
      <w:lvlText w:val="%2."/>
      <w:lvlJc w:val="left"/>
      <w:pPr>
        <w:ind w:left="3807" w:hanging="360"/>
      </w:pPr>
    </w:lvl>
    <w:lvl w:ilvl="2" w:tplc="3809001B" w:tentative="1">
      <w:start w:val="1"/>
      <w:numFmt w:val="lowerRoman"/>
      <w:lvlText w:val="%3."/>
      <w:lvlJc w:val="right"/>
      <w:pPr>
        <w:ind w:left="4527" w:hanging="180"/>
      </w:pPr>
    </w:lvl>
    <w:lvl w:ilvl="3" w:tplc="3809000F" w:tentative="1">
      <w:start w:val="1"/>
      <w:numFmt w:val="decimal"/>
      <w:lvlText w:val="%4."/>
      <w:lvlJc w:val="left"/>
      <w:pPr>
        <w:ind w:left="5247" w:hanging="360"/>
      </w:pPr>
    </w:lvl>
    <w:lvl w:ilvl="4" w:tplc="38090019" w:tentative="1">
      <w:start w:val="1"/>
      <w:numFmt w:val="lowerLetter"/>
      <w:lvlText w:val="%5."/>
      <w:lvlJc w:val="left"/>
      <w:pPr>
        <w:ind w:left="5967" w:hanging="360"/>
      </w:pPr>
    </w:lvl>
    <w:lvl w:ilvl="5" w:tplc="3809001B" w:tentative="1">
      <w:start w:val="1"/>
      <w:numFmt w:val="lowerRoman"/>
      <w:lvlText w:val="%6."/>
      <w:lvlJc w:val="right"/>
      <w:pPr>
        <w:ind w:left="6687" w:hanging="180"/>
      </w:pPr>
    </w:lvl>
    <w:lvl w:ilvl="6" w:tplc="3809000F" w:tentative="1">
      <w:start w:val="1"/>
      <w:numFmt w:val="decimal"/>
      <w:lvlText w:val="%7."/>
      <w:lvlJc w:val="left"/>
      <w:pPr>
        <w:ind w:left="7407" w:hanging="360"/>
      </w:pPr>
    </w:lvl>
    <w:lvl w:ilvl="7" w:tplc="38090019" w:tentative="1">
      <w:start w:val="1"/>
      <w:numFmt w:val="lowerLetter"/>
      <w:lvlText w:val="%8."/>
      <w:lvlJc w:val="left"/>
      <w:pPr>
        <w:ind w:left="8127" w:hanging="360"/>
      </w:pPr>
    </w:lvl>
    <w:lvl w:ilvl="8" w:tplc="3809001B" w:tentative="1">
      <w:start w:val="1"/>
      <w:numFmt w:val="lowerRoman"/>
      <w:lvlText w:val="%9."/>
      <w:lvlJc w:val="right"/>
      <w:pPr>
        <w:ind w:left="8847" w:hanging="180"/>
      </w:pPr>
    </w:lvl>
  </w:abstractNum>
  <w:abstractNum w:abstractNumId="105" w15:restartNumberingAfterBreak="0">
    <w:nsid w:val="28893E20"/>
    <w:multiLevelType w:val="hybridMultilevel"/>
    <w:tmpl w:val="654C78A8"/>
    <w:lvl w:ilvl="0" w:tplc="FFFFFFFF">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FFFFFFFF">
      <w:start w:val="1"/>
      <w:numFmt w:val="decimal"/>
      <w:lvlText w:val="(%5)"/>
      <w:lvlJc w:val="righ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6" w15:restartNumberingAfterBreak="0">
    <w:nsid w:val="28E626E1"/>
    <w:multiLevelType w:val="hybridMultilevel"/>
    <w:tmpl w:val="EC5ACD6E"/>
    <w:lvl w:ilvl="0" w:tplc="764CE620">
      <w:start w:val="1"/>
      <w:numFmt w:val="lowerLetter"/>
      <w:lvlText w:val="%1)"/>
      <w:lvlJc w:val="left"/>
      <w:pPr>
        <w:ind w:left="2362" w:hanging="360"/>
      </w:pPr>
      <w:rPr>
        <w:color w:val="000000" w:themeColor="text1"/>
      </w:rPr>
    </w:lvl>
    <w:lvl w:ilvl="1" w:tplc="04090019" w:tentative="1">
      <w:start w:val="1"/>
      <w:numFmt w:val="lowerLetter"/>
      <w:lvlText w:val="%2."/>
      <w:lvlJc w:val="left"/>
      <w:pPr>
        <w:ind w:left="3082" w:hanging="360"/>
      </w:pPr>
    </w:lvl>
    <w:lvl w:ilvl="2" w:tplc="0409001B" w:tentative="1">
      <w:start w:val="1"/>
      <w:numFmt w:val="lowerRoman"/>
      <w:lvlText w:val="%3."/>
      <w:lvlJc w:val="right"/>
      <w:pPr>
        <w:ind w:left="3802" w:hanging="180"/>
      </w:pPr>
    </w:lvl>
    <w:lvl w:ilvl="3" w:tplc="0409000F" w:tentative="1">
      <w:start w:val="1"/>
      <w:numFmt w:val="decimal"/>
      <w:lvlText w:val="%4."/>
      <w:lvlJc w:val="left"/>
      <w:pPr>
        <w:ind w:left="4522" w:hanging="360"/>
      </w:pPr>
    </w:lvl>
    <w:lvl w:ilvl="4" w:tplc="04090019" w:tentative="1">
      <w:start w:val="1"/>
      <w:numFmt w:val="lowerLetter"/>
      <w:lvlText w:val="%5."/>
      <w:lvlJc w:val="left"/>
      <w:pPr>
        <w:ind w:left="5242" w:hanging="360"/>
      </w:pPr>
    </w:lvl>
    <w:lvl w:ilvl="5" w:tplc="0409001B" w:tentative="1">
      <w:start w:val="1"/>
      <w:numFmt w:val="lowerRoman"/>
      <w:lvlText w:val="%6."/>
      <w:lvlJc w:val="right"/>
      <w:pPr>
        <w:ind w:left="5962" w:hanging="180"/>
      </w:pPr>
    </w:lvl>
    <w:lvl w:ilvl="6" w:tplc="0409000F" w:tentative="1">
      <w:start w:val="1"/>
      <w:numFmt w:val="decimal"/>
      <w:lvlText w:val="%7."/>
      <w:lvlJc w:val="left"/>
      <w:pPr>
        <w:ind w:left="6682" w:hanging="360"/>
      </w:pPr>
    </w:lvl>
    <w:lvl w:ilvl="7" w:tplc="04090019" w:tentative="1">
      <w:start w:val="1"/>
      <w:numFmt w:val="lowerLetter"/>
      <w:lvlText w:val="%8."/>
      <w:lvlJc w:val="left"/>
      <w:pPr>
        <w:ind w:left="7402" w:hanging="360"/>
      </w:pPr>
    </w:lvl>
    <w:lvl w:ilvl="8" w:tplc="0409001B" w:tentative="1">
      <w:start w:val="1"/>
      <w:numFmt w:val="lowerRoman"/>
      <w:lvlText w:val="%9."/>
      <w:lvlJc w:val="right"/>
      <w:pPr>
        <w:ind w:left="8122" w:hanging="180"/>
      </w:pPr>
    </w:lvl>
  </w:abstractNum>
  <w:abstractNum w:abstractNumId="107" w15:restartNumberingAfterBreak="0">
    <w:nsid w:val="294D24E9"/>
    <w:multiLevelType w:val="hybridMultilevel"/>
    <w:tmpl w:val="5336914E"/>
    <w:lvl w:ilvl="0" w:tplc="04090019">
      <w:start w:val="1"/>
      <w:numFmt w:val="lowerLetter"/>
      <w:lvlText w:val="%1."/>
      <w:lvlJc w:val="left"/>
      <w:pPr>
        <w:ind w:left="1980" w:hanging="360"/>
      </w:pPr>
      <w:rPr>
        <w:rFonts w:hint="default"/>
      </w:rPr>
    </w:lvl>
    <w:lvl w:ilvl="1" w:tplc="04090017">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8" w15:restartNumberingAfterBreak="0">
    <w:nsid w:val="2A140938"/>
    <w:multiLevelType w:val="hybridMultilevel"/>
    <w:tmpl w:val="FF783F0A"/>
    <w:lvl w:ilvl="0" w:tplc="FFFFFFFF">
      <w:start w:val="1"/>
      <w:numFmt w:val="decimal"/>
      <w:lvlText w:val="%1)"/>
      <w:lvlJc w:val="left"/>
      <w:pPr>
        <w:ind w:left="2345" w:hanging="360"/>
      </w:pPr>
      <w:rPr>
        <w:rFonts w:hint="default"/>
        <w:i w:val="0"/>
        <w:strike w:val="0"/>
        <w:color w:val="auto"/>
        <w:kern w:val="24"/>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109" w15:restartNumberingAfterBreak="0">
    <w:nsid w:val="2A623DFC"/>
    <w:multiLevelType w:val="hybridMultilevel"/>
    <w:tmpl w:val="61205E8A"/>
    <w:lvl w:ilvl="0" w:tplc="2CC879C6">
      <w:start w:val="1"/>
      <w:numFmt w:val="decimal"/>
      <w:lvlText w:val="%1)"/>
      <w:lvlJc w:val="left"/>
      <w:pPr>
        <w:ind w:left="2433" w:hanging="360"/>
      </w:pPr>
      <w:rPr>
        <w:rFonts w:hint="default"/>
        <w:color w:val="000000" w:themeColor="text1"/>
        <w:sz w:val="24"/>
      </w:rPr>
    </w:lvl>
    <w:lvl w:ilvl="1" w:tplc="FFFFFFFF" w:tentative="1">
      <w:start w:val="1"/>
      <w:numFmt w:val="lowerLetter"/>
      <w:lvlText w:val="%2."/>
      <w:lvlJc w:val="left"/>
      <w:pPr>
        <w:ind w:left="3153" w:hanging="360"/>
      </w:pPr>
    </w:lvl>
    <w:lvl w:ilvl="2" w:tplc="FFFFFFFF" w:tentative="1">
      <w:start w:val="1"/>
      <w:numFmt w:val="lowerRoman"/>
      <w:lvlText w:val="%3."/>
      <w:lvlJc w:val="right"/>
      <w:pPr>
        <w:ind w:left="3873" w:hanging="180"/>
      </w:pPr>
    </w:lvl>
    <w:lvl w:ilvl="3" w:tplc="FFFFFFFF" w:tentative="1">
      <w:start w:val="1"/>
      <w:numFmt w:val="decimal"/>
      <w:lvlText w:val="%4."/>
      <w:lvlJc w:val="left"/>
      <w:pPr>
        <w:ind w:left="4593" w:hanging="360"/>
      </w:pPr>
    </w:lvl>
    <w:lvl w:ilvl="4" w:tplc="FFFFFFFF" w:tentative="1">
      <w:start w:val="1"/>
      <w:numFmt w:val="lowerLetter"/>
      <w:lvlText w:val="%5."/>
      <w:lvlJc w:val="left"/>
      <w:pPr>
        <w:ind w:left="5313" w:hanging="360"/>
      </w:pPr>
    </w:lvl>
    <w:lvl w:ilvl="5" w:tplc="FFFFFFFF" w:tentative="1">
      <w:start w:val="1"/>
      <w:numFmt w:val="lowerRoman"/>
      <w:lvlText w:val="%6."/>
      <w:lvlJc w:val="right"/>
      <w:pPr>
        <w:ind w:left="6033" w:hanging="180"/>
      </w:pPr>
    </w:lvl>
    <w:lvl w:ilvl="6" w:tplc="FFFFFFFF" w:tentative="1">
      <w:start w:val="1"/>
      <w:numFmt w:val="decimal"/>
      <w:lvlText w:val="%7."/>
      <w:lvlJc w:val="left"/>
      <w:pPr>
        <w:ind w:left="6753" w:hanging="360"/>
      </w:pPr>
    </w:lvl>
    <w:lvl w:ilvl="7" w:tplc="FFFFFFFF" w:tentative="1">
      <w:start w:val="1"/>
      <w:numFmt w:val="lowerLetter"/>
      <w:lvlText w:val="%8."/>
      <w:lvlJc w:val="left"/>
      <w:pPr>
        <w:ind w:left="7473" w:hanging="360"/>
      </w:pPr>
    </w:lvl>
    <w:lvl w:ilvl="8" w:tplc="FFFFFFFF" w:tentative="1">
      <w:start w:val="1"/>
      <w:numFmt w:val="lowerRoman"/>
      <w:lvlText w:val="%9."/>
      <w:lvlJc w:val="right"/>
      <w:pPr>
        <w:ind w:left="8193" w:hanging="180"/>
      </w:pPr>
    </w:lvl>
  </w:abstractNum>
  <w:abstractNum w:abstractNumId="110" w15:restartNumberingAfterBreak="0">
    <w:nsid w:val="2A8B4CC9"/>
    <w:multiLevelType w:val="hybridMultilevel"/>
    <w:tmpl w:val="DC9AA202"/>
    <w:lvl w:ilvl="0" w:tplc="04090019">
      <w:start w:val="1"/>
      <w:numFmt w:val="lowerLetter"/>
      <w:lvlText w:val="%1."/>
      <w:lvlJc w:val="left"/>
      <w:pPr>
        <w:ind w:left="1647" w:hanging="360"/>
      </w:pPr>
      <w:rPr>
        <w:rFonts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1" w15:restartNumberingAfterBreak="0">
    <w:nsid w:val="2B27307D"/>
    <w:multiLevelType w:val="hybridMultilevel"/>
    <w:tmpl w:val="BEA079E4"/>
    <w:lvl w:ilvl="0" w:tplc="DB7CDF64">
      <w:start w:val="1"/>
      <w:numFmt w:val="lowerLetter"/>
      <w:lvlText w:val="(%1)"/>
      <w:lvlJc w:val="left"/>
      <w:pPr>
        <w:ind w:left="3240" w:hanging="360"/>
      </w:pPr>
      <w:rPr>
        <w:rFonts w:cs="Times New Roman" w:hint="default"/>
        <w:i w:val="0"/>
        <w:strike w:val="0"/>
        <w:color w:val="auto"/>
        <w:kern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2" w15:restartNumberingAfterBreak="0">
    <w:nsid w:val="2B326015"/>
    <w:multiLevelType w:val="hybridMultilevel"/>
    <w:tmpl w:val="F04A0668"/>
    <w:lvl w:ilvl="0" w:tplc="FFFFFFFF">
      <w:start w:val="1"/>
      <w:numFmt w:val="decimal"/>
      <w:lvlText w:val="%1."/>
      <w:lvlJc w:val="left"/>
      <w:pPr>
        <w:ind w:left="1155" w:hanging="360"/>
      </w:pPr>
      <w:rPr>
        <w:color w:val="auto"/>
      </w:rPr>
    </w:lvl>
    <w:lvl w:ilvl="1" w:tplc="FFFFFFFF">
      <w:start w:val="1"/>
      <w:numFmt w:val="lowerLetter"/>
      <w:lvlText w:val="%2."/>
      <w:lvlJc w:val="left"/>
      <w:pPr>
        <w:ind w:left="1875" w:hanging="360"/>
      </w:pPr>
    </w:lvl>
    <w:lvl w:ilvl="2" w:tplc="FFFFFFFF">
      <w:start w:val="1"/>
      <w:numFmt w:val="decimal"/>
      <w:lvlText w:val="%3)"/>
      <w:lvlJc w:val="left"/>
      <w:pPr>
        <w:ind w:left="2927" w:hanging="360"/>
      </w:pPr>
    </w:lvl>
    <w:lvl w:ilvl="3" w:tplc="2CC879C6">
      <w:start w:val="1"/>
      <w:numFmt w:val="decimal"/>
      <w:lvlText w:val="%4)"/>
      <w:lvlJc w:val="left"/>
      <w:pPr>
        <w:ind w:left="2433" w:hanging="360"/>
      </w:pPr>
      <w:rPr>
        <w:rFonts w:hint="default"/>
        <w:color w:val="000000" w:themeColor="text1"/>
        <w:spacing w:val="-1"/>
        <w:w w:val="101"/>
        <w:sz w:val="24"/>
        <w:szCs w:val="24"/>
        <w:lang w:eastAsia="en-US" w:bidi="ar-SA"/>
      </w:rPr>
    </w:lvl>
    <w:lvl w:ilvl="4" w:tplc="FFFFFFFF" w:tentative="1">
      <w:start w:val="1"/>
      <w:numFmt w:val="lowerLetter"/>
      <w:lvlText w:val="%5."/>
      <w:lvlJc w:val="left"/>
      <w:pPr>
        <w:ind w:left="4035" w:hanging="360"/>
      </w:pPr>
    </w:lvl>
    <w:lvl w:ilvl="5" w:tplc="FFFFFFFF" w:tentative="1">
      <w:start w:val="1"/>
      <w:numFmt w:val="lowerRoman"/>
      <w:lvlText w:val="%6."/>
      <w:lvlJc w:val="right"/>
      <w:pPr>
        <w:ind w:left="4755" w:hanging="180"/>
      </w:pPr>
    </w:lvl>
    <w:lvl w:ilvl="6" w:tplc="FFFFFFFF" w:tentative="1">
      <w:start w:val="1"/>
      <w:numFmt w:val="decimal"/>
      <w:lvlText w:val="%7."/>
      <w:lvlJc w:val="left"/>
      <w:pPr>
        <w:ind w:left="5475" w:hanging="360"/>
      </w:pPr>
    </w:lvl>
    <w:lvl w:ilvl="7" w:tplc="FFFFFFFF" w:tentative="1">
      <w:start w:val="1"/>
      <w:numFmt w:val="lowerLetter"/>
      <w:lvlText w:val="%8."/>
      <w:lvlJc w:val="left"/>
      <w:pPr>
        <w:ind w:left="6195" w:hanging="360"/>
      </w:pPr>
    </w:lvl>
    <w:lvl w:ilvl="8" w:tplc="FFFFFFFF" w:tentative="1">
      <w:start w:val="1"/>
      <w:numFmt w:val="lowerRoman"/>
      <w:lvlText w:val="%9."/>
      <w:lvlJc w:val="right"/>
      <w:pPr>
        <w:ind w:left="6915" w:hanging="180"/>
      </w:pPr>
    </w:lvl>
  </w:abstractNum>
  <w:abstractNum w:abstractNumId="113" w15:restartNumberingAfterBreak="0">
    <w:nsid w:val="2B5525C2"/>
    <w:multiLevelType w:val="hybridMultilevel"/>
    <w:tmpl w:val="F25C4170"/>
    <w:lvl w:ilvl="0" w:tplc="38090017">
      <w:start w:val="1"/>
      <w:numFmt w:val="lowerLetter"/>
      <w:lvlText w:val="%1)"/>
      <w:lvlJc w:val="left"/>
      <w:pPr>
        <w:ind w:left="2361" w:hanging="360"/>
      </w:pPr>
      <w:rPr>
        <w:rFonts w:hint="default"/>
        <w:color w:val="auto"/>
      </w:rPr>
    </w:lvl>
    <w:lvl w:ilvl="1" w:tplc="FFFFFFFF" w:tentative="1">
      <w:start w:val="1"/>
      <w:numFmt w:val="lowerLetter"/>
      <w:lvlText w:val="%2."/>
      <w:lvlJc w:val="left"/>
      <w:pPr>
        <w:ind w:left="3081" w:hanging="360"/>
      </w:pPr>
    </w:lvl>
    <w:lvl w:ilvl="2" w:tplc="FFFFFFFF" w:tentative="1">
      <w:start w:val="1"/>
      <w:numFmt w:val="lowerRoman"/>
      <w:lvlText w:val="%3."/>
      <w:lvlJc w:val="right"/>
      <w:pPr>
        <w:ind w:left="3801" w:hanging="180"/>
      </w:pPr>
    </w:lvl>
    <w:lvl w:ilvl="3" w:tplc="FFFFFFFF" w:tentative="1">
      <w:start w:val="1"/>
      <w:numFmt w:val="decimal"/>
      <w:lvlText w:val="%4."/>
      <w:lvlJc w:val="left"/>
      <w:pPr>
        <w:ind w:left="4521" w:hanging="360"/>
      </w:pPr>
    </w:lvl>
    <w:lvl w:ilvl="4" w:tplc="FFFFFFFF" w:tentative="1">
      <w:start w:val="1"/>
      <w:numFmt w:val="lowerLetter"/>
      <w:lvlText w:val="%5."/>
      <w:lvlJc w:val="left"/>
      <w:pPr>
        <w:ind w:left="5241" w:hanging="360"/>
      </w:pPr>
    </w:lvl>
    <w:lvl w:ilvl="5" w:tplc="FFFFFFFF" w:tentative="1">
      <w:start w:val="1"/>
      <w:numFmt w:val="lowerRoman"/>
      <w:lvlText w:val="%6."/>
      <w:lvlJc w:val="right"/>
      <w:pPr>
        <w:ind w:left="5961" w:hanging="180"/>
      </w:pPr>
    </w:lvl>
    <w:lvl w:ilvl="6" w:tplc="FFFFFFFF" w:tentative="1">
      <w:start w:val="1"/>
      <w:numFmt w:val="decimal"/>
      <w:lvlText w:val="%7."/>
      <w:lvlJc w:val="left"/>
      <w:pPr>
        <w:ind w:left="6681" w:hanging="360"/>
      </w:pPr>
    </w:lvl>
    <w:lvl w:ilvl="7" w:tplc="FFFFFFFF" w:tentative="1">
      <w:start w:val="1"/>
      <w:numFmt w:val="lowerLetter"/>
      <w:lvlText w:val="%8."/>
      <w:lvlJc w:val="left"/>
      <w:pPr>
        <w:ind w:left="7401" w:hanging="360"/>
      </w:pPr>
    </w:lvl>
    <w:lvl w:ilvl="8" w:tplc="FFFFFFFF" w:tentative="1">
      <w:start w:val="1"/>
      <w:numFmt w:val="lowerRoman"/>
      <w:lvlText w:val="%9."/>
      <w:lvlJc w:val="right"/>
      <w:pPr>
        <w:ind w:left="8121" w:hanging="180"/>
      </w:pPr>
    </w:lvl>
  </w:abstractNum>
  <w:abstractNum w:abstractNumId="114" w15:restartNumberingAfterBreak="0">
    <w:nsid w:val="2B807BED"/>
    <w:multiLevelType w:val="hybridMultilevel"/>
    <w:tmpl w:val="D944A674"/>
    <w:lvl w:ilvl="0" w:tplc="5F0CCC0A">
      <w:start w:val="1"/>
      <w:numFmt w:val="decimal"/>
      <w:lvlText w:val="(%1)"/>
      <w:lvlJc w:val="left"/>
      <w:pPr>
        <w:ind w:left="2160" w:hanging="360"/>
      </w:pPr>
      <w:rPr>
        <w:rFonts w:hint="default"/>
        <w:i w:val="0"/>
        <w:strike w:val="0"/>
        <w:color w:val="auto"/>
        <w:kern w:val="24"/>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5" w15:restartNumberingAfterBreak="0">
    <w:nsid w:val="2B910DA8"/>
    <w:multiLevelType w:val="hybridMultilevel"/>
    <w:tmpl w:val="217CEA54"/>
    <w:lvl w:ilvl="0" w:tplc="FFFFFFFF">
      <w:start w:val="1"/>
      <w:numFmt w:val="lowerLetter"/>
      <w:lvlText w:val="%1."/>
      <w:lvlJc w:val="left"/>
      <w:pPr>
        <w:ind w:left="2167" w:hanging="360"/>
      </w:pPr>
      <w:rPr>
        <w:color w:val="000000" w:themeColor="text1"/>
      </w:rPr>
    </w:lvl>
    <w:lvl w:ilvl="1" w:tplc="FFFFFFFF">
      <w:start w:val="1"/>
      <w:numFmt w:val="lowerLetter"/>
      <w:lvlText w:val="%2."/>
      <w:lvlJc w:val="left"/>
      <w:pPr>
        <w:ind w:left="2887" w:hanging="360"/>
      </w:pPr>
    </w:lvl>
    <w:lvl w:ilvl="2" w:tplc="FFFFFFFF">
      <w:start w:val="1"/>
      <w:numFmt w:val="lowerRoman"/>
      <w:lvlText w:val="%3."/>
      <w:lvlJc w:val="right"/>
      <w:pPr>
        <w:ind w:left="3607" w:hanging="180"/>
      </w:pPr>
    </w:lvl>
    <w:lvl w:ilvl="3" w:tplc="FFFFFFFF">
      <w:start w:val="1"/>
      <w:numFmt w:val="decimal"/>
      <w:lvlText w:val="%4)"/>
      <w:lvlJc w:val="left"/>
      <w:pPr>
        <w:ind w:left="4327" w:hanging="360"/>
      </w:pPr>
    </w:lvl>
    <w:lvl w:ilvl="4" w:tplc="FFFFFFFF">
      <w:start w:val="1"/>
      <w:numFmt w:val="lowerLetter"/>
      <w:lvlText w:val="%5."/>
      <w:lvlJc w:val="left"/>
      <w:pPr>
        <w:ind w:left="5047" w:hanging="360"/>
      </w:pPr>
    </w:lvl>
    <w:lvl w:ilvl="5" w:tplc="FFFFFFFF">
      <w:start w:val="1"/>
      <w:numFmt w:val="lowerRoman"/>
      <w:lvlText w:val="%6."/>
      <w:lvlJc w:val="right"/>
      <w:pPr>
        <w:ind w:left="5767" w:hanging="180"/>
      </w:pPr>
    </w:lvl>
    <w:lvl w:ilvl="6" w:tplc="FFFFFFFF">
      <w:start w:val="1"/>
      <w:numFmt w:val="decimal"/>
      <w:lvlText w:val="%7."/>
      <w:lvlJc w:val="left"/>
      <w:pPr>
        <w:ind w:left="6487" w:hanging="360"/>
      </w:pPr>
    </w:lvl>
    <w:lvl w:ilvl="7" w:tplc="FFFFFFFF">
      <w:start w:val="1"/>
      <w:numFmt w:val="lowerLetter"/>
      <w:lvlText w:val="%8."/>
      <w:lvlJc w:val="left"/>
      <w:pPr>
        <w:ind w:left="7207" w:hanging="360"/>
      </w:pPr>
    </w:lvl>
    <w:lvl w:ilvl="8" w:tplc="FFFFFFFF">
      <w:start w:val="1"/>
      <w:numFmt w:val="lowerRoman"/>
      <w:lvlText w:val="%9."/>
      <w:lvlJc w:val="right"/>
      <w:pPr>
        <w:ind w:left="7927" w:hanging="180"/>
      </w:pPr>
    </w:lvl>
  </w:abstractNum>
  <w:abstractNum w:abstractNumId="116" w15:restartNumberingAfterBreak="0">
    <w:nsid w:val="2BAB7B1A"/>
    <w:multiLevelType w:val="hybridMultilevel"/>
    <w:tmpl w:val="06AA07EC"/>
    <w:lvl w:ilvl="0" w:tplc="FFFFFFFF">
      <w:start w:val="1"/>
      <w:numFmt w:val="lowerLetter"/>
      <w:lvlText w:val="%1)"/>
      <w:lvlJc w:val="left"/>
      <w:pPr>
        <w:ind w:left="2203" w:hanging="360"/>
      </w:pPr>
      <w:rPr>
        <w:rFonts w:hint="default"/>
      </w:rPr>
    </w:lvl>
    <w:lvl w:ilvl="1" w:tplc="FFFFFFFF">
      <w:start w:val="1"/>
      <w:numFmt w:val="bullet"/>
      <w:lvlText w:val="o"/>
      <w:lvlJc w:val="left"/>
      <w:pPr>
        <w:ind w:left="2923" w:hanging="360"/>
      </w:pPr>
      <w:rPr>
        <w:rFonts w:ascii="Courier New" w:hAnsi="Courier New" w:cs="Courier New" w:hint="default"/>
      </w:rPr>
    </w:lvl>
    <w:lvl w:ilvl="2" w:tplc="FFFFFFFF" w:tentative="1">
      <w:start w:val="1"/>
      <w:numFmt w:val="bullet"/>
      <w:lvlText w:val=""/>
      <w:lvlJc w:val="left"/>
      <w:pPr>
        <w:ind w:left="3643" w:hanging="360"/>
      </w:pPr>
      <w:rPr>
        <w:rFonts w:ascii="Wingdings" w:hAnsi="Wingdings" w:hint="default"/>
      </w:rPr>
    </w:lvl>
    <w:lvl w:ilvl="3" w:tplc="FFFFFFFF" w:tentative="1">
      <w:start w:val="1"/>
      <w:numFmt w:val="bullet"/>
      <w:lvlText w:val=""/>
      <w:lvlJc w:val="left"/>
      <w:pPr>
        <w:ind w:left="4363" w:hanging="360"/>
      </w:pPr>
      <w:rPr>
        <w:rFonts w:ascii="Symbol" w:hAnsi="Symbol" w:hint="default"/>
      </w:rPr>
    </w:lvl>
    <w:lvl w:ilvl="4" w:tplc="FFFFFFFF" w:tentative="1">
      <w:start w:val="1"/>
      <w:numFmt w:val="bullet"/>
      <w:lvlText w:val="o"/>
      <w:lvlJc w:val="left"/>
      <w:pPr>
        <w:ind w:left="5083" w:hanging="360"/>
      </w:pPr>
      <w:rPr>
        <w:rFonts w:ascii="Courier New" w:hAnsi="Courier New" w:cs="Courier New" w:hint="default"/>
      </w:rPr>
    </w:lvl>
    <w:lvl w:ilvl="5" w:tplc="FFFFFFFF" w:tentative="1">
      <w:start w:val="1"/>
      <w:numFmt w:val="bullet"/>
      <w:lvlText w:val=""/>
      <w:lvlJc w:val="left"/>
      <w:pPr>
        <w:ind w:left="5803" w:hanging="360"/>
      </w:pPr>
      <w:rPr>
        <w:rFonts w:ascii="Wingdings" w:hAnsi="Wingdings" w:hint="default"/>
      </w:rPr>
    </w:lvl>
    <w:lvl w:ilvl="6" w:tplc="FFFFFFFF" w:tentative="1">
      <w:start w:val="1"/>
      <w:numFmt w:val="bullet"/>
      <w:lvlText w:val=""/>
      <w:lvlJc w:val="left"/>
      <w:pPr>
        <w:ind w:left="6523" w:hanging="360"/>
      </w:pPr>
      <w:rPr>
        <w:rFonts w:ascii="Symbol" w:hAnsi="Symbol" w:hint="default"/>
      </w:rPr>
    </w:lvl>
    <w:lvl w:ilvl="7" w:tplc="FFFFFFFF" w:tentative="1">
      <w:start w:val="1"/>
      <w:numFmt w:val="bullet"/>
      <w:lvlText w:val="o"/>
      <w:lvlJc w:val="left"/>
      <w:pPr>
        <w:ind w:left="7243" w:hanging="360"/>
      </w:pPr>
      <w:rPr>
        <w:rFonts w:ascii="Courier New" w:hAnsi="Courier New" w:cs="Courier New" w:hint="default"/>
      </w:rPr>
    </w:lvl>
    <w:lvl w:ilvl="8" w:tplc="FFFFFFFF" w:tentative="1">
      <w:start w:val="1"/>
      <w:numFmt w:val="bullet"/>
      <w:lvlText w:val=""/>
      <w:lvlJc w:val="left"/>
      <w:pPr>
        <w:ind w:left="7963" w:hanging="360"/>
      </w:pPr>
      <w:rPr>
        <w:rFonts w:ascii="Wingdings" w:hAnsi="Wingdings" w:hint="default"/>
      </w:rPr>
    </w:lvl>
  </w:abstractNum>
  <w:abstractNum w:abstractNumId="117" w15:restartNumberingAfterBreak="0">
    <w:nsid w:val="2C0A2AA8"/>
    <w:multiLevelType w:val="hybridMultilevel"/>
    <w:tmpl w:val="2EF27AA2"/>
    <w:lvl w:ilvl="0" w:tplc="FFFFFFFF">
      <w:start w:val="1"/>
      <w:numFmt w:val="lowerLetter"/>
      <w:lvlText w:val="(%1)"/>
      <w:lvlJc w:val="left"/>
      <w:pPr>
        <w:ind w:left="3254" w:hanging="360"/>
      </w:pPr>
      <w:rPr>
        <w:rFonts w:cs="Times New Roman" w:hint="default"/>
        <w:i w:val="0"/>
        <w:strike w:val="0"/>
        <w:color w:val="auto"/>
        <w:kern w:val="24"/>
      </w:rPr>
    </w:lvl>
    <w:lvl w:ilvl="1" w:tplc="FFFFFFFF" w:tentative="1">
      <w:start w:val="1"/>
      <w:numFmt w:val="lowerLetter"/>
      <w:lvlText w:val="%2."/>
      <w:lvlJc w:val="left"/>
      <w:pPr>
        <w:ind w:left="3974" w:hanging="360"/>
      </w:pPr>
    </w:lvl>
    <w:lvl w:ilvl="2" w:tplc="FFFFFFFF" w:tentative="1">
      <w:start w:val="1"/>
      <w:numFmt w:val="lowerRoman"/>
      <w:lvlText w:val="%3."/>
      <w:lvlJc w:val="right"/>
      <w:pPr>
        <w:ind w:left="4694" w:hanging="180"/>
      </w:pPr>
    </w:lvl>
    <w:lvl w:ilvl="3" w:tplc="FFFFFFFF" w:tentative="1">
      <w:start w:val="1"/>
      <w:numFmt w:val="decimal"/>
      <w:lvlText w:val="%4."/>
      <w:lvlJc w:val="left"/>
      <w:pPr>
        <w:ind w:left="5414" w:hanging="360"/>
      </w:pPr>
    </w:lvl>
    <w:lvl w:ilvl="4" w:tplc="FFFFFFFF" w:tentative="1">
      <w:start w:val="1"/>
      <w:numFmt w:val="lowerLetter"/>
      <w:lvlText w:val="%5."/>
      <w:lvlJc w:val="left"/>
      <w:pPr>
        <w:ind w:left="6134" w:hanging="360"/>
      </w:pPr>
    </w:lvl>
    <w:lvl w:ilvl="5" w:tplc="FFFFFFFF" w:tentative="1">
      <w:start w:val="1"/>
      <w:numFmt w:val="lowerRoman"/>
      <w:lvlText w:val="%6."/>
      <w:lvlJc w:val="right"/>
      <w:pPr>
        <w:ind w:left="6854" w:hanging="180"/>
      </w:pPr>
    </w:lvl>
    <w:lvl w:ilvl="6" w:tplc="FFFFFFFF" w:tentative="1">
      <w:start w:val="1"/>
      <w:numFmt w:val="decimal"/>
      <w:lvlText w:val="%7."/>
      <w:lvlJc w:val="left"/>
      <w:pPr>
        <w:ind w:left="7574" w:hanging="360"/>
      </w:pPr>
    </w:lvl>
    <w:lvl w:ilvl="7" w:tplc="FFFFFFFF" w:tentative="1">
      <w:start w:val="1"/>
      <w:numFmt w:val="lowerLetter"/>
      <w:lvlText w:val="%8."/>
      <w:lvlJc w:val="left"/>
      <w:pPr>
        <w:ind w:left="8294" w:hanging="360"/>
      </w:pPr>
    </w:lvl>
    <w:lvl w:ilvl="8" w:tplc="FFFFFFFF" w:tentative="1">
      <w:start w:val="1"/>
      <w:numFmt w:val="lowerRoman"/>
      <w:lvlText w:val="%9."/>
      <w:lvlJc w:val="right"/>
      <w:pPr>
        <w:ind w:left="9014" w:hanging="180"/>
      </w:pPr>
    </w:lvl>
  </w:abstractNum>
  <w:abstractNum w:abstractNumId="118" w15:restartNumberingAfterBreak="0">
    <w:nsid w:val="2D30376E"/>
    <w:multiLevelType w:val="hybridMultilevel"/>
    <w:tmpl w:val="FF783F0A"/>
    <w:lvl w:ilvl="0" w:tplc="FFFFFFFF">
      <w:start w:val="1"/>
      <w:numFmt w:val="decimal"/>
      <w:lvlText w:val="%1)"/>
      <w:lvlJc w:val="left"/>
      <w:pPr>
        <w:ind w:left="2345" w:hanging="360"/>
      </w:pPr>
      <w:rPr>
        <w:rFonts w:hint="default"/>
        <w:i w:val="0"/>
        <w:strike w:val="0"/>
        <w:color w:val="auto"/>
        <w:kern w:val="24"/>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119" w15:restartNumberingAfterBreak="0">
    <w:nsid w:val="2DA26CD5"/>
    <w:multiLevelType w:val="hybridMultilevel"/>
    <w:tmpl w:val="5EBCE25A"/>
    <w:lvl w:ilvl="0" w:tplc="FFFFFFFF">
      <w:start w:val="1"/>
      <w:numFmt w:val="lowerLetter"/>
      <w:lvlText w:val="(%1)"/>
      <w:lvlJc w:val="left"/>
      <w:pPr>
        <w:ind w:left="3254" w:hanging="360"/>
      </w:pPr>
      <w:rPr>
        <w:rFonts w:cs="Times New Roman" w:hint="default"/>
        <w:i w:val="0"/>
        <w:strike w:val="0"/>
        <w:color w:val="auto"/>
        <w:kern w:val="24"/>
      </w:rPr>
    </w:lvl>
    <w:lvl w:ilvl="1" w:tplc="FFFFFFFF" w:tentative="1">
      <w:start w:val="1"/>
      <w:numFmt w:val="lowerLetter"/>
      <w:lvlText w:val="%2."/>
      <w:lvlJc w:val="left"/>
      <w:pPr>
        <w:ind w:left="3974" w:hanging="360"/>
      </w:pPr>
    </w:lvl>
    <w:lvl w:ilvl="2" w:tplc="FFFFFFFF" w:tentative="1">
      <w:start w:val="1"/>
      <w:numFmt w:val="lowerRoman"/>
      <w:lvlText w:val="%3."/>
      <w:lvlJc w:val="right"/>
      <w:pPr>
        <w:ind w:left="4694" w:hanging="180"/>
      </w:pPr>
    </w:lvl>
    <w:lvl w:ilvl="3" w:tplc="FFFFFFFF" w:tentative="1">
      <w:start w:val="1"/>
      <w:numFmt w:val="decimal"/>
      <w:lvlText w:val="%4."/>
      <w:lvlJc w:val="left"/>
      <w:pPr>
        <w:ind w:left="5414" w:hanging="360"/>
      </w:pPr>
    </w:lvl>
    <w:lvl w:ilvl="4" w:tplc="FFFFFFFF" w:tentative="1">
      <w:start w:val="1"/>
      <w:numFmt w:val="lowerLetter"/>
      <w:lvlText w:val="%5."/>
      <w:lvlJc w:val="left"/>
      <w:pPr>
        <w:ind w:left="6134" w:hanging="360"/>
      </w:pPr>
    </w:lvl>
    <w:lvl w:ilvl="5" w:tplc="FFFFFFFF" w:tentative="1">
      <w:start w:val="1"/>
      <w:numFmt w:val="lowerRoman"/>
      <w:lvlText w:val="%6."/>
      <w:lvlJc w:val="right"/>
      <w:pPr>
        <w:ind w:left="6854" w:hanging="180"/>
      </w:pPr>
    </w:lvl>
    <w:lvl w:ilvl="6" w:tplc="FFFFFFFF" w:tentative="1">
      <w:start w:val="1"/>
      <w:numFmt w:val="decimal"/>
      <w:lvlText w:val="%7."/>
      <w:lvlJc w:val="left"/>
      <w:pPr>
        <w:ind w:left="7574" w:hanging="360"/>
      </w:pPr>
    </w:lvl>
    <w:lvl w:ilvl="7" w:tplc="FFFFFFFF" w:tentative="1">
      <w:start w:val="1"/>
      <w:numFmt w:val="lowerLetter"/>
      <w:lvlText w:val="%8."/>
      <w:lvlJc w:val="left"/>
      <w:pPr>
        <w:ind w:left="8294" w:hanging="360"/>
      </w:pPr>
    </w:lvl>
    <w:lvl w:ilvl="8" w:tplc="FFFFFFFF" w:tentative="1">
      <w:start w:val="1"/>
      <w:numFmt w:val="lowerRoman"/>
      <w:lvlText w:val="%9."/>
      <w:lvlJc w:val="right"/>
      <w:pPr>
        <w:ind w:left="9014" w:hanging="180"/>
      </w:pPr>
    </w:lvl>
  </w:abstractNum>
  <w:abstractNum w:abstractNumId="120" w15:restartNumberingAfterBreak="0">
    <w:nsid w:val="2E95333E"/>
    <w:multiLevelType w:val="hybridMultilevel"/>
    <w:tmpl w:val="190674AC"/>
    <w:lvl w:ilvl="0" w:tplc="FFFFFFFF">
      <w:start w:val="1"/>
      <w:numFmt w:val="decimal"/>
      <w:lvlText w:val="(%1)"/>
      <w:lvlJc w:val="left"/>
      <w:pPr>
        <w:ind w:left="2736" w:hanging="360"/>
      </w:pPr>
      <w:rPr>
        <w:rFonts w:hint="default"/>
        <w:color w:val="auto"/>
      </w:rPr>
    </w:lvl>
    <w:lvl w:ilvl="1" w:tplc="FFFFFFFF" w:tentative="1">
      <w:start w:val="1"/>
      <w:numFmt w:val="lowerLetter"/>
      <w:lvlText w:val="%2."/>
      <w:lvlJc w:val="left"/>
      <w:pPr>
        <w:ind w:left="3456" w:hanging="360"/>
      </w:pPr>
    </w:lvl>
    <w:lvl w:ilvl="2" w:tplc="FFFFFFFF" w:tentative="1">
      <w:start w:val="1"/>
      <w:numFmt w:val="lowerRoman"/>
      <w:lvlText w:val="%3."/>
      <w:lvlJc w:val="right"/>
      <w:pPr>
        <w:ind w:left="4176" w:hanging="180"/>
      </w:pPr>
    </w:lvl>
    <w:lvl w:ilvl="3" w:tplc="FFFFFFFF" w:tentative="1">
      <w:start w:val="1"/>
      <w:numFmt w:val="decimal"/>
      <w:lvlText w:val="%4."/>
      <w:lvlJc w:val="left"/>
      <w:pPr>
        <w:ind w:left="4896" w:hanging="360"/>
      </w:pPr>
    </w:lvl>
    <w:lvl w:ilvl="4" w:tplc="FFFFFFFF" w:tentative="1">
      <w:start w:val="1"/>
      <w:numFmt w:val="lowerLetter"/>
      <w:lvlText w:val="%5."/>
      <w:lvlJc w:val="left"/>
      <w:pPr>
        <w:ind w:left="5616" w:hanging="360"/>
      </w:pPr>
    </w:lvl>
    <w:lvl w:ilvl="5" w:tplc="FFFFFFFF" w:tentative="1">
      <w:start w:val="1"/>
      <w:numFmt w:val="lowerRoman"/>
      <w:lvlText w:val="%6."/>
      <w:lvlJc w:val="right"/>
      <w:pPr>
        <w:ind w:left="6336" w:hanging="180"/>
      </w:pPr>
    </w:lvl>
    <w:lvl w:ilvl="6" w:tplc="FFFFFFFF" w:tentative="1">
      <w:start w:val="1"/>
      <w:numFmt w:val="decimal"/>
      <w:lvlText w:val="%7."/>
      <w:lvlJc w:val="left"/>
      <w:pPr>
        <w:ind w:left="7056" w:hanging="360"/>
      </w:pPr>
    </w:lvl>
    <w:lvl w:ilvl="7" w:tplc="FFFFFFFF" w:tentative="1">
      <w:start w:val="1"/>
      <w:numFmt w:val="lowerLetter"/>
      <w:lvlText w:val="%8."/>
      <w:lvlJc w:val="left"/>
      <w:pPr>
        <w:ind w:left="7776" w:hanging="360"/>
      </w:pPr>
    </w:lvl>
    <w:lvl w:ilvl="8" w:tplc="FFFFFFFF" w:tentative="1">
      <w:start w:val="1"/>
      <w:numFmt w:val="lowerRoman"/>
      <w:lvlText w:val="%9."/>
      <w:lvlJc w:val="right"/>
      <w:pPr>
        <w:ind w:left="8496" w:hanging="180"/>
      </w:pPr>
    </w:lvl>
  </w:abstractNum>
  <w:abstractNum w:abstractNumId="121" w15:restartNumberingAfterBreak="0">
    <w:nsid w:val="2F563D4C"/>
    <w:multiLevelType w:val="hybridMultilevel"/>
    <w:tmpl w:val="9C8AC322"/>
    <w:lvl w:ilvl="0" w:tplc="FFFFFFFF">
      <w:start w:val="1"/>
      <w:numFmt w:val="decimal"/>
      <w:lvlText w:val="(%1)"/>
      <w:lvlJc w:val="right"/>
      <w:pPr>
        <w:ind w:left="3130" w:hanging="360"/>
      </w:pPr>
      <w:rPr>
        <w:rFonts w:hint="default"/>
      </w:rPr>
    </w:lvl>
    <w:lvl w:ilvl="1" w:tplc="38090019" w:tentative="1">
      <w:start w:val="1"/>
      <w:numFmt w:val="lowerLetter"/>
      <w:lvlText w:val="%2."/>
      <w:lvlJc w:val="left"/>
      <w:pPr>
        <w:ind w:left="3850" w:hanging="360"/>
      </w:pPr>
    </w:lvl>
    <w:lvl w:ilvl="2" w:tplc="3809001B" w:tentative="1">
      <w:start w:val="1"/>
      <w:numFmt w:val="lowerRoman"/>
      <w:lvlText w:val="%3."/>
      <w:lvlJc w:val="right"/>
      <w:pPr>
        <w:ind w:left="4570" w:hanging="180"/>
      </w:pPr>
    </w:lvl>
    <w:lvl w:ilvl="3" w:tplc="3809000F" w:tentative="1">
      <w:start w:val="1"/>
      <w:numFmt w:val="decimal"/>
      <w:lvlText w:val="%4."/>
      <w:lvlJc w:val="left"/>
      <w:pPr>
        <w:ind w:left="5290" w:hanging="360"/>
      </w:pPr>
    </w:lvl>
    <w:lvl w:ilvl="4" w:tplc="38090019" w:tentative="1">
      <w:start w:val="1"/>
      <w:numFmt w:val="lowerLetter"/>
      <w:lvlText w:val="%5."/>
      <w:lvlJc w:val="left"/>
      <w:pPr>
        <w:ind w:left="6010" w:hanging="360"/>
      </w:pPr>
    </w:lvl>
    <w:lvl w:ilvl="5" w:tplc="3809001B" w:tentative="1">
      <w:start w:val="1"/>
      <w:numFmt w:val="lowerRoman"/>
      <w:lvlText w:val="%6."/>
      <w:lvlJc w:val="right"/>
      <w:pPr>
        <w:ind w:left="6730" w:hanging="180"/>
      </w:pPr>
    </w:lvl>
    <w:lvl w:ilvl="6" w:tplc="3809000F" w:tentative="1">
      <w:start w:val="1"/>
      <w:numFmt w:val="decimal"/>
      <w:lvlText w:val="%7."/>
      <w:lvlJc w:val="left"/>
      <w:pPr>
        <w:ind w:left="7450" w:hanging="360"/>
      </w:pPr>
    </w:lvl>
    <w:lvl w:ilvl="7" w:tplc="38090019" w:tentative="1">
      <w:start w:val="1"/>
      <w:numFmt w:val="lowerLetter"/>
      <w:lvlText w:val="%8."/>
      <w:lvlJc w:val="left"/>
      <w:pPr>
        <w:ind w:left="8170" w:hanging="360"/>
      </w:pPr>
    </w:lvl>
    <w:lvl w:ilvl="8" w:tplc="3809001B" w:tentative="1">
      <w:start w:val="1"/>
      <w:numFmt w:val="lowerRoman"/>
      <w:lvlText w:val="%9."/>
      <w:lvlJc w:val="right"/>
      <w:pPr>
        <w:ind w:left="8890" w:hanging="180"/>
      </w:pPr>
    </w:lvl>
  </w:abstractNum>
  <w:abstractNum w:abstractNumId="122" w15:restartNumberingAfterBreak="0">
    <w:nsid w:val="2F5E607C"/>
    <w:multiLevelType w:val="hybridMultilevel"/>
    <w:tmpl w:val="878C9C2E"/>
    <w:lvl w:ilvl="0" w:tplc="04090011">
      <w:start w:val="1"/>
      <w:numFmt w:val="decimal"/>
      <w:lvlText w:val="%1)"/>
      <w:lvlJc w:val="left"/>
      <w:pPr>
        <w:ind w:left="2847" w:hanging="360"/>
      </w:pPr>
      <w:rPr>
        <w:rFonts w:hint="default"/>
        <w:i w:val="0"/>
        <w:strike w:val="0"/>
        <w:color w:val="auto"/>
        <w:kern w:val="24"/>
      </w:rPr>
    </w:lvl>
    <w:lvl w:ilvl="1" w:tplc="38090019" w:tentative="1">
      <w:start w:val="1"/>
      <w:numFmt w:val="lowerLetter"/>
      <w:lvlText w:val="%2."/>
      <w:lvlJc w:val="left"/>
      <w:pPr>
        <w:ind w:left="3567" w:hanging="360"/>
      </w:pPr>
    </w:lvl>
    <w:lvl w:ilvl="2" w:tplc="3809001B" w:tentative="1">
      <w:start w:val="1"/>
      <w:numFmt w:val="lowerRoman"/>
      <w:lvlText w:val="%3."/>
      <w:lvlJc w:val="right"/>
      <w:pPr>
        <w:ind w:left="4287" w:hanging="180"/>
      </w:pPr>
    </w:lvl>
    <w:lvl w:ilvl="3" w:tplc="3809000F" w:tentative="1">
      <w:start w:val="1"/>
      <w:numFmt w:val="decimal"/>
      <w:lvlText w:val="%4."/>
      <w:lvlJc w:val="left"/>
      <w:pPr>
        <w:ind w:left="5007" w:hanging="360"/>
      </w:pPr>
    </w:lvl>
    <w:lvl w:ilvl="4" w:tplc="38090019" w:tentative="1">
      <w:start w:val="1"/>
      <w:numFmt w:val="lowerLetter"/>
      <w:lvlText w:val="%5."/>
      <w:lvlJc w:val="left"/>
      <w:pPr>
        <w:ind w:left="5727" w:hanging="360"/>
      </w:pPr>
    </w:lvl>
    <w:lvl w:ilvl="5" w:tplc="3809001B" w:tentative="1">
      <w:start w:val="1"/>
      <w:numFmt w:val="lowerRoman"/>
      <w:lvlText w:val="%6."/>
      <w:lvlJc w:val="right"/>
      <w:pPr>
        <w:ind w:left="6447" w:hanging="180"/>
      </w:pPr>
    </w:lvl>
    <w:lvl w:ilvl="6" w:tplc="3809000F" w:tentative="1">
      <w:start w:val="1"/>
      <w:numFmt w:val="decimal"/>
      <w:lvlText w:val="%7."/>
      <w:lvlJc w:val="left"/>
      <w:pPr>
        <w:ind w:left="7167" w:hanging="360"/>
      </w:pPr>
    </w:lvl>
    <w:lvl w:ilvl="7" w:tplc="38090019" w:tentative="1">
      <w:start w:val="1"/>
      <w:numFmt w:val="lowerLetter"/>
      <w:lvlText w:val="%8."/>
      <w:lvlJc w:val="left"/>
      <w:pPr>
        <w:ind w:left="7887" w:hanging="360"/>
      </w:pPr>
    </w:lvl>
    <w:lvl w:ilvl="8" w:tplc="3809001B" w:tentative="1">
      <w:start w:val="1"/>
      <w:numFmt w:val="lowerRoman"/>
      <w:lvlText w:val="%9."/>
      <w:lvlJc w:val="right"/>
      <w:pPr>
        <w:ind w:left="8607" w:hanging="180"/>
      </w:pPr>
    </w:lvl>
  </w:abstractNum>
  <w:abstractNum w:abstractNumId="123" w15:restartNumberingAfterBreak="0">
    <w:nsid w:val="2F7E2033"/>
    <w:multiLevelType w:val="hybridMultilevel"/>
    <w:tmpl w:val="8FBE0CEE"/>
    <w:lvl w:ilvl="0" w:tplc="FFFFFFFF">
      <w:start w:val="1"/>
      <w:numFmt w:val="lowerLetter"/>
      <w:lvlText w:val="%1)"/>
      <w:lvlJc w:val="left"/>
      <w:pPr>
        <w:ind w:left="2706" w:hanging="360"/>
      </w:pPr>
      <w:rPr>
        <w:rFonts w:hint="default"/>
        <w:color w:val="auto"/>
      </w:rPr>
    </w:lvl>
    <w:lvl w:ilvl="1" w:tplc="FFFFFFFF" w:tentative="1">
      <w:start w:val="1"/>
      <w:numFmt w:val="lowerLetter"/>
      <w:lvlText w:val="%2."/>
      <w:lvlJc w:val="left"/>
      <w:pPr>
        <w:ind w:left="3426" w:hanging="360"/>
      </w:pPr>
    </w:lvl>
    <w:lvl w:ilvl="2" w:tplc="FFFFFFFF" w:tentative="1">
      <w:start w:val="1"/>
      <w:numFmt w:val="lowerRoman"/>
      <w:lvlText w:val="%3."/>
      <w:lvlJc w:val="right"/>
      <w:pPr>
        <w:ind w:left="4146" w:hanging="180"/>
      </w:pPr>
    </w:lvl>
    <w:lvl w:ilvl="3" w:tplc="FFFFFFFF" w:tentative="1">
      <w:start w:val="1"/>
      <w:numFmt w:val="decimal"/>
      <w:lvlText w:val="%4."/>
      <w:lvlJc w:val="left"/>
      <w:pPr>
        <w:ind w:left="4866" w:hanging="360"/>
      </w:pPr>
    </w:lvl>
    <w:lvl w:ilvl="4" w:tplc="FFFFFFFF" w:tentative="1">
      <w:start w:val="1"/>
      <w:numFmt w:val="lowerLetter"/>
      <w:lvlText w:val="%5."/>
      <w:lvlJc w:val="left"/>
      <w:pPr>
        <w:ind w:left="5586" w:hanging="360"/>
      </w:pPr>
    </w:lvl>
    <w:lvl w:ilvl="5" w:tplc="FFFFFFFF" w:tentative="1">
      <w:start w:val="1"/>
      <w:numFmt w:val="lowerRoman"/>
      <w:lvlText w:val="%6."/>
      <w:lvlJc w:val="right"/>
      <w:pPr>
        <w:ind w:left="6306" w:hanging="180"/>
      </w:pPr>
    </w:lvl>
    <w:lvl w:ilvl="6" w:tplc="FFFFFFFF" w:tentative="1">
      <w:start w:val="1"/>
      <w:numFmt w:val="decimal"/>
      <w:lvlText w:val="%7."/>
      <w:lvlJc w:val="left"/>
      <w:pPr>
        <w:ind w:left="7026" w:hanging="360"/>
      </w:pPr>
    </w:lvl>
    <w:lvl w:ilvl="7" w:tplc="FFFFFFFF" w:tentative="1">
      <w:start w:val="1"/>
      <w:numFmt w:val="lowerLetter"/>
      <w:lvlText w:val="%8."/>
      <w:lvlJc w:val="left"/>
      <w:pPr>
        <w:ind w:left="7746" w:hanging="360"/>
      </w:pPr>
    </w:lvl>
    <w:lvl w:ilvl="8" w:tplc="FFFFFFFF" w:tentative="1">
      <w:start w:val="1"/>
      <w:numFmt w:val="lowerRoman"/>
      <w:lvlText w:val="%9."/>
      <w:lvlJc w:val="right"/>
      <w:pPr>
        <w:ind w:left="8466" w:hanging="180"/>
      </w:pPr>
    </w:lvl>
  </w:abstractNum>
  <w:abstractNum w:abstractNumId="124" w15:restartNumberingAfterBreak="0">
    <w:nsid w:val="305C6E5C"/>
    <w:multiLevelType w:val="hybridMultilevel"/>
    <w:tmpl w:val="6604FF50"/>
    <w:lvl w:ilvl="0" w:tplc="04090019">
      <w:start w:val="1"/>
      <w:numFmt w:val="lowerLetter"/>
      <w:lvlText w:val="%1."/>
      <w:lvlJc w:val="left"/>
      <w:pPr>
        <w:ind w:left="1920" w:hanging="360"/>
      </w:pPr>
      <w:rPr>
        <w:color w:val="000000" w:themeColor="text1"/>
      </w:rPr>
    </w:lvl>
    <w:lvl w:ilvl="1" w:tplc="04210019" w:tentative="1">
      <w:start w:val="1"/>
      <w:numFmt w:val="lowerLetter"/>
      <w:lvlText w:val="%2."/>
      <w:lvlJc w:val="left"/>
      <w:pPr>
        <w:ind w:left="3022" w:hanging="360"/>
      </w:pPr>
    </w:lvl>
    <w:lvl w:ilvl="2" w:tplc="0421001B" w:tentative="1">
      <w:start w:val="1"/>
      <w:numFmt w:val="lowerRoman"/>
      <w:lvlText w:val="%3."/>
      <w:lvlJc w:val="right"/>
      <w:pPr>
        <w:ind w:left="3742" w:hanging="180"/>
      </w:pPr>
    </w:lvl>
    <w:lvl w:ilvl="3" w:tplc="0421000F" w:tentative="1">
      <w:start w:val="1"/>
      <w:numFmt w:val="decimal"/>
      <w:lvlText w:val="%4."/>
      <w:lvlJc w:val="left"/>
      <w:pPr>
        <w:ind w:left="4462" w:hanging="360"/>
      </w:pPr>
    </w:lvl>
    <w:lvl w:ilvl="4" w:tplc="04210019" w:tentative="1">
      <w:start w:val="1"/>
      <w:numFmt w:val="lowerLetter"/>
      <w:lvlText w:val="%5."/>
      <w:lvlJc w:val="left"/>
      <w:pPr>
        <w:ind w:left="5182" w:hanging="360"/>
      </w:pPr>
    </w:lvl>
    <w:lvl w:ilvl="5" w:tplc="0421001B" w:tentative="1">
      <w:start w:val="1"/>
      <w:numFmt w:val="lowerRoman"/>
      <w:lvlText w:val="%6."/>
      <w:lvlJc w:val="right"/>
      <w:pPr>
        <w:ind w:left="5902" w:hanging="180"/>
      </w:pPr>
    </w:lvl>
    <w:lvl w:ilvl="6" w:tplc="0421000F" w:tentative="1">
      <w:start w:val="1"/>
      <w:numFmt w:val="decimal"/>
      <w:lvlText w:val="%7."/>
      <w:lvlJc w:val="left"/>
      <w:pPr>
        <w:ind w:left="6622" w:hanging="360"/>
      </w:pPr>
    </w:lvl>
    <w:lvl w:ilvl="7" w:tplc="04210019" w:tentative="1">
      <w:start w:val="1"/>
      <w:numFmt w:val="lowerLetter"/>
      <w:lvlText w:val="%8."/>
      <w:lvlJc w:val="left"/>
      <w:pPr>
        <w:ind w:left="7342" w:hanging="360"/>
      </w:pPr>
    </w:lvl>
    <w:lvl w:ilvl="8" w:tplc="0421001B" w:tentative="1">
      <w:start w:val="1"/>
      <w:numFmt w:val="lowerRoman"/>
      <w:lvlText w:val="%9."/>
      <w:lvlJc w:val="right"/>
      <w:pPr>
        <w:ind w:left="8062" w:hanging="180"/>
      </w:pPr>
    </w:lvl>
  </w:abstractNum>
  <w:abstractNum w:abstractNumId="125" w15:restartNumberingAfterBreak="0">
    <w:nsid w:val="309879C4"/>
    <w:multiLevelType w:val="hybridMultilevel"/>
    <w:tmpl w:val="0B4EEA90"/>
    <w:lvl w:ilvl="0" w:tplc="50A890AC">
      <w:start w:val="1"/>
      <w:numFmt w:val="lowerLetter"/>
      <w:lvlText w:val="%1)"/>
      <w:lvlJc w:val="left"/>
      <w:pPr>
        <w:ind w:left="2376"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31E83C48"/>
    <w:multiLevelType w:val="hybridMultilevel"/>
    <w:tmpl w:val="9C366F3A"/>
    <w:lvl w:ilvl="0" w:tplc="04090011">
      <w:start w:val="1"/>
      <w:numFmt w:val="decimal"/>
      <w:lvlText w:val="%1)"/>
      <w:lvlJc w:val="left"/>
      <w:pPr>
        <w:ind w:left="2345" w:hanging="360"/>
      </w:pPr>
      <w:rPr>
        <w:rFonts w:hint="default"/>
        <w:i w:val="0"/>
        <w:strike w:val="0"/>
        <w:color w:val="auto"/>
        <w:kern w:val="24"/>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127" w15:restartNumberingAfterBreak="0">
    <w:nsid w:val="32A22720"/>
    <w:multiLevelType w:val="hybridMultilevel"/>
    <w:tmpl w:val="67F23A0C"/>
    <w:lvl w:ilvl="0" w:tplc="04090011">
      <w:start w:val="1"/>
      <w:numFmt w:val="decimal"/>
      <w:lvlText w:val="%1)"/>
      <w:lvlJc w:val="left"/>
      <w:pPr>
        <w:ind w:left="2563" w:hanging="360"/>
      </w:pPr>
    </w:lvl>
    <w:lvl w:ilvl="1" w:tplc="04090019">
      <w:start w:val="1"/>
      <w:numFmt w:val="lowerLetter"/>
      <w:lvlText w:val="%2."/>
      <w:lvlJc w:val="left"/>
      <w:pPr>
        <w:ind w:left="3283" w:hanging="360"/>
      </w:pPr>
    </w:lvl>
    <w:lvl w:ilvl="2" w:tplc="0409001B">
      <w:start w:val="1"/>
      <w:numFmt w:val="lowerRoman"/>
      <w:lvlText w:val="%3."/>
      <w:lvlJc w:val="right"/>
      <w:pPr>
        <w:ind w:left="4003" w:hanging="180"/>
      </w:pPr>
    </w:lvl>
    <w:lvl w:ilvl="3" w:tplc="0409000F">
      <w:start w:val="1"/>
      <w:numFmt w:val="decimal"/>
      <w:lvlText w:val="%4."/>
      <w:lvlJc w:val="left"/>
      <w:pPr>
        <w:ind w:left="4723" w:hanging="360"/>
      </w:pPr>
    </w:lvl>
    <w:lvl w:ilvl="4" w:tplc="04090019">
      <w:start w:val="1"/>
      <w:numFmt w:val="lowerLetter"/>
      <w:lvlText w:val="%5."/>
      <w:lvlJc w:val="left"/>
      <w:pPr>
        <w:ind w:left="5443" w:hanging="360"/>
      </w:pPr>
    </w:lvl>
    <w:lvl w:ilvl="5" w:tplc="0409001B">
      <w:start w:val="1"/>
      <w:numFmt w:val="lowerRoman"/>
      <w:lvlText w:val="%6."/>
      <w:lvlJc w:val="right"/>
      <w:pPr>
        <w:ind w:left="6163" w:hanging="180"/>
      </w:pPr>
    </w:lvl>
    <w:lvl w:ilvl="6" w:tplc="0409000F">
      <w:start w:val="1"/>
      <w:numFmt w:val="decimal"/>
      <w:lvlText w:val="%7."/>
      <w:lvlJc w:val="left"/>
      <w:pPr>
        <w:ind w:left="6883" w:hanging="360"/>
      </w:pPr>
    </w:lvl>
    <w:lvl w:ilvl="7" w:tplc="04090019">
      <w:start w:val="1"/>
      <w:numFmt w:val="lowerLetter"/>
      <w:lvlText w:val="%8."/>
      <w:lvlJc w:val="left"/>
      <w:pPr>
        <w:ind w:left="7603" w:hanging="360"/>
      </w:pPr>
    </w:lvl>
    <w:lvl w:ilvl="8" w:tplc="0409001B">
      <w:start w:val="1"/>
      <w:numFmt w:val="lowerRoman"/>
      <w:lvlText w:val="%9."/>
      <w:lvlJc w:val="right"/>
      <w:pPr>
        <w:ind w:left="8323" w:hanging="180"/>
      </w:pPr>
    </w:lvl>
  </w:abstractNum>
  <w:abstractNum w:abstractNumId="128" w15:restartNumberingAfterBreak="0">
    <w:nsid w:val="32CC7474"/>
    <w:multiLevelType w:val="hybridMultilevel"/>
    <w:tmpl w:val="AADC3E8E"/>
    <w:lvl w:ilvl="0" w:tplc="0409000F">
      <w:start w:val="1"/>
      <w:numFmt w:val="decimal"/>
      <w:lvlText w:val="%1."/>
      <w:lvlJc w:val="left"/>
      <w:pPr>
        <w:ind w:left="1353" w:hanging="360"/>
      </w:p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29" w15:restartNumberingAfterBreak="0">
    <w:nsid w:val="332F45A6"/>
    <w:multiLevelType w:val="hybridMultilevel"/>
    <w:tmpl w:val="E2FC6558"/>
    <w:lvl w:ilvl="0" w:tplc="04090017">
      <w:start w:val="1"/>
      <w:numFmt w:val="lowerLetter"/>
      <w:lvlText w:val="%1)"/>
      <w:lvlJc w:val="left"/>
      <w:pPr>
        <w:ind w:left="2847" w:hanging="360"/>
      </w:pPr>
      <w:rPr>
        <w:rFonts w:hint="default"/>
        <w:i w:val="0"/>
        <w:strike w:val="0"/>
        <w:color w:val="auto"/>
        <w:kern w:val="24"/>
        <w:sz w:val="24"/>
        <w:szCs w:val="24"/>
      </w:rPr>
    </w:lvl>
    <w:lvl w:ilvl="1" w:tplc="38090019" w:tentative="1">
      <w:start w:val="1"/>
      <w:numFmt w:val="lowerLetter"/>
      <w:lvlText w:val="%2."/>
      <w:lvlJc w:val="left"/>
      <w:pPr>
        <w:ind w:left="3567" w:hanging="360"/>
      </w:pPr>
    </w:lvl>
    <w:lvl w:ilvl="2" w:tplc="3809001B" w:tentative="1">
      <w:start w:val="1"/>
      <w:numFmt w:val="lowerRoman"/>
      <w:lvlText w:val="%3."/>
      <w:lvlJc w:val="right"/>
      <w:pPr>
        <w:ind w:left="4287" w:hanging="180"/>
      </w:pPr>
    </w:lvl>
    <w:lvl w:ilvl="3" w:tplc="3809000F" w:tentative="1">
      <w:start w:val="1"/>
      <w:numFmt w:val="decimal"/>
      <w:lvlText w:val="%4."/>
      <w:lvlJc w:val="left"/>
      <w:pPr>
        <w:ind w:left="5007" w:hanging="360"/>
      </w:pPr>
    </w:lvl>
    <w:lvl w:ilvl="4" w:tplc="38090019" w:tentative="1">
      <w:start w:val="1"/>
      <w:numFmt w:val="lowerLetter"/>
      <w:lvlText w:val="%5."/>
      <w:lvlJc w:val="left"/>
      <w:pPr>
        <w:ind w:left="5727" w:hanging="360"/>
      </w:pPr>
    </w:lvl>
    <w:lvl w:ilvl="5" w:tplc="3809001B" w:tentative="1">
      <w:start w:val="1"/>
      <w:numFmt w:val="lowerRoman"/>
      <w:lvlText w:val="%6."/>
      <w:lvlJc w:val="right"/>
      <w:pPr>
        <w:ind w:left="6447" w:hanging="180"/>
      </w:pPr>
    </w:lvl>
    <w:lvl w:ilvl="6" w:tplc="3809000F" w:tentative="1">
      <w:start w:val="1"/>
      <w:numFmt w:val="decimal"/>
      <w:lvlText w:val="%7."/>
      <w:lvlJc w:val="left"/>
      <w:pPr>
        <w:ind w:left="7167" w:hanging="360"/>
      </w:pPr>
    </w:lvl>
    <w:lvl w:ilvl="7" w:tplc="38090019" w:tentative="1">
      <w:start w:val="1"/>
      <w:numFmt w:val="lowerLetter"/>
      <w:lvlText w:val="%8."/>
      <w:lvlJc w:val="left"/>
      <w:pPr>
        <w:ind w:left="7887" w:hanging="360"/>
      </w:pPr>
    </w:lvl>
    <w:lvl w:ilvl="8" w:tplc="3809001B" w:tentative="1">
      <w:start w:val="1"/>
      <w:numFmt w:val="lowerRoman"/>
      <w:lvlText w:val="%9."/>
      <w:lvlJc w:val="right"/>
      <w:pPr>
        <w:ind w:left="8607" w:hanging="180"/>
      </w:pPr>
    </w:lvl>
  </w:abstractNum>
  <w:abstractNum w:abstractNumId="130" w15:restartNumberingAfterBreak="0">
    <w:nsid w:val="33824292"/>
    <w:multiLevelType w:val="hybridMultilevel"/>
    <w:tmpl w:val="817E60FC"/>
    <w:lvl w:ilvl="0" w:tplc="0ADC0112">
      <w:start w:val="1"/>
      <w:numFmt w:val="decimal"/>
      <w:lvlText w:val="%1)"/>
      <w:lvlJc w:val="left"/>
      <w:pPr>
        <w:ind w:left="2002" w:hanging="360"/>
      </w:pPr>
      <w:rPr>
        <w:color w:val="auto"/>
      </w:rPr>
    </w:lvl>
    <w:lvl w:ilvl="1" w:tplc="04210019">
      <w:start w:val="1"/>
      <w:numFmt w:val="lowerLetter"/>
      <w:lvlText w:val="%2."/>
      <w:lvlJc w:val="left"/>
      <w:pPr>
        <w:ind w:left="2722" w:hanging="360"/>
      </w:pPr>
    </w:lvl>
    <w:lvl w:ilvl="2" w:tplc="0421001B" w:tentative="1">
      <w:start w:val="1"/>
      <w:numFmt w:val="lowerRoman"/>
      <w:lvlText w:val="%3."/>
      <w:lvlJc w:val="right"/>
      <w:pPr>
        <w:ind w:left="3442" w:hanging="180"/>
      </w:pPr>
    </w:lvl>
    <w:lvl w:ilvl="3" w:tplc="0421000F" w:tentative="1">
      <w:start w:val="1"/>
      <w:numFmt w:val="decimal"/>
      <w:lvlText w:val="%4."/>
      <w:lvlJc w:val="left"/>
      <w:pPr>
        <w:ind w:left="4162" w:hanging="360"/>
      </w:pPr>
    </w:lvl>
    <w:lvl w:ilvl="4" w:tplc="04210019" w:tentative="1">
      <w:start w:val="1"/>
      <w:numFmt w:val="lowerLetter"/>
      <w:lvlText w:val="%5."/>
      <w:lvlJc w:val="left"/>
      <w:pPr>
        <w:ind w:left="4882" w:hanging="360"/>
      </w:pPr>
    </w:lvl>
    <w:lvl w:ilvl="5" w:tplc="0421001B" w:tentative="1">
      <w:start w:val="1"/>
      <w:numFmt w:val="lowerRoman"/>
      <w:lvlText w:val="%6."/>
      <w:lvlJc w:val="right"/>
      <w:pPr>
        <w:ind w:left="5602" w:hanging="180"/>
      </w:pPr>
    </w:lvl>
    <w:lvl w:ilvl="6" w:tplc="0421000F" w:tentative="1">
      <w:start w:val="1"/>
      <w:numFmt w:val="decimal"/>
      <w:lvlText w:val="%7."/>
      <w:lvlJc w:val="left"/>
      <w:pPr>
        <w:ind w:left="6322" w:hanging="360"/>
      </w:pPr>
    </w:lvl>
    <w:lvl w:ilvl="7" w:tplc="04210019" w:tentative="1">
      <w:start w:val="1"/>
      <w:numFmt w:val="lowerLetter"/>
      <w:lvlText w:val="%8."/>
      <w:lvlJc w:val="left"/>
      <w:pPr>
        <w:ind w:left="7042" w:hanging="360"/>
      </w:pPr>
    </w:lvl>
    <w:lvl w:ilvl="8" w:tplc="0421001B" w:tentative="1">
      <w:start w:val="1"/>
      <w:numFmt w:val="lowerRoman"/>
      <w:lvlText w:val="%9."/>
      <w:lvlJc w:val="right"/>
      <w:pPr>
        <w:ind w:left="7762" w:hanging="180"/>
      </w:pPr>
    </w:lvl>
  </w:abstractNum>
  <w:abstractNum w:abstractNumId="131" w15:restartNumberingAfterBreak="0">
    <w:nsid w:val="342D5BDA"/>
    <w:multiLevelType w:val="hybridMultilevel"/>
    <w:tmpl w:val="702A8850"/>
    <w:lvl w:ilvl="0" w:tplc="5BD46C60">
      <w:start w:val="1"/>
      <w:numFmt w:val="lowerLetter"/>
      <w:lvlText w:val="%1."/>
      <w:lvlJc w:val="left"/>
      <w:pPr>
        <w:ind w:left="2002" w:hanging="360"/>
      </w:pPr>
      <w:rPr>
        <w:i w:val="0"/>
        <w:iCs/>
        <w:color w:val="000000" w:themeColor="text1"/>
        <w:sz w:val="24"/>
        <w:szCs w:val="24"/>
      </w:rPr>
    </w:lvl>
    <w:lvl w:ilvl="1" w:tplc="3809000F">
      <w:start w:val="1"/>
      <w:numFmt w:val="decimal"/>
      <w:lvlText w:val="%2."/>
      <w:lvlJc w:val="left"/>
      <w:pPr>
        <w:ind w:left="1647" w:hanging="360"/>
      </w:pPr>
    </w:lvl>
    <w:lvl w:ilvl="2" w:tplc="39BC321C">
      <w:start w:val="1"/>
      <w:numFmt w:val="lowerLetter"/>
      <w:lvlText w:val="%3."/>
      <w:lvlJc w:val="left"/>
      <w:pPr>
        <w:ind w:left="3622" w:hanging="360"/>
      </w:pPr>
      <w:rPr>
        <w:rFonts w:ascii="Bookman Old Style" w:eastAsia="Bookman Old Style" w:hAnsi="Bookman Old Style" w:cs="Bookman Old Style"/>
      </w:rPr>
    </w:lvl>
    <w:lvl w:ilvl="3" w:tplc="39BC321C">
      <w:start w:val="1"/>
      <w:numFmt w:val="lowerLetter"/>
      <w:lvlText w:val="%4."/>
      <w:lvlJc w:val="left"/>
      <w:pPr>
        <w:ind w:left="4162" w:hanging="360"/>
      </w:pPr>
      <w:rPr>
        <w:rFonts w:ascii="Bookman Old Style" w:eastAsia="Bookman Old Style" w:hAnsi="Bookman Old Style" w:cs="Bookman Old Style"/>
      </w:rPr>
    </w:lvl>
    <w:lvl w:ilvl="4" w:tplc="FFFFFFFF" w:tentative="1">
      <w:start w:val="1"/>
      <w:numFmt w:val="lowerLetter"/>
      <w:lvlText w:val="%5."/>
      <w:lvlJc w:val="left"/>
      <w:pPr>
        <w:ind w:left="4882" w:hanging="360"/>
      </w:pPr>
    </w:lvl>
    <w:lvl w:ilvl="5" w:tplc="FFFFFFFF" w:tentative="1">
      <w:start w:val="1"/>
      <w:numFmt w:val="lowerRoman"/>
      <w:lvlText w:val="%6."/>
      <w:lvlJc w:val="right"/>
      <w:pPr>
        <w:ind w:left="5602" w:hanging="180"/>
      </w:pPr>
    </w:lvl>
    <w:lvl w:ilvl="6" w:tplc="FFFFFFFF" w:tentative="1">
      <w:start w:val="1"/>
      <w:numFmt w:val="decimal"/>
      <w:lvlText w:val="%7."/>
      <w:lvlJc w:val="left"/>
      <w:pPr>
        <w:ind w:left="6322" w:hanging="360"/>
      </w:pPr>
    </w:lvl>
    <w:lvl w:ilvl="7" w:tplc="FFFFFFFF" w:tentative="1">
      <w:start w:val="1"/>
      <w:numFmt w:val="lowerLetter"/>
      <w:lvlText w:val="%8."/>
      <w:lvlJc w:val="left"/>
      <w:pPr>
        <w:ind w:left="7042" w:hanging="360"/>
      </w:pPr>
    </w:lvl>
    <w:lvl w:ilvl="8" w:tplc="FFFFFFFF" w:tentative="1">
      <w:start w:val="1"/>
      <w:numFmt w:val="lowerRoman"/>
      <w:lvlText w:val="%9."/>
      <w:lvlJc w:val="right"/>
      <w:pPr>
        <w:ind w:left="7762" w:hanging="180"/>
      </w:pPr>
    </w:lvl>
  </w:abstractNum>
  <w:abstractNum w:abstractNumId="132" w15:restartNumberingAfterBreak="0">
    <w:nsid w:val="343A4001"/>
    <w:multiLevelType w:val="hybridMultilevel"/>
    <w:tmpl w:val="3DF8C456"/>
    <w:lvl w:ilvl="0" w:tplc="8BD60406">
      <w:start w:val="1"/>
      <w:numFmt w:val="lowerLetter"/>
      <w:lvlText w:val="(%1)"/>
      <w:lvlJc w:val="left"/>
      <w:pPr>
        <w:ind w:left="3093" w:hanging="360"/>
      </w:pPr>
      <w:rPr>
        <w:rFonts w:hint="default"/>
        <w:color w:val="auto"/>
      </w:rPr>
    </w:lvl>
    <w:lvl w:ilvl="1" w:tplc="04090019" w:tentative="1">
      <w:start w:val="1"/>
      <w:numFmt w:val="lowerLetter"/>
      <w:lvlText w:val="%2."/>
      <w:lvlJc w:val="left"/>
      <w:pPr>
        <w:ind w:left="3813" w:hanging="360"/>
      </w:pPr>
    </w:lvl>
    <w:lvl w:ilvl="2" w:tplc="0409001B" w:tentative="1">
      <w:start w:val="1"/>
      <w:numFmt w:val="lowerRoman"/>
      <w:lvlText w:val="%3."/>
      <w:lvlJc w:val="right"/>
      <w:pPr>
        <w:ind w:left="4533" w:hanging="180"/>
      </w:pPr>
    </w:lvl>
    <w:lvl w:ilvl="3" w:tplc="0409000F" w:tentative="1">
      <w:start w:val="1"/>
      <w:numFmt w:val="decimal"/>
      <w:lvlText w:val="%4."/>
      <w:lvlJc w:val="left"/>
      <w:pPr>
        <w:ind w:left="5253" w:hanging="360"/>
      </w:pPr>
    </w:lvl>
    <w:lvl w:ilvl="4" w:tplc="04090019" w:tentative="1">
      <w:start w:val="1"/>
      <w:numFmt w:val="lowerLetter"/>
      <w:lvlText w:val="%5."/>
      <w:lvlJc w:val="left"/>
      <w:pPr>
        <w:ind w:left="5973" w:hanging="360"/>
      </w:pPr>
    </w:lvl>
    <w:lvl w:ilvl="5" w:tplc="0409001B" w:tentative="1">
      <w:start w:val="1"/>
      <w:numFmt w:val="lowerRoman"/>
      <w:lvlText w:val="%6."/>
      <w:lvlJc w:val="right"/>
      <w:pPr>
        <w:ind w:left="6693" w:hanging="180"/>
      </w:pPr>
    </w:lvl>
    <w:lvl w:ilvl="6" w:tplc="0409000F" w:tentative="1">
      <w:start w:val="1"/>
      <w:numFmt w:val="decimal"/>
      <w:lvlText w:val="%7."/>
      <w:lvlJc w:val="left"/>
      <w:pPr>
        <w:ind w:left="7413" w:hanging="360"/>
      </w:pPr>
    </w:lvl>
    <w:lvl w:ilvl="7" w:tplc="04090019" w:tentative="1">
      <w:start w:val="1"/>
      <w:numFmt w:val="lowerLetter"/>
      <w:lvlText w:val="%8."/>
      <w:lvlJc w:val="left"/>
      <w:pPr>
        <w:ind w:left="8133" w:hanging="360"/>
      </w:pPr>
    </w:lvl>
    <w:lvl w:ilvl="8" w:tplc="0409001B" w:tentative="1">
      <w:start w:val="1"/>
      <w:numFmt w:val="lowerRoman"/>
      <w:lvlText w:val="%9."/>
      <w:lvlJc w:val="right"/>
      <w:pPr>
        <w:ind w:left="8853" w:hanging="180"/>
      </w:pPr>
    </w:lvl>
  </w:abstractNum>
  <w:abstractNum w:abstractNumId="133" w15:restartNumberingAfterBreak="0">
    <w:nsid w:val="345C7C88"/>
    <w:multiLevelType w:val="hybridMultilevel"/>
    <w:tmpl w:val="0E0EAECC"/>
    <w:lvl w:ilvl="0" w:tplc="3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60D5EDC"/>
    <w:multiLevelType w:val="hybridMultilevel"/>
    <w:tmpl w:val="29760EF0"/>
    <w:lvl w:ilvl="0" w:tplc="5F0CCC0A">
      <w:start w:val="1"/>
      <w:numFmt w:val="decimal"/>
      <w:lvlText w:val="(%1)"/>
      <w:lvlJc w:val="left"/>
      <w:pPr>
        <w:ind w:left="2160" w:hanging="360"/>
      </w:pPr>
      <w:rPr>
        <w:rFonts w:hint="default"/>
        <w:i w:val="0"/>
        <w:strike w:val="0"/>
        <w:color w:val="auto"/>
        <w:kern w:val="24"/>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35" w15:restartNumberingAfterBreak="0">
    <w:nsid w:val="36742D02"/>
    <w:multiLevelType w:val="hybridMultilevel"/>
    <w:tmpl w:val="C2D044BA"/>
    <w:lvl w:ilvl="0" w:tplc="04090019">
      <w:start w:val="1"/>
      <w:numFmt w:val="lowerLetter"/>
      <w:lvlText w:val="%1."/>
      <w:lvlJc w:val="left"/>
      <w:pPr>
        <w:ind w:left="1987" w:hanging="360"/>
      </w:pPr>
      <w:rPr>
        <w:color w:val="auto"/>
      </w:rPr>
    </w:lvl>
    <w:lvl w:ilvl="1" w:tplc="FFFFFFFF" w:tentative="1">
      <w:start w:val="1"/>
      <w:numFmt w:val="lowerLetter"/>
      <w:lvlText w:val="%2."/>
      <w:lvlJc w:val="left"/>
      <w:pPr>
        <w:ind w:left="2707" w:hanging="360"/>
      </w:pPr>
      <w:rPr>
        <w:rFonts w:cs="Times New Roman"/>
      </w:rPr>
    </w:lvl>
    <w:lvl w:ilvl="2" w:tplc="FFFFFFFF" w:tentative="1">
      <w:start w:val="1"/>
      <w:numFmt w:val="lowerRoman"/>
      <w:lvlText w:val="%3."/>
      <w:lvlJc w:val="right"/>
      <w:pPr>
        <w:ind w:left="3427" w:hanging="180"/>
      </w:pPr>
      <w:rPr>
        <w:rFonts w:cs="Times New Roman"/>
      </w:rPr>
    </w:lvl>
    <w:lvl w:ilvl="3" w:tplc="FFFFFFFF" w:tentative="1">
      <w:start w:val="1"/>
      <w:numFmt w:val="decimal"/>
      <w:lvlText w:val="%4."/>
      <w:lvlJc w:val="left"/>
      <w:pPr>
        <w:ind w:left="4147" w:hanging="360"/>
      </w:pPr>
      <w:rPr>
        <w:rFonts w:cs="Times New Roman"/>
      </w:rPr>
    </w:lvl>
    <w:lvl w:ilvl="4" w:tplc="FFFFFFFF" w:tentative="1">
      <w:start w:val="1"/>
      <w:numFmt w:val="lowerLetter"/>
      <w:lvlText w:val="%5."/>
      <w:lvlJc w:val="left"/>
      <w:pPr>
        <w:ind w:left="4867" w:hanging="360"/>
      </w:pPr>
      <w:rPr>
        <w:rFonts w:cs="Times New Roman"/>
      </w:rPr>
    </w:lvl>
    <w:lvl w:ilvl="5" w:tplc="FFFFFFFF" w:tentative="1">
      <w:start w:val="1"/>
      <w:numFmt w:val="lowerRoman"/>
      <w:lvlText w:val="%6."/>
      <w:lvlJc w:val="right"/>
      <w:pPr>
        <w:ind w:left="5587" w:hanging="180"/>
      </w:pPr>
      <w:rPr>
        <w:rFonts w:cs="Times New Roman"/>
      </w:rPr>
    </w:lvl>
    <w:lvl w:ilvl="6" w:tplc="FFFFFFFF" w:tentative="1">
      <w:start w:val="1"/>
      <w:numFmt w:val="decimal"/>
      <w:lvlText w:val="%7."/>
      <w:lvlJc w:val="left"/>
      <w:pPr>
        <w:ind w:left="6307" w:hanging="360"/>
      </w:pPr>
      <w:rPr>
        <w:rFonts w:cs="Times New Roman"/>
      </w:rPr>
    </w:lvl>
    <w:lvl w:ilvl="7" w:tplc="FFFFFFFF" w:tentative="1">
      <w:start w:val="1"/>
      <w:numFmt w:val="lowerLetter"/>
      <w:lvlText w:val="%8."/>
      <w:lvlJc w:val="left"/>
      <w:pPr>
        <w:ind w:left="7027" w:hanging="360"/>
      </w:pPr>
      <w:rPr>
        <w:rFonts w:cs="Times New Roman"/>
      </w:rPr>
    </w:lvl>
    <w:lvl w:ilvl="8" w:tplc="FFFFFFFF" w:tentative="1">
      <w:start w:val="1"/>
      <w:numFmt w:val="lowerRoman"/>
      <w:lvlText w:val="%9."/>
      <w:lvlJc w:val="right"/>
      <w:pPr>
        <w:ind w:left="7747" w:hanging="180"/>
      </w:pPr>
      <w:rPr>
        <w:rFonts w:cs="Times New Roman"/>
      </w:rPr>
    </w:lvl>
  </w:abstractNum>
  <w:abstractNum w:abstractNumId="136" w15:restartNumberingAfterBreak="0">
    <w:nsid w:val="37587650"/>
    <w:multiLevelType w:val="hybridMultilevel"/>
    <w:tmpl w:val="DD10391E"/>
    <w:lvl w:ilvl="0" w:tplc="89DC5278">
      <w:start w:val="1"/>
      <w:numFmt w:val="lowerLetter"/>
      <w:lvlText w:val="%1)"/>
      <w:lvlJc w:val="left"/>
      <w:pPr>
        <w:ind w:left="2370" w:hanging="360"/>
      </w:pPr>
      <w:rPr>
        <w:rFonts w:ascii="Bookman Old Style" w:hAnsi="Bookman Old Style" w:hint="default"/>
        <w:color w:val="auto"/>
      </w:rPr>
    </w:lvl>
    <w:lvl w:ilvl="1" w:tplc="04090019" w:tentative="1">
      <w:start w:val="1"/>
      <w:numFmt w:val="lowerLetter"/>
      <w:lvlText w:val="%2."/>
      <w:lvlJc w:val="left"/>
      <w:pPr>
        <w:ind w:left="3090" w:hanging="360"/>
      </w:pPr>
    </w:lvl>
    <w:lvl w:ilvl="2" w:tplc="0409001B" w:tentative="1">
      <w:start w:val="1"/>
      <w:numFmt w:val="lowerRoman"/>
      <w:lvlText w:val="%3."/>
      <w:lvlJc w:val="right"/>
      <w:pPr>
        <w:ind w:left="3810" w:hanging="180"/>
      </w:pPr>
    </w:lvl>
    <w:lvl w:ilvl="3" w:tplc="0409000F" w:tentative="1">
      <w:start w:val="1"/>
      <w:numFmt w:val="decimal"/>
      <w:lvlText w:val="%4."/>
      <w:lvlJc w:val="left"/>
      <w:pPr>
        <w:ind w:left="4530" w:hanging="360"/>
      </w:pPr>
    </w:lvl>
    <w:lvl w:ilvl="4" w:tplc="04090019" w:tentative="1">
      <w:start w:val="1"/>
      <w:numFmt w:val="lowerLetter"/>
      <w:lvlText w:val="%5."/>
      <w:lvlJc w:val="left"/>
      <w:pPr>
        <w:ind w:left="5250" w:hanging="360"/>
      </w:pPr>
    </w:lvl>
    <w:lvl w:ilvl="5" w:tplc="0409001B" w:tentative="1">
      <w:start w:val="1"/>
      <w:numFmt w:val="lowerRoman"/>
      <w:lvlText w:val="%6."/>
      <w:lvlJc w:val="right"/>
      <w:pPr>
        <w:ind w:left="5970" w:hanging="180"/>
      </w:pPr>
    </w:lvl>
    <w:lvl w:ilvl="6" w:tplc="0409000F" w:tentative="1">
      <w:start w:val="1"/>
      <w:numFmt w:val="decimal"/>
      <w:lvlText w:val="%7."/>
      <w:lvlJc w:val="left"/>
      <w:pPr>
        <w:ind w:left="6690" w:hanging="360"/>
      </w:pPr>
    </w:lvl>
    <w:lvl w:ilvl="7" w:tplc="04090019" w:tentative="1">
      <w:start w:val="1"/>
      <w:numFmt w:val="lowerLetter"/>
      <w:lvlText w:val="%8."/>
      <w:lvlJc w:val="left"/>
      <w:pPr>
        <w:ind w:left="7410" w:hanging="360"/>
      </w:pPr>
    </w:lvl>
    <w:lvl w:ilvl="8" w:tplc="0409001B" w:tentative="1">
      <w:start w:val="1"/>
      <w:numFmt w:val="lowerRoman"/>
      <w:lvlText w:val="%9."/>
      <w:lvlJc w:val="right"/>
      <w:pPr>
        <w:ind w:left="8130" w:hanging="180"/>
      </w:pPr>
    </w:lvl>
  </w:abstractNum>
  <w:abstractNum w:abstractNumId="137" w15:restartNumberingAfterBreak="0">
    <w:nsid w:val="376853FF"/>
    <w:multiLevelType w:val="hybridMultilevel"/>
    <w:tmpl w:val="3094EE28"/>
    <w:lvl w:ilvl="0" w:tplc="38090019">
      <w:start w:val="1"/>
      <w:numFmt w:val="lowerLetter"/>
      <w:lvlText w:val="%1."/>
      <w:lvlJc w:val="left"/>
      <w:pPr>
        <w:ind w:left="2002" w:hanging="360"/>
      </w:pPr>
      <w:rPr>
        <w:color w:val="000000" w:themeColor="text1"/>
      </w:rPr>
    </w:lvl>
    <w:lvl w:ilvl="1" w:tplc="04210019" w:tentative="1">
      <w:start w:val="1"/>
      <w:numFmt w:val="lowerLetter"/>
      <w:lvlText w:val="%2."/>
      <w:lvlJc w:val="left"/>
      <w:pPr>
        <w:ind w:left="2722" w:hanging="360"/>
      </w:pPr>
    </w:lvl>
    <w:lvl w:ilvl="2" w:tplc="0421001B" w:tentative="1">
      <w:start w:val="1"/>
      <w:numFmt w:val="lowerRoman"/>
      <w:lvlText w:val="%3."/>
      <w:lvlJc w:val="right"/>
      <w:pPr>
        <w:ind w:left="3442" w:hanging="180"/>
      </w:pPr>
    </w:lvl>
    <w:lvl w:ilvl="3" w:tplc="0421000F" w:tentative="1">
      <w:start w:val="1"/>
      <w:numFmt w:val="decimal"/>
      <w:lvlText w:val="%4."/>
      <w:lvlJc w:val="left"/>
      <w:pPr>
        <w:ind w:left="4162" w:hanging="360"/>
      </w:pPr>
    </w:lvl>
    <w:lvl w:ilvl="4" w:tplc="04210019" w:tentative="1">
      <w:start w:val="1"/>
      <w:numFmt w:val="lowerLetter"/>
      <w:lvlText w:val="%5."/>
      <w:lvlJc w:val="left"/>
      <w:pPr>
        <w:ind w:left="4882" w:hanging="360"/>
      </w:pPr>
    </w:lvl>
    <w:lvl w:ilvl="5" w:tplc="0421001B" w:tentative="1">
      <w:start w:val="1"/>
      <w:numFmt w:val="lowerRoman"/>
      <w:lvlText w:val="%6."/>
      <w:lvlJc w:val="right"/>
      <w:pPr>
        <w:ind w:left="5602" w:hanging="180"/>
      </w:pPr>
    </w:lvl>
    <w:lvl w:ilvl="6" w:tplc="0421000F" w:tentative="1">
      <w:start w:val="1"/>
      <w:numFmt w:val="decimal"/>
      <w:lvlText w:val="%7."/>
      <w:lvlJc w:val="left"/>
      <w:pPr>
        <w:ind w:left="6322" w:hanging="360"/>
      </w:pPr>
    </w:lvl>
    <w:lvl w:ilvl="7" w:tplc="04210019" w:tentative="1">
      <w:start w:val="1"/>
      <w:numFmt w:val="lowerLetter"/>
      <w:lvlText w:val="%8."/>
      <w:lvlJc w:val="left"/>
      <w:pPr>
        <w:ind w:left="7042" w:hanging="360"/>
      </w:pPr>
    </w:lvl>
    <w:lvl w:ilvl="8" w:tplc="0421001B" w:tentative="1">
      <w:start w:val="1"/>
      <w:numFmt w:val="lowerRoman"/>
      <w:lvlText w:val="%9."/>
      <w:lvlJc w:val="right"/>
      <w:pPr>
        <w:ind w:left="7762" w:hanging="180"/>
      </w:pPr>
    </w:lvl>
  </w:abstractNum>
  <w:abstractNum w:abstractNumId="138" w15:restartNumberingAfterBreak="0">
    <w:nsid w:val="37B96977"/>
    <w:multiLevelType w:val="hybridMultilevel"/>
    <w:tmpl w:val="C4B84552"/>
    <w:lvl w:ilvl="0" w:tplc="FFFFFFFF">
      <w:start w:val="1"/>
      <w:numFmt w:val="decimal"/>
      <w:lvlText w:val="%1."/>
      <w:lvlJc w:val="left"/>
      <w:pPr>
        <w:ind w:left="1287" w:hanging="360"/>
      </w:p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9" w15:restartNumberingAfterBreak="0">
    <w:nsid w:val="385E3A54"/>
    <w:multiLevelType w:val="hybridMultilevel"/>
    <w:tmpl w:val="73E8EEA4"/>
    <w:lvl w:ilvl="0" w:tplc="FFFFFFFF">
      <w:start w:val="1"/>
      <w:numFmt w:val="decimal"/>
      <w:lvlText w:val="%1)"/>
      <w:lvlJc w:val="left"/>
      <w:pPr>
        <w:ind w:left="2356" w:hanging="360"/>
      </w:pPr>
    </w:lvl>
    <w:lvl w:ilvl="1" w:tplc="FFFFFFFF" w:tentative="1">
      <w:start w:val="1"/>
      <w:numFmt w:val="lowerLetter"/>
      <w:lvlText w:val="%2."/>
      <w:lvlJc w:val="left"/>
      <w:pPr>
        <w:ind w:left="3076" w:hanging="360"/>
      </w:pPr>
    </w:lvl>
    <w:lvl w:ilvl="2" w:tplc="FFFFFFFF" w:tentative="1">
      <w:start w:val="1"/>
      <w:numFmt w:val="lowerRoman"/>
      <w:lvlText w:val="%3."/>
      <w:lvlJc w:val="right"/>
      <w:pPr>
        <w:ind w:left="3796" w:hanging="180"/>
      </w:pPr>
    </w:lvl>
    <w:lvl w:ilvl="3" w:tplc="FFFFFFFF" w:tentative="1">
      <w:start w:val="1"/>
      <w:numFmt w:val="decimal"/>
      <w:lvlText w:val="%4."/>
      <w:lvlJc w:val="left"/>
      <w:pPr>
        <w:ind w:left="4516" w:hanging="360"/>
      </w:pPr>
    </w:lvl>
    <w:lvl w:ilvl="4" w:tplc="FFFFFFFF" w:tentative="1">
      <w:start w:val="1"/>
      <w:numFmt w:val="lowerLetter"/>
      <w:lvlText w:val="%5."/>
      <w:lvlJc w:val="left"/>
      <w:pPr>
        <w:ind w:left="5236" w:hanging="360"/>
      </w:pPr>
    </w:lvl>
    <w:lvl w:ilvl="5" w:tplc="FFFFFFFF" w:tentative="1">
      <w:start w:val="1"/>
      <w:numFmt w:val="lowerRoman"/>
      <w:lvlText w:val="%6."/>
      <w:lvlJc w:val="right"/>
      <w:pPr>
        <w:ind w:left="5956" w:hanging="180"/>
      </w:pPr>
    </w:lvl>
    <w:lvl w:ilvl="6" w:tplc="FFFFFFFF" w:tentative="1">
      <w:start w:val="1"/>
      <w:numFmt w:val="decimal"/>
      <w:lvlText w:val="%7."/>
      <w:lvlJc w:val="left"/>
      <w:pPr>
        <w:ind w:left="6676" w:hanging="360"/>
      </w:pPr>
    </w:lvl>
    <w:lvl w:ilvl="7" w:tplc="FFFFFFFF" w:tentative="1">
      <w:start w:val="1"/>
      <w:numFmt w:val="lowerLetter"/>
      <w:lvlText w:val="%8."/>
      <w:lvlJc w:val="left"/>
      <w:pPr>
        <w:ind w:left="7396" w:hanging="360"/>
      </w:pPr>
    </w:lvl>
    <w:lvl w:ilvl="8" w:tplc="FFFFFFFF" w:tentative="1">
      <w:start w:val="1"/>
      <w:numFmt w:val="lowerRoman"/>
      <w:lvlText w:val="%9."/>
      <w:lvlJc w:val="right"/>
      <w:pPr>
        <w:ind w:left="8116" w:hanging="180"/>
      </w:pPr>
    </w:lvl>
  </w:abstractNum>
  <w:abstractNum w:abstractNumId="140" w15:restartNumberingAfterBreak="0">
    <w:nsid w:val="38C17A3E"/>
    <w:multiLevelType w:val="hybridMultilevel"/>
    <w:tmpl w:val="FB48C672"/>
    <w:lvl w:ilvl="0" w:tplc="38090019">
      <w:start w:val="1"/>
      <w:numFmt w:val="lowerLetter"/>
      <w:lvlText w:val="%1."/>
      <w:lvlJc w:val="left"/>
      <w:pPr>
        <w:ind w:left="1505" w:hanging="360"/>
      </w:pPr>
      <w:rPr>
        <w:rFonts w:hint="default"/>
      </w:r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141" w15:restartNumberingAfterBreak="0">
    <w:nsid w:val="39135CD4"/>
    <w:multiLevelType w:val="hybridMultilevel"/>
    <w:tmpl w:val="70329B4A"/>
    <w:lvl w:ilvl="0" w:tplc="0CDCA7D6">
      <w:start w:val="1"/>
      <w:numFmt w:val="upperLetter"/>
      <w:lvlText w:val="%1."/>
      <w:lvlJc w:val="left"/>
      <w:pPr>
        <w:ind w:left="927" w:hanging="360"/>
      </w:pPr>
      <w:rPr>
        <w:rFonts w:ascii="Bookman Old Style" w:hAnsi="Bookman Old Style" w:hint="default"/>
        <w:i w:val="0"/>
        <w:iCs w:val="0"/>
        <w:color w:val="auto"/>
        <w:sz w:val="24"/>
        <w:szCs w:val="24"/>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42" w15:restartNumberingAfterBreak="0">
    <w:nsid w:val="3AA75E33"/>
    <w:multiLevelType w:val="hybridMultilevel"/>
    <w:tmpl w:val="6A92E228"/>
    <w:lvl w:ilvl="0" w:tplc="FFFFFFFF">
      <w:start w:val="1"/>
      <w:numFmt w:val="lowerLetter"/>
      <w:lvlText w:val="%1)"/>
      <w:lvlJc w:val="left"/>
      <w:pPr>
        <w:ind w:left="1713" w:hanging="360"/>
      </w:pPr>
      <w:rPr>
        <w:rFonts w:hint="default"/>
        <w:color w:val="auto"/>
        <w:sz w:val="24"/>
        <w:szCs w:val="24"/>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43" w15:restartNumberingAfterBreak="0">
    <w:nsid w:val="3AB60CC5"/>
    <w:multiLevelType w:val="hybridMultilevel"/>
    <w:tmpl w:val="D382AF62"/>
    <w:lvl w:ilvl="0" w:tplc="2CC879C6">
      <w:start w:val="1"/>
      <w:numFmt w:val="decimal"/>
      <w:lvlText w:val="%1)"/>
      <w:lvlJc w:val="left"/>
      <w:pPr>
        <w:ind w:left="2433" w:hanging="360"/>
      </w:pPr>
      <w:rPr>
        <w:rFonts w:hint="default"/>
        <w:color w:val="000000" w:themeColor="text1"/>
        <w:sz w:val="24"/>
      </w:rPr>
    </w:lvl>
    <w:lvl w:ilvl="1" w:tplc="FFFFFFFF" w:tentative="1">
      <w:start w:val="1"/>
      <w:numFmt w:val="lowerLetter"/>
      <w:lvlText w:val="%2."/>
      <w:lvlJc w:val="left"/>
      <w:pPr>
        <w:ind w:left="3153" w:hanging="360"/>
      </w:pPr>
    </w:lvl>
    <w:lvl w:ilvl="2" w:tplc="FFFFFFFF" w:tentative="1">
      <w:start w:val="1"/>
      <w:numFmt w:val="lowerRoman"/>
      <w:lvlText w:val="%3."/>
      <w:lvlJc w:val="right"/>
      <w:pPr>
        <w:ind w:left="3873" w:hanging="180"/>
      </w:pPr>
    </w:lvl>
    <w:lvl w:ilvl="3" w:tplc="FFFFFFFF" w:tentative="1">
      <w:start w:val="1"/>
      <w:numFmt w:val="decimal"/>
      <w:lvlText w:val="%4."/>
      <w:lvlJc w:val="left"/>
      <w:pPr>
        <w:ind w:left="4593" w:hanging="360"/>
      </w:pPr>
    </w:lvl>
    <w:lvl w:ilvl="4" w:tplc="FFFFFFFF" w:tentative="1">
      <w:start w:val="1"/>
      <w:numFmt w:val="lowerLetter"/>
      <w:lvlText w:val="%5."/>
      <w:lvlJc w:val="left"/>
      <w:pPr>
        <w:ind w:left="5313" w:hanging="360"/>
      </w:pPr>
    </w:lvl>
    <w:lvl w:ilvl="5" w:tplc="FFFFFFFF" w:tentative="1">
      <w:start w:val="1"/>
      <w:numFmt w:val="lowerRoman"/>
      <w:lvlText w:val="%6."/>
      <w:lvlJc w:val="right"/>
      <w:pPr>
        <w:ind w:left="6033" w:hanging="180"/>
      </w:pPr>
    </w:lvl>
    <w:lvl w:ilvl="6" w:tplc="FFFFFFFF" w:tentative="1">
      <w:start w:val="1"/>
      <w:numFmt w:val="decimal"/>
      <w:lvlText w:val="%7."/>
      <w:lvlJc w:val="left"/>
      <w:pPr>
        <w:ind w:left="6753" w:hanging="360"/>
      </w:pPr>
    </w:lvl>
    <w:lvl w:ilvl="7" w:tplc="FFFFFFFF" w:tentative="1">
      <w:start w:val="1"/>
      <w:numFmt w:val="lowerLetter"/>
      <w:lvlText w:val="%8."/>
      <w:lvlJc w:val="left"/>
      <w:pPr>
        <w:ind w:left="7473" w:hanging="360"/>
      </w:pPr>
    </w:lvl>
    <w:lvl w:ilvl="8" w:tplc="FFFFFFFF" w:tentative="1">
      <w:start w:val="1"/>
      <w:numFmt w:val="lowerRoman"/>
      <w:lvlText w:val="%9."/>
      <w:lvlJc w:val="right"/>
      <w:pPr>
        <w:ind w:left="8193" w:hanging="180"/>
      </w:pPr>
    </w:lvl>
  </w:abstractNum>
  <w:abstractNum w:abstractNumId="144" w15:restartNumberingAfterBreak="0">
    <w:nsid w:val="3B865450"/>
    <w:multiLevelType w:val="hybridMultilevel"/>
    <w:tmpl w:val="0A3CFD8E"/>
    <w:lvl w:ilvl="0" w:tplc="B822A360">
      <w:start w:val="1"/>
      <w:numFmt w:val="upperLetter"/>
      <w:lvlText w:val="%1."/>
      <w:lvlJc w:val="left"/>
      <w:pPr>
        <w:ind w:left="927" w:hanging="360"/>
      </w:pPr>
      <w:rPr>
        <w:color w:val="auto"/>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5" w15:restartNumberingAfterBreak="0">
    <w:nsid w:val="3C902296"/>
    <w:multiLevelType w:val="hybridMultilevel"/>
    <w:tmpl w:val="28BC20EA"/>
    <w:lvl w:ilvl="0" w:tplc="764CE620">
      <w:start w:val="1"/>
      <w:numFmt w:val="lowerLetter"/>
      <w:lvlText w:val="%1)"/>
      <w:lvlJc w:val="left"/>
      <w:pPr>
        <w:ind w:left="2912" w:hanging="360"/>
      </w:pPr>
      <w:rPr>
        <w:rFonts w:hint="default"/>
        <w:color w:val="000000" w:themeColor="text1"/>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146" w15:restartNumberingAfterBreak="0">
    <w:nsid w:val="3D3A0E9C"/>
    <w:multiLevelType w:val="hybridMultilevel"/>
    <w:tmpl w:val="927E83D4"/>
    <w:lvl w:ilvl="0" w:tplc="FFFFFFFF">
      <w:start w:val="1"/>
      <w:numFmt w:val="lowerLetter"/>
      <w:lvlText w:val="%1)"/>
      <w:lvlJc w:val="left"/>
      <w:pPr>
        <w:ind w:left="1713" w:hanging="360"/>
      </w:pPr>
      <w:rPr>
        <w:rFonts w:hint="default"/>
        <w:color w:val="auto"/>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47" w15:restartNumberingAfterBreak="0">
    <w:nsid w:val="3DE77C02"/>
    <w:multiLevelType w:val="hybridMultilevel"/>
    <w:tmpl w:val="06AA07EC"/>
    <w:lvl w:ilvl="0" w:tplc="FFFFFFFF">
      <w:start w:val="1"/>
      <w:numFmt w:val="lowerLetter"/>
      <w:lvlText w:val="%1)"/>
      <w:lvlJc w:val="left"/>
      <w:pPr>
        <w:ind w:left="2203" w:hanging="360"/>
      </w:pPr>
      <w:rPr>
        <w:rFonts w:hint="default"/>
      </w:rPr>
    </w:lvl>
    <w:lvl w:ilvl="1" w:tplc="FFFFFFFF" w:tentative="1">
      <w:start w:val="1"/>
      <w:numFmt w:val="bullet"/>
      <w:lvlText w:val="o"/>
      <w:lvlJc w:val="left"/>
      <w:pPr>
        <w:ind w:left="2923" w:hanging="360"/>
      </w:pPr>
      <w:rPr>
        <w:rFonts w:ascii="Courier New" w:hAnsi="Courier New" w:cs="Courier New" w:hint="default"/>
      </w:rPr>
    </w:lvl>
    <w:lvl w:ilvl="2" w:tplc="FFFFFFFF" w:tentative="1">
      <w:start w:val="1"/>
      <w:numFmt w:val="bullet"/>
      <w:lvlText w:val=""/>
      <w:lvlJc w:val="left"/>
      <w:pPr>
        <w:ind w:left="3643" w:hanging="360"/>
      </w:pPr>
      <w:rPr>
        <w:rFonts w:ascii="Wingdings" w:hAnsi="Wingdings" w:hint="default"/>
      </w:rPr>
    </w:lvl>
    <w:lvl w:ilvl="3" w:tplc="FFFFFFFF" w:tentative="1">
      <w:start w:val="1"/>
      <w:numFmt w:val="bullet"/>
      <w:lvlText w:val=""/>
      <w:lvlJc w:val="left"/>
      <w:pPr>
        <w:ind w:left="4363" w:hanging="360"/>
      </w:pPr>
      <w:rPr>
        <w:rFonts w:ascii="Symbol" w:hAnsi="Symbol" w:hint="default"/>
      </w:rPr>
    </w:lvl>
    <w:lvl w:ilvl="4" w:tplc="FFFFFFFF" w:tentative="1">
      <w:start w:val="1"/>
      <w:numFmt w:val="bullet"/>
      <w:lvlText w:val="o"/>
      <w:lvlJc w:val="left"/>
      <w:pPr>
        <w:ind w:left="5083" w:hanging="360"/>
      </w:pPr>
      <w:rPr>
        <w:rFonts w:ascii="Courier New" w:hAnsi="Courier New" w:cs="Courier New" w:hint="default"/>
      </w:rPr>
    </w:lvl>
    <w:lvl w:ilvl="5" w:tplc="FFFFFFFF" w:tentative="1">
      <w:start w:val="1"/>
      <w:numFmt w:val="bullet"/>
      <w:lvlText w:val=""/>
      <w:lvlJc w:val="left"/>
      <w:pPr>
        <w:ind w:left="5803" w:hanging="360"/>
      </w:pPr>
      <w:rPr>
        <w:rFonts w:ascii="Wingdings" w:hAnsi="Wingdings" w:hint="default"/>
      </w:rPr>
    </w:lvl>
    <w:lvl w:ilvl="6" w:tplc="FFFFFFFF" w:tentative="1">
      <w:start w:val="1"/>
      <w:numFmt w:val="bullet"/>
      <w:lvlText w:val=""/>
      <w:lvlJc w:val="left"/>
      <w:pPr>
        <w:ind w:left="6523" w:hanging="360"/>
      </w:pPr>
      <w:rPr>
        <w:rFonts w:ascii="Symbol" w:hAnsi="Symbol" w:hint="default"/>
      </w:rPr>
    </w:lvl>
    <w:lvl w:ilvl="7" w:tplc="FFFFFFFF" w:tentative="1">
      <w:start w:val="1"/>
      <w:numFmt w:val="bullet"/>
      <w:lvlText w:val="o"/>
      <w:lvlJc w:val="left"/>
      <w:pPr>
        <w:ind w:left="7243" w:hanging="360"/>
      </w:pPr>
      <w:rPr>
        <w:rFonts w:ascii="Courier New" w:hAnsi="Courier New" w:cs="Courier New" w:hint="default"/>
      </w:rPr>
    </w:lvl>
    <w:lvl w:ilvl="8" w:tplc="FFFFFFFF" w:tentative="1">
      <w:start w:val="1"/>
      <w:numFmt w:val="bullet"/>
      <w:lvlText w:val=""/>
      <w:lvlJc w:val="left"/>
      <w:pPr>
        <w:ind w:left="7963" w:hanging="360"/>
      </w:pPr>
      <w:rPr>
        <w:rFonts w:ascii="Wingdings" w:hAnsi="Wingdings" w:hint="default"/>
      </w:rPr>
    </w:lvl>
  </w:abstractNum>
  <w:abstractNum w:abstractNumId="148" w15:restartNumberingAfterBreak="0">
    <w:nsid w:val="3E1F5A81"/>
    <w:multiLevelType w:val="hybridMultilevel"/>
    <w:tmpl w:val="2EF27AA2"/>
    <w:lvl w:ilvl="0" w:tplc="FFFFFFFF">
      <w:start w:val="1"/>
      <w:numFmt w:val="lowerLetter"/>
      <w:lvlText w:val="(%1)"/>
      <w:lvlJc w:val="left"/>
      <w:pPr>
        <w:ind w:left="3254" w:hanging="360"/>
      </w:pPr>
      <w:rPr>
        <w:rFonts w:cs="Times New Roman" w:hint="default"/>
        <w:i w:val="0"/>
        <w:strike w:val="0"/>
        <w:color w:val="auto"/>
        <w:kern w:val="24"/>
      </w:rPr>
    </w:lvl>
    <w:lvl w:ilvl="1" w:tplc="FFFFFFFF" w:tentative="1">
      <w:start w:val="1"/>
      <w:numFmt w:val="lowerLetter"/>
      <w:lvlText w:val="%2."/>
      <w:lvlJc w:val="left"/>
      <w:pPr>
        <w:ind w:left="3974" w:hanging="360"/>
      </w:pPr>
    </w:lvl>
    <w:lvl w:ilvl="2" w:tplc="FFFFFFFF" w:tentative="1">
      <w:start w:val="1"/>
      <w:numFmt w:val="lowerRoman"/>
      <w:lvlText w:val="%3."/>
      <w:lvlJc w:val="right"/>
      <w:pPr>
        <w:ind w:left="4694" w:hanging="180"/>
      </w:pPr>
    </w:lvl>
    <w:lvl w:ilvl="3" w:tplc="FFFFFFFF" w:tentative="1">
      <w:start w:val="1"/>
      <w:numFmt w:val="decimal"/>
      <w:lvlText w:val="%4."/>
      <w:lvlJc w:val="left"/>
      <w:pPr>
        <w:ind w:left="5414" w:hanging="360"/>
      </w:pPr>
    </w:lvl>
    <w:lvl w:ilvl="4" w:tplc="FFFFFFFF" w:tentative="1">
      <w:start w:val="1"/>
      <w:numFmt w:val="lowerLetter"/>
      <w:lvlText w:val="%5."/>
      <w:lvlJc w:val="left"/>
      <w:pPr>
        <w:ind w:left="6134" w:hanging="360"/>
      </w:pPr>
    </w:lvl>
    <w:lvl w:ilvl="5" w:tplc="FFFFFFFF" w:tentative="1">
      <w:start w:val="1"/>
      <w:numFmt w:val="lowerRoman"/>
      <w:lvlText w:val="%6."/>
      <w:lvlJc w:val="right"/>
      <w:pPr>
        <w:ind w:left="6854" w:hanging="180"/>
      </w:pPr>
    </w:lvl>
    <w:lvl w:ilvl="6" w:tplc="FFFFFFFF" w:tentative="1">
      <w:start w:val="1"/>
      <w:numFmt w:val="decimal"/>
      <w:lvlText w:val="%7."/>
      <w:lvlJc w:val="left"/>
      <w:pPr>
        <w:ind w:left="7574" w:hanging="360"/>
      </w:pPr>
    </w:lvl>
    <w:lvl w:ilvl="7" w:tplc="FFFFFFFF" w:tentative="1">
      <w:start w:val="1"/>
      <w:numFmt w:val="lowerLetter"/>
      <w:lvlText w:val="%8."/>
      <w:lvlJc w:val="left"/>
      <w:pPr>
        <w:ind w:left="8294" w:hanging="360"/>
      </w:pPr>
    </w:lvl>
    <w:lvl w:ilvl="8" w:tplc="FFFFFFFF" w:tentative="1">
      <w:start w:val="1"/>
      <w:numFmt w:val="lowerRoman"/>
      <w:lvlText w:val="%9."/>
      <w:lvlJc w:val="right"/>
      <w:pPr>
        <w:ind w:left="9014" w:hanging="180"/>
      </w:pPr>
    </w:lvl>
  </w:abstractNum>
  <w:abstractNum w:abstractNumId="149" w15:restartNumberingAfterBreak="0">
    <w:nsid w:val="3E515D70"/>
    <w:multiLevelType w:val="hybridMultilevel"/>
    <w:tmpl w:val="6A26B788"/>
    <w:lvl w:ilvl="0" w:tplc="FFFFFFFF">
      <w:start w:val="1"/>
      <w:numFmt w:val="decimal"/>
      <w:lvlText w:val="%1."/>
      <w:lvlJc w:val="left"/>
      <w:pPr>
        <w:ind w:left="1647" w:hanging="360"/>
      </w:p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50" w15:restartNumberingAfterBreak="0">
    <w:nsid w:val="3F310110"/>
    <w:multiLevelType w:val="hybridMultilevel"/>
    <w:tmpl w:val="75BE8FB4"/>
    <w:lvl w:ilvl="0" w:tplc="8448645C">
      <w:start w:val="1"/>
      <w:numFmt w:val="lowerLetter"/>
      <w:lvlText w:val="%1)"/>
      <w:lvlJc w:val="left"/>
      <w:pPr>
        <w:ind w:left="2340" w:hanging="360"/>
      </w:pPr>
      <w:rPr>
        <w:color w:val="auto"/>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151" w15:restartNumberingAfterBreak="0">
    <w:nsid w:val="3F5A1804"/>
    <w:multiLevelType w:val="hybridMultilevel"/>
    <w:tmpl w:val="F3161CF8"/>
    <w:lvl w:ilvl="0" w:tplc="17E88D80">
      <w:start w:val="1"/>
      <w:numFmt w:val="decimal"/>
      <w:lvlText w:val="%1."/>
      <w:lvlJc w:val="left"/>
      <w:pPr>
        <w:ind w:left="2345" w:hanging="360"/>
      </w:pPr>
      <w:rPr>
        <w:rFonts w:hint="default"/>
        <w:color w:val="auto"/>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BBCE4794">
      <w:start w:val="1"/>
      <w:numFmt w:val="decimal"/>
      <w:lvlText w:val="%4."/>
      <w:lvlJc w:val="left"/>
      <w:pPr>
        <w:ind w:left="4505" w:hanging="360"/>
      </w:pPr>
      <w:rPr>
        <w:b w:val="0"/>
        <w:color w:val="auto"/>
      </w:rPr>
    </w:lvl>
    <w:lvl w:ilvl="4" w:tplc="04210019" w:tentative="1">
      <w:start w:val="1"/>
      <w:numFmt w:val="lowerLetter"/>
      <w:lvlText w:val="%5."/>
      <w:lvlJc w:val="left"/>
      <w:pPr>
        <w:ind w:left="5225" w:hanging="360"/>
      </w:pPr>
    </w:lvl>
    <w:lvl w:ilvl="5" w:tplc="0421001B">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C090011">
      <w:start w:val="1"/>
      <w:numFmt w:val="decimal"/>
      <w:lvlText w:val="%9)"/>
      <w:lvlJc w:val="left"/>
      <w:pPr>
        <w:ind w:left="8105" w:hanging="180"/>
      </w:pPr>
    </w:lvl>
  </w:abstractNum>
  <w:abstractNum w:abstractNumId="152" w15:restartNumberingAfterBreak="0">
    <w:nsid w:val="3F9F7E96"/>
    <w:multiLevelType w:val="hybridMultilevel"/>
    <w:tmpl w:val="13B6B1D4"/>
    <w:lvl w:ilvl="0" w:tplc="8D0EB5FE">
      <w:start w:val="1"/>
      <w:numFmt w:val="lowerLetter"/>
      <w:lvlText w:val="%1)"/>
      <w:lvlJc w:val="left"/>
      <w:pPr>
        <w:ind w:left="2912" w:hanging="360"/>
      </w:pPr>
      <w:rPr>
        <w:rFonts w:hint="default"/>
        <w:b w:val="0"/>
        <w:bCs/>
        <w:i w:val="0"/>
        <w:strike w:val="0"/>
        <w:color w:val="auto"/>
        <w:kern w:val="24"/>
        <w:sz w:val="24"/>
        <w:szCs w:val="24"/>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153" w15:restartNumberingAfterBreak="0">
    <w:nsid w:val="400A7EC3"/>
    <w:multiLevelType w:val="hybridMultilevel"/>
    <w:tmpl w:val="804076CE"/>
    <w:lvl w:ilvl="0" w:tplc="E770702A">
      <w:start w:val="1"/>
      <w:numFmt w:val="decimal"/>
      <w:lvlText w:val="%1)"/>
      <w:lvlJc w:val="left"/>
      <w:pPr>
        <w:ind w:left="1980" w:hanging="360"/>
      </w:pPr>
      <w:rPr>
        <w:color w:val="000000" w:themeColor="text1"/>
      </w:rPr>
    </w:lvl>
    <w:lvl w:ilvl="1" w:tplc="2794AF46">
      <w:start w:val="1"/>
      <w:numFmt w:val="decimal"/>
      <w:lvlText w:val="(%2)"/>
      <w:lvlJc w:val="left"/>
      <w:pPr>
        <w:ind w:left="2730" w:hanging="360"/>
      </w:pPr>
      <w:rPr>
        <w:rFonts w:hint="default"/>
        <w:color w:val="auto"/>
        <w:sz w:val="24"/>
        <w:szCs w:val="24"/>
      </w:r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54" w15:restartNumberingAfterBreak="0">
    <w:nsid w:val="400E1231"/>
    <w:multiLevelType w:val="hybridMultilevel"/>
    <w:tmpl w:val="8B2A5268"/>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5" w15:restartNumberingAfterBreak="0">
    <w:nsid w:val="40555069"/>
    <w:multiLevelType w:val="hybridMultilevel"/>
    <w:tmpl w:val="5DBC7AC2"/>
    <w:lvl w:ilvl="0" w:tplc="FFFFFFFF">
      <w:start w:val="1"/>
      <w:numFmt w:val="decimal"/>
      <w:lvlText w:val="%1)"/>
      <w:lvlJc w:val="lef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156" w15:restartNumberingAfterBreak="0">
    <w:nsid w:val="4092720F"/>
    <w:multiLevelType w:val="hybridMultilevel"/>
    <w:tmpl w:val="F6908A34"/>
    <w:lvl w:ilvl="0" w:tplc="04090019">
      <w:start w:val="1"/>
      <w:numFmt w:val="lowerLetter"/>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157" w15:restartNumberingAfterBreak="0">
    <w:nsid w:val="40937AC0"/>
    <w:multiLevelType w:val="hybridMultilevel"/>
    <w:tmpl w:val="E5CAFC22"/>
    <w:lvl w:ilvl="0" w:tplc="FFFFFFFF">
      <w:start w:val="1"/>
      <w:numFmt w:val="decimal"/>
      <w:lvlText w:val="(%1)"/>
      <w:lvlJc w:val="right"/>
      <w:pPr>
        <w:ind w:left="2727" w:hanging="360"/>
      </w:pPr>
      <w:rPr>
        <w:rFonts w:hint="default"/>
      </w:rPr>
    </w:lvl>
    <w:lvl w:ilvl="1" w:tplc="38090019" w:tentative="1">
      <w:start w:val="1"/>
      <w:numFmt w:val="lowerLetter"/>
      <w:lvlText w:val="%2."/>
      <w:lvlJc w:val="left"/>
      <w:pPr>
        <w:ind w:left="3447" w:hanging="360"/>
      </w:pPr>
    </w:lvl>
    <w:lvl w:ilvl="2" w:tplc="3809001B" w:tentative="1">
      <w:start w:val="1"/>
      <w:numFmt w:val="lowerRoman"/>
      <w:lvlText w:val="%3."/>
      <w:lvlJc w:val="right"/>
      <w:pPr>
        <w:ind w:left="4167" w:hanging="180"/>
      </w:pPr>
    </w:lvl>
    <w:lvl w:ilvl="3" w:tplc="3809000F" w:tentative="1">
      <w:start w:val="1"/>
      <w:numFmt w:val="decimal"/>
      <w:lvlText w:val="%4."/>
      <w:lvlJc w:val="left"/>
      <w:pPr>
        <w:ind w:left="4887" w:hanging="360"/>
      </w:pPr>
    </w:lvl>
    <w:lvl w:ilvl="4" w:tplc="38090019" w:tentative="1">
      <w:start w:val="1"/>
      <w:numFmt w:val="lowerLetter"/>
      <w:lvlText w:val="%5."/>
      <w:lvlJc w:val="left"/>
      <w:pPr>
        <w:ind w:left="5607" w:hanging="360"/>
      </w:pPr>
    </w:lvl>
    <w:lvl w:ilvl="5" w:tplc="3809001B" w:tentative="1">
      <w:start w:val="1"/>
      <w:numFmt w:val="lowerRoman"/>
      <w:lvlText w:val="%6."/>
      <w:lvlJc w:val="right"/>
      <w:pPr>
        <w:ind w:left="6327" w:hanging="180"/>
      </w:pPr>
    </w:lvl>
    <w:lvl w:ilvl="6" w:tplc="3809000F" w:tentative="1">
      <w:start w:val="1"/>
      <w:numFmt w:val="decimal"/>
      <w:lvlText w:val="%7."/>
      <w:lvlJc w:val="left"/>
      <w:pPr>
        <w:ind w:left="7047" w:hanging="360"/>
      </w:pPr>
    </w:lvl>
    <w:lvl w:ilvl="7" w:tplc="38090019" w:tentative="1">
      <w:start w:val="1"/>
      <w:numFmt w:val="lowerLetter"/>
      <w:lvlText w:val="%8."/>
      <w:lvlJc w:val="left"/>
      <w:pPr>
        <w:ind w:left="7767" w:hanging="360"/>
      </w:pPr>
    </w:lvl>
    <w:lvl w:ilvl="8" w:tplc="3809001B" w:tentative="1">
      <w:start w:val="1"/>
      <w:numFmt w:val="lowerRoman"/>
      <w:lvlText w:val="%9."/>
      <w:lvlJc w:val="right"/>
      <w:pPr>
        <w:ind w:left="8487" w:hanging="180"/>
      </w:pPr>
    </w:lvl>
  </w:abstractNum>
  <w:abstractNum w:abstractNumId="158" w15:restartNumberingAfterBreak="0">
    <w:nsid w:val="40E00033"/>
    <w:multiLevelType w:val="hybridMultilevel"/>
    <w:tmpl w:val="3B14DDE0"/>
    <w:lvl w:ilvl="0" w:tplc="96E8D18A">
      <w:start w:val="1"/>
      <w:numFmt w:val="decimal"/>
      <w:lvlText w:val="%1)"/>
      <w:lvlJc w:val="left"/>
      <w:pPr>
        <w:ind w:left="2002" w:hanging="360"/>
      </w:pPr>
      <w:rPr>
        <w:color w:val="000000" w:themeColor="text1"/>
      </w:rPr>
    </w:lvl>
    <w:lvl w:ilvl="1" w:tplc="04090019" w:tentative="1">
      <w:start w:val="1"/>
      <w:numFmt w:val="lowerLetter"/>
      <w:lvlText w:val="%2."/>
      <w:lvlJc w:val="left"/>
      <w:pPr>
        <w:ind w:left="2722" w:hanging="360"/>
      </w:pPr>
    </w:lvl>
    <w:lvl w:ilvl="2" w:tplc="0409001B" w:tentative="1">
      <w:start w:val="1"/>
      <w:numFmt w:val="lowerRoman"/>
      <w:lvlText w:val="%3."/>
      <w:lvlJc w:val="right"/>
      <w:pPr>
        <w:ind w:left="3442" w:hanging="180"/>
      </w:pPr>
    </w:lvl>
    <w:lvl w:ilvl="3" w:tplc="0409000F" w:tentative="1">
      <w:start w:val="1"/>
      <w:numFmt w:val="decimal"/>
      <w:lvlText w:val="%4."/>
      <w:lvlJc w:val="left"/>
      <w:pPr>
        <w:ind w:left="4162" w:hanging="360"/>
      </w:pPr>
    </w:lvl>
    <w:lvl w:ilvl="4" w:tplc="04090019" w:tentative="1">
      <w:start w:val="1"/>
      <w:numFmt w:val="lowerLetter"/>
      <w:lvlText w:val="%5."/>
      <w:lvlJc w:val="left"/>
      <w:pPr>
        <w:ind w:left="4882" w:hanging="360"/>
      </w:pPr>
    </w:lvl>
    <w:lvl w:ilvl="5" w:tplc="0409001B" w:tentative="1">
      <w:start w:val="1"/>
      <w:numFmt w:val="lowerRoman"/>
      <w:lvlText w:val="%6."/>
      <w:lvlJc w:val="right"/>
      <w:pPr>
        <w:ind w:left="5602" w:hanging="180"/>
      </w:pPr>
    </w:lvl>
    <w:lvl w:ilvl="6" w:tplc="0409000F" w:tentative="1">
      <w:start w:val="1"/>
      <w:numFmt w:val="decimal"/>
      <w:lvlText w:val="%7."/>
      <w:lvlJc w:val="left"/>
      <w:pPr>
        <w:ind w:left="6322" w:hanging="360"/>
      </w:pPr>
    </w:lvl>
    <w:lvl w:ilvl="7" w:tplc="04090019" w:tentative="1">
      <w:start w:val="1"/>
      <w:numFmt w:val="lowerLetter"/>
      <w:lvlText w:val="%8."/>
      <w:lvlJc w:val="left"/>
      <w:pPr>
        <w:ind w:left="7042" w:hanging="360"/>
      </w:pPr>
    </w:lvl>
    <w:lvl w:ilvl="8" w:tplc="0409001B" w:tentative="1">
      <w:start w:val="1"/>
      <w:numFmt w:val="lowerRoman"/>
      <w:lvlText w:val="%9."/>
      <w:lvlJc w:val="right"/>
      <w:pPr>
        <w:ind w:left="7762" w:hanging="180"/>
      </w:pPr>
    </w:lvl>
  </w:abstractNum>
  <w:abstractNum w:abstractNumId="159" w15:restartNumberingAfterBreak="0">
    <w:nsid w:val="411B5B19"/>
    <w:multiLevelType w:val="hybridMultilevel"/>
    <w:tmpl w:val="2910A484"/>
    <w:lvl w:ilvl="0" w:tplc="38090019">
      <w:start w:val="1"/>
      <w:numFmt w:val="lowerLetter"/>
      <w:lvlText w:val="%1."/>
      <w:lvlJc w:val="left"/>
      <w:pPr>
        <w:ind w:left="3567"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0" w15:restartNumberingAfterBreak="0">
    <w:nsid w:val="423C4369"/>
    <w:multiLevelType w:val="hybridMultilevel"/>
    <w:tmpl w:val="77C8ADF8"/>
    <w:lvl w:ilvl="0" w:tplc="04090019">
      <w:start w:val="1"/>
      <w:numFmt w:val="lowerLetter"/>
      <w:lvlText w:val="%1."/>
      <w:lvlJc w:val="left"/>
      <w:pPr>
        <w:ind w:left="1980" w:hanging="360"/>
      </w:pPr>
      <w:rPr>
        <w:rFonts w:hint="default"/>
      </w:rPr>
    </w:lvl>
    <w:lvl w:ilvl="1" w:tplc="FFFFFFFF">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61" w15:restartNumberingAfterBreak="0">
    <w:nsid w:val="42853CCB"/>
    <w:multiLevelType w:val="hybridMultilevel"/>
    <w:tmpl w:val="CE46F9F4"/>
    <w:lvl w:ilvl="0" w:tplc="04210019">
      <w:start w:val="1"/>
      <w:numFmt w:val="lowerLetter"/>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62" w15:restartNumberingAfterBreak="0">
    <w:nsid w:val="42B97DB4"/>
    <w:multiLevelType w:val="hybridMultilevel"/>
    <w:tmpl w:val="72C0D484"/>
    <w:lvl w:ilvl="0" w:tplc="FFFFFFFF">
      <w:start w:val="1"/>
      <w:numFmt w:val="lowerLetter"/>
      <w:lvlText w:val="(%1)"/>
      <w:lvlJc w:val="left"/>
      <w:pPr>
        <w:ind w:left="3240" w:hanging="360"/>
      </w:pPr>
      <w:rPr>
        <w:rFonts w:cs="Times New Roman" w:hint="default"/>
        <w:i w:val="0"/>
        <w:strike w:val="0"/>
        <w:color w:val="auto"/>
        <w:kern w:val="24"/>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63" w15:restartNumberingAfterBreak="0">
    <w:nsid w:val="476A69DE"/>
    <w:multiLevelType w:val="hybridMultilevel"/>
    <w:tmpl w:val="5DBC7AC2"/>
    <w:lvl w:ilvl="0" w:tplc="5B2C0D8E">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164" w15:restartNumberingAfterBreak="0">
    <w:nsid w:val="478A3F11"/>
    <w:multiLevelType w:val="hybridMultilevel"/>
    <w:tmpl w:val="B3BA8048"/>
    <w:lvl w:ilvl="0" w:tplc="04210011">
      <w:start w:val="1"/>
      <w:numFmt w:val="decimal"/>
      <w:lvlText w:val="%1)"/>
      <w:lvlJc w:val="left"/>
      <w:pPr>
        <w:ind w:left="1276" w:hanging="360"/>
      </w:pPr>
      <w:rPr>
        <w:rFonts w:hint="default"/>
        <w:color w:val="auto"/>
      </w:rPr>
    </w:lvl>
    <w:lvl w:ilvl="1" w:tplc="04210019" w:tentative="1">
      <w:start w:val="1"/>
      <w:numFmt w:val="lowerLetter"/>
      <w:lvlText w:val="%2."/>
      <w:lvlJc w:val="left"/>
      <w:pPr>
        <w:ind w:left="1996" w:hanging="360"/>
      </w:pPr>
    </w:lvl>
    <w:lvl w:ilvl="2" w:tplc="0421001B" w:tentative="1">
      <w:start w:val="1"/>
      <w:numFmt w:val="lowerRoman"/>
      <w:lvlText w:val="%3."/>
      <w:lvlJc w:val="right"/>
      <w:pPr>
        <w:ind w:left="2716" w:hanging="180"/>
      </w:pPr>
    </w:lvl>
    <w:lvl w:ilvl="3" w:tplc="0421000F" w:tentative="1">
      <w:start w:val="1"/>
      <w:numFmt w:val="decimal"/>
      <w:lvlText w:val="%4."/>
      <w:lvlJc w:val="left"/>
      <w:pPr>
        <w:ind w:left="3436" w:hanging="360"/>
      </w:pPr>
    </w:lvl>
    <w:lvl w:ilvl="4" w:tplc="04210019" w:tentative="1">
      <w:start w:val="1"/>
      <w:numFmt w:val="lowerLetter"/>
      <w:lvlText w:val="%5."/>
      <w:lvlJc w:val="left"/>
      <w:pPr>
        <w:ind w:left="4156" w:hanging="360"/>
      </w:pPr>
    </w:lvl>
    <w:lvl w:ilvl="5" w:tplc="0421001B" w:tentative="1">
      <w:start w:val="1"/>
      <w:numFmt w:val="lowerRoman"/>
      <w:lvlText w:val="%6."/>
      <w:lvlJc w:val="right"/>
      <w:pPr>
        <w:ind w:left="4876" w:hanging="180"/>
      </w:pPr>
    </w:lvl>
    <w:lvl w:ilvl="6" w:tplc="0421000F" w:tentative="1">
      <w:start w:val="1"/>
      <w:numFmt w:val="decimal"/>
      <w:lvlText w:val="%7."/>
      <w:lvlJc w:val="left"/>
      <w:pPr>
        <w:ind w:left="5596" w:hanging="360"/>
      </w:pPr>
    </w:lvl>
    <w:lvl w:ilvl="7" w:tplc="04210019" w:tentative="1">
      <w:start w:val="1"/>
      <w:numFmt w:val="lowerLetter"/>
      <w:lvlText w:val="%8."/>
      <w:lvlJc w:val="left"/>
      <w:pPr>
        <w:ind w:left="6316" w:hanging="360"/>
      </w:pPr>
    </w:lvl>
    <w:lvl w:ilvl="8" w:tplc="0421001B" w:tentative="1">
      <w:start w:val="1"/>
      <w:numFmt w:val="lowerRoman"/>
      <w:lvlText w:val="%9."/>
      <w:lvlJc w:val="right"/>
      <w:pPr>
        <w:ind w:left="7036" w:hanging="180"/>
      </w:pPr>
    </w:lvl>
  </w:abstractNum>
  <w:abstractNum w:abstractNumId="165" w15:restartNumberingAfterBreak="0">
    <w:nsid w:val="47AE14F7"/>
    <w:multiLevelType w:val="hybridMultilevel"/>
    <w:tmpl w:val="9E687140"/>
    <w:lvl w:ilvl="0" w:tplc="2CC879C6">
      <w:start w:val="1"/>
      <w:numFmt w:val="decimal"/>
      <w:lvlText w:val="%1)"/>
      <w:lvlJc w:val="left"/>
      <w:pPr>
        <w:ind w:left="2433" w:hanging="360"/>
      </w:pPr>
      <w:rPr>
        <w:rFonts w:hint="default"/>
        <w:color w:val="000000" w:themeColor="text1"/>
        <w:spacing w:val="-1"/>
        <w:w w:val="101"/>
        <w:sz w:val="24"/>
        <w:szCs w:val="24"/>
        <w:lang w:eastAsia="en-US" w:bidi="ar-SA"/>
      </w:rPr>
    </w:lvl>
    <w:lvl w:ilvl="1" w:tplc="FFFFFFFF" w:tentative="1">
      <w:start w:val="1"/>
      <w:numFmt w:val="lowerLetter"/>
      <w:lvlText w:val="%2."/>
      <w:lvlJc w:val="left"/>
      <w:pPr>
        <w:ind w:left="3153" w:hanging="360"/>
      </w:pPr>
    </w:lvl>
    <w:lvl w:ilvl="2" w:tplc="FFFFFFFF" w:tentative="1">
      <w:start w:val="1"/>
      <w:numFmt w:val="lowerRoman"/>
      <w:lvlText w:val="%3."/>
      <w:lvlJc w:val="right"/>
      <w:pPr>
        <w:ind w:left="3873" w:hanging="180"/>
      </w:pPr>
    </w:lvl>
    <w:lvl w:ilvl="3" w:tplc="FFFFFFFF" w:tentative="1">
      <w:start w:val="1"/>
      <w:numFmt w:val="decimal"/>
      <w:lvlText w:val="%4."/>
      <w:lvlJc w:val="left"/>
      <w:pPr>
        <w:ind w:left="4593" w:hanging="360"/>
      </w:pPr>
    </w:lvl>
    <w:lvl w:ilvl="4" w:tplc="FFFFFFFF" w:tentative="1">
      <w:start w:val="1"/>
      <w:numFmt w:val="lowerLetter"/>
      <w:lvlText w:val="%5."/>
      <w:lvlJc w:val="left"/>
      <w:pPr>
        <w:ind w:left="5313" w:hanging="360"/>
      </w:pPr>
    </w:lvl>
    <w:lvl w:ilvl="5" w:tplc="FFFFFFFF" w:tentative="1">
      <w:start w:val="1"/>
      <w:numFmt w:val="lowerRoman"/>
      <w:lvlText w:val="%6."/>
      <w:lvlJc w:val="right"/>
      <w:pPr>
        <w:ind w:left="6033" w:hanging="180"/>
      </w:pPr>
    </w:lvl>
    <w:lvl w:ilvl="6" w:tplc="FFFFFFFF" w:tentative="1">
      <w:start w:val="1"/>
      <w:numFmt w:val="decimal"/>
      <w:lvlText w:val="%7."/>
      <w:lvlJc w:val="left"/>
      <w:pPr>
        <w:ind w:left="6753" w:hanging="360"/>
      </w:pPr>
    </w:lvl>
    <w:lvl w:ilvl="7" w:tplc="FFFFFFFF" w:tentative="1">
      <w:start w:val="1"/>
      <w:numFmt w:val="lowerLetter"/>
      <w:lvlText w:val="%8."/>
      <w:lvlJc w:val="left"/>
      <w:pPr>
        <w:ind w:left="7473" w:hanging="360"/>
      </w:pPr>
    </w:lvl>
    <w:lvl w:ilvl="8" w:tplc="FFFFFFFF" w:tentative="1">
      <w:start w:val="1"/>
      <w:numFmt w:val="lowerRoman"/>
      <w:lvlText w:val="%9."/>
      <w:lvlJc w:val="right"/>
      <w:pPr>
        <w:ind w:left="8193" w:hanging="180"/>
      </w:pPr>
    </w:lvl>
  </w:abstractNum>
  <w:abstractNum w:abstractNumId="166" w15:restartNumberingAfterBreak="0">
    <w:nsid w:val="499467B7"/>
    <w:multiLevelType w:val="hybridMultilevel"/>
    <w:tmpl w:val="AD984D64"/>
    <w:lvl w:ilvl="0" w:tplc="38090019">
      <w:start w:val="1"/>
      <w:numFmt w:val="lowerLetter"/>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67" w15:restartNumberingAfterBreak="0">
    <w:nsid w:val="49CB348B"/>
    <w:multiLevelType w:val="hybridMultilevel"/>
    <w:tmpl w:val="FD4E1BBA"/>
    <w:lvl w:ilvl="0" w:tplc="04210017">
      <w:start w:val="1"/>
      <w:numFmt w:val="lowerLetter"/>
      <w:lvlText w:val="%1)"/>
      <w:lvlJc w:val="left"/>
      <w:pPr>
        <w:ind w:left="3087" w:hanging="360"/>
      </w:pPr>
    </w:lvl>
    <w:lvl w:ilvl="1" w:tplc="04090019" w:tentative="1">
      <w:start w:val="1"/>
      <w:numFmt w:val="lowerLetter"/>
      <w:lvlText w:val="%2."/>
      <w:lvlJc w:val="left"/>
      <w:pPr>
        <w:ind w:left="3807" w:hanging="360"/>
      </w:pPr>
    </w:lvl>
    <w:lvl w:ilvl="2" w:tplc="0409001B" w:tentative="1">
      <w:start w:val="1"/>
      <w:numFmt w:val="lowerRoman"/>
      <w:lvlText w:val="%3."/>
      <w:lvlJc w:val="right"/>
      <w:pPr>
        <w:ind w:left="4527" w:hanging="180"/>
      </w:pPr>
    </w:lvl>
    <w:lvl w:ilvl="3" w:tplc="0409000F" w:tentative="1">
      <w:start w:val="1"/>
      <w:numFmt w:val="decimal"/>
      <w:lvlText w:val="%4."/>
      <w:lvlJc w:val="left"/>
      <w:pPr>
        <w:ind w:left="5247" w:hanging="360"/>
      </w:pPr>
    </w:lvl>
    <w:lvl w:ilvl="4" w:tplc="04090019" w:tentative="1">
      <w:start w:val="1"/>
      <w:numFmt w:val="lowerLetter"/>
      <w:lvlText w:val="%5."/>
      <w:lvlJc w:val="left"/>
      <w:pPr>
        <w:ind w:left="5967" w:hanging="360"/>
      </w:pPr>
    </w:lvl>
    <w:lvl w:ilvl="5" w:tplc="0409001B" w:tentative="1">
      <w:start w:val="1"/>
      <w:numFmt w:val="lowerRoman"/>
      <w:lvlText w:val="%6."/>
      <w:lvlJc w:val="right"/>
      <w:pPr>
        <w:ind w:left="6687" w:hanging="180"/>
      </w:pPr>
    </w:lvl>
    <w:lvl w:ilvl="6" w:tplc="0409000F" w:tentative="1">
      <w:start w:val="1"/>
      <w:numFmt w:val="decimal"/>
      <w:lvlText w:val="%7."/>
      <w:lvlJc w:val="left"/>
      <w:pPr>
        <w:ind w:left="7407" w:hanging="360"/>
      </w:pPr>
    </w:lvl>
    <w:lvl w:ilvl="7" w:tplc="04090019" w:tentative="1">
      <w:start w:val="1"/>
      <w:numFmt w:val="lowerLetter"/>
      <w:lvlText w:val="%8."/>
      <w:lvlJc w:val="left"/>
      <w:pPr>
        <w:ind w:left="8127" w:hanging="360"/>
      </w:pPr>
    </w:lvl>
    <w:lvl w:ilvl="8" w:tplc="0409001B" w:tentative="1">
      <w:start w:val="1"/>
      <w:numFmt w:val="lowerRoman"/>
      <w:lvlText w:val="%9."/>
      <w:lvlJc w:val="right"/>
      <w:pPr>
        <w:ind w:left="8847" w:hanging="180"/>
      </w:pPr>
    </w:lvl>
  </w:abstractNum>
  <w:abstractNum w:abstractNumId="168" w15:restartNumberingAfterBreak="0">
    <w:nsid w:val="4A333DE5"/>
    <w:multiLevelType w:val="hybridMultilevel"/>
    <w:tmpl w:val="73E8EEA4"/>
    <w:lvl w:ilvl="0" w:tplc="FFFFFFFF">
      <w:start w:val="1"/>
      <w:numFmt w:val="decimal"/>
      <w:lvlText w:val="%1)"/>
      <w:lvlJc w:val="left"/>
      <w:pPr>
        <w:ind w:left="2356" w:hanging="360"/>
      </w:pPr>
    </w:lvl>
    <w:lvl w:ilvl="1" w:tplc="FFFFFFFF" w:tentative="1">
      <w:start w:val="1"/>
      <w:numFmt w:val="lowerLetter"/>
      <w:lvlText w:val="%2."/>
      <w:lvlJc w:val="left"/>
      <w:pPr>
        <w:ind w:left="3076" w:hanging="360"/>
      </w:pPr>
    </w:lvl>
    <w:lvl w:ilvl="2" w:tplc="FFFFFFFF" w:tentative="1">
      <w:start w:val="1"/>
      <w:numFmt w:val="lowerRoman"/>
      <w:lvlText w:val="%3."/>
      <w:lvlJc w:val="right"/>
      <w:pPr>
        <w:ind w:left="3796" w:hanging="180"/>
      </w:pPr>
    </w:lvl>
    <w:lvl w:ilvl="3" w:tplc="FFFFFFFF" w:tentative="1">
      <w:start w:val="1"/>
      <w:numFmt w:val="decimal"/>
      <w:lvlText w:val="%4."/>
      <w:lvlJc w:val="left"/>
      <w:pPr>
        <w:ind w:left="4516" w:hanging="360"/>
      </w:pPr>
    </w:lvl>
    <w:lvl w:ilvl="4" w:tplc="FFFFFFFF" w:tentative="1">
      <w:start w:val="1"/>
      <w:numFmt w:val="lowerLetter"/>
      <w:lvlText w:val="%5."/>
      <w:lvlJc w:val="left"/>
      <w:pPr>
        <w:ind w:left="5236" w:hanging="360"/>
      </w:pPr>
    </w:lvl>
    <w:lvl w:ilvl="5" w:tplc="FFFFFFFF" w:tentative="1">
      <w:start w:val="1"/>
      <w:numFmt w:val="lowerRoman"/>
      <w:lvlText w:val="%6."/>
      <w:lvlJc w:val="right"/>
      <w:pPr>
        <w:ind w:left="5956" w:hanging="180"/>
      </w:pPr>
    </w:lvl>
    <w:lvl w:ilvl="6" w:tplc="FFFFFFFF" w:tentative="1">
      <w:start w:val="1"/>
      <w:numFmt w:val="decimal"/>
      <w:lvlText w:val="%7."/>
      <w:lvlJc w:val="left"/>
      <w:pPr>
        <w:ind w:left="6676" w:hanging="360"/>
      </w:pPr>
    </w:lvl>
    <w:lvl w:ilvl="7" w:tplc="FFFFFFFF" w:tentative="1">
      <w:start w:val="1"/>
      <w:numFmt w:val="lowerLetter"/>
      <w:lvlText w:val="%8."/>
      <w:lvlJc w:val="left"/>
      <w:pPr>
        <w:ind w:left="7396" w:hanging="360"/>
      </w:pPr>
    </w:lvl>
    <w:lvl w:ilvl="8" w:tplc="FFFFFFFF" w:tentative="1">
      <w:start w:val="1"/>
      <w:numFmt w:val="lowerRoman"/>
      <w:lvlText w:val="%9."/>
      <w:lvlJc w:val="right"/>
      <w:pPr>
        <w:ind w:left="8116" w:hanging="180"/>
      </w:pPr>
    </w:lvl>
  </w:abstractNum>
  <w:abstractNum w:abstractNumId="169" w15:restartNumberingAfterBreak="0">
    <w:nsid w:val="4AE57F6D"/>
    <w:multiLevelType w:val="hybridMultilevel"/>
    <w:tmpl w:val="DB863B3E"/>
    <w:lvl w:ilvl="0" w:tplc="04090019">
      <w:start w:val="1"/>
      <w:numFmt w:val="lowerLetter"/>
      <w:lvlText w:val="%1."/>
      <w:lvlJc w:val="left"/>
      <w:pPr>
        <w:ind w:left="2007" w:hanging="360"/>
      </w:pPr>
    </w:lvl>
    <w:lvl w:ilvl="1" w:tplc="FFFFFFFF" w:tentative="1">
      <w:start w:val="1"/>
      <w:numFmt w:val="lowerLetter"/>
      <w:lvlText w:val="%2."/>
      <w:lvlJc w:val="left"/>
      <w:pPr>
        <w:ind w:left="2727" w:hanging="360"/>
      </w:pPr>
    </w:lvl>
    <w:lvl w:ilvl="2" w:tplc="FFFFFFFF" w:tentative="1">
      <w:start w:val="1"/>
      <w:numFmt w:val="lowerRoman"/>
      <w:lvlText w:val="%3."/>
      <w:lvlJc w:val="right"/>
      <w:pPr>
        <w:ind w:left="3447" w:hanging="180"/>
      </w:pPr>
    </w:lvl>
    <w:lvl w:ilvl="3" w:tplc="FFFFFFFF" w:tentative="1">
      <w:start w:val="1"/>
      <w:numFmt w:val="decimal"/>
      <w:lvlText w:val="%4."/>
      <w:lvlJc w:val="left"/>
      <w:pPr>
        <w:ind w:left="4167" w:hanging="360"/>
      </w:pPr>
    </w:lvl>
    <w:lvl w:ilvl="4" w:tplc="FFFFFFFF" w:tentative="1">
      <w:start w:val="1"/>
      <w:numFmt w:val="lowerLetter"/>
      <w:lvlText w:val="%5."/>
      <w:lvlJc w:val="left"/>
      <w:pPr>
        <w:ind w:left="4887" w:hanging="360"/>
      </w:pPr>
    </w:lvl>
    <w:lvl w:ilvl="5" w:tplc="FFFFFFFF" w:tentative="1">
      <w:start w:val="1"/>
      <w:numFmt w:val="lowerRoman"/>
      <w:lvlText w:val="%6."/>
      <w:lvlJc w:val="right"/>
      <w:pPr>
        <w:ind w:left="5607" w:hanging="180"/>
      </w:pPr>
    </w:lvl>
    <w:lvl w:ilvl="6" w:tplc="FFFFFFFF" w:tentative="1">
      <w:start w:val="1"/>
      <w:numFmt w:val="decimal"/>
      <w:lvlText w:val="%7."/>
      <w:lvlJc w:val="left"/>
      <w:pPr>
        <w:ind w:left="6327" w:hanging="360"/>
      </w:pPr>
    </w:lvl>
    <w:lvl w:ilvl="7" w:tplc="FFFFFFFF" w:tentative="1">
      <w:start w:val="1"/>
      <w:numFmt w:val="lowerLetter"/>
      <w:lvlText w:val="%8."/>
      <w:lvlJc w:val="left"/>
      <w:pPr>
        <w:ind w:left="7047" w:hanging="360"/>
      </w:pPr>
    </w:lvl>
    <w:lvl w:ilvl="8" w:tplc="FFFFFFFF" w:tentative="1">
      <w:start w:val="1"/>
      <w:numFmt w:val="lowerRoman"/>
      <w:lvlText w:val="%9."/>
      <w:lvlJc w:val="right"/>
      <w:pPr>
        <w:ind w:left="7767" w:hanging="180"/>
      </w:pPr>
    </w:lvl>
  </w:abstractNum>
  <w:abstractNum w:abstractNumId="170" w15:restartNumberingAfterBreak="0">
    <w:nsid w:val="4C7F7AD9"/>
    <w:multiLevelType w:val="hybridMultilevel"/>
    <w:tmpl w:val="9C8AC322"/>
    <w:lvl w:ilvl="0" w:tplc="FFFFFFFF">
      <w:start w:val="1"/>
      <w:numFmt w:val="decimal"/>
      <w:lvlText w:val="(%1)"/>
      <w:lvlJc w:val="right"/>
      <w:pPr>
        <w:ind w:left="3130" w:hanging="360"/>
      </w:pPr>
      <w:rPr>
        <w:rFonts w:hint="default"/>
      </w:rPr>
    </w:lvl>
    <w:lvl w:ilvl="1" w:tplc="FFFFFFFF" w:tentative="1">
      <w:start w:val="1"/>
      <w:numFmt w:val="lowerLetter"/>
      <w:lvlText w:val="%2."/>
      <w:lvlJc w:val="left"/>
      <w:pPr>
        <w:ind w:left="3850" w:hanging="360"/>
      </w:pPr>
    </w:lvl>
    <w:lvl w:ilvl="2" w:tplc="FFFFFFFF" w:tentative="1">
      <w:start w:val="1"/>
      <w:numFmt w:val="lowerRoman"/>
      <w:lvlText w:val="%3."/>
      <w:lvlJc w:val="right"/>
      <w:pPr>
        <w:ind w:left="4570" w:hanging="180"/>
      </w:pPr>
    </w:lvl>
    <w:lvl w:ilvl="3" w:tplc="FFFFFFFF" w:tentative="1">
      <w:start w:val="1"/>
      <w:numFmt w:val="decimal"/>
      <w:lvlText w:val="%4."/>
      <w:lvlJc w:val="left"/>
      <w:pPr>
        <w:ind w:left="5290" w:hanging="360"/>
      </w:pPr>
    </w:lvl>
    <w:lvl w:ilvl="4" w:tplc="FFFFFFFF" w:tentative="1">
      <w:start w:val="1"/>
      <w:numFmt w:val="lowerLetter"/>
      <w:lvlText w:val="%5."/>
      <w:lvlJc w:val="left"/>
      <w:pPr>
        <w:ind w:left="6010" w:hanging="360"/>
      </w:pPr>
    </w:lvl>
    <w:lvl w:ilvl="5" w:tplc="FFFFFFFF" w:tentative="1">
      <w:start w:val="1"/>
      <w:numFmt w:val="lowerRoman"/>
      <w:lvlText w:val="%6."/>
      <w:lvlJc w:val="right"/>
      <w:pPr>
        <w:ind w:left="6730" w:hanging="180"/>
      </w:pPr>
    </w:lvl>
    <w:lvl w:ilvl="6" w:tplc="FFFFFFFF" w:tentative="1">
      <w:start w:val="1"/>
      <w:numFmt w:val="decimal"/>
      <w:lvlText w:val="%7."/>
      <w:lvlJc w:val="left"/>
      <w:pPr>
        <w:ind w:left="7450" w:hanging="360"/>
      </w:pPr>
    </w:lvl>
    <w:lvl w:ilvl="7" w:tplc="FFFFFFFF" w:tentative="1">
      <w:start w:val="1"/>
      <w:numFmt w:val="lowerLetter"/>
      <w:lvlText w:val="%8."/>
      <w:lvlJc w:val="left"/>
      <w:pPr>
        <w:ind w:left="8170" w:hanging="360"/>
      </w:pPr>
    </w:lvl>
    <w:lvl w:ilvl="8" w:tplc="FFFFFFFF" w:tentative="1">
      <w:start w:val="1"/>
      <w:numFmt w:val="lowerRoman"/>
      <w:lvlText w:val="%9."/>
      <w:lvlJc w:val="right"/>
      <w:pPr>
        <w:ind w:left="8890" w:hanging="180"/>
      </w:pPr>
    </w:lvl>
  </w:abstractNum>
  <w:abstractNum w:abstractNumId="171" w15:restartNumberingAfterBreak="0">
    <w:nsid w:val="4CE77AF8"/>
    <w:multiLevelType w:val="hybridMultilevel"/>
    <w:tmpl w:val="5B542D0C"/>
    <w:lvl w:ilvl="0" w:tplc="04090011">
      <w:start w:val="1"/>
      <w:numFmt w:val="decimal"/>
      <w:lvlText w:val="%1)"/>
      <w:lvlJc w:val="left"/>
      <w:pPr>
        <w:ind w:left="2203" w:hanging="360"/>
      </w:pPr>
      <w:rPr>
        <w:rFonts w:hint="default"/>
        <w:color w:val="000000" w:themeColor="text1"/>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72" w15:restartNumberingAfterBreak="0">
    <w:nsid w:val="4D393B41"/>
    <w:multiLevelType w:val="hybridMultilevel"/>
    <w:tmpl w:val="22CA0AA6"/>
    <w:lvl w:ilvl="0" w:tplc="61DA4A6E">
      <w:start w:val="1"/>
      <w:numFmt w:val="decimal"/>
      <w:lvlText w:val="(%1)"/>
      <w:lvlJc w:val="left"/>
      <w:pPr>
        <w:ind w:left="2730" w:hanging="360"/>
      </w:pPr>
      <w:rPr>
        <w:rFonts w:cs="Times New Roman" w:hint="default"/>
        <w:i w:val="0"/>
        <w:strike w:val="0"/>
        <w:color w:val="auto"/>
        <w:kern w:val="24"/>
        <w:sz w:val="24"/>
        <w:szCs w:val="24"/>
      </w:rPr>
    </w:lvl>
    <w:lvl w:ilvl="1" w:tplc="04090019" w:tentative="1">
      <w:start w:val="1"/>
      <w:numFmt w:val="lowerLetter"/>
      <w:lvlText w:val="%2."/>
      <w:lvlJc w:val="left"/>
      <w:pPr>
        <w:ind w:left="3450" w:hanging="360"/>
      </w:pPr>
    </w:lvl>
    <w:lvl w:ilvl="2" w:tplc="0409001B" w:tentative="1">
      <w:start w:val="1"/>
      <w:numFmt w:val="lowerRoman"/>
      <w:lvlText w:val="%3."/>
      <w:lvlJc w:val="right"/>
      <w:pPr>
        <w:ind w:left="4170" w:hanging="180"/>
      </w:pPr>
    </w:lvl>
    <w:lvl w:ilvl="3" w:tplc="0409000F" w:tentative="1">
      <w:start w:val="1"/>
      <w:numFmt w:val="decimal"/>
      <w:lvlText w:val="%4."/>
      <w:lvlJc w:val="left"/>
      <w:pPr>
        <w:ind w:left="4890" w:hanging="360"/>
      </w:pPr>
    </w:lvl>
    <w:lvl w:ilvl="4" w:tplc="04090019" w:tentative="1">
      <w:start w:val="1"/>
      <w:numFmt w:val="lowerLetter"/>
      <w:lvlText w:val="%5."/>
      <w:lvlJc w:val="left"/>
      <w:pPr>
        <w:ind w:left="5610" w:hanging="360"/>
      </w:pPr>
    </w:lvl>
    <w:lvl w:ilvl="5" w:tplc="0409001B" w:tentative="1">
      <w:start w:val="1"/>
      <w:numFmt w:val="lowerRoman"/>
      <w:lvlText w:val="%6."/>
      <w:lvlJc w:val="right"/>
      <w:pPr>
        <w:ind w:left="6330" w:hanging="180"/>
      </w:pPr>
    </w:lvl>
    <w:lvl w:ilvl="6" w:tplc="0409000F" w:tentative="1">
      <w:start w:val="1"/>
      <w:numFmt w:val="decimal"/>
      <w:lvlText w:val="%7."/>
      <w:lvlJc w:val="left"/>
      <w:pPr>
        <w:ind w:left="7050" w:hanging="360"/>
      </w:pPr>
    </w:lvl>
    <w:lvl w:ilvl="7" w:tplc="04090019" w:tentative="1">
      <w:start w:val="1"/>
      <w:numFmt w:val="lowerLetter"/>
      <w:lvlText w:val="%8."/>
      <w:lvlJc w:val="left"/>
      <w:pPr>
        <w:ind w:left="7770" w:hanging="360"/>
      </w:pPr>
    </w:lvl>
    <w:lvl w:ilvl="8" w:tplc="0409001B" w:tentative="1">
      <w:start w:val="1"/>
      <w:numFmt w:val="lowerRoman"/>
      <w:lvlText w:val="%9."/>
      <w:lvlJc w:val="right"/>
      <w:pPr>
        <w:ind w:left="8490" w:hanging="180"/>
      </w:pPr>
    </w:lvl>
  </w:abstractNum>
  <w:abstractNum w:abstractNumId="173" w15:restartNumberingAfterBreak="0">
    <w:nsid w:val="4ED50E9F"/>
    <w:multiLevelType w:val="hybridMultilevel"/>
    <w:tmpl w:val="EA64B9C0"/>
    <w:lvl w:ilvl="0" w:tplc="F940BFDC">
      <w:start w:val="1"/>
      <w:numFmt w:val="lowerLetter"/>
      <w:lvlText w:val="%1."/>
      <w:lvlJc w:val="left"/>
      <w:pPr>
        <w:ind w:left="2912" w:hanging="360"/>
      </w:pPr>
      <w:rPr>
        <w:rFonts w:cs="Times New Roman"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174" w15:restartNumberingAfterBreak="0">
    <w:nsid w:val="501C77A6"/>
    <w:multiLevelType w:val="hybridMultilevel"/>
    <w:tmpl w:val="40347108"/>
    <w:lvl w:ilvl="0" w:tplc="7622778C">
      <w:start w:val="1"/>
      <w:numFmt w:val="decimal"/>
      <w:lvlText w:val="%1."/>
      <w:lvlJc w:val="left"/>
      <w:pPr>
        <w:ind w:left="1267" w:hanging="360"/>
      </w:pPr>
      <w:rPr>
        <w:rFonts w:hint="default"/>
        <w:color w:val="auto"/>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75" w15:restartNumberingAfterBreak="0">
    <w:nsid w:val="504236BE"/>
    <w:multiLevelType w:val="hybridMultilevel"/>
    <w:tmpl w:val="3906EEA8"/>
    <w:lvl w:ilvl="0" w:tplc="FFFFFFFF">
      <w:start w:val="1"/>
      <w:numFmt w:val="decimal"/>
      <w:lvlText w:val="%1)"/>
      <w:lvlJc w:val="left"/>
      <w:pPr>
        <w:ind w:left="2004" w:hanging="360"/>
      </w:pPr>
      <w:rPr>
        <w:rFonts w:hint="default"/>
        <w:color w:val="auto"/>
        <w:sz w:val="24"/>
        <w:szCs w:val="24"/>
      </w:rPr>
    </w:lvl>
    <w:lvl w:ilvl="1" w:tplc="FFFFFFFF" w:tentative="1">
      <w:start w:val="1"/>
      <w:numFmt w:val="lowerLetter"/>
      <w:lvlText w:val="%2."/>
      <w:lvlJc w:val="left"/>
      <w:pPr>
        <w:ind w:left="2724" w:hanging="360"/>
      </w:pPr>
    </w:lvl>
    <w:lvl w:ilvl="2" w:tplc="FFFFFFFF" w:tentative="1">
      <w:start w:val="1"/>
      <w:numFmt w:val="lowerRoman"/>
      <w:lvlText w:val="%3."/>
      <w:lvlJc w:val="right"/>
      <w:pPr>
        <w:ind w:left="3444" w:hanging="180"/>
      </w:pPr>
    </w:lvl>
    <w:lvl w:ilvl="3" w:tplc="FFFFFFFF" w:tentative="1">
      <w:start w:val="1"/>
      <w:numFmt w:val="decimal"/>
      <w:lvlText w:val="%4."/>
      <w:lvlJc w:val="left"/>
      <w:pPr>
        <w:ind w:left="4164" w:hanging="360"/>
      </w:pPr>
    </w:lvl>
    <w:lvl w:ilvl="4" w:tplc="FFFFFFFF" w:tentative="1">
      <w:start w:val="1"/>
      <w:numFmt w:val="lowerLetter"/>
      <w:lvlText w:val="%5."/>
      <w:lvlJc w:val="left"/>
      <w:pPr>
        <w:ind w:left="4884" w:hanging="360"/>
      </w:pPr>
    </w:lvl>
    <w:lvl w:ilvl="5" w:tplc="FFFFFFFF" w:tentative="1">
      <w:start w:val="1"/>
      <w:numFmt w:val="lowerRoman"/>
      <w:lvlText w:val="%6."/>
      <w:lvlJc w:val="right"/>
      <w:pPr>
        <w:ind w:left="5604" w:hanging="180"/>
      </w:pPr>
    </w:lvl>
    <w:lvl w:ilvl="6" w:tplc="FFFFFFFF" w:tentative="1">
      <w:start w:val="1"/>
      <w:numFmt w:val="decimal"/>
      <w:lvlText w:val="%7."/>
      <w:lvlJc w:val="left"/>
      <w:pPr>
        <w:ind w:left="6324" w:hanging="360"/>
      </w:pPr>
    </w:lvl>
    <w:lvl w:ilvl="7" w:tplc="FFFFFFFF" w:tentative="1">
      <w:start w:val="1"/>
      <w:numFmt w:val="lowerLetter"/>
      <w:lvlText w:val="%8."/>
      <w:lvlJc w:val="left"/>
      <w:pPr>
        <w:ind w:left="7044" w:hanging="360"/>
      </w:pPr>
    </w:lvl>
    <w:lvl w:ilvl="8" w:tplc="FFFFFFFF" w:tentative="1">
      <w:start w:val="1"/>
      <w:numFmt w:val="lowerRoman"/>
      <w:lvlText w:val="%9."/>
      <w:lvlJc w:val="right"/>
      <w:pPr>
        <w:ind w:left="7764" w:hanging="180"/>
      </w:pPr>
    </w:lvl>
  </w:abstractNum>
  <w:abstractNum w:abstractNumId="176" w15:restartNumberingAfterBreak="0">
    <w:nsid w:val="50837BE0"/>
    <w:multiLevelType w:val="hybridMultilevel"/>
    <w:tmpl w:val="5CEAD204"/>
    <w:lvl w:ilvl="0" w:tplc="5F0CCC0A">
      <w:start w:val="1"/>
      <w:numFmt w:val="decimal"/>
      <w:lvlText w:val="(%1)"/>
      <w:lvlJc w:val="left"/>
      <w:pPr>
        <w:ind w:left="3207" w:hanging="360"/>
      </w:pPr>
      <w:rPr>
        <w:rFonts w:hint="default"/>
        <w:color w:val="auto"/>
      </w:rPr>
    </w:lvl>
    <w:lvl w:ilvl="1" w:tplc="38090019" w:tentative="1">
      <w:start w:val="1"/>
      <w:numFmt w:val="lowerLetter"/>
      <w:lvlText w:val="%2."/>
      <w:lvlJc w:val="left"/>
      <w:pPr>
        <w:ind w:left="3927" w:hanging="360"/>
      </w:pPr>
    </w:lvl>
    <w:lvl w:ilvl="2" w:tplc="3809001B" w:tentative="1">
      <w:start w:val="1"/>
      <w:numFmt w:val="lowerRoman"/>
      <w:lvlText w:val="%3."/>
      <w:lvlJc w:val="right"/>
      <w:pPr>
        <w:ind w:left="4647" w:hanging="180"/>
      </w:pPr>
    </w:lvl>
    <w:lvl w:ilvl="3" w:tplc="3809000F" w:tentative="1">
      <w:start w:val="1"/>
      <w:numFmt w:val="decimal"/>
      <w:lvlText w:val="%4."/>
      <w:lvlJc w:val="left"/>
      <w:pPr>
        <w:ind w:left="5367" w:hanging="360"/>
      </w:pPr>
    </w:lvl>
    <w:lvl w:ilvl="4" w:tplc="38090019" w:tentative="1">
      <w:start w:val="1"/>
      <w:numFmt w:val="lowerLetter"/>
      <w:lvlText w:val="%5."/>
      <w:lvlJc w:val="left"/>
      <w:pPr>
        <w:ind w:left="6087" w:hanging="360"/>
      </w:pPr>
    </w:lvl>
    <w:lvl w:ilvl="5" w:tplc="3809001B" w:tentative="1">
      <w:start w:val="1"/>
      <w:numFmt w:val="lowerRoman"/>
      <w:lvlText w:val="%6."/>
      <w:lvlJc w:val="right"/>
      <w:pPr>
        <w:ind w:left="6807" w:hanging="180"/>
      </w:pPr>
    </w:lvl>
    <w:lvl w:ilvl="6" w:tplc="3809000F" w:tentative="1">
      <w:start w:val="1"/>
      <w:numFmt w:val="decimal"/>
      <w:lvlText w:val="%7."/>
      <w:lvlJc w:val="left"/>
      <w:pPr>
        <w:ind w:left="7527" w:hanging="360"/>
      </w:pPr>
    </w:lvl>
    <w:lvl w:ilvl="7" w:tplc="38090019" w:tentative="1">
      <w:start w:val="1"/>
      <w:numFmt w:val="lowerLetter"/>
      <w:lvlText w:val="%8."/>
      <w:lvlJc w:val="left"/>
      <w:pPr>
        <w:ind w:left="8247" w:hanging="360"/>
      </w:pPr>
    </w:lvl>
    <w:lvl w:ilvl="8" w:tplc="3809001B" w:tentative="1">
      <w:start w:val="1"/>
      <w:numFmt w:val="lowerRoman"/>
      <w:lvlText w:val="%9."/>
      <w:lvlJc w:val="right"/>
      <w:pPr>
        <w:ind w:left="8967" w:hanging="180"/>
      </w:pPr>
    </w:lvl>
  </w:abstractNum>
  <w:abstractNum w:abstractNumId="177" w15:restartNumberingAfterBreak="0">
    <w:nsid w:val="515F63C1"/>
    <w:multiLevelType w:val="hybridMultilevel"/>
    <w:tmpl w:val="217CEA54"/>
    <w:lvl w:ilvl="0" w:tplc="04090019">
      <w:start w:val="1"/>
      <w:numFmt w:val="lowerLetter"/>
      <w:lvlText w:val="%1."/>
      <w:lvlJc w:val="left"/>
      <w:pPr>
        <w:ind w:left="1787" w:hanging="360"/>
      </w:pPr>
      <w:rPr>
        <w:color w:val="000000" w:themeColor="text1"/>
      </w:rPr>
    </w:lvl>
    <w:lvl w:ilvl="1" w:tplc="38090019">
      <w:start w:val="1"/>
      <w:numFmt w:val="lowerLetter"/>
      <w:lvlText w:val="%2."/>
      <w:lvlJc w:val="left"/>
      <w:pPr>
        <w:ind w:left="2507" w:hanging="360"/>
      </w:pPr>
    </w:lvl>
    <w:lvl w:ilvl="2" w:tplc="3809001B">
      <w:start w:val="1"/>
      <w:numFmt w:val="lowerRoman"/>
      <w:lvlText w:val="%3."/>
      <w:lvlJc w:val="right"/>
      <w:pPr>
        <w:ind w:left="3227" w:hanging="180"/>
      </w:pPr>
    </w:lvl>
    <w:lvl w:ilvl="3" w:tplc="04210011">
      <w:start w:val="1"/>
      <w:numFmt w:val="decimal"/>
      <w:lvlText w:val="%4)"/>
      <w:lvlJc w:val="left"/>
      <w:pPr>
        <w:ind w:left="3947" w:hanging="360"/>
      </w:pPr>
    </w:lvl>
    <w:lvl w:ilvl="4" w:tplc="38090019">
      <w:start w:val="1"/>
      <w:numFmt w:val="lowerLetter"/>
      <w:lvlText w:val="%5."/>
      <w:lvlJc w:val="left"/>
      <w:pPr>
        <w:ind w:left="4667" w:hanging="360"/>
      </w:pPr>
    </w:lvl>
    <w:lvl w:ilvl="5" w:tplc="3809001B">
      <w:start w:val="1"/>
      <w:numFmt w:val="lowerRoman"/>
      <w:lvlText w:val="%6."/>
      <w:lvlJc w:val="right"/>
      <w:pPr>
        <w:ind w:left="5387" w:hanging="180"/>
      </w:pPr>
    </w:lvl>
    <w:lvl w:ilvl="6" w:tplc="3809000F">
      <w:start w:val="1"/>
      <w:numFmt w:val="decimal"/>
      <w:lvlText w:val="%7."/>
      <w:lvlJc w:val="left"/>
      <w:pPr>
        <w:ind w:left="6107" w:hanging="360"/>
      </w:pPr>
    </w:lvl>
    <w:lvl w:ilvl="7" w:tplc="38090019">
      <w:start w:val="1"/>
      <w:numFmt w:val="lowerLetter"/>
      <w:lvlText w:val="%8."/>
      <w:lvlJc w:val="left"/>
      <w:pPr>
        <w:ind w:left="6827" w:hanging="360"/>
      </w:pPr>
    </w:lvl>
    <w:lvl w:ilvl="8" w:tplc="3809001B">
      <w:start w:val="1"/>
      <w:numFmt w:val="lowerRoman"/>
      <w:lvlText w:val="%9."/>
      <w:lvlJc w:val="right"/>
      <w:pPr>
        <w:ind w:left="7547" w:hanging="180"/>
      </w:pPr>
    </w:lvl>
  </w:abstractNum>
  <w:abstractNum w:abstractNumId="178" w15:restartNumberingAfterBreak="0">
    <w:nsid w:val="51671455"/>
    <w:multiLevelType w:val="hybridMultilevel"/>
    <w:tmpl w:val="F3DC053C"/>
    <w:lvl w:ilvl="0" w:tplc="4914D814">
      <w:start w:val="1"/>
      <w:numFmt w:val="upperRoman"/>
      <w:lvlText w:val="%1."/>
      <w:lvlJc w:val="left"/>
      <w:pPr>
        <w:ind w:left="360" w:hanging="360"/>
      </w:pPr>
      <w:rPr>
        <w:rFonts w:cs="Myriad Pro Light (Vietnamese) T" w:hint="default"/>
        <w:b w:val="0"/>
        <w:color w:val="auto"/>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9" w15:restartNumberingAfterBreak="0">
    <w:nsid w:val="518B7793"/>
    <w:multiLevelType w:val="hybridMultilevel"/>
    <w:tmpl w:val="27EE33C0"/>
    <w:lvl w:ilvl="0" w:tplc="8BD60406">
      <w:start w:val="1"/>
      <w:numFmt w:val="lowerLetter"/>
      <w:lvlText w:val="(%1)"/>
      <w:lvlJc w:val="left"/>
      <w:pPr>
        <w:ind w:left="6031" w:hanging="360"/>
      </w:pPr>
      <w:rPr>
        <w:rFonts w:hint="default"/>
        <w:color w:val="auto"/>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80" w15:restartNumberingAfterBreak="0">
    <w:nsid w:val="525C58AF"/>
    <w:multiLevelType w:val="hybridMultilevel"/>
    <w:tmpl w:val="05585934"/>
    <w:lvl w:ilvl="0" w:tplc="04090011">
      <w:start w:val="1"/>
      <w:numFmt w:val="decimal"/>
      <w:lvlText w:val="%1)"/>
      <w:lvlJc w:val="left"/>
      <w:pPr>
        <w:ind w:left="2345" w:hanging="360"/>
      </w:pPr>
      <w:rPr>
        <w:rFonts w:hint="default"/>
        <w:i w:val="0"/>
        <w:strike w:val="0"/>
        <w:color w:val="auto"/>
        <w:kern w:val="24"/>
      </w:rPr>
    </w:lvl>
    <w:lvl w:ilvl="1" w:tplc="FFFFFFFF">
      <w:start w:val="1"/>
      <w:numFmt w:val="lowerLetter"/>
      <w:lvlText w:val="%2."/>
      <w:lvlJc w:val="left"/>
      <w:pPr>
        <w:ind w:left="3065" w:hanging="360"/>
      </w:pPr>
    </w:lvl>
    <w:lvl w:ilvl="2" w:tplc="FFFFFFFF">
      <w:start w:val="1"/>
      <w:numFmt w:val="lowerRoman"/>
      <w:lvlText w:val="%3."/>
      <w:lvlJc w:val="right"/>
      <w:pPr>
        <w:ind w:left="3785" w:hanging="180"/>
      </w:pPr>
    </w:lvl>
    <w:lvl w:ilvl="3" w:tplc="FFFFFFFF">
      <w:start w:val="1"/>
      <w:numFmt w:val="decimal"/>
      <w:lvlText w:val="%4)"/>
      <w:lvlJc w:val="left"/>
      <w:pPr>
        <w:ind w:left="4505" w:hanging="360"/>
      </w:pPr>
    </w:lvl>
    <w:lvl w:ilvl="4" w:tplc="FFFFFFFF">
      <w:start w:val="1"/>
      <w:numFmt w:val="lowerLetter"/>
      <w:lvlText w:val="%5."/>
      <w:lvlJc w:val="left"/>
      <w:pPr>
        <w:ind w:left="5225" w:hanging="360"/>
      </w:pPr>
    </w:lvl>
    <w:lvl w:ilvl="5" w:tplc="FFFFFFFF">
      <w:start w:val="1"/>
      <w:numFmt w:val="lowerRoman"/>
      <w:lvlText w:val="%6."/>
      <w:lvlJc w:val="right"/>
      <w:pPr>
        <w:ind w:left="5945" w:hanging="180"/>
      </w:pPr>
    </w:lvl>
    <w:lvl w:ilvl="6" w:tplc="FFFFFFFF">
      <w:start w:val="1"/>
      <w:numFmt w:val="decimal"/>
      <w:lvlText w:val="%7."/>
      <w:lvlJc w:val="left"/>
      <w:pPr>
        <w:ind w:left="6665" w:hanging="360"/>
      </w:pPr>
    </w:lvl>
    <w:lvl w:ilvl="7" w:tplc="FFFFFFFF">
      <w:start w:val="1"/>
      <w:numFmt w:val="lowerLetter"/>
      <w:lvlText w:val="%8."/>
      <w:lvlJc w:val="left"/>
      <w:pPr>
        <w:ind w:left="7385" w:hanging="360"/>
      </w:pPr>
    </w:lvl>
    <w:lvl w:ilvl="8" w:tplc="FFFFFFFF">
      <w:start w:val="1"/>
      <w:numFmt w:val="lowerRoman"/>
      <w:lvlText w:val="%9."/>
      <w:lvlJc w:val="right"/>
      <w:pPr>
        <w:ind w:left="8105" w:hanging="180"/>
      </w:pPr>
    </w:lvl>
  </w:abstractNum>
  <w:abstractNum w:abstractNumId="181" w15:restartNumberingAfterBreak="0">
    <w:nsid w:val="52E85681"/>
    <w:multiLevelType w:val="hybridMultilevel"/>
    <w:tmpl w:val="0122C4D8"/>
    <w:lvl w:ilvl="0" w:tplc="14764940">
      <w:start w:val="1"/>
      <w:numFmt w:val="lowerLetter"/>
      <w:lvlText w:val="%1)"/>
      <w:lvlJc w:val="left"/>
      <w:pPr>
        <w:ind w:left="2376" w:hanging="360"/>
      </w:pPr>
      <w:rPr>
        <w:color w:val="auto"/>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182" w15:restartNumberingAfterBreak="0">
    <w:nsid w:val="537911F7"/>
    <w:multiLevelType w:val="hybridMultilevel"/>
    <w:tmpl w:val="6212E2F8"/>
    <w:lvl w:ilvl="0" w:tplc="8C925EE8">
      <w:start w:val="2"/>
      <w:numFmt w:val="decimal"/>
      <w:lvlText w:val="%1."/>
      <w:lvlJc w:val="left"/>
      <w:pPr>
        <w:ind w:left="2790" w:hanging="360"/>
      </w:pPr>
      <w:rPr>
        <w:rFonts w:hint="default"/>
      </w:rPr>
    </w:lvl>
    <w:lvl w:ilvl="1" w:tplc="04210019">
      <w:start w:val="1"/>
      <w:numFmt w:val="lowerLetter"/>
      <w:lvlText w:val="%2."/>
      <w:lvlJc w:val="left"/>
      <w:pPr>
        <w:ind w:left="3510" w:hanging="360"/>
      </w:pPr>
    </w:lvl>
    <w:lvl w:ilvl="2" w:tplc="0421001B" w:tentative="1">
      <w:start w:val="1"/>
      <w:numFmt w:val="lowerRoman"/>
      <w:lvlText w:val="%3."/>
      <w:lvlJc w:val="right"/>
      <w:pPr>
        <w:ind w:left="4230" w:hanging="180"/>
      </w:pPr>
    </w:lvl>
    <w:lvl w:ilvl="3" w:tplc="0421000F" w:tentative="1">
      <w:start w:val="1"/>
      <w:numFmt w:val="decimal"/>
      <w:lvlText w:val="%4."/>
      <w:lvlJc w:val="left"/>
      <w:pPr>
        <w:ind w:left="4950" w:hanging="360"/>
      </w:pPr>
    </w:lvl>
    <w:lvl w:ilvl="4" w:tplc="04210019" w:tentative="1">
      <w:start w:val="1"/>
      <w:numFmt w:val="lowerLetter"/>
      <w:lvlText w:val="%5."/>
      <w:lvlJc w:val="left"/>
      <w:pPr>
        <w:ind w:left="5670" w:hanging="360"/>
      </w:pPr>
    </w:lvl>
    <w:lvl w:ilvl="5" w:tplc="0421001B" w:tentative="1">
      <w:start w:val="1"/>
      <w:numFmt w:val="lowerRoman"/>
      <w:lvlText w:val="%6."/>
      <w:lvlJc w:val="right"/>
      <w:pPr>
        <w:ind w:left="6390" w:hanging="180"/>
      </w:pPr>
    </w:lvl>
    <w:lvl w:ilvl="6" w:tplc="0421000F" w:tentative="1">
      <w:start w:val="1"/>
      <w:numFmt w:val="decimal"/>
      <w:lvlText w:val="%7."/>
      <w:lvlJc w:val="left"/>
      <w:pPr>
        <w:ind w:left="7110" w:hanging="360"/>
      </w:pPr>
    </w:lvl>
    <w:lvl w:ilvl="7" w:tplc="04210019" w:tentative="1">
      <w:start w:val="1"/>
      <w:numFmt w:val="lowerLetter"/>
      <w:lvlText w:val="%8."/>
      <w:lvlJc w:val="left"/>
      <w:pPr>
        <w:ind w:left="7830" w:hanging="360"/>
      </w:pPr>
    </w:lvl>
    <w:lvl w:ilvl="8" w:tplc="0421001B" w:tentative="1">
      <w:start w:val="1"/>
      <w:numFmt w:val="lowerRoman"/>
      <w:lvlText w:val="%9."/>
      <w:lvlJc w:val="right"/>
      <w:pPr>
        <w:ind w:left="8550" w:hanging="180"/>
      </w:pPr>
    </w:lvl>
  </w:abstractNum>
  <w:abstractNum w:abstractNumId="183" w15:restartNumberingAfterBreak="0">
    <w:nsid w:val="543E2627"/>
    <w:multiLevelType w:val="hybridMultilevel"/>
    <w:tmpl w:val="A46065AA"/>
    <w:lvl w:ilvl="0" w:tplc="DB7CDF64">
      <w:start w:val="1"/>
      <w:numFmt w:val="lowerLetter"/>
      <w:lvlText w:val="(%1)"/>
      <w:lvlJc w:val="left"/>
      <w:pPr>
        <w:ind w:left="3090" w:hanging="360"/>
      </w:pPr>
      <w:rPr>
        <w:rFonts w:cs="Times New Roman" w:hint="default"/>
        <w:i w:val="0"/>
        <w:strike w:val="0"/>
        <w:color w:val="auto"/>
        <w:kern w:val="24"/>
      </w:rPr>
    </w:lvl>
    <w:lvl w:ilvl="1" w:tplc="04090019" w:tentative="1">
      <w:start w:val="1"/>
      <w:numFmt w:val="lowerLetter"/>
      <w:lvlText w:val="%2."/>
      <w:lvlJc w:val="left"/>
      <w:pPr>
        <w:ind w:left="3810" w:hanging="360"/>
      </w:pPr>
    </w:lvl>
    <w:lvl w:ilvl="2" w:tplc="0409001B" w:tentative="1">
      <w:start w:val="1"/>
      <w:numFmt w:val="lowerRoman"/>
      <w:lvlText w:val="%3."/>
      <w:lvlJc w:val="right"/>
      <w:pPr>
        <w:ind w:left="4530" w:hanging="180"/>
      </w:pPr>
    </w:lvl>
    <w:lvl w:ilvl="3" w:tplc="0409000F" w:tentative="1">
      <w:start w:val="1"/>
      <w:numFmt w:val="decimal"/>
      <w:lvlText w:val="%4."/>
      <w:lvlJc w:val="left"/>
      <w:pPr>
        <w:ind w:left="5250" w:hanging="360"/>
      </w:pPr>
    </w:lvl>
    <w:lvl w:ilvl="4" w:tplc="04090019" w:tentative="1">
      <w:start w:val="1"/>
      <w:numFmt w:val="lowerLetter"/>
      <w:lvlText w:val="%5."/>
      <w:lvlJc w:val="left"/>
      <w:pPr>
        <w:ind w:left="5970" w:hanging="360"/>
      </w:pPr>
    </w:lvl>
    <w:lvl w:ilvl="5" w:tplc="0409001B" w:tentative="1">
      <w:start w:val="1"/>
      <w:numFmt w:val="lowerRoman"/>
      <w:lvlText w:val="%6."/>
      <w:lvlJc w:val="right"/>
      <w:pPr>
        <w:ind w:left="6690" w:hanging="180"/>
      </w:pPr>
    </w:lvl>
    <w:lvl w:ilvl="6" w:tplc="0409000F" w:tentative="1">
      <w:start w:val="1"/>
      <w:numFmt w:val="decimal"/>
      <w:lvlText w:val="%7."/>
      <w:lvlJc w:val="left"/>
      <w:pPr>
        <w:ind w:left="7410" w:hanging="360"/>
      </w:pPr>
    </w:lvl>
    <w:lvl w:ilvl="7" w:tplc="04090019" w:tentative="1">
      <w:start w:val="1"/>
      <w:numFmt w:val="lowerLetter"/>
      <w:lvlText w:val="%8."/>
      <w:lvlJc w:val="left"/>
      <w:pPr>
        <w:ind w:left="8130" w:hanging="360"/>
      </w:pPr>
    </w:lvl>
    <w:lvl w:ilvl="8" w:tplc="0409001B" w:tentative="1">
      <w:start w:val="1"/>
      <w:numFmt w:val="lowerRoman"/>
      <w:lvlText w:val="%9."/>
      <w:lvlJc w:val="right"/>
      <w:pPr>
        <w:ind w:left="8850" w:hanging="180"/>
      </w:pPr>
    </w:lvl>
  </w:abstractNum>
  <w:abstractNum w:abstractNumId="184" w15:restartNumberingAfterBreak="0">
    <w:nsid w:val="547D7F67"/>
    <w:multiLevelType w:val="hybridMultilevel"/>
    <w:tmpl w:val="129406B8"/>
    <w:lvl w:ilvl="0" w:tplc="FF6C7432">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5" w15:restartNumberingAfterBreak="0">
    <w:nsid w:val="54C70E4A"/>
    <w:multiLevelType w:val="hybridMultilevel"/>
    <w:tmpl w:val="66AC6B44"/>
    <w:lvl w:ilvl="0" w:tplc="7B5E359E">
      <w:start w:val="1"/>
      <w:numFmt w:val="decimal"/>
      <w:lvlText w:val="(%1)"/>
      <w:lvlJc w:val="left"/>
      <w:pPr>
        <w:ind w:left="2730" w:hanging="360"/>
      </w:pPr>
      <w:rPr>
        <w:rFonts w:hint="default"/>
        <w:color w:val="auto"/>
      </w:rPr>
    </w:lvl>
    <w:lvl w:ilvl="1" w:tplc="04090019" w:tentative="1">
      <w:start w:val="1"/>
      <w:numFmt w:val="lowerLetter"/>
      <w:lvlText w:val="%2."/>
      <w:lvlJc w:val="left"/>
      <w:pPr>
        <w:ind w:left="3450" w:hanging="360"/>
      </w:pPr>
    </w:lvl>
    <w:lvl w:ilvl="2" w:tplc="0409001B" w:tentative="1">
      <w:start w:val="1"/>
      <w:numFmt w:val="lowerRoman"/>
      <w:lvlText w:val="%3."/>
      <w:lvlJc w:val="right"/>
      <w:pPr>
        <w:ind w:left="4170" w:hanging="180"/>
      </w:pPr>
    </w:lvl>
    <w:lvl w:ilvl="3" w:tplc="0409000F" w:tentative="1">
      <w:start w:val="1"/>
      <w:numFmt w:val="decimal"/>
      <w:lvlText w:val="%4."/>
      <w:lvlJc w:val="left"/>
      <w:pPr>
        <w:ind w:left="4890" w:hanging="360"/>
      </w:pPr>
    </w:lvl>
    <w:lvl w:ilvl="4" w:tplc="04090019" w:tentative="1">
      <w:start w:val="1"/>
      <w:numFmt w:val="lowerLetter"/>
      <w:lvlText w:val="%5."/>
      <w:lvlJc w:val="left"/>
      <w:pPr>
        <w:ind w:left="5610" w:hanging="360"/>
      </w:pPr>
    </w:lvl>
    <w:lvl w:ilvl="5" w:tplc="0409001B" w:tentative="1">
      <w:start w:val="1"/>
      <w:numFmt w:val="lowerRoman"/>
      <w:lvlText w:val="%6."/>
      <w:lvlJc w:val="right"/>
      <w:pPr>
        <w:ind w:left="6330" w:hanging="180"/>
      </w:pPr>
    </w:lvl>
    <w:lvl w:ilvl="6" w:tplc="0409000F" w:tentative="1">
      <w:start w:val="1"/>
      <w:numFmt w:val="decimal"/>
      <w:lvlText w:val="%7."/>
      <w:lvlJc w:val="left"/>
      <w:pPr>
        <w:ind w:left="7050" w:hanging="360"/>
      </w:pPr>
    </w:lvl>
    <w:lvl w:ilvl="7" w:tplc="04090019" w:tentative="1">
      <w:start w:val="1"/>
      <w:numFmt w:val="lowerLetter"/>
      <w:lvlText w:val="%8."/>
      <w:lvlJc w:val="left"/>
      <w:pPr>
        <w:ind w:left="7770" w:hanging="360"/>
      </w:pPr>
    </w:lvl>
    <w:lvl w:ilvl="8" w:tplc="0409001B" w:tentative="1">
      <w:start w:val="1"/>
      <w:numFmt w:val="lowerRoman"/>
      <w:lvlText w:val="%9."/>
      <w:lvlJc w:val="right"/>
      <w:pPr>
        <w:ind w:left="8490" w:hanging="180"/>
      </w:pPr>
    </w:lvl>
  </w:abstractNum>
  <w:abstractNum w:abstractNumId="186" w15:restartNumberingAfterBreak="0">
    <w:nsid w:val="55061BE7"/>
    <w:multiLevelType w:val="hybridMultilevel"/>
    <w:tmpl w:val="2FDA1838"/>
    <w:lvl w:ilvl="0" w:tplc="5F2210D0">
      <w:start w:val="1"/>
      <w:numFmt w:val="upperLetter"/>
      <w:lvlText w:val="%1."/>
      <w:lvlJc w:val="left"/>
      <w:pPr>
        <w:ind w:left="3141" w:hanging="360"/>
      </w:pPr>
      <w:rPr>
        <w:rFonts w:hint="default"/>
        <w:color w:val="auto"/>
      </w:r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87" w15:restartNumberingAfterBreak="0">
    <w:nsid w:val="55851029"/>
    <w:multiLevelType w:val="hybridMultilevel"/>
    <w:tmpl w:val="01462AC0"/>
    <w:lvl w:ilvl="0" w:tplc="04090017">
      <w:start w:val="1"/>
      <w:numFmt w:val="lowerLetter"/>
      <w:lvlText w:val="%1)"/>
      <w:lvlJc w:val="left"/>
      <w:pPr>
        <w:ind w:left="2847" w:hanging="360"/>
      </w:pPr>
      <w:rPr>
        <w:rFonts w:hint="default"/>
        <w:i w:val="0"/>
        <w:strike w:val="0"/>
        <w:color w:val="auto"/>
        <w:kern w:val="24"/>
        <w:sz w:val="24"/>
        <w:szCs w:val="24"/>
      </w:rPr>
    </w:lvl>
    <w:lvl w:ilvl="1" w:tplc="38090019" w:tentative="1">
      <w:start w:val="1"/>
      <w:numFmt w:val="lowerLetter"/>
      <w:lvlText w:val="%2."/>
      <w:lvlJc w:val="left"/>
      <w:pPr>
        <w:ind w:left="3567" w:hanging="360"/>
      </w:pPr>
    </w:lvl>
    <w:lvl w:ilvl="2" w:tplc="3809001B" w:tentative="1">
      <w:start w:val="1"/>
      <w:numFmt w:val="lowerRoman"/>
      <w:lvlText w:val="%3."/>
      <w:lvlJc w:val="right"/>
      <w:pPr>
        <w:ind w:left="4287" w:hanging="180"/>
      </w:pPr>
    </w:lvl>
    <w:lvl w:ilvl="3" w:tplc="3809000F" w:tentative="1">
      <w:start w:val="1"/>
      <w:numFmt w:val="decimal"/>
      <w:lvlText w:val="%4."/>
      <w:lvlJc w:val="left"/>
      <w:pPr>
        <w:ind w:left="5007" w:hanging="360"/>
      </w:pPr>
    </w:lvl>
    <w:lvl w:ilvl="4" w:tplc="38090019" w:tentative="1">
      <w:start w:val="1"/>
      <w:numFmt w:val="lowerLetter"/>
      <w:lvlText w:val="%5."/>
      <w:lvlJc w:val="left"/>
      <w:pPr>
        <w:ind w:left="5727" w:hanging="360"/>
      </w:pPr>
    </w:lvl>
    <w:lvl w:ilvl="5" w:tplc="3809001B" w:tentative="1">
      <w:start w:val="1"/>
      <w:numFmt w:val="lowerRoman"/>
      <w:lvlText w:val="%6."/>
      <w:lvlJc w:val="right"/>
      <w:pPr>
        <w:ind w:left="6447" w:hanging="180"/>
      </w:pPr>
    </w:lvl>
    <w:lvl w:ilvl="6" w:tplc="3809000F" w:tentative="1">
      <w:start w:val="1"/>
      <w:numFmt w:val="decimal"/>
      <w:lvlText w:val="%7."/>
      <w:lvlJc w:val="left"/>
      <w:pPr>
        <w:ind w:left="7167" w:hanging="360"/>
      </w:pPr>
    </w:lvl>
    <w:lvl w:ilvl="7" w:tplc="38090019" w:tentative="1">
      <w:start w:val="1"/>
      <w:numFmt w:val="lowerLetter"/>
      <w:lvlText w:val="%8."/>
      <w:lvlJc w:val="left"/>
      <w:pPr>
        <w:ind w:left="7887" w:hanging="360"/>
      </w:pPr>
    </w:lvl>
    <w:lvl w:ilvl="8" w:tplc="3809001B" w:tentative="1">
      <w:start w:val="1"/>
      <w:numFmt w:val="lowerRoman"/>
      <w:lvlText w:val="%9."/>
      <w:lvlJc w:val="right"/>
      <w:pPr>
        <w:ind w:left="8607" w:hanging="180"/>
      </w:pPr>
    </w:lvl>
  </w:abstractNum>
  <w:abstractNum w:abstractNumId="188" w15:restartNumberingAfterBreak="0">
    <w:nsid w:val="560C572D"/>
    <w:multiLevelType w:val="hybridMultilevel"/>
    <w:tmpl w:val="D13EB354"/>
    <w:lvl w:ilvl="0" w:tplc="04090011">
      <w:start w:val="1"/>
      <w:numFmt w:val="decimal"/>
      <w:lvlText w:val="%1)"/>
      <w:lvlJc w:val="left"/>
      <w:pPr>
        <w:ind w:left="2340" w:hanging="360"/>
      </w:pPr>
      <w:rPr>
        <w:rFonts w:hint="default"/>
        <w:color w:val="auto"/>
      </w:rPr>
    </w:lvl>
    <w:lvl w:ilvl="1" w:tplc="5F0CCC0A">
      <w:start w:val="1"/>
      <w:numFmt w:val="decimal"/>
      <w:lvlText w:val="(%2)"/>
      <w:lvlJc w:val="left"/>
      <w:pPr>
        <w:ind w:left="3055" w:hanging="360"/>
      </w:pPr>
      <w:rPr>
        <w:rFonts w:hint="default"/>
        <w:color w:val="auto"/>
      </w:r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89" w15:restartNumberingAfterBreak="0">
    <w:nsid w:val="56362B23"/>
    <w:multiLevelType w:val="hybridMultilevel"/>
    <w:tmpl w:val="9D9CFC3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0" w15:restartNumberingAfterBreak="0">
    <w:nsid w:val="565128DD"/>
    <w:multiLevelType w:val="hybridMultilevel"/>
    <w:tmpl w:val="1C22A446"/>
    <w:lvl w:ilvl="0" w:tplc="A902415C">
      <w:start w:val="1"/>
      <w:numFmt w:val="decimal"/>
      <w:lvlText w:val="(%1)"/>
      <w:lvlJc w:val="right"/>
      <w:pPr>
        <w:ind w:left="3090" w:hanging="360"/>
      </w:pPr>
      <w:rPr>
        <w:rFonts w:hint="default"/>
        <w:color w:val="auto"/>
      </w:rPr>
    </w:lvl>
    <w:lvl w:ilvl="1" w:tplc="04090019" w:tentative="1">
      <w:start w:val="1"/>
      <w:numFmt w:val="lowerLetter"/>
      <w:lvlText w:val="%2."/>
      <w:lvlJc w:val="left"/>
      <w:pPr>
        <w:ind w:left="3810" w:hanging="360"/>
      </w:pPr>
    </w:lvl>
    <w:lvl w:ilvl="2" w:tplc="0409001B" w:tentative="1">
      <w:start w:val="1"/>
      <w:numFmt w:val="lowerRoman"/>
      <w:lvlText w:val="%3."/>
      <w:lvlJc w:val="right"/>
      <w:pPr>
        <w:ind w:left="4530" w:hanging="180"/>
      </w:pPr>
    </w:lvl>
    <w:lvl w:ilvl="3" w:tplc="0409000F" w:tentative="1">
      <w:start w:val="1"/>
      <w:numFmt w:val="decimal"/>
      <w:lvlText w:val="%4."/>
      <w:lvlJc w:val="left"/>
      <w:pPr>
        <w:ind w:left="5250" w:hanging="360"/>
      </w:pPr>
    </w:lvl>
    <w:lvl w:ilvl="4" w:tplc="04090019" w:tentative="1">
      <w:start w:val="1"/>
      <w:numFmt w:val="lowerLetter"/>
      <w:lvlText w:val="%5."/>
      <w:lvlJc w:val="left"/>
      <w:pPr>
        <w:ind w:left="5970" w:hanging="360"/>
      </w:pPr>
    </w:lvl>
    <w:lvl w:ilvl="5" w:tplc="0409001B" w:tentative="1">
      <w:start w:val="1"/>
      <w:numFmt w:val="lowerRoman"/>
      <w:lvlText w:val="%6."/>
      <w:lvlJc w:val="right"/>
      <w:pPr>
        <w:ind w:left="6690" w:hanging="180"/>
      </w:pPr>
    </w:lvl>
    <w:lvl w:ilvl="6" w:tplc="0409000F" w:tentative="1">
      <w:start w:val="1"/>
      <w:numFmt w:val="decimal"/>
      <w:lvlText w:val="%7."/>
      <w:lvlJc w:val="left"/>
      <w:pPr>
        <w:ind w:left="7410" w:hanging="360"/>
      </w:pPr>
    </w:lvl>
    <w:lvl w:ilvl="7" w:tplc="04090019" w:tentative="1">
      <w:start w:val="1"/>
      <w:numFmt w:val="lowerLetter"/>
      <w:lvlText w:val="%8."/>
      <w:lvlJc w:val="left"/>
      <w:pPr>
        <w:ind w:left="8130" w:hanging="360"/>
      </w:pPr>
    </w:lvl>
    <w:lvl w:ilvl="8" w:tplc="0409001B" w:tentative="1">
      <w:start w:val="1"/>
      <w:numFmt w:val="lowerRoman"/>
      <w:lvlText w:val="%9."/>
      <w:lvlJc w:val="right"/>
      <w:pPr>
        <w:ind w:left="8850" w:hanging="180"/>
      </w:pPr>
    </w:lvl>
  </w:abstractNum>
  <w:abstractNum w:abstractNumId="191" w15:restartNumberingAfterBreak="0">
    <w:nsid w:val="56F127F2"/>
    <w:multiLevelType w:val="hybridMultilevel"/>
    <w:tmpl w:val="2DF6C110"/>
    <w:lvl w:ilvl="0" w:tplc="FB7EA014">
      <w:start w:val="1"/>
      <w:numFmt w:val="decimal"/>
      <w:lvlText w:val="%1)"/>
      <w:lvlJc w:val="left"/>
      <w:pPr>
        <w:ind w:left="1980" w:hanging="360"/>
      </w:pPr>
      <w:rPr>
        <w:i w:val="0"/>
        <w:iCs/>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2" w15:restartNumberingAfterBreak="0">
    <w:nsid w:val="57633F43"/>
    <w:multiLevelType w:val="hybridMultilevel"/>
    <w:tmpl w:val="F1F61F30"/>
    <w:lvl w:ilvl="0" w:tplc="04090019">
      <w:start w:val="1"/>
      <w:numFmt w:val="lowerLetter"/>
      <w:lvlText w:val="%1."/>
      <w:lvlJc w:val="left"/>
      <w:pPr>
        <w:ind w:left="908" w:hanging="360"/>
      </w:pPr>
      <w:rPr>
        <w:rFonts w:hint="default"/>
        <w:color w:val="auto"/>
        <w:sz w:val="24"/>
        <w:szCs w:val="24"/>
      </w:rPr>
    </w:lvl>
    <w:lvl w:ilvl="1" w:tplc="04090019">
      <w:start w:val="1"/>
      <w:numFmt w:val="lowerLetter"/>
      <w:lvlText w:val="%2."/>
      <w:lvlJc w:val="left"/>
      <w:pPr>
        <w:ind w:left="1628" w:hanging="360"/>
      </w:pPr>
    </w:lvl>
    <w:lvl w:ilvl="2" w:tplc="0409001B" w:tentative="1">
      <w:start w:val="1"/>
      <w:numFmt w:val="lowerRoman"/>
      <w:lvlText w:val="%3."/>
      <w:lvlJc w:val="right"/>
      <w:pPr>
        <w:ind w:left="2348" w:hanging="180"/>
      </w:pPr>
    </w:lvl>
    <w:lvl w:ilvl="3" w:tplc="0409000F" w:tentative="1">
      <w:start w:val="1"/>
      <w:numFmt w:val="decimal"/>
      <w:lvlText w:val="%4."/>
      <w:lvlJc w:val="left"/>
      <w:pPr>
        <w:ind w:left="3068" w:hanging="360"/>
      </w:pPr>
    </w:lvl>
    <w:lvl w:ilvl="4" w:tplc="04090019" w:tentative="1">
      <w:start w:val="1"/>
      <w:numFmt w:val="lowerLetter"/>
      <w:lvlText w:val="%5."/>
      <w:lvlJc w:val="left"/>
      <w:pPr>
        <w:ind w:left="3788" w:hanging="360"/>
      </w:pPr>
    </w:lvl>
    <w:lvl w:ilvl="5" w:tplc="0409001B" w:tentative="1">
      <w:start w:val="1"/>
      <w:numFmt w:val="lowerRoman"/>
      <w:lvlText w:val="%6."/>
      <w:lvlJc w:val="right"/>
      <w:pPr>
        <w:ind w:left="4508" w:hanging="180"/>
      </w:pPr>
    </w:lvl>
    <w:lvl w:ilvl="6" w:tplc="0409000F" w:tentative="1">
      <w:start w:val="1"/>
      <w:numFmt w:val="decimal"/>
      <w:lvlText w:val="%7."/>
      <w:lvlJc w:val="left"/>
      <w:pPr>
        <w:ind w:left="5228" w:hanging="360"/>
      </w:pPr>
    </w:lvl>
    <w:lvl w:ilvl="7" w:tplc="04090019" w:tentative="1">
      <w:start w:val="1"/>
      <w:numFmt w:val="lowerLetter"/>
      <w:lvlText w:val="%8."/>
      <w:lvlJc w:val="left"/>
      <w:pPr>
        <w:ind w:left="5948" w:hanging="360"/>
      </w:pPr>
    </w:lvl>
    <w:lvl w:ilvl="8" w:tplc="0409001B" w:tentative="1">
      <w:start w:val="1"/>
      <w:numFmt w:val="lowerRoman"/>
      <w:lvlText w:val="%9."/>
      <w:lvlJc w:val="right"/>
      <w:pPr>
        <w:ind w:left="6668" w:hanging="180"/>
      </w:pPr>
    </w:lvl>
  </w:abstractNum>
  <w:abstractNum w:abstractNumId="193" w15:restartNumberingAfterBreak="0">
    <w:nsid w:val="57A17FC9"/>
    <w:multiLevelType w:val="hybridMultilevel"/>
    <w:tmpl w:val="6FD262CC"/>
    <w:lvl w:ilvl="0" w:tplc="3809000F">
      <w:start w:val="1"/>
      <w:numFmt w:val="decimal"/>
      <w:lvlText w:val="%1."/>
      <w:lvlJc w:val="left"/>
      <w:pPr>
        <w:ind w:left="1647" w:hanging="360"/>
      </w:p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194" w15:restartNumberingAfterBreak="0">
    <w:nsid w:val="58A32EE3"/>
    <w:multiLevelType w:val="hybridMultilevel"/>
    <w:tmpl w:val="B6427948"/>
    <w:lvl w:ilvl="0" w:tplc="FFFFFFFF">
      <w:start w:val="1"/>
      <w:numFmt w:val="decimal"/>
      <w:lvlText w:val="(%1)"/>
      <w:lvlJc w:val="right"/>
      <w:pPr>
        <w:ind w:left="3090" w:hanging="360"/>
      </w:pPr>
      <w:rPr>
        <w:rFonts w:hint="default"/>
        <w:color w:val="000000" w:themeColor="text1"/>
      </w:rPr>
    </w:lvl>
    <w:lvl w:ilvl="1" w:tplc="FFFFFFFF" w:tentative="1">
      <w:start w:val="1"/>
      <w:numFmt w:val="lowerLetter"/>
      <w:lvlText w:val="%2."/>
      <w:lvlJc w:val="left"/>
      <w:pPr>
        <w:ind w:left="3810" w:hanging="360"/>
      </w:pPr>
    </w:lvl>
    <w:lvl w:ilvl="2" w:tplc="FFFFFFFF" w:tentative="1">
      <w:start w:val="1"/>
      <w:numFmt w:val="lowerRoman"/>
      <w:lvlText w:val="%3."/>
      <w:lvlJc w:val="right"/>
      <w:pPr>
        <w:ind w:left="4530" w:hanging="180"/>
      </w:pPr>
    </w:lvl>
    <w:lvl w:ilvl="3" w:tplc="FFFFFFFF" w:tentative="1">
      <w:start w:val="1"/>
      <w:numFmt w:val="decimal"/>
      <w:lvlText w:val="%4."/>
      <w:lvlJc w:val="left"/>
      <w:pPr>
        <w:ind w:left="5250" w:hanging="360"/>
      </w:pPr>
    </w:lvl>
    <w:lvl w:ilvl="4" w:tplc="FFFFFFFF" w:tentative="1">
      <w:start w:val="1"/>
      <w:numFmt w:val="lowerLetter"/>
      <w:lvlText w:val="%5."/>
      <w:lvlJc w:val="left"/>
      <w:pPr>
        <w:ind w:left="5970" w:hanging="360"/>
      </w:pPr>
    </w:lvl>
    <w:lvl w:ilvl="5" w:tplc="FFFFFFFF" w:tentative="1">
      <w:start w:val="1"/>
      <w:numFmt w:val="lowerRoman"/>
      <w:lvlText w:val="%6."/>
      <w:lvlJc w:val="right"/>
      <w:pPr>
        <w:ind w:left="6690" w:hanging="180"/>
      </w:pPr>
    </w:lvl>
    <w:lvl w:ilvl="6" w:tplc="FFFFFFFF" w:tentative="1">
      <w:start w:val="1"/>
      <w:numFmt w:val="decimal"/>
      <w:lvlText w:val="%7."/>
      <w:lvlJc w:val="left"/>
      <w:pPr>
        <w:ind w:left="7410" w:hanging="360"/>
      </w:pPr>
    </w:lvl>
    <w:lvl w:ilvl="7" w:tplc="FFFFFFFF" w:tentative="1">
      <w:start w:val="1"/>
      <w:numFmt w:val="lowerLetter"/>
      <w:lvlText w:val="%8."/>
      <w:lvlJc w:val="left"/>
      <w:pPr>
        <w:ind w:left="8130" w:hanging="360"/>
      </w:pPr>
    </w:lvl>
    <w:lvl w:ilvl="8" w:tplc="FFFFFFFF" w:tentative="1">
      <w:start w:val="1"/>
      <w:numFmt w:val="lowerRoman"/>
      <w:lvlText w:val="%9."/>
      <w:lvlJc w:val="right"/>
      <w:pPr>
        <w:ind w:left="8850" w:hanging="180"/>
      </w:pPr>
    </w:lvl>
  </w:abstractNum>
  <w:abstractNum w:abstractNumId="195" w15:restartNumberingAfterBreak="0">
    <w:nsid w:val="58CF538E"/>
    <w:multiLevelType w:val="hybridMultilevel"/>
    <w:tmpl w:val="BA6C640A"/>
    <w:lvl w:ilvl="0" w:tplc="5F0CCC0A">
      <w:start w:val="1"/>
      <w:numFmt w:val="decimal"/>
      <w:lvlText w:val="(%1)"/>
      <w:lvlJc w:val="left"/>
      <w:pPr>
        <w:ind w:left="2730" w:hanging="360"/>
      </w:pPr>
      <w:rPr>
        <w:rFonts w:cs="Times New Roman" w:hint="default"/>
        <w:i w:val="0"/>
        <w:strike w:val="0"/>
        <w:color w:val="auto"/>
        <w:kern w:val="24"/>
      </w:rPr>
    </w:lvl>
    <w:lvl w:ilvl="1" w:tplc="04090019" w:tentative="1">
      <w:start w:val="1"/>
      <w:numFmt w:val="lowerLetter"/>
      <w:lvlText w:val="%2."/>
      <w:lvlJc w:val="left"/>
      <w:pPr>
        <w:ind w:left="3450" w:hanging="360"/>
      </w:pPr>
    </w:lvl>
    <w:lvl w:ilvl="2" w:tplc="0409001B" w:tentative="1">
      <w:start w:val="1"/>
      <w:numFmt w:val="lowerRoman"/>
      <w:lvlText w:val="%3."/>
      <w:lvlJc w:val="right"/>
      <w:pPr>
        <w:ind w:left="4170" w:hanging="180"/>
      </w:pPr>
    </w:lvl>
    <w:lvl w:ilvl="3" w:tplc="0409000F" w:tentative="1">
      <w:start w:val="1"/>
      <w:numFmt w:val="decimal"/>
      <w:lvlText w:val="%4."/>
      <w:lvlJc w:val="left"/>
      <w:pPr>
        <w:ind w:left="4890" w:hanging="360"/>
      </w:pPr>
    </w:lvl>
    <w:lvl w:ilvl="4" w:tplc="04090019" w:tentative="1">
      <w:start w:val="1"/>
      <w:numFmt w:val="lowerLetter"/>
      <w:lvlText w:val="%5."/>
      <w:lvlJc w:val="left"/>
      <w:pPr>
        <w:ind w:left="5610" w:hanging="360"/>
      </w:pPr>
    </w:lvl>
    <w:lvl w:ilvl="5" w:tplc="0409001B" w:tentative="1">
      <w:start w:val="1"/>
      <w:numFmt w:val="lowerRoman"/>
      <w:lvlText w:val="%6."/>
      <w:lvlJc w:val="right"/>
      <w:pPr>
        <w:ind w:left="6330" w:hanging="180"/>
      </w:pPr>
    </w:lvl>
    <w:lvl w:ilvl="6" w:tplc="0409000F" w:tentative="1">
      <w:start w:val="1"/>
      <w:numFmt w:val="decimal"/>
      <w:lvlText w:val="%7."/>
      <w:lvlJc w:val="left"/>
      <w:pPr>
        <w:ind w:left="7050" w:hanging="360"/>
      </w:pPr>
    </w:lvl>
    <w:lvl w:ilvl="7" w:tplc="04090019" w:tentative="1">
      <w:start w:val="1"/>
      <w:numFmt w:val="lowerLetter"/>
      <w:lvlText w:val="%8."/>
      <w:lvlJc w:val="left"/>
      <w:pPr>
        <w:ind w:left="7770" w:hanging="360"/>
      </w:pPr>
    </w:lvl>
    <w:lvl w:ilvl="8" w:tplc="0409001B" w:tentative="1">
      <w:start w:val="1"/>
      <w:numFmt w:val="lowerRoman"/>
      <w:lvlText w:val="%9."/>
      <w:lvlJc w:val="right"/>
      <w:pPr>
        <w:ind w:left="8490" w:hanging="180"/>
      </w:pPr>
    </w:lvl>
  </w:abstractNum>
  <w:abstractNum w:abstractNumId="196" w15:restartNumberingAfterBreak="0">
    <w:nsid w:val="59277D54"/>
    <w:multiLevelType w:val="hybridMultilevel"/>
    <w:tmpl w:val="7E924528"/>
    <w:lvl w:ilvl="0" w:tplc="04090015">
      <w:start w:val="1"/>
      <w:numFmt w:val="upperLetter"/>
      <w:lvlText w:val="%1."/>
      <w:lvlJc w:val="left"/>
      <w:pPr>
        <w:ind w:left="927" w:hanging="36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97" w15:restartNumberingAfterBreak="0">
    <w:nsid w:val="5EF237AB"/>
    <w:multiLevelType w:val="hybridMultilevel"/>
    <w:tmpl w:val="06AA07EC"/>
    <w:lvl w:ilvl="0" w:tplc="FFFFFFFF">
      <w:start w:val="1"/>
      <w:numFmt w:val="lowerLetter"/>
      <w:lvlText w:val="%1)"/>
      <w:lvlJc w:val="left"/>
      <w:pPr>
        <w:ind w:left="2203" w:hanging="360"/>
      </w:pPr>
      <w:rPr>
        <w:rFonts w:hint="default"/>
      </w:rPr>
    </w:lvl>
    <w:lvl w:ilvl="1" w:tplc="FFFFFFFF" w:tentative="1">
      <w:start w:val="1"/>
      <w:numFmt w:val="bullet"/>
      <w:lvlText w:val="o"/>
      <w:lvlJc w:val="left"/>
      <w:pPr>
        <w:ind w:left="2923" w:hanging="360"/>
      </w:pPr>
      <w:rPr>
        <w:rFonts w:ascii="Courier New" w:hAnsi="Courier New" w:cs="Courier New" w:hint="default"/>
      </w:rPr>
    </w:lvl>
    <w:lvl w:ilvl="2" w:tplc="FFFFFFFF" w:tentative="1">
      <w:start w:val="1"/>
      <w:numFmt w:val="bullet"/>
      <w:lvlText w:val=""/>
      <w:lvlJc w:val="left"/>
      <w:pPr>
        <w:ind w:left="3643" w:hanging="360"/>
      </w:pPr>
      <w:rPr>
        <w:rFonts w:ascii="Wingdings" w:hAnsi="Wingdings" w:hint="default"/>
      </w:rPr>
    </w:lvl>
    <w:lvl w:ilvl="3" w:tplc="FFFFFFFF" w:tentative="1">
      <w:start w:val="1"/>
      <w:numFmt w:val="bullet"/>
      <w:lvlText w:val=""/>
      <w:lvlJc w:val="left"/>
      <w:pPr>
        <w:ind w:left="4363" w:hanging="360"/>
      </w:pPr>
      <w:rPr>
        <w:rFonts w:ascii="Symbol" w:hAnsi="Symbol" w:hint="default"/>
      </w:rPr>
    </w:lvl>
    <w:lvl w:ilvl="4" w:tplc="FFFFFFFF" w:tentative="1">
      <w:start w:val="1"/>
      <w:numFmt w:val="bullet"/>
      <w:lvlText w:val="o"/>
      <w:lvlJc w:val="left"/>
      <w:pPr>
        <w:ind w:left="5083" w:hanging="360"/>
      </w:pPr>
      <w:rPr>
        <w:rFonts w:ascii="Courier New" w:hAnsi="Courier New" w:cs="Courier New" w:hint="default"/>
      </w:rPr>
    </w:lvl>
    <w:lvl w:ilvl="5" w:tplc="FFFFFFFF" w:tentative="1">
      <w:start w:val="1"/>
      <w:numFmt w:val="bullet"/>
      <w:lvlText w:val=""/>
      <w:lvlJc w:val="left"/>
      <w:pPr>
        <w:ind w:left="5803" w:hanging="360"/>
      </w:pPr>
      <w:rPr>
        <w:rFonts w:ascii="Wingdings" w:hAnsi="Wingdings" w:hint="default"/>
      </w:rPr>
    </w:lvl>
    <w:lvl w:ilvl="6" w:tplc="FFFFFFFF" w:tentative="1">
      <w:start w:val="1"/>
      <w:numFmt w:val="bullet"/>
      <w:lvlText w:val=""/>
      <w:lvlJc w:val="left"/>
      <w:pPr>
        <w:ind w:left="6523" w:hanging="360"/>
      </w:pPr>
      <w:rPr>
        <w:rFonts w:ascii="Symbol" w:hAnsi="Symbol" w:hint="default"/>
      </w:rPr>
    </w:lvl>
    <w:lvl w:ilvl="7" w:tplc="FFFFFFFF" w:tentative="1">
      <w:start w:val="1"/>
      <w:numFmt w:val="bullet"/>
      <w:lvlText w:val="o"/>
      <w:lvlJc w:val="left"/>
      <w:pPr>
        <w:ind w:left="7243" w:hanging="360"/>
      </w:pPr>
      <w:rPr>
        <w:rFonts w:ascii="Courier New" w:hAnsi="Courier New" w:cs="Courier New" w:hint="default"/>
      </w:rPr>
    </w:lvl>
    <w:lvl w:ilvl="8" w:tplc="FFFFFFFF" w:tentative="1">
      <w:start w:val="1"/>
      <w:numFmt w:val="bullet"/>
      <w:lvlText w:val=""/>
      <w:lvlJc w:val="left"/>
      <w:pPr>
        <w:ind w:left="7963" w:hanging="360"/>
      </w:pPr>
      <w:rPr>
        <w:rFonts w:ascii="Wingdings" w:hAnsi="Wingdings" w:hint="default"/>
      </w:rPr>
    </w:lvl>
  </w:abstractNum>
  <w:abstractNum w:abstractNumId="198" w15:restartNumberingAfterBreak="0">
    <w:nsid w:val="5EFD4D2F"/>
    <w:multiLevelType w:val="hybridMultilevel"/>
    <w:tmpl w:val="32F8C872"/>
    <w:lvl w:ilvl="0" w:tplc="04090019">
      <w:start w:val="1"/>
      <w:numFmt w:val="lowerLetter"/>
      <w:lvlText w:val="%1."/>
      <w:lvlJc w:val="left"/>
      <w:pPr>
        <w:ind w:left="2362" w:hanging="360"/>
      </w:pPr>
    </w:lvl>
    <w:lvl w:ilvl="1" w:tplc="38090019" w:tentative="1">
      <w:start w:val="1"/>
      <w:numFmt w:val="lowerLetter"/>
      <w:lvlText w:val="%2."/>
      <w:lvlJc w:val="left"/>
      <w:pPr>
        <w:ind w:left="3082" w:hanging="360"/>
      </w:pPr>
    </w:lvl>
    <w:lvl w:ilvl="2" w:tplc="3809001B" w:tentative="1">
      <w:start w:val="1"/>
      <w:numFmt w:val="lowerRoman"/>
      <w:lvlText w:val="%3."/>
      <w:lvlJc w:val="right"/>
      <w:pPr>
        <w:ind w:left="3802" w:hanging="180"/>
      </w:pPr>
    </w:lvl>
    <w:lvl w:ilvl="3" w:tplc="3809000F" w:tentative="1">
      <w:start w:val="1"/>
      <w:numFmt w:val="decimal"/>
      <w:lvlText w:val="%4."/>
      <w:lvlJc w:val="left"/>
      <w:pPr>
        <w:ind w:left="4522" w:hanging="360"/>
      </w:pPr>
    </w:lvl>
    <w:lvl w:ilvl="4" w:tplc="38090019" w:tentative="1">
      <w:start w:val="1"/>
      <w:numFmt w:val="lowerLetter"/>
      <w:lvlText w:val="%5."/>
      <w:lvlJc w:val="left"/>
      <w:pPr>
        <w:ind w:left="5242" w:hanging="360"/>
      </w:pPr>
    </w:lvl>
    <w:lvl w:ilvl="5" w:tplc="3809001B" w:tentative="1">
      <w:start w:val="1"/>
      <w:numFmt w:val="lowerRoman"/>
      <w:lvlText w:val="%6."/>
      <w:lvlJc w:val="right"/>
      <w:pPr>
        <w:ind w:left="5962" w:hanging="180"/>
      </w:pPr>
    </w:lvl>
    <w:lvl w:ilvl="6" w:tplc="3809000F" w:tentative="1">
      <w:start w:val="1"/>
      <w:numFmt w:val="decimal"/>
      <w:lvlText w:val="%7."/>
      <w:lvlJc w:val="left"/>
      <w:pPr>
        <w:ind w:left="6682" w:hanging="360"/>
      </w:pPr>
    </w:lvl>
    <w:lvl w:ilvl="7" w:tplc="38090019" w:tentative="1">
      <w:start w:val="1"/>
      <w:numFmt w:val="lowerLetter"/>
      <w:lvlText w:val="%8."/>
      <w:lvlJc w:val="left"/>
      <w:pPr>
        <w:ind w:left="7402" w:hanging="360"/>
      </w:pPr>
    </w:lvl>
    <w:lvl w:ilvl="8" w:tplc="3809001B" w:tentative="1">
      <w:start w:val="1"/>
      <w:numFmt w:val="lowerRoman"/>
      <w:lvlText w:val="%9."/>
      <w:lvlJc w:val="right"/>
      <w:pPr>
        <w:ind w:left="8122" w:hanging="180"/>
      </w:pPr>
    </w:lvl>
  </w:abstractNum>
  <w:abstractNum w:abstractNumId="199" w15:restartNumberingAfterBreak="0">
    <w:nsid w:val="5F1A2F9A"/>
    <w:multiLevelType w:val="hybridMultilevel"/>
    <w:tmpl w:val="8FBCB404"/>
    <w:lvl w:ilvl="0" w:tplc="D6807C92">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00" w15:restartNumberingAfterBreak="0">
    <w:nsid w:val="5FEE0600"/>
    <w:multiLevelType w:val="hybridMultilevel"/>
    <w:tmpl w:val="B9627BA8"/>
    <w:lvl w:ilvl="0" w:tplc="FFFFFFFF">
      <w:start w:val="1"/>
      <w:numFmt w:val="decimal"/>
      <w:lvlText w:val="%1."/>
      <w:lvlJc w:val="left"/>
      <w:pPr>
        <w:ind w:left="1267" w:hanging="360"/>
      </w:pPr>
    </w:lvl>
    <w:lvl w:ilvl="1" w:tplc="FFFFFFFF" w:tentative="1">
      <w:start w:val="1"/>
      <w:numFmt w:val="lowerLetter"/>
      <w:lvlText w:val="%2."/>
      <w:lvlJc w:val="left"/>
      <w:pPr>
        <w:ind w:left="1987" w:hanging="360"/>
      </w:p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201" w15:restartNumberingAfterBreak="0">
    <w:nsid w:val="60E91111"/>
    <w:multiLevelType w:val="hybridMultilevel"/>
    <w:tmpl w:val="06AA07EC"/>
    <w:lvl w:ilvl="0" w:tplc="FFFFFFFF">
      <w:start w:val="1"/>
      <w:numFmt w:val="lowerLetter"/>
      <w:lvlText w:val="%1)"/>
      <w:lvlJc w:val="left"/>
      <w:pPr>
        <w:ind w:left="2203" w:hanging="360"/>
      </w:pPr>
      <w:rPr>
        <w:rFonts w:hint="default"/>
      </w:rPr>
    </w:lvl>
    <w:lvl w:ilvl="1" w:tplc="FFFFFFFF" w:tentative="1">
      <w:start w:val="1"/>
      <w:numFmt w:val="bullet"/>
      <w:lvlText w:val="o"/>
      <w:lvlJc w:val="left"/>
      <w:pPr>
        <w:ind w:left="2923" w:hanging="360"/>
      </w:pPr>
      <w:rPr>
        <w:rFonts w:ascii="Courier New" w:hAnsi="Courier New" w:cs="Courier New" w:hint="default"/>
      </w:rPr>
    </w:lvl>
    <w:lvl w:ilvl="2" w:tplc="FFFFFFFF" w:tentative="1">
      <w:start w:val="1"/>
      <w:numFmt w:val="bullet"/>
      <w:lvlText w:val=""/>
      <w:lvlJc w:val="left"/>
      <w:pPr>
        <w:ind w:left="3643" w:hanging="360"/>
      </w:pPr>
      <w:rPr>
        <w:rFonts w:ascii="Wingdings" w:hAnsi="Wingdings" w:hint="default"/>
      </w:rPr>
    </w:lvl>
    <w:lvl w:ilvl="3" w:tplc="FFFFFFFF" w:tentative="1">
      <w:start w:val="1"/>
      <w:numFmt w:val="bullet"/>
      <w:lvlText w:val=""/>
      <w:lvlJc w:val="left"/>
      <w:pPr>
        <w:ind w:left="4363" w:hanging="360"/>
      </w:pPr>
      <w:rPr>
        <w:rFonts w:ascii="Symbol" w:hAnsi="Symbol" w:hint="default"/>
      </w:rPr>
    </w:lvl>
    <w:lvl w:ilvl="4" w:tplc="FFFFFFFF" w:tentative="1">
      <w:start w:val="1"/>
      <w:numFmt w:val="bullet"/>
      <w:lvlText w:val="o"/>
      <w:lvlJc w:val="left"/>
      <w:pPr>
        <w:ind w:left="5083" w:hanging="360"/>
      </w:pPr>
      <w:rPr>
        <w:rFonts w:ascii="Courier New" w:hAnsi="Courier New" w:cs="Courier New" w:hint="default"/>
      </w:rPr>
    </w:lvl>
    <w:lvl w:ilvl="5" w:tplc="FFFFFFFF" w:tentative="1">
      <w:start w:val="1"/>
      <w:numFmt w:val="bullet"/>
      <w:lvlText w:val=""/>
      <w:lvlJc w:val="left"/>
      <w:pPr>
        <w:ind w:left="5803" w:hanging="360"/>
      </w:pPr>
      <w:rPr>
        <w:rFonts w:ascii="Wingdings" w:hAnsi="Wingdings" w:hint="default"/>
      </w:rPr>
    </w:lvl>
    <w:lvl w:ilvl="6" w:tplc="FFFFFFFF" w:tentative="1">
      <w:start w:val="1"/>
      <w:numFmt w:val="bullet"/>
      <w:lvlText w:val=""/>
      <w:lvlJc w:val="left"/>
      <w:pPr>
        <w:ind w:left="6523" w:hanging="360"/>
      </w:pPr>
      <w:rPr>
        <w:rFonts w:ascii="Symbol" w:hAnsi="Symbol" w:hint="default"/>
      </w:rPr>
    </w:lvl>
    <w:lvl w:ilvl="7" w:tplc="FFFFFFFF" w:tentative="1">
      <w:start w:val="1"/>
      <w:numFmt w:val="bullet"/>
      <w:lvlText w:val="o"/>
      <w:lvlJc w:val="left"/>
      <w:pPr>
        <w:ind w:left="7243" w:hanging="360"/>
      </w:pPr>
      <w:rPr>
        <w:rFonts w:ascii="Courier New" w:hAnsi="Courier New" w:cs="Courier New" w:hint="default"/>
      </w:rPr>
    </w:lvl>
    <w:lvl w:ilvl="8" w:tplc="FFFFFFFF" w:tentative="1">
      <w:start w:val="1"/>
      <w:numFmt w:val="bullet"/>
      <w:lvlText w:val=""/>
      <w:lvlJc w:val="left"/>
      <w:pPr>
        <w:ind w:left="7963" w:hanging="360"/>
      </w:pPr>
      <w:rPr>
        <w:rFonts w:ascii="Wingdings" w:hAnsi="Wingdings" w:hint="default"/>
      </w:rPr>
    </w:lvl>
  </w:abstractNum>
  <w:abstractNum w:abstractNumId="202" w15:restartNumberingAfterBreak="0">
    <w:nsid w:val="611235FC"/>
    <w:multiLevelType w:val="hybridMultilevel"/>
    <w:tmpl w:val="927E83D4"/>
    <w:lvl w:ilvl="0" w:tplc="FFFFFFFF">
      <w:start w:val="1"/>
      <w:numFmt w:val="lowerLetter"/>
      <w:lvlText w:val="%1)"/>
      <w:lvlJc w:val="left"/>
      <w:pPr>
        <w:ind w:left="1713" w:hanging="360"/>
      </w:pPr>
      <w:rPr>
        <w:rFonts w:hint="default"/>
        <w:color w:val="auto"/>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203" w15:restartNumberingAfterBreak="0">
    <w:nsid w:val="6159566A"/>
    <w:multiLevelType w:val="hybridMultilevel"/>
    <w:tmpl w:val="D9FE7C4E"/>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04" w15:restartNumberingAfterBreak="0">
    <w:nsid w:val="62022112"/>
    <w:multiLevelType w:val="hybridMultilevel"/>
    <w:tmpl w:val="820C974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5" w15:restartNumberingAfterBreak="0">
    <w:nsid w:val="62691EE4"/>
    <w:multiLevelType w:val="multilevel"/>
    <w:tmpl w:val="2566FBA0"/>
    <w:styleLink w:val="CurrentList4"/>
    <w:lvl w:ilvl="0">
      <w:start w:val="1"/>
      <w:numFmt w:val="lowerLetter"/>
      <w:lvlText w:val="%1."/>
      <w:lvlJc w:val="left"/>
      <w:pPr>
        <w:ind w:left="1627" w:hanging="360"/>
      </w:pPr>
      <w:rPr>
        <w:rFonts w:hint="default"/>
      </w:rPr>
    </w:lvl>
    <w:lvl w:ilvl="1">
      <w:start w:val="1"/>
      <w:numFmt w:val="lowerLetter"/>
      <w:lvlText w:val="%2."/>
      <w:lvlJc w:val="left"/>
      <w:pPr>
        <w:ind w:left="2347" w:hanging="360"/>
      </w:pPr>
    </w:lvl>
    <w:lvl w:ilvl="2">
      <w:start w:val="1"/>
      <w:numFmt w:val="lowerRoman"/>
      <w:lvlText w:val="%3."/>
      <w:lvlJc w:val="right"/>
      <w:pPr>
        <w:ind w:left="3067" w:hanging="180"/>
      </w:pPr>
    </w:lvl>
    <w:lvl w:ilvl="3">
      <w:start w:val="1"/>
      <w:numFmt w:val="decimal"/>
      <w:lvlText w:val="%4."/>
      <w:lvlJc w:val="left"/>
      <w:pPr>
        <w:ind w:left="3787" w:hanging="360"/>
      </w:pPr>
    </w:lvl>
    <w:lvl w:ilvl="4">
      <w:start w:val="1"/>
      <w:numFmt w:val="lowerLetter"/>
      <w:lvlText w:val="%5."/>
      <w:lvlJc w:val="left"/>
      <w:pPr>
        <w:ind w:left="4507" w:hanging="360"/>
      </w:pPr>
    </w:lvl>
    <w:lvl w:ilvl="5">
      <w:start w:val="1"/>
      <w:numFmt w:val="lowerRoman"/>
      <w:lvlText w:val="%6."/>
      <w:lvlJc w:val="right"/>
      <w:pPr>
        <w:ind w:left="5227" w:hanging="180"/>
      </w:pPr>
    </w:lvl>
    <w:lvl w:ilvl="6">
      <w:start w:val="1"/>
      <w:numFmt w:val="decimal"/>
      <w:lvlText w:val="%7."/>
      <w:lvlJc w:val="left"/>
      <w:pPr>
        <w:ind w:left="5947" w:hanging="360"/>
      </w:pPr>
    </w:lvl>
    <w:lvl w:ilvl="7">
      <w:start w:val="1"/>
      <w:numFmt w:val="lowerLetter"/>
      <w:lvlText w:val="%8."/>
      <w:lvlJc w:val="left"/>
      <w:pPr>
        <w:ind w:left="6667" w:hanging="360"/>
      </w:pPr>
    </w:lvl>
    <w:lvl w:ilvl="8">
      <w:start w:val="1"/>
      <w:numFmt w:val="lowerRoman"/>
      <w:lvlText w:val="%9."/>
      <w:lvlJc w:val="right"/>
      <w:pPr>
        <w:ind w:left="7387" w:hanging="180"/>
      </w:pPr>
    </w:lvl>
  </w:abstractNum>
  <w:abstractNum w:abstractNumId="206" w15:restartNumberingAfterBreak="0">
    <w:nsid w:val="62ED6CDB"/>
    <w:multiLevelType w:val="hybridMultilevel"/>
    <w:tmpl w:val="BA6C640A"/>
    <w:lvl w:ilvl="0" w:tplc="FFFFFFFF">
      <w:start w:val="1"/>
      <w:numFmt w:val="decimal"/>
      <w:lvlText w:val="(%1)"/>
      <w:lvlJc w:val="left"/>
      <w:pPr>
        <w:ind w:left="2730" w:hanging="360"/>
      </w:pPr>
      <w:rPr>
        <w:rFonts w:cs="Times New Roman" w:hint="default"/>
        <w:i w:val="0"/>
        <w:strike w:val="0"/>
        <w:color w:val="auto"/>
        <w:kern w:val="24"/>
      </w:rPr>
    </w:lvl>
    <w:lvl w:ilvl="1" w:tplc="FFFFFFFF" w:tentative="1">
      <w:start w:val="1"/>
      <w:numFmt w:val="lowerLetter"/>
      <w:lvlText w:val="%2."/>
      <w:lvlJc w:val="left"/>
      <w:pPr>
        <w:ind w:left="3450" w:hanging="360"/>
      </w:pPr>
    </w:lvl>
    <w:lvl w:ilvl="2" w:tplc="FFFFFFFF" w:tentative="1">
      <w:start w:val="1"/>
      <w:numFmt w:val="lowerRoman"/>
      <w:lvlText w:val="%3."/>
      <w:lvlJc w:val="right"/>
      <w:pPr>
        <w:ind w:left="4170" w:hanging="180"/>
      </w:pPr>
    </w:lvl>
    <w:lvl w:ilvl="3" w:tplc="FFFFFFFF" w:tentative="1">
      <w:start w:val="1"/>
      <w:numFmt w:val="decimal"/>
      <w:lvlText w:val="%4."/>
      <w:lvlJc w:val="left"/>
      <w:pPr>
        <w:ind w:left="4890" w:hanging="360"/>
      </w:pPr>
    </w:lvl>
    <w:lvl w:ilvl="4" w:tplc="FFFFFFFF" w:tentative="1">
      <w:start w:val="1"/>
      <w:numFmt w:val="lowerLetter"/>
      <w:lvlText w:val="%5."/>
      <w:lvlJc w:val="left"/>
      <w:pPr>
        <w:ind w:left="5610" w:hanging="360"/>
      </w:pPr>
    </w:lvl>
    <w:lvl w:ilvl="5" w:tplc="FFFFFFFF" w:tentative="1">
      <w:start w:val="1"/>
      <w:numFmt w:val="lowerRoman"/>
      <w:lvlText w:val="%6."/>
      <w:lvlJc w:val="right"/>
      <w:pPr>
        <w:ind w:left="6330" w:hanging="180"/>
      </w:pPr>
    </w:lvl>
    <w:lvl w:ilvl="6" w:tplc="FFFFFFFF" w:tentative="1">
      <w:start w:val="1"/>
      <w:numFmt w:val="decimal"/>
      <w:lvlText w:val="%7."/>
      <w:lvlJc w:val="left"/>
      <w:pPr>
        <w:ind w:left="7050" w:hanging="360"/>
      </w:pPr>
    </w:lvl>
    <w:lvl w:ilvl="7" w:tplc="FFFFFFFF" w:tentative="1">
      <w:start w:val="1"/>
      <w:numFmt w:val="lowerLetter"/>
      <w:lvlText w:val="%8."/>
      <w:lvlJc w:val="left"/>
      <w:pPr>
        <w:ind w:left="7770" w:hanging="360"/>
      </w:pPr>
    </w:lvl>
    <w:lvl w:ilvl="8" w:tplc="FFFFFFFF" w:tentative="1">
      <w:start w:val="1"/>
      <w:numFmt w:val="lowerRoman"/>
      <w:lvlText w:val="%9."/>
      <w:lvlJc w:val="right"/>
      <w:pPr>
        <w:ind w:left="8490" w:hanging="180"/>
      </w:pPr>
    </w:lvl>
  </w:abstractNum>
  <w:abstractNum w:abstractNumId="207" w15:restartNumberingAfterBreak="0">
    <w:nsid w:val="63207C4E"/>
    <w:multiLevelType w:val="hybridMultilevel"/>
    <w:tmpl w:val="17FECF3E"/>
    <w:lvl w:ilvl="0" w:tplc="13502EA2">
      <w:start w:val="1"/>
      <w:numFmt w:val="decimal"/>
      <w:lvlText w:val="%1)"/>
      <w:lvlJc w:val="left"/>
      <w:pPr>
        <w:ind w:left="2010" w:hanging="360"/>
      </w:pPr>
      <w:rPr>
        <w:color w:val="auto"/>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208" w15:restartNumberingAfterBreak="0">
    <w:nsid w:val="63725983"/>
    <w:multiLevelType w:val="hybridMultilevel"/>
    <w:tmpl w:val="7612FAB6"/>
    <w:lvl w:ilvl="0" w:tplc="04090015">
      <w:start w:val="1"/>
      <w:numFmt w:val="upperLetter"/>
      <w:lvlText w:val="%1."/>
      <w:lvlJc w:val="left"/>
      <w:pPr>
        <w:ind w:left="927" w:hanging="360"/>
      </w:pPr>
      <w:rPr>
        <w:rFonts w:cs="Times New Roman"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9" w15:restartNumberingAfterBreak="0">
    <w:nsid w:val="63F33B3E"/>
    <w:multiLevelType w:val="multilevel"/>
    <w:tmpl w:val="FBA6B2CC"/>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10" w15:restartNumberingAfterBreak="0">
    <w:nsid w:val="64A5611E"/>
    <w:multiLevelType w:val="hybridMultilevel"/>
    <w:tmpl w:val="A5E4BF26"/>
    <w:lvl w:ilvl="0" w:tplc="FFFFFFFF">
      <w:start w:val="1"/>
      <w:numFmt w:val="decimal"/>
      <w:lvlText w:val="%1."/>
      <w:lvlJc w:val="left"/>
      <w:pPr>
        <w:ind w:left="1053" w:hanging="360"/>
      </w:pPr>
    </w:lvl>
    <w:lvl w:ilvl="1" w:tplc="FFFFFFFF" w:tentative="1">
      <w:start w:val="1"/>
      <w:numFmt w:val="lowerLetter"/>
      <w:lvlText w:val="%2."/>
      <w:lvlJc w:val="left"/>
      <w:pPr>
        <w:ind w:left="1773" w:hanging="360"/>
      </w:pPr>
    </w:lvl>
    <w:lvl w:ilvl="2" w:tplc="FFFFFFFF" w:tentative="1">
      <w:start w:val="1"/>
      <w:numFmt w:val="lowerRoman"/>
      <w:lvlText w:val="%3."/>
      <w:lvlJc w:val="right"/>
      <w:pPr>
        <w:ind w:left="2493" w:hanging="180"/>
      </w:pPr>
    </w:lvl>
    <w:lvl w:ilvl="3" w:tplc="FFFFFFFF" w:tentative="1">
      <w:start w:val="1"/>
      <w:numFmt w:val="decimal"/>
      <w:lvlText w:val="%4."/>
      <w:lvlJc w:val="left"/>
      <w:pPr>
        <w:ind w:left="3213" w:hanging="360"/>
      </w:pPr>
    </w:lvl>
    <w:lvl w:ilvl="4" w:tplc="FFFFFFFF" w:tentative="1">
      <w:start w:val="1"/>
      <w:numFmt w:val="lowerLetter"/>
      <w:lvlText w:val="%5."/>
      <w:lvlJc w:val="left"/>
      <w:pPr>
        <w:ind w:left="3933" w:hanging="360"/>
      </w:pPr>
    </w:lvl>
    <w:lvl w:ilvl="5" w:tplc="FFFFFFFF" w:tentative="1">
      <w:start w:val="1"/>
      <w:numFmt w:val="lowerRoman"/>
      <w:lvlText w:val="%6."/>
      <w:lvlJc w:val="right"/>
      <w:pPr>
        <w:ind w:left="4653" w:hanging="180"/>
      </w:pPr>
    </w:lvl>
    <w:lvl w:ilvl="6" w:tplc="FFFFFFFF" w:tentative="1">
      <w:start w:val="1"/>
      <w:numFmt w:val="decimal"/>
      <w:lvlText w:val="%7."/>
      <w:lvlJc w:val="left"/>
      <w:pPr>
        <w:ind w:left="5373" w:hanging="360"/>
      </w:pPr>
    </w:lvl>
    <w:lvl w:ilvl="7" w:tplc="FFFFFFFF" w:tentative="1">
      <w:start w:val="1"/>
      <w:numFmt w:val="lowerLetter"/>
      <w:lvlText w:val="%8."/>
      <w:lvlJc w:val="left"/>
      <w:pPr>
        <w:ind w:left="6093" w:hanging="360"/>
      </w:pPr>
    </w:lvl>
    <w:lvl w:ilvl="8" w:tplc="FFFFFFFF" w:tentative="1">
      <w:start w:val="1"/>
      <w:numFmt w:val="lowerRoman"/>
      <w:lvlText w:val="%9."/>
      <w:lvlJc w:val="right"/>
      <w:pPr>
        <w:ind w:left="6813" w:hanging="180"/>
      </w:pPr>
    </w:lvl>
  </w:abstractNum>
  <w:abstractNum w:abstractNumId="211" w15:restartNumberingAfterBreak="0">
    <w:nsid w:val="657758BB"/>
    <w:multiLevelType w:val="hybridMultilevel"/>
    <w:tmpl w:val="6B003BE8"/>
    <w:lvl w:ilvl="0" w:tplc="0409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12" w15:restartNumberingAfterBreak="0">
    <w:nsid w:val="65DB473C"/>
    <w:multiLevelType w:val="hybridMultilevel"/>
    <w:tmpl w:val="D8527990"/>
    <w:lvl w:ilvl="0" w:tplc="04090017">
      <w:start w:val="1"/>
      <w:numFmt w:val="lowerLetter"/>
      <w:lvlText w:val="%1)"/>
      <w:lvlJc w:val="left"/>
      <w:pPr>
        <w:ind w:left="2704" w:hanging="360"/>
      </w:pPr>
      <w:rPr>
        <w:rFonts w:hint="default"/>
        <w:color w:val="auto"/>
        <w:sz w:val="24"/>
      </w:rPr>
    </w:lvl>
    <w:lvl w:ilvl="1" w:tplc="04090019" w:tentative="1">
      <w:start w:val="1"/>
      <w:numFmt w:val="lowerLetter"/>
      <w:lvlText w:val="%2."/>
      <w:lvlJc w:val="left"/>
      <w:pPr>
        <w:ind w:left="3424" w:hanging="360"/>
      </w:pPr>
    </w:lvl>
    <w:lvl w:ilvl="2" w:tplc="0409001B" w:tentative="1">
      <w:start w:val="1"/>
      <w:numFmt w:val="lowerRoman"/>
      <w:lvlText w:val="%3."/>
      <w:lvlJc w:val="right"/>
      <w:pPr>
        <w:ind w:left="4144" w:hanging="180"/>
      </w:pPr>
    </w:lvl>
    <w:lvl w:ilvl="3" w:tplc="0409000F" w:tentative="1">
      <w:start w:val="1"/>
      <w:numFmt w:val="decimal"/>
      <w:lvlText w:val="%4."/>
      <w:lvlJc w:val="left"/>
      <w:pPr>
        <w:ind w:left="4864" w:hanging="360"/>
      </w:pPr>
    </w:lvl>
    <w:lvl w:ilvl="4" w:tplc="04090019" w:tentative="1">
      <w:start w:val="1"/>
      <w:numFmt w:val="lowerLetter"/>
      <w:lvlText w:val="%5."/>
      <w:lvlJc w:val="left"/>
      <w:pPr>
        <w:ind w:left="5584" w:hanging="360"/>
      </w:pPr>
    </w:lvl>
    <w:lvl w:ilvl="5" w:tplc="0409001B" w:tentative="1">
      <w:start w:val="1"/>
      <w:numFmt w:val="lowerRoman"/>
      <w:lvlText w:val="%6."/>
      <w:lvlJc w:val="right"/>
      <w:pPr>
        <w:ind w:left="6304" w:hanging="180"/>
      </w:pPr>
    </w:lvl>
    <w:lvl w:ilvl="6" w:tplc="0409000F" w:tentative="1">
      <w:start w:val="1"/>
      <w:numFmt w:val="decimal"/>
      <w:lvlText w:val="%7."/>
      <w:lvlJc w:val="left"/>
      <w:pPr>
        <w:ind w:left="7024" w:hanging="360"/>
      </w:pPr>
    </w:lvl>
    <w:lvl w:ilvl="7" w:tplc="04090019" w:tentative="1">
      <w:start w:val="1"/>
      <w:numFmt w:val="lowerLetter"/>
      <w:lvlText w:val="%8."/>
      <w:lvlJc w:val="left"/>
      <w:pPr>
        <w:ind w:left="7744" w:hanging="360"/>
      </w:pPr>
    </w:lvl>
    <w:lvl w:ilvl="8" w:tplc="0409001B" w:tentative="1">
      <w:start w:val="1"/>
      <w:numFmt w:val="lowerRoman"/>
      <w:lvlText w:val="%9."/>
      <w:lvlJc w:val="right"/>
      <w:pPr>
        <w:ind w:left="8464" w:hanging="180"/>
      </w:pPr>
    </w:lvl>
  </w:abstractNum>
  <w:abstractNum w:abstractNumId="213" w15:restartNumberingAfterBreak="0">
    <w:nsid w:val="664B26BE"/>
    <w:multiLevelType w:val="multilevel"/>
    <w:tmpl w:val="C38C5358"/>
    <w:styleLink w:val="CurrentList5"/>
    <w:lvl w:ilvl="0">
      <w:start w:val="2"/>
      <w:numFmt w:val="decimal"/>
      <w:lvlText w:val="(%1)"/>
      <w:lvlJc w:val="left"/>
      <w:pPr>
        <w:ind w:left="1440" w:hanging="360"/>
      </w:pPr>
      <w:rPr>
        <w:rFonts w:cs="Tahoma"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4" w15:restartNumberingAfterBreak="0">
    <w:nsid w:val="67225FAF"/>
    <w:multiLevelType w:val="hybridMultilevel"/>
    <w:tmpl w:val="16840FC2"/>
    <w:lvl w:ilvl="0" w:tplc="38090011">
      <w:start w:val="1"/>
      <w:numFmt w:val="decimal"/>
      <w:lvlText w:val="%1)"/>
      <w:lvlJc w:val="left"/>
      <w:pPr>
        <w:ind w:left="2927" w:hanging="360"/>
      </w:pPr>
      <w:rPr>
        <w:rFonts w:hint="default"/>
        <w:i w:val="0"/>
        <w:strike w:val="0"/>
        <w:color w:val="auto"/>
        <w:kern w:val="24"/>
        <w:sz w:val="24"/>
        <w:szCs w:val="24"/>
      </w:rPr>
    </w:lvl>
    <w:lvl w:ilvl="1" w:tplc="08090019" w:tentative="1">
      <w:start w:val="1"/>
      <w:numFmt w:val="lowerLetter"/>
      <w:lvlText w:val="%2."/>
      <w:lvlJc w:val="left"/>
      <w:pPr>
        <w:ind w:left="3647" w:hanging="360"/>
      </w:pPr>
      <w:rPr>
        <w:rFonts w:cs="Times New Roman"/>
      </w:rPr>
    </w:lvl>
    <w:lvl w:ilvl="2" w:tplc="0809001B" w:tentative="1">
      <w:start w:val="1"/>
      <w:numFmt w:val="lowerRoman"/>
      <w:lvlText w:val="%3."/>
      <w:lvlJc w:val="right"/>
      <w:pPr>
        <w:ind w:left="4367" w:hanging="180"/>
      </w:pPr>
      <w:rPr>
        <w:rFonts w:cs="Times New Roman"/>
      </w:rPr>
    </w:lvl>
    <w:lvl w:ilvl="3" w:tplc="0809000F" w:tentative="1">
      <w:start w:val="1"/>
      <w:numFmt w:val="decimal"/>
      <w:lvlText w:val="%4."/>
      <w:lvlJc w:val="left"/>
      <w:pPr>
        <w:ind w:left="5087" w:hanging="360"/>
      </w:pPr>
      <w:rPr>
        <w:rFonts w:cs="Times New Roman"/>
      </w:rPr>
    </w:lvl>
    <w:lvl w:ilvl="4" w:tplc="08090019" w:tentative="1">
      <w:start w:val="1"/>
      <w:numFmt w:val="lowerLetter"/>
      <w:lvlText w:val="%5."/>
      <w:lvlJc w:val="left"/>
      <w:pPr>
        <w:ind w:left="5807" w:hanging="360"/>
      </w:pPr>
      <w:rPr>
        <w:rFonts w:cs="Times New Roman"/>
      </w:rPr>
    </w:lvl>
    <w:lvl w:ilvl="5" w:tplc="0809001B" w:tentative="1">
      <w:start w:val="1"/>
      <w:numFmt w:val="lowerRoman"/>
      <w:lvlText w:val="%6."/>
      <w:lvlJc w:val="right"/>
      <w:pPr>
        <w:ind w:left="6527" w:hanging="180"/>
      </w:pPr>
      <w:rPr>
        <w:rFonts w:cs="Times New Roman"/>
      </w:rPr>
    </w:lvl>
    <w:lvl w:ilvl="6" w:tplc="0809000F" w:tentative="1">
      <w:start w:val="1"/>
      <w:numFmt w:val="decimal"/>
      <w:lvlText w:val="%7."/>
      <w:lvlJc w:val="left"/>
      <w:pPr>
        <w:ind w:left="7247" w:hanging="360"/>
      </w:pPr>
      <w:rPr>
        <w:rFonts w:cs="Times New Roman"/>
      </w:rPr>
    </w:lvl>
    <w:lvl w:ilvl="7" w:tplc="08090019" w:tentative="1">
      <w:start w:val="1"/>
      <w:numFmt w:val="lowerLetter"/>
      <w:lvlText w:val="%8."/>
      <w:lvlJc w:val="left"/>
      <w:pPr>
        <w:ind w:left="7967" w:hanging="360"/>
      </w:pPr>
      <w:rPr>
        <w:rFonts w:cs="Times New Roman"/>
      </w:rPr>
    </w:lvl>
    <w:lvl w:ilvl="8" w:tplc="0809001B" w:tentative="1">
      <w:start w:val="1"/>
      <w:numFmt w:val="lowerRoman"/>
      <w:lvlText w:val="%9."/>
      <w:lvlJc w:val="right"/>
      <w:pPr>
        <w:ind w:left="8687" w:hanging="180"/>
      </w:pPr>
      <w:rPr>
        <w:rFonts w:cs="Times New Roman"/>
      </w:rPr>
    </w:lvl>
  </w:abstractNum>
  <w:abstractNum w:abstractNumId="215" w15:restartNumberingAfterBreak="0">
    <w:nsid w:val="6A017765"/>
    <w:multiLevelType w:val="hybridMultilevel"/>
    <w:tmpl w:val="6C64AA12"/>
    <w:lvl w:ilvl="0" w:tplc="158CEBA2">
      <w:start w:val="1"/>
      <w:numFmt w:val="lowerLetter"/>
      <w:lvlText w:val="%1."/>
      <w:lvlJc w:val="left"/>
      <w:pPr>
        <w:ind w:left="1996" w:hanging="360"/>
      </w:pPr>
      <w:rPr>
        <w:sz w:val="24"/>
        <w:szCs w:val="24"/>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16" w15:restartNumberingAfterBreak="0">
    <w:nsid w:val="6A520ED4"/>
    <w:multiLevelType w:val="hybridMultilevel"/>
    <w:tmpl w:val="5846FC54"/>
    <w:lvl w:ilvl="0" w:tplc="3809000F">
      <w:start w:val="1"/>
      <w:numFmt w:val="decimal"/>
      <w:lvlText w:val="%1."/>
      <w:lvlJc w:val="left"/>
      <w:pPr>
        <w:ind w:left="1894" w:hanging="360"/>
      </w:pPr>
      <w:rPr>
        <w:rFonts w:hint="default"/>
        <w:color w:val="auto"/>
        <w:sz w:val="24"/>
        <w:szCs w:val="24"/>
      </w:rPr>
    </w:lvl>
    <w:lvl w:ilvl="1" w:tplc="FFFFFFFF">
      <w:start w:val="1"/>
      <w:numFmt w:val="lowerLetter"/>
      <w:lvlText w:val="%2."/>
      <w:lvlJc w:val="left"/>
      <w:pPr>
        <w:ind w:left="2614" w:hanging="360"/>
      </w:pPr>
    </w:lvl>
    <w:lvl w:ilvl="2" w:tplc="FFFFFFFF" w:tentative="1">
      <w:start w:val="1"/>
      <w:numFmt w:val="lowerRoman"/>
      <w:lvlText w:val="%3."/>
      <w:lvlJc w:val="right"/>
      <w:pPr>
        <w:ind w:left="3334" w:hanging="180"/>
      </w:pPr>
    </w:lvl>
    <w:lvl w:ilvl="3" w:tplc="FFFFFFFF" w:tentative="1">
      <w:start w:val="1"/>
      <w:numFmt w:val="decimal"/>
      <w:lvlText w:val="%4."/>
      <w:lvlJc w:val="left"/>
      <w:pPr>
        <w:ind w:left="4054" w:hanging="360"/>
      </w:pPr>
    </w:lvl>
    <w:lvl w:ilvl="4" w:tplc="FFFFFFFF" w:tentative="1">
      <w:start w:val="1"/>
      <w:numFmt w:val="lowerLetter"/>
      <w:lvlText w:val="%5."/>
      <w:lvlJc w:val="left"/>
      <w:pPr>
        <w:ind w:left="4774" w:hanging="360"/>
      </w:pPr>
    </w:lvl>
    <w:lvl w:ilvl="5" w:tplc="FFFFFFFF" w:tentative="1">
      <w:start w:val="1"/>
      <w:numFmt w:val="lowerRoman"/>
      <w:lvlText w:val="%6."/>
      <w:lvlJc w:val="right"/>
      <w:pPr>
        <w:ind w:left="5494" w:hanging="180"/>
      </w:pPr>
    </w:lvl>
    <w:lvl w:ilvl="6" w:tplc="FFFFFFFF" w:tentative="1">
      <w:start w:val="1"/>
      <w:numFmt w:val="decimal"/>
      <w:lvlText w:val="%7."/>
      <w:lvlJc w:val="left"/>
      <w:pPr>
        <w:ind w:left="6214" w:hanging="360"/>
      </w:pPr>
    </w:lvl>
    <w:lvl w:ilvl="7" w:tplc="FFFFFFFF" w:tentative="1">
      <w:start w:val="1"/>
      <w:numFmt w:val="lowerLetter"/>
      <w:lvlText w:val="%8."/>
      <w:lvlJc w:val="left"/>
      <w:pPr>
        <w:ind w:left="6934" w:hanging="360"/>
      </w:pPr>
    </w:lvl>
    <w:lvl w:ilvl="8" w:tplc="FFFFFFFF" w:tentative="1">
      <w:start w:val="1"/>
      <w:numFmt w:val="lowerRoman"/>
      <w:lvlText w:val="%9."/>
      <w:lvlJc w:val="right"/>
      <w:pPr>
        <w:ind w:left="7654" w:hanging="180"/>
      </w:pPr>
    </w:lvl>
  </w:abstractNum>
  <w:abstractNum w:abstractNumId="217" w15:restartNumberingAfterBreak="0">
    <w:nsid w:val="6AB04025"/>
    <w:multiLevelType w:val="hybridMultilevel"/>
    <w:tmpl w:val="2EF27AA2"/>
    <w:lvl w:ilvl="0" w:tplc="DB7CDF64">
      <w:start w:val="1"/>
      <w:numFmt w:val="lowerLetter"/>
      <w:lvlText w:val="(%1)"/>
      <w:lvlJc w:val="left"/>
      <w:pPr>
        <w:ind w:left="3254" w:hanging="360"/>
      </w:pPr>
      <w:rPr>
        <w:rFonts w:cs="Times New Roman" w:hint="default"/>
        <w:i w:val="0"/>
        <w:strike w:val="0"/>
        <w:color w:val="auto"/>
        <w:kern w:val="24"/>
      </w:rPr>
    </w:lvl>
    <w:lvl w:ilvl="1" w:tplc="38090019" w:tentative="1">
      <w:start w:val="1"/>
      <w:numFmt w:val="lowerLetter"/>
      <w:lvlText w:val="%2."/>
      <w:lvlJc w:val="left"/>
      <w:pPr>
        <w:ind w:left="3974" w:hanging="360"/>
      </w:pPr>
    </w:lvl>
    <w:lvl w:ilvl="2" w:tplc="3809001B" w:tentative="1">
      <w:start w:val="1"/>
      <w:numFmt w:val="lowerRoman"/>
      <w:lvlText w:val="%3."/>
      <w:lvlJc w:val="right"/>
      <w:pPr>
        <w:ind w:left="4694" w:hanging="180"/>
      </w:pPr>
    </w:lvl>
    <w:lvl w:ilvl="3" w:tplc="3809000F" w:tentative="1">
      <w:start w:val="1"/>
      <w:numFmt w:val="decimal"/>
      <w:lvlText w:val="%4."/>
      <w:lvlJc w:val="left"/>
      <w:pPr>
        <w:ind w:left="5414" w:hanging="360"/>
      </w:pPr>
    </w:lvl>
    <w:lvl w:ilvl="4" w:tplc="38090019" w:tentative="1">
      <w:start w:val="1"/>
      <w:numFmt w:val="lowerLetter"/>
      <w:lvlText w:val="%5."/>
      <w:lvlJc w:val="left"/>
      <w:pPr>
        <w:ind w:left="6134" w:hanging="360"/>
      </w:pPr>
    </w:lvl>
    <w:lvl w:ilvl="5" w:tplc="3809001B" w:tentative="1">
      <w:start w:val="1"/>
      <w:numFmt w:val="lowerRoman"/>
      <w:lvlText w:val="%6."/>
      <w:lvlJc w:val="right"/>
      <w:pPr>
        <w:ind w:left="6854" w:hanging="180"/>
      </w:pPr>
    </w:lvl>
    <w:lvl w:ilvl="6" w:tplc="3809000F" w:tentative="1">
      <w:start w:val="1"/>
      <w:numFmt w:val="decimal"/>
      <w:lvlText w:val="%7."/>
      <w:lvlJc w:val="left"/>
      <w:pPr>
        <w:ind w:left="7574" w:hanging="360"/>
      </w:pPr>
    </w:lvl>
    <w:lvl w:ilvl="7" w:tplc="38090019" w:tentative="1">
      <w:start w:val="1"/>
      <w:numFmt w:val="lowerLetter"/>
      <w:lvlText w:val="%8."/>
      <w:lvlJc w:val="left"/>
      <w:pPr>
        <w:ind w:left="8294" w:hanging="360"/>
      </w:pPr>
    </w:lvl>
    <w:lvl w:ilvl="8" w:tplc="3809001B" w:tentative="1">
      <w:start w:val="1"/>
      <w:numFmt w:val="lowerRoman"/>
      <w:lvlText w:val="%9."/>
      <w:lvlJc w:val="right"/>
      <w:pPr>
        <w:ind w:left="9014" w:hanging="180"/>
      </w:pPr>
    </w:lvl>
  </w:abstractNum>
  <w:abstractNum w:abstractNumId="218" w15:restartNumberingAfterBreak="0">
    <w:nsid w:val="6BBF6003"/>
    <w:multiLevelType w:val="hybridMultilevel"/>
    <w:tmpl w:val="4F9A32E6"/>
    <w:lvl w:ilvl="0" w:tplc="FFFFFFFF">
      <w:start w:val="1"/>
      <w:numFmt w:val="decimal"/>
      <w:lvlText w:val="%1)"/>
      <w:lvlJc w:val="left"/>
      <w:pPr>
        <w:ind w:left="2356" w:hanging="360"/>
      </w:pPr>
    </w:lvl>
    <w:lvl w:ilvl="1" w:tplc="FFFFFFFF" w:tentative="1">
      <w:start w:val="1"/>
      <w:numFmt w:val="lowerLetter"/>
      <w:lvlText w:val="%2."/>
      <w:lvlJc w:val="left"/>
      <w:pPr>
        <w:ind w:left="3076" w:hanging="360"/>
      </w:pPr>
    </w:lvl>
    <w:lvl w:ilvl="2" w:tplc="FFFFFFFF" w:tentative="1">
      <w:start w:val="1"/>
      <w:numFmt w:val="lowerRoman"/>
      <w:lvlText w:val="%3."/>
      <w:lvlJc w:val="right"/>
      <w:pPr>
        <w:ind w:left="3796" w:hanging="180"/>
      </w:pPr>
    </w:lvl>
    <w:lvl w:ilvl="3" w:tplc="FFFFFFFF" w:tentative="1">
      <w:start w:val="1"/>
      <w:numFmt w:val="decimal"/>
      <w:lvlText w:val="%4."/>
      <w:lvlJc w:val="left"/>
      <w:pPr>
        <w:ind w:left="4516" w:hanging="360"/>
      </w:pPr>
    </w:lvl>
    <w:lvl w:ilvl="4" w:tplc="FFFFFFFF" w:tentative="1">
      <w:start w:val="1"/>
      <w:numFmt w:val="lowerLetter"/>
      <w:lvlText w:val="%5."/>
      <w:lvlJc w:val="left"/>
      <w:pPr>
        <w:ind w:left="5236" w:hanging="360"/>
      </w:pPr>
    </w:lvl>
    <w:lvl w:ilvl="5" w:tplc="FFFFFFFF" w:tentative="1">
      <w:start w:val="1"/>
      <w:numFmt w:val="lowerRoman"/>
      <w:lvlText w:val="%6."/>
      <w:lvlJc w:val="right"/>
      <w:pPr>
        <w:ind w:left="5956" w:hanging="180"/>
      </w:pPr>
    </w:lvl>
    <w:lvl w:ilvl="6" w:tplc="FFFFFFFF" w:tentative="1">
      <w:start w:val="1"/>
      <w:numFmt w:val="decimal"/>
      <w:lvlText w:val="%7."/>
      <w:lvlJc w:val="left"/>
      <w:pPr>
        <w:ind w:left="6676" w:hanging="360"/>
      </w:pPr>
    </w:lvl>
    <w:lvl w:ilvl="7" w:tplc="FFFFFFFF" w:tentative="1">
      <w:start w:val="1"/>
      <w:numFmt w:val="lowerLetter"/>
      <w:lvlText w:val="%8."/>
      <w:lvlJc w:val="left"/>
      <w:pPr>
        <w:ind w:left="7396" w:hanging="360"/>
      </w:pPr>
    </w:lvl>
    <w:lvl w:ilvl="8" w:tplc="FFFFFFFF" w:tentative="1">
      <w:start w:val="1"/>
      <w:numFmt w:val="lowerRoman"/>
      <w:lvlText w:val="%9."/>
      <w:lvlJc w:val="right"/>
      <w:pPr>
        <w:ind w:left="8116" w:hanging="180"/>
      </w:pPr>
    </w:lvl>
  </w:abstractNum>
  <w:abstractNum w:abstractNumId="219" w15:restartNumberingAfterBreak="0">
    <w:nsid w:val="6C2A44D3"/>
    <w:multiLevelType w:val="hybridMultilevel"/>
    <w:tmpl w:val="CF9079F8"/>
    <w:lvl w:ilvl="0" w:tplc="5F0CCC0A">
      <w:start w:val="1"/>
      <w:numFmt w:val="decimal"/>
      <w:lvlText w:val="(%1)"/>
      <w:lvlJc w:val="left"/>
      <w:pPr>
        <w:ind w:left="2186" w:hanging="360"/>
      </w:pPr>
      <w:rPr>
        <w:rFonts w:cs="Times New Roman" w:hint="default"/>
        <w:i w:val="0"/>
        <w:strike w:val="0"/>
        <w:color w:val="auto"/>
        <w:kern w:val="24"/>
      </w:rPr>
    </w:lvl>
    <w:lvl w:ilvl="1" w:tplc="FFFFFFFF" w:tentative="1">
      <w:start w:val="1"/>
      <w:numFmt w:val="lowerLetter"/>
      <w:lvlText w:val="%2."/>
      <w:lvlJc w:val="left"/>
      <w:pPr>
        <w:ind w:left="2906" w:hanging="360"/>
      </w:pPr>
    </w:lvl>
    <w:lvl w:ilvl="2" w:tplc="FFFFFFFF" w:tentative="1">
      <w:start w:val="1"/>
      <w:numFmt w:val="lowerRoman"/>
      <w:lvlText w:val="%3."/>
      <w:lvlJc w:val="right"/>
      <w:pPr>
        <w:ind w:left="3626" w:hanging="180"/>
      </w:pPr>
    </w:lvl>
    <w:lvl w:ilvl="3" w:tplc="FFFFFFFF" w:tentative="1">
      <w:start w:val="1"/>
      <w:numFmt w:val="decimal"/>
      <w:lvlText w:val="%4."/>
      <w:lvlJc w:val="left"/>
      <w:pPr>
        <w:ind w:left="4346" w:hanging="360"/>
      </w:pPr>
    </w:lvl>
    <w:lvl w:ilvl="4" w:tplc="FFFFFFFF" w:tentative="1">
      <w:start w:val="1"/>
      <w:numFmt w:val="lowerLetter"/>
      <w:lvlText w:val="%5."/>
      <w:lvlJc w:val="left"/>
      <w:pPr>
        <w:ind w:left="5066" w:hanging="360"/>
      </w:pPr>
    </w:lvl>
    <w:lvl w:ilvl="5" w:tplc="FFFFFFFF" w:tentative="1">
      <w:start w:val="1"/>
      <w:numFmt w:val="lowerRoman"/>
      <w:lvlText w:val="%6."/>
      <w:lvlJc w:val="right"/>
      <w:pPr>
        <w:ind w:left="5786" w:hanging="180"/>
      </w:pPr>
    </w:lvl>
    <w:lvl w:ilvl="6" w:tplc="FFFFFFFF" w:tentative="1">
      <w:start w:val="1"/>
      <w:numFmt w:val="decimal"/>
      <w:lvlText w:val="%7."/>
      <w:lvlJc w:val="left"/>
      <w:pPr>
        <w:ind w:left="6506" w:hanging="360"/>
      </w:pPr>
    </w:lvl>
    <w:lvl w:ilvl="7" w:tplc="FFFFFFFF" w:tentative="1">
      <w:start w:val="1"/>
      <w:numFmt w:val="lowerLetter"/>
      <w:lvlText w:val="%8."/>
      <w:lvlJc w:val="left"/>
      <w:pPr>
        <w:ind w:left="7226" w:hanging="360"/>
      </w:pPr>
    </w:lvl>
    <w:lvl w:ilvl="8" w:tplc="FFFFFFFF" w:tentative="1">
      <w:start w:val="1"/>
      <w:numFmt w:val="lowerRoman"/>
      <w:lvlText w:val="%9."/>
      <w:lvlJc w:val="right"/>
      <w:pPr>
        <w:ind w:left="7946" w:hanging="180"/>
      </w:pPr>
    </w:lvl>
  </w:abstractNum>
  <w:abstractNum w:abstractNumId="220" w15:restartNumberingAfterBreak="0">
    <w:nsid w:val="6C3628F5"/>
    <w:multiLevelType w:val="hybridMultilevel"/>
    <w:tmpl w:val="E0082E80"/>
    <w:lvl w:ilvl="0" w:tplc="04090019">
      <w:start w:val="1"/>
      <w:numFmt w:val="lowerLetter"/>
      <w:lvlText w:val="%1."/>
      <w:lvlJc w:val="left"/>
      <w:pPr>
        <w:ind w:left="1636" w:hanging="360"/>
      </w:p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21" w15:restartNumberingAfterBreak="0">
    <w:nsid w:val="6C4F56DC"/>
    <w:multiLevelType w:val="hybridMultilevel"/>
    <w:tmpl w:val="F648C790"/>
    <w:lvl w:ilvl="0" w:tplc="7A3E43D6">
      <w:start w:val="1"/>
      <w:numFmt w:val="decimal"/>
      <w:lvlText w:val="%1)"/>
      <w:lvlJc w:val="left"/>
      <w:pPr>
        <w:ind w:left="1515" w:hanging="360"/>
      </w:pPr>
      <w:rPr>
        <w:rFonts w:hint="default"/>
      </w:rPr>
    </w:lvl>
    <w:lvl w:ilvl="1" w:tplc="04210019" w:tentative="1">
      <w:start w:val="1"/>
      <w:numFmt w:val="lowerLetter"/>
      <w:lvlText w:val="%2."/>
      <w:lvlJc w:val="left"/>
      <w:pPr>
        <w:ind w:left="2235" w:hanging="360"/>
      </w:pPr>
    </w:lvl>
    <w:lvl w:ilvl="2" w:tplc="0421001B" w:tentative="1">
      <w:start w:val="1"/>
      <w:numFmt w:val="lowerRoman"/>
      <w:lvlText w:val="%3."/>
      <w:lvlJc w:val="right"/>
      <w:pPr>
        <w:ind w:left="2955" w:hanging="180"/>
      </w:pPr>
    </w:lvl>
    <w:lvl w:ilvl="3" w:tplc="0421000F" w:tentative="1">
      <w:start w:val="1"/>
      <w:numFmt w:val="decimal"/>
      <w:lvlText w:val="%4."/>
      <w:lvlJc w:val="left"/>
      <w:pPr>
        <w:ind w:left="3675" w:hanging="360"/>
      </w:pPr>
    </w:lvl>
    <w:lvl w:ilvl="4" w:tplc="04210019" w:tentative="1">
      <w:start w:val="1"/>
      <w:numFmt w:val="lowerLetter"/>
      <w:lvlText w:val="%5."/>
      <w:lvlJc w:val="left"/>
      <w:pPr>
        <w:ind w:left="4395" w:hanging="360"/>
      </w:pPr>
    </w:lvl>
    <w:lvl w:ilvl="5" w:tplc="0421001B" w:tentative="1">
      <w:start w:val="1"/>
      <w:numFmt w:val="lowerRoman"/>
      <w:lvlText w:val="%6."/>
      <w:lvlJc w:val="right"/>
      <w:pPr>
        <w:ind w:left="5115" w:hanging="180"/>
      </w:pPr>
    </w:lvl>
    <w:lvl w:ilvl="6" w:tplc="0421000F" w:tentative="1">
      <w:start w:val="1"/>
      <w:numFmt w:val="decimal"/>
      <w:lvlText w:val="%7."/>
      <w:lvlJc w:val="left"/>
      <w:pPr>
        <w:ind w:left="5835" w:hanging="360"/>
      </w:pPr>
    </w:lvl>
    <w:lvl w:ilvl="7" w:tplc="04210019" w:tentative="1">
      <w:start w:val="1"/>
      <w:numFmt w:val="lowerLetter"/>
      <w:lvlText w:val="%8."/>
      <w:lvlJc w:val="left"/>
      <w:pPr>
        <w:ind w:left="6555" w:hanging="360"/>
      </w:pPr>
    </w:lvl>
    <w:lvl w:ilvl="8" w:tplc="0421001B" w:tentative="1">
      <w:start w:val="1"/>
      <w:numFmt w:val="lowerRoman"/>
      <w:lvlText w:val="%9."/>
      <w:lvlJc w:val="right"/>
      <w:pPr>
        <w:ind w:left="7275" w:hanging="180"/>
      </w:pPr>
    </w:lvl>
  </w:abstractNum>
  <w:abstractNum w:abstractNumId="222" w15:restartNumberingAfterBreak="0">
    <w:nsid w:val="6C5842B2"/>
    <w:multiLevelType w:val="hybridMultilevel"/>
    <w:tmpl w:val="C03C6EF0"/>
    <w:lvl w:ilvl="0" w:tplc="38090017">
      <w:start w:val="1"/>
      <w:numFmt w:val="lowerLetter"/>
      <w:lvlText w:val="%1)"/>
      <w:lvlJc w:val="left"/>
      <w:pPr>
        <w:ind w:left="1713" w:hanging="360"/>
      </w:pPr>
    </w:lvl>
    <w:lvl w:ilvl="1" w:tplc="38090017">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23" w15:restartNumberingAfterBreak="0">
    <w:nsid w:val="6CE26BEC"/>
    <w:multiLevelType w:val="hybridMultilevel"/>
    <w:tmpl w:val="FDB81842"/>
    <w:lvl w:ilvl="0" w:tplc="FFFFFFFF">
      <w:start w:val="1"/>
      <w:numFmt w:val="decimal"/>
      <w:lvlText w:val="%1)"/>
      <w:lvlJc w:val="left"/>
      <w:pPr>
        <w:ind w:left="2345" w:hanging="360"/>
      </w:pPr>
      <w:rPr>
        <w:rFonts w:hint="default"/>
        <w:color w:val="auto"/>
        <w:sz w:val="24"/>
        <w:szCs w:val="24"/>
      </w:rPr>
    </w:lvl>
    <w:lvl w:ilvl="1" w:tplc="FFFFFFFF">
      <w:start w:val="1"/>
      <w:numFmt w:val="lowerLetter"/>
      <w:lvlText w:val="%2)"/>
      <w:lvlJc w:val="left"/>
      <w:pPr>
        <w:ind w:left="3515" w:hanging="810"/>
      </w:pPr>
      <w:rPr>
        <w:rFonts w:hint="default"/>
      </w:r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224" w15:restartNumberingAfterBreak="0">
    <w:nsid w:val="6DBE6000"/>
    <w:multiLevelType w:val="hybridMultilevel"/>
    <w:tmpl w:val="F3523E80"/>
    <w:lvl w:ilvl="0" w:tplc="764CE620">
      <w:start w:val="1"/>
      <w:numFmt w:val="lowerLetter"/>
      <w:lvlText w:val="%1)"/>
      <w:lvlJc w:val="left"/>
      <w:pPr>
        <w:ind w:left="2640" w:hanging="360"/>
      </w:pPr>
      <w:rPr>
        <w:rFonts w:hint="default"/>
        <w:color w:val="000000" w:themeColor="text1"/>
      </w:rPr>
    </w:lvl>
    <w:lvl w:ilvl="1" w:tplc="FFFFFFFF" w:tentative="1">
      <w:start w:val="1"/>
      <w:numFmt w:val="lowerLetter"/>
      <w:lvlText w:val="%2."/>
      <w:lvlJc w:val="left"/>
      <w:pPr>
        <w:ind w:left="3360" w:hanging="360"/>
      </w:pPr>
    </w:lvl>
    <w:lvl w:ilvl="2" w:tplc="FFFFFFFF" w:tentative="1">
      <w:start w:val="1"/>
      <w:numFmt w:val="lowerRoman"/>
      <w:lvlText w:val="%3."/>
      <w:lvlJc w:val="right"/>
      <w:pPr>
        <w:ind w:left="4080" w:hanging="180"/>
      </w:pPr>
    </w:lvl>
    <w:lvl w:ilvl="3" w:tplc="FFFFFFFF" w:tentative="1">
      <w:start w:val="1"/>
      <w:numFmt w:val="decimal"/>
      <w:lvlText w:val="%4."/>
      <w:lvlJc w:val="left"/>
      <w:pPr>
        <w:ind w:left="4800" w:hanging="360"/>
      </w:pPr>
    </w:lvl>
    <w:lvl w:ilvl="4" w:tplc="FFFFFFFF" w:tentative="1">
      <w:start w:val="1"/>
      <w:numFmt w:val="lowerLetter"/>
      <w:lvlText w:val="%5."/>
      <w:lvlJc w:val="left"/>
      <w:pPr>
        <w:ind w:left="5520" w:hanging="360"/>
      </w:pPr>
    </w:lvl>
    <w:lvl w:ilvl="5" w:tplc="FFFFFFFF" w:tentative="1">
      <w:start w:val="1"/>
      <w:numFmt w:val="lowerRoman"/>
      <w:lvlText w:val="%6."/>
      <w:lvlJc w:val="right"/>
      <w:pPr>
        <w:ind w:left="6240" w:hanging="180"/>
      </w:pPr>
    </w:lvl>
    <w:lvl w:ilvl="6" w:tplc="FFFFFFFF" w:tentative="1">
      <w:start w:val="1"/>
      <w:numFmt w:val="decimal"/>
      <w:lvlText w:val="%7."/>
      <w:lvlJc w:val="left"/>
      <w:pPr>
        <w:ind w:left="6960" w:hanging="360"/>
      </w:pPr>
    </w:lvl>
    <w:lvl w:ilvl="7" w:tplc="FFFFFFFF" w:tentative="1">
      <w:start w:val="1"/>
      <w:numFmt w:val="lowerLetter"/>
      <w:lvlText w:val="%8."/>
      <w:lvlJc w:val="left"/>
      <w:pPr>
        <w:ind w:left="7680" w:hanging="360"/>
      </w:pPr>
    </w:lvl>
    <w:lvl w:ilvl="8" w:tplc="FFFFFFFF" w:tentative="1">
      <w:start w:val="1"/>
      <w:numFmt w:val="lowerRoman"/>
      <w:lvlText w:val="%9."/>
      <w:lvlJc w:val="right"/>
      <w:pPr>
        <w:ind w:left="8400" w:hanging="180"/>
      </w:pPr>
    </w:lvl>
  </w:abstractNum>
  <w:abstractNum w:abstractNumId="225" w15:restartNumberingAfterBreak="0">
    <w:nsid w:val="6E1A24AE"/>
    <w:multiLevelType w:val="hybridMultilevel"/>
    <w:tmpl w:val="DF649F04"/>
    <w:lvl w:ilvl="0" w:tplc="DB7CDF64">
      <w:start w:val="1"/>
      <w:numFmt w:val="lowerLetter"/>
      <w:lvlText w:val="(%1)"/>
      <w:lvlJc w:val="left"/>
      <w:pPr>
        <w:ind w:left="3090" w:hanging="360"/>
      </w:pPr>
      <w:rPr>
        <w:rFonts w:cs="Times New Roman" w:hint="default"/>
        <w:i w:val="0"/>
        <w:strike w:val="0"/>
        <w:color w:val="auto"/>
        <w:kern w:val="24"/>
      </w:rPr>
    </w:lvl>
    <w:lvl w:ilvl="1" w:tplc="04090019" w:tentative="1">
      <w:start w:val="1"/>
      <w:numFmt w:val="lowerLetter"/>
      <w:lvlText w:val="%2."/>
      <w:lvlJc w:val="left"/>
      <w:pPr>
        <w:ind w:left="3810" w:hanging="360"/>
      </w:pPr>
    </w:lvl>
    <w:lvl w:ilvl="2" w:tplc="0409001B" w:tentative="1">
      <w:start w:val="1"/>
      <w:numFmt w:val="lowerRoman"/>
      <w:lvlText w:val="%3."/>
      <w:lvlJc w:val="right"/>
      <w:pPr>
        <w:ind w:left="4530" w:hanging="180"/>
      </w:pPr>
    </w:lvl>
    <w:lvl w:ilvl="3" w:tplc="0409000F" w:tentative="1">
      <w:start w:val="1"/>
      <w:numFmt w:val="decimal"/>
      <w:lvlText w:val="%4."/>
      <w:lvlJc w:val="left"/>
      <w:pPr>
        <w:ind w:left="5250" w:hanging="360"/>
      </w:pPr>
    </w:lvl>
    <w:lvl w:ilvl="4" w:tplc="04090019" w:tentative="1">
      <w:start w:val="1"/>
      <w:numFmt w:val="lowerLetter"/>
      <w:lvlText w:val="%5."/>
      <w:lvlJc w:val="left"/>
      <w:pPr>
        <w:ind w:left="5970" w:hanging="360"/>
      </w:pPr>
    </w:lvl>
    <w:lvl w:ilvl="5" w:tplc="0409001B" w:tentative="1">
      <w:start w:val="1"/>
      <w:numFmt w:val="lowerRoman"/>
      <w:lvlText w:val="%6."/>
      <w:lvlJc w:val="right"/>
      <w:pPr>
        <w:ind w:left="6690" w:hanging="180"/>
      </w:pPr>
    </w:lvl>
    <w:lvl w:ilvl="6" w:tplc="0409000F" w:tentative="1">
      <w:start w:val="1"/>
      <w:numFmt w:val="decimal"/>
      <w:lvlText w:val="%7."/>
      <w:lvlJc w:val="left"/>
      <w:pPr>
        <w:ind w:left="7410" w:hanging="360"/>
      </w:pPr>
    </w:lvl>
    <w:lvl w:ilvl="7" w:tplc="04090019" w:tentative="1">
      <w:start w:val="1"/>
      <w:numFmt w:val="lowerLetter"/>
      <w:lvlText w:val="%8."/>
      <w:lvlJc w:val="left"/>
      <w:pPr>
        <w:ind w:left="8130" w:hanging="360"/>
      </w:pPr>
    </w:lvl>
    <w:lvl w:ilvl="8" w:tplc="0409001B" w:tentative="1">
      <w:start w:val="1"/>
      <w:numFmt w:val="lowerRoman"/>
      <w:lvlText w:val="%9."/>
      <w:lvlJc w:val="right"/>
      <w:pPr>
        <w:ind w:left="8850" w:hanging="180"/>
      </w:pPr>
    </w:lvl>
  </w:abstractNum>
  <w:abstractNum w:abstractNumId="226" w15:restartNumberingAfterBreak="0">
    <w:nsid w:val="6F2F2E10"/>
    <w:multiLevelType w:val="hybridMultilevel"/>
    <w:tmpl w:val="3CCE0A0E"/>
    <w:lvl w:ilvl="0" w:tplc="58180466">
      <w:start w:val="1"/>
      <w:numFmt w:val="decimal"/>
      <w:lvlText w:val="%1)"/>
      <w:lvlJc w:val="left"/>
      <w:pPr>
        <w:ind w:left="2770" w:hanging="360"/>
      </w:pPr>
      <w:rPr>
        <w:rFonts w:eastAsiaTheme="minorHAnsi" w:cstheme="minorBidi" w:hint="default"/>
        <w:b w:val="0"/>
      </w:rPr>
    </w:lvl>
    <w:lvl w:ilvl="1" w:tplc="38090019" w:tentative="1">
      <w:start w:val="1"/>
      <w:numFmt w:val="lowerLetter"/>
      <w:lvlText w:val="%2."/>
      <w:lvlJc w:val="left"/>
      <w:pPr>
        <w:ind w:left="3490" w:hanging="360"/>
      </w:pPr>
    </w:lvl>
    <w:lvl w:ilvl="2" w:tplc="3809001B" w:tentative="1">
      <w:start w:val="1"/>
      <w:numFmt w:val="lowerRoman"/>
      <w:lvlText w:val="%3."/>
      <w:lvlJc w:val="right"/>
      <w:pPr>
        <w:ind w:left="4210" w:hanging="180"/>
      </w:pPr>
    </w:lvl>
    <w:lvl w:ilvl="3" w:tplc="3809000F" w:tentative="1">
      <w:start w:val="1"/>
      <w:numFmt w:val="decimal"/>
      <w:lvlText w:val="%4."/>
      <w:lvlJc w:val="left"/>
      <w:pPr>
        <w:ind w:left="4930" w:hanging="360"/>
      </w:pPr>
    </w:lvl>
    <w:lvl w:ilvl="4" w:tplc="38090019" w:tentative="1">
      <w:start w:val="1"/>
      <w:numFmt w:val="lowerLetter"/>
      <w:lvlText w:val="%5."/>
      <w:lvlJc w:val="left"/>
      <w:pPr>
        <w:ind w:left="5650" w:hanging="360"/>
      </w:pPr>
    </w:lvl>
    <w:lvl w:ilvl="5" w:tplc="3809001B" w:tentative="1">
      <w:start w:val="1"/>
      <w:numFmt w:val="lowerRoman"/>
      <w:lvlText w:val="%6."/>
      <w:lvlJc w:val="right"/>
      <w:pPr>
        <w:ind w:left="6370" w:hanging="180"/>
      </w:pPr>
    </w:lvl>
    <w:lvl w:ilvl="6" w:tplc="3809000F" w:tentative="1">
      <w:start w:val="1"/>
      <w:numFmt w:val="decimal"/>
      <w:lvlText w:val="%7."/>
      <w:lvlJc w:val="left"/>
      <w:pPr>
        <w:ind w:left="7090" w:hanging="360"/>
      </w:pPr>
    </w:lvl>
    <w:lvl w:ilvl="7" w:tplc="38090019" w:tentative="1">
      <w:start w:val="1"/>
      <w:numFmt w:val="lowerLetter"/>
      <w:lvlText w:val="%8."/>
      <w:lvlJc w:val="left"/>
      <w:pPr>
        <w:ind w:left="7810" w:hanging="360"/>
      </w:pPr>
    </w:lvl>
    <w:lvl w:ilvl="8" w:tplc="3809001B" w:tentative="1">
      <w:start w:val="1"/>
      <w:numFmt w:val="lowerRoman"/>
      <w:lvlText w:val="%9."/>
      <w:lvlJc w:val="right"/>
      <w:pPr>
        <w:ind w:left="8530" w:hanging="180"/>
      </w:pPr>
    </w:lvl>
  </w:abstractNum>
  <w:abstractNum w:abstractNumId="227" w15:restartNumberingAfterBreak="0">
    <w:nsid w:val="6F460F20"/>
    <w:multiLevelType w:val="hybridMultilevel"/>
    <w:tmpl w:val="056A2092"/>
    <w:lvl w:ilvl="0" w:tplc="D3E8E1B8">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8" w15:restartNumberingAfterBreak="0">
    <w:nsid w:val="6F527754"/>
    <w:multiLevelType w:val="hybridMultilevel"/>
    <w:tmpl w:val="3E1AFD06"/>
    <w:lvl w:ilvl="0" w:tplc="EEB09C8C">
      <w:start w:val="1"/>
      <w:numFmt w:val="lowerLetter"/>
      <w:lvlText w:val="%1)"/>
      <w:lvlJc w:val="left"/>
      <w:pPr>
        <w:ind w:left="3621" w:hanging="360"/>
      </w:pPr>
      <w:rPr>
        <w:rFonts w:cs="Times New Roman" w:hint="default"/>
      </w:rPr>
    </w:lvl>
    <w:lvl w:ilvl="1" w:tplc="38090019" w:tentative="1">
      <w:start w:val="1"/>
      <w:numFmt w:val="lowerLetter"/>
      <w:lvlText w:val="%2."/>
      <w:lvlJc w:val="left"/>
      <w:pPr>
        <w:ind w:left="4341" w:hanging="360"/>
      </w:pPr>
    </w:lvl>
    <w:lvl w:ilvl="2" w:tplc="3809001B" w:tentative="1">
      <w:start w:val="1"/>
      <w:numFmt w:val="lowerRoman"/>
      <w:lvlText w:val="%3."/>
      <w:lvlJc w:val="right"/>
      <w:pPr>
        <w:ind w:left="5061" w:hanging="180"/>
      </w:pPr>
    </w:lvl>
    <w:lvl w:ilvl="3" w:tplc="3809000F" w:tentative="1">
      <w:start w:val="1"/>
      <w:numFmt w:val="decimal"/>
      <w:lvlText w:val="%4."/>
      <w:lvlJc w:val="left"/>
      <w:pPr>
        <w:ind w:left="5781" w:hanging="360"/>
      </w:pPr>
    </w:lvl>
    <w:lvl w:ilvl="4" w:tplc="38090019" w:tentative="1">
      <w:start w:val="1"/>
      <w:numFmt w:val="lowerLetter"/>
      <w:lvlText w:val="%5."/>
      <w:lvlJc w:val="left"/>
      <w:pPr>
        <w:ind w:left="6501" w:hanging="360"/>
      </w:pPr>
    </w:lvl>
    <w:lvl w:ilvl="5" w:tplc="3809001B" w:tentative="1">
      <w:start w:val="1"/>
      <w:numFmt w:val="lowerRoman"/>
      <w:lvlText w:val="%6."/>
      <w:lvlJc w:val="right"/>
      <w:pPr>
        <w:ind w:left="7221" w:hanging="180"/>
      </w:pPr>
    </w:lvl>
    <w:lvl w:ilvl="6" w:tplc="3809000F" w:tentative="1">
      <w:start w:val="1"/>
      <w:numFmt w:val="decimal"/>
      <w:lvlText w:val="%7."/>
      <w:lvlJc w:val="left"/>
      <w:pPr>
        <w:ind w:left="7941" w:hanging="360"/>
      </w:pPr>
    </w:lvl>
    <w:lvl w:ilvl="7" w:tplc="38090019" w:tentative="1">
      <w:start w:val="1"/>
      <w:numFmt w:val="lowerLetter"/>
      <w:lvlText w:val="%8."/>
      <w:lvlJc w:val="left"/>
      <w:pPr>
        <w:ind w:left="8661" w:hanging="360"/>
      </w:pPr>
    </w:lvl>
    <w:lvl w:ilvl="8" w:tplc="3809001B" w:tentative="1">
      <w:start w:val="1"/>
      <w:numFmt w:val="lowerRoman"/>
      <w:lvlText w:val="%9."/>
      <w:lvlJc w:val="right"/>
      <w:pPr>
        <w:ind w:left="9381" w:hanging="180"/>
      </w:pPr>
    </w:lvl>
  </w:abstractNum>
  <w:abstractNum w:abstractNumId="229" w15:restartNumberingAfterBreak="0">
    <w:nsid w:val="6F6F434F"/>
    <w:multiLevelType w:val="hybridMultilevel"/>
    <w:tmpl w:val="30C43DCA"/>
    <w:lvl w:ilvl="0" w:tplc="02DA9EA8">
      <w:start w:val="1"/>
      <w:numFmt w:val="decimal"/>
      <w:lvlText w:val="%1)"/>
      <w:lvlJc w:val="left"/>
      <w:pPr>
        <w:ind w:left="1980" w:hanging="360"/>
      </w:pPr>
      <w:rPr>
        <w:color w:val="000000" w:themeColor="text1"/>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0" w15:restartNumberingAfterBreak="0">
    <w:nsid w:val="700D053C"/>
    <w:multiLevelType w:val="hybridMultilevel"/>
    <w:tmpl w:val="8D56C8F4"/>
    <w:lvl w:ilvl="0" w:tplc="81F2CA84">
      <w:start w:val="1"/>
      <w:numFmt w:val="decimal"/>
      <w:lvlText w:val="%1."/>
      <w:lvlJc w:val="left"/>
      <w:pPr>
        <w:ind w:left="1155" w:hanging="360"/>
      </w:pPr>
      <w:rPr>
        <w:color w:val="auto"/>
      </w:rPr>
    </w:lvl>
    <w:lvl w:ilvl="1" w:tplc="04210019">
      <w:start w:val="1"/>
      <w:numFmt w:val="lowerLetter"/>
      <w:lvlText w:val="%2."/>
      <w:lvlJc w:val="left"/>
      <w:pPr>
        <w:ind w:left="1875" w:hanging="360"/>
      </w:pPr>
    </w:lvl>
    <w:lvl w:ilvl="2" w:tplc="38090011">
      <w:start w:val="1"/>
      <w:numFmt w:val="decimal"/>
      <w:lvlText w:val="%3)"/>
      <w:lvlJc w:val="left"/>
      <w:pPr>
        <w:ind w:left="2927" w:hanging="360"/>
      </w:pPr>
    </w:lvl>
    <w:lvl w:ilvl="3" w:tplc="38090017">
      <w:start w:val="1"/>
      <w:numFmt w:val="lowerLetter"/>
      <w:lvlText w:val="%4)"/>
      <w:lvlJc w:val="left"/>
      <w:pPr>
        <w:ind w:left="2847" w:hanging="360"/>
      </w:pPr>
    </w:lvl>
    <w:lvl w:ilvl="4" w:tplc="04210019" w:tentative="1">
      <w:start w:val="1"/>
      <w:numFmt w:val="lowerLetter"/>
      <w:lvlText w:val="%5."/>
      <w:lvlJc w:val="left"/>
      <w:pPr>
        <w:ind w:left="4035" w:hanging="360"/>
      </w:pPr>
    </w:lvl>
    <w:lvl w:ilvl="5" w:tplc="0421001B" w:tentative="1">
      <w:start w:val="1"/>
      <w:numFmt w:val="lowerRoman"/>
      <w:lvlText w:val="%6."/>
      <w:lvlJc w:val="right"/>
      <w:pPr>
        <w:ind w:left="4755" w:hanging="180"/>
      </w:pPr>
    </w:lvl>
    <w:lvl w:ilvl="6" w:tplc="0421000F" w:tentative="1">
      <w:start w:val="1"/>
      <w:numFmt w:val="decimal"/>
      <w:lvlText w:val="%7."/>
      <w:lvlJc w:val="left"/>
      <w:pPr>
        <w:ind w:left="5475" w:hanging="360"/>
      </w:pPr>
    </w:lvl>
    <w:lvl w:ilvl="7" w:tplc="04210019" w:tentative="1">
      <w:start w:val="1"/>
      <w:numFmt w:val="lowerLetter"/>
      <w:lvlText w:val="%8."/>
      <w:lvlJc w:val="left"/>
      <w:pPr>
        <w:ind w:left="6195" w:hanging="360"/>
      </w:pPr>
    </w:lvl>
    <w:lvl w:ilvl="8" w:tplc="0421001B" w:tentative="1">
      <w:start w:val="1"/>
      <w:numFmt w:val="lowerRoman"/>
      <w:lvlText w:val="%9."/>
      <w:lvlJc w:val="right"/>
      <w:pPr>
        <w:ind w:left="6915" w:hanging="180"/>
      </w:pPr>
    </w:lvl>
  </w:abstractNum>
  <w:abstractNum w:abstractNumId="231" w15:restartNumberingAfterBreak="0">
    <w:nsid w:val="7026416D"/>
    <w:multiLevelType w:val="hybridMultilevel"/>
    <w:tmpl w:val="03B21A38"/>
    <w:lvl w:ilvl="0" w:tplc="1BAA9A8C">
      <w:start w:val="1"/>
      <w:numFmt w:val="lowerLetter"/>
      <w:lvlText w:val="(%1)"/>
      <w:lvlJc w:val="left"/>
      <w:pPr>
        <w:ind w:left="3090" w:hanging="360"/>
      </w:pPr>
      <w:rPr>
        <w:rFonts w:hint="default"/>
        <w:color w:val="auto"/>
        <w:sz w:val="24"/>
      </w:rPr>
    </w:lvl>
    <w:lvl w:ilvl="1" w:tplc="04090019" w:tentative="1">
      <w:start w:val="1"/>
      <w:numFmt w:val="lowerLetter"/>
      <w:lvlText w:val="%2."/>
      <w:lvlJc w:val="left"/>
      <w:pPr>
        <w:ind w:left="3810" w:hanging="360"/>
      </w:pPr>
    </w:lvl>
    <w:lvl w:ilvl="2" w:tplc="0409001B" w:tentative="1">
      <w:start w:val="1"/>
      <w:numFmt w:val="lowerRoman"/>
      <w:lvlText w:val="%3."/>
      <w:lvlJc w:val="right"/>
      <w:pPr>
        <w:ind w:left="4530" w:hanging="180"/>
      </w:pPr>
    </w:lvl>
    <w:lvl w:ilvl="3" w:tplc="0409000F" w:tentative="1">
      <w:start w:val="1"/>
      <w:numFmt w:val="decimal"/>
      <w:lvlText w:val="%4."/>
      <w:lvlJc w:val="left"/>
      <w:pPr>
        <w:ind w:left="5250" w:hanging="360"/>
      </w:pPr>
    </w:lvl>
    <w:lvl w:ilvl="4" w:tplc="04090019" w:tentative="1">
      <w:start w:val="1"/>
      <w:numFmt w:val="lowerLetter"/>
      <w:lvlText w:val="%5."/>
      <w:lvlJc w:val="left"/>
      <w:pPr>
        <w:ind w:left="5970" w:hanging="360"/>
      </w:pPr>
    </w:lvl>
    <w:lvl w:ilvl="5" w:tplc="0409001B" w:tentative="1">
      <w:start w:val="1"/>
      <w:numFmt w:val="lowerRoman"/>
      <w:lvlText w:val="%6."/>
      <w:lvlJc w:val="right"/>
      <w:pPr>
        <w:ind w:left="6690" w:hanging="180"/>
      </w:pPr>
    </w:lvl>
    <w:lvl w:ilvl="6" w:tplc="0409000F" w:tentative="1">
      <w:start w:val="1"/>
      <w:numFmt w:val="decimal"/>
      <w:lvlText w:val="%7."/>
      <w:lvlJc w:val="left"/>
      <w:pPr>
        <w:ind w:left="7410" w:hanging="360"/>
      </w:pPr>
    </w:lvl>
    <w:lvl w:ilvl="7" w:tplc="04090019" w:tentative="1">
      <w:start w:val="1"/>
      <w:numFmt w:val="lowerLetter"/>
      <w:lvlText w:val="%8."/>
      <w:lvlJc w:val="left"/>
      <w:pPr>
        <w:ind w:left="8130" w:hanging="360"/>
      </w:pPr>
    </w:lvl>
    <w:lvl w:ilvl="8" w:tplc="0409001B" w:tentative="1">
      <w:start w:val="1"/>
      <w:numFmt w:val="lowerRoman"/>
      <w:lvlText w:val="%9."/>
      <w:lvlJc w:val="right"/>
      <w:pPr>
        <w:ind w:left="8850" w:hanging="180"/>
      </w:pPr>
    </w:lvl>
  </w:abstractNum>
  <w:abstractNum w:abstractNumId="232" w15:restartNumberingAfterBreak="0">
    <w:nsid w:val="70B069BC"/>
    <w:multiLevelType w:val="hybridMultilevel"/>
    <w:tmpl w:val="190674AC"/>
    <w:lvl w:ilvl="0" w:tplc="FFFFFFFF">
      <w:start w:val="1"/>
      <w:numFmt w:val="decimal"/>
      <w:lvlText w:val="(%1)"/>
      <w:lvlJc w:val="left"/>
      <w:pPr>
        <w:ind w:left="2736" w:hanging="360"/>
      </w:pPr>
      <w:rPr>
        <w:rFonts w:hint="default"/>
        <w:color w:val="auto"/>
      </w:rPr>
    </w:lvl>
    <w:lvl w:ilvl="1" w:tplc="FFFFFFFF" w:tentative="1">
      <w:start w:val="1"/>
      <w:numFmt w:val="lowerLetter"/>
      <w:lvlText w:val="%2."/>
      <w:lvlJc w:val="left"/>
      <w:pPr>
        <w:ind w:left="3456" w:hanging="360"/>
      </w:pPr>
    </w:lvl>
    <w:lvl w:ilvl="2" w:tplc="FFFFFFFF" w:tentative="1">
      <w:start w:val="1"/>
      <w:numFmt w:val="lowerRoman"/>
      <w:lvlText w:val="%3."/>
      <w:lvlJc w:val="right"/>
      <w:pPr>
        <w:ind w:left="4176" w:hanging="180"/>
      </w:pPr>
    </w:lvl>
    <w:lvl w:ilvl="3" w:tplc="FFFFFFFF" w:tentative="1">
      <w:start w:val="1"/>
      <w:numFmt w:val="decimal"/>
      <w:lvlText w:val="%4."/>
      <w:lvlJc w:val="left"/>
      <w:pPr>
        <w:ind w:left="4896" w:hanging="360"/>
      </w:pPr>
    </w:lvl>
    <w:lvl w:ilvl="4" w:tplc="FFFFFFFF" w:tentative="1">
      <w:start w:val="1"/>
      <w:numFmt w:val="lowerLetter"/>
      <w:lvlText w:val="%5."/>
      <w:lvlJc w:val="left"/>
      <w:pPr>
        <w:ind w:left="5616" w:hanging="360"/>
      </w:pPr>
    </w:lvl>
    <w:lvl w:ilvl="5" w:tplc="FFFFFFFF" w:tentative="1">
      <w:start w:val="1"/>
      <w:numFmt w:val="lowerRoman"/>
      <w:lvlText w:val="%6."/>
      <w:lvlJc w:val="right"/>
      <w:pPr>
        <w:ind w:left="6336" w:hanging="180"/>
      </w:pPr>
    </w:lvl>
    <w:lvl w:ilvl="6" w:tplc="FFFFFFFF" w:tentative="1">
      <w:start w:val="1"/>
      <w:numFmt w:val="decimal"/>
      <w:lvlText w:val="%7."/>
      <w:lvlJc w:val="left"/>
      <w:pPr>
        <w:ind w:left="7056" w:hanging="360"/>
      </w:pPr>
    </w:lvl>
    <w:lvl w:ilvl="7" w:tplc="FFFFFFFF" w:tentative="1">
      <w:start w:val="1"/>
      <w:numFmt w:val="lowerLetter"/>
      <w:lvlText w:val="%8."/>
      <w:lvlJc w:val="left"/>
      <w:pPr>
        <w:ind w:left="7776" w:hanging="360"/>
      </w:pPr>
    </w:lvl>
    <w:lvl w:ilvl="8" w:tplc="FFFFFFFF" w:tentative="1">
      <w:start w:val="1"/>
      <w:numFmt w:val="lowerRoman"/>
      <w:lvlText w:val="%9."/>
      <w:lvlJc w:val="right"/>
      <w:pPr>
        <w:ind w:left="8496" w:hanging="180"/>
      </w:pPr>
    </w:lvl>
  </w:abstractNum>
  <w:abstractNum w:abstractNumId="233" w15:restartNumberingAfterBreak="0">
    <w:nsid w:val="70DA347B"/>
    <w:multiLevelType w:val="hybridMultilevel"/>
    <w:tmpl w:val="F0A812E6"/>
    <w:lvl w:ilvl="0" w:tplc="04090011">
      <w:start w:val="1"/>
      <w:numFmt w:val="decimal"/>
      <w:lvlText w:val="%1)"/>
      <w:lvlJc w:val="left"/>
      <w:pPr>
        <w:ind w:left="2433" w:hanging="360"/>
      </w:pPr>
      <w:rPr>
        <w:rFonts w:hint="default"/>
        <w:i w:val="0"/>
        <w:strike w:val="0"/>
        <w:color w:val="auto"/>
        <w:kern w:val="24"/>
        <w:sz w:val="24"/>
      </w:rPr>
    </w:lvl>
    <w:lvl w:ilvl="1" w:tplc="FFFFFFFF" w:tentative="1">
      <w:start w:val="1"/>
      <w:numFmt w:val="lowerLetter"/>
      <w:lvlText w:val="%2."/>
      <w:lvlJc w:val="left"/>
      <w:pPr>
        <w:ind w:left="3153" w:hanging="360"/>
      </w:pPr>
    </w:lvl>
    <w:lvl w:ilvl="2" w:tplc="FFFFFFFF" w:tentative="1">
      <w:start w:val="1"/>
      <w:numFmt w:val="lowerRoman"/>
      <w:lvlText w:val="%3."/>
      <w:lvlJc w:val="right"/>
      <w:pPr>
        <w:ind w:left="3873" w:hanging="180"/>
      </w:pPr>
    </w:lvl>
    <w:lvl w:ilvl="3" w:tplc="FFFFFFFF" w:tentative="1">
      <w:start w:val="1"/>
      <w:numFmt w:val="decimal"/>
      <w:lvlText w:val="%4."/>
      <w:lvlJc w:val="left"/>
      <w:pPr>
        <w:ind w:left="4593" w:hanging="360"/>
      </w:pPr>
    </w:lvl>
    <w:lvl w:ilvl="4" w:tplc="FFFFFFFF" w:tentative="1">
      <w:start w:val="1"/>
      <w:numFmt w:val="lowerLetter"/>
      <w:lvlText w:val="%5."/>
      <w:lvlJc w:val="left"/>
      <w:pPr>
        <w:ind w:left="5313" w:hanging="360"/>
      </w:pPr>
    </w:lvl>
    <w:lvl w:ilvl="5" w:tplc="FFFFFFFF" w:tentative="1">
      <w:start w:val="1"/>
      <w:numFmt w:val="lowerRoman"/>
      <w:lvlText w:val="%6."/>
      <w:lvlJc w:val="right"/>
      <w:pPr>
        <w:ind w:left="6033" w:hanging="180"/>
      </w:pPr>
    </w:lvl>
    <w:lvl w:ilvl="6" w:tplc="FFFFFFFF" w:tentative="1">
      <w:start w:val="1"/>
      <w:numFmt w:val="decimal"/>
      <w:lvlText w:val="%7."/>
      <w:lvlJc w:val="left"/>
      <w:pPr>
        <w:ind w:left="6753" w:hanging="360"/>
      </w:pPr>
    </w:lvl>
    <w:lvl w:ilvl="7" w:tplc="FFFFFFFF" w:tentative="1">
      <w:start w:val="1"/>
      <w:numFmt w:val="lowerLetter"/>
      <w:lvlText w:val="%8."/>
      <w:lvlJc w:val="left"/>
      <w:pPr>
        <w:ind w:left="7473" w:hanging="360"/>
      </w:pPr>
    </w:lvl>
    <w:lvl w:ilvl="8" w:tplc="FFFFFFFF" w:tentative="1">
      <w:start w:val="1"/>
      <w:numFmt w:val="lowerRoman"/>
      <w:lvlText w:val="%9."/>
      <w:lvlJc w:val="right"/>
      <w:pPr>
        <w:ind w:left="8193" w:hanging="180"/>
      </w:pPr>
    </w:lvl>
  </w:abstractNum>
  <w:abstractNum w:abstractNumId="234" w15:restartNumberingAfterBreak="0">
    <w:nsid w:val="71DA17DE"/>
    <w:multiLevelType w:val="hybridMultilevel"/>
    <w:tmpl w:val="C046CC6A"/>
    <w:lvl w:ilvl="0" w:tplc="FFFFFFFF">
      <w:start w:val="1"/>
      <w:numFmt w:val="lowerLetter"/>
      <w:lvlText w:val="%1)"/>
      <w:lvlJc w:val="left"/>
      <w:pPr>
        <w:ind w:left="2689" w:hanging="360"/>
      </w:pPr>
    </w:lvl>
    <w:lvl w:ilvl="1" w:tplc="FFFFFFFF" w:tentative="1">
      <w:start w:val="1"/>
      <w:numFmt w:val="lowerLetter"/>
      <w:lvlText w:val="%2."/>
      <w:lvlJc w:val="left"/>
      <w:pPr>
        <w:ind w:left="3409" w:hanging="360"/>
      </w:pPr>
    </w:lvl>
    <w:lvl w:ilvl="2" w:tplc="FFFFFFFF" w:tentative="1">
      <w:start w:val="1"/>
      <w:numFmt w:val="lowerRoman"/>
      <w:lvlText w:val="%3."/>
      <w:lvlJc w:val="right"/>
      <w:pPr>
        <w:ind w:left="4129" w:hanging="180"/>
      </w:pPr>
    </w:lvl>
    <w:lvl w:ilvl="3" w:tplc="FFFFFFFF" w:tentative="1">
      <w:start w:val="1"/>
      <w:numFmt w:val="decimal"/>
      <w:lvlText w:val="%4."/>
      <w:lvlJc w:val="left"/>
      <w:pPr>
        <w:ind w:left="4849" w:hanging="360"/>
      </w:pPr>
    </w:lvl>
    <w:lvl w:ilvl="4" w:tplc="FFFFFFFF" w:tentative="1">
      <w:start w:val="1"/>
      <w:numFmt w:val="lowerLetter"/>
      <w:lvlText w:val="%5."/>
      <w:lvlJc w:val="left"/>
      <w:pPr>
        <w:ind w:left="5569" w:hanging="360"/>
      </w:pPr>
    </w:lvl>
    <w:lvl w:ilvl="5" w:tplc="FFFFFFFF" w:tentative="1">
      <w:start w:val="1"/>
      <w:numFmt w:val="lowerRoman"/>
      <w:lvlText w:val="%6."/>
      <w:lvlJc w:val="right"/>
      <w:pPr>
        <w:ind w:left="6289" w:hanging="180"/>
      </w:pPr>
    </w:lvl>
    <w:lvl w:ilvl="6" w:tplc="FFFFFFFF" w:tentative="1">
      <w:start w:val="1"/>
      <w:numFmt w:val="decimal"/>
      <w:lvlText w:val="%7."/>
      <w:lvlJc w:val="left"/>
      <w:pPr>
        <w:ind w:left="7009" w:hanging="360"/>
      </w:pPr>
    </w:lvl>
    <w:lvl w:ilvl="7" w:tplc="FFFFFFFF" w:tentative="1">
      <w:start w:val="1"/>
      <w:numFmt w:val="lowerLetter"/>
      <w:lvlText w:val="%8."/>
      <w:lvlJc w:val="left"/>
      <w:pPr>
        <w:ind w:left="7729" w:hanging="360"/>
      </w:pPr>
    </w:lvl>
    <w:lvl w:ilvl="8" w:tplc="FFFFFFFF" w:tentative="1">
      <w:start w:val="1"/>
      <w:numFmt w:val="lowerRoman"/>
      <w:lvlText w:val="%9."/>
      <w:lvlJc w:val="right"/>
      <w:pPr>
        <w:ind w:left="8449" w:hanging="180"/>
      </w:pPr>
    </w:lvl>
  </w:abstractNum>
  <w:abstractNum w:abstractNumId="235" w15:restartNumberingAfterBreak="0">
    <w:nsid w:val="72DF37CC"/>
    <w:multiLevelType w:val="hybridMultilevel"/>
    <w:tmpl w:val="0B4EEA90"/>
    <w:lvl w:ilvl="0" w:tplc="FFFFFFFF">
      <w:start w:val="1"/>
      <w:numFmt w:val="lowerLetter"/>
      <w:lvlText w:val="%1)"/>
      <w:lvlJc w:val="left"/>
      <w:pPr>
        <w:ind w:left="2376"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6" w15:restartNumberingAfterBreak="0">
    <w:nsid w:val="72FA324A"/>
    <w:multiLevelType w:val="hybridMultilevel"/>
    <w:tmpl w:val="03B21A38"/>
    <w:lvl w:ilvl="0" w:tplc="FFFFFFFF">
      <w:start w:val="1"/>
      <w:numFmt w:val="lowerLetter"/>
      <w:lvlText w:val="(%1)"/>
      <w:lvlJc w:val="left"/>
      <w:pPr>
        <w:ind w:left="3090" w:hanging="360"/>
      </w:pPr>
      <w:rPr>
        <w:rFonts w:hint="default"/>
        <w:color w:val="auto"/>
        <w:sz w:val="24"/>
      </w:rPr>
    </w:lvl>
    <w:lvl w:ilvl="1" w:tplc="FFFFFFFF" w:tentative="1">
      <w:start w:val="1"/>
      <w:numFmt w:val="lowerLetter"/>
      <w:lvlText w:val="%2."/>
      <w:lvlJc w:val="left"/>
      <w:pPr>
        <w:ind w:left="3810" w:hanging="360"/>
      </w:pPr>
    </w:lvl>
    <w:lvl w:ilvl="2" w:tplc="FFFFFFFF" w:tentative="1">
      <w:start w:val="1"/>
      <w:numFmt w:val="lowerRoman"/>
      <w:lvlText w:val="%3."/>
      <w:lvlJc w:val="right"/>
      <w:pPr>
        <w:ind w:left="4530" w:hanging="180"/>
      </w:pPr>
    </w:lvl>
    <w:lvl w:ilvl="3" w:tplc="FFFFFFFF" w:tentative="1">
      <w:start w:val="1"/>
      <w:numFmt w:val="decimal"/>
      <w:lvlText w:val="%4."/>
      <w:lvlJc w:val="left"/>
      <w:pPr>
        <w:ind w:left="5250" w:hanging="360"/>
      </w:pPr>
    </w:lvl>
    <w:lvl w:ilvl="4" w:tplc="FFFFFFFF" w:tentative="1">
      <w:start w:val="1"/>
      <w:numFmt w:val="lowerLetter"/>
      <w:lvlText w:val="%5."/>
      <w:lvlJc w:val="left"/>
      <w:pPr>
        <w:ind w:left="5970" w:hanging="360"/>
      </w:pPr>
    </w:lvl>
    <w:lvl w:ilvl="5" w:tplc="FFFFFFFF" w:tentative="1">
      <w:start w:val="1"/>
      <w:numFmt w:val="lowerRoman"/>
      <w:lvlText w:val="%6."/>
      <w:lvlJc w:val="right"/>
      <w:pPr>
        <w:ind w:left="6690" w:hanging="180"/>
      </w:pPr>
    </w:lvl>
    <w:lvl w:ilvl="6" w:tplc="FFFFFFFF" w:tentative="1">
      <w:start w:val="1"/>
      <w:numFmt w:val="decimal"/>
      <w:lvlText w:val="%7."/>
      <w:lvlJc w:val="left"/>
      <w:pPr>
        <w:ind w:left="7410" w:hanging="360"/>
      </w:pPr>
    </w:lvl>
    <w:lvl w:ilvl="7" w:tplc="FFFFFFFF" w:tentative="1">
      <w:start w:val="1"/>
      <w:numFmt w:val="lowerLetter"/>
      <w:lvlText w:val="%8."/>
      <w:lvlJc w:val="left"/>
      <w:pPr>
        <w:ind w:left="8130" w:hanging="360"/>
      </w:pPr>
    </w:lvl>
    <w:lvl w:ilvl="8" w:tplc="FFFFFFFF" w:tentative="1">
      <w:start w:val="1"/>
      <w:numFmt w:val="lowerRoman"/>
      <w:lvlText w:val="%9."/>
      <w:lvlJc w:val="right"/>
      <w:pPr>
        <w:ind w:left="8850" w:hanging="180"/>
      </w:pPr>
    </w:lvl>
  </w:abstractNum>
  <w:abstractNum w:abstractNumId="237" w15:restartNumberingAfterBreak="0">
    <w:nsid w:val="748430E9"/>
    <w:multiLevelType w:val="hybridMultilevel"/>
    <w:tmpl w:val="06AA07EC"/>
    <w:lvl w:ilvl="0" w:tplc="FFFFFFFF">
      <w:start w:val="1"/>
      <w:numFmt w:val="lowerLetter"/>
      <w:lvlText w:val="%1)"/>
      <w:lvlJc w:val="left"/>
      <w:pPr>
        <w:ind w:left="2203" w:hanging="360"/>
      </w:pPr>
      <w:rPr>
        <w:rFonts w:hint="default"/>
      </w:rPr>
    </w:lvl>
    <w:lvl w:ilvl="1" w:tplc="FFFFFFFF" w:tentative="1">
      <w:start w:val="1"/>
      <w:numFmt w:val="bullet"/>
      <w:lvlText w:val="o"/>
      <w:lvlJc w:val="left"/>
      <w:pPr>
        <w:ind w:left="2923" w:hanging="360"/>
      </w:pPr>
      <w:rPr>
        <w:rFonts w:ascii="Courier New" w:hAnsi="Courier New" w:cs="Courier New" w:hint="default"/>
      </w:rPr>
    </w:lvl>
    <w:lvl w:ilvl="2" w:tplc="FFFFFFFF" w:tentative="1">
      <w:start w:val="1"/>
      <w:numFmt w:val="bullet"/>
      <w:lvlText w:val=""/>
      <w:lvlJc w:val="left"/>
      <w:pPr>
        <w:ind w:left="3643" w:hanging="360"/>
      </w:pPr>
      <w:rPr>
        <w:rFonts w:ascii="Wingdings" w:hAnsi="Wingdings" w:hint="default"/>
      </w:rPr>
    </w:lvl>
    <w:lvl w:ilvl="3" w:tplc="FFFFFFFF" w:tentative="1">
      <w:start w:val="1"/>
      <w:numFmt w:val="bullet"/>
      <w:lvlText w:val=""/>
      <w:lvlJc w:val="left"/>
      <w:pPr>
        <w:ind w:left="4363" w:hanging="360"/>
      </w:pPr>
      <w:rPr>
        <w:rFonts w:ascii="Symbol" w:hAnsi="Symbol" w:hint="default"/>
      </w:rPr>
    </w:lvl>
    <w:lvl w:ilvl="4" w:tplc="FFFFFFFF" w:tentative="1">
      <w:start w:val="1"/>
      <w:numFmt w:val="bullet"/>
      <w:lvlText w:val="o"/>
      <w:lvlJc w:val="left"/>
      <w:pPr>
        <w:ind w:left="5083" w:hanging="360"/>
      </w:pPr>
      <w:rPr>
        <w:rFonts w:ascii="Courier New" w:hAnsi="Courier New" w:cs="Courier New" w:hint="default"/>
      </w:rPr>
    </w:lvl>
    <w:lvl w:ilvl="5" w:tplc="FFFFFFFF" w:tentative="1">
      <w:start w:val="1"/>
      <w:numFmt w:val="bullet"/>
      <w:lvlText w:val=""/>
      <w:lvlJc w:val="left"/>
      <w:pPr>
        <w:ind w:left="5803" w:hanging="360"/>
      </w:pPr>
      <w:rPr>
        <w:rFonts w:ascii="Wingdings" w:hAnsi="Wingdings" w:hint="default"/>
      </w:rPr>
    </w:lvl>
    <w:lvl w:ilvl="6" w:tplc="FFFFFFFF" w:tentative="1">
      <w:start w:val="1"/>
      <w:numFmt w:val="bullet"/>
      <w:lvlText w:val=""/>
      <w:lvlJc w:val="left"/>
      <w:pPr>
        <w:ind w:left="6523" w:hanging="360"/>
      </w:pPr>
      <w:rPr>
        <w:rFonts w:ascii="Symbol" w:hAnsi="Symbol" w:hint="default"/>
      </w:rPr>
    </w:lvl>
    <w:lvl w:ilvl="7" w:tplc="FFFFFFFF" w:tentative="1">
      <w:start w:val="1"/>
      <w:numFmt w:val="bullet"/>
      <w:lvlText w:val="o"/>
      <w:lvlJc w:val="left"/>
      <w:pPr>
        <w:ind w:left="7243" w:hanging="360"/>
      </w:pPr>
      <w:rPr>
        <w:rFonts w:ascii="Courier New" w:hAnsi="Courier New" w:cs="Courier New" w:hint="default"/>
      </w:rPr>
    </w:lvl>
    <w:lvl w:ilvl="8" w:tplc="FFFFFFFF" w:tentative="1">
      <w:start w:val="1"/>
      <w:numFmt w:val="bullet"/>
      <w:lvlText w:val=""/>
      <w:lvlJc w:val="left"/>
      <w:pPr>
        <w:ind w:left="7963" w:hanging="360"/>
      </w:pPr>
      <w:rPr>
        <w:rFonts w:ascii="Wingdings" w:hAnsi="Wingdings" w:hint="default"/>
      </w:rPr>
    </w:lvl>
  </w:abstractNum>
  <w:abstractNum w:abstractNumId="238" w15:restartNumberingAfterBreak="0">
    <w:nsid w:val="752C66DB"/>
    <w:multiLevelType w:val="hybridMultilevel"/>
    <w:tmpl w:val="285E170C"/>
    <w:lvl w:ilvl="0" w:tplc="E5AE02C8">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239" w15:restartNumberingAfterBreak="0">
    <w:nsid w:val="754062B6"/>
    <w:multiLevelType w:val="hybridMultilevel"/>
    <w:tmpl w:val="5720D89C"/>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0" w15:restartNumberingAfterBreak="0">
    <w:nsid w:val="75A46A7C"/>
    <w:multiLevelType w:val="hybridMultilevel"/>
    <w:tmpl w:val="7B48E7D0"/>
    <w:lvl w:ilvl="0" w:tplc="04090011">
      <w:start w:val="1"/>
      <w:numFmt w:val="decimal"/>
      <w:lvlText w:val="%1)"/>
      <w:lvlJc w:val="left"/>
      <w:pPr>
        <w:ind w:left="2487" w:hanging="360"/>
      </w:pPr>
      <w:rPr>
        <w:rFonts w:hint="default"/>
        <w:i w:val="0"/>
        <w:strike w:val="0"/>
        <w:color w:val="auto"/>
        <w:kern w:val="24"/>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41" w15:restartNumberingAfterBreak="0">
    <w:nsid w:val="75A62317"/>
    <w:multiLevelType w:val="multilevel"/>
    <w:tmpl w:val="1B388F02"/>
    <w:styleLink w:val="CurrentList2"/>
    <w:lvl w:ilvl="0">
      <w:start w:val="1"/>
      <w:numFmt w:val="lowerLetter"/>
      <w:lvlText w:val="%1."/>
      <w:lvlJc w:val="left"/>
      <w:pPr>
        <w:ind w:left="1627" w:hanging="360"/>
      </w:pPr>
      <w:rPr>
        <w:rFonts w:hint="default"/>
      </w:rPr>
    </w:lvl>
    <w:lvl w:ilvl="1">
      <w:start w:val="1"/>
      <w:numFmt w:val="lowerLetter"/>
      <w:lvlText w:val="%2."/>
      <w:lvlJc w:val="left"/>
      <w:pPr>
        <w:ind w:left="2347" w:hanging="360"/>
      </w:pPr>
    </w:lvl>
    <w:lvl w:ilvl="2">
      <w:start w:val="1"/>
      <w:numFmt w:val="lowerRoman"/>
      <w:lvlText w:val="%3."/>
      <w:lvlJc w:val="right"/>
      <w:pPr>
        <w:ind w:left="3067" w:hanging="180"/>
      </w:pPr>
    </w:lvl>
    <w:lvl w:ilvl="3">
      <w:start w:val="1"/>
      <w:numFmt w:val="decimal"/>
      <w:lvlText w:val="%4."/>
      <w:lvlJc w:val="left"/>
      <w:pPr>
        <w:ind w:left="3787" w:hanging="360"/>
      </w:pPr>
    </w:lvl>
    <w:lvl w:ilvl="4">
      <w:start w:val="1"/>
      <w:numFmt w:val="lowerLetter"/>
      <w:lvlText w:val="%5."/>
      <w:lvlJc w:val="left"/>
      <w:pPr>
        <w:ind w:left="4507" w:hanging="360"/>
      </w:pPr>
    </w:lvl>
    <w:lvl w:ilvl="5">
      <w:start w:val="1"/>
      <w:numFmt w:val="lowerRoman"/>
      <w:lvlText w:val="%6."/>
      <w:lvlJc w:val="right"/>
      <w:pPr>
        <w:ind w:left="5227" w:hanging="180"/>
      </w:pPr>
    </w:lvl>
    <w:lvl w:ilvl="6">
      <w:start w:val="1"/>
      <w:numFmt w:val="decimal"/>
      <w:lvlText w:val="%7."/>
      <w:lvlJc w:val="left"/>
      <w:pPr>
        <w:ind w:left="5947" w:hanging="360"/>
      </w:pPr>
    </w:lvl>
    <w:lvl w:ilvl="7">
      <w:start w:val="1"/>
      <w:numFmt w:val="lowerLetter"/>
      <w:lvlText w:val="%8."/>
      <w:lvlJc w:val="left"/>
      <w:pPr>
        <w:ind w:left="6667" w:hanging="360"/>
      </w:pPr>
    </w:lvl>
    <w:lvl w:ilvl="8">
      <w:start w:val="1"/>
      <w:numFmt w:val="lowerRoman"/>
      <w:lvlText w:val="%9."/>
      <w:lvlJc w:val="right"/>
      <w:pPr>
        <w:ind w:left="7387" w:hanging="180"/>
      </w:pPr>
    </w:lvl>
  </w:abstractNum>
  <w:abstractNum w:abstractNumId="242" w15:restartNumberingAfterBreak="0">
    <w:nsid w:val="75F20B6D"/>
    <w:multiLevelType w:val="hybridMultilevel"/>
    <w:tmpl w:val="190674AC"/>
    <w:lvl w:ilvl="0" w:tplc="FFFFFFFF">
      <w:start w:val="1"/>
      <w:numFmt w:val="decimal"/>
      <w:lvlText w:val="(%1)"/>
      <w:lvlJc w:val="left"/>
      <w:pPr>
        <w:ind w:left="2736" w:hanging="360"/>
      </w:pPr>
      <w:rPr>
        <w:rFonts w:hint="default"/>
        <w:color w:val="auto"/>
      </w:rPr>
    </w:lvl>
    <w:lvl w:ilvl="1" w:tplc="FFFFFFFF" w:tentative="1">
      <w:start w:val="1"/>
      <w:numFmt w:val="lowerLetter"/>
      <w:lvlText w:val="%2."/>
      <w:lvlJc w:val="left"/>
      <w:pPr>
        <w:ind w:left="3456" w:hanging="360"/>
      </w:pPr>
    </w:lvl>
    <w:lvl w:ilvl="2" w:tplc="FFFFFFFF" w:tentative="1">
      <w:start w:val="1"/>
      <w:numFmt w:val="lowerRoman"/>
      <w:lvlText w:val="%3."/>
      <w:lvlJc w:val="right"/>
      <w:pPr>
        <w:ind w:left="4176" w:hanging="180"/>
      </w:pPr>
    </w:lvl>
    <w:lvl w:ilvl="3" w:tplc="FFFFFFFF" w:tentative="1">
      <w:start w:val="1"/>
      <w:numFmt w:val="decimal"/>
      <w:lvlText w:val="%4."/>
      <w:lvlJc w:val="left"/>
      <w:pPr>
        <w:ind w:left="4896" w:hanging="360"/>
      </w:pPr>
    </w:lvl>
    <w:lvl w:ilvl="4" w:tplc="FFFFFFFF" w:tentative="1">
      <w:start w:val="1"/>
      <w:numFmt w:val="lowerLetter"/>
      <w:lvlText w:val="%5."/>
      <w:lvlJc w:val="left"/>
      <w:pPr>
        <w:ind w:left="5616" w:hanging="360"/>
      </w:pPr>
    </w:lvl>
    <w:lvl w:ilvl="5" w:tplc="FFFFFFFF" w:tentative="1">
      <w:start w:val="1"/>
      <w:numFmt w:val="lowerRoman"/>
      <w:lvlText w:val="%6."/>
      <w:lvlJc w:val="right"/>
      <w:pPr>
        <w:ind w:left="6336" w:hanging="180"/>
      </w:pPr>
    </w:lvl>
    <w:lvl w:ilvl="6" w:tplc="FFFFFFFF" w:tentative="1">
      <w:start w:val="1"/>
      <w:numFmt w:val="decimal"/>
      <w:lvlText w:val="%7."/>
      <w:lvlJc w:val="left"/>
      <w:pPr>
        <w:ind w:left="7056" w:hanging="360"/>
      </w:pPr>
    </w:lvl>
    <w:lvl w:ilvl="7" w:tplc="FFFFFFFF" w:tentative="1">
      <w:start w:val="1"/>
      <w:numFmt w:val="lowerLetter"/>
      <w:lvlText w:val="%8."/>
      <w:lvlJc w:val="left"/>
      <w:pPr>
        <w:ind w:left="7776" w:hanging="360"/>
      </w:pPr>
    </w:lvl>
    <w:lvl w:ilvl="8" w:tplc="FFFFFFFF" w:tentative="1">
      <w:start w:val="1"/>
      <w:numFmt w:val="lowerRoman"/>
      <w:lvlText w:val="%9."/>
      <w:lvlJc w:val="right"/>
      <w:pPr>
        <w:ind w:left="8496" w:hanging="180"/>
      </w:pPr>
    </w:lvl>
  </w:abstractNum>
  <w:abstractNum w:abstractNumId="243" w15:restartNumberingAfterBreak="0">
    <w:nsid w:val="75F57ABA"/>
    <w:multiLevelType w:val="hybridMultilevel"/>
    <w:tmpl w:val="190674AC"/>
    <w:lvl w:ilvl="0" w:tplc="45AE9AF6">
      <w:start w:val="1"/>
      <w:numFmt w:val="decimal"/>
      <w:lvlText w:val="(%1)"/>
      <w:lvlJc w:val="left"/>
      <w:pPr>
        <w:ind w:left="2736" w:hanging="360"/>
      </w:pPr>
      <w:rPr>
        <w:rFonts w:hint="default"/>
        <w:color w:val="auto"/>
      </w:rPr>
    </w:lvl>
    <w:lvl w:ilvl="1" w:tplc="04090019" w:tentative="1">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244" w15:restartNumberingAfterBreak="0">
    <w:nsid w:val="760609EE"/>
    <w:multiLevelType w:val="hybridMultilevel"/>
    <w:tmpl w:val="F832411C"/>
    <w:lvl w:ilvl="0" w:tplc="7622778C">
      <w:start w:val="1"/>
      <w:numFmt w:val="decimal"/>
      <w:lvlText w:val="%1."/>
      <w:lvlJc w:val="left"/>
      <w:pPr>
        <w:ind w:left="1627" w:hanging="360"/>
      </w:pPr>
      <w:rPr>
        <w:color w:val="auto"/>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45" w15:restartNumberingAfterBreak="0">
    <w:nsid w:val="76CB25EA"/>
    <w:multiLevelType w:val="hybridMultilevel"/>
    <w:tmpl w:val="F9A6FE60"/>
    <w:lvl w:ilvl="0" w:tplc="9F2A96CE">
      <w:start w:val="1"/>
      <w:numFmt w:val="decimal"/>
      <w:lvlText w:val="%1."/>
      <w:lvlJc w:val="left"/>
      <w:pPr>
        <w:ind w:left="1284" w:hanging="360"/>
      </w:pPr>
      <w:rPr>
        <w:rFonts w:hint="default"/>
      </w:rPr>
    </w:lvl>
    <w:lvl w:ilvl="1" w:tplc="38090019" w:tentative="1">
      <w:start w:val="1"/>
      <w:numFmt w:val="lowerLetter"/>
      <w:lvlText w:val="%2."/>
      <w:lvlJc w:val="left"/>
      <w:pPr>
        <w:ind w:left="2004" w:hanging="360"/>
      </w:pPr>
    </w:lvl>
    <w:lvl w:ilvl="2" w:tplc="3809001B" w:tentative="1">
      <w:start w:val="1"/>
      <w:numFmt w:val="lowerRoman"/>
      <w:lvlText w:val="%3."/>
      <w:lvlJc w:val="right"/>
      <w:pPr>
        <w:ind w:left="2724" w:hanging="180"/>
      </w:pPr>
    </w:lvl>
    <w:lvl w:ilvl="3" w:tplc="3809000F" w:tentative="1">
      <w:start w:val="1"/>
      <w:numFmt w:val="decimal"/>
      <w:lvlText w:val="%4."/>
      <w:lvlJc w:val="left"/>
      <w:pPr>
        <w:ind w:left="3444" w:hanging="360"/>
      </w:pPr>
    </w:lvl>
    <w:lvl w:ilvl="4" w:tplc="38090019" w:tentative="1">
      <w:start w:val="1"/>
      <w:numFmt w:val="lowerLetter"/>
      <w:lvlText w:val="%5."/>
      <w:lvlJc w:val="left"/>
      <w:pPr>
        <w:ind w:left="4164" w:hanging="360"/>
      </w:pPr>
    </w:lvl>
    <w:lvl w:ilvl="5" w:tplc="3809001B" w:tentative="1">
      <w:start w:val="1"/>
      <w:numFmt w:val="lowerRoman"/>
      <w:lvlText w:val="%6."/>
      <w:lvlJc w:val="right"/>
      <w:pPr>
        <w:ind w:left="4884" w:hanging="180"/>
      </w:pPr>
    </w:lvl>
    <w:lvl w:ilvl="6" w:tplc="3809000F" w:tentative="1">
      <w:start w:val="1"/>
      <w:numFmt w:val="decimal"/>
      <w:lvlText w:val="%7."/>
      <w:lvlJc w:val="left"/>
      <w:pPr>
        <w:ind w:left="5604" w:hanging="360"/>
      </w:pPr>
    </w:lvl>
    <w:lvl w:ilvl="7" w:tplc="38090019" w:tentative="1">
      <w:start w:val="1"/>
      <w:numFmt w:val="lowerLetter"/>
      <w:lvlText w:val="%8."/>
      <w:lvlJc w:val="left"/>
      <w:pPr>
        <w:ind w:left="6324" w:hanging="360"/>
      </w:pPr>
    </w:lvl>
    <w:lvl w:ilvl="8" w:tplc="3809001B" w:tentative="1">
      <w:start w:val="1"/>
      <w:numFmt w:val="lowerRoman"/>
      <w:lvlText w:val="%9."/>
      <w:lvlJc w:val="right"/>
      <w:pPr>
        <w:ind w:left="7044" w:hanging="180"/>
      </w:pPr>
    </w:lvl>
  </w:abstractNum>
  <w:abstractNum w:abstractNumId="246" w15:restartNumberingAfterBreak="0">
    <w:nsid w:val="76E922FD"/>
    <w:multiLevelType w:val="hybridMultilevel"/>
    <w:tmpl w:val="67163EA8"/>
    <w:lvl w:ilvl="0" w:tplc="FFFFFFFF">
      <w:start w:val="1"/>
      <w:numFmt w:val="lowerLetter"/>
      <w:lvlText w:val="%1."/>
      <w:lvlJc w:val="left"/>
      <w:pPr>
        <w:ind w:left="1636" w:hanging="360"/>
      </w:pPr>
      <w:rPr>
        <w:color w:val="auto"/>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247" w15:restartNumberingAfterBreak="0">
    <w:nsid w:val="78342B39"/>
    <w:multiLevelType w:val="hybridMultilevel"/>
    <w:tmpl w:val="189EBA6C"/>
    <w:lvl w:ilvl="0" w:tplc="04090019">
      <w:start w:val="1"/>
      <w:numFmt w:val="lowerLetter"/>
      <w:lvlText w:val="%1."/>
      <w:lvlJc w:val="left"/>
      <w:pPr>
        <w:ind w:left="1647" w:hanging="360"/>
      </w:pPr>
      <w:rPr>
        <w:rFonts w:hint="default"/>
        <w:color w:val="000000" w:themeColor="text1"/>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48" w15:restartNumberingAfterBreak="0">
    <w:nsid w:val="78AC41A5"/>
    <w:multiLevelType w:val="hybridMultilevel"/>
    <w:tmpl w:val="B49C3FD8"/>
    <w:lvl w:ilvl="0" w:tplc="04090019">
      <w:start w:val="1"/>
      <w:numFmt w:val="lowerLetter"/>
      <w:lvlText w:val="%1."/>
      <w:lvlJc w:val="left"/>
      <w:pPr>
        <w:ind w:left="2280" w:hanging="360"/>
      </w:pPr>
    </w:lvl>
    <w:lvl w:ilvl="1" w:tplc="38090019">
      <w:start w:val="1"/>
      <w:numFmt w:val="lowerLetter"/>
      <w:lvlText w:val="%2."/>
      <w:lvlJc w:val="left"/>
      <w:pPr>
        <w:ind w:left="3000" w:hanging="360"/>
      </w:pPr>
    </w:lvl>
    <w:lvl w:ilvl="2" w:tplc="3809001B">
      <w:start w:val="1"/>
      <w:numFmt w:val="lowerRoman"/>
      <w:lvlText w:val="%3."/>
      <w:lvlJc w:val="right"/>
      <w:pPr>
        <w:ind w:left="3720" w:hanging="180"/>
      </w:pPr>
    </w:lvl>
    <w:lvl w:ilvl="3" w:tplc="04090019">
      <w:start w:val="1"/>
      <w:numFmt w:val="lowerLetter"/>
      <w:lvlText w:val="%4."/>
      <w:lvlJc w:val="left"/>
      <w:pPr>
        <w:ind w:left="2002" w:hanging="360"/>
      </w:pPr>
      <w:rPr>
        <w:rFonts w:hint="default"/>
        <w:color w:val="auto"/>
        <w:sz w:val="24"/>
      </w:rPr>
    </w:lvl>
    <w:lvl w:ilvl="4" w:tplc="9C641E9C">
      <w:start w:val="1"/>
      <w:numFmt w:val="decimal"/>
      <w:lvlText w:val="%5)"/>
      <w:lvlJc w:val="left"/>
      <w:pPr>
        <w:ind w:left="5160" w:hanging="360"/>
      </w:pPr>
      <w:rPr>
        <w:rFonts w:hint="default"/>
      </w:rPr>
    </w:lvl>
    <w:lvl w:ilvl="5" w:tplc="04090017">
      <w:start w:val="1"/>
      <w:numFmt w:val="lowerLetter"/>
      <w:lvlText w:val="%6)"/>
      <w:lvlJc w:val="left"/>
      <w:pPr>
        <w:ind w:left="2487" w:hanging="360"/>
      </w:pPr>
      <w:rPr>
        <w:rFonts w:hint="default"/>
        <w:i w:val="0"/>
        <w:strike w:val="0"/>
        <w:color w:val="auto"/>
        <w:kern w:val="24"/>
        <w:sz w:val="24"/>
        <w:szCs w:val="24"/>
      </w:r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249" w15:restartNumberingAfterBreak="0">
    <w:nsid w:val="78D96E87"/>
    <w:multiLevelType w:val="hybridMultilevel"/>
    <w:tmpl w:val="17743A5C"/>
    <w:lvl w:ilvl="0" w:tplc="DB7CDF64">
      <w:start w:val="1"/>
      <w:numFmt w:val="lowerLetter"/>
      <w:lvlText w:val="(%1)"/>
      <w:lvlJc w:val="left"/>
      <w:pPr>
        <w:ind w:left="3119" w:hanging="360"/>
      </w:pPr>
      <w:rPr>
        <w:rFonts w:cs="Times New Roman" w:hint="default"/>
        <w:i w:val="0"/>
        <w:strike w:val="0"/>
        <w:color w:val="auto"/>
        <w:kern w:val="24"/>
      </w:rPr>
    </w:lvl>
    <w:lvl w:ilvl="1" w:tplc="04090019" w:tentative="1">
      <w:start w:val="1"/>
      <w:numFmt w:val="lowerLetter"/>
      <w:lvlText w:val="%2."/>
      <w:lvlJc w:val="left"/>
      <w:pPr>
        <w:ind w:left="3839" w:hanging="360"/>
      </w:pPr>
    </w:lvl>
    <w:lvl w:ilvl="2" w:tplc="0409001B" w:tentative="1">
      <w:start w:val="1"/>
      <w:numFmt w:val="lowerRoman"/>
      <w:lvlText w:val="%3."/>
      <w:lvlJc w:val="right"/>
      <w:pPr>
        <w:ind w:left="4559" w:hanging="180"/>
      </w:pPr>
    </w:lvl>
    <w:lvl w:ilvl="3" w:tplc="0409000F" w:tentative="1">
      <w:start w:val="1"/>
      <w:numFmt w:val="decimal"/>
      <w:lvlText w:val="%4."/>
      <w:lvlJc w:val="left"/>
      <w:pPr>
        <w:ind w:left="5279" w:hanging="360"/>
      </w:pPr>
    </w:lvl>
    <w:lvl w:ilvl="4" w:tplc="04090019" w:tentative="1">
      <w:start w:val="1"/>
      <w:numFmt w:val="lowerLetter"/>
      <w:lvlText w:val="%5."/>
      <w:lvlJc w:val="left"/>
      <w:pPr>
        <w:ind w:left="5999" w:hanging="360"/>
      </w:pPr>
    </w:lvl>
    <w:lvl w:ilvl="5" w:tplc="0409001B" w:tentative="1">
      <w:start w:val="1"/>
      <w:numFmt w:val="lowerRoman"/>
      <w:lvlText w:val="%6."/>
      <w:lvlJc w:val="right"/>
      <w:pPr>
        <w:ind w:left="6719" w:hanging="180"/>
      </w:pPr>
    </w:lvl>
    <w:lvl w:ilvl="6" w:tplc="0409000F" w:tentative="1">
      <w:start w:val="1"/>
      <w:numFmt w:val="decimal"/>
      <w:lvlText w:val="%7."/>
      <w:lvlJc w:val="left"/>
      <w:pPr>
        <w:ind w:left="7439" w:hanging="360"/>
      </w:pPr>
    </w:lvl>
    <w:lvl w:ilvl="7" w:tplc="04090019" w:tentative="1">
      <w:start w:val="1"/>
      <w:numFmt w:val="lowerLetter"/>
      <w:lvlText w:val="%8."/>
      <w:lvlJc w:val="left"/>
      <w:pPr>
        <w:ind w:left="8159" w:hanging="360"/>
      </w:pPr>
    </w:lvl>
    <w:lvl w:ilvl="8" w:tplc="0409001B" w:tentative="1">
      <w:start w:val="1"/>
      <w:numFmt w:val="lowerRoman"/>
      <w:lvlText w:val="%9."/>
      <w:lvlJc w:val="right"/>
      <w:pPr>
        <w:ind w:left="8879" w:hanging="180"/>
      </w:pPr>
    </w:lvl>
  </w:abstractNum>
  <w:abstractNum w:abstractNumId="250" w15:restartNumberingAfterBreak="0">
    <w:nsid w:val="7907466C"/>
    <w:multiLevelType w:val="hybridMultilevel"/>
    <w:tmpl w:val="AEE2A6B4"/>
    <w:lvl w:ilvl="0" w:tplc="B6EAE492">
      <w:start w:val="1"/>
      <w:numFmt w:val="lowerLetter"/>
      <w:lvlText w:val="(%1)"/>
      <w:lvlJc w:val="left"/>
      <w:pPr>
        <w:ind w:left="3090" w:hanging="360"/>
      </w:pPr>
      <w:rPr>
        <w:rFonts w:hint="default"/>
        <w:color w:val="auto"/>
        <w:sz w:val="24"/>
      </w:rPr>
    </w:lvl>
    <w:lvl w:ilvl="1" w:tplc="04090019" w:tentative="1">
      <w:start w:val="1"/>
      <w:numFmt w:val="lowerLetter"/>
      <w:lvlText w:val="%2."/>
      <w:lvlJc w:val="left"/>
      <w:pPr>
        <w:ind w:left="3810" w:hanging="360"/>
      </w:pPr>
    </w:lvl>
    <w:lvl w:ilvl="2" w:tplc="0409001B" w:tentative="1">
      <w:start w:val="1"/>
      <w:numFmt w:val="lowerRoman"/>
      <w:lvlText w:val="%3."/>
      <w:lvlJc w:val="right"/>
      <w:pPr>
        <w:ind w:left="4530" w:hanging="180"/>
      </w:pPr>
    </w:lvl>
    <w:lvl w:ilvl="3" w:tplc="0409000F" w:tentative="1">
      <w:start w:val="1"/>
      <w:numFmt w:val="decimal"/>
      <w:lvlText w:val="%4."/>
      <w:lvlJc w:val="left"/>
      <w:pPr>
        <w:ind w:left="5250" w:hanging="360"/>
      </w:pPr>
    </w:lvl>
    <w:lvl w:ilvl="4" w:tplc="04090019" w:tentative="1">
      <w:start w:val="1"/>
      <w:numFmt w:val="lowerLetter"/>
      <w:lvlText w:val="%5."/>
      <w:lvlJc w:val="left"/>
      <w:pPr>
        <w:ind w:left="5970" w:hanging="360"/>
      </w:pPr>
    </w:lvl>
    <w:lvl w:ilvl="5" w:tplc="0409001B" w:tentative="1">
      <w:start w:val="1"/>
      <w:numFmt w:val="lowerRoman"/>
      <w:lvlText w:val="%6."/>
      <w:lvlJc w:val="right"/>
      <w:pPr>
        <w:ind w:left="6690" w:hanging="180"/>
      </w:pPr>
    </w:lvl>
    <w:lvl w:ilvl="6" w:tplc="0409000F" w:tentative="1">
      <w:start w:val="1"/>
      <w:numFmt w:val="decimal"/>
      <w:lvlText w:val="%7."/>
      <w:lvlJc w:val="left"/>
      <w:pPr>
        <w:ind w:left="7410" w:hanging="360"/>
      </w:pPr>
    </w:lvl>
    <w:lvl w:ilvl="7" w:tplc="04090019" w:tentative="1">
      <w:start w:val="1"/>
      <w:numFmt w:val="lowerLetter"/>
      <w:lvlText w:val="%8."/>
      <w:lvlJc w:val="left"/>
      <w:pPr>
        <w:ind w:left="8130" w:hanging="360"/>
      </w:pPr>
    </w:lvl>
    <w:lvl w:ilvl="8" w:tplc="0409001B" w:tentative="1">
      <w:start w:val="1"/>
      <w:numFmt w:val="lowerRoman"/>
      <w:lvlText w:val="%9."/>
      <w:lvlJc w:val="right"/>
      <w:pPr>
        <w:ind w:left="8850" w:hanging="180"/>
      </w:pPr>
    </w:lvl>
  </w:abstractNum>
  <w:abstractNum w:abstractNumId="251" w15:restartNumberingAfterBreak="0">
    <w:nsid w:val="79156968"/>
    <w:multiLevelType w:val="hybridMultilevel"/>
    <w:tmpl w:val="E0689096"/>
    <w:lvl w:ilvl="0" w:tplc="F19EE2FE">
      <w:start w:val="1"/>
      <w:numFmt w:val="decimal"/>
      <w:lvlText w:val="%1)"/>
      <w:lvlJc w:val="left"/>
      <w:pPr>
        <w:ind w:left="2010" w:hanging="360"/>
      </w:pPr>
      <w:rPr>
        <w:color w:val="auto"/>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252" w15:restartNumberingAfterBreak="0">
    <w:nsid w:val="79743BE4"/>
    <w:multiLevelType w:val="hybridMultilevel"/>
    <w:tmpl w:val="96BA01A0"/>
    <w:lvl w:ilvl="0" w:tplc="DB7CDF64">
      <w:start w:val="1"/>
      <w:numFmt w:val="lowerLetter"/>
      <w:lvlText w:val="(%1)"/>
      <w:lvlJc w:val="left"/>
      <w:pPr>
        <w:ind w:left="3060" w:hanging="360"/>
      </w:pPr>
      <w:rPr>
        <w:rFonts w:cs="Times New Roman" w:hint="default"/>
        <w:i w:val="0"/>
        <w:strike w:val="0"/>
        <w:color w:val="auto"/>
        <w:kern w:val="24"/>
      </w:rPr>
    </w:lvl>
    <w:lvl w:ilvl="1" w:tplc="FFFFFFFF" w:tentative="1">
      <w:start w:val="1"/>
      <w:numFmt w:val="lowerLetter"/>
      <w:lvlText w:val="%2."/>
      <w:lvlJc w:val="left"/>
      <w:pPr>
        <w:ind w:left="3780" w:hanging="360"/>
      </w:pPr>
    </w:lvl>
    <w:lvl w:ilvl="2" w:tplc="FFFFFFFF" w:tentative="1">
      <w:start w:val="1"/>
      <w:numFmt w:val="lowerRoman"/>
      <w:lvlText w:val="%3."/>
      <w:lvlJc w:val="right"/>
      <w:pPr>
        <w:ind w:left="4500" w:hanging="180"/>
      </w:pPr>
    </w:lvl>
    <w:lvl w:ilvl="3" w:tplc="FFFFFFFF" w:tentative="1">
      <w:start w:val="1"/>
      <w:numFmt w:val="decimal"/>
      <w:lvlText w:val="%4."/>
      <w:lvlJc w:val="left"/>
      <w:pPr>
        <w:ind w:left="5220" w:hanging="360"/>
      </w:pPr>
    </w:lvl>
    <w:lvl w:ilvl="4" w:tplc="FFFFFFFF" w:tentative="1">
      <w:start w:val="1"/>
      <w:numFmt w:val="lowerLetter"/>
      <w:lvlText w:val="%5."/>
      <w:lvlJc w:val="left"/>
      <w:pPr>
        <w:ind w:left="5940" w:hanging="360"/>
      </w:pPr>
    </w:lvl>
    <w:lvl w:ilvl="5" w:tplc="FFFFFFFF" w:tentative="1">
      <w:start w:val="1"/>
      <w:numFmt w:val="lowerRoman"/>
      <w:lvlText w:val="%6."/>
      <w:lvlJc w:val="right"/>
      <w:pPr>
        <w:ind w:left="6660" w:hanging="180"/>
      </w:pPr>
    </w:lvl>
    <w:lvl w:ilvl="6" w:tplc="FFFFFFFF" w:tentative="1">
      <w:start w:val="1"/>
      <w:numFmt w:val="decimal"/>
      <w:lvlText w:val="%7."/>
      <w:lvlJc w:val="left"/>
      <w:pPr>
        <w:ind w:left="7380" w:hanging="360"/>
      </w:pPr>
    </w:lvl>
    <w:lvl w:ilvl="7" w:tplc="FFFFFFFF" w:tentative="1">
      <w:start w:val="1"/>
      <w:numFmt w:val="lowerLetter"/>
      <w:lvlText w:val="%8."/>
      <w:lvlJc w:val="left"/>
      <w:pPr>
        <w:ind w:left="8100" w:hanging="360"/>
      </w:pPr>
    </w:lvl>
    <w:lvl w:ilvl="8" w:tplc="FFFFFFFF" w:tentative="1">
      <w:start w:val="1"/>
      <w:numFmt w:val="lowerRoman"/>
      <w:lvlText w:val="%9."/>
      <w:lvlJc w:val="right"/>
      <w:pPr>
        <w:ind w:left="8820" w:hanging="180"/>
      </w:pPr>
    </w:lvl>
  </w:abstractNum>
  <w:abstractNum w:abstractNumId="253" w15:restartNumberingAfterBreak="0">
    <w:nsid w:val="7B7C250D"/>
    <w:multiLevelType w:val="hybridMultilevel"/>
    <w:tmpl w:val="AC20B848"/>
    <w:lvl w:ilvl="0" w:tplc="6DC24C32">
      <w:start w:val="1"/>
      <w:numFmt w:val="decimal"/>
      <w:lvlText w:val="%1)"/>
      <w:lvlJc w:val="left"/>
      <w:pPr>
        <w:ind w:left="2061" w:hanging="360"/>
      </w:pPr>
      <w:rPr>
        <w:rFonts w:hint="default"/>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254" w15:restartNumberingAfterBreak="0">
    <w:nsid w:val="7C384D70"/>
    <w:multiLevelType w:val="hybridMultilevel"/>
    <w:tmpl w:val="9F32EDE4"/>
    <w:lvl w:ilvl="0" w:tplc="FFFFFFFF">
      <w:start w:val="1"/>
      <w:numFmt w:val="decimal"/>
      <w:lvlText w:val="%1)"/>
      <w:lvlJc w:val="left"/>
      <w:pPr>
        <w:ind w:left="2203" w:hanging="360"/>
      </w:pPr>
      <w:rPr>
        <w:rFonts w:hint="default"/>
      </w:rPr>
    </w:lvl>
    <w:lvl w:ilvl="1" w:tplc="FFFFFFFF" w:tentative="1">
      <w:start w:val="1"/>
      <w:numFmt w:val="bullet"/>
      <w:lvlText w:val="o"/>
      <w:lvlJc w:val="left"/>
      <w:pPr>
        <w:ind w:left="2923" w:hanging="360"/>
      </w:pPr>
      <w:rPr>
        <w:rFonts w:ascii="Courier New" w:hAnsi="Courier New" w:cs="Courier New" w:hint="default"/>
      </w:rPr>
    </w:lvl>
    <w:lvl w:ilvl="2" w:tplc="FFFFFFFF" w:tentative="1">
      <w:start w:val="1"/>
      <w:numFmt w:val="bullet"/>
      <w:lvlText w:val=""/>
      <w:lvlJc w:val="left"/>
      <w:pPr>
        <w:ind w:left="3643" w:hanging="360"/>
      </w:pPr>
      <w:rPr>
        <w:rFonts w:ascii="Wingdings" w:hAnsi="Wingdings" w:hint="default"/>
      </w:rPr>
    </w:lvl>
    <w:lvl w:ilvl="3" w:tplc="FFFFFFFF" w:tentative="1">
      <w:start w:val="1"/>
      <w:numFmt w:val="bullet"/>
      <w:lvlText w:val=""/>
      <w:lvlJc w:val="left"/>
      <w:pPr>
        <w:ind w:left="4363" w:hanging="360"/>
      </w:pPr>
      <w:rPr>
        <w:rFonts w:ascii="Symbol" w:hAnsi="Symbol" w:hint="default"/>
      </w:rPr>
    </w:lvl>
    <w:lvl w:ilvl="4" w:tplc="FFFFFFFF" w:tentative="1">
      <w:start w:val="1"/>
      <w:numFmt w:val="bullet"/>
      <w:lvlText w:val="o"/>
      <w:lvlJc w:val="left"/>
      <w:pPr>
        <w:ind w:left="5083" w:hanging="360"/>
      </w:pPr>
      <w:rPr>
        <w:rFonts w:ascii="Courier New" w:hAnsi="Courier New" w:cs="Courier New" w:hint="default"/>
      </w:rPr>
    </w:lvl>
    <w:lvl w:ilvl="5" w:tplc="FFFFFFFF" w:tentative="1">
      <w:start w:val="1"/>
      <w:numFmt w:val="bullet"/>
      <w:lvlText w:val=""/>
      <w:lvlJc w:val="left"/>
      <w:pPr>
        <w:ind w:left="5803" w:hanging="360"/>
      </w:pPr>
      <w:rPr>
        <w:rFonts w:ascii="Wingdings" w:hAnsi="Wingdings" w:hint="default"/>
      </w:rPr>
    </w:lvl>
    <w:lvl w:ilvl="6" w:tplc="FFFFFFFF" w:tentative="1">
      <w:start w:val="1"/>
      <w:numFmt w:val="bullet"/>
      <w:lvlText w:val=""/>
      <w:lvlJc w:val="left"/>
      <w:pPr>
        <w:ind w:left="6523" w:hanging="360"/>
      </w:pPr>
      <w:rPr>
        <w:rFonts w:ascii="Symbol" w:hAnsi="Symbol" w:hint="default"/>
      </w:rPr>
    </w:lvl>
    <w:lvl w:ilvl="7" w:tplc="FFFFFFFF" w:tentative="1">
      <w:start w:val="1"/>
      <w:numFmt w:val="bullet"/>
      <w:lvlText w:val="o"/>
      <w:lvlJc w:val="left"/>
      <w:pPr>
        <w:ind w:left="7243" w:hanging="360"/>
      </w:pPr>
      <w:rPr>
        <w:rFonts w:ascii="Courier New" w:hAnsi="Courier New" w:cs="Courier New" w:hint="default"/>
      </w:rPr>
    </w:lvl>
    <w:lvl w:ilvl="8" w:tplc="FFFFFFFF" w:tentative="1">
      <w:start w:val="1"/>
      <w:numFmt w:val="bullet"/>
      <w:lvlText w:val=""/>
      <w:lvlJc w:val="left"/>
      <w:pPr>
        <w:ind w:left="7963" w:hanging="360"/>
      </w:pPr>
      <w:rPr>
        <w:rFonts w:ascii="Wingdings" w:hAnsi="Wingdings" w:hint="default"/>
      </w:rPr>
    </w:lvl>
  </w:abstractNum>
  <w:abstractNum w:abstractNumId="255" w15:restartNumberingAfterBreak="0">
    <w:nsid w:val="7C4D6138"/>
    <w:multiLevelType w:val="hybridMultilevel"/>
    <w:tmpl w:val="F6828170"/>
    <w:lvl w:ilvl="0" w:tplc="22A2242C">
      <w:start w:val="1"/>
      <w:numFmt w:val="lowerLetter"/>
      <w:lvlText w:val="%1)"/>
      <w:lvlJc w:val="left"/>
      <w:pPr>
        <w:ind w:left="2370" w:hanging="360"/>
      </w:pPr>
      <w:rPr>
        <w:color w:val="000000" w:themeColor="text1"/>
      </w:rPr>
    </w:lvl>
    <w:lvl w:ilvl="1" w:tplc="04090019">
      <w:start w:val="1"/>
      <w:numFmt w:val="lowerLetter"/>
      <w:lvlText w:val="%2."/>
      <w:lvlJc w:val="left"/>
      <w:pPr>
        <w:ind w:left="3090" w:hanging="360"/>
      </w:pPr>
    </w:lvl>
    <w:lvl w:ilvl="2" w:tplc="0409001B" w:tentative="1">
      <w:start w:val="1"/>
      <w:numFmt w:val="lowerRoman"/>
      <w:lvlText w:val="%3."/>
      <w:lvlJc w:val="right"/>
      <w:pPr>
        <w:ind w:left="3810" w:hanging="180"/>
      </w:pPr>
    </w:lvl>
    <w:lvl w:ilvl="3" w:tplc="0409000F" w:tentative="1">
      <w:start w:val="1"/>
      <w:numFmt w:val="decimal"/>
      <w:lvlText w:val="%4."/>
      <w:lvlJc w:val="left"/>
      <w:pPr>
        <w:ind w:left="4530" w:hanging="360"/>
      </w:pPr>
    </w:lvl>
    <w:lvl w:ilvl="4" w:tplc="04090019" w:tentative="1">
      <w:start w:val="1"/>
      <w:numFmt w:val="lowerLetter"/>
      <w:lvlText w:val="%5."/>
      <w:lvlJc w:val="left"/>
      <w:pPr>
        <w:ind w:left="5250" w:hanging="360"/>
      </w:pPr>
    </w:lvl>
    <w:lvl w:ilvl="5" w:tplc="0409001B" w:tentative="1">
      <w:start w:val="1"/>
      <w:numFmt w:val="lowerRoman"/>
      <w:lvlText w:val="%6."/>
      <w:lvlJc w:val="right"/>
      <w:pPr>
        <w:ind w:left="5970" w:hanging="180"/>
      </w:pPr>
    </w:lvl>
    <w:lvl w:ilvl="6" w:tplc="0409000F" w:tentative="1">
      <w:start w:val="1"/>
      <w:numFmt w:val="decimal"/>
      <w:lvlText w:val="%7."/>
      <w:lvlJc w:val="left"/>
      <w:pPr>
        <w:ind w:left="6690" w:hanging="360"/>
      </w:pPr>
    </w:lvl>
    <w:lvl w:ilvl="7" w:tplc="04090019" w:tentative="1">
      <w:start w:val="1"/>
      <w:numFmt w:val="lowerLetter"/>
      <w:lvlText w:val="%8."/>
      <w:lvlJc w:val="left"/>
      <w:pPr>
        <w:ind w:left="7410" w:hanging="360"/>
      </w:pPr>
    </w:lvl>
    <w:lvl w:ilvl="8" w:tplc="0409001B" w:tentative="1">
      <w:start w:val="1"/>
      <w:numFmt w:val="lowerRoman"/>
      <w:lvlText w:val="%9."/>
      <w:lvlJc w:val="right"/>
      <w:pPr>
        <w:ind w:left="8130" w:hanging="180"/>
      </w:pPr>
    </w:lvl>
  </w:abstractNum>
  <w:abstractNum w:abstractNumId="256" w15:restartNumberingAfterBreak="0">
    <w:nsid w:val="7C523574"/>
    <w:multiLevelType w:val="hybridMultilevel"/>
    <w:tmpl w:val="64744D20"/>
    <w:lvl w:ilvl="0" w:tplc="04090011">
      <w:start w:val="1"/>
      <w:numFmt w:val="decimal"/>
      <w:lvlText w:val="%1)"/>
      <w:lvlJc w:val="left"/>
      <w:pPr>
        <w:ind w:left="2280" w:hanging="360"/>
      </w:pPr>
      <w:rPr>
        <w:rFonts w:hint="default"/>
        <w:i w:val="0"/>
        <w:strike w:val="0"/>
        <w:color w:val="auto"/>
        <w:kern w:val="24"/>
      </w:rPr>
    </w:lvl>
    <w:lvl w:ilvl="1" w:tplc="FFFFFFFF" w:tentative="1">
      <w:start w:val="1"/>
      <w:numFmt w:val="lowerLetter"/>
      <w:lvlText w:val="%2."/>
      <w:lvlJc w:val="left"/>
      <w:pPr>
        <w:ind w:left="3000" w:hanging="360"/>
      </w:pPr>
    </w:lvl>
    <w:lvl w:ilvl="2" w:tplc="FFFFFFFF">
      <w:start w:val="1"/>
      <w:numFmt w:val="lowerRoman"/>
      <w:lvlText w:val="%3."/>
      <w:lvlJc w:val="right"/>
      <w:pPr>
        <w:ind w:left="3720" w:hanging="180"/>
      </w:pPr>
    </w:lvl>
    <w:lvl w:ilvl="3" w:tplc="FFFFFFFF" w:tentative="1">
      <w:start w:val="1"/>
      <w:numFmt w:val="decimal"/>
      <w:lvlText w:val="%4."/>
      <w:lvlJc w:val="left"/>
      <w:pPr>
        <w:ind w:left="4440" w:hanging="360"/>
      </w:pPr>
    </w:lvl>
    <w:lvl w:ilvl="4" w:tplc="FFFFFFFF" w:tentative="1">
      <w:start w:val="1"/>
      <w:numFmt w:val="lowerLetter"/>
      <w:lvlText w:val="%5."/>
      <w:lvlJc w:val="left"/>
      <w:pPr>
        <w:ind w:left="5160" w:hanging="360"/>
      </w:pPr>
    </w:lvl>
    <w:lvl w:ilvl="5" w:tplc="FFFFFFFF" w:tentative="1">
      <w:start w:val="1"/>
      <w:numFmt w:val="lowerRoman"/>
      <w:lvlText w:val="%6."/>
      <w:lvlJc w:val="right"/>
      <w:pPr>
        <w:ind w:left="5880" w:hanging="18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257" w15:restartNumberingAfterBreak="0">
    <w:nsid w:val="7C6B6F94"/>
    <w:multiLevelType w:val="hybridMultilevel"/>
    <w:tmpl w:val="34BC8110"/>
    <w:lvl w:ilvl="0" w:tplc="04090015">
      <w:start w:val="1"/>
      <w:numFmt w:val="upperLetter"/>
      <w:lvlText w:val="%1."/>
      <w:lvlJc w:val="left"/>
      <w:pPr>
        <w:ind w:left="927" w:hanging="360"/>
      </w:pPr>
      <w:rPr>
        <w:rFonts w:cs="Times New Roman" w:hint="default"/>
        <w:color w:val="auto"/>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58" w15:restartNumberingAfterBreak="0">
    <w:nsid w:val="7C9A0048"/>
    <w:multiLevelType w:val="hybridMultilevel"/>
    <w:tmpl w:val="278A5026"/>
    <w:lvl w:ilvl="0" w:tplc="764CE620">
      <w:start w:val="1"/>
      <w:numFmt w:val="lowerLetter"/>
      <w:lvlText w:val="%1)"/>
      <w:lvlJc w:val="left"/>
      <w:pPr>
        <w:ind w:left="2912" w:hanging="360"/>
      </w:pPr>
      <w:rPr>
        <w:rFonts w:hint="default"/>
        <w:color w:val="000000" w:themeColor="text1"/>
      </w:rPr>
    </w:lvl>
    <w:lvl w:ilvl="1" w:tplc="FFFFFFFF" w:tentative="1">
      <w:start w:val="1"/>
      <w:numFmt w:val="lowerLetter"/>
      <w:lvlText w:val="%2."/>
      <w:lvlJc w:val="left"/>
      <w:pPr>
        <w:ind w:left="3632" w:hanging="360"/>
      </w:pPr>
    </w:lvl>
    <w:lvl w:ilvl="2" w:tplc="FFFFFFFF" w:tentative="1">
      <w:start w:val="1"/>
      <w:numFmt w:val="lowerRoman"/>
      <w:lvlText w:val="%3."/>
      <w:lvlJc w:val="right"/>
      <w:pPr>
        <w:ind w:left="4352" w:hanging="180"/>
      </w:pPr>
    </w:lvl>
    <w:lvl w:ilvl="3" w:tplc="FFFFFFFF" w:tentative="1">
      <w:start w:val="1"/>
      <w:numFmt w:val="decimal"/>
      <w:lvlText w:val="%4."/>
      <w:lvlJc w:val="left"/>
      <w:pPr>
        <w:ind w:left="5072" w:hanging="360"/>
      </w:pPr>
    </w:lvl>
    <w:lvl w:ilvl="4" w:tplc="FFFFFFFF" w:tentative="1">
      <w:start w:val="1"/>
      <w:numFmt w:val="lowerLetter"/>
      <w:lvlText w:val="%5."/>
      <w:lvlJc w:val="left"/>
      <w:pPr>
        <w:ind w:left="5792" w:hanging="360"/>
      </w:pPr>
    </w:lvl>
    <w:lvl w:ilvl="5" w:tplc="FFFFFFFF" w:tentative="1">
      <w:start w:val="1"/>
      <w:numFmt w:val="lowerRoman"/>
      <w:lvlText w:val="%6."/>
      <w:lvlJc w:val="right"/>
      <w:pPr>
        <w:ind w:left="6512" w:hanging="180"/>
      </w:pPr>
    </w:lvl>
    <w:lvl w:ilvl="6" w:tplc="FFFFFFFF" w:tentative="1">
      <w:start w:val="1"/>
      <w:numFmt w:val="decimal"/>
      <w:lvlText w:val="%7."/>
      <w:lvlJc w:val="left"/>
      <w:pPr>
        <w:ind w:left="7232" w:hanging="360"/>
      </w:pPr>
    </w:lvl>
    <w:lvl w:ilvl="7" w:tplc="FFFFFFFF" w:tentative="1">
      <w:start w:val="1"/>
      <w:numFmt w:val="lowerLetter"/>
      <w:lvlText w:val="%8."/>
      <w:lvlJc w:val="left"/>
      <w:pPr>
        <w:ind w:left="7952" w:hanging="360"/>
      </w:pPr>
    </w:lvl>
    <w:lvl w:ilvl="8" w:tplc="FFFFFFFF" w:tentative="1">
      <w:start w:val="1"/>
      <w:numFmt w:val="lowerRoman"/>
      <w:lvlText w:val="%9."/>
      <w:lvlJc w:val="right"/>
      <w:pPr>
        <w:ind w:left="8672" w:hanging="180"/>
      </w:pPr>
    </w:lvl>
  </w:abstractNum>
  <w:abstractNum w:abstractNumId="259" w15:restartNumberingAfterBreak="0">
    <w:nsid w:val="7C9D77DB"/>
    <w:multiLevelType w:val="hybridMultilevel"/>
    <w:tmpl w:val="07C4436A"/>
    <w:lvl w:ilvl="0" w:tplc="38090011">
      <w:start w:val="1"/>
      <w:numFmt w:val="decimal"/>
      <w:lvlText w:val="%1)"/>
      <w:lvlJc w:val="left"/>
      <w:pPr>
        <w:ind w:left="1920" w:hanging="360"/>
      </w:pPr>
      <w:rPr>
        <w:rFonts w:hint="default"/>
        <w:color w:val="auto"/>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260" w15:restartNumberingAfterBreak="0">
    <w:nsid w:val="7CC142F0"/>
    <w:multiLevelType w:val="hybridMultilevel"/>
    <w:tmpl w:val="87D2F4B4"/>
    <w:lvl w:ilvl="0" w:tplc="04090019">
      <w:start w:val="1"/>
      <w:numFmt w:val="lowerLetter"/>
      <w:lvlText w:val="%1."/>
      <w:lvlJc w:val="left"/>
      <w:pPr>
        <w:ind w:left="2002" w:hanging="360"/>
      </w:pPr>
      <w:rPr>
        <w:color w:val="000000" w:themeColor="text1"/>
      </w:rPr>
    </w:lvl>
    <w:lvl w:ilvl="1" w:tplc="04210019" w:tentative="1">
      <w:start w:val="1"/>
      <w:numFmt w:val="lowerLetter"/>
      <w:lvlText w:val="%2."/>
      <w:lvlJc w:val="left"/>
      <w:pPr>
        <w:ind w:left="3104" w:hanging="360"/>
      </w:pPr>
    </w:lvl>
    <w:lvl w:ilvl="2" w:tplc="0421001B" w:tentative="1">
      <w:start w:val="1"/>
      <w:numFmt w:val="lowerRoman"/>
      <w:lvlText w:val="%3."/>
      <w:lvlJc w:val="right"/>
      <w:pPr>
        <w:ind w:left="3824" w:hanging="180"/>
      </w:pPr>
    </w:lvl>
    <w:lvl w:ilvl="3" w:tplc="0421000F" w:tentative="1">
      <w:start w:val="1"/>
      <w:numFmt w:val="decimal"/>
      <w:lvlText w:val="%4."/>
      <w:lvlJc w:val="left"/>
      <w:pPr>
        <w:ind w:left="4544" w:hanging="360"/>
      </w:pPr>
    </w:lvl>
    <w:lvl w:ilvl="4" w:tplc="04210019" w:tentative="1">
      <w:start w:val="1"/>
      <w:numFmt w:val="lowerLetter"/>
      <w:lvlText w:val="%5."/>
      <w:lvlJc w:val="left"/>
      <w:pPr>
        <w:ind w:left="5264" w:hanging="360"/>
      </w:pPr>
    </w:lvl>
    <w:lvl w:ilvl="5" w:tplc="0421001B" w:tentative="1">
      <w:start w:val="1"/>
      <w:numFmt w:val="lowerRoman"/>
      <w:lvlText w:val="%6."/>
      <w:lvlJc w:val="right"/>
      <w:pPr>
        <w:ind w:left="5984" w:hanging="180"/>
      </w:pPr>
    </w:lvl>
    <w:lvl w:ilvl="6" w:tplc="0421000F" w:tentative="1">
      <w:start w:val="1"/>
      <w:numFmt w:val="decimal"/>
      <w:lvlText w:val="%7."/>
      <w:lvlJc w:val="left"/>
      <w:pPr>
        <w:ind w:left="6704" w:hanging="360"/>
      </w:pPr>
    </w:lvl>
    <w:lvl w:ilvl="7" w:tplc="04210019" w:tentative="1">
      <w:start w:val="1"/>
      <w:numFmt w:val="lowerLetter"/>
      <w:lvlText w:val="%8."/>
      <w:lvlJc w:val="left"/>
      <w:pPr>
        <w:ind w:left="7424" w:hanging="360"/>
      </w:pPr>
    </w:lvl>
    <w:lvl w:ilvl="8" w:tplc="0421001B" w:tentative="1">
      <w:start w:val="1"/>
      <w:numFmt w:val="lowerRoman"/>
      <w:lvlText w:val="%9."/>
      <w:lvlJc w:val="right"/>
      <w:pPr>
        <w:ind w:left="8144" w:hanging="180"/>
      </w:pPr>
    </w:lvl>
  </w:abstractNum>
  <w:abstractNum w:abstractNumId="261" w15:restartNumberingAfterBreak="0">
    <w:nsid w:val="7CF05A4D"/>
    <w:multiLevelType w:val="multilevel"/>
    <w:tmpl w:val="6D1C3F18"/>
    <w:styleLink w:val="CurrentList3"/>
    <w:lvl w:ilvl="0">
      <w:start w:val="1"/>
      <w:numFmt w:val="lowerLetter"/>
      <w:lvlText w:val="%1."/>
      <w:lvlJc w:val="left"/>
      <w:pPr>
        <w:ind w:left="1627" w:hanging="360"/>
      </w:pPr>
      <w:rPr>
        <w:rFonts w:hint="default"/>
      </w:rPr>
    </w:lvl>
    <w:lvl w:ilvl="1">
      <w:start w:val="1"/>
      <w:numFmt w:val="lowerLetter"/>
      <w:lvlText w:val="%2."/>
      <w:lvlJc w:val="left"/>
      <w:pPr>
        <w:ind w:left="2347" w:hanging="360"/>
      </w:pPr>
    </w:lvl>
    <w:lvl w:ilvl="2">
      <w:start w:val="1"/>
      <w:numFmt w:val="lowerRoman"/>
      <w:lvlText w:val="%3."/>
      <w:lvlJc w:val="right"/>
      <w:pPr>
        <w:ind w:left="3067" w:hanging="180"/>
      </w:pPr>
    </w:lvl>
    <w:lvl w:ilvl="3">
      <w:start w:val="1"/>
      <w:numFmt w:val="decimal"/>
      <w:lvlText w:val="%4."/>
      <w:lvlJc w:val="left"/>
      <w:pPr>
        <w:ind w:left="3787" w:hanging="360"/>
      </w:pPr>
    </w:lvl>
    <w:lvl w:ilvl="4">
      <w:start w:val="1"/>
      <w:numFmt w:val="lowerLetter"/>
      <w:lvlText w:val="%5."/>
      <w:lvlJc w:val="left"/>
      <w:pPr>
        <w:ind w:left="4507" w:hanging="360"/>
      </w:pPr>
    </w:lvl>
    <w:lvl w:ilvl="5">
      <w:start w:val="1"/>
      <w:numFmt w:val="lowerRoman"/>
      <w:lvlText w:val="%6."/>
      <w:lvlJc w:val="right"/>
      <w:pPr>
        <w:ind w:left="5227" w:hanging="180"/>
      </w:pPr>
    </w:lvl>
    <w:lvl w:ilvl="6">
      <w:start w:val="1"/>
      <w:numFmt w:val="decimal"/>
      <w:lvlText w:val="%7."/>
      <w:lvlJc w:val="left"/>
      <w:pPr>
        <w:ind w:left="5947" w:hanging="360"/>
      </w:pPr>
    </w:lvl>
    <w:lvl w:ilvl="7">
      <w:start w:val="1"/>
      <w:numFmt w:val="lowerLetter"/>
      <w:lvlText w:val="%8."/>
      <w:lvlJc w:val="left"/>
      <w:pPr>
        <w:ind w:left="6667" w:hanging="360"/>
      </w:pPr>
    </w:lvl>
    <w:lvl w:ilvl="8">
      <w:start w:val="1"/>
      <w:numFmt w:val="lowerRoman"/>
      <w:lvlText w:val="%9."/>
      <w:lvlJc w:val="right"/>
      <w:pPr>
        <w:ind w:left="7387" w:hanging="180"/>
      </w:pPr>
    </w:lvl>
  </w:abstractNum>
  <w:abstractNum w:abstractNumId="262" w15:restartNumberingAfterBreak="0">
    <w:nsid w:val="7D1B4648"/>
    <w:multiLevelType w:val="hybridMultilevel"/>
    <w:tmpl w:val="AE4289FE"/>
    <w:lvl w:ilvl="0" w:tplc="04090011">
      <w:start w:val="1"/>
      <w:numFmt w:val="decimal"/>
      <w:lvlText w:val="%1)"/>
      <w:lvlJc w:val="left"/>
      <w:pPr>
        <w:ind w:left="1996" w:hanging="360"/>
      </w:pPr>
    </w:lvl>
    <w:lvl w:ilvl="1" w:tplc="38090017">
      <w:start w:val="1"/>
      <w:numFmt w:val="lowerLetter"/>
      <w:lvlText w:val="%2)"/>
      <w:lvlJc w:val="left"/>
      <w:pPr>
        <w:ind w:left="720"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63" w15:restartNumberingAfterBreak="0">
    <w:nsid w:val="7D353E20"/>
    <w:multiLevelType w:val="hybridMultilevel"/>
    <w:tmpl w:val="BCB4DB22"/>
    <w:lvl w:ilvl="0" w:tplc="3DFEC06A">
      <w:start w:val="1"/>
      <w:numFmt w:val="lowerLetter"/>
      <w:lvlText w:val="%1)"/>
      <w:lvlJc w:val="left"/>
      <w:pPr>
        <w:ind w:left="2370" w:hanging="360"/>
      </w:pPr>
      <w:rPr>
        <w:color w:val="000000" w:themeColor="text1"/>
      </w:rPr>
    </w:lvl>
    <w:lvl w:ilvl="1" w:tplc="04090019" w:tentative="1">
      <w:start w:val="1"/>
      <w:numFmt w:val="lowerLetter"/>
      <w:lvlText w:val="%2."/>
      <w:lvlJc w:val="left"/>
      <w:pPr>
        <w:ind w:left="3090" w:hanging="360"/>
      </w:pPr>
    </w:lvl>
    <w:lvl w:ilvl="2" w:tplc="0409001B" w:tentative="1">
      <w:start w:val="1"/>
      <w:numFmt w:val="lowerRoman"/>
      <w:lvlText w:val="%3."/>
      <w:lvlJc w:val="right"/>
      <w:pPr>
        <w:ind w:left="3810" w:hanging="180"/>
      </w:pPr>
    </w:lvl>
    <w:lvl w:ilvl="3" w:tplc="0409000F" w:tentative="1">
      <w:start w:val="1"/>
      <w:numFmt w:val="decimal"/>
      <w:lvlText w:val="%4."/>
      <w:lvlJc w:val="left"/>
      <w:pPr>
        <w:ind w:left="4530" w:hanging="360"/>
      </w:pPr>
    </w:lvl>
    <w:lvl w:ilvl="4" w:tplc="04090019" w:tentative="1">
      <w:start w:val="1"/>
      <w:numFmt w:val="lowerLetter"/>
      <w:lvlText w:val="%5."/>
      <w:lvlJc w:val="left"/>
      <w:pPr>
        <w:ind w:left="5250" w:hanging="360"/>
      </w:pPr>
    </w:lvl>
    <w:lvl w:ilvl="5" w:tplc="0409001B" w:tentative="1">
      <w:start w:val="1"/>
      <w:numFmt w:val="lowerRoman"/>
      <w:lvlText w:val="%6."/>
      <w:lvlJc w:val="right"/>
      <w:pPr>
        <w:ind w:left="5970" w:hanging="180"/>
      </w:pPr>
    </w:lvl>
    <w:lvl w:ilvl="6" w:tplc="0409000F" w:tentative="1">
      <w:start w:val="1"/>
      <w:numFmt w:val="decimal"/>
      <w:lvlText w:val="%7."/>
      <w:lvlJc w:val="left"/>
      <w:pPr>
        <w:ind w:left="6690" w:hanging="360"/>
      </w:pPr>
    </w:lvl>
    <w:lvl w:ilvl="7" w:tplc="04090019" w:tentative="1">
      <w:start w:val="1"/>
      <w:numFmt w:val="lowerLetter"/>
      <w:lvlText w:val="%8."/>
      <w:lvlJc w:val="left"/>
      <w:pPr>
        <w:ind w:left="7410" w:hanging="360"/>
      </w:pPr>
    </w:lvl>
    <w:lvl w:ilvl="8" w:tplc="0409001B" w:tentative="1">
      <w:start w:val="1"/>
      <w:numFmt w:val="lowerRoman"/>
      <w:lvlText w:val="%9."/>
      <w:lvlJc w:val="right"/>
      <w:pPr>
        <w:ind w:left="8130" w:hanging="180"/>
      </w:pPr>
    </w:lvl>
  </w:abstractNum>
  <w:abstractNum w:abstractNumId="264" w15:restartNumberingAfterBreak="0">
    <w:nsid w:val="7D822EC1"/>
    <w:multiLevelType w:val="hybridMultilevel"/>
    <w:tmpl w:val="D9E0F032"/>
    <w:lvl w:ilvl="0" w:tplc="04090011">
      <w:start w:val="1"/>
      <w:numFmt w:val="decimal"/>
      <w:lvlText w:val="%1)"/>
      <w:lvlJc w:val="left"/>
      <w:pPr>
        <w:ind w:left="2563" w:hanging="360"/>
      </w:pPr>
    </w:lvl>
    <w:lvl w:ilvl="1" w:tplc="04090019">
      <w:start w:val="1"/>
      <w:numFmt w:val="lowerLetter"/>
      <w:lvlText w:val="%2."/>
      <w:lvlJc w:val="left"/>
      <w:pPr>
        <w:ind w:left="3283" w:hanging="360"/>
      </w:pPr>
    </w:lvl>
    <w:lvl w:ilvl="2" w:tplc="0409001B">
      <w:start w:val="1"/>
      <w:numFmt w:val="lowerRoman"/>
      <w:lvlText w:val="%3."/>
      <w:lvlJc w:val="right"/>
      <w:pPr>
        <w:ind w:left="4003" w:hanging="180"/>
      </w:pPr>
    </w:lvl>
    <w:lvl w:ilvl="3" w:tplc="0409000F">
      <w:start w:val="1"/>
      <w:numFmt w:val="decimal"/>
      <w:lvlText w:val="%4."/>
      <w:lvlJc w:val="left"/>
      <w:pPr>
        <w:ind w:left="4723" w:hanging="360"/>
      </w:pPr>
    </w:lvl>
    <w:lvl w:ilvl="4" w:tplc="04090019">
      <w:start w:val="1"/>
      <w:numFmt w:val="lowerLetter"/>
      <w:lvlText w:val="%5."/>
      <w:lvlJc w:val="left"/>
      <w:pPr>
        <w:ind w:left="5443" w:hanging="360"/>
      </w:pPr>
    </w:lvl>
    <w:lvl w:ilvl="5" w:tplc="0409001B">
      <w:start w:val="1"/>
      <w:numFmt w:val="lowerRoman"/>
      <w:lvlText w:val="%6."/>
      <w:lvlJc w:val="right"/>
      <w:pPr>
        <w:ind w:left="6163" w:hanging="180"/>
      </w:pPr>
    </w:lvl>
    <w:lvl w:ilvl="6" w:tplc="0409000F">
      <w:start w:val="1"/>
      <w:numFmt w:val="decimal"/>
      <w:lvlText w:val="%7."/>
      <w:lvlJc w:val="left"/>
      <w:pPr>
        <w:ind w:left="6883" w:hanging="360"/>
      </w:pPr>
    </w:lvl>
    <w:lvl w:ilvl="7" w:tplc="04090019">
      <w:start w:val="1"/>
      <w:numFmt w:val="lowerLetter"/>
      <w:lvlText w:val="%8."/>
      <w:lvlJc w:val="left"/>
      <w:pPr>
        <w:ind w:left="7603" w:hanging="360"/>
      </w:pPr>
    </w:lvl>
    <w:lvl w:ilvl="8" w:tplc="0409001B">
      <w:start w:val="1"/>
      <w:numFmt w:val="lowerRoman"/>
      <w:lvlText w:val="%9."/>
      <w:lvlJc w:val="right"/>
      <w:pPr>
        <w:ind w:left="8323" w:hanging="180"/>
      </w:pPr>
    </w:lvl>
  </w:abstractNum>
  <w:abstractNum w:abstractNumId="265" w15:restartNumberingAfterBreak="0">
    <w:nsid w:val="7DD930F9"/>
    <w:multiLevelType w:val="hybridMultilevel"/>
    <w:tmpl w:val="7F2091DA"/>
    <w:lvl w:ilvl="0" w:tplc="C890D9F0">
      <w:start w:val="1"/>
      <w:numFmt w:val="decimal"/>
      <w:lvlText w:val="%1."/>
      <w:lvlJc w:val="left"/>
      <w:pPr>
        <w:ind w:left="1353" w:hanging="360"/>
      </w:pPr>
      <w:rPr>
        <w:rFonts w:ascii="Bookman Old Style" w:hAnsi="Bookman Old Style" w:hint="default"/>
        <w:color w:val="auto"/>
        <w:sz w:val="24"/>
        <w:szCs w:val="24"/>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66" w15:restartNumberingAfterBreak="0">
    <w:nsid w:val="7E2226BB"/>
    <w:multiLevelType w:val="hybridMultilevel"/>
    <w:tmpl w:val="84CE5EBE"/>
    <w:lvl w:ilvl="0" w:tplc="26B65756">
      <w:start w:val="1"/>
      <w:numFmt w:val="decimal"/>
      <w:lvlText w:val="%1)"/>
      <w:lvlJc w:val="left"/>
      <w:pPr>
        <w:ind w:left="2487" w:hanging="360"/>
      </w:pPr>
      <w:rPr>
        <w:rFonts w:hint="default"/>
        <w:sz w:val="24"/>
        <w:szCs w:val="24"/>
      </w:rPr>
    </w:lvl>
    <w:lvl w:ilvl="1" w:tplc="38090019" w:tentative="1">
      <w:start w:val="1"/>
      <w:numFmt w:val="lowerLetter"/>
      <w:lvlText w:val="%2."/>
      <w:lvlJc w:val="left"/>
      <w:pPr>
        <w:ind w:left="3207" w:hanging="360"/>
      </w:pPr>
    </w:lvl>
    <w:lvl w:ilvl="2" w:tplc="3809001B" w:tentative="1">
      <w:start w:val="1"/>
      <w:numFmt w:val="lowerRoman"/>
      <w:lvlText w:val="%3."/>
      <w:lvlJc w:val="right"/>
      <w:pPr>
        <w:ind w:left="3927" w:hanging="180"/>
      </w:pPr>
    </w:lvl>
    <w:lvl w:ilvl="3" w:tplc="3809000F" w:tentative="1">
      <w:start w:val="1"/>
      <w:numFmt w:val="decimal"/>
      <w:lvlText w:val="%4."/>
      <w:lvlJc w:val="left"/>
      <w:pPr>
        <w:ind w:left="4647" w:hanging="360"/>
      </w:pPr>
    </w:lvl>
    <w:lvl w:ilvl="4" w:tplc="38090019" w:tentative="1">
      <w:start w:val="1"/>
      <w:numFmt w:val="lowerLetter"/>
      <w:lvlText w:val="%5."/>
      <w:lvlJc w:val="left"/>
      <w:pPr>
        <w:ind w:left="5367" w:hanging="360"/>
      </w:pPr>
    </w:lvl>
    <w:lvl w:ilvl="5" w:tplc="3809001B" w:tentative="1">
      <w:start w:val="1"/>
      <w:numFmt w:val="lowerRoman"/>
      <w:lvlText w:val="%6."/>
      <w:lvlJc w:val="right"/>
      <w:pPr>
        <w:ind w:left="6087" w:hanging="180"/>
      </w:pPr>
    </w:lvl>
    <w:lvl w:ilvl="6" w:tplc="3809000F" w:tentative="1">
      <w:start w:val="1"/>
      <w:numFmt w:val="decimal"/>
      <w:lvlText w:val="%7."/>
      <w:lvlJc w:val="left"/>
      <w:pPr>
        <w:ind w:left="6807" w:hanging="360"/>
      </w:pPr>
    </w:lvl>
    <w:lvl w:ilvl="7" w:tplc="38090019" w:tentative="1">
      <w:start w:val="1"/>
      <w:numFmt w:val="lowerLetter"/>
      <w:lvlText w:val="%8."/>
      <w:lvlJc w:val="left"/>
      <w:pPr>
        <w:ind w:left="7527" w:hanging="360"/>
      </w:pPr>
    </w:lvl>
    <w:lvl w:ilvl="8" w:tplc="3809001B" w:tentative="1">
      <w:start w:val="1"/>
      <w:numFmt w:val="lowerRoman"/>
      <w:lvlText w:val="%9."/>
      <w:lvlJc w:val="right"/>
      <w:pPr>
        <w:ind w:left="8247" w:hanging="180"/>
      </w:pPr>
    </w:lvl>
  </w:abstractNum>
  <w:abstractNum w:abstractNumId="267" w15:restartNumberingAfterBreak="0">
    <w:nsid w:val="7E6A79D5"/>
    <w:multiLevelType w:val="hybridMultilevel"/>
    <w:tmpl w:val="31ACF7B0"/>
    <w:lvl w:ilvl="0" w:tplc="E770702A">
      <w:start w:val="1"/>
      <w:numFmt w:val="decimal"/>
      <w:lvlText w:val="%1)"/>
      <w:lvlJc w:val="left"/>
      <w:pPr>
        <w:ind w:left="2847" w:hanging="360"/>
      </w:pPr>
      <w:rPr>
        <w:rFonts w:hint="default"/>
        <w:color w:val="000000" w:themeColor="text1"/>
        <w:sz w:val="24"/>
      </w:rPr>
    </w:lvl>
    <w:lvl w:ilvl="1" w:tplc="FFFFFFFF" w:tentative="1">
      <w:start w:val="1"/>
      <w:numFmt w:val="lowerLetter"/>
      <w:lvlText w:val="%2."/>
      <w:lvlJc w:val="left"/>
      <w:pPr>
        <w:ind w:left="3567" w:hanging="360"/>
      </w:pPr>
    </w:lvl>
    <w:lvl w:ilvl="2" w:tplc="FFFFFFFF" w:tentative="1">
      <w:start w:val="1"/>
      <w:numFmt w:val="lowerRoman"/>
      <w:lvlText w:val="%3."/>
      <w:lvlJc w:val="right"/>
      <w:pPr>
        <w:ind w:left="4287" w:hanging="180"/>
      </w:pPr>
    </w:lvl>
    <w:lvl w:ilvl="3" w:tplc="FFFFFFFF" w:tentative="1">
      <w:start w:val="1"/>
      <w:numFmt w:val="decimal"/>
      <w:lvlText w:val="%4."/>
      <w:lvlJc w:val="left"/>
      <w:pPr>
        <w:ind w:left="5007" w:hanging="360"/>
      </w:pPr>
    </w:lvl>
    <w:lvl w:ilvl="4" w:tplc="FFFFFFFF" w:tentative="1">
      <w:start w:val="1"/>
      <w:numFmt w:val="lowerLetter"/>
      <w:lvlText w:val="%5."/>
      <w:lvlJc w:val="left"/>
      <w:pPr>
        <w:ind w:left="5727" w:hanging="360"/>
      </w:pPr>
    </w:lvl>
    <w:lvl w:ilvl="5" w:tplc="FFFFFFFF" w:tentative="1">
      <w:start w:val="1"/>
      <w:numFmt w:val="lowerRoman"/>
      <w:lvlText w:val="%6."/>
      <w:lvlJc w:val="right"/>
      <w:pPr>
        <w:ind w:left="6447" w:hanging="180"/>
      </w:pPr>
    </w:lvl>
    <w:lvl w:ilvl="6" w:tplc="FFFFFFFF" w:tentative="1">
      <w:start w:val="1"/>
      <w:numFmt w:val="decimal"/>
      <w:lvlText w:val="%7."/>
      <w:lvlJc w:val="left"/>
      <w:pPr>
        <w:ind w:left="7167" w:hanging="360"/>
      </w:pPr>
    </w:lvl>
    <w:lvl w:ilvl="7" w:tplc="FFFFFFFF" w:tentative="1">
      <w:start w:val="1"/>
      <w:numFmt w:val="lowerLetter"/>
      <w:lvlText w:val="%8."/>
      <w:lvlJc w:val="left"/>
      <w:pPr>
        <w:ind w:left="7887" w:hanging="360"/>
      </w:pPr>
    </w:lvl>
    <w:lvl w:ilvl="8" w:tplc="FFFFFFFF" w:tentative="1">
      <w:start w:val="1"/>
      <w:numFmt w:val="lowerRoman"/>
      <w:lvlText w:val="%9."/>
      <w:lvlJc w:val="right"/>
      <w:pPr>
        <w:ind w:left="8607" w:hanging="180"/>
      </w:pPr>
    </w:lvl>
  </w:abstractNum>
  <w:abstractNum w:abstractNumId="268" w15:restartNumberingAfterBreak="0">
    <w:nsid w:val="7EC821A1"/>
    <w:multiLevelType w:val="hybridMultilevel"/>
    <w:tmpl w:val="24460758"/>
    <w:lvl w:ilvl="0" w:tplc="38090011">
      <w:start w:val="1"/>
      <w:numFmt w:val="decimal"/>
      <w:lvlText w:val="%1)"/>
      <w:lvlJc w:val="left"/>
      <w:pPr>
        <w:ind w:left="2340" w:hanging="360"/>
      </w:pPr>
      <w:rPr>
        <w:rFonts w:hint="default"/>
        <w:color w:val="auto"/>
        <w:sz w:val="24"/>
        <w:szCs w:val="24"/>
      </w:rPr>
    </w:lvl>
    <w:lvl w:ilvl="1" w:tplc="04210011">
      <w:start w:val="1"/>
      <w:numFmt w:val="decimal"/>
      <w:lvlText w:val="%2)"/>
      <w:lvlJc w:val="left"/>
      <w:pPr>
        <w:ind w:left="2002" w:hanging="360"/>
      </w:pPr>
      <w:rPr>
        <w:rFonts w:hint="default"/>
        <w:color w:val="auto"/>
      </w:r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69" w15:restartNumberingAfterBreak="0">
    <w:nsid w:val="7FA81F4E"/>
    <w:multiLevelType w:val="hybridMultilevel"/>
    <w:tmpl w:val="5EBCE25A"/>
    <w:lvl w:ilvl="0" w:tplc="DB7CDF64">
      <w:start w:val="1"/>
      <w:numFmt w:val="lowerLetter"/>
      <w:lvlText w:val="(%1)"/>
      <w:lvlJc w:val="left"/>
      <w:pPr>
        <w:ind w:left="3254" w:hanging="360"/>
      </w:pPr>
      <w:rPr>
        <w:rFonts w:cs="Times New Roman" w:hint="default"/>
        <w:i w:val="0"/>
        <w:strike w:val="0"/>
        <w:color w:val="auto"/>
        <w:kern w:val="24"/>
      </w:rPr>
    </w:lvl>
    <w:lvl w:ilvl="1" w:tplc="38090019" w:tentative="1">
      <w:start w:val="1"/>
      <w:numFmt w:val="lowerLetter"/>
      <w:lvlText w:val="%2."/>
      <w:lvlJc w:val="left"/>
      <w:pPr>
        <w:ind w:left="3974" w:hanging="360"/>
      </w:pPr>
    </w:lvl>
    <w:lvl w:ilvl="2" w:tplc="3809001B" w:tentative="1">
      <w:start w:val="1"/>
      <w:numFmt w:val="lowerRoman"/>
      <w:lvlText w:val="%3."/>
      <w:lvlJc w:val="right"/>
      <w:pPr>
        <w:ind w:left="4694" w:hanging="180"/>
      </w:pPr>
    </w:lvl>
    <w:lvl w:ilvl="3" w:tplc="3809000F" w:tentative="1">
      <w:start w:val="1"/>
      <w:numFmt w:val="decimal"/>
      <w:lvlText w:val="%4."/>
      <w:lvlJc w:val="left"/>
      <w:pPr>
        <w:ind w:left="5414" w:hanging="360"/>
      </w:pPr>
    </w:lvl>
    <w:lvl w:ilvl="4" w:tplc="38090019" w:tentative="1">
      <w:start w:val="1"/>
      <w:numFmt w:val="lowerLetter"/>
      <w:lvlText w:val="%5."/>
      <w:lvlJc w:val="left"/>
      <w:pPr>
        <w:ind w:left="6134" w:hanging="360"/>
      </w:pPr>
    </w:lvl>
    <w:lvl w:ilvl="5" w:tplc="3809001B" w:tentative="1">
      <w:start w:val="1"/>
      <w:numFmt w:val="lowerRoman"/>
      <w:lvlText w:val="%6."/>
      <w:lvlJc w:val="right"/>
      <w:pPr>
        <w:ind w:left="6854" w:hanging="180"/>
      </w:pPr>
    </w:lvl>
    <w:lvl w:ilvl="6" w:tplc="3809000F" w:tentative="1">
      <w:start w:val="1"/>
      <w:numFmt w:val="decimal"/>
      <w:lvlText w:val="%7."/>
      <w:lvlJc w:val="left"/>
      <w:pPr>
        <w:ind w:left="7574" w:hanging="360"/>
      </w:pPr>
    </w:lvl>
    <w:lvl w:ilvl="7" w:tplc="38090019" w:tentative="1">
      <w:start w:val="1"/>
      <w:numFmt w:val="lowerLetter"/>
      <w:lvlText w:val="%8."/>
      <w:lvlJc w:val="left"/>
      <w:pPr>
        <w:ind w:left="8294" w:hanging="360"/>
      </w:pPr>
    </w:lvl>
    <w:lvl w:ilvl="8" w:tplc="3809001B" w:tentative="1">
      <w:start w:val="1"/>
      <w:numFmt w:val="lowerRoman"/>
      <w:lvlText w:val="%9."/>
      <w:lvlJc w:val="right"/>
      <w:pPr>
        <w:ind w:left="9014" w:hanging="180"/>
      </w:pPr>
    </w:lvl>
  </w:abstractNum>
  <w:num w:numId="1" w16cid:durableId="522986816">
    <w:abstractNumId w:val="178"/>
  </w:num>
  <w:num w:numId="2" w16cid:durableId="1520509501">
    <w:abstractNumId w:val="107"/>
  </w:num>
  <w:num w:numId="3" w16cid:durableId="427391439">
    <w:abstractNumId w:val="46"/>
  </w:num>
  <w:num w:numId="4" w16cid:durableId="1109204863">
    <w:abstractNumId w:val="90"/>
  </w:num>
  <w:num w:numId="5" w16cid:durableId="1534537677">
    <w:abstractNumId w:val="164"/>
  </w:num>
  <w:num w:numId="6" w16cid:durableId="1436167167">
    <w:abstractNumId w:val="193"/>
  </w:num>
  <w:num w:numId="7" w16cid:durableId="676688878">
    <w:abstractNumId w:val="89"/>
  </w:num>
  <w:num w:numId="8" w16cid:durableId="1065373718">
    <w:abstractNumId w:val="28"/>
  </w:num>
  <w:num w:numId="9" w16cid:durableId="7559459">
    <w:abstractNumId w:val="88"/>
  </w:num>
  <w:num w:numId="10" w16cid:durableId="1978147627">
    <w:abstractNumId w:val="130"/>
  </w:num>
  <w:num w:numId="11" w16cid:durableId="1181745912">
    <w:abstractNumId w:val="260"/>
  </w:num>
  <w:num w:numId="12" w16cid:durableId="1234125206">
    <w:abstractNumId w:val="34"/>
  </w:num>
  <w:num w:numId="13" w16cid:durableId="1090930038">
    <w:abstractNumId w:val="207"/>
  </w:num>
  <w:num w:numId="14" w16cid:durableId="2044137010">
    <w:abstractNumId w:val="181"/>
  </w:num>
  <w:num w:numId="15" w16cid:durableId="739670551">
    <w:abstractNumId w:val="47"/>
  </w:num>
  <w:num w:numId="16" w16cid:durableId="132602598">
    <w:abstractNumId w:val="136"/>
  </w:num>
  <w:num w:numId="17" w16cid:durableId="16737250">
    <w:abstractNumId w:val="61"/>
  </w:num>
  <w:num w:numId="18" w16cid:durableId="1750350152">
    <w:abstractNumId w:val="42"/>
  </w:num>
  <w:num w:numId="19" w16cid:durableId="1000547467">
    <w:abstractNumId w:val="241"/>
  </w:num>
  <w:num w:numId="20" w16cid:durableId="443622996">
    <w:abstractNumId w:val="261"/>
  </w:num>
  <w:num w:numId="21" w16cid:durableId="764158193">
    <w:abstractNumId w:val="205"/>
  </w:num>
  <w:num w:numId="22" w16cid:durableId="1599289156">
    <w:abstractNumId w:val="32"/>
  </w:num>
  <w:num w:numId="23" w16cid:durableId="1185365134">
    <w:abstractNumId w:val="125"/>
  </w:num>
  <w:num w:numId="24" w16cid:durableId="794327792">
    <w:abstractNumId w:val="213"/>
  </w:num>
  <w:num w:numId="25" w16cid:durableId="1102452235">
    <w:abstractNumId w:val="66"/>
  </w:num>
  <w:num w:numId="26" w16cid:durableId="1961448651">
    <w:abstractNumId w:val="251"/>
  </w:num>
  <w:num w:numId="27" w16cid:durableId="1098597783">
    <w:abstractNumId w:val="192"/>
  </w:num>
  <w:num w:numId="28" w16cid:durableId="563417424">
    <w:abstractNumId w:val="22"/>
  </w:num>
  <w:num w:numId="29" w16cid:durableId="1872523962">
    <w:abstractNumId w:val="200"/>
  </w:num>
  <w:num w:numId="30" w16cid:durableId="1546062288">
    <w:abstractNumId w:val="196"/>
  </w:num>
  <w:num w:numId="31" w16cid:durableId="163479143">
    <w:abstractNumId w:val="257"/>
  </w:num>
  <w:num w:numId="32" w16cid:durableId="1964118106">
    <w:abstractNumId w:val="153"/>
  </w:num>
  <w:num w:numId="33" w16cid:durableId="648362468">
    <w:abstractNumId w:val="144"/>
  </w:num>
  <w:num w:numId="34" w16cid:durableId="857084300">
    <w:abstractNumId w:val="137"/>
  </w:num>
  <w:num w:numId="35" w16cid:durableId="690031034">
    <w:abstractNumId w:val="158"/>
  </w:num>
  <w:num w:numId="36" w16cid:durableId="1931695159">
    <w:abstractNumId w:val="106"/>
  </w:num>
  <w:num w:numId="37" w16cid:durableId="1602180605">
    <w:abstractNumId w:val="14"/>
  </w:num>
  <w:num w:numId="38" w16cid:durableId="1445342330">
    <w:abstractNumId w:val="263"/>
  </w:num>
  <w:num w:numId="39" w16cid:durableId="1788544462">
    <w:abstractNumId w:val="150"/>
  </w:num>
  <w:num w:numId="40" w16cid:durableId="619847337">
    <w:abstractNumId w:val="20"/>
  </w:num>
  <w:num w:numId="41" w16cid:durableId="1220047050">
    <w:abstractNumId w:val="255"/>
  </w:num>
  <w:num w:numId="42" w16cid:durableId="1732388518">
    <w:abstractNumId w:val="5"/>
  </w:num>
  <w:num w:numId="43" w16cid:durableId="936133477">
    <w:abstractNumId w:val="191"/>
  </w:num>
  <w:num w:numId="44" w16cid:durableId="1967199542">
    <w:abstractNumId w:val="174"/>
  </w:num>
  <w:num w:numId="45" w16cid:durableId="1728263603">
    <w:abstractNumId w:val="244"/>
  </w:num>
  <w:num w:numId="46" w16cid:durableId="218515652">
    <w:abstractNumId w:val="240"/>
  </w:num>
  <w:num w:numId="47" w16cid:durableId="536040774">
    <w:abstractNumId w:val="214"/>
  </w:num>
  <w:num w:numId="48" w16cid:durableId="358241124">
    <w:abstractNumId w:val="167"/>
  </w:num>
  <w:num w:numId="49" w16cid:durableId="1865361335">
    <w:abstractNumId w:val="79"/>
  </w:num>
  <w:num w:numId="50" w16cid:durableId="1878741698">
    <w:abstractNumId w:val="190"/>
  </w:num>
  <w:num w:numId="51" w16cid:durableId="2076313819">
    <w:abstractNumId w:val="72"/>
  </w:num>
  <w:num w:numId="52" w16cid:durableId="1561407923">
    <w:abstractNumId w:val="111"/>
  </w:num>
  <w:num w:numId="53" w16cid:durableId="1641112007">
    <w:abstractNumId w:val="54"/>
  </w:num>
  <w:num w:numId="54" w16cid:durableId="1435173116">
    <w:abstractNumId w:val="85"/>
  </w:num>
  <w:num w:numId="55" w16cid:durableId="397097141">
    <w:abstractNumId w:val="24"/>
  </w:num>
  <w:num w:numId="56" w16cid:durableId="912470752">
    <w:abstractNumId w:val="204"/>
  </w:num>
  <w:num w:numId="57" w16cid:durableId="1019741545">
    <w:abstractNumId w:val="104"/>
  </w:num>
  <w:num w:numId="58" w16cid:durableId="318466546">
    <w:abstractNumId w:val="252"/>
  </w:num>
  <w:num w:numId="59" w16cid:durableId="1701737670">
    <w:abstractNumId w:val="13"/>
  </w:num>
  <w:num w:numId="60" w16cid:durableId="276986344">
    <w:abstractNumId w:val="177"/>
  </w:num>
  <w:num w:numId="61" w16cid:durableId="1169826396">
    <w:abstractNumId w:val="113"/>
  </w:num>
  <w:num w:numId="62" w16cid:durableId="670959364">
    <w:abstractNumId w:val="93"/>
  </w:num>
  <w:num w:numId="63" w16cid:durableId="522670747">
    <w:abstractNumId w:val="103"/>
  </w:num>
  <w:num w:numId="64" w16cid:durableId="1360012711">
    <w:abstractNumId w:val="165"/>
  </w:num>
  <w:num w:numId="65" w16cid:durableId="1650860204">
    <w:abstractNumId w:val="109"/>
  </w:num>
  <w:num w:numId="66" w16cid:durableId="251281637">
    <w:abstractNumId w:val="94"/>
  </w:num>
  <w:num w:numId="67" w16cid:durableId="1322737383">
    <w:abstractNumId w:val="143"/>
  </w:num>
  <w:num w:numId="68" w16cid:durableId="875777737">
    <w:abstractNumId w:val="233"/>
  </w:num>
  <w:num w:numId="69" w16cid:durableId="361825631">
    <w:abstractNumId w:val="55"/>
  </w:num>
  <w:num w:numId="70" w16cid:durableId="110904563">
    <w:abstractNumId w:val="31"/>
  </w:num>
  <w:num w:numId="71" w16cid:durableId="1534272834">
    <w:abstractNumId w:val="35"/>
  </w:num>
  <w:num w:numId="72" w16cid:durableId="2085368269">
    <w:abstractNumId w:val="188"/>
  </w:num>
  <w:num w:numId="73" w16cid:durableId="1275090127">
    <w:abstractNumId w:val="179"/>
  </w:num>
  <w:num w:numId="74" w16cid:durableId="1491866905">
    <w:abstractNumId w:val="243"/>
  </w:num>
  <w:num w:numId="75" w16cid:durableId="1223902880">
    <w:abstractNumId w:val="49"/>
  </w:num>
  <w:num w:numId="76" w16cid:durableId="198012849">
    <w:abstractNumId w:val="19"/>
  </w:num>
  <w:num w:numId="77" w16cid:durableId="114065010">
    <w:abstractNumId w:val="234"/>
  </w:num>
  <w:num w:numId="78" w16cid:durableId="802848030">
    <w:abstractNumId w:val="235"/>
  </w:num>
  <w:num w:numId="79" w16cid:durableId="1573200749">
    <w:abstractNumId w:val="220"/>
  </w:num>
  <w:num w:numId="80" w16cid:durableId="2139491325">
    <w:abstractNumId w:val="262"/>
  </w:num>
  <w:num w:numId="81" w16cid:durableId="911159072">
    <w:abstractNumId w:val="37"/>
  </w:num>
  <w:num w:numId="82" w16cid:durableId="732506483">
    <w:abstractNumId w:val="198"/>
  </w:num>
  <w:num w:numId="83" w16cid:durableId="1374765403">
    <w:abstractNumId w:val="131"/>
  </w:num>
  <w:num w:numId="84" w16cid:durableId="581721146">
    <w:abstractNumId w:val="162"/>
  </w:num>
  <w:num w:numId="85" w16cid:durableId="1782995369">
    <w:abstractNumId w:val="40"/>
  </w:num>
  <w:num w:numId="86" w16cid:durableId="441219326">
    <w:abstractNumId w:val="209"/>
  </w:num>
  <w:num w:numId="87" w16cid:durableId="1812286145">
    <w:abstractNumId w:val="163"/>
  </w:num>
  <w:num w:numId="88" w16cid:durableId="2065131904">
    <w:abstractNumId w:val="253"/>
  </w:num>
  <w:num w:numId="89" w16cid:durableId="914556992">
    <w:abstractNumId w:val="53"/>
  </w:num>
  <w:num w:numId="90" w16cid:durableId="500698920">
    <w:abstractNumId w:val="7"/>
  </w:num>
  <w:num w:numId="91" w16cid:durableId="1771582278">
    <w:abstractNumId w:val="216"/>
  </w:num>
  <w:num w:numId="92" w16cid:durableId="1772583788">
    <w:abstractNumId w:val="105"/>
  </w:num>
  <w:num w:numId="93" w16cid:durableId="804470941">
    <w:abstractNumId w:val="157"/>
  </w:num>
  <w:num w:numId="94" w16cid:durableId="2124302962">
    <w:abstractNumId w:val="268"/>
  </w:num>
  <w:num w:numId="95" w16cid:durableId="974289340">
    <w:abstractNumId w:val="208"/>
  </w:num>
  <w:num w:numId="96" w16cid:durableId="1006785625">
    <w:abstractNumId w:val="141"/>
  </w:num>
  <w:num w:numId="97" w16cid:durableId="827094205">
    <w:abstractNumId w:val="265"/>
  </w:num>
  <w:num w:numId="98" w16cid:durableId="999237617">
    <w:abstractNumId w:val="87"/>
  </w:num>
  <w:num w:numId="99" w16cid:durableId="744958904">
    <w:abstractNumId w:val="230"/>
  </w:num>
  <w:num w:numId="100" w16cid:durableId="956566757">
    <w:abstractNumId w:val="186"/>
  </w:num>
  <w:num w:numId="101" w16cid:durableId="1282808808">
    <w:abstractNumId w:val="57"/>
  </w:num>
  <w:num w:numId="102" w16cid:durableId="434012093">
    <w:abstractNumId w:val="75"/>
  </w:num>
  <w:num w:numId="103" w16cid:durableId="914587565">
    <w:abstractNumId w:val="23"/>
  </w:num>
  <w:num w:numId="104" w16cid:durableId="1404600290">
    <w:abstractNumId w:val="138"/>
  </w:num>
  <w:num w:numId="105" w16cid:durableId="1287195104">
    <w:abstractNumId w:val="159"/>
  </w:num>
  <w:num w:numId="106" w16cid:durableId="1918249877">
    <w:abstractNumId w:val="43"/>
  </w:num>
  <w:num w:numId="107" w16cid:durableId="1045787331">
    <w:abstractNumId w:val="115"/>
  </w:num>
  <w:num w:numId="108" w16cid:durableId="1599099558">
    <w:abstractNumId w:val="18"/>
  </w:num>
  <w:num w:numId="109" w16cid:durableId="884373003">
    <w:abstractNumId w:val="160"/>
  </w:num>
  <w:num w:numId="110" w16cid:durableId="1054355596">
    <w:abstractNumId w:val="169"/>
  </w:num>
  <w:num w:numId="111" w16cid:durableId="1267274341">
    <w:abstractNumId w:val="135"/>
  </w:num>
  <w:num w:numId="112" w16cid:durableId="1020161010">
    <w:abstractNumId w:val="97"/>
  </w:num>
  <w:num w:numId="113" w16cid:durableId="1422603135">
    <w:abstractNumId w:val="247"/>
  </w:num>
  <w:num w:numId="114" w16cid:durableId="2005467702">
    <w:abstractNumId w:val="6"/>
  </w:num>
  <w:num w:numId="115" w16cid:durableId="39912795">
    <w:abstractNumId w:val="246"/>
  </w:num>
  <w:num w:numId="116" w16cid:durableId="1166823827">
    <w:abstractNumId w:val="128"/>
  </w:num>
  <w:num w:numId="117" w16cid:durableId="1236403660">
    <w:abstractNumId w:val="189"/>
  </w:num>
  <w:num w:numId="118" w16cid:durableId="179315681">
    <w:abstractNumId w:val="110"/>
  </w:num>
  <w:num w:numId="119" w16cid:durableId="767652222">
    <w:abstractNumId w:val="17"/>
  </w:num>
  <w:num w:numId="120" w16cid:durableId="1816023991">
    <w:abstractNumId w:val="161"/>
  </w:num>
  <w:num w:numId="121" w16cid:durableId="63259702">
    <w:abstractNumId w:val="41"/>
  </w:num>
  <w:num w:numId="122" w16cid:durableId="592520670">
    <w:abstractNumId w:val="16"/>
  </w:num>
  <w:num w:numId="123" w16cid:durableId="26218794">
    <w:abstractNumId w:val="194"/>
  </w:num>
  <w:num w:numId="124" w16cid:durableId="1980380304">
    <w:abstractNumId w:val="134"/>
  </w:num>
  <w:num w:numId="125" w16cid:durableId="1720931425">
    <w:abstractNumId w:val="114"/>
  </w:num>
  <w:num w:numId="126" w16cid:durableId="2058773943">
    <w:abstractNumId w:val="51"/>
  </w:num>
  <w:num w:numId="127" w16cid:durableId="116721239">
    <w:abstractNumId w:val="183"/>
  </w:num>
  <w:num w:numId="128" w16cid:durableId="1580795767">
    <w:abstractNumId w:val="219"/>
  </w:num>
  <w:num w:numId="129" w16cid:durableId="1115977572">
    <w:abstractNumId w:val="98"/>
  </w:num>
  <w:num w:numId="130" w16cid:durableId="1210872283">
    <w:abstractNumId w:val="58"/>
  </w:num>
  <w:num w:numId="131" w16cid:durableId="1921408152">
    <w:abstractNumId w:val="132"/>
  </w:num>
  <w:num w:numId="132" w16cid:durableId="1451245923">
    <w:abstractNumId w:val="185"/>
  </w:num>
  <w:num w:numId="133" w16cid:durableId="1925649385">
    <w:abstractNumId w:val="231"/>
  </w:num>
  <w:num w:numId="134" w16cid:durableId="90901104">
    <w:abstractNumId w:val="33"/>
  </w:num>
  <w:num w:numId="135" w16cid:durableId="722219745">
    <w:abstractNumId w:val="250"/>
  </w:num>
  <w:num w:numId="136" w16cid:durableId="869146399">
    <w:abstractNumId w:val="27"/>
  </w:num>
  <w:num w:numId="137" w16cid:durableId="1973320830">
    <w:abstractNumId w:val="38"/>
  </w:num>
  <w:num w:numId="138" w16cid:durableId="520319740">
    <w:abstractNumId w:val="239"/>
  </w:num>
  <w:num w:numId="139" w16cid:durableId="148375084">
    <w:abstractNumId w:val="229"/>
  </w:num>
  <w:num w:numId="140" w16cid:durableId="1260219866">
    <w:abstractNumId w:val="74"/>
  </w:num>
  <w:num w:numId="141" w16cid:durableId="986277226">
    <w:abstractNumId w:val="69"/>
  </w:num>
  <w:num w:numId="142" w16cid:durableId="1433738863">
    <w:abstractNumId w:val="101"/>
  </w:num>
  <w:num w:numId="143" w16cid:durableId="370498788">
    <w:abstractNumId w:val="195"/>
  </w:num>
  <w:num w:numId="144" w16cid:durableId="653531680">
    <w:abstractNumId w:val="70"/>
  </w:num>
  <w:num w:numId="145" w16cid:durableId="932133300">
    <w:abstractNumId w:val="45"/>
  </w:num>
  <w:num w:numId="146" w16cid:durableId="1962607468">
    <w:abstractNumId w:val="4"/>
  </w:num>
  <w:num w:numId="147" w16cid:durableId="1400713582">
    <w:abstractNumId w:val="225"/>
  </w:num>
  <w:num w:numId="148" w16cid:durableId="555820813">
    <w:abstractNumId w:val="175"/>
  </w:num>
  <w:num w:numId="149" w16cid:durableId="2116291971">
    <w:abstractNumId w:val="172"/>
  </w:num>
  <w:num w:numId="150" w16cid:durableId="2080397357">
    <w:abstractNumId w:val="249"/>
  </w:num>
  <w:num w:numId="151" w16cid:durableId="704136643">
    <w:abstractNumId w:val="21"/>
  </w:num>
  <w:num w:numId="152" w16cid:durableId="943463135">
    <w:abstractNumId w:val="80"/>
  </w:num>
  <w:num w:numId="153" w16cid:durableId="1553271679">
    <w:abstractNumId w:val="154"/>
  </w:num>
  <w:num w:numId="154" w16cid:durableId="165488528">
    <w:abstractNumId w:val="210"/>
  </w:num>
  <w:num w:numId="155" w16cid:durableId="1638298224">
    <w:abstractNumId w:val="73"/>
  </w:num>
  <w:num w:numId="156" w16cid:durableId="2102991869">
    <w:abstractNumId w:val="96"/>
  </w:num>
  <w:num w:numId="157" w16cid:durableId="451366410">
    <w:abstractNumId w:val="50"/>
  </w:num>
  <w:num w:numId="158" w16cid:durableId="30571894">
    <w:abstractNumId w:val="171"/>
  </w:num>
  <w:num w:numId="159" w16cid:durableId="686712930">
    <w:abstractNumId w:val="211"/>
  </w:num>
  <w:num w:numId="160" w16cid:durableId="861168755">
    <w:abstractNumId w:val="124"/>
  </w:num>
  <w:num w:numId="161" w16cid:durableId="1835486313">
    <w:abstractNumId w:val="269"/>
  </w:num>
  <w:num w:numId="162" w16cid:durableId="712658764">
    <w:abstractNumId w:val="217"/>
  </w:num>
  <w:num w:numId="163" w16cid:durableId="1702970560">
    <w:abstractNumId w:val="148"/>
  </w:num>
  <w:num w:numId="164" w16cid:durableId="130637895">
    <w:abstractNumId w:val="117"/>
  </w:num>
  <w:num w:numId="165" w16cid:durableId="240413210">
    <w:abstractNumId w:val="77"/>
  </w:num>
  <w:num w:numId="166" w16cid:durableId="605574945">
    <w:abstractNumId w:val="146"/>
  </w:num>
  <w:num w:numId="167" w16cid:durableId="859586207">
    <w:abstractNumId w:val="84"/>
  </w:num>
  <w:num w:numId="168" w16cid:durableId="3215874">
    <w:abstractNumId w:val="202"/>
  </w:num>
  <w:num w:numId="169" w16cid:durableId="1448350958">
    <w:abstractNumId w:val="142"/>
  </w:num>
  <w:num w:numId="170" w16cid:durableId="1586111880">
    <w:abstractNumId w:val="30"/>
  </w:num>
  <w:num w:numId="171" w16cid:durableId="630013661">
    <w:abstractNumId w:val="222"/>
  </w:num>
  <w:num w:numId="172" w16cid:durableId="796993873">
    <w:abstractNumId w:val="52"/>
  </w:num>
  <w:num w:numId="173" w16cid:durableId="1826362795">
    <w:abstractNumId w:val="140"/>
  </w:num>
  <w:num w:numId="174" w16cid:durableId="320503739">
    <w:abstractNumId w:val="133"/>
  </w:num>
  <w:num w:numId="175" w16cid:durableId="702747529">
    <w:abstractNumId w:val="184"/>
  </w:num>
  <w:num w:numId="176" w16cid:durableId="727605925">
    <w:abstractNumId w:val="227"/>
  </w:num>
  <w:num w:numId="177" w16cid:durableId="1037193566">
    <w:abstractNumId w:val="266"/>
  </w:num>
  <w:num w:numId="178" w16cid:durableId="2115784250">
    <w:abstractNumId w:val="10"/>
  </w:num>
  <w:num w:numId="179" w16cid:durableId="575285903">
    <w:abstractNumId w:val="155"/>
  </w:num>
  <w:num w:numId="180" w16cid:durableId="1854953976">
    <w:abstractNumId w:val="203"/>
  </w:num>
  <w:num w:numId="181" w16cid:durableId="855189488">
    <w:abstractNumId w:val="3"/>
  </w:num>
  <w:num w:numId="182" w16cid:durableId="1435516469">
    <w:abstractNumId w:val="11"/>
  </w:num>
  <w:num w:numId="183" w16cid:durableId="1297174893">
    <w:abstractNumId w:val="254"/>
  </w:num>
  <w:num w:numId="184" w16cid:durableId="1273825359">
    <w:abstractNumId w:val="25"/>
  </w:num>
  <w:num w:numId="185" w16cid:durableId="969558729">
    <w:abstractNumId w:val="100"/>
  </w:num>
  <w:num w:numId="186" w16cid:durableId="516239455">
    <w:abstractNumId w:val="86"/>
  </w:num>
  <w:num w:numId="187" w16cid:durableId="352734947">
    <w:abstractNumId w:val="36"/>
  </w:num>
  <w:num w:numId="188" w16cid:durableId="988946491">
    <w:abstractNumId w:val="122"/>
  </w:num>
  <w:num w:numId="189" w16cid:durableId="1902716557">
    <w:abstractNumId w:val="267"/>
  </w:num>
  <w:num w:numId="190" w16cid:durableId="104270275">
    <w:abstractNumId w:val="201"/>
  </w:num>
  <w:num w:numId="191" w16cid:durableId="185143284">
    <w:abstractNumId w:val="197"/>
  </w:num>
  <w:num w:numId="192" w16cid:durableId="219557574">
    <w:abstractNumId w:val="78"/>
  </w:num>
  <w:num w:numId="193" w16cid:durableId="1328173408">
    <w:abstractNumId w:val="147"/>
  </w:num>
  <w:num w:numId="194" w16cid:durableId="1128742937">
    <w:abstractNumId w:val="12"/>
  </w:num>
  <w:num w:numId="195" w16cid:durableId="680593491">
    <w:abstractNumId w:val="63"/>
  </w:num>
  <w:num w:numId="196" w16cid:durableId="1116027707">
    <w:abstractNumId w:val="224"/>
  </w:num>
  <w:num w:numId="197" w16cid:durableId="2109082139">
    <w:abstractNumId w:val="39"/>
  </w:num>
  <w:num w:numId="198" w16cid:durableId="427039529">
    <w:abstractNumId w:val="256"/>
  </w:num>
  <w:num w:numId="199" w16cid:durableId="2007633440">
    <w:abstractNumId w:val="9"/>
  </w:num>
  <w:num w:numId="200" w16cid:durableId="1093278111">
    <w:abstractNumId w:val="0"/>
  </w:num>
  <w:num w:numId="201" w16cid:durableId="595871877">
    <w:abstractNumId w:val="206"/>
  </w:num>
  <w:num w:numId="202" w16cid:durableId="188759729">
    <w:abstractNumId w:val="166"/>
  </w:num>
  <w:num w:numId="203" w16cid:durableId="887451223">
    <w:abstractNumId w:val="223"/>
  </w:num>
  <w:num w:numId="204" w16cid:durableId="1238126502">
    <w:abstractNumId w:val="259"/>
  </w:num>
  <w:num w:numId="205" w16cid:durableId="1945769676">
    <w:abstractNumId w:val="123"/>
  </w:num>
  <w:num w:numId="206" w16cid:durableId="1482235552">
    <w:abstractNumId w:val="65"/>
  </w:num>
  <w:num w:numId="207" w16cid:durableId="910502267">
    <w:abstractNumId w:val="76"/>
  </w:num>
  <w:num w:numId="208" w16cid:durableId="1681933894">
    <w:abstractNumId w:val="68"/>
  </w:num>
  <w:num w:numId="209" w16cid:durableId="1365011920">
    <w:abstractNumId w:val="8"/>
  </w:num>
  <w:num w:numId="210" w16cid:durableId="1857422861">
    <w:abstractNumId w:val="129"/>
  </w:num>
  <w:num w:numId="211" w16cid:durableId="1039625857">
    <w:abstractNumId w:val="176"/>
  </w:num>
  <w:num w:numId="212" w16cid:durableId="104351639">
    <w:abstractNumId w:val="44"/>
  </w:num>
  <w:num w:numId="213" w16cid:durableId="1948075431">
    <w:abstractNumId w:val="187"/>
  </w:num>
  <w:num w:numId="214" w16cid:durableId="1542283763">
    <w:abstractNumId w:val="71"/>
  </w:num>
  <w:num w:numId="215" w16cid:durableId="1761678064">
    <w:abstractNumId w:val="228"/>
  </w:num>
  <w:num w:numId="216" w16cid:durableId="1734700428">
    <w:abstractNumId w:val="64"/>
  </w:num>
  <w:num w:numId="217" w16cid:durableId="540242133">
    <w:abstractNumId w:val="102"/>
  </w:num>
  <w:num w:numId="218" w16cid:durableId="1539468613">
    <w:abstractNumId w:val="226"/>
  </w:num>
  <w:num w:numId="219" w16cid:durableId="150566442">
    <w:abstractNumId w:val="145"/>
  </w:num>
  <w:num w:numId="220" w16cid:durableId="2027511576">
    <w:abstractNumId w:val="60"/>
  </w:num>
  <w:num w:numId="221" w16cid:durableId="1138766210">
    <w:abstractNumId w:val="173"/>
  </w:num>
  <w:num w:numId="222" w16cid:durableId="779372515">
    <w:abstractNumId w:val="67"/>
  </w:num>
  <w:num w:numId="223" w16cid:durableId="1800493828">
    <w:abstractNumId w:val="152"/>
  </w:num>
  <w:num w:numId="224" w16cid:durableId="1780679047">
    <w:abstractNumId w:val="92"/>
  </w:num>
  <w:num w:numId="225" w16cid:durableId="1594391663">
    <w:abstractNumId w:val="119"/>
  </w:num>
  <w:num w:numId="226" w16cid:durableId="1016230522">
    <w:abstractNumId w:val="242"/>
  </w:num>
  <w:num w:numId="227" w16cid:durableId="1954743780">
    <w:abstractNumId w:val="120"/>
  </w:num>
  <w:num w:numId="228" w16cid:durableId="581795147">
    <w:abstractNumId w:val="232"/>
  </w:num>
  <w:num w:numId="229" w16cid:durableId="4943549">
    <w:abstractNumId w:val="2"/>
  </w:num>
  <w:num w:numId="230" w16cid:durableId="1185705034">
    <w:abstractNumId w:val="245"/>
  </w:num>
  <w:num w:numId="231" w16cid:durableId="663360887">
    <w:abstractNumId w:val="116"/>
  </w:num>
  <w:num w:numId="232" w16cid:durableId="491604614">
    <w:abstractNumId w:val="237"/>
  </w:num>
  <w:num w:numId="233" w16cid:durableId="1826318244">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78866619">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209999718">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986935378">
    <w:abstractNumId w:val="81"/>
  </w:num>
  <w:num w:numId="237" w16cid:durableId="1657412485">
    <w:abstractNumId w:val="59"/>
  </w:num>
  <w:num w:numId="238" w16cid:durableId="539900653">
    <w:abstractNumId w:val="48"/>
  </w:num>
  <w:num w:numId="239" w16cid:durableId="835534586">
    <w:abstractNumId w:val="15"/>
  </w:num>
  <w:num w:numId="240" w16cid:durableId="256443891">
    <w:abstractNumId w:val="199"/>
  </w:num>
  <w:num w:numId="241" w16cid:durableId="2094549714">
    <w:abstractNumId w:val="29"/>
  </w:num>
  <w:num w:numId="242" w16cid:durableId="796875096">
    <w:abstractNumId w:val="221"/>
  </w:num>
  <w:num w:numId="243" w16cid:durableId="817496678">
    <w:abstractNumId w:val="1"/>
  </w:num>
  <w:num w:numId="244" w16cid:durableId="1588421019">
    <w:abstractNumId w:val="238"/>
  </w:num>
  <w:num w:numId="245" w16cid:durableId="1438987137">
    <w:abstractNumId w:val="212"/>
  </w:num>
  <w:num w:numId="246" w16cid:durableId="217597595">
    <w:abstractNumId w:val="156"/>
  </w:num>
  <w:num w:numId="247" w16cid:durableId="983314865">
    <w:abstractNumId w:val="248"/>
  </w:num>
  <w:num w:numId="248" w16cid:durableId="949511143">
    <w:abstractNumId w:val="215"/>
  </w:num>
  <w:num w:numId="249" w16cid:durableId="1880512118">
    <w:abstractNumId w:val="180"/>
  </w:num>
  <w:num w:numId="250" w16cid:durableId="1433738923">
    <w:abstractNumId w:val="126"/>
  </w:num>
  <w:num w:numId="251" w16cid:durableId="772818265">
    <w:abstractNumId w:val="118"/>
  </w:num>
  <w:num w:numId="252" w16cid:durableId="233977584">
    <w:abstractNumId w:val="91"/>
  </w:num>
  <w:num w:numId="253" w16cid:durableId="1928273329">
    <w:abstractNumId w:val="108"/>
  </w:num>
  <w:num w:numId="254" w16cid:durableId="1922519287">
    <w:abstractNumId w:val="168"/>
  </w:num>
  <w:num w:numId="255" w16cid:durableId="1853258483">
    <w:abstractNumId w:val="95"/>
  </w:num>
  <w:num w:numId="256" w16cid:durableId="1246652457">
    <w:abstractNumId w:val="121"/>
  </w:num>
  <w:num w:numId="257" w16cid:durableId="294214794">
    <w:abstractNumId w:val="170"/>
  </w:num>
  <w:num w:numId="258" w16cid:durableId="293559496">
    <w:abstractNumId w:val="236"/>
  </w:num>
  <w:num w:numId="259" w16cid:durableId="590435400">
    <w:abstractNumId w:val="62"/>
  </w:num>
  <w:num w:numId="260" w16cid:durableId="1907493169">
    <w:abstractNumId w:val="83"/>
  </w:num>
  <w:num w:numId="261" w16cid:durableId="1672373265">
    <w:abstractNumId w:val="56"/>
  </w:num>
  <w:num w:numId="262" w16cid:durableId="1162887030">
    <w:abstractNumId w:val="26"/>
  </w:num>
  <w:num w:numId="263" w16cid:durableId="1792169566">
    <w:abstractNumId w:val="218"/>
  </w:num>
  <w:num w:numId="264" w16cid:durableId="1670134388">
    <w:abstractNumId w:val="149"/>
  </w:num>
  <w:num w:numId="265" w16cid:durableId="77602580">
    <w:abstractNumId w:val="99"/>
  </w:num>
  <w:num w:numId="266" w16cid:durableId="1253049057">
    <w:abstractNumId w:val="139"/>
  </w:num>
  <w:num w:numId="267" w16cid:durableId="2039237515">
    <w:abstractNumId w:val="82"/>
  </w:num>
  <w:num w:numId="268" w16cid:durableId="1341813824">
    <w:abstractNumId w:val="151"/>
  </w:num>
  <w:num w:numId="269" w16cid:durableId="966550771">
    <w:abstractNumId w:val="182"/>
  </w:num>
  <w:num w:numId="270" w16cid:durableId="1157110750">
    <w:abstractNumId w:val="258"/>
  </w:num>
  <w:num w:numId="271" w16cid:durableId="331493681">
    <w:abstractNumId w:val="112"/>
  </w:num>
  <w:numIdMacAtCleanup w:val="2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activeWritingStyle w:appName="MSWord" w:lang="es-ES" w:vendorID="64" w:dllVersion="6" w:nlCheck="1" w:checkStyle="1"/>
  <w:activeWritingStyle w:appName="MSWord" w:lang="en-US" w:vendorID="64" w:dllVersion="6" w:nlCheck="1" w:checkStyle="1"/>
  <w:activeWritingStyle w:appName="MSWord" w:lang="en-ID" w:vendorID="64" w:dllVersion="6" w:nlCheck="1" w:checkStyle="1"/>
  <w:activeWritingStyle w:appName="MSWord" w:lang="en-GB"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n-ID"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pt-BR" w:vendorID="64" w:dllVersion="4096" w:nlCheck="1" w:checkStyle="0"/>
  <w:activeWritingStyle w:appName="MSWord" w:lang="fi-FI"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r-FR" w:vendorID="64" w:dllVersion="4096"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n-ID" w:vendorID="64" w:dllVersion="0" w:nlCheck="1" w:checkStyle="0"/>
  <w:activeWritingStyle w:appName="MSWord" w:lang="fr-FR" w:vendorID="64" w:dllVersion="6" w:nlCheck="1" w:checkStyle="1"/>
  <w:activeWritingStyle w:appName="MSWord" w:lang="es-BO"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969"/>
    <w:rsid w:val="000000E2"/>
    <w:rsid w:val="0000035E"/>
    <w:rsid w:val="000007E7"/>
    <w:rsid w:val="0000081A"/>
    <w:rsid w:val="000009A1"/>
    <w:rsid w:val="00000C25"/>
    <w:rsid w:val="00000DEE"/>
    <w:rsid w:val="00001167"/>
    <w:rsid w:val="00001300"/>
    <w:rsid w:val="000016DE"/>
    <w:rsid w:val="00001AE2"/>
    <w:rsid w:val="00001B40"/>
    <w:rsid w:val="00002193"/>
    <w:rsid w:val="0000251C"/>
    <w:rsid w:val="000026AC"/>
    <w:rsid w:val="000026AF"/>
    <w:rsid w:val="0000279C"/>
    <w:rsid w:val="000028A7"/>
    <w:rsid w:val="00002C2A"/>
    <w:rsid w:val="00002DCC"/>
    <w:rsid w:val="00002E8A"/>
    <w:rsid w:val="000032FF"/>
    <w:rsid w:val="00003557"/>
    <w:rsid w:val="0000381E"/>
    <w:rsid w:val="00003D04"/>
    <w:rsid w:val="00004527"/>
    <w:rsid w:val="000045E1"/>
    <w:rsid w:val="000046AE"/>
    <w:rsid w:val="00004A39"/>
    <w:rsid w:val="00004D96"/>
    <w:rsid w:val="00004FFA"/>
    <w:rsid w:val="00005410"/>
    <w:rsid w:val="00005ACA"/>
    <w:rsid w:val="00005B30"/>
    <w:rsid w:val="00005B79"/>
    <w:rsid w:val="000060E9"/>
    <w:rsid w:val="00006360"/>
    <w:rsid w:val="000064AF"/>
    <w:rsid w:val="000065C1"/>
    <w:rsid w:val="00006E1A"/>
    <w:rsid w:val="000072B2"/>
    <w:rsid w:val="000072D2"/>
    <w:rsid w:val="00007A3D"/>
    <w:rsid w:val="00007FB1"/>
    <w:rsid w:val="00010302"/>
    <w:rsid w:val="0001056E"/>
    <w:rsid w:val="00010631"/>
    <w:rsid w:val="00010D26"/>
    <w:rsid w:val="00010FE5"/>
    <w:rsid w:val="000110B3"/>
    <w:rsid w:val="000112A8"/>
    <w:rsid w:val="000114D3"/>
    <w:rsid w:val="00011AB3"/>
    <w:rsid w:val="00011C54"/>
    <w:rsid w:val="00011DC0"/>
    <w:rsid w:val="000125DC"/>
    <w:rsid w:val="00012928"/>
    <w:rsid w:val="00012A79"/>
    <w:rsid w:val="00012A85"/>
    <w:rsid w:val="00012BDD"/>
    <w:rsid w:val="00012FE5"/>
    <w:rsid w:val="000130E8"/>
    <w:rsid w:val="00013538"/>
    <w:rsid w:val="000139A0"/>
    <w:rsid w:val="00013B5F"/>
    <w:rsid w:val="00014676"/>
    <w:rsid w:val="00014BCE"/>
    <w:rsid w:val="00014D1C"/>
    <w:rsid w:val="00014F4E"/>
    <w:rsid w:val="00015241"/>
    <w:rsid w:val="000153B5"/>
    <w:rsid w:val="000153C3"/>
    <w:rsid w:val="0001547A"/>
    <w:rsid w:val="00015480"/>
    <w:rsid w:val="00015A6E"/>
    <w:rsid w:val="00015B25"/>
    <w:rsid w:val="00015C5E"/>
    <w:rsid w:val="0001607A"/>
    <w:rsid w:val="0001677D"/>
    <w:rsid w:val="00016948"/>
    <w:rsid w:val="00016E63"/>
    <w:rsid w:val="00017136"/>
    <w:rsid w:val="000174D1"/>
    <w:rsid w:val="00017C5B"/>
    <w:rsid w:val="00017FB9"/>
    <w:rsid w:val="00020234"/>
    <w:rsid w:val="00020421"/>
    <w:rsid w:val="00020638"/>
    <w:rsid w:val="00020D50"/>
    <w:rsid w:val="00021212"/>
    <w:rsid w:val="000213C8"/>
    <w:rsid w:val="000218BE"/>
    <w:rsid w:val="0002208E"/>
    <w:rsid w:val="0002223B"/>
    <w:rsid w:val="00022375"/>
    <w:rsid w:val="000227B8"/>
    <w:rsid w:val="00022A57"/>
    <w:rsid w:val="00023039"/>
    <w:rsid w:val="00023107"/>
    <w:rsid w:val="0002313A"/>
    <w:rsid w:val="00023455"/>
    <w:rsid w:val="00023BC2"/>
    <w:rsid w:val="000242E0"/>
    <w:rsid w:val="000243DD"/>
    <w:rsid w:val="00024633"/>
    <w:rsid w:val="000248DF"/>
    <w:rsid w:val="00024A90"/>
    <w:rsid w:val="00024F3E"/>
    <w:rsid w:val="000253C3"/>
    <w:rsid w:val="000257EB"/>
    <w:rsid w:val="00025A0C"/>
    <w:rsid w:val="00025B10"/>
    <w:rsid w:val="00025B7A"/>
    <w:rsid w:val="00025BD3"/>
    <w:rsid w:val="00025C60"/>
    <w:rsid w:val="00025F24"/>
    <w:rsid w:val="00025F46"/>
    <w:rsid w:val="0002604C"/>
    <w:rsid w:val="000260A0"/>
    <w:rsid w:val="000264ED"/>
    <w:rsid w:val="00026709"/>
    <w:rsid w:val="0002689F"/>
    <w:rsid w:val="00026999"/>
    <w:rsid w:val="00026C80"/>
    <w:rsid w:val="00026EAC"/>
    <w:rsid w:val="00027CEC"/>
    <w:rsid w:val="0003027E"/>
    <w:rsid w:val="0003091E"/>
    <w:rsid w:val="0003092B"/>
    <w:rsid w:val="00030AA8"/>
    <w:rsid w:val="00030AE7"/>
    <w:rsid w:val="00030BF8"/>
    <w:rsid w:val="00030E14"/>
    <w:rsid w:val="00031101"/>
    <w:rsid w:val="00031162"/>
    <w:rsid w:val="00031334"/>
    <w:rsid w:val="00031DDD"/>
    <w:rsid w:val="00032934"/>
    <w:rsid w:val="00032B78"/>
    <w:rsid w:val="00032FF6"/>
    <w:rsid w:val="0003356D"/>
    <w:rsid w:val="0003358C"/>
    <w:rsid w:val="00033719"/>
    <w:rsid w:val="000339C8"/>
    <w:rsid w:val="00033BE9"/>
    <w:rsid w:val="00033D01"/>
    <w:rsid w:val="000342BD"/>
    <w:rsid w:val="00034379"/>
    <w:rsid w:val="00034422"/>
    <w:rsid w:val="000344EB"/>
    <w:rsid w:val="00034876"/>
    <w:rsid w:val="00034877"/>
    <w:rsid w:val="00035364"/>
    <w:rsid w:val="000354C6"/>
    <w:rsid w:val="0003566E"/>
    <w:rsid w:val="00035679"/>
    <w:rsid w:val="000356DD"/>
    <w:rsid w:val="00035812"/>
    <w:rsid w:val="00035873"/>
    <w:rsid w:val="00035AB7"/>
    <w:rsid w:val="000364A3"/>
    <w:rsid w:val="00036C82"/>
    <w:rsid w:val="00036DBA"/>
    <w:rsid w:val="00037037"/>
    <w:rsid w:val="000373E9"/>
    <w:rsid w:val="0003744E"/>
    <w:rsid w:val="00037590"/>
    <w:rsid w:val="000376D9"/>
    <w:rsid w:val="000377BB"/>
    <w:rsid w:val="000379B4"/>
    <w:rsid w:val="00037BA4"/>
    <w:rsid w:val="00037BE0"/>
    <w:rsid w:val="00037E8F"/>
    <w:rsid w:val="00037F66"/>
    <w:rsid w:val="00037F8D"/>
    <w:rsid w:val="00040DB4"/>
    <w:rsid w:val="00040E2A"/>
    <w:rsid w:val="0004103C"/>
    <w:rsid w:val="000410B1"/>
    <w:rsid w:val="000413C8"/>
    <w:rsid w:val="00041F2E"/>
    <w:rsid w:val="00042338"/>
    <w:rsid w:val="00042BB8"/>
    <w:rsid w:val="00042C73"/>
    <w:rsid w:val="0004393B"/>
    <w:rsid w:val="000439AA"/>
    <w:rsid w:val="00043FF9"/>
    <w:rsid w:val="00044368"/>
    <w:rsid w:val="0004486E"/>
    <w:rsid w:val="000448BD"/>
    <w:rsid w:val="000448C1"/>
    <w:rsid w:val="00044A24"/>
    <w:rsid w:val="000450A0"/>
    <w:rsid w:val="000450F6"/>
    <w:rsid w:val="00045451"/>
    <w:rsid w:val="00045C7F"/>
    <w:rsid w:val="00045CD8"/>
    <w:rsid w:val="0004610C"/>
    <w:rsid w:val="000462C2"/>
    <w:rsid w:val="00046408"/>
    <w:rsid w:val="00046597"/>
    <w:rsid w:val="00046B24"/>
    <w:rsid w:val="00046E2C"/>
    <w:rsid w:val="00046FF4"/>
    <w:rsid w:val="0004706D"/>
    <w:rsid w:val="0004728E"/>
    <w:rsid w:val="0004739A"/>
    <w:rsid w:val="000478B3"/>
    <w:rsid w:val="000479D5"/>
    <w:rsid w:val="000479F4"/>
    <w:rsid w:val="00047E88"/>
    <w:rsid w:val="00047FC1"/>
    <w:rsid w:val="000500F3"/>
    <w:rsid w:val="0005048A"/>
    <w:rsid w:val="00050692"/>
    <w:rsid w:val="000509E0"/>
    <w:rsid w:val="00050A63"/>
    <w:rsid w:val="00050B5E"/>
    <w:rsid w:val="00050C72"/>
    <w:rsid w:val="00050DAE"/>
    <w:rsid w:val="00050FA6"/>
    <w:rsid w:val="00051187"/>
    <w:rsid w:val="0005149D"/>
    <w:rsid w:val="0005163B"/>
    <w:rsid w:val="00051665"/>
    <w:rsid w:val="000518A2"/>
    <w:rsid w:val="00051A67"/>
    <w:rsid w:val="00051F85"/>
    <w:rsid w:val="0005212F"/>
    <w:rsid w:val="000524D6"/>
    <w:rsid w:val="0005260F"/>
    <w:rsid w:val="000529D7"/>
    <w:rsid w:val="00052DF3"/>
    <w:rsid w:val="00052EA3"/>
    <w:rsid w:val="0005303D"/>
    <w:rsid w:val="00053041"/>
    <w:rsid w:val="00053117"/>
    <w:rsid w:val="000534B1"/>
    <w:rsid w:val="0005356D"/>
    <w:rsid w:val="000537D1"/>
    <w:rsid w:val="0005381C"/>
    <w:rsid w:val="00053936"/>
    <w:rsid w:val="000549EF"/>
    <w:rsid w:val="00054AA2"/>
    <w:rsid w:val="00054C4F"/>
    <w:rsid w:val="000550F9"/>
    <w:rsid w:val="00055276"/>
    <w:rsid w:val="000552CD"/>
    <w:rsid w:val="00055667"/>
    <w:rsid w:val="0005579E"/>
    <w:rsid w:val="00055985"/>
    <w:rsid w:val="00055A49"/>
    <w:rsid w:val="00055BAE"/>
    <w:rsid w:val="00055DA1"/>
    <w:rsid w:val="000560B9"/>
    <w:rsid w:val="00056217"/>
    <w:rsid w:val="00056483"/>
    <w:rsid w:val="000569EF"/>
    <w:rsid w:val="00056A47"/>
    <w:rsid w:val="00057386"/>
    <w:rsid w:val="000578B1"/>
    <w:rsid w:val="000578CD"/>
    <w:rsid w:val="0005790F"/>
    <w:rsid w:val="00060785"/>
    <w:rsid w:val="00060798"/>
    <w:rsid w:val="000608B4"/>
    <w:rsid w:val="00060A31"/>
    <w:rsid w:val="00060CF4"/>
    <w:rsid w:val="000612C5"/>
    <w:rsid w:val="0006136D"/>
    <w:rsid w:val="00061A49"/>
    <w:rsid w:val="00061BF5"/>
    <w:rsid w:val="00061D1A"/>
    <w:rsid w:val="00061E56"/>
    <w:rsid w:val="000623B9"/>
    <w:rsid w:val="000625B5"/>
    <w:rsid w:val="00062759"/>
    <w:rsid w:val="00062775"/>
    <w:rsid w:val="00062BDB"/>
    <w:rsid w:val="00062C9B"/>
    <w:rsid w:val="00062F03"/>
    <w:rsid w:val="000636C3"/>
    <w:rsid w:val="00063B9C"/>
    <w:rsid w:val="00063EB7"/>
    <w:rsid w:val="000645E0"/>
    <w:rsid w:val="0006480C"/>
    <w:rsid w:val="000648A5"/>
    <w:rsid w:val="00064B16"/>
    <w:rsid w:val="00064DAE"/>
    <w:rsid w:val="00065317"/>
    <w:rsid w:val="00065D48"/>
    <w:rsid w:val="00065EE4"/>
    <w:rsid w:val="00065FA1"/>
    <w:rsid w:val="00065FD0"/>
    <w:rsid w:val="00066483"/>
    <w:rsid w:val="00066F95"/>
    <w:rsid w:val="00067036"/>
    <w:rsid w:val="000670B4"/>
    <w:rsid w:val="000673C0"/>
    <w:rsid w:val="00067686"/>
    <w:rsid w:val="00067689"/>
    <w:rsid w:val="00067827"/>
    <w:rsid w:val="00067E35"/>
    <w:rsid w:val="00067E81"/>
    <w:rsid w:val="00070A03"/>
    <w:rsid w:val="00070C21"/>
    <w:rsid w:val="00070C2B"/>
    <w:rsid w:val="00070CF8"/>
    <w:rsid w:val="00071366"/>
    <w:rsid w:val="000713A4"/>
    <w:rsid w:val="000713DD"/>
    <w:rsid w:val="00071516"/>
    <w:rsid w:val="0007165B"/>
    <w:rsid w:val="00071795"/>
    <w:rsid w:val="00071808"/>
    <w:rsid w:val="0007184A"/>
    <w:rsid w:val="00071BB9"/>
    <w:rsid w:val="00071C83"/>
    <w:rsid w:val="00071E51"/>
    <w:rsid w:val="00071F0F"/>
    <w:rsid w:val="00072173"/>
    <w:rsid w:val="00072317"/>
    <w:rsid w:val="00072566"/>
    <w:rsid w:val="0007282E"/>
    <w:rsid w:val="0007285A"/>
    <w:rsid w:val="00072DF1"/>
    <w:rsid w:val="00073154"/>
    <w:rsid w:val="00073156"/>
    <w:rsid w:val="000734B0"/>
    <w:rsid w:val="00073580"/>
    <w:rsid w:val="0007362A"/>
    <w:rsid w:val="00073719"/>
    <w:rsid w:val="00073B1B"/>
    <w:rsid w:val="00074159"/>
    <w:rsid w:val="0007438E"/>
    <w:rsid w:val="00074444"/>
    <w:rsid w:val="0007453B"/>
    <w:rsid w:val="00074712"/>
    <w:rsid w:val="00074748"/>
    <w:rsid w:val="0007487A"/>
    <w:rsid w:val="00074AC1"/>
    <w:rsid w:val="00074BD3"/>
    <w:rsid w:val="00074C27"/>
    <w:rsid w:val="000750F7"/>
    <w:rsid w:val="00075924"/>
    <w:rsid w:val="00075E13"/>
    <w:rsid w:val="00075FC9"/>
    <w:rsid w:val="00076466"/>
    <w:rsid w:val="00076484"/>
    <w:rsid w:val="00076572"/>
    <w:rsid w:val="00076974"/>
    <w:rsid w:val="000769E8"/>
    <w:rsid w:val="00076AB8"/>
    <w:rsid w:val="0007754F"/>
    <w:rsid w:val="000779AB"/>
    <w:rsid w:val="00077B18"/>
    <w:rsid w:val="00077C34"/>
    <w:rsid w:val="00077D06"/>
    <w:rsid w:val="00080158"/>
    <w:rsid w:val="00080220"/>
    <w:rsid w:val="00080453"/>
    <w:rsid w:val="000808A8"/>
    <w:rsid w:val="00080B19"/>
    <w:rsid w:val="00080E41"/>
    <w:rsid w:val="0008111B"/>
    <w:rsid w:val="0008118B"/>
    <w:rsid w:val="00081928"/>
    <w:rsid w:val="00081932"/>
    <w:rsid w:val="00081B33"/>
    <w:rsid w:val="000824AE"/>
    <w:rsid w:val="0008290F"/>
    <w:rsid w:val="00082CF1"/>
    <w:rsid w:val="00082D32"/>
    <w:rsid w:val="00083558"/>
    <w:rsid w:val="00083661"/>
    <w:rsid w:val="00083708"/>
    <w:rsid w:val="00083B31"/>
    <w:rsid w:val="00083C62"/>
    <w:rsid w:val="00084107"/>
    <w:rsid w:val="000847BC"/>
    <w:rsid w:val="0008480A"/>
    <w:rsid w:val="00084F0C"/>
    <w:rsid w:val="00085068"/>
    <w:rsid w:val="000852E9"/>
    <w:rsid w:val="0008577B"/>
    <w:rsid w:val="00085830"/>
    <w:rsid w:val="000858EF"/>
    <w:rsid w:val="00085957"/>
    <w:rsid w:val="00085E99"/>
    <w:rsid w:val="00085FE5"/>
    <w:rsid w:val="0008756D"/>
    <w:rsid w:val="00087F64"/>
    <w:rsid w:val="00090094"/>
    <w:rsid w:val="00090342"/>
    <w:rsid w:val="000904EB"/>
    <w:rsid w:val="0009058C"/>
    <w:rsid w:val="000905D7"/>
    <w:rsid w:val="00090882"/>
    <w:rsid w:val="00090A3B"/>
    <w:rsid w:val="00090F02"/>
    <w:rsid w:val="00091083"/>
    <w:rsid w:val="00091698"/>
    <w:rsid w:val="000917A8"/>
    <w:rsid w:val="00091EBE"/>
    <w:rsid w:val="0009204D"/>
    <w:rsid w:val="000920BE"/>
    <w:rsid w:val="00092DBD"/>
    <w:rsid w:val="00092E80"/>
    <w:rsid w:val="000932DB"/>
    <w:rsid w:val="00093689"/>
    <w:rsid w:val="0009395E"/>
    <w:rsid w:val="000939B3"/>
    <w:rsid w:val="00093B09"/>
    <w:rsid w:val="00093B4F"/>
    <w:rsid w:val="00093DF3"/>
    <w:rsid w:val="00094129"/>
    <w:rsid w:val="0009432F"/>
    <w:rsid w:val="00094A92"/>
    <w:rsid w:val="00094B1B"/>
    <w:rsid w:val="00094E83"/>
    <w:rsid w:val="00095418"/>
    <w:rsid w:val="00095452"/>
    <w:rsid w:val="000955F7"/>
    <w:rsid w:val="0009564F"/>
    <w:rsid w:val="000956BE"/>
    <w:rsid w:val="00095BDA"/>
    <w:rsid w:val="000961EA"/>
    <w:rsid w:val="000964DF"/>
    <w:rsid w:val="000965A1"/>
    <w:rsid w:val="00096641"/>
    <w:rsid w:val="000968BB"/>
    <w:rsid w:val="00096AD2"/>
    <w:rsid w:val="000974F9"/>
    <w:rsid w:val="000976A8"/>
    <w:rsid w:val="00097A15"/>
    <w:rsid w:val="00097C43"/>
    <w:rsid w:val="00097C66"/>
    <w:rsid w:val="00097ECD"/>
    <w:rsid w:val="000A020B"/>
    <w:rsid w:val="000A0579"/>
    <w:rsid w:val="000A078E"/>
    <w:rsid w:val="000A07E0"/>
    <w:rsid w:val="000A09AF"/>
    <w:rsid w:val="000A0A95"/>
    <w:rsid w:val="000A0AAE"/>
    <w:rsid w:val="000A0FA3"/>
    <w:rsid w:val="000A12FE"/>
    <w:rsid w:val="000A1D86"/>
    <w:rsid w:val="000A1F74"/>
    <w:rsid w:val="000A20E0"/>
    <w:rsid w:val="000A21F6"/>
    <w:rsid w:val="000A28C9"/>
    <w:rsid w:val="000A2AAF"/>
    <w:rsid w:val="000A2D4B"/>
    <w:rsid w:val="000A2E3A"/>
    <w:rsid w:val="000A2F36"/>
    <w:rsid w:val="000A3048"/>
    <w:rsid w:val="000A3458"/>
    <w:rsid w:val="000A346A"/>
    <w:rsid w:val="000A3482"/>
    <w:rsid w:val="000A35CF"/>
    <w:rsid w:val="000A379C"/>
    <w:rsid w:val="000A3D67"/>
    <w:rsid w:val="000A3EC2"/>
    <w:rsid w:val="000A3F3C"/>
    <w:rsid w:val="000A4109"/>
    <w:rsid w:val="000A4C05"/>
    <w:rsid w:val="000A4C87"/>
    <w:rsid w:val="000A4DED"/>
    <w:rsid w:val="000A5135"/>
    <w:rsid w:val="000A5695"/>
    <w:rsid w:val="000A57AC"/>
    <w:rsid w:val="000A5E24"/>
    <w:rsid w:val="000A6077"/>
    <w:rsid w:val="000A60A2"/>
    <w:rsid w:val="000A6BDE"/>
    <w:rsid w:val="000A6F5C"/>
    <w:rsid w:val="000A720B"/>
    <w:rsid w:val="000A72A0"/>
    <w:rsid w:val="000A74EA"/>
    <w:rsid w:val="000A75A3"/>
    <w:rsid w:val="000A7BCB"/>
    <w:rsid w:val="000A7CC7"/>
    <w:rsid w:val="000B008C"/>
    <w:rsid w:val="000B0184"/>
    <w:rsid w:val="000B0363"/>
    <w:rsid w:val="000B05A7"/>
    <w:rsid w:val="000B06B1"/>
    <w:rsid w:val="000B0B5B"/>
    <w:rsid w:val="000B0B6A"/>
    <w:rsid w:val="000B1007"/>
    <w:rsid w:val="000B1290"/>
    <w:rsid w:val="000B13D4"/>
    <w:rsid w:val="000B1779"/>
    <w:rsid w:val="000B1818"/>
    <w:rsid w:val="000B19BD"/>
    <w:rsid w:val="000B1C62"/>
    <w:rsid w:val="000B1E32"/>
    <w:rsid w:val="000B20C6"/>
    <w:rsid w:val="000B27CF"/>
    <w:rsid w:val="000B2AAF"/>
    <w:rsid w:val="000B33C4"/>
    <w:rsid w:val="000B3533"/>
    <w:rsid w:val="000B396C"/>
    <w:rsid w:val="000B39A9"/>
    <w:rsid w:val="000B3BF4"/>
    <w:rsid w:val="000B3D6A"/>
    <w:rsid w:val="000B3DB5"/>
    <w:rsid w:val="000B4058"/>
    <w:rsid w:val="000B43A8"/>
    <w:rsid w:val="000B45D2"/>
    <w:rsid w:val="000B45D4"/>
    <w:rsid w:val="000B4B0A"/>
    <w:rsid w:val="000B4BB4"/>
    <w:rsid w:val="000B511C"/>
    <w:rsid w:val="000B54A0"/>
    <w:rsid w:val="000B5A78"/>
    <w:rsid w:val="000B5A87"/>
    <w:rsid w:val="000B61ED"/>
    <w:rsid w:val="000B6378"/>
    <w:rsid w:val="000B64C2"/>
    <w:rsid w:val="000B654B"/>
    <w:rsid w:val="000B6581"/>
    <w:rsid w:val="000B6763"/>
    <w:rsid w:val="000B686C"/>
    <w:rsid w:val="000B6D2B"/>
    <w:rsid w:val="000B719A"/>
    <w:rsid w:val="000B74E2"/>
    <w:rsid w:val="000B75A1"/>
    <w:rsid w:val="000B77CD"/>
    <w:rsid w:val="000B7A8D"/>
    <w:rsid w:val="000B7CC6"/>
    <w:rsid w:val="000B7D45"/>
    <w:rsid w:val="000C06DC"/>
    <w:rsid w:val="000C0A56"/>
    <w:rsid w:val="000C127E"/>
    <w:rsid w:val="000C14BB"/>
    <w:rsid w:val="000C19B6"/>
    <w:rsid w:val="000C1C83"/>
    <w:rsid w:val="000C2496"/>
    <w:rsid w:val="000C25FA"/>
    <w:rsid w:val="000C2793"/>
    <w:rsid w:val="000C2AEC"/>
    <w:rsid w:val="000C2D54"/>
    <w:rsid w:val="000C2E50"/>
    <w:rsid w:val="000C346F"/>
    <w:rsid w:val="000C367C"/>
    <w:rsid w:val="000C3A49"/>
    <w:rsid w:val="000C3CA1"/>
    <w:rsid w:val="000C3FF1"/>
    <w:rsid w:val="000C4128"/>
    <w:rsid w:val="000C4310"/>
    <w:rsid w:val="000C4B16"/>
    <w:rsid w:val="000C4BB5"/>
    <w:rsid w:val="000C4DFB"/>
    <w:rsid w:val="000C4ECE"/>
    <w:rsid w:val="000C4F38"/>
    <w:rsid w:val="000C5C2D"/>
    <w:rsid w:val="000C5D1D"/>
    <w:rsid w:val="000C605D"/>
    <w:rsid w:val="000C6606"/>
    <w:rsid w:val="000C67E3"/>
    <w:rsid w:val="000C6979"/>
    <w:rsid w:val="000C6A38"/>
    <w:rsid w:val="000C6B15"/>
    <w:rsid w:val="000C72FB"/>
    <w:rsid w:val="000C7821"/>
    <w:rsid w:val="000C794F"/>
    <w:rsid w:val="000C7961"/>
    <w:rsid w:val="000C7A76"/>
    <w:rsid w:val="000C7BCD"/>
    <w:rsid w:val="000C7D82"/>
    <w:rsid w:val="000D009C"/>
    <w:rsid w:val="000D0643"/>
    <w:rsid w:val="000D06C5"/>
    <w:rsid w:val="000D072C"/>
    <w:rsid w:val="000D07EE"/>
    <w:rsid w:val="000D0EFD"/>
    <w:rsid w:val="000D118C"/>
    <w:rsid w:val="000D12DC"/>
    <w:rsid w:val="000D1355"/>
    <w:rsid w:val="000D1BE4"/>
    <w:rsid w:val="000D1CC2"/>
    <w:rsid w:val="000D1DAC"/>
    <w:rsid w:val="000D2173"/>
    <w:rsid w:val="000D23DD"/>
    <w:rsid w:val="000D2483"/>
    <w:rsid w:val="000D262B"/>
    <w:rsid w:val="000D2919"/>
    <w:rsid w:val="000D2A88"/>
    <w:rsid w:val="000D32C1"/>
    <w:rsid w:val="000D3706"/>
    <w:rsid w:val="000D380E"/>
    <w:rsid w:val="000D3BDC"/>
    <w:rsid w:val="000D3C65"/>
    <w:rsid w:val="000D430B"/>
    <w:rsid w:val="000D4500"/>
    <w:rsid w:val="000D450A"/>
    <w:rsid w:val="000D45D4"/>
    <w:rsid w:val="000D47A7"/>
    <w:rsid w:val="000D48DB"/>
    <w:rsid w:val="000D494A"/>
    <w:rsid w:val="000D4A8C"/>
    <w:rsid w:val="000D4B35"/>
    <w:rsid w:val="000D4B9E"/>
    <w:rsid w:val="000D4FB7"/>
    <w:rsid w:val="000D5172"/>
    <w:rsid w:val="000D51EA"/>
    <w:rsid w:val="000D5601"/>
    <w:rsid w:val="000D5690"/>
    <w:rsid w:val="000D5934"/>
    <w:rsid w:val="000D5E26"/>
    <w:rsid w:val="000D652A"/>
    <w:rsid w:val="000D656B"/>
    <w:rsid w:val="000D6AEF"/>
    <w:rsid w:val="000D6D7A"/>
    <w:rsid w:val="000D6E4C"/>
    <w:rsid w:val="000D707B"/>
    <w:rsid w:val="000D729D"/>
    <w:rsid w:val="000D771E"/>
    <w:rsid w:val="000D780F"/>
    <w:rsid w:val="000D79A3"/>
    <w:rsid w:val="000D7CE5"/>
    <w:rsid w:val="000D7EC5"/>
    <w:rsid w:val="000D7F58"/>
    <w:rsid w:val="000D7F66"/>
    <w:rsid w:val="000E0235"/>
    <w:rsid w:val="000E027D"/>
    <w:rsid w:val="000E02F9"/>
    <w:rsid w:val="000E038A"/>
    <w:rsid w:val="000E06A6"/>
    <w:rsid w:val="000E0AE4"/>
    <w:rsid w:val="000E0B86"/>
    <w:rsid w:val="000E101C"/>
    <w:rsid w:val="000E1062"/>
    <w:rsid w:val="000E13EB"/>
    <w:rsid w:val="000E1515"/>
    <w:rsid w:val="000E203F"/>
    <w:rsid w:val="000E2131"/>
    <w:rsid w:val="000E2759"/>
    <w:rsid w:val="000E2A8B"/>
    <w:rsid w:val="000E31A4"/>
    <w:rsid w:val="000E33AF"/>
    <w:rsid w:val="000E343B"/>
    <w:rsid w:val="000E3453"/>
    <w:rsid w:val="000E3D99"/>
    <w:rsid w:val="000E419B"/>
    <w:rsid w:val="000E42D9"/>
    <w:rsid w:val="000E4463"/>
    <w:rsid w:val="000E4517"/>
    <w:rsid w:val="000E47BD"/>
    <w:rsid w:val="000E47BF"/>
    <w:rsid w:val="000E4F3E"/>
    <w:rsid w:val="000E5075"/>
    <w:rsid w:val="000E50D7"/>
    <w:rsid w:val="000E5373"/>
    <w:rsid w:val="000E5ADB"/>
    <w:rsid w:val="000E5E36"/>
    <w:rsid w:val="000E6245"/>
    <w:rsid w:val="000E6820"/>
    <w:rsid w:val="000E6F5B"/>
    <w:rsid w:val="000E76BC"/>
    <w:rsid w:val="000E7821"/>
    <w:rsid w:val="000E79C6"/>
    <w:rsid w:val="000E7CBA"/>
    <w:rsid w:val="000F034C"/>
    <w:rsid w:val="000F036E"/>
    <w:rsid w:val="000F0619"/>
    <w:rsid w:val="000F0AA2"/>
    <w:rsid w:val="000F0B64"/>
    <w:rsid w:val="000F0EC8"/>
    <w:rsid w:val="000F1065"/>
    <w:rsid w:val="000F118A"/>
    <w:rsid w:val="000F11DC"/>
    <w:rsid w:val="000F151B"/>
    <w:rsid w:val="000F16FC"/>
    <w:rsid w:val="000F1955"/>
    <w:rsid w:val="000F1D77"/>
    <w:rsid w:val="000F1F13"/>
    <w:rsid w:val="000F1F74"/>
    <w:rsid w:val="000F2076"/>
    <w:rsid w:val="000F2278"/>
    <w:rsid w:val="000F262A"/>
    <w:rsid w:val="000F2675"/>
    <w:rsid w:val="000F27F6"/>
    <w:rsid w:val="000F28BD"/>
    <w:rsid w:val="000F2A77"/>
    <w:rsid w:val="000F2D91"/>
    <w:rsid w:val="000F2E1E"/>
    <w:rsid w:val="000F30C0"/>
    <w:rsid w:val="000F3192"/>
    <w:rsid w:val="000F32AD"/>
    <w:rsid w:val="000F34E9"/>
    <w:rsid w:val="000F35D8"/>
    <w:rsid w:val="000F3623"/>
    <w:rsid w:val="000F388A"/>
    <w:rsid w:val="000F396E"/>
    <w:rsid w:val="000F3A71"/>
    <w:rsid w:val="000F3B89"/>
    <w:rsid w:val="000F3B8B"/>
    <w:rsid w:val="000F3C96"/>
    <w:rsid w:val="000F3F39"/>
    <w:rsid w:val="000F3FC0"/>
    <w:rsid w:val="000F43AF"/>
    <w:rsid w:val="000F4CA6"/>
    <w:rsid w:val="000F4CAF"/>
    <w:rsid w:val="000F4DC9"/>
    <w:rsid w:val="000F4F70"/>
    <w:rsid w:val="000F5364"/>
    <w:rsid w:val="000F541E"/>
    <w:rsid w:val="000F5D1A"/>
    <w:rsid w:val="000F5EC1"/>
    <w:rsid w:val="000F61B3"/>
    <w:rsid w:val="000F63E6"/>
    <w:rsid w:val="000F685E"/>
    <w:rsid w:val="000F68E0"/>
    <w:rsid w:val="000F6963"/>
    <w:rsid w:val="000F6968"/>
    <w:rsid w:val="000F6A13"/>
    <w:rsid w:val="000F6C38"/>
    <w:rsid w:val="000F6E0E"/>
    <w:rsid w:val="000F6FEC"/>
    <w:rsid w:val="000F7217"/>
    <w:rsid w:val="000F7363"/>
    <w:rsid w:val="000F7602"/>
    <w:rsid w:val="000F7E10"/>
    <w:rsid w:val="000F7E78"/>
    <w:rsid w:val="00100697"/>
    <w:rsid w:val="001008AE"/>
    <w:rsid w:val="00100DDC"/>
    <w:rsid w:val="00100E02"/>
    <w:rsid w:val="00100F78"/>
    <w:rsid w:val="00101103"/>
    <w:rsid w:val="001012B1"/>
    <w:rsid w:val="0010165E"/>
    <w:rsid w:val="001016B0"/>
    <w:rsid w:val="0010180C"/>
    <w:rsid w:val="00101997"/>
    <w:rsid w:val="00101B29"/>
    <w:rsid w:val="00101F3D"/>
    <w:rsid w:val="001023C3"/>
    <w:rsid w:val="00102525"/>
    <w:rsid w:val="001027D4"/>
    <w:rsid w:val="00102A76"/>
    <w:rsid w:val="00102B71"/>
    <w:rsid w:val="00102D9D"/>
    <w:rsid w:val="00102FBC"/>
    <w:rsid w:val="001031B1"/>
    <w:rsid w:val="001032B6"/>
    <w:rsid w:val="001032BF"/>
    <w:rsid w:val="00103429"/>
    <w:rsid w:val="0010355A"/>
    <w:rsid w:val="0010371B"/>
    <w:rsid w:val="0010377A"/>
    <w:rsid w:val="00103B96"/>
    <w:rsid w:val="00103C18"/>
    <w:rsid w:val="00103C40"/>
    <w:rsid w:val="00103E31"/>
    <w:rsid w:val="00103EAF"/>
    <w:rsid w:val="00103F44"/>
    <w:rsid w:val="00104287"/>
    <w:rsid w:val="00104396"/>
    <w:rsid w:val="001043B0"/>
    <w:rsid w:val="001044E8"/>
    <w:rsid w:val="00104B4F"/>
    <w:rsid w:val="00104E64"/>
    <w:rsid w:val="00104FE9"/>
    <w:rsid w:val="0010513A"/>
    <w:rsid w:val="00105160"/>
    <w:rsid w:val="0010533C"/>
    <w:rsid w:val="00105434"/>
    <w:rsid w:val="00105588"/>
    <w:rsid w:val="001057DF"/>
    <w:rsid w:val="001058AE"/>
    <w:rsid w:val="001058CB"/>
    <w:rsid w:val="001059A9"/>
    <w:rsid w:val="00105AF7"/>
    <w:rsid w:val="00105B73"/>
    <w:rsid w:val="00105CB6"/>
    <w:rsid w:val="00105E93"/>
    <w:rsid w:val="0010600F"/>
    <w:rsid w:val="001060A1"/>
    <w:rsid w:val="00106219"/>
    <w:rsid w:val="00106320"/>
    <w:rsid w:val="0010662B"/>
    <w:rsid w:val="001066C8"/>
    <w:rsid w:val="001068D7"/>
    <w:rsid w:val="00107486"/>
    <w:rsid w:val="00107533"/>
    <w:rsid w:val="00107B87"/>
    <w:rsid w:val="00107F45"/>
    <w:rsid w:val="00107FBC"/>
    <w:rsid w:val="0011008A"/>
    <w:rsid w:val="00110093"/>
    <w:rsid w:val="001101C4"/>
    <w:rsid w:val="001104CA"/>
    <w:rsid w:val="001106A6"/>
    <w:rsid w:val="00110B11"/>
    <w:rsid w:val="00110C1D"/>
    <w:rsid w:val="00110D16"/>
    <w:rsid w:val="00111529"/>
    <w:rsid w:val="001116B7"/>
    <w:rsid w:val="001117A9"/>
    <w:rsid w:val="00111D7C"/>
    <w:rsid w:val="00111F8E"/>
    <w:rsid w:val="00112082"/>
    <w:rsid w:val="001122D8"/>
    <w:rsid w:val="00112322"/>
    <w:rsid w:val="001124CA"/>
    <w:rsid w:val="00112867"/>
    <w:rsid w:val="00112B50"/>
    <w:rsid w:val="00112D9E"/>
    <w:rsid w:val="0011322B"/>
    <w:rsid w:val="00113278"/>
    <w:rsid w:val="0011345A"/>
    <w:rsid w:val="001134B4"/>
    <w:rsid w:val="00113719"/>
    <w:rsid w:val="00113806"/>
    <w:rsid w:val="00113AF5"/>
    <w:rsid w:val="00113B33"/>
    <w:rsid w:val="00113D70"/>
    <w:rsid w:val="00113ECB"/>
    <w:rsid w:val="00114085"/>
    <w:rsid w:val="001143F6"/>
    <w:rsid w:val="001144FC"/>
    <w:rsid w:val="00114610"/>
    <w:rsid w:val="00114C78"/>
    <w:rsid w:val="00114E72"/>
    <w:rsid w:val="001154D4"/>
    <w:rsid w:val="0011560E"/>
    <w:rsid w:val="001158F8"/>
    <w:rsid w:val="00115C9A"/>
    <w:rsid w:val="001165B4"/>
    <w:rsid w:val="001165FB"/>
    <w:rsid w:val="001166CC"/>
    <w:rsid w:val="001168BD"/>
    <w:rsid w:val="00116997"/>
    <w:rsid w:val="0011699D"/>
    <w:rsid w:val="00116DBC"/>
    <w:rsid w:val="00116F72"/>
    <w:rsid w:val="00117322"/>
    <w:rsid w:val="001176C5"/>
    <w:rsid w:val="001177DF"/>
    <w:rsid w:val="001178C6"/>
    <w:rsid w:val="00117ABE"/>
    <w:rsid w:val="00117BA3"/>
    <w:rsid w:val="00117F3F"/>
    <w:rsid w:val="00120158"/>
    <w:rsid w:val="001203CA"/>
    <w:rsid w:val="00120A2A"/>
    <w:rsid w:val="00120DC2"/>
    <w:rsid w:val="001211E1"/>
    <w:rsid w:val="001211E5"/>
    <w:rsid w:val="001212BB"/>
    <w:rsid w:val="001213CF"/>
    <w:rsid w:val="00121533"/>
    <w:rsid w:val="0012170B"/>
    <w:rsid w:val="00121C0D"/>
    <w:rsid w:val="00121E91"/>
    <w:rsid w:val="001223D7"/>
    <w:rsid w:val="0012244A"/>
    <w:rsid w:val="0012292E"/>
    <w:rsid w:val="00122D16"/>
    <w:rsid w:val="00122D48"/>
    <w:rsid w:val="00122EB2"/>
    <w:rsid w:val="00123020"/>
    <w:rsid w:val="001233E0"/>
    <w:rsid w:val="001234BD"/>
    <w:rsid w:val="00123CE1"/>
    <w:rsid w:val="00123D24"/>
    <w:rsid w:val="00123DE0"/>
    <w:rsid w:val="00123E49"/>
    <w:rsid w:val="00123E5E"/>
    <w:rsid w:val="00123F44"/>
    <w:rsid w:val="00124101"/>
    <w:rsid w:val="00124196"/>
    <w:rsid w:val="001241CC"/>
    <w:rsid w:val="00124207"/>
    <w:rsid w:val="00124259"/>
    <w:rsid w:val="001243A8"/>
    <w:rsid w:val="00124701"/>
    <w:rsid w:val="001248B5"/>
    <w:rsid w:val="00124984"/>
    <w:rsid w:val="00124989"/>
    <w:rsid w:val="0012499D"/>
    <w:rsid w:val="00124B84"/>
    <w:rsid w:val="00124D1F"/>
    <w:rsid w:val="001251DF"/>
    <w:rsid w:val="0012528A"/>
    <w:rsid w:val="001254A6"/>
    <w:rsid w:val="001255B1"/>
    <w:rsid w:val="00125794"/>
    <w:rsid w:val="00125B68"/>
    <w:rsid w:val="00125D4F"/>
    <w:rsid w:val="00125DC0"/>
    <w:rsid w:val="00125E45"/>
    <w:rsid w:val="00125EF6"/>
    <w:rsid w:val="00126C63"/>
    <w:rsid w:val="00126D96"/>
    <w:rsid w:val="00126E5B"/>
    <w:rsid w:val="001274F8"/>
    <w:rsid w:val="00127869"/>
    <w:rsid w:val="00127C90"/>
    <w:rsid w:val="00127D37"/>
    <w:rsid w:val="00127FF4"/>
    <w:rsid w:val="0013038F"/>
    <w:rsid w:val="001303DB"/>
    <w:rsid w:val="001305D7"/>
    <w:rsid w:val="00130A59"/>
    <w:rsid w:val="00130D88"/>
    <w:rsid w:val="00130EC2"/>
    <w:rsid w:val="00131031"/>
    <w:rsid w:val="001310A4"/>
    <w:rsid w:val="00131189"/>
    <w:rsid w:val="001315E9"/>
    <w:rsid w:val="001316BA"/>
    <w:rsid w:val="00131988"/>
    <w:rsid w:val="001319C5"/>
    <w:rsid w:val="00131AF3"/>
    <w:rsid w:val="00131C8B"/>
    <w:rsid w:val="00131F39"/>
    <w:rsid w:val="00132033"/>
    <w:rsid w:val="001323D8"/>
    <w:rsid w:val="00132421"/>
    <w:rsid w:val="00132442"/>
    <w:rsid w:val="00132B7E"/>
    <w:rsid w:val="00132C5F"/>
    <w:rsid w:val="00132C78"/>
    <w:rsid w:val="00132E7D"/>
    <w:rsid w:val="001331FB"/>
    <w:rsid w:val="00133513"/>
    <w:rsid w:val="00133798"/>
    <w:rsid w:val="00133850"/>
    <w:rsid w:val="00133AF0"/>
    <w:rsid w:val="00133B34"/>
    <w:rsid w:val="00133E6B"/>
    <w:rsid w:val="00133E81"/>
    <w:rsid w:val="00133FE6"/>
    <w:rsid w:val="001340FE"/>
    <w:rsid w:val="00134249"/>
    <w:rsid w:val="00134654"/>
    <w:rsid w:val="001353E6"/>
    <w:rsid w:val="00135435"/>
    <w:rsid w:val="001356C2"/>
    <w:rsid w:val="00135C8B"/>
    <w:rsid w:val="00135DD0"/>
    <w:rsid w:val="00135EF3"/>
    <w:rsid w:val="00135F05"/>
    <w:rsid w:val="00135FE9"/>
    <w:rsid w:val="00136049"/>
    <w:rsid w:val="00136127"/>
    <w:rsid w:val="00136746"/>
    <w:rsid w:val="00136B14"/>
    <w:rsid w:val="00136CD6"/>
    <w:rsid w:val="00136E5F"/>
    <w:rsid w:val="001371E6"/>
    <w:rsid w:val="0013741F"/>
    <w:rsid w:val="001374B3"/>
    <w:rsid w:val="00137641"/>
    <w:rsid w:val="0013781E"/>
    <w:rsid w:val="00137B74"/>
    <w:rsid w:val="00137C09"/>
    <w:rsid w:val="00137F1F"/>
    <w:rsid w:val="00137F7C"/>
    <w:rsid w:val="00137FC2"/>
    <w:rsid w:val="001402CE"/>
    <w:rsid w:val="0014035C"/>
    <w:rsid w:val="00140448"/>
    <w:rsid w:val="00140891"/>
    <w:rsid w:val="00140987"/>
    <w:rsid w:val="00140AD9"/>
    <w:rsid w:val="00140D7D"/>
    <w:rsid w:val="00141211"/>
    <w:rsid w:val="001413C9"/>
    <w:rsid w:val="001417F5"/>
    <w:rsid w:val="00142446"/>
    <w:rsid w:val="001425EB"/>
    <w:rsid w:val="00142787"/>
    <w:rsid w:val="00142A4A"/>
    <w:rsid w:val="00142A5C"/>
    <w:rsid w:val="00142CDE"/>
    <w:rsid w:val="00142EE5"/>
    <w:rsid w:val="00142F82"/>
    <w:rsid w:val="00143B59"/>
    <w:rsid w:val="001440AD"/>
    <w:rsid w:val="0014422D"/>
    <w:rsid w:val="00144326"/>
    <w:rsid w:val="0014469C"/>
    <w:rsid w:val="0014476E"/>
    <w:rsid w:val="0014501A"/>
    <w:rsid w:val="00145266"/>
    <w:rsid w:val="00145270"/>
    <w:rsid w:val="001453EF"/>
    <w:rsid w:val="0014557F"/>
    <w:rsid w:val="00145FBA"/>
    <w:rsid w:val="001460A2"/>
    <w:rsid w:val="001465AA"/>
    <w:rsid w:val="001466B6"/>
    <w:rsid w:val="00146714"/>
    <w:rsid w:val="00146C8C"/>
    <w:rsid w:val="00146FA2"/>
    <w:rsid w:val="0014716A"/>
    <w:rsid w:val="001472CE"/>
    <w:rsid w:val="00147328"/>
    <w:rsid w:val="00147341"/>
    <w:rsid w:val="0014776A"/>
    <w:rsid w:val="0014781A"/>
    <w:rsid w:val="00147871"/>
    <w:rsid w:val="0014787A"/>
    <w:rsid w:val="00147C36"/>
    <w:rsid w:val="001502ED"/>
    <w:rsid w:val="00150B02"/>
    <w:rsid w:val="00150B23"/>
    <w:rsid w:val="001512BF"/>
    <w:rsid w:val="00151408"/>
    <w:rsid w:val="0015161F"/>
    <w:rsid w:val="001517BF"/>
    <w:rsid w:val="00151939"/>
    <w:rsid w:val="00151A81"/>
    <w:rsid w:val="00151ADF"/>
    <w:rsid w:val="00151D90"/>
    <w:rsid w:val="00151FE8"/>
    <w:rsid w:val="001521BD"/>
    <w:rsid w:val="001522E7"/>
    <w:rsid w:val="0015254F"/>
    <w:rsid w:val="00152A44"/>
    <w:rsid w:val="00152ACA"/>
    <w:rsid w:val="00152F0E"/>
    <w:rsid w:val="001534CA"/>
    <w:rsid w:val="001535CA"/>
    <w:rsid w:val="0015376F"/>
    <w:rsid w:val="00153C35"/>
    <w:rsid w:val="00153D59"/>
    <w:rsid w:val="00153DBC"/>
    <w:rsid w:val="001541A1"/>
    <w:rsid w:val="00154265"/>
    <w:rsid w:val="001542B8"/>
    <w:rsid w:val="001544E8"/>
    <w:rsid w:val="001546F6"/>
    <w:rsid w:val="00154746"/>
    <w:rsid w:val="00154790"/>
    <w:rsid w:val="001548A8"/>
    <w:rsid w:val="001549C8"/>
    <w:rsid w:val="00154B67"/>
    <w:rsid w:val="00154E32"/>
    <w:rsid w:val="00154E77"/>
    <w:rsid w:val="001553E7"/>
    <w:rsid w:val="001554BC"/>
    <w:rsid w:val="001556DB"/>
    <w:rsid w:val="0015639B"/>
    <w:rsid w:val="0015673A"/>
    <w:rsid w:val="00156C49"/>
    <w:rsid w:val="00156D1B"/>
    <w:rsid w:val="001570F2"/>
    <w:rsid w:val="00157118"/>
    <w:rsid w:val="00157729"/>
    <w:rsid w:val="001577DE"/>
    <w:rsid w:val="00160056"/>
    <w:rsid w:val="00160408"/>
    <w:rsid w:val="001604BA"/>
    <w:rsid w:val="00160580"/>
    <w:rsid w:val="001606FB"/>
    <w:rsid w:val="0016071C"/>
    <w:rsid w:val="00160842"/>
    <w:rsid w:val="00160C63"/>
    <w:rsid w:val="00160C88"/>
    <w:rsid w:val="00160D65"/>
    <w:rsid w:val="001610BC"/>
    <w:rsid w:val="00161182"/>
    <w:rsid w:val="001615A0"/>
    <w:rsid w:val="001619D7"/>
    <w:rsid w:val="00161A9C"/>
    <w:rsid w:val="00161B5D"/>
    <w:rsid w:val="00161DAD"/>
    <w:rsid w:val="00161FDD"/>
    <w:rsid w:val="0016200D"/>
    <w:rsid w:val="00162674"/>
    <w:rsid w:val="001626FE"/>
    <w:rsid w:val="001628BC"/>
    <w:rsid w:val="001628EE"/>
    <w:rsid w:val="00162D40"/>
    <w:rsid w:val="00162D92"/>
    <w:rsid w:val="001632F8"/>
    <w:rsid w:val="001633EE"/>
    <w:rsid w:val="001635AC"/>
    <w:rsid w:val="0016361A"/>
    <w:rsid w:val="00163B01"/>
    <w:rsid w:val="00163D46"/>
    <w:rsid w:val="0016413D"/>
    <w:rsid w:val="00164271"/>
    <w:rsid w:val="001642E7"/>
    <w:rsid w:val="0016434F"/>
    <w:rsid w:val="001645E4"/>
    <w:rsid w:val="0016461A"/>
    <w:rsid w:val="00164B2F"/>
    <w:rsid w:val="00164BAC"/>
    <w:rsid w:val="00164BF5"/>
    <w:rsid w:val="0016539F"/>
    <w:rsid w:val="001657E3"/>
    <w:rsid w:val="0016593F"/>
    <w:rsid w:val="00165E35"/>
    <w:rsid w:val="0016647E"/>
    <w:rsid w:val="00166543"/>
    <w:rsid w:val="00166620"/>
    <w:rsid w:val="00166716"/>
    <w:rsid w:val="00166AF2"/>
    <w:rsid w:val="001678B7"/>
    <w:rsid w:val="00167C44"/>
    <w:rsid w:val="00167DD3"/>
    <w:rsid w:val="00170028"/>
    <w:rsid w:val="001709A9"/>
    <w:rsid w:val="00170A55"/>
    <w:rsid w:val="00170B28"/>
    <w:rsid w:val="00170D1C"/>
    <w:rsid w:val="00170EE2"/>
    <w:rsid w:val="001710CE"/>
    <w:rsid w:val="00171684"/>
    <w:rsid w:val="001719BF"/>
    <w:rsid w:val="00171B9A"/>
    <w:rsid w:val="00171EE9"/>
    <w:rsid w:val="00172647"/>
    <w:rsid w:val="00172795"/>
    <w:rsid w:val="00172C8D"/>
    <w:rsid w:val="00172CB5"/>
    <w:rsid w:val="00172D22"/>
    <w:rsid w:val="00172E1C"/>
    <w:rsid w:val="00172E54"/>
    <w:rsid w:val="00172EA2"/>
    <w:rsid w:val="00172EB2"/>
    <w:rsid w:val="00172F09"/>
    <w:rsid w:val="00173085"/>
    <w:rsid w:val="001735DD"/>
    <w:rsid w:val="001736C3"/>
    <w:rsid w:val="00173720"/>
    <w:rsid w:val="00173923"/>
    <w:rsid w:val="00173971"/>
    <w:rsid w:val="001739E5"/>
    <w:rsid w:val="00173AE4"/>
    <w:rsid w:val="00173C29"/>
    <w:rsid w:val="00173EE9"/>
    <w:rsid w:val="00174136"/>
    <w:rsid w:val="0017448C"/>
    <w:rsid w:val="00174540"/>
    <w:rsid w:val="0017481D"/>
    <w:rsid w:val="001749FC"/>
    <w:rsid w:val="00174BB0"/>
    <w:rsid w:val="00174BDD"/>
    <w:rsid w:val="00174CF2"/>
    <w:rsid w:val="00174E32"/>
    <w:rsid w:val="001758B6"/>
    <w:rsid w:val="00175A28"/>
    <w:rsid w:val="00175AAE"/>
    <w:rsid w:val="00175DA4"/>
    <w:rsid w:val="00175E8C"/>
    <w:rsid w:val="00175F29"/>
    <w:rsid w:val="00176011"/>
    <w:rsid w:val="001761FE"/>
    <w:rsid w:val="001762F2"/>
    <w:rsid w:val="0017642C"/>
    <w:rsid w:val="00176677"/>
    <w:rsid w:val="00176B74"/>
    <w:rsid w:val="00176F26"/>
    <w:rsid w:val="00177517"/>
    <w:rsid w:val="001775F1"/>
    <w:rsid w:val="00177846"/>
    <w:rsid w:val="00177ACE"/>
    <w:rsid w:val="00177C45"/>
    <w:rsid w:val="00177DA5"/>
    <w:rsid w:val="00177F52"/>
    <w:rsid w:val="00180376"/>
    <w:rsid w:val="001803AF"/>
    <w:rsid w:val="001804DF"/>
    <w:rsid w:val="001806FB"/>
    <w:rsid w:val="0018080A"/>
    <w:rsid w:val="00180A48"/>
    <w:rsid w:val="00180A7C"/>
    <w:rsid w:val="00180EC3"/>
    <w:rsid w:val="0018102C"/>
    <w:rsid w:val="00181294"/>
    <w:rsid w:val="00181404"/>
    <w:rsid w:val="00181424"/>
    <w:rsid w:val="001814A5"/>
    <w:rsid w:val="0018171D"/>
    <w:rsid w:val="00181ABD"/>
    <w:rsid w:val="001821C1"/>
    <w:rsid w:val="0018221B"/>
    <w:rsid w:val="00182421"/>
    <w:rsid w:val="00182FC3"/>
    <w:rsid w:val="001830C2"/>
    <w:rsid w:val="001837C8"/>
    <w:rsid w:val="00183BE5"/>
    <w:rsid w:val="00184692"/>
    <w:rsid w:val="0018470C"/>
    <w:rsid w:val="001849ED"/>
    <w:rsid w:val="0018527C"/>
    <w:rsid w:val="001852E2"/>
    <w:rsid w:val="00185792"/>
    <w:rsid w:val="00186023"/>
    <w:rsid w:val="00186095"/>
    <w:rsid w:val="0018674F"/>
    <w:rsid w:val="0018688E"/>
    <w:rsid w:val="00186E33"/>
    <w:rsid w:val="00186F63"/>
    <w:rsid w:val="00186FEE"/>
    <w:rsid w:val="001873F8"/>
    <w:rsid w:val="001875B9"/>
    <w:rsid w:val="001877B3"/>
    <w:rsid w:val="00187923"/>
    <w:rsid w:val="00187A97"/>
    <w:rsid w:val="00187BDC"/>
    <w:rsid w:val="00187DF8"/>
    <w:rsid w:val="00190243"/>
    <w:rsid w:val="0019059C"/>
    <w:rsid w:val="00190831"/>
    <w:rsid w:val="00190DB4"/>
    <w:rsid w:val="00191337"/>
    <w:rsid w:val="001914A2"/>
    <w:rsid w:val="00191568"/>
    <w:rsid w:val="0019196A"/>
    <w:rsid w:val="00191C06"/>
    <w:rsid w:val="00191D90"/>
    <w:rsid w:val="00192481"/>
    <w:rsid w:val="00192482"/>
    <w:rsid w:val="00192871"/>
    <w:rsid w:val="00192A6F"/>
    <w:rsid w:val="00192A8E"/>
    <w:rsid w:val="00192EF3"/>
    <w:rsid w:val="00192F31"/>
    <w:rsid w:val="00192FCA"/>
    <w:rsid w:val="00193134"/>
    <w:rsid w:val="001933F4"/>
    <w:rsid w:val="001937A3"/>
    <w:rsid w:val="00193BDE"/>
    <w:rsid w:val="00194514"/>
    <w:rsid w:val="001945D7"/>
    <w:rsid w:val="00194EE3"/>
    <w:rsid w:val="00195055"/>
    <w:rsid w:val="001950D5"/>
    <w:rsid w:val="001953E9"/>
    <w:rsid w:val="00195924"/>
    <w:rsid w:val="00195B39"/>
    <w:rsid w:val="00195DA4"/>
    <w:rsid w:val="00195E4B"/>
    <w:rsid w:val="001962A0"/>
    <w:rsid w:val="00196580"/>
    <w:rsid w:val="00196639"/>
    <w:rsid w:val="00196783"/>
    <w:rsid w:val="00196996"/>
    <w:rsid w:val="00196BE7"/>
    <w:rsid w:val="00196E70"/>
    <w:rsid w:val="00196EFB"/>
    <w:rsid w:val="0019767E"/>
    <w:rsid w:val="0019771D"/>
    <w:rsid w:val="00197A02"/>
    <w:rsid w:val="00197F78"/>
    <w:rsid w:val="001A0416"/>
    <w:rsid w:val="001A061D"/>
    <w:rsid w:val="001A064B"/>
    <w:rsid w:val="001A072C"/>
    <w:rsid w:val="001A09B6"/>
    <w:rsid w:val="001A0F40"/>
    <w:rsid w:val="001A1420"/>
    <w:rsid w:val="001A14C1"/>
    <w:rsid w:val="001A183A"/>
    <w:rsid w:val="001A1B4A"/>
    <w:rsid w:val="001A1C76"/>
    <w:rsid w:val="001A1F34"/>
    <w:rsid w:val="001A23CE"/>
    <w:rsid w:val="001A25AA"/>
    <w:rsid w:val="001A2D4E"/>
    <w:rsid w:val="001A2FAC"/>
    <w:rsid w:val="001A3712"/>
    <w:rsid w:val="001A3AAA"/>
    <w:rsid w:val="001A3DED"/>
    <w:rsid w:val="001A4737"/>
    <w:rsid w:val="001A4A34"/>
    <w:rsid w:val="001A4B06"/>
    <w:rsid w:val="001A4B53"/>
    <w:rsid w:val="001A4F02"/>
    <w:rsid w:val="001A4FFA"/>
    <w:rsid w:val="001A59FC"/>
    <w:rsid w:val="001A5A8E"/>
    <w:rsid w:val="001A6079"/>
    <w:rsid w:val="001A6140"/>
    <w:rsid w:val="001A62EE"/>
    <w:rsid w:val="001A66EA"/>
    <w:rsid w:val="001A6ACC"/>
    <w:rsid w:val="001A6BFD"/>
    <w:rsid w:val="001A6EB5"/>
    <w:rsid w:val="001A6F09"/>
    <w:rsid w:val="001A707B"/>
    <w:rsid w:val="001A7098"/>
    <w:rsid w:val="001A73BD"/>
    <w:rsid w:val="001A74F4"/>
    <w:rsid w:val="001A7714"/>
    <w:rsid w:val="001A77DE"/>
    <w:rsid w:val="001A7D97"/>
    <w:rsid w:val="001A7E04"/>
    <w:rsid w:val="001A7F30"/>
    <w:rsid w:val="001A7F35"/>
    <w:rsid w:val="001A7F78"/>
    <w:rsid w:val="001B033F"/>
    <w:rsid w:val="001B037A"/>
    <w:rsid w:val="001B0FDC"/>
    <w:rsid w:val="001B10C3"/>
    <w:rsid w:val="001B12C6"/>
    <w:rsid w:val="001B1402"/>
    <w:rsid w:val="001B1413"/>
    <w:rsid w:val="001B1913"/>
    <w:rsid w:val="001B1932"/>
    <w:rsid w:val="001B1D63"/>
    <w:rsid w:val="001B1DFE"/>
    <w:rsid w:val="001B265A"/>
    <w:rsid w:val="001B2914"/>
    <w:rsid w:val="001B2A39"/>
    <w:rsid w:val="001B2A44"/>
    <w:rsid w:val="001B2A5B"/>
    <w:rsid w:val="001B2B1B"/>
    <w:rsid w:val="001B2BD9"/>
    <w:rsid w:val="001B2C34"/>
    <w:rsid w:val="001B2D9C"/>
    <w:rsid w:val="001B2F6D"/>
    <w:rsid w:val="001B316B"/>
    <w:rsid w:val="001B32C9"/>
    <w:rsid w:val="001B37FE"/>
    <w:rsid w:val="001B3831"/>
    <w:rsid w:val="001B3B57"/>
    <w:rsid w:val="001B417E"/>
    <w:rsid w:val="001B44BE"/>
    <w:rsid w:val="001B4642"/>
    <w:rsid w:val="001B46DD"/>
    <w:rsid w:val="001B4A79"/>
    <w:rsid w:val="001B4C8F"/>
    <w:rsid w:val="001B5459"/>
    <w:rsid w:val="001B5C0A"/>
    <w:rsid w:val="001B5F16"/>
    <w:rsid w:val="001B6126"/>
    <w:rsid w:val="001B6129"/>
    <w:rsid w:val="001B6140"/>
    <w:rsid w:val="001B6190"/>
    <w:rsid w:val="001B624D"/>
    <w:rsid w:val="001B6322"/>
    <w:rsid w:val="001B677A"/>
    <w:rsid w:val="001B68E9"/>
    <w:rsid w:val="001B6E72"/>
    <w:rsid w:val="001B6FA8"/>
    <w:rsid w:val="001B6FDE"/>
    <w:rsid w:val="001B7667"/>
    <w:rsid w:val="001B7D49"/>
    <w:rsid w:val="001B7DD3"/>
    <w:rsid w:val="001C007D"/>
    <w:rsid w:val="001C052B"/>
    <w:rsid w:val="001C073B"/>
    <w:rsid w:val="001C0867"/>
    <w:rsid w:val="001C092E"/>
    <w:rsid w:val="001C0B35"/>
    <w:rsid w:val="001C0C5D"/>
    <w:rsid w:val="001C0E26"/>
    <w:rsid w:val="001C1428"/>
    <w:rsid w:val="001C1604"/>
    <w:rsid w:val="001C1637"/>
    <w:rsid w:val="001C1822"/>
    <w:rsid w:val="001C18C4"/>
    <w:rsid w:val="001C1EE4"/>
    <w:rsid w:val="001C2296"/>
    <w:rsid w:val="001C25A7"/>
    <w:rsid w:val="001C25AA"/>
    <w:rsid w:val="001C2ACA"/>
    <w:rsid w:val="001C2BA1"/>
    <w:rsid w:val="001C2C53"/>
    <w:rsid w:val="001C33E8"/>
    <w:rsid w:val="001C3623"/>
    <w:rsid w:val="001C36DE"/>
    <w:rsid w:val="001C3D53"/>
    <w:rsid w:val="001C3FAC"/>
    <w:rsid w:val="001C4495"/>
    <w:rsid w:val="001C4630"/>
    <w:rsid w:val="001C4CDB"/>
    <w:rsid w:val="001C531C"/>
    <w:rsid w:val="001C538E"/>
    <w:rsid w:val="001C585C"/>
    <w:rsid w:val="001C5A1C"/>
    <w:rsid w:val="001C5B69"/>
    <w:rsid w:val="001C5BB5"/>
    <w:rsid w:val="001C5C16"/>
    <w:rsid w:val="001C5FFD"/>
    <w:rsid w:val="001C62B5"/>
    <w:rsid w:val="001C65E9"/>
    <w:rsid w:val="001C67B4"/>
    <w:rsid w:val="001C6D10"/>
    <w:rsid w:val="001C6D4C"/>
    <w:rsid w:val="001C6DBB"/>
    <w:rsid w:val="001C7041"/>
    <w:rsid w:val="001C70F5"/>
    <w:rsid w:val="001C7506"/>
    <w:rsid w:val="001C756E"/>
    <w:rsid w:val="001C75D0"/>
    <w:rsid w:val="001C79DA"/>
    <w:rsid w:val="001C7C5C"/>
    <w:rsid w:val="001D00DE"/>
    <w:rsid w:val="001D0B40"/>
    <w:rsid w:val="001D0F09"/>
    <w:rsid w:val="001D1806"/>
    <w:rsid w:val="001D1847"/>
    <w:rsid w:val="001D18F4"/>
    <w:rsid w:val="001D1974"/>
    <w:rsid w:val="001D1A7C"/>
    <w:rsid w:val="001D1AA1"/>
    <w:rsid w:val="001D1F28"/>
    <w:rsid w:val="001D2236"/>
    <w:rsid w:val="001D22A3"/>
    <w:rsid w:val="001D264E"/>
    <w:rsid w:val="001D2952"/>
    <w:rsid w:val="001D2A1F"/>
    <w:rsid w:val="001D2FBC"/>
    <w:rsid w:val="001D3049"/>
    <w:rsid w:val="001D3313"/>
    <w:rsid w:val="001D358B"/>
    <w:rsid w:val="001D3673"/>
    <w:rsid w:val="001D3AB0"/>
    <w:rsid w:val="001D3E1A"/>
    <w:rsid w:val="001D3EC8"/>
    <w:rsid w:val="001D3F91"/>
    <w:rsid w:val="001D4114"/>
    <w:rsid w:val="001D48D4"/>
    <w:rsid w:val="001D560A"/>
    <w:rsid w:val="001D5837"/>
    <w:rsid w:val="001D5B7D"/>
    <w:rsid w:val="001D64D0"/>
    <w:rsid w:val="001D683B"/>
    <w:rsid w:val="001D6B81"/>
    <w:rsid w:val="001D6B8B"/>
    <w:rsid w:val="001D6C74"/>
    <w:rsid w:val="001D6DBE"/>
    <w:rsid w:val="001D6EC5"/>
    <w:rsid w:val="001D7191"/>
    <w:rsid w:val="001D73FE"/>
    <w:rsid w:val="001D747E"/>
    <w:rsid w:val="001D7589"/>
    <w:rsid w:val="001D7DC9"/>
    <w:rsid w:val="001D7DFD"/>
    <w:rsid w:val="001E0103"/>
    <w:rsid w:val="001E0127"/>
    <w:rsid w:val="001E01B2"/>
    <w:rsid w:val="001E05A0"/>
    <w:rsid w:val="001E0A67"/>
    <w:rsid w:val="001E0BAB"/>
    <w:rsid w:val="001E1573"/>
    <w:rsid w:val="001E1647"/>
    <w:rsid w:val="001E183C"/>
    <w:rsid w:val="001E1C84"/>
    <w:rsid w:val="001E2095"/>
    <w:rsid w:val="001E2099"/>
    <w:rsid w:val="001E259F"/>
    <w:rsid w:val="001E25EE"/>
    <w:rsid w:val="001E288C"/>
    <w:rsid w:val="001E347F"/>
    <w:rsid w:val="001E35ED"/>
    <w:rsid w:val="001E3643"/>
    <w:rsid w:val="001E3713"/>
    <w:rsid w:val="001E3824"/>
    <w:rsid w:val="001E39E5"/>
    <w:rsid w:val="001E3DC2"/>
    <w:rsid w:val="001E3EC1"/>
    <w:rsid w:val="001E3ED7"/>
    <w:rsid w:val="001E41E3"/>
    <w:rsid w:val="001E44B9"/>
    <w:rsid w:val="001E4547"/>
    <w:rsid w:val="001E4588"/>
    <w:rsid w:val="001E459A"/>
    <w:rsid w:val="001E4A25"/>
    <w:rsid w:val="001E4A2A"/>
    <w:rsid w:val="001E510E"/>
    <w:rsid w:val="001E55D5"/>
    <w:rsid w:val="001E55E1"/>
    <w:rsid w:val="001E56F8"/>
    <w:rsid w:val="001E57E5"/>
    <w:rsid w:val="001E5A77"/>
    <w:rsid w:val="001E5B8C"/>
    <w:rsid w:val="001E5C98"/>
    <w:rsid w:val="001E5ED2"/>
    <w:rsid w:val="001E62F3"/>
    <w:rsid w:val="001E6473"/>
    <w:rsid w:val="001E66D4"/>
    <w:rsid w:val="001E6B38"/>
    <w:rsid w:val="001E6CA7"/>
    <w:rsid w:val="001E75F9"/>
    <w:rsid w:val="001E7612"/>
    <w:rsid w:val="001E7A00"/>
    <w:rsid w:val="001F023F"/>
    <w:rsid w:val="001F0328"/>
    <w:rsid w:val="001F068E"/>
    <w:rsid w:val="001F0A70"/>
    <w:rsid w:val="001F0A7C"/>
    <w:rsid w:val="001F0A98"/>
    <w:rsid w:val="001F100D"/>
    <w:rsid w:val="001F11F0"/>
    <w:rsid w:val="001F1258"/>
    <w:rsid w:val="001F1555"/>
    <w:rsid w:val="001F192C"/>
    <w:rsid w:val="001F194E"/>
    <w:rsid w:val="001F1B5A"/>
    <w:rsid w:val="001F1C0D"/>
    <w:rsid w:val="001F24BE"/>
    <w:rsid w:val="001F27AB"/>
    <w:rsid w:val="001F2A06"/>
    <w:rsid w:val="001F2B61"/>
    <w:rsid w:val="001F2C06"/>
    <w:rsid w:val="001F2CB1"/>
    <w:rsid w:val="001F342B"/>
    <w:rsid w:val="001F3656"/>
    <w:rsid w:val="001F3734"/>
    <w:rsid w:val="001F38C5"/>
    <w:rsid w:val="001F3C64"/>
    <w:rsid w:val="001F3F4D"/>
    <w:rsid w:val="001F45A6"/>
    <w:rsid w:val="001F48CD"/>
    <w:rsid w:val="001F4BB1"/>
    <w:rsid w:val="001F4C23"/>
    <w:rsid w:val="001F4C50"/>
    <w:rsid w:val="001F529D"/>
    <w:rsid w:val="001F52C9"/>
    <w:rsid w:val="001F5386"/>
    <w:rsid w:val="001F580D"/>
    <w:rsid w:val="001F5848"/>
    <w:rsid w:val="001F597F"/>
    <w:rsid w:val="001F6EB2"/>
    <w:rsid w:val="001F6FDE"/>
    <w:rsid w:val="001F7472"/>
    <w:rsid w:val="001F7567"/>
    <w:rsid w:val="001F789F"/>
    <w:rsid w:val="001F7CEA"/>
    <w:rsid w:val="001F7FC6"/>
    <w:rsid w:val="00200134"/>
    <w:rsid w:val="00200442"/>
    <w:rsid w:val="00200688"/>
    <w:rsid w:val="0020083F"/>
    <w:rsid w:val="00200B9D"/>
    <w:rsid w:val="00201097"/>
    <w:rsid w:val="00201203"/>
    <w:rsid w:val="002016FC"/>
    <w:rsid w:val="00201A86"/>
    <w:rsid w:val="00201C19"/>
    <w:rsid w:val="00201DC2"/>
    <w:rsid w:val="00202123"/>
    <w:rsid w:val="00202672"/>
    <w:rsid w:val="00202B10"/>
    <w:rsid w:val="00202B45"/>
    <w:rsid w:val="00202C35"/>
    <w:rsid w:val="00202F0A"/>
    <w:rsid w:val="00202FC0"/>
    <w:rsid w:val="00203288"/>
    <w:rsid w:val="00203490"/>
    <w:rsid w:val="0020353C"/>
    <w:rsid w:val="00203777"/>
    <w:rsid w:val="0020389E"/>
    <w:rsid w:val="00203D10"/>
    <w:rsid w:val="00204212"/>
    <w:rsid w:val="002042B1"/>
    <w:rsid w:val="00204311"/>
    <w:rsid w:val="00204516"/>
    <w:rsid w:val="00204BD5"/>
    <w:rsid w:val="00204BE0"/>
    <w:rsid w:val="00205A01"/>
    <w:rsid w:val="00205CA5"/>
    <w:rsid w:val="00205E6C"/>
    <w:rsid w:val="00205E93"/>
    <w:rsid w:val="00206222"/>
    <w:rsid w:val="0020646D"/>
    <w:rsid w:val="00206CC1"/>
    <w:rsid w:val="002071DF"/>
    <w:rsid w:val="002071F0"/>
    <w:rsid w:val="002071FF"/>
    <w:rsid w:val="00207487"/>
    <w:rsid w:val="002075C7"/>
    <w:rsid w:val="002075D7"/>
    <w:rsid w:val="00207603"/>
    <w:rsid w:val="00207AD4"/>
    <w:rsid w:val="00207DE1"/>
    <w:rsid w:val="002100AB"/>
    <w:rsid w:val="00210317"/>
    <w:rsid w:val="00210468"/>
    <w:rsid w:val="00210559"/>
    <w:rsid w:val="00210720"/>
    <w:rsid w:val="002109E2"/>
    <w:rsid w:val="00211519"/>
    <w:rsid w:val="00211676"/>
    <w:rsid w:val="0021182E"/>
    <w:rsid w:val="00211B72"/>
    <w:rsid w:val="00211E18"/>
    <w:rsid w:val="00211E5B"/>
    <w:rsid w:val="00212456"/>
    <w:rsid w:val="002125B1"/>
    <w:rsid w:val="0021264B"/>
    <w:rsid w:val="002126A0"/>
    <w:rsid w:val="00212838"/>
    <w:rsid w:val="00212CF5"/>
    <w:rsid w:val="00212D05"/>
    <w:rsid w:val="00213274"/>
    <w:rsid w:val="002132A8"/>
    <w:rsid w:val="002135DD"/>
    <w:rsid w:val="0021361F"/>
    <w:rsid w:val="00213799"/>
    <w:rsid w:val="002137B3"/>
    <w:rsid w:val="00213884"/>
    <w:rsid w:val="00213961"/>
    <w:rsid w:val="00213B1B"/>
    <w:rsid w:val="002140D8"/>
    <w:rsid w:val="0021420B"/>
    <w:rsid w:val="0021473B"/>
    <w:rsid w:val="0021493C"/>
    <w:rsid w:val="00214A5D"/>
    <w:rsid w:val="00214AA5"/>
    <w:rsid w:val="00214C83"/>
    <w:rsid w:val="00215082"/>
    <w:rsid w:val="002151B4"/>
    <w:rsid w:val="00215662"/>
    <w:rsid w:val="00215796"/>
    <w:rsid w:val="00215AB1"/>
    <w:rsid w:val="00215DFE"/>
    <w:rsid w:val="002160DA"/>
    <w:rsid w:val="00216267"/>
    <w:rsid w:val="00216496"/>
    <w:rsid w:val="0021675D"/>
    <w:rsid w:val="0021688F"/>
    <w:rsid w:val="00216AAF"/>
    <w:rsid w:val="00216D32"/>
    <w:rsid w:val="002170D2"/>
    <w:rsid w:val="00217449"/>
    <w:rsid w:val="00217509"/>
    <w:rsid w:val="00217A7E"/>
    <w:rsid w:val="00217CE6"/>
    <w:rsid w:val="00220123"/>
    <w:rsid w:val="002203CB"/>
    <w:rsid w:val="00220BBB"/>
    <w:rsid w:val="00220C08"/>
    <w:rsid w:val="0022154D"/>
    <w:rsid w:val="002215C3"/>
    <w:rsid w:val="0022161D"/>
    <w:rsid w:val="00222485"/>
    <w:rsid w:val="00222796"/>
    <w:rsid w:val="002228CA"/>
    <w:rsid w:val="00222EB9"/>
    <w:rsid w:val="0022304B"/>
    <w:rsid w:val="0022332C"/>
    <w:rsid w:val="002233DB"/>
    <w:rsid w:val="002233F0"/>
    <w:rsid w:val="0022378B"/>
    <w:rsid w:val="002239E8"/>
    <w:rsid w:val="00223A9A"/>
    <w:rsid w:val="00223ABF"/>
    <w:rsid w:val="00223B65"/>
    <w:rsid w:val="00223E45"/>
    <w:rsid w:val="00224A3D"/>
    <w:rsid w:val="00224AA3"/>
    <w:rsid w:val="00224D3E"/>
    <w:rsid w:val="00224DE3"/>
    <w:rsid w:val="00224E10"/>
    <w:rsid w:val="00224FA3"/>
    <w:rsid w:val="00225018"/>
    <w:rsid w:val="002253AD"/>
    <w:rsid w:val="002257FF"/>
    <w:rsid w:val="00225AAB"/>
    <w:rsid w:val="00225AD6"/>
    <w:rsid w:val="00225BC6"/>
    <w:rsid w:val="00225C0D"/>
    <w:rsid w:val="00225E78"/>
    <w:rsid w:val="00226024"/>
    <w:rsid w:val="002261F5"/>
    <w:rsid w:val="002262FB"/>
    <w:rsid w:val="0022665C"/>
    <w:rsid w:val="0022672E"/>
    <w:rsid w:val="002268CE"/>
    <w:rsid w:val="00226AC9"/>
    <w:rsid w:val="00226E4E"/>
    <w:rsid w:val="00227E24"/>
    <w:rsid w:val="00227F1B"/>
    <w:rsid w:val="00230596"/>
    <w:rsid w:val="00230749"/>
    <w:rsid w:val="00230906"/>
    <w:rsid w:val="00230C4E"/>
    <w:rsid w:val="00230D56"/>
    <w:rsid w:val="002313C1"/>
    <w:rsid w:val="002314C1"/>
    <w:rsid w:val="002317EC"/>
    <w:rsid w:val="00231826"/>
    <w:rsid w:val="00231AE5"/>
    <w:rsid w:val="002320B7"/>
    <w:rsid w:val="00232186"/>
    <w:rsid w:val="002321E1"/>
    <w:rsid w:val="002325DD"/>
    <w:rsid w:val="00232B2C"/>
    <w:rsid w:val="00232F11"/>
    <w:rsid w:val="00232F2B"/>
    <w:rsid w:val="0023305D"/>
    <w:rsid w:val="00233343"/>
    <w:rsid w:val="002333C5"/>
    <w:rsid w:val="0023341A"/>
    <w:rsid w:val="0023341C"/>
    <w:rsid w:val="00233459"/>
    <w:rsid w:val="00233B94"/>
    <w:rsid w:val="0023447D"/>
    <w:rsid w:val="00234D1E"/>
    <w:rsid w:val="00234E65"/>
    <w:rsid w:val="00234F35"/>
    <w:rsid w:val="0023550F"/>
    <w:rsid w:val="0023558A"/>
    <w:rsid w:val="002359C3"/>
    <w:rsid w:val="002359ED"/>
    <w:rsid w:val="00236566"/>
    <w:rsid w:val="002365F8"/>
    <w:rsid w:val="0023676B"/>
    <w:rsid w:val="00236820"/>
    <w:rsid w:val="00236874"/>
    <w:rsid w:val="002368C7"/>
    <w:rsid w:val="00236B29"/>
    <w:rsid w:val="00236BE1"/>
    <w:rsid w:val="00236E65"/>
    <w:rsid w:val="00236FC0"/>
    <w:rsid w:val="00240095"/>
    <w:rsid w:val="00240173"/>
    <w:rsid w:val="00240314"/>
    <w:rsid w:val="002403FA"/>
    <w:rsid w:val="00240590"/>
    <w:rsid w:val="0024064C"/>
    <w:rsid w:val="002408D4"/>
    <w:rsid w:val="0024091F"/>
    <w:rsid w:val="0024098D"/>
    <w:rsid w:val="00240A1F"/>
    <w:rsid w:val="00240AE6"/>
    <w:rsid w:val="00240B7D"/>
    <w:rsid w:val="00241336"/>
    <w:rsid w:val="0024173B"/>
    <w:rsid w:val="0024204C"/>
    <w:rsid w:val="002425FE"/>
    <w:rsid w:val="00242628"/>
    <w:rsid w:val="002426F7"/>
    <w:rsid w:val="00242770"/>
    <w:rsid w:val="00242985"/>
    <w:rsid w:val="00242B80"/>
    <w:rsid w:val="00242CCF"/>
    <w:rsid w:val="00242EBC"/>
    <w:rsid w:val="00242F40"/>
    <w:rsid w:val="0024329D"/>
    <w:rsid w:val="002436E2"/>
    <w:rsid w:val="00243935"/>
    <w:rsid w:val="00243ADC"/>
    <w:rsid w:val="00243B3E"/>
    <w:rsid w:val="00243FDD"/>
    <w:rsid w:val="00244040"/>
    <w:rsid w:val="002441F6"/>
    <w:rsid w:val="00244374"/>
    <w:rsid w:val="00244A1D"/>
    <w:rsid w:val="00244B3E"/>
    <w:rsid w:val="00244B90"/>
    <w:rsid w:val="00244C03"/>
    <w:rsid w:val="00244D6F"/>
    <w:rsid w:val="00244DF9"/>
    <w:rsid w:val="00245203"/>
    <w:rsid w:val="00245292"/>
    <w:rsid w:val="0024536C"/>
    <w:rsid w:val="0024552E"/>
    <w:rsid w:val="0024553C"/>
    <w:rsid w:val="002456F2"/>
    <w:rsid w:val="00245C4A"/>
    <w:rsid w:val="00245F4B"/>
    <w:rsid w:val="002460E9"/>
    <w:rsid w:val="002461A3"/>
    <w:rsid w:val="0024656D"/>
    <w:rsid w:val="00246828"/>
    <w:rsid w:val="00246A12"/>
    <w:rsid w:val="00246BC8"/>
    <w:rsid w:val="0024741B"/>
    <w:rsid w:val="002474C0"/>
    <w:rsid w:val="0024780B"/>
    <w:rsid w:val="002478F2"/>
    <w:rsid w:val="0024792D"/>
    <w:rsid w:val="00247A20"/>
    <w:rsid w:val="00247AAD"/>
    <w:rsid w:val="00247F14"/>
    <w:rsid w:val="0025031D"/>
    <w:rsid w:val="00250359"/>
    <w:rsid w:val="002503DC"/>
    <w:rsid w:val="00250945"/>
    <w:rsid w:val="002509C9"/>
    <w:rsid w:val="00250A4B"/>
    <w:rsid w:val="00250ABD"/>
    <w:rsid w:val="00250DB4"/>
    <w:rsid w:val="0025116E"/>
    <w:rsid w:val="0025184F"/>
    <w:rsid w:val="00251A05"/>
    <w:rsid w:val="00251DC2"/>
    <w:rsid w:val="00251E3F"/>
    <w:rsid w:val="002521B6"/>
    <w:rsid w:val="002524F8"/>
    <w:rsid w:val="0025275D"/>
    <w:rsid w:val="002527A9"/>
    <w:rsid w:val="00252809"/>
    <w:rsid w:val="002529D2"/>
    <w:rsid w:val="00252B9F"/>
    <w:rsid w:val="00253286"/>
    <w:rsid w:val="00253394"/>
    <w:rsid w:val="002533EE"/>
    <w:rsid w:val="0025355C"/>
    <w:rsid w:val="00253705"/>
    <w:rsid w:val="00253857"/>
    <w:rsid w:val="0025386D"/>
    <w:rsid w:val="00253D2C"/>
    <w:rsid w:val="00253F39"/>
    <w:rsid w:val="0025459C"/>
    <w:rsid w:val="00254B67"/>
    <w:rsid w:val="00254B71"/>
    <w:rsid w:val="0025534C"/>
    <w:rsid w:val="002557A8"/>
    <w:rsid w:val="0025580B"/>
    <w:rsid w:val="00255CC2"/>
    <w:rsid w:val="002564F0"/>
    <w:rsid w:val="00256570"/>
    <w:rsid w:val="00256727"/>
    <w:rsid w:val="00256747"/>
    <w:rsid w:val="002576B6"/>
    <w:rsid w:val="002579E3"/>
    <w:rsid w:val="00257AE7"/>
    <w:rsid w:val="00257ED1"/>
    <w:rsid w:val="00260331"/>
    <w:rsid w:val="002605C1"/>
    <w:rsid w:val="002608B1"/>
    <w:rsid w:val="00260A84"/>
    <w:rsid w:val="0026102C"/>
    <w:rsid w:val="0026109D"/>
    <w:rsid w:val="002611C0"/>
    <w:rsid w:val="002612BE"/>
    <w:rsid w:val="002613FD"/>
    <w:rsid w:val="0026148F"/>
    <w:rsid w:val="00261542"/>
    <w:rsid w:val="002617EE"/>
    <w:rsid w:val="00262850"/>
    <w:rsid w:val="00262A67"/>
    <w:rsid w:val="00262C0D"/>
    <w:rsid w:val="0026308C"/>
    <w:rsid w:val="00263613"/>
    <w:rsid w:val="002636D7"/>
    <w:rsid w:val="002638E1"/>
    <w:rsid w:val="00264225"/>
    <w:rsid w:val="00264314"/>
    <w:rsid w:val="00264A33"/>
    <w:rsid w:val="00264ADB"/>
    <w:rsid w:val="00264B73"/>
    <w:rsid w:val="00264BD5"/>
    <w:rsid w:val="00264C7E"/>
    <w:rsid w:val="00264ECC"/>
    <w:rsid w:val="00265147"/>
    <w:rsid w:val="00265739"/>
    <w:rsid w:val="002659D0"/>
    <w:rsid w:val="00265A49"/>
    <w:rsid w:val="00265C94"/>
    <w:rsid w:val="00266046"/>
    <w:rsid w:val="00266171"/>
    <w:rsid w:val="00266294"/>
    <w:rsid w:val="0026636B"/>
    <w:rsid w:val="002664C9"/>
    <w:rsid w:val="00266CF2"/>
    <w:rsid w:val="00267C9E"/>
    <w:rsid w:val="00267D9A"/>
    <w:rsid w:val="00267DFB"/>
    <w:rsid w:val="00267E76"/>
    <w:rsid w:val="00267EB5"/>
    <w:rsid w:val="00267FF9"/>
    <w:rsid w:val="002708C5"/>
    <w:rsid w:val="002709A5"/>
    <w:rsid w:val="00270C7B"/>
    <w:rsid w:val="00270E88"/>
    <w:rsid w:val="00271073"/>
    <w:rsid w:val="00271524"/>
    <w:rsid w:val="002715A5"/>
    <w:rsid w:val="002719E7"/>
    <w:rsid w:val="00271B7A"/>
    <w:rsid w:val="00271CBB"/>
    <w:rsid w:val="00271F5F"/>
    <w:rsid w:val="00272075"/>
    <w:rsid w:val="002720ED"/>
    <w:rsid w:val="002721A0"/>
    <w:rsid w:val="002722EB"/>
    <w:rsid w:val="00272779"/>
    <w:rsid w:val="00272835"/>
    <w:rsid w:val="00272F73"/>
    <w:rsid w:val="00273DAA"/>
    <w:rsid w:val="0027407E"/>
    <w:rsid w:val="00274102"/>
    <w:rsid w:val="0027428D"/>
    <w:rsid w:val="002745BC"/>
    <w:rsid w:val="00274914"/>
    <w:rsid w:val="00274B3E"/>
    <w:rsid w:val="00274BF8"/>
    <w:rsid w:val="00274C85"/>
    <w:rsid w:val="00274DDB"/>
    <w:rsid w:val="00275538"/>
    <w:rsid w:val="00275788"/>
    <w:rsid w:val="00275B73"/>
    <w:rsid w:val="00275DD8"/>
    <w:rsid w:val="00275F07"/>
    <w:rsid w:val="0027607B"/>
    <w:rsid w:val="00276136"/>
    <w:rsid w:val="0027677D"/>
    <w:rsid w:val="00276801"/>
    <w:rsid w:val="00276856"/>
    <w:rsid w:val="00276940"/>
    <w:rsid w:val="002769DB"/>
    <w:rsid w:val="00276DF2"/>
    <w:rsid w:val="00277A6E"/>
    <w:rsid w:val="00277B58"/>
    <w:rsid w:val="0028022E"/>
    <w:rsid w:val="002803E8"/>
    <w:rsid w:val="0028045F"/>
    <w:rsid w:val="00280628"/>
    <w:rsid w:val="00280706"/>
    <w:rsid w:val="00280992"/>
    <w:rsid w:val="00280DFE"/>
    <w:rsid w:val="00281084"/>
    <w:rsid w:val="00281A54"/>
    <w:rsid w:val="00281B28"/>
    <w:rsid w:val="002822A6"/>
    <w:rsid w:val="002824C2"/>
    <w:rsid w:val="0028252B"/>
    <w:rsid w:val="00282682"/>
    <w:rsid w:val="002826FB"/>
    <w:rsid w:val="00282811"/>
    <w:rsid w:val="00282840"/>
    <w:rsid w:val="00282BB0"/>
    <w:rsid w:val="00282E40"/>
    <w:rsid w:val="00283071"/>
    <w:rsid w:val="0028346C"/>
    <w:rsid w:val="002835EA"/>
    <w:rsid w:val="002838A0"/>
    <w:rsid w:val="00283C22"/>
    <w:rsid w:val="002842EB"/>
    <w:rsid w:val="0028432F"/>
    <w:rsid w:val="002844A8"/>
    <w:rsid w:val="00284680"/>
    <w:rsid w:val="0028513F"/>
    <w:rsid w:val="0028565E"/>
    <w:rsid w:val="00285F76"/>
    <w:rsid w:val="002863DB"/>
    <w:rsid w:val="002866DD"/>
    <w:rsid w:val="00286BCE"/>
    <w:rsid w:val="00286D29"/>
    <w:rsid w:val="0028727A"/>
    <w:rsid w:val="00287408"/>
    <w:rsid w:val="00287540"/>
    <w:rsid w:val="002876A4"/>
    <w:rsid w:val="00287777"/>
    <w:rsid w:val="00287B0F"/>
    <w:rsid w:val="00287B23"/>
    <w:rsid w:val="0029074C"/>
    <w:rsid w:val="00291182"/>
    <w:rsid w:val="00291496"/>
    <w:rsid w:val="002914D2"/>
    <w:rsid w:val="00291B95"/>
    <w:rsid w:val="00291BB0"/>
    <w:rsid w:val="00291C9F"/>
    <w:rsid w:val="00291DC4"/>
    <w:rsid w:val="00292D77"/>
    <w:rsid w:val="00292EC8"/>
    <w:rsid w:val="00293A30"/>
    <w:rsid w:val="00293BC4"/>
    <w:rsid w:val="00293D3D"/>
    <w:rsid w:val="00293D5E"/>
    <w:rsid w:val="00294301"/>
    <w:rsid w:val="00294443"/>
    <w:rsid w:val="00294507"/>
    <w:rsid w:val="002947A3"/>
    <w:rsid w:val="00294810"/>
    <w:rsid w:val="00294827"/>
    <w:rsid w:val="00294CC2"/>
    <w:rsid w:val="00294EDD"/>
    <w:rsid w:val="00295039"/>
    <w:rsid w:val="0029527E"/>
    <w:rsid w:val="00295642"/>
    <w:rsid w:val="00295F2A"/>
    <w:rsid w:val="00295F39"/>
    <w:rsid w:val="0029602A"/>
    <w:rsid w:val="00296283"/>
    <w:rsid w:val="00296359"/>
    <w:rsid w:val="002963D0"/>
    <w:rsid w:val="00296D6A"/>
    <w:rsid w:val="00296F19"/>
    <w:rsid w:val="00296FDE"/>
    <w:rsid w:val="002973C8"/>
    <w:rsid w:val="002974E7"/>
    <w:rsid w:val="00297BAE"/>
    <w:rsid w:val="002A0067"/>
    <w:rsid w:val="002A007C"/>
    <w:rsid w:val="002A08B6"/>
    <w:rsid w:val="002A0EB0"/>
    <w:rsid w:val="002A0F1F"/>
    <w:rsid w:val="002A1297"/>
    <w:rsid w:val="002A12E4"/>
    <w:rsid w:val="002A12ED"/>
    <w:rsid w:val="002A138A"/>
    <w:rsid w:val="002A139C"/>
    <w:rsid w:val="002A15BD"/>
    <w:rsid w:val="002A1660"/>
    <w:rsid w:val="002A1928"/>
    <w:rsid w:val="002A192C"/>
    <w:rsid w:val="002A19FA"/>
    <w:rsid w:val="002A1A8D"/>
    <w:rsid w:val="002A1C6A"/>
    <w:rsid w:val="002A1CDF"/>
    <w:rsid w:val="002A2048"/>
    <w:rsid w:val="002A2102"/>
    <w:rsid w:val="002A22BF"/>
    <w:rsid w:val="002A2A6A"/>
    <w:rsid w:val="002A2C9D"/>
    <w:rsid w:val="002A41C1"/>
    <w:rsid w:val="002A43AD"/>
    <w:rsid w:val="002A497F"/>
    <w:rsid w:val="002A4ACE"/>
    <w:rsid w:val="002A4C01"/>
    <w:rsid w:val="002A4C30"/>
    <w:rsid w:val="002A4E0E"/>
    <w:rsid w:val="002A4FB6"/>
    <w:rsid w:val="002A5399"/>
    <w:rsid w:val="002A5877"/>
    <w:rsid w:val="002A624E"/>
    <w:rsid w:val="002A63B6"/>
    <w:rsid w:val="002A64E1"/>
    <w:rsid w:val="002A652B"/>
    <w:rsid w:val="002A6760"/>
    <w:rsid w:val="002A6943"/>
    <w:rsid w:val="002A6CDB"/>
    <w:rsid w:val="002A6EB8"/>
    <w:rsid w:val="002A7481"/>
    <w:rsid w:val="002A76EA"/>
    <w:rsid w:val="002A7FCB"/>
    <w:rsid w:val="002B043F"/>
    <w:rsid w:val="002B0634"/>
    <w:rsid w:val="002B06AF"/>
    <w:rsid w:val="002B079E"/>
    <w:rsid w:val="002B079F"/>
    <w:rsid w:val="002B0AE3"/>
    <w:rsid w:val="002B0F31"/>
    <w:rsid w:val="002B0FD1"/>
    <w:rsid w:val="002B1822"/>
    <w:rsid w:val="002B205D"/>
    <w:rsid w:val="002B2233"/>
    <w:rsid w:val="002B25C1"/>
    <w:rsid w:val="002B2639"/>
    <w:rsid w:val="002B28B6"/>
    <w:rsid w:val="002B28BB"/>
    <w:rsid w:val="002B2C74"/>
    <w:rsid w:val="002B2E40"/>
    <w:rsid w:val="002B2F5F"/>
    <w:rsid w:val="002B3020"/>
    <w:rsid w:val="002B3096"/>
    <w:rsid w:val="002B30F7"/>
    <w:rsid w:val="002B314E"/>
    <w:rsid w:val="002B33E6"/>
    <w:rsid w:val="002B3833"/>
    <w:rsid w:val="002B3AE7"/>
    <w:rsid w:val="002B441B"/>
    <w:rsid w:val="002B44C8"/>
    <w:rsid w:val="002B4512"/>
    <w:rsid w:val="002B481A"/>
    <w:rsid w:val="002B48A6"/>
    <w:rsid w:val="002B49BE"/>
    <w:rsid w:val="002B4D8B"/>
    <w:rsid w:val="002B4DC7"/>
    <w:rsid w:val="002B4E96"/>
    <w:rsid w:val="002B5604"/>
    <w:rsid w:val="002B56BF"/>
    <w:rsid w:val="002B5C40"/>
    <w:rsid w:val="002B5E49"/>
    <w:rsid w:val="002B615C"/>
    <w:rsid w:val="002B63AA"/>
    <w:rsid w:val="002B67DC"/>
    <w:rsid w:val="002B6B65"/>
    <w:rsid w:val="002B6BE1"/>
    <w:rsid w:val="002B6D1A"/>
    <w:rsid w:val="002B6EDA"/>
    <w:rsid w:val="002B71A5"/>
    <w:rsid w:val="002B737A"/>
    <w:rsid w:val="002B7941"/>
    <w:rsid w:val="002B79F7"/>
    <w:rsid w:val="002B7E13"/>
    <w:rsid w:val="002B7FDD"/>
    <w:rsid w:val="002C0466"/>
    <w:rsid w:val="002C0D2F"/>
    <w:rsid w:val="002C0E91"/>
    <w:rsid w:val="002C129A"/>
    <w:rsid w:val="002C136C"/>
    <w:rsid w:val="002C13AC"/>
    <w:rsid w:val="002C1960"/>
    <w:rsid w:val="002C198A"/>
    <w:rsid w:val="002C1EAB"/>
    <w:rsid w:val="002C1ED7"/>
    <w:rsid w:val="002C207D"/>
    <w:rsid w:val="002C23A8"/>
    <w:rsid w:val="002C23FC"/>
    <w:rsid w:val="002C2524"/>
    <w:rsid w:val="002C25D3"/>
    <w:rsid w:val="002C2B78"/>
    <w:rsid w:val="002C3098"/>
    <w:rsid w:val="002C325C"/>
    <w:rsid w:val="002C330F"/>
    <w:rsid w:val="002C3352"/>
    <w:rsid w:val="002C33FB"/>
    <w:rsid w:val="002C3488"/>
    <w:rsid w:val="002C3782"/>
    <w:rsid w:val="002C392B"/>
    <w:rsid w:val="002C3B2C"/>
    <w:rsid w:val="002C3CFF"/>
    <w:rsid w:val="002C4213"/>
    <w:rsid w:val="002C47F2"/>
    <w:rsid w:val="002C4C6B"/>
    <w:rsid w:val="002C507D"/>
    <w:rsid w:val="002C51D9"/>
    <w:rsid w:val="002C54D2"/>
    <w:rsid w:val="002C5908"/>
    <w:rsid w:val="002C5C78"/>
    <w:rsid w:val="002C5CCB"/>
    <w:rsid w:val="002C5EB3"/>
    <w:rsid w:val="002C63E9"/>
    <w:rsid w:val="002C6437"/>
    <w:rsid w:val="002C65CD"/>
    <w:rsid w:val="002C6796"/>
    <w:rsid w:val="002C67AB"/>
    <w:rsid w:val="002C709B"/>
    <w:rsid w:val="002C72D2"/>
    <w:rsid w:val="002C76EB"/>
    <w:rsid w:val="002C773D"/>
    <w:rsid w:val="002C7B9F"/>
    <w:rsid w:val="002C7BC9"/>
    <w:rsid w:val="002C7D1C"/>
    <w:rsid w:val="002C7FB4"/>
    <w:rsid w:val="002D0101"/>
    <w:rsid w:val="002D02BD"/>
    <w:rsid w:val="002D10D5"/>
    <w:rsid w:val="002D10D9"/>
    <w:rsid w:val="002D17B8"/>
    <w:rsid w:val="002D1A05"/>
    <w:rsid w:val="002D1E9D"/>
    <w:rsid w:val="002D2094"/>
    <w:rsid w:val="002D22B2"/>
    <w:rsid w:val="002D272A"/>
    <w:rsid w:val="002D2905"/>
    <w:rsid w:val="002D29B8"/>
    <w:rsid w:val="002D29D3"/>
    <w:rsid w:val="002D29F8"/>
    <w:rsid w:val="002D2CB4"/>
    <w:rsid w:val="002D2E82"/>
    <w:rsid w:val="002D2EE9"/>
    <w:rsid w:val="002D2F79"/>
    <w:rsid w:val="002D31CC"/>
    <w:rsid w:val="002D3202"/>
    <w:rsid w:val="002D35CB"/>
    <w:rsid w:val="002D36B0"/>
    <w:rsid w:val="002D37B5"/>
    <w:rsid w:val="002D389B"/>
    <w:rsid w:val="002D3C8C"/>
    <w:rsid w:val="002D3D90"/>
    <w:rsid w:val="002D469C"/>
    <w:rsid w:val="002D4AEA"/>
    <w:rsid w:val="002D4C2E"/>
    <w:rsid w:val="002D4F2B"/>
    <w:rsid w:val="002D4F30"/>
    <w:rsid w:val="002D528D"/>
    <w:rsid w:val="002D544A"/>
    <w:rsid w:val="002D5791"/>
    <w:rsid w:val="002D5D60"/>
    <w:rsid w:val="002D5E4F"/>
    <w:rsid w:val="002D6341"/>
    <w:rsid w:val="002D64BA"/>
    <w:rsid w:val="002D651C"/>
    <w:rsid w:val="002D68E2"/>
    <w:rsid w:val="002D6D91"/>
    <w:rsid w:val="002D6F50"/>
    <w:rsid w:val="002D704C"/>
    <w:rsid w:val="002D710D"/>
    <w:rsid w:val="002D75FB"/>
    <w:rsid w:val="002D7A19"/>
    <w:rsid w:val="002D7D1F"/>
    <w:rsid w:val="002E0350"/>
    <w:rsid w:val="002E0464"/>
    <w:rsid w:val="002E0619"/>
    <w:rsid w:val="002E084A"/>
    <w:rsid w:val="002E0EAD"/>
    <w:rsid w:val="002E1810"/>
    <w:rsid w:val="002E1C94"/>
    <w:rsid w:val="002E290B"/>
    <w:rsid w:val="002E2A50"/>
    <w:rsid w:val="002E3152"/>
    <w:rsid w:val="002E42B7"/>
    <w:rsid w:val="002E460A"/>
    <w:rsid w:val="002E4718"/>
    <w:rsid w:val="002E48F2"/>
    <w:rsid w:val="002E4932"/>
    <w:rsid w:val="002E4EEE"/>
    <w:rsid w:val="002E51D8"/>
    <w:rsid w:val="002E53C4"/>
    <w:rsid w:val="002E5569"/>
    <w:rsid w:val="002E5A7F"/>
    <w:rsid w:val="002E5C3D"/>
    <w:rsid w:val="002E6241"/>
    <w:rsid w:val="002E67D5"/>
    <w:rsid w:val="002E6C02"/>
    <w:rsid w:val="002E6D6C"/>
    <w:rsid w:val="002E6DEB"/>
    <w:rsid w:val="002E6E97"/>
    <w:rsid w:val="002E6FF0"/>
    <w:rsid w:val="002E72B2"/>
    <w:rsid w:val="002E74CF"/>
    <w:rsid w:val="002E760B"/>
    <w:rsid w:val="002E78B2"/>
    <w:rsid w:val="002E7950"/>
    <w:rsid w:val="002E7C98"/>
    <w:rsid w:val="002E7D8D"/>
    <w:rsid w:val="002F02F3"/>
    <w:rsid w:val="002F033E"/>
    <w:rsid w:val="002F03F5"/>
    <w:rsid w:val="002F05CA"/>
    <w:rsid w:val="002F0658"/>
    <w:rsid w:val="002F0F29"/>
    <w:rsid w:val="002F127B"/>
    <w:rsid w:val="002F1721"/>
    <w:rsid w:val="002F1A07"/>
    <w:rsid w:val="002F2009"/>
    <w:rsid w:val="002F2152"/>
    <w:rsid w:val="002F2382"/>
    <w:rsid w:val="002F2884"/>
    <w:rsid w:val="002F2A35"/>
    <w:rsid w:val="002F2AA9"/>
    <w:rsid w:val="002F2E78"/>
    <w:rsid w:val="002F2EC0"/>
    <w:rsid w:val="002F2FEE"/>
    <w:rsid w:val="002F34FB"/>
    <w:rsid w:val="002F3749"/>
    <w:rsid w:val="002F39EE"/>
    <w:rsid w:val="002F3B0E"/>
    <w:rsid w:val="002F3B82"/>
    <w:rsid w:val="002F40DD"/>
    <w:rsid w:val="002F4160"/>
    <w:rsid w:val="002F4E82"/>
    <w:rsid w:val="002F510A"/>
    <w:rsid w:val="002F52E1"/>
    <w:rsid w:val="002F5524"/>
    <w:rsid w:val="002F57C2"/>
    <w:rsid w:val="002F59D1"/>
    <w:rsid w:val="002F5AEC"/>
    <w:rsid w:val="002F5DC1"/>
    <w:rsid w:val="002F5E30"/>
    <w:rsid w:val="002F609F"/>
    <w:rsid w:val="002F66E7"/>
    <w:rsid w:val="002F68BF"/>
    <w:rsid w:val="002F6B3F"/>
    <w:rsid w:val="002F6B73"/>
    <w:rsid w:val="002F72AF"/>
    <w:rsid w:val="002F7650"/>
    <w:rsid w:val="002F7864"/>
    <w:rsid w:val="002F7DF5"/>
    <w:rsid w:val="003000AA"/>
    <w:rsid w:val="0030010E"/>
    <w:rsid w:val="00300553"/>
    <w:rsid w:val="00300624"/>
    <w:rsid w:val="003006C2"/>
    <w:rsid w:val="0030086A"/>
    <w:rsid w:val="003008AE"/>
    <w:rsid w:val="003008E5"/>
    <w:rsid w:val="00300C9A"/>
    <w:rsid w:val="00300CA7"/>
    <w:rsid w:val="00300D31"/>
    <w:rsid w:val="00300FE5"/>
    <w:rsid w:val="00301017"/>
    <w:rsid w:val="00301072"/>
    <w:rsid w:val="00301171"/>
    <w:rsid w:val="0030147B"/>
    <w:rsid w:val="003019B3"/>
    <w:rsid w:val="0030244A"/>
    <w:rsid w:val="0030257E"/>
    <w:rsid w:val="003026E0"/>
    <w:rsid w:val="00302888"/>
    <w:rsid w:val="00302ACE"/>
    <w:rsid w:val="00302C78"/>
    <w:rsid w:val="00302D00"/>
    <w:rsid w:val="00302D4A"/>
    <w:rsid w:val="003031CD"/>
    <w:rsid w:val="00303462"/>
    <w:rsid w:val="0030348B"/>
    <w:rsid w:val="00303748"/>
    <w:rsid w:val="00303D07"/>
    <w:rsid w:val="00303D41"/>
    <w:rsid w:val="00303DD4"/>
    <w:rsid w:val="00303EB5"/>
    <w:rsid w:val="00303FAE"/>
    <w:rsid w:val="00303FBC"/>
    <w:rsid w:val="00304129"/>
    <w:rsid w:val="0030427E"/>
    <w:rsid w:val="00304391"/>
    <w:rsid w:val="003045AD"/>
    <w:rsid w:val="0030483A"/>
    <w:rsid w:val="00304956"/>
    <w:rsid w:val="003049B3"/>
    <w:rsid w:val="00304EDE"/>
    <w:rsid w:val="00305034"/>
    <w:rsid w:val="00305211"/>
    <w:rsid w:val="00305248"/>
    <w:rsid w:val="003052B5"/>
    <w:rsid w:val="003052F0"/>
    <w:rsid w:val="00305630"/>
    <w:rsid w:val="00305C91"/>
    <w:rsid w:val="00306150"/>
    <w:rsid w:val="00306184"/>
    <w:rsid w:val="003061DB"/>
    <w:rsid w:val="00306412"/>
    <w:rsid w:val="003068DA"/>
    <w:rsid w:val="003069B1"/>
    <w:rsid w:val="00306BF7"/>
    <w:rsid w:val="00306EE9"/>
    <w:rsid w:val="00307083"/>
    <w:rsid w:val="00307350"/>
    <w:rsid w:val="00307645"/>
    <w:rsid w:val="00307652"/>
    <w:rsid w:val="00307773"/>
    <w:rsid w:val="00307D9C"/>
    <w:rsid w:val="00310A4C"/>
    <w:rsid w:val="00310FF2"/>
    <w:rsid w:val="003115B0"/>
    <w:rsid w:val="0031175D"/>
    <w:rsid w:val="00311761"/>
    <w:rsid w:val="00311837"/>
    <w:rsid w:val="00311C98"/>
    <w:rsid w:val="00311E90"/>
    <w:rsid w:val="00311F7D"/>
    <w:rsid w:val="00311FD9"/>
    <w:rsid w:val="00312524"/>
    <w:rsid w:val="00312631"/>
    <w:rsid w:val="00312857"/>
    <w:rsid w:val="003128F8"/>
    <w:rsid w:val="00312A4A"/>
    <w:rsid w:val="00313062"/>
    <w:rsid w:val="00313251"/>
    <w:rsid w:val="003133BC"/>
    <w:rsid w:val="00313C7B"/>
    <w:rsid w:val="00313EDE"/>
    <w:rsid w:val="00313EEE"/>
    <w:rsid w:val="003144E3"/>
    <w:rsid w:val="00314789"/>
    <w:rsid w:val="0031487C"/>
    <w:rsid w:val="00314A17"/>
    <w:rsid w:val="0031525B"/>
    <w:rsid w:val="00315B94"/>
    <w:rsid w:val="0031688D"/>
    <w:rsid w:val="00316999"/>
    <w:rsid w:val="00316DCD"/>
    <w:rsid w:val="00316DCE"/>
    <w:rsid w:val="00317108"/>
    <w:rsid w:val="00317E17"/>
    <w:rsid w:val="00317F8A"/>
    <w:rsid w:val="0032012C"/>
    <w:rsid w:val="003202F2"/>
    <w:rsid w:val="003203C0"/>
    <w:rsid w:val="003204E1"/>
    <w:rsid w:val="00320C84"/>
    <w:rsid w:val="00320D28"/>
    <w:rsid w:val="00320E9D"/>
    <w:rsid w:val="00320ED5"/>
    <w:rsid w:val="003216A1"/>
    <w:rsid w:val="003217B9"/>
    <w:rsid w:val="0032211D"/>
    <w:rsid w:val="003221FC"/>
    <w:rsid w:val="0032252C"/>
    <w:rsid w:val="003227AF"/>
    <w:rsid w:val="0032280B"/>
    <w:rsid w:val="003229E2"/>
    <w:rsid w:val="00322AF9"/>
    <w:rsid w:val="00322DBE"/>
    <w:rsid w:val="00322DCB"/>
    <w:rsid w:val="00322F09"/>
    <w:rsid w:val="00322F29"/>
    <w:rsid w:val="00323197"/>
    <w:rsid w:val="00323384"/>
    <w:rsid w:val="0032341B"/>
    <w:rsid w:val="00323E6D"/>
    <w:rsid w:val="00323EF0"/>
    <w:rsid w:val="003241EE"/>
    <w:rsid w:val="0032442A"/>
    <w:rsid w:val="00324686"/>
    <w:rsid w:val="0032472B"/>
    <w:rsid w:val="00324861"/>
    <w:rsid w:val="00324A76"/>
    <w:rsid w:val="00324D8B"/>
    <w:rsid w:val="00325304"/>
    <w:rsid w:val="00325334"/>
    <w:rsid w:val="0032550B"/>
    <w:rsid w:val="003255BC"/>
    <w:rsid w:val="00325BDF"/>
    <w:rsid w:val="0032607A"/>
    <w:rsid w:val="00326127"/>
    <w:rsid w:val="003261FC"/>
    <w:rsid w:val="003264B2"/>
    <w:rsid w:val="00326927"/>
    <w:rsid w:val="00326B1C"/>
    <w:rsid w:val="00326B2A"/>
    <w:rsid w:val="00326B2F"/>
    <w:rsid w:val="00327108"/>
    <w:rsid w:val="00327538"/>
    <w:rsid w:val="00327650"/>
    <w:rsid w:val="00327A31"/>
    <w:rsid w:val="00327C3F"/>
    <w:rsid w:val="00327FC8"/>
    <w:rsid w:val="00330270"/>
    <w:rsid w:val="0033056C"/>
    <w:rsid w:val="003305A5"/>
    <w:rsid w:val="00330669"/>
    <w:rsid w:val="00330A1D"/>
    <w:rsid w:val="00330EF4"/>
    <w:rsid w:val="00330F26"/>
    <w:rsid w:val="00331031"/>
    <w:rsid w:val="00331AFB"/>
    <w:rsid w:val="00331B8E"/>
    <w:rsid w:val="00331BE1"/>
    <w:rsid w:val="0033240A"/>
    <w:rsid w:val="00332661"/>
    <w:rsid w:val="003327E5"/>
    <w:rsid w:val="0033283E"/>
    <w:rsid w:val="003328DF"/>
    <w:rsid w:val="00332B26"/>
    <w:rsid w:val="00332C07"/>
    <w:rsid w:val="0033301C"/>
    <w:rsid w:val="003336BB"/>
    <w:rsid w:val="003336F2"/>
    <w:rsid w:val="0033376D"/>
    <w:rsid w:val="00333A18"/>
    <w:rsid w:val="00333C65"/>
    <w:rsid w:val="00333F61"/>
    <w:rsid w:val="003341DE"/>
    <w:rsid w:val="0033421D"/>
    <w:rsid w:val="003346C0"/>
    <w:rsid w:val="003346C8"/>
    <w:rsid w:val="003346CF"/>
    <w:rsid w:val="00334956"/>
    <w:rsid w:val="00334BC7"/>
    <w:rsid w:val="0033521B"/>
    <w:rsid w:val="003356CF"/>
    <w:rsid w:val="00335941"/>
    <w:rsid w:val="00335E2E"/>
    <w:rsid w:val="00335FE1"/>
    <w:rsid w:val="0033630A"/>
    <w:rsid w:val="00336B62"/>
    <w:rsid w:val="00336C98"/>
    <w:rsid w:val="00336FA4"/>
    <w:rsid w:val="00336FDA"/>
    <w:rsid w:val="003370E4"/>
    <w:rsid w:val="0033711E"/>
    <w:rsid w:val="00337418"/>
    <w:rsid w:val="003374DF"/>
    <w:rsid w:val="00337517"/>
    <w:rsid w:val="00337535"/>
    <w:rsid w:val="003377AA"/>
    <w:rsid w:val="00337849"/>
    <w:rsid w:val="00337FCB"/>
    <w:rsid w:val="00340101"/>
    <w:rsid w:val="0034020A"/>
    <w:rsid w:val="003408D7"/>
    <w:rsid w:val="003408F5"/>
    <w:rsid w:val="00340939"/>
    <w:rsid w:val="0034093A"/>
    <w:rsid w:val="00340B2D"/>
    <w:rsid w:val="00340CC8"/>
    <w:rsid w:val="0034112F"/>
    <w:rsid w:val="00341270"/>
    <w:rsid w:val="003414BE"/>
    <w:rsid w:val="003416AD"/>
    <w:rsid w:val="003419DE"/>
    <w:rsid w:val="00341B91"/>
    <w:rsid w:val="00341D7A"/>
    <w:rsid w:val="00341D98"/>
    <w:rsid w:val="00341E24"/>
    <w:rsid w:val="00342034"/>
    <w:rsid w:val="003420EC"/>
    <w:rsid w:val="00342897"/>
    <w:rsid w:val="00342991"/>
    <w:rsid w:val="0034303D"/>
    <w:rsid w:val="003436FC"/>
    <w:rsid w:val="0034372F"/>
    <w:rsid w:val="00343D7E"/>
    <w:rsid w:val="00343DED"/>
    <w:rsid w:val="00344430"/>
    <w:rsid w:val="00344516"/>
    <w:rsid w:val="0034467E"/>
    <w:rsid w:val="00344B94"/>
    <w:rsid w:val="00344C46"/>
    <w:rsid w:val="00344D83"/>
    <w:rsid w:val="00345136"/>
    <w:rsid w:val="0034583E"/>
    <w:rsid w:val="00345CB2"/>
    <w:rsid w:val="00346346"/>
    <w:rsid w:val="0034653B"/>
    <w:rsid w:val="003467AF"/>
    <w:rsid w:val="00346C1C"/>
    <w:rsid w:val="00346C9E"/>
    <w:rsid w:val="00346F2F"/>
    <w:rsid w:val="00347150"/>
    <w:rsid w:val="003473C7"/>
    <w:rsid w:val="00347613"/>
    <w:rsid w:val="0034786C"/>
    <w:rsid w:val="003478E1"/>
    <w:rsid w:val="00347BCB"/>
    <w:rsid w:val="00347EF3"/>
    <w:rsid w:val="0035003F"/>
    <w:rsid w:val="0035029D"/>
    <w:rsid w:val="003506F8"/>
    <w:rsid w:val="003506FB"/>
    <w:rsid w:val="0035098A"/>
    <w:rsid w:val="00350CD4"/>
    <w:rsid w:val="00350D7D"/>
    <w:rsid w:val="00350EF8"/>
    <w:rsid w:val="00350F8B"/>
    <w:rsid w:val="003510C9"/>
    <w:rsid w:val="0035114B"/>
    <w:rsid w:val="00351B21"/>
    <w:rsid w:val="00351BAE"/>
    <w:rsid w:val="0035204A"/>
    <w:rsid w:val="003520D3"/>
    <w:rsid w:val="003523B3"/>
    <w:rsid w:val="0035292F"/>
    <w:rsid w:val="00352ACE"/>
    <w:rsid w:val="00352CEE"/>
    <w:rsid w:val="00352F80"/>
    <w:rsid w:val="00352FDB"/>
    <w:rsid w:val="00353667"/>
    <w:rsid w:val="0035373C"/>
    <w:rsid w:val="00353AD2"/>
    <w:rsid w:val="00353C7F"/>
    <w:rsid w:val="00353FB0"/>
    <w:rsid w:val="00354063"/>
    <w:rsid w:val="00354890"/>
    <w:rsid w:val="003548B0"/>
    <w:rsid w:val="00354D68"/>
    <w:rsid w:val="00354F3D"/>
    <w:rsid w:val="003550D3"/>
    <w:rsid w:val="0035523D"/>
    <w:rsid w:val="0035547F"/>
    <w:rsid w:val="003555DE"/>
    <w:rsid w:val="00355834"/>
    <w:rsid w:val="00355A79"/>
    <w:rsid w:val="00355A9A"/>
    <w:rsid w:val="00355AF3"/>
    <w:rsid w:val="00355DF4"/>
    <w:rsid w:val="0035611B"/>
    <w:rsid w:val="00356FAF"/>
    <w:rsid w:val="003570EB"/>
    <w:rsid w:val="00357745"/>
    <w:rsid w:val="00357AF5"/>
    <w:rsid w:val="00357BB5"/>
    <w:rsid w:val="00357F10"/>
    <w:rsid w:val="0036092E"/>
    <w:rsid w:val="00360F37"/>
    <w:rsid w:val="00361403"/>
    <w:rsid w:val="00361839"/>
    <w:rsid w:val="00361879"/>
    <w:rsid w:val="00361976"/>
    <w:rsid w:val="00361B52"/>
    <w:rsid w:val="00361FD8"/>
    <w:rsid w:val="00362622"/>
    <w:rsid w:val="003630B4"/>
    <w:rsid w:val="003635A9"/>
    <w:rsid w:val="00363B85"/>
    <w:rsid w:val="00363CE2"/>
    <w:rsid w:val="0036403F"/>
    <w:rsid w:val="00364322"/>
    <w:rsid w:val="00364588"/>
    <w:rsid w:val="00364874"/>
    <w:rsid w:val="0036492A"/>
    <w:rsid w:val="00364BCC"/>
    <w:rsid w:val="00364D14"/>
    <w:rsid w:val="003652A2"/>
    <w:rsid w:val="00365761"/>
    <w:rsid w:val="00365764"/>
    <w:rsid w:val="003658FE"/>
    <w:rsid w:val="003660BC"/>
    <w:rsid w:val="00366496"/>
    <w:rsid w:val="003665F3"/>
    <w:rsid w:val="00366ABB"/>
    <w:rsid w:val="00366BA3"/>
    <w:rsid w:val="00366BF8"/>
    <w:rsid w:val="00366DFD"/>
    <w:rsid w:val="00366EC7"/>
    <w:rsid w:val="00366F8F"/>
    <w:rsid w:val="00367242"/>
    <w:rsid w:val="00367246"/>
    <w:rsid w:val="003672ED"/>
    <w:rsid w:val="00367587"/>
    <w:rsid w:val="0036768E"/>
    <w:rsid w:val="003679B5"/>
    <w:rsid w:val="00367AF3"/>
    <w:rsid w:val="00367D71"/>
    <w:rsid w:val="00367EB7"/>
    <w:rsid w:val="00370261"/>
    <w:rsid w:val="0037037D"/>
    <w:rsid w:val="003708A2"/>
    <w:rsid w:val="00371665"/>
    <w:rsid w:val="003719A6"/>
    <w:rsid w:val="00371D54"/>
    <w:rsid w:val="003724D0"/>
    <w:rsid w:val="003724D9"/>
    <w:rsid w:val="003729B3"/>
    <w:rsid w:val="00373274"/>
    <w:rsid w:val="00373B3D"/>
    <w:rsid w:val="00373DD1"/>
    <w:rsid w:val="00374117"/>
    <w:rsid w:val="00374209"/>
    <w:rsid w:val="003742A6"/>
    <w:rsid w:val="0037471F"/>
    <w:rsid w:val="00374976"/>
    <w:rsid w:val="00374AD7"/>
    <w:rsid w:val="00375181"/>
    <w:rsid w:val="00376013"/>
    <w:rsid w:val="003761B1"/>
    <w:rsid w:val="00376276"/>
    <w:rsid w:val="00376676"/>
    <w:rsid w:val="0037674B"/>
    <w:rsid w:val="0037682F"/>
    <w:rsid w:val="00376D74"/>
    <w:rsid w:val="00376E8E"/>
    <w:rsid w:val="0037705A"/>
    <w:rsid w:val="00377529"/>
    <w:rsid w:val="00377B87"/>
    <w:rsid w:val="00377EB1"/>
    <w:rsid w:val="00380745"/>
    <w:rsid w:val="003808F3"/>
    <w:rsid w:val="003809F2"/>
    <w:rsid w:val="00380A66"/>
    <w:rsid w:val="00381462"/>
    <w:rsid w:val="00381488"/>
    <w:rsid w:val="003818DE"/>
    <w:rsid w:val="00381BB8"/>
    <w:rsid w:val="00381CB4"/>
    <w:rsid w:val="00381D12"/>
    <w:rsid w:val="00381E0F"/>
    <w:rsid w:val="0038248F"/>
    <w:rsid w:val="003827FA"/>
    <w:rsid w:val="00382E22"/>
    <w:rsid w:val="0038312F"/>
    <w:rsid w:val="003834DA"/>
    <w:rsid w:val="00383667"/>
    <w:rsid w:val="00383ADB"/>
    <w:rsid w:val="00383D70"/>
    <w:rsid w:val="00383E29"/>
    <w:rsid w:val="00384009"/>
    <w:rsid w:val="00384033"/>
    <w:rsid w:val="00384241"/>
    <w:rsid w:val="003843C9"/>
    <w:rsid w:val="0038455C"/>
    <w:rsid w:val="0038499C"/>
    <w:rsid w:val="00384B8B"/>
    <w:rsid w:val="00384C32"/>
    <w:rsid w:val="00384CA1"/>
    <w:rsid w:val="00384D4C"/>
    <w:rsid w:val="00384EC0"/>
    <w:rsid w:val="00384F4F"/>
    <w:rsid w:val="0038512A"/>
    <w:rsid w:val="003851F2"/>
    <w:rsid w:val="0038532D"/>
    <w:rsid w:val="003853E1"/>
    <w:rsid w:val="00385573"/>
    <w:rsid w:val="00385D15"/>
    <w:rsid w:val="0038634F"/>
    <w:rsid w:val="003863A1"/>
    <w:rsid w:val="0038660F"/>
    <w:rsid w:val="00387016"/>
    <w:rsid w:val="0038714E"/>
    <w:rsid w:val="00387832"/>
    <w:rsid w:val="00387AC1"/>
    <w:rsid w:val="00387B84"/>
    <w:rsid w:val="00387E45"/>
    <w:rsid w:val="003900FB"/>
    <w:rsid w:val="003904CA"/>
    <w:rsid w:val="00390596"/>
    <w:rsid w:val="00390668"/>
    <w:rsid w:val="00390C4B"/>
    <w:rsid w:val="00390C59"/>
    <w:rsid w:val="00390E43"/>
    <w:rsid w:val="0039100A"/>
    <w:rsid w:val="00391062"/>
    <w:rsid w:val="003912A2"/>
    <w:rsid w:val="003914CE"/>
    <w:rsid w:val="0039192C"/>
    <w:rsid w:val="00391990"/>
    <w:rsid w:val="00391A69"/>
    <w:rsid w:val="00391B3F"/>
    <w:rsid w:val="00391CB3"/>
    <w:rsid w:val="003925CD"/>
    <w:rsid w:val="00392B32"/>
    <w:rsid w:val="00392E03"/>
    <w:rsid w:val="00392E15"/>
    <w:rsid w:val="00392E86"/>
    <w:rsid w:val="003933DF"/>
    <w:rsid w:val="00393B67"/>
    <w:rsid w:val="00393C21"/>
    <w:rsid w:val="00393D95"/>
    <w:rsid w:val="00393F48"/>
    <w:rsid w:val="0039431A"/>
    <w:rsid w:val="00394515"/>
    <w:rsid w:val="00394750"/>
    <w:rsid w:val="00394DA6"/>
    <w:rsid w:val="00395050"/>
    <w:rsid w:val="00395065"/>
    <w:rsid w:val="003950A4"/>
    <w:rsid w:val="00395101"/>
    <w:rsid w:val="0039526C"/>
    <w:rsid w:val="0039545B"/>
    <w:rsid w:val="003954FA"/>
    <w:rsid w:val="003957DC"/>
    <w:rsid w:val="003958A7"/>
    <w:rsid w:val="00395B5C"/>
    <w:rsid w:val="00395C03"/>
    <w:rsid w:val="003960AB"/>
    <w:rsid w:val="003961E5"/>
    <w:rsid w:val="0039644F"/>
    <w:rsid w:val="0039662C"/>
    <w:rsid w:val="00396819"/>
    <w:rsid w:val="0039686C"/>
    <w:rsid w:val="00396DEA"/>
    <w:rsid w:val="003972E0"/>
    <w:rsid w:val="00397580"/>
    <w:rsid w:val="003975BF"/>
    <w:rsid w:val="003975F4"/>
    <w:rsid w:val="0039784D"/>
    <w:rsid w:val="00397B42"/>
    <w:rsid w:val="003A0614"/>
    <w:rsid w:val="003A0739"/>
    <w:rsid w:val="003A08B1"/>
    <w:rsid w:val="003A0A2B"/>
    <w:rsid w:val="003A0F92"/>
    <w:rsid w:val="003A0FB7"/>
    <w:rsid w:val="003A0FB8"/>
    <w:rsid w:val="003A1336"/>
    <w:rsid w:val="003A138D"/>
    <w:rsid w:val="003A1F10"/>
    <w:rsid w:val="003A214C"/>
    <w:rsid w:val="003A24F1"/>
    <w:rsid w:val="003A2572"/>
    <w:rsid w:val="003A3476"/>
    <w:rsid w:val="003A3648"/>
    <w:rsid w:val="003A38A3"/>
    <w:rsid w:val="003A3A62"/>
    <w:rsid w:val="003A3F76"/>
    <w:rsid w:val="003A41D3"/>
    <w:rsid w:val="003A45ED"/>
    <w:rsid w:val="003A47C8"/>
    <w:rsid w:val="003A4916"/>
    <w:rsid w:val="003A492F"/>
    <w:rsid w:val="003A49C2"/>
    <w:rsid w:val="003A49FF"/>
    <w:rsid w:val="003A4A29"/>
    <w:rsid w:val="003A4B0A"/>
    <w:rsid w:val="003A4C21"/>
    <w:rsid w:val="003A4D0D"/>
    <w:rsid w:val="003A4EC1"/>
    <w:rsid w:val="003A50AF"/>
    <w:rsid w:val="003A597D"/>
    <w:rsid w:val="003A5A04"/>
    <w:rsid w:val="003A5A14"/>
    <w:rsid w:val="003A5BB2"/>
    <w:rsid w:val="003A5C33"/>
    <w:rsid w:val="003A5D4E"/>
    <w:rsid w:val="003A5EFD"/>
    <w:rsid w:val="003A6075"/>
    <w:rsid w:val="003A62AF"/>
    <w:rsid w:val="003A645D"/>
    <w:rsid w:val="003A6720"/>
    <w:rsid w:val="003A6777"/>
    <w:rsid w:val="003A6798"/>
    <w:rsid w:val="003A68D6"/>
    <w:rsid w:val="003A7038"/>
    <w:rsid w:val="003A73E5"/>
    <w:rsid w:val="003A7988"/>
    <w:rsid w:val="003A7D8C"/>
    <w:rsid w:val="003B00AA"/>
    <w:rsid w:val="003B0329"/>
    <w:rsid w:val="003B0337"/>
    <w:rsid w:val="003B036D"/>
    <w:rsid w:val="003B04F4"/>
    <w:rsid w:val="003B068C"/>
    <w:rsid w:val="003B079F"/>
    <w:rsid w:val="003B0846"/>
    <w:rsid w:val="003B0857"/>
    <w:rsid w:val="003B08A3"/>
    <w:rsid w:val="003B0A8D"/>
    <w:rsid w:val="003B0B99"/>
    <w:rsid w:val="003B0D97"/>
    <w:rsid w:val="003B143D"/>
    <w:rsid w:val="003B1518"/>
    <w:rsid w:val="003B1B82"/>
    <w:rsid w:val="003B1EAA"/>
    <w:rsid w:val="003B2261"/>
    <w:rsid w:val="003B27E4"/>
    <w:rsid w:val="003B293C"/>
    <w:rsid w:val="003B295A"/>
    <w:rsid w:val="003B2DF6"/>
    <w:rsid w:val="003B2E93"/>
    <w:rsid w:val="003B2EB7"/>
    <w:rsid w:val="003B31C3"/>
    <w:rsid w:val="003B32F7"/>
    <w:rsid w:val="003B3E14"/>
    <w:rsid w:val="003B3F11"/>
    <w:rsid w:val="003B3FB7"/>
    <w:rsid w:val="003B432F"/>
    <w:rsid w:val="003B438A"/>
    <w:rsid w:val="003B462C"/>
    <w:rsid w:val="003B4680"/>
    <w:rsid w:val="003B48F3"/>
    <w:rsid w:val="003B4FB4"/>
    <w:rsid w:val="003B5211"/>
    <w:rsid w:val="003B54F8"/>
    <w:rsid w:val="003B557B"/>
    <w:rsid w:val="003B55AE"/>
    <w:rsid w:val="003B584D"/>
    <w:rsid w:val="003B5900"/>
    <w:rsid w:val="003B5E7A"/>
    <w:rsid w:val="003B6025"/>
    <w:rsid w:val="003B669B"/>
    <w:rsid w:val="003B6A09"/>
    <w:rsid w:val="003B6D4C"/>
    <w:rsid w:val="003B7154"/>
    <w:rsid w:val="003B71B9"/>
    <w:rsid w:val="003B723C"/>
    <w:rsid w:val="003B725F"/>
    <w:rsid w:val="003B7784"/>
    <w:rsid w:val="003B785E"/>
    <w:rsid w:val="003B7E11"/>
    <w:rsid w:val="003B7FE4"/>
    <w:rsid w:val="003C03CB"/>
    <w:rsid w:val="003C06B2"/>
    <w:rsid w:val="003C06BE"/>
    <w:rsid w:val="003C095D"/>
    <w:rsid w:val="003C0C3C"/>
    <w:rsid w:val="003C0D25"/>
    <w:rsid w:val="003C0FD1"/>
    <w:rsid w:val="003C1106"/>
    <w:rsid w:val="003C17F9"/>
    <w:rsid w:val="003C1B39"/>
    <w:rsid w:val="003C1EE4"/>
    <w:rsid w:val="003C1F03"/>
    <w:rsid w:val="003C226E"/>
    <w:rsid w:val="003C25FA"/>
    <w:rsid w:val="003C26FD"/>
    <w:rsid w:val="003C2756"/>
    <w:rsid w:val="003C2859"/>
    <w:rsid w:val="003C3313"/>
    <w:rsid w:val="003C36B2"/>
    <w:rsid w:val="003C39C2"/>
    <w:rsid w:val="003C3B10"/>
    <w:rsid w:val="003C3B4C"/>
    <w:rsid w:val="003C3E01"/>
    <w:rsid w:val="003C4044"/>
    <w:rsid w:val="003C405C"/>
    <w:rsid w:val="003C448D"/>
    <w:rsid w:val="003C45D0"/>
    <w:rsid w:val="003C506A"/>
    <w:rsid w:val="003C522B"/>
    <w:rsid w:val="003C532D"/>
    <w:rsid w:val="003C547B"/>
    <w:rsid w:val="003C562B"/>
    <w:rsid w:val="003C56A1"/>
    <w:rsid w:val="003C5BE0"/>
    <w:rsid w:val="003C5CBF"/>
    <w:rsid w:val="003C5F0B"/>
    <w:rsid w:val="003C6107"/>
    <w:rsid w:val="003C641C"/>
    <w:rsid w:val="003C6442"/>
    <w:rsid w:val="003C6560"/>
    <w:rsid w:val="003C65C5"/>
    <w:rsid w:val="003C66AB"/>
    <w:rsid w:val="003C67FC"/>
    <w:rsid w:val="003C6E4D"/>
    <w:rsid w:val="003C737C"/>
    <w:rsid w:val="003C77CA"/>
    <w:rsid w:val="003C7DC0"/>
    <w:rsid w:val="003D04FD"/>
    <w:rsid w:val="003D07D7"/>
    <w:rsid w:val="003D08DF"/>
    <w:rsid w:val="003D090E"/>
    <w:rsid w:val="003D0D6A"/>
    <w:rsid w:val="003D0F90"/>
    <w:rsid w:val="003D1144"/>
    <w:rsid w:val="003D13E7"/>
    <w:rsid w:val="003D1550"/>
    <w:rsid w:val="003D1914"/>
    <w:rsid w:val="003D1C27"/>
    <w:rsid w:val="003D1CBA"/>
    <w:rsid w:val="003D2214"/>
    <w:rsid w:val="003D222B"/>
    <w:rsid w:val="003D2603"/>
    <w:rsid w:val="003D292D"/>
    <w:rsid w:val="003D2EE5"/>
    <w:rsid w:val="003D30B1"/>
    <w:rsid w:val="003D3943"/>
    <w:rsid w:val="003D3984"/>
    <w:rsid w:val="003D3AA1"/>
    <w:rsid w:val="003D3DF4"/>
    <w:rsid w:val="003D412D"/>
    <w:rsid w:val="003D41CC"/>
    <w:rsid w:val="003D421E"/>
    <w:rsid w:val="003D4220"/>
    <w:rsid w:val="003D44D4"/>
    <w:rsid w:val="003D45CB"/>
    <w:rsid w:val="003D4D37"/>
    <w:rsid w:val="003D513B"/>
    <w:rsid w:val="003D5276"/>
    <w:rsid w:val="003D5650"/>
    <w:rsid w:val="003D57DF"/>
    <w:rsid w:val="003D5BA7"/>
    <w:rsid w:val="003D6364"/>
    <w:rsid w:val="003D65B3"/>
    <w:rsid w:val="003D66CF"/>
    <w:rsid w:val="003D683F"/>
    <w:rsid w:val="003D69F4"/>
    <w:rsid w:val="003D6A81"/>
    <w:rsid w:val="003D6B1D"/>
    <w:rsid w:val="003D6FF0"/>
    <w:rsid w:val="003D76AF"/>
    <w:rsid w:val="003D77C4"/>
    <w:rsid w:val="003D7E2B"/>
    <w:rsid w:val="003D7F81"/>
    <w:rsid w:val="003E01C3"/>
    <w:rsid w:val="003E032A"/>
    <w:rsid w:val="003E0482"/>
    <w:rsid w:val="003E0958"/>
    <w:rsid w:val="003E0B4A"/>
    <w:rsid w:val="003E0B57"/>
    <w:rsid w:val="003E0CA9"/>
    <w:rsid w:val="003E1872"/>
    <w:rsid w:val="003E1A26"/>
    <w:rsid w:val="003E2189"/>
    <w:rsid w:val="003E2608"/>
    <w:rsid w:val="003E2A3A"/>
    <w:rsid w:val="003E2CA9"/>
    <w:rsid w:val="003E2F8E"/>
    <w:rsid w:val="003E32BA"/>
    <w:rsid w:val="003E3699"/>
    <w:rsid w:val="003E3F16"/>
    <w:rsid w:val="003E4183"/>
    <w:rsid w:val="003E460B"/>
    <w:rsid w:val="003E4A56"/>
    <w:rsid w:val="003E4EB1"/>
    <w:rsid w:val="003E4EC0"/>
    <w:rsid w:val="003E5328"/>
    <w:rsid w:val="003E53F9"/>
    <w:rsid w:val="003E54DF"/>
    <w:rsid w:val="003E5523"/>
    <w:rsid w:val="003E595D"/>
    <w:rsid w:val="003E6162"/>
    <w:rsid w:val="003E6416"/>
    <w:rsid w:val="003E6674"/>
    <w:rsid w:val="003E6C9F"/>
    <w:rsid w:val="003E7209"/>
    <w:rsid w:val="003E7815"/>
    <w:rsid w:val="003E7CAA"/>
    <w:rsid w:val="003E7EA4"/>
    <w:rsid w:val="003E7EBF"/>
    <w:rsid w:val="003F0157"/>
    <w:rsid w:val="003F07D9"/>
    <w:rsid w:val="003F1187"/>
    <w:rsid w:val="003F12F5"/>
    <w:rsid w:val="003F176E"/>
    <w:rsid w:val="003F17B1"/>
    <w:rsid w:val="003F18F5"/>
    <w:rsid w:val="003F1AA8"/>
    <w:rsid w:val="003F2C06"/>
    <w:rsid w:val="003F2DBB"/>
    <w:rsid w:val="003F2DBF"/>
    <w:rsid w:val="003F2FF9"/>
    <w:rsid w:val="003F3042"/>
    <w:rsid w:val="003F30AA"/>
    <w:rsid w:val="003F37C9"/>
    <w:rsid w:val="003F3ADB"/>
    <w:rsid w:val="003F3EC9"/>
    <w:rsid w:val="003F4089"/>
    <w:rsid w:val="003F40E2"/>
    <w:rsid w:val="003F44E0"/>
    <w:rsid w:val="003F4D04"/>
    <w:rsid w:val="003F4FA3"/>
    <w:rsid w:val="003F52D2"/>
    <w:rsid w:val="003F55B2"/>
    <w:rsid w:val="003F5902"/>
    <w:rsid w:val="003F5B07"/>
    <w:rsid w:val="003F5BF7"/>
    <w:rsid w:val="003F5D74"/>
    <w:rsid w:val="003F5DDA"/>
    <w:rsid w:val="003F607C"/>
    <w:rsid w:val="003F6442"/>
    <w:rsid w:val="003F64EB"/>
    <w:rsid w:val="003F66B8"/>
    <w:rsid w:val="003F6861"/>
    <w:rsid w:val="003F68BF"/>
    <w:rsid w:val="003F69BF"/>
    <w:rsid w:val="003F6D9D"/>
    <w:rsid w:val="003F6F40"/>
    <w:rsid w:val="003F6F4E"/>
    <w:rsid w:val="003F6FED"/>
    <w:rsid w:val="003F7149"/>
    <w:rsid w:val="003F71E3"/>
    <w:rsid w:val="003F7695"/>
    <w:rsid w:val="003F79B2"/>
    <w:rsid w:val="003F7E2F"/>
    <w:rsid w:val="00400201"/>
    <w:rsid w:val="0040088C"/>
    <w:rsid w:val="00400902"/>
    <w:rsid w:val="00400AFC"/>
    <w:rsid w:val="00400B56"/>
    <w:rsid w:val="00400CE2"/>
    <w:rsid w:val="00400DF6"/>
    <w:rsid w:val="0040130C"/>
    <w:rsid w:val="004017DE"/>
    <w:rsid w:val="00401922"/>
    <w:rsid w:val="00401D0F"/>
    <w:rsid w:val="00401E3A"/>
    <w:rsid w:val="0040242A"/>
    <w:rsid w:val="00402479"/>
    <w:rsid w:val="00402799"/>
    <w:rsid w:val="004031F2"/>
    <w:rsid w:val="0040324E"/>
    <w:rsid w:val="004033A6"/>
    <w:rsid w:val="004040D6"/>
    <w:rsid w:val="0040418E"/>
    <w:rsid w:val="0040437C"/>
    <w:rsid w:val="004047BB"/>
    <w:rsid w:val="00404890"/>
    <w:rsid w:val="00404CCB"/>
    <w:rsid w:val="00404E26"/>
    <w:rsid w:val="00404F50"/>
    <w:rsid w:val="004052AE"/>
    <w:rsid w:val="004056A2"/>
    <w:rsid w:val="00405C59"/>
    <w:rsid w:val="00406294"/>
    <w:rsid w:val="004066A8"/>
    <w:rsid w:val="00406DAA"/>
    <w:rsid w:val="00406EA1"/>
    <w:rsid w:val="0040710B"/>
    <w:rsid w:val="00407576"/>
    <w:rsid w:val="004075A6"/>
    <w:rsid w:val="004077B8"/>
    <w:rsid w:val="00407A68"/>
    <w:rsid w:val="00407AC2"/>
    <w:rsid w:val="00407ACD"/>
    <w:rsid w:val="00407C3F"/>
    <w:rsid w:val="00407E56"/>
    <w:rsid w:val="00407F23"/>
    <w:rsid w:val="00407FB2"/>
    <w:rsid w:val="00410100"/>
    <w:rsid w:val="0041042E"/>
    <w:rsid w:val="00410572"/>
    <w:rsid w:val="004106A9"/>
    <w:rsid w:val="004106B3"/>
    <w:rsid w:val="00410834"/>
    <w:rsid w:val="0041098B"/>
    <w:rsid w:val="00411492"/>
    <w:rsid w:val="004115AE"/>
    <w:rsid w:val="004117C9"/>
    <w:rsid w:val="00411B24"/>
    <w:rsid w:val="00411B6C"/>
    <w:rsid w:val="00411DE2"/>
    <w:rsid w:val="00411FA5"/>
    <w:rsid w:val="00412082"/>
    <w:rsid w:val="004120D5"/>
    <w:rsid w:val="00412451"/>
    <w:rsid w:val="00412501"/>
    <w:rsid w:val="0041265E"/>
    <w:rsid w:val="00412705"/>
    <w:rsid w:val="00412A2B"/>
    <w:rsid w:val="00412B8E"/>
    <w:rsid w:val="004131B9"/>
    <w:rsid w:val="0041326F"/>
    <w:rsid w:val="004132D2"/>
    <w:rsid w:val="004132E2"/>
    <w:rsid w:val="00413972"/>
    <w:rsid w:val="004139F7"/>
    <w:rsid w:val="004143AC"/>
    <w:rsid w:val="00414626"/>
    <w:rsid w:val="004146A4"/>
    <w:rsid w:val="0041476C"/>
    <w:rsid w:val="004147FD"/>
    <w:rsid w:val="00414B23"/>
    <w:rsid w:val="00415045"/>
    <w:rsid w:val="004153C1"/>
    <w:rsid w:val="004153E2"/>
    <w:rsid w:val="0041573B"/>
    <w:rsid w:val="00415CB8"/>
    <w:rsid w:val="00415D16"/>
    <w:rsid w:val="00415D51"/>
    <w:rsid w:val="00415E12"/>
    <w:rsid w:val="00415E66"/>
    <w:rsid w:val="00415FAD"/>
    <w:rsid w:val="00415FCB"/>
    <w:rsid w:val="004165BE"/>
    <w:rsid w:val="004165FC"/>
    <w:rsid w:val="004168C6"/>
    <w:rsid w:val="00416E43"/>
    <w:rsid w:val="00416F1E"/>
    <w:rsid w:val="004170BB"/>
    <w:rsid w:val="004173A9"/>
    <w:rsid w:val="0041752A"/>
    <w:rsid w:val="004177B2"/>
    <w:rsid w:val="004179CD"/>
    <w:rsid w:val="00417AC4"/>
    <w:rsid w:val="00417BA9"/>
    <w:rsid w:val="00417BC4"/>
    <w:rsid w:val="00417FBC"/>
    <w:rsid w:val="004201C1"/>
    <w:rsid w:val="00420290"/>
    <w:rsid w:val="0042043C"/>
    <w:rsid w:val="0042051D"/>
    <w:rsid w:val="0042076C"/>
    <w:rsid w:val="0042078C"/>
    <w:rsid w:val="004208E1"/>
    <w:rsid w:val="00420A08"/>
    <w:rsid w:val="00420BBE"/>
    <w:rsid w:val="00420C6B"/>
    <w:rsid w:val="0042119F"/>
    <w:rsid w:val="0042182F"/>
    <w:rsid w:val="00421885"/>
    <w:rsid w:val="004220F1"/>
    <w:rsid w:val="00422121"/>
    <w:rsid w:val="00422305"/>
    <w:rsid w:val="004223B0"/>
    <w:rsid w:val="0042273B"/>
    <w:rsid w:val="0042295A"/>
    <w:rsid w:val="00422B58"/>
    <w:rsid w:val="00422C41"/>
    <w:rsid w:val="00422FE7"/>
    <w:rsid w:val="00422FF2"/>
    <w:rsid w:val="004236D9"/>
    <w:rsid w:val="00423725"/>
    <w:rsid w:val="0042395F"/>
    <w:rsid w:val="00423A3B"/>
    <w:rsid w:val="00423F89"/>
    <w:rsid w:val="0042405E"/>
    <w:rsid w:val="0042409B"/>
    <w:rsid w:val="0042410E"/>
    <w:rsid w:val="004242EF"/>
    <w:rsid w:val="004244D0"/>
    <w:rsid w:val="004247CA"/>
    <w:rsid w:val="00424B63"/>
    <w:rsid w:val="00424C81"/>
    <w:rsid w:val="00425011"/>
    <w:rsid w:val="004252D1"/>
    <w:rsid w:val="004254B0"/>
    <w:rsid w:val="00425690"/>
    <w:rsid w:val="00425746"/>
    <w:rsid w:val="00425C77"/>
    <w:rsid w:val="00425D8D"/>
    <w:rsid w:val="00426211"/>
    <w:rsid w:val="00426678"/>
    <w:rsid w:val="00426B39"/>
    <w:rsid w:val="00426D44"/>
    <w:rsid w:val="00426D57"/>
    <w:rsid w:val="00426D67"/>
    <w:rsid w:val="00426D83"/>
    <w:rsid w:val="00426E2F"/>
    <w:rsid w:val="00426E82"/>
    <w:rsid w:val="00426F3B"/>
    <w:rsid w:val="004270B3"/>
    <w:rsid w:val="0042729A"/>
    <w:rsid w:val="0042790B"/>
    <w:rsid w:val="00427CC9"/>
    <w:rsid w:val="00427D23"/>
    <w:rsid w:val="00427E76"/>
    <w:rsid w:val="00427F07"/>
    <w:rsid w:val="004307B9"/>
    <w:rsid w:val="004307DD"/>
    <w:rsid w:val="00430C73"/>
    <w:rsid w:val="004310F1"/>
    <w:rsid w:val="004311DD"/>
    <w:rsid w:val="0043195F"/>
    <w:rsid w:val="00431C53"/>
    <w:rsid w:val="00431F4B"/>
    <w:rsid w:val="00432739"/>
    <w:rsid w:val="00432F5C"/>
    <w:rsid w:val="00434621"/>
    <w:rsid w:val="0043499E"/>
    <w:rsid w:val="00434ABE"/>
    <w:rsid w:val="00434B91"/>
    <w:rsid w:val="00434BB6"/>
    <w:rsid w:val="00434D23"/>
    <w:rsid w:val="00434DBB"/>
    <w:rsid w:val="0043500D"/>
    <w:rsid w:val="00435306"/>
    <w:rsid w:val="00435704"/>
    <w:rsid w:val="00435792"/>
    <w:rsid w:val="0043586D"/>
    <w:rsid w:val="00435A2C"/>
    <w:rsid w:val="0043601C"/>
    <w:rsid w:val="0043639A"/>
    <w:rsid w:val="004363D9"/>
    <w:rsid w:val="00436605"/>
    <w:rsid w:val="00436BC2"/>
    <w:rsid w:val="00436D82"/>
    <w:rsid w:val="0043702D"/>
    <w:rsid w:val="00437041"/>
    <w:rsid w:val="0043708D"/>
    <w:rsid w:val="00437205"/>
    <w:rsid w:val="004374DD"/>
    <w:rsid w:val="0043758F"/>
    <w:rsid w:val="004378A8"/>
    <w:rsid w:val="004379AC"/>
    <w:rsid w:val="00437B25"/>
    <w:rsid w:val="00437D46"/>
    <w:rsid w:val="004402A2"/>
    <w:rsid w:val="004402E7"/>
    <w:rsid w:val="004407EA"/>
    <w:rsid w:val="004408C3"/>
    <w:rsid w:val="00440BC0"/>
    <w:rsid w:val="00440FF8"/>
    <w:rsid w:val="00441128"/>
    <w:rsid w:val="0044114A"/>
    <w:rsid w:val="0044115D"/>
    <w:rsid w:val="004411AE"/>
    <w:rsid w:val="00441399"/>
    <w:rsid w:val="00441C82"/>
    <w:rsid w:val="00442112"/>
    <w:rsid w:val="00442185"/>
    <w:rsid w:val="00442518"/>
    <w:rsid w:val="004425D7"/>
    <w:rsid w:val="004426D8"/>
    <w:rsid w:val="00442C05"/>
    <w:rsid w:val="0044330C"/>
    <w:rsid w:val="00443342"/>
    <w:rsid w:val="004435E2"/>
    <w:rsid w:val="004436B9"/>
    <w:rsid w:val="004436CF"/>
    <w:rsid w:val="0044396F"/>
    <w:rsid w:val="004441A7"/>
    <w:rsid w:val="0044442C"/>
    <w:rsid w:val="004444BE"/>
    <w:rsid w:val="00444639"/>
    <w:rsid w:val="00444BC4"/>
    <w:rsid w:val="004452EA"/>
    <w:rsid w:val="0044537A"/>
    <w:rsid w:val="00445634"/>
    <w:rsid w:val="00445638"/>
    <w:rsid w:val="0044565C"/>
    <w:rsid w:val="004457E4"/>
    <w:rsid w:val="004468C2"/>
    <w:rsid w:val="00446A11"/>
    <w:rsid w:val="00446A43"/>
    <w:rsid w:val="00446D30"/>
    <w:rsid w:val="00446EF8"/>
    <w:rsid w:val="00446F38"/>
    <w:rsid w:val="004471BE"/>
    <w:rsid w:val="004471C8"/>
    <w:rsid w:val="00447644"/>
    <w:rsid w:val="004478E1"/>
    <w:rsid w:val="00447B2A"/>
    <w:rsid w:val="00447E9A"/>
    <w:rsid w:val="00450105"/>
    <w:rsid w:val="00450143"/>
    <w:rsid w:val="00450443"/>
    <w:rsid w:val="00450891"/>
    <w:rsid w:val="00450A4D"/>
    <w:rsid w:val="00450E86"/>
    <w:rsid w:val="004515E3"/>
    <w:rsid w:val="00451702"/>
    <w:rsid w:val="004517CF"/>
    <w:rsid w:val="004519CD"/>
    <w:rsid w:val="00451A66"/>
    <w:rsid w:val="00451FF4"/>
    <w:rsid w:val="0045237E"/>
    <w:rsid w:val="00453157"/>
    <w:rsid w:val="004531C0"/>
    <w:rsid w:val="004531F7"/>
    <w:rsid w:val="00453419"/>
    <w:rsid w:val="00453A34"/>
    <w:rsid w:val="00453BB4"/>
    <w:rsid w:val="00453EDE"/>
    <w:rsid w:val="0045489C"/>
    <w:rsid w:val="00454A72"/>
    <w:rsid w:val="00454B30"/>
    <w:rsid w:val="00454C58"/>
    <w:rsid w:val="00455000"/>
    <w:rsid w:val="00455060"/>
    <w:rsid w:val="00455307"/>
    <w:rsid w:val="00455EBF"/>
    <w:rsid w:val="00455F8A"/>
    <w:rsid w:val="00455FCD"/>
    <w:rsid w:val="004561EE"/>
    <w:rsid w:val="0045625F"/>
    <w:rsid w:val="0045655D"/>
    <w:rsid w:val="00456A86"/>
    <w:rsid w:val="00456C9D"/>
    <w:rsid w:val="00456DAB"/>
    <w:rsid w:val="004575C8"/>
    <w:rsid w:val="00457A95"/>
    <w:rsid w:val="00457C43"/>
    <w:rsid w:val="00460930"/>
    <w:rsid w:val="00460B99"/>
    <w:rsid w:val="00460E93"/>
    <w:rsid w:val="00460EE6"/>
    <w:rsid w:val="00460F8F"/>
    <w:rsid w:val="00460FAC"/>
    <w:rsid w:val="00461025"/>
    <w:rsid w:val="00461778"/>
    <w:rsid w:val="00461830"/>
    <w:rsid w:val="004618AE"/>
    <w:rsid w:val="004619A3"/>
    <w:rsid w:val="00461C94"/>
    <w:rsid w:val="00461D33"/>
    <w:rsid w:val="00461DD6"/>
    <w:rsid w:val="00461F0C"/>
    <w:rsid w:val="0046244B"/>
    <w:rsid w:val="00462778"/>
    <w:rsid w:val="004628FB"/>
    <w:rsid w:val="004629C0"/>
    <w:rsid w:val="00462AEE"/>
    <w:rsid w:val="00462E6E"/>
    <w:rsid w:val="00463484"/>
    <w:rsid w:val="004635E4"/>
    <w:rsid w:val="004636B9"/>
    <w:rsid w:val="00463B17"/>
    <w:rsid w:val="00463B51"/>
    <w:rsid w:val="00463D29"/>
    <w:rsid w:val="00463DB1"/>
    <w:rsid w:val="00463DE6"/>
    <w:rsid w:val="00463EB3"/>
    <w:rsid w:val="0046480E"/>
    <w:rsid w:val="00464900"/>
    <w:rsid w:val="00464929"/>
    <w:rsid w:val="00465688"/>
    <w:rsid w:val="00465906"/>
    <w:rsid w:val="00465B5A"/>
    <w:rsid w:val="00466009"/>
    <w:rsid w:val="00466127"/>
    <w:rsid w:val="004661ED"/>
    <w:rsid w:val="00466221"/>
    <w:rsid w:val="004662FC"/>
    <w:rsid w:val="0046645F"/>
    <w:rsid w:val="004666D9"/>
    <w:rsid w:val="004666ED"/>
    <w:rsid w:val="004667BC"/>
    <w:rsid w:val="004667C8"/>
    <w:rsid w:val="004668B8"/>
    <w:rsid w:val="00467119"/>
    <w:rsid w:val="00467152"/>
    <w:rsid w:val="0046732D"/>
    <w:rsid w:val="004678BD"/>
    <w:rsid w:val="00467F72"/>
    <w:rsid w:val="00467F74"/>
    <w:rsid w:val="0047021D"/>
    <w:rsid w:val="004707E9"/>
    <w:rsid w:val="00471278"/>
    <w:rsid w:val="00471755"/>
    <w:rsid w:val="004719AB"/>
    <w:rsid w:val="00471C95"/>
    <w:rsid w:val="00471F02"/>
    <w:rsid w:val="00471FC9"/>
    <w:rsid w:val="0047226D"/>
    <w:rsid w:val="0047244A"/>
    <w:rsid w:val="00472625"/>
    <w:rsid w:val="00472714"/>
    <w:rsid w:val="00472B0F"/>
    <w:rsid w:val="00472DB8"/>
    <w:rsid w:val="00472FAD"/>
    <w:rsid w:val="0047356A"/>
    <w:rsid w:val="00473808"/>
    <w:rsid w:val="00473814"/>
    <w:rsid w:val="00473B27"/>
    <w:rsid w:val="00473F38"/>
    <w:rsid w:val="004741FC"/>
    <w:rsid w:val="004742CA"/>
    <w:rsid w:val="00474CB6"/>
    <w:rsid w:val="00474D4D"/>
    <w:rsid w:val="00474EB2"/>
    <w:rsid w:val="0047515A"/>
    <w:rsid w:val="004755B2"/>
    <w:rsid w:val="00475608"/>
    <w:rsid w:val="00475655"/>
    <w:rsid w:val="00475AC4"/>
    <w:rsid w:val="00475B4D"/>
    <w:rsid w:val="00475C49"/>
    <w:rsid w:val="00475C82"/>
    <w:rsid w:val="00475E58"/>
    <w:rsid w:val="00475F3A"/>
    <w:rsid w:val="004760A4"/>
    <w:rsid w:val="004760EA"/>
    <w:rsid w:val="0047644F"/>
    <w:rsid w:val="00476877"/>
    <w:rsid w:val="00476A01"/>
    <w:rsid w:val="00476B4B"/>
    <w:rsid w:val="00476BC6"/>
    <w:rsid w:val="00476C06"/>
    <w:rsid w:val="00476CCC"/>
    <w:rsid w:val="00476E37"/>
    <w:rsid w:val="00477106"/>
    <w:rsid w:val="0047729E"/>
    <w:rsid w:val="00477699"/>
    <w:rsid w:val="0048030F"/>
    <w:rsid w:val="0048041B"/>
    <w:rsid w:val="004804B2"/>
    <w:rsid w:val="00480BB2"/>
    <w:rsid w:val="00480E55"/>
    <w:rsid w:val="00480F26"/>
    <w:rsid w:val="00480F8E"/>
    <w:rsid w:val="0048111D"/>
    <w:rsid w:val="0048120F"/>
    <w:rsid w:val="0048233C"/>
    <w:rsid w:val="00482B65"/>
    <w:rsid w:val="00483313"/>
    <w:rsid w:val="00483485"/>
    <w:rsid w:val="004838C6"/>
    <w:rsid w:val="00483E44"/>
    <w:rsid w:val="00483E4D"/>
    <w:rsid w:val="0048401B"/>
    <w:rsid w:val="004840D2"/>
    <w:rsid w:val="00484777"/>
    <w:rsid w:val="00484E7D"/>
    <w:rsid w:val="0048529C"/>
    <w:rsid w:val="00485B0A"/>
    <w:rsid w:val="00485EF3"/>
    <w:rsid w:val="0048655B"/>
    <w:rsid w:val="0048659C"/>
    <w:rsid w:val="004868B9"/>
    <w:rsid w:val="00486AA2"/>
    <w:rsid w:val="00486AA8"/>
    <w:rsid w:val="00486C9B"/>
    <w:rsid w:val="004872C9"/>
    <w:rsid w:val="0048735C"/>
    <w:rsid w:val="0048787B"/>
    <w:rsid w:val="00487F81"/>
    <w:rsid w:val="00491546"/>
    <w:rsid w:val="00491830"/>
    <w:rsid w:val="00491906"/>
    <w:rsid w:val="00491AD5"/>
    <w:rsid w:val="00491D47"/>
    <w:rsid w:val="00492142"/>
    <w:rsid w:val="004925BD"/>
    <w:rsid w:val="0049286F"/>
    <w:rsid w:val="00493480"/>
    <w:rsid w:val="00493547"/>
    <w:rsid w:val="00493AEC"/>
    <w:rsid w:val="00494495"/>
    <w:rsid w:val="00494932"/>
    <w:rsid w:val="00494FF7"/>
    <w:rsid w:val="00495052"/>
    <w:rsid w:val="0049507C"/>
    <w:rsid w:val="0049557B"/>
    <w:rsid w:val="00495833"/>
    <w:rsid w:val="004959ED"/>
    <w:rsid w:val="00495DAE"/>
    <w:rsid w:val="00495EF3"/>
    <w:rsid w:val="0049661C"/>
    <w:rsid w:val="004966C5"/>
    <w:rsid w:val="004967AE"/>
    <w:rsid w:val="004968EB"/>
    <w:rsid w:val="00496DE5"/>
    <w:rsid w:val="00496F36"/>
    <w:rsid w:val="004977CE"/>
    <w:rsid w:val="00497920"/>
    <w:rsid w:val="00497B0E"/>
    <w:rsid w:val="00497DD5"/>
    <w:rsid w:val="004A0224"/>
    <w:rsid w:val="004A059E"/>
    <w:rsid w:val="004A1058"/>
    <w:rsid w:val="004A114D"/>
    <w:rsid w:val="004A12B9"/>
    <w:rsid w:val="004A158E"/>
    <w:rsid w:val="004A161C"/>
    <w:rsid w:val="004A17C0"/>
    <w:rsid w:val="004A1AE3"/>
    <w:rsid w:val="004A1F05"/>
    <w:rsid w:val="004A1F13"/>
    <w:rsid w:val="004A20D3"/>
    <w:rsid w:val="004A251D"/>
    <w:rsid w:val="004A29B7"/>
    <w:rsid w:val="004A2BAE"/>
    <w:rsid w:val="004A2F39"/>
    <w:rsid w:val="004A31E6"/>
    <w:rsid w:val="004A3449"/>
    <w:rsid w:val="004A3633"/>
    <w:rsid w:val="004A38D5"/>
    <w:rsid w:val="004A3A91"/>
    <w:rsid w:val="004A3E8E"/>
    <w:rsid w:val="004A42B2"/>
    <w:rsid w:val="004A4582"/>
    <w:rsid w:val="004A47AB"/>
    <w:rsid w:val="004A482D"/>
    <w:rsid w:val="004A4B37"/>
    <w:rsid w:val="004A4CC0"/>
    <w:rsid w:val="004A5112"/>
    <w:rsid w:val="004A5385"/>
    <w:rsid w:val="004A5558"/>
    <w:rsid w:val="004A5CAE"/>
    <w:rsid w:val="004A5E55"/>
    <w:rsid w:val="004A640D"/>
    <w:rsid w:val="004A6E07"/>
    <w:rsid w:val="004A7683"/>
    <w:rsid w:val="004A784D"/>
    <w:rsid w:val="004A7B70"/>
    <w:rsid w:val="004B0144"/>
    <w:rsid w:val="004B023C"/>
    <w:rsid w:val="004B0337"/>
    <w:rsid w:val="004B075D"/>
    <w:rsid w:val="004B0B90"/>
    <w:rsid w:val="004B0C6C"/>
    <w:rsid w:val="004B0E5E"/>
    <w:rsid w:val="004B18A9"/>
    <w:rsid w:val="004B1EE8"/>
    <w:rsid w:val="004B2006"/>
    <w:rsid w:val="004B20CB"/>
    <w:rsid w:val="004B2560"/>
    <w:rsid w:val="004B2568"/>
    <w:rsid w:val="004B267D"/>
    <w:rsid w:val="004B28BE"/>
    <w:rsid w:val="004B3024"/>
    <w:rsid w:val="004B3281"/>
    <w:rsid w:val="004B32E0"/>
    <w:rsid w:val="004B370B"/>
    <w:rsid w:val="004B385F"/>
    <w:rsid w:val="004B3A20"/>
    <w:rsid w:val="004B3B5C"/>
    <w:rsid w:val="004B400D"/>
    <w:rsid w:val="004B4798"/>
    <w:rsid w:val="004B5283"/>
    <w:rsid w:val="004B583A"/>
    <w:rsid w:val="004B58B6"/>
    <w:rsid w:val="004B591B"/>
    <w:rsid w:val="004B5925"/>
    <w:rsid w:val="004B5AE4"/>
    <w:rsid w:val="004B5CEC"/>
    <w:rsid w:val="004B5D2C"/>
    <w:rsid w:val="004B6088"/>
    <w:rsid w:val="004B6224"/>
    <w:rsid w:val="004B644F"/>
    <w:rsid w:val="004B6896"/>
    <w:rsid w:val="004B6973"/>
    <w:rsid w:val="004B6C14"/>
    <w:rsid w:val="004B757C"/>
    <w:rsid w:val="004B7948"/>
    <w:rsid w:val="004B796D"/>
    <w:rsid w:val="004B7AC5"/>
    <w:rsid w:val="004B7C01"/>
    <w:rsid w:val="004C01A4"/>
    <w:rsid w:val="004C0AEA"/>
    <w:rsid w:val="004C0B0F"/>
    <w:rsid w:val="004C0DFB"/>
    <w:rsid w:val="004C1080"/>
    <w:rsid w:val="004C1274"/>
    <w:rsid w:val="004C13C4"/>
    <w:rsid w:val="004C1526"/>
    <w:rsid w:val="004C181F"/>
    <w:rsid w:val="004C1AF4"/>
    <w:rsid w:val="004C1F53"/>
    <w:rsid w:val="004C2948"/>
    <w:rsid w:val="004C2F33"/>
    <w:rsid w:val="004C2F9D"/>
    <w:rsid w:val="004C39AA"/>
    <w:rsid w:val="004C3CE0"/>
    <w:rsid w:val="004C3D39"/>
    <w:rsid w:val="004C4395"/>
    <w:rsid w:val="004C44A8"/>
    <w:rsid w:val="004C4566"/>
    <w:rsid w:val="004C495A"/>
    <w:rsid w:val="004C4977"/>
    <w:rsid w:val="004C5101"/>
    <w:rsid w:val="004C51E4"/>
    <w:rsid w:val="004C540C"/>
    <w:rsid w:val="004C5439"/>
    <w:rsid w:val="004C59BD"/>
    <w:rsid w:val="004C5A0F"/>
    <w:rsid w:val="004C5A1F"/>
    <w:rsid w:val="004C5B25"/>
    <w:rsid w:val="004C5B95"/>
    <w:rsid w:val="004C5FDD"/>
    <w:rsid w:val="004C62AF"/>
    <w:rsid w:val="004C6345"/>
    <w:rsid w:val="004C641F"/>
    <w:rsid w:val="004C6636"/>
    <w:rsid w:val="004C6B42"/>
    <w:rsid w:val="004C6CF1"/>
    <w:rsid w:val="004C6EB7"/>
    <w:rsid w:val="004C6FA0"/>
    <w:rsid w:val="004C77E7"/>
    <w:rsid w:val="004D0C92"/>
    <w:rsid w:val="004D10A1"/>
    <w:rsid w:val="004D11D4"/>
    <w:rsid w:val="004D1399"/>
    <w:rsid w:val="004D14B9"/>
    <w:rsid w:val="004D1533"/>
    <w:rsid w:val="004D18A3"/>
    <w:rsid w:val="004D18D7"/>
    <w:rsid w:val="004D19A2"/>
    <w:rsid w:val="004D19F7"/>
    <w:rsid w:val="004D1DCA"/>
    <w:rsid w:val="004D1DE8"/>
    <w:rsid w:val="004D26AE"/>
    <w:rsid w:val="004D29AD"/>
    <w:rsid w:val="004D305D"/>
    <w:rsid w:val="004D3259"/>
    <w:rsid w:val="004D3601"/>
    <w:rsid w:val="004D375A"/>
    <w:rsid w:val="004D39C0"/>
    <w:rsid w:val="004D3DD2"/>
    <w:rsid w:val="004D40A4"/>
    <w:rsid w:val="004D46AC"/>
    <w:rsid w:val="004D476A"/>
    <w:rsid w:val="004D52D2"/>
    <w:rsid w:val="004D5350"/>
    <w:rsid w:val="004D53DD"/>
    <w:rsid w:val="004D593A"/>
    <w:rsid w:val="004D5F21"/>
    <w:rsid w:val="004D670C"/>
    <w:rsid w:val="004D67CB"/>
    <w:rsid w:val="004D68D3"/>
    <w:rsid w:val="004D6E7E"/>
    <w:rsid w:val="004D7255"/>
    <w:rsid w:val="004D7855"/>
    <w:rsid w:val="004D7916"/>
    <w:rsid w:val="004D7990"/>
    <w:rsid w:val="004E002F"/>
    <w:rsid w:val="004E026A"/>
    <w:rsid w:val="004E05B3"/>
    <w:rsid w:val="004E07D9"/>
    <w:rsid w:val="004E0D6B"/>
    <w:rsid w:val="004E0F59"/>
    <w:rsid w:val="004E13AA"/>
    <w:rsid w:val="004E17F3"/>
    <w:rsid w:val="004E188A"/>
    <w:rsid w:val="004E199A"/>
    <w:rsid w:val="004E1CF1"/>
    <w:rsid w:val="004E2127"/>
    <w:rsid w:val="004E25EB"/>
    <w:rsid w:val="004E2605"/>
    <w:rsid w:val="004E2AE3"/>
    <w:rsid w:val="004E2B41"/>
    <w:rsid w:val="004E2BF8"/>
    <w:rsid w:val="004E3197"/>
    <w:rsid w:val="004E31AB"/>
    <w:rsid w:val="004E34AA"/>
    <w:rsid w:val="004E34B3"/>
    <w:rsid w:val="004E36E7"/>
    <w:rsid w:val="004E3790"/>
    <w:rsid w:val="004E3AD5"/>
    <w:rsid w:val="004E3D03"/>
    <w:rsid w:val="004E40C5"/>
    <w:rsid w:val="004E4435"/>
    <w:rsid w:val="004E4518"/>
    <w:rsid w:val="004E4582"/>
    <w:rsid w:val="004E4752"/>
    <w:rsid w:val="004E4B8E"/>
    <w:rsid w:val="004E4F01"/>
    <w:rsid w:val="004E4F55"/>
    <w:rsid w:val="004E4FEC"/>
    <w:rsid w:val="004E5410"/>
    <w:rsid w:val="004E5454"/>
    <w:rsid w:val="004E570C"/>
    <w:rsid w:val="004E57A2"/>
    <w:rsid w:val="004E5C48"/>
    <w:rsid w:val="004E5E2B"/>
    <w:rsid w:val="004E5EFE"/>
    <w:rsid w:val="004E6BDC"/>
    <w:rsid w:val="004E6E10"/>
    <w:rsid w:val="004E6E66"/>
    <w:rsid w:val="004E6EC7"/>
    <w:rsid w:val="004E713A"/>
    <w:rsid w:val="004E746A"/>
    <w:rsid w:val="004E754A"/>
    <w:rsid w:val="004E788C"/>
    <w:rsid w:val="004E7A7A"/>
    <w:rsid w:val="004E7B32"/>
    <w:rsid w:val="004E7CFB"/>
    <w:rsid w:val="004F01F1"/>
    <w:rsid w:val="004F0226"/>
    <w:rsid w:val="004F04B1"/>
    <w:rsid w:val="004F05EF"/>
    <w:rsid w:val="004F07C4"/>
    <w:rsid w:val="004F09D8"/>
    <w:rsid w:val="004F0CB1"/>
    <w:rsid w:val="004F0D4B"/>
    <w:rsid w:val="004F10FF"/>
    <w:rsid w:val="004F1386"/>
    <w:rsid w:val="004F1867"/>
    <w:rsid w:val="004F1A26"/>
    <w:rsid w:val="004F1AEA"/>
    <w:rsid w:val="004F24C6"/>
    <w:rsid w:val="004F27D8"/>
    <w:rsid w:val="004F27F5"/>
    <w:rsid w:val="004F291D"/>
    <w:rsid w:val="004F292A"/>
    <w:rsid w:val="004F2A17"/>
    <w:rsid w:val="004F2A80"/>
    <w:rsid w:val="004F2B2D"/>
    <w:rsid w:val="004F2C98"/>
    <w:rsid w:val="004F30CC"/>
    <w:rsid w:val="004F3776"/>
    <w:rsid w:val="004F37E8"/>
    <w:rsid w:val="004F3896"/>
    <w:rsid w:val="004F38E5"/>
    <w:rsid w:val="004F4099"/>
    <w:rsid w:val="004F44A5"/>
    <w:rsid w:val="004F45B6"/>
    <w:rsid w:val="004F45D5"/>
    <w:rsid w:val="004F464C"/>
    <w:rsid w:val="004F4A0E"/>
    <w:rsid w:val="004F4B12"/>
    <w:rsid w:val="004F4E77"/>
    <w:rsid w:val="004F4F0F"/>
    <w:rsid w:val="004F50E5"/>
    <w:rsid w:val="004F5B48"/>
    <w:rsid w:val="004F5E7D"/>
    <w:rsid w:val="004F5F24"/>
    <w:rsid w:val="004F5F74"/>
    <w:rsid w:val="004F6797"/>
    <w:rsid w:val="004F6840"/>
    <w:rsid w:val="004F6A9D"/>
    <w:rsid w:val="004F6BD8"/>
    <w:rsid w:val="004F6C71"/>
    <w:rsid w:val="004F6EBC"/>
    <w:rsid w:val="004F6F12"/>
    <w:rsid w:val="004F7322"/>
    <w:rsid w:val="004F753C"/>
    <w:rsid w:val="004F76C1"/>
    <w:rsid w:val="004F79AB"/>
    <w:rsid w:val="004F7AE7"/>
    <w:rsid w:val="0050017F"/>
    <w:rsid w:val="005002C1"/>
    <w:rsid w:val="005002E6"/>
    <w:rsid w:val="0050053B"/>
    <w:rsid w:val="00500585"/>
    <w:rsid w:val="0050064F"/>
    <w:rsid w:val="0050098C"/>
    <w:rsid w:val="005009C3"/>
    <w:rsid w:val="00500CA8"/>
    <w:rsid w:val="005014C8"/>
    <w:rsid w:val="00501544"/>
    <w:rsid w:val="00501FB2"/>
    <w:rsid w:val="00501FD4"/>
    <w:rsid w:val="00502153"/>
    <w:rsid w:val="0050269C"/>
    <w:rsid w:val="00502719"/>
    <w:rsid w:val="00502AE9"/>
    <w:rsid w:val="00502B4F"/>
    <w:rsid w:val="00502C0B"/>
    <w:rsid w:val="00502D08"/>
    <w:rsid w:val="00502D80"/>
    <w:rsid w:val="00502FA5"/>
    <w:rsid w:val="0050311A"/>
    <w:rsid w:val="00503179"/>
    <w:rsid w:val="0050360F"/>
    <w:rsid w:val="005037EA"/>
    <w:rsid w:val="005043C5"/>
    <w:rsid w:val="00504766"/>
    <w:rsid w:val="00504972"/>
    <w:rsid w:val="00504A0F"/>
    <w:rsid w:val="00505BED"/>
    <w:rsid w:val="005060A3"/>
    <w:rsid w:val="005065A0"/>
    <w:rsid w:val="00506B5C"/>
    <w:rsid w:val="00506DD2"/>
    <w:rsid w:val="00507275"/>
    <w:rsid w:val="0050745E"/>
    <w:rsid w:val="0050755C"/>
    <w:rsid w:val="005076FE"/>
    <w:rsid w:val="00507748"/>
    <w:rsid w:val="00507BC4"/>
    <w:rsid w:val="00507DFD"/>
    <w:rsid w:val="0051058B"/>
    <w:rsid w:val="005108F6"/>
    <w:rsid w:val="00510B99"/>
    <w:rsid w:val="00510EC4"/>
    <w:rsid w:val="00510FB4"/>
    <w:rsid w:val="005110AD"/>
    <w:rsid w:val="005110CB"/>
    <w:rsid w:val="0051130A"/>
    <w:rsid w:val="00511313"/>
    <w:rsid w:val="00511D0D"/>
    <w:rsid w:val="00511FF1"/>
    <w:rsid w:val="00512026"/>
    <w:rsid w:val="005120A7"/>
    <w:rsid w:val="005121B1"/>
    <w:rsid w:val="00512347"/>
    <w:rsid w:val="005124D6"/>
    <w:rsid w:val="005126A7"/>
    <w:rsid w:val="005127F2"/>
    <w:rsid w:val="00512969"/>
    <w:rsid w:val="00512D63"/>
    <w:rsid w:val="00513179"/>
    <w:rsid w:val="00513223"/>
    <w:rsid w:val="0051366C"/>
    <w:rsid w:val="00513789"/>
    <w:rsid w:val="00513EC8"/>
    <w:rsid w:val="00513F13"/>
    <w:rsid w:val="00514294"/>
    <w:rsid w:val="00514318"/>
    <w:rsid w:val="00514506"/>
    <w:rsid w:val="00514906"/>
    <w:rsid w:val="00514B4B"/>
    <w:rsid w:val="005150E9"/>
    <w:rsid w:val="0051522B"/>
    <w:rsid w:val="00515355"/>
    <w:rsid w:val="00515576"/>
    <w:rsid w:val="005155A1"/>
    <w:rsid w:val="0051570E"/>
    <w:rsid w:val="00515A53"/>
    <w:rsid w:val="00515A78"/>
    <w:rsid w:val="00515AB1"/>
    <w:rsid w:val="00515C3A"/>
    <w:rsid w:val="00515D5A"/>
    <w:rsid w:val="00515EEF"/>
    <w:rsid w:val="0051608B"/>
    <w:rsid w:val="00516289"/>
    <w:rsid w:val="00516344"/>
    <w:rsid w:val="005165EE"/>
    <w:rsid w:val="00516818"/>
    <w:rsid w:val="00516F09"/>
    <w:rsid w:val="00516FAE"/>
    <w:rsid w:val="0051782A"/>
    <w:rsid w:val="00517ADD"/>
    <w:rsid w:val="00520129"/>
    <w:rsid w:val="00520139"/>
    <w:rsid w:val="00520162"/>
    <w:rsid w:val="005201A4"/>
    <w:rsid w:val="005204A4"/>
    <w:rsid w:val="005206F4"/>
    <w:rsid w:val="00520DFF"/>
    <w:rsid w:val="00521153"/>
    <w:rsid w:val="005218B7"/>
    <w:rsid w:val="00521ABC"/>
    <w:rsid w:val="00521C79"/>
    <w:rsid w:val="00521DC0"/>
    <w:rsid w:val="00522298"/>
    <w:rsid w:val="0052239F"/>
    <w:rsid w:val="00522430"/>
    <w:rsid w:val="00522528"/>
    <w:rsid w:val="005226C0"/>
    <w:rsid w:val="00522ABC"/>
    <w:rsid w:val="00522C33"/>
    <w:rsid w:val="00522D4F"/>
    <w:rsid w:val="00522E6F"/>
    <w:rsid w:val="00522EC3"/>
    <w:rsid w:val="00522F30"/>
    <w:rsid w:val="0052302D"/>
    <w:rsid w:val="00523AA5"/>
    <w:rsid w:val="00523BC5"/>
    <w:rsid w:val="00524024"/>
    <w:rsid w:val="00524245"/>
    <w:rsid w:val="00524789"/>
    <w:rsid w:val="005247DC"/>
    <w:rsid w:val="005248BA"/>
    <w:rsid w:val="00524A84"/>
    <w:rsid w:val="00525240"/>
    <w:rsid w:val="00525A13"/>
    <w:rsid w:val="00525BE3"/>
    <w:rsid w:val="0052612F"/>
    <w:rsid w:val="005261CA"/>
    <w:rsid w:val="005261FB"/>
    <w:rsid w:val="005262ED"/>
    <w:rsid w:val="00526315"/>
    <w:rsid w:val="00526687"/>
    <w:rsid w:val="00526747"/>
    <w:rsid w:val="00526BA0"/>
    <w:rsid w:val="00526D58"/>
    <w:rsid w:val="00526F02"/>
    <w:rsid w:val="00526F8A"/>
    <w:rsid w:val="005272CE"/>
    <w:rsid w:val="005274CF"/>
    <w:rsid w:val="005275E8"/>
    <w:rsid w:val="00527642"/>
    <w:rsid w:val="005278E7"/>
    <w:rsid w:val="00527BBB"/>
    <w:rsid w:val="00527D29"/>
    <w:rsid w:val="00527FD0"/>
    <w:rsid w:val="0053085D"/>
    <w:rsid w:val="00530A3C"/>
    <w:rsid w:val="00530BFD"/>
    <w:rsid w:val="00530D95"/>
    <w:rsid w:val="00530ED0"/>
    <w:rsid w:val="00530F3C"/>
    <w:rsid w:val="00531114"/>
    <w:rsid w:val="0053143E"/>
    <w:rsid w:val="005314F0"/>
    <w:rsid w:val="00531533"/>
    <w:rsid w:val="0053154D"/>
    <w:rsid w:val="00531668"/>
    <w:rsid w:val="005319A5"/>
    <w:rsid w:val="005319CE"/>
    <w:rsid w:val="00531FC6"/>
    <w:rsid w:val="005320F9"/>
    <w:rsid w:val="00532343"/>
    <w:rsid w:val="0053234B"/>
    <w:rsid w:val="0053245D"/>
    <w:rsid w:val="00532748"/>
    <w:rsid w:val="00532A13"/>
    <w:rsid w:val="00532F05"/>
    <w:rsid w:val="00532FDE"/>
    <w:rsid w:val="0053337A"/>
    <w:rsid w:val="005333C3"/>
    <w:rsid w:val="00533B53"/>
    <w:rsid w:val="00533EEA"/>
    <w:rsid w:val="00534042"/>
    <w:rsid w:val="005340C0"/>
    <w:rsid w:val="00534987"/>
    <w:rsid w:val="00534A1C"/>
    <w:rsid w:val="00534C85"/>
    <w:rsid w:val="00534D6E"/>
    <w:rsid w:val="005353EC"/>
    <w:rsid w:val="00535A5C"/>
    <w:rsid w:val="00535A8A"/>
    <w:rsid w:val="00535D3D"/>
    <w:rsid w:val="00535E04"/>
    <w:rsid w:val="00536134"/>
    <w:rsid w:val="005361A8"/>
    <w:rsid w:val="005361E1"/>
    <w:rsid w:val="00536523"/>
    <w:rsid w:val="005376F2"/>
    <w:rsid w:val="005377B7"/>
    <w:rsid w:val="00537A5D"/>
    <w:rsid w:val="00537AA2"/>
    <w:rsid w:val="00537B1E"/>
    <w:rsid w:val="00537EFD"/>
    <w:rsid w:val="0054009D"/>
    <w:rsid w:val="00540116"/>
    <w:rsid w:val="00540581"/>
    <w:rsid w:val="00540D40"/>
    <w:rsid w:val="00540F3C"/>
    <w:rsid w:val="00540FB7"/>
    <w:rsid w:val="005412DC"/>
    <w:rsid w:val="00541660"/>
    <w:rsid w:val="005417EC"/>
    <w:rsid w:val="00541869"/>
    <w:rsid w:val="00541955"/>
    <w:rsid w:val="00541ED9"/>
    <w:rsid w:val="0054210B"/>
    <w:rsid w:val="005421C5"/>
    <w:rsid w:val="00542B9D"/>
    <w:rsid w:val="00542F8E"/>
    <w:rsid w:val="0054335A"/>
    <w:rsid w:val="005438E8"/>
    <w:rsid w:val="0054391F"/>
    <w:rsid w:val="00543970"/>
    <w:rsid w:val="00543B8D"/>
    <w:rsid w:val="00543BC8"/>
    <w:rsid w:val="00543CE5"/>
    <w:rsid w:val="00543D43"/>
    <w:rsid w:val="00543D98"/>
    <w:rsid w:val="00543E4C"/>
    <w:rsid w:val="00543F3B"/>
    <w:rsid w:val="00544180"/>
    <w:rsid w:val="0054443B"/>
    <w:rsid w:val="005446E6"/>
    <w:rsid w:val="005447F8"/>
    <w:rsid w:val="00544956"/>
    <w:rsid w:val="0054505F"/>
    <w:rsid w:val="0054539A"/>
    <w:rsid w:val="005453F3"/>
    <w:rsid w:val="00545638"/>
    <w:rsid w:val="00545733"/>
    <w:rsid w:val="005457E8"/>
    <w:rsid w:val="00545CF9"/>
    <w:rsid w:val="005462F7"/>
    <w:rsid w:val="00546326"/>
    <w:rsid w:val="0054667A"/>
    <w:rsid w:val="005468F8"/>
    <w:rsid w:val="00546DA8"/>
    <w:rsid w:val="005470F5"/>
    <w:rsid w:val="00547452"/>
    <w:rsid w:val="00547839"/>
    <w:rsid w:val="00547CCD"/>
    <w:rsid w:val="00550453"/>
    <w:rsid w:val="005504FD"/>
    <w:rsid w:val="00550767"/>
    <w:rsid w:val="00550813"/>
    <w:rsid w:val="0055085B"/>
    <w:rsid w:val="00550A64"/>
    <w:rsid w:val="00550BAC"/>
    <w:rsid w:val="005510DC"/>
    <w:rsid w:val="005512E8"/>
    <w:rsid w:val="005514C2"/>
    <w:rsid w:val="005518E7"/>
    <w:rsid w:val="00551EA5"/>
    <w:rsid w:val="00551F20"/>
    <w:rsid w:val="00551FDC"/>
    <w:rsid w:val="0055230E"/>
    <w:rsid w:val="00552555"/>
    <w:rsid w:val="0055270B"/>
    <w:rsid w:val="00552822"/>
    <w:rsid w:val="0055295C"/>
    <w:rsid w:val="00552E0E"/>
    <w:rsid w:val="005531DC"/>
    <w:rsid w:val="00553259"/>
    <w:rsid w:val="00553F93"/>
    <w:rsid w:val="0055450A"/>
    <w:rsid w:val="00554AEE"/>
    <w:rsid w:val="00554F0C"/>
    <w:rsid w:val="00554FBA"/>
    <w:rsid w:val="005553E1"/>
    <w:rsid w:val="005553E9"/>
    <w:rsid w:val="0055587F"/>
    <w:rsid w:val="00555978"/>
    <w:rsid w:val="00555D43"/>
    <w:rsid w:val="00555F21"/>
    <w:rsid w:val="00555F31"/>
    <w:rsid w:val="005560B9"/>
    <w:rsid w:val="00556242"/>
    <w:rsid w:val="00556383"/>
    <w:rsid w:val="00556886"/>
    <w:rsid w:val="0055690C"/>
    <w:rsid w:val="00556A28"/>
    <w:rsid w:val="00556ACC"/>
    <w:rsid w:val="00556C11"/>
    <w:rsid w:val="0055740D"/>
    <w:rsid w:val="0055760C"/>
    <w:rsid w:val="005576FD"/>
    <w:rsid w:val="00557721"/>
    <w:rsid w:val="00557AB2"/>
    <w:rsid w:val="00557B84"/>
    <w:rsid w:val="00557CC4"/>
    <w:rsid w:val="00557F22"/>
    <w:rsid w:val="00557FC4"/>
    <w:rsid w:val="00560242"/>
    <w:rsid w:val="0056061C"/>
    <w:rsid w:val="0056064B"/>
    <w:rsid w:val="00560798"/>
    <w:rsid w:val="00560C80"/>
    <w:rsid w:val="00560E53"/>
    <w:rsid w:val="00561267"/>
    <w:rsid w:val="00561484"/>
    <w:rsid w:val="00561761"/>
    <w:rsid w:val="00561A7D"/>
    <w:rsid w:val="00561B53"/>
    <w:rsid w:val="00561F61"/>
    <w:rsid w:val="00562346"/>
    <w:rsid w:val="005625B5"/>
    <w:rsid w:val="00562A14"/>
    <w:rsid w:val="00563D9C"/>
    <w:rsid w:val="00563FC6"/>
    <w:rsid w:val="005644FC"/>
    <w:rsid w:val="005645D3"/>
    <w:rsid w:val="00564A2D"/>
    <w:rsid w:val="00564B7C"/>
    <w:rsid w:val="00564D62"/>
    <w:rsid w:val="005653B2"/>
    <w:rsid w:val="005657EF"/>
    <w:rsid w:val="00565803"/>
    <w:rsid w:val="005659A0"/>
    <w:rsid w:val="00565ABB"/>
    <w:rsid w:val="00565AFF"/>
    <w:rsid w:val="00565D48"/>
    <w:rsid w:val="00566019"/>
    <w:rsid w:val="00566043"/>
    <w:rsid w:val="005664CA"/>
    <w:rsid w:val="005666A2"/>
    <w:rsid w:val="00566737"/>
    <w:rsid w:val="005667A9"/>
    <w:rsid w:val="005668E6"/>
    <w:rsid w:val="005668F0"/>
    <w:rsid w:val="00566A1D"/>
    <w:rsid w:val="00566CEE"/>
    <w:rsid w:val="005678AE"/>
    <w:rsid w:val="00567944"/>
    <w:rsid w:val="00567E29"/>
    <w:rsid w:val="00567E4F"/>
    <w:rsid w:val="00570375"/>
    <w:rsid w:val="00570529"/>
    <w:rsid w:val="005706ED"/>
    <w:rsid w:val="00570A0B"/>
    <w:rsid w:val="00570ADF"/>
    <w:rsid w:val="00570D3D"/>
    <w:rsid w:val="00571F30"/>
    <w:rsid w:val="0057296C"/>
    <w:rsid w:val="005729CA"/>
    <w:rsid w:val="00572B77"/>
    <w:rsid w:val="00572BC6"/>
    <w:rsid w:val="00572C44"/>
    <w:rsid w:val="00572DA9"/>
    <w:rsid w:val="005732D4"/>
    <w:rsid w:val="005732F9"/>
    <w:rsid w:val="0057352B"/>
    <w:rsid w:val="005736AA"/>
    <w:rsid w:val="00573707"/>
    <w:rsid w:val="005737EB"/>
    <w:rsid w:val="00573957"/>
    <w:rsid w:val="00573A65"/>
    <w:rsid w:val="00573CFC"/>
    <w:rsid w:val="00573FE4"/>
    <w:rsid w:val="00574087"/>
    <w:rsid w:val="00574638"/>
    <w:rsid w:val="005747A2"/>
    <w:rsid w:val="005747A7"/>
    <w:rsid w:val="00574995"/>
    <w:rsid w:val="005749D8"/>
    <w:rsid w:val="00574C79"/>
    <w:rsid w:val="00574EDA"/>
    <w:rsid w:val="005751F4"/>
    <w:rsid w:val="0057529E"/>
    <w:rsid w:val="0057546E"/>
    <w:rsid w:val="0057591C"/>
    <w:rsid w:val="00575D85"/>
    <w:rsid w:val="00575F42"/>
    <w:rsid w:val="00576B33"/>
    <w:rsid w:val="00576CE0"/>
    <w:rsid w:val="00576F47"/>
    <w:rsid w:val="005771C2"/>
    <w:rsid w:val="005772CC"/>
    <w:rsid w:val="00577437"/>
    <w:rsid w:val="00577DE9"/>
    <w:rsid w:val="005800AC"/>
    <w:rsid w:val="005800E4"/>
    <w:rsid w:val="005802B4"/>
    <w:rsid w:val="00580696"/>
    <w:rsid w:val="00580836"/>
    <w:rsid w:val="0058085B"/>
    <w:rsid w:val="00580861"/>
    <w:rsid w:val="005808CF"/>
    <w:rsid w:val="00580C47"/>
    <w:rsid w:val="00580CFB"/>
    <w:rsid w:val="00580D7F"/>
    <w:rsid w:val="00580E11"/>
    <w:rsid w:val="00581308"/>
    <w:rsid w:val="00581955"/>
    <w:rsid w:val="00581973"/>
    <w:rsid w:val="005819BB"/>
    <w:rsid w:val="005819EC"/>
    <w:rsid w:val="00581E3E"/>
    <w:rsid w:val="00581E68"/>
    <w:rsid w:val="00582297"/>
    <w:rsid w:val="0058230C"/>
    <w:rsid w:val="0058236F"/>
    <w:rsid w:val="00583797"/>
    <w:rsid w:val="00583B76"/>
    <w:rsid w:val="00584185"/>
    <w:rsid w:val="0058431F"/>
    <w:rsid w:val="00584535"/>
    <w:rsid w:val="00584AD7"/>
    <w:rsid w:val="00584ED4"/>
    <w:rsid w:val="00585126"/>
    <w:rsid w:val="005851DF"/>
    <w:rsid w:val="0058534C"/>
    <w:rsid w:val="00585A71"/>
    <w:rsid w:val="00585EE8"/>
    <w:rsid w:val="00585F93"/>
    <w:rsid w:val="00585FFA"/>
    <w:rsid w:val="005865A4"/>
    <w:rsid w:val="005865AD"/>
    <w:rsid w:val="005865DA"/>
    <w:rsid w:val="005867FD"/>
    <w:rsid w:val="00586ABD"/>
    <w:rsid w:val="00586BD5"/>
    <w:rsid w:val="00586D8C"/>
    <w:rsid w:val="005870E5"/>
    <w:rsid w:val="00587284"/>
    <w:rsid w:val="00587C72"/>
    <w:rsid w:val="00587E87"/>
    <w:rsid w:val="00587F22"/>
    <w:rsid w:val="00590001"/>
    <w:rsid w:val="0059007A"/>
    <w:rsid w:val="005900BE"/>
    <w:rsid w:val="0059027F"/>
    <w:rsid w:val="005902C0"/>
    <w:rsid w:val="00590410"/>
    <w:rsid w:val="005904B3"/>
    <w:rsid w:val="005904EA"/>
    <w:rsid w:val="0059089D"/>
    <w:rsid w:val="00590BA2"/>
    <w:rsid w:val="00590E8D"/>
    <w:rsid w:val="00590FAB"/>
    <w:rsid w:val="0059131D"/>
    <w:rsid w:val="00591345"/>
    <w:rsid w:val="00591603"/>
    <w:rsid w:val="00592206"/>
    <w:rsid w:val="0059225C"/>
    <w:rsid w:val="005922F7"/>
    <w:rsid w:val="0059242E"/>
    <w:rsid w:val="0059265F"/>
    <w:rsid w:val="005926DC"/>
    <w:rsid w:val="00592871"/>
    <w:rsid w:val="00592A8B"/>
    <w:rsid w:val="00592ADC"/>
    <w:rsid w:val="005931C4"/>
    <w:rsid w:val="00593B58"/>
    <w:rsid w:val="00593D48"/>
    <w:rsid w:val="00593D51"/>
    <w:rsid w:val="00594100"/>
    <w:rsid w:val="00594285"/>
    <w:rsid w:val="0059429F"/>
    <w:rsid w:val="005942DE"/>
    <w:rsid w:val="005943CE"/>
    <w:rsid w:val="005946FC"/>
    <w:rsid w:val="0059489F"/>
    <w:rsid w:val="00594A82"/>
    <w:rsid w:val="005952E5"/>
    <w:rsid w:val="00595331"/>
    <w:rsid w:val="0059554D"/>
    <w:rsid w:val="00595BE8"/>
    <w:rsid w:val="00595CAB"/>
    <w:rsid w:val="00595F8A"/>
    <w:rsid w:val="00596043"/>
    <w:rsid w:val="005962DE"/>
    <w:rsid w:val="00596434"/>
    <w:rsid w:val="005967B1"/>
    <w:rsid w:val="005969C3"/>
    <w:rsid w:val="00596B4D"/>
    <w:rsid w:val="00596E2D"/>
    <w:rsid w:val="005971F4"/>
    <w:rsid w:val="0059793B"/>
    <w:rsid w:val="00597B83"/>
    <w:rsid w:val="00597F07"/>
    <w:rsid w:val="005A002B"/>
    <w:rsid w:val="005A016D"/>
    <w:rsid w:val="005A01E3"/>
    <w:rsid w:val="005A0B55"/>
    <w:rsid w:val="005A0E7F"/>
    <w:rsid w:val="005A11E7"/>
    <w:rsid w:val="005A19B7"/>
    <w:rsid w:val="005A1B02"/>
    <w:rsid w:val="005A1DE7"/>
    <w:rsid w:val="005A1DEC"/>
    <w:rsid w:val="005A219F"/>
    <w:rsid w:val="005A2211"/>
    <w:rsid w:val="005A24C1"/>
    <w:rsid w:val="005A26A6"/>
    <w:rsid w:val="005A283F"/>
    <w:rsid w:val="005A2910"/>
    <w:rsid w:val="005A2C4C"/>
    <w:rsid w:val="005A2E62"/>
    <w:rsid w:val="005A3089"/>
    <w:rsid w:val="005A3346"/>
    <w:rsid w:val="005A382F"/>
    <w:rsid w:val="005A3977"/>
    <w:rsid w:val="005A398E"/>
    <w:rsid w:val="005A3CB6"/>
    <w:rsid w:val="005A4248"/>
    <w:rsid w:val="005A4806"/>
    <w:rsid w:val="005A49D7"/>
    <w:rsid w:val="005A4CED"/>
    <w:rsid w:val="005A4E62"/>
    <w:rsid w:val="005A5439"/>
    <w:rsid w:val="005A5C69"/>
    <w:rsid w:val="005A5F81"/>
    <w:rsid w:val="005A6BA2"/>
    <w:rsid w:val="005A6DD0"/>
    <w:rsid w:val="005A716C"/>
    <w:rsid w:val="005A71B2"/>
    <w:rsid w:val="005A768E"/>
    <w:rsid w:val="005A7D29"/>
    <w:rsid w:val="005A7F0F"/>
    <w:rsid w:val="005B0263"/>
    <w:rsid w:val="005B08BD"/>
    <w:rsid w:val="005B08F6"/>
    <w:rsid w:val="005B0A6D"/>
    <w:rsid w:val="005B0DFA"/>
    <w:rsid w:val="005B10DA"/>
    <w:rsid w:val="005B11B4"/>
    <w:rsid w:val="005B13AC"/>
    <w:rsid w:val="005B13F8"/>
    <w:rsid w:val="005B142B"/>
    <w:rsid w:val="005B1509"/>
    <w:rsid w:val="005B1C4A"/>
    <w:rsid w:val="005B1D20"/>
    <w:rsid w:val="005B23A5"/>
    <w:rsid w:val="005B23AB"/>
    <w:rsid w:val="005B2458"/>
    <w:rsid w:val="005B272D"/>
    <w:rsid w:val="005B28C8"/>
    <w:rsid w:val="005B2BD4"/>
    <w:rsid w:val="005B2C19"/>
    <w:rsid w:val="005B3227"/>
    <w:rsid w:val="005B32F9"/>
    <w:rsid w:val="005B34EE"/>
    <w:rsid w:val="005B3728"/>
    <w:rsid w:val="005B3A46"/>
    <w:rsid w:val="005B3E50"/>
    <w:rsid w:val="005B42F3"/>
    <w:rsid w:val="005B434A"/>
    <w:rsid w:val="005B48B2"/>
    <w:rsid w:val="005B4AE8"/>
    <w:rsid w:val="005B4B37"/>
    <w:rsid w:val="005B4C19"/>
    <w:rsid w:val="005B4D1F"/>
    <w:rsid w:val="005B4DCF"/>
    <w:rsid w:val="005B5225"/>
    <w:rsid w:val="005B5389"/>
    <w:rsid w:val="005B5489"/>
    <w:rsid w:val="005B5508"/>
    <w:rsid w:val="005B5724"/>
    <w:rsid w:val="005B5925"/>
    <w:rsid w:val="005B59C6"/>
    <w:rsid w:val="005B59DA"/>
    <w:rsid w:val="005B5BA1"/>
    <w:rsid w:val="005B5F4C"/>
    <w:rsid w:val="005B609F"/>
    <w:rsid w:val="005B617E"/>
    <w:rsid w:val="005B620E"/>
    <w:rsid w:val="005B6358"/>
    <w:rsid w:val="005B6932"/>
    <w:rsid w:val="005B6FB2"/>
    <w:rsid w:val="005B76AF"/>
    <w:rsid w:val="005B7B98"/>
    <w:rsid w:val="005B7C83"/>
    <w:rsid w:val="005B7F48"/>
    <w:rsid w:val="005C00E8"/>
    <w:rsid w:val="005C0304"/>
    <w:rsid w:val="005C04AE"/>
    <w:rsid w:val="005C05F6"/>
    <w:rsid w:val="005C0BBA"/>
    <w:rsid w:val="005C0D51"/>
    <w:rsid w:val="005C0EBE"/>
    <w:rsid w:val="005C11D8"/>
    <w:rsid w:val="005C17AF"/>
    <w:rsid w:val="005C2141"/>
    <w:rsid w:val="005C2552"/>
    <w:rsid w:val="005C25A9"/>
    <w:rsid w:val="005C27BC"/>
    <w:rsid w:val="005C29C4"/>
    <w:rsid w:val="005C2A40"/>
    <w:rsid w:val="005C2FDA"/>
    <w:rsid w:val="005C3154"/>
    <w:rsid w:val="005C3560"/>
    <w:rsid w:val="005C36EF"/>
    <w:rsid w:val="005C38BC"/>
    <w:rsid w:val="005C3E60"/>
    <w:rsid w:val="005C40C9"/>
    <w:rsid w:val="005C4326"/>
    <w:rsid w:val="005C4930"/>
    <w:rsid w:val="005C49FA"/>
    <w:rsid w:val="005C4B2E"/>
    <w:rsid w:val="005C4BE2"/>
    <w:rsid w:val="005C4FEF"/>
    <w:rsid w:val="005C50A3"/>
    <w:rsid w:val="005C52CE"/>
    <w:rsid w:val="005C550A"/>
    <w:rsid w:val="005C5F48"/>
    <w:rsid w:val="005C66E4"/>
    <w:rsid w:val="005C6DEE"/>
    <w:rsid w:val="005C75D8"/>
    <w:rsid w:val="005C768D"/>
    <w:rsid w:val="005D039C"/>
    <w:rsid w:val="005D0527"/>
    <w:rsid w:val="005D0DF1"/>
    <w:rsid w:val="005D1753"/>
    <w:rsid w:val="005D1AE8"/>
    <w:rsid w:val="005D1DB8"/>
    <w:rsid w:val="005D1E13"/>
    <w:rsid w:val="005D2196"/>
    <w:rsid w:val="005D22AA"/>
    <w:rsid w:val="005D25AE"/>
    <w:rsid w:val="005D28F5"/>
    <w:rsid w:val="005D2C4B"/>
    <w:rsid w:val="005D2E6A"/>
    <w:rsid w:val="005D2ECD"/>
    <w:rsid w:val="005D2F8C"/>
    <w:rsid w:val="005D2FCB"/>
    <w:rsid w:val="005D3753"/>
    <w:rsid w:val="005D3786"/>
    <w:rsid w:val="005D3966"/>
    <w:rsid w:val="005D3A1A"/>
    <w:rsid w:val="005D3B83"/>
    <w:rsid w:val="005D3E1E"/>
    <w:rsid w:val="005D42D2"/>
    <w:rsid w:val="005D42EE"/>
    <w:rsid w:val="005D4521"/>
    <w:rsid w:val="005D468C"/>
    <w:rsid w:val="005D4798"/>
    <w:rsid w:val="005D47F5"/>
    <w:rsid w:val="005D4A6E"/>
    <w:rsid w:val="005D4B05"/>
    <w:rsid w:val="005D4E36"/>
    <w:rsid w:val="005D5291"/>
    <w:rsid w:val="005D56D5"/>
    <w:rsid w:val="005D58E1"/>
    <w:rsid w:val="005D5AAB"/>
    <w:rsid w:val="005D5CCD"/>
    <w:rsid w:val="005D5E65"/>
    <w:rsid w:val="005D60C0"/>
    <w:rsid w:val="005D6964"/>
    <w:rsid w:val="005D6B08"/>
    <w:rsid w:val="005D6C3B"/>
    <w:rsid w:val="005D7410"/>
    <w:rsid w:val="005D77A7"/>
    <w:rsid w:val="005D7D3B"/>
    <w:rsid w:val="005E005E"/>
    <w:rsid w:val="005E02F5"/>
    <w:rsid w:val="005E0533"/>
    <w:rsid w:val="005E0C58"/>
    <w:rsid w:val="005E0EFB"/>
    <w:rsid w:val="005E10C4"/>
    <w:rsid w:val="005E119F"/>
    <w:rsid w:val="005E124C"/>
    <w:rsid w:val="005E1452"/>
    <w:rsid w:val="005E16EC"/>
    <w:rsid w:val="005E1C93"/>
    <w:rsid w:val="005E1DA6"/>
    <w:rsid w:val="005E1E23"/>
    <w:rsid w:val="005E2086"/>
    <w:rsid w:val="005E22F6"/>
    <w:rsid w:val="005E2323"/>
    <w:rsid w:val="005E2682"/>
    <w:rsid w:val="005E3779"/>
    <w:rsid w:val="005E3BCB"/>
    <w:rsid w:val="005E3E9D"/>
    <w:rsid w:val="005E3EC2"/>
    <w:rsid w:val="005E3F2E"/>
    <w:rsid w:val="005E3FE0"/>
    <w:rsid w:val="005E431F"/>
    <w:rsid w:val="005E483A"/>
    <w:rsid w:val="005E4F06"/>
    <w:rsid w:val="005E4FFB"/>
    <w:rsid w:val="005E5010"/>
    <w:rsid w:val="005E55F9"/>
    <w:rsid w:val="005E5619"/>
    <w:rsid w:val="005E5707"/>
    <w:rsid w:val="005E582A"/>
    <w:rsid w:val="005E588F"/>
    <w:rsid w:val="005E5AB0"/>
    <w:rsid w:val="005E5D0B"/>
    <w:rsid w:val="005E5E40"/>
    <w:rsid w:val="005E5EF3"/>
    <w:rsid w:val="005E6260"/>
    <w:rsid w:val="005E68E1"/>
    <w:rsid w:val="005E6E71"/>
    <w:rsid w:val="005E7410"/>
    <w:rsid w:val="005E7477"/>
    <w:rsid w:val="005E7512"/>
    <w:rsid w:val="005E7A11"/>
    <w:rsid w:val="005E7E08"/>
    <w:rsid w:val="005F02AB"/>
    <w:rsid w:val="005F0A33"/>
    <w:rsid w:val="005F0B1C"/>
    <w:rsid w:val="005F0CFC"/>
    <w:rsid w:val="005F19DD"/>
    <w:rsid w:val="005F1E41"/>
    <w:rsid w:val="005F1FB3"/>
    <w:rsid w:val="005F227C"/>
    <w:rsid w:val="005F2BD1"/>
    <w:rsid w:val="005F2C90"/>
    <w:rsid w:val="005F2FC6"/>
    <w:rsid w:val="005F310E"/>
    <w:rsid w:val="005F3130"/>
    <w:rsid w:val="005F31C9"/>
    <w:rsid w:val="005F33ED"/>
    <w:rsid w:val="005F35E2"/>
    <w:rsid w:val="005F3604"/>
    <w:rsid w:val="005F3A0F"/>
    <w:rsid w:val="005F3BD5"/>
    <w:rsid w:val="005F3E1A"/>
    <w:rsid w:val="005F4014"/>
    <w:rsid w:val="005F4399"/>
    <w:rsid w:val="005F4534"/>
    <w:rsid w:val="005F4EE6"/>
    <w:rsid w:val="005F4F75"/>
    <w:rsid w:val="005F4F84"/>
    <w:rsid w:val="005F5104"/>
    <w:rsid w:val="005F51A5"/>
    <w:rsid w:val="005F578F"/>
    <w:rsid w:val="005F58A0"/>
    <w:rsid w:val="005F5AF8"/>
    <w:rsid w:val="005F5CB5"/>
    <w:rsid w:val="005F60A9"/>
    <w:rsid w:val="005F6363"/>
    <w:rsid w:val="005F63A1"/>
    <w:rsid w:val="005F66B9"/>
    <w:rsid w:val="005F68CE"/>
    <w:rsid w:val="005F74E9"/>
    <w:rsid w:val="005F76A6"/>
    <w:rsid w:val="005F7C52"/>
    <w:rsid w:val="005F7CAE"/>
    <w:rsid w:val="005F7FBF"/>
    <w:rsid w:val="006000C6"/>
    <w:rsid w:val="00600171"/>
    <w:rsid w:val="00600694"/>
    <w:rsid w:val="00600858"/>
    <w:rsid w:val="00600933"/>
    <w:rsid w:val="00600AA5"/>
    <w:rsid w:val="00600C12"/>
    <w:rsid w:val="00601488"/>
    <w:rsid w:val="006016EC"/>
    <w:rsid w:val="006016FE"/>
    <w:rsid w:val="00601E1D"/>
    <w:rsid w:val="0060215C"/>
    <w:rsid w:val="00602234"/>
    <w:rsid w:val="00602483"/>
    <w:rsid w:val="00602BB8"/>
    <w:rsid w:val="00602C41"/>
    <w:rsid w:val="00602D0B"/>
    <w:rsid w:val="00602F44"/>
    <w:rsid w:val="006033B7"/>
    <w:rsid w:val="006033D1"/>
    <w:rsid w:val="006033E9"/>
    <w:rsid w:val="0060344C"/>
    <w:rsid w:val="0060360D"/>
    <w:rsid w:val="0060374E"/>
    <w:rsid w:val="00603A51"/>
    <w:rsid w:val="00603CDA"/>
    <w:rsid w:val="0060414D"/>
    <w:rsid w:val="00604846"/>
    <w:rsid w:val="0060497B"/>
    <w:rsid w:val="00604DF1"/>
    <w:rsid w:val="0060576D"/>
    <w:rsid w:val="00605D28"/>
    <w:rsid w:val="00605F85"/>
    <w:rsid w:val="00606672"/>
    <w:rsid w:val="00606719"/>
    <w:rsid w:val="0060674F"/>
    <w:rsid w:val="00606883"/>
    <w:rsid w:val="00606969"/>
    <w:rsid w:val="00606CDF"/>
    <w:rsid w:val="00606D69"/>
    <w:rsid w:val="006070D2"/>
    <w:rsid w:val="0060769E"/>
    <w:rsid w:val="00607ED0"/>
    <w:rsid w:val="006103BA"/>
    <w:rsid w:val="0061081E"/>
    <w:rsid w:val="006108E7"/>
    <w:rsid w:val="00610F47"/>
    <w:rsid w:val="0061103D"/>
    <w:rsid w:val="0061129F"/>
    <w:rsid w:val="006113F3"/>
    <w:rsid w:val="00611412"/>
    <w:rsid w:val="00611812"/>
    <w:rsid w:val="00611AF1"/>
    <w:rsid w:val="00611D1A"/>
    <w:rsid w:val="00612124"/>
    <w:rsid w:val="00612628"/>
    <w:rsid w:val="006131D4"/>
    <w:rsid w:val="00613556"/>
    <w:rsid w:val="00614A82"/>
    <w:rsid w:val="00614A85"/>
    <w:rsid w:val="00614B2D"/>
    <w:rsid w:val="0061507E"/>
    <w:rsid w:val="006152E4"/>
    <w:rsid w:val="0061582A"/>
    <w:rsid w:val="006158FF"/>
    <w:rsid w:val="00615917"/>
    <w:rsid w:val="00615955"/>
    <w:rsid w:val="006162DD"/>
    <w:rsid w:val="006165D7"/>
    <w:rsid w:val="006168DD"/>
    <w:rsid w:val="006169D9"/>
    <w:rsid w:val="00616A7D"/>
    <w:rsid w:val="00616C05"/>
    <w:rsid w:val="00616F61"/>
    <w:rsid w:val="00617151"/>
    <w:rsid w:val="00617484"/>
    <w:rsid w:val="006174B9"/>
    <w:rsid w:val="006176B7"/>
    <w:rsid w:val="006177ED"/>
    <w:rsid w:val="006178D3"/>
    <w:rsid w:val="006179E6"/>
    <w:rsid w:val="00617A6B"/>
    <w:rsid w:val="00617FF1"/>
    <w:rsid w:val="006202DF"/>
    <w:rsid w:val="006205A3"/>
    <w:rsid w:val="00620654"/>
    <w:rsid w:val="00620657"/>
    <w:rsid w:val="00620783"/>
    <w:rsid w:val="006207EB"/>
    <w:rsid w:val="00620B2D"/>
    <w:rsid w:val="00620CF0"/>
    <w:rsid w:val="00620E81"/>
    <w:rsid w:val="00620F4A"/>
    <w:rsid w:val="0062110C"/>
    <w:rsid w:val="0062164B"/>
    <w:rsid w:val="006218B4"/>
    <w:rsid w:val="00621D13"/>
    <w:rsid w:val="00621DAB"/>
    <w:rsid w:val="006222F2"/>
    <w:rsid w:val="0062267D"/>
    <w:rsid w:val="00622683"/>
    <w:rsid w:val="006226BE"/>
    <w:rsid w:val="006229E1"/>
    <w:rsid w:val="00622AB6"/>
    <w:rsid w:val="00622E55"/>
    <w:rsid w:val="00622E56"/>
    <w:rsid w:val="00622E95"/>
    <w:rsid w:val="0062328C"/>
    <w:rsid w:val="006237E6"/>
    <w:rsid w:val="00623FE1"/>
    <w:rsid w:val="00624453"/>
    <w:rsid w:val="00624557"/>
    <w:rsid w:val="00624BE9"/>
    <w:rsid w:val="00624BF0"/>
    <w:rsid w:val="00624C8F"/>
    <w:rsid w:val="006251D5"/>
    <w:rsid w:val="006251E3"/>
    <w:rsid w:val="00625316"/>
    <w:rsid w:val="00625328"/>
    <w:rsid w:val="0062544B"/>
    <w:rsid w:val="006256BB"/>
    <w:rsid w:val="006256DC"/>
    <w:rsid w:val="006258CA"/>
    <w:rsid w:val="0062593F"/>
    <w:rsid w:val="0062615F"/>
    <w:rsid w:val="006267D0"/>
    <w:rsid w:val="0062681F"/>
    <w:rsid w:val="00626CB7"/>
    <w:rsid w:val="00626D4B"/>
    <w:rsid w:val="00626F98"/>
    <w:rsid w:val="0062709C"/>
    <w:rsid w:val="006270FF"/>
    <w:rsid w:val="006271DC"/>
    <w:rsid w:val="00627AAA"/>
    <w:rsid w:val="00627E09"/>
    <w:rsid w:val="00627ED9"/>
    <w:rsid w:val="00627F2D"/>
    <w:rsid w:val="00630207"/>
    <w:rsid w:val="0063021B"/>
    <w:rsid w:val="00630718"/>
    <w:rsid w:val="0063096C"/>
    <w:rsid w:val="00630C2D"/>
    <w:rsid w:val="00630E01"/>
    <w:rsid w:val="00630F30"/>
    <w:rsid w:val="00631118"/>
    <w:rsid w:val="0063184D"/>
    <w:rsid w:val="006318F2"/>
    <w:rsid w:val="00631D3D"/>
    <w:rsid w:val="00631E2F"/>
    <w:rsid w:val="00631FD4"/>
    <w:rsid w:val="006322D4"/>
    <w:rsid w:val="0063253A"/>
    <w:rsid w:val="006325A3"/>
    <w:rsid w:val="00632BF0"/>
    <w:rsid w:val="006330F3"/>
    <w:rsid w:val="00633284"/>
    <w:rsid w:val="006333EB"/>
    <w:rsid w:val="00633639"/>
    <w:rsid w:val="00633C8E"/>
    <w:rsid w:val="00633DBE"/>
    <w:rsid w:val="0063403D"/>
    <w:rsid w:val="006341B8"/>
    <w:rsid w:val="006343D7"/>
    <w:rsid w:val="0063440B"/>
    <w:rsid w:val="00634432"/>
    <w:rsid w:val="00634501"/>
    <w:rsid w:val="00634863"/>
    <w:rsid w:val="00634A86"/>
    <w:rsid w:val="00634C6C"/>
    <w:rsid w:val="00634CC0"/>
    <w:rsid w:val="00635130"/>
    <w:rsid w:val="00635572"/>
    <w:rsid w:val="006356DA"/>
    <w:rsid w:val="00635A83"/>
    <w:rsid w:val="00635D33"/>
    <w:rsid w:val="00635E62"/>
    <w:rsid w:val="00635F3F"/>
    <w:rsid w:val="00636307"/>
    <w:rsid w:val="0063634E"/>
    <w:rsid w:val="00636351"/>
    <w:rsid w:val="0063637E"/>
    <w:rsid w:val="006369B5"/>
    <w:rsid w:val="00636C44"/>
    <w:rsid w:val="00636E26"/>
    <w:rsid w:val="00636E6C"/>
    <w:rsid w:val="00637182"/>
    <w:rsid w:val="0063723D"/>
    <w:rsid w:val="00637375"/>
    <w:rsid w:val="006374F7"/>
    <w:rsid w:val="00637503"/>
    <w:rsid w:val="00637803"/>
    <w:rsid w:val="00637E7B"/>
    <w:rsid w:val="00640172"/>
    <w:rsid w:val="00640238"/>
    <w:rsid w:val="006406A7"/>
    <w:rsid w:val="006407CF"/>
    <w:rsid w:val="00640876"/>
    <w:rsid w:val="00640A20"/>
    <w:rsid w:val="00640D48"/>
    <w:rsid w:val="00640E69"/>
    <w:rsid w:val="00640F10"/>
    <w:rsid w:val="006412D9"/>
    <w:rsid w:val="00641786"/>
    <w:rsid w:val="00641789"/>
    <w:rsid w:val="00641A5B"/>
    <w:rsid w:val="00641B01"/>
    <w:rsid w:val="00641BD0"/>
    <w:rsid w:val="00641D07"/>
    <w:rsid w:val="0064230D"/>
    <w:rsid w:val="00642467"/>
    <w:rsid w:val="00642499"/>
    <w:rsid w:val="00642856"/>
    <w:rsid w:val="00642F9F"/>
    <w:rsid w:val="00643309"/>
    <w:rsid w:val="0064331F"/>
    <w:rsid w:val="00643946"/>
    <w:rsid w:val="00643CA2"/>
    <w:rsid w:val="00643F92"/>
    <w:rsid w:val="00644910"/>
    <w:rsid w:val="006449BD"/>
    <w:rsid w:val="00644A69"/>
    <w:rsid w:val="00644C5F"/>
    <w:rsid w:val="00644FBB"/>
    <w:rsid w:val="006453D7"/>
    <w:rsid w:val="0064546D"/>
    <w:rsid w:val="00645485"/>
    <w:rsid w:val="0064569B"/>
    <w:rsid w:val="00645BD2"/>
    <w:rsid w:val="00645D7F"/>
    <w:rsid w:val="00645FDE"/>
    <w:rsid w:val="0064685A"/>
    <w:rsid w:val="006468D6"/>
    <w:rsid w:val="00646AA9"/>
    <w:rsid w:val="00646B35"/>
    <w:rsid w:val="00646D30"/>
    <w:rsid w:val="006475A1"/>
    <w:rsid w:val="00647943"/>
    <w:rsid w:val="00647A7A"/>
    <w:rsid w:val="00647B68"/>
    <w:rsid w:val="00647BEB"/>
    <w:rsid w:val="00647D36"/>
    <w:rsid w:val="00647D3E"/>
    <w:rsid w:val="00647F13"/>
    <w:rsid w:val="006503E0"/>
    <w:rsid w:val="00650449"/>
    <w:rsid w:val="0065095A"/>
    <w:rsid w:val="00650D7A"/>
    <w:rsid w:val="00650DCE"/>
    <w:rsid w:val="00650F90"/>
    <w:rsid w:val="00651192"/>
    <w:rsid w:val="00651414"/>
    <w:rsid w:val="006516DB"/>
    <w:rsid w:val="00651E56"/>
    <w:rsid w:val="00651EC9"/>
    <w:rsid w:val="00651EDF"/>
    <w:rsid w:val="006521FF"/>
    <w:rsid w:val="00652318"/>
    <w:rsid w:val="006523C8"/>
    <w:rsid w:val="00652502"/>
    <w:rsid w:val="00652527"/>
    <w:rsid w:val="006526D6"/>
    <w:rsid w:val="00652D8F"/>
    <w:rsid w:val="00652E07"/>
    <w:rsid w:val="00652F94"/>
    <w:rsid w:val="00653175"/>
    <w:rsid w:val="006533A4"/>
    <w:rsid w:val="00653AB1"/>
    <w:rsid w:val="00653BA2"/>
    <w:rsid w:val="00653C0A"/>
    <w:rsid w:val="00653F69"/>
    <w:rsid w:val="006540C4"/>
    <w:rsid w:val="00654333"/>
    <w:rsid w:val="00654553"/>
    <w:rsid w:val="00654593"/>
    <w:rsid w:val="006546B8"/>
    <w:rsid w:val="00654972"/>
    <w:rsid w:val="00654B52"/>
    <w:rsid w:val="00654D53"/>
    <w:rsid w:val="00654E22"/>
    <w:rsid w:val="00654F8C"/>
    <w:rsid w:val="00654FB4"/>
    <w:rsid w:val="0065508E"/>
    <w:rsid w:val="006554B9"/>
    <w:rsid w:val="0065564B"/>
    <w:rsid w:val="00655F8A"/>
    <w:rsid w:val="006561F9"/>
    <w:rsid w:val="00656242"/>
    <w:rsid w:val="0065663E"/>
    <w:rsid w:val="00656A17"/>
    <w:rsid w:val="00656C83"/>
    <w:rsid w:val="00656E13"/>
    <w:rsid w:val="00656E38"/>
    <w:rsid w:val="00656F7C"/>
    <w:rsid w:val="0065713E"/>
    <w:rsid w:val="0065744F"/>
    <w:rsid w:val="006579A2"/>
    <w:rsid w:val="00657AF6"/>
    <w:rsid w:val="00657B8B"/>
    <w:rsid w:val="00657BC6"/>
    <w:rsid w:val="00657C9A"/>
    <w:rsid w:val="00660123"/>
    <w:rsid w:val="006601F9"/>
    <w:rsid w:val="00660302"/>
    <w:rsid w:val="0066060A"/>
    <w:rsid w:val="00660F5C"/>
    <w:rsid w:val="006613FF"/>
    <w:rsid w:val="00662035"/>
    <w:rsid w:val="00662082"/>
    <w:rsid w:val="006628D4"/>
    <w:rsid w:val="0066299F"/>
    <w:rsid w:val="006629BF"/>
    <w:rsid w:val="00662F82"/>
    <w:rsid w:val="006637D6"/>
    <w:rsid w:val="00664646"/>
    <w:rsid w:val="006649CF"/>
    <w:rsid w:val="00664C73"/>
    <w:rsid w:val="00664E05"/>
    <w:rsid w:val="00664F80"/>
    <w:rsid w:val="00665093"/>
    <w:rsid w:val="0066549E"/>
    <w:rsid w:val="006656CD"/>
    <w:rsid w:val="00665931"/>
    <w:rsid w:val="00665ABA"/>
    <w:rsid w:val="00665E6B"/>
    <w:rsid w:val="00666193"/>
    <w:rsid w:val="00666325"/>
    <w:rsid w:val="00666373"/>
    <w:rsid w:val="00666D64"/>
    <w:rsid w:val="00666E31"/>
    <w:rsid w:val="00667438"/>
    <w:rsid w:val="00667A96"/>
    <w:rsid w:val="00667C08"/>
    <w:rsid w:val="00667CFA"/>
    <w:rsid w:val="00667DDF"/>
    <w:rsid w:val="00667F2B"/>
    <w:rsid w:val="0067064B"/>
    <w:rsid w:val="00670754"/>
    <w:rsid w:val="00670AB1"/>
    <w:rsid w:val="0067160B"/>
    <w:rsid w:val="00671BC4"/>
    <w:rsid w:val="00671C9C"/>
    <w:rsid w:val="00671D9C"/>
    <w:rsid w:val="0067210A"/>
    <w:rsid w:val="00672C1C"/>
    <w:rsid w:val="00672D8A"/>
    <w:rsid w:val="00673191"/>
    <w:rsid w:val="006737A7"/>
    <w:rsid w:val="00673BFA"/>
    <w:rsid w:val="00673CE1"/>
    <w:rsid w:val="00673E27"/>
    <w:rsid w:val="00674111"/>
    <w:rsid w:val="0067415C"/>
    <w:rsid w:val="006744D2"/>
    <w:rsid w:val="0067452B"/>
    <w:rsid w:val="006747B2"/>
    <w:rsid w:val="00674B02"/>
    <w:rsid w:val="00674E83"/>
    <w:rsid w:val="00674F6E"/>
    <w:rsid w:val="00675089"/>
    <w:rsid w:val="00675391"/>
    <w:rsid w:val="00675A89"/>
    <w:rsid w:val="006760A8"/>
    <w:rsid w:val="006760CA"/>
    <w:rsid w:val="006765F3"/>
    <w:rsid w:val="00676657"/>
    <w:rsid w:val="0067678E"/>
    <w:rsid w:val="006769D3"/>
    <w:rsid w:val="00676EA5"/>
    <w:rsid w:val="0067733F"/>
    <w:rsid w:val="0067782A"/>
    <w:rsid w:val="0067785F"/>
    <w:rsid w:val="006779DB"/>
    <w:rsid w:val="00680226"/>
    <w:rsid w:val="00680F2C"/>
    <w:rsid w:val="0068109C"/>
    <w:rsid w:val="00681287"/>
    <w:rsid w:val="00681934"/>
    <w:rsid w:val="00681AA3"/>
    <w:rsid w:val="00681E63"/>
    <w:rsid w:val="00681F19"/>
    <w:rsid w:val="00682018"/>
    <w:rsid w:val="006823C5"/>
    <w:rsid w:val="00682EA5"/>
    <w:rsid w:val="0068323E"/>
    <w:rsid w:val="0068333B"/>
    <w:rsid w:val="00683442"/>
    <w:rsid w:val="0068363C"/>
    <w:rsid w:val="0068398A"/>
    <w:rsid w:val="00683CED"/>
    <w:rsid w:val="00683D7F"/>
    <w:rsid w:val="00683F5C"/>
    <w:rsid w:val="006844B1"/>
    <w:rsid w:val="0068485D"/>
    <w:rsid w:val="00684964"/>
    <w:rsid w:val="00684B45"/>
    <w:rsid w:val="00684CCA"/>
    <w:rsid w:val="00685074"/>
    <w:rsid w:val="00685263"/>
    <w:rsid w:val="00685280"/>
    <w:rsid w:val="00685297"/>
    <w:rsid w:val="0068529F"/>
    <w:rsid w:val="0068543E"/>
    <w:rsid w:val="006854A6"/>
    <w:rsid w:val="00685772"/>
    <w:rsid w:val="00685A7F"/>
    <w:rsid w:val="00685C62"/>
    <w:rsid w:val="00685E57"/>
    <w:rsid w:val="00685F88"/>
    <w:rsid w:val="00686683"/>
    <w:rsid w:val="00686C44"/>
    <w:rsid w:val="00686D03"/>
    <w:rsid w:val="0068721A"/>
    <w:rsid w:val="0068723E"/>
    <w:rsid w:val="006874CF"/>
    <w:rsid w:val="00687557"/>
    <w:rsid w:val="00687AEA"/>
    <w:rsid w:val="00690130"/>
    <w:rsid w:val="006902EA"/>
    <w:rsid w:val="006903D1"/>
    <w:rsid w:val="0069072D"/>
    <w:rsid w:val="006909F1"/>
    <w:rsid w:val="00690A46"/>
    <w:rsid w:val="00690DD2"/>
    <w:rsid w:val="0069124F"/>
    <w:rsid w:val="00691315"/>
    <w:rsid w:val="00691D69"/>
    <w:rsid w:val="0069225C"/>
    <w:rsid w:val="006929CB"/>
    <w:rsid w:val="00692C45"/>
    <w:rsid w:val="00692CAF"/>
    <w:rsid w:val="00692D01"/>
    <w:rsid w:val="00692FCF"/>
    <w:rsid w:val="00693733"/>
    <w:rsid w:val="00693792"/>
    <w:rsid w:val="00694217"/>
    <w:rsid w:val="00694229"/>
    <w:rsid w:val="006944DA"/>
    <w:rsid w:val="00694599"/>
    <w:rsid w:val="006946E1"/>
    <w:rsid w:val="00695147"/>
    <w:rsid w:val="0069520B"/>
    <w:rsid w:val="00695412"/>
    <w:rsid w:val="00695475"/>
    <w:rsid w:val="006956C5"/>
    <w:rsid w:val="00695861"/>
    <w:rsid w:val="00695E22"/>
    <w:rsid w:val="00695E80"/>
    <w:rsid w:val="006960DD"/>
    <w:rsid w:val="006964B4"/>
    <w:rsid w:val="00696529"/>
    <w:rsid w:val="0069654B"/>
    <w:rsid w:val="00696689"/>
    <w:rsid w:val="006967D3"/>
    <w:rsid w:val="00696E1F"/>
    <w:rsid w:val="00697850"/>
    <w:rsid w:val="00697BCE"/>
    <w:rsid w:val="006A0033"/>
    <w:rsid w:val="006A0318"/>
    <w:rsid w:val="006A032F"/>
    <w:rsid w:val="006A03EB"/>
    <w:rsid w:val="006A0601"/>
    <w:rsid w:val="006A0671"/>
    <w:rsid w:val="006A0A6A"/>
    <w:rsid w:val="006A0AD3"/>
    <w:rsid w:val="006A0F29"/>
    <w:rsid w:val="006A1275"/>
    <w:rsid w:val="006A1280"/>
    <w:rsid w:val="006A1317"/>
    <w:rsid w:val="006A140A"/>
    <w:rsid w:val="006A1590"/>
    <w:rsid w:val="006A1D94"/>
    <w:rsid w:val="006A2104"/>
    <w:rsid w:val="006A21AD"/>
    <w:rsid w:val="006A2443"/>
    <w:rsid w:val="006A247D"/>
    <w:rsid w:val="006A2D8A"/>
    <w:rsid w:val="006A32A5"/>
    <w:rsid w:val="006A357F"/>
    <w:rsid w:val="006A368B"/>
    <w:rsid w:val="006A3805"/>
    <w:rsid w:val="006A3A8B"/>
    <w:rsid w:val="006A3B5E"/>
    <w:rsid w:val="006A3FBC"/>
    <w:rsid w:val="006A42E2"/>
    <w:rsid w:val="006A4422"/>
    <w:rsid w:val="006A4546"/>
    <w:rsid w:val="006A45AA"/>
    <w:rsid w:val="006A462D"/>
    <w:rsid w:val="006A478C"/>
    <w:rsid w:val="006A4D20"/>
    <w:rsid w:val="006A51B7"/>
    <w:rsid w:val="006A52DD"/>
    <w:rsid w:val="006A58E3"/>
    <w:rsid w:val="006A5D3F"/>
    <w:rsid w:val="006A5F3C"/>
    <w:rsid w:val="006A6458"/>
    <w:rsid w:val="006A6474"/>
    <w:rsid w:val="006A64B0"/>
    <w:rsid w:val="006A6B54"/>
    <w:rsid w:val="006A6CDC"/>
    <w:rsid w:val="006A7443"/>
    <w:rsid w:val="006A74C3"/>
    <w:rsid w:val="006A7506"/>
    <w:rsid w:val="006A7C5C"/>
    <w:rsid w:val="006A7D2F"/>
    <w:rsid w:val="006A7E38"/>
    <w:rsid w:val="006A7E5E"/>
    <w:rsid w:val="006A7E6E"/>
    <w:rsid w:val="006A7F50"/>
    <w:rsid w:val="006A7FE5"/>
    <w:rsid w:val="006B010D"/>
    <w:rsid w:val="006B03F3"/>
    <w:rsid w:val="006B0746"/>
    <w:rsid w:val="006B0776"/>
    <w:rsid w:val="006B07C6"/>
    <w:rsid w:val="006B091C"/>
    <w:rsid w:val="006B0AA2"/>
    <w:rsid w:val="006B0BE8"/>
    <w:rsid w:val="006B0D94"/>
    <w:rsid w:val="006B0FE9"/>
    <w:rsid w:val="006B1762"/>
    <w:rsid w:val="006B1B7D"/>
    <w:rsid w:val="006B1BE1"/>
    <w:rsid w:val="006B240F"/>
    <w:rsid w:val="006B24BD"/>
    <w:rsid w:val="006B297D"/>
    <w:rsid w:val="006B2BA7"/>
    <w:rsid w:val="006B2E7F"/>
    <w:rsid w:val="006B2F6F"/>
    <w:rsid w:val="006B33E0"/>
    <w:rsid w:val="006B34E9"/>
    <w:rsid w:val="006B34EE"/>
    <w:rsid w:val="006B3941"/>
    <w:rsid w:val="006B3CA2"/>
    <w:rsid w:val="006B3DC3"/>
    <w:rsid w:val="006B42C6"/>
    <w:rsid w:val="006B42E3"/>
    <w:rsid w:val="006B4A08"/>
    <w:rsid w:val="006B4B99"/>
    <w:rsid w:val="006B4BBF"/>
    <w:rsid w:val="006B5448"/>
    <w:rsid w:val="006B5900"/>
    <w:rsid w:val="006B596F"/>
    <w:rsid w:val="006B5EC9"/>
    <w:rsid w:val="006B62CB"/>
    <w:rsid w:val="006B639E"/>
    <w:rsid w:val="006B663E"/>
    <w:rsid w:val="006B67E8"/>
    <w:rsid w:val="006B697E"/>
    <w:rsid w:val="006B6BC2"/>
    <w:rsid w:val="006B6CD6"/>
    <w:rsid w:val="006B73C9"/>
    <w:rsid w:val="006B76C8"/>
    <w:rsid w:val="006B7935"/>
    <w:rsid w:val="006B7AF3"/>
    <w:rsid w:val="006C0094"/>
    <w:rsid w:val="006C07CA"/>
    <w:rsid w:val="006C0F6B"/>
    <w:rsid w:val="006C13B2"/>
    <w:rsid w:val="006C1D81"/>
    <w:rsid w:val="006C1FB7"/>
    <w:rsid w:val="006C21CB"/>
    <w:rsid w:val="006C21D4"/>
    <w:rsid w:val="006C2621"/>
    <w:rsid w:val="006C2641"/>
    <w:rsid w:val="006C35DE"/>
    <w:rsid w:val="006C372F"/>
    <w:rsid w:val="006C3829"/>
    <w:rsid w:val="006C39E8"/>
    <w:rsid w:val="006C3DD0"/>
    <w:rsid w:val="006C4003"/>
    <w:rsid w:val="006C4961"/>
    <w:rsid w:val="006C4DC3"/>
    <w:rsid w:val="006C4EDA"/>
    <w:rsid w:val="006C4F15"/>
    <w:rsid w:val="006C50A1"/>
    <w:rsid w:val="006C51AF"/>
    <w:rsid w:val="006C523E"/>
    <w:rsid w:val="006C54F5"/>
    <w:rsid w:val="006C5740"/>
    <w:rsid w:val="006C575E"/>
    <w:rsid w:val="006C57CD"/>
    <w:rsid w:val="006C597A"/>
    <w:rsid w:val="006C5991"/>
    <w:rsid w:val="006C5CCF"/>
    <w:rsid w:val="006C5F3E"/>
    <w:rsid w:val="006C6459"/>
    <w:rsid w:val="006C65DD"/>
    <w:rsid w:val="006C65FF"/>
    <w:rsid w:val="006C6680"/>
    <w:rsid w:val="006C6B92"/>
    <w:rsid w:val="006C6B9E"/>
    <w:rsid w:val="006C6C3D"/>
    <w:rsid w:val="006C6EF4"/>
    <w:rsid w:val="006C6FD9"/>
    <w:rsid w:val="006C716C"/>
    <w:rsid w:val="006C7239"/>
    <w:rsid w:val="006C728D"/>
    <w:rsid w:val="006C7352"/>
    <w:rsid w:val="006C768D"/>
    <w:rsid w:val="006C79B3"/>
    <w:rsid w:val="006C7B1A"/>
    <w:rsid w:val="006C7B8C"/>
    <w:rsid w:val="006C7C62"/>
    <w:rsid w:val="006C7D7A"/>
    <w:rsid w:val="006C7EEC"/>
    <w:rsid w:val="006D0071"/>
    <w:rsid w:val="006D0B77"/>
    <w:rsid w:val="006D1297"/>
    <w:rsid w:val="006D14EF"/>
    <w:rsid w:val="006D1776"/>
    <w:rsid w:val="006D1830"/>
    <w:rsid w:val="006D1E2A"/>
    <w:rsid w:val="006D2064"/>
    <w:rsid w:val="006D2A7B"/>
    <w:rsid w:val="006D2B6F"/>
    <w:rsid w:val="006D2CD0"/>
    <w:rsid w:val="006D3549"/>
    <w:rsid w:val="006D359A"/>
    <w:rsid w:val="006D3716"/>
    <w:rsid w:val="006D3A6A"/>
    <w:rsid w:val="006D4101"/>
    <w:rsid w:val="006D436B"/>
    <w:rsid w:val="006D4397"/>
    <w:rsid w:val="006D43DB"/>
    <w:rsid w:val="006D4786"/>
    <w:rsid w:val="006D494F"/>
    <w:rsid w:val="006D4A67"/>
    <w:rsid w:val="006D4C8C"/>
    <w:rsid w:val="006D4D2E"/>
    <w:rsid w:val="006D4E0C"/>
    <w:rsid w:val="006D4E49"/>
    <w:rsid w:val="006D4E60"/>
    <w:rsid w:val="006D528C"/>
    <w:rsid w:val="006D52F0"/>
    <w:rsid w:val="006D569B"/>
    <w:rsid w:val="006D607F"/>
    <w:rsid w:val="006D61F3"/>
    <w:rsid w:val="006D622A"/>
    <w:rsid w:val="006D6626"/>
    <w:rsid w:val="006D6DF6"/>
    <w:rsid w:val="006D6E73"/>
    <w:rsid w:val="006D6FDF"/>
    <w:rsid w:val="006D7138"/>
    <w:rsid w:val="006D7574"/>
    <w:rsid w:val="006D7663"/>
    <w:rsid w:val="006D7672"/>
    <w:rsid w:val="006D7719"/>
    <w:rsid w:val="006D77C0"/>
    <w:rsid w:val="006D7C3B"/>
    <w:rsid w:val="006D7D9C"/>
    <w:rsid w:val="006E0318"/>
    <w:rsid w:val="006E05C1"/>
    <w:rsid w:val="006E0761"/>
    <w:rsid w:val="006E0876"/>
    <w:rsid w:val="006E0923"/>
    <w:rsid w:val="006E161D"/>
    <w:rsid w:val="006E18B5"/>
    <w:rsid w:val="006E1A8E"/>
    <w:rsid w:val="006E1BAA"/>
    <w:rsid w:val="006E1E23"/>
    <w:rsid w:val="006E1EBA"/>
    <w:rsid w:val="006E20ED"/>
    <w:rsid w:val="006E2101"/>
    <w:rsid w:val="006E2164"/>
    <w:rsid w:val="006E22C1"/>
    <w:rsid w:val="006E25E9"/>
    <w:rsid w:val="006E2AE3"/>
    <w:rsid w:val="006E2BFC"/>
    <w:rsid w:val="006E2DDC"/>
    <w:rsid w:val="006E2E48"/>
    <w:rsid w:val="006E2F67"/>
    <w:rsid w:val="006E2F8F"/>
    <w:rsid w:val="006E3078"/>
    <w:rsid w:val="006E321F"/>
    <w:rsid w:val="006E3480"/>
    <w:rsid w:val="006E353E"/>
    <w:rsid w:val="006E35A2"/>
    <w:rsid w:val="006E397A"/>
    <w:rsid w:val="006E3BF2"/>
    <w:rsid w:val="006E3EDB"/>
    <w:rsid w:val="006E413F"/>
    <w:rsid w:val="006E4165"/>
    <w:rsid w:val="006E46C0"/>
    <w:rsid w:val="006E4837"/>
    <w:rsid w:val="006E498D"/>
    <w:rsid w:val="006E4EAF"/>
    <w:rsid w:val="006E5335"/>
    <w:rsid w:val="006E535B"/>
    <w:rsid w:val="006E5520"/>
    <w:rsid w:val="006E5715"/>
    <w:rsid w:val="006E57EA"/>
    <w:rsid w:val="006E58F7"/>
    <w:rsid w:val="006E5906"/>
    <w:rsid w:val="006E590E"/>
    <w:rsid w:val="006E592D"/>
    <w:rsid w:val="006E5E56"/>
    <w:rsid w:val="006E64D9"/>
    <w:rsid w:val="006E659F"/>
    <w:rsid w:val="006E6B30"/>
    <w:rsid w:val="006E712B"/>
    <w:rsid w:val="006E7143"/>
    <w:rsid w:val="006E732D"/>
    <w:rsid w:val="006E75BE"/>
    <w:rsid w:val="006E7814"/>
    <w:rsid w:val="006E7862"/>
    <w:rsid w:val="006E7DC5"/>
    <w:rsid w:val="006F004F"/>
    <w:rsid w:val="006F0384"/>
    <w:rsid w:val="006F053A"/>
    <w:rsid w:val="006F072B"/>
    <w:rsid w:val="006F076F"/>
    <w:rsid w:val="006F0A55"/>
    <w:rsid w:val="006F0C10"/>
    <w:rsid w:val="006F17AA"/>
    <w:rsid w:val="006F1864"/>
    <w:rsid w:val="006F18E1"/>
    <w:rsid w:val="006F1A5D"/>
    <w:rsid w:val="006F1B9F"/>
    <w:rsid w:val="006F2CB3"/>
    <w:rsid w:val="006F354E"/>
    <w:rsid w:val="006F3604"/>
    <w:rsid w:val="006F363D"/>
    <w:rsid w:val="006F3689"/>
    <w:rsid w:val="006F3DA9"/>
    <w:rsid w:val="006F41EB"/>
    <w:rsid w:val="006F45D3"/>
    <w:rsid w:val="006F462A"/>
    <w:rsid w:val="006F56C0"/>
    <w:rsid w:val="006F57A7"/>
    <w:rsid w:val="006F5869"/>
    <w:rsid w:val="006F5FAA"/>
    <w:rsid w:val="006F60D9"/>
    <w:rsid w:val="006F63EB"/>
    <w:rsid w:val="006F68C9"/>
    <w:rsid w:val="006F69F7"/>
    <w:rsid w:val="006F72AA"/>
    <w:rsid w:val="006F7608"/>
    <w:rsid w:val="006F7A57"/>
    <w:rsid w:val="006F7A97"/>
    <w:rsid w:val="006F7B6E"/>
    <w:rsid w:val="006F7EBB"/>
    <w:rsid w:val="006F7FFA"/>
    <w:rsid w:val="007001DD"/>
    <w:rsid w:val="00700316"/>
    <w:rsid w:val="00700493"/>
    <w:rsid w:val="007005BD"/>
    <w:rsid w:val="007005E1"/>
    <w:rsid w:val="007006A6"/>
    <w:rsid w:val="007007A5"/>
    <w:rsid w:val="007007F2"/>
    <w:rsid w:val="0070080F"/>
    <w:rsid w:val="007008C7"/>
    <w:rsid w:val="00700A65"/>
    <w:rsid w:val="0070102B"/>
    <w:rsid w:val="0070173D"/>
    <w:rsid w:val="00701783"/>
    <w:rsid w:val="00701C10"/>
    <w:rsid w:val="00701CB4"/>
    <w:rsid w:val="00701CF4"/>
    <w:rsid w:val="00701D40"/>
    <w:rsid w:val="007024F1"/>
    <w:rsid w:val="00702708"/>
    <w:rsid w:val="0070277A"/>
    <w:rsid w:val="0070281D"/>
    <w:rsid w:val="00702BE8"/>
    <w:rsid w:val="007030A8"/>
    <w:rsid w:val="00703689"/>
    <w:rsid w:val="007038F7"/>
    <w:rsid w:val="00703B75"/>
    <w:rsid w:val="007046DE"/>
    <w:rsid w:val="0070471A"/>
    <w:rsid w:val="007048AC"/>
    <w:rsid w:val="00704B10"/>
    <w:rsid w:val="00704BCF"/>
    <w:rsid w:val="00704FD6"/>
    <w:rsid w:val="0070520E"/>
    <w:rsid w:val="00705391"/>
    <w:rsid w:val="00705595"/>
    <w:rsid w:val="00705B62"/>
    <w:rsid w:val="007061F0"/>
    <w:rsid w:val="00706C4B"/>
    <w:rsid w:val="00706C9F"/>
    <w:rsid w:val="00706EB1"/>
    <w:rsid w:val="00706F17"/>
    <w:rsid w:val="00707115"/>
    <w:rsid w:val="00707264"/>
    <w:rsid w:val="00707348"/>
    <w:rsid w:val="0070739F"/>
    <w:rsid w:val="007074EA"/>
    <w:rsid w:val="007078C3"/>
    <w:rsid w:val="00707D35"/>
    <w:rsid w:val="00707D8B"/>
    <w:rsid w:val="00707EBE"/>
    <w:rsid w:val="00710124"/>
    <w:rsid w:val="007101DB"/>
    <w:rsid w:val="007106B8"/>
    <w:rsid w:val="007107C8"/>
    <w:rsid w:val="00710FE7"/>
    <w:rsid w:val="00711018"/>
    <w:rsid w:val="00711332"/>
    <w:rsid w:val="007114C8"/>
    <w:rsid w:val="00711803"/>
    <w:rsid w:val="007118CE"/>
    <w:rsid w:val="00711B20"/>
    <w:rsid w:val="00711B50"/>
    <w:rsid w:val="00711E3D"/>
    <w:rsid w:val="0071237F"/>
    <w:rsid w:val="007125C3"/>
    <w:rsid w:val="00712662"/>
    <w:rsid w:val="00712B02"/>
    <w:rsid w:val="00712E21"/>
    <w:rsid w:val="00712F57"/>
    <w:rsid w:val="00712FD8"/>
    <w:rsid w:val="00713018"/>
    <w:rsid w:val="007133D9"/>
    <w:rsid w:val="007136E7"/>
    <w:rsid w:val="00713A2B"/>
    <w:rsid w:val="00713B64"/>
    <w:rsid w:val="00713C38"/>
    <w:rsid w:val="00713C8C"/>
    <w:rsid w:val="00713EB7"/>
    <w:rsid w:val="007145CE"/>
    <w:rsid w:val="0071463B"/>
    <w:rsid w:val="007147CF"/>
    <w:rsid w:val="00714B8E"/>
    <w:rsid w:val="007150C5"/>
    <w:rsid w:val="007150E5"/>
    <w:rsid w:val="00715346"/>
    <w:rsid w:val="00715362"/>
    <w:rsid w:val="00715472"/>
    <w:rsid w:val="00715733"/>
    <w:rsid w:val="007157BC"/>
    <w:rsid w:val="00715C6E"/>
    <w:rsid w:val="00715D0E"/>
    <w:rsid w:val="007160CA"/>
    <w:rsid w:val="007160E3"/>
    <w:rsid w:val="00716327"/>
    <w:rsid w:val="007163FB"/>
    <w:rsid w:val="00716930"/>
    <w:rsid w:val="00716CA4"/>
    <w:rsid w:val="00716F80"/>
    <w:rsid w:val="007171F7"/>
    <w:rsid w:val="00717406"/>
    <w:rsid w:val="00717A4F"/>
    <w:rsid w:val="00717DD4"/>
    <w:rsid w:val="00717DD8"/>
    <w:rsid w:val="00717E66"/>
    <w:rsid w:val="00717E78"/>
    <w:rsid w:val="0072054B"/>
    <w:rsid w:val="0072063B"/>
    <w:rsid w:val="0072079A"/>
    <w:rsid w:val="00720FB6"/>
    <w:rsid w:val="0072101A"/>
    <w:rsid w:val="007210F4"/>
    <w:rsid w:val="00721AC3"/>
    <w:rsid w:val="00721C05"/>
    <w:rsid w:val="00721CEB"/>
    <w:rsid w:val="00721FF1"/>
    <w:rsid w:val="007222F6"/>
    <w:rsid w:val="00722460"/>
    <w:rsid w:val="00722710"/>
    <w:rsid w:val="007228CA"/>
    <w:rsid w:val="00722B38"/>
    <w:rsid w:val="00722E29"/>
    <w:rsid w:val="00723648"/>
    <w:rsid w:val="00723967"/>
    <w:rsid w:val="00723CC4"/>
    <w:rsid w:val="007246A2"/>
    <w:rsid w:val="00724BA6"/>
    <w:rsid w:val="00724F02"/>
    <w:rsid w:val="007252E6"/>
    <w:rsid w:val="00725AA6"/>
    <w:rsid w:val="00725C80"/>
    <w:rsid w:val="00725DB4"/>
    <w:rsid w:val="00725E3E"/>
    <w:rsid w:val="00726307"/>
    <w:rsid w:val="0072637C"/>
    <w:rsid w:val="0072640B"/>
    <w:rsid w:val="00726DD9"/>
    <w:rsid w:val="00726FDE"/>
    <w:rsid w:val="00727003"/>
    <w:rsid w:val="0072722C"/>
    <w:rsid w:val="00727274"/>
    <w:rsid w:val="007272DC"/>
    <w:rsid w:val="00727324"/>
    <w:rsid w:val="00727403"/>
    <w:rsid w:val="00727436"/>
    <w:rsid w:val="00727981"/>
    <w:rsid w:val="00727EC3"/>
    <w:rsid w:val="0073066A"/>
    <w:rsid w:val="00730BF3"/>
    <w:rsid w:val="00730C79"/>
    <w:rsid w:val="00730F66"/>
    <w:rsid w:val="007313E2"/>
    <w:rsid w:val="00732439"/>
    <w:rsid w:val="0073264B"/>
    <w:rsid w:val="00732799"/>
    <w:rsid w:val="00732913"/>
    <w:rsid w:val="007329C7"/>
    <w:rsid w:val="00732F2A"/>
    <w:rsid w:val="00732F4B"/>
    <w:rsid w:val="007334A1"/>
    <w:rsid w:val="007336C0"/>
    <w:rsid w:val="0073399D"/>
    <w:rsid w:val="00733EBF"/>
    <w:rsid w:val="007340FE"/>
    <w:rsid w:val="007341A1"/>
    <w:rsid w:val="007349AC"/>
    <w:rsid w:val="007349F6"/>
    <w:rsid w:val="00734A3E"/>
    <w:rsid w:val="007350A7"/>
    <w:rsid w:val="00735517"/>
    <w:rsid w:val="00735578"/>
    <w:rsid w:val="00735917"/>
    <w:rsid w:val="00735A1F"/>
    <w:rsid w:val="00735D18"/>
    <w:rsid w:val="00735D93"/>
    <w:rsid w:val="007364AF"/>
    <w:rsid w:val="0073662A"/>
    <w:rsid w:val="00736899"/>
    <w:rsid w:val="007368FE"/>
    <w:rsid w:val="007371FF"/>
    <w:rsid w:val="007372ED"/>
    <w:rsid w:val="00737475"/>
    <w:rsid w:val="00737867"/>
    <w:rsid w:val="00737A3E"/>
    <w:rsid w:val="00737B82"/>
    <w:rsid w:val="00740325"/>
    <w:rsid w:val="007409BC"/>
    <w:rsid w:val="007409CB"/>
    <w:rsid w:val="00740C40"/>
    <w:rsid w:val="00741209"/>
    <w:rsid w:val="007414A4"/>
    <w:rsid w:val="007414B1"/>
    <w:rsid w:val="00741501"/>
    <w:rsid w:val="00741708"/>
    <w:rsid w:val="007418D7"/>
    <w:rsid w:val="007419CA"/>
    <w:rsid w:val="00741B44"/>
    <w:rsid w:val="00741BD9"/>
    <w:rsid w:val="007422D1"/>
    <w:rsid w:val="007422FD"/>
    <w:rsid w:val="0074241D"/>
    <w:rsid w:val="007429E5"/>
    <w:rsid w:val="00742A4B"/>
    <w:rsid w:val="00742B50"/>
    <w:rsid w:val="007436BA"/>
    <w:rsid w:val="00743EAE"/>
    <w:rsid w:val="00743F21"/>
    <w:rsid w:val="0074403D"/>
    <w:rsid w:val="00744051"/>
    <w:rsid w:val="0074409A"/>
    <w:rsid w:val="00744511"/>
    <w:rsid w:val="00744615"/>
    <w:rsid w:val="00744826"/>
    <w:rsid w:val="007448C5"/>
    <w:rsid w:val="007449E2"/>
    <w:rsid w:val="00744DE1"/>
    <w:rsid w:val="00744E6E"/>
    <w:rsid w:val="007456EE"/>
    <w:rsid w:val="007457EA"/>
    <w:rsid w:val="00746031"/>
    <w:rsid w:val="007463CC"/>
    <w:rsid w:val="0074664A"/>
    <w:rsid w:val="00746671"/>
    <w:rsid w:val="00746C4C"/>
    <w:rsid w:val="00746CB7"/>
    <w:rsid w:val="007479A3"/>
    <w:rsid w:val="00747EEA"/>
    <w:rsid w:val="00747F01"/>
    <w:rsid w:val="0075002C"/>
    <w:rsid w:val="0075047F"/>
    <w:rsid w:val="0075094B"/>
    <w:rsid w:val="00750BAD"/>
    <w:rsid w:val="00750C54"/>
    <w:rsid w:val="00750E3C"/>
    <w:rsid w:val="0075115E"/>
    <w:rsid w:val="00751307"/>
    <w:rsid w:val="0075148D"/>
    <w:rsid w:val="00751C01"/>
    <w:rsid w:val="00751E68"/>
    <w:rsid w:val="0075278C"/>
    <w:rsid w:val="00752C20"/>
    <w:rsid w:val="007530E1"/>
    <w:rsid w:val="0075320E"/>
    <w:rsid w:val="00753373"/>
    <w:rsid w:val="007533D7"/>
    <w:rsid w:val="007538FB"/>
    <w:rsid w:val="00753906"/>
    <w:rsid w:val="00753937"/>
    <w:rsid w:val="00753B08"/>
    <w:rsid w:val="00753B0E"/>
    <w:rsid w:val="00753C37"/>
    <w:rsid w:val="00753FBB"/>
    <w:rsid w:val="00754497"/>
    <w:rsid w:val="00754858"/>
    <w:rsid w:val="0075490B"/>
    <w:rsid w:val="00755092"/>
    <w:rsid w:val="007553DB"/>
    <w:rsid w:val="007554B1"/>
    <w:rsid w:val="007555E4"/>
    <w:rsid w:val="00755799"/>
    <w:rsid w:val="00755FCE"/>
    <w:rsid w:val="00756021"/>
    <w:rsid w:val="0075642B"/>
    <w:rsid w:val="007565E0"/>
    <w:rsid w:val="00756973"/>
    <w:rsid w:val="007569DE"/>
    <w:rsid w:val="00756C2B"/>
    <w:rsid w:val="00756D0C"/>
    <w:rsid w:val="00756F0A"/>
    <w:rsid w:val="0075708A"/>
    <w:rsid w:val="007570FE"/>
    <w:rsid w:val="00757269"/>
    <w:rsid w:val="00757349"/>
    <w:rsid w:val="00757830"/>
    <w:rsid w:val="00757A66"/>
    <w:rsid w:val="00757D15"/>
    <w:rsid w:val="00760E84"/>
    <w:rsid w:val="00761116"/>
    <w:rsid w:val="007612DA"/>
    <w:rsid w:val="0076148F"/>
    <w:rsid w:val="0076154A"/>
    <w:rsid w:val="0076183B"/>
    <w:rsid w:val="00761B2F"/>
    <w:rsid w:val="00761B5D"/>
    <w:rsid w:val="00761CCC"/>
    <w:rsid w:val="0076212F"/>
    <w:rsid w:val="007621C7"/>
    <w:rsid w:val="007621F4"/>
    <w:rsid w:val="0076252E"/>
    <w:rsid w:val="00762757"/>
    <w:rsid w:val="00763318"/>
    <w:rsid w:val="0076338F"/>
    <w:rsid w:val="007634EC"/>
    <w:rsid w:val="00763C9D"/>
    <w:rsid w:val="00763D49"/>
    <w:rsid w:val="00763E50"/>
    <w:rsid w:val="007641CF"/>
    <w:rsid w:val="00764435"/>
    <w:rsid w:val="00764A43"/>
    <w:rsid w:val="00764CEA"/>
    <w:rsid w:val="00764D22"/>
    <w:rsid w:val="00764D86"/>
    <w:rsid w:val="00765138"/>
    <w:rsid w:val="007655C3"/>
    <w:rsid w:val="007657BE"/>
    <w:rsid w:val="007657EC"/>
    <w:rsid w:val="0076589D"/>
    <w:rsid w:val="00765988"/>
    <w:rsid w:val="00765AD3"/>
    <w:rsid w:val="0076609E"/>
    <w:rsid w:val="00766E1E"/>
    <w:rsid w:val="00766F78"/>
    <w:rsid w:val="007672AB"/>
    <w:rsid w:val="0076740E"/>
    <w:rsid w:val="007674BC"/>
    <w:rsid w:val="00767792"/>
    <w:rsid w:val="00767A59"/>
    <w:rsid w:val="00767C92"/>
    <w:rsid w:val="00767CD6"/>
    <w:rsid w:val="00767CE1"/>
    <w:rsid w:val="00767D9C"/>
    <w:rsid w:val="00767F1A"/>
    <w:rsid w:val="00767F47"/>
    <w:rsid w:val="0077016A"/>
    <w:rsid w:val="007701FF"/>
    <w:rsid w:val="007705AC"/>
    <w:rsid w:val="00770683"/>
    <w:rsid w:val="0077079A"/>
    <w:rsid w:val="007707EC"/>
    <w:rsid w:val="00770934"/>
    <w:rsid w:val="007709DA"/>
    <w:rsid w:val="00770CA1"/>
    <w:rsid w:val="00770F22"/>
    <w:rsid w:val="007712DC"/>
    <w:rsid w:val="0077156D"/>
    <w:rsid w:val="00771C46"/>
    <w:rsid w:val="00771DA5"/>
    <w:rsid w:val="00771F87"/>
    <w:rsid w:val="0077202A"/>
    <w:rsid w:val="00772307"/>
    <w:rsid w:val="0077232D"/>
    <w:rsid w:val="00772405"/>
    <w:rsid w:val="007724F7"/>
    <w:rsid w:val="007728B8"/>
    <w:rsid w:val="00772D34"/>
    <w:rsid w:val="007733D1"/>
    <w:rsid w:val="0077359D"/>
    <w:rsid w:val="0077365D"/>
    <w:rsid w:val="007737D4"/>
    <w:rsid w:val="007737F6"/>
    <w:rsid w:val="00773CE1"/>
    <w:rsid w:val="00773F1C"/>
    <w:rsid w:val="00774002"/>
    <w:rsid w:val="0077447C"/>
    <w:rsid w:val="00775045"/>
    <w:rsid w:val="0077510D"/>
    <w:rsid w:val="00775313"/>
    <w:rsid w:val="00775400"/>
    <w:rsid w:val="0077550D"/>
    <w:rsid w:val="007756A4"/>
    <w:rsid w:val="007756EC"/>
    <w:rsid w:val="00775843"/>
    <w:rsid w:val="00775B9D"/>
    <w:rsid w:val="00776348"/>
    <w:rsid w:val="00776A81"/>
    <w:rsid w:val="00776CA7"/>
    <w:rsid w:val="00776EC3"/>
    <w:rsid w:val="007770F3"/>
    <w:rsid w:val="007771E7"/>
    <w:rsid w:val="0077732B"/>
    <w:rsid w:val="0077754F"/>
    <w:rsid w:val="007776AB"/>
    <w:rsid w:val="00777AC8"/>
    <w:rsid w:val="00777FCC"/>
    <w:rsid w:val="00780117"/>
    <w:rsid w:val="00780251"/>
    <w:rsid w:val="007802C5"/>
    <w:rsid w:val="00780950"/>
    <w:rsid w:val="00780C19"/>
    <w:rsid w:val="00780D32"/>
    <w:rsid w:val="00780DBB"/>
    <w:rsid w:val="007811C7"/>
    <w:rsid w:val="007819EB"/>
    <w:rsid w:val="00781F1A"/>
    <w:rsid w:val="00782164"/>
    <w:rsid w:val="00782681"/>
    <w:rsid w:val="00782D3A"/>
    <w:rsid w:val="00782E13"/>
    <w:rsid w:val="00782FB1"/>
    <w:rsid w:val="007832B6"/>
    <w:rsid w:val="00783315"/>
    <w:rsid w:val="00783456"/>
    <w:rsid w:val="007834BA"/>
    <w:rsid w:val="007834D0"/>
    <w:rsid w:val="00783664"/>
    <w:rsid w:val="0078394C"/>
    <w:rsid w:val="00783C7F"/>
    <w:rsid w:val="00783D0E"/>
    <w:rsid w:val="00784A66"/>
    <w:rsid w:val="00785162"/>
    <w:rsid w:val="00785239"/>
    <w:rsid w:val="007852D9"/>
    <w:rsid w:val="0078548A"/>
    <w:rsid w:val="0078574E"/>
    <w:rsid w:val="007859FC"/>
    <w:rsid w:val="00785E46"/>
    <w:rsid w:val="00785ECA"/>
    <w:rsid w:val="0078602C"/>
    <w:rsid w:val="007861DC"/>
    <w:rsid w:val="00786646"/>
    <w:rsid w:val="007866CB"/>
    <w:rsid w:val="00786727"/>
    <w:rsid w:val="00786766"/>
    <w:rsid w:val="0078683C"/>
    <w:rsid w:val="0078699A"/>
    <w:rsid w:val="00786B1D"/>
    <w:rsid w:val="00786D14"/>
    <w:rsid w:val="00787331"/>
    <w:rsid w:val="007878F5"/>
    <w:rsid w:val="00787CC0"/>
    <w:rsid w:val="00787CD9"/>
    <w:rsid w:val="0079005E"/>
    <w:rsid w:val="00790105"/>
    <w:rsid w:val="00790185"/>
    <w:rsid w:val="0079034E"/>
    <w:rsid w:val="0079106B"/>
    <w:rsid w:val="007912D0"/>
    <w:rsid w:val="0079134A"/>
    <w:rsid w:val="007918DE"/>
    <w:rsid w:val="00791B1E"/>
    <w:rsid w:val="00791CE9"/>
    <w:rsid w:val="0079220C"/>
    <w:rsid w:val="0079239C"/>
    <w:rsid w:val="0079279C"/>
    <w:rsid w:val="007927EB"/>
    <w:rsid w:val="00792863"/>
    <w:rsid w:val="0079297F"/>
    <w:rsid w:val="00792CD2"/>
    <w:rsid w:val="00792FAC"/>
    <w:rsid w:val="007930B0"/>
    <w:rsid w:val="007930C1"/>
    <w:rsid w:val="00793191"/>
    <w:rsid w:val="007943AC"/>
    <w:rsid w:val="00794409"/>
    <w:rsid w:val="007944A5"/>
    <w:rsid w:val="00794525"/>
    <w:rsid w:val="0079457F"/>
    <w:rsid w:val="0079479D"/>
    <w:rsid w:val="00794912"/>
    <w:rsid w:val="00794A89"/>
    <w:rsid w:val="00794D9A"/>
    <w:rsid w:val="00795538"/>
    <w:rsid w:val="00795599"/>
    <w:rsid w:val="00795636"/>
    <w:rsid w:val="007956E6"/>
    <w:rsid w:val="007957B3"/>
    <w:rsid w:val="007957C7"/>
    <w:rsid w:val="00795897"/>
    <w:rsid w:val="00795966"/>
    <w:rsid w:val="00795A48"/>
    <w:rsid w:val="00795A4E"/>
    <w:rsid w:val="00795CEC"/>
    <w:rsid w:val="00795F10"/>
    <w:rsid w:val="00796245"/>
    <w:rsid w:val="0079628C"/>
    <w:rsid w:val="0079637C"/>
    <w:rsid w:val="0079658C"/>
    <w:rsid w:val="00796731"/>
    <w:rsid w:val="007967E5"/>
    <w:rsid w:val="0079684B"/>
    <w:rsid w:val="00796BE4"/>
    <w:rsid w:val="00796BEF"/>
    <w:rsid w:val="00796C12"/>
    <w:rsid w:val="00796EA6"/>
    <w:rsid w:val="00796F31"/>
    <w:rsid w:val="00796F52"/>
    <w:rsid w:val="0079725A"/>
    <w:rsid w:val="00797336"/>
    <w:rsid w:val="007973E1"/>
    <w:rsid w:val="007973FA"/>
    <w:rsid w:val="007975D7"/>
    <w:rsid w:val="0079781D"/>
    <w:rsid w:val="007978B4"/>
    <w:rsid w:val="00797D7D"/>
    <w:rsid w:val="00797E71"/>
    <w:rsid w:val="007A02ED"/>
    <w:rsid w:val="007A0936"/>
    <w:rsid w:val="007A094D"/>
    <w:rsid w:val="007A0C55"/>
    <w:rsid w:val="007A0F51"/>
    <w:rsid w:val="007A1061"/>
    <w:rsid w:val="007A1177"/>
    <w:rsid w:val="007A1269"/>
    <w:rsid w:val="007A12A6"/>
    <w:rsid w:val="007A1BAB"/>
    <w:rsid w:val="007A2007"/>
    <w:rsid w:val="007A215D"/>
    <w:rsid w:val="007A287E"/>
    <w:rsid w:val="007A288F"/>
    <w:rsid w:val="007A28E1"/>
    <w:rsid w:val="007A3151"/>
    <w:rsid w:val="007A319C"/>
    <w:rsid w:val="007A3569"/>
    <w:rsid w:val="007A390D"/>
    <w:rsid w:val="007A3A8D"/>
    <w:rsid w:val="007A3F90"/>
    <w:rsid w:val="007A3FDF"/>
    <w:rsid w:val="007A42F3"/>
    <w:rsid w:val="007A4AFC"/>
    <w:rsid w:val="007A4C7B"/>
    <w:rsid w:val="007A4D1E"/>
    <w:rsid w:val="007A4F1E"/>
    <w:rsid w:val="007A528F"/>
    <w:rsid w:val="007A5440"/>
    <w:rsid w:val="007A54B7"/>
    <w:rsid w:val="007A5699"/>
    <w:rsid w:val="007A6267"/>
    <w:rsid w:val="007A6763"/>
    <w:rsid w:val="007A68DB"/>
    <w:rsid w:val="007A6E9F"/>
    <w:rsid w:val="007A7679"/>
    <w:rsid w:val="007A7D32"/>
    <w:rsid w:val="007A7DBA"/>
    <w:rsid w:val="007A7E38"/>
    <w:rsid w:val="007A7F24"/>
    <w:rsid w:val="007A7F90"/>
    <w:rsid w:val="007B02A4"/>
    <w:rsid w:val="007B057C"/>
    <w:rsid w:val="007B076F"/>
    <w:rsid w:val="007B0C17"/>
    <w:rsid w:val="007B0EEF"/>
    <w:rsid w:val="007B0F8F"/>
    <w:rsid w:val="007B0FCE"/>
    <w:rsid w:val="007B1509"/>
    <w:rsid w:val="007B19B7"/>
    <w:rsid w:val="007B19F0"/>
    <w:rsid w:val="007B1BB8"/>
    <w:rsid w:val="007B1D22"/>
    <w:rsid w:val="007B2717"/>
    <w:rsid w:val="007B2B2D"/>
    <w:rsid w:val="007B2CDB"/>
    <w:rsid w:val="007B312C"/>
    <w:rsid w:val="007B3237"/>
    <w:rsid w:val="007B33D6"/>
    <w:rsid w:val="007B344A"/>
    <w:rsid w:val="007B3737"/>
    <w:rsid w:val="007B39C4"/>
    <w:rsid w:val="007B4406"/>
    <w:rsid w:val="007B47A7"/>
    <w:rsid w:val="007B4C8B"/>
    <w:rsid w:val="007B5586"/>
    <w:rsid w:val="007B5599"/>
    <w:rsid w:val="007B5975"/>
    <w:rsid w:val="007B5D94"/>
    <w:rsid w:val="007B5F48"/>
    <w:rsid w:val="007B5FD0"/>
    <w:rsid w:val="007B6044"/>
    <w:rsid w:val="007B62C4"/>
    <w:rsid w:val="007B6775"/>
    <w:rsid w:val="007B6B80"/>
    <w:rsid w:val="007B6BB5"/>
    <w:rsid w:val="007B6BDC"/>
    <w:rsid w:val="007B6C36"/>
    <w:rsid w:val="007B6D94"/>
    <w:rsid w:val="007B703C"/>
    <w:rsid w:val="007B7224"/>
    <w:rsid w:val="007B78C1"/>
    <w:rsid w:val="007B7CC3"/>
    <w:rsid w:val="007B7E20"/>
    <w:rsid w:val="007C05E3"/>
    <w:rsid w:val="007C0713"/>
    <w:rsid w:val="007C074E"/>
    <w:rsid w:val="007C0888"/>
    <w:rsid w:val="007C0EC7"/>
    <w:rsid w:val="007C0F33"/>
    <w:rsid w:val="007C13F9"/>
    <w:rsid w:val="007C166F"/>
    <w:rsid w:val="007C1988"/>
    <w:rsid w:val="007C1C59"/>
    <w:rsid w:val="007C22D7"/>
    <w:rsid w:val="007C256F"/>
    <w:rsid w:val="007C27C1"/>
    <w:rsid w:val="007C28E3"/>
    <w:rsid w:val="007C29FB"/>
    <w:rsid w:val="007C2BAD"/>
    <w:rsid w:val="007C2E07"/>
    <w:rsid w:val="007C2F9B"/>
    <w:rsid w:val="007C30FF"/>
    <w:rsid w:val="007C312C"/>
    <w:rsid w:val="007C323D"/>
    <w:rsid w:val="007C39B8"/>
    <w:rsid w:val="007C3BF5"/>
    <w:rsid w:val="007C3D07"/>
    <w:rsid w:val="007C3E1A"/>
    <w:rsid w:val="007C3FFE"/>
    <w:rsid w:val="007C4031"/>
    <w:rsid w:val="007C43D2"/>
    <w:rsid w:val="007C461B"/>
    <w:rsid w:val="007C4893"/>
    <w:rsid w:val="007C48E2"/>
    <w:rsid w:val="007C4BD1"/>
    <w:rsid w:val="007C4FBA"/>
    <w:rsid w:val="007C4FE3"/>
    <w:rsid w:val="007C523D"/>
    <w:rsid w:val="007C5448"/>
    <w:rsid w:val="007C598B"/>
    <w:rsid w:val="007C5A9F"/>
    <w:rsid w:val="007C5B1C"/>
    <w:rsid w:val="007C660B"/>
    <w:rsid w:val="007C69DB"/>
    <w:rsid w:val="007C6A42"/>
    <w:rsid w:val="007C6EB0"/>
    <w:rsid w:val="007C70C0"/>
    <w:rsid w:val="007C71D4"/>
    <w:rsid w:val="007C72EB"/>
    <w:rsid w:val="007C7417"/>
    <w:rsid w:val="007C74AE"/>
    <w:rsid w:val="007C759A"/>
    <w:rsid w:val="007C7617"/>
    <w:rsid w:val="007C799C"/>
    <w:rsid w:val="007D0A2B"/>
    <w:rsid w:val="007D0C43"/>
    <w:rsid w:val="007D1007"/>
    <w:rsid w:val="007D14B6"/>
    <w:rsid w:val="007D1B97"/>
    <w:rsid w:val="007D1E02"/>
    <w:rsid w:val="007D1E06"/>
    <w:rsid w:val="007D20B6"/>
    <w:rsid w:val="007D2309"/>
    <w:rsid w:val="007D2481"/>
    <w:rsid w:val="007D24F3"/>
    <w:rsid w:val="007D274C"/>
    <w:rsid w:val="007D32A7"/>
    <w:rsid w:val="007D389E"/>
    <w:rsid w:val="007D3A20"/>
    <w:rsid w:val="007D3EBC"/>
    <w:rsid w:val="007D3F48"/>
    <w:rsid w:val="007D4086"/>
    <w:rsid w:val="007D489C"/>
    <w:rsid w:val="007D4940"/>
    <w:rsid w:val="007D49D8"/>
    <w:rsid w:val="007D49DF"/>
    <w:rsid w:val="007D5044"/>
    <w:rsid w:val="007D54B0"/>
    <w:rsid w:val="007D57D4"/>
    <w:rsid w:val="007D5E24"/>
    <w:rsid w:val="007D5F00"/>
    <w:rsid w:val="007D60EF"/>
    <w:rsid w:val="007D61EA"/>
    <w:rsid w:val="007D694E"/>
    <w:rsid w:val="007D6BD6"/>
    <w:rsid w:val="007D6FF0"/>
    <w:rsid w:val="007D7001"/>
    <w:rsid w:val="007D70A0"/>
    <w:rsid w:val="007D7267"/>
    <w:rsid w:val="007D7680"/>
    <w:rsid w:val="007D76D4"/>
    <w:rsid w:val="007D78A4"/>
    <w:rsid w:val="007D7967"/>
    <w:rsid w:val="007E03C7"/>
    <w:rsid w:val="007E0590"/>
    <w:rsid w:val="007E06EE"/>
    <w:rsid w:val="007E0E00"/>
    <w:rsid w:val="007E0E89"/>
    <w:rsid w:val="007E15C0"/>
    <w:rsid w:val="007E180A"/>
    <w:rsid w:val="007E1C15"/>
    <w:rsid w:val="007E1F83"/>
    <w:rsid w:val="007E2222"/>
    <w:rsid w:val="007E25C5"/>
    <w:rsid w:val="007E2D35"/>
    <w:rsid w:val="007E2F9E"/>
    <w:rsid w:val="007E2FF5"/>
    <w:rsid w:val="007E34C1"/>
    <w:rsid w:val="007E3531"/>
    <w:rsid w:val="007E36F7"/>
    <w:rsid w:val="007E3721"/>
    <w:rsid w:val="007E3815"/>
    <w:rsid w:val="007E4243"/>
    <w:rsid w:val="007E428F"/>
    <w:rsid w:val="007E4322"/>
    <w:rsid w:val="007E4354"/>
    <w:rsid w:val="007E45DB"/>
    <w:rsid w:val="007E4C54"/>
    <w:rsid w:val="007E4CED"/>
    <w:rsid w:val="007E4D81"/>
    <w:rsid w:val="007E4FE9"/>
    <w:rsid w:val="007E50CA"/>
    <w:rsid w:val="007E5640"/>
    <w:rsid w:val="007E5DE3"/>
    <w:rsid w:val="007E5EBC"/>
    <w:rsid w:val="007E6656"/>
    <w:rsid w:val="007E66A9"/>
    <w:rsid w:val="007E6D09"/>
    <w:rsid w:val="007E6D5E"/>
    <w:rsid w:val="007E6D8D"/>
    <w:rsid w:val="007E7BAE"/>
    <w:rsid w:val="007F00B4"/>
    <w:rsid w:val="007F08AE"/>
    <w:rsid w:val="007F0B19"/>
    <w:rsid w:val="007F0BFA"/>
    <w:rsid w:val="007F0ED6"/>
    <w:rsid w:val="007F1294"/>
    <w:rsid w:val="007F1871"/>
    <w:rsid w:val="007F194B"/>
    <w:rsid w:val="007F1975"/>
    <w:rsid w:val="007F19CC"/>
    <w:rsid w:val="007F1BC5"/>
    <w:rsid w:val="007F2053"/>
    <w:rsid w:val="007F20A2"/>
    <w:rsid w:val="007F20E0"/>
    <w:rsid w:val="007F238F"/>
    <w:rsid w:val="007F2448"/>
    <w:rsid w:val="007F2583"/>
    <w:rsid w:val="007F29D2"/>
    <w:rsid w:val="007F2FFC"/>
    <w:rsid w:val="007F3039"/>
    <w:rsid w:val="007F3103"/>
    <w:rsid w:val="007F3330"/>
    <w:rsid w:val="007F3595"/>
    <w:rsid w:val="007F364F"/>
    <w:rsid w:val="007F36AD"/>
    <w:rsid w:val="007F36D4"/>
    <w:rsid w:val="007F36FF"/>
    <w:rsid w:val="007F3960"/>
    <w:rsid w:val="007F39BD"/>
    <w:rsid w:val="007F39DF"/>
    <w:rsid w:val="007F3B1A"/>
    <w:rsid w:val="007F3C80"/>
    <w:rsid w:val="007F3D6B"/>
    <w:rsid w:val="007F4151"/>
    <w:rsid w:val="007F49AA"/>
    <w:rsid w:val="007F5037"/>
    <w:rsid w:val="007F5629"/>
    <w:rsid w:val="007F5809"/>
    <w:rsid w:val="007F58C9"/>
    <w:rsid w:val="007F5A89"/>
    <w:rsid w:val="007F5AD8"/>
    <w:rsid w:val="007F5C44"/>
    <w:rsid w:val="007F5DC9"/>
    <w:rsid w:val="007F5EF3"/>
    <w:rsid w:val="007F607B"/>
    <w:rsid w:val="007F60DB"/>
    <w:rsid w:val="007F61C1"/>
    <w:rsid w:val="007F62AA"/>
    <w:rsid w:val="007F64C3"/>
    <w:rsid w:val="007F6BE2"/>
    <w:rsid w:val="007F702C"/>
    <w:rsid w:val="007F7099"/>
    <w:rsid w:val="007F7457"/>
    <w:rsid w:val="007F75ED"/>
    <w:rsid w:val="007F7941"/>
    <w:rsid w:val="007F7CC4"/>
    <w:rsid w:val="007F7EA4"/>
    <w:rsid w:val="007F7F3C"/>
    <w:rsid w:val="007F7F6C"/>
    <w:rsid w:val="00800185"/>
    <w:rsid w:val="00800409"/>
    <w:rsid w:val="0080098C"/>
    <w:rsid w:val="00800B33"/>
    <w:rsid w:val="00800B4D"/>
    <w:rsid w:val="00800BC5"/>
    <w:rsid w:val="00800E6C"/>
    <w:rsid w:val="0080105A"/>
    <w:rsid w:val="00801421"/>
    <w:rsid w:val="00801A20"/>
    <w:rsid w:val="00801C9E"/>
    <w:rsid w:val="00801CFD"/>
    <w:rsid w:val="00801E47"/>
    <w:rsid w:val="00801F4A"/>
    <w:rsid w:val="0080207F"/>
    <w:rsid w:val="00802136"/>
    <w:rsid w:val="00802391"/>
    <w:rsid w:val="00802477"/>
    <w:rsid w:val="008024B9"/>
    <w:rsid w:val="008027A4"/>
    <w:rsid w:val="008028BC"/>
    <w:rsid w:val="00802D84"/>
    <w:rsid w:val="008032D6"/>
    <w:rsid w:val="008034BD"/>
    <w:rsid w:val="00803507"/>
    <w:rsid w:val="00803D7E"/>
    <w:rsid w:val="00803F2E"/>
    <w:rsid w:val="00803FAB"/>
    <w:rsid w:val="008045B3"/>
    <w:rsid w:val="00804818"/>
    <w:rsid w:val="0080481E"/>
    <w:rsid w:val="00804AD6"/>
    <w:rsid w:val="00804DD8"/>
    <w:rsid w:val="00805225"/>
    <w:rsid w:val="0080549A"/>
    <w:rsid w:val="0080561F"/>
    <w:rsid w:val="008058AC"/>
    <w:rsid w:val="008059DE"/>
    <w:rsid w:val="00805A4C"/>
    <w:rsid w:val="00805D4D"/>
    <w:rsid w:val="00805EC0"/>
    <w:rsid w:val="00806091"/>
    <w:rsid w:val="008062CC"/>
    <w:rsid w:val="0080639C"/>
    <w:rsid w:val="00806571"/>
    <w:rsid w:val="00806DE6"/>
    <w:rsid w:val="00806F8B"/>
    <w:rsid w:val="0080711D"/>
    <w:rsid w:val="00807193"/>
    <w:rsid w:val="00807645"/>
    <w:rsid w:val="00807754"/>
    <w:rsid w:val="0080789E"/>
    <w:rsid w:val="008078D0"/>
    <w:rsid w:val="00807B69"/>
    <w:rsid w:val="00807DB8"/>
    <w:rsid w:val="00807F87"/>
    <w:rsid w:val="008100B5"/>
    <w:rsid w:val="008101CF"/>
    <w:rsid w:val="008102F2"/>
    <w:rsid w:val="008105A4"/>
    <w:rsid w:val="008108A9"/>
    <w:rsid w:val="00810CD8"/>
    <w:rsid w:val="00810D6F"/>
    <w:rsid w:val="00810DC9"/>
    <w:rsid w:val="0081114D"/>
    <w:rsid w:val="0081145B"/>
    <w:rsid w:val="00811909"/>
    <w:rsid w:val="00811A2A"/>
    <w:rsid w:val="0081222A"/>
    <w:rsid w:val="00812554"/>
    <w:rsid w:val="00812B20"/>
    <w:rsid w:val="00812B77"/>
    <w:rsid w:val="00812BA6"/>
    <w:rsid w:val="0081303A"/>
    <w:rsid w:val="008134A1"/>
    <w:rsid w:val="008136C8"/>
    <w:rsid w:val="0081370D"/>
    <w:rsid w:val="00813E25"/>
    <w:rsid w:val="0081415A"/>
    <w:rsid w:val="00814228"/>
    <w:rsid w:val="00814500"/>
    <w:rsid w:val="0081460F"/>
    <w:rsid w:val="00814999"/>
    <w:rsid w:val="00814A7C"/>
    <w:rsid w:val="00814E38"/>
    <w:rsid w:val="008153A6"/>
    <w:rsid w:val="00815648"/>
    <w:rsid w:val="0081672D"/>
    <w:rsid w:val="00816B07"/>
    <w:rsid w:val="00816B75"/>
    <w:rsid w:val="00817192"/>
    <w:rsid w:val="008174DB"/>
    <w:rsid w:val="00817753"/>
    <w:rsid w:val="008179B6"/>
    <w:rsid w:val="00817B62"/>
    <w:rsid w:val="00817C65"/>
    <w:rsid w:val="0082003B"/>
    <w:rsid w:val="0082024B"/>
    <w:rsid w:val="00820962"/>
    <w:rsid w:val="00820EE2"/>
    <w:rsid w:val="008212BA"/>
    <w:rsid w:val="0082153B"/>
    <w:rsid w:val="0082195C"/>
    <w:rsid w:val="00821A56"/>
    <w:rsid w:val="00821B13"/>
    <w:rsid w:val="00821D78"/>
    <w:rsid w:val="00822438"/>
    <w:rsid w:val="008224CA"/>
    <w:rsid w:val="00822723"/>
    <w:rsid w:val="0082286E"/>
    <w:rsid w:val="00822CAF"/>
    <w:rsid w:val="00822CDE"/>
    <w:rsid w:val="00822FD5"/>
    <w:rsid w:val="00823170"/>
    <w:rsid w:val="008233F6"/>
    <w:rsid w:val="008237FE"/>
    <w:rsid w:val="00823CF1"/>
    <w:rsid w:val="00823DF1"/>
    <w:rsid w:val="00823F03"/>
    <w:rsid w:val="00823F85"/>
    <w:rsid w:val="00823FE3"/>
    <w:rsid w:val="0082448E"/>
    <w:rsid w:val="00824494"/>
    <w:rsid w:val="00824694"/>
    <w:rsid w:val="00824767"/>
    <w:rsid w:val="00824874"/>
    <w:rsid w:val="00824E35"/>
    <w:rsid w:val="00824E95"/>
    <w:rsid w:val="00825029"/>
    <w:rsid w:val="008250AD"/>
    <w:rsid w:val="008250C5"/>
    <w:rsid w:val="0082521E"/>
    <w:rsid w:val="00825561"/>
    <w:rsid w:val="008255E8"/>
    <w:rsid w:val="0082584F"/>
    <w:rsid w:val="0082599E"/>
    <w:rsid w:val="00825B8B"/>
    <w:rsid w:val="00825C9D"/>
    <w:rsid w:val="00825D23"/>
    <w:rsid w:val="00826668"/>
    <w:rsid w:val="00826A6A"/>
    <w:rsid w:val="00826FEC"/>
    <w:rsid w:val="00827120"/>
    <w:rsid w:val="00827261"/>
    <w:rsid w:val="008274A9"/>
    <w:rsid w:val="008274D1"/>
    <w:rsid w:val="00827660"/>
    <w:rsid w:val="00827CC3"/>
    <w:rsid w:val="008303CD"/>
    <w:rsid w:val="008305A9"/>
    <w:rsid w:val="00831073"/>
    <w:rsid w:val="00831575"/>
    <w:rsid w:val="008318F5"/>
    <w:rsid w:val="00831920"/>
    <w:rsid w:val="00831A4F"/>
    <w:rsid w:val="00831E2B"/>
    <w:rsid w:val="008324F1"/>
    <w:rsid w:val="00832696"/>
    <w:rsid w:val="008326EF"/>
    <w:rsid w:val="00832782"/>
    <w:rsid w:val="0083279D"/>
    <w:rsid w:val="00832A22"/>
    <w:rsid w:val="00833161"/>
    <w:rsid w:val="0083318D"/>
    <w:rsid w:val="00833244"/>
    <w:rsid w:val="00833594"/>
    <w:rsid w:val="0083372E"/>
    <w:rsid w:val="00833BE9"/>
    <w:rsid w:val="00833E32"/>
    <w:rsid w:val="0083430E"/>
    <w:rsid w:val="00834816"/>
    <w:rsid w:val="00834B9D"/>
    <w:rsid w:val="00834D95"/>
    <w:rsid w:val="00834EE0"/>
    <w:rsid w:val="00836305"/>
    <w:rsid w:val="008366A6"/>
    <w:rsid w:val="00836893"/>
    <w:rsid w:val="00836A6A"/>
    <w:rsid w:val="00836CAE"/>
    <w:rsid w:val="00836E72"/>
    <w:rsid w:val="00837256"/>
    <w:rsid w:val="008374A6"/>
    <w:rsid w:val="00837613"/>
    <w:rsid w:val="00837821"/>
    <w:rsid w:val="00837898"/>
    <w:rsid w:val="008379CA"/>
    <w:rsid w:val="00837D41"/>
    <w:rsid w:val="00837DF3"/>
    <w:rsid w:val="00837E5C"/>
    <w:rsid w:val="00837FEC"/>
    <w:rsid w:val="008403D5"/>
    <w:rsid w:val="0084051A"/>
    <w:rsid w:val="0084059D"/>
    <w:rsid w:val="00840704"/>
    <w:rsid w:val="00840AD9"/>
    <w:rsid w:val="00840FFC"/>
    <w:rsid w:val="00841558"/>
    <w:rsid w:val="008418EC"/>
    <w:rsid w:val="0084195D"/>
    <w:rsid w:val="00841A71"/>
    <w:rsid w:val="00841FC4"/>
    <w:rsid w:val="00842030"/>
    <w:rsid w:val="008420A0"/>
    <w:rsid w:val="0084258A"/>
    <w:rsid w:val="008425A6"/>
    <w:rsid w:val="008425FF"/>
    <w:rsid w:val="00842785"/>
    <w:rsid w:val="00842FC2"/>
    <w:rsid w:val="00843326"/>
    <w:rsid w:val="0084354A"/>
    <w:rsid w:val="00843653"/>
    <w:rsid w:val="008439A9"/>
    <w:rsid w:val="00843A74"/>
    <w:rsid w:val="0084419D"/>
    <w:rsid w:val="0084460A"/>
    <w:rsid w:val="0084462C"/>
    <w:rsid w:val="008447AB"/>
    <w:rsid w:val="008448F1"/>
    <w:rsid w:val="00844B92"/>
    <w:rsid w:val="00844CCC"/>
    <w:rsid w:val="008454CB"/>
    <w:rsid w:val="008455ED"/>
    <w:rsid w:val="008458CE"/>
    <w:rsid w:val="00845BAC"/>
    <w:rsid w:val="00845C90"/>
    <w:rsid w:val="00845F09"/>
    <w:rsid w:val="008460F2"/>
    <w:rsid w:val="00846985"/>
    <w:rsid w:val="00846B16"/>
    <w:rsid w:val="00846B92"/>
    <w:rsid w:val="00846DA8"/>
    <w:rsid w:val="00846F73"/>
    <w:rsid w:val="00847A45"/>
    <w:rsid w:val="00847D5F"/>
    <w:rsid w:val="00847FF3"/>
    <w:rsid w:val="0085061E"/>
    <w:rsid w:val="0085083D"/>
    <w:rsid w:val="00850B98"/>
    <w:rsid w:val="00850EE6"/>
    <w:rsid w:val="008515CA"/>
    <w:rsid w:val="008519A0"/>
    <w:rsid w:val="00851E21"/>
    <w:rsid w:val="00851F92"/>
    <w:rsid w:val="00852128"/>
    <w:rsid w:val="008525CD"/>
    <w:rsid w:val="008526D5"/>
    <w:rsid w:val="008527A6"/>
    <w:rsid w:val="00852DA2"/>
    <w:rsid w:val="00852DA6"/>
    <w:rsid w:val="00852DAE"/>
    <w:rsid w:val="00853049"/>
    <w:rsid w:val="0085311E"/>
    <w:rsid w:val="0085318C"/>
    <w:rsid w:val="00853203"/>
    <w:rsid w:val="008533C9"/>
    <w:rsid w:val="0085359F"/>
    <w:rsid w:val="00853785"/>
    <w:rsid w:val="00853789"/>
    <w:rsid w:val="008537D2"/>
    <w:rsid w:val="008538EA"/>
    <w:rsid w:val="00853AA6"/>
    <w:rsid w:val="00853E53"/>
    <w:rsid w:val="00853F67"/>
    <w:rsid w:val="00854245"/>
    <w:rsid w:val="00854343"/>
    <w:rsid w:val="00854418"/>
    <w:rsid w:val="0085469E"/>
    <w:rsid w:val="00854742"/>
    <w:rsid w:val="008547B9"/>
    <w:rsid w:val="00855211"/>
    <w:rsid w:val="0085523B"/>
    <w:rsid w:val="0085547A"/>
    <w:rsid w:val="0085564B"/>
    <w:rsid w:val="00855803"/>
    <w:rsid w:val="00855C7D"/>
    <w:rsid w:val="00855FD3"/>
    <w:rsid w:val="008564D4"/>
    <w:rsid w:val="0085656A"/>
    <w:rsid w:val="0085724C"/>
    <w:rsid w:val="008574BB"/>
    <w:rsid w:val="00857628"/>
    <w:rsid w:val="0085776E"/>
    <w:rsid w:val="00857859"/>
    <w:rsid w:val="00860467"/>
    <w:rsid w:val="0086066B"/>
    <w:rsid w:val="00860EDD"/>
    <w:rsid w:val="0086115F"/>
    <w:rsid w:val="008611EB"/>
    <w:rsid w:val="00861519"/>
    <w:rsid w:val="00861873"/>
    <w:rsid w:val="00861A0C"/>
    <w:rsid w:val="00861DB3"/>
    <w:rsid w:val="00861E03"/>
    <w:rsid w:val="008621B9"/>
    <w:rsid w:val="0086242F"/>
    <w:rsid w:val="008624AB"/>
    <w:rsid w:val="00862958"/>
    <w:rsid w:val="00862EE0"/>
    <w:rsid w:val="008631A8"/>
    <w:rsid w:val="00863366"/>
    <w:rsid w:val="00863747"/>
    <w:rsid w:val="00863828"/>
    <w:rsid w:val="008639E5"/>
    <w:rsid w:val="00863ADA"/>
    <w:rsid w:val="00863E1A"/>
    <w:rsid w:val="00863E34"/>
    <w:rsid w:val="008640E0"/>
    <w:rsid w:val="008640E7"/>
    <w:rsid w:val="00864150"/>
    <w:rsid w:val="0086427E"/>
    <w:rsid w:val="00864706"/>
    <w:rsid w:val="00864869"/>
    <w:rsid w:val="0086495B"/>
    <w:rsid w:val="00864B56"/>
    <w:rsid w:val="00864FE1"/>
    <w:rsid w:val="008650A6"/>
    <w:rsid w:val="008650D9"/>
    <w:rsid w:val="00865755"/>
    <w:rsid w:val="00865FF3"/>
    <w:rsid w:val="00866241"/>
    <w:rsid w:val="00866281"/>
    <w:rsid w:val="0086673B"/>
    <w:rsid w:val="00866C2A"/>
    <w:rsid w:val="00867136"/>
    <w:rsid w:val="008677DF"/>
    <w:rsid w:val="008677EA"/>
    <w:rsid w:val="0087021C"/>
    <w:rsid w:val="0087024C"/>
    <w:rsid w:val="00870273"/>
    <w:rsid w:val="008703C9"/>
    <w:rsid w:val="0087042D"/>
    <w:rsid w:val="00870847"/>
    <w:rsid w:val="00870CB1"/>
    <w:rsid w:val="00870DE7"/>
    <w:rsid w:val="00871319"/>
    <w:rsid w:val="008719A2"/>
    <w:rsid w:val="00871DA3"/>
    <w:rsid w:val="00871DA9"/>
    <w:rsid w:val="00872042"/>
    <w:rsid w:val="008720D6"/>
    <w:rsid w:val="008724E3"/>
    <w:rsid w:val="00872702"/>
    <w:rsid w:val="008727BB"/>
    <w:rsid w:val="0087286A"/>
    <w:rsid w:val="00872F5F"/>
    <w:rsid w:val="008730A4"/>
    <w:rsid w:val="0087311B"/>
    <w:rsid w:val="00873310"/>
    <w:rsid w:val="00873A92"/>
    <w:rsid w:val="00873C3F"/>
    <w:rsid w:val="00873DBA"/>
    <w:rsid w:val="00873E03"/>
    <w:rsid w:val="00874157"/>
    <w:rsid w:val="008741CD"/>
    <w:rsid w:val="00874226"/>
    <w:rsid w:val="00874405"/>
    <w:rsid w:val="00874593"/>
    <w:rsid w:val="008749FD"/>
    <w:rsid w:val="00874B8A"/>
    <w:rsid w:val="00874DD6"/>
    <w:rsid w:val="008750DC"/>
    <w:rsid w:val="00875947"/>
    <w:rsid w:val="00875A17"/>
    <w:rsid w:val="00875C6A"/>
    <w:rsid w:val="00876436"/>
    <w:rsid w:val="00876515"/>
    <w:rsid w:val="00876722"/>
    <w:rsid w:val="00876D0D"/>
    <w:rsid w:val="00876DA8"/>
    <w:rsid w:val="00876E5C"/>
    <w:rsid w:val="00876F90"/>
    <w:rsid w:val="008771A4"/>
    <w:rsid w:val="00877A06"/>
    <w:rsid w:val="00877A63"/>
    <w:rsid w:val="00877C6C"/>
    <w:rsid w:val="0088119D"/>
    <w:rsid w:val="00881362"/>
    <w:rsid w:val="008814C8"/>
    <w:rsid w:val="0088156F"/>
    <w:rsid w:val="008819A1"/>
    <w:rsid w:val="00881A2C"/>
    <w:rsid w:val="00881D74"/>
    <w:rsid w:val="008820AC"/>
    <w:rsid w:val="00882152"/>
    <w:rsid w:val="0088248B"/>
    <w:rsid w:val="008826F7"/>
    <w:rsid w:val="0088276C"/>
    <w:rsid w:val="00882AC2"/>
    <w:rsid w:val="00883634"/>
    <w:rsid w:val="008837F2"/>
    <w:rsid w:val="00884086"/>
    <w:rsid w:val="00884511"/>
    <w:rsid w:val="00884A94"/>
    <w:rsid w:val="00884BC1"/>
    <w:rsid w:val="00884E32"/>
    <w:rsid w:val="00884EC8"/>
    <w:rsid w:val="00884FA0"/>
    <w:rsid w:val="00885012"/>
    <w:rsid w:val="00885195"/>
    <w:rsid w:val="008856D1"/>
    <w:rsid w:val="008857C5"/>
    <w:rsid w:val="00885F0B"/>
    <w:rsid w:val="00886012"/>
    <w:rsid w:val="00886353"/>
    <w:rsid w:val="0088671F"/>
    <w:rsid w:val="00886BD5"/>
    <w:rsid w:val="00886C4F"/>
    <w:rsid w:val="00886C75"/>
    <w:rsid w:val="00886D06"/>
    <w:rsid w:val="008873B8"/>
    <w:rsid w:val="00887B44"/>
    <w:rsid w:val="00887C22"/>
    <w:rsid w:val="00887D00"/>
    <w:rsid w:val="00890113"/>
    <w:rsid w:val="00890488"/>
    <w:rsid w:val="00890643"/>
    <w:rsid w:val="008906D7"/>
    <w:rsid w:val="008907EA"/>
    <w:rsid w:val="0089092A"/>
    <w:rsid w:val="008909AC"/>
    <w:rsid w:val="00890C4A"/>
    <w:rsid w:val="00890FE4"/>
    <w:rsid w:val="00891176"/>
    <w:rsid w:val="008911FE"/>
    <w:rsid w:val="00891299"/>
    <w:rsid w:val="0089181D"/>
    <w:rsid w:val="008919AD"/>
    <w:rsid w:val="00891A12"/>
    <w:rsid w:val="00891B46"/>
    <w:rsid w:val="0089203C"/>
    <w:rsid w:val="008922F3"/>
    <w:rsid w:val="00892302"/>
    <w:rsid w:val="0089244D"/>
    <w:rsid w:val="0089247C"/>
    <w:rsid w:val="008924D0"/>
    <w:rsid w:val="00892625"/>
    <w:rsid w:val="00892698"/>
    <w:rsid w:val="00893075"/>
    <w:rsid w:val="008930C0"/>
    <w:rsid w:val="0089332A"/>
    <w:rsid w:val="00893789"/>
    <w:rsid w:val="00893917"/>
    <w:rsid w:val="00893AE8"/>
    <w:rsid w:val="00893F98"/>
    <w:rsid w:val="00894252"/>
    <w:rsid w:val="00894390"/>
    <w:rsid w:val="00894618"/>
    <w:rsid w:val="00894C26"/>
    <w:rsid w:val="00894E9D"/>
    <w:rsid w:val="008953C5"/>
    <w:rsid w:val="00895A70"/>
    <w:rsid w:val="00895B43"/>
    <w:rsid w:val="00895EBA"/>
    <w:rsid w:val="00895EE5"/>
    <w:rsid w:val="008960C4"/>
    <w:rsid w:val="008966D9"/>
    <w:rsid w:val="00896A18"/>
    <w:rsid w:val="00896CB9"/>
    <w:rsid w:val="00896CEC"/>
    <w:rsid w:val="00896FB1"/>
    <w:rsid w:val="0089721D"/>
    <w:rsid w:val="0089731F"/>
    <w:rsid w:val="0089759D"/>
    <w:rsid w:val="00897622"/>
    <w:rsid w:val="008978EE"/>
    <w:rsid w:val="008979A4"/>
    <w:rsid w:val="00897BA4"/>
    <w:rsid w:val="00897FCB"/>
    <w:rsid w:val="008A0276"/>
    <w:rsid w:val="008A0F58"/>
    <w:rsid w:val="008A0F91"/>
    <w:rsid w:val="008A1053"/>
    <w:rsid w:val="008A154F"/>
    <w:rsid w:val="008A1583"/>
    <w:rsid w:val="008A19AF"/>
    <w:rsid w:val="008A1E91"/>
    <w:rsid w:val="008A1F3E"/>
    <w:rsid w:val="008A1F51"/>
    <w:rsid w:val="008A2199"/>
    <w:rsid w:val="008A21EF"/>
    <w:rsid w:val="008A2633"/>
    <w:rsid w:val="008A2A13"/>
    <w:rsid w:val="008A2C3F"/>
    <w:rsid w:val="008A2C81"/>
    <w:rsid w:val="008A2D84"/>
    <w:rsid w:val="008A2EF2"/>
    <w:rsid w:val="008A31D0"/>
    <w:rsid w:val="008A3409"/>
    <w:rsid w:val="008A3413"/>
    <w:rsid w:val="008A38B5"/>
    <w:rsid w:val="008A3BF8"/>
    <w:rsid w:val="008A3E5D"/>
    <w:rsid w:val="008A4469"/>
    <w:rsid w:val="008A4633"/>
    <w:rsid w:val="008A463F"/>
    <w:rsid w:val="008A4751"/>
    <w:rsid w:val="008A4AB7"/>
    <w:rsid w:val="008A4B1D"/>
    <w:rsid w:val="008A4F96"/>
    <w:rsid w:val="008A5181"/>
    <w:rsid w:val="008A54EB"/>
    <w:rsid w:val="008A5531"/>
    <w:rsid w:val="008A5609"/>
    <w:rsid w:val="008A59C8"/>
    <w:rsid w:val="008A5A21"/>
    <w:rsid w:val="008A614B"/>
    <w:rsid w:val="008A6328"/>
    <w:rsid w:val="008A65A5"/>
    <w:rsid w:val="008A695E"/>
    <w:rsid w:val="008A6B72"/>
    <w:rsid w:val="008A7167"/>
    <w:rsid w:val="008A7179"/>
    <w:rsid w:val="008A7866"/>
    <w:rsid w:val="008A7D12"/>
    <w:rsid w:val="008A7E7D"/>
    <w:rsid w:val="008B076E"/>
    <w:rsid w:val="008B19AE"/>
    <w:rsid w:val="008B1B64"/>
    <w:rsid w:val="008B1E1A"/>
    <w:rsid w:val="008B21D9"/>
    <w:rsid w:val="008B21EF"/>
    <w:rsid w:val="008B22A4"/>
    <w:rsid w:val="008B234B"/>
    <w:rsid w:val="008B273D"/>
    <w:rsid w:val="008B29FE"/>
    <w:rsid w:val="008B2AB5"/>
    <w:rsid w:val="008B2DAC"/>
    <w:rsid w:val="008B2DAE"/>
    <w:rsid w:val="008B2EB5"/>
    <w:rsid w:val="008B31BB"/>
    <w:rsid w:val="008B3545"/>
    <w:rsid w:val="008B398D"/>
    <w:rsid w:val="008B3EF3"/>
    <w:rsid w:val="008B3FF4"/>
    <w:rsid w:val="008B422B"/>
    <w:rsid w:val="008B45C0"/>
    <w:rsid w:val="008B48CC"/>
    <w:rsid w:val="008B4A64"/>
    <w:rsid w:val="008B4A90"/>
    <w:rsid w:val="008B4BC9"/>
    <w:rsid w:val="008B4D4D"/>
    <w:rsid w:val="008B4F15"/>
    <w:rsid w:val="008B4F73"/>
    <w:rsid w:val="008B5358"/>
    <w:rsid w:val="008B544E"/>
    <w:rsid w:val="008B59DD"/>
    <w:rsid w:val="008B5B41"/>
    <w:rsid w:val="008B5B70"/>
    <w:rsid w:val="008B5FEF"/>
    <w:rsid w:val="008B60C7"/>
    <w:rsid w:val="008B6836"/>
    <w:rsid w:val="008B68E7"/>
    <w:rsid w:val="008B6C99"/>
    <w:rsid w:val="008B6D76"/>
    <w:rsid w:val="008B6E23"/>
    <w:rsid w:val="008B700B"/>
    <w:rsid w:val="008B7383"/>
    <w:rsid w:val="008B7C9D"/>
    <w:rsid w:val="008B7F77"/>
    <w:rsid w:val="008C0580"/>
    <w:rsid w:val="008C0637"/>
    <w:rsid w:val="008C0849"/>
    <w:rsid w:val="008C0963"/>
    <w:rsid w:val="008C0A72"/>
    <w:rsid w:val="008C0B48"/>
    <w:rsid w:val="008C0EBD"/>
    <w:rsid w:val="008C0F6E"/>
    <w:rsid w:val="008C0FD0"/>
    <w:rsid w:val="008C162E"/>
    <w:rsid w:val="008C1BCB"/>
    <w:rsid w:val="008C1DC3"/>
    <w:rsid w:val="008C1F21"/>
    <w:rsid w:val="008C205F"/>
    <w:rsid w:val="008C207E"/>
    <w:rsid w:val="008C20AF"/>
    <w:rsid w:val="008C224E"/>
    <w:rsid w:val="008C282C"/>
    <w:rsid w:val="008C2834"/>
    <w:rsid w:val="008C31AD"/>
    <w:rsid w:val="008C3297"/>
    <w:rsid w:val="008C360E"/>
    <w:rsid w:val="008C360F"/>
    <w:rsid w:val="008C39F6"/>
    <w:rsid w:val="008C3BE9"/>
    <w:rsid w:val="008C3C6A"/>
    <w:rsid w:val="008C3DF1"/>
    <w:rsid w:val="008C4112"/>
    <w:rsid w:val="008C4288"/>
    <w:rsid w:val="008C4677"/>
    <w:rsid w:val="008C468D"/>
    <w:rsid w:val="008C46CF"/>
    <w:rsid w:val="008C47C6"/>
    <w:rsid w:val="008C4821"/>
    <w:rsid w:val="008C4B08"/>
    <w:rsid w:val="008C4D1B"/>
    <w:rsid w:val="008C4F4A"/>
    <w:rsid w:val="008C515F"/>
    <w:rsid w:val="008C5570"/>
    <w:rsid w:val="008C56F2"/>
    <w:rsid w:val="008C57B2"/>
    <w:rsid w:val="008C5975"/>
    <w:rsid w:val="008C5EC6"/>
    <w:rsid w:val="008C6046"/>
    <w:rsid w:val="008C609B"/>
    <w:rsid w:val="008C6251"/>
    <w:rsid w:val="008C6364"/>
    <w:rsid w:val="008C64C8"/>
    <w:rsid w:val="008C6788"/>
    <w:rsid w:val="008C6C70"/>
    <w:rsid w:val="008C6D29"/>
    <w:rsid w:val="008C6D97"/>
    <w:rsid w:val="008C6F60"/>
    <w:rsid w:val="008C705E"/>
    <w:rsid w:val="008C72FA"/>
    <w:rsid w:val="008C73AA"/>
    <w:rsid w:val="008C73FD"/>
    <w:rsid w:val="008C7401"/>
    <w:rsid w:val="008C75EB"/>
    <w:rsid w:val="008C7B67"/>
    <w:rsid w:val="008C7DDB"/>
    <w:rsid w:val="008C7FB6"/>
    <w:rsid w:val="008D0529"/>
    <w:rsid w:val="008D0575"/>
    <w:rsid w:val="008D06C1"/>
    <w:rsid w:val="008D0B77"/>
    <w:rsid w:val="008D10F1"/>
    <w:rsid w:val="008D11D2"/>
    <w:rsid w:val="008D11E1"/>
    <w:rsid w:val="008D12D7"/>
    <w:rsid w:val="008D1776"/>
    <w:rsid w:val="008D1CD3"/>
    <w:rsid w:val="008D1CE3"/>
    <w:rsid w:val="008D1D17"/>
    <w:rsid w:val="008D1EA8"/>
    <w:rsid w:val="008D1FB9"/>
    <w:rsid w:val="008D1FEE"/>
    <w:rsid w:val="008D203B"/>
    <w:rsid w:val="008D20BD"/>
    <w:rsid w:val="008D225A"/>
    <w:rsid w:val="008D23CA"/>
    <w:rsid w:val="008D2568"/>
    <w:rsid w:val="008D279E"/>
    <w:rsid w:val="008D2A20"/>
    <w:rsid w:val="008D323B"/>
    <w:rsid w:val="008D4051"/>
    <w:rsid w:val="008D41B0"/>
    <w:rsid w:val="008D449E"/>
    <w:rsid w:val="008D463A"/>
    <w:rsid w:val="008D48B9"/>
    <w:rsid w:val="008D492F"/>
    <w:rsid w:val="008D4977"/>
    <w:rsid w:val="008D4AEA"/>
    <w:rsid w:val="008D4DB9"/>
    <w:rsid w:val="008D4EFC"/>
    <w:rsid w:val="008D5180"/>
    <w:rsid w:val="008D5275"/>
    <w:rsid w:val="008D5C6A"/>
    <w:rsid w:val="008D5D19"/>
    <w:rsid w:val="008D61DE"/>
    <w:rsid w:val="008D62D8"/>
    <w:rsid w:val="008D641D"/>
    <w:rsid w:val="008D6773"/>
    <w:rsid w:val="008D6946"/>
    <w:rsid w:val="008D6969"/>
    <w:rsid w:val="008D69B0"/>
    <w:rsid w:val="008D69B5"/>
    <w:rsid w:val="008D6BF9"/>
    <w:rsid w:val="008D6E7A"/>
    <w:rsid w:val="008D6F51"/>
    <w:rsid w:val="008D73DD"/>
    <w:rsid w:val="008D76A7"/>
    <w:rsid w:val="008D78FE"/>
    <w:rsid w:val="008D7D6A"/>
    <w:rsid w:val="008E00DE"/>
    <w:rsid w:val="008E032F"/>
    <w:rsid w:val="008E0397"/>
    <w:rsid w:val="008E051D"/>
    <w:rsid w:val="008E06DB"/>
    <w:rsid w:val="008E0964"/>
    <w:rsid w:val="008E09E6"/>
    <w:rsid w:val="008E0B16"/>
    <w:rsid w:val="008E0C22"/>
    <w:rsid w:val="008E0EE3"/>
    <w:rsid w:val="008E1918"/>
    <w:rsid w:val="008E19A2"/>
    <w:rsid w:val="008E1C6B"/>
    <w:rsid w:val="008E1D1D"/>
    <w:rsid w:val="008E1F3B"/>
    <w:rsid w:val="008E230E"/>
    <w:rsid w:val="008E3863"/>
    <w:rsid w:val="008E3B2C"/>
    <w:rsid w:val="008E3CD0"/>
    <w:rsid w:val="008E4150"/>
    <w:rsid w:val="008E46D5"/>
    <w:rsid w:val="008E4A82"/>
    <w:rsid w:val="008E4A83"/>
    <w:rsid w:val="008E53BF"/>
    <w:rsid w:val="008E581D"/>
    <w:rsid w:val="008E58C2"/>
    <w:rsid w:val="008E5948"/>
    <w:rsid w:val="008E62D6"/>
    <w:rsid w:val="008E6C48"/>
    <w:rsid w:val="008E7336"/>
    <w:rsid w:val="008E749F"/>
    <w:rsid w:val="008E7E3B"/>
    <w:rsid w:val="008F003F"/>
    <w:rsid w:val="008F0568"/>
    <w:rsid w:val="008F0733"/>
    <w:rsid w:val="008F0E4B"/>
    <w:rsid w:val="008F0F25"/>
    <w:rsid w:val="008F1711"/>
    <w:rsid w:val="008F18B0"/>
    <w:rsid w:val="008F19DE"/>
    <w:rsid w:val="008F2099"/>
    <w:rsid w:val="008F27A2"/>
    <w:rsid w:val="008F2938"/>
    <w:rsid w:val="008F2C6A"/>
    <w:rsid w:val="008F2DF5"/>
    <w:rsid w:val="008F3768"/>
    <w:rsid w:val="008F378F"/>
    <w:rsid w:val="008F389B"/>
    <w:rsid w:val="008F3977"/>
    <w:rsid w:val="008F3AA2"/>
    <w:rsid w:val="008F3C55"/>
    <w:rsid w:val="008F3C64"/>
    <w:rsid w:val="008F40E3"/>
    <w:rsid w:val="008F43A7"/>
    <w:rsid w:val="008F4634"/>
    <w:rsid w:val="008F46CC"/>
    <w:rsid w:val="008F47D6"/>
    <w:rsid w:val="008F4F3E"/>
    <w:rsid w:val="008F4F7F"/>
    <w:rsid w:val="008F5029"/>
    <w:rsid w:val="008F595B"/>
    <w:rsid w:val="008F5B17"/>
    <w:rsid w:val="008F5BCA"/>
    <w:rsid w:val="008F5CCD"/>
    <w:rsid w:val="008F5E56"/>
    <w:rsid w:val="008F64E0"/>
    <w:rsid w:val="008F6E57"/>
    <w:rsid w:val="008F7880"/>
    <w:rsid w:val="008F7D29"/>
    <w:rsid w:val="008F7E05"/>
    <w:rsid w:val="008F7E70"/>
    <w:rsid w:val="008F7EE2"/>
    <w:rsid w:val="009000F9"/>
    <w:rsid w:val="00900606"/>
    <w:rsid w:val="009009AD"/>
    <w:rsid w:val="00900A79"/>
    <w:rsid w:val="00900DBA"/>
    <w:rsid w:val="00901014"/>
    <w:rsid w:val="00901228"/>
    <w:rsid w:val="00901384"/>
    <w:rsid w:val="00901393"/>
    <w:rsid w:val="009014F8"/>
    <w:rsid w:val="00901953"/>
    <w:rsid w:val="00901A99"/>
    <w:rsid w:val="00901F7F"/>
    <w:rsid w:val="0090262B"/>
    <w:rsid w:val="00902AB6"/>
    <w:rsid w:val="00902AD6"/>
    <w:rsid w:val="0090328C"/>
    <w:rsid w:val="00903393"/>
    <w:rsid w:val="00903573"/>
    <w:rsid w:val="00903BAB"/>
    <w:rsid w:val="00903C9C"/>
    <w:rsid w:val="00903DDE"/>
    <w:rsid w:val="00903E84"/>
    <w:rsid w:val="00903EB0"/>
    <w:rsid w:val="00904107"/>
    <w:rsid w:val="00904436"/>
    <w:rsid w:val="0090468E"/>
    <w:rsid w:val="0090470D"/>
    <w:rsid w:val="00904F6D"/>
    <w:rsid w:val="00904FD8"/>
    <w:rsid w:val="0090521F"/>
    <w:rsid w:val="009055AC"/>
    <w:rsid w:val="009058D6"/>
    <w:rsid w:val="0090591E"/>
    <w:rsid w:val="00906536"/>
    <w:rsid w:val="0090653B"/>
    <w:rsid w:val="009066AB"/>
    <w:rsid w:val="00906739"/>
    <w:rsid w:val="00906941"/>
    <w:rsid w:val="00906D8E"/>
    <w:rsid w:val="00906E01"/>
    <w:rsid w:val="009073A0"/>
    <w:rsid w:val="0090742F"/>
    <w:rsid w:val="0090771D"/>
    <w:rsid w:val="009078A7"/>
    <w:rsid w:val="009078FD"/>
    <w:rsid w:val="009100D6"/>
    <w:rsid w:val="0091022E"/>
    <w:rsid w:val="009102FC"/>
    <w:rsid w:val="00910367"/>
    <w:rsid w:val="00910396"/>
    <w:rsid w:val="009104A0"/>
    <w:rsid w:val="009104DD"/>
    <w:rsid w:val="0091091D"/>
    <w:rsid w:val="00910C93"/>
    <w:rsid w:val="00910DB9"/>
    <w:rsid w:val="00910E9B"/>
    <w:rsid w:val="009118D5"/>
    <w:rsid w:val="00911ED1"/>
    <w:rsid w:val="00912139"/>
    <w:rsid w:val="00912254"/>
    <w:rsid w:val="0091328B"/>
    <w:rsid w:val="00913315"/>
    <w:rsid w:val="009135BD"/>
    <w:rsid w:val="0091362C"/>
    <w:rsid w:val="00913845"/>
    <w:rsid w:val="00913DA3"/>
    <w:rsid w:val="0091401D"/>
    <w:rsid w:val="0091405A"/>
    <w:rsid w:val="00914103"/>
    <w:rsid w:val="0091429F"/>
    <w:rsid w:val="009142D2"/>
    <w:rsid w:val="0091430F"/>
    <w:rsid w:val="0091552B"/>
    <w:rsid w:val="0091559D"/>
    <w:rsid w:val="009156BB"/>
    <w:rsid w:val="00915BA1"/>
    <w:rsid w:val="00916130"/>
    <w:rsid w:val="009161AD"/>
    <w:rsid w:val="009162AE"/>
    <w:rsid w:val="009167DC"/>
    <w:rsid w:val="00916B53"/>
    <w:rsid w:val="00916BCC"/>
    <w:rsid w:val="00916C08"/>
    <w:rsid w:val="00917083"/>
    <w:rsid w:val="00917304"/>
    <w:rsid w:val="009174FE"/>
    <w:rsid w:val="009176D5"/>
    <w:rsid w:val="00917DBF"/>
    <w:rsid w:val="00917E80"/>
    <w:rsid w:val="00917F57"/>
    <w:rsid w:val="00920043"/>
    <w:rsid w:val="00920264"/>
    <w:rsid w:val="0092030B"/>
    <w:rsid w:val="009204C8"/>
    <w:rsid w:val="0092054B"/>
    <w:rsid w:val="009208DE"/>
    <w:rsid w:val="00920A0F"/>
    <w:rsid w:val="00920A87"/>
    <w:rsid w:val="00920A8A"/>
    <w:rsid w:val="00920DBD"/>
    <w:rsid w:val="00920DEB"/>
    <w:rsid w:val="00920DFD"/>
    <w:rsid w:val="00920FCE"/>
    <w:rsid w:val="0092107E"/>
    <w:rsid w:val="0092169A"/>
    <w:rsid w:val="00921A3D"/>
    <w:rsid w:val="00921CFB"/>
    <w:rsid w:val="00921E4E"/>
    <w:rsid w:val="009223F4"/>
    <w:rsid w:val="009224A8"/>
    <w:rsid w:val="009228FD"/>
    <w:rsid w:val="00922B79"/>
    <w:rsid w:val="00922C86"/>
    <w:rsid w:val="00922D5D"/>
    <w:rsid w:val="00922E6F"/>
    <w:rsid w:val="00923313"/>
    <w:rsid w:val="0092349A"/>
    <w:rsid w:val="009238DA"/>
    <w:rsid w:val="00923B43"/>
    <w:rsid w:val="00923B8C"/>
    <w:rsid w:val="00924227"/>
    <w:rsid w:val="009243EF"/>
    <w:rsid w:val="00924629"/>
    <w:rsid w:val="00924639"/>
    <w:rsid w:val="009246E8"/>
    <w:rsid w:val="00924A58"/>
    <w:rsid w:val="00924B2C"/>
    <w:rsid w:val="009252FE"/>
    <w:rsid w:val="00925506"/>
    <w:rsid w:val="009255E4"/>
    <w:rsid w:val="00925649"/>
    <w:rsid w:val="009257E8"/>
    <w:rsid w:val="00925956"/>
    <w:rsid w:val="009259ED"/>
    <w:rsid w:val="00925B42"/>
    <w:rsid w:val="00925CC2"/>
    <w:rsid w:val="00926060"/>
    <w:rsid w:val="00926315"/>
    <w:rsid w:val="009263E0"/>
    <w:rsid w:val="00926532"/>
    <w:rsid w:val="00926844"/>
    <w:rsid w:val="0092688D"/>
    <w:rsid w:val="00926918"/>
    <w:rsid w:val="00926D54"/>
    <w:rsid w:val="00926EFC"/>
    <w:rsid w:val="009275B6"/>
    <w:rsid w:val="00927623"/>
    <w:rsid w:val="00927A96"/>
    <w:rsid w:val="00927FF8"/>
    <w:rsid w:val="0093029D"/>
    <w:rsid w:val="009305D3"/>
    <w:rsid w:val="009307E1"/>
    <w:rsid w:val="0093089B"/>
    <w:rsid w:val="009308A2"/>
    <w:rsid w:val="00930900"/>
    <w:rsid w:val="00930A48"/>
    <w:rsid w:val="00930BEC"/>
    <w:rsid w:val="00930FF7"/>
    <w:rsid w:val="00931388"/>
    <w:rsid w:val="009314A5"/>
    <w:rsid w:val="00931678"/>
    <w:rsid w:val="0093191A"/>
    <w:rsid w:val="00931A6D"/>
    <w:rsid w:val="00931F79"/>
    <w:rsid w:val="00932290"/>
    <w:rsid w:val="00932306"/>
    <w:rsid w:val="009324C4"/>
    <w:rsid w:val="0093294F"/>
    <w:rsid w:val="00932B66"/>
    <w:rsid w:val="0093312B"/>
    <w:rsid w:val="00933339"/>
    <w:rsid w:val="009335CB"/>
    <w:rsid w:val="00933A17"/>
    <w:rsid w:val="00933BE4"/>
    <w:rsid w:val="00933C47"/>
    <w:rsid w:val="009340D5"/>
    <w:rsid w:val="00934B62"/>
    <w:rsid w:val="00934BE1"/>
    <w:rsid w:val="00934D7B"/>
    <w:rsid w:val="009352FC"/>
    <w:rsid w:val="00935341"/>
    <w:rsid w:val="009353BE"/>
    <w:rsid w:val="0093543F"/>
    <w:rsid w:val="0093555C"/>
    <w:rsid w:val="009355E3"/>
    <w:rsid w:val="00935676"/>
    <w:rsid w:val="009356AA"/>
    <w:rsid w:val="00935910"/>
    <w:rsid w:val="00935924"/>
    <w:rsid w:val="00935B3A"/>
    <w:rsid w:val="00935F4F"/>
    <w:rsid w:val="0093605F"/>
    <w:rsid w:val="00936109"/>
    <w:rsid w:val="009362C5"/>
    <w:rsid w:val="0093639B"/>
    <w:rsid w:val="009363C1"/>
    <w:rsid w:val="00936732"/>
    <w:rsid w:val="009374A2"/>
    <w:rsid w:val="009376DD"/>
    <w:rsid w:val="00937A4C"/>
    <w:rsid w:val="00937C78"/>
    <w:rsid w:val="0094026A"/>
    <w:rsid w:val="0094029F"/>
    <w:rsid w:val="00940AB5"/>
    <w:rsid w:val="00941078"/>
    <w:rsid w:val="00941440"/>
    <w:rsid w:val="009415FE"/>
    <w:rsid w:val="0094161B"/>
    <w:rsid w:val="009417D7"/>
    <w:rsid w:val="009418B2"/>
    <w:rsid w:val="00941CA4"/>
    <w:rsid w:val="00941CF5"/>
    <w:rsid w:val="00942231"/>
    <w:rsid w:val="0094253D"/>
    <w:rsid w:val="00942932"/>
    <w:rsid w:val="00942A67"/>
    <w:rsid w:val="00942EC9"/>
    <w:rsid w:val="00942FFA"/>
    <w:rsid w:val="00943168"/>
    <w:rsid w:val="00943C79"/>
    <w:rsid w:val="00943D3E"/>
    <w:rsid w:val="009441E4"/>
    <w:rsid w:val="00944220"/>
    <w:rsid w:val="0094445C"/>
    <w:rsid w:val="00944F9C"/>
    <w:rsid w:val="00944FCF"/>
    <w:rsid w:val="00945828"/>
    <w:rsid w:val="00945AFE"/>
    <w:rsid w:val="00945C12"/>
    <w:rsid w:val="00945CDC"/>
    <w:rsid w:val="009461CB"/>
    <w:rsid w:val="0094641F"/>
    <w:rsid w:val="0094643C"/>
    <w:rsid w:val="00946755"/>
    <w:rsid w:val="00946AF5"/>
    <w:rsid w:val="00946CBB"/>
    <w:rsid w:val="00946D99"/>
    <w:rsid w:val="00946F13"/>
    <w:rsid w:val="00947292"/>
    <w:rsid w:val="00947A13"/>
    <w:rsid w:val="0095088A"/>
    <w:rsid w:val="00950B89"/>
    <w:rsid w:val="00950C51"/>
    <w:rsid w:val="00950D3F"/>
    <w:rsid w:val="00950E7F"/>
    <w:rsid w:val="00950FA6"/>
    <w:rsid w:val="009511BB"/>
    <w:rsid w:val="00951345"/>
    <w:rsid w:val="009514E5"/>
    <w:rsid w:val="009515B1"/>
    <w:rsid w:val="00951821"/>
    <w:rsid w:val="009518D1"/>
    <w:rsid w:val="00951D97"/>
    <w:rsid w:val="00951FEC"/>
    <w:rsid w:val="00952239"/>
    <w:rsid w:val="00952391"/>
    <w:rsid w:val="00952A15"/>
    <w:rsid w:val="00953140"/>
    <w:rsid w:val="00953144"/>
    <w:rsid w:val="0095320A"/>
    <w:rsid w:val="009534A1"/>
    <w:rsid w:val="009534C3"/>
    <w:rsid w:val="009538BB"/>
    <w:rsid w:val="00953B81"/>
    <w:rsid w:val="00953DC0"/>
    <w:rsid w:val="00953DC9"/>
    <w:rsid w:val="0095402B"/>
    <w:rsid w:val="0095420D"/>
    <w:rsid w:val="009544F8"/>
    <w:rsid w:val="009546C3"/>
    <w:rsid w:val="00954727"/>
    <w:rsid w:val="00954AF7"/>
    <w:rsid w:val="00954C5F"/>
    <w:rsid w:val="00954D23"/>
    <w:rsid w:val="00954DB0"/>
    <w:rsid w:val="00954E32"/>
    <w:rsid w:val="009552F2"/>
    <w:rsid w:val="00955434"/>
    <w:rsid w:val="00955487"/>
    <w:rsid w:val="0095574B"/>
    <w:rsid w:val="00955AFD"/>
    <w:rsid w:val="00955D78"/>
    <w:rsid w:val="0095678D"/>
    <w:rsid w:val="00956810"/>
    <w:rsid w:val="00956BDC"/>
    <w:rsid w:val="00956C43"/>
    <w:rsid w:val="00956DEE"/>
    <w:rsid w:val="00956E07"/>
    <w:rsid w:val="00957009"/>
    <w:rsid w:val="009571D3"/>
    <w:rsid w:val="009572BA"/>
    <w:rsid w:val="009573D8"/>
    <w:rsid w:val="00957521"/>
    <w:rsid w:val="00957717"/>
    <w:rsid w:val="00957E6C"/>
    <w:rsid w:val="0096049E"/>
    <w:rsid w:val="009605F5"/>
    <w:rsid w:val="00960A30"/>
    <w:rsid w:val="00960B16"/>
    <w:rsid w:val="00960D57"/>
    <w:rsid w:val="00961044"/>
    <w:rsid w:val="00961503"/>
    <w:rsid w:val="00961690"/>
    <w:rsid w:val="009616C1"/>
    <w:rsid w:val="009616D4"/>
    <w:rsid w:val="009619AC"/>
    <w:rsid w:val="00961CAF"/>
    <w:rsid w:val="00961E3E"/>
    <w:rsid w:val="009623A0"/>
    <w:rsid w:val="0096248E"/>
    <w:rsid w:val="009624D3"/>
    <w:rsid w:val="00962A9B"/>
    <w:rsid w:val="00962D45"/>
    <w:rsid w:val="00962D59"/>
    <w:rsid w:val="00962EA0"/>
    <w:rsid w:val="0096300F"/>
    <w:rsid w:val="009635B2"/>
    <w:rsid w:val="009635C6"/>
    <w:rsid w:val="0096369A"/>
    <w:rsid w:val="00963B2E"/>
    <w:rsid w:val="00963C14"/>
    <w:rsid w:val="00963DC8"/>
    <w:rsid w:val="00963FD2"/>
    <w:rsid w:val="0096406F"/>
    <w:rsid w:val="009641EA"/>
    <w:rsid w:val="009642B5"/>
    <w:rsid w:val="009642E8"/>
    <w:rsid w:val="009646EF"/>
    <w:rsid w:val="0096477C"/>
    <w:rsid w:val="009648A4"/>
    <w:rsid w:val="00964C8D"/>
    <w:rsid w:val="00964DF9"/>
    <w:rsid w:val="00964EA9"/>
    <w:rsid w:val="009650D6"/>
    <w:rsid w:val="0096536F"/>
    <w:rsid w:val="00965380"/>
    <w:rsid w:val="009653F6"/>
    <w:rsid w:val="0096548B"/>
    <w:rsid w:val="00965546"/>
    <w:rsid w:val="009656A1"/>
    <w:rsid w:val="00965EA4"/>
    <w:rsid w:val="009662BD"/>
    <w:rsid w:val="0096647F"/>
    <w:rsid w:val="00966600"/>
    <w:rsid w:val="009668D8"/>
    <w:rsid w:val="00966BDA"/>
    <w:rsid w:val="00966D61"/>
    <w:rsid w:val="00966E6E"/>
    <w:rsid w:val="00966F67"/>
    <w:rsid w:val="009678BA"/>
    <w:rsid w:val="00970064"/>
    <w:rsid w:val="009700C0"/>
    <w:rsid w:val="00970339"/>
    <w:rsid w:val="0097033D"/>
    <w:rsid w:val="00970382"/>
    <w:rsid w:val="009707F4"/>
    <w:rsid w:val="00970B3B"/>
    <w:rsid w:val="00970C26"/>
    <w:rsid w:val="00970E23"/>
    <w:rsid w:val="00970EA0"/>
    <w:rsid w:val="009713B7"/>
    <w:rsid w:val="0097152B"/>
    <w:rsid w:val="00971937"/>
    <w:rsid w:val="00971C08"/>
    <w:rsid w:val="00971CAF"/>
    <w:rsid w:val="00971D3F"/>
    <w:rsid w:val="00971D8B"/>
    <w:rsid w:val="00971E25"/>
    <w:rsid w:val="00972431"/>
    <w:rsid w:val="00972BC7"/>
    <w:rsid w:val="00972EE3"/>
    <w:rsid w:val="00973568"/>
    <w:rsid w:val="00973711"/>
    <w:rsid w:val="0097376D"/>
    <w:rsid w:val="00973C2A"/>
    <w:rsid w:val="00973C41"/>
    <w:rsid w:val="00973F2E"/>
    <w:rsid w:val="00973F3E"/>
    <w:rsid w:val="00973F79"/>
    <w:rsid w:val="0097419E"/>
    <w:rsid w:val="0097428A"/>
    <w:rsid w:val="00974536"/>
    <w:rsid w:val="0097458F"/>
    <w:rsid w:val="00974AB5"/>
    <w:rsid w:val="00974BC1"/>
    <w:rsid w:val="00974D10"/>
    <w:rsid w:val="00974E5D"/>
    <w:rsid w:val="00975440"/>
    <w:rsid w:val="0097546B"/>
    <w:rsid w:val="009756FE"/>
    <w:rsid w:val="00975725"/>
    <w:rsid w:val="00975A77"/>
    <w:rsid w:val="00975C33"/>
    <w:rsid w:val="00975F6A"/>
    <w:rsid w:val="00976363"/>
    <w:rsid w:val="0097652F"/>
    <w:rsid w:val="0097660E"/>
    <w:rsid w:val="00976880"/>
    <w:rsid w:val="0097688F"/>
    <w:rsid w:val="00976AD6"/>
    <w:rsid w:val="00977171"/>
    <w:rsid w:val="0097762E"/>
    <w:rsid w:val="00977799"/>
    <w:rsid w:val="00977D10"/>
    <w:rsid w:val="00977DD2"/>
    <w:rsid w:val="00977E7C"/>
    <w:rsid w:val="0098020E"/>
    <w:rsid w:val="00980375"/>
    <w:rsid w:val="00980891"/>
    <w:rsid w:val="00980C83"/>
    <w:rsid w:val="00980E0D"/>
    <w:rsid w:val="00980E8E"/>
    <w:rsid w:val="0098106C"/>
    <w:rsid w:val="0098136C"/>
    <w:rsid w:val="0098139B"/>
    <w:rsid w:val="009817A0"/>
    <w:rsid w:val="00981D6D"/>
    <w:rsid w:val="009820A7"/>
    <w:rsid w:val="009820DC"/>
    <w:rsid w:val="00982158"/>
    <w:rsid w:val="009821C5"/>
    <w:rsid w:val="00982802"/>
    <w:rsid w:val="009828FE"/>
    <w:rsid w:val="00982A0A"/>
    <w:rsid w:val="00982AA2"/>
    <w:rsid w:val="00983128"/>
    <w:rsid w:val="009835AB"/>
    <w:rsid w:val="009836B4"/>
    <w:rsid w:val="00983A6F"/>
    <w:rsid w:val="00983C21"/>
    <w:rsid w:val="00983CAB"/>
    <w:rsid w:val="00984039"/>
    <w:rsid w:val="0098454E"/>
    <w:rsid w:val="00984F30"/>
    <w:rsid w:val="00984F93"/>
    <w:rsid w:val="00985237"/>
    <w:rsid w:val="00985338"/>
    <w:rsid w:val="009855C5"/>
    <w:rsid w:val="0098590B"/>
    <w:rsid w:val="009862EA"/>
    <w:rsid w:val="0098665F"/>
    <w:rsid w:val="0098728C"/>
    <w:rsid w:val="009872AA"/>
    <w:rsid w:val="009873C2"/>
    <w:rsid w:val="00987418"/>
    <w:rsid w:val="00987497"/>
    <w:rsid w:val="009875D0"/>
    <w:rsid w:val="0098774A"/>
    <w:rsid w:val="0098777D"/>
    <w:rsid w:val="0098792E"/>
    <w:rsid w:val="00987ACB"/>
    <w:rsid w:val="00987AEF"/>
    <w:rsid w:val="00987BED"/>
    <w:rsid w:val="00987C77"/>
    <w:rsid w:val="00987DD1"/>
    <w:rsid w:val="00987F46"/>
    <w:rsid w:val="009902C5"/>
    <w:rsid w:val="00990D22"/>
    <w:rsid w:val="00990D3D"/>
    <w:rsid w:val="00990F73"/>
    <w:rsid w:val="00991043"/>
    <w:rsid w:val="00991751"/>
    <w:rsid w:val="00991964"/>
    <w:rsid w:val="009920FD"/>
    <w:rsid w:val="009921B5"/>
    <w:rsid w:val="009921CA"/>
    <w:rsid w:val="00992381"/>
    <w:rsid w:val="00992687"/>
    <w:rsid w:val="00992FFA"/>
    <w:rsid w:val="009936A5"/>
    <w:rsid w:val="009937A8"/>
    <w:rsid w:val="00993CB3"/>
    <w:rsid w:val="00993CC4"/>
    <w:rsid w:val="00994639"/>
    <w:rsid w:val="00994781"/>
    <w:rsid w:val="00994D4B"/>
    <w:rsid w:val="00994FA9"/>
    <w:rsid w:val="009950A5"/>
    <w:rsid w:val="009950BE"/>
    <w:rsid w:val="00995367"/>
    <w:rsid w:val="009954EC"/>
    <w:rsid w:val="009957BD"/>
    <w:rsid w:val="009958AF"/>
    <w:rsid w:val="00995C64"/>
    <w:rsid w:val="00995D6F"/>
    <w:rsid w:val="00995EE2"/>
    <w:rsid w:val="00996057"/>
    <w:rsid w:val="00996A58"/>
    <w:rsid w:val="00996A9A"/>
    <w:rsid w:val="00997140"/>
    <w:rsid w:val="009971DB"/>
    <w:rsid w:val="009976A3"/>
    <w:rsid w:val="00997852"/>
    <w:rsid w:val="00997B35"/>
    <w:rsid w:val="00997B50"/>
    <w:rsid w:val="00997BD2"/>
    <w:rsid w:val="00997E8A"/>
    <w:rsid w:val="009A0072"/>
    <w:rsid w:val="009A01FA"/>
    <w:rsid w:val="009A0467"/>
    <w:rsid w:val="009A0474"/>
    <w:rsid w:val="009A049A"/>
    <w:rsid w:val="009A0562"/>
    <w:rsid w:val="009A06E7"/>
    <w:rsid w:val="009A0A01"/>
    <w:rsid w:val="009A0F24"/>
    <w:rsid w:val="009A16C1"/>
    <w:rsid w:val="009A1788"/>
    <w:rsid w:val="009A1879"/>
    <w:rsid w:val="009A1A3E"/>
    <w:rsid w:val="009A1AF7"/>
    <w:rsid w:val="009A1BEA"/>
    <w:rsid w:val="009A232F"/>
    <w:rsid w:val="009A23C8"/>
    <w:rsid w:val="009A2433"/>
    <w:rsid w:val="009A29E6"/>
    <w:rsid w:val="009A2D9B"/>
    <w:rsid w:val="009A4080"/>
    <w:rsid w:val="009A4204"/>
    <w:rsid w:val="009A45DB"/>
    <w:rsid w:val="009A4941"/>
    <w:rsid w:val="009A4996"/>
    <w:rsid w:val="009A4BDF"/>
    <w:rsid w:val="009A4C81"/>
    <w:rsid w:val="009A4EB7"/>
    <w:rsid w:val="009A4F86"/>
    <w:rsid w:val="009A5087"/>
    <w:rsid w:val="009A57ED"/>
    <w:rsid w:val="009A584C"/>
    <w:rsid w:val="009A60D2"/>
    <w:rsid w:val="009A6212"/>
    <w:rsid w:val="009A6956"/>
    <w:rsid w:val="009A6C7C"/>
    <w:rsid w:val="009A71C0"/>
    <w:rsid w:val="009A7870"/>
    <w:rsid w:val="009A79C5"/>
    <w:rsid w:val="009A7DBC"/>
    <w:rsid w:val="009A7F35"/>
    <w:rsid w:val="009B0029"/>
    <w:rsid w:val="009B05DD"/>
    <w:rsid w:val="009B0ABE"/>
    <w:rsid w:val="009B0D39"/>
    <w:rsid w:val="009B0F61"/>
    <w:rsid w:val="009B10B2"/>
    <w:rsid w:val="009B1724"/>
    <w:rsid w:val="009B20B4"/>
    <w:rsid w:val="009B2123"/>
    <w:rsid w:val="009B23F6"/>
    <w:rsid w:val="009B2543"/>
    <w:rsid w:val="009B26AA"/>
    <w:rsid w:val="009B2C74"/>
    <w:rsid w:val="009B2E00"/>
    <w:rsid w:val="009B2E0B"/>
    <w:rsid w:val="009B37CD"/>
    <w:rsid w:val="009B3826"/>
    <w:rsid w:val="009B3939"/>
    <w:rsid w:val="009B3B43"/>
    <w:rsid w:val="009B3E9D"/>
    <w:rsid w:val="009B3EA9"/>
    <w:rsid w:val="009B4169"/>
    <w:rsid w:val="009B4358"/>
    <w:rsid w:val="009B43AB"/>
    <w:rsid w:val="009B453E"/>
    <w:rsid w:val="009B455F"/>
    <w:rsid w:val="009B46A2"/>
    <w:rsid w:val="009B493C"/>
    <w:rsid w:val="009B4BC5"/>
    <w:rsid w:val="009B4CB6"/>
    <w:rsid w:val="009B4ED0"/>
    <w:rsid w:val="009B53E7"/>
    <w:rsid w:val="009B5C29"/>
    <w:rsid w:val="009B5EDC"/>
    <w:rsid w:val="009B602B"/>
    <w:rsid w:val="009B6131"/>
    <w:rsid w:val="009B635B"/>
    <w:rsid w:val="009B6698"/>
    <w:rsid w:val="009B687D"/>
    <w:rsid w:val="009B6946"/>
    <w:rsid w:val="009B6A97"/>
    <w:rsid w:val="009B6DEC"/>
    <w:rsid w:val="009B7088"/>
    <w:rsid w:val="009B7148"/>
    <w:rsid w:val="009B74C0"/>
    <w:rsid w:val="009B7BEA"/>
    <w:rsid w:val="009B7D4D"/>
    <w:rsid w:val="009C0017"/>
    <w:rsid w:val="009C0541"/>
    <w:rsid w:val="009C0633"/>
    <w:rsid w:val="009C0974"/>
    <w:rsid w:val="009C0B4D"/>
    <w:rsid w:val="009C0C0B"/>
    <w:rsid w:val="009C0C79"/>
    <w:rsid w:val="009C0CB9"/>
    <w:rsid w:val="009C0ECF"/>
    <w:rsid w:val="009C12D5"/>
    <w:rsid w:val="009C160E"/>
    <w:rsid w:val="009C17C1"/>
    <w:rsid w:val="009C197D"/>
    <w:rsid w:val="009C1BBD"/>
    <w:rsid w:val="009C1C9C"/>
    <w:rsid w:val="009C1EA8"/>
    <w:rsid w:val="009C1FA4"/>
    <w:rsid w:val="009C25EC"/>
    <w:rsid w:val="009C2883"/>
    <w:rsid w:val="009C28F4"/>
    <w:rsid w:val="009C29E8"/>
    <w:rsid w:val="009C2D83"/>
    <w:rsid w:val="009C2DA5"/>
    <w:rsid w:val="009C30BA"/>
    <w:rsid w:val="009C31C9"/>
    <w:rsid w:val="009C32DC"/>
    <w:rsid w:val="009C3327"/>
    <w:rsid w:val="009C3901"/>
    <w:rsid w:val="009C3BB0"/>
    <w:rsid w:val="009C3E90"/>
    <w:rsid w:val="009C3FFD"/>
    <w:rsid w:val="009C42E8"/>
    <w:rsid w:val="009C4428"/>
    <w:rsid w:val="009C4439"/>
    <w:rsid w:val="009C5004"/>
    <w:rsid w:val="009C516D"/>
    <w:rsid w:val="009C51A9"/>
    <w:rsid w:val="009C53E1"/>
    <w:rsid w:val="009C563C"/>
    <w:rsid w:val="009C5716"/>
    <w:rsid w:val="009C5984"/>
    <w:rsid w:val="009C59D8"/>
    <w:rsid w:val="009C5AE0"/>
    <w:rsid w:val="009C61F9"/>
    <w:rsid w:val="009C6330"/>
    <w:rsid w:val="009C64EC"/>
    <w:rsid w:val="009C6502"/>
    <w:rsid w:val="009C6794"/>
    <w:rsid w:val="009C67A1"/>
    <w:rsid w:val="009C6941"/>
    <w:rsid w:val="009C7380"/>
    <w:rsid w:val="009C7823"/>
    <w:rsid w:val="009C7B01"/>
    <w:rsid w:val="009D0106"/>
    <w:rsid w:val="009D02B3"/>
    <w:rsid w:val="009D0410"/>
    <w:rsid w:val="009D08D6"/>
    <w:rsid w:val="009D0FEB"/>
    <w:rsid w:val="009D1345"/>
    <w:rsid w:val="009D162D"/>
    <w:rsid w:val="009D1707"/>
    <w:rsid w:val="009D1881"/>
    <w:rsid w:val="009D1E61"/>
    <w:rsid w:val="009D1F26"/>
    <w:rsid w:val="009D237F"/>
    <w:rsid w:val="009D2890"/>
    <w:rsid w:val="009D2F9A"/>
    <w:rsid w:val="009D2FA2"/>
    <w:rsid w:val="009D31C6"/>
    <w:rsid w:val="009D32F6"/>
    <w:rsid w:val="009D361F"/>
    <w:rsid w:val="009D38F0"/>
    <w:rsid w:val="009D3905"/>
    <w:rsid w:val="009D391E"/>
    <w:rsid w:val="009D39BA"/>
    <w:rsid w:val="009D3BAD"/>
    <w:rsid w:val="009D3DF0"/>
    <w:rsid w:val="009D406D"/>
    <w:rsid w:val="009D4247"/>
    <w:rsid w:val="009D4691"/>
    <w:rsid w:val="009D4974"/>
    <w:rsid w:val="009D4AD9"/>
    <w:rsid w:val="009D4AFC"/>
    <w:rsid w:val="009D4BFC"/>
    <w:rsid w:val="009D4D8A"/>
    <w:rsid w:val="009D5529"/>
    <w:rsid w:val="009D6639"/>
    <w:rsid w:val="009D69FD"/>
    <w:rsid w:val="009D6A0D"/>
    <w:rsid w:val="009D6C83"/>
    <w:rsid w:val="009D6FEB"/>
    <w:rsid w:val="009D746F"/>
    <w:rsid w:val="009D7648"/>
    <w:rsid w:val="009D76DE"/>
    <w:rsid w:val="009D7946"/>
    <w:rsid w:val="009D7EFC"/>
    <w:rsid w:val="009E0002"/>
    <w:rsid w:val="009E00F8"/>
    <w:rsid w:val="009E024A"/>
    <w:rsid w:val="009E0668"/>
    <w:rsid w:val="009E093F"/>
    <w:rsid w:val="009E0ACC"/>
    <w:rsid w:val="009E0D01"/>
    <w:rsid w:val="009E0D9E"/>
    <w:rsid w:val="009E0FF7"/>
    <w:rsid w:val="009E1359"/>
    <w:rsid w:val="009E1BFC"/>
    <w:rsid w:val="009E1C47"/>
    <w:rsid w:val="009E1EBC"/>
    <w:rsid w:val="009E1EE2"/>
    <w:rsid w:val="009E23DE"/>
    <w:rsid w:val="009E27CC"/>
    <w:rsid w:val="009E2902"/>
    <w:rsid w:val="009E292C"/>
    <w:rsid w:val="009E2A71"/>
    <w:rsid w:val="009E2B56"/>
    <w:rsid w:val="009E2C94"/>
    <w:rsid w:val="009E2D54"/>
    <w:rsid w:val="009E2FA5"/>
    <w:rsid w:val="009E379D"/>
    <w:rsid w:val="009E40AC"/>
    <w:rsid w:val="009E41BD"/>
    <w:rsid w:val="009E47D3"/>
    <w:rsid w:val="009E4AD3"/>
    <w:rsid w:val="009E4CA7"/>
    <w:rsid w:val="009E5674"/>
    <w:rsid w:val="009E5A85"/>
    <w:rsid w:val="009E5CEF"/>
    <w:rsid w:val="009E63C5"/>
    <w:rsid w:val="009E66E8"/>
    <w:rsid w:val="009E6B6A"/>
    <w:rsid w:val="009E6C9A"/>
    <w:rsid w:val="009E6E8F"/>
    <w:rsid w:val="009E73BF"/>
    <w:rsid w:val="009E74DF"/>
    <w:rsid w:val="009E74ED"/>
    <w:rsid w:val="009E753D"/>
    <w:rsid w:val="009E7646"/>
    <w:rsid w:val="009E7A7E"/>
    <w:rsid w:val="009E7D10"/>
    <w:rsid w:val="009E7DAC"/>
    <w:rsid w:val="009E7FF3"/>
    <w:rsid w:val="009F005B"/>
    <w:rsid w:val="009F0112"/>
    <w:rsid w:val="009F02DE"/>
    <w:rsid w:val="009F04BA"/>
    <w:rsid w:val="009F06B4"/>
    <w:rsid w:val="009F074D"/>
    <w:rsid w:val="009F08AC"/>
    <w:rsid w:val="009F0A48"/>
    <w:rsid w:val="009F0AF9"/>
    <w:rsid w:val="009F0F35"/>
    <w:rsid w:val="009F1A38"/>
    <w:rsid w:val="009F1F00"/>
    <w:rsid w:val="009F205A"/>
    <w:rsid w:val="009F270A"/>
    <w:rsid w:val="009F29A3"/>
    <w:rsid w:val="009F2F58"/>
    <w:rsid w:val="009F3342"/>
    <w:rsid w:val="009F3AD2"/>
    <w:rsid w:val="009F3E6F"/>
    <w:rsid w:val="009F432B"/>
    <w:rsid w:val="009F4693"/>
    <w:rsid w:val="009F46AE"/>
    <w:rsid w:val="009F4A18"/>
    <w:rsid w:val="009F4F45"/>
    <w:rsid w:val="009F541E"/>
    <w:rsid w:val="009F5702"/>
    <w:rsid w:val="009F5729"/>
    <w:rsid w:val="009F5CB1"/>
    <w:rsid w:val="009F5DEE"/>
    <w:rsid w:val="009F5E8B"/>
    <w:rsid w:val="009F6160"/>
    <w:rsid w:val="009F65C9"/>
    <w:rsid w:val="009F668B"/>
    <w:rsid w:val="009F66E9"/>
    <w:rsid w:val="009F6E1A"/>
    <w:rsid w:val="009F7286"/>
    <w:rsid w:val="009F7482"/>
    <w:rsid w:val="009F7738"/>
    <w:rsid w:val="009F78EE"/>
    <w:rsid w:val="00A00104"/>
    <w:rsid w:val="00A00180"/>
    <w:rsid w:val="00A00182"/>
    <w:rsid w:val="00A00408"/>
    <w:rsid w:val="00A004A9"/>
    <w:rsid w:val="00A004C2"/>
    <w:rsid w:val="00A00521"/>
    <w:rsid w:val="00A00D2C"/>
    <w:rsid w:val="00A00E28"/>
    <w:rsid w:val="00A018A6"/>
    <w:rsid w:val="00A01E76"/>
    <w:rsid w:val="00A02153"/>
    <w:rsid w:val="00A024BA"/>
    <w:rsid w:val="00A02AD3"/>
    <w:rsid w:val="00A02F09"/>
    <w:rsid w:val="00A0309D"/>
    <w:rsid w:val="00A031D2"/>
    <w:rsid w:val="00A032DE"/>
    <w:rsid w:val="00A03468"/>
    <w:rsid w:val="00A035AB"/>
    <w:rsid w:val="00A0369D"/>
    <w:rsid w:val="00A03908"/>
    <w:rsid w:val="00A039A5"/>
    <w:rsid w:val="00A03B48"/>
    <w:rsid w:val="00A03E57"/>
    <w:rsid w:val="00A043C4"/>
    <w:rsid w:val="00A0445A"/>
    <w:rsid w:val="00A0499A"/>
    <w:rsid w:val="00A051C3"/>
    <w:rsid w:val="00A05A24"/>
    <w:rsid w:val="00A05BF2"/>
    <w:rsid w:val="00A05E90"/>
    <w:rsid w:val="00A05ECD"/>
    <w:rsid w:val="00A06221"/>
    <w:rsid w:val="00A06389"/>
    <w:rsid w:val="00A06799"/>
    <w:rsid w:val="00A06954"/>
    <w:rsid w:val="00A0696A"/>
    <w:rsid w:val="00A06CC1"/>
    <w:rsid w:val="00A06D79"/>
    <w:rsid w:val="00A06DFA"/>
    <w:rsid w:val="00A06E73"/>
    <w:rsid w:val="00A06FE1"/>
    <w:rsid w:val="00A07368"/>
    <w:rsid w:val="00A074A6"/>
    <w:rsid w:val="00A07518"/>
    <w:rsid w:val="00A07558"/>
    <w:rsid w:val="00A07578"/>
    <w:rsid w:val="00A07604"/>
    <w:rsid w:val="00A076CE"/>
    <w:rsid w:val="00A07796"/>
    <w:rsid w:val="00A078F3"/>
    <w:rsid w:val="00A07951"/>
    <w:rsid w:val="00A07B2F"/>
    <w:rsid w:val="00A07C17"/>
    <w:rsid w:val="00A07C3E"/>
    <w:rsid w:val="00A07FB4"/>
    <w:rsid w:val="00A101D1"/>
    <w:rsid w:val="00A102D5"/>
    <w:rsid w:val="00A105D7"/>
    <w:rsid w:val="00A107A7"/>
    <w:rsid w:val="00A10860"/>
    <w:rsid w:val="00A10C3C"/>
    <w:rsid w:val="00A10CE7"/>
    <w:rsid w:val="00A1125B"/>
    <w:rsid w:val="00A11817"/>
    <w:rsid w:val="00A1189D"/>
    <w:rsid w:val="00A11948"/>
    <w:rsid w:val="00A119DE"/>
    <w:rsid w:val="00A11ED4"/>
    <w:rsid w:val="00A120E8"/>
    <w:rsid w:val="00A1247C"/>
    <w:rsid w:val="00A12617"/>
    <w:rsid w:val="00A12666"/>
    <w:rsid w:val="00A126C6"/>
    <w:rsid w:val="00A12BC8"/>
    <w:rsid w:val="00A12DE4"/>
    <w:rsid w:val="00A13217"/>
    <w:rsid w:val="00A13AE9"/>
    <w:rsid w:val="00A13C02"/>
    <w:rsid w:val="00A13EEB"/>
    <w:rsid w:val="00A141B8"/>
    <w:rsid w:val="00A142D7"/>
    <w:rsid w:val="00A14355"/>
    <w:rsid w:val="00A143CF"/>
    <w:rsid w:val="00A144C8"/>
    <w:rsid w:val="00A1462E"/>
    <w:rsid w:val="00A147AE"/>
    <w:rsid w:val="00A14E98"/>
    <w:rsid w:val="00A1502C"/>
    <w:rsid w:val="00A15491"/>
    <w:rsid w:val="00A15A43"/>
    <w:rsid w:val="00A15E90"/>
    <w:rsid w:val="00A1691B"/>
    <w:rsid w:val="00A1698F"/>
    <w:rsid w:val="00A16B32"/>
    <w:rsid w:val="00A16C7A"/>
    <w:rsid w:val="00A16EA4"/>
    <w:rsid w:val="00A17386"/>
    <w:rsid w:val="00A1754D"/>
    <w:rsid w:val="00A175ED"/>
    <w:rsid w:val="00A179B3"/>
    <w:rsid w:val="00A17A52"/>
    <w:rsid w:val="00A17B79"/>
    <w:rsid w:val="00A17C66"/>
    <w:rsid w:val="00A17CEC"/>
    <w:rsid w:val="00A17CEE"/>
    <w:rsid w:val="00A17FDA"/>
    <w:rsid w:val="00A20364"/>
    <w:rsid w:val="00A209EA"/>
    <w:rsid w:val="00A20AEA"/>
    <w:rsid w:val="00A20CC3"/>
    <w:rsid w:val="00A20D3B"/>
    <w:rsid w:val="00A20E57"/>
    <w:rsid w:val="00A20EF1"/>
    <w:rsid w:val="00A21056"/>
    <w:rsid w:val="00A2149E"/>
    <w:rsid w:val="00A21710"/>
    <w:rsid w:val="00A2188A"/>
    <w:rsid w:val="00A21BE2"/>
    <w:rsid w:val="00A2238F"/>
    <w:rsid w:val="00A2270F"/>
    <w:rsid w:val="00A2355C"/>
    <w:rsid w:val="00A2364A"/>
    <w:rsid w:val="00A23A3E"/>
    <w:rsid w:val="00A23D40"/>
    <w:rsid w:val="00A23DF5"/>
    <w:rsid w:val="00A24737"/>
    <w:rsid w:val="00A24E53"/>
    <w:rsid w:val="00A2502F"/>
    <w:rsid w:val="00A25129"/>
    <w:rsid w:val="00A25399"/>
    <w:rsid w:val="00A253F4"/>
    <w:rsid w:val="00A254DB"/>
    <w:rsid w:val="00A2593D"/>
    <w:rsid w:val="00A266FD"/>
    <w:rsid w:val="00A26703"/>
    <w:rsid w:val="00A2676C"/>
    <w:rsid w:val="00A26792"/>
    <w:rsid w:val="00A26A03"/>
    <w:rsid w:val="00A26D11"/>
    <w:rsid w:val="00A26DE6"/>
    <w:rsid w:val="00A26ECC"/>
    <w:rsid w:val="00A26EEF"/>
    <w:rsid w:val="00A26F87"/>
    <w:rsid w:val="00A27107"/>
    <w:rsid w:val="00A27979"/>
    <w:rsid w:val="00A27A8E"/>
    <w:rsid w:val="00A300EE"/>
    <w:rsid w:val="00A30766"/>
    <w:rsid w:val="00A3077B"/>
    <w:rsid w:val="00A3093F"/>
    <w:rsid w:val="00A30BEF"/>
    <w:rsid w:val="00A30CA3"/>
    <w:rsid w:val="00A30CC4"/>
    <w:rsid w:val="00A311B2"/>
    <w:rsid w:val="00A313DF"/>
    <w:rsid w:val="00A31633"/>
    <w:rsid w:val="00A3173C"/>
    <w:rsid w:val="00A31969"/>
    <w:rsid w:val="00A31DF4"/>
    <w:rsid w:val="00A3231C"/>
    <w:rsid w:val="00A325AE"/>
    <w:rsid w:val="00A32A2B"/>
    <w:rsid w:val="00A32ABF"/>
    <w:rsid w:val="00A32F6A"/>
    <w:rsid w:val="00A332A9"/>
    <w:rsid w:val="00A33303"/>
    <w:rsid w:val="00A33385"/>
    <w:rsid w:val="00A336F4"/>
    <w:rsid w:val="00A339F8"/>
    <w:rsid w:val="00A342C0"/>
    <w:rsid w:val="00A345B1"/>
    <w:rsid w:val="00A34690"/>
    <w:rsid w:val="00A34783"/>
    <w:rsid w:val="00A34946"/>
    <w:rsid w:val="00A35F36"/>
    <w:rsid w:val="00A35F3D"/>
    <w:rsid w:val="00A35FD4"/>
    <w:rsid w:val="00A360B5"/>
    <w:rsid w:val="00A36B10"/>
    <w:rsid w:val="00A36E5E"/>
    <w:rsid w:val="00A37820"/>
    <w:rsid w:val="00A3799E"/>
    <w:rsid w:val="00A37A0B"/>
    <w:rsid w:val="00A37A14"/>
    <w:rsid w:val="00A37B30"/>
    <w:rsid w:val="00A37DCE"/>
    <w:rsid w:val="00A401A2"/>
    <w:rsid w:val="00A4066A"/>
    <w:rsid w:val="00A407A1"/>
    <w:rsid w:val="00A40DA2"/>
    <w:rsid w:val="00A40DDE"/>
    <w:rsid w:val="00A40E36"/>
    <w:rsid w:val="00A4116F"/>
    <w:rsid w:val="00A41264"/>
    <w:rsid w:val="00A413A9"/>
    <w:rsid w:val="00A41A0D"/>
    <w:rsid w:val="00A41DE2"/>
    <w:rsid w:val="00A41FFB"/>
    <w:rsid w:val="00A42088"/>
    <w:rsid w:val="00A42095"/>
    <w:rsid w:val="00A420D7"/>
    <w:rsid w:val="00A4221F"/>
    <w:rsid w:val="00A4230D"/>
    <w:rsid w:val="00A426E2"/>
    <w:rsid w:val="00A42950"/>
    <w:rsid w:val="00A42994"/>
    <w:rsid w:val="00A429AC"/>
    <w:rsid w:val="00A42A9A"/>
    <w:rsid w:val="00A42BB7"/>
    <w:rsid w:val="00A43332"/>
    <w:rsid w:val="00A43B93"/>
    <w:rsid w:val="00A43D66"/>
    <w:rsid w:val="00A43FB2"/>
    <w:rsid w:val="00A443E6"/>
    <w:rsid w:val="00A44688"/>
    <w:rsid w:val="00A44AB1"/>
    <w:rsid w:val="00A44FF2"/>
    <w:rsid w:val="00A45245"/>
    <w:rsid w:val="00A4557D"/>
    <w:rsid w:val="00A45958"/>
    <w:rsid w:val="00A45A39"/>
    <w:rsid w:val="00A45A56"/>
    <w:rsid w:val="00A45BD9"/>
    <w:rsid w:val="00A45DBA"/>
    <w:rsid w:val="00A464A5"/>
    <w:rsid w:val="00A465E0"/>
    <w:rsid w:val="00A46AB5"/>
    <w:rsid w:val="00A46ABA"/>
    <w:rsid w:val="00A46B62"/>
    <w:rsid w:val="00A46B9F"/>
    <w:rsid w:val="00A46CC7"/>
    <w:rsid w:val="00A46D30"/>
    <w:rsid w:val="00A46DA3"/>
    <w:rsid w:val="00A46E3A"/>
    <w:rsid w:val="00A46FFC"/>
    <w:rsid w:val="00A470C2"/>
    <w:rsid w:val="00A4727E"/>
    <w:rsid w:val="00A4751D"/>
    <w:rsid w:val="00A47A99"/>
    <w:rsid w:val="00A47E5F"/>
    <w:rsid w:val="00A47EED"/>
    <w:rsid w:val="00A47F27"/>
    <w:rsid w:val="00A50466"/>
    <w:rsid w:val="00A50473"/>
    <w:rsid w:val="00A50995"/>
    <w:rsid w:val="00A50F2F"/>
    <w:rsid w:val="00A51A58"/>
    <w:rsid w:val="00A51E37"/>
    <w:rsid w:val="00A5201E"/>
    <w:rsid w:val="00A5300A"/>
    <w:rsid w:val="00A53016"/>
    <w:rsid w:val="00A53040"/>
    <w:rsid w:val="00A5317F"/>
    <w:rsid w:val="00A532AA"/>
    <w:rsid w:val="00A53373"/>
    <w:rsid w:val="00A53422"/>
    <w:rsid w:val="00A534E8"/>
    <w:rsid w:val="00A53916"/>
    <w:rsid w:val="00A53DA3"/>
    <w:rsid w:val="00A541FD"/>
    <w:rsid w:val="00A544C4"/>
    <w:rsid w:val="00A546B8"/>
    <w:rsid w:val="00A5485F"/>
    <w:rsid w:val="00A54914"/>
    <w:rsid w:val="00A54AAA"/>
    <w:rsid w:val="00A54D2D"/>
    <w:rsid w:val="00A54F97"/>
    <w:rsid w:val="00A551C8"/>
    <w:rsid w:val="00A5528A"/>
    <w:rsid w:val="00A556EA"/>
    <w:rsid w:val="00A55950"/>
    <w:rsid w:val="00A55EC7"/>
    <w:rsid w:val="00A55F40"/>
    <w:rsid w:val="00A5635E"/>
    <w:rsid w:val="00A563DC"/>
    <w:rsid w:val="00A5649D"/>
    <w:rsid w:val="00A56787"/>
    <w:rsid w:val="00A56904"/>
    <w:rsid w:val="00A56CB5"/>
    <w:rsid w:val="00A56E11"/>
    <w:rsid w:val="00A5715A"/>
    <w:rsid w:val="00A57BDA"/>
    <w:rsid w:val="00A60025"/>
    <w:rsid w:val="00A60410"/>
    <w:rsid w:val="00A604A5"/>
    <w:rsid w:val="00A608C7"/>
    <w:rsid w:val="00A60B63"/>
    <w:rsid w:val="00A60BDB"/>
    <w:rsid w:val="00A60D7E"/>
    <w:rsid w:val="00A60E6A"/>
    <w:rsid w:val="00A610E8"/>
    <w:rsid w:val="00A615A0"/>
    <w:rsid w:val="00A61730"/>
    <w:rsid w:val="00A618BA"/>
    <w:rsid w:val="00A6194A"/>
    <w:rsid w:val="00A61BA5"/>
    <w:rsid w:val="00A61D83"/>
    <w:rsid w:val="00A61F3E"/>
    <w:rsid w:val="00A61F76"/>
    <w:rsid w:val="00A62DA3"/>
    <w:rsid w:val="00A6314E"/>
    <w:rsid w:val="00A634FD"/>
    <w:rsid w:val="00A63766"/>
    <w:rsid w:val="00A6382B"/>
    <w:rsid w:val="00A63F43"/>
    <w:rsid w:val="00A63FCC"/>
    <w:rsid w:val="00A642F8"/>
    <w:rsid w:val="00A64344"/>
    <w:rsid w:val="00A644B6"/>
    <w:rsid w:val="00A644D6"/>
    <w:rsid w:val="00A648A1"/>
    <w:rsid w:val="00A64B13"/>
    <w:rsid w:val="00A64C4C"/>
    <w:rsid w:val="00A64D61"/>
    <w:rsid w:val="00A653F2"/>
    <w:rsid w:val="00A655B6"/>
    <w:rsid w:val="00A656D7"/>
    <w:rsid w:val="00A65888"/>
    <w:rsid w:val="00A659EB"/>
    <w:rsid w:val="00A65B6C"/>
    <w:rsid w:val="00A65D19"/>
    <w:rsid w:val="00A65F3A"/>
    <w:rsid w:val="00A661C2"/>
    <w:rsid w:val="00A668DC"/>
    <w:rsid w:val="00A66B32"/>
    <w:rsid w:val="00A66C8D"/>
    <w:rsid w:val="00A6707D"/>
    <w:rsid w:val="00A674C2"/>
    <w:rsid w:val="00A67807"/>
    <w:rsid w:val="00A6796D"/>
    <w:rsid w:val="00A67D09"/>
    <w:rsid w:val="00A67D42"/>
    <w:rsid w:val="00A700B3"/>
    <w:rsid w:val="00A701BA"/>
    <w:rsid w:val="00A703ED"/>
    <w:rsid w:val="00A70611"/>
    <w:rsid w:val="00A707A1"/>
    <w:rsid w:val="00A70D2D"/>
    <w:rsid w:val="00A70D9A"/>
    <w:rsid w:val="00A70E90"/>
    <w:rsid w:val="00A71229"/>
    <w:rsid w:val="00A718B9"/>
    <w:rsid w:val="00A71966"/>
    <w:rsid w:val="00A71C24"/>
    <w:rsid w:val="00A71C5B"/>
    <w:rsid w:val="00A71C7E"/>
    <w:rsid w:val="00A71F68"/>
    <w:rsid w:val="00A7217D"/>
    <w:rsid w:val="00A723AC"/>
    <w:rsid w:val="00A726A3"/>
    <w:rsid w:val="00A727EA"/>
    <w:rsid w:val="00A72B4C"/>
    <w:rsid w:val="00A72C7A"/>
    <w:rsid w:val="00A732D8"/>
    <w:rsid w:val="00A73800"/>
    <w:rsid w:val="00A73B15"/>
    <w:rsid w:val="00A73B79"/>
    <w:rsid w:val="00A73C20"/>
    <w:rsid w:val="00A73FA2"/>
    <w:rsid w:val="00A74139"/>
    <w:rsid w:val="00A74463"/>
    <w:rsid w:val="00A7454C"/>
    <w:rsid w:val="00A746E4"/>
    <w:rsid w:val="00A74A7B"/>
    <w:rsid w:val="00A751BE"/>
    <w:rsid w:val="00A75BA1"/>
    <w:rsid w:val="00A75BCE"/>
    <w:rsid w:val="00A75CB1"/>
    <w:rsid w:val="00A75CB2"/>
    <w:rsid w:val="00A75DD8"/>
    <w:rsid w:val="00A76012"/>
    <w:rsid w:val="00A763EA"/>
    <w:rsid w:val="00A76541"/>
    <w:rsid w:val="00A771ED"/>
    <w:rsid w:val="00A77512"/>
    <w:rsid w:val="00A7766A"/>
    <w:rsid w:val="00A7769B"/>
    <w:rsid w:val="00A77999"/>
    <w:rsid w:val="00A77ABF"/>
    <w:rsid w:val="00A807E2"/>
    <w:rsid w:val="00A80E46"/>
    <w:rsid w:val="00A8116A"/>
    <w:rsid w:val="00A811EB"/>
    <w:rsid w:val="00A8136E"/>
    <w:rsid w:val="00A81441"/>
    <w:rsid w:val="00A81651"/>
    <w:rsid w:val="00A81A67"/>
    <w:rsid w:val="00A81A74"/>
    <w:rsid w:val="00A81D0E"/>
    <w:rsid w:val="00A81D25"/>
    <w:rsid w:val="00A81E81"/>
    <w:rsid w:val="00A81EA7"/>
    <w:rsid w:val="00A81FA0"/>
    <w:rsid w:val="00A822C6"/>
    <w:rsid w:val="00A822D4"/>
    <w:rsid w:val="00A822DA"/>
    <w:rsid w:val="00A824B6"/>
    <w:rsid w:val="00A82AE8"/>
    <w:rsid w:val="00A82C16"/>
    <w:rsid w:val="00A83460"/>
    <w:rsid w:val="00A83C31"/>
    <w:rsid w:val="00A843F5"/>
    <w:rsid w:val="00A8478C"/>
    <w:rsid w:val="00A8496B"/>
    <w:rsid w:val="00A84BA5"/>
    <w:rsid w:val="00A84D56"/>
    <w:rsid w:val="00A850C4"/>
    <w:rsid w:val="00A851B7"/>
    <w:rsid w:val="00A857F3"/>
    <w:rsid w:val="00A85B7E"/>
    <w:rsid w:val="00A85D4A"/>
    <w:rsid w:val="00A85EA7"/>
    <w:rsid w:val="00A86446"/>
    <w:rsid w:val="00A86577"/>
    <w:rsid w:val="00A86D33"/>
    <w:rsid w:val="00A86F7C"/>
    <w:rsid w:val="00A87297"/>
    <w:rsid w:val="00A901C9"/>
    <w:rsid w:val="00A901CB"/>
    <w:rsid w:val="00A904E3"/>
    <w:rsid w:val="00A90996"/>
    <w:rsid w:val="00A90D53"/>
    <w:rsid w:val="00A910CD"/>
    <w:rsid w:val="00A915AA"/>
    <w:rsid w:val="00A919EB"/>
    <w:rsid w:val="00A91CB6"/>
    <w:rsid w:val="00A91EA4"/>
    <w:rsid w:val="00A91F80"/>
    <w:rsid w:val="00A9202B"/>
    <w:rsid w:val="00A92129"/>
    <w:rsid w:val="00A921A8"/>
    <w:rsid w:val="00A922FA"/>
    <w:rsid w:val="00A938EC"/>
    <w:rsid w:val="00A93EEB"/>
    <w:rsid w:val="00A93EF9"/>
    <w:rsid w:val="00A9410D"/>
    <w:rsid w:val="00A94174"/>
    <w:rsid w:val="00A944CF"/>
    <w:rsid w:val="00A94673"/>
    <w:rsid w:val="00A9480B"/>
    <w:rsid w:val="00A9490A"/>
    <w:rsid w:val="00A949FF"/>
    <w:rsid w:val="00A94F42"/>
    <w:rsid w:val="00A9540B"/>
    <w:rsid w:val="00A954D0"/>
    <w:rsid w:val="00A95B3B"/>
    <w:rsid w:val="00A95F55"/>
    <w:rsid w:val="00A95F57"/>
    <w:rsid w:val="00A96590"/>
    <w:rsid w:val="00A966B4"/>
    <w:rsid w:val="00A96FB9"/>
    <w:rsid w:val="00A97517"/>
    <w:rsid w:val="00A976CF"/>
    <w:rsid w:val="00A9781C"/>
    <w:rsid w:val="00A9783D"/>
    <w:rsid w:val="00A97B96"/>
    <w:rsid w:val="00A97D56"/>
    <w:rsid w:val="00A97E40"/>
    <w:rsid w:val="00AA0060"/>
    <w:rsid w:val="00AA014D"/>
    <w:rsid w:val="00AA017E"/>
    <w:rsid w:val="00AA041A"/>
    <w:rsid w:val="00AA0513"/>
    <w:rsid w:val="00AA06F9"/>
    <w:rsid w:val="00AA0714"/>
    <w:rsid w:val="00AA0D3F"/>
    <w:rsid w:val="00AA0EDE"/>
    <w:rsid w:val="00AA0FB2"/>
    <w:rsid w:val="00AA128F"/>
    <w:rsid w:val="00AA1A98"/>
    <w:rsid w:val="00AA1ADA"/>
    <w:rsid w:val="00AA1C84"/>
    <w:rsid w:val="00AA1D44"/>
    <w:rsid w:val="00AA1D7C"/>
    <w:rsid w:val="00AA1E28"/>
    <w:rsid w:val="00AA1E50"/>
    <w:rsid w:val="00AA1E51"/>
    <w:rsid w:val="00AA1E64"/>
    <w:rsid w:val="00AA1FDF"/>
    <w:rsid w:val="00AA1FE8"/>
    <w:rsid w:val="00AA2277"/>
    <w:rsid w:val="00AA228B"/>
    <w:rsid w:val="00AA2701"/>
    <w:rsid w:val="00AA280A"/>
    <w:rsid w:val="00AA2880"/>
    <w:rsid w:val="00AA2EEA"/>
    <w:rsid w:val="00AA30BE"/>
    <w:rsid w:val="00AA30F0"/>
    <w:rsid w:val="00AA3195"/>
    <w:rsid w:val="00AA3196"/>
    <w:rsid w:val="00AA32DD"/>
    <w:rsid w:val="00AA3332"/>
    <w:rsid w:val="00AA36F8"/>
    <w:rsid w:val="00AA3F7B"/>
    <w:rsid w:val="00AA440E"/>
    <w:rsid w:val="00AA448C"/>
    <w:rsid w:val="00AA517A"/>
    <w:rsid w:val="00AA5373"/>
    <w:rsid w:val="00AA53D7"/>
    <w:rsid w:val="00AA53F4"/>
    <w:rsid w:val="00AA547C"/>
    <w:rsid w:val="00AA586D"/>
    <w:rsid w:val="00AA5880"/>
    <w:rsid w:val="00AA5958"/>
    <w:rsid w:val="00AA5B92"/>
    <w:rsid w:val="00AA5C06"/>
    <w:rsid w:val="00AA5D38"/>
    <w:rsid w:val="00AA5D9F"/>
    <w:rsid w:val="00AA6382"/>
    <w:rsid w:val="00AA6398"/>
    <w:rsid w:val="00AA66D2"/>
    <w:rsid w:val="00AA705D"/>
    <w:rsid w:val="00AA708A"/>
    <w:rsid w:val="00AA7577"/>
    <w:rsid w:val="00AA7625"/>
    <w:rsid w:val="00AA7772"/>
    <w:rsid w:val="00AA7829"/>
    <w:rsid w:val="00AA79F1"/>
    <w:rsid w:val="00AA7FAA"/>
    <w:rsid w:val="00AB03A1"/>
    <w:rsid w:val="00AB0ABC"/>
    <w:rsid w:val="00AB0AFB"/>
    <w:rsid w:val="00AB0D64"/>
    <w:rsid w:val="00AB1E52"/>
    <w:rsid w:val="00AB232A"/>
    <w:rsid w:val="00AB2D93"/>
    <w:rsid w:val="00AB31E9"/>
    <w:rsid w:val="00AB3707"/>
    <w:rsid w:val="00AB3D54"/>
    <w:rsid w:val="00AB41C2"/>
    <w:rsid w:val="00AB4293"/>
    <w:rsid w:val="00AB454B"/>
    <w:rsid w:val="00AB46E1"/>
    <w:rsid w:val="00AB4A73"/>
    <w:rsid w:val="00AB4A96"/>
    <w:rsid w:val="00AB4D00"/>
    <w:rsid w:val="00AB55F3"/>
    <w:rsid w:val="00AB5A6F"/>
    <w:rsid w:val="00AB5EC4"/>
    <w:rsid w:val="00AB5F11"/>
    <w:rsid w:val="00AB6255"/>
    <w:rsid w:val="00AB643E"/>
    <w:rsid w:val="00AB6841"/>
    <w:rsid w:val="00AB697B"/>
    <w:rsid w:val="00AB6B46"/>
    <w:rsid w:val="00AB6EF2"/>
    <w:rsid w:val="00AB6F11"/>
    <w:rsid w:val="00AB702E"/>
    <w:rsid w:val="00AB7618"/>
    <w:rsid w:val="00AB7C57"/>
    <w:rsid w:val="00AB7F65"/>
    <w:rsid w:val="00AB7FD0"/>
    <w:rsid w:val="00AC00A5"/>
    <w:rsid w:val="00AC0179"/>
    <w:rsid w:val="00AC0182"/>
    <w:rsid w:val="00AC01E5"/>
    <w:rsid w:val="00AC02B3"/>
    <w:rsid w:val="00AC0310"/>
    <w:rsid w:val="00AC0B1D"/>
    <w:rsid w:val="00AC10D6"/>
    <w:rsid w:val="00AC153C"/>
    <w:rsid w:val="00AC1925"/>
    <w:rsid w:val="00AC1EFA"/>
    <w:rsid w:val="00AC213B"/>
    <w:rsid w:val="00AC23F0"/>
    <w:rsid w:val="00AC24B8"/>
    <w:rsid w:val="00AC2693"/>
    <w:rsid w:val="00AC2DB6"/>
    <w:rsid w:val="00AC321A"/>
    <w:rsid w:val="00AC327C"/>
    <w:rsid w:val="00AC33E5"/>
    <w:rsid w:val="00AC3649"/>
    <w:rsid w:val="00AC383A"/>
    <w:rsid w:val="00AC3B2C"/>
    <w:rsid w:val="00AC3F97"/>
    <w:rsid w:val="00AC40B7"/>
    <w:rsid w:val="00AC4143"/>
    <w:rsid w:val="00AC4370"/>
    <w:rsid w:val="00AC44F5"/>
    <w:rsid w:val="00AC48DA"/>
    <w:rsid w:val="00AC4E56"/>
    <w:rsid w:val="00AC4E88"/>
    <w:rsid w:val="00AC5245"/>
    <w:rsid w:val="00AC5799"/>
    <w:rsid w:val="00AC5A5C"/>
    <w:rsid w:val="00AC5C41"/>
    <w:rsid w:val="00AC5D70"/>
    <w:rsid w:val="00AC5D8F"/>
    <w:rsid w:val="00AC6709"/>
    <w:rsid w:val="00AC6856"/>
    <w:rsid w:val="00AC6C06"/>
    <w:rsid w:val="00AC6E18"/>
    <w:rsid w:val="00AC7792"/>
    <w:rsid w:val="00AD08C2"/>
    <w:rsid w:val="00AD0A19"/>
    <w:rsid w:val="00AD0CB2"/>
    <w:rsid w:val="00AD18AE"/>
    <w:rsid w:val="00AD1D01"/>
    <w:rsid w:val="00AD226A"/>
    <w:rsid w:val="00AD26F0"/>
    <w:rsid w:val="00AD2A19"/>
    <w:rsid w:val="00AD2BBA"/>
    <w:rsid w:val="00AD2D7B"/>
    <w:rsid w:val="00AD338A"/>
    <w:rsid w:val="00AD3558"/>
    <w:rsid w:val="00AD3735"/>
    <w:rsid w:val="00AD3775"/>
    <w:rsid w:val="00AD37F7"/>
    <w:rsid w:val="00AD3924"/>
    <w:rsid w:val="00AD3D04"/>
    <w:rsid w:val="00AD41A5"/>
    <w:rsid w:val="00AD4282"/>
    <w:rsid w:val="00AD4938"/>
    <w:rsid w:val="00AD4A90"/>
    <w:rsid w:val="00AD517B"/>
    <w:rsid w:val="00AD51A1"/>
    <w:rsid w:val="00AD54E8"/>
    <w:rsid w:val="00AD56B9"/>
    <w:rsid w:val="00AD57A1"/>
    <w:rsid w:val="00AD57DA"/>
    <w:rsid w:val="00AD5AB2"/>
    <w:rsid w:val="00AD5BC9"/>
    <w:rsid w:val="00AD63D3"/>
    <w:rsid w:val="00AD64CF"/>
    <w:rsid w:val="00AD6988"/>
    <w:rsid w:val="00AD6A4A"/>
    <w:rsid w:val="00AD6A64"/>
    <w:rsid w:val="00AD6C32"/>
    <w:rsid w:val="00AD6E95"/>
    <w:rsid w:val="00AD6FE0"/>
    <w:rsid w:val="00AD73A3"/>
    <w:rsid w:val="00AD73B9"/>
    <w:rsid w:val="00AD77EC"/>
    <w:rsid w:val="00AD77F2"/>
    <w:rsid w:val="00AE0088"/>
    <w:rsid w:val="00AE05E2"/>
    <w:rsid w:val="00AE0748"/>
    <w:rsid w:val="00AE0C4D"/>
    <w:rsid w:val="00AE0D17"/>
    <w:rsid w:val="00AE12E0"/>
    <w:rsid w:val="00AE1569"/>
    <w:rsid w:val="00AE1A26"/>
    <w:rsid w:val="00AE1EC1"/>
    <w:rsid w:val="00AE21BB"/>
    <w:rsid w:val="00AE223D"/>
    <w:rsid w:val="00AE2323"/>
    <w:rsid w:val="00AE2639"/>
    <w:rsid w:val="00AE2B82"/>
    <w:rsid w:val="00AE2B98"/>
    <w:rsid w:val="00AE306C"/>
    <w:rsid w:val="00AE32A2"/>
    <w:rsid w:val="00AE35B9"/>
    <w:rsid w:val="00AE3C98"/>
    <w:rsid w:val="00AE3CE4"/>
    <w:rsid w:val="00AE3DFD"/>
    <w:rsid w:val="00AE4035"/>
    <w:rsid w:val="00AE4492"/>
    <w:rsid w:val="00AE4901"/>
    <w:rsid w:val="00AE4EF1"/>
    <w:rsid w:val="00AE5121"/>
    <w:rsid w:val="00AE518C"/>
    <w:rsid w:val="00AE548D"/>
    <w:rsid w:val="00AE54E5"/>
    <w:rsid w:val="00AE561A"/>
    <w:rsid w:val="00AE5788"/>
    <w:rsid w:val="00AE582C"/>
    <w:rsid w:val="00AE5D10"/>
    <w:rsid w:val="00AE6003"/>
    <w:rsid w:val="00AE63AC"/>
    <w:rsid w:val="00AE6647"/>
    <w:rsid w:val="00AE671E"/>
    <w:rsid w:val="00AE694B"/>
    <w:rsid w:val="00AE6A2B"/>
    <w:rsid w:val="00AE6D56"/>
    <w:rsid w:val="00AE6FF8"/>
    <w:rsid w:val="00AE712E"/>
    <w:rsid w:val="00AE7724"/>
    <w:rsid w:val="00AE78FD"/>
    <w:rsid w:val="00AE7991"/>
    <w:rsid w:val="00AE79D3"/>
    <w:rsid w:val="00AE7A03"/>
    <w:rsid w:val="00AF0018"/>
    <w:rsid w:val="00AF0300"/>
    <w:rsid w:val="00AF031C"/>
    <w:rsid w:val="00AF0B69"/>
    <w:rsid w:val="00AF0D75"/>
    <w:rsid w:val="00AF0E5F"/>
    <w:rsid w:val="00AF0F33"/>
    <w:rsid w:val="00AF109A"/>
    <w:rsid w:val="00AF1AE8"/>
    <w:rsid w:val="00AF1D35"/>
    <w:rsid w:val="00AF1DC6"/>
    <w:rsid w:val="00AF1FC3"/>
    <w:rsid w:val="00AF2791"/>
    <w:rsid w:val="00AF29FD"/>
    <w:rsid w:val="00AF2FA6"/>
    <w:rsid w:val="00AF2FD1"/>
    <w:rsid w:val="00AF3185"/>
    <w:rsid w:val="00AF3801"/>
    <w:rsid w:val="00AF3819"/>
    <w:rsid w:val="00AF422D"/>
    <w:rsid w:val="00AF4411"/>
    <w:rsid w:val="00AF48D5"/>
    <w:rsid w:val="00AF4C1A"/>
    <w:rsid w:val="00AF4F33"/>
    <w:rsid w:val="00AF4FB8"/>
    <w:rsid w:val="00AF57C1"/>
    <w:rsid w:val="00AF5809"/>
    <w:rsid w:val="00AF5858"/>
    <w:rsid w:val="00AF58DC"/>
    <w:rsid w:val="00AF59D4"/>
    <w:rsid w:val="00AF5CFB"/>
    <w:rsid w:val="00AF5D5D"/>
    <w:rsid w:val="00AF5E38"/>
    <w:rsid w:val="00AF6077"/>
    <w:rsid w:val="00AF6525"/>
    <w:rsid w:val="00AF66A2"/>
    <w:rsid w:val="00AF6735"/>
    <w:rsid w:val="00AF6A76"/>
    <w:rsid w:val="00AF6A98"/>
    <w:rsid w:val="00AF6DA8"/>
    <w:rsid w:val="00AF74D9"/>
    <w:rsid w:val="00AF764E"/>
    <w:rsid w:val="00AF76F2"/>
    <w:rsid w:val="00AF7890"/>
    <w:rsid w:val="00AF7D00"/>
    <w:rsid w:val="00AF7EC2"/>
    <w:rsid w:val="00AF7FAC"/>
    <w:rsid w:val="00B001D0"/>
    <w:rsid w:val="00B00270"/>
    <w:rsid w:val="00B0028B"/>
    <w:rsid w:val="00B0037B"/>
    <w:rsid w:val="00B0046A"/>
    <w:rsid w:val="00B005A9"/>
    <w:rsid w:val="00B0061E"/>
    <w:rsid w:val="00B007E4"/>
    <w:rsid w:val="00B00AF4"/>
    <w:rsid w:val="00B00B78"/>
    <w:rsid w:val="00B00D25"/>
    <w:rsid w:val="00B00F53"/>
    <w:rsid w:val="00B00F8E"/>
    <w:rsid w:val="00B025A3"/>
    <w:rsid w:val="00B0266E"/>
    <w:rsid w:val="00B02B61"/>
    <w:rsid w:val="00B02DA8"/>
    <w:rsid w:val="00B03031"/>
    <w:rsid w:val="00B034B4"/>
    <w:rsid w:val="00B0351A"/>
    <w:rsid w:val="00B03837"/>
    <w:rsid w:val="00B03C4A"/>
    <w:rsid w:val="00B03E7B"/>
    <w:rsid w:val="00B03F32"/>
    <w:rsid w:val="00B042EB"/>
    <w:rsid w:val="00B048F9"/>
    <w:rsid w:val="00B04D36"/>
    <w:rsid w:val="00B04DF2"/>
    <w:rsid w:val="00B04E18"/>
    <w:rsid w:val="00B04F51"/>
    <w:rsid w:val="00B051EA"/>
    <w:rsid w:val="00B0522E"/>
    <w:rsid w:val="00B052ED"/>
    <w:rsid w:val="00B0551B"/>
    <w:rsid w:val="00B055C5"/>
    <w:rsid w:val="00B0583D"/>
    <w:rsid w:val="00B05F7F"/>
    <w:rsid w:val="00B06134"/>
    <w:rsid w:val="00B06139"/>
    <w:rsid w:val="00B06356"/>
    <w:rsid w:val="00B06721"/>
    <w:rsid w:val="00B0687C"/>
    <w:rsid w:val="00B068AF"/>
    <w:rsid w:val="00B06BB6"/>
    <w:rsid w:val="00B06DBD"/>
    <w:rsid w:val="00B0708F"/>
    <w:rsid w:val="00B072D6"/>
    <w:rsid w:val="00B074A4"/>
    <w:rsid w:val="00B0773A"/>
    <w:rsid w:val="00B07B9C"/>
    <w:rsid w:val="00B07C15"/>
    <w:rsid w:val="00B07DB0"/>
    <w:rsid w:val="00B10396"/>
    <w:rsid w:val="00B1063A"/>
    <w:rsid w:val="00B10709"/>
    <w:rsid w:val="00B109FD"/>
    <w:rsid w:val="00B10CC0"/>
    <w:rsid w:val="00B111EA"/>
    <w:rsid w:val="00B118D4"/>
    <w:rsid w:val="00B11911"/>
    <w:rsid w:val="00B11FF7"/>
    <w:rsid w:val="00B12272"/>
    <w:rsid w:val="00B1236B"/>
    <w:rsid w:val="00B1289F"/>
    <w:rsid w:val="00B12D51"/>
    <w:rsid w:val="00B12DA1"/>
    <w:rsid w:val="00B132C3"/>
    <w:rsid w:val="00B13502"/>
    <w:rsid w:val="00B135E7"/>
    <w:rsid w:val="00B136DD"/>
    <w:rsid w:val="00B13C70"/>
    <w:rsid w:val="00B13E15"/>
    <w:rsid w:val="00B14517"/>
    <w:rsid w:val="00B1467A"/>
    <w:rsid w:val="00B14875"/>
    <w:rsid w:val="00B14927"/>
    <w:rsid w:val="00B14CD8"/>
    <w:rsid w:val="00B14CED"/>
    <w:rsid w:val="00B14DBF"/>
    <w:rsid w:val="00B14F67"/>
    <w:rsid w:val="00B151BD"/>
    <w:rsid w:val="00B1526C"/>
    <w:rsid w:val="00B154DA"/>
    <w:rsid w:val="00B15584"/>
    <w:rsid w:val="00B15635"/>
    <w:rsid w:val="00B15715"/>
    <w:rsid w:val="00B1582A"/>
    <w:rsid w:val="00B15835"/>
    <w:rsid w:val="00B15A62"/>
    <w:rsid w:val="00B15B43"/>
    <w:rsid w:val="00B15BAC"/>
    <w:rsid w:val="00B15C14"/>
    <w:rsid w:val="00B15D0A"/>
    <w:rsid w:val="00B16310"/>
    <w:rsid w:val="00B16404"/>
    <w:rsid w:val="00B16716"/>
    <w:rsid w:val="00B16A8C"/>
    <w:rsid w:val="00B16AD0"/>
    <w:rsid w:val="00B16B4A"/>
    <w:rsid w:val="00B17120"/>
    <w:rsid w:val="00B17319"/>
    <w:rsid w:val="00B173E1"/>
    <w:rsid w:val="00B1743D"/>
    <w:rsid w:val="00B178AE"/>
    <w:rsid w:val="00B17A95"/>
    <w:rsid w:val="00B17D9B"/>
    <w:rsid w:val="00B201BD"/>
    <w:rsid w:val="00B206EF"/>
    <w:rsid w:val="00B20B13"/>
    <w:rsid w:val="00B20B63"/>
    <w:rsid w:val="00B2112E"/>
    <w:rsid w:val="00B211F7"/>
    <w:rsid w:val="00B21493"/>
    <w:rsid w:val="00B2158C"/>
    <w:rsid w:val="00B21760"/>
    <w:rsid w:val="00B21C6B"/>
    <w:rsid w:val="00B21E22"/>
    <w:rsid w:val="00B22384"/>
    <w:rsid w:val="00B223DB"/>
    <w:rsid w:val="00B225D4"/>
    <w:rsid w:val="00B230AF"/>
    <w:rsid w:val="00B23154"/>
    <w:rsid w:val="00B231FC"/>
    <w:rsid w:val="00B2321C"/>
    <w:rsid w:val="00B2323C"/>
    <w:rsid w:val="00B2323E"/>
    <w:rsid w:val="00B23911"/>
    <w:rsid w:val="00B239FE"/>
    <w:rsid w:val="00B23DBE"/>
    <w:rsid w:val="00B24180"/>
    <w:rsid w:val="00B2419F"/>
    <w:rsid w:val="00B242C2"/>
    <w:rsid w:val="00B242E9"/>
    <w:rsid w:val="00B24665"/>
    <w:rsid w:val="00B24687"/>
    <w:rsid w:val="00B24896"/>
    <w:rsid w:val="00B2514F"/>
    <w:rsid w:val="00B25655"/>
    <w:rsid w:val="00B25E72"/>
    <w:rsid w:val="00B26351"/>
    <w:rsid w:val="00B26491"/>
    <w:rsid w:val="00B2650E"/>
    <w:rsid w:val="00B2657D"/>
    <w:rsid w:val="00B26B3A"/>
    <w:rsid w:val="00B26FE8"/>
    <w:rsid w:val="00B27504"/>
    <w:rsid w:val="00B27837"/>
    <w:rsid w:val="00B301F9"/>
    <w:rsid w:val="00B302E9"/>
    <w:rsid w:val="00B304FA"/>
    <w:rsid w:val="00B307E6"/>
    <w:rsid w:val="00B309DF"/>
    <w:rsid w:val="00B30B68"/>
    <w:rsid w:val="00B30CB9"/>
    <w:rsid w:val="00B30EF3"/>
    <w:rsid w:val="00B31252"/>
    <w:rsid w:val="00B3125D"/>
    <w:rsid w:val="00B31953"/>
    <w:rsid w:val="00B31FC7"/>
    <w:rsid w:val="00B3200A"/>
    <w:rsid w:val="00B320A5"/>
    <w:rsid w:val="00B3244C"/>
    <w:rsid w:val="00B3260D"/>
    <w:rsid w:val="00B33571"/>
    <w:rsid w:val="00B33907"/>
    <w:rsid w:val="00B3394A"/>
    <w:rsid w:val="00B33B66"/>
    <w:rsid w:val="00B33C3C"/>
    <w:rsid w:val="00B33CED"/>
    <w:rsid w:val="00B33F78"/>
    <w:rsid w:val="00B347FD"/>
    <w:rsid w:val="00B349E3"/>
    <w:rsid w:val="00B350EB"/>
    <w:rsid w:val="00B3552D"/>
    <w:rsid w:val="00B35596"/>
    <w:rsid w:val="00B35620"/>
    <w:rsid w:val="00B35C05"/>
    <w:rsid w:val="00B360A0"/>
    <w:rsid w:val="00B36958"/>
    <w:rsid w:val="00B36C12"/>
    <w:rsid w:val="00B37297"/>
    <w:rsid w:val="00B376E4"/>
    <w:rsid w:val="00B37817"/>
    <w:rsid w:val="00B37B06"/>
    <w:rsid w:val="00B37EBF"/>
    <w:rsid w:val="00B40199"/>
    <w:rsid w:val="00B40396"/>
    <w:rsid w:val="00B403B0"/>
    <w:rsid w:val="00B40817"/>
    <w:rsid w:val="00B40CAC"/>
    <w:rsid w:val="00B41677"/>
    <w:rsid w:val="00B4168C"/>
    <w:rsid w:val="00B419F3"/>
    <w:rsid w:val="00B41D0B"/>
    <w:rsid w:val="00B41D53"/>
    <w:rsid w:val="00B41EA2"/>
    <w:rsid w:val="00B42136"/>
    <w:rsid w:val="00B42543"/>
    <w:rsid w:val="00B425D8"/>
    <w:rsid w:val="00B426FA"/>
    <w:rsid w:val="00B42753"/>
    <w:rsid w:val="00B42829"/>
    <w:rsid w:val="00B42D4E"/>
    <w:rsid w:val="00B431BA"/>
    <w:rsid w:val="00B433A2"/>
    <w:rsid w:val="00B43495"/>
    <w:rsid w:val="00B4383F"/>
    <w:rsid w:val="00B438BC"/>
    <w:rsid w:val="00B439FE"/>
    <w:rsid w:val="00B43A56"/>
    <w:rsid w:val="00B43AA0"/>
    <w:rsid w:val="00B43E48"/>
    <w:rsid w:val="00B43F9A"/>
    <w:rsid w:val="00B4416A"/>
    <w:rsid w:val="00B44335"/>
    <w:rsid w:val="00B444B2"/>
    <w:rsid w:val="00B448F4"/>
    <w:rsid w:val="00B44B71"/>
    <w:rsid w:val="00B450F1"/>
    <w:rsid w:val="00B45111"/>
    <w:rsid w:val="00B45B3A"/>
    <w:rsid w:val="00B45CE8"/>
    <w:rsid w:val="00B45D23"/>
    <w:rsid w:val="00B468B0"/>
    <w:rsid w:val="00B46D02"/>
    <w:rsid w:val="00B46F91"/>
    <w:rsid w:val="00B4708D"/>
    <w:rsid w:val="00B470B1"/>
    <w:rsid w:val="00B470B4"/>
    <w:rsid w:val="00B47576"/>
    <w:rsid w:val="00B47BF6"/>
    <w:rsid w:val="00B47D42"/>
    <w:rsid w:val="00B47FD7"/>
    <w:rsid w:val="00B50A7F"/>
    <w:rsid w:val="00B50DD6"/>
    <w:rsid w:val="00B50EB2"/>
    <w:rsid w:val="00B50F45"/>
    <w:rsid w:val="00B51241"/>
    <w:rsid w:val="00B51350"/>
    <w:rsid w:val="00B5143C"/>
    <w:rsid w:val="00B5146F"/>
    <w:rsid w:val="00B51887"/>
    <w:rsid w:val="00B520B6"/>
    <w:rsid w:val="00B520D5"/>
    <w:rsid w:val="00B523E3"/>
    <w:rsid w:val="00B52587"/>
    <w:rsid w:val="00B5286F"/>
    <w:rsid w:val="00B52A38"/>
    <w:rsid w:val="00B52C5B"/>
    <w:rsid w:val="00B52CB6"/>
    <w:rsid w:val="00B52D48"/>
    <w:rsid w:val="00B52FDD"/>
    <w:rsid w:val="00B53119"/>
    <w:rsid w:val="00B5340B"/>
    <w:rsid w:val="00B53F33"/>
    <w:rsid w:val="00B54006"/>
    <w:rsid w:val="00B54424"/>
    <w:rsid w:val="00B5479F"/>
    <w:rsid w:val="00B54910"/>
    <w:rsid w:val="00B54923"/>
    <w:rsid w:val="00B54AC3"/>
    <w:rsid w:val="00B54B07"/>
    <w:rsid w:val="00B54D40"/>
    <w:rsid w:val="00B54DBD"/>
    <w:rsid w:val="00B54FF0"/>
    <w:rsid w:val="00B55163"/>
    <w:rsid w:val="00B551D3"/>
    <w:rsid w:val="00B555DE"/>
    <w:rsid w:val="00B55610"/>
    <w:rsid w:val="00B5564A"/>
    <w:rsid w:val="00B55AEF"/>
    <w:rsid w:val="00B560E4"/>
    <w:rsid w:val="00B560F8"/>
    <w:rsid w:val="00B56128"/>
    <w:rsid w:val="00B561FA"/>
    <w:rsid w:val="00B56485"/>
    <w:rsid w:val="00B56530"/>
    <w:rsid w:val="00B56A30"/>
    <w:rsid w:val="00B56A75"/>
    <w:rsid w:val="00B56DFC"/>
    <w:rsid w:val="00B56EF8"/>
    <w:rsid w:val="00B56FBC"/>
    <w:rsid w:val="00B56FC2"/>
    <w:rsid w:val="00B57462"/>
    <w:rsid w:val="00B574ED"/>
    <w:rsid w:val="00B576AA"/>
    <w:rsid w:val="00B57772"/>
    <w:rsid w:val="00B579E2"/>
    <w:rsid w:val="00B57A38"/>
    <w:rsid w:val="00B57F78"/>
    <w:rsid w:val="00B600C1"/>
    <w:rsid w:val="00B60586"/>
    <w:rsid w:val="00B60BA0"/>
    <w:rsid w:val="00B60DA8"/>
    <w:rsid w:val="00B60E5B"/>
    <w:rsid w:val="00B61099"/>
    <w:rsid w:val="00B61776"/>
    <w:rsid w:val="00B61B64"/>
    <w:rsid w:val="00B62370"/>
    <w:rsid w:val="00B627C8"/>
    <w:rsid w:val="00B627E7"/>
    <w:rsid w:val="00B62AEB"/>
    <w:rsid w:val="00B62C1C"/>
    <w:rsid w:val="00B62C2E"/>
    <w:rsid w:val="00B62CA1"/>
    <w:rsid w:val="00B62FBC"/>
    <w:rsid w:val="00B63124"/>
    <w:rsid w:val="00B6313B"/>
    <w:rsid w:val="00B63512"/>
    <w:rsid w:val="00B635A5"/>
    <w:rsid w:val="00B635D5"/>
    <w:rsid w:val="00B63651"/>
    <w:rsid w:val="00B636C0"/>
    <w:rsid w:val="00B639FA"/>
    <w:rsid w:val="00B63A96"/>
    <w:rsid w:val="00B63F4A"/>
    <w:rsid w:val="00B640CC"/>
    <w:rsid w:val="00B642B9"/>
    <w:rsid w:val="00B6451D"/>
    <w:rsid w:val="00B646C3"/>
    <w:rsid w:val="00B64B58"/>
    <w:rsid w:val="00B64FBB"/>
    <w:rsid w:val="00B650FA"/>
    <w:rsid w:val="00B6521D"/>
    <w:rsid w:val="00B652F4"/>
    <w:rsid w:val="00B65695"/>
    <w:rsid w:val="00B65A4A"/>
    <w:rsid w:val="00B65BC4"/>
    <w:rsid w:val="00B65F15"/>
    <w:rsid w:val="00B6606B"/>
    <w:rsid w:val="00B66234"/>
    <w:rsid w:val="00B66371"/>
    <w:rsid w:val="00B673C0"/>
    <w:rsid w:val="00B677EF"/>
    <w:rsid w:val="00B67978"/>
    <w:rsid w:val="00B7004A"/>
    <w:rsid w:val="00B7032E"/>
    <w:rsid w:val="00B70426"/>
    <w:rsid w:val="00B708DF"/>
    <w:rsid w:val="00B70AFB"/>
    <w:rsid w:val="00B70C0F"/>
    <w:rsid w:val="00B71015"/>
    <w:rsid w:val="00B7113F"/>
    <w:rsid w:val="00B7116B"/>
    <w:rsid w:val="00B713D9"/>
    <w:rsid w:val="00B716A9"/>
    <w:rsid w:val="00B7219A"/>
    <w:rsid w:val="00B7262F"/>
    <w:rsid w:val="00B72701"/>
    <w:rsid w:val="00B727B6"/>
    <w:rsid w:val="00B729CC"/>
    <w:rsid w:val="00B72EF9"/>
    <w:rsid w:val="00B7333D"/>
    <w:rsid w:val="00B733B1"/>
    <w:rsid w:val="00B7357D"/>
    <w:rsid w:val="00B73937"/>
    <w:rsid w:val="00B73DE4"/>
    <w:rsid w:val="00B73EDF"/>
    <w:rsid w:val="00B74355"/>
    <w:rsid w:val="00B744E3"/>
    <w:rsid w:val="00B745A9"/>
    <w:rsid w:val="00B74974"/>
    <w:rsid w:val="00B74B71"/>
    <w:rsid w:val="00B752A3"/>
    <w:rsid w:val="00B75380"/>
    <w:rsid w:val="00B75399"/>
    <w:rsid w:val="00B75E01"/>
    <w:rsid w:val="00B75F99"/>
    <w:rsid w:val="00B764DE"/>
    <w:rsid w:val="00B769F7"/>
    <w:rsid w:val="00B76F7B"/>
    <w:rsid w:val="00B7728D"/>
    <w:rsid w:val="00B77559"/>
    <w:rsid w:val="00B7788D"/>
    <w:rsid w:val="00B77A94"/>
    <w:rsid w:val="00B77AE1"/>
    <w:rsid w:val="00B77B91"/>
    <w:rsid w:val="00B77BFC"/>
    <w:rsid w:val="00B77D76"/>
    <w:rsid w:val="00B77DCF"/>
    <w:rsid w:val="00B8071F"/>
    <w:rsid w:val="00B80889"/>
    <w:rsid w:val="00B80B76"/>
    <w:rsid w:val="00B80CEE"/>
    <w:rsid w:val="00B80D6E"/>
    <w:rsid w:val="00B80FD8"/>
    <w:rsid w:val="00B80FF7"/>
    <w:rsid w:val="00B8122F"/>
    <w:rsid w:val="00B81301"/>
    <w:rsid w:val="00B8175F"/>
    <w:rsid w:val="00B818C6"/>
    <w:rsid w:val="00B81CAF"/>
    <w:rsid w:val="00B81CF1"/>
    <w:rsid w:val="00B81FF2"/>
    <w:rsid w:val="00B822BE"/>
    <w:rsid w:val="00B82378"/>
    <w:rsid w:val="00B82532"/>
    <w:rsid w:val="00B8289F"/>
    <w:rsid w:val="00B828FA"/>
    <w:rsid w:val="00B8292B"/>
    <w:rsid w:val="00B82CCE"/>
    <w:rsid w:val="00B82E28"/>
    <w:rsid w:val="00B835E8"/>
    <w:rsid w:val="00B837C3"/>
    <w:rsid w:val="00B83C7E"/>
    <w:rsid w:val="00B8428D"/>
    <w:rsid w:val="00B843B5"/>
    <w:rsid w:val="00B84E0A"/>
    <w:rsid w:val="00B8526E"/>
    <w:rsid w:val="00B852BA"/>
    <w:rsid w:val="00B85351"/>
    <w:rsid w:val="00B855E0"/>
    <w:rsid w:val="00B857CD"/>
    <w:rsid w:val="00B859E4"/>
    <w:rsid w:val="00B85B45"/>
    <w:rsid w:val="00B85D1C"/>
    <w:rsid w:val="00B863C2"/>
    <w:rsid w:val="00B8669F"/>
    <w:rsid w:val="00B86736"/>
    <w:rsid w:val="00B86F87"/>
    <w:rsid w:val="00B87134"/>
    <w:rsid w:val="00B8734F"/>
    <w:rsid w:val="00B87A87"/>
    <w:rsid w:val="00B87EE4"/>
    <w:rsid w:val="00B87FA0"/>
    <w:rsid w:val="00B901D0"/>
    <w:rsid w:val="00B903B7"/>
    <w:rsid w:val="00B9047A"/>
    <w:rsid w:val="00B904B4"/>
    <w:rsid w:val="00B905D4"/>
    <w:rsid w:val="00B9064D"/>
    <w:rsid w:val="00B907FC"/>
    <w:rsid w:val="00B90896"/>
    <w:rsid w:val="00B90899"/>
    <w:rsid w:val="00B908AD"/>
    <w:rsid w:val="00B9090B"/>
    <w:rsid w:val="00B909CD"/>
    <w:rsid w:val="00B90C40"/>
    <w:rsid w:val="00B90C4E"/>
    <w:rsid w:val="00B9111A"/>
    <w:rsid w:val="00B91221"/>
    <w:rsid w:val="00B9129F"/>
    <w:rsid w:val="00B9160A"/>
    <w:rsid w:val="00B91E4C"/>
    <w:rsid w:val="00B91E86"/>
    <w:rsid w:val="00B91FCD"/>
    <w:rsid w:val="00B9217C"/>
    <w:rsid w:val="00B921ED"/>
    <w:rsid w:val="00B92292"/>
    <w:rsid w:val="00B92306"/>
    <w:rsid w:val="00B924E0"/>
    <w:rsid w:val="00B9251C"/>
    <w:rsid w:val="00B9260A"/>
    <w:rsid w:val="00B926F1"/>
    <w:rsid w:val="00B92C2F"/>
    <w:rsid w:val="00B92F97"/>
    <w:rsid w:val="00B9305E"/>
    <w:rsid w:val="00B93204"/>
    <w:rsid w:val="00B932A3"/>
    <w:rsid w:val="00B9342A"/>
    <w:rsid w:val="00B93BD8"/>
    <w:rsid w:val="00B93CCF"/>
    <w:rsid w:val="00B93FC0"/>
    <w:rsid w:val="00B94000"/>
    <w:rsid w:val="00B944CB"/>
    <w:rsid w:val="00B9453F"/>
    <w:rsid w:val="00B94A5F"/>
    <w:rsid w:val="00B94C31"/>
    <w:rsid w:val="00B94FEB"/>
    <w:rsid w:val="00B95656"/>
    <w:rsid w:val="00B956A4"/>
    <w:rsid w:val="00B95B07"/>
    <w:rsid w:val="00B963A9"/>
    <w:rsid w:val="00B967D4"/>
    <w:rsid w:val="00B968AC"/>
    <w:rsid w:val="00B96A2A"/>
    <w:rsid w:val="00B96B1C"/>
    <w:rsid w:val="00B96C64"/>
    <w:rsid w:val="00B96D33"/>
    <w:rsid w:val="00B96F43"/>
    <w:rsid w:val="00B97217"/>
    <w:rsid w:val="00B97BD7"/>
    <w:rsid w:val="00BA00FF"/>
    <w:rsid w:val="00BA037A"/>
    <w:rsid w:val="00BA03DD"/>
    <w:rsid w:val="00BA0439"/>
    <w:rsid w:val="00BA0456"/>
    <w:rsid w:val="00BA0A76"/>
    <w:rsid w:val="00BA0EAC"/>
    <w:rsid w:val="00BA0F83"/>
    <w:rsid w:val="00BA0F8B"/>
    <w:rsid w:val="00BA128F"/>
    <w:rsid w:val="00BA1498"/>
    <w:rsid w:val="00BA1708"/>
    <w:rsid w:val="00BA1760"/>
    <w:rsid w:val="00BA1770"/>
    <w:rsid w:val="00BA1A2C"/>
    <w:rsid w:val="00BA1A6F"/>
    <w:rsid w:val="00BA1ACE"/>
    <w:rsid w:val="00BA1DE0"/>
    <w:rsid w:val="00BA1EFF"/>
    <w:rsid w:val="00BA20DE"/>
    <w:rsid w:val="00BA2424"/>
    <w:rsid w:val="00BA287F"/>
    <w:rsid w:val="00BA28B1"/>
    <w:rsid w:val="00BA28DE"/>
    <w:rsid w:val="00BA2B00"/>
    <w:rsid w:val="00BA35DC"/>
    <w:rsid w:val="00BA38FC"/>
    <w:rsid w:val="00BA40A4"/>
    <w:rsid w:val="00BA42CA"/>
    <w:rsid w:val="00BA47A0"/>
    <w:rsid w:val="00BA4B6B"/>
    <w:rsid w:val="00BA5365"/>
    <w:rsid w:val="00BA57BB"/>
    <w:rsid w:val="00BA5E30"/>
    <w:rsid w:val="00BA5F90"/>
    <w:rsid w:val="00BA629D"/>
    <w:rsid w:val="00BA65D1"/>
    <w:rsid w:val="00BA67F8"/>
    <w:rsid w:val="00BA6CA2"/>
    <w:rsid w:val="00BA6CBB"/>
    <w:rsid w:val="00BA6F32"/>
    <w:rsid w:val="00BA707E"/>
    <w:rsid w:val="00BA72E7"/>
    <w:rsid w:val="00BA733B"/>
    <w:rsid w:val="00BA754B"/>
    <w:rsid w:val="00BA77F8"/>
    <w:rsid w:val="00BA78A7"/>
    <w:rsid w:val="00BA7D14"/>
    <w:rsid w:val="00BB0597"/>
    <w:rsid w:val="00BB05FC"/>
    <w:rsid w:val="00BB083A"/>
    <w:rsid w:val="00BB0CC4"/>
    <w:rsid w:val="00BB0E36"/>
    <w:rsid w:val="00BB146D"/>
    <w:rsid w:val="00BB1522"/>
    <w:rsid w:val="00BB16D5"/>
    <w:rsid w:val="00BB19DC"/>
    <w:rsid w:val="00BB1E74"/>
    <w:rsid w:val="00BB1F98"/>
    <w:rsid w:val="00BB2062"/>
    <w:rsid w:val="00BB2149"/>
    <w:rsid w:val="00BB27C1"/>
    <w:rsid w:val="00BB2C78"/>
    <w:rsid w:val="00BB3309"/>
    <w:rsid w:val="00BB35DC"/>
    <w:rsid w:val="00BB3A03"/>
    <w:rsid w:val="00BB3F10"/>
    <w:rsid w:val="00BB4235"/>
    <w:rsid w:val="00BB4269"/>
    <w:rsid w:val="00BB459F"/>
    <w:rsid w:val="00BB47F5"/>
    <w:rsid w:val="00BB48CB"/>
    <w:rsid w:val="00BB4A75"/>
    <w:rsid w:val="00BB4B1F"/>
    <w:rsid w:val="00BB4B5B"/>
    <w:rsid w:val="00BB4DFC"/>
    <w:rsid w:val="00BB4E6E"/>
    <w:rsid w:val="00BB5154"/>
    <w:rsid w:val="00BB5579"/>
    <w:rsid w:val="00BB5A38"/>
    <w:rsid w:val="00BB5CF6"/>
    <w:rsid w:val="00BB5E19"/>
    <w:rsid w:val="00BB60E6"/>
    <w:rsid w:val="00BB628C"/>
    <w:rsid w:val="00BB7279"/>
    <w:rsid w:val="00BB73E7"/>
    <w:rsid w:val="00BB7810"/>
    <w:rsid w:val="00BB7F0A"/>
    <w:rsid w:val="00BB7F3E"/>
    <w:rsid w:val="00BC04A4"/>
    <w:rsid w:val="00BC04E2"/>
    <w:rsid w:val="00BC0A58"/>
    <w:rsid w:val="00BC0C42"/>
    <w:rsid w:val="00BC0CC7"/>
    <w:rsid w:val="00BC0D66"/>
    <w:rsid w:val="00BC1022"/>
    <w:rsid w:val="00BC1610"/>
    <w:rsid w:val="00BC1B18"/>
    <w:rsid w:val="00BC1C02"/>
    <w:rsid w:val="00BC21C8"/>
    <w:rsid w:val="00BC2767"/>
    <w:rsid w:val="00BC2773"/>
    <w:rsid w:val="00BC2A52"/>
    <w:rsid w:val="00BC2B51"/>
    <w:rsid w:val="00BC2CE7"/>
    <w:rsid w:val="00BC2D29"/>
    <w:rsid w:val="00BC2DCE"/>
    <w:rsid w:val="00BC2F22"/>
    <w:rsid w:val="00BC31E2"/>
    <w:rsid w:val="00BC3F97"/>
    <w:rsid w:val="00BC41DE"/>
    <w:rsid w:val="00BC444A"/>
    <w:rsid w:val="00BC4474"/>
    <w:rsid w:val="00BC5449"/>
    <w:rsid w:val="00BC5937"/>
    <w:rsid w:val="00BC5B3C"/>
    <w:rsid w:val="00BC5EB4"/>
    <w:rsid w:val="00BC6089"/>
    <w:rsid w:val="00BC632B"/>
    <w:rsid w:val="00BC66A5"/>
    <w:rsid w:val="00BC6D61"/>
    <w:rsid w:val="00BC706A"/>
    <w:rsid w:val="00BC729C"/>
    <w:rsid w:val="00BD07DB"/>
    <w:rsid w:val="00BD0BEE"/>
    <w:rsid w:val="00BD0DC4"/>
    <w:rsid w:val="00BD0DE4"/>
    <w:rsid w:val="00BD1004"/>
    <w:rsid w:val="00BD1683"/>
    <w:rsid w:val="00BD16EB"/>
    <w:rsid w:val="00BD18F2"/>
    <w:rsid w:val="00BD21A6"/>
    <w:rsid w:val="00BD2321"/>
    <w:rsid w:val="00BD2485"/>
    <w:rsid w:val="00BD2676"/>
    <w:rsid w:val="00BD26A9"/>
    <w:rsid w:val="00BD283A"/>
    <w:rsid w:val="00BD2B51"/>
    <w:rsid w:val="00BD2B9A"/>
    <w:rsid w:val="00BD2EDD"/>
    <w:rsid w:val="00BD2F76"/>
    <w:rsid w:val="00BD32F0"/>
    <w:rsid w:val="00BD3FB6"/>
    <w:rsid w:val="00BD4045"/>
    <w:rsid w:val="00BD4269"/>
    <w:rsid w:val="00BD476F"/>
    <w:rsid w:val="00BD4AC7"/>
    <w:rsid w:val="00BD4B69"/>
    <w:rsid w:val="00BD4DB3"/>
    <w:rsid w:val="00BD5000"/>
    <w:rsid w:val="00BD5157"/>
    <w:rsid w:val="00BD52DB"/>
    <w:rsid w:val="00BD55DD"/>
    <w:rsid w:val="00BD560D"/>
    <w:rsid w:val="00BD57FE"/>
    <w:rsid w:val="00BD584C"/>
    <w:rsid w:val="00BD5991"/>
    <w:rsid w:val="00BD59AC"/>
    <w:rsid w:val="00BD6209"/>
    <w:rsid w:val="00BD6863"/>
    <w:rsid w:val="00BD6D6A"/>
    <w:rsid w:val="00BD703D"/>
    <w:rsid w:val="00BD70F4"/>
    <w:rsid w:val="00BD77B1"/>
    <w:rsid w:val="00BD790D"/>
    <w:rsid w:val="00BD7A46"/>
    <w:rsid w:val="00BD7B3D"/>
    <w:rsid w:val="00BD7D1A"/>
    <w:rsid w:val="00BD7D3E"/>
    <w:rsid w:val="00BD7DDB"/>
    <w:rsid w:val="00BE0177"/>
    <w:rsid w:val="00BE0794"/>
    <w:rsid w:val="00BE0A64"/>
    <w:rsid w:val="00BE0E2E"/>
    <w:rsid w:val="00BE114F"/>
    <w:rsid w:val="00BE1781"/>
    <w:rsid w:val="00BE1AAF"/>
    <w:rsid w:val="00BE1B13"/>
    <w:rsid w:val="00BE1EF0"/>
    <w:rsid w:val="00BE2092"/>
    <w:rsid w:val="00BE214C"/>
    <w:rsid w:val="00BE2212"/>
    <w:rsid w:val="00BE2D25"/>
    <w:rsid w:val="00BE2FB1"/>
    <w:rsid w:val="00BE3170"/>
    <w:rsid w:val="00BE32B4"/>
    <w:rsid w:val="00BE363B"/>
    <w:rsid w:val="00BE37CA"/>
    <w:rsid w:val="00BE37ED"/>
    <w:rsid w:val="00BE3815"/>
    <w:rsid w:val="00BE3A39"/>
    <w:rsid w:val="00BE3B8C"/>
    <w:rsid w:val="00BE3C7A"/>
    <w:rsid w:val="00BE4095"/>
    <w:rsid w:val="00BE443A"/>
    <w:rsid w:val="00BE455F"/>
    <w:rsid w:val="00BE456D"/>
    <w:rsid w:val="00BE4745"/>
    <w:rsid w:val="00BE47C1"/>
    <w:rsid w:val="00BE4861"/>
    <w:rsid w:val="00BE4AF1"/>
    <w:rsid w:val="00BE4CDF"/>
    <w:rsid w:val="00BE5272"/>
    <w:rsid w:val="00BE5D3C"/>
    <w:rsid w:val="00BE5E42"/>
    <w:rsid w:val="00BE5EFB"/>
    <w:rsid w:val="00BE6090"/>
    <w:rsid w:val="00BE615A"/>
    <w:rsid w:val="00BE621C"/>
    <w:rsid w:val="00BE6ED9"/>
    <w:rsid w:val="00BE6F09"/>
    <w:rsid w:val="00BE6FC3"/>
    <w:rsid w:val="00BE721A"/>
    <w:rsid w:val="00BE7FF0"/>
    <w:rsid w:val="00BF009C"/>
    <w:rsid w:val="00BF016D"/>
    <w:rsid w:val="00BF03FB"/>
    <w:rsid w:val="00BF07E6"/>
    <w:rsid w:val="00BF09E6"/>
    <w:rsid w:val="00BF0A4B"/>
    <w:rsid w:val="00BF0BAE"/>
    <w:rsid w:val="00BF0FAC"/>
    <w:rsid w:val="00BF10ED"/>
    <w:rsid w:val="00BF1520"/>
    <w:rsid w:val="00BF1B80"/>
    <w:rsid w:val="00BF1BF5"/>
    <w:rsid w:val="00BF245F"/>
    <w:rsid w:val="00BF2894"/>
    <w:rsid w:val="00BF293E"/>
    <w:rsid w:val="00BF2AF2"/>
    <w:rsid w:val="00BF2DB4"/>
    <w:rsid w:val="00BF35B0"/>
    <w:rsid w:val="00BF3751"/>
    <w:rsid w:val="00BF3912"/>
    <w:rsid w:val="00BF3BC0"/>
    <w:rsid w:val="00BF3C89"/>
    <w:rsid w:val="00BF3E3B"/>
    <w:rsid w:val="00BF4042"/>
    <w:rsid w:val="00BF463A"/>
    <w:rsid w:val="00BF4CFC"/>
    <w:rsid w:val="00BF5429"/>
    <w:rsid w:val="00BF57B6"/>
    <w:rsid w:val="00BF5800"/>
    <w:rsid w:val="00BF5AB4"/>
    <w:rsid w:val="00BF5D31"/>
    <w:rsid w:val="00BF6087"/>
    <w:rsid w:val="00BF63D0"/>
    <w:rsid w:val="00BF6AA2"/>
    <w:rsid w:val="00BF6DE9"/>
    <w:rsid w:val="00BF6FCA"/>
    <w:rsid w:val="00BF7151"/>
    <w:rsid w:val="00BF785C"/>
    <w:rsid w:val="00BF7E5A"/>
    <w:rsid w:val="00C001C3"/>
    <w:rsid w:val="00C00433"/>
    <w:rsid w:val="00C00566"/>
    <w:rsid w:val="00C007B0"/>
    <w:rsid w:val="00C00FBC"/>
    <w:rsid w:val="00C01101"/>
    <w:rsid w:val="00C014AE"/>
    <w:rsid w:val="00C01983"/>
    <w:rsid w:val="00C01E68"/>
    <w:rsid w:val="00C02171"/>
    <w:rsid w:val="00C021AF"/>
    <w:rsid w:val="00C025F4"/>
    <w:rsid w:val="00C02951"/>
    <w:rsid w:val="00C03627"/>
    <w:rsid w:val="00C03803"/>
    <w:rsid w:val="00C03929"/>
    <w:rsid w:val="00C03944"/>
    <w:rsid w:val="00C03C88"/>
    <w:rsid w:val="00C03CE5"/>
    <w:rsid w:val="00C04000"/>
    <w:rsid w:val="00C04C62"/>
    <w:rsid w:val="00C0505D"/>
    <w:rsid w:val="00C053BC"/>
    <w:rsid w:val="00C054B8"/>
    <w:rsid w:val="00C05745"/>
    <w:rsid w:val="00C05760"/>
    <w:rsid w:val="00C05A90"/>
    <w:rsid w:val="00C05DAE"/>
    <w:rsid w:val="00C05FD0"/>
    <w:rsid w:val="00C060D8"/>
    <w:rsid w:val="00C060E8"/>
    <w:rsid w:val="00C06420"/>
    <w:rsid w:val="00C0651C"/>
    <w:rsid w:val="00C06B5D"/>
    <w:rsid w:val="00C06F7F"/>
    <w:rsid w:val="00C07054"/>
    <w:rsid w:val="00C0718B"/>
    <w:rsid w:val="00C07939"/>
    <w:rsid w:val="00C07AFC"/>
    <w:rsid w:val="00C07E39"/>
    <w:rsid w:val="00C102CE"/>
    <w:rsid w:val="00C103D9"/>
    <w:rsid w:val="00C10B64"/>
    <w:rsid w:val="00C10D88"/>
    <w:rsid w:val="00C10ED6"/>
    <w:rsid w:val="00C10FEB"/>
    <w:rsid w:val="00C110A7"/>
    <w:rsid w:val="00C1141B"/>
    <w:rsid w:val="00C114FF"/>
    <w:rsid w:val="00C11780"/>
    <w:rsid w:val="00C119AB"/>
    <w:rsid w:val="00C11BC5"/>
    <w:rsid w:val="00C11C14"/>
    <w:rsid w:val="00C11DE9"/>
    <w:rsid w:val="00C11E96"/>
    <w:rsid w:val="00C11EC0"/>
    <w:rsid w:val="00C121FF"/>
    <w:rsid w:val="00C13475"/>
    <w:rsid w:val="00C1347B"/>
    <w:rsid w:val="00C13497"/>
    <w:rsid w:val="00C136A8"/>
    <w:rsid w:val="00C13891"/>
    <w:rsid w:val="00C13E01"/>
    <w:rsid w:val="00C14190"/>
    <w:rsid w:val="00C142E6"/>
    <w:rsid w:val="00C1474B"/>
    <w:rsid w:val="00C1489E"/>
    <w:rsid w:val="00C14F31"/>
    <w:rsid w:val="00C1535E"/>
    <w:rsid w:val="00C15688"/>
    <w:rsid w:val="00C15801"/>
    <w:rsid w:val="00C15966"/>
    <w:rsid w:val="00C159B5"/>
    <w:rsid w:val="00C15AB0"/>
    <w:rsid w:val="00C15DF4"/>
    <w:rsid w:val="00C1605B"/>
    <w:rsid w:val="00C160E2"/>
    <w:rsid w:val="00C160F7"/>
    <w:rsid w:val="00C16575"/>
    <w:rsid w:val="00C16937"/>
    <w:rsid w:val="00C16A75"/>
    <w:rsid w:val="00C16D82"/>
    <w:rsid w:val="00C16F2E"/>
    <w:rsid w:val="00C20068"/>
    <w:rsid w:val="00C20152"/>
    <w:rsid w:val="00C20965"/>
    <w:rsid w:val="00C20B91"/>
    <w:rsid w:val="00C20C55"/>
    <w:rsid w:val="00C20D21"/>
    <w:rsid w:val="00C212F6"/>
    <w:rsid w:val="00C21311"/>
    <w:rsid w:val="00C21343"/>
    <w:rsid w:val="00C213B7"/>
    <w:rsid w:val="00C21892"/>
    <w:rsid w:val="00C21C98"/>
    <w:rsid w:val="00C21CA8"/>
    <w:rsid w:val="00C21D92"/>
    <w:rsid w:val="00C21F47"/>
    <w:rsid w:val="00C21F65"/>
    <w:rsid w:val="00C220AB"/>
    <w:rsid w:val="00C22B18"/>
    <w:rsid w:val="00C22C70"/>
    <w:rsid w:val="00C22D13"/>
    <w:rsid w:val="00C22D23"/>
    <w:rsid w:val="00C22DD7"/>
    <w:rsid w:val="00C231A6"/>
    <w:rsid w:val="00C23305"/>
    <w:rsid w:val="00C235B5"/>
    <w:rsid w:val="00C23694"/>
    <w:rsid w:val="00C23755"/>
    <w:rsid w:val="00C2382E"/>
    <w:rsid w:val="00C2436C"/>
    <w:rsid w:val="00C2461C"/>
    <w:rsid w:val="00C24ADB"/>
    <w:rsid w:val="00C24FEB"/>
    <w:rsid w:val="00C25031"/>
    <w:rsid w:val="00C2520E"/>
    <w:rsid w:val="00C25332"/>
    <w:rsid w:val="00C25711"/>
    <w:rsid w:val="00C257F6"/>
    <w:rsid w:val="00C25947"/>
    <w:rsid w:val="00C25BEB"/>
    <w:rsid w:val="00C25BFB"/>
    <w:rsid w:val="00C25D81"/>
    <w:rsid w:val="00C25E0F"/>
    <w:rsid w:val="00C26296"/>
    <w:rsid w:val="00C26499"/>
    <w:rsid w:val="00C26E82"/>
    <w:rsid w:val="00C2739B"/>
    <w:rsid w:val="00C27421"/>
    <w:rsid w:val="00C30073"/>
    <w:rsid w:val="00C304B5"/>
    <w:rsid w:val="00C3057D"/>
    <w:rsid w:val="00C30949"/>
    <w:rsid w:val="00C30971"/>
    <w:rsid w:val="00C30C7E"/>
    <w:rsid w:val="00C310AC"/>
    <w:rsid w:val="00C31166"/>
    <w:rsid w:val="00C31477"/>
    <w:rsid w:val="00C31717"/>
    <w:rsid w:val="00C31732"/>
    <w:rsid w:val="00C31849"/>
    <w:rsid w:val="00C31864"/>
    <w:rsid w:val="00C32179"/>
    <w:rsid w:val="00C32B44"/>
    <w:rsid w:val="00C32F81"/>
    <w:rsid w:val="00C330CC"/>
    <w:rsid w:val="00C330FF"/>
    <w:rsid w:val="00C33620"/>
    <w:rsid w:val="00C336F3"/>
    <w:rsid w:val="00C33937"/>
    <w:rsid w:val="00C33CC3"/>
    <w:rsid w:val="00C33FDE"/>
    <w:rsid w:val="00C3426C"/>
    <w:rsid w:val="00C346AB"/>
    <w:rsid w:val="00C34B0E"/>
    <w:rsid w:val="00C35376"/>
    <w:rsid w:val="00C35558"/>
    <w:rsid w:val="00C35833"/>
    <w:rsid w:val="00C35B61"/>
    <w:rsid w:val="00C35EB7"/>
    <w:rsid w:val="00C364E6"/>
    <w:rsid w:val="00C36529"/>
    <w:rsid w:val="00C36BB4"/>
    <w:rsid w:val="00C36C55"/>
    <w:rsid w:val="00C36FB2"/>
    <w:rsid w:val="00C372C5"/>
    <w:rsid w:val="00C372F2"/>
    <w:rsid w:val="00C37597"/>
    <w:rsid w:val="00C375C4"/>
    <w:rsid w:val="00C37C61"/>
    <w:rsid w:val="00C37D4E"/>
    <w:rsid w:val="00C37D9F"/>
    <w:rsid w:val="00C4039E"/>
    <w:rsid w:val="00C403B1"/>
    <w:rsid w:val="00C4044B"/>
    <w:rsid w:val="00C404EB"/>
    <w:rsid w:val="00C407A7"/>
    <w:rsid w:val="00C407F1"/>
    <w:rsid w:val="00C40916"/>
    <w:rsid w:val="00C40941"/>
    <w:rsid w:val="00C40B00"/>
    <w:rsid w:val="00C40D2B"/>
    <w:rsid w:val="00C410A6"/>
    <w:rsid w:val="00C41326"/>
    <w:rsid w:val="00C4136A"/>
    <w:rsid w:val="00C41AAB"/>
    <w:rsid w:val="00C41D13"/>
    <w:rsid w:val="00C41EE0"/>
    <w:rsid w:val="00C4212D"/>
    <w:rsid w:val="00C427DE"/>
    <w:rsid w:val="00C42BC3"/>
    <w:rsid w:val="00C42C46"/>
    <w:rsid w:val="00C42C51"/>
    <w:rsid w:val="00C42FC7"/>
    <w:rsid w:val="00C435DE"/>
    <w:rsid w:val="00C43C25"/>
    <w:rsid w:val="00C44011"/>
    <w:rsid w:val="00C442EB"/>
    <w:rsid w:val="00C4456C"/>
    <w:rsid w:val="00C448D7"/>
    <w:rsid w:val="00C44F50"/>
    <w:rsid w:val="00C45218"/>
    <w:rsid w:val="00C45414"/>
    <w:rsid w:val="00C45474"/>
    <w:rsid w:val="00C4576D"/>
    <w:rsid w:val="00C45B7C"/>
    <w:rsid w:val="00C45C94"/>
    <w:rsid w:val="00C45D8F"/>
    <w:rsid w:val="00C45F78"/>
    <w:rsid w:val="00C46005"/>
    <w:rsid w:val="00C46555"/>
    <w:rsid w:val="00C46879"/>
    <w:rsid w:val="00C46C28"/>
    <w:rsid w:val="00C46F62"/>
    <w:rsid w:val="00C46F64"/>
    <w:rsid w:val="00C47120"/>
    <w:rsid w:val="00C4721B"/>
    <w:rsid w:val="00C4730E"/>
    <w:rsid w:val="00C47393"/>
    <w:rsid w:val="00C47647"/>
    <w:rsid w:val="00C47EEF"/>
    <w:rsid w:val="00C5015F"/>
    <w:rsid w:val="00C50311"/>
    <w:rsid w:val="00C5066A"/>
    <w:rsid w:val="00C50CD4"/>
    <w:rsid w:val="00C510D5"/>
    <w:rsid w:val="00C517FC"/>
    <w:rsid w:val="00C51C34"/>
    <w:rsid w:val="00C51CC7"/>
    <w:rsid w:val="00C51F12"/>
    <w:rsid w:val="00C51FB6"/>
    <w:rsid w:val="00C52EAA"/>
    <w:rsid w:val="00C53618"/>
    <w:rsid w:val="00C536C3"/>
    <w:rsid w:val="00C538A6"/>
    <w:rsid w:val="00C540AB"/>
    <w:rsid w:val="00C5431E"/>
    <w:rsid w:val="00C54914"/>
    <w:rsid w:val="00C549AC"/>
    <w:rsid w:val="00C54BE3"/>
    <w:rsid w:val="00C54FD0"/>
    <w:rsid w:val="00C55022"/>
    <w:rsid w:val="00C553B3"/>
    <w:rsid w:val="00C55403"/>
    <w:rsid w:val="00C55B0A"/>
    <w:rsid w:val="00C5724B"/>
    <w:rsid w:val="00C57262"/>
    <w:rsid w:val="00C575FA"/>
    <w:rsid w:val="00C579E3"/>
    <w:rsid w:val="00C57B2D"/>
    <w:rsid w:val="00C57BA7"/>
    <w:rsid w:val="00C57C5D"/>
    <w:rsid w:val="00C6004E"/>
    <w:rsid w:val="00C60127"/>
    <w:rsid w:val="00C605E8"/>
    <w:rsid w:val="00C6076C"/>
    <w:rsid w:val="00C60CD0"/>
    <w:rsid w:val="00C61398"/>
    <w:rsid w:val="00C614EB"/>
    <w:rsid w:val="00C6158D"/>
    <w:rsid w:val="00C617A0"/>
    <w:rsid w:val="00C619C1"/>
    <w:rsid w:val="00C61CA5"/>
    <w:rsid w:val="00C61CAF"/>
    <w:rsid w:val="00C6209D"/>
    <w:rsid w:val="00C62AD6"/>
    <w:rsid w:val="00C62B67"/>
    <w:rsid w:val="00C62BFE"/>
    <w:rsid w:val="00C63524"/>
    <w:rsid w:val="00C636D0"/>
    <w:rsid w:val="00C63791"/>
    <w:rsid w:val="00C6394E"/>
    <w:rsid w:val="00C63C46"/>
    <w:rsid w:val="00C63CC8"/>
    <w:rsid w:val="00C63FA1"/>
    <w:rsid w:val="00C64009"/>
    <w:rsid w:val="00C64126"/>
    <w:rsid w:val="00C641C9"/>
    <w:rsid w:val="00C642AF"/>
    <w:rsid w:val="00C6453A"/>
    <w:rsid w:val="00C64581"/>
    <w:rsid w:val="00C64BF1"/>
    <w:rsid w:val="00C64C16"/>
    <w:rsid w:val="00C64C50"/>
    <w:rsid w:val="00C64F9F"/>
    <w:rsid w:val="00C6519C"/>
    <w:rsid w:val="00C658F3"/>
    <w:rsid w:val="00C65BB7"/>
    <w:rsid w:val="00C66002"/>
    <w:rsid w:val="00C66195"/>
    <w:rsid w:val="00C6623B"/>
    <w:rsid w:val="00C663B1"/>
    <w:rsid w:val="00C664C7"/>
    <w:rsid w:val="00C6652C"/>
    <w:rsid w:val="00C66753"/>
    <w:rsid w:val="00C66ADC"/>
    <w:rsid w:val="00C66F2F"/>
    <w:rsid w:val="00C66F56"/>
    <w:rsid w:val="00C66F74"/>
    <w:rsid w:val="00C66F83"/>
    <w:rsid w:val="00C67A78"/>
    <w:rsid w:val="00C67D9F"/>
    <w:rsid w:val="00C67ED9"/>
    <w:rsid w:val="00C700E7"/>
    <w:rsid w:val="00C70DB3"/>
    <w:rsid w:val="00C70E8B"/>
    <w:rsid w:val="00C70EC8"/>
    <w:rsid w:val="00C71405"/>
    <w:rsid w:val="00C71C16"/>
    <w:rsid w:val="00C71DE9"/>
    <w:rsid w:val="00C71F1A"/>
    <w:rsid w:val="00C7248C"/>
    <w:rsid w:val="00C725CE"/>
    <w:rsid w:val="00C72B7A"/>
    <w:rsid w:val="00C72ED1"/>
    <w:rsid w:val="00C72EEB"/>
    <w:rsid w:val="00C7316E"/>
    <w:rsid w:val="00C737E3"/>
    <w:rsid w:val="00C7381E"/>
    <w:rsid w:val="00C73EF5"/>
    <w:rsid w:val="00C741AA"/>
    <w:rsid w:val="00C743B3"/>
    <w:rsid w:val="00C74A2C"/>
    <w:rsid w:val="00C74B65"/>
    <w:rsid w:val="00C74D83"/>
    <w:rsid w:val="00C74D87"/>
    <w:rsid w:val="00C74F3C"/>
    <w:rsid w:val="00C74F7B"/>
    <w:rsid w:val="00C75073"/>
    <w:rsid w:val="00C750F5"/>
    <w:rsid w:val="00C751EC"/>
    <w:rsid w:val="00C75348"/>
    <w:rsid w:val="00C756A3"/>
    <w:rsid w:val="00C75821"/>
    <w:rsid w:val="00C75943"/>
    <w:rsid w:val="00C76442"/>
    <w:rsid w:val="00C76494"/>
    <w:rsid w:val="00C768CC"/>
    <w:rsid w:val="00C76A2A"/>
    <w:rsid w:val="00C76DDE"/>
    <w:rsid w:val="00C76DF4"/>
    <w:rsid w:val="00C77011"/>
    <w:rsid w:val="00C772FC"/>
    <w:rsid w:val="00C7752A"/>
    <w:rsid w:val="00C80514"/>
    <w:rsid w:val="00C8063D"/>
    <w:rsid w:val="00C806F5"/>
    <w:rsid w:val="00C80DA8"/>
    <w:rsid w:val="00C80F12"/>
    <w:rsid w:val="00C8124A"/>
    <w:rsid w:val="00C812A0"/>
    <w:rsid w:val="00C81463"/>
    <w:rsid w:val="00C81506"/>
    <w:rsid w:val="00C81715"/>
    <w:rsid w:val="00C817BD"/>
    <w:rsid w:val="00C818E1"/>
    <w:rsid w:val="00C81914"/>
    <w:rsid w:val="00C81AB5"/>
    <w:rsid w:val="00C81B2D"/>
    <w:rsid w:val="00C81CF1"/>
    <w:rsid w:val="00C81FDD"/>
    <w:rsid w:val="00C82171"/>
    <w:rsid w:val="00C825AB"/>
    <w:rsid w:val="00C825CE"/>
    <w:rsid w:val="00C82974"/>
    <w:rsid w:val="00C82B5F"/>
    <w:rsid w:val="00C831AE"/>
    <w:rsid w:val="00C833DD"/>
    <w:rsid w:val="00C83718"/>
    <w:rsid w:val="00C83921"/>
    <w:rsid w:val="00C83933"/>
    <w:rsid w:val="00C839C7"/>
    <w:rsid w:val="00C841E8"/>
    <w:rsid w:val="00C842DC"/>
    <w:rsid w:val="00C843F7"/>
    <w:rsid w:val="00C84761"/>
    <w:rsid w:val="00C84953"/>
    <w:rsid w:val="00C84AA2"/>
    <w:rsid w:val="00C84C12"/>
    <w:rsid w:val="00C84C5D"/>
    <w:rsid w:val="00C84CB8"/>
    <w:rsid w:val="00C852AB"/>
    <w:rsid w:val="00C85879"/>
    <w:rsid w:val="00C85E76"/>
    <w:rsid w:val="00C85E93"/>
    <w:rsid w:val="00C862ED"/>
    <w:rsid w:val="00C86DB9"/>
    <w:rsid w:val="00C86E24"/>
    <w:rsid w:val="00C8701C"/>
    <w:rsid w:val="00C875CF"/>
    <w:rsid w:val="00C87995"/>
    <w:rsid w:val="00C87BE3"/>
    <w:rsid w:val="00C87F38"/>
    <w:rsid w:val="00C90CF0"/>
    <w:rsid w:val="00C90CFA"/>
    <w:rsid w:val="00C90F67"/>
    <w:rsid w:val="00C90FF8"/>
    <w:rsid w:val="00C911F6"/>
    <w:rsid w:val="00C9120A"/>
    <w:rsid w:val="00C9217B"/>
    <w:rsid w:val="00C92505"/>
    <w:rsid w:val="00C93014"/>
    <w:rsid w:val="00C930A0"/>
    <w:rsid w:val="00C9331E"/>
    <w:rsid w:val="00C9332D"/>
    <w:rsid w:val="00C93A2A"/>
    <w:rsid w:val="00C93A3E"/>
    <w:rsid w:val="00C93F1C"/>
    <w:rsid w:val="00C9423D"/>
    <w:rsid w:val="00C946FA"/>
    <w:rsid w:val="00C9477B"/>
    <w:rsid w:val="00C94799"/>
    <w:rsid w:val="00C947D7"/>
    <w:rsid w:val="00C94E41"/>
    <w:rsid w:val="00C95329"/>
    <w:rsid w:val="00C9577B"/>
    <w:rsid w:val="00C95788"/>
    <w:rsid w:val="00C959BD"/>
    <w:rsid w:val="00C95A44"/>
    <w:rsid w:val="00C95C10"/>
    <w:rsid w:val="00C95DB1"/>
    <w:rsid w:val="00C95FBB"/>
    <w:rsid w:val="00C96753"/>
    <w:rsid w:val="00C96A40"/>
    <w:rsid w:val="00C96B2C"/>
    <w:rsid w:val="00C96C66"/>
    <w:rsid w:val="00C97073"/>
    <w:rsid w:val="00C974DD"/>
    <w:rsid w:val="00C97B01"/>
    <w:rsid w:val="00C97E96"/>
    <w:rsid w:val="00C97F50"/>
    <w:rsid w:val="00CA0085"/>
    <w:rsid w:val="00CA00EC"/>
    <w:rsid w:val="00CA027E"/>
    <w:rsid w:val="00CA04BC"/>
    <w:rsid w:val="00CA0E28"/>
    <w:rsid w:val="00CA121F"/>
    <w:rsid w:val="00CA1270"/>
    <w:rsid w:val="00CA19FF"/>
    <w:rsid w:val="00CA1B43"/>
    <w:rsid w:val="00CA1D70"/>
    <w:rsid w:val="00CA1DE4"/>
    <w:rsid w:val="00CA20D7"/>
    <w:rsid w:val="00CA2201"/>
    <w:rsid w:val="00CA2490"/>
    <w:rsid w:val="00CA24EB"/>
    <w:rsid w:val="00CA24FA"/>
    <w:rsid w:val="00CA2905"/>
    <w:rsid w:val="00CA299E"/>
    <w:rsid w:val="00CA2BCE"/>
    <w:rsid w:val="00CA2C5E"/>
    <w:rsid w:val="00CA2FE7"/>
    <w:rsid w:val="00CA31E9"/>
    <w:rsid w:val="00CA32E7"/>
    <w:rsid w:val="00CA35B0"/>
    <w:rsid w:val="00CA3ABA"/>
    <w:rsid w:val="00CA3B17"/>
    <w:rsid w:val="00CA3C94"/>
    <w:rsid w:val="00CA416D"/>
    <w:rsid w:val="00CA432F"/>
    <w:rsid w:val="00CA4A36"/>
    <w:rsid w:val="00CA4B60"/>
    <w:rsid w:val="00CA4CE4"/>
    <w:rsid w:val="00CA4DC2"/>
    <w:rsid w:val="00CA5128"/>
    <w:rsid w:val="00CA51EB"/>
    <w:rsid w:val="00CA546A"/>
    <w:rsid w:val="00CA5721"/>
    <w:rsid w:val="00CA5C26"/>
    <w:rsid w:val="00CA5D0B"/>
    <w:rsid w:val="00CA6192"/>
    <w:rsid w:val="00CA6839"/>
    <w:rsid w:val="00CA7242"/>
    <w:rsid w:val="00CA77B4"/>
    <w:rsid w:val="00CA7A3B"/>
    <w:rsid w:val="00CA7B10"/>
    <w:rsid w:val="00CA7C1C"/>
    <w:rsid w:val="00CA7C91"/>
    <w:rsid w:val="00CA7CB4"/>
    <w:rsid w:val="00CB04B6"/>
    <w:rsid w:val="00CB0AE9"/>
    <w:rsid w:val="00CB0BED"/>
    <w:rsid w:val="00CB0DB8"/>
    <w:rsid w:val="00CB15C2"/>
    <w:rsid w:val="00CB274F"/>
    <w:rsid w:val="00CB279C"/>
    <w:rsid w:val="00CB293E"/>
    <w:rsid w:val="00CB3057"/>
    <w:rsid w:val="00CB3466"/>
    <w:rsid w:val="00CB357A"/>
    <w:rsid w:val="00CB3E75"/>
    <w:rsid w:val="00CB3F30"/>
    <w:rsid w:val="00CB40C7"/>
    <w:rsid w:val="00CB413B"/>
    <w:rsid w:val="00CB41F7"/>
    <w:rsid w:val="00CB427C"/>
    <w:rsid w:val="00CB4739"/>
    <w:rsid w:val="00CB4C9C"/>
    <w:rsid w:val="00CB4E09"/>
    <w:rsid w:val="00CB4E17"/>
    <w:rsid w:val="00CB4FBE"/>
    <w:rsid w:val="00CB50E1"/>
    <w:rsid w:val="00CB5263"/>
    <w:rsid w:val="00CB54C9"/>
    <w:rsid w:val="00CB58CE"/>
    <w:rsid w:val="00CB5ACC"/>
    <w:rsid w:val="00CB5B10"/>
    <w:rsid w:val="00CB6256"/>
    <w:rsid w:val="00CB6276"/>
    <w:rsid w:val="00CB62CD"/>
    <w:rsid w:val="00CB6BA5"/>
    <w:rsid w:val="00CB6C28"/>
    <w:rsid w:val="00CB7409"/>
    <w:rsid w:val="00CB7418"/>
    <w:rsid w:val="00CB74B2"/>
    <w:rsid w:val="00CB7791"/>
    <w:rsid w:val="00CB7A2A"/>
    <w:rsid w:val="00CB7C34"/>
    <w:rsid w:val="00CC0033"/>
    <w:rsid w:val="00CC03D9"/>
    <w:rsid w:val="00CC041A"/>
    <w:rsid w:val="00CC0C22"/>
    <w:rsid w:val="00CC1388"/>
    <w:rsid w:val="00CC18C3"/>
    <w:rsid w:val="00CC18F7"/>
    <w:rsid w:val="00CC25B9"/>
    <w:rsid w:val="00CC2845"/>
    <w:rsid w:val="00CC2882"/>
    <w:rsid w:val="00CC2C66"/>
    <w:rsid w:val="00CC33C9"/>
    <w:rsid w:val="00CC3898"/>
    <w:rsid w:val="00CC3C5D"/>
    <w:rsid w:val="00CC3E77"/>
    <w:rsid w:val="00CC3F77"/>
    <w:rsid w:val="00CC3FE3"/>
    <w:rsid w:val="00CC433B"/>
    <w:rsid w:val="00CC4552"/>
    <w:rsid w:val="00CC4561"/>
    <w:rsid w:val="00CC45BB"/>
    <w:rsid w:val="00CC481D"/>
    <w:rsid w:val="00CC4855"/>
    <w:rsid w:val="00CC49D8"/>
    <w:rsid w:val="00CC4A8D"/>
    <w:rsid w:val="00CC4B4E"/>
    <w:rsid w:val="00CC4DE8"/>
    <w:rsid w:val="00CC53D8"/>
    <w:rsid w:val="00CC53EB"/>
    <w:rsid w:val="00CC5486"/>
    <w:rsid w:val="00CC54B2"/>
    <w:rsid w:val="00CC5CCE"/>
    <w:rsid w:val="00CC5D5D"/>
    <w:rsid w:val="00CC5E52"/>
    <w:rsid w:val="00CC5FF2"/>
    <w:rsid w:val="00CC6173"/>
    <w:rsid w:val="00CC6185"/>
    <w:rsid w:val="00CC6709"/>
    <w:rsid w:val="00CC67E7"/>
    <w:rsid w:val="00CC682A"/>
    <w:rsid w:val="00CC6902"/>
    <w:rsid w:val="00CC6C45"/>
    <w:rsid w:val="00CC6DC6"/>
    <w:rsid w:val="00CC6E9A"/>
    <w:rsid w:val="00CC7046"/>
    <w:rsid w:val="00CC708E"/>
    <w:rsid w:val="00CC71E0"/>
    <w:rsid w:val="00CC727A"/>
    <w:rsid w:val="00CC7299"/>
    <w:rsid w:val="00CC74AA"/>
    <w:rsid w:val="00CC762C"/>
    <w:rsid w:val="00CC79A1"/>
    <w:rsid w:val="00CC7BF7"/>
    <w:rsid w:val="00CD014B"/>
    <w:rsid w:val="00CD019C"/>
    <w:rsid w:val="00CD0273"/>
    <w:rsid w:val="00CD05BE"/>
    <w:rsid w:val="00CD07E4"/>
    <w:rsid w:val="00CD0AEC"/>
    <w:rsid w:val="00CD0BC8"/>
    <w:rsid w:val="00CD0BEA"/>
    <w:rsid w:val="00CD0D6D"/>
    <w:rsid w:val="00CD0F69"/>
    <w:rsid w:val="00CD2496"/>
    <w:rsid w:val="00CD259C"/>
    <w:rsid w:val="00CD2703"/>
    <w:rsid w:val="00CD2844"/>
    <w:rsid w:val="00CD28A6"/>
    <w:rsid w:val="00CD28D4"/>
    <w:rsid w:val="00CD2951"/>
    <w:rsid w:val="00CD2984"/>
    <w:rsid w:val="00CD2997"/>
    <w:rsid w:val="00CD2B2C"/>
    <w:rsid w:val="00CD2C2F"/>
    <w:rsid w:val="00CD305C"/>
    <w:rsid w:val="00CD335B"/>
    <w:rsid w:val="00CD33B2"/>
    <w:rsid w:val="00CD3444"/>
    <w:rsid w:val="00CD3472"/>
    <w:rsid w:val="00CD392B"/>
    <w:rsid w:val="00CD3CF8"/>
    <w:rsid w:val="00CD4123"/>
    <w:rsid w:val="00CD41D6"/>
    <w:rsid w:val="00CD4218"/>
    <w:rsid w:val="00CD4251"/>
    <w:rsid w:val="00CD426B"/>
    <w:rsid w:val="00CD438C"/>
    <w:rsid w:val="00CD452C"/>
    <w:rsid w:val="00CD4A2D"/>
    <w:rsid w:val="00CD4AAA"/>
    <w:rsid w:val="00CD4B1E"/>
    <w:rsid w:val="00CD4FFE"/>
    <w:rsid w:val="00CD50E3"/>
    <w:rsid w:val="00CD5594"/>
    <w:rsid w:val="00CD56C3"/>
    <w:rsid w:val="00CD59D3"/>
    <w:rsid w:val="00CD5DEF"/>
    <w:rsid w:val="00CD5F06"/>
    <w:rsid w:val="00CD6001"/>
    <w:rsid w:val="00CD6199"/>
    <w:rsid w:val="00CD6347"/>
    <w:rsid w:val="00CD639B"/>
    <w:rsid w:val="00CD6700"/>
    <w:rsid w:val="00CD7392"/>
    <w:rsid w:val="00CD77F5"/>
    <w:rsid w:val="00CD7A70"/>
    <w:rsid w:val="00CD7F5E"/>
    <w:rsid w:val="00CE04F9"/>
    <w:rsid w:val="00CE0806"/>
    <w:rsid w:val="00CE0AF2"/>
    <w:rsid w:val="00CE1147"/>
    <w:rsid w:val="00CE11B9"/>
    <w:rsid w:val="00CE1257"/>
    <w:rsid w:val="00CE1703"/>
    <w:rsid w:val="00CE1DFD"/>
    <w:rsid w:val="00CE21E1"/>
    <w:rsid w:val="00CE23FD"/>
    <w:rsid w:val="00CE24B1"/>
    <w:rsid w:val="00CE2811"/>
    <w:rsid w:val="00CE2A09"/>
    <w:rsid w:val="00CE2ABE"/>
    <w:rsid w:val="00CE2BD5"/>
    <w:rsid w:val="00CE2CF9"/>
    <w:rsid w:val="00CE30B0"/>
    <w:rsid w:val="00CE323A"/>
    <w:rsid w:val="00CE32B2"/>
    <w:rsid w:val="00CE33B1"/>
    <w:rsid w:val="00CE34FE"/>
    <w:rsid w:val="00CE36CC"/>
    <w:rsid w:val="00CE39E9"/>
    <w:rsid w:val="00CE4014"/>
    <w:rsid w:val="00CE40D9"/>
    <w:rsid w:val="00CE490F"/>
    <w:rsid w:val="00CE4E0F"/>
    <w:rsid w:val="00CE4EB3"/>
    <w:rsid w:val="00CE5001"/>
    <w:rsid w:val="00CE50E7"/>
    <w:rsid w:val="00CE5103"/>
    <w:rsid w:val="00CE54A9"/>
    <w:rsid w:val="00CE54FF"/>
    <w:rsid w:val="00CE5A4B"/>
    <w:rsid w:val="00CE5A62"/>
    <w:rsid w:val="00CE5AD6"/>
    <w:rsid w:val="00CE5B53"/>
    <w:rsid w:val="00CE61B8"/>
    <w:rsid w:val="00CE6A2A"/>
    <w:rsid w:val="00CE6C2C"/>
    <w:rsid w:val="00CE6C3B"/>
    <w:rsid w:val="00CE715C"/>
    <w:rsid w:val="00CE74DC"/>
    <w:rsid w:val="00CE789A"/>
    <w:rsid w:val="00CF0201"/>
    <w:rsid w:val="00CF0223"/>
    <w:rsid w:val="00CF058C"/>
    <w:rsid w:val="00CF0651"/>
    <w:rsid w:val="00CF0715"/>
    <w:rsid w:val="00CF0929"/>
    <w:rsid w:val="00CF0A41"/>
    <w:rsid w:val="00CF137E"/>
    <w:rsid w:val="00CF158B"/>
    <w:rsid w:val="00CF1617"/>
    <w:rsid w:val="00CF1806"/>
    <w:rsid w:val="00CF1895"/>
    <w:rsid w:val="00CF196B"/>
    <w:rsid w:val="00CF1BC4"/>
    <w:rsid w:val="00CF1C6D"/>
    <w:rsid w:val="00CF200C"/>
    <w:rsid w:val="00CF2514"/>
    <w:rsid w:val="00CF3649"/>
    <w:rsid w:val="00CF3813"/>
    <w:rsid w:val="00CF384C"/>
    <w:rsid w:val="00CF3BD3"/>
    <w:rsid w:val="00CF456F"/>
    <w:rsid w:val="00CF47E5"/>
    <w:rsid w:val="00CF4CBA"/>
    <w:rsid w:val="00CF4D1D"/>
    <w:rsid w:val="00CF4E1F"/>
    <w:rsid w:val="00CF51D5"/>
    <w:rsid w:val="00CF546F"/>
    <w:rsid w:val="00CF570F"/>
    <w:rsid w:val="00CF5846"/>
    <w:rsid w:val="00CF5A10"/>
    <w:rsid w:val="00CF5C59"/>
    <w:rsid w:val="00CF5EFB"/>
    <w:rsid w:val="00CF622A"/>
    <w:rsid w:val="00CF62F0"/>
    <w:rsid w:val="00CF642E"/>
    <w:rsid w:val="00CF6573"/>
    <w:rsid w:val="00CF69C2"/>
    <w:rsid w:val="00CF6A44"/>
    <w:rsid w:val="00CF73DC"/>
    <w:rsid w:val="00CF7509"/>
    <w:rsid w:val="00CF7723"/>
    <w:rsid w:val="00CF79DA"/>
    <w:rsid w:val="00CF7BD2"/>
    <w:rsid w:val="00CF7CD4"/>
    <w:rsid w:val="00CF7D5D"/>
    <w:rsid w:val="00D0006D"/>
    <w:rsid w:val="00D00268"/>
    <w:rsid w:val="00D00274"/>
    <w:rsid w:val="00D006C1"/>
    <w:rsid w:val="00D00B87"/>
    <w:rsid w:val="00D00E27"/>
    <w:rsid w:val="00D0139E"/>
    <w:rsid w:val="00D013AB"/>
    <w:rsid w:val="00D01AE0"/>
    <w:rsid w:val="00D01BA5"/>
    <w:rsid w:val="00D01C73"/>
    <w:rsid w:val="00D021B4"/>
    <w:rsid w:val="00D021EC"/>
    <w:rsid w:val="00D0265D"/>
    <w:rsid w:val="00D02EDC"/>
    <w:rsid w:val="00D02FCC"/>
    <w:rsid w:val="00D0327A"/>
    <w:rsid w:val="00D03367"/>
    <w:rsid w:val="00D0389E"/>
    <w:rsid w:val="00D03D75"/>
    <w:rsid w:val="00D03E87"/>
    <w:rsid w:val="00D03EB0"/>
    <w:rsid w:val="00D0429F"/>
    <w:rsid w:val="00D0446E"/>
    <w:rsid w:val="00D04600"/>
    <w:rsid w:val="00D04679"/>
    <w:rsid w:val="00D046D8"/>
    <w:rsid w:val="00D0498D"/>
    <w:rsid w:val="00D04A80"/>
    <w:rsid w:val="00D04B30"/>
    <w:rsid w:val="00D04D39"/>
    <w:rsid w:val="00D05183"/>
    <w:rsid w:val="00D05661"/>
    <w:rsid w:val="00D061E8"/>
    <w:rsid w:val="00D06235"/>
    <w:rsid w:val="00D0634F"/>
    <w:rsid w:val="00D063D4"/>
    <w:rsid w:val="00D0699B"/>
    <w:rsid w:val="00D06C3F"/>
    <w:rsid w:val="00D06EDC"/>
    <w:rsid w:val="00D071A8"/>
    <w:rsid w:val="00D072A8"/>
    <w:rsid w:val="00D072CD"/>
    <w:rsid w:val="00D07334"/>
    <w:rsid w:val="00D07682"/>
    <w:rsid w:val="00D07785"/>
    <w:rsid w:val="00D07C05"/>
    <w:rsid w:val="00D07D2C"/>
    <w:rsid w:val="00D07E2A"/>
    <w:rsid w:val="00D07E4F"/>
    <w:rsid w:val="00D07F4B"/>
    <w:rsid w:val="00D105EC"/>
    <w:rsid w:val="00D109CC"/>
    <w:rsid w:val="00D10B2C"/>
    <w:rsid w:val="00D1114C"/>
    <w:rsid w:val="00D112D3"/>
    <w:rsid w:val="00D113F6"/>
    <w:rsid w:val="00D1141F"/>
    <w:rsid w:val="00D1155D"/>
    <w:rsid w:val="00D117CF"/>
    <w:rsid w:val="00D1201C"/>
    <w:rsid w:val="00D120DC"/>
    <w:rsid w:val="00D121E4"/>
    <w:rsid w:val="00D1236C"/>
    <w:rsid w:val="00D124A8"/>
    <w:rsid w:val="00D12AD9"/>
    <w:rsid w:val="00D12B3E"/>
    <w:rsid w:val="00D12C77"/>
    <w:rsid w:val="00D13009"/>
    <w:rsid w:val="00D13408"/>
    <w:rsid w:val="00D13444"/>
    <w:rsid w:val="00D13536"/>
    <w:rsid w:val="00D1394E"/>
    <w:rsid w:val="00D13BB0"/>
    <w:rsid w:val="00D13CB5"/>
    <w:rsid w:val="00D13F74"/>
    <w:rsid w:val="00D142C1"/>
    <w:rsid w:val="00D1462A"/>
    <w:rsid w:val="00D1466E"/>
    <w:rsid w:val="00D14755"/>
    <w:rsid w:val="00D14847"/>
    <w:rsid w:val="00D14855"/>
    <w:rsid w:val="00D1493B"/>
    <w:rsid w:val="00D14AA2"/>
    <w:rsid w:val="00D14E98"/>
    <w:rsid w:val="00D14EDE"/>
    <w:rsid w:val="00D152E4"/>
    <w:rsid w:val="00D15574"/>
    <w:rsid w:val="00D15663"/>
    <w:rsid w:val="00D156FC"/>
    <w:rsid w:val="00D1598B"/>
    <w:rsid w:val="00D160D3"/>
    <w:rsid w:val="00D160F8"/>
    <w:rsid w:val="00D163EC"/>
    <w:rsid w:val="00D167B7"/>
    <w:rsid w:val="00D16BCD"/>
    <w:rsid w:val="00D17743"/>
    <w:rsid w:val="00D177E6"/>
    <w:rsid w:val="00D1783D"/>
    <w:rsid w:val="00D2007E"/>
    <w:rsid w:val="00D200FF"/>
    <w:rsid w:val="00D20539"/>
    <w:rsid w:val="00D2063A"/>
    <w:rsid w:val="00D2078B"/>
    <w:rsid w:val="00D207E2"/>
    <w:rsid w:val="00D20A22"/>
    <w:rsid w:val="00D20F07"/>
    <w:rsid w:val="00D21701"/>
    <w:rsid w:val="00D225C7"/>
    <w:rsid w:val="00D225FC"/>
    <w:rsid w:val="00D22C70"/>
    <w:rsid w:val="00D233CF"/>
    <w:rsid w:val="00D23487"/>
    <w:rsid w:val="00D23630"/>
    <w:rsid w:val="00D24B26"/>
    <w:rsid w:val="00D24B4D"/>
    <w:rsid w:val="00D24B71"/>
    <w:rsid w:val="00D24D3C"/>
    <w:rsid w:val="00D24E0E"/>
    <w:rsid w:val="00D25074"/>
    <w:rsid w:val="00D25E44"/>
    <w:rsid w:val="00D25F16"/>
    <w:rsid w:val="00D2657B"/>
    <w:rsid w:val="00D265A0"/>
    <w:rsid w:val="00D267F5"/>
    <w:rsid w:val="00D26983"/>
    <w:rsid w:val="00D26ADE"/>
    <w:rsid w:val="00D27357"/>
    <w:rsid w:val="00D27429"/>
    <w:rsid w:val="00D27562"/>
    <w:rsid w:val="00D275A8"/>
    <w:rsid w:val="00D27B0F"/>
    <w:rsid w:val="00D3022F"/>
    <w:rsid w:val="00D30585"/>
    <w:rsid w:val="00D307B0"/>
    <w:rsid w:val="00D30E9B"/>
    <w:rsid w:val="00D31065"/>
    <w:rsid w:val="00D3136E"/>
    <w:rsid w:val="00D3142E"/>
    <w:rsid w:val="00D31920"/>
    <w:rsid w:val="00D31CE7"/>
    <w:rsid w:val="00D321D8"/>
    <w:rsid w:val="00D32B59"/>
    <w:rsid w:val="00D32CEC"/>
    <w:rsid w:val="00D33030"/>
    <w:rsid w:val="00D332AD"/>
    <w:rsid w:val="00D333AE"/>
    <w:rsid w:val="00D333BB"/>
    <w:rsid w:val="00D3360D"/>
    <w:rsid w:val="00D3362B"/>
    <w:rsid w:val="00D33874"/>
    <w:rsid w:val="00D33D29"/>
    <w:rsid w:val="00D33DC3"/>
    <w:rsid w:val="00D33E39"/>
    <w:rsid w:val="00D34789"/>
    <w:rsid w:val="00D347D4"/>
    <w:rsid w:val="00D34BF4"/>
    <w:rsid w:val="00D34CD0"/>
    <w:rsid w:val="00D34EFF"/>
    <w:rsid w:val="00D350F6"/>
    <w:rsid w:val="00D35248"/>
    <w:rsid w:val="00D35887"/>
    <w:rsid w:val="00D35ADB"/>
    <w:rsid w:val="00D35C94"/>
    <w:rsid w:val="00D3673F"/>
    <w:rsid w:val="00D367B5"/>
    <w:rsid w:val="00D369BF"/>
    <w:rsid w:val="00D370B3"/>
    <w:rsid w:val="00D37436"/>
    <w:rsid w:val="00D3796C"/>
    <w:rsid w:val="00D37E13"/>
    <w:rsid w:val="00D37FBB"/>
    <w:rsid w:val="00D401A8"/>
    <w:rsid w:val="00D40744"/>
    <w:rsid w:val="00D407AC"/>
    <w:rsid w:val="00D4141D"/>
    <w:rsid w:val="00D41461"/>
    <w:rsid w:val="00D41597"/>
    <w:rsid w:val="00D41772"/>
    <w:rsid w:val="00D421EF"/>
    <w:rsid w:val="00D42676"/>
    <w:rsid w:val="00D426BE"/>
    <w:rsid w:val="00D426D4"/>
    <w:rsid w:val="00D42703"/>
    <w:rsid w:val="00D42860"/>
    <w:rsid w:val="00D42A36"/>
    <w:rsid w:val="00D43062"/>
    <w:rsid w:val="00D430FB"/>
    <w:rsid w:val="00D433B8"/>
    <w:rsid w:val="00D4344B"/>
    <w:rsid w:val="00D4383C"/>
    <w:rsid w:val="00D43931"/>
    <w:rsid w:val="00D43943"/>
    <w:rsid w:val="00D4395D"/>
    <w:rsid w:val="00D43992"/>
    <w:rsid w:val="00D43DE9"/>
    <w:rsid w:val="00D43FE4"/>
    <w:rsid w:val="00D44202"/>
    <w:rsid w:val="00D4454C"/>
    <w:rsid w:val="00D4468B"/>
    <w:rsid w:val="00D45836"/>
    <w:rsid w:val="00D459FD"/>
    <w:rsid w:val="00D45BBF"/>
    <w:rsid w:val="00D460F9"/>
    <w:rsid w:val="00D464B1"/>
    <w:rsid w:val="00D46783"/>
    <w:rsid w:val="00D46871"/>
    <w:rsid w:val="00D4697B"/>
    <w:rsid w:val="00D46D10"/>
    <w:rsid w:val="00D46D73"/>
    <w:rsid w:val="00D473A9"/>
    <w:rsid w:val="00D47764"/>
    <w:rsid w:val="00D478AD"/>
    <w:rsid w:val="00D47911"/>
    <w:rsid w:val="00D47AA7"/>
    <w:rsid w:val="00D47BB3"/>
    <w:rsid w:val="00D47BE7"/>
    <w:rsid w:val="00D50117"/>
    <w:rsid w:val="00D501D1"/>
    <w:rsid w:val="00D507B0"/>
    <w:rsid w:val="00D514B1"/>
    <w:rsid w:val="00D5153D"/>
    <w:rsid w:val="00D51697"/>
    <w:rsid w:val="00D516A8"/>
    <w:rsid w:val="00D51A1A"/>
    <w:rsid w:val="00D51CBE"/>
    <w:rsid w:val="00D51D8C"/>
    <w:rsid w:val="00D51FD7"/>
    <w:rsid w:val="00D522E1"/>
    <w:rsid w:val="00D5274B"/>
    <w:rsid w:val="00D527AA"/>
    <w:rsid w:val="00D529D3"/>
    <w:rsid w:val="00D52C2D"/>
    <w:rsid w:val="00D52DFC"/>
    <w:rsid w:val="00D530D5"/>
    <w:rsid w:val="00D53211"/>
    <w:rsid w:val="00D535D7"/>
    <w:rsid w:val="00D53B8B"/>
    <w:rsid w:val="00D53CEE"/>
    <w:rsid w:val="00D53DC4"/>
    <w:rsid w:val="00D53EEC"/>
    <w:rsid w:val="00D54025"/>
    <w:rsid w:val="00D54180"/>
    <w:rsid w:val="00D543A7"/>
    <w:rsid w:val="00D54520"/>
    <w:rsid w:val="00D54BCD"/>
    <w:rsid w:val="00D54BD7"/>
    <w:rsid w:val="00D550A6"/>
    <w:rsid w:val="00D55270"/>
    <w:rsid w:val="00D552CB"/>
    <w:rsid w:val="00D55402"/>
    <w:rsid w:val="00D55529"/>
    <w:rsid w:val="00D5552F"/>
    <w:rsid w:val="00D55856"/>
    <w:rsid w:val="00D558B1"/>
    <w:rsid w:val="00D559AA"/>
    <w:rsid w:val="00D560D4"/>
    <w:rsid w:val="00D56BD4"/>
    <w:rsid w:val="00D56C36"/>
    <w:rsid w:val="00D56CE6"/>
    <w:rsid w:val="00D56D99"/>
    <w:rsid w:val="00D5737C"/>
    <w:rsid w:val="00D574A3"/>
    <w:rsid w:val="00D575BB"/>
    <w:rsid w:val="00D579DA"/>
    <w:rsid w:val="00D57ADC"/>
    <w:rsid w:val="00D57B48"/>
    <w:rsid w:val="00D57C9E"/>
    <w:rsid w:val="00D60080"/>
    <w:rsid w:val="00D60372"/>
    <w:rsid w:val="00D60701"/>
    <w:rsid w:val="00D60B9C"/>
    <w:rsid w:val="00D6100A"/>
    <w:rsid w:val="00D61697"/>
    <w:rsid w:val="00D6173C"/>
    <w:rsid w:val="00D6193A"/>
    <w:rsid w:val="00D619D2"/>
    <w:rsid w:val="00D61B05"/>
    <w:rsid w:val="00D61D67"/>
    <w:rsid w:val="00D6216D"/>
    <w:rsid w:val="00D624C9"/>
    <w:rsid w:val="00D62D54"/>
    <w:rsid w:val="00D62D90"/>
    <w:rsid w:val="00D639FF"/>
    <w:rsid w:val="00D63A1C"/>
    <w:rsid w:val="00D63C3B"/>
    <w:rsid w:val="00D63D6D"/>
    <w:rsid w:val="00D644F8"/>
    <w:rsid w:val="00D6459D"/>
    <w:rsid w:val="00D648F3"/>
    <w:rsid w:val="00D64A3E"/>
    <w:rsid w:val="00D64C31"/>
    <w:rsid w:val="00D64D3D"/>
    <w:rsid w:val="00D64EEF"/>
    <w:rsid w:val="00D653AE"/>
    <w:rsid w:val="00D657A5"/>
    <w:rsid w:val="00D659D9"/>
    <w:rsid w:val="00D65A8C"/>
    <w:rsid w:val="00D65B3E"/>
    <w:rsid w:val="00D65E2A"/>
    <w:rsid w:val="00D65E2F"/>
    <w:rsid w:val="00D66E36"/>
    <w:rsid w:val="00D6703C"/>
    <w:rsid w:val="00D67125"/>
    <w:rsid w:val="00D67AAA"/>
    <w:rsid w:val="00D67F6C"/>
    <w:rsid w:val="00D70382"/>
    <w:rsid w:val="00D7042E"/>
    <w:rsid w:val="00D704DD"/>
    <w:rsid w:val="00D70893"/>
    <w:rsid w:val="00D709BE"/>
    <w:rsid w:val="00D71090"/>
    <w:rsid w:val="00D7116C"/>
    <w:rsid w:val="00D7119E"/>
    <w:rsid w:val="00D71413"/>
    <w:rsid w:val="00D715A5"/>
    <w:rsid w:val="00D715C7"/>
    <w:rsid w:val="00D71724"/>
    <w:rsid w:val="00D71C81"/>
    <w:rsid w:val="00D71E40"/>
    <w:rsid w:val="00D72B30"/>
    <w:rsid w:val="00D72C28"/>
    <w:rsid w:val="00D72C38"/>
    <w:rsid w:val="00D73132"/>
    <w:rsid w:val="00D73187"/>
    <w:rsid w:val="00D73188"/>
    <w:rsid w:val="00D73295"/>
    <w:rsid w:val="00D73528"/>
    <w:rsid w:val="00D735DA"/>
    <w:rsid w:val="00D73704"/>
    <w:rsid w:val="00D738E2"/>
    <w:rsid w:val="00D73CD2"/>
    <w:rsid w:val="00D73D48"/>
    <w:rsid w:val="00D740B4"/>
    <w:rsid w:val="00D743E2"/>
    <w:rsid w:val="00D74647"/>
    <w:rsid w:val="00D74AA2"/>
    <w:rsid w:val="00D74B40"/>
    <w:rsid w:val="00D75699"/>
    <w:rsid w:val="00D75BAE"/>
    <w:rsid w:val="00D75F47"/>
    <w:rsid w:val="00D76625"/>
    <w:rsid w:val="00D76930"/>
    <w:rsid w:val="00D76A92"/>
    <w:rsid w:val="00D76DF6"/>
    <w:rsid w:val="00D76E22"/>
    <w:rsid w:val="00D77977"/>
    <w:rsid w:val="00D77B4F"/>
    <w:rsid w:val="00D77CCD"/>
    <w:rsid w:val="00D77D0E"/>
    <w:rsid w:val="00D800F9"/>
    <w:rsid w:val="00D80185"/>
    <w:rsid w:val="00D804F6"/>
    <w:rsid w:val="00D808C0"/>
    <w:rsid w:val="00D80E88"/>
    <w:rsid w:val="00D812B2"/>
    <w:rsid w:val="00D81540"/>
    <w:rsid w:val="00D81990"/>
    <w:rsid w:val="00D81D85"/>
    <w:rsid w:val="00D81DEB"/>
    <w:rsid w:val="00D82748"/>
    <w:rsid w:val="00D82A27"/>
    <w:rsid w:val="00D82C7E"/>
    <w:rsid w:val="00D8361C"/>
    <w:rsid w:val="00D83ABE"/>
    <w:rsid w:val="00D83BA2"/>
    <w:rsid w:val="00D83D16"/>
    <w:rsid w:val="00D841A1"/>
    <w:rsid w:val="00D841F3"/>
    <w:rsid w:val="00D845C6"/>
    <w:rsid w:val="00D84805"/>
    <w:rsid w:val="00D84C3E"/>
    <w:rsid w:val="00D850E8"/>
    <w:rsid w:val="00D851C0"/>
    <w:rsid w:val="00D8530C"/>
    <w:rsid w:val="00D85362"/>
    <w:rsid w:val="00D8559A"/>
    <w:rsid w:val="00D85747"/>
    <w:rsid w:val="00D85769"/>
    <w:rsid w:val="00D8592A"/>
    <w:rsid w:val="00D85A51"/>
    <w:rsid w:val="00D85C5B"/>
    <w:rsid w:val="00D85FF2"/>
    <w:rsid w:val="00D860AD"/>
    <w:rsid w:val="00D86108"/>
    <w:rsid w:val="00D86A2F"/>
    <w:rsid w:val="00D86CDB"/>
    <w:rsid w:val="00D86E32"/>
    <w:rsid w:val="00D87002"/>
    <w:rsid w:val="00D87139"/>
    <w:rsid w:val="00D87294"/>
    <w:rsid w:val="00D87C25"/>
    <w:rsid w:val="00D87CF3"/>
    <w:rsid w:val="00D87E8F"/>
    <w:rsid w:val="00D87FB3"/>
    <w:rsid w:val="00D87FE8"/>
    <w:rsid w:val="00D914CE"/>
    <w:rsid w:val="00D91676"/>
    <w:rsid w:val="00D91BF2"/>
    <w:rsid w:val="00D91C91"/>
    <w:rsid w:val="00D91DBF"/>
    <w:rsid w:val="00D92A71"/>
    <w:rsid w:val="00D92B80"/>
    <w:rsid w:val="00D92CB2"/>
    <w:rsid w:val="00D92E0B"/>
    <w:rsid w:val="00D92E23"/>
    <w:rsid w:val="00D934FD"/>
    <w:rsid w:val="00D93672"/>
    <w:rsid w:val="00D9396E"/>
    <w:rsid w:val="00D93C27"/>
    <w:rsid w:val="00D93C91"/>
    <w:rsid w:val="00D94163"/>
    <w:rsid w:val="00D946E6"/>
    <w:rsid w:val="00D947BA"/>
    <w:rsid w:val="00D94B32"/>
    <w:rsid w:val="00D955A1"/>
    <w:rsid w:val="00D955A6"/>
    <w:rsid w:val="00D95A20"/>
    <w:rsid w:val="00D9639A"/>
    <w:rsid w:val="00D96AF8"/>
    <w:rsid w:val="00D96E57"/>
    <w:rsid w:val="00D96FB6"/>
    <w:rsid w:val="00D97572"/>
    <w:rsid w:val="00D9798B"/>
    <w:rsid w:val="00D97B48"/>
    <w:rsid w:val="00D97D76"/>
    <w:rsid w:val="00D97F89"/>
    <w:rsid w:val="00DA023D"/>
    <w:rsid w:val="00DA032D"/>
    <w:rsid w:val="00DA05D7"/>
    <w:rsid w:val="00DA0C4E"/>
    <w:rsid w:val="00DA0EDF"/>
    <w:rsid w:val="00DA13A9"/>
    <w:rsid w:val="00DA176A"/>
    <w:rsid w:val="00DA19F2"/>
    <w:rsid w:val="00DA1B2F"/>
    <w:rsid w:val="00DA1B8C"/>
    <w:rsid w:val="00DA1CEB"/>
    <w:rsid w:val="00DA1D38"/>
    <w:rsid w:val="00DA1FDC"/>
    <w:rsid w:val="00DA21DC"/>
    <w:rsid w:val="00DA2563"/>
    <w:rsid w:val="00DA2920"/>
    <w:rsid w:val="00DA31BE"/>
    <w:rsid w:val="00DA3B0A"/>
    <w:rsid w:val="00DA3CA5"/>
    <w:rsid w:val="00DA3DD5"/>
    <w:rsid w:val="00DA3E20"/>
    <w:rsid w:val="00DA3E95"/>
    <w:rsid w:val="00DA3EE4"/>
    <w:rsid w:val="00DA41FA"/>
    <w:rsid w:val="00DA4768"/>
    <w:rsid w:val="00DA4B94"/>
    <w:rsid w:val="00DA4FD1"/>
    <w:rsid w:val="00DA51E3"/>
    <w:rsid w:val="00DA54D4"/>
    <w:rsid w:val="00DA56C6"/>
    <w:rsid w:val="00DA5A4B"/>
    <w:rsid w:val="00DA6A6F"/>
    <w:rsid w:val="00DA6B2A"/>
    <w:rsid w:val="00DA6BF7"/>
    <w:rsid w:val="00DA7109"/>
    <w:rsid w:val="00DA726C"/>
    <w:rsid w:val="00DA7493"/>
    <w:rsid w:val="00DA74B3"/>
    <w:rsid w:val="00DA7567"/>
    <w:rsid w:val="00DA7684"/>
    <w:rsid w:val="00DA7786"/>
    <w:rsid w:val="00DA789A"/>
    <w:rsid w:val="00DA7A4C"/>
    <w:rsid w:val="00DA7F89"/>
    <w:rsid w:val="00DB016A"/>
    <w:rsid w:val="00DB01EC"/>
    <w:rsid w:val="00DB038B"/>
    <w:rsid w:val="00DB05D2"/>
    <w:rsid w:val="00DB05F8"/>
    <w:rsid w:val="00DB0A64"/>
    <w:rsid w:val="00DB0B91"/>
    <w:rsid w:val="00DB0E1F"/>
    <w:rsid w:val="00DB14FC"/>
    <w:rsid w:val="00DB1C50"/>
    <w:rsid w:val="00DB240C"/>
    <w:rsid w:val="00DB28A0"/>
    <w:rsid w:val="00DB2D41"/>
    <w:rsid w:val="00DB2E1C"/>
    <w:rsid w:val="00DB37FE"/>
    <w:rsid w:val="00DB383A"/>
    <w:rsid w:val="00DB3A02"/>
    <w:rsid w:val="00DB3A27"/>
    <w:rsid w:val="00DB3A3A"/>
    <w:rsid w:val="00DB3B72"/>
    <w:rsid w:val="00DB4261"/>
    <w:rsid w:val="00DB429E"/>
    <w:rsid w:val="00DB45D1"/>
    <w:rsid w:val="00DB467B"/>
    <w:rsid w:val="00DB4A4C"/>
    <w:rsid w:val="00DB4E13"/>
    <w:rsid w:val="00DB4E14"/>
    <w:rsid w:val="00DB50E6"/>
    <w:rsid w:val="00DB5AC1"/>
    <w:rsid w:val="00DB61F3"/>
    <w:rsid w:val="00DB6288"/>
    <w:rsid w:val="00DB641C"/>
    <w:rsid w:val="00DB6545"/>
    <w:rsid w:val="00DB6568"/>
    <w:rsid w:val="00DB6593"/>
    <w:rsid w:val="00DB66EB"/>
    <w:rsid w:val="00DB6C87"/>
    <w:rsid w:val="00DB6DC2"/>
    <w:rsid w:val="00DB6F88"/>
    <w:rsid w:val="00DB73C6"/>
    <w:rsid w:val="00DB7FB2"/>
    <w:rsid w:val="00DC0183"/>
    <w:rsid w:val="00DC03BC"/>
    <w:rsid w:val="00DC0429"/>
    <w:rsid w:val="00DC084D"/>
    <w:rsid w:val="00DC09B4"/>
    <w:rsid w:val="00DC0ACA"/>
    <w:rsid w:val="00DC0C9E"/>
    <w:rsid w:val="00DC19D3"/>
    <w:rsid w:val="00DC1ED5"/>
    <w:rsid w:val="00DC1F61"/>
    <w:rsid w:val="00DC21A7"/>
    <w:rsid w:val="00DC24E9"/>
    <w:rsid w:val="00DC2580"/>
    <w:rsid w:val="00DC2A6D"/>
    <w:rsid w:val="00DC2B4C"/>
    <w:rsid w:val="00DC2DB9"/>
    <w:rsid w:val="00DC3194"/>
    <w:rsid w:val="00DC31A3"/>
    <w:rsid w:val="00DC31B0"/>
    <w:rsid w:val="00DC351D"/>
    <w:rsid w:val="00DC358F"/>
    <w:rsid w:val="00DC3600"/>
    <w:rsid w:val="00DC38AF"/>
    <w:rsid w:val="00DC39D7"/>
    <w:rsid w:val="00DC3B05"/>
    <w:rsid w:val="00DC4249"/>
    <w:rsid w:val="00DC43B5"/>
    <w:rsid w:val="00DC455B"/>
    <w:rsid w:val="00DC455E"/>
    <w:rsid w:val="00DC4714"/>
    <w:rsid w:val="00DC50CB"/>
    <w:rsid w:val="00DC55BA"/>
    <w:rsid w:val="00DC572B"/>
    <w:rsid w:val="00DC5808"/>
    <w:rsid w:val="00DC58A7"/>
    <w:rsid w:val="00DC59A7"/>
    <w:rsid w:val="00DC5B98"/>
    <w:rsid w:val="00DC6052"/>
    <w:rsid w:val="00DC6D27"/>
    <w:rsid w:val="00DC6FC9"/>
    <w:rsid w:val="00DC73B6"/>
    <w:rsid w:val="00DC7A65"/>
    <w:rsid w:val="00DC7C8B"/>
    <w:rsid w:val="00DD01C1"/>
    <w:rsid w:val="00DD03B9"/>
    <w:rsid w:val="00DD0559"/>
    <w:rsid w:val="00DD09CF"/>
    <w:rsid w:val="00DD0D2F"/>
    <w:rsid w:val="00DD0E62"/>
    <w:rsid w:val="00DD1130"/>
    <w:rsid w:val="00DD15DF"/>
    <w:rsid w:val="00DD19C8"/>
    <w:rsid w:val="00DD19EA"/>
    <w:rsid w:val="00DD222F"/>
    <w:rsid w:val="00DD2757"/>
    <w:rsid w:val="00DD2BBC"/>
    <w:rsid w:val="00DD3134"/>
    <w:rsid w:val="00DD3A44"/>
    <w:rsid w:val="00DD3CF3"/>
    <w:rsid w:val="00DD3DD6"/>
    <w:rsid w:val="00DD3ED6"/>
    <w:rsid w:val="00DD4273"/>
    <w:rsid w:val="00DD453F"/>
    <w:rsid w:val="00DD485C"/>
    <w:rsid w:val="00DD498F"/>
    <w:rsid w:val="00DD49EE"/>
    <w:rsid w:val="00DD4CE8"/>
    <w:rsid w:val="00DD4EA1"/>
    <w:rsid w:val="00DD4F9C"/>
    <w:rsid w:val="00DD5878"/>
    <w:rsid w:val="00DD59D0"/>
    <w:rsid w:val="00DD5A75"/>
    <w:rsid w:val="00DD5EAB"/>
    <w:rsid w:val="00DD6302"/>
    <w:rsid w:val="00DD6D41"/>
    <w:rsid w:val="00DD7095"/>
    <w:rsid w:val="00DD7165"/>
    <w:rsid w:val="00DD731D"/>
    <w:rsid w:val="00DD7538"/>
    <w:rsid w:val="00DD7805"/>
    <w:rsid w:val="00DD7810"/>
    <w:rsid w:val="00DD7816"/>
    <w:rsid w:val="00DD7BE2"/>
    <w:rsid w:val="00DD7D28"/>
    <w:rsid w:val="00DD7D92"/>
    <w:rsid w:val="00DE00A5"/>
    <w:rsid w:val="00DE014D"/>
    <w:rsid w:val="00DE046D"/>
    <w:rsid w:val="00DE07CD"/>
    <w:rsid w:val="00DE08C3"/>
    <w:rsid w:val="00DE0B3F"/>
    <w:rsid w:val="00DE0BDB"/>
    <w:rsid w:val="00DE0E33"/>
    <w:rsid w:val="00DE134E"/>
    <w:rsid w:val="00DE1437"/>
    <w:rsid w:val="00DE1666"/>
    <w:rsid w:val="00DE1B51"/>
    <w:rsid w:val="00DE1C1F"/>
    <w:rsid w:val="00DE1C69"/>
    <w:rsid w:val="00DE209B"/>
    <w:rsid w:val="00DE23FE"/>
    <w:rsid w:val="00DE27F9"/>
    <w:rsid w:val="00DE2D39"/>
    <w:rsid w:val="00DE2F2B"/>
    <w:rsid w:val="00DE3208"/>
    <w:rsid w:val="00DE35B2"/>
    <w:rsid w:val="00DE36F6"/>
    <w:rsid w:val="00DE3732"/>
    <w:rsid w:val="00DE3A29"/>
    <w:rsid w:val="00DE3F1C"/>
    <w:rsid w:val="00DE4066"/>
    <w:rsid w:val="00DE424F"/>
    <w:rsid w:val="00DE44AA"/>
    <w:rsid w:val="00DE4554"/>
    <w:rsid w:val="00DE4D18"/>
    <w:rsid w:val="00DE5065"/>
    <w:rsid w:val="00DE5080"/>
    <w:rsid w:val="00DE522B"/>
    <w:rsid w:val="00DE524E"/>
    <w:rsid w:val="00DE53D2"/>
    <w:rsid w:val="00DE56AE"/>
    <w:rsid w:val="00DE57B3"/>
    <w:rsid w:val="00DE5C0C"/>
    <w:rsid w:val="00DE619B"/>
    <w:rsid w:val="00DE656D"/>
    <w:rsid w:val="00DE66CF"/>
    <w:rsid w:val="00DE68A8"/>
    <w:rsid w:val="00DE6FB6"/>
    <w:rsid w:val="00DE7158"/>
    <w:rsid w:val="00DE7189"/>
    <w:rsid w:val="00DE7BA2"/>
    <w:rsid w:val="00DE7E93"/>
    <w:rsid w:val="00DF04A7"/>
    <w:rsid w:val="00DF0676"/>
    <w:rsid w:val="00DF086E"/>
    <w:rsid w:val="00DF14CD"/>
    <w:rsid w:val="00DF1789"/>
    <w:rsid w:val="00DF17F5"/>
    <w:rsid w:val="00DF18CF"/>
    <w:rsid w:val="00DF1DFA"/>
    <w:rsid w:val="00DF1F43"/>
    <w:rsid w:val="00DF1F99"/>
    <w:rsid w:val="00DF22C1"/>
    <w:rsid w:val="00DF27CC"/>
    <w:rsid w:val="00DF2A92"/>
    <w:rsid w:val="00DF2A94"/>
    <w:rsid w:val="00DF2B9C"/>
    <w:rsid w:val="00DF363E"/>
    <w:rsid w:val="00DF3C50"/>
    <w:rsid w:val="00DF3DEF"/>
    <w:rsid w:val="00DF3ECF"/>
    <w:rsid w:val="00DF3FD8"/>
    <w:rsid w:val="00DF4025"/>
    <w:rsid w:val="00DF4216"/>
    <w:rsid w:val="00DF44BC"/>
    <w:rsid w:val="00DF45C4"/>
    <w:rsid w:val="00DF4A8D"/>
    <w:rsid w:val="00DF4AFD"/>
    <w:rsid w:val="00DF5343"/>
    <w:rsid w:val="00DF5345"/>
    <w:rsid w:val="00DF5756"/>
    <w:rsid w:val="00DF5864"/>
    <w:rsid w:val="00DF5A59"/>
    <w:rsid w:val="00DF5B37"/>
    <w:rsid w:val="00DF5B63"/>
    <w:rsid w:val="00DF6118"/>
    <w:rsid w:val="00DF624E"/>
    <w:rsid w:val="00DF6452"/>
    <w:rsid w:val="00DF6E3D"/>
    <w:rsid w:val="00DF7126"/>
    <w:rsid w:val="00DF7625"/>
    <w:rsid w:val="00DF7E10"/>
    <w:rsid w:val="00E0009C"/>
    <w:rsid w:val="00E000EB"/>
    <w:rsid w:val="00E002E0"/>
    <w:rsid w:val="00E00433"/>
    <w:rsid w:val="00E00DA6"/>
    <w:rsid w:val="00E00DE6"/>
    <w:rsid w:val="00E01352"/>
    <w:rsid w:val="00E01618"/>
    <w:rsid w:val="00E0197C"/>
    <w:rsid w:val="00E01DD7"/>
    <w:rsid w:val="00E01EB7"/>
    <w:rsid w:val="00E020FC"/>
    <w:rsid w:val="00E02365"/>
    <w:rsid w:val="00E024FF"/>
    <w:rsid w:val="00E025E1"/>
    <w:rsid w:val="00E02991"/>
    <w:rsid w:val="00E03C5E"/>
    <w:rsid w:val="00E03CFF"/>
    <w:rsid w:val="00E03D2B"/>
    <w:rsid w:val="00E03E2E"/>
    <w:rsid w:val="00E03E5B"/>
    <w:rsid w:val="00E03FB1"/>
    <w:rsid w:val="00E040B7"/>
    <w:rsid w:val="00E0456C"/>
    <w:rsid w:val="00E04C08"/>
    <w:rsid w:val="00E0550C"/>
    <w:rsid w:val="00E05701"/>
    <w:rsid w:val="00E05A7A"/>
    <w:rsid w:val="00E05CD0"/>
    <w:rsid w:val="00E062F4"/>
    <w:rsid w:val="00E06311"/>
    <w:rsid w:val="00E06B39"/>
    <w:rsid w:val="00E06FA6"/>
    <w:rsid w:val="00E07838"/>
    <w:rsid w:val="00E07893"/>
    <w:rsid w:val="00E07AED"/>
    <w:rsid w:val="00E07B59"/>
    <w:rsid w:val="00E106E6"/>
    <w:rsid w:val="00E10DF0"/>
    <w:rsid w:val="00E11007"/>
    <w:rsid w:val="00E110C6"/>
    <w:rsid w:val="00E11488"/>
    <w:rsid w:val="00E116BA"/>
    <w:rsid w:val="00E11A13"/>
    <w:rsid w:val="00E11BE2"/>
    <w:rsid w:val="00E11C76"/>
    <w:rsid w:val="00E11EB0"/>
    <w:rsid w:val="00E1208E"/>
    <w:rsid w:val="00E1213B"/>
    <w:rsid w:val="00E121B7"/>
    <w:rsid w:val="00E124BD"/>
    <w:rsid w:val="00E125B4"/>
    <w:rsid w:val="00E1266F"/>
    <w:rsid w:val="00E12689"/>
    <w:rsid w:val="00E129C0"/>
    <w:rsid w:val="00E12F76"/>
    <w:rsid w:val="00E1303F"/>
    <w:rsid w:val="00E13160"/>
    <w:rsid w:val="00E13364"/>
    <w:rsid w:val="00E1371B"/>
    <w:rsid w:val="00E13764"/>
    <w:rsid w:val="00E13904"/>
    <w:rsid w:val="00E1396E"/>
    <w:rsid w:val="00E142B5"/>
    <w:rsid w:val="00E1436F"/>
    <w:rsid w:val="00E14CEF"/>
    <w:rsid w:val="00E14DD2"/>
    <w:rsid w:val="00E14F35"/>
    <w:rsid w:val="00E151ED"/>
    <w:rsid w:val="00E1560E"/>
    <w:rsid w:val="00E159E6"/>
    <w:rsid w:val="00E15CD5"/>
    <w:rsid w:val="00E15F52"/>
    <w:rsid w:val="00E15FB0"/>
    <w:rsid w:val="00E16083"/>
    <w:rsid w:val="00E16101"/>
    <w:rsid w:val="00E16384"/>
    <w:rsid w:val="00E166D5"/>
    <w:rsid w:val="00E1697E"/>
    <w:rsid w:val="00E16E5B"/>
    <w:rsid w:val="00E16F56"/>
    <w:rsid w:val="00E17011"/>
    <w:rsid w:val="00E17056"/>
    <w:rsid w:val="00E17182"/>
    <w:rsid w:val="00E17591"/>
    <w:rsid w:val="00E17CFE"/>
    <w:rsid w:val="00E20053"/>
    <w:rsid w:val="00E2073B"/>
    <w:rsid w:val="00E2073D"/>
    <w:rsid w:val="00E2099C"/>
    <w:rsid w:val="00E209E8"/>
    <w:rsid w:val="00E20D2D"/>
    <w:rsid w:val="00E20D9B"/>
    <w:rsid w:val="00E21456"/>
    <w:rsid w:val="00E218A0"/>
    <w:rsid w:val="00E218A4"/>
    <w:rsid w:val="00E21D49"/>
    <w:rsid w:val="00E22013"/>
    <w:rsid w:val="00E22127"/>
    <w:rsid w:val="00E223AE"/>
    <w:rsid w:val="00E22688"/>
    <w:rsid w:val="00E22C2E"/>
    <w:rsid w:val="00E22E71"/>
    <w:rsid w:val="00E23025"/>
    <w:rsid w:val="00E232EC"/>
    <w:rsid w:val="00E23A47"/>
    <w:rsid w:val="00E23BC8"/>
    <w:rsid w:val="00E23D69"/>
    <w:rsid w:val="00E24592"/>
    <w:rsid w:val="00E249FA"/>
    <w:rsid w:val="00E24C4D"/>
    <w:rsid w:val="00E24D1F"/>
    <w:rsid w:val="00E2501F"/>
    <w:rsid w:val="00E25232"/>
    <w:rsid w:val="00E253DC"/>
    <w:rsid w:val="00E25463"/>
    <w:rsid w:val="00E25A9B"/>
    <w:rsid w:val="00E25EE0"/>
    <w:rsid w:val="00E263E9"/>
    <w:rsid w:val="00E26754"/>
    <w:rsid w:val="00E272FF"/>
    <w:rsid w:val="00E27509"/>
    <w:rsid w:val="00E276B7"/>
    <w:rsid w:val="00E27F29"/>
    <w:rsid w:val="00E300A4"/>
    <w:rsid w:val="00E30708"/>
    <w:rsid w:val="00E3076F"/>
    <w:rsid w:val="00E309C0"/>
    <w:rsid w:val="00E30AB3"/>
    <w:rsid w:val="00E30C3D"/>
    <w:rsid w:val="00E30CBF"/>
    <w:rsid w:val="00E30E9E"/>
    <w:rsid w:val="00E313CC"/>
    <w:rsid w:val="00E318FC"/>
    <w:rsid w:val="00E31957"/>
    <w:rsid w:val="00E319E2"/>
    <w:rsid w:val="00E31D7C"/>
    <w:rsid w:val="00E31DF6"/>
    <w:rsid w:val="00E31E83"/>
    <w:rsid w:val="00E31ED9"/>
    <w:rsid w:val="00E31F9F"/>
    <w:rsid w:val="00E31FB8"/>
    <w:rsid w:val="00E3232A"/>
    <w:rsid w:val="00E323A6"/>
    <w:rsid w:val="00E32B7A"/>
    <w:rsid w:val="00E32C7C"/>
    <w:rsid w:val="00E32E1D"/>
    <w:rsid w:val="00E32E1E"/>
    <w:rsid w:val="00E33282"/>
    <w:rsid w:val="00E33299"/>
    <w:rsid w:val="00E337BB"/>
    <w:rsid w:val="00E338B3"/>
    <w:rsid w:val="00E33C29"/>
    <w:rsid w:val="00E33E61"/>
    <w:rsid w:val="00E33F83"/>
    <w:rsid w:val="00E34065"/>
    <w:rsid w:val="00E340AE"/>
    <w:rsid w:val="00E3457F"/>
    <w:rsid w:val="00E349A1"/>
    <w:rsid w:val="00E34B05"/>
    <w:rsid w:val="00E34CF5"/>
    <w:rsid w:val="00E34FAD"/>
    <w:rsid w:val="00E35412"/>
    <w:rsid w:val="00E35C20"/>
    <w:rsid w:val="00E35D62"/>
    <w:rsid w:val="00E36631"/>
    <w:rsid w:val="00E36E4A"/>
    <w:rsid w:val="00E36EE0"/>
    <w:rsid w:val="00E37412"/>
    <w:rsid w:val="00E376E8"/>
    <w:rsid w:val="00E37CDD"/>
    <w:rsid w:val="00E40335"/>
    <w:rsid w:val="00E4069E"/>
    <w:rsid w:val="00E40758"/>
    <w:rsid w:val="00E4079E"/>
    <w:rsid w:val="00E40830"/>
    <w:rsid w:val="00E40AC2"/>
    <w:rsid w:val="00E40F50"/>
    <w:rsid w:val="00E410C3"/>
    <w:rsid w:val="00E411E0"/>
    <w:rsid w:val="00E4124F"/>
    <w:rsid w:val="00E414DD"/>
    <w:rsid w:val="00E41791"/>
    <w:rsid w:val="00E41969"/>
    <w:rsid w:val="00E41994"/>
    <w:rsid w:val="00E41C9D"/>
    <w:rsid w:val="00E41D99"/>
    <w:rsid w:val="00E41FF5"/>
    <w:rsid w:val="00E42470"/>
    <w:rsid w:val="00E42816"/>
    <w:rsid w:val="00E42A94"/>
    <w:rsid w:val="00E42ACD"/>
    <w:rsid w:val="00E42B3F"/>
    <w:rsid w:val="00E43025"/>
    <w:rsid w:val="00E431F8"/>
    <w:rsid w:val="00E4376F"/>
    <w:rsid w:val="00E43B6D"/>
    <w:rsid w:val="00E43C23"/>
    <w:rsid w:val="00E43F19"/>
    <w:rsid w:val="00E44D8C"/>
    <w:rsid w:val="00E44E77"/>
    <w:rsid w:val="00E44EF8"/>
    <w:rsid w:val="00E4511A"/>
    <w:rsid w:val="00E45471"/>
    <w:rsid w:val="00E4556B"/>
    <w:rsid w:val="00E4570F"/>
    <w:rsid w:val="00E457B3"/>
    <w:rsid w:val="00E45BB8"/>
    <w:rsid w:val="00E45CC7"/>
    <w:rsid w:val="00E45D32"/>
    <w:rsid w:val="00E468CA"/>
    <w:rsid w:val="00E46B51"/>
    <w:rsid w:val="00E46E5E"/>
    <w:rsid w:val="00E47158"/>
    <w:rsid w:val="00E4732F"/>
    <w:rsid w:val="00E47724"/>
    <w:rsid w:val="00E47DFC"/>
    <w:rsid w:val="00E47FBA"/>
    <w:rsid w:val="00E5009D"/>
    <w:rsid w:val="00E50145"/>
    <w:rsid w:val="00E50262"/>
    <w:rsid w:val="00E502A3"/>
    <w:rsid w:val="00E5038E"/>
    <w:rsid w:val="00E50473"/>
    <w:rsid w:val="00E50844"/>
    <w:rsid w:val="00E50CEA"/>
    <w:rsid w:val="00E50D8A"/>
    <w:rsid w:val="00E5129B"/>
    <w:rsid w:val="00E51789"/>
    <w:rsid w:val="00E517C2"/>
    <w:rsid w:val="00E5188A"/>
    <w:rsid w:val="00E518C6"/>
    <w:rsid w:val="00E51A84"/>
    <w:rsid w:val="00E51D98"/>
    <w:rsid w:val="00E51F51"/>
    <w:rsid w:val="00E5203A"/>
    <w:rsid w:val="00E52716"/>
    <w:rsid w:val="00E5283A"/>
    <w:rsid w:val="00E529DE"/>
    <w:rsid w:val="00E52A21"/>
    <w:rsid w:val="00E530B2"/>
    <w:rsid w:val="00E530B4"/>
    <w:rsid w:val="00E535D2"/>
    <w:rsid w:val="00E53693"/>
    <w:rsid w:val="00E53743"/>
    <w:rsid w:val="00E53979"/>
    <w:rsid w:val="00E53C4F"/>
    <w:rsid w:val="00E53D00"/>
    <w:rsid w:val="00E540AA"/>
    <w:rsid w:val="00E54475"/>
    <w:rsid w:val="00E54E18"/>
    <w:rsid w:val="00E54FF5"/>
    <w:rsid w:val="00E552AE"/>
    <w:rsid w:val="00E55356"/>
    <w:rsid w:val="00E553F7"/>
    <w:rsid w:val="00E555F3"/>
    <w:rsid w:val="00E557F9"/>
    <w:rsid w:val="00E559C0"/>
    <w:rsid w:val="00E56740"/>
    <w:rsid w:val="00E5675D"/>
    <w:rsid w:val="00E56B05"/>
    <w:rsid w:val="00E56E46"/>
    <w:rsid w:val="00E56EC8"/>
    <w:rsid w:val="00E574EA"/>
    <w:rsid w:val="00E576D3"/>
    <w:rsid w:val="00E57EC2"/>
    <w:rsid w:val="00E6022C"/>
    <w:rsid w:val="00E60D6A"/>
    <w:rsid w:val="00E60F61"/>
    <w:rsid w:val="00E61516"/>
    <w:rsid w:val="00E61738"/>
    <w:rsid w:val="00E61772"/>
    <w:rsid w:val="00E61DE9"/>
    <w:rsid w:val="00E61F9C"/>
    <w:rsid w:val="00E62045"/>
    <w:rsid w:val="00E62091"/>
    <w:rsid w:val="00E620FA"/>
    <w:rsid w:val="00E62411"/>
    <w:rsid w:val="00E624B3"/>
    <w:rsid w:val="00E624C2"/>
    <w:rsid w:val="00E62666"/>
    <w:rsid w:val="00E6267B"/>
    <w:rsid w:val="00E626FB"/>
    <w:rsid w:val="00E62702"/>
    <w:rsid w:val="00E632F3"/>
    <w:rsid w:val="00E634F0"/>
    <w:rsid w:val="00E63753"/>
    <w:rsid w:val="00E63BDC"/>
    <w:rsid w:val="00E63D91"/>
    <w:rsid w:val="00E64B3D"/>
    <w:rsid w:val="00E65183"/>
    <w:rsid w:val="00E65401"/>
    <w:rsid w:val="00E6554F"/>
    <w:rsid w:val="00E6593D"/>
    <w:rsid w:val="00E65DBD"/>
    <w:rsid w:val="00E65F78"/>
    <w:rsid w:val="00E65FC5"/>
    <w:rsid w:val="00E6609B"/>
    <w:rsid w:val="00E66451"/>
    <w:rsid w:val="00E66D6A"/>
    <w:rsid w:val="00E6704C"/>
    <w:rsid w:val="00E6719C"/>
    <w:rsid w:val="00E672F3"/>
    <w:rsid w:val="00E67499"/>
    <w:rsid w:val="00E6774D"/>
    <w:rsid w:val="00E678E7"/>
    <w:rsid w:val="00E67C16"/>
    <w:rsid w:val="00E67D19"/>
    <w:rsid w:val="00E67D62"/>
    <w:rsid w:val="00E67D79"/>
    <w:rsid w:val="00E70171"/>
    <w:rsid w:val="00E703B2"/>
    <w:rsid w:val="00E70806"/>
    <w:rsid w:val="00E70C8C"/>
    <w:rsid w:val="00E70DFF"/>
    <w:rsid w:val="00E7127D"/>
    <w:rsid w:val="00E713E2"/>
    <w:rsid w:val="00E716E7"/>
    <w:rsid w:val="00E717A7"/>
    <w:rsid w:val="00E71934"/>
    <w:rsid w:val="00E719B3"/>
    <w:rsid w:val="00E71BF4"/>
    <w:rsid w:val="00E72048"/>
    <w:rsid w:val="00E72601"/>
    <w:rsid w:val="00E72836"/>
    <w:rsid w:val="00E7296C"/>
    <w:rsid w:val="00E72A49"/>
    <w:rsid w:val="00E72BC1"/>
    <w:rsid w:val="00E72C85"/>
    <w:rsid w:val="00E72D32"/>
    <w:rsid w:val="00E7305A"/>
    <w:rsid w:val="00E73221"/>
    <w:rsid w:val="00E7334F"/>
    <w:rsid w:val="00E736C6"/>
    <w:rsid w:val="00E737E3"/>
    <w:rsid w:val="00E73989"/>
    <w:rsid w:val="00E73B3C"/>
    <w:rsid w:val="00E73BAF"/>
    <w:rsid w:val="00E74896"/>
    <w:rsid w:val="00E74CAD"/>
    <w:rsid w:val="00E75012"/>
    <w:rsid w:val="00E754F8"/>
    <w:rsid w:val="00E755C7"/>
    <w:rsid w:val="00E758BB"/>
    <w:rsid w:val="00E75A28"/>
    <w:rsid w:val="00E76377"/>
    <w:rsid w:val="00E764D0"/>
    <w:rsid w:val="00E766C4"/>
    <w:rsid w:val="00E76A36"/>
    <w:rsid w:val="00E76A6B"/>
    <w:rsid w:val="00E76F6A"/>
    <w:rsid w:val="00E77090"/>
    <w:rsid w:val="00E773AF"/>
    <w:rsid w:val="00E77431"/>
    <w:rsid w:val="00E7778A"/>
    <w:rsid w:val="00E77A4C"/>
    <w:rsid w:val="00E77F46"/>
    <w:rsid w:val="00E80016"/>
    <w:rsid w:val="00E8019D"/>
    <w:rsid w:val="00E80554"/>
    <w:rsid w:val="00E80575"/>
    <w:rsid w:val="00E807BD"/>
    <w:rsid w:val="00E80A0A"/>
    <w:rsid w:val="00E8113D"/>
    <w:rsid w:val="00E8125C"/>
    <w:rsid w:val="00E812B1"/>
    <w:rsid w:val="00E81C1E"/>
    <w:rsid w:val="00E81E93"/>
    <w:rsid w:val="00E81EE8"/>
    <w:rsid w:val="00E827AD"/>
    <w:rsid w:val="00E82876"/>
    <w:rsid w:val="00E82CD0"/>
    <w:rsid w:val="00E82FA2"/>
    <w:rsid w:val="00E8325C"/>
    <w:rsid w:val="00E8343E"/>
    <w:rsid w:val="00E834FB"/>
    <w:rsid w:val="00E835A3"/>
    <w:rsid w:val="00E836A8"/>
    <w:rsid w:val="00E83759"/>
    <w:rsid w:val="00E837AF"/>
    <w:rsid w:val="00E83AE9"/>
    <w:rsid w:val="00E83C95"/>
    <w:rsid w:val="00E8499E"/>
    <w:rsid w:val="00E84AB1"/>
    <w:rsid w:val="00E84B12"/>
    <w:rsid w:val="00E84FFE"/>
    <w:rsid w:val="00E85452"/>
    <w:rsid w:val="00E85615"/>
    <w:rsid w:val="00E85ECF"/>
    <w:rsid w:val="00E85EE7"/>
    <w:rsid w:val="00E86ABC"/>
    <w:rsid w:val="00E86DDB"/>
    <w:rsid w:val="00E875EB"/>
    <w:rsid w:val="00E876DC"/>
    <w:rsid w:val="00E877C1"/>
    <w:rsid w:val="00E87A2E"/>
    <w:rsid w:val="00E90660"/>
    <w:rsid w:val="00E90770"/>
    <w:rsid w:val="00E90888"/>
    <w:rsid w:val="00E909DD"/>
    <w:rsid w:val="00E90B88"/>
    <w:rsid w:val="00E912B6"/>
    <w:rsid w:val="00E91377"/>
    <w:rsid w:val="00E91570"/>
    <w:rsid w:val="00E91701"/>
    <w:rsid w:val="00E92520"/>
    <w:rsid w:val="00E92C5F"/>
    <w:rsid w:val="00E92E1B"/>
    <w:rsid w:val="00E93038"/>
    <w:rsid w:val="00E93824"/>
    <w:rsid w:val="00E938FD"/>
    <w:rsid w:val="00E93E72"/>
    <w:rsid w:val="00E943D0"/>
    <w:rsid w:val="00E947C2"/>
    <w:rsid w:val="00E947C5"/>
    <w:rsid w:val="00E949D8"/>
    <w:rsid w:val="00E94A31"/>
    <w:rsid w:val="00E94A70"/>
    <w:rsid w:val="00E94AA1"/>
    <w:rsid w:val="00E94C37"/>
    <w:rsid w:val="00E94C6A"/>
    <w:rsid w:val="00E94E67"/>
    <w:rsid w:val="00E94E7C"/>
    <w:rsid w:val="00E94F8F"/>
    <w:rsid w:val="00E95502"/>
    <w:rsid w:val="00E95A4C"/>
    <w:rsid w:val="00E95BE9"/>
    <w:rsid w:val="00E9608D"/>
    <w:rsid w:val="00E9621A"/>
    <w:rsid w:val="00E96419"/>
    <w:rsid w:val="00E966D0"/>
    <w:rsid w:val="00E96A19"/>
    <w:rsid w:val="00E977D1"/>
    <w:rsid w:val="00E97A26"/>
    <w:rsid w:val="00E97BBD"/>
    <w:rsid w:val="00E97C9D"/>
    <w:rsid w:val="00E97CB8"/>
    <w:rsid w:val="00E97DA9"/>
    <w:rsid w:val="00E97DE3"/>
    <w:rsid w:val="00EA0349"/>
    <w:rsid w:val="00EA03C6"/>
    <w:rsid w:val="00EA058B"/>
    <w:rsid w:val="00EA0BC0"/>
    <w:rsid w:val="00EA0D0B"/>
    <w:rsid w:val="00EA0D5A"/>
    <w:rsid w:val="00EA0DE1"/>
    <w:rsid w:val="00EA103E"/>
    <w:rsid w:val="00EA1279"/>
    <w:rsid w:val="00EA1547"/>
    <w:rsid w:val="00EA167E"/>
    <w:rsid w:val="00EA16EF"/>
    <w:rsid w:val="00EA1762"/>
    <w:rsid w:val="00EA185D"/>
    <w:rsid w:val="00EA198A"/>
    <w:rsid w:val="00EA1DF5"/>
    <w:rsid w:val="00EA1E1D"/>
    <w:rsid w:val="00EA1F40"/>
    <w:rsid w:val="00EA1FB1"/>
    <w:rsid w:val="00EA22E3"/>
    <w:rsid w:val="00EA2629"/>
    <w:rsid w:val="00EA26D6"/>
    <w:rsid w:val="00EA27AB"/>
    <w:rsid w:val="00EA2852"/>
    <w:rsid w:val="00EA29AA"/>
    <w:rsid w:val="00EA2ACA"/>
    <w:rsid w:val="00EA2C58"/>
    <w:rsid w:val="00EA317C"/>
    <w:rsid w:val="00EA31BD"/>
    <w:rsid w:val="00EA33AE"/>
    <w:rsid w:val="00EA3789"/>
    <w:rsid w:val="00EA3FCF"/>
    <w:rsid w:val="00EA42A5"/>
    <w:rsid w:val="00EA4315"/>
    <w:rsid w:val="00EA4726"/>
    <w:rsid w:val="00EA47AD"/>
    <w:rsid w:val="00EA4B2B"/>
    <w:rsid w:val="00EA4B57"/>
    <w:rsid w:val="00EA4E36"/>
    <w:rsid w:val="00EA5150"/>
    <w:rsid w:val="00EA518F"/>
    <w:rsid w:val="00EA51A0"/>
    <w:rsid w:val="00EA5880"/>
    <w:rsid w:val="00EA5A37"/>
    <w:rsid w:val="00EA5F42"/>
    <w:rsid w:val="00EA6025"/>
    <w:rsid w:val="00EA6089"/>
    <w:rsid w:val="00EA6BDD"/>
    <w:rsid w:val="00EA6ECB"/>
    <w:rsid w:val="00EA718B"/>
    <w:rsid w:val="00EA73E2"/>
    <w:rsid w:val="00EA79F5"/>
    <w:rsid w:val="00EA79F8"/>
    <w:rsid w:val="00EA7CD0"/>
    <w:rsid w:val="00EA7D83"/>
    <w:rsid w:val="00EA7FA1"/>
    <w:rsid w:val="00EB0A4C"/>
    <w:rsid w:val="00EB115B"/>
    <w:rsid w:val="00EB1217"/>
    <w:rsid w:val="00EB2217"/>
    <w:rsid w:val="00EB2412"/>
    <w:rsid w:val="00EB259A"/>
    <w:rsid w:val="00EB2B01"/>
    <w:rsid w:val="00EB2E24"/>
    <w:rsid w:val="00EB318B"/>
    <w:rsid w:val="00EB3739"/>
    <w:rsid w:val="00EB3745"/>
    <w:rsid w:val="00EB388C"/>
    <w:rsid w:val="00EB3E4B"/>
    <w:rsid w:val="00EB3F91"/>
    <w:rsid w:val="00EB41CB"/>
    <w:rsid w:val="00EB41E7"/>
    <w:rsid w:val="00EB470A"/>
    <w:rsid w:val="00EB4A2D"/>
    <w:rsid w:val="00EB4E44"/>
    <w:rsid w:val="00EB4FC2"/>
    <w:rsid w:val="00EB504F"/>
    <w:rsid w:val="00EB5207"/>
    <w:rsid w:val="00EB54A4"/>
    <w:rsid w:val="00EB568F"/>
    <w:rsid w:val="00EB5BAA"/>
    <w:rsid w:val="00EB5BBE"/>
    <w:rsid w:val="00EB5E0A"/>
    <w:rsid w:val="00EB61ED"/>
    <w:rsid w:val="00EB6966"/>
    <w:rsid w:val="00EB6B08"/>
    <w:rsid w:val="00EB6BA2"/>
    <w:rsid w:val="00EB76C9"/>
    <w:rsid w:val="00EB77E8"/>
    <w:rsid w:val="00EB7B90"/>
    <w:rsid w:val="00EC0881"/>
    <w:rsid w:val="00EC0A6B"/>
    <w:rsid w:val="00EC0E9E"/>
    <w:rsid w:val="00EC0F13"/>
    <w:rsid w:val="00EC11D3"/>
    <w:rsid w:val="00EC14BE"/>
    <w:rsid w:val="00EC1554"/>
    <w:rsid w:val="00EC1A2E"/>
    <w:rsid w:val="00EC1F45"/>
    <w:rsid w:val="00EC2384"/>
    <w:rsid w:val="00EC272E"/>
    <w:rsid w:val="00EC28C6"/>
    <w:rsid w:val="00EC29C0"/>
    <w:rsid w:val="00EC2C3C"/>
    <w:rsid w:val="00EC2C94"/>
    <w:rsid w:val="00EC2DD4"/>
    <w:rsid w:val="00EC3121"/>
    <w:rsid w:val="00EC31EF"/>
    <w:rsid w:val="00EC3558"/>
    <w:rsid w:val="00EC39B3"/>
    <w:rsid w:val="00EC39E4"/>
    <w:rsid w:val="00EC3C94"/>
    <w:rsid w:val="00EC3DFC"/>
    <w:rsid w:val="00EC458C"/>
    <w:rsid w:val="00EC45F6"/>
    <w:rsid w:val="00EC4890"/>
    <w:rsid w:val="00EC4979"/>
    <w:rsid w:val="00EC4DEC"/>
    <w:rsid w:val="00EC50D1"/>
    <w:rsid w:val="00EC548D"/>
    <w:rsid w:val="00EC549A"/>
    <w:rsid w:val="00EC57FA"/>
    <w:rsid w:val="00EC5A7B"/>
    <w:rsid w:val="00EC6583"/>
    <w:rsid w:val="00EC66FA"/>
    <w:rsid w:val="00EC67E8"/>
    <w:rsid w:val="00EC6901"/>
    <w:rsid w:val="00EC6F08"/>
    <w:rsid w:val="00EC723E"/>
    <w:rsid w:val="00EC73A5"/>
    <w:rsid w:val="00EC790B"/>
    <w:rsid w:val="00EC7CFB"/>
    <w:rsid w:val="00EC7DBB"/>
    <w:rsid w:val="00EC7F3D"/>
    <w:rsid w:val="00EC7FCC"/>
    <w:rsid w:val="00ED03AB"/>
    <w:rsid w:val="00ED06B0"/>
    <w:rsid w:val="00ED0AC8"/>
    <w:rsid w:val="00ED0AEA"/>
    <w:rsid w:val="00ED0FF7"/>
    <w:rsid w:val="00ED1021"/>
    <w:rsid w:val="00ED120D"/>
    <w:rsid w:val="00ED12C9"/>
    <w:rsid w:val="00ED1C9A"/>
    <w:rsid w:val="00ED1D31"/>
    <w:rsid w:val="00ED1DB4"/>
    <w:rsid w:val="00ED1F0C"/>
    <w:rsid w:val="00ED2116"/>
    <w:rsid w:val="00ED2213"/>
    <w:rsid w:val="00ED2253"/>
    <w:rsid w:val="00ED2650"/>
    <w:rsid w:val="00ED2ADB"/>
    <w:rsid w:val="00ED2C25"/>
    <w:rsid w:val="00ED2C4F"/>
    <w:rsid w:val="00ED2E18"/>
    <w:rsid w:val="00ED340B"/>
    <w:rsid w:val="00ED379C"/>
    <w:rsid w:val="00ED3AC8"/>
    <w:rsid w:val="00ED3E57"/>
    <w:rsid w:val="00ED41B1"/>
    <w:rsid w:val="00ED44A6"/>
    <w:rsid w:val="00ED4634"/>
    <w:rsid w:val="00ED463D"/>
    <w:rsid w:val="00ED4814"/>
    <w:rsid w:val="00ED48FB"/>
    <w:rsid w:val="00ED4A83"/>
    <w:rsid w:val="00ED4CE1"/>
    <w:rsid w:val="00ED4DF1"/>
    <w:rsid w:val="00ED4DF8"/>
    <w:rsid w:val="00ED4F92"/>
    <w:rsid w:val="00ED51B1"/>
    <w:rsid w:val="00ED520B"/>
    <w:rsid w:val="00ED52CB"/>
    <w:rsid w:val="00ED5371"/>
    <w:rsid w:val="00ED5685"/>
    <w:rsid w:val="00ED5870"/>
    <w:rsid w:val="00ED59E8"/>
    <w:rsid w:val="00ED5F28"/>
    <w:rsid w:val="00ED5FCC"/>
    <w:rsid w:val="00ED62AE"/>
    <w:rsid w:val="00ED6614"/>
    <w:rsid w:val="00ED673A"/>
    <w:rsid w:val="00ED6BD5"/>
    <w:rsid w:val="00ED7162"/>
    <w:rsid w:val="00ED7618"/>
    <w:rsid w:val="00ED7809"/>
    <w:rsid w:val="00ED7817"/>
    <w:rsid w:val="00ED7AC6"/>
    <w:rsid w:val="00ED7BF8"/>
    <w:rsid w:val="00ED7CD8"/>
    <w:rsid w:val="00EE0526"/>
    <w:rsid w:val="00EE0E50"/>
    <w:rsid w:val="00EE10AE"/>
    <w:rsid w:val="00EE1280"/>
    <w:rsid w:val="00EE1294"/>
    <w:rsid w:val="00EE19EF"/>
    <w:rsid w:val="00EE1D25"/>
    <w:rsid w:val="00EE1DC6"/>
    <w:rsid w:val="00EE2587"/>
    <w:rsid w:val="00EE25A2"/>
    <w:rsid w:val="00EE2848"/>
    <w:rsid w:val="00EE2B8A"/>
    <w:rsid w:val="00EE3310"/>
    <w:rsid w:val="00EE3416"/>
    <w:rsid w:val="00EE3762"/>
    <w:rsid w:val="00EE3A90"/>
    <w:rsid w:val="00EE3B7C"/>
    <w:rsid w:val="00EE3C07"/>
    <w:rsid w:val="00EE3CC2"/>
    <w:rsid w:val="00EE3D3A"/>
    <w:rsid w:val="00EE40BC"/>
    <w:rsid w:val="00EE40FD"/>
    <w:rsid w:val="00EE42A1"/>
    <w:rsid w:val="00EE4435"/>
    <w:rsid w:val="00EE4976"/>
    <w:rsid w:val="00EE4D1D"/>
    <w:rsid w:val="00EE4E3A"/>
    <w:rsid w:val="00EE50C7"/>
    <w:rsid w:val="00EE52AE"/>
    <w:rsid w:val="00EE5360"/>
    <w:rsid w:val="00EE571A"/>
    <w:rsid w:val="00EE5C18"/>
    <w:rsid w:val="00EE5D74"/>
    <w:rsid w:val="00EE5D7A"/>
    <w:rsid w:val="00EE5FA9"/>
    <w:rsid w:val="00EE66D8"/>
    <w:rsid w:val="00EE6E21"/>
    <w:rsid w:val="00EE704B"/>
    <w:rsid w:val="00EE73A2"/>
    <w:rsid w:val="00EE73D0"/>
    <w:rsid w:val="00EE7492"/>
    <w:rsid w:val="00EE74B4"/>
    <w:rsid w:val="00EE7733"/>
    <w:rsid w:val="00EE793B"/>
    <w:rsid w:val="00EE7B0D"/>
    <w:rsid w:val="00EE7BA6"/>
    <w:rsid w:val="00EF02BD"/>
    <w:rsid w:val="00EF0324"/>
    <w:rsid w:val="00EF0482"/>
    <w:rsid w:val="00EF0E3F"/>
    <w:rsid w:val="00EF0EB2"/>
    <w:rsid w:val="00EF154F"/>
    <w:rsid w:val="00EF16ED"/>
    <w:rsid w:val="00EF17AD"/>
    <w:rsid w:val="00EF1B51"/>
    <w:rsid w:val="00EF220C"/>
    <w:rsid w:val="00EF233C"/>
    <w:rsid w:val="00EF240D"/>
    <w:rsid w:val="00EF2658"/>
    <w:rsid w:val="00EF27DC"/>
    <w:rsid w:val="00EF2AF5"/>
    <w:rsid w:val="00EF3112"/>
    <w:rsid w:val="00EF3587"/>
    <w:rsid w:val="00EF35B9"/>
    <w:rsid w:val="00EF3631"/>
    <w:rsid w:val="00EF368B"/>
    <w:rsid w:val="00EF37A0"/>
    <w:rsid w:val="00EF388E"/>
    <w:rsid w:val="00EF3A8E"/>
    <w:rsid w:val="00EF3C42"/>
    <w:rsid w:val="00EF3CEE"/>
    <w:rsid w:val="00EF3EB0"/>
    <w:rsid w:val="00EF3F36"/>
    <w:rsid w:val="00EF432B"/>
    <w:rsid w:val="00EF476B"/>
    <w:rsid w:val="00EF4E1D"/>
    <w:rsid w:val="00EF4FF0"/>
    <w:rsid w:val="00EF57D3"/>
    <w:rsid w:val="00EF585C"/>
    <w:rsid w:val="00EF586C"/>
    <w:rsid w:val="00EF5B52"/>
    <w:rsid w:val="00EF5E59"/>
    <w:rsid w:val="00EF5FD0"/>
    <w:rsid w:val="00EF6049"/>
    <w:rsid w:val="00EF6176"/>
    <w:rsid w:val="00EF62E7"/>
    <w:rsid w:val="00EF64AB"/>
    <w:rsid w:val="00EF6523"/>
    <w:rsid w:val="00EF68D8"/>
    <w:rsid w:val="00EF6CEA"/>
    <w:rsid w:val="00EF6EA4"/>
    <w:rsid w:val="00EF6EB3"/>
    <w:rsid w:val="00EF6ECD"/>
    <w:rsid w:val="00EF6F8A"/>
    <w:rsid w:val="00EF7AEE"/>
    <w:rsid w:val="00EF7C10"/>
    <w:rsid w:val="00EF7C4D"/>
    <w:rsid w:val="00EF7F78"/>
    <w:rsid w:val="00F00006"/>
    <w:rsid w:val="00F0055C"/>
    <w:rsid w:val="00F0094D"/>
    <w:rsid w:val="00F00B4D"/>
    <w:rsid w:val="00F00C5A"/>
    <w:rsid w:val="00F00ED5"/>
    <w:rsid w:val="00F0114C"/>
    <w:rsid w:val="00F016B8"/>
    <w:rsid w:val="00F018B5"/>
    <w:rsid w:val="00F01925"/>
    <w:rsid w:val="00F01934"/>
    <w:rsid w:val="00F0269D"/>
    <w:rsid w:val="00F028F7"/>
    <w:rsid w:val="00F028FA"/>
    <w:rsid w:val="00F0321C"/>
    <w:rsid w:val="00F032CE"/>
    <w:rsid w:val="00F0367B"/>
    <w:rsid w:val="00F036C7"/>
    <w:rsid w:val="00F036DD"/>
    <w:rsid w:val="00F03811"/>
    <w:rsid w:val="00F03B62"/>
    <w:rsid w:val="00F03EE5"/>
    <w:rsid w:val="00F04481"/>
    <w:rsid w:val="00F0478C"/>
    <w:rsid w:val="00F04EA9"/>
    <w:rsid w:val="00F052C2"/>
    <w:rsid w:val="00F05878"/>
    <w:rsid w:val="00F059D0"/>
    <w:rsid w:val="00F05A25"/>
    <w:rsid w:val="00F05A2D"/>
    <w:rsid w:val="00F05AE8"/>
    <w:rsid w:val="00F062CC"/>
    <w:rsid w:val="00F06912"/>
    <w:rsid w:val="00F069A9"/>
    <w:rsid w:val="00F06CAA"/>
    <w:rsid w:val="00F072E4"/>
    <w:rsid w:val="00F0743C"/>
    <w:rsid w:val="00F07579"/>
    <w:rsid w:val="00F077D4"/>
    <w:rsid w:val="00F07952"/>
    <w:rsid w:val="00F079FF"/>
    <w:rsid w:val="00F07C7A"/>
    <w:rsid w:val="00F10035"/>
    <w:rsid w:val="00F1017F"/>
    <w:rsid w:val="00F1021F"/>
    <w:rsid w:val="00F10699"/>
    <w:rsid w:val="00F107BE"/>
    <w:rsid w:val="00F10C0B"/>
    <w:rsid w:val="00F10E72"/>
    <w:rsid w:val="00F1115D"/>
    <w:rsid w:val="00F11193"/>
    <w:rsid w:val="00F11229"/>
    <w:rsid w:val="00F11312"/>
    <w:rsid w:val="00F11320"/>
    <w:rsid w:val="00F114E0"/>
    <w:rsid w:val="00F117A7"/>
    <w:rsid w:val="00F11A16"/>
    <w:rsid w:val="00F11B3F"/>
    <w:rsid w:val="00F11E77"/>
    <w:rsid w:val="00F1258A"/>
    <w:rsid w:val="00F125DD"/>
    <w:rsid w:val="00F12936"/>
    <w:rsid w:val="00F12ACE"/>
    <w:rsid w:val="00F12ADD"/>
    <w:rsid w:val="00F12F54"/>
    <w:rsid w:val="00F12F91"/>
    <w:rsid w:val="00F13088"/>
    <w:rsid w:val="00F13160"/>
    <w:rsid w:val="00F1349B"/>
    <w:rsid w:val="00F134AB"/>
    <w:rsid w:val="00F134FA"/>
    <w:rsid w:val="00F13795"/>
    <w:rsid w:val="00F13A77"/>
    <w:rsid w:val="00F1423D"/>
    <w:rsid w:val="00F14946"/>
    <w:rsid w:val="00F1497F"/>
    <w:rsid w:val="00F14B13"/>
    <w:rsid w:val="00F14BF0"/>
    <w:rsid w:val="00F14DE9"/>
    <w:rsid w:val="00F14F4D"/>
    <w:rsid w:val="00F14FCD"/>
    <w:rsid w:val="00F1528B"/>
    <w:rsid w:val="00F152FC"/>
    <w:rsid w:val="00F153BA"/>
    <w:rsid w:val="00F156C6"/>
    <w:rsid w:val="00F15926"/>
    <w:rsid w:val="00F159CC"/>
    <w:rsid w:val="00F159EB"/>
    <w:rsid w:val="00F15EAB"/>
    <w:rsid w:val="00F1613A"/>
    <w:rsid w:val="00F167B0"/>
    <w:rsid w:val="00F16864"/>
    <w:rsid w:val="00F16C15"/>
    <w:rsid w:val="00F16E3D"/>
    <w:rsid w:val="00F1719C"/>
    <w:rsid w:val="00F17285"/>
    <w:rsid w:val="00F17867"/>
    <w:rsid w:val="00F1790F"/>
    <w:rsid w:val="00F17AC1"/>
    <w:rsid w:val="00F17F93"/>
    <w:rsid w:val="00F2041B"/>
    <w:rsid w:val="00F20462"/>
    <w:rsid w:val="00F2086C"/>
    <w:rsid w:val="00F20A5C"/>
    <w:rsid w:val="00F20B8A"/>
    <w:rsid w:val="00F20FBF"/>
    <w:rsid w:val="00F20FF1"/>
    <w:rsid w:val="00F214ED"/>
    <w:rsid w:val="00F218A3"/>
    <w:rsid w:val="00F21B6C"/>
    <w:rsid w:val="00F21CE0"/>
    <w:rsid w:val="00F21F05"/>
    <w:rsid w:val="00F21F41"/>
    <w:rsid w:val="00F22065"/>
    <w:rsid w:val="00F221A6"/>
    <w:rsid w:val="00F22513"/>
    <w:rsid w:val="00F2271A"/>
    <w:rsid w:val="00F22849"/>
    <w:rsid w:val="00F22950"/>
    <w:rsid w:val="00F23076"/>
    <w:rsid w:val="00F231D7"/>
    <w:rsid w:val="00F232BF"/>
    <w:rsid w:val="00F232C5"/>
    <w:rsid w:val="00F2335B"/>
    <w:rsid w:val="00F2357C"/>
    <w:rsid w:val="00F2382B"/>
    <w:rsid w:val="00F23C40"/>
    <w:rsid w:val="00F23D16"/>
    <w:rsid w:val="00F23E14"/>
    <w:rsid w:val="00F2432A"/>
    <w:rsid w:val="00F24395"/>
    <w:rsid w:val="00F244F9"/>
    <w:rsid w:val="00F248B0"/>
    <w:rsid w:val="00F24A46"/>
    <w:rsid w:val="00F24B58"/>
    <w:rsid w:val="00F24C76"/>
    <w:rsid w:val="00F24E0E"/>
    <w:rsid w:val="00F258AB"/>
    <w:rsid w:val="00F2596D"/>
    <w:rsid w:val="00F2598D"/>
    <w:rsid w:val="00F25AA3"/>
    <w:rsid w:val="00F25C0D"/>
    <w:rsid w:val="00F25C90"/>
    <w:rsid w:val="00F25D13"/>
    <w:rsid w:val="00F25D3F"/>
    <w:rsid w:val="00F25F5E"/>
    <w:rsid w:val="00F26143"/>
    <w:rsid w:val="00F2642D"/>
    <w:rsid w:val="00F26768"/>
    <w:rsid w:val="00F2682B"/>
    <w:rsid w:val="00F26F56"/>
    <w:rsid w:val="00F26FEA"/>
    <w:rsid w:val="00F2741D"/>
    <w:rsid w:val="00F27490"/>
    <w:rsid w:val="00F274A3"/>
    <w:rsid w:val="00F2766B"/>
    <w:rsid w:val="00F27898"/>
    <w:rsid w:val="00F2797B"/>
    <w:rsid w:val="00F30099"/>
    <w:rsid w:val="00F30241"/>
    <w:rsid w:val="00F3034F"/>
    <w:rsid w:val="00F3049E"/>
    <w:rsid w:val="00F30896"/>
    <w:rsid w:val="00F30D6F"/>
    <w:rsid w:val="00F30D71"/>
    <w:rsid w:val="00F3102B"/>
    <w:rsid w:val="00F311A6"/>
    <w:rsid w:val="00F31201"/>
    <w:rsid w:val="00F31A51"/>
    <w:rsid w:val="00F31AB6"/>
    <w:rsid w:val="00F320EE"/>
    <w:rsid w:val="00F32354"/>
    <w:rsid w:val="00F32453"/>
    <w:rsid w:val="00F32588"/>
    <w:rsid w:val="00F32BD0"/>
    <w:rsid w:val="00F32D9C"/>
    <w:rsid w:val="00F32F40"/>
    <w:rsid w:val="00F331C0"/>
    <w:rsid w:val="00F335D5"/>
    <w:rsid w:val="00F3383F"/>
    <w:rsid w:val="00F33A2F"/>
    <w:rsid w:val="00F33FCC"/>
    <w:rsid w:val="00F34216"/>
    <w:rsid w:val="00F34F2E"/>
    <w:rsid w:val="00F3504A"/>
    <w:rsid w:val="00F354E0"/>
    <w:rsid w:val="00F35643"/>
    <w:rsid w:val="00F35E68"/>
    <w:rsid w:val="00F35EDF"/>
    <w:rsid w:val="00F36899"/>
    <w:rsid w:val="00F368AF"/>
    <w:rsid w:val="00F36A6C"/>
    <w:rsid w:val="00F36B11"/>
    <w:rsid w:val="00F36BB2"/>
    <w:rsid w:val="00F37A32"/>
    <w:rsid w:val="00F37D99"/>
    <w:rsid w:val="00F4023B"/>
    <w:rsid w:val="00F4031A"/>
    <w:rsid w:val="00F403BC"/>
    <w:rsid w:val="00F40403"/>
    <w:rsid w:val="00F405AC"/>
    <w:rsid w:val="00F40658"/>
    <w:rsid w:val="00F40EF7"/>
    <w:rsid w:val="00F40F70"/>
    <w:rsid w:val="00F41313"/>
    <w:rsid w:val="00F41724"/>
    <w:rsid w:val="00F419E3"/>
    <w:rsid w:val="00F41BD3"/>
    <w:rsid w:val="00F41F8E"/>
    <w:rsid w:val="00F4202D"/>
    <w:rsid w:val="00F424F8"/>
    <w:rsid w:val="00F4251E"/>
    <w:rsid w:val="00F4259C"/>
    <w:rsid w:val="00F425E8"/>
    <w:rsid w:val="00F42EF5"/>
    <w:rsid w:val="00F43113"/>
    <w:rsid w:val="00F433CA"/>
    <w:rsid w:val="00F43475"/>
    <w:rsid w:val="00F436DE"/>
    <w:rsid w:val="00F43A8A"/>
    <w:rsid w:val="00F43B88"/>
    <w:rsid w:val="00F43DBC"/>
    <w:rsid w:val="00F4412F"/>
    <w:rsid w:val="00F446A1"/>
    <w:rsid w:val="00F44987"/>
    <w:rsid w:val="00F44BF0"/>
    <w:rsid w:val="00F44E43"/>
    <w:rsid w:val="00F455F7"/>
    <w:rsid w:val="00F45797"/>
    <w:rsid w:val="00F4580E"/>
    <w:rsid w:val="00F4584B"/>
    <w:rsid w:val="00F459C3"/>
    <w:rsid w:val="00F45D81"/>
    <w:rsid w:val="00F45E4B"/>
    <w:rsid w:val="00F45EF8"/>
    <w:rsid w:val="00F45F04"/>
    <w:rsid w:val="00F46179"/>
    <w:rsid w:val="00F461F7"/>
    <w:rsid w:val="00F461FC"/>
    <w:rsid w:val="00F46668"/>
    <w:rsid w:val="00F4694F"/>
    <w:rsid w:val="00F46E72"/>
    <w:rsid w:val="00F4702F"/>
    <w:rsid w:val="00F47461"/>
    <w:rsid w:val="00F4781B"/>
    <w:rsid w:val="00F47A34"/>
    <w:rsid w:val="00F47A5F"/>
    <w:rsid w:val="00F47BC6"/>
    <w:rsid w:val="00F47C7B"/>
    <w:rsid w:val="00F47D25"/>
    <w:rsid w:val="00F47F34"/>
    <w:rsid w:val="00F501A0"/>
    <w:rsid w:val="00F502DD"/>
    <w:rsid w:val="00F507EA"/>
    <w:rsid w:val="00F50B57"/>
    <w:rsid w:val="00F50C70"/>
    <w:rsid w:val="00F50CBA"/>
    <w:rsid w:val="00F50CF1"/>
    <w:rsid w:val="00F50F77"/>
    <w:rsid w:val="00F5126D"/>
    <w:rsid w:val="00F5134B"/>
    <w:rsid w:val="00F51388"/>
    <w:rsid w:val="00F51C41"/>
    <w:rsid w:val="00F51C91"/>
    <w:rsid w:val="00F51CBE"/>
    <w:rsid w:val="00F51D87"/>
    <w:rsid w:val="00F51FA1"/>
    <w:rsid w:val="00F5218E"/>
    <w:rsid w:val="00F52203"/>
    <w:rsid w:val="00F5235E"/>
    <w:rsid w:val="00F524CC"/>
    <w:rsid w:val="00F52C77"/>
    <w:rsid w:val="00F52F96"/>
    <w:rsid w:val="00F52FC6"/>
    <w:rsid w:val="00F530C0"/>
    <w:rsid w:val="00F53446"/>
    <w:rsid w:val="00F5364D"/>
    <w:rsid w:val="00F5374A"/>
    <w:rsid w:val="00F53B38"/>
    <w:rsid w:val="00F53C94"/>
    <w:rsid w:val="00F53CD6"/>
    <w:rsid w:val="00F53E28"/>
    <w:rsid w:val="00F53E9F"/>
    <w:rsid w:val="00F54120"/>
    <w:rsid w:val="00F54B5D"/>
    <w:rsid w:val="00F54EC4"/>
    <w:rsid w:val="00F54FE6"/>
    <w:rsid w:val="00F5553B"/>
    <w:rsid w:val="00F5584A"/>
    <w:rsid w:val="00F559EC"/>
    <w:rsid w:val="00F55AB8"/>
    <w:rsid w:val="00F55AC7"/>
    <w:rsid w:val="00F55D6E"/>
    <w:rsid w:val="00F55F17"/>
    <w:rsid w:val="00F56074"/>
    <w:rsid w:val="00F56388"/>
    <w:rsid w:val="00F563FF"/>
    <w:rsid w:val="00F56547"/>
    <w:rsid w:val="00F565C8"/>
    <w:rsid w:val="00F5668F"/>
    <w:rsid w:val="00F56702"/>
    <w:rsid w:val="00F567A7"/>
    <w:rsid w:val="00F5693E"/>
    <w:rsid w:val="00F56AF6"/>
    <w:rsid w:val="00F56C13"/>
    <w:rsid w:val="00F56C2C"/>
    <w:rsid w:val="00F57E42"/>
    <w:rsid w:val="00F57F07"/>
    <w:rsid w:val="00F57F9B"/>
    <w:rsid w:val="00F602EA"/>
    <w:rsid w:val="00F606BC"/>
    <w:rsid w:val="00F606E0"/>
    <w:rsid w:val="00F60C5B"/>
    <w:rsid w:val="00F615FB"/>
    <w:rsid w:val="00F616E1"/>
    <w:rsid w:val="00F61BF9"/>
    <w:rsid w:val="00F6237A"/>
    <w:rsid w:val="00F624B0"/>
    <w:rsid w:val="00F62615"/>
    <w:rsid w:val="00F62AE1"/>
    <w:rsid w:val="00F62B7F"/>
    <w:rsid w:val="00F62DD0"/>
    <w:rsid w:val="00F63236"/>
    <w:rsid w:val="00F63276"/>
    <w:rsid w:val="00F63914"/>
    <w:rsid w:val="00F639B5"/>
    <w:rsid w:val="00F63A42"/>
    <w:rsid w:val="00F63C75"/>
    <w:rsid w:val="00F64C9D"/>
    <w:rsid w:val="00F64DA8"/>
    <w:rsid w:val="00F64F0F"/>
    <w:rsid w:val="00F65D40"/>
    <w:rsid w:val="00F65E9D"/>
    <w:rsid w:val="00F66172"/>
    <w:rsid w:val="00F66210"/>
    <w:rsid w:val="00F66254"/>
    <w:rsid w:val="00F6666B"/>
    <w:rsid w:val="00F6690A"/>
    <w:rsid w:val="00F66CE7"/>
    <w:rsid w:val="00F67005"/>
    <w:rsid w:val="00F670AE"/>
    <w:rsid w:val="00F67218"/>
    <w:rsid w:val="00F67401"/>
    <w:rsid w:val="00F6752C"/>
    <w:rsid w:val="00F67625"/>
    <w:rsid w:val="00F676F0"/>
    <w:rsid w:val="00F679AA"/>
    <w:rsid w:val="00F679F0"/>
    <w:rsid w:val="00F67A9C"/>
    <w:rsid w:val="00F67ADD"/>
    <w:rsid w:val="00F67B34"/>
    <w:rsid w:val="00F67BDD"/>
    <w:rsid w:val="00F67C80"/>
    <w:rsid w:val="00F67CED"/>
    <w:rsid w:val="00F7022E"/>
    <w:rsid w:val="00F70AC4"/>
    <w:rsid w:val="00F7150F"/>
    <w:rsid w:val="00F71C0E"/>
    <w:rsid w:val="00F71D6F"/>
    <w:rsid w:val="00F71D94"/>
    <w:rsid w:val="00F71DFB"/>
    <w:rsid w:val="00F72174"/>
    <w:rsid w:val="00F7266F"/>
    <w:rsid w:val="00F7280C"/>
    <w:rsid w:val="00F72CA1"/>
    <w:rsid w:val="00F72ECC"/>
    <w:rsid w:val="00F72FA2"/>
    <w:rsid w:val="00F73483"/>
    <w:rsid w:val="00F734BB"/>
    <w:rsid w:val="00F735AA"/>
    <w:rsid w:val="00F73607"/>
    <w:rsid w:val="00F736D8"/>
    <w:rsid w:val="00F7379B"/>
    <w:rsid w:val="00F73F19"/>
    <w:rsid w:val="00F74493"/>
    <w:rsid w:val="00F74662"/>
    <w:rsid w:val="00F74B52"/>
    <w:rsid w:val="00F74C6A"/>
    <w:rsid w:val="00F751EE"/>
    <w:rsid w:val="00F7537C"/>
    <w:rsid w:val="00F75DDF"/>
    <w:rsid w:val="00F75E1B"/>
    <w:rsid w:val="00F75F1C"/>
    <w:rsid w:val="00F7621E"/>
    <w:rsid w:val="00F7647B"/>
    <w:rsid w:val="00F76B1A"/>
    <w:rsid w:val="00F76CD9"/>
    <w:rsid w:val="00F76D1F"/>
    <w:rsid w:val="00F77125"/>
    <w:rsid w:val="00F77285"/>
    <w:rsid w:val="00F776C7"/>
    <w:rsid w:val="00F77ABC"/>
    <w:rsid w:val="00F77C8F"/>
    <w:rsid w:val="00F77D15"/>
    <w:rsid w:val="00F77ED9"/>
    <w:rsid w:val="00F77FA0"/>
    <w:rsid w:val="00F80288"/>
    <w:rsid w:val="00F803AC"/>
    <w:rsid w:val="00F8056E"/>
    <w:rsid w:val="00F8057C"/>
    <w:rsid w:val="00F8078A"/>
    <w:rsid w:val="00F80936"/>
    <w:rsid w:val="00F80986"/>
    <w:rsid w:val="00F80DA1"/>
    <w:rsid w:val="00F810A6"/>
    <w:rsid w:val="00F81976"/>
    <w:rsid w:val="00F81A24"/>
    <w:rsid w:val="00F81BE4"/>
    <w:rsid w:val="00F81CCB"/>
    <w:rsid w:val="00F8206E"/>
    <w:rsid w:val="00F82243"/>
    <w:rsid w:val="00F8238F"/>
    <w:rsid w:val="00F8256E"/>
    <w:rsid w:val="00F82804"/>
    <w:rsid w:val="00F828E6"/>
    <w:rsid w:val="00F829E3"/>
    <w:rsid w:val="00F82A61"/>
    <w:rsid w:val="00F82EEF"/>
    <w:rsid w:val="00F8349B"/>
    <w:rsid w:val="00F8377F"/>
    <w:rsid w:val="00F83E6E"/>
    <w:rsid w:val="00F83F55"/>
    <w:rsid w:val="00F847BC"/>
    <w:rsid w:val="00F84E96"/>
    <w:rsid w:val="00F84FC1"/>
    <w:rsid w:val="00F8515F"/>
    <w:rsid w:val="00F85189"/>
    <w:rsid w:val="00F856BE"/>
    <w:rsid w:val="00F858D6"/>
    <w:rsid w:val="00F85D4A"/>
    <w:rsid w:val="00F862C2"/>
    <w:rsid w:val="00F86507"/>
    <w:rsid w:val="00F86AD4"/>
    <w:rsid w:val="00F86C54"/>
    <w:rsid w:val="00F874FE"/>
    <w:rsid w:val="00F87515"/>
    <w:rsid w:val="00F87523"/>
    <w:rsid w:val="00F875E8"/>
    <w:rsid w:val="00F87632"/>
    <w:rsid w:val="00F87B02"/>
    <w:rsid w:val="00F87BDB"/>
    <w:rsid w:val="00F87C06"/>
    <w:rsid w:val="00F87D8B"/>
    <w:rsid w:val="00F90594"/>
    <w:rsid w:val="00F906D4"/>
    <w:rsid w:val="00F9097F"/>
    <w:rsid w:val="00F909C3"/>
    <w:rsid w:val="00F90D54"/>
    <w:rsid w:val="00F90F99"/>
    <w:rsid w:val="00F91469"/>
    <w:rsid w:val="00F91E9C"/>
    <w:rsid w:val="00F9213C"/>
    <w:rsid w:val="00F92310"/>
    <w:rsid w:val="00F92315"/>
    <w:rsid w:val="00F92533"/>
    <w:rsid w:val="00F92C9A"/>
    <w:rsid w:val="00F93107"/>
    <w:rsid w:val="00F937A8"/>
    <w:rsid w:val="00F9391F"/>
    <w:rsid w:val="00F93946"/>
    <w:rsid w:val="00F93C23"/>
    <w:rsid w:val="00F93D87"/>
    <w:rsid w:val="00F94012"/>
    <w:rsid w:val="00F946C3"/>
    <w:rsid w:val="00F9473C"/>
    <w:rsid w:val="00F94987"/>
    <w:rsid w:val="00F94A2C"/>
    <w:rsid w:val="00F94CFC"/>
    <w:rsid w:val="00F94EBD"/>
    <w:rsid w:val="00F95154"/>
    <w:rsid w:val="00F951B9"/>
    <w:rsid w:val="00F9527C"/>
    <w:rsid w:val="00F952EE"/>
    <w:rsid w:val="00F95447"/>
    <w:rsid w:val="00F95454"/>
    <w:rsid w:val="00F9568F"/>
    <w:rsid w:val="00F95DB2"/>
    <w:rsid w:val="00F95E33"/>
    <w:rsid w:val="00F95FE5"/>
    <w:rsid w:val="00F96019"/>
    <w:rsid w:val="00F96165"/>
    <w:rsid w:val="00F962C3"/>
    <w:rsid w:val="00F96583"/>
    <w:rsid w:val="00F965C0"/>
    <w:rsid w:val="00F967D2"/>
    <w:rsid w:val="00F96943"/>
    <w:rsid w:val="00F969C4"/>
    <w:rsid w:val="00F96BA4"/>
    <w:rsid w:val="00F96C61"/>
    <w:rsid w:val="00F96E49"/>
    <w:rsid w:val="00F971F8"/>
    <w:rsid w:val="00F97220"/>
    <w:rsid w:val="00F97477"/>
    <w:rsid w:val="00F97904"/>
    <w:rsid w:val="00F97D6C"/>
    <w:rsid w:val="00F97ED6"/>
    <w:rsid w:val="00FA0147"/>
    <w:rsid w:val="00FA014F"/>
    <w:rsid w:val="00FA032D"/>
    <w:rsid w:val="00FA043C"/>
    <w:rsid w:val="00FA05B5"/>
    <w:rsid w:val="00FA06B3"/>
    <w:rsid w:val="00FA0BA1"/>
    <w:rsid w:val="00FA0F46"/>
    <w:rsid w:val="00FA10D3"/>
    <w:rsid w:val="00FA114B"/>
    <w:rsid w:val="00FA13E8"/>
    <w:rsid w:val="00FA1846"/>
    <w:rsid w:val="00FA1A7B"/>
    <w:rsid w:val="00FA1B08"/>
    <w:rsid w:val="00FA1E26"/>
    <w:rsid w:val="00FA2017"/>
    <w:rsid w:val="00FA208A"/>
    <w:rsid w:val="00FA2577"/>
    <w:rsid w:val="00FA2B2D"/>
    <w:rsid w:val="00FA2D78"/>
    <w:rsid w:val="00FA2F03"/>
    <w:rsid w:val="00FA2F55"/>
    <w:rsid w:val="00FA2FC4"/>
    <w:rsid w:val="00FA3358"/>
    <w:rsid w:val="00FA33D6"/>
    <w:rsid w:val="00FA3587"/>
    <w:rsid w:val="00FA36DC"/>
    <w:rsid w:val="00FA3D00"/>
    <w:rsid w:val="00FA3D35"/>
    <w:rsid w:val="00FA3DBC"/>
    <w:rsid w:val="00FA45C7"/>
    <w:rsid w:val="00FA47EB"/>
    <w:rsid w:val="00FA4F09"/>
    <w:rsid w:val="00FA511F"/>
    <w:rsid w:val="00FA53B2"/>
    <w:rsid w:val="00FA53D0"/>
    <w:rsid w:val="00FA56AD"/>
    <w:rsid w:val="00FA5C35"/>
    <w:rsid w:val="00FA5E7A"/>
    <w:rsid w:val="00FA5F7D"/>
    <w:rsid w:val="00FA5FD0"/>
    <w:rsid w:val="00FA6607"/>
    <w:rsid w:val="00FA68C7"/>
    <w:rsid w:val="00FA6ACB"/>
    <w:rsid w:val="00FA6D50"/>
    <w:rsid w:val="00FA7094"/>
    <w:rsid w:val="00FA70BA"/>
    <w:rsid w:val="00FA70F5"/>
    <w:rsid w:val="00FA7370"/>
    <w:rsid w:val="00FA747A"/>
    <w:rsid w:val="00FA75F6"/>
    <w:rsid w:val="00FA79FA"/>
    <w:rsid w:val="00FA7CF8"/>
    <w:rsid w:val="00FB0076"/>
    <w:rsid w:val="00FB0094"/>
    <w:rsid w:val="00FB00BE"/>
    <w:rsid w:val="00FB0696"/>
    <w:rsid w:val="00FB0698"/>
    <w:rsid w:val="00FB0D84"/>
    <w:rsid w:val="00FB1543"/>
    <w:rsid w:val="00FB172A"/>
    <w:rsid w:val="00FB1C49"/>
    <w:rsid w:val="00FB1E08"/>
    <w:rsid w:val="00FB1F17"/>
    <w:rsid w:val="00FB2409"/>
    <w:rsid w:val="00FB2743"/>
    <w:rsid w:val="00FB2974"/>
    <w:rsid w:val="00FB29E3"/>
    <w:rsid w:val="00FB2E2D"/>
    <w:rsid w:val="00FB302A"/>
    <w:rsid w:val="00FB323A"/>
    <w:rsid w:val="00FB35C5"/>
    <w:rsid w:val="00FB37A3"/>
    <w:rsid w:val="00FB37F0"/>
    <w:rsid w:val="00FB393D"/>
    <w:rsid w:val="00FB3A50"/>
    <w:rsid w:val="00FB3EAA"/>
    <w:rsid w:val="00FB41D4"/>
    <w:rsid w:val="00FB43A7"/>
    <w:rsid w:val="00FB476A"/>
    <w:rsid w:val="00FB490E"/>
    <w:rsid w:val="00FB4D0A"/>
    <w:rsid w:val="00FB4E51"/>
    <w:rsid w:val="00FB5239"/>
    <w:rsid w:val="00FB5300"/>
    <w:rsid w:val="00FB533D"/>
    <w:rsid w:val="00FB5A1E"/>
    <w:rsid w:val="00FB5AA1"/>
    <w:rsid w:val="00FB5BB0"/>
    <w:rsid w:val="00FB5FF9"/>
    <w:rsid w:val="00FB63DA"/>
    <w:rsid w:val="00FB68E1"/>
    <w:rsid w:val="00FB6CC2"/>
    <w:rsid w:val="00FB71B9"/>
    <w:rsid w:val="00FB76B2"/>
    <w:rsid w:val="00FB7862"/>
    <w:rsid w:val="00FB79B5"/>
    <w:rsid w:val="00FB79BF"/>
    <w:rsid w:val="00FB7ADB"/>
    <w:rsid w:val="00FB7B22"/>
    <w:rsid w:val="00FB7F91"/>
    <w:rsid w:val="00FB7FCD"/>
    <w:rsid w:val="00FC0055"/>
    <w:rsid w:val="00FC011A"/>
    <w:rsid w:val="00FC0302"/>
    <w:rsid w:val="00FC0316"/>
    <w:rsid w:val="00FC04EE"/>
    <w:rsid w:val="00FC05EC"/>
    <w:rsid w:val="00FC091D"/>
    <w:rsid w:val="00FC0B89"/>
    <w:rsid w:val="00FC0D69"/>
    <w:rsid w:val="00FC194B"/>
    <w:rsid w:val="00FC1DD1"/>
    <w:rsid w:val="00FC20A7"/>
    <w:rsid w:val="00FC21CB"/>
    <w:rsid w:val="00FC26C4"/>
    <w:rsid w:val="00FC2BA9"/>
    <w:rsid w:val="00FC2EEB"/>
    <w:rsid w:val="00FC3556"/>
    <w:rsid w:val="00FC36E9"/>
    <w:rsid w:val="00FC3793"/>
    <w:rsid w:val="00FC410F"/>
    <w:rsid w:val="00FC484B"/>
    <w:rsid w:val="00FC48A1"/>
    <w:rsid w:val="00FC4BC3"/>
    <w:rsid w:val="00FC4BF0"/>
    <w:rsid w:val="00FC4C2E"/>
    <w:rsid w:val="00FC4E10"/>
    <w:rsid w:val="00FC4F58"/>
    <w:rsid w:val="00FC50F8"/>
    <w:rsid w:val="00FC572B"/>
    <w:rsid w:val="00FC5B95"/>
    <w:rsid w:val="00FC5DA9"/>
    <w:rsid w:val="00FC62EE"/>
    <w:rsid w:val="00FC637A"/>
    <w:rsid w:val="00FC63F0"/>
    <w:rsid w:val="00FC6524"/>
    <w:rsid w:val="00FC6976"/>
    <w:rsid w:val="00FC77FB"/>
    <w:rsid w:val="00FC794E"/>
    <w:rsid w:val="00FC7BD0"/>
    <w:rsid w:val="00FD0114"/>
    <w:rsid w:val="00FD02A9"/>
    <w:rsid w:val="00FD04D6"/>
    <w:rsid w:val="00FD0649"/>
    <w:rsid w:val="00FD0729"/>
    <w:rsid w:val="00FD0A57"/>
    <w:rsid w:val="00FD0D84"/>
    <w:rsid w:val="00FD12DC"/>
    <w:rsid w:val="00FD1886"/>
    <w:rsid w:val="00FD1A7D"/>
    <w:rsid w:val="00FD1B5B"/>
    <w:rsid w:val="00FD1F10"/>
    <w:rsid w:val="00FD2299"/>
    <w:rsid w:val="00FD22BD"/>
    <w:rsid w:val="00FD2A0D"/>
    <w:rsid w:val="00FD2A4F"/>
    <w:rsid w:val="00FD3296"/>
    <w:rsid w:val="00FD3351"/>
    <w:rsid w:val="00FD3559"/>
    <w:rsid w:val="00FD35E9"/>
    <w:rsid w:val="00FD435E"/>
    <w:rsid w:val="00FD4864"/>
    <w:rsid w:val="00FD4989"/>
    <w:rsid w:val="00FD4CE9"/>
    <w:rsid w:val="00FD5888"/>
    <w:rsid w:val="00FD5AC8"/>
    <w:rsid w:val="00FD5FED"/>
    <w:rsid w:val="00FD63C4"/>
    <w:rsid w:val="00FD6515"/>
    <w:rsid w:val="00FD6795"/>
    <w:rsid w:val="00FD67CC"/>
    <w:rsid w:val="00FD68C3"/>
    <w:rsid w:val="00FD698E"/>
    <w:rsid w:val="00FD69B4"/>
    <w:rsid w:val="00FD6A38"/>
    <w:rsid w:val="00FD6C2B"/>
    <w:rsid w:val="00FD6CB7"/>
    <w:rsid w:val="00FD6E23"/>
    <w:rsid w:val="00FD73B0"/>
    <w:rsid w:val="00FD741E"/>
    <w:rsid w:val="00FD75E8"/>
    <w:rsid w:val="00FD7E9B"/>
    <w:rsid w:val="00FD7EA2"/>
    <w:rsid w:val="00FD7F32"/>
    <w:rsid w:val="00FE000E"/>
    <w:rsid w:val="00FE00E7"/>
    <w:rsid w:val="00FE00EA"/>
    <w:rsid w:val="00FE0504"/>
    <w:rsid w:val="00FE0782"/>
    <w:rsid w:val="00FE086A"/>
    <w:rsid w:val="00FE1329"/>
    <w:rsid w:val="00FE1390"/>
    <w:rsid w:val="00FE1543"/>
    <w:rsid w:val="00FE1681"/>
    <w:rsid w:val="00FE1693"/>
    <w:rsid w:val="00FE18CA"/>
    <w:rsid w:val="00FE1A35"/>
    <w:rsid w:val="00FE1E39"/>
    <w:rsid w:val="00FE1EC2"/>
    <w:rsid w:val="00FE2301"/>
    <w:rsid w:val="00FE2633"/>
    <w:rsid w:val="00FE2723"/>
    <w:rsid w:val="00FE27A1"/>
    <w:rsid w:val="00FE2AE2"/>
    <w:rsid w:val="00FE2C3E"/>
    <w:rsid w:val="00FE2D29"/>
    <w:rsid w:val="00FE2D9A"/>
    <w:rsid w:val="00FE2E47"/>
    <w:rsid w:val="00FE2F41"/>
    <w:rsid w:val="00FE31D9"/>
    <w:rsid w:val="00FE3328"/>
    <w:rsid w:val="00FE3627"/>
    <w:rsid w:val="00FE38B6"/>
    <w:rsid w:val="00FE3A1E"/>
    <w:rsid w:val="00FE3A2A"/>
    <w:rsid w:val="00FE3E47"/>
    <w:rsid w:val="00FE3F18"/>
    <w:rsid w:val="00FE40EB"/>
    <w:rsid w:val="00FE419B"/>
    <w:rsid w:val="00FE4862"/>
    <w:rsid w:val="00FE498E"/>
    <w:rsid w:val="00FE4CE1"/>
    <w:rsid w:val="00FE4E5A"/>
    <w:rsid w:val="00FE515A"/>
    <w:rsid w:val="00FE5182"/>
    <w:rsid w:val="00FE524C"/>
    <w:rsid w:val="00FE54C6"/>
    <w:rsid w:val="00FE5859"/>
    <w:rsid w:val="00FE596C"/>
    <w:rsid w:val="00FE59DE"/>
    <w:rsid w:val="00FE5B2F"/>
    <w:rsid w:val="00FE5DF0"/>
    <w:rsid w:val="00FE5E82"/>
    <w:rsid w:val="00FE6006"/>
    <w:rsid w:val="00FE636F"/>
    <w:rsid w:val="00FE6590"/>
    <w:rsid w:val="00FE65BC"/>
    <w:rsid w:val="00FE6715"/>
    <w:rsid w:val="00FE6808"/>
    <w:rsid w:val="00FE6821"/>
    <w:rsid w:val="00FE684E"/>
    <w:rsid w:val="00FE6A30"/>
    <w:rsid w:val="00FE7187"/>
    <w:rsid w:val="00FE76D4"/>
    <w:rsid w:val="00FE7CF4"/>
    <w:rsid w:val="00FE7EE4"/>
    <w:rsid w:val="00FF02AA"/>
    <w:rsid w:val="00FF08A5"/>
    <w:rsid w:val="00FF13BA"/>
    <w:rsid w:val="00FF141E"/>
    <w:rsid w:val="00FF1555"/>
    <w:rsid w:val="00FF1654"/>
    <w:rsid w:val="00FF1684"/>
    <w:rsid w:val="00FF178F"/>
    <w:rsid w:val="00FF1C49"/>
    <w:rsid w:val="00FF2718"/>
    <w:rsid w:val="00FF291E"/>
    <w:rsid w:val="00FF29B5"/>
    <w:rsid w:val="00FF2B85"/>
    <w:rsid w:val="00FF2C72"/>
    <w:rsid w:val="00FF31BF"/>
    <w:rsid w:val="00FF327B"/>
    <w:rsid w:val="00FF32B6"/>
    <w:rsid w:val="00FF3748"/>
    <w:rsid w:val="00FF3AA2"/>
    <w:rsid w:val="00FF3AD2"/>
    <w:rsid w:val="00FF415C"/>
    <w:rsid w:val="00FF42D8"/>
    <w:rsid w:val="00FF43AC"/>
    <w:rsid w:val="00FF44FC"/>
    <w:rsid w:val="00FF452E"/>
    <w:rsid w:val="00FF4564"/>
    <w:rsid w:val="00FF4666"/>
    <w:rsid w:val="00FF4CAD"/>
    <w:rsid w:val="00FF4D12"/>
    <w:rsid w:val="00FF4F11"/>
    <w:rsid w:val="00FF52C2"/>
    <w:rsid w:val="00FF5E8F"/>
    <w:rsid w:val="00FF6058"/>
    <w:rsid w:val="00FF6330"/>
    <w:rsid w:val="00FF6439"/>
    <w:rsid w:val="00FF66CA"/>
    <w:rsid w:val="00FF699F"/>
    <w:rsid w:val="00FF6BCD"/>
    <w:rsid w:val="00FF71A0"/>
    <w:rsid w:val="00FF7397"/>
    <w:rsid w:val="00FF78CE"/>
    <w:rsid w:val="00FF797E"/>
    <w:rsid w:val="00FF7B4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A3773"/>
  <w15:docId w15:val="{244BE16F-B97B-4393-8F56-D7A628C5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7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662"/>
    <w:rPr>
      <w:rFonts w:ascii="Times New Roman" w:eastAsia="Times New Roman" w:hAnsi="Times New Roman"/>
      <w:sz w:val="24"/>
      <w:szCs w:val="24"/>
    </w:rPr>
  </w:style>
  <w:style w:type="paragraph" w:styleId="Heading1">
    <w:name w:val="heading 1"/>
    <w:basedOn w:val="Normal"/>
    <w:next w:val="Normal"/>
    <w:link w:val="Heading1Char"/>
    <w:uiPriority w:val="9"/>
    <w:qFormat/>
    <w:rsid w:val="0078699A"/>
    <w:pPr>
      <w:keepNext/>
      <w:keepLines/>
      <w:widowControl w:val="0"/>
      <w:autoSpaceDE w:val="0"/>
      <w:autoSpaceDN w:val="0"/>
      <w:spacing w:before="480"/>
      <w:outlineLvl w:val="0"/>
    </w:pPr>
    <w:rPr>
      <w:rFonts w:ascii="Cambria" w:hAnsi="Cambria"/>
      <w:b/>
      <w:bCs/>
      <w:color w:val="365F91"/>
      <w:sz w:val="28"/>
      <w:szCs w:val="28"/>
      <w:lang w:val="x-none" w:eastAsia="x-none"/>
    </w:rPr>
  </w:style>
  <w:style w:type="paragraph" w:styleId="Heading2">
    <w:name w:val="heading 2"/>
    <w:basedOn w:val="Normal"/>
    <w:next w:val="Normal"/>
    <w:link w:val="Heading2Char"/>
    <w:uiPriority w:val="9"/>
    <w:semiHidden/>
    <w:unhideWhenUsed/>
    <w:qFormat/>
    <w:rsid w:val="00B80FD8"/>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Tabel,point-point,List Paragraph1,no subbab,Judul super kecil,Light Grid - Accent 31,tabel,Char Char21,Recommendation,List Paragraph11,Bulleted Para,NFP GP Bulleted List,FooterText,numbered,Paragraphe de liste1,En tête 1,Char Char2"/>
    <w:basedOn w:val="Normal"/>
    <w:link w:val="ListParagraphChar"/>
    <w:uiPriority w:val="34"/>
    <w:qFormat/>
    <w:rsid w:val="00F77ED9"/>
    <w:pPr>
      <w:spacing w:after="160" w:line="259" w:lineRule="auto"/>
      <w:ind w:left="720"/>
      <w:contextualSpacing/>
    </w:pPr>
    <w:rPr>
      <w:rFonts w:ascii="Calibri" w:hAnsi="Calibri"/>
      <w:sz w:val="22"/>
      <w:szCs w:val="22"/>
      <w:lang w:val="x-none" w:eastAsia="x-none"/>
    </w:rPr>
  </w:style>
  <w:style w:type="table" w:styleId="TableGrid">
    <w:name w:val="Table Grid"/>
    <w:basedOn w:val="TableNormal"/>
    <w:uiPriority w:val="59"/>
    <w:rsid w:val="00624557"/>
    <w:rPr>
      <w:rFonts w:ascii="Myriad Pro Light (Vietnamese) T" w:eastAsia="Times New Roman" w:hAnsi="Myriad Pro Light (Vietnamese) T" w:cs="Myriad Pro Light (Vietnamese) T"/>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6B639E"/>
    <w:pPr>
      <w:ind w:left="1980"/>
      <w:jc w:val="both"/>
    </w:pPr>
    <w:rPr>
      <w:sz w:val="26"/>
      <w:szCs w:val="20"/>
      <w:lang w:val="x-none" w:eastAsia="x-none"/>
    </w:rPr>
  </w:style>
  <w:style w:type="character" w:customStyle="1" w:styleId="BodyTextIndentChar">
    <w:name w:val="Body Text Indent Char"/>
    <w:link w:val="BodyTextIndent"/>
    <w:uiPriority w:val="99"/>
    <w:rsid w:val="006B639E"/>
    <w:rPr>
      <w:rFonts w:ascii="Times New Roman" w:eastAsia="Times New Roman" w:hAnsi="Times New Roman" w:cs="Times New Roman"/>
      <w:sz w:val="26"/>
      <w:szCs w:val="20"/>
    </w:rPr>
  </w:style>
  <w:style w:type="paragraph" w:styleId="BodyTextIndent2">
    <w:name w:val="Body Text Indent 2"/>
    <w:basedOn w:val="Normal"/>
    <w:link w:val="BodyTextIndent2Char"/>
    <w:uiPriority w:val="99"/>
    <w:rsid w:val="006B639E"/>
    <w:pPr>
      <w:ind w:left="2340"/>
      <w:jc w:val="both"/>
    </w:pPr>
    <w:rPr>
      <w:sz w:val="26"/>
      <w:szCs w:val="20"/>
      <w:lang w:val="x-none" w:eastAsia="x-none"/>
    </w:rPr>
  </w:style>
  <w:style w:type="character" w:customStyle="1" w:styleId="BodyTextIndent2Char">
    <w:name w:val="Body Text Indent 2 Char"/>
    <w:link w:val="BodyTextIndent2"/>
    <w:uiPriority w:val="99"/>
    <w:rsid w:val="006B639E"/>
    <w:rPr>
      <w:rFonts w:ascii="Times New Roman" w:eastAsia="Times New Roman" w:hAnsi="Times New Roman" w:cs="Times New Roman"/>
      <w:sz w:val="26"/>
      <w:szCs w:val="20"/>
    </w:rPr>
  </w:style>
  <w:style w:type="paragraph" w:styleId="ListBullet4">
    <w:name w:val="List Bullet 4"/>
    <w:basedOn w:val="Normal"/>
    <w:uiPriority w:val="99"/>
    <w:rsid w:val="006B639E"/>
    <w:pPr>
      <w:tabs>
        <w:tab w:val="num" w:pos="1440"/>
        <w:tab w:val="num" w:pos="2340"/>
      </w:tabs>
      <w:ind w:left="1440" w:hanging="360"/>
    </w:pPr>
    <w:rPr>
      <w:rFonts w:ascii="Myriad Pro Light (Vietnamese) T" w:hAnsi="Myriad Pro Light (Vietnamese) T" w:cs="Myriad Pro Light (Vietnamese) T"/>
      <w:sz w:val="26"/>
      <w:szCs w:val="26"/>
    </w:rPr>
  </w:style>
  <w:style w:type="paragraph" w:styleId="Header">
    <w:name w:val="header"/>
    <w:basedOn w:val="Normal"/>
    <w:link w:val="HeaderChar"/>
    <w:uiPriority w:val="99"/>
    <w:rsid w:val="006B639E"/>
    <w:pPr>
      <w:tabs>
        <w:tab w:val="center" w:pos="4320"/>
        <w:tab w:val="right" w:pos="8640"/>
      </w:tabs>
    </w:pPr>
    <w:rPr>
      <w:sz w:val="26"/>
      <w:szCs w:val="20"/>
      <w:lang w:val="x-none" w:eastAsia="x-none"/>
    </w:rPr>
  </w:style>
  <w:style w:type="character" w:customStyle="1" w:styleId="HeaderChar">
    <w:name w:val="Header Char"/>
    <w:link w:val="Header"/>
    <w:uiPriority w:val="99"/>
    <w:rsid w:val="006B639E"/>
    <w:rPr>
      <w:rFonts w:ascii="Times New Roman" w:eastAsia="Times New Roman" w:hAnsi="Times New Roman" w:cs="Times New Roman"/>
      <w:sz w:val="26"/>
      <w:szCs w:val="20"/>
    </w:rPr>
  </w:style>
  <w:style w:type="character" w:styleId="PageNumber">
    <w:name w:val="page number"/>
    <w:uiPriority w:val="99"/>
    <w:rsid w:val="006B639E"/>
    <w:rPr>
      <w:rFonts w:cs="Times New Roman"/>
    </w:rPr>
  </w:style>
  <w:style w:type="paragraph" w:styleId="BalloonText">
    <w:name w:val="Balloon Text"/>
    <w:basedOn w:val="Normal"/>
    <w:link w:val="BalloonTextChar"/>
    <w:uiPriority w:val="99"/>
    <w:semiHidden/>
    <w:rsid w:val="006B639E"/>
    <w:rPr>
      <w:rFonts w:ascii="Tahoma" w:hAnsi="Tahoma"/>
      <w:sz w:val="16"/>
      <w:szCs w:val="20"/>
      <w:lang w:val="x-none" w:eastAsia="x-none"/>
    </w:rPr>
  </w:style>
  <w:style w:type="character" w:customStyle="1" w:styleId="BalloonTextChar">
    <w:name w:val="Balloon Text Char"/>
    <w:link w:val="BalloonText"/>
    <w:uiPriority w:val="99"/>
    <w:semiHidden/>
    <w:rsid w:val="006B639E"/>
    <w:rPr>
      <w:rFonts w:ascii="Tahoma" w:eastAsia="Times New Roman" w:hAnsi="Tahoma" w:cs="Times New Roman"/>
      <w:sz w:val="16"/>
      <w:szCs w:val="20"/>
    </w:rPr>
  </w:style>
  <w:style w:type="paragraph" w:styleId="Footer">
    <w:name w:val="footer"/>
    <w:basedOn w:val="Normal"/>
    <w:link w:val="FooterChar"/>
    <w:uiPriority w:val="99"/>
    <w:rsid w:val="006B639E"/>
    <w:pPr>
      <w:tabs>
        <w:tab w:val="center" w:pos="4320"/>
        <w:tab w:val="right" w:pos="8640"/>
      </w:tabs>
    </w:pPr>
    <w:rPr>
      <w:sz w:val="26"/>
      <w:szCs w:val="20"/>
      <w:lang w:val="x-none" w:eastAsia="x-none"/>
    </w:rPr>
  </w:style>
  <w:style w:type="character" w:customStyle="1" w:styleId="FooterChar">
    <w:name w:val="Footer Char"/>
    <w:link w:val="Footer"/>
    <w:uiPriority w:val="99"/>
    <w:rsid w:val="006B639E"/>
    <w:rPr>
      <w:rFonts w:ascii="Times New Roman" w:eastAsia="Times New Roman" w:hAnsi="Times New Roman" w:cs="Times New Roman"/>
      <w:sz w:val="26"/>
      <w:szCs w:val="20"/>
    </w:rPr>
  </w:style>
  <w:style w:type="paragraph" w:styleId="ListNumber2">
    <w:name w:val="List Number 2"/>
    <w:basedOn w:val="Normal"/>
    <w:uiPriority w:val="99"/>
    <w:rsid w:val="006B639E"/>
    <w:pPr>
      <w:tabs>
        <w:tab w:val="num" w:pos="720"/>
        <w:tab w:val="num" w:pos="1267"/>
        <w:tab w:val="num" w:pos="1440"/>
      </w:tabs>
      <w:ind w:left="720" w:hanging="360"/>
    </w:pPr>
    <w:rPr>
      <w:rFonts w:ascii="Myriad Pro Light (Vietnamese) T" w:hAnsi="Myriad Pro Light (Vietnamese) T" w:cs="Myriad Pro Light (Vietnamese) T"/>
      <w:sz w:val="26"/>
      <w:szCs w:val="26"/>
    </w:rPr>
  </w:style>
  <w:style w:type="paragraph" w:customStyle="1" w:styleId="MediumGrid1-Accent21">
    <w:name w:val="Medium Grid 1 - Accent 21"/>
    <w:basedOn w:val="Normal"/>
    <w:uiPriority w:val="34"/>
    <w:qFormat/>
    <w:rsid w:val="006B639E"/>
    <w:pPr>
      <w:ind w:left="720"/>
    </w:pPr>
    <w:rPr>
      <w:rFonts w:ascii="Myriad Pro Light (Vietnamese) T" w:hAnsi="Myriad Pro Light (Vietnamese) T" w:cs="Myriad Pro Light (Vietnamese) T"/>
    </w:rPr>
  </w:style>
  <w:style w:type="paragraph" w:styleId="Title">
    <w:name w:val="Title"/>
    <w:basedOn w:val="Normal"/>
    <w:next w:val="Normal"/>
    <w:link w:val="TitleChar"/>
    <w:uiPriority w:val="10"/>
    <w:qFormat/>
    <w:rsid w:val="006B639E"/>
    <w:pPr>
      <w:spacing w:before="240" w:after="60"/>
      <w:jc w:val="center"/>
      <w:outlineLvl w:val="0"/>
    </w:pPr>
    <w:rPr>
      <w:rFonts w:ascii="Cambria" w:hAnsi="Cambria"/>
      <w:b/>
      <w:kern w:val="28"/>
      <w:sz w:val="32"/>
      <w:szCs w:val="20"/>
      <w:lang w:val="x-none" w:eastAsia="x-none"/>
    </w:rPr>
  </w:style>
  <w:style w:type="character" w:customStyle="1" w:styleId="TitleChar">
    <w:name w:val="Title Char"/>
    <w:link w:val="Title"/>
    <w:uiPriority w:val="10"/>
    <w:rsid w:val="006B639E"/>
    <w:rPr>
      <w:rFonts w:ascii="Cambria" w:eastAsia="Times New Roman" w:hAnsi="Cambria" w:cs="Times New Roman"/>
      <w:b/>
      <w:kern w:val="28"/>
      <w:sz w:val="32"/>
      <w:szCs w:val="20"/>
    </w:rPr>
  </w:style>
  <w:style w:type="paragraph" w:customStyle="1" w:styleId="LightList-Accent51">
    <w:name w:val="Light List - Accent 51"/>
    <w:basedOn w:val="Normal"/>
    <w:uiPriority w:val="34"/>
    <w:qFormat/>
    <w:rsid w:val="006B639E"/>
    <w:pPr>
      <w:ind w:left="720"/>
      <w:contextualSpacing/>
    </w:pPr>
    <w:rPr>
      <w:rFonts w:ascii="Myriad Pro Light (Vietnamese) T" w:hAnsi="Myriad Pro Light (Vietnamese) T" w:cs="Myriad Pro Light (Vietnamese) T"/>
      <w:sz w:val="26"/>
      <w:szCs w:val="26"/>
    </w:rPr>
  </w:style>
  <w:style w:type="paragraph" w:customStyle="1" w:styleId="MediumList2-Accent41">
    <w:name w:val="Medium List 2 - Accent 41"/>
    <w:basedOn w:val="Normal"/>
    <w:uiPriority w:val="34"/>
    <w:qFormat/>
    <w:rsid w:val="006B639E"/>
    <w:pPr>
      <w:spacing w:after="200" w:line="276" w:lineRule="auto"/>
      <w:ind w:left="720"/>
      <w:contextualSpacing/>
    </w:pPr>
    <w:rPr>
      <w:rFonts w:ascii="Calibri" w:hAnsi="Calibri" w:cs="Myriad Pro Light (Vietnamese) T"/>
      <w:sz w:val="22"/>
      <w:szCs w:val="22"/>
    </w:rPr>
  </w:style>
  <w:style w:type="paragraph" w:customStyle="1" w:styleId="MediumGrid1-Accent22">
    <w:name w:val="Medium Grid 1 - Accent 22"/>
    <w:basedOn w:val="Normal"/>
    <w:uiPriority w:val="34"/>
    <w:qFormat/>
    <w:rsid w:val="006B639E"/>
    <w:pPr>
      <w:ind w:left="720"/>
      <w:contextualSpacing/>
    </w:pPr>
    <w:rPr>
      <w:rFonts w:ascii="Myriad Pro Light (Vietnamese) T" w:hAnsi="Myriad Pro Light (Vietnamese) T" w:cs="Myriad Pro Light (Vietnamese) T"/>
      <w:sz w:val="26"/>
      <w:szCs w:val="26"/>
    </w:rPr>
  </w:style>
  <w:style w:type="paragraph" w:customStyle="1" w:styleId="MediumGrid1-Accent23">
    <w:name w:val="Medium Grid 1 - Accent 23"/>
    <w:basedOn w:val="Normal"/>
    <w:uiPriority w:val="34"/>
    <w:qFormat/>
    <w:rsid w:val="006B639E"/>
    <w:pPr>
      <w:ind w:left="720"/>
      <w:contextualSpacing/>
    </w:pPr>
    <w:rPr>
      <w:rFonts w:ascii="Myriad Pro Light (Vietnamese) T" w:hAnsi="Myriad Pro Light (Vietnamese) T" w:cs="Myriad Pro Light (Vietnamese) T"/>
      <w:sz w:val="26"/>
      <w:szCs w:val="26"/>
    </w:rPr>
  </w:style>
  <w:style w:type="paragraph" w:customStyle="1" w:styleId="MediumGrid1-Accent24">
    <w:name w:val="Medium Grid 1 - Accent 24"/>
    <w:basedOn w:val="Normal"/>
    <w:uiPriority w:val="34"/>
    <w:qFormat/>
    <w:rsid w:val="006B639E"/>
    <w:pPr>
      <w:spacing w:after="200" w:line="276" w:lineRule="auto"/>
      <w:ind w:left="720"/>
      <w:contextualSpacing/>
    </w:pPr>
    <w:rPr>
      <w:rFonts w:ascii="Calibri" w:hAnsi="Calibri" w:cs="Myriad Pro Light (Vietnamese) T"/>
      <w:sz w:val="22"/>
      <w:szCs w:val="22"/>
    </w:rPr>
  </w:style>
  <w:style w:type="paragraph" w:customStyle="1" w:styleId="ColorfulList-Accent11">
    <w:name w:val="Colorful List - Accent 11"/>
    <w:basedOn w:val="Normal"/>
    <w:uiPriority w:val="34"/>
    <w:qFormat/>
    <w:rsid w:val="006B639E"/>
    <w:pPr>
      <w:ind w:left="720"/>
      <w:contextualSpacing/>
    </w:pPr>
    <w:rPr>
      <w:rFonts w:ascii="Myriad Pro Light (Vietnamese) T" w:hAnsi="Myriad Pro Light (Vietnamese) T" w:cs="Myriad Pro Light (Vietnamese) T"/>
      <w:sz w:val="26"/>
      <w:szCs w:val="26"/>
    </w:rPr>
  </w:style>
  <w:style w:type="paragraph" w:customStyle="1" w:styleId="MediumGrid1-Accent25">
    <w:name w:val="Medium Grid 1 - Accent 25"/>
    <w:basedOn w:val="Normal"/>
    <w:uiPriority w:val="34"/>
    <w:qFormat/>
    <w:rsid w:val="006B639E"/>
    <w:pPr>
      <w:ind w:left="720"/>
      <w:contextualSpacing/>
    </w:pPr>
    <w:rPr>
      <w:rFonts w:ascii="Myriad Pro Light (Vietnamese) T" w:hAnsi="Myriad Pro Light (Vietnamese) T" w:cs="Myriad Pro Light (Vietnamese) T"/>
      <w:sz w:val="26"/>
      <w:szCs w:val="26"/>
    </w:rPr>
  </w:style>
  <w:style w:type="paragraph" w:styleId="EndnoteText">
    <w:name w:val="endnote text"/>
    <w:basedOn w:val="Normal"/>
    <w:link w:val="EndnoteTextChar"/>
    <w:uiPriority w:val="99"/>
    <w:semiHidden/>
    <w:unhideWhenUsed/>
    <w:rsid w:val="006B639E"/>
    <w:rPr>
      <w:sz w:val="20"/>
      <w:szCs w:val="20"/>
      <w:lang w:val="x-none" w:eastAsia="x-none"/>
    </w:rPr>
  </w:style>
  <w:style w:type="character" w:customStyle="1" w:styleId="EndnoteTextChar">
    <w:name w:val="Endnote Text Char"/>
    <w:link w:val="EndnoteText"/>
    <w:uiPriority w:val="99"/>
    <w:semiHidden/>
    <w:rsid w:val="006B639E"/>
    <w:rPr>
      <w:rFonts w:ascii="Times New Roman" w:eastAsia="Times New Roman" w:hAnsi="Times New Roman" w:cs="Times New Roman"/>
      <w:sz w:val="20"/>
      <w:szCs w:val="20"/>
    </w:rPr>
  </w:style>
  <w:style w:type="character" w:styleId="EndnoteReference">
    <w:name w:val="endnote reference"/>
    <w:uiPriority w:val="99"/>
    <w:semiHidden/>
    <w:unhideWhenUsed/>
    <w:rsid w:val="006B639E"/>
    <w:rPr>
      <w:rFonts w:cs="Times New Roman"/>
      <w:vertAlign w:val="superscript"/>
    </w:rPr>
  </w:style>
  <w:style w:type="paragraph" w:customStyle="1" w:styleId="ColorfulList-Accent12">
    <w:name w:val="Colorful List - Accent 12"/>
    <w:basedOn w:val="Normal"/>
    <w:uiPriority w:val="34"/>
    <w:qFormat/>
    <w:rsid w:val="006B639E"/>
    <w:pPr>
      <w:ind w:left="720"/>
      <w:contextualSpacing/>
    </w:pPr>
    <w:rPr>
      <w:rFonts w:ascii="Myriad Pro Light (Vietnamese) T" w:hAnsi="Myriad Pro Light (Vietnamese) T" w:cs="Lucida Grande"/>
      <w:sz w:val="26"/>
      <w:szCs w:val="26"/>
    </w:rPr>
  </w:style>
  <w:style w:type="paragraph" w:customStyle="1" w:styleId="ColorfulList-Accent121">
    <w:name w:val="Colorful List - Accent 121"/>
    <w:basedOn w:val="Normal"/>
    <w:uiPriority w:val="34"/>
    <w:qFormat/>
    <w:rsid w:val="006B639E"/>
    <w:pPr>
      <w:ind w:left="720"/>
      <w:contextualSpacing/>
    </w:pPr>
    <w:rPr>
      <w:rFonts w:ascii="Myriad Pro Light (Vietnamese) T" w:hAnsi="Myriad Pro Light (Vietnamese) T" w:cs="Myriad Pro Light (Vietnamese) T"/>
      <w:sz w:val="26"/>
      <w:szCs w:val="26"/>
    </w:rPr>
  </w:style>
  <w:style w:type="paragraph" w:customStyle="1" w:styleId="ColorfulList-Accent13">
    <w:name w:val="Colorful List - Accent 13"/>
    <w:basedOn w:val="Normal"/>
    <w:uiPriority w:val="34"/>
    <w:qFormat/>
    <w:rsid w:val="006B639E"/>
    <w:pPr>
      <w:ind w:left="720"/>
      <w:contextualSpacing/>
    </w:pPr>
    <w:rPr>
      <w:sz w:val="26"/>
      <w:szCs w:val="26"/>
    </w:rPr>
  </w:style>
  <w:style w:type="table" w:styleId="MediumGrid1-Accent2">
    <w:name w:val="Medium Grid 1 Accent 2"/>
    <w:basedOn w:val="TableNormal"/>
    <w:uiPriority w:val="72"/>
    <w:rsid w:val="006B639E"/>
    <w:rPr>
      <w:rFonts w:ascii="Courier New Bold (Arabid)" w:eastAsia="Times New Roman" w:hAnsi="Courier New Bold (Arabid)" w:cs="Courier New Bold (Arabid)"/>
      <w:color w:val="000000"/>
      <w:lang w:bidi="th-TH"/>
    </w:rPr>
    <w:tblPr>
      <w:tblStyleRowBandSize w:val="1"/>
      <w:tblStyleColBandSize w:val="1"/>
    </w:tblPr>
    <w:tcPr>
      <w:shd w:val="clear" w:color="auto" w:fill="EDF2F8"/>
    </w:tcPr>
    <w:tblStylePr w:type="firstRow">
      <w:rPr>
        <w:rFonts w:cs="Century"/>
        <w:b/>
        <w:bCs/>
        <w:color w:val="FFFFFF"/>
      </w:rPr>
      <w:tblPr/>
      <w:tcPr>
        <w:tcBorders>
          <w:bottom w:val="single" w:sz="12" w:space="0" w:color="FFFFFF"/>
        </w:tcBorders>
        <w:shd w:val="clear" w:color="auto" w:fill="9E3A38"/>
      </w:tcPr>
    </w:tblStylePr>
    <w:tblStylePr w:type="lastRow">
      <w:rPr>
        <w:rFonts w:cs="Century"/>
        <w:b/>
        <w:bCs/>
        <w:color w:val="9E3A38"/>
      </w:rPr>
      <w:tblPr/>
      <w:tcPr>
        <w:tcBorders>
          <w:top w:val="single" w:sz="12" w:space="0" w:color="000000"/>
        </w:tcBorders>
        <w:shd w:val="clear" w:color="auto" w:fill="FFFFFF"/>
      </w:tcPr>
    </w:tblStylePr>
    <w:tblStylePr w:type="firstCol">
      <w:rPr>
        <w:rFonts w:cs="Century"/>
        <w:b/>
        <w:bCs/>
      </w:rPr>
    </w:tblStylePr>
    <w:tblStylePr w:type="lastCol">
      <w:rPr>
        <w:rFonts w:cs="Century"/>
        <w:b/>
        <w:bCs/>
      </w:rPr>
    </w:tblStylePr>
    <w:tblStylePr w:type="band1Vert">
      <w:rPr>
        <w:rFonts w:cs="Century"/>
      </w:rPr>
      <w:tblPr/>
      <w:tcPr>
        <w:tcBorders>
          <w:top w:val="nil"/>
          <w:left w:val="nil"/>
          <w:bottom w:val="nil"/>
          <w:right w:val="nil"/>
          <w:insideH w:val="nil"/>
          <w:insideV w:val="nil"/>
        </w:tcBorders>
        <w:shd w:val="clear" w:color="auto" w:fill="D3DFEE"/>
      </w:tcPr>
    </w:tblStylePr>
    <w:tblStylePr w:type="band1Horz">
      <w:rPr>
        <w:rFonts w:cs="Century"/>
      </w:rPr>
      <w:tblPr/>
      <w:tcPr>
        <w:shd w:val="clear" w:color="auto" w:fill="DBE5F1"/>
      </w:tcPr>
    </w:tblStylePr>
  </w:style>
  <w:style w:type="table" w:customStyle="1" w:styleId="TableGrid1">
    <w:name w:val="Table Grid1"/>
    <w:basedOn w:val="TableNormal"/>
    <w:next w:val="TableGrid"/>
    <w:uiPriority w:val="59"/>
    <w:rsid w:val="006B63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63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639E"/>
    <w:pPr>
      <w:autoSpaceDE w:val="0"/>
      <w:autoSpaceDN w:val="0"/>
      <w:adjustRightInd w:val="0"/>
    </w:pPr>
    <w:rPr>
      <w:rFonts w:ascii="Bookman Old Style" w:eastAsia="Times New Roman" w:hAnsi="Bookman Old Style" w:cs="Bookman Old Style"/>
      <w:color w:val="000000"/>
      <w:sz w:val="24"/>
      <w:szCs w:val="24"/>
      <w:lang w:val="en-US"/>
    </w:rPr>
  </w:style>
  <w:style w:type="character" w:styleId="SubtleEmphasis">
    <w:name w:val="Subtle Emphasis"/>
    <w:uiPriority w:val="19"/>
    <w:qFormat/>
    <w:rsid w:val="00E97CB8"/>
    <w:rPr>
      <w:i/>
      <w:iCs/>
      <w:color w:val="404040"/>
    </w:rPr>
  </w:style>
  <w:style w:type="character" w:customStyle="1" w:styleId="ListParagraphChar">
    <w:name w:val="List Paragraph Char"/>
    <w:aliases w:val="kepala Char,Tabel Char,point-point Char,List Paragraph1 Char,no subbab Char,Judul super kecil Char,Light Grid - Accent 31 Char,tabel Char,Char Char21 Char,Recommendation Char,List Paragraph11 Char,Bulleted Para Char,FooterText Char"/>
    <w:link w:val="ListParagraph"/>
    <w:uiPriority w:val="34"/>
    <w:qFormat/>
    <w:locked/>
    <w:rsid w:val="009257E8"/>
    <w:rPr>
      <w:sz w:val="22"/>
      <w:szCs w:val="22"/>
    </w:rPr>
  </w:style>
  <w:style w:type="character" w:customStyle="1" w:styleId="Heading1Char">
    <w:name w:val="Heading 1 Char"/>
    <w:link w:val="Heading1"/>
    <w:uiPriority w:val="9"/>
    <w:rsid w:val="0078699A"/>
    <w:rPr>
      <w:rFonts w:ascii="Cambria" w:eastAsia="Times New Roman" w:hAnsi="Cambria"/>
      <w:b/>
      <w:bCs/>
      <w:color w:val="365F91"/>
      <w:sz w:val="28"/>
      <w:szCs w:val="28"/>
    </w:rPr>
  </w:style>
  <w:style w:type="paragraph" w:styleId="BodyTextIndent3">
    <w:name w:val="Body Text Indent 3"/>
    <w:basedOn w:val="Normal"/>
    <w:link w:val="BodyTextIndent3Char"/>
    <w:uiPriority w:val="99"/>
    <w:semiHidden/>
    <w:unhideWhenUsed/>
    <w:rsid w:val="00402799"/>
    <w:pPr>
      <w:spacing w:after="120" w:line="259" w:lineRule="auto"/>
      <w:ind w:left="283"/>
    </w:pPr>
    <w:rPr>
      <w:rFonts w:ascii="Calibri" w:hAnsi="Calibri"/>
      <w:sz w:val="16"/>
      <w:szCs w:val="16"/>
      <w:lang w:val="x-none" w:eastAsia="x-none"/>
    </w:rPr>
  </w:style>
  <w:style w:type="character" w:customStyle="1" w:styleId="BodyTextIndent3Char">
    <w:name w:val="Body Text Indent 3 Char"/>
    <w:link w:val="BodyTextIndent3"/>
    <w:uiPriority w:val="99"/>
    <w:semiHidden/>
    <w:rsid w:val="00402799"/>
    <w:rPr>
      <w:sz w:val="16"/>
      <w:szCs w:val="16"/>
    </w:rPr>
  </w:style>
  <w:style w:type="character" w:customStyle="1" w:styleId="fontstyle01">
    <w:name w:val="fontstyle01"/>
    <w:rsid w:val="00670AB1"/>
    <w:rPr>
      <w:rFonts w:ascii="Helvetica" w:hAnsi="Helvetica" w:cs="Helvetica" w:hint="default"/>
      <w:b w:val="0"/>
      <w:bCs w:val="0"/>
      <w:i w:val="0"/>
      <w:iCs w:val="0"/>
      <w:color w:val="000000"/>
      <w:sz w:val="26"/>
      <w:szCs w:val="26"/>
    </w:rPr>
  </w:style>
  <w:style w:type="character" w:styleId="Strong">
    <w:name w:val="Strong"/>
    <w:uiPriority w:val="22"/>
    <w:qFormat/>
    <w:rsid w:val="000965A1"/>
    <w:rPr>
      <w:b/>
      <w:bCs/>
    </w:rPr>
  </w:style>
  <w:style w:type="paragraph" w:styleId="NormalWeb">
    <w:name w:val="Normal (Web)"/>
    <w:basedOn w:val="Normal"/>
    <w:uiPriority w:val="99"/>
    <w:unhideWhenUsed/>
    <w:rsid w:val="00A426E2"/>
    <w:pPr>
      <w:spacing w:before="100" w:beforeAutospacing="1" w:after="100" w:afterAutospacing="1"/>
    </w:pPr>
  </w:style>
  <w:style w:type="numbering" w:customStyle="1" w:styleId="CurrentList1">
    <w:name w:val="Current List1"/>
    <w:uiPriority w:val="99"/>
    <w:rsid w:val="0096477C"/>
    <w:pPr>
      <w:numPr>
        <w:numId w:val="18"/>
      </w:numPr>
    </w:pPr>
  </w:style>
  <w:style w:type="numbering" w:customStyle="1" w:styleId="CurrentList2">
    <w:name w:val="Current List2"/>
    <w:uiPriority w:val="99"/>
    <w:rsid w:val="0096477C"/>
    <w:pPr>
      <w:numPr>
        <w:numId w:val="19"/>
      </w:numPr>
    </w:pPr>
  </w:style>
  <w:style w:type="numbering" w:customStyle="1" w:styleId="CurrentList3">
    <w:name w:val="Current List3"/>
    <w:uiPriority w:val="99"/>
    <w:rsid w:val="0096477C"/>
    <w:pPr>
      <w:numPr>
        <w:numId w:val="20"/>
      </w:numPr>
    </w:pPr>
  </w:style>
  <w:style w:type="numbering" w:customStyle="1" w:styleId="CurrentList4">
    <w:name w:val="Current List4"/>
    <w:uiPriority w:val="99"/>
    <w:rsid w:val="0096477C"/>
    <w:pPr>
      <w:numPr>
        <w:numId w:val="21"/>
      </w:numPr>
    </w:pPr>
  </w:style>
  <w:style w:type="numbering" w:customStyle="1" w:styleId="CurrentList5">
    <w:name w:val="Current List5"/>
    <w:uiPriority w:val="99"/>
    <w:rsid w:val="00653BA2"/>
    <w:pPr>
      <w:numPr>
        <w:numId w:val="24"/>
      </w:numPr>
    </w:pPr>
  </w:style>
  <w:style w:type="character" w:customStyle="1" w:styleId="markedcontent">
    <w:name w:val="markedcontent"/>
    <w:basedOn w:val="DefaultParagraphFont"/>
    <w:rsid w:val="00D45836"/>
  </w:style>
  <w:style w:type="paragraph" w:styleId="FootnoteText">
    <w:name w:val="footnote text"/>
    <w:basedOn w:val="Normal"/>
    <w:link w:val="FootnoteTextChar"/>
    <w:uiPriority w:val="99"/>
    <w:semiHidden/>
    <w:unhideWhenUsed/>
    <w:rsid w:val="00226AC9"/>
    <w:rPr>
      <w:sz w:val="20"/>
      <w:szCs w:val="20"/>
    </w:rPr>
  </w:style>
  <w:style w:type="character" w:customStyle="1" w:styleId="FootnoteTextChar">
    <w:name w:val="Footnote Text Char"/>
    <w:basedOn w:val="DefaultParagraphFont"/>
    <w:link w:val="FootnoteText"/>
    <w:uiPriority w:val="99"/>
    <w:semiHidden/>
    <w:rsid w:val="00226AC9"/>
    <w:rPr>
      <w:rFonts w:ascii="Times New Roman" w:eastAsia="Times New Roman" w:hAnsi="Times New Roman"/>
    </w:rPr>
  </w:style>
  <w:style w:type="character" w:styleId="FootnoteReference">
    <w:name w:val="footnote reference"/>
    <w:basedOn w:val="DefaultParagraphFont"/>
    <w:uiPriority w:val="99"/>
    <w:semiHidden/>
    <w:unhideWhenUsed/>
    <w:rsid w:val="00226AC9"/>
    <w:rPr>
      <w:vertAlign w:val="superscript"/>
    </w:rPr>
  </w:style>
  <w:style w:type="numbering" w:customStyle="1" w:styleId="CurrentList6">
    <w:name w:val="Current List6"/>
    <w:uiPriority w:val="99"/>
    <w:rsid w:val="00CD4A2D"/>
    <w:pPr>
      <w:numPr>
        <w:numId w:val="69"/>
      </w:numPr>
    </w:pPr>
  </w:style>
  <w:style w:type="character" w:styleId="LineNumber">
    <w:name w:val="line number"/>
    <w:basedOn w:val="DefaultParagraphFont"/>
    <w:uiPriority w:val="99"/>
    <w:semiHidden/>
    <w:unhideWhenUsed/>
    <w:rsid w:val="004667C8"/>
  </w:style>
  <w:style w:type="paragraph" w:customStyle="1" w:styleId="1Style1">
    <w:name w:val="1) Style1"/>
    <w:basedOn w:val="ListParagraph"/>
    <w:link w:val="1Style1Char"/>
    <w:qFormat/>
    <w:rsid w:val="00A00E28"/>
    <w:pPr>
      <w:spacing w:after="0"/>
      <w:ind w:left="0"/>
      <w:contextualSpacing w:val="0"/>
      <w:jc w:val="both"/>
    </w:pPr>
    <w:rPr>
      <w:rFonts w:ascii="Bookman Old Style" w:eastAsia="Calibri" w:hAnsi="Bookman Old Style"/>
      <w:sz w:val="24"/>
      <w:szCs w:val="24"/>
      <w:lang w:val="en-US" w:eastAsia="en-US"/>
    </w:rPr>
  </w:style>
  <w:style w:type="character" w:customStyle="1" w:styleId="1Style1Char">
    <w:name w:val="1) Style1 Char"/>
    <w:basedOn w:val="DefaultParagraphFont"/>
    <w:link w:val="1Style1"/>
    <w:rsid w:val="00A00E28"/>
    <w:rPr>
      <w:rFonts w:ascii="Bookman Old Style" w:hAnsi="Bookman Old Style"/>
      <w:sz w:val="24"/>
      <w:szCs w:val="24"/>
      <w:lang w:val="en-US"/>
    </w:rPr>
  </w:style>
  <w:style w:type="table" w:customStyle="1" w:styleId="TableGrid4">
    <w:name w:val="Table Grid4"/>
    <w:basedOn w:val="TableNormal"/>
    <w:next w:val="TableGrid"/>
    <w:uiPriority w:val="59"/>
    <w:rsid w:val="00A00E28"/>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XModel1">
    <w:name w:val="FiX Model 1"/>
    <w:basedOn w:val="Normal"/>
    <w:link w:val="FiXModel1Char"/>
    <w:qFormat/>
    <w:rsid w:val="00CB04B6"/>
    <w:pPr>
      <w:spacing w:before="120" w:after="120"/>
      <w:ind w:left="900" w:hanging="360"/>
      <w:contextualSpacing/>
      <w:jc w:val="both"/>
    </w:pPr>
    <w:rPr>
      <w:rFonts w:ascii="Bookman Old Style" w:hAnsi="Bookman Old Style"/>
      <w:bCs/>
      <w:lang w:val="id-ID"/>
    </w:rPr>
  </w:style>
  <w:style w:type="character" w:customStyle="1" w:styleId="FiXModel1Char">
    <w:name w:val="FiX Model 1 Char"/>
    <w:basedOn w:val="DefaultParagraphFont"/>
    <w:link w:val="FiXModel1"/>
    <w:rsid w:val="00CB04B6"/>
    <w:rPr>
      <w:rFonts w:ascii="Bookman Old Style" w:eastAsia="Times New Roman" w:hAnsi="Bookman Old Style"/>
      <w:bCs/>
      <w:sz w:val="24"/>
      <w:szCs w:val="24"/>
      <w:lang w:val="id-ID"/>
    </w:rPr>
  </w:style>
  <w:style w:type="paragraph" w:styleId="BodyText">
    <w:name w:val="Body Text"/>
    <w:basedOn w:val="Normal"/>
    <w:link w:val="BodyTextChar"/>
    <w:uiPriority w:val="99"/>
    <w:semiHidden/>
    <w:unhideWhenUsed/>
    <w:rsid w:val="00DE7158"/>
    <w:pPr>
      <w:spacing w:after="120"/>
    </w:pPr>
  </w:style>
  <w:style w:type="character" w:customStyle="1" w:styleId="BodyTextChar">
    <w:name w:val="Body Text Char"/>
    <w:basedOn w:val="DefaultParagraphFont"/>
    <w:link w:val="BodyText"/>
    <w:uiPriority w:val="99"/>
    <w:semiHidden/>
    <w:rsid w:val="00DE7158"/>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B80FD8"/>
    <w:rPr>
      <w:rFonts w:asciiTheme="majorHAnsi" w:eastAsiaTheme="majorEastAsia" w:hAnsiTheme="majorHAnsi" w:cstheme="majorBidi"/>
      <w:b/>
      <w:bCs/>
      <w:color w:val="4472C4" w:themeColor="accent1"/>
      <w:sz w:val="26"/>
      <w:szCs w:val="26"/>
    </w:rPr>
  </w:style>
  <w:style w:type="paragraph" w:styleId="BodyText2">
    <w:name w:val="Body Text 2"/>
    <w:basedOn w:val="Normal"/>
    <w:link w:val="BodyText2Char"/>
    <w:uiPriority w:val="99"/>
    <w:unhideWhenUsed/>
    <w:rsid w:val="00B80FD8"/>
    <w:pPr>
      <w:spacing w:after="120" w:line="480" w:lineRule="auto"/>
    </w:pPr>
  </w:style>
  <w:style w:type="character" w:customStyle="1" w:styleId="BodyText2Char">
    <w:name w:val="Body Text 2 Char"/>
    <w:basedOn w:val="DefaultParagraphFont"/>
    <w:link w:val="BodyText2"/>
    <w:uiPriority w:val="99"/>
    <w:rsid w:val="00B80FD8"/>
    <w:rPr>
      <w:rFonts w:ascii="Times New Roman" w:eastAsia="Times New Roman" w:hAnsi="Times New Roman"/>
      <w:sz w:val="24"/>
      <w:szCs w:val="24"/>
    </w:rPr>
  </w:style>
  <w:style w:type="character" w:customStyle="1" w:styleId="apple-tab-span">
    <w:name w:val="apple-tab-span"/>
    <w:basedOn w:val="DefaultParagraphFont"/>
    <w:rsid w:val="00B80FD8"/>
  </w:style>
  <w:style w:type="numbering" w:customStyle="1" w:styleId="CurrentList61">
    <w:name w:val="Current List61"/>
    <w:uiPriority w:val="99"/>
    <w:rsid w:val="000A2AAF"/>
  </w:style>
  <w:style w:type="character" w:styleId="CommentReference">
    <w:name w:val="annotation reference"/>
    <w:basedOn w:val="DefaultParagraphFont"/>
    <w:uiPriority w:val="99"/>
    <w:semiHidden/>
    <w:unhideWhenUsed/>
    <w:rsid w:val="00421885"/>
    <w:rPr>
      <w:sz w:val="16"/>
      <w:szCs w:val="16"/>
    </w:rPr>
  </w:style>
  <w:style w:type="paragraph" w:styleId="CommentText">
    <w:name w:val="annotation text"/>
    <w:basedOn w:val="Normal"/>
    <w:link w:val="CommentTextChar"/>
    <w:uiPriority w:val="99"/>
    <w:unhideWhenUsed/>
    <w:rsid w:val="00421885"/>
    <w:rPr>
      <w:sz w:val="20"/>
      <w:szCs w:val="20"/>
    </w:rPr>
  </w:style>
  <w:style w:type="character" w:customStyle="1" w:styleId="CommentTextChar">
    <w:name w:val="Comment Text Char"/>
    <w:basedOn w:val="DefaultParagraphFont"/>
    <w:link w:val="CommentText"/>
    <w:uiPriority w:val="99"/>
    <w:rsid w:val="0042188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21885"/>
    <w:rPr>
      <w:b/>
      <w:bCs/>
    </w:rPr>
  </w:style>
  <w:style w:type="character" w:customStyle="1" w:styleId="CommentSubjectChar">
    <w:name w:val="Comment Subject Char"/>
    <w:basedOn w:val="CommentTextChar"/>
    <w:link w:val="CommentSubject"/>
    <w:uiPriority w:val="99"/>
    <w:semiHidden/>
    <w:rsid w:val="00421885"/>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502">
      <w:bodyDiv w:val="1"/>
      <w:marLeft w:val="0"/>
      <w:marRight w:val="0"/>
      <w:marTop w:val="0"/>
      <w:marBottom w:val="0"/>
      <w:divBdr>
        <w:top w:val="none" w:sz="0" w:space="0" w:color="auto"/>
        <w:left w:val="none" w:sz="0" w:space="0" w:color="auto"/>
        <w:bottom w:val="none" w:sz="0" w:space="0" w:color="auto"/>
        <w:right w:val="none" w:sz="0" w:space="0" w:color="auto"/>
      </w:divBdr>
    </w:div>
    <w:div w:id="668189">
      <w:bodyDiv w:val="1"/>
      <w:marLeft w:val="0"/>
      <w:marRight w:val="0"/>
      <w:marTop w:val="0"/>
      <w:marBottom w:val="0"/>
      <w:divBdr>
        <w:top w:val="none" w:sz="0" w:space="0" w:color="auto"/>
        <w:left w:val="none" w:sz="0" w:space="0" w:color="auto"/>
        <w:bottom w:val="none" w:sz="0" w:space="0" w:color="auto"/>
        <w:right w:val="none" w:sz="0" w:space="0" w:color="auto"/>
      </w:divBdr>
    </w:div>
    <w:div w:id="2249644">
      <w:bodyDiv w:val="1"/>
      <w:marLeft w:val="0"/>
      <w:marRight w:val="0"/>
      <w:marTop w:val="0"/>
      <w:marBottom w:val="0"/>
      <w:divBdr>
        <w:top w:val="none" w:sz="0" w:space="0" w:color="auto"/>
        <w:left w:val="none" w:sz="0" w:space="0" w:color="auto"/>
        <w:bottom w:val="none" w:sz="0" w:space="0" w:color="auto"/>
        <w:right w:val="none" w:sz="0" w:space="0" w:color="auto"/>
      </w:divBdr>
    </w:div>
    <w:div w:id="2708894">
      <w:bodyDiv w:val="1"/>
      <w:marLeft w:val="0"/>
      <w:marRight w:val="0"/>
      <w:marTop w:val="0"/>
      <w:marBottom w:val="0"/>
      <w:divBdr>
        <w:top w:val="none" w:sz="0" w:space="0" w:color="auto"/>
        <w:left w:val="none" w:sz="0" w:space="0" w:color="auto"/>
        <w:bottom w:val="none" w:sz="0" w:space="0" w:color="auto"/>
        <w:right w:val="none" w:sz="0" w:space="0" w:color="auto"/>
      </w:divBdr>
    </w:div>
    <w:div w:id="2972077">
      <w:bodyDiv w:val="1"/>
      <w:marLeft w:val="0"/>
      <w:marRight w:val="0"/>
      <w:marTop w:val="0"/>
      <w:marBottom w:val="0"/>
      <w:divBdr>
        <w:top w:val="none" w:sz="0" w:space="0" w:color="auto"/>
        <w:left w:val="none" w:sz="0" w:space="0" w:color="auto"/>
        <w:bottom w:val="none" w:sz="0" w:space="0" w:color="auto"/>
        <w:right w:val="none" w:sz="0" w:space="0" w:color="auto"/>
      </w:divBdr>
      <w:divsChild>
        <w:div w:id="954017394">
          <w:marLeft w:val="0"/>
          <w:marRight w:val="0"/>
          <w:marTop w:val="0"/>
          <w:marBottom w:val="0"/>
          <w:divBdr>
            <w:top w:val="none" w:sz="0" w:space="0" w:color="auto"/>
            <w:left w:val="none" w:sz="0" w:space="0" w:color="auto"/>
            <w:bottom w:val="none" w:sz="0" w:space="0" w:color="auto"/>
            <w:right w:val="none" w:sz="0" w:space="0" w:color="auto"/>
          </w:divBdr>
          <w:divsChild>
            <w:div w:id="1496536401">
              <w:marLeft w:val="0"/>
              <w:marRight w:val="0"/>
              <w:marTop w:val="0"/>
              <w:marBottom w:val="0"/>
              <w:divBdr>
                <w:top w:val="none" w:sz="0" w:space="0" w:color="auto"/>
                <w:left w:val="none" w:sz="0" w:space="0" w:color="auto"/>
                <w:bottom w:val="none" w:sz="0" w:space="0" w:color="auto"/>
                <w:right w:val="none" w:sz="0" w:space="0" w:color="auto"/>
              </w:divBdr>
              <w:divsChild>
                <w:div w:id="100300914">
                  <w:marLeft w:val="0"/>
                  <w:marRight w:val="0"/>
                  <w:marTop w:val="0"/>
                  <w:marBottom w:val="0"/>
                  <w:divBdr>
                    <w:top w:val="none" w:sz="0" w:space="0" w:color="auto"/>
                    <w:left w:val="none" w:sz="0" w:space="0" w:color="auto"/>
                    <w:bottom w:val="none" w:sz="0" w:space="0" w:color="auto"/>
                    <w:right w:val="none" w:sz="0" w:space="0" w:color="auto"/>
                  </w:divBdr>
                  <w:divsChild>
                    <w:div w:id="476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2984">
      <w:bodyDiv w:val="1"/>
      <w:marLeft w:val="0"/>
      <w:marRight w:val="0"/>
      <w:marTop w:val="0"/>
      <w:marBottom w:val="0"/>
      <w:divBdr>
        <w:top w:val="none" w:sz="0" w:space="0" w:color="auto"/>
        <w:left w:val="none" w:sz="0" w:space="0" w:color="auto"/>
        <w:bottom w:val="none" w:sz="0" w:space="0" w:color="auto"/>
        <w:right w:val="none" w:sz="0" w:space="0" w:color="auto"/>
      </w:divBdr>
    </w:div>
    <w:div w:id="3634988">
      <w:bodyDiv w:val="1"/>
      <w:marLeft w:val="0"/>
      <w:marRight w:val="0"/>
      <w:marTop w:val="0"/>
      <w:marBottom w:val="0"/>
      <w:divBdr>
        <w:top w:val="none" w:sz="0" w:space="0" w:color="auto"/>
        <w:left w:val="none" w:sz="0" w:space="0" w:color="auto"/>
        <w:bottom w:val="none" w:sz="0" w:space="0" w:color="auto"/>
        <w:right w:val="none" w:sz="0" w:space="0" w:color="auto"/>
      </w:divBdr>
    </w:div>
    <w:div w:id="3826227">
      <w:bodyDiv w:val="1"/>
      <w:marLeft w:val="0"/>
      <w:marRight w:val="0"/>
      <w:marTop w:val="0"/>
      <w:marBottom w:val="0"/>
      <w:divBdr>
        <w:top w:val="none" w:sz="0" w:space="0" w:color="auto"/>
        <w:left w:val="none" w:sz="0" w:space="0" w:color="auto"/>
        <w:bottom w:val="none" w:sz="0" w:space="0" w:color="auto"/>
        <w:right w:val="none" w:sz="0" w:space="0" w:color="auto"/>
      </w:divBdr>
    </w:div>
    <w:div w:id="4209579">
      <w:bodyDiv w:val="1"/>
      <w:marLeft w:val="0"/>
      <w:marRight w:val="0"/>
      <w:marTop w:val="0"/>
      <w:marBottom w:val="0"/>
      <w:divBdr>
        <w:top w:val="none" w:sz="0" w:space="0" w:color="auto"/>
        <w:left w:val="none" w:sz="0" w:space="0" w:color="auto"/>
        <w:bottom w:val="none" w:sz="0" w:space="0" w:color="auto"/>
        <w:right w:val="none" w:sz="0" w:space="0" w:color="auto"/>
      </w:divBdr>
    </w:div>
    <w:div w:id="4602527">
      <w:bodyDiv w:val="1"/>
      <w:marLeft w:val="0"/>
      <w:marRight w:val="0"/>
      <w:marTop w:val="0"/>
      <w:marBottom w:val="0"/>
      <w:divBdr>
        <w:top w:val="none" w:sz="0" w:space="0" w:color="auto"/>
        <w:left w:val="none" w:sz="0" w:space="0" w:color="auto"/>
        <w:bottom w:val="none" w:sz="0" w:space="0" w:color="auto"/>
        <w:right w:val="none" w:sz="0" w:space="0" w:color="auto"/>
      </w:divBdr>
    </w:div>
    <w:div w:id="5325223">
      <w:bodyDiv w:val="1"/>
      <w:marLeft w:val="0"/>
      <w:marRight w:val="0"/>
      <w:marTop w:val="0"/>
      <w:marBottom w:val="0"/>
      <w:divBdr>
        <w:top w:val="none" w:sz="0" w:space="0" w:color="auto"/>
        <w:left w:val="none" w:sz="0" w:space="0" w:color="auto"/>
        <w:bottom w:val="none" w:sz="0" w:space="0" w:color="auto"/>
        <w:right w:val="none" w:sz="0" w:space="0" w:color="auto"/>
      </w:divBdr>
    </w:div>
    <w:div w:id="5519389">
      <w:bodyDiv w:val="1"/>
      <w:marLeft w:val="0"/>
      <w:marRight w:val="0"/>
      <w:marTop w:val="0"/>
      <w:marBottom w:val="0"/>
      <w:divBdr>
        <w:top w:val="none" w:sz="0" w:space="0" w:color="auto"/>
        <w:left w:val="none" w:sz="0" w:space="0" w:color="auto"/>
        <w:bottom w:val="none" w:sz="0" w:space="0" w:color="auto"/>
        <w:right w:val="none" w:sz="0" w:space="0" w:color="auto"/>
      </w:divBdr>
    </w:div>
    <w:div w:id="6644527">
      <w:bodyDiv w:val="1"/>
      <w:marLeft w:val="0"/>
      <w:marRight w:val="0"/>
      <w:marTop w:val="0"/>
      <w:marBottom w:val="0"/>
      <w:divBdr>
        <w:top w:val="none" w:sz="0" w:space="0" w:color="auto"/>
        <w:left w:val="none" w:sz="0" w:space="0" w:color="auto"/>
        <w:bottom w:val="none" w:sz="0" w:space="0" w:color="auto"/>
        <w:right w:val="none" w:sz="0" w:space="0" w:color="auto"/>
      </w:divBdr>
      <w:divsChild>
        <w:div w:id="1887449265">
          <w:marLeft w:val="0"/>
          <w:marRight w:val="0"/>
          <w:marTop w:val="0"/>
          <w:marBottom w:val="0"/>
          <w:divBdr>
            <w:top w:val="none" w:sz="0" w:space="0" w:color="auto"/>
            <w:left w:val="none" w:sz="0" w:space="0" w:color="auto"/>
            <w:bottom w:val="none" w:sz="0" w:space="0" w:color="auto"/>
            <w:right w:val="none" w:sz="0" w:space="0" w:color="auto"/>
          </w:divBdr>
          <w:divsChild>
            <w:div w:id="461000092">
              <w:marLeft w:val="0"/>
              <w:marRight w:val="0"/>
              <w:marTop w:val="0"/>
              <w:marBottom w:val="0"/>
              <w:divBdr>
                <w:top w:val="none" w:sz="0" w:space="0" w:color="auto"/>
                <w:left w:val="none" w:sz="0" w:space="0" w:color="auto"/>
                <w:bottom w:val="none" w:sz="0" w:space="0" w:color="auto"/>
                <w:right w:val="none" w:sz="0" w:space="0" w:color="auto"/>
              </w:divBdr>
              <w:divsChild>
                <w:div w:id="1556507733">
                  <w:marLeft w:val="0"/>
                  <w:marRight w:val="0"/>
                  <w:marTop w:val="0"/>
                  <w:marBottom w:val="0"/>
                  <w:divBdr>
                    <w:top w:val="none" w:sz="0" w:space="0" w:color="auto"/>
                    <w:left w:val="none" w:sz="0" w:space="0" w:color="auto"/>
                    <w:bottom w:val="none" w:sz="0" w:space="0" w:color="auto"/>
                    <w:right w:val="none" w:sz="0" w:space="0" w:color="auto"/>
                  </w:divBdr>
                  <w:divsChild>
                    <w:div w:id="44350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3796">
      <w:bodyDiv w:val="1"/>
      <w:marLeft w:val="0"/>
      <w:marRight w:val="0"/>
      <w:marTop w:val="0"/>
      <w:marBottom w:val="0"/>
      <w:divBdr>
        <w:top w:val="none" w:sz="0" w:space="0" w:color="auto"/>
        <w:left w:val="none" w:sz="0" w:space="0" w:color="auto"/>
        <w:bottom w:val="none" w:sz="0" w:space="0" w:color="auto"/>
        <w:right w:val="none" w:sz="0" w:space="0" w:color="auto"/>
      </w:divBdr>
    </w:div>
    <w:div w:id="9457782">
      <w:bodyDiv w:val="1"/>
      <w:marLeft w:val="0"/>
      <w:marRight w:val="0"/>
      <w:marTop w:val="0"/>
      <w:marBottom w:val="0"/>
      <w:divBdr>
        <w:top w:val="none" w:sz="0" w:space="0" w:color="auto"/>
        <w:left w:val="none" w:sz="0" w:space="0" w:color="auto"/>
        <w:bottom w:val="none" w:sz="0" w:space="0" w:color="auto"/>
        <w:right w:val="none" w:sz="0" w:space="0" w:color="auto"/>
      </w:divBdr>
      <w:divsChild>
        <w:div w:id="1442258753">
          <w:marLeft w:val="0"/>
          <w:marRight w:val="0"/>
          <w:marTop w:val="0"/>
          <w:marBottom w:val="0"/>
          <w:divBdr>
            <w:top w:val="none" w:sz="0" w:space="0" w:color="auto"/>
            <w:left w:val="none" w:sz="0" w:space="0" w:color="auto"/>
            <w:bottom w:val="none" w:sz="0" w:space="0" w:color="auto"/>
            <w:right w:val="none" w:sz="0" w:space="0" w:color="auto"/>
          </w:divBdr>
          <w:divsChild>
            <w:div w:id="1108621315">
              <w:marLeft w:val="0"/>
              <w:marRight w:val="0"/>
              <w:marTop w:val="0"/>
              <w:marBottom w:val="0"/>
              <w:divBdr>
                <w:top w:val="none" w:sz="0" w:space="0" w:color="auto"/>
                <w:left w:val="none" w:sz="0" w:space="0" w:color="auto"/>
                <w:bottom w:val="none" w:sz="0" w:space="0" w:color="auto"/>
                <w:right w:val="none" w:sz="0" w:space="0" w:color="auto"/>
              </w:divBdr>
              <w:divsChild>
                <w:div w:id="2110850177">
                  <w:marLeft w:val="0"/>
                  <w:marRight w:val="0"/>
                  <w:marTop w:val="0"/>
                  <w:marBottom w:val="0"/>
                  <w:divBdr>
                    <w:top w:val="none" w:sz="0" w:space="0" w:color="auto"/>
                    <w:left w:val="none" w:sz="0" w:space="0" w:color="auto"/>
                    <w:bottom w:val="none" w:sz="0" w:space="0" w:color="auto"/>
                    <w:right w:val="none" w:sz="0" w:space="0" w:color="auto"/>
                  </w:divBdr>
                  <w:divsChild>
                    <w:div w:id="187284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951">
      <w:bodyDiv w:val="1"/>
      <w:marLeft w:val="0"/>
      <w:marRight w:val="0"/>
      <w:marTop w:val="0"/>
      <w:marBottom w:val="0"/>
      <w:divBdr>
        <w:top w:val="none" w:sz="0" w:space="0" w:color="auto"/>
        <w:left w:val="none" w:sz="0" w:space="0" w:color="auto"/>
        <w:bottom w:val="none" w:sz="0" w:space="0" w:color="auto"/>
        <w:right w:val="none" w:sz="0" w:space="0" w:color="auto"/>
      </w:divBdr>
    </w:div>
    <w:div w:id="10837926">
      <w:bodyDiv w:val="1"/>
      <w:marLeft w:val="0"/>
      <w:marRight w:val="0"/>
      <w:marTop w:val="0"/>
      <w:marBottom w:val="0"/>
      <w:divBdr>
        <w:top w:val="none" w:sz="0" w:space="0" w:color="auto"/>
        <w:left w:val="none" w:sz="0" w:space="0" w:color="auto"/>
        <w:bottom w:val="none" w:sz="0" w:space="0" w:color="auto"/>
        <w:right w:val="none" w:sz="0" w:space="0" w:color="auto"/>
      </w:divBdr>
      <w:divsChild>
        <w:div w:id="1242060416">
          <w:marLeft w:val="0"/>
          <w:marRight w:val="0"/>
          <w:marTop w:val="0"/>
          <w:marBottom w:val="0"/>
          <w:divBdr>
            <w:top w:val="none" w:sz="0" w:space="0" w:color="auto"/>
            <w:left w:val="none" w:sz="0" w:space="0" w:color="auto"/>
            <w:bottom w:val="none" w:sz="0" w:space="0" w:color="auto"/>
            <w:right w:val="none" w:sz="0" w:space="0" w:color="auto"/>
          </w:divBdr>
          <w:divsChild>
            <w:div w:id="1622883167">
              <w:marLeft w:val="0"/>
              <w:marRight w:val="0"/>
              <w:marTop w:val="0"/>
              <w:marBottom w:val="0"/>
              <w:divBdr>
                <w:top w:val="none" w:sz="0" w:space="0" w:color="auto"/>
                <w:left w:val="none" w:sz="0" w:space="0" w:color="auto"/>
                <w:bottom w:val="none" w:sz="0" w:space="0" w:color="auto"/>
                <w:right w:val="none" w:sz="0" w:space="0" w:color="auto"/>
              </w:divBdr>
              <w:divsChild>
                <w:div w:id="1093546443">
                  <w:marLeft w:val="0"/>
                  <w:marRight w:val="0"/>
                  <w:marTop w:val="0"/>
                  <w:marBottom w:val="0"/>
                  <w:divBdr>
                    <w:top w:val="none" w:sz="0" w:space="0" w:color="auto"/>
                    <w:left w:val="none" w:sz="0" w:space="0" w:color="auto"/>
                    <w:bottom w:val="none" w:sz="0" w:space="0" w:color="auto"/>
                    <w:right w:val="none" w:sz="0" w:space="0" w:color="auto"/>
                  </w:divBdr>
                  <w:divsChild>
                    <w:div w:id="12683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4083">
      <w:bodyDiv w:val="1"/>
      <w:marLeft w:val="0"/>
      <w:marRight w:val="0"/>
      <w:marTop w:val="0"/>
      <w:marBottom w:val="0"/>
      <w:divBdr>
        <w:top w:val="none" w:sz="0" w:space="0" w:color="auto"/>
        <w:left w:val="none" w:sz="0" w:space="0" w:color="auto"/>
        <w:bottom w:val="none" w:sz="0" w:space="0" w:color="auto"/>
        <w:right w:val="none" w:sz="0" w:space="0" w:color="auto"/>
      </w:divBdr>
      <w:divsChild>
        <w:div w:id="1164934136">
          <w:marLeft w:val="0"/>
          <w:marRight w:val="0"/>
          <w:marTop w:val="0"/>
          <w:marBottom w:val="0"/>
          <w:divBdr>
            <w:top w:val="none" w:sz="0" w:space="0" w:color="auto"/>
            <w:left w:val="none" w:sz="0" w:space="0" w:color="auto"/>
            <w:bottom w:val="none" w:sz="0" w:space="0" w:color="auto"/>
            <w:right w:val="none" w:sz="0" w:space="0" w:color="auto"/>
          </w:divBdr>
          <w:divsChild>
            <w:div w:id="505096997">
              <w:marLeft w:val="0"/>
              <w:marRight w:val="0"/>
              <w:marTop w:val="0"/>
              <w:marBottom w:val="0"/>
              <w:divBdr>
                <w:top w:val="none" w:sz="0" w:space="0" w:color="auto"/>
                <w:left w:val="none" w:sz="0" w:space="0" w:color="auto"/>
                <w:bottom w:val="none" w:sz="0" w:space="0" w:color="auto"/>
                <w:right w:val="none" w:sz="0" w:space="0" w:color="auto"/>
              </w:divBdr>
              <w:divsChild>
                <w:div w:id="564921061">
                  <w:marLeft w:val="0"/>
                  <w:marRight w:val="0"/>
                  <w:marTop w:val="0"/>
                  <w:marBottom w:val="0"/>
                  <w:divBdr>
                    <w:top w:val="none" w:sz="0" w:space="0" w:color="auto"/>
                    <w:left w:val="none" w:sz="0" w:space="0" w:color="auto"/>
                    <w:bottom w:val="none" w:sz="0" w:space="0" w:color="auto"/>
                    <w:right w:val="none" w:sz="0" w:space="0" w:color="auto"/>
                  </w:divBdr>
                  <w:divsChild>
                    <w:div w:id="6360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1216">
      <w:bodyDiv w:val="1"/>
      <w:marLeft w:val="0"/>
      <w:marRight w:val="0"/>
      <w:marTop w:val="0"/>
      <w:marBottom w:val="0"/>
      <w:divBdr>
        <w:top w:val="none" w:sz="0" w:space="0" w:color="auto"/>
        <w:left w:val="none" w:sz="0" w:space="0" w:color="auto"/>
        <w:bottom w:val="none" w:sz="0" w:space="0" w:color="auto"/>
        <w:right w:val="none" w:sz="0" w:space="0" w:color="auto"/>
      </w:divBdr>
    </w:div>
    <w:div w:id="11617890">
      <w:bodyDiv w:val="1"/>
      <w:marLeft w:val="0"/>
      <w:marRight w:val="0"/>
      <w:marTop w:val="0"/>
      <w:marBottom w:val="0"/>
      <w:divBdr>
        <w:top w:val="none" w:sz="0" w:space="0" w:color="auto"/>
        <w:left w:val="none" w:sz="0" w:space="0" w:color="auto"/>
        <w:bottom w:val="none" w:sz="0" w:space="0" w:color="auto"/>
        <w:right w:val="none" w:sz="0" w:space="0" w:color="auto"/>
      </w:divBdr>
    </w:div>
    <w:div w:id="12271196">
      <w:bodyDiv w:val="1"/>
      <w:marLeft w:val="0"/>
      <w:marRight w:val="0"/>
      <w:marTop w:val="0"/>
      <w:marBottom w:val="0"/>
      <w:divBdr>
        <w:top w:val="none" w:sz="0" w:space="0" w:color="auto"/>
        <w:left w:val="none" w:sz="0" w:space="0" w:color="auto"/>
        <w:bottom w:val="none" w:sz="0" w:space="0" w:color="auto"/>
        <w:right w:val="none" w:sz="0" w:space="0" w:color="auto"/>
      </w:divBdr>
      <w:divsChild>
        <w:div w:id="853298935">
          <w:marLeft w:val="0"/>
          <w:marRight w:val="0"/>
          <w:marTop w:val="0"/>
          <w:marBottom w:val="0"/>
          <w:divBdr>
            <w:top w:val="none" w:sz="0" w:space="0" w:color="auto"/>
            <w:left w:val="none" w:sz="0" w:space="0" w:color="auto"/>
            <w:bottom w:val="none" w:sz="0" w:space="0" w:color="auto"/>
            <w:right w:val="none" w:sz="0" w:space="0" w:color="auto"/>
          </w:divBdr>
          <w:divsChild>
            <w:div w:id="1947351262">
              <w:marLeft w:val="0"/>
              <w:marRight w:val="0"/>
              <w:marTop w:val="0"/>
              <w:marBottom w:val="0"/>
              <w:divBdr>
                <w:top w:val="none" w:sz="0" w:space="0" w:color="auto"/>
                <w:left w:val="none" w:sz="0" w:space="0" w:color="auto"/>
                <w:bottom w:val="none" w:sz="0" w:space="0" w:color="auto"/>
                <w:right w:val="none" w:sz="0" w:space="0" w:color="auto"/>
              </w:divBdr>
              <w:divsChild>
                <w:div w:id="1271277964">
                  <w:marLeft w:val="0"/>
                  <w:marRight w:val="0"/>
                  <w:marTop w:val="0"/>
                  <w:marBottom w:val="0"/>
                  <w:divBdr>
                    <w:top w:val="none" w:sz="0" w:space="0" w:color="auto"/>
                    <w:left w:val="none" w:sz="0" w:space="0" w:color="auto"/>
                    <w:bottom w:val="none" w:sz="0" w:space="0" w:color="auto"/>
                    <w:right w:val="none" w:sz="0" w:space="0" w:color="auto"/>
                  </w:divBdr>
                  <w:divsChild>
                    <w:div w:id="133695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0059">
      <w:bodyDiv w:val="1"/>
      <w:marLeft w:val="0"/>
      <w:marRight w:val="0"/>
      <w:marTop w:val="0"/>
      <w:marBottom w:val="0"/>
      <w:divBdr>
        <w:top w:val="none" w:sz="0" w:space="0" w:color="auto"/>
        <w:left w:val="none" w:sz="0" w:space="0" w:color="auto"/>
        <w:bottom w:val="none" w:sz="0" w:space="0" w:color="auto"/>
        <w:right w:val="none" w:sz="0" w:space="0" w:color="auto"/>
      </w:divBdr>
    </w:div>
    <w:div w:id="13069874">
      <w:bodyDiv w:val="1"/>
      <w:marLeft w:val="0"/>
      <w:marRight w:val="0"/>
      <w:marTop w:val="0"/>
      <w:marBottom w:val="0"/>
      <w:divBdr>
        <w:top w:val="none" w:sz="0" w:space="0" w:color="auto"/>
        <w:left w:val="none" w:sz="0" w:space="0" w:color="auto"/>
        <w:bottom w:val="none" w:sz="0" w:space="0" w:color="auto"/>
        <w:right w:val="none" w:sz="0" w:space="0" w:color="auto"/>
      </w:divBdr>
    </w:div>
    <w:div w:id="13194849">
      <w:bodyDiv w:val="1"/>
      <w:marLeft w:val="0"/>
      <w:marRight w:val="0"/>
      <w:marTop w:val="0"/>
      <w:marBottom w:val="0"/>
      <w:divBdr>
        <w:top w:val="none" w:sz="0" w:space="0" w:color="auto"/>
        <w:left w:val="none" w:sz="0" w:space="0" w:color="auto"/>
        <w:bottom w:val="none" w:sz="0" w:space="0" w:color="auto"/>
        <w:right w:val="none" w:sz="0" w:space="0" w:color="auto"/>
      </w:divBdr>
    </w:div>
    <w:div w:id="13699450">
      <w:bodyDiv w:val="1"/>
      <w:marLeft w:val="0"/>
      <w:marRight w:val="0"/>
      <w:marTop w:val="0"/>
      <w:marBottom w:val="0"/>
      <w:divBdr>
        <w:top w:val="none" w:sz="0" w:space="0" w:color="auto"/>
        <w:left w:val="none" w:sz="0" w:space="0" w:color="auto"/>
        <w:bottom w:val="none" w:sz="0" w:space="0" w:color="auto"/>
        <w:right w:val="none" w:sz="0" w:space="0" w:color="auto"/>
      </w:divBdr>
    </w:div>
    <w:div w:id="13926018">
      <w:bodyDiv w:val="1"/>
      <w:marLeft w:val="0"/>
      <w:marRight w:val="0"/>
      <w:marTop w:val="0"/>
      <w:marBottom w:val="0"/>
      <w:divBdr>
        <w:top w:val="none" w:sz="0" w:space="0" w:color="auto"/>
        <w:left w:val="none" w:sz="0" w:space="0" w:color="auto"/>
        <w:bottom w:val="none" w:sz="0" w:space="0" w:color="auto"/>
        <w:right w:val="none" w:sz="0" w:space="0" w:color="auto"/>
      </w:divBdr>
    </w:div>
    <w:div w:id="14811780">
      <w:bodyDiv w:val="1"/>
      <w:marLeft w:val="0"/>
      <w:marRight w:val="0"/>
      <w:marTop w:val="0"/>
      <w:marBottom w:val="0"/>
      <w:divBdr>
        <w:top w:val="none" w:sz="0" w:space="0" w:color="auto"/>
        <w:left w:val="none" w:sz="0" w:space="0" w:color="auto"/>
        <w:bottom w:val="none" w:sz="0" w:space="0" w:color="auto"/>
        <w:right w:val="none" w:sz="0" w:space="0" w:color="auto"/>
      </w:divBdr>
    </w:div>
    <w:div w:id="15886958">
      <w:bodyDiv w:val="1"/>
      <w:marLeft w:val="0"/>
      <w:marRight w:val="0"/>
      <w:marTop w:val="0"/>
      <w:marBottom w:val="0"/>
      <w:divBdr>
        <w:top w:val="none" w:sz="0" w:space="0" w:color="auto"/>
        <w:left w:val="none" w:sz="0" w:space="0" w:color="auto"/>
        <w:bottom w:val="none" w:sz="0" w:space="0" w:color="auto"/>
        <w:right w:val="none" w:sz="0" w:space="0" w:color="auto"/>
      </w:divBdr>
    </w:div>
    <w:div w:id="17045653">
      <w:bodyDiv w:val="1"/>
      <w:marLeft w:val="0"/>
      <w:marRight w:val="0"/>
      <w:marTop w:val="0"/>
      <w:marBottom w:val="0"/>
      <w:divBdr>
        <w:top w:val="none" w:sz="0" w:space="0" w:color="auto"/>
        <w:left w:val="none" w:sz="0" w:space="0" w:color="auto"/>
        <w:bottom w:val="none" w:sz="0" w:space="0" w:color="auto"/>
        <w:right w:val="none" w:sz="0" w:space="0" w:color="auto"/>
      </w:divBdr>
      <w:divsChild>
        <w:div w:id="1126702983">
          <w:marLeft w:val="0"/>
          <w:marRight w:val="0"/>
          <w:marTop w:val="0"/>
          <w:marBottom w:val="0"/>
          <w:divBdr>
            <w:top w:val="none" w:sz="0" w:space="0" w:color="auto"/>
            <w:left w:val="none" w:sz="0" w:space="0" w:color="auto"/>
            <w:bottom w:val="none" w:sz="0" w:space="0" w:color="auto"/>
            <w:right w:val="none" w:sz="0" w:space="0" w:color="auto"/>
          </w:divBdr>
          <w:divsChild>
            <w:div w:id="977759104">
              <w:marLeft w:val="0"/>
              <w:marRight w:val="0"/>
              <w:marTop w:val="0"/>
              <w:marBottom w:val="0"/>
              <w:divBdr>
                <w:top w:val="none" w:sz="0" w:space="0" w:color="auto"/>
                <w:left w:val="none" w:sz="0" w:space="0" w:color="auto"/>
                <w:bottom w:val="none" w:sz="0" w:space="0" w:color="auto"/>
                <w:right w:val="none" w:sz="0" w:space="0" w:color="auto"/>
              </w:divBdr>
              <w:divsChild>
                <w:div w:id="2037346727">
                  <w:marLeft w:val="0"/>
                  <w:marRight w:val="0"/>
                  <w:marTop w:val="0"/>
                  <w:marBottom w:val="0"/>
                  <w:divBdr>
                    <w:top w:val="none" w:sz="0" w:space="0" w:color="auto"/>
                    <w:left w:val="none" w:sz="0" w:space="0" w:color="auto"/>
                    <w:bottom w:val="none" w:sz="0" w:space="0" w:color="auto"/>
                    <w:right w:val="none" w:sz="0" w:space="0" w:color="auto"/>
                  </w:divBdr>
                  <w:divsChild>
                    <w:div w:id="10254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5200">
      <w:bodyDiv w:val="1"/>
      <w:marLeft w:val="0"/>
      <w:marRight w:val="0"/>
      <w:marTop w:val="0"/>
      <w:marBottom w:val="0"/>
      <w:divBdr>
        <w:top w:val="none" w:sz="0" w:space="0" w:color="auto"/>
        <w:left w:val="none" w:sz="0" w:space="0" w:color="auto"/>
        <w:bottom w:val="none" w:sz="0" w:space="0" w:color="auto"/>
        <w:right w:val="none" w:sz="0" w:space="0" w:color="auto"/>
      </w:divBdr>
      <w:divsChild>
        <w:div w:id="2130199950">
          <w:marLeft w:val="0"/>
          <w:marRight w:val="0"/>
          <w:marTop w:val="0"/>
          <w:marBottom w:val="0"/>
          <w:divBdr>
            <w:top w:val="none" w:sz="0" w:space="0" w:color="auto"/>
            <w:left w:val="none" w:sz="0" w:space="0" w:color="auto"/>
            <w:bottom w:val="none" w:sz="0" w:space="0" w:color="auto"/>
            <w:right w:val="none" w:sz="0" w:space="0" w:color="auto"/>
          </w:divBdr>
          <w:divsChild>
            <w:div w:id="63181458">
              <w:marLeft w:val="0"/>
              <w:marRight w:val="0"/>
              <w:marTop w:val="0"/>
              <w:marBottom w:val="0"/>
              <w:divBdr>
                <w:top w:val="none" w:sz="0" w:space="0" w:color="auto"/>
                <w:left w:val="none" w:sz="0" w:space="0" w:color="auto"/>
                <w:bottom w:val="none" w:sz="0" w:space="0" w:color="auto"/>
                <w:right w:val="none" w:sz="0" w:space="0" w:color="auto"/>
              </w:divBdr>
              <w:divsChild>
                <w:div w:id="1045134313">
                  <w:marLeft w:val="0"/>
                  <w:marRight w:val="0"/>
                  <w:marTop w:val="0"/>
                  <w:marBottom w:val="0"/>
                  <w:divBdr>
                    <w:top w:val="none" w:sz="0" w:space="0" w:color="auto"/>
                    <w:left w:val="none" w:sz="0" w:space="0" w:color="auto"/>
                    <w:bottom w:val="none" w:sz="0" w:space="0" w:color="auto"/>
                    <w:right w:val="none" w:sz="0" w:space="0" w:color="auto"/>
                  </w:divBdr>
                  <w:divsChild>
                    <w:div w:id="327176329">
                      <w:marLeft w:val="0"/>
                      <w:marRight w:val="0"/>
                      <w:marTop w:val="0"/>
                      <w:marBottom w:val="0"/>
                      <w:divBdr>
                        <w:top w:val="none" w:sz="0" w:space="0" w:color="auto"/>
                        <w:left w:val="none" w:sz="0" w:space="0" w:color="auto"/>
                        <w:bottom w:val="none" w:sz="0" w:space="0" w:color="auto"/>
                        <w:right w:val="none" w:sz="0" w:space="0" w:color="auto"/>
                      </w:divBdr>
                    </w:div>
                  </w:divsChild>
                </w:div>
                <w:div w:id="1963489155">
                  <w:marLeft w:val="0"/>
                  <w:marRight w:val="0"/>
                  <w:marTop w:val="0"/>
                  <w:marBottom w:val="0"/>
                  <w:divBdr>
                    <w:top w:val="none" w:sz="0" w:space="0" w:color="auto"/>
                    <w:left w:val="none" w:sz="0" w:space="0" w:color="auto"/>
                    <w:bottom w:val="none" w:sz="0" w:space="0" w:color="auto"/>
                    <w:right w:val="none" w:sz="0" w:space="0" w:color="auto"/>
                  </w:divBdr>
                  <w:divsChild>
                    <w:div w:id="10656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7113">
      <w:bodyDiv w:val="1"/>
      <w:marLeft w:val="0"/>
      <w:marRight w:val="0"/>
      <w:marTop w:val="0"/>
      <w:marBottom w:val="0"/>
      <w:divBdr>
        <w:top w:val="none" w:sz="0" w:space="0" w:color="auto"/>
        <w:left w:val="none" w:sz="0" w:space="0" w:color="auto"/>
        <w:bottom w:val="none" w:sz="0" w:space="0" w:color="auto"/>
        <w:right w:val="none" w:sz="0" w:space="0" w:color="auto"/>
      </w:divBdr>
      <w:divsChild>
        <w:div w:id="409356620">
          <w:marLeft w:val="0"/>
          <w:marRight w:val="0"/>
          <w:marTop w:val="0"/>
          <w:marBottom w:val="0"/>
          <w:divBdr>
            <w:top w:val="none" w:sz="0" w:space="0" w:color="auto"/>
            <w:left w:val="none" w:sz="0" w:space="0" w:color="auto"/>
            <w:bottom w:val="none" w:sz="0" w:space="0" w:color="auto"/>
            <w:right w:val="none" w:sz="0" w:space="0" w:color="auto"/>
          </w:divBdr>
          <w:divsChild>
            <w:div w:id="2016566916">
              <w:marLeft w:val="0"/>
              <w:marRight w:val="0"/>
              <w:marTop w:val="0"/>
              <w:marBottom w:val="0"/>
              <w:divBdr>
                <w:top w:val="none" w:sz="0" w:space="0" w:color="auto"/>
                <w:left w:val="none" w:sz="0" w:space="0" w:color="auto"/>
                <w:bottom w:val="none" w:sz="0" w:space="0" w:color="auto"/>
                <w:right w:val="none" w:sz="0" w:space="0" w:color="auto"/>
              </w:divBdr>
              <w:divsChild>
                <w:div w:id="18947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884">
      <w:bodyDiv w:val="1"/>
      <w:marLeft w:val="0"/>
      <w:marRight w:val="0"/>
      <w:marTop w:val="0"/>
      <w:marBottom w:val="0"/>
      <w:divBdr>
        <w:top w:val="none" w:sz="0" w:space="0" w:color="auto"/>
        <w:left w:val="none" w:sz="0" w:space="0" w:color="auto"/>
        <w:bottom w:val="none" w:sz="0" w:space="0" w:color="auto"/>
        <w:right w:val="none" w:sz="0" w:space="0" w:color="auto"/>
      </w:divBdr>
      <w:divsChild>
        <w:div w:id="938368156">
          <w:marLeft w:val="0"/>
          <w:marRight w:val="0"/>
          <w:marTop w:val="0"/>
          <w:marBottom w:val="0"/>
          <w:divBdr>
            <w:top w:val="none" w:sz="0" w:space="0" w:color="auto"/>
            <w:left w:val="none" w:sz="0" w:space="0" w:color="auto"/>
            <w:bottom w:val="none" w:sz="0" w:space="0" w:color="auto"/>
            <w:right w:val="none" w:sz="0" w:space="0" w:color="auto"/>
          </w:divBdr>
          <w:divsChild>
            <w:div w:id="1037703845">
              <w:marLeft w:val="0"/>
              <w:marRight w:val="0"/>
              <w:marTop w:val="0"/>
              <w:marBottom w:val="0"/>
              <w:divBdr>
                <w:top w:val="none" w:sz="0" w:space="0" w:color="auto"/>
                <w:left w:val="none" w:sz="0" w:space="0" w:color="auto"/>
                <w:bottom w:val="none" w:sz="0" w:space="0" w:color="auto"/>
                <w:right w:val="none" w:sz="0" w:space="0" w:color="auto"/>
              </w:divBdr>
              <w:divsChild>
                <w:div w:id="1710380103">
                  <w:marLeft w:val="0"/>
                  <w:marRight w:val="0"/>
                  <w:marTop w:val="0"/>
                  <w:marBottom w:val="0"/>
                  <w:divBdr>
                    <w:top w:val="none" w:sz="0" w:space="0" w:color="auto"/>
                    <w:left w:val="none" w:sz="0" w:space="0" w:color="auto"/>
                    <w:bottom w:val="none" w:sz="0" w:space="0" w:color="auto"/>
                    <w:right w:val="none" w:sz="0" w:space="0" w:color="auto"/>
                  </w:divBdr>
                  <w:divsChild>
                    <w:div w:id="75517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9258">
      <w:bodyDiv w:val="1"/>
      <w:marLeft w:val="0"/>
      <w:marRight w:val="0"/>
      <w:marTop w:val="0"/>
      <w:marBottom w:val="0"/>
      <w:divBdr>
        <w:top w:val="none" w:sz="0" w:space="0" w:color="auto"/>
        <w:left w:val="none" w:sz="0" w:space="0" w:color="auto"/>
        <w:bottom w:val="none" w:sz="0" w:space="0" w:color="auto"/>
        <w:right w:val="none" w:sz="0" w:space="0" w:color="auto"/>
      </w:divBdr>
    </w:div>
    <w:div w:id="18894656">
      <w:bodyDiv w:val="1"/>
      <w:marLeft w:val="0"/>
      <w:marRight w:val="0"/>
      <w:marTop w:val="0"/>
      <w:marBottom w:val="0"/>
      <w:divBdr>
        <w:top w:val="none" w:sz="0" w:space="0" w:color="auto"/>
        <w:left w:val="none" w:sz="0" w:space="0" w:color="auto"/>
        <w:bottom w:val="none" w:sz="0" w:space="0" w:color="auto"/>
        <w:right w:val="none" w:sz="0" w:space="0" w:color="auto"/>
      </w:divBdr>
    </w:div>
    <w:div w:id="18942054">
      <w:bodyDiv w:val="1"/>
      <w:marLeft w:val="0"/>
      <w:marRight w:val="0"/>
      <w:marTop w:val="0"/>
      <w:marBottom w:val="0"/>
      <w:divBdr>
        <w:top w:val="none" w:sz="0" w:space="0" w:color="auto"/>
        <w:left w:val="none" w:sz="0" w:space="0" w:color="auto"/>
        <w:bottom w:val="none" w:sz="0" w:space="0" w:color="auto"/>
        <w:right w:val="none" w:sz="0" w:space="0" w:color="auto"/>
      </w:divBdr>
      <w:divsChild>
        <w:div w:id="835807910">
          <w:marLeft w:val="0"/>
          <w:marRight w:val="0"/>
          <w:marTop w:val="0"/>
          <w:marBottom w:val="0"/>
          <w:divBdr>
            <w:top w:val="none" w:sz="0" w:space="0" w:color="auto"/>
            <w:left w:val="none" w:sz="0" w:space="0" w:color="auto"/>
            <w:bottom w:val="none" w:sz="0" w:space="0" w:color="auto"/>
            <w:right w:val="none" w:sz="0" w:space="0" w:color="auto"/>
          </w:divBdr>
          <w:divsChild>
            <w:div w:id="867714231">
              <w:marLeft w:val="0"/>
              <w:marRight w:val="0"/>
              <w:marTop w:val="0"/>
              <w:marBottom w:val="0"/>
              <w:divBdr>
                <w:top w:val="none" w:sz="0" w:space="0" w:color="auto"/>
                <w:left w:val="none" w:sz="0" w:space="0" w:color="auto"/>
                <w:bottom w:val="none" w:sz="0" w:space="0" w:color="auto"/>
                <w:right w:val="none" w:sz="0" w:space="0" w:color="auto"/>
              </w:divBdr>
              <w:divsChild>
                <w:div w:id="1110276793">
                  <w:marLeft w:val="0"/>
                  <w:marRight w:val="0"/>
                  <w:marTop w:val="0"/>
                  <w:marBottom w:val="0"/>
                  <w:divBdr>
                    <w:top w:val="none" w:sz="0" w:space="0" w:color="auto"/>
                    <w:left w:val="none" w:sz="0" w:space="0" w:color="auto"/>
                    <w:bottom w:val="none" w:sz="0" w:space="0" w:color="auto"/>
                    <w:right w:val="none" w:sz="0" w:space="0" w:color="auto"/>
                  </w:divBdr>
                  <w:divsChild>
                    <w:div w:id="146415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0230">
      <w:bodyDiv w:val="1"/>
      <w:marLeft w:val="0"/>
      <w:marRight w:val="0"/>
      <w:marTop w:val="0"/>
      <w:marBottom w:val="0"/>
      <w:divBdr>
        <w:top w:val="none" w:sz="0" w:space="0" w:color="auto"/>
        <w:left w:val="none" w:sz="0" w:space="0" w:color="auto"/>
        <w:bottom w:val="none" w:sz="0" w:space="0" w:color="auto"/>
        <w:right w:val="none" w:sz="0" w:space="0" w:color="auto"/>
      </w:divBdr>
      <w:divsChild>
        <w:div w:id="502933473">
          <w:marLeft w:val="0"/>
          <w:marRight w:val="0"/>
          <w:marTop w:val="0"/>
          <w:marBottom w:val="0"/>
          <w:divBdr>
            <w:top w:val="none" w:sz="0" w:space="0" w:color="auto"/>
            <w:left w:val="none" w:sz="0" w:space="0" w:color="auto"/>
            <w:bottom w:val="none" w:sz="0" w:space="0" w:color="auto"/>
            <w:right w:val="none" w:sz="0" w:space="0" w:color="auto"/>
          </w:divBdr>
          <w:divsChild>
            <w:div w:id="390734437">
              <w:marLeft w:val="0"/>
              <w:marRight w:val="0"/>
              <w:marTop w:val="0"/>
              <w:marBottom w:val="0"/>
              <w:divBdr>
                <w:top w:val="none" w:sz="0" w:space="0" w:color="auto"/>
                <w:left w:val="none" w:sz="0" w:space="0" w:color="auto"/>
                <w:bottom w:val="none" w:sz="0" w:space="0" w:color="auto"/>
                <w:right w:val="none" w:sz="0" w:space="0" w:color="auto"/>
              </w:divBdr>
              <w:divsChild>
                <w:div w:id="81797940">
                  <w:marLeft w:val="0"/>
                  <w:marRight w:val="0"/>
                  <w:marTop w:val="0"/>
                  <w:marBottom w:val="0"/>
                  <w:divBdr>
                    <w:top w:val="none" w:sz="0" w:space="0" w:color="auto"/>
                    <w:left w:val="none" w:sz="0" w:space="0" w:color="auto"/>
                    <w:bottom w:val="none" w:sz="0" w:space="0" w:color="auto"/>
                    <w:right w:val="none" w:sz="0" w:space="0" w:color="auto"/>
                  </w:divBdr>
                  <w:divsChild>
                    <w:div w:id="27298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1621">
      <w:bodyDiv w:val="1"/>
      <w:marLeft w:val="0"/>
      <w:marRight w:val="0"/>
      <w:marTop w:val="0"/>
      <w:marBottom w:val="0"/>
      <w:divBdr>
        <w:top w:val="none" w:sz="0" w:space="0" w:color="auto"/>
        <w:left w:val="none" w:sz="0" w:space="0" w:color="auto"/>
        <w:bottom w:val="none" w:sz="0" w:space="0" w:color="auto"/>
        <w:right w:val="none" w:sz="0" w:space="0" w:color="auto"/>
      </w:divBdr>
    </w:div>
    <w:div w:id="20404602">
      <w:bodyDiv w:val="1"/>
      <w:marLeft w:val="0"/>
      <w:marRight w:val="0"/>
      <w:marTop w:val="0"/>
      <w:marBottom w:val="0"/>
      <w:divBdr>
        <w:top w:val="none" w:sz="0" w:space="0" w:color="auto"/>
        <w:left w:val="none" w:sz="0" w:space="0" w:color="auto"/>
        <w:bottom w:val="none" w:sz="0" w:space="0" w:color="auto"/>
        <w:right w:val="none" w:sz="0" w:space="0" w:color="auto"/>
      </w:divBdr>
    </w:div>
    <w:div w:id="21250634">
      <w:bodyDiv w:val="1"/>
      <w:marLeft w:val="0"/>
      <w:marRight w:val="0"/>
      <w:marTop w:val="0"/>
      <w:marBottom w:val="0"/>
      <w:divBdr>
        <w:top w:val="none" w:sz="0" w:space="0" w:color="auto"/>
        <w:left w:val="none" w:sz="0" w:space="0" w:color="auto"/>
        <w:bottom w:val="none" w:sz="0" w:space="0" w:color="auto"/>
        <w:right w:val="none" w:sz="0" w:space="0" w:color="auto"/>
      </w:divBdr>
    </w:div>
    <w:div w:id="22634445">
      <w:bodyDiv w:val="1"/>
      <w:marLeft w:val="0"/>
      <w:marRight w:val="0"/>
      <w:marTop w:val="0"/>
      <w:marBottom w:val="0"/>
      <w:divBdr>
        <w:top w:val="none" w:sz="0" w:space="0" w:color="auto"/>
        <w:left w:val="none" w:sz="0" w:space="0" w:color="auto"/>
        <w:bottom w:val="none" w:sz="0" w:space="0" w:color="auto"/>
        <w:right w:val="none" w:sz="0" w:space="0" w:color="auto"/>
      </w:divBdr>
      <w:divsChild>
        <w:div w:id="1277642106">
          <w:marLeft w:val="0"/>
          <w:marRight w:val="0"/>
          <w:marTop w:val="0"/>
          <w:marBottom w:val="0"/>
          <w:divBdr>
            <w:top w:val="none" w:sz="0" w:space="0" w:color="auto"/>
            <w:left w:val="none" w:sz="0" w:space="0" w:color="auto"/>
            <w:bottom w:val="none" w:sz="0" w:space="0" w:color="auto"/>
            <w:right w:val="none" w:sz="0" w:space="0" w:color="auto"/>
          </w:divBdr>
          <w:divsChild>
            <w:div w:id="358969184">
              <w:marLeft w:val="0"/>
              <w:marRight w:val="0"/>
              <w:marTop w:val="0"/>
              <w:marBottom w:val="0"/>
              <w:divBdr>
                <w:top w:val="none" w:sz="0" w:space="0" w:color="auto"/>
                <w:left w:val="none" w:sz="0" w:space="0" w:color="auto"/>
                <w:bottom w:val="none" w:sz="0" w:space="0" w:color="auto"/>
                <w:right w:val="none" w:sz="0" w:space="0" w:color="auto"/>
              </w:divBdr>
              <w:divsChild>
                <w:div w:id="37895306">
                  <w:marLeft w:val="0"/>
                  <w:marRight w:val="0"/>
                  <w:marTop w:val="0"/>
                  <w:marBottom w:val="0"/>
                  <w:divBdr>
                    <w:top w:val="none" w:sz="0" w:space="0" w:color="auto"/>
                    <w:left w:val="none" w:sz="0" w:space="0" w:color="auto"/>
                    <w:bottom w:val="none" w:sz="0" w:space="0" w:color="auto"/>
                    <w:right w:val="none" w:sz="0" w:space="0" w:color="auto"/>
                  </w:divBdr>
                  <w:divsChild>
                    <w:div w:id="91659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80752">
      <w:bodyDiv w:val="1"/>
      <w:marLeft w:val="0"/>
      <w:marRight w:val="0"/>
      <w:marTop w:val="0"/>
      <w:marBottom w:val="0"/>
      <w:divBdr>
        <w:top w:val="none" w:sz="0" w:space="0" w:color="auto"/>
        <w:left w:val="none" w:sz="0" w:space="0" w:color="auto"/>
        <w:bottom w:val="none" w:sz="0" w:space="0" w:color="auto"/>
        <w:right w:val="none" w:sz="0" w:space="0" w:color="auto"/>
      </w:divBdr>
      <w:divsChild>
        <w:div w:id="330837178">
          <w:marLeft w:val="0"/>
          <w:marRight w:val="0"/>
          <w:marTop w:val="0"/>
          <w:marBottom w:val="0"/>
          <w:divBdr>
            <w:top w:val="none" w:sz="0" w:space="0" w:color="auto"/>
            <w:left w:val="none" w:sz="0" w:space="0" w:color="auto"/>
            <w:bottom w:val="none" w:sz="0" w:space="0" w:color="auto"/>
            <w:right w:val="none" w:sz="0" w:space="0" w:color="auto"/>
          </w:divBdr>
          <w:divsChild>
            <w:div w:id="605239214">
              <w:marLeft w:val="0"/>
              <w:marRight w:val="0"/>
              <w:marTop w:val="0"/>
              <w:marBottom w:val="0"/>
              <w:divBdr>
                <w:top w:val="none" w:sz="0" w:space="0" w:color="auto"/>
                <w:left w:val="none" w:sz="0" w:space="0" w:color="auto"/>
                <w:bottom w:val="none" w:sz="0" w:space="0" w:color="auto"/>
                <w:right w:val="none" w:sz="0" w:space="0" w:color="auto"/>
              </w:divBdr>
              <w:divsChild>
                <w:div w:id="631591642">
                  <w:marLeft w:val="0"/>
                  <w:marRight w:val="0"/>
                  <w:marTop w:val="0"/>
                  <w:marBottom w:val="0"/>
                  <w:divBdr>
                    <w:top w:val="none" w:sz="0" w:space="0" w:color="auto"/>
                    <w:left w:val="none" w:sz="0" w:space="0" w:color="auto"/>
                    <w:bottom w:val="none" w:sz="0" w:space="0" w:color="auto"/>
                    <w:right w:val="none" w:sz="0" w:space="0" w:color="auto"/>
                  </w:divBdr>
                  <w:divsChild>
                    <w:div w:id="112954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83155">
      <w:bodyDiv w:val="1"/>
      <w:marLeft w:val="0"/>
      <w:marRight w:val="0"/>
      <w:marTop w:val="0"/>
      <w:marBottom w:val="0"/>
      <w:divBdr>
        <w:top w:val="none" w:sz="0" w:space="0" w:color="auto"/>
        <w:left w:val="none" w:sz="0" w:space="0" w:color="auto"/>
        <w:bottom w:val="none" w:sz="0" w:space="0" w:color="auto"/>
        <w:right w:val="none" w:sz="0" w:space="0" w:color="auto"/>
      </w:divBdr>
    </w:div>
    <w:div w:id="24409141">
      <w:bodyDiv w:val="1"/>
      <w:marLeft w:val="0"/>
      <w:marRight w:val="0"/>
      <w:marTop w:val="0"/>
      <w:marBottom w:val="0"/>
      <w:divBdr>
        <w:top w:val="none" w:sz="0" w:space="0" w:color="auto"/>
        <w:left w:val="none" w:sz="0" w:space="0" w:color="auto"/>
        <w:bottom w:val="none" w:sz="0" w:space="0" w:color="auto"/>
        <w:right w:val="none" w:sz="0" w:space="0" w:color="auto"/>
      </w:divBdr>
    </w:div>
    <w:div w:id="24718015">
      <w:bodyDiv w:val="1"/>
      <w:marLeft w:val="0"/>
      <w:marRight w:val="0"/>
      <w:marTop w:val="0"/>
      <w:marBottom w:val="0"/>
      <w:divBdr>
        <w:top w:val="none" w:sz="0" w:space="0" w:color="auto"/>
        <w:left w:val="none" w:sz="0" w:space="0" w:color="auto"/>
        <w:bottom w:val="none" w:sz="0" w:space="0" w:color="auto"/>
        <w:right w:val="none" w:sz="0" w:space="0" w:color="auto"/>
      </w:divBdr>
    </w:div>
    <w:div w:id="26029062">
      <w:bodyDiv w:val="1"/>
      <w:marLeft w:val="0"/>
      <w:marRight w:val="0"/>
      <w:marTop w:val="0"/>
      <w:marBottom w:val="0"/>
      <w:divBdr>
        <w:top w:val="none" w:sz="0" w:space="0" w:color="auto"/>
        <w:left w:val="none" w:sz="0" w:space="0" w:color="auto"/>
        <w:bottom w:val="none" w:sz="0" w:space="0" w:color="auto"/>
        <w:right w:val="none" w:sz="0" w:space="0" w:color="auto"/>
      </w:divBdr>
    </w:div>
    <w:div w:id="26226915">
      <w:bodyDiv w:val="1"/>
      <w:marLeft w:val="0"/>
      <w:marRight w:val="0"/>
      <w:marTop w:val="0"/>
      <w:marBottom w:val="0"/>
      <w:divBdr>
        <w:top w:val="none" w:sz="0" w:space="0" w:color="auto"/>
        <w:left w:val="none" w:sz="0" w:space="0" w:color="auto"/>
        <w:bottom w:val="none" w:sz="0" w:space="0" w:color="auto"/>
        <w:right w:val="none" w:sz="0" w:space="0" w:color="auto"/>
      </w:divBdr>
    </w:div>
    <w:div w:id="26413951">
      <w:bodyDiv w:val="1"/>
      <w:marLeft w:val="0"/>
      <w:marRight w:val="0"/>
      <w:marTop w:val="0"/>
      <w:marBottom w:val="0"/>
      <w:divBdr>
        <w:top w:val="none" w:sz="0" w:space="0" w:color="auto"/>
        <w:left w:val="none" w:sz="0" w:space="0" w:color="auto"/>
        <w:bottom w:val="none" w:sz="0" w:space="0" w:color="auto"/>
        <w:right w:val="none" w:sz="0" w:space="0" w:color="auto"/>
      </w:divBdr>
      <w:divsChild>
        <w:div w:id="1133134282">
          <w:marLeft w:val="0"/>
          <w:marRight w:val="0"/>
          <w:marTop w:val="0"/>
          <w:marBottom w:val="0"/>
          <w:divBdr>
            <w:top w:val="none" w:sz="0" w:space="0" w:color="auto"/>
            <w:left w:val="none" w:sz="0" w:space="0" w:color="auto"/>
            <w:bottom w:val="none" w:sz="0" w:space="0" w:color="auto"/>
            <w:right w:val="none" w:sz="0" w:space="0" w:color="auto"/>
          </w:divBdr>
          <w:divsChild>
            <w:div w:id="1943297613">
              <w:marLeft w:val="0"/>
              <w:marRight w:val="0"/>
              <w:marTop w:val="0"/>
              <w:marBottom w:val="0"/>
              <w:divBdr>
                <w:top w:val="none" w:sz="0" w:space="0" w:color="auto"/>
                <w:left w:val="none" w:sz="0" w:space="0" w:color="auto"/>
                <w:bottom w:val="none" w:sz="0" w:space="0" w:color="auto"/>
                <w:right w:val="none" w:sz="0" w:space="0" w:color="auto"/>
              </w:divBdr>
              <w:divsChild>
                <w:div w:id="1294561294">
                  <w:marLeft w:val="0"/>
                  <w:marRight w:val="0"/>
                  <w:marTop w:val="0"/>
                  <w:marBottom w:val="0"/>
                  <w:divBdr>
                    <w:top w:val="none" w:sz="0" w:space="0" w:color="auto"/>
                    <w:left w:val="none" w:sz="0" w:space="0" w:color="auto"/>
                    <w:bottom w:val="none" w:sz="0" w:space="0" w:color="auto"/>
                    <w:right w:val="none" w:sz="0" w:space="0" w:color="auto"/>
                  </w:divBdr>
                  <w:divsChild>
                    <w:div w:id="199035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58978">
      <w:bodyDiv w:val="1"/>
      <w:marLeft w:val="0"/>
      <w:marRight w:val="0"/>
      <w:marTop w:val="0"/>
      <w:marBottom w:val="0"/>
      <w:divBdr>
        <w:top w:val="none" w:sz="0" w:space="0" w:color="auto"/>
        <w:left w:val="none" w:sz="0" w:space="0" w:color="auto"/>
        <w:bottom w:val="none" w:sz="0" w:space="0" w:color="auto"/>
        <w:right w:val="none" w:sz="0" w:space="0" w:color="auto"/>
      </w:divBdr>
    </w:div>
    <w:div w:id="27924305">
      <w:bodyDiv w:val="1"/>
      <w:marLeft w:val="0"/>
      <w:marRight w:val="0"/>
      <w:marTop w:val="0"/>
      <w:marBottom w:val="0"/>
      <w:divBdr>
        <w:top w:val="none" w:sz="0" w:space="0" w:color="auto"/>
        <w:left w:val="none" w:sz="0" w:space="0" w:color="auto"/>
        <w:bottom w:val="none" w:sz="0" w:space="0" w:color="auto"/>
        <w:right w:val="none" w:sz="0" w:space="0" w:color="auto"/>
      </w:divBdr>
    </w:div>
    <w:div w:id="28341550">
      <w:bodyDiv w:val="1"/>
      <w:marLeft w:val="0"/>
      <w:marRight w:val="0"/>
      <w:marTop w:val="0"/>
      <w:marBottom w:val="0"/>
      <w:divBdr>
        <w:top w:val="none" w:sz="0" w:space="0" w:color="auto"/>
        <w:left w:val="none" w:sz="0" w:space="0" w:color="auto"/>
        <w:bottom w:val="none" w:sz="0" w:space="0" w:color="auto"/>
        <w:right w:val="none" w:sz="0" w:space="0" w:color="auto"/>
      </w:divBdr>
    </w:div>
    <w:div w:id="29763970">
      <w:bodyDiv w:val="1"/>
      <w:marLeft w:val="0"/>
      <w:marRight w:val="0"/>
      <w:marTop w:val="0"/>
      <w:marBottom w:val="0"/>
      <w:divBdr>
        <w:top w:val="none" w:sz="0" w:space="0" w:color="auto"/>
        <w:left w:val="none" w:sz="0" w:space="0" w:color="auto"/>
        <w:bottom w:val="none" w:sz="0" w:space="0" w:color="auto"/>
        <w:right w:val="none" w:sz="0" w:space="0" w:color="auto"/>
      </w:divBdr>
    </w:div>
    <w:div w:id="31006517">
      <w:bodyDiv w:val="1"/>
      <w:marLeft w:val="0"/>
      <w:marRight w:val="0"/>
      <w:marTop w:val="0"/>
      <w:marBottom w:val="0"/>
      <w:divBdr>
        <w:top w:val="none" w:sz="0" w:space="0" w:color="auto"/>
        <w:left w:val="none" w:sz="0" w:space="0" w:color="auto"/>
        <w:bottom w:val="none" w:sz="0" w:space="0" w:color="auto"/>
        <w:right w:val="none" w:sz="0" w:space="0" w:color="auto"/>
      </w:divBdr>
      <w:divsChild>
        <w:div w:id="1629896545">
          <w:marLeft w:val="0"/>
          <w:marRight w:val="0"/>
          <w:marTop w:val="0"/>
          <w:marBottom w:val="0"/>
          <w:divBdr>
            <w:top w:val="none" w:sz="0" w:space="0" w:color="auto"/>
            <w:left w:val="none" w:sz="0" w:space="0" w:color="auto"/>
            <w:bottom w:val="none" w:sz="0" w:space="0" w:color="auto"/>
            <w:right w:val="none" w:sz="0" w:space="0" w:color="auto"/>
          </w:divBdr>
          <w:divsChild>
            <w:div w:id="2102797510">
              <w:marLeft w:val="0"/>
              <w:marRight w:val="0"/>
              <w:marTop w:val="0"/>
              <w:marBottom w:val="0"/>
              <w:divBdr>
                <w:top w:val="none" w:sz="0" w:space="0" w:color="auto"/>
                <w:left w:val="none" w:sz="0" w:space="0" w:color="auto"/>
                <w:bottom w:val="none" w:sz="0" w:space="0" w:color="auto"/>
                <w:right w:val="none" w:sz="0" w:space="0" w:color="auto"/>
              </w:divBdr>
              <w:divsChild>
                <w:div w:id="561866485">
                  <w:marLeft w:val="0"/>
                  <w:marRight w:val="0"/>
                  <w:marTop w:val="0"/>
                  <w:marBottom w:val="0"/>
                  <w:divBdr>
                    <w:top w:val="none" w:sz="0" w:space="0" w:color="auto"/>
                    <w:left w:val="none" w:sz="0" w:space="0" w:color="auto"/>
                    <w:bottom w:val="none" w:sz="0" w:space="0" w:color="auto"/>
                    <w:right w:val="none" w:sz="0" w:space="0" w:color="auto"/>
                  </w:divBdr>
                  <w:divsChild>
                    <w:div w:id="93771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75780">
      <w:bodyDiv w:val="1"/>
      <w:marLeft w:val="0"/>
      <w:marRight w:val="0"/>
      <w:marTop w:val="0"/>
      <w:marBottom w:val="0"/>
      <w:divBdr>
        <w:top w:val="none" w:sz="0" w:space="0" w:color="auto"/>
        <w:left w:val="none" w:sz="0" w:space="0" w:color="auto"/>
        <w:bottom w:val="none" w:sz="0" w:space="0" w:color="auto"/>
        <w:right w:val="none" w:sz="0" w:space="0" w:color="auto"/>
      </w:divBdr>
    </w:div>
    <w:div w:id="31923879">
      <w:bodyDiv w:val="1"/>
      <w:marLeft w:val="0"/>
      <w:marRight w:val="0"/>
      <w:marTop w:val="0"/>
      <w:marBottom w:val="0"/>
      <w:divBdr>
        <w:top w:val="none" w:sz="0" w:space="0" w:color="auto"/>
        <w:left w:val="none" w:sz="0" w:space="0" w:color="auto"/>
        <w:bottom w:val="none" w:sz="0" w:space="0" w:color="auto"/>
        <w:right w:val="none" w:sz="0" w:space="0" w:color="auto"/>
      </w:divBdr>
    </w:div>
    <w:div w:id="32119377">
      <w:bodyDiv w:val="1"/>
      <w:marLeft w:val="0"/>
      <w:marRight w:val="0"/>
      <w:marTop w:val="0"/>
      <w:marBottom w:val="0"/>
      <w:divBdr>
        <w:top w:val="none" w:sz="0" w:space="0" w:color="auto"/>
        <w:left w:val="none" w:sz="0" w:space="0" w:color="auto"/>
        <w:bottom w:val="none" w:sz="0" w:space="0" w:color="auto"/>
        <w:right w:val="none" w:sz="0" w:space="0" w:color="auto"/>
      </w:divBdr>
    </w:div>
    <w:div w:id="32309582">
      <w:bodyDiv w:val="1"/>
      <w:marLeft w:val="0"/>
      <w:marRight w:val="0"/>
      <w:marTop w:val="0"/>
      <w:marBottom w:val="0"/>
      <w:divBdr>
        <w:top w:val="none" w:sz="0" w:space="0" w:color="auto"/>
        <w:left w:val="none" w:sz="0" w:space="0" w:color="auto"/>
        <w:bottom w:val="none" w:sz="0" w:space="0" w:color="auto"/>
        <w:right w:val="none" w:sz="0" w:space="0" w:color="auto"/>
      </w:divBdr>
      <w:divsChild>
        <w:div w:id="1271164716">
          <w:marLeft w:val="0"/>
          <w:marRight w:val="0"/>
          <w:marTop w:val="0"/>
          <w:marBottom w:val="0"/>
          <w:divBdr>
            <w:top w:val="none" w:sz="0" w:space="0" w:color="auto"/>
            <w:left w:val="none" w:sz="0" w:space="0" w:color="auto"/>
            <w:bottom w:val="none" w:sz="0" w:space="0" w:color="auto"/>
            <w:right w:val="none" w:sz="0" w:space="0" w:color="auto"/>
          </w:divBdr>
          <w:divsChild>
            <w:div w:id="330178350">
              <w:marLeft w:val="0"/>
              <w:marRight w:val="0"/>
              <w:marTop w:val="0"/>
              <w:marBottom w:val="0"/>
              <w:divBdr>
                <w:top w:val="none" w:sz="0" w:space="0" w:color="auto"/>
                <w:left w:val="none" w:sz="0" w:space="0" w:color="auto"/>
                <w:bottom w:val="none" w:sz="0" w:space="0" w:color="auto"/>
                <w:right w:val="none" w:sz="0" w:space="0" w:color="auto"/>
              </w:divBdr>
              <w:divsChild>
                <w:div w:id="169566095">
                  <w:marLeft w:val="0"/>
                  <w:marRight w:val="0"/>
                  <w:marTop w:val="0"/>
                  <w:marBottom w:val="0"/>
                  <w:divBdr>
                    <w:top w:val="none" w:sz="0" w:space="0" w:color="auto"/>
                    <w:left w:val="none" w:sz="0" w:space="0" w:color="auto"/>
                    <w:bottom w:val="none" w:sz="0" w:space="0" w:color="auto"/>
                    <w:right w:val="none" w:sz="0" w:space="0" w:color="auto"/>
                  </w:divBdr>
                  <w:divsChild>
                    <w:div w:id="16837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85058">
      <w:bodyDiv w:val="1"/>
      <w:marLeft w:val="0"/>
      <w:marRight w:val="0"/>
      <w:marTop w:val="0"/>
      <w:marBottom w:val="0"/>
      <w:divBdr>
        <w:top w:val="none" w:sz="0" w:space="0" w:color="auto"/>
        <w:left w:val="none" w:sz="0" w:space="0" w:color="auto"/>
        <w:bottom w:val="none" w:sz="0" w:space="0" w:color="auto"/>
        <w:right w:val="none" w:sz="0" w:space="0" w:color="auto"/>
      </w:divBdr>
    </w:div>
    <w:div w:id="33503045">
      <w:bodyDiv w:val="1"/>
      <w:marLeft w:val="0"/>
      <w:marRight w:val="0"/>
      <w:marTop w:val="0"/>
      <w:marBottom w:val="0"/>
      <w:divBdr>
        <w:top w:val="none" w:sz="0" w:space="0" w:color="auto"/>
        <w:left w:val="none" w:sz="0" w:space="0" w:color="auto"/>
        <w:bottom w:val="none" w:sz="0" w:space="0" w:color="auto"/>
        <w:right w:val="none" w:sz="0" w:space="0" w:color="auto"/>
      </w:divBdr>
    </w:div>
    <w:div w:id="34013911">
      <w:bodyDiv w:val="1"/>
      <w:marLeft w:val="0"/>
      <w:marRight w:val="0"/>
      <w:marTop w:val="0"/>
      <w:marBottom w:val="0"/>
      <w:divBdr>
        <w:top w:val="none" w:sz="0" w:space="0" w:color="auto"/>
        <w:left w:val="none" w:sz="0" w:space="0" w:color="auto"/>
        <w:bottom w:val="none" w:sz="0" w:space="0" w:color="auto"/>
        <w:right w:val="none" w:sz="0" w:space="0" w:color="auto"/>
      </w:divBdr>
    </w:div>
    <w:div w:id="35087883">
      <w:bodyDiv w:val="1"/>
      <w:marLeft w:val="0"/>
      <w:marRight w:val="0"/>
      <w:marTop w:val="0"/>
      <w:marBottom w:val="0"/>
      <w:divBdr>
        <w:top w:val="none" w:sz="0" w:space="0" w:color="auto"/>
        <w:left w:val="none" w:sz="0" w:space="0" w:color="auto"/>
        <w:bottom w:val="none" w:sz="0" w:space="0" w:color="auto"/>
        <w:right w:val="none" w:sz="0" w:space="0" w:color="auto"/>
      </w:divBdr>
    </w:div>
    <w:div w:id="35594187">
      <w:bodyDiv w:val="1"/>
      <w:marLeft w:val="0"/>
      <w:marRight w:val="0"/>
      <w:marTop w:val="0"/>
      <w:marBottom w:val="0"/>
      <w:divBdr>
        <w:top w:val="none" w:sz="0" w:space="0" w:color="auto"/>
        <w:left w:val="none" w:sz="0" w:space="0" w:color="auto"/>
        <w:bottom w:val="none" w:sz="0" w:space="0" w:color="auto"/>
        <w:right w:val="none" w:sz="0" w:space="0" w:color="auto"/>
      </w:divBdr>
    </w:div>
    <w:div w:id="36052788">
      <w:bodyDiv w:val="1"/>
      <w:marLeft w:val="0"/>
      <w:marRight w:val="0"/>
      <w:marTop w:val="0"/>
      <w:marBottom w:val="0"/>
      <w:divBdr>
        <w:top w:val="none" w:sz="0" w:space="0" w:color="auto"/>
        <w:left w:val="none" w:sz="0" w:space="0" w:color="auto"/>
        <w:bottom w:val="none" w:sz="0" w:space="0" w:color="auto"/>
        <w:right w:val="none" w:sz="0" w:space="0" w:color="auto"/>
      </w:divBdr>
    </w:div>
    <w:div w:id="36663143">
      <w:bodyDiv w:val="1"/>
      <w:marLeft w:val="0"/>
      <w:marRight w:val="0"/>
      <w:marTop w:val="0"/>
      <w:marBottom w:val="0"/>
      <w:divBdr>
        <w:top w:val="none" w:sz="0" w:space="0" w:color="auto"/>
        <w:left w:val="none" w:sz="0" w:space="0" w:color="auto"/>
        <w:bottom w:val="none" w:sz="0" w:space="0" w:color="auto"/>
        <w:right w:val="none" w:sz="0" w:space="0" w:color="auto"/>
      </w:divBdr>
    </w:div>
    <w:div w:id="37094176">
      <w:bodyDiv w:val="1"/>
      <w:marLeft w:val="0"/>
      <w:marRight w:val="0"/>
      <w:marTop w:val="0"/>
      <w:marBottom w:val="0"/>
      <w:divBdr>
        <w:top w:val="none" w:sz="0" w:space="0" w:color="auto"/>
        <w:left w:val="none" w:sz="0" w:space="0" w:color="auto"/>
        <w:bottom w:val="none" w:sz="0" w:space="0" w:color="auto"/>
        <w:right w:val="none" w:sz="0" w:space="0" w:color="auto"/>
      </w:divBdr>
    </w:div>
    <w:div w:id="37167661">
      <w:bodyDiv w:val="1"/>
      <w:marLeft w:val="0"/>
      <w:marRight w:val="0"/>
      <w:marTop w:val="0"/>
      <w:marBottom w:val="0"/>
      <w:divBdr>
        <w:top w:val="none" w:sz="0" w:space="0" w:color="auto"/>
        <w:left w:val="none" w:sz="0" w:space="0" w:color="auto"/>
        <w:bottom w:val="none" w:sz="0" w:space="0" w:color="auto"/>
        <w:right w:val="none" w:sz="0" w:space="0" w:color="auto"/>
      </w:divBdr>
    </w:div>
    <w:div w:id="37705915">
      <w:bodyDiv w:val="1"/>
      <w:marLeft w:val="0"/>
      <w:marRight w:val="0"/>
      <w:marTop w:val="0"/>
      <w:marBottom w:val="0"/>
      <w:divBdr>
        <w:top w:val="none" w:sz="0" w:space="0" w:color="auto"/>
        <w:left w:val="none" w:sz="0" w:space="0" w:color="auto"/>
        <w:bottom w:val="none" w:sz="0" w:space="0" w:color="auto"/>
        <w:right w:val="none" w:sz="0" w:space="0" w:color="auto"/>
      </w:divBdr>
    </w:div>
    <w:div w:id="39210979">
      <w:bodyDiv w:val="1"/>
      <w:marLeft w:val="0"/>
      <w:marRight w:val="0"/>
      <w:marTop w:val="0"/>
      <w:marBottom w:val="0"/>
      <w:divBdr>
        <w:top w:val="none" w:sz="0" w:space="0" w:color="auto"/>
        <w:left w:val="none" w:sz="0" w:space="0" w:color="auto"/>
        <w:bottom w:val="none" w:sz="0" w:space="0" w:color="auto"/>
        <w:right w:val="none" w:sz="0" w:space="0" w:color="auto"/>
      </w:divBdr>
    </w:div>
    <w:div w:id="39861847">
      <w:bodyDiv w:val="1"/>
      <w:marLeft w:val="0"/>
      <w:marRight w:val="0"/>
      <w:marTop w:val="0"/>
      <w:marBottom w:val="0"/>
      <w:divBdr>
        <w:top w:val="none" w:sz="0" w:space="0" w:color="auto"/>
        <w:left w:val="none" w:sz="0" w:space="0" w:color="auto"/>
        <w:bottom w:val="none" w:sz="0" w:space="0" w:color="auto"/>
        <w:right w:val="none" w:sz="0" w:space="0" w:color="auto"/>
      </w:divBdr>
    </w:div>
    <w:div w:id="40329977">
      <w:bodyDiv w:val="1"/>
      <w:marLeft w:val="0"/>
      <w:marRight w:val="0"/>
      <w:marTop w:val="0"/>
      <w:marBottom w:val="0"/>
      <w:divBdr>
        <w:top w:val="none" w:sz="0" w:space="0" w:color="auto"/>
        <w:left w:val="none" w:sz="0" w:space="0" w:color="auto"/>
        <w:bottom w:val="none" w:sz="0" w:space="0" w:color="auto"/>
        <w:right w:val="none" w:sz="0" w:space="0" w:color="auto"/>
      </w:divBdr>
    </w:div>
    <w:div w:id="40636320">
      <w:bodyDiv w:val="1"/>
      <w:marLeft w:val="0"/>
      <w:marRight w:val="0"/>
      <w:marTop w:val="0"/>
      <w:marBottom w:val="0"/>
      <w:divBdr>
        <w:top w:val="none" w:sz="0" w:space="0" w:color="auto"/>
        <w:left w:val="none" w:sz="0" w:space="0" w:color="auto"/>
        <w:bottom w:val="none" w:sz="0" w:space="0" w:color="auto"/>
        <w:right w:val="none" w:sz="0" w:space="0" w:color="auto"/>
      </w:divBdr>
      <w:divsChild>
        <w:div w:id="214774898">
          <w:marLeft w:val="0"/>
          <w:marRight w:val="0"/>
          <w:marTop w:val="0"/>
          <w:marBottom w:val="0"/>
          <w:divBdr>
            <w:top w:val="none" w:sz="0" w:space="0" w:color="auto"/>
            <w:left w:val="none" w:sz="0" w:space="0" w:color="auto"/>
            <w:bottom w:val="none" w:sz="0" w:space="0" w:color="auto"/>
            <w:right w:val="none" w:sz="0" w:space="0" w:color="auto"/>
          </w:divBdr>
          <w:divsChild>
            <w:div w:id="478813850">
              <w:marLeft w:val="0"/>
              <w:marRight w:val="0"/>
              <w:marTop w:val="0"/>
              <w:marBottom w:val="0"/>
              <w:divBdr>
                <w:top w:val="none" w:sz="0" w:space="0" w:color="auto"/>
                <w:left w:val="none" w:sz="0" w:space="0" w:color="auto"/>
                <w:bottom w:val="none" w:sz="0" w:space="0" w:color="auto"/>
                <w:right w:val="none" w:sz="0" w:space="0" w:color="auto"/>
              </w:divBdr>
              <w:divsChild>
                <w:div w:id="155801180">
                  <w:marLeft w:val="0"/>
                  <w:marRight w:val="0"/>
                  <w:marTop w:val="0"/>
                  <w:marBottom w:val="0"/>
                  <w:divBdr>
                    <w:top w:val="none" w:sz="0" w:space="0" w:color="auto"/>
                    <w:left w:val="none" w:sz="0" w:space="0" w:color="auto"/>
                    <w:bottom w:val="none" w:sz="0" w:space="0" w:color="auto"/>
                    <w:right w:val="none" w:sz="0" w:space="0" w:color="auto"/>
                  </w:divBdr>
                  <w:divsChild>
                    <w:div w:id="1845627551">
                      <w:marLeft w:val="0"/>
                      <w:marRight w:val="0"/>
                      <w:marTop w:val="0"/>
                      <w:marBottom w:val="0"/>
                      <w:divBdr>
                        <w:top w:val="none" w:sz="0" w:space="0" w:color="auto"/>
                        <w:left w:val="none" w:sz="0" w:space="0" w:color="auto"/>
                        <w:bottom w:val="none" w:sz="0" w:space="0" w:color="auto"/>
                        <w:right w:val="none" w:sz="0" w:space="0" w:color="auto"/>
                      </w:divBdr>
                    </w:div>
                  </w:divsChild>
                </w:div>
                <w:div w:id="1857882923">
                  <w:marLeft w:val="0"/>
                  <w:marRight w:val="0"/>
                  <w:marTop w:val="0"/>
                  <w:marBottom w:val="0"/>
                  <w:divBdr>
                    <w:top w:val="none" w:sz="0" w:space="0" w:color="auto"/>
                    <w:left w:val="none" w:sz="0" w:space="0" w:color="auto"/>
                    <w:bottom w:val="none" w:sz="0" w:space="0" w:color="auto"/>
                    <w:right w:val="none" w:sz="0" w:space="0" w:color="auto"/>
                  </w:divBdr>
                  <w:divsChild>
                    <w:div w:id="66416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84487">
      <w:bodyDiv w:val="1"/>
      <w:marLeft w:val="0"/>
      <w:marRight w:val="0"/>
      <w:marTop w:val="0"/>
      <w:marBottom w:val="0"/>
      <w:divBdr>
        <w:top w:val="none" w:sz="0" w:space="0" w:color="auto"/>
        <w:left w:val="none" w:sz="0" w:space="0" w:color="auto"/>
        <w:bottom w:val="none" w:sz="0" w:space="0" w:color="auto"/>
        <w:right w:val="none" w:sz="0" w:space="0" w:color="auto"/>
      </w:divBdr>
    </w:div>
    <w:div w:id="42754129">
      <w:bodyDiv w:val="1"/>
      <w:marLeft w:val="0"/>
      <w:marRight w:val="0"/>
      <w:marTop w:val="0"/>
      <w:marBottom w:val="0"/>
      <w:divBdr>
        <w:top w:val="none" w:sz="0" w:space="0" w:color="auto"/>
        <w:left w:val="none" w:sz="0" w:space="0" w:color="auto"/>
        <w:bottom w:val="none" w:sz="0" w:space="0" w:color="auto"/>
        <w:right w:val="none" w:sz="0" w:space="0" w:color="auto"/>
      </w:divBdr>
    </w:div>
    <w:div w:id="43019331">
      <w:bodyDiv w:val="1"/>
      <w:marLeft w:val="0"/>
      <w:marRight w:val="0"/>
      <w:marTop w:val="0"/>
      <w:marBottom w:val="0"/>
      <w:divBdr>
        <w:top w:val="none" w:sz="0" w:space="0" w:color="auto"/>
        <w:left w:val="none" w:sz="0" w:space="0" w:color="auto"/>
        <w:bottom w:val="none" w:sz="0" w:space="0" w:color="auto"/>
        <w:right w:val="none" w:sz="0" w:space="0" w:color="auto"/>
      </w:divBdr>
    </w:div>
    <w:div w:id="43450854">
      <w:bodyDiv w:val="1"/>
      <w:marLeft w:val="0"/>
      <w:marRight w:val="0"/>
      <w:marTop w:val="0"/>
      <w:marBottom w:val="0"/>
      <w:divBdr>
        <w:top w:val="none" w:sz="0" w:space="0" w:color="auto"/>
        <w:left w:val="none" w:sz="0" w:space="0" w:color="auto"/>
        <w:bottom w:val="none" w:sz="0" w:space="0" w:color="auto"/>
        <w:right w:val="none" w:sz="0" w:space="0" w:color="auto"/>
      </w:divBdr>
    </w:div>
    <w:div w:id="44373848">
      <w:bodyDiv w:val="1"/>
      <w:marLeft w:val="0"/>
      <w:marRight w:val="0"/>
      <w:marTop w:val="0"/>
      <w:marBottom w:val="0"/>
      <w:divBdr>
        <w:top w:val="none" w:sz="0" w:space="0" w:color="auto"/>
        <w:left w:val="none" w:sz="0" w:space="0" w:color="auto"/>
        <w:bottom w:val="none" w:sz="0" w:space="0" w:color="auto"/>
        <w:right w:val="none" w:sz="0" w:space="0" w:color="auto"/>
      </w:divBdr>
      <w:divsChild>
        <w:div w:id="1285115369">
          <w:marLeft w:val="0"/>
          <w:marRight w:val="0"/>
          <w:marTop w:val="0"/>
          <w:marBottom w:val="0"/>
          <w:divBdr>
            <w:top w:val="none" w:sz="0" w:space="0" w:color="auto"/>
            <w:left w:val="none" w:sz="0" w:space="0" w:color="auto"/>
            <w:bottom w:val="none" w:sz="0" w:space="0" w:color="auto"/>
            <w:right w:val="none" w:sz="0" w:space="0" w:color="auto"/>
          </w:divBdr>
          <w:divsChild>
            <w:div w:id="44065434">
              <w:marLeft w:val="0"/>
              <w:marRight w:val="0"/>
              <w:marTop w:val="0"/>
              <w:marBottom w:val="0"/>
              <w:divBdr>
                <w:top w:val="none" w:sz="0" w:space="0" w:color="auto"/>
                <w:left w:val="none" w:sz="0" w:space="0" w:color="auto"/>
                <w:bottom w:val="none" w:sz="0" w:space="0" w:color="auto"/>
                <w:right w:val="none" w:sz="0" w:space="0" w:color="auto"/>
              </w:divBdr>
              <w:divsChild>
                <w:div w:id="686175516">
                  <w:marLeft w:val="0"/>
                  <w:marRight w:val="0"/>
                  <w:marTop w:val="0"/>
                  <w:marBottom w:val="0"/>
                  <w:divBdr>
                    <w:top w:val="none" w:sz="0" w:space="0" w:color="auto"/>
                    <w:left w:val="none" w:sz="0" w:space="0" w:color="auto"/>
                    <w:bottom w:val="none" w:sz="0" w:space="0" w:color="auto"/>
                    <w:right w:val="none" w:sz="0" w:space="0" w:color="auto"/>
                  </w:divBdr>
                  <w:divsChild>
                    <w:div w:id="2359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55979">
      <w:bodyDiv w:val="1"/>
      <w:marLeft w:val="0"/>
      <w:marRight w:val="0"/>
      <w:marTop w:val="0"/>
      <w:marBottom w:val="0"/>
      <w:divBdr>
        <w:top w:val="none" w:sz="0" w:space="0" w:color="auto"/>
        <w:left w:val="none" w:sz="0" w:space="0" w:color="auto"/>
        <w:bottom w:val="none" w:sz="0" w:space="0" w:color="auto"/>
        <w:right w:val="none" w:sz="0" w:space="0" w:color="auto"/>
      </w:divBdr>
    </w:div>
    <w:div w:id="47460779">
      <w:bodyDiv w:val="1"/>
      <w:marLeft w:val="0"/>
      <w:marRight w:val="0"/>
      <w:marTop w:val="0"/>
      <w:marBottom w:val="0"/>
      <w:divBdr>
        <w:top w:val="none" w:sz="0" w:space="0" w:color="auto"/>
        <w:left w:val="none" w:sz="0" w:space="0" w:color="auto"/>
        <w:bottom w:val="none" w:sz="0" w:space="0" w:color="auto"/>
        <w:right w:val="none" w:sz="0" w:space="0" w:color="auto"/>
      </w:divBdr>
    </w:div>
    <w:div w:id="47462969">
      <w:bodyDiv w:val="1"/>
      <w:marLeft w:val="0"/>
      <w:marRight w:val="0"/>
      <w:marTop w:val="0"/>
      <w:marBottom w:val="0"/>
      <w:divBdr>
        <w:top w:val="none" w:sz="0" w:space="0" w:color="auto"/>
        <w:left w:val="none" w:sz="0" w:space="0" w:color="auto"/>
        <w:bottom w:val="none" w:sz="0" w:space="0" w:color="auto"/>
        <w:right w:val="none" w:sz="0" w:space="0" w:color="auto"/>
      </w:divBdr>
    </w:div>
    <w:div w:id="47729709">
      <w:bodyDiv w:val="1"/>
      <w:marLeft w:val="0"/>
      <w:marRight w:val="0"/>
      <w:marTop w:val="0"/>
      <w:marBottom w:val="0"/>
      <w:divBdr>
        <w:top w:val="none" w:sz="0" w:space="0" w:color="auto"/>
        <w:left w:val="none" w:sz="0" w:space="0" w:color="auto"/>
        <w:bottom w:val="none" w:sz="0" w:space="0" w:color="auto"/>
        <w:right w:val="none" w:sz="0" w:space="0" w:color="auto"/>
      </w:divBdr>
    </w:div>
    <w:div w:id="48456180">
      <w:bodyDiv w:val="1"/>
      <w:marLeft w:val="0"/>
      <w:marRight w:val="0"/>
      <w:marTop w:val="0"/>
      <w:marBottom w:val="0"/>
      <w:divBdr>
        <w:top w:val="none" w:sz="0" w:space="0" w:color="auto"/>
        <w:left w:val="none" w:sz="0" w:space="0" w:color="auto"/>
        <w:bottom w:val="none" w:sz="0" w:space="0" w:color="auto"/>
        <w:right w:val="none" w:sz="0" w:space="0" w:color="auto"/>
      </w:divBdr>
      <w:divsChild>
        <w:div w:id="1820730430">
          <w:marLeft w:val="0"/>
          <w:marRight w:val="0"/>
          <w:marTop w:val="0"/>
          <w:marBottom w:val="0"/>
          <w:divBdr>
            <w:top w:val="none" w:sz="0" w:space="0" w:color="auto"/>
            <w:left w:val="none" w:sz="0" w:space="0" w:color="auto"/>
            <w:bottom w:val="none" w:sz="0" w:space="0" w:color="auto"/>
            <w:right w:val="none" w:sz="0" w:space="0" w:color="auto"/>
          </w:divBdr>
          <w:divsChild>
            <w:div w:id="524515509">
              <w:marLeft w:val="0"/>
              <w:marRight w:val="0"/>
              <w:marTop w:val="0"/>
              <w:marBottom w:val="0"/>
              <w:divBdr>
                <w:top w:val="none" w:sz="0" w:space="0" w:color="auto"/>
                <w:left w:val="none" w:sz="0" w:space="0" w:color="auto"/>
                <w:bottom w:val="none" w:sz="0" w:space="0" w:color="auto"/>
                <w:right w:val="none" w:sz="0" w:space="0" w:color="auto"/>
              </w:divBdr>
              <w:divsChild>
                <w:div w:id="401291626">
                  <w:marLeft w:val="0"/>
                  <w:marRight w:val="0"/>
                  <w:marTop w:val="0"/>
                  <w:marBottom w:val="0"/>
                  <w:divBdr>
                    <w:top w:val="none" w:sz="0" w:space="0" w:color="auto"/>
                    <w:left w:val="none" w:sz="0" w:space="0" w:color="auto"/>
                    <w:bottom w:val="none" w:sz="0" w:space="0" w:color="auto"/>
                    <w:right w:val="none" w:sz="0" w:space="0" w:color="auto"/>
                  </w:divBdr>
                  <w:divsChild>
                    <w:div w:id="22140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48746">
      <w:bodyDiv w:val="1"/>
      <w:marLeft w:val="0"/>
      <w:marRight w:val="0"/>
      <w:marTop w:val="0"/>
      <w:marBottom w:val="0"/>
      <w:divBdr>
        <w:top w:val="none" w:sz="0" w:space="0" w:color="auto"/>
        <w:left w:val="none" w:sz="0" w:space="0" w:color="auto"/>
        <w:bottom w:val="none" w:sz="0" w:space="0" w:color="auto"/>
        <w:right w:val="none" w:sz="0" w:space="0" w:color="auto"/>
      </w:divBdr>
    </w:div>
    <w:div w:id="48771264">
      <w:bodyDiv w:val="1"/>
      <w:marLeft w:val="0"/>
      <w:marRight w:val="0"/>
      <w:marTop w:val="0"/>
      <w:marBottom w:val="0"/>
      <w:divBdr>
        <w:top w:val="none" w:sz="0" w:space="0" w:color="auto"/>
        <w:left w:val="none" w:sz="0" w:space="0" w:color="auto"/>
        <w:bottom w:val="none" w:sz="0" w:space="0" w:color="auto"/>
        <w:right w:val="none" w:sz="0" w:space="0" w:color="auto"/>
      </w:divBdr>
      <w:divsChild>
        <w:div w:id="868179197">
          <w:marLeft w:val="0"/>
          <w:marRight w:val="0"/>
          <w:marTop w:val="0"/>
          <w:marBottom w:val="0"/>
          <w:divBdr>
            <w:top w:val="none" w:sz="0" w:space="0" w:color="auto"/>
            <w:left w:val="none" w:sz="0" w:space="0" w:color="auto"/>
            <w:bottom w:val="none" w:sz="0" w:space="0" w:color="auto"/>
            <w:right w:val="none" w:sz="0" w:space="0" w:color="auto"/>
          </w:divBdr>
          <w:divsChild>
            <w:div w:id="1692147492">
              <w:marLeft w:val="0"/>
              <w:marRight w:val="0"/>
              <w:marTop w:val="0"/>
              <w:marBottom w:val="0"/>
              <w:divBdr>
                <w:top w:val="none" w:sz="0" w:space="0" w:color="auto"/>
                <w:left w:val="none" w:sz="0" w:space="0" w:color="auto"/>
                <w:bottom w:val="none" w:sz="0" w:space="0" w:color="auto"/>
                <w:right w:val="none" w:sz="0" w:space="0" w:color="auto"/>
              </w:divBdr>
              <w:divsChild>
                <w:div w:id="1229926656">
                  <w:marLeft w:val="0"/>
                  <w:marRight w:val="0"/>
                  <w:marTop w:val="0"/>
                  <w:marBottom w:val="0"/>
                  <w:divBdr>
                    <w:top w:val="none" w:sz="0" w:space="0" w:color="auto"/>
                    <w:left w:val="none" w:sz="0" w:space="0" w:color="auto"/>
                    <w:bottom w:val="none" w:sz="0" w:space="0" w:color="auto"/>
                    <w:right w:val="none" w:sz="0" w:space="0" w:color="auto"/>
                  </w:divBdr>
                  <w:divsChild>
                    <w:div w:id="111051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17331">
      <w:bodyDiv w:val="1"/>
      <w:marLeft w:val="0"/>
      <w:marRight w:val="0"/>
      <w:marTop w:val="0"/>
      <w:marBottom w:val="0"/>
      <w:divBdr>
        <w:top w:val="none" w:sz="0" w:space="0" w:color="auto"/>
        <w:left w:val="none" w:sz="0" w:space="0" w:color="auto"/>
        <w:bottom w:val="none" w:sz="0" w:space="0" w:color="auto"/>
        <w:right w:val="none" w:sz="0" w:space="0" w:color="auto"/>
      </w:divBdr>
    </w:div>
    <w:div w:id="50228166">
      <w:bodyDiv w:val="1"/>
      <w:marLeft w:val="0"/>
      <w:marRight w:val="0"/>
      <w:marTop w:val="0"/>
      <w:marBottom w:val="0"/>
      <w:divBdr>
        <w:top w:val="none" w:sz="0" w:space="0" w:color="auto"/>
        <w:left w:val="none" w:sz="0" w:space="0" w:color="auto"/>
        <w:bottom w:val="none" w:sz="0" w:space="0" w:color="auto"/>
        <w:right w:val="none" w:sz="0" w:space="0" w:color="auto"/>
      </w:divBdr>
    </w:div>
    <w:div w:id="51319965">
      <w:bodyDiv w:val="1"/>
      <w:marLeft w:val="0"/>
      <w:marRight w:val="0"/>
      <w:marTop w:val="0"/>
      <w:marBottom w:val="0"/>
      <w:divBdr>
        <w:top w:val="none" w:sz="0" w:space="0" w:color="auto"/>
        <w:left w:val="none" w:sz="0" w:space="0" w:color="auto"/>
        <w:bottom w:val="none" w:sz="0" w:space="0" w:color="auto"/>
        <w:right w:val="none" w:sz="0" w:space="0" w:color="auto"/>
      </w:divBdr>
      <w:divsChild>
        <w:div w:id="225075107">
          <w:marLeft w:val="0"/>
          <w:marRight w:val="0"/>
          <w:marTop w:val="0"/>
          <w:marBottom w:val="0"/>
          <w:divBdr>
            <w:top w:val="none" w:sz="0" w:space="0" w:color="auto"/>
            <w:left w:val="none" w:sz="0" w:space="0" w:color="auto"/>
            <w:bottom w:val="none" w:sz="0" w:space="0" w:color="auto"/>
            <w:right w:val="none" w:sz="0" w:space="0" w:color="auto"/>
          </w:divBdr>
          <w:divsChild>
            <w:div w:id="592710480">
              <w:marLeft w:val="0"/>
              <w:marRight w:val="0"/>
              <w:marTop w:val="0"/>
              <w:marBottom w:val="0"/>
              <w:divBdr>
                <w:top w:val="none" w:sz="0" w:space="0" w:color="auto"/>
                <w:left w:val="none" w:sz="0" w:space="0" w:color="auto"/>
                <w:bottom w:val="none" w:sz="0" w:space="0" w:color="auto"/>
                <w:right w:val="none" w:sz="0" w:space="0" w:color="auto"/>
              </w:divBdr>
              <w:divsChild>
                <w:div w:id="156725980">
                  <w:marLeft w:val="0"/>
                  <w:marRight w:val="0"/>
                  <w:marTop w:val="0"/>
                  <w:marBottom w:val="0"/>
                  <w:divBdr>
                    <w:top w:val="none" w:sz="0" w:space="0" w:color="auto"/>
                    <w:left w:val="none" w:sz="0" w:space="0" w:color="auto"/>
                    <w:bottom w:val="none" w:sz="0" w:space="0" w:color="auto"/>
                    <w:right w:val="none" w:sz="0" w:space="0" w:color="auto"/>
                  </w:divBdr>
                  <w:divsChild>
                    <w:div w:id="2110391403">
                      <w:marLeft w:val="0"/>
                      <w:marRight w:val="0"/>
                      <w:marTop w:val="0"/>
                      <w:marBottom w:val="0"/>
                      <w:divBdr>
                        <w:top w:val="none" w:sz="0" w:space="0" w:color="auto"/>
                        <w:left w:val="none" w:sz="0" w:space="0" w:color="auto"/>
                        <w:bottom w:val="none" w:sz="0" w:space="0" w:color="auto"/>
                        <w:right w:val="none" w:sz="0" w:space="0" w:color="auto"/>
                      </w:divBdr>
                    </w:div>
                  </w:divsChild>
                </w:div>
                <w:div w:id="296450703">
                  <w:marLeft w:val="0"/>
                  <w:marRight w:val="0"/>
                  <w:marTop w:val="0"/>
                  <w:marBottom w:val="0"/>
                  <w:divBdr>
                    <w:top w:val="none" w:sz="0" w:space="0" w:color="auto"/>
                    <w:left w:val="none" w:sz="0" w:space="0" w:color="auto"/>
                    <w:bottom w:val="none" w:sz="0" w:space="0" w:color="auto"/>
                    <w:right w:val="none" w:sz="0" w:space="0" w:color="auto"/>
                  </w:divBdr>
                  <w:divsChild>
                    <w:div w:id="125853970">
                      <w:marLeft w:val="0"/>
                      <w:marRight w:val="0"/>
                      <w:marTop w:val="0"/>
                      <w:marBottom w:val="0"/>
                      <w:divBdr>
                        <w:top w:val="none" w:sz="0" w:space="0" w:color="auto"/>
                        <w:left w:val="none" w:sz="0" w:space="0" w:color="auto"/>
                        <w:bottom w:val="none" w:sz="0" w:space="0" w:color="auto"/>
                        <w:right w:val="none" w:sz="0" w:space="0" w:color="auto"/>
                      </w:divBdr>
                    </w:div>
                  </w:divsChild>
                </w:div>
                <w:div w:id="413284066">
                  <w:marLeft w:val="0"/>
                  <w:marRight w:val="0"/>
                  <w:marTop w:val="0"/>
                  <w:marBottom w:val="0"/>
                  <w:divBdr>
                    <w:top w:val="none" w:sz="0" w:space="0" w:color="auto"/>
                    <w:left w:val="none" w:sz="0" w:space="0" w:color="auto"/>
                    <w:bottom w:val="none" w:sz="0" w:space="0" w:color="auto"/>
                    <w:right w:val="none" w:sz="0" w:space="0" w:color="auto"/>
                  </w:divBdr>
                  <w:divsChild>
                    <w:div w:id="16759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35320">
      <w:bodyDiv w:val="1"/>
      <w:marLeft w:val="0"/>
      <w:marRight w:val="0"/>
      <w:marTop w:val="0"/>
      <w:marBottom w:val="0"/>
      <w:divBdr>
        <w:top w:val="none" w:sz="0" w:space="0" w:color="auto"/>
        <w:left w:val="none" w:sz="0" w:space="0" w:color="auto"/>
        <w:bottom w:val="none" w:sz="0" w:space="0" w:color="auto"/>
        <w:right w:val="none" w:sz="0" w:space="0" w:color="auto"/>
      </w:divBdr>
    </w:div>
    <w:div w:id="51857108">
      <w:bodyDiv w:val="1"/>
      <w:marLeft w:val="0"/>
      <w:marRight w:val="0"/>
      <w:marTop w:val="0"/>
      <w:marBottom w:val="0"/>
      <w:divBdr>
        <w:top w:val="none" w:sz="0" w:space="0" w:color="auto"/>
        <w:left w:val="none" w:sz="0" w:space="0" w:color="auto"/>
        <w:bottom w:val="none" w:sz="0" w:space="0" w:color="auto"/>
        <w:right w:val="none" w:sz="0" w:space="0" w:color="auto"/>
      </w:divBdr>
    </w:div>
    <w:div w:id="52318034">
      <w:bodyDiv w:val="1"/>
      <w:marLeft w:val="0"/>
      <w:marRight w:val="0"/>
      <w:marTop w:val="0"/>
      <w:marBottom w:val="0"/>
      <w:divBdr>
        <w:top w:val="none" w:sz="0" w:space="0" w:color="auto"/>
        <w:left w:val="none" w:sz="0" w:space="0" w:color="auto"/>
        <w:bottom w:val="none" w:sz="0" w:space="0" w:color="auto"/>
        <w:right w:val="none" w:sz="0" w:space="0" w:color="auto"/>
      </w:divBdr>
    </w:div>
    <w:div w:id="53045676">
      <w:bodyDiv w:val="1"/>
      <w:marLeft w:val="0"/>
      <w:marRight w:val="0"/>
      <w:marTop w:val="0"/>
      <w:marBottom w:val="0"/>
      <w:divBdr>
        <w:top w:val="none" w:sz="0" w:space="0" w:color="auto"/>
        <w:left w:val="none" w:sz="0" w:space="0" w:color="auto"/>
        <w:bottom w:val="none" w:sz="0" w:space="0" w:color="auto"/>
        <w:right w:val="none" w:sz="0" w:space="0" w:color="auto"/>
      </w:divBdr>
    </w:div>
    <w:div w:id="53088820">
      <w:bodyDiv w:val="1"/>
      <w:marLeft w:val="0"/>
      <w:marRight w:val="0"/>
      <w:marTop w:val="0"/>
      <w:marBottom w:val="0"/>
      <w:divBdr>
        <w:top w:val="none" w:sz="0" w:space="0" w:color="auto"/>
        <w:left w:val="none" w:sz="0" w:space="0" w:color="auto"/>
        <w:bottom w:val="none" w:sz="0" w:space="0" w:color="auto"/>
        <w:right w:val="none" w:sz="0" w:space="0" w:color="auto"/>
      </w:divBdr>
    </w:div>
    <w:div w:id="53549335">
      <w:bodyDiv w:val="1"/>
      <w:marLeft w:val="0"/>
      <w:marRight w:val="0"/>
      <w:marTop w:val="0"/>
      <w:marBottom w:val="0"/>
      <w:divBdr>
        <w:top w:val="none" w:sz="0" w:space="0" w:color="auto"/>
        <w:left w:val="none" w:sz="0" w:space="0" w:color="auto"/>
        <w:bottom w:val="none" w:sz="0" w:space="0" w:color="auto"/>
        <w:right w:val="none" w:sz="0" w:space="0" w:color="auto"/>
      </w:divBdr>
    </w:div>
    <w:div w:id="54663582">
      <w:bodyDiv w:val="1"/>
      <w:marLeft w:val="0"/>
      <w:marRight w:val="0"/>
      <w:marTop w:val="0"/>
      <w:marBottom w:val="0"/>
      <w:divBdr>
        <w:top w:val="none" w:sz="0" w:space="0" w:color="auto"/>
        <w:left w:val="none" w:sz="0" w:space="0" w:color="auto"/>
        <w:bottom w:val="none" w:sz="0" w:space="0" w:color="auto"/>
        <w:right w:val="none" w:sz="0" w:space="0" w:color="auto"/>
      </w:divBdr>
      <w:divsChild>
        <w:div w:id="1833981081">
          <w:marLeft w:val="0"/>
          <w:marRight w:val="0"/>
          <w:marTop w:val="0"/>
          <w:marBottom w:val="0"/>
          <w:divBdr>
            <w:top w:val="none" w:sz="0" w:space="0" w:color="auto"/>
            <w:left w:val="none" w:sz="0" w:space="0" w:color="auto"/>
            <w:bottom w:val="none" w:sz="0" w:space="0" w:color="auto"/>
            <w:right w:val="none" w:sz="0" w:space="0" w:color="auto"/>
          </w:divBdr>
          <w:divsChild>
            <w:div w:id="282737403">
              <w:marLeft w:val="0"/>
              <w:marRight w:val="0"/>
              <w:marTop w:val="0"/>
              <w:marBottom w:val="0"/>
              <w:divBdr>
                <w:top w:val="none" w:sz="0" w:space="0" w:color="auto"/>
                <w:left w:val="none" w:sz="0" w:space="0" w:color="auto"/>
                <w:bottom w:val="none" w:sz="0" w:space="0" w:color="auto"/>
                <w:right w:val="none" w:sz="0" w:space="0" w:color="auto"/>
              </w:divBdr>
              <w:divsChild>
                <w:div w:id="1837840545">
                  <w:marLeft w:val="0"/>
                  <w:marRight w:val="0"/>
                  <w:marTop w:val="0"/>
                  <w:marBottom w:val="0"/>
                  <w:divBdr>
                    <w:top w:val="none" w:sz="0" w:space="0" w:color="auto"/>
                    <w:left w:val="none" w:sz="0" w:space="0" w:color="auto"/>
                    <w:bottom w:val="none" w:sz="0" w:space="0" w:color="auto"/>
                    <w:right w:val="none" w:sz="0" w:space="0" w:color="auto"/>
                  </w:divBdr>
                </w:div>
              </w:divsChild>
            </w:div>
            <w:div w:id="294264348">
              <w:marLeft w:val="0"/>
              <w:marRight w:val="0"/>
              <w:marTop w:val="0"/>
              <w:marBottom w:val="0"/>
              <w:divBdr>
                <w:top w:val="none" w:sz="0" w:space="0" w:color="auto"/>
                <w:left w:val="none" w:sz="0" w:space="0" w:color="auto"/>
                <w:bottom w:val="none" w:sz="0" w:space="0" w:color="auto"/>
                <w:right w:val="none" w:sz="0" w:space="0" w:color="auto"/>
              </w:divBdr>
              <w:divsChild>
                <w:div w:id="1531722773">
                  <w:marLeft w:val="0"/>
                  <w:marRight w:val="0"/>
                  <w:marTop w:val="0"/>
                  <w:marBottom w:val="0"/>
                  <w:divBdr>
                    <w:top w:val="none" w:sz="0" w:space="0" w:color="auto"/>
                    <w:left w:val="none" w:sz="0" w:space="0" w:color="auto"/>
                    <w:bottom w:val="none" w:sz="0" w:space="0" w:color="auto"/>
                    <w:right w:val="none" w:sz="0" w:space="0" w:color="auto"/>
                  </w:divBdr>
                </w:div>
              </w:divsChild>
            </w:div>
            <w:div w:id="646132002">
              <w:marLeft w:val="0"/>
              <w:marRight w:val="0"/>
              <w:marTop w:val="0"/>
              <w:marBottom w:val="0"/>
              <w:divBdr>
                <w:top w:val="none" w:sz="0" w:space="0" w:color="auto"/>
                <w:left w:val="none" w:sz="0" w:space="0" w:color="auto"/>
                <w:bottom w:val="none" w:sz="0" w:space="0" w:color="auto"/>
                <w:right w:val="none" w:sz="0" w:space="0" w:color="auto"/>
              </w:divBdr>
              <w:divsChild>
                <w:div w:id="61625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1378">
      <w:bodyDiv w:val="1"/>
      <w:marLeft w:val="0"/>
      <w:marRight w:val="0"/>
      <w:marTop w:val="0"/>
      <w:marBottom w:val="0"/>
      <w:divBdr>
        <w:top w:val="none" w:sz="0" w:space="0" w:color="auto"/>
        <w:left w:val="none" w:sz="0" w:space="0" w:color="auto"/>
        <w:bottom w:val="none" w:sz="0" w:space="0" w:color="auto"/>
        <w:right w:val="none" w:sz="0" w:space="0" w:color="auto"/>
      </w:divBdr>
      <w:divsChild>
        <w:div w:id="2033414402">
          <w:marLeft w:val="0"/>
          <w:marRight w:val="0"/>
          <w:marTop w:val="0"/>
          <w:marBottom w:val="0"/>
          <w:divBdr>
            <w:top w:val="none" w:sz="0" w:space="0" w:color="auto"/>
            <w:left w:val="none" w:sz="0" w:space="0" w:color="auto"/>
            <w:bottom w:val="none" w:sz="0" w:space="0" w:color="auto"/>
            <w:right w:val="none" w:sz="0" w:space="0" w:color="auto"/>
          </w:divBdr>
          <w:divsChild>
            <w:div w:id="637341240">
              <w:marLeft w:val="0"/>
              <w:marRight w:val="0"/>
              <w:marTop w:val="0"/>
              <w:marBottom w:val="0"/>
              <w:divBdr>
                <w:top w:val="none" w:sz="0" w:space="0" w:color="auto"/>
                <w:left w:val="none" w:sz="0" w:space="0" w:color="auto"/>
                <w:bottom w:val="none" w:sz="0" w:space="0" w:color="auto"/>
                <w:right w:val="none" w:sz="0" w:space="0" w:color="auto"/>
              </w:divBdr>
              <w:divsChild>
                <w:div w:id="1978224283">
                  <w:marLeft w:val="0"/>
                  <w:marRight w:val="0"/>
                  <w:marTop w:val="0"/>
                  <w:marBottom w:val="0"/>
                  <w:divBdr>
                    <w:top w:val="none" w:sz="0" w:space="0" w:color="auto"/>
                    <w:left w:val="none" w:sz="0" w:space="0" w:color="auto"/>
                    <w:bottom w:val="none" w:sz="0" w:space="0" w:color="auto"/>
                    <w:right w:val="none" w:sz="0" w:space="0" w:color="auto"/>
                  </w:divBdr>
                  <w:divsChild>
                    <w:div w:id="209866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06117">
      <w:bodyDiv w:val="1"/>
      <w:marLeft w:val="0"/>
      <w:marRight w:val="0"/>
      <w:marTop w:val="0"/>
      <w:marBottom w:val="0"/>
      <w:divBdr>
        <w:top w:val="none" w:sz="0" w:space="0" w:color="auto"/>
        <w:left w:val="none" w:sz="0" w:space="0" w:color="auto"/>
        <w:bottom w:val="none" w:sz="0" w:space="0" w:color="auto"/>
        <w:right w:val="none" w:sz="0" w:space="0" w:color="auto"/>
      </w:divBdr>
    </w:div>
    <w:div w:id="56326899">
      <w:bodyDiv w:val="1"/>
      <w:marLeft w:val="0"/>
      <w:marRight w:val="0"/>
      <w:marTop w:val="0"/>
      <w:marBottom w:val="0"/>
      <w:divBdr>
        <w:top w:val="none" w:sz="0" w:space="0" w:color="auto"/>
        <w:left w:val="none" w:sz="0" w:space="0" w:color="auto"/>
        <w:bottom w:val="none" w:sz="0" w:space="0" w:color="auto"/>
        <w:right w:val="none" w:sz="0" w:space="0" w:color="auto"/>
      </w:divBdr>
      <w:divsChild>
        <w:div w:id="2018999812">
          <w:marLeft w:val="0"/>
          <w:marRight w:val="0"/>
          <w:marTop w:val="0"/>
          <w:marBottom w:val="0"/>
          <w:divBdr>
            <w:top w:val="none" w:sz="0" w:space="0" w:color="auto"/>
            <w:left w:val="none" w:sz="0" w:space="0" w:color="auto"/>
            <w:bottom w:val="none" w:sz="0" w:space="0" w:color="auto"/>
            <w:right w:val="none" w:sz="0" w:space="0" w:color="auto"/>
          </w:divBdr>
          <w:divsChild>
            <w:div w:id="2035420244">
              <w:marLeft w:val="0"/>
              <w:marRight w:val="0"/>
              <w:marTop w:val="0"/>
              <w:marBottom w:val="0"/>
              <w:divBdr>
                <w:top w:val="none" w:sz="0" w:space="0" w:color="auto"/>
                <w:left w:val="none" w:sz="0" w:space="0" w:color="auto"/>
                <w:bottom w:val="none" w:sz="0" w:space="0" w:color="auto"/>
                <w:right w:val="none" w:sz="0" w:space="0" w:color="auto"/>
              </w:divBdr>
              <w:divsChild>
                <w:div w:id="2006857331">
                  <w:marLeft w:val="0"/>
                  <w:marRight w:val="0"/>
                  <w:marTop w:val="0"/>
                  <w:marBottom w:val="0"/>
                  <w:divBdr>
                    <w:top w:val="none" w:sz="0" w:space="0" w:color="auto"/>
                    <w:left w:val="none" w:sz="0" w:space="0" w:color="auto"/>
                    <w:bottom w:val="none" w:sz="0" w:space="0" w:color="auto"/>
                    <w:right w:val="none" w:sz="0" w:space="0" w:color="auto"/>
                  </w:divBdr>
                  <w:divsChild>
                    <w:div w:id="31850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26924">
      <w:bodyDiv w:val="1"/>
      <w:marLeft w:val="0"/>
      <w:marRight w:val="0"/>
      <w:marTop w:val="0"/>
      <w:marBottom w:val="0"/>
      <w:divBdr>
        <w:top w:val="none" w:sz="0" w:space="0" w:color="auto"/>
        <w:left w:val="none" w:sz="0" w:space="0" w:color="auto"/>
        <w:bottom w:val="none" w:sz="0" w:space="0" w:color="auto"/>
        <w:right w:val="none" w:sz="0" w:space="0" w:color="auto"/>
      </w:divBdr>
    </w:div>
    <w:div w:id="59060854">
      <w:bodyDiv w:val="1"/>
      <w:marLeft w:val="0"/>
      <w:marRight w:val="0"/>
      <w:marTop w:val="0"/>
      <w:marBottom w:val="0"/>
      <w:divBdr>
        <w:top w:val="none" w:sz="0" w:space="0" w:color="auto"/>
        <w:left w:val="none" w:sz="0" w:space="0" w:color="auto"/>
        <w:bottom w:val="none" w:sz="0" w:space="0" w:color="auto"/>
        <w:right w:val="none" w:sz="0" w:space="0" w:color="auto"/>
      </w:divBdr>
    </w:div>
    <w:div w:id="59527641">
      <w:bodyDiv w:val="1"/>
      <w:marLeft w:val="0"/>
      <w:marRight w:val="0"/>
      <w:marTop w:val="0"/>
      <w:marBottom w:val="0"/>
      <w:divBdr>
        <w:top w:val="none" w:sz="0" w:space="0" w:color="auto"/>
        <w:left w:val="none" w:sz="0" w:space="0" w:color="auto"/>
        <w:bottom w:val="none" w:sz="0" w:space="0" w:color="auto"/>
        <w:right w:val="none" w:sz="0" w:space="0" w:color="auto"/>
      </w:divBdr>
      <w:divsChild>
        <w:div w:id="1772049060">
          <w:marLeft w:val="0"/>
          <w:marRight w:val="0"/>
          <w:marTop w:val="0"/>
          <w:marBottom w:val="0"/>
          <w:divBdr>
            <w:top w:val="none" w:sz="0" w:space="0" w:color="auto"/>
            <w:left w:val="none" w:sz="0" w:space="0" w:color="auto"/>
            <w:bottom w:val="none" w:sz="0" w:space="0" w:color="auto"/>
            <w:right w:val="none" w:sz="0" w:space="0" w:color="auto"/>
          </w:divBdr>
          <w:divsChild>
            <w:div w:id="71398367">
              <w:marLeft w:val="0"/>
              <w:marRight w:val="0"/>
              <w:marTop w:val="0"/>
              <w:marBottom w:val="0"/>
              <w:divBdr>
                <w:top w:val="none" w:sz="0" w:space="0" w:color="auto"/>
                <w:left w:val="none" w:sz="0" w:space="0" w:color="auto"/>
                <w:bottom w:val="none" w:sz="0" w:space="0" w:color="auto"/>
                <w:right w:val="none" w:sz="0" w:space="0" w:color="auto"/>
              </w:divBdr>
              <w:divsChild>
                <w:div w:id="54353857">
                  <w:marLeft w:val="0"/>
                  <w:marRight w:val="0"/>
                  <w:marTop w:val="0"/>
                  <w:marBottom w:val="0"/>
                  <w:divBdr>
                    <w:top w:val="none" w:sz="0" w:space="0" w:color="auto"/>
                    <w:left w:val="none" w:sz="0" w:space="0" w:color="auto"/>
                    <w:bottom w:val="none" w:sz="0" w:space="0" w:color="auto"/>
                    <w:right w:val="none" w:sz="0" w:space="0" w:color="auto"/>
                  </w:divBdr>
                  <w:divsChild>
                    <w:div w:id="172551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12013">
      <w:bodyDiv w:val="1"/>
      <w:marLeft w:val="0"/>
      <w:marRight w:val="0"/>
      <w:marTop w:val="0"/>
      <w:marBottom w:val="0"/>
      <w:divBdr>
        <w:top w:val="none" w:sz="0" w:space="0" w:color="auto"/>
        <w:left w:val="none" w:sz="0" w:space="0" w:color="auto"/>
        <w:bottom w:val="none" w:sz="0" w:space="0" w:color="auto"/>
        <w:right w:val="none" w:sz="0" w:space="0" w:color="auto"/>
      </w:divBdr>
    </w:div>
    <w:div w:id="60445149">
      <w:bodyDiv w:val="1"/>
      <w:marLeft w:val="0"/>
      <w:marRight w:val="0"/>
      <w:marTop w:val="0"/>
      <w:marBottom w:val="0"/>
      <w:divBdr>
        <w:top w:val="none" w:sz="0" w:space="0" w:color="auto"/>
        <w:left w:val="none" w:sz="0" w:space="0" w:color="auto"/>
        <w:bottom w:val="none" w:sz="0" w:space="0" w:color="auto"/>
        <w:right w:val="none" w:sz="0" w:space="0" w:color="auto"/>
      </w:divBdr>
      <w:divsChild>
        <w:div w:id="1074203138">
          <w:marLeft w:val="0"/>
          <w:marRight w:val="0"/>
          <w:marTop w:val="0"/>
          <w:marBottom w:val="0"/>
          <w:divBdr>
            <w:top w:val="none" w:sz="0" w:space="0" w:color="auto"/>
            <w:left w:val="none" w:sz="0" w:space="0" w:color="auto"/>
            <w:bottom w:val="none" w:sz="0" w:space="0" w:color="auto"/>
            <w:right w:val="none" w:sz="0" w:space="0" w:color="auto"/>
          </w:divBdr>
          <w:divsChild>
            <w:div w:id="101195740">
              <w:marLeft w:val="0"/>
              <w:marRight w:val="0"/>
              <w:marTop w:val="0"/>
              <w:marBottom w:val="0"/>
              <w:divBdr>
                <w:top w:val="none" w:sz="0" w:space="0" w:color="auto"/>
                <w:left w:val="none" w:sz="0" w:space="0" w:color="auto"/>
                <w:bottom w:val="none" w:sz="0" w:space="0" w:color="auto"/>
                <w:right w:val="none" w:sz="0" w:space="0" w:color="auto"/>
              </w:divBdr>
              <w:divsChild>
                <w:div w:id="746389918">
                  <w:marLeft w:val="0"/>
                  <w:marRight w:val="0"/>
                  <w:marTop w:val="0"/>
                  <w:marBottom w:val="0"/>
                  <w:divBdr>
                    <w:top w:val="none" w:sz="0" w:space="0" w:color="auto"/>
                    <w:left w:val="none" w:sz="0" w:space="0" w:color="auto"/>
                    <w:bottom w:val="none" w:sz="0" w:space="0" w:color="auto"/>
                    <w:right w:val="none" w:sz="0" w:space="0" w:color="auto"/>
                  </w:divBdr>
                  <w:divsChild>
                    <w:div w:id="203727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70025">
      <w:bodyDiv w:val="1"/>
      <w:marLeft w:val="0"/>
      <w:marRight w:val="0"/>
      <w:marTop w:val="0"/>
      <w:marBottom w:val="0"/>
      <w:divBdr>
        <w:top w:val="none" w:sz="0" w:space="0" w:color="auto"/>
        <w:left w:val="none" w:sz="0" w:space="0" w:color="auto"/>
        <w:bottom w:val="none" w:sz="0" w:space="0" w:color="auto"/>
        <w:right w:val="none" w:sz="0" w:space="0" w:color="auto"/>
      </w:divBdr>
    </w:div>
    <w:div w:id="61027510">
      <w:bodyDiv w:val="1"/>
      <w:marLeft w:val="0"/>
      <w:marRight w:val="0"/>
      <w:marTop w:val="0"/>
      <w:marBottom w:val="0"/>
      <w:divBdr>
        <w:top w:val="none" w:sz="0" w:space="0" w:color="auto"/>
        <w:left w:val="none" w:sz="0" w:space="0" w:color="auto"/>
        <w:bottom w:val="none" w:sz="0" w:space="0" w:color="auto"/>
        <w:right w:val="none" w:sz="0" w:space="0" w:color="auto"/>
      </w:divBdr>
      <w:divsChild>
        <w:div w:id="42289104">
          <w:marLeft w:val="0"/>
          <w:marRight w:val="0"/>
          <w:marTop w:val="0"/>
          <w:marBottom w:val="0"/>
          <w:divBdr>
            <w:top w:val="none" w:sz="0" w:space="0" w:color="auto"/>
            <w:left w:val="none" w:sz="0" w:space="0" w:color="auto"/>
            <w:bottom w:val="none" w:sz="0" w:space="0" w:color="auto"/>
            <w:right w:val="none" w:sz="0" w:space="0" w:color="auto"/>
          </w:divBdr>
          <w:divsChild>
            <w:div w:id="1468157050">
              <w:marLeft w:val="0"/>
              <w:marRight w:val="0"/>
              <w:marTop w:val="0"/>
              <w:marBottom w:val="0"/>
              <w:divBdr>
                <w:top w:val="none" w:sz="0" w:space="0" w:color="auto"/>
                <w:left w:val="none" w:sz="0" w:space="0" w:color="auto"/>
                <w:bottom w:val="none" w:sz="0" w:space="0" w:color="auto"/>
                <w:right w:val="none" w:sz="0" w:space="0" w:color="auto"/>
              </w:divBdr>
              <w:divsChild>
                <w:div w:id="14437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1968">
      <w:bodyDiv w:val="1"/>
      <w:marLeft w:val="0"/>
      <w:marRight w:val="0"/>
      <w:marTop w:val="0"/>
      <w:marBottom w:val="0"/>
      <w:divBdr>
        <w:top w:val="none" w:sz="0" w:space="0" w:color="auto"/>
        <w:left w:val="none" w:sz="0" w:space="0" w:color="auto"/>
        <w:bottom w:val="none" w:sz="0" w:space="0" w:color="auto"/>
        <w:right w:val="none" w:sz="0" w:space="0" w:color="auto"/>
      </w:divBdr>
    </w:div>
    <w:div w:id="62023941">
      <w:bodyDiv w:val="1"/>
      <w:marLeft w:val="0"/>
      <w:marRight w:val="0"/>
      <w:marTop w:val="0"/>
      <w:marBottom w:val="0"/>
      <w:divBdr>
        <w:top w:val="none" w:sz="0" w:space="0" w:color="auto"/>
        <w:left w:val="none" w:sz="0" w:space="0" w:color="auto"/>
        <w:bottom w:val="none" w:sz="0" w:space="0" w:color="auto"/>
        <w:right w:val="none" w:sz="0" w:space="0" w:color="auto"/>
      </w:divBdr>
    </w:div>
    <w:div w:id="62341165">
      <w:bodyDiv w:val="1"/>
      <w:marLeft w:val="0"/>
      <w:marRight w:val="0"/>
      <w:marTop w:val="0"/>
      <w:marBottom w:val="0"/>
      <w:divBdr>
        <w:top w:val="none" w:sz="0" w:space="0" w:color="auto"/>
        <w:left w:val="none" w:sz="0" w:space="0" w:color="auto"/>
        <w:bottom w:val="none" w:sz="0" w:space="0" w:color="auto"/>
        <w:right w:val="none" w:sz="0" w:space="0" w:color="auto"/>
      </w:divBdr>
    </w:div>
    <w:div w:id="62530465">
      <w:bodyDiv w:val="1"/>
      <w:marLeft w:val="0"/>
      <w:marRight w:val="0"/>
      <w:marTop w:val="0"/>
      <w:marBottom w:val="0"/>
      <w:divBdr>
        <w:top w:val="none" w:sz="0" w:space="0" w:color="auto"/>
        <w:left w:val="none" w:sz="0" w:space="0" w:color="auto"/>
        <w:bottom w:val="none" w:sz="0" w:space="0" w:color="auto"/>
        <w:right w:val="none" w:sz="0" w:space="0" w:color="auto"/>
      </w:divBdr>
      <w:divsChild>
        <w:div w:id="314726403">
          <w:marLeft w:val="0"/>
          <w:marRight w:val="0"/>
          <w:marTop w:val="0"/>
          <w:marBottom w:val="0"/>
          <w:divBdr>
            <w:top w:val="none" w:sz="0" w:space="0" w:color="auto"/>
            <w:left w:val="none" w:sz="0" w:space="0" w:color="auto"/>
            <w:bottom w:val="none" w:sz="0" w:space="0" w:color="auto"/>
            <w:right w:val="none" w:sz="0" w:space="0" w:color="auto"/>
          </w:divBdr>
          <w:divsChild>
            <w:div w:id="2065713885">
              <w:marLeft w:val="0"/>
              <w:marRight w:val="0"/>
              <w:marTop w:val="0"/>
              <w:marBottom w:val="0"/>
              <w:divBdr>
                <w:top w:val="none" w:sz="0" w:space="0" w:color="auto"/>
                <w:left w:val="none" w:sz="0" w:space="0" w:color="auto"/>
                <w:bottom w:val="none" w:sz="0" w:space="0" w:color="auto"/>
                <w:right w:val="none" w:sz="0" w:space="0" w:color="auto"/>
              </w:divBdr>
              <w:divsChild>
                <w:div w:id="337848760">
                  <w:marLeft w:val="0"/>
                  <w:marRight w:val="0"/>
                  <w:marTop w:val="0"/>
                  <w:marBottom w:val="0"/>
                  <w:divBdr>
                    <w:top w:val="none" w:sz="0" w:space="0" w:color="auto"/>
                    <w:left w:val="none" w:sz="0" w:space="0" w:color="auto"/>
                    <w:bottom w:val="none" w:sz="0" w:space="0" w:color="auto"/>
                    <w:right w:val="none" w:sz="0" w:space="0" w:color="auto"/>
                  </w:divBdr>
                  <w:divsChild>
                    <w:div w:id="45128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76445">
      <w:bodyDiv w:val="1"/>
      <w:marLeft w:val="0"/>
      <w:marRight w:val="0"/>
      <w:marTop w:val="0"/>
      <w:marBottom w:val="0"/>
      <w:divBdr>
        <w:top w:val="none" w:sz="0" w:space="0" w:color="auto"/>
        <w:left w:val="none" w:sz="0" w:space="0" w:color="auto"/>
        <w:bottom w:val="none" w:sz="0" w:space="0" w:color="auto"/>
        <w:right w:val="none" w:sz="0" w:space="0" w:color="auto"/>
      </w:divBdr>
    </w:div>
    <w:div w:id="63452587">
      <w:bodyDiv w:val="1"/>
      <w:marLeft w:val="0"/>
      <w:marRight w:val="0"/>
      <w:marTop w:val="0"/>
      <w:marBottom w:val="0"/>
      <w:divBdr>
        <w:top w:val="none" w:sz="0" w:space="0" w:color="auto"/>
        <w:left w:val="none" w:sz="0" w:space="0" w:color="auto"/>
        <w:bottom w:val="none" w:sz="0" w:space="0" w:color="auto"/>
        <w:right w:val="none" w:sz="0" w:space="0" w:color="auto"/>
      </w:divBdr>
      <w:divsChild>
        <w:div w:id="303896608">
          <w:marLeft w:val="425"/>
          <w:marRight w:val="0"/>
          <w:marTop w:val="0"/>
          <w:marBottom w:val="0"/>
          <w:divBdr>
            <w:top w:val="none" w:sz="0" w:space="0" w:color="auto"/>
            <w:left w:val="none" w:sz="0" w:space="0" w:color="auto"/>
            <w:bottom w:val="none" w:sz="0" w:space="0" w:color="auto"/>
            <w:right w:val="none" w:sz="0" w:space="0" w:color="auto"/>
          </w:divBdr>
        </w:div>
      </w:divsChild>
    </w:div>
    <w:div w:id="63721788">
      <w:bodyDiv w:val="1"/>
      <w:marLeft w:val="0"/>
      <w:marRight w:val="0"/>
      <w:marTop w:val="0"/>
      <w:marBottom w:val="0"/>
      <w:divBdr>
        <w:top w:val="none" w:sz="0" w:space="0" w:color="auto"/>
        <w:left w:val="none" w:sz="0" w:space="0" w:color="auto"/>
        <w:bottom w:val="none" w:sz="0" w:space="0" w:color="auto"/>
        <w:right w:val="none" w:sz="0" w:space="0" w:color="auto"/>
      </w:divBdr>
    </w:div>
    <w:div w:id="66147416">
      <w:bodyDiv w:val="1"/>
      <w:marLeft w:val="0"/>
      <w:marRight w:val="0"/>
      <w:marTop w:val="0"/>
      <w:marBottom w:val="0"/>
      <w:divBdr>
        <w:top w:val="none" w:sz="0" w:space="0" w:color="auto"/>
        <w:left w:val="none" w:sz="0" w:space="0" w:color="auto"/>
        <w:bottom w:val="none" w:sz="0" w:space="0" w:color="auto"/>
        <w:right w:val="none" w:sz="0" w:space="0" w:color="auto"/>
      </w:divBdr>
    </w:div>
    <w:div w:id="66728319">
      <w:bodyDiv w:val="1"/>
      <w:marLeft w:val="0"/>
      <w:marRight w:val="0"/>
      <w:marTop w:val="0"/>
      <w:marBottom w:val="0"/>
      <w:divBdr>
        <w:top w:val="none" w:sz="0" w:space="0" w:color="auto"/>
        <w:left w:val="none" w:sz="0" w:space="0" w:color="auto"/>
        <w:bottom w:val="none" w:sz="0" w:space="0" w:color="auto"/>
        <w:right w:val="none" w:sz="0" w:space="0" w:color="auto"/>
      </w:divBdr>
    </w:div>
    <w:div w:id="66729286">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67239979">
      <w:bodyDiv w:val="1"/>
      <w:marLeft w:val="0"/>
      <w:marRight w:val="0"/>
      <w:marTop w:val="0"/>
      <w:marBottom w:val="0"/>
      <w:divBdr>
        <w:top w:val="none" w:sz="0" w:space="0" w:color="auto"/>
        <w:left w:val="none" w:sz="0" w:space="0" w:color="auto"/>
        <w:bottom w:val="none" w:sz="0" w:space="0" w:color="auto"/>
        <w:right w:val="none" w:sz="0" w:space="0" w:color="auto"/>
      </w:divBdr>
    </w:div>
    <w:div w:id="67311961">
      <w:bodyDiv w:val="1"/>
      <w:marLeft w:val="0"/>
      <w:marRight w:val="0"/>
      <w:marTop w:val="0"/>
      <w:marBottom w:val="0"/>
      <w:divBdr>
        <w:top w:val="none" w:sz="0" w:space="0" w:color="auto"/>
        <w:left w:val="none" w:sz="0" w:space="0" w:color="auto"/>
        <w:bottom w:val="none" w:sz="0" w:space="0" w:color="auto"/>
        <w:right w:val="none" w:sz="0" w:space="0" w:color="auto"/>
      </w:divBdr>
    </w:div>
    <w:div w:id="67895749">
      <w:bodyDiv w:val="1"/>
      <w:marLeft w:val="0"/>
      <w:marRight w:val="0"/>
      <w:marTop w:val="0"/>
      <w:marBottom w:val="0"/>
      <w:divBdr>
        <w:top w:val="none" w:sz="0" w:space="0" w:color="auto"/>
        <w:left w:val="none" w:sz="0" w:space="0" w:color="auto"/>
        <w:bottom w:val="none" w:sz="0" w:space="0" w:color="auto"/>
        <w:right w:val="none" w:sz="0" w:space="0" w:color="auto"/>
      </w:divBdr>
    </w:div>
    <w:div w:id="68038985">
      <w:bodyDiv w:val="1"/>
      <w:marLeft w:val="0"/>
      <w:marRight w:val="0"/>
      <w:marTop w:val="0"/>
      <w:marBottom w:val="0"/>
      <w:divBdr>
        <w:top w:val="none" w:sz="0" w:space="0" w:color="auto"/>
        <w:left w:val="none" w:sz="0" w:space="0" w:color="auto"/>
        <w:bottom w:val="none" w:sz="0" w:space="0" w:color="auto"/>
        <w:right w:val="none" w:sz="0" w:space="0" w:color="auto"/>
      </w:divBdr>
    </w:div>
    <w:div w:id="68356089">
      <w:bodyDiv w:val="1"/>
      <w:marLeft w:val="0"/>
      <w:marRight w:val="0"/>
      <w:marTop w:val="0"/>
      <w:marBottom w:val="0"/>
      <w:divBdr>
        <w:top w:val="none" w:sz="0" w:space="0" w:color="auto"/>
        <w:left w:val="none" w:sz="0" w:space="0" w:color="auto"/>
        <w:bottom w:val="none" w:sz="0" w:space="0" w:color="auto"/>
        <w:right w:val="none" w:sz="0" w:space="0" w:color="auto"/>
      </w:divBdr>
    </w:div>
    <w:div w:id="69425289">
      <w:bodyDiv w:val="1"/>
      <w:marLeft w:val="0"/>
      <w:marRight w:val="0"/>
      <w:marTop w:val="0"/>
      <w:marBottom w:val="0"/>
      <w:divBdr>
        <w:top w:val="none" w:sz="0" w:space="0" w:color="auto"/>
        <w:left w:val="none" w:sz="0" w:space="0" w:color="auto"/>
        <w:bottom w:val="none" w:sz="0" w:space="0" w:color="auto"/>
        <w:right w:val="none" w:sz="0" w:space="0" w:color="auto"/>
      </w:divBdr>
    </w:div>
    <w:div w:id="69816206">
      <w:bodyDiv w:val="1"/>
      <w:marLeft w:val="0"/>
      <w:marRight w:val="0"/>
      <w:marTop w:val="0"/>
      <w:marBottom w:val="0"/>
      <w:divBdr>
        <w:top w:val="none" w:sz="0" w:space="0" w:color="auto"/>
        <w:left w:val="none" w:sz="0" w:space="0" w:color="auto"/>
        <w:bottom w:val="none" w:sz="0" w:space="0" w:color="auto"/>
        <w:right w:val="none" w:sz="0" w:space="0" w:color="auto"/>
      </w:divBdr>
    </w:div>
    <w:div w:id="70087302">
      <w:bodyDiv w:val="1"/>
      <w:marLeft w:val="0"/>
      <w:marRight w:val="0"/>
      <w:marTop w:val="0"/>
      <w:marBottom w:val="0"/>
      <w:divBdr>
        <w:top w:val="none" w:sz="0" w:space="0" w:color="auto"/>
        <w:left w:val="none" w:sz="0" w:space="0" w:color="auto"/>
        <w:bottom w:val="none" w:sz="0" w:space="0" w:color="auto"/>
        <w:right w:val="none" w:sz="0" w:space="0" w:color="auto"/>
      </w:divBdr>
    </w:div>
    <w:div w:id="70128690">
      <w:bodyDiv w:val="1"/>
      <w:marLeft w:val="0"/>
      <w:marRight w:val="0"/>
      <w:marTop w:val="0"/>
      <w:marBottom w:val="0"/>
      <w:divBdr>
        <w:top w:val="none" w:sz="0" w:space="0" w:color="auto"/>
        <w:left w:val="none" w:sz="0" w:space="0" w:color="auto"/>
        <w:bottom w:val="none" w:sz="0" w:space="0" w:color="auto"/>
        <w:right w:val="none" w:sz="0" w:space="0" w:color="auto"/>
      </w:divBdr>
    </w:div>
    <w:div w:id="70323724">
      <w:bodyDiv w:val="1"/>
      <w:marLeft w:val="0"/>
      <w:marRight w:val="0"/>
      <w:marTop w:val="0"/>
      <w:marBottom w:val="0"/>
      <w:divBdr>
        <w:top w:val="none" w:sz="0" w:space="0" w:color="auto"/>
        <w:left w:val="none" w:sz="0" w:space="0" w:color="auto"/>
        <w:bottom w:val="none" w:sz="0" w:space="0" w:color="auto"/>
        <w:right w:val="none" w:sz="0" w:space="0" w:color="auto"/>
      </w:divBdr>
    </w:div>
    <w:div w:id="70660314">
      <w:bodyDiv w:val="1"/>
      <w:marLeft w:val="0"/>
      <w:marRight w:val="0"/>
      <w:marTop w:val="0"/>
      <w:marBottom w:val="0"/>
      <w:divBdr>
        <w:top w:val="none" w:sz="0" w:space="0" w:color="auto"/>
        <w:left w:val="none" w:sz="0" w:space="0" w:color="auto"/>
        <w:bottom w:val="none" w:sz="0" w:space="0" w:color="auto"/>
        <w:right w:val="none" w:sz="0" w:space="0" w:color="auto"/>
      </w:divBdr>
      <w:divsChild>
        <w:div w:id="455411629">
          <w:marLeft w:val="0"/>
          <w:marRight w:val="0"/>
          <w:marTop w:val="0"/>
          <w:marBottom w:val="0"/>
          <w:divBdr>
            <w:top w:val="none" w:sz="0" w:space="0" w:color="auto"/>
            <w:left w:val="none" w:sz="0" w:space="0" w:color="auto"/>
            <w:bottom w:val="none" w:sz="0" w:space="0" w:color="auto"/>
            <w:right w:val="none" w:sz="0" w:space="0" w:color="auto"/>
          </w:divBdr>
          <w:divsChild>
            <w:div w:id="1464229331">
              <w:marLeft w:val="0"/>
              <w:marRight w:val="0"/>
              <w:marTop w:val="0"/>
              <w:marBottom w:val="0"/>
              <w:divBdr>
                <w:top w:val="none" w:sz="0" w:space="0" w:color="auto"/>
                <w:left w:val="none" w:sz="0" w:space="0" w:color="auto"/>
                <w:bottom w:val="none" w:sz="0" w:space="0" w:color="auto"/>
                <w:right w:val="none" w:sz="0" w:space="0" w:color="auto"/>
              </w:divBdr>
              <w:divsChild>
                <w:div w:id="63367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9296">
      <w:bodyDiv w:val="1"/>
      <w:marLeft w:val="0"/>
      <w:marRight w:val="0"/>
      <w:marTop w:val="0"/>
      <w:marBottom w:val="0"/>
      <w:divBdr>
        <w:top w:val="none" w:sz="0" w:space="0" w:color="auto"/>
        <w:left w:val="none" w:sz="0" w:space="0" w:color="auto"/>
        <w:bottom w:val="none" w:sz="0" w:space="0" w:color="auto"/>
        <w:right w:val="none" w:sz="0" w:space="0" w:color="auto"/>
      </w:divBdr>
    </w:div>
    <w:div w:id="71051234">
      <w:bodyDiv w:val="1"/>
      <w:marLeft w:val="0"/>
      <w:marRight w:val="0"/>
      <w:marTop w:val="0"/>
      <w:marBottom w:val="0"/>
      <w:divBdr>
        <w:top w:val="none" w:sz="0" w:space="0" w:color="auto"/>
        <w:left w:val="none" w:sz="0" w:space="0" w:color="auto"/>
        <w:bottom w:val="none" w:sz="0" w:space="0" w:color="auto"/>
        <w:right w:val="none" w:sz="0" w:space="0" w:color="auto"/>
      </w:divBdr>
    </w:div>
    <w:div w:id="71779294">
      <w:bodyDiv w:val="1"/>
      <w:marLeft w:val="0"/>
      <w:marRight w:val="0"/>
      <w:marTop w:val="0"/>
      <w:marBottom w:val="0"/>
      <w:divBdr>
        <w:top w:val="none" w:sz="0" w:space="0" w:color="auto"/>
        <w:left w:val="none" w:sz="0" w:space="0" w:color="auto"/>
        <w:bottom w:val="none" w:sz="0" w:space="0" w:color="auto"/>
        <w:right w:val="none" w:sz="0" w:space="0" w:color="auto"/>
      </w:divBdr>
    </w:div>
    <w:div w:id="71783312">
      <w:bodyDiv w:val="1"/>
      <w:marLeft w:val="0"/>
      <w:marRight w:val="0"/>
      <w:marTop w:val="0"/>
      <w:marBottom w:val="0"/>
      <w:divBdr>
        <w:top w:val="none" w:sz="0" w:space="0" w:color="auto"/>
        <w:left w:val="none" w:sz="0" w:space="0" w:color="auto"/>
        <w:bottom w:val="none" w:sz="0" w:space="0" w:color="auto"/>
        <w:right w:val="none" w:sz="0" w:space="0" w:color="auto"/>
      </w:divBdr>
    </w:div>
    <w:div w:id="72169889">
      <w:bodyDiv w:val="1"/>
      <w:marLeft w:val="0"/>
      <w:marRight w:val="0"/>
      <w:marTop w:val="0"/>
      <w:marBottom w:val="0"/>
      <w:divBdr>
        <w:top w:val="none" w:sz="0" w:space="0" w:color="auto"/>
        <w:left w:val="none" w:sz="0" w:space="0" w:color="auto"/>
        <w:bottom w:val="none" w:sz="0" w:space="0" w:color="auto"/>
        <w:right w:val="none" w:sz="0" w:space="0" w:color="auto"/>
      </w:divBdr>
    </w:div>
    <w:div w:id="72968814">
      <w:bodyDiv w:val="1"/>
      <w:marLeft w:val="0"/>
      <w:marRight w:val="0"/>
      <w:marTop w:val="0"/>
      <w:marBottom w:val="0"/>
      <w:divBdr>
        <w:top w:val="none" w:sz="0" w:space="0" w:color="auto"/>
        <w:left w:val="none" w:sz="0" w:space="0" w:color="auto"/>
        <w:bottom w:val="none" w:sz="0" w:space="0" w:color="auto"/>
        <w:right w:val="none" w:sz="0" w:space="0" w:color="auto"/>
      </w:divBdr>
    </w:div>
    <w:div w:id="73209137">
      <w:bodyDiv w:val="1"/>
      <w:marLeft w:val="0"/>
      <w:marRight w:val="0"/>
      <w:marTop w:val="0"/>
      <w:marBottom w:val="0"/>
      <w:divBdr>
        <w:top w:val="none" w:sz="0" w:space="0" w:color="auto"/>
        <w:left w:val="none" w:sz="0" w:space="0" w:color="auto"/>
        <w:bottom w:val="none" w:sz="0" w:space="0" w:color="auto"/>
        <w:right w:val="none" w:sz="0" w:space="0" w:color="auto"/>
      </w:divBdr>
    </w:div>
    <w:div w:id="73359282">
      <w:bodyDiv w:val="1"/>
      <w:marLeft w:val="0"/>
      <w:marRight w:val="0"/>
      <w:marTop w:val="0"/>
      <w:marBottom w:val="0"/>
      <w:divBdr>
        <w:top w:val="none" w:sz="0" w:space="0" w:color="auto"/>
        <w:left w:val="none" w:sz="0" w:space="0" w:color="auto"/>
        <w:bottom w:val="none" w:sz="0" w:space="0" w:color="auto"/>
        <w:right w:val="none" w:sz="0" w:space="0" w:color="auto"/>
      </w:divBdr>
    </w:div>
    <w:div w:id="74058232">
      <w:bodyDiv w:val="1"/>
      <w:marLeft w:val="0"/>
      <w:marRight w:val="0"/>
      <w:marTop w:val="0"/>
      <w:marBottom w:val="0"/>
      <w:divBdr>
        <w:top w:val="none" w:sz="0" w:space="0" w:color="auto"/>
        <w:left w:val="none" w:sz="0" w:space="0" w:color="auto"/>
        <w:bottom w:val="none" w:sz="0" w:space="0" w:color="auto"/>
        <w:right w:val="none" w:sz="0" w:space="0" w:color="auto"/>
      </w:divBdr>
    </w:div>
    <w:div w:id="74668188">
      <w:bodyDiv w:val="1"/>
      <w:marLeft w:val="0"/>
      <w:marRight w:val="0"/>
      <w:marTop w:val="0"/>
      <w:marBottom w:val="0"/>
      <w:divBdr>
        <w:top w:val="none" w:sz="0" w:space="0" w:color="auto"/>
        <w:left w:val="none" w:sz="0" w:space="0" w:color="auto"/>
        <w:bottom w:val="none" w:sz="0" w:space="0" w:color="auto"/>
        <w:right w:val="none" w:sz="0" w:space="0" w:color="auto"/>
      </w:divBdr>
    </w:div>
    <w:div w:id="75175162">
      <w:bodyDiv w:val="1"/>
      <w:marLeft w:val="0"/>
      <w:marRight w:val="0"/>
      <w:marTop w:val="0"/>
      <w:marBottom w:val="0"/>
      <w:divBdr>
        <w:top w:val="none" w:sz="0" w:space="0" w:color="auto"/>
        <w:left w:val="none" w:sz="0" w:space="0" w:color="auto"/>
        <w:bottom w:val="none" w:sz="0" w:space="0" w:color="auto"/>
        <w:right w:val="none" w:sz="0" w:space="0" w:color="auto"/>
      </w:divBdr>
    </w:div>
    <w:div w:id="75246986">
      <w:bodyDiv w:val="1"/>
      <w:marLeft w:val="0"/>
      <w:marRight w:val="0"/>
      <w:marTop w:val="0"/>
      <w:marBottom w:val="0"/>
      <w:divBdr>
        <w:top w:val="none" w:sz="0" w:space="0" w:color="auto"/>
        <w:left w:val="none" w:sz="0" w:space="0" w:color="auto"/>
        <w:bottom w:val="none" w:sz="0" w:space="0" w:color="auto"/>
        <w:right w:val="none" w:sz="0" w:space="0" w:color="auto"/>
      </w:divBdr>
    </w:div>
    <w:div w:id="76481917">
      <w:bodyDiv w:val="1"/>
      <w:marLeft w:val="0"/>
      <w:marRight w:val="0"/>
      <w:marTop w:val="0"/>
      <w:marBottom w:val="0"/>
      <w:divBdr>
        <w:top w:val="none" w:sz="0" w:space="0" w:color="auto"/>
        <w:left w:val="none" w:sz="0" w:space="0" w:color="auto"/>
        <w:bottom w:val="none" w:sz="0" w:space="0" w:color="auto"/>
        <w:right w:val="none" w:sz="0" w:space="0" w:color="auto"/>
      </w:divBdr>
    </w:div>
    <w:div w:id="76486319">
      <w:bodyDiv w:val="1"/>
      <w:marLeft w:val="0"/>
      <w:marRight w:val="0"/>
      <w:marTop w:val="0"/>
      <w:marBottom w:val="0"/>
      <w:divBdr>
        <w:top w:val="none" w:sz="0" w:space="0" w:color="auto"/>
        <w:left w:val="none" w:sz="0" w:space="0" w:color="auto"/>
        <w:bottom w:val="none" w:sz="0" w:space="0" w:color="auto"/>
        <w:right w:val="none" w:sz="0" w:space="0" w:color="auto"/>
      </w:divBdr>
    </w:div>
    <w:div w:id="77143272">
      <w:bodyDiv w:val="1"/>
      <w:marLeft w:val="0"/>
      <w:marRight w:val="0"/>
      <w:marTop w:val="0"/>
      <w:marBottom w:val="0"/>
      <w:divBdr>
        <w:top w:val="none" w:sz="0" w:space="0" w:color="auto"/>
        <w:left w:val="none" w:sz="0" w:space="0" w:color="auto"/>
        <w:bottom w:val="none" w:sz="0" w:space="0" w:color="auto"/>
        <w:right w:val="none" w:sz="0" w:space="0" w:color="auto"/>
      </w:divBdr>
      <w:divsChild>
        <w:div w:id="1239945017">
          <w:marLeft w:val="0"/>
          <w:marRight w:val="0"/>
          <w:marTop w:val="0"/>
          <w:marBottom w:val="0"/>
          <w:divBdr>
            <w:top w:val="none" w:sz="0" w:space="0" w:color="auto"/>
            <w:left w:val="none" w:sz="0" w:space="0" w:color="auto"/>
            <w:bottom w:val="none" w:sz="0" w:space="0" w:color="auto"/>
            <w:right w:val="none" w:sz="0" w:space="0" w:color="auto"/>
          </w:divBdr>
          <w:divsChild>
            <w:div w:id="1024400828">
              <w:marLeft w:val="0"/>
              <w:marRight w:val="0"/>
              <w:marTop w:val="0"/>
              <w:marBottom w:val="0"/>
              <w:divBdr>
                <w:top w:val="none" w:sz="0" w:space="0" w:color="auto"/>
                <w:left w:val="none" w:sz="0" w:space="0" w:color="auto"/>
                <w:bottom w:val="none" w:sz="0" w:space="0" w:color="auto"/>
                <w:right w:val="none" w:sz="0" w:space="0" w:color="auto"/>
              </w:divBdr>
              <w:divsChild>
                <w:div w:id="9274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1695">
      <w:bodyDiv w:val="1"/>
      <w:marLeft w:val="0"/>
      <w:marRight w:val="0"/>
      <w:marTop w:val="0"/>
      <w:marBottom w:val="0"/>
      <w:divBdr>
        <w:top w:val="none" w:sz="0" w:space="0" w:color="auto"/>
        <w:left w:val="none" w:sz="0" w:space="0" w:color="auto"/>
        <w:bottom w:val="none" w:sz="0" w:space="0" w:color="auto"/>
        <w:right w:val="none" w:sz="0" w:space="0" w:color="auto"/>
      </w:divBdr>
      <w:divsChild>
        <w:div w:id="830943846">
          <w:marLeft w:val="0"/>
          <w:marRight w:val="0"/>
          <w:marTop w:val="0"/>
          <w:marBottom w:val="0"/>
          <w:divBdr>
            <w:top w:val="none" w:sz="0" w:space="0" w:color="auto"/>
            <w:left w:val="none" w:sz="0" w:space="0" w:color="auto"/>
            <w:bottom w:val="none" w:sz="0" w:space="0" w:color="auto"/>
            <w:right w:val="none" w:sz="0" w:space="0" w:color="auto"/>
          </w:divBdr>
          <w:divsChild>
            <w:div w:id="184097551">
              <w:marLeft w:val="0"/>
              <w:marRight w:val="0"/>
              <w:marTop w:val="0"/>
              <w:marBottom w:val="0"/>
              <w:divBdr>
                <w:top w:val="none" w:sz="0" w:space="0" w:color="auto"/>
                <w:left w:val="none" w:sz="0" w:space="0" w:color="auto"/>
                <w:bottom w:val="none" w:sz="0" w:space="0" w:color="auto"/>
                <w:right w:val="none" w:sz="0" w:space="0" w:color="auto"/>
              </w:divBdr>
              <w:divsChild>
                <w:div w:id="1211115526">
                  <w:marLeft w:val="0"/>
                  <w:marRight w:val="0"/>
                  <w:marTop w:val="0"/>
                  <w:marBottom w:val="0"/>
                  <w:divBdr>
                    <w:top w:val="none" w:sz="0" w:space="0" w:color="auto"/>
                    <w:left w:val="none" w:sz="0" w:space="0" w:color="auto"/>
                    <w:bottom w:val="none" w:sz="0" w:space="0" w:color="auto"/>
                    <w:right w:val="none" w:sz="0" w:space="0" w:color="auto"/>
                  </w:divBdr>
                  <w:divsChild>
                    <w:div w:id="161166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28956">
      <w:bodyDiv w:val="1"/>
      <w:marLeft w:val="0"/>
      <w:marRight w:val="0"/>
      <w:marTop w:val="0"/>
      <w:marBottom w:val="0"/>
      <w:divBdr>
        <w:top w:val="none" w:sz="0" w:space="0" w:color="auto"/>
        <w:left w:val="none" w:sz="0" w:space="0" w:color="auto"/>
        <w:bottom w:val="none" w:sz="0" w:space="0" w:color="auto"/>
        <w:right w:val="none" w:sz="0" w:space="0" w:color="auto"/>
      </w:divBdr>
    </w:div>
    <w:div w:id="79522613">
      <w:bodyDiv w:val="1"/>
      <w:marLeft w:val="0"/>
      <w:marRight w:val="0"/>
      <w:marTop w:val="0"/>
      <w:marBottom w:val="0"/>
      <w:divBdr>
        <w:top w:val="none" w:sz="0" w:space="0" w:color="auto"/>
        <w:left w:val="none" w:sz="0" w:space="0" w:color="auto"/>
        <w:bottom w:val="none" w:sz="0" w:space="0" w:color="auto"/>
        <w:right w:val="none" w:sz="0" w:space="0" w:color="auto"/>
      </w:divBdr>
    </w:div>
    <w:div w:id="79761446">
      <w:bodyDiv w:val="1"/>
      <w:marLeft w:val="0"/>
      <w:marRight w:val="0"/>
      <w:marTop w:val="0"/>
      <w:marBottom w:val="0"/>
      <w:divBdr>
        <w:top w:val="none" w:sz="0" w:space="0" w:color="auto"/>
        <w:left w:val="none" w:sz="0" w:space="0" w:color="auto"/>
        <w:bottom w:val="none" w:sz="0" w:space="0" w:color="auto"/>
        <w:right w:val="none" w:sz="0" w:space="0" w:color="auto"/>
      </w:divBdr>
    </w:div>
    <w:div w:id="79956914">
      <w:bodyDiv w:val="1"/>
      <w:marLeft w:val="0"/>
      <w:marRight w:val="0"/>
      <w:marTop w:val="0"/>
      <w:marBottom w:val="0"/>
      <w:divBdr>
        <w:top w:val="none" w:sz="0" w:space="0" w:color="auto"/>
        <w:left w:val="none" w:sz="0" w:space="0" w:color="auto"/>
        <w:bottom w:val="none" w:sz="0" w:space="0" w:color="auto"/>
        <w:right w:val="none" w:sz="0" w:space="0" w:color="auto"/>
      </w:divBdr>
    </w:div>
    <w:div w:id="81492363">
      <w:bodyDiv w:val="1"/>
      <w:marLeft w:val="0"/>
      <w:marRight w:val="0"/>
      <w:marTop w:val="0"/>
      <w:marBottom w:val="0"/>
      <w:divBdr>
        <w:top w:val="none" w:sz="0" w:space="0" w:color="auto"/>
        <w:left w:val="none" w:sz="0" w:space="0" w:color="auto"/>
        <w:bottom w:val="none" w:sz="0" w:space="0" w:color="auto"/>
        <w:right w:val="none" w:sz="0" w:space="0" w:color="auto"/>
      </w:divBdr>
    </w:div>
    <w:div w:id="82606096">
      <w:bodyDiv w:val="1"/>
      <w:marLeft w:val="0"/>
      <w:marRight w:val="0"/>
      <w:marTop w:val="0"/>
      <w:marBottom w:val="0"/>
      <w:divBdr>
        <w:top w:val="none" w:sz="0" w:space="0" w:color="auto"/>
        <w:left w:val="none" w:sz="0" w:space="0" w:color="auto"/>
        <w:bottom w:val="none" w:sz="0" w:space="0" w:color="auto"/>
        <w:right w:val="none" w:sz="0" w:space="0" w:color="auto"/>
      </w:divBdr>
    </w:div>
    <w:div w:id="83035606">
      <w:bodyDiv w:val="1"/>
      <w:marLeft w:val="0"/>
      <w:marRight w:val="0"/>
      <w:marTop w:val="0"/>
      <w:marBottom w:val="0"/>
      <w:divBdr>
        <w:top w:val="none" w:sz="0" w:space="0" w:color="auto"/>
        <w:left w:val="none" w:sz="0" w:space="0" w:color="auto"/>
        <w:bottom w:val="none" w:sz="0" w:space="0" w:color="auto"/>
        <w:right w:val="none" w:sz="0" w:space="0" w:color="auto"/>
      </w:divBdr>
    </w:div>
    <w:div w:id="83187704">
      <w:bodyDiv w:val="1"/>
      <w:marLeft w:val="0"/>
      <w:marRight w:val="0"/>
      <w:marTop w:val="0"/>
      <w:marBottom w:val="0"/>
      <w:divBdr>
        <w:top w:val="none" w:sz="0" w:space="0" w:color="auto"/>
        <w:left w:val="none" w:sz="0" w:space="0" w:color="auto"/>
        <w:bottom w:val="none" w:sz="0" w:space="0" w:color="auto"/>
        <w:right w:val="none" w:sz="0" w:space="0" w:color="auto"/>
      </w:divBdr>
    </w:div>
    <w:div w:id="83191815">
      <w:bodyDiv w:val="1"/>
      <w:marLeft w:val="0"/>
      <w:marRight w:val="0"/>
      <w:marTop w:val="0"/>
      <w:marBottom w:val="0"/>
      <w:divBdr>
        <w:top w:val="none" w:sz="0" w:space="0" w:color="auto"/>
        <w:left w:val="none" w:sz="0" w:space="0" w:color="auto"/>
        <w:bottom w:val="none" w:sz="0" w:space="0" w:color="auto"/>
        <w:right w:val="none" w:sz="0" w:space="0" w:color="auto"/>
      </w:divBdr>
    </w:div>
    <w:div w:id="83498338">
      <w:bodyDiv w:val="1"/>
      <w:marLeft w:val="0"/>
      <w:marRight w:val="0"/>
      <w:marTop w:val="0"/>
      <w:marBottom w:val="0"/>
      <w:divBdr>
        <w:top w:val="none" w:sz="0" w:space="0" w:color="auto"/>
        <w:left w:val="none" w:sz="0" w:space="0" w:color="auto"/>
        <w:bottom w:val="none" w:sz="0" w:space="0" w:color="auto"/>
        <w:right w:val="none" w:sz="0" w:space="0" w:color="auto"/>
      </w:divBdr>
      <w:divsChild>
        <w:div w:id="195001693">
          <w:marLeft w:val="0"/>
          <w:marRight w:val="0"/>
          <w:marTop w:val="0"/>
          <w:marBottom w:val="0"/>
          <w:divBdr>
            <w:top w:val="none" w:sz="0" w:space="0" w:color="auto"/>
            <w:left w:val="none" w:sz="0" w:space="0" w:color="auto"/>
            <w:bottom w:val="none" w:sz="0" w:space="0" w:color="auto"/>
            <w:right w:val="none" w:sz="0" w:space="0" w:color="auto"/>
          </w:divBdr>
          <w:divsChild>
            <w:div w:id="152180514">
              <w:marLeft w:val="0"/>
              <w:marRight w:val="0"/>
              <w:marTop w:val="0"/>
              <w:marBottom w:val="0"/>
              <w:divBdr>
                <w:top w:val="none" w:sz="0" w:space="0" w:color="auto"/>
                <w:left w:val="none" w:sz="0" w:space="0" w:color="auto"/>
                <w:bottom w:val="none" w:sz="0" w:space="0" w:color="auto"/>
                <w:right w:val="none" w:sz="0" w:space="0" w:color="auto"/>
              </w:divBdr>
              <w:divsChild>
                <w:div w:id="520779057">
                  <w:marLeft w:val="0"/>
                  <w:marRight w:val="0"/>
                  <w:marTop w:val="0"/>
                  <w:marBottom w:val="0"/>
                  <w:divBdr>
                    <w:top w:val="none" w:sz="0" w:space="0" w:color="auto"/>
                    <w:left w:val="none" w:sz="0" w:space="0" w:color="auto"/>
                    <w:bottom w:val="none" w:sz="0" w:space="0" w:color="auto"/>
                    <w:right w:val="none" w:sz="0" w:space="0" w:color="auto"/>
                  </w:divBdr>
                  <w:divsChild>
                    <w:div w:id="15435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10962">
      <w:bodyDiv w:val="1"/>
      <w:marLeft w:val="0"/>
      <w:marRight w:val="0"/>
      <w:marTop w:val="0"/>
      <w:marBottom w:val="0"/>
      <w:divBdr>
        <w:top w:val="none" w:sz="0" w:space="0" w:color="auto"/>
        <w:left w:val="none" w:sz="0" w:space="0" w:color="auto"/>
        <w:bottom w:val="none" w:sz="0" w:space="0" w:color="auto"/>
        <w:right w:val="none" w:sz="0" w:space="0" w:color="auto"/>
      </w:divBdr>
      <w:divsChild>
        <w:div w:id="1430733532">
          <w:marLeft w:val="0"/>
          <w:marRight w:val="0"/>
          <w:marTop w:val="0"/>
          <w:marBottom w:val="0"/>
          <w:divBdr>
            <w:top w:val="none" w:sz="0" w:space="0" w:color="auto"/>
            <w:left w:val="none" w:sz="0" w:space="0" w:color="auto"/>
            <w:bottom w:val="none" w:sz="0" w:space="0" w:color="auto"/>
            <w:right w:val="none" w:sz="0" w:space="0" w:color="auto"/>
          </w:divBdr>
          <w:divsChild>
            <w:div w:id="816068494">
              <w:marLeft w:val="0"/>
              <w:marRight w:val="0"/>
              <w:marTop w:val="0"/>
              <w:marBottom w:val="0"/>
              <w:divBdr>
                <w:top w:val="none" w:sz="0" w:space="0" w:color="auto"/>
                <w:left w:val="none" w:sz="0" w:space="0" w:color="auto"/>
                <w:bottom w:val="none" w:sz="0" w:space="0" w:color="auto"/>
                <w:right w:val="none" w:sz="0" w:space="0" w:color="auto"/>
              </w:divBdr>
              <w:divsChild>
                <w:div w:id="1154641405">
                  <w:marLeft w:val="0"/>
                  <w:marRight w:val="0"/>
                  <w:marTop w:val="0"/>
                  <w:marBottom w:val="0"/>
                  <w:divBdr>
                    <w:top w:val="none" w:sz="0" w:space="0" w:color="auto"/>
                    <w:left w:val="none" w:sz="0" w:space="0" w:color="auto"/>
                    <w:bottom w:val="none" w:sz="0" w:space="0" w:color="auto"/>
                    <w:right w:val="none" w:sz="0" w:space="0" w:color="auto"/>
                  </w:divBdr>
                  <w:divsChild>
                    <w:div w:id="56395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5417">
      <w:bodyDiv w:val="1"/>
      <w:marLeft w:val="0"/>
      <w:marRight w:val="0"/>
      <w:marTop w:val="0"/>
      <w:marBottom w:val="0"/>
      <w:divBdr>
        <w:top w:val="none" w:sz="0" w:space="0" w:color="auto"/>
        <w:left w:val="none" w:sz="0" w:space="0" w:color="auto"/>
        <w:bottom w:val="none" w:sz="0" w:space="0" w:color="auto"/>
        <w:right w:val="none" w:sz="0" w:space="0" w:color="auto"/>
      </w:divBdr>
    </w:div>
    <w:div w:id="84889398">
      <w:bodyDiv w:val="1"/>
      <w:marLeft w:val="0"/>
      <w:marRight w:val="0"/>
      <w:marTop w:val="0"/>
      <w:marBottom w:val="0"/>
      <w:divBdr>
        <w:top w:val="none" w:sz="0" w:space="0" w:color="auto"/>
        <w:left w:val="none" w:sz="0" w:space="0" w:color="auto"/>
        <w:bottom w:val="none" w:sz="0" w:space="0" w:color="auto"/>
        <w:right w:val="none" w:sz="0" w:space="0" w:color="auto"/>
      </w:divBdr>
      <w:divsChild>
        <w:div w:id="1908031726">
          <w:marLeft w:val="0"/>
          <w:marRight w:val="0"/>
          <w:marTop w:val="0"/>
          <w:marBottom w:val="0"/>
          <w:divBdr>
            <w:top w:val="none" w:sz="0" w:space="0" w:color="auto"/>
            <w:left w:val="none" w:sz="0" w:space="0" w:color="auto"/>
            <w:bottom w:val="none" w:sz="0" w:space="0" w:color="auto"/>
            <w:right w:val="none" w:sz="0" w:space="0" w:color="auto"/>
          </w:divBdr>
          <w:divsChild>
            <w:div w:id="2055887734">
              <w:marLeft w:val="0"/>
              <w:marRight w:val="0"/>
              <w:marTop w:val="0"/>
              <w:marBottom w:val="0"/>
              <w:divBdr>
                <w:top w:val="none" w:sz="0" w:space="0" w:color="auto"/>
                <w:left w:val="none" w:sz="0" w:space="0" w:color="auto"/>
                <w:bottom w:val="none" w:sz="0" w:space="0" w:color="auto"/>
                <w:right w:val="none" w:sz="0" w:space="0" w:color="auto"/>
              </w:divBdr>
              <w:divsChild>
                <w:div w:id="1034574103">
                  <w:marLeft w:val="0"/>
                  <w:marRight w:val="0"/>
                  <w:marTop w:val="0"/>
                  <w:marBottom w:val="0"/>
                  <w:divBdr>
                    <w:top w:val="none" w:sz="0" w:space="0" w:color="auto"/>
                    <w:left w:val="none" w:sz="0" w:space="0" w:color="auto"/>
                    <w:bottom w:val="none" w:sz="0" w:space="0" w:color="auto"/>
                    <w:right w:val="none" w:sz="0" w:space="0" w:color="auto"/>
                  </w:divBdr>
                  <w:divsChild>
                    <w:div w:id="5590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31929">
      <w:bodyDiv w:val="1"/>
      <w:marLeft w:val="0"/>
      <w:marRight w:val="0"/>
      <w:marTop w:val="0"/>
      <w:marBottom w:val="0"/>
      <w:divBdr>
        <w:top w:val="none" w:sz="0" w:space="0" w:color="auto"/>
        <w:left w:val="none" w:sz="0" w:space="0" w:color="auto"/>
        <w:bottom w:val="none" w:sz="0" w:space="0" w:color="auto"/>
        <w:right w:val="none" w:sz="0" w:space="0" w:color="auto"/>
      </w:divBdr>
    </w:div>
    <w:div w:id="86275956">
      <w:bodyDiv w:val="1"/>
      <w:marLeft w:val="0"/>
      <w:marRight w:val="0"/>
      <w:marTop w:val="0"/>
      <w:marBottom w:val="0"/>
      <w:divBdr>
        <w:top w:val="none" w:sz="0" w:space="0" w:color="auto"/>
        <w:left w:val="none" w:sz="0" w:space="0" w:color="auto"/>
        <w:bottom w:val="none" w:sz="0" w:space="0" w:color="auto"/>
        <w:right w:val="none" w:sz="0" w:space="0" w:color="auto"/>
      </w:divBdr>
    </w:div>
    <w:div w:id="86460377">
      <w:bodyDiv w:val="1"/>
      <w:marLeft w:val="0"/>
      <w:marRight w:val="0"/>
      <w:marTop w:val="0"/>
      <w:marBottom w:val="0"/>
      <w:divBdr>
        <w:top w:val="none" w:sz="0" w:space="0" w:color="auto"/>
        <w:left w:val="none" w:sz="0" w:space="0" w:color="auto"/>
        <w:bottom w:val="none" w:sz="0" w:space="0" w:color="auto"/>
        <w:right w:val="none" w:sz="0" w:space="0" w:color="auto"/>
      </w:divBdr>
    </w:div>
    <w:div w:id="86661976">
      <w:bodyDiv w:val="1"/>
      <w:marLeft w:val="0"/>
      <w:marRight w:val="0"/>
      <w:marTop w:val="0"/>
      <w:marBottom w:val="0"/>
      <w:divBdr>
        <w:top w:val="none" w:sz="0" w:space="0" w:color="auto"/>
        <w:left w:val="none" w:sz="0" w:space="0" w:color="auto"/>
        <w:bottom w:val="none" w:sz="0" w:space="0" w:color="auto"/>
        <w:right w:val="none" w:sz="0" w:space="0" w:color="auto"/>
      </w:divBdr>
      <w:divsChild>
        <w:div w:id="955411413">
          <w:marLeft w:val="0"/>
          <w:marRight w:val="0"/>
          <w:marTop w:val="0"/>
          <w:marBottom w:val="0"/>
          <w:divBdr>
            <w:top w:val="none" w:sz="0" w:space="0" w:color="auto"/>
            <w:left w:val="none" w:sz="0" w:space="0" w:color="auto"/>
            <w:bottom w:val="none" w:sz="0" w:space="0" w:color="auto"/>
            <w:right w:val="none" w:sz="0" w:space="0" w:color="auto"/>
          </w:divBdr>
          <w:divsChild>
            <w:div w:id="1010183513">
              <w:marLeft w:val="0"/>
              <w:marRight w:val="0"/>
              <w:marTop w:val="0"/>
              <w:marBottom w:val="0"/>
              <w:divBdr>
                <w:top w:val="none" w:sz="0" w:space="0" w:color="auto"/>
                <w:left w:val="none" w:sz="0" w:space="0" w:color="auto"/>
                <w:bottom w:val="none" w:sz="0" w:space="0" w:color="auto"/>
                <w:right w:val="none" w:sz="0" w:space="0" w:color="auto"/>
              </w:divBdr>
              <w:divsChild>
                <w:div w:id="761923880">
                  <w:marLeft w:val="0"/>
                  <w:marRight w:val="0"/>
                  <w:marTop w:val="0"/>
                  <w:marBottom w:val="0"/>
                  <w:divBdr>
                    <w:top w:val="none" w:sz="0" w:space="0" w:color="auto"/>
                    <w:left w:val="none" w:sz="0" w:space="0" w:color="auto"/>
                    <w:bottom w:val="none" w:sz="0" w:space="0" w:color="auto"/>
                    <w:right w:val="none" w:sz="0" w:space="0" w:color="auto"/>
                  </w:divBdr>
                  <w:divsChild>
                    <w:div w:id="88410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63805">
      <w:bodyDiv w:val="1"/>
      <w:marLeft w:val="0"/>
      <w:marRight w:val="0"/>
      <w:marTop w:val="0"/>
      <w:marBottom w:val="0"/>
      <w:divBdr>
        <w:top w:val="none" w:sz="0" w:space="0" w:color="auto"/>
        <w:left w:val="none" w:sz="0" w:space="0" w:color="auto"/>
        <w:bottom w:val="none" w:sz="0" w:space="0" w:color="auto"/>
        <w:right w:val="none" w:sz="0" w:space="0" w:color="auto"/>
      </w:divBdr>
    </w:div>
    <w:div w:id="87700400">
      <w:bodyDiv w:val="1"/>
      <w:marLeft w:val="0"/>
      <w:marRight w:val="0"/>
      <w:marTop w:val="0"/>
      <w:marBottom w:val="0"/>
      <w:divBdr>
        <w:top w:val="none" w:sz="0" w:space="0" w:color="auto"/>
        <w:left w:val="none" w:sz="0" w:space="0" w:color="auto"/>
        <w:bottom w:val="none" w:sz="0" w:space="0" w:color="auto"/>
        <w:right w:val="none" w:sz="0" w:space="0" w:color="auto"/>
      </w:divBdr>
    </w:div>
    <w:div w:id="88042761">
      <w:bodyDiv w:val="1"/>
      <w:marLeft w:val="0"/>
      <w:marRight w:val="0"/>
      <w:marTop w:val="0"/>
      <w:marBottom w:val="0"/>
      <w:divBdr>
        <w:top w:val="none" w:sz="0" w:space="0" w:color="auto"/>
        <w:left w:val="none" w:sz="0" w:space="0" w:color="auto"/>
        <w:bottom w:val="none" w:sz="0" w:space="0" w:color="auto"/>
        <w:right w:val="none" w:sz="0" w:space="0" w:color="auto"/>
      </w:divBdr>
    </w:div>
    <w:div w:id="88355197">
      <w:bodyDiv w:val="1"/>
      <w:marLeft w:val="0"/>
      <w:marRight w:val="0"/>
      <w:marTop w:val="0"/>
      <w:marBottom w:val="0"/>
      <w:divBdr>
        <w:top w:val="none" w:sz="0" w:space="0" w:color="auto"/>
        <w:left w:val="none" w:sz="0" w:space="0" w:color="auto"/>
        <w:bottom w:val="none" w:sz="0" w:space="0" w:color="auto"/>
        <w:right w:val="none" w:sz="0" w:space="0" w:color="auto"/>
      </w:divBdr>
    </w:div>
    <w:div w:id="88817989">
      <w:bodyDiv w:val="1"/>
      <w:marLeft w:val="0"/>
      <w:marRight w:val="0"/>
      <w:marTop w:val="0"/>
      <w:marBottom w:val="0"/>
      <w:divBdr>
        <w:top w:val="none" w:sz="0" w:space="0" w:color="auto"/>
        <w:left w:val="none" w:sz="0" w:space="0" w:color="auto"/>
        <w:bottom w:val="none" w:sz="0" w:space="0" w:color="auto"/>
        <w:right w:val="none" w:sz="0" w:space="0" w:color="auto"/>
      </w:divBdr>
    </w:div>
    <w:div w:id="89350445">
      <w:bodyDiv w:val="1"/>
      <w:marLeft w:val="0"/>
      <w:marRight w:val="0"/>
      <w:marTop w:val="0"/>
      <w:marBottom w:val="0"/>
      <w:divBdr>
        <w:top w:val="none" w:sz="0" w:space="0" w:color="auto"/>
        <w:left w:val="none" w:sz="0" w:space="0" w:color="auto"/>
        <w:bottom w:val="none" w:sz="0" w:space="0" w:color="auto"/>
        <w:right w:val="none" w:sz="0" w:space="0" w:color="auto"/>
      </w:divBdr>
    </w:div>
    <w:div w:id="89815262">
      <w:bodyDiv w:val="1"/>
      <w:marLeft w:val="0"/>
      <w:marRight w:val="0"/>
      <w:marTop w:val="0"/>
      <w:marBottom w:val="0"/>
      <w:divBdr>
        <w:top w:val="none" w:sz="0" w:space="0" w:color="auto"/>
        <w:left w:val="none" w:sz="0" w:space="0" w:color="auto"/>
        <w:bottom w:val="none" w:sz="0" w:space="0" w:color="auto"/>
        <w:right w:val="none" w:sz="0" w:space="0" w:color="auto"/>
      </w:divBdr>
    </w:div>
    <w:div w:id="90128755">
      <w:bodyDiv w:val="1"/>
      <w:marLeft w:val="0"/>
      <w:marRight w:val="0"/>
      <w:marTop w:val="0"/>
      <w:marBottom w:val="0"/>
      <w:divBdr>
        <w:top w:val="none" w:sz="0" w:space="0" w:color="auto"/>
        <w:left w:val="none" w:sz="0" w:space="0" w:color="auto"/>
        <w:bottom w:val="none" w:sz="0" w:space="0" w:color="auto"/>
        <w:right w:val="none" w:sz="0" w:space="0" w:color="auto"/>
      </w:divBdr>
      <w:divsChild>
        <w:div w:id="1022898963">
          <w:marLeft w:val="0"/>
          <w:marRight w:val="0"/>
          <w:marTop w:val="0"/>
          <w:marBottom w:val="0"/>
          <w:divBdr>
            <w:top w:val="none" w:sz="0" w:space="0" w:color="auto"/>
            <w:left w:val="none" w:sz="0" w:space="0" w:color="auto"/>
            <w:bottom w:val="none" w:sz="0" w:space="0" w:color="auto"/>
            <w:right w:val="none" w:sz="0" w:space="0" w:color="auto"/>
          </w:divBdr>
          <w:divsChild>
            <w:div w:id="1516846202">
              <w:marLeft w:val="0"/>
              <w:marRight w:val="0"/>
              <w:marTop w:val="0"/>
              <w:marBottom w:val="0"/>
              <w:divBdr>
                <w:top w:val="none" w:sz="0" w:space="0" w:color="auto"/>
                <w:left w:val="none" w:sz="0" w:space="0" w:color="auto"/>
                <w:bottom w:val="none" w:sz="0" w:space="0" w:color="auto"/>
                <w:right w:val="none" w:sz="0" w:space="0" w:color="auto"/>
              </w:divBdr>
              <w:divsChild>
                <w:div w:id="1647203042">
                  <w:marLeft w:val="0"/>
                  <w:marRight w:val="0"/>
                  <w:marTop w:val="0"/>
                  <w:marBottom w:val="0"/>
                  <w:divBdr>
                    <w:top w:val="none" w:sz="0" w:space="0" w:color="auto"/>
                    <w:left w:val="none" w:sz="0" w:space="0" w:color="auto"/>
                    <w:bottom w:val="none" w:sz="0" w:space="0" w:color="auto"/>
                    <w:right w:val="none" w:sz="0" w:space="0" w:color="auto"/>
                  </w:divBdr>
                  <w:divsChild>
                    <w:div w:id="32108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18755">
      <w:bodyDiv w:val="1"/>
      <w:marLeft w:val="0"/>
      <w:marRight w:val="0"/>
      <w:marTop w:val="0"/>
      <w:marBottom w:val="0"/>
      <w:divBdr>
        <w:top w:val="none" w:sz="0" w:space="0" w:color="auto"/>
        <w:left w:val="none" w:sz="0" w:space="0" w:color="auto"/>
        <w:bottom w:val="none" w:sz="0" w:space="0" w:color="auto"/>
        <w:right w:val="none" w:sz="0" w:space="0" w:color="auto"/>
      </w:divBdr>
      <w:divsChild>
        <w:div w:id="1384523695">
          <w:marLeft w:val="0"/>
          <w:marRight w:val="0"/>
          <w:marTop w:val="0"/>
          <w:marBottom w:val="0"/>
          <w:divBdr>
            <w:top w:val="none" w:sz="0" w:space="0" w:color="auto"/>
            <w:left w:val="none" w:sz="0" w:space="0" w:color="auto"/>
            <w:bottom w:val="none" w:sz="0" w:space="0" w:color="auto"/>
            <w:right w:val="none" w:sz="0" w:space="0" w:color="auto"/>
          </w:divBdr>
          <w:divsChild>
            <w:div w:id="238095797">
              <w:marLeft w:val="0"/>
              <w:marRight w:val="0"/>
              <w:marTop w:val="0"/>
              <w:marBottom w:val="0"/>
              <w:divBdr>
                <w:top w:val="none" w:sz="0" w:space="0" w:color="auto"/>
                <w:left w:val="none" w:sz="0" w:space="0" w:color="auto"/>
                <w:bottom w:val="none" w:sz="0" w:space="0" w:color="auto"/>
                <w:right w:val="none" w:sz="0" w:space="0" w:color="auto"/>
              </w:divBdr>
              <w:divsChild>
                <w:div w:id="49423606">
                  <w:marLeft w:val="0"/>
                  <w:marRight w:val="0"/>
                  <w:marTop w:val="0"/>
                  <w:marBottom w:val="0"/>
                  <w:divBdr>
                    <w:top w:val="none" w:sz="0" w:space="0" w:color="auto"/>
                    <w:left w:val="none" w:sz="0" w:space="0" w:color="auto"/>
                    <w:bottom w:val="none" w:sz="0" w:space="0" w:color="auto"/>
                    <w:right w:val="none" w:sz="0" w:space="0" w:color="auto"/>
                  </w:divBdr>
                  <w:divsChild>
                    <w:div w:id="191627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6475">
      <w:bodyDiv w:val="1"/>
      <w:marLeft w:val="0"/>
      <w:marRight w:val="0"/>
      <w:marTop w:val="0"/>
      <w:marBottom w:val="0"/>
      <w:divBdr>
        <w:top w:val="none" w:sz="0" w:space="0" w:color="auto"/>
        <w:left w:val="none" w:sz="0" w:space="0" w:color="auto"/>
        <w:bottom w:val="none" w:sz="0" w:space="0" w:color="auto"/>
        <w:right w:val="none" w:sz="0" w:space="0" w:color="auto"/>
      </w:divBdr>
      <w:divsChild>
        <w:div w:id="2123916979">
          <w:marLeft w:val="0"/>
          <w:marRight w:val="0"/>
          <w:marTop w:val="0"/>
          <w:marBottom w:val="0"/>
          <w:divBdr>
            <w:top w:val="none" w:sz="0" w:space="0" w:color="auto"/>
            <w:left w:val="none" w:sz="0" w:space="0" w:color="auto"/>
            <w:bottom w:val="none" w:sz="0" w:space="0" w:color="auto"/>
            <w:right w:val="none" w:sz="0" w:space="0" w:color="auto"/>
          </w:divBdr>
          <w:divsChild>
            <w:div w:id="74474122">
              <w:marLeft w:val="0"/>
              <w:marRight w:val="0"/>
              <w:marTop w:val="0"/>
              <w:marBottom w:val="0"/>
              <w:divBdr>
                <w:top w:val="none" w:sz="0" w:space="0" w:color="auto"/>
                <w:left w:val="none" w:sz="0" w:space="0" w:color="auto"/>
                <w:bottom w:val="none" w:sz="0" w:space="0" w:color="auto"/>
                <w:right w:val="none" w:sz="0" w:space="0" w:color="auto"/>
              </w:divBdr>
              <w:divsChild>
                <w:div w:id="5952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34998">
      <w:bodyDiv w:val="1"/>
      <w:marLeft w:val="0"/>
      <w:marRight w:val="0"/>
      <w:marTop w:val="0"/>
      <w:marBottom w:val="0"/>
      <w:divBdr>
        <w:top w:val="none" w:sz="0" w:space="0" w:color="auto"/>
        <w:left w:val="none" w:sz="0" w:space="0" w:color="auto"/>
        <w:bottom w:val="none" w:sz="0" w:space="0" w:color="auto"/>
        <w:right w:val="none" w:sz="0" w:space="0" w:color="auto"/>
      </w:divBdr>
    </w:div>
    <w:div w:id="92675241">
      <w:bodyDiv w:val="1"/>
      <w:marLeft w:val="0"/>
      <w:marRight w:val="0"/>
      <w:marTop w:val="0"/>
      <w:marBottom w:val="0"/>
      <w:divBdr>
        <w:top w:val="none" w:sz="0" w:space="0" w:color="auto"/>
        <w:left w:val="none" w:sz="0" w:space="0" w:color="auto"/>
        <w:bottom w:val="none" w:sz="0" w:space="0" w:color="auto"/>
        <w:right w:val="none" w:sz="0" w:space="0" w:color="auto"/>
      </w:divBdr>
    </w:div>
    <w:div w:id="93668134">
      <w:bodyDiv w:val="1"/>
      <w:marLeft w:val="0"/>
      <w:marRight w:val="0"/>
      <w:marTop w:val="0"/>
      <w:marBottom w:val="0"/>
      <w:divBdr>
        <w:top w:val="none" w:sz="0" w:space="0" w:color="auto"/>
        <w:left w:val="none" w:sz="0" w:space="0" w:color="auto"/>
        <w:bottom w:val="none" w:sz="0" w:space="0" w:color="auto"/>
        <w:right w:val="none" w:sz="0" w:space="0" w:color="auto"/>
      </w:divBdr>
      <w:divsChild>
        <w:div w:id="1327199754">
          <w:marLeft w:val="0"/>
          <w:marRight w:val="0"/>
          <w:marTop w:val="0"/>
          <w:marBottom w:val="0"/>
          <w:divBdr>
            <w:top w:val="none" w:sz="0" w:space="0" w:color="auto"/>
            <w:left w:val="none" w:sz="0" w:space="0" w:color="auto"/>
            <w:bottom w:val="none" w:sz="0" w:space="0" w:color="auto"/>
            <w:right w:val="none" w:sz="0" w:space="0" w:color="auto"/>
          </w:divBdr>
          <w:divsChild>
            <w:div w:id="859782490">
              <w:marLeft w:val="0"/>
              <w:marRight w:val="0"/>
              <w:marTop w:val="0"/>
              <w:marBottom w:val="0"/>
              <w:divBdr>
                <w:top w:val="none" w:sz="0" w:space="0" w:color="auto"/>
                <w:left w:val="none" w:sz="0" w:space="0" w:color="auto"/>
                <w:bottom w:val="none" w:sz="0" w:space="0" w:color="auto"/>
                <w:right w:val="none" w:sz="0" w:space="0" w:color="auto"/>
              </w:divBdr>
              <w:divsChild>
                <w:div w:id="1839610392">
                  <w:marLeft w:val="0"/>
                  <w:marRight w:val="0"/>
                  <w:marTop w:val="0"/>
                  <w:marBottom w:val="0"/>
                  <w:divBdr>
                    <w:top w:val="none" w:sz="0" w:space="0" w:color="auto"/>
                    <w:left w:val="none" w:sz="0" w:space="0" w:color="auto"/>
                    <w:bottom w:val="none" w:sz="0" w:space="0" w:color="auto"/>
                    <w:right w:val="none" w:sz="0" w:space="0" w:color="auto"/>
                  </w:divBdr>
                  <w:divsChild>
                    <w:div w:id="4144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33971">
      <w:bodyDiv w:val="1"/>
      <w:marLeft w:val="0"/>
      <w:marRight w:val="0"/>
      <w:marTop w:val="0"/>
      <w:marBottom w:val="0"/>
      <w:divBdr>
        <w:top w:val="none" w:sz="0" w:space="0" w:color="auto"/>
        <w:left w:val="none" w:sz="0" w:space="0" w:color="auto"/>
        <w:bottom w:val="none" w:sz="0" w:space="0" w:color="auto"/>
        <w:right w:val="none" w:sz="0" w:space="0" w:color="auto"/>
      </w:divBdr>
    </w:div>
    <w:div w:id="94712085">
      <w:bodyDiv w:val="1"/>
      <w:marLeft w:val="0"/>
      <w:marRight w:val="0"/>
      <w:marTop w:val="0"/>
      <w:marBottom w:val="0"/>
      <w:divBdr>
        <w:top w:val="none" w:sz="0" w:space="0" w:color="auto"/>
        <w:left w:val="none" w:sz="0" w:space="0" w:color="auto"/>
        <w:bottom w:val="none" w:sz="0" w:space="0" w:color="auto"/>
        <w:right w:val="none" w:sz="0" w:space="0" w:color="auto"/>
      </w:divBdr>
      <w:divsChild>
        <w:div w:id="564535805">
          <w:marLeft w:val="0"/>
          <w:marRight w:val="0"/>
          <w:marTop w:val="0"/>
          <w:marBottom w:val="0"/>
          <w:divBdr>
            <w:top w:val="none" w:sz="0" w:space="0" w:color="auto"/>
            <w:left w:val="none" w:sz="0" w:space="0" w:color="auto"/>
            <w:bottom w:val="none" w:sz="0" w:space="0" w:color="auto"/>
            <w:right w:val="none" w:sz="0" w:space="0" w:color="auto"/>
          </w:divBdr>
          <w:divsChild>
            <w:div w:id="1510749892">
              <w:marLeft w:val="0"/>
              <w:marRight w:val="0"/>
              <w:marTop w:val="0"/>
              <w:marBottom w:val="0"/>
              <w:divBdr>
                <w:top w:val="none" w:sz="0" w:space="0" w:color="auto"/>
                <w:left w:val="none" w:sz="0" w:space="0" w:color="auto"/>
                <w:bottom w:val="none" w:sz="0" w:space="0" w:color="auto"/>
                <w:right w:val="none" w:sz="0" w:space="0" w:color="auto"/>
              </w:divBdr>
              <w:divsChild>
                <w:div w:id="974140375">
                  <w:marLeft w:val="0"/>
                  <w:marRight w:val="0"/>
                  <w:marTop w:val="0"/>
                  <w:marBottom w:val="0"/>
                  <w:divBdr>
                    <w:top w:val="none" w:sz="0" w:space="0" w:color="auto"/>
                    <w:left w:val="none" w:sz="0" w:space="0" w:color="auto"/>
                    <w:bottom w:val="none" w:sz="0" w:space="0" w:color="auto"/>
                    <w:right w:val="none" w:sz="0" w:space="0" w:color="auto"/>
                  </w:divBdr>
                  <w:divsChild>
                    <w:div w:id="8462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03918">
      <w:bodyDiv w:val="1"/>
      <w:marLeft w:val="0"/>
      <w:marRight w:val="0"/>
      <w:marTop w:val="0"/>
      <w:marBottom w:val="0"/>
      <w:divBdr>
        <w:top w:val="none" w:sz="0" w:space="0" w:color="auto"/>
        <w:left w:val="none" w:sz="0" w:space="0" w:color="auto"/>
        <w:bottom w:val="none" w:sz="0" w:space="0" w:color="auto"/>
        <w:right w:val="none" w:sz="0" w:space="0" w:color="auto"/>
      </w:divBdr>
    </w:div>
    <w:div w:id="94985143">
      <w:bodyDiv w:val="1"/>
      <w:marLeft w:val="0"/>
      <w:marRight w:val="0"/>
      <w:marTop w:val="0"/>
      <w:marBottom w:val="0"/>
      <w:divBdr>
        <w:top w:val="none" w:sz="0" w:space="0" w:color="auto"/>
        <w:left w:val="none" w:sz="0" w:space="0" w:color="auto"/>
        <w:bottom w:val="none" w:sz="0" w:space="0" w:color="auto"/>
        <w:right w:val="none" w:sz="0" w:space="0" w:color="auto"/>
      </w:divBdr>
      <w:divsChild>
        <w:div w:id="1161695914">
          <w:marLeft w:val="0"/>
          <w:marRight w:val="0"/>
          <w:marTop w:val="0"/>
          <w:marBottom w:val="0"/>
          <w:divBdr>
            <w:top w:val="none" w:sz="0" w:space="0" w:color="auto"/>
            <w:left w:val="none" w:sz="0" w:space="0" w:color="auto"/>
            <w:bottom w:val="none" w:sz="0" w:space="0" w:color="auto"/>
            <w:right w:val="none" w:sz="0" w:space="0" w:color="auto"/>
          </w:divBdr>
          <w:divsChild>
            <w:div w:id="1985624190">
              <w:marLeft w:val="0"/>
              <w:marRight w:val="0"/>
              <w:marTop w:val="0"/>
              <w:marBottom w:val="0"/>
              <w:divBdr>
                <w:top w:val="none" w:sz="0" w:space="0" w:color="auto"/>
                <w:left w:val="none" w:sz="0" w:space="0" w:color="auto"/>
                <w:bottom w:val="none" w:sz="0" w:space="0" w:color="auto"/>
                <w:right w:val="none" w:sz="0" w:space="0" w:color="auto"/>
              </w:divBdr>
              <w:divsChild>
                <w:div w:id="1050836937">
                  <w:marLeft w:val="0"/>
                  <w:marRight w:val="0"/>
                  <w:marTop w:val="0"/>
                  <w:marBottom w:val="0"/>
                  <w:divBdr>
                    <w:top w:val="none" w:sz="0" w:space="0" w:color="auto"/>
                    <w:left w:val="none" w:sz="0" w:space="0" w:color="auto"/>
                    <w:bottom w:val="none" w:sz="0" w:space="0" w:color="auto"/>
                    <w:right w:val="none" w:sz="0" w:space="0" w:color="auto"/>
                  </w:divBdr>
                  <w:divsChild>
                    <w:div w:id="3529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30027">
      <w:bodyDiv w:val="1"/>
      <w:marLeft w:val="0"/>
      <w:marRight w:val="0"/>
      <w:marTop w:val="0"/>
      <w:marBottom w:val="0"/>
      <w:divBdr>
        <w:top w:val="none" w:sz="0" w:space="0" w:color="auto"/>
        <w:left w:val="none" w:sz="0" w:space="0" w:color="auto"/>
        <w:bottom w:val="none" w:sz="0" w:space="0" w:color="auto"/>
        <w:right w:val="none" w:sz="0" w:space="0" w:color="auto"/>
      </w:divBdr>
    </w:div>
    <w:div w:id="95715022">
      <w:bodyDiv w:val="1"/>
      <w:marLeft w:val="0"/>
      <w:marRight w:val="0"/>
      <w:marTop w:val="0"/>
      <w:marBottom w:val="0"/>
      <w:divBdr>
        <w:top w:val="none" w:sz="0" w:space="0" w:color="auto"/>
        <w:left w:val="none" w:sz="0" w:space="0" w:color="auto"/>
        <w:bottom w:val="none" w:sz="0" w:space="0" w:color="auto"/>
        <w:right w:val="none" w:sz="0" w:space="0" w:color="auto"/>
      </w:divBdr>
    </w:div>
    <w:div w:id="96100723">
      <w:bodyDiv w:val="1"/>
      <w:marLeft w:val="0"/>
      <w:marRight w:val="0"/>
      <w:marTop w:val="0"/>
      <w:marBottom w:val="0"/>
      <w:divBdr>
        <w:top w:val="none" w:sz="0" w:space="0" w:color="auto"/>
        <w:left w:val="none" w:sz="0" w:space="0" w:color="auto"/>
        <w:bottom w:val="none" w:sz="0" w:space="0" w:color="auto"/>
        <w:right w:val="none" w:sz="0" w:space="0" w:color="auto"/>
      </w:divBdr>
    </w:div>
    <w:div w:id="96949096">
      <w:bodyDiv w:val="1"/>
      <w:marLeft w:val="0"/>
      <w:marRight w:val="0"/>
      <w:marTop w:val="0"/>
      <w:marBottom w:val="0"/>
      <w:divBdr>
        <w:top w:val="none" w:sz="0" w:space="0" w:color="auto"/>
        <w:left w:val="none" w:sz="0" w:space="0" w:color="auto"/>
        <w:bottom w:val="none" w:sz="0" w:space="0" w:color="auto"/>
        <w:right w:val="none" w:sz="0" w:space="0" w:color="auto"/>
      </w:divBdr>
    </w:div>
    <w:div w:id="97022002">
      <w:bodyDiv w:val="1"/>
      <w:marLeft w:val="0"/>
      <w:marRight w:val="0"/>
      <w:marTop w:val="0"/>
      <w:marBottom w:val="0"/>
      <w:divBdr>
        <w:top w:val="none" w:sz="0" w:space="0" w:color="auto"/>
        <w:left w:val="none" w:sz="0" w:space="0" w:color="auto"/>
        <w:bottom w:val="none" w:sz="0" w:space="0" w:color="auto"/>
        <w:right w:val="none" w:sz="0" w:space="0" w:color="auto"/>
      </w:divBdr>
      <w:divsChild>
        <w:div w:id="1889797124">
          <w:marLeft w:val="0"/>
          <w:marRight w:val="0"/>
          <w:marTop w:val="0"/>
          <w:marBottom w:val="0"/>
          <w:divBdr>
            <w:top w:val="none" w:sz="0" w:space="0" w:color="auto"/>
            <w:left w:val="none" w:sz="0" w:space="0" w:color="auto"/>
            <w:bottom w:val="none" w:sz="0" w:space="0" w:color="auto"/>
            <w:right w:val="none" w:sz="0" w:space="0" w:color="auto"/>
          </w:divBdr>
          <w:divsChild>
            <w:div w:id="137187750">
              <w:marLeft w:val="0"/>
              <w:marRight w:val="0"/>
              <w:marTop w:val="0"/>
              <w:marBottom w:val="0"/>
              <w:divBdr>
                <w:top w:val="none" w:sz="0" w:space="0" w:color="auto"/>
                <w:left w:val="none" w:sz="0" w:space="0" w:color="auto"/>
                <w:bottom w:val="none" w:sz="0" w:space="0" w:color="auto"/>
                <w:right w:val="none" w:sz="0" w:space="0" w:color="auto"/>
              </w:divBdr>
              <w:divsChild>
                <w:div w:id="131219507">
                  <w:marLeft w:val="0"/>
                  <w:marRight w:val="0"/>
                  <w:marTop w:val="0"/>
                  <w:marBottom w:val="0"/>
                  <w:divBdr>
                    <w:top w:val="none" w:sz="0" w:space="0" w:color="auto"/>
                    <w:left w:val="none" w:sz="0" w:space="0" w:color="auto"/>
                    <w:bottom w:val="none" w:sz="0" w:space="0" w:color="auto"/>
                    <w:right w:val="none" w:sz="0" w:space="0" w:color="auto"/>
                  </w:divBdr>
                  <w:divsChild>
                    <w:div w:id="135707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68605">
      <w:bodyDiv w:val="1"/>
      <w:marLeft w:val="0"/>
      <w:marRight w:val="0"/>
      <w:marTop w:val="0"/>
      <w:marBottom w:val="0"/>
      <w:divBdr>
        <w:top w:val="none" w:sz="0" w:space="0" w:color="auto"/>
        <w:left w:val="none" w:sz="0" w:space="0" w:color="auto"/>
        <w:bottom w:val="none" w:sz="0" w:space="0" w:color="auto"/>
        <w:right w:val="none" w:sz="0" w:space="0" w:color="auto"/>
      </w:divBdr>
    </w:div>
    <w:div w:id="97868870">
      <w:bodyDiv w:val="1"/>
      <w:marLeft w:val="0"/>
      <w:marRight w:val="0"/>
      <w:marTop w:val="0"/>
      <w:marBottom w:val="0"/>
      <w:divBdr>
        <w:top w:val="none" w:sz="0" w:space="0" w:color="auto"/>
        <w:left w:val="none" w:sz="0" w:space="0" w:color="auto"/>
        <w:bottom w:val="none" w:sz="0" w:space="0" w:color="auto"/>
        <w:right w:val="none" w:sz="0" w:space="0" w:color="auto"/>
      </w:divBdr>
    </w:div>
    <w:div w:id="97915443">
      <w:bodyDiv w:val="1"/>
      <w:marLeft w:val="0"/>
      <w:marRight w:val="0"/>
      <w:marTop w:val="0"/>
      <w:marBottom w:val="0"/>
      <w:divBdr>
        <w:top w:val="none" w:sz="0" w:space="0" w:color="auto"/>
        <w:left w:val="none" w:sz="0" w:space="0" w:color="auto"/>
        <w:bottom w:val="none" w:sz="0" w:space="0" w:color="auto"/>
        <w:right w:val="none" w:sz="0" w:space="0" w:color="auto"/>
      </w:divBdr>
      <w:divsChild>
        <w:div w:id="259720436">
          <w:marLeft w:val="0"/>
          <w:marRight w:val="0"/>
          <w:marTop w:val="0"/>
          <w:marBottom w:val="0"/>
          <w:divBdr>
            <w:top w:val="none" w:sz="0" w:space="0" w:color="auto"/>
            <w:left w:val="none" w:sz="0" w:space="0" w:color="auto"/>
            <w:bottom w:val="none" w:sz="0" w:space="0" w:color="auto"/>
            <w:right w:val="none" w:sz="0" w:space="0" w:color="auto"/>
          </w:divBdr>
          <w:divsChild>
            <w:div w:id="1559390616">
              <w:marLeft w:val="0"/>
              <w:marRight w:val="0"/>
              <w:marTop w:val="0"/>
              <w:marBottom w:val="0"/>
              <w:divBdr>
                <w:top w:val="none" w:sz="0" w:space="0" w:color="auto"/>
                <w:left w:val="none" w:sz="0" w:space="0" w:color="auto"/>
                <w:bottom w:val="none" w:sz="0" w:space="0" w:color="auto"/>
                <w:right w:val="none" w:sz="0" w:space="0" w:color="auto"/>
              </w:divBdr>
              <w:divsChild>
                <w:div w:id="653753595">
                  <w:marLeft w:val="0"/>
                  <w:marRight w:val="0"/>
                  <w:marTop w:val="0"/>
                  <w:marBottom w:val="0"/>
                  <w:divBdr>
                    <w:top w:val="none" w:sz="0" w:space="0" w:color="auto"/>
                    <w:left w:val="none" w:sz="0" w:space="0" w:color="auto"/>
                    <w:bottom w:val="none" w:sz="0" w:space="0" w:color="auto"/>
                    <w:right w:val="none" w:sz="0" w:space="0" w:color="auto"/>
                  </w:divBdr>
                  <w:divsChild>
                    <w:div w:id="20518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30158">
      <w:bodyDiv w:val="1"/>
      <w:marLeft w:val="0"/>
      <w:marRight w:val="0"/>
      <w:marTop w:val="0"/>
      <w:marBottom w:val="0"/>
      <w:divBdr>
        <w:top w:val="none" w:sz="0" w:space="0" w:color="auto"/>
        <w:left w:val="none" w:sz="0" w:space="0" w:color="auto"/>
        <w:bottom w:val="none" w:sz="0" w:space="0" w:color="auto"/>
        <w:right w:val="none" w:sz="0" w:space="0" w:color="auto"/>
      </w:divBdr>
    </w:div>
    <w:div w:id="98839856">
      <w:bodyDiv w:val="1"/>
      <w:marLeft w:val="0"/>
      <w:marRight w:val="0"/>
      <w:marTop w:val="0"/>
      <w:marBottom w:val="0"/>
      <w:divBdr>
        <w:top w:val="none" w:sz="0" w:space="0" w:color="auto"/>
        <w:left w:val="none" w:sz="0" w:space="0" w:color="auto"/>
        <w:bottom w:val="none" w:sz="0" w:space="0" w:color="auto"/>
        <w:right w:val="none" w:sz="0" w:space="0" w:color="auto"/>
      </w:divBdr>
      <w:divsChild>
        <w:div w:id="2055420839">
          <w:marLeft w:val="0"/>
          <w:marRight w:val="0"/>
          <w:marTop w:val="0"/>
          <w:marBottom w:val="0"/>
          <w:divBdr>
            <w:top w:val="none" w:sz="0" w:space="0" w:color="auto"/>
            <w:left w:val="none" w:sz="0" w:space="0" w:color="auto"/>
            <w:bottom w:val="none" w:sz="0" w:space="0" w:color="auto"/>
            <w:right w:val="none" w:sz="0" w:space="0" w:color="auto"/>
          </w:divBdr>
          <w:divsChild>
            <w:div w:id="2042390722">
              <w:marLeft w:val="0"/>
              <w:marRight w:val="0"/>
              <w:marTop w:val="0"/>
              <w:marBottom w:val="0"/>
              <w:divBdr>
                <w:top w:val="none" w:sz="0" w:space="0" w:color="auto"/>
                <w:left w:val="none" w:sz="0" w:space="0" w:color="auto"/>
                <w:bottom w:val="none" w:sz="0" w:space="0" w:color="auto"/>
                <w:right w:val="none" w:sz="0" w:space="0" w:color="auto"/>
              </w:divBdr>
              <w:divsChild>
                <w:div w:id="795682939">
                  <w:marLeft w:val="0"/>
                  <w:marRight w:val="0"/>
                  <w:marTop w:val="0"/>
                  <w:marBottom w:val="0"/>
                  <w:divBdr>
                    <w:top w:val="none" w:sz="0" w:space="0" w:color="auto"/>
                    <w:left w:val="none" w:sz="0" w:space="0" w:color="auto"/>
                    <w:bottom w:val="none" w:sz="0" w:space="0" w:color="auto"/>
                    <w:right w:val="none" w:sz="0" w:space="0" w:color="auto"/>
                  </w:divBdr>
                  <w:divsChild>
                    <w:div w:id="16810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17082">
      <w:bodyDiv w:val="1"/>
      <w:marLeft w:val="0"/>
      <w:marRight w:val="0"/>
      <w:marTop w:val="0"/>
      <w:marBottom w:val="0"/>
      <w:divBdr>
        <w:top w:val="none" w:sz="0" w:space="0" w:color="auto"/>
        <w:left w:val="none" w:sz="0" w:space="0" w:color="auto"/>
        <w:bottom w:val="none" w:sz="0" w:space="0" w:color="auto"/>
        <w:right w:val="none" w:sz="0" w:space="0" w:color="auto"/>
      </w:divBdr>
      <w:divsChild>
        <w:div w:id="531959505">
          <w:marLeft w:val="0"/>
          <w:marRight w:val="0"/>
          <w:marTop w:val="0"/>
          <w:marBottom w:val="0"/>
          <w:divBdr>
            <w:top w:val="none" w:sz="0" w:space="0" w:color="auto"/>
            <w:left w:val="none" w:sz="0" w:space="0" w:color="auto"/>
            <w:bottom w:val="none" w:sz="0" w:space="0" w:color="auto"/>
            <w:right w:val="none" w:sz="0" w:space="0" w:color="auto"/>
          </w:divBdr>
          <w:divsChild>
            <w:div w:id="38096919">
              <w:marLeft w:val="0"/>
              <w:marRight w:val="0"/>
              <w:marTop w:val="0"/>
              <w:marBottom w:val="0"/>
              <w:divBdr>
                <w:top w:val="none" w:sz="0" w:space="0" w:color="auto"/>
                <w:left w:val="none" w:sz="0" w:space="0" w:color="auto"/>
                <w:bottom w:val="none" w:sz="0" w:space="0" w:color="auto"/>
                <w:right w:val="none" w:sz="0" w:space="0" w:color="auto"/>
              </w:divBdr>
              <w:divsChild>
                <w:div w:id="2116291648">
                  <w:marLeft w:val="0"/>
                  <w:marRight w:val="0"/>
                  <w:marTop w:val="0"/>
                  <w:marBottom w:val="0"/>
                  <w:divBdr>
                    <w:top w:val="none" w:sz="0" w:space="0" w:color="auto"/>
                    <w:left w:val="none" w:sz="0" w:space="0" w:color="auto"/>
                    <w:bottom w:val="none" w:sz="0" w:space="0" w:color="auto"/>
                    <w:right w:val="none" w:sz="0" w:space="0" w:color="auto"/>
                  </w:divBdr>
                  <w:divsChild>
                    <w:div w:id="204728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72519">
      <w:bodyDiv w:val="1"/>
      <w:marLeft w:val="0"/>
      <w:marRight w:val="0"/>
      <w:marTop w:val="0"/>
      <w:marBottom w:val="0"/>
      <w:divBdr>
        <w:top w:val="none" w:sz="0" w:space="0" w:color="auto"/>
        <w:left w:val="none" w:sz="0" w:space="0" w:color="auto"/>
        <w:bottom w:val="none" w:sz="0" w:space="0" w:color="auto"/>
        <w:right w:val="none" w:sz="0" w:space="0" w:color="auto"/>
      </w:divBdr>
    </w:div>
    <w:div w:id="100758152">
      <w:bodyDiv w:val="1"/>
      <w:marLeft w:val="0"/>
      <w:marRight w:val="0"/>
      <w:marTop w:val="0"/>
      <w:marBottom w:val="0"/>
      <w:divBdr>
        <w:top w:val="none" w:sz="0" w:space="0" w:color="auto"/>
        <w:left w:val="none" w:sz="0" w:space="0" w:color="auto"/>
        <w:bottom w:val="none" w:sz="0" w:space="0" w:color="auto"/>
        <w:right w:val="none" w:sz="0" w:space="0" w:color="auto"/>
      </w:divBdr>
      <w:divsChild>
        <w:div w:id="289093286">
          <w:marLeft w:val="0"/>
          <w:marRight w:val="0"/>
          <w:marTop w:val="0"/>
          <w:marBottom w:val="0"/>
          <w:divBdr>
            <w:top w:val="none" w:sz="0" w:space="0" w:color="auto"/>
            <w:left w:val="none" w:sz="0" w:space="0" w:color="auto"/>
            <w:bottom w:val="none" w:sz="0" w:space="0" w:color="auto"/>
            <w:right w:val="none" w:sz="0" w:space="0" w:color="auto"/>
          </w:divBdr>
          <w:divsChild>
            <w:div w:id="468328127">
              <w:marLeft w:val="0"/>
              <w:marRight w:val="0"/>
              <w:marTop w:val="0"/>
              <w:marBottom w:val="0"/>
              <w:divBdr>
                <w:top w:val="none" w:sz="0" w:space="0" w:color="auto"/>
                <w:left w:val="none" w:sz="0" w:space="0" w:color="auto"/>
                <w:bottom w:val="none" w:sz="0" w:space="0" w:color="auto"/>
                <w:right w:val="none" w:sz="0" w:space="0" w:color="auto"/>
              </w:divBdr>
              <w:divsChild>
                <w:div w:id="501623246">
                  <w:marLeft w:val="0"/>
                  <w:marRight w:val="0"/>
                  <w:marTop w:val="0"/>
                  <w:marBottom w:val="0"/>
                  <w:divBdr>
                    <w:top w:val="none" w:sz="0" w:space="0" w:color="auto"/>
                    <w:left w:val="none" w:sz="0" w:space="0" w:color="auto"/>
                    <w:bottom w:val="none" w:sz="0" w:space="0" w:color="auto"/>
                    <w:right w:val="none" w:sz="0" w:space="0" w:color="auto"/>
                  </w:divBdr>
                  <w:divsChild>
                    <w:div w:id="464741497">
                      <w:marLeft w:val="0"/>
                      <w:marRight w:val="0"/>
                      <w:marTop w:val="0"/>
                      <w:marBottom w:val="0"/>
                      <w:divBdr>
                        <w:top w:val="none" w:sz="0" w:space="0" w:color="auto"/>
                        <w:left w:val="none" w:sz="0" w:space="0" w:color="auto"/>
                        <w:bottom w:val="none" w:sz="0" w:space="0" w:color="auto"/>
                        <w:right w:val="none" w:sz="0" w:space="0" w:color="auto"/>
                      </w:divBdr>
                    </w:div>
                  </w:divsChild>
                </w:div>
                <w:div w:id="982153709">
                  <w:marLeft w:val="0"/>
                  <w:marRight w:val="0"/>
                  <w:marTop w:val="0"/>
                  <w:marBottom w:val="0"/>
                  <w:divBdr>
                    <w:top w:val="none" w:sz="0" w:space="0" w:color="auto"/>
                    <w:left w:val="none" w:sz="0" w:space="0" w:color="auto"/>
                    <w:bottom w:val="none" w:sz="0" w:space="0" w:color="auto"/>
                    <w:right w:val="none" w:sz="0" w:space="0" w:color="auto"/>
                  </w:divBdr>
                  <w:divsChild>
                    <w:div w:id="147255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3255">
      <w:bodyDiv w:val="1"/>
      <w:marLeft w:val="0"/>
      <w:marRight w:val="0"/>
      <w:marTop w:val="0"/>
      <w:marBottom w:val="0"/>
      <w:divBdr>
        <w:top w:val="none" w:sz="0" w:space="0" w:color="auto"/>
        <w:left w:val="none" w:sz="0" w:space="0" w:color="auto"/>
        <w:bottom w:val="none" w:sz="0" w:space="0" w:color="auto"/>
        <w:right w:val="none" w:sz="0" w:space="0" w:color="auto"/>
      </w:divBdr>
    </w:div>
    <w:div w:id="101995697">
      <w:bodyDiv w:val="1"/>
      <w:marLeft w:val="0"/>
      <w:marRight w:val="0"/>
      <w:marTop w:val="0"/>
      <w:marBottom w:val="0"/>
      <w:divBdr>
        <w:top w:val="none" w:sz="0" w:space="0" w:color="auto"/>
        <w:left w:val="none" w:sz="0" w:space="0" w:color="auto"/>
        <w:bottom w:val="none" w:sz="0" w:space="0" w:color="auto"/>
        <w:right w:val="none" w:sz="0" w:space="0" w:color="auto"/>
      </w:divBdr>
    </w:div>
    <w:div w:id="103041674">
      <w:bodyDiv w:val="1"/>
      <w:marLeft w:val="0"/>
      <w:marRight w:val="0"/>
      <w:marTop w:val="0"/>
      <w:marBottom w:val="0"/>
      <w:divBdr>
        <w:top w:val="none" w:sz="0" w:space="0" w:color="auto"/>
        <w:left w:val="none" w:sz="0" w:space="0" w:color="auto"/>
        <w:bottom w:val="none" w:sz="0" w:space="0" w:color="auto"/>
        <w:right w:val="none" w:sz="0" w:space="0" w:color="auto"/>
      </w:divBdr>
    </w:div>
    <w:div w:id="103112899">
      <w:bodyDiv w:val="1"/>
      <w:marLeft w:val="0"/>
      <w:marRight w:val="0"/>
      <w:marTop w:val="0"/>
      <w:marBottom w:val="0"/>
      <w:divBdr>
        <w:top w:val="none" w:sz="0" w:space="0" w:color="auto"/>
        <w:left w:val="none" w:sz="0" w:space="0" w:color="auto"/>
        <w:bottom w:val="none" w:sz="0" w:space="0" w:color="auto"/>
        <w:right w:val="none" w:sz="0" w:space="0" w:color="auto"/>
      </w:divBdr>
    </w:div>
    <w:div w:id="103690200">
      <w:bodyDiv w:val="1"/>
      <w:marLeft w:val="0"/>
      <w:marRight w:val="0"/>
      <w:marTop w:val="0"/>
      <w:marBottom w:val="0"/>
      <w:divBdr>
        <w:top w:val="none" w:sz="0" w:space="0" w:color="auto"/>
        <w:left w:val="none" w:sz="0" w:space="0" w:color="auto"/>
        <w:bottom w:val="none" w:sz="0" w:space="0" w:color="auto"/>
        <w:right w:val="none" w:sz="0" w:space="0" w:color="auto"/>
      </w:divBdr>
    </w:div>
    <w:div w:id="104157773">
      <w:bodyDiv w:val="1"/>
      <w:marLeft w:val="0"/>
      <w:marRight w:val="0"/>
      <w:marTop w:val="0"/>
      <w:marBottom w:val="0"/>
      <w:divBdr>
        <w:top w:val="none" w:sz="0" w:space="0" w:color="auto"/>
        <w:left w:val="none" w:sz="0" w:space="0" w:color="auto"/>
        <w:bottom w:val="none" w:sz="0" w:space="0" w:color="auto"/>
        <w:right w:val="none" w:sz="0" w:space="0" w:color="auto"/>
      </w:divBdr>
    </w:div>
    <w:div w:id="105200361">
      <w:bodyDiv w:val="1"/>
      <w:marLeft w:val="0"/>
      <w:marRight w:val="0"/>
      <w:marTop w:val="0"/>
      <w:marBottom w:val="0"/>
      <w:divBdr>
        <w:top w:val="none" w:sz="0" w:space="0" w:color="auto"/>
        <w:left w:val="none" w:sz="0" w:space="0" w:color="auto"/>
        <w:bottom w:val="none" w:sz="0" w:space="0" w:color="auto"/>
        <w:right w:val="none" w:sz="0" w:space="0" w:color="auto"/>
      </w:divBdr>
    </w:div>
    <w:div w:id="107092849">
      <w:bodyDiv w:val="1"/>
      <w:marLeft w:val="0"/>
      <w:marRight w:val="0"/>
      <w:marTop w:val="0"/>
      <w:marBottom w:val="0"/>
      <w:divBdr>
        <w:top w:val="none" w:sz="0" w:space="0" w:color="auto"/>
        <w:left w:val="none" w:sz="0" w:space="0" w:color="auto"/>
        <w:bottom w:val="none" w:sz="0" w:space="0" w:color="auto"/>
        <w:right w:val="none" w:sz="0" w:space="0" w:color="auto"/>
      </w:divBdr>
    </w:div>
    <w:div w:id="107162807">
      <w:bodyDiv w:val="1"/>
      <w:marLeft w:val="0"/>
      <w:marRight w:val="0"/>
      <w:marTop w:val="0"/>
      <w:marBottom w:val="0"/>
      <w:divBdr>
        <w:top w:val="none" w:sz="0" w:space="0" w:color="auto"/>
        <w:left w:val="none" w:sz="0" w:space="0" w:color="auto"/>
        <w:bottom w:val="none" w:sz="0" w:space="0" w:color="auto"/>
        <w:right w:val="none" w:sz="0" w:space="0" w:color="auto"/>
      </w:divBdr>
    </w:div>
    <w:div w:id="107282580">
      <w:bodyDiv w:val="1"/>
      <w:marLeft w:val="0"/>
      <w:marRight w:val="0"/>
      <w:marTop w:val="0"/>
      <w:marBottom w:val="0"/>
      <w:divBdr>
        <w:top w:val="none" w:sz="0" w:space="0" w:color="auto"/>
        <w:left w:val="none" w:sz="0" w:space="0" w:color="auto"/>
        <w:bottom w:val="none" w:sz="0" w:space="0" w:color="auto"/>
        <w:right w:val="none" w:sz="0" w:space="0" w:color="auto"/>
      </w:divBdr>
    </w:div>
    <w:div w:id="107548110">
      <w:bodyDiv w:val="1"/>
      <w:marLeft w:val="0"/>
      <w:marRight w:val="0"/>
      <w:marTop w:val="0"/>
      <w:marBottom w:val="0"/>
      <w:divBdr>
        <w:top w:val="none" w:sz="0" w:space="0" w:color="auto"/>
        <w:left w:val="none" w:sz="0" w:space="0" w:color="auto"/>
        <w:bottom w:val="none" w:sz="0" w:space="0" w:color="auto"/>
        <w:right w:val="none" w:sz="0" w:space="0" w:color="auto"/>
      </w:divBdr>
    </w:div>
    <w:div w:id="110366365">
      <w:bodyDiv w:val="1"/>
      <w:marLeft w:val="0"/>
      <w:marRight w:val="0"/>
      <w:marTop w:val="0"/>
      <w:marBottom w:val="0"/>
      <w:divBdr>
        <w:top w:val="none" w:sz="0" w:space="0" w:color="auto"/>
        <w:left w:val="none" w:sz="0" w:space="0" w:color="auto"/>
        <w:bottom w:val="none" w:sz="0" w:space="0" w:color="auto"/>
        <w:right w:val="none" w:sz="0" w:space="0" w:color="auto"/>
      </w:divBdr>
    </w:div>
    <w:div w:id="110706497">
      <w:bodyDiv w:val="1"/>
      <w:marLeft w:val="0"/>
      <w:marRight w:val="0"/>
      <w:marTop w:val="0"/>
      <w:marBottom w:val="0"/>
      <w:divBdr>
        <w:top w:val="none" w:sz="0" w:space="0" w:color="auto"/>
        <w:left w:val="none" w:sz="0" w:space="0" w:color="auto"/>
        <w:bottom w:val="none" w:sz="0" w:space="0" w:color="auto"/>
        <w:right w:val="none" w:sz="0" w:space="0" w:color="auto"/>
      </w:divBdr>
      <w:divsChild>
        <w:div w:id="1049694353">
          <w:marLeft w:val="0"/>
          <w:marRight w:val="0"/>
          <w:marTop w:val="0"/>
          <w:marBottom w:val="0"/>
          <w:divBdr>
            <w:top w:val="none" w:sz="0" w:space="0" w:color="auto"/>
            <w:left w:val="none" w:sz="0" w:space="0" w:color="auto"/>
            <w:bottom w:val="none" w:sz="0" w:space="0" w:color="auto"/>
            <w:right w:val="none" w:sz="0" w:space="0" w:color="auto"/>
          </w:divBdr>
          <w:divsChild>
            <w:div w:id="447163647">
              <w:marLeft w:val="0"/>
              <w:marRight w:val="0"/>
              <w:marTop w:val="0"/>
              <w:marBottom w:val="0"/>
              <w:divBdr>
                <w:top w:val="none" w:sz="0" w:space="0" w:color="auto"/>
                <w:left w:val="none" w:sz="0" w:space="0" w:color="auto"/>
                <w:bottom w:val="none" w:sz="0" w:space="0" w:color="auto"/>
                <w:right w:val="none" w:sz="0" w:space="0" w:color="auto"/>
              </w:divBdr>
              <w:divsChild>
                <w:div w:id="200632304">
                  <w:marLeft w:val="0"/>
                  <w:marRight w:val="0"/>
                  <w:marTop w:val="0"/>
                  <w:marBottom w:val="0"/>
                  <w:divBdr>
                    <w:top w:val="none" w:sz="0" w:space="0" w:color="auto"/>
                    <w:left w:val="none" w:sz="0" w:space="0" w:color="auto"/>
                    <w:bottom w:val="none" w:sz="0" w:space="0" w:color="auto"/>
                    <w:right w:val="none" w:sz="0" w:space="0" w:color="auto"/>
                  </w:divBdr>
                  <w:divsChild>
                    <w:div w:id="5512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84338">
      <w:bodyDiv w:val="1"/>
      <w:marLeft w:val="0"/>
      <w:marRight w:val="0"/>
      <w:marTop w:val="0"/>
      <w:marBottom w:val="0"/>
      <w:divBdr>
        <w:top w:val="none" w:sz="0" w:space="0" w:color="auto"/>
        <w:left w:val="none" w:sz="0" w:space="0" w:color="auto"/>
        <w:bottom w:val="none" w:sz="0" w:space="0" w:color="auto"/>
        <w:right w:val="none" w:sz="0" w:space="0" w:color="auto"/>
      </w:divBdr>
    </w:div>
    <w:div w:id="111291130">
      <w:bodyDiv w:val="1"/>
      <w:marLeft w:val="0"/>
      <w:marRight w:val="0"/>
      <w:marTop w:val="0"/>
      <w:marBottom w:val="0"/>
      <w:divBdr>
        <w:top w:val="none" w:sz="0" w:space="0" w:color="auto"/>
        <w:left w:val="none" w:sz="0" w:space="0" w:color="auto"/>
        <w:bottom w:val="none" w:sz="0" w:space="0" w:color="auto"/>
        <w:right w:val="none" w:sz="0" w:space="0" w:color="auto"/>
      </w:divBdr>
      <w:divsChild>
        <w:div w:id="910196148">
          <w:marLeft w:val="0"/>
          <w:marRight w:val="0"/>
          <w:marTop w:val="0"/>
          <w:marBottom w:val="0"/>
          <w:divBdr>
            <w:top w:val="none" w:sz="0" w:space="0" w:color="auto"/>
            <w:left w:val="none" w:sz="0" w:space="0" w:color="auto"/>
            <w:bottom w:val="none" w:sz="0" w:space="0" w:color="auto"/>
            <w:right w:val="none" w:sz="0" w:space="0" w:color="auto"/>
          </w:divBdr>
          <w:divsChild>
            <w:div w:id="898900429">
              <w:marLeft w:val="0"/>
              <w:marRight w:val="0"/>
              <w:marTop w:val="0"/>
              <w:marBottom w:val="0"/>
              <w:divBdr>
                <w:top w:val="none" w:sz="0" w:space="0" w:color="auto"/>
                <w:left w:val="none" w:sz="0" w:space="0" w:color="auto"/>
                <w:bottom w:val="none" w:sz="0" w:space="0" w:color="auto"/>
                <w:right w:val="none" w:sz="0" w:space="0" w:color="auto"/>
              </w:divBdr>
              <w:divsChild>
                <w:div w:id="1127115840">
                  <w:marLeft w:val="0"/>
                  <w:marRight w:val="0"/>
                  <w:marTop w:val="0"/>
                  <w:marBottom w:val="0"/>
                  <w:divBdr>
                    <w:top w:val="none" w:sz="0" w:space="0" w:color="auto"/>
                    <w:left w:val="none" w:sz="0" w:space="0" w:color="auto"/>
                    <w:bottom w:val="none" w:sz="0" w:space="0" w:color="auto"/>
                    <w:right w:val="none" w:sz="0" w:space="0" w:color="auto"/>
                  </w:divBdr>
                  <w:divsChild>
                    <w:div w:id="1450584966">
                      <w:marLeft w:val="0"/>
                      <w:marRight w:val="0"/>
                      <w:marTop w:val="0"/>
                      <w:marBottom w:val="0"/>
                      <w:divBdr>
                        <w:top w:val="none" w:sz="0" w:space="0" w:color="auto"/>
                        <w:left w:val="none" w:sz="0" w:space="0" w:color="auto"/>
                        <w:bottom w:val="none" w:sz="0" w:space="0" w:color="auto"/>
                        <w:right w:val="none" w:sz="0" w:space="0" w:color="auto"/>
                      </w:divBdr>
                    </w:div>
                  </w:divsChild>
                </w:div>
                <w:div w:id="1141731951">
                  <w:marLeft w:val="0"/>
                  <w:marRight w:val="0"/>
                  <w:marTop w:val="0"/>
                  <w:marBottom w:val="0"/>
                  <w:divBdr>
                    <w:top w:val="none" w:sz="0" w:space="0" w:color="auto"/>
                    <w:left w:val="none" w:sz="0" w:space="0" w:color="auto"/>
                    <w:bottom w:val="none" w:sz="0" w:space="0" w:color="auto"/>
                    <w:right w:val="none" w:sz="0" w:space="0" w:color="auto"/>
                  </w:divBdr>
                  <w:divsChild>
                    <w:div w:id="211702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05003">
      <w:bodyDiv w:val="1"/>
      <w:marLeft w:val="0"/>
      <w:marRight w:val="0"/>
      <w:marTop w:val="0"/>
      <w:marBottom w:val="0"/>
      <w:divBdr>
        <w:top w:val="none" w:sz="0" w:space="0" w:color="auto"/>
        <w:left w:val="none" w:sz="0" w:space="0" w:color="auto"/>
        <w:bottom w:val="none" w:sz="0" w:space="0" w:color="auto"/>
        <w:right w:val="none" w:sz="0" w:space="0" w:color="auto"/>
      </w:divBdr>
      <w:divsChild>
        <w:div w:id="960116890">
          <w:marLeft w:val="0"/>
          <w:marRight w:val="0"/>
          <w:marTop w:val="0"/>
          <w:marBottom w:val="0"/>
          <w:divBdr>
            <w:top w:val="none" w:sz="0" w:space="0" w:color="auto"/>
            <w:left w:val="none" w:sz="0" w:space="0" w:color="auto"/>
            <w:bottom w:val="none" w:sz="0" w:space="0" w:color="auto"/>
            <w:right w:val="none" w:sz="0" w:space="0" w:color="auto"/>
          </w:divBdr>
          <w:divsChild>
            <w:div w:id="1977487059">
              <w:marLeft w:val="0"/>
              <w:marRight w:val="0"/>
              <w:marTop w:val="0"/>
              <w:marBottom w:val="0"/>
              <w:divBdr>
                <w:top w:val="none" w:sz="0" w:space="0" w:color="auto"/>
                <w:left w:val="none" w:sz="0" w:space="0" w:color="auto"/>
                <w:bottom w:val="none" w:sz="0" w:space="0" w:color="auto"/>
                <w:right w:val="none" w:sz="0" w:space="0" w:color="auto"/>
              </w:divBdr>
              <w:divsChild>
                <w:div w:id="549416538">
                  <w:marLeft w:val="0"/>
                  <w:marRight w:val="0"/>
                  <w:marTop w:val="0"/>
                  <w:marBottom w:val="0"/>
                  <w:divBdr>
                    <w:top w:val="none" w:sz="0" w:space="0" w:color="auto"/>
                    <w:left w:val="none" w:sz="0" w:space="0" w:color="auto"/>
                    <w:bottom w:val="none" w:sz="0" w:space="0" w:color="auto"/>
                    <w:right w:val="none" w:sz="0" w:space="0" w:color="auto"/>
                  </w:divBdr>
                  <w:divsChild>
                    <w:div w:id="851185446">
                      <w:marLeft w:val="0"/>
                      <w:marRight w:val="0"/>
                      <w:marTop w:val="0"/>
                      <w:marBottom w:val="0"/>
                      <w:divBdr>
                        <w:top w:val="none" w:sz="0" w:space="0" w:color="auto"/>
                        <w:left w:val="none" w:sz="0" w:space="0" w:color="auto"/>
                        <w:bottom w:val="none" w:sz="0" w:space="0" w:color="auto"/>
                        <w:right w:val="none" w:sz="0" w:space="0" w:color="auto"/>
                      </w:divBdr>
                    </w:div>
                  </w:divsChild>
                </w:div>
                <w:div w:id="1904412375">
                  <w:marLeft w:val="0"/>
                  <w:marRight w:val="0"/>
                  <w:marTop w:val="0"/>
                  <w:marBottom w:val="0"/>
                  <w:divBdr>
                    <w:top w:val="none" w:sz="0" w:space="0" w:color="auto"/>
                    <w:left w:val="none" w:sz="0" w:space="0" w:color="auto"/>
                    <w:bottom w:val="none" w:sz="0" w:space="0" w:color="auto"/>
                    <w:right w:val="none" w:sz="0" w:space="0" w:color="auto"/>
                  </w:divBdr>
                  <w:divsChild>
                    <w:div w:id="7412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08696">
      <w:bodyDiv w:val="1"/>
      <w:marLeft w:val="0"/>
      <w:marRight w:val="0"/>
      <w:marTop w:val="0"/>
      <w:marBottom w:val="0"/>
      <w:divBdr>
        <w:top w:val="none" w:sz="0" w:space="0" w:color="auto"/>
        <w:left w:val="none" w:sz="0" w:space="0" w:color="auto"/>
        <w:bottom w:val="none" w:sz="0" w:space="0" w:color="auto"/>
        <w:right w:val="none" w:sz="0" w:space="0" w:color="auto"/>
      </w:divBdr>
    </w:div>
    <w:div w:id="115292427">
      <w:bodyDiv w:val="1"/>
      <w:marLeft w:val="0"/>
      <w:marRight w:val="0"/>
      <w:marTop w:val="0"/>
      <w:marBottom w:val="0"/>
      <w:divBdr>
        <w:top w:val="none" w:sz="0" w:space="0" w:color="auto"/>
        <w:left w:val="none" w:sz="0" w:space="0" w:color="auto"/>
        <w:bottom w:val="none" w:sz="0" w:space="0" w:color="auto"/>
        <w:right w:val="none" w:sz="0" w:space="0" w:color="auto"/>
      </w:divBdr>
    </w:div>
    <w:div w:id="115412802">
      <w:bodyDiv w:val="1"/>
      <w:marLeft w:val="0"/>
      <w:marRight w:val="0"/>
      <w:marTop w:val="0"/>
      <w:marBottom w:val="0"/>
      <w:divBdr>
        <w:top w:val="none" w:sz="0" w:space="0" w:color="auto"/>
        <w:left w:val="none" w:sz="0" w:space="0" w:color="auto"/>
        <w:bottom w:val="none" w:sz="0" w:space="0" w:color="auto"/>
        <w:right w:val="none" w:sz="0" w:space="0" w:color="auto"/>
      </w:divBdr>
      <w:divsChild>
        <w:div w:id="1993871765">
          <w:marLeft w:val="0"/>
          <w:marRight w:val="0"/>
          <w:marTop w:val="0"/>
          <w:marBottom w:val="0"/>
          <w:divBdr>
            <w:top w:val="none" w:sz="0" w:space="0" w:color="auto"/>
            <w:left w:val="none" w:sz="0" w:space="0" w:color="auto"/>
            <w:bottom w:val="none" w:sz="0" w:space="0" w:color="auto"/>
            <w:right w:val="none" w:sz="0" w:space="0" w:color="auto"/>
          </w:divBdr>
          <w:divsChild>
            <w:div w:id="301692879">
              <w:marLeft w:val="0"/>
              <w:marRight w:val="0"/>
              <w:marTop w:val="0"/>
              <w:marBottom w:val="0"/>
              <w:divBdr>
                <w:top w:val="none" w:sz="0" w:space="0" w:color="auto"/>
                <w:left w:val="none" w:sz="0" w:space="0" w:color="auto"/>
                <w:bottom w:val="none" w:sz="0" w:space="0" w:color="auto"/>
                <w:right w:val="none" w:sz="0" w:space="0" w:color="auto"/>
              </w:divBdr>
              <w:divsChild>
                <w:div w:id="851451052">
                  <w:marLeft w:val="0"/>
                  <w:marRight w:val="0"/>
                  <w:marTop w:val="0"/>
                  <w:marBottom w:val="0"/>
                  <w:divBdr>
                    <w:top w:val="none" w:sz="0" w:space="0" w:color="auto"/>
                    <w:left w:val="none" w:sz="0" w:space="0" w:color="auto"/>
                    <w:bottom w:val="none" w:sz="0" w:space="0" w:color="auto"/>
                    <w:right w:val="none" w:sz="0" w:space="0" w:color="auto"/>
                  </w:divBdr>
                  <w:divsChild>
                    <w:div w:id="1196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31230">
      <w:bodyDiv w:val="1"/>
      <w:marLeft w:val="0"/>
      <w:marRight w:val="0"/>
      <w:marTop w:val="0"/>
      <w:marBottom w:val="0"/>
      <w:divBdr>
        <w:top w:val="none" w:sz="0" w:space="0" w:color="auto"/>
        <w:left w:val="none" w:sz="0" w:space="0" w:color="auto"/>
        <w:bottom w:val="none" w:sz="0" w:space="0" w:color="auto"/>
        <w:right w:val="none" w:sz="0" w:space="0" w:color="auto"/>
      </w:divBdr>
    </w:div>
    <w:div w:id="116684329">
      <w:bodyDiv w:val="1"/>
      <w:marLeft w:val="0"/>
      <w:marRight w:val="0"/>
      <w:marTop w:val="0"/>
      <w:marBottom w:val="0"/>
      <w:divBdr>
        <w:top w:val="none" w:sz="0" w:space="0" w:color="auto"/>
        <w:left w:val="none" w:sz="0" w:space="0" w:color="auto"/>
        <w:bottom w:val="none" w:sz="0" w:space="0" w:color="auto"/>
        <w:right w:val="none" w:sz="0" w:space="0" w:color="auto"/>
      </w:divBdr>
    </w:div>
    <w:div w:id="116729047">
      <w:bodyDiv w:val="1"/>
      <w:marLeft w:val="0"/>
      <w:marRight w:val="0"/>
      <w:marTop w:val="0"/>
      <w:marBottom w:val="0"/>
      <w:divBdr>
        <w:top w:val="none" w:sz="0" w:space="0" w:color="auto"/>
        <w:left w:val="none" w:sz="0" w:space="0" w:color="auto"/>
        <w:bottom w:val="none" w:sz="0" w:space="0" w:color="auto"/>
        <w:right w:val="none" w:sz="0" w:space="0" w:color="auto"/>
      </w:divBdr>
      <w:divsChild>
        <w:div w:id="1654260683">
          <w:marLeft w:val="0"/>
          <w:marRight w:val="0"/>
          <w:marTop w:val="0"/>
          <w:marBottom w:val="0"/>
          <w:divBdr>
            <w:top w:val="none" w:sz="0" w:space="0" w:color="auto"/>
            <w:left w:val="none" w:sz="0" w:space="0" w:color="auto"/>
            <w:bottom w:val="none" w:sz="0" w:space="0" w:color="auto"/>
            <w:right w:val="none" w:sz="0" w:space="0" w:color="auto"/>
          </w:divBdr>
          <w:divsChild>
            <w:div w:id="460465447">
              <w:marLeft w:val="0"/>
              <w:marRight w:val="0"/>
              <w:marTop w:val="0"/>
              <w:marBottom w:val="0"/>
              <w:divBdr>
                <w:top w:val="none" w:sz="0" w:space="0" w:color="auto"/>
                <w:left w:val="none" w:sz="0" w:space="0" w:color="auto"/>
                <w:bottom w:val="none" w:sz="0" w:space="0" w:color="auto"/>
                <w:right w:val="none" w:sz="0" w:space="0" w:color="auto"/>
              </w:divBdr>
              <w:divsChild>
                <w:div w:id="441731620">
                  <w:marLeft w:val="0"/>
                  <w:marRight w:val="0"/>
                  <w:marTop w:val="0"/>
                  <w:marBottom w:val="0"/>
                  <w:divBdr>
                    <w:top w:val="none" w:sz="0" w:space="0" w:color="auto"/>
                    <w:left w:val="none" w:sz="0" w:space="0" w:color="auto"/>
                    <w:bottom w:val="none" w:sz="0" w:space="0" w:color="auto"/>
                    <w:right w:val="none" w:sz="0" w:space="0" w:color="auto"/>
                  </w:divBdr>
                  <w:divsChild>
                    <w:div w:id="1211650194">
                      <w:marLeft w:val="0"/>
                      <w:marRight w:val="0"/>
                      <w:marTop w:val="0"/>
                      <w:marBottom w:val="0"/>
                      <w:divBdr>
                        <w:top w:val="none" w:sz="0" w:space="0" w:color="auto"/>
                        <w:left w:val="none" w:sz="0" w:space="0" w:color="auto"/>
                        <w:bottom w:val="none" w:sz="0" w:space="0" w:color="auto"/>
                        <w:right w:val="none" w:sz="0" w:space="0" w:color="auto"/>
                      </w:divBdr>
                    </w:div>
                  </w:divsChild>
                </w:div>
                <w:div w:id="732893186">
                  <w:marLeft w:val="0"/>
                  <w:marRight w:val="0"/>
                  <w:marTop w:val="0"/>
                  <w:marBottom w:val="0"/>
                  <w:divBdr>
                    <w:top w:val="none" w:sz="0" w:space="0" w:color="auto"/>
                    <w:left w:val="none" w:sz="0" w:space="0" w:color="auto"/>
                    <w:bottom w:val="none" w:sz="0" w:space="0" w:color="auto"/>
                    <w:right w:val="none" w:sz="0" w:space="0" w:color="auto"/>
                  </w:divBdr>
                  <w:divsChild>
                    <w:div w:id="1645962181">
                      <w:marLeft w:val="0"/>
                      <w:marRight w:val="0"/>
                      <w:marTop w:val="0"/>
                      <w:marBottom w:val="0"/>
                      <w:divBdr>
                        <w:top w:val="none" w:sz="0" w:space="0" w:color="auto"/>
                        <w:left w:val="none" w:sz="0" w:space="0" w:color="auto"/>
                        <w:bottom w:val="none" w:sz="0" w:space="0" w:color="auto"/>
                        <w:right w:val="none" w:sz="0" w:space="0" w:color="auto"/>
                      </w:divBdr>
                    </w:div>
                  </w:divsChild>
                </w:div>
                <w:div w:id="1332101042">
                  <w:marLeft w:val="0"/>
                  <w:marRight w:val="0"/>
                  <w:marTop w:val="0"/>
                  <w:marBottom w:val="0"/>
                  <w:divBdr>
                    <w:top w:val="none" w:sz="0" w:space="0" w:color="auto"/>
                    <w:left w:val="none" w:sz="0" w:space="0" w:color="auto"/>
                    <w:bottom w:val="none" w:sz="0" w:space="0" w:color="auto"/>
                    <w:right w:val="none" w:sz="0" w:space="0" w:color="auto"/>
                  </w:divBdr>
                  <w:divsChild>
                    <w:div w:id="7896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94293">
      <w:bodyDiv w:val="1"/>
      <w:marLeft w:val="0"/>
      <w:marRight w:val="0"/>
      <w:marTop w:val="0"/>
      <w:marBottom w:val="0"/>
      <w:divBdr>
        <w:top w:val="none" w:sz="0" w:space="0" w:color="auto"/>
        <w:left w:val="none" w:sz="0" w:space="0" w:color="auto"/>
        <w:bottom w:val="none" w:sz="0" w:space="0" w:color="auto"/>
        <w:right w:val="none" w:sz="0" w:space="0" w:color="auto"/>
      </w:divBdr>
    </w:div>
    <w:div w:id="119035238">
      <w:bodyDiv w:val="1"/>
      <w:marLeft w:val="0"/>
      <w:marRight w:val="0"/>
      <w:marTop w:val="0"/>
      <w:marBottom w:val="0"/>
      <w:divBdr>
        <w:top w:val="none" w:sz="0" w:space="0" w:color="auto"/>
        <w:left w:val="none" w:sz="0" w:space="0" w:color="auto"/>
        <w:bottom w:val="none" w:sz="0" w:space="0" w:color="auto"/>
        <w:right w:val="none" w:sz="0" w:space="0" w:color="auto"/>
      </w:divBdr>
    </w:div>
    <w:div w:id="119342688">
      <w:bodyDiv w:val="1"/>
      <w:marLeft w:val="0"/>
      <w:marRight w:val="0"/>
      <w:marTop w:val="0"/>
      <w:marBottom w:val="0"/>
      <w:divBdr>
        <w:top w:val="none" w:sz="0" w:space="0" w:color="auto"/>
        <w:left w:val="none" w:sz="0" w:space="0" w:color="auto"/>
        <w:bottom w:val="none" w:sz="0" w:space="0" w:color="auto"/>
        <w:right w:val="none" w:sz="0" w:space="0" w:color="auto"/>
      </w:divBdr>
    </w:div>
    <w:div w:id="119419620">
      <w:bodyDiv w:val="1"/>
      <w:marLeft w:val="0"/>
      <w:marRight w:val="0"/>
      <w:marTop w:val="0"/>
      <w:marBottom w:val="0"/>
      <w:divBdr>
        <w:top w:val="none" w:sz="0" w:space="0" w:color="auto"/>
        <w:left w:val="none" w:sz="0" w:space="0" w:color="auto"/>
        <w:bottom w:val="none" w:sz="0" w:space="0" w:color="auto"/>
        <w:right w:val="none" w:sz="0" w:space="0" w:color="auto"/>
      </w:divBdr>
    </w:div>
    <w:div w:id="119501140">
      <w:bodyDiv w:val="1"/>
      <w:marLeft w:val="0"/>
      <w:marRight w:val="0"/>
      <w:marTop w:val="0"/>
      <w:marBottom w:val="0"/>
      <w:divBdr>
        <w:top w:val="none" w:sz="0" w:space="0" w:color="auto"/>
        <w:left w:val="none" w:sz="0" w:space="0" w:color="auto"/>
        <w:bottom w:val="none" w:sz="0" w:space="0" w:color="auto"/>
        <w:right w:val="none" w:sz="0" w:space="0" w:color="auto"/>
      </w:divBdr>
    </w:div>
    <w:div w:id="119568694">
      <w:bodyDiv w:val="1"/>
      <w:marLeft w:val="0"/>
      <w:marRight w:val="0"/>
      <w:marTop w:val="0"/>
      <w:marBottom w:val="0"/>
      <w:divBdr>
        <w:top w:val="none" w:sz="0" w:space="0" w:color="auto"/>
        <w:left w:val="none" w:sz="0" w:space="0" w:color="auto"/>
        <w:bottom w:val="none" w:sz="0" w:space="0" w:color="auto"/>
        <w:right w:val="none" w:sz="0" w:space="0" w:color="auto"/>
      </w:divBdr>
    </w:div>
    <w:div w:id="119760653">
      <w:bodyDiv w:val="1"/>
      <w:marLeft w:val="0"/>
      <w:marRight w:val="0"/>
      <w:marTop w:val="0"/>
      <w:marBottom w:val="0"/>
      <w:divBdr>
        <w:top w:val="none" w:sz="0" w:space="0" w:color="auto"/>
        <w:left w:val="none" w:sz="0" w:space="0" w:color="auto"/>
        <w:bottom w:val="none" w:sz="0" w:space="0" w:color="auto"/>
        <w:right w:val="none" w:sz="0" w:space="0" w:color="auto"/>
      </w:divBdr>
      <w:divsChild>
        <w:div w:id="449974150">
          <w:marLeft w:val="0"/>
          <w:marRight w:val="0"/>
          <w:marTop w:val="0"/>
          <w:marBottom w:val="0"/>
          <w:divBdr>
            <w:top w:val="none" w:sz="0" w:space="0" w:color="auto"/>
            <w:left w:val="none" w:sz="0" w:space="0" w:color="auto"/>
            <w:bottom w:val="none" w:sz="0" w:space="0" w:color="auto"/>
            <w:right w:val="none" w:sz="0" w:space="0" w:color="auto"/>
          </w:divBdr>
          <w:divsChild>
            <w:div w:id="1239050491">
              <w:marLeft w:val="0"/>
              <w:marRight w:val="0"/>
              <w:marTop w:val="0"/>
              <w:marBottom w:val="0"/>
              <w:divBdr>
                <w:top w:val="none" w:sz="0" w:space="0" w:color="auto"/>
                <w:left w:val="none" w:sz="0" w:space="0" w:color="auto"/>
                <w:bottom w:val="none" w:sz="0" w:space="0" w:color="auto"/>
                <w:right w:val="none" w:sz="0" w:space="0" w:color="auto"/>
              </w:divBdr>
              <w:divsChild>
                <w:div w:id="1939825556">
                  <w:marLeft w:val="0"/>
                  <w:marRight w:val="0"/>
                  <w:marTop w:val="0"/>
                  <w:marBottom w:val="0"/>
                  <w:divBdr>
                    <w:top w:val="none" w:sz="0" w:space="0" w:color="auto"/>
                    <w:left w:val="none" w:sz="0" w:space="0" w:color="auto"/>
                    <w:bottom w:val="none" w:sz="0" w:space="0" w:color="auto"/>
                    <w:right w:val="none" w:sz="0" w:space="0" w:color="auto"/>
                  </w:divBdr>
                  <w:divsChild>
                    <w:div w:id="202841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05092">
      <w:bodyDiv w:val="1"/>
      <w:marLeft w:val="0"/>
      <w:marRight w:val="0"/>
      <w:marTop w:val="0"/>
      <w:marBottom w:val="0"/>
      <w:divBdr>
        <w:top w:val="none" w:sz="0" w:space="0" w:color="auto"/>
        <w:left w:val="none" w:sz="0" w:space="0" w:color="auto"/>
        <w:bottom w:val="none" w:sz="0" w:space="0" w:color="auto"/>
        <w:right w:val="none" w:sz="0" w:space="0" w:color="auto"/>
      </w:divBdr>
    </w:div>
    <w:div w:id="121772513">
      <w:bodyDiv w:val="1"/>
      <w:marLeft w:val="0"/>
      <w:marRight w:val="0"/>
      <w:marTop w:val="0"/>
      <w:marBottom w:val="0"/>
      <w:divBdr>
        <w:top w:val="none" w:sz="0" w:space="0" w:color="auto"/>
        <w:left w:val="none" w:sz="0" w:space="0" w:color="auto"/>
        <w:bottom w:val="none" w:sz="0" w:space="0" w:color="auto"/>
        <w:right w:val="none" w:sz="0" w:space="0" w:color="auto"/>
      </w:divBdr>
    </w:div>
    <w:div w:id="123499193">
      <w:bodyDiv w:val="1"/>
      <w:marLeft w:val="0"/>
      <w:marRight w:val="0"/>
      <w:marTop w:val="0"/>
      <w:marBottom w:val="0"/>
      <w:divBdr>
        <w:top w:val="none" w:sz="0" w:space="0" w:color="auto"/>
        <w:left w:val="none" w:sz="0" w:space="0" w:color="auto"/>
        <w:bottom w:val="none" w:sz="0" w:space="0" w:color="auto"/>
        <w:right w:val="none" w:sz="0" w:space="0" w:color="auto"/>
      </w:divBdr>
    </w:div>
    <w:div w:id="124545405">
      <w:bodyDiv w:val="1"/>
      <w:marLeft w:val="0"/>
      <w:marRight w:val="0"/>
      <w:marTop w:val="0"/>
      <w:marBottom w:val="0"/>
      <w:divBdr>
        <w:top w:val="none" w:sz="0" w:space="0" w:color="auto"/>
        <w:left w:val="none" w:sz="0" w:space="0" w:color="auto"/>
        <w:bottom w:val="none" w:sz="0" w:space="0" w:color="auto"/>
        <w:right w:val="none" w:sz="0" w:space="0" w:color="auto"/>
      </w:divBdr>
    </w:div>
    <w:div w:id="125785044">
      <w:bodyDiv w:val="1"/>
      <w:marLeft w:val="0"/>
      <w:marRight w:val="0"/>
      <w:marTop w:val="0"/>
      <w:marBottom w:val="0"/>
      <w:divBdr>
        <w:top w:val="none" w:sz="0" w:space="0" w:color="auto"/>
        <w:left w:val="none" w:sz="0" w:space="0" w:color="auto"/>
        <w:bottom w:val="none" w:sz="0" w:space="0" w:color="auto"/>
        <w:right w:val="none" w:sz="0" w:space="0" w:color="auto"/>
      </w:divBdr>
    </w:div>
    <w:div w:id="125855101">
      <w:bodyDiv w:val="1"/>
      <w:marLeft w:val="0"/>
      <w:marRight w:val="0"/>
      <w:marTop w:val="0"/>
      <w:marBottom w:val="0"/>
      <w:divBdr>
        <w:top w:val="none" w:sz="0" w:space="0" w:color="auto"/>
        <w:left w:val="none" w:sz="0" w:space="0" w:color="auto"/>
        <w:bottom w:val="none" w:sz="0" w:space="0" w:color="auto"/>
        <w:right w:val="none" w:sz="0" w:space="0" w:color="auto"/>
      </w:divBdr>
      <w:divsChild>
        <w:div w:id="2045399222">
          <w:marLeft w:val="0"/>
          <w:marRight w:val="0"/>
          <w:marTop w:val="0"/>
          <w:marBottom w:val="0"/>
          <w:divBdr>
            <w:top w:val="none" w:sz="0" w:space="0" w:color="auto"/>
            <w:left w:val="none" w:sz="0" w:space="0" w:color="auto"/>
            <w:bottom w:val="none" w:sz="0" w:space="0" w:color="auto"/>
            <w:right w:val="none" w:sz="0" w:space="0" w:color="auto"/>
          </w:divBdr>
          <w:divsChild>
            <w:div w:id="658536026">
              <w:marLeft w:val="0"/>
              <w:marRight w:val="0"/>
              <w:marTop w:val="0"/>
              <w:marBottom w:val="0"/>
              <w:divBdr>
                <w:top w:val="none" w:sz="0" w:space="0" w:color="auto"/>
                <w:left w:val="none" w:sz="0" w:space="0" w:color="auto"/>
                <w:bottom w:val="none" w:sz="0" w:space="0" w:color="auto"/>
                <w:right w:val="none" w:sz="0" w:space="0" w:color="auto"/>
              </w:divBdr>
              <w:divsChild>
                <w:div w:id="1799756870">
                  <w:marLeft w:val="0"/>
                  <w:marRight w:val="0"/>
                  <w:marTop w:val="0"/>
                  <w:marBottom w:val="0"/>
                  <w:divBdr>
                    <w:top w:val="none" w:sz="0" w:space="0" w:color="auto"/>
                    <w:left w:val="none" w:sz="0" w:space="0" w:color="auto"/>
                    <w:bottom w:val="none" w:sz="0" w:space="0" w:color="auto"/>
                    <w:right w:val="none" w:sz="0" w:space="0" w:color="auto"/>
                  </w:divBdr>
                  <w:divsChild>
                    <w:div w:id="66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588">
      <w:bodyDiv w:val="1"/>
      <w:marLeft w:val="0"/>
      <w:marRight w:val="0"/>
      <w:marTop w:val="0"/>
      <w:marBottom w:val="0"/>
      <w:divBdr>
        <w:top w:val="none" w:sz="0" w:space="0" w:color="auto"/>
        <w:left w:val="none" w:sz="0" w:space="0" w:color="auto"/>
        <w:bottom w:val="none" w:sz="0" w:space="0" w:color="auto"/>
        <w:right w:val="none" w:sz="0" w:space="0" w:color="auto"/>
      </w:divBdr>
    </w:div>
    <w:div w:id="126633728">
      <w:bodyDiv w:val="1"/>
      <w:marLeft w:val="0"/>
      <w:marRight w:val="0"/>
      <w:marTop w:val="0"/>
      <w:marBottom w:val="0"/>
      <w:divBdr>
        <w:top w:val="none" w:sz="0" w:space="0" w:color="auto"/>
        <w:left w:val="none" w:sz="0" w:space="0" w:color="auto"/>
        <w:bottom w:val="none" w:sz="0" w:space="0" w:color="auto"/>
        <w:right w:val="none" w:sz="0" w:space="0" w:color="auto"/>
      </w:divBdr>
      <w:divsChild>
        <w:div w:id="903176399">
          <w:marLeft w:val="0"/>
          <w:marRight w:val="0"/>
          <w:marTop w:val="0"/>
          <w:marBottom w:val="0"/>
          <w:divBdr>
            <w:top w:val="none" w:sz="0" w:space="0" w:color="auto"/>
            <w:left w:val="none" w:sz="0" w:space="0" w:color="auto"/>
            <w:bottom w:val="none" w:sz="0" w:space="0" w:color="auto"/>
            <w:right w:val="none" w:sz="0" w:space="0" w:color="auto"/>
          </w:divBdr>
          <w:divsChild>
            <w:div w:id="978920845">
              <w:marLeft w:val="0"/>
              <w:marRight w:val="0"/>
              <w:marTop w:val="0"/>
              <w:marBottom w:val="0"/>
              <w:divBdr>
                <w:top w:val="none" w:sz="0" w:space="0" w:color="auto"/>
                <w:left w:val="none" w:sz="0" w:space="0" w:color="auto"/>
                <w:bottom w:val="none" w:sz="0" w:space="0" w:color="auto"/>
                <w:right w:val="none" w:sz="0" w:space="0" w:color="auto"/>
              </w:divBdr>
              <w:divsChild>
                <w:div w:id="130679286">
                  <w:marLeft w:val="0"/>
                  <w:marRight w:val="0"/>
                  <w:marTop w:val="0"/>
                  <w:marBottom w:val="0"/>
                  <w:divBdr>
                    <w:top w:val="none" w:sz="0" w:space="0" w:color="auto"/>
                    <w:left w:val="none" w:sz="0" w:space="0" w:color="auto"/>
                    <w:bottom w:val="none" w:sz="0" w:space="0" w:color="auto"/>
                    <w:right w:val="none" w:sz="0" w:space="0" w:color="auto"/>
                  </w:divBdr>
                  <w:divsChild>
                    <w:div w:id="20650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75145">
      <w:bodyDiv w:val="1"/>
      <w:marLeft w:val="0"/>
      <w:marRight w:val="0"/>
      <w:marTop w:val="0"/>
      <w:marBottom w:val="0"/>
      <w:divBdr>
        <w:top w:val="none" w:sz="0" w:space="0" w:color="auto"/>
        <w:left w:val="none" w:sz="0" w:space="0" w:color="auto"/>
        <w:bottom w:val="none" w:sz="0" w:space="0" w:color="auto"/>
        <w:right w:val="none" w:sz="0" w:space="0" w:color="auto"/>
      </w:divBdr>
    </w:div>
    <w:div w:id="127165121">
      <w:bodyDiv w:val="1"/>
      <w:marLeft w:val="0"/>
      <w:marRight w:val="0"/>
      <w:marTop w:val="0"/>
      <w:marBottom w:val="0"/>
      <w:divBdr>
        <w:top w:val="none" w:sz="0" w:space="0" w:color="auto"/>
        <w:left w:val="none" w:sz="0" w:space="0" w:color="auto"/>
        <w:bottom w:val="none" w:sz="0" w:space="0" w:color="auto"/>
        <w:right w:val="none" w:sz="0" w:space="0" w:color="auto"/>
      </w:divBdr>
    </w:div>
    <w:div w:id="128980578">
      <w:bodyDiv w:val="1"/>
      <w:marLeft w:val="0"/>
      <w:marRight w:val="0"/>
      <w:marTop w:val="0"/>
      <w:marBottom w:val="0"/>
      <w:divBdr>
        <w:top w:val="none" w:sz="0" w:space="0" w:color="auto"/>
        <w:left w:val="none" w:sz="0" w:space="0" w:color="auto"/>
        <w:bottom w:val="none" w:sz="0" w:space="0" w:color="auto"/>
        <w:right w:val="none" w:sz="0" w:space="0" w:color="auto"/>
      </w:divBdr>
    </w:div>
    <w:div w:id="129976465">
      <w:bodyDiv w:val="1"/>
      <w:marLeft w:val="0"/>
      <w:marRight w:val="0"/>
      <w:marTop w:val="0"/>
      <w:marBottom w:val="0"/>
      <w:divBdr>
        <w:top w:val="none" w:sz="0" w:space="0" w:color="auto"/>
        <w:left w:val="none" w:sz="0" w:space="0" w:color="auto"/>
        <w:bottom w:val="none" w:sz="0" w:space="0" w:color="auto"/>
        <w:right w:val="none" w:sz="0" w:space="0" w:color="auto"/>
      </w:divBdr>
    </w:div>
    <w:div w:id="131675257">
      <w:bodyDiv w:val="1"/>
      <w:marLeft w:val="0"/>
      <w:marRight w:val="0"/>
      <w:marTop w:val="0"/>
      <w:marBottom w:val="0"/>
      <w:divBdr>
        <w:top w:val="none" w:sz="0" w:space="0" w:color="auto"/>
        <w:left w:val="none" w:sz="0" w:space="0" w:color="auto"/>
        <w:bottom w:val="none" w:sz="0" w:space="0" w:color="auto"/>
        <w:right w:val="none" w:sz="0" w:space="0" w:color="auto"/>
      </w:divBdr>
      <w:divsChild>
        <w:div w:id="1572233583">
          <w:marLeft w:val="0"/>
          <w:marRight w:val="0"/>
          <w:marTop w:val="0"/>
          <w:marBottom w:val="0"/>
          <w:divBdr>
            <w:top w:val="none" w:sz="0" w:space="0" w:color="auto"/>
            <w:left w:val="none" w:sz="0" w:space="0" w:color="auto"/>
            <w:bottom w:val="none" w:sz="0" w:space="0" w:color="auto"/>
            <w:right w:val="none" w:sz="0" w:space="0" w:color="auto"/>
          </w:divBdr>
          <w:divsChild>
            <w:div w:id="204685122">
              <w:marLeft w:val="0"/>
              <w:marRight w:val="0"/>
              <w:marTop w:val="0"/>
              <w:marBottom w:val="0"/>
              <w:divBdr>
                <w:top w:val="none" w:sz="0" w:space="0" w:color="auto"/>
                <w:left w:val="none" w:sz="0" w:space="0" w:color="auto"/>
                <w:bottom w:val="none" w:sz="0" w:space="0" w:color="auto"/>
                <w:right w:val="none" w:sz="0" w:space="0" w:color="auto"/>
              </w:divBdr>
              <w:divsChild>
                <w:div w:id="151920446">
                  <w:marLeft w:val="0"/>
                  <w:marRight w:val="0"/>
                  <w:marTop w:val="0"/>
                  <w:marBottom w:val="0"/>
                  <w:divBdr>
                    <w:top w:val="none" w:sz="0" w:space="0" w:color="auto"/>
                    <w:left w:val="none" w:sz="0" w:space="0" w:color="auto"/>
                    <w:bottom w:val="none" w:sz="0" w:space="0" w:color="auto"/>
                    <w:right w:val="none" w:sz="0" w:space="0" w:color="auto"/>
                  </w:divBdr>
                  <w:divsChild>
                    <w:div w:id="207434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93168">
      <w:bodyDiv w:val="1"/>
      <w:marLeft w:val="0"/>
      <w:marRight w:val="0"/>
      <w:marTop w:val="0"/>
      <w:marBottom w:val="0"/>
      <w:divBdr>
        <w:top w:val="none" w:sz="0" w:space="0" w:color="auto"/>
        <w:left w:val="none" w:sz="0" w:space="0" w:color="auto"/>
        <w:bottom w:val="none" w:sz="0" w:space="0" w:color="auto"/>
        <w:right w:val="none" w:sz="0" w:space="0" w:color="auto"/>
      </w:divBdr>
    </w:div>
    <w:div w:id="133256141">
      <w:bodyDiv w:val="1"/>
      <w:marLeft w:val="0"/>
      <w:marRight w:val="0"/>
      <w:marTop w:val="0"/>
      <w:marBottom w:val="0"/>
      <w:divBdr>
        <w:top w:val="none" w:sz="0" w:space="0" w:color="auto"/>
        <w:left w:val="none" w:sz="0" w:space="0" w:color="auto"/>
        <w:bottom w:val="none" w:sz="0" w:space="0" w:color="auto"/>
        <w:right w:val="none" w:sz="0" w:space="0" w:color="auto"/>
      </w:divBdr>
    </w:div>
    <w:div w:id="133256415">
      <w:bodyDiv w:val="1"/>
      <w:marLeft w:val="0"/>
      <w:marRight w:val="0"/>
      <w:marTop w:val="0"/>
      <w:marBottom w:val="0"/>
      <w:divBdr>
        <w:top w:val="none" w:sz="0" w:space="0" w:color="auto"/>
        <w:left w:val="none" w:sz="0" w:space="0" w:color="auto"/>
        <w:bottom w:val="none" w:sz="0" w:space="0" w:color="auto"/>
        <w:right w:val="none" w:sz="0" w:space="0" w:color="auto"/>
      </w:divBdr>
    </w:div>
    <w:div w:id="133760758">
      <w:bodyDiv w:val="1"/>
      <w:marLeft w:val="0"/>
      <w:marRight w:val="0"/>
      <w:marTop w:val="0"/>
      <w:marBottom w:val="0"/>
      <w:divBdr>
        <w:top w:val="none" w:sz="0" w:space="0" w:color="auto"/>
        <w:left w:val="none" w:sz="0" w:space="0" w:color="auto"/>
        <w:bottom w:val="none" w:sz="0" w:space="0" w:color="auto"/>
        <w:right w:val="none" w:sz="0" w:space="0" w:color="auto"/>
      </w:divBdr>
    </w:div>
    <w:div w:id="133763628">
      <w:bodyDiv w:val="1"/>
      <w:marLeft w:val="0"/>
      <w:marRight w:val="0"/>
      <w:marTop w:val="0"/>
      <w:marBottom w:val="0"/>
      <w:divBdr>
        <w:top w:val="none" w:sz="0" w:space="0" w:color="auto"/>
        <w:left w:val="none" w:sz="0" w:space="0" w:color="auto"/>
        <w:bottom w:val="none" w:sz="0" w:space="0" w:color="auto"/>
        <w:right w:val="none" w:sz="0" w:space="0" w:color="auto"/>
      </w:divBdr>
    </w:div>
    <w:div w:id="137235261">
      <w:bodyDiv w:val="1"/>
      <w:marLeft w:val="0"/>
      <w:marRight w:val="0"/>
      <w:marTop w:val="0"/>
      <w:marBottom w:val="0"/>
      <w:divBdr>
        <w:top w:val="none" w:sz="0" w:space="0" w:color="auto"/>
        <w:left w:val="none" w:sz="0" w:space="0" w:color="auto"/>
        <w:bottom w:val="none" w:sz="0" w:space="0" w:color="auto"/>
        <w:right w:val="none" w:sz="0" w:space="0" w:color="auto"/>
      </w:divBdr>
    </w:div>
    <w:div w:id="137501454">
      <w:bodyDiv w:val="1"/>
      <w:marLeft w:val="0"/>
      <w:marRight w:val="0"/>
      <w:marTop w:val="0"/>
      <w:marBottom w:val="0"/>
      <w:divBdr>
        <w:top w:val="none" w:sz="0" w:space="0" w:color="auto"/>
        <w:left w:val="none" w:sz="0" w:space="0" w:color="auto"/>
        <w:bottom w:val="none" w:sz="0" w:space="0" w:color="auto"/>
        <w:right w:val="none" w:sz="0" w:space="0" w:color="auto"/>
      </w:divBdr>
    </w:div>
    <w:div w:id="137964167">
      <w:bodyDiv w:val="1"/>
      <w:marLeft w:val="0"/>
      <w:marRight w:val="0"/>
      <w:marTop w:val="0"/>
      <w:marBottom w:val="0"/>
      <w:divBdr>
        <w:top w:val="none" w:sz="0" w:space="0" w:color="auto"/>
        <w:left w:val="none" w:sz="0" w:space="0" w:color="auto"/>
        <w:bottom w:val="none" w:sz="0" w:space="0" w:color="auto"/>
        <w:right w:val="none" w:sz="0" w:space="0" w:color="auto"/>
      </w:divBdr>
    </w:div>
    <w:div w:id="138615534">
      <w:bodyDiv w:val="1"/>
      <w:marLeft w:val="0"/>
      <w:marRight w:val="0"/>
      <w:marTop w:val="0"/>
      <w:marBottom w:val="0"/>
      <w:divBdr>
        <w:top w:val="none" w:sz="0" w:space="0" w:color="auto"/>
        <w:left w:val="none" w:sz="0" w:space="0" w:color="auto"/>
        <w:bottom w:val="none" w:sz="0" w:space="0" w:color="auto"/>
        <w:right w:val="none" w:sz="0" w:space="0" w:color="auto"/>
      </w:divBdr>
      <w:divsChild>
        <w:div w:id="622420355">
          <w:marLeft w:val="0"/>
          <w:marRight w:val="0"/>
          <w:marTop w:val="0"/>
          <w:marBottom w:val="0"/>
          <w:divBdr>
            <w:top w:val="none" w:sz="0" w:space="0" w:color="auto"/>
            <w:left w:val="none" w:sz="0" w:space="0" w:color="auto"/>
            <w:bottom w:val="none" w:sz="0" w:space="0" w:color="auto"/>
            <w:right w:val="none" w:sz="0" w:space="0" w:color="auto"/>
          </w:divBdr>
          <w:divsChild>
            <w:div w:id="1219829006">
              <w:marLeft w:val="0"/>
              <w:marRight w:val="0"/>
              <w:marTop w:val="0"/>
              <w:marBottom w:val="0"/>
              <w:divBdr>
                <w:top w:val="none" w:sz="0" w:space="0" w:color="auto"/>
                <w:left w:val="none" w:sz="0" w:space="0" w:color="auto"/>
                <w:bottom w:val="none" w:sz="0" w:space="0" w:color="auto"/>
                <w:right w:val="none" w:sz="0" w:space="0" w:color="auto"/>
              </w:divBdr>
              <w:divsChild>
                <w:div w:id="390201446">
                  <w:marLeft w:val="0"/>
                  <w:marRight w:val="0"/>
                  <w:marTop w:val="0"/>
                  <w:marBottom w:val="0"/>
                  <w:divBdr>
                    <w:top w:val="none" w:sz="0" w:space="0" w:color="auto"/>
                    <w:left w:val="none" w:sz="0" w:space="0" w:color="auto"/>
                    <w:bottom w:val="none" w:sz="0" w:space="0" w:color="auto"/>
                    <w:right w:val="none" w:sz="0" w:space="0" w:color="auto"/>
                  </w:divBdr>
                  <w:divsChild>
                    <w:div w:id="7973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5003">
      <w:bodyDiv w:val="1"/>
      <w:marLeft w:val="0"/>
      <w:marRight w:val="0"/>
      <w:marTop w:val="0"/>
      <w:marBottom w:val="0"/>
      <w:divBdr>
        <w:top w:val="none" w:sz="0" w:space="0" w:color="auto"/>
        <w:left w:val="none" w:sz="0" w:space="0" w:color="auto"/>
        <w:bottom w:val="none" w:sz="0" w:space="0" w:color="auto"/>
        <w:right w:val="none" w:sz="0" w:space="0" w:color="auto"/>
      </w:divBdr>
      <w:divsChild>
        <w:div w:id="867379393">
          <w:marLeft w:val="0"/>
          <w:marRight w:val="0"/>
          <w:marTop w:val="0"/>
          <w:marBottom w:val="0"/>
          <w:divBdr>
            <w:top w:val="none" w:sz="0" w:space="0" w:color="auto"/>
            <w:left w:val="none" w:sz="0" w:space="0" w:color="auto"/>
            <w:bottom w:val="none" w:sz="0" w:space="0" w:color="auto"/>
            <w:right w:val="none" w:sz="0" w:space="0" w:color="auto"/>
          </w:divBdr>
          <w:divsChild>
            <w:div w:id="420565139">
              <w:marLeft w:val="0"/>
              <w:marRight w:val="0"/>
              <w:marTop w:val="0"/>
              <w:marBottom w:val="0"/>
              <w:divBdr>
                <w:top w:val="none" w:sz="0" w:space="0" w:color="auto"/>
                <w:left w:val="none" w:sz="0" w:space="0" w:color="auto"/>
                <w:bottom w:val="none" w:sz="0" w:space="0" w:color="auto"/>
                <w:right w:val="none" w:sz="0" w:space="0" w:color="auto"/>
              </w:divBdr>
              <w:divsChild>
                <w:div w:id="1688169650">
                  <w:marLeft w:val="0"/>
                  <w:marRight w:val="0"/>
                  <w:marTop w:val="0"/>
                  <w:marBottom w:val="0"/>
                  <w:divBdr>
                    <w:top w:val="none" w:sz="0" w:space="0" w:color="auto"/>
                    <w:left w:val="none" w:sz="0" w:space="0" w:color="auto"/>
                    <w:bottom w:val="none" w:sz="0" w:space="0" w:color="auto"/>
                    <w:right w:val="none" w:sz="0" w:space="0" w:color="auto"/>
                  </w:divBdr>
                  <w:divsChild>
                    <w:div w:id="98173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32437">
      <w:bodyDiv w:val="1"/>
      <w:marLeft w:val="0"/>
      <w:marRight w:val="0"/>
      <w:marTop w:val="0"/>
      <w:marBottom w:val="0"/>
      <w:divBdr>
        <w:top w:val="none" w:sz="0" w:space="0" w:color="auto"/>
        <w:left w:val="none" w:sz="0" w:space="0" w:color="auto"/>
        <w:bottom w:val="none" w:sz="0" w:space="0" w:color="auto"/>
        <w:right w:val="none" w:sz="0" w:space="0" w:color="auto"/>
      </w:divBdr>
      <w:divsChild>
        <w:div w:id="227571153">
          <w:marLeft w:val="0"/>
          <w:marRight w:val="0"/>
          <w:marTop w:val="0"/>
          <w:marBottom w:val="0"/>
          <w:divBdr>
            <w:top w:val="none" w:sz="0" w:space="0" w:color="auto"/>
            <w:left w:val="none" w:sz="0" w:space="0" w:color="auto"/>
            <w:bottom w:val="none" w:sz="0" w:space="0" w:color="auto"/>
            <w:right w:val="none" w:sz="0" w:space="0" w:color="auto"/>
          </w:divBdr>
          <w:divsChild>
            <w:div w:id="1313831508">
              <w:marLeft w:val="0"/>
              <w:marRight w:val="0"/>
              <w:marTop w:val="0"/>
              <w:marBottom w:val="0"/>
              <w:divBdr>
                <w:top w:val="none" w:sz="0" w:space="0" w:color="auto"/>
                <w:left w:val="none" w:sz="0" w:space="0" w:color="auto"/>
                <w:bottom w:val="none" w:sz="0" w:space="0" w:color="auto"/>
                <w:right w:val="none" w:sz="0" w:space="0" w:color="auto"/>
              </w:divBdr>
              <w:divsChild>
                <w:div w:id="1244872020">
                  <w:marLeft w:val="0"/>
                  <w:marRight w:val="0"/>
                  <w:marTop w:val="0"/>
                  <w:marBottom w:val="0"/>
                  <w:divBdr>
                    <w:top w:val="none" w:sz="0" w:space="0" w:color="auto"/>
                    <w:left w:val="none" w:sz="0" w:space="0" w:color="auto"/>
                    <w:bottom w:val="none" w:sz="0" w:space="0" w:color="auto"/>
                    <w:right w:val="none" w:sz="0" w:space="0" w:color="auto"/>
                  </w:divBdr>
                  <w:divsChild>
                    <w:div w:id="72358345">
                      <w:marLeft w:val="0"/>
                      <w:marRight w:val="0"/>
                      <w:marTop w:val="0"/>
                      <w:marBottom w:val="0"/>
                      <w:divBdr>
                        <w:top w:val="none" w:sz="0" w:space="0" w:color="auto"/>
                        <w:left w:val="none" w:sz="0" w:space="0" w:color="auto"/>
                        <w:bottom w:val="none" w:sz="0" w:space="0" w:color="auto"/>
                        <w:right w:val="none" w:sz="0" w:space="0" w:color="auto"/>
                      </w:divBdr>
                    </w:div>
                  </w:divsChild>
                </w:div>
                <w:div w:id="1265461599">
                  <w:marLeft w:val="0"/>
                  <w:marRight w:val="0"/>
                  <w:marTop w:val="0"/>
                  <w:marBottom w:val="0"/>
                  <w:divBdr>
                    <w:top w:val="none" w:sz="0" w:space="0" w:color="auto"/>
                    <w:left w:val="none" w:sz="0" w:space="0" w:color="auto"/>
                    <w:bottom w:val="none" w:sz="0" w:space="0" w:color="auto"/>
                    <w:right w:val="none" w:sz="0" w:space="0" w:color="auto"/>
                  </w:divBdr>
                  <w:divsChild>
                    <w:div w:id="189014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88864">
      <w:bodyDiv w:val="1"/>
      <w:marLeft w:val="0"/>
      <w:marRight w:val="0"/>
      <w:marTop w:val="0"/>
      <w:marBottom w:val="0"/>
      <w:divBdr>
        <w:top w:val="none" w:sz="0" w:space="0" w:color="auto"/>
        <w:left w:val="none" w:sz="0" w:space="0" w:color="auto"/>
        <w:bottom w:val="none" w:sz="0" w:space="0" w:color="auto"/>
        <w:right w:val="none" w:sz="0" w:space="0" w:color="auto"/>
      </w:divBdr>
    </w:div>
    <w:div w:id="139734885">
      <w:bodyDiv w:val="1"/>
      <w:marLeft w:val="0"/>
      <w:marRight w:val="0"/>
      <w:marTop w:val="0"/>
      <w:marBottom w:val="0"/>
      <w:divBdr>
        <w:top w:val="none" w:sz="0" w:space="0" w:color="auto"/>
        <w:left w:val="none" w:sz="0" w:space="0" w:color="auto"/>
        <w:bottom w:val="none" w:sz="0" w:space="0" w:color="auto"/>
        <w:right w:val="none" w:sz="0" w:space="0" w:color="auto"/>
      </w:divBdr>
    </w:div>
    <w:div w:id="141654177">
      <w:bodyDiv w:val="1"/>
      <w:marLeft w:val="0"/>
      <w:marRight w:val="0"/>
      <w:marTop w:val="0"/>
      <w:marBottom w:val="0"/>
      <w:divBdr>
        <w:top w:val="none" w:sz="0" w:space="0" w:color="auto"/>
        <w:left w:val="none" w:sz="0" w:space="0" w:color="auto"/>
        <w:bottom w:val="none" w:sz="0" w:space="0" w:color="auto"/>
        <w:right w:val="none" w:sz="0" w:space="0" w:color="auto"/>
      </w:divBdr>
    </w:div>
    <w:div w:id="142091287">
      <w:bodyDiv w:val="1"/>
      <w:marLeft w:val="0"/>
      <w:marRight w:val="0"/>
      <w:marTop w:val="0"/>
      <w:marBottom w:val="0"/>
      <w:divBdr>
        <w:top w:val="none" w:sz="0" w:space="0" w:color="auto"/>
        <w:left w:val="none" w:sz="0" w:space="0" w:color="auto"/>
        <w:bottom w:val="none" w:sz="0" w:space="0" w:color="auto"/>
        <w:right w:val="none" w:sz="0" w:space="0" w:color="auto"/>
      </w:divBdr>
      <w:divsChild>
        <w:div w:id="522593152">
          <w:marLeft w:val="0"/>
          <w:marRight w:val="0"/>
          <w:marTop w:val="0"/>
          <w:marBottom w:val="0"/>
          <w:divBdr>
            <w:top w:val="none" w:sz="0" w:space="0" w:color="auto"/>
            <w:left w:val="none" w:sz="0" w:space="0" w:color="auto"/>
            <w:bottom w:val="none" w:sz="0" w:space="0" w:color="auto"/>
            <w:right w:val="none" w:sz="0" w:space="0" w:color="auto"/>
          </w:divBdr>
          <w:divsChild>
            <w:div w:id="359941723">
              <w:marLeft w:val="0"/>
              <w:marRight w:val="0"/>
              <w:marTop w:val="0"/>
              <w:marBottom w:val="0"/>
              <w:divBdr>
                <w:top w:val="none" w:sz="0" w:space="0" w:color="auto"/>
                <w:left w:val="none" w:sz="0" w:space="0" w:color="auto"/>
                <w:bottom w:val="none" w:sz="0" w:space="0" w:color="auto"/>
                <w:right w:val="none" w:sz="0" w:space="0" w:color="auto"/>
              </w:divBdr>
              <w:divsChild>
                <w:div w:id="7718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32671">
      <w:bodyDiv w:val="1"/>
      <w:marLeft w:val="0"/>
      <w:marRight w:val="0"/>
      <w:marTop w:val="0"/>
      <w:marBottom w:val="0"/>
      <w:divBdr>
        <w:top w:val="none" w:sz="0" w:space="0" w:color="auto"/>
        <w:left w:val="none" w:sz="0" w:space="0" w:color="auto"/>
        <w:bottom w:val="none" w:sz="0" w:space="0" w:color="auto"/>
        <w:right w:val="none" w:sz="0" w:space="0" w:color="auto"/>
      </w:divBdr>
    </w:div>
    <w:div w:id="142819538">
      <w:bodyDiv w:val="1"/>
      <w:marLeft w:val="0"/>
      <w:marRight w:val="0"/>
      <w:marTop w:val="0"/>
      <w:marBottom w:val="0"/>
      <w:divBdr>
        <w:top w:val="none" w:sz="0" w:space="0" w:color="auto"/>
        <w:left w:val="none" w:sz="0" w:space="0" w:color="auto"/>
        <w:bottom w:val="none" w:sz="0" w:space="0" w:color="auto"/>
        <w:right w:val="none" w:sz="0" w:space="0" w:color="auto"/>
      </w:divBdr>
    </w:div>
    <w:div w:id="142890786">
      <w:bodyDiv w:val="1"/>
      <w:marLeft w:val="0"/>
      <w:marRight w:val="0"/>
      <w:marTop w:val="0"/>
      <w:marBottom w:val="0"/>
      <w:divBdr>
        <w:top w:val="none" w:sz="0" w:space="0" w:color="auto"/>
        <w:left w:val="none" w:sz="0" w:space="0" w:color="auto"/>
        <w:bottom w:val="none" w:sz="0" w:space="0" w:color="auto"/>
        <w:right w:val="none" w:sz="0" w:space="0" w:color="auto"/>
      </w:divBdr>
      <w:divsChild>
        <w:div w:id="1603802506">
          <w:marLeft w:val="0"/>
          <w:marRight w:val="0"/>
          <w:marTop w:val="0"/>
          <w:marBottom w:val="0"/>
          <w:divBdr>
            <w:top w:val="none" w:sz="0" w:space="0" w:color="auto"/>
            <w:left w:val="none" w:sz="0" w:space="0" w:color="auto"/>
            <w:bottom w:val="none" w:sz="0" w:space="0" w:color="auto"/>
            <w:right w:val="none" w:sz="0" w:space="0" w:color="auto"/>
          </w:divBdr>
        </w:div>
      </w:divsChild>
    </w:div>
    <w:div w:id="143786048">
      <w:bodyDiv w:val="1"/>
      <w:marLeft w:val="0"/>
      <w:marRight w:val="0"/>
      <w:marTop w:val="0"/>
      <w:marBottom w:val="0"/>
      <w:divBdr>
        <w:top w:val="none" w:sz="0" w:space="0" w:color="auto"/>
        <w:left w:val="none" w:sz="0" w:space="0" w:color="auto"/>
        <w:bottom w:val="none" w:sz="0" w:space="0" w:color="auto"/>
        <w:right w:val="none" w:sz="0" w:space="0" w:color="auto"/>
      </w:divBdr>
      <w:divsChild>
        <w:div w:id="219950620">
          <w:marLeft w:val="0"/>
          <w:marRight w:val="0"/>
          <w:marTop w:val="0"/>
          <w:marBottom w:val="0"/>
          <w:divBdr>
            <w:top w:val="none" w:sz="0" w:space="0" w:color="auto"/>
            <w:left w:val="none" w:sz="0" w:space="0" w:color="auto"/>
            <w:bottom w:val="none" w:sz="0" w:space="0" w:color="auto"/>
            <w:right w:val="none" w:sz="0" w:space="0" w:color="auto"/>
          </w:divBdr>
          <w:divsChild>
            <w:div w:id="1254704260">
              <w:marLeft w:val="0"/>
              <w:marRight w:val="0"/>
              <w:marTop w:val="0"/>
              <w:marBottom w:val="0"/>
              <w:divBdr>
                <w:top w:val="none" w:sz="0" w:space="0" w:color="auto"/>
                <w:left w:val="none" w:sz="0" w:space="0" w:color="auto"/>
                <w:bottom w:val="none" w:sz="0" w:space="0" w:color="auto"/>
                <w:right w:val="none" w:sz="0" w:space="0" w:color="auto"/>
              </w:divBdr>
              <w:divsChild>
                <w:div w:id="76762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18991">
      <w:bodyDiv w:val="1"/>
      <w:marLeft w:val="0"/>
      <w:marRight w:val="0"/>
      <w:marTop w:val="0"/>
      <w:marBottom w:val="0"/>
      <w:divBdr>
        <w:top w:val="none" w:sz="0" w:space="0" w:color="auto"/>
        <w:left w:val="none" w:sz="0" w:space="0" w:color="auto"/>
        <w:bottom w:val="none" w:sz="0" w:space="0" w:color="auto"/>
        <w:right w:val="none" w:sz="0" w:space="0" w:color="auto"/>
      </w:divBdr>
    </w:div>
    <w:div w:id="144784404">
      <w:bodyDiv w:val="1"/>
      <w:marLeft w:val="0"/>
      <w:marRight w:val="0"/>
      <w:marTop w:val="0"/>
      <w:marBottom w:val="0"/>
      <w:divBdr>
        <w:top w:val="none" w:sz="0" w:space="0" w:color="auto"/>
        <w:left w:val="none" w:sz="0" w:space="0" w:color="auto"/>
        <w:bottom w:val="none" w:sz="0" w:space="0" w:color="auto"/>
        <w:right w:val="none" w:sz="0" w:space="0" w:color="auto"/>
      </w:divBdr>
    </w:div>
    <w:div w:id="145512182">
      <w:bodyDiv w:val="1"/>
      <w:marLeft w:val="0"/>
      <w:marRight w:val="0"/>
      <w:marTop w:val="0"/>
      <w:marBottom w:val="0"/>
      <w:divBdr>
        <w:top w:val="none" w:sz="0" w:space="0" w:color="auto"/>
        <w:left w:val="none" w:sz="0" w:space="0" w:color="auto"/>
        <w:bottom w:val="none" w:sz="0" w:space="0" w:color="auto"/>
        <w:right w:val="none" w:sz="0" w:space="0" w:color="auto"/>
      </w:divBdr>
    </w:div>
    <w:div w:id="145823058">
      <w:bodyDiv w:val="1"/>
      <w:marLeft w:val="0"/>
      <w:marRight w:val="0"/>
      <w:marTop w:val="0"/>
      <w:marBottom w:val="0"/>
      <w:divBdr>
        <w:top w:val="none" w:sz="0" w:space="0" w:color="auto"/>
        <w:left w:val="none" w:sz="0" w:space="0" w:color="auto"/>
        <w:bottom w:val="none" w:sz="0" w:space="0" w:color="auto"/>
        <w:right w:val="none" w:sz="0" w:space="0" w:color="auto"/>
      </w:divBdr>
    </w:div>
    <w:div w:id="146363772">
      <w:bodyDiv w:val="1"/>
      <w:marLeft w:val="0"/>
      <w:marRight w:val="0"/>
      <w:marTop w:val="0"/>
      <w:marBottom w:val="0"/>
      <w:divBdr>
        <w:top w:val="none" w:sz="0" w:space="0" w:color="auto"/>
        <w:left w:val="none" w:sz="0" w:space="0" w:color="auto"/>
        <w:bottom w:val="none" w:sz="0" w:space="0" w:color="auto"/>
        <w:right w:val="none" w:sz="0" w:space="0" w:color="auto"/>
      </w:divBdr>
    </w:div>
    <w:div w:id="148136590">
      <w:bodyDiv w:val="1"/>
      <w:marLeft w:val="0"/>
      <w:marRight w:val="0"/>
      <w:marTop w:val="0"/>
      <w:marBottom w:val="0"/>
      <w:divBdr>
        <w:top w:val="none" w:sz="0" w:space="0" w:color="auto"/>
        <w:left w:val="none" w:sz="0" w:space="0" w:color="auto"/>
        <w:bottom w:val="none" w:sz="0" w:space="0" w:color="auto"/>
        <w:right w:val="none" w:sz="0" w:space="0" w:color="auto"/>
      </w:divBdr>
    </w:div>
    <w:div w:id="150368059">
      <w:bodyDiv w:val="1"/>
      <w:marLeft w:val="0"/>
      <w:marRight w:val="0"/>
      <w:marTop w:val="0"/>
      <w:marBottom w:val="0"/>
      <w:divBdr>
        <w:top w:val="none" w:sz="0" w:space="0" w:color="auto"/>
        <w:left w:val="none" w:sz="0" w:space="0" w:color="auto"/>
        <w:bottom w:val="none" w:sz="0" w:space="0" w:color="auto"/>
        <w:right w:val="none" w:sz="0" w:space="0" w:color="auto"/>
      </w:divBdr>
    </w:div>
    <w:div w:id="150483174">
      <w:bodyDiv w:val="1"/>
      <w:marLeft w:val="0"/>
      <w:marRight w:val="0"/>
      <w:marTop w:val="0"/>
      <w:marBottom w:val="0"/>
      <w:divBdr>
        <w:top w:val="none" w:sz="0" w:space="0" w:color="auto"/>
        <w:left w:val="none" w:sz="0" w:space="0" w:color="auto"/>
        <w:bottom w:val="none" w:sz="0" w:space="0" w:color="auto"/>
        <w:right w:val="none" w:sz="0" w:space="0" w:color="auto"/>
      </w:divBdr>
      <w:divsChild>
        <w:div w:id="667749434">
          <w:marLeft w:val="0"/>
          <w:marRight w:val="0"/>
          <w:marTop w:val="0"/>
          <w:marBottom w:val="0"/>
          <w:divBdr>
            <w:top w:val="none" w:sz="0" w:space="0" w:color="auto"/>
            <w:left w:val="none" w:sz="0" w:space="0" w:color="auto"/>
            <w:bottom w:val="none" w:sz="0" w:space="0" w:color="auto"/>
            <w:right w:val="none" w:sz="0" w:space="0" w:color="auto"/>
          </w:divBdr>
          <w:divsChild>
            <w:div w:id="1146431362">
              <w:marLeft w:val="0"/>
              <w:marRight w:val="0"/>
              <w:marTop w:val="0"/>
              <w:marBottom w:val="0"/>
              <w:divBdr>
                <w:top w:val="none" w:sz="0" w:space="0" w:color="auto"/>
                <w:left w:val="none" w:sz="0" w:space="0" w:color="auto"/>
                <w:bottom w:val="none" w:sz="0" w:space="0" w:color="auto"/>
                <w:right w:val="none" w:sz="0" w:space="0" w:color="auto"/>
              </w:divBdr>
              <w:divsChild>
                <w:div w:id="1832019039">
                  <w:marLeft w:val="0"/>
                  <w:marRight w:val="0"/>
                  <w:marTop w:val="0"/>
                  <w:marBottom w:val="0"/>
                  <w:divBdr>
                    <w:top w:val="none" w:sz="0" w:space="0" w:color="auto"/>
                    <w:left w:val="none" w:sz="0" w:space="0" w:color="auto"/>
                    <w:bottom w:val="none" w:sz="0" w:space="0" w:color="auto"/>
                    <w:right w:val="none" w:sz="0" w:space="0" w:color="auto"/>
                  </w:divBdr>
                  <w:divsChild>
                    <w:div w:id="13735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43495">
      <w:bodyDiv w:val="1"/>
      <w:marLeft w:val="0"/>
      <w:marRight w:val="0"/>
      <w:marTop w:val="0"/>
      <w:marBottom w:val="0"/>
      <w:divBdr>
        <w:top w:val="none" w:sz="0" w:space="0" w:color="auto"/>
        <w:left w:val="none" w:sz="0" w:space="0" w:color="auto"/>
        <w:bottom w:val="none" w:sz="0" w:space="0" w:color="auto"/>
        <w:right w:val="none" w:sz="0" w:space="0" w:color="auto"/>
      </w:divBdr>
    </w:div>
    <w:div w:id="151331583">
      <w:bodyDiv w:val="1"/>
      <w:marLeft w:val="0"/>
      <w:marRight w:val="0"/>
      <w:marTop w:val="0"/>
      <w:marBottom w:val="0"/>
      <w:divBdr>
        <w:top w:val="none" w:sz="0" w:space="0" w:color="auto"/>
        <w:left w:val="none" w:sz="0" w:space="0" w:color="auto"/>
        <w:bottom w:val="none" w:sz="0" w:space="0" w:color="auto"/>
        <w:right w:val="none" w:sz="0" w:space="0" w:color="auto"/>
      </w:divBdr>
      <w:divsChild>
        <w:div w:id="859658069">
          <w:marLeft w:val="0"/>
          <w:marRight w:val="0"/>
          <w:marTop w:val="0"/>
          <w:marBottom w:val="0"/>
          <w:divBdr>
            <w:top w:val="none" w:sz="0" w:space="0" w:color="auto"/>
            <w:left w:val="none" w:sz="0" w:space="0" w:color="auto"/>
            <w:bottom w:val="none" w:sz="0" w:space="0" w:color="auto"/>
            <w:right w:val="none" w:sz="0" w:space="0" w:color="auto"/>
          </w:divBdr>
          <w:divsChild>
            <w:div w:id="1722972480">
              <w:marLeft w:val="0"/>
              <w:marRight w:val="0"/>
              <w:marTop w:val="0"/>
              <w:marBottom w:val="0"/>
              <w:divBdr>
                <w:top w:val="none" w:sz="0" w:space="0" w:color="auto"/>
                <w:left w:val="none" w:sz="0" w:space="0" w:color="auto"/>
                <w:bottom w:val="none" w:sz="0" w:space="0" w:color="auto"/>
                <w:right w:val="none" w:sz="0" w:space="0" w:color="auto"/>
              </w:divBdr>
              <w:divsChild>
                <w:div w:id="1306356723">
                  <w:marLeft w:val="0"/>
                  <w:marRight w:val="0"/>
                  <w:marTop w:val="0"/>
                  <w:marBottom w:val="0"/>
                  <w:divBdr>
                    <w:top w:val="none" w:sz="0" w:space="0" w:color="auto"/>
                    <w:left w:val="none" w:sz="0" w:space="0" w:color="auto"/>
                    <w:bottom w:val="none" w:sz="0" w:space="0" w:color="auto"/>
                    <w:right w:val="none" w:sz="0" w:space="0" w:color="auto"/>
                  </w:divBdr>
                  <w:divsChild>
                    <w:div w:id="185461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37408">
      <w:bodyDiv w:val="1"/>
      <w:marLeft w:val="0"/>
      <w:marRight w:val="0"/>
      <w:marTop w:val="0"/>
      <w:marBottom w:val="0"/>
      <w:divBdr>
        <w:top w:val="none" w:sz="0" w:space="0" w:color="auto"/>
        <w:left w:val="none" w:sz="0" w:space="0" w:color="auto"/>
        <w:bottom w:val="none" w:sz="0" w:space="0" w:color="auto"/>
        <w:right w:val="none" w:sz="0" w:space="0" w:color="auto"/>
      </w:divBdr>
    </w:div>
    <w:div w:id="151534558">
      <w:bodyDiv w:val="1"/>
      <w:marLeft w:val="0"/>
      <w:marRight w:val="0"/>
      <w:marTop w:val="0"/>
      <w:marBottom w:val="0"/>
      <w:divBdr>
        <w:top w:val="none" w:sz="0" w:space="0" w:color="auto"/>
        <w:left w:val="none" w:sz="0" w:space="0" w:color="auto"/>
        <w:bottom w:val="none" w:sz="0" w:space="0" w:color="auto"/>
        <w:right w:val="none" w:sz="0" w:space="0" w:color="auto"/>
      </w:divBdr>
    </w:div>
    <w:div w:id="152261219">
      <w:bodyDiv w:val="1"/>
      <w:marLeft w:val="0"/>
      <w:marRight w:val="0"/>
      <w:marTop w:val="0"/>
      <w:marBottom w:val="0"/>
      <w:divBdr>
        <w:top w:val="none" w:sz="0" w:space="0" w:color="auto"/>
        <w:left w:val="none" w:sz="0" w:space="0" w:color="auto"/>
        <w:bottom w:val="none" w:sz="0" w:space="0" w:color="auto"/>
        <w:right w:val="none" w:sz="0" w:space="0" w:color="auto"/>
      </w:divBdr>
    </w:div>
    <w:div w:id="152574770">
      <w:bodyDiv w:val="1"/>
      <w:marLeft w:val="0"/>
      <w:marRight w:val="0"/>
      <w:marTop w:val="0"/>
      <w:marBottom w:val="0"/>
      <w:divBdr>
        <w:top w:val="none" w:sz="0" w:space="0" w:color="auto"/>
        <w:left w:val="none" w:sz="0" w:space="0" w:color="auto"/>
        <w:bottom w:val="none" w:sz="0" w:space="0" w:color="auto"/>
        <w:right w:val="none" w:sz="0" w:space="0" w:color="auto"/>
      </w:divBdr>
    </w:div>
    <w:div w:id="153381223">
      <w:bodyDiv w:val="1"/>
      <w:marLeft w:val="0"/>
      <w:marRight w:val="0"/>
      <w:marTop w:val="0"/>
      <w:marBottom w:val="0"/>
      <w:divBdr>
        <w:top w:val="none" w:sz="0" w:space="0" w:color="auto"/>
        <w:left w:val="none" w:sz="0" w:space="0" w:color="auto"/>
        <w:bottom w:val="none" w:sz="0" w:space="0" w:color="auto"/>
        <w:right w:val="none" w:sz="0" w:space="0" w:color="auto"/>
      </w:divBdr>
    </w:div>
    <w:div w:id="153692834">
      <w:bodyDiv w:val="1"/>
      <w:marLeft w:val="0"/>
      <w:marRight w:val="0"/>
      <w:marTop w:val="0"/>
      <w:marBottom w:val="0"/>
      <w:divBdr>
        <w:top w:val="none" w:sz="0" w:space="0" w:color="auto"/>
        <w:left w:val="none" w:sz="0" w:space="0" w:color="auto"/>
        <w:bottom w:val="none" w:sz="0" w:space="0" w:color="auto"/>
        <w:right w:val="none" w:sz="0" w:space="0" w:color="auto"/>
      </w:divBdr>
    </w:div>
    <w:div w:id="153843736">
      <w:bodyDiv w:val="1"/>
      <w:marLeft w:val="0"/>
      <w:marRight w:val="0"/>
      <w:marTop w:val="0"/>
      <w:marBottom w:val="0"/>
      <w:divBdr>
        <w:top w:val="none" w:sz="0" w:space="0" w:color="auto"/>
        <w:left w:val="none" w:sz="0" w:space="0" w:color="auto"/>
        <w:bottom w:val="none" w:sz="0" w:space="0" w:color="auto"/>
        <w:right w:val="none" w:sz="0" w:space="0" w:color="auto"/>
      </w:divBdr>
    </w:div>
    <w:div w:id="154228676">
      <w:bodyDiv w:val="1"/>
      <w:marLeft w:val="0"/>
      <w:marRight w:val="0"/>
      <w:marTop w:val="0"/>
      <w:marBottom w:val="0"/>
      <w:divBdr>
        <w:top w:val="none" w:sz="0" w:space="0" w:color="auto"/>
        <w:left w:val="none" w:sz="0" w:space="0" w:color="auto"/>
        <w:bottom w:val="none" w:sz="0" w:space="0" w:color="auto"/>
        <w:right w:val="none" w:sz="0" w:space="0" w:color="auto"/>
      </w:divBdr>
    </w:div>
    <w:div w:id="155343796">
      <w:bodyDiv w:val="1"/>
      <w:marLeft w:val="0"/>
      <w:marRight w:val="0"/>
      <w:marTop w:val="0"/>
      <w:marBottom w:val="0"/>
      <w:divBdr>
        <w:top w:val="none" w:sz="0" w:space="0" w:color="auto"/>
        <w:left w:val="none" w:sz="0" w:space="0" w:color="auto"/>
        <w:bottom w:val="none" w:sz="0" w:space="0" w:color="auto"/>
        <w:right w:val="none" w:sz="0" w:space="0" w:color="auto"/>
      </w:divBdr>
    </w:div>
    <w:div w:id="155997700">
      <w:bodyDiv w:val="1"/>
      <w:marLeft w:val="0"/>
      <w:marRight w:val="0"/>
      <w:marTop w:val="0"/>
      <w:marBottom w:val="0"/>
      <w:divBdr>
        <w:top w:val="none" w:sz="0" w:space="0" w:color="auto"/>
        <w:left w:val="none" w:sz="0" w:space="0" w:color="auto"/>
        <w:bottom w:val="none" w:sz="0" w:space="0" w:color="auto"/>
        <w:right w:val="none" w:sz="0" w:space="0" w:color="auto"/>
      </w:divBdr>
    </w:div>
    <w:div w:id="156269788">
      <w:bodyDiv w:val="1"/>
      <w:marLeft w:val="0"/>
      <w:marRight w:val="0"/>
      <w:marTop w:val="0"/>
      <w:marBottom w:val="0"/>
      <w:divBdr>
        <w:top w:val="none" w:sz="0" w:space="0" w:color="auto"/>
        <w:left w:val="none" w:sz="0" w:space="0" w:color="auto"/>
        <w:bottom w:val="none" w:sz="0" w:space="0" w:color="auto"/>
        <w:right w:val="none" w:sz="0" w:space="0" w:color="auto"/>
      </w:divBdr>
      <w:divsChild>
        <w:div w:id="212272986">
          <w:marLeft w:val="0"/>
          <w:marRight w:val="0"/>
          <w:marTop w:val="0"/>
          <w:marBottom w:val="0"/>
          <w:divBdr>
            <w:top w:val="none" w:sz="0" w:space="0" w:color="auto"/>
            <w:left w:val="none" w:sz="0" w:space="0" w:color="auto"/>
            <w:bottom w:val="none" w:sz="0" w:space="0" w:color="auto"/>
            <w:right w:val="none" w:sz="0" w:space="0" w:color="auto"/>
          </w:divBdr>
          <w:divsChild>
            <w:div w:id="1416784273">
              <w:marLeft w:val="0"/>
              <w:marRight w:val="0"/>
              <w:marTop w:val="0"/>
              <w:marBottom w:val="0"/>
              <w:divBdr>
                <w:top w:val="none" w:sz="0" w:space="0" w:color="auto"/>
                <w:left w:val="none" w:sz="0" w:space="0" w:color="auto"/>
                <w:bottom w:val="none" w:sz="0" w:space="0" w:color="auto"/>
                <w:right w:val="none" w:sz="0" w:space="0" w:color="auto"/>
              </w:divBdr>
              <w:divsChild>
                <w:div w:id="1403914333">
                  <w:marLeft w:val="0"/>
                  <w:marRight w:val="0"/>
                  <w:marTop w:val="0"/>
                  <w:marBottom w:val="0"/>
                  <w:divBdr>
                    <w:top w:val="none" w:sz="0" w:space="0" w:color="auto"/>
                    <w:left w:val="none" w:sz="0" w:space="0" w:color="auto"/>
                    <w:bottom w:val="none" w:sz="0" w:space="0" w:color="auto"/>
                    <w:right w:val="none" w:sz="0" w:space="0" w:color="auto"/>
                  </w:divBdr>
                  <w:divsChild>
                    <w:div w:id="119203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07496">
      <w:bodyDiv w:val="1"/>
      <w:marLeft w:val="0"/>
      <w:marRight w:val="0"/>
      <w:marTop w:val="0"/>
      <w:marBottom w:val="0"/>
      <w:divBdr>
        <w:top w:val="none" w:sz="0" w:space="0" w:color="auto"/>
        <w:left w:val="none" w:sz="0" w:space="0" w:color="auto"/>
        <w:bottom w:val="none" w:sz="0" w:space="0" w:color="auto"/>
        <w:right w:val="none" w:sz="0" w:space="0" w:color="auto"/>
      </w:divBdr>
    </w:div>
    <w:div w:id="156388979">
      <w:bodyDiv w:val="1"/>
      <w:marLeft w:val="0"/>
      <w:marRight w:val="0"/>
      <w:marTop w:val="0"/>
      <w:marBottom w:val="0"/>
      <w:divBdr>
        <w:top w:val="none" w:sz="0" w:space="0" w:color="auto"/>
        <w:left w:val="none" w:sz="0" w:space="0" w:color="auto"/>
        <w:bottom w:val="none" w:sz="0" w:space="0" w:color="auto"/>
        <w:right w:val="none" w:sz="0" w:space="0" w:color="auto"/>
      </w:divBdr>
      <w:divsChild>
        <w:div w:id="541065750">
          <w:marLeft w:val="0"/>
          <w:marRight w:val="0"/>
          <w:marTop w:val="0"/>
          <w:marBottom w:val="0"/>
          <w:divBdr>
            <w:top w:val="none" w:sz="0" w:space="0" w:color="auto"/>
            <w:left w:val="none" w:sz="0" w:space="0" w:color="auto"/>
            <w:bottom w:val="none" w:sz="0" w:space="0" w:color="auto"/>
            <w:right w:val="none" w:sz="0" w:space="0" w:color="auto"/>
          </w:divBdr>
          <w:divsChild>
            <w:div w:id="1225481317">
              <w:marLeft w:val="0"/>
              <w:marRight w:val="0"/>
              <w:marTop w:val="0"/>
              <w:marBottom w:val="0"/>
              <w:divBdr>
                <w:top w:val="none" w:sz="0" w:space="0" w:color="auto"/>
                <w:left w:val="none" w:sz="0" w:space="0" w:color="auto"/>
                <w:bottom w:val="none" w:sz="0" w:space="0" w:color="auto"/>
                <w:right w:val="none" w:sz="0" w:space="0" w:color="auto"/>
              </w:divBdr>
              <w:divsChild>
                <w:div w:id="89666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9853">
      <w:bodyDiv w:val="1"/>
      <w:marLeft w:val="0"/>
      <w:marRight w:val="0"/>
      <w:marTop w:val="0"/>
      <w:marBottom w:val="0"/>
      <w:divBdr>
        <w:top w:val="none" w:sz="0" w:space="0" w:color="auto"/>
        <w:left w:val="none" w:sz="0" w:space="0" w:color="auto"/>
        <w:bottom w:val="none" w:sz="0" w:space="0" w:color="auto"/>
        <w:right w:val="none" w:sz="0" w:space="0" w:color="auto"/>
      </w:divBdr>
      <w:divsChild>
        <w:div w:id="1708605865">
          <w:marLeft w:val="0"/>
          <w:marRight w:val="0"/>
          <w:marTop w:val="0"/>
          <w:marBottom w:val="0"/>
          <w:divBdr>
            <w:top w:val="none" w:sz="0" w:space="0" w:color="auto"/>
            <w:left w:val="none" w:sz="0" w:space="0" w:color="auto"/>
            <w:bottom w:val="none" w:sz="0" w:space="0" w:color="auto"/>
            <w:right w:val="none" w:sz="0" w:space="0" w:color="auto"/>
          </w:divBdr>
          <w:divsChild>
            <w:div w:id="661930772">
              <w:marLeft w:val="0"/>
              <w:marRight w:val="0"/>
              <w:marTop w:val="0"/>
              <w:marBottom w:val="0"/>
              <w:divBdr>
                <w:top w:val="none" w:sz="0" w:space="0" w:color="auto"/>
                <w:left w:val="none" w:sz="0" w:space="0" w:color="auto"/>
                <w:bottom w:val="none" w:sz="0" w:space="0" w:color="auto"/>
                <w:right w:val="none" w:sz="0" w:space="0" w:color="auto"/>
              </w:divBdr>
              <w:divsChild>
                <w:div w:id="1229684022">
                  <w:marLeft w:val="0"/>
                  <w:marRight w:val="0"/>
                  <w:marTop w:val="0"/>
                  <w:marBottom w:val="0"/>
                  <w:divBdr>
                    <w:top w:val="none" w:sz="0" w:space="0" w:color="auto"/>
                    <w:left w:val="none" w:sz="0" w:space="0" w:color="auto"/>
                    <w:bottom w:val="none" w:sz="0" w:space="0" w:color="auto"/>
                    <w:right w:val="none" w:sz="0" w:space="0" w:color="auto"/>
                  </w:divBdr>
                  <w:divsChild>
                    <w:div w:id="93370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11108">
      <w:bodyDiv w:val="1"/>
      <w:marLeft w:val="0"/>
      <w:marRight w:val="0"/>
      <w:marTop w:val="0"/>
      <w:marBottom w:val="0"/>
      <w:divBdr>
        <w:top w:val="none" w:sz="0" w:space="0" w:color="auto"/>
        <w:left w:val="none" w:sz="0" w:space="0" w:color="auto"/>
        <w:bottom w:val="none" w:sz="0" w:space="0" w:color="auto"/>
        <w:right w:val="none" w:sz="0" w:space="0" w:color="auto"/>
      </w:divBdr>
    </w:div>
    <w:div w:id="157620132">
      <w:bodyDiv w:val="1"/>
      <w:marLeft w:val="0"/>
      <w:marRight w:val="0"/>
      <w:marTop w:val="0"/>
      <w:marBottom w:val="0"/>
      <w:divBdr>
        <w:top w:val="none" w:sz="0" w:space="0" w:color="auto"/>
        <w:left w:val="none" w:sz="0" w:space="0" w:color="auto"/>
        <w:bottom w:val="none" w:sz="0" w:space="0" w:color="auto"/>
        <w:right w:val="none" w:sz="0" w:space="0" w:color="auto"/>
      </w:divBdr>
    </w:div>
    <w:div w:id="158543142">
      <w:bodyDiv w:val="1"/>
      <w:marLeft w:val="0"/>
      <w:marRight w:val="0"/>
      <w:marTop w:val="0"/>
      <w:marBottom w:val="0"/>
      <w:divBdr>
        <w:top w:val="none" w:sz="0" w:space="0" w:color="auto"/>
        <w:left w:val="none" w:sz="0" w:space="0" w:color="auto"/>
        <w:bottom w:val="none" w:sz="0" w:space="0" w:color="auto"/>
        <w:right w:val="none" w:sz="0" w:space="0" w:color="auto"/>
      </w:divBdr>
    </w:div>
    <w:div w:id="158546488">
      <w:bodyDiv w:val="1"/>
      <w:marLeft w:val="0"/>
      <w:marRight w:val="0"/>
      <w:marTop w:val="0"/>
      <w:marBottom w:val="0"/>
      <w:divBdr>
        <w:top w:val="none" w:sz="0" w:space="0" w:color="auto"/>
        <w:left w:val="none" w:sz="0" w:space="0" w:color="auto"/>
        <w:bottom w:val="none" w:sz="0" w:space="0" w:color="auto"/>
        <w:right w:val="none" w:sz="0" w:space="0" w:color="auto"/>
      </w:divBdr>
    </w:div>
    <w:div w:id="158620989">
      <w:bodyDiv w:val="1"/>
      <w:marLeft w:val="0"/>
      <w:marRight w:val="0"/>
      <w:marTop w:val="0"/>
      <w:marBottom w:val="0"/>
      <w:divBdr>
        <w:top w:val="none" w:sz="0" w:space="0" w:color="auto"/>
        <w:left w:val="none" w:sz="0" w:space="0" w:color="auto"/>
        <w:bottom w:val="none" w:sz="0" w:space="0" w:color="auto"/>
        <w:right w:val="none" w:sz="0" w:space="0" w:color="auto"/>
      </w:divBdr>
    </w:div>
    <w:div w:id="158886516">
      <w:bodyDiv w:val="1"/>
      <w:marLeft w:val="0"/>
      <w:marRight w:val="0"/>
      <w:marTop w:val="0"/>
      <w:marBottom w:val="0"/>
      <w:divBdr>
        <w:top w:val="none" w:sz="0" w:space="0" w:color="auto"/>
        <w:left w:val="none" w:sz="0" w:space="0" w:color="auto"/>
        <w:bottom w:val="none" w:sz="0" w:space="0" w:color="auto"/>
        <w:right w:val="none" w:sz="0" w:space="0" w:color="auto"/>
      </w:divBdr>
    </w:div>
    <w:div w:id="159321465">
      <w:bodyDiv w:val="1"/>
      <w:marLeft w:val="0"/>
      <w:marRight w:val="0"/>
      <w:marTop w:val="0"/>
      <w:marBottom w:val="0"/>
      <w:divBdr>
        <w:top w:val="none" w:sz="0" w:space="0" w:color="auto"/>
        <w:left w:val="none" w:sz="0" w:space="0" w:color="auto"/>
        <w:bottom w:val="none" w:sz="0" w:space="0" w:color="auto"/>
        <w:right w:val="none" w:sz="0" w:space="0" w:color="auto"/>
      </w:divBdr>
    </w:div>
    <w:div w:id="159854362">
      <w:bodyDiv w:val="1"/>
      <w:marLeft w:val="0"/>
      <w:marRight w:val="0"/>
      <w:marTop w:val="0"/>
      <w:marBottom w:val="0"/>
      <w:divBdr>
        <w:top w:val="none" w:sz="0" w:space="0" w:color="auto"/>
        <w:left w:val="none" w:sz="0" w:space="0" w:color="auto"/>
        <w:bottom w:val="none" w:sz="0" w:space="0" w:color="auto"/>
        <w:right w:val="none" w:sz="0" w:space="0" w:color="auto"/>
      </w:divBdr>
    </w:div>
    <w:div w:id="160976997">
      <w:bodyDiv w:val="1"/>
      <w:marLeft w:val="0"/>
      <w:marRight w:val="0"/>
      <w:marTop w:val="0"/>
      <w:marBottom w:val="0"/>
      <w:divBdr>
        <w:top w:val="none" w:sz="0" w:space="0" w:color="auto"/>
        <w:left w:val="none" w:sz="0" w:space="0" w:color="auto"/>
        <w:bottom w:val="none" w:sz="0" w:space="0" w:color="auto"/>
        <w:right w:val="none" w:sz="0" w:space="0" w:color="auto"/>
      </w:divBdr>
    </w:div>
    <w:div w:id="161816344">
      <w:bodyDiv w:val="1"/>
      <w:marLeft w:val="0"/>
      <w:marRight w:val="0"/>
      <w:marTop w:val="0"/>
      <w:marBottom w:val="0"/>
      <w:divBdr>
        <w:top w:val="none" w:sz="0" w:space="0" w:color="auto"/>
        <w:left w:val="none" w:sz="0" w:space="0" w:color="auto"/>
        <w:bottom w:val="none" w:sz="0" w:space="0" w:color="auto"/>
        <w:right w:val="none" w:sz="0" w:space="0" w:color="auto"/>
      </w:divBdr>
      <w:divsChild>
        <w:div w:id="2089957190">
          <w:marLeft w:val="0"/>
          <w:marRight w:val="0"/>
          <w:marTop w:val="0"/>
          <w:marBottom w:val="0"/>
          <w:divBdr>
            <w:top w:val="none" w:sz="0" w:space="0" w:color="auto"/>
            <w:left w:val="none" w:sz="0" w:space="0" w:color="auto"/>
            <w:bottom w:val="none" w:sz="0" w:space="0" w:color="auto"/>
            <w:right w:val="none" w:sz="0" w:space="0" w:color="auto"/>
          </w:divBdr>
          <w:divsChild>
            <w:div w:id="1649748444">
              <w:marLeft w:val="0"/>
              <w:marRight w:val="0"/>
              <w:marTop w:val="0"/>
              <w:marBottom w:val="0"/>
              <w:divBdr>
                <w:top w:val="none" w:sz="0" w:space="0" w:color="auto"/>
                <w:left w:val="none" w:sz="0" w:space="0" w:color="auto"/>
                <w:bottom w:val="none" w:sz="0" w:space="0" w:color="auto"/>
                <w:right w:val="none" w:sz="0" w:space="0" w:color="auto"/>
              </w:divBdr>
              <w:divsChild>
                <w:div w:id="1755275924">
                  <w:marLeft w:val="0"/>
                  <w:marRight w:val="0"/>
                  <w:marTop w:val="0"/>
                  <w:marBottom w:val="0"/>
                  <w:divBdr>
                    <w:top w:val="none" w:sz="0" w:space="0" w:color="auto"/>
                    <w:left w:val="none" w:sz="0" w:space="0" w:color="auto"/>
                    <w:bottom w:val="none" w:sz="0" w:space="0" w:color="auto"/>
                    <w:right w:val="none" w:sz="0" w:space="0" w:color="auto"/>
                  </w:divBdr>
                  <w:divsChild>
                    <w:div w:id="3698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04352">
      <w:bodyDiv w:val="1"/>
      <w:marLeft w:val="0"/>
      <w:marRight w:val="0"/>
      <w:marTop w:val="0"/>
      <w:marBottom w:val="0"/>
      <w:divBdr>
        <w:top w:val="none" w:sz="0" w:space="0" w:color="auto"/>
        <w:left w:val="none" w:sz="0" w:space="0" w:color="auto"/>
        <w:bottom w:val="none" w:sz="0" w:space="0" w:color="auto"/>
        <w:right w:val="none" w:sz="0" w:space="0" w:color="auto"/>
      </w:divBdr>
    </w:div>
    <w:div w:id="163475819">
      <w:bodyDiv w:val="1"/>
      <w:marLeft w:val="0"/>
      <w:marRight w:val="0"/>
      <w:marTop w:val="0"/>
      <w:marBottom w:val="0"/>
      <w:divBdr>
        <w:top w:val="none" w:sz="0" w:space="0" w:color="auto"/>
        <w:left w:val="none" w:sz="0" w:space="0" w:color="auto"/>
        <w:bottom w:val="none" w:sz="0" w:space="0" w:color="auto"/>
        <w:right w:val="none" w:sz="0" w:space="0" w:color="auto"/>
      </w:divBdr>
    </w:div>
    <w:div w:id="163906623">
      <w:bodyDiv w:val="1"/>
      <w:marLeft w:val="0"/>
      <w:marRight w:val="0"/>
      <w:marTop w:val="0"/>
      <w:marBottom w:val="0"/>
      <w:divBdr>
        <w:top w:val="none" w:sz="0" w:space="0" w:color="auto"/>
        <w:left w:val="none" w:sz="0" w:space="0" w:color="auto"/>
        <w:bottom w:val="none" w:sz="0" w:space="0" w:color="auto"/>
        <w:right w:val="none" w:sz="0" w:space="0" w:color="auto"/>
      </w:divBdr>
    </w:div>
    <w:div w:id="164976927">
      <w:bodyDiv w:val="1"/>
      <w:marLeft w:val="0"/>
      <w:marRight w:val="0"/>
      <w:marTop w:val="0"/>
      <w:marBottom w:val="0"/>
      <w:divBdr>
        <w:top w:val="none" w:sz="0" w:space="0" w:color="auto"/>
        <w:left w:val="none" w:sz="0" w:space="0" w:color="auto"/>
        <w:bottom w:val="none" w:sz="0" w:space="0" w:color="auto"/>
        <w:right w:val="none" w:sz="0" w:space="0" w:color="auto"/>
      </w:divBdr>
    </w:div>
    <w:div w:id="165218157">
      <w:bodyDiv w:val="1"/>
      <w:marLeft w:val="0"/>
      <w:marRight w:val="0"/>
      <w:marTop w:val="0"/>
      <w:marBottom w:val="0"/>
      <w:divBdr>
        <w:top w:val="none" w:sz="0" w:space="0" w:color="auto"/>
        <w:left w:val="none" w:sz="0" w:space="0" w:color="auto"/>
        <w:bottom w:val="none" w:sz="0" w:space="0" w:color="auto"/>
        <w:right w:val="none" w:sz="0" w:space="0" w:color="auto"/>
      </w:divBdr>
    </w:div>
    <w:div w:id="165479306">
      <w:bodyDiv w:val="1"/>
      <w:marLeft w:val="0"/>
      <w:marRight w:val="0"/>
      <w:marTop w:val="0"/>
      <w:marBottom w:val="0"/>
      <w:divBdr>
        <w:top w:val="none" w:sz="0" w:space="0" w:color="auto"/>
        <w:left w:val="none" w:sz="0" w:space="0" w:color="auto"/>
        <w:bottom w:val="none" w:sz="0" w:space="0" w:color="auto"/>
        <w:right w:val="none" w:sz="0" w:space="0" w:color="auto"/>
      </w:divBdr>
    </w:div>
    <w:div w:id="166362052">
      <w:bodyDiv w:val="1"/>
      <w:marLeft w:val="0"/>
      <w:marRight w:val="0"/>
      <w:marTop w:val="0"/>
      <w:marBottom w:val="0"/>
      <w:divBdr>
        <w:top w:val="none" w:sz="0" w:space="0" w:color="auto"/>
        <w:left w:val="none" w:sz="0" w:space="0" w:color="auto"/>
        <w:bottom w:val="none" w:sz="0" w:space="0" w:color="auto"/>
        <w:right w:val="none" w:sz="0" w:space="0" w:color="auto"/>
      </w:divBdr>
      <w:divsChild>
        <w:div w:id="266432570">
          <w:marLeft w:val="0"/>
          <w:marRight w:val="0"/>
          <w:marTop w:val="0"/>
          <w:marBottom w:val="0"/>
          <w:divBdr>
            <w:top w:val="none" w:sz="0" w:space="0" w:color="auto"/>
            <w:left w:val="none" w:sz="0" w:space="0" w:color="auto"/>
            <w:bottom w:val="none" w:sz="0" w:space="0" w:color="auto"/>
            <w:right w:val="none" w:sz="0" w:space="0" w:color="auto"/>
          </w:divBdr>
          <w:divsChild>
            <w:div w:id="2060546350">
              <w:marLeft w:val="0"/>
              <w:marRight w:val="0"/>
              <w:marTop w:val="0"/>
              <w:marBottom w:val="0"/>
              <w:divBdr>
                <w:top w:val="none" w:sz="0" w:space="0" w:color="auto"/>
                <w:left w:val="none" w:sz="0" w:space="0" w:color="auto"/>
                <w:bottom w:val="none" w:sz="0" w:space="0" w:color="auto"/>
                <w:right w:val="none" w:sz="0" w:space="0" w:color="auto"/>
              </w:divBdr>
              <w:divsChild>
                <w:div w:id="612857975">
                  <w:marLeft w:val="0"/>
                  <w:marRight w:val="0"/>
                  <w:marTop w:val="0"/>
                  <w:marBottom w:val="0"/>
                  <w:divBdr>
                    <w:top w:val="none" w:sz="0" w:space="0" w:color="auto"/>
                    <w:left w:val="none" w:sz="0" w:space="0" w:color="auto"/>
                    <w:bottom w:val="none" w:sz="0" w:space="0" w:color="auto"/>
                    <w:right w:val="none" w:sz="0" w:space="0" w:color="auto"/>
                  </w:divBdr>
                  <w:divsChild>
                    <w:div w:id="1538083893">
                      <w:marLeft w:val="0"/>
                      <w:marRight w:val="0"/>
                      <w:marTop w:val="0"/>
                      <w:marBottom w:val="0"/>
                      <w:divBdr>
                        <w:top w:val="none" w:sz="0" w:space="0" w:color="auto"/>
                        <w:left w:val="none" w:sz="0" w:space="0" w:color="auto"/>
                        <w:bottom w:val="none" w:sz="0" w:space="0" w:color="auto"/>
                        <w:right w:val="none" w:sz="0" w:space="0" w:color="auto"/>
                      </w:divBdr>
                    </w:div>
                  </w:divsChild>
                </w:div>
                <w:div w:id="668606817">
                  <w:marLeft w:val="0"/>
                  <w:marRight w:val="0"/>
                  <w:marTop w:val="0"/>
                  <w:marBottom w:val="0"/>
                  <w:divBdr>
                    <w:top w:val="none" w:sz="0" w:space="0" w:color="auto"/>
                    <w:left w:val="none" w:sz="0" w:space="0" w:color="auto"/>
                    <w:bottom w:val="none" w:sz="0" w:space="0" w:color="auto"/>
                    <w:right w:val="none" w:sz="0" w:space="0" w:color="auto"/>
                  </w:divBdr>
                  <w:divsChild>
                    <w:div w:id="1195728076">
                      <w:marLeft w:val="0"/>
                      <w:marRight w:val="0"/>
                      <w:marTop w:val="0"/>
                      <w:marBottom w:val="0"/>
                      <w:divBdr>
                        <w:top w:val="none" w:sz="0" w:space="0" w:color="auto"/>
                        <w:left w:val="none" w:sz="0" w:space="0" w:color="auto"/>
                        <w:bottom w:val="none" w:sz="0" w:space="0" w:color="auto"/>
                        <w:right w:val="none" w:sz="0" w:space="0" w:color="auto"/>
                      </w:divBdr>
                    </w:div>
                  </w:divsChild>
                </w:div>
                <w:div w:id="809249117">
                  <w:marLeft w:val="0"/>
                  <w:marRight w:val="0"/>
                  <w:marTop w:val="0"/>
                  <w:marBottom w:val="0"/>
                  <w:divBdr>
                    <w:top w:val="none" w:sz="0" w:space="0" w:color="auto"/>
                    <w:left w:val="none" w:sz="0" w:space="0" w:color="auto"/>
                    <w:bottom w:val="none" w:sz="0" w:space="0" w:color="auto"/>
                    <w:right w:val="none" w:sz="0" w:space="0" w:color="auto"/>
                  </w:divBdr>
                  <w:divsChild>
                    <w:div w:id="705830428">
                      <w:marLeft w:val="0"/>
                      <w:marRight w:val="0"/>
                      <w:marTop w:val="0"/>
                      <w:marBottom w:val="0"/>
                      <w:divBdr>
                        <w:top w:val="none" w:sz="0" w:space="0" w:color="auto"/>
                        <w:left w:val="none" w:sz="0" w:space="0" w:color="auto"/>
                        <w:bottom w:val="none" w:sz="0" w:space="0" w:color="auto"/>
                        <w:right w:val="none" w:sz="0" w:space="0" w:color="auto"/>
                      </w:divBdr>
                    </w:div>
                  </w:divsChild>
                </w:div>
                <w:div w:id="2115250241">
                  <w:marLeft w:val="0"/>
                  <w:marRight w:val="0"/>
                  <w:marTop w:val="0"/>
                  <w:marBottom w:val="0"/>
                  <w:divBdr>
                    <w:top w:val="none" w:sz="0" w:space="0" w:color="auto"/>
                    <w:left w:val="none" w:sz="0" w:space="0" w:color="auto"/>
                    <w:bottom w:val="none" w:sz="0" w:space="0" w:color="auto"/>
                    <w:right w:val="none" w:sz="0" w:space="0" w:color="auto"/>
                  </w:divBdr>
                  <w:divsChild>
                    <w:div w:id="70440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91721">
      <w:bodyDiv w:val="1"/>
      <w:marLeft w:val="0"/>
      <w:marRight w:val="0"/>
      <w:marTop w:val="0"/>
      <w:marBottom w:val="0"/>
      <w:divBdr>
        <w:top w:val="none" w:sz="0" w:space="0" w:color="auto"/>
        <w:left w:val="none" w:sz="0" w:space="0" w:color="auto"/>
        <w:bottom w:val="none" w:sz="0" w:space="0" w:color="auto"/>
        <w:right w:val="none" w:sz="0" w:space="0" w:color="auto"/>
      </w:divBdr>
    </w:div>
    <w:div w:id="167252196">
      <w:bodyDiv w:val="1"/>
      <w:marLeft w:val="0"/>
      <w:marRight w:val="0"/>
      <w:marTop w:val="0"/>
      <w:marBottom w:val="0"/>
      <w:divBdr>
        <w:top w:val="none" w:sz="0" w:space="0" w:color="auto"/>
        <w:left w:val="none" w:sz="0" w:space="0" w:color="auto"/>
        <w:bottom w:val="none" w:sz="0" w:space="0" w:color="auto"/>
        <w:right w:val="none" w:sz="0" w:space="0" w:color="auto"/>
      </w:divBdr>
    </w:div>
    <w:div w:id="167327629">
      <w:bodyDiv w:val="1"/>
      <w:marLeft w:val="0"/>
      <w:marRight w:val="0"/>
      <w:marTop w:val="0"/>
      <w:marBottom w:val="0"/>
      <w:divBdr>
        <w:top w:val="none" w:sz="0" w:space="0" w:color="auto"/>
        <w:left w:val="none" w:sz="0" w:space="0" w:color="auto"/>
        <w:bottom w:val="none" w:sz="0" w:space="0" w:color="auto"/>
        <w:right w:val="none" w:sz="0" w:space="0" w:color="auto"/>
      </w:divBdr>
      <w:divsChild>
        <w:div w:id="1791511257">
          <w:marLeft w:val="0"/>
          <w:marRight w:val="0"/>
          <w:marTop w:val="0"/>
          <w:marBottom w:val="0"/>
          <w:divBdr>
            <w:top w:val="none" w:sz="0" w:space="0" w:color="auto"/>
            <w:left w:val="none" w:sz="0" w:space="0" w:color="auto"/>
            <w:bottom w:val="none" w:sz="0" w:space="0" w:color="auto"/>
            <w:right w:val="none" w:sz="0" w:space="0" w:color="auto"/>
          </w:divBdr>
          <w:divsChild>
            <w:div w:id="739136167">
              <w:marLeft w:val="0"/>
              <w:marRight w:val="0"/>
              <w:marTop w:val="0"/>
              <w:marBottom w:val="0"/>
              <w:divBdr>
                <w:top w:val="none" w:sz="0" w:space="0" w:color="auto"/>
                <w:left w:val="none" w:sz="0" w:space="0" w:color="auto"/>
                <w:bottom w:val="none" w:sz="0" w:space="0" w:color="auto"/>
                <w:right w:val="none" w:sz="0" w:space="0" w:color="auto"/>
              </w:divBdr>
              <w:divsChild>
                <w:div w:id="111359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190">
      <w:bodyDiv w:val="1"/>
      <w:marLeft w:val="0"/>
      <w:marRight w:val="0"/>
      <w:marTop w:val="0"/>
      <w:marBottom w:val="0"/>
      <w:divBdr>
        <w:top w:val="none" w:sz="0" w:space="0" w:color="auto"/>
        <w:left w:val="none" w:sz="0" w:space="0" w:color="auto"/>
        <w:bottom w:val="none" w:sz="0" w:space="0" w:color="auto"/>
        <w:right w:val="none" w:sz="0" w:space="0" w:color="auto"/>
      </w:divBdr>
    </w:div>
    <w:div w:id="168181333">
      <w:bodyDiv w:val="1"/>
      <w:marLeft w:val="0"/>
      <w:marRight w:val="0"/>
      <w:marTop w:val="0"/>
      <w:marBottom w:val="0"/>
      <w:divBdr>
        <w:top w:val="none" w:sz="0" w:space="0" w:color="auto"/>
        <w:left w:val="none" w:sz="0" w:space="0" w:color="auto"/>
        <w:bottom w:val="none" w:sz="0" w:space="0" w:color="auto"/>
        <w:right w:val="none" w:sz="0" w:space="0" w:color="auto"/>
      </w:divBdr>
    </w:div>
    <w:div w:id="170490726">
      <w:bodyDiv w:val="1"/>
      <w:marLeft w:val="0"/>
      <w:marRight w:val="0"/>
      <w:marTop w:val="0"/>
      <w:marBottom w:val="0"/>
      <w:divBdr>
        <w:top w:val="none" w:sz="0" w:space="0" w:color="auto"/>
        <w:left w:val="none" w:sz="0" w:space="0" w:color="auto"/>
        <w:bottom w:val="none" w:sz="0" w:space="0" w:color="auto"/>
        <w:right w:val="none" w:sz="0" w:space="0" w:color="auto"/>
      </w:divBdr>
    </w:div>
    <w:div w:id="170687410">
      <w:bodyDiv w:val="1"/>
      <w:marLeft w:val="0"/>
      <w:marRight w:val="0"/>
      <w:marTop w:val="0"/>
      <w:marBottom w:val="0"/>
      <w:divBdr>
        <w:top w:val="none" w:sz="0" w:space="0" w:color="auto"/>
        <w:left w:val="none" w:sz="0" w:space="0" w:color="auto"/>
        <w:bottom w:val="none" w:sz="0" w:space="0" w:color="auto"/>
        <w:right w:val="none" w:sz="0" w:space="0" w:color="auto"/>
      </w:divBdr>
    </w:div>
    <w:div w:id="170919359">
      <w:bodyDiv w:val="1"/>
      <w:marLeft w:val="0"/>
      <w:marRight w:val="0"/>
      <w:marTop w:val="0"/>
      <w:marBottom w:val="0"/>
      <w:divBdr>
        <w:top w:val="none" w:sz="0" w:space="0" w:color="auto"/>
        <w:left w:val="none" w:sz="0" w:space="0" w:color="auto"/>
        <w:bottom w:val="none" w:sz="0" w:space="0" w:color="auto"/>
        <w:right w:val="none" w:sz="0" w:space="0" w:color="auto"/>
      </w:divBdr>
    </w:div>
    <w:div w:id="171770862">
      <w:bodyDiv w:val="1"/>
      <w:marLeft w:val="0"/>
      <w:marRight w:val="0"/>
      <w:marTop w:val="0"/>
      <w:marBottom w:val="0"/>
      <w:divBdr>
        <w:top w:val="none" w:sz="0" w:space="0" w:color="auto"/>
        <w:left w:val="none" w:sz="0" w:space="0" w:color="auto"/>
        <w:bottom w:val="none" w:sz="0" w:space="0" w:color="auto"/>
        <w:right w:val="none" w:sz="0" w:space="0" w:color="auto"/>
      </w:divBdr>
    </w:div>
    <w:div w:id="171796838">
      <w:bodyDiv w:val="1"/>
      <w:marLeft w:val="0"/>
      <w:marRight w:val="0"/>
      <w:marTop w:val="0"/>
      <w:marBottom w:val="0"/>
      <w:divBdr>
        <w:top w:val="none" w:sz="0" w:space="0" w:color="auto"/>
        <w:left w:val="none" w:sz="0" w:space="0" w:color="auto"/>
        <w:bottom w:val="none" w:sz="0" w:space="0" w:color="auto"/>
        <w:right w:val="none" w:sz="0" w:space="0" w:color="auto"/>
      </w:divBdr>
    </w:div>
    <w:div w:id="171914841">
      <w:bodyDiv w:val="1"/>
      <w:marLeft w:val="0"/>
      <w:marRight w:val="0"/>
      <w:marTop w:val="0"/>
      <w:marBottom w:val="0"/>
      <w:divBdr>
        <w:top w:val="none" w:sz="0" w:space="0" w:color="auto"/>
        <w:left w:val="none" w:sz="0" w:space="0" w:color="auto"/>
        <w:bottom w:val="none" w:sz="0" w:space="0" w:color="auto"/>
        <w:right w:val="none" w:sz="0" w:space="0" w:color="auto"/>
      </w:divBdr>
    </w:div>
    <w:div w:id="172885766">
      <w:bodyDiv w:val="1"/>
      <w:marLeft w:val="0"/>
      <w:marRight w:val="0"/>
      <w:marTop w:val="0"/>
      <w:marBottom w:val="0"/>
      <w:divBdr>
        <w:top w:val="none" w:sz="0" w:space="0" w:color="auto"/>
        <w:left w:val="none" w:sz="0" w:space="0" w:color="auto"/>
        <w:bottom w:val="none" w:sz="0" w:space="0" w:color="auto"/>
        <w:right w:val="none" w:sz="0" w:space="0" w:color="auto"/>
      </w:divBdr>
    </w:div>
    <w:div w:id="173999909">
      <w:bodyDiv w:val="1"/>
      <w:marLeft w:val="0"/>
      <w:marRight w:val="0"/>
      <w:marTop w:val="0"/>
      <w:marBottom w:val="0"/>
      <w:divBdr>
        <w:top w:val="none" w:sz="0" w:space="0" w:color="auto"/>
        <w:left w:val="none" w:sz="0" w:space="0" w:color="auto"/>
        <w:bottom w:val="none" w:sz="0" w:space="0" w:color="auto"/>
        <w:right w:val="none" w:sz="0" w:space="0" w:color="auto"/>
      </w:divBdr>
    </w:div>
    <w:div w:id="175459485">
      <w:bodyDiv w:val="1"/>
      <w:marLeft w:val="0"/>
      <w:marRight w:val="0"/>
      <w:marTop w:val="0"/>
      <w:marBottom w:val="0"/>
      <w:divBdr>
        <w:top w:val="none" w:sz="0" w:space="0" w:color="auto"/>
        <w:left w:val="none" w:sz="0" w:space="0" w:color="auto"/>
        <w:bottom w:val="none" w:sz="0" w:space="0" w:color="auto"/>
        <w:right w:val="none" w:sz="0" w:space="0" w:color="auto"/>
      </w:divBdr>
    </w:div>
    <w:div w:id="176583626">
      <w:bodyDiv w:val="1"/>
      <w:marLeft w:val="0"/>
      <w:marRight w:val="0"/>
      <w:marTop w:val="0"/>
      <w:marBottom w:val="0"/>
      <w:divBdr>
        <w:top w:val="none" w:sz="0" w:space="0" w:color="auto"/>
        <w:left w:val="none" w:sz="0" w:space="0" w:color="auto"/>
        <w:bottom w:val="none" w:sz="0" w:space="0" w:color="auto"/>
        <w:right w:val="none" w:sz="0" w:space="0" w:color="auto"/>
      </w:divBdr>
    </w:div>
    <w:div w:id="177357866">
      <w:bodyDiv w:val="1"/>
      <w:marLeft w:val="0"/>
      <w:marRight w:val="0"/>
      <w:marTop w:val="0"/>
      <w:marBottom w:val="0"/>
      <w:divBdr>
        <w:top w:val="none" w:sz="0" w:space="0" w:color="auto"/>
        <w:left w:val="none" w:sz="0" w:space="0" w:color="auto"/>
        <w:bottom w:val="none" w:sz="0" w:space="0" w:color="auto"/>
        <w:right w:val="none" w:sz="0" w:space="0" w:color="auto"/>
      </w:divBdr>
    </w:div>
    <w:div w:id="179128493">
      <w:bodyDiv w:val="1"/>
      <w:marLeft w:val="0"/>
      <w:marRight w:val="0"/>
      <w:marTop w:val="0"/>
      <w:marBottom w:val="0"/>
      <w:divBdr>
        <w:top w:val="none" w:sz="0" w:space="0" w:color="auto"/>
        <w:left w:val="none" w:sz="0" w:space="0" w:color="auto"/>
        <w:bottom w:val="none" w:sz="0" w:space="0" w:color="auto"/>
        <w:right w:val="none" w:sz="0" w:space="0" w:color="auto"/>
      </w:divBdr>
    </w:div>
    <w:div w:id="179440974">
      <w:bodyDiv w:val="1"/>
      <w:marLeft w:val="0"/>
      <w:marRight w:val="0"/>
      <w:marTop w:val="0"/>
      <w:marBottom w:val="0"/>
      <w:divBdr>
        <w:top w:val="none" w:sz="0" w:space="0" w:color="auto"/>
        <w:left w:val="none" w:sz="0" w:space="0" w:color="auto"/>
        <w:bottom w:val="none" w:sz="0" w:space="0" w:color="auto"/>
        <w:right w:val="none" w:sz="0" w:space="0" w:color="auto"/>
      </w:divBdr>
      <w:divsChild>
        <w:div w:id="397098332">
          <w:marLeft w:val="0"/>
          <w:marRight w:val="0"/>
          <w:marTop w:val="0"/>
          <w:marBottom w:val="0"/>
          <w:divBdr>
            <w:top w:val="none" w:sz="0" w:space="0" w:color="auto"/>
            <w:left w:val="none" w:sz="0" w:space="0" w:color="auto"/>
            <w:bottom w:val="none" w:sz="0" w:space="0" w:color="auto"/>
            <w:right w:val="none" w:sz="0" w:space="0" w:color="auto"/>
          </w:divBdr>
          <w:divsChild>
            <w:div w:id="1194148732">
              <w:marLeft w:val="0"/>
              <w:marRight w:val="0"/>
              <w:marTop w:val="0"/>
              <w:marBottom w:val="0"/>
              <w:divBdr>
                <w:top w:val="none" w:sz="0" w:space="0" w:color="auto"/>
                <w:left w:val="none" w:sz="0" w:space="0" w:color="auto"/>
                <w:bottom w:val="none" w:sz="0" w:space="0" w:color="auto"/>
                <w:right w:val="none" w:sz="0" w:space="0" w:color="auto"/>
              </w:divBdr>
              <w:divsChild>
                <w:div w:id="1978416794">
                  <w:marLeft w:val="0"/>
                  <w:marRight w:val="0"/>
                  <w:marTop w:val="0"/>
                  <w:marBottom w:val="0"/>
                  <w:divBdr>
                    <w:top w:val="none" w:sz="0" w:space="0" w:color="auto"/>
                    <w:left w:val="none" w:sz="0" w:space="0" w:color="auto"/>
                    <w:bottom w:val="none" w:sz="0" w:space="0" w:color="auto"/>
                    <w:right w:val="none" w:sz="0" w:space="0" w:color="auto"/>
                  </w:divBdr>
                  <w:divsChild>
                    <w:div w:id="132515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45427">
      <w:bodyDiv w:val="1"/>
      <w:marLeft w:val="0"/>
      <w:marRight w:val="0"/>
      <w:marTop w:val="0"/>
      <w:marBottom w:val="0"/>
      <w:divBdr>
        <w:top w:val="none" w:sz="0" w:space="0" w:color="auto"/>
        <w:left w:val="none" w:sz="0" w:space="0" w:color="auto"/>
        <w:bottom w:val="none" w:sz="0" w:space="0" w:color="auto"/>
        <w:right w:val="none" w:sz="0" w:space="0" w:color="auto"/>
      </w:divBdr>
    </w:div>
    <w:div w:id="180507390">
      <w:bodyDiv w:val="1"/>
      <w:marLeft w:val="0"/>
      <w:marRight w:val="0"/>
      <w:marTop w:val="0"/>
      <w:marBottom w:val="0"/>
      <w:divBdr>
        <w:top w:val="none" w:sz="0" w:space="0" w:color="auto"/>
        <w:left w:val="none" w:sz="0" w:space="0" w:color="auto"/>
        <w:bottom w:val="none" w:sz="0" w:space="0" w:color="auto"/>
        <w:right w:val="none" w:sz="0" w:space="0" w:color="auto"/>
      </w:divBdr>
    </w:div>
    <w:div w:id="180971056">
      <w:bodyDiv w:val="1"/>
      <w:marLeft w:val="0"/>
      <w:marRight w:val="0"/>
      <w:marTop w:val="0"/>
      <w:marBottom w:val="0"/>
      <w:divBdr>
        <w:top w:val="none" w:sz="0" w:space="0" w:color="auto"/>
        <w:left w:val="none" w:sz="0" w:space="0" w:color="auto"/>
        <w:bottom w:val="none" w:sz="0" w:space="0" w:color="auto"/>
        <w:right w:val="none" w:sz="0" w:space="0" w:color="auto"/>
      </w:divBdr>
    </w:div>
    <w:div w:id="181211251">
      <w:bodyDiv w:val="1"/>
      <w:marLeft w:val="0"/>
      <w:marRight w:val="0"/>
      <w:marTop w:val="0"/>
      <w:marBottom w:val="0"/>
      <w:divBdr>
        <w:top w:val="none" w:sz="0" w:space="0" w:color="auto"/>
        <w:left w:val="none" w:sz="0" w:space="0" w:color="auto"/>
        <w:bottom w:val="none" w:sz="0" w:space="0" w:color="auto"/>
        <w:right w:val="none" w:sz="0" w:space="0" w:color="auto"/>
      </w:divBdr>
    </w:div>
    <w:div w:id="181862427">
      <w:bodyDiv w:val="1"/>
      <w:marLeft w:val="0"/>
      <w:marRight w:val="0"/>
      <w:marTop w:val="0"/>
      <w:marBottom w:val="0"/>
      <w:divBdr>
        <w:top w:val="none" w:sz="0" w:space="0" w:color="auto"/>
        <w:left w:val="none" w:sz="0" w:space="0" w:color="auto"/>
        <w:bottom w:val="none" w:sz="0" w:space="0" w:color="auto"/>
        <w:right w:val="none" w:sz="0" w:space="0" w:color="auto"/>
      </w:divBdr>
    </w:div>
    <w:div w:id="181942660">
      <w:bodyDiv w:val="1"/>
      <w:marLeft w:val="0"/>
      <w:marRight w:val="0"/>
      <w:marTop w:val="0"/>
      <w:marBottom w:val="0"/>
      <w:divBdr>
        <w:top w:val="none" w:sz="0" w:space="0" w:color="auto"/>
        <w:left w:val="none" w:sz="0" w:space="0" w:color="auto"/>
        <w:bottom w:val="none" w:sz="0" w:space="0" w:color="auto"/>
        <w:right w:val="none" w:sz="0" w:space="0" w:color="auto"/>
      </w:divBdr>
    </w:div>
    <w:div w:id="181944691">
      <w:bodyDiv w:val="1"/>
      <w:marLeft w:val="0"/>
      <w:marRight w:val="0"/>
      <w:marTop w:val="0"/>
      <w:marBottom w:val="0"/>
      <w:divBdr>
        <w:top w:val="none" w:sz="0" w:space="0" w:color="auto"/>
        <w:left w:val="none" w:sz="0" w:space="0" w:color="auto"/>
        <w:bottom w:val="none" w:sz="0" w:space="0" w:color="auto"/>
        <w:right w:val="none" w:sz="0" w:space="0" w:color="auto"/>
      </w:divBdr>
    </w:div>
    <w:div w:id="183179368">
      <w:bodyDiv w:val="1"/>
      <w:marLeft w:val="0"/>
      <w:marRight w:val="0"/>
      <w:marTop w:val="0"/>
      <w:marBottom w:val="0"/>
      <w:divBdr>
        <w:top w:val="none" w:sz="0" w:space="0" w:color="auto"/>
        <w:left w:val="none" w:sz="0" w:space="0" w:color="auto"/>
        <w:bottom w:val="none" w:sz="0" w:space="0" w:color="auto"/>
        <w:right w:val="none" w:sz="0" w:space="0" w:color="auto"/>
      </w:divBdr>
    </w:div>
    <w:div w:id="185021171">
      <w:bodyDiv w:val="1"/>
      <w:marLeft w:val="0"/>
      <w:marRight w:val="0"/>
      <w:marTop w:val="0"/>
      <w:marBottom w:val="0"/>
      <w:divBdr>
        <w:top w:val="none" w:sz="0" w:space="0" w:color="auto"/>
        <w:left w:val="none" w:sz="0" w:space="0" w:color="auto"/>
        <w:bottom w:val="none" w:sz="0" w:space="0" w:color="auto"/>
        <w:right w:val="none" w:sz="0" w:space="0" w:color="auto"/>
      </w:divBdr>
    </w:div>
    <w:div w:id="185945658">
      <w:bodyDiv w:val="1"/>
      <w:marLeft w:val="0"/>
      <w:marRight w:val="0"/>
      <w:marTop w:val="0"/>
      <w:marBottom w:val="0"/>
      <w:divBdr>
        <w:top w:val="none" w:sz="0" w:space="0" w:color="auto"/>
        <w:left w:val="none" w:sz="0" w:space="0" w:color="auto"/>
        <w:bottom w:val="none" w:sz="0" w:space="0" w:color="auto"/>
        <w:right w:val="none" w:sz="0" w:space="0" w:color="auto"/>
      </w:divBdr>
    </w:div>
    <w:div w:id="186605888">
      <w:bodyDiv w:val="1"/>
      <w:marLeft w:val="0"/>
      <w:marRight w:val="0"/>
      <w:marTop w:val="0"/>
      <w:marBottom w:val="0"/>
      <w:divBdr>
        <w:top w:val="none" w:sz="0" w:space="0" w:color="auto"/>
        <w:left w:val="none" w:sz="0" w:space="0" w:color="auto"/>
        <w:bottom w:val="none" w:sz="0" w:space="0" w:color="auto"/>
        <w:right w:val="none" w:sz="0" w:space="0" w:color="auto"/>
      </w:divBdr>
    </w:div>
    <w:div w:id="187062059">
      <w:bodyDiv w:val="1"/>
      <w:marLeft w:val="0"/>
      <w:marRight w:val="0"/>
      <w:marTop w:val="0"/>
      <w:marBottom w:val="0"/>
      <w:divBdr>
        <w:top w:val="none" w:sz="0" w:space="0" w:color="auto"/>
        <w:left w:val="none" w:sz="0" w:space="0" w:color="auto"/>
        <w:bottom w:val="none" w:sz="0" w:space="0" w:color="auto"/>
        <w:right w:val="none" w:sz="0" w:space="0" w:color="auto"/>
      </w:divBdr>
      <w:divsChild>
        <w:div w:id="2129623859">
          <w:marLeft w:val="0"/>
          <w:marRight w:val="0"/>
          <w:marTop w:val="0"/>
          <w:marBottom w:val="0"/>
          <w:divBdr>
            <w:top w:val="none" w:sz="0" w:space="0" w:color="auto"/>
            <w:left w:val="none" w:sz="0" w:space="0" w:color="auto"/>
            <w:bottom w:val="none" w:sz="0" w:space="0" w:color="auto"/>
            <w:right w:val="none" w:sz="0" w:space="0" w:color="auto"/>
          </w:divBdr>
          <w:divsChild>
            <w:div w:id="767699661">
              <w:marLeft w:val="0"/>
              <w:marRight w:val="0"/>
              <w:marTop w:val="0"/>
              <w:marBottom w:val="0"/>
              <w:divBdr>
                <w:top w:val="none" w:sz="0" w:space="0" w:color="auto"/>
                <w:left w:val="none" w:sz="0" w:space="0" w:color="auto"/>
                <w:bottom w:val="none" w:sz="0" w:space="0" w:color="auto"/>
                <w:right w:val="none" w:sz="0" w:space="0" w:color="auto"/>
              </w:divBdr>
              <w:divsChild>
                <w:div w:id="56808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7368">
      <w:bodyDiv w:val="1"/>
      <w:marLeft w:val="0"/>
      <w:marRight w:val="0"/>
      <w:marTop w:val="0"/>
      <w:marBottom w:val="0"/>
      <w:divBdr>
        <w:top w:val="none" w:sz="0" w:space="0" w:color="auto"/>
        <w:left w:val="none" w:sz="0" w:space="0" w:color="auto"/>
        <w:bottom w:val="none" w:sz="0" w:space="0" w:color="auto"/>
        <w:right w:val="none" w:sz="0" w:space="0" w:color="auto"/>
      </w:divBdr>
    </w:div>
    <w:div w:id="187985590">
      <w:bodyDiv w:val="1"/>
      <w:marLeft w:val="0"/>
      <w:marRight w:val="0"/>
      <w:marTop w:val="0"/>
      <w:marBottom w:val="0"/>
      <w:divBdr>
        <w:top w:val="none" w:sz="0" w:space="0" w:color="auto"/>
        <w:left w:val="none" w:sz="0" w:space="0" w:color="auto"/>
        <w:bottom w:val="none" w:sz="0" w:space="0" w:color="auto"/>
        <w:right w:val="none" w:sz="0" w:space="0" w:color="auto"/>
      </w:divBdr>
      <w:divsChild>
        <w:div w:id="907111248">
          <w:marLeft w:val="0"/>
          <w:marRight w:val="0"/>
          <w:marTop w:val="0"/>
          <w:marBottom w:val="0"/>
          <w:divBdr>
            <w:top w:val="none" w:sz="0" w:space="0" w:color="auto"/>
            <w:left w:val="none" w:sz="0" w:space="0" w:color="auto"/>
            <w:bottom w:val="none" w:sz="0" w:space="0" w:color="auto"/>
            <w:right w:val="none" w:sz="0" w:space="0" w:color="auto"/>
          </w:divBdr>
          <w:divsChild>
            <w:div w:id="960695825">
              <w:marLeft w:val="0"/>
              <w:marRight w:val="0"/>
              <w:marTop w:val="0"/>
              <w:marBottom w:val="0"/>
              <w:divBdr>
                <w:top w:val="none" w:sz="0" w:space="0" w:color="auto"/>
                <w:left w:val="none" w:sz="0" w:space="0" w:color="auto"/>
                <w:bottom w:val="none" w:sz="0" w:space="0" w:color="auto"/>
                <w:right w:val="none" w:sz="0" w:space="0" w:color="auto"/>
              </w:divBdr>
              <w:divsChild>
                <w:div w:id="480003250">
                  <w:marLeft w:val="0"/>
                  <w:marRight w:val="0"/>
                  <w:marTop w:val="0"/>
                  <w:marBottom w:val="0"/>
                  <w:divBdr>
                    <w:top w:val="none" w:sz="0" w:space="0" w:color="auto"/>
                    <w:left w:val="none" w:sz="0" w:space="0" w:color="auto"/>
                    <w:bottom w:val="none" w:sz="0" w:space="0" w:color="auto"/>
                    <w:right w:val="none" w:sz="0" w:space="0" w:color="auto"/>
                  </w:divBdr>
                  <w:divsChild>
                    <w:div w:id="592396633">
                      <w:marLeft w:val="0"/>
                      <w:marRight w:val="0"/>
                      <w:marTop w:val="0"/>
                      <w:marBottom w:val="0"/>
                      <w:divBdr>
                        <w:top w:val="none" w:sz="0" w:space="0" w:color="auto"/>
                        <w:left w:val="none" w:sz="0" w:space="0" w:color="auto"/>
                        <w:bottom w:val="none" w:sz="0" w:space="0" w:color="auto"/>
                        <w:right w:val="none" w:sz="0" w:space="0" w:color="auto"/>
                      </w:divBdr>
                    </w:div>
                  </w:divsChild>
                </w:div>
                <w:div w:id="614336333">
                  <w:marLeft w:val="0"/>
                  <w:marRight w:val="0"/>
                  <w:marTop w:val="0"/>
                  <w:marBottom w:val="0"/>
                  <w:divBdr>
                    <w:top w:val="none" w:sz="0" w:space="0" w:color="auto"/>
                    <w:left w:val="none" w:sz="0" w:space="0" w:color="auto"/>
                    <w:bottom w:val="none" w:sz="0" w:space="0" w:color="auto"/>
                    <w:right w:val="none" w:sz="0" w:space="0" w:color="auto"/>
                  </w:divBdr>
                  <w:divsChild>
                    <w:div w:id="411508232">
                      <w:marLeft w:val="0"/>
                      <w:marRight w:val="0"/>
                      <w:marTop w:val="0"/>
                      <w:marBottom w:val="0"/>
                      <w:divBdr>
                        <w:top w:val="none" w:sz="0" w:space="0" w:color="auto"/>
                        <w:left w:val="none" w:sz="0" w:space="0" w:color="auto"/>
                        <w:bottom w:val="none" w:sz="0" w:space="0" w:color="auto"/>
                        <w:right w:val="none" w:sz="0" w:space="0" w:color="auto"/>
                      </w:divBdr>
                    </w:div>
                  </w:divsChild>
                </w:div>
                <w:div w:id="818620277">
                  <w:marLeft w:val="0"/>
                  <w:marRight w:val="0"/>
                  <w:marTop w:val="0"/>
                  <w:marBottom w:val="0"/>
                  <w:divBdr>
                    <w:top w:val="none" w:sz="0" w:space="0" w:color="auto"/>
                    <w:left w:val="none" w:sz="0" w:space="0" w:color="auto"/>
                    <w:bottom w:val="none" w:sz="0" w:space="0" w:color="auto"/>
                    <w:right w:val="none" w:sz="0" w:space="0" w:color="auto"/>
                  </w:divBdr>
                  <w:divsChild>
                    <w:div w:id="190463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52130">
      <w:bodyDiv w:val="1"/>
      <w:marLeft w:val="0"/>
      <w:marRight w:val="0"/>
      <w:marTop w:val="0"/>
      <w:marBottom w:val="0"/>
      <w:divBdr>
        <w:top w:val="none" w:sz="0" w:space="0" w:color="auto"/>
        <w:left w:val="none" w:sz="0" w:space="0" w:color="auto"/>
        <w:bottom w:val="none" w:sz="0" w:space="0" w:color="auto"/>
        <w:right w:val="none" w:sz="0" w:space="0" w:color="auto"/>
      </w:divBdr>
    </w:div>
    <w:div w:id="189419181">
      <w:bodyDiv w:val="1"/>
      <w:marLeft w:val="0"/>
      <w:marRight w:val="0"/>
      <w:marTop w:val="0"/>
      <w:marBottom w:val="0"/>
      <w:divBdr>
        <w:top w:val="none" w:sz="0" w:space="0" w:color="auto"/>
        <w:left w:val="none" w:sz="0" w:space="0" w:color="auto"/>
        <w:bottom w:val="none" w:sz="0" w:space="0" w:color="auto"/>
        <w:right w:val="none" w:sz="0" w:space="0" w:color="auto"/>
      </w:divBdr>
    </w:div>
    <w:div w:id="189611208">
      <w:bodyDiv w:val="1"/>
      <w:marLeft w:val="0"/>
      <w:marRight w:val="0"/>
      <w:marTop w:val="0"/>
      <w:marBottom w:val="0"/>
      <w:divBdr>
        <w:top w:val="none" w:sz="0" w:space="0" w:color="auto"/>
        <w:left w:val="none" w:sz="0" w:space="0" w:color="auto"/>
        <w:bottom w:val="none" w:sz="0" w:space="0" w:color="auto"/>
        <w:right w:val="none" w:sz="0" w:space="0" w:color="auto"/>
      </w:divBdr>
    </w:div>
    <w:div w:id="189726963">
      <w:bodyDiv w:val="1"/>
      <w:marLeft w:val="0"/>
      <w:marRight w:val="0"/>
      <w:marTop w:val="0"/>
      <w:marBottom w:val="0"/>
      <w:divBdr>
        <w:top w:val="none" w:sz="0" w:space="0" w:color="auto"/>
        <w:left w:val="none" w:sz="0" w:space="0" w:color="auto"/>
        <w:bottom w:val="none" w:sz="0" w:space="0" w:color="auto"/>
        <w:right w:val="none" w:sz="0" w:space="0" w:color="auto"/>
      </w:divBdr>
    </w:div>
    <w:div w:id="190068839">
      <w:bodyDiv w:val="1"/>
      <w:marLeft w:val="0"/>
      <w:marRight w:val="0"/>
      <w:marTop w:val="0"/>
      <w:marBottom w:val="0"/>
      <w:divBdr>
        <w:top w:val="none" w:sz="0" w:space="0" w:color="auto"/>
        <w:left w:val="none" w:sz="0" w:space="0" w:color="auto"/>
        <w:bottom w:val="none" w:sz="0" w:space="0" w:color="auto"/>
        <w:right w:val="none" w:sz="0" w:space="0" w:color="auto"/>
      </w:divBdr>
    </w:div>
    <w:div w:id="190456539">
      <w:bodyDiv w:val="1"/>
      <w:marLeft w:val="0"/>
      <w:marRight w:val="0"/>
      <w:marTop w:val="0"/>
      <w:marBottom w:val="0"/>
      <w:divBdr>
        <w:top w:val="none" w:sz="0" w:space="0" w:color="auto"/>
        <w:left w:val="none" w:sz="0" w:space="0" w:color="auto"/>
        <w:bottom w:val="none" w:sz="0" w:space="0" w:color="auto"/>
        <w:right w:val="none" w:sz="0" w:space="0" w:color="auto"/>
      </w:divBdr>
    </w:div>
    <w:div w:id="190841389">
      <w:bodyDiv w:val="1"/>
      <w:marLeft w:val="0"/>
      <w:marRight w:val="0"/>
      <w:marTop w:val="0"/>
      <w:marBottom w:val="0"/>
      <w:divBdr>
        <w:top w:val="none" w:sz="0" w:space="0" w:color="auto"/>
        <w:left w:val="none" w:sz="0" w:space="0" w:color="auto"/>
        <w:bottom w:val="none" w:sz="0" w:space="0" w:color="auto"/>
        <w:right w:val="none" w:sz="0" w:space="0" w:color="auto"/>
      </w:divBdr>
      <w:divsChild>
        <w:div w:id="1354962252">
          <w:marLeft w:val="0"/>
          <w:marRight w:val="0"/>
          <w:marTop w:val="0"/>
          <w:marBottom w:val="0"/>
          <w:divBdr>
            <w:top w:val="none" w:sz="0" w:space="0" w:color="auto"/>
            <w:left w:val="none" w:sz="0" w:space="0" w:color="auto"/>
            <w:bottom w:val="none" w:sz="0" w:space="0" w:color="auto"/>
            <w:right w:val="none" w:sz="0" w:space="0" w:color="auto"/>
          </w:divBdr>
          <w:divsChild>
            <w:div w:id="315184216">
              <w:marLeft w:val="0"/>
              <w:marRight w:val="0"/>
              <w:marTop w:val="0"/>
              <w:marBottom w:val="0"/>
              <w:divBdr>
                <w:top w:val="none" w:sz="0" w:space="0" w:color="auto"/>
                <w:left w:val="none" w:sz="0" w:space="0" w:color="auto"/>
                <w:bottom w:val="none" w:sz="0" w:space="0" w:color="auto"/>
                <w:right w:val="none" w:sz="0" w:space="0" w:color="auto"/>
              </w:divBdr>
              <w:divsChild>
                <w:div w:id="1423137165">
                  <w:marLeft w:val="0"/>
                  <w:marRight w:val="0"/>
                  <w:marTop w:val="0"/>
                  <w:marBottom w:val="0"/>
                  <w:divBdr>
                    <w:top w:val="none" w:sz="0" w:space="0" w:color="auto"/>
                    <w:left w:val="none" w:sz="0" w:space="0" w:color="auto"/>
                    <w:bottom w:val="none" w:sz="0" w:space="0" w:color="auto"/>
                    <w:right w:val="none" w:sz="0" w:space="0" w:color="auto"/>
                  </w:divBdr>
                  <w:divsChild>
                    <w:div w:id="10511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04503">
      <w:bodyDiv w:val="1"/>
      <w:marLeft w:val="0"/>
      <w:marRight w:val="0"/>
      <w:marTop w:val="0"/>
      <w:marBottom w:val="0"/>
      <w:divBdr>
        <w:top w:val="none" w:sz="0" w:space="0" w:color="auto"/>
        <w:left w:val="none" w:sz="0" w:space="0" w:color="auto"/>
        <w:bottom w:val="none" w:sz="0" w:space="0" w:color="auto"/>
        <w:right w:val="none" w:sz="0" w:space="0" w:color="auto"/>
      </w:divBdr>
    </w:div>
    <w:div w:id="192379665">
      <w:bodyDiv w:val="1"/>
      <w:marLeft w:val="0"/>
      <w:marRight w:val="0"/>
      <w:marTop w:val="0"/>
      <w:marBottom w:val="0"/>
      <w:divBdr>
        <w:top w:val="none" w:sz="0" w:space="0" w:color="auto"/>
        <w:left w:val="none" w:sz="0" w:space="0" w:color="auto"/>
        <w:bottom w:val="none" w:sz="0" w:space="0" w:color="auto"/>
        <w:right w:val="none" w:sz="0" w:space="0" w:color="auto"/>
      </w:divBdr>
      <w:divsChild>
        <w:div w:id="211117076">
          <w:marLeft w:val="0"/>
          <w:marRight w:val="0"/>
          <w:marTop w:val="0"/>
          <w:marBottom w:val="0"/>
          <w:divBdr>
            <w:top w:val="none" w:sz="0" w:space="0" w:color="auto"/>
            <w:left w:val="none" w:sz="0" w:space="0" w:color="auto"/>
            <w:bottom w:val="none" w:sz="0" w:space="0" w:color="auto"/>
            <w:right w:val="none" w:sz="0" w:space="0" w:color="auto"/>
          </w:divBdr>
          <w:divsChild>
            <w:div w:id="1016418503">
              <w:marLeft w:val="0"/>
              <w:marRight w:val="0"/>
              <w:marTop w:val="0"/>
              <w:marBottom w:val="0"/>
              <w:divBdr>
                <w:top w:val="none" w:sz="0" w:space="0" w:color="auto"/>
                <w:left w:val="none" w:sz="0" w:space="0" w:color="auto"/>
                <w:bottom w:val="none" w:sz="0" w:space="0" w:color="auto"/>
                <w:right w:val="none" w:sz="0" w:space="0" w:color="auto"/>
              </w:divBdr>
              <w:divsChild>
                <w:div w:id="260651684">
                  <w:marLeft w:val="0"/>
                  <w:marRight w:val="0"/>
                  <w:marTop w:val="0"/>
                  <w:marBottom w:val="0"/>
                  <w:divBdr>
                    <w:top w:val="none" w:sz="0" w:space="0" w:color="auto"/>
                    <w:left w:val="none" w:sz="0" w:space="0" w:color="auto"/>
                    <w:bottom w:val="none" w:sz="0" w:space="0" w:color="auto"/>
                    <w:right w:val="none" w:sz="0" w:space="0" w:color="auto"/>
                  </w:divBdr>
                  <w:divsChild>
                    <w:div w:id="27344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15065">
      <w:bodyDiv w:val="1"/>
      <w:marLeft w:val="0"/>
      <w:marRight w:val="0"/>
      <w:marTop w:val="0"/>
      <w:marBottom w:val="0"/>
      <w:divBdr>
        <w:top w:val="none" w:sz="0" w:space="0" w:color="auto"/>
        <w:left w:val="none" w:sz="0" w:space="0" w:color="auto"/>
        <w:bottom w:val="none" w:sz="0" w:space="0" w:color="auto"/>
        <w:right w:val="none" w:sz="0" w:space="0" w:color="auto"/>
      </w:divBdr>
    </w:div>
    <w:div w:id="192958027">
      <w:bodyDiv w:val="1"/>
      <w:marLeft w:val="0"/>
      <w:marRight w:val="0"/>
      <w:marTop w:val="0"/>
      <w:marBottom w:val="0"/>
      <w:divBdr>
        <w:top w:val="none" w:sz="0" w:space="0" w:color="auto"/>
        <w:left w:val="none" w:sz="0" w:space="0" w:color="auto"/>
        <w:bottom w:val="none" w:sz="0" w:space="0" w:color="auto"/>
        <w:right w:val="none" w:sz="0" w:space="0" w:color="auto"/>
      </w:divBdr>
    </w:div>
    <w:div w:id="193229810">
      <w:bodyDiv w:val="1"/>
      <w:marLeft w:val="0"/>
      <w:marRight w:val="0"/>
      <w:marTop w:val="0"/>
      <w:marBottom w:val="0"/>
      <w:divBdr>
        <w:top w:val="none" w:sz="0" w:space="0" w:color="auto"/>
        <w:left w:val="none" w:sz="0" w:space="0" w:color="auto"/>
        <w:bottom w:val="none" w:sz="0" w:space="0" w:color="auto"/>
        <w:right w:val="none" w:sz="0" w:space="0" w:color="auto"/>
      </w:divBdr>
    </w:div>
    <w:div w:id="193344269">
      <w:bodyDiv w:val="1"/>
      <w:marLeft w:val="0"/>
      <w:marRight w:val="0"/>
      <w:marTop w:val="0"/>
      <w:marBottom w:val="0"/>
      <w:divBdr>
        <w:top w:val="none" w:sz="0" w:space="0" w:color="auto"/>
        <w:left w:val="none" w:sz="0" w:space="0" w:color="auto"/>
        <w:bottom w:val="none" w:sz="0" w:space="0" w:color="auto"/>
        <w:right w:val="none" w:sz="0" w:space="0" w:color="auto"/>
      </w:divBdr>
    </w:div>
    <w:div w:id="193423585">
      <w:bodyDiv w:val="1"/>
      <w:marLeft w:val="0"/>
      <w:marRight w:val="0"/>
      <w:marTop w:val="0"/>
      <w:marBottom w:val="0"/>
      <w:divBdr>
        <w:top w:val="none" w:sz="0" w:space="0" w:color="auto"/>
        <w:left w:val="none" w:sz="0" w:space="0" w:color="auto"/>
        <w:bottom w:val="none" w:sz="0" w:space="0" w:color="auto"/>
        <w:right w:val="none" w:sz="0" w:space="0" w:color="auto"/>
      </w:divBdr>
      <w:divsChild>
        <w:div w:id="1168784792">
          <w:marLeft w:val="0"/>
          <w:marRight w:val="0"/>
          <w:marTop w:val="0"/>
          <w:marBottom w:val="0"/>
          <w:divBdr>
            <w:top w:val="none" w:sz="0" w:space="0" w:color="auto"/>
            <w:left w:val="none" w:sz="0" w:space="0" w:color="auto"/>
            <w:bottom w:val="none" w:sz="0" w:space="0" w:color="auto"/>
            <w:right w:val="none" w:sz="0" w:space="0" w:color="auto"/>
          </w:divBdr>
          <w:divsChild>
            <w:div w:id="84882547">
              <w:marLeft w:val="0"/>
              <w:marRight w:val="0"/>
              <w:marTop w:val="0"/>
              <w:marBottom w:val="0"/>
              <w:divBdr>
                <w:top w:val="none" w:sz="0" w:space="0" w:color="auto"/>
                <w:left w:val="none" w:sz="0" w:space="0" w:color="auto"/>
                <w:bottom w:val="none" w:sz="0" w:space="0" w:color="auto"/>
                <w:right w:val="none" w:sz="0" w:space="0" w:color="auto"/>
              </w:divBdr>
              <w:divsChild>
                <w:div w:id="1704820168">
                  <w:marLeft w:val="0"/>
                  <w:marRight w:val="0"/>
                  <w:marTop w:val="0"/>
                  <w:marBottom w:val="0"/>
                  <w:divBdr>
                    <w:top w:val="none" w:sz="0" w:space="0" w:color="auto"/>
                    <w:left w:val="none" w:sz="0" w:space="0" w:color="auto"/>
                    <w:bottom w:val="none" w:sz="0" w:space="0" w:color="auto"/>
                    <w:right w:val="none" w:sz="0" w:space="0" w:color="auto"/>
                  </w:divBdr>
                  <w:divsChild>
                    <w:div w:id="115862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16332">
      <w:bodyDiv w:val="1"/>
      <w:marLeft w:val="0"/>
      <w:marRight w:val="0"/>
      <w:marTop w:val="0"/>
      <w:marBottom w:val="0"/>
      <w:divBdr>
        <w:top w:val="none" w:sz="0" w:space="0" w:color="auto"/>
        <w:left w:val="none" w:sz="0" w:space="0" w:color="auto"/>
        <w:bottom w:val="none" w:sz="0" w:space="0" w:color="auto"/>
        <w:right w:val="none" w:sz="0" w:space="0" w:color="auto"/>
      </w:divBdr>
    </w:div>
    <w:div w:id="195194921">
      <w:bodyDiv w:val="1"/>
      <w:marLeft w:val="0"/>
      <w:marRight w:val="0"/>
      <w:marTop w:val="0"/>
      <w:marBottom w:val="0"/>
      <w:divBdr>
        <w:top w:val="none" w:sz="0" w:space="0" w:color="auto"/>
        <w:left w:val="none" w:sz="0" w:space="0" w:color="auto"/>
        <w:bottom w:val="none" w:sz="0" w:space="0" w:color="auto"/>
        <w:right w:val="none" w:sz="0" w:space="0" w:color="auto"/>
      </w:divBdr>
    </w:div>
    <w:div w:id="195313228">
      <w:bodyDiv w:val="1"/>
      <w:marLeft w:val="0"/>
      <w:marRight w:val="0"/>
      <w:marTop w:val="0"/>
      <w:marBottom w:val="0"/>
      <w:divBdr>
        <w:top w:val="none" w:sz="0" w:space="0" w:color="auto"/>
        <w:left w:val="none" w:sz="0" w:space="0" w:color="auto"/>
        <w:bottom w:val="none" w:sz="0" w:space="0" w:color="auto"/>
        <w:right w:val="none" w:sz="0" w:space="0" w:color="auto"/>
      </w:divBdr>
    </w:div>
    <w:div w:id="196741167">
      <w:bodyDiv w:val="1"/>
      <w:marLeft w:val="0"/>
      <w:marRight w:val="0"/>
      <w:marTop w:val="0"/>
      <w:marBottom w:val="0"/>
      <w:divBdr>
        <w:top w:val="none" w:sz="0" w:space="0" w:color="auto"/>
        <w:left w:val="none" w:sz="0" w:space="0" w:color="auto"/>
        <w:bottom w:val="none" w:sz="0" w:space="0" w:color="auto"/>
        <w:right w:val="none" w:sz="0" w:space="0" w:color="auto"/>
      </w:divBdr>
    </w:div>
    <w:div w:id="197739126">
      <w:bodyDiv w:val="1"/>
      <w:marLeft w:val="0"/>
      <w:marRight w:val="0"/>
      <w:marTop w:val="0"/>
      <w:marBottom w:val="0"/>
      <w:divBdr>
        <w:top w:val="none" w:sz="0" w:space="0" w:color="auto"/>
        <w:left w:val="none" w:sz="0" w:space="0" w:color="auto"/>
        <w:bottom w:val="none" w:sz="0" w:space="0" w:color="auto"/>
        <w:right w:val="none" w:sz="0" w:space="0" w:color="auto"/>
      </w:divBdr>
      <w:divsChild>
        <w:div w:id="1050300262">
          <w:marLeft w:val="0"/>
          <w:marRight w:val="0"/>
          <w:marTop w:val="0"/>
          <w:marBottom w:val="0"/>
          <w:divBdr>
            <w:top w:val="none" w:sz="0" w:space="0" w:color="auto"/>
            <w:left w:val="none" w:sz="0" w:space="0" w:color="auto"/>
            <w:bottom w:val="none" w:sz="0" w:space="0" w:color="auto"/>
            <w:right w:val="none" w:sz="0" w:space="0" w:color="auto"/>
          </w:divBdr>
          <w:divsChild>
            <w:div w:id="1791582987">
              <w:marLeft w:val="0"/>
              <w:marRight w:val="0"/>
              <w:marTop w:val="0"/>
              <w:marBottom w:val="0"/>
              <w:divBdr>
                <w:top w:val="none" w:sz="0" w:space="0" w:color="auto"/>
                <w:left w:val="none" w:sz="0" w:space="0" w:color="auto"/>
                <w:bottom w:val="none" w:sz="0" w:space="0" w:color="auto"/>
                <w:right w:val="none" w:sz="0" w:space="0" w:color="auto"/>
              </w:divBdr>
              <w:divsChild>
                <w:div w:id="1967152401">
                  <w:marLeft w:val="0"/>
                  <w:marRight w:val="0"/>
                  <w:marTop w:val="0"/>
                  <w:marBottom w:val="0"/>
                  <w:divBdr>
                    <w:top w:val="none" w:sz="0" w:space="0" w:color="auto"/>
                    <w:left w:val="none" w:sz="0" w:space="0" w:color="auto"/>
                    <w:bottom w:val="none" w:sz="0" w:space="0" w:color="auto"/>
                    <w:right w:val="none" w:sz="0" w:space="0" w:color="auto"/>
                  </w:divBdr>
                  <w:divsChild>
                    <w:div w:id="133557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70375">
      <w:bodyDiv w:val="1"/>
      <w:marLeft w:val="0"/>
      <w:marRight w:val="0"/>
      <w:marTop w:val="0"/>
      <w:marBottom w:val="0"/>
      <w:divBdr>
        <w:top w:val="none" w:sz="0" w:space="0" w:color="auto"/>
        <w:left w:val="none" w:sz="0" w:space="0" w:color="auto"/>
        <w:bottom w:val="none" w:sz="0" w:space="0" w:color="auto"/>
        <w:right w:val="none" w:sz="0" w:space="0" w:color="auto"/>
      </w:divBdr>
    </w:div>
    <w:div w:id="199636699">
      <w:bodyDiv w:val="1"/>
      <w:marLeft w:val="0"/>
      <w:marRight w:val="0"/>
      <w:marTop w:val="0"/>
      <w:marBottom w:val="0"/>
      <w:divBdr>
        <w:top w:val="none" w:sz="0" w:space="0" w:color="auto"/>
        <w:left w:val="none" w:sz="0" w:space="0" w:color="auto"/>
        <w:bottom w:val="none" w:sz="0" w:space="0" w:color="auto"/>
        <w:right w:val="none" w:sz="0" w:space="0" w:color="auto"/>
      </w:divBdr>
      <w:divsChild>
        <w:div w:id="529608751">
          <w:marLeft w:val="0"/>
          <w:marRight w:val="0"/>
          <w:marTop w:val="0"/>
          <w:marBottom w:val="0"/>
          <w:divBdr>
            <w:top w:val="none" w:sz="0" w:space="0" w:color="auto"/>
            <w:left w:val="none" w:sz="0" w:space="0" w:color="auto"/>
            <w:bottom w:val="none" w:sz="0" w:space="0" w:color="auto"/>
            <w:right w:val="none" w:sz="0" w:space="0" w:color="auto"/>
          </w:divBdr>
          <w:divsChild>
            <w:div w:id="634287924">
              <w:marLeft w:val="0"/>
              <w:marRight w:val="0"/>
              <w:marTop w:val="0"/>
              <w:marBottom w:val="0"/>
              <w:divBdr>
                <w:top w:val="none" w:sz="0" w:space="0" w:color="auto"/>
                <w:left w:val="none" w:sz="0" w:space="0" w:color="auto"/>
                <w:bottom w:val="none" w:sz="0" w:space="0" w:color="auto"/>
                <w:right w:val="none" w:sz="0" w:space="0" w:color="auto"/>
              </w:divBdr>
              <w:divsChild>
                <w:div w:id="999388039">
                  <w:marLeft w:val="0"/>
                  <w:marRight w:val="0"/>
                  <w:marTop w:val="0"/>
                  <w:marBottom w:val="0"/>
                  <w:divBdr>
                    <w:top w:val="none" w:sz="0" w:space="0" w:color="auto"/>
                    <w:left w:val="none" w:sz="0" w:space="0" w:color="auto"/>
                    <w:bottom w:val="none" w:sz="0" w:space="0" w:color="auto"/>
                    <w:right w:val="none" w:sz="0" w:space="0" w:color="auto"/>
                  </w:divBdr>
                  <w:divsChild>
                    <w:div w:id="161536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34157">
      <w:bodyDiv w:val="1"/>
      <w:marLeft w:val="0"/>
      <w:marRight w:val="0"/>
      <w:marTop w:val="0"/>
      <w:marBottom w:val="0"/>
      <w:divBdr>
        <w:top w:val="none" w:sz="0" w:space="0" w:color="auto"/>
        <w:left w:val="none" w:sz="0" w:space="0" w:color="auto"/>
        <w:bottom w:val="none" w:sz="0" w:space="0" w:color="auto"/>
        <w:right w:val="none" w:sz="0" w:space="0" w:color="auto"/>
      </w:divBdr>
    </w:div>
    <w:div w:id="200941590">
      <w:bodyDiv w:val="1"/>
      <w:marLeft w:val="0"/>
      <w:marRight w:val="0"/>
      <w:marTop w:val="0"/>
      <w:marBottom w:val="0"/>
      <w:divBdr>
        <w:top w:val="none" w:sz="0" w:space="0" w:color="auto"/>
        <w:left w:val="none" w:sz="0" w:space="0" w:color="auto"/>
        <w:bottom w:val="none" w:sz="0" w:space="0" w:color="auto"/>
        <w:right w:val="none" w:sz="0" w:space="0" w:color="auto"/>
      </w:divBdr>
      <w:divsChild>
        <w:div w:id="732045948">
          <w:marLeft w:val="0"/>
          <w:marRight w:val="0"/>
          <w:marTop w:val="0"/>
          <w:marBottom w:val="0"/>
          <w:divBdr>
            <w:top w:val="none" w:sz="0" w:space="0" w:color="auto"/>
            <w:left w:val="none" w:sz="0" w:space="0" w:color="auto"/>
            <w:bottom w:val="none" w:sz="0" w:space="0" w:color="auto"/>
            <w:right w:val="none" w:sz="0" w:space="0" w:color="auto"/>
          </w:divBdr>
          <w:divsChild>
            <w:div w:id="1076903621">
              <w:marLeft w:val="0"/>
              <w:marRight w:val="0"/>
              <w:marTop w:val="0"/>
              <w:marBottom w:val="0"/>
              <w:divBdr>
                <w:top w:val="none" w:sz="0" w:space="0" w:color="auto"/>
                <w:left w:val="none" w:sz="0" w:space="0" w:color="auto"/>
                <w:bottom w:val="none" w:sz="0" w:space="0" w:color="auto"/>
                <w:right w:val="none" w:sz="0" w:space="0" w:color="auto"/>
              </w:divBdr>
              <w:divsChild>
                <w:div w:id="345982459">
                  <w:marLeft w:val="0"/>
                  <w:marRight w:val="0"/>
                  <w:marTop w:val="0"/>
                  <w:marBottom w:val="0"/>
                  <w:divBdr>
                    <w:top w:val="none" w:sz="0" w:space="0" w:color="auto"/>
                    <w:left w:val="none" w:sz="0" w:space="0" w:color="auto"/>
                    <w:bottom w:val="none" w:sz="0" w:space="0" w:color="auto"/>
                    <w:right w:val="none" w:sz="0" w:space="0" w:color="auto"/>
                  </w:divBdr>
                  <w:divsChild>
                    <w:div w:id="3672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60576">
      <w:bodyDiv w:val="1"/>
      <w:marLeft w:val="0"/>
      <w:marRight w:val="0"/>
      <w:marTop w:val="0"/>
      <w:marBottom w:val="0"/>
      <w:divBdr>
        <w:top w:val="none" w:sz="0" w:space="0" w:color="auto"/>
        <w:left w:val="none" w:sz="0" w:space="0" w:color="auto"/>
        <w:bottom w:val="none" w:sz="0" w:space="0" w:color="auto"/>
        <w:right w:val="none" w:sz="0" w:space="0" w:color="auto"/>
      </w:divBdr>
      <w:divsChild>
        <w:div w:id="685906159">
          <w:marLeft w:val="0"/>
          <w:marRight w:val="0"/>
          <w:marTop w:val="0"/>
          <w:marBottom w:val="0"/>
          <w:divBdr>
            <w:top w:val="none" w:sz="0" w:space="0" w:color="auto"/>
            <w:left w:val="none" w:sz="0" w:space="0" w:color="auto"/>
            <w:bottom w:val="none" w:sz="0" w:space="0" w:color="auto"/>
            <w:right w:val="none" w:sz="0" w:space="0" w:color="auto"/>
          </w:divBdr>
          <w:divsChild>
            <w:div w:id="664208335">
              <w:marLeft w:val="0"/>
              <w:marRight w:val="0"/>
              <w:marTop w:val="0"/>
              <w:marBottom w:val="0"/>
              <w:divBdr>
                <w:top w:val="none" w:sz="0" w:space="0" w:color="auto"/>
                <w:left w:val="none" w:sz="0" w:space="0" w:color="auto"/>
                <w:bottom w:val="none" w:sz="0" w:space="0" w:color="auto"/>
                <w:right w:val="none" w:sz="0" w:space="0" w:color="auto"/>
              </w:divBdr>
              <w:divsChild>
                <w:div w:id="1404529939">
                  <w:marLeft w:val="0"/>
                  <w:marRight w:val="0"/>
                  <w:marTop w:val="0"/>
                  <w:marBottom w:val="0"/>
                  <w:divBdr>
                    <w:top w:val="none" w:sz="0" w:space="0" w:color="auto"/>
                    <w:left w:val="none" w:sz="0" w:space="0" w:color="auto"/>
                    <w:bottom w:val="none" w:sz="0" w:space="0" w:color="auto"/>
                    <w:right w:val="none" w:sz="0" w:space="0" w:color="auto"/>
                  </w:divBdr>
                  <w:divsChild>
                    <w:div w:id="6299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00635">
      <w:bodyDiv w:val="1"/>
      <w:marLeft w:val="0"/>
      <w:marRight w:val="0"/>
      <w:marTop w:val="0"/>
      <w:marBottom w:val="0"/>
      <w:divBdr>
        <w:top w:val="none" w:sz="0" w:space="0" w:color="auto"/>
        <w:left w:val="none" w:sz="0" w:space="0" w:color="auto"/>
        <w:bottom w:val="none" w:sz="0" w:space="0" w:color="auto"/>
        <w:right w:val="none" w:sz="0" w:space="0" w:color="auto"/>
      </w:divBdr>
    </w:div>
    <w:div w:id="202715546">
      <w:bodyDiv w:val="1"/>
      <w:marLeft w:val="0"/>
      <w:marRight w:val="0"/>
      <w:marTop w:val="0"/>
      <w:marBottom w:val="0"/>
      <w:divBdr>
        <w:top w:val="none" w:sz="0" w:space="0" w:color="auto"/>
        <w:left w:val="none" w:sz="0" w:space="0" w:color="auto"/>
        <w:bottom w:val="none" w:sz="0" w:space="0" w:color="auto"/>
        <w:right w:val="none" w:sz="0" w:space="0" w:color="auto"/>
      </w:divBdr>
    </w:div>
    <w:div w:id="203569181">
      <w:bodyDiv w:val="1"/>
      <w:marLeft w:val="0"/>
      <w:marRight w:val="0"/>
      <w:marTop w:val="0"/>
      <w:marBottom w:val="0"/>
      <w:divBdr>
        <w:top w:val="none" w:sz="0" w:space="0" w:color="auto"/>
        <w:left w:val="none" w:sz="0" w:space="0" w:color="auto"/>
        <w:bottom w:val="none" w:sz="0" w:space="0" w:color="auto"/>
        <w:right w:val="none" w:sz="0" w:space="0" w:color="auto"/>
      </w:divBdr>
    </w:div>
    <w:div w:id="205140434">
      <w:bodyDiv w:val="1"/>
      <w:marLeft w:val="0"/>
      <w:marRight w:val="0"/>
      <w:marTop w:val="0"/>
      <w:marBottom w:val="0"/>
      <w:divBdr>
        <w:top w:val="none" w:sz="0" w:space="0" w:color="auto"/>
        <w:left w:val="none" w:sz="0" w:space="0" w:color="auto"/>
        <w:bottom w:val="none" w:sz="0" w:space="0" w:color="auto"/>
        <w:right w:val="none" w:sz="0" w:space="0" w:color="auto"/>
      </w:divBdr>
    </w:div>
    <w:div w:id="205143073">
      <w:bodyDiv w:val="1"/>
      <w:marLeft w:val="0"/>
      <w:marRight w:val="0"/>
      <w:marTop w:val="0"/>
      <w:marBottom w:val="0"/>
      <w:divBdr>
        <w:top w:val="none" w:sz="0" w:space="0" w:color="auto"/>
        <w:left w:val="none" w:sz="0" w:space="0" w:color="auto"/>
        <w:bottom w:val="none" w:sz="0" w:space="0" w:color="auto"/>
        <w:right w:val="none" w:sz="0" w:space="0" w:color="auto"/>
      </w:divBdr>
    </w:div>
    <w:div w:id="207451702">
      <w:bodyDiv w:val="1"/>
      <w:marLeft w:val="0"/>
      <w:marRight w:val="0"/>
      <w:marTop w:val="0"/>
      <w:marBottom w:val="0"/>
      <w:divBdr>
        <w:top w:val="none" w:sz="0" w:space="0" w:color="auto"/>
        <w:left w:val="none" w:sz="0" w:space="0" w:color="auto"/>
        <w:bottom w:val="none" w:sz="0" w:space="0" w:color="auto"/>
        <w:right w:val="none" w:sz="0" w:space="0" w:color="auto"/>
      </w:divBdr>
    </w:div>
    <w:div w:id="208302129">
      <w:bodyDiv w:val="1"/>
      <w:marLeft w:val="0"/>
      <w:marRight w:val="0"/>
      <w:marTop w:val="0"/>
      <w:marBottom w:val="0"/>
      <w:divBdr>
        <w:top w:val="none" w:sz="0" w:space="0" w:color="auto"/>
        <w:left w:val="none" w:sz="0" w:space="0" w:color="auto"/>
        <w:bottom w:val="none" w:sz="0" w:space="0" w:color="auto"/>
        <w:right w:val="none" w:sz="0" w:space="0" w:color="auto"/>
      </w:divBdr>
    </w:div>
    <w:div w:id="209343281">
      <w:bodyDiv w:val="1"/>
      <w:marLeft w:val="0"/>
      <w:marRight w:val="0"/>
      <w:marTop w:val="0"/>
      <w:marBottom w:val="0"/>
      <w:divBdr>
        <w:top w:val="none" w:sz="0" w:space="0" w:color="auto"/>
        <w:left w:val="none" w:sz="0" w:space="0" w:color="auto"/>
        <w:bottom w:val="none" w:sz="0" w:space="0" w:color="auto"/>
        <w:right w:val="none" w:sz="0" w:space="0" w:color="auto"/>
      </w:divBdr>
      <w:divsChild>
        <w:div w:id="425729777">
          <w:marLeft w:val="0"/>
          <w:marRight w:val="0"/>
          <w:marTop w:val="0"/>
          <w:marBottom w:val="0"/>
          <w:divBdr>
            <w:top w:val="none" w:sz="0" w:space="0" w:color="auto"/>
            <w:left w:val="none" w:sz="0" w:space="0" w:color="auto"/>
            <w:bottom w:val="none" w:sz="0" w:space="0" w:color="auto"/>
            <w:right w:val="none" w:sz="0" w:space="0" w:color="auto"/>
          </w:divBdr>
          <w:divsChild>
            <w:div w:id="508565776">
              <w:marLeft w:val="0"/>
              <w:marRight w:val="0"/>
              <w:marTop w:val="0"/>
              <w:marBottom w:val="0"/>
              <w:divBdr>
                <w:top w:val="none" w:sz="0" w:space="0" w:color="auto"/>
                <w:left w:val="none" w:sz="0" w:space="0" w:color="auto"/>
                <w:bottom w:val="none" w:sz="0" w:space="0" w:color="auto"/>
                <w:right w:val="none" w:sz="0" w:space="0" w:color="auto"/>
              </w:divBdr>
              <w:divsChild>
                <w:div w:id="154076855">
                  <w:marLeft w:val="0"/>
                  <w:marRight w:val="0"/>
                  <w:marTop w:val="0"/>
                  <w:marBottom w:val="0"/>
                  <w:divBdr>
                    <w:top w:val="none" w:sz="0" w:space="0" w:color="auto"/>
                    <w:left w:val="none" w:sz="0" w:space="0" w:color="auto"/>
                    <w:bottom w:val="none" w:sz="0" w:space="0" w:color="auto"/>
                    <w:right w:val="none" w:sz="0" w:space="0" w:color="auto"/>
                  </w:divBdr>
                  <w:divsChild>
                    <w:div w:id="27282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66962">
      <w:bodyDiv w:val="1"/>
      <w:marLeft w:val="0"/>
      <w:marRight w:val="0"/>
      <w:marTop w:val="0"/>
      <w:marBottom w:val="0"/>
      <w:divBdr>
        <w:top w:val="none" w:sz="0" w:space="0" w:color="auto"/>
        <w:left w:val="none" w:sz="0" w:space="0" w:color="auto"/>
        <w:bottom w:val="none" w:sz="0" w:space="0" w:color="auto"/>
        <w:right w:val="none" w:sz="0" w:space="0" w:color="auto"/>
      </w:divBdr>
    </w:div>
    <w:div w:id="210725970">
      <w:bodyDiv w:val="1"/>
      <w:marLeft w:val="0"/>
      <w:marRight w:val="0"/>
      <w:marTop w:val="0"/>
      <w:marBottom w:val="0"/>
      <w:divBdr>
        <w:top w:val="none" w:sz="0" w:space="0" w:color="auto"/>
        <w:left w:val="none" w:sz="0" w:space="0" w:color="auto"/>
        <w:bottom w:val="none" w:sz="0" w:space="0" w:color="auto"/>
        <w:right w:val="none" w:sz="0" w:space="0" w:color="auto"/>
      </w:divBdr>
      <w:divsChild>
        <w:div w:id="99956850">
          <w:marLeft w:val="0"/>
          <w:marRight w:val="0"/>
          <w:marTop w:val="0"/>
          <w:marBottom w:val="0"/>
          <w:divBdr>
            <w:top w:val="none" w:sz="0" w:space="0" w:color="auto"/>
            <w:left w:val="none" w:sz="0" w:space="0" w:color="auto"/>
            <w:bottom w:val="none" w:sz="0" w:space="0" w:color="auto"/>
            <w:right w:val="none" w:sz="0" w:space="0" w:color="auto"/>
          </w:divBdr>
          <w:divsChild>
            <w:div w:id="504173723">
              <w:marLeft w:val="0"/>
              <w:marRight w:val="0"/>
              <w:marTop w:val="0"/>
              <w:marBottom w:val="0"/>
              <w:divBdr>
                <w:top w:val="none" w:sz="0" w:space="0" w:color="auto"/>
                <w:left w:val="none" w:sz="0" w:space="0" w:color="auto"/>
                <w:bottom w:val="none" w:sz="0" w:space="0" w:color="auto"/>
                <w:right w:val="none" w:sz="0" w:space="0" w:color="auto"/>
              </w:divBdr>
              <w:divsChild>
                <w:div w:id="25371244">
                  <w:marLeft w:val="0"/>
                  <w:marRight w:val="0"/>
                  <w:marTop w:val="0"/>
                  <w:marBottom w:val="0"/>
                  <w:divBdr>
                    <w:top w:val="none" w:sz="0" w:space="0" w:color="auto"/>
                    <w:left w:val="none" w:sz="0" w:space="0" w:color="auto"/>
                    <w:bottom w:val="none" w:sz="0" w:space="0" w:color="auto"/>
                    <w:right w:val="none" w:sz="0" w:space="0" w:color="auto"/>
                  </w:divBdr>
                  <w:divsChild>
                    <w:div w:id="3728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75559">
      <w:bodyDiv w:val="1"/>
      <w:marLeft w:val="0"/>
      <w:marRight w:val="0"/>
      <w:marTop w:val="0"/>
      <w:marBottom w:val="0"/>
      <w:divBdr>
        <w:top w:val="none" w:sz="0" w:space="0" w:color="auto"/>
        <w:left w:val="none" w:sz="0" w:space="0" w:color="auto"/>
        <w:bottom w:val="none" w:sz="0" w:space="0" w:color="auto"/>
        <w:right w:val="none" w:sz="0" w:space="0" w:color="auto"/>
      </w:divBdr>
    </w:div>
    <w:div w:id="213582315">
      <w:bodyDiv w:val="1"/>
      <w:marLeft w:val="0"/>
      <w:marRight w:val="0"/>
      <w:marTop w:val="0"/>
      <w:marBottom w:val="0"/>
      <w:divBdr>
        <w:top w:val="none" w:sz="0" w:space="0" w:color="auto"/>
        <w:left w:val="none" w:sz="0" w:space="0" w:color="auto"/>
        <w:bottom w:val="none" w:sz="0" w:space="0" w:color="auto"/>
        <w:right w:val="none" w:sz="0" w:space="0" w:color="auto"/>
      </w:divBdr>
    </w:div>
    <w:div w:id="213666977">
      <w:bodyDiv w:val="1"/>
      <w:marLeft w:val="0"/>
      <w:marRight w:val="0"/>
      <w:marTop w:val="0"/>
      <w:marBottom w:val="0"/>
      <w:divBdr>
        <w:top w:val="none" w:sz="0" w:space="0" w:color="auto"/>
        <w:left w:val="none" w:sz="0" w:space="0" w:color="auto"/>
        <w:bottom w:val="none" w:sz="0" w:space="0" w:color="auto"/>
        <w:right w:val="none" w:sz="0" w:space="0" w:color="auto"/>
      </w:divBdr>
    </w:div>
    <w:div w:id="215776828">
      <w:bodyDiv w:val="1"/>
      <w:marLeft w:val="0"/>
      <w:marRight w:val="0"/>
      <w:marTop w:val="0"/>
      <w:marBottom w:val="0"/>
      <w:divBdr>
        <w:top w:val="none" w:sz="0" w:space="0" w:color="auto"/>
        <w:left w:val="none" w:sz="0" w:space="0" w:color="auto"/>
        <w:bottom w:val="none" w:sz="0" w:space="0" w:color="auto"/>
        <w:right w:val="none" w:sz="0" w:space="0" w:color="auto"/>
      </w:divBdr>
    </w:div>
    <w:div w:id="215825233">
      <w:bodyDiv w:val="1"/>
      <w:marLeft w:val="0"/>
      <w:marRight w:val="0"/>
      <w:marTop w:val="0"/>
      <w:marBottom w:val="0"/>
      <w:divBdr>
        <w:top w:val="none" w:sz="0" w:space="0" w:color="auto"/>
        <w:left w:val="none" w:sz="0" w:space="0" w:color="auto"/>
        <w:bottom w:val="none" w:sz="0" w:space="0" w:color="auto"/>
        <w:right w:val="none" w:sz="0" w:space="0" w:color="auto"/>
      </w:divBdr>
      <w:divsChild>
        <w:div w:id="79256503">
          <w:marLeft w:val="0"/>
          <w:marRight w:val="0"/>
          <w:marTop w:val="0"/>
          <w:marBottom w:val="0"/>
          <w:divBdr>
            <w:top w:val="none" w:sz="0" w:space="0" w:color="auto"/>
            <w:left w:val="none" w:sz="0" w:space="0" w:color="auto"/>
            <w:bottom w:val="none" w:sz="0" w:space="0" w:color="auto"/>
            <w:right w:val="none" w:sz="0" w:space="0" w:color="auto"/>
          </w:divBdr>
          <w:divsChild>
            <w:div w:id="12540250">
              <w:marLeft w:val="0"/>
              <w:marRight w:val="0"/>
              <w:marTop w:val="0"/>
              <w:marBottom w:val="0"/>
              <w:divBdr>
                <w:top w:val="none" w:sz="0" w:space="0" w:color="auto"/>
                <w:left w:val="none" w:sz="0" w:space="0" w:color="auto"/>
                <w:bottom w:val="none" w:sz="0" w:space="0" w:color="auto"/>
                <w:right w:val="none" w:sz="0" w:space="0" w:color="auto"/>
              </w:divBdr>
              <w:divsChild>
                <w:div w:id="260144387">
                  <w:marLeft w:val="0"/>
                  <w:marRight w:val="0"/>
                  <w:marTop w:val="0"/>
                  <w:marBottom w:val="0"/>
                  <w:divBdr>
                    <w:top w:val="none" w:sz="0" w:space="0" w:color="auto"/>
                    <w:left w:val="none" w:sz="0" w:space="0" w:color="auto"/>
                    <w:bottom w:val="none" w:sz="0" w:space="0" w:color="auto"/>
                    <w:right w:val="none" w:sz="0" w:space="0" w:color="auto"/>
                  </w:divBdr>
                  <w:divsChild>
                    <w:div w:id="10286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010466">
      <w:bodyDiv w:val="1"/>
      <w:marLeft w:val="0"/>
      <w:marRight w:val="0"/>
      <w:marTop w:val="0"/>
      <w:marBottom w:val="0"/>
      <w:divBdr>
        <w:top w:val="none" w:sz="0" w:space="0" w:color="auto"/>
        <w:left w:val="none" w:sz="0" w:space="0" w:color="auto"/>
        <w:bottom w:val="none" w:sz="0" w:space="0" w:color="auto"/>
        <w:right w:val="none" w:sz="0" w:space="0" w:color="auto"/>
      </w:divBdr>
    </w:div>
    <w:div w:id="216363174">
      <w:bodyDiv w:val="1"/>
      <w:marLeft w:val="0"/>
      <w:marRight w:val="0"/>
      <w:marTop w:val="0"/>
      <w:marBottom w:val="0"/>
      <w:divBdr>
        <w:top w:val="none" w:sz="0" w:space="0" w:color="auto"/>
        <w:left w:val="none" w:sz="0" w:space="0" w:color="auto"/>
        <w:bottom w:val="none" w:sz="0" w:space="0" w:color="auto"/>
        <w:right w:val="none" w:sz="0" w:space="0" w:color="auto"/>
      </w:divBdr>
    </w:div>
    <w:div w:id="218370041">
      <w:bodyDiv w:val="1"/>
      <w:marLeft w:val="0"/>
      <w:marRight w:val="0"/>
      <w:marTop w:val="0"/>
      <w:marBottom w:val="0"/>
      <w:divBdr>
        <w:top w:val="none" w:sz="0" w:space="0" w:color="auto"/>
        <w:left w:val="none" w:sz="0" w:space="0" w:color="auto"/>
        <w:bottom w:val="none" w:sz="0" w:space="0" w:color="auto"/>
        <w:right w:val="none" w:sz="0" w:space="0" w:color="auto"/>
      </w:divBdr>
    </w:div>
    <w:div w:id="219445936">
      <w:bodyDiv w:val="1"/>
      <w:marLeft w:val="0"/>
      <w:marRight w:val="0"/>
      <w:marTop w:val="0"/>
      <w:marBottom w:val="0"/>
      <w:divBdr>
        <w:top w:val="none" w:sz="0" w:space="0" w:color="auto"/>
        <w:left w:val="none" w:sz="0" w:space="0" w:color="auto"/>
        <w:bottom w:val="none" w:sz="0" w:space="0" w:color="auto"/>
        <w:right w:val="none" w:sz="0" w:space="0" w:color="auto"/>
      </w:divBdr>
    </w:div>
    <w:div w:id="220335409">
      <w:bodyDiv w:val="1"/>
      <w:marLeft w:val="0"/>
      <w:marRight w:val="0"/>
      <w:marTop w:val="0"/>
      <w:marBottom w:val="0"/>
      <w:divBdr>
        <w:top w:val="none" w:sz="0" w:space="0" w:color="auto"/>
        <w:left w:val="none" w:sz="0" w:space="0" w:color="auto"/>
        <w:bottom w:val="none" w:sz="0" w:space="0" w:color="auto"/>
        <w:right w:val="none" w:sz="0" w:space="0" w:color="auto"/>
      </w:divBdr>
    </w:div>
    <w:div w:id="220942476">
      <w:bodyDiv w:val="1"/>
      <w:marLeft w:val="0"/>
      <w:marRight w:val="0"/>
      <w:marTop w:val="0"/>
      <w:marBottom w:val="0"/>
      <w:divBdr>
        <w:top w:val="none" w:sz="0" w:space="0" w:color="auto"/>
        <w:left w:val="none" w:sz="0" w:space="0" w:color="auto"/>
        <w:bottom w:val="none" w:sz="0" w:space="0" w:color="auto"/>
        <w:right w:val="none" w:sz="0" w:space="0" w:color="auto"/>
      </w:divBdr>
      <w:divsChild>
        <w:div w:id="1147630367">
          <w:marLeft w:val="0"/>
          <w:marRight w:val="0"/>
          <w:marTop w:val="0"/>
          <w:marBottom w:val="0"/>
          <w:divBdr>
            <w:top w:val="none" w:sz="0" w:space="0" w:color="auto"/>
            <w:left w:val="none" w:sz="0" w:space="0" w:color="auto"/>
            <w:bottom w:val="none" w:sz="0" w:space="0" w:color="auto"/>
            <w:right w:val="none" w:sz="0" w:space="0" w:color="auto"/>
          </w:divBdr>
          <w:divsChild>
            <w:div w:id="2078477161">
              <w:marLeft w:val="0"/>
              <w:marRight w:val="0"/>
              <w:marTop w:val="0"/>
              <w:marBottom w:val="0"/>
              <w:divBdr>
                <w:top w:val="none" w:sz="0" w:space="0" w:color="auto"/>
                <w:left w:val="none" w:sz="0" w:space="0" w:color="auto"/>
                <w:bottom w:val="none" w:sz="0" w:space="0" w:color="auto"/>
                <w:right w:val="none" w:sz="0" w:space="0" w:color="auto"/>
              </w:divBdr>
              <w:divsChild>
                <w:div w:id="81449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949310">
      <w:bodyDiv w:val="1"/>
      <w:marLeft w:val="0"/>
      <w:marRight w:val="0"/>
      <w:marTop w:val="0"/>
      <w:marBottom w:val="0"/>
      <w:divBdr>
        <w:top w:val="none" w:sz="0" w:space="0" w:color="auto"/>
        <w:left w:val="none" w:sz="0" w:space="0" w:color="auto"/>
        <w:bottom w:val="none" w:sz="0" w:space="0" w:color="auto"/>
        <w:right w:val="none" w:sz="0" w:space="0" w:color="auto"/>
      </w:divBdr>
      <w:divsChild>
        <w:div w:id="1887447770">
          <w:marLeft w:val="0"/>
          <w:marRight w:val="0"/>
          <w:marTop w:val="0"/>
          <w:marBottom w:val="0"/>
          <w:divBdr>
            <w:top w:val="none" w:sz="0" w:space="0" w:color="auto"/>
            <w:left w:val="none" w:sz="0" w:space="0" w:color="auto"/>
            <w:bottom w:val="none" w:sz="0" w:space="0" w:color="auto"/>
            <w:right w:val="none" w:sz="0" w:space="0" w:color="auto"/>
          </w:divBdr>
          <w:divsChild>
            <w:div w:id="1325279948">
              <w:marLeft w:val="0"/>
              <w:marRight w:val="0"/>
              <w:marTop w:val="0"/>
              <w:marBottom w:val="0"/>
              <w:divBdr>
                <w:top w:val="none" w:sz="0" w:space="0" w:color="auto"/>
                <w:left w:val="none" w:sz="0" w:space="0" w:color="auto"/>
                <w:bottom w:val="none" w:sz="0" w:space="0" w:color="auto"/>
                <w:right w:val="none" w:sz="0" w:space="0" w:color="auto"/>
              </w:divBdr>
              <w:divsChild>
                <w:div w:id="1864050963">
                  <w:marLeft w:val="0"/>
                  <w:marRight w:val="0"/>
                  <w:marTop w:val="0"/>
                  <w:marBottom w:val="0"/>
                  <w:divBdr>
                    <w:top w:val="none" w:sz="0" w:space="0" w:color="auto"/>
                    <w:left w:val="none" w:sz="0" w:space="0" w:color="auto"/>
                    <w:bottom w:val="none" w:sz="0" w:space="0" w:color="auto"/>
                    <w:right w:val="none" w:sz="0" w:space="0" w:color="auto"/>
                  </w:divBdr>
                  <w:divsChild>
                    <w:div w:id="437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328685">
      <w:bodyDiv w:val="1"/>
      <w:marLeft w:val="0"/>
      <w:marRight w:val="0"/>
      <w:marTop w:val="0"/>
      <w:marBottom w:val="0"/>
      <w:divBdr>
        <w:top w:val="none" w:sz="0" w:space="0" w:color="auto"/>
        <w:left w:val="none" w:sz="0" w:space="0" w:color="auto"/>
        <w:bottom w:val="none" w:sz="0" w:space="0" w:color="auto"/>
        <w:right w:val="none" w:sz="0" w:space="0" w:color="auto"/>
      </w:divBdr>
    </w:div>
    <w:div w:id="221604115">
      <w:bodyDiv w:val="1"/>
      <w:marLeft w:val="0"/>
      <w:marRight w:val="0"/>
      <w:marTop w:val="0"/>
      <w:marBottom w:val="0"/>
      <w:divBdr>
        <w:top w:val="none" w:sz="0" w:space="0" w:color="auto"/>
        <w:left w:val="none" w:sz="0" w:space="0" w:color="auto"/>
        <w:bottom w:val="none" w:sz="0" w:space="0" w:color="auto"/>
        <w:right w:val="none" w:sz="0" w:space="0" w:color="auto"/>
      </w:divBdr>
    </w:div>
    <w:div w:id="221719498">
      <w:bodyDiv w:val="1"/>
      <w:marLeft w:val="0"/>
      <w:marRight w:val="0"/>
      <w:marTop w:val="0"/>
      <w:marBottom w:val="0"/>
      <w:divBdr>
        <w:top w:val="none" w:sz="0" w:space="0" w:color="auto"/>
        <w:left w:val="none" w:sz="0" w:space="0" w:color="auto"/>
        <w:bottom w:val="none" w:sz="0" w:space="0" w:color="auto"/>
        <w:right w:val="none" w:sz="0" w:space="0" w:color="auto"/>
      </w:divBdr>
      <w:divsChild>
        <w:div w:id="552035092">
          <w:marLeft w:val="0"/>
          <w:marRight w:val="0"/>
          <w:marTop w:val="0"/>
          <w:marBottom w:val="0"/>
          <w:divBdr>
            <w:top w:val="none" w:sz="0" w:space="0" w:color="auto"/>
            <w:left w:val="none" w:sz="0" w:space="0" w:color="auto"/>
            <w:bottom w:val="none" w:sz="0" w:space="0" w:color="auto"/>
            <w:right w:val="none" w:sz="0" w:space="0" w:color="auto"/>
          </w:divBdr>
          <w:divsChild>
            <w:div w:id="1458794358">
              <w:marLeft w:val="0"/>
              <w:marRight w:val="0"/>
              <w:marTop w:val="0"/>
              <w:marBottom w:val="0"/>
              <w:divBdr>
                <w:top w:val="none" w:sz="0" w:space="0" w:color="auto"/>
                <w:left w:val="none" w:sz="0" w:space="0" w:color="auto"/>
                <w:bottom w:val="none" w:sz="0" w:space="0" w:color="auto"/>
                <w:right w:val="none" w:sz="0" w:space="0" w:color="auto"/>
              </w:divBdr>
              <w:divsChild>
                <w:div w:id="844711983">
                  <w:marLeft w:val="0"/>
                  <w:marRight w:val="0"/>
                  <w:marTop w:val="0"/>
                  <w:marBottom w:val="0"/>
                  <w:divBdr>
                    <w:top w:val="none" w:sz="0" w:space="0" w:color="auto"/>
                    <w:left w:val="none" w:sz="0" w:space="0" w:color="auto"/>
                    <w:bottom w:val="none" w:sz="0" w:space="0" w:color="auto"/>
                    <w:right w:val="none" w:sz="0" w:space="0" w:color="auto"/>
                  </w:divBdr>
                  <w:divsChild>
                    <w:div w:id="16515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376253">
      <w:bodyDiv w:val="1"/>
      <w:marLeft w:val="0"/>
      <w:marRight w:val="0"/>
      <w:marTop w:val="0"/>
      <w:marBottom w:val="0"/>
      <w:divBdr>
        <w:top w:val="none" w:sz="0" w:space="0" w:color="auto"/>
        <w:left w:val="none" w:sz="0" w:space="0" w:color="auto"/>
        <w:bottom w:val="none" w:sz="0" w:space="0" w:color="auto"/>
        <w:right w:val="none" w:sz="0" w:space="0" w:color="auto"/>
      </w:divBdr>
    </w:div>
    <w:div w:id="223875479">
      <w:bodyDiv w:val="1"/>
      <w:marLeft w:val="0"/>
      <w:marRight w:val="0"/>
      <w:marTop w:val="0"/>
      <w:marBottom w:val="0"/>
      <w:divBdr>
        <w:top w:val="none" w:sz="0" w:space="0" w:color="auto"/>
        <w:left w:val="none" w:sz="0" w:space="0" w:color="auto"/>
        <w:bottom w:val="none" w:sz="0" w:space="0" w:color="auto"/>
        <w:right w:val="none" w:sz="0" w:space="0" w:color="auto"/>
      </w:divBdr>
    </w:div>
    <w:div w:id="224948179">
      <w:bodyDiv w:val="1"/>
      <w:marLeft w:val="0"/>
      <w:marRight w:val="0"/>
      <w:marTop w:val="0"/>
      <w:marBottom w:val="0"/>
      <w:divBdr>
        <w:top w:val="none" w:sz="0" w:space="0" w:color="auto"/>
        <w:left w:val="none" w:sz="0" w:space="0" w:color="auto"/>
        <w:bottom w:val="none" w:sz="0" w:space="0" w:color="auto"/>
        <w:right w:val="none" w:sz="0" w:space="0" w:color="auto"/>
      </w:divBdr>
    </w:div>
    <w:div w:id="225073184">
      <w:bodyDiv w:val="1"/>
      <w:marLeft w:val="0"/>
      <w:marRight w:val="0"/>
      <w:marTop w:val="0"/>
      <w:marBottom w:val="0"/>
      <w:divBdr>
        <w:top w:val="none" w:sz="0" w:space="0" w:color="auto"/>
        <w:left w:val="none" w:sz="0" w:space="0" w:color="auto"/>
        <w:bottom w:val="none" w:sz="0" w:space="0" w:color="auto"/>
        <w:right w:val="none" w:sz="0" w:space="0" w:color="auto"/>
      </w:divBdr>
    </w:div>
    <w:div w:id="225382838">
      <w:bodyDiv w:val="1"/>
      <w:marLeft w:val="0"/>
      <w:marRight w:val="0"/>
      <w:marTop w:val="0"/>
      <w:marBottom w:val="0"/>
      <w:divBdr>
        <w:top w:val="none" w:sz="0" w:space="0" w:color="auto"/>
        <w:left w:val="none" w:sz="0" w:space="0" w:color="auto"/>
        <w:bottom w:val="none" w:sz="0" w:space="0" w:color="auto"/>
        <w:right w:val="none" w:sz="0" w:space="0" w:color="auto"/>
      </w:divBdr>
    </w:div>
    <w:div w:id="226453376">
      <w:bodyDiv w:val="1"/>
      <w:marLeft w:val="0"/>
      <w:marRight w:val="0"/>
      <w:marTop w:val="0"/>
      <w:marBottom w:val="0"/>
      <w:divBdr>
        <w:top w:val="none" w:sz="0" w:space="0" w:color="auto"/>
        <w:left w:val="none" w:sz="0" w:space="0" w:color="auto"/>
        <w:bottom w:val="none" w:sz="0" w:space="0" w:color="auto"/>
        <w:right w:val="none" w:sz="0" w:space="0" w:color="auto"/>
      </w:divBdr>
    </w:div>
    <w:div w:id="226764601">
      <w:bodyDiv w:val="1"/>
      <w:marLeft w:val="0"/>
      <w:marRight w:val="0"/>
      <w:marTop w:val="0"/>
      <w:marBottom w:val="0"/>
      <w:divBdr>
        <w:top w:val="none" w:sz="0" w:space="0" w:color="auto"/>
        <w:left w:val="none" w:sz="0" w:space="0" w:color="auto"/>
        <w:bottom w:val="none" w:sz="0" w:space="0" w:color="auto"/>
        <w:right w:val="none" w:sz="0" w:space="0" w:color="auto"/>
      </w:divBdr>
    </w:div>
    <w:div w:id="227225031">
      <w:bodyDiv w:val="1"/>
      <w:marLeft w:val="0"/>
      <w:marRight w:val="0"/>
      <w:marTop w:val="0"/>
      <w:marBottom w:val="0"/>
      <w:divBdr>
        <w:top w:val="none" w:sz="0" w:space="0" w:color="auto"/>
        <w:left w:val="none" w:sz="0" w:space="0" w:color="auto"/>
        <w:bottom w:val="none" w:sz="0" w:space="0" w:color="auto"/>
        <w:right w:val="none" w:sz="0" w:space="0" w:color="auto"/>
      </w:divBdr>
    </w:div>
    <w:div w:id="227225713">
      <w:bodyDiv w:val="1"/>
      <w:marLeft w:val="0"/>
      <w:marRight w:val="0"/>
      <w:marTop w:val="0"/>
      <w:marBottom w:val="0"/>
      <w:divBdr>
        <w:top w:val="none" w:sz="0" w:space="0" w:color="auto"/>
        <w:left w:val="none" w:sz="0" w:space="0" w:color="auto"/>
        <w:bottom w:val="none" w:sz="0" w:space="0" w:color="auto"/>
        <w:right w:val="none" w:sz="0" w:space="0" w:color="auto"/>
      </w:divBdr>
    </w:div>
    <w:div w:id="227572471">
      <w:bodyDiv w:val="1"/>
      <w:marLeft w:val="0"/>
      <w:marRight w:val="0"/>
      <w:marTop w:val="0"/>
      <w:marBottom w:val="0"/>
      <w:divBdr>
        <w:top w:val="none" w:sz="0" w:space="0" w:color="auto"/>
        <w:left w:val="none" w:sz="0" w:space="0" w:color="auto"/>
        <w:bottom w:val="none" w:sz="0" w:space="0" w:color="auto"/>
        <w:right w:val="none" w:sz="0" w:space="0" w:color="auto"/>
      </w:divBdr>
    </w:div>
    <w:div w:id="228613640">
      <w:bodyDiv w:val="1"/>
      <w:marLeft w:val="0"/>
      <w:marRight w:val="0"/>
      <w:marTop w:val="0"/>
      <w:marBottom w:val="0"/>
      <w:divBdr>
        <w:top w:val="none" w:sz="0" w:space="0" w:color="auto"/>
        <w:left w:val="none" w:sz="0" w:space="0" w:color="auto"/>
        <w:bottom w:val="none" w:sz="0" w:space="0" w:color="auto"/>
        <w:right w:val="none" w:sz="0" w:space="0" w:color="auto"/>
      </w:divBdr>
      <w:divsChild>
        <w:div w:id="1900481560">
          <w:marLeft w:val="0"/>
          <w:marRight w:val="0"/>
          <w:marTop w:val="0"/>
          <w:marBottom w:val="0"/>
          <w:divBdr>
            <w:top w:val="none" w:sz="0" w:space="0" w:color="auto"/>
            <w:left w:val="none" w:sz="0" w:space="0" w:color="auto"/>
            <w:bottom w:val="none" w:sz="0" w:space="0" w:color="auto"/>
            <w:right w:val="none" w:sz="0" w:space="0" w:color="auto"/>
          </w:divBdr>
          <w:divsChild>
            <w:div w:id="1726563939">
              <w:marLeft w:val="0"/>
              <w:marRight w:val="0"/>
              <w:marTop w:val="0"/>
              <w:marBottom w:val="0"/>
              <w:divBdr>
                <w:top w:val="none" w:sz="0" w:space="0" w:color="auto"/>
                <w:left w:val="none" w:sz="0" w:space="0" w:color="auto"/>
                <w:bottom w:val="none" w:sz="0" w:space="0" w:color="auto"/>
                <w:right w:val="none" w:sz="0" w:space="0" w:color="auto"/>
              </w:divBdr>
              <w:divsChild>
                <w:div w:id="1945115175">
                  <w:marLeft w:val="0"/>
                  <w:marRight w:val="0"/>
                  <w:marTop w:val="0"/>
                  <w:marBottom w:val="0"/>
                  <w:divBdr>
                    <w:top w:val="none" w:sz="0" w:space="0" w:color="auto"/>
                    <w:left w:val="none" w:sz="0" w:space="0" w:color="auto"/>
                    <w:bottom w:val="none" w:sz="0" w:space="0" w:color="auto"/>
                    <w:right w:val="none" w:sz="0" w:space="0" w:color="auto"/>
                  </w:divBdr>
                  <w:divsChild>
                    <w:div w:id="171580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620354">
      <w:bodyDiv w:val="1"/>
      <w:marLeft w:val="0"/>
      <w:marRight w:val="0"/>
      <w:marTop w:val="0"/>
      <w:marBottom w:val="0"/>
      <w:divBdr>
        <w:top w:val="none" w:sz="0" w:space="0" w:color="auto"/>
        <w:left w:val="none" w:sz="0" w:space="0" w:color="auto"/>
        <w:bottom w:val="none" w:sz="0" w:space="0" w:color="auto"/>
        <w:right w:val="none" w:sz="0" w:space="0" w:color="auto"/>
      </w:divBdr>
    </w:div>
    <w:div w:id="229656098">
      <w:bodyDiv w:val="1"/>
      <w:marLeft w:val="0"/>
      <w:marRight w:val="0"/>
      <w:marTop w:val="0"/>
      <w:marBottom w:val="0"/>
      <w:divBdr>
        <w:top w:val="none" w:sz="0" w:space="0" w:color="auto"/>
        <w:left w:val="none" w:sz="0" w:space="0" w:color="auto"/>
        <w:bottom w:val="none" w:sz="0" w:space="0" w:color="auto"/>
        <w:right w:val="none" w:sz="0" w:space="0" w:color="auto"/>
      </w:divBdr>
    </w:div>
    <w:div w:id="229728676">
      <w:bodyDiv w:val="1"/>
      <w:marLeft w:val="0"/>
      <w:marRight w:val="0"/>
      <w:marTop w:val="0"/>
      <w:marBottom w:val="0"/>
      <w:divBdr>
        <w:top w:val="none" w:sz="0" w:space="0" w:color="auto"/>
        <w:left w:val="none" w:sz="0" w:space="0" w:color="auto"/>
        <w:bottom w:val="none" w:sz="0" w:space="0" w:color="auto"/>
        <w:right w:val="none" w:sz="0" w:space="0" w:color="auto"/>
      </w:divBdr>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963980">
      <w:bodyDiv w:val="1"/>
      <w:marLeft w:val="0"/>
      <w:marRight w:val="0"/>
      <w:marTop w:val="0"/>
      <w:marBottom w:val="0"/>
      <w:divBdr>
        <w:top w:val="none" w:sz="0" w:space="0" w:color="auto"/>
        <w:left w:val="none" w:sz="0" w:space="0" w:color="auto"/>
        <w:bottom w:val="none" w:sz="0" w:space="0" w:color="auto"/>
        <w:right w:val="none" w:sz="0" w:space="0" w:color="auto"/>
      </w:divBdr>
    </w:div>
    <w:div w:id="232548064">
      <w:bodyDiv w:val="1"/>
      <w:marLeft w:val="0"/>
      <w:marRight w:val="0"/>
      <w:marTop w:val="0"/>
      <w:marBottom w:val="0"/>
      <w:divBdr>
        <w:top w:val="none" w:sz="0" w:space="0" w:color="auto"/>
        <w:left w:val="none" w:sz="0" w:space="0" w:color="auto"/>
        <w:bottom w:val="none" w:sz="0" w:space="0" w:color="auto"/>
        <w:right w:val="none" w:sz="0" w:space="0" w:color="auto"/>
      </w:divBdr>
    </w:div>
    <w:div w:id="232618494">
      <w:bodyDiv w:val="1"/>
      <w:marLeft w:val="0"/>
      <w:marRight w:val="0"/>
      <w:marTop w:val="0"/>
      <w:marBottom w:val="0"/>
      <w:divBdr>
        <w:top w:val="none" w:sz="0" w:space="0" w:color="auto"/>
        <w:left w:val="none" w:sz="0" w:space="0" w:color="auto"/>
        <w:bottom w:val="none" w:sz="0" w:space="0" w:color="auto"/>
        <w:right w:val="none" w:sz="0" w:space="0" w:color="auto"/>
      </w:divBdr>
    </w:div>
    <w:div w:id="233440660">
      <w:bodyDiv w:val="1"/>
      <w:marLeft w:val="0"/>
      <w:marRight w:val="0"/>
      <w:marTop w:val="0"/>
      <w:marBottom w:val="0"/>
      <w:divBdr>
        <w:top w:val="none" w:sz="0" w:space="0" w:color="auto"/>
        <w:left w:val="none" w:sz="0" w:space="0" w:color="auto"/>
        <w:bottom w:val="none" w:sz="0" w:space="0" w:color="auto"/>
        <w:right w:val="none" w:sz="0" w:space="0" w:color="auto"/>
      </w:divBdr>
      <w:divsChild>
        <w:div w:id="1857381086">
          <w:marLeft w:val="0"/>
          <w:marRight w:val="0"/>
          <w:marTop w:val="0"/>
          <w:marBottom w:val="0"/>
          <w:divBdr>
            <w:top w:val="none" w:sz="0" w:space="0" w:color="auto"/>
            <w:left w:val="none" w:sz="0" w:space="0" w:color="auto"/>
            <w:bottom w:val="none" w:sz="0" w:space="0" w:color="auto"/>
            <w:right w:val="none" w:sz="0" w:space="0" w:color="auto"/>
          </w:divBdr>
          <w:divsChild>
            <w:div w:id="660306348">
              <w:marLeft w:val="0"/>
              <w:marRight w:val="0"/>
              <w:marTop w:val="0"/>
              <w:marBottom w:val="0"/>
              <w:divBdr>
                <w:top w:val="none" w:sz="0" w:space="0" w:color="auto"/>
                <w:left w:val="none" w:sz="0" w:space="0" w:color="auto"/>
                <w:bottom w:val="none" w:sz="0" w:space="0" w:color="auto"/>
                <w:right w:val="none" w:sz="0" w:space="0" w:color="auto"/>
              </w:divBdr>
              <w:divsChild>
                <w:div w:id="769664534">
                  <w:marLeft w:val="0"/>
                  <w:marRight w:val="0"/>
                  <w:marTop w:val="0"/>
                  <w:marBottom w:val="0"/>
                  <w:divBdr>
                    <w:top w:val="none" w:sz="0" w:space="0" w:color="auto"/>
                    <w:left w:val="none" w:sz="0" w:space="0" w:color="auto"/>
                    <w:bottom w:val="none" w:sz="0" w:space="0" w:color="auto"/>
                    <w:right w:val="none" w:sz="0" w:space="0" w:color="auto"/>
                  </w:divBdr>
                  <w:divsChild>
                    <w:div w:id="2486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516480">
      <w:bodyDiv w:val="1"/>
      <w:marLeft w:val="0"/>
      <w:marRight w:val="0"/>
      <w:marTop w:val="0"/>
      <w:marBottom w:val="0"/>
      <w:divBdr>
        <w:top w:val="none" w:sz="0" w:space="0" w:color="auto"/>
        <w:left w:val="none" w:sz="0" w:space="0" w:color="auto"/>
        <w:bottom w:val="none" w:sz="0" w:space="0" w:color="auto"/>
        <w:right w:val="none" w:sz="0" w:space="0" w:color="auto"/>
      </w:divBdr>
      <w:divsChild>
        <w:div w:id="285546388">
          <w:marLeft w:val="0"/>
          <w:marRight w:val="0"/>
          <w:marTop w:val="0"/>
          <w:marBottom w:val="0"/>
          <w:divBdr>
            <w:top w:val="none" w:sz="0" w:space="0" w:color="auto"/>
            <w:left w:val="none" w:sz="0" w:space="0" w:color="auto"/>
            <w:bottom w:val="none" w:sz="0" w:space="0" w:color="auto"/>
            <w:right w:val="none" w:sz="0" w:space="0" w:color="auto"/>
          </w:divBdr>
          <w:divsChild>
            <w:div w:id="672492742">
              <w:marLeft w:val="0"/>
              <w:marRight w:val="0"/>
              <w:marTop w:val="0"/>
              <w:marBottom w:val="0"/>
              <w:divBdr>
                <w:top w:val="none" w:sz="0" w:space="0" w:color="auto"/>
                <w:left w:val="none" w:sz="0" w:space="0" w:color="auto"/>
                <w:bottom w:val="none" w:sz="0" w:space="0" w:color="auto"/>
                <w:right w:val="none" w:sz="0" w:space="0" w:color="auto"/>
              </w:divBdr>
              <w:divsChild>
                <w:div w:id="1578708953">
                  <w:marLeft w:val="0"/>
                  <w:marRight w:val="0"/>
                  <w:marTop w:val="0"/>
                  <w:marBottom w:val="0"/>
                  <w:divBdr>
                    <w:top w:val="none" w:sz="0" w:space="0" w:color="auto"/>
                    <w:left w:val="none" w:sz="0" w:space="0" w:color="auto"/>
                    <w:bottom w:val="none" w:sz="0" w:space="0" w:color="auto"/>
                    <w:right w:val="none" w:sz="0" w:space="0" w:color="auto"/>
                  </w:divBdr>
                  <w:divsChild>
                    <w:div w:id="115160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4515">
      <w:bodyDiv w:val="1"/>
      <w:marLeft w:val="0"/>
      <w:marRight w:val="0"/>
      <w:marTop w:val="0"/>
      <w:marBottom w:val="0"/>
      <w:divBdr>
        <w:top w:val="none" w:sz="0" w:space="0" w:color="auto"/>
        <w:left w:val="none" w:sz="0" w:space="0" w:color="auto"/>
        <w:bottom w:val="none" w:sz="0" w:space="0" w:color="auto"/>
        <w:right w:val="none" w:sz="0" w:space="0" w:color="auto"/>
      </w:divBdr>
    </w:div>
    <w:div w:id="234821722">
      <w:bodyDiv w:val="1"/>
      <w:marLeft w:val="0"/>
      <w:marRight w:val="0"/>
      <w:marTop w:val="0"/>
      <w:marBottom w:val="0"/>
      <w:divBdr>
        <w:top w:val="none" w:sz="0" w:space="0" w:color="auto"/>
        <w:left w:val="none" w:sz="0" w:space="0" w:color="auto"/>
        <w:bottom w:val="none" w:sz="0" w:space="0" w:color="auto"/>
        <w:right w:val="none" w:sz="0" w:space="0" w:color="auto"/>
      </w:divBdr>
    </w:div>
    <w:div w:id="235283921">
      <w:bodyDiv w:val="1"/>
      <w:marLeft w:val="0"/>
      <w:marRight w:val="0"/>
      <w:marTop w:val="0"/>
      <w:marBottom w:val="0"/>
      <w:divBdr>
        <w:top w:val="none" w:sz="0" w:space="0" w:color="auto"/>
        <w:left w:val="none" w:sz="0" w:space="0" w:color="auto"/>
        <w:bottom w:val="none" w:sz="0" w:space="0" w:color="auto"/>
        <w:right w:val="none" w:sz="0" w:space="0" w:color="auto"/>
      </w:divBdr>
      <w:divsChild>
        <w:div w:id="1150485381">
          <w:marLeft w:val="0"/>
          <w:marRight w:val="0"/>
          <w:marTop w:val="0"/>
          <w:marBottom w:val="0"/>
          <w:divBdr>
            <w:top w:val="none" w:sz="0" w:space="0" w:color="auto"/>
            <w:left w:val="none" w:sz="0" w:space="0" w:color="auto"/>
            <w:bottom w:val="none" w:sz="0" w:space="0" w:color="auto"/>
            <w:right w:val="none" w:sz="0" w:space="0" w:color="auto"/>
          </w:divBdr>
          <w:divsChild>
            <w:div w:id="775903720">
              <w:marLeft w:val="0"/>
              <w:marRight w:val="0"/>
              <w:marTop w:val="0"/>
              <w:marBottom w:val="0"/>
              <w:divBdr>
                <w:top w:val="none" w:sz="0" w:space="0" w:color="auto"/>
                <w:left w:val="none" w:sz="0" w:space="0" w:color="auto"/>
                <w:bottom w:val="none" w:sz="0" w:space="0" w:color="auto"/>
                <w:right w:val="none" w:sz="0" w:space="0" w:color="auto"/>
              </w:divBdr>
              <w:divsChild>
                <w:div w:id="1193809302">
                  <w:marLeft w:val="0"/>
                  <w:marRight w:val="0"/>
                  <w:marTop w:val="0"/>
                  <w:marBottom w:val="0"/>
                  <w:divBdr>
                    <w:top w:val="none" w:sz="0" w:space="0" w:color="auto"/>
                    <w:left w:val="none" w:sz="0" w:space="0" w:color="auto"/>
                    <w:bottom w:val="none" w:sz="0" w:space="0" w:color="auto"/>
                    <w:right w:val="none" w:sz="0" w:space="0" w:color="auto"/>
                  </w:divBdr>
                  <w:divsChild>
                    <w:div w:id="110789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628025">
      <w:bodyDiv w:val="1"/>
      <w:marLeft w:val="0"/>
      <w:marRight w:val="0"/>
      <w:marTop w:val="0"/>
      <w:marBottom w:val="0"/>
      <w:divBdr>
        <w:top w:val="none" w:sz="0" w:space="0" w:color="auto"/>
        <w:left w:val="none" w:sz="0" w:space="0" w:color="auto"/>
        <w:bottom w:val="none" w:sz="0" w:space="0" w:color="auto"/>
        <w:right w:val="none" w:sz="0" w:space="0" w:color="auto"/>
      </w:divBdr>
      <w:divsChild>
        <w:div w:id="821703293">
          <w:marLeft w:val="0"/>
          <w:marRight w:val="0"/>
          <w:marTop w:val="0"/>
          <w:marBottom w:val="0"/>
          <w:divBdr>
            <w:top w:val="none" w:sz="0" w:space="0" w:color="auto"/>
            <w:left w:val="none" w:sz="0" w:space="0" w:color="auto"/>
            <w:bottom w:val="none" w:sz="0" w:space="0" w:color="auto"/>
            <w:right w:val="none" w:sz="0" w:space="0" w:color="auto"/>
          </w:divBdr>
          <w:divsChild>
            <w:div w:id="1557012874">
              <w:marLeft w:val="0"/>
              <w:marRight w:val="0"/>
              <w:marTop w:val="0"/>
              <w:marBottom w:val="0"/>
              <w:divBdr>
                <w:top w:val="none" w:sz="0" w:space="0" w:color="auto"/>
                <w:left w:val="none" w:sz="0" w:space="0" w:color="auto"/>
                <w:bottom w:val="none" w:sz="0" w:space="0" w:color="auto"/>
                <w:right w:val="none" w:sz="0" w:space="0" w:color="auto"/>
              </w:divBdr>
              <w:divsChild>
                <w:div w:id="234826654">
                  <w:marLeft w:val="0"/>
                  <w:marRight w:val="0"/>
                  <w:marTop w:val="0"/>
                  <w:marBottom w:val="0"/>
                  <w:divBdr>
                    <w:top w:val="none" w:sz="0" w:space="0" w:color="auto"/>
                    <w:left w:val="none" w:sz="0" w:space="0" w:color="auto"/>
                    <w:bottom w:val="none" w:sz="0" w:space="0" w:color="auto"/>
                    <w:right w:val="none" w:sz="0" w:space="0" w:color="auto"/>
                  </w:divBdr>
                  <w:divsChild>
                    <w:div w:id="355231418">
                      <w:marLeft w:val="0"/>
                      <w:marRight w:val="0"/>
                      <w:marTop w:val="0"/>
                      <w:marBottom w:val="0"/>
                      <w:divBdr>
                        <w:top w:val="none" w:sz="0" w:space="0" w:color="auto"/>
                        <w:left w:val="none" w:sz="0" w:space="0" w:color="auto"/>
                        <w:bottom w:val="none" w:sz="0" w:space="0" w:color="auto"/>
                        <w:right w:val="none" w:sz="0" w:space="0" w:color="auto"/>
                      </w:divBdr>
                    </w:div>
                  </w:divsChild>
                </w:div>
                <w:div w:id="1516578080">
                  <w:marLeft w:val="0"/>
                  <w:marRight w:val="0"/>
                  <w:marTop w:val="0"/>
                  <w:marBottom w:val="0"/>
                  <w:divBdr>
                    <w:top w:val="none" w:sz="0" w:space="0" w:color="auto"/>
                    <w:left w:val="none" w:sz="0" w:space="0" w:color="auto"/>
                    <w:bottom w:val="none" w:sz="0" w:space="0" w:color="auto"/>
                    <w:right w:val="none" w:sz="0" w:space="0" w:color="auto"/>
                  </w:divBdr>
                  <w:divsChild>
                    <w:div w:id="151788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746873">
      <w:bodyDiv w:val="1"/>
      <w:marLeft w:val="0"/>
      <w:marRight w:val="0"/>
      <w:marTop w:val="0"/>
      <w:marBottom w:val="0"/>
      <w:divBdr>
        <w:top w:val="none" w:sz="0" w:space="0" w:color="auto"/>
        <w:left w:val="none" w:sz="0" w:space="0" w:color="auto"/>
        <w:bottom w:val="none" w:sz="0" w:space="0" w:color="auto"/>
        <w:right w:val="none" w:sz="0" w:space="0" w:color="auto"/>
      </w:divBdr>
    </w:div>
    <w:div w:id="236135609">
      <w:bodyDiv w:val="1"/>
      <w:marLeft w:val="0"/>
      <w:marRight w:val="0"/>
      <w:marTop w:val="0"/>
      <w:marBottom w:val="0"/>
      <w:divBdr>
        <w:top w:val="none" w:sz="0" w:space="0" w:color="auto"/>
        <w:left w:val="none" w:sz="0" w:space="0" w:color="auto"/>
        <w:bottom w:val="none" w:sz="0" w:space="0" w:color="auto"/>
        <w:right w:val="none" w:sz="0" w:space="0" w:color="auto"/>
      </w:divBdr>
    </w:div>
    <w:div w:id="236867529">
      <w:bodyDiv w:val="1"/>
      <w:marLeft w:val="0"/>
      <w:marRight w:val="0"/>
      <w:marTop w:val="0"/>
      <w:marBottom w:val="0"/>
      <w:divBdr>
        <w:top w:val="none" w:sz="0" w:space="0" w:color="auto"/>
        <w:left w:val="none" w:sz="0" w:space="0" w:color="auto"/>
        <w:bottom w:val="none" w:sz="0" w:space="0" w:color="auto"/>
        <w:right w:val="none" w:sz="0" w:space="0" w:color="auto"/>
      </w:divBdr>
    </w:div>
    <w:div w:id="236937398">
      <w:bodyDiv w:val="1"/>
      <w:marLeft w:val="0"/>
      <w:marRight w:val="0"/>
      <w:marTop w:val="0"/>
      <w:marBottom w:val="0"/>
      <w:divBdr>
        <w:top w:val="none" w:sz="0" w:space="0" w:color="auto"/>
        <w:left w:val="none" w:sz="0" w:space="0" w:color="auto"/>
        <w:bottom w:val="none" w:sz="0" w:space="0" w:color="auto"/>
        <w:right w:val="none" w:sz="0" w:space="0" w:color="auto"/>
      </w:divBdr>
    </w:div>
    <w:div w:id="237984543">
      <w:bodyDiv w:val="1"/>
      <w:marLeft w:val="0"/>
      <w:marRight w:val="0"/>
      <w:marTop w:val="0"/>
      <w:marBottom w:val="0"/>
      <w:divBdr>
        <w:top w:val="none" w:sz="0" w:space="0" w:color="auto"/>
        <w:left w:val="none" w:sz="0" w:space="0" w:color="auto"/>
        <w:bottom w:val="none" w:sz="0" w:space="0" w:color="auto"/>
        <w:right w:val="none" w:sz="0" w:space="0" w:color="auto"/>
      </w:divBdr>
    </w:div>
    <w:div w:id="238633540">
      <w:bodyDiv w:val="1"/>
      <w:marLeft w:val="0"/>
      <w:marRight w:val="0"/>
      <w:marTop w:val="0"/>
      <w:marBottom w:val="0"/>
      <w:divBdr>
        <w:top w:val="none" w:sz="0" w:space="0" w:color="auto"/>
        <w:left w:val="none" w:sz="0" w:space="0" w:color="auto"/>
        <w:bottom w:val="none" w:sz="0" w:space="0" w:color="auto"/>
        <w:right w:val="none" w:sz="0" w:space="0" w:color="auto"/>
      </w:divBdr>
      <w:divsChild>
        <w:div w:id="1996251660">
          <w:marLeft w:val="0"/>
          <w:marRight w:val="0"/>
          <w:marTop w:val="0"/>
          <w:marBottom w:val="0"/>
          <w:divBdr>
            <w:top w:val="none" w:sz="0" w:space="0" w:color="auto"/>
            <w:left w:val="none" w:sz="0" w:space="0" w:color="auto"/>
            <w:bottom w:val="none" w:sz="0" w:space="0" w:color="auto"/>
            <w:right w:val="none" w:sz="0" w:space="0" w:color="auto"/>
          </w:divBdr>
          <w:divsChild>
            <w:div w:id="1749034610">
              <w:marLeft w:val="0"/>
              <w:marRight w:val="0"/>
              <w:marTop w:val="0"/>
              <w:marBottom w:val="0"/>
              <w:divBdr>
                <w:top w:val="none" w:sz="0" w:space="0" w:color="auto"/>
                <w:left w:val="none" w:sz="0" w:space="0" w:color="auto"/>
                <w:bottom w:val="none" w:sz="0" w:space="0" w:color="auto"/>
                <w:right w:val="none" w:sz="0" w:space="0" w:color="auto"/>
              </w:divBdr>
              <w:divsChild>
                <w:div w:id="414285539">
                  <w:marLeft w:val="0"/>
                  <w:marRight w:val="0"/>
                  <w:marTop w:val="0"/>
                  <w:marBottom w:val="0"/>
                  <w:divBdr>
                    <w:top w:val="none" w:sz="0" w:space="0" w:color="auto"/>
                    <w:left w:val="none" w:sz="0" w:space="0" w:color="auto"/>
                    <w:bottom w:val="none" w:sz="0" w:space="0" w:color="auto"/>
                    <w:right w:val="none" w:sz="0" w:space="0" w:color="auto"/>
                  </w:divBdr>
                  <w:divsChild>
                    <w:div w:id="6029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753262">
      <w:bodyDiv w:val="1"/>
      <w:marLeft w:val="0"/>
      <w:marRight w:val="0"/>
      <w:marTop w:val="0"/>
      <w:marBottom w:val="0"/>
      <w:divBdr>
        <w:top w:val="none" w:sz="0" w:space="0" w:color="auto"/>
        <w:left w:val="none" w:sz="0" w:space="0" w:color="auto"/>
        <w:bottom w:val="none" w:sz="0" w:space="0" w:color="auto"/>
        <w:right w:val="none" w:sz="0" w:space="0" w:color="auto"/>
      </w:divBdr>
      <w:divsChild>
        <w:div w:id="303585817">
          <w:marLeft w:val="0"/>
          <w:marRight w:val="0"/>
          <w:marTop w:val="0"/>
          <w:marBottom w:val="0"/>
          <w:divBdr>
            <w:top w:val="none" w:sz="0" w:space="0" w:color="auto"/>
            <w:left w:val="none" w:sz="0" w:space="0" w:color="auto"/>
            <w:bottom w:val="none" w:sz="0" w:space="0" w:color="auto"/>
            <w:right w:val="none" w:sz="0" w:space="0" w:color="auto"/>
          </w:divBdr>
          <w:divsChild>
            <w:div w:id="1393429101">
              <w:marLeft w:val="0"/>
              <w:marRight w:val="0"/>
              <w:marTop w:val="0"/>
              <w:marBottom w:val="0"/>
              <w:divBdr>
                <w:top w:val="none" w:sz="0" w:space="0" w:color="auto"/>
                <w:left w:val="none" w:sz="0" w:space="0" w:color="auto"/>
                <w:bottom w:val="none" w:sz="0" w:space="0" w:color="auto"/>
                <w:right w:val="none" w:sz="0" w:space="0" w:color="auto"/>
              </w:divBdr>
              <w:divsChild>
                <w:div w:id="1035084865">
                  <w:marLeft w:val="0"/>
                  <w:marRight w:val="0"/>
                  <w:marTop w:val="0"/>
                  <w:marBottom w:val="0"/>
                  <w:divBdr>
                    <w:top w:val="none" w:sz="0" w:space="0" w:color="auto"/>
                    <w:left w:val="none" w:sz="0" w:space="0" w:color="auto"/>
                    <w:bottom w:val="none" w:sz="0" w:space="0" w:color="auto"/>
                    <w:right w:val="none" w:sz="0" w:space="0" w:color="auto"/>
                  </w:divBdr>
                  <w:divsChild>
                    <w:div w:id="9395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793800">
      <w:bodyDiv w:val="1"/>
      <w:marLeft w:val="0"/>
      <w:marRight w:val="0"/>
      <w:marTop w:val="0"/>
      <w:marBottom w:val="0"/>
      <w:divBdr>
        <w:top w:val="none" w:sz="0" w:space="0" w:color="auto"/>
        <w:left w:val="none" w:sz="0" w:space="0" w:color="auto"/>
        <w:bottom w:val="none" w:sz="0" w:space="0" w:color="auto"/>
        <w:right w:val="none" w:sz="0" w:space="0" w:color="auto"/>
      </w:divBdr>
    </w:div>
    <w:div w:id="241255434">
      <w:bodyDiv w:val="1"/>
      <w:marLeft w:val="0"/>
      <w:marRight w:val="0"/>
      <w:marTop w:val="0"/>
      <w:marBottom w:val="0"/>
      <w:divBdr>
        <w:top w:val="none" w:sz="0" w:space="0" w:color="auto"/>
        <w:left w:val="none" w:sz="0" w:space="0" w:color="auto"/>
        <w:bottom w:val="none" w:sz="0" w:space="0" w:color="auto"/>
        <w:right w:val="none" w:sz="0" w:space="0" w:color="auto"/>
      </w:divBdr>
    </w:div>
    <w:div w:id="241377448">
      <w:bodyDiv w:val="1"/>
      <w:marLeft w:val="0"/>
      <w:marRight w:val="0"/>
      <w:marTop w:val="0"/>
      <w:marBottom w:val="0"/>
      <w:divBdr>
        <w:top w:val="none" w:sz="0" w:space="0" w:color="auto"/>
        <w:left w:val="none" w:sz="0" w:space="0" w:color="auto"/>
        <w:bottom w:val="none" w:sz="0" w:space="0" w:color="auto"/>
        <w:right w:val="none" w:sz="0" w:space="0" w:color="auto"/>
      </w:divBdr>
    </w:div>
    <w:div w:id="241454068">
      <w:bodyDiv w:val="1"/>
      <w:marLeft w:val="0"/>
      <w:marRight w:val="0"/>
      <w:marTop w:val="0"/>
      <w:marBottom w:val="0"/>
      <w:divBdr>
        <w:top w:val="none" w:sz="0" w:space="0" w:color="auto"/>
        <w:left w:val="none" w:sz="0" w:space="0" w:color="auto"/>
        <w:bottom w:val="none" w:sz="0" w:space="0" w:color="auto"/>
        <w:right w:val="none" w:sz="0" w:space="0" w:color="auto"/>
      </w:divBdr>
    </w:div>
    <w:div w:id="241456365">
      <w:bodyDiv w:val="1"/>
      <w:marLeft w:val="0"/>
      <w:marRight w:val="0"/>
      <w:marTop w:val="0"/>
      <w:marBottom w:val="0"/>
      <w:divBdr>
        <w:top w:val="none" w:sz="0" w:space="0" w:color="auto"/>
        <w:left w:val="none" w:sz="0" w:space="0" w:color="auto"/>
        <w:bottom w:val="none" w:sz="0" w:space="0" w:color="auto"/>
        <w:right w:val="none" w:sz="0" w:space="0" w:color="auto"/>
      </w:divBdr>
    </w:div>
    <w:div w:id="241571565">
      <w:bodyDiv w:val="1"/>
      <w:marLeft w:val="0"/>
      <w:marRight w:val="0"/>
      <w:marTop w:val="0"/>
      <w:marBottom w:val="0"/>
      <w:divBdr>
        <w:top w:val="none" w:sz="0" w:space="0" w:color="auto"/>
        <w:left w:val="none" w:sz="0" w:space="0" w:color="auto"/>
        <w:bottom w:val="none" w:sz="0" w:space="0" w:color="auto"/>
        <w:right w:val="none" w:sz="0" w:space="0" w:color="auto"/>
      </w:divBdr>
    </w:div>
    <w:div w:id="242447625">
      <w:bodyDiv w:val="1"/>
      <w:marLeft w:val="0"/>
      <w:marRight w:val="0"/>
      <w:marTop w:val="0"/>
      <w:marBottom w:val="0"/>
      <w:divBdr>
        <w:top w:val="none" w:sz="0" w:space="0" w:color="auto"/>
        <w:left w:val="none" w:sz="0" w:space="0" w:color="auto"/>
        <w:bottom w:val="none" w:sz="0" w:space="0" w:color="auto"/>
        <w:right w:val="none" w:sz="0" w:space="0" w:color="auto"/>
      </w:divBdr>
    </w:div>
    <w:div w:id="243533467">
      <w:bodyDiv w:val="1"/>
      <w:marLeft w:val="0"/>
      <w:marRight w:val="0"/>
      <w:marTop w:val="0"/>
      <w:marBottom w:val="0"/>
      <w:divBdr>
        <w:top w:val="none" w:sz="0" w:space="0" w:color="auto"/>
        <w:left w:val="none" w:sz="0" w:space="0" w:color="auto"/>
        <w:bottom w:val="none" w:sz="0" w:space="0" w:color="auto"/>
        <w:right w:val="none" w:sz="0" w:space="0" w:color="auto"/>
      </w:divBdr>
    </w:div>
    <w:div w:id="243951685">
      <w:bodyDiv w:val="1"/>
      <w:marLeft w:val="0"/>
      <w:marRight w:val="0"/>
      <w:marTop w:val="0"/>
      <w:marBottom w:val="0"/>
      <w:divBdr>
        <w:top w:val="none" w:sz="0" w:space="0" w:color="auto"/>
        <w:left w:val="none" w:sz="0" w:space="0" w:color="auto"/>
        <w:bottom w:val="none" w:sz="0" w:space="0" w:color="auto"/>
        <w:right w:val="none" w:sz="0" w:space="0" w:color="auto"/>
      </w:divBdr>
    </w:div>
    <w:div w:id="244842883">
      <w:bodyDiv w:val="1"/>
      <w:marLeft w:val="0"/>
      <w:marRight w:val="0"/>
      <w:marTop w:val="0"/>
      <w:marBottom w:val="0"/>
      <w:divBdr>
        <w:top w:val="none" w:sz="0" w:space="0" w:color="auto"/>
        <w:left w:val="none" w:sz="0" w:space="0" w:color="auto"/>
        <w:bottom w:val="none" w:sz="0" w:space="0" w:color="auto"/>
        <w:right w:val="none" w:sz="0" w:space="0" w:color="auto"/>
      </w:divBdr>
    </w:div>
    <w:div w:id="245454577">
      <w:bodyDiv w:val="1"/>
      <w:marLeft w:val="0"/>
      <w:marRight w:val="0"/>
      <w:marTop w:val="0"/>
      <w:marBottom w:val="0"/>
      <w:divBdr>
        <w:top w:val="none" w:sz="0" w:space="0" w:color="auto"/>
        <w:left w:val="none" w:sz="0" w:space="0" w:color="auto"/>
        <w:bottom w:val="none" w:sz="0" w:space="0" w:color="auto"/>
        <w:right w:val="none" w:sz="0" w:space="0" w:color="auto"/>
      </w:divBdr>
    </w:div>
    <w:div w:id="245655831">
      <w:bodyDiv w:val="1"/>
      <w:marLeft w:val="0"/>
      <w:marRight w:val="0"/>
      <w:marTop w:val="0"/>
      <w:marBottom w:val="0"/>
      <w:divBdr>
        <w:top w:val="none" w:sz="0" w:space="0" w:color="auto"/>
        <w:left w:val="none" w:sz="0" w:space="0" w:color="auto"/>
        <w:bottom w:val="none" w:sz="0" w:space="0" w:color="auto"/>
        <w:right w:val="none" w:sz="0" w:space="0" w:color="auto"/>
      </w:divBdr>
    </w:div>
    <w:div w:id="246690770">
      <w:bodyDiv w:val="1"/>
      <w:marLeft w:val="0"/>
      <w:marRight w:val="0"/>
      <w:marTop w:val="0"/>
      <w:marBottom w:val="0"/>
      <w:divBdr>
        <w:top w:val="none" w:sz="0" w:space="0" w:color="auto"/>
        <w:left w:val="none" w:sz="0" w:space="0" w:color="auto"/>
        <w:bottom w:val="none" w:sz="0" w:space="0" w:color="auto"/>
        <w:right w:val="none" w:sz="0" w:space="0" w:color="auto"/>
      </w:divBdr>
      <w:divsChild>
        <w:div w:id="1800370535">
          <w:marLeft w:val="0"/>
          <w:marRight w:val="0"/>
          <w:marTop w:val="0"/>
          <w:marBottom w:val="0"/>
          <w:divBdr>
            <w:top w:val="none" w:sz="0" w:space="0" w:color="auto"/>
            <w:left w:val="none" w:sz="0" w:space="0" w:color="auto"/>
            <w:bottom w:val="none" w:sz="0" w:space="0" w:color="auto"/>
            <w:right w:val="none" w:sz="0" w:space="0" w:color="auto"/>
          </w:divBdr>
          <w:divsChild>
            <w:div w:id="1723868072">
              <w:marLeft w:val="0"/>
              <w:marRight w:val="0"/>
              <w:marTop w:val="0"/>
              <w:marBottom w:val="0"/>
              <w:divBdr>
                <w:top w:val="none" w:sz="0" w:space="0" w:color="auto"/>
                <w:left w:val="none" w:sz="0" w:space="0" w:color="auto"/>
                <w:bottom w:val="none" w:sz="0" w:space="0" w:color="auto"/>
                <w:right w:val="none" w:sz="0" w:space="0" w:color="auto"/>
              </w:divBdr>
              <w:divsChild>
                <w:div w:id="1221483446">
                  <w:marLeft w:val="0"/>
                  <w:marRight w:val="0"/>
                  <w:marTop w:val="0"/>
                  <w:marBottom w:val="0"/>
                  <w:divBdr>
                    <w:top w:val="none" w:sz="0" w:space="0" w:color="auto"/>
                    <w:left w:val="none" w:sz="0" w:space="0" w:color="auto"/>
                    <w:bottom w:val="none" w:sz="0" w:space="0" w:color="auto"/>
                    <w:right w:val="none" w:sz="0" w:space="0" w:color="auto"/>
                  </w:divBdr>
                  <w:divsChild>
                    <w:div w:id="73809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160342">
      <w:bodyDiv w:val="1"/>
      <w:marLeft w:val="0"/>
      <w:marRight w:val="0"/>
      <w:marTop w:val="0"/>
      <w:marBottom w:val="0"/>
      <w:divBdr>
        <w:top w:val="none" w:sz="0" w:space="0" w:color="auto"/>
        <w:left w:val="none" w:sz="0" w:space="0" w:color="auto"/>
        <w:bottom w:val="none" w:sz="0" w:space="0" w:color="auto"/>
        <w:right w:val="none" w:sz="0" w:space="0" w:color="auto"/>
      </w:divBdr>
    </w:div>
    <w:div w:id="247816060">
      <w:bodyDiv w:val="1"/>
      <w:marLeft w:val="0"/>
      <w:marRight w:val="0"/>
      <w:marTop w:val="0"/>
      <w:marBottom w:val="0"/>
      <w:divBdr>
        <w:top w:val="none" w:sz="0" w:space="0" w:color="auto"/>
        <w:left w:val="none" w:sz="0" w:space="0" w:color="auto"/>
        <w:bottom w:val="none" w:sz="0" w:space="0" w:color="auto"/>
        <w:right w:val="none" w:sz="0" w:space="0" w:color="auto"/>
      </w:divBdr>
    </w:div>
    <w:div w:id="247883434">
      <w:bodyDiv w:val="1"/>
      <w:marLeft w:val="0"/>
      <w:marRight w:val="0"/>
      <w:marTop w:val="0"/>
      <w:marBottom w:val="0"/>
      <w:divBdr>
        <w:top w:val="none" w:sz="0" w:space="0" w:color="auto"/>
        <w:left w:val="none" w:sz="0" w:space="0" w:color="auto"/>
        <w:bottom w:val="none" w:sz="0" w:space="0" w:color="auto"/>
        <w:right w:val="none" w:sz="0" w:space="0" w:color="auto"/>
      </w:divBdr>
    </w:div>
    <w:div w:id="249387352">
      <w:bodyDiv w:val="1"/>
      <w:marLeft w:val="0"/>
      <w:marRight w:val="0"/>
      <w:marTop w:val="0"/>
      <w:marBottom w:val="0"/>
      <w:divBdr>
        <w:top w:val="none" w:sz="0" w:space="0" w:color="auto"/>
        <w:left w:val="none" w:sz="0" w:space="0" w:color="auto"/>
        <w:bottom w:val="none" w:sz="0" w:space="0" w:color="auto"/>
        <w:right w:val="none" w:sz="0" w:space="0" w:color="auto"/>
      </w:divBdr>
    </w:div>
    <w:div w:id="249848157">
      <w:bodyDiv w:val="1"/>
      <w:marLeft w:val="0"/>
      <w:marRight w:val="0"/>
      <w:marTop w:val="0"/>
      <w:marBottom w:val="0"/>
      <w:divBdr>
        <w:top w:val="none" w:sz="0" w:space="0" w:color="auto"/>
        <w:left w:val="none" w:sz="0" w:space="0" w:color="auto"/>
        <w:bottom w:val="none" w:sz="0" w:space="0" w:color="auto"/>
        <w:right w:val="none" w:sz="0" w:space="0" w:color="auto"/>
      </w:divBdr>
    </w:div>
    <w:div w:id="250168041">
      <w:bodyDiv w:val="1"/>
      <w:marLeft w:val="0"/>
      <w:marRight w:val="0"/>
      <w:marTop w:val="0"/>
      <w:marBottom w:val="0"/>
      <w:divBdr>
        <w:top w:val="none" w:sz="0" w:space="0" w:color="auto"/>
        <w:left w:val="none" w:sz="0" w:space="0" w:color="auto"/>
        <w:bottom w:val="none" w:sz="0" w:space="0" w:color="auto"/>
        <w:right w:val="none" w:sz="0" w:space="0" w:color="auto"/>
      </w:divBdr>
    </w:div>
    <w:div w:id="252131863">
      <w:bodyDiv w:val="1"/>
      <w:marLeft w:val="0"/>
      <w:marRight w:val="0"/>
      <w:marTop w:val="0"/>
      <w:marBottom w:val="0"/>
      <w:divBdr>
        <w:top w:val="none" w:sz="0" w:space="0" w:color="auto"/>
        <w:left w:val="none" w:sz="0" w:space="0" w:color="auto"/>
        <w:bottom w:val="none" w:sz="0" w:space="0" w:color="auto"/>
        <w:right w:val="none" w:sz="0" w:space="0" w:color="auto"/>
      </w:divBdr>
    </w:div>
    <w:div w:id="252251139">
      <w:bodyDiv w:val="1"/>
      <w:marLeft w:val="0"/>
      <w:marRight w:val="0"/>
      <w:marTop w:val="0"/>
      <w:marBottom w:val="0"/>
      <w:divBdr>
        <w:top w:val="none" w:sz="0" w:space="0" w:color="auto"/>
        <w:left w:val="none" w:sz="0" w:space="0" w:color="auto"/>
        <w:bottom w:val="none" w:sz="0" w:space="0" w:color="auto"/>
        <w:right w:val="none" w:sz="0" w:space="0" w:color="auto"/>
      </w:divBdr>
    </w:div>
    <w:div w:id="253175288">
      <w:bodyDiv w:val="1"/>
      <w:marLeft w:val="0"/>
      <w:marRight w:val="0"/>
      <w:marTop w:val="0"/>
      <w:marBottom w:val="0"/>
      <w:divBdr>
        <w:top w:val="none" w:sz="0" w:space="0" w:color="auto"/>
        <w:left w:val="none" w:sz="0" w:space="0" w:color="auto"/>
        <w:bottom w:val="none" w:sz="0" w:space="0" w:color="auto"/>
        <w:right w:val="none" w:sz="0" w:space="0" w:color="auto"/>
      </w:divBdr>
      <w:divsChild>
        <w:div w:id="182716977">
          <w:marLeft w:val="0"/>
          <w:marRight w:val="0"/>
          <w:marTop w:val="0"/>
          <w:marBottom w:val="0"/>
          <w:divBdr>
            <w:top w:val="none" w:sz="0" w:space="0" w:color="auto"/>
            <w:left w:val="none" w:sz="0" w:space="0" w:color="auto"/>
            <w:bottom w:val="none" w:sz="0" w:space="0" w:color="auto"/>
            <w:right w:val="none" w:sz="0" w:space="0" w:color="auto"/>
          </w:divBdr>
          <w:divsChild>
            <w:div w:id="489948374">
              <w:marLeft w:val="0"/>
              <w:marRight w:val="0"/>
              <w:marTop w:val="0"/>
              <w:marBottom w:val="0"/>
              <w:divBdr>
                <w:top w:val="none" w:sz="0" w:space="0" w:color="auto"/>
                <w:left w:val="none" w:sz="0" w:space="0" w:color="auto"/>
                <w:bottom w:val="none" w:sz="0" w:space="0" w:color="auto"/>
                <w:right w:val="none" w:sz="0" w:space="0" w:color="auto"/>
              </w:divBdr>
              <w:divsChild>
                <w:div w:id="1760520947">
                  <w:marLeft w:val="0"/>
                  <w:marRight w:val="0"/>
                  <w:marTop w:val="0"/>
                  <w:marBottom w:val="0"/>
                  <w:divBdr>
                    <w:top w:val="none" w:sz="0" w:space="0" w:color="auto"/>
                    <w:left w:val="none" w:sz="0" w:space="0" w:color="auto"/>
                    <w:bottom w:val="none" w:sz="0" w:space="0" w:color="auto"/>
                    <w:right w:val="none" w:sz="0" w:space="0" w:color="auto"/>
                  </w:divBdr>
                  <w:divsChild>
                    <w:div w:id="164261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517585">
      <w:bodyDiv w:val="1"/>
      <w:marLeft w:val="0"/>
      <w:marRight w:val="0"/>
      <w:marTop w:val="0"/>
      <w:marBottom w:val="0"/>
      <w:divBdr>
        <w:top w:val="none" w:sz="0" w:space="0" w:color="auto"/>
        <w:left w:val="none" w:sz="0" w:space="0" w:color="auto"/>
        <w:bottom w:val="none" w:sz="0" w:space="0" w:color="auto"/>
        <w:right w:val="none" w:sz="0" w:space="0" w:color="auto"/>
      </w:divBdr>
    </w:div>
    <w:div w:id="254822283">
      <w:bodyDiv w:val="1"/>
      <w:marLeft w:val="0"/>
      <w:marRight w:val="0"/>
      <w:marTop w:val="0"/>
      <w:marBottom w:val="0"/>
      <w:divBdr>
        <w:top w:val="none" w:sz="0" w:space="0" w:color="auto"/>
        <w:left w:val="none" w:sz="0" w:space="0" w:color="auto"/>
        <w:bottom w:val="none" w:sz="0" w:space="0" w:color="auto"/>
        <w:right w:val="none" w:sz="0" w:space="0" w:color="auto"/>
      </w:divBdr>
    </w:div>
    <w:div w:id="254939427">
      <w:bodyDiv w:val="1"/>
      <w:marLeft w:val="0"/>
      <w:marRight w:val="0"/>
      <w:marTop w:val="0"/>
      <w:marBottom w:val="0"/>
      <w:divBdr>
        <w:top w:val="none" w:sz="0" w:space="0" w:color="auto"/>
        <w:left w:val="none" w:sz="0" w:space="0" w:color="auto"/>
        <w:bottom w:val="none" w:sz="0" w:space="0" w:color="auto"/>
        <w:right w:val="none" w:sz="0" w:space="0" w:color="auto"/>
      </w:divBdr>
    </w:div>
    <w:div w:id="255403998">
      <w:bodyDiv w:val="1"/>
      <w:marLeft w:val="0"/>
      <w:marRight w:val="0"/>
      <w:marTop w:val="0"/>
      <w:marBottom w:val="0"/>
      <w:divBdr>
        <w:top w:val="none" w:sz="0" w:space="0" w:color="auto"/>
        <w:left w:val="none" w:sz="0" w:space="0" w:color="auto"/>
        <w:bottom w:val="none" w:sz="0" w:space="0" w:color="auto"/>
        <w:right w:val="none" w:sz="0" w:space="0" w:color="auto"/>
      </w:divBdr>
    </w:div>
    <w:div w:id="255409411">
      <w:bodyDiv w:val="1"/>
      <w:marLeft w:val="0"/>
      <w:marRight w:val="0"/>
      <w:marTop w:val="0"/>
      <w:marBottom w:val="0"/>
      <w:divBdr>
        <w:top w:val="none" w:sz="0" w:space="0" w:color="auto"/>
        <w:left w:val="none" w:sz="0" w:space="0" w:color="auto"/>
        <w:bottom w:val="none" w:sz="0" w:space="0" w:color="auto"/>
        <w:right w:val="none" w:sz="0" w:space="0" w:color="auto"/>
      </w:divBdr>
    </w:div>
    <w:div w:id="256407471">
      <w:bodyDiv w:val="1"/>
      <w:marLeft w:val="0"/>
      <w:marRight w:val="0"/>
      <w:marTop w:val="0"/>
      <w:marBottom w:val="0"/>
      <w:divBdr>
        <w:top w:val="none" w:sz="0" w:space="0" w:color="auto"/>
        <w:left w:val="none" w:sz="0" w:space="0" w:color="auto"/>
        <w:bottom w:val="none" w:sz="0" w:space="0" w:color="auto"/>
        <w:right w:val="none" w:sz="0" w:space="0" w:color="auto"/>
      </w:divBdr>
    </w:div>
    <w:div w:id="257175759">
      <w:bodyDiv w:val="1"/>
      <w:marLeft w:val="0"/>
      <w:marRight w:val="0"/>
      <w:marTop w:val="0"/>
      <w:marBottom w:val="0"/>
      <w:divBdr>
        <w:top w:val="none" w:sz="0" w:space="0" w:color="auto"/>
        <w:left w:val="none" w:sz="0" w:space="0" w:color="auto"/>
        <w:bottom w:val="none" w:sz="0" w:space="0" w:color="auto"/>
        <w:right w:val="none" w:sz="0" w:space="0" w:color="auto"/>
      </w:divBdr>
    </w:div>
    <w:div w:id="258412413">
      <w:bodyDiv w:val="1"/>
      <w:marLeft w:val="0"/>
      <w:marRight w:val="0"/>
      <w:marTop w:val="0"/>
      <w:marBottom w:val="0"/>
      <w:divBdr>
        <w:top w:val="none" w:sz="0" w:space="0" w:color="auto"/>
        <w:left w:val="none" w:sz="0" w:space="0" w:color="auto"/>
        <w:bottom w:val="none" w:sz="0" w:space="0" w:color="auto"/>
        <w:right w:val="none" w:sz="0" w:space="0" w:color="auto"/>
      </w:divBdr>
    </w:div>
    <w:div w:id="258563135">
      <w:bodyDiv w:val="1"/>
      <w:marLeft w:val="0"/>
      <w:marRight w:val="0"/>
      <w:marTop w:val="0"/>
      <w:marBottom w:val="0"/>
      <w:divBdr>
        <w:top w:val="none" w:sz="0" w:space="0" w:color="auto"/>
        <w:left w:val="none" w:sz="0" w:space="0" w:color="auto"/>
        <w:bottom w:val="none" w:sz="0" w:space="0" w:color="auto"/>
        <w:right w:val="none" w:sz="0" w:space="0" w:color="auto"/>
      </w:divBdr>
      <w:divsChild>
        <w:div w:id="540023283">
          <w:marLeft w:val="0"/>
          <w:marRight w:val="0"/>
          <w:marTop w:val="0"/>
          <w:marBottom w:val="0"/>
          <w:divBdr>
            <w:top w:val="none" w:sz="0" w:space="0" w:color="auto"/>
            <w:left w:val="none" w:sz="0" w:space="0" w:color="auto"/>
            <w:bottom w:val="none" w:sz="0" w:space="0" w:color="auto"/>
            <w:right w:val="none" w:sz="0" w:space="0" w:color="auto"/>
          </w:divBdr>
          <w:divsChild>
            <w:div w:id="676621053">
              <w:marLeft w:val="0"/>
              <w:marRight w:val="0"/>
              <w:marTop w:val="0"/>
              <w:marBottom w:val="0"/>
              <w:divBdr>
                <w:top w:val="none" w:sz="0" w:space="0" w:color="auto"/>
                <w:left w:val="none" w:sz="0" w:space="0" w:color="auto"/>
                <w:bottom w:val="none" w:sz="0" w:space="0" w:color="auto"/>
                <w:right w:val="none" w:sz="0" w:space="0" w:color="auto"/>
              </w:divBdr>
              <w:divsChild>
                <w:div w:id="1295601210">
                  <w:marLeft w:val="0"/>
                  <w:marRight w:val="0"/>
                  <w:marTop w:val="0"/>
                  <w:marBottom w:val="0"/>
                  <w:divBdr>
                    <w:top w:val="none" w:sz="0" w:space="0" w:color="auto"/>
                    <w:left w:val="none" w:sz="0" w:space="0" w:color="auto"/>
                    <w:bottom w:val="none" w:sz="0" w:space="0" w:color="auto"/>
                    <w:right w:val="none" w:sz="0" w:space="0" w:color="auto"/>
                  </w:divBdr>
                  <w:divsChild>
                    <w:div w:id="147024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333922">
      <w:bodyDiv w:val="1"/>
      <w:marLeft w:val="0"/>
      <w:marRight w:val="0"/>
      <w:marTop w:val="0"/>
      <w:marBottom w:val="0"/>
      <w:divBdr>
        <w:top w:val="none" w:sz="0" w:space="0" w:color="auto"/>
        <w:left w:val="none" w:sz="0" w:space="0" w:color="auto"/>
        <w:bottom w:val="none" w:sz="0" w:space="0" w:color="auto"/>
        <w:right w:val="none" w:sz="0" w:space="0" w:color="auto"/>
      </w:divBdr>
    </w:div>
    <w:div w:id="260071403">
      <w:bodyDiv w:val="1"/>
      <w:marLeft w:val="0"/>
      <w:marRight w:val="0"/>
      <w:marTop w:val="0"/>
      <w:marBottom w:val="0"/>
      <w:divBdr>
        <w:top w:val="none" w:sz="0" w:space="0" w:color="auto"/>
        <w:left w:val="none" w:sz="0" w:space="0" w:color="auto"/>
        <w:bottom w:val="none" w:sz="0" w:space="0" w:color="auto"/>
        <w:right w:val="none" w:sz="0" w:space="0" w:color="auto"/>
      </w:divBdr>
    </w:div>
    <w:div w:id="262108568">
      <w:bodyDiv w:val="1"/>
      <w:marLeft w:val="0"/>
      <w:marRight w:val="0"/>
      <w:marTop w:val="0"/>
      <w:marBottom w:val="0"/>
      <w:divBdr>
        <w:top w:val="none" w:sz="0" w:space="0" w:color="auto"/>
        <w:left w:val="none" w:sz="0" w:space="0" w:color="auto"/>
        <w:bottom w:val="none" w:sz="0" w:space="0" w:color="auto"/>
        <w:right w:val="none" w:sz="0" w:space="0" w:color="auto"/>
      </w:divBdr>
      <w:divsChild>
        <w:div w:id="377169920">
          <w:marLeft w:val="0"/>
          <w:marRight w:val="0"/>
          <w:marTop w:val="0"/>
          <w:marBottom w:val="0"/>
          <w:divBdr>
            <w:top w:val="none" w:sz="0" w:space="0" w:color="auto"/>
            <w:left w:val="none" w:sz="0" w:space="0" w:color="auto"/>
            <w:bottom w:val="none" w:sz="0" w:space="0" w:color="auto"/>
            <w:right w:val="none" w:sz="0" w:space="0" w:color="auto"/>
          </w:divBdr>
          <w:divsChild>
            <w:div w:id="1135681182">
              <w:marLeft w:val="0"/>
              <w:marRight w:val="0"/>
              <w:marTop w:val="0"/>
              <w:marBottom w:val="0"/>
              <w:divBdr>
                <w:top w:val="none" w:sz="0" w:space="0" w:color="auto"/>
                <w:left w:val="none" w:sz="0" w:space="0" w:color="auto"/>
                <w:bottom w:val="none" w:sz="0" w:space="0" w:color="auto"/>
                <w:right w:val="none" w:sz="0" w:space="0" w:color="auto"/>
              </w:divBdr>
              <w:divsChild>
                <w:div w:id="420376252">
                  <w:marLeft w:val="0"/>
                  <w:marRight w:val="0"/>
                  <w:marTop w:val="0"/>
                  <w:marBottom w:val="0"/>
                  <w:divBdr>
                    <w:top w:val="none" w:sz="0" w:space="0" w:color="auto"/>
                    <w:left w:val="none" w:sz="0" w:space="0" w:color="auto"/>
                    <w:bottom w:val="none" w:sz="0" w:space="0" w:color="auto"/>
                    <w:right w:val="none" w:sz="0" w:space="0" w:color="auto"/>
                  </w:divBdr>
                  <w:divsChild>
                    <w:div w:id="201202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157107">
      <w:bodyDiv w:val="1"/>
      <w:marLeft w:val="0"/>
      <w:marRight w:val="0"/>
      <w:marTop w:val="0"/>
      <w:marBottom w:val="0"/>
      <w:divBdr>
        <w:top w:val="none" w:sz="0" w:space="0" w:color="auto"/>
        <w:left w:val="none" w:sz="0" w:space="0" w:color="auto"/>
        <w:bottom w:val="none" w:sz="0" w:space="0" w:color="auto"/>
        <w:right w:val="none" w:sz="0" w:space="0" w:color="auto"/>
      </w:divBdr>
    </w:div>
    <w:div w:id="263222476">
      <w:bodyDiv w:val="1"/>
      <w:marLeft w:val="0"/>
      <w:marRight w:val="0"/>
      <w:marTop w:val="0"/>
      <w:marBottom w:val="0"/>
      <w:divBdr>
        <w:top w:val="none" w:sz="0" w:space="0" w:color="auto"/>
        <w:left w:val="none" w:sz="0" w:space="0" w:color="auto"/>
        <w:bottom w:val="none" w:sz="0" w:space="0" w:color="auto"/>
        <w:right w:val="none" w:sz="0" w:space="0" w:color="auto"/>
      </w:divBdr>
    </w:div>
    <w:div w:id="263654355">
      <w:bodyDiv w:val="1"/>
      <w:marLeft w:val="0"/>
      <w:marRight w:val="0"/>
      <w:marTop w:val="0"/>
      <w:marBottom w:val="0"/>
      <w:divBdr>
        <w:top w:val="none" w:sz="0" w:space="0" w:color="auto"/>
        <w:left w:val="none" w:sz="0" w:space="0" w:color="auto"/>
        <w:bottom w:val="none" w:sz="0" w:space="0" w:color="auto"/>
        <w:right w:val="none" w:sz="0" w:space="0" w:color="auto"/>
      </w:divBdr>
    </w:div>
    <w:div w:id="264312722">
      <w:bodyDiv w:val="1"/>
      <w:marLeft w:val="0"/>
      <w:marRight w:val="0"/>
      <w:marTop w:val="0"/>
      <w:marBottom w:val="0"/>
      <w:divBdr>
        <w:top w:val="none" w:sz="0" w:space="0" w:color="auto"/>
        <w:left w:val="none" w:sz="0" w:space="0" w:color="auto"/>
        <w:bottom w:val="none" w:sz="0" w:space="0" w:color="auto"/>
        <w:right w:val="none" w:sz="0" w:space="0" w:color="auto"/>
      </w:divBdr>
    </w:div>
    <w:div w:id="264313667">
      <w:bodyDiv w:val="1"/>
      <w:marLeft w:val="0"/>
      <w:marRight w:val="0"/>
      <w:marTop w:val="0"/>
      <w:marBottom w:val="0"/>
      <w:divBdr>
        <w:top w:val="none" w:sz="0" w:space="0" w:color="auto"/>
        <w:left w:val="none" w:sz="0" w:space="0" w:color="auto"/>
        <w:bottom w:val="none" w:sz="0" w:space="0" w:color="auto"/>
        <w:right w:val="none" w:sz="0" w:space="0" w:color="auto"/>
      </w:divBdr>
    </w:div>
    <w:div w:id="264457947">
      <w:bodyDiv w:val="1"/>
      <w:marLeft w:val="0"/>
      <w:marRight w:val="0"/>
      <w:marTop w:val="0"/>
      <w:marBottom w:val="0"/>
      <w:divBdr>
        <w:top w:val="none" w:sz="0" w:space="0" w:color="auto"/>
        <w:left w:val="none" w:sz="0" w:space="0" w:color="auto"/>
        <w:bottom w:val="none" w:sz="0" w:space="0" w:color="auto"/>
        <w:right w:val="none" w:sz="0" w:space="0" w:color="auto"/>
      </w:divBdr>
    </w:div>
    <w:div w:id="264657779">
      <w:bodyDiv w:val="1"/>
      <w:marLeft w:val="0"/>
      <w:marRight w:val="0"/>
      <w:marTop w:val="0"/>
      <w:marBottom w:val="0"/>
      <w:divBdr>
        <w:top w:val="none" w:sz="0" w:space="0" w:color="auto"/>
        <w:left w:val="none" w:sz="0" w:space="0" w:color="auto"/>
        <w:bottom w:val="none" w:sz="0" w:space="0" w:color="auto"/>
        <w:right w:val="none" w:sz="0" w:space="0" w:color="auto"/>
      </w:divBdr>
    </w:div>
    <w:div w:id="265307779">
      <w:bodyDiv w:val="1"/>
      <w:marLeft w:val="0"/>
      <w:marRight w:val="0"/>
      <w:marTop w:val="0"/>
      <w:marBottom w:val="0"/>
      <w:divBdr>
        <w:top w:val="none" w:sz="0" w:space="0" w:color="auto"/>
        <w:left w:val="none" w:sz="0" w:space="0" w:color="auto"/>
        <w:bottom w:val="none" w:sz="0" w:space="0" w:color="auto"/>
        <w:right w:val="none" w:sz="0" w:space="0" w:color="auto"/>
      </w:divBdr>
    </w:div>
    <w:div w:id="266239056">
      <w:bodyDiv w:val="1"/>
      <w:marLeft w:val="0"/>
      <w:marRight w:val="0"/>
      <w:marTop w:val="0"/>
      <w:marBottom w:val="0"/>
      <w:divBdr>
        <w:top w:val="none" w:sz="0" w:space="0" w:color="auto"/>
        <w:left w:val="none" w:sz="0" w:space="0" w:color="auto"/>
        <w:bottom w:val="none" w:sz="0" w:space="0" w:color="auto"/>
        <w:right w:val="none" w:sz="0" w:space="0" w:color="auto"/>
      </w:divBdr>
      <w:divsChild>
        <w:div w:id="2106342298">
          <w:marLeft w:val="0"/>
          <w:marRight w:val="0"/>
          <w:marTop w:val="0"/>
          <w:marBottom w:val="0"/>
          <w:divBdr>
            <w:top w:val="none" w:sz="0" w:space="0" w:color="auto"/>
            <w:left w:val="none" w:sz="0" w:space="0" w:color="auto"/>
            <w:bottom w:val="none" w:sz="0" w:space="0" w:color="auto"/>
            <w:right w:val="none" w:sz="0" w:space="0" w:color="auto"/>
          </w:divBdr>
          <w:divsChild>
            <w:div w:id="186144734">
              <w:marLeft w:val="0"/>
              <w:marRight w:val="0"/>
              <w:marTop w:val="0"/>
              <w:marBottom w:val="0"/>
              <w:divBdr>
                <w:top w:val="none" w:sz="0" w:space="0" w:color="auto"/>
                <w:left w:val="none" w:sz="0" w:space="0" w:color="auto"/>
                <w:bottom w:val="none" w:sz="0" w:space="0" w:color="auto"/>
                <w:right w:val="none" w:sz="0" w:space="0" w:color="auto"/>
              </w:divBdr>
              <w:divsChild>
                <w:div w:id="1811169121">
                  <w:marLeft w:val="0"/>
                  <w:marRight w:val="0"/>
                  <w:marTop w:val="0"/>
                  <w:marBottom w:val="0"/>
                  <w:divBdr>
                    <w:top w:val="none" w:sz="0" w:space="0" w:color="auto"/>
                    <w:left w:val="none" w:sz="0" w:space="0" w:color="auto"/>
                    <w:bottom w:val="none" w:sz="0" w:space="0" w:color="auto"/>
                    <w:right w:val="none" w:sz="0" w:space="0" w:color="auto"/>
                  </w:divBdr>
                  <w:divsChild>
                    <w:div w:id="166948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931906">
      <w:bodyDiv w:val="1"/>
      <w:marLeft w:val="0"/>
      <w:marRight w:val="0"/>
      <w:marTop w:val="0"/>
      <w:marBottom w:val="0"/>
      <w:divBdr>
        <w:top w:val="none" w:sz="0" w:space="0" w:color="auto"/>
        <w:left w:val="none" w:sz="0" w:space="0" w:color="auto"/>
        <w:bottom w:val="none" w:sz="0" w:space="0" w:color="auto"/>
        <w:right w:val="none" w:sz="0" w:space="0" w:color="auto"/>
      </w:divBdr>
    </w:div>
    <w:div w:id="268007495">
      <w:bodyDiv w:val="1"/>
      <w:marLeft w:val="0"/>
      <w:marRight w:val="0"/>
      <w:marTop w:val="0"/>
      <w:marBottom w:val="0"/>
      <w:divBdr>
        <w:top w:val="none" w:sz="0" w:space="0" w:color="auto"/>
        <w:left w:val="none" w:sz="0" w:space="0" w:color="auto"/>
        <w:bottom w:val="none" w:sz="0" w:space="0" w:color="auto"/>
        <w:right w:val="none" w:sz="0" w:space="0" w:color="auto"/>
      </w:divBdr>
    </w:div>
    <w:div w:id="268200342">
      <w:bodyDiv w:val="1"/>
      <w:marLeft w:val="0"/>
      <w:marRight w:val="0"/>
      <w:marTop w:val="0"/>
      <w:marBottom w:val="0"/>
      <w:divBdr>
        <w:top w:val="none" w:sz="0" w:space="0" w:color="auto"/>
        <w:left w:val="none" w:sz="0" w:space="0" w:color="auto"/>
        <w:bottom w:val="none" w:sz="0" w:space="0" w:color="auto"/>
        <w:right w:val="none" w:sz="0" w:space="0" w:color="auto"/>
      </w:divBdr>
    </w:div>
    <w:div w:id="268319500">
      <w:bodyDiv w:val="1"/>
      <w:marLeft w:val="0"/>
      <w:marRight w:val="0"/>
      <w:marTop w:val="0"/>
      <w:marBottom w:val="0"/>
      <w:divBdr>
        <w:top w:val="none" w:sz="0" w:space="0" w:color="auto"/>
        <w:left w:val="none" w:sz="0" w:space="0" w:color="auto"/>
        <w:bottom w:val="none" w:sz="0" w:space="0" w:color="auto"/>
        <w:right w:val="none" w:sz="0" w:space="0" w:color="auto"/>
      </w:divBdr>
    </w:div>
    <w:div w:id="268395339">
      <w:bodyDiv w:val="1"/>
      <w:marLeft w:val="0"/>
      <w:marRight w:val="0"/>
      <w:marTop w:val="0"/>
      <w:marBottom w:val="0"/>
      <w:divBdr>
        <w:top w:val="none" w:sz="0" w:space="0" w:color="auto"/>
        <w:left w:val="none" w:sz="0" w:space="0" w:color="auto"/>
        <w:bottom w:val="none" w:sz="0" w:space="0" w:color="auto"/>
        <w:right w:val="none" w:sz="0" w:space="0" w:color="auto"/>
      </w:divBdr>
    </w:div>
    <w:div w:id="268657634">
      <w:bodyDiv w:val="1"/>
      <w:marLeft w:val="0"/>
      <w:marRight w:val="0"/>
      <w:marTop w:val="0"/>
      <w:marBottom w:val="0"/>
      <w:divBdr>
        <w:top w:val="none" w:sz="0" w:space="0" w:color="auto"/>
        <w:left w:val="none" w:sz="0" w:space="0" w:color="auto"/>
        <w:bottom w:val="none" w:sz="0" w:space="0" w:color="auto"/>
        <w:right w:val="none" w:sz="0" w:space="0" w:color="auto"/>
      </w:divBdr>
    </w:div>
    <w:div w:id="270282878">
      <w:bodyDiv w:val="1"/>
      <w:marLeft w:val="0"/>
      <w:marRight w:val="0"/>
      <w:marTop w:val="0"/>
      <w:marBottom w:val="0"/>
      <w:divBdr>
        <w:top w:val="none" w:sz="0" w:space="0" w:color="auto"/>
        <w:left w:val="none" w:sz="0" w:space="0" w:color="auto"/>
        <w:bottom w:val="none" w:sz="0" w:space="0" w:color="auto"/>
        <w:right w:val="none" w:sz="0" w:space="0" w:color="auto"/>
      </w:divBdr>
    </w:div>
    <w:div w:id="270481206">
      <w:bodyDiv w:val="1"/>
      <w:marLeft w:val="0"/>
      <w:marRight w:val="0"/>
      <w:marTop w:val="0"/>
      <w:marBottom w:val="0"/>
      <w:divBdr>
        <w:top w:val="none" w:sz="0" w:space="0" w:color="auto"/>
        <w:left w:val="none" w:sz="0" w:space="0" w:color="auto"/>
        <w:bottom w:val="none" w:sz="0" w:space="0" w:color="auto"/>
        <w:right w:val="none" w:sz="0" w:space="0" w:color="auto"/>
      </w:divBdr>
    </w:div>
    <w:div w:id="271325583">
      <w:bodyDiv w:val="1"/>
      <w:marLeft w:val="0"/>
      <w:marRight w:val="0"/>
      <w:marTop w:val="0"/>
      <w:marBottom w:val="0"/>
      <w:divBdr>
        <w:top w:val="none" w:sz="0" w:space="0" w:color="auto"/>
        <w:left w:val="none" w:sz="0" w:space="0" w:color="auto"/>
        <w:bottom w:val="none" w:sz="0" w:space="0" w:color="auto"/>
        <w:right w:val="none" w:sz="0" w:space="0" w:color="auto"/>
      </w:divBdr>
      <w:divsChild>
        <w:div w:id="649675144">
          <w:marLeft w:val="0"/>
          <w:marRight w:val="0"/>
          <w:marTop w:val="0"/>
          <w:marBottom w:val="0"/>
          <w:divBdr>
            <w:top w:val="none" w:sz="0" w:space="0" w:color="auto"/>
            <w:left w:val="none" w:sz="0" w:space="0" w:color="auto"/>
            <w:bottom w:val="none" w:sz="0" w:space="0" w:color="auto"/>
            <w:right w:val="none" w:sz="0" w:space="0" w:color="auto"/>
          </w:divBdr>
          <w:divsChild>
            <w:div w:id="507060310">
              <w:marLeft w:val="0"/>
              <w:marRight w:val="0"/>
              <w:marTop w:val="0"/>
              <w:marBottom w:val="0"/>
              <w:divBdr>
                <w:top w:val="none" w:sz="0" w:space="0" w:color="auto"/>
                <w:left w:val="none" w:sz="0" w:space="0" w:color="auto"/>
                <w:bottom w:val="none" w:sz="0" w:space="0" w:color="auto"/>
                <w:right w:val="none" w:sz="0" w:space="0" w:color="auto"/>
              </w:divBdr>
              <w:divsChild>
                <w:div w:id="2021930335">
                  <w:marLeft w:val="0"/>
                  <w:marRight w:val="0"/>
                  <w:marTop w:val="0"/>
                  <w:marBottom w:val="0"/>
                  <w:divBdr>
                    <w:top w:val="none" w:sz="0" w:space="0" w:color="auto"/>
                    <w:left w:val="none" w:sz="0" w:space="0" w:color="auto"/>
                    <w:bottom w:val="none" w:sz="0" w:space="0" w:color="auto"/>
                    <w:right w:val="none" w:sz="0" w:space="0" w:color="auto"/>
                  </w:divBdr>
                  <w:divsChild>
                    <w:div w:id="167472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591784">
      <w:bodyDiv w:val="1"/>
      <w:marLeft w:val="0"/>
      <w:marRight w:val="0"/>
      <w:marTop w:val="0"/>
      <w:marBottom w:val="0"/>
      <w:divBdr>
        <w:top w:val="none" w:sz="0" w:space="0" w:color="auto"/>
        <w:left w:val="none" w:sz="0" w:space="0" w:color="auto"/>
        <w:bottom w:val="none" w:sz="0" w:space="0" w:color="auto"/>
        <w:right w:val="none" w:sz="0" w:space="0" w:color="auto"/>
      </w:divBdr>
    </w:div>
    <w:div w:id="271785281">
      <w:bodyDiv w:val="1"/>
      <w:marLeft w:val="0"/>
      <w:marRight w:val="0"/>
      <w:marTop w:val="0"/>
      <w:marBottom w:val="0"/>
      <w:divBdr>
        <w:top w:val="none" w:sz="0" w:space="0" w:color="auto"/>
        <w:left w:val="none" w:sz="0" w:space="0" w:color="auto"/>
        <w:bottom w:val="none" w:sz="0" w:space="0" w:color="auto"/>
        <w:right w:val="none" w:sz="0" w:space="0" w:color="auto"/>
      </w:divBdr>
    </w:div>
    <w:div w:id="273101798">
      <w:bodyDiv w:val="1"/>
      <w:marLeft w:val="0"/>
      <w:marRight w:val="0"/>
      <w:marTop w:val="0"/>
      <w:marBottom w:val="0"/>
      <w:divBdr>
        <w:top w:val="none" w:sz="0" w:space="0" w:color="auto"/>
        <w:left w:val="none" w:sz="0" w:space="0" w:color="auto"/>
        <w:bottom w:val="none" w:sz="0" w:space="0" w:color="auto"/>
        <w:right w:val="none" w:sz="0" w:space="0" w:color="auto"/>
      </w:divBdr>
    </w:div>
    <w:div w:id="273294698">
      <w:bodyDiv w:val="1"/>
      <w:marLeft w:val="0"/>
      <w:marRight w:val="0"/>
      <w:marTop w:val="0"/>
      <w:marBottom w:val="0"/>
      <w:divBdr>
        <w:top w:val="none" w:sz="0" w:space="0" w:color="auto"/>
        <w:left w:val="none" w:sz="0" w:space="0" w:color="auto"/>
        <w:bottom w:val="none" w:sz="0" w:space="0" w:color="auto"/>
        <w:right w:val="none" w:sz="0" w:space="0" w:color="auto"/>
      </w:divBdr>
    </w:div>
    <w:div w:id="273362547">
      <w:bodyDiv w:val="1"/>
      <w:marLeft w:val="0"/>
      <w:marRight w:val="0"/>
      <w:marTop w:val="0"/>
      <w:marBottom w:val="0"/>
      <w:divBdr>
        <w:top w:val="none" w:sz="0" w:space="0" w:color="auto"/>
        <w:left w:val="none" w:sz="0" w:space="0" w:color="auto"/>
        <w:bottom w:val="none" w:sz="0" w:space="0" w:color="auto"/>
        <w:right w:val="none" w:sz="0" w:space="0" w:color="auto"/>
      </w:divBdr>
    </w:div>
    <w:div w:id="275335877">
      <w:bodyDiv w:val="1"/>
      <w:marLeft w:val="0"/>
      <w:marRight w:val="0"/>
      <w:marTop w:val="0"/>
      <w:marBottom w:val="0"/>
      <w:divBdr>
        <w:top w:val="none" w:sz="0" w:space="0" w:color="auto"/>
        <w:left w:val="none" w:sz="0" w:space="0" w:color="auto"/>
        <w:bottom w:val="none" w:sz="0" w:space="0" w:color="auto"/>
        <w:right w:val="none" w:sz="0" w:space="0" w:color="auto"/>
      </w:divBdr>
    </w:div>
    <w:div w:id="275606338">
      <w:bodyDiv w:val="1"/>
      <w:marLeft w:val="0"/>
      <w:marRight w:val="0"/>
      <w:marTop w:val="0"/>
      <w:marBottom w:val="0"/>
      <w:divBdr>
        <w:top w:val="none" w:sz="0" w:space="0" w:color="auto"/>
        <w:left w:val="none" w:sz="0" w:space="0" w:color="auto"/>
        <w:bottom w:val="none" w:sz="0" w:space="0" w:color="auto"/>
        <w:right w:val="none" w:sz="0" w:space="0" w:color="auto"/>
      </w:divBdr>
      <w:divsChild>
        <w:div w:id="851459443">
          <w:marLeft w:val="0"/>
          <w:marRight w:val="0"/>
          <w:marTop w:val="0"/>
          <w:marBottom w:val="0"/>
          <w:divBdr>
            <w:top w:val="none" w:sz="0" w:space="0" w:color="auto"/>
            <w:left w:val="none" w:sz="0" w:space="0" w:color="auto"/>
            <w:bottom w:val="none" w:sz="0" w:space="0" w:color="auto"/>
            <w:right w:val="none" w:sz="0" w:space="0" w:color="auto"/>
          </w:divBdr>
          <w:divsChild>
            <w:div w:id="1742019417">
              <w:marLeft w:val="0"/>
              <w:marRight w:val="0"/>
              <w:marTop w:val="0"/>
              <w:marBottom w:val="0"/>
              <w:divBdr>
                <w:top w:val="none" w:sz="0" w:space="0" w:color="auto"/>
                <w:left w:val="none" w:sz="0" w:space="0" w:color="auto"/>
                <w:bottom w:val="none" w:sz="0" w:space="0" w:color="auto"/>
                <w:right w:val="none" w:sz="0" w:space="0" w:color="auto"/>
              </w:divBdr>
              <w:divsChild>
                <w:div w:id="826675184">
                  <w:marLeft w:val="0"/>
                  <w:marRight w:val="0"/>
                  <w:marTop w:val="0"/>
                  <w:marBottom w:val="0"/>
                  <w:divBdr>
                    <w:top w:val="none" w:sz="0" w:space="0" w:color="auto"/>
                    <w:left w:val="none" w:sz="0" w:space="0" w:color="auto"/>
                    <w:bottom w:val="none" w:sz="0" w:space="0" w:color="auto"/>
                    <w:right w:val="none" w:sz="0" w:space="0" w:color="auto"/>
                  </w:divBdr>
                  <w:divsChild>
                    <w:div w:id="96392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83928">
      <w:bodyDiv w:val="1"/>
      <w:marLeft w:val="0"/>
      <w:marRight w:val="0"/>
      <w:marTop w:val="0"/>
      <w:marBottom w:val="0"/>
      <w:divBdr>
        <w:top w:val="none" w:sz="0" w:space="0" w:color="auto"/>
        <w:left w:val="none" w:sz="0" w:space="0" w:color="auto"/>
        <w:bottom w:val="none" w:sz="0" w:space="0" w:color="auto"/>
        <w:right w:val="none" w:sz="0" w:space="0" w:color="auto"/>
      </w:divBdr>
      <w:divsChild>
        <w:div w:id="1113473202">
          <w:marLeft w:val="0"/>
          <w:marRight w:val="0"/>
          <w:marTop w:val="0"/>
          <w:marBottom w:val="0"/>
          <w:divBdr>
            <w:top w:val="none" w:sz="0" w:space="0" w:color="auto"/>
            <w:left w:val="none" w:sz="0" w:space="0" w:color="auto"/>
            <w:bottom w:val="none" w:sz="0" w:space="0" w:color="auto"/>
            <w:right w:val="none" w:sz="0" w:space="0" w:color="auto"/>
          </w:divBdr>
          <w:divsChild>
            <w:div w:id="2107729809">
              <w:marLeft w:val="0"/>
              <w:marRight w:val="0"/>
              <w:marTop w:val="0"/>
              <w:marBottom w:val="0"/>
              <w:divBdr>
                <w:top w:val="none" w:sz="0" w:space="0" w:color="auto"/>
                <w:left w:val="none" w:sz="0" w:space="0" w:color="auto"/>
                <w:bottom w:val="none" w:sz="0" w:space="0" w:color="auto"/>
                <w:right w:val="none" w:sz="0" w:space="0" w:color="auto"/>
              </w:divBdr>
              <w:divsChild>
                <w:div w:id="778062947">
                  <w:marLeft w:val="0"/>
                  <w:marRight w:val="0"/>
                  <w:marTop w:val="0"/>
                  <w:marBottom w:val="0"/>
                  <w:divBdr>
                    <w:top w:val="none" w:sz="0" w:space="0" w:color="auto"/>
                    <w:left w:val="none" w:sz="0" w:space="0" w:color="auto"/>
                    <w:bottom w:val="none" w:sz="0" w:space="0" w:color="auto"/>
                    <w:right w:val="none" w:sz="0" w:space="0" w:color="auto"/>
                  </w:divBdr>
                  <w:divsChild>
                    <w:div w:id="194360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108223">
      <w:bodyDiv w:val="1"/>
      <w:marLeft w:val="0"/>
      <w:marRight w:val="0"/>
      <w:marTop w:val="0"/>
      <w:marBottom w:val="0"/>
      <w:divBdr>
        <w:top w:val="none" w:sz="0" w:space="0" w:color="auto"/>
        <w:left w:val="none" w:sz="0" w:space="0" w:color="auto"/>
        <w:bottom w:val="none" w:sz="0" w:space="0" w:color="auto"/>
        <w:right w:val="none" w:sz="0" w:space="0" w:color="auto"/>
      </w:divBdr>
    </w:div>
    <w:div w:id="276568415">
      <w:bodyDiv w:val="1"/>
      <w:marLeft w:val="0"/>
      <w:marRight w:val="0"/>
      <w:marTop w:val="0"/>
      <w:marBottom w:val="0"/>
      <w:divBdr>
        <w:top w:val="none" w:sz="0" w:space="0" w:color="auto"/>
        <w:left w:val="none" w:sz="0" w:space="0" w:color="auto"/>
        <w:bottom w:val="none" w:sz="0" w:space="0" w:color="auto"/>
        <w:right w:val="none" w:sz="0" w:space="0" w:color="auto"/>
      </w:divBdr>
    </w:div>
    <w:div w:id="277103413">
      <w:bodyDiv w:val="1"/>
      <w:marLeft w:val="0"/>
      <w:marRight w:val="0"/>
      <w:marTop w:val="0"/>
      <w:marBottom w:val="0"/>
      <w:divBdr>
        <w:top w:val="none" w:sz="0" w:space="0" w:color="auto"/>
        <w:left w:val="none" w:sz="0" w:space="0" w:color="auto"/>
        <w:bottom w:val="none" w:sz="0" w:space="0" w:color="auto"/>
        <w:right w:val="none" w:sz="0" w:space="0" w:color="auto"/>
      </w:divBdr>
    </w:div>
    <w:div w:id="278031041">
      <w:bodyDiv w:val="1"/>
      <w:marLeft w:val="0"/>
      <w:marRight w:val="0"/>
      <w:marTop w:val="0"/>
      <w:marBottom w:val="0"/>
      <w:divBdr>
        <w:top w:val="none" w:sz="0" w:space="0" w:color="auto"/>
        <w:left w:val="none" w:sz="0" w:space="0" w:color="auto"/>
        <w:bottom w:val="none" w:sz="0" w:space="0" w:color="auto"/>
        <w:right w:val="none" w:sz="0" w:space="0" w:color="auto"/>
      </w:divBdr>
      <w:divsChild>
        <w:div w:id="1266621499">
          <w:marLeft w:val="0"/>
          <w:marRight w:val="0"/>
          <w:marTop w:val="0"/>
          <w:marBottom w:val="0"/>
          <w:divBdr>
            <w:top w:val="none" w:sz="0" w:space="0" w:color="auto"/>
            <w:left w:val="none" w:sz="0" w:space="0" w:color="auto"/>
            <w:bottom w:val="none" w:sz="0" w:space="0" w:color="auto"/>
            <w:right w:val="none" w:sz="0" w:space="0" w:color="auto"/>
          </w:divBdr>
          <w:divsChild>
            <w:div w:id="1033504944">
              <w:marLeft w:val="0"/>
              <w:marRight w:val="0"/>
              <w:marTop w:val="0"/>
              <w:marBottom w:val="0"/>
              <w:divBdr>
                <w:top w:val="none" w:sz="0" w:space="0" w:color="auto"/>
                <w:left w:val="none" w:sz="0" w:space="0" w:color="auto"/>
                <w:bottom w:val="none" w:sz="0" w:space="0" w:color="auto"/>
                <w:right w:val="none" w:sz="0" w:space="0" w:color="auto"/>
              </w:divBdr>
              <w:divsChild>
                <w:div w:id="1018695436">
                  <w:marLeft w:val="0"/>
                  <w:marRight w:val="0"/>
                  <w:marTop w:val="0"/>
                  <w:marBottom w:val="0"/>
                  <w:divBdr>
                    <w:top w:val="none" w:sz="0" w:space="0" w:color="auto"/>
                    <w:left w:val="none" w:sz="0" w:space="0" w:color="auto"/>
                    <w:bottom w:val="none" w:sz="0" w:space="0" w:color="auto"/>
                    <w:right w:val="none" w:sz="0" w:space="0" w:color="auto"/>
                  </w:divBdr>
                  <w:divsChild>
                    <w:div w:id="205947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727075">
      <w:bodyDiv w:val="1"/>
      <w:marLeft w:val="0"/>
      <w:marRight w:val="0"/>
      <w:marTop w:val="0"/>
      <w:marBottom w:val="0"/>
      <w:divBdr>
        <w:top w:val="none" w:sz="0" w:space="0" w:color="auto"/>
        <w:left w:val="none" w:sz="0" w:space="0" w:color="auto"/>
        <w:bottom w:val="none" w:sz="0" w:space="0" w:color="auto"/>
        <w:right w:val="none" w:sz="0" w:space="0" w:color="auto"/>
      </w:divBdr>
    </w:div>
    <w:div w:id="279924123">
      <w:bodyDiv w:val="1"/>
      <w:marLeft w:val="0"/>
      <w:marRight w:val="0"/>
      <w:marTop w:val="0"/>
      <w:marBottom w:val="0"/>
      <w:divBdr>
        <w:top w:val="none" w:sz="0" w:space="0" w:color="auto"/>
        <w:left w:val="none" w:sz="0" w:space="0" w:color="auto"/>
        <w:bottom w:val="none" w:sz="0" w:space="0" w:color="auto"/>
        <w:right w:val="none" w:sz="0" w:space="0" w:color="auto"/>
      </w:divBdr>
    </w:div>
    <w:div w:id="280651062">
      <w:bodyDiv w:val="1"/>
      <w:marLeft w:val="0"/>
      <w:marRight w:val="0"/>
      <w:marTop w:val="0"/>
      <w:marBottom w:val="0"/>
      <w:divBdr>
        <w:top w:val="none" w:sz="0" w:space="0" w:color="auto"/>
        <w:left w:val="none" w:sz="0" w:space="0" w:color="auto"/>
        <w:bottom w:val="none" w:sz="0" w:space="0" w:color="auto"/>
        <w:right w:val="none" w:sz="0" w:space="0" w:color="auto"/>
      </w:divBdr>
    </w:div>
    <w:div w:id="280957171">
      <w:bodyDiv w:val="1"/>
      <w:marLeft w:val="0"/>
      <w:marRight w:val="0"/>
      <w:marTop w:val="0"/>
      <w:marBottom w:val="0"/>
      <w:divBdr>
        <w:top w:val="none" w:sz="0" w:space="0" w:color="auto"/>
        <w:left w:val="none" w:sz="0" w:space="0" w:color="auto"/>
        <w:bottom w:val="none" w:sz="0" w:space="0" w:color="auto"/>
        <w:right w:val="none" w:sz="0" w:space="0" w:color="auto"/>
      </w:divBdr>
    </w:div>
    <w:div w:id="281545985">
      <w:bodyDiv w:val="1"/>
      <w:marLeft w:val="0"/>
      <w:marRight w:val="0"/>
      <w:marTop w:val="0"/>
      <w:marBottom w:val="0"/>
      <w:divBdr>
        <w:top w:val="none" w:sz="0" w:space="0" w:color="auto"/>
        <w:left w:val="none" w:sz="0" w:space="0" w:color="auto"/>
        <w:bottom w:val="none" w:sz="0" w:space="0" w:color="auto"/>
        <w:right w:val="none" w:sz="0" w:space="0" w:color="auto"/>
      </w:divBdr>
    </w:div>
    <w:div w:id="281739482">
      <w:bodyDiv w:val="1"/>
      <w:marLeft w:val="0"/>
      <w:marRight w:val="0"/>
      <w:marTop w:val="0"/>
      <w:marBottom w:val="0"/>
      <w:divBdr>
        <w:top w:val="none" w:sz="0" w:space="0" w:color="auto"/>
        <w:left w:val="none" w:sz="0" w:space="0" w:color="auto"/>
        <w:bottom w:val="none" w:sz="0" w:space="0" w:color="auto"/>
        <w:right w:val="none" w:sz="0" w:space="0" w:color="auto"/>
      </w:divBdr>
    </w:div>
    <w:div w:id="282031954">
      <w:bodyDiv w:val="1"/>
      <w:marLeft w:val="0"/>
      <w:marRight w:val="0"/>
      <w:marTop w:val="0"/>
      <w:marBottom w:val="0"/>
      <w:divBdr>
        <w:top w:val="none" w:sz="0" w:space="0" w:color="auto"/>
        <w:left w:val="none" w:sz="0" w:space="0" w:color="auto"/>
        <w:bottom w:val="none" w:sz="0" w:space="0" w:color="auto"/>
        <w:right w:val="none" w:sz="0" w:space="0" w:color="auto"/>
      </w:divBdr>
    </w:div>
    <w:div w:id="283660959">
      <w:bodyDiv w:val="1"/>
      <w:marLeft w:val="0"/>
      <w:marRight w:val="0"/>
      <w:marTop w:val="0"/>
      <w:marBottom w:val="0"/>
      <w:divBdr>
        <w:top w:val="none" w:sz="0" w:space="0" w:color="auto"/>
        <w:left w:val="none" w:sz="0" w:space="0" w:color="auto"/>
        <w:bottom w:val="none" w:sz="0" w:space="0" w:color="auto"/>
        <w:right w:val="none" w:sz="0" w:space="0" w:color="auto"/>
      </w:divBdr>
    </w:div>
    <w:div w:id="283780339">
      <w:bodyDiv w:val="1"/>
      <w:marLeft w:val="0"/>
      <w:marRight w:val="0"/>
      <w:marTop w:val="0"/>
      <w:marBottom w:val="0"/>
      <w:divBdr>
        <w:top w:val="none" w:sz="0" w:space="0" w:color="auto"/>
        <w:left w:val="none" w:sz="0" w:space="0" w:color="auto"/>
        <w:bottom w:val="none" w:sz="0" w:space="0" w:color="auto"/>
        <w:right w:val="none" w:sz="0" w:space="0" w:color="auto"/>
      </w:divBdr>
    </w:div>
    <w:div w:id="283850801">
      <w:bodyDiv w:val="1"/>
      <w:marLeft w:val="0"/>
      <w:marRight w:val="0"/>
      <w:marTop w:val="0"/>
      <w:marBottom w:val="0"/>
      <w:divBdr>
        <w:top w:val="none" w:sz="0" w:space="0" w:color="auto"/>
        <w:left w:val="none" w:sz="0" w:space="0" w:color="auto"/>
        <w:bottom w:val="none" w:sz="0" w:space="0" w:color="auto"/>
        <w:right w:val="none" w:sz="0" w:space="0" w:color="auto"/>
      </w:divBdr>
    </w:div>
    <w:div w:id="283927278">
      <w:bodyDiv w:val="1"/>
      <w:marLeft w:val="0"/>
      <w:marRight w:val="0"/>
      <w:marTop w:val="0"/>
      <w:marBottom w:val="0"/>
      <w:divBdr>
        <w:top w:val="none" w:sz="0" w:space="0" w:color="auto"/>
        <w:left w:val="none" w:sz="0" w:space="0" w:color="auto"/>
        <w:bottom w:val="none" w:sz="0" w:space="0" w:color="auto"/>
        <w:right w:val="none" w:sz="0" w:space="0" w:color="auto"/>
      </w:divBdr>
    </w:div>
    <w:div w:id="284166380">
      <w:bodyDiv w:val="1"/>
      <w:marLeft w:val="0"/>
      <w:marRight w:val="0"/>
      <w:marTop w:val="0"/>
      <w:marBottom w:val="0"/>
      <w:divBdr>
        <w:top w:val="none" w:sz="0" w:space="0" w:color="auto"/>
        <w:left w:val="none" w:sz="0" w:space="0" w:color="auto"/>
        <w:bottom w:val="none" w:sz="0" w:space="0" w:color="auto"/>
        <w:right w:val="none" w:sz="0" w:space="0" w:color="auto"/>
      </w:divBdr>
    </w:div>
    <w:div w:id="285089299">
      <w:bodyDiv w:val="1"/>
      <w:marLeft w:val="0"/>
      <w:marRight w:val="0"/>
      <w:marTop w:val="0"/>
      <w:marBottom w:val="0"/>
      <w:divBdr>
        <w:top w:val="none" w:sz="0" w:space="0" w:color="auto"/>
        <w:left w:val="none" w:sz="0" w:space="0" w:color="auto"/>
        <w:bottom w:val="none" w:sz="0" w:space="0" w:color="auto"/>
        <w:right w:val="none" w:sz="0" w:space="0" w:color="auto"/>
      </w:divBdr>
      <w:divsChild>
        <w:div w:id="818229005">
          <w:marLeft w:val="0"/>
          <w:marRight w:val="0"/>
          <w:marTop w:val="0"/>
          <w:marBottom w:val="0"/>
          <w:divBdr>
            <w:top w:val="none" w:sz="0" w:space="0" w:color="auto"/>
            <w:left w:val="none" w:sz="0" w:space="0" w:color="auto"/>
            <w:bottom w:val="none" w:sz="0" w:space="0" w:color="auto"/>
            <w:right w:val="none" w:sz="0" w:space="0" w:color="auto"/>
          </w:divBdr>
          <w:divsChild>
            <w:div w:id="879636017">
              <w:marLeft w:val="0"/>
              <w:marRight w:val="0"/>
              <w:marTop w:val="0"/>
              <w:marBottom w:val="0"/>
              <w:divBdr>
                <w:top w:val="none" w:sz="0" w:space="0" w:color="auto"/>
                <w:left w:val="none" w:sz="0" w:space="0" w:color="auto"/>
                <w:bottom w:val="none" w:sz="0" w:space="0" w:color="auto"/>
                <w:right w:val="none" w:sz="0" w:space="0" w:color="auto"/>
              </w:divBdr>
              <w:divsChild>
                <w:div w:id="825819591">
                  <w:marLeft w:val="0"/>
                  <w:marRight w:val="0"/>
                  <w:marTop w:val="0"/>
                  <w:marBottom w:val="0"/>
                  <w:divBdr>
                    <w:top w:val="none" w:sz="0" w:space="0" w:color="auto"/>
                    <w:left w:val="none" w:sz="0" w:space="0" w:color="auto"/>
                    <w:bottom w:val="none" w:sz="0" w:space="0" w:color="auto"/>
                    <w:right w:val="none" w:sz="0" w:space="0" w:color="auto"/>
                  </w:divBdr>
                  <w:divsChild>
                    <w:div w:id="86560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157266">
      <w:bodyDiv w:val="1"/>
      <w:marLeft w:val="0"/>
      <w:marRight w:val="0"/>
      <w:marTop w:val="0"/>
      <w:marBottom w:val="0"/>
      <w:divBdr>
        <w:top w:val="none" w:sz="0" w:space="0" w:color="auto"/>
        <w:left w:val="none" w:sz="0" w:space="0" w:color="auto"/>
        <w:bottom w:val="none" w:sz="0" w:space="0" w:color="auto"/>
        <w:right w:val="none" w:sz="0" w:space="0" w:color="auto"/>
      </w:divBdr>
    </w:div>
    <w:div w:id="285433251">
      <w:bodyDiv w:val="1"/>
      <w:marLeft w:val="0"/>
      <w:marRight w:val="0"/>
      <w:marTop w:val="0"/>
      <w:marBottom w:val="0"/>
      <w:divBdr>
        <w:top w:val="none" w:sz="0" w:space="0" w:color="auto"/>
        <w:left w:val="none" w:sz="0" w:space="0" w:color="auto"/>
        <w:bottom w:val="none" w:sz="0" w:space="0" w:color="auto"/>
        <w:right w:val="none" w:sz="0" w:space="0" w:color="auto"/>
      </w:divBdr>
    </w:div>
    <w:div w:id="285893773">
      <w:bodyDiv w:val="1"/>
      <w:marLeft w:val="0"/>
      <w:marRight w:val="0"/>
      <w:marTop w:val="0"/>
      <w:marBottom w:val="0"/>
      <w:divBdr>
        <w:top w:val="none" w:sz="0" w:space="0" w:color="auto"/>
        <w:left w:val="none" w:sz="0" w:space="0" w:color="auto"/>
        <w:bottom w:val="none" w:sz="0" w:space="0" w:color="auto"/>
        <w:right w:val="none" w:sz="0" w:space="0" w:color="auto"/>
      </w:divBdr>
      <w:divsChild>
        <w:div w:id="95176189">
          <w:marLeft w:val="0"/>
          <w:marRight w:val="0"/>
          <w:marTop w:val="0"/>
          <w:marBottom w:val="0"/>
          <w:divBdr>
            <w:top w:val="none" w:sz="0" w:space="0" w:color="auto"/>
            <w:left w:val="none" w:sz="0" w:space="0" w:color="auto"/>
            <w:bottom w:val="none" w:sz="0" w:space="0" w:color="auto"/>
            <w:right w:val="none" w:sz="0" w:space="0" w:color="auto"/>
          </w:divBdr>
          <w:divsChild>
            <w:div w:id="1322077303">
              <w:marLeft w:val="0"/>
              <w:marRight w:val="0"/>
              <w:marTop w:val="0"/>
              <w:marBottom w:val="0"/>
              <w:divBdr>
                <w:top w:val="none" w:sz="0" w:space="0" w:color="auto"/>
                <w:left w:val="none" w:sz="0" w:space="0" w:color="auto"/>
                <w:bottom w:val="none" w:sz="0" w:space="0" w:color="auto"/>
                <w:right w:val="none" w:sz="0" w:space="0" w:color="auto"/>
              </w:divBdr>
              <w:divsChild>
                <w:div w:id="1834486340">
                  <w:marLeft w:val="0"/>
                  <w:marRight w:val="0"/>
                  <w:marTop w:val="0"/>
                  <w:marBottom w:val="0"/>
                  <w:divBdr>
                    <w:top w:val="none" w:sz="0" w:space="0" w:color="auto"/>
                    <w:left w:val="none" w:sz="0" w:space="0" w:color="auto"/>
                    <w:bottom w:val="none" w:sz="0" w:space="0" w:color="auto"/>
                    <w:right w:val="none" w:sz="0" w:space="0" w:color="auto"/>
                  </w:divBdr>
                  <w:divsChild>
                    <w:div w:id="196530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007297">
      <w:bodyDiv w:val="1"/>
      <w:marLeft w:val="0"/>
      <w:marRight w:val="0"/>
      <w:marTop w:val="0"/>
      <w:marBottom w:val="0"/>
      <w:divBdr>
        <w:top w:val="none" w:sz="0" w:space="0" w:color="auto"/>
        <w:left w:val="none" w:sz="0" w:space="0" w:color="auto"/>
        <w:bottom w:val="none" w:sz="0" w:space="0" w:color="auto"/>
        <w:right w:val="none" w:sz="0" w:space="0" w:color="auto"/>
      </w:divBdr>
    </w:div>
    <w:div w:id="287400196">
      <w:bodyDiv w:val="1"/>
      <w:marLeft w:val="0"/>
      <w:marRight w:val="0"/>
      <w:marTop w:val="0"/>
      <w:marBottom w:val="0"/>
      <w:divBdr>
        <w:top w:val="none" w:sz="0" w:space="0" w:color="auto"/>
        <w:left w:val="none" w:sz="0" w:space="0" w:color="auto"/>
        <w:bottom w:val="none" w:sz="0" w:space="0" w:color="auto"/>
        <w:right w:val="none" w:sz="0" w:space="0" w:color="auto"/>
      </w:divBdr>
      <w:divsChild>
        <w:div w:id="1174758514">
          <w:marLeft w:val="0"/>
          <w:marRight w:val="0"/>
          <w:marTop w:val="0"/>
          <w:marBottom w:val="0"/>
          <w:divBdr>
            <w:top w:val="none" w:sz="0" w:space="0" w:color="auto"/>
            <w:left w:val="none" w:sz="0" w:space="0" w:color="auto"/>
            <w:bottom w:val="none" w:sz="0" w:space="0" w:color="auto"/>
            <w:right w:val="none" w:sz="0" w:space="0" w:color="auto"/>
          </w:divBdr>
          <w:divsChild>
            <w:div w:id="1032850778">
              <w:marLeft w:val="0"/>
              <w:marRight w:val="0"/>
              <w:marTop w:val="0"/>
              <w:marBottom w:val="0"/>
              <w:divBdr>
                <w:top w:val="none" w:sz="0" w:space="0" w:color="auto"/>
                <w:left w:val="none" w:sz="0" w:space="0" w:color="auto"/>
                <w:bottom w:val="none" w:sz="0" w:space="0" w:color="auto"/>
                <w:right w:val="none" w:sz="0" w:space="0" w:color="auto"/>
              </w:divBdr>
              <w:divsChild>
                <w:div w:id="806967877">
                  <w:marLeft w:val="0"/>
                  <w:marRight w:val="0"/>
                  <w:marTop w:val="0"/>
                  <w:marBottom w:val="0"/>
                  <w:divBdr>
                    <w:top w:val="none" w:sz="0" w:space="0" w:color="auto"/>
                    <w:left w:val="none" w:sz="0" w:space="0" w:color="auto"/>
                    <w:bottom w:val="none" w:sz="0" w:space="0" w:color="auto"/>
                    <w:right w:val="none" w:sz="0" w:space="0" w:color="auto"/>
                  </w:divBdr>
                  <w:divsChild>
                    <w:div w:id="7755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096573">
      <w:bodyDiv w:val="1"/>
      <w:marLeft w:val="0"/>
      <w:marRight w:val="0"/>
      <w:marTop w:val="0"/>
      <w:marBottom w:val="0"/>
      <w:divBdr>
        <w:top w:val="none" w:sz="0" w:space="0" w:color="auto"/>
        <w:left w:val="none" w:sz="0" w:space="0" w:color="auto"/>
        <w:bottom w:val="none" w:sz="0" w:space="0" w:color="auto"/>
        <w:right w:val="none" w:sz="0" w:space="0" w:color="auto"/>
      </w:divBdr>
    </w:div>
    <w:div w:id="290282860">
      <w:bodyDiv w:val="1"/>
      <w:marLeft w:val="0"/>
      <w:marRight w:val="0"/>
      <w:marTop w:val="0"/>
      <w:marBottom w:val="0"/>
      <w:divBdr>
        <w:top w:val="none" w:sz="0" w:space="0" w:color="auto"/>
        <w:left w:val="none" w:sz="0" w:space="0" w:color="auto"/>
        <w:bottom w:val="none" w:sz="0" w:space="0" w:color="auto"/>
        <w:right w:val="none" w:sz="0" w:space="0" w:color="auto"/>
      </w:divBdr>
      <w:divsChild>
        <w:div w:id="1130516636">
          <w:marLeft w:val="0"/>
          <w:marRight w:val="0"/>
          <w:marTop w:val="0"/>
          <w:marBottom w:val="0"/>
          <w:divBdr>
            <w:top w:val="none" w:sz="0" w:space="0" w:color="auto"/>
            <w:left w:val="none" w:sz="0" w:space="0" w:color="auto"/>
            <w:bottom w:val="none" w:sz="0" w:space="0" w:color="auto"/>
            <w:right w:val="none" w:sz="0" w:space="0" w:color="auto"/>
          </w:divBdr>
          <w:divsChild>
            <w:div w:id="2018651214">
              <w:marLeft w:val="0"/>
              <w:marRight w:val="0"/>
              <w:marTop w:val="0"/>
              <w:marBottom w:val="0"/>
              <w:divBdr>
                <w:top w:val="none" w:sz="0" w:space="0" w:color="auto"/>
                <w:left w:val="none" w:sz="0" w:space="0" w:color="auto"/>
                <w:bottom w:val="none" w:sz="0" w:space="0" w:color="auto"/>
                <w:right w:val="none" w:sz="0" w:space="0" w:color="auto"/>
              </w:divBdr>
              <w:divsChild>
                <w:div w:id="53971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90115">
      <w:bodyDiv w:val="1"/>
      <w:marLeft w:val="0"/>
      <w:marRight w:val="0"/>
      <w:marTop w:val="0"/>
      <w:marBottom w:val="0"/>
      <w:divBdr>
        <w:top w:val="none" w:sz="0" w:space="0" w:color="auto"/>
        <w:left w:val="none" w:sz="0" w:space="0" w:color="auto"/>
        <w:bottom w:val="none" w:sz="0" w:space="0" w:color="auto"/>
        <w:right w:val="none" w:sz="0" w:space="0" w:color="auto"/>
      </w:divBdr>
    </w:div>
    <w:div w:id="290329397">
      <w:bodyDiv w:val="1"/>
      <w:marLeft w:val="0"/>
      <w:marRight w:val="0"/>
      <w:marTop w:val="0"/>
      <w:marBottom w:val="0"/>
      <w:divBdr>
        <w:top w:val="none" w:sz="0" w:space="0" w:color="auto"/>
        <w:left w:val="none" w:sz="0" w:space="0" w:color="auto"/>
        <w:bottom w:val="none" w:sz="0" w:space="0" w:color="auto"/>
        <w:right w:val="none" w:sz="0" w:space="0" w:color="auto"/>
      </w:divBdr>
    </w:div>
    <w:div w:id="291596021">
      <w:bodyDiv w:val="1"/>
      <w:marLeft w:val="0"/>
      <w:marRight w:val="0"/>
      <w:marTop w:val="0"/>
      <w:marBottom w:val="0"/>
      <w:divBdr>
        <w:top w:val="none" w:sz="0" w:space="0" w:color="auto"/>
        <w:left w:val="none" w:sz="0" w:space="0" w:color="auto"/>
        <w:bottom w:val="none" w:sz="0" w:space="0" w:color="auto"/>
        <w:right w:val="none" w:sz="0" w:space="0" w:color="auto"/>
      </w:divBdr>
    </w:div>
    <w:div w:id="291710712">
      <w:bodyDiv w:val="1"/>
      <w:marLeft w:val="0"/>
      <w:marRight w:val="0"/>
      <w:marTop w:val="0"/>
      <w:marBottom w:val="0"/>
      <w:divBdr>
        <w:top w:val="none" w:sz="0" w:space="0" w:color="auto"/>
        <w:left w:val="none" w:sz="0" w:space="0" w:color="auto"/>
        <w:bottom w:val="none" w:sz="0" w:space="0" w:color="auto"/>
        <w:right w:val="none" w:sz="0" w:space="0" w:color="auto"/>
      </w:divBdr>
    </w:div>
    <w:div w:id="291863660">
      <w:bodyDiv w:val="1"/>
      <w:marLeft w:val="0"/>
      <w:marRight w:val="0"/>
      <w:marTop w:val="0"/>
      <w:marBottom w:val="0"/>
      <w:divBdr>
        <w:top w:val="none" w:sz="0" w:space="0" w:color="auto"/>
        <w:left w:val="none" w:sz="0" w:space="0" w:color="auto"/>
        <w:bottom w:val="none" w:sz="0" w:space="0" w:color="auto"/>
        <w:right w:val="none" w:sz="0" w:space="0" w:color="auto"/>
      </w:divBdr>
      <w:divsChild>
        <w:div w:id="1322733571">
          <w:marLeft w:val="0"/>
          <w:marRight w:val="0"/>
          <w:marTop w:val="0"/>
          <w:marBottom w:val="0"/>
          <w:divBdr>
            <w:top w:val="none" w:sz="0" w:space="0" w:color="auto"/>
            <w:left w:val="none" w:sz="0" w:space="0" w:color="auto"/>
            <w:bottom w:val="none" w:sz="0" w:space="0" w:color="auto"/>
            <w:right w:val="none" w:sz="0" w:space="0" w:color="auto"/>
          </w:divBdr>
          <w:divsChild>
            <w:div w:id="184906792">
              <w:marLeft w:val="0"/>
              <w:marRight w:val="0"/>
              <w:marTop w:val="0"/>
              <w:marBottom w:val="0"/>
              <w:divBdr>
                <w:top w:val="none" w:sz="0" w:space="0" w:color="auto"/>
                <w:left w:val="none" w:sz="0" w:space="0" w:color="auto"/>
                <w:bottom w:val="none" w:sz="0" w:space="0" w:color="auto"/>
                <w:right w:val="none" w:sz="0" w:space="0" w:color="auto"/>
              </w:divBdr>
              <w:divsChild>
                <w:div w:id="252204211">
                  <w:marLeft w:val="0"/>
                  <w:marRight w:val="0"/>
                  <w:marTop w:val="0"/>
                  <w:marBottom w:val="0"/>
                  <w:divBdr>
                    <w:top w:val="none" w:sz="0" w:space="0" w:color="auto"/>
                    <w:left w:val="none" w:sz="0" w:space="0" w:color="auto"/>
                    <w:bottom w:val="none" w:sz="0" w:space="0" w:color="auto"/>
                    <w:right w:val="none" w:sz="0" w:space="0" w:color="auto"/>
                  </w:divBdr>
                  <w:divsChild>
                    <w:div w:id="61683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988105">
      <w:bodyDiv w:val="1"/>
      <w:marLeft w:val="0"/>
      <w:marRight w:val="0"/>
      <w:marTop w:val="0"/>
      <w:marBottom w:val="0"/>
      <w:divBdr>
        <w:top w:val="none" w:sz="0" w:space="0" w:color="auto"/>
        <w:left w:val="none" w:sz="0" w:space="0" w:color="auto"/>
        <w:bottom w:val="none" w:sz="0" w:space="0" w:color="auto"/>
        <w:right w:val="none" w:sz="0" w:space="0" w:color="auto"/>
      </w:divBdr>
    </w:div>
    <w:div w:id="292366638">
      <w:bodyDiv w:val="1"/>
      <w:marLeft w:val="0"/>
      <w:marRight w:val="0"/>
      <w:marTop w:val="0"/>
      <w:marBottom w:val="0"/>
      <w:divBdr>
        <w:top w:val="none" w:sz="0" w:space="0" w:color="auto"/>
        <w:left w:val="none" w:sz="0" w:space="0" w:color="auto"/>
        <w:bottom w:val="none" w:sz="0" w:space="0" w:color="auto"/>
        <w:right w:val="none" w:sz="0" w:space="0" w:color="auto"/>
      </w:divBdr>
      <w:divsChild>
        <w:div w:id="336272393">
          <w:marLeft w:val="0"/>
          <w:marRight w:val="0"/>
          <w:marTop w:val="0"/>
          <w:marBottom w:val="0"/>
          <w:divBdr>
            <w:top w:val="none" w:sz="0" w:space="0" w:color="auto"/>
            <w:left w:val="none" w:sz="0" w:space="0" w:color="auto"/>
            <w:bottom w:val="none" w:sz="0" w:space="0" w:color="auto"/>
            <w:right w:val="none" w:sz="0" w:space="0" w:color="auto"/>
          </w:divBdr>
          <w:divsChild>
            <w:div w:id="770009619">
              <w:marLeft w:val="0"/>
              <w:marRight w:val="0"/>
              <w:marTop w:val="0"/>
              <w:marBottom w:val="0"/>
              <w:divBdr>
                <w:top w:val="none" w:sz="0" w:space="0" w:color="auto"/>
                <w:left w:val="none" w:sz="0" w:space="0" w:color="auto"/>
                <w:bottom w:val="none" w:sz="0" w:space="0" w:color="auto"/>
                <w:right w:val="none" w:sz="0" w:space="0" w:color="auto"/>
              </w:divBdr>
              <w:divsChild>
                <w:div w:id="1509251063">
                  <w:marLeft w:val="0"/>
                  <w:marRight w:val="0"/>
                  <w:marTop w:val="0"/>
                  <w:marBottom w:val="0"/>
                  <w:divBdr>
                    <w:top w:val="none" w:sz="0" w:space="0" w:color="auto"/>
                    <w:left w:val="none" w:sz="0" w:space="0" w:color="auto"/>
                    <w:bottom w:val="none" w:sz="0" w:space="0" w:color="auto"/>
                    <w:right w:val="none" w:sz="0" w:space="0" w:color="auto"/>
                  </w:divBdr>
                  <w:divsChild>
                    <w:div w:id="116316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213676">
      <w:bodyDiv w:val="1"/>
      <w:marLeft w:val="0"/>
      <w:marRight w:val="0"/>
      <w:marTop w:val="0"/>
      <w:marBottom w:val="0"/>
      <w:divBdr>
        <w:top w:val="none" w:sz="0" w:space="0" w:color="auto"/>
        <w:left w:val="none" w:sz="0" w:space="0" w:color="auto"/>
        <w:bottom w:val="none" w:sz="0" w:space="0" w:color="auto"/>
        <w:right w:val="none" w:sz="0" w:space="0" w:color="auto"/>
      </w:divBdr>
    </w:div>
    <w:div w:id="294262375">
      <w:bodyDiv w:val="1"/>
      <w:marLeft w:val="0"/>
      <w:marRight w:val="0"/>
      <w:marTop w:val="0"/>
      <w:marBottom w:val="0"/>
      <w:divBdr>
        <w:top w:val="none" w:sz="0" w:space="0" w:color="auto"/>
        <w:left w:val="none" w:sz="0" w:space="0" w:color="auto"/>
        <w:bottom w:val="none" w:sz="0" w:space="0" w:color="auto"/>
        <w:right w:val="none" w:sz="0" w:space="0" w:color="auto"/>
      </w:divBdr>
    </w:div>
    <w:div w:id="294917617">
      <w:bodyDiv w:val="1"/>
      <w:marLeft w:val="0"/>
      <w:marRight w:val="0"/>
      <w:marTop w:val="0"/>
      <w:marBottom w:val="0"/>
      <w:divBdr>
        <w:top w:val="none" w:sz="0" w:space="0" w:color="auto"/>
        <w:left w:val="none" w:sz="0" w:space="0" w:color="auto"/>
        <w:bottom w:val="none" w:sz="0" w:space="0" w:color="auto"/>
        <w:right w:val="none" w:sz="0" w:space="0" w:color="auto"/>
      </w:divBdr>
    </w:div>
    <w:div w:id="295723063">
      <w:bodyDiv w:val="1"/>
      <w:marLeft w:val="0"/>
      <w:marRight w:val="0"/>
      <w:marTop w:val="0"/>
      <w:marBottom w:val="0"/>
      <w:divBdr>
        <w:top w:val="none" w:sz="0" w:space="0" w:color="auto"/>
        <w:left w:val="none" w:sz="0" w:space="0" w:color="auto"/>
        <w:bottom w:val="none" w:sz="0" w:space="0" w:color="auto"/>
        <w:right w:val="none" w:sz="0" w:space="0" w:color="auto"/>
      </w:divBdr>
    </w:div>
    <w:div w:id="295911076">
      <w:bodyDiv w:val="1"/>
      <w:marLeft w:val="0"/>
      <w:marRight w:val="0"/>
      <w:marTop w:val="0"/>
      <w:marBottom w:val="0"/>
      <w:divBdr>
        <w:top w:val="none" w:sz="0" w:space="0" w:color="auto"/>
        <w:left w:val="none" w:sz="0" w:space="0" w:color="auto"/>
        <w:bottom w:val="none" w:sz="0" w:space="0" w:color="auto"/>
        <w:right w:val="none" w:sz="0" w:space="0" w:color="auto"/>
      </w:divBdr>
    </w:div>
    <w:div w:id="296180700">
      <w:bodyDiv w:val="1"/>
      <w:marLeft w:val="0"/>
      <w:marRight w:val="0"/>
      <w:marTop w:val="0"/>
      <w:marBottom w:val="0"/>
      <w:divBdr>
        <w:top w:val="none" w:sz="0" w:space="0" w:color="auto"/>
        <w:left w:val="none" w:sz="0" w:space="0" w:color="auto"/>
        <w:bottom w:val="none" w:sz="0" w:space="0" w:color="auto"/>
        <w:right w:val="none" w:sz="0" w:space="0" w:color="auto"/>
      </w:divBdr>
    </w:div>
    <w:div w:id="296952241">
      <w:bodyDiv w:val="1"/>
      <w:marLeft w:val="0"/>
      <w:marRight w:val="0"/>
      <w:marTop w:val="0"/>
      <w:marBottom w:val="0"/>
      <w:divBdr>
        <w:top w:val="none" w:sz="0" w:space="0" w:color="auto"/>
        <w:left w:val="none" w:sz="0" w:space="0" w:color="auto"/>
        <w:bottom w:val="none" w:sz="0" w:space="0" w:color="auto"/>
        <w:right w:val="none" w:sz="0" w:space="0" w:color="auto"/>
      </w:divBdr>
    </w:div>
    <w:div w:id="297342877">
      <w:bodyDiv w:val="1"/>
      <w:marLeft w:val="0"/>
      <w:marRight w:val="0"/>
      <w:marTop w:val="0"/>
      <w:marBottom w:val="0"/>
      <w:divBdr>
        <w:top w:val="none" w:sz="0" w:space="0" w:color="auto"/>
        <w:left w:val="none" w:sz="0" w:space="0" w:color="auto"/>
        <w:bottom w:val="none" w:sz="0" w:space="0" w:color="auto"/>
        <w:right w:val="none" w:sz="0" w:space="0" w:color="auto"/>
      </w:divBdr>
    </w:div>
    <w:div w:id="298611261">
      <w:bodyDiv w:val="1"/>
      <w:marLeft w:val="0"/>
      <w:marRight w:val="0"/>
      <w:marTop w:val="0"/>
      <w:marBottom w:val="0"/>
      <w:divBdr>
        <w:top w:val="none" w:sz="0" w:space="0" w:color="auto"/>
        <w:left w:val="none" w:sz="0" w:space="0" w:color="auto"/>
        <w:bottom w:val="none" w:sz="0" w:space="0" w:color="auto"/>
        <w:right w:val="none" w:sz="0" w:space="0" w:color="auto"/>
      </w:divBdr>
      <w:divsChild>
        <w:div w:id="1704091862">
          <w:marLeft w:val="0"/>
          <w:marRight w:val="0"/>
          <w:marTop w:val="0"/>
          <w:marBottom w:val="0"/>
          <w:divBdr>
            <w:top w:val="none" w:sz="0" w:space="0" w:color="auto"/>
            <w:left w:val="none" w:sz="0" w:space="0" w:color="auto"/>
            <w:bottom w:val="none" w:sz="0" w:space="0" w:color="auto"/>
            <w:right w:val="none" w:sz="0" w:space="0" w:color="auto"/>
          </w:divBdr>
          <w:divsChild>
            <w:div w:id="383414536">
              <w:marLeft w:val="0"/>
              <w:marRight w:val="0"/>
              <w:marTop w:val="0"/>
              <w:marBottom w:val="0"/>
              <w:divBdr>
                <w:top w:val="none" w:sz="0" w:space="0" w:color="auto"/>
                <w:left w:val="none" w:sz="0" w:space="0" w:color="auto"/>
                <w:bottom w:val="none" w:sz="0" w:space="0" w:color="auto"/>
                <w:right w:val="none" w:sz="0" w:space="0" w:color="auto"/>
              </w:divBdr>
              <w:divsChild>
                <w:div w:id="1786146871">
                  <w:marLeft w:val="0"/>
                  <w:marRight w:val="0"/>
                  <w:marTop w:val="0"/>
                  <w:marBottom w:val="0"/>
                  <w:divBdr>
                    <w:top w:val="none" w:sz="0" w:space="0" w:color="auto"/>
                    <w:left w:val="none" w:sz="0" w:space="0" w:color="auto"/>
                    <w:bottom w:val="none" w:sz="0" w:space="0" w:color="auto"/>
                    <w:right w:val="none" w:sz="0" w:space="0" w:color="auto"/>
                  </w:divBdr>
                  <w:divsChild>
                    <w:div w:id="59837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194255">
      <w:bodyDiv w:val="1"/>
      <w:marLeft w:val="0"/>
      <w:marRight w:val="0"/>
      <w:marTop w:val="0"/>
      <w:marBottom w:val="0"/>
      <w:divBdr>
        <w:top w:val="none" w:sz="0" w:space="0" w:color="auto"/>
        <w:left w:val="none" w:sz="0" w:space="0" w:color="auto"/>
        <w:bottom w:val="none" w:sz="0" w:space="0" w:color="auto"/>
        <w:right w:val="none" w:sz="0" w:space="0" w:color="auto"/>
      </w:divBdr>
    </w:div>
    <w:div w:id="299195010">
      <w:bodyDiv w:val="1"/>
      <w:marLeft w:val="0"/>
      <w:marRight w:val="0"/>
      <w:marTop w:val="0"/>
      <w:marBottom w:val="0"/>
      <w:divBdr>
        <w:top w:val="none" w:sz="0" w:space="0" w:color="auto"/>
        <w:left w:val="none" w:sz="0" w:space="0" w:color="auto"/>
        <w:bottom w:val="none" w:sz="0" w:space="0" w:color="auto"/>
        <w:right w:val="none" w:sz="0" w:space="0" w:color="auto"/>
      </w:divBdr>
    </w:div>
    <w:div w:id="299263408">
      <w:bodyDiv w:val="1"/>
      <w:marLeft w:val="0"/>
      <w:marRight w:val="0"/>
      <w:marTop w:val="0"/>
      <w:marBottom w:val="0"/>
      <w:divBdr>
        <w:top w:val="none" w:sz="0" w:space="0" w:color="auto"/>
        <w:left w:val="none" w:sz="0" w:space="0" w:color="auto"/>
        <w:bottom w:val="none" w:sz="0" w:space="0" w:color="auto"/>
        <w:right w:val="none" w:sz="0" w:space="0" w:color="auto"/>
      </w:divBdr>
      <w:divsChild>
        <w:div w:id="2010517652">
          <w:marLeft w:val="0"/>
          <w:marRight w:val="0"/>
          <w:marTop w:val="0"/>
          <w:marBottom w:val="0"/>
          <w:divBdr>
            <w:top w:val="none" w:sz="0" w:space="0" w:color="auto"/>
            <w:left w:val="none" w:sz="0" w:space="0" w:color="auto"/>
            <w:bottom w:val="none" w:sz="0" w:space="0" w:color="auto"/>
            <w:right w:val="none" w:sz="0" w:space="0" w:color="auto"/>
          </w:divBdr>
          <w:divsChild>
            <w:div w:id="310671892">
              <w:marLeft w:val="0"/>
              <w:marRight w:val="0"/>
              <w:marTop w:val="0"/>
              <w:marBottom w:val="0"/>
              <w:divBdr>
                <w:top w:val="none" w:sz="0" w:space="0" w:color="auto"/>
                <w:left w:val="none" w:sz="0" w:space="0" w:color="auto"/>
                <w:bottom w:val="none" w:sz="0" w:space="0" w:color="auto"/>
                <w:right w:val="none" w:sz="0" w:space="0" w:color="auto"/>
              </w:divBdr>
              <w:divsChild>
                <w:div w:id="1961036411">
                  <w:marLeft w:val="0"/>
                  <w:marRight w:val="0"/>
                  <w:marTop w:val="0"/>
                  <w:marBottom w:val="0"/>
                  <w:divBdr>
                    <w:top w:val="none" w:sz="0" w:space="0" w:color="auto"/>
                    <w:left w:val="none" w:sz="0" w:space="0" w:color="auto"/>
                    <w:bottom w:val="none" w:sz="0" w:space="0" w:color="auto"/>
                    <w:right w:val="none" w:sz="0" w:space="0" w:color="auto"/>
                  </w:divBdr>
                  <w:divsChild>
                    <w:div w:id="62596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548637">
      <w:bodyDiv w:val="1"/>
      <w:marLeft w:val="0"/>
      <w:marRight w:val="0"/>
      <w:marTop w:val="0"/>
      <w:marBottom w:val="0"/>
      <w:divBdr>
        <w:top w:val="none" w:sz="0" w:space="0" w:color="auto"/>
        <w:left w:val="none" w:sz="0" w:space="0" w:color="auto"/>
        <w:bottom w:val="none" w:sz="0" w:space="0" w:color="auto"/>
        <w:right w:val="none" w:sz="0" w:space="0" w:color="auto"/>
      </w:divBdr>
    </w:div>
    <w:div w:id="301426660">
      <w:bodyDiv w:val="1"/>
      <w:marLeft w:val="0"/>
      <w:marRight w:val="0"/>
      <w:marTop w:val="0"/>
      <w:marBottom w:val="0"/>
      <w:divBdr>
        <w:top w:val="none" w:sz="0" w:space="0" w:color="auto"/>
        <w:left w:val="none" w:sz="0" w:space="0" w:color="auto"/>
        <w:bottom w:val="none" w:sz="0" w:space="0" w:color="auto"/>
        <w:right w:val="none" w:sz="0" w:space="0" w:color="auto"/>
      </w:divBdr>
      <w:divsChild>
        <w:div w:id="65803279">
          <w:marLeft w:val="0"/>
          <w:marRight w:val="0"/>
          <w:marTop w:val="0"/>
          <w:marBottom w:val="0"/>
          <w:divBdr>
            <w:top w:val="none" w:sz="0" w:space="0" w:color="auto"/>
            <w:left w:val="none" w:sz="0" w:space="0" w:color="auto"/>
            <w:bottom w:val="none" w:sz="0" w:space="0" w:color="auto"/>
            <w:right w:val="none" w:sz="0" w:space="0" w:color="auto"/>
          </w:divBdr>
          <w:divsChild>
            <w:div w:id="1527447825">
              <w:marLeft w:val="0"/>
              <w:marRight w:val="0"/>
              <w:marTop w:val="0"/>
              <w:marBottom w:val="0"/>
              <w:divBdr>
                <w:top w:val="none" w:sz="0" w:space="0" w:color="auto"/>
                <w:left w:val="none" w:sz="0" w:space="0" w:color="auto"/>
                <w:bottom w:val="none" w:sz="0" w:space="0" w:color="auto"/>
                <w:right w:val="none" w:sz="0" w:space="0" w:color="auto"/>
              </w:divBdr>
              <w:divsChild>
                <w:div w:id="2014145616">
                  <w:marLeft w:val="0"/>
                  <w:marRight w:val="0"/>
                  <w:marTop w:val="0"/>
                  <w:marBottom w:val="0"/>
                  <w:divBdr>
                    <w:top w:val="none" w:sz="0" w:space="0" w:color="auto"/>
                    <w:left w:val="none" w:sz="0" w:space="0" w:color="auto"/>
                    <w:bottom w:val="none" w:sz="0" w:space="0" w:color="auto"/>
                    <w:right w:val="none" w:sz="0" w:space="0" w:color="auto"/>
                  </w:divBdr>
                  <w:divsChild>
                    <w:div w:id="67950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079021">
      <w:bodyDiv w:val="1"/>
      <w:marLeft w:val="0"/>
      <w:marRight w:val="0"/>
      <w:marTop w:val="0"/>
      <w:marBottom w:val="0"/>
      <w:divBdr>
        <w:top w:val="none" w:sz="0" w:space="0" w:color="auto"/>
        <w:left w:val="none" w:sz="0" w:space="0" w:color="auto"/>
        <w:bottom w:val="none" w:sz="0" w:space="0" w:color="auto"/>
        <w:right w:val="none" w:sz="0" w:space="0" w:color="auto"/>
      </w:divBdr>
      <w:divsChild>
        <w:div w:id="1170370468">
          <w:marLeft w:val="0"/>
          <w:marRight w:val="0"/>
          <w:marTop w:val="0"/>
          <w:marBottom w:val="0"/>
          <w:divBdr>
            <w:top w:val="none" w:sz="0" w:space="0" w:color="auto"/>
            <w:left w:val="none" w:sz="0" w:space="0" w:color="auto"/>
            <w:bottom w:val="none" w:sz="0" w:space="0" w:color="auto"/>
            <w:right w:val="none" w:sz="0" w:space="0" w:color="auto"/>
          </w:divBdr>
          <w:divsChild>
            <w:div w:id="1226992899">
              <w:marLeft w:val="0"/>
              <w:marRight w:val="0"/>
              <w:marTop w:val="0"/>
              <w:marBottom w:val="0"/>
              <w:divBdr>
                <w:top w:val="none" w:sz="0" w:space="0" w:color="auto"/>
                <w:left w:val="none" w:sz="0" w:space="0" w:color="auto"/>
                <w:bottom w:val="none" w:sz="0" w:space="0" w:color="auto"/>
                <w:right w:val="none" w:sz="0" w:space="0" w:color="auto"/>
              </w:divBdr>
              <w:divsChild>
                <w:div w:id="1780492920">
                  <w:marLeft w:val="0"/>
                  <w:marRight w:val="0"/>
                  <w:marTop w:val="0"/>
                  <w:marBottom w:val="0"/>
                  <w:divBdr>
                    <w:top w:val="none" w:sz="0" w:space="0" w:color="auto"/>
                    <w:left w:val="none" w:sz="0" w:space="0" w:color="auto"/>
                    <w:bottom w:val="none" w:sz="0" w:space="0" w:color="auto"/>
                    <w:right w:val="none" w:sz="0" w:space="0" w:color="auto"/>
                  </w:divBdr>
                  <w:divsChild>
                    <w:div w:id="91902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429448">
      <w:bodyDiv w:val="1"/>
      <w:marLeft w:val="0"/>
      <w:marRight w:val="0"/>
      <w:marTop w:val="0"/>
      <w:marBottom w:val="0"/>
      <w:divBdr>
        <w:top w:val="none" w:sz="0" w:space="0" w:color="auto"/>
        <w:left w:val="none" w:sz="0" w:space="0" w:color="auto"/>
        <w:bottom w:val="none" w:sz="0" w:space="0" w:color="auto"/>
        <w:right w:val="none" w:sz="0" w:space="0" w:color="auto"/>
      </w:divBdr>
      <w:divsChild>
        <w:div w:id="1406294937">
          <w:marLeft w:val="0"/>
          <w:marRight w:val="0"/>
          <w:marTop w:val="0"/>
          <w:marBottom w:val="0"/>
          <w:divBdr>
            <w:top w:val="none" w:sz="0" w:space="0" w:color="auto"/>
            <w:left w:val="none" w:sz="0" w:space="0" w:color="auto"/>
            <w:bottom w:val="none" w:sz="0" w:space="0" w:color="auto"/>
            <w:right w:val="none" w:sz="0" w:space="0" w:color="auto"/>
          </w:divBdr>
          <w:divsChild>
            <w:div w:id="1812167871">
              <w:marLeft w:val="0"/>
              <w:marRight w:val="0"/>
              <w:marTop w:val="0"/>
              <w:marBottom w:val="0"/>
              <w:divBdr>
                <w:top w:val="none" w:sz="0" w:space="0" w:color="auto"/>
                <w:left w:val="none" w:sz="0" w:space="0" w:color="auto"/>
                <w:bottom w:val="none" w:sz="0" w:space="0" w:color="auto"/>
                <w:right w:val="none" w:sz="0" w:space="0" w:color="auto"/>
              </w:divBdr>
              <w:divsChild>
                <w:div w:id="2115705931">
                  <w:marLeft w:val="0"/>
                  <w:marRight w:val="0"/>
                  <w:marTop w:val="0"/>
                  <w:marBottom w:val="0"/>
                  <w:divBdr>
                    <w:top w:val="none" w:sz="0" w:space="0" w:color="auto"/>
                    <w:left w:val="none" w:sz="0" w:space="0" w:color="auto"/>
                    <w:bottom w:val="none" w:sz="0" w:space="0" w:color="auto"/>
                    <w:right w:val="none" w:sz="0" w:space="0" w:color="auto"/>
                  </w:divBdr>
                  <w:divsChild>
                    <w:div w:id="20386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85579">
      <w:bodyDiv w:val="1"/>
      <w:marLeft w:val="0"/>
      <w:marRight w:val="0"/>
      <w:marTop w:val="0"/>
      <w:marBottom w:val="0"/>
      <w:divBdr>
        <w:top w:val="none" w:sz="0" w:space="0" w:color="auto"/>
        <w:left w:val="none" w:sz="0" w:space="0" w:color="auto"/>
        <w:bottom w:val="none" w:sz="0" w:space="0" w:color="auto"/>
        <w:right w:val="none" w:sz="0" w:space="0" w:color="auto"/>
      </w:divBdr>
      <w:divsChild>
        <w:div w:id="1965768832">
          <w:marLeft w:val="0"/>
          <w:marRight w:val="0"/>
          <w:marTop w:val="0"/>
          <w:marBottom w:val="0"/>
          <w:divBdr>
            <w:top w:val="none" w:sz="0" w:space="0" w:color="auto"/>
            <w:left w:val="none" w:sz="0" w:space="0" w:color="auto"/>
            <w:bottom w:val="none" w:sz="0" w:space="0" w:color="auto"/>
            <w:right w:val="none" w:sz="0" w:space="0" w:color="auto"/>
          </w:divBdr>
          <w:divsChild>
            <w:div w:id="701521156">
              <w:marLeft w:val="0"/>
              <w:marRight w:val="0"/>
              <w:marTop w:val="0"/>
              <w:marBottom w:val="0"/>
              <w:divBdr>
                <w:top w:val="none" w:sz="0" w:space="0" w:color="auto"/>
                <w:left w:val="none" w:sz="0" w:space="0" w:color="auto"/>
                <w:bottom w:val="none" w:sz="0" w:space="0" w:color="auto"/>
                <w:right w:val="none" w:sz="0" w:space="0" w:color="auto"/>
              </w:divBdr>
              <w:divsChild>
                <w:div w:id="165271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09045">
      <w:bodyDiv w:val="1"/>
      <w:marLeft w:val="0"/>
      <w:marRight w:val="0"/>
      <w:marTop w:val="0"/>
      <w:marBottom w:val="0"/>
      <w:divBdr>
        <w:top w:val="none" w:sz="0" w:space="0" w:color="auto"/>
        <w:left w:val="none" w:sz="0" w:space="0" w:color="auto"/>
        <w:bottom w:val="none" w:sz="0" w:space="0" w:color="auto"/>
        <w:right w:val="none" w:sz="0" w:space="0" w:color="auto"/>
      </w:divBdr>
    </w:div>
    <w:div w:id="305817457">
      <w:bodyDiv w:val="1"/>
      <w:marLeft w:val="0"/>
      <w:marRight w:val="0"/>
      <w:marTop w:val="0"/>
      <w:marBottom w:val="0"/>
      <w:divBdr>
        <w:top w:val="none" w:sz="0" w:space="0" w:color="auto"/>
        <w:left w:val="none" w:sz="0" w:space="0" w:color="auto"/>
        <w:bottom w:val="none" w:sz="0" w:space="0" w:color="auto"/>
        <w:right w:val="none" w:sz="0" w:space="0" w:color="auto"/>
      </w:divBdr>
    </w:div>
    <w:div w:id="306740312">
      <w:bodyDiv w:val="1"/>
      <w:marLeft w:val="0"/>
      <w:marRight w:val="0"/>
      <w:marTop w:val="0"/>
      <w:marBottom w:val="0"/>
      <w:divBdr>
        <w:top w:val="none" w:sz="0" w:space="0" w:color="auto"/>
        <w:left w:val="none" w:sz="0" w:space="0" w:color="auto"/>
        <w:bottom w:val="none" w:sz="0" w:space="0" w:color="auto"/>
        <w:right w:val="none" w:sz="0" w:space="0" w:color="auto"/>
      </w:divBdr>
      <w:divsChild>
        <w:div w:id="2141919344">
          <w:marLeft w:val="0"/>
          <w:marRight w:val="0"/>
          <w:marTop w:val="0"/>
          <w:marBottom w:val="0"/>
          <w:divBdr>
            <w:top w:val="none" w:sz="0" w:space="0" w:color="auto"/>
            <w:left w:val="none" w:sz="0" w:space="0" w:color="auto"/>
            <w:bottom w:val="none" w:sz="0" w:space="0" w:color="auto"/>
            <w:right w:val="none" w:sz="0" w:space="0" w:color="auto"/>
          </w:divBdr>
          <w:divsChild>
            <w:div w:id="219482773">
              <w:marLeft w:val="0"/>
              <w:marRight w:val="0"/>
              <w:marTop w:val="0"/>
              <w:marBottom w:val="0"/>
              <w:divBdr>
                <w:top w:val="none" w:sz="0" w:space="0" w:color="auto"/>
                <w:left w:val="none" w:sz="0" w:space="0" w:color="auto"/>
                <w:bottom w:val="none" w:sz="0" w:space="0" w:color="auto"/>
                <w:right w:val="none" w:sz="0" w:space="0" w:color="auto"/>
              </w:divBdr>
              <w:divsChild>
                <w:div w:id="233929440">
                  <w:marLeft w:val="0"/>
                  <w:marRight w:val="0"/>
                  <w:marTop w:val="0"/>
                  <w:marBottom w:val="0"/>
                  <w:divBdr>
                    <w:top w:val="none" w:sz="0" w:space="0" w:color="auto"/>
                    <w:left w:val="none" w:sz="0" w:space="0" w:color="auto"/>
                    <w:bottom w:val="none" w:sz="0" w:space="0" w:color="auto"/>
                    <w:right w:val="none" w:sz="0" w:space="0" w:color="auto"/>
                  </w:divBdr>
                  <w:divsChild>
                    <w:div w:id="57188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784269">
      <w:bodyDiv w:val="1"/>
      <w:marLeft w:val="0"/>
      <w:marRight w:val="0"/>
      <w:marTop w:val="0"/>
      <w:marBottom w:val="0"/>
      <w:divBdr>
        <w:top w:val="none" w:sz="0" w:space="0" w:color="auto"/>
        <w:left w:val="none" w:sz="0" w:space="0" w:color="auto"/>
        <w:bottom w:val="none" w:sz="0" w:space="0" w:color="auto"/>
        <w:right w:val="none" w:sz="0" w:space="0" w:color="auto"/>
      </w:divBdr>
    </w:div>
    <w:div w:id="309138671">
      <w:bodyDiv w:val="1"/>
      <w:marLeft w:val="0"/>
      <w:marRight w:val="0"/>
      <w:marTop w:val="0"/>
      <w:marBottom w:val="0"/>
      <w:divBdr>
        <w:top w:val="none" w:sz="0" w:space="0" w:color="auto"/>
        <w:left w:val="none" w:sz="0" w:space="0" w:color="auto"/>
        <w:bottom w:val="none" w:sz="0" w:space="0" w:color="auto"/>
        <w:right w:val="none" w:sz="0" w:space="0" w:color="auto"/>
      </w:divBdr>
    </w:div>
    <w:div w:id="309359628">
      <w:bodyDiv w:val="1"/>
      <w:marLeft w:val="0"/>
      <w:marRight w:val="0"/>
      <w:marTop w:val="0"/>
      <w:marBottom w:val="0"/>
      <w:divBdr>
        <w:top w:val="none" w:sz="0" w:space="0" w:color="auto"/>
        <w:left w:val="none" w:sz="0" w:space="0" w:color="auto"/>
        <w:bottom w:val="none" w:sz="0" w:space="0" w:color="auto"/>
        <w:right w:val="none" w:sz="0" w:space="0" w:color="auto"/>
      </w:divBdr>
      <w:divsChild>
        <w:div w:id="1813597039">
          <w:marLeft w:val="0"/>
          <w:marRight w:val="0"/>
          <w:marTop w:val="0"/>
          <w:marBottom w:val="0"/>
          <w:divBdr>
            <w:top w:val="none" w:sz="0" w:space="0" w:color="auto"/>
            <w:left w:val="none" w:sz="0" w:space="0" w:color="auto"/>
            <w:bottom w:val="none" w:sz="0" w:space="0" w:color="auto"/>
            <w:right w:val="none" w:sz="0" w:space="0" w:color="auto"/>
          </w:divBdr>
          <w:divsChild>
            <w:div w:id="1567374033">
              <w:marLeft w:val="0"/>
              <w:marRight w:val="0"/>
              <w:marTop w:val="0"/>
              <w:marBottom w:val="0"/>
              <w:divBdr>
                <w:top w:val="none" w:sz="0" w:space="0" w:color="auto"/>
                <w:left w:val="none" w:sz="0" w:space="0" w:color="auto"/>
                <w:bottom w:val="none" w:sz="0" w:space="0" w:color="auto"/>
                <w:right w:val="none" w:sz="0" w:space="0" w:color="auto"/>
              </w:divBdr>
              <w:divsChild>
                <w:div w:id="1039864405">
                  <w:marLeft w:val="0"/>
                  <w:marRight w:val="0"/>
                  <w:marTop w:val="0"/>
                  <w:marBottom w:val="0"/>
                  <w:divBdr>
                    <w:top w:val="none" w:sz="0" w:space="0" w:color="auto"/>
                    <w:left w:val="none" w:sz="0" w:space="0" w:color="auto"/>
                    <w:bottom w:val="none" w:sz="0" w:space="0" w:color="auto"/>
                    <w:right w:val="none" w:sz="0" w:space="0" w:color="auto"/>
                  </w:divBdr>
                  <w:divsChild>
                    <w:div w:id="177801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410875">
      <w:bodyDiv w:val="1"/>
      <w:marLeft w:val="0"/>
      <w:marRight w:val="0"/>
      <w:marTop w:val="0"/>
      <w:marBottom w:val="0"/>
      <w:divBdr>
        <w:top w:val="none" w:sz="0" w:space="0" w:color="auto"/>
        <w:left w:val="none" w:sz="0" w:space="0" w:color="auto"/>
        <w:bottom w:val="none" w:sz="0" w:space="0" w:color="auto"/>
        <w:right w:val="none" w:sz="0" w:space="0" w:color="auto"/>
      </w:divBdr>
    </w:div>
    <w:div w:id="310060842">
      <w:bodyDiv w:val="1"/>
      <w:marLeft w:val="0"/>
      <w:marRight w:val="0"/>
      <w:marTop w:val="0"/>
      <w:marBottom w:val="0"/>
      <w:divBdr>
        <w:top w:val="none" w:sz="0" w:space="0" w:color="auto"/>
        <w:left w:val="none" w:sz="0" w:space="0" w:color="auto"/>
        <w:bottom w:val="none" w:sz="0" w:space="0" w:color="auto"/>
        <w:right w:val="none" w:sz="0" w:space="0" w:color="auto"/>
      </w:divBdr>
    </w:div>
    <w:div w:id="310329722">
      <w:bodyDiv w:val="1"/>
      <w:marLeft w:val="0"/>
      <w:marRight w:val="0"/>
      <w:marTop w:val="0"/>
      <w:marBottom w:val="0"/>
      <w:divBdr>
        <w:top w:val="none" w:sz="0" w:space="0" w:color="auto"/>
        <w:left w:val="none" w:sz="0" w:space="0" w:color="auto"/>
        <w:bottom w:val="none" w:sz="0" w:space="0" w:color="auto"/>
        <w:right w:val="none" w:sz="0" w:space="0" w:color="auto"/>
      </w:divBdr>
      <w:divsChild>
        <w:div w:id="1915819357">
          <w:marLeft w:val="0"/>
          <w:marRight w:val="0"/>
          <w:marTop w:val="0"/>
          <w:marBottom w:val="0"/>
          <w:divBdr>
            <w:top w:val="none" w:sz="0" w:space="0" w:color="auto"/>
            <w:left w:val="none" w:sz="0" w:space="0" w:color="auto"/>
            <w:bottom w:val="none" w:sz="0" w:space="0" w:color="auto"/>
            <w:right w:val="none" w:sz="0" w:space="0" w:color="auto"/>
          </w:divBdr>
          <w:divsChild>
            <w:div w:id="566847258">
              <w:marLeft w:val="0"/>
              <w:marRight w:val="0"/>
              <w:marTop w:val="0"/>
              <w:marBottom w:val="0"/>
              <w:divBdr>
                <w:top w:val="none" w:sz="0" w:space="0" w:color="auto"/>
                <w:left w:val="none" w:sz="0" w:space="0" w:color="auto"/>
                <w:bottom w:val="none" w:sz="0" w:space="0" w:color="auto"/>
                <w:right w:val="none" w:sz="0" w:space="0" w:color="auto"/>
              </w:divBdr>
              <w:divsChild>
                <w:div w:id="11106153">
                  <w:marLeft w:val="0"/>
                  <w:marRight w:val="0"/>
                  <w:marTop w:val="0"/>
                  <w:marBottom w:val="0"/>
                  <w:divBdr>
                    <w:top w:val="none" w:sz="0" w:space="0" w:color="auto"/>
                    <w:left w:val="none" w:sz="0" w:space="0" w:color="auto"/>
                    <w:bottom w:val="none" w:sz="0" w:space="0" w:color="auto"/>
                    <w:right w:val="none" w:sz="0" w:space="0" w:color="auto"/>
                  </w:divBdr>
                  <w:divsChild>
                    <w:div w:id="13922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064122">
      <w:bodyDiv w:val="1"/>
      <w:marLeft w:val="0"/>
      <w:marRight w:val="0"/>
      <w:marTop w:val="0"/>
      <w:marBottom w:val="0"/>
      <w:divBdr>
        <w:top w:val="none" w:sz="0" w:space="0" w:color="auto"/>
        <w:left w:val="none" w:sz="0" w:space="0" w:color="auto"/>
        <w:bottom w:val="none" w:sz="0" w:space="0" w:color="auto"/>
        <w:right w:val="none" w:sz="0" w:space="0" w:color="auto"/>
      </w:divBdr>
    </w:div>
    <w:div w:id="312173955">
      <w:bodyDiv w:val="1"/>
      <w:marLeft w:val="0"/>
      <w:marRight w:val="0"/>
      <w:marTop w:val="0"/>
      <w:marBottom w:val="0"/>
      <w:divBdr>
        <w:top w:val="none" w:sz="0" w:space="0" w:color="auto"/>
        <w:left w:val="none" w:sz="0" w:space="0" w:color="auto"/>
        <w:bottom w:val="none" w:sz="0" w:space="0" w:color="auto"/>
        <w:right w:val="none" w:sz="0" w:space="0" w:color="auto"/>
      </w:divBdr>
    </w:div>
    <w:div w:id="313148965">
      <w:bodyDiv w:val="1"/>
      <w:marLeft w:val="0"/>
      <w:marRight w:val="0"/>
      <w:marTop w:val="0"/>
      <w:marBottom w:val="0"/>
      <w:divBdr>
        <w:top w:val="none" w:sz="0" w:space="0" w:color="auto"/>
        <w:left w:val="none" w:sz="0" w:space="0" w:color="auto"/>
        <w:bottom w:val="none" w:sz="0" w:space="0" w:color="auto"/>
        <w:right w:val="none" w:sz="0" w:space="0" w:color="auto"/>
      </w:divBdr>
      <w:divsChild>
        <w:div w:id="1845125267">
          <w:marLeft w:val="0"/>
          <w:marRight w:val="0"/>
          <w:marTop w:val="0"/>
          <w:marBottom w:val="0"/>
          <w:divBdr>
            <w:top w:val="none" w:sz="0" w:space="0" w:color="auto"/>
            <w:left w:val="none" w:sz="0" w:space="0" w:color="auto"/>
            <w:bottom w:val="none" w:sz="0" w:space="0" w:color="auto"/>
            <w:right w:val="none" w:sz="0" w:space="0" w:color="auto"/>
          </w:divBdr>
          <w:divsChild>
            <w:div w:id="1283726367">
              <w:marLeft w:val="0"/>
              <w:marRight w:val="0"/>
              <w:marTop w:val="0"/>
              <w:marBottom w:val="0"/>
              <w:divBdr>
                <w:top w:val="none" w:sz="0" w:space="0" w:color="auto"/>
                <w:left w:val="none" w:sz="0" w:space="0" w:color="auto"/>
                <w:bottom w:val="none" w:sz="0" w:space="0" w:color="auto"/>
                <w:right w:val="none" w:sz="0" w:space="0" w:color="auto"/>
              </w:divBdr>
              <w:divsChild>
                <w:div w:id="438763552">
                  <w:marLeft w:val="0"/>
                  <w:marRight w:val="0"/>
                  <w:marTop w:val="0"/>
                  <w:marBottom w:val="0"/>
                  <w:divBdr>
                    <w:top w:val="none" w:sz="0" w:space="0" w:color="auto"/>
                    <w:left w:val="none" w:sz="0" w:space="0" w:color="auto"/>
                    <w:bottom w:val="none" w:sz="0" w:space="0" w:color="auto"/>
                    <w:right w:val="none" w:sz="0" w:space="0" w:color="auto"/>
                  </w:divBdr>
                  <w:divsChild>
                    <w:div w:id="3223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338143">
      <w:bodyDiv w:val="1"/>
      <w:marLeft w:val="0"/>
      <w:marRight w:val="0"/>
      <w:marTop w:val="0"/>
      <w:marBottom w:val="0"/>
      <w:divBdr>
        <w:top w:val="none" w:sz="0" w:space="0" w:color="auto"/>
        <w:left w:val="none" w:sz="0" w:space="0" w:color="auto"/>
        <w:bottom w:val="none" w:sz="0" w:space="0" w:color="auto"/>
        <w:right w:val="none" w:sz="0" w:space="0" w:color="auto"/>
      </w:divBdr>
    </w:div>
    <w:div w:id="313339795">
      <w:bodyDiv w:val="1"/>
      <w:marLeft w:val="0"/>
      <w:marRight w:val="0"/>
      <w:marTop w:val="0"/>
      <w:marBottom w:val="0"/>
      <w:divBdr>
        <w:top w:val="none" w:sz="0" w:space="0" w:color="auto"/>
        <w:left w:val="none" w:sz="0" w:space="0" w:color="auto"/>
        <w:bottom w:val="none" w:sz="0" w:space="0" w:color="auto"/>
        <w:right w:val="none" w:sz="0" w:space="0" w:color="auto"/>
      </w:divBdr>
    </w:div>
    <w:div w:id="314070485">
      <w:bodyDiv w:val="1"/>
      <w:marLeft w:val="0"/>
      <w:marRight w:val="0"/>
      <w:marTop w:val="0"/>
      <w:marBottom w:val="0"/>
      <w:divBdr>
        <w:top w:val="none" w:sz="0" w:space="0" w:color="auto"/>
        <w:left w:val="none" w:sz="0" w:space="0" w:color="auto"/>
        <w:bottom w:val="none" w:sz="0" w:space="0" w:color="auto"/>
        <w:right w:val="none" w:sz="0" w:space="0" w:color="auto"/>
      </w:divBdr>
    </w:div>
    <w:div w:id="314454049">
      <w:bodyDiv w:val="1"/>
      <w:marLeft w:val="0"/>
      <w:marRight w:val="0"/>
      <w:marTop w:val="0"/>
      <w:marBottom w:val="0"/>
      <w:divBdr>
        <w:top w:val="none" w:sz="0" w:space="0" w:color="auto"/>
        <w:left w:val="none" w:sz="0" w:space="0" w:color="auto"/>
        <w:bottom w:val="none" w:sz="0" w:space="0" w:color="auto"/>
        <w:right w:val="none" w:sz="0" w:space="0" w:color="auto"/>
      </w:divBdr>
    </w:div>
    <w:div w:id="315110427">
      <w:bodyDiv w:val="1"/>
      <w:marLeft w:val="0"/>
      <w:marRight w:val="0"/>
      <w:marTop w:val="0"/>
      <w:marBottom w:val="0"/>
      <w:divBdr>
        <w:top w:val="none" w:sz="0" w:space="0" w:color="auto"/>
        <w:left w:val="none" w:sz="0" w:space="0" w:color="auto"/>
        <w:bottom w:val="none" w:sz="0" w:space="0" w:color="auto"/>
        <w:right w:val="none" w:sz="0" w:space="0" w:color="auto"/>
      </w:divBdr>
      <w:divsChild>
        <w:div w:id="441263971">
          <w:marLeft w:val="0"/>
          <w:marRight w:val="0"/>
          <w:marTop w:val="0"/>
          <w:marBottom w:val="0"/>
          <w:divBdr>
            <w:top w:val="none" w:sz="0" w:space="0" w:color="auto"/>
            <w:left w:val="none" w:sz="0" w:space="0" w:color="auto"/>
            <w:bottom w:val="none" w:sz="0" w:space="0" w:color="auto"/>
            <w:right w:val="none" w:sz="0" w:space="0" w:color="auto"/>
          </w:divBdr>
          <w:divsChild>
            <w:div w:id="1420104946">
              <w:marLeft w:val="0"/>
              <w:marRight w:val="0"/>
              <w:marTop w:val="0"/>
              <w:marBottom w:val="0"/>
              <w:divBdr>
                <w:top w:val="none" w:sz="0" w:space="0" w:color="auto"/>
                <w:left w:val="none" w:sz="0" w:space="0" w:color="auto"/>
                <w:bottom w:val="none" w:sz="0" w:space="0" w:color="auto"/>
                <w:right w:val="none" w:sz="0" w:space="0" w:color="auto"/>
              </w:divBdr>
              <w:divsChild>
                <w:div w:id="1316253092">
                  <w:marLeft w:val="0"/>
                  <w:marRight w:val="0"/>
                  <w:marTop w:val="0"/>
                  <w:marBottom w:val="0"/>
                  <w:divBdr>
                    <w:top w:val="none" w:sz="0" w:space="0" w:color="auto"/>
                    <w:left w:val="none" w:sz="0" w:space="0" w:color="auto"/>
                    <w:bottom w:val="none" w:sz="0" w:space="0" w:color="auto"/>
                    <w:right w:val="none" w:sz="0" w:space="0" w:color="auto"/>
                  </w:divBdr>
                  <w:divsChild>
                    <w:div w:id="56741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182868">
      <w:bodyDiv w:val="1"/>
      <w:marLeft w:val="0"/>
      <w:marRight w:val="0"/>
      <w:marTop w:val="0"/>
      <w:marBottom w:val="0"/>
      <w:divBdr>
        <w:top w:val="none" w:sz="0" w:space="0" w:color="auto"/>
        <w:left w:val="none" w:sz="0" w:space="0" w:color="auto"/>
        <w:bottom w:val="none" w:sz="0" w:space="0" w:color="auto"/>
        <w:right w:val="none" w:sz="0" w:space="0" w:color="auto"/>
      </w:divBdr>
    </w:div>
    <w:div w:id="315380076">
      <w:bodyDiv w:val="1"/>
      <w:marLeft w:val="0"/>
      <w:marRight w:val="0"/>
      <w:marTop w:val="0"/>
      <w:marBottom w:val="0"/>
      <w:divBdr>
        <w:top w:val="none" w:sz="0" w:space="0" w:color="auto"/>
        <w:left w:val="none" w:sz="0" w:space="0" w:color="auto"/>
        <w:bottom w:val="none" w:sz="0" w:space="0" w:color="auto"/>
        <w:right w:val="none" w:sz="0" w:space="0" w:color="auto"/>
      </w:divBdr>
      <w:divsChild>
        <w:div w:id="766736783">
          <w:marLeft w:val="0"/>
          <w:marRight w:val="0"/>
          <w:marTop w:val="0"/>
          <w:marBottom w:val="0"/>
          <w:divBdr>
            <w:top w:val="none" w:sz="0" w:space="0" w:color="auto"/>
            <w:left w:val="none" w:sz="0" w:space="0" w:color="auto"/>
            <w:bottom w:val="none" w:sz="0" w:space="0" w:color="auto"/>
            <w:right w:val="none" w:sz="0" w:space="0" w:color="auto"/>
          </w:divBdr>
          <w:divsChild>
            <w:div w:id="1318846689">
              <w:marLeft w:val="0"/>
              <w:marRight w:val="0"/>
              <w:marTop w:val="0"/>
              <w:marBottom w:val="0"/>
              <w:divBdr>
                <w:top w:val="none" w:sz="0" w:space="0" w:color="auto"/>
                <w:left w:val="none" w:sz="0" w:space="0" w:color="auto"/>
                <w:bottom w:val="none" w:sz="0" w:space="0" w:color="auto"/>
                <w:right w:val="none" w:sz="0" w:space="0" w:color="auto"/>
              </w:divBdr>
              <w:divsChild>
                <w:div w:id="886988438">
                  <w:marLeft w:val="0"/>
                  <w:marRight w:val="0"/>
                  <w:marTop w:val="0"/>
                  <w:marBottom w:val="0"/>
                  <w:divBdr>
                    <w:top w:val="none" w:sz="0" w:space="0" w:color="auto"/>
                    <w:left w:val="none" w:sz="0" w:space="0" w:color="auto"/>
                    <w:bottom w:val="none" w:sz="0" w:space="0" w:color="auto"/>
                    <w:right w:val="none" w:sz="0" w:space="0" w:color="auto"/>
                  </w:divBdr>
                  <w:divsChild>
                    <w:div w:id="72005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43538">
      <w:bodyDiv w:val="1"/>
      <w:marLeft w:val="0"/>
      <w:marRight w:val="0"/>
      <w:marTop w:val="0"/>
      <w:marBottom w:val="0"/>
      <w:divBdr>
        <w:top w:val="none" w:sz="0" w:space="0" w:color="auto"/>
        <w:left w:val="none" w:sz="0" w:space="0" w:color="auto"/>
        <w:bottom w:val="none" w:sz="0" w:space="0" w:color="auto"/>
        <w:right w:val="none" w:sz="0" w:space="0" w:color="auto"/>
      </w:divBdr>
    </w:div>
    <w:div w:id="315648408">
      <w:bodyDiv w:val="1"/>
      <w:marLeft w:val="0"/>
      <w:marRight w:val="0"/>
      <w:marTop w:val="0"/>
      <w:marBottom w:val="0"/>
      <w:divBdr>
        <w:top w:val="none" w:sz="0" w:space="0" w:color="auto"/>
        <w:left w:val="none" w:sz="0" w:space="0" w:color="auto"/>
        <w:bottom w:val="none" w:sz="0" w:space="0" w:color="auto"/>
        <w:right w:val="none" w:sz="0" w:space="0" w:color="auto"/>
      </w:divBdr>
    </w:div>
    <w:div w:id="315888082">
      <w:bodyDiv w:val="1"/>
      <w:marLeft w:val="0"/>
      <w:marRight w:val="0"/>
      <w:marTop w:val="0"/>
      <w:marBottom w:val="0"/>
      <w:divBdr>
        <w:top w:val="none" w:sz="0" w:space="0" w:color="auto"/>
        <w:left w:val="none" w:sz="0" w:space="0" w:color="auto"/>
        <w:bottom w:val="none" w:sz="0" w:space="0" w:color="auto"/>
        <w:right w:val="none" w:sz="0" w:space="0" w:color="auto"/>
      </w:divBdr>
    </w:div>
    <w:div w:id="316036027">
      <w:bodyDiv w:val="1"/>
      <w:marLeft w:val="0"/>
      <w:marRight w:val="0"/>
      <w:marTop w:val="0"/>
      <w:marBottom w:val="0"/>
      <w:divBdr>
        <w:top w:val="none" w:sz="0" w:space="0" w:color="auto"/>
        <w:left w:val="none" w:sz="0" w:space="0" w:color="auto"/>
        <w:bottom w:val="none" w:sz="0" w:space="0" w:color="auto"/>
        <w:right w:val="none" w:sz="0" w:space="0" w:color="auto"/>
      </w:divBdr>
      <w:divsChild>
        <w:div w:id="436488991">
          <w:marLeft w:val="0"/>
          <w:marRight w:val="0"/>
          <w:marTop w:val="0"/>
          <w:marBottom w:val="0"/>
          <w:divBdr>
            <w:top w:val="none" w:sz="0" w:space="0" w:color="auto"/>
            <w:left w:val="none" w:sz="0" w:space="0" w:color="auto"/>
            <w:bottom w:val="none" w:sz="0" w:space="0" w:color="auto"/>
            <w:right w:val="none" w:sz="0" w:space="0" w:color="auto"/>
          </w:divBdr>
          <w:divsChild>
            <w:div w:id="395662896">
              <w:marLeft w:val="0"/>
              <w:marRight w:val="0"/>
              <w:marTop w:val="0"/>
              <w:marBottom w:val="0"/>
              <w:divBdr>
                <w:top w:val="none" w:sz="0" w:space="0" w:color="auto"/>
                <w:left w:val="none" w:sz="0" w:space="0" w:color="auto"/>
                <w:bottom w:val="none" w:sz="0" w:space="0" w:color="auto"/>
                <w:right w:val="none" w:sz="0" w:space="0" w:color="auto"/>
              </w:divBdr>
              <w:divsChild>
                <w:div w:id="765540947">
                  <w:marLeft w:val="0"/>
                  <w:marRight w:val="0"/>
                  <w:marTop w:val="0"/>
                  <w:marBottom w:val="0"/>
                  <w:divBdr>
                    <w:top w:val="none" w:sz="0" w:space="0" w:color="auto"/>
                    <w:left w:val="none" w:sz="0" w:space="0" w:color="auto"/>
                    <w:bottom w:val="none" w:sz="0" w:space="0" w:color="auto"/>
                    <w:right w:val="none" w:sz="0" w:space="0" w:color="auto"/>
                  </w:divBdr>
                  <w:divsChild>
                    <w:div w:id="54926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735355">
      <w:bodyDiv w:val="1"/>
      <w:marLeft w:val="0"/>
      <w:marRight w:val="0"/>
      <w:marTop w:val="0"/>
      <w:marBottom w:val="0"/>
      <w:divBdr>
        <w:top w:val="none" w:sz="0" w:space="0" w:color="auto"/>
        <w:left w:val="none" w:sz="0" w:space="0" w:color="auto"/>
        <w:bottom w:val="none" w:sz="0" w:space="0" w:color="auto"/>
        <w:right w:val="none" w:sz="0" w:space="0" w:color="auto"/>
      </w:divBdr>
    </w:div>
    <w:div w:id="317852470">
      <w:bodyDiv w:val="1"/>
      <w:marLeft w:val="0"/>
      <w:marRight w:val="0"/>
      <w:marTop w:val="0"/>
      <w:marBottom w:val="0"/>
      <w:divBdr>
        <w:top w:val="none" w:sz="0" w:space="0" w:color="auto"/>
        <w:left w:val="none" w:sz="0" w:space="0" w:color="auto"/>
        <w:bottom w:val="none" w:sz="0" w:space="0" w:color="auto"/>
        <w:right w:val="none" w:sz="0" w:space="0" w:color="auto"/>
      </w:divBdr>
      <w:divsChild>
        <w:div w:id="418719447">
          <w:marLeft w:val="0"/>
          <w:marRight w:val="0"/>
          <w:marTop w:val="0"/>
          <w:marBottom w:val="0"/>
          <w:divBdr>
            <w:top w:val="none" w:sz="0" w:space="0" w:color="auto"/>
            <w:left w:val="none" w:sz="0" w:space="0" w:color="auto"/>
            <w:bottom w:val="none" w:sz="0" w:space="0" w:color="auto"/>
            <w:right w:val="none" w:sz="0" w:space="0" w:color="auto"/>
          </w:divBdr>
          <w:divsChild>
            <w:div w:id="57901009">
              <w:marLeft w:val="0"/>
              <w:marRight w:val="0"/>
              <w:marTop w:val="0"/>
              <w:marBottom w:val="0"/>
              <w:divBdr>
                <w:top w:val="none" w:sz="0" w:space="0" w:color="auto"/>
                <w:left w:val="none" w:sz="0" w:space="0" w:color="auto"/>
                <w:bottom w:val="none" w:sz="0" w:space="0" w:color="auto"/>
                <w:right w:val="none" w:sz="0" w:space="0" w:color="auto"/>
              </w:divBdr>
              <w:divsChild>
                <w:div w:id="268244560">
                  <w:marLeft w:val="0"/>
                  <w:marRight w:val="0"/>
                  <w:marTop w:val="0"/>
                  <w:marBottom w:val="0"/>
                  <w:divBdr>
                    <w:top w:val="none" w:sz="0" w:space="0" w:color="auto"/>
                    <w:left w:val="none" w:sz="0" w:space="0" w:color="auto"/>
                    <w:bottom w:val="none" w:sz="0" w:space="0" w:color="auto"/>
                    <w:right w:val="none" w:sz="0" w:space="0" w:color="auto"/>
                  </w:divBdr>
                  <w:divsChild>
                    <w:div w:id="154167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425835">
      <w:bodyDiv w:val="1"/>
      <w:marLeft w:val="0"/>
      <w:marRight w:val="0"/>
      <w:marTop w:val="0"/>
      <w:marBottom w:val="0"/>
      <w:divBdr>
        <w:top w:val="none" w:sz="0" w:space="0" w:color="auto"/>
        <w:left w:val="none" w:sz="0" w:space="0" w:color="auto"/>
        <w:bottom w:val="none" w:sz="0" w:space="0" w:color="auto"/>
        <w:right w:val="none" w:sz="0" w:space="0" w:color="auto"/>
      </w:divBdr>
    </w:div>
    <w:div w:id="319694348">
      <w:bodyDiv w:val="1"/>
      <w:marLeft w:val="0"/>
      <w:marRight w:val="0"/>
      <w:marTop w:val="0"/>
      <w:marBottom w:val="0"/>
      <w:divBdr>
        <w:top w:val="none" w:sz="0" w:space="0" w:color="auto"/>
        <w:left w:val="none" w:sz="0" w:space="0" w:color="auto"/>
        <w:bottom w:val="none" w:sz="0" w:space="0" w:color="auto"/>
        <w:right w:val="none" w:sz="0" w:space="0" w:color="auto"/>
      </w:divBdr>
      <w:divsChild>
        <w:div w:id="942112073">
          <w:marLeft w:val="0"/>
          <w:marRight w:val="0"/>
          <w:marTop w:val="0"/>
          <w:marBottom w:val="0"/>
          <w:divBdr>
            <w:top w:val="none" w:sz="0" w:space="0" w:color="auto"/>
            <w:left w:val="none" w:sz="0" w:space="0" w:color="auto"/>
            <w:bottom w:val="none" w:sz="0" w:space="0" w:color="auto"/>
            <w:right w:val="none" w:sz="0" w:space="0" w:color="auto"/>
          </w:divBdr>
          <w:divsChild>
            <w:div w:id="373507266">
              <w:marLeft w:val="0"/>
              <w:marRight w:val="0"/>
              <w:marTop w:val="0"/>
              <w:marBottom w:val="0"/>
              <w:divBdr>
                <w:top w:val="none" w:sz="0" w:space="0" w:color="auto"/>
                <w:left w:val="none" w:sz="0" w:space="0" w:color="auto"/>
                <w:bottom w:val="none" w:sz="0" w:space="0" w:color="auto"/>
                <w:right w:val="none" w:sz="0" w:space="0" w:color="auto"/>
              </w:divBdr>
              <w:divsChild>
                <w:div w:id="1728530885">
                  <w:marLeft w:val="0"/>
                  <w:marRight w:val="0"/>
                  <w:marTop w:val="0"/>
                  <w:marBottom w:val="0"/>
                  <w:divBdr>
                    <w:top w:val="none" w:sz="0" w:space="0" w:color="auto"/>
                    <w:left w:val="none" w:sz="0" w:space="0" w:color="auto"/>
                    <w:bottom w:val="none" w:sz="0" w:space="0" w:color="auto"/>
                    <w:right w:val="none" w:sz="0" w:space="0" w:color="auto"/>
                  </w:divBdr>
                </w:div>
              </w:divsChild>
            </w:div>
            <w:div w:id="469979328">
              <w:marLeft w:val="0"/>
              <w:marRight w:val="0"/>
              <w:marTop w:val="0"/>
              <w:marBottom w:val="0"/>
              <w:divBdr>
                <w:top w:val="none" w:sz="0" w:space="0" w:color="auto"/>
                <w:left w:val="none" w:sz="0" w:space="0" w:color="auto"/>
                <w:bottom w:val="none" w:sz="0" w:space="0" w:color="auto"/>
                <w:right w:val="none" w:sz="0" w:space="0" w:color="auto"/>
              </w:divBdr>
              <w:divsChild>
                <w:div w:id="225651636">
                  <w:marLeft w:val="0"/>
                  <w:marRight w:val="0"/>
                  <w:marTop w:val="0"/>
                  <w:marBottom w:val="0"/>
                  <w:divBdr>
                    <w:top w:val="none" w:sz="0" w:space="0" w:color="auto"/>
                    <w:left w:val="none" w:sz="0" w:space="0" w:color="auto"/>
                    <w:bottom w:val="none" w:sz="0" w:space="0" w:color="auto"/>
                    <w:right w:val="none" w:sz="0" w:space="0" w:color="auto"/>
                  </w:divBdr>
                </w:div>
              </w:divsChild>
            </w:div>
            <w:div w:id="578490605">
              <w:marLeft w:val="0"/>
              <w:marRight w:val="0"/>
              <w:marTop w:val="0"/>
              <w:marBottom w:val="0"/>
              <w:divBdr>
                <w:top w:val="none" w:sz="0" w:space="0" w:color="auto"/>
                <w:left w:val="none" w:sz="0" w:space="0" w:color="auto"/>
                <w:bottom w:val="none" w:sz="0" w:space="0" w:color="auto"/>
                <w:right w:val="none" w:sz="0" w:space="0" w:color="auto"/>
              </w:divBdr>
              <w:divsChild>
                <w:div w:id="1723559384">
                  <w:marLeft w:val="0"/>
                  <w:marRight w:val="0"/>
                  <w:marTop w:val="0"/>
                  <w:marBottom w:val="0"/>
                  <w:divBdr>
                    <w:top w:val="none" w:sz="0" w:space="0" w:color="auto"/>
                    <w:left w:val="none" w:sz="0" w:space="0" w:color="auto"/>
                    <w:bottom w:val="none" w:sz="0" w:space="0" w:color="auto"/>
                    <w:right w:val="none" w:sz="0" w:space="0" w:color="auto"/>
                  </w:divBdr>
                </w:div>
              </w:divsChild>
            </w:div>
            <w:div w:id="624896730">
              <w:marLeft w:val="0"/>
              <w:marRight w:val="0"/>
              <w:marTop w:val="0"/>
              <w:marBottom w:val="0"/>
              <w:divBdr>
                <w:top w:val="none" w:sz="0" w:space="0" w:color="auto"/>
                <w:left w:val="none" w:sz="0" w:space="0" w:color="auto"/>
                <w:bottom w:val="none" w:sz="0" w:space="0" w:color="auto"/>
                <w:right w:val="none" w:sz="0" w:space="0" w:color="auto"/>
              </w:divBdr>
              <w:divsChild>
                <w:div w:id="1805924887">
                  <w:marLeft w:val="0"/>
                  <w:marRight w:val="0"/>
                  <w:marTop w:val="0"/>
                  <w:marBottom w:val="0"/>
                  <w:divBdr>
                    <w:top w:val="none" w:sz="0" w:space="0" w:color="auto"/>
                    <w:left w:val="none" w:sz="0" w:space="0" w:color="auto"/>
                    <w:bottom w:val="none" w:sz="0" w:space="0" w:color="auto"/>
                    <w:right w:val="none" w:sz="0" w:space="0" w:color="auto"/>
                  </w:divBdr>
                </w:div>
              </w:divsChild>
            </w:div>
            <w:div w:id="797261212">
              <w:marLeft w:val="0"/>
              <w:marRight w:val="0"/>
              <w:marTop w:val="0"/>
              <w:marBottom w:val="0"/>
              <w:divBdr>
                <w:top w:val="none" w:sz="0" w:space="0" w:color="auto"/>
                <w:left w:val="none" w:sz="0" w:space="0" w:color="auto"/>
                <w:bottom w:val="none" w:sz="0" w:space="0" w:color="auto"/>
                <w:right w:val="none" w:sz="0" w:space="0" w:color="auto"/>
              </w:divBdr>
              <w:divsChild>
                <w:div w:id="1555238641">
                  <w:marLeft w:val="0"/>
                  <w:marRight w:val="0"/>
                  <w:marTop w:val="0"/>
                  <w:marBottom w:val="0"/>
                  <w:divBdr>
                    <w:top w:val="none" w:sz="0" w:space="0" w:color="auto"/>
                    <w:left w:val="none" w:sz="0" w:space="0" w:color="auto"/>
                    <w:bottom w:val="none" w:sz="0" w:space="0" w:color="auto"/>
                    <w:right w:val="none" w:sz="0" w:space="0" w:color="auto"/>
                  </w:divBdr>
                </w:div>
              </w:divsChild>
            </w:div>
            <w:div w:id="840660533">
              <w:marLeft w:val="0"/>
              <w:marRight w:val="0"/>
              <w:marTop w:val="0"/>
              <w:marBottom w:val="0"/>
              <w:divBdr>
                <w:top w:val="none" w:sz="0" w:space="0" w:color="auto"/>
                <w:left w:val="none" w:sz="0" w:space="0" w:color="auto"/>
                <w:bottom w:val="none" w:sz="0" w:space="0" w:color="auto"/>
                <w:right w:val="none" w:sz="0" w:space="0" w:color="auto"/>
              </w:divBdr>
              <w:divsChild>
                <w:div w:id="1448312535">
                  <w:marLeft w:val="0"/>
                  <w:marRight w:val="0"/>
                  <w:marTop w:val="0"/>
                  <w:marBottom w:val="0"/>
                  <w:divBdr>
                    <w:top w:val="none" w:sz="0" w:space="0" w:color="auto"/>
                    <w:left w:val="none" w:sz="0" w:space="0" w:color="auto"/>
                    <w:bottom w:val="none" w:sz="0" w:space="0" w:color="auto"/>
                    <w:right w:val="none" w:sz="0" w:space="0" w:color="auto"/>
                  </w:divBdr>
                </w:div>
              </w:divsChild>
            </w:div>
            <w:div w:id="938029359">
              <w:marLeft w:val="0"/>
              <w:marRight w:val="0"/>
              <w:marTop w:val="0"/>
              <w:marBottom w:val="0"/>
              <w:divBdr>
                <w:top w:val="none" w:sz="0" w:space="0" w:color="auto"/>
                <w:left w:val="none" w:sz="0" w:space="0" w:color="auto"/>
                <w:bottom w:val="none" w:sz="0" w:space="0" w:color="auto"/>
                <w:right w:val="none" w:sz="0" w:space="0" w:color="auto"/>
              </w:divBdr>
              <w:divsChild>
                <w:div w:id="256866984">
                  <w:marLeft w:val="0"/>
                  <w:marRight w:val="0"/>
                  <w:marTop w:val="0"/>
                  <w:marBottom w:val="0"/>
                  <w:divBdr>
                    <w:top w:val="none" w:sz="0" w:space="0" w:color="auto"/>
                    <w:left w:val="none" w:sz="0" w:space="0" w:color="auto"/>
                    <w:bottom w:val="none" w:sz="0" w:space="0" w:color="auto"/>
                    <w:right w:val="none" w:sz="0" w:space="0" w:color="auto"/>
                  </w:divBdr>
                </w:div>
              </w:divsChild>
            </w:div>
            <w:div w:id="948121940">
              <w:marLeft w:val="0"/>
              <w:marRight w:val="0"/>
              <w:marTop w:val="0"/>
              <w:marBottom w:val="0"/>
              <w:divBdr>
                <w:top w:val="none" w:sz="0" w:space="0" w:color="auto"/>
                <w:left w:val="none" w:sz="0" w:space="0" w:color="auto"/>
                <w:bottom w:val="none" w:sz="0" w:space="0" w:color="auto"/>
                <w:right w:val="none" w:sz="0" w:space="0" w:color="auto"/>
              </w:divBdr>
              <w:divsChild>
                <w:div w:id="1890410037">
                  <w:marLeft w:val="0"/>
                  <w:marRight w:val="0"/>
                  <w:marTop w:val="0"/>
                  <w:marBottom w:val="0"/>
                  <w:divBdr>
                    <w:top w:val="none" w:sz="0" w:space="0" w:color="auto"/>
                    <w:left w:val="none" w:sz="0" w:space="0" w:color="auto"/>
                    <w:bottom w:val="none" w:sz="0" w:space="0" w:color="auto"/>
                    <w:right w:val="none" w:sz="0" w:space="0" w:color="auto"/>
                  </w:divBdr>
                </w:div>
              </w:divsChild>
            </w:div>
            <w:div w:id="1084496540">
              <w:marLeft w:val="0"/>
              <w:marRight w:val="0"/>
              <w:marTop w:val="0"/>
              <w:marBottom w:val="0"/>
              <w:divBdr>
                <w:top w:val="none" w:sz="0" w:space="0" w:color="auto"/>
                <w:left w:val="none" w:sz="0" w:space="0" w:color="auto"/>
                <w:bottom w:val="none" w:sz="0" w:space="0" w:color="auto"/>
                <w:right w:val="none" w:sz="0" w:space="0" w:color="auto"/>
              </w:divBdr>
              <w:divsChild>
                <w:div w:id="1048606029">
                  <w:marLeft w:val="0"/>
                  <w:marRight w:val="0"/>
                  <w:marTop w:val="0"/>
                  <w:marBottom w:val="0"/>
                  <w:divBdr>
                    <w:top w:val="none" w:sz="0" w:space="0" w:color="auto"/>
                    <w:left w:val="none" w:sz="0" w:space="0" w:color="auto"/>
                    <w:bottom w:val="none" w:sz="0" w:space="0" w:color="auto"/>
                    <w:right w:val="none" w:sz="0" w:space="0" w:color="auto"/>
                  </w:divBdr>
                </w:div>
              </w:divsChild>
            </w:div>
            <w:div w:id="1157959179">
              <w:marLeft w:val="0"/>
              <w:marRight w:val="0"/>
              <w:marTop w:val="0"/>
              <w:marBottom w:val="0"/>
              <w:divBdr>
                <w:top w:val="none" w:sz="0" w:space="0" w:color="auto"/>
                <w:left w:val="none" w:sz="0" w:space="0" w:color="auto"/>
                <w:bottom w:val="none" w:sz="0" w:space="0" w:color="auto"/>
                <w:right w:val="none" w:sz="0" w:space="0" w:color="auto"/>
              </w:divBdr>
              <w:divsChild>
                <w:div w:id="41757891">
                  <w:marLeft w:val="0"/>
                  <w:marRight w:val="0"/>
                  <w:marTop w:val="0"/>
                  <w:marBottom w:val="0"/>
                  <w:divBdr>
                    <w:top w:val="none" w:sz="0" w:space="0" w:color="auto"/>
                    <w:left w:val="none" w:sz="0" w:space="0" w:color="auto"/>
                    <w:bottom w:val="none" w:sz="0" w:space="0" w:color="auto"/>
                    <w:right w:val="none" w:sz="0" w:space="0" w:color="auto"/>
                  </w:divBdr>
                </w:div>
              </w:divsChild>
            </w:div>
            <w:div w:id="1246652158">
              <w:marLeft w:val="0"/>
              <w:marRight w:val="0"/>
              <w:marTop w:val="0"/>
              <w:marBottom w:val="0"/>
              <w:divBdr>
                <w:top w:val="none" w:sz="0" w:space="0" w:color="auto"/>
                <w:left w:val="none" w:sz="0" w:space="0" w:color="auto"/>
                <w:bottom w:val="none" w:sz="0" w:space="0" w:color="auto"/>
                <w:right w:val="none" w:sz="0" w:space="0" w:color="auto"/>
              </w:divBdr>
              <w:divsChild>
                <w:div w:id="768619052">
                  <w:marLeft w:val="0"/>
                  <w:marRight w:val="0"/>
                  <w:marTop w:val="0"/>
                  <w:marBottom w:val="0"/>
                  <w:divBdr>
                    <w:top w:val="none" w:sz="0" w:space="0" w:color="auto"/>
                    <w:left w:val="none" w:sz="0" w:space="0" w:color="auto"/>
                    <w:bottom w:val="none" w:sz="0" w:space="0" w:color="auto"/>
                    <w:right w:val="none" w:sz="0" w:space="0" w:color="auto"/>
                  </w:divBdr>
                </w:div>
              </w:divsChild>
            </w:div>
            <w:div w:id="1548756329">
              <w:marLeft w:val="0"/>
              <w:marRight w:val="0"/>
              <w:marTop w:val="0"/>
              <w:marBottom w:val="0"/>
              <w:divBdr>
                <w:top w:val="none" w:sz="0" w:space="0" w:color="auto"/>
                <w:left w:val="none" w:sz="0" w:space="0" w:color="auto"/>
                <w:bottom w:val="none" w:sz="0" w:space="0" w:color="auto"/>
                <w:right w:val="none" w:sz="0" w:space="0" w:color="auto"/>
              </w:divBdr>
              <w:divsChild>
                <w:div w:id="1779521351">
                  <w:marLeft w:val="0"/>
                  <w:marRight w:val="0"/>
                  <w:marTop w:val="0"/>
                  <w:marBottom w:val="0"/>
                  <w:divBdr>
                    <w:top w:val="none" w:sz="0" w:space="0" w:color="auto"/>
                    <w:left w:val="none" w:sz="0" w:space="0" w:color="auto"/>
                    <w:bottom w:val="none" w:sz="0" w:space="0" w:color="auto"/>
                    <w:right w:val="none" w:sz="0" w:space="0" w:color="auto"/>
                  </w:divBdr>
                </w:div>
              </w:divsChild>
            </w:div>
            <w:div w:id="1593318145">
              <w:marLeft w:val="0"/>
              <w:marRight w:val="0"/>
              <w:marTop w:val="0"/>
              <w:marBottom w:val="0"/>
              <w:divBdr>
                <w:top w:val="none" w:sz="0" w:space="0" w:color="auto"/>
                <w:left w:val="none" w:sz="0" w:space="0" w:color="auto"/>
                <w:bottom w:val="none" w:sz="0" w:space="0" w:color="auto"/>
                <w:right w:val="none" w:sz="0" w:space="0" w:color="auto"/>
              </w:divBdr>
              <w:divsChild>
                <w:div w:id="419715227">
                  <w:marLeft w:val="0"/>
                  <w:marRight w:val="0"/>
                  <w:marTop w:val="0"/>
                  <w:marBottom w:val="0"/>
                  <w:divBdr>
                    <w:top w:val="none" w:sz="0" w:space="0" w:color="auto"/>
                    <w:left w:val="none" w:sz="0" w:space="0" w:color="auto"/>
                    <w:bottom w:val="none" w:sz="0" w:space="0" w:color="auto"/>
                    <w:right w:val="none" w:sz="0" w:space="0" w:color="auto"/>
                  </w:divBdr>
                </w:div>
              </w:divsChild>
            </w:div>
            <w:div w:id="1757439070">
              <w:marLeft w:val="0"/>
              <w:marRight w:val="0"/>
              <w:marTop w:val="0"/>
              <w:marBottom w:val="0"/>
              <w:divBdr>
                <w:top w:val="none" w:sz="0" w:space="0" w:color="auto"/>
                <w:left w:val="none" w:sz="0" w:space="0" w:color="auto"/>
                <w:bottom w:val="none" w:sz="0" w:space="0" w:color="auto"/>
                <w:right w:val="none" w:sz="0" w:space="0" w:color="auto"/>
              </w:divBdr>
              <w:divsChild>
                <w:div w:id="912470459">
                  <w:marLeft w:val="0"/>
                  <w:marRight w:val="0"/>
                  <w:marTop w:val="0"/>
                  <w:marBottom w:val="0"/>
                  <w:divBdr>
                    <w:top w:val="none" w:sz="0" w:space="0" w:color="auto"/>
                    <w:left w:val="none" w:sz="0" w:space="0" w:color="auto"/>
                    <w:bottom w:val="none" w:sz="0" w:space="0" w:color="auto"/>
                    <w:right w:val="none" w:sz="0" w:space="0" w:color="auto"/>
                  </w:divBdr>
                </w:div>
              </w:divsChild>
            </w:div>
            <w:div w:id="1846940580">
              <w:marLeft w:val="0"/>
              <w:marRight w:val="0"/>
              <w:marTop w:val="0"/>
              <w:marBottom w:val="0"/>
              <w:divBdr>
                <w:top w:val="none" w:sz="0" w:space="0" w:color="auto"/>
                <w:left w:val="none" w:sz="0" w:space="0" w:color="auto"/>
                <w:bottom w:val="none" w:sz="0" w:space="0" w:color="auto"/>
                <w:right w:val="none" w:sz="0" w:space="0" w:color="auto"/>
              </w:divBdr>
              <w:divsChild>
                <w:div w:id="989795576">
                  <w:marLeft w:val="0"/>
                  <w:marRight w:val="0"/>
                  <w:marTop w:val="0"/>
                  <w:marBottom w:val="0"/>
                  <w:divBdr>
                    <w:top w:val="none" w:sz="0" w:space="0" w:color="auto"/>
                    <w:left w:val="none" w:sz="0" w:space="0" w:color="auto"/>
                    <w:bottom w:val="none" w:sz="0" w:space="0" w:color="auto"/>
                    <w:right w:val="none" w:sz="0" w:space="0" w:color="auto"/>
                  </w:divBdr>
                </w:div>
              </w:divsChild>
            </w:div>
            <w:div w:id="1945335108">
              <w:marLeft w:val="0"/>
              <w:marRight w:val="0"/>
              <w:marTop w:val="0"/>
              <w:marBottom w:val="0"/>
              <w:divBdr>
                <w:top w:val="none" w:sz="0" w:space="0" w:color="auto"/>
                <w:left w:val="none" w:sz="0" w:space="0" w:color="auto"/>
                <w:bottom w:val="none" w:sz="0" w:space="0" w:color="auto"/>
                <w:right w:val="none" w:sz="0" w:space="0" w:color="auto"/>
              </w:divBdr>
              <w:divsChild>
                <w:div w:id="194480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968824">
      <w:bodyDiv w:val="1"/>
      <w:marLeft w:val="0"/>
      <w:marRight w:val="0"/>
      <w:marTop w:val="0"/>
      <w:marBottom w:val="0"/>
      <w:divBdr>
        <w:top w:val="none" w:sz="0" w:space="0" w:color="auto"/>
        <w:left w:val="none" w:sz="0" w:space="0" w:color="auto"/>
        <w:bottom w:val="none" w:sz="0" w:space="0" w:color="auto"/>
        <w:right w:val="none" w:sz="0" w:space="0" w:color="auto"/>
      </w:divBdr>
    </w:div>
    <w:div w:id="320038421">
      <w:bodyDiv w:val="1"/>
      <w:marLeft w:val="0"/>
      <w:marRight w:val="0"/>
      <w:marTop w:val="0"/>
      <w:marBottom w:val="0"/>
      <w:divBdr>
        <w:top w:val="none" w:sz="0" w:space="0" w:color="auto"/>
        <w:left w:val="none" w:sz="0" w:space="0" w:color="auto"/>
        <w:bottom w:val="none" w:sz="0" w:space="0" w:color="auto"/>
        <w:right w:val="none" w:sz="0" w:space="0" w:color="auto"/>
      </w:divBdr>
    </w:div>
    <w:div w:id="321009967">
      <w:bodyDiv w:val="1"/>
      <w:marLeft w:val="0"/>
      <w:marRight w:val="0"/>
      <w:marTop w:val="0"/>
      <w:marBottom w:val="0"/>
      <w:divBdr>
        <w:top w:val="none" w:sz="0" w:space="0" w:color="auto"/>
        <w:left w:val="none" w:sz="0" w:space="0" w:color="auto"/>
        <w:bottom w:val="none" w:sz="0" w:space="0" w:color="auto"/>
        <w:right w:val="none" w:sz="0" w:space="0" w:color="auto"/>
      </w:divBdr>
      <w:divsChild>
        <w:div w:id="532503519">
          <w:marLeft w:val="0"/>
          <w:marRight w:val="0"/>
          <w:marTop w:val="0"/>
          <w:marBottom w:val="0"/>
          <w:divBdr>
            <w:top w:val="none" w:sz="0" w:space="0" w:color="auto"/>
            <w:left w:val="none" w:sz="0" w:space="0" w:color="auto"/>
            <w:bottom w:val="none" w:sz="0" w:space="0" w:color="auto"/>
            <w:right w:val="none" w:sz="0" w:space="0" w:color="auto"/>
          </w:divBdr>
          <w:divsChild>
            <w:div w:id="1929074525">
              <w:marLeft w:val="0"/>
              <w:marRight w:val="0"/>
              <w:marTop w:val="0"/>
              <w:marBottom w:val="0"/>
              <w:divBdr>
                <w:top w:val="none" w:sz="0" w:space="0" w:color="auto"/>
                <w:left w:val="none" w:sz="0" w:space="0" w:color="auto"/>
                <w:bottom w:val="none" w:sz="0" w:space="0" w:color="auto"/>
                <w:right w:val="none" w:sz="0" w:space="0" w:color="auto"/>
              </w:divBdr>
              <w:divsChild>
                <w:div w:id="990136641">
                  <w:marLeft w:val="0"/>
                  <w:marRight w:val="0"/>
                  <w:marTop w:val="0"/>
                  <w:marBottom w:val="0"/>
                  <w:divBdr>
                    <w:top w:val="none" w:sz="0" w:space="0" w:color="auto"/>
                    <w:left w:val="none" w:sz="0" w:space="0" w:color="auto"/>
                    <w:bottom w:val="none" w:sz="0" w:space="0" w:color="auto"/>
                    <w:right w:val="none" w:sz="0" w:space="0" w:color="auto"/>
                  </w:divBdr>
                  <w:divsChild>
                    <w:div w:id="147405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353448">
      <w:bodyDiv w:val="1"/>
      <w:marLeft w:val="0"/>
      <w:marRight w:val="0"/>
      <w:marTop w:val="0"/>
      <w:marBottom w:val="0"/>
      <w:divBdr>
        <w:top w:val="none" w:sz="0" w:space="0" w:color="auto"/>
        <w:left w:val="none" w:sz="0" w:space="0" w:color="auto"/>
        <w:bottom w:val="none" w:sz="0" w:space="0" w:color="auto"/>
        <w:right w:val="none" w:sz="0" w:space="0" w:color="auto"/>
      </w:divBdr>
      <w:divsChild>
        <w:div w:id="1079252347">
          <w:marLeft w:val="0"/>
          <w:marRight w:val="0"/>
          <w:marTop w:val="0"/>
          <w:marBottom w:val="0"/>
          <w:divBdr>
            <w:top w:val="none" w:sz="0" w:space="0" w:color="auto"/>
            <w:left w:val="none" w:sz="0" w:space="0" w:color="auto"/>
            <w:bottom w:val="none" w:sz="0" w:space="0" w:color="auto"/>
            <w:right w:val="none" w:sz="0" w:space="0" w:color="auto"/>
          </w:divBdr>
          <w:divsChild>
            <w:div w:id="1671448502">
              <w:marLeft w:val="0"/>
              <w:marRight w:val="0"/>
              <w:marTop w:val="0"/>
              <w:marBottom w:val="0"/>
              <w:divBdr>
                <w:top w:val="none" w:sz="0" w:space="0" w:color="auto"/>
                <w:left w:val="none" w:sz="0" w:space="0" w:color="auto"/>
                <w:bottom w:val="none" w:sz="0" w:space="0" w:color="auto"/>
                <w:right w:val="none" w:sz="0" w:space="0" w:color="auto"/>
              </w:divBdr>
              <w:divsChild>
                <w:div w:id="29381594">
                  <w:marLeft w:val="0"/>
                  <w:marRight w:val="0"/>
                  <w:marTop w:val="0"/>
                  <w:marBottom w:val="0"/>
                  <w:divBdr>
                    <w:top w:val="none" w:sz="0" w:space="0" w:color="auto"/>
                    <w:left w:val="none" w:sz="0" w:space="0" w:color="auto"/>
                    <w:bottom w:val="none" w:sz="0" w:space="0" w:color="auto"/>
                    <w:right w:val="none" w:sz="0" w:space="0" w:color="auto"/>
                  </w:divBdr>
                  <w:divsChild>
                    <w:div w:id="30312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738243">
      <w:bodyDiv w:val="1"/>
      <w:marLeft w:val="0"/>
      <w:marRight w:val="0"/>
      <w:marTop w:val="0"/>
      <w:marBottom w:val="0"/>
      <w:divBdr>
        <w:top w:val="none" w:sz="0" w:space="0" w:color="auto"/>
        <w:left w:val="none" w:sz="0" w:space="0" w:color="auto"/>
        <w:bottom w:val="none" w:sz="0" w:space="0" w:color="auto"/>
        <w:right w:val="none" w:sz="0" w:space="0" w:color="auto"/>
      </w:divBdr>
      <w:divsChild>
        <w:div w:id="439959297">
          <w:marLeft w:val="0"/>
          <w:marRight w:val="0"/>
          <w:marTop w:val="0"/>
          <w:marBottom w:val="0"/>
          <w:divBdr>
            <w:top w:val="none" w:sz="0" w:space="0" w:color="auto"/>
            <w:left w:val="none" w:sz="0" w:space="0" w:color="auto"/>
            <w:bottom w:val="none" w:sz="0" w:space="0" w:color="auto"/>
            <w:right w:val="none" w:sz="0" w:space="0" w:color="auto"/>
          </w:divBdr>
          <w:divsChild>
            <w:div w:id="553541536">
              <w:marLeft w:val="0"/>
              <w:marRight w:val="0"/>
              <w:marTop w:val="0"/>
              <w:marBottom w:val="0"/>
              <w:divBdr>
                <w:top w:val="none" w:sz="0" w:space="0" w:color="auto"/>
                <w:left w:val="none" w:sz="0" w:space="0" w:color="auto"/>
                <w:bottom w:val="none" w:sz="0" w:space="0" w:color="auto"/>
                <w:right w:val="none" w:sz="0" w:space="0" w:color="auto"/>
              </w:divBdr>
              <w:divsChild>
                <w:div w:id="202403158">
                  <w:marLeft w:val="0"/>
                  <w:marRight w:val="0"/>
                  <w:marTop w:val="0"/>
                  <w:marBottom w:val="0"/>
                  <w:divBdr>
                    <w:top w:val="none" w:sz="0" w:space="0" w:color="auto"/>
                    <w:left w:val="none" w:sz="0" w:space="0" w:color="auto"/>
                    <w:bottom w:val="none" w:sz="0" w:space="0" w:color="auto"/>
                    <w:right w:val="none" w:sz="0" w:space="0" w:color="auto"/>
                  </w:divBdr>
                  <w:divsChild>
                    <w:div w:id="17348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814524">
      <w:bodyDiv w:val="1"/>
      <w:marLeft w:val="0"/>
      <w:marRight w:val="0"/>
      <w:marTop w:val="0"/>
      <w:marBottom w:val="0"/>
      <w:divBdr>
        <w:top w:val="none" w:sz="0" w:space="0" w:color="auto"/>
        <w:left w:val="none" w:sz="0" w:space="0" w:color="auto"/>
        <w:bottom w:val="none" w:sz="0" w:space="0" w:color="auto"/>
        <w:right w:val="none" w:sz="0" w:space="0" w:color="auto"/>
      </w:divBdr>
    </w:div>
    <w:div w:id="322196232">
      <w:bodyDiv w:val="1"/>
      <w:marLeft w:val="0"/>
      <w:marRight w:val="0"/>
      <w:marTop w:val="0"/>
      <w:marBottom w:val="0"/>
      <w:divBdr>
        <w:top w:val="none" w:sz="0" w:space="0" w:color="auto"/>
        <w:left w:val="none" w:sz="0" w:space="0" w:color="auto"/>
        <w:bottom w:val="none" w:sz="0" w:space="0" w:color="auto"/>
        <w:right w:val="none" w:sz="0" w:space="0" w:color="auto"/>
      </w:divBdr>
    </w:div>
    <w:div w:id="322708144">
      <w:bodyDiv w:val="1"/>
      <w:marLeft w:val="0"/>
      <w:marRight w:val="0"/>
      <w:marTop w:val="0"/>
      <w:marBottom w:val="0"/>
      <w:divBdr>
        <w:top w:val="none" w:sz="0" w:space="0" w:color="auto"/>
        <w:left w:val="none" w:sz="0" w:space="0" w:color="auto"/>
        <w:bottom w:val="none" w:sz="0" w:space="0" w:color="auto"/>
        <w:right w:val="none" w:sz="0" w:space="0" w:color="auto"/>
      </w:divBdr>
    </w:div>
    <w:div w:id="322859046">
      <w:bodyDiv w:val="1"/>
      <w:marLeft w:val="0"/>
      <w:marRight w:val="0"/>
      <w:marTop w:val="0"/>
      <w:marBottom w:val="0"/>
      <w:divBdr>
        <w:top w:val="none" w:sz="0" w:space="0" w:color="auto"/>
        <w:left w:val="none" w:sz="0" w:space="0" w:color="auto"/>
        <w:bottom w:val="none" w:sz="0" w:space="0" w:color="auto"/>
        <w:right w:val="none" w:sz="0" w:space="0" w:color="auto"/>
      </w:divBdr>
    </w:div>
    <w:div w:id="323046926">
      <w:bodyDiv w:val="1"/>
      <w:marLeft w:val="0"/>
      <w:marRight w:val="0"/>
      <w:marTop w:val="0"/>
      <w:marBottom w:val="0"/>
      <w:divBdr>
        <w:top w:val="none" w:sz="0" w:space="0" w:color="auto"/>
        <w:left w:val="none" w:sz="0" w:space="0" w:color="auto"/>
        <w:bottom w:val="none" w:sz="0" w:space="0" w:color="auto"/>
        <w:right w:val="none" w:sz="0" w:space="0" w:color="auto"/>
      </w:divBdr>
    </w:div>
    <w:div w:id="323626231">
      <w:bodyDiv w:val="1"/>
      <w:marLeft w:val="0"/>
      <w:marRight w:val="0"/>
      <w:marTop w:val="0"/>
      <w:marBottom w:val="0"/>
      <w:divBdr>
        <w:top w:val="none" w:sz="0" w:space="0" w:color="auto"/>
        <w:left w:val="none" w:sz="0" w:space="0" w:color="auto"/>
        <w:bottom w:val="none" w:sz="0" w:space="0" w:color="auto"/>
        <w:right w:val="none" w:sz="0" w:space="0" w:color="auto"/>
      </w:divBdr>
    </w:div>
    <w:div w:id="324164897">
      <w:bodyDiv w:val="1"/>
      <w:marLeft w:val="0"/>
      <w:marRight w:val="0"/>
      <w:marTop w:val="0"/>
      <w:marBottom w:val="0"/>
      <w:divBdr>
        <w:top w:val="none" w:sz="0" w:space="0" w:color="auto"/>
        <w:left w:val="none" w:sz="0" w:space="0" w:color="auto"/>
        <w:bottom w:val="none" w:sz="0" w:space="0" w:color="auto"/>
        <w:right w:val="none" w:sz="0" w:space="0" w:color="auto"/>
      </w:divBdr>
    </w:div>
    <w:div w:id="324284427">
      <w:bodyDiv w:val="1"/>
      <w:marLeft w:val="0"/>
      <w:marRight w:val="0"/>
      <w:marTop w:val="0"/>
      <w:marBottom w:val="0"/>
      <w:divBdr>
        <w:top w:val="none" w:sz="0" w:space="0" w:color="auto"/>
        <w:left w:val="none" w:sz="0" w:space="0" w:color="auto"/>
        <w:bottom w:val="none" w:sz="0" w:space="0" w:color="auto"/>
        <w:right w:val="none" w:sz="0" w:space="0" w:color="auto"/>
      </w:divBdr>
    </w:div>
    <w:div w:id="324862711">
      <w:bodyDiv w:val="1"/>
      <w:marLeft w:val="0"/>
      <w:marRight w:val="0"/>
      <w:marTop w:val="0"/>
      <w:marBottom w:val="0"/>
      <w:divBdr>
        <w:top w:val="none" w:sz="0" w:space="0" w:color="auto"/>
        <w:left w:val="none" w:sz="0" w:space="0" w:color="auto"/>
        <w:bottom w:val="none" w:sz="0" w:space="0" w:color="auto"/>
        <w:right w:val="none" w:sz="0" w:space="0" w:color="auto"/>
      </w:divBdr>
    </w:div>
    <w:div w:id="326176144">
      <w:bodyDiv w:val="1"/>
      <w:marLeft w:val="0"/>
      <w:marRight w:val="0"/>
      <w:marTop w:val="0"/>
      <w:marBottom w:val="0"/>
      <w:divBdr>
        <w:top w:val="none" w:sz="0" w:space="0" w:color="auto"/>
        <w:left w:val="none" w:sz="0" w:space="0" w:color="auto"/>
        <w:bottom w:val="none" w:sz="0" w:space="0" w:color="auto"/>
        <w:right w:val="none" w:sz="0" w:space="0" w:color="auto"/>
      </w:divBdr>
    </w:div>
    <w:div w:id="326446029">
      <w:bodyDiv w:val="1"/>
      <w:marLeft w:val="0"/>
      <w:marRight w:val="0"/>
      <w:marTop w:val="0"/>
      <w:marBottom w:val="0"/>
      <w:divBdr>
        <w:top w:val="none" w:sz="0" w:space="0" w:color="auto"/>
        <w:left w:val="none" w:sz="0" w:space="0" w:color="auto"/>
        <w:bottom w:val="none" w:sz="0" w:space="0" w:color="auto"/>
        <w:right w:val="none" w:sz="0" w:space="0" w:color="auto"/>
      </w:divBdr>
    </w:div>
    <w:div w:id="328338732">
      <w:bodyDiv w:val="1"/>
      <w:marLeft w:val="0"/>
      <w:marRight w:val="0"/>
      <w:marTop w:val="0"/>
      <w:marBottom w:val="0"/>
      <w:divBdr>
        <w:top w:val="none" w:sz="0" w:space="0" w:color="auto"/>
        <w:left w:val="none" w:sz="0" w:space="0" w:color="auto"/>
        <w:bottom w:val="none" w:sz="0" w:space="0" w:color="auto"/>
        <w:right w:val="none" w:sz="0" w:space="0" w:color="auto"/>
      </w:divBdr>
    </w:div>
    <w:div w:id="328482086">
      <w:bodyDiv w:val="1"/>
      <w:marLeft w:val="0"/>
      <w:marRight w:val="0"/>
      <w:marTop w:val="0"/>
      <w:marBottom w:val="0"/>
      <w:divBdr>
        <w:top w:val="none" w:sz="0" w:space="0" w:color="auto"/>
        <w:left w:val="none" w:sz="0" w:space="0" w:color="auto"/>
        <w:bottom w:val="none" w:sz="0" w:space="0" w:color="auto"/>
        <w:right w:val="none" w:sz="0" w:space="0" w:color="auto"/>
      </w:divBdr>
    </w:div>
    <w:div w:id="329141984">
      <w:bodyDiv w:val="1"/>
      <w:marLeft w:val="0"/>
      <w:marRight w:val="0"/>
      <w:marTop w:val="0"/>
      <w:marBottom w:val="0"/>
      <w:divBdr>
        <w:top w:val="none" w:sz="0" w:space="0" w:color="auto"/>
        <w:left w:val="none" w:sz="0" w:space="0" w:color="auto"/>
        <w:bottom w:val="none" w:sz="0" w:space="0" w:color="auto"/>
        <w:right w:val="none" w:sz="0" w:space="0" w:color="auto"/>
      </w:divBdr>
    </w:div>
    <w:div w:id="329142251">
      <w:bodyDiv w:val="1"/>
      <w:marLeft w:val="0"/>
      <w:marRight w:val="0"/>
      <w:marTop w:val="0"/>
      <w:marBottom w:val="0"/>
      <w:divBdr>
        <w:top w:val="none" w:sz="0" w:space="0" w:color="auto"/>
        <w:left w:val="none" w:sz="0" w:space="0" w:color="auto"/>
        <w:bottom w:val="none" w:sz="0" w:space="0" w:color="auto"/>
        <w:right w:val="none" w:sz="0" w:space="0" w:color="auto"/>
      </w:divBdr>
    </w:div>
    <w:div w:id="329335254">
      <w:bodyDiv w:val="1"/>
      <w:marLeft w:val="0"/>
      <w:marRight w:val="0"/>
      <w:marTop w:val="0"/>
      <w:marBottom w:val="0"/>
      <w:divBdr>
        <w:top w:val="none" w:sz="0" w:space="0" w:color="auto"/>
        <w:left w:val="none" w:sz="0" w:space="0" w:color="auto"/>
        <w:bottom w:val="none" w:sz="0" w:space="0" w:color="auto"/>
        <w:right w:val="none" w:sz="0" w:space="0" w:color="auto"/>
      </w:divBdr>
    </w:div>
    <w:div w:id="329599269">
      <w:bodyDiv w:val="1"/>
      <w:marLeft w:val="0"/>
      <w:marRight w:val="0"/>
      <w:marTop w:val="0"/>
      <w:marBottom w:val="0"/>
      <w:divBdr>
        <w:top w:val="none" w:sz="0" w:space="0" w:color="auto"/>
        <w:left w:val="none" w:sz="0" w:space="0" w:color="auto"/>
        <w:bottom w:val="none" w:sz="0" w:space="0" w:color="auto"/>
        <w:right w:val="none" w:sz="0" w:space="0" w:color="auto"/>
      </w:divBdr>
    </w:div>
    <w:div w:id="329646700">
      <w:bodyDiv w:val="1"/>
      <w:marLeft w:val="0"/>
      <w:marRight w:val="0"/>
      <w:marTop w:val="0"/>
      <w:marBottom w:val="0"/>
      <w:divBdr>
        <w:top w:val="none" w:sz="0" w:space="0" w:color="auto"/>
        <w:left w:val="none" w:sz="0" w:space="0" w:color="auto"/>
        <w:bottom w:val="none" w:sz="0" w:space="0" w:color="auto"/>
        <w:right w:val="none" w:sz="0" w:space="0" w:color="auto"/>
      </w:divBdr>
    </w:div>
    <w:div w:id="330374467">
      <w:bodyDiv w:val="1"/>
      <w:marLeft w:val="0"/>
      <w:marRight w:val="0"/>
      <w:marTop w:val="0"/>
      <w:marBottom w:val="0"/>
      <w:divBdr>
        <w:top w:val="none" w:sz="0" w:space="0" w:color="auto"/>
        <w:left w:val="none" w:sz="0" w:space="0" w:color="auto"/>
        <w:bottom w:val="none" w:sz="0" w:space="0" w:color="auto"/>
        <w:right w:val="none" w:sz="0" w:space="0" w:color="auto"/>
      </w:divBdr>
    </w:div>
    <w:div w:id="330572650">
      <w:bodyDiv w:val="1"/>
      <w:marLeft w:val="0"/>
      <w:marRight w:val="0"/>
      <w:marTop w:val="0"/>
      <w:marBottom w:val="0"/>
      <w:divBdr>
        <w:top w:val="none" w:sz="0" w:space="0" w:color="auto"/>
        <w:left w:val="none" w:sz="0" w:space="0" w:color="auto"/>
        <w:bottom w:val="none" w:sz="0" w:space="0" w:color="auto"/>
        <w:right w:val="none" w:sz="0" w:space="0" w:color="auto"/>
      </w:divBdr>
      <w:divsChild>
        <w:div w:id="2084520539">
          <w:marLeft w:val="0"/>
          <w:marRight w:val="0"/>
          <w:marTop w:val="0"/>
          <w:marBottom w:val="0"/>
          <w:divBdr>
            <w:top w:val="none" w:sz="0" w:space="0" w:color="auto"/>
            <w:left w:val="none" w:sz="0" w:space="0" w:color="auto"/>
            <w:bottom w:val="none" w:sz="0" w:space="0" w:color="auto"/>
            <w:right w:val="none" w:sz="0" w:space="0" w:color="auto"/>
          </w:divBdr>
        </w:div>
      </w:divsChild>
    </w:div>
    <w:div w:id="330648172">
      <w:bodyDiv w:val="1"/>
      <w:marLeft w:val="0"/>
      <w:marRight w:val="0"/>
      <w:marTop w:val="0"/>
      <w:marBottom w:val="0"/>
      <w:divBdr>
        <w:top w:val="none" w:sz="0" w:space="0" w:color="auto"/>
        <w:left w:val="none" w:sz="0" w:space="0" w:color="auto"/>
        <w:bottom w:val="none" w:sz="0" w:space="0" w:color="auto"/>
        <w:right w:val="none" w:sz="0" w:space="0" w:color="auto"/>
      </w:divBdr>
    </w:div>
    <w:div w:id="330958847">
      <w:bodyDiv w:val="1"/>
      <w:marLeft w:val="0"/>
      <w:marRight w:val="0"/>
      <w:marTop w:val="0"/>
      <w:marBottom w:val="0"/>
      <w:divBdr>
        <w:top w:val="none" w:sz="0" w:space="0" w:color="auto"/>
        <w:left w:val="none" w:sz="0" w:space="0" w:color="auto"/>
        <w:bottom w:val="none" w:sz="0" w:space="0" w:color="auto"/>
        <w:right w:val="none" w:sz="0" w:space="0" w:color="auto"/>
      </w:divBdr>
      <w:divsChild>
        <w:div w:id="1570071079">
          <w:marLeft w:val="0"/>
          <w:marRight w:val="0"/>
          <w:marTop w:val="0"/>
          <w:marBottom w:val="0"/>
          <w:divBdr>
            <w:top w:val="none" w:sz="0" w:space="0" w:color="auto"/>
            <w:left w:val="none" w:sz="0" w:space="0" w:color="auto"/>
            <w:bottom w:val="none" w:sz="0" w:space="0" w:color="auto"/>
            <w:right w:val="none" w:sz="0" w:space="0" w:color="auto"/>
          </w:divBdr>
          <w:divsChild>
            <w:div w:id="728961291">
              <w:marLeft w:val="0"/>
              <w:marRight w:val="0"/>
              <w:marTop w:val="0"/>
              <w:marBottom w:val="0"/>
              <w:divBdr>
                <w:top w:val="none" w:sz="0" w:space="0" w:color="auto"/>
                <w:left w:val="none" w:sz="0" w:space="0" w:color="auto"/>
                <w:bottom w:val="none" w:sz="0" w:space="0" w:color="auto"/>
                <w:right w:val="none" w:sz="0" w:space="0" w:color="auto"/>
              </w:divBdr>
              <w:divsChild>
                <w:div w:id="124796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226575">
      <w:bodyDiv w:val="1"/>
      <w:marLeft w:val="0"/>
      <w:marRight w:val="0"/>
      <w:marTop w:val="0"/>
      <w:marBottom w:val="0"/>
      <w:divBdr>
        <w:top w:val="none" w:sz="0" w:space="0" w:color="auto"/>
        <w:left w:val="none" w:sz="0" w:space="0" w:color="auto"/>
        <w:bottom w:val="none" w:sz="0" w:space="0" w:color="auto"/>
        <w:right w:val="none" w:sz="0" w:space="0" w:color="auto"/>
      </w:divBdr>
    </w:div>
    <w:div w:id="331489972">
      <w:bodyDiv w:val="1"/>
      <w:marLeft w:val="0"/>
      <w:marRight w:val="0"/>
      <w:marTop w:val="0"/>
      <w:marBottom w:val="0"/>
      <w:divBdr>
        <w:top w:val="none" w:sz="0" w:space="0" w:color="auto"/>
        <w:left w:val="none" w:sz="0" w:space="0" w:color="auto"/>
        <w:bottom w:val="none" w:sz="0" w:space="0" w:color="auto"/>
        <w:right w:val="none" w:sz="0" w:space="0" w:color="auto"/>
      </w:divBdr>
    </w:div>
    <w:div w:id="332295485">
      <w:bodyDiv w:val="1"/>
      <w:marLeft w:val="0"/>
      <w:marRight w:val="0"/>
      <w:marTop w:val="0"/>
      <w:marBottom w:val="0"/>
      <w:divBdr>
        <w:top w:val="none" w:sz="0" w:space="0" w:color="auto"/>
        <w:left w:val="none" w:sz="0" w:space="0" w:color="auto"/>
        <w:bottom w:val="none" w:sz="0" w:space="0" w:color="auto"/>
        <w:right w:val="none" w:sz="0" w:space="0" w:color="auto"/>
      </w:divBdr>
    </w:div>
    <w:div w:id="333656676">
      <w:bodyDiv w:val="1"/>
      <w:marLeft w:val="0"/>
      <w:marRight w:val="0"/>
      <w:marTop w:val="0"/>
      <w:marBottom w:val="0"/>
      <w:divBdr>
        <w:top w:val="none" w:sz="0" w:space="0" w:color="auto"/>
        <w:left w:val="none" w:sz="0" w:space="0" w:color="auto"/>
        <w:bottom w:val="none" w:sz="0" w:space="0" w:color="auto"/>
        <w:right w:val="none" w:sz="0" w:space="0" w:color="auto"/>
      </w:divBdr>
    </w:div>
    <w:div w:id="335302715">
      <w:bodyDiv w:val="1"/>
      <w:marLeft w:val="0"/>
      <w:marRight w:val="0"/>
      <w:marTop w:val="0"/>
      <w:marBottom w:val="0"/>
      <w:divBdr>
        <w:top w:val="none" w:sz="0" w:space="0" w:color="auto"/>
        <w:left w:val="none" w:sz="0" w:space="0" w:color="auto"/>
        <w:bottom w:val="none" w:sz="0" w:space="0" w:color="auto"/>
        <w:right w:val="none" w:sz="0" w:space="0" w:color="auto"/>
      </w:divBdr>
    </w:div>
    <w:div w:id="336545702">
      <w:bodyDiv w:val="1"/>
      <w:marLeft w:val="0"/>
      <w:marRight w:val="0"/>
      <w:marTop w:val="0"/>
      <w:marBottom w:val="0"/>
      <w:divBdr>
        <w:top w:val="none" w:sz="0" w:space="0" w:color="auto"/>
        <w:left w:val="none" w:sz="0" w:space="0" w:color="auto"/>
        <w:bottom w:val="none" w:sz="0" w:space="0" w:color="auto"/>
        <w:right w:val="none" w:sz="0" w:space="0" w:color="auto"/>
      </w:divBdr>
    </w:div>
    <w:div w:id="337856251">
      <w:bodyDiv w:val="1"/>
      <w:marLeft w:val="0"/>
      <w:marRight w:val="0"/>
      <w:marTop w:val="0"/>
      <w:marBottom w:val="0"/>
      <w:divBdr>
        <w:top w:val="none" w:sz="0" w:space="0" w:color="auto"/>
        <w:left w:val="none" w:sz="0" w:space="0" w:color="auto"/>
        <w:bottom w:val="none" w:sz="0" w:space="0" w:color="auto"/>
        <w:right w:val="none" w:sz="0" w:space="0" w:color="auto"/>
      </w:divBdr>
      <w:divsChild>
        <w:div w:id="610362078">
          <w:marLeft w:val="0"/>
          <w:marRight w:val="0"/>
          <w:marTop w:val="0"/>
          <w:marBottom w:val="0"/>
          <w:divBdr>
            <w:top w:val="none" w:sz="0" w:space="0" w:color="auto"/>
            <w:left w:val="none" w:sz="0" w:space="0" w:color="auto"/>
            <w:bottom w:val="none" w:sz="0" w:space="0" w:color="auto"/>
            <w:right w:val="none" w:sz="0" w:space="0" w:color="auto"/>
          </w:divBdr>
          <w:divsChild>
            <w:div w:id="923416167">
              <w:marLeft w:val="0"/>
              <w:marRight w:val="0"/>
              <w:marTop w:val="0"/>
              <w:marBottom w:val="0"/>
              <w:divBdr>
                <w:top w:val="none" w:sz="0" w:space="0" w:color="auto"/>
                <w:left w:val="none" w:sz="0" w:space="0" w:color="auto"/>
                <w:bottom w:val="none" w:sz="0" w:space="0" w:color="auto"/>
                <w:right w:val="none" w:sz="0" w:space="0" w:color="auto"/>
              </w:divBdr>
              <w:divsChild>
                <w:div w:id="950743395">
                  <w:marLeft w:val="0"/>
                  <w:marRight w:val="0"/>
                  <w:marTop w:val="0"/>
                  <w:marBottom w:val="0"/>
                  <w:divBdr>
                    <w:top w:val="none" w:sz="0" w:space="0" w:color="auto"/>
                    <w:left w:val="none" w:sz="0" w:space="0" w:color="auto"/>
                    <w:bottom w:val="none" w:sz="0" w:space="0" w:color="auto"/>
                    <w:right w:val="none" w:sz="0" w:space="0" w:color="auto"/>
                  </w:divBdr>
                  <w:divsChild>
                    <w:div w:id="128550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312405">
      <w:bodyDiv w:val="1"/>
      <w:marLeft w:val="0"/>
      <w:marRight w:val="0"/>
      <w:marTop w:val="0"/>
      <w:marBottom w:val="0"/>
      <w:divBdr>
        <w:top w:val="none" w:sz="0" w:space="0" w:color="auto"/>
        <w:left w:val="none" w:sz="0" w:space="0" w:color="auto"/>
        <w:bottom w:val="none" w:sz="0" w:space="0" w:color="auto"/>
        <w:right w:val="none" w:sz="0" w:space="0" w:color="auto"/>
      </w:divBdr>
    </w:div>
    <w:div w:id="340013196">
      <w:bodyDiv w:val="1"/>
      <w:marLeft w:val="0"/>
      <w:marRight w:val="0"/>
      <w:marTop w:val="0"/>
      <w:marBottom w:val="0"/>
      <w:divBdr>
        <w:top w:val="none" w:sz="0" w:space="0" w:color="auto"/>
        <w:left w:val="none" w:sz="0" w:space="0" w:color="auto"/>
        <w:bottom w:val="none" w:sz="0" w:space="0" w:color="auto"/>
        <w:right w:val="none" w:sz="0" w:space="0" w:color="auto"/>
      </w:divBdr>
      <w:divsChild>
        <w:div w:id="1670475107">
          <w:marLeft w:val="0"/>
          <w:marRight w:val="0"/>
          <w:marTop w:val="0"/>
          <w:marBottom w:val="0"/>
          <w:divBdr>
            <w:top w:val="none" w:sz="0" w:space="0" w:color="auto"/>
            <w:left w:val="none" w:sz="0" w:space="0" w:color="auto"/>
            <w:bottom w:val="none" w:sz="0" w:space="0" w:color="auto"/>
            <w:right w:val="none" w:sz="0" w:space="0" w:color="auto"/>
          </w:divBdr>
          <w:divsChild>
            <w:div w:id="1144275595">
              <w:marLeft w:val="0"/>
              <w:marRight w:val="0"/>
              <w:marTop w:val="0"/>
              <w:marBottom w:val="0"/>
              <w:divBdr>
                <w:top w:val="none" w:sz="0" w:space="0" w:color="auto"/>
                <w:left w:val="none" w:sz="0" w:space="0" w:color="auto"/>
                <w:bottom w:val="none" w:sz="0" w:space="0" w:color="auto"/>
                <w:right w:val="none" w:sz="0" w:space="0" w:color="auto"/>
              </w:divBdr>
              <w:divsChild>
                <w:div w:id="182419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200658">
      <w:bodyDiv w:val="1"/>
      <w:marLeft w:val="0"/>
      <w:marRight w:val="0"/>
      <w:marTop w:val="0"/>
      <w:marBottom w:val="0"/>
      <w:divBdr>
        <w:top w:val="none" w:sz="0" w:space="0" w:color="auto"/>
        <w:left w:val="none" w:sz="0" w:space="0" w:color="auto"/>
        <w:bottom w:val="none" w:sz="0" w:space="0" w:color="auto"/>
        <w:right w:val="none" w:sz="0" w:space="0" w:color="auto"/>
      </w:divBdr>
      <w:divsChild>
        <w:div w:id="526985443">
          <w:marLeft w:val="0"/>
          <w:marRight w:val="0"/>
          <w:marTop w:val="0"/>
          <w:marBottom w:val="0"/>
          <w:divBdr>
            <w:top w:val="none" w:sz="0" w:space="0" w:color="auto"/>
            <w:left w:val="none" w:sz="0" w:space="0" w:color="auto"/>
            <w:bottom w:val="none" w:sz="0" w:space="0" w:color="auto"/>
            <w:right w:val="none" w:sz="0" w:space="0" w:color="auto"/>
          </w:divBdr>
          <w:divsChild>
            <w:div w:id="1127311752">
              <w:marLeft w:val="0"/>
              <w:marRight w:val="0"/>
              <w:marTop w:val="0"/>
              <w:marBottom w:val="0"/>
              <w:divBdr>
                <w:top w:val="none" w:sz="0" w:space="0" w:color="auto"/>
                <w:left w:val="none" w:sz="0" w:space="0" w:color="auto"/>
                <w:bottom w:val="none" w:sz="0" w:space="0" w:color="auto"/>
                <w:right w:val="none" w:sz="0" w:space="0" w:color="auto"/>
              </w:divBdr>
              <w:divsChild>
                <w:div w:id="939143126">
                  <w:marLeft w:val="0"/>
                  <w:marRight w:val="0"/>
                  <w:marTop w:val="0"/>
                  <w:marBottom w:val="0"/>
                  <w:divBdr>
                    <w:top w:val="none" w:sz="0" w:space="0" w:color="auto"/>
                    <w:left w:val="none" w:sz="0" w:space="0" w:color="auto"/>
                    <w:bottom w:val="none" w:sz="0" w:space="0" w:color="auto"/>
                    <w:right w:val="none" w:sz="0" w:space="0" w:color="auto"/>
                  </w:divBdr>
                  <w:divsChild>
                    <w:div w:id="128203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746118">
      <w:bodyDiv w:val="1"/>
      <w:marLeft w:val="0"/>
      <w:marRight w:val="0"/>
      <w:marTop w:val="0"/>
      <w:marBottom w:val="0"/>
      <w:divBdr>
        <w:top w:val="none" w:sz="0" w:space="0" w:color="auto"/>
        <w:left w:val="none" w:sz="0" w:space="0" w:color="auto"/>
        <w:bottom w:val="none" w:sz="0" w:space="0" w:color="auto"/>
        <w:right w:val="none" w:sz="0" w:space="0" w:color="auto"/>
      </w:divBdr>
      <w:divsChild>
        <w:div w:id="748581756">
          <w:marLeft w:val="0"/>
          <w:marRight w:val="0"/>
          <w:marTop w:val="0"/>
          <w:marBottom w:val="0"/>
          <w:divBdr>
            <w:top w:val="none" w:sz="0" w:space="0" w:color="auto"/>
            <w:left w:val="none" w:sz="0" w:space="0" w:color="auto"/>
            <w:bottom w:val="none" w:sz="0" w:space="0" w:color="auto"/>
            <w:right w:val="none" w:sz="0" w:space="0" w:color="auto"/>
          </w:divBdr>
          <w:divsChild>
            <w:div w:id="540168602">
              <w:marLeft w:val="0"/>
              <w:marRight w:val="0"/>
              <w:marTop w:val="0"/>
              <w:marBottom w:val="0"/>
              <w:divBdr>
                <w:top w:val="none" w:sz="0" w:space="0" w:color="auto"/>
                <w:left w:val="none" w:sz="0" w:space="0" w:color="auto"/>
                <w:bottom w:val="none" w:sz="0" w:space="0" w:color="auto"/>
                <w:right w:val="none" w:sz="0" w:space="0" w:color="auto"/>
              </w:divBdr>
              <w:divsChild>
                <w:div w:id="1611431889">
                  <w:marLeft w:val="0"/>
                  <w:marRight w:val="0"/>
                  <w:marTop w:val="0"/>
                  <w:marBottom w:val="0"/>
                  <w:divBdr>
                    <w:top w:val="none" w:sz="0" w:space="0" w:color="auto"/>
                    <w:left w:val="none" w:sz="0" w:space="0" w:color="auto"/>
                    <w:bottom w:val="none" w:sz="0" w:space="0" w:color="auto"/>
                    <w:right w:val="none" w:sz="0" w:space="0" w:color="auto"/>
                  </w:divBdr>
                  <w:divsChild>
                    <w:div w:id="67753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10475">
      <w:bodyDiv w:val="1"/>
      <w:marLeft w:val="0"/>
      <w:marRight w:val="0"/>
      <w:marTop w:val="0"/>
      <w:marBottom w:val="0"/>
      <w:divBdr>
        <w:top w:val="none" w:sz="0" w:space="0" w:color="auto"/>
        <w:left w:val="none" w:sz="0" w:space="0" w:color="auto"/>
        <w:bottom w:val="none" w:sz="0" w:space="0" w:color="auto"/>
        <w:right w:val="none" w:sz="0" w:space="0" w:color="auto"/>
      </w:divBdr>
    </w:div>
    <w:div w:id="342325816">
      <w:bodyDiv w:val="1"/>
      <w:marLeft w:val="0"/>
      <w:marRight w:val="0"/>
      <w:marTop w:val="0"/>
      <w:marBottom w:val="0"/>
      <w:divBdr>
        <w:top w:val="none" w:sz="0" w:space="0" w:color="auto"/>
        <w:left w:val="none" w:sz="0" w:space="0" w:color="auto"/>
        <w:bottom w:val="none" w:sz="0" w:space="0" w:color="auto"/>
        <w:right w:val="none" w:sz="0" w:space="0" w:color="auto"/>
      </w:divBdr>
    </w:div>
    <w:div w:id="342631686">
      <w:bodyDiv w:val="1"/>
      <w:marLeft w:val="0"/>
      <w:marRight w:val="0"/>
      <w:marTop w:val="0"/>
      <w:marBottom w:val="0"/>
      <w:divBdr>
        <w:top w:val="none" w:sz="0" w:space="0" w:color="auto"/>
        <w:left w:val="none" w:sz="0" w:space="0" w:color="auto"/>
        <w:bottom w:val="none" w:sz="0" w:space="0" w:color="auto"/>
        <w:right w:val="none" w:sz="0" w:space="0" w:color="auto"/>
      </w:divBdr>
      <w:divsChild>
        <w:div w:id="392240120">
          <w:marLeft w:val="0"/>
          <w:marRight w:val="0"/>
          <w:marTop w:val="0"/>
          <w:marBottom w:val="0"/>
          <w:divBdr>
            <w:top w:val="none" w:sz="0" w:space="0" w:color="auto"/>
            <w:left w:val="none" w:sz="0" w:space="0" w:color="auto"/>
            <w:bottom w:val="none" w:sz="0" w:space="0" w:color="auto"/>
            <w:right w:val="none" w:sz="0" w:space="0" w:color="auto"/>
          </w:divBdr>
          <w:divsChild>
            <w:div w:id="1493064010">
              <w:marLeft w:val="0"/>
              <w:marRight w:val="0"/>
              <w:marTop w:val="0"/>
              <w:marBottom w:val="0"/>
              <w:divBdr>
                <w:top w:val="none" w:sz="0" w:space="0" w:color="auto"/>
                <w:left w:val="none" w:sz="0" w:space="0" w:color="auto"/>
                <w:bottom w:val="none" w:sz="0" w:space="0" w:color="auto"/>
                <w:right w:val="none" w:sz="0" w:space="0" w:color="auto"/>
              </w:divBdr>
              <w:divsChild>
                <w:div w:id="733310115">
                  <w:marLeft w:val="0"/>
                  <w:marRight w:val="0"/>
                  <w:marTop w:val="0"/>
                  <w:marBottom w:val="0"/>
                  <w:divBdr>
                    <w:top w:val="none" w:sz="0" w:space="0" w:color="auto"/>
                    <w:left w:val="none" w:sz="0" w:space="0" w:color="auto"/>
                    <w:bottom w:val="none" w:sz="0" w:space="0" w:color="auto"/>
                    <w:right w:val="none" w:sz="0" w:space="0" w:color="auto"/>
                  </w:divBdr>
                  <w:divsChild>
                    <w:div w:id="134119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11846">
      <w:bodyDiv w:val="1"/>
      <w:marLeft w:val="0"/>
      <w:marRight w:val="0"/>
      <w:marTop w:val="0"/>
      <w:marBottom w:val="0"/>
      <w:divBdr>
        <w:top w:val="none" w:sz="0" w:space="0" w:color="auto"/>
        <w:left w:val="none" w:sz="0" w:space="0" w:color="auto"/>
        <w:bottom w:val="none" w:sz="0" w:space="0" w:color="auto"/>
        <w:right w:val="none" w:sz="0" w:space="0" w:color="auto"/>
      </w:divBdr>
    </w:div>
    <w:div w:id="342826453">
      <w:bodyDiv w:val="1"/>
      <w:marLeft w:val="0"/>
      <w:marRight w:val="0"/>
      <w:marTop w:val="0"/>
      <w:marBottom w:val="0"/>
      <w:divBdr>
        <w:top w:val="none" w:sz="0" w:space="0" w:color="auto"/>
        <w:left w:val="none" w:sz="0" w:space="0" w:color="auto"/>
        <w:bottom w:val="none" w:sz="0" w:space="0" w:color="auto"/>
        <w:right w:val="none" w:sz="0" w:space="0" w:color="auto"/>
      </w:divBdr>
      <w:divsChild>
        <w:div w:id="866724671">
          <w:marLeft w:val="0"/>
          <w:marRight w:val="0"/>
          <w:marTop w:val="0"/>
          <w:marBottom w:val="0"/>
          <w:divBdr>
            <w:top w:val="none" w:sz="0" w:space="0" w:color="auto"/>
            <w:left w:val="none" w:sz="0" w:space="0" w:color="auto"/>
            <w:bottom w:val="none" w:sz="0" w:space="0" w:color="auto"/>
            <w:right w:val="none" w:sz="0" w:space="0" w:color="auto"/>
          </w:divBdr>
          <w:divsChild>
            <w:div w:id="1523204472">
              <w:marLeft w:val="0"/>
              <w:marRight w:val="0"/>
              <w:marTop w:val="0"/>
              <w:marBottom w:val="0"/>
              <w:divBdr>
                <w:top w:val="none" w:sz="0" w:space="0" w:color="auto"/>
                <w:left w:val="none" w:sz="0" w:space="0" w:color="auto"/>
                <w:bottom w:val="none" w:sz="0" w:space="0" w:color="auto"/>
                <w:right w:val="none" w:sz="0" w:space="0" w:color="auto"/>
              </w:divBdr>
              <w:divsChild>
                <w:div w:id="1340693439">
                  <w:marLeft w:val="0"/>
                  <w:marRight w:val="0"/>
                  <w:marTop w:val="0"/>
                  <w:marBottom w:val="0"/>
                  <w:divBdr>
                    <w:top w:val="none" w:sz="0" w:space="0" w:color="auto"/>
                    <w:left w:val="none" w:sz="0" w:space="0" w:color="auto"/>
                    <w:bottom w:val="none" w:sz="0" w:space="0" w:color="auto"/>
                    <w:right w:val="none" w:sz="0" w:space="0" w:color="auto"/>
                  </w:divBdr>
                  <w:divsChild>
                    <w:div w:id="110253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980345">
      <w:bodyDiv w:val="1"/>
      <w:marLeft w:val="0"/>
      <w:marRight w:val="0"/>
      <w:marTop w:val="0"/>
      <w:marBottom w:val="0"/>
      <w:divBdr>
        <w:top w:val="none" w:sz="0" w:space="0" w:color="auto"/>
        <w:left w:val="none" w:sz="0" w:space="0" w:color="auto"/>
        <w:bottom w:val="none" w:sz="0" w:space="0" w:color="auto"/>
        <w:right w:val="none" w:sz="0" w:space="0" w:color="auto"/>
      </w:divBdr>
    </w:div>
    <w:div w:id="343169827">
      <w:bodyDiv w:val="1"/>
      <w:marLeft w:val="0"/>
      <w:marRight w:val="0"/>
      <w:marTop w:val="0"/>
      <w:marBottom w:val="0"/>
      <w:divBdr>
        <w:top w:val="none" w:sz="0" w:space="0" w:color="auto"/>
        <w:left w:val="none" w:sz="0" w:space="0" w:color="auto"/>
        <w:bottom w:val="none" w:sz="0" w:space="0" w:color="auto"/>
        <w:right w:val="none" w:sz="0" w:space="0" w:color="auto"/>
      </w:divBdr>
    </w:div>
    <w:div w:id="343627251">
      <w:bodyDiv w:val="1"/>
      <w:marLeft w:val="0"/>
      <w:marRight w:val="0"/>
      <w:marTop w:val="0"/>
      <w:marBottom w:val="0"/>
      <w:divBdr>
        <w:top w:val="none" w:sz="0" w:space="0" w:color="auto"/>
        <w:left w:val="none" w:sz="0" w:space="0" w:color="auto"/>
        <w:bottom w:val="none" w:sz="0" w:space="0" w:color="auto"/>
        <w:right w:val="none" w:sz="0" w:space="0" w:color="auto"/>
      </w:divBdr>
    </w:div>
    <w:div w:id="343899994">
      <w:bodyDiv w:val="1"/>
      <w:marLeft w:val="0"/>
      <w:marRight w:val="0"/>
      <w:marTop w:val="0"/>
      <w:marBottom w:val="0"/>
      <w:divBdr>
        <w:top w:val="none" w:sz="0" w:space="0" w:color="auto"/>
        <w:left w:val="none" w:sz="0" w:space="0" w:color="auto"/>
        <w:bottom w:val="none" w:sz="0" w:space="0" w:color="auto"/>
        <w:right w:val="none" w:sz="0" w:space="0" w:color="auto"/>
      </w:divBdr>
      <w:divsChild>
        <w:div w:id="964239633">
          <w:marLeft w:val="0"/>
          <w:marRight w:val="0"/>
          <w:marTop w:val="0"/>
          <w:marBottom w:val="0"/>
          <w:divBdr>
            <w:top w:val="none" w:sz="0" w:space="0" w:color="auto"/>
            <w:left w:val="none" w:sz="0" w:space="0" w:color="auto"/>
            <w:bottom w:val="none" w:sz="0" w:space="0" w:color="auto"/>
            <w:right w:val="none" w:sz="0" w:space="0" w:color="auto"/>
          </w:divBdr>
          <w:divsChild>
            <w:div w:id="1057239025">
              <w:marLeft w:val="0"/>
              <w:marRight w:val="0"/>
              <w:marTop w:val="0"/>
              <w:marBottom w:val="0"/>
              <w:divBdr>
                <w:top w:val="none" w:sz="0" w:space="0" w:color="auto"/>
                <w:left w:val="none" w:sz="0" w:space="0" w:color="auto"/>
                <w:bottom w:val="none" w:sz="0" w:space="0" w:color="auto"/>
                <w:right w:val="none" w:sz="0" w:space="0" w:color="auto"/>
              </w:divBdr>
              <w:divsChild>
                <w:div w:id="322123952">
                  <w:marLeft w:val="0"/>
                  <w:marRight w:val="0"/>
                  <w:marTop w:val="0"/>
                  <w:marBottom w:val="0"/>
                  <w:divBdr>
                    <w:top w:val="none" w:sz="0" w:space="0" w:color="auto"/>
                    <w:left w:val="none" w:sz="0" w:space="0" w:color="auto"/>
                    <w:bottom w:val="none" w:sz="0" w:space="0" w:color="auto"/>
                    <w:right w:val="none" w:sz="0" w:space="0" w:color="auto"/>
                  </w:divBdr>
                  <w:divsChild>
                    <w:div w:id="9858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326763">
      <w:bodyDiv w:val="1"/>
      <w:marLeft w:val="0"/>
      <w:marRight w:val="0"/>
      <w:marTop w:val="0"/>
      <w:marBottom w:val="0"/>
      <w:divBdr>
        <w:top w:val="none" w:sz="0" w:space="0" w:color="auto"/>
        <w:left w:val="none" w:sz="0" w:space="0" w:color="auto"/>
        <w:bottom w:val="none" w:sz="0" w:space="0" w:color="auto"/>
        <w:right w:val="none" w:sz="0" w:space="0" w:color="auto"/>
      </w:divBdr>
    </w:div>
    <w:div w:id="344405875">
      <w:bodyDiv w:val="1"/>
      <w:marLeft w:val="0"/>
      <w:marRight w:val="0"/>
      <w:marTop w:val="0"/>
      <w:marBottom w:val="0"/>
      <w:divBdr>
        <w:top w:val="none" w:sz="0" w:space="0" w:color="auto"/>
        <w:left w:val="none" w:sz="0" w:space="0" w:color="auto"/>
        <w:bottom w:val="none" w:sz="0" w:space="0" w:color="auto"/>
        <w:right w:val="none" w:sz="0" w:space="0" w:color="auto"/>
      </w:divBdr>
      <w:divsChild>
        <w:div w:id="441413093">
          <w:marLeft w:val="0"/>
          <w:marRight w:val="0"/>
          <w:marTop w:val="0"/>
          <w:marBottom w:val="0"/>
          <w:divBdr>
            <w:top w:val="none" w:sz="0" w:space="0" w:color="auto"/>
            <w:left w:val="none" w:sz="0" w:space="0" w:color="auto"/>
            <w:bottom w:val="none" w:sz="0" w:space="0" w:color="auto"/>
            <w:right w:val="none" w:sz="0" w:space="0" w:color="auto"/>
          </w:divBdr>
          <w:divsChild>
            <w:div w:id="648898504">
              <w:marLeft w:val="0"/>
              <w:marRight w:val="0"/>
              <w:marTop w:val="0"/>
              <w:marBottom w:val="0"/>
              <w:divBdr>
                <w:top w:val="none" w:sz="0" w:space="0" w:color="auto"/>
                <w:left w:val="none" w:sz="0" w:space="0" w:color="auto"/>
                <w:bottom w:val="none" w:sz="0" w:space="0" w:color="auto"/>
                <w:right w:val="none" w:sz="0" w:space="0" w:color="auto"/>
              </w:divBdr>
              <w:divsChild>
                <w:div w:id="44064749">
                  <w:marLeft w:val="0"/>
                  <w:marRight w:val="0"/>
                  <w:marTop w:val="0"/>
                  <w:marBottom w:val="0"/>
                  <w:divBdr>
                    <w:top w:val="none" w:sz="0" w:space="0" w:color="auto"/>
                    <w:left w:val="none" w:sz="0" w:space="0" w:color="auto"/>
                    <w:bottom w:val="none" w:sz="0" w:space="0" w:color="auto"/>
                    <w:right w:val="none" w:sz="0" w:space="0" w:color="auto"/>
                  </w:divBdr>
                  <w:divsChild>
                    <w:div w:id="204813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792281">
      <w:bodyDiv w:val="1"/>
      <w:marLeft w:val="0"/>
      <w:marRight w:val="0"/>
      <w:marTop w:val="0"/>
      <w:marBottom w:val="0"/>
      <w:divBdr>
        <w:top w:val="none" w:sz="0" w:space="0" w:color="auto"/>
        <w:left w:val="none" w:sz="0" w:space="0" w:color="auto"/>
        <w:bottom w:val="none" w:sz="0" w:space="0" w:color="auto"/>
        <w:right w:val="none" w:sz="0" w:space="0" w:color="auto"/>
      </w:divBdr>
      <w:divsChild>
        <w:div w:id="862283644">
          <w:marLeft w:val="0"/>
          <w:marRight w:val="0"/>
          <w:marTop w:val="0"/>
          <w:marBottom w:val="0"/>
          <w:divBdr>
            <w:top w:val="none" w:sz="0" w:space="0" w:color="auto"/>
            <w:left w:val="none" w:sz="0" w:space="0" w:color="auto"/>
            <w:bottom w:val="none" w:sz="0" w:space="0" w:color="auto"/>
            <w:right w:val="none" w:sz="0" w:space="0" w:color="auto"/>
          </w:divBdr>
          <w:divsChild>
            <w:div w:id="421921376">
              <w:marLeft w:val="0"/>
              <w:marRight w:val="0"/>
              <w:marTop w:val="0"/>
              <w:marBottom w:val="0"/>
              <w:divBdr>
                <w:top w:val="none" w:sz="0" w:space="0" w:color="auto"/>
                <w:left w:val="none" w:sz="0" w:space="0" w:color="auto"/>
                <w:bottom w:val="none" w:sz="0" w:space="0" w:color="auto"/>
                <w:right w:val="none" w:sz="0" w:space="0" w:color="auto"/>
              </w:divBdr>
              <w:divsChild>
                <w:div w:id="1067805514">
                  <w:marLeft w:val="0"/>
                  <w:marRight w:val="0"/>
                  <w:marTop w:val="0"/>
                  <w:marBottom w:val="0"/>
                  <w:divBdr>
                    <w:top w:val="none" w:sz="0" w:space="0" w:color="auto"/>
                    <w:left w:val="none" w:sz="0" w:space="0" w:color="auto"/>
                    <w:bottom w:val="none" w:sz="0" w:space="0" w:color="auto"/>
                    <w:right w:val="none" w:sz="0" w:space="0" w:color="auto"/>
                  </w:divBdr>
                  <w:divsChild>
                    <w:div w:id="153789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294359">
      <w:bodyDiv w:val="1"/>
      <w:marLeft w:val="0"/>
      <w:marRight w:val="0"/>
      <w:marTop w:val="0"/>
      <w:marBottom w:val="0"/>
      <w:divBdr>
        <w:top w:val="none" w:sz="0" w:space="0" w:color="auto"/>
        <w:left w:val="none" w:sz="0" w:space="0" w:color="auto"/>
        <w:bottom w:val="none" w:sz="0" w:space="0" w:color="auto"/>
        <w:right w:val="none" w:sz="0" w:space="0" w:color="auto"/>
      </w:divBdr>
    </w:div>
    <w:div w:id="347757668">
      <w:bodyDiv w:val="1"/>
      <w:marLeft w:val="0"/>
      <w:marRight w:val="0"/>
      <w:marTop w:val="0"/>
      <w:marBottom w:val="0"/>
      <w:divBdr>
        <w:top w:val="none" w:sz="0" w:space="0" w:color="auto"/>
        <w:left w:val="none" w:sz="0" w:space="0" w:color="auto"/>
        <w:bottom w:val="none" w:sz="0" w:space="0" w:color="auto"/>
        <w:right w:val="none" w:sz="0" w:space="0" w:color="auto"/>
      </w:divBdr>
    </w:div>
    <w:div w:id="348142758">
      <w:bodyDiv w:val="1"/>
      <w:marLeft w:val="0"/>
      <w:marRight w:val="0"/>
      <w:marTop w:val="0"/>
      <w:marBottom w:val="0"/>
      <w:divBdr>
        <w:top w:val="none" w:sz="0" w:space="0" w:color="auto"/>
        <w:left w:val="none" w:sz="0" w:space="0" w:color="auto"/>
        <w:bottom w:val="none" w:sz="0" w:space="0" w:color="auto"/>
        <w:right w:val="none" w:sz="0" w:space="0" w:color="auto"/>
      </w:divBdr>
      <w:divsChild>
        <w:div w:id="1918635199">
          <w:marLeft w:val="0"/>
          <w:marRight w:val="0"/>
          <w:marTop w:val="0"/>
          <w:marBottom w:val="0"/>
          <w:divBdr>
            <w:top w:val="none" w:sz="0" w:space="0" w:color="auto"/>
            <w:left w:val="none" w:sz="0" w:space="0" w:color="auto"/>
            <w:bottom w:val="none" w:sz="0" w:space="0" w:color="auto"/>
            <w:right w:val="none" w:sz="0" w:space="0" w:color="auto"/>
          </w:divBdr>
          <w:divsChild>
            <w:div w:id="180047974">
              <w:marLeft w:val="0"/>
              <w:marRight w:val="0"/>
              <w:marTop w:val="0"/>
              <w:marBottom w:val="0"/>
              <w:divBdr>
                <w:top w:val="none" w:sz="0" w:space="0" w:color="auto"/>
                <w:left w:val="none" w:sz="0" w:space="0" w:color="auto"/>
                <w:bottom w:val="none" w:sz="0" w:space="0" w:color="auto"/>
                <w:right w:val="none" w:sz="0" w:space="0" w:color="auto"/>
              </w:divBdr>
              <w:divsChild>
                <w:div w:id="1111123939">
                  <w:marLeft w:val="0"/>
                  <w:marRight w:val="0"/>
                  <w:marTop w:val="0"/>
                  <w:marBottom w:val="0"/>
                  <w:divBdr>
                    <w:top w:val="none" w:sz="0" w:space="0" w:color="auto"/>
                    <w:left w:val="none" w:sz="0" w:space="0" w:color="auto"/>
                    <w:bottom w:val="none" w:sz="0" w:space="0" w:color="auto"/>
                    <w:right w:val="none" w:sz="0" w:space="0" w:color="auto"/>
                  </w:divBdr>
                  <w:divsChild>
                    <w:div w:id="5053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451351">
      <w:bodyDiv w:val="1"/>
      <w:marLeft w:val="0"/>
      <w:marRight w:val="0"/>
      <w:marTop w:val="0"/>
      <w:marBottom w:val="0"/>
      <w:divBdr>
        <w:top w:val="none" w:sz="0" w:space="0" w:color="auto"/>
        <w:left w:val="none" w:sz="0" w:space="0" w:color="auto"/>
        <w:bottom w:val="none" w:sz="0" w:space="0" w:color="auto"/>
        <w:right w:val="none" w:sz="0" w:space="0" w:color="auto"/>
      </w:divBdr>
    </w:div>
    <w:div w:id="349989711">
      <w:bodyDiv w:val="1"/>
      <w:marLeft w:val="0"/>
      <w:marRight w:val="0"/>
      <w:marTop w:val="0"/>
      <w:marBottom w:val="0"/>
      <w:divBdr>
        <w:top w:val="none" w:sz="0" w:space="0" w:color="auto"/>
        <w:left w:val="none" w:sz="0" w:space="0" w:color="auto"/>
        <w:bottom w:val="none" w:sz="0" w:space="0" w:color="auto"/>
        <w:right w:val="none" w:sz="0" w:space="0" w:color="auto"/>
      </w:divBdr>
    </w:div>
    <w:div w:id="350423213">
      <w:bodyDiv w:val="1"/>
      <w:marLeft w:val="0"/>
      <w:marRight w:val="0"/>
      <w:marTop w:val="0"/>
      <w:marBottom w:val="0"/>
      <w:divBdr>
        <w:top w:val="none" w:sz="0" w:space="0" w:color="auto"/>
        <w:left w:val="none" w:sz="0" w:space="0" w:color="auto"/>
        <w:bottom w:val="none" w:sz="0" w:space="0" w:color="auto"/>
        <w:right w:val="none" w:sz="0" w:space="0" w:color="auto"/>
      </w:divBdr>
    </w:div>
    <w:div w:id="351108146">
      <w:bodyDiv w:val="1"/>
      <w:marLeft w:val="0"/>
      <w:marRight w:val="0"/>
      <w:marTop w:val="0"/>
      <w:marBottom w:val="0"/>
      <w:divBdr>
        <w:top w:val="none" w:sz="0" w:space="0" w:color="auto"/>
        <w:left w:val="none" w:sz="0" w:space="0" w:color="auto"/>
        <w:bottom w:val="none" w:sz="0" w:space="0" w:color="auto"/>
        <w:right w:val="none" w:sz="0" w:space="0" w:color="auto"/>
      </w:divBdr>
      <w:divsChild>
        <w:div w:id="484859814">
          <w:marLeft w:val="0"/>
          <w:marRight w:val="0"/>
          <w:marTop w:val="0"/>
          <w:marBottom w:val="0"/>
          <w:divBdr>
            <w:top w:val="none" w:sz="0" w:space="0" w:color="auto"/>
            <w:left w:val="none" w:sz="0" w:space="0" w:color="auto"/>
            <w:bottom w:val="none" w:sz="0" w:space="0" w:color="auto"/>
            <w:right w:val="none" w:sz="0" w:space="0" w:color="auto"/>
          </w:divBdr>
          <w:divsChild>
            <w:div w:id="233052466">
              <w:marLeft w:val="0"/>
              <w:marRight w:val="0"/>
              <w:marTop w:val="0"/>
              <w:marBottom w:val="0"/>
              <w:divBdr>
                <w:top w:val="none" w:sz="0" w:space="0" w:color="auto"/>
                <w:left w:val="none" w:sz="0" w:space="0" w:color="auto"/>
                <w:bottom w:val="none" w:sz="0" w:space="0" w:color="auto"/>
                <w:right w:val="none" w:sz="0" w:space="0" w:color="auto"/>
              </w:divBdr>
              <w:divsChild>
                <w:div w:id="494418918">
                  <w:marLeft w:val="0"/>
                  <w:marRight w:val="0"/>
                  <w:marTop w:val="0"/>
                  <w:marBottom w:val="0"/>
                  <w:divBdr>
                    <w:top w:val="none" w:sz="0" w:space="0" w:color="auto"/>
                    <w:left w:val="none" w:sz="0" w:space="0" w:color="auto"/>
                    <w:bottom w:val="none" w:sz="0" w:space="0" w:color="auto"/>
                    <w:right w:val="none" w:sz="0" w:space="0" w:color="auto"/>
                  </w:divBdr>
                  <w:divsChild>
                    <w:div w:id="94242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229407">
      <w:bodyDiv w:val="1"/>
      <w:marLeft w:val="0"/>
      <w:marRight w:val="0"/>
      <w:marTop w:val="0"/>
      <w:marBottom w:val="0"/>
      <w:divBdr>
        <w:top w:val="none" w:sz="0" w:space="0" w:color="auto"/>
        <w:left w:val="none" w:sz="0" w:space="0" w:color="auto"/>
        <w:bottom w:val="none" w:sz="0" w:space="0" w:color="auto"/>
        <w:right w:val="none" w:sz="0" w:space="0" w:color="auto"/>
      </w:divBdr>
    </w:div>
    <w:div w:id="352416778">
      <w:bodyDiv w:val="1"/>
      <w:marLeft w:val="0"/>
      <w:marRight w:val="0"/>
      <w:marTop w:val="0"/>
      <w:marBottom w:val="0"/>
      <w:divBdr>
        <w:top w:val="none" w:sz="0" w:space="0" w:color="auto"/>
        <w:left w:val="none" w:sz="0" w:space="0" w:color="auto"/>
        <w:bottom w:val="none" w:sz="0" w:space="0" w:color="auto"/>
        <w:right w:val="none" w:sz="0" w:space="0" w:color="auto"/>
      </w:divBdr>
    </w:div>
    <w:div w:id="353266538">
      <w:bodyDiv w:val="1"/>
      <w:marLeft w:val="0"/>
      <w:marRight w:val="0"/>
      <w:marTop w:val="0"/>
      <w:marBottom w:val="0"/>
      <w:divBdr>
        <w:top w:val="none" w:sz="0" w:space="0" w:color="auto"/>
        <w:left w:val="none" w:sz="0" w:space="0" w:color="auto"/>
        <w:bottom w:val="none" w:sz="0" w:space="0" w:color="auto"/>
        <w:right w:val="none" w:sz="0" w:space="0" w:color="auto"/>
      </w:divBdr>
    </w:div>
    <w:div w:id="353923779">
      <w:bodyDiv w:val="1"/>
      <w:marLeft w:val="0"/>
      <w:marRight w:val="0"/>
      <w:marTop w:val="0"/>
      <w:marBottom w:val="0"/>
      <w:divBdr>
        <w:top w:val="none" w:sz="0" w:space="0" w:color="auto"/>
        <w:left w:val="none" w:sz="0" w:space="0" w:color="auto"/>
        <w:bottom w:val="none" w:sz="0" w:space="0" w:color="auto"/>
        <w:right w:val="none" w:sz="0" w:space="0" w:color="auto"/>
      </w:divBdr>
    </w:div>
    <w:div w:id="353960666">
      <w:bodyDiv w:val="1"/>
      <w:marLeft w:val="0"/>
      <w:marRight w:val="0"/>
      <w:marTop w:val="0"/>
      <w:marBottom w:val="0"/>
      <w:divBdr>
        <w:top w:val="none" w:sz="0" w:space="0" w:color="auto"/>
        <w:left w:val="none" w:sz="0" w:space="0" w:color="auto"/>
        <w:bottom w:val="none" w:sz="0" w:space="0" w:color="auto"/>
        <w:right w:val="none" w:sz="0" w:space="0" w:color="auto"/>
      </w:divBdr>
    </w:div>
    <w:div w:id="354035863">
      <w:bodyDiv w:val="1"/>
      <w:marLeft w:val="0"/>
      <w:marRight w:val="0"/>
      <w:marTop w:val="0"/>
      <w:marBottom w:val="0"/>
      <w:divBdr>
        <w:top w:val="none" w:sz="0" w:space="0" w:color="auto"/>
        <w:left w:val="none" w:sz="0" w:space="0" w:color="auto"/>
        <w:bottom w:val="none" w:sz="0" w:space="0" w:color="auto"/>
        <w:right w:val="none" w:sz="0" w:space="0" w:color="auto"/>
      </w:divBdr>
      <w:divsChild>
        <w:div w:id="1850219743">
          <w:marLeft w:val="0"/>
          <w:marRight w:val="0"/>
          <w:marTop w:val="0"/>
          <w:marBottom w:val="0"/>
          <w:divBdr>
            <w:top w:val="none" w:sz="0" w:space="0" w:color="auto"/>
            <w:left w:val="none" w:sz="0" w:space="0" w:color="auto"/>
            <w:bottom w:val="none" w:sz="0" w:space="0" w:color="auto"/>
            <w:right w:val="none" w:sz="0" w:space="0" w:color="auto"/>
          </w:divBdr>
          <w:divsChild>
            <w:div w:id="422267614">
              <w:marLeft w:val="0"/>
              <w:marRight w:val="0"/>
              <w:marTop w:val="0"/>
              <w:marBottom w:val="0"/>
              <w:divBdr>
                <w:top w:val="none" w:sz="0" w:space="0" w:color="auto"/>
                <w:left w:val="none" w:sz="0" w:space="0" w:color="auto"/>
                <w:bottom w:val="none" w:sz="0" w:space="0" w:color="auto"/>
                <w:right w:val="none" w:sz="0" w:space="0" w:color="auto"/>
              </w:divBdr>
              <w:divsChild>
                <w:div w:id="1197280107">
                  <w:marLeft w:val="0"/>
                  <w:marRight w:val="0"/>
                  <w:marTop w:val="0"/>
                  <w:marBottom w:val="0"/>
                  <w:divBdr>
                    <w:top w:val="none" w:sz="0" w:space="0" w:color="auto"/>
                    <w:left w:val="none" w:sz="0" w:space="0" w:color="auto"/>
                    <w:bottom w:val="none" w:sz="0" w:space="0" w:color="auto"/>
                    <w:right w:val="none" w:sz="0" w:space="0" w:color="auto"/>
                  </w:divBdr>
                </w:div>
              </w:divsChild>
            </w:div>
            <w:div w:id="1341615213">
              <w:marLeft w:val="0"/>
              <w:marRight w:val="0"/>
              <w:marTop w:val="0"/>
              <w:marBottom w:val="0"/>
              <w:divBdr>
                <w:top w:val="none" w:sz="0" w:space="0" w:color="auto"/>
                <w:left w:val="none" w:sz="0" w:space="0" w:color="auto"/>
                <w:bottom w:val="none" w:sz="0" w:space="0" w:color="auto"/>
                <w:right w:val="none" w:sz="0" w:space="0" w:color="auto"/>
              </w:divBdr>
              <w:divsChild>
                <w:div w:id="655571100">
                  <w:marLeft w:val="0"/>
                  <w:marRight w:val="0"/>
                  <w:marTop w:val="0"/>
                  <w:marBottom w:val="0"/>
                  <w:divBdr>
                    <w:top w:val="none" w:sz="0" w:space="0" w:color="auto"/>
                    <w:left w:val="none" w:sz="0" w:space="0" w:color="auto"/>
                    <w:bottom w:val="none" w:sz="0" w:space="0" w:color="auto"/>
                    <w:right w:val="none" w:sz="0" w:space="0" w:color="auto"/>
                  </w:divBdr>
                </w:div>
              </w:divsChild>
            </w:div>
            <w:div w:id="1778021298">
              <w:marLeft w:val="0"/>
              <w:marRight w:val="0"/>
              <w:marTop w:val="0"/>
              <w:marBottom w:val="0"/>
              <w:divBdr>
                <w:top w:val="none" w:sz="0" w:space="0" w:color="auto"/>
                <w:left w:val="none" w:sz="0" w:space="0" w:color="auto"/>
                <w:bottom w:val="none" w:sz="0" w:space="0" w:color="auto"/>
                <w:right w:val="none" w:sz="0" w:space="0" w:color="auto"/>
              </w:divBdr>
              <w:divsChild>
                <w:div w:id="205573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037771">
      <w:bodyDiv w:val="1"/>
      <w:marLeft w:val="0"/>
      <w:marRight w:val="0"/>
      <w:marTop w:val="0"/>
      <w:marBottom w:val="0"/>
      <w:divBdr>
        <w:top w:val="none" w:sz="0" w:space="0" w:color="auto"/>
        <w:left w:val="none" w:sz="0" w:space="0" w:color="auto"/>
        <w:bottom w:val="none" w:sz="0" w:space="0" w:color="auto"/>
        <w:right w:val="none" w:sz="0" w:space="0" w:color="auto"/>
      </w:divBdr>
    </w:div>
    <w:div w:id="354498126">
      <w:bodyDiv w:val="1"/>
      <w:marLeft w:val="0"/>
      <w:marRight w:val="0"/>
      <w:marTop w:val="0"/>
      <w:marBottom w:val="0"/>
      <w:divBdr>
        <w:top w:val="none" w:sz="0" w:space="0" w:color="auto"/>
        <w:left w:val="none" w:sz="0" w:space="0" w:color="auto"/>
        <w:bottom w:val="none" w:sz="0" w:space="0" w:color="auto"/>
        <w:right w:val="none" w:sz="0" w:space="0" w:color="auto"/>
      </w:divBdr>
    </w:div>
    <w:div w:id="354694586">
      <w:bodyDiv w:val="1"/>
      <w:marLeft w:val="0"/>
      <w:marRight w:val="0"/>
      <w:marTop w:val="0"/>
      <w:marBottom w:val="0"/>
      <w:divBdr>
        <w:top w:val="none" w:sz="0" w:space="0" w:color="auto"/>
        <w:left w:val="none" w:sz="0" w:space="0" w:color="auto"/>
        <w:bottom w:val="none" w:sz="0" w:space="0" w:color="auto"/>
        <w:right w:val="none" w:sz="0" w:space="0" w:color="auto"/>
      </w:divBdr>
      <w:divsChild>
        <w:div w:id="2112044604">
          <w:marLeft w:val="0"/>
          <w:marRight w:val="0"/>
          <w:marTop w:val="0"/>
          <w:marBottom w:val="0"/>
          <w:divBdr>
            <w:top w:val="none" w:sz="0" w:space="0" w:color="auto"/>
            <w:left w:val="none" w:sz="0" w:space="0" w:color="auto"/>
            <w:bottom w:val="none" w:sz="0" w:space="0" w:color="auto"/>
            <w:right w:val="none" w:sz="0" w:space="0" w:color="auto"/>
          </w:divBdr>
          <w:divsChild>
            <w:div w:id="234363372">
              <w:marLeft w:val="0"/>
              <w:marRight w:val="0"/>
              <w:marTop w:val="0"/>
              <w:marBottom w:val="0"/>
              <w:divBdr>
                <w:top w:val="none" w:sz="0" w:space="0" w:color="auto"/>
                <w:left w:val="none" w:sz="0" w:space="0" w:color="auto"/>
                <w:bottom w:val="none" w:sz="0" w:space="0" w:color="auto"/>
                <w:right w:val="none" w:sz="0" w:space="0" w:color="auto"/>
              </w:divBdr>
              <w:divsChild>
                <w:div w:id="2021463926">
                  <w:marLeft w:val="0"/>
                  <w:marRight w:val="0"/>
                  <w:marTop w:val="0"/>
                  <w:marBottom w:val="0"/>
                  <w:divBdr>
                    <w:top w:val="none" w:sz="0" w:space="0" w:color="auto"/>
                    <w:left w:val="none" w:sz="0" w:space="0" w:color="auto"/>
                    <w:bottom w:val="none" w:sz="0" w:space="0" w:color="auto"/>
                    <w:right w:val="none" w:sz="0" w:space="0" w:color="auto"/>
                  </w:divBdr>
                  <w:divsChild>
                    <w:div w:id="10728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426764">
      <w:bodyDiv w:val="1"/>
      <w:marLeft w:val="0"/>
      <w:marRight w:val="0"/>
      <w:marTop w:val="0"/>
      <w:marBottom w:val="0"/>
      <w:divBdr>
        <w:top w:val="none" w:sz="0" w:space="0" w:color="auto"/>
        <w:left w:val="none" w:sz="0" w:space="0" w:color="auto"/>
        <w:bottom w:val="none" w:sz="0" w:space="0" w:color="auto"/>
        <w:right w:val="none" w:sz="0" w:space="0" w:color="auto"/>
      </w:divBdr>
    </w:div>
    <w:div w:id="355664133">
      <w:bodyDiv w:val="1"/>
      <w:marLeft w:val="0"/>
      <w:marRight w:val="0"/>
      <w:marTop w:val="0"/>
      <w:marBottom w:val="0"/>
      <w:divBdr>
        <w:top w:val="none" w:sz="0" w:space="0" w:color="auto"/>
        <w:left w:val="none" w:sz="0" w:space="0" w:color="auto"/>
        <w:bottom w:val="none" w:sz="0" w:space="0" w:color="auto"/>
        <w:right w:val="none" w:sz="0" w:space="0" w:color="auto"/>
      </w:divBdr>
    </w:div>
    <w:div w:id="355808330">
      <w:bodyDiv w:val="1"/>
      <w:marLeft w:val="0"/>
      <w:marRight w:val="0"/>
      <w:marTop w:val="0"/>
      <w:marBottom w:val="0"/>
      <w:divBdr>
        <w:top w:val="none" w:sz="0" w:space="0" w:color="auto"/>
        <w:left w:val="none" w:sz="0" w:space="0" w:color="auto"/>
        <w:bottom w:val="none" w:sz="0" w:space="0" w:color="auto"/>
        <w:right w:val="none" w:sz="0" w:space="0" w:color="auto"/>
      </w:divBdr>
      <w:divsChild>
        <w:div w:id="723063800">
          <w:marLeft w:val="0"/>
          <w:marRight w:val="0"/>
          <w:marTop w:val="0"/>
          <w:marBottom w:val="0"/>
          <w:divBdr>
            <w:top w:val="none" w:sz="0" w:space="0" w:color="auto"/>
            <w:left w:val="none" w:sz="0" w:space="0" w:color="auto"/>
            <w:bottom w:val="none" w:sz="0" w:space="0" w:color="auto"/>
            <w:right w:val="none" w:sz="0" w:space="0" w:color="auto"/>
          </w:divBdr>
          <w:divsChild>
            <w:div w:id="295962212">
              <w:marLeft w:val="0"/>
              <w:marRight w:val="0"/>
              <w:marTop w:val="0"/>
              <w:marBottom w:val="0"/>
              <w:divBdr>
                <w:top w:val="none" w:sz="0" w:space="0" w:color="auto"/>
                <w:left w:val="none" w:sz="0" w:space="0" w:color="auto"/>
                <w:bottom w:val="none" w:sz="0" w:space="0" w:color="auto"/>
                <w:right w:val="none" w:sz="0" w:space="0" w:color="auto"/>
              </w:divBdr>
              <w:divsChild>
                <w:div w:id="601376913">
                  <w:marLeft w:val="0"/>
                  <w:marRight w:val="0"/>
                  <w:marTop w:val="0"/>
                  <w:marBottom w:val="0"/>
                  <w:divBdr>
                    <w:top w:val="none" w:sz="0" w:space="0" w:color="auto"/>
                    <w:left w:val="none" w:sz="0" w:space="0" w:color="auto"/>
                    <w:bottom w:val="none" w:sz="0" w:space="0" w:color="auto"/>
                    <w:right w:val="none" w:sz="0" w:space="0" w:color="auto"/>
                  </w:divBdr>
                  <w:divsChild>
                    <w:div w:id="208706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124221">
      <w:bodyDiv w:val="1"/>
      <w:marLeft w:val="0"/>
      <w:marRight w:val="0"/>
      <w:marTop w:val="0"/>
      <w:marBottom w:val="0"/>
      <w:divBdr>
        <w:top w:val="none" w:sz="0" w:space="0" w:color="auto"/>
        <w:left w:val="none" w:sz="0" w:space="0" w:color="auto"/>
        <w:bottom w:val="none" w:sz="0" w:space="0" w:color="auto"/>
        <w:right w:val="none" w:sz="0" w:space="0" w:color="auto"/>
      </w:divBdr>
    </w:div>
    <w:div w:id="356396176">
      <w:bodyDiv w:val="1"/>
      <w:marLeft w:val="0"/>
      <w:marRight w:val="0"/>
      <w:marTop w:val="0"/>
      <w:marBottom w:val="0"/>
      <w:divBdr>
        <w:top w:val="none" w:sz="0" w:space="0" w:color="auto"/>
        <w:left w:val="none" w:sz="0" w:space="0" w:color="auto"/>
        <w:bottom w:val="none" w:sz="0" w:space="0" w:color="auto"/>
        <w:right w:val="none" w:sz="0" w:space="0" w:color="auto"/>
      </w:divBdr>
    </w:div>
    <w:div w:id="356471202">
      <w:bodyDiv w:val="1"/>
      <w:marLeft w:val="0"/>
      <w:marRight w:val="0"/>
      <w:marTop w:val="0"/>
      <w:marBottom w:val="0"/>
      <w:divBdr>
        <w:top w:val="none" w:sz="0" w:space="0" w:color="auto"/>
        <w:left w:val="none" w:sz="0" w:space="0" w:color="auto"/>
        <w:bottom w:val="none" w:sz="0" w:space="0" w:color="auto"/>
        <w:right w:val="none" w:sz="0" w:space="0" w:color="auto"/>
      </w:divBdr>
    </w:div>
    <w:div w:id="356810114">
      <w:bodyDiv w:val="1"/>
      <w:marLeft w:val="0"/>
      <w:marRight w:val="0"/>
      <w:marTop w:val="0"/>
      <w:marBottom w:val="0"/>
      <w:divBdr>
        <w:top w:val="none" w:sz="0" w:space="0" w:color="auto"/>
        <w:left w:val="none" w:sz="0" w:space="0" w:color="auto"/>
        <w:bottom w:val="none" w:sz="0" w:space="0" w:color="auto"/>
        <w:right w:val="none" w:sz="0" w:space="0" w:color="auto"/>
      </w:divBdr>
    </w:div>
    <w:div w:id="357856891">
      <w:bodyDiv w:val="1"/>
      <w:marLeft w:val="0"/>
      <w:marRight w:val="0"/>
      <w:marTop w:val="0"/>
      <w:marBottom w:val="0"/>
      <w:divBdr>
        <w:top w:val="none" w:sz="0" w:space="0" w:color="auto"/>
        <w:left w:val="none" w:sz="0" w:space="0" w:color="auto"/>
        <w:bottom w:val="none" w:sz="0" w:space="0" w:color="auto"/>
        <w:right w:val="none" w:sz="0" w:space="0" w:color="auto"/>
      </w:divBdr>
    </w:div>
    <w:div w:id="357972180">
      <w:bodyDiv w:val="1"/>
      <w:marLeft w:val="0"/>
      <w:marRight w:val="0"/>
      <w:marTop w:val="0"/>
      <w:marBottom w:val="0"/>
      <w:divBdr>
        <w:top w:val="none" w:sz="0" w:space="0" w:color="auto"/>
        <w:left w:val="none" w:sz="0" w:space="0" w:color="auto"/>
        <w:bottom w:val="none" w:sz="0" w:space="0" w:color="auto"/>
        <w:right w:val="none" w:sz="0" w:space="0" w:color="auto"/>
      </w:divBdr>
      <w:divsChild>
        <w:div w:id="1657687433">
          <w:marLeft w:val="0"/>
          <w:marRight w:val="0"/>
          <w:marTop w:val="0"/>
          <w:marBottom w:val="0"/>
          <w:divBdr>
            <w:top w:val="none" w:sz="0" w:space="0" w:color="auto"/>
            <w:left w:val="none" w:sz="0" w:space="0" w:color="auto"/>
            <w:bottom w:val="none" w:sz="0" w:space="0" w:color="auto"/>
            <w:right w:val="none" w:sz="0" w:space="0" w:color="auto"/>
          </w:divBdr>
          <w:divsChild>
            <w:div w:id="1717731256">
              <w:marLeft w:val="0"/>
              <w:marRight w:val="0"/>
              <w:marTop w:val="0"/>
              <w:marBottom w:val="0"/>
              <w:divBdr>
                <w:top w:val="none" w:sz="0" w:space="0" w:color="auto"/>
                <w:left w:val="none" w:sz="0" w:space="0" w:color="auto"/>
                <w:bottom w:val="none" w:sz="0" w:space="0" w:color="auto"/>
                <w:right w:val="none" w:sz="0" w:space="0" w:color="auto"/>
              </w:divBdr>
              <w:divsChild>
                <w:div w:id="1483694396">
                  <w:marLeft w:val="0"/>
                  <w:marRight w:val="0"/>
                  <w:marTop w:val="0"/>
                  <w:marBottom w:val="0"/>
                  <w:divBdr>
                    <w:top w:val="none" w:sz="0" w:space="0" w:color="auto"/>
                    <w:left w:val="none" w:sz="0" w:space="0" w:color="auto"/>
                    <w:bottom w:val="none" w:sz="0" w:space="0" w:color="auto"/>
                    <w:right w:val="none" w:sz="0" w:space="0" w:color="auto"/>
                  </w:divBdr>
                  <w:divsChild>
                    <w:div w:id="208124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819263">
      <w:bodyDiv w:val="1"/>
      <w:marLeft w:val="0"/>
      <w:marRight w:val="0"/>
      <w:marTop w:val="0"/>
      <w:marBottom w:val="0"/>
      <w:divBdr>
        <w:top w:val="none" w:sz="0" w:space="0" w:color="auto"/>
        <w:left w:val="none" w:sz="0" w:space="0" w:color="auto"/>
        <w:bottom w:val="none" w:sz="0" w:space="0" w:color="auto"/>
        <w:right w:val="none" w:sz="0" w:space="0" w:color="auto"/>
      </w:divBdr>
    </w:div>
    <w:div w:id="359013896">
      <w:bodyDiv w:val="1"/>
      <w:marLeft w:val="0"/>
      <w:marRight w:val="0"/>
      <w:marTop w:val="0"/>
      <w:marBottom w:val="0"/>
      <w:divBdr>
        <w:top w:val="none" w:sz="0" w:space="0" w:color="auto"/>
        <w:left w:val="none" w:sz="0" w:space="0" w:color="auto"/>
        <w:bottom w:val="none" w:sz="0" w:space="0" w:color="auto"/>
        <w:right w:val="none" w:sz="0" w:space="0" w:color="auto"/>
      </w:divBdr>
    </w:div>
    <w:div w:id="359400394">
      <w:bodyDiv w:val="1"/>
      <w:marLeft w:val="0"/>
      <w:marRight w:val="0"/>
      <w:marTop w:val="0"/>
      <w:marBottom w:val="0"/>
      <w:divBdr>
        <w:top w:val="none" w:sz="0" w:space="0" w:color="auto"/>
        <w:left w:val="none" w:sz="0" w:space="0" w:color="auto"/>
        <w:bottom w:val="none" w:sz="0" w:space="0" w:color="auto"/>
        <w:right w:val="none" w:sz="0" w:space="0" w:color="auto"/>
      </w:divBdr>
    </w:div>
    <w:div w:id="359744890">
      <w:bodyDiv w:val="1"/>
      <w:marLeft w:val="0"/>
      <w:marRight w:val="0"/>
      <w:marTop w:val="0"/>
      <w:marBottom w:val="0"/>
      <w:divBdr>
        <w:top w:val="none" w:sz="0" w:space="0" w:color="auto"/>
        <w:left w:val="none" w:sz="0" w:space="0" w:color="auto"/>
        <w:bottom w:val="none" w:sz="0" w:space="0" w:color="auto"/>
        <w:right w:val="none" w:sz="0" w:space="0" w:color="auto"/>
      </w:divBdr>
    </w:div>
    <w:div w:id="359819840">
      <w:bodyDiv w:val="1"/>
      <w:marLeft w:val="0"/>
      <w:marRight w:val="0"/>
      <w:marTop w:val="0"/>
      <w:marBottom w:val="0"/>
      <w:divBdr>
        <w:top w:val="none" w:sz="0" w:space="0" w:color="auto"/>
        <w:left w:val="none" w:sz="0" w:space="0" w:color="auto"/>
        <w:bottom w:val="none" w:sz="0" w:space="0" w:color="auto"/>
        <w:right w:val="none" w:sz="0" w:space="0" w:color="auto"/>
      </w:divBdr>
    </w:div>
    <w:div w:id="360787060">
      <w:bodyDiv w:val="1"/>
      <w:marLeft w:val="0"/>
      <w:marRight w:val="0"/>
      <w:marTop w:val="0"/>
      <w:marBottom w:val="0"/>
      <w:divBdr>
        <w:top w:val="none" w:sz="0" w:space="0" w:color="auto"/>
        <w:left w:val="none" w:sz="0" w:space="0" w:color="auto"/>
        <w:bottom w:val="none" w:sz="0" w:space="0" w:color="auto"/>
        <w:right w:val="none" w:sz="0" w:space="0" w:color="auto"/>
      </w:divBdr>
      <w:divsChild>
        <w:div w:id="1716464173">
          <w:marLeft w:val="0"/>
          <w:marRight w:val="0"/>
          <w:marTop w:val="0"/>
          <w:marBottom w:val="0"/>
          <w:divBdr>
            <w:top w:val="none" w:sz="0" w:space="0" w:color="auto"/>
            <w:left w:val="none" w:sz="0" w:space="0" w:color="auto"/>
            <w:bottom w:val="none" w:sz="0" w:space="0" w:color="auto"/>
            <w:right w:val="none" w:sz="0" w:space="0" w:color="auto"/>
          </w:divBdr>
          <w:divsChild>
            <w:div w:id="1957366307">
              <w:marLeft w:val="0"/>
              <w:marRight w:val="0"/>
              <w:marTop w:val="0"/>
              <w:marBottom w:val="0"/>
              <w:divBdr>
                <w:top w:val="none" w:sz="0" w:space="0" w:color="auto"/>
                <w:left w:val="none" w:sz="0" w:space="0" w:color="auto"/>
                <w:bottom w:val="none" w:sz="0" w:space="0" w:color="auto"/>
                <w:right w:val="none" w:sz="0" w:space="0" w:color="auto"/>
              </w:divBdr>
              <w:divsChild>
                <w:div w:id="645478837">
                  <w:marLeft w:val="0"/>
                  <w:marRight w:val="0"/>
                  <w:marTop w:val="0"/>
                  <w:marBottom w:val="0"/>
                  <w:divBdr>
                    <w:top w:val="none" w:sz="0" w:space="0" w:color="auto"/>
                    <w:left w:val="none" w:sz="0" w:space="0" w:color="auto"/>
                    <w:bottom w:val="none" w:sz="0" w:space="0" w:color="auto"/>
                    <w:right w:val="none" w:sz="0" w:space="0" w:color="auto"/>
                  </w:divBdr>
                  <w:divsChild>
                    <w:div w:id="1519738214">
                      <w:marLeft w:val="0"/>
                      <w:marRight w:val="0"/>
                      <w:marTop w:val="0"/>
                      <w:marBottom w:val="0"/>
                      <w:divBdr>
                        <w:top w:val="none" w:sz="0" w:space="0" w:color="auto"/>
                        <w:left w:val="none" w:sz="0" w:space="0" w:color="auto"/>
                        <w:bottom w:val="none" w:sz="0" w:space="0" w:color="auto"/>
                        <w:right w:val="none" w:sz="0" w:space="0" w:color="auto"/>
                      </w:divBdr>
                    </w:div>
                  </w:divsChild>
                </w:div>
                <w:div w:id="783579118">
                  <w:marLeft w:val="0"/>
                  <w:marRight w:val="0"/>
                  <w:marTop w:val="0"/>
                  <w:marBottom w:val="0"/>
                  <w:divBdr>
                    <w:top w:val="none" w:sz="0" w:space="0" w:color="auto"/>
                    <w:left w:val="none" w:sz="0" w:space="0" w:color="auto"/>
                    <w:bottom w:val="none" w:sz="0" w:space="0" w:color="auto"/>
                    <w:right w:val="none" w:sz="0" w:space="0" w:color="auto"/>
                  </w:divBdr>
                  <w:divsChild>
                    <w:div w:id="778640667">
                      <w:marLeft w:val="0"/>
                      <w:marRight w:val="0"/>
                      <w:marTop w:val="0"/>
                      <w:marBottom w:val="0"/>
                      <w:divBdr>
                        <w:top w:val="none" w:sz="0" w:space="0" w:color="auto"/>
                        <w:left w:val="none" w:sz="0" w:space="0" w:color="auto"/>
                        <w:bottom w:val="none" w:sz="0" w:space="0" w:color="auto"/>
                        <w:right w:val="none" w:sz="0" w:space="0" w:color="auto"/>
                      </w:divBdr>
                    </w:div>
                  </w:divsChild>
                </w:div>
                <w:div w:id="1589580557">
                  <w:marLeft w:val="0"/>
                  <w:marRight w:val="0"/>
                  <w:marTop w:val="0"/>
                  <w:marBottom w:val="0"/>
                  <w:divBdr>
                    <w:top w:val="none" w:sz="0" w:space="0" w:color="auto"/>
                    <w:left w:val="none" w:sz="0" w:space="0" w:color="auto"/>
                    <w:bottom w:val="none" w:sz="0" w:space="0" w:color="auto"/>
                    <w:right w:val="none" w:sz="0" w:space="0" w:color="auto"/>
                  </w:divBdr>
                  <w:divsChild>
                    <w:div w:id="38564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978448">
      <w:bodyDiv w:val="1"/>
      <w:marLeft w:val="0"/>
      <w:marRight w:val="0"/>
      <w:marTop w:val="0"/>
      <w:marBottom w:val="0"/>
      <w:divBdr>
        <w:top w:val="none" w:sz="0" w:space="0" w:color="auto"/>
        <w:left w:val="none" w:sz="0" w:space="0" w:color="auto"/>
        <w:bottom w:val="none" w:sz="0" w:space="0" w:color="auto"/>
        <w:right w:val="none" w:sz="0" w:space="0" w:color="auto"/>
      </w:divBdr>
      <w:divsChild>
        <w:div w:id="1705322045">
          <w:marLeft w:val="0"/>
          <w:marRight w:val="0"/>
          <w:marTop w:val="0"/>
          <w:marBottom w:val="0"/>
          <w:divBdr>
            <w:top w:val="none" w:sz="0" w:space="0" w:color="auto"/>
            <w:left w:val="none" w:sz="0" w:space="0" w:color="auto"/>
            <w:bottom w:val="none" w:sz="0" w:space="0" w:color="auto"/>
            <w:right w:val="none" w:sz="0" w:space="0" w:color="auto"/>
          </w:divBdr>
          <w:divsChild>
            <w:div w:id="1004628665">
              <w:marLeft w:val="0"/>
              <w:marRight w:val="0"/>
              <w:marTop w:val="0"/>
              <w:marBottom w:val="0"/>
              <w:divBdr>
                <w:top w:val="none" w:sz="0" w:space="0" w:color="auto"/>
                <w:left w:val="none" w:sz="0" w:space="0" w:color="auto"/>
                <w:bottom w:val="none" w:sz="0" w:space="0" w:color="auto"/>
                <w:right w:val="none" w:sz="0" w:space="0" w:color="auto"/>
              </w:divBdr>
              <w:divsChild>
                <w:div w:id="2078819501">
                  <w:marLeft w:val="0"/>
                  <w:marRight w:val="0"/>
                  <w:marTop w:val="0"/>
                  <w:marBottom w:val="0"/>
                  <w:divBdr>
                    <w:top w:val="none" w:sz="0" w:space="0" w:color="auto"/>
                    <w:left w:val="none" w:sz="0" w:space="0" w:color="auto"/>
                    <w:bottom w:val="none" w:sz="0" w:space="0" w:color="auto"/>
                    <w:right w:val="none" w:sz="0" w:space="0" w:color="auto"/>
                  </w:divBdr>
                  <w:divsChild>
                    <w:div w:id="14769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133684">
      <w:bodyDiv w:val="1"/>
      <w:marLeft w:val="0"/>
      <w:marRight w:val="0"/>
      <w:marTop w:val="0"/>
      <w:marBottom w:val="0"/>
      <w:divBdr>
        <w:top w:val="none" w:sz="0" w:space="0" w:color="auto"/>
        <w:left w:val="none" w:sz="0" w:space="0" w:color="auto"/>
        <w:bottom w:val="none" w:sz="0" w:space="0" w:color="auto"/>
        <w:right w:val="none" w:sz="0" w:space="0" w:color="auto"/>
      </w:divBdr>
    </w:div>
    <w:div w:id="361173556">
      <w:bodyDiv w:val="1"/>
      <w:marLeft w:val="0"/>
      <w:marRight w:val="0"/>
      <w:marTop w:val="0"/>
      <w:marBottom w:val="0"/>
      <w:divBdr>
        <w:top w:val="none" w:sz="0" w:space="0" w:color="auto"/>
        <w:left w:val="none" w:sz="0" w:space="0" w:color="auto"/>
        <w:bottom w:val="none" w:sz="0" w:space="0" w:color="auto"/>
        <w:right w:val="none" w:sz="0" w:space="0" w:color="auto"/>
      </w:divBdr>
    </w:div>
    <w:div w:id="362482527">
      <w:bodyDiv w:val="1"/>
      <w:marLeft w:val="0"/>
      <w:marRight w:val="0"/>
      <w:marTop w:val="0"/>
      <w:marBottom w:val="0"/>
      <w:divBdr>
        <w:top w:val="none" w:sz="0" w:space="0" w:color="auto"/>
        <w:left w:val="none" w:sz="0" w:space="0" w:color="auto"/>
        <w:bottom w:val="none" w:sz="0" w:space="0" w:color="auto"/>
        <w:right w:val="none" w:sz="0" w:space="0" w:color="auto"/>
      </w:divBdr>
    </w:div>
    <w:div w:id="364986046">
      <w:bodyDiv w:val="1"/>
      <w:marLeft w:val="0"/>
      <w:marRight w:val="0"/>
      <w:marTop w:val="0"/>
      <w:marBottom w:val="0"/>
      <w:divBdr>
        <w:top w:val="none" w:sz="0" w:space="0" w:color="auto"/>
        <w:left w:val="none" w:sz="0" w:space="0" w:color="auto"/>
        <w:bottom w:val="none" w:sz="0" w:space="0" w:color="auto"/>
        <w:right w:val="none" w:sz="0" w:space="0" w:color="auto"/>
      </w:divBdr>
    </w:div>
    <w:div w:id="365326873">
      <w:bodyDiv w:val="1"/>
      <w:marLeft w:val="0"/>
      <w:marRight w:val="0"/>
      <w:marTop w:val="0"/>
      <w:marBottom w:val="0"/>
      <w:divBdr>
        <w:top w:val="none" w:sz="0" w:space="0" w:color="auto"/>
        <w:left w:val="none" w:sz="0" w:space="0" w:color="auto"/>
        <w:bottom w:val="none" w:sz="0" w:space="0" w:color="auto"/>
        <w:right w:val="none" w:sz="0" w:space="0" w:color="auto"/>
      </w:divBdr>
    </w:div>
    <w:div w:id="367609105">
      <w:bodyDiv w:val="1"/>
      <w:marLeft w:val="0"/>
      <w:marRight w:val="0"/>
      <w:marTop w:val="0"/>
      <w:marBottom w:val="0"/>
      <w:divBdr>
        <w:top w:val="none" w:sz="0" w:space="0" w:color="auto"/>
        <w:left w:val="none" w:sz="0" w:space="0" w:color="auto"/>
        <w:bottom w:val="none" w:sz="0" w:space="0" w:color="auto"/>
        <w:right w:val="none" w:sz="0" w:space="0" w:color="auto"/>
      </w:divBdr>
    </w:div>
    <w:div w:id="368183561">
      <w:bodyDiv w:val="1"/>
      <w:marLeft w:val="0"/>
      <w:marRight w:val="0"/>
      <w:marTop w:val="0"/>
      <w:marBottom w:val="0"/>
      <w:divBdr>
        <w:top w:val="none" w:sz="0" w:space="0" w:color="auto"/>
        <w:left w:val="none" w:sz="0" w:space="0" w:color="auto"/>
        <w:bottom w:val="none" w:sz="0" w:space="0" w:color="auto"/>
        <w:right w:val="none" w:sz="0" w:space="0" w:color="auto"/>
      </w:divBdr>
    </w:div>
    <w:div w:id="368920549">
      <w:bodyDiv w:val="1"/>
      <w:marLeft w:val="0"/>
      <w:marRight w:val="0"/>
      <w:marTop w:val="0"/>
      <w:marBottom w:val="0"/>
      <w:divBdr>
        <w:top w:val="none" w:sz="0" w:space="0" w:color="auto"/>
        <w:left w:val="none" w:sz="0" w:space="0" w:color="auto"/>
        <w:bottom w:val="none" w:sz="0" w:space="0" w:color="auto"/>
        <w:right w:val="none" w:sz="0" w:space="0" w:color="auto"/>
      </w:divBdr>
    </w:div>
    <w:div w:id="369495210">
      <w:bodyDiv w:val="1"/>
      <w:marLeft w:val="0"/>
      <w:marRight w:val="0"/>
      <w:marTop w:val="0"/>
      <w:marBottom w:val="0"/>
      <w:divBdr>
        <w:top w:val="none" w:sz="0" w:space="0" w:color="auto"/>
        <w:left w:val="none" w:sz="0" w:space="0" w:color="auto"/>
        <w:bottom w:val="none" w:sz="0" w:space="0" w:color="auto"/>
        <w:right w:val="none" w:sz="0" w:space="0" w:color="auto"/>
      </w:divBdr>
    </w:div>
    <w:div w:id="370113641">
      <w:bodyDiv w:val="1"/>
      <w:marLeft w:val="0"/>
      <w:marRight w:val="0"/>
      <w:marTop w:val="0"/>
      <w:marBottom w:val="0"/>
      <w:divBdr>
        <w:top w:val="none" w:sz="0" w:space="0" w:color="auto"/>
        <w:left w:val="none" w:sz="0" w:space="0" w:color="auto"/>
        <w:bottom w:val="none" w:sz="0" w:space="0" w:color="auto"/>
        <w:right w:val="none" w:sz="0" w:space="0" w:color="auto"/>
      </w:divBdr>
      <w:divsChild>
        <w:div w:id="735588342">
          <w:marLeft w:val="0"/>
          <w:marRight w:val="0"/>
          <w:marTop w:val="0"/>
          <w:marBottom w:val="0"/>
          <w:divBdr>
            <w:top w:val="none" w:sz="0" w:space="0" w:color="auto"/>
            <w:left w:val="none" w:sz="0" w:space="0" w:color="auto"/>
            <w:bottom w:val="none" w:sz="0" w:space="0" w:color="auto"/>
            <w:right w:val="none" w:sz="0" w:space="0" w:color="auto"/>
          </w:divBdr>
          <w:divsChild>
            <w:div w:id="675764722">
              <w:marLeft w:val="0"/>
              <w:marRight w:val="0"/>
              <w:marTop w:val="0"/>
              <w:marBottom w:val="0"/>
              <w:divBdr>
                <w:top w:val="none" w:sz="0" w:space="0" w:color="auto"/>
                <w:left w:val="none" w:sz="0" w:space="0" w:color="auto"/>
                <w:bottom w:val="none" w:sz="0" w:space="0" w:color="auto"/>
                <w:right w:val="none" w:sz="0" w:space="0" w:color="auto"/>
              </w:divBdr>
              <w:divsChild>
                <w:div w:id="627668327">
                  <w:marLeft w:val="0"/>
                  <w:marRight w:val="0"/>
                  <w:marTop w:val="0"/>
                  <w:marBottom w:val="0"/>
                  <w:divBdr>
                    <w:top w:val="none" w:sz="0" w:space="0" w:color="auto"/>
                    <w:left w:val="none" w:sz="0" w:space="0" w:color="auto"/>
                    <w:bottom w:val="none" w:sz="0" w:space="0" w:color="auto"/>
                    <w:right w:val="none" w:sz="0" w:space="0" w:color="auto"/>
                  </w:divBdr>
                  <w:divsChild>
                    <w:div w:id="72845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961307">
      <w:bodyDiv w:val="1"/>
      <w:marLeft w:val="0"/>
      <w:marRight w:val="0"/>
      <w:marTop w:val="0"/>
      <w:marBottom w:val="0"/>
      <w:divBdr>
        <w:top w:val="none" w:sz="0" w:space="0" w:color="auto"/>
        <w:left w:val="none" w:sz="0" w:space="0" w:color="auto"/>
        <w:bottom w:val="none" w:sz="0" w:space="0" w:color="auto"/>
        <w:right w:val="none" w:sz="0" w:space="0" w:color="auto"/>
      </w:divBdr>
    </w:div>
    <w:div w:id="371073464">
      <w:bodyDiv w:val="1"/>
      <w:marLeft w:val="0"/>
      <w:marRight w:val="0"/>
      <w:marTop w:val="0"/>
      <w:marBottom w:val="0"/>
      <w:divBdr>
        <w:top w:val="none" w:sz="0" w:space="0" w:color="auto"/>
        <w:left w:val="none" w:sz="0" w:space="0" w:color="auto"/>
        <w:bottom w:val="none" w:sz="0" w:space="0" w:color="auto"/>
        <w:right w:val="none" w:sz="0" w:space="0" w:color="auto"/>
      </w:divBdr>
    </w:div>
    <w:div w:id="372116923">
      <w:bodyDiv w:val="1"/>
      <w:marLeft w:val="0"/>
      <w:marRight w:val="0"/>
      <w:marTop w:val="0"/>
      <w:marBottom w:val="0"/>
      <w:divBdr>
        <w:top w:val="none" w:sz="0" w:space="0" w:color="auto"/>
        <w:left w:val="none" w:sz="0" w:space="0" w:color="auto"/>
        <w:bottom w:val="none" w:sz="0" w:space="0" w:color="auto"/>
        <w:right w:val="none" w:sz="0" w:space="0" w:color="auto"/>
      </w:divBdr>
      <w:divsChild>
        <w:div w:id="358164430">
          <w:marLeft w:val="0"/>
          <w:marRight w:val="0"/>
          <w:marTop w:val="0"/>
          <w:marBottom w:val="0"/>
          <w:divBdr>
            <w:top w:val="none" w:sz="0" w:space="0" w:color="auto"/>
            <w:left w:val="none" w:sz="0" w:space="0" w:color="auto"/>
            <w:bottom w:val="none" w:sz="0" w:space="0" w:color="auto"/>
            <w:right w:val="none" w:sz="0" w:space="0" w:color="auto"/>
          </w:divBdr>
          <w:divsChild>
            <w:div w:id="1246957186">
              <w:marLeft w:val="0"/>
              <w:marRight w:val="0"/>
              <w:marTop w:val="0"/>
              <w:marBottom w:val="0"/>
              <w:divBdr>
                <w:top w:val="none" w:sz="0" w:space="0" w:color="auto"/>
                <w:left w:val="none" w:sz="0" w:space="0" w:color="auto"/>
                <w:bottom w:val="none" w:sz="0" w:space="0" w:color="auto"/>
                <w:right w:val="none" w:sz="0" w:space="0" w:color="auto"/>
              </w:divBdr>
              <w:divsChild>
                <w:div w:id="895166185">
                  <w:marLeft w:val="0"/>
                  <w:marRight w:val="0"/>
                  <w:marTop w:val="0"/>
                  <w:marBottom w:val="0"/>
                  <w:divBdr>
                    <w:top w:val="none" w:sz="0" w:space="0" w:color="auto"/>
                    <w:left w:val="none" w:sz="0" w:space="0" w:color="auto"/>
                    <w:bottom w:val="none" w:sz="0" w:space="0" w:color="auto"/>
                    <w:right w:val="none" w:sz="0" w:space="0" w:color="auto"/>
                  </w:divBdr>
                  <w:divsChild>
                    <w:div w:id="1208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97977">
      <w:bodyDiv w:val="1"/>
      <w:marLeft w:val="0"/>
      <w:marRight w:val="0"/>
      <w:marTop w:val="0"/>
      <w:marBottom w:val="0"/>
      <w:divBdr>
        <w:top w:val="none" w:sz="0" w:space="0" w:color="auto"/>
        <w:left w:val="none" w:sz="0" w:space="0" w:color="auto"/>
        <w:bottom w:val="none" w:sz="0" w:space="0" w:color="auto"/>
        <w:right w:val="none" w:sz="0" w:space="0" w:color="auto"/>
      </w:divBdr>
    </w:div>
    <w:div w:id="373429720">
      <w:bodyDiv w:val="1"/>
      <w:marLeft w:val="0"/>
      <w:marRight w:val="0"/>
      <w:marTop w:val="0"/>
      <w:marBottom w:val="0"/>
      <w:divBdr>
        <w:top w:val="none" w:sz="0" w:space="0" w:color="auto"/>
        <w:left w:val="none" w:sz="0" w:space="0" w:color="auto"/>
        <w:bottom w:val="none" w:sz="0" w:space="0" w:color="auto"/>
        <w:right w:val="none" w:sz="0" w:space="0" w:color="auto"/>
      </w:divBdr>
    </w:div>
    <w:div w:id="374624267">
      <w:bodyDiv w:val="1"/>
      <w:marLeft w:val="0"/>
      <w:marRight w:val="0"/>
      <w:marTop w:val="0"/>
      <w:marBottom w:val="0"/>
      <w:divBdr>
        <w:top w:val="none" w:sz="0" w:space="0" w:color="auto"/>
        <w:left w:val="none" w:sz="0" w:space="0" w:color="auto"/>
        <w:bottom w:val="none" w:sz="0" w:space="0" w:color="auto"/>
        <w:right w:val="none" w:sz="0" w:space="0" w:color="auto"/>
      </w:divBdr>
    </w:div>
    <w:div w:id="374736090">
      <w:bodyDiv w:val="1"/>
      <w:marLeft w:val="0"/>
      <w:marRight w:val="0"/>
      <w:marTop w:val="0"/>
      <w:marBottom w:val="0"/>
      <w:divBdr>
        <w:top w:val="none" w:sz="0" w:space="0" w:color="auto"/>
        <w:left w:val="none" w:sz="0" w:space="0" w:color="auto"/>
        <w:bottom w:val="none" w:sz="0" w:space="0" w:color="auto"/>
        <w:right w:val="none" w:sz="0" w:space="0" w:color="auto"/>
      </w:divBdr>
    </w:div>
    <w:div w:id="375355171">
      <w:bodyDiv w:val="1"/>
      <w:marLeft w:val="0"/>
      <w:marRight w:val="0"/>
      <w:marTop w:val="0"/>
      <w:marBottom w:val="0"/>
      <w:divBdr>
        <w:top w:val="none" w:sz="0" w:space="0" w:color="auto"/>
        <w:left w:val="none" w:sz="0" w:space="0" w:color="auto"/>
        <w:bottom w:val="none" w:sz="0" w:space="0" w:color="auto"/>
        <w:right w:val="none" w:sz="0" w:space="0" w:color="auto"/>
      </w:divBdr>
    </w:div>
    <w:div w:id="376246025">
      <w:bodyDiv w:val="1"/>
      <w:marLeft w:val="0"/>
      <w:marRight w:val="0"/>
      <w:marTop w:val="0"/>
      <w:marBottom w:val="0"/>
      <w:divBdr>
        <w:top w:val="none" w:sz="0" w:space="0" w:color="auto"/>
        <w:left w:val="none" w:sz="0" w:space="0" w:color="auto"/>
        <w:bottom w:val="none" w:sz="0" w:space="0" w:color="auto"/>
        <w:right w:val="none" w:sz="0" w:space="0" w:color="auto"/>
      </w:divBdr>
    </w:div>
    <w:div w:id="376702376">
      <w:bodyDiv w:val="1"/>
      <w:marLeft w:val="0"/>
      <w:marRight w:val="0"/>
      <w:marTop w:val="0"/>
      <w:marBottom w:val="0"/>
      <w:divBdr>
        <w:top w:val="none" w:sz="0" w:space="0" w:color="auto"/>
        <w:left w:val="none" w:sz="0" w:space="0" w:color="auto"/>
        <w:bottom w:val="none" w:sz="0" w:space="0" w:color="auto"/>
        <w:right w:val="none" w:sz="0" w:space="0" w:color="auto"/>
      </w:divBdr>
    </w:div>
    <w:div w:id="377164575">
      <w:bodyDiv w:val="1"/>
      <w:marLeft w:val="0"/>
      <w:marRight w:val="0"/>
      <w:marTop w:val="0"/>
      <w:marBottom w:val="0"/>
      <w:divBdr>
        <w:top w:val="none" w:sz="0" w:space="0" w:color="auto"/>
        <w:left w:val="none" w:sz="0" w:space="0" w:color="auto"/>
        <w:bottom w:val="none" w:sz="0" w:space="0" w:color="auto"/>
        <w:right w:val="none" w:sz="0" w:space="0" w:color="auto"/>
      </w:divBdr>
    </w:div>
    <w:div w:id="377436642">
      <w:bodyDiv w:val="1"/>
      <w:marLeft w:val="0"/>
      <w:marRight w:val="0"/>
      <w:marTop w:val="0"/>
      <w:marBottom w:val="0"/>
      <w:divBdr>
        <w:top w:val="none" w:sz="0" w:space="0" w:color="auto"/>
        <w:left w:val="none" w:sz="0" w:space="0" w:color="auto"/>
        <w:bottom w:val="none" w:sz="0" w:space="0" w:color="auto"/>
        <w:right w:val="none" w:sz="0" w:space="0" w:color="auto"/>
      </w:divBdr>
    </w:div>
    <w:div w:id="378676583">
      <w:bodyDiv w:val="1"/>
      <w:marLeft w:val="0"/>
      <w:marRight w:val="0"/>
      <w:marTop w:val="0"/>
      <w:marBottom w:val="0"/>
      <w:divBdr>
        <w:top w:val="none" w:sz="0" w:space="0" w:color="auto"/>
        <w:left w:val="none" w:sz="0" w:space="0" w:color="auto"/>
        <w:bottom w:val="none" w:sz="0" w:space="0" w:color="auto"/>
        <w:right w:val="none" w:sz="0" w:space="0" w:color="auto"/>
      </w:divBdr>
    </w:div>
    <w:div w:id="379131911">
      <w:bodyDiv w:val="1"/>
      <w:marLeft w:val="0"/>
      <w:marRight w:val="0"/>
      <w:marTop w:val="0"/>
      <w:marBottom w:val="0"/>
      <w:divBdr>
        <w:top w:val="none" w:sz="0" w:space="0" w:color="auto"/>
        <w:left w:val="none" w:sz="0" w:space="0" w:color="auto"/>
        <w:bottom w:val="none" w:sz="0" w:space="0" w:color="auto"/>
        <w:right w:val="none" w:sz="0" w:space="0" w:color="auto"/>
      </w:divBdr>
      <w:divsChild>
        <w:div w:id="1357659277">
          <w:marLeft w:val="0"/>
          <w:marRight w:val="0"/>
          <w:marTop w:val="0"/>
          <w:marBottom w:val="0"/>
          <w:divBdr>
            <w:top w:val="none" w:sz="0" w:space="0" w:color="auto"/>
            <w:left w:val="none" w:sz="0" w:space="0" w:color="auto"/>
            <w:bottom w:val="none" w:sz="0" w:space="0" w:color="auto"/>
            <w:right w:val="none" w:sz="0" w:space="0" w:color="auto"/>
          </w:divBdr>
          <w:divsChild>
            <w:div w:id="1515807206">
              <w:marLeft w:val="0"/>
              <w:marRight w:val="0"/>
              <w:marTop w:val="0"/>
              <w:marBottom w:val="0"/>
              <w:divBdr>
                <w:top w:val="none" w:sz="0" w:space="0" w:color="auto"/>
                <w:left w:val="none" w:sz="0" w:space="0" w:color="auto"/>
                <w:bottom w:val="none" w:sz="0" w:space="0" w:color="auto"/>
                <w:right w:val="none" w:sz="0" w:space="0" w:color="auto"/>
              </w:divBdr>
              <w:divsChild>
                <w:div w:id="889462255">
                  <w:marLeft w:val="0"/>
                  <w:marRight w:val="0"/>
                  <w:marTop w:val="0"/>
                  <w:marBottom w:val="0"/>
                  <w:divBdr>
                    <w:top w:val="none" w:sz="0" w:space="0" w:color="auto"/>
                    <w:left w:val="none" w:sz="0" w:space="0" w:color="auto"/>
                    <w:bottom w:val="none" w:sz="0" w:space="0" w:color="auto"/>
                    <w:right w:val="none" w:sz="0" w:space="0" w:color="auto"/>
                  </w:divBdr>
                  <w:divsChild>
                    <w:div w:id="11364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367693">
      <w:bodyDiv w:val="1"/>
      <w:marLeft w:val="0"/>
      <w:marRight w:val="0"/>
      <w:marTop w:val="0"/>
      <w:marBottom w:val="0"/>
      <w:divBdr>
        <w:top w:val="none" w:sz="0" w:space="0" w:color="auto"/>
        <w:left w:val="none" w:sz="0" w:space="0" w:color="auto"/>
        <w:bottom w:val="none" w:sz="0" w:space="0" w:color="auto"/>
        <w:right w:val="none" w:sz="0" w:space="0" w:color="auto"/>
      </w:divBdr>
    </w:div>
    <w:div w:id="381750881">
      <w:bodyDiv w:val="1"/>
      <w:marLeft w:val="0"/>
      <w:marRight w:val="0"/>
      <w:marTop w:val="0"/>
      <w:marBottom w:val="0"/>
      <w:divBdr>
        <w:top w:val="none" w:sz="0" w:space="0" w:color="auto"/>
        <w:left w:val="none" w:sz="0" w:space="0" w:color="auto"/>
        <w:bottom w:val="none" w:sz="0" w:space="0" w:color="auto"/>
        <w:right w:val="none" w:sz="0" w:space="0" w:color="auto"/>
      </w:divBdr>
      <w:divsChild>
        <w:div w:id="1578592397">
          <w:marLeft w:val="0"/>
          <w:marRight w:val="0"/>
          <w:marTop w:val="0"/>
          <w:marBottom w:val="0"/>
          <w:divBdr>
            <w:top w:val="none" w:sz="0" w:space="0" w:color="auto"/>
            <w:left w:val="none" w:sz="0" w:space="0" w:color="auto"/>
            <w:bottom w:val="none" w:sz="0" w:space="0" w:color="auto"/>
            <w:right w:val="none" w:sz="0" w:space="0" w:color="auto"/>
          </w:divBdr>
          <w:divsChild>
            <w:div w:id="686180766">
              <w:marLeft w:val="0"/>
              <w:marRight w:val="0"/>
              <w:marTop w:val="0"/>
              <w:marBottom w:val="0"/>
              <w:divBdr>
                <w:top w:val="none" w:sz="0" w:space="0" w:color="auto"/>
                <w:left w:val="none" w:sz="0" w:space="0" w:color="auto"/>
                <w:bottom w:val="none" w:sz="0" w:space="0" w:color="auto"/>
                <w:right w:val="none" w:sz="0" w:space="0" w:color="auto"/>
              </w:divBdr>
              <w:divsChild>
                <w:div w:id="52162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4167">
      <w:bodyDiv w:val="1"/>
      <w:marLeft w:val="0"/>
      <w:marRight w:val="0"/>
      <w:marTop w:val="0"/>
      <w:marBottom w:val="0"/>
      <w:divBdr>
        <w:top w:val="none" w:sz="0" w:space="0" w:color="auto"/>
        <w:left w:val="none" w:sz="0" w:space="0" w:color="auto"/>
        <w:bottom w:val="none" w:sz="0" w:space="0" w:color="auto"/>
        <w:right w:val="none" w:sz="0" w:space="0" w:color="auto"/>
      </w:divBdr>
    </w:div>
    <w:div w:id="382604530">
      <w:bodyDiv w:val="1"/>
      <w:marLeft w:val="0"/>
      <w:marRight w:val="0"/>
      <w:marTop w:val="0"/>
      <w:marBottom w:val="0"/>
      <w:divBdr>
        <w:top w:val="none" w:sz="0" w:space="0" w:color="auto"/>
        <w:left w:val="none" w:sz="0" w:space="0" w:color="auto"/>
        <w:bottom w:val="none" w:sz="0" w:space="0" w:color="auto"/>
        <w:right w:val="none" w:sz="0" w:space="0" w:color="auto"/>
      </w:divBdr>
    </w:div>
    <w:div w:id="383676236">
      <w:bodyDiv w:val="1"/>
      <w:marLeft w:val="0"/>
      <w:marRight w:val="0"/>
      <w:marTop w:val="0"/>
      <w:marBottom w:val="0"/>
      <w:divBdr>
        <w:top w:val="none" w:sz="0" w:space="0" w:color="auto"/>
        <w:left w:val="none" w:sz="0" w:space="0" w:color="auto"/>
        <w:bottom w:val="none" w:sz="0" w:space="0" w:color="auto"/>
        <w:right w:val="none" w:sz="0" w:space="0" w:color="auto"/>
      </w:divBdr>
      <w:divsChild>
        <w:div w:id="2057200961">
          <w:marLeft w:val="0"/>
          <w:marRight w:val="0"/>
          <w:marTop w:val="0"/>
          <w:marBottom w:val="0"/>
          <w:divBdr>
            <w:top w:val="none" w:sz="0" w:space="0" w:color="auto"/>
            <w:left w:val="none" w:sz="0" w:space="0" w:color="auto"/>
            <w:bottom w:val="none" w:sz="0" w:space="0" w:color="auto"/>
            <w:right w:val="none" w:sz="0" w:space="0" w:color="auto"/>
          </w:divBdr>
          <w:divsChild>
            <w:div w:id="758138501">
              <w:marLeft w:val="0"/>
              <w:marRight w:val="0"/>
              <w:marTop w:val="0"/>
              <w:marBottom w:val="0"/>
              <w:divBdr>
                <w:top w:val="none" w:sz="0" w:space="0" w:color="auto"/>
                <w:left w:val="none" w:sz="0" w:space="0" w:color="auto"/>
                <w:bottom w:val="none" w:sz="0" w:space="0" w:color="auto"/>
                <w:right w:val="none" w:sz="0" w:space="0" w:color="auto"/>
              </w:divBdr>
              <w:divsChild>
                <w:div w:id="436364016">
                  <w:marLeft w:val="0"/>
                  <w:marRight w:val="0"/>
                  <w:marTop w:val="0"/>
                  <w:marBottom w:val="0"/>
                  <w:divBdr>
                    <w:top w:val="none" w:sz="0" w:space="0" w:color="auto"/>
                    <w:left w:val="none" w:sz="0" w:space="0" w:color="auto"/>
                    <w:bottom w:val="none" w:sz="0" w:space="0" w:color="auto"/>
                    <w:right w:val="none" w:sz="0" w:space="0" w:color="auto"/>
                  </w:divBdr>
                  <w:divsChild>
                    <w:div w:id="142522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677446">
      <w:bodyDiv w:val="1"/>
      <w:marLeft w:val="0"/>
      <w:marRight w:val="0"/>
      <w:marTop w:val="0"/>
      <w:marBottom w:val="0"/>
      <w:divBdr>
        <w:top w:val="none" w:sz="0" w:space="0" w:color="auto"/>
        <w:left w:val="none" w:sz="0" w:space="0" w:color="auto"/>
        <w:bottom w:val="none" w:sz="0" w:space="0" w:color="auto"/>
        <w:right w:val="none" w:sz="0" w:space="0" w:color="auto"/>
      </w:divBdr>
    </w:div>
    <w:div w:id="384984497">
      <w:bodyDiv w:val="1"/>
      <w:marLeft w:val="0"/>
      <w:marRight w:val="0"/>
      <w:marTop w:val="0"/>
      <w:marBottom w:val="0"/>
      <w:divBdr>
        <w:top w:val="none" w:sz="0" w:space="0" w:color="auto"/>
        <w:left w:val="none" w:sz="0" w:space="0" w:color="auto"/>
        <w:bottom w:val="none" w:sz="0" w:space="0" w:color="auto"/>
        <w:right w:val="none" w:sz="0" w:space="0" w:color="auto"/>
      </w:divBdr>
    </w:div>
    <w:div w:id="385418142">
      <w:bodyDiv w:val="1"/>
      <w:marLeft w:val="0"/>
      <w:marRight w:val="0"/>
      <w:marTop w:val="0"/>
      <w:marBottom w:val="0"/>
      <w:divBdr>
        <w:top w:val="none" w:sz="0" w:space="0" w:color="auto"/>
        <w:left w:val="none" w:sz="0" w:space="0" w:color="auto"/>
        <w:bottom w:val="none" w:sz="0" w:space="0" w:color="auto"/>
        <w:right w:val="none" w:sz="0" w:space="0" w:color="auto"/>
      </w:divBdr>
    </w:div>
    <w:div w:id="385448568">
      <w:bodyDiv w:val="1"/>
      <w:marLeft w:val="0"/>
      <w:marRight w:val="0"/>
      <w:marTop w:val="0"/>
      <w:marBottom w:val="0"/>
      <w:divBdr>
        <w:top w:val="none" w:sz="0" w:space="0" w:color="auto"/>
        <w:left w:val="none" w:sz="0" w:space="0" w:color="auto"/>
        <w:bottom w:val="none" w:sz="0" w:space="0" w:color="auto"/>
        <w:right w:val="none" w:sz="0" w:space="0" w:color="auto"/>
      </w:divBdr>
    </w:div>
    <w:div w:id="385952671">
      <w:bodyDiv w:val="1"/>
      <w:marLeft w:val="0"/>
      <w:marRight w:val="0"/>
      <w:marTop w:val="0"/>
      <w:marBottom w:val="0"/>
      <w:divBdr>
        <w:top w:val="none" w:sz="0" w:space="0" w:color="auto"/>
        <w:left w:val="none" w:sz="0" w:space="0" w:color="auto"/>
        <w:bottom w:val="none" w:sz="0" w:space="0" w:color="auto"/>
        <w:right w:val="none" w:sz="0" w:space="0" w:color="auto"/>
      </w:divBdr>
      <w:divsChild>
        <w:div w:id="147599971">
          <w:marLeft w:val="0"/>
          <w:marRight w:val="0"/>
          <w:marTop w:val="0"/>
          <w:marBottom w:val="0"/>
          <w:divBdr>
            <w:top w:val="none" w:sz="0" w:space="0" w:color="auto"/>
            <w:left w:val="none" w:sz="0" w:space="0" w:color="auto"/>
            <w:bottom w:val="none" w:sz="0" w:space="0" w:color="auto"/>
            <w:right w:val="none" w:sz="0" w:space="0" w:color="auto"/>
          </w:divBdr>
          <w:divsChild>
            <w:div w:id="760955949">
              <w:marLeft w:val="0"/>
              <w:marRight w:val="0"/>
              <w:marTop w:val="0"/>
              <w:marBottom w:val="0"/>
              <w:divBdr>
                <w:top w:val="none" w:sz="0" w:space="0" w:color="auto"/>
                <w:left w:val="none" w:sz="0" w:space="0" w:color="auto"/>
                <w:bottom w:val="none" w:sz="0" w:space="0" w:color="auto"/>
                <w:right w:val="none" w:sz="0" w:space="0" w:color="auto"/>
              </w:divBdr>
              <w:divsChild>
                <w:div w:id="818112984">
                  <w:marLeft w:val="0"/>
                  <w:marRight w:val="0"/>
                  <w:marTop w:val="0"/>
                  <w:marBottom w:val="0"/>
                  <w:divBdr>
                    <w:top w:val="none" w:sz="0" w:space="0" w:color="auto"/>
                    <w:left w:val="none" w:sz="0" w:space="0" w:color="auto"/>
                    <w:bottom w:val="none" w:sz="0" w:space="0" w:color="auto"/>
                    <w:right w:val="none" w:sz="0" w:space="0" w:color="auto"/>
                  </w:divBdr>
                  <w:divsChild>
                    <w:div w:id="857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151558">
      <w:bodyDiv w:val="1"/>
      <w:marLeft w:val="0"/>
      <w:marRight w:val="0"/>
      <w:marTop w:val="0"/>
      <w:marBottom w:val="0"/>
      <w:divBdr>
        <w:top w:val="none" w:sz="0" w:space="0" w:color="auto"/>
        <w:left w:val="none" w:sz="0" w:space="0" w:color="auto"/>
        <w:bottom w:val="none" w:sz="0" w:space="0" w:color="auto"/>
        <w:right w:val="none" w:sz="0" w:space="0" w:color="auto"/>
      </w:divBdr>
      <w:divsChild>
        <w:div w:id="2006781877">
          <w:marLeft w:val="0"/>
          <w:marRight w:val="0"/>
          <w:marTop w:val="0"/>
          <w:marBottom w:val="0"/>
          <w:divBdr>
            <w:top w:val="none" w:sz="0" w:space="0" w:color="auto"/>
            <w:left w:val="none" w:sz="0" w:space="0" w:color="auto"/>
            <w:bottom w:val="none" w:sz="0" w:space="0" w:color="auto"/>
            <w:right w:val="none" w:sz="0" w:space="0" w:color="auto"/>
          </w:divBdr>
          <w:divsChild>
            <w:div w:id="129523431">
              <w:marLeft w:val="0"/>
              <w:marRight w:val="0"/>
              <w:marTop w:val="0"/>
              <w:marBottom w:val="0"/>
              <w:divBdr>
                <w:top w:val="none" w:sz="0" w:space="0" w:color="auto"/>
                <w:left w:val="none" w:sz="0" w:space="0" w:color="auto"/>
                <w:bottom w:val="none" w:sz="0" w:space="0" w:color="auto"/>
                <w:right w:val="none" w:sz="0" w:space="0" w:color="auto"/>
              </w:divBdr>
              <w:divsChild>
                <w:div w:id="106046310">
                  <w:marLeft w:val="0"/>
                  <w:marRight w:val="0"/>
                  <w:marTop w:val="0"/>
                  <w:marBottom w:val="0"/>
                  <w:divBdr>
                    <w:top w:val="none" w:sz="0" w:space="0" w:color="auto"/>
                    <w:left w:val="none" w:sz="0" w:space="0" w:color="auto"/>
                    <w:bottom w:val="none" w:sz="0" w:space="0" w:color="auto"/>
                    <w:right w:val="none" w:sz="0" w:space="0" w:color="auto"/>
                  </w:divBdr>
                  <w:divsChild>
                    <w:div w:id="194310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539476">
      <w:bodyDiv w:val="1"/>
      <w:marLeft w:val="0"/>
      <w:marRight w:val="0"/>
      <w:marTop w:val="0"/>
      <w:marBottom w:val="0"/>
      <w:divBdr>
        <w:top w:val="none" w:sz="0" w:space="0" w:color="auto"/>
        <w:left w:val="none" w:sz="0" w:space="0" w:color="auto"/>
        <w:bottom w:val="none" w:sz="0" w:space="0" w:color="auto"/>
        <w:right w:val="none" w:sz="0" w:space="0" w:color="auto"/>
      </w:divBdr>
    </w:div>
    <w:div w:id="386613759">
      <w:bodyDiv w:val="1"/>
      <w:marLeft w:val="0"/>
      <w:marRight w:val="0"/>
      <w:marTop w:val="0"/>
      <w:marBottom w:val="0"/>
      <w:divBdr>
        <w:top w:val="none" w:sz="0" w:space="0" w:color="auto"/>
        <w:left w:val="none" w:sz="0" w:space="0" w:color="auto"/>
        <w:bottom w:val="none" w:sz="0" w:space="0" w:color="auto"/>
        <w:right w:val="none" w:sz="0" w:space="0" w:color="auto"/>
      </w:divBdr>
    </w:div>
    <w:div w:id="387458776">
      <w:bodyDiv w:val="1"/>
      <w:marLeft w:val="0"/>
      <w:marRight w:val="0"/>
      <w:marTop w:val="0"/>
      <w:marBottom w:val="0"/>
      <w:divBdr>
        <w:top w:val="none" w:sz="0" w:space="0" w:color="auto"/>
        <w:left w:val="none" w:sz="0" w:space="0" w:color="auto"/>
        <w:bottom w:val="none" w:sz="0" w:space="0" w:color="auto"/>
        <w:right w:val="none" w:sz="0" w:space="0" w:color="auto"/>
      </w:divBdr>
    </w:div>
    <w:div w:id="388966134">
      <w:bodyDiv w:val="1"/>
      <w:marLeft w:val="0"/>
      <w:marRight w:val="0"/>
      <w:marTop w:val="0"/>
      <w:marBottom w:val="0"/>
      <w:divBdr>
        <w:top w:val="none" w:sz="0" w:space="0" w:color="auto"/>
        <w:left w:val="none" w:sz="0" w:space="0" w:color="auto"/>
        <w:bottom w:val="none" w:sz="0" w:space="0" w:color="auto"/>
        <w:right w:val="none" w:sz="0" w:space="0" w:color="auto"/>
      </w:divBdr>
      <w:divsChild>
        <w:div w:id="648367496">
          <w:marLeft w:val="0"/>
          <w:marRight w:val="0"/>
          <w:marTop w:val="0"/>
          <w:marBottom w:val="0"/>
          <w:divBdr>
            <w:top w:val="none" w:sz="0" w:space="0" w:color="auto"/>
            <w:left w:val="none" w:sz="0" w:space="0" w:color="auto"/>
            <w:bottom w:val="none" w:sz="0" w:space="0" w:color="auto"/>
            <w:right w:val="none" w:sz="0" w:space="0" w:color="auto"/>
          </w:divBdr>
        </w:div>
      </w:divsChild>
    </w:div>
    <w:div w:id="389232485">
      <w:bodyDiv w:val="1"/>
      <w:marLeft w:val="0"/>
      <w:marRight w:val="0"/>
      <w:marTop w:val="0"/>
      <w:marBottom w:val="0"/>
      <w:divBdr>
        <w:top w:val="none" w:sz="0" w:space="0" w:color="auto"/>
        <w:left w:val="none" w:sz="0" w:space="0" w:color="auto"/>
        <w:bottom w:val="none" w:sz="0" w:space="0" w:color="auto"/>
        <w:right w:val="none" w:sz="0" w:space="0" w:color="auto"/>
      </w:divBdr>
      <w:divsChild>
        <w:div w:id="1604724569">
          <w:marLeft w:val="0"/>
          <w:marRight w:val="0"/>
          <w:marTop w:val="0"/>
          <w:marBottom w:val="0"/>
          <w:divBdr>
            <w:top w:val="none" w:sz="0" w:space="0" w:color="auto"/>
            <w:left w:val="none" w:sz="0" w:space="0" w:color="auto"/>
            <w:bottom w:val="none" w:sz="0" w:space="0" w:color="auto"/>
            <w:right w:val="none" w:sz="0" w:space="0" w:color="auto"/>
          </w:divBdr>
          <w:divsChild>
            <w:div w:id="206990419">
              <w:marLeft w:val="0"/>
              <w:marRight w:val="0"/>
              <w:marTop w:val="0"/>
              <w:marBottom w:val="0"/>
              <w:divBdr>
                <w:top w:val="none" w:sz="0" w:space="0" w:color="auto"/>
                <w:left w:val="none" w:sz="0" w:space="0" w:color="auto"/>
                <w:bottom w:val="none" w:sz="0" w:space="0" w:color="auto"/>
                <w:right w:val="none" w:sz="0" w:space="0" w:color="auto"/>
              </w:divBdr>
              <w:divsChild>
                <w:div w:id="904990074">
                  <w:marLeft w:val="0"/>
                  <w:marRight w:val="0"/>
                  <w:marTop w:val="0"/>
                  <w:marBottom w:val="0"/>
                  <w:divBdr>
                    <w:top w:val="none" w:sz="0" w:space="0" w:color="auto"/>
                    <w:left w:val="none" w:sz="0" w:space="0" w:color="auto"/>
                    <w:bottom w:val="none" w:sz="0" w:space="0" w:color="auto"/>
                    <w:right w:val="none" w:sz="0" w:space="0" w:color="auto"/>
                  </w:divBdr>
                  <w:divsChild>
                    <w:div w:id="12454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618193">
      <w:bodyDiv w:val="1"/>
      <w:marLeft w:val="0"/>
      <w:marRight w:val="0"/>
      <w:marTop w:val="0"/>
      <w:marBottom w:val="0"/>
      <w:divBdr>
        <w:top w:val="none" w:sz="0" w:space="0" w:color="auto"/>
        <w:left w:val="none" w:sz="0" w:space="0" w:color="auto"/>
        <w:bottom w:val="none" w:sz="0" w:space="0" w:color="auto"/>
        <w:right w:val="none" w:sz="0" w:space="0" w:color="auto"/>
      </w:divBdr>
    </w:div>
    <w:div w:id="390035803">
      <w:bodyDiv w:val="1"/>
      <w:marLeft w:val="0"/>
      <w:marRight w:val="0"/>
      <w:marTop w:val="0"/>
      <w:marBottom w:val="0"/>
      <w:divBdr>
        <w:top w:val="none" w:sz="0" w:space="0" w:color="auto"/>
        <w:left w:val="none" w:sz="0" w:space="0" w:color="auto"/>
        <w:bottom w:val="none" w:sz="0" w:space="0" w:color="auto"/>
        <w:right w:val="none" w:sz="0" w:space="0" w:color="auto"/>
      </w:divBdr>
    </w:div>
    <w:div w:id="390887783">
      <w:bodyDiv w:val="1"/>
      <w:marLeft w:val="0"/>
      <w:marRight w:val="0"/>
      <w:marTop w:val="0"/>
      <w:marBottom w:val="0"/>
      <w:divBdr>
        <w:top w:val="none" w:sz="0" w:space="0" w:color="auto"/>
        <w:left w:val="none" w:sz="0" w:space="0" w:color="auto"/>
        <w:bottom w:val="none" w:sz="0" w:space="0" w:color="auto"/>
        <w:right w:val="none" w:sz="0" w:space="0" w:color="auto"/>
      </w:divBdr>
      <w:divsChild>
        <w:div w:id="369577093">
          <w:marLeft w:val="0"/>
          <w:marRight w:val="0"/>
          <w:marTop w:val="0"/>
          <w:marBottom w:val="0"/>
          <w:divBdr>
            <w:top w:val="none" w:sz="0" w:space="0" w:color="auto"/>
            <w:left w:val="none" w:sz="0" w:space="0" w:color="auto"/>
            <w:bottom w:val="none" w:sz="0" w:space="0" w:color="auto"/>
            <w:right w:val="none" w:sz="0" w:space="0" w:color="auto"/>
          </w:divBdr>
          <w:divsChild>
            <w:div w:id="1053122424">
              <w:marLeft w:val="0"/>
              <w:marRight w:val="0"/>
              <w:marTop w:val="0"/>
              <w:marBottom w:val="0"/>
              <w:divBdr>
                <w:top w:val="none" w:sz="0" w:space="0" w:color="auto"/>
                <w:left w:val="none" w:sz="0" w:space="0" w:color="auto"/>
                <w:bottom w:val="none" w:sz="0" w:space="0" w:color="auto"/>
                <w:right w:val="none" w:sz="0" w:space="0" w:color="auto"/>
              </w:divBdr>
              <w:divsChild>
                <w:div w:id="1135103236">
                  <w:marLeft w:val="0"/>
                  <w:marRight w:val="0"/>
                  <w:marTop w:val="0"/>
                  <w:marBottom w:val="0"/>
                  <w:divBdr>
                    <w:top w:val="none" w:sz="0" w:space="0" w:color="auto"/>
                    <w:left w:val="none" w:sz="0" w:space="0" w:color="auto"/>
                    <w:bottom w:val="none" w:sz="0" w:space="0" w:color="auto"/>
                    <w:right w:val="none" w:sz="0" w:space="0" w:color="auto"/>
                  </w:divBdr>
                  <w:divsChild>
                    <w:div w:id="191727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001787">
      <w:bodyDiv w:val="1"/>
      <w:marLeft w:val="0"/>
      <w:marRight w:val="0"/>
      <w:marTop w:val="0"/>
      <w:marBottom w:val="0"/>
      <w:divBdr>
        <w:top w:val="none" w:sz="0" w:space="0" w:color="auto"/>
        <w:left w:val="none" w:sz="0" w:space="0" w:color="auto"/>
        <w:bottom w:val="none" w:sz="0" w:space="0" w:color="auto"/>
        <w:right w:val="none" w:sz="0" w:space="0" w:color="auto"/>
      </w:divBdr>
    </w:div>
    <w:div w:id="391077326">
      <w:bodyDiv w:val="1"/>
      <w:marLeft w:val="0"/>
      <w:marRight w:val="0"/>
      <w:marTop w:val="0"/>
      <w:marBottom w:val="0"/>
      <w:divBdr>
        <w:top w:val="none" w:sz="0" w:space="0" w:color="auto"/>
        <w:left w:val="none" w:sz="0" w:space="0" w:color="auto"/>
        <w:bottom w:val="none" w:sz="0" w:space="0" w:color="auto"/>
        <w:right w:val="none" w:sz="0" w:space="0" w:color="auto"/>
      </w:divBdr>
    </w:div>
    <w:div w:id="391465604">
      <w:bodyDiv w:val="1"/>
      <w:marLeft w:val="0"/>
      <w:marRight w:val="0"/>
      <w:marTop w:val="0"/>
      <w:marBottom w:val="0"/>
      <w:divBdr>
        <w:top w:val="none" w:sz="0" w:space="0" w:color="auto"/>
        <w:left w:val="none" w:sz="0" w:space="0" w:color="auto"/>
        <w:bottom w:val="none" w:sz="0" w:space="0" w:color="auto"/>
        <w:right w:val="none" w:sz="0" w:space="0" w:color="auto"/>
      </w:divBdr>
    </w:div>
    <w:div w:id="392243174">
      <w:bodyDiv w:val="1"/>
      <w:marLeft w:val="0"/>
      <w:marRight w:val="0"/>
      <w:marTop w:val="0"/>
      <w:marBottom w:val="0"/>
      <w:divBdr>
        <w:top w:val="none" w:sz="0" w:space="0" w:color="auto"/>
        <w:left w:val="none" w:sz="0" w:space="0" w:color="auto"/>
        <w:bottom w:val="none" w:sz="0" w:space="0" w:color="auto"/>
        <w:right w:val="none" w:sz="0" w:space="0" w:color="auto"/>
      </w:divBdr>
    </w:div>
    <w:div w:id="393242040">
      <w:bodyDiv w:val="1"/>
      <w:marLeft w:val="0"/>
      <w:marRight w:val="0"/>
      <w:marTop w:val="0"/>
      <w:marBottom w:val="0"/>
      <w:divBdr>
        <w:top w:val="none" w:sz="0" w:space="0" w:color="auto"/>
        <w:left w:val="none" w:sz="0" w:space="0" w:color="auto"/>
        <w:bottom w:val="none" w:sz="0" w:space="0" w:color="auto"/>
        <w:right w:val="none" w:sz="0" w:space="0" w:color="auto"/>
      </w:divBdr>
    </w:div>
    <w:div w:id="394426638">
      <w:bodyDiv w:val="1"/>
      <w:marLeft w:val="0"/>
      <w:marRight w:val="0"/>
      <w:marTop w:val="0"/>
      <w:marBottom w:val="0"/>
      <w:divBdr>
        <w:top w:val="none" w:sz="0" w:space="0" w:color="auto"/>
        <w:left w:val="none" w:sz="0" w:space="0" w:color="auto"/>
        <w:bottom w:val="none" w:sz="0" w:space="0" w:color="auto"/>
        <w:right w:val="none" w:sz="0" w:space="0" w:color="auto"/>
      </w:divBdr>
    </w:div>
    <w:div w:id="395057379">
      <w:bodyDiv w:val="1"/>
      <w:marLeft w:val="0"/>
      <w:marRight w:val="0"/>
      <w:marTop w:val="0"/>
      <w:marBottom w:val="0"/>
      <w:divBdr>
        <w:top w:val="none" w:sz="0" w:space="0" w:color="auto"/>
        <w:left w:val="none" w:sz="0" w:space="0" w:color="auto"/>
        <w:bottom w:val="none" w:sz="0" w:space="0" w:color="auto"/>
        <w:right w:val="none" w:sz="0" w:space="0" w:color="auto"/>
      </w:divBdr>
    </w:div>
    <w:div w:id="395789396">
      <w:bodyDiv w:val="1"/>
      <w:marLeft w:val="0"/>
      <w:marRight w:val="0"/>
      <w:marTop w:val="0"/>
      <w:marBottom w:val="0"/>
      <w:divBdr>
        <w:top w:val="none" w:sz="0" w:space="0" w:color="auto"/>
        <w:left w:val="none" w:sz="0" w:space="0" w:color="auto"/>
        <w:bottom w:val="none" w:sz="0" w:space="0" w:color="auto"/>
        <w:right w:val="none" w:sz="0" w:space="0" w:color="auto"/>
      </w:divBdr>
    </w:div>
    <w:div w:id="396167616">
      <w:bodyDiv w:val="1"/>
      <w:marLeft w:val="0"/>
      <w:marRight w:val="0"/>
      <w:marTop w:val="0"/>
      <w:marBottom w:val="0"/>
      <w:divBdr>
        <w:top w:val="none" w:sz="0" w:space="0" w:color="auto"/>
        <w:left w:val="none" w:sz="0" w:space="0" w:color="auto"/>
        <w:bottom w:val="none" w:sz="0" w:space="0" w:color="auto"/>
        <w:right w:val="none" w:sz="0" w:space="0" w:color="auto"/>
      </w:divBdr>
      <w:divsChild>
        <w:div w:id="620770465">
          <w:marLeft w:val="0"/>
          <w:marRight w:val="0"/>
          <w:marTop w:val="0"/>
          <w:marBottom w:val="0"/>
          <w:divBdr>
            <w:top w:val="none" w:sz="0" w:space="0" w:color="auto"/>
            <w:left w:val="none" w:sz="0" w:space="0" w:color="auto"/>
            <w:bottom w:val="none" w:sz="0" w:space="0" w:color="auto"/>
            <w:right w:val="none" w:sz="0" w:space="0" w:color="auto"/>
          </w:divBdr>
          <w:divsChild>
            <w:div w:id="1764762591">
              <w:marLeft w:val="0"/>
              <w:marRight w:val="0"/>
              <w:marTop w:val="0"/>
              <w:marBottom w:val="0"/>
              <w:divBdr>
                <w:top w:val="none" w:sz="0" w:space="0" w:color="auto"/>
                <w:left w:val="none" w:sz="0" w:space="0" w:color="auto"/>
                <w:bottom w:val="none" w:sz="0" w:space="0" w:color="auto"/>
                <w:right w:val="none" w:sz="0" w:space="0" w:color="auto"/>
              </w:divBdr>
              <w:divsChild>
                <w:div w:id="248084241">
                  <w:marLeft w:val="0"/>
                  <w:marRight w:val="0"/>
                  <w:marTop w:val="0"/>
                  <w:marBottom w:val="0"/>
                  <w:divBdr>
                    <w:top w:val="none" w:sz="0" w:space="0" w:color="auto"/>
                    <w:left w:val="none" w:sz="0" w:space="0" w:color="auto"/>
                    <w:bottom w:val="none" w:sz="0" w:space="0" w:color="auto"/>
                    <w:right w:val="none" w:sz="0" w:space="0" w:color="auto"/>
                  </w:divBdr>
                  <w:divsChild>
                    <w:div w:id="17991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17131">
      <w:bodyDiv w:val="1"/>
      <w:marLeft w:val="0"/>
      <w:marRight w:val="0"/>
      <w:marTop w:val="0"/>
      <w:marBottom w:val="0"/>
      <w:divBdr>
        <w:top w:val="none" w:sz="0" w:space="0" w:color="auto"/>
        <w:left w:val="none" w:sz="0" w:space="0" w:color="auto"/>
        <w:bottom w:val="none" w:sz="0" w:space="0" w:color="auto"/>
        <w:right w:val="none" w:sz="0" w:space="0" w:color="auto"/>
      </w:divBdr>
    </w:div>
    <w:div w:id="396517376">
      <w:bodyDiv w:val="1"/>
      <w:marLeft w:val="0"/>
      <w:marRight w:val="0"/>
      <w:marTop w:val="0"/>
      <w:marBottom w:val="0"/>
      <w:divBdr>
        <w:top w:val="none" w:sz="0" w:space="0" w:color="auto"/>
        <w:left w:val="none" w:sz="0" w:space="0" w:color="auto"/>
        <w:bottom w:val="none" w:sz="0" w:space="0" w:color="auto"/>
        <w:right w:val="none" w:sz="0" w:space="0" w:color="auto"/>
      </w:divBdr>
    </w:div>
    <w:div w:id="397020879">
      <w:bodyDiv w:val="1"/>
      <w:marLeft w:val="0"/>
      <w:marRight w:val="0"/>
      <w:marTop w:val="0"/>
      <w:marBottom w:val="0"/>
      <w:divBdr>
        <w:top w:val="none" w:sz="0" w:space="0" w:color="auto"/>
        <w:left w:val="none" w:sz="0" w:space="0" w:color="auto"/>
        <w:bottom w:val="none" w:sz="0" w:space="0" w:color="auto"/>
        <w:right w:val="none" w:sz="0" w:space="0" w:color="auto"/>
      </w:divBdr>
    </w:div>
    <w:div w:id="397441067">
      <w:bodyDiv w:val="1"/>
      <w:marLeft w:val="0"/>
      <w:marRight w:val="0"/>
      <w:marTop w:val="0"/>
      <w:marBottom w:val="0"/>
      <w:divBdr>
        <w:top w:val="none" w:sz="0" w:space="0" w:color="auto"/>
        <w:left w:val="none" w:sz="0" w:space="0" w:color="auto"/>
        <w:bottom w:val="none" w:sz="0" w:space="0" w:color="auto"/>
        <w:right w:val="none" w:sz="0" w:space="0" w:color="auto"/>
      </w:divBdr>
    </w:div>
    <w:div w:id="398286438">
      <w:bodyDiv w:val="1"/>
      <w:marLeft w:val="0"/>
      <w:marRight w:val="0"/>
      <w:marTop w:val="0"/>
      <w:marBottom w:val="0"/>
      <w:divBdr>
        <w:top w:val="none" w:sz="0" w:space="0" w:color="auto"/>
        <w:left w:val="none" w:sz="0" w:space="0" w:color="auto"/>
        <w:bottom w:val="none" w:sz="0" w:space="0" w:color="auto"/>
        <w:right w:val="none" w:sz="0" w:space="0" w:color="auto"/>
      </w:divBdr>
    </w:div>
    <w:div w:id="399062830">
      <w:bodyDiv w:val="1"/>
      <w:marLeft w:val="0"/>
      <w:marRight w:val="0"/>
      <w:marTop w:val="0"/>
      <w:marBottom w:val="0"/>
      <w:divBdr>
        <w:top w:val="none" w:sz="0" w:space="0" w:color="auto"/>
        <w:left w:val="none" w:sz="0" w:space="0" w:color="auto"/>
        <w:bottom w:val="none" w:sz="0" w:space="0" w:color="auto"/>
        <w:right w:val="none" w:sz="0" w:space="0" w:color="auto"/>
      </w:divBdr>
    </w:div>
    <w:div w:id="399209503">
      <w:bodyDiv w:val="1"/>
      <w:marLeft w:val="0"/>
      <w:marRight w:val="0"/>
      <w:marTop w:val="0"/>
      <w:marBottom w:val="0"/>
      <w:divBdr>
        <w:top w:val="none" w:sz="0" w:space="0" w:color="auto"/>
        <w:left w:val="none" w:sz="0" w:space="0" w:color="auto"/>
        <w:bottom w:val="none" w:sz="0" w:space="0" w:color="auto"/>
        <w:right w:val="none" w:sz="0" w:space="0" w:color="auto"/>
      </w:divBdr>
      <w:divsChild>
        <w:div w:id="2034720935">
          <w:marLeft w:val="0"/>
          <w:marRight w:val="0"/>
          <w:marTop w:val="0"/>
          <w:marBottom w:val="0"/>
          <w:divBdr>
            <w:top w:val="none" w:sz="0" w:space="0" w:color="auto"/>
            <w:left w:val="none" w:sz="0" w:space="0" w:color="auto"/>
            <w:bottom w:val="none" w:sz="0" w:space="0" w:color="auto"/>
            <w:right w:val="none" w:sz="0" w:space="0" w:color="auto"/>
          </w:divBdr>
          <w:divsChild>
            <w:div w:id="889345120">
              <w:marLeft w:val="0"/>
              <w:marRight w:val="0"/>
              <w:marTop w:val="0"/>
              <w:marBottom w:val="0"/>
              <w:divBdr>
                <w:top w:val="none" w:sz="0" w:space="0" w:color="auto"/>
                <w:left w:val="none" w:sz="0" w:space="0" w:color="auto"/>
                <w:bottom w:val="none" w:sz="0" w:space="0" w:color="auto"/>
                <w:right w:val="none" w:sz="0" w:space="0" w:color="auto"/>
              </w:divBdr>
              <w:divsChild>
                <w:div w:id="1452944498">
                  <w:marLeft w:val="0"/>
                  <w:marRight w:val="0"/>
                  <w:marTop w:val="0"/>
                  <w:marBottom w:val="0"/>
                  <w:divBdr>
                    <w:top w:val="none" w:sz="0" w:space="0" w:color="auto"/>
                    <w:left w:val="none" w:sz="0" w:space="0" w:color="auto"/>
                    <w:bottom w:val="none" w:sz="0" w:space="0" w:color="auto"/>
                    <w:right w:val="none" w:sz="0" w:space="0" w:color="auto"/>
                  </w:divBdr>
                  <w:divsChild>
                    <w:div w:id="118339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296885">
      <w:bodyDiv w:val="1"/>
      <w:marLeft w:val="0"/>
      <w:marRight w:val="0"/>
      <w:marTop w:val="0"/>
      <w:marBottom w:val="0"/>
      <w:divBdr>
        <w:top w:val="none" w:sz="0" w:space="0" w:color="auto"/>
        <w:left w:val="none" w:sz="0" w:space="0" w:color="auto"/>
        <w:bottom w:val="none" w:sz="0" w:space="0" w:color="auto"/>
        <w:right w:val="none" w:sz="0" w:space="0" w:color="auto"/>
      </w:divBdr>
      <w:divsChild>
        <w:div w:id="578249781">
          <w:marLeft w:val="0"/>
          <w:marRight w:val="0"/>
          <w:marTop w:val="0"/>
          <w:marBottom w:val="0"/>
          <w:divBdr>
            <w:top w:val="none" w:sz="0" w:space="0" w:color="auto"/>
            <w:left w:val="none" w:sz="0" w:space="0" w:color="auto"/>
            <w:bottom w:val="none" w:sz="0" w:space="0" w:color="auto"/>
            <w:right w:val="none" w:sz="0" w:space="0" w:color="auto"/>
          </w:divBdr>
        </w:div>
      </w:divsChild>
    </w:div>
    <w:div w:id="400562797">
      <w:bodyDiv w:val="1"/>
      <w:marLeft w:val="0"/>
      <w:marRight w:val="0"/>
      <w:marTop w:val="0"/>
      <w:marBottom w:val="0"/>
      <w:divBdr>
        <w:top w:val="none" w:sz="0" w:space="0" w:color="auto"/>
        <w:left w:val="none" w:sz="0" w:space="0" w:color="auto"/>
        <w:bottom w:val="none" w:sz="0" w:space="0" w:color="auto"/>
        <w:right w:val="none" w:sz="0" w:space="0" w:color="auto"/>
      </w:divBdr>
    </w:div>
    <w:div w:id="400911088">
      <w:bodyDiv w:val="1"/>
      <w:marLeft w:val="0"/>
      <w:marRight w:val="0"/>
      <w:marTop w:val="0"/>
      <w:marBottom w:val="0"/>
      <w:divBdr>
        <w:top w:val="none" w:sz="0" w:space="0" w:color="auto"/>
        <w:left w:val="none" w:sz="0" w:space="0" w:color="auto"/>
        <w:bottom w:val="none" w:sz="0" w:space="0" w:color="auto"/>
        <w:right w:val="none" w:sz="0" w:space="0" w:color="auto"/>
      </w:divBdr>
      <w:divsChild>
        <w:div w:id="768233601">
          <w:marLeft w:val="0"/>
          <w:marRight w:val="0"/>
          <w:marTop w:val="0"/>
          <w:marBottom w:val="0"/>
          <w:divBdr>
            <w:top w:val="none" w:sz="0" w:space="0" w:color="auto"/>
            <w:left w:val="none" w:sz="0" w:space="0" w:color="auto"/>
            <w:bottom w:val="none" w:sz="0" w:space="0" w:color="auto"/>
            <w:right w:val="none" w:sz="0" w:space="0" w:color="auto"/>
          </w:divBdr>
          <w:divsChild>
            <w:div w:id="889607138">
              <w:marLeft w:val="0"/>
              <w:marRight w:val="0"/>
              <w:marTop w:val="0"/>
              <w:marBottom w:val="0"/>
              <w:divBdr>
                <w:top w:val="none" w:sz="0" w:space="0" w:color="auto"/>
                <w:left w:val="none" w:sz="0" w:space="0" w:color="auto"/>
                <w:bottom w:val="none" w:sz="0" w:space="0" w:color="auto"/>
                <w:right w:val="none" w:sz="0" w:space="0" w:color="auto"/>
              </w:divBdr>
              <w:divsChild>
                <w:div w:id="1422989665">
                  <w:marLeft w:val="0"/>
                  <w:marRight w:val="0"/>
                  <w:marTop w:val="0"/>
                  <w:marBottom w:val="0"/>
                  <w:divBdr>
                    <w:top w:val="none" w:sz="0" w:space="0" w:color="auto"/>
                    <w:left w:val="none" w:sz="0" w:space="0" w:color="auto"/>
                    <w:bottom w:val="none" w:sz="0" w:space="0" w:color="auto"/>
                    <w:right w:val="none" w:sz="0" w:space="0" w:color="auto"/>
                  </w:divBdr>
                  <w:divsChild>
                    <w:div w:id="176213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22544">
      <w:bodyDiv w:val="1"/>
      <w:marLeft w:val="0"/>
      <w:marRight w:val="0"/>
      <w:marTop w:val="0"/>
      <w:marBottom w:val="0"/>
      <w:divBdr>
        <w:top w:val="none" w:sz="0" w:space="0" w:color="auto"/>
        <w:left w:val="none" w:sz="0" w:space="0" w:color="auto"/>
        <w:bottom w:val="none" w:sz="0" w:space="0" w:color="auto"/>
        <w:right w:val="none" w:sz="0" w:space="0" w:color="auto"/>
      </w:divBdr>
      <w:divsChild>
        <w:div w:id="1286110584">
          <w:marLeft w:val="0"/>
          <w:marRight w:val="0"/>
          <w:marTop w:val="0"/>
          <w:marBottom w:val="0"/>
          <w:divBdr>
            <w:top w:val="none" w:sz="0" w:space="0" w:color="auto"/>
            <w:left w:val="none" w:sz="0" w:space="0" w:color="auto"/>
            <w:bottom w:val="none" w:sz="0" w:space="0" w:color="auto"/>
            <w:right w:val="none" w:sz="0" w:space="0" w:color="auto"/>
          </w:divBdr>
          <w:divsChild>
            <w:div w:id="847255165">
              <w:marLeft w:val="0"/>
              <w:marRight w:val="0"/>
              <w:marTop w:val="0"/>
              <w:marBottom w:val="0"/>
              <w:divBdr>
                <w:top w:val="none" w:sz="0" w:space="0" w:color="auto"/>
                <w:left w:val="none" w:sz="0" w:space="0" w:color="auto"/>
                <w:bottom w:val="none" w:sz="0" w:space="0" w:color="auto"/>
                <w:right w:val="none" w:sz="0" w:space="0" w:color="auto"/>
              </w:divBdr>
              <w:divsChild>
                <w:div w:id="893587812">
                  <w:marLeft w:val="0"/>
                  <w:marRight w:val="0"/>
                  <w:marTop w:val="0"/>
                  <w:marBottom w:val="0"/>
                  <w:divBdr>
                    <w:top w:val="none" w:sz="0" w:space="0" w:color="auto"/>
                    <w:left w:val="none" w:sz="0" w:space="0" w:color="auto"/>
                    <w:bottom w:val="none" w:sz="0" w:space="0" w:color="auto"/>
                    <w:right w:val="none" w:sz="0" w:space="0" w:color="auto"/>
                  </w:divBdr>
                  <w:divsChild>
                    <w:div w:id="536164641">
                      <w:marLeft w:val="0"/>
                      <w:marRight w:val="0"/>
                      <w:marTop w:val="0"/>
                      <w:marBottom w:val="0"/>
                      <w:divBdr>
                        <w:top w:val="none" w:sz="0" w:space="0" w:color="auto"/>
                        <w:left w:val="none" w:sz="0" w:space="0" w:color="auto"/>
                        <w:bottom w:val="none" w:sz="0" w:space="0" w:color="auto"/>
                        <w:right w:val="none" w:sz="0" w:space="0" w:color="auto"/>
                      </w:divBdr>
                    </w:div>
                  </w:divsChild>
                </w:div>
                <w:div w:id="1516142568">
                  <w:marLeft w:val="0"/>
                  <w:marRight w:val="0"/>
                  <w:marTop w:val="0"/>
                  <w:marBottom w:val="0"/>
                  <w:divBdr>
                    <w:top w:val="none" w:sz="0" w:space="0" w:color="auto"/>
                    <w:left w:val="none" w:sz="0" w:space="0" w:color="auto"/>
                    <w:bottom w:val="none" w:sz="0" w:space="0" w:color="auto"/>
                    <w:right w:val="none" w:sz="0" w:space="0" w:color="auto"/>
                  </w:divBdr>
                  <w:divsChild>
                    <w:div w:id="99814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0176">
      <w:bodyDiv w:val="1"/>
      <w:marLeft w:val="0"/>
      <w:marRight w:val="0"/>
      <w:marTop w:val="0"/>
      <w:marBottom w:val="0"/>
      <w:divBdr>
        <w:top w:val="none" w:sz="0" w:space="0" w:color="auto"/>
        <w:left w:val="none" w:sz="0" w:space="0" w:color="auto"/>
        <w:bottom w:val="none" w:sz="0" w:space="0" w:color="auto"/>
        <w:right w:val="none" w:sz="0" w:space="0" w:color="auto"/>
      </w:divBdr>
    </w:div>
    <w:div w:id="402721482">
      <w:bodyDiv w:val="1"/>
      <w:marLeft w:val="0"/>
      <w:marRight w:val="0"/>
      <w:marTop w:val="0"/>
      <w:marBottom w:val="0"/>
      <w:divBdr>
        <w:top w:val="none" w:sz="0" w:space="0" w:color="auto"/>
        <w:left w:val="none" w:sz="0" w:space="0" w:color="auto"/>
        <w:bottom w:val="none" w:sz="0" w:space="0" w:color="auto"/>
        <w:right w:val="none" w:sz="0" w:space="0" w:color="auto"/>
      </w:divBdr>
    </w:div>
    <w:div w:id="402726731">
      <w:bodyDiv w:val="1"/>
      <w:marLeft w:val="0"/>
      <w:marRight w:val="0"/>
      <w:marTop w:val="0"/>
      <w:marBottom w:val="0"/>
      <w:divBdr>
        <w:top w:val="none" w:sz="0" w:space="0" w:color="auto"/>
        <w:left w:val="none" w:sz="0" w:space="0" w:color="auto"/>
        <w:bottom w:val="none" w:sz="0" w:space="0" w:color="auto"/>
        <w:right w:val="none" w:sz="0" w:space="0" w:color="auto"/>
      </w:divBdr>
    </w:div>
    <w:div w:id="402874582">
      <w:bodyDiv w:val="1"/>
      <w:marLeft w:val="0"/>
      <w:marRight w:val="0"/>
      <w:marTop w:val="0"/>
      <w:marBottom w:val="0"/>
      <w:divBdr>
        <w:top w:val="none" w:sz="0" w:space="0" w:color="auto"/>
        <w:left w:val="none" w:sz="0" w:space="0" w:color="auto"/>
        <w:bottom w:val="none" w:sz="0" w:space="0" w:color="auto"/>
        <w:right w:val="none" w:sz="0" w:space="0" w:color="auto"/>
      </w:divBdr>
    </w:div>
    <w:div w:id="404181231">
      <w:bodyDiv w:val="1"/>
      <w:marLeft w:val="0"/>
      <w:marRight w:val="0"/>
      <w:marTop w:val="0"/>
      <w:marBottom w:val="0"/>
      <w:divBdr>
        <w:top w:val="none" w:sz="0" w:space="0" w:color="auto"/>
        <w:left w:val="none" w:sz="0" w:space="0" w:color="auto"/>
        <w:bottom w:val="none" w:sz="0" w:space="0" w:color="auto"/>
        <w:right w:val="none" w:sz="0" w:space="0" w:color="auto"/>
      </w:divBdr>
    </w:div>
    <w:div w:id="406922909">
      <w:bodyDiv w:val="1"/>
      <w:marLeft w:val="0"/>
      <w:marRight w:val="0"/>
      <w:marTop w:val="0"/>
      <w:marBottom w:val="0"/>
      <w:divBdr>
        <w:top w:val="none" w:sz="0" w:space="0" w:color="auto"/>
        <w:left w:val="none" w:sz="0" w:space="0" w:color="auto"/>
        <w:bottom w:val="none" w:sz="0" w:space="0" w:color="auto"/>
        <w:right w:val="none" w:sz="0" w:space="0" w:color="auto"/>
      </w:divBdr>
    </w:div>
    <w:div w:id="409011789">
      <w:bodyDiv w:val="1"/>
      <w:marLeft w:val="0"/>
      <w:marRight w:val="0"/>
      <w:marTop w:val="0"/>
      <w:marBottom w:val="0"/>
      <w:divBdr>
        <w:top w:val="none" w:sz="0" w:space="0" w:color="auto"/>
        <w:left w:val="none" w:sz="0" w:space="0" w:color="auto"/>
        <w:bottom w:val="none" w:sz="0" w:space="0" w:color="auto"/>
        <w:right w:val="none" w:sz="0" w:space="0" w:color="auto"/>
      </w:divBdr>
    </w:div>
    <w:div w:id="409037124">
      <w:bodyDiv w:val="1"/>
      <w:marLeft w:val="0"/>
      <w:marRight w:val="0"/>
      <w:marTop w:val="0"/>
      <w:marBottom w:val="0"/>
      <w:divBdr>
        <w:top w:val="none" w:sz="0" w:space="0" w:color="auto"/>
        <w:left w:val="none" w:sz="0" w:space="0" w:color="auto"/>
        <w:bottom w:val="none" w:sz="0" w:space="0" w:color="auto"/>
        <w:right w:val="none" w:sz="0" w:space="0" w:color="auto"/>
      </w:divBdr>
      <w:divsChild>
        <w:div w:id="1308706631">
          <w:marLeft w:val="0"/>
          <w:marRight w:val="0"/>
          <w:marTop w:val="0"/>
          <w:marBottom w:val="0"/>
          <w:divBdr>
            <w:top w:val="none" w:sz="0" w:space="0" w:color="auto"/>
            <w:left w:val="none" w:sz="0" w:space="0" w:color="auto"/>
            <w:bottom w:val="none" w:sz="0" w:space="0" w:color="auto"/>
            <w:right w:val="none" w:sz="0" w:space="0" w:color="auto"/>
          </w:divBdr>
          <w:divsChild>
            <w:div w:id="640186101">
              <w:marLeft w:val="0"/>
              <w:marRight w:val="0"/>
              <w:marTop w:val="0"/>
              <w:marBottom w:val="0"/>
              <w:divBdr>
                <w:top w:val="none" w:sz="0" w:space="0" w:color="auto"/>
                <w:left w:val="none" w:sz="0" w:space="0" w:color="auto"/>
                <w:bottom w:val="none" w:sz="0" w:space="0" w:color="auto"/>
                <w:right w:val="none" w:sz="0" w:space="0" w:color="auto"/>
              </w:divBdr>
              <w:divsChild>
                <w:div w:id="1348828520">
                  <w:marLeft w:val="0"/>
                  <w:marRight w:val="0"/>
                  <w:marTop w:val="0"/>
                  <w:marBottom w:val="0"/>
                  <w:divBdr>
                    <w:top w:val="none" w:sz="0" w:space="0" w:color="auto"/>
                    <w:left w:val="none" w:sz="0" w:space="0" w:color="auto"/>
                    <w:bottom w:val="none" w:sz="0" w:space="0" w:color="auto"/>
                    <w:right w:val="none" w:sz="0" w:space="0" w:color="auto"/>
                  </w:divBdr>
                  <w:divsChild>
                    <w:div w:id="1377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423643">
      <w:bodyDiv w:val="1"/>
      <w:marLeft w:val="0"/>
      <w:marRight w:val="0"/>
      <w:marTop w:val="0"/>
      <w:marBottom w:val="0"/>
      <w:divBdr>
        <w:top w:val="none" w:sz="0" w:space="0" w:color="auto"/>
        <w:left w:val="none" w:sz="0" w:space="0" w:color="auto"/>
        <w:bottom w:val="none" w:sz="0" w:space="0" w:color="auto"/>
        <w:right w:val="none" w:sz="0" w:space="0" w:color="auto"/>
      </w:divBdr>
    </w:div>
    <w:div w:id="410009370">
      <w:bodyDiv w:val="1"/>
      <w:marLeft w:val="0"/>
      <w:marRight w:val="0"/>
      <w:marTop w:val="0"/>
      <w:marBottom w:val="0"/>
      <w:divBdr>
        <w:top w:val="none" w:sz="0" w:space="0" w:color="auto"/>
        <w:left w:val="none" w:sz="0" w:space="0" w:color="auto"/>
        <w:bottom w:val="none" w:sz="0" w:space="0" w:color="auto"/>
        <w:right w:val="none" w:sz="0" w:space="0" w:color="auto"/>
      </w:divBdr>
    </w:div>
    <w:div w:id="411391744">
      <w:bodyDiv w:val="1"/>
      <w:marLeft w:val="0"/>
      <w:marRight w:val="0"/>
      <w:marTop w:val="0"/>
      <w:marBottom w:val="0"/>
      <w:divBdr>
        <w:top w:val="none" w:sz="0" w:space="0" w:color="auto"/>
        <w:left w:val="none" w:sz="0" w:space="0" w:color="auto"/>
        <w:bottom w:val="none" w:sz="0" w:space="0" w:color="auto"/>
        <w:right w:val="none" w:sz="0" w:space="0" w:color="auto"/>
      </w:divBdr>
      <w:divsChild>
        <w:div w:id="839270795">
          <w:marLeft w:val="0"/>
          <w:marRight w:val="0"/>
          <w:marTop w:val="0"/>
          <w:marBottom w:val="0"/>
          <w:divBdr>
            <w:top w:val="none" w:sz="0" w:space="0" w:color="auto"/>
            <w:left w:val="none" w:sz="0" w:space="0" w:color="auto"/>
            <w:bottom w:val="none" w:sz="0" w:space="0" w:color="auto"/>
            <w:right w:val="none" w:sz="0" w:space="0" w:color="auto"/>
          </w:divBdr>
          <w:divsChild>
            <w:div w:id="1503860859">
              <w:marLeft w:val="0"/>
              <w:marRight w:val="0"/>
              <w:marTop w:val="0"/>
              <w:marBottom w:val="0"/>
              <w:divBdr>
                <w:top w:val="none" w:sz="0" w:space="0" w:color="auto"/>
                <w:left w:val="none" w:sz="0" w:space="0" w:color="auto"/>
                <w:bottom w:val="none" w:sz="0" w:space="0" w:color="auto"/>
                <w:right w:val="none" w:sz="0" w:space="0" w:color="auto"/>
              </w:divBdr>
              <w:divsChild>
                <w:div w:id="2005081105">
                  <w:marLeft w:val="0"/>
                  <w:marRight w:val="0"/>
                  <w:marTop w:val="0"/>
                  <w:marBottom w:val="0"/>
                  <w:divBdr>
                    <w:top w:val="none" w:sz="0" w:space="0" w:color="auto"/>
                    <w:left w:val="none" w:sz="0" w:space="0" w:color="auto"/>
                    <w:bottom w:val="none" w:sz="0" w:space="0" w:color="auto"/>
                    <w:right w:val="none" w:sz="0" w:space="0" w:color="auto"/>
                  </w:divBdr>
                  <w:divsChild>
                    <w:div w:id="13302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699966">
      <w:bodyDiv w:val="1"/>
      <w:marLeft w:val="0"/>
      <w:marRight w:val="0"/>
      <w:marTop w:val="0"/>
      <w:marBottom w:val="0"/>
      <w:divBdr>
        <w:top w:val="none" w:sz="0" w:space="0" w:color="auto"/>
        <w:left w:val="none" w:sz="0" w:space="0" w:color="auto"/>
        <w:bottom w:val="none" w:sz="0" w:space="0" w:color="auto"/>
        <w:right w:val="none" w:sz="0" w:space="0" w:color="auto"/>
      </w:divBdr>
    </w:div>
    <w:div w:id="412120946">
      <w:bodyDiv w:val="1"/>
      <w:marLeft w:val="0"/>
      <w:marRight w:val="0"/>
      <w:marTop w:val="0"/>
      <w:marBottom w:val="0"/>
      <w:divBdr>
        <w:top w:val="none" w:sz="0" w:space="0" w:color="auto"/>
        <w:left w:val="none" w:sz="0" w:space="0" w:color="auto"/>
        <w:bottom w:val="none" w:sz="0" w:space="0" w:color="auto"/>
        <w:right w:val="none" w:sz="0" w:space="0" w:color="auto"/>
      </w:divBdr>
    </w:div>
    <w:div w:id="413165136">
      <w:bodyDiv w:val="1"/>
      <w:marLeft w:val="0"/>
      <w:marRight w:val="0"/>
      <w:marTop w:val="0"/>
      <w:marBottom w:val="0"/>
      <w:divBdr>
        <w:top w:val="none" w:sz="0" w:space="0" w:color="auto"/>
        <w:left w:val="none" w:sz="0" w:space="0" w:color="auto"/>
        <w:bottom w:val="none" w:sz="0" w:space="0" w:color="auto"/>
        <w:right w:val="none" w:sz="0" w:space="0" w:color="auto"/>
      </w:divBdr>
      <w:divsChild>
        <w:div w:id="698966263">
          <w:marLeft w:val="0"/>
          <w:marRight w:val="0"/>
          <w:marTop w:val="0"/>
          <w:marBottom w:val="0"/>
          <w:divBdr>
            <w:top w:val="none" w:sz="0" w:space="0" w:color="auto"/>
            <w:left w:val="none" w:sz="0" w:space="0" w:color="auto"/>
            <w:bottom w:val="none" w:sz="0" w:space="0" w:color="auto"/>
            <w:right w:val="none" w:sz="0" w:space="0" w:color="auto"/>
          </w:divBdr>
          <w:divsChild>
            <w:div w:id="1029178990">
              <w:marLeft w:val="0"/>
              <w:marRight w:val="0"/>
              <w:marTop w:val="0"/>
              <w:marBottom w:val="0"/>
              <w:divBdr>
                <w:top w:val="none" w:sz="0" w:space="0" w:color="auto"/>
                <w:left w:val="none" w:sz="0" w:space="0" w:color="auto"/>
                <w:bottom w:val="none" w:sz="0" w:space="0" w:color="auto"/>
                <w:right w:val="none" w:sz="0" w:space="0" w:color="auto"/>
              </w:divBdr>
              <w:divsChild>
                <w:div w:id="1540430181">
                  <w:marLeft w:val="0"/>
                  <w:marRight w:val="0"/>
                  <w:marTop w:val="0"/>
                  <w:marBottom w:val="0"/>
                  <w:divBdr>
                    <w:top w:val="none" w:sz="0" w:space="0" w:color="auto"/>
                    <w:left w:val="none" w:sz="0" w:space="0" w:color="auto"/>
                    <w:bottom w:val="none" w:sz="0" w:space="0" w:color="auto"/>
                    <w:right w:val="none" w:sz="0" w:space="0" w:color="auto"/>
                  </w:divBdr>
                  <w:divsChild>
                    <w:div w:id="140679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358321">
      <w:bodyDiv w:val="1"/>
      <w:marLeft w:val="0"/>
      <w:marRight w:val="0"/>
      <w:marTop w:val="0"/>
      <w:marBottom w:val="0"/>
      <w:divBdr>
        <w:top w:val="none" w:sz="0" w:space="0" w:color="auto"/>
        <w:left w:val="none" w:sz="0" w:space="0" w:color="auto"/>
        <w:bottom w:val="none" w:sz="0" w:space="0" w:color="auto"/>
        <w:right w:val="none" w:sz="0" w:space="0" w:color="auto"/>
      </w:divBdr>
    </w:div>
    <w:div w:id="413553144">
      <w:bodyDiv w:val="1"/>
      <w:marLeft w:val="0"/>
      <w:marRight w:val="0"/>
      <w:marTop w:val="0"/>
      <w:marBottom w:val="0"/>
      <w:divBdr>
        <w:top w:val="none" w:sz="0" w:space="0" w:color="auto"/>
        <w:left w:val="none" w:sz="0" w:space="0" w:color="auto"/>
        <w:bottom w:val="none" w:sz="0" w:space="0" w:color="auto"/>
        <w:right w:val="none" w:sz="0" w:space="0" w:color="auto"/>
      </w:divBdr>
    </w:div>
    <w:div w:id="414057453">
      <w:bodyDiv w:val="1"/>
      <w:marLeft w:val="0"/>
      <w:marRight w:val="0"/>
      <w:marTop w:val="0"/>
      <w:marBottom w:val="0"/>
      <w:divBdr>
        <w:top w:val="none" w:sz="0" w:space="0" w:color="auto"/>
        <w:left w:val="none" w:sz="0" w:space="0" w:color="auto"/>
        <w:bottom w:val="none" w:sz="0" w:space="0" w:color="auto"/>
        <w:right w:val="none" w:sz="0" w:space="0" w:color="auto"/>
      </w:divBdr>
    </w:div>
    <w:div w:id="414742064">
      <w:bodyDiv w:val="1"/>
      <w:marLeft w:val="0"/>
      <w:marRight w:val="0"/>
      <w:marTop w:val="0"/>
      <w:marBottom w:val="0"/>
      <w:divBdr>
        <w:top w:val="none" w:sz="0" w:space="0" w:color="auto"/>
        <w:left w:val="none" w:sz="0" w:space="0" w:color="auto"/>
        <w:bottom w:val="none" w:sz="0" w:space="0" w:color="auto"/>
        <w:right w:val="none" w:sz="0" w:space="0" w:color="auto"/>
      </w:divBdr>
      <w:divsChild>
        <w:div w:id="1637686735">
          <w:marLeft w:val="0"/>
          <w:marRight w:val="0"/>
          <w:marTop w:val="0"/>
          <w:marBottom w:val="0"/>
          <w:divBdr>
            <w:top w:val="none" w:sz="0" w:space="0" w:color="auto"/>
            <w:left w:val="none" w:sz="0" w:space="0" w:color="auto"/>
            <w:bottom w:val="none" w:sz="0" w:space="0" w:color="auto"/>
            <w:right w:val="none" w:sz="0" w:space="0" w:color="auto"/>
          </w:divBdr>
          <w:divsChild>
            <w:div w:id="733891155">
              <w:marLeft w:val="0"/>
              <w:marRight w:val="0"/>
              <w:marTop w:val="0"/>
              <w:marBottom w:val="0"/>
              <w:divBdr>
                <w:top w:val="none" w:sz="0" w:space="0" w:color="auto"/>
                <w:left w:val="none" w:sz="0" w:space="0" w:color="auto"/>
                <w:bottom w:val="none" w:sz="0" w:space="0" w:color="auto"/>
                <w:right w:val="none" w:sz="0" w:space="0" w:color="auto"/>
              </w:divBdr>
              <w:divsChild>
                <w:div w:id="988099575">
                  <w:marLeft w:val="0"/>
                  <w:marRight w:val="0"/>
                  <w:marTop w:val="0"/>
                  <w:marBottom w:val="0"/>
                  <w:divBdr>
                    <w:top w:val="none" w:sz="0" w:space="0" w:color="auto"/>
                    <w:left w:val="none" w:sz="0" w:space="0" w:color="auto"/>
                    <w:bottom w:val="none" w:sz="0" w:space="0" w:color="auto"/>
                    <w:right w:val="none" w:sz="0" w:space="0" w:color="auto"/>
                  </w:divBdr>
                  <w:divsChild>
                    <w:div w:id="72464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053338">
      <w:bodyDiv w:val="1"/>
      <w:marLeft w:val="0"/>
      <w:marRight w:val="0"/>
      <w:marTop w:val="0"/>
      <w:marBottom w:val="0"/>
      <w:divBdr>
        <w:top w:val="none" w:sz="0" w:space="0" w:color="auto"/>
        <w:left w:val="none" w:sz="0" w:space="0" w:color="auto"/>
        <w:bottom w:val="none" w:sz="0" w:space="0" w:color="auto"/>
        <w:right w:val="none" w:sz="0" w:space="0" w:color="auto"/>
      </w:divBdr>
    </w:div>
    <w:div w:id="415785700">
      <w:bodyDiv w:val="1"/>
      <w:marLeft w:val="0"/>
      <w:marRight w:val="0"/>
      <w:marTop w:val="0"/>
      <w:marBottom w:val="0"/>
      <w:divBdr>
        <w:top w:val="none" w:sz="0" w:space="0" w:color="auto"/>
        <w:left w:val="none" w:sz="0" w:space="0" w:color="auto"/>
        <w:bottom w:val="none" w:sz="0" w:space="0" w:color="auto"/>
        <w:right w:val="none" w:sz="0" w:space="0" w:color="auto"/>
      </w:divBdr>
    </w:div>
    <w:div w:id="415826223">
      <w:bodyDiv w:val="1"/>
      <w:marLeft w:val="0"/>
      <w:marRight w:val="0"/>
      <w:marTop w:val="0"/>
      <w:marBottom w:val="0"/>
      <w:divBdr>
        <w:top w:val="none" w:sz="0" w:space="0" w:color="auto"/>
        <w:left w:val="none" w:sz="0" w:space="0" w:color="auto"/>
        <w:bottom w:val="none" w:sz="0" w:space="0" w:color="auto"/>
        <w:right w:val="none" w:sz="0" w:space="0" w:color="auto"/>
      </w:divBdr>
    </w:div>
    <w:div w:id="415909418">
      <w:bodyDiv w:val="1"/>
      <w:marLeft w:val="0"/>
      <w:marRight w:val="0"/>
      <w:marTop w:val="0"/>
      <w:marBottom w:val="0"/>
      <w:divBdr>
        <w:top w:val="none" w:sz="0" w:space="0" w:color="auto"/>
        <w:left w:val="none" w:sz="0" w:space="0" w:color="auto"/>
        <w:bottom w:val="none" w:sz="0" w:space="0" w:color="auto"/>
        <w:right w:val="none" w:sz="0" w:space="0" w:color="auto"/>
      </w:divBdr>
    </w:div>
    <w:div w:id="416371337">
      <w:bodyDiv w:val="1"/>
      <w:marLeft w:val="0"/>
      <w:marRight w:val="0"/>
      <w:marTop w:val="0"/>
      <w:marBottom w:val="0"/>
      <w:divBdr>
        <w:top w:val="none" w:sz="0" w:space="0" w:color="auto"/>
        <w:left w:val="none" w:sz="0" w:space="0" w:color="auto"/>
        <w:bottom w:val="none" w:sz="0" w:space="0" w:color="auto"/>
        <w:right w:val="none" w:sz="0" w:space="0" w:color="auto"/>
      </w:divBdr>
    </w:div>
    <w:div w:id="417095174">
      <w:bodyDiv w:val="1"/>
      <w:marLeft w:val="0"/>
      <w:marRight w:val="0"/>
      <w:marTop w:val="0"/>
      <w:marBottom w:val="0"/>
      <w:divBdr>
        <w:top w:val="none" w:sz="0" w:space="0" w:color="auto"/>
        <w:left w:val="none" w:sz="0" w:space="0" w:color="auto"/>
        <w:bottom w:val="none" w:sz="0" w:space="0" w:color="auto"/>
        <w:right w:val="none" w:sz="0" w:space="0" w:color="auto"/>
      </w:divBdr>
    </w:div>
    <w:div w:id="417407468">
      <w:bodyDiv w:val="1"/>
      <w:marLeft w:val="0"/>
      <w:marRight w:val="0"/>
      <w:marTop w:val="0"/>
      <w:marBottom w:val="0"/>
      <w:divBdr>
        <w:top w:val="none" w:sz="0" w:space="0" w:color="auto"/>
        <w:left w:val="none" w:sz="0" w:space="0" w:color="auto"/>
        <w:bottom w:val="none" w:sz="0" w:space="0" w:color="auto"/>
        <w:right w:val="none" w:sz="0" w:space="0" w:color="auto"/>
      </w:divBdr>
    </w:div>
    <w:div w:id="418020013">
      <w:bodyDiv w:val="1"/>
      <w:marLeft w:val="0"/>
      <w:marRight w:val="0"/>
      <w:marTop w:val="0"/>
      <w:marBottom w:val="0"/>
      <w:divBdr>
        <w:top w:val="none" w:sz="0" w:space="0" w:color="auto"/>
        <w:left w:val="none" w:sz="0" w:space="0" w:color="auto"/>
        <w:bottom w:val="none" w:sz="0" w:space="0" w:color="auto"/>
        <w:right w:val="none" w:sz="0" w:space="0" w:color="auto"/>
      </w:divBdr>
      <w:divsChild>
        <w:div w:id="351882653">
          <w:marLeft w:val="0"/>
          <w:marRight w:val="0"/>
          <w:marTop w:val="0"/>
          <w:marBottom w:val="0"/>
          <w:divBdr>
            <w:top w:val="none" w:sz="0" w:space="0" w:color="auto"/>
            <w:left w:val="none" w:sz="0" w:space="0" w:color="auto"/>
            <w:bottom w:val="none" w:sz="0" w:space="0" w:color="auto"/>
            <w:right w:val="none" w:sz="0" w:space="0" w:color="auto"/>
          </w:divBdr>
          <w:divsChild>
            <w:div w:id="1806123000">
              <w:marLeft w:val="0"/>
              <w:marRight w:val="0"/>
              <w:marTop w:val="0"/>
              <w:marBottom w:val="0"/>
              <w:divBdr>
                <w:top w:val="none" w:sz="0" w:space="0" w:color="auto"/>
                <w:left w:val="none" w:sz="0" w:space="0" w:color="auto"/>
                <w:bottom w:val="none" w:sz="0" w:space="0" w:color="auto"/>
                <w:right w:val="none" w:sz="0" w:space="0" w:color="auto"/>
              </w:divBdr>
              <w:divsChild>
                <w:div w:id="1994799541">
                  <w:marLeft w:val="0"/>
                  <w:marRight w:val="0"/>
                  <w:marTop w:val="0"/>
                  <w:marBottom w:val="0"/>
                  <w:divBdr>
                    <w:top w:val="none" w:sz="0" w:space="0" w:color="auto"/>
                    <w:left w:val="none" w:sz="0" w:space="0" w:color="auto"/>
                    <w:bottom w:val="none" w:sz="0" w:space="0" w:color="auto"/>
                    <w:right w:val="none" w:sz="0" w:space="0" w:color="auto"/>
                  </w:divBdr>
                  <w:divsChild>
                    <w:div w:id="87276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027337">
      <w:bodyDiv w:val="1"/>
      <w:marLeft w:val="0"/>
      <w:marRight w:val="0"/>
      <w:marTop w:val="0"/>
      <w:marBottom w:val="0"/>
      <w:divBdr>
        <w:top w:val="none" w:sz="0" w:space="0" w:color="auto"/>
        <w:left w:val="none" w:sz="0" w:space="0" w:color="auto"/>
        <w:bottom w:val="none" w:sz="0" w:space="0" w:color="auto"/>
        <w:right w:val="none" w:sz="0" w:space="0" w:color="auto"/>
      </w:divBdr>
    </w:div>
    <w:div w:id="421993137">
      <w:bodyDiv w:val="1"/>
      <w:marLeft w:val="0"/>
      <w:marRight w:val="0"/>
      <w:marTop w:val="0"/>
      <w:marBottom w:val="0"/>
      <w:divBdr>
        <w:top w:val="none" w:sz="0" w:space="0" w:color="auto"/>
        <w:left w:val="none" w:sz="0" w:space="0" w:color="auto"/>
        <w:bottom w:val="none" w:sz="0" w:space="0" w:color="auto"/>
        <w:right w:val="none" w:sz="0" w:space="0" w:color="auto"/>
      </w:divBdr>
    </w:div>
    <w:div w:id="422193205">
      <w:bodyDiv w:val="1"/>
      <w:marLeft w:val="0"/>
      <w:marRight w:val="0"/>
      <w:marTop w:val="0"/>
      <w:marBottom w:val="0"/>
      <w:divBdr>
        <w:top w:val="none" w:sz="0" w:space="0" w:color="auto"/>
        <w:left w:val="none" w:sz="0" w:space="0" w:color="auto"/>
        <w:bottom w:val="none" w:sz="0" w:space="0" w:color="auto"/>
        <w:right w:val="none" w:sz="0" w:space="0" w:color="auto"/>
      </w:divBdr>
    </w:div>
    <w:div w:id="422655203">
      <w:bodyDiv w:val="1"/>
      <w:marLeft w:val="0"/>
      <w:marRight w:val="0"/>
      <w:marTop w:val="0"/>
      <w:marBottom w:val="0"/>
      <w:divBdr>
        <w:top w:val="none" w:sz="0" w:space="0" w:color="auto"/>
        <w:left w:val="none" w:sz="0" w:space="0" w:color="auto"/>
        <w:bottom w:val="none" w:sz="0" w:space="0" w:color="auto"/>
        <w:right w:val="none" w:sz="0" w:space="0" w:color="auto"/>
      </w:divBdr>
    </w:div>
    <w:div w:id="423301357">
      <w:bodyDiv w:val="1"/>
      <w:marLeft w:val="0"/>
      <w:marRight w:val="0"/>
      <w:marTop w:val="0"/>
      <w:marBottom w:val="0"/>
      <w:divBdr>
        <w:top w:val="none" w:sz="0" w:space="0" w:color="auto"/>
        <w:left w:val="none" w:sz="0" w:space="0" w:color="auto"/>
        <w:bottom w:val="none" w:sz="0" w:space="0" w:color="auto"/>
        <w:right w:val="none" w:sz="0" w:space="0" w:color="auto"/>
      </w:divBdr>
    </w:div>
    <w:div w:id="423497150">
      <w:bodyDiv w:val="1"/>
      <w:marLeft w:val="0"/>
      <w:marRight w:val="0"/>
      <w:marTop w:val="0"/>
      <w:marBottom w:val="0"/>
      <w:divBdr>
        <w:top w:val="none" w:sz="0" w:space="0" w:color="auto"/>
        <w:left w:val="none" w:sz="0" w:space="0" w:color="auto"/>
        <w:bottom w:val="none" w:sz="0" w:space="0" w:color="auto"/>
        <w:right w:val="none" w:sz="0" w:space="0" w:color="auto"/>
      </w:divBdr>
    </w:div>
    <w:div w:id="424112681">
      <w:bodyDiv w:val="1"/>
      <w:marLeft w:val="0"/>
      <w:marRight w:val="0"/>
      <w:marTop w:val="0"/>
      <w:marBottom w:val="0"/>
      <w:divBdr>
        <w:top w:val="none" w:sz="0" w:space="0" w:color="auto"/>
        <w:left w:val="none" w:sz="0" w:space="0" w:color="auto"/>
        <w:bottom w:val="none" w:sz="0" w:space="0" w:color="auto"/>
        <w:right w:val="none" w:sz="0" w:space="0" w:color="auto"/>
      </w:divBdr>
    </w:div>
    <w:div w:id="425154367">
      <w:bodyDiv w:val="1"/>
      <w:marLeft w:val="0"/>
      <w:marRight w:val="0"/>
      <w:marTop w:val="0"/>
      <w:marBottom w:val="0"/>
      <w:divBdr>
        <w:top w:val="none" w:sz="0" w:space="0" w:color="auto"/>
        <w:left w:val="none" w:sz="0" w:space="0" w:color="auto"/>
        <w:bottom w:val="none" w:sz="0" w:space="0" w:color="auto"/>
        <w:right w:val="none" w:sz="0" w:space="0" w:color="auto"/>
      </w:divBdr>
    </w:div>
    <w:div w:id="425734939">
      <w:bodyDiv w:val="1"/>
      <w:marLeft w:val="0"/>
      <w:marRight w:val="0"/>
      <w:marTop w:val="0"/>
      <w:marBottom w:val="0"/>
      <w:divBdr>
        <w:top w:val="none" w:sz="0" w:space="0" w:color="auto"/>
        <w:left w:val="none" w:sz="0" w:space="0" w:color="auto"/>
        <w:bottom w:val="none" w:sz="0" w:space="0" w:color="auto"/>
        <w:right w:val="none" w:sz="0" w:space="0" w:color="auto"/>
      </w:divBdr>
      <w:divsChild>
        <w:div w:id="18547873">
          <w:marLeft w:val="0"/>
          <w:marRight w:val="0"/>
          <w:marTop w:val="0"/>
          <w:marBottom w:val="0"/>
          <w:divBdr>
            <w:top w:val="none" w:sz="0" w:space="0" w:color="auto"/>
            <w:left w:val="none" w:sz="0" w:space="0" w:color="auto"/>
            <w:bottom w:val="none" w:sz="0" w:space="0" w:color="auto"/>
            <w:right w:val="none" w:sz="0" w:space="0" w:color="auto"/>
          </w:divBdr>
          <w:divsChild>
            <w:div w:id="1742831148">
              <w:marLeft w:val="0"/>
              <w:marRight w:val="0"/>
              <w:marTop w:val="0"/>
              <w:marBottom w:val="0"/>
              <w:divBdr>
                <w:top w:val="none" w:sz="0" w:space="0" w:color="auto"/>
                <w:left w:val="none" w:sz="0" w:space="0" w:color="auto"/>
                <w:bottom w:val="none" w:sz="0" w:space="0" w:color="auto"/>
                <w:right w:val="none" w:sz="0" w:space="0" w:color="auto"/>
              </w:divBdr>
              <w:divsChild>
                <w:div w:id="1964923983">
                  <w:marLeft w:val="0"/>
                  <w:marRight w:val="0"/>
                  <w:marTop w:val="0"/>
                  <w:marBottom w:val="0"/>
                  <w:divBdr>
                    <w:top w:val="none" w:sz="0" w:space="0" w:color="auto"/>
                    <w:left w:val="none" w:sz="0" w:space="0" w:color="auto"/>
                    <w:bottom w:val="none" w:sz="0" w:space="0" w:color="auto"/>
                    <w:right w:val="none" w:sz="0" w:space="0" w:color="auto"/>
                  </w:divBdr>
                  <w:divsChild>
                    <w:div w:id="16852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851430">
      <w:bodyDiv w:val="1"/>
      <w:marLeft w:val="0"/>
      <w:marRight w:val="0"/>
      <w:marTop w:val="0"/>
      <w:marBottom w:val="0"/>
      <w:divBdr>
        <w:top w:val="none" w:sz="0" w:space="0" w:color="auto"/>
        <w:left w:val="none" w:sz="0" w:space="0" w:color="auto"/>
        <w:bottom w:val="none" w:sz="0" w:space="0" w:color="auto"/>
        <w:right w:val="none" w:sz="0" w:space="0" w:color="auto"/>
      </w:divBdr>
    </w:div>
    <w:div w:id="426967840">
      <w:bodyDiv w:val="1"/>
      <w:marLeft w:val="0"/>
      <w:marRight w:val="0"/>
      <w:marTop w:val="0"/>
      <w:marBottom w:val="0"/>
      <w:divBdr>
        <w:top w:val="none" w:sz="0" w:space="0" w:color="auto"/>
        <w:left w:val="none" w:sz="0" w:space="0" w:color="auto"/>
        <w:bottom w:val="none" w:sz="0" w:space="0" w:color="auto"/>
        <w:right w:val="none" w:sz="0" w:space="0" w:color="auto"/>
      </w:divBdr>
    </w:div>
    <w:div w:id="427235889">
      <w:bodyDiv w:val="1"/>
      <w:marLeft w:val="0"/>
      <w:marRight w:val="0"/>
      <w:marTop w:val="0"/>
      <w:marBottom w:val="0"/>
      <w:divBdr>
        <w:top w:val="none" w:sz="0" w:space="0" w:color="auto"/>
        <w:left w:val="none" w:sz="0" w:space="0" w:color="auto"/>
        <w:bottom w:val="none" w:sz="0" w:space="0" w:color="auto"/>
        <w:right w:val="none" w:sz="0" w:space="0" w:color="auto"/>
      </w:divBdr>
    </w:div>
    <w:div w:id="427429977">
      <w:bodyDiv w:val="1"/>
      <w:marLeft w:val="0"/>
      <w:marRight w:val="0"/>
      <w:marTop w:val="0"/>
      <w:marBottom w:val="0"/>
      <w:divBdr>
        <w:top w:val="none" w:sz="0" w:space="0" w:color="auto"/>
        <w:left w:val="none" w:sz="0" w:space="0" w:color="auto"/>
        <w:bottom w:val="none" w:sz="0" w:space="0" w:color="auto"/>
        <w:right w:val="none" w:sz="0" w:space="0" w:color="auto"/>
      </w:divBdr>
      <w:divsChild>
        <w:div w:id="398942772">
          <w:marLeft w:val="0"/>
          <w:marRight w:val="0"/>
          <w:marTop w:val="0"/>
          <w:marBottom w:val="0"/>
          <w:divBdr>
            <w:top w:val="none" w:sz="0" w:space="0" w:color="auto"/>
            <w:left w:val="none" w:sz="0" w:space="0" w:color="auto"/>
            <w:bottom w:val="none" w:sz="0" w:space="0" w:color="auto"/>
            <w:right w:val="none" w:sz="0" w:space="0" w:color="auto"/>
          </w:divBdr>
          <w:divsChild>
            <w:div w:id="110900415">
              <w:marLeft w:val="0"/>
              <w:marRight w:val="0"/>
              <w:marTop w:val="0"/>
              <w:marBottom w:val="0"/>
              <w:divBdr>
                <w:top w:val="none" w:sz="0" w:space="0" w:color="auto"/>
                <w:left w:val="none" w:sz="0" w:space="0" w:color="auto"/>
                <w:bottom w:val="none" w:sz="0" w:space="0" w:color="auto"/>
                <w:right w:val="none" w:sz="0" w:space="0" w:color="auto"/>
              </w:divBdr>
              <w:divsChild>
                <w:div w:id="275869637">
                  <w:marLeft w:val="0"/>
                  <w:marRight w:val="0"/>
                  <w:marTop w:val="0"/>
                  <w:marBottom w:val="0"/>
                  <w:divBdr>
                    <w:top w:val="none" w:sz="0" w:space="0" w:color="auto"/>
                    <w:left w:val="none" w:sz="0" w:space="0" w:color="auto"/>
                    <w:bottom w:val="none" w:sz="0" w:space="0" w:color="auto"/>
                    <w:right w:val="none" w:sz="0" w:space="0" w:color="auto"/>
                  </w:divBdr>
                </w:div>
              </w:divsChild>
            </w:div>
            <w:div w:id="294602106">
              <w:marLeft w:val="0"/>
              <w:marRight w:val="0"/>
              <w:marTop w:val="0"/>
              <w:marBottom w:val="0"/>
              <w:divBdr>
                <w:top w:val="none" w:sz="0" w:space="0" w:color="auto"/>
                <w:left w:val="none" w:sz="0" w:space="0" w:color="auto"/>
                <w:bottom w:val="none" w:sz="0" w:space="0" w:color="auto"/>
                <w:right w:val="none" w:sz="0" w:space="0" w:color="auto"/>
              </w:divBdr>
              <w:divsChild>
                <w:div w:id="944965276">
                  <w:marLeft w:val="0"/>
                  <w:marRight w:val="0"/>
                  <w:marTop w:val="0"/>
                  <w:marBottom w:val="0"/>
                  <w:divBdr>
                    <w:top w:val="none" w:sz="0" w:space="0" w:color="auto"/>
                    <w:left w:val="none" w:sz="0" w:space="0" w:color="auto"/>
                    <w:bottom w:val="none" w:sz="0" w:space="0" w:color="auto"/>
                    <w:right w:val="none" w:sz="0" w:space="0" w:color="auto"/>
                  </w:divBdr>
                </w:div>
              </w:divsChild>
            </w:div>
            <w:div w:id="354618322">
              <w:marLeft w:val="0"/>
              <w:marRight w:val="0"/>
              <w:marTop w:val="0"/>
              <w:marBottom w:val="0"/>
              <w:divBdr>
                <w:top w:val="none" w:sz="0" w:space="0" w:color="auto"/>
                <w:left w:val="none" w:sz="0" w:space="0" w:color="auto"/>
                <w:bottom w:val="none" w:sz="0" w:space="0" w:color="auto"/>
                <w:right w:val="none" w:sz="0" w:space="0" w:color="auto"/>
              </w:divBdr>
              <w:divsChild>
                <w:div w:id="1478571579">
                  <w:marLeft w:val="0"/>
                  <w:marRight w:val="0"/>
                  <w:marTop w:val="0"/>
                  <w:marBottom w:val="0"/>
                  <w:divBdr>
                    <w:top w:val="none" w:sz="0" w:space="0" w:color="auto"/>
                    <w:left w:val="none" w:sz="0" w:space="0" w:color="auto"/>
                    <w:bottom w:val="none" w:sz="0" w:space="0" w:color="auto"/>
                    <w:right w:val="none" w:sz="0" w:space="0" w:color="auto"/>
                  </w:divBdr>
                </w:div>
              </w:divsChild>
            </w:div>
            <w:div w:id="365065738">
              <w:marLeft w:val="0"/>
              <w:marRight w:val="0"/>
              <w:marTop w:val="0"/>
              <w:marBottom w:val="0"/>
              <w:divBdr>
                <w:top w:val="none" w:sz="0" w:space="0" w:color="auto"/>
                <w:left w:val="none" w:sz="0" w:space="0" w:color="auto"/>
                <w:bottom w:val="none" w:sz="0" w:space="0" w:color="auto"/>
                <w:right w:val="none" w:sz="0" w:space="0" w:color="auto"/>
              </w:divBdr>
              <w:divsChild>
                <w:div w:id="1134325388">
                  <w:marLeft w:val="0"/>
                  <w:marRight w:val="0"/>
                  <w:marTop w:val="0"/>
                  <w:marBottom w:val="0"/>
                  <w:divBdr>
                    <w:top w:val="none" w:sz="0" w:space="0" w:color="auto"/>
                    <w:left w:val="none" w:sz="0" w:space="0" w:color="auto"/>
                    <w:bottom w:val="none" w:sz="0" w:space="0" w:color="auto"/>
                    <w:right w:val="none" w:sz="0" w:space="0" w:color="auto"/>
                  </w:divBdr>
                </w:div>
              </w:divsChild>
            </w:div>
            <w:div w:id="529413795">
              <w:marLeft w:val="0"/>
              <w:marRight w:val="0"/>
              <w:marTop w:val="0"/>
              <w:marBottom w:val="0"/>
              <w:divBdr>
                <w:top w:val="none" w:sz="0" w:space="0" w:color="auto"/>
                <w:left w:val="none" w:sz="0" w:space="0" w:color="auto"/>
                <w:bottom w:val="none" w:sz="0" w:space="0" w:color="auto"/>
                <w:right w:val="none" w:sz="0" w:space="0" w:color="auto"/>
              </w:divBdr>
              <w:divsChild>
                <w:div w:id="49694442">
                  <w:marLeft w:val="0"/>
                  <w:marRight w:val="0"/>
                  <w:marTop w:val="0"/>
                  <w:marBottom w:val="0"/>
                  <w:divBdr>
                    <w:top w:val="none" w:sz="0" w:space="0" w:color="auto"/>
                    <w:left w:val="none" w:sz="0" w:space="0" w:color="auto"/>
                    <w:bottom w:val="none" w:sz="0" w:space="0" w:color="auto"/>
                    <w:right w:val="none" w:sz="0" w:space="0" w:color="auto"/>
                  </w:divBdr>
                </w:div>
              </w:divsChild>
            </w:div>
            <w:div w:id="600526658">
              <w:marLeft w:val="0"/>
              <w:marRight w:val="0"/>
              <w:marTop w:val="0"/>
              <w:marBottom w:val="0"/>
              <w:divBdr>
                <w:top w:val="none" w:sz="0" w:space="0" w:color="auto"/>
                <w:left w:val="none" w:sz="0" w:space="0" w:color="auto"/>
                <w:bottom w:val="none" w:sz="0" w:space="0" w:color="auto"/>
                <w:right w:val="none" w:sz="0" w:space="0" w:color="auto"/>
              </w:divBdr>
              <w:divsChild>
                <w:div w:id="1910769098">
                  <w:marLeft w:val="0"/>
                  <w:marRight w:val="0"/>
                  <w:marTop w:val="0"/>
                  <w:marBottom w:val="0"/>
                  <w:divBdr>
                    <w:top w:val="none" w:sz="0" w:space="0" w:color="auto"/>
                    <w:left w:val="none" w:sz="0" w:space="0" w:color="auto"/>
                    <w:bottom w:val="none" w:sz="0" w:space="0" w:color="auto"/>
                    <w:right w:val="none" w:sz="0" w:space="0" w:color="auto"/>
                  </w:divBdr>
                </w:div>
              </w:divsChild>
            </w:div>
            <w:div w:id="663321769">
              <w:marLeft w:val="0"/>
              <w:marRight w:val="0"/>
              <w:marTop w:val="0"/>
              <w:marBottom w:val="0"/>
              <w:divBdr>
                <w:top w:val="none" w:sz="0" w:space="0" w:color="auto"/>
                <w:left w:val="none" w:sz="0" w:space="0" w:color="auto"/>
                <w:bottom w:val="none" w:sz="0" w:space="0" w:color="auto"/>
                <w:right w:val="none" w:sz="0" w:space="0" w:color="auto"/>
              </w:divBdr>
              <w:divsChild>
                <w:div w:id="552424031">
                  <w:marLeft w:val="0"/>
                  <w:marRight w:val="0"/>
                  <w:marTop w:val="0"/>
                  <w:marBottom w:val="0"/>
                  <w:divBdr>
                    <w:top w:val="none" w:sz="0" w:space="0" w:color="auto"/>
                    <w:left w:val="none" w:sz="0" w:space="0" w:color="auto"/>
                    <w:bottom w:val="none" w:sz="0" w:space="0" w:color="auto"/>
                    <w:right w:val="none" w:sz="0" w:space="0" w:color="auto"/>
                  </w:divBdr>
                </w:div>
              </w:divsChild>
            </w:div>
            <w:div w:id="686101971">
              <w:marLeft w:val="0"/>
              <w:marRight w:val="0"/>
              <w:marTop w:val="0"/>
              <w:marBottom w:val="0"/>
              <w:divBdr>
                <w:top w:val="none" w:sz="0" w:space="0" w:color="auto"/>
                <w:left w:val="none" w:sz="0" w:space="0" w:color="auto"/>
                <w:bottom w:val="none" w:sz="0" w:space="0" w:color="auto"/>
                <w:right w:val="none" w:sz="0" w:space="0" w:color="auto"/>
              </w:divBdr>
              <w:divsChild>
                <w:div w:id="2011175812">
                  <w:marLeft w:val="0"/>
                  <w:marRight w:val="0"/>
                  <w:marTop w:val="0"/>
                  <w:marBottom w:val="0"/>
                  <w:divBdr>
                    <w:top w:val="none" w:sz="0" w:space="0" w:color="auto"/>
                    <w:left w:val="none" w:sz="0" w:space="0" w:color="auto"/>
                    <w:bottom w:val="none" w:sz="0" w:space="0" w:color="auto"/>
                    <w:right w:val="none" w:sz="0" w:space="0" w:color="auto"/>
                  </w:divBdr>
                </w:div>
              </w:divsChild>
            </w:div>
            <w:div w:id="748423694">
              <w:marLeft w:val="0"/>
              <w:marRight w:val="0"/>
              <w:marTop w:val="0"/>
              <w:marBottom w:val="0"/>
              <w:divBdr>
                <w:top w:val="none" w:sz="0" w:space="0" w:color="auto"/>
                <w:left w:val="none" w:sz="0" w:space="0" w:color="auto"/>
                <w:bottom w:val="none" w:sz="0" w:space="0" w:color="auto"/>
                <w:right w:val="none" w:sz="0" w:space="0" w:color="auto"/>
              </w:divBdr>
              <w:divsChild>
                <w:div w:id="400179516">
                  <w:marLeft w:val="0"/>
                  <w:marRight w:val="0"/>
                  <w:marTop w:val="0"/>
                  <w:marBottom w:val="0"/>
                  <w:divBdr>
                    <w:top w:val="none" w:sz="0" w:space="0" w:color="auto"/>
                    <w:left w:val="none" w:sz="0" w:space="0" w:color="auto"/>
                    <w:bottom w:val="none" w:sz="0" w:space="0" w:color="auto"/>
                    <w:right w:val="none" w:sz="0" w:space="0" w:color="auto"/>
                  </w:divBdr>
                </w:div>
              </w:divsChild>
            </w:div>
            <w:div w:id="817957505">
              <w:marLeft w:val="0"/>
              <w:marRight w:val="0"/>
              <w:marTop w:val="0"/>
              <w:marBottom w:val="0"/>
              <w:divBdr>
                <w:top w:val="none" w:sz="0" w:space="0" w:color="auto"/>
                <w:left w:val="none" w:sz="0" w:space="0" w:color="auto"/>
                <w:bottom w:val="none" w:sz="0" w:space="0" w:color="auto"/>
                <w:right w:val="none" w:sz="0" w:space="0" w:color="auto"/>
              </w:divBdr>
              <w:divsChild>
                <w:div w:id="617836563">
                  <w:marLeft w:val="0"/>
                  <w:marRight w:val="0"/>
                  <w:marTop w:val="0"/>
                  <w:marBottom w:val="0"/>
                  <w:divBdr>
                    <w:top w:val="none" w:sz="0" w:space="0" w:color="auto"/>
                    <w:left w:val="none" w:sz="0" w:space="0" w:color="auto"/>
                    <w:bottom w:val="none" w:sz="0" w:space="0" w:color="auto"/>
                    <w:right w:val="none" w:sz="0" w:space="0" w:color="auto"/>
                  </w:divBdr>
                </w:div>
              </w:divsChild>
            </w:div>
            <w:div w:id="1076974887">
              <w:marLeft w:val="0"/>
              <w:marRight w:val="0"/>
              <w:marTop w:val="0"/>
              <w:marBottom w:val="0"/>
              <w:divBdr>
                <w:top w:val="none" w:sz="0" w:space="0" w:color="auto"/>
                <w:left w:val="none" w:sz="0" w:space="0" w:color="auto"/>
                <w:bottom w:val="none" w:sz="0" w:space="0" w:color="auto"/>
                <w:right w:val="none" w:sz="0" w:space="0" w:color="auto"/>
              </w:divBdr>
              <w:divsChild>
                <w:div w:id="495802422">
                  <w:marLeft w:val="0"/>
                  <w:marRight w:val="0"/>
                  <w:marTop w:val="0"/>
                  <w:marBottom w:val="0"/>
                  <w:divBdr>
                    <w:top w:val="none" w:sz="0" w:space="0" w:color="auto"/>
                    <w:left w:val="none" w:sz="0" w:space="0" w:color="auto"/>
                    <w:bottom w:val="none" w:sz="0" w:space="0" w:color="auto"/>
                    <w:right w:val="none" w:sz="0" w:space="0" w:color="auto"/>
                  </w:divBdr>
                </w:div>
              </w:divsChild>
            </w:div>
            <w:div w:id="1207448947">
              <w:marLeft w:val="0"/>
              <w:marRight w:val="0"/>
              <w:marTop w:val="0"/>
              <w:marBottom w:val="0"/>
              <w:divBdr>
                <w:top w:val="none" w:sz="0" w:space="0" w:color="auto"/>
                <w:left w:val="none" w:sz="0" w:space="0" w:color="auto"/>
                <w:bottom w:val="none" w:sz="0" w:space="0" w:color="auto"/>
                <w:right w:val="none" w:sz="0" w:space="0" w:color="auto"/>
              </w:divBdr>
              <w:divsChild>
                <w:div w:id="1144784678">
                  <w:marLeft w:val="0"/>
                  <w:marRight w:val="0"/>
                  <w:marTop w:val="0"/>
                  <w:marBottom w:val="0"/>
                  <w:divBdr>
                    <w:top w:val="none" w:sz="0" w:space="0" w:color="auto"/>
                    <w:left w:val="none" w:sz="0" w:space="0" w:color="auto"/>
                    <w:bottom w:val="none" w:sz="0" w:space="0" w:color="auto"/>
                    <w:right w:val="none" w:sz="0" w:space="0" w:color="auto"/>
                  </w:divBdr>
                </w:div>
              </w:divsChild>
            </w:div>
            <w:div w:id="1211963745">
              <w:marLeft w:val="0"/>
              <w:marRight w:val="0"/>
              <w:marTop w:val="0"/>
              <w:marBottom w:val="0"/>
              <w:divBdr>
                <w:top w:val="none" w:sz="0" w:space="0" w:color="auto"/>
                <w:left w:val="none" w:sz="0" w:space="0" w:color="auto"/>
                <w:bottom w:val="none" w:sz="0" w:space="0" w:color="auto"/>
                <w:right w:val="none" w:sz="0" w:space="0" w:color="auto"/>
              </w:divBdr>
              <w:divsChild>
                <w:div w:id="1999336655">
                  <w:marLeft w:val="0"/>
                  <w:marRight w:val="0"/>
                  <w:marTop w:val="0"/>
                  <w:marBottom w:val="0"/>
                  <w:divBdr>
                    <w:top w:val="none" w:sz="0" w:space="0" w:color="auto"/>
                    <w:left w:val="none" w:sz="0" w:space="0" w:color="auto"/>
                    <w:bottom w:val="none" w:sz="0" w:space="0" w:color="auto"/>
                    <w:right w:val="none" w:sz="0" w:space="0" w:color="auto"/>
                  </w:divBdr>
                </w:div>
              </w:divsChild>
            </w:div>
            <w:div w:id="1383596527">
              <w:marLeft w:val="0"/>
              <w:marRight w:val="0"/>
              <w:marTop w:val="0"/>
              <w:marBottom w:val="0"/>
              <w:divBdr>
                <w:top w:val="none" w:sz="0" w:space="0" w:color="auto"/>
                <w:left w:val="none" w:sz="0" w:space="0" w:color="auto"/>
                <w:bottom w:val="none" w:sz="0" w:space="0" w:color="auto"/>
                <w:right w:val="none" w:sz="0" w:space="0" w:color="auto"/>
              </w:divBdr>
              <w:divsChild>
                <w:div w:id="160048306">
                  <w:marLeft w:val="0"/>
                  <w:marRight w:val="0"/>
                  <w:marTop w:val="0"/>
                  <w:marBottom w:val="0"/>
                  <w:divBdr>
                    <w:top w:val="none" w:sz="0" w:space="0" w:color="auto"/>
                    <w:left w:val="none" w:sz="0" w:space="0" w:color="auto"/>
                    <w:bottom w:val="none" w:sz="0" w:space="0" w:color="auto"/>
                    <w:right w:val="none" w:sz="0" w:space="0" w:color="auto"/>
                  </w:divBdr>
                </w:div>
              </w:divsChild>
            </w:div>
            <w:div w:id="1674334871">
              <w:marLeft w:val="0"/>
              <w:marRight w:val="0"/>
              <w:marTop w:val="0"/>
              <w:marBottom w:val="0"/>
              <w:divBdr>
                <w:top w:val="none" w:sz="0" w:space="0" w:color="auto"/>
                <w:left w:val="none" w:sz="0" w:space="0" w:color="auto"/>
                <w:bottom w:val="none" w:sz="0" w:space="0" w:color="auto"/>
                <w:right w:val="none" w:sz="0" w:space="0" w:color="auto"/>
              </w:divBdr>
              <w:divsChild>
                <w:div w:id="1171799307">
                  <w:marLeft w:val="0"/>
                  <w:marRight w:val="0"/>
                  <w:marTop w:val="0"/>
                  <w:marBottom w:val="0"/>
                  <w:divBdr>
                    <w:top w:val="none" w:sz="0" w:space="0" w:color="auto"/>
                    <w:left w:val="none" w:sz="0" w:space="0" w:color="auto"/>
                    <w:bottom w:val="none" w:sz="0" w:space="0" w:color="auto"/>
                    <w:right w:val="none" w:sz="0" w:space="0" w:color="auto"/>
                  </w:divBdr>
                </w:div>
              </w:divsChild>
            </w:div>
            <w:div w:id="1760979982">
              <w:marLeft w:val="0"/>
              <w:marRight w:val="0"/>
              <w:marTop w:val="0"/>
              <w:marBottom w:val="0"/>
              <w:divBdr>
                <w:top w:val="none" w:sz="0" w:space="0" w:color="auto"/>
                <w:left w:val="none" w:sz="0" w:space="0" w:color="auto"/>
                <w:bottom w:val="none" w:sz="0" w:space="0" w:color="auto"/>
                <w:right w:val="none" w:sz="0" w:space="0" w:color="auto"/>
              </w:divBdr>
              <w:divsChild>
                <w:div w:id="282421128">
                  <w:marLeft w:val="0"/>
                  <w:marRight w:val="0"/>
                  <w:marTop w:val="0"/>
                  <w:marBottom w:val="0"/>
                  <w:divBdr>
                    <w:top w:val="none" w:sz="0" w:space="0" w:color="auto"/>
                    <w:left w:val="none" w:sz="0" w:space="0" w:color="auto"/>
                    <w:bottom w:val="none" w:sz="0" w:space="0" w:color="auto"/>
                    <w:right w:val="none" w:sz="0" w:space="0" w:color="auto"/>
                  </w:divBdr>
                </w:div>
              </w:divsChild>
            </w:div>
            <w:div w:id="1785493948">
              <w:marLeft w:val="0"/>
              <w:marRight w:val="0"/>
              <w:marTop w:val="0"/>
              <w:marBottom w:val="0"/>
              <w:divBdr>
                <w:top w:val="none" w:sz="0" w:space="0" w:color="auto"/>
                <w:left w:val="none" w:sz="0" w:space="0" w:color="auto"/>
                <w:bottom w:val="none" w:sz="0" w:space="0" w:color="auto"/>
                <w:right w:val="none" w:sz="0" w:space="0" w:color="auto"/>
              </w:divBdr>
              <w:divsChild>
                <w:div w:id="569316656">
                  <w:marLeft w:val="0"/>
                  <w:marRight w:val="0"/>
                  <w:marTop w:val="0"/>
                  <w:marBottom w:val="0"/>
                  <w:divBdr>
                    <w:top w:val="none" w:sz="0" w:space="0" w:color="auto"/>
                    <w:left w:val="none" w:sz="0" w:space="0" w:color="auto"/>
                    <w:bottom w:val="none" w:sz="0" w:space="0" w:color="auto"/>
                    <w:right w:val="none" w:sz="0" w:space="0" w:color="auto"/>
                  </w:divBdr>
                </w:div>
              </w:divsChild>
            </w:div>
            <w:div w:id="1838381982">
              <w:marLeft w:val="0"/>
              <w:marRight w:val="0"/>
              <w:marTop w:val="0"/>
              <w:marBottom w:val="0"/>
              <w:divBdr>
                <w:top w:val="none" w:sz="0" w:space="0" w:color="auto"/>
                <w:left w:val="none" w:sz="0" w:space="0" w:color="auto"/>
                <w:bottom w:val="none" w:sz="0" w:space="0" w:color="auto"/>
                <w:right w:val="none" w:sz="0" w:space="0" w:color="auto"/>
              </w:divBdr>
              <w:divsChild>
                <w:div w:id="560796376">
                  <w:marLeft w:val="0"/>
                  <w:marRight w:val="0"/>
                  <w:marTop w:val="0"/>
                  <w:marBottom w:val="0"/>
                  <w:divBdr>
                    <w:top w:val="none" w:sz="0" w:space="0" w:color="auto"/>
                    <w:left w:val="none" w:sz="0" w:space="0" w:color="auto"/>
                    <w:bottom w:val="none" w:sz="0" w:space="0" w:color="auto"/>
                    <w:right w:val="none" w:sz="0" w:space="0" w:color="auto"/>
                  </w:divBdr>
                </w:div>
              </w:divsChild>
            </w:div>
            <w:div w:id="1838836051">
              <w:marLeft w:val="0"/>
              <w:marRight w:val="0"/>
              <w:marTop w:val="0"/>
              <w:marBottom w:val="0"/>
              <w:divBdr>
                <w:top w:val="none" w:sz="0" w:space="0" w:color="auto"/>
                <w:left w:val="none" w:sz="0" w:space="0" w:color="auto"/>
                <w:bottom w:val="none" w:sz="0" w:space="0" w:color="auto"/>
                <w:right w:val="none" w:sz="0" w:space="0" w:color="auto"/>
              </w:divBdr>
              <w:divsChild>
                <w:div w:id="2064020758">
                  <w:marLeft w:val="0"/>
                  <w:marRight w:val="0"/>
                  <w:marTop w:val="0"/>
                  <w:marBottom w:val="0"/>
                  <w:divBdr>
                    <w:top w:val="none" w:sz="0" w:space="0" w:color="auto"/>
                    <w:left w:val="none" w:sz="0" w:space="0" w:color="auto"/>
                    <w:bottom w:val="none" w:sz="0" w:space="0" w:color="auto"/>
                    <w:right w:val="none" w:sz="0" w:space="0" w:color="auto"/>
                  </w:divBdr>
                </w:div>
              </w:divsChild>
            </w:div>
            <w:div w:id="1906647981">
              <w:marLeft w:val="0"/>
              <w:marRight w:val="0"/>
              <w:marTop w:val="0"/>
              <w:marBottom w:val="0"/>
              <w:divBdr>
                <w:top w:val="none" w:sz="0" w:space="0" w:color="auto"/>
                <w:left w:val="none" w:sz="0" w:space="0" w:color="auto"/>
                <w:bottom w:val="none" w:sz="0" w:space="0" w:color="auto"/>
                <w:right w:val="none" w:sz="0" w:space="0" w:color="auto"/>
              </w:divBdr>
              <w:divsChild>
                <w:div w:id="1279141937">
                  <w:marLeft w:val="0"/>
                  <w:marRight w:val="0"/>
                  <w:marTop w:val="0"/>
                  <w:marBottom w:val="0"/>
                  <w:divBdr>
                    <w:top w:val="none" w:sz="0" w:space="0" w:color="auto"/>
                    <w:left w:val="none" w:sz="0" w:space="0" w:color="auto"/>
                    <w:bottom w:val="none" w:sz="0" w:space="0" w:color="auto"/>
                    <w:right w:val="none" w:sz="0" w:space="0" w:color="auto"/>
                  </w:divBdr>
                </w:div>
              </w:divsChild>
            </w:div>
            <w:div w:id="1927762673">
              <w:marLeft w:val="0"/>
              <w:marRight w:val="0"/>
              <w:marTop w:val="0"/>
              <w:marBottom w:val="0"/>
              <w:divBdr>
                <w:top w:val="none" w:sz="0" w:space="0" w:color="auto"/>
                <w:left w:val="none" w:sz="0" w:space="0" w:color="auto"/>
                <w:bottom w:val="none" w:sz="0" w:space="0" w:color="auto"/>
                <w:right w:val="none" w:sz="0" w:space="0" w:color="auto"/>
              </w:divBdr>
              <w:divsChild>
                <w:div w:id="841165676">
                  <w:marLeft w:val="0"/>
                  <w:marRight w:val="0"/>
                  <w:marTop w:val="0"/>
                  <w:marBottom w:val="0"/>
                  <w:divBdr>
                    <w:top w:val="none" w:sz="0" w:space="0" w:color="auto"/>
                    <w:left w:val="none" w:sz="0" w:space="0" w:color="auto"/>
                    <w:bottom w:val="none" w:sz="0" w:space="0" w:color="auto"/>
                    <w:right w:val="none" w:sz="0" w:space="0" w:color="auto"/>
                  </w:divBdr>
                </w:div>
              </w:divsChild>
            </w:div>
            <w:div w:id="2015183833">
              <w:marLeft w:val="0"/>
              <w:marRight w:val="0"/>
              <w:marTop w:val="0"/>
              <w:marBottom w:val="0"/>
              <w:divBdr>
                <w:top w:val="none" w:sz="0" w:space="0" w:color="auto"/>
                <w:left w:val="none" w:sz="0" w:space="0" w:color="auto"/>
                <w:bottom w:val="none" w:sz="0" w:space="0" w:color="auto"/>
                <w:right w:val="none" w:sz="0" w:space="0" w:color="auto"/>
              </w:divBdr>
              <w:divsChild>
                <w:div w:id="1307012530">
                  <w:marLeft w:val="0"/>
                  <w:marRight w:val="0"/>
                  <w:marTop w:val="0"/>
                  <w:marBottom w:val="0"/>
                  <w:divBdr>
                    <w:top w:val="none" w:sz="0" w:space="0" w:color="auto"/>
                    <w:left w:val="none" w:sz="0" w:space="0" w:color="auto"/>
                    <w:bottom w:val="none" w:sz="0" w:space="0" w:color="auto"/>
                    <w:right w:val="none" w:sz="0" w:space="0" w:color="auto"/>
                  </w:divBdr>
                </w:div>
              </w:divsChild>
            </w:div>
            <w:div w:id="2127238059">
              <w:marLeft w:val="0"/>
              <w:marRight w:val="0"/>
              <w:marTop w:val="0"/>
              <w:marBottom w:val="0"/>
              <w:divBdr>
                <w:top w:val="none" w:sz="0" w:space="0" w:color="auto"/>
                <w:left w:val="none" w:sz="0" w:space="0" w:color="auto"/>
                <w:bottom w:val="none" w:sz="0" w:space="0" w:color="auto"/>
                <w:right w:val="none" w:sz="0" w:space="0" w:color="auto"/>
              </w:divBdr>
              <w:divsChild>
                <w:div w:id="22703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93470">
      <w:bodyDiv w:val="1"/>
      <w:marLeft w:val="0"/>
      <w:marRight w:val="0"/>
      <w:marTop w:val="0"/>
      <w:marBottom w:val="0"/>
      <w:divBdr>
        <w:top w:val="none" w:sz="0" w:space="0" w:color="auto"/>
        <w:left w:val="none" w:sz="0" w:space="0" w:color="auto"/>
        <w:bottom w:val="none" w:sz="0" w:space="0" w:color="auto"/>
        <w:right w:val="none" w:sz="0" w:space="0" w:color="auto"/>
      </w:divBdr>
      <w:divsChild>
        <w:div w:id="1577782554">
          <w:marLeft w:val="0"/>
          <w:marRight w:val="0"/>
          <w:marTop w:val="0"/>
          <w:marBottom w:val="0"/>
          <w:divBdr>
            <w:top w:val="none" w:sz="0" w:space="0" w:color="auto"/>
            <w:left w:val="none" w:sz="0" w:space="0" w:color="auto"/>
            <w:bottom w:val="none" w:sz="0" w:space="0" w:color="auto"/>
            <w:right w:val="none" w:sz="0" w:space="0" w:color="auto"/>
          </w:divBdr>
          <w:divsChild>
            <w:div w:id="1034036079">
              <w:marLeft w:val="0"/>
              <w:marRight w:val="0"/>
              <w:marTop w:val="0"/>
              <w:marBottom w:val="0"/>
              <w:divBdr>
                <w:top w:val="none" w:sz="0" w:space="0" w:color="auto"/>
                <w:left w:val="none" w:sz="0" w:space="0" w:color="auto"/>
                <w:bottom w:val="none" w:sz="0" w:space="0" w:color="auto"/>
                <w:right w:val="none" w:sz="0" w:space="0" w:color="auto"/>
              </w:divBdr>
              <w:divsChild>
                <w:div w:id="2095321234">
                  <w:marLeft w:val="0"/>
                  <w:marRight w:val="0"/>
                  <w:marTop w:val="0"/>
                  <w:marBottom w:val="0"/>
                  <w:divBdr>
                    <w:top w:val="none" w:sz="0" w:space="0" w:color="auto"/>
                    <w:left w:val="none" w:sz="0" w:space="0" w:color="auto"/>
                    <w:bottom w:val="none" w:sz="0" w:space="0" w:color="auto"/>
                    <w:right w:val="none" w:sz="0" w:space="0" w:color="auto"/>
                  </w:divBdr>
                  <w:divsChild>
                    <w:div w:id="65530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896747">
      <w:bodyDiv w:val="1"/>
      <w:marLeft w:val="0"/>
      <w:marRight w:val="0"/>
      <w:marTop w:val="0"/>
      <w:marBottom w:val="0"/>
      <w:divBdr>
        <w:top w:val="none" w:sz="0" w:space="0" w:color="auto"/>
        <w:left w:val="none" w:sz="0" w:space="0" w:color="auto"/>
        <w:bottom w:val="none" w:sz="0" w:space="0" w:color="auto"/>
        <w:right w:val="none" w:sz="0" w:space="0" w:color="auto"/>
      </w:divBdr>
    </w:div>
    <w:div w:id="428232688">
      <w:bodyDiv w:val="1"/>
      <w:marLeft w:val="0"/>
      <w:marRight w:val="0"/>
      <w:marTop w:val="0"/>
      <w:marBottom w:val="0"/>
      <w:divBdr>
        <w:top w:val="none" w:sz="0" w:space="0" w:color="auto"/>
        <w:left w:val="none" w:sz="0" w:space="0" w:color="auto"/>
        <w:bottom w:val="none" w:sz="0" w:space="0" w:color="auto"/>
        <w:right w:val="none" w:sz="0" w:space="0" w:color="auto"/>
      </w:divBdr>
    </w:div>
    <w:div w:id="428353557">
      <w:bodyDiv w:val="1"/>
      <w:marLeft w:val="0"/>
      <w:marRight w:val="0"/>
      <w:marTop w:val="0"/>
      <w:marBottom w:val="0"/>
      <w:divBdr>
        <w:top w:val="none" w:sz="0" w:space="0" w:color="auto"/>
        <w:left w:val="none" w:sz="0" w:space="0" w:color="auto"/>
        <w:bottom w:val="none" w:sz="0" w:space="0" w:color="auto"/>
        <w:right w:val="none" w:sz="0" w:space="0" w:color="auto"/>
      </w:divBdr>
    </w:div>
    <w:div w:id="428622063">
      <w:bodyDiv w:val="1"/>
      <w:marLeft w:val="0"/>
      <w:marRight w:val="0"/>
      <w:marTop w:val="0"/>
      <w:marBottom w:val="0"/>
      <w:divBdr>
        <w:top w:val="none" w:sz="0" w:space="0" w:color="auto"/>
        <w:left w:val="none" w:sz="0" w:space="0" w:color="auto"/>
        <w:bottom w:val="none" w:sz="0" w:space="0" w:color="auto"/>
        <w:right w:val="none" w:sz="0" w:space="0" w:color="auto"/>
      </w:divBdr>
    </w:div>
    <w:div w:id="429745116">
      <w:bodyDiv w:val="1"/>
      <w:marLeft w:val="0"/>
      <w:marRight w:val="0"/>
      <w:marTop w:val="0"/>
      <w:marBottom w:val="0"/>
      <w:divBdr>
        <w:top w:val="none" w:sz="0" w:space="0" w:color="auto"/>
        <w:left w:val="none" w:sz="0" w:space="0" w:color="auto"/>
        <w:bottom w:val="none" w:sz="0" w:space="0" w:color="auto"/>
        <w:right w:val="none" w:sz="0" w:space="0" w:color="auto"/>
      </w:divBdr>
    </w:div>
    <w:div w:id="429785142">
      <w:bodyDiv w:val="1"/>
      <w:marLeft w:val="0"/>
      <w:marRight w:val="0"/>
      <w:marTop w:val="0"/>
      <w:marBottom w:val="0"/>
      <w:divBdr>
        <w:top w:val="none" w:sz="0" w:space="0" w:color="auto"/>
        <w:left w:val="none" w:sz="0" w:space="0" w:color="auto"/>
        <w:bottom w:val="none" w:sz="0" w:space="0" w:color="auto"/>
        <w:right w:val="none" w:sz="0" w:space="0" w:color="auto"/>
      </w:divBdr>
    </w:div>
    <w:div w:id="429862673">
      <w:bodyDiv w:val="1"/>
      <w:marLeft w:val="0"/>
      <w:marRight w:val="0"/>
      <w:marTop w:val="0"/>
      <w:marBottom w:val="0"/>
      <w:divBdr>
        <w:top w:val="none" w:sz="0" w:space="0" w:color="auto"/>
        <w:left w:val="none" w:sz="0" w:space="0" w:color="auto"/>
        <w:bottom w:val="none" w:sz="0" w:space="0" w:color="auto"/>
        <w:right w:val="none" w:sz="0" w:space="0" w:color="auto"/>
      </w:divBdr>
    </w:div>
    <w:div w:id="430008241">
      <w:bodyDiv w:val="1"/>
      <w:marLeft w:val="0"/>
      <w:marRight w:val="0"/>
      <w:marTop w:val="0"/>
      <w:marBottom w:val="0"/>
      <w:divBdr>
        <w:top w:val="none" w:sz="0" w:space="0" w:color="auto"/>
        <w:left w:val="none" w:sz="0" w:space="0" w:color="auto"/>
        <w:bottom w:val="none" w:sz="0" w:space="0" w:color="auto"/>
        <w:right w:val="none" w:sz="0" w:space="0" w:color="auto"/>
      </w:divBdr>
      <w:divsChild>
        <w:div w:id="1147867465">
          <w:marLeft w:val="0"/>
          <w:marRight w:val="0"/>
          <w:marTop w:val="0"/>
          <w:marBottom w:val="0"/>
          <w:divBdr>
            <w:top w:val="none" w:sz="0" w:space="0" w:color="auto"/>
            <w:left w:val="none" w:sz="0" w:space="0" w:color="auto"/>
            <w:bottom w:val="none" w:sz="0" w:space="0" w:color="auto"/>
            <w:right w:val="none" w:sz="0" w:space="0" w:color="auto"/>
          </w:divBdr>
          <w:divsChild>
            <w:div w:id="542638719">
              <w:marLeft w:val="0"/>
              <w:marRight w:val="0"/>
              <w:marTop w:val="0"/>
              <w:marBottom w:val="0"/>
              <w:divBdr>
                <w:top w:val="none" w:sz="0" w:space="0" w:color="auto"/>
                <w:left w:val="none" w:sz="0" w:space="0" w:color="auto"/>
                <w:bottom w:val="none" w:sz="0" w:space="0" w:color="auto"/>
                <w:right w:val="none" w:sz="0" w:space="0" w:color="auto"/>
              </w:divBdr>
              <w:divsChild>
                <w:div w:id="1144808849">
                  <w:marLeft w:val="0"/>
                  <w:marRight w:val="0"/>
                  <w:marTop w:val="0"/>
                  <w:marBottom w:val="0"/>
                  <w:divBdr>
                    <w:top w:val="none" w:sz="0" w:space="0" w:color="auto"/>
                    <w:left w:val="none" w:sz="0" w:space="0" w:color="auto"/>
                    <w:bottom w:val="none" w:sz="0" w:space="0" w:color="auto"/>
                    <w:right w:val="none" w:sz="0" w:space="0" w:color="auto"/>
                  </w:divBdr>
                  <w:divsChild>
                    <w:div w:id="92106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435201">
      <w:bodyDiv w:val="1"/>
      <w:marLeft w:val="0"/>
      <w:marRight w:val="0"/>
      <w:marTop w:val="0"/>
      <w:marBottom w:val="0"/>
      <w:divBdr>
        <w:top w:val="none" w:sz="0" w:space="0" w:color="auto"/>
        <w:left w:val="none" w:sz="0" w:space="0" w:color="auto"/>
        <w:bottom w:val="none" w:sz="0" w:space="0" w:color="auto"/>
        <w:right w:val="none" w:sz="0" w:space="0" w:color="auto"/>
      </w:divBdr>
    </w:div>
    <w:div w:id="432094757">
      <w:bodyDiv w:val="1"/>
      <w:marLeft w:val="0"/>
      <w:marRight w:val="0"/>
      <w:marTop w:val="0"/>
      <w:marBottom w:val="0"/>
      <w:divBdr>
        <w:top w:val="none" w:sz="0" w:space="0" w:color="auto"/>
        <w:left w:val="none" w:sz="0" w:space="0" w:color="auto"/>
        <w:bottom w:val="none" w:sz="0" w:space="0" w:color="auto"/>
        <w:right w:val="none" w:sz="0" w:space="0" w:color="auto"/>
      </w:divBdr>
    </w:div>
    <w:div w:id="432675229">
      <w:bodyDiv w:val="1"/>
      <w:marLeft w:val="0"/>
      <w:marRight w:val="0"/>
      <w:marTop w:val="0"/>
      <w:marBottom w:val="0"/>
      <w:divBdr>
        <w:top w:val="none" w:sz="0" w:space="0" w:color="auto"/>
        <w:left w:val="none" w:sz="0" w:space="0" w:color="auto"/>
        <w:bottom w:val="none" w:sz="0" w:space="0" w:color="auto"/>
        <w:right w:val="none" w:sz="0" w:space="0" w:color="auto"/>
      </w:divBdr>
    </w:div>
    <w:div w:id="435172232">
      <w:bodyDiv w:val="1"/>
      <w:marLeft w:val="0"/>
      <w:marRight w:val="0"/>
      <w:marTop w:val="0"/>
      <w:marBottom w:val="0"/>
      <w:divBdr>
        <w:top w:val="none" w:sz="0" w:space="0" w:color="auto"/>
        <w:left w:val="none" w:sz="0" w:space="0" w:color="auto"/>
        <w:bottom w:val="none" w:sz="0" w:space="0" w:color="auto"/>
        <w:right w:val="none" w:sz="0" w:space="0" w:color="auto"/>
      </w:divBdr>
      <w:divsChild>
        <w:div w:id="266738003">
          <w:marLeft w:val="0"/>
          <w:marRight w:val="0"/>
          <w:marTop w:val="0"/>
          <w:marBottom w:val="0"/>
          <w:divBdr>
            <w:top w:val="none" w:sz="0" w:space="0" w:color="auto"/>
            <w:left w:val="none" w:sz="0" w:space="0" w:color="auto"/>
            <w:bottom w:val="none" w:sz="0" w:space="0" w:color="auto"/>
            <w:right w:val="none" w:sz="0" w:space="0" w:color="auto"/>
          </w:divBdr>
          <w:divsChild>
            <w:div w:id="1486975798">
              <w:marLeft w:val="0"/>
              <w:marRight w:val="0"/>
              <w:marTop w:val="0"/>
              <w:marBottom w:val="0"/>
              <w:divBdr>
                <w:top w:val="none" w:sz="0" w:space="0" w:color="auto"/>
                <w:left w:val="none" w:sz="0" w:space="0" w:color="auto"/>
                <w:bottom w:val="none" w:sz="0" w:space="0" w:color="auto"/>
                <w:right w:val="none" w:sz="0" w:space="0" w:color="auto"/>
              </w:divBdr>
              <w:divsChild>
                <w:div w:id="372191258">
                  <w:marLeft w:val="0"/>
                  <w:marRight w:val="0"/>
                  <w:marTop w:val="0"/>
                  <w:marBottom w:val="0"/>
                  <w:divBdr>
                    <w:top w:val="none" w:sz="0" w:space="0" w:color="auto"/>
                    <w:left w:val="none" w:sz="0" w:space="0" w:color="auto"/>
                    <w:bottom w:val="none" w:sz="0" w:space="0" w:color="auto"/>
                    <w:right w:val="none" w:sz="0" w:space="0" w:color="auto"/>
                  </w:divBdr>
                  <w:divsChild>
                    <w:div w:id="125921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219370">
      <w:bodyDiv w:val="1"/>
      <w:marLeft w:val="0"/>
      <w:marRight w:val="0"/>
      <w:marTop w:val="0"/>
      <w:marBottom w:val="0"/>
      <w:divBdr>
        <w:top w:val="none" w:sz="0" w:space="0" w:color="auto"/>
        <w:left w:val="none" w:sz="0" w:space="0" w:color="auto"/>
        <w:bottom w:val="none" w:sz="0" w:space="0" w:color="auto"/>
        <w:right w:val="none" w:sz="0" w:space="0" w:color="auto"/>
      </w:divBdr>
    </w:div>
    <w:div w:id="438063546">
      <w:bodyDiv w:val="1"/>
      <w:marLeft w:val="0"/>
      <w:marRight w:val="0"/>
      <w:marTop w:val="0"/>
      <w:marBottom w:val="0"/>
      <w:divBdr>
        <w:top w:val="none" w:sz="0" w:space="0" w:color="auto"/>
        <w:left w:val="none" w:sz="0" w:space="0" w:color="auto"/>
        <w:bottom w:val="none" w:sz="0" w:space="0" w:color="auto"/>
        <w:right w:val="none" w:sz="0" w:space="0" w:color="auto"/>
      </w:divBdr>
    </w:div>
    <w:div w:id="438069803">
      <w:bodyDiv w:val="1"/>
      <w:marLeft w:val="0"/>
      <w:marRight w:val="0"/>
      <w:marTop w:val="0"/>
      <w:marBottom w:val="0"/>
      <w:divBdr>
        <w:top w:val="none" w:sz="0" w:space="0" w:color="auto"/>
        <w:left w:val="none" w:sz="0" w:space="0" w:color="auto"/>
        <w:bottom w:val="none" w:sz="0" w:space="0" w:color="auto"/>
        <w:right w:val="none" w:sz="0" w:space="0" w:color="auto"/>
      </w:divBdr>
    </w:div>
    <w:div w:id="438256719">
      <w:bodyDiv w:val="1"/>
      <w:marLeft w:val="0"/>
      <w:marRight w:val="0"/>
      <w:marTop w:val="0"/>
      <w:marBottom w:val="0"/>
      <w:divBdr>
        <w:top w:val="none" w:sz="0" w:space="0" w:color="auto"/>
        <w:left w:val="none" w:sz="0" w:space="0" w:color="auto"/>
        <w:bottom w:val="none" w:sz="0" w:space="0" w:color="auto"/>
        <w:right w:val="none" w:sz="0" w:space="0" w:color="auto"/>
      </w:divBdr>
    </w:div>
    <w:div w:id="438567000">
      <w:bodyDiv w:val="1"/>
      <w:marLeft w:val="0"/>
      <w:marRight w:val="0"/>
      <w:marTop w:val="0"/>
      <w:marBottom w:val="0"/>
      <w:divBdr>
        <w:top w:val="none" w:sz="0" w:space="0" w:color="auto"/>
        <w:left w:val="none" w:sz="0" w:space="0" w:color="auto"/>
        <w:bottom w:val="none" w:sz="0" w:space="0" w:color="auto"/>
        <w:right w:val="none" w:sz="0" w:space="0" w:color="auto"/>
      </w:divBdr>
    </w:div>
    <w:div w:id="438834282">
      <w:bodyDiv w:val="1"/>
      <w:marLeft w:val="0"/>
      <w:marRight w:val="0"/>
      <w:marTop w:val="0"/>
      <w:marBottom w:val="0"/>
      <w:divBdr>
        <w:top w:val="none" w:sz="0" w:space="0" w:color="auto"/>
        <w:left w:val="none" w:sz="0" w:space="0" w:color="auto"/>
        <w:bottom w:val="none" w:sz="0" w:space="0" w:color="auto"/>
        <w:right w:val="none" w:sz="0" w:space="0" w:color="auto"/>
      </w:divBdr>
    </w:div>
    <w:div w:id="439224575">
      <w:bodyDiv w:val="1"/>
      <w:marLeft w:val="0"/>
      <w:marRight w:val="0"/>
      <w:marTop w:val="0"/>
      <w:marBottom w:val="0"/>
      <w:divBdr>
        <w:top w:val="none" w:sz="0" w:space="0" w:color="auto"/>
        <w:left w:val="none" w:sz="0" w:space="0" w:color="auto"/>
        <w:bottom w:val="none" w:sz="0" w:space="0" w:color="auto"/>
        <w:right w:val="none" w:sz="0" w:space="0" w:color="auto"/>
      </w:divBdr>
    </w:div>
    <w:div w:id="439303504">
      <w:bodyDiv w:val="1"/>
      <w:marLeft w:val="0"/>
      <w:marRight w:val="0"/>
      <w:marTop w:val="0"/>
      <w:marBottom w:val="0"/>
      <w:divBdr>
        <w:top w:val="none" w:sz="0" w:space="0" w:color="auto"/>
        <w:left w:val="none" w:sz="0" w:space="0" w:color="auto"/>
        <w:bottom w:val="none" w:sz="0" w:space="0" w:color="auto"/>
        <w:right w:val="none" w:sz="0" w:space="0" w:color="auto"/>
      </w:divBdr>
    </w:div>
    <w:div w:id="439371580">
      <w:bodyDiv w:val="1"/>
      <w:marLeft w:val="0"/>
      <w:marRight w:val="0"/>
      <w:marTop w:val="0"/>
      <w:marBottom w:val="0"/>
      <w:divBdr>
        <w:top w:val="none" w:sz="0" w:space="0" w:color="auto"/>
        <w:left w:val="none" w:sz="0" w:space="0" w:color="auto"/>
        <w:bottom w:val="none" w:sz="0" w:space="0" w:color="auto"/>
        <w:right w:val="none" w:sz="0" w:space="0" w:color="auto"/>
      </w:divBdr>
    </w:div>
    <w:div w:id="439642701">
      <w:bodyDiv w:val="1"/>
      <w:marLeft w:val="0"/>
      <w:marRight w:val="0"/>
      <w:marTop w:val="0"/>
      <w:marBottom w:val="0"/>
      <w:divBdr>
        <w:top w:val="none" w:sz="0" w:space="0" w:color="auto"/>
        <w:left w:val="none" w:sz="0" w:space="0" w:color="auto"/>
        <w:bottom w:val="none" w:sz="0" w:space="0" w:color="auto"/>
        <w:right w:val="none" w:sz="0" w:space="0" w:color="auto"/>
      </w:divBdr>
      <w:divsChild>
        <w:div w:id="324550074">
          <w:marLeft w:val="0"/>
          <w:marRight w:val="0"/>
          <w:marTop w:val="0"/>
          <w:marBottom w:val="0"/>
          <w:divBdr>
            <w:top w:val="none" w:sz="0" w:space="0" w:color="auto"/>
            <w:left w:val="none" w:sz="0" w:space="0" w:color="auto"/>
            <w:bottom w:val="none" w:sz="0" w:space="0" w:color="auto"/>
            <w:right w:val="none" w:sz="0" w:space="0" w:color="auto"/>
          </w:divBdr>
          <w:divsChild>
            <w:div w:id="262618664">
              <w:marLeft w:val="0"/>
              <w:marRight w:val="0"/>
              <w:marTop w:val="0"/>
              <w:marBottom w:val="0"/>
              <w:divBdr>
                <w:top w:val="none" w:sz="0" w:space="0" w:color="auto"/>
                <w:left w:val="none" w:sz="0" w:space="0" w:color="auto"/>
                <w:bottom w:val="none" w:sz="0" w:space="0" w:color="auto"/>
                <w:right w:val="none" w:sz="0" w:space="0" w:color="auto"/>
              </w:divBdr>
              <w:divsChild>
                <w:div w:id="1563367139">
                  <w:marLeft w:val="0"/>
                  <w:marRight w:val="0"/>
                  <w:marTop w:val="0"/>
                  <w:marBottom w:val="0"/>
                  <w:divBdr>
                    <w:top w:val="none" w:sz="0" w:space="0" w:color="auto"/>
                    <w:left w:val="none" w:sz="0" w:space="0" w:color="auto"/>
                    <w:bottom w:val="none" w:sz="0" w:space="0" w:color="auto"/>
                    <w:right w:val="none" w:sz="0" w:space="0" w:color="auto"/>
                  </w:divBdr>
                  <w:divsChild>
                    <w:div w:id="94746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956416">
      <w:bodyDiv w:val="1"/>
      <w:marLeft w:val="0"/>
      <w:marRight w:val="0"/>
      <w:marTop w:val="0"/>
      <w:marBottom w:val="0"/>
      <w:divBdr>
        <w:top w:val="none" w:sz="0" w:space="0" w:color="auto"/>
        <w:left w:val="none" w:sz="0" w:space="0" w:color="auto"/>
        <w:bottom w:val="none" w:sz="0" w:space="0" w:color="auto"/>
        <w:right w:val="none" w:sz="0" w:space="0" w:color="auto"/>
      </w:divBdr>
      <w:divsChild>
        <w:div w:id="918635425">
          <w:marLeft w:val="0"/>
          <w:marRight w:val="0"/>
          <w:marTop w:val="0"/>
          <w:marBottom w:val="0"/>
          <w:divBdr>
            <w:top w:val="none" w:sz="0" w:space="0" w:color="auto"/>
            <w:left w:val="none" w:sz="0" w:space="0" w:color="auto"/>
            <w:bottom w:val="none" w:sz="0" w:space="0" w:color="auto"/>
            <w:right w:val="none" w:sz="0" w:space="0" w:color="auto"/>
          </w:divBdr>
          <w:divsChild>
            <w:div w:id="1368679482">
              <w:marLeft w:val="0"/>
              <w:marRight w:val="0"/>
              <w:marTop w:val="0"/>
              <w:marBottom w:val="0"/>
              <w:divBdr>
                <w:top w:val="none" w:sz="0" w:space="0" w:color="auto"/>
                <w:left w:val="none" w:sz="0" w:space="0" w:color="auto"/>
                <w:bottom w:val="none" w:sz="0" w:space="0" w:color="auto"/>
                <w:right w:val="none" w:sz="0" w:space="0" w:color="auto"/>
              </w:divBdr>
              <w:divsChild>
                <w:div w:id="645667060">
                  <w:marLeft w:val="0"/>
                  <w:marRight w:val="0"/>
                  <w:marTop w:val="0"/>
                  <w:marBottom w:val="0"/>
                  <w:divBdr>
                    <w:top w:val="none" w:sz="0" w:space="0" w:color="auto"/>
                    <w:left w:val="none" w:sz="0" w:space="0" w:color="auto"/>
                    <w:bottom w:val="none" w:sz="0" w:space="0" w:color="auto"/>
                    <w:right w:val="none" w:sz="0" w:space="0" w:color="auto"/>
                  </w:divBdr>
                  <w:divsChild>
                    <w:div w:id="43359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531725">
      <w:bodyDiv w:val="1"/>
      <w:marLeft w:val="0"/>
      <w:marRight w:val="0"/>
      <w:marTop w:val="0"/>
      <w:marBottom w:val="0"/>
      <w:divBdr>
        <w:top w:val="none" w:sz="0" w:space="0" w:color="auto"/>
        <w:left w:val="none" w:sz="0" w:space="0" w:color="auto"/>
        <w:bottom w:val="none" w:sz="0" w:space="0" w:color="auto"/>
        <w:right w:val="none" w:sz="0" w:space="0" w:color="auto"/>
      </w:divBdr>
      <w:divsChild>
        <w:div w:id="498736214">
          <w:marLeft w:val="0"/>
          <w:marRight w:val="0"/>
          <w:marTop w:val="0"/>
          <w:marBottom w:val="0"/>
          <w:divBdr>
            <w:top w:val="none" w:sz="0" w:space="0" w:color="auto"/>
            <w:left w:val="none" w:sz="0" w:space="0" w:color="auto"/>
            <w:bottom w:val="none" w:sz="0" w:space="0" w:color="auto"/>
            <w:right w:val="none" w:sz="0" w:space="0" w:color="auto"/>
          </w:divBdr>
          <w:divsChild>
            <w:div w:id="1111625346">
              <w:marLeft w:val="0"/>
              <w:marRight w:val="0"/>
              <w:marTop w:val="0"/>
              <w:marBottom w:val="0"/>
              <w:divBdr>
                <w:top w:val="none" w:sz="0" w:space="0" w:color="auto"/>
                <w:left w:val="none" w:sz="0" w:space="0" w:color="auto"/>
                <w:bottom w:val="none" w:sz="0" w:space="0" w:color="auto"/>
                <w:right w:val="none" w:sz="0" w:space="0" w:color="auto"/>
              </w:divBdr>
              <w:divsChild>
                <w:div w:id="393746956">
                  <w:marLeft w:val="0"/>
                  <w:marRight w:val="0"/>
                  <w:marTop w:val="0"/>
                  <w:marBottom w:val="0"/>
                  <w:divBdr>
                    <w:top w:val="none" w:sz="0" w:space="0" w:color="auto"/>
                    <w:left w:val="none" w:sz="0" w:space="0" w:color="auto"/>
                    <w:bottom w:val="none" w:sz="0" w:space="0" w:color="auto"/>
                    <w:right w:val="none" w:sz="0" w:space="0" w:color="auto"/>
                  </w:divBdr>
                  <w:divsChild>
                    <w:div w:id="20922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653716">
      <w:bodyDiv w:val="1"/>
      <w:marLeft w:val="0"/>
      <w:marRight w:val="0"/>
      <w:marTop w:val="0"/>
      <w:marBottom w:val="0"/>
      <w:divBdr>
        <w:top w:val="none" w:sz="0" w:space="0" w:color="auto"/>
        <w:left w:val="none" w:sz="0" w:space="0" w:color="auto"/>
        <w:bottom w:val="none" w:sz="0" w:space="0" w:color="auto"/>
        <w:right w:val="none" w:sz="0" w:space="0" w:color="auto"/>
      </w:divBdr>
    </w:div>
    <w:div w:id="442501511">
      <w:bodyDiv w:val="1"/>
      <w:marLeft w:val="0"/>
      <w:marRight w:val="0"/>
      <w:marTop w:val="0"/>
      <w:marBottom w:val="0"/>
      <w:divBdr>
        <w:top w:val="none" w:sz="0" w:space="0" w:color="auto"/>
        <w:left w:val="none" w:sz="0" w:space="0" w:color="auto"/>
        <w:bottom w:val="none" w:sz="0" w:space="0" w:color="auto"/>
        <w:right w:val="none" w:sz="0" w:space="0" w:color="auto"/>
      </w:divBdr>
    </w:div>
    <w:div w:id="442774561">
      <w:bodyDiv w:val="1"/>
      <w:marLeft w:val="0"/>
      <w:marRight w:val="0"/>
      <w:marTop w:val="0"/>
      <w:marBottom w:val="0"/>
      <w:divBdr>
        <w:top w:val="none" w:sz="0" w:space="0" w:color="auto"/>
        <w:left w:val="none" w:sz="0" w:space="0" w:color="auto"/>
        <w:bottom w:val="none" w:sz="0" w:space="0" w:color="auto"/>
        <w:right w:val="none" w:sz="0" w:space="0" w:color="auto"/>
      </w:divBdr>
    </w:div>
    <w:div w:id="443770558">
      <w:bodyDiv w:val="1"/>
      <w:marLeft w:val="0"/>
      <w:marRight w:val="0"/>
      <w:marTop w:val="0"/>
      <w:marBottom w:val="0"/>
      <w:divBdr>
        <w:top w:val="none" w:sz="0" w:space="0" w:color="auto"/>
        <w:left w:val="none" w:sz="0" w:space="0" w:color="auto"/>
        <w:bottom w:val="none" w:sz="0" w:space="0" w:color="auto"/>
        <w:right w:val="none" w:sz="0" w:space="0" w:color="auto"/>
      </w:divBdr>
      <w:divsChild>
        <w:div w:id="758017696">
          <w:marLeft w:val="0"/>
          <w:marRight w:val="0"/>
          <w:marTop w:val="0"/>
          <w:marBottom w:val="0"/>
          <w:divBdr>
            <w:top w:val="none" w:sz="0" w:space="0" w:color="auto"/>
            <w:left w:val="none" w:sz="0" w:space="0" w:color="auto"/>
            <w:bottom w:val="none" w:sz="0" w:space="0" w:color="auto"/>
            <w:right w:val="none" w:sz="0" w:space="0" w:color="auto"/>
          </w:divBdr>
          <w:divsChild>
            <w:div w:id="1618830751">
              <w:marLeft w:val="0"/>
              <w:marRight w:val="0"/>
              <w:marTop w:val="0"/>
              <w:marBottom w:val="0"/>
              <w:divBdr>
                <w:top w:val="none" w:sz="0" w:space="0" w:color="auto"/>
                <w:left w:val="none" w:sz="0" w:space="0" w:color="auto"/>
                <w:bottom w:val="none" w:sz="0" w:space="0" w:color="auto"/>
                <w:right w:val="none" w:sz="0" w:space="0" w:color="auto"/>
              </w:divBdr>
              <w:divsChild>
                <w:div w:id="675035606">
                  <w:marLeft w:val="0"/>
                  <w:marRight w:val="0"/>
                  <w:marTop w:val="0"/>
                  <w:marBottom w:val="0"/>
                  <w:divBdr>
                    <w:top w:val="none" w:sz="0" w:space="0" w:color="auto"/>
                    <w:left w:val="none" w:sz="0" w:space="0" w:color="auto"/>
                    <w:bottom w:val="none" w:sz="0" w:space="0" w:color="auto"/>
                    <w:right w:val="none" w:sz="0" w:space="0" w:color="auto"/>
                  </w:divBdr>
                  <w:divsChild>
                    <w:div w:id="138637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7789">
      <w:bodyDiv w:val="1"/>
      <w:marLeft w:val="0"/>
      <w:marRight w:val="0"/>
      <w:marTop w:val="0"/>
      <w:marBottom w:val="0"/>
      <w:divBdr>
        <w:top w:val="none" w:sz="0" w:space="0" w:color="auto"/>
        <w:left w:val="none" w:sz="0" w:space="0" w:color="auto"/>
        <w:bottom w:val="none" w:sz="0" w:space="0" w:color="auto"/>
        <w:right w:val="none" w:sz="0" w:space="0" w:color="auto"/>
      </w:divBdr>
      <w:divsChild>
        <w:div w:id="369957490">
          <w:marLeft w:val="0"/>
          <w:marRight w:val="0"/>
          <w:marTop w:val="0"/>
          <w:marBottom w:val="0"/>
          <w:divBdr>
            <w:top w:val="none" w:sz="0" w:space="0" w:color="auto"/>
            <w:left w:val="none" w:sz="0" w:space="0" w:color="auto"/>
            <w:bottom w:val="none" w:sz="0" w:space="0" w:color="auto"/>
            <w:right w:val="none" w:sz="0" w:space="0" w:color="auto"/>
          </w:divBdr>
          <w:divsChild>
            <w:div w:id="1757939643">
              <w:marLeft w:val="0"/>
              <w:marRight w:val="0"/>
              <w:marTop w:val="0"/>
              <w:marBottom w:val="0"/>
              <w:divBdr>
                <w:top w:val="none" w:sz="0" w:space="0" w:color="auto"/>
                <w:left w:val="none" w:sz="0" w:space="0" w:color="auto"/>
                <w:bottom w:val="none" w:sz="0" w:space="0" w:color="auto"/>
                <w:right w:val="none" w:sz="0" w:space="0" w:color="auto"/>
              </w:divBdr>
              <w:divsChild>
                <w:div w:id="814565340">
                  <w:marLeft w:val="0"/>
                  <w:marRight w:val="0"/>
                  <w:marTop w:val="0"/>
                  <w:marBottom w:val="0"/>
                  <w:divBdr>
                    <w:top w:val="none" w:sz="0" w:space="0" w:color="auto"/>
                    <w:left w:val="none" w:sz="0" w:space="0" w:color="auto"/>
                    <w:bottom w:val="none" w:sz="0" w:space="0" w:color="auto"/>
                    <w:right w:val="none" w:sz="0" w:space="0" w:color="auto"/>
                  </w:divBdr>
                  <w:divsChild>
                    <w:div w:id="124926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617728">
      <w:bodyDiv w:val="1"/>
      <w:marLeft w:val="0"/>
      <w:marRight w:val="0"/>
      <w:marTop w:val="0"/>
      <w:marBottom w:val="0"/>
      <w:divBdr>
        <w:top w:val="none" w:sz="0" w:space="0" w:color="auto"/>
        <w:left w:val="none" w:sz="0" w:space="0" w:color="auto"/>
        <w:bottom w:val="none" w:sz="0" w:space="0" w:color="auto"/>
        <w:right w:val="none" w:sz="0" w:space="0" w:color="auto"/>
      </w:divBdr>
    </w:div>
    <w:div w:id="444694476">
      <w:bodyDiv w:val="1"/>
      <w:marLeft w:val="0"/>
      <w:marRight w:val="0"/>
      <w:marTop w:val="0"/>
      <w:marBottom w:val="0"/>
      <w:divBdr>
        <w:top w:val="none" w:sz="0" w:space="0" w:color="auto"/>
        <w:left w:val="none" w:sz="0" w:space="0" w:color="auto"/>
        <w:bottom w:val="none" w:sz="0" w:space="0" w:color="auto"/>
        <w:right w:val="none" w:sz="0" w:space="0" w:color="auto"/>
      </w:divBdr>
    </w:div>
    <w:div w:id="444811868">
      <w:bodyDiv w:val="1"/>
      <w:marLeft w:val="0"/>
      <w:marRight w:val="0"/>
      <w:marTop w:val="0"/>
      <w:marBottom w:val="0"/>
      <w:divBdr>
        <w:top w:val="none" w:sz="0" w:space="0" w:color="auto"/>
        <w:left w:val="none" w:sz="0" w:space="0" w:color="auto"/>
        <w:bottom w:val="none" w:sz="0" w:space="0" w:color="auto"/>
        <w:right w:val="none" w:sz="0" w:space="0" w:color="auto"/>
      </w:divBdr>
    </w:div>
    <w:div w:id="445080580">
      <w:bodyDiv w:val="1"/>
      <w:marLeft w:val="0"/>
      <w:marRight w:val="0"/>
      <w:marTop w:val="0"/>
      <w:marBottom w:val="0"/>
      <w:divBdr>
        <w:top w:val="none" w:sz="0" w:space="0" w:color="auto"/>
        <w:left w:val="none" w:sz="0" w:space="0" w:color="auto"/>
        <w:bottom w:val="none" w:sz="0" w:space="0" w:color="auto"/>
        <w:right w:val="none" w:sz="0" w:space="0" w:color="auto"/>
      </w:divBdr>
    </w:div>
    <w:div w:id="445126120">
      <w:bodyDiv w:val="1"/>
      <w:marLeft w:val="0"/>
      <w:marRight w:val="0"/>
      <w:marTop w:val="0"/>
      <w:marBottom w:val="0"/>
      <w:divBdr>
        <w:top w:val="none" w:sz="0" w:space="0" w:color="auto"/>
        <w:left w:val="none" w:sz="0" w:space="0" w:color="auto"/>
        <w:bottom w:val="none" w:sz="0" w:space="0" w:color="auto"/>
        <w:right w:val="none" w:sz="0" w:space="0" w:color="auto"/>
      </w:divBdr>
    </w:div>
    <w:div w:id="445738212">
      <w:bodyDiv w:val="1"/>
      <w:marLeft w:val="0"/>
      <w:marRight w:val="0"/>
      <w:marTop w:val="0"/>
      <w:marBottom w:val="0"/>
      <w:divBdr>
        <w:top w:val="none" w:sz="0" w:space="0" w:color="auto"/>
        <w:left w:val="none" w:sz="0" w:space="0" w:color="auto"/>
        <w:bottom w:val="none" w:sz="0" w:space="0" w:color="auto"/>
        <w:right w:val="none" w:sz="0" w:space="0" w:color="auto"/>
      </w:divBdr>
      <w:divsChild>
        <w:div w:id="1756898878">
          <w:marLeft w:val="0"/>
          <w:marRight w:val="0"/>
          <w:marTop w:val="0"/>
          <w:marBottom w:val="0"/>
          <w:divBdr>
            <w:top w:val="none" w:sz="0" w:space="0" w:color="auto"/>
            <w:left w:val="none" w:sz="0" w:space="0" w:color="auto"/>
            <w:bottom w:val="none" w:sz="0" w:space="0" w:color="auto"/>
            <w:right w:val="none" w:sz="0" w:space="0" w:color="auto"/>
          </w:divBdr>
          <w:divsChild>
            <w:div w:id="152529008">
              <w:marLeft w:val="0"/>
              <w:marRight w:val="0"/>
              <w:marTop w:val="0"/>
              <w:marBottom w:val="0"/>
              <w:divBdr>
                <w:top w:val="none" w:sz="0" w:space="0" w:color="auto"/>
                <w:left w:val="none" w:sz="0" w:space="0" w:color="auto"/>
                <w:bottom w:val="none" w:sz="0" w:space="0" w:color="auto"/>
                <w:right w:val="none" w:sz="0" w:space="0" w:color="auto"/>
              </w:divBdr>
              <w:divsChild>
                <w:div w:id="417333502">
                  <w:marLeft w:val="0"/>
                  <w:marRight w:val="0"/>
                  <w:marTop w:val="0"/>
                  <w:marBottom w:val="0"/>
                  <w:divBdr>
                    <w:top w:val="none" w:sz="0" w:space="0" w:color="auto"/>
                    <w:left w:val="none" w:sz="0" w:space="0" w:color="auto"/>
                    <w:bottom w:val="none" w:sz="0" w:space="0" w:color="auto"/>
                    <w:right w:val="none" w:sz="0" w:space="0" w:color="auto"/>
                  </w:divBdr>
                </w:div>
              </w:divsChild>
            </w:div>
            <w:div w:id="171454009">
              <w:marLeft w:val="0"/>
              <w:marRight w:val="0"/>
              <w:marTop w:val="0"/>
              <w:marBottom w:val="0"/>
              <w:divBdr>
                <w:top w:val="none" w:sz="0" w:space="0" w:color="auto"/>
                <w:left w:val="none" w:sz="0" w:space="0" w:color="auto"/>
                <w:bottom w:val="none" w:sz="0" w:space="0" w:color="auto"/>
                <w:right w:val="none" w:sz="0" w:space="0" w:color="auto"/>
              </w:divBdr>
              <w:divsChild>
                <w:div w:id="1052847945">
                  <w:marLeft w:val="0"/>
                  <w:marRight w:val="0"/>
                  <w:marTop w:val="0"/>
                  <w:marBottom w:val="0"/>
                  <w:divBdr>
                    <w:top w:val="none" w:sz="0" w:space="0" w:color="auto"/>
                    <w:left w:val="none" w:sz="0" w:space="0" w:color="auto"/>
                    <w:bottom w:val="none" w:sz="0" w:space="0" w:color="auto"/>
                    <w:right w:val="none" w:sz="0" w:space="0" w:color="auto"/>
                  </w:divBdr>
                </w:div>
              </w:divsChild>
            </w:div>
            <w:div w:id="293952375">
              <w:marLeft w:val="0"/>
              <w:marRight w:val="0"/>
              <w:marTop w:val="0"/>
              <w:marBottom w:val="0"/>
              <w:divBdr>
                <w:top w:val="none" w:sz="0" w:space="0" w:color="auto"/>
                <w:left w:val="none" w:sz="0" w:space="0" w:color="auto"/>
                <w:bottom w:val="none" w:sz="0" w:space="0" w:color="auto"/>
                <w:right w:val="none" w:sz="0" w:space="0" w:color="auto"/>
              </w:divBdr>
              <w:divsChild>
                <w:div w:id="730344421">
                  <w:marLeft w:val="0"/>
                  <w:marRight w:val="0"/>
                  <w:marTop w:val="0"/>
                  <w:marBottom w:val="0"/>
                  <w:divBdr>
                    <w:top w:val="none" w:sz="0" w:space="0" w:color="auto"/>
                    <w:left w:val="none" w:sz="0" w:space="0" w:color="auto"/>
                    <w:bottom w:val="none" w:sz="0" w:space="0" w:color="auto"/>
                    <w:right w:val="none" w:sz="0" w:space="0" w:color="auto"/>
                  </w:divBdr>
                </w:div>
              </w:divsChild>
            </w:div>
            <w:div w:id="303857117">
              <w:marLeft w:val="0"/>
              <w:marRight w:val="0"/>
              <w:marTop w:val="0"/>
              <w:marBottom w:val="0"/>
              <w:divBdr>
                <w:top w:val="none" w:sz="0" w:space="0" w:color="auto"/>
                <w:left w:val="none" w:sz="0" w:space="0" w:color="auto"/>
                <w:bottom w:val="none" w:sz="0" w:space="0" w:color="auto"/>
                <w:right w:val="none" w:sz="0" w:space="0" w:color="auto"/>
              </w:divBdr>
              <w:divsChild>
                <w:div w:id="1824076570">
                  <w:marLeft w:val="0"/>
                  <w:marRight w:val="0"/>
                  <w:marTop w:val="0"/>
                  <w:marBottom w:val="0"/>
                  <w:divBdr>
                    <w:top w:val="none" w:sz="0" w:space="0" w:color="auto"/>
                    <w:left w:val="none" w:sz="0" w:space="0" w:color="auto"/>
                    <w:bottom w:val="none" w:sz="0" w:space="0" w:color="auto"/>
                    <w:right w:val="none" w:sz="0" w:space="0" w:color="auto"/>
                  </w:divBdr>
                </w:div>
              </w:divsChild>
            </w:div>
            <w:div w:id="539634506">
              <w:marLeft w:val="0"/>
              <w:marRight w:val="0"/>
              <w:marTop w:val="0"/>
              <w:marBottom w:val="0"/>
              <w:divBdr>
                <w:top w:val="none" w:sz="0" w:space="0" w:color="auto"/>
                <w:left w:val="none" w:sz="0" w:space="0" w:color="auto"/>
                <w:bottom w:val="none" w:sz="0" w:space="0" w:color="auto"/>
                <w:right w:val="none" w:sz="0" w:space="0" w:color="auto"/>
              </w:divBdr>
              <w:divsChild>
                <w:div w:id="837041447">
                  <w:marLeft w:val="0"/>
                  <w:marRight w:val="0"/>
                  <w:marTop w:val="0"/>
                  <w:marBottom w:val="0"/>
                  <w:divBdr>
                    <w:top w:val="none" w:sz="0" w:space="0" w:color="auto"/>
                    <w:left w:val="none" w:sz="0" w:space="0" w:color="auto"/>
                    <w:bottom w:val="none" w:sz="0" w:space="0" w:color="auto"/>
                    <w:right w:val="none" w:sz="0" w:space="0" w:color="auto"/>
                  </w:divBdr>
                </w:div>
              </w:divsChild>
            </w:div>
            <w:div w:id="573246489">
              <w:marLeft w:val="0"/>
              <w:marRight w:val="0"/>
              <w:marTop w:val="0"/>
              <w:marBottom w:val="0"/>
              <w:divBdr>
                <w:top w:val="none" w:sz="0" w:space="0" w:color="auto"/>
                <w:left w:val="none" w:sz="0" w:space="0" w:color="auto"/>
                <w:bottom w:val="none" w:sz="0" w:space="0" w:color="auto"/>
                <w:right w:val="none" w:sz="0" w:space="0" w:color="auto"/>
              </w:divBdr>
              <w:divsChild>
                <w:div w:id="206070935">
                  <w:marLeft w:val="0"/>
                  <w:marRight w:val="0"/>
                  <w:marTop w:val="0"/>
                  <w:marBottom w:val="0"/>
                  <w:divBdr>
                    <w:top w:val="none" w:sz="0" w:space="0" w:color="auto"/>
                    <w:left w:val="none" w:sz="0" w:space="0" w:color="auto"/>
                    <w:bottom w:val="none" w:sz="0" w:space="0" w:color="auto"/>
                    <w:right w:val="none" w:sz="0" w:space="0" w:color="auto"/>
                  </w:divBdr>
                </w:div>
              </w:divsChild>
            </w:div>
            <w:div w:id="617488302">
              <w:marLeft w:val="0"/>
              <w:marRight w:val="0"/>
              <w:marTop w:val="0"/>
              <w:marBottom w:val="0"/>
              <w:divBdr>
                <w:top w:val="none" w:sz="0" w:space="0" w:color="auto"/>
                <w:left w:val="none" w:sz="0" w:space="0" w:color="auto"/>
                <w:bottom w:val="none" w:sz="0" w:space="0" w:color="auto"/>
                <w:right w:val="none" w:sz="0" w:space="0" w:color="auto"/>
              </w:divBdr>
              <w:divsChild>
                <w:div w:id="870462111">
                  <w:marLeft w:val="0"/>
                  <w:marRight w:val="0"/>
                  <w:marTop w:val="0"/>
                  <w:marBottom w:val="0"/>
                  <w:divBdr>
                    <w:top w:val="none" w:sz="0" w:space="0" w:color="auto"/>
                    <w:left w:val="none" w:sz="0" w:space="0" w:color="auto"/>
                    <w:bottom w:val="none" w:sz="0" w:space="0" w:color="auto"/>
                    <w:right w:val="none" w:sz="0" w:space="0" w:color="auto"/>
                  </w:divBdr>
                </w:div>
              </w:divsChild>
            </w:div>
            <w:div w:id="622855536">
              <w:marLeft w:val="0"/>
              <w:marRight w:val="0"/>
              <w:marTop w:val="0"/>
              <w:marBottom w:val="0"/>
              <w:divBdr>
                <w:top w:val="none" w:sz="0" w:space="0" w:color="auto"/>
                <w:left w:val="none" w:sz="0" w:space="0" w:color="auto"/>
                <w:bottom w:val="none" w:sz="0" w:space="0" w:color="auto"/>
                <w:right w:val="none" w:sz="0" w:space="0" w:color="auto"/>
              </w:divBdr>
              <w:divsChild>
                <w:div w:id="199248622">
                  <w:marLeft w:val="0"/>
                  <w:marRight w:val="0"/>
                  <w:marTop w:val="0"/>
                  <w:marBottom w:val="0"/>
                  <w:divBdr>
                    <w:top w:val="none" w:sz="0" w:space="0" w:color="auto"/>
                    <w:left w:val="none" w:sz="0" w:space="0" w:color="auto"/>
                    <w:bottom w:val="none" w:sz="0" w:space="0" w:color="auto"/>
                    <w:right w:val="none" w:sz="0" w:space="0" w:color="auto"/>
                  </w:divBdr>
                </w:div>
              </w:divsChild>
            </w:div>
            <w:div w:id="690183161">
              <w:marLeft w:val="0"/>
              <w:marRight w:val="0"/>
              <w:marTop w:val="0"/>
              <w:marBottom w:val="0"/>
              <w:divBdr>
                <w:top w:val="none" w:sz="0" w:space="0" w:color="auto"/>
                <w:left w:val="none" w:sz="0" w:space="0" w:color="auto"/>
                <w:bottom w:val="none" w:sz="0" w:space="0" w:color="auto"/>
                <w:right w:val="none" w:sz="0" w:space="0" w:color="auto"/>
              </w:divBdr>
              <w:divsChild>
                <w:div w:id="213464095">
                  <w:marLeft w:val="0"/>
                  <w:marRight w:val="0"/>
                  <w:marTop w:val="0"/>
                  <w:marBottom w:val="0"/>
                  <w:divBdr>
                    <w:top w:val="none" w:sz="0" w:space="0" w:color="auto"/>
                    <w:left w:val="none" w:sz="0" w:space="0" w:color="auto"/>
                    <w:bottom w:val="none" w:sz="0" w:space="0" w:color="auto"/>
                    <w:right w:val="none" w:sz="0" w:space="0" w:color="auto"/>
                  </w:divBdr>
                </w:div>
              </w:divsChild>
            </w:div>
            <w:div w:id="774129342">
              <w:marLeft w:val="0"/>
              <w:marRight w:val="0"/>
              <w:marTop w:val="0"/>
              <w:marBottom w:val="0"/>
              <w:divBdr>
                <w:top w:val="none" w:sz="0" w:space="0" w:color="auto"/>
                <w:left w:val="none" w:sz="0" w:space="0" w:color="auto"/>
                <w:bottom w:val="none" w:sz="0" w:space="0" w:color="auto"/>
                <w:right w:val="none" w:sz="0" w:space="0" w:color="auto"/>
              </w:divBdr>
              <w:divsChild>
                <w:div w:id="1520898514">
                  <w:marLeft w:val="0"/>
                  <w:marRight w:val="0"/>
                  <w:marTop w:val="0"/>
                  <w:marBottom w:val="0"/>
                  <w:divBdr>
                    <w:top w:val="none" w:sz="0" w:space="0" w:color="auto"/>
                    <w:left w:val="none" w:sz="0" w:space="0" w:color="auto"/>
                    <w:bottom w:val="none" w:sz="0" w:space="0" w:color="auto"/>
                    <w:right w:val="none" w:sz="0" w:space="0" w:color="auto"/>
                  </w:divBdr>
                </w:div>
              </w:divsChild>
            </w:div>
            <w:div w:id="836265516">
              <w:marLeft w:val="0"/>
              <w:marRight w:val="0"/>
              <w:marTop w:val="0"/>
              <w:marBottom w:val="0"/>
              <w:divBdr>
                <w:top w:val="none" w:sz="0" w:space="0" w:color="auto"/>
                <w:left w:val="none" w:sz="0" w:space="0" w:color="auto"/>
                <w:bottom w:val="none" w:sz="0" w:space="0" w:color="auto"/>
                <w:right w:val="none" w:sz="0" w:space="0" w:color="auto"/>
              </w:divBdr>
              <w:divsChild>
                <w:div w:id="1434593955">
                  <w:marLeft w:val="0"/>
                  <w:marRight w:val="0"/>
                  <w:marTop w:val="0"/>
                  <w:marBottom w:val="0"/>
                  <w:divBdr>
                    <w:top w:val="none" w:sz="0" w:space="0" w:color="auto"/>
                    <w:left w:val="none" w:sz="0" w:space="0" w:color="auto"/>
                    <w:bottom w:val="none" w:sz="0" w:space="0" w:color="auto"/>
                    <w:right w:val="none" w:sz="0" w:space="0" w:color="auto"/>
                  </w:divBdr>
                </w:div>
              </w:divsChild>
            </w:div>
            <w:div w:id="911160737">
              <w:marLeft w:val="0"/>
              <w:marRight w:val="0"/>
              <w:marTop w:val="0"/>
              <w:marBottom w:val="0"/>
              <w:divBdr>
                <w:top w:val="none" w:sz="0" w:space="0" w:color="auto"/>
                <w:left w:val="none" w:sz="0" w:space="0" w:color="auto"/>
                <w:bottom w:val="none" w:sz="0" w:space="0" w:color="auto"/>
                <w:right w:val="none" w:sz="0" w:space="0" w:color="auto"/>
              </w:divBdr>
              <w:divsChild>
                <w:div w:id="1613515339">
                  <w:marLeft w:val="0"/>
                  <w:marRight w:val="0"/>
                  <w:marTop w:val="0"/>
                  <w:marBottom w:val="0"/>
                  <w:divBdr>
                    <w:top w:val="none" w:sz="0" w:space="0" w:color="auto"/>
                    <w:left w:val="none" w:sz="0" w:space="0" w:color="auto"/>
                    <w:bottom w:val="none" w:sz="0" w:space="0" w:color="auto"/>
                    <w:right w:val="none" w:sz="0" w:space="0" w:color="auto"/>
                  </w:divBdr>
                </w:div>
              </w:divsChild>
            </w:div>
            <w:div w:id="959071376">
              <w:marLeft w:val="0"/>
              <w:marRight w:val="0"/>
              <w:marTop w:val="0"/>
              <w:marBottom w:val="0"/>
              <w:divBdr>
                <w:top w:val="none" w:sz="0" w:space="0" w:color="auto"/>
                <w:left w:val="none" w:sz="0" w:space="0" w:color="auto"/>
                <w:bottom w:val="none" w:sz="0" w:space="0" w:color="auto"/>
                <w:right w:val="none" w:sz="0" w:space="0" w:color="auto"/>
              </w:divBdr>
              <w:divsChild>
                <w:div w:id="1966740926">
                  <w:marLeft w:val="0"/>
                  <w:marRight w:val="0"/>
                  <w:marTop w:val="0"/>
                  <w:marBottom w:val="0"/>
                  <w:divBdr>
                    <w:top w:val="none" w:sz="0" w:space="0" w:color="auto"/>
                    <w:left w:val="none" w:sz="0" w:space="0" w:color="auto"/>
                    <w:bottom w:val="none" w:sz="0" w:space="0" w:color="auto"/>
                    <w:right w:val="none" w:sz="0" w:space="0" w:color="auto"/>
                  </w:divBdr>
                </w:div>
              </w:divsChild>
            </w:div>
            <w:div w:id="1006714022">
              <w:marLeft w:val="0"/>
              <w:marRight w:val="0"/>
              <w:marTop w:val="0"/>
              <w:marBottom w:val="0"/>
              <w:divBdr>
                <w:top w:val="none" w:sz="0" w:space="0" w:color="auto"/>
                <w:left w:val="none" w:sz="0" w:space="0" w:color="auto"/>
                <w:bottom w:val="none" w:sz="0" w:space="0" w:color="auto"/>
                <w:right w:val="none" w:sz="0" w:space="0" w:color="auto"/>
              </w:divBdr>
              <w:divsChild>
                <w:div w:id="619920103">
                  <w:marLeft w:val="0"/>
                  <w:marRight w:val="0"/>
                  <w:marTop w:val="0"/>
                  <w:marBottom w:val="0"/>
                  <w:divBdr>
                    <w:top w:val="none" w:sz="0" w:space="0" w:color="auto"/>
                    <w:left w:val="none" w:sz="0" w:space="0" w:color="auto"/>
                    <w:bottom w:val="none" w:sz="0" w:space="0" w:color="auto"/>
                    <w:right w:val="none" w:sz="0" w:space="0" w:color="auto"/>
                  </w:divBdr>
                </w:div>
              </w:divsChild>
            </w:div>
            <w:div w:id="1037049110">
              <w:marLeft w:val="0"/>
              <w:marRight w:val="0"/>
              <w:marTop w:val="0"/>
              <w:marBottom w:val="0"/>
              <w:divBdr>
                <w:top w:val="none" w:sz="0" w:space="0" w:color="auto"/>
                <w:left w:val="none" w:sz="0" w:space="0" w:color="auto"/>
                <w:bottom w:val="none" w:sz="0" w:space="0" w:color="auto"/>
                <w:right w:val="none" w:sz="0" w:space="0" w:color="auto"/>
              </w:divBdr>
              <w:divsChild>
                <w:div w:id="395269">
                  <w:marLeft w:val="0"/>
                  <w:marRight w:val="0"/>
                  <w:marTop w:val="0"/>
                  <w:marBottom w:val="0"/>
                  <w:divBdr>
                    <w:top w:val="none" w:sz="0" w:space="0" w:color="auto"/>
                    <w:left w:val="none" w:sz="0" w:space="0" w:color="auto"/>
                    <w:bottom w:val="none" w:sz="0" w:space="0" w:color="auto"/>
                    <w:right w:val="none" w:sz="0" w:space="0" w:color="auto"/>
                  </w:divBdr>
                </w:div>
              </w:divsChild>
            </w:div>
            <w:div w:id="1058746491">
              <w:marLeft w:val="0"/>
              <w:marRight w:val="0"/>
              <w:marTop w:val="0"/>
              <w:marBottom w:val="0"/>
              <w:divBdr>
                <w:top w:val="none" w:sz="0" w:space="0" w:color="auto"/>
                <w:left w:val="none" w:sz="0" w:space="0" w:color="auto"/>
                <w:bottom w:val="none" w:sz="0" w:space="0" w:color="auto"/>
                <w:right w:val="none" w:sz="0" w:space="0" w:color="auto"/>
              </w:divBdr>
              <w:divsChild>
                <w:div w:id="959802908">
                  <w:marLeft w:val="0"/>
                  <w:marRight w:val="0"/>
                  <w:marTop w:val="0"/>
                  <w:marBottom w:val="0"/>
                  <w:divBdr>
                    <w:top w:val="none" w:sz="0" w:space="0" w:color="auto"/>
                    <w:left w:val="none" w:sz="0" w:space="0" w:color="auto"/>
                    <w:bottom w:val="none" w:sz="0" w:space="0" w:color="auto"/>
                    <w:right w:val="none" w:sz="0" w:space="0" w:color="auto"/>
                  </w:divBdr>
                </w:div>
              </w:divsChild>
            </w:div>
            <w:div w:id="1063717206">
              <w:marLeft w:val="0"/>
              <w:marRight w:val="0"/>
              <w:marTop w:val="0"/>
              <w:marBottom w:val="0"/>
              <w:divBdr>
                <w:top w:val="none" w:sz="0" w:space="0" w:color="auto"/>
                <w:left w:val="none" w:sz="0" w:space="0" w:color="auto"/>
                <w:bottom w:val="none" w:sz="0" w:space="0" w:color="auto"/>
                <w:right w:val="none" w:sz="0" w:space="0" w:color="auto"/>
              </w:divBdr>
              <w:divsChild>
                <w:div w:id="1243292743">
                  <w:marLeft w:val="0"/>
                  <w:marRight w:val="0"/>
                  <w:marTop w:val="0"/>
                  <w:marBottom w:val="0"/>
                  <w:divBdr>
                    <w:top w:val="none" w:sz="0" w:space="0" w:color="auto"/>
                    <w:left w:val="none" w:sz="0" w:space="0" w:color="auto"/>
                    <w:bottom w:val="none" w:sz="0" w:space="0" w:color="auto"/>
                    <w:right w:val="none" w:sz="0" w:space="0" w:color="auto"/>
                  </w:divBdr>
                </w:div>
              </w:divsChild>
            </w:div>
            <w:div w:id="1094132946">
              <w:marLeft w:val="0"/>
              <w:marRight w:val="0"/>
              <w:marTop w:val="0"/>
              <w:marBottom w:val="0"/>
              <w:divBdr>
                <w:top w:val="none" w:sz="0" w:space="0" w:color="auto"/>
                <w:left w:val="none" w:sz="0" w:space="0" w:color="auto"/>
                <w:bottom w:val="none" w:sz="0" w:space="0" w:color="auto"/>
                <w:right w:val="none" w:sz="0" w:space="0" w:color="auto"/>
              </w:divBdr>
              <w:divsChild>
                <w:div w:id="1080298375">
                  <w:marLeft w:val="0"/>
                  <w:marRight w:val="0"/>
                  <w:marTop w:val="0"/>
                  <w:marBottom w:val="0"/>
                  <w:divBdr>
                    <w:top w:val="none" w:sz="0" w:space="0" w:color="auto"/>
                    <w:left w:val="none" w:sz="0" w:space="0" w:color="auto"/>
                    <w:bottom w:val="none" w:sz="0" w:space="0" w:color="auto"/>
                    <w:right w:val="none" w:sz="0" w:space="0" w:color="auto"/>
                  </w:divBdr>
                </w:div>
              </w:divsChild>
            </w:div>
            <w:div w:id="1146894260">
              <w:marLeft w:val="0"/>
              <w:marRight w:val="0"/>
              <w:marTop w:val="0"/>
              <w:marBottom w:val="0"/>
              <w:divBdr>
                <w:top w:val="none" w:sz="0" w:space="0" w:color="auto"/>
                <w:left w:val="none" w:sz="0" w:space="0" w:color="auto"/>
                <w:bottom w:val="none" w:sz="0" w:space="0" w:color="auto"/>
                <w:right w:val="none" w:sz="0" w:space="0" w:color="auto"/>
              </w:divBdr>
              <w:divsChild>
                <w:div w:id="1768577399">
                  <w:marLeft w:val="0"/>
                  <w:marRight w:val="0"/>
                  <w:marTop w:val="0"/>
                  <w:marBottom w:val="0"/>
                  <w:divBdr>
                    <w:top w:val="none" w:sz="0" w:space="0" w:color="auto"/>
                    <w:left w:val="none" w:sz="0" w:space="0" w:color="auto"/>
                    <w:bottom w:val="none" w:sz="0" w:space="0" w:color="auto"/>
                    <w:right w:val="none" w:sz="0" w:space="0" w:color="auto"/>
                  </w:divBdr>
                </w:div>
              </w:divsChild>
            </w:div>
            <w:div w:id="1193807484">
              <w:marLeft w:val="0"/>
              <w:marRight w:val="0"/>
              <w:marTop w:val="0"/>
              <w:marBottom w:val="0"/>
              <w:divBdr>
                <w:top w:val="none" w:sz="0" w:space="0" w:color="auto"/>
                <w:left w:val="none" w:sz="0" w:space="0" w:color="auto"/>
                <w:bottom w:val="none" w:sz="0" w:space="0" w:color="auto"/>
                <w:right w:val="none" w:sz="0" w:space="0" w:color="auto"/>
              </w:divBdr>
              <w:divsChild>
                <w:div w:id="654601792">
                  <w:marLeft w:val="0"/>
                  <w:marRight w:val="0"/>
                  <w:marTop w:val="0"/>
                  <w:marBottom w:val="0"/>
                  <w:divBdr>
                    <w:top w:val="none" w:sz="0" w:space="0" w:color="auto"/>
                    <w:left w:val="none" w:sz="0" w:space="0" w:color="auto"/>
                    <w:bottom w:val="none" w:sz="0" w:space="0" w:color="auto"/>
                    <w:right w:val="none" w:sz="0" w:space="0" w:color="auto"/>
                  </w:divBdr>
                </w:div>
              </w:divsChild>
            </w:div>
            <w:div w:id="1219247222">
              <w:marLeft w:val="0"/>
              <w:marRight w:val="0"/>
              <w:marTop w:val="0"/>
              <w:marBottom w:val="0"/>
              <w:divBdr>
                <w:top w:val="none" w:sz="0" w:space="0" w:color="auto"/>
                <w:left w:val="none" w:sz="0" w:space="0" w:color="auto"/>
                <w:bottom w:val="none" w:sz="0" w:space="0" w:color="auto"/>
                <w:right w:val="none" w:sz="0" w:space="0" w:color="auto"/>
              </w:divBdr>
              <w:divsChild>
                <w:div w:id="320819101">
                  <w:marLeft w:val="0"/>
                  <w:marRight w:val="0"/>
                  <w:marTop w:val="0"/>
                  <w:marBottom w:val="0"/>
                  <w:divBdr>
                    <w:top w:val="none" w:sz="0" w:space="0" w:color="auto"/>
                    <w:left w:val="none" w:sz="0" w:space="0" w:color="auto"/>
                    <w:bottom w:val="none" w:sz="0" w:space="0" w:color="auto"/>
                    <w:right w:val="none" w:sz="0" w:space="0" w:color="auto"/>
                  </w:divBdr>
                </w:div>
              </w:divsChild>
            </w:div>
            <w:div w:id="1362047244">
              <w:marLeft w:val="0"/>
              <w:marRight w:val="0"/>
              <w:marTop w:val="0"/>
              <w:marBottom w:val="0"/>
              <w:divBdr>
                <w:top w:val="none" w:sz="0" w:space="0" w:color="auto"/>
                <w:left w:val="none" w:sz="0" w:space="0" w:color="auto"/>
                <w:bottom w:val="none" w:sz="0" w:space="0" w:color="auto"/>
                <w:right w:val="none" w:sz="0" w:space="0" w:color="auto"/>
              </w:divBdr>
              <w:divsChild>
                <w:div w:id="763964244">
                  <w:marLeft w:val="0"/>
                  <w:marRight w:val="0"/>
                  <w:marTop w:val="0"/>
                  <w:marBottom w:val="0"/>
                  <w:divBdr>
                    <w:top w:val="none" w:sz="0" w:space="0" w:color="auto"/>
                    <w:left w:val="none" w:sz="0" w:space="0" w:color="auto"/>
                    <w:bottom w:val="none" w:sz="0" w:space="0" w:color="auto"/>
                    <w:right w:val="none" w:sz="0" w:space="0" w:color="auto"/>
                  </w:divBdr>
                </w:div>
              </w:divsChild>
            </w:div>
            <w:div w:id="1542742304">
              <w:marLeft w:val="0"/>
              <w:marRight w:val="0"/>
              <w:marTop w:val="0"/>
              <w:marBottom w:val="0"/>
              <w:divBdr>
                <w:top w:val="none" w:sz="0" w:space="0" w:color="auto"/>
                <w:left w:val="none" w:sz="0" w:space="0" w:color="auto"/>
                <w:bottom w:val="none" w:sz="0" w:space="0" w:color="auto"/>
                <w:right w:val="none" w:sz="0" w:space="0" w:color="auto"/>
              </w:divBdr>
              <w:divsChild>
                <w:div w:id="671614085">
                  <w:marLeft w:val="0"/>
                  <w:marRight w:val="0"/>
                  <w:marTop w:val="0"/>
                  <w:marBottom w:val="0"/>
                  <w:divBdr>
                    <w:top w:val="none" w:sz="0" w:space="0" w:color="auto"/>
                    <w:left w:val="none" w:sz="0" w:space="0" w:color="auto"/>
                    <w:bottom w:val="none" w:sz="0" w:space="0" w:color="auto"/>
                    <w:right w:val="none" w:sz="0" w:space="0" w:color="auto"/>
                  </w:divBdr>
                </w:div>
              </w:divsChild>
            </w:div>
            <w:div w:id="1660234259">
              <w:marLeft w:val="0"/>
              <w:marRight w:val="0"/>
              <w:marTop w:val="0"/>
              <w:marBottom w:val="0"/>
              <w:divBdr>
                <w:top w:val="none" w:sz="0" w:space="0" w:color="auto"/>
                <w:left w:val="none" w:sz="0" w:space="0" w:color="auto"/>
                <w:bottom w:val="none" w:sz="0" w:space="0" w:color="auto"/>
                <w:right w:val="none" w:sz="0" w:space="0" w:color="auto"/>
              </w:divBdr>
              <w:divsChild>
                <w:div w:id="455298963">
                  <w:marLeft w:val="0"/>
                  <w:marRight w:val="0"/>
                  <w:marTop w:val="0"/>
                  <w:marBottom w:val="0"/>
                  <w:divBdr>
                    <w:top w:val="none" w:sz="0" w:space="0" w:color="auto"/>
                    <w:left w:val="none" w:sz="0" w:space="0" w:color="auto"/>
                    <w:bottom w:val="none" w:sz="0" w:space="0" w:color="auto"/>
                    <w:right w:val="none" w:sz="0" w:space="0" w:color="auto"/>
                  </w:divBdr>
                </w:div>
              </w:divsChild>
            </w:div>
            <w:div w:id="1731684124">
              <w:marLeft w:val="0"/>
              <w:marRight w:val="0"/>
              <w:marTop w:val="0"/>
              <w:marBottom w:val="0"/>
              <w:divBdr>
                <w:top w:val="none" w:sz="0" w:space="0" w:color="auto"/>
                <w:left w:val="none" w:sz="0" w:space="0" w:color="auto"/>
                <w:bottom w:val="none" w:sz="0" w:space="0" w:color="auto"/>
                <w:right w:val="none" w:sz="0" w:space="0" w:color="auto"/>
              </w:divBdr>
              <w:divsChild>
                <w:div w:id="631405896">
                  <w:marLeft w:val="0"/>
                  <w:marRight w:val="0"/>
                  <w:marTop w:val="0"/>
                  <w:marBottom w:val="0"/>
                  <w:divBdr>
                    <w:top w:val="none" w:sz="0" w:space="0" w:color="auto"/>
                    <w:left w:val="none" w:sz="0" w:space="0" w:color="auto"/>
                    <w:bottom w:val="none" w:sz="0" w:space="0" w:color="auto"/>
                    <w:right w:val="none" w:sz="0" w:space="0" w:color="auto"/>
                  </w:divBdr>
                </w:div>
              </w:divsChild>
            </w:div>
            <w:div w:id="1816332676">
              <w:marLeft w:val="0"/>
              <w:marRight w:val="0"/>
              <w:marTop w:val="0"/>
              <w:marBottom w:val="0"/>
              <w:divBdr>
                <w:top w:val="none" w:sz="0" w:space="0" w:color="auto"/>
                <w:left w:val="none" w:sz="0" w:space="0" w:color="auto"/>
                <w:bottom w:val="none" w:sz="0" w:space="0" w:color="auto"/>
                <w:right w:val="none" w:sz="0" w:space="0" w:color="auto"/>
              </w:divBdr>
              <w:divsChild>
                <w:div w:id="812141786">
                  <w:marLeft w:val="0"/>
                  <w:marRight w:val="0"/>
                  <w:marTop w:val="0"/>
                  <w:marBottom w:val="0"/>
                  <w:divBdr>
                    <w:top w:val="none" w:sz="0" w:space="0" w:color="auto"/>
                    <w:left w:val="none" w:sz="0" w:space="0" w:color="auto"/>
                    <w:bottom w:val="none" w:sz="0" w:space="0" w:color="auto"/>
                    <w:right w:val="none" w:sz="0" w:space="0" w:color="auto"/>
                  </w:divBdr>
                </w:div>
              </w:divsChild>
            </w:div>
            <w:div w:id="1841777440">
              <w:marLeft w:val="0"/>
              <w:marRight w:val="0"/>
              <w:marTop w:val="0"/>
              <w:marBottom w:val="0"/>
              <w:divBdr>
                <w:top w:val="none" w:sz="0" w:space="0" w:color="auto"/>
                <w:left w:val="none" w:sz="0" w:space="0" w:color="auto"/>
                <w:bottom w:val="none" w:sz="0" w:space="0" w:color="auto"/>
                <w:right w:val="none" w:sz="0" w:space="0" w:color="auto"/>
              </w:divBdr>
              <w:divsChild>
                <w:div w:id="958994446">
                  <w:marLeft w:val="0"/>
                  <w:marRight w:val="0"/>
                  <w:marTop w:val="0"/>
                  <w:marBottom w:val="0"/>
                  <w:divBdr>
                    <w:top w:val="none" w:sz="0" w:space="0" w:color="auto"/>
                    <w:left w:val="none" w:sz="0" w:space="0" w:color="auto"/>
                    <w:bottom w:val="none" w:sz="0" w:space="0" w:color="auto"/>
                    <w:right w:val="none" w:sz="0" w:space="0" w:color="auto"/>
                  </w:divBdr>
                </w:div>
              </w:divsChild>
            </w:div>
            <w:div w:id="2108574790">
              <w:marLeft w:val="0"/>
              <w:marRight w:val="0"/>
              <w:marTop w:val="0"/>
              <w:marBottom w:val="0"/>
              <w:divBdr>
                <w:top w:val="none" w:sz="0" w:space="0" w:color="auto"/>
                <w:left w:val="none" w:sz="0" w:space="0" w:color="auto"/>
                <w:bottom w:val="none" w:sz="0" w:space="0" w:color="auto"/>
                <w:right w:val="none" w:sz="0" w:space="0" w:color="auto"/>
              </w:divBdr>
              <w:divsChild>
                <w:div w:id="331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5881">
      <w:bodyDiv w:val="1"/>
      <w:marLeft w:val="0"/>
      <w:marRight w:val="0"/>
      <w:marTop w:val="0"/>
      <w:marBottom w:val="0"/>
      <w:divBdr>
        <w:top w:val="none" w:sz="0" w:space="0" w:color="auto"/>
        <w:left w:val="none" w:sz="0" w:space="0" w:color="auto"/>
        <w:bottom w:val="none" w:sz="0" w:space="0" w:color="auto"/>
        <w:right w:val="none" w:sz="0" w:space="0" w:color="auto"/>
      </w:divBdr>
      <w:divsChild>
        <w:div w:id="1927496142">
          <w:marLeft w:val="0"/>
          <w:marRight w:val="0"/>
          <w:marTop w:val="0"/>
          <w:marBottom w:val="0"/>
          <w:divBdr>
            <w:top w:val="none" w:sz="0" w:space="0" w:color="auto"/>
            <w:left w:val="none" w:sz="0" w:space="0" w:color="auto"/>
            <w:bottom w:val="none" w:sz="0" w:space="0" w:color="auto"/>
            <w:right w:val="none" w:sz="0" w:space="0" w:color="auto"/>
          </w:divBdr>
          <w:divsChild>
            <w:div w:id="658727265">
              <w:marLeft w:val="0"/>
              <w:marRight w:val="0"/>
              <w:marTop w:val="0"/>
              <w:marBottom w:val="0"/>
              <w:divBdr>
                <w:top w:val="none" w:sz="0" w:space="0" w:color="auto"/>
                <w:left w:val="none" w:sz="0" w:space="0" w:color="auto"/>
                <w:bottom w:val="none" w:sz="0" w:space="0" w:color="auto"/>
                <w:right w:val="none" w:sz="0" w:space="0" w:color="auto"/>
              </w:divBdr>
              <w:divsChild>
                <w:div w:id="1007515864">
                  <w:marLeft w:val="0"/>
                  <w:marRight w:val="0"/>
                  <w:marTop w:val="0"/>
                  <w:marBottom w:val="0"/>
                  <w:divBdr>
                    <w:top w:val="none" w:sz="0" w:space="0" w:color="auto"/>
                    <w:left w:val="none" w:sz="0" w:space="0" w:color="auto"/>
                    <w:bottom w:val="none" w:sz="0" w:space="0" w:color="auto"/>
                    <w:right w:val="none" w:sz="0" w:space="0" w:color="auto"/>
                  </w:divBdr>
                  <w:divsChild>
                    <w:div w:id="34039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090641">
      <w:bodyDiv w:val="1"/>
      <w:marLeft w:val="0"/>
      <w:marRight w:val="0"/>
      <w:marTop w:val="0"/>
      <w:marBottom w:val="0"/>
      <w:divBdr>
        <w:top w:val="none" w:sz="0" w:space="0" w:color="auto"/>
        <w:left w:val="none" w:sz="0" w:space="0" w:color="auto"/>
        <w:bottom w:val="none" w:sz="0" w:space="0" w:color="auto"/>
        <w:right w:val="none" w:sz="0" w:space="0" w:color="auto"/>
      </w:divBdr>
    </w:div>
    <w:div w:id="448204048">
      <w:bodyDiv w:val="1"/>
      <w:marLeft w:val="0"/>
      <w:marRight w:val="0"/>
      <w:marTop w:val="0"/>
      <w:marBottom w:val="0"/>
      <w:divBdr>
        <w:top w:val="none" w:sz="0" w:space="0" w:color="auto"/>
        <w:left w:val="none" w:sz="0" w:space="0" w:color="auto"/>
        <w:bottom w:val="none" w:sz="0" w:space="0" w:color="auto"/>
        <w:right w:val="none" w:sz="0" w:space="0" w:color="auto"/>
      </w:divBdr>
    </w:div>
    <w:div w:id="448625994">
      <w:bodyDiv w:val="1"/>
      <w:marLeft w:val="0"/>
      <w:marRight w:val="0"/>
      <w:marTop w:val="0"/>
      <w:marBottom w:val="0"/>
      <w:divBdr>
        <w:top w:val="none" w:sz="0" w:space="0" w:color="auto"/>
        <w:left w:val="none" w:sz="0" w:space="0" w:color="auto"/>
        <w:bottom w:val="none" w:sz="0" w:space="0" w:color="auto"/>
        <w:right w:val="none" w:sz="0" w:space="0" w:color="auto"/>
      </w:divBdr>
    </w:div>
    <w:div w:id="449008246">
      <w:bodyDiv w:val="1"/>
      <w:marLeft w:val="0"/>
      <w:marRight w:val="0"/>
      <w:marTop w:val="0"/>
      <w:marBottom w:val="0"/>
      <w:divBdr>
        <w:top w:val="none" w:sz="0" w:space="0" w:color="auto"/>
        <w:left w:val="none" w:sz="0" w:space="0" w:color="auto"/>
        <w:bottom w:val="none" w:sz="0" w:space="0" w:color="auto"/>
        <w:right w:val="none" w:sz="0" w:space="0" w:color="auto"/>
      </w:divBdr>
    </w:div>
    <w:div w:id="449477772">
      <w:bodyDiv w:val="1"/>
      <w:marLeft w:val="0"/>
      <w:marRight w:val="0"/>
      <w:marTop w:val="0"/>
      <w:marBottom w:val="0"/>
      <w:divBdr>
        <w:top w:val="none" w:sz="0" w:space="0" w:color="auto"/>
        <w:left w:val="none" w:sz="0" w:space="0" w:color="auto"/>
        <w:bottom w:val="none" w:sz="0" w:space="0" w:color="auto"/>
        <w:right w:val="none" w:sz="0" w:space="0" w:color="auto"/>
      </w:divBdr>
    </w:div>
    <w:div w:id="449593906">
      <w:bodyDiv w:val="1"/>
      <w:marLeft w:val="0"/>
      <w:marRight w:val="0"/>
      <w:marTop w:val="0"/>
      <w:marBottom w:val="0"/>
      <w:divBdr>
        <w:top w:val="none" w:sz="0" w:space="0" w:color="auto"/>
        <w:left w:val="none" w:sz="0" w:space="0" w:color="auto"/>
        <w:bottom w:val="none" w:sz="0" w:space="0" w:color="auto"/>
        <w:right w:val="none" w:sz="0" w:space="0" w:color="auto"/>
      </w:divBdr>
    </w:div>
    <w:div w:id="449714402">
      <w:bodyDiv w:val="1"/>
      <w:marLeft w:val="0"/>
      <w:marRight w:val="0"/>
      <w:marTop w:val="0"/>
      <w:marBottom w:val="0"/>
      <w:divBdr>
        <w:top w:val="none" w:sz="0" w:space="0" w:color="auto"/>
        <w:left w:val="none" w:sz="0" w:space="0" w:color="auto"/>
        <w:bottom w:val="none" w:sz="0" w:space="0" w:color="auto"/>
        <w:right w:val="none" w:sz="0" w:space="0" w:color="auto"/>
      </w:divBdr>
    </w:div>
    <w:div w:id="449738258">
      <w:bodyDiv w:val="1"/>
      <w:marLeft w:val="0"/>
      <w:marRight w:val="0"/>
      <w:marTop w:val="0"/>
      <w:marBottom w:val="0"/>
      <w:divBdr>
        <w:top w:val="none" w:sz="0" w:space="0" w:color="auto"/>
        <w:left w:val="none" w:sz="0" w:space="0" w:color="auto"/>
        <w:bottom w:val="none" w:sz="0" w:space="0" w:color="auto"/>
        <w:right w:val="none" w:sz="0" w:space="0" w:color="auto"/>
      </w:divBdr>
    </w:div>
    <w:div w:id="449861203">
      <w:bodyDiv w:val="1"/>
      <w:marLeft w:val="0"/>
      <w:marRight w:val="0"/>
      <w:marTop w:val="0"/>
      <w:marBottom w:val="0"/>
      <w:divBdr>
        <w:top w:val="none" w:sz="0" w:space="0" w:color="auto"/>
        <w:left w:val="none" w:sz="0" w:space="0" w:color="auto"/>
        <w:bottom w:val="none" w:sz="0" w:space="0" w:color="auto"/>
        <w:right w:val="none" w:sz="0" w:space="0" w:color="auto"/>
      </w:divBdr>
    </w:div>
    <w:div w:id="450058652">
      <w:bodyDiv w:val="1"/>
      <w:marLeft w:val="0"/>
      <w:marRight w:val="0"/>
      <w:marTop w:val="0"/>
      <w:marBottom w:val="0"/>
      <w:divBdr>
        <w:top w:val="none" w:sz="0" w:space="0" w:color="auto"/>
        <w:left w:val="none" w:sz="0" w:space="0" w:color="auto"/>
        <w:bottom w:val="none" w:sz="0" w:space="0" w:color="auto"/>
        <w:right w:val="none" w:sz="0" w:space="0" w:color="auto"/>
      </w:divBdr>
    </w:div>
    <w:div w:id="450132520">
      <w:bodyDiv w:val="1"/>
      <w:marLeft w:val="0"/>
      <w:marRight w:val="0"/>
      <w:marTop w:val="0"/>
      <w:marBottom w:val="0"/>
      <w:divBdr>
        <w:top w:val="none" w:sz="0" w:space="0" w:color="auto"/>
        <w:left w:val="none" w:sz="0" w:space="0" w:color="auto"/>
        <w:bottom w:val="none" w:sz="0" w:space="0" w:color="auto"/>
        <w:right w:val="none" w:sz="0" w:space="0" w:color="auto"/>
      </w:divBdr>
    </w:div>
    <w:div w:id="450246348">
      <w:bodyDiv w:val="1"/>
      <w:marLeft w:val="0"/>
      <w:marRight w:val="0"/>
      <w:marTop w:val="0"/>
      <w:marBottom w:val="0"/>
      <w:divBdr>
        <w:top w:val="none" w:sz="0" w:space="0" w:color="auto"/>
        <w:left w:val="none" w:sz="0" w:space="0" w:color="auto"/>
        <w:bottom w:val="none" w:sz="0" w:space="0" w:color="auto"/>
        <w:right w:val="none" w:sz="0" w:space="0" w:color="auto"/>
      </w:divBdr>
    </w:div>
    <w:div w:id="451948675">
      <w:bodyDiv w:val="1"/>
      <w:marLeft w:val="0"/>
      <w:marRight w:val="0"/>
      <w:marTop w:val="0"/>
      <w:marBottom w:val="0"/>
      <w:divBdr>
        <w:top w:val="none" w:sz="0" w:space="0" w:color="auto"/>
        <w:left w:val="none" w:sz="0" w:space="0" w:color="auto"/>
        <w:bottom w:val="none" w:sz="0" w:space="0" w:color="auto"/>
        <w:right w:val="none" w:sz="0" w:space="0" w:color="auto"/>
      </w:divBdr>
    </w:div>
    <w:div w:id="453064831">
      <w:bodyDiv w:val="1"/>
      <w:marLeft w:val="0"/>
      <w:marRight w:val="0"/>
      <w:marTop w:val="0"/>
      <w:marBottom w:val="0"/>
      <w:divBdr>
        <w:top w:val="none" w:sz="0" w:space="0" w:color="auto"/>
        <w:left w:val="none" w:sz="0" w:space="0" w:color="auto"/>
        <w:bottom w:val="none" w:sz="0" w:space="0" w:color="auto"/>
        <w:right w:val="none" w:sz="0" w:space="0" w:color="auto"/>
      </w:divBdr>
    </w:div>
    <w:div w:id="454064614">
      <w:bodyDiv w:val="1"/>
      <w:marLeft w:val="0"/>
      <w:marRight w:val="0"/>
      <w:marTop w:val="0"/>
      <w:marBottom w:val="0"/>
      <w:divBdr>
        <w:top w:val="none" w:sz="0" w:space="0" w:color="auto"/>
        <w:left w:val="none" w:sz="0" w:space="0" w:color="auto"/>
        <w:bottom w:val="none" w:sz="0" w:space="0" w:color="auto"/>
        <w:right w:val="none" w:sz="0" w:space="0" w:color="auto"/>
      </w:divBdr>
      <w:divsChild>
        <w:div w:id="628510309">
          <w:marLeft w:val="0"/>
          <w:marRight w:val="0"/>
          <w:marTop w:val="0"/>
          <w:marBottom w:val="0"/>
          <w:divBdr>
            <w:top w:val="none" w:sz="0" w:space="0" w:color="auto"/>
            <w:left w:val="none" w:sz="0" w:space="0" w:color="auto"/>
            <w:bottom w:val="none" w:sz="0" w:space="0" w:color="auto"/>
            <w:right w:val="none" w:sz="0" w:space="0" w:color="auto"/>
          </w:divBdr>
          <w:divsChild>
            <w:div w:id="1763913198">
              <w:marLeft w:val="0"/>
              <w:marRight w:val="0"/>
              <w:marTop w:val="0"/>
              <w:marBottom w:val="0"/>
              <w:divBdr>
                <w:top w:val="none" w:sz="0" w:space="0" w:color="auto"/>
                <w:left w:val="none" w:sz="0" w:space="0" w:color="auto"/>
                <w:bottom w:val="none" w:sz="0" w:space="0" w:color="auto"/>
                <w:right w:val="none" w:sz="0" w:space="0" w:color="auto"/>
              </w:divBdr>
              <w:divsChild>
                <w:div w:id="1359812559">
                  <w:marLeft w:val="0"/>
                  <w:marRight w:val="0"/>
                  <w:marTop w:val="0"/>
                  <w:marBottom w:val="0"/>
                  <w:divBdr>
                    <w:top w:val="none" w:sz="0" w:space="0" w:color="auto"/>
                    <w:left w:val="none" w:sz="0" w:space="0" w:color="auto"/>
                    <w:bottom w:val="none" w:sz="0" w:space="0" w:color="auto"/>
                    <w:right w:val="none" w:sz="0" w:space="0" w:color="auto"/>
                  </w:divBdr>
                  <w:divsChild>
                    <w:div w:id="135118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374829">
      <w:bodyDiv w:val="1"/>
      <w:marLeft w:val="0"/>
      <w:marRight w:val="0"/>
      <w:marTop w:val="0"/>
      <w:marBottom w:val="0"/>
      <w:divBdr>
        <w:top w:val="none" w:sz="0" w:space="0" w:color="auto"/>
        <w:left w:val="none" w:sz="0" w:space="0" w:color="auto"/>
        <w:bottom w:val="none" w:sz="0" w:space="0" w:color="auto"/>
        <w:right w:val="none" w:sz="0" w:space="0" w:color="auto"/>
      </w:divBdr>
    </w:div>
    <w:div w:id="454450951">
      <w:bodyDiv w:val="1"/>
      <w:marLeft w:val="0"/>
      <w:marRight w:val="0"/>
      <w:marTop w:val="0"/>
      <w:marBottom w:val="0"/>
      <w:divBdr>
        <w:top w:val="none" w:sz="0" w:space="0" w:color="auto"/>
        <w:left w:val="none" w:sz="0" w:space="0" w:color="auto"/>
        <w:bottom w:val="none" w:sz="0" w:space="0" w:color="auto"/>
        <w:right w:val="none" w:sz="0" w:space="0" w:color="auto"/>
      </w:divBdr>
    </w:div>
    <w:div w:id="455174615">
      <w:bodyDiv w:val="1"/>
      <w:marLeft w:val="0"/>
      <w:marRight w:val="0"/>
      <w:marTop w:val="0"/>
      <w:marBottom w:val="0"/>
      <w:divBdr>
        <w:top w:val="none" w:sz="0" w:space="0" w:color="auto"/>
        <w:left w:val="none" w:sz="0" w:space="0" w:color="auto"/>
        <w:bottom w:val="none" w:sz="0" w:space="0" w:color="auto"/>
        <w:right w:val="none" w:sz="0" w:space="0" w:color="auto"/>
      </w:divBdr>
    </w:div>
    <w:div w:id="455561124">
      <w:bodyDiv w:val="1"/>
      <w:marLeft w:val="0"/>
      <w:marRight w:val="0"/>
      <w:marTop w:val="0"/>
      <w:marBottom w:val="0"/>
      <w:divBdr>
        <w:top w:val="none" w:sz="0" w:space="0" w:color="auto"/>
        <w:left w:val="none" w:sz="0" w:space="0" w:color="auto"/>
        <w:bottom w:val="none" w:sz="0" w:space="0" w:color="auto"/>
        <w:right w:val="none" w:sz="0" w:space="0" w:color="auto"/>
      </w:divBdr>
    </w:div>
    <w:div w:id="455761980">
      <w:bodyDiv w:val="1"/>
      <w:marLeft w:val="0"/>
      <w:marRight w:val="0"/>
      <w:marTop w:val="0"/>
      <w:marBottom w:val="0"/>
      <w:divBdr>
        <w:top w:val="none" w:sz="0" w:space="0" w:color="auto"/>
        <w:left w:val="none" w:sz="0" w:space="0" w:color="auto"/>
        <w:bottom w:val="none" w:sz="0" w:space="0" w:color="auto"/>
        <w:right w:val="none" w:sz="0" w:space="0" w:color="auto"/>
      </w:divBdr>
      <w:divsChild>
        <w:div w:id="1098254651">
          <w:marLeft w:val="0"/>
          <w:marRight w:val="0"/>
          <w:marTop w:val="0"/>
          <w:marBottom w:val="0"/>
          <w:divBdr>
            <w:top w:val="none" w:sz="0" w:space="0" w:color="auto"/>
            <w:left w:val="none" w:sz="0" w:space="0" w:color="auto"/>
            <w:bottom w:val="none" w:sz="0" w:space="0" w:color="auto"/>
            <w:right w:val="none" w:sz="0" w:space="0" w:color="auto"/>
          </w:divBdr>
          <w:divsChild>
            <w:div w:id="2009748588">
              <w:marLeft w:val="0"/>
              <w:marRight w:val="0"/>
              <w:marTop w:val="0"/>
              <w:marBottom w:val="0"/>
              <w:divBdr>
                <w:top w:val="none" w:sz="0" w:space="0" w:color="auto"/>
                <w:left w:val="none" w:sz="0" w:space="0" w:color="auto"/>
                <w:bottom w:val="none" w:sz="0" w:space="0" w:color="auto"/>
                <w:right w:val="none" w:sz="0" w:space="0" w:color="auto"/>
              </w:divBdr>
              <w:divsChild>
                <w:div w:id="309988282">
                  <w:marLeft w:val="0"/>
                  <w:marRight w:val="0"/>
                  <w:marTop w:val="0"/>
                  <w:marBottom w:val="0"/>
                  <w:divBdr>
                    <w:top w:val="none" w:sz="0" w:space="0" w:color="auto"/>
                    <w:left w:val="none" w:sz="0" w:space="0" w:color="auto"/>
                    <w:bottom w:val="none" w:sz="0" w:space="0" w:color="auto"/>
                    <w:right w:val="none" w:sz="0" w:space="0" w:color="auto"/>
                  </w:divBdr>
                  <w:divsChild>
                    <w:div w:id="723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17681">
      <w:bodyDiv w:val="1"/>
      <w:marLeft w:val="0"/>
      <w:marRight w:val="0"/>
      <w:marTop w:val="0"/>
      <w:marBottom w:val="0"/>
      <w:divBdr>
        <w:top w:val="none" w:sz="0" w:space="0" w:color="auto"/>
        <w:left w:val="none" w:sz="0" w:space="0" w:color="auto"/>
        <w:bottom w:val="none" w:sz="0" w:space="0" w:color="auto"/>
        <w:right w:val="none" w:sz="0" w:space="0" w:color="auto"/>
      </w:divBdr>
      <w:divsChild>
        <w:div w:id="1865362936">
          <w:marLeft w:val="0"/>
          <w:marRight w:val="0"/>
          <w:marTop w:val="0"/>
          <w:marBottom w:val="0"/>
          <w:divBdr>
            <w:top w:val="none" w:sz="0" w:space="0" w:color="auto"/>
            <w:left w:val="none" w:sz="0" w:space="0" w:color="auto"/>
            <w:bottom w:val="none" w:sz="0" w:space="0" w:color="auto"/>
            <w:right w:val="none" w:sz="0" w:space="0" w:color="auto"/>
          </w:divBdr>
          <w:divsChild>
            <w:div w:id="896431081">
              <w:marLeft w:val="0"/>
              <w:marRight w:val="0"/>
              <w:marTop w:val="0"/>
              <w:marBottom w:val="0"/>
              <w:divBdr>
                <w:top w:val="none" w:sz="0" w:space="0" w:color="auto"/>
                <w:left w:val="none" w:sz="0" w:space="0" w:color="auto"/>
                <w:bottom w:val="none" w:sz="0" w:space="0" w:color="auto"/>
                <w:right w:val="none" w:sz="0" w:space="0" w:color="auto"/>
              </w:divBdr>
              <w:divsChild>
                <w:div w:id="309094102">
                  <w:marLeft w:val="0"/>
                  <w:marRight w:val="0"/>
                  <w:marTop w:val="0"/>
                  <w:marBottom w:val="0"/>
                  <w:divBdr>
                    <w:top w:val="none" w:sz="0" w:space="0" w:color="auto"/>
                    <w:left w:val="none" w:sz="0" w:space="0" w:color="auto"/>
                    <w:bottom w:val="none" w:sz="0" w:space="0" w:color="auto"/>
                    <w:right w:val="none" w:sz="0" w:space="0" w:color="auto"/>
                  </w:divBdr>
                  <w:divsChild>
                    <w:div w:id="19263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610659">
      <w:bodyDiv w:val="1"/>
      <w:marLeft w:val="0"/>
      <w:marRight w:val="0"/>
      <w:marTop w:val="0"/>
      <w:marBottom w:val="0"/>
      <w:divBdr>
        <w:top w:val="none" w:sz="0" w:space="0" w:color="auto"/>
        <w:left w:val="none" w:sz="0" w:space="0" w:color="auto"/>
        <w:bottom w:val="none" w:sz="0" w:space="0" w:color="auto"/>
        <w:right w:val="none" w:sz="0" w:space="0" w:color="auto"/>
      </w:divBdr>
    </w:div>
    <w:div w:id="457801210">
      <w:bodyDiv w:val="1"/>
      <w:marLeft w:val="0"/>
      <w:marRight w:val="0"/>
      <w:marTop w:val="0"/>
      <w:marBottom w:val="0"/>
      <w:divBdr>
        <w:top w:val="none" w:sz="0" w:space="0" w:color="auto"/>
        <w:left w:val="none" w:sz="0" w:space="0" w:color="auto"/>
        <w:bottom w:val="none" w:sz="0" w:space="0" w:color="auto"/>
        <w:right w:val="none" w:sz="0" w:space="0" w:color="auto"/>
      </w:divBdr>
    </w:div>
    <w:div w:id="459349375">
      <w:bodyDiv w:val="1"/>
      <w:marLeft w:val="0"/>
      <w:marRight w:val="0"/>
      <w:marTop w:val="0"/>
      <w:marBottom w:val="0"/>
      <w:divBdr>
        <w:top w:val="none" w:sz="0" w:space="0" w:color="auto"/>
        <w:left w:val="none" w:sz="0" w:space="0" w:color="auto"/>
        <w:bottom w:val="none" w:sz="0" w:space="0" w:color="auto"/>
        <w:right w:val="none" w:sz="0" w:space="0" w:color="auto"/>
      </w:divBdr>
      <w:divsChild>
        <w:div w:id="115946964">
          <w:marLeft w:val="0"/>
          <w:marRight w:val="0"/>
          <w:marTop w:val="0"/>
          <w:marBottom w:val="0"/>
          <w:divBdr>
            <w:top w:val="none" w:sz="0" w:space="0" w:color="auto"/>
            <w:left w:val="none" w:sz="0" w:space="0" w:color="auto"/>
            <w:bottom w:val="none" w:sz="0" w:space="0" w:color="auto"/>
            <w:right w:val="none" w:sz="0" w:space="0" w:color="auto"/>
          </w:divBdr>
          <w:divsChild>
            <w:div w:id="672218583">
              <w:marLeft w:val="0"/>
              <w:marRight w:val="0"/>
              <w:marTop w:val="0"/>
              <w:marBottom w:val="0"/>
              <w:divBdr>
                <w:top w:val="none" w:sz="0" w:space="0" w:color="auto"/>
                <w:left w:val="none" w:sz="0" w:space="0" w:color="auto"/>
                <w:bottom w:val="none" w:sz="0" w:space="0" w:color="auto"/>
                <w:right w:val="none" w:sz="0" w:space="0" w:color="auto"/>
              </w:divBdr>
              <w:divsChild>
                <w:div w:id="1149640167">
                  <w:marLeft w:val="0"/>
                  <w:marRight w:val="0"/>
                  <w:marTop w:val="0"/>
                  <w:marBottom w:val="0"/>
                  <w:divBdr>
                    <w:top w:val="none" w:sz="0" w:space="0" w:color="auto"/>
                    <w:left w:val="none" w:sz="0" w:space="0" w:color="auto"/>
                    <w:bottom w:val="none" w:sz="0" w:space="0" w:color="auto"/>
                    <w:right w:val="none" w:sz="0" w:space="0" w:color="auto"/>
                  </w:divBdr>
                  <w:divsChild>
                    <w:div w:id="19674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418271">
      <w:bodyDiv w:val="1"/>
      <w:marLeft w:val="0"/>
      <w:marRight w:val="0"/>
      <w:marTop w:val="0"/>
      <w:marBottom w:val="0"/>
      <w:divBdr>
        <w:top w:val="none" w:sz="0" w:space="0" w:color="auto"/>
        <w:left w:val="none" w:sz="0" w:space="0" w:color="auto"/>
        <w:bottom w:val="none" w:sz="0" w:space="0" w:color="auto"/>
        <w:right w:val="none" w:sz="0" w:space="0" w:color="auto"/>
      </w:divBdr>
    </w:div>
    <w:div w:id="460535197">
      <w:bodyDiv w:val="1"/>
      <w:marLeft w:val="0"/>
      <w:marRight w:val="0"/>
      <w:marTop w:val="0"/>
      <w:marBottom w:val="0"/>
      <w:divBdr>
        <w:top w:val="none" w:sz="0" w:space="0" w:color="auto"/>
        <w:left w:val="none" w:sz="0" w:space="0" w:color="auto"/>
        <w:bottom w:val="none" w:sz="0" w:space="0" w:color="auto"/>
        <w:right w:val="none" w:sz="0" w:space="0" w:color="auto"/>
      </w:divBdr>
      <w:divsChild>
        <w:div w:id="1008675927">
          <w:marLeft w:val="0"/>
          <w:marRight w:val="0"/>
          <w:marTop w:val="0"/>
          <w:marBottom w:val="0"/>
          <w:divBdr>
            <w:top w:val="none" w:sz="0" w:space="0" w:color="auto"/>
            <w:left w:val="none" w:sz="0" w:space="0" w:color="auto"/>
            <w:bottom w:val="none" w:sz="0" w:space="0" w:color="auto"/>
            <w:right w:val="none" w:sz="0" w:space="0" w:color="auto"/>
          </w:divBdr>
          <w:divsChild>
            <w:div w:id="601188684">
              <w:marLeft w:val="0"/>
              <w:marRight w:val="0"/>
              <w:marTop w:val="0"/>
              <w:marBottom w:val="0"/>
              <w:divBdr>
                <w:top w:val="none" w:sz="0" w:space="0" w:color="auto"/>
                <w:left w:val="none" w:sz="0" w:space="0" w:color="auto"/>
                <w:bottom w:val="none" w:sz="0" w:space="0" w:color="auto"/>
                <w:right w:val="none" w:sz="0" w:space="0" w:color="auto"/>
              </w:divBdr>
              <w:divsChild>
                <w:div w:id="1661081406">
                  <w:marLeft w:val="0"/>
                  <w:marRight w:val="0"/>
                  <w:marTop w:val="0"/>
                  <w:marBottom w:val="0"/>
                  <w:divBdr>
                    <w:top w:val="none" w:sz="0" w:space="0" w:color="auto"/>
                    <w:left w:val="none" w:sz="0" w:space="0" w:color="auto"/>
                    <w:bottom w:val="none" w:sz="0" w:space="0" w:color="auto"/>
                    <w:right w:val="none" w:sz="0" w:space="0" w:color="auto"/>
                  </w:divBdr>
                  <w:divsChild>
                    <w:div w:id="139520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389670">
      <w:bodyDiv w:val="1"/>
      <w:marLeft w:val="0"/>
      <w:marRight w:val="0"/>
      <w:marTop w:val="0"/>
      <w:marBottom w:val="0"/>
      <w:divBdr>
        <w:top w:val="none" w:sz="0" w:space="0" w:color="auto"/>
        <w:left w:val="none" w:sz="0" w:space="0" w:color="auto"/>
        <w:bottom w:val="none" w:sz="0" w:space="0" w:color="auto"/>
        <w:right w:val="none" w:sz="0" w:space="0" w:color="auto"/>
      </w:divBdr>
      <w:divsChild>
        <w:div w:id="2114351680">
          <w:marLeft w:val="0"/>
          <w:marRight w:val="0"/>
          <w:marTop w:val="0"/>
          <w:marBottom w:val="0"/>
          <w:divBdr>
            <w:top w:val="none" w:sz="0" w:space="0" w:color="auto"/>
            <w:left w:val="none" w:sz="0" w:space="0" w:color="auto"/>
            <w:bottom w:val="none" w:sz="0" w:space="0" w:color="auto"/>
            <w:right w:val="none" w:sz="0" w:space="0" w:color="auto"/>
          </w:divBdr>
          <w:divsChild>
            <w:div w:id="1866365830">
              <w:marLeft w:val="0"/>
              <w:marRight w:val="0"/>
              <w:marTop w:val="0"/>
              <w:marBottom w:val="0"/>
              <w:divBdr>
                <w:top w:val="none" w:sz="0" w:space="0" w:color="auto"/>
                <w:left w:val="none" w:sz="0" w:space="0" w:color="auto"/>
                <w:bottom w:val="none" w:sz="0" w:space="0" w:color="auto"/>
                <w:right w:val="none" w:sz="0" w:space="0" w:color="auto"/>
              </w:divBdr>
              <w:divsChild>
                <w:div w:id="1272468816">
                  <w:marLeft w:val="0"/>
                  <w:marRight w:val="0"/>
                  <w:marTop w:val="0"/>
                  <w:marBottom w:val="0"/>
                  <w:divBdr>
                    <w:top w:val="none" w:sz="0" w:space="0" w:color="auto"/>
                    <w:left w:val="none" w:sz="0" w:space="0" w:color="auto"/>
                    <w:bottom w:val="none" w:sz="0" w:space="0" w:color="auto"/>
                    <w:right w:val="none" w:sz="0" w:space="0" w:color="auto"/>
                  </w:divBdr>
                  <w:divsChild>
                    <w:div w:id="74549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583913">
      <w:bodyDiv w:val="1"/>
      <w:marLeft w:val="0"/>
      <w:marRight w:val="0"/>
      <w:marTop w:val="0"/>
      <w:marBottom w:val="0"/>
      <w:divBdr>
        <w:top w:val="none" w:sz="0" w:space="0" w:color="auto"/>
        <w:left w:val="none" w:sz="0" w:space="0" w:color="auto"/>
        <w:bottom w:val="none" w:sz="0" w:space="0" w:color="auto"/>
        <w:right w:val="none" w:sz="0" w:space="0" w:color="auto"/>
      </w:divBdr>
    </w:div>
    <w:div w:id="461995012">
      <w:bodyDiv w:val="1"/>
      <w:marLeft w:val="0"/>
      <w:marRight w:val="0"/>
      <w:marTop w:val="0"/>
      <w:marBottom w:val="0"/>
      <w:divBdr>
        <w:top w:val="none" w:sz="0" w:space="0" w:color="auto"/>
        <w:left w:val="none" w:sz="0" w:space="0" w:color="auto"/>
        <w:bottom w:val="none" w:sz="0" w:space="0" w:color="auto"/>
        <w:right w:val="none" w:sz="0" w:space="0" w:color="auto"/>
      </w:divBdr>
    </w:div>
    <w:div w:id="463087465">
      <w:bodyDiv w:val="1"/>
      <w:marLeft w:val="0"/>
      <w:marRight w:val="0"/>
      <w:marTop w:val="0"/>
      <w:marBottom w:val="0"/>
      <w:divBdr>
        <w:top w:val="none" w:sz="0" w:space="0" w:color="auto"/>
        <w:left w:val="none" w:sz="0" w:space="0" w:color="auto"/>
        <w:bottom w:val="none" w:sz="0" w:space="0" w:color="auto"/>
        <w:right w:val="none" w:sz="0" w:space="0" w:color="auto"/>
      </w:divBdr>
    </w:div>
    <w:div w:id="463357256">
      <w:bodyDiv w:val="1"/>
      <w:marLeft w:val="0"/>
      <w:marRight w:val="0"/>
      <w:marTop w:val="0"/>
      <w:marBottom w:val="0"/>
      <w:divBdr>
        <w:top w:val="none" w:sz="0" w:space="0" w:color="auto"/>
        <w:left w:val="none" w:sz="0" w:space="0" w:color="auto"/>
        <w:bottom w:val="none" w:sz="0" w:space="0" w:color="auto"/>
        <w:right w:val="none" w:sz="0" w:space="0" w:color="auto"/>
      </w:divBdr>
    </w:div>
    <w:div w:id="463471532">
      <w:bodyDiv w:val="1"/>
      <w:marLeft w:val="0"/>
      <w:marRight w:val="0"/>
      <w:marTop w:val="0"/>
      <w:marBottom w:val="0"/>
      <w:divBdr>
        <w:top w:val="none" w:sz="0" w:space="0" w:color="auto"/>
        <w:left w:val="none" w:sz="0" w:space="0" w:color="auto"/>
        <w:bottom w:val="none" w:sz="0" w:space="0" w:color="auto"/>
        <w:right w:val="none" w:sz="0" w:space="0" w:color="auto"/>
      </w:divBdr>
    </w:div>
    <w:div w:id="463693737">
      <w:bodyDiv w:val="1"/>
      <w:marLeft w:val="0"/>
      <w:marRight w:val="0"/>
      <w:marTop w:val="0"/>
      <w:marBottom w:val="0"/>
      <w:divBdr>
        <w:top w:val="none" w:sz="0" w:space="0" w:color="auto"/>
        <w:left w:val="none" w:sz="0" w:space="0" w:color="auto"/>
        <w:bottom w:val="none" w:sz="0" w:space="0" w:color="auto"/>
        <w:right w:val="none" w:sz="0" w:space="0" w:color="auto"/>
      </w:divBdr>
    </w:div>
    <w:div w:id="464589873">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4">
          <w:marLeft w:val="0"/>
          <w:marRight w:val="0"/>
          <w:marTop w:val="0"/>
          <w:marBottom w:val="0"/>
          <w:divBdr>
            <w:top w:val="none" w:sz="0" w:space="0" w:color="auto"/>
            <w:left w:val="none" w:sz="0" w:space="0" w:color="auto"/>
            <w:bottom w:val="none" w:sz="0" w:space="0" w:color="auto"/>
            <w:right w:val="none" w:sz="0" w:space="0" w:color="auto"/>
          </w:divBdr>
          <w:divsChild>
            <w:div w:id="2119525432">
              <w:marLeft w:val="0"/>
              <w:marRight w:val="0"/>
              <w:marTop w:val="0"/>
              <w:marBottom w:val="0"/>
              <w:divBdr>
                <w:top w:val="none" w:sz="0" w:space="0" w:color="auto"/>
                <w:left w:val="none" w:sz="0" w:space="0" w:color="auto"/>
                <w:bottom w:val="none" w:sz="0" w:space="0" w:color="auto"/>
                <w:right w:val="none" w:sz="0" w:space="0" w:color="auto"/>
              </w:divBdr>
              <w:divsChild>
                <w:div w:id="1927693223">
                  <w:marLeft w:val="0"/>
                  <w:marRight w:val="0"/>
                  <w:marTop w:val="0"/>
                  <w:marBottom w:val="0"/>
                  <w:divBdr>
                    <w:top w:val="none" w:sz="0" w:space="0" w:color="auto"/>
                    <w:left w:val="none" w:sz="0" w:space="0" w:color="auto"/>
                    <w:bottom w:val="none" w:sz="0" w:space="0" w:color="auto"/>
                    <w:right w:val="none" w:sz="0" w:space="0" w:color="auto"/>
                  </w:divBdr>
                  <w:divsChild>
                    <w:div w:id="213675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005843">
      <w:bodyDiv w:val="1"/>
      <w:marLeft w:val="0"/>
      <w:marRight w:val="0"/>
      <w:marTop w:val="0"/>
      <w:marBottom w:val="0"/>
      <w:divBdr>
        <w:top w:val="none" w:sz="0" w:space="0" w:color="auto"/>
        <w:left w:val="none" w:sz="0" w:space="0" w:color="auto"/>
        <w:bottom w:val="none" w:sz="0" w:space="0" w:color="auto"/>
        <w:right w:val="none" w:sz="0" w:space="0" w:color="auto"/>
      </w:divBdr>
    </w:div>
    <w:div w:id="465976431">
      <w:bodyDiv w:val="1"/>
      <w:marLeft w:val="0"/>
      <w:marRight w:val="0"/>
      <w:marTop w:val="0"/>
      <w:marBottom w:val="0"/>
      <w:divBdr>
        <w:top w:val="none" w:sz="0" w:space="0" w:color="auto"/>
        <w:left w:val="none" w:sz="0" w:space="0" w:color="auto"/>
        <w:bottom w:val="none" w:sz="0" w:space="0" w:color="auto"/>
        <w:right w:val="none" w:sz="0" w:space="0" w:color="auto"/>
      </w:divBdr>
    </w:div>
    <w:div w:id="466551438">
      <w:bodyDiv w:val="1"/>
      <w:marLeft w:val="0"/>
      <w:marRight w:val="0"/>
      <w:marTop w:val="0"/>
      <w:marBottom w:val="0"/>
      <w:divBdr>
        <w:top w:val="none" w:sz="0" w:space="0" w:color="auto"/>
        <w:left w:val="none" w:sz="0" w:space="0" w:color="auto"/>
        <w:bottom w:val="none" w:sz="0" w:space="0" w:color="auto"/>
        <w:right w:val="none" w:sz="0" w:space="0" w:color="auto"/>
      </w:divBdr>
      <w:divsChild>
        <w:div w:id="1582331433">
          <w:marLeft w:val="0"/>
          <w:marRight w:val="0"/>
          <w:marTop w:val="0"/>
          <w:marBottom w:val="0"/>
          <w:divBdr>
            <w:top w:val="none" w:sz="0" w:space="0" w:color="auto"/>
            <w:left w:val="none" w:sz="0" w:space="0" w:color="auto"/>
            <w:bottom w:val="none" w:sz="0" w:space="0" w:color="auto"/>
            <w:right w:val="none" w:sz="0" w:space="0" w:color="auto"/>
          </w:divBdr>
          <w:divsChild>
            <w:div w:id="538201346">
              <w:marLeft w:val="0"/>
              <w:marRight w:val="0"/>
              <w:marTop w:val="0"/>
              <w:marBottom w:val="0"/>
              <w:divBdr>
                <w:top w:val="none" w:sz="0" w:space="0" w:color="auto"/>
                <w:left w:val="none" w:sz="0" w:space="0" w:color="auto"/>
                <w:bottom w:val="none" w:sz="0" w:space="0" w:color="auto"/>
                <w:right w:val="none" w:sz="0" w:space="0" w:color="auto"/>
              </w:divBdr>
              <w:divsChild>
                <w:div w:id="55397692">
                  <w:marLeft w:val="0"/>
                  <w:marRight w:val="0"/>
                  <w:marTop w:val="0"/>
                  <w:marBottom w:val="0"/>
                  <w:divBdr>
                    <w:top w:val="none" w:sz="0" w:space="0" w:color="auto"/>
                    <w:left w:val="none" w:sz="0" w:space="0" w:color="auto"/>
                    <w:bottom w:val="none" w:sz="0" w:space="0" w:color="auto"/>
                    <w:right w:val="none" w:sz="0" w:space="0" w:color="auto"/>
                  </w:divBdr>
                  <w:divsChild>
                    <w:div w:id="10200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238297">
      <w:bodyDiv w:val="1"/>
      <w:marLeft w:val="0"/>
      <w:marRight w:val="0"/>
      <w:marTop w:val="0"/>
      <w:marBottom w:val="0"/>
      <w:divBdr>
        <w:top w:val="none" w:sz="0" w:space="0" w:color="auto"/>
        <w:left w:val="none" w:sz="0" w:space="0" w:color="auto"/>
        <w:bottom w:val="none" w:sz="0" w:space="0" w:color="auto"/>
        <w:right w:val="none" w:sz="0" w:space="0" w:color="auto"/>
      </w:divBdr>
    </w:div>
    <w:div w:id="467361003">
      <w:bodyDiv w:val="1"/>
      <w:marLeft w:val="0"/>
      <w:marRight w:val="0"/>
      <w:marTop w:val="0"/>
      <w:marBottom w:val="0"/>
      <w:divBdr>
        <w:top w:val="none" w:sz="0" w:space="0" w:color="auto"/>
        <w:left w:val="none" w:sz="0" w:space="0" w:color="auto"/>
        <w:bottom w:val="none" w:sz="0" w:space="0" w:color="auto"/>
        <w:right w:val="none" w:sz="0" w:space="0" w:color="auto"/>
      </w:divBdr>
    </w:div>
    <w:div w:id="467866687">
      <w:bodyDiv w:val="1"/>
      <w:marLeft w:val="0"/>
      <w:marRight w:val="0"/>
      <w:marTop w:val="0"/>
      <w:marBottom w:val="0"/>
      <w:divBdr>
        <w:top w:val="none" w:sz="0" w:space="0" w:color="auto"/>
        <w:left w:val="none" w:sz="0" w:space="0" w:color="auto"/>
        <w:bottom w:val="none" w:sz="0" w:space="0" w:color="auto"/>
        <w:right w:val="none" w:sz="0" w:space="0" w:color="auto"/>
      </w:divBdr>
    </w:div>
    <w:div w:id="468060070">
      <w:bodyDiv w:val="1"/>
      <w:marLeft w:val="0"/>
      <w:marRight w:val="0"/>
      <w:marTop w:val="0"/>
      <w:marBottom w:val="0"/>
      <w:divBdr>
        <w:top w:val="none" w:sz="0" w:space="0" w:color="auto"/>
        <w:left w:val="none" w:sz="0" w:space="0" w:color="auto"/>
        <w:bottom w:val="none" w:sz="0" w:space="0" w:color="auto"/>
        <w:right w:val="none" w:sz="0" w:space="0" w:color="auto"/>
      </w:divBdr>
    </w:div>
    <w:div w:id="468669857">
      <w:bodyDiv w:val="1"/>
      <w:marLeft w:val="0"/>
      <w:marRight w:val="0"/>
      <w:marTop w:val="0"/>
      <w:marBottom w:val="0"/>
      <w:divBdr>
        <w:top w:val="none" w:sz="0" w:space="0" w:color="auto"/>
        <w:left w:val="none" w:sz="0" w:space="0" w:color="auto"/>
        <w:bottom w:val="none" w:sz="0" w:space="0" w:color="auto"/>
        <w:right w:val="none" w:sz="0" w:space="0" w:color="auto"/>
      </w:divBdr>
      <w:divsChild>
        <w:div w:id="1802261711">
          <w:marLeft w:val="0"/>
          <w:marRight w:val="0"/>
          <w:marTop w:val="0"/>
          <w:marBottom w:val="0"/>
          <w:divBdr>
            <w:top w:val="none" w:sz="0" w:space="0" w:color="auto"/>
            <w:left w:val="none" w:sz="0" w:space="0" w:color="auto"/>
            <w:bottom w:val="none" w:sz="0" w:space="0" w:color="auto"/>
            <w:right w:val="none" w:sz="0" w:space="0" w:color="auto"/>
          </w:divBdr>
          <w:divsChild>
            <w:div w:id="637802867">
              <w:marLeft w:val="0"/>
              <w:marRight w:val="0"/>
              <w:marTop w:val="0"/>
              <w:marBottom w:val="0"/>
              <w:divBdr>
                <w:top w:val="none" w:sz="0" w:space="0" w:color="auto"/>
                <w:left w:val="none" w:sz="0" w:space="0" w:color="auto"/>
                <w:bottom w:val="none" w:sz="0" w:space="0" w:color="auto"/>
                <w:right w:val="none" w:sz="0" w:space="0" w:color="auto"/>
              </w:divBdr>
              <w:divsChild>
                <w:div w:id="293678595">
                  <w:marLeft w:val="0"/>
                  <w:marRight w:val="0"/>
                  <w:marTop w:val="0"/>
                  <w:marBottom w:val="0"/>
                  <w:divBdr>
                    <w:top w:val="none" w:sz="0" w:space="0" w:color="auto"/>
                    <w:left w:val="none" w:sz="0" w:space="0" w:color="auto"/>
                    <w:bottom w:val="none" w:sz="0" w:space="0" w:color="auto"/>
                    <w:right w:val="none" w:sz="0" w:space="0" w:color="auto"/>
                  </w:divBdr>
                  <w:divsChild>
                    <w:div w:id="1929345990">
                      <w:marLeft w:val="0"/>
                      <w:marRight w:val="0"/>
                      <w:marTop w:val="0"/>
                      <w:marBottom w:val="0"/>
                      <w:divBdr>
                        <w:top w:val="none" w:sz="0" w:space="0" w:color="auto"/>
                        <w:left w:val="none" w:sz="0" w:space="0" w:color="auto"/>
                        <w:bottom w:val="none" w:sz="0" w:space="0" w:color="auto"/>
                        <w:right w:val="none" w:sz="0" w:space="0" w:color="auto"/>
                      </w:divBdr>
                    </w:div>
                  </w:divsChild>
                </w:div>
                <w:div w:id="930352273">
                  <w:marLeft w:val="0"/>
                  <w:marRight w:val="0"/>
                  <w:marTop w:val="0"/>
                  <w:marBottom w:val="0"/>
                  <w:divBdr>
                    <w:top w:val="none" w:sz="0" w:space="0" w:color="auto"/>
                    <w:left w:val="none" w:sz="0" w:space="0" w:color="auto"/>
                    <w:bottom w:val="none" w:sz="0" w:space="0" w:color="auto"/>
                    <w:right w:val="none" w:sz="0" w:space="0" w:color="auto"/>
                  </w:divBdr>
                  <w:divsChild>
                    <w:div w:id="97001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791863">
      <w:bodyDiv w:val="1"/>
      <w:marLeft w:val="0"/>
      <w:marRight w:val="0"/>
      <w:marTop w:val="0"/>
      <w:marBottom w:val="0"/>
      <w:divBdr>
        <w:top w:val="none" w:sz="0" w:space="0" w:color="auto"/>
        <w:left w:val="none" w:sz="0" w:space="0" w:color="auto"/>
        <w:bottom w:val="none" w:sz="0" w:space="0" w:color="auto"/>
        <w:right w:val="none" w:sz="0" w:space="0" w:color="auto"/>
      </w:divBdr>
    </w:div>
    <w:div w:id="469178879">
      <w:bodyDiv w:val="1"/>
      <w:marLeft w:val="0"/>
      <w:marRight w:val="0"/>
      <w:marTop w:val="0"/>
      <w:marBottom w:val="0"/>
      <w:divBdr>
        <w:top w:val="none" w:sz="0" w:space="0" w:color="auto"/>
        <w:left w:val="none" w:sz="0" w:space="0" w:color="auto"/>
        <w:bottom w:val="none" w:sz="0" w:space="0" w:color="auto"/>
        <w:right w:val="none" w:sz="0" w:space="0" w:color="auto"/>
      </w:divBdr>
    </w:div>
    <w:div w:id="469908685">
      <w:bodyDiv w:val="1"/>
      <w:marLeft w:val="0"/>
      <w:marRight w:val="0"/>
      <w:marTop w:val="0"/>
      <w:marBottom w:val="0"/>
      <w:divBdr>
        <w:top w:val="none" w:sz="0" w:space="0" w:color="auto"/>
        <w:left w:val="none" w:sz="0" w:space="0" w:color="auto"/>
        <w:bottom w:val="none" w:sz="0" w:space="0" w:color="auto"/>
        <w:right w:val="none" w:sz="0" w:space="0" w:color="auto"/>
      </w:divBdr>
      <w:divsChild>
        <w:div w:id="313340996">
          <w:marLeft w:val="0"/>
          <w:marRight w:val="0"/>
          <w:marTop w:val="0"/>
          <w:marBottom w:val="0"/>
          <w:divBdr>
            <w:top w:val="none" w:sz="0" w:space="0" w:color="auto"/>
            <w:left w:val="none" w:sz="0" w:space="0" w:color="auto"/>
            <w:bottom w:val="none" w:sz="0" w:space="0" w:color="auto"/>
            <w:right w:val="none" w:sz="0" w:space="0" w:color="auto"/>
          </w:divBdr>
          <w:divsChild>
            <w:div w:id="1674911403">
              <w:marLeft w:val="0"/>
              <w:marRight w:val="0"/>
              <w:marTop w:val="0"/>
              <w:marBottom w:val="0"/>
              <w:divBdr>
                <w:top w:val="none" w:sz="0" w:space="0" w:color="auto"/>
                <w:left w:val="none" w:sz="0" w:space="0" w:color="auto"/>
                <w:bottom w:val="none" w:sz="0" w:space="0" w:color="auto"/>
                <w:right w:val="none" w:sz="0" w:space="0" w:color="auto"/>
              </w:divBdr>
              <w:divsChild>
                <w:div w:id="1024745635">
                  <w:marLeft w:val="0"/>
                  <w:marRight w:val="0"/>
                  <w:marTop w:val="0"/>
                  <w:marBottom w:val="0"/>
                  <w:divBdr>
                    <w:top w:val="none" w:sz="0" w:space="0" w:color="auto"/>
                    <w:left w:val="none" w:sz="0" w:space="0" w:color="auto"/>
                    <w:bottom w:val="none" w:sz="0" w:space="0" w:color="auto"/>
                    <w:right w:val="none" w:sz="0" w:space="0" w:color="auto"/>
                  </w:divBdr>
                  <w:divsChild>
                    <w:div w:id="47245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289909">
      <w:bodyDiv w:val="1"/>
      <w:marLeft w:val="0"/>
      <w:marRight w:val="0"/>
      <w:marTop w:val="0"/>
      <w:marBottom w:val="0"/>
      <w:divBdr>
        <w:top w:val="none" w:sz="0" w:space="0" w:color="auto"/>
        <w:left w:val="none" w:sz="0" w:space="0" w:color="auto"/>
        <w:bottom w:val="none" w:sz="0" w:space="0" w:color="auto"/>
        <w:right w:val="none" w:sz="0" w:space="0" w:color="auto"/>
      </w:divBdr>
      <w:divsChild>
        <w:div w:id="163130918">
          <w:marLeft w:val="0"/>
          <w:marRight w:val="0"/>
          <w:marTop w:val="0"/>
          <w:marBottom w:val="0"/>
          <w:divBdr>
            <w:top w:val="none" w:sz="0" w:space="0" w:color="auto"/>
            <w:left w:val="none" w:sz="0" w:space="0" w:color="auto"/>
            <w:bottom w:val="none" w:sz="0" w:space="0" w:color="auto"/>
            <w:right w:val="none" w:sz="0" w:space="0" w:color="auto"/>
          </w:divBdr>
        </w:div>
        <w:div w:id="1936286010">
          <w:marLeft w:val="0"/>
          <w:marRight w:val="0"/>
          <w:marTop w:val="0"/>
          <w:marBottom w:val="0"/>
          <w:divBdr>
            <w:top w:val="none" w:sz="0" w:space="0" w:color="auto"/>
            <w:left w:val="none" w:sz="0" w:space="0" w:color="auto"/>
            <w:bottom w:val="none" w:sz="0" w:space="0" w:color="auto"/>
            <w:right w:val="none" w:sz="0" w:space="0" w:color="auto"/>
          </w:divBdr>
        </w:div>
        <w:div w:id="1960794568">
          <w:marLeft w:val="0"/>
          <w:marRight w:val="0"/>
          <w:marTop w:val="0"/>
          <w:marBottom w:val="0"/>
          <w:divBdr>
            <w:top w:val="none" w:sz="0" w:space="0" w:color="auto"/>
            <w:left w:val="none" w:sz="0" w:space="0" w:color="auto"/>
            <w:bottom w:val="none" w:sz="0" w:space="0" w:color="auto"/>
            <w:right w:val="none" w:sz="0" w:space="0" w:color="auto"/>
          </w:divBdr>
        </w:div>
      </w:divsChild>
    </w:div>
    <w:div w:id="471680509">
      <w:bodyDiv w:val="1"/>
      <w:marLeft w:val="0"/>
      <w:marRight w:val="0"/>
      <w:marTop w:val="0"/>
      <w:marBottom w:val="0"/>
      <w:divBdr>
        <w:top w:val="none" w:sz="0" w:space="0" w:color="auto"/>
        <w:left w:val="none" w:sz="0" w:space="0" w:color="auto"/>
        <w:bottom w:val="none" w:sz="0" w:space="0" w:color="auto"/>
        <w:right w:val="none" w:sz="0" w:space="0" w:color="auto"/>
      </w:divBdr>
    </w:div>
    <w:div w:id="472333148">
      <w:bodyDiv w:val="1"/>
      <w:marLeft w:val="0"/>
      <w:marRight w:val="0"/>
      <w:marTop w:val="0"/>
      <w:marBottom w:val="0"/>
      <w:divBdr>
        <w:top w:val="none" w:sz="0" w:space="0" w:color="auto"/>
        <w:left w:val="none" w:sz="0" w:space="0" w:color="auto"/>
        <w:bottom w:val="none" w:sz="0" w:space="0" w:color="auto"/>
        <w:right w:val="none" w:sz="0" w:space="0" w:color="auto"/>
      </w:divBdr>
    </w:div>
    <w:div w:id="473060672">
      <w:bodyDiv w:val="1"/>
      <w:marLeft w:val="0"/>
      <w:marRight w:val="0"/>
      <w:marTop w:val="0"/>
      <w:marBottom w:val="0"/>
      <w:divBdr>
        <w:top w:val="none" w:sz="0" w:space="0" w:color="auto"/>
        <w:left w:val="none" w:sz="0" w:space="0" w:color="auto"/>
        <w:bottom w:val="none" w:sz="0" w:space="0" w:color="auto"/>
        <w:right w:val="none" w:sz="0" w:space="0" w:color="auto"/>
      </w:divBdr>
    </w:div>
    <w:div w:id="473109082">
      <w:bodyDiv w:val="1"/>
      <w:marLeft w:val="0"/>
      <w:marRight w:val="0"/>
      <w:marTop w:val="0"/>
      <w:marBottom w:val="0"/>
      <w:divBdr>
        <w:top w:val="none" w:sz="0" w:space="0" w:color="auto"/>
        <w:left w:val="none" w:sz="0" w:space="0" w:color="auto"/>
        <w:bottom w:val="none" w:sz="0" w:space="0" w:color="auto"/>
        <w:right w:val="none" w:sz="0" w:space="0" w:color="auto"/>
      </w:divBdr>
    </w:div>
    <w:div w:id="474490817">
      <w:bodyDiv w:val="1"/>
      <w:marLeft w:val="0"/>
      <w:marRight w:val="0"/>
      <w:marTop w:val="0"/>
      <w:marBottom w:val="0"/>
      <w:divBdr>
        <w:top w:val="none" w:sz="0" w:space="0" w:color="auto"/>
        <w:left w:val="none" w:sz="0" w:space="0" w:color="auto"/>
        <w:bottom w:val="none" w:sz="0" w:space="0" w:color="auto"/>
        <w:right w:val="none" w:sz="0" w:space="0" w:color="auto"/>
      </w:divBdr>
    </w:div>
    <w:div w:id="474952948">
      <w:bodyDiv w:val="1"/>
      <w:marLeft w:val="0"/>
      <w:marRight w:val="0"/>
      <w:marTop w:val="0"/>
      <w:marBottom w:val="0"/>
      <w:divBdr>
        <w:top w:val="none" w:sz="0" w:space="0" w:color="auto"/>
        <w:left w:val="none" w:sz="0" w:space="0" w:color="auto"/>
        <w:bottom w:val="none" w:sz="0" w:space="0" w:color="auto"/>
        <w:right w:val="none" w:sz="0" w:space="0" w:color="auto"/>
      </w:divBdr>
    </w:div>
    <w:div w:id="475072473">
      <w:bodyDiv w:val="1"/>
      <w:marLeft w:val="0"/>
      <w:marRight w:val="0"/>
      <w:marTop w:val="0"/>
      <w:marBottom w:val="0"/>
      <w:divBdr>
        <w:top w:val="none" w:sz="0" w:space="0" w:color="auto"/>
        <w:left w:val="none" w:sz="0" w:space="0" w:color="auto"/>
        <w:bottom w:val="none" w:sz="0" w:space="0" w:color="auto"/>
        <w:right w:val="none" w:sz="0" w:space="0" w:color="auto"/>
      </w:divBdr>
    </w:div>
    <w:div w:id="476453253">
      <w:bodyDiv w:val="1"/>
      <w:marLeft w:val="0"/>
      <w:marRight w:val="0"/>
      <w:marTop w:val="0"/>
      <w:marBottom w:val="0"/>
      <w:divBdr>
        <w:top w:val="none" w:sz="0" w:space="0" w:color="auto"/>
        <w:left w:val="none" w:sz="0" w:space="0" w:color="auto"/>
        <w:bottom w:val="none" w:sz="0" w:space="0" w:color="auto"/>
        <w:right w:val="none" w:sz="0" w:space="0" w:color="auto"/>
      </w:divBdr>
      <w:divsChild>
        <w:div w:id="143204125">
          <w:marLeft w:val="0"/>
          <w:marRight w:val="0"/>
          <w:marTop w:val="0"/>
          <w:marBottom w:val="0"/>
          <w:divBdr>
            <w:top w:val="none" w:sz="0" w:space="0" w:color="auto"/>
            <w:left w:val="none" w:sz="0" w:space="0" w:color="auto"/>
            <w:bottom w:val="none" w:sz="0" w:space="0" w:color="auto"/>
            <w:right w:val="none" w:sz="0" w:space="0" w:color="auto"/>
          </w:divBdr>
          <w:divsChild>
            <w:div w:id="907963950">
              <w:marLeft w:val="0"/>
              <w:marRight w:val="0"/>
              <w:marTop w:val="0"/>
              <w:marBottom w:val="0"/>
              <w:divBdr>
                <w:top w:val="none" w:sz="0" w:space="0" w:color="auto"/>
                <w:left w:val="none" w:sz="0" w:space="0" w:color="auto"/>
                <w:bottom w:val="none" w:sz="0" w:space="0" w:color="auto"/>
                <w:right w:val="none" w:sz="0" w:space="0" w:color="auto"/>
              </w:divBdr>
              <w:divsChild>
                <w:div w:id="569072878">
                  <w:marLeft w:val="0"/>
                  <w:marRight w:val="0"/>
                  <w:marTop w:val="0"/>
                  <w:marBottom w:val="0"/>
                  <w:divBdr>
                    <w:top w:val="none" w:sz="0" w:space="0" w:color="auto"/>
                    <w:left w:val="none" w:sz="0" w:space="0" w:color="auto"/>
                    <w:bottom w:val="none" w:sz="0" w:space="0" w:color="auto"/>
                    <w:right w:val="none" w:sz="0" w:space="0" w:color="auto"/>
                  </w:divBdr>
                </w:div>
              </w:divsChild>
            </w:div>
            <w:div w:id="1127115647">
              <w:marLeft w:val="0"/>
              <w:marRight w:val="0"/>
              <w:marTop w:val="0"/>
              <w:marBottom w:val="0"/>
              <w:divBdr>
                <w:top w:val="none" w:sz="0" w:space="0" w:color="auto"/>
                <w:left w:val="none" w:sz="0" w:space="0" w:color="auto"/>
                <w:bottom w:val="none" w:sz="0" w:space="0" w:color="auto"/>
                <w:right w:val="none" w:sz="0" w:space="0" w:color="auto"/>
              </w:divBdr>
              <w:divsChild>
                <w:div w:id="1602909351">
                  <w:marLeft w:val="0"/>
                  <w:marRight w:val="0"/>
                  <w:marTop w:val="0"/>
                  <w:marBottom w:val="0"/>
                  <w:divBdr>
                    <w:top w:val="none" w:sz="0" w:space="0" w:color="auto"/>
                    <w:left w:val="none" w:sz="0" w:space="0" w:color="auto"/>
                    <w:bottom w:val="none" w:sz="0" w:space="0" w:color="auto"/>
                    <w:right w:val="none" w:sz="0" w:space="0" w:color="auto"/>
                  </w:divBdr>
                </w:div>
              </w:divsChild>
            </w:div>
            <w:div w:id="2046250632">
              <w:marLeft w:val="0"/>
              <w:marRight w:val="0"/>
              <w:marTop w:val="0"/>
              <w:marBottom w:val="0"/>
              <w:divBdr>
                <w:top w:val="none" w:sz="0" w:space="0" w:color="auto"/>
                <w:left w:val="none" w:sz="0" w:space="0" w:color="auto"/>
                <w:bottom w:val="none" w:sz="0" w:space="0" w:color="auto"/>
                <w:right w:val="none" w:sz="0" w:space="0" w:color="auto"/>
              </w:divBdr>
              <w:divsChild>
                <w:div w:id="9200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04661">
      <w:bodyDiv w:val="1"/>
      <w:marLeft w:val="0"/>
      <w:marRight w:val="0"/>
      <w:marTop w:val="0"/>
      <w:marBottom w:val="0"/>
      <w:divBdr>
        <w:top w:val="none" w:sz="0" w:space="0" w:color="auto"/>
        <w:left w:val="none" w:sz="0" w:space="0" w:color="auto"/>
        <w:bottom w:val="none" w:sz="0" w:space="0" w:color="auto"/>
        <w:right w:val="none" w:sz="0" w:space="0" w:color="auto"/>
      </w:divBdr>
    </w:div>
    <w:div w:id="477309596">
      <w:bodyDiv w:val="1"/>
      <w:marLeft w:val="0"/>
      <w:marRight w:val="0"/>
      <w:marTop w:val="0"/>
      <w:marBottom w:val="0"/>
      <w:divBdr>
        <w:top w:val="none" w:sz="0" w:space="0" w:color="auto"/>
        <w:left w:val="none" w:sz="0" w:space="0" w:color="auto"/>
        <w:bottom w:val="none" w:sz="0" w:space="0" w:color="auto"/>
        <w:right w:val="none" w:sz="0" w:space="0" w:color="auto"/>
      </w:divBdr>
    </w:div>
    <w:div w:id="479152363">
      <w:bodyDiv w:val="1"/>
      <w:marLeft w:val="0"/>
      <w:marRight w:val="0"/>
      <w:marTop w:val="0"/>
      <w:marBottom w:val="0"/>
      <w:divBdr>
        <w:top w:val="none" w:sz="0" w:space="0" w:color="auto"/>
        <w:left w:val="none" w:sz="0" w:space="0" w:color="auto"/>
        <w:bottom w:val="none" w:sz="0" w:space="0" w:color="auto"/>
        <w:right w:val="none" w:sz="0" w:space="0" w:color="auto"/>
      </w:divBdr>
      <w:divsChild>
        <w:div w:id="1338078040">
          <w:marLeft w:val="0"/>
          <w:marRight w:val="0"/>
          <w:marTop w:val="0"/>
          <w:marBottom w:val="0"/>
          <w:divBdr>
            <w:top w:val="none" w:sz="0" w:space="0" w:color="auto"/>
            <w:left w:val="none" w:sz="0" w:space="0" w:color="auto"/>
            <w:bottom w:val="none" w:sz="0" w:space="0" w:color="auto"/>
            <w:right w:val="none" w:sz="0" w:space="0" w:color="auto"/>
          </w:divBdr>
          <w:divsChild>
            <w:div w:id="1654026433">
              <w:marLeft w:val="0"/>
              <w:marRight w:val="0"/>
              <w:marTop w:val="0"/>
              <w:marBottom w:val="0"/>
              <w:divBdr>
                <w:top w:val="none" w:sz="0" w:space="0" w:color="auto"/>
                <w:left w:val="none" w:sz="0" w:space="0" w:color="auto"/>
                <w:bottom w:val="none" w:sz="0" w:space="0" w:color="auto"/>
                <w:right w:val="none" w:sz="0" w:space="0" w:color="auto"/>
              </w:divBdr>
              <w:divsChild>
                <w:div w:id="1011762627">
                  <w:marLeft w:val="0"/>
                  <w:marRight w:val="0"/>
                  <w:marTop w:val="0"/>
                  <w:marBottom w:val="0"/>
                  <w:divBdr>
                    <w:top w:val="none" w:sz="0" w:space="0" w:color="auto"/>
                    <w:left w:val="none" w:sz="0" w:space="0" w:color="auto"/>
                    <w:bottom w:val="none" w:sz="0" w:space="0" w:color="auto"/>
                    <w:right w:val="none" w:sz="0" w:space="0" w:color="auto"/>
                  </w:divBdr>
                  <w:divsChild>
                    <w:div w:id="192475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230362">
      <w:bodyDiv w:val="1"/>
      <w:marLeft w:val="0"/>
      <w:marRight w:val="0"/>
      <w:marTop w:val="0"/>
      <w:marBottom w:val="0"/>
      <w:divBdr>
        <w:top w:val="none" w:sz="0" w:space="0" w:color="auto"/>
        <w:left w:val="none" w:sz="0" w:space="0" w:color="auto"/>
        <w:bottom w:val="none" w:sz="0" w:space="0" w:color="auto"/>
        <w:right w:val="none" w:sz="0" w:space="0" w:color="auto"/>
      </w:divBdr>
    </w:div>
    <w:div w:id="479273743">
      <w:bodyDiv w:val="1"/>
      <w:marLeft w:val="0"/>
      <w:marRight w:val="0"/>
      <w:marTop w:val="0"/>
      <w:marBottom w:val="0"/>
      <w:divBdr>
        <w:top w:val="none" w:sz="0" w:space="0" w:color="auto"/>
        <w:left w:val="none" w:sz="0" w:space="0" w:color="auto"/>
        <w:bottom w:val="none" w:sz="0" w:space="0" w:color="auto"/>
        <w:right w:val="none" w:sz="0" w:space="0" w:color="auto"/>
      </w:divBdr>
    </w:div>
    <w:div w:id="482234586">
      <w:bodyDiv w:val="1"/>
      <w:marLeft w:val="0"/>
      <w:marRight w:val="0"/>
      <w:marTop w:val="0"/>
      <w:marBottom w:val="0"/>
      <w:divBdr>
        <w:top w:val="none" w:sz="0" w:space="0" w:color="auto"/>
        <w:left w:val="none" w:sz="0" w:space="0" w:color="auto"/>
        <w:bottom w:val="none" w:sz="0" w:space="0" w:color="auto"/>
        <w:right w:val="none" w:sz="0" w:space="0" w:color="auto"/>
      </w:divBdr>
    </w:div>
    <w:div w:id="482239973">
      <w:bodyDiv w:val="1"/>
      <w:marLeft w:val="0"/>
      <w:marRight w:val="0"/>
      <w:marTop w:val="0"/>
      <w:marBottom w:val="0"/>
      <w:divBdr>
        <w:top w:val="none" w:sz="0" w:space="0" w:color="auto"/>
        <w:left w:val="none" w:sz="0" w:space="0" w:color="auto"/>
        <w:bottom w:val="none" w:sz="0" w:space="0" w:color="auto"/>
        <w:right w:val="none" w:sz="0" w:space="0" w:color="auto"/>
      </w:divBdr>
    </w:div>
    <w:div w:id="484512426">
      <w:bodyDiv w:val="1"/>
      <w:marLeft w:val="0"/>
      <w:marRight w:val="0"/>
      <w:marTop w:val="0"/>
      <w:marBottom w:val="0"/>
      <w:divBdr>
        <w:top w:val="none" w:sz="0" w:space="0" w:color="auto"/>
        <w:left w:val="none" w:sz="0" w:space="0" w:color="auto"/>
        <w:bottom w:val="none" w:sz="0" w:space="0" w:color="auto"/>
        <w:right w:val="none" w:sz="0" w:space="0" w:color="auto"/>
      </w:divBdr>
    </w:div>
    <w:div w:id="484861311">
      <w:bodyDiv w:val="1"/>
      <w:marLeft w:val="0"/>
      <w:marRight w:val="0"/>
      <w:marTop w:val="0"/>
      <w:marBottom w:val="0"/>
      <w:divBdr>
        <w:top w:val="none" w:sz="0" w:space="0" w:color="auto"/>
        <w:left w:val="none" w:sz="0" w:space="0" w:color="auto"/>
        <w:bottom w:val="none" w:sz="0" w:space="0" w:color="auto"/>
        <w:right w:val="none" w:sz="0" w:space="0" w:color="auto"/>
      </w:divBdr>
    </w:div>
    <w:div w:id="485436445">
      <w:bodyDiv w:val="1"/>
      <w:marLeft w:val="0"/>
      <w:marRight w:val="0"/>
      <w:marTop w:val="0"/>
      <w:marBottom w:val="0"/>
      <w:divBdr>
        <w:top w:val="none" w:sz="0" w:space="0" w:color="auto"/>
        <w:left w:val="none" w:sz="0" w:space="0" w:color="auto"/>
        <w:bottom w:val="none" w:sz="0" w:space="0" w:color="auto"/>
        <w:right w:val="none" w:sz="0" w:space="0" w:color="auto"/>
      </w:divBdr>
    </w:div>
    <w:div w:id="485828614">
      <w:bodyDiv w:val="1"/>
      <w:marLeft w:val="0"/>
      <w:marRight w:val="0"/>
      <w:marTop w:val="0"/>
      <w:marBottom w:val="0"/>
      <w:divBdr>
        <w:top w:val="none" w:sz="0" w:space="0" w:color="auto"/>
        <w:left w:val="none" w:sz="0" w:space="0" w:color="auto"/>
        <w:bottom w:val="none" w:sz="0" w:space="0" w:color="auto"/>
        <w:right w:val="none" w:sz="0" w:space="0" w:color="auto"/>
      </w:divBdr>
    </w:div>
    <w:div w:id="486020877">
      <w:bodyDiv w:val="1"/>
      <w:marLeft w:val="0"/>
      <w:marRight w:val="0"/>
      <w:marTop w:val="0"/>
      <w:marBottom w:val="0"/>
      <w:divBdr>
        <w:top w:val="none" w:sz="0" w:space="0" w:color="auto"/>
        <w:left w:val="none" w:sz="0" w:space="0" w:color="auto"/>
        <w:bottom w:val="none" w:sz="0" w:space="0" w:color="auto"/>
        <w:right w:val="none" w:sz="0" w:space="0" w:color="auto"/>
      </w:divBdr>
      <w:divsChild>
        <w:div w:id="1779062430">
          <w:marLeft w:val="0"/>
          <w:marRight w:val="0"/>
          <w:marTop w:val="0"/>
          <w:marBottom w:val="0"/>
          <w:divBdr>
            <w:top w:val="none" w:sz="0" w:space="0" w:color="auto"/>
            <w:left w:val="none" w:sz="0" w:space="0" w:color="auto"/>
            <w:bottom w:val="none" w:sz="0" w:space="0" w:color="auto"/>
            <w:right w:val="none" w:sz="0" w:space="0" w:color="auto"/>
          </w:divBdr>
          <w:divsChild>
            <w:div w:id="222564686">
              <w:marLeft w:val="0"/>
              <w:marRight w:val="0"/>
              <w:marTop w:val="0"/>
              <w:marBottom w:val="0"/>
              <w:divBdr>
                <w:top w:val="none" w:sz="0" w:space="0" w:color="auto"/>
                <w:left w:val="none" w:sz="0" w:space="0" w:color="auto"/>
                <w:bottom w:val="none" w:sz="0" w:space="0" w:color="auto"/>
                <w:right w:val="none" w:sz="0" w:space="0" w:color="auto"/>
              </w:divBdr>
              <w:divsChild>
                <w:div w:id="662318147">
                  <w:marLeft w:val="0"/>
                  <w:marRight w:val="0"/>
                  <w:marTop w:val="0"/>
                  <w:marBottom w:val="0"/>
                  <w:divBdr>
                    <w:top w:val="none" w:sz="0" w:space="0" w:color="auto"/>
                    <w:left w:val="none" w:sz="0" w:space="0" w:color="auto"/>
                    <w:bottom w:val="none" w:sz="0" w:space="0" w:color="auto"/>
                    <w:right w:val="none" w:sz="0" w:space="0" w:color="auto"/>
                  </w:divBdr>
                  <w:divsChild>
                    <w:div w:id="19749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090476">
      <w:bodyDiv w:val="1"/>
      <w:marLeft w:val="0"/>
      <w:marRight w:val="0"/>
      <w:marTop w:val="0"/>
      <w:marBottom w:val="0"/>
      <w:divBdr>
        <w:top w:val="none" w:sz="0" w:space="0" w:color="auto"/>
        <w:left w:val="none" w:sz="0" w:space="0" w:color="auto"/>
        <w:bottom w:val="none" w:sz="0" w:space="0" w:color="auto"/>
        <w:right w:val="none" w:sz="0" w:space="0" w:color="auto"/>
      </w:divBdr>
    </w:div>
    <w:div w:id="486554637">
      <w:bodyDiv w:val="1"/>
      <w:marLeft w:val="0"/>
      <w:marRight w:val="0"/>
      <w:marTop w:val="0"/>
      <w:marBottom w:val="0"/>
      <w:divBdr>
        <w:top w:val="none" w:sz="0" w:space="0" w:color="auto"/>
        <w:left w:val="none" w:sz="0" w:space="0" w:color="auto"/>
        <w:bottom w:val="none" w:sz="0" w:space="0" w:color="auto"/>
        <w:right w:val="none" w:sz="0" w:space="0" w:color="auto"/>
      </w:divBdr>
    </w:div>
    <w:div w:id="487131874">
      <w:bodyDiv w:val="1"/>
      <w:marLeft w:val="0"/>
      <w:marRight w:val="0"/>
      <w:marTop w:val="0"/>
      <w:marBottom w:val="0"/>
      <w:divBdr>
        <w:top w:val="none" w:sz="0" w:space="0" w:color="auto"/>
        <w:left w:val="none" w:sz="0" w:space="0" w:color="auto"/>
        <w:bottom w:val="none" w:sz="0" w:space="0" w:color="auto"/>
        <w:right w:val="none" w:sz="0" w:space="0" w:color="auto"/>
      </w:divBdr>
    </w:div>
    <w:div w:id="488595314">
      <w:bodyDiv w:val="1"/>
      <w:marLeft w:val="0"/>
      <w:marRight w:val="0"/>
      <w:marTop w:val="0"/>
      <w:marBottom w:val="0"/>
      <w:divBdr>
        <w:top w:val="none" w:sz="0" w:space="0" w:color="auto"/>
        <w:left w:val="none" w:sz="0" w:space="0" w:color="auto"/>
        <w:bottom w:val="none" w:sz="0" w:space="0" w:color="auto"/>
        <w:right w:val="none" w:sz="0" w:space="0" w:color="auto"/>
      </w:divBdr>
    </w:div>
    <w:div w:id="489714069">
      <w:bodyDiv w:val="1"/>
      <w:marLeft w:val="0"/>
      <w:marRight w:val="0"/>
      <w:marTop w:val="0"/>
      <w:marBottom w:val="0"/>
      <w:divBdr>
        <w:top w:val="none" w:sz="0" w:space="0" w:color="auto"/>
        <w:left w:val="none" w:sz="0" w:space="0" w:color="auto"/>
        <w:bottom w:val="none" w:sz="0" w:space="0" w:color="auto"/>
        <w:right w:val="none" w:sz="0" w:space="0" w:color="auto"/>
      </w:divBdr>
      <w:divsChild>
        <w:div w:id="1379013210">
          <w:marLeft w:val="0"/>
          <w:marRight w:val="0"/>
          <w:marTop w:val="0"/>
          <w:marBottom w:val="0"/>
          <w:divBdr>
            <w:top w:val="none" w:sz="0" w:space="0" w:color="auto"/>
            <w:left w:val="none" w:sz="0" w:space="0" w:color="auto"/>
            <w:bottom w:val="none" w:sz="0" w:space="0" w:color="auto"/>
            <w:right w:val="none" w:sz="0" w:space="0" w:color="auto"/>
          </w:divBdr>
          <w:divsChild>
            <w:div w:id="841431299">
              <w:marLeft w:val="0"/>
              <w:marRight w:val="0"/>
              <w:marTop w:val="0"/>
              <w:marBottom w:val="0"/>
              <w:divBdr>
                <w:top w:val="none" w:sz="0" w:space="0" w:color="auto"/>
                <w:left w:val="none" w:sz="0" w:space="0" w:color="auto"/>
                <w:bottom w:val="none" w:sz="0" w:space="0" w:color="auto"/>
                <w:right w:val="none" w:sz="0" w:space="0" w:color="auto"/>
              </w:divBdr>
              <w:divsChild>
                <w:div w:id="1200628496">
                  <w:marLeft w:val="0"/>
                  <w:marRight w:val="0"/>
                  <w:marTop w:val="0"/>
                  <w:marBottom w:val="0"/>
                  <w:divBdr>
                    <w:top w:val="none" w:sz="0" w:space="0" w:color="auto"/>
                    <w:left w:val="none" w:sz="0" w:space="0" w:color="auto"/>
                    <w:bottom w:val="none" w:sz="0" w:space="0" w:color="auto"/>
                    <w:right w:val="none" w:sz="0" w:space="0" w:color="auto"/>
                  </w:divBdr>
                  <w:divsChild>
                    <w:div w:id="80192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145087">
      <w:bodyDiv w:val="1"/>
      <w:marLeft w:val="0"/>
      <w:marRight w:val="0"/>
      <w:marTop w:val="0"/>
      <w:marBottom w:val="0"/>
      <w:divBdr>
        <w:top w:val="none" w:sz="0" w:space="0" w:color="auto"/>
        <w:left w:val="none" w:sz="0" w:space="0" w:color="auto"/>
        <w:bottom w:val="none" w:sz="0" w:space="0" w:color="auto"/>
        <w:right w:val="none" w:sz="0" w:space="0" w:color="auto"/>
      </w:divBdr>
    </w:div>
    <w:div w:id="490221648">
      <w:bodyDiv w:val="1"/>
      <w:marLeft w:val="0"/>
      <w:marRight w:val="0"/>
      <w:marTop w:val="0"/>
      <w:marBottom w:val="0"/>
      <w:divBdr>
        <w:top w:val="none" w:sz="0" w:space="0" w:color="auto"/>
        <w:left w:val="none" w:sz="0" w:space="0" w:color="auto"/>
        <w:bottom w:val="none" w:sz="0" w:space="0" w:color="auto"/>
        <w:right w:val="none" w:sz="0" w:space="0" w:color="auto"/>
      </w:divBdr>
    </w:div>
    <w:div w:id="490685457">
      <w:bodyDiv w:val="1"/>
      <w:marLeft w:val="0"/>
      <w:marRight w:val="0"/>
      <w:marTop w:val="0"/>
      <w:marBottom w:val="0"/>
      <w:divBdr>
        <w:top w:val="none" w:sz="0" w:space="0" w:color="auto"/>
        <w:left w:val="none" w:sz="0" w:space="0" w:color="auto"/>
        <w:bottom w:val="none" w:sz="0" w:space="0" w:color="auto"/>
        <w:right w:val="none" w:sz="0" w:space="0" w:color="auto"/>
      </w:divBdr>
    </w:div>
    <w:div w:id="491024385">
      <w:bodyDiv w:val="1"/>
      <w:marLeft w:val="0"/>
      <w:marRight w:val="0"/>
      <w:marTop w:val="0"/>
      <w:marBottom w:val="0"/>
      <w:divBdr>
        <w:top w:val="none" w:sz="0" w:space="0" w:color="auto"/>
        <w:left w:val="none" w:sz="0" w:space="0" w:color="auto"/>
        <w:bottom w:val="none" w:sz="0" w:space="0" w:color="auto"/>
        <w:right w:val="none" w:sz="0" w:space="0" w:color="auto"/>
      </w:divBdr>
      <w:divsChild>
        <w:div w:id="1668748917">
          <w:marLeft w:val="0"/>
          <w:marRight w:val="0"/>
          <w:marTop w:val="0"/>
          <w:marBottom w:val="0"/>
          <w:divBdr>
            <w:top w:val="none" w:sz="0" w:space="0" w:color="auto"/>
            <w:left w:val="none" w:sz="0" w:space="0" w:color="auto"/>
            <w:bottom w:val="none" w:sz="0" w:space="0" w:color="auto"/>
            <w:right w:val="none" w:sz="0" w:space="0" w:color="auto"/>
          </w:divBdr>
          <w:divsChild>
            <w:div w:id="930815100">
              <w:marLeft w:val="0"/>
              <w:marRight w:val="0"/>
              <w:marTop w:val="0"/>
              <w:marBottom w:val="0"/>
              <w:divBdr>
                <w:top w:val="none" w:sz="0" w:space="0" w:color="auto"/>
                <w:left w:val="none" w:sz="0" w:space="0" w:color="auto"/>
                <w:bottom w:val="none" w:sz="0" w:space="0" w:color="auto"/>
                <w:right w:val="none" w:sz="0" w:space="0" w:color="auto"/>
              </w:divBdr>
              <w:divsChild>
                <w:div w:id="1567186044">
                  <w:marLeft w:val="0"/>
                  <w:marRight w:val="0"/>
                  <w:marTop w:val="0"/>
                  <w:marBottom w:val="0"/>
                  <w:divBdr>
                    <w:top w:val="none" w:sz="0" w:space="0" w:color="auto"/>
                    <w:left w:val="none" w:sz="0" w:space="0" w:color="auto"/>
                    <w:bottom w:val="none" w:sz="0" w:space="0" w:color="auto"/>
                    <w:right w:val="none" w:sz="0" w:space="0" w:color="auto"/>
                  </w:divBdr>
                  <w:divsChild>
                    <w:div w:id="7118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990386">
      <w:bodyDiv w:val="1"/>
      <w:marLeft w:val="0"/>
      <w:marRight w:val="0"/>
      <w:marTop w:val="0"/>
      <w:marBottom w:val="0"/>
      <w:divBdr>
        <w:top w:val="none" w:sz="0" w:space="0" w:color="auto"/>
        <w:left w:val="none" w:sz="0" w:space="0" w:color="auto"/>
        <w:bottom w:val="none" w:sz="0" w:space="0" w:color="auto"/>
        <w:right w:val="none" w:sz="0" w:space="0" w:color="auto"/>
      </w:divBdr>
    </w:div>
    <w:div w:id="493565847">
      <w:bodyDiv w:val="1"/>
      <w:marLeft w:val="0"/>
      <w:marRight w:val="0"/>
      <w:marTop w:val="0"/>
      <w:marBottom w:val="0"/>
      <w:divBdr>
        <w:top w:val="none" w:sz="0" w:space="0" w:color="auto"/>
        <w:left w:val="none" w:sz="0" w:space="0" w:color="auto"/>
        <w:bottom w:val="none" w:sz="0" w:space="0" w:color="auto"/>
        <w:right w:val="none" w:sz="0" w:space="0" w:color="auto"/>
      </w:divBdr>
    </w:div>
    <w:div w:id="494105498">
      <w:bodyDiv w:val="1"/>
      <w:marLeft w:val="0"/>
      <w:marRight w:val="0"/>
      <w:marTop w:val="0"/>
      <w:marBottom w:val="0"/>
      <w:divBdr>
        <w:top w:val="none" w:sz="0" w:space="0" w:color="auto"/>
        <w:left w:val="none" w:sz="0" w:space="0" w:color="auto"/>
        <w:bottom w:val="none" w:sz="0" w:space="0" w:color="auto"/>
        <w:right w:val="none" w:sz="0" w:space="0" w:color="auto"/>
      </w:divBdr>
    </w:div>
    <w:div w:id="494153565">
      <w:bodyDiv w:val="1"/>
      <w:marLeft w:val="0"/>
      <w:marRight w:val="0"/>
      <w:marTop w:val="0"/>
      <w:marBottom w:val="0"/>
      <w:divBdr>
        <w:top w:val="none" w:sz="0" w:space="0" w:color="auto"/>
        <w:left w:val="none" w:sz="0" w:space="0" w:color="auto"/>
        <w:bottom w:val="none" w:sz="0" w:space="0" w:color="auto"/>
        <w:right w:val="none" w:sz="0" w:space="0" w:color="auto"/>
      </w:divBdr>
    </w:div>
    <w:div w:id="494497305">
      <w:bodyDiv w:val="1"/>
      <w:marLeft w:val="0"/>
      <w:marRight w:val="0"/>
      <w:marTop w:val="0"/>
      <w:marBottom w:val="0"/>
      <w:divBdr>
        <w:top w:val="none" w:sz="0" w:space="0" w:color="auto"/>
        <w:left w:val="none" w:sz="0" w:space="0" w:color="auto"/>
        <w:bottom w:val="none" w:sz="0" w:space="0" w:color="auto"/>
        <w:right w:val="none" w:sz="0" w:space="0" w:color="auto"/>
      </w:divBdr>
    </w:div>
    <w:div w:id="494951655">
      <w:bodyDiv w:val="1"/>
      <w:marLeft w:val="0"/>
      <w:marRight w:val="0"/>
      <w:marTop w:val="0"/>
      <w:marBottom w:val="0"/>
      <w:divBdr>
        <w:top w:val="none" w:sz="0" w:space="0" w:color="auto"/>
        <w:left w:val="none" w:sz="0" w:space="0" w:color="auto"/>
        <w:bottom w:val="none" w:sz="0" w:space="0" w:color="auto"/>
        <w:right w:val="none" w:sz="0" w:space="0" w:color="auto"/>
      </w:divBdr>
    </w:div>
    <w:div w:id="495195730">
      <w:bodyDiv w:val="1"/>
      <w:marLeft w:val="0"/>
      <w:marRight w:val="0"/>
      <w:marTop w:val="0"/>
      <w:marBottom w:val="0"/>
      <w:divBdr>
        <w:top w:val="none" w:sz="0" w:space="0" w:color="auto"/>
        <w:left w:val="none" w:sz="0" w:space="0" w:color="auto"/>
        <w:bottom w:val="none" w:sz="0" w:space="0" w:color="auto"/>
        <w:right w:val="none" w:sz="0" w:space="0" w:color="auto"/>
      </w:divBdr>
    </w:div>
    <w:div w:id="497117399">
      <w:bodyDiv w:val="1"/>
      <w:marLeft w:val="0"/>
      <w:marRight w:val="0"/>
      <w:marTop w:val="0"/>
      <w:marBottom w:val="0"/>
      <w:divBdr>
        <w:top w:val="none" w:sz="0" w:space="0" w:color="auto"/>
        <w:left w:val="none" w:sz="0" w:space="0" w:color="auto"/>
        <w:bottom w:val="none" w:sz="0" w:space="0" w:color="auto"/>
        <w:right w:val="none" w:sz="0" w:space="0" w:color="auto"/>
      </w:divBdr>
      <w:divsChild>
        <w:div w:id="885601585">
          <w:marLeft w:val="0"/>
          <w:marRight w:val="0"/>
          <w:marTop w:val="0"/>
          <w:marBottom w:val="0"/>
          <w:divBdr>
            <w:top w:val="none" w:sz="0" w:space="0" w:color="auto"/>
            <w:left w:val="none" w:sz="0" w:space="0" w:color="auto"/>
            <w:bottom w:val="none" w:sz="0" w:space="0" w:color="auto"/>
            <w:right w:val="none" w:sz="0" w:space="0" w:color="auto"/>
          </w:divBdr>
          <w:divsChild>
            <w:div w:id="129129099">
              <w:marLeft w:val="0"/>
              <w:marRight w:val="0"/>
              <w:marTop w:val="0"/>
              <w:marBottom w:val="0"/>
              <w:divBdr>
                <w:top w:val="none" w:sz="0" w:space="0" w:color="auto"/>
                <w:left w:val="none" w:sz="0" w:space="0" w:color="auto"/>
                <w:bottom w:val="none" w:sz="0" w:space="0" w:color="auto"/>
                <w:right w:val="none" w:sz="0" w:space="0" w:color="auto"/>
              </w:divBdr>
              <w:divsChild>
                <w:div w:id="1557862435">
                  <w:marLeft w:val="0"/>
                  <w:marRight w:val="0"/>
                  <w:marTop w:val="0"/>
                  <w:marBottom w:val="0"/>
                  <w:divBdr>
                    <w:top w:val="none" w:sz="0" w:space="0" w:color="auto"/>
                    <w:left w:val="none" w:sz="0" w:space="0" w:color="auto"/>
                    <w:bottom w:val="none" w:sz="0" w:space="0" w:color="auto"/>
                    <w:right w:val="none" w:sz="0" w:space="0" w:color="auto"/>
                  </w:divBdr>
                  <w:divsChild>
                    <w:div w:id="52448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354581">
      <w:bodyDiv w:val="1"/>
      <w:marLeft w:val="0"/>
      <w:marRight w:val="0"/>
      <w:marTop w:val="0"/>
      <w:marBottom w:val="0"/>
      <w:divBdr>
        <w:top w:val="none" w:sz="0" w:space="0" w:color="auto"/>
        <w:left w:val="none" w:sz="0" w:space="0" w:color="auto"/>
        <w:bottom w:val="none" w:sz="0" w:space="0" w:color="auto"/>
        <w:right w:val="none" w:sz="0" w:space="0" w:color="auto"/>
      </w:divBdr>
    </w:div>
    <w:div w:id="498741028">
      <w:bodyDiv w:val="1"/>
      <w:marLeft w:val="0"/>
      <w:marRight w:val="0"/>
      <w:marTop w:val="0"/>
      <w:marBottom w:val="0"/>
      <w:divBdr>
        <w:top w:val="none" w:sz="0" w:space="0" w:color="auto"/>
        <w:left w:val="none" w:sz="0" w:space="0" w:color="auto"/>
        <w:bottom w:val="none" w:sz="0" w:space="0" w:color="auto"/>
        <w:right w:val="none" w:sz="0" w:space="0" w:color="auto"/>
      </w:divBdr>
    </w:div>
    <w:div w:id="499469598">
      <w:bodyDiv w:val="1"/>
      <w:marLeft w:val="0"/>
      <w:marRight w:val="0"/>
      <w:marTop w:val="0"/>
      <w:marBottom w:val="0"/>
      <w:divBdr>
        <w:top w:val="none" w:sz="0" w:space="0" w:color="auto"/>
        <w:left w:val="none" w:sz="0" w:space="0" w:color="auto"/>
        <w:bottom w:val="none" w:sz="0" w:space="0" w:color="auto"/>
        <w:right w:val="none" w:sz="0" w:space="0" w:color="auto"/>
      </w:divBdr>
      <w:divsChild>
        <w:div w:id="762923414">
          <w:marLeft w:val="0"/>
          <w:marRight w:val="0"/>
          <w:marTop w:val="0"/>
          <w:marBottom w:val="0"/>
          <w:divBdr>
            <w:top w:val="none" w:sz="0" w:space="0" w:color="auto"/>
            <w:left w:val="none" w:sz="0" w:space="0" w:color="auto"/>
            <w:bottom w:val="none" w:sz="0" w:space="0" w:color="auto"/>
            <w:right w:val="none" w:sz="0" w:space="0" w:color="auto"/>
          </w:divBdr>
          <w:divsChild>
            <w:div w:id="408624706">
              <w:marLeft w:val="0"/>
              <w:marRight w:val="0"/>
              <w:marTop w:val="0"/>
              <w:marBottom w:val="0"/>
              <w:divBdr>
                <w:top w:val="none" w:sz="0" w:space="0" w:color="auto"/>
                <w:left w:val="none" w:sz="0" w:space="0" w:color="auto"/>
                <w:bottom w:val="none" w:sz="0" w:space="0" w:color="auto"/>
                <w:right w:val="none" w:sz="0" w:space="0" w:color="auto"/>
              </w:divBdr>
              <w:divsChild>
                <w:div w:id="2068146794">
                  <w:marLeft w:val="0"/>
                  <w:marRight w:val="0"/>
                  <w:marTop w:val="0"/>
                  <w:marBottom w:val="0"/>
                  <w:divBdr>
                    <w:top w:val="none" w:sz="0" w:space="0" w:color="auto"/>
                    <w:left w:val="none" w:sz="0" w:space="0" w:color="auto"/>
                    <w:bottom w:val="none" w:sz="0" w:space="0" w:color="auto"/>
                    <w:right w:val="none" w:sz="0" w:space="0" w:color="auto"/>
                  </w:divBdr>
                </w:div>
              </w:divsChild>
            </w:div>
            <w:div w:id="504630507">
              <w:marLeft w:val="0"/>
              <w:marRight w:val="0"/>
              <w:marTop w:val="0"/>
              <w:marBottom w:val="0"/>
              <w:divBdr>
                <w:top w:val="none" w:sz="0" w:space="0" w:color="auto"/>
                <w:left w:val="none" w:sz="0" w:space="0" w:color="auto"/>
                <w:bottom w:val="none" w:sz="0" w:space="0" w:color="auto"/>
                <w:right w:val="none" w:sz="0" w:space="0" w:color="auto"/>
              </w:divBdr>
              <w:divsChild>
                <w:div w:id="1639218022">
                  <w:marLeft w:val="0"/>
                  <w:marRight w:val="0"/>
                  <w:marTop w:val="0"/>
                  <w:marBottom w:val="0"/>
                  <w:divBdr>
                    <w:top w:val="none" w:sz="0" w:space="0" w:color="auto"/>
                    <w:left w:val="none" w:sz="0" w:space="0" w:color="auto"/>
                    <w:bottom w:val="none" w:sz="0" w:space="0" w:color="auto"/>
                    <w:right w:val="none" w:sz="0" w:space="0" w:color="auto"/>
                  </w:divBdr>
                </w:div>
              </w:divsChild>
            </w:div>
            <w:div w:id="1860970705">
              <w:marLeft w:val="0"/>
              <w:marRight w:val="0"/>
              <w:marTop w:val="0"/>
              <w:marBottom w:val="0"/>
              <w:divBdr>
                <w:top w:val="none" w:sz="0" w:space="0" w:color="auto"/>
                <w:left w:val="none" w:sz="0" w:space="0" w:color="auto"/>
                <w:bottom w:val="none" w:sz="0" w:space="0" w:color="auto"/>
                <w:right w:val="none" w:sz="0" w:space="0" w:color="auto"/>
              </w:divBdr>
              <w:divsChild>
                <w:div w:id="1816097639">
                  <w:marLeft w:val="0"/>
                  <w:marRight w:val="0"/>
                  <w:marTop w:val="0"/>
                  <w:marBottom w:val="0"/>
                  <w:divBdr>
                    <w:top w:val="none" w:sz="0" w:space="0" w:color="auto"/>
                    <w:left w:val="none" w:sz="0" w:space="0" w:color="auto"/>
                    <w:bottom w:val="none" w:sz="0" w:space="0" w:color="auto"/>
                    <w:right w:val="none" w:sz="0" w:space="0" w:color="auto"/>
                  </w:divBdr>
                </w:div>
              </w:divsChild>
            </w:div>
            <w:div w:id="2097556950">
              <w:marLeft w:val="0"/>
              <w:marRight w:val="0"/>
              <w:marTop w:val="0"/>
              <w:marBottom w:val="0"/>
              <w:divBdr>
                <w:top w:val="none" w:sz="0" w:space="0" w:color="auto"/>
                <w:left w:val="none" w:sz="0" w:space="0" w:color="auto"/>
                <w:bottom w:val="none" w:sz="0" w:space="0" w:color="auto"/>
                <w:right w:val="none" w:sz="0" w:space="0" w:color="auto"/>
              </w:divBdr>
              <w:divsChild>
                <w:div w:id="208070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700757">
      <w:bodyDiv w:val="1"/>
      <w:marLeft w:val="0"/>
      <w:marRight w:val="0"/>
      <w:marTop w:val="0"/>
      <w:marBottom w:val="0"/>
      <w:divBdr>
        <w:top w:val="none" w:sz="0" w:space="0" w:color="auto"/>
        <w:left w:val="none" w:sz="0" w:space="0" w:color="auto"/>
        <w:bottom w:val="none" w:sz="0" w:space="0" w:color="auto"/>
        <w:right w:val="none" w:sz="0" w:space="0" w:color="auto"/>
      </w:divBdr>
      <w:divsChild>
        <w:div w:id="79720220">
          <w:marLeft w:val="0"/>
          <w:marRight w:val="0"/>
          <w:marTop w:val="0"/>
          <w:marBottom w:val="0"/>
          <w:divBdr>
            <w:top w:val="none" w:sz="0" w:space="0" w:color="auto"/>
            <w:left w:val="none" w:sz="0" w:space="0" w:color="auto"/>
            <w:bottom w:val="none" w:sz="0" w:space="0" w:color="auto"/>
            <w:right w:val="none" w:sz="0" w:space="0" w:color="auto"/>
          </w:divBdr>
          <w:divsChild>
            <w:div w:id="1467352545">
              <w:marLeft w:val="0"/>
              <w:marRight w:val="0"/>
              <w:marTop w:val="0"/>
              <w:marBottom w:val="0"/>
              <w:divBdr>
                <w:top w:val="none" w:sz="0" w:space="0" w:color="auto"/>
                <w:left w:val="none" w:sz="0" w:space="0" w:color="auto"/>
                <w:bottom w:val="none" w:sz="0" w:space="0" w:color="auto"/>
                <w:right w:val="none" w:sz="0" w:space="0" w:color="auto"/>
              </w:divBdr>
              <w:divsChild>
                <w:div w:id="904223499">
                  <w:marLeft w:val="0"/>
                  <w:marRight w:val="0"/>
                  <w:marTop w:val="0"/>
                  <w:marBottom w:val="0"/>
                  <w:divBdr>
                    <w:top w:val="none" w:sz="0" w:space="0" w:color="auto"/>
                    <w:left w:val="none" w:sz="0" w:space="0" w:color="auto"/>
                    <w:bottom w:val="none" w:sz="0" w:space="0" w:color="auto"/>
                    <w:right w:val="none" w:sz="0" w:space="0" w:color="auto"/>
                  </w:divBdr>
                  <w:divsChild>
                    <w:div w:id="841160023">
                      <w:marLeft w:val="0"/>
                      <w:marRight w:val="0"/>
                      <w:marTop w:val="0"/>
                      <w:marBottom w:val="0"/>
                      <w:divBdr>
                        <w:top w:val="none" w:sz="0" w:space="0" w:color="auto"/>
                        <w:left w:val="none" w:sz="0" w:space="0" w:color="auto"/>
                        <w:bottom w:val="none" w:sz="0" w:space="0" w:color="auto"/>
                        <w:right w:val="none" w:sz="0" w:space="0" w:color="auto"/>
                      </w:divBdr>
                    </w:div>
                  </w:divsChild>
                </w:div>
                <w:div w:id="1554924854">
                  <w:marLeft w:val="0"/>
                  <w:marRight w:val="0"/>
                  <w:marTop w:val="0"/>
                  <w:marBottom w:val="0"/>
                  <w:divBdr>
                    <w:top w:val="none" w:sz="0" w:space="0" w:color="auto"/>
                    <w:left w:val="none" w:sz="0" w:space="0" w:color="auto"/>
                    <w:bottom w:val="none" w:sz="0" w:space="0" w:color="auto"/>
                    <w:right w:val="none" w:sz="0" w:space="0" w:color="auto"/>
                  </w:divBdr>
                  <w:divsChild>
                    <w:div w:id="163093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974196">
      <w:bodyDiv w:val="1"/>
      <w:marLeft w:val="0"/>
      <w:marRight w:val="0"/>
      <w:marTop w:val="0"/>
      <w:marBottom w:val="0"/>
      <w:divBdr>
        <w:top w:val="none" w:sz="0" w:space="0" w:color="auto"/>
        <w:left w:val="none" w:sz="0" w:space="0" w:color="auto"/>
        <w:bottom w:val="none" w:sz="0" w:space="0" w:color="auto"/>
        <w:right w:val="none" w:sz="0" w:space="0" w:color="auto"/>
      </w:divBdr>
    </w:div>
    <w:div w:id="502159279">
      <w:bodyDiv w:val="1"/>
      <w:marLeft w:val="0"/>
      <w:marRight w:val="0"/>
      <w:marTop w:val="0"/>
      <w:marBottom w:val="0"/>
      <w:divBdr>
        <w:top w:val="none" w:sz="0" w:space="0" w:color="auto"/>
        <w:left w:val="none" w:sz="0" w:space="0" w:color="auto"/>
        <w:bottom w:val="none" w:sz="0" w:space="0" w:color="auto"/>
        <w:right w:val="none" w:sz="0" w:space="0" w:color="auto"/>
      </w:divBdr>
    </w:div>
    <w:div w:id="502670533">
      <w:bodyDiv w:val="1"/>
      <w:marLeft w:val="0"/>
      <w:marRight w:val="0"/>
      <w:marTop w:val="0"/>
      <w:marBottom w:val="0"/>
      <w:divBdr>
        <w:top w:val="none" w:sz="0" w:space="0" w:color="auto"/>
        <w:left w:val="none" w:sz="0" w:space="0" w:color="auto"/>
        <w:bottom w:val="none" w:sz="0" w:space="0" w:color="auto"/>
        <w:right w:val="none" w:sz="0" w:space="0" w:color="auto"/>
      </w:divBdr>
    </w:div>
    <w:div w:id="503395701">
      <w:bodyDiv w:val="1"/>
      <w:marLeft w:val="0"/>
      <w:marRight w:val="0"/>
      <w:marTop w:val="0"/>
      <w:marBottom w:val="0"/>
      <w:divBdr>
        <w:top w:val="none" w:sz="0" w:space="0" w:color="auto"/>
        <w:left w:val="none" w:sz="0" w:space="0" w:color="auto"/>
        <w:bottom w:val="none" w:sz="0" w:space="0" w:color="auto"/>
        <w:right w:val="none" w:sz="0" w:space="0" w:color="auto"/>
      </w:divBdr>
    </w:div>
    <w:div w:id="504325318">
      <w:bodyDiv w:val="1"/>
      <w:marLeft w:val="0"/>
      <w:marRight w:val="0"/>
      <w:marTop w:val="0"/>
      <w:marBottom w:val="0"/>
      <w:divBdr>
        <w:top w:val="none" w:sz="0" w:space="0" w:color="auto"/>
        <w:left w:val="none" w:sz="0" w:space="0" w:color="auto"/>
        <w:bottom w:val="none" w:sz="0" w:space="0" w:color="auto"/>
        <w:right w:val="none" w:sz="0" w:space="0" w:color="auto"/>
      </w:divBdr>
    </w:div>
    <w:div w:id="504395508">
      <w:bodyDiv w:val="1"/>
      <w:marLeft w:val="0"/>
      <w:marRight w:val="0"/>
      <w:marTop w:val="0"/>
      <w:marBottom w:val="0"/>
      <w:divBdr>
        <w:top w:val="none" w:sz="0" w:space="0" w:color="auto"/>
        <w:left w:val="none" w:sz="0" w:space="0" w:color="auto"/>
        <w:bottom w:val="none" w:sz="0" w:space="0" w:color="auto"/>
        <w:right w:val="none" w:sz="0" w:space="0" w:color="auto"/>
      </w:divBdr>
    </w:div>
    <w:div w:id="505823489">
      <w:bodyDiv w:val="1"/>
      <w:marLeft w:val="0"/>
      <w:marRight w:val="0"/>
      <w:marTop w:val="0"/>
      <w:marBottom w:val="0"/>
      <w:divBdr>
        <w:top w:val="none" w:sz="0" w:space="0" w:color="auto"/>
        <w:left w:val="none" w:sz="0" w:space="0" w:color="auto"/>
        <w:bottom w:val="none" w:sz="0" w:space="0" w:color="auto"/>
        <w:right w:val="none" w:sz="0" w:space="0" w:color="auto"/>
      </w:divBdr>
    </w:div>
    <w:div w:id="506285313">
      <w:bodyDiv w:val="1"/>
      <w:marLeft w:val="0"/>
      <w:marRight w:val="0"/>
      <w:marTop w:val="0"/>
      <w:marBottom w:val="0"/>
      <w:divBdr>
        <w:top w:val="none" w:sz="0" w:space="0" w:color="auto"/>
        <w:left w:val="none" w:sz="0" w:space="0" w:color="auto"/>
        <w:bottom w:val="none" w:sz="0" w:space="0" w:color="auto"/>
        <w:right w:val="none" w:sz="0" w:space="0" w:color="auto"/>
      </w:divBdr>
    </w:div>
    <w:div w:id="506946474">
      <w:bodyDiv w:val="1"/>
      <w:marLeft w:val="0"/>
      <w:marRight w:val="0"/>
      <w:marTop w:val="0"/>
      <w:marBottom w:val="0"/>
      <w:divBdr>
        <w:top w:val="none" w:sz="0" w:space="0" w:color="auto"/>
        <w:left w:val="none" w:sz="0" w:space="0" w:color="auto"/>
        <w:bottom w:val="none" w:sz="0" w:space="0" w:color="auto"/>
        <w:right w:val="none" w:sz="0" w:space="0" w:color="auto"/>
      </w:divBdr>
    </w:div>
    <w:div w:id="507060415">
      <w:bodyDiv w:val="1"/>
      <w:marLeft w:val="0"/>
      <w:marRight w:val="0"/>
      <w:marTop w:val="0"/>
      <w:marBottom w:val="0"/>
      <w:divBdr>
        <w:top w:val="none" w:sz="0" w:space="0" w:color="auto"/>
        <w:left w:val="none" w:sz="0" w:space="0" w:color="auto"/>
        <w:bottom w:val="none" w:sz="0" w:space="0" w:color="auto"/>
        <w:right w:val="none" w:sz="0" w:space="0" w:color="auto"/>
      </w:divBdr>
    </w:div>
    <w:div w:id="507601873">
      <w:bodyDiv w:val="1"/>
      <w:marLeft w:val="0"/>
      <w:marRight w:val="0"/>
      <w:marTop w:val="0"/>
      <w:marBottom w:val="0"/>
      <w:divBdr>
        <w:top w:val="none" w:sz="0" w:space="0" w:color="auto"/>
        <w:left w:val="none" w:sz="0" w:space="0" w:color="auto"/>
        <w:bottom w:val="none" w:sz="0" w:space="0" w:color="auto"/>
        <w:right w:val="none" w:sz="0" w:space="0" w:color="auto"/>
      </w:divBdr>
      <w:divsChild>
        <w:div w:id="1573465595">
          <w:marLeft w:val="0"/>
          <w:marRight w:val="0"/>
          <w:marTop w:val="0"/>
          <w:marBottom w:val="0"/>
          <w:divBdr>
            <w:top w:val="none" w:sz="0" w:space="0" w:color="auto"/>
            <w:left w:val="none" w:sz="0" w:space="0" w:color="auto"/>
            <w:bottom w:val="none" w:sz="0" w:space="0" w:color="auto"/>
            <w:right w:val="none" w:sz="0" w:space="0" w:color="auto"/>
          </w:divBdr>
          <w:divsChild>
            <w:div w:id="1576239005">
              <w:marLeft w:val="0"/>
              <w:marRight w:val="0"/>
              <w:marTop w:val="0"/>
              <w:marBottom w:val="0"/>
              <w:divBdr>
                <w:top w:val="none" w:sz="0" w:space="0" w:color="auto"/>
                <w:left w:val="none" w:sz="0" w:space="0" w:color="auto"/>
                <w:bottom w:val="none" w:sz="0" w:space="0" w:color="auto"/>
                <w:right w:val="none" w:sz="0" w:space="0" w:color="auto"/>
              </w:divBdr>
              <w:divsChild>
                <w:div w:id="1623420781">
                  <w:marLeft w:val="0"/>
                  <w:marRight w:val="0"/>
                  <w:marTop w:val="0"/>
                  <w:marBottom w:val="0"/>
                  <w:divBdr>
                    <w:top w:val="none" w:sz="0" w:space="0" w:color="auto"/>
                    <w:left w:val="none" w:sz="0" w:space="0" w:color="auto"/>
                    <w:bottom w:val="none" w:sz="0" w:space="0" w:color="auto"/>
                    <w:right w:val="none" w:sz="0" w:space="0" w:color="auto"/>
                  </w:divBdr>
                  <w:divsChild>
                    <w:div w:id="78862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715785">
      <w:bodyDiv w:val="1"/>
      <w:marLeft w:val="0"/>
      <w:marRight w:val="0"/>
      <w:marTop w:val="0"/>
      <w:marBottom w:val="0"/>
      <w:divBdr>
        <w:top w:val="none" w:sz="0" w:space="0" w:color="auto"/>
        <w:left w:val="none" w:sz="0" w:space="0" w:color="auto"/>
        <w:bottom w:val="none" w:sz="0" w:space="0" w:color="auto"/>
        <w:right w:val="none" w:sz="0" w:space="0" w:color="auto"/>
      </w:divBdr>
    </w:div>
    <w:div w:id="508328628">
      <w:bodyDiv w:val="1"/>
      <w:marLeft w:val="0"/>
      <w:marRight w:val="0"/>
      <w:marTop w:val="0"/>
      <w:marBottom w:val="0"/>
      <w:divBdr>
        <w:top w:val="none" w:sz="0" w:space="0" w:color="auto"/>
        <w:left w:val="none" w:sz="0" w:space="0" w:color="auto"/>
        <w:bottom w:val="none" w:sz="0" w:space="0" w:color="auto"/>
        <w:right w:val="none" w:sz="0" w:space="0" w:color="auto"/>
      </w:divBdr>
      <w:divsChild>
        <w:div w:id="454757644">
          <w:marLeft w:val="0"/>
          <w:marRight w:val="0"/>
          <w:marTop w:val="0"/>
          <w:marBottom w:val="0"/>
          <w:divBdr>
            <w:top w:val="none" w:sz="0" w:space="0" w:color="auto"/>
            <w:left w:val="none" w:sz="0" w:space="0" w:color="auto"/>
            <w:bottom w:val="none" w:sz="0" w:space="0" w:color="auto"/>
            <w:right w:val="none" w:sz="0" w:space="0" w:color="auto"/>
          </w:divBdr>
          <w:divsChild>
            <w:div w:id="129246508">
              <w:marLeft w:val="0"/>
              <w:marRight w:val="0"/>
              <w:marTop w:val="0"/>
              <w:marBottom w:val="0"/>
              <w:divBdr>
                <w:top w:val="none" w:sz="0" w:space="0" w:color="auto"/>
                <w:left w:val="none" w:sz="0" w:space="0" w:color="auto"/>
                <w:bottom w:val="none" w:sz="0" w:space="0" w:color="auto"/>
                <w:right w:val="none" w:sz="0" w:space="0" w:color="auto"/>
              </w:divBdr>
              <w:divsChild>
                <w:div w:id="931281414">
                  <w:marLeft w:val="0"/>
                  <w:marRight w:val="0"/>
                  <w:marTop w:val="0"/>
                  <w:marBottom w:val="0"/>
                  <w:divBdr>
                    <w:top w:val="none" w:sz="0" w:space="0" w:color="auto"/>
                    <w:left w:val="none" w:sz="0" w:space="0" w:color="auto"/>
                    <w:bottom w:val="none" w:sz="0" w:space="0" w:color="auto"/>
                    <w:right w:val="none" w:sz="0" w:space="0" w:color="auto"/>
                  </w:divBdr>
                  <w:divsChild>
                    <w:div w:id="1196582911">
                      <w:marLeft w:val="0"/>
                      <w:marRight w:val="0"/>
                      <w:marTop w:val="0"/>
                      <w:marBottom w:val="0"/>
                      <w:divBdr>
                        <w:top w:val="none" w:sz="0" w:space="0" w:color="auto"/>
                        <w:left w:val="none" w:sz="0" w:space="0" w:color="auto"/>
                        <w:bottom w:val="none" w:sz="0" w:space="0" w:color="auto"/>
                        <w:right w:val="none" w:sz="0" w:space="0" w:color="auto"/>
                      </w:divBdr>
                    </w:div>
                  </w:divsChild>
                </w:div>
                <w:div w:id="1816213650">
                  <w:marLeft w:val="0"/>
                  <w:marRight w:val="0"/>
                  <w:marTop w:val="0"/>
                  <w:marBottom w:val="0"/>
                  <w:divBdr>
                    <w:top w:val="none" w:sz="0" w:space="0" w:color="auto"/>
                    <w:left w:val="none" w:sz="0" w:space="0" w:color="auto"/>
                    <w:bottom w:val="none" w:sz="0" w:space="0" w:color="auto"/>
                    <w:right w:val="none" w:sz="0" w:space="0" w:color="auto"/>
                  </w:divBdr>
                  <w:divsChild>
                    <w:div w:id="174378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024997">
      <w:bodyDiv w:val="1"/>
      <w:marLeft w:val="0"/>
      <w:marRight w:val="0"/>
      <w:marTop w:val="0"/>
      <w:marBottom w:val="0"/>
      <w:divBdr>
        <w:top w:val="none" w:sz="0" w:space="0" w:color="auto"/>
        <w:left w:val="none" w:sz="0" w:space="0" w:color="auto"/>
        <w:bottom w:val="none" w:sz="0" w:space="0" w:color="auto"/>
        <w:right w:val="none" w:sz="0" w:space="0" w:color="auto"/>
      </w:divBdr>
    </w:div>
    <w:div w:id="509218286">
      <w:bodyDiv w:val="1"/>
      <w:marLeft w:val="0"/>
      <w:marRight w:val="0"/>
      <w:marTop w:val="0"/>
      <w:marBottom w:val="0"/>
      <w:divBdr>
        <w:top w:val="none" w:sz="0" w:space="0" w:color="auto"/>
        <w:left w:val="none" w:sz="0" w:space="0" w:color="auto"/>
        <w:bottom w:val="none" w:sz="0" w:space="0" w:color="auto"/>
        <w:right w:val="none" w:sz="0" w:space="0" w:color="auto"/>
      </w:divBdr>
    </w:div>
    <w:div w:id="510292643">
      <w:bodyDiv w:val="1"/>
      <w:marLeft w:val="0"/>
      <w:marRight w:val="0"/>
      <w:marTop w:val="0"/>
      <w:marBottom w:val="0"/>
      <w:divBdr>
        <w:top w:val="none" w:sz="0" w:space="0" w:color="auto"/>
        <w:left w:val="none" w:sz="0" w:space="0" w:color="auto"/>
        <w:bottom w:val="none" w:sz="0" w:space="0" w:color="auto"/>
        <w:right w:val="none" w:sz="0" w:space="0" w:color="auto"/>
      </w:divBdr>
    </w:div>
    <w:div w:id="510723462">
      <w:bodyDiv w:val="1"/>
      <w:marLeft w:val="0"/>
      <w:marRight w:val="0"/>
      <w:marTop w:val="0"/>
      <w:marBottom w:val="0"/>
      <w:divBdr>
        <w:top w:val="none" w:sz="0" w:space="0" w:color="auto"/>
        <w:left w:val="none" w:sz="0" w:space="0" w:color="auto"/>
        <w:bottom w:val="none" w:sz="0" w:space="0" w:color="auto"/>
        <w:right w:val="none" w:sz="0" w:space="0" w:color="auto"/>
      </w:divBdr>
    </w:div>
    <w:div w:id="512914772">
      <w:bodyDiv w:val="1"/>
      <w:marLeft w:val="0"/>
      <w:marRight w:val="0"/>
      <w:marTop w:val="0"/>
      <w:marBottom w:val="0"/>
      <w:divBdr>
        <w:top w:val="none" w:sz="0" w:space="0" w:color="auto"/>
        <w:left w:val="none" w:sz="0" w:space="0" w:color="auto"/>
        <w:bottom w:val="none" w:sz="0" w:space="0" w:color="auto"/>
        <w:right w:val="none" w:sz="0" w:space="0" w:color="auto"/>
      </w:divBdr>
    </w:div>
    <w:div w:id="513421657">
      <w:bodyDiv w:val="1"/>
      <w:marLeft w:val="0"/>
      <w:marRight w:val="0"/>
      <w:marTop w:val="0"/>
      <w:marBottom w:val="0"/>
      <w:divBdr>
        <w:top w:val="none" w:sz="0" w:space="0" w:color="auto"/>
        <w:left w:val="none" w:sz="0" w:space="0" w:color="auto"/>
        <w:bottom w:val="none" w:sz="0" w:space="0" w:color="auto"/>
        <w:right w:val="none" w:sz="0" w:space="0" w:color="auto"/>
      </w:divBdr>
    </w:div>
    <w:div w:id="513963863">
      <w:bodyDiv w:val="1"/>
      <w:marLeft w:val="0"/>
      <w:marRight w:val="0"/>
      <w:marTop w:val="0"/>
      <w:marBottom w:val="0"/>
      <w:divBdr>
        <w:top w:val="none" w:sz="0" w:space="0" w:color="auto"/>
        <w:left w:val="none" w:sz="0" w:space="0" w:color="auto"/>
        <w:bottom w:val="none" w:sz="0" w:space="0" w:color="auto"/>
        <w:right w:val="none" w:sz="0" w:space="0" w:color="auto"/>
      </w:divBdr>
    </w:div>
    <w:div w:id="514004674">
      <w:bodyDiv w:val="1"/>
      <w:marLeft w:val="0"/>
      <w:marRight w:val="0"/>
      <w:marTop w:val="0"/>
      <w:marBottom w:val="0"/>
      <w:divBdr>
        <w:top w:val="none" w:sz="0" w:space="0" w:color="auto"/>
        <w:left w:val="none" w:sz="0" w:space="0" w:color="auto"/>
        <w:bottom w:val="none" w:sz="0" w:space="0" w:color="auto"/>
        <w:right w:val="none" w:sz="0" w:space="0" w:color="auto"/>
      </w:divBdr>
      <w:divsChild>
        <w:div w:id="1204518278">
          <w:marLeft w:val="0"/>
          <w:marRight w:val="0"/>
          <w:marTop w:val="0"/>
          <w:marBottom w:val="0"/>
          <w:divBdr>
            <w:top w:val="none" w:sz="0" w:space="0" w:color="auto"/>
            <w:left w:val="none" w:sz="0" w:space="0" w:color="auto"/>
            <w:bottom w:val="none" w:sz="0" w:space="0" w:color="auto"/>
            <w:right w:val="none" w:sz="0" w:space="0" w:color="auto"/>
          </w:divBdr>
          <w:divsChild>
            <w:div w:id="1622809584">
              <w:marLeft w:val="0"/>
              <w:marRight w:val="0"/>
              <w:marTop w:val="0"/>
              <w:marBottom w:val="0"/>
              <w:divBdr>
                <w:top w:val="none" w:sz="0" w:space="0" w:color="auto"/>
                <w:left w:val="none" w:sz="0" w:space="0" w:color="auto"/>
                <w:bottom w:val="none" w:sz="0" w:space="0" w:color="auto"/>
                <w:right w:val="none" w:sz="0" w:space="0" w:color="auto"/>
              </w:divBdr>
              <w:divsChild>
                <w:div w:id="132955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268947">
      <w:bodyDiv w:val="1"/>
      <w:marLeft w:val="0"/>
      <w:marRight w:val="0"/>
      <w:marTop w:val="0"/>
      <w:marBottom w:val="0"/>
      <w:divBdr>
        <w:top w:val="none" w:sz="0" w:space="0" w:color="auto"/>
        <w:left w:val="none" w:sz="0" w:space="0" w:color="auto"/>
        <w:bottom w:val="none" w:sz="0" w:space="0" w:color="auto"/>
        <w:right w:val="none" w:sz="0" w:space="0" w:color="auto"/>
      </w:divBdr>
    </w:div>
    <w:div w:id="514534135">
      <w:bodyDiv w:val="1"/>
      <w:marLeft w:val="0"/>
      <w:marRight w:val="0"/>
      <w:marTop w:val="0"/>
      <w:marBottom w:val="0"/>
      <w:divBdr>
        <w:top w:val="none" w:sz="0" w:space="0" w:color="auto"/>
        <w:left w:val="none" w:sz="0" w:space="0" w:color="auto"/>
        <w:bottom w:val="none" w:sz="0" w:space="0" w:color="auto"/>
        <w:right w:val="none" w:sz="0" w:space="0" w:color="auto"/>
      </w:divBdr>
      <w:divsChild>
        <w:div w:id="1309359035">
          <w:marLeft w:val="0"/>
          <w:marRight w:val="0"/>
          <w:marTop w:val="0"/>
          <w:marBottom w:val="0"/>
          <w:divBdr>
            <w:top w:val="none" w:sz="0" w:space="0" w:color="auto"/>
            <w:left w:val="none" w:sz="0" w:space="0" w:color="auto"/>
            <w:bottom w:val="none" w:sz="0" w:space="0" w:color="auto"/>
            <w:right w:val="none" w:sz="0" w:space="0" w:color="auto"/>
          </w:divBdr>
          <w:divsChild>
            <w:div w:id="2114783745">
              <w:marLeft w:val="0"/>
              <w:marRight w:val="0"/>
              <w:marTop w:val="0"/>
              <w:marBottom w:val="0"/>
              <w:divBdr>
                <w:top w:val="none" w:sz="0" w:space="0" w:color="auto"/>
                <w:left w:val="none" w:sz="0" w:space="0" w:color="auto"/>
                <w:bottom w:val="none" w:sz="0" w:space="0" w:color="auto"/>
                <w:right w:val="none" w:sz="0" w:space="0" w:color="auto"/>
              </w:divBdr>
              <w:divsChild>
                <w:div w:id="1770463558">
                  <w:marLeft w:val="0"/>
                  <w:marRight w:val="0"/>
                  <w:marTop w:val="0"/>
                  <w:marBottom w:val="0"/>
                  <w:divBdr>
                    <w:top w:val="none" w:sz="0" w:space="0" w:color="auto"/>
                    <w:left w:val="none" w:sz="0" w:space="0" w:color="auto"/>
                    <w:bottom w:val="none" w:sz="0" w:space="0" w:color="auto"/>
                    <w:right w:val="none" w:sz="0" w:space="0" w:color="auto"/>
                  </w:divBdr>
                  <w:divsChild>
                    <w:div w:id="1392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541189">
      <w:bodyDiv w:val="1"/>
      <w:marLeft w:val="0"/>
      <w:marRight w:val="0"/>
      <w:marTop w:val="0"/>
      <w:marBottom w:val="0"/>
      <w:divBdr>
        <w:top w:val="none" w:sz="0" w:space="0" w:color="auto"/>
        <w:left w:val="none" w:sz="0" w:space="0" w:color="auto"/>
        <w:bottom w:val="none" w:sz="0" w:space="0" w:color="auto"/>
        <w:right w:val="none" w:sz="0" w:space="0" w:color="auto"/>
      </w:divBdr>
    </w:div>
    <w:div w:id="514926294">
      <w:bodyDiv w:val="1"/>
      <w:marLeft w:val="0"/>
      <w:marRight w:val="0"/>
      <w:marTop w:val="0"/>
      <w:marBottom w:val="0"/>
      <w:divBdr>
        <w:top w:val="none" w:sz="0" w:space="0" w:color="auto"/>
        <w:left w:val="none" w:sz="0" w:space="0" w:color="auto"/>
        <w:bottom w:val="none" w:sz="0" w:space="0" w:color="auto"/>
        <w:right w:val="none" w:sz="0" w:space="0" w:color="auto"/>
      </w:divBdr>
    </w:div>
    <w:div w:id="515925879">
      <w:bodyDiv w:val="1"/>
      <w:marLeft w:val="0"/>
      <w:marRight w:val="0"/>
      <w:marTop w:val="0"/>
      <w:marBottom w:val="0"/>
      <w:divBdr>
        <w:top w:val="none" w:sz="0" w:space="0" w:color="auto"/>
        <w:left w:val="none" w:sz="0" w:space="0" w:color="auto"/>
        <w:bottom w:val="none" w:sz="0" w:space="0" w:color="auto"/>
        <w:right w:val="none" w:sz="0" w:space="0" w:color="auto"/>
      </w:divBdr>
    </w:div>
    <w:div w:id="515997053">
      <w:bodyDiv w:val="1"/>
      <w:marLeft w:val="0"/>
      <w:marRight w:val="0"/>
      <w:marTop w:val="0"/>
      <w:marBottom w:val="0"/>
      <w:divBdr>
        <w:top w:val="none" w:sz="0" w:space="0" w:color="auto"/>
        <w:left w:val="none" w:sz="0" w:space="0" w:color="auto"/>
        <w:bottom w:val="none" w:sz="0" w:space="0" w:color="auto"/>
        <w:right w:val="none" w:sz="0" w:space="0" w:color="auto"/>
      </w:divBdr>
      <w:divsChild>
        <w:div w:id="937718372">
          <w:marLeft w:val="0"/>
          <w:marRight w:val="0"/>
          <w:marTop w:val="0"/>
          <w:marBottom w:val="0"/>
          <w:divBdr>
            <w:top w:val="none" w:sz="0" w:space="0" w:color="auto"/>
            <w:left w:val="none" w:sz="0" w:space="0" w:color="auto"/>
            <w:bottom w:val="none" w:sz="0" w:space="0" w:color="auto"/>
            <w:right w:val="none" w:sz="0" w:space="0" w:color="auto"/>
          </w:divBdr>
          <w:divsChild>
            <w:div w:id="2122915530">
              <w:marLeft w:val="0"/>
              <w:marRight w:val="0"/>
              <w:marTop w:val="0"/>
              <w:marBottom w:val="0"/>
              <w:divBdr>
                <w:top w:val="none" w:sz="0" w:space="0" w:color="auto"/>
                <w:left w:val="none" w:sz="0" w:space="0" w:color="auto"/>
                <w:bottom w:val="none" w:sz="0" w:space="0" w:color="auto"/>
                <w:right w:val="none" w:sz="0" w:space="0" w:color="auto"/>
              </w:divBdr>
              <w:divsChild>
                <w:div w:id="635836494">
                  <w:marLeft w:val="0"/>
                  <w:marRight w:val="0"/>
                  <w:marTop w:val="0"/>
                  <w:marBottom w:val="0"/>
                  <w:divBdr>
                    <w:top w:val="none" w:sz="0" w:space="0" w:color="auto"/>
                    <w:left w:val="none" w:sz="0" w:space="0" w:color="auto"/>
                    <w:bottom w:val="none" w:sz="0" w:space="0" w:color="auto"/>
                    <w:right w:val="none" w:sz="0" w:space="0" w:color="auto"/>
                  </w:divBdr>
                  <w:divsChild>
                    <w:div w:id="18848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693099">
      <w:bodyDiv w:val="1"/>
      <w:marLeft w:val="0"/>
      <w:marRight w:val="0"/>
      <w:marTop w:val="0"/>
      <w:marBottom w:val="0"/>
      <w:divBdr>
        <w:top w:val="none" w:sz="0" w:space="0" w:color="auto"/>
        <w:left w:val="none" w:sz="0" w:space="0" w:color="auto"/>
        <w:bottom w:val="none" w:sz="0" w:space="0" w:color="auto"/>
        <w:right w:val="none" w:sz="0" w:space="0" w:color="auto"/>
      </w:divBdr>
    </w:div>
    <w:div w:id="518275636">
      <w:bodyDiv w:val="1"/>
      <w:marLeft w:val="0"/>
      <w:marRight w:val="0"/>
      <w:marTop w:val="0"/>
      <w:marBottom w:val="0"/>
      <w:divBdr>
        <w:top w:val="none" w:sz="0" w:space="0" w:color="auto"/>
        <w:left w:val="none" w:sz="0" w:space="0" w:color="auto"/>
        <w:bottom w:val="none" w:sz="0" w:space="0" w:color="auto"/>
        <w:right w:val="none" w:sz="0" w:space="0" w:color="auto"/>
      </w:divBdr>
    </w:div>
    <w:div w:id="518275948">
      <w:bodyDiv w:val="1"/>
      <w:marLeft w:val="0"/>
      <w:marRight w:val="0"/>
      <w:marTop w:val="0"/>
      <w:marBottom w:val="0"/>
      <w:divBdr>
        <w:top w:val="none" w:sz="0" w:space="0" w:color="auto"/>
        <w:left w:val="none" w:sz="0" w:space="0" w:color="auto"/>
        <w:bottom w:val="none" w:sz="0" w:space="0" w:color="auto"/>
        <w:right w:val="none" w:sz="0" w:space="0" w:color="auto"/>
      </w:divBdr>
    </w:div>
    <w:div w:id="519976017">
      <w:bodyDiv w:val="1"/>
      <w:marLeft w:val="0"/>
      <w:marRight w:val="0"/>
      <w:marTop w:val="0"/>
      <w:marBottom w:val="0"/>
      <w:divBdr>
        <w:top w:val="none" w:sz="0" w:space="0" w:color="auto"/>
        <w:left w:val="none" w:sz="0" w:space="0" w:color="auto"/>
        <w:bottom w:val="none" w:sz="0" w:space="0" w:color="auto"/>
        <w:right w:val="none" w:sz="0" w:space="0" w:color="auto"/>
      </w:divBdr>
    </w:div>
    <w:div w:id="520749601">
      <w:bodyDiv w:val="1"/>
      <w:marLeft w:val="0"/>
      <w:marRight w:val="0"/>
      <w:marTop w:val="0"/>
      <w:marBottom w:val="0"/>
      <w:divBdr>
        <w:top w:val="none" w:sz="0" w:space="0" w:color="auto"/>
        <w:left w:val="none" w:sz="0" w:space="0" w:color="auto"/>
        <w:bottom w:val="none" w:sz="0" w:space="0" w:color="auto"/>
        <w:right w:val="none" w:sz="0" w:space="0" w:color="auto"/>
      </w:divBdr>
      <w:divsChild>
        <w:div w:id="224534811">
          <w:marLeft w:val="0"/>
          <w:marRight w:val="0"/>
          <w:marTop w:val="0"/>
          <w:marBottom w:val="0"/>
          <w:divBdr>
            <w:top w:val="none" w:sz="0" w:space="0" w:color="auto"/>
            <w:left w:val="none" w:sz="0" w:space="0" w:color="auto"/>
            <w:bottom w:val="none" w:sz="0" w:space="0" w:color="auto"/>
            <w:right w:val="none" w:sz="0" w:space="0" w:color="auto"/>
          </w:divBdr>
          <w:divsChild>
            <w:div w:id="1848519807">
              <w:marLeft w:val="0"/>
              <w:marRight w:val="0"/>
              <w:marTop w:val="0"/>
              <w:marBottom w:val="0"/>
              <w:divBdr>
                <w:top w:val="none" w:sz="0" w:space="0" w:color="auto"/>
                <w:left w:val="none" w:sz="0" w:space="0" w:color="auto"/>
                <w:bottom w:val="none" w:sz="0" w:space="0" w:color="auto"/>
                <w:right w:val="none" w:sz="0" w:space="0" w:color="auto"/>
              </w:divBdr>
              <w:divsChild>
                <w:div w:id="178129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9930">
      <w:bodyDiv w:val="1"/>
      <w:marLeft w:val="0"/>
      <w:marRight w:val="0"/>
      <w:marTop w:val="0"/>
      <w:marBottom w:val="0"/>
      <w:divBdr>
        <w:top w:val="none" w:sz="0" w:space="0" w:color="auto"/>
        <w:left w:val="none" w:sz="0" w:space="0" w:color="auto"/>
        <w:bottom w:val="none" w:sz="0" w:space="0" w:color="auto"/>
        <w:right w:val="none" w:sz="0" w:space="0" w:color="auto"/>
      </w:divBdr>
      <w:divsChild>
        <w:div w:id="2061707651">
          <w:marLeft w:val="0"/>
          <w:marRight w:val="0"/>
          <w:marTop w:val="0"/>
          <w:marBottom w:val="0"/>
          <w:divBdr>
            <w:top w:val="none" w:sz="0" w:space="0" w:color="auto"/>
            <w:left w:val="none" w:sz="0" w:space="0" w:color="auto"/>
            <w:bottom w:val="none" w:sz="0" w:space="0" w:color="auto"/>
            <w:right w:val="none" w:sz="0" w:space="0" w:color="auto"/>
          </w:divBdr>
          <w:divsChild>
            <w:div w:id="1799251885">
              <w:marLeft w:val="0"/>
              <w:marRight w:val="0"/>
              <w:marTop w:val="0"/>
              <w:marBottom w:val="0"/>
              <w:divBdr>
                <w:top w:val="none" w:sz="0" w:space="0" w:color="auto"/>
                <w:left w:val="none" w:sz="0" w:space="0" w:color="auto"/>
                <w:bottom w:val="none" w:sz="0" w:space="0" w:color="auto"/>
                <w:right w:val="none" w:sz="0" w:space="0" w:color="auto"/>
              </w:divBdr>
              <w:divsChild>
                <w:div w:id="1546285797">
                  <w:marLeft w:val="0"/>
                  <w:marRight w:val="0"/>
                  <w:marTop w:val="0"/>
                  <w:marBottom w:val="0"/>
                  <w:divBdr>
                    <w:top w:val="none" w:sz="0" w:space="0" w:color="auto"/>
                    <w:left w:val="none" w:sz="0" w:space="0" w:color="auto"/>
                    <w:bottom w:val="none" w:sz="0" w:space="0" w:color="auto"/>
                    <w:right w:val="none" w:sz="0" w:space="0" w:color="auto"/>
                  </w:divBdr>
                  <w:divsChild>
                    <w:div w:id="11409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522772">
      <w:bodyDiv w:val="1"/>
      <w:marLeft w:val="0"/>
      <w:marRight w:val="0"/>
      <w:marTop w:val="0"/>
      <w:marBottom w:val="0"/>
      <w:divBdr>
        <w:top w:val="none" w:sz="0" w:space="0" w:color="auto"/>
        <w:left w:val="none" w:sz="0" w:space="0" w:color="auto"/>
        <w:bottom w:val="none" w:sz="0" w:space="0" w:color="auto"/>
        <w:right w:val="none" w:sz="0" w:space="0" w:color="auto"/>
      </w:divBdr>
    </w:div>
    <w:div w:id="523176644">
      <w:bodyDiv w:val="1"/>
      <w:marLeft w:val="0"/>
      <w:marRight w:val="0"/>
      <w:marTop w:val="0"/>
      <w:marBottom w:val="0"/>
      <w:divBdr>
        <w:top w:val="none" w:sz="0" w:space="0" w:color="auto"/>
        <w:left w:val="none" w:sz="0" w:space="0" w:color="auto"/>
        <w:bottom w:val="none" w:sz="0" w:space="0" w:color="auto"/>
        <w:right w:val="none" w:sz="0" w:space="0" w:color="auto"/>
      </w:divBdr>
      <w:divsChild>
        <w:div w:id="196551506">
          <w:marLeft w:val="0"/>
          <w:marRight w:val="0"/>
          <w:marTop w:val="0"/>
          <w:marBottom w:val="0"/>
          <w:divBdr>
            <w:top w:val="none" w:sz="0" w:space="0" w:color="auto"/>
            <w:left w:val="none" w:sz="0" w:space="0" w:color="auto"/>
            <w:bottom w:val="none" w:sz="0" w:space="0" w:color="auto"/>
            <w:right w:val="none" w:sz="0" w:space="0" w:color="auto"/>
          </w:divBdr>
          <w:divsChild>
            <w:div w:id="163666270">
              <w:marLeft w:val="0"/>
              <w:marRight w:val="0"/>
              <w:marTop w:val="0"/>
              <w:marBottom w:val="0"/>
              <w:divBdr>
                <w:top w:val="none" w:sz="0" w:space="0" w:color="auto"/>
                <w:left w:val="none" w:sz="0" w:space="0" w:color="auto"/>
                <w:bottom w:val="none" w:sz="0" w:space="0" w:color="auto"/>
                <w:right w:val="none" w:sz="0" w:space="0" w:color="auto"/>
              </w:divBdr>
              <w:divsChild>
                <w:div w:id="486096897">
                  <w:marLeft w:val="0"/>
                  <w:marRight w:val="0"/>
                  <w:marTop w:val="0"/>
                  <w:marBottom w:val="0"/>
                  <w:divBdr>
                    <w:top w:val="none" w:sz="0" w:space="0" w:color="auto"/>
                    <w:left w:val="none" w:sz="0" w:space="0" w:color="auto"/>
                    <w:bottom w:val="none" w:sz="0" w:space="0" w:color="auto"/>
                    <w:right w:val="none" w:sz="0" w:space="0" w:color="auto"/>
                  </w:divBdr>
                  <w:divsChild>
                    <w:div w:id="1070536893">
                      <w:marLeft w:val="0"/>
                      <w:marRight w:val="0"/>
                      <w:marTop w:val="0"/>
                      <w:marBottom w:val="0"/>
                      <w:divBdr>
                        <w:top w:val="none" w:sz="0" w:space="0" w:color="auto"/>
                        <w:left w:val="none" w:sz="0" w:space="0" w:color="auto"/>
                        <w:bottom w:val="none" w:sz="0" w:space="0" w:color="auto"/>
                        <w:right w:val="none" w:sz="0" w:space="0" w:color="auto"/>
                      </w:divBdr>
                    </w:div>
                  </w:divsChild>
                </w:div>
                <w:div w:id="1036006482">
                  <w:marLeft w:val="0"/>
                  <w:marRight w:val="0"/>
                  <w:marTop w:val="0"/>
                  <w:marBottom w:val="0"/>
                  <w:divBdr>
                    <w:top w:val="none" w:sz="0" w:space="0" w:color="auto"/>
                    <w:left w:val="none" w:sz="0" w:space="0" w:color="auto"/>
                    <w:bottom w:val="none" w:sz="0" w:space="0" w:color="auto"/>
                    <w:right w:val="none" w:sz="0" w:space="0" w:color="auto"/>
                  </w:divBdr>
                  <w:divsChild>
                    <w:div w:id="16593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607016">
      <w:bodyDiv w:val="1"/>
      <w:marLeft w:val="0"/>
      <w:marRight w:val="0"/>
      <w:marTop w:val="0"/>
      <w:marBottom w:val="0"/>
      <w:divBdr>
        <w:top w:val="none" w:sz="0" w:space="0" w:color="auto"/>
        <w:left w:val="none" w:sz="0" w:space="0" w:color="auto"/>
        <w:bottom w:val="none" w:sz="0" w:space="0" w:color="auto"/>
        <w:right w:val="none" w:sz="0" w:space="0" w:color="auto"/>
      </w:divBdr>
    </w:div>
    <w:div w:id="526137727">
      <w:bodyDiv w:val="1"/>
      <w:marLeft w:val="0"/>
      <w:marRight w:val="0"/>
      <w:marTop w:val="0"/>
      <w:marBottom w:val="0"/>
      <w:divBdr>
        <w:top w:val="none" w:sz="0" w:space="0" w:color="auto"/>
        <w:left w:val="none" w:sz="0" w:space="0" w:color="auto"/>
        <w:bottom w:val="none" w:sz="0" w:space="0" w:color="auto"/>
        <w:right w:val="none" w:sz="0" w:space="0" w:color="auto"/>
      </w:divBdr>
    </w:div>
    <w:div w:id="526332904">
      <w:bodyDiv w:val="1"/>
      <w:marLeft w:val="0"/>
      <w:marRight w:val="0"/>
      <w:marTop w:val="0"/>
      <w:marBottom w:val="0"/>
      <w:divBdr>
        <w:top w:val="none" w:sz="0" w:space="0" w:color="auto"/>
        <w:left w:val="none" w:sz="0" w:space="0" w:color="auto"/>
        <w:bottom w:val="none" w:sz="0" w:space="0" w:color="auto"/>
        <w:right w:val="none" w:sz="0" w:space="0" w:color="auto"/>
      </w:divBdr>
    </w:div>
    <w:div w:id="528108477">
      <w:bodyDiv w:val="1"/>
      <w:marLeft w:val="0"/>
      <w:marRight w:val="0"/>
      <w:marTop w:val="0"/>
      <w:marBottom w:val="0"/>
      <w:divBdr>
        <w:top w:val="none" w:sz="0" w:space="0" w:color="auto"/>
        <w:left w:val="none" w:sz="0" w:space="0" w:color="auto"/>
        <w:bottom w:val="none" w:sz="0" w:space="0" w:color="auto"/>
        <w:right w:val="none" w:sz="0" w:space="0" w:color="auto"/>
      </w:divBdr>
    </w:div>
    <w:div w:id="529073622">
      <w:bodyDiv w:val="1"/>
      <w:marLeft w:val="0"/>
      <w:marRight w:val="0"/>
      <w:marTop w:val="0"/>
      <w:marBottom w:val="0"/>
      <w:divBdr>
        <w:top w:val="none" w:sz="0" w:space="0" w:color="auto"/>
        <w:left w:val="none" w:sz="0" w:space="0" w:color="auto"/>
        <w:bottom w:val="none" w:sz="0" w:space="0" w:color="auto"/>
        <w:right w:val="none" w:sz="0" w:space="0" w:color="auto"/>
      </w:divBdr>
      <w:divsChild>
        <w:div w:id="2089647807">
          <w:marLeft w:val="0"/>
          <w:marRight w:val="0"/>
          <w:marTop w:val="0"/>
          <w:marBottom w:val="0"/>
          <w:divBdr>
            <w:top w:val="none" w:sz="0" w:space="0" w:color="auto"/>
            <w:left w:val="none" w:sz="0" w:space="0" w:color="auto"/>
            <w:bottom w:val="none" w:sz="0" w:space="0" w:color="auto"/>
            <w:right w:val="none" w:sz="0" w:space="0" w:color="auto"/>
          </w:divBdr>
          <w:divsChild>
            <w:div w:id="616374748">
              <w:marLeft w:val="0"/>
              <w:marRight w:val="0"/>
              <w:marTop w:val="0"/>
              <w:marBottom w:val="0"/>
              <w:divBdr>
                <w:top w:val="none" w:sz="0" w:space="0" w:color="auto"/>
                <w:left w:val="none" w:sz="0" w:space="0" w:color="auto"/>
                <w:bottom w:val="none" w:sz="0" w:space="0" w:color="auto"/>
                <w:right w:val="none" w:sz="0" w:space="0" w:color="auto"/>
              </w:divBdr>
              <w:divsChild>
                <w:div w:id="1794597485">
                  <w:marLeft w:val="0"/>
                  <w:marRight w:val="0"/>
                  <w:marTop w:val="0"/>
                  <w:marBottom w:val="0"/>
                  <w:divBdr>
                    <w:top w:val="none" w:sz="0" w:space="0" w:color="auto"/>
                    <w:left w:val="none" w:sz="0" w:space="0" w:color="auto"/>
                    <w:bottom w:val="none" w:sz="0" w:space="0" w:color="auto"/>
                    <w:right w:val="none" w:sz="0" w:space="0" w:color="auto"/>
                  </w:divBdr>
                  <w:divsChild>
                    <w:div w:id="135013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300009">
      <w:bodyDiv w:val="1"/>
      <w:marLeft w:val="0"/>
      <w:marRight w:val="0"/>
      <w:marTop w:val="0"/>
      <w:marBottom w:val="0"/>
      <w:divBdr>
        <w:top w:val="none" w:sz="0" w:space="0" w:color="auto"/>
        <w:left w:val="none" w:sz="0" w:space="0" w:color="auto"/>
        <w:bottom w:val="none" w:sz="0" w:space="0" w:color="auto"/>
        <w:right w:val="none" w:sz="0" w:space="0" w:color="auto"/>
      </w:divBdr>
    </w:div>
    <w:div w:id="529343063">
      <w:bodyDiv w:val="1"/>
      <w:marLeft w:val="0"/>
      <w:marRight w:val="0"/>
      <w:marTop w:val="0"/>
      <w:marBottom w:val="0"/>
      <w:divBdr>
        <w:top w:val="none" w:sz="0" w:space="0" w:color="auto"/>
        <w:left w:val="none" w:sz="0" w:space="0" w:color="auto"/>
        <w:bottom w:val="none" w:sz="0" w:space="0" w:color="auto"/>
        <w:right w:val="none" w:sz="0" w:space="0" w:color="auto"/>
      </w:divBdr>
    </w:div>
    <w:div w:id="529758498">
      <w:bodyDiv w:val="1"/>
      <w:marLeft w:val="0"/>
      <w:marRight w:val="0"/>
      <w:marTop w:val="0"/>
      <w:marBottom w:val="0"/>
      <w:divBdr>
        <w:top w:val="none" w:sz="0" w:space="0" w:color="auto"/>
        <w:left w:val="none" w:sz="0" w:space="0" w:color="auto"/>
        <w:bottom w:val="none" w:sz="0" w:space="0" w:color="auto"/>
        <w:right w:val="none" w:sz="0" w:space="0" w:color="auto"/>
      </w:divBdr>
    </w:div>
    <w:div w:id="530000436">
      <w:bodyDiv w:val="1"/>
      <w:marLeft w:val="0"/>
      <w:marRight w:val="0"/>
      <w:marTop w:val="0"/>
      <w:marBottom w:val="0"/>
      <w:divBdr>
        <w:top w:val="none" w:sz="0" w:space="0" w:color="auto"/>
        <w:left w:val="none" w:sz="0" w:space="0" w:color="auto"/>
        <w:bottom w:val="none" w:sz="0" w:space="0" w:color="auto"/>
        <w:right w:val="none" w:sz="0" w:space="0" w:color="auto"/>
      </w:divBdr>
      <w:divsChild>
        <w:div w:id="2100370418">
          <w:marLeft w:val="0"/>
          <w:marRight w:val="0"/>
          <w:marTop w:val="0"/>
          <w:marBottom w:val="0"/>
          <w:divBdr>
            <w:top w:val="none" w:sz="0" w:space="0" w:color="auto"/>
            <w:left w:val="none" w:sz="0" w:space="0" w:color="auto"/>
            <w:bottom w:val="none" w:sz="0" w:space="0" w:color="auto"/>
            <w:right w:val="none" w:sz="0" w:space="0" w:color="auto"/>
          </w:divBdr>
          <w:divsChild>
            <w:div w:id="662707175">
              <w:marLeft w:val="0"/>
              <w:marRight w:val="0"/>
              <w:marTop w:val="0"/>
              <w:marBottom w:val="0"/>
              <w:divBdr>
                <w:top w:val="none" w:sz="0" w:space="0" w:color="auto"/>
                <w:left w:val="none" w:sz="0" w:space="0" w:color="auto"/>
                <w:bottom w:val="none" w:sz="0" w:space="0" w:color="auto"/>
                <w:right w:val="none" w:sz="0" w:space="0" w:color="auto"/>
              </w:divBdr>
              <w:divsChild>
                <w:div w:id="481431340">
                  <w:marLeft w:val="0"/>
                  <w:marRight w:val="0"/>
                  <w:marTop w:val="0"/>
                  <w:marBottom w:val="0"/>
                  <w:divBdr>
                    <w:top w:val="none" w:sz="0" w:space="0" w:color="auto"/>
                    <w:left w:val="none" w:sz="0" w:space="0" w:color="auto"/>
                    <w:bottom w:val="none" w:sz="0" w:space="0" w:color="auto"/>
                    <w:right w:val="none" w:sz="0" w:space="0" w:color="auto"/>
                  </w:divBdr>
                  <w:divsChild>
                    <w:div w:id="1236209215">
                      <w:marLeft w:val="0"/>
                      <w:marRight w:val="0"/>
                      <w:marTop w:val="0"/>
                      <w:marBottom w:val="0"/>
                      <w:divBdr>
                        <w:top w:val="none" w:sz="0" w:space="0" w:color="auto"/>
                        <w:left w:val="none" w:sz="0" w:space="0" w:color="auto"/>
                        <w:bottom w:val="none" w:sz="0" w:space="0" w:color="auto"/>
                        <w:right w:val="none" w:sz="0" w:space="0" w:color="auto"/>
                      </w:divBdr>
                    </w:div>
                  </w:divsChild>
                </w:div>
                <w:div w:id="1213037375">
                  <w:marLeft w:val="0"/>
                  <w:marRight w:val="0"/>
                  <w:marTop w:val="0"/>
                  <w:marBottom w:val="0"/>
                  <w:divBdr>
                    <w:top w:val="none" w:sz="0" w:space="0" w:color="auto"/>
                    <w:left w:val="none" w:sz="0" w:space="0" w:color="auto"/>
                    <w:bottom w:val="none" w:sz="0" w:space="0" w:color="auto"/>
                    <w:right w:val="none" w:sz="0" w:space="0" w:color="auto"/>
                  </w:divBdr>
                  <w:divsChild>
                    <w:div w:id="196392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263632">
      <w:bodyDiv w:val="1"/>
      <w:marLeft w:val="0"/>
      <w:marRight w:val="0"/>
      <w:marTop w:val="0"/>
      <w:marBottom w:val="0"/>
      <w:divBdr>
        <w:top w:val="none" w:sz="0" w:space="0" w:color="auto"/>
        <w:left w:val="none" w:sz="0" w:space="0" w:color="auto"/>
        <w:bottom w:val="none" w:sz="0" w:space="0" w:color="auto"/>
        <w:right w:val="none" w:sz="0" w:space="0" w:color="auto"/>
      </w:divBdr>
    </w:div>
    <w:div w:id="531189081">
      <w:bodyDiv w:val="1"/>
      <w:marLeft w:val="0"/>
      <w:marRight w:val="0"/>
      <w:marTop w:val="0"/>
      <w:marBottom w:val="0"/>
      <w:divBdr>
        <w:top w:val="none" w:sz="0" w:space="0" w:color="auto"/>
        <w:left w:val="none" w:sz="0" w:space="0" w:color="auto"/>
        <w:bottom w:val="none" w:sz="0" w:space="0" w:color="auto"/>
        <w:right w:val="none" w:sz="0" w:space="0" w:color="auto"/>
      </w:divBdr>
    </w:div>
    <w:div w:id="531572251">
      <w:bodyDiv w:val="1"/>
      <w:marLeft w:val="0"/>
      <w:marRight w:val="0"/>
      <w:marTop w:val="0"/>
      <w:marBottom w:val="0"/>
      <w:divBdr>
        <w:top w:val="none" w:sz="0" w:space="0" w:color="auto"/>
        <w:left w:val="none" w:sz="0" w:space="0" w:color="auto"/>
        <w:bottom w:val="none" w:sz="0" w:space="0" w:color="auto"/>
        <w:right w:val="none" w:sz="0" w:space="0" w:color="auto"/>
      </w:divBdr>
    </w:div>
    <w:div w:id="531766779">
      <w:bodyDiv w:val="1"/>
      <w:marLeft w:val="0"/>
      <w:marRight w:val="0"/>
      <w:marTop w:val="0"/>
      <w:marBottom w:val="0"/>
      <w:divBdr>
        <w:top w:val="none" w:sz="0" w:space="0" w:color="auto"/>
        <w:left w:val="none" w:sz="0" w:space="0" w:color="auto"/>
        <w:bottom w:val="none" w:sz="0" w:space="0" w:color="auto"/>
        <w:right w:val="none" w:sz="0" w:space="0" w:color="auto"/>
      </w:divBdr>
    </w:div>
    <w:div w:id="531965734">
      <w:bodyDiv w:val="1"/>
      <w:marLeft w:val="0"/>
      <w:marRight w:val="0"/>
      <w:marTop w:val="0"/>
      <w:marBottom w:val="0"/>
      <w:divBdr>
        <w:top w:val="none" w:sz="0" w:space="0" w:color="auto"/>
        <w:left w:val="none" w:sz="0" w:space="0" w:color="auto"/>
        <w:bottom w:val="none" w:sz="0" w:space="0" w:color="auto"/>
        <w:right w:val="none" w:sz="0" w:space="0" w:color="auto"/>
      </w:divBdr>
      <w:divsChild>
        <w:div w:id="788860096">
          <w:marLeft w:val="0"/>
          <w:marRight w:val="0"/>
          <w:marTop w:val="0"/>
          <w:marBottom w:val="0"/>
          <w:divBdr>
            <w:top w:val="none" w:sz="0" w:space="0" w:color="auto"/>
            <w:left w:val="none" w:sz="0" w:space="0" w:color="auto"/>
            <w:bottom w:val="none" w:sz="0" w:space="0" w:color="auto"/>
            <w:right w:val="none" w:sz="0" w:space="0" w:color="auto"/>
          </w:divBdr>
          <w:divsChild>
            <w:div w:id="539513713">
              <w:marLeft w:val="0"/>
              <w:marRight w:val="0"/>
              <w:marTop w:val="0"/>
              <w:marBottom w:val="0"/>
              <w:divBdr>
                <w:top w:val="none" w:sz="0" w:space="0" w:color="auto"/>
                <w:left w:val="none" w:sz="0" w:space="0" w:color="auto"/>
                <w:bottom w:val="none" w:sz="0" w:space="0" w:color="auto"/>
                <w:right w:val="none" w:sz="0" w:space="0" w:color="auto"/>
              </w:divBdr>
              <w:divsChild>
                <w:div w:id="14163020">
                  <w:marLeft w:val="0"/>
                  <w:marRight w:val="0"/>
                  <w:marTop w:val="0"/>
                  <w:marBottom w:val="0"/>
                  <w:divBdr>
                    <w:top w:val="none" w:sz="0" w:space="0" w:color="auto"/>
                    <w:left w:val="none" w:sz="0" w:space="0" w:color="auto"/>
                    <w:bottom w:val="none" w:sz="0" w:space="0" w:color="auto"/>
                    <w:right w:val="none" w:sz="0" w:space="0" w:color="auto"/>
                  </w:divBdr>
                  <w:divsChild>
                    <w:div w:id="204748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889887">
      <w:bodyDiv w:val="1"/>
      <w:marLeft w:val="0"/>
      <w:marRight w:val="0"/>
      <w:marTop w:val="0"/>
      <w:marBottom w:val="0"/>
      <w:divBdr>
        <w:top w:val="none" w:sz="0" w:space="0" w:color="auto"/>
        <w:left w:val="none" w:sz="0" w:space="0" w:color="auto"/>
        <w:bottom w:val="none" w:sz="0" w:space="0" w:color="auto"/>
        <w:right w:val="none" w:sz="0" w:space="0" w:color="auto"/>
      </w:divBdr>
      <w:divsChild>
        <w:div w:id="1639340332">
          <w:marLeft w:val="0"/>
          <w:marRight w:val="0"/>
          <w:marTop w:val="0"/>
          <w:marBottom w:val="0"/>
          <w:divBdr>
            <w:top w:val="none" w:sz="0" w:space="0" w:color="auto"/>
            <w:left w:val="none" w:sz="0" w:space="0" w:color="auto"/>
            <w:bottom w:val="none" w:sz="0" w:space="0" w:color="auto"/>
            <w:right w:val="none" w:sz="0" w:space="0" w:color="auto"/>
          </w:divBdr>
          <w:divsChild>
            <w:div w:id="1715470892">
              <w:marLeft w:val="0"/>
              <w:marRight w:val="0"/>
              <w:marTop w:val="0"/>
              <w:marBottom w:val="0"/>
              <w:divBdr>
                <w:top w:val="none" w:sz="0" w:space="0" w:color="auto"/>
                <w:left w:val="none" w:sz="0" w:space="0" w:color="auto"/>
                <w:bottom w:val="none" w:sz="0" w:space="0" w:color="auto"/>
                <w:right w:val="none" w:sz="0" w:space="0" w:color="auto"/>
              </w:divBdr>
              <w:divsChild>
                <w:div w:id="147163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546042">
      <w:bodyDiv w:val="1"/>
      <w:marLeft w:val="0"/>
      <w:marRight w:val="0"/>
      <w:marTop w:val="0"/>
      <w:marBottom w:val="0"/>
      <w:divBdr>
        <w:top w:val="none" w:sz="0" w:space="0" w:color="auto"/>
        <w:left w:val="none" w:sz="0" w:space="0" w:color="auto"/>
        <w:bottom w:val="none" w:sz="0" w:space="0" w:color="auto"/>
        <w:right w:val="none" w:sz="0" w:space="0" w:color="auto"/>
      </w:divBdr>
    </w:div>
    <w:div w:id="534003775">
      <w:bodyDiv w:val="1"/>
      <w:marLeft w:val="0"/>
      <w:marRight w:val="0"/>
      <w:marTop w:val="0"/>
      <w:marBottom w:val="0"/>
      <w:divBdr>
        <w:top w:val="none" w:sz="0" w:space="0" w:color="auto"/>
        <w:left w:val="none" w:sz="0" w:space="0" w:color="auto"/>
        <w:bottom w:val="none" w:sz="0" w:space="0" w:color="auto"/>
        <w:right w:val="none" w:sz="0" w:space="0" w:color="auto"/>
      </w:divBdr>
    </w:div>
    <w:div w:id="534075324">
      <w:bodyDiv w:val="1"/>
      <w:marLeft w:val="0"/>
      <w:marRight w:val="0"/>
      <w:marTop w:val="0"/>
      <w:marBottom w:val="0"/>
      <w:divBdr>
        <w:top w:val="none" w:sz="0" w:space="0" w:color="auto"/>
        <w:left w:val="none" w:sz="0" w:space="0" w:color="auto"/>
        <w:bottom w:val="none" w:sz="0" w:space="0" w:color="auto"/>
        <w:right w:val="none" w:sz="0" w:space="0" w:color="auto"/>
      </w:divBdr>
    </w:div>
    <w:div w:id="534463640">
      <w:bodyDiv w:val="1"/>
      <w:marLeft w:val="0"/>
      <w:marRight w:val="0"/>
      <w:marTop w:val="0"/>
      <w:marBottom w:val="0"/>
      <w:divBdr>
        <w:top w:val="none" w:sz="0" w:space="0" w:color="auto"/>
        <w:left w:val="none" w:sz="0" w:space="0" w:color="auto"/>
        <w:bottom w:val="none" w:sz="0" w:space="0" w:color="auto"/>
        <w:right w:val="none" w:sz="0" w:space="0" w:color="auto"/>
      </w:divBdr>
    </w:div>
    <w:div w:id="535657482">
      <w:bodyDiv w:val="1"/>
      <w:marLeft w:val="0"/>
      <w:marRight w:val="0"/>
      <w:marTop w:val="0"/>
      <w:marBottom w:val="0"/>
      <w:divBdr>
        <w:top w:val="none" w:sz="0" w:space="0" w:color="auto"/>
        <w:left w:val="none" w:sz="0" w:space="0" w:color="auto"/>
        <w:bottom w:val="none" w:sz="0" w:space="0" w:color="auto"/>
        <w:right w:val="none" w:sz="0" w:space="0" w:color="auto"/>
      </w:divBdr>
      <w:divsChild>
        <w:div w:id="708533589">
          <w:marLeft w:val="0"/>
          <w:marRight w:val="0"/>
          <w:marTop w:val="0"/>
          <w:marBottom w:val="0"/>
          <w:divBdr>
            <w:top w:val="none" w:sz="0" w:space="0" w:color="auto"/>
            <w:left w:val="none" w:sz="0" w:space="0" w:color="auto"/>
            <w:bottom w:val="none" w:sz="0" w:space="0" w:color="auto"/>
            <w:right w:val="none" w:sz="0" w:space="0" w:color="auto"/>
          </w:divBdr>
          <w:divsChild>
            <w:div w:id="42027735">
              <w:marLeft w:val="0"/>
              <w:marRight w:val="0"/>
              <w:marTop w:val="0"/>
              <w:marBottom w:val="0"/>
              <w:divBdr>
                <w:top w:val="none" w:sz="0" w:space="0" w:color="auto"/>
                <w:left w:val="none" w:sz="0" w:space="0" w:color="auto"/>
                <w:bottom w:val="none" w:sz="0" w:space="0" w:color="auto"/>
                <w:right w:val="none" w:sz="0" w:space="0" w:color="auto"/>
              </w:divBdr>
              <w:divsChild>
                <w:div w:id="1694263630">
                  <w:marLeft w:val="0"/>
                  <w:marRight w:val="0"/>
                  <w:marTop w:val="0"/>
                  <w:marBottom w:val="0"/>
                  <w:divBdr>
                    <w:top w:val="none" w:sz="0" w:space="0" w:color="auto"/>
                    <w:left w:val="none" w:sz="0" w:space="0" w:color="auto"/>
                    <w:bottom w:val="none" w:sz="0" w:space="0" w:color="auto"/>
                    <w:right w:val="none" w:sz="0" w:space="0" w:color="auto"/>
                  </w:divBdr>
                  <w:divsChild>
                    <w:div w:id="204590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092118">
      <w:bodyDiv w:val="1"/>
      <w:marLeft w:val="0"/>
      <w:marRight w:val="0"/>
      <w:marTop w:val="0"/>
      <w:marBottom w:val="0"/>
      <w:divBdr>
        <w:top w:val="none" w:sz="0" w:space="0" w:color="auto"/>
        <w:left w:val="none" w:sz="0" w:space="0" w:color="auto"/>
        <w:bottom w:val="none" w:sz="0" w:space="0" w:color="auto"/>
        <w:right w:val="none" w:sz="0" w:space="0" w:color="auto"/>
      </w:divBdr>
    </w:div>
    <w:div w:id="537864189">
      <w:bodyDiv w:val="1"/>
      <w:marLeft w:val="0"/>
      <w:marRight w:val="0"/>
      <w:marTop w:val="0"/>
      <w:marBottom w:val="0"/>
      <w:divBdr>
        <w:top w:val="none" w:sz="0" w:space="0" w:color="auto"/>
        <w:left w:val="none" w:sz="0" w:space="0" w:color="auto"/>
        <w:bottom w:val="none" w:sz="0" w:space="0" w:color="auto"/>
        <w:right w:val="none" w:sz="0" w:space="0" w:color="auto"/>
      </w:divBdr>
    </w:div>
    <w:div w:id="538007782">
      <w:bodyDiv w:val="1"/>
      <w:marLeft w:val="0"/>
      <w:marRight w:val="0"/>
      <w:marTop w:val="0"/>
      <w:marBottom w:val="0"/>
      <w:divBdr>
        <w:top w:val="none" w:sz="0" w:space="0" w:color="auto"/>
        <w:left w:val="none" w:sz="0" w:space="0" w:color="auto"/>
        <w:bottom w:val="none" w:sz="0" w:space="0" w:color="auto"/>
        <w:right w:val="none" w:sz="0" w:space="0" w:color="auto"/>
      </w:divBdr>
    </w:div>
    <w:div w:id="538512650">
      <w:bodyDiv w:val="1"/>
      <w:marLeft w:val="0"/>
      <w:marRight w:val="0"/>
      <w:marTop w:val="0"/>
      <w:marBottom w:val="0"/>
      <w:divBdr>
        <w:top w:val="none" w:sz="0" w:space="0" w:color="auto"/>
        <w:left w:val="none" w:sz="0" w:space="0" w:color="auto"/>
        <w:bottom w:val="none" w:sz="0" w:space="0" w:color="auto"/>
        <w:right w:val="none" w:sz="0" w:space="0" w:color="auto"/>
      </w:divBdr>
    </w:div>
    <w:div w:id="540022564">
      <w:bodyDiv w:val="1"/>
      <w:marLeft w:val="0"/>
      <w:marRight w:val="0"/>
      <w:marTop w:val="0"/>
      <w:marBottom w:val="0"/>
      <w:divBdr>
        <w:top w:val="none" w:sz="0" w:space="0" w:color="auto"/>
        <w:left w:val="none" w:sz="0" w:space="0" w:color="auto"/>
        <w:bottom w:val="none" w:sz="0" w:space="0" w:color="auto"/>
        <w:right w:val="none" w:sz="0" w:space="0" w:color="auto"/>
      </w:divBdr>
      <w:divsChild>
        <w:div w:id="471943501">
          <w:marLeft w:val="0"/>
          <w:marRight w:val="0"/>
          <w:marTop w:val="0"/>
          <w:marBottom w:val="0"/>
          <w:divBdr>
            <w:top w:val="none" w:sz="0" w:space="0" w:color="auto"/>
            <w:left w:val="none" w:sz="0" w:space="0" w:color="auto"/>
            <w:bottom w:val="none" w:sz="0" w:space="0" w:color="auto"/>
            <w:right w:val="none" w:sz="0" w:space="0" w:color="auto"/>
          </w:divBdr>
          <w:divsChild>
            <w:div w:id="612251539">
              <w:marLeft w:val="0"/>
              <w:marRight w:val="0"/>
              <w:marTop w:val="0"/>
              <w:marBottom w:val="0"/>
              <w:divBdr>
                <w:top w:val="none" w:sz="0" w:space="0" w:color="auto"/>
                <w:left w:val="none" w:sz="0" w:space="0" w:color="auto"/>
                <w:bottom w:val="none" w:sz="0" w:space="0" w:color="auto"/>
                <w:right w:val="none" w:sz="0" w:space="0" w:color="auto"/>
              </w:divBdr>
              <w:divsChild>
                <w:div w:id="363748232">
                  <w:marLeft w:val="0"/>
                  <w:marRight w:val="0"/>
                  <w:marTop w:val="0"/>
                  <w:marBottom w:val="0"/>
                  <w:divBdr>
                    <w:top w:val="none" w:sz="0" w:space="0" w:color="auto"/>
                    <w:left w:val="none" w:sz="0" w:space="0" w:color="auto"/>
                    <w:bottom w:val="none" w:sz="0" w:space="0" w:color="auto"/>
                    <w:right w:val="none" w:sz="0" w:space="0" w:color="auto"/>
                  </w:divBdr>
                  <w:divsChild>
                    <w:div w:id="10653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829693">
      <w:bodyDiv w:val="1"/>
      <w:marLeft w:val="0"/>
      <w:marRight w:val="0"/>
      <w:marTop w:val="0"/>
      <w:marBottom w:val="0"/>
      <w:divBdr>
        <w:top w:val="none" w:sz="0" w:space="0" w:color="auto"/>
        <w:left w:val="none" w:sz="0" w:space="0" w:color="auto"/>
        <w:bottom w:val="none" w:sz="0" w:space="0" w:color="auto"/>
        <w:right w:val="none" w:sz="0" w:space="0" w:color="auto"/>
      </w:divBdr>
    </w:div>
    <w:div w:id="541208548">
      <w:bodyDiv w:val="1"/>
      <w:marLeft w:val="0"/>
      <w:marRight w:val="0"/>
      <w:marTop w:val="0"/>
      <w:marBottom w:val="0"/>
      <w:divBdr>
        <w:top w:val="none" w:sz="0" w:space="0" w:color="auto"/>
        <w:left w:val="none" w:sz="0" w:space="0" w:color="auto"/>
        <w:bottom w:val="none" w:sz="0" w:space="0" w:color="auto"/>
        <w:right w:val="none" w:sz="0" w:space="0" w:color="auto"/>
      </w:divBdr>
    </w:div>
    <w:div w:id="542180416">
      <w:bodyDiv w:val="1"/>
      <w:marLeft w:val="0"/>
      <w:marRight w:val="0"/>
      <w:marTop w:val="0"/>
      <w:marBottom w:val="0"/>
      <w:divBdr>
        <w:top w:val="none" w:sz="0" w:space="0" w:color="auto"/>
        <w:left w:val="none" w:sz="0" w:space="0" w:color="auto"/>
        <w:bottom w:val="none" w:sz="0" w:space="0" w:color="auto"/>
        <w:right w:val="none" w:sz="0" w:space="0" w:color="auto"/>
      </w:divBdr>
    </w:div>
    <w:div w:id="542786471">
      <w:bodyDiv w:val="1"/>
      <w:marLeft w:val="0"/>
      <w:marRight w:val="0"/>
      <w:marTop w:val="0"/>
      <w:marBottom w:val="0"/>
      <w:divBdr>
        <w:top w:val="none" w:sz="0" w:space="0" w:color="auto"/>
        <w:left w:val="none" w:sz="0" w:space="0" w:color="auto"/>
        <w:bottom w:val="none" w:sz="0" w:space="0" w:color="auto"/>
        <w:right w:val="none" w:sz="0" w:space="0" w:color="auto"/>
      </w:divBdr>
      <w:divsChild>
        <w:div w:id="651763658">
          <w:marLeft w:val="0"/>
          <w:marRight w:val="0"/>
          <w:marTop w:val="0"/>
          <w:marBottom w:val="0"/>
          <w:divBdr>
            <w:top w:val="none" w:sz="0" w:space="0" w:color="auto"/>
            <w:left w:val="none" w:sz="0" w:space="0" w:color="auto"/>
            <w:bottom w:val="none" w:sz="0" w:space="0" w:color="auto"/>
            <w:right w:val="none" w:sz="0" w:space="0" w:color="auto"/>
          </w:divBdr>
          <w:divsChild>
            <w:div w:id="146017148">
              <w:marLeft w:val="0"/>
              <w:marRight w:val="0"/>
              <w:marTop w:val="0"/>
              <w:marBottom w:val="0"/>
              <w:divBdr>
                <w:top w:val="none" w:sz="0" w:space="0" w:color="auto"/>
                <w:left w:val="none" w:sz="0" w:space="0" w:color="auto"/>
                <w:bottom w:val="none" w:sz="0" w:space="0" w:color="auto"/>
                <w:right w:val="none" w:sz="0" w:space="0" w:color="auto"/>
              </w:divBdr>
              <w:divsChild>
                <w:div w:id="199009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097454">
      <w:bodyDiv w:val="1"/>
      <w:marLeft w:val="0"/>
      <w:marRight w:val="0"/>
      <w:marTop w:val="0"/>
      <w:marBottom w:val="0"/>
      <w:divBdr>
        <w:top w:val="none" w:sz="0" w:space="0" w:color="auto"/>
        <w:left w:val="none" w:sz="0" w:space="0" w:color="auto"/>
        <w:bottom w:val="none" w:sz="0" w:space="0" w:color="auto"/>
        <w:right w:val="none" w:sz="0" w:space="0" w:color="auto"/>
      </w:divBdr>
      <w:divsChild>
        <w:div w:id="1720667105">
          <w:marLeft w:val="0"/>
          <w:marRight w:val="0"/>
          <w:marTop w:val="0"/>
          <w:marBottom w:val="0"/>
          <w:divBdr>
            <w:top w:val="none" w:sz="0" w:space="0" w:color="auto"/>
            <w:left w:val="none" w:sz="0" w:space="0" w:color="auto"/>
            <w:bottom w:val="none" w:sz="0" w:space="0" w:color="auto"/>
            <w:right w:val="none" w:sz="0" w:space="0" w:color="auto"/>
          </w:divBdr>
          <w:divsChild>
            <w:div w:id="1999923340">
              <w:marLeft w:val="0"/>
              <w:marRight w:val="0"/>
              <w:marTop w:val="0"/>
              <w:marBottom w:val="0"/>
              <w:divBdr>
                <w:top w:val="none" w:sz="0" w:space="0" w:color="auto"/>
                <w:left w:val="none" w:sz="0" w:space="0" w:color="auto"/>
                <w:bottom w:val="none" w:sz="0" w:space="0" w:color="auto"/>
                <w:right w:val="none" w:sz="0" w:space="0" w:color="auto"/>
              </w:divBdr>
              <w:divsChild>
                <w:div w:id="1203322620">
                  <w:marLeft w:val="0"/>
                  <w:marRight w:val="0"/>
                  <w:marTop w:val="0"/>
                  <w:marBottom w:val="0"/>
                  <w:divBdr>
                    <w:top w:val="none" w:sz="0" w:space="0" w:color="auto"/>
                    <w:left w:val="none" w:sz="0" w:space="0" w:color="auto"/>
                    <w:bottom w:val="none" w:sz="0" w:space="0" w:color="auto"/>
                    <w:right w:val="none" w:sz="0" w:space="0" w:color="auto"/>
                  </w:divBdr>
                  <w:divsChild>
                    <w:div w:id="200273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178496">
      <w:bodyDiv w:val="1"/>
      <w:marLeft w:val="0"/>
      <w:marRight w:val="0"/>
      <w:marTop w:val="0"/>
      <w:marBottom w:val="0"/>
      <w:divBdr>
        <w:top w:val="none" w:sz="0" w:space="0" w:color="auto"/>
        <w:left w:val="none" w:sz="0" w:space="0" w:color="auto"/>
        <w:bottom w:val="none" w:sz="0" w:space="0" w:color="auto"/>
        <w:right w:val="none" w:sz="0" w:space="0" w:color="auto"/>
      </w:divBdr>
    </w:div>
    <w:div w:id="543445841">
      <w:bodyDiv w:val="1"/>
      <w:marLeft w:val="0"/>
      <w:marRight w:val="0"/>
      <w:marTop w:val="0"/>
      <w:marBottom w:val="0"/>
      <w:divBdr>
        <w:top w:val="none" w:sz="0" w:space="0" w:color="auto"/>
        <w:left w:val="none" w:sz="0" w:space="0" w:color="auto"/>
        <w:bottom w:val="none" w:sz="0" w:space="0" w:color="auto"/>
        <w:right w:val="none" w:sz="0" w:space="0" w:color="auto"/>
      </w:divBdr>
      <w:divsChild>
        <w:div w:id="1880237560">
          <w:marLeft w:val="0"/>
          <w:marRight w:val="0"/>
          <w:marTop w:val="0"/>
          <w:marBottom w:val="0"/>
          <w:divBdr>
            <w:top w:val="none" w:sz="0" w:space="0" w:color="auto"/>
            <w:left w:val="none" w:sz="0" w:space="0" w:color="auto"/>
            <w:bottom w:val="none" w:sz="0" w:space="0" w:color="auto"/>
            <w:right w:val="none" w:sz="0" w:space="0" w:color="auto"/>
          </w:divBdr>
          <w:divsChild>
            <w:div w:id="490222905">
              <w:marLeft w:val="0"/>
              <w:marRight w:val="0"/>
              <w:marTop w:val="0"/>
              <w:marBottom w:val="0"/>
              <w:divBdr>
                <w:top w:val="none" w:sz="0" w:space="0" w:color="auto"/>
                <w:left w:val="none" w:sz="0" w:space="0" w:color="auto"/>
                <w:bottom w:val="none" w:sz="0" w:space="0" w:color="auto"/>
                <w:right w:val="none" w:sz="0" w:space="0" w:color="auto"/>
              </w:divBdr>
              <w:divsChild>
                <w:div w:id="1028262063">
                  <w:marLeft w:val="0"/>
                  <w:marRight w:val="0"/>
                  <w:marTop w:val="0"/>
                  <w:marBottom w:val="0"/>
                  <w:divBdr>
                    <w:top w:val="none" w:sz="0" w:space="0" w:color="auto"/>
                    <w:left w:val="none" w:sz="0" w:space="0" w:color="auto"/>
                    <w:bottom w:val="none" w:sz="0" w:space="0" w:color="auto"/>
                    <w:right w:val="none" w:sz="0" w:space="0" w:color="auto"/>
                  </w:divBdr>
                </w:div>
              </w:divsChild>
            </w:div>
            <w:div w:id="1802385711">
              <w:marLeft w:val="0"/>
              <w:marRight w:val="0"/>
              <w:marTop w:val="0"/>
              <w:marBottom w:val="0"/>
              <w:divBdr>
                <w:top w:val="none" w:sz="0" w:space="0" w:color="auto"/>
                <w:left w:val="none" w:sz="0" w:space="0" w:color="auto"/>
                <w:bottom w:val="none" w:sz="0" w:space="0" w:color="auto"/>
                <w:right w:val="none" w:sz="0" w:space="0" w:color="auto"/>
              </w:divBdr>
              <w:divsChild>
                <w:div w:id="1867673514">
                  <w:marLeft w:val="0"/>
                  <w:marRight w:val="0"/>
                  <w:marTop w:val="0"/>
                  <w:marBottom w:val="0"/>
                  <w:divBdr>
                    <w:top w:val="none" w:sz="0" w:space="0" w:color="auto"/>
                    <w:left w:val="none" w:sz="0" w:space="0" w:color="auto"/>
                    <w:bottom w:val="none" w:sz="0" w:space="0" w:color="auto"/>
                    <w:right w:val="none" w:sz="0" w:space="0" w:color="auto"/>
                  </w:divBdr>
                </w:div>
              </w:divsChild>
            </w:div>
            <w:div w:id="1969043984">
              <w:marLeft w:val="0"/>
              <w:marRight w:val="0"/>
              <w:marTop w:val="0"/>
              <w:marBottom w:val="0"/>
              <w:divBdr>
                <w:top w:val="none" w:sz="0" w:space="0" w:color="auto"/>
                <w:left w:val="none" w:sz="0" w:space="0" w:color="auto"/>
                <w:bottom w:val="none" w:sz="0" w:space="0" w:color="auto"/>
                <w:right w:val="none" w:sz="0" w:space="0" w:color="auto"/>
              </w:divBdr>
              <w:divsChild>
                <w:div w:id="12671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641333">
      <w:bodyDiv w:val="1"/>
      <w:marLeft w:val="0"/>
      <w:marRight w:val="0"/>
      <w:marTop w:val="0"/>
      <w:marBottom w:val="0"/>
      <w:divBdr>
        <w:top w:val="none" w:sz="0" w:space="0" w:color="auto"/>
        <w:left w:val="none" w:sz="0" w:space="0" w:color="auto"/>
        <w:bottom w:val="none" w:sz="0" w:space="0" w:color="auto"/>
        <w:right w:val="none" w:sz="0" w:space="0" w:color="auto"/>
      </w:divBdr>
    </w:div>
    <w:div w:id="543715066">
      <w:bodyDiv w:val="1"/>
      <w:marLeft w:val="0"/>
      <w:marRight w:val="0"/>
      <w:marTop w:val="0"/>
      <w:marBottom w:val="0"/>
      <w:divBdr>
        <w:top w:val="none" w:sz="0" w:space="0" w:color="auto"/>
        <w:left w:val="none" w:sz="0" w:space="0" w:color="auto"/>
        <w:bottom w:val="none" w:sz="0" w:space="0" w:color="auto"/>
        <w:right w:val="none" w:sz="0" w:space="0" w:color="auto"/>
      </w:divBdr>
      <w:divsChild>
        <w:div w:id="91243882">
          <w:marLeft w:val="0"/>
          <w:marRight w:val="0"/>
          <w:marTop w:val="0"/>
          <w:marBottom w:val="0"/>
          <w:divBdr>
            <w:top w:val="none" w:sz="0" w:space="0" w:color="auto"/>
            <w:left w:val="none" w:sz="0" w:space="0" w:color="auto"/>
            <w:bottom w:val="none" w:sz="0" w:space="0" w:color="auto"/>
            <w:right w:val="none" w:sz="0" w:space="0" w:color="auto"/>
          </w:divBdr>
          <w:divsChild>
            <w:div w:id="550730874">
              <w:marLeft w:val="0"/>
              <w:marRight w:val="0"/>
              <w:marTop w:val="0"/>
              <w:marBottom w:val="0"/>
              <w:divBdr>
                <w:top w:val="none" w:sz="0" w:space="0" w:color="auto"/>
                <w:left w:val="none" w:sz="0" w:space="0" w:color="auto"/>
                <w:bottom w:val="none" w:sz="0" w:space="0" w:color="auto"/>
                <w:right w:val="none" w:sz="0" w:space="0" w:color="auto"/>
              </w:divBdr>
              <w:divsChild>
                <w:div w:id="198273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680389">
      <w:bodyDiv w:val="1"/>
      <w:marLeft w:val="0"/>
      <w:marRight w:val="0"/>
      <w:marTop w:val="0"/>
      <w:marBottom w:val="0"/>
      <w:divBdr>
        <w:top w:val="none" w:sz="0" w:space="0" w:color="auto"/>
        <w:left w:val="none" w:sz="0" w:space="0" w:color="auto"/>
        <w:bottom w:val="none" w:sz="0" w:space="0" w:color="auto"/>
        <w:right w:val="none" w:sz="0" w:space="0" w:color="auto"/>
      </w:divBdr>
    </w:div>
    <w:div w:id="544753191">
      <w:bodyDiv w:val="1"/>
      <w:marLeft w:val="0"/>
      <w:marRight w:val="0"/>
      <w:marTop w:val="0"/>
      <w:marBottom w:val="0"/>
      <w:divBdr>
        <w:top w:val="none" w:sz="0" w:space="0" w:color="auto"/>
        <w:left w:val="none" w:sz="0" w:space="0" w:color="auto"/>
        <w:bottom w:val="none" w:sz="0" w:space="0" w:color="auto"/>
        <w:right w:val="none" w:sz="0" w:space="0" w:color="auto"/>
      </w:divBdr>
      <w:divsChild>
        <w:div w:id="1756588827">
          <w:marLeft w:val="0"/>
          <w:marRight w:val="0"/>
          <w:marTop w:val="0"/>
          <w:marBottom w:val="0"/>
          <w:divBdr>
            <w:top w:val="none" w:sz="0" w:space="0" w:color="auto"/>
            <w:left w:val="none" w:sz="0" w:space="0" w:color="auto"/>
            <w:bottom w:val="none" w:sz="0" w:space="0" w:color="auto"/>
            <w:right w:val="none" w:sz="0" w:space="0" w:color="auto"/>
          </w:divBdr>
          <w:divsChild>
            <w:div w:id="1876889861">
              <w:marLeft w:val="0"/>
              <w:marRight w:val="0"/>
              <w:marTop w:val="0"/>
              <w:marBottom w:val="0"/>
              <w:divBdr>
                <w:top w:val="none" w:sz="0" w:space="0" w:color="auto"/>
                <w:left w:val="none" w:sz="0" w:space="0" w:color="auto"/>
                <w:bottom w:val="none" w:sz="0" w:space="0" w:color="auto"/>
                <w:right w:val="none" w:sz="0" w:space="0" w:color="auto"/>
              </w:divBdr>
              <w:divsChild>
                <w:div w:id="21247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02981">
      <w:bodyDiv w:val="1"/>
      <w:marLeft w:val="0"/>
      <w:marRight w:val="0"/>
      <w:marTop w:val="0"/>
      <w:marBottom w:val="0"/>
      <w:divBdr>
        <w:top w:val="none" w:sz="0" w:space="0" w:color="auto"/>
        <w:left w:val="none" w:sz="0" w:space="0" w:color="auto"/>
        <w:bottom w:val="none" w:sz="0" w:space="0" w:color="auto"/>
        <w:right w:val="none" w:sz="0" w:space="0" w:color="auto"/>
      </w:divBdr>
    </w:div>
    <w:div w:id="546456577">
      <w:bodyDiv w:val="1"/>
      <w:marLeft w:val="0"/>
      <w:marRight w:val="0"/>
      <w:marTop w:val="0"/>
      <w:marBottom w:val="0"/>
      <w:divBdr>
        <w:top w:val="none" w:sz="0" w:space="0" w:color="auto"/>
        <w:left w:val="none" w:sz="0" w:space="0" w:color="auto"/>
        <w:bottom w:val="none" w:sz="0" w:space="0" w:color="auto"/>
        <w:right w:val="none" w:sz="0" w:space="0" w:color="auto"/>
      </w:divBdr>
    </w:div>
    <w:div w:id="547690014">
      <w:bodyDiv w:val="1"/>
      <w:marLeft w:val="0"/>
      <w:marRight w:val="0"/>
      <w:marTop w:val="0"/>
      <w:marBottom w:val="0"/>
      <w:divBdr>
        <w:top w:val="none" w:sz="0" w:space="0" w:color="auto"/>
        <w:left w:val="none" w:sz="0" w:space="0" w:color="auto"/>
        <w:bottom w:val="none" w:sz="0" w:space="0" w:color="auto"/>
        <w:right w:val="none" w:sz="0" w:space="0" w:color="auto"/>
      </w:divBdr>
      <w:divsChild>
        <w:div w:id="894581558">
          <w:marLeft w:val="0"/>
          <w:marRight w:val="0"/>
          <w:marTop w:val="0"/>
          <w:marBottom w:val="0"/>
          <w:divBdr>
            <w:top w:val="none" w:sz="0" w:space="0" w:color="auto"/>
            <w:left w:val="none" w:sz="0" w:space="0" w:color="auto"/>
            <w:bottom w:val="none" w:sz="0" w:space="0" w:color="auto"/>
            <w:right w:val="none" w:sz="0" w:space="0" w:color="auto"/>
          </w:divBdr>
          <w:divsChild>
            <w:div w:id="2038702267">
              <w:marLeft w:val="0"/>
              <w:marRight w:val="0"/>
              <w:marTop w:val="0"/>
              <w:marBottom w:val="0"/>
              <w:divBdr>
                <w:top w:val="none" w:sz="0" w:space="0" w:color="auto"/>
                <w:left w:val="none" w:sz="0" w:space="0" w:color="auto"/>
                <w:bottom w:val="none" w:sz="0" w:space="0" w:color="auto"/>
                <w:right w:val="none" w:sz="0" w:space="0" w:color="auto"/>
              </w:divBdr>
              <w:divsChild>
                <w:div w:id="790630024">
                  <w:marLeft w:val="0"/>
                  <w:marRight w:val="0"/>
                  <w:marTop w:val="0"/>
                  <w:marBottom w:val="0"/>
                  <w:divBdr>
                    <w:top w:val="none" w:sz="0" w:space="0" w:color="auto"/>
                    <w:left w:val="none" w:sz="0" w:space="0" w:color="auto"/>
                    <w:bottom w:val="none" w:sz="0" w:space="0" w:color="auto"/>
                    <w:right w:val="none" w:sz="0" w:space="0" w:color="auto"/>
                  </w:divBdr>
                  <w:divsChild>
                    <w:div w:id="78160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911299">
      <w:bodyDiv w:val="1"/>
      <w:marLeft w:val="0"/>
      <w:marRight w:val="0"/>
      <w:marTop w:val="0"/>
      <w:marBottom w:val="0"/>
      <w:divBdr>
        <w:top w:val="none" w:sz="0" w:space="0" w:color="auto"/>
        <w:left w:val="none" w:sz="0" w:space="0" w:color="auto"/>
        <w:bottom w:val="none" w:sz="0" w:space="0" w:color="auto"/>
        <w:right w:val="none" w:sz="0" w:space="0" w:color="auto"/>
      </w:divBdr>
    </w:div>
    <w:div w:id="548222745">
      <w:bodyDiv w:val="1"/>
      <w:marLeft w:val="0"/>
      <w:marRight w:val="0"/>
      <w:marTop w:val="0"/>
      <w:marBottom w:val="0"/>
      <w:divBdr>
        <w:top w:val="none" w:sz="0" w:space="0" w:color="auto"/>
        <w:left w:val="none" w:sz="0" w:space="0" w:color="auto"/>
        <w:bottom w:val="none" w:sz="0" w:space="0" w:color="auto"/>
        <w:right w:val="none" w:sz="0" w:space="0" w:color="auto"/>
      </w:divBdr>
    </w:div>
    <w:div w:id="548424285">
      <w:bodyDiv w:val="1"/>
      <w:marLeft w:val="0"/>
      <w:marRight w:val="0"/>
      <w:marTop w:val="0"/>
      <w:marBottom w:val="0"/>
      <w:divBdr>
        <w:top w:val="none" w:sz="0" w:space="0" w:color="auto"/>
        <w:left w:val="none" w:sz="0" w:space="0" w:color="auto"/>
        <w:bottom w:val="none" w:sz="0" w:space="0" w:color="auto"/>
        <w:right w:val="none" w:sz="0" w:space="0" w:color="auto"/>
      </w:divBdr>
      <w:divsChild>
        <w:div w:id="1117721345">
          <w:marLeft w:val="0"/>
          <w:marRight w:val="0"/>
          <w:marTop w:val="0"/>
          <w:marBottom w:val="0"/>
          <w:divBdr>
            <w:top w:val="none" w:sz="0" w:space="0" w:color="auto"/>
            <w:left w:val="none" w:sz="0" w:space="0" w:color="auto"/>
            <w:bottom w:val="none" w:sz="0" w:space="0" w:color="auto"/>
            <w:right w:val="none" w:sz="0" w:space="0" w:color="auto"/>
          </w:divBdr>
          <w:divsChild>
            <w:div w:id="82339827">
              <w:marLeft w:val="0"/>
              <w:marRight w:val="0"/>
              <w:marTop w:val="0"/>
              <w:marBottom w:val="0"/>
              <w:divBdr>
                <w:top w:val="none" w:sz="0" w:space="0" w:color="auto"/>
                <w:left w:val="none" w:sz="0" w:space="0" w:color="auto"/>
                <w:bottom w:val="none" w:sz="0" w:space="0" w:color="auto"/>
                <w:right w:val="none" w:sz="0" w:space="0" w:color="auto"/>
              </w:divBdr>
              <w:divsChild>
                <w:div w:id="1441608874">
                  <w:marLeft w:val="0"/>
                  <w:marRight w:val="0"/>
                  <w:marTop w:val="0"/>
                  <w:marBottom w:val="0"/>
                  <w:divBdr>
                    <w:top w:val="none" w:sz="0" w:space="0" w:color="auto"/>
                    <w:left w:val="none" w:sz="0" w:space="0" w:color="auto"/>
                    <w:bottom w:val="none" w:sz="0" w:space="0" w:color="auto"/>
                    <w:right w:val="none" w:sz="0" w:space="0" w:color="auto"/>
                  </w:divBdr>
                </w:div>
              </w:divsChild>
            </w:div>
            <w:div w:id="113645269">
              <w:marLeft w:val="0"/>
              <w:marRight w:val="0"/>
              <w:marTop w:val="0"/>
              <w:marBottom w:val="0"/>
              <w:divBdr>
                <w:top w:val="none" w:sz="0" w:space="0" w:color="auto"/>
                <w:left w:val="none" w:sz="0" w:space="0" w:color="auto"/>
                <w:bottom w:val="none" w:sz="0" w:space="0" w:color="auto"/>
                <w:right w:val="none" w:sz="0" w:space="0" w:color="auto"/>
              </w:divBdr>
              <w:divsChild>
                <w:div w:id="157187384">
                  <w:marLeft w:val="0"/>
                  <w:marRight w:val="0"/>
                  <w:marTop w:val="0"/>
                  <w:marBottom w:val="0"/>
                  <w:divBdr>
                    <w:top w:val="none" w:sz="0" w:space="0" w:color="auto"/>
                    <w:left w:val="none" w:sz="0" w:space="0" w:color="auto"/>
                    <w:bottom w:val="none" w:sz="0" w:space="0" w:color="auto"/>
                    <w:right w:val="none" w:sz="0" w:space="0" w:color="auto"/>
                  </w:divBdr>
                </w:div>
              </w:divsChild>
            </w:div>
            <w:div w:id="155541369">
              <w:marLeft w:val="0"/>
              <w:marRight w:val="0"/>
              <w:marTop w:val="0"/>
              <w:marBottom w:val="0"/>
              <w:divBdr>
                <w:top w:val="none" w:sz="0" w:space="0" w:color="auto"/>
                <w:left w:val="none" w:sz="0" w:space="0" w:color="auto"/>
                <w:bottom w:val="none" w:sz="0" w:space="0" w:color="auto"/>
                <w:right w:val="none" w:sz="0" w:space="0" w:color="auto"/>
              </w:divBdr>
              <w:divsChild>
                <w:div w:id="777875020">
                  <w:marLeft w:val="0"/>
                  <w:marRight w:val="0"/>
                  <w:marTop w:val="0"/>
                  <w:marBottom w:val="0"/>
                  <w:divBdr>
                    <w:top w:val="none" w:sz="0" w:space="0" w:color="auto"/>
                    <w:left w:val="none" w:sz="0" w:space="0" w:color="auto"/>
                    <w:bottom w:val="none" w:sz="0" w:space="0" w:color="auto"/>
                    <w:right w:val="none" w:sz="0" w:space="0" w:color="auto"/>
                  </w:divBdr>
                </w:div>
              </w:divsChild>
            </w:div>
            <w:div w:id="205945574">
              <w:marLeft w:val="0"/>
              <w:marRight w:val="0"/>
              <w:marTop w:val="0"/>
              <w:marBottom w:val="0"/>
              <w:divBdr>
                <w:top w:val="none" w:sz="0" w:space="0" w:color="auto"/>
                <w:left w:val="none" w:sz="0" w:space="0" w:color="auto"/>
                <w:bottom w:val="none" w:sz="0" w:space="0" w:color="auto"/>
                <w:right w:val="none" w:sz="0" w:space="0" w:color="auto"/>
              </w:divBdr>
              <w:divsChild>
                <w:div w:id="1228951971">
                  <w:marLeft w:val="0"/>
                  <w:marRight w:val="0"/>
                  <w:marTop w:val="0"/>
                  <w:marBottom w:val="0"/>
                  <w:divBdr>
                    <w:top w:val="none" w:sz="0" w:space="0" w:color="auto"/>
                    <w:left w:val="none" w:sz="0" w:space="0" w:color="auto"/>
                    <w:bottom w:val="none" w:sz="0" w:space="0" w:color="auto"/>
                    <w:right w:val="none" w:sz="0" w:space="0" w:color="auto"/>
                  </w:divBdr>
                </w:div>
              </w:divsChild>
            </w:div>
            <w:div w:id="207114093">
              <w:marLeft w:val="0"/>
              <w:marRight w:val="0"/>
              <w:marTop w:val="0"/>
              <w:marBottom w:val="0"/>
              <w:divBdr>
                <w:top w:val="none" w:sz="0" w:space="0" w:color="auto"/>
                <w:left w:val="none" w:sz="0" w:space="0" w:color="auto"/>
                <w:bottom w:val="none" w:sz="0" w:space="0" w:color="auto"/>
                <w:right w:val="none" w:sz="0" w:space="0" w:color="auto"/>
              </w:divBdr>
              <w:divsChild>
                <w:div w:id="270165016">
                  <w:marLeft w:val="0"/>
                  <w:marRight w:val="0"/>
                  <w:marTop w:val="0"/>
                  <w:marBottom w:val="0"/>
                  <w:divBdr>
                    <w:top w:val="none" w:sz="0" w:space="0" w:color="auto"/>
                    <w:left w:val="none" w:sz="0" w:space="0" w:color="auto"/>
                    <w:bottom w:val="none" w:sz="0" w:space="0" w:color="auto"/>
                    <w:right w:val="none" w:sz="0" w:space="0" w:color="auto"/>
                  </w:divBdr>
                </w:div>
              </w:divsChild>
            </w:div>
            <w:div w:id="328873990">
              <w:marLeft w:val="0"/>
              <w:marRight w:val="0"/>
              <w:marTop w:val="0"/>
              <w:marBottom w:val="0"/>
              <w:divBdr>
                <w:top w:val="none" w:sz="0" w:space="0" w:color="auto"/>
                <w:left w:val="none" w:sz="0" w:space="0" w:color="auto"/>
                <w:bottom w:val="none" w:sz="0" w:space="0" w:color="auto"/>
                <w:right w:val="none" w:sz="0" w:space="0" w:color="auto"/>
              </w:divBdr>
              <w:divsChild>
                <w:div w:id="2051763441">
                  <w:marLeft w:val="0"/>
                  <w:marRight w:val="0"/>
                  <w:marTop w:val="0"/>
                  <w:marBottom w:val="0"/>
                  <w:divBdr>
                    <w:top w:val="none" w:sz="0" w:space="0" w:color="auto"/>
                    <w:left w:val="none" w:sz="0" w:space="0" w:color="auto"/>
                    <w:bottom w:val="none" w:sz="0" w:space="0" w:color="auto"/>
                    <w:right w:val="none" w:sz="0" w:space="0" w:color="auto"/>
                  </w:divBdr>
                </w:div>
              </w:divsChild>
            </w:div>
            <w:div w:id="421220413">
              <w:marLeft w:val="0"/>
              <w:marRight w:val="0"/>
              <w:marTop w:val="0"/>
              <w:marBottom w:val="0"/>
              <w:divBdr>
                <w:top w:val="none" w:sz="0" w:space="0" w:color="auto"/>
                <w:left w:val="none" w:sz="0" w:space="0" w:color="auto"/>
                <w:bottom w:val="none" w:sz="0" w:space="0" w:color="auto"/>
                <w:right w:val="none" w:sz="0" w:space="0" w:color="auto"/>
              </w:divBdr>
              <w:divsChild>
                <w:div w:id="1743604111">
                  <w:marLeft w:val="0"/>
                  <w:marRight w:val="0"/>
                  <w:marTop w:val="0"/>
                  <w:marBottom w:val="0"/>
                  <w:divBdr>
                    <w:top w:val="none" w:sz="0" w:space="0" w:color="auto"/>
                    <w:left w:val="none" w:sz="0" w:space="0" w:color="auto"/>
                    <w:bottom w:val="none" w:sz="0" w:space="0" w:color="auto"/>
                    <w:right w:val="none" w:sz="0" w:space="0" w:color="auto"/>
                  </w:divBdr>
                </w:div>
              </w:divsChild>
            </w:div>
            <w:div w:id="512765534">
              <w:marLeft w:val="0"/>
              <w:marRight w:val="0"/>
              <w:marTop w:val="0"/>
              <w:marBottom w:val="0"/>
              <w:divBdr>
                <w:top w:val="none" w:sz="0" w:space="0" w:color="auto"/>
                <w:left w:val="none" w:sz="0" w:space="0" w:color="auto"/>
                <w:bottom w:val="none" w:sz="0" w:space="0" w:color="auto"/>
                <w:right w:val="none" w:sz="0" w:space="0" w:color="auto"/>
              </w:divBdr>
              <w:divsChild>
                <w:div w:id="267927534">
                  <w:marLeft w:val="0"/>
                  <w:marRight w:val="0"/>
                  <w:marTop w:val="0"/>
                  <w:marBottom w:val="0"/>
                  <w:divBdr>
                    <w:top w:val="none" w:sz="0" w:space="0" w:color="auto"/>
                    <w:left w:val="none" w:sz="0" w:space="0" w:color="auto"/>
                    <w:bottom w:val="none" w:sz="0" w:space="0" w:color="auto"/>
                    <w:right w:val="none" w:sz="0" w:space="0" w:color="auto"/>
                  </w:divBdr>
                </w:div>
              </w:divsChild>
            </w:div>
            <w:div w:id="673529323">
              <w:marLeft w:val="0"/>
              <w:marRight w:val="0"/>
              <w:marTop w:val="0"/>
              <w:marBottom w:val="0"/>
              <w:divBdr>
                <w:top w:val="none" w:sz="0" w:space="0" w:color="auto"/>
                <w:left w:val="none" w:sz="0" w:space="0" w:color="auto"/>
                <w:bottom w:val="none" w:sz="0" w:space="0" w:color="auto"/>
                <w:right w:val="none" w:sz="0" w:space="0" w:color="auto"/>
              </w:divBdr>
              <w:divsChild>
                <w:div w:id="1349332336">
                  <w:marLeft w:val="0"/>
                  <w:marRight w:val="0"/>
                  <w:marTop w:val="0"/>
                  <w:marBottom w:val="0"/>
                  <w:divBdr>
                    <w:top w:val="none" w:sz="0" w:space="0" w:color="auto"/>
                    <w:left w:val="none" w:sz="0" w:space="0" w:color="auto"/>
                    <w:bottom w:val="none" w:sz="0" w:space="0" w:color="auto"/>
                    <w:right w:val="none" w:sz="0" w:space="0" w:color="auto"/>
                  </w:divBdr>
                </w:div>
              </w:divsChild>
            </w:div>
            <w:div w:id="697972629">
              <w:marLeft w:val="0"/>
              <w:marRight w:val="0"/>
              <w:marTop w:val="0"/>
              <w:marBottom w:val="0"/>
              <w:divBdr>
                <w:top w:val="none" w:sz="0" w:space="0" w:color="auto"/>
                <w:left w:val="none" w:sz="0" w:space="0" w:color="auto"/>
                <w:bottom w:val="none" w:sz="0" w:space="0" w:color="auto"/>
                <w:right w:val="none" w:sz="0" w:space="0" w:color="auto"/>
              </w:divBdr>
              <w:divsChild>
                <w:div w:id="591011863">
                  <w:marLeft w:val="0"/>
                  <w:marRight w:val="0"/>
                  <w:marTop w:val="0"/>
                  <w:marBottom w:val="0"/>
                  <w:divBdr>
                    <w:top w:val="none" w:sz="0" w:space="0" w:color="auto"/>
                    <w:left w:val="none" w:sz="0" w:space="0" w:color="auto"/>
                    <w:bottom w:val="none" w:sz="0" w:space="0" w:color="auto"/>
                    <w:right w:val="none" w:sz="0" w:space="0" w:color="auto"/>
                  </w:divBdr>
                </w:div>
              </w:divsChild>
            </w:div>
            <w:div w:id="873732098">
              <w:marLeft w:val="0"/>
              <w:marRight w:val="0"/>
              <w:marTop w:val="0"/>
              <w:marBottom w:val="0"/>
              <w:divBdr>
                <w:top w:val="none" w:sz="0" w:space="0" w:color="auto"/>
                <w:left w:val="none" w:sz="0" w:space="0" w:color="auto"/>
                <w:bottom w:val="none" w:sz="0" w:space="0" w:color="auto"/>
                <w:right w:val="none" w:sz="0" w:space="0" w:color="auto"/>
              </w:divBdr>
              <w:divsChild>
                <w:div w:id="1210722231">
                  <w:marLeft w:val="0"/>
                  <w:marRight w:val="0"/>
                  <w:marTop w:val="0"/>
                  <w:marBottom w:val="0"/>
                  <w:divBdr>
                    <w:top w:val="none" w:sz="0" w:space="0" w:color="auto"/>
                    <w:left w:val="none" w:sz="0" w:space="0" w:color="auto"/>
                    <w:bottom w:val="none" w:sz="0" w:space="0" w:color="auto"/>
                    <w:right w:val="none" w:sz="0" w:space="0" w:color="auto"/>
                  </w:divBdr>
                </w:div>
              </w:divsChild>
            </w:div>
            <w:div w:id="1292248557">
              <w:marLeft w:val="0"/>
              <w:marRight w:val="0"/>
              <w:marTop w:val="0"/>
              <w:marBottom w:val="0"/>
              <w:divBdr>
                <w:top w:val="none" w:sz="0" w:space="0" w:color="auto"/>
                <w:left w:val="none" w:sz="0" w:space="0" w:color="auto"/>
                <w:bottom w:val="none" w:sz="0" w:space="0" w:color="auto"/>
                <w:right w:val="none" w:sz="0" w:space="0" w:color="auto"/>
              </w:divBdr>
              <w:divsChild>
                <w:div w:id="2026705503">
                  <w:marLeft w:val="0"/>
                  <w:marRight w:val="0"/>
                  <w:marTop w:val="0"/>
                  <w:marBottom w:val="0"/>
                  <w:divBdr>
                    <w:top w:val="none" w:sz="0" w:space="0" w:color="auto"/>
                    <w:left w:val="none" w:sz="0" w:space="0" w:color="auto"/>
                    <w:bottom w:val="none" w:sz="0" w:space="0" w:color="auto"/>
                    <w:right w:val="none" w:sz="0" w:space="0" w:color="auto"/>
                  </w:divBdr>
                </w:div>
              </w:divsChild>
            </w:div>
            <w:div w:id="1829442413">
              <w:marLeft w:val="0"/>
              <w:marRight w:val="0"/>
              <w:marTop w:val="0"/>
              <w:marBottom w:val="0"/>
              <w:divBdr>
                <w:top w:val="none" w:sz="0" w:space="0" w:color="auto"/>
                <w:left w:val="none" w:sz="0" w:space="0" w:color="auto"/>
                <w:bottom w:val="none" w:sz="0" w:space="0" w:color="auto"/>
                <w:right w:val="none" w:sz="0" w:space="0" w:color="auto"/>
              </w:divBdr>
              <w:divsChild>
                <w:div w:id="9527722">
                  <w:marLeft w:val="0"/>
                  <w:marRight w:val="0"/>
                  <w:marTop w:val="0"/>
                  <w:marBottom w:val="0"/>
                  <w:divBdr>
                    <w:top w:val="none" w:sz="0" w:space="0" w:color="auto"/>
                    <w:left w:val="none" w:sz="0" w:space="0" w:color="auto"/>
                    <w:bottom w:val="none" w:sz="0" w:space="0" w:color="auto"/>
                    <w:right w:val="none" w:sz="0" w:space="0" w:color="auto"/>
                  </w:divBdr>
                </w:div>
              </w:divsChild>
            </w:div>
            <w:div w:id="1915159316">
              <w:marLeft w:val="0"/>
              <w:marRight w:val="0"/>
              <w:marTop w:val="0"/>
              <w:marBottom w:val="0"/>
              <w:divBdr>
                <w:top w:val="none" w:sz="0" w:space="0" w:color="auto"/>
                <w:left w:val="none" w:sz="0" w:space="0" w:color="auto"/>
                <w:bottom w:val="none" w:sz="0" w:space="0" w:color="auto"/>
                <w:right w:val="none" w:sz="0" w:space="0" w:color="auto"/>
              </w:divBdr>
              <w:divsChild>
                <w:div w:id="1553078233">
                  <w:marLeft w:val="0"/>
                  <w:marRight w:val="0"/>
                  <w:marTop w:val="0"/>
                  <w:marBottom w:val="0"/>
                  <w:divBdr>
                    <w:top w:val="none" w:sz="0" w:space="0" w:color="auto"/>
                    <w:left w:val="none" w:sz="0" w:space="0" w:color="auto"/>
                    <w:bottom w:val="none" w:sz="0" w:space="0" w:color="auto"/>
                    <w:right w:val="none" w:sz="0" w:space="0" w:color="auto"/>
                  </w:divBdr>
                </w:div>
              </w:divsChild>
            </w:div>
            <w:div w:id="1967999479">
              <w:marLeft w:val="0"/>
              <w:marRight w:val="0"/>
              <w:marTop w:val="0"/>
              <w:marBottom w:val="0"/>
              <w:divBdr>
                <w:top w:val="none" w:sz="0" w:space="0" w:color="auto"/>
                <w:left w:val="none" w:sz="0" w:space="0" w:color="auto"/>
                <w:bottom w:val="none" w:sz="0" w:space="0" w:color="auto"/>
                <w:right w:val="none" w:sz="0" w:space="0" w:color="auto"/>
              </w:divBdr>
              <w:divsChild>
                <w:div w:id="5791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153404">
      <w:bodyDiv w:val="1"/>
      <w:marLeft w:val="0"/>
      <w:marRight w:val="0"/>
      <w:marTop w:val="0"/>
      <w:marBottom w:val="0"/>
      <w:divBdr>
        <w:top w:val="none" w:sz="0" w:space="0" w:color="auto"/>
        <w:left w:val="none" w:sz="0" w:space="0" w:color="auto"/>
        <w:bottom w:val="none" w:sz="0" w:space="0" w:color="auto"/>
        <w:right w:val="none" w:sz="0" w:space="0" w:color="auto"/>
      </w:divBdr>
    </w:div>
    <w:div w:id="549221472">
      <w:bodyDiv w:val="1"/>
      <w:marLeft w:val="0"/>
      <w:marRight w:val="0"/>
      <w:marTop w:val="0"/>
      <w:marBottom w:val="0"/>
      <w:divBdr>
        <w:top w:val="none" w:sz="0" w:space="0" w:color="auto"/>
        <w:left w:val="none" w:sz="0" w:space="0" w:color="auto"/>
        <w:bottom w:val="none" w:sz="0" w:space="0" w:color="auto"/>
        <w:right w:val="none" w:sz="0" w:space="0" w:color="auto"/>
      </w:divBdr>
    </w:div>
    <w:div w:id="549265625">
      <w:bodyDiv w:val="1"/>
      <w:marLeft w:val="0"/>
      <w:marRight w:val="0"/>
      <w:marTop w:val="0"/>
      <w:marBottom w:val="0"/>
      <w:divBdr>
        <w:top w:val="none" w:sz="0" w:space="0" w:color="auto"/>
        <w:left w:val="none" w:sz="0" w:space="0" w:color="auto"/>
        <w:bottom w:val="none" w:sz="0" w:space="0" w:color="auto"/>
        <w:right w:val="none" w:sz="0" w:space="0" w:color="auto"/>
      </w:divBdr>
    </w:div>
    <w:div w:id="549416015">
      <w:bodyDiv w:val="1"/>
      <w:marLeft w:val="0"/>
      <w:marRight w:val="0"/>
      <w:marTop w:val="0"/>
      <w:marBottom w:val="0"/>
      <w:divBdr>
        <w:top w:val="none" w:sz="0" w:space="0" w:color="auto"/>
        <w:left w:val="none" w:sz="0" w:space="0" w:color="auto"/>
        <w:bottom w:val="none" w:sz="0" w:space="0" w:color="auto"/>
        <w:right w:val="none" w:sz="0" w:space="0" w:color="auto"/>
      </w:divBdr>
    </w:div>
    <w:div w:id="549418521">
      <w:bodyDiv w:val="1"/>
      <w:marLeft w:val="0"/>
      <w:marRight w:val="0"/>
      <w:marTop w:val="0"/>
      <w:marBottom w:val="0"/>
      <w:divBdr>
        <w:top w:val="none" w:sz="0" w:space="0" w:color="auto"/>
        <w:left w:val="none" w:sz="0" w:space="0" w:color="auto"/>
        <w:bottom w:val="none" w:sz="0" w:space="0" w:color="auto"/>
        <w:right w:val="none" w:sz="0" w:space="0" w:color="auto"/>
      </w:divBdr>
    </w:div>
    <w:div w:id="550506605">
      <w:bodyDiv w:val="1"/>
      <w:marLeft w:val="0"/>
      <w:marRight w:val="0"/>
      <w:marTop w:val="0"/>
      <w:marBottom w:val="0"/>
      <w:divBdr>
        <w:top w:val="none" w:sz="0" w:space="0" w:color="auto"/>
        <w:left w:val="none" w:sz="0" w:space="0" w:color="auto"/>
        <w:bottom w:val="none" w:sz="0" w:space="0" w:color="auto"/>
        <w:right w:val="none" w:sz="0" w:space="0" w:color="auto"/>
      </w:divBdr>
    </w:div>
    <w:div w:id="551307674">
      <w:bodyDiv w:val="1"/>
      <w:marLeft w:val="0"/>
      <w:marRight w:val="0"/>
      <w:marTop w:val="0"/>
      <w:marBottom w:val="0"/>
      <w:divBdr>
        <w:top w:val="none" w:sz="0" w:space="0" w:color="auto"/>
        <w:left w:val="none" w:sz="0" w:space="0" w:color="auto"/>
        <w:bottom w:val="none" w:sz="0" w:space="0" w:color="auto"/>
        <w:right w:val="none" w:sz="0" w:space="0" w:color="auto"/>
      </w:divBdr>
    </w:div>
    <w:div w:id="551430943">
      <w:bodyDiv w:val="1"/>
      <w:marLeft w:val="0"/>
      <w:marRight w:val="0"/>
      <w:marTop w:val="0"/>
      <w:marBottom w:val="0"/>
      <w:divBdr>
        <w:top w:val="none" w:sz="0" w:space="0" w:color="auto"/>
        <w:left w:val="none" w:sz="0" w:space="0" w:color="auto"/>
        <w:bottom w:val="none" w:sz="0" w:space="0" w:color="auto"/>
        <w:right w:val="none" w:sz="0" w:space="0" w:color="auto"/>
      </w:divBdr>
    </w:div>
    <w:div w:id="551694268">
      <w:bodyDiv w:val="1"/>
      <w:marLeft w:val="0"/>
      <w:marRight w:val="0"/>
      <w:marTop w:val="0"/>
      <w:marBottom w:val="0"/>
      <w:divBdr>
        <w:top w:val="none" w:sz="0" w:space="0" w:color="auto"/>
        <w:left w:val="none" w:sz="0" w:space="0" w:color="auto"/>
        <w:bottom w:val="none" w:sz="0" w:space="0" w:color="auto"/>
        <w:right w:val="none" w:sz="0" w:space="0" w:color="auto"/>
      </w:divBdr>
    </w:div>
    <w:div w:id="551893460">
      <w:bodyDiv w:val="1"/>
      <w:marLeft w:val="0"/>
      <w:marRight w:val="0"/>
      <w:marTop w:val="0"/>
      <w:marBottom w:val="0"/>
      <w:divBdr>
        <w:top w:val="none" w:sz="0" w:space="0" w:color="auto"/>
        <w:left w:val="none" w:sz="0" w:space="0" w:color="auto"/>
        <w:bottom w:val="none" w:sz="0" w:space="0" w:color="auto"/>
        <w:right w:val="none" w:sz="0" w:space="0" w:color="auto"/>
      </w:divBdr>
      <w:divsChild>
        <w:div w:id="93064701">
          <w:marLeft w:val="0"/>
          <w:marRight w:val="0"/>
          <w:marTop w:val="0"/>
          <w:marBottom w:val="0"/>
          <w:divBdr>
            <w:top w:val="none" w:sz="0" w:space="0" w:color="auto"/>
            <w:left w:val="none" w:sz="0" w:space="0" w:color="auto"/>
            <w:bottom w:val="none" w:sz="0" w:space="0" w:color="auto"/>
            <w:right w:val="none" w:sz="0" w:space="0" w:color="auto"/>
          </w:divBdr>
          <w:divsChild>
            <w:div w:id="1810050622">
              <w:marLeft w:val="0"/>
              <w:marRight w:val="0"/>
              <w:marTop w:val="0"/>
              <w:marBottom w:val="0"/>
              <w:divBdr>
                <w:top w:val="none" w:sz="0" w:space="0" w:color="auto"/>
                <w:left w:val="none" w:sz="0" w:space="0" w:color="auto"/>
                <w:bottom w:val="none" w:sz="0" w:space="0" w:color="auto"/>
                <w:right w:val="none" w:sz="0" w:space="0" w:color="auto"/>
              </w:divBdr>
              <w:divsChild>
                <w:div w:id="1044133087">
                  <w:marLeft w:val="0"/>
                  <w:marRight w:val="0"/>
                  <w:marTop w:val="0"/>
                  <w:marBottom w:val="0"/>
                  <w:divBdr>
                    <w:top w:val="none" w:sz="0" w:space="0" w:color="auto"/>
                    <w:left w:val="none" w:sz="0" w:space="0" w:color="auto"/>
                    <w:bottom w:val="none" w:sz="0" w:space="0" w:color="auto"/>
                    <w:right w:val="none" w:sz="0" w:space="0" w:color="auto"/>
                  </w:divBdr>
                  <w:divsChild>
                    <w:div w:id="4119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277446">
      <w:bodyDiv w:val="1"/>
      <w:marLeft w:val="0"/>
      <w:marRight w:val="0"/>
      <w:marTop w:val="0"/>
      <w:marBottom w:val="0"/>
      <w:divBdr>
        <w:top w:val="none" w:sz="0" w:space="0" w:color="auto"/>
        <w:left w:val="none" w:sz="0" w:space="0" w:color="auto"/>
        <w:bottom w:val="none" w:sz="0" w:space="0" w:color="auto"/>
        <w:right w:val="none" w:sz="0" w:space="0" w:color="auto"/>
      </w:divBdr>
    </w:div>
    <w:div w:id="552350267">
      <w:bodyDiv w:val="1"/>
      <w:marLeft w:val="0"/>
      <w:marRight w:val="0"/>
      <w:marTop w:val="0"/>
      <w:marBottom w:val="0"/>
      <w:divBdr>
        <w:top w:val="none" w:sz="0" w:space="0" w:color="auto"/>
        <w:left w:val="none" w:sz="0" w:space="0" w:color="auto"/>
        <w:bottom w:val="none" w:sz="0" w:space="0" w:color="auto"/>
        <w:right w:val="none" w:sz="0" w:space="0" w:color="auto"/>
      </w:divBdr>
    </w:div>
    <w:div w:id="553741340">
      <w:bodyDiv w:val="1"/>
      <w:marLeft w:val="0"/>
      <w:marRight w:val="0"/>
      <w:marTop w:val="0"/>
      <w:marBottom w:val="0"/>
      <w:divBdr>
        <w:top w:val="none" w:sz="0" w:space="0" w:color="auto"/>
        <w:left w:val="none" w:sz="0" w:space="0" w:color="auto"/>
        <w:bottom w:val="none" w:sz="0" w:space="0" w:color="auto"/>
        <w:right w:val="none" w:sz="0" w:space="0" w:color="auto"/>
      </w:divBdr>
    </w:div>
    <w:div w:id="554198677">
      <w:bodyDiv w:val="1"/>
      <w:marLeft w:val="0"/>
      <w:marRight w:val="0"/>
      <w:marTop w:val="0"/>
      <w:marBottom w:val="0"/>
      <w:divBdr>
        <w:top w:val="none" w:sz="0" w:space="0" w:color="auto"/>
        <w:left w:val="none" w:sz="0" w:space="0" w:color="auto"/>
        <w:bottom w:val="none" w:sz="0" w:space="0" w:color="auto"/>
        <w:right w:val="none" w:sz="0" w:space="0" w:color="auto"/>
      </w:divBdr>
    </w:div>
    <w:div w:id="556627840">
      <w:bodyDiv w:val="1"/>
      <w:marLeft w:val="0"/>
      <w:marRight w:val="0"/>
      <w:marTop w:val="0"/>
      <w:marBottom w:val="0"/>
      <w:divBdr>
        <w:top w:val="none" w:sz="0" w:space="0" w:color="auto"/>
        <w:left w:val="none" w:sz="0" w:space="0" w:color="auto"/>
        <w:bottom w:val="none" w:sz="0" w:space="0" w:color="auto"/>
        <w:right w:val="none" w:sz="0" w:space="0" w:color="auto"/>
      </w:divBdr>
    </w:div>
    <w:div w:id="556933677">
      <w:bodyDiv w:val="1"/>
      <w:marLeft w:val="0"/>
      <w:marRight w:val="0"/>
      <w:marTop w:val="0"/>
      <w:marBottom w:val="0"/>
      <w:divBdr>
        <w:top w:val="none" w:sz="0" w:space="0" w:color="auto"/>
        <w:left w:val="none" w:sz="0" w:space="0" w:color="auto"/>
        <w:bottom w:val="none" w:sz="0" w:space="0" w:color="auto"/>
        <w:right w:val="none" w:sz="0" w:space="0" w:color="auto"/>
      </w:divBdr>
    </w:div>
    <w:div w:id="557015596">
      <w:bodyDiv w:val="1"/>
      <w:marLeft w:val="0"/>
      <w:marRight w:val="0"/>
      <w:marTop w:val="0"/>
      <w:marBottom w:val="0"/>
      <w:divBdr>
        <w:top w:val="none" w:sz="0" w:space="0" w:color="auto"/>
        <w:left w:val="none" w:sz="0" w:space="0" w:color="auto"/>
        <w:bottom w:val="none" w:sz="0" w:space="0" w:color="auto"/>
        <w:right w:val="none" w:sz="0" w:space="0" w:color="auto"/>
      </w:divBdr>
    </w:div>
    <w:div w:id="557017639">
      <w:bodyDiv w:val="1"/>
      <w:marLeft w:val="0"/>
      <w:marRight w:val="0"/>
      <w:marTop w:val="0"/>
      <w:marBottom w:val="0"/>
      <w:divBdr>
        <w:top w:val="none" w:sz="0" w:space="0" w:color="auto"/>
        <w:left w:val="none" w:sz="0" w:space="0" w:color="auto"/>
        <w:bottom w:val="none" w:sz="0" w:space="0" w:color="auto"/>
        <w:right w:val="none" w:sz="0" w:space="0" w:color="auto"/>
      </w:divBdr>
    </w:div>
    <w:div w:id="557479780">
      <w:bodyDiv w:val="1"/>
      <w:marLeft w:val="0"/>
      <w:marRight w:val="0"/>
      <w:marTop w:val="0"/>
      <w:marBottom w:val="0"/>
      <w:divBdr>
        <w:top w:val="none" w:sz="0" w:space="0" w:color="auto"/>
        <w:left w:val="none" w:sz="0" w:space="0" w:color="auto"/>
        <w:bottom w:val="none" w:sz="0" w:space="0" w:color="auto"/>
        <w:right w:val="none" w:sz="0" w:space="0" w:color="auto"/>
      </w:divBdr>
    </w:div>
    <w:div w:id="558172265">
      <w:bodyDiv w:val="1"/>
      <w:marLeft w:val="0"/>
      <w:marRight w:val="0"/>
      <w:marTop w:val="0"/>
      <w:marBottom w:val="0"/>
      <w:divBdr>
        <w:top w:val="none" w:sz="0" w:space="0" w:color="auto"/>
        <w:left w:val="none" w:sz="0" w:space="0" w:color="auto"/>
        <w:bottom w:val="none" w:sz="0" w:space="0" w:color="auto"/>
        <w:right w:val="none" w:sz="0" w:space="0" w:color="auto"/>
      </w:divBdr>
    </w:div>
    <w:div w:id="558714339">
      <w:bodyDiv w:val="1"/>
      <w:marLeft w:val="0"/>
      <w:marRight w:val="0"/>
      <w:marTop w:val="0"/>
      <w:marBottom w:val="0"/>
      <w:divBdr>
        <w:top w:val="none" w:sz="0" w:space="0" w:color="auto"/>
        <w:left w:val="none" w:sz="0" w:space="0" w:color="auto"/>
        <w:bottom w:val="none" w:sz="0" w:space="0" w:color="auto"/>
        <w:right w:val="none" w:sz="0" w:space="0" w:color="auto"/>
      </w:divBdr>
    </w:div>
    <w:div w:id="558786790">
      <w:bodyDiv w:val="1"/>
      <w:marLeft w:val="0"/>
      <w:marRight w:val="0"/>
      <w:marTop w:val="0"/>
      <w:marBottom w:val="0"/>
      <w:divBdr>
        <w:top w:val="none" w:sz="0" w:space="0" w:color="auto"/>
        <w:left w:val="none" w:sz="0" w:space="0" w:color="auto"/>
        <w:bottom w:val="none" w:sz="0" w:space="0" w:color="auto"/>
        <w:right w:val="none" w:sz="0" w:space="0" w:color="auto"/>
      </w:divBdr>
    </w:div>
    <w:div w:id="559362658">
      <w:bodyDiv w:val="1"/>
      <w:marLeft w:val="0"/>
      <w:marRight w:val="0"/>
      <w:marTop w:val="0"/>
      <w:marBottom w:val="0"/>
      <w:divBdr>
        <w:top w:val="none" w:sz="0" w:space="0" w:color="auto"/>
        <w:left w:val="none" w:sz="0" w:space="0" w:color="auto"/>
        <w:bottom w:val="none" w:sz="0" w:space="0" w:color="auto"/>
        <w:right w:val="none" w:sz="0" w:space="0" w:color="auto"/>
      </w:divBdr>
    </w:div>
    <w:div w:id="559484994">
      <w:bodyDiv w:val="1"/>
      <w:marLeft w:val="0"/>
      <w:marRight w:val="0"/>
      <w:marTop w:val="0"/>
      <w:marBottom w:val="0"/>
      <w:divBdr>
        <w:top w:val="none" w:sz="0" w:space="0" w:color="auto"/>
        <w:left w:val="none" w:sz="0" w:space="0" w:color="auto"/>
        <w:bottom w:val="none" w:sz="0" w:space="0" w:color="auto"/>
        <w:right w:val="none" w:sz="0" w:space="0" w:color="auto"/>
      </w:divBdr>
    </w:div>
    <w:div w:id="559630259">
      <w:bodyDiv w:val="1"/>
      <w:marLeft w:val="0"/>
      <w:marRight w:val="0"/>
      <w:marTop w:val="0"/>
      <w:marBottom w:val="0"/>
      <w:divBdr>
        <w:top w:val="none" w:sz="0" w:space="0" w:color="auto"/>
        <w:left w:val="none" w:sz="0" w:space="0" w:color="auto"/>
        <w:bottom w:val="none" w:sz="0" w:space="0" w:color="auto"/>
        <w:right w:val="none" w:sz="0" w:space="0" w:color="auto"/>
      </w:divBdr>
      <w:divsChild>
        <w:div w:id="355884903">
          <w:marLeft w:val="0"/>
          <w:marRight w:val="0"/>
          <w:marTop w:val="0"/>
          <w:marBottom w:val="0"/>
          <w:divBdr>
            <w:top w:val="none" w:sz="0" w:space="0" w:color="auto"/>
            <w:left w:val="none" w:sz="0" w:space="0" w:color="auto"/>
            <w:bottom w:val="none" w:sz="0" w:space="0" w:color="auto"/>
            <w:right w:val="none" w:sz="0" w:space="0" w:color="auto"/>
          </w:divBdr>
          <w:divsChild>
            <w:div w:id="888226161">
              <w:marLeft w:val="0"/>
              <w:marRight w:val="0"/>
              <w:marTop w:val="0"/>
              <w:marBottom w:val="0"/>
              <w:divBdr>
                <w:top w:val="none" w:sz="0" w:space="0" w:color="auto"/>
                <w:left w:val="none" w:sz="0" w:space="0" w:color="auto"/>
                <w:bottom w:val="none" w:sz="0" w:space="0" w:color="auto"/>
                <w:right w:val="none" w:sz="0" w:space="0" w:color="auto"/>
              </w:divBdr>
              <w:divsChild>
                <w:div w:id="573052380">
                  <w:marLeft w:val="0"/>
                  <w:marRight w:val="0"/>
                  <w:marTop w:val="0"/>
                  <w:marBottom w:val="0"/>
                  <w:divBdr>
                    <w:top w:val="none" w:sz="0" w:space="0" w:color="auto"/>
                    <w:left w:val="none" w:sz="0" w:space="0" w:color="auto"/>
                    <w:bottom w:val="none" w:sz="0" w:space="0" w:color="auto"/>
                    <w:right w:val="none" w:sz="0" w:space="0" w:color="auto"/>
                  </w:divBdr>
                  <w:divsChild>
                    <w:div w:id="146469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751773">
      <w:bodyDiv w:val="1"/>
      <w:marLeft w:val="0"/>
      <w:marRight w:val="0"/>
      <w:marTop w:val="0"/>
      <w:marBottom w:val="0"/>
      <w:divBdr>
        <w:top w:val="none" w:sz="0" w:space="0" w:color="auto"/>
        <w:left w:val="none" w:sz="0" w:space="0" w:color="auto"/>
        <w:bottom w:val="none" w:sz="0" w:space="0" w:color="auto"/>
        <w:right w:val="none" w:sz="0" w:space="0" w:color="auto"/>
      </w:divBdr>
    </w:div>
    <w:div w:id="559753894">
      <w:bodyDiv w:val="1"/>
      <w:marLeft w:val="0"/>
      <w:marRight w:val="0"/>
      <w:marTop w:val="0"/>
      <w:marBottom w:val="0"/>
      <w:divBdr>
        <w:top w:val="none" w:sz="0" w:space="0" w:color="auto"/>
        <w:left w:val="none" w:sz="0" w:space="0" w:color="auto"/>
        <w:bottom w:val="none" w:sz="0" w:space="0" w:color="auto"/>
        <w:right w:val="none" w:sz="0" w:space="0" w:color="auto"/>
      </w:divBdr>
      <w:divsChild>
        <w:div w:id="1588802071">
          <w:marLeft w:val="0"/>
          <w:marRight w:val="0"/>
          <w:marTop w:val="0"/>
          <w:marBottom w:val="0"/>
          <w:divBdr>
            <w:top w:val="none" w:sz="0" w:space="0" w:color="auto"/>
            <w:left w:val="none" w:sz="0" w:space="0" w:color="auto"/>
            <w:bottom w:val="none" w:sz="0" w:space="0" w:color="auto"/>
            <w:right w:val="none" w:sz="0" w:space="0" w:color="auto"/>
          </w:divBdr>
          <w:divsChild>
            <w:div w:id="57482508">
              <w:marLeft w:val="0"/>
              <w:marRight w:val="0"/>
              <w:marTop w:val="0"/>
              <w:marBottom w:val="0"/>
              <w:divBdr>
                <w:top w:val="none" w:sz="0" w:space="0" w:color="auto"/>
                <w:left w:val="none" w:sz="0" w:space="0" w:color="auto"/>
                <w:bottom w:val="none" w:sz="0" w:space="0" w:color="auto"/>
                <w:right w:val="none" w:sz="0" w:space="0" w:color="auto"/>
              </w:divBdr>
              <w:divsChild>
                <w:div w:id="13079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41328">
      <w:bodyDiv w:val="1"/>
      <w:marLeft w:val="0"/>
      <w:marRight w:val="0"/>
      <w:marTop w:val="0"/>
      <w:marBottom w:val="0"/>
      <w:divBdr>
        <w:top w:val="none" w:sz="0" w:space="0" w:color="auto"/>
        <w:left w:val="none" w:sz="0" w:space="0" w:color="auto"/>
        <w:bottom w:val="none" w:sz="0" w:space="0" w:color="auto"/>
        <w:right w:val="none" w:sz="0" w:space="0" w:color="auto"/>
      </w:divBdr>
    </w:div>
    <w:div w:id="560869065">
      <w:bodyDiv w:val="1"/>
      <w:marLeft w:val="0"/>
      <w:marRight w:val="0"/>
      <w:marTop w:val="0"/>
      <w:marBottom w:val="0"/>
      <w:divBdr>
        <w:top w:val="none" w:sz="0" w:space="0" w:color="auto"/>
        <w:left w:val="none" w:sz="0" w:space="0" w:color="auto"/>
        <w:bottom w:val="none" w:sz="0" w:space="0" w:color="auto"/>
        <w:right w:val="none" w:sz="0" w:space="0" w:color="auto"/>
      </w:divBdr>
    </w:div>
    <w:div w:id="561137828">
      <w:bodyDiv w:val="1"/>
      <w:marLeft w:val="0"/>
      <w:marRight w:val="0"/>
      <w:marTop w:val="0"/>
      <w:marBottom w:val="0"/>
      <w:divBdr>
        <w:top w:val="none" w:sz="0" w:space="0" w:color="auto"/>
        <w:left w:val="none" w:sz="0" w:space="0" w:color="auto"/>
        <w:bottom w:val="none" w:sz="0" w:space="0" w:color="auto"/>
        <w:right w:val="none" w:sz="0" w:space="0" w:color="auto"/>
      </w:divBdr>
    </w:div>
    <w:div w:id="561142958">
      <w:bodyDiv w:val="1"/>
      <w:marLeft w:val="0"/>
      <w:marRight w:val="0"/>
      <w:marTop w:val="0"/>
      <w:marBottom w:val="0"/>
      <w:divBdr>
        <w:top w:val="none" w:sz="0" w:space="0" w:color="auto"/>
        <w:left w:val="none" w:sz="0" w:space="0" w:color="auto"/>
        <w:bottom w:val="none" w:sz="0" w:space="0" w:color="auto"/>
        <w:right w:val="none" w:sz="0" w:space="0" w:color="auto"/>
      </w:divBdr>
    </w:div>
    <w:div w:id="561916117">
      <w:bodyDiv w:val="1"/>
      <w:marLeft w:val="0"/>
      <w:marRight w:val="0"/>
      <w:marTop w:val="0"/>
      <w:marBottom w:val="0"/>
      <w:divBdr>
        <w:top w:val="none" w:sz="0" w:space="0" w:color="auto"/>
        <w:left w:val="none" w:sz="0" w:space="0" w:color="auto"/>
        <w:bottom w:val="none" w:sz="0" w:space="0" w:color="auto"/>
        <w:right w:val="none" w:sz="0" w:space="0" w:color="auto"/>
      </w:divBdr>
    </w:div>
    <w:div w:id="563680876">
      <w:bodyDiv w:val="1"/>
      <w:marLeft w:val="0"/>
      <w:marRight w:val="0"/>
      <w:marTop w:val="0"/>
      <w:marBottom w:val="0"/>
      <w:divBdr>
        <w:top w:val="none" w:sz="0" w:space="0" w:color="auto"/>
        <w:left w:val="none" w:sz="0" w:space="0" w:color="auto"/>
        <w:bottom w:val="none" w:sz="0" w:space="0" w:color="auto"/>
        <w:right w:val="none" w:sz="0" w:space="0" w:color="auto"/>
      </w:divBdr>
      <w:divsChild>
        <w:div w:id="691414276">
          <w:marLeft w:val="0"/>
          <w:marRight w:val="0"/>
          <w:marTop w:val="0"/>
          <w:marBottom w:val="0"/>
          <w:divBdr>
            <w:top w:val="none" w:sz="0" w:space="0" w:color="auto"/>
            <w:left w:val="none" w:sz="0" w:space="0" w:color="auto"/>
            <w:bottom w:val="none" w:sz="0" w:space="0" w:color="auto"/>
            <w:right w:val="none" w:sz="0" w:space="0" w:color="auto"/>
          </w:divBdr>
          <w:divsChild>
            <w:div w:id="1082797634">
              <w:marLeft w:val="0"/>
              <w:marRight w:val="0"/>
              <w:marTop w:val="0"/>
              <w:marBottom w:val="0"/>
              <w:divBdr>
                <w:top w:val="none" w:sz="0" w:space="0" w:color="auto"/>
                <w:left w:val="none" w:sz="0" w:space="0" w:color="auto"/>
                <w:bottom w:val="none" w:sz="0" w:space="0" w:color="auto"/>
                <w:right w:val="none" w:sz="0" w:space="0" w:color="auto"/>
              </w:divBdr>
              <w:divsChild>
                <w:div w:id="1912155046">
                  <w:marLeft w:val="0"/>
                  <w:marRight w:val="0"/>
                  <w:marTop w:val="0"/>
                  <w:marBottom w:val="0"/>
                  <w:divBdr>
                    <w:top w:val="none" w:sz="0" w:space="0" w:color="auto"/>
                    <w:left w:val="none" w:sz="0" w:space="0" w:color="auto"/>
                    <w:bottom w:val="none" w:sz="0" w:space="0" w:color="auto"/>
                    <w:right w:val="none" w:sz="0" w:space="0" w:color="auto"/>
                  </w:divBdr>
                  <w:divsChild>
                    <w:div w:id="1563756244">
                      <w:marLeft w:val="0"/>
                      <w:marRight w:val="0"/>
                      <w:marTop w:val="0"/>
                      <w:marBottom w:val="0"/>
                      <w:divBdr>
                        <w:top w:val="none" w:sz="0" w:space="0" w:color="auto"/>
                        <w:left w:val="none" w:sz="0" w:space="0" w:color="auto"/>
                        <w:bottom w:val="none" w:sz="0" w:space="0" w:color="auto"/>
                        <w:right w:val="none" w:sz="0" w:space="0" w:color="auto"/>
                      </w:divBdr>
                    </w:div>
                  </w:divsChild>
                </w:div>
                <w:div w:id="2049183987">
                  <w:marLeft w:val="0"/>
                  <w:marRight w:val="0"/>
                  <w:marTop w:val="0"/>
                  <w:marBottom w:val="0"/>
                  <w:divBdr>
                    <w:top w:val="none" w:sz="0" w:space="0" w:color="auto"/>
                    <w:left w:val="none" w:sz="0" w:space="0" w:color="auto"/>
                    <w:bottom w:val="none" w:sz="0" w:space="0" w:color="auto"/>
                    <w:right w:val="none" w:sz="0" w:space="0" w:color="auto"/>
                  </w:divBdr>
                  <w:divsChild>
                    <w:div w:id="691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880441">
      <w:bodyDiv w:val="1"/>
      <w:marLeft w:val="0"/>
      <w:marRight w:val="0"/>
      <w:marTop w:val="0"/>
      <w:marBottom w:val="0"/>
      <w:divBdr>
        <w:top w:val="none" w:sz="0" w:space="0" w:color="auto"/>
        <w:left w:val="none" w:sz="0" w:space="0" w:color="auto"/>
        <w:bottom w:val="none" w:sz="0" w:space="0" w:color="auto"/>
        <w:right w:val="none" w:sz="0" w:space="0" w:color="auto"/>
      </w:divBdr>
    </w:div>
    <w:div w:id="565142178">
      <w:bodyDiv w:val="1"/>
      <w:marLeft w:val="0"/>
      <w:marRight w:val="0"/>
      <w:marTop w:val="0"/>
      <w:marBottom w:val="0"/>
      <w:divBdr>
        <w:top w:val="none" w:sz="0" w:space="0" w:color="auto"/>
        <w:left w:val="none" w:sz="0" w:space="0" w:color="auto"/>
        <w:bottom w:val="none" w:sz="0" w:space="0" w:color="auto"/>
        <w:right w:val="none" w:sz="0" w:space="0" w:color="auto"/>
      </w:divBdr>
    </w:div>
    <w:div w:id="565454120">
      <w:bodyDiv w:val="1"/>
      <w:marLeft w:val="0"/>
      <w:marRight w:val="0"/>
      <w:marTop w:val="0"/>
      <w:marBottom w:val="0"/>
      <w:divBdr>
        <w:top w:val="none" w:sz="0" w:space="0" w:color="auto"/>
        <w:left w:val="none" w:sz="0" w:space="0" w:color="auto"/>
        <w:bottom w:val="none" w:sz="0" w:space="0" w:color="auto"/>
        <w:right w:val="none" w:sz="0" w:space="0" w:color="auto"/>
      </w:divBdr>
      <w:divsChild>
        <w:div w:id="396904057">
          <w:marLeft w:val="0"/>
          <w:marRight w:val="0"/>
          <w:marTop w:val="0"/>
          <w:marBottom w:val="0"/>
          <w:divBdr>
            <w:top w:val="none" w:sz="0" w:space="0" w:color="auto"/>
            <w:left w:val="none" w:sz="0" w:space="0" w:color="auto"/>
            <w:bottom w:val="none" w:sz="0" w:space="0" w:color="auto"/>
            <w:right w:val="none" w:sz="0" w:space="0" w:color="auto"/>
          </w:divBdr>
          <w:divsChild>
            <w:div w:id="993875414">
              <w:marLeft w:val="0"/>
              <w:marRight w:val="0"/>
              <w:marTop w:val="0"/>
              <w:marBottom w:val="0"/>
              <w:divBdr>
                <w:top w:val="none" w:sz="0" w:space="0" w:color="auto"/>
                <w:left w:val="none" w:sz="0" w:space="0" w:color="auto"/>
                <w:bottom w:val="none" w:sz="0" w:space="0" w:color="auto"/>
                <w:right w:val="none" w:sz="0" w:space="0" w:color="auto"/>
              </w:divBdr>
              <w:divsChild>
                <w:div w:id="74715062">
                  <w:marLeft w:val="0"/>
                  <w:marRight w:val="0"/>
                  <w:marTop w:val="0"/>
                  <w:marBottom w:val="0"/>
                  <w:divBdr>
                    <w:top w:val="none" w:sz="0" w:space="0" w:color="auto"/>
                    <w:left w:val="none" w:sz="0" w:space="0" w:color="auto"/>
                    <w:bottom w:val="none" w:sz="0" w:space="0" w:color="auto"/>
                    <w:right w:val="none" w:sz="0" w:space="0" w:color="auto"/>
                  </w:divBdr>
                  <w:divsChild>
                    <w:div w:id="1319766070">
                      <w:marLeft w:val="0"/>
                      <w:marRight w:val="0"/>
                      <w:marTop w:val="0"/>
                      <w:marBottom w:val="0"/>
                      <w:divBdr>
                        <w:top w:val="none" w:sz="0" w:space="0" w:color="auto"/>
                        <w:left w:val="none" w:sz="0" w:space="0" w:color="auto"/>
                        <w:bottom w:val="none" w:sz="0" w:space="0" w:color="auto"/>
                        <w:right w:val="none" w:sz="0" w:space="0" w:color="auto"/>
                      </w:divBdr>
                    </w:div>
                  </w:divsChild>
                </w:div>
                <w:div w:id="1101143254">
                  <w:marLeft w:val="0"/>
                  <w:marRight w:val="0"/>
                  <w:marTop w:val="0"/>
                  <w:marBottom w:val="0"/>
                  <w:divBdr>
                    <w:top w:val="none" w:sz="0" w:space="0" w:color="auto"/>
                    <w:left w:val="none" w:sz="0" w:space="0" w:color="auto"/>
                    <w:bottom w:val="none" w:sz="0" w:space="0" w:color="auto"/>
                    <w:right w:val="none" w:sz="0" w:space="0" w:color="auto"/>
                  </w:divBdr>
                  <w:divsChild>
                    <w:div w:id="476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76202">
      <w:bodyDiv w:val="1"/>
      <w:marLeft w:val="0"/>
      <w:marRight w:val="0"/>
      <w:marTop w:val="0"/>
      <w:marBottom w:val="0"/>
      <w:divBdr>
        <w:top w:val="none" w:sz="0" w:space="0" w:color="auto"/>
        <w:left w:val="none" w:sz="0" w:space="0" w:color="auto"/>
        <w:bottom w:val="none" w:sz="0" w:space="0" w:color="auto"/>
        <w:right w:val="none" w:sz="0" w:space="0" w:color="auto"/>
      </w:divBdr>
    </w:div>
    <w:div w:id="565796838">
      <w:bodyDiv w:val="1"/>
      <w:marLeft w:val="0"/>
      <w:marRight w:val="0"/>
      <w:marTop w:val="0"/>
      <w:marBottom w:val="0"/>
      <w:divBdr>
        <w:top w:val="none" w:sz="0" w:space="0" w:color="auto"/>
        <w:left w:val="none" w:sz="0" w:space="0" w:color="auto"/>
        <w:bottom w:val="none" w:sz="0" w:space="0" w:color="auto"/>
        <w:right w:val="none" w:sz="0" w:space="0" w:color="auto"/>
      </w:divBdr>
    </w:div>
    <w:div w:id="566381377">
      <w:bodyDiv w:val="1"/>
      <w:marLeft w:val="0"/>
      <w:marRight w:val="0"/>
      <w:marTop w:val="0"/>
      <w:marBottom w:val="0"/>
      <w:divBdr>
        <w:top w:val="none" w:sz="0" w:space="0" w:color="auto"/>
        <w:left w:val="none" w:sz="0" w:space="0" w:color="auto"/>
        <w:bottom w:val="none" w:sz="0" w:space="0" w:color="auto"/>
        <w:right w:val="none" w:sz="0" w:space="0" w:color="auto"/>
      </w:divBdr>
    </w:div>
    <w:div w:id="567229350">
      <w:bodyDiv w:val="1"/>
      <w:marLeft w:val="0"/>
      <w:marRight w:val="0"/>
      <w:marTop w:val="0"/>
      <w:marBottom w:val="0"/>
      <w:divBdr>
        <w:top w:val="none" w:sz="0" w:space="0" w:color="auto"/>
        <w:left w:val="none" w:sz="0" w:space="0" w:color="auto"/>
        <w:bottom w:val="none" w:sz="0" w:space="0" w:color="auto"/>
        <w:right w:val="none" w:sz="0" w:space="0" w:color="auto"/>
      </w:divBdr>
    </w:div>
    <w:div w:id="567345514">
      <w:bodyDiv w:val="1"/>
      <w:marLeft w:val="0"/>
      <w:marRight w:val="0"/>
      <w:marTop w:val="0"/>
      <w:marBottom w:val="0"/>
      <w:divBdr>
        <w:top w:val="none" w:sz="0" w:space="0" w:color="auto"/>
        <w:left w:val="none" w:sz="0" w:space="0" w:color="auto"/>
        <w:bottom w:val="none" w:sz="0" w:space="0" w:color="auto"/>
        <w:right w:val="none" w:sz="0" w:space="0" w:color="auto"/>
      </w:divBdr>
    </w:div>
    <w:div w:id="567568527">
      <w:bodyDiv w:val="1"/>
      <w:marLeft w:val="0"/>
      <w:marRight w:val="0"/>
      <w:marTop w:val="0"/>
      <w:marBottom w:val="0"/>
      <w:divBdr>
        <w:top w:val="none" w:sz="0" w:space="0" w:color="auto"/>
        <w:left w:val="none" w:sz="0" w:space="0" w:color="auto"/>
        <w:bottom w:val="none" w:sz="0" w:space="0" w:color="auto"/>
        <w:right w:val="none" w:sz="0" w:space="0" w:color="auto"/>
      </w:divBdr>
    </w:div>
    <w:div w:id="567691530">
      <w:bodyDiv w:val="1"/>
      <w:marLeft w:val="0"/>
      <w:marRight w:val="0"/>
      <w:marTop w:val="0"/>
      <w:marBottom w:val="0"/>
      <w:divBdr>
        <w:top w:val="none" w:sz="0" w:space="0" w:color="auto"/>
        <w:left w:val="none" w:sz="0" w:space="0" w:color="auto"/>
        <w:bottom w:val="none" w:sz="0" w:space="0" w:color="auto"/>
        <w:right w:val="none" w:sz="0" w:space="0" w:color="auto"/>
      </w:divBdr>
      <w:divsChild>
        <w:div w:id="1720129388">
          <w:marLeft w:val="0"/>
          <w:marRight w:val="0"/>
          <w:marTop w:val="0"/>
          <w:marBottom w:val="0"/>
          <w:divBdr>
            <w:top w:val="none" w:sz="0" w:space="0" w:color="auto"/>
            <w:left w:val="none" w:sz="0" w:space="0" w:color="auto"/>
            <w:bottom w:val="none" w:sz="0" w:space="0" w:color="auto"/>
            <w:right w:val="none" w:sz="0" w:space="0" w:color="auto"/>
          </w:divBdr>
          <w:divsChild>
            <w:div w:id="1920360671">
              <w:marLeft w:val="0"/>
              <w:marRight w:val="0"/>
              <w:marTop w:val="0"/>
              <w:marBottom w:val="0"/>
              <w:divBdr>
                <w:top w:val="none" w:sz="0" w:space="0" w:color="auto"/>
                <w:left w:val="none" w:sz="0" w:space="0" w:color="auto"/>
                <w:bottom w:val="none" w:sz="0" w:space="0" w:color="auto"/>
                <w:right w:val="none" w:sz="0" w:space="0" w:color="auto"/>
              </w:divBdr>
              <w:divsChild>
                <w:div w:id="1536043744">
                  <w:marLeft w:val="0"/>
                  <w:marRight w:val="0"/>
                  <w:marTop w:val="0"/>
                  <w:marBottom w:val="0"/>
                  <w:divBdr>
                    <w:top w:val="none" w:sz="0" w:space="0" w:color="auto"/>
                    <w:left w:val="none" w:sz="0" w:space="0" w:color="auto"/>
                    <w:bottom w:val="none" w:sz="0" w:space="0" w:color="auto"/>
                    <w:right w:val="none" w:sz="0" w:space="0" w:color="auto"/>
                  </w:divBdr>
                  <w:divsChild>
                    <w:div w:id="98809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657459">
      <w:bodyDiv w:val="1"/>
      <w:marLeft w:val="0"/>
      <w:marRight w:val="0"/>
      <w:marTop w:val="0"/>
      <w:marBottom w:val="0"/>
      <w:divBdr>
        <w:top w:val="none" w:sz="0" w:space="0" w:color="auto"/>
        <w:left w:val="none" w:sz="0" w:space="0" w:color="auto"/>
        <w:bottom w:val="none" w:sz="0" w:space="0" w:color="auto"/>
        <w:right w:val="none" w:sz="0" w:space="0" w:color="auto"/>
      </w:divBdr>
    </w:div>
    <w:div w:id="570116872">
      <w:bodyDiv w:val="1"/>
      <w:marLeft w:val="0"/>
      <w:marRight w:val="0"/>
      <w:marTop w:val="0"/>
      <w:marBottom w:val="0"/>
      <w:divBdr>
        <w:top w:val="none" w:sz="0" w:space="0" w:color="auto"/>
        <w:left w:val="none" w:sz="0" w:space="0" w:color="auto"/>
        <w:bottom w:val="none" w:sz="0" w:space="0" w:color="auto"/>
        <w:right w:val="none" w:sz="0" w:space="0" w:color="auto"/>
      </w:divBdr>
    </w:div>
    <w:div w:id="570316124">
      <w:bodyDiv w:val="1"/>
      <w:marLeft w:val="0"/>
      <w:marRight w:val="0"/>
      <w:marTop w:val="0"/>
      <w:marBottom w:val="0"/>
      <w:divBdr>
        <w:top w:val="none" w:sz="0" w:space="0" w:color="auto"/>
        <w:left w:val="none" w:sz="0" w:space="0" w:color="auto"/>
        <w:bottom w:val="none" w:sz="0" w:space="0" w:color="auto"/>
        <w:right w:val="none" w:sz="0" w:space="0" w:color="auto"/>
      </w:divBdr>
    </w:div>
    <w:div w:id="570431816">
      <w:bodyDiv w:val="1"/>
      <w:marLeft w:val="0"/>
      <w:marRight w:val="0"/>
      <w:marTop w:val="0"/>
      <w:marBottom w:val="0"/>
      <w:divBdr>
        <w:top w:val="none" w:sz="0" w:space="0" w:color="auto"/>
        <w:left w:val="none" w:sz="0" w:space="0" w:color="auto"/>
        <w:bottom w:val="none" w:sz="0" w:space="0" w:color="auto"/>
        <w:right w:val="none" w:sz="0" w:space="0" w:color="auto"/>
      </w:divBdr>
      <w:divsChild>
        <w:div w:id="276445706">
          <w:marLeft w:val="0"/>
          <w:marRight w:val="0"/>
          <w:marTop w:val="0"/>
          <w:marBottom w:val="0"/>
          <w:divBdr>
            <w:top w:val="none" w:sz="0" w:space="0" w:color="auto"/>
            <w:left w:val="none" w:sz="0" w:space="0" w:color="auto"/>
            <w:bottom w:val="none" w:sz="0" w:space="0" w:color="auto"/>
            <w:right w:val="none" w:sz="0" w:space="0" w:color="auto"/>
          </w:divBdr>
          <w:divsChild>
            <w:div w:id="563418130">
              <w:marLeft w:val="0"/>
              <w:marRight w:val="0"/>
              <w:marTop w:val="0"/>
              <w:marBottom w:val="0"/>
              <w:divBdr>
                <w:top w:val="none" w:sz="0" w:space="0" w:color="auto"/>
                <w:left w:val="none" w:sz="0" w:space="0" w:color="auto"/>
                <w:bottom w:val="none" w:sz="0" w:space="0" w:color="auto"/>
                <w:right w:val="none" w:sz="0" w:space="0" w:color="auto"/>
              </w:divBdr>
              <w:divsChild>
                <w:div w:id="456265156">
                  <w:marLeft w:val="0"/>
                  <w:marRight w:val="0"/>
                  <w:marTop w:val="0"/>
                  <w:marBottom w:val="0"/>
                  <w:divBdr>
                    <w:top w:val="none" w:sz="0" w:space="0" w:color="auto"/>
                    <w:left w:val="none" w:sz="0" w:space="0" w:color="auto"/>
                    <w:bottom w:val="none" w:sz="0" w:space="0" w:color="auto"/>
                    <w:right w:val="none" w:sz="0" w:space="0" w:color="auto"/>
                  </w:divBdr>
                  <w:divsChild>
                    <w:div w:id="38117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238220">
      <w:bodyDiv w:val="1"/>
      <w:marLeft w:val="0"/>
      <w:marRight w:val="0"/>
      <w:marTop w:val="0"/>
      <w:marBottom w:val="0"/>
      <w:divBdr>
        <w:top w:val="none" w:sz="0" w:space="0" w:color="auto"/>
        <w:left w:val="none" w:sz="0" w:space="0" w:color="auto"/>
        <w:bottom w:val="none" w:sz="0" w:space="0" w:color="auto"/>
        <w:right w:val="none" w:sz="0" w:space="0" w:color="auto"/>
      </w:divBdr>
    </w:div>
    <w:div w:id="571700748">
      <w:bodyDiv w:val="1"/>
      <w:marLeft w:val="0"/>
      <w:marRight w:val="0"/>
      <w:marTop w:val="0"/>
      <w:marBottom w:val="0"/>
      <w:divBdr>
        <w:top w:val="none" w:sz="0" w:space="0" w:color="auto"/>
        <w:left w:val="none" w:sz="0" w:space="0" w:color="auto"/>
        <w:bottom w:val="none" w:sz="0" w:space="0" w:color="auto"/>
        <w:right w:val="none" w:sz="0" w:space="0" w:color="auto"/>
      </w:divBdr>
    </w:div>
    <w:div w:id="571936726">
      <w:bodyDiv w:val="1"/>
      <w:marLeft w:val="0"/>
      <w:marRight w:val="0"/>
      <w:marTop w:val="0"/>
      <w:marBottom w:val="0"/>
      <w:divBdr>
        <w:top w:val="none" w:sz="0" w:space="0" w:color="auto"/>
        <w:left w:val="none" w:sz="0" w:space="0" w:color="auto"/>
        <w:bottom w:val="none" w:sz="0" w:space="0" w:color="auto"/>
        <w:right w:val="none" w:sz="0" w:space="0" w:color="auto"/>
      </w:divBdr>
      <w:divsChild>
        <w:div w:id="144667023">
          <w:marLeft w:val="0"/>
          <w:marRight w:val="0"/>
          <w:marTop w:val="0"/>
          <w:marBottom w:val="0"/>
          <w:divBdr>
            <w:top w:val="none" w:sz="0" w:space="0" w:color="auto"/>
            <w:left w:val="none" w:sz="0" w:space="0" w:color="auto"/>
            <w:bottom w:val="none" w:sz="0" w:space="0" w:color="auto"/>
            <w:right w:val="none" w:sz="0" w:space="0" w:color="auto"/>
          </w:divBdr>
          <w:divsChild>
            <w:div w:id="478500990">
              <w:marLeft w:val="0"/>
              <w:marRight w:val="0"/>
              <w:marTop w:val="0"/>
              <w:marBottom w:val="0"/>
              <w:divBdr>
                <w:top w:val="none" w:sz="0" w:space="0" w:color="auto"/>
                <w:left w:val="none" w:sz="0" w:space="0" w:color="auto"/>
                <w:bottom w:val="none" w:sz="0" w:space="0" w:color="auto"/>
                <w:right w:val="none" w:sz="0" w:space="0" w:color="auto"/>
              </w:divBdr>
              <w:divsChild>
                <w:div w:id="1882285294">
                  <w:marLeft w:val="0"/>
                  <w:marRight w:val="0"/>
                  <w:marTop w:val="0"/>
                  <w:marBottom w:val="0"/>
                  <w:divBdr>
                    <w:top w:val="none" w:sz="0" w:space="0" w:color="auto"/>
                    <w:left w:val="none" w:sz="0" w:space="0" w:color="auto"/>
                    <w:bottom w:val="none" w:sz="0" w:space="0" w:color="auto"/>
                    <w:right w:val="none" w:sz="0" w:space="0" w:color="auto"/>
                  </w:divBdr>
                  <w:divsChild>
                    <w:div w:id="197251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007396">
      <w:bodyDiv w:val="1"/>
      <w:marLeft w:val="0"/>
      <w:marRight w:val="0"/>
      <w:marTop w:val="0"/>
      <w:marBottom w:val="0"/>
      <w:divBdr>
        <w:top w:val="none" w:sz="0" w:space="0" w:color="auto"/>
        <w:left w:val="none" w:sz="0" w:space="0" w:color="auto"/>
        <w:bottom w:val="none" w:sz="0" w:space="0" w:color="auto"/>
        <w:right w:val="none" w:sz="0" w:space="0" w:color="auto"/>
      </w:divBdr>
    </w:div>
    <w:div w:id="572009230">
      <w:bodyDiv w:val="1"/>
      <w:marLeft w:val="0"/>
      <w:marRight w:val="0"/>
      <w:marTop w:val="0"/>
      <w:marBottom w:val="0"/>
      <w:divBdr>
        <w:top w:val="none" w:sz="0" w:space="0" w:color="auto"/>
        <w:left w:val="none" w:sz="0" w:space="0" w:color="auto"/>
        <w:bottom w:val="none" w:sz="0" w:space="0" w:color="auto"/>
        <w:right w:val="none" w:sz="0" w:space="0" w:color="auto"/>
      </w:divBdr>
    </w:div>
    <w:div w:id="572280596">
      <w:bodyDiv w:val="1"/>
      <w:marLeft w:val="0"/>
      <w:marRight w:val="0"/>
      <w:marTop w:val="0"/>
      <w:marBottom w:val="0"/>
      <w:divBdr>
        <w:top w:val="none" w:sz="0" w:space="0" w:color="auto"/>
        <w:left w:val="none" w:sz="0" w:space="0" w:color="auto"/>
        <w:bottom w:val="none" w:sz="0" w:space="0" w:color="auto"/>
        <w:right w:val="none" w:sz="0" w:space="0" w:color="auto"/>
      </w:divBdr>
    </w:div>
    <w:div w:id="573663814">
      <w:bodyDiv w:val="1"/>
      <w:marLeft w:val="0"/>
      <w:marRight w:val="0"/>
      <w:marTop w:val="0"/>
      <w:marBottom w:val="0"/>
      <w:divBdr>
        <w:top w:val="none" w:sz="0" w:space="0" w:color="auto"/>
        <w:left w:val="none" w:sz="0" w:space="0" w:color="auto"/>
        <w:bottom w:val="none" w:sz="0" w:space="0" w:color="auto"/>
        <w:right w:val="none" w:sz="0" w:space="0" w:color="auto"/>
      </w:divBdr>
    </w:div>
    <w:div w:id="573971384">
      <w:bodyDiv w:val="1"/>
      <w:marLeft w:val="0"/>
      <w:marRight w:val="0"/>
      <w:marTop w:val="0"/>
      <w:marBottom w:val="0"/>
      <w:divBdr>
        <w:top w:val="none" w:sz="0" w:space="0" w:color="auto"/>
        <w:left w:val="none" w:sz="0" w:space="0" w:color="auto"/>
        <w:bottom w:val="none" w:sz="0" w:space="0" w:color="auto"/>
        <w:right w:val="none" w:sz="0" w:space="0" w:color="auto"/>
      </w:divBdr>
    </w:div>
    <w:div w:id="573977104">
      <w:bodyDiv w:val="1"/>
      <w:marLeft w:val="0"/>
      <w:marRight w:val="0"/>
      <w:marTop w:val="0"/>
      <w:marBottom w:val="0"/>
      <w:divBdr>
        <w:top w:val="none" w:sz="0" w:space="0" w:color="auto"/>
        <w:left w:val="none" w:sz="0" w:space="0" w:color="auto"/>
        <w:bottom w:val="none" w:sz="0" w:space="0" w:color="auto"/>
        <w:right w:val="none" w:sz="0" w:space="0" w:color="auto"/>
      </w:divBdr>
    </w:div>
    <w:div w:id="574168742">
      <w:bodyDiv w:val="1"/>
      <w:marLeft w:val="0"/>
      <w:marRight w:val="0"/>
      <w:marTop w:val="0"/>
      <w:marBottom w:val="0"/>
      <w:divBdr>
        <w:top w:val="none" w:sz="0" w:space="0" w:color="auto"/>
        <w:left w:val="none" w:sz="0" w:space="0" w:color="auto"/>
        <w:bottom w:val="none" w:sz="0" w:space="0" w:color="auto"/>
        <w:right w:val="none" w:sz="0" w:space="0" w:color="auto"/>
      </w:divBdr>
      <w:divsChild>
        <w:div w:id="890337419">
          <w:marLeft w:val="0"/>
          <w:marRight w:val="0"/>
          <w:marTop w:val="0"/>
          <w:marBottom w:val="0"/>
          <w:divBdr>
            <w:top w:val="none" w:sz="0" w:space="0" w:color="auto"/>
            <w:left w:val="none" w:sz="0" w:space="0" w:color="auto"/>
            <w:bottom w:val="none" w:sz="0" w:space="0" w:color="auto"/>
            <w:right w:val="none" w:sz="0" w:space="0" w:color="auto"/>
          </w:divBdr>
          <w:divsChild>
            <w:div w:id="1733696125">
              <w:marLeft w:val="0"/>
              <w:marRight w:val="0"/>
              <w:marTop w:val="0"/>
              <w:marBottom w:val="0"/>
              <w:divBdr>
                <w:top w:val="none" w:sz="0" w:space="0" w:color="auto"/>
                <w:left w:val="none" w:sz="0" w:space="0" w:color="auto"/>
                <w:bottom w:val="none" w:sz="0" w:space="0" w:color="auto"/>
                <w:right w:val="none" w:sz="0" w:space="0" w:color="auto"/>
              </w:divBdr>
              <w:divsChild>
                <w:div w:id="112135555">
                  <w:marLeft w:val="0"/>
                  <w:marRight w:val="0"/>
                  <w:marTop w:val="0"/>
                  <w:marBottom w:val="0"/>
                  <w:divBdr>
                    <w:top w:val="none" w:sz="0" w:space="0" w:color="auto"/>
                    <w:left w:val="none" w:sz="0" w:space="0" w:color="auto"/>
                    <w:bottom w:val="none" w:sz="0" w:space="0" w:color="auto"/>
                    <w:right w:val="none" w:sz="0" w:space="0" w:color="auto"/>
                  </w:divBdr>
                  <w:divsChild>
                    <w:div w:id="54703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360158">
      <w:bodyDiv w:val="1"/>
      <w:marLeft w:val="0"/>
      <w:marRight w:val="0"/>
      <w:marTop w:val="0"/>
      <w:marBottom w:val="0"/>
      <w:divBdr>
        <w:top w:val="none" w:sz="0" w:space="0" w:color="auto"/>
        <w:left w:val="none" w:sz="0" w:space="0" w:color="auto"/>
        <w:bottom w:val="none" w:sz="0" w:space="0" w:color="auto"/>
        <w:right w:val="none" w:sz="0" w:space="0" w:color="auto"/>
      </w:divBdr>
      <w:divsChild>
        <w:div w:id="594479245">
          <w:marLeft w:val="0"/>
          <w:marRight w:val="0"/>
          <w:marTop w:val="0"/>
          <w:marBottom w:val="0"/>
          <w:divBdr>
            <w:top w:val="none" w:sz="0" w:space="0" w:color="auto"/>
            <w:left w:val="none" w:sz="0" w:space="0" w:color="auto"/>
            <w:bottom w:val="none" w:sz="0" w:space="0" w:color="auto"/>
            <w:right w:val="none" w:sz="0" w:space="0" w:color="auto"/>
          </w:divBdr>
          <w:divsChild>
            <w:div w:id="1334144943">
              <w:marLeft w:val="0"/>
              <w:marRight w:val="0"/>
              <w:marTop w:val="0"/>
              <w:marBottom w:val="0"/>
              <w:divBdr>
                <w:top w:val="none" w:sz="0" w:space="0" w:color="auto"/>
                <w:left w:val="none" w:sz="0" w:space="0" w:color="auto"/>
                <w:bottom w:val="none" w:sz="0" w:space="0" w:color="auto"/>
                <w:right w:val="none" w:sz="0" w:space="0" w:color="auto"/>
              </w:divBdr>
              <w:divsChild>
                <w:div w:id="302392284">
                  <w:marLeft w:val="0"/>
                  <w:marRight w:val="0"/>
                  <w:marTop w:val="0"/>
                  <w:marBottom w:val="0"/>
                  <w:divBdr>
                    <w:top w:val="none" w:sz="0" w:space="0" w:color="auto"/>
                    <w:left w:val="none" w:sz="0" w:space="0" w:color="auto"/>
                    <w:bottom w:val="none" w:sz="0" w:space="0" w:color="auto"/>
                    <w:right w:val="none" w:sz="0" w:space="0" w:color="auto"/>
                  </w:divBdr>
                  <w:divsChild>
                    <w:div w:id="9556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4429">
      <w:bodyDiv w:val="1"/>
      <w:marLeft w:val="0"/>
      <w:marRight w:val="0"/>
      <w:marTop w:val="0"/>
      <w:marBottom w:val="0"/>
      <w:divBdr>
        <w:top w:val="none" w:sz="0" w:space="0" w:color="auto"/>
        <w:left w:val="none" w:sz="0" w:space="0" w:color="auto"/>
        <w:bottom w:val="none" w:sz="0" w:space="0" w:color="auto"/>
        <w:right w:val="none" w:sz="0" w:space="0" w:color="auto"/>
      </w:divBdr>
    </w:div>
    <w:div w:id="576669867">
      <w:bodyDiv w:val="1"/>
      <w:marLeft w:val="0"/>
      <w:marRight w:val="0"/>
      <w:marTop w:val="0"/>
      <w:marBottom w:val="0"/>
      <w:divBdr>
        <w:top w:val="none" w:sz="0" w:space="0" w:color="auto"/>
        <w:left w:val="none" w:sz="0" w:space="0" w:color="auto"/>
        <w:bottom w:val="none" w:sz="0" w:space="0" w:color="auto"/>
        <w:right w:val="none" w:sz="0" w:space="0" w:color="auto"/>
      </w:divBdr>
      <w:divsChild>
        <w:div w:id="426080148">
          <w:marLeft w:val="0"/>
          <w:marRight w:val="0"/>
          <w:marTop w:val="0"/>
          <w:marBottom w:val="0"/>
          <w:divBdr>
            <w:top w:val="none" w:sz="0" w:space="0" w:color="auto"/>
            <w:left w:val="none" w:sz="0" w:space="0" w:color="auto"/>
            <w:bottom w:val="none" w:sz="0" w:space="0" w:color="auto"/>
            <w:right w:val="none" w:sz="0" w:space="0" w:color="auto"/>
          </w:divBdr>
          <w:divsChild>
            <w:div w:id="1768648619">
              <w:marLeft w:val="0"/>
              <w:marRight w:val="0"/>
              <w:marTop w:val="0"/>
              <w:marBottom w:val="0"/>
              <w:divBdr>
                <w:top w:val="none" w:sz="0" w:space="0" w:color="auto"/>
                <w:left w:val="none" w:sz="0" w:space="0" w:color="auto"/>
                <w:bottom w:val="none" w:sz="0" w:space="0" w:color="auto"/>
                <w:right w:val="none" w:sz="0" w:space="0" w:color="auto"/>
              </w:divBdr>
              <w:divsChild>
                <w:div w:id="531308979">
                  <w:marLeft w:val="0"/>
                  <w:marRight w:val="0"/>
                  <w:marTop w:val="0"/>
                  <w:marBottom w:val="0"/>
                  <w:divBdr>
                    <w:top w:val="none" w:sz="0" w:space="0" w:color="auto"/>
                    <w:left w:val="none" w:sz="0" w:space="0" w:color="auto"/>
                    <w:bottom w:val="none" w:sz="0" w:space="0" w:color="auto"/>
                    <w:right w:val="none" w:sz="0" w:space="0" w:color="auto"/>
                  </w:divBdr>
                  <w:divsChild>
                    <w:div w:id="13114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92934">
      <w:bodyDiv w:val="1"/>
      <w:marLeft w:val="0"/>
      <w:marRight w:val="0"/>
      <w:marTop w:val="0"/>
      <w:marBottom w:val="0"/>
      <w:divBdr>
        <w:top w:val="none" w:sz="0" w:space="0" w:color="auto"/>
        <w:left w:val="none" w:sz="0" w:space="0" w:color="auto"/>
        <w:bottom w:val="none" w:sz="0" w:space="0" w:color="auto"/>
        <w:right w:val="none" w:sz="0" w:space="0" w:color="auto"/>
      </w:divBdr>
    </w:div>
    <w:div w:id="577641330">
      <w:bodyDiv w:val="1"/>
      <w:marLeft w:val="0"/>
      <w:marRight w:val="0"/>
      <w:marTop w:val="0"/>
      <w:marBottom w:val="0"/>
      <w:divBdr>
        <w:top w:val="none" w:sz="0" w:space="0" w:color="auto"/>
        <w:left w:val="none" w:sz="0" w:space="0" w:color="auto"/>
        <w:bottom w:val="none" w:sz="0" w:space="0" w:color="auto"/>
        <w:right w:val="none" w:sz="0" w:space="0" w:color="auto"/>
      </w:divBdr>
    </w:div>
    <w:div w:id="578752745">
      <w:bodyDiv w:val="1"/>
      <w:marLeft w:val="0"/>
      <w:marRight w:val="0"/>
      <w:marTop w:val="0"/>
      <w:marBottom w:val="0"/>
      <w:divBdr>
        <w:top w:val="none" w:sz="0" w:space="0" w:color="auto"/>
        <w:left w:val="none" w:sz="0" w:space="0" w:color="auto"/>
        <w:bottom w:val="none" w:sz="0" w:space="0" w:color="auto"/>
        <w:right w:val="none" w:sz="0" w:space="0" w:color="auto"/>
      </w:divBdr>
    </w:div>
    <w:div w:id="579292920">
      <w:bodyDiv w:val="1"/>
      <w:marLeft w:val="0"/>
      <w:marRight w:val="0"/>
      <w:marTop w:val="0"/>
      <w:marBottom w:val="0"/>
      <w:divBdr>
        <w:top w:val="none" w:sz="0" w:space="0" w:color="auto"/>
        <w:left w:val="none" w:sz="0" w:space="0" w:color="auto"/>
        <w:bottom w:val="none" w:sz="0" w:space="0" w:color="auto"/>
        <w:right w:val="none" w:sz="0" w:space="0" w:color="auto"/>
      </w:divBdr>
    </w:div>
    <w:div w:id="580673951">
      <w:bodyDiv w:val="1"/>
      <w:marLeft w:val="0"/>
      <w:marRight w:val="0"/>
      <w:marTop w:val="0"/>
      <w:marBottom w:val="0"/>
      <w:divBdr>
        <w:top w:val="none" w:sz="0" w:space="0" w:color="auto"/>
        <w:left w:val="none" w:sz="0" w:space="0" w:color="auto"/>
        <w:bottom w:val="none" w:sz="0" w:space="0" w:color="auto"/>
        <w:right w:val="none" w:sz="0" w:space="0" w:color="auto"/>
      </w:divBdr>
      <w:divsChild>
        <w:div w:id="1624342438">
          <w:marLeft w:val="0"/>
          <w:marRight w:val="0"/>
          <w:marTop w:val="0"/>
          <w:marBottom w:val="0"/>
          <w:divBdr>
            <w:top w:val="none" w:sz="0" w:space="0" w:color="auto"/>
            <w:left w:val="none" w:sz="0" w:space="0" w:color="auto"/>
            <w:bottom w:val="none" w:sz="0" w:space="0" w:color="auto"/>
            <w:right w:val="none" w:sz="0" w:space="0" w:color="auto"/>
          </w:divBdr>
          <w:divsChild>
            <w:div w:id="2041740749">
              <w:marLeft w:val="0"/>
              <w:marRight w:val="0"/>
              <w:marTop w:val="0"/>
              <w:marBottom w:val="0"/>
              <w:divBdr>
                <w:top w:val="none" w:sz="0" w:space="0" w:color="auto"/>
                <w:left w:val="none" w:sz="0" w:space="0" w:color="auto"/>
                <w:bottom w:val="none" w:sz="0" w:space="0" w:color="auto"/>
                <w:right w:val="none" w:sz="0" w:space="0" w:color="auto"/>
              </w:divBdr>
              <w:divsChild>
                <w:div w:id="163421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23439">
      <w:bodyDiv w:val="1"/>
      <w:marLeft w:val="0"/>
      <w:marRight w:val="0"/>
      <w:marTop w:val="0"/>
      <w:marBottom w:val="0"/>
      <w:divBdr>
        <w:top w:val="none" w:sz="0" w:space="0" w:color="auto"/>
        <w:left w:val="none" w:sz="0" w:space="0" w:color="auto"/>
        <w:bottom w:val="none" w:sz="0" w:space="0" w:color="auto"/>
        <w:right w:val="none" w:sz="0" w:space="0" w:color="auto"/>
      </w:divBdr>
    </w:div>
    <w:div w:id="581259660">
      <w:bodyDiv w:val="1"/>
      <w:marLeft w:val="0"/>
      <w:marRight w:val="0"/>
      <w:marTop w:val="0"/>
      <w:marBottom w:val="0"/>
      <w:divBdr>
        <w:top w:val="none" w:sz="0" w:space="0" w:color="auto"/>
        <w:left w:val="none" w:sz="0" w:space="0" w:color="auto"/>
        <w:bottom w:val="none" w:sz="0" w:space="0" w:color="auto"/>
        <w:right w:val="none" w:sz="0" w:space="0" w:color="auto"/>
      </w:divBdr>
    </w:div>
    <w:div w:id="583152124">
      <w:bodyDiv w:val="1"/>
      <w:marLeft w:val="0"/>
      <w:marRight w:val="0"/>
      <w:marTop w:val="0"/>
      <w:marBottom w:val="0"/>
      <w:divBdr>
        <w:top w:val="none" w:sz="0" w:space="0" w:color="auto"/>
        <w:left w:val="none" w:sz="0" w:space="0" w:color="auto"/>
        <w:bottom w:val="none" w:sz="0" w:space="0" w:color="auto"/>
        <w:right w:val="none" w:sz="0" w:space="0" w:color="auto"/>
      </w:divBdr>
    </w:div>
    <w:div w:id="583270906">
      <w:bodyDiv w:val="1"/>
      <w:marLeft w:val="0"/>
      <w:marRight w:val="0"/>
      <w:marTop w:val="0"/>
      <w:marBottom w:val="0"/>
      <w:divBdr>
        <w:top w:val="none" w:sz="0" w:space="0" w:color="auto"/>
        <w:left w:val="none" w:sz="0" w:space="0" w:color="auto"/>
        <w:bottom w:val="none" w:sz="0" w:space="0" w:color="auto"/>
        <w:right w:val="none" w:sz="0" w:space="0" w:color="auto"/>
      </w:divBdr>
    </w:div>
    <w:div w:id="584920184">
      <w:bodyDiv w:val="1"/>
      <w:marLeft w:val="0"/>
      <w:marRight w:val="0"/>
      <w:marTop w:val="0"/>
      <w:marBottom w:val="0"/>
      <w:divBdr>
        <w:top w:val="none" w:sz="0" w:space="0" w:color="auto"/>
        <w:left w:val="none" w:sz="0" w:space="0" w:color="auto"/>
        <w:bottom w:val="none" w:sz="0" w:space="0" w:color="auto"/>
        <w:right w:val="none" w:sz="0" w:space="0" w:color="auto"/>
      </w:divBdr>
    </w:div>
    <w:div w:id="587151876">
      <w:bodyDiv w:val="1"/>
      <w:marLeft w:val="0"/>
      <w:marRight w:val="0"/>
      <w:marTop w:val="0"/>
      <w:marBottom w:val="0"/>
      <w:divBdr>
        <w:top w:val="none" w:sz="0" w:space="0" w:color="auto"/>
        <w:left w:val="none" w:sz="0" w:space="0" w:color="auto"/>
        <w:bottom w:val="none" w:sz="0" w:space="0" w:color="auto"/>
        <w:right w:val="none" w:sz="0" w:space="0" w:color="auto"/>
      </w:divBdr>
    </w:div>
    <w:div w:id="587613191">
      <w:bodyDiv w:val="1"/>
      <w:marLeft w:val="0"/>
      <w:marRight w:val="0"/>
      <w:marTop w:val="0"/>
      <w:marBottom w:val="0"/>
      <w:divBdr>
        <w:top w:val="none" w:sz="0" w:space="0" w:color="auto"/>
        <w:left w:val="none" w:sz="0" w:space="0" w:color="auto"/>
        <w:bottom w:val="none" w:sz="0" w:space="0" w:color="auto"/>
        <w:right w:val="none" w:sz="0" w:space="0" w:color="auto"/>
      </w:divBdr>
    </w:div>
    <w:div w:id="588004327">
      <w:bodyDiv w:val="1"/>
      <w:marLeft w:val="0"/>
      <w:marRight w:val="0"/>
      <w:marTop w:val="0"/>
      <w:marBottom w:val="0"/>
      <w:divBdr>
        <w:top w:val="none" w:sz="0" w:space="0" w:color="auto"/>
        <w:left w:val="none" w:sz="0" w:space="0" w:color="auto"/>
        <w:bottom w:val="none" w:sz="0" w:space="0" w:color="auto"/>
        <w:right w:val="none" w:sz="0" w:space="0" w:color="auto"/>
      </w:divBdr>
    </w:div>
    <w:div w:id="589657397">
      <w:bodyDiv w:val="1"/>
      <w:marLeft w:val="0"/>
      <w:marRight w:val="0"/>
      <w:marTop w:val="0"/>
      <w:marBottom w:val="0"/>
      <w:divBdr>
        <w:top w:val="none" w:sz="0" w:space="0" w:color="auto"/>
        <w:left w:val="none" w:sz="0" w:space="0" w:color="auto"/>
        <w:bottom w:val="none" w:sz="0" w:space="0" w:color="auto"/>
        <w:right w:val="none" w:sz="0" w:space="0" w:color="auto"/>
      </w:divBdr>
      <w:divsChild>
        <w:div w:id="1515537624">
          <w:marLeft w:val="0"/>
          <w:marRight w:val="0"/>
          <w:marTop w:val="0"/>
          <w:marBottom w:val="0"/>
          <w:divBdr>
            <w:top w:val="none" w:sz="0" w:space="0" w:color="auto"/>
            <w:left w:val="none" w:sz="0" w:space="0" w:color="auto"/>
            <w:bottom w:val="none" w:sz="0" w:space="0" w:color="auto"/>
            <w:right w:val="none" w:sz="0" w:space="0" w:color="auto"/>
          </w:divBdr>
          <w:divsChild>
            <w:div w:id="966860925">
              <w:marLeft w:val="0"/>
              <w:marRight w:val="0"/>
              <w:marTop w:val="0"/>
              <w:marBottom w:val="0"/>
              <w:divBdr>
                <w:top w:val="none" w:sz="0" w:space="0" w:color="auto"/>
                <w:left w:val="none" w:sz="0" w:space="0" w:color="auto"/>
                <w:bottom w:val="none" w:sz="0" w:space="0" w:color="auto"/>
                <w:right w:val="none" w:sz="0" w:space="0" w:color="auto"/>
              </w:divBdr>
              <w:divsChild>
                <w:div w:id="1922988115">
                  <w:marLeft w:val="0"/>
                  <w:marRight w:val="0"/>
                  <w:marTop w:val="0"/>
                  <w:marBottom w:val="0"/>
                  <w:divBdr>
                    <w:top w:val="none" w:sz="0" w:space="0" w:color="auto"/>
                    <w:left w:val="none" w:sz="0" w:space="0" w:color="auto"/>
                    <w:bottom w:val="none" w:sz="0" w:space="0" w:color="auto"/>
                    <w:right w:val="none" w:sz="0" w:space="0" w:color="auto"/>
                  </w:divBdr>
                  <w:divsChild>
                    <w:div w:id="159724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357350">
      <w:bodyDiv w:val="1"/>
      <w:marLeft w:val="0"/>
      <w:marRight w:val="0"/>
      <w:marTop w:val="0"/>
      <w:marBottom w:val="0"/>
      <w:divBdr>
        <w:top w:val="none" w:sz="0" w:space="0" w:color="auto"/>
        <w:left w:val="none" w:sz="0" w:space="0" w:color="auto"/>
        <w:bottom w:val="none" w:sz="0" w:space="0" w:color="auto"/>
        <w:right w:val="none" w:sz="0" w:space="0" w:color="auto"/>
      </w:divBdr>
    </w:div>
    <w:div w:id="590700872">
      <w:bodyDiv w:val="1"/>
      <w:marLeft w:val="0"/>
      <w:marRight w:val="0"/>
      <w:marTop w:val="0"/>
      <w:marBottom w:val="0"/>
      <w:divBdr>
        <w:top w:val="none" w:sz="0" w:space="0" w:color="auto"/>
        <w:left w:val="none" w:sz="0" w:space="0" w:color="auto"/>
        <w:bottom w:val="none" w:sz="0" w:space="0" w:color="auto"/>
        <w:right w:val="none" w:sz="0" w:space="0" w:color="auto"/>
      </w:divBdr>
    </w:div>
    <w:div w:id="591663703">
      <w:bodyDiv w:val="1"/>
      <w:marLeft w:val="0"/>
      <w:marRight w:val="0"/>
      <w:marTop w:val="0"/>
      <w:marBottom w:val="0"/>
      <w:divBdr>
        <w:top w:val="none" w:sz="0" w:space="0" w:color="auto"/>
        <w:left w:val="none" w:sz="0" w:space="0" w:color="auto"/>
        <w:bottom w:val="none" w:sz="0" w:space="0" w:color="auto"/>
        <w:right w:val="none" w:sz="0" w:space="0" w:color="auto"/>
      </w:divBdr>
    </w:div>
    <w:div w:id="591744615">
      <w:bodyDiv w:val="1"/>
      <w:marLeft w:val="0"/>
      <w:marRight w:val="0"/>
      <w:marTop w:val="0"/>
      <w:marBottom w:val="0"/>
      <w:divBdr>
        <w:top w:val="none" w:sz="0" w:space="0" w:color="auto"/>
        <w:left w:val="none" w:sz="0" w:space="0" w:color="auto"/>
        <w:bottom w:val="none" w:sz="0" w:space="0" w:color="auto"/>
        <w:right w:val="none" w:sz="0" w:space="0" w:color="auto"/>
      </w:divBdr>
    </w:div>
    <w:div w:id="593127124">
      <w:bodyDiv w:val="1"/>
      <w:marLeft w:val="0"/>
      <w:marRight w:val="0"/>
      <w:marTop w:val="0"/>
      <w:marBottom w:val="0"/>
      <w:divBdr>
        <w:top w:val="none" w:sz="0" w:space="0" w:color="auto"/>
        <w:left w:val="none" w:sz="0" w:space="0" w:color="auto"/>
        <w:bottom w:val="none" w:sz="0" w:space="0" w:color="auto"/>
        <w:right w:val="none" w:sz="0" w:space="0" w:color="auto"/>
      </w:divBdr>
    </w:div>
    <w:div w:id="593319598">
      <w:bodyDiv w:val="1"/>
      <w:marLeft w:val="0"/>
      <w:marRight w:val="0"/>
      <w:marTop w:val="0"/>
      <w:marBottom w:val="0"/>
      <w:divBdr>
        <w:top w:val="none" w:sz="0" w:space="0" w:color="auto"/>
        <w:left w:val="none" w:sz="0" w:space="0" w:color="auto"/>
        <w:bottom w:val="none" w:sz="0" w:space="0" w:color="auto"/>
        <w:right w:val="none" w:sz="0" w:space="0" w:color="auto"/>
      </w:divBdr>
    </w:div>
    <w:div w:id="593975653">
      <w:bodyDiv w:val="1"/>
      <w:marLeft w:val="0"/>
      <w:marRight w:val="0"/>
      <w:marTop w:val="0"/>
      <w:marBottom w:val="0"/>
      <w:divBdr>
        <w:top w:val="none" w:sz="0" w:space="0" w:color="auto"/>
        <w:left w:val="none" w:sz="0" w:space="0" w:color="auto"/>
        <w:bottom w:val="none" w:sz="0" w:space="0" w:color="auto"/>
        <w:right w:val="none" w:sz="0" w:space="0" w:color="auto"/>
      </w:divBdr>
    </w:div>
    <w:div w:id="594635608">
      <w:bodyDiv w:val="1"/>
      <w:marLeft w:val="0"/>
      <w:marRight w:val="0"/>
      <w:marTop w:val="0"/>
      <w:marBottom w:val="0"/>
      <w:divBdr>
        <w:top w:val="none" w:sz="0" w:space="0" w:color="auto"/>
        <w:left w:val="none" w:sz="0" w:space="0" w:color="auto"/>
        <w:bottom w:val="none" w:sz="0" w:space="0" w:color="auto"/>
        <w:right w:val="none" w:sz="0" w:space="0" w:color="auto"/>
      </w:divBdr>
    </w:div>
    <w:div w:id="595213048">
      <w:bodyDiv w:val="1"/>
      <w:marLeft w:val="0"/>
      <w:marRight w:val="0"/>
      <w:marTop w:val="0"/>
      <w:marBottom w:val="0"/>
      <w:divBdr>
        <w:top w:val="none" w:sz="0" w:space="0" w:color="auto"/>
        <w:left w:val="none" w:sz="0" w:space="0" w:color="auto"/>
        <w:bottom w:val="none" w:sz="0" w:space="0" w:color="auto"/>
        <w:right w:val="none" w:sz="0" w:space="0" w:color="auto"/>
      </w:divBdr>
    </w:div>
    <w:div w:id="595400887">
      <w:bodyDiv w:val="1"/>
      <w:marLeft w:val="0"/>
      <w:marRight w:val="0"/>
      <w:marTop w:val="0"/>
      <w:marBottom w:val="0"/>
      <w:divBdr>
        <w:top w:val="none" w:sz="0" w:space="0" w:color="auto"/>
        <w:left w:val="none" w:sz="0" w:space="0" w:color="auto"/>
        <w:bottom w:val="none" w:sz="0" w:space="0" w:color="auto"/>
        <w:right w:val="none" w:sz="0" w:space="0" w:color="auto"/>
      </w:divBdr>
    </w:div>
    <w:div w:id="595754541">
      <w:bodyDiv w:val="1"/>
      <w:marLeft w:val="0"/>
      <w:marRight w:val="0"/>
      <w:marTop w:val="0"/>
      <w:marBottom w:val="0"/>
      <w:divBdr>
        <w:top w:val="none" w:sz="0" w:space="0" w:color="auto"/>
        <w:left w:val="none" w:sz="0" w:space="0" w:color="auto"/>
        <w:bottom w:val="none" w:sz="0" w:space="0" w:color="auto"/>
        <w:right w:val="none" w:sz="0" w:space="0" w:color="auto"/>
      </w:divBdr>
    </w:div>
    <w:div w:id="596523479">
      <w:bodyDiv w:val="1"/>
      <w:marLeft w:val="0"/>
      <w:marRight w:val="0"/>
      <w:marTop w:val="0"/>
      <w:marBottom w:val="0"/>
      <w:divBdr>
        <w:top w:val="none" w:sz="0" w:space="0" w:color="auto"/>
        <w:left w:val="none" w:sz="0" w:space="0" w:color="auto"/>
        <w:bottom w:val="none" w:sz="0" w:space="0" w:color="auto"/>
        <w:right w:val="none" w:sz="0" w:space="0" w:color="auto"/>
      </w:divBdr>
    </w:div>
    <w:div w:id="596863942">
      <w:bodyDiv w:val="1"/>
      <w:marLeft w:val="0"/>
      <w:marRight w:val="0"/>
      <w:marTop w:val="0"/>
      <w:marBottom w:val="0"/>
      <w:divBdr>
        <w:top w:val="none" w:sz="0" w:space="0" w:color="auto"/>
        <w:left w:val="none" w:sz="0" w:space="0" w:color="auto"/>
        <w:bottom w:val="none" w:sz="0" w:space="0" w:color="auto"/>
        <w:right w:val="none" w:sz="0" w:space="0" w:color="auto"/>
      </w:divBdr>
    </w:div>
    <w:div w:id="597761541">
      <w:bodyDiv w:val="1"/>
      <w:marLeft w:val="0"/>
      <w:marRight w:val="0"/>
      <w:marTop w:val="0"/>
      <w:marBottom w:val="0"/>
      <w:divBdr>
        <w:top w:val="none" w:sz="0" w:space="0" w:color="auto"/>
        <w:left w:val="none" w:sz="0" w:space="0" w:color="auto"/>
        <w:bottom w:val="none" w:sz="0" w:space="0" w:color="auto"/>
        <w:right w:val="none" w:sz="0" w:space="0" w:color="auto"/>
      </w:divBdr>
      <w:divsChild>
        <w:div w:id="1060985079">
          <w:marLeft w:val="0"/>
          <w:marRight w:val="0"/>
          <w:marTop w:val="0"/>
          <w:marBottom w:val="0"/>
          <w:divBdr>
            <w:top w:val="none" w:sz="0" w:space="0" w:color="auto"/>
            <w:left w:val="none" w:sz="0" w:space="0" w:color="auto"/>
            <w:bottom w:val="none" w:sz="0" w:space="0" w:color="auto"/>
            <w:right w:val="none" w:sz="0" w:space="0" w:color="auto"/>
          </w:divBdr>
          <w:divsChild>
            <w:div w:id="1339964945">
              <w:marLeft w:val="0"/>
              <w:marRight w:val="0"/>
              <w:marTop w:val="0"/>
              <w:marBottom w:val="0"/>
              <w:divBdr>
                <w:top w:val="none" w:sz="0" w:space="0" w:color="auto"/>
                <w:left w:val="none" w:sz="0" w:space="0" w:color="auto"/>
                <w:bottom w:val="none" w:sz="0" w:space="0" w:color="auto"/>
                <w:right w:val="none" w:sz="0" w:space="0" w:color="auto"/>
              </w:divBdr>
              <w:divsChild>
                <w:div w:id="2146779576">
                  <w:marLeft w:val="0"/>
                  <w:marRight w:val="0"/>
                  <w:marTop w:val="0"/>
                  <w:marBottom w:val="0"/>
                  <w:divBdr>
                    <w:top w:val="none" w:sz="0" w:space="0" w:color="auto"/>
                    <w:left w:val="none" w:sz="0" w:space="0" w:color="auto"/>
                    <w:bottom w:val="none" w:sz="0" w:space="0" w:color="auto"/>
                    <w:right w:val="none" w:sz="0" w:space="0" w:color="auto"/>
                  </w:divBdr>
                  <w:divsChild>
                    <w:div w:id="137855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948993">
      <w:bodyDiv w:val="1"/>
      <w:marLeft w:val="0"/>
      <w:marRight w:val="0"/>
      <w:marTop w:val="0"/>
      <w:marBottom w:val="0"/>
      <w:divBdr>
        <w:top w:val="none" w:sz="0" w:space="0" w:color="auto"/>
        <w:left w:val="none" w:sz="0" w:space="0" w:color="auto"/>
        <w:bottom w:val="none" w:sz="0" w:space="0" w:color="auto"/>
        <w:right w:val="none" w:sz="0" w:space="0" w:color="auto"/>
      </w:divBdr>
    </w:div>
    <w:div w:id="599339296">
      <w:bodyDiv w:val="1"/>
      <w:marLeft w:val="0"/>
      <w:marRight w:val="0"/>
      <w:marTop w:val="0"/>
      <w:marBottom w:val="0"/>
      <w:divBdr>
        <w:top w:val="none" w:sz="0" w:space="0" w:color="auto"/>
        <w:left w:val="none" w:sz="0" w:space="0" w:color="auto"/>
        <w:bottom w:val="none" w:sz="0" w:space="0" w:color="auto"/>
        <w:right w:val="none" w:sz="0" w:space="0" w:color="auto"/>
      </w:divBdr>
    </w:div>
    <w:div w:id="601762412">
      <w:bodyDiv w:val="1"/>
      <w:marLeft w:val="0"/>
      <w:marRight w:val="0"/>
      <w:marTop w:val="0"/>
      <w:marBottom w:val="0"/>
      <w:divBdr>
        <w:top w:val="none" w:sz="0" w:space="0" w:color="auto"/>
        <w:left w:val="none" w:sz="0" w:space="0" w:color="auto"/>
        <w:bottom w:val="none" w:sz="0" w:space="0" w:color="auto"/>
        <w:right w:val="none" w:sz="0" w:space="0" w:color="auto"/>
      </w:divBdr>
    </w:div>
    <w:div w:id="601835999">
      <w:bodyDiv w:val="1"/>
      <w:marLeft w:val="0"/>
      <w:marRight w:val="0"/>
      <w:marTop w:val="0"/>
      <w:marBottom w:val="0"/>
      <w:divBdr>
        <w:top w:val="none" w:sz="0" w:space="0" w:color="auto"/>
        <w:left w:val="none" w:sz="0" w:space="0" w:color="auto"/>
        <w:bottom w:val="none" w:sz="0" w:space="0" w:color="auto"/>
        <w:right w:val="none" w:sz="0" w:space="0" w:color="auto"/>
      </w:divBdr>
    </w:div>
    <w:div w:id="602079895">
      <w:bodyDiv w:val="1"/>
      <w:marLeft w:val="0"/>
      <w:marRight w:val="0"/>
      <w:marTop w:val="0"/>
      <w:marBottom w:val="0"/>
      <w:divBdr>
        <w:top w:val="none" w:sz="0" w:space="0" w:color="auto"/>
        <w:left w:val="none" w:sz="0" w:space="0" w:color="auto"/>
        <w:bottom w:val="none" w:sz="0" w:space="0" w:color="auto"/>
        <w:right w:val="none" w:sz="0" w:space="0" w:color="auto"/>
      </w:divBdr>
    </w:div>
    <w:div w:id="602497529">
      <w:bodyDiv w:val="1"/>
      <w:marLeft w:val="0"/>
      <w:marRight w:val="0"/>
      <w:marTop w:val="0"/>
      <w:marBottom w:val="0"/>
      <w:divBdr>
        <w:top w:val="none" w:sz="0" w:space="0" w:color="auto"/>
        <w:left w:val="none" w:sz="0" w:space="0" w:color="auto"/>
        <w:bottom w:val="none" w:sz="0" w:space="0" w:color="auto"/>
        <w:right w:val="none" w:sz="0" w:space="0" w:color="auto"/>
      </w:divBdr>
    </w:div>
    <w:div w:id="603457923">
      <w:bodyDiv w:val="1"/>
      <w:marLeft w:val="0"/>
      <w:marRight w:val="0"/>
      <w:marTop w:val="0"/>
      <w:marBottom w:val="0"/>
      <w:divBdr>
        <w:top w:val="none" w:sz="0" w:space="0" w:color="auto"/>
        <w:left w:val="none" w:sz="0" w:space="0" w:color="auto"/>
        <w:bottom w:val="none" w:sz="0" w:space="0" w:color="auto"/>
        <w:right w:val="none" w:sz="0" w:space="0" w:color="auto"/>
      </w:divBdr>
    </w:div>
    <w:div w:id="603801575">
      <w:bodyDiv w:val="1"/>
      <w:marLeft w:val="0"/>
      <w:marRight w:val="0"/>
      <w:marTop w:val="0"/>
      <w:marBottom w:val="0"/>
      <w:divBdr>
        <w:top w:val="none" w:sz="0" w:space="0" w:color="auto"/>
        <w:left w:val="none" w:sz="0" w:space="0" w:color="auto"/>
        <w:bottom w:val="none" w:sz="0" w:space="0" w:color="auto"/>
        <w:right w:val="none" w:sz="0" w:space="0" w:color="auto"/>
      </w:divBdr>
      <w:divsChild>
        <w:div w:id="1953512863">
          <w:marLeft w:val="0"/>
          <w:marRight w:val="0"/>
          <w:marTop w:val="0"/>
          <w:marBottom w:val="0"/>
          <w:divBdr>
            <w:top w:val="none" w:sz="0" w:space="0" w:color="auto"/>
            <w:left w:val="none" w:sz="0" w:space="0" w:color="auto"/>
            <w:bottom w:val="none" w:sz="0" w:space="0" w:color="auto"/>
            <w:right w:val="none" w:sz="0" w:space="0" w:color="auto"/>
          </w:divBdr>
          <w:divsChild>
            <w:div w:id="1880624809">
              <w:marLeft w:val="0"/>
              <w:marRight w:val="0"/>
              <w:marTop w:val="0"/>
              <w:marBottom w:val="0"/>
              <w:divBdr>
                <w:top w:val="none" w:sz="0" w:space="0" w:color="auto"/>
                <w:left w:val="none" w:sz="0" w:space="0" w:color="auto"/>
                <w:bottom w:val="none" w:sz="0" w:space="0" w:color="auto"/>
                <w:right w:val="none" w:sz="0" w:space="0" w:color="auto"/>
              </w:divBdr>
              <w:divsChild>
                <w:div w:id="1235315786">
                  <w:marLeft w:val="0"/>
                  <w:marRight w:val="0"/>
                  <w:marTop w:val="0"/>
                  <w:marBottom w:val="0"/>
                  <w:divBdr>
                    <w:top w:val="none" w:sz="0" w:space="0" w:color="auto"/>
                    <w:left w:val="none" w:sz="0" w:space="0" w:color="auto"/>
                    <w:bottom w:val="none" w:sz="0" w:space="0" w:color="auto"/>
                    <w:right w:val="none" w:sz="0" w:space="0" w:color="auto"/>
                  </w:divBdr>
                  <w:divsChild>
                    <w:div w:id="9559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189626">
      <w:bodyDiv w:val="1"/>
      <w:marLeft w:val="0"/>
      <w:marRight w:val="0"/>
      <w:marTop w:val="0"/>
      <w:marBottom w:val="0"/>
      <w:divBdr>
        <w:top w:val="none" w:sz="0" w:space="0" w:color="auto"/>
        <w:left w:val="none" w:sz="0" w:space="0" w:color="auto"/>
        <w:bottom w:val="none" w:sz="0" w:space="0" w:color="auto"/>
        <w:right w:val="none" w:sz="0" w:space="0" w:color="auto"/>
      </w:divBdr>
    </w:div>
    <w:div w:id="604388646">
      <w:bodyDiv w:val="1"/>
      <w:marLeft w:val="0"/>
      <w:marRight w:val="0"/>
      <w:marTop w:val="0"/>
      <w:marBottom w:val="0"/>
      <w:divBdr>
        <w:top w:val="none" w:sz="0" w:space="0" w:color="auto"/>
        <w:left w:val="none" w:sz="0" w:space="0" w:color="auto"/>
        <w:bottom w:val="none" w:sz="0" w:space="0" w:color="auto"/>
        <w:right w:val="none" w:sz="0" w:space="0" w:color="auto"/>
      </w:divBdr>
    </w:div>
    <w:div w:id="604460625">
      <w:bodyDiv w:val="1"/>
      <w:marLeft w:val="0"/>
      <w:marRight w:val="0"/>
      <w:marTop w:val="0"/>
      <w:marBottom w:val="0"/>
      <w:divBdr>
        <w:top w:val="none" w:sz="0" w:space="0" w:color="auto"/>
        <w:left w:val="none" w:sz="0" w:space="0" w:color="auto"/>
        <w:bottom w:val="none" w:sz="0" w:space="0" w:color="auto"/>
        <w:right w:val="none" w:sz="0" w:space="0" w:color="auto"/>
      </w:divBdr>
    </w:div>
    <w:div w:id="604533709">
      <w:bodyDiv w:val="1"/>
      <w:marLeft w:val="0"/>
      <w:marRight w:val="0"/>
      <w:marTop w:val="0"/>
      <w:marBottom w:val="0"/>
      <w:divBdr>
        <w:top w:val="none" w:sz="0" w:space="0" w:color="auto"/>
        <w:left w:val="none" w:sz="0" w:space="0" w:color="auto"/>
        <w:bottom w:val="none" w:sz="0" w:space="0" w:color="auto"/>
        <w:right w:val="none" w:sz="0" w:space="0" w:color="auto"/>
      </w:divBdr>
      <w:divsChild>
        <w:div w:id="1762339203">
          <w:marLeft w:val="0"/>
          <w:marRight w:val="0"/>
          <w:marTop w:val="0"/>
          <w:marBottom w:val="0"/>
          <w:divBdr>
            <w:top w:val="none" w:sz="0" w:space="0" w:color="auto"/>
            <w:left w:val="none" w:sz="0" w:space="0" w:color="auto"/>
            <w:bottom w:val="none" w:sz="0" w:space="0" w:color="auto"/>
            <w:right w:val="none" w:sz="0" w:space="0" w:color="auto"/>
          </w:divBdr>
          <w:divsChild>
            <w:div w:id="47455300">
              <w:marLeft w:val="0"/>
              <w:marRight w:val="0"/>
              <w:marTop w:val="0"/>
              <w:marBottom w:val="0"/>
              <w:divBdr>
                <w:top w:val="none" w:sz="0" w:space="0" w:color="auto"/>
                <w:left w:val="none" w:sz="0" w:space="0" w:color="auto"/>
                <w:bottom w:val="none" w:sz="0" w:space="0" w:color="auto"/>
                <w:right w:val="none" w:sz="0" w:space="0" w:color="auto"/>
              </w:divBdr>
              <w:divsChild>
                <w:div w:id="1008216717">
                  <w:marLeft w:val="0"/>
                  <w:marRight w:val="0"/>
                  <w:marTop w:val="0"/>
                  <w:marBottom w:val="0"/>
                  <w:divBdr>
                    <w:top w:val="none" w:sz="0" w:space="0" w:color="auto"/>
                    <w:left w:val="none" w:sz="0" w:space="0" w:color="auto"/>
                    <w:bottom w:val="none" w:sz="0" w:space="0" w:color="auto"/>
                    <w:right w:val="none" w:sz="0" w:space="0" w:color="auto"/>
                  </w:divBdr>
                </w:div>
              </w:divsChild>
            </w:div>
            <w:div w:id="91053751">
              <w:marLeft w:val="0"/>
              <w:marRight w:val="0"/>
              <w:marTop w:val="0"/>
              <w:marBottom w:val="0"/>
              <w:divBdr>
                <w:top w:val="none" w:sz="0" w:space="0" w:color="auto"/>
                <w:left w:val="none" w:sz="0" w:space="0" w:color="auto"/>
                <w:bottom w:val="none" w:sz="0" w:space="0" w:color="auto"/>
                <w:right w:val="none" w:sz="0" w:space="0" w:color="auto"/>
              </w:divBdr>
              <w:divsChild>
                <w:div w:id="107628129">
                  <w:marLeft w:val="0"/>
                  <w:marRight w:val="0"/>
                  <w:marTop w:val="0"/>
                  <w:marBottom w:val="0"/>
                  <w:divBdr>
                    <w:top w:val="none" w:sz="0" w:space="0" w:color="auto"/>
                    <w:left w:val="none" w:sz="0" w:space="0" w:color="auto"/>
                    <w:bottom w:val="none" w:sz="0" w:space="0" w:color="auto"/>
                    <w:right w:val="none" w:sz="0" w:space="0" w:color="auto"/>
                  </w:divBdr>
                </w:div>
              </w:divsChild>
            </w:div>
            <w:div w:id="355497541">
              <w:marLeft w:val="0"/>
              <w:marRight w:val="0"/>
              <w:marTop w:val="0"/>
              <w:marBottom w:val="0"/>
              <w:divBdr>
                <w:top w:val="none" w:sz="0" w:space="0" w:color="auto"/>
                <w:left w:val="none" w:sz="0" w:space="0" w:color="auto"/>
                <w:bottom w:val="none" w:sz="0" w:space="0" w:color="auto"/>
                <w:right w:val="none" w:sz="0" w:space="0" w:color="auto"/>
              </w:divBdr>
              <w:divsChild>
                <w:div w:id="184248972">
                  <w:marLeft w:val="0"/>
                  <w:marRight w:val="0"/>
                  <w:marTop w:val="0"/>
                  <w:marBottom w:val="0"/>
                  <w:divBdr>
                    <w:top w:val="none" w:sz="0" w:space="0" w:color="auto"/>
                    <w:left w:val="none" w:sz="0" w:space="0" w:color="auto"/>
                    <w:bottom w:val="none" w:sz="0" w:space="0" w:color="auto"/>
                    <w:right w:val="none" w:sz="0" w:space="0" w:color="auto"/>
                  </w:divBdr>
                </w:div>
              </w:divsChild>
            </w:div>
            <w:div w:id="370500228">
              <w:marLeft w:val="0"/>
              <w:marRight w:val="0"/>
              <w:marTop w:val="0"/>
              <w:marBottom w:val="0"/>
              <w:divBdr>
                <w:top w:val="none" w:sz="0" w:space="0" w:color="auto"/>
                <w:left w:val="none" w:sz="0" w:space="0" w:color="auto"/>
                <w:bottom w:val="none" w:sz="0" w:space="0" w:color="auto"/>
                <w:right w:val="none" w:sz="0" w:space="0" w:color="auto"/>
              </w:divBdr>
              <w:divsChild>
                <w:div w:id="1316760109">
                  <w:marLeft w:val="0"/>
                  <w:marRight w:val="0"/>
                  <w:marTop w:val="0"/>
                  <w:marBottom w:val="0"/>
                  <w:divBdr>
                    <w:top w:val="none" w:sz="0" w:space="0" w:color="auto"/>
                    <w:left w:val="none" w:sz="0" w:space="0" w:color="auto"/>
                    <w:bottom w:val="none" w:sz="0" w:space="0" w:color="auto"/>
                    <w:right w:val="none" w:sz="0" w:space="0" w:color="auto"/>
                  </w:divBdr>
                </w:div>
              </w:divsChild>
            </w:div>
            <w:div w:id="374820004">
              <w:marLeft w:val="0"/>
              <w:marRight w:val="0"/>
              <w:marTop w:val="0"/>
              <w:marBottom w:val="0"/>
              <w:divBdr>
                <w:top w:val="none" w:sz="0" w:space="0" w:color="auto"/>
                <w:left w:val="none" w:sz="0" w:space="0" w:color="auto"/>
                <w:bottom w:val="none" w:sz="0" w:space="0" w:color="auto"/>
                <w:right w:val="none" w:sz="0" w:space="0" w:color="auto"/>
              </w:divBdr>
              <w:divsChild>
                <w:div w:id="179242035">
                  <w:marLeft w:val="0"/>
                  <w:marRight w:val="0"/>
                  <w:marTop w:val="0"/>
                  <w:marBottom w:val="0"/>
                  <w:divBdr>
                    <w:top w:val="none" w:sz="0" w:space="0" w:color="auto"/>
                    <w:left w:val="none" w:sz="0" w:space="0" w:color="auto"/>
                    <w:bottom w:val="none" w:sz="0" w:space="0" w:color="auto"/>
                    <w:right w:val="none" w:sz="0" w:space="0" w:color="auto"/>
                  </w:divBdr>
                </w:div>
              </w:divsChild>
            </w:div>
            <w:div w:id="610160952">
              <w:marLeft w:val="0"/>
              <w:marRight w:val="0"/>
              <w:marTop w:val="0"/>
              <w:marBottom w:val="0"/>
              <w:divBdr>
                <w:top w:val="none" w:sz="0" w:space="0" w:color="auto"/>
                <w:left w:val="none" w:sz="0" w:space="0" w:color="auto"/>
                <w:bottom w:val="none" w:sz="0" w:space="0" w:color="auto"/>
                <w:right w:val="none" w:sz="0" w:space="0" w:color="auto"/>
              </w:divBdr>
              <w:divsChild>
                <w:div w:id="765884322">
                  <w:marLeft w:val="0"/>
                  <w:marRight w:val="0"/>
                  <w:marTop w:val="0"/>
                  <w:marBottom w:val="0"/>
                  <w:divBdr>
                    <w:top w:val="none" w:sz="0" w:space="0" w:color="auto"/>
                    <w:left w:val="none" w:sz="0" w:space="0" w:color="auto"/>
                    <w:bottom w:val="none" w:sz="0" w:space="0" w:color="auto"/>
                    <w:right w:val="none" w:sz="0" w:space="0" w:color="auto"/>
                  </w:divBdr>
                </w:div>
              </w:divsChild>
            </w:div>
            <w:div w:id="946961327">
              <w:marLeft w:val="0"/>
              <w:marRight w:val="0"/>
              <w:marTop w:val="0"/>
              <w:marBottom w:val="0"/>
              <w:divBdr>
                <w:top w:val="none" w:sz="0" w:space="0" w:color="auto"/>
                <w:left w:val="none" w:sz="0" w:space="0" w:color="auto"/>
                <w:bottom w:val="none" w:sz="0" w:space="0" w:color="auto"/>
                <w:right w:val="none" w:sz="0" w:space="0" w:color="auto"/>
              </w:divBdr>
              <w:divsChild>
                <w:div w:id="1703089495">
                  <w:marLeft w:val="0"/>
                  <w:marRight w:val="0"/>
                  <w:marTop w:val="0"/>
                  <w:marBottom w:val="0"/>
                  <w:divBdr>
                    <w:top w:val="none" w:sz="0" w:space="0" w:color="auto"/>
                    <w:left w:val="none" w:sz="0" w:space="0" w:color="auto"/>
                    <w:bottom w:val="none" w:sz="0" w:space="0" w:color="auto"/>
                    <w:right w:val="none" w:sz="0" w:space="0" w:color="auto"/>
                  </w:divBdr>
                </w:div>
              </w:divsChild>
            </w:div>
            <w:div w:id="1001930041">
              <w:marLeft w:val="0"/>
              <w:marRight w:val="0"/>
              <w:marTop w:val="0"/>
              <w:marBottom w:val="0"/>
              <w:divBdr>
                <w:top w:val="none" w:sz="0" w:space="0" w:color="auto"/>
                <w:left w:val="none" w:sz="0" w:space="0" w:color="auto"/>
                <w:bottom w:val="none" w:sz="0" w:space="0" w:color="auto"/>
                <w:right w:val="none" w:sz="0" w:space="0" w:color="auto"/>
              </w:divBdr>
              <w:divsChild>
                <w:div w:id="240524341">
                  <w:marLeft w:val="0"/>
                  <w:marRight w:val="0"/>
                  <w:marTop w:val="0"/>
                  <w:marBottom w:val="0"/>
                  <w:divBdr>
                    <w:top w:val="none" w:sz="0" w:space="0" w:color="auto"/>
                    <w:left w:val="none" w:sz="0" w:space="0" w:color="auto"/>
                    <w:bottom w:val="none" w:sz="0" w:space="0" w:color="auto"/>
                    <w:right w:val="none" w:sz="0" w:space="0" w:color="auto"/>
                  </w:divBdr>
                </w:div>
              </w:divsChild>
            </w:div>
            <w:div w:id="1048802562">
              <w:marLeft w:val="0"/>
              <w:marRight w:val="0"/>
              <w:marTop w:val="0"/>
              <w:marBottom w:val="0"/>
              <w:divBdr>
                <w:top w:val="none" w:sz="0" w:space="0" w:color="auto"/>
                <w:left w:val="none" w:sz="0" w:space="0" w:color="auto"/>
                <w:bottom w:val="none" w:sz="0" w:space="0" w:color="auto"/>
                <w:right w:val="none" w:sz="0" w:space="0" w:color="auto"/>
              </w:divBdr>
              <w:divsChild>
                <w:div w:id="1415860334">
                  <w:marLeft w:val="0"/>
                  <w:marRight w:val="0"/>
                  <w:marTop w:val="0"/>
                  <w:marBottom w:val="0"/>
                  <w:divBdr>
                    <w:top w:val="none" w:sz="0" w:space="0" w:color="auto"/>
                    <w:left w:val="none" w:sz="0" w:space="0" w:color="auto"/>
                    <w:bottom w:val="none" w:sz="0" w:space="0" w:color="auto"/>
                    <w:right w:val="none" w:sz="0" w:space="0" w:color="auto"/>
                  </w:divBdr>
                </w:div>
              </w:divsChild>
            </w:div>
            <w:div w:id="1107651472">
              <w:marLeft w:val="0"/>
              <w:marRight w:val="0"/>
              <w:marTop w:val="0"/>
              <w:marBottom w:val="0"/>
              <w:divBdr>
                <w:top w:val="none" w:sz="0" w:space="0" w:color="auto"/>
                <w:left w:val="none" w:sz="0" w:space="0" w:color="auto"/>
                <w:bottom w:val="none" w:sz="0" w:space="0" w:color="auto"/>
                <w:right w:val="none" w:sz="0" w:space="0" w:color="auto"/>
              </w:divBdr>
              <w:divsChild>
                <w:div w:id="1276255479">
                  <w:marLeft w:val="0"/>
                  <w:marRight w:val="0"/>
                  <w:marTop w:val="0"/>
                  <w:marBottom w:val="0"/>
                  <w:divBdr>
                    <w:top w:val="none" w:sz="0" w:space="0" w:color="auto"/>
                    <w:left w:val="none" w:sz="0" w:space="0" w:color="auto"/>
                    <w:bottom w:val="none" w:sz="0" w:space="0" w:color="auto"/>
                    <w:right w:val="none" w:sz="0" w:space="0" w:color="auto"/>
                  </w:divBdr>
                </w:div>
              </w:divsChild>
            </w:div>
            <w:div w:id="1207330825">
              <w:marLeft w:val="0"/>
              <w:marRight w:val="0"/>
              <w:marTop w:val="0"/>
              <w:marBottom w:val="0"/>
              <w:divBdr>
                <w:top w:val="none" w:sz="0" w:space="0" w:color="auto"/>
                <w:left w:val="none" w:sz="0" w:space="0" w:color="auto"/>
                <w:bottom w:val="none" w:sz="0" w:space="0" w:color="auto"/>
                <w:right w:val="none" w:sz="0" w:space="0" w:color="auto"/>
              </w:divBdr>
              <w:divsChild>
                <w:div w:id="1609046520">
                  <w:marLeft w:val="0"/>
                  <w:marRight w:val="0"/>
                  <w:marTop w:val="0"/>
                  <w:marBottom w:val="0"/>
                  <w:divBdr>
                    <w:top w:val="none" w:sz="0" w:space="0" w:color="auto"/>
                    <w:left w:val="none" w:sz="0" w:space="0" w:color="auto"/>
                    <w:bottom w:val="none" w:sz="0" w:space="0" w:color="auto"/>
                    <w:right w:val="none" w:sz="0" w:space="0" w:color="auto"/>
                  </w:divBdr>
                </w:div>
              </w:divsChild>
            </w:div>
            <w:div w:id="1209032627">
              <w:marLeft w:val="0"/>
              <w:marRight w:val="0"/>
              <w:marTop w:val="0"/>
              <w:marBottom w:val="0"/>
              <w:divBdr>
                <w:top w:val="none" w:sz="0" w:space="0" w:color="auto"/>
                <w:left w:val="none" w:sz="0" w:space="0" w:color="auto"/>
                <w:bottom w:val="none" w:sz="0" w:space="0" w:color="auto"/>
                <w:right w:val="none" w:sz="0" w:space="0" w:color="auto"/>
              </w:divBdr>
              <w:divsChild>
                <w:div w:id="688409907">
                  <w:marLeft w:val="0"/>
                  <w:marRight w:val="0"/>
                  <w:marTop w:val="0"/>
                  <w:marBottom w:val="0"/>
                  <w:divBdr>
                    <w:top w:val="none" w:sz="0" w:space="0" w:color="auto"/>
                    <w:left w:val="none" w:sz="0" w:space="0" w:color="auto"/>
                    <w:bottom w:val="none" w:sz="0" w:space="0" w:color="auto"/>
                    <w:right w:val="none" w:sz="0" w:space="0" w:color="auto"/>
                  </w:divBdr>
                </w:div>
              </w:divsChild>
            </w:div>
            <w:div w:id="1782920763">
              <w:marLeft w:val="0"/>
              <w:marRight w:val="0"/>
              <w:marTop w:val="0"/>
              <w:marBottom w:val="0"/>
              <w:divBdr>
                <w:top w:val="none" w:sz="0" w:space="0" w:color="auto"/>
                <w:left w:val="none" w:sz="0" w:space="0" w:color="auto"/>
                <w:bottom w:val="none" w:sz="0" w:space="0" w:color="auto"/>
                <w:right w:val="none" w:sz="0" w:space="0" w:color="auto"/>
              </w:divBdr>
              <w:divsChild>
                <w:div w:id="1524787667">
                  <w:marLeft w:val="0"/>
                  <w:marRight w:val="0"/>
                  <w:marTop w:val="0"/>
                  <w:marBottom w:val="0"/>
                  <w:divBdr>
                    <w:top w:val="none" w:sz="0" w:space="0" w:color="auto"/>
                    <w:left w:val="none" w:sz="0" w:space="0" w:color="auto"/>
                    <w:bottom w:val="none" w:sz="0" w:space="0" w:color="auto"/>
                    <w:right w:val="none" w:sz="0" w:space="0" w:color="auto"/>
                  </w:divBdr>
                </w:div>
              </w:divsChild>
            </w:div>
            <w:div w:id="1861973161">
              <w:marLeft w:val="0"/>
              <w:marRight w:val="0"/>
              <w:marTop w:val="0"/>
              <w:marBottom w:val="0"/>
              <w:divBdr>
                <w:top w:val="none" w:sz="0" w:space="0" w:color="auto"/>
                <w:left w:val="none" w:sz="0" w:space="0" w:color="auto"/>
                <w:bottom w:val="none" w:sz="0" w:space="0" w:color="auto"/>
                <w:right w:val="none" w:sz="0" w:space="0" w:color="auto"/>
              </w:divBdr>
              <w:divsChild>
                <w:div w:id="1653674618">
                  <w:marLeft w:val="0"/>
                  <w:marRight w:val="0"/>
                  <w:marTop w:val="0"/>
                  <w:marBottom w:val="0"/>
                  <w:divBdr>
                    <w:top w:val="none" w:sz="0" w:space="0" w:color="auto"/>
                    <w:left w:val="none" w:sz="0" w:space="0" w:color="auto"/>
                    <w:bottom w:val="none" w:sz="0" w:space="0" w:color="auto"/>
                    <w:right w:val="none" w:sz="0" w:space="0" w:color="auto"/>
                  </w:divBdr>
                </w:div>
              </w:divsChild>
            </w:div>
            <w:div w:id="1959602017">
              <w:marLeft w:val="0"/>
              <w:marRight w:val="0"/>
              <w:marTop w:val="0"/>
              <w:marBottom w:val="0"/>
              <w:divBdr>
                <w:top w:val="none" w:sz="0" w:space="0" w:color="auto"/>
                <w:left w:val="none" w:sz="0" w:space="0" w:color="auto"/>
                <w:bottom w:val="none" w:sz="0" w:space="0" w:color="auto"/>
                <w:right w:val="none" w:sz="0" w:space="0" w:color="auto"/>
              </w:divBdr>
              <w:divsChild>
                <w:div w:id="626474505">
                  <w:marLeft w:val="0"/>
                  <w:marRight w:val="0"/>
                  <w:marTop w:val="0"/>
                  <w:marBottom w:val="0"/>
                  <w:divBdr>
                    <w:top w:val="none" w:sz="0" w:space="0" w:color="auto"/>
                    <w:left w:val="none" w:sz="0" w:space="0" w:color="auto"/>
                    <w:bottom w:val="none" w:sz="0" w:space="0" w:color="auto"/>
                    <w:right w:val="none" w:sz="0" w:space="0" w:color="auto"/>
                  </w:divBdr>
                </w:div>
              </w:divsChild>
            </w:div>
            <w:div w:id="1968008933">
              <w:marLeft w:val="0"/>
              <w:marRight w:val="0"/>
              <w:marTop w:val="0"/>
              <w:marBottom w:val="0"/>
              <w:divBdr>
                <w:top w:val="none" w:sz="0" w:space="0" w:color="auto"/>
                <w:left w:val="none" w:sz="0" w:space="0" w:color="auto"/>
                <w:bottom w:val="none" w:sz="0" w:space="0" w:color="auto"/>
                <w:right w:val="none" w:sz="0" w:space="0" w:color="auto"/>
              </w:divBdr>
              <w:divsChild>
                <w:div w:id="33530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160265">
      <w:bodyDiv w:val="1"/>
      <w:marLeft w:val="0"/>
      <w:marRight w:val="0"/>
      <w:marTop w:val="0"/>
      <w:marBottom w:val="0"/>
      <w:divBdr>
        <w:top w:val="none" w:sz="0" w:space="0" w:color="auto"/>
        <w:left w:val="none" w:sz="0" w:space="0" w:color="auto"/>
        <w:bottom w:val="none" w:sz="0" w:space="0" w:color="auto"/>
        <w:right w:val="none" w:sz="0" w:space="0" w:color="auto"/>
      </w:divBdr>
      <w:divsChild>
        <w:div w:id="898252769">
          <w:marLeft w:val="0"/>
          <w:marRight w:val="0"/>
          <w:marTop w:val="0"/>
          <w:marBottom w:val="0"/>
          <w:divBdr>
            <w:top w:val="none" w:sz="0" w:space="0" w:color="auto"/>
            <w:left w:val="none" w:sz="0" w:space="0" w:color="auto"/>
            <w:bottom w:val="none" w:sz="0" w:space="0" w:color="auto"/>
            <w:right w:val="none" w:sz="0" w:space="0" w:color="auto"/>
          </w:divBdr>
          <w:divsChild>
            <w:div w:id="1587887453">
              <w:marLeft w:val="0"/>
              <w:marRight w:val="0"/>
              <w:marTop w:val="0"/>
              <w:marBottom w:val="0"/>
              <w:divBdr>
                <w:top w:val="none" w:sz="0" w:space="0" w:color="auto"/>
                <w:left w:val="none" w:sz="0" w:space="0" w:color="auto"/>
                <w:bottom w:val="none" w:sz="0" w:space="0" w:color="auto"/>
                <w:right w:val="none" w:sz="0" w:space="0" w:color="auto"/>
              </w:divBdr>
              <w:divsChild>
                <w:div w:id="618682387">
                  <w:marLeft w:val="0"/>
                  <w:marRight w:val="0"/>
                  <w:marTop w:val="0"/>
                  <w:marBottom w:val="0"/>
                  <w:divBdr>
                    <w:top w:val="none" w:sz="0" w:space="0" w:color="auto"/>
                    <w:left w:val="none" w:sz="0" w:space="0" w:color="auto"/>
                    <w:bottom w:val="none" w:sz="0" w:space="0" w:color="auto"/>
                    <w:right w:val="none" w:sz="0" w:space="0" w:color="auto"/>
                  </w:divBdr>
                  <w:divsChild>
                    <w:div w:id="2064674851">
                      <w:marLeft w:val="0"/>
                      <w:marRight w:val="0"/>
                      <w:marTop w:val="0"/>
                      <w:marBottom w:val="0"/>
                      <w:divBdr>
                        <w:top w:val="none" w:sz="0" w:space="0" w:color="auto"/>
                        <w:left w:val="none" w:sz="0" w:space="0" w:color="auto"/>
                        <w:bottom w:val="none" w:sz="0" w:space="0" w:color="auto"/>
                        <w:right w:val="none" w:sz="0" w:space="0" w:color="auto"/>
                      </w:divBdr>
                    </w:div>
                  </w:divsChild>
                </w:div>
                <w:div w:id="1750075158">
                  <w:marLeft w:val="0"/>
                  <w:marRight w:val="0"/>
                  <w:marTop w:val="0"/>
                  <w:marBottom w:val="0"/>
                  <w:divBdr>
                    <w:top w:val="none" w:sz="0" w:space="0" w:color="auto"/>
                    <w:left w:val="none" w:sz="0" w:space="0" w:color="auto"/>
                    <w:bottom w:val="none" w:sz="0" w:space="0" w:color="auto"/>
                    <w:right w:val="none" w:sz="0" w:space="0" w:color="auto"/>
                  </w:divBdr>
                  <w:divsChild>
                    <w:div w:id="206316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190971">
      <w:bodyDiv w:val="1"/>
      <w:marLeft w:val="0"/>
      <w:marRight w:val="0"/>
      <w:marTop w:val="0"/>
      <w:marBottom w:val="0"/>
      <w:divBdr>
        <w:top w:val="none" w:sz="0" w:space="0" w:color="auto"/>
        <w:left w:val="none" w:sz="0" w:space="0" w:color="auto"/>
        <w:bottom w:val="none" w:sz="0" w:space="0" w:color="auto"/>
        <w:right w:val="none" w:sz="0" w:space="0" w:color="auto"/>
      </w:divBdr>
    </w:div>
    <w:div w:id="606617831">
      <w:bodyDiv w:val="1"/>
      <w:marLeft w:val="0"/>
      <w:marRight w:val="0"/>
      <w:marTop w:val="0"/>
      <w:marBottom w:val="0"/>
      <w:divBdr>
        <w:top w:val="none" w:sz="0" w:space="0" w:color="auto"/>
        <w:left w:val="none" w:sz="0" w:space="0" w:color="auto"/>
        <w:bottom w:val="none" w:sz="0" w:space="0" w:color="auto"/>
        <w:right w:val="none" w:sz="0" w:space="0" w:color="auto"/>
      </w:divBdr>
    </w:div>
    <w:div w:id="606816056">
      <w:bodyDiv w:val="1"/>
      <w:marLeft w:val="0"/>
      <w:marRight w:val="0"/>
      <w:marTop w:val="0"/>
      <w:marBottom w:val="0"/>
      <w:divBdr>
        <w:top w:val="none" w:sz="0" w:space="0" w:color="auto"/>
        <w:left w:val="none" w:sz="0" w:space="0" w:color="auto"/>
        <w:bottom w:val="none" w:sz="0" w:space="0" w:color="auto"/>
        <w:right w:val="none" w:sz="0" w:space="0" w:color="auto"/>
      </w:divBdr>
    </w:div>
    <w:div w:id="607280106">
      <w:bodyDiv w:val="1"/>
      <w:marLeft w:val="0"/>
      <w:marRight w:val="0"/>
      <w:marTop w:val="0"/>
      <w:marBottom w:val="0"/>
      <w:divBdr>
        <w:top w:val="none" w:sz="0" w:space="0" w:color="auto"/>
        <w:left w:val="none" w:sz="0" w:space="0" w:color="auto"/>
        <w:bottom w:val="none" w:sz="0" w:space="0" w:color="auto"/>
        <w:right w:val="none" w:sz="0" w:space="0" w:color="auto"/>
      </w:divBdr>
    </w:div>
    <w:div w:id="608004171">
      <w:bodyDiv w:val="1"/>
      <w:marLeft w:val="0"/>
      <w:marRight w:val="0"/>
      <w:marTop w:val="0"/>
      <w:marBottom w:val="0"/>
      <w:divBdr>
        <w:top w:val="none" w:sz="0" w:space="0" w:color="auto"/>
        <w:left w:val="none" w:sz="0" w:space="0" w:color="auto"/>
        <w:bottom w:val="none" w:sz="0" w:space="0" w:color="auto"/>
        <w:right w:val="none" w:sz="0" w:space="0" w:color="auto"/>
      </w:divBdr>
    </w:div>
    <w:div w:id="608245230">
      <w:bodyDiv w:val="1"/>
      <w:marLeft w:val="0"/>
      <w:marRight w:val="0"/>
      <w:marTop w:val="0"/>
      <w:marBottom w:val="0"/>
      <w:divBdr>
        <w:top w:val="none" w:sz="0" w:space="0" w:color="auto"/>
        <w:left w:val="none" w:sz="0" w:space="0" w:color="auto"/>
        <w:bottom w:val="none" w:sz="0" w:space="0" w:color="auto"/>
        <w:right w:val="none" w:sz="0" w:space="0" w:color="auto"/>
      </w:divBdr>
    </w:div>
    <w:div w:id="609051372">
      <w:bodyDiv w:val="1"/>
      <w:marLeft w:val="0"/>
      <w:marRight w:val="0"/>
      <w:marTop w:val="0"/>
      <w:marBottom w:val="0"/>
      <w:divBdr>
        <w:top w:val="none" w:sz="0" w:space="0" w:color="auto"/>
        <w:left w:val="none" w:sz="0" w:space="0" w:color="auto"/>
        <w:bottom w:val="none" w:sz="0" w:space="0" w:color="auto"/>
        <w:right w:val="none" w:sz="0" w:space="0" w:color="auto"/>
      </w:divBdr>
    </w:div>
    <w:div w:id="609629548">
      <w:bodyDiv w:val="1"/>
      <w:marLeft w:val="0"/>
      <w:marRight w:val="0"/>
      <w:marTop w:val="0"/>
      <w:marBottom w:val="0"/>
      <w:divBdr>
        <w:top w:val="none" w:sz="0" w:space="0" w:color="auto"/>
        <w:left w:val="none" w:sz="0" w:space="0" w:color="auto"/>
        <w:bottom w:val="none" w:sz="0" w:space="0" w:color="auto"/>
        <w:right w:val="none" w:sz="0" w:space="0" w:color="auto"/>
      </w:divBdr>
    </w:div>
    <w:div w:id="609900099">
      <w:bodyDiv w:val="1"/>
      <w:marLeft w:val="0"/>
      <w:marRight w:val="0"/>
      <w:marTop w:val="0"/>
      <w:marBottom w:val="0"/>
      <w:divBdr>
        <w:top w:val="none" w:sz="0" w:space="0" w:color="auto"/>
        <w:left w:val="none" w:sz="0" w:space="0" w:color="auto"/>
        <w:bottom w:val="none" w:sz="0" w:space="0" w:color="auto"/>
        <w:right w:val="none" w:sz="0" w:space="0" w:color="auto"/>
      </w:divBdr>
      <w:divsChild>
        <w:div w:id="1156915754">
          <w:marLeft w:val="0"/>
          <w:marRight w:val="0"/>
          <w:marTop w:val="0"/>
          <w:marBottom w:val="0"/>
          <w:divBdr>
            <w:top w:val="none" w:sz="0" w:space="0" w:color="auto"/>
            <w:left w:val="none" w:sz="0" w:space="0" w:color="auto"/>
            <w:bottom w:val="none" w:sz="0" w:space="0" w:color="auto"/>
            <w:right w:val="none" w:sz="0" w:space="0" w:color="auto"/>
          </w:divBdr>
          <w:divsChild>
            <w:div w:id="1016689474">
              <w:marLeft w:val="0"/>
              <w:marRight w:val="0"/>
              <w:marTop w:val="0"/>
              <w:marBottom w:val="0"/>
              <w:divBdr>
                <w:top w:val="none" w:sz="0" w:space="0" w:color="auto"/>
                <w:left w:val="none" w:sz="0" w:space="0" w:color="auto"/>
                <w:bottom w:val="none" w:sz="0" w:space="0" w:color="auto"/>
                <w:right w:val="none" w:sz="0" w:space="0" w:color="auto"/>
              </w:divBdr>
              <w:divsChild>
                <w:div w:id="1202399486">
                  <w:marLeft w:val="0"/>
                  <w:marRight w:val="0"/>
                  <w:marTop w:val="0"/>
                  <w:marBottom w:val="0"/>
                  <w:divBdr>
                    <w:top w:val="none" w:sz="0" w:space="0" w:color="auto"/>
                    <w:left w:val="none" w:sz="0" w:space="0" w:color="auto"/>
                    <w:bottom w:val="none" w:sz="0" w:space="0" w:color="auto"/>
                    <w:right w:val="none" w:sz="0" w:space="0" w:color="auto"/>
                  </w:divBdr>
                  <w:divsChild>
                    <w:div w:id="159254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900954">
      <w:bodyDiv w:val="1"/>
      <w:marLeft w:val="0"/>
      <w:marRight w:val="0"/>
      <w:marTop w:val="0"/>
      <w:marBottom w:val="0"/>
      <w:divBdr>
        <w:top w:val="none" w:sz="0" w:space="0" w:color="auto"/>
        <w:left w:val="none" w:sz="0" w:space="0" w:color="auto"/>
        <w:bottom w:val="none" w:sz="0" w:space="0" w:color="auto"/>
        <w:right w:val="none" w:sz="0" w:space="0" w:color="auto"/>
      </w:divBdr>
    </w:div>
    <w:div w:id="610012749">
      <w:bodyDiv w:val="1"/>
      <w:marLeft w:val="0"/>
      <w:marRight w:val="0"/>
      <w:marTop w:val="0"/>
      <w:marBottom w:val="0"/>
      <w:divBdr>
        <w:top w:val="none" w:sz="0" w:space="0" w:color="auto"/>
        <w:left w:val="none" w:sz="0" w:space="0" w:color="auto"/>
        <w:bottom w:val="none" w:sz="0" w:space="0" w:color="auto"/>
        <w:right w:val="none" w:sz="0" w:space="0" w:color="auto"/>
      </w:divBdr>
      <w:divsChild>
        <w:div w:id="690883919">
          <w:marLeft w:val="0"/>
          <w:marRight w:val="0"/>
          <w:marTop w:val="0"/>
          <w:marBottom w:val="0"/>
          <w:divBdr>
            <w:top w:val="none" w:sz="0" w:space="0" w:color="auto"/>
            <w:left w:val="none" w:sz="0" w:space="0" w:color="auto"/>
            <w:bottom w:val="none" w:sz="0" w:space="0" w:color="auto"/>
            <w:right w:val="none" w:sz="0" w:space="0" w:color="auto"/>
          </w:divBdr>
          <w:divsChild>
            <w:div w:id="54554583">
              <w:marLeft w:val="0"/>
              <w:marRight w:val="0"/>
              <w:marTop w:val="0"/>
              <w:marBottom w:val="0"/>
              <w:divBdr>
                <w:top w:val="none" w:sz="0" w:space="0" w:color="auto"/>
                <w:left w:val="none" w:sz="0" w:space="0" w:color="auto"/>
                <w:bottom w:val="none" w:sz="0" w:space="0" w:color="auto"/>
                <w:right w:val="none" w:sz="0" w:space="0" w:color="auto"/>
              </w:divBdr>
              <w:divsChild>
                <w:div w:id="1401948965">
                  <w:marLeft w:val="0"/>
                  <w:marRight w:val="0"/>
                  <w:marTop w:val="0"/>
                  <w:marBottom w:val="0"/>
                  <w:divBdr>
                    <w:top w:val="none" w:sz="0" w:space="0" w:color="auto"/>
                    <w:left w:val="none" w:sz="0" w:space="0" w:color="auto"/>
                    <w:bottom w:val="none" w:sz="0" w:space="0" w:color="auto"/>
                    <w:right w:val="none" w:sz="0" w:space="0" w:color="auto"/>
                  </w:divBdr>
                  <w:divsChild>
                    <w:div w:id="117252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211417">
      <w:bodyDiv w:val="1"/>
      <w:marLeft w:val="0"/>
      <w:marRight w:val="0"/>
      <w:marTop w:val="0"/>
      <w:marBottom w:val="0"/>
      <w:divBdr>
        <w:top w:val="none" w:sz="0" w:space="0" w:color="auto"/>
        <w:left w:val="none" w:sz="0" w:space="0" w:color="auto"/>
        <w:bottom w:val="none" w:sz="0" w:space="0" w:color="auto"/>
        <w:right w:val="none" w:sz="0" w:space="0" w:color="auto"/>
      </w:divBdr>
    </w:div>
    <w:div w:id="611403543">
      <w:bodyDiv w:val="1"/>
      <w:marLeft w:val="0"/>
      <w:marRight w:val="0"/>
      <w:marTop w:val="0"/>
      <w:marBottom w:val="0"/>
      <w:divBdr>
        <w:top w:val="none" w:sz="0" w:space="0" w:color="auto"/>
        <w:left w:val="none" w:sz="0" w:space="0" w:color="auto"/>
        <w:bottom w:val="none" w:sz="0" w:space="0" w:color="auto"/>
        <w:right w:val="none" w:sz="0" w:space="0" w:color="auto"/>
      </w:divBdr>
    </w:div>
    <w:div w:id="611591435">
      <w:bodyDiv w:val="1"/>
      <w:marLeft w:val="0"/>
      <w:marRight w:val="0"/>
      <w:marTop w:val="0"/>
      <w:marBottom w:val="0"/>
      <w:divBdr>
        <w:top w:val="none" w:sz="0" w:space="0" w:color="auto"/>
        <w:left w:val="none" w:sz="0" w:space="0" w:color="auto"/>
        <w:bottom w:val="none" w:sz="0" w:space="0" w:color="auto"/>
        <w:right w:val="none" w:sz="0" w:space="0" w:color="auto"/>
      </w:divBdr>
    </w:div>
    <w:div w:id="611714146">
      <w:bodyDiv w:val="1"/>
      <w:marLeft w:val="0"/>
      <w:marRight w:val="0"/>
      <w:marTop w:val="0"/>
      <w:marBottom w:val="0"/>
      <w:divBdr>
        <w:top w:val="none" w:sz="0" w:space="0" w:color="auto"/>
        <w:left w:val="none" w:sz="0" w:space="0" w:color="auto"/>
        <w:bottom w:val="none" w:sz="0" w:space="0" w:color="auto"/>
        <w:right w:val="none" w:sz="0" w:space="0" w:color="auto"/>
      </w:divBdr>
    </w:div>
    <w:div w:id="612442059">
      <w:bodyDiv w:val="1"/>
      <w:marLeft w:val="0"/>
      <w:marRight w:val="0"/>
      <w:marTop w:val="0"/>
      <w:marBottom w:val="0"/>
      <w:divBdr>
        <w:top w:val="none" w:sz="0" w:space="0" w:color="auto"/>
        <w:left w:val="none" w:sz="0" w:space="0" w:color="auto"/>
        <w:bottom w:val="none" w:sz="0" w:space="0" w:color="auto"/>
        <w:right w:val="none" w:sz="0" w:space="0" w:color="auto"/>
      </w:divBdr>
      <w:divsChild>
        <w:div w:id="251471238">
          <w:marLeft w:val="0"/>
          <w:marRight w:val="0"/>
          <w:marTop w:val="0"/>
          <w:marBottom w:val="0"/>
          <w:divBdr>
            <w:top w:val="none" w:sz="0" w:space="0" w:color="auto"/>
            <w:left w:val="none" w:sz="0" w:space="0" w:color="auto"/>
            <w:bottom w:val="none" w:sz="0" w:space="0" w:color="auto"/>
            <w:right w:val="none" w:sz="0" w:space="0" w:color="auto"/>
          </w:divBdr>
          <w:divsChild>
            <w:div w:id="2136672934">
              <w:marLeft w:val="0"/>
              <w:marRight w:val="0"/>
              <w:marTop w:val="0"/>
              <w:marBottom w:val="0"/>
              <w:divBdr>
                <w:top w:val="none" w:sz="0" w:space="0" w:color="auto"/>
                <w:left w:val="none" w:sz="0" w:space="0" w:color="auto"/>
                <w:bottom w:val="none" w:sz="0" w:space="0" w:color="auto"/>
                <w:right w:val="none" w:sz="0" w:space="0" w:color="auto"/>
              </w:divBdr>
              <w:divsChild>
                <w:div w:id="1471971183">
                  <w:marLeft w:val="0"/>
                  <w:marRight w:val="0"/>
                  <w:marTop w:val="0"/>
                  <w:marBottom w:val="0"/>
                  <w:divBdr>
                    <w:top w:val="none" w:sz="0" w:space="0" w:color="auto"/>
                    <w:left w:val="none" w:sz="0" w:space="0" w:color="auto"/>
                    <w:bottom w:val="none" w:sz="0" w:space="0" w:color="auto"/>
                    <w:right w:val="none" w:sz="0" w:space="0" w:color="auto"/>
                  </w:divBdr>
                  <w:divsChild>
                    <w:div w:id="12381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907266">
      <w:bodyDiv w:val="1"/>
      <w:marLeft w:val="0"/>
      <w:marRight w:val="0"/>
      <w:marTop w:val="0"/>
      <w:marBottom w:val="0"/>
      <w:divBdr>
        <w:top w:val="none" w:sz="0" w:space="0" w:color="auto"/>
        <w:left w:val="none" w:sz="0" w:space="0" w:color="auto"/>
        <w:bottom w:val="none" w:sz="0" w:space="0" w:color="auto"/>
        <w:right w:val="none" w:sz="0" w:space="0" w:color="auto"/>
      </w:divBdr>
    </w:div>
    <w:div w:id="612977724">
      <w:bodyDiv w:val="1"/>
      <w:marLeft w:val="0"/>
      <w:marRight w:val="0"/>
      <w:marTop w:val="0"/>
      <w:marBottom w:val="0"/>
      <w:divBdr>
        <w:top w:val="none" w:sz="0" w:space="0" w:color="auto"/>
        <w:left w:val="none" w:sz="0" w:space="0" w:color="auto"/>
        <w:bottom w:val="none" w:sz="0" w:space="0" w:color="auto"/>
        <w:right w:val="none" w:sz="0" w:space="0" w:color="auto"/>
      </w:divBdr>
    </w:div>
    <w:div w:id="613558470">
      <w:bodyDiv w:val="1"/>
      <w:marLeft w:val="0"/>
      <w:marRight w:val="0"/>
      <w:marTop w:val="0"/>
      <w:marBottom w:val="0"/>
      <w:divBdr>
        <w:top w:val="none" w:sz="0" w:space="0" w:color="auto"/>
        <w:left w:val="none" w:sz="0" w:space="0" w:color="auto"/>
        <w:bottom w:val="none" w:sz="0" w:space="0" w:color="auto"/>
        <w:right w:val="none" w:sz="0" w:space="0" w:color="auto"/>
      </w:divBdr>
      <w:divsChild>
        <w:div w:id="725102833">
          <w:marLeft w:val="0"/>
          <w:marRight w:val="0"/>
          <w:marTop w:val="0"/>
          <w:marBottom w:val="0"/>
          <w:divBdr>
            <w:top w:val="none" w:sz="0" w:space="0" w:color="auto"/>
            <w:left w:val="none" w:sz="0" w:space="0" w:color="auto"/>
            <w:bottom w:val="none" w:sz="0" w:space="0" w:color="auto"/>
            <w:right w:val="none" w:sz="0" w:space="0" w:color="auto"/>
          </w:divBdr>
          <w:divsChild>
            <w:div w:id="146434640">
              <w:marLeft w:val="0"/>
              <w:marRight w:val="0"/>
              <w:marTop w:val="0"/>
              <w:marBottom w:val="0"/>
              <w:divBdr>
                <w:top w:val="none" w:sz="0" w:space="0" w:color="auto"/>
                <w:left w:val="none" w:sz="0" w:space="0" w:color="auto"/>
                <w:bottom w:val="none" w:sz="0" w:space="0" w:color="auto"/>
                <w:right w:val="none" w:sz="0" w:space="0" w:color="auto"/>
              </w:divBdr>
              <w:divsChild>
                <w:div w:id="1097557349">
                  <w:marLeft w:val="0"/>
                  <w:marRight w:val="0"/>
                  <w:marTop w:val="0"/>
                  <w:marBottom w:val="0"/>
                  <w:divBdr>
                    <w:top w:val="none" w:sz="0" w:space="0" w:color="auto"/>
                    <w:left w:val="none" w:sz="0" w:space="0" w:color="auto"/>
                    <w:bottom w:val="none" w:sz="0" w:space="0" w:color="auto"/>
                    <w:right w:val="none" w:sz="0" w:space="0" w:color="auto"/>
                  </w:divBdr>
                  <w:divsChild>
                    <w:div w:id="4586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950515">
      <w:bodyDiv w:val="1"/>
      <w:marLeft w:val="0"/>
      <w:marRight w:val="0"/>
      <w:marTop w:val="0"/>
      <w:marBottom w:val="0"/>
      <w:divBdr>
        <w:top w:val="none" w:sz="0" w:space="0" w:color="auto"/>
        <w:left w:val="none" w:sz="0" w:space="0" w:color="auto"/>
        <w:bottom w:val="none" w:sz="0" w:space="0" w:color="auto"/>
        <w:right w:val="none" w:sz="0" w:space="0" w:color="auto"/>
      </w:divBdr>
    </w:div>
    <w:div w:id="614403592">
      <w:bodyDiv w:val="1"/>
      <w:marLeft w:val="0"/>
      <w:marRight w:val="0"/>
      <w:marTop w:val="0"/>
      <w:marBottom w:val="0"/>
      <w:divBdr>
        <w:top w:val="none" w:sz="0" w:space="0" w:color="auto"/>
        <w:left w:val="none" w:sz="0" w:space="0" w:color="auto"/>
        <w:bottom w:val="none" w:sz="0" w:space="0" w:color="auto"/>
        <w:right w:val="none" w:sz="0" w:space="0" w:color="auto"/>
      </w:divBdr>
    </w:div>
    <w:div w:id="616713635">
      <w:bodyDiv w:val="1"/>
      <w:marLeft w:val="0"/>
      <w:marRight w:val="0"/>
      <w:marTop w:val="0"/>
      <w:marBottom w:val="0"/>
      <w:divBdr>
        <w:top w:val="none" w:sz="0" w:space="0" w:color="auto"/>
        <w:left w:val="none" w:sz="0" w:space="0" w:color="auto"/>
        <w:bottom w:val="none" w:sz="0" w:space="0" w:color="auto"/>
        <w:right w:val="none" w:sz="0" w:space="0" w:color="auto"/>
      </w:divBdr>
    </w:div>
    <w:div w:id="616839950">
      <w:bodyDiv w:val="1"/>
      <w:marLeft w:val="0"/>
      <w:marRight w:val="0"/>
      <w:marTop w:val="0"/>
      <w:marBottom w:val="0"/>
      <w:divBdr>
        <w:top w:val="none" w:sz="0" w:space="0" w:color="auto"/>
        <w:left w:val="none" w:sz="0" w:space="0" w:color="auto"/>
        <w:bottom w:val="none" w:sz="0" w:space="0" w:color="auto"/>
        <w:right w:val="none" w:sz="0" w:space="0" w:color="auto"/>
      </w:divBdr>
    </w:div>
    <w:div w:id="617642229">
      <w:bodyDiv w:val="1"/>
      <w:marLeft w:val="0"/>
      <w:marRight w:val="0"/>
      <w:marTop w:val="0"/>
      <w:marBottom w:val="0"/>
      <w:divBdr>
        <w:top w:val="none" w:sz="0" w:space="0" w:color="auto"/>
        <w:left w:val="none" w:sz="0" w:space="0" w:color="auto"/>
        <w:bottom w:val="none" w:sz="0" w:space="0" w:color="auto"/>
        <w:right w:val="none" w:sz="0" w:space="0" w:color="auto"/>
      </w:divBdr>
      <w:divsChild>
        <w:div w:id="1434324687">
          <w:marLeft w:val="0"/>
          <w:marRight w:val="0"/>
          <w:marTop w:val="0"/>
          <w:marBottom w:val="0"/>
          <w:divBdr>
            <w:top w:val="none" w:sz="0" w:space="0" w:color="auto"/>
            <w:left w:val="none" w:sz="0" w:space="0" w:color="auto"/>
            <w:bottom w:val="none" w:sz="0" w:space="0" w:color="auto"/>
            <w:right w:val="none" w:sz="0" w:space="0" w:color="auto"/>
          </w:divBdr>
          <w:divsChild>
            <w:div w:id="1223902679">
              <w:marLeft w:val="0"/>
              <w:marRight w:val="0"/>
              <w:marTop w:val="0"/>
              <w:marBottom w:val="0"/>
              <w:divBdr>
                <w:top w:val="none" w:sz="0" w:space="0" w:color="auto"/>
                <w:left w:val="none" w:sz="0" w:space="0" w:color="auto"/>
                <w:bottom w:val="none" w:sz="0" w:space="0" w:color="auto"/>
                <w:right w:val="none" w:sz="0" w:space="0" w:color="auto"/>
              </w:divBdr>
              <w:divsChild>
                <w:div w:id="1970086716">
                  <w:marLeft w:val="0"/>
                  <w:marRight w:val="0"/>
                  <w:marTop w:val="0"/>
                  <w:marBottom w:val="0"/>
                  <w:divBdr>
                    <w:top w:val="none" w:sz="0" w:space="0" w:color="auto"/>
                    <w:left w:val="none" w:sz="0" w:space="0" w:color="auto"/>
                    <w:bottom w:val="none" w:sz="0" w:space="0" w:color="auto"/>
                    <w:right w:val="none" w:sz="0" w:space="0" w:color="auto"/>
                  </w:divBdr>
                  <w:divsChild>
                    <w:div w:id="153357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954944">
      <w:bodyDiv w:val="1"/>
      <w:marLeft w:val="0"/>
      <w:marRight w:val="0"/>
      <w:marTop w:val="0"/>
      <w:marBottom w:val="0"/>
      <w:divBdr>
        <w:top w:val="none" w:sz="0" w:space="0" w:color="auto"/>
        <w:left w:val="none" w:sz="0" w:space="0" w:color="auto"/>
        <w:bottom w:val="none" w:sz="0" w:space="0" w:color="auto"/>
        <w:right w:val="none" w:sz="0" w:space="0" w:color="auto"/>
      </w:divBdr>
    </w:div>
    <w:div w:id="619604066">
      <w:bodyDiv w:val="1"/>
      <w:marLeft w:val="0"/>
      <w:marRight w:val="0"/>
      <w:marTop w:val="0"/>
      <w:marBottom w:val="0"/>
      <w:divBdr>
        <w:top w:val="none" w:sz="0" w:space="0" w:color="auto"/>
        <w:left w:val="none" w:sz="0" w:space="0" w:color="auto"/>
        <w:bottom w:val="none" w:sz="0" w:space="0" w:color="auto"/>
        <w:right w:val="none" w:sz="0" w:space="0" w:color="auto"/>
      </w:divBdr>
    </w:div>
    <w:div w:id="620111616">
      <w:bodyDiv w:val="1"/>
      <w:marLeft w:val="0"/>
      <w:marRight w:val="0"/>
      <w:marTop w:val="0"/>
      <w:marBottom w:val="0"/>
      <w:divBdr>
        <w:top w:val="none" w:sz="0" w:space="0" w:color="auto"/>
        <w:left w:val="none" w:sz="0" w:space="0" w:color="auto"/>
        <w:bottom w:val="none" w:sz="0" w:space="0" w:color="auto"/>
        <w:right w:val="none" w:sz="0" w:space="0" w:color="auto"/>
      </w:divBdr>
    </w:div>
    <w:div w:id="621496811">
      <w:bodyDiv w:val="1"/>
      <w:marLeft w:val="0"/>
      <w:marRight w:val="0"/>
      <w:marTop w:val="0"/>
      <w:marBottom w:val="0"/>
      <w:divBdr>
        <w:top w:val="none" w:sz="0" w:space="0" w:color="auto"/>
        <w:left w:val="none" w:sz="0" w:space="0" w:color="auto"/>
        <w:bottom w:val="none" w:sz="0" w:space="0" w:color="auto"/>
        <w:right w:val="none" w:sz="0" w:space="0" w:color="auto"/>
      </w:divBdr>
      <w:divsChild>
        <w:div w:id="738552303">
          <w:marLeft w:val="0"/>
          <w:marRight w:val="0"/>
          <w:marTop w:val="0"/>
          <w:marBottom w:val="0"/>
          <w:divBdr>
            <w:top w:val="none" w:sz="0" w:space="0" w:color="auto"/>
            <w:left w:val="none" w:sz="0" w:space="0" w:color="auto"/>
            <w:bottom w:val="none" w:sz="0" w:space="0" w:color="auto"/>
            <w:right w:val="none" w:sz="0" w:space="0" w:color="auto"/>
          </w:divBdr>
          <w:divsChild>
            <w:div w:id="540437823">
              <w:marLeft w:val="0"/>
              <w:marRight w:val="0"/>
              <w:marTop w:val="0"/>
              <w:marBottom w:val="0"/>
              <w:divBdr>
                <w:top w:val="none" w:sz="0" w:space="0" w:color="auto"/>
                <w:left w:val="none" w:sz="0" w:space="0" w:color="auto"/>
                <w:bottom w:val="none" w:sz="0" w:space="0" w:color="auto"/>
                <w:right w:val="none" w:sz="0" w:space="0" w:color="auto"/>
              </w:divBdr>
              <w:divsChild>
                <w:div w:id="2059737250">
                  <w:marLeft w:val="0"/>
                  <w:marRight w:val="0"/>
                  <w:marTop w:val="0"/>
                  <w:marBottom w:val="0"/>
                  <w:divBdr>
                    <w:top w:val="none" w:sz="0" w:space="0" w:color="auto"/>
                    <w:left w:val="none" w:sz="0" w:space="0" w:color="auto"/>
                    <w:bottom w:val="none" w:sz="0" w:space="0" w:color="auto"/>
                    <w:right w:val="none" w:sz="0" w:space="0" w:color="auto"/>
                  </w:divBdr>
                  <w:divsChild>
                    <w:div w:id="123523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695596">
      <w:bodyDiv w:val="1"/>
      <w:marLeft w:val="0"/>
      <w:marRight w:val="0"/>
      <w:marTop w:val="0"/>
      <w:marBottom w:val="0"/>
      <w:divBdr>
        <w:top w:val="none" w:sz="0" w:space="0" w:color="auto"/>
        <w:left w:val="none" w:sz="0" w:space="0" w:color="auto"/>
        <w:bottom w:val="none" w:sz="0" w:space="0" w:color="auto"/>
        <w:right w:val="none" w:sz="0" w:space="0" w:color="auto"/>
      </w:divBdr>
      <w:divsChild>
        <w:div w:id="1406300119">
          <w:marLeft w:val="0"/>
          <w:marRight w:val="0"/>
          <w:marTop w:val="0"/>
          <w:marBottom w:val="0"/>
          <w:divBdr>
            <w:top w:val="none" w:sz="0" w:space="0" w:color="auto"/>
            <w:left w:val="none" w:sz="0" w:space="0" w:color="auto"/>
            <w:bottom w:val="none" w:sz="0" w:space="0" w:color="auto"/>
            <w:right w:val="none" w:sz="0" w:space="0" w:color="auto"/>
          </w:divBdr>
          <w:divsChild>
            <w:div w:id="1045376312">
              <w:marLeft w:val="0"/>
              <w:marRight w:val="0"/>
              <w:marTop w:val="0"/>
              <w:marBottom w:val="0"/>
              <w:divBdr>
                <w:top w:val="none" w:sz="0" w:space="0" w:color="auto"/>
                <w:left w:val="none" w:sz="0" w:space="0" w:color="auto"/>
                <w:bottom w:val="none" w:sz="0" w:space="0" w:color="auto"/>
                <w:right w:val="none" w:sz="0" w:space="0" w:color="auto"/>
              </w:divBdr>
              <w:divsChild>
                <w:div w:id="27263401">
                  <w:marLeft w:val="0"/>
                  <w:marRight w:val="0"/>
                  <w:marTop w:val="0"/>
                  <w:marBottom w:val="0"/>
                  <w:divBdr>
                    <w:top w:val="none" w:sz="0" w:space="0" w:color="auto"/>
                    <w:left w:val="none" w:sz="0" w:space="0" w:color="auto"/>
                    <w:bottom w:val="none" w:sz="0" w:space="0" w:color="auto"/>
                    <w:right w:val="none" w:sz="0" w:space="0" w:color="auto"/>
                  </w:divBdr>
                  <w:divsChild>
                    <w:div w:id="1209295018">
                      <w:marLeft w:val="0"/>
                      <w:marRight w:val="0"/>
                      <w:marTop w:val="0"/>
                      <w:marBottom w:val="0"/>
                      <w:divBdr>
                        <w:top w:val="none" w:sz="0" w:space="0" w:color="auto"/>
                        <w:left w:val="none" w:sz="0" w:space="0" w:color="auto"/>
                        <w:bottom w:val="none" w:sz="0" w:space="0" w:color="auto"/>
                        <w:right w:val="none" w:sz="0" w:space="0" w:color="auto"/>
                      </w:divBdr>
                    </w:div>
                  </w:divsChild>
                </w:div>
                <w:div w:id="1644962096">
                  <w:marLeft w:val="0"/>
                  <w:marRight w:val="0"/>
                  <w:marTop w:val="0"/>
                  <w:marBottom w:val="0"/>
                  <w:divBdr>
                    <w:top w:val="none" w:sz="0" w:space="0" w:color="auto"/>
                    <w:left w:val="none" w:sz="0" w:space="0" w:color="auto"/>
                    <w:bottom w:val="none" w:sz="0" w:space="0" w:color="auto"/>
                    <w:right w:val="none" w:sz="0" w:space="0" w:color="auto"/>
                  </w:divBdr>
                  <w:divsChild>
                    <w:div w:id="105697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468037">
      <w:bodyDiv w:val="1"/>
      <w:marLeft w:val="0"/>
      <w:marRight w:val="0"/>
      <w:marTop w:val="0"/>
      <w:marBottom w:val="0"/>
      <w:divBdr>
        <w:top w:val="none" w:sz="0" w:space="0" w:color="auto"/>
        <w:left w:val="none" w:sz="0" w:space="0" w:color="auto"/>
        <w:bottom w:val="none" w:sz="0" w:space="0" w:color="auto"/>
        <w:right w:val="none" w:sz="0" w:space="0" w:color="auto"/>
      </w:divBdr>
    </w:div>
    <w:div w:id="622536341">
      <w:bodyDiv w:val="1"/>
      <w:marLeft w:val="0"/>
      <w:marRight w:val="0"/>
      <w:marTop w:val="0"/>
      <w:marBottom w:val="0"/>
      <w:divBdr>
        <w:top w:val="none" w:sz="0" w:space="0" w:color="auto"/>
        <w:left w:val="none" w:sz="0" w:space="0" w:color="auto"/>
        <w:bottom w:val="none" w:sz="0" w:space="0" w:color="auto"/>
        <w:right w:val="none" w:sz="0" w:space="0" w:color="auto"/>
      </w:divBdr>
    </w:div>
    <w:div w:id="623191944">
      <w:bodyDiv w:val="1"/>
      <w:marLeft w:val="0"/>
      <w:marRight w:val="0"/>
      <w:marTop w:val="0"/>
      <w:marBottom w:val="0"/>
      <w:divBdr>
        <w:top w:val="none" w:sz="0" w:space="0" w:color="auto"/>
        <w:left w:val="none" w:sz="0" w:space="0" w:color="auto"/>
        <w:bottom w:val="none" w:sz="0" w:space="0" w:color="auto"/>
        <w:right w:val="none" w:sz="0" w:space="0" w:color="auto"/>
      </w:divBdr>
    </w:div>
    <w:div w:id="623268169">
      <w:bodyDiv w:val="1"/>
      <w:marLeft w:val="0"/>
      <w:marRight w:val="0"/>
      <w:marTop w:val="0"/>
      <w:marBottom w:val="0"/>
      <w:divBdr>
        <w:top w:val="none" w:sz="0" w:space="0" w:color="auto"/>
        <w:left w:val="none" w:sz="0" w:space="0" w:color="auto"/>
        <w:bottom w:val="none" w:sz="0" w:space="0" w:color="auto"/>
        <w:right w:val="none" w:sz="0" w:space="0" w:color="auto"/>
      </w:divBdr>
    </w:div>
    <w:div w:id="623269941">
      <w:bodyDiv w:val="1"/>
      <w:marLeft w:val="0"/>
      <w:marRight w:val="0"/>
      <w:marTop w:val="0"/>
      <w:marBottom w:val="0"/>
      <w:divBdr>
        <w:top w:val="none" w:sz="0" w:space="0" w:color="auto"/>
        <w:left w:val="none" w:sz="0" w:space="0" w:color="auto"/>
        <w:bottom w:val="none" w:sz="0" w:space="0" w:color="auto"/>
        <w:right w:val="none" w:sz="0" w:space="0" w:color="auto"/>
      </w:divBdr>
      <w:divsChild>
        <w:div w:id="1738939668">
          <w:marLeft w:val="0"/>
          <w:marRight w:val="0"/>
          <w:marTop w:val="0"/>
          <w:marBottom w:val="0"/>
          <w:divBdr>
            <w:top w:val="none" w:sz="0" w:space="0" w:color="auto"/>
            <w:left w:val="none" w:sz="0" w:space="0" w:color="auto"/>
            <w:bottom w:val="none" w:sz="0" w:space="0" w:color="auto"/>
            <w:right w:val="none" w:sz="0" w:space="0" w:color="auto"/>
          </w:divBdr>
          <w:divsChild>
            <w:div w:id="2088723149">
              <w:marLeft w:val="0"/>
              <w:marRight w:val="0"/>
              <w:marTop w:val="0"/>
              <w:marBottom w:val="0"/>
              <w:divBdr>
                <w:top w:val="none" w:sz="0" w:space="0" w:color="auto"/>
                <w:left w:val="none" w:sz="0" w:space="0" w:color="auto"/>
                <w:bottom w:val="none" w:sz="0" w:space="0" w:color="auto"/>
                <w:right w:val="none" w:sz="0" w:space="0" w:color="auto"/>
              </w:divBdr>
              <w:divsChild>
                <w:div w:id="52433497">
                  <w:marLeft w:val="0"/>
                  <w:marRight w:val="0"/>
                  <w:marTop w:val="0"/>
                  <w:marBottom w:val="0"/>
                  <w:divBdr>
                    <w:top w:val="none" w:sz="0" w:space="0" w:color="auto"/>
                    <w:left w:val="none" w:sz="0" w:space="0" w:color="auto"/>
                    <w:bottom w:val="none" w:sz="0" w:space="0" w:color="auto"/>
                    <w:right w:val="none" w:sz="0" w:space="0" w:color="auto"/>
                  </w:divBdr>
                  <w:divsChild>
                    <w:div w:id="450783676">
                      <w:marLeft w:val="0"/>
                      <w:marRight w:val="0"/>
                      <w:marTop w:val="0"/>
                      <w:marBottom w:val="0"/>
                      <w:divBdr>
                        <w:top w:val="none" w:sz="0" w:space="0" w:color="auto"/>
                        <w:left w:val="none" w:sz="0" w:space="0" w:color="auto"/>
                        <w:bottom w:val="none" w:sz="0" w:space="0" w:color="auto"/>
                        <w:right w:val="none" w:sz="0" w:space="0" w:color="auto"/>
                      </w:divBdr>
                    </w:div>
                  </w:divsChild>
                </w:div>
                <w:div w:id="258559956">
                  <w:marLeft w:val="0"/>
                  <w:marRight w:val="0"/>
                  <w:marTop w:val="0"/>
                  <w:marBottom w:val="0"/>
                  <w:divBdr>
                    <w:top w:val="none" w:sz="0" w:space="0" w:color="auto"/>
                    <w:left w:val="none" w:sz="0" w:space="0" w:color="auto"/>
                    <w:bottom w:val="none" w:sz="0" w:space="0" w:color="auto"/>
                    <w:right w:val="none" w:sz="0" w:space="0" w:color="auto"/>
                  </w:divBdr>
                  <w:divsChild>
                    <w:div w:id="113298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16537">
      <w:bodyDiv w:val="1"/>
      <w:marLeft w:val="0"/>
      <w:marRight w:val="0"/>
      <w:marTop w:val="0"/>
      <w:marBottom w:val="0"/>
      <w:divBdr>
        <w:top w:val="none" w:sz="0" w:space="0" w:color="auto"/>
        <w:left w:val="none" w:sz="0" w:space="0" w:color="auto"/>
        <w:bottom w:val="none" w:sz="0" w:space="0" w:color="auto"/>
        <w:right w:val="none" w:sz="0" w:space="0" w:color="auto"/>
      </w:divBdr>
    </w:div>
    <w:div w:id="624427714">
      <w:bodyDiv w:val="1"/>
      <w:marLeft w:val="0"/>
      <w:marRight w:val="0"/>
      <w:marTop w:val="0"/>
      <w:marBottom w:val="0"/>
      <w:divBdr>
        <w:top w:val="none" w:sz="0" w:space="0" w:color="auto"/>
        <w:left w:val="none" w:sz="0" w:space="0" w:color="auto"/>
        <w:bottom w:val="none" w:sz="0" w:space="0" w:color="auto"/>
        <w:right w:val="none" w:sz="0" w:space="0" w:color="auto"/>
      </w:divBdr>
    </w:div>
    <w:div w:id="624695178">
      <w:bodyDiv w:val="1"/>
      <w:marLeft w:val="0"/>
      <w:marRight w:val="0"/>
      <w:marTop w:val="0"/>
      <w:marBottom w:val="0"/>
      <w:divBdr>
        <w:top w:val="none" w:sz="0" w:space="0" w:color="auto"/>
        <w:left w:val="none" w:sz="0" w:space="0" w:color="auto"/>
        <w:bottom w:val="none" w:sz="0" w:space="0" w:color="auto"/>
        <w:right w:val="none" w:sz="0" w:space="0" w:color="auto"/>
      </w:divBdr>
    </w:div>
    <w:div w:id="625548143">
      <w:bodyDiv w:val="1"/>
      <w:marLeft w:val="0"/>
      <w:marRight w:val="0"/>
      <w:marTop w:val="0"/>
      <w:marBottom w:val="0"/>
      <w:divBdr>
        <w:top w:val="none" w:sz="0" w:space="0" w:color="auto"/>
        <w:left w:val="none" w:sz="0" w:space="0" w:color="auto"/>
        <w:bottom w:val="none" w:sz="0" w:space="0" w:color="auto"/>
        <w:right w:val="none" w:sz="0" w:space="0" w:color="auto"/>
      </w:divBdr>
    </w:div>
    <w:div w:id="626591285">
      <w:bodyDiv w:val="1"/>
      <w:marLeft w:val="0"/>
      <w:marRight w:val="0"/>
      <w:marTop w:val="0"/>
      <w:marBottom w:val="0"/>
      <w:divBdr>
        <w:top w:val="none" w:sz="0" w:space="0" w:color="auto"/>
        <w:left w:val="none" w:sz="0" w:space="0" w:color="auto"/>
        <w:bottom w:val="none" w:sz="0" w:space="0" w:color="auto"/>
        <w:right w:val="none" w:sz="0" w:space="0" w:color="auto"/>
      </w:divBdr>
    </w:div>
    <w:div w:id="626859844">
      <w:bodyDiv w:val="1"/>
      <w:marLeft w:val="0"/>
      <w:marRight w:val="0"/>
      <w:marTop w:val="0"/>
      <w:marBottom w:val="0"/>
      <w:divBdr>
        <w:top w:val="none" w:sz="0" w:space="0" w:color="auto"/>
        <w:left w:val="none" w:sz="0" w:space="0" w:color="auto"/>
        <w:bottom w:val="none" w:sz="0" w:space="0" w:color="auto"/>
        <w:right w:val="none" w:sz="0" w:space="0" w:color="auto"/>
      </w:divBdr>
    </w:div>
    <w:div w:id="627053408">
      <w:bodyDiv w:val="1"/>
      <w:marLeft w:val="0"/>
      <w:marRight w:val="0"/>
      <w:marTop w:val="0"/>
      <w:marBottom w:val="0"/>
      <w:divBdr>
        <w:top w:val="none" w:sz="0" w:space="0" w:color="auto"/>
        <w:left w:val="none" w:sz="0" w:space="0" w:color="auto"/>
        <w:bottom w:val="none" w:sz="0" w:space="0" w:color="auto"/>
        <w:right w:val="none" w:sz="0" w:space="0" w:color="auto"/>
      </w:divBdr>
    </w:div>
    <w:div w:id="627248263">
      <w:bodyDiv w:val="1"/>
      <w:marLeft w:val="0"/>
      <w:marRight w:val="0"/>
      <w:marTop w:val="0"/>
      <w:marBottom w:val="0"/>
      <w:divBdr>
        <w:top w:val="none" w:sz="0" w:space="0" w:color="auto"/>
        <w:left w:val="none" w:sz="0" w:space="0" w:color="auto"/>
        <w:bottom w:val="none" w:sz="0" w:space="0" w:color="auto"/>
        <w:right w:val="none" w:sz="0" w:space="0" w:color="auto"/>
      </w:divBdr>
      <w:divsChild>
        <w:div w:id="1227959560">
          <w:marLeft w:val="0"/>
          <w:marRight w:val="0"/>
          <w:marTop w:val="0"/>
          <w:marBottom w:val="0"/>
          <w:divBdr>
            <w:top w:val="none" w:sz="0" w:space="0" w:color="auto"/>
            <w:left w:val="none" w:sz="0" w:space="0" w:color="auto"/>
            <w:bottom w:val="none" w:sz="0" w:space="0" w:color="auto"/>
            <w:right w:val="none" w:sz="0" w:space="0" w:color="auto"/>
          </w:divBdr>
          <w:divsChild>
            <w:div w:id="2088186048">
              <w:marLeft w:val="0"/>
              <w:marRight w:val="0"/>
              <w:marTop w:val="0"/>
              <w:marBottom w:val="0"/>
              <w:divBdr>
                <w:top w:val="none" w:sz="0" w:space="0" w:color="auto"/>
                <w:left w:val="none" w:sz="0" w:space="0" w:color="auto"/>
                <w:bottom w:val="none" w:sz="0" w:space="0" w:color="auto"/>
                <w:right w:val="none" w:sz="0" w:space="0" w:color="auto"/>
              </w:divBdr>
              <w:divsChild>
                <w:div w:id="1450197260">
                  <w:marLeft w:val="0"/>
                  <w:marRight w:val="0"/>
                  <w:marTop w:val="0"/>
                  <w:marBottom w:val="0"/>
                  <w:divBdr>
                    <w:top w:val="none" w:sz="0" w:space="0" w:color="auto"/>
                    <w:left w:val="none" w:sz="0" w:space="0" w:color="auto"/>
                    <w:bottom w:val="none" w:sz="0" w:space="0" w:color="auto"/>
                    <w:right w:val="none" w:sz="0" w:space="0" w:color="auto"/>
                  </w:divBdr>
                  <w:divsChild>
                    <w:div w:id="100613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470233">
      <w:bodyDiv w:val="1"/>
      <w:marLeft w:val="0"/>
      <w:marRight w:val="0"/>
      <w:marTop w:val="0"/>
      <w:marBottom w:val="0"/>
      <w:divBdr>
        <w:top w:val="none" w:sz="0" w:space="0" w:color="auto"/>
        <w:left w:val="none" w:sz="0" w:space="0" w:color="auto"/>
        <w:bottom w:val="none" w:sz="0" w:space="0" w:color="auto"/>
        <w:right w:val="none" w:sz="0" w:space="0" w:color="auto"/>
      </w:divBdr>
    </w:div>
    <w:div w:id="627711552">
      <w:bodyDiv w:val="1"/>
      <w:marLeft w:val="0"/>
      <w:marRight w:val="0"/>
      <w:marTop w:val="0"/>
      <w:marBottom w:val="0"/>
      <w:divBdr>
        <w:top w:val="none" w:sz="0" w:space="0" w:color="auto"/>
        <w:left w:val="none" w:sz="0" w:space="0" w:color="auto"/>
        <w:bottom w:val="none" w:sz="0" w:space="0" w:color="auto"/>
        <w:right w:val="none" w:sz="0" w:space="0" w:color="auto"/>
      </w:divBdr>
    </w:div>
    <w:div w:id="628164228">
      <w:bodyDiv w:val="1"/>
      <w:marLeft w:val="0"/>
      <w:marRight w:val="0"/>
      <w:marTop w:val="0"/>
      <w:marBottom w:val="0"/>
      <w:divBdr>
        <w:top w:val="none" w:sz="0" w:space="0" w:color="auto"/>
        <w:left w:val="none" w:sz="0" w:space="0" w:color="auto"/>
        <w:bottom w:val="none" w:sz="0" w:space="0" w:color="auto"/>
        <w:right w:val="none" w:sz="0" w:space="0" w:color="auto"/>
      </w:divBdr>
    </w:div>
    <w:div w:id="628322385">
      <w:bodyDiv w:val="1"/>
      <w:marLeft w:val="0"/>
      <w:marRight w:val="0"/>
      <w:marTop w:val="0"/>
      <w:marBottom w:val="0"/>
      <w:divBdr>
        <w:top w:val="none" w:sz="0" w:space="0" w:color="auto"/>
        <w:left w:val="none" w:sz="0" w:space="0" w:color="auto"/>
        <w:bottom w:val="none" w:sz="0" w:space="0" w:color="auto"/>
        <w:right w:val="none" w:sz="0" w:space="0" w:color="auto"/>
      </w:divBdr>
      <w:divsChild>
        <w:div w:id="1894731392">
          <w:marLeft w:val="0"/>
          <w:marRight w:val="0"/>
          <w:marTop w:val="0"/>
          <w:marBottom w:val="0"/>
          <w:divBdr>
            <w:top w:val="none" w:sz="0" w:space="0" w:color="auto"/>
            <w:left w:val="none" w:sz="0" w:space="0" w:color="auto"/>
            <w:bottom w:val="none" w:sz="0" w:space="0" w:color="auto"/>
            <w:right w:val="none" w:sz="0" w:space="0" w:color="auto"/>
          </w:divBdr>
          <w:divsChild>
            <w:div w:id="497615158">
              <w:marLeft w:val="0"/>
              <w:marRight w:val="0"/>
              <w:marTop w:val="0"/>
              <w:marBottom w:val="0"/>
              <w:divBdr>
                <w:top w:val="none" w:sz="0" w:space="0" w:color="auto"/>
                <w:left w:val="none" w:sz="0" w:space="0" w:color="auto"/>
                <w:bottom w:val="none" w:sz="0" w:space="0" w:color="auto"/>
                <w:right w:val="none" w:sz="0" w:space="0" w:color="auto"/>
              </w:divBdr>
              <w:divsChild>
                <w:div w:id="14890122">
                  <w:marLeft w:val="0"/>
                  <w:marRight w:val="0"/>
                  <w:marTop w:val="0"/>
                  <w:marBottom w:val="0"/>
                  <w:divBdr>
                    <w:top w:val="none" w:sz="0" w:space="0" w:color="auto"/>
                    <w:left w:val="none" w:sz="0" w:space="0" w:color="auto"/>
                    <w:bottom w:val="none" w:sz="0" w:space="0" w:color="auto"/>
                    <w:right w:val="none" w:sz="0" w:space="0" w:color="auto"/>
                  </w:divBdr>
                  <w:divsChild>
                    <w:div w:id="12272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753279">
      <w:bodyDiv w:val="1"/>
      <w:marLeft w:val="0"/>
      <w:marRight w:val="0"/>
      <w:marTop w:val="0"/>
      <w:marBottom w:val="0"/>
      <w:divBdr>
        <w:top w:val="none" w:sz="0" w:space="0" w:color="auto"/>
        <w:left w:val="none" w:sz="0" w:space="0" w:color="auto"/>
        <w:bottom w:val="none" w:sz="0" w:space="0" w:color="auto"/>
        <w:right w:val="none" w:sz="0" w:space="0" w:color="auto"/>
      </w:divBdr>
    </w:div>
    <w:div w:id="629867222">
      <w:bodyDiv w:val="1"/>
      <w:marLeft w:val="0"/>
      <w:marRight w:val="0"/>
      <w:marTop w:val="0"/>
      <w:marBottom w:val="0"/>
      <w:divBdr>
        <w:top w:val="none" w:sz="0" w:space="0" w:color="auto"/>
        <w:left w:val="none" w:sz="0" w:space="0" w:color="auto"/>
        <w:bottom w:val="none" w:sz="0" w:space="0" w:color="auto"/>
        <w:right w:val="none" w:sz="0" w:space="0" w:color="auto"/>
      </w:divBdr>
    </w:div>
    <w:div w:id="630281032">
      <w:bodyDiv w:val="1"/>
      <w:marLeft w:val="0"/>
      <w:marRight w:val="0"/>
      <w:marTop w:val="0"/>
      <w:marBottom w:val="0"/>
      <w:divBdr>
        <w:top w:val="none" w:sz="0" w:space="0" w:color="auto"/>
        <w:left w:val="none" w:sz="0" w:space="0" w:color="auto"/>
        <w:bottom w:val="none" w:sz="0" w:space="0" w:color="auto"/>
        <w:right w:val="none" w:sz="0" w:space="0" w:color="auto"/>
      </w:divBdr>
    </w:div>
    <w:div w:id="630744861">
      <w:bodyDiv w:val="1"/>
      <w:marLeft w:val="0"/>
      <w:marRight w:val="0"/>
      <w:marTop w:val="0"/>
      <w:marBottom w:val="0"/>
      <w:divBdr>
        <w:top w:val="none" w:sz="0" w:space="0" w:color="auto"/>
        <w:left w:val="none" w:sz="0" w:space="0" w:color="auto"/>
        <w:bottom w:val="none" w:sz="0" w:space="0" w:color="auto"/>
        <w:right w:val="none" w:sz="0" w:space="0" w:color="auto"/>
      </w:divBdr>
    </w:div>
    <w:div w:id="630863776">
      <w:bodyDiv w:val="1"/>
      <w:marLeft w:val="0"/>
      <w:marRight w:val="0"/>
      <w:marTop w:val="0"/>
      <w:marBottom w:val="0"/>
      <w:divBdr>
        <w:top w:val="none" w:sz="0" w:space="0" w:color="auto"/>
        <w:left w:val="none" w:sz="0" w:space="0" w:color="auto"/>
        <w:bottom w:val="none" w:sz="0" w:space="0" w:color="auto"/>
        <w:right w:val="none" w:sz="0" w:space="0" w:color="auto"/>
      </w:divBdr>
    </w:div>
    <w:div w:id="630982115">
      <w:bodyDiv w:val="1"/>
      <w:marLeft w:val="0"/>
      <w:marRight w:val="0"/>
      <w:marTop w:val="0"/>
      <w:marBottom w:val="0"/>
      <w:divBdr>
        <w:top w:val="none" w:sz="0" w:space="0" w:color="auto"/>
        <w:left w:val="none" w:sz="0" w:space="0" w:color="auto"/>
        <w:bottom w:val="none" w:sz="0" w:space="0" w:color="auto"/>
        <w:right w:val="none" w:sz="0" w:space="0" w:color="auto"/>
      </w:divBdr>
    </w:div>
    <w:div w:id="631441168">
      <w:bodyDiv w:val="1"/>
      <w:marLeft w:val="0"/>
      <w:marRight w:val="0"/>
      <w:marTop w:val="0"/>
      <w:marBottom w:val="0"/>
      <w:divBdr>
        <w:top w:val="none" w:sz="0" w:space="0" w:color="auto"/>
        <w:left w:val="none" w:sz="0" w:space="0" w:color="auto"/>
        <w:bottom w:val="none" w:sz="0" w:space="0" w:color="auto"/>
        <w:right w:val="none" w:sz="0" w:space="0" w:color="auto"/>
      </w:divBdr>
    </w:div>
    <w:div w:id="632907664">
      <w:bodyDiv w:val="1"/>
      <w:marLeft w:val="0"/>
      <w:marRight w:val="0"/>
      <w:marTop w:val="0"/>
      <w:marBottom w:val="0"/>
      <w:divBdr>
        <w:top w:val="none" w:sz="0" w:space="0" w:color="auto"/>
        <w:left w:val="none" w:sz="0" w:space="0" w:color="auto"/>
        <w:bottom w:val="none" w:sz="0" w:space="0" w:color="auto"/>
        <w:right w:val="none" w:sz="0" w:space="0" w:color="auto"/>
      </w:divBdr>
    </w:div>
    <w:div w:id="632907971">
      <w:bodyDiv w:val="1"/>
      <w:marLeft w:val="0"/>
      <w:marRight w:val="0"/>
      <w:marTop w:val="0"/>
      <w:marBottom w:val="0"/>
      <w:divBdr>
        <w:top w:val="none" w:sz="0" w:space="0" w:color="auto"/>
        <w:left w:val="none" w:sz="0" w:space="0" w:color="auto"/>
        <w:bottom w:val="none" w:sz="0" w:space="0" w:color="auto"/>
        <w:right w:val="none" w:sz="0" w:space="0" w:color="auto"/>
      </w:divBdr>
    </w:div>
    <w:div w:id="632910123">
      <w:bodyDiv w:val="1"/>
      <w:marLeft w:val="0"/>
      <w:marRight w:val="0"/>
      <w:marTop w:val="0"/>
      <w:marBottom w:val="0"/>
      <w:divBdr>
        <w:top w:val="none" w:sz="0" w:space="0" w:color="auto"/>
        <w:left w:val="none" w:sz="0" w:space="0" w:color="auto"/>
        <w:bottom w:val="none" w:sz="0" w:space="0" w:color="auto"/>
        <w:right w:val="none" w:sz="0" w:space="0" w:color="auto"/>
      </w:divBdr>
    </w:div>
    <w:div w:id="633023586">
      <w:bodyDiv w:val="1"/>
      <w:marLeft w:val="0"/>
      <w:marRight w:val="0"/>
      <w:marTop w:val="0"/>
      <w:marBottom w:val="0"/>
      <w:divBdr>
        <w:top w:val="none" w:sz="0" w:space="0" w:color="auto"/>
        <w:left w:val="none" w:sz="0" w:space="0" w:color="auto"/>
        <w:bottom w:val="none" w:sz="0" w:space="0" w:color="auto"/>
        <w:right w:val="none" w:sz="0" w:space="0" w:color="auto"/>
      </w:divBdr>
      <w:divsChild>
        <w:div w:id="721246555">
          <w:marLeft w:val="0"/>
          <w:marRight w:val="0"/>
          <w:marTop w:val="0"/>
          <w:marBottom w:val="0"/>
          <w:divBdr>
            <w:top w:val="none" w:sz="0" w:space="0" w:color="auto"/>
            <w:left w:val="none" w:sz="0" w:space="0" w:color="auto"/>
            <w:bottom w:val="none" w:sz="0" w:space="0" w:color="auto"/>
            <w:right w:val="none" w:sz="0" w:space="0" w:color="auto"/>
          </w:divBdr>
          <w:divsChild>
            <w:div w:id="1618488601">
              <w:marLeft w:val="0"/>
              <w:marRight w:val="0"/>
              <w:marTop w:val="0"/>
              <w:marBottom w:val="0"/>
              <w:divBdr>
                <w:top w:val="none" w:sz="0" w:space="0" w:color="auto"/>
                <w:left w:val="none" w:sz="0" w:space="0" w:color="auto"/>
                <w:bottom w:val="none" w:sz="0" w:space="0" w:color="auto"/>
                <w:right w:val="none" w:sz="0" w:space="0" w:color="auto"/>
              </w:divBdr>
              <w:divsChild>
                <w:div w:id="1834225514">
                  <w:marLeft w:val="0"/>
                  <w:marRight w:val="0"/>
                  <w:marTop w:val="0"/>
                  <w:marBottom w:val="0"/>
                  <w:divBdr>
                    <w:top w:val="none" w:sz="0" w:space="0" w:color="auto"/>
                    <w:left w:val="none" w:sz="0" w:space="0" w:color="auto"/>
                    <w:bottom w:val="none" w:sz="0" w:space="0" w:color="auto"/>
                    <w:right w:val="none" w:sz="0" w:space="0" w:color="auto"/>
                  </w:divBdr>
                  <w:divsChild>
                    <w:div w:id="150104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025397">
      <w:bodyDiv w:val="1"/>
      <w:marLeft w:val="0"/>
      <w:marRight w:val="0"/>
      <w:marTop w:val="0"/>
      <w:marBottom w:val="0"/>
      <w:divBdr>
        <w:top w:val="none" w:sz="0" w:space="0" w:color="auto"/>
        <w:left w:val="none" w:sz="0" w:space="0" w:color="auto"/>
        <w:bottom w:val="none" w:sz="0" w:space="0" w:color="auto"/>
        <w:right w:val="none" w:sz="0" w:space="0" w:color="auto"/>
      </w:divBdr>
      <w:divsChild>
        <w:div w:id="922685665">
          <w:marLeft w:val="0"/>
          <w:marRight w:val="0"/>
          <w:marTop w:val="0"/>
          <w:marBottom w:val="0"/>
          <w:divBdr>
            <w:top w:val="none" w:sz="0" w:space="0" w:color="auto"/>
            <w:left w:val="none" w:sz="0" w:space="0" w:color="auto"/>
            <w:bottom w:val="none" w:sz="0" w:space="0" w:color="auto"/>
            <w:right w:val="none" w:sz="0" w:space="0" w:color="auto"/>
          </w:divBdr>
          <w:divsChild>
            <w:div w:id="1110976796">
              <w:marLeft w:val="0"/>
              <w:marRight w:val="0"/>
              <w:marTop w:val="0"/>
              <w:marBottom w:val="0"/>
              <w:divBdr>
                <w:top w:val="none" w:sz="0" w:space="0" w:color="auto"/>
                <w:left w:val="none" w:sz="0" w:space="0" w:color="auto"/>
                <w:bottom w:val="none" w:sz="0" w:space="0" w:color="auto"/>
                <w:right w:val="none" w:sz="0" w:space="0" w:color="auto"/>
              </w:divBdr>
              <w:divsChild>
                <w:div w:id="1319774209">
                  <w:marLeft w:val="0"/>
                  <w:marRight w:val="0"/>
                  <w:marTop w:val="0"/>
                  <w:marBottom w:val="0"/>
                  <w:divBdr>
                    <w:top w:val="none" w:sz="0" w:space="0" w:color="auto"/>
                    <w:left w:val="none" w:sz="0" w:space="0" w:color="auto"/>
                    <w:bottom w:val="none" w:sz="0" w:space="0" w:color="auto"/>
                    <w:right w:val="none" w:sz="0" w:space="0" w:color="auto"/>
                  </w:divBdr>
                  <w:divsChild>
                    <w:div w:id="169052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413343">
      <w:bodyDiv w:val="1"/>
      <w:marLeft w:val="0"/>
      <w:marRight w:val="0"/>
      <w:marTop w:val="0"/>
      <w:marBottom w:val="0"/>
      <w:divBdr>
        <w:top w:val="none" w:sz="0" w:space="0" w:color="auto"/>
        <w:left w:val="none" w:sz="0" w:space="0" w:color="auto"/>
        <w:bottom w:val="none" w:sz="0" w:space="0" w:color="auto"/>
        <w:right w:val="none" w:sz="0" w:space="0" w:color="auto"/>
      </w:divBdr>
    </w:div>
    <w:div w:id="634529137">
      <w:bodyDiv w:val="1"/>
      <w:marLeft w:val="0"/>
      <w:marRight w:val="0"/>
      <w:marTop w:val="0"/>
      <w:marBottom w:val="0"/>
      <w:divBdr>
        <w:top w:val="none" w:sz="0" w:space="0" w:color="auto"/>
        <w:left w:val="none" w:sz="0" w:space="0" w:color="auto"/>
        <w:bottom w:val="none" w:sz="0" w:space="0" w:color="auto"/>
        <w:right w:val="none" w:sz="0" w:space="0" w:color="auto"/>
      </w:divBdr>
      <w:divsChild>
        <w:div w:id="2002539940">
          <w:marLeft w:val="0"/>
          <w:marRight w:val="0"/>
          <w:marTop w:val="0"/>
          <w:marBottom w:val="0"/>
          <w:divBdr>
            <w:top w:val="none" w:sz="0" w:space="0" w:color="auto"/>
            <w:left w:val="none" w:sz="0" w:space="0" w:color="auto"/>
            <w:bottom w:val="none" w:sz="0" w:space="0" w:color="auto"/>
            <w:right w:val="none" w:sz="0" w:space="0" w:color="auto"/>
          </w:divBdr>
          <w:divsChild>
            <w:div w:id="1045956218">
              <w:marLeft w:val="0"/>
              <w:marRight w:val="0"/>
              <w:marTop w:val="0"/>
              <w:marBottom w:val="0"/>
              <w:divBdr>
                <w:top w:val="none" w:sz="0" w:space="0" w:color="auto"/>
                <w:left w:val="none" w:sz="0" w:space="0" w:color="auto"/>
                <w:bottom w:val="none" w:sz="0" w:space="0" w:color="auto"/>
                <w:right w:val="none" w:sz="0" w:space="0" w:color="auto"/>
              </w:divBdr>
              <w:divsChild>
                <w:div w:id="13747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529754">
      <w:bodyDiv w:val="1"/>
      <w:marLeft w:val="0"/>
      <w:marRight w:val="0"/>
      <w:marTop w:val="0"/>
      <w:marBottom w:val="0"/>
      <w:divBdr>
        <w:top w:val="none" w:sz="0" w:space="0" w:color="auto"/>
        <w:left w:val="none" w:sz="0" w:space="0" w:color="auto"/>
        <w:bottom w:val="none" w:sz="0" w:space="0" w:color="auto"/>
        <w:right w:val="none" w:sz="0" w:space="0" w:color="auto"/>
      </w:divBdr>
    </w:div>
    <w:div w:id="636767347">
      <w:bodyDiv w:val="1"/>
      <w:marLeft w:val="0"/>
      <w:marRight w:val="0"/>
      <w:marTop w:val="0"/>
      <w:marBottom w:val="0"/>
      <w:divBdr>
        <w:top w:val="none" w:sz="0" w:space="0" w:color="auto"/>
        <w:left w:val="none" w:sz="0" w:space="0" w:color="auto"/>
        <w:bottom w:val="none" w:sz="0" w:space="0" w:color="auto"/>
        <w:right w:val="none" w:sz="0" w:space="0" w:color="auto"/>
      </w:divBdr>
    </w:div>
    <w:div w:id="637689808">
      <w:bodyDiv w:val="1"/>
      <w:marLeft w:val="0"/>
      <w:marRight w:val="0"/>
      <w:marTop w:val="0"/>
      <w:marBottom w:val="0"/>
      <w:divBdr>
        <w:top w:val="none" w:sz="0" w:space="0" w:color="auto"/>
        <w:left w:val="none" w:sz="0" w:space="0" w:color="auto"/>
        <w:bottom w:val="none" w:sz="0" w:space="0" w:color="auto"/>
        <w:right w:val="none" w:sz="0" w:space="0" w:color="auto"/>
      </w:divBdr>
    </w:div>
    <w:div w:id="638077642">
      <w:bodyDiv w:val="1"/>
      <w:marLeft w:val="0"/>
      <w:marRight w:val="0"/>
      <w:marTop w:val="0"/>
      <w:marBottom w:val="0"/>
      <w:divBdr>
        <w:top w:val="none" w:sz="0" w:space="0" w:color="auto"/>
        <w:left w:val="none" w:sz="0" w:space="0" w:color="auto"/>
        <w:bottom w:val="none" w:sz="0" w:space="0" w:color="auto"/>
        <w:right w:val="none" w:sz="0" w:space="0" w:color="auto"/>
      </w:divBdr>
    </w:div>
    <w:div w:id="638534450">
      <w:bodyDiv w:val="1"/>
      <w:marLeft w:val="0"/>
      <w:marRight w:val="0"/>
      <w:marTop w:val="0"/>
      <w:marBottom w:val="0"/>
      <w:divBdr>
        <w:top w:val="none" w:sz="0" w:space="0" w:color="auto"/>
        <w:left w:val="none" w:sz="0" w:space="0" w:color="auto"/>
        <w:bottom w:val="none" w:sz="0" w:space="0" w:color="auto"/>
        <w:right w:val="none" w:sz="0" w:space="0" w:color="auto"/>
      </w:divBdr>
    </w:div>
    <w:div w:id="639118619">
      <w:bodyDiv w:val="1"/>
      <w:marLeft w:val="0"/>
      <w:marRight w:val="0"/>
      <w:marTop w:val="0"/>
      <w:marBottom w:val="0"/>
      <w:divBdr>
        <w:top w:val="none" w:sz="0" w:space="0" w:color="auto"/>
        <w:left w:val="none" w:sz="0" w:space="0" w:color="auto"/>
        <w:bottom w:val="none" w:sz="0" w:space="0" w:color="auto"/>
        <w:right w:val="none" w:sz="0" w:space="0" w:color="auto"/>
      </w:divBdr>
    </w:div>
    <w:div w:id="639267391">
      <w:bodyDiv w:val="1"/>
      <w:marLeft w:val="0"/>
      <w:marRight w:val="0"/>
      <w:marTop w:val="0"/>
      <w:marBottom w:val="0"/>
      <w:divBdr>
        <w:top w:val="none" w:sz="0" w:space="0" w:color="auto"/>
        <w:left w:val="none" w:sz="0" w:space="0" w:color="auto"/>
        <w:bottom w:val="none" w:sz="0" w:space="0" w:color="auto"/>
        <w:right w:val="none" w:sz="0" w:space="0" w:color="auto"/>
      </w:divBdr>
    </w:div>
    <w:div w:id="639575660">
      <w:bodyDiv w:val="1"/>
      <w:marLeft w:val="0"/>
      <w:marRight w:val="0"/>
      <w:marTop w:val="0"/>
      <w:marBottom w:val="0"/>
      <w:divBdr>
        <w:top w:val="none" w:sz="0" w:space="0" w:color="auto"/>
        <w:left w:val="none" w:sz="0" w:space="0" w:color="auto"/>
        <w:bottom w:val="none" w:sz="0" w:space="0" w:color="auto"/>
        <w:right w:val="none" w:sz="0" w:space="0" w:color="auto"/>
      </w:divBdr>
    </w:div>
    <w:div w:id="639728869">
      <w:bodyDiv w:val="1"/>
      <w:marLeft w:val="0"/>
      <w:marRight w:val="0"/>
      <w:marTop w:val="0"/>
      <w:marBottom w:val="0"/>
      <w:divBdr>
        <w:top w:val="none" w:sz="0" w:space="0" w:color="auto"/>
        <w:left w:val="none" w:sz="0" w:space="0" w:color="auto"/>
        <w:bottom w:val="none" w:sz="0" w:space="0" w:color="auto"/>
        <w:right w:val="none" w:sz="0" w:space="0" w:color="auto"/>
      </w:divBdr>
    </w:div>
    <w:div w:id="640041151">
      <w:bodyDiv w:val="1"/>
      <w:marLeft w:val="0"/>
      <w:marRight w:val="0"/>
      <w:marTop w:val="0"/>
      <w:marBottom w:val="0"/>
      <w:divBdr>
        <w:top w:val="none" w:sz="0" w:space="0" w:color="auto"/>
        <w:left w:val="none" w:sz="0" w:space="0" w:color="auto"/>
        <w:bottom w:val="none" w:sz="0" w:space="0" w:color="auto"/>
        <w:right w:val="none" w:sz="0" w:space="0" w:color="auto"/>
      </w:divBdr>
      <w:divsChild>
        <w:div w:id="915439209">
          <w:marLeft w:val="0"/>
          <w:marRight w:val="0"/>
          <w:marTop w:val="0"/>
          <w:marBottom w:val="0"/>
          <w:divBdr>
            <w:top w:val="none" w:sz="0" w:space="0" w:color="auto"/>
            <w:left w:val="none" w:sz="0" w:space="0" w:color="auto"/>
            <w:bottom w:val="none" w:sz="0" w:space="0" w:color="auto"/>
            <w:right w:val="none" w:sz="0" w:space="0" w:color="auto"/>
          </w:divBdr>
          <w:divsChild>
            <w:div w:id="514808613">
              <w:marLeft w:val="0"/>
              <w:marRight w:val="0"/>
              <w:marTop w:val="0"/>
              <w:marBottom w:val="0"/>
              <w:divBdr>
                <w:top w:val="none" w:sz="0" w:space="0" w:color="auto"/>
                <w:left w:val="none" w:sz="0" w:space="0" w:color="auto"/>
                <w:bottom w:val="none" w:sz="0" w:space="0" w:color="auto"/>
                <w:right w:val="none" w:sz="0" w:space="0" w:color="auto"/>
              </w:divBdr>
              <w:divsChild>
                <w:div w:id="12723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551">
      <w:bodyDiv w:val="1"/>
      <w:marLeft w:val="0"/>
      <w:marRight w:val="0"/>
      <w:marTop w:val="0"/>
      <w:marBottom w:val="0"/>
      <w:divBdr>
        <w:top w:val="none" w:sz="0" w:space="0" w:color="auto"/>
        <w:left w:val="none" w:sz="0" w:space="0" w:color="auto"/>
        <w:bottom w:val="none" w:sz="0" w:space="0" w:color="auto"/>
        <w:right w:val="none" w:sz="0" w:space="0" w:color="auto"/>
      </w:divBdr>
      <w:divsChild>
        <w:div w:id="1796870860">
          <w:marLeft w:val="0"/>
          <w:marRight w:val="0"/>
          <w:marTop w:val="0"/>
          <w:marBottom w:val="0"/>
          <w:divBdr>
            <w:top w:val="none" w:sz="0" w:space="0" w:color="auto"/>
            <w:left w:val="none" w:sz="0" w:space="0" w:color="auto"/>
            <w:bottom w:val="none" w:sz="0" w:space="0" w:color="auto"/>
            <w:right w:val="none" w:sz="0" w:space="0" w:color="auto"/>
          </w:divBdr>
          <w:divsChild>
            <w:div w:id="1773891264">
              <w:marLeft w:val="0"/>
              <w:marRight w:val="0"/>
              <w:marTop w:val="0"/>
              <w:marBottom w:val="0"/>
              <w:divBdr>
                <w:top w:val="none" w:sz="0" w:space="0" w:color="auto"/>
                <w:left w:val="none" w:sz="0" w:space="0" w:color="auto"/>
                <w:bottom w:val="none" w:sz="0" w:space="0" w:color="auto"/>
                <w:right w:val="none" w:sz="0" w:space="0" w:color="auto"/>
              </w:divBdr>
              <w:divsChild>
                <w:div w:id="2126583492">
                  <w:marLeft w:val="0"/>
                  <w:marRight w:val="0"/>
                  <w:marTop w:val="0"/>
                  <w:marBottom w:val="0"/>
                  <w:divBdr>
                    <w:top w:val="none" w:sz="0" w:space="0" w:color="auto"/>
                    <w:left w:val="none" w:sz="0" w:space="0" w:color="auto"/>
                    <w:bottom w:val="none" w:sz="0" w:space="0" w:color="auto"/>
                    <w:right w:val="none" w:sz="0" w:space="0" w:color="auto"/>
                  </w:divBdr>
                  <w:divsChild>
                    <w:div w:id="13584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195340">
      <w:bodyDiv w:val="1"/>
      <w:marLeft w:val="0"/>
      <w:marRight w:val="0"/>
      <w:marTop w:val="0"/>
      <w:marBottom w:val="0"/>
      <w:divBdr>
        <w:top w:val="none" w:sz="0" w:space="0" w:color="auto"/>
        <w:left w:val="none" w:sz="0" w:space="0" w:color="auto"/>
        <w:bottom w:val="none" w:sz="0" w:space="0" w:color="auto"/>
        <w:right w:val="none" w:sz="0" w:space="0" w:color="auto"/>
      </w:divBdr>
    </w:div>
    <w:div w:id="642349732">
      <w:bodyDiv w:val="1"/>
      <w:marLeft w:val="0"/>
      <w:marRight w:val="0"/>
      <w:marTop w:val="0"/>
      <w:marBottom w:val="0"/>
      <w:divBdr>
        <w:top w:val="none" w:sz="0" w:space="0" w:color="auto"/>
        <w:left w:val="none" w:sz="0" w:space="0" w:color="auto"/>
        <w:bottom w:val="none" w:sz="0" w:space="0" w:color="auto"/>
        <w:right w:val="none" w:sz="0" w:space="0" w:color="auto"/>
      </w:divBdr>
      <w:divsChild>
        <w:div w:id="139545162">
          <w:marLeft w:val="0"/>
          <w:marRight w:val="0"/>
          <w:marTop w:val="0"/>
          <w:marBottom w:val="0"/>
          <w:divBdr>
            <w:top w:val="none" w:sz="0" w:space="0" w:color="auto"/>
            <w:left w:val="none" w:sz="0" w:space="0" w:color="auto"/>
            <w:bottom w:val="none" w:sz="0" w:space="0" w:color="auto"/>
            <w:right w:val="none" w:sz="0" w:space="0" w:color="auto"/>
          </w:divBdr>
          <w:divsChild>
            <w:div w:id="1495563993">
              <w:marLeft w:val="0"/>
              <w:marRight w:val="0"/>
              <w:marTop w:val="0"/>
              <w:marBottom w:val="0"/>
              <w:divBdr>
                <w:top w:val="none" w:sz="0" w:space="0" w:color="auto"/>
                <w:left w:val="none" w:sz="0" w:space="0" w:color="auto"/>
                <w:bottom w:val="none" w:sz="0" w:space="0" w:color="auto"/>
                <w:right w:val="none" w:sz="0" w:space="0" w:color="auto"/>
              </w:divBdr>
              <w:divsChild>
                <w:div w:id="330523537">
                  <w:marLeft w:val="0"/>
                  <w:marRight w:val="0"/>
                  <w:marTop w:val="0"/>
                  <w:marBottom w:val="0"/>
                  <w:divBdr>
                    <w:top w:val="none" w:sz="0" w:space="0" w:color="auto"/>
                    <w:left w:val="none" w:sz="0" w:space="0" w:color="auto"/>
                    <w:bottom w:val="none" w:sz="0" w:space="0" w:color="auto"/>
                    <w:right w:val="none" w:sz="0" w:space="0" w:color="auto"/>
                  </w:divBdr>
                  <w:divsChild>
                    <w:div w:id="96149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587766">
      <w:bodyDiv w:val="1"/>
      <w:marLeft w:val="0"/>
      <w:marRight w:val="0"/>
      <w:marTop w:val="0"/>
      <w:marBottom w:val="0"/>
      <w:divBdr>
        <w:top w:val="none" w:sz="0" w:space="0" w:color="auto"/>
        <w:left w:val="none" w:sz="0" w:space="0" w:color="auto"/>
        <w:bottom w:val="none" w:sz="0" w:space="0" w:color="auto"/>
        <w:right w:val="none" w:sz="0" w:space="0" w:color="auto"/>
      </w:divBdr>
    </w:div>
    <w:div w:id="642737484">
      <w:bodyDiv w:val="1"/>
      <w:marLeft w:val="0"/>
      <w:marRight w:val="0"/>
      <w:marTop w:val="0"/>
      <w:marBottom w:val="0"/>
      <w:divBdr>
        <w:top w:val="none" w:sz="0" w:space="0" w:color="auto"/>
        <w:left w:val="none" w:sz="0" w:space="0" w:color="auto"/>
        <w:bottom w:val="none" w:sz="0" w:space="0" w:color="auto"/>
        <w:right w:val="none" w:sz="0" w:space="0" w:color="auto"/>
      </w:divBdr>
    </w:div>
    <w:div w:id="644167774">
      <w:bodyDiv w:val="1"/>
      <w:marLeft w:val="0"/>
      <w:marRight w:val="0"/>
      <w:marTop w:val="0"/>
      <w:marBottom w:val="0"/>
      <w:divBdr>
        <w:top w:val="none" w:sz="0" w:space="0" w:color="auto"/>
        <w:left w:val="none" w:sz="0" w:space="0" w:color="auto"/>
        <w:bottom w:val="none" w:sz="0" w:space="0" w:color="auto"/>
        <w:right w:val="none" w:sz="0" w:space="0" w:color="auto"/>
      </w:divBdr>
    </w:div>
    <w:div w:id="644428247">
      <w:bodyDiv w:val="1"/>
      <w:marLeft w:val="0"/>
      <w:marRight w:val="0"/>
      <w:marTop w:val="0"/>
      <w:marBottom w:val="0"/>
      <w:divBdr>
        <w:top w:val="none" w:sz="0" w:space="0" w:color="auto"/>
        <w:left w:val="none" w:sz="0" w:space="0" w:color="auto"/>
        <w:bottom w:val="none" w:sz="0" w:space="0" w:color="auto"/>
        <w:right w:val="none" w:sz="0" w:space="0" w:color="auto"/>
      </w:divBdr>
    </w:div>
    <w:div w:id="645354993">
      <w:bodyDiv w:val="1"/>
      <w:marLeft w:val="0"/>
      <w:marRight w:val="0"/>
      <w:marTop w:val="0"/>
      <w:marBottom w:val="0"/>
      <w:divBdr>
        <w:top w:val="none" w:sz="0" w:space="0" w:color="auto"/>
        <w:left w:val="none" w:sz="0" w:space="0" w:color="auto"/>
        <w:bottom w:val="none" w:sz="0" w:space="0" w:color="auto"/>
        <w:right w:val="none" w:sz="0" w:space="0" w:color="auto"/>
      </w:divBdr>
    </w:div>
    <w:div w:id="645667172">
      <w:bodyDiv w:val="1"/>
      <w:marLeft w:val="0"/>
      <w:marRight w:val="0"/>
      <w:marTop w:val="0"/>
      <w:marBottom w:val="0"/>
      <w:divBdr>
        <w:top w:val="none" w:sz="0" w:space="0" w:color="auto"/>
        <w:left w:val="none" w:sz="0" w:space="0" w:color="auto"/>
        <w:bottom w:val="none" w:sz="0" w:space="0" w:color="auto"/>
        <w:right w:val="none" w:sz="0" w:space="0" w:color="auto"/>
      </w:divBdr>
    </w:div>
    <w:div w:id="646084716">
      <w:bodyDiv w:val="1"/>
      <w:marLeft w:val="0"/>
      <w:marRight w:val="0"/>
      <w:marTop w:val="0"/>
      <w:marBottom w:val="0"/>
      <w:divBdr>
        <w:top w:val="none" w:sz="0" w:space="0" w:color="auto"/>
        <w:left w:val="none" w:sz="0" w:space="0" w:color="auto"/>
        <w:bottom w:val="none" w:sz="0" w:space="0" w:color="auto"/>
        <w:right w:val="none" w:sz="0" w:space="0" w:color="auto"/>
      </w:divBdr>
    </w:div>
    <w:div w:id="646208236">
      <w:bodyDiv w:val="1"/>
      <w:marLeft w:val="0"/>
      <w:marRight w:val="0"/>
      <w:marTop w:val="0"/>
      <w:marBottom w:val="0"/>
      <w:divBdr>
        <w:top w:val="none" w:sz="0" w:space="0" w:color="auto"/>
        <w:left w:val="none" w:sz="0" w:space="0" w:color="auto"/>
        <w:bottom w:val="none" w:sz="0" w:space="0" w:color="auto"/>
        <w:right w:val="none" w:sz="0" w:space="0" w:color="auto"/>
      </w:divBdr>
    </w:div>
    <w:div w:id="646394335">
      <w:bodyDiv w:val="1"/>
      <w:marLeft w:val="0"/>
      <w:marRight w:val="0"/>
      <w:marTop w:val="0"/>
      <w:marBottom w:val="0"/>
      <w:divBdr>
        <w:top w:val="none" w:sz="0" w:space="0" w:color="auto"/>
        <w:left w:val="none" w:sz="0" w:space="0" w:color="auto"/>
        <w:bottom w:val="none" w:sz="0" w:space="0" w:color="auto"/>
        <w:right w:val="none" w:sz="0" w:space="0" w:color="auto"/>
      </w:divBdr>
    </w:div>
    <w:div w:id="646594992">
      <w:bodyDiv w:val="1"/>
      <w:marLeft w:val="0"/>
      <w:marRight w:val="0"/>
      <w:marTop w:val="0"/>
      <w:marBottom w:val="0"/>
      <w:divBdr>
        <w:top w:val="none" w:sz="0" w:space="0" w:color="auto"/>
        <w:left w:val="none" w:sz="0" w:space="0" w:color="auto"/>
        <w:bottom w:val="none" w:sz="0" w:space="0" w:color="auto"/>
        <w:right w:val="none" w:sz="0" w:space="0" w:color="auto"/>
      </w:divBdr>
    </w:div>
    <w:div w:id="646668244">
      <w:bodyDiv w:val="1"/>
      <w:marLeft w:val="0"/>
      <w:marRight w:val="0"/>
      <w:marTop w:val="0"/>
      <w:marBottom w:val="0"/>
      <w:divBdr>
        <w:top w:val="none" w:sz="0" w:space="0" w:color="auto"/>
        <w:left w:val="none" w:sz="0" w:space="0" w:color="auto"/>
        <w:bottom w:val="none" w:sz="0" w:space="0" w:color="auto"/>
        <w:right w:val="none" w:sz="0" w:space="0" w:color="auto"/>
      </w:divBdr>
    </w:div>
    <w:div w:id="647176596">
      <w:bodyDiv w:val="1"/>
      <w:marLeft w:val="0"/>
      <w:marRight w:val="0"/>
      <w:marTop w:val="0"/>
      <w:marBottom w:val="0"/>
      <w:divBdr>
        <w:top w:val="none" w:sz="0" w:space="0" w:color="auto"/>
        <w:left w:val="none" w:sz="0" w:space="0" w:color="auto"/>
        <w:bottom w:val="none" w:sz="0" w:space="0" w:color="auto"/>
        <w:right w:val="none" w:sz="0" w:space="0" w:color="auto"/>
      </w:divBdr>
    </w:div>
    <w:div w:id="647514278">
      <w:bodyDiv w:val="1"/>
      <w:marLeft w:val="0"/>
      <w:marRight w:val="0"/>
      <w:marTop w:val="0"/>
      <w:marBottom w:val="0"/>
      <w:divBdr>
        <w:top w:val="none" w:sz="0" w:space="0" w:color="auto"/>
        <w:left w:val="none" w:sz="0" w:space="0" w:color="auto"/>
        <w:bottom w:val="none" w:sz="0" w:space="0" w:color="auto"/>
        <w:right w:val="none" w:sz="0" w:space="0" w:color="auto"/>
      </w:divBdr>
    </w:div>
    <w:div w:id="647831418">
      <w:bodyDiv w:val="1"/>
      <w:marLeft w:val="0"/>
      <w:marRight w:val="0"/>
      <w:marTop w:val="0"/>
      <w:marBottom w:val="0"/>
      <w:divBdr>
        <w:top w:val="none" w:sz="0" w:space="0" w:color="auto"/>
        <w:left w:val="none" w:sz="0" w:space="0" w:color="auto"/>
        <w:bottom w:val="none" w:sz="0" w:space="0" w:color="auto"/>
        <w:right w:val="none" w:sz="0" w:space="0" w:color="auto"/>
      </w:divBdr>
      <w:divsChild>
        <w:div w:id="852458919">
          <w:marLeft w:val="0"/>
          <w:marRight w:val="0"/>
          <w:marTop w:val="0"/>
          <w:marBottom w:val="0"/>
          <w:divBdr>
            <w:top w:val="none" w:sz="0" w:space="0" w:color="auto"/>
            <w:left w:val="none" w:sz="0" w:space="0" w:color="auto"/>
            <w:bottom w:val="none" w:sz="0" w:space="0" w:color="auto"/>
            <w:right w:val="none" w:sz="0" w:space="0" w:color="auto"/>
          </w:divBdr>
          <w:divsChild>
            <w:div w:id="1700736868">
              <w:marLeft w:val="0"/>
              <w:marRight w:val="0"/>
              <w:marTop w:val="0"/>
              <w:marBottom w:val="0"/>
              <w:divBdr>
                <w:top w:val="none" w:sz="0" w:space="0" w:color="auto"/>
                <w:left w:val="none" w:sz="0" w:space="0" w:color="auto"/>
                <w:bottom w:val="none" w:sz="0" w:space="0" w:color="auto"/>
                <w:right w:val="none" w:sz="0" w:space="0" w:color="auto"/>
              </w:divBdr>
              <w:divsChild>
                <w:div w:id="288243914">
                  <w:marLeft w:val="0"/>
                  <w:marRight w:val="0"/>
                  <w:marTop w:val="0"/>
                  <w:marBottom w:val="0"/>
                  <w:divBdr>
                    <w:top w:val="none" w:sz="0" w:space="0" w:color="auto"/>
                    <w:left w:val="none" w:sz="0" w:space="0" w:color="auto"/>
                    <w:bottom w:val="none" w:sz="0" w:space="0" w:color="auto"/>
                    <w:right w:val="none" w:sz="0" w:space="0" w:color="auto"/>
                  </w:divBdr>
                  <w:divsChild>
                    <w:div w:id="20981543">
                      <w:marLeft w:val="0"/>
                      <w:marRight w:val="0"/>
                      <w:marTop w:val="0"/>
                      <w:marBottom w:val="0"/>
                      <w:divBdr>
                        <w:top w:val="none" w:sz="0" w:space="0" w:color="auto"/>
                        <w:left w:val="none" w:sz="0" w:space="0" w:color="auto"/>
                        <w:bottom w:val="none" w:sz="0" w:space="0" w:color="auto"/>
                        <w:right w:val="none" w:sz="0" w:space="0" w:color="auto"/>
                      </w:divBdr>
                    </w:div>
                  </w:divsChild>
                </w:div>
                <w:div w:id="1656294463">
                  <w:marLeft w:val="0"/>
                  <w:marRight w:val="0"/>
                  <w:marTop w:val="0"/>
                  <w:marBottom w:val="0"/>
                  <w:divBdr>
                    <w:top w:val="none" w:sz="0" w:space="0" w:color="auto"/>
                    <w:left w:val="none" w:sz="0" w:space="0" w:color="auto"/>
                    <w:bottom w:val="none" w:sz="0" w:space="0" w:color="auto"/>
                    <w:right w:val="none" w:sz="0" w:space="0" w:color="auto"/>
                  </w:divBdr>
                  <w:divsChild>
                    <w:div w:id="5467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753801">
      <w:bodyDiv w:val="1"/>
      <w:marLeft w:val="0"/>
      <w:marRight w:val="0"/>
      <w:marTop w:val="0"/>
      <w:marBottom w:val="0"/>
      <w:divBdr>
        <w:top w:val="none" w:sz="0" w:space="0" w:color="auto"/>
        <w:left w:val="none" w:sz="0" w:space="0" w:color="auto"/>
        <w:bottom w:val="none" w:sz="0" w:space="0" w:color="auto"/>
        <w:right w:val="none" w:sz="0" w:space="0" w:color="auto"/>
      </w:divBdr>
    </w:div>
    <w:div w:id="651834891">
      <w:bodyDiv w:val="1"/>
      <w:marLeft w:val="0"/>
      <w:marRight w:val="0"/>
      <w:marTop w:val="0"/>
      <w:marBottom w:val="0"/>
      <w:divBdr>
        <w:top w:val="none" w:sz="0" w:space="0" w:color="auto"/>
        <w:left w:val="none" w:sz="0" w:space="0" w:color="auto"/>
        <w:bottom w:val="none" w:sz="0" w:space="0" w:color="auto"/>
        <w:right w:val="none" w:sz="0" w:space="0" w:color="auto"/>
      </w:divBdr>
    </w:div>
    <w:div w:id="652442643">
      <w:bodyDiv w:val="1"/>
      <w:marLeft w:val="0"/>
      <w:marRight w:val="0"/>
      <w:marTop w:val="0"/>
      <w:marBottom w:val="0"/>
      <w:divBdr>
        <w:top w:val="none" w:sz="0" w:space="0" w:color="auto"/>
        <w:left w:val="none" w:sz="0" w:space="0" w:color="auto"/>
        <w:bottom w:val="none" w:sz="0" w:space="0" w:color="auto"/>
        <w:right w:val="none" w:sz="0" w:space="0" w:color="auto"/>
      </w:divBdr>
    </w:div>
    <w:div w:id="652955172">
      <w:bodyDiv w:val="1"/>
      <w:marLeft w:val="0"/>
      <w:marRight w:val="0"/>
      <w:marTop w:val="0"/>
      <w:marBottom w:val="0"/>
      <w:divBdr>
        <w:top w:val="none" w:sz="0" w:space="0" w:color="auto"/>
        <w:left w:val="none" w:sz="0" w:space="0" w:color="auto"/>
        <w:bottom w:val="none" w:sz="0" w:space="0" w:color="auto"/>
        <w:right w:val="none" w:sz="0" w:space="0" w:color="auto"/>
      </w:divBdr>
    </w:div>
    <w:div w:id="653527222">
      <w:bodyDiv w:val="1"/>
      <w:marLeft w:val="0"/>
      <w:marRight w:val="0"/>
      <w:marTop w:val="0"/>
      <w:marBottom w:val="0"/>
      <w:divBdr>
        <w:top w:val="none" w:sz="0" w:space="0" w:color="auto"/>
        <w:left w:val="none" w:sz="0" w:space="0" w:color="auto"/>
        <w:bottom w:val="none" w:sz="0" w:space="0" w:color="auto"/>
        <w:right w:val="none" w:sz="0" w:space="0" w:color="auto"/>
      </w:divBdr>
    </w:div>
    <w:div w:id="654601967">
      <w:bodyDiv w:val="1"/>
      <w:marLeft w:val="0"/>
      <w:marRight w:val="0"/>
      <w:marTop w:val="0"/>
      <w:marBottom w:val="0"/>
      <w:divBdr>
        <w:top w:val="none" w:sz="0" w:space="0" w:color="auto"/>
        <w:left w:val="none" w:sz="0" w:space="0" w:color="auto"/>
        <w:bottom w:val="none" w:sz="0" w:space="0" w:color="auto"/>
        <w:right w:val="none" w:sz="0" w:space="0" w:color="auto"/>
      </w:divBdr>
      <w:divsChild>
        <w:div w:id="1411928147">
          <w:marLeft w:val="0"/>
          <w:marRight w:val="0"/>
          <w:marTop w:val="0"/>
          <w:marBottom w:val="0"/>
          <w:divBdr>
            <w:top w:val="none" w:sz="0" w:space="0" w:color="auto"/>
            <w:left w:val="none" w:sz="0" w:space="0" w:color="auto"/>
            <w:bottom w:val="none" w:sz="0" w:space="0" w:color="auto"/>
            <w:right w:val="none" w:sz="0" w:space="0" w:color="auto"/>
          </w:divBdr>
          <w:divsChild>
            <w:div w:id="1534884871">
              <w:marLeft w:val="0"/>
              <w:marRight w:val="0"/>
              <w:marTop w:val="0"/>
              <w:marBottom w:val="0"/>
              <w:divBdr>
                <w:top w:val="none" w:sz="0" w:space="0" w:color="auto"/>
                <w:left w:val="none" w:sz="0" w:space="0" w:color="auto"/>
                <w:bottom w:val="none" w:sz="0" w:space="0" w:color="auto"/>
                <w:right w:val="none" w:sz="0" w:space="0" w:color="auto"/>
              </w:divBdr>
              <w:divsChild>
                <w:div w:id="563177885">
                  <w:marLeft w:val="0"/>
                  <w:marRight w:val="0"/>
                  <w:marTop w:val="0"/>
                  <w:marBottom w:val="0"/>
                  <w:divBdr>
                    <w:top w:val="none" w:sz="0" w:space="0" w:color="auto"/>
                    <w:left w:val="none" w:sz="0" w:space="0" w:color="auto"/>
                    <w:bottom w:val="none" w:sz="0" w:space="0" w:color="auto"/>
                    <w:right w:val="none" w:sz="0" w:space="0" w:color="auto"/>
                  </w:divBdr>
                  <w:divsChild>
                    <w:div w:id="807209685">
                      <w:marLeft w:val="0"/>
                      <w:marRight w:val="0"/>
                      <w:marTop w:val="0"/>
                      <w:marBottom w:val="0"/>
                      <w:divBdr>
                        <w:top w:val="none" w:sz="0" w:space="0" w:color="auto"/>
                        <w:left w:val="none" w:sz="0" w:space="0" w:color="auto"/>
                        <w:bottom w:val="none" w:sz="0" w:space="0" w:color="auto"/>
                        <w:right w:val="none" w:sz="0" w:space="0" w:color="auto"/>
                      </w:divBdr>
                    </w:div>
                  </w:divsChild>
                </w:div>
                <w:div w:id="1971744523">
                  <w:marLeft w:val="0"/>
                  <w:marRight w:val="0"/>
                  <w:marTop w:val="0"/>
                  <w:marBottom w:val="0"/>
                  <w:divBdr>
                    <w:top w:val="none" w:sz="0" w:space="0" w:color="auto"/>
                    <w:left w:val="none" w:sz="0" w:space="0" w:color="auto"/>
                    <w:bottom w:val="none" w:sz="0" w:space="0" w:color="auto"/>
                    <w:right w:val="none" w:sz="0" w:space="0" w:color="auto"/>
                  </w:divBdr>
                  <w:divsChild>
                    <w:div w:id="192823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603395">
      <w:bodyDiv w:val="1"/>
      <w:marLeft w:val="0"/>
      <w:marRight w:val="0"/>
      <w:marTop w:val="0"/>
      <w:marBottom w:val="0"/>
      <w:divBdr>
        <w:top w:val="none" w:sz="0" w:space="0" w:color="auto"/>
        <w:left w:val="none" w:sz="0" w:space="0" w:color="auto"/>
        <w:bottom w:val="none" w:sz="0" w:space="0" w:color="auto"/>
        <w:right w:val="none" w:sz="0" w:space="0" w:color="auto"/>
      </w:divBdr>
    </w:div>
    <w:div w:id="655963674">
      <w:bodyDiv w:val="1"/>
      <w:marLeft w:val="0"/>
      <w:marRight w:val="0"/>
      <w:marTop w:val="0"/>
      <w:marBottom w:val="0"/>
      <w:divBdr>
        <w:top w:val="none" w:sz="0" w:space="0" w:color="auto"/>
        <w:left w:val="none" w:sz="0" w:space="0" w:color="auto"/>
        <w:bottom w:val="none" w:sz="0" w:space="0" w:color="auto"/>
        <w:right w:val="none" w:sz="0" w:space="0" w:color="auto"/>
      </w:divBdr>
    </w:div>
    <w:div w:id="656153737">
      <w:bodyDiv w:val="1"/>
      <w:marLeft w:val="0"/>
      <w:marRight w:val="0"/>
      <w:marTop w:val="0"/>
      <w:marBottom w:val="0"/>
      <w:divBdr>
        <w:top w:val="none" w:sz="0" w:space="0" w:color="auto"/>
        <w:left w:val="none" w:sz="0" w:space="0" w:color="auto"/>
        <w:bottom w:val="none" w:sz="0" w:space="0" w:color="auto"/>
        <w:right w:val="none" w:sz="0" w:space="0" w:color="auto"/>
      </w:divBdr>
    </w:div>
    <w:div w:id="656349007">
      <w:bodyDiv w:val="1"/>
      <w:marLeft w:val="0"/>
      <w:marRight w:val="0"/>
      <w:marTop w:val="0"/>
      <w:marBottom w:val="0"/>
      <w:divBdr>
        <w:top w:val="none" w:sz="0" w:space="0" w:color="auto"/>
        <w:left w:val="none" w:sz="0" w:space="0" w:color="auto"/>
        <w:bottom w:val="none" w:sz="0" w:space="0" w:color="auto"/>
        <w:right w:val="none" w:sz="0" w:space="0" w:color="auto"/>
      </w:divBdr>
    </w:div>
    <w:div w:id="656542218">
      <w:bodyDiv w:val="1"/>
      <w:marLeft w:val="0"/>
      <w:marRight w:val="0"/>
      <w:marTop w:val="0"/>
      <w:marBottom w:val="0"/>
      <w:divBdr>
        <w:top w:val="none" w:sz="0" w:space="0" w:color="auto"/>
        <w:left w:val="none" w:sz="0" w:space="0" w:color="auto"/>
        <w:bottom w:val="none" w:sz="0" w:space="0" w:color="auto"/>
        <w:right w:val="none" w:sz="0" w:space="0" w:color="auto"/>
      </w:divBdr>
      <w:divsChild>
        <w:div w:id="549734910">
          <w:marLeft w:val="0"/>
          <w:marRight w:val="0"/>
          <w:marTop w:val="0"/>
          <w:marBottom w:val="0"/>
          <w:divBdr>
            <w:top w:val="none" w:sz="0" w:space="0" w:color="auto"/>
            <w:left w:val="none" w:sz="0" w:space="0" w:color="auto"/>
            <w:bottom w:val="none" w:sz="0" w:space="0" w:color="auto"/>
            <w:right w:val="none" w:sz="0" w:space="0" w:color="auto"/>
          </w:divBdr>
          <w:divsChild>
            <w:div w:id="252738239">
              <w:marLeft w:val="0"/>
              <w:marRight w:val="0"/>
              <w:marTop w:val="0"/>
              <w:marBottom w:val="0"/>
              <w:divBdr>
                <w:top w:val="none" w:sz="0" w:space="0" w:color="auto"/>
                <w:left w:val="none" w:sz="0" w:space="0" w:color="auto"/>
                <w:bottom w:val="none" w:sz="0" w:space="0" w:color="auto"/>
                <w:right w:val="none" w:sz="0" w:space="0" w:color="auto"/>
              </w:divBdr>
              <w:divsChild>
                <w:div w:id="323318846">
                  <w:marLeft w:val="0"/>
                  <w:marRight w:val="0"/>
                  <w:marTop w:val="0"/>
                  <w:marBottom w:val="0"/>
                  <w:divBdr>
                    <w:top w:val="none" w:sz="0" w:space="0" w:color="auto"/>
                    <w:left w:val="none" w:sz="0" w:space="0" w:color="auto"/>
                    <w:bottom w:val="none" w:sz="0" w:space="0" w:color="auto"/>
                    <w:right w:val="none" w:sz="0" w:space="0" w:color="auto"/>
                  </w:divBdr>
                  <w:divsChild>
                    <w:div w:id="214434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736544">
      <w:bodyDiv w:val="1"/>
      <w:marLeft w:val="0"/>
      <w:marRight w:val="0"/>
      <w:marTop w:val="0"/>
      <w:marBottom w:val="0"/>
      <w:divBdr>
        <w:top w:val="none" w:sz="0" w:space="0" w:color="auto"/>
        <w:left w:val="none" w:sz="0" w:space="0" w:color="auto"/>
        <w:bottom w:val="none" w:sz="0" w:space="0" w:color="auto"/>
        <w:right w:val="none" w:sz="0" w:space="0" w:color="auto"/>
      </w:divBdr>
    </w:div>
    <w:div w:id="657536353">
      <w:bodyDiv w:val="1"/>
      <w:marLeft w:val="0"/>
      <w:marRight w:val="0"/>
      <w:marTop w:val="0"/>
      <w:marBottom w:val="0"/>
      <w:divBdr>
        <w:top w:val="none" w:sz="0" w:space="0" w:color="auto"/>
        <w:left w:val="none" w:sz="0" w:space="0" w:color="auto"/>
        <w:bottom w:val="none" w:sz="0" w:space="0" w:color="auto"/>
        <w:right w:val="none" w:sz="0" w:space="0" w:color="auto"/>
      </w:divBdr>
    </w:div>
    <w:div w:id="658314917">
      <w:bodyDiv w:val="1"/>
      <w:marLeft w:val="0"/>
      <w:marRight w:val="0"/>
      <w:marTop w:val="0"/>
      <w:marBottom w:val="0"/>
      <w:divBdr>
        <w:top w:val="none" w:sz="0" w:space="0" w:color="auto"/>
        <w:left w:val="none" w:sz="0" w:space="0" w:color="auto"/>
        <w:bottom w:val="none" w:sz="0" w:space="0" w:color="auto"/>
        <w:right w:val="none" w:sz="0" w:space="0" w:color="auto"/>
      </w:divBdr>
    </w:div>
    <w:div w:id="658537647">
      <w:bodyDiv w:val="1"/>
      <w:marLeft w:val="0"/>
      <w:marRight w:val="0"/>
      <w:marTop w:val="0"/>
      <w:marBottom w:val="0"/>
      <w:divBdr>
        <w:top w:val="none" w:sz="0" w:space="0" w:color="auto"/>
        <w:left w:val="none" w:sz="0" w:space="0" w:color="auto"/>
        <w:bottom w:val="none" w:sz="0" w:space="0" w:color="auto"/>
        <w:right w:val="none" w:sz="0" w:space="0" w:color="auto"/>
      </w:divBdr>
    </w:div>
    <w:div w:id="661006666">
      <w:bodyDiv w:val="1"/>
      <w:marLeft w:val="0"/>
      <w:marRight w:val="0"/>
      <w:marTop w:val="0"/>
      <w:marBottom w:val="0"/>
      <w:divBdr>
        <w:top w:val="none" w:sz="0" w:space="0" w:color="auto"/>
        <w:left w:val="none" w:sz="0" w:space="0" w:color="auto"/>
        <w:bottom w:val="none" w:sz="0" w:space="0" w:color="auto"/>
        <w:right w:val="none" w:sz="0" w:space="0" w:color="auto"/>
      </w:divBdr>
      <w:divsChild>
        <w:div w:id="1709136930">
          <w:marLeft w:val="0"/>
          <w:marRight w:val="0"/>
          <w:marTop w:val="0"/>
          <w:marBottom w:val="0"/>
          <w:divBdr>
            <w:top w:val="none" w:sz="0" w:space="0" w:color="auto"/>
            <w:left w:val="none" w:sz="0" w:space="0" w:color="auto"/>
            <w:bottom w:val="none" w:sz="0" w:space="0" w:color="auto"/>
            <w:right w:val="none" w:sz="0" w:space="0" w:color="auto"/>
          </w:divBdr>
          <w:divsChild>
            <w:div w:id="1975140773">
              <w:marLeft w:val="0"/>
              <w:marRight w:val="0"/>
              <w:marTop w:val="0"/>
              <w:marBottom w:val="0"/>
              <w:divBdr>
                <w:top w:val="none" w:sz="0" w:space="0" w:color="auto"/>
                <w:left w:val="none" w:sz="0" w:space="0" w:color="auto"/>
                <w:bottom w:val="none" w:sz="0" w:space="0" w:color="auto"/>
                <w:right w:val="none" w:sz="0" w:space="0" w:color="auto"/>
              </w:divBdr>
              <w:divsChild>
                <w:div w:id="16641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853183">
      <w:bodyDiv w:val="1"/>
      <w:marLeft w:val="0"/>
      <w:marRight w:val="0"/>
      <w:marTop w:val="0"/>
      <w:marBottom w:val="0"/>
      <w:divBdr>
        <w:top w:val="none" w:sz="0" w:space="0" w:color="auto"/>
        <w:left w:val="none" w:sz="0" w:space="0" w:color="auto"/>
        <w:bottom w:val="none" w:sz="0" w:space="0" w:color="auto"/>
        <w:right w:val="none" w:sz="0" w:space="0" w:color="auto"/>
      </w:divBdr>
      <w:divsChild>
        <w:div w:id="2135126118">
          <w:marLeft w:val="0"/>
          <w:marRight w:val="0"/>
          <w:marTop w:val="0"/>
          <w:marBottom w:val="0"/>
          <w:divBdr>
            <w:top w:val="none" w:sz="0" w:space="0" w:color="auto"/>
            <w:left w:val="none" w:sz="0" w:space="0" w:color="auto"/>
            <w:bottom w:val="none" w:sz="0" w:space="0" w:color="auto"/>
            <w:right w:val="none" w:sz="0" w:space="0" w:color="auto"/>
          </w:divBdr>
          <w:divsChild>
            <w:div w:id="1109274190">
              <w:marLeft w:val="0"/>
              <w:marRight w:val="0"/>
              <w:marTop w:val="0"/>
              <w:marBottom w:val="0"/>
              <w:divBdr>
                <w:top w:val="none" w:sz="0" w:space="0" w:color="auto"/>
                <w:left w:val="none" w:sz="0" w:space="0" w:color="auto"/>
                <w:bottom w:val="none" w:sz="0" w:space="0" w:color="auto"/>
                <w:right w:val="none" w:sz="0" w:space="0" w:color="auto"/>
              </w:divBdr>
              <w:divsChild>
                <w:div w:id="560603540">
                  <w:marLeft w:val="0"/>
                  <w:marRight w:val="0"/>
                  <w:marTop w:val="0"/>
                  <w:marBottom w:val="0"/>
                  <w:divBdr>
                    <w:top w:val="none" w:sz="0" w:space="0" w:color="auto"/>
                    <w:left w:val="none" w:sz="0" w:space="0" w:color="auto"/>
                    <w:bottom w:val="none" w:sz="0" w:space="0" w:color="auto"/>
                    <w:right w:val="none" w:sz="0" w:space="0" w:color="auto"/>
                  </w:divBdr>
                  <w:divsChild>
                    <w:div w:id="125909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777793">
      <w:bodyDiv w:val="1"/>
      <w:marLeft w:val="0"/>
      <w:marRight w:val="0"/>
      <w:marTop w:val="0"/>
      <w:marBottom w:val="0"/>
      <w:divBdr>
        <w:top w:val="none" w:sz="0" w:space="0" w:color="auto"/>
        <w:left w:val="none" w:sz="0" w:space="0" w:color="auto"/>
        <w:bottom w:val="none" w:sz="0" w:space="0" w:color="auto"/>
        <w:right w:val="none" w:sz="0" w:space="0" w:color="auto"/>
      </w:divBdr>
    </w:div>
    <w:div w:id="662976093">
      <w:bodyDiv w:val="1"/>
      <w:marLeft w:val="0"/>
      <w:marRight w:val="0"/>
      <w:marTop w:val="0"/>
      <w:marBottom w:val="0"/>
      <w:divBdr>
        <w:top w:val="none" w:sz="0" w:space="0" w:color="auto"/>
        <w:left w:val="none" w:sz="0" w:space="0" w:color="auto"/>
        <w:bottom w:val="none" w:sz="0" w:space="0" w:color="auto"/>
        <w:right w:val="none" w:sz="0" w:space="0" w:color="auto"/>
      </w:divBdr>
    </w:div>
    <w:div w:id="663168772">
      <w:bodyDiv w:val="1"/>
      <w:marLeft w:val="0"/>
      <w:marRight w:val="0"/>
      <w:marTop w:val="0"/>
      <w:marBottom w:val="0"/>
      <w:divBdr>
        <w:top w:val="none" w:sz="0" w:space="0" w:color="auto"/>
        <w:left w:val="none" w:sz="0" w:space="0" w:color="auto"/>
        <w:bottom w:val="none" w:sz="0" w:space="0" w:color="auto"/>
        <w:right w:val="none" w:sz="0" w:space="0" w:color="auto"/>
      </w:divBdr>
    </w:div>
    <w:div w:id="664239595">
      <w:bodyDiv w:val="1"/>
      <w:marLeft w:val="0"/>
      <w:marRight w:val="0"/>
      <w:marTop w:val="0"/>
      <w:marBottom w:val="0"/>
      <w:divBdr>
        <w:top w:val="none" w:sz="0" w:space="0" w:color="auto"/>
        <w:left w:val="none" w:sz="0" w:space="0" w:color="auto"/>
        <w:bottom w:val="none" w:sz="0" w:space="0" w:color="auto"/>
        <w:right w:val="none" w:sz="0" w:space="0" w:color="auto"/>
      </w:divBdr>
    </w:div>
    <w:div w:id="664548729">
      <w:bodyDiv w:val="1"/>
      <w:marLeft w:val="0"/>
      <w:marRight w:val="0"/>
      <w:marTop w:val="0"/>
      <w:marBottom w:val="0"/>
      <w:divBdr>
        <w:top w:val="none" w:sz="0" w:space="0" w:color="auto"/>
        <w:left w:val="none" w:sz="0" w:space="0" w:color="auto"/>
        <w:bottom w:val="none" w:sz="0" w:space="0" w:color="auto"/>
        <w:right w:val="none" w:sz="0" w:space="0" w:color="auto"/>
      </w:divBdr>
      <w:divsChild>
        <w:div w:id="385027814">
          <w:marLeft w:val="0"/>
          <w:marRight w:val="0"/>
          <w:marTop w:val="0"/>
          <w:marBottom w:val="0"/>
          <w:divBdr>
            <w:top w:val="none" w:sz="0" w:space="0" w:color="auto"/>
            <w:left w:val="none" w:sz="0" w:space="0" w:color="auto"/>
            <w:bottom w:val="none" w:sz="0" w:space="0" w:color="auto"/>
            <w:right w:val="none" w:sz="0" w:space="0" w:color="auto"/>
          </w:divBdr>
          <w:divsChild>
            <w:div w:id="1027409691">
              <w:marLeft w:val="0"/>
              <w:marRight w:val="0"/>
              <w:marTop w:val="0"/>
              <w:marBottom w:val="0"/>
              <w:divBdr>
                <w:top w:val="none" w:sz="0" w:space="0" w:color="auto"/>
                <w:left w:val="none" w:sz="0" w:space="0" w:color="auto"/>
                <w:bottom w:val="none" w:sz="0" w:space="0" w:color="auto"/>
                <w:right w:val="none" w:sz="0" w:space="0" w:color="auto"/>
              </w:divBdr>
              <w:divsChild>
                <w:div w:id="48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552249">
      <w:bodyDiv w:val="1"/>
      <w:marLeft w:val="0"/>
      <w:marRight w:val="0"/>
      <w:marTop w:val="0"/>
      <w:marBottom w:val="0"/>
      <w:divBdr>
        <w:top w:val="none" w:sz="0" w:space="0" w:color="auto"/>
        <w:left w:val="none" w:sz="0" w:space="0" w:color="auto"/>
        <w:bottom w:val="none" w:sz="0" w:space="0" w:color="auto"/>
        <w:right w:val="none" w:sz="0" w:space="0" w:color="auto"/>
      </w:divBdr>
    </w:div>
    <w:div w:id="664865703">
      <w:bodyDiv w:val="1"/>
      <w:marLeft w:val="0"/>
      <w:marRight w:val="0"/>
      <w:marTop w:val="0"/>
      <w:marBottom w:val="0"/>
      <w:divBdr>
        <w:top w:val="none" w:sz="0" w:space="0" w:color="auto"/>
        <w:left w:val="none" w:sz="0" w:space="0" w:color="auto"/>
        <w:bottom w:val="none" w:sz="0" w:space="0" w:color="auto"/>
        <w:right w:val="none" w:sz="0" w:space="0" w:color="auto"/>
      </w:divBdr>
    </w:div>
    <w:div w:id="665935450">
      <w:bodyDiv w:val="1"/>
      <w:marLeft w:val="0"/>
      <w:marRight w:val="0"/>
      <w:marTop w:val="0"/>
      <w:marBottom w:val="0"/>
      <w:divBdr>
        <w:top w:val="none" w:sz="0" w:space="0" w:color="auto"/>
        <w:left w:val="none" w:sz="0" w:space="0" w:color="auto"/>
        <w:bottom w:val="none" w:sz="0" w:space="0" w:color="auto"/>
        <w:right w:val="none" w:sz="0" w:space="0" w:color="auto"/>
      </w:divBdr>
    </w:div>
    <w:div w:id="666247729">
      <w:bodyDiv w:val="1"/>
      <w:marLeft w:val="0"/>
      <w:marRight w:val="0"/>
      <w:marTop w:val="0"/>
      <w:marBottom w:val="0"/>
      <w:divBdr>
        <w:top w:val="none" w:sz="0" w:space="0" w:color="auto"/>
        <w:left w:val="none" w:sz="0" w:space="0" w:color="auto"/>
        <w:bottom w:val="none" w:sz="0" w:space="0" w:color="auto"/>
        <w:right w:val="none" w:sz="0" w:space="0" w:color="auto"/>
      </w:divBdr>
    </w:div>
    <w:div w:id="666707497">
      <w:bodyDiv w:val="1"/>
      <w:marLeft w:val="0"/>
      <w:marRight w:val="0"/>
      <w:marTop w:val="0"/>
      <w:marBottom w:val="0"/>
      <w:divBdr>
        <w:top w:val="none" w:sz="0" w:space="0" w:color="auto"/>
        <w:left w:val="none" w:sz="0" w:space="0" w:color="auto"/>
        <w:bottom w:val="none" w:sz="0" w:space="0" w:color="auto"/>
        <w:right w:val="none" w:sz="0" w:space="0" w:color="auto"/>
      </w:divBdr>
      <w:divsChild>
        <w:div w:id="284851643">
          <w:marLeft w:val="0"/>
          <w:marRight w:val="0"/>
          <w:marTop w:val="0"/>
          <w:marBottom w:val="0"/>
          <w:divBdr>
            <w:top w:val="none" w:sz="0" w:space="0" w:color="auto"/>
            <w:left w:val="none" w:sz="0" w:space="0" w:color="auto"/>
            <w:bottom w:val="none" w:sz="0" w:space="0" w:color="auto"/>
            <w:right w:val="none" w:sz="0" w:space="0" w:color="auto"/>
          </w:divBdr>
          <w:divsChild>
            <w:div w:id="1025206573">
              <w:marLeft w:val="0"/>
              <w:marRight w:val="0"/>
              <w:marTop w:val="0"/>
              <w:marBottom w:val="0"/>
              <w:divBdr>
                <w:top w:val="none" w:sz="0" w:space="0" w:color="auto"/>
                <w:left w:val="none" w:sz="0" w:space="0" w:color="auto"/>
                <w:bottom w:val="none" w:sz="0" w:space="0" w:color="auto"/>
                <w:right w:val="none" w:sz="0" w:space="0" w:color="auto"/>
              </w:divBdr>
              <w:divsChild>
                <w:div w:id="2131049247">
                  <w:marLeft w:val="0"/>
                  <w:marRight w:val="0"/>
                  <w:marTop w:val="0"/>
                  <w:marBottom w:val="0"/>
                  <w:divBdr>
                    <w:top w:val="none" w:sz="0" w:space="0" w:color="auto"/>
                    <w:left w:val="none" w:sz="0" w:space="0" w:color="auto"/>
                    <w:bottom w:val="none" w:sz="0" w:space="0" w:color="auto"/>
                    <w:right w:val="none" w:sz="0" w:space="0" w:color="auto"/>
                  </w:divBdr>
                  <w:divsChild>
                    <w:div w:id="6066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789899">
      <w:bodyDiv w:val="1"/>
      <w:marLeft w:val="0"/>
      <w:marRight w:val="0"/>
      <w:marTop w:val="0"/>
      <w:marBottom w:val="0"/>
      <w:divBdr>
        <w:top w:val="none" w:sz="0" w:space="0" w:color="auto"/>
        <w:left w:val="none" w:sz="0" w:space="0" w:color="auto"/>
        <w:bottom w:val="none" w:sz="0" w:space="0" w:color="auto"/>
        <w:right w:val="none" w:sz="0" w:space="0" w:color="auto"/>
      </w:divBdr>
    </w:div>
    <w:div w:id="667100900">
      <w:bodyDiv w:val="1"/>
      <w:marLeft w:val="0"/>
      <w:marRight w:val="0"/>
      <w:marTop w:val="0"/>
      <w:marBottom w:val="0"/>
      <w:divBdr>
        <w:top w:val="none" w:sz="0" w:space="0" w:color="auto"/>
        <w:left w:val="none" w:sz="0" w:space="0" w:color="auto"/>
        <w:bottom w:val="none" w:sz="0" w:space="0" w:color="auto"/>
        <w:right w:val="none" w:sz="0" w:space="0" w:color="auto"/>
      </w:divBdr>
      <w:divsChild>
        <w:div w:id="1887183512">
          <w:marLeft w:val="0"/>
          <w:marRight w:val="0"/>
          <w:marTop w:val="0"/>
          <w:marBottom w:val="0"/>
          <w:divBdr>
            <w:top w:val="none" w:sz="0" w:space="0" w:color="auto"/>
            <w:left w:val="none" w:sz="0" w:space="0" w:color="auto"/>
            <w:bottom w:val="none" w:sz="0" w:space="0" w:color="auto"/>
            <w:right w:val="none" w:sz="0" w:space="0" w:color="auto"/>
          </w:divBdr>
          <w:divsChild>
            <w:div w:id="1980961733">
              <w:marLeft w:val="0"/>
              <w:marRight w:val="0"/>
              <w:marTop w:val="0"/>
              <w:marBottom w:val="0"/>
              <w:divBdr>
                <w:top w:val="none" w:sz="0" w:space="0" w:color="auto"/>
                <w:left w:val="none" w:sz="0" w:space="0" w:color="auto"/>
                <w:bottom w:val="none" w:sz="0" w:space="0" w:color="auto"/>
                <w:right w:val="none" w:sz="0" w:space="0" w:color="auto"/>
              </w:divBdr>
              <w:divsChild>
                <w:div w:id="881985389">
                  <w:marLeft w:val="0"/>
                  <w:marRight w:val="0"/>
                  <w:marTop w:val="0"/>
                  <w:marBottom w:val="0"/>
                  <w:divBdr>
                    <w:top w:val="none" w:sz="0" w:space="0" w:color="auto"/>
                    <w:left w:val="none" w:sz="0" w:space="0" w:color="auto"/>
                    <w:bottom w:val="none" w:sz="0" w:space="0" w:color="auto"/>
                    <w:right w:val="none" w:sz="0" w:space="0" w:color="auto"/>
                  </w:divBdr>
                  <w:divsChild>
                    <w:div w:id="19890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251666">
      <w:bodyDiv w:val="1"/>
      <w:marLeft w:val="0"/>
      <w:marRight w:val="0"/>
      <w:marTop w:val="0"/>
      <w:marBottom w:val="0"/>
      <w:divBdr>
        <w:top w:val="none" w:sz="0" w:space="0" w:color="auto"/>
        <w:left w:val="none" w:sz="0" w:space="0" w:color="auto"/>
        <w:bottom w:val="none" w:sz="0" w:space="0" w:color="auto"/>
        <w:right w:val="none" w:sz="0" w:space="0" w:color="auto"/>
      </w:divBdr>
    </w:div>
    <w:div w:id="668338195">
      <w:bodyDiv w:val="1"/>
      <w:marLeft w:val="0"/>
      <w:marRight w:val="0"/>
      <w:marTop w:val="0"/>
      <w:marBottom w:val="0"/>
      <w:divBdr>
        <w:top w:val="none" w:sz="0" w:space="0" w:color="auto"/>
        <w:left w:val="none" w:sz="0" w:space="0" w:color="auto"/>
        <w:bottom w:val="none" w:sz="0" w:space="0" w:color="auto"/>
        <w:right w:val="none" w:sz="0" w:space="0" w:color="auto"/>
      </w:divBdr>
      <w:divsChild>
        <w:div w:id="390471793">
          <w:marLeft w:val="0"/>
          <w:marRight w:val="0"/>
          <w:marTop w:val="0"/>
          <w:marBottom w:val="0"/>
          <w:divBdr>
            <w:top w:val="none" w:sz="0" w:space="0" w:color="auto"/>
            <w:left w:val="none" w:sz="0" w:space="0" w:color="auto"/>
            <w:bottom w:val="none" w:sz="0" w:space="0" w:color="auto"/>
            <w:right w:val="none" w:sz="0" w:space="0" w:color="auto"/>
          </w:divBdr>
          <w:divsChild>
            <w:div w:id="1418864536">
              <w:marLeft w:val="0"/>
              <w:marRight w:val="0"/>
              <w:marTop w:val="0"/>
              <w:marBottom w:val="0"/>
              <w:divBdr>
                <w:top w:val="none" w:sz="0" w:space="0" w:color="auto"/>
                <w:left w:val="none" w:sz="0" w:space="0" w:color="auto"/>
                <w:bottom w:val="none" w:sz="0" w:space="0" w:color="auto"/>
                <w:right w:val="none" w:sz="0" w:space="0" w:color="auto"/>
              </w:divBdr>
              <w:divsChild>
                <w:div w:id="308050865">
                  <w:marLeft w:val="0"/>
                  <w:marRight w:val="0"/>
                  <w:marTop w:val="0"/>
                  <w:marBottom w:val="0"/>
                  <w:divBdr>
                    <w:top w:val="none" w:sz="0" w:space="0" w:color="auto"/>
                    <w:left w:val="none" w:sz="0" w:space="0" w:color="auto"/>
                    <w:bottom w:val="none" w:sz="0" w:space="0" w:color="auto"/>
                    <w:right w:val="none" w:sz="0" w:space="0" w:color="auto"/>
                  </w:divBdr>
                  <w:divsChild>
                    <w:div w:id="2670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564448">
      <w:bodyDiv w:val="1"/>
      <w:marLeft w:val="0"/>
      <w:marRight w:val="0"/>
      <w:marTop w:val="0"/>
      <w:marBottom w:val="0"/>
      <w:divBdr>
        <w:top w:val="none" w:sz="0" w:space="0" w:color="auto"/>
        <w:left w:val="none" w:sz="0" w:space="0" w:color="auto"/>
        <w:bottom w:val="none" w:sz="0" w:space="0" w:color="auto"/>
        <w:right w:val="none" w:sz="0" w:space="0" w:color="auto"/>
      </w:divBdr>
    </w:div>
    <w:div w:id="669066324">
      <w:bodyDiv w:val="1"/>
      <w:marLeft w:val="0"/>
      <w:marRight w:val="0"/>
      <w:marTop w:val="0"/>
      <w:marBottom w:val="0"/>
      <w:divBdr>
        <w:top w:val="none" w:sz="0" w:space="0" w:color="auto"/>
        <w:left w:val="none" w:sz="0" w:space="0" w:color="auto"/>
        <w:bottom w:val="none" w:sz="0" w:space="0" w:color="auto"/>
        <w:right w:val="none" w:sz="0" w:space="0" w:color="auto"/>
      </w:divBdr>
    </w:div>
    <w:div w:id="669450683">
      <w:bodyDiv w:val="1"/>
      <w:marLeft w:val="0"/>
      <w:marRight w:val="0"/>
      <w:marTop w:val="0"/>
      <w:marBottom w:val="0"/>
      <w:divBdr>
        <w:top w:val="none" w:sz="0" w:space="0" w:color="auto"/>
        <w:left w:val="none" w:sz="0" w:space="0" w:color="auto"/>
        <w:bottom w:val="none" w:sz="0" w:space="0" w:color="auto"/>
        <w:right w:val="none" w:sz="0" w:space="0" w:color="auto"/>
      </w:divBdr>
      <w:divsChild>
        <w:div w:id="2028022194">
          <w:marLeft w:val="0"/>
          <w:marRight w:val="0"/>
          <w:marTop w:val="0"/>
          <w:marBottom w:val="0"/>
          <w:divBdr>
            <w:top w:val="none" w:sz="0" w:space="0" w:color="auto"/>
            <w:left w:val="none" w:sz="0" w:space="0" w:color="auto"/>
            <w:bottom w:val="none" w:sz="0" w:space="0" w:color="auto"/>
            <w:right w:val="none" w:sz="0" w:space="0" w:color="auto"/>
          </w:divBdr>
          <w:divsChild>
            <w:div w:id="2073967023">
              <w:marLeft w:val="0"/>
              <w:marRight w:val="0"/>
              <w:marTop w:val="0"/>
              <w:marBottom w:val="0"/>
              <w:divBdr>
                <w:top w:val="none" w:sz="0" w:space="0" w:color="auto"/>
                <w:left w:val="none" w:sz="0" w:space="0" w:color="auto"/>
                <w:bottom w:val="none" w:sz="0" w:space="0" w:color="auto"/>
                <w:right w:val="none" w:sz="0" w:space="0" w:color="auto"/>
              </w:divBdr>
              <w:divsChild>
                <w:div w:id="108619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605828">
      <w:bodyDiv w:val="1"/>
      <w:marLeft w:val="0"/>
      <w:marRight w:val="0"/>
      <w:marTop w:val="0"/>
      <w:marBottom w:val="0"/>
      <w:divBdr>
        <w:top w:val="none" w:sz="0" w:space="0" w:color="auto"/>
        <w:left w:val="none" w:sz="0" w:space="0" w:color="auto"/>
        <w:bottom w:val="none" w:sz="0" w:space="0" w:color="auto"/>
        <w:right w:val="none" w:sz="0" w:space="0" w:color="auto"/>
      </w:divBdr>
      <w:divsChild>
        <w:div w:id="298847961">
          <w:marLeft w:val="0"/>
          <w:marRight w:val="0"/>
          <w:marTop w:val="0"/>
          <w:marBottom w:val="0"/>
          <w:divBdr>
            <w:top w:val="none" w:sz="0" w:space="0" w:color="auto"/>
            <w:left w:val="none" w:sz="0" w:space="0" w:color="auto"/>
            <w:bottom w:val="none" w:sz="0" w:space="0" w:color="auto"/>
            <w:right w:val="none" w:sz="0" w:space="0" w:color="auto"/>
          </w:divBdr>
          <w:divsChild>
            <w:div w:id="165485554">
              <w:marLeft w:val="0"/>
              <w:marRight w:val="0"/>
              <w:marTop w:val="0"/>
              <w:marBottom w:val="0"/>
              <w:divBdr>
                <w:top w:val="none" w:sz="0" w:space="0" w:color="auto"/>
                <w:left w:val="none" w:sz="0" w:space="0" w:color="auto"/>
                <w:bottom w:val="none" w:sz="0" w:space="0" w:color="auto"/>
                <w:right w:val="none" w:sz="0" w:space="0" w:color="auto"/>
              </w:divBdr>
              <w:divsChild>
                <w:div w:id="753667273">
                  <w:marLeft w:val="0"/>
                  <w:marRight w:val="0"/>
                  <w:marTop w:val="0"/>
                  <w:marBottom w:val="0"/>
                  <w:divBdr>
                    <w:top w:val="none" w:sz="0" w:space="0" w:color="auto"/>
                    <w:left w:val="none" w:sz="0" w:space="0" w:color="auto"/>
                    <w:bottom w:val="none" w:sz="0" w:space="0" w:color="auto"/>
                    <w:right w:val="none" w:sz="0" w:space="0" w:color="auto"/>
                  </w:divBdr>
                  <w:divsChild>
                    <w:div w:id="18852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62411">
      <w:bodyDiv w:val="1"/>
      <w:marLeft w:val="0"/>
      <w:marRight w:val="0"/>
      <w:marTop w:val="0"/>
      <w:marBottom w:val="0"/>
      <w:divBdr>
        <w:top w:val="none" w:sz="0" w:space="0" w:color="auto"/>
        <w:left w:val="none" w:sz="0" w:space="0" w:color="auto"/>
        <w:bottom w:val="none" w:sz="0" w:space="0" w:color="auto"/>
        <w:right w:val="none" w:sz="0" w:space="0" w:color="auto"/>
      </w:divBdr>
    </w:div>
    <w:div w:id="671446332">
      <w:bodyDiv w:val="1"/>
      <w:marLeft w:val="0"/>
      <w:marRight w:val="0"/>
      <w:marTop w:val="0"/>
      <w:marBottom w:val="0"/>
      <w:divBdr>
        <w:top w:val="none" w:sz="0" w:space="0" w:color="auto"/>
        <w:left w:val="none" w:sz="0" w:space="0" w:color="auto"/>
        <w:bottom w:val="none" w:sz="0" w:space="0" w:color="auto"/>
        <w:right w:val="none" w:sz="0" w:space="0" w:color="auto"/>
      </w:divBdr>
    </w:div>
    <w:div w:id="672027667">
      <w:bodyDiv w:val="1"/>
      <w:marLeft w:val="0"/>
      <w:marRight w:val="0"/>
      <w:marTop w:val="0"/>
      <w:marBottom w:val="0"/>
      <w:divBdr>
        <w:top w:val="none" w:sz="0" w:space="0" w:color="auto"/>
        <w:left w:val="none" w:sz="0" w:space="0" w:color="auto"/>
        <w:bottom w:val="none" w:sz="0" w:space="0" w:color="auto"/>
        <w:right w:val="none" w:sz="0" w:space="0" w:color="auto"/>
      </w:divBdr>
    </w:div>
    <w:div w:id="672218795">
      <w:bodyDiv w:val="1"/>
      <w:marLeft w:val="0"/>
      <w:marRight w:val="0"/>
      <w:marTop w:val="0"/>
      <w:marBottom w:val="0"/>
      <w:divBdr>
        <w:top w:val="none" w:sz="0" w:space="0" w:color="auto"/>
        <w:left w:val="none" w:sz="0" w:space="0" w:color="auto"/>
        <w:bottom w:val="none" w:sz="0" w:space="0" w:color="auto"/>
        <w:right w:val="none" w:sz="0" w:space="0" w:color="auto"/>
      </w:divBdr>
      <w:divsChild>
        <w:div w:id="1902670797">
          <w:marLeft w:val="0"/>
          <w:marRight w:val="0"/>
          <w:marTop w:val="0"/>
          <w:marBottom w:val="0"/>
          <w:divBdr>
            <w:top w:val="none" w:sz="0" w:space="0" w:color="auto"/>
            <w:left w:val="none" w:sz="0" w:space="0" w:color="auto"/>
            <w:bottom w:val="none" w:sz="0" w:space="0" w:color="auto"/>
            <w:right w:val="none" w:sz="0" w:space="0" w:color="auto"/>
          </w:divBdr>
          <w:divsChild>
            <w:div w:id="1239487352">
              <w:marLeft w:val="0"/>
              <w:marRight w:val="0"/>
              <w:marTop w:val="0"/>
              <w:marBottom w:val="0"/>
              <w:divBdr>
                <w:top w:val="none" w:sz="0" w:space="0" w:color="auto"/>
                <w:left w:val="none" w:sz="0" w:space="0" w:color="auto"/>
                <w:bottom w:val="none" w:sz="0" w:space="0" w:color="auto"/>
                <w:right w:val="none" w:sz="0" w:space="0" w:color="auto"/>
              </w:divBdr>
              <w:divsChild>
                <w:div w:id="1320385306">
                  <w:marLeft w:val="0"/>
                  <w:marRight w:val="0"/>
                  <w:marTop w:val="0"/>
                  <w:marBottom w:val="0"/>
                  <w:divBdr>
                    <w:top w:val="none" w:sz="0" w:space="0" w:color="auto"/>
                    <w:left w:val="none" w:sz="0" w:space="0" w:color="auto"/>
                    <w:bottom w:val="none" w:sz="0" w:space="0" w:color="auto"/>
                    <w:right w:val="none" w:sz="0" w:space="0" w:color="auto"/>
                  </w:divBdr>
                  <w:divsChild>
                    <w:div w:id="13208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414306">
      <w:bodyDiv w:val="1"/>
      <w:marLeft w:val="0"/>
      <w:marRight w:val="0"/>
      <w:marTop w:val="0"/>
      <w:marBottom w:val="0"/>
      <w:divBdr>
        <w:top w:val="none" w:sz="0" w:space="0" w:color="auto"/>
        <w:left w:val="none" w:sz="0" w:space="0" w:color="auto"/>
        <w:bottom w:val="none" w:sz="0" w:space="0" w:color="auto"/>
        <w:right w:val="none" w:sz="0" w:space="0" w:color="auto"/>
      </w:divBdr>
    </w:div>
    <w:div w:id="672875341">
      <w:bodyDiv w:val="1"/>
      <w:marLeft w:val="0"/>
      <w:marRight w:val="0"/>
      <w:marTop w:val="0"/>
      <w:marBottom w:val="0"/>
      <w:divBdr>
        <w:top w:val="none" w:sz="0" w:space="0" w:color="auto"/>
        <w:left w:val="none" w:sz="0" w:space="0" w:color="auto"/>
        <w:bottom w:val="none" w:sz="0" w:space="0" w:color="auto"/>
        <w:right w:val="none" w:sz="0" w:space="0" w:color="auto"/>
      </w:divBdr>
      <w:divsChild>
        <w:div w:id="165021841">
          <w:marLeft w:val="0"/>
          <w:marRight w:val="0"/>
          <w:marTop w:val="0"/>
          <w:marBottom w:val="0"/>
          <w:divBdr>
            <w:top w:val="none" w:sz="0" w:space="0" w:color="auto"/>
            <w:left w:val="none" w:sz="0" w:space="0" w:color="auto"/>
            <w:bottom w:val="none" w:sz="0" w:space="0" w:color="auto"/>
            <w:right w:val="none" w:sz="0" w:space="0" w:color="auto"/>
          </w:divBdr>
          <w:divsChild>
            <w:div w:id="1595899079">
              <w:marLeft w:val="0"/>
              <w:marRight w:val="0"/>
              <w:marTop w:val="0"/>
              <w:marBottom w:val="0"/>
              <w:divBdr>
                <w:top w:val="none" w:sz="0" w:space="0" w:color="auto"/>
                <w:left w:val="none" w:sz="0" w:space="0" w:color="auto"/>
                <w:bottom w:val="none" w:sz="0" w:space="0" w:color="auto"/>
                <w:right w:val="none" w:sz="0" w:space="0" w:color="auto"/>
              </w:divBdr>
              <w:divsChild>
                <w:div w:id="180945502">
                  <w:marLeft w:val="0"/>
                  <w:marRight w:val="0"/>
                  <w:marTop w:val="0"/>
                  <w:marBottom w:val="0"/>
                  <w:divBdr>
                    <w:top w:val="none" w:sz="0" w:space="0" w:color="auto"/>
                    <w:left w:val="none" w:sz="0" w:space="0" w:color="auto"/>
                    <w:bottom w:val="none" w:sz="0" w:space="0" w:color="auto"/>
                    <w:right w:val="none" w:sz="0" w:space="0" w:color="auto"/>
                  </w:divBdr>
                  <w:divsChild>
                    <w:div w:id="128832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661">
      <w:bodyDiv w:val="1"/>
      <w:marLeft w:val="0"/>
      <w:marRight w:val="0"/>
      <w:marTop w:val="0"/>
      <w:marBottom w:val="0"/>
      <w:divBdr>
        <w:top w:val="none" w:sz="0" w:space="0" w:color="auto"/>
        <w:left w:val="none" w:sz="0" w:space="0" w:color="auto"/>
        <w:bottom w:val="none" w:sz="0" w:space="0" w:color="auto"/>
        <w:right w:val="none" w:sz="0" w:space="0" w:color="auto"/>
      </w:divBdr>
      <w:divsChild>
        <w:div w:id="991370740">
          <w:marLeft w:val="0"/>
          <w:marRight w:val="0"/>
          <w:marTop w:val="0"/>
          <w:marBottom w:val="0"/>
          <w:divBdr>
            <w:top w:val="none" w:sz="0" w:space="0" w:color="auto"/>
            <w:left w:val="none" w:sz="0" w:space="0" w:color="auto"/>
            <w:bottom w:val="none" w:sz="0" w:space="0" w:color="auto"/>
            <w:right w:val="none" w:sz="0" w:space="0" w:color="auto"/>
          </w:divBdr>
          <w:divsChild>
            <w:div w:id="43483023">
              <w:marLeft w:val="0"/>
              <w:marRight w:val="0"/>
              <w:marTop w:val="0"/>
              <w:marBottom w:val="0"/>
              <w:divBdr>
                <w:top w:val="none" w:sz="0" w:space="0" w:color="auto"/>
                <w:left w:val="none" w:sz="0" w:space="0" w:color="auto"/>
                <w:bottom w:val="none" w:sz="0" w:space="0" w:color="auto"/>
                <w:right w:val="none" w:sz="0" w:space="0" w:color="auto"/>
              </w:divBdr>
              <w:divsChild>
                <w:div w:id="2120102472">
                  <w:marLeft w:val="0"/>
                  <w:marRight w:val="0"/>
                  <w:marTop w:val="0"/>
                  <w:marBottom w:val="0"/>
                  <w:divBdr>
                    <w:top w:val="none" w:sz="0" w:space="0" w:color="auto"/>
                    <w:left w:val="none" w:sz="0" w:space="0" w:color="auto"/>
                    <w:bottom w:val="none" w:sz="0" w:space="0" w:color="auto"/>
                    <w:right w:val="none" w:sz="0" w:space="0" w:color="auto"/>
                  </w:divBdr>
                  <w:divsChild>
                    <w:div w:id="153723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692022">
      <w:bodyDiv w:val="1"/>
      <w:marLeft w:val="0"/>
      <w:marRight w:val="0"/>
      <w:marTop w:val="0"/>
      <w:marBottom w:val="0"/>
      <w:divBdr>
        <w:top w:val="none" w:sz="0" w:space="0" w:color="auto"/>
        <w:left w:val="none" w:sz="0" w:space="0" w:color="auto"/>
        <w:bottom w:val="none" w:sz="0" w:space="0" w:color="auto"/>
        <w:right w:val="none" w:sz="0" w:space="0" w:color="auto"/>
      </w:divBdr>
      <w:divsChild>
        <w:div w:id="8609">
          <w:marLeft w:val="0"/>
          <w:marRight w:val="0"/>
          <w:marTop w:val="0"/>
          <w:marBottom w:val="0"/>
          <w:divBdr>
            <w:top w:val="none" w:sz="0" w:space="0" w:color="auto"/>
            <w:left w:val="none" w:sz="0" w:space="0" w:color="auto"/>
            <w:bottom w:val="none" w:sz="0" w:space="0" w:color="auto"/>
            <w:right w:val="none" w:sz="0" w:space="0" w:color="auto"/>
          </w:divBdr>
          <w:divsChild>
            <w:div w:id="400837784">
              <w:marLeft w:val="0"/>
              <w:marRight w:val="0"/>
              <w:marTop w:val="0"/>
              <w:marBottom w:val="0"/>
              <w:divBdr>
                <w:top w:val="none" w:sz="0" w:space="0" w:color="auto"/>
                <w:left w:val="none" w:sz="0" w:space="0" w:color="auto"/>
                <w:bottom w:val="none" w:sz="0" w:space="0" w:color="auto"/>
                <w:right w:val="none" w:sz="0" w:space="0" w:color="auto"/>
              </w:divBdr>
              <w:divsChild>
                <w:div w:id="1441026721">
                  <w:marLeft w:val="0"/>
                  <w:marRight w:val="0"/>
                  <w:marTop w:val="0"/>
                  <w:marBottom w:val="0"/>
                  <w:divBdr>
                    <w:top w:val="none" w:sz="0" w:space="0" w:color="auto"/>
                    <w:left w:val="none" w:sz="0" w:space="0" w:color="auto"/>
                    <w:bottom w:val="none" w:sz="0" w:space="0" w:color="auto"/>
                    <w:right w:val="none" w:sz="0" w:space="0" w:color="auto"/>
                  </w:divBdr>
                  <w:divsChild>
                    <w:div w:id="6946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005041">
      <w:bodyDiv w:val="1"/>
      <w:marLeft w:val="0"/>
      <w:marRight w:val="0"/>
      <w:marTop w:val="0"/>
      <w:marBottom w:val="0"/>
      <w:divBdr>
        <w:top w:val="none" w:sz="0" w:space="0" w:color="auto"/>
        <w:left w:val="none" w:sz="0" w:space="0" w:color="auto"/>
        <w:bottom w:val="none" w:sz="0" w:space="0" w:color="auto"/>
        <w:right w:val="none" w:sz="0" w:space="0" w:color="auto"/>
      </w:divBdr>
      <w:divsChild>
        <w:div w:id="1326013637">
          <w:marLeft w:val="0"/>
          <w:marRight w:val="0"/>
          <w:marTop w:val="0"/>
          <w:marBottom w:val="0"/>
          <w:divBdr>
            <w:top w:val="none" w:sz="0" w:space="0" w:color="auto"/>
            <w:left w:val="none" w:sz="0" w:space="0" w:color="auto"/>
            <w:bottom w:val="none" w:sz="0" w:space="0" w:color="auto"/>
            <w:right w:val="none" w:sz="0" w:space="0" w:color="auto"/>
          </w:divBdr>
          <w:divsChild>
            <w:div w:id="1671443448">
              <w:marLeft w:val="0"/>
              <w:marRight w:val="0"/>
              <w:marTop w:val="0"/>
              <w:marBottom w:val="0"/>
              <w:divBdr>
                <w:top w:val="none" w:sz="0" w:space="0" w:color="auto"/>
                <w:left w:val="none" w:sz="0" w:space="0" w:color="auto"/>
                <w:bottom w:val="none" w:sz="0" w:space="0" w:color="auto"/>
                <w:right w:val="none" w:sz="0" w:space="0" w:color="auto"/>
              </w:divBdr>
              <w:divsChild>
                <w:div w:id="1847282692">
                  <w:marLeft w:val="0"/>
                  <w:marRight w:val="0"/>
                  <w:marTop w:val="0"/>
                  <w:marBottom w:val="0"/>
                  <w:divBdr>
                    <w:top w:val="none" w:sz="0" w:space="0" w:color="auto"/>
                    <w:left w:val="none" w:sz="0" w:space="0" w:color="auto"/>
                    <w:bottom w:val="none" w:sz="0" w:space="0" w:color="auto"/>
                    <w:right w:val="none" w:sz="0" w:space="0" w:color="auto"/>
                  </w:divBdr>
                  <w:divsChild>
                    <w:div w:id="37940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925042">
      <w:bodyDiv w:val="1"/>
      <w:marLeft w:val="0"/>
      <w:marRight w:val="0"/>
      <w:marTop w:val="0"/>
      <w:marBottom w:val="0"/>
      <w:divBdr>
        <w:top w:val="none" w:sz="0" w:space="0" w:color="auto"/>
        <w:left w:val="none" w:sz="0" w:space="0" w:color="auto"/>
        <w:bottom w:val="none" w:sz="0" w:space="0" w:color="auto"/>
        <w:right w:val="none" w:sz="0" w:space="0" w:color="auto"/>
      </w:divBdr>
    </w:div>
    <w:div w:id="677197194">
      <w:bodyDiv w:val="1"/>
      <w:marLeft w:val="0"/>
      <w:marRight w:val="0"/>
      <w:marTop w:val="0"/>
      <w:marBottom w:val="0"/>
      <w:divBdr>
        <w:top w:val="none" w:sz="0" w:space="0" w:color="auto"/>
        <w:left w:val="none" w:sz="0" w:space="0" w:color="auto"/>
        <w:bottom w:val="none" w:sz="0" w:space="0" w:color="auto"/>
        <w:right w:val="none" w:sz="0" w:space="0" w:color="auto"/>
      </w:divBdr>
    </w:div>
    <w:div w:id="677734484">
      <w:bodyDiv w:val="1"/>
      <w:marLeft w:val="0"/>
      <w:marRight w:val="0"/>
      <w:marTop w:val="0"/>
      <w:marBottom w:val="0"/>
      <w:divBdr>
        <w:top w:val="none" w:sz="0" w:space="0" w:color="auto"/>
        <w:left w:val="none" w:sz="0" w:space="0" w:color="auto"/>
        <w:bottom w:val="none" w:sz="0" w:space="0" w:color="auto"/>
        <w:right w:val="none" w:sz="0" w:space="0" w:color="auto"/>
      </w:divBdr>
    </w:div>
    <w:div w:id="678700403">
      <w:bodyDiv w:val="1"/>
      <w:marLeft w:val="0"/>
      <w:marRight w:val="0"/>
      <w:marTop w:val="0"/>
      <w:marBottom w:val="0"/>
      <w:divBdr>
        <w:top w:val="none" w:sz="0" w:space="0" w:color="auto"/>
        <w:left w:val="none" w:sz="0" w:space="0" w:color="auto"/>
        <w:bottom w:val="none" w:sz="0" w:space="0" w:color="auto"/>
        <w:right w:val="none" w:sz="0" w:space="0" w:color="auto"/>
      </w:divBdr>
    </w:div>
    <w:div w:id="678701525">
      <w:bodyDiv w:val="1"/>
      <w:marLeft w:val="0"/>
      <w:marRight w:val="0"/>
      <w:marTop w:val="0"/>
      <w:marBottom w:val="0"/>
      <w:divBdr>
        <w:top w:val="none" w:sz="0" w:space="0" w:color="auto"/>
        <w:left w:val="none" w:sz="0" w:space="0" w:color="auto"/>
        <w:bottom w:val="none" w:sz="0" w:space="0" w:color="auto"/>
        <w:right w:val="none" w:sz="0" w:space="0" w:color="auto"/>
      </w:divBdr>
    </w:div>
    <w:div w:id="681706284">
      <w:bodyDiv w:val="1"/>
      <w:marLeft w:val="0"/>
      <w:marRight w:val="0"/>
      <w:marTop w:val="0"/>
      <w:marBottom w:val="0"/>
      <w:divBdr>
        <w:top w:val="none" w:sz="0" w:space="0" w:color="auto"/>
        <w:left w:val="none" w:sz="0" w:space="0" w:color="auto"/>
        <w:bottom w:val="none" w:sz="0" w:space="0" w:color="auto"/>
        <w:right w:val="none" w:sz="0" w:space="0" w:color="auto"/>
      </w:divBdr>
    </w:div>
    <w:div w:id="683820328">
      <w:bodyDiv w:val="1"/>
      <w:marLeft w:val="0"/>
      <w:marRight w:val="0"/>
      <w:marTop w:val="0"/>
      <w:marBottom w:val="0"/>
      <w:divBdr>
        <w:top w:val="none" w:sz="0" w:space="0" w:color="auto"/>
        <w:left w:val="none" w:sz="0" w:space="0" w:color="auto"/>
        <w:bottom w:val="none" w:sz="0" w:space="0" w:color="auto"/>
        <w:right w:val="none" w:sz="0" w:space="0" w:color="auto"/>
      </w:divBdr>
    </w:div>
    <w:div w:id="684284075">
      <w:bodyDiv w:val="1"/>
      <w:marLeft w:val="0"/>
      <w:marRight w:val="0"/>
      <w:marTop w:val="0"/>
      <w:marBottom w:val="0"/>
      <w:divBdr>
        <w:top w:val="none" w:sz="0" w:space="0" w:color="auto"/>
        <w:left w:val="none" w:sz="0" w:space="0" w:color="auto"/>
        <w:bottom w:val="none" w:sz="0" w:space="0" w:color="auto"/>
        <w:right w:val="none" w:sz="0" w:space="0" w:color="auto"/>
      </w:divBdr>
    </w:div>
    <w:div w:id="684793242">
      <w:bodyDiv w:val="1"/>
      <w:marLeft w:val="0"/>
      <w:marRight w:val="0"/>
      <w:marTop w:val="0"/>
      <w:marBottom w:val="0"/>
      <w:divBdr>
        <w:top w:val="none" w:sz="0" w:space="0" w:color="auto"/>
        <w:left w:val="none" w:sz="0" w:space="0" w:color="auto"/>
        <w:bottom w:val="none" w:sz="0" w:space="0" w:color="auto"/>
        <w:right w:val="none" w:sz="0" w:space="0" w:color="auto"/>
      </w:divBdr>
      <w:divsChild>
        <w:div w:id="1401169590">
          <w:marLeft w:val="0"/>
          <w:marRight w:val="0"/>
          <w:marTop w:val="0"/>
          <w:marBottom w:val="0"/>
          <w:divBdr>
            <w:top w:val="none" w:sz="0" w:space="0" w:color="auto"/>
            <w:left w:val="none" w:sz="0" w:space="0" w:color="auto"/>
            <w:bottom w:val="none" w:sz="0" w:space="0" w:color="auto"/>
            <w:right w:val="none" w:sz="0" w:space="0" w:color="auto"/>
          </w:divBdr>
          <w:divsChild>
            <w:div w:id="1216161113">
              <w:marLeft w:val="0"/>
              <w:marRight w:val="0"/>
              <w:marTop w:val="0"/>
              <w:marBottom w:val="0"/>
              <w:divBdr>
                <w:top w:val="none" w:sz="0" w:space="0" w:color="auto"/>
                <w:left w:val="none" w:sz="0" w:space="0" w:color="auto"/>
                <w:bottom w:val="none" w:sz="0" w:space="0" w:color="auto"/>
                <w:right w:val="none" w:sz="0" w:space="0" w:color="auto"/>
              </w:divBdr>
              <w:divsChild>
                <w:div w:id="646858819">
                  <w:marLeft w:val="0"/>
                  <w:marRight w:val="0"/>
                  <w:marTop w:val="0"/>
                  <w:marBottom w:val="0"/>
                  <w:divBdr>
                    <w:top w:val="none" w:sz="0" w:space="0" w:color="auto"/>
                    <w:left w:val="none" w:sz="0" w:space="0" w:color="auto"/>
                    <w:bottom w:val="none" w:sz="0" w:space="0" w:color="auto"/>
                    <w:right w:val="none" w:sz="0" w:space="0" w:color="auto"/>
                  </w:divBdr>
                  <w:divsChild>
                    <w:div w:id="16778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221912">
      <w:bodyDiv w:val="1"/>
      <w:marLeft w:val="0"/>
      <w:marRight w:val="0"/>
      <w:marTop w:val="0"/>
      <w:marBottom w:val="0"/>
      <w:divBdr>
        <w:top w:val="none" w:sz="0" w:space="0" w:color="auto"/>
        <w:left w:val="none" w:sz="0" w:space="0" w:color="auto"/>
        <w:bottom w:val="none" w:sz="0" w:space="0" w:color="auto"/>
        <w:right w:val="none" w:sz="0" w:space="0" w:color="auto"/>
      </w:divBdr>
    </w:div>
    <w:div w:id="689256566">
      <w:bodyDiv w:val="1"/>
      <w:marLeft w:val="0"/>
      <w:marRight w:val="0"/>
      <w:marTop w:val="0"/>
      <w:marBottom w:val="0"/>
      <w:divBdr>
        <w:top w:val="none" w:sz="0" w:space="0" w:color="auto"/>
        <w:left w:val="none" w:sz="0" w:space="0" w:color="auto"/>
        <w:bottom w:val="none" w:sz="0" w:space="0" w:color="auto"/>
        <w:right w:val="none" w:sz="0" w:space="0" w:color="auto"/>
      </w:divBdr>
    </w:div>
    <w:div w:id="689338390">
      <w:bodyDiv w:val="1"/>
      <w:marLeft w:val="0"/>
      <w:marRight w:val="0"/>
      <w:marTop w:val="0"/>
      <w:marBottom w:val="0"/>
      <w:divBdr>
        <w:top w:val="none" w:sz="0" w:space="0" w:color="auto"/>
        <w:left w:val="none" w:sz="0" w:space="0" w:color="auto"/>
        <w:bottom w:val="none" w:sz="0" w:space="0" w:color="auto"/>
        <w:right w:val="none" w:sz="0" w:space="0" w:color="auto"/>
      </w:divBdr>
    </w:div>
    <w:div w:id="689533195">
      <w:bodyDiv w:val="1"/>
      <w:marLeft w:val="0"/>
      <w:marRight w:val="0"/>
      <w:marTop w:val="0"/>
      <w:marBottom w:val="0"/>
      <w:divBdr>
        <w:top w:val="none" w:sz="0" w:space="0" w:color="auto"/>
        <w:left w:val="none" w:sz="0" w:space="0" w:color="auto"/>
        <w:bottom w:val="none" w:sz="0" w:space="0" w:color="auto"/>
        <w:right w:val="none" w:sz="0" w:space="0" w:color="auto"/>
      </w:divBdr>
      <w:divsChild>
        <w:div w:id="1220433327">
          <w:marLeft w:val="0"/>
          <w:marRight w:val="0"/>
          <w:marTop w:val="0"/>
          <w:marBottom w:val="0"/>
          <w:divBdr>
            <w:top w:val="none" w:sz="0" w:space="0" w:color="auto"/>
            <w:left w:val="none" w:sz="0" w:space="0" w:color="auto"/>
            <w:bottom w:val="none" w:sz="0" w:space="0" w:color="auto"/>
            <w:right w:val="none" w:sz="0" w:space="0" w:color="auto"/>
          </w:divBdr>
          <w:divsChild>
            <w:div w:id="954602903">
              <w:marLeft w:val="0"/>
              <w:marRight w:val="0"/>
              <w:marTop w:val="0"/>
              <w:marBottom w:val="0"/>
              <w:divBdr>
                <w:top w:val="none" w:sz="0" w:space="0" w:color="auto"/>
                <w:left w:val="none" w:sz="0" w:space="0" w:color="auto"/>
                <w:bottom w:val="none" w:sz="0" w:space="0" w:color="auto"/>
                <w:right w:val="none" w:sz="0" w:space="0" w:color="auto"/>
              </w:divBdr>
              <w:divsChild>
                <w:div w:id="977682628">
                  <w:marLeft w:val="0"/>
                  <w:marRight w:val="0"/>
                  <w:marTop w:val="0"/>
                  <w:marBottom w:val="0"/>
                  <w:divBdr>
                    <w:top w:val="none" w:sz="0" w:space="0" w:color="auto"/>
                    <w:left w:val="none" w:sz="0" w:space="0" w:color="auto"/>
                    <w:bottom w:val="none" w:sz="0" w:space="0" w:color="auto"/>
                    <w:right w:val="none" w:sz="0" w:space="0" w:color="auto"/>
                  </w:divBdr>
                  <w:divsChild>
                    <w:div w:id="49522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840875">
      <w:bodyDiv w:val="1"/>
      <w:marLeft w:val="0"/>
      <w:marRight w:val="0"/>
      <w:marTop w:val="0"/>
      <w:marBottom w:val="0"/>
      <w:divBdr>
        <w:top w:val="none" w:sz="0" w:space="0" w:color="auto"/>
        <w:left w:val="none" w:sz="0" w:space="0" w:color="auto"/>
        <w:bottom w:val="none" w:sz="0" w:space="0" w:color="auto"/>
        <w:right w:val="none" w:sz="0" w:space="0" w:color="auto"/>
      </w:divBdr>
      <w:divsChild>
        <w:div w:id="725836067">
          <w:marLeft w:val="0"/>
          <w:marRight w:val="0"/>
          <w:marTop w:val="0"/>
          <w:marBottom w:val="0"/>
          <w:divBdr>
            <w:top w:val="none" w:sz="0" w:space="0" w:color="auto"/>
            <w:left w:val="none" w:sz="0" w:space="0" w:color="auto"/>
            <w:bottom w:val="none" w:sz="0" w:space="0" w:color="auto"/>
            <w:right w:val="none" w:sz="0" w:space="0" w:color="auto"/>
          </w:divBdr>
          <w:divsChild>
            <w:div w:id="945893907">
              <w:marLeft w:val="0"/>
              <w:marRight w:val="0"/>
              <w:marTop w:val="0"/>
              <w:marBottom w:val="0"/>
              <w:divBdr>
                <w:top w:val="none" w:sz="0" w:space="0" w:color="auto"/>
                <w:left w:val="none" w:sz="0" w:space="0" w:color="auto"/>
                <w:bottom w:val="none" w:sz="0" w:space="0" w:color="auto"/>
                <w:right w:val="none" w:sz="0" w:space="0" w:color="auto"/>
              </w:divBdr>
              <w:divsChild>
                <w:div w:id="1884488215">
                  <w:marLeft w:val="0"/>
                  <w:marRight w:val="0"/>
                  <w:marTop w:val="0"/>
                  <w:marBottom w:val="0"/>
                  <w:divBdr>
                    <w:top w:val="none" w:sz="0" w:space="0" w:color="auto"/>
                    <w:left w:val="none" w:sz="0" w:space="0" w:color="auto"/>
                    <w:bottom w:val="none" w:sz="0" w:space="0" w:color="auto"/>
                    <w:right w:val="none" w:sz="0" w:space="0" w:color="auto"/>
                  </w:divBdr>
                  <w:divsChild>
                    <w:div w:id="136875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914425">
      <w:bodyDiv w:val="1"/>
      <w:marLeft w:val="0"/>
      <w:marRight w:val="0"/>
      <w:marTop w:val="0"/>
      <w:marBottom w:val="0"/>
      <w:divBdr>
        <w:top w:val="none" w:sz="0" w:space="0" w:color="auto"/>
        <w:left w:val="none" w:sz="0" w:space="0" w:color="auto"/>
        <w:bottom w:val="none" w:sz="0" w:space="0" w:color="auto"/>
        <w:right w:val="none" w:sz="0" w:space="0" w:color="auto"/>
      </w:divBdr>
    </w:div>
    <w:div w:id="689918095">
      <w:bodyDiv w:val="1"/>
      <w:marLeft w:val="0"/>
      <w:marRight w:val="0"/>
      <w:marTop w:val="0"/>
      <w:marBottom w:val="0"/>
      <w:divBdr>
        <w:top w:val="none" w:sz="0" w:space="0" w:color="auto"/>
        <w:left w:val="none" w:sz="0" w:space="0" w:color="auto"/>
        <w:bottom w:val="none" w:sz="0" w:space="0" w:color="auto"/>
        <w:right w:val="none" w:sz="0" w:space="0" w:color="auto"/>
      </w:divBdr>
      <w:divsChild>
        <w:div w:id="643655411">
          <w:marLeft w:val="0"/>
          <w:marRight w:val="0"/>
          <w:marTop w:val="0"/>
          <w:marBottom w:val="0"/>
          <w:divBdr>
            <w:top w:val="none" w:sz="0" w:space="0" w:color="auto"/>
            <w:left w:val="none" w:sz="0" w:space="0" w:color="auto"/>
            <w:bottom w:val="none" w:sz="0" w:space="0" w:color="auto"/>
            <w:right w:val="none" w:sz="0" w:space="0" w:color="auto"/>
          </w:divBdr>
        </w:div>
      </w:divsChild>
    </w:div>
    <w:div w:id="690378852">
      <w:bodyDiv w:val="1"/>
      <w:marLeft w:val="0"/>
      <w:marRight w:val="0"/>
      <w:marTop w:val="0"/>
      <w:marBottom w:val="0"/>
      <w:divBdr>
        <w:top w:val="none" w:sz="0" w:space="0" w:color="auto"/>
        <w:left w:val="none" w:sz="0" w:space="0" w:color="auto"/>
        <w:bottom w:val="none" w:sz="0" w:space="0" w:color="auto"/>
        <w:right w:val="none" w:sz="0" w:space="0" w:color="auto"/>
      </w:divBdr>
    </w:div>
    <w:div w:id="691146300">
      <w:bodyDiv w:val="1"/>
      <w:marLeft w:val="0"/>
      <w:marRight w:val="0"/>
      <w:marTop w:val="0"/>
      <w:marBottom w:val="0"/>
      <w:divBdr>
        <w:top w:val="none" w:sz="0" w:space="0" w:color="auto"/>
        <w:left w:val="none" w:sz="0" w:space="0" w:color="auto"/>
        <w:bottom w:val="none" w:sz="0" w:space="0" w:color="auto"/>
        <w:right w:val="none" w:sz="0" w:space="0" w:color="auto"/>
      </w:divBdr>
    </w:div>
    <w:div w:id="691421537">
      <w:bodyDiv w:val="1"/>
      <w:marLeft w:val="0"/>
      <w:marRight w:val="0"/>
      <w:marTop w:val="0"/>
      <w:marBottom w:val="0"/>
      <w:divBdr>
        <w:top w:val="none" w:sz="0" w:space="0" w:color="auto"/>
        <w:left w:val="none" w:sz="0" w:space="0" w:color="auto"/>
        <w:bottom w:val="none" w:sz="0" w:space="0" w:color="auto"/>
        <w:right w:val="none" w:sz="0" w:space="0" w:color="auto"/>
      </w:divBdr>
      <w:divsChild>
        <w:div w:id="1974748146">
          <w:marLeft w:val="0"/>
          <w:marRight w:val="0"/>
          <w:marTop w:val="0"/>
          <w:marBottom w:val="0"/>
          <w:divBdr>
            <w:top w:val="none" w:sz="0" w:space="0" w:color="auto"/>
            <w:left w:val="none" w:sz="0" w:space="0" w:color="auto"/>
            <w:bottom w:val="none" w:sz="0" w:space="0" w:color="auto"/>
            <w:right w:val="none" w:sz="0" w:space="0" w:color="auto"/>
          </w:divBdr>
          <w:divsChild>
            <w:div w:id="1735007817">
              <w:marLeft w:val="0"/>
              <w:marRight w:val="0"/>
              <w:marTop w:val="0"/>
              <w:marBottom w:val="0"/>
              <w:divBdr>
                <w:top w:val="none" w:sz="0" w:space="0" w:color="auto"/>
                <w:left w:val="none" w:sz="0" w:space="0" w:color="auto"/>
                <w:bottom w:val="none" w:sz="0" w:space="0" w:color="auto"/>
                <w:right w:val="none" w:sz="0" w:space="0" w:color="auto"/>
              </w:divBdr>
              <w:divsChild>
                <w:div w:id="140024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98837">
      <w:bodyDiv w:val="1"/>
      <w:marLeft w:val="0"/>
      <w:marRight w:val="0"/>
      <w:marTop w:val="0"/>
      <w:marBottom w:val="0"/>
      <w:divBdr>
        <w:top w:val="none" w:sz="0" w:space="0" w:color="auto"/>
        <w:left w:val="none" w:sz="0" w:space="0" w:color="auto"/>
        <w:bottom w:val="none" w:sz="0" w:space="0" w:color="auto"/>
        <w:right w:val="none" w:sz="0" w:space="0" w:color="auto"/>
      </w:divBdr>
    </w:div>
    <w:div w:id="693388009">
      <w:bodyDiv w:val="1"/>
      <w:marLeft w:val="0"/>
      <w:marRight w:val="0"/>
      <w:marTop w:val="0"/>
      <w:marBottom w:val="0"/>
      <w:divBdr>
        <w:top w:val="none" w:sz="0" w:space="0" w:color="auto"/>
        <w:left w:val="none" w:sz="0" w:space="0" w:color="auto"/>
        <w:bottom w:val="none" w:sz="0" w:space="0" w:color="auto"/>
        <w:right w:val="none" w:sz="0" w:space="0" w:color="auto"/>
      </w:divBdr>
      <w:divsChild>
        <w:div w:id="1506284890">
          <w:marLeft w:val="0"/>
          <w:marRight w:val="0"/>
          <w:marTop w:val="0"/>
          <w:marBottom w:val="0"/>
          <w:divBdr>
            <w:top w:val="none" w:sz="0" w:space="0" w:color="auto"/>
            <w:left w:val="none" w:sz="0" w:space="0" w:color="auto"/>
            <w:bottom w:val="none" w:sz="0" w:space="0" w:color="auto"/>
            <w:right w:val="none" w:sz="0" w:space="0" w:color="auto"/>
          </w:divBdr>
          <w:divsChild>
            <w:div w:id="1355569230">
              <w:marLeft w:val="0"/>
              <w:marRight w:val="0"/>
              <w:marTop w:val="0"/>
              <w:marBottom w:val="0"/>
              <w:divBdr>
                <w:top w:val="none" w:sz="0" w:space="0" w:color="auto"/>
                <w:left w:val="none" w:sz="0" w:space="0" w:color="auto"/>
                <w:bottom w:val="none" w:sz="0" w:space="0" w:color="auto"/>
                <w:right w:val="none" w:sz="0" w:space="0" w:color="auto"/>
              </w:divBdr>
              <w:divsChild>
                <w:div w:id="1137339001">
                  <w:marLeft w:val="0"/>
                  <w:marRight w:val="0"/>
                  <w:marTop w:val="0"/>
                  <w:marBottom w:val="0"/>
                  <w:divBdr>
                    <w:top w:val="none" w:sz="0" w:space="0" w:color="auto"/>
                    <w:left w:val="none" w:sz="0" w:space="0" w:color="auto"/>
                    <w:bottom w:val="none" w:sz="0" w:space="0" w:color="auto"/>
                    <w:right w:val="none" w:sz="0" w:space="0" w:color="auto"/>
                  </w:divBdr>
                  <w:divsChild>
                    <w:div w:id="172124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78960">
      <w:bodyDiv w:val="1"/>
      <w:marLeft w:val="0"/>
      <w:marRight w:val="0"/>
      <w:marTop w:val="0"/>
      <w:marBottom w:val="0"/>
      <w:divBdr>
        <w:top w:val="none" w:sz="0" w:space="0" w:color="auto"/>
        <w:left w:val="none" w:sz="0" w:space="0" w:color="auto"/>
        <w:bottom w:val="none" w:sz="0" w:space="0" w:color="auto"/>
        <w:right w:val="none" w:sz="0" w:space="0" w:color="auto"/>
      </w:divBdr>
    </w:div>
    <w:div w:id="694497902">
      <w:bodyDiv w:val="1"/>
      <w:marLeft w:val="0"/>
      <w:marRight w:val="0"/>
      <w:marTop w:val="0"/>
      <w:marBottom w:val="0"/>
      <w:divBdr>
        <w:top w:val="none" w:sz="0" w:space="0" w:color="auto"/>
        <w:left w:val="none" w:sz="0" w:space="0" w:color="auto"/>
        <w:bottom w:val="none" w:sz="0" w:space="0" w:color="auto"/>
        <w:right w:val="none" w:sz="0" w:space="0" w:color="auto"/>
      </w:divBdr>
    </w:div>
    <w:div w:id="694498437">
      <w:bodyDiv w:val="1"/>
      <w:marLeft w:val="0"/>
      <w:marRight w:val="0"/>
      <w:marTop w:val="0"/>
      <w:marBottom w:val="0"/>
      <w:divBdr>
        <w:top w:val="none" w:sz="0" w:space="0" w:color="auto"/>
        <w:left w:val="none" w:sz="0" w:space="0" w:color="auto"/>
        <w:bottom w:val="none" w:sz="0" w:space="0" w:color="auto"/>
        <w:right w:val="none" w:sz="0" w:space="0" w:color="auto"/>
      </w:divBdr>
    </w:div>
    <w:div w:id="695927457">
      <w:bodyDiv w:val="1"/>
      <w:marLeft w:val="0"/>
      <w:marRight w:val="0"/>
      <w:marTop w:val="0"/>
      <w:marBottom w:val="0"/>
      <w:divBdr>
        <w:top w:val="none" w:sz="0" w:space="0" w:color="auto"/>
        <w:left w:val="none" w:sz="0" w:space="0" w:color="auto"/>
        <w:bottom w:val="none" w:sz="0" w:space="0" w:color="auto"/>
        <w:right w:val="none" w:sz="0" w:space="0" w:color="auto"/>
      </w:divBdr>
    </w:div>
    <w:div w:id="697046850">
      <w:bodyDiv w:val="1"/>
      <w:marLeft w:val="0"/>
      <w:marRight w:val="0"/>
      <w:marTop w:val="0"/>
      <w:marBottom w:val="0"/>
      <w:divBdr>
        <w:top w:val="none" w:sz="0" w:space="0" w:color="auto"/>
        <w:left w:val="none" w:sz="0" w:space="0" w:color="auto"/>
        <w:bottom w:val="none" w:sz="0" w:space="0" w:color="auto"/>
        <w:right w:val="none" w:sz="0" w:space="0" w:color="auto"/>
      </w:divBdr>
      <w:divsChild>
        <w:div w:id="1974407657">
          <w:marLeft w:val="0"/>
          <w:marRight w:val="0"/>
          <w:marTop w:val="0"/>
          <w:marBottom w:val="0"/>
          <w:divBdr>
            <w:top w:val="none" w:sz="0" w:space="0" w:color="auto"/>
            <w:left w:val="none" w:sz="0" w:space="0" w:color="auto"/>
            <w:bottom w:val="none" w:sz="0" w:space="0" w:color="auto"/>
            <w:right w:val="none" w:sz="0" w:space="0" w:color="auto"/>
          </w:divBdr>
          <w:divsChild>
            <w:div w:id="1075936161">
              <w:marLeft w:val="0"/>
              <w:marRight w:val="0"/>
              <w:marTop w:val="0"/>
              <w:marBottom w:val="0"/>
              <w:divBdr>
                <w:top w:val="none" w:sz="0" w:space="0" w:color="auto"/>
                <w:left w:val="none" w:sz="0" w:space="0" w:color="auto"/>
                <w:bottom w:val="none" w:sz="0" w:space="0" w:color="auto"/>
                <w:right w:val="none" w:sz="0" w:space="0" w:color="auto"/>
              </w:divBdr>
              <w:divsChild>
                <w:div w:id="2560877">
                  <w:marLeft w:val="0"/>
                  <w:marRight w:val="0"/>
                  <w:marTop w:val="0"/>
                  <w:marBottom w:val="0"/>
                  <w:divBdr>
                    <w:top w:val="none" w:sz="0" w:space="0" w:color="auto"/>
                    <w:left w:val="none" w:sz="0" w:space="0" w:color="auto"/>
                    <w:bottom w:val="none" w:sz="0" w:space="0" w:color="auto"/>
                    <w:right w:val="none" w:sz="0" w:space="0" w:color="auto"/>
                  </w:divBdr>
                  <w:divsChild>
                    <w:div w:id="65209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697563">
      <w:bodyDiv w:val="1"/>
      <w:marLeft w:val="0"/>
      <w:marRight w:val="0"/>
      <w:marTop w:val="0"/>
      <w:marBottom w:val="0"/>
      <w:divBdr>
        <w:top w:val="none" w:sz="0" w:space="0" w:color="auto"/>
        <w:left w:val="none" w:sz="0" w:space="0" w:color="auto"/>
        <w:bottom w:val="none" w:sz="0" w:space="0" w:color="auto"/>
        <w:right w:val="none" w:sz="0" w:space="0" w:color="auto"/>
      </w:divBdr>
    </w:div>
    <w:div w:id="698774753">
      <w:bodyDiv w:val="1"/>
      <w:marLeft w:val="0"/>
      <w:marRight w:val="0"/>
      <w:marTop w:val="0"/>
      <w:marBottom w:val="0"/>
      <w:divBdr>
        <w:top w:val="none" w:sz="0" w:space="0" w:color="auto"/>
        <w:left w:val="none" w:sz="0" w:space="0" w:color="auto"/>
        <w:bottom w:val="none" w:sz="0" w:space="0" w:color="auto"/>
        <w:right w:val="none" w:sz="0" w:space="0" w:color="auto"/>
      </w:divBdr>
      <w:divsChild>
        <w:div w:id="275648521">
          <w:marLeft w:val="0"/>
          <w:marRight w:val="0"/>
          <w:marTop w:val="0"/>
          <w:marBottom w:val="0"/>
          <w:divBdr>
            <w:top w:val="none" w:sz="0" w:space="0" w:color="auto"/>
            <w:left w:val="none" w:sz="0" w:space="0" w:color="auto"/>
            <w:bottom w:val="none" w:sz="0" w:space="0" w:color="auto"/>
            <w:right w:val="none" w:sz="0" w:space="0" w:color="auto"/>
          </w:divBdr>
          <w:divsChild>
            <w:div w:id="2089961778">
              <w:marLeft w:val="0"/>
              <w:marRight w:val="0"/>
              <w:marTop w:val="0"/>
              <w:marBottom w:val="0"/>
              <w:divBdr>
                <w:top w:val="none" w:sz="0" w:space="0" w:color="auto"/>
                <w:left w:val="none" w:sz="0" w:space="0" w:color="auto"/>
                <w:bottom w:val="none" w:sz="0" w:space="0" w:color="auto"/>
                <w:right w:val="none" w:sz="0" w:space="0" w:color="auto"/>
              </w:divBdr>
              <w:divsChild>
                <w:div w:id="96793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084094">
      <w:bodyDiv w:val="1"/>
      <w:marLeft w:val="0"/>
      <w:marRight w:val="0"/>
      <w:marTop w:val="0"/>
      <w:marBottom w:val="0"/>
      <w:divBdr>
        <w:top w:val="none" w:sz="0" w:space="0" w:color="auto"/>
        <w:left w:val="none" w:sz="0" w:space="0" w:color="auto"/>
        <w:bottom w:val="none" w:sz="0" w:space="0" w:color="auto"/>
        <w:right w:val="none" w:sz="0" w:space="0" w:color="auto"/>
      </w:divBdr>
    </w:div>
    <w:div w:id="699547702">
      <w:bodyDiv w:val="1"/>
      <w:marLeft w:val="0"/>
      <w:marRight w:val="0"/>
      <w:marTop w:val="0"/>
      <w:marBottom w:val="0"/>
      <w:divBdr>
        <w:top w:val="none" w:sz="0" w:space="0" w:color="auto"/>
        <w:left w:val="none" w:sz="0" w:space="0" w:color="auto"/>
        <w:bottom w:val="none" w:sz="0" w:space="0" w:color="auto"/>
        <w:right w:val="none" w:sz="0" w:space="0" w:color="auto"/>
      </w:divBdr>
      <w:divsChild>
        <w:div w:id="1364017051">
          <w:marLeft w:val="0"/>
          <w:marRight w:val="0"/>
          <w:marTop w:val="0"/>
          <w:marBottom w:val="0"/>
          <w:divBdr>
            <w:top w:val="none" w:sz="0" w:space="0" w:color="auto"/>
            <w:left w:val="none" w:sz="0" w:space="0" w:color="auto"/>
            <w:bottom w:val="none" w:sz="0" w:space="0" w:color="auto"/>
            <w:right w:val="none" w:sz="0" w:space="0" w:color="auto"/>
          </w:divBdr>
          <w:divsChild>
            <w:div w:id="1709061039">
              <w:marLeft w:val="0"/>
              <w:marRight w:val="0"/>
              <w:marTop w:val="0"/>
              <w:marBottom w:val="0"/>
              <w:divBdr>
                <w:top w:val="none" w:sz="0" w:space="0" w:color="auto"/>
                <w:left w:val="none" w:sz="0" w:space="0" w:color="auto"/>
                <w:bottom w:val="none" w:sz="0" w:space="0" w:color="auto"/>
                <w:right w:val="none" w:sz="0" w:space="0" w:color="auto"/>
              </w:divBdr>
              <w:divsChild>
                <w:div w:id="1026174368">
                  <w:marLeft w:val="0"/>
                  <w:marRight w:val="0"/>
                  <w:marTop w:val="0"/>
                  <w:marBottom w:val="0"/>
                  <w:divBdr>
                    <w:top w:val="none" w:sz="0" w:space="0" w:color="auto"/>
                    <w:left w:val="none" w:sz="0" w:space="0" w:color="auto"/>
                    <w:bottom w:val="none" w:sz="0" w:space="0" w:color="auto"/>
                    <w:right w:val="none" w:sz="0" w:space="0" w:color="auto"/>
                  </w:divBdr>
                  <w:divsChild>
                    <w:div w:id="201248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8713">
      <w:bodyDiv w:val="1"/>
      <w:marLeft w:val="0"/>
      <w:marRight w:val="0"/>
      <w:marTop w:val="0"/>
      <w:marBottom w:val="0"/>
      <w:divBdr>
        <w:top w:val="none" w:sz="0" w:space="0" w:color="auto"/>
        <w:left w:val="none" w:sz="0" w:space="0" w:color="auto"/>
        <w:bottom w:val="none" w:sz="0" w:space="0" w:color="auto"/>
        <w:right w:val="none" w:sz="0" w:space="0" w:color="auto"/>
      </w:divBdr>
    </w:div>
    <w:div w:id="700743481">
      <w:bodyDiv w:val="1"/>
      <w:marLeft w:val="0"/>
      <w:marRight w:val="0"/>
      <w:marTop w:val="0"/>
      <w:marBottom w:val="0"/>
      <w:divBdr>
        <w:top w:val="none" w:sz="0" w:space="0" w:color="auto"/>
        <w:left w:val="none" w:sz="0" w:space="0" w:color="auto"/>
        <w:bottom w:val="none" w:sz="0" w:space="0" w:color="auto"/>
        <w:right w:val="none" w:sz="0" w:space="0" w:color="auto"/>
      </w:divBdr>
    </w:div>
    <w:div w:id="700861808">
      <w:bodyDiv w:val="1"/>
      <w:marLeft w:val="0"/>
      <w:marRight w:val="0"/>
      <w:marTop w:val="0"/>
      <w:marBottom w:val="0"/>
      <w:divBdr>
        <w:top w:val="none" w:sz="0" w:space="0" w:color="auto"/>
        <w:left w:val="none" w:sz="0" w:space="0" w:color="auto"/>
        <w:bottom w:val="none" w:sz="0" w:space="0" w:color="auto"/>
        <w:right w:val="none" w:sz="0" w:space="0" w:color="auto"/>
      </w:divBdr>
    </w:div>
    <w:div w:id="701595079">
      <w:bodyDiv w:val="1"/>
      <w:marLeft w:val="0"/>
      <w:marRight w:val="0"/>
      <w:marTop w:val="0"/>
      <w:marBottom w:val="0"/>
      <w:divBdr>
        <w:top w:val="none" w:sz="0" w:space="0" w:color="auto"/>
        <w:left w:val="none" w:sz="0" w:space="0" w:color="auto"/>
        <w:bottom w:val="none" w:sz="0" w:space="0" w:color="auto"/>
        <w:right w:val="none" w:sz="0" w:space="0" w:color="auto"/>
      </w:divBdr>
    </w:div>
    <w:div w:id="701974351">
      <w:bodyDiv w:val="1"/>
      <w:marLeft w:val="0"/>
      <w:marRight w:val="0"/>
      <w:marTop w:val="0"/>
      <w:marBottom w:val="0"/>
      <w:divBdr>
        <w:top w:val="none" w:sz="0" w:space="0" w:color="auto"/>
        <w:left w:val="none" w:sz="0" w:space="0" w:color="auto"/>
        <w:bottom w:val="none" w:sz="0" w:space="0" w:color="auto"/>
        <w:right w:val="none" w:sz="0" w:space="0" w:color="auto"/>
      </w:divBdr>
    </w:div>
    <w:div w:id="703211668">
      <w:bodyDiv w:val="1"/>
      <w:marLeft w:val="0"/>
      <w:marRight w:val="0"/>
      <w:marTop w:val="0"/>
      <w:marBottom w:val="0"/>
      <w:divBdr>
        <w:top w:val="none" w:sz="0" w:space="0" w:color="auto"/>
        <w:left w:val="none" w:sz="0" w:space="0" w:color="auto"/>
        <w:bottom w:val="none" w:sz="0" w:space="0" w:color="auto"/>
        <w:right w:val="none" w:sz="0" w:space="0" w:color="auto"/>
      </w:divBdr>
    </w:div>
    <w:div w:id="703291641">
      <w:bodyDiv w:val="1"/>
      <w:marLeft w:val="0"/>
      <w:marRight w:val="0"/>
      <w:marTop w:val="0"/>
      <w:marBottom w:val="0"/>
      <w:divBdr>
        <w:top w:val="none" w:sz="0" w:space="0" w:color="auto"/>
        <w:left w:val="none" w:sz="0" w:space="0" w:color="auto"/>
        <w:bottom w:val="none" w:sz="0" w:space="0" w:color="auto"/>
        <w:right w:val="none" w:sz="0" w:space="0" w:color="auto"/>
      </w:divBdr>
      <w:divsChild>
        <w:div w:id="878008084">
          <w:marLeft w:val="0"/>
          <w:marRight w:val="0"/>
          <w:marTop w:val="0"/>
          <w:marBottom w:val="0"/>
          <w:divBdr>
            <w:top w:val="none" w:sz="0" w:space="0" w:color="auto"/>
            <w:left w:val="none" w:sz="0" w:space="0" w:color="auto"/>
            <w:bottom w:val="none" w:sz="0" w:space="0" w:color="auto"/>
            <w:right w:val="none" w:sz="0" w:space="0" w:color="auto"/>
          </w:divBdr>
          <w:divsChild>
            <w:div w:id="1641109828">
              <w:marLeft w:val="0"/>
              <w:marRight w:val="0"/>
              <w:marTop w:val="0"/>
              <w:marBottom w:val="0"/>
              <w:divBdr>
                <w:top w:val="none" w:sz="0" w:space="0" w:color="auto"/>
                <w:left w:val="none" w:sz="0" w:space="0" w:color="auto"/>
                <w:bottom w:val="none" w:sz="0" w:space="0" w:color="auto"/>
                <w:right w:val="none" w:sz="0" w:space="0" w:color="auto"/>
              </w:divBdr>
              <w:divsChild>
                <w:div w:id="1293903008">
                  <w:marLeft w:val="0"/>
                  <w:marRight w:val="0"/>
                  <w:marTop w:val="0"/>
                  <w:marBottom w:val="0"/>
                  <w:divBdr>
                    <w:top w:val="none" w:sz="0" w:space="0" w:color="auto"/>
                    <w:left w:val="none" w:sz="0" w:space="0" w:color="auto"/>
                    <w:bottom w:val="none" w:sz="0" w:space="0" w:color="auto"/>
                    <w:right w:val="none" w:sz="0" w:space="0" w:color="auto"/>
                  </w:divBdr>
                  <w:divsChild>
                    <w:div w:id="77798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794148">
      <w:bodyDiv w:val="1"/>
      <w:marLeft w:val="0"/>
      <w:marRight w:val="0"/>
      <w:marTop w:val="0"/>
      <w:marBottom w:val="0"/>
      <w:divBdr>
        <w:top w:val="none" w:sz="0" w:space="0" w:color="auto"/>
        <w:left w:val="none" w:sz="0" w:space="0" w:color="auto"/>
        <w:bottom w:val="none" w:sz="0" w:space="0" w:color="auto"/>
        <w:right w:val="none" w:sz="0" w:space="0" w:color="auto"/>
      </w:divBdr>
    </w:div>
    <w:div w:id="705449446">
      <w:bodyDiv w:val="1"/>
      <w:marLeft w:val="0"/>
      <w:marRight w:val="0"/>
      <w:marTop w:val="0"/>
      <w:marBottom w:val="0"/>
      <w:divBdr>
        <w:top w:val="none" w:sz="0" w:space="0" w:color="auto"/>
        <w:left w:val="none" w:sz="0" w:space="0" w:color="auto"/>
        <w:bottom w:val="none" w:sz="0" w:space="0" w:color="auto"/>
        <w:right w:val="none" w:sz="0" w:space="0" w:color="auto"/>
      </w:divBdr>
    </w:div>
    <w:div w:id="706107512">
      <w:bodyDiv w:val="1"/>
      <w:marLeft w:val="0"/>
      <w:marRight w:val="0"/>
      <w:marTop w:val="0"/>
      <w:marBottom w:val="0"/>
      <w:divBdr>
        <w:top w:val="none" w:sz="0" w:space="0" w:color="auto"/>
        <w:left w:val="none" w:sz="0" w:space="0" w:color="auto"/>
        <w:bottom w:val="none" w:sz="0" w:space="0" w:color="auto"/>
        <w:right w:val="none" w:sz="0" w:space="0" w:color="auto"/>
      </w:divBdr>
      <w:divsChild>
        <w:div w:id="452754699">
          <w:marLeft w:val="0"/>
          <w:marRight w:val="0"/>
          <w:marTop w:val="0"/>
          <w:marBottom w:val="0"/>
          <w:divBdr>
            <w:top w:val="none" w:sz="0" w:space="0" w:color="auto"/>
            <w:left w:val="none" w:sz="0" w:space="0" w:color="auto"/>
            <w:bottom w:val="none" w:sz="0" w:space="0" w:color="auto"/>
            <w:right w:val="none" w:sz="0" w:space="0" w:color="auto"/>
          </w:divBdr>
          <w:divsChild>
            <w:div w:id="1764257620">
              <w:marLeft w:val="0"/>
              <w:marRight w:val="0"/>
              <w:marTop w:val="0"/>
              <w:marBottom w:val="0"/>
              <w:divBdr>
                <w:top w:val="none" w:sz="0" w:space="0" w:color="auto"/>
                <w:left w:val="none" w:sz="0" w:space="0" w:color="auto"/>
                <w:bottom w:val="none" w:sz="0" w:space="0" w:color="auto"/>
                <w:right w:val="none" w:sz="0" w:space="0" w:color="auto"/>
              </w:divBdr>
              <w:divsChild>
                <w:div w:id="834347340">
                  <w:marLeft w:val="0"/>
                  <w:marRight w:val="0"/>
                  <w:marTop w:val="0"/>
                  <w:marBottom w:val="0"/>
                  <w:divBdr>
                    <w:top w:val="none" w:sz="0" w:space="0" w:color="auto"/>
                    <w:left w:val="none" w:sz="0" w:space="0" w:color="auto"/>
                    <w:bottom w:val="none" w:sz="0" w:space="0" w:color="auto"/>
                    <w:right w:val="none" w:sz="0" w:space="0" w:color="auto"/>
                  </w:divBdr>
                  <w:divsChild>
                    <w:div w:id="156568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178757">
      <w:bodyDiv w:val="1"/>
      <w:marLeft w:val="0"/>
      <w:marRight w:val="0"/>
      <w:marTop w:val="0"/>
      <w:marBottom w:val="0"/>
      <w:divBdr>
        <w:top w:val="none" w:sz="0" w:space="0" w:color="auto"/>
        <w:left w:val="none" w:sz="0" w:space="0" w:color="auto"/>
        <w:bottom w:val="none" w:sz="0" w:space="0" w:color="auto"/>
        <w:right w:val="none" w:sz="0" w:space="0" w:color="auto"/>
      </w:divBdr>
    </w:div>
    <w:div w:id="706217741">
      <w:bodyDiv w:val="1"/>
      <w:marLeft w:val="0"/>
      <w:marRight w:val="0"/>
      <w:marTop w:val="0"/>
      <w:marBottom w:val="0"/>
      <w:divBdr>
        <w:top w:val="none" w:sz="0" w:space="0" w:color="auto"/>
        <w:left w:val="none" w:sz="0" w:space="0" w:color="auto"/>
        <w:bottom w:val="none" w:sz="0" w:space="0" w:color="auto"/>
        <w:right w:val="none" w:sz="0" w:space="0" w:color="auto"/>
      </w:divBdr>
    </w:div>
    <w:div w:id="706640430">
      <w:bodyDiv w:val="1"/>
      <w:marLeft w:val="0"/>
      <w:marRight w:val="0"/>
      <w:marTop w:val="0"/>
      <w:marBottom w:val="0"/>
      <w:divBdr>
        <w:top w:val="none" w:sz="0" w:space="0" w:color="auto"/>
        <w:left w:val="none" w:sz="0" w:space="0" w:color="auto"/>
        <w:bottom w:val="none" w:sz="0" w:space="0" w:color="auto"/>
        <w:right w:val="none" w:sz="0" w:space="0" w:color="auto"/>
      </w:divBdr>
      <w:divsChild>
        <w:div w:id="1502039133">
          <w:marLeft w:val="0"/>
          <w:marRight w:val="0"/>
          <w:marTop w:val="0"/>
          <w:marBottom w:val="0"/>
          <w:divBdr>
            <w:top w:val="none" w:sz="0" w:space="0" w:color="auto"/>
            <w:left w:val="none" w:sz="0" w:space="0" w:color="auto"/>
            <w:bottom w:val="none" w:sz="0" w:space="0" w:color="auto"/>
            <w:right w:val="none" w:sz="0" w:space="0" w:color="auto"/>
          </w:divBdr>
          <w:divsChild>
            <w:div w:id="268775755">
              <w:marLeft w:val="0"/>
              <w:marRight w:val="0"/>
              <w:marTop w:val="0"/>
              <w:marBottom w:val="0"/>
              <w:divBdr>
                <w:top w:val="none" w:sz="0" w:space="0" w:color="auto"/>
                <w:left w:val="none" w:sz="0" w:space="0" w:color="auto"/>
                <w:bottom w:val="none" w:sz="0" w:space="0" w:color="auto"/>
                <w:right w:val="none" w:sz="0" w:space="0" w:color="auto"/>
              </w:divBdr>
              <w:divsChild>
                <w:div w:id="691734812">
                  <w:marLeft w:val="0"/>
                  <w:marRight w:val="0"/>
                  <w:marTop w:val="0"/>
                  <w:marBottom w:val="0"/>
                  <w:divBdr>
                    <w:top w:val="none" w:sz="0" w:space="0" w:color="auto"/>
                    <w:left w:val="none" w:sz="0" w:space="0" w:color="auto"/>
                    <w:bottom w:val="none" w:sz="0" w:space="0" w:color="auto"/>
                    <w:right w:val="none" w:sz="0" w:space="0" w:color="auto"/>
                  </w:divBdr>
                </w:div>
              </w:divsChild>
            </w:div>
            <w:div w:id="555315683">
              <w:marLeft w:val="0"/>
              <w:marRight w:val="0"/>
              <w:marTop w:val="0"/>
              <w:marBottom w:val="0"/>
              <w:divBdr>
                <w:top w:val="none" w:sz="0" w:space="0" w:color="auto"/>
                <w:left w:val="none" w:sz="0" w:space="0" w:color="auto"/>
                <w:bottom w:val="none" w:sz="0" w:space="0" w:color="auto"/>
                <w:right w:val="none" w:sz="0" w:space="0" w:color="auto"/>
              </w:divBdr>
              <w:divsChild>
                <w:div w:id="855776879">
                  <w:marLeft w:val="0"/>
                  <w:marRight w:val="0"/>
                  <w:marTop w:val="0"/>
                  <w:marBottom w:val="0"/>
                  <w:divBdr>
                    <w:top w:val="none" w:sz="0" w:space="0" w:color="auto"/>
                    <w:left w:val="none" w:sz="0" w:space="0" w:color="auto"/>
                    <w:bottom w:val="none" w:sz="0" w:space="0" w:color="auto"/>
                    <w:right w:val="none" w:sz="0" w:space="0" w:color="auto"/>
                  </w:divBdr>
                </w:div>
              </w:divsChild>
            </w:div>
            <w:div w:id="820459822">
              <w:marLeft w:val="0"/>
              <w:marRight w:val="0"/>
              <w:marTop w:val="0"/>
              <w:marBottom w:val="0"/>
              <w:divBdr>
                <w:top w:val="none" w:sz="0" w:space="0" w:color="auto"/>
                <w:left w:val="none" w:sz="0" w:space="0" w:color="auto"/>
                <w:bottom w:val="none" w:sz="0" w:space="0" w:color="auto"/>
                <w:right w:val="none" w:sz="0" w:space="0" w:color="auto"/>
              </w:divBdr>
              <w:divsChild>
                <w:div w:id="49827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31082">
      <w:bodyDiv w:val="1"/>
      <w:marLeft w:val="0"/>
      <w:marRight w:val="0"/>
      <w:marTop w:val="0"/>
      <w:marBottom w:val="0"/>
      <w:divBdr>
        <w:top w:val="none" w:sz="0" w:space="0" w:color="auto"/>
        <w:left w:val="none" w:sz="0" w:space="0" w:color="auto"/>
        <w:bottom w:val="none" w:sz="0" w:space="0" w:color="auto"/>
        <w:right w:val="none" w:sz="0" w:space="0" w:color="auto"/>
      </w:divBdr>
    </w:div>
    <w:div w:id="707611832">
      <w:bodyDiv w:val="1"/>
      <w:marLeft w:val="0"/>
      <w:marRight w:val="0"/>
      <w:marTop w:val="0"/>
      <w:marBottom w:val="0"/>
      <w:divBdr>
        <w:top w:val="none" w:sz="0" w:space="0" w:color="auto"/>
        <w:left w:val="none" w:sz="0" w:space="0" w:color="auto"/>
        <w:bottom w:val="none" w:sz="0" w:space="0" w:color="auto"/>
        <w:right w:val="none" w:sz="0" w:space="0" w:color="auto"/>
      </w:divBdr>
    </w:div>
    <w:div w:id="708065771">
      <w:bodyDiv w:val="1"/>
      <w:marLeft w:val="0"/>
      <w:marRight w:val="0"/>
      <w:marTop w:val="0"/>
      <w:marBottom w:val="0"/>
      <w:divBdr>
        <w:top w:val="none" w:sz="0" w:space="0" w:color="auto"/>
        <w:left w:val="none" w:sz="0" w:space="0" w:color="auto"/>
        <w:bottom w:val="none" w:sz="0" w:space="0" w:color="auto"/>
        <w:right w:val="none" w:sz="0" w:space="0" w:color="auto"/>
      </w:divBdr>
      <w:divsChild>
        <w:div w:id="548491150">
          <w:marLeft w:val="0"/>
          <w:marRight w:val="0"/>
          <w:marTop w:val="0"/>
          <w:marBottom w:val="0"/>
          <w:divBdr>
            <w:top w:val="none" w:sz="0" w:space="0" w:color="auto"/>
            <w:left w:val="none" w:sz="0" w:space="0" w:color="auto"/>
            <w:bottom w:val="none" w:sz="0" w:space="0" w:color="auto"/>
            <w:right w:val="none" w:sz="0" w:space="0" w:color="auto"/>
          </w:divBdr>
          <w:divsChild>
            <w:div w:id="1077902102">
              <w:marLeft w:val="0"/>
              <w:marRight w:val="0"/>
              <w:marTop w:val="0"/>
              <w:marBottom w:val="0"/>
              <w:divBdr>
                <w:top w:val="none" w:sz="0" w:space="0" w:color="auto"/>
                <w:left w:val="none" w:sz="0" w:space="0" w:color="auto"/>
                <w:bottom w:val="none" w:sz="0" w:space="0" w:color="auto"/>
                <w:right w:val="none" w:sz="0" w:space="0" w:color="auto"/>
              </w:divBdr>
              <w:divsChild>
                <w:div w:id="852766098">
                  <w:marLeft w:val="0"/>
                  <w:marRight w:val="0"/>
                  <w:marTop w:val="0"/>
                  <w:marBottom w:val="0"/>
                  <w:divBdr>
                    <w:top w:val="none" w:sz="0" w:space="0" w:color="auto"/>
                    <w:left w:val="none" w:sz="0" w:space="0" w:color="auto"/>
                    <w:bottom w:val="none" w:sz="0" w:space="0" w:color="auto"/>
                    <w:right w:val="none" w:sz="0" w:space="0" w:color="auto"/>
                  </w:divBdr>
                  <w:divsChild>
                    <w:div w:id="63769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92036">
      <w:bodyDiv w:val="1"/>
      <w:marLeft w:val="0"/>
      <w:marRight w:val="0"/>
      <w:marTop w:val="0"/>
      <w:marBottom w:val="0"/>
      <w:divBdr>
        <w:top w:val="none" w:sz="0" w:space="0" w:color="auto"/>
        <w:left w:val="none" w:sz="0" w:space="0" w:color="auto"/>
        <w:bottom w:val="none" w:sz="0" w:space="0" w:color="auto"/>
        <w:right w:val="none" w:sz="0" w:space="0" w:color="auto"/>
      </w:divBdr>
    </w:div>
    <w:div w:id="710033222">
      <w:bodyDiv w:val="1"/>
      <w:marLeft w:val="0"/>
      <w:marRight w:val="0"/>
      <w:marTop w:val="0"/>
      <w:marBottom w:val="0"/>
      <w:divBdr>
        <w:top w:val="none" w:sz="0" w:space="0" w:color="auto"/>
        <w:left w:val="none" w:sz="0" w:space="0" w:color="auto"/>
        <w:bottom w:val="none" w:sz="0" w:space="0" w:color="auto"/>
        <w:right w:val="none" w:sz="0" w:space="0" w:color="auto"/>
      </w:divBdr>
      <w:divsChild>
        <w:div w:id="939413547">
          <w:marLeft w:val="0"/>
          <w:marRight w:val="0"/>
          <w:marTop w:val="0"/>
          <w:marBottom w:val="0"/>
          <w:divBdr>
            <w:top w:val="none" w:sz="0" w:space="0" w:color="auto"/>
            <w:left w:val="none" w:sz="0" w:space="0" w:color="auto"/>
            <w:bottom w:val="none" w:sz="0" w:space="0" w:color="auto"/>
            <w:right w:val="none" w:sz="0" w:space="0" w:color="auto"/>
          </w:divBdr>
          <w:divsChild>
            <w:div w:id="1698966766">
              <w:marLeft w:val="0"/>
              <w:marRight w:val="0"/>
              <w:marTop w:val="0"/>
              <w:marBottom w:val="0"/>
              <w:divBdr>
                <w:top w:val="none" w:sz="0" w:space="0" w:color="auto"/>
                <w:left w:val="none" w:sz="0" w:space="0" w:color="auto"/>
                <w:bottom w:val="none" w:sz="0" w:space="0" w:color="auto"/>
                <w:right w:val="none" w:sz="0" w:space="0" w:color="auto"/>
              </w:divBdr>
              <w:divsChild>
                <w:div w:id="592082778">
                  <w:marLeft w:val="0"/>
                  <w:marRight w:val="0"/>
                  <w:marTop w:val="0"/>
                  <w:marBottom w:val="0"/>
                  <w:divBdr>
                    <w:top w:val="none" w:sz="0" w:space="0" w:color="auto"/>
                    <w:left w:val="none" w:sz="0" w:space="0" w:color="auto"/>
                    <w:bottom w:val="none" w:sz="0" w:space="0" w:color="auto"/>
                    <w:right w:val="none" w:sz="0" w:space="0" w:color="auto"/>
                  </w:divBdr>
                  <w:divsChild>
                    <w:div w:id="73258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806719">
      <w:bodyDiv w:val="1"/>
      <w:marLeft w:val="0"/>
      <w:marRight w:val="0"/>
      <w:marTop w:val="0"/>
      <w:marBottom w:val="0"/>
      <w:divBdr>
        <w:top w:val="none" w:sz="0" w:space="0" w:color="auto"/>
        <w:left w:val="none" w:sz="0" w:space="0" w:color="auto"/>
        <w:bottom w:val="none" w:sz="0" w:space="0" w:color="auto"/>
        <w:right w:val="none" w:sz="0" w:space="0" w:color="auto"/>
      </w:divBdr>
    </w:div>
    <w:div w:id="712192324">
      <w:bodyDiv w:val="1"/>
      <w:marLeft w:val="0"/>
      <w:marRight w:val="0"/>
      <w:marTop w:val="0"/>
      <w:marBottom w:val="0"/>
      <w:divBdr>
        <w:top w:val="none" w:sz="0" w:space="0" w:color="auto"/>
        <w:left w:val="none" w:sz="0" w:space="0" w:color="auto"/>
        <w:bottom w:val="none" w:sz="0" w:space="0" w:color="auto"/>
        <w:right w:val="none" w:sz="0" w:space="0" w:color="auto"/>
      </w:divBdr>
    </w:div>
    <w:div w:id="712770360">
      <w:bodyDiv w:val="1"/>
      <w:marLeft w:val="0"/>
      <w:marRight w:val="0"/>
      <w:marTop w:val="0"/>
      <w:marBottom w:val="0"/>
      <w:divBdr>
        <w:top w:val="none" w:sz="0" w:space="0" w:color="auto"/>
        <w:left w:val="none" w:sz="0" w:space="0" w:color="auto"/>
        <w:bottom w:val="none" w:sz="0" w:space="0" w:color="auto"/>
        <w:right w:val="none" w:sz="0" w:space="0" w:color="auto"/>
      </w:divBdr>
    </w:div>
    <w:div w:id="713309621">
      <w:bodyDiv w:val="1"/>
      <w:marLeft w:val="0"/>
      <w:marRight w:val="0"/>
      <w:marTop w:val="0"/>
      <w:marBottom w:val="0"/>
      <w:divBdr>
        <w:top w:val="none" w:sz="0" w:space="0" w:color="auto"/>
        <w:left w:val="none" w:sz="0" w:space="0" w:color="auto"/>
        <w:bottom w:val="none" w:sz="0" w:space="0" w:color="auto"/>
        <w:right w:val="none" w:sz="0" w:space="0" w:color="auto"/>
      </w:divBdr>
    </w:div>
    <w:div w:id="713505617">
      <w:bodyDiv w:val="1"/>
      <w:marLeft w:val="0"/>
      <w:marRight w:val="0"/>
      <w:marTop w:val="0"/>
      <w:marBottom w:val="0"/>
      <w:divBdr>
        <w:top w:val="none" w:sz="0" w:space="0" w:color="auto"/>
        <w:left w:val="none" w:sz="0" w:space="0" w:color="auto"/>
        <w:bottom w:val="none" w:sz="0" w:space="0" w:color="auto"/>
        <w:right w:val="none" w:sz="0" w:space="0" w:color="auto"/>
      </w:divBdr>
    </w:div>
    <w:div w:id="713652856">
      <w:bodyDiv w:val="1"/>
      <w:marLeft w:val="0"/>
      <w:marRight w:val="0"/>
      <w:marTop w:val="0"/>
      <w:marBottom w:val="0"/>
      <w:divBdr>
        <w:top w:val="none" w:sz="0" w:space="0" w:color="auto"/>
        <w:left w:val="none" w:sz="0" w:space="0" w:color="auto"/>
        <w:bottom w:val="none" w:sz="0" w:space="0" w:color="auto"/>
        <w:right w:val="none" w:sz="0" w:space="0" w:color="auto"/>
      </w:divBdr>
    </w:div>
    <w:div w:id="713850719">
      <w:bodyDiv w:val="1"/>
      <w:marLeft w:val="0"/>
      <w:marRight w:val="0"/>
      <w:marTop w:val="0"/>
      <w:marBottom w:val="0"/>
      <w:divBdr>
        <w:top w:val="none" w:sz="0" w:space="0" w:color="auto"/>
        <w:left w:val="none" w:sz="0" w:space="0" w:color="auto"/>
        <w:bottom w:val="none" w:sz="0" w:space="0" w:color="auto"/>
        <w:right w:val="none" w:sz="0" w:space="0" w:color="auto"/>
      </w:divBdr>
    </w:div>
    <w:div w:id="714934417">
      <w:bodyDiv w:val="1"/>
      <w:marLeft w:val="0"/>
      <w:marRight w:val="0"/>
      <w:marTop w:val="0"/>
      <w:marBottom w:val="0"/>
      <w:divBdr>
        <w:top w:val="none" w:sz="0" w:space="0" w:color="auto"/>
        <w:left w:val="none" w:sz="0" w:space="0" w:color="auto"/>
        <w:bottom w:val="none" w:sz="0" w:space="0" w:color="auto"/>
        <w:right w:val="none" w:sz="0" w:space="0" w:color="auto"/>
      </w:divBdr>
    </w:div>
    <w:div w:id="715354051">
      <w:bodyDiv w:val="1"/>
      <w:marLeft w:val="0"/>
      <w:marRight w:val="0"/>
      <w:marTop w:val="0"/>
      <w:marBottom w:val="0"/>
      <w:divBdr>
        <w:top w:val="none" w:sz="0" w:space="0" w:color="auto"/>
        <w:left w:val="none" w:sz="0" w:space="0" w:color="auto"/>
        <w:bottom w:val="none" w:sz="0" w:space="0" w:color="auto"/>
        <w:right w:val="none" w:sz="0" w:space="0" w:color="auto"/>
      </w:divBdr>
    </w:div>
    <w:div w:id="716857995">
      <w:bodyDiv w:val="1"/>
      <w:marLeft w:val="0"/>
      <w:marRight w:val="0"/>
      <w:marTop w:val="0"/>
      <w:marBottom w:val="0"/>
      <w:divBdr>
        <w:top w:val="none" w:sz="0" w:space="0" w:color="auto"/>
        <w:left w:val="none" w:sz="0" w:space="0" w:color="auto"/>
        <w:bottom w:val="none" w:sz="0" w:space="0" w:color="auto"/>
        <w:right w:val="none" w:sz="0" w:space="0" w:color="auto"/>
      </w:divBdr>
    </w:div>
    <w:div w:id="717513301">
      <w:bodyDiv w:val="1"/>
      <w:marLeft w:val="0"/>
      <w:marRight w:val="0"/>
      <w:marTop w:val="0"/>
      <w:marBottom w:val="0"/>
      <w:divBdr>
        <w:top w:val="none" w:sz="0" w:space="0" w:color="auto"/>
        <w:left w:val="none" w:sz="0" w:space="0" w:color="auto"/>
        <w:bottom w:val="none" w:sz="0" w:space="0" w:color="auto"/>
        <w:right w:val="none" w:sz="0" w:space="0" w:color="auto"/>
      </w:divBdr>
    </w:div>
    <w:div w:id="718240038">
      <w:bodyDiv w:val="1"/>
      <w:marLeft w:val="0"/>
      <w:marRight w:val="0"/>
      <w:marTop w:val="0"/>
      <w:marBottom w:val="0"/>
      <w:divBdr>
        <w:top w:val="none" w:sz="0" w:space="0" w:color="auto"/>
        <w:left w:val="none" w:sz="0" w:space="0" w:color="auto"/>
        <w:bottom w:val="none" w:sz="0" w:space="0" w:color="auto"/>
        <w:right w:val="none" w:sz="0" w:space="0" w:color="auto"/>
      </w:divBdr>
    </w:div>
    <w:div w:id="718286516">
      <w:bodyDiv w:val="1"/>
      <w:marLeft w:val="0"/>
      <w:marRight w:val="0"/>
      <w:marTop w:val="0"/>
      <w:marBottom w:val="0"/>
      <w:divBdr>
        <w:top w:val="none" w:sz="0" w:space="0" w:color="auto"/>
        <w:left w:val="none" w:sz="0" w:space="0" w:color="auto"/>
        <w:bottom w:val="none" w:sz="0" w:space="0" w:color="auto"/>
        <w:right w:val="none" w:sz="0" w:space="0" w:color="auto"/>
      </w:divBdr>
    </w:div>
    <w:div w:id="718869668">
      <w:bodyDiv w:val="1"/>
      <w:marLeft w:val="0"/>
      <w:marRight w:val="0"/>
      <w:marTop w:val="0"/>
      <w:marBottom w:val="0"/>
      <w:divBdr>
        <w:top w:val="none" w:sz="0" w:space="0" w:color="auto"/>
        <w:left w:val="none" w:sz="0" w:space="0" w:color="auto"/>
        <w:bottom w:val="none" w:sz="0" w:space="0" w:color="auto"/>
        <w:right w:val="none" w:sz="0" w:space="0" w:color="auto"/>
      </w:divBdr>
    </w:div>
    <w:div w:id="719598861">
      <w:bodyDiv w:val="1"/>
      <w:marLeft w:val="0"/>
      <w:marRight w:val="0"/>
      <w:marTop w:val="0"/>
      <w:marBottom w:val="0"/>
      <w:divBdr>
        <w:top w:val="none" w:sz="0" w:space="0" w:color="auto"/>
        <w:left w:val="none" w:sz="0" w:space="0" w:color="auto"/>
        <w:bottom w:val="none" w:sz="0" w:space="0" w:color="auto"/>
        <w:right w:val="none" w:sz="0" w:space="0" w:color="auto"/>
      </w:divBdr>
      <w:divsChild>
        <w:div w:id="774253856">
          <w:marLeft w:val="0"/>
          <w:marRight w:val="0"/>
          <w:marTop w:val="0"/>
          <w:marBottom w:val="0"/>
          <w:divBdr>
            <w:top w:val="none" w:sz="0" w:space="0" w:color="auto"/>
            <w:left w:val="none" w:sz="0" w:space="0" w:color="auto"/>
            <w:bottom w:val="none" w:sz="0" w:space="0" w:color="auto"/>
            <w:right w:val="none" w:sz="0" w:space="0" w:color="auto"/>
          </w:divBdr>
          <w:divsChild>
            <w:div w:id="323437731">
              <w:marLeft w:val="0"/>
              <w:marRight w:val="0"/>
              <w:marTop w:val="0"/>
              <w:marBottom w:val="0"/>
              <w:divBdr>
                <w:top w:val="none" w:sz="0" w:space="0" w:color="auto"/>
                <w:left w:val="none" w:sz="0" w:space="0" w:color="auto"/>
                <w:bottom w:val="none" w:sz="0" w:space="0" w:color="auto"/>
                <w:right w:val="none" w:sz="0" w:space="0" w:color="auto"/>
              </w:divBdr>
              <w:divsChild>
                <w:div w:id="1334649458">
                  <w:marLeft w:val="0"/>
                  <w:marRight w:val="0"/>
                  <w:marTop w:val="0"/>
                  <w:marBottom w:val="0"/>
                  <w:divBdr>
                    <w:top w:val="none" w:sz="0" w:space="0" w:color="auto"/>
                    <w:left w:val="none" w:sz="0" w:space="0" w:color="auto"/>
                    <w:bottom w:val="none" w:sz="0" w:space="0" w:color="auto"/>
                    <w:right w:val="none" w:sz="0" w:space="0" w:color="auto"/>
                  </w:divBdr>
                  <w:divsChild>
                    <w:div w:id="18889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789729">
      <w:bodyDiv w:val="1"/>
      <w:marLeft w:val="0"/>
      <w:marRight w:val="0"/>
      <w:marTop w:val="0"/>
      <w:marBottom w:val="0"/>
      <w:divBdr>
        <w:top w:val="none" w:sz="0" w:space="0" w:color="auto"/>
        <w:left w:val="none" w:sz="0" w:space="0" w:color="auto"/>
        <w:bottom w:val="none" w:sz="0" w:space="0" w:color="auto"/>
        <w:right w:val="none" w:sz="0" w:space="0" w:color="auto"/>
      </w:divBdr>
    </w:div>
    <w:div w:id="720977121">
      <w:bodyDiv w:val="1"/>
      <w:marLeft w:val="0"/>
      <w:marRight w:val="0"/>
      <w:marTop w:val="0"/>
      <w:marBottom w:val="0"/>
      <w:divBdr>
        <w:top w:val="none" w:sz="0" w:space="0" w:color="auto"/>
        <w:left w:val="none" w:sz="0" w:space="0" w:color="auto"/>
        <w:bottom w:val="none" w:sz="0" w:space="0" w:color="auto"/>
        <w:right w:val="none" w:sz="0" w:space="0" w:color="auto"/>
      </w:divBdr>
      <w:divsChild>
        <w:div w:id="772675103">
          <w:marLeft w:val="0"/>
          <w:marRight w:val="0"/>
          <w:marTop w:val="0"/>
          <w:marBottom w:val="0"/>
          <w:divBdr>
            <w:top w:val="none" w:sz="0" w:space="0" w:color="auto"/>
            <w:left w:val="none" w:sz="0" w:space="0" w:color="auto"/>
            <w:bottom w:val="none" w:sz="0" w:space="0" w:color="auto"/>
            <w:right w:val="none" w:sz="0" w:space="0" w:color="auto"/>
          </w:divBdr>
          <w:divsChild>
            <w:div w:id="1456094513">
              <w:marLeft w:val="0"/>
              <w:marRight w:val="0"/>
              <w:marTop w:val="0"/>
              <w:marBottom w:val="0"/>
              <w:divBdr>
                <w:top w:val="none" w:sz="0" w:space="0" w:color="auto"/>
                <w:left w:val="none" w:sz="0" w:space="0" w:color="auto"/>
                <w:bottom w:val="none" w:sz="0" w:space="0" w:color="auto"/>
                <w:right w:val="none" w:sz="0" w:space="0" w:color="auto"/>
              </w:divBdr>
              <w:divsChild>
                <w:div w:id="1041367716">
                  <w:marLeft w:val="0"/>
                  <w:marRight w:val="0"/>
                  <w:marTop w:val="0"/>
                  <w:marBottom w:val="0"/>
                  <w:divBdr>
                    <w:top w:val="none" w:sz="0" w:space="0" w:color="auto"/>
                    <w:left w:val="none" w:sz="0" w:space="0" w:color="auto"/>
                    <w:bottom w:val="none" w:sz="0" w:space="0" w:color="auto"/>
                    <w:right w:val="none" w:sz="0" w:space="0" w:color="auto"/>
                  </w:divBdr>
                  <w:divsChild>
                    <w:div w:id="35273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14825">
      <w:bodyDiv w:val="1"/>
      <w:marLeft w:val="0"/>
      <w:marRight w:val="0"/>
      <w:marTop w:val="0"/>
      <w:marBottom w:val="0"/>
      <w:divBdr>
        <w:top w:val="none" w:sz="0" w:space="0" w:color="auto"/>
        <w:left w:val="none" w:sz="0" w:space="0" w:color="auto"/>
        <w:bottom w:val="none" w:sz="0" w:space="0" w:color="auto"/>
        <w:right w:val="none" w:sz="0" w:space="0" w:color="auto"/>
      </w:divBdr>
    </w:div>
    <w:div w:id="722407740">
      <w:bodyDiv w:val="1"/>
      <w:marLeft w:val="0"/>
      <w:marRight w:val="0"/>
      <w:marTop w:val="0"/>
      <w:marBottom w:val="0"/>
      <w:divBdr>
        <w:top w:val="none" w:sz="0" w:space="0" w:color="auto"/>
        <w:left w:val="none" w:sz="0" w:space="0" w:color="auto"/>
        <w:bottom w:val="none" w:sz="0" w:space="0" w:color="auto"/>
        <w:right w:val="none" w:sz="0" w:space="0" w:color="auto"/>
      </w:divBdr>
    </w:div>
    <w:div w:id="722797955">
      <w:bodyDiv w:val="1"/>
      <w:marLeft w:val="0"/>
      <w:marRight w:val="0"/>
      <w:marTop w:val="0"/>
      <w:marBottom w:val="0"/>
      <w:divBdr>
        <w:top w:val="none" w:sz="0" w:space="0" w:color="auto"/>
        <w:left w:val="none" w:sz="0" w:space="0" w:color="auto"/>
        <w:bottom w:val="none" w:sz="0" w:space="0" w:color="auto"/>
        <w:right w:val="none" w:sz="0" w:space="0" w:color="auto"/>
      </w:divBdr>
      <w:divsChild>
        <w:div w:id="277688314">
          <w:marLeft w:val="0"/>
          <w:marRight w:val="0"/>
          <w:marTop w:val="0"/>
          <w:marBottom w:val="0"/>
          <w:divBdr>
            <w:top w:val="none" w:sz="0" w:space="0" w:color="auto"/>
            <w:left w:val="none" w:sz="0" w:space="0" w:color="auto"/>
            <w:bottom w:val="none" w:sz="0" w:space="0" w:color="auto"/>
            <w:right w:val="none" w:sz="0" w:space="0" w:color="auto"/>
          </w:divBdr>
          <w:divsChild>
            <w:div w:id="1475676788">
              <w:marLeft w:val="0"/>
              <w:marRight w:val="0"/>
              <w:marTop w:val="0"/>
              <w:marBottom w:val="0"/>
              <w:divBdr>
                <w:top w:val="none" w:sz="0" w:space="0" w:color="auto"/>
                <w:left w:val="none" w:sz="0" w:space="0" w:color="auto"/>
                <w:bottom w:val="none" w:sz="0" w:space="0" w:color="auto"/>
                <w:right w:val="none" w:sz="0" w:space="0" w:color="auto"/>
              </w:divBdr>
              <w:divsChild>
                <w:div w:id="264772962">
                  <w:marLeft w:val="0"/>
                  <w:marRight w:val="0"/>
                  <w:marTop w:val="0"/>
                  <w:marBottom w:val="0"/>
                  <w:divBdr>
                    <w:top w:val="none" w:sz="0" w:space="0" w:color="auto"/>
                    <w:left w:val="none" w:sz="0" w:space="0" w:color="auto"/>
                    <w:bottom w:val="none" w:sz="0" w:space="0" w:color="auto"/>
                    <w:right w:val="none" w:sz="0" w:space="0" w:color="auto"/>
                  </w:divBdr>
                  <w:divsChild>
                    <w:div w:id="472409362">
                      <w:marLeft w:val="0"/>
                      <w:marRight w:val="0"/>
                      <w:marTop w:val="0"/>
                      <w:marBottom w:val="0"/>
                      <w:divBdr>
                        <w:top w:val="none" w:sz="0" w:space="0" w:color="auto"/>
                        <w:left w:val="none" w:sz="0" w:space="0" w:color="auto"/>
                        <w:bottom w:val="none" w:sz="0" w:space="0" w:color="auto"/>
                        <w:right w:val="none" w:sz="0" w:space="0" w:color="auto"/>
                      </w:divBdr>
                    </w:div>
                  </w:divsChild>
                </w:div>
                <w:div w:id="855339477">
                  <w:marLeft w:val="0"/>
                  <w:marRight w:val="0"/>
                  <w:marTop w:val="0"/>
                  <w:marBottom w:val="0"/>
                  <w:divBdr>
                    <w:top w:val="none" w:sz="0" w:space="0" w:color="auto"/>
                    <w:left w:val="none" w:sz="0" w:space="0" w:color="auto"/>
                    <w:bottom w:val="none" w:sz="0" w:space="0" w:color="auto"/>
                    <w:right w:val="none" w:sz="0" w:space="0" w:color="auto"/>
                  </w:divBdr>
                  <w:divsChild>
                    <w:div w:id="131948145">
                      <w:marLeft w:val="0"/>
                      <w:marRight w:val="0"/>
                      <w:marTop w:val="0"/>
                      <w:marBottom w:val="0"/>
                      <w:divBdr>
                        <w:top w:val="none" w:sz="0" w:space="0" w:color="auto"/>
                        <w:left w:val="none" w:sz="0" w:space="0" w:color="auto"/>
                        <w:bottom w:val="none" w:sz="0" w:space="0" w:color="auto"/>
                        <w:right w:val="none" w:sz="0" w:space="0" w:color="auto"/>
                      </w:divBdr>
                    </w:div>
                  </w:divsChild>
                </w:div>
                <w:div w:id="1494106704">
                  <w:marLeft w:val="0"/>
                  <w:marRight w:val="0"/>
                  <w:marTop w:val="0"/>
                  <w:marBottom w:val="0"/>
                  <w:divBdr>
                    <w:top w:val="none" w:sz="0" w:space="0" w:color="auto"/>
                    <w:left w:val="none" w:sz="0" w:space="0" w:color="auto"/>
                    <w:bottom w:val="none" w:sz="0" w:space="0" w:color="auto"/>
                    <w:right w:val="none" w:sz="0" w:space="0" w:color="auto"/>
                  </w:divBdr>
                  <w:divsChild>
                    <w:div w:id="166724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139418">
      <w:bodyDiv w:val="1"/>
      <w:marLeft w:val="0"/>
      <w:marRight w:val="0"/>
      <w:marTop w:val="0"/>
      <w:marBottom w:val="0"/>
      <w:divBdr>
        <w:top w:val="none" w:sz="0" w:space="0" w:color="auto"/>
        <w:left w:val="none" w:sz="0" w:space="0" w:color="auto"/>
        <w:bottom w:val="none" w:sz="0" w:space="0" w:color="auto"/>
        <w:right w:val="none" w:sz="0" w:space="0" w:color="auto"/>
      </w:divBdr>
      <w:divsChild>
        <w:div w:id="405686792">
          <w:marLeft w:val="0"/>
          <w:marRight w:val="0"/>
          <w:marTop w:val="0"/>
          <w:marBottom w:val="0"/>
          <w:divBdr>
            <w:top w:val="none" w:sz="0" w:space="0" w:color="auto"/>
            <w:left w:val="none" w:sz="0" w:space="0" w:color="auto"/>
            <w:bottom w:val="none" w:sz="0" w:space="0" w:color="auto"/>
            <w:right w:val="none" w:sz="0" w:space="0" w:color="auto"/>
          </w:divBdr>
          <w:divsChild>
            <w:div w:id="1945842031">
              <w:marLeft w:val="0"/>
              <w:marRight w:val="0"/>
              <w:marTop w:val="0"/>
              <w:marBottom w:val="0"/>
              <w:divBdr>
                <w:top w:val="none" w:sz="0" w:space="0" w:color="auto"/>
                <w:left w:val="none" w:sz="0" w:space="0" w:color="auto"/>
                <w:bottom w:val="none" w:sz="0" w:space="0" w:color="auto"/>
                <w:right w:val="none" w:sz="0" w:space="0" w:color="auto"/>
              </w:divBdr>
              <w:divsChild>
                <w:div w:id="145131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06128">
      <w:bodyDiv w:val="1"/>
      <w:marLeft w:val="0"/>
      <w:marRight w:val="0"/>
      <w:marTop w:val="0"/>
      <w:marBottom w:val="0"/>
      <w:divBdr>
        <w:top w:val="none" w:sz="0" w:space="0" w:color="auto"/>
        <w:left w:val="none" w:sz="0" w:space="0" w:color="auto"/>
        <w:bottom w:val="none" w:sz="0" w:space="0" w:color="auto"/>
        <w:right w:val="none" w:sz="0" w:space="0" w:color="auto"/>
      </w:divBdr>
    </w:div>
    <w:div w:id="724371440">
      <w:bodyDiv w:val="1"/>
      <w:marLeft w:val="0"/>
      <w:marRight w:val="0"/>
      <w:marTop w:val="0"/>
      <w:marBottom w:val="0"/>
      <w:divBdr>
        <w:top w:val="none" w:sz="0" w:space="0" w:color="auto"/>
        <w:left w:val="none" w:sz="0" w:space="0" w:color="auto"/>
        <w:bottom w:val="none" w:sz="0" w:space="0" w:color="auto"/>
        <w:right w:val="none" w:sz="0" w:space="0" w:color="auto"/>
      </w:divBdr>
      <w:divsChild>
        <w:div w:id="48310389">
          <w:marLeft w:val="0"/>
          <w:marRight w:val="0"/>
          <w:marTop w:val="0"/>
          <w:marBottom w:val="0"/>
          <w:divBdr>
            <w:top w:val="none" w:sz="0" w:space="0" w:color="auto"/>
            <w:left w:val="none" w:sz="0" w:space="0" w:color="auto"/>
            <w:bottom w:val="none" w:sz="0" w:space="0" w:color="auto"/>
            <w:right w:val="none" w:sz="0" w:space="0" w:color="auto"/>
          </w:divBdr>
          <w:divsChild>
            <w:div w:id="208537554">
              <w:marLeft w:val="0"/>
              <w:marRight w:val="0"/>
              <w:marTop w:val="0"/>
              <w:marBottom w:val="0"/>
              <w:divBdr>
                <w:top w:val="none" w:sz="0" w:space="0" w:color="auto"/>
                <w:left w:val="none" w:sz="0" w:space="0" w:color="auto"/>
                <w:bottom w:val="none" w:sz="0" w:space="0" w:color="auto"/>
                <w:right w:val="none" w:sz="0" w:space="0" w:color="auto"/>
              </w:divBdr>
              <w:divsChild>
                <w:div w:id="1365250483">
                  <w:marLeft w:val="0"/>
                  <w:marRight w:val="0"/>
                  <w:marTop w:val="0"/>
                  <w:marBottom w:val="0"/>
                  <w:divBdr>
                    <w:top w:val="none" w:sz="0" w:space="0" w:color="auto"/>
                    <w:left w:val="none" w:sz="0" w:space="0" w:color="auto"/>
                    <w:bottom w:val="none" w:sz="0" w:space="0" w:color="auto"/>
                    <w:right w:val="none" w:sz="0" w:space="0" w:color="auto"/>
                  </w:divBdr>
                </w:div>
              </w:divsChild>
            </w:div>
            <w:div w:id="316881132">
              <w:marLeft w:val="0"/>
              <w:marRight w:val="0"/>
              <w:marTop w:val="0"/>
              <w:marBottom w:val="0"/>
              <w:divBdr>
                <w:top w:val="none" w:sz="0" w:space="0" w:color="auto"/>
                <w:left w:val="none" w:sz="0" w:space="0" w:color="auto"/>
                <w:bottom w:val="none" w:sz="0" w:space="0" w:color="auto"/>
                <w:right w:val="none" w:sz="0" w:space="0" w:color="auto"/>
              </w:divBdr>
              <w:divsChild>
                <w:div w:id="1668822781">
                  <w:marLeft w:val="0"/>
                  <w:marRight w:val="0"/>
                  <w:marTop w:val="0"/>
                  <w:marBottom w:val="0"/>
                  <w:divBdr>
                    <w:top w:val="none" w:sz="0" w:space="0" w:color="auto"/>
                    <w:left w:val="none" w:sz="0" w:space="0" w:color="auto"/>
                    <w:bottom w:val="none" w:sz="0" w:space="0" w:color="auto"/>
                    <w:right w:val="none" w:sz="0" w:space="0" w:color="auto"/>
                  </w:divBdr>
                </w:div>
              </w:divsChild>
            </w:div>
            <w:div w:id="852499694">
              <w:marLeft w:val="0"/>
              <w:marRight w:val="0"/>
              <w:marTop w:val="0"/>
              <w:marBottom w:val="0"/>
              <w:divBdr>
                <w:top w:val="none" w:sz="0" w:space="0" w:color="auto"/>
                <w:left w:val="none" w:sz="0" w:space="0" w:color="auto"/>
                <w:bottom w:val="none" w:sz="0" w:space="0" w:color="auto"/>
                <w:right w:val="none" w:sz="0" w:space="0" w:color="auto"/>
              </w:divBdr>
              <w:divsChild>
                <w:div w:id="657421008">
                  <w:marLeft w:val="0"/>
                  <w:marRight w:val="0"/>
                  <w:marTop w:val="0"/>
                  <w:marBottom w:val="0"/>
                  <w:divBdr>
                    <w:top w:val="none" w:sz="0" w:space="0" w:color="auto"/>
                    <w:left w:val="none" w:sz="0" w:space="0" w:color="auto"/>
                    <w:bottom w:val="none" w:sz="0" w:space="0" w:color="auto"/>
                    <w:right w:val="none" w:sz="0" w:space="0" w:color="auto"/>
                  </w:divBdr>
                </w:div>
              </w:divsChild>
            </w:div>
            <w:div w:id="1178813105">
              <w:marLeft w:val="0"/>
              <w:marRight w:val="0"/>
              <w:marTop w:val="0"/>
              <w:marBottom w:val="0"/>
              <w:divBdr>
                <w:top w:val="none" w:sz="0" w:space="0" w:color="auto"/>
                <w:left w:val="none" w:sz="0" w:space="0" w:color="auto"/>
                <w:bottom w:val="none" w:sz="0" w:space="0" w:color="auto"/>
                <w:right w:val="none" w:sz="0" w:space="0" w:color="auto"/>
              </w:divBdr>
              <w:divsChild>
                <w:div w:id="61525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569879">
      <w:bodyDiv w:val="1"/>
      <w:marLeft w:val="0"/>
      <w:marRight w:val="0"/>
      <w:marTop w:val="0"/>
      <w:marBottom w:val="0"/>
      <w:divBdr>
        <w:top w:val="none" w:sz="0" w:space="0" w:color="auto"/>
        <w:left w:val="none" w:sz="0" w:space="0" w:color="auto"/>
        <w:bottom w:val="none" w:sz="0" w:space="0" w:color="auto"/>
        <w:right w:val="none" w:sz="0" w:space="0" w:color="auto"/>
      </w:divBdr>
      <w:divsChild>
        <w:div w:id="1527794884">
          <w:marLeft w:val="0"/>
          <w:marRight w:val="0"/>
          <w:marTop w:val="0"/>
          <w:marBottom w:val="0"/>
          <w:divBdr>
            <w:top w:val="none" w:sz="0" w:space="0" w:color="auto"/>
            <w:left w:val="none" w:sz="0" w:space="0" w:color="auto"/>
            <w:bottom w:val="none" w:sz="0" w:space="0" w:color="auto"/>
            <w:right w:val="none" w:sz="0" w:space="0" w:color="auto"/>
          </w:divBdr>
          <w:divsChild>
            <w:div w:id="927032910">
              <w:marLeft w:val="0"/>
              <w:marRight w:val="0"/>
              <w:marTop w:val="0"/>
              <w:marBottom w:val="0"/>
              <w:divBdr>
                <w:top w:val="none" w:sz="0" w:space="0" w:color="auto"/>
                <w:left w:val="none" w:sz="0" w:space="0" w:color="auto"/>
                <w:bottom w:val="none" w:sz="0" w:space="0" w:color="auto"/>
                <w:right w:val="none" w:sz="0" w:space="0" w:color="auto"/>
              </w:divBdr>
              <w:divsChild>
                <w:div w:id="1645429316">
                  <w:marLeft w:val="0"/>
                  <w:marRight w:val="0"/>
                  <w:marTop w:val="0"/>
                  <w:marBottom w:val="0"/>
                  <w:divBdr>
                    <w:top w:val="none" w:sz="0" w:space="0" w:color="auto"/>
                    <w:left w:val="none" w:sz="0" w:space="0" w:color="auto"/>
                    <w:bottom w:val="none" w:sz="0" w:space="0" w:color="auto"/>
                    <w:right w:val="none" w:sz="0" w:space="0" w:color="auto"/>
                  </w:divBdr>
                  <w:divsChild>
                    <w:div w:id="14239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687346">
      <w:bodyDiv w:val="1"/>
      <w:marLeft w:val="0"/>
      <w:marRight w:val="0"/>
      <w:marTop w:val="0"/>
      <w:marBottom w:val="0"/>
      <w:divBdr>
        <w:top w:val="none" w:sz="0" w:space="0" w:color="auto"/>
        <w:left w:val="none" w:sz="0" w:space="0" w:color="auto"/>
        <w:bottom w:val="none" w:sz="0" w:space="0" w:color="auto"/>
        <w:right w:val="none" w:sz="0" w:space="0" w:color="auto"/>
      </w:divBdr>
    </w:div>
    <w:div w:id="725877596">
      <w:bodyDiv w:val="1"/>
      <w:marLeft w:val="0"/>
      <w:marRight w:val="0"/>
      <w:marTop w:val="0"/>
      <w:marBottom w:val="0"/>
      <w:divBdr>
        <w:top w:val="none" w:sz="0" w:space="0" w:color="auto"/>
        <w:left w:val="none" w:sz="0" w:space="0" w:color="auto"/>
        <w:bottom w:val="none" w:sz="0" w:space="0" w:color="auto"/>
        <w:right w:val="none" w:sz="0" w:space="0" w:color="auto"/>
      </w:divBdr>
      <w:divsChild>
        <w:div w:id="1701777397">
          <w:marLeft w:val="0"/>
          <w:marRight w:val="0"/>
          <w:marTop w:val="0"/>
          <w:marBottom w:val="0"/>
          <w:divBdr>
            <w:top w:val="none" w:sz="0" w:space="0" w:color="auto"/>
            <w:left w:val="none" w:sz="0" w:space="0" w:color="auto"/>
            <w:bottom w:val="none" w:sz="0" w:space="0" w:color="auto"/>
            <w:right w:val="none" w:sz="0" w:space="0" w:color="auto"/>
          </w:divBdr>
          <w:divsChild>
            <w:div w:id="1450708401">
              <w:marLeft w:val="0"/>
              <w:marRight w:val="0"/>
              <w:marTop w:val="0"/>
              <w:marBottom w:val="0"/>
              <w:divBdr>
                <w:top w:val="none" w:sz="0" w:space="0" w:color="auto"/>
                <w:left w:val="none" w:sz="0" w:space="0" w:color="auto"/>
                <w:bottom w:val="none" w:sz="0" w:space="0" w:color="auto"/>
                <w:right w:val="none" w:sz="0" w:space="0" w:color="auto"/>
              </w:divBdr>
              <w:divsChild>
                <w:div w:id="1633366398">
                  <w:marLeft w:val="0"/>
                  <w:marRight w:val="0"/>
                  <w:marTop w:val="0"/>
                  <w:marBottom w:val="0"/>
                  <w:divBdr>
                    <w:top w:val="none" w:sz="0" w:space="0" w:color="auto"/>
                    <w:left w:val="none" w:sz="0" w:space="0" w:color="auto"/>
                    <w:bottom w:val="none" w:sz="0" w:space="0" w:color="auto"/>
                    <w:right w:val="none" w:sz="0" w:space="0" w:color="auto"/>
                  </w:divBdr>
                </w:div>
              </w:divsChild>
            </w:div>
            <w:div w:id="1621842897">
              <w:marLeft w:val="0"/>
              <w:marRight w:val="0"/>
              <w:marTop w:val="0"/>
              <w:marBottom w:val="0"/>
              <w:divBdr>
                <w:top w:val="none" w:sz="0" w:space="0" w:color="auto"/>
                <w:left w:val="none" w:sz="0" w:space="0" w:color="auto"/>
                <w:bottom w:val="none" w:sz="0" w:space="0" w:color="auto"/>
                <w:right w:val="none" w:sz="0" w:space="0" w:color="auto"/>
              </w:divBdr>
              <w:divsChild>
                <w:div w:id="74404489">
                  <w:marLeft w:val="0"/>
                  <w:marRight w:val="0"/>
                  <w:marTop w:val="0"/>
                  <w:marBottom w:val="0"/>
                  <w:divBdr>
                    <w:top w:val="none" w:sz="0" w:space="0" w:color="auto"/>
                    <w:left w:val="none" w:sz="0" w:space="0" w:color="auto"/>
                    <w:bottom w:val="none" w:sz="0" w:space="0" w:color="auto"/>
                    <w:right w:val="none" w:sz="0" w:space="0" w:color="auto"/>
                  </w:divBdr>
                </w:div>
              </w:divsChild>
            </w:div>
            <w:div w:id="1771730412">
              <w:marLeft w:val="0"/>
              <w:marRight w:val="0"/>
              <w:marTop w:val="0"/>
              <w:marBottom w:val="0"/>
              <w:divBdr>
                <w:top w:val="none" w:sz="0" w:space="0" w:color="auto"/>
                <w:left w:val="none" w:sz="0" w:space="0" w:color="auto"/>
                <w:bottom w:val="none" w:sz="0" w:space="0" w:color="auto"/>
                <w:right w:val="none" w:sz="0" w:space="0" w:color="auto"/>
              </w:divBdr>
              <w:divsChild>
                <w:div w:id="111328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296970">
      <w:bodyDiv w:val="1"/>
      <w:marLeft w:val="0"/>
      <w:marRight w:val="0"/>
      <w:marTop w:val="0"/>
      <w:marBottom w:val="0"/>
      <w:divBdr>
        <w:top w:val="none" w:sz="0" w:space="0" w:color="auto"/>
        <w:left w:val="none" w:sz="0" w:space="0" w:color="auto"/>
        <w:bottom w:val="none" w:sz="0" w:space="0" w:color="auto"/>
        <w:right w:val="none" w:sz="0" w:space="0" w:color="auto"/>
      </w:divBdr>
    </w:div>
    <w:div w:id="726608414">
      <w:bodyDiv w:val="1"/>
      <w:marLeft w:val="0"/>
      <w:marRight w:val="0"/>
      <w:marTop w:val="0"/>
      <w:marBottom w:val="0"/>
      <w:divBdr>
        <w:top w:val="none" w:sz="0" w:space="0" w:color="auto"/>
        <w:left w:val="none" w:sz="0" w:space="0" w:color="auto"/>
        <w:bottom w:val="none" w:sz="0" w:space="0" w:color="auto"/>
        <w:right w:val="none" w:sz="0" w:space="0" w:color="auto"/>
      </w:divBdr>
    </w:div>
    <w:div w:id="726880129">
      <w:bodyDiv w:val="1"/>
      <w:marLeft w:val="0"/>
      <w:marRight w:val="0"/>
      <w:marTop w:val="0"/>
      <w:marBottom w:val="0"/>
      <w:divBdr>
        <w:top w:val="none" w:sz="0" w:space="0" w:color="auto"/>
        <w:left w:val="none" w:sz="0" w:space="0" w:color="auto"/>
        <w:bottom w:val="none" w:sz="0" w:space="0" w:color="auto"/>
        <w:right w:val="none" w:sz="0" w:space="0" w:color="auto"/>
      </w:divBdr>
    </w:div>
    <w:div w:id="726992106">
      <w:bodyDiv w:val="1"/>
      <w:marLeft w:val="0"/>
      <w:marRight w:val="0"/>
      <w:marTop w:val="0"/>
      <w:marBottom w:val="0"/>
      <w:divBdr>
        <w:top w:val="none" w:sz="0" w:space="0" w:color="auto"/>
        <w:left w:val="none" w:sz="0" w:space="0" w:color="auto"/>
        <w:bottom w:val="none" w:sz="0" w:space="0" w:color="auto"/>
        <w:right w:val="none" w:sz="0" w:space="0" w:color="auto"/>
      </w:divBdr>
    </w:div>
    <w:div w:id="727150671">
      <w:bodyDiv w:val="1"/>
      <w:marLeft w:val="0"/>
      <w:marRight w:val="0"/>
      <w:marTop w:val="0"/>
      <w:marBottom w:val="0"/>
      <w:divBdr>
        <w:top w:val="none" w:sz="0" w:space="0" w:color="auto"/>
        <w:left w:val="none" w:sz="0" w:space="0" w:color="auto"/>
        <w:bottom w:val="none" w:sz="0" w:space="0" w:color="auto"/>
        <w:right w:val="none" w:sz="0" w:space="0" w:color="auto"/>
      </w:divBdr>
      <w:divsChild>
        <w:div w:id="1367176425">
          <w:marLeft w:val="0"/>
          <w:marRight w:val="0"/>
          <w:marTop w:val="0"/>
          <w:marBottom w:val="0"/>
          <w:divBdr>
            <w:top w:val="none" w:sz="0" w:space="0" w:color="auto"/>
            <w:left w:val="none" w:sz="0" w:space="0" w:color="auto"/>
            <w:bottom w:val="none" w:sz="0" w:space="0" w:color="auto"/>
            <w:right w:val="none" w:sz="0" w:space="0" w:color="auto"/>
          </w:divBdr>
          <w:divsChild>
            <w:div w:id="1083338575">
              <w:marLeft w:val="0"/>
              <w:marRight w:val="0"/>
              <w:marTop w:val="0"/>
              <w:marBottom w:val="0"/>
              <w:divBdr>
                <w:top w:val="none" w:sz="0" w:space="0" w:color="auto"/>
                <w:left w:val="none" w:sz="0" w:space="0" w:color="auto"/>
                <w:bottom w:val="none" w:sz="0" w:space="0" w:color="auto"/>
                <w:right w:val="none" w:sz="0" w:space="0" w:color="auto"/>
              </w:divBdr>
              <w:divsChild>
                <w:div w:id="1067725465">
                  <w:marLeft w:val="0"/>
                  <w:marRight w:val="0"/>
                  <w:marTop w:val="0"/>
                  <w:marBottom w:val="0"/>
                  <w:divBdr>
                    <w:top w:val="none" w:sz="0" w:space="0" w:color="auto"/>
                    <w:left w:val="none" w:sz="0" w:space="0" w:color="auto"/>
                    <w:bottom w:val="none" w:sz="0" w:space="0" w:color="auto"/>
                    <w:right w:val="none" w:sz="0" w:space="0" w:color="auto"/>
                  </w:divBdr>
                  <w:divsChild>
                    <w:div w:id="164904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805484">
      <w:bodyDiv w:val="1"/>
      <w:marLeft w:val="0"/>
      <w:marRight w:val="0"/>
      <w:marTop w:val="0"/>
      <w:marBottom w:val="0"/>
      <w:divBdr>
        <w:top w:val="none" w:sz="0" w:space="0" w:color="auto"/>
        <w:left w:val="none" w:sz="0" w:space="0" w:color="auto"/>
        <w:bottom w:val="none" w:sz="0" w:space="0" w:color="auto"/>
        <w:right w:val="none" w:sz="0" w:space="0" w:color="auto"/>
      </w:divBdr>
    </w:div>
    <w:div w:id="728068826">
      <w:bodyDiv w:val="1"/>
      <w:marLeft w:val="0"/>
      <w:marRight w:val="0"/>
      <w:marTop w:val="0"/>
      <w:marBottom w:val="0"/>
      <w:divBdr>
        <w:top w:val="none" w:sz="0" w:space="0" w:color="auto"/>
        <w:left w:val="none" w:sz="0" w:space="0" w:color="auto"/>
        <w:bottom w:val="none" w:sz="0" w:space="0" w:color="auto"/>
        <w:right w:val="none" w:sz="0" w:space="0" w:color="auto"/>
      </w:divBdr>
    </w:div>
    <w:div w:id="728305704">
      <w:bodyDiv w:val="1"/>
      <w:marLeft w:val="0"/>
      <w:marRight w:val="0"/>
      <w:marTop w:val="0"/>
      <w:marBottom w:val="0"/>
      <w:divBdr>
        <w:top w:val="none" w:sz="0" w:space="0" w:color="auto"/>
        <w:left w:val="none" w:sz="0" w:space="0" w:color="auto"/>
        <w:bottom w:val="none" w:sz="0" w:space="0" w:color="auto"/>
        <w:right w:val="none" w:sz="0" w:space="0" w:color="auto"/>
      </w:divBdr>
    </w:div>
    <w:div w:id="729352219">
      <w:bodyDiv w:val="1"/>
      <w:marLeft w:val="0"/>
      <w:marRight w:val="0"/>
      <w:marTop w:val="0"/>
      <w:marBottom w:val="0"/>
      <w:divBdr>
        <w:top w:val="none" w:sz="0" w:space="0" w:color="auto"/>
        <w:left w:val="none" w:sz="0" w:space="0" w:color="auto"/>
        <w:bottom w:val="none" w:sz="0" w:space="0" w:color="auto"/>
        <w:right w:val="none" w:sz="0" w:space="0" w:color="auto"/>
      </w:divBdr>
    </w:div>
    <w:div w:id="729691222">
      <w:bodyDiv w:val="1"/>
      <w:marLeft w:val="0"/>
      <w:marRight w:val="0"/>
      <w:marTop w:val="0"/>
      <w:marBottom w:val="0"/>
      <w:divBdr>
        <w:top w:val="none" w:sz="0" w:space="0" w:color="auto"/>
        <w:left w:val="none" w:sz="0" w:space="0" w:color="auto"/>
        <w:bottom w:val="none" w:sz="0" w:space="0" w:color="auto"/>
        <w:right w:val="none" w:sz="0" w:space="0" w:color="auto"/>
      </w:divBdr>
      <w:divsChild>
        <w:div w:id="1367217188">
          <w:marLeft w:val="0"/>
          <w:marRight w:val="0"/>
          <w:marTop w:val="0"/>
          <w:marBottom w:val="0"/>
          <w:divBdr>
            <w:top w:val="none" w:sz="0" w:space="0" w:color="auto"/>
            <w:left w:val="none" w:sz="0" w:space="0" w:color="auto"/>
            <w:bottom w:val="none" w:sz="0" w:space="0" w:color="auto"/>
            <w:right w:val="none" w:sz="0" w:space="0" w:color="auto"/>
          </w:divBdr>
          <w:divsChild>
            <w:div w:id="705758370">
              <w:marLeft w:val="0"/>
              <w:marRight w:val="0"/>
              <w:marTop w:val="0"/>
              <w:marBottom w:val="0"/>
              <w:divBdr>
                <w:top w:val="none" w:sz="0" w:space="0" w:color="auto"/>
                <w:left w:val="none" w:sz="0" w:space="0" w:color="auto"/>
                <w:bottom w:val="none" w:sz="0" w:space="0" w:color="auto"/>
                <w:right w:val="none" w:sz="0" w:space="0" w:color="auto"/>
              </w:divBdr>
              <w:divsChild>
                <w:div w:id="1674844593">
                  <w:marLeft w:val="0"/>
                  <w:marRight w:val="0"/>
                  <w:marTop w:val="0"/>
                  <w:marBottom w:val="0"/>
                  <w:divBdr>
                    <w:top w:val="none" w:sz="0" w:space="0" w:color="auto"/>
                    <w:left w:val="none" w:sz="0" w:space="0" w:color="auto"/>
                    <w:bottom w:val="none" w:sz="0" w:space="0" w:color="auto"/>
                    <w:right w:val="none" w:sz="0" w:space="0" w:color="auto"/>
                  </w:divBdr>
                  <w:divsChild>
                    <w:div w:id="101445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229896">
      <w:bodyDiv w:val="1"/>
      <w:marLeft w:val="0"/>
      <w:marRight w:val="0"/>
      <w:marTop w:val="0"/>
      <w:marBottom w:val="0"/>
      <w:divBdr>
        <w:top w:val="none" w:sz="0" w:space="0" w:color="auto"/>
        <w:left w:val="none" w:sz="0" w:space="0" w:color="auto"/>
        <w:bottom w:val="none" w:sz="0" w:space="0" w:color="auto"/>
        <w:right w:val="none" w:sz="0" w:space="0" w:color="auto"/>
      </w:divBdr>
    </w:div>
    <w:div w:id="730661280">
      <w:bodyDiv w:val="1"/>
      <w:marLeft w:val="0"/>
      <w:marRight w:val="0"/>
      <w:marTop w:val="0"/>
      <w:marBottom w:val="0"/>
      <w:divBdr>
        <w:top w:val="none" w:sz="0" w:space="0" w:color="auto"/>
        <w:left w:val="none" w:sz="0" w:space="0" w:color="auto"/>
        <w:bottom w:val="none" w:sz="0" w:space="0" w:color="auto"/>
        <w:right w:val="none" w:sz="0" w:space="0" w:color="auto"/>
      </w:divBdr>
    </w:div>
    <w:div w:id="731267556">
      <w:bodyDiv w:val="1"/>
      <w:marLeft w:val="0"/>
      <w:marRight w:val="0"/>
      <w:marTop w:val="0"/>
      <w:marBottom w:val="0"/>
      <w:divBdr>
        <w:top w:val="none" w:sz="0" w:space="0" w:color="auto"/>
        <w:left w:val="none" w:sz="0" w:space="0" w:color="auto"/>
        <w:bottom w:val="none" w:sz="0" w:space="0" w:color="auto"/>
        <w:right w:val="none" w:sz="0" w:space="0" w:color="auto"/>
      </w:divBdr>
    </w:div>
    <w:div w:id="731931996">
      <w:bodyDiv w:val="1"/>
      <w:marLeft w:val="0"/>
      <w:marRight w:val="0"/>
      <w:marTop w:val="0"/>
      <w:marBottom w:val="0"/>
      <w:divBdr>
        <w:top w:val="none" w:sz="0" w:space="0" w:color="auto"/>
        <w:left w:val="none" w:sz="0" w:space="0" w:color="auto"/>
        <w:bottom w:val="none" w:sz="0" w:space="0" w:color="auto"/>
        <w:right w:val="none" w:sz="0" w:space="0" w:color="auto"/>
      </w:divBdr>
    </w:div>
    <w:div w:id="732196866">
      <w:bodyDiv w:val="1"/>
      <w:marLeft w:val="0"/>
      <w:marRight w:val="0"/>
      <w:marTop w:val="0"/>
      <w:marBottom w:val="0"/>
      <w:divBdr>
        <w:top w:val="none" w:sz="0" w:space="0" w:color="auto"/>
        <w:left w:val="none" w:sz="0" w:space="0" w:color="auto"/>
        <w:bottom w:val="none" w:sz="0" w:space="0" w:color="auto"/>
        <w:right w:val="none" w:sz="0" w:space="0" w:color="auto"/>
      </w:divBdr>
    </w:div>
    <w:div w:id="733741126">
      <w:bodyDiv w:val="1"/>
      <w:marLeft w:val="0"/>
      <w:marRight w:val="0"/>
      <w:marTop w:val="0"/>
      <w:marBottom w:val="0"/>
      <w:divBdr>
        <w:top w:val="none" w:sz="0" w:space="0" w:color="auto"/>
        <w:left w:val="none" w:sz="0" w:space="0" w:color="auto"/>
        <w:bottom w:val="none" w:sz="0" w:space="0" w:color="auto"/>
        <w:right w:val="none" w:sz="0" w:space="0" w:color="auto"/>
      </w:divBdr>
      <w:divsChild>
        <w:div w:id="1555000435">
          <w:marLeft w:val="0"/>
          <w:marRight w:val="0"/>
          <w:marTop w:val="0"/>
          <w:marBottom w:val="0"/>
          <w:divBdr>
            <w:top w:val="none" w:sz="0" w:space="0" w:color="auto"/>
            <w:left w:val="none" w:sz="0" w:space="0" w:color="auto"/>
            <w:bottom w:val="none" w:sz="0" w:space="0" w:color="auto"/>
            <w:right w:val="none" w:sz="0" w:space="0" w:color="auto"/>
          </w:divBdr>
          <w:divsChild>
            <w:div w:id="175003163">
              <w:marLeft w:val="0"/>
              <w:marRight w:val="0"/>
              <w:marTop w:val="0"/>
              <w:marBottom w:val="0"/>
              <w:divBdr>
                <w:top w:val="none" w:sz="0" w:space="0" w:color="auto"/>
                <w:left w:val="none" w:sz="0" w:space="0" w:color="auto"/>
                <w:bottom w:val="none" w:sz="0" w:space="0" w:color="auto"/>
                <w:right w:val="none" w:sz="0" w:space="0" w:color="auto"/>
              </w:divBdr>
              <w:divsChild>
                <w:div w:id="2045908220">
                  <w:marLeft w:val="0"/>
                  <w:marRight w:val="0"/>
                  <w:marTop w:val="0"/>
                  <w:marBottom w:val="0"/>
                  <w:divBdr>
                    <w:top w:val="none" w:sz="0" w:space="0" w:color="auto"/>
                    <w:left w:val="none" w:sz="0" w:space="0" w:color="auto"/>
                    <w:bottom w:val="none" w:sz="0" w:space="0" w:color="auto"/>
                    <w:right w:val="none" w:sz="0" w:space="0" w:color="auto"/>
                  </w:divBdr>
                  <w:divsChild>
                    <w:div w:id="2480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161151">
      <w:bodyDiv w:val="1"/>
      <w:marLeft w:val="0"/>
      <w:marRight w:val="0"/>
      <w:marTop w:val="0"/>
      <w:marBottom w:val="0"/>
      <w:divBdr>
        <w:top w:val="none" w:sz="0" w:space="0" w:color="auto"/>
        <w:left w:val="none" w:sz="0" w:space="0" w:color="auto"/>
        <w:bottom w:val="none" w:sz="0" w:space="0" w:color="auto"/>
        <w:right w:val="none" w:sz="0" w:space="0" w:color="auto"/>
      </w:divBdr>
    </w:div>
    <w:div w:id="734351377">
      <w:bodyDiv w:val="1"/>
      <w:marLeft w:val="0"/>
      <w:marRight w:val="0"/>
      <w:marTop w:val="0"/>
      <w:marBottom w:val="0"/>
      <w:divBdr>
        <w:top w:val="none" w:sz="0" w:space="0" w:color="auto"/>
        <w:left w:val="none" w:sz="0" w:space="0" w:color="auto"/>
        <w:bottom w:val="none" w:sz="0" w:space="0" w:color="auto"/>
        <w:right w:val="none" w:sz="0" w:space="0" w:color="auto"/>
      </w:divBdr>
    </w:div>
    <w:div w:id="734352703">
      <w:bodyDiv w:val="1"/>
      <w:marLeft w:val="0"/>
      <w:marRight w:val="0"/>
      <w:marTop w:val="0"/>
      <w:marBottom w:val="0"/>
      <w:divBdr>
        <w:top w:val="none" w:sz="0" w:space="0" w:color="auto"/>
        <w:left w:val="none" w:sz="0" w:space="0" w:color="auto"/>
        <w:bottom w:val="none" w:sz="0" w:space="0" w:color="auto"/>
        <w:right w:val="none" w:sz="0" w:space="0" w:color="auto"/>
      </w:divBdr>
    </w:div>
    <w:div w:id="734934003">
      <w:bodyDiv w:val="1"/>
      <w:marLeft w:val="0"/>
      <w:marRight w:val="0"/>
      <w:marTop w:val="0"/>
      <w:marBottom w:val="0"/>
      <w:divBdr>
        <w:top w:val="none" w:sz="0" w:space="0" w:color="auto"/>
        <w:left w:val="none" w:sz="0" w:space="0" w:color="auto"/>
        <w:bottom w:val="none" w:sz="0" w:space="0" w:color="auto"/>
        <w:right w:val="none" w:sz="0" w:space="0" w:color="auto"/>
      </w:divBdr>
    </w:div>
    <w:div w:id="735471905">
      <w:bodyDiv w:val="1"/>
      <w:marLeft w:val="0"/>
      <w:marRight w:val="0"/>
      <w:marTop w:val="0"/>
      <w:marBottom w:val="0"/>
      <w:divBdr>
        <w:top w:val="none" w:sz="0" w:space="0" w:color="auto"/>
        <w:left w:val="none" w:sz="0" w:space="0" w:color="auto"/>
        <w:bottom w:val="none" w:sz="0" w:space="0" w:color="auto"/>
        <w:right w:val="none" w:sz="0" w:space="0" w:color="auto"/>
      </w:divBdr>
    </w:div>
    <w:div w:id="735784793">
      <w:bodyDiv w:val="1"/>
      <w:marLeft w:val="0"/>
      <w:marRight w:val="0"/>
      <w:marTop w:val="0"/>
      <w:marBottom w:val="0"/>
      <w:divBdr>
        <w:top w:val="none" w:sz="0" w:space="0" w:color="auto"/>
        <w:left w:val="none" w:sz="0" w:space="0" w:color="auto"/>
        <w:bottom w:val="none" w:sz="0" w:space="0" w:color="auto"/>
        <w:right w:val="none" w:sz="0" w:space="0" w:color="auto"/>
      </w:divBdr>
      <w:divsChild>
        <w:div w:id="2003659000">
          <w:marLeft w:val="0"/>
          <w:marRight w:val="0"/>
          <w:marTop w:val="0"/>
          <w:marBottom w:val="0"/>
          <w:divBdr>
            <w:top w:val="none" w:sz="0" w:space="0" w:color="auto"/>
            <w:left w:val="none" w:sz="0" w:space="0" w:color="auto"/>
            <w:bottom w:val="none" w:sz="0" w:space="0" w:color="auto"/>
            <w:right w:val="none" w:sz="0" w:space="0" w:color="auto"/>
          </w:divBdr>
          <w:divsChild>
            <w:div w:id="1780417863">
              <w:marLeft w:val="0"/>
              <w:marRight w:val="0"/>
              <w:marTop w:val="0"/>
              <w:marBottom w:val="0"/>
              <w:divBdr>
                <w:top w:val="none" w:sz="0" w:space="0" w:color="auto"/>
                <w:left w:val="none" w:sz="0" w:space="0" w:color="auto"/>
                <w:bottom w:val="none" w:sz="0" w:space="0" w:color="auto"/>
                <w:right w:val="none" w:sz="0" w:space="0" w:color="auto"/>
              </w:divBdr>
              <w:divsChild>
                <w:div w:id="1982030030">
                  <w:marLeft w:val="0"/>
                  <w:marRight w:val="0"/>
                  <w:marTop w:val="0"/>
                  <w:marBottom w:val="0"/>
                  <w:divBdr>
                    <w:top w:val="none" w:sz="0" w:space="0" w:color="auto"/>
                    <w:left w:val="none" w:sz="0" w:space="0" w:color="auto"/>
                    <w:bottom w:val="none" w:sz="0" w:space="0" w:color="auto"/>
                    <w:right w:val="none" w:sz="0" w:space="0" w:color="auto"/>
                  </w:divBdr>
                  <w:divsChild>
                    <w:div w:id="5197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906061">
      <w:bodyDiv w:val="1"/>
      <w:marLeft w:val="0"/>
      <w:marRight w:val="0"/>
      <w:marTop w:val="0"/>
      <w:marBottom w:val="0"/>
      <w:divBdr>
        <w:top w:val="none" w:sz="0" w:space="0" w:color="auto"/>
        <w:left w:val="none" w:sz="0" w:space="0" w:color="auto"/>
        <w:bottom w:val="none" w:sz="0" w:space="0" w:color="auto"/>
        <w:right w:val="none" w:sz="0" w:space="0" w:color="auto"/>
      </w:divBdr>
    </w:div>
    <w:div w:id="736125619">
      <w:bodyDiv w:val="1"/>
      <w:marLeft w:val="0"/>
      <w:marRight w:val="0"/>
      <w:marTop w:val="0"/>
      <w:marBottom w:val="0"/>
      <w:divBdr>
        <w:top w:val="none" w:sz="0" w:space="0" w:color="auto"/>
        <w:left w:val="none" w:sz="0" w:space="0" w:color="auto"/>
        <w:bottom w:val="none" w:sz="0" w:space="0" w:color="auto"/>
        <w:right w:val="none" w:sz="0" w:space="0" w:color="auto"/>
      </w:divBdr>
    </w:div>
    <w:div w:id="736131640">
      <w:bodyDiv w:val="1"/>
      <w:marLeft w:val="0"/>
      <w:marRight w:val="0"/>
      <w:marTop w:val="0"/>
      <w:marBottom w:val="0"/>
      <w:divBdr>
        <w:top w:val="none" w:sz="0" w:space="0" w:color="auto"/>
        <w:left w:val="none" w:sz="0" w:space="0" w:color="auto"/>
        <w:bottom w:val="none" w:sz="0" w:space="0" w:color="auto"/>
        <w:right w:val="none" w:sz="0" w:space="0" w:color="auto"/>
      </w:divBdr>
    </w:div>
    <w:div w:id="736243828">
      <w:bodyDiv w:val="1"/>
      <w:marLeft w:val="0"/>
      <w:marRight w:val="0"/>
      <w:marTop w:val="0"/>
      <w:marBottom w:val="0"/>
      <w:divBdr>
        <w:top w:val="none" w:sz="0" w:space="0" w:color="auto"/>
        <w:left w:val="none" w:sz="0" w:space="0" w:color="auto"/>
        <w:bottom w:val="none" w:sz="0" w:space="0" w:color="auto"/>
        <w:right w:val="none" w:sz="0" w:space="0" w:color="auto"/>
      </w:divBdr>
    </w:div>
    <w:div w:id="736510794">
      <w:bodyDiv w:val="1"/>
      <w:marLeft w:val="0"/>
      <w:marRight w:val="0"/>
      <w:marTop w:val="0"/>
      <w:marBottom w:val="0"/>
      <w:divBdr>
        <w:top w:val="none" w:sz="0" w:space="0" w:color="auto"/>
        <w:left w:val="none" w:sz="0" w:space="0" w:color="auto"/>
        <w:bottom w:val="none" w:sz="0" w:space="0" w:color="auto"/>
        <w:right w:val="none" w:sz="0" w:space="0" w:color="auto"/>
      </w:divBdr>
    </w:div>
    <w:div w:id="737365427">
      <w:bodyDiv w:val="1"/>
      <w:marLeft w:val="0"/>
      <w:marRight w:val="0"/>
      <w:marTop w:val="0"/>
      <w:marBottom w:val="0"/>
      <w:divBdr>
        <w:top w:val="none" w:sz="0" w:space="0" w:color="auto"/>
        <w:left w:val="none" w:sz="0" w:space="0" w:color="auto"/>
        <w:bottom w:val="none" w:sz="0" w:space="0" w:color="auto"/>
        <w:right w:val="none" w:sz="0" w:space="0" w:color="auto"/>
      </w:divBdr>
    </w:div>
    <w:div w:id="738209283">
      <w:bodyDiv w:val="1"/>
      <w:marLeft w:val="0"/>
      <w:marRight w:val="0"/>
      <w:marTop w:val="0"/>
      <w:marBottom w:val="0"/>
      <w:divBdr>
        <w:top w:val="none" w:sz="0" w:space="0" w:color="auto"/>
        <w:left w:val="none" w:sz="0" w:space="0" w:color="auto"/>
        <w:bottom w:val="none" w:sz="0" w:space="0" w:color="auto"/>
        <w:right w:val="none" w:sz="0" w:space="0" w:color="auto"/>
      </w:divBdr>
    </w:div>
    <w:div w:id="739716372">
      <w:bodyDiv w:val="1"/>
      <w:marLeft w:val="0"/>
      <w:marRight w:val="0"/>
      <w:marTop w:val="0"/>
      <w:marBottom w:val="0"/>
      <w:divBdr>
        <w:top w:val="none" w:sz="0" w:space="0" w:color="auto"/>
        <w:left w:val="none" w:sz="0" w:space="0" w:color="auto"/>
        <w:bottom w:val="none" w:sz="0" w:space="0" w:color="auto"/>
        <w:right w:val="none" w:sz="0" w:space="0" w:color="auto"/>
      </w:divBdr>
      <w:divsChild>
        <w:div w:id="1085882877">
          <w:marLeft w:val="0"/>
          <w:marRight w:val="0"/>
          <w:marTop w:val="0"/>
          <w:marBottom w:val="0"/>
          <w:divBdr>
            <w:top w:val="none" w:sz="0" w:space="0" w:color="auto"/>
            <w:left w:val="none" w:sz="0" w:space="0" w:color="auto"/>
            <w:bottom w:val="none" w:sz="0" w:space="0" w:color="auto"/>
            <w:right w:val="none" w:sz="0" w:space="0" w:color="auto"/>
          </w:divBdr>
          <w:divsChild>
            <w:div w:id="52197599">
              <w:marLeft w:val="0"/>
              <w:marRight w:val="0"/>
              <w:marTop w:val="0"/>
              <w:marBottom w:val="0"/>
              <w:divBdr>
                <w:top w:val="none" w:sz="0" w:space="0" w:color="auto"/>
                <w:left w:val="none" w:sz="0" w:space="0" w:color="auto"/>
                <w:bottom w:val="none" w:sz="0" w:space="0" w:color="auto"/>
                <w:right w:val="none" w:sz="0" w:space="0" w:color="auto"/>
              </w:divBdr>
              <w:divsChild>
                <w:div w:id="250938592">
                  <w:marLeft w:val="0"/>
                  <w:marRight w:val="0"/>
                  <w:marTop w:val="0"/>
                  <w:marBottom w:val="0"/>
                  <w:divBdr>
                    <w:top w:val="none" w:sz="0" w:space="0" w:color="auto"/>
                    <w:left w:val="none" w:sz="0" w:space="0" w:color="auto"/>
                    <w:bottom w:val="none" w:sz="0" w:space="0" w:color="auto"/>
                    <w:right w:val="none" w:sz="0" w:space="0" w:color="auto"/>
                  </w:divBdr>
                  <w:divsChild>
                    <w:div w:id="84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100367">
      <w:bodyDiv w:val="1"/>
      <w:marLeft w:val="0"/>
      <w:marRight w:val="0"/>
      <w:marTop w:val="0"/>
      <w:marBottom w:val="0"/>
      <w:divBdr>
        <w:top w:val="none" w:sz="0" w:space="0" w:color="auto"/>
        <w:left w:val="none" w:sz="0" w:space="0" w:color="auto"/>
        <w:bottom w:val="none" w:sz="0" w:space="0" w:color="auto"/>
        <w:right w:val="none" w:sz="0" w:space="0" w:color="auto"/>
      </w:divBdr>
      <w:divsChild>
        <w:div w:id="657270688">
          <w:marLeft w:val="0"/>
          <w:marRight w:val="0"/>
          <w:marTop w:val="0"/>
          <w:marBottom w:val="0"/>
          <w:divBdr>
            <w:top w:val="none" w:sz="0" w:space="0" w:color="auto"/>
            <w:left w:val="none" w:sz="0" w:space="0" w:color="auto"/>
            <w:bottom w:val="none" w:sz="0" w:space="0" w:color="auto"/>
            <w:right w:val="none" w:sz="0" w:space="0" w:color="auto"/>
          </w:divBdr>
          <w:divsChild>
            <w:div w:id="264702337">
              <w:marLeft w:val="0"/>
              <w:marRight w:val="0"/>
              <w:marTop w:val="0"/>
              <w:marBottom w:val="0"/>
              <w:divBdr>
                <w:top w:val="none" w:sz="0" w:space="0" w:color="auto"/>
                <w:left w:val="none" w:sz="0" w:space="0" w:color="auto"/>
                <w:bottom w:val="none" w:sz="0" w:space="0" w:color="auto"/>
                <w:right w:val="none" w:sz="0" w:space="0" w:color="auto"/>
              </w:divBdr>
              <w:divsChild>
                <w:div w:id="1247376139">
                  <w:marLeft w:val="0"/>
                  <w:marRight w:val="0"/>
                  <w:marTop w:val="0"/>
                  <w:marBottom w:val="0"/>
                  <w:divBdr>
                    <w:top w:val="none" w:sz="0" w:space="0" w:color="auto"/>
                    <w:left w:val="none" w:sz="0" w:space="0" w:color="auto"/>
                    <w:bottom w:val="none" w:sz="0" w:space="0" w:color="auto"/>
                    <w:right w:val="none" w:sz="0" w:space="0" w:color="auto"/>
                  </w:divBdr>
                  <w:divsChild>
                    <w:div w:id="121847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217010">
      <w:bodyDiv w:val="1"/>
      <w:marLeft w:val="0"/>
      <w:marRight w:val="0"/>
      <w:marTop w:val="0"/>
      <w:marBottom w:val="0"/>
      <w:divBdr>
        <w:top w:val="none" w:sz="0" w:space="0" w:color="auto"/>
        <w:left w:val="none" w:sz="0" w:space="0" w:color="auto"/>
        <w:bottom w:val="none" w:sz="0" w:space="0" w:color="auto"/>
        <w:right w:val="none" w:sz="0" w:space="0" w:color="auto"/>
      </w:divBdr>
    </w:div>
    <w:div w:id="742414702">
      <w:bodyDiv w:val="1"/>
      <w:marLeft w:val="0"/>
      <w:marRight w:val="0"/>
      <w:marTop w:val="0"/>
      <w:marBottom w:val="0"/>
      <w:divBdr>
        <w:top w:val="none" w:sz="0" w:space="0" w:color="auto"/>
        <w:left w:val="none" w:sz="0" w:space="0" w:color="auto"/>
        <w:bottom w:val="none" w:sz="0" w:space="0" w:color="auto"/>
        <w:right w:val="none" w:sz="0" w:space="0" w:color="auto"/>
      </w:divBdr>
    </w:div>
    <w:div w:id="742720965">
      <w:bodyDiv w:val="1"/>
      <w:marLeft w:val="0"/>
      <w:marRight w:val="0"/>
      <w:marTop w:val="0"/>
      <w:marBottom w:val="0"/>
      <w:divBdr>
        <w:top w:val="none" w:sz="0" w:space="0" w:color="auto"/>
        <w:left w:val="none" w:sz="0" w:space="0" w:color="auto"/>
        <w:bottom w:val="none" w:sz="0" w:space="0" w:color="auto"/>
        <w:right w:val="none" w:sz="0" w:space="0" w:color="auto"/>
      </w:divBdr>
    </w:div>
    <w:div w:id="742993937">
      <w:bodyDiv w:val="1"/>
      <w:marLeft w:val="0"/>
      <w:marRight w:val="0"/>
      <w:marTop w:val="0"/>
      <w:marBottom w:val="0"/>
      <w:divBdr>
        <w:top w:val="none" w:sz="0" w:space="0" w:color="auto"/>
        <w:left w:val="none" w:sz="0" w:space="0" w:color="auto"/>
        <w:bottom w:val="none" w:sz="0" w:space="0" w:color="auto"/>
        <w:right w:val="none" w:sz="0" w:space="0" w:color="auto"/>
      </w:divBdr>
    </w:div>
    <w:div w:id="745224536">
      <w:bodyDiv w:val="1"/>
      <w:marLeft w:val="0"/>
      <w:marRight w:val="0"/>
      <w:marTop w:val="0"/>
      <w:marBottom w:val="0"/>
      <w:divBdr>
        <w:top w:val="none" w:sz="0" w:space="0" w:color="auto"/>
        <w:left w:val="none" w:sz="0" w:space="0" w:color="auto"/>
        <w:bottom w:val="none" w:sz="0" w:space="0" w:color="auto"/>
        <w:right w:val="none" w:sz="0" w:space="0" w:color="auto"/>
      </w:divBdr>
    </w:div>
    <w:div w:id="746462179">
      <w:bodyDiv w:val="1"/>
      <w:marLeft w:val="0"/>
      <w:marRight w:val="0"/>
      <w:marTop w:val="0"/>
      <w:marBottom w:val="0"/>
      <w:divBdr>
        <w:top w:val="none" w:sz="0" w:space="0" w:color="auto"/>
        <w:left w:val="none" w:sz="0" w:space="0" w:color="auto"/>
        <w:bottom w:val="none" w:sz="0" w:space="0" w:color="auto"/>
        <w:right w:val="none" w:sz="0" w:space="0" w:color="auto"/>
      </w:divBdr>
    </w:div>
    <w:div w:id="747851062">
      <w:bodyDiv w:val="1"/>
      <w:marLeft w:val="0"/>
      <w:marRight w:val="0"/>
      <w:marTop w:val="0"/>
      <w:marBottom w:val="0"/>
      <w:divBdr>
        <w:top w:val="none" w:sz="0" w:space="0" w:color="auto"/>
        <w:left w:val="none" w:sz="0" w:space="0" w:color="auto"/>
        <w:bottom w:val="none" w:sz="0" w:space="0" w:color="auto"/>
        <w:right w:val="none" w:sz="0" w:space="0" w:color="auto"/>
      </w:divBdr>
      <w:divsChild>
        <w:div w:id="1904439859">
          <w:marLeft w:val="0"/>
          <w:marRight w:val="0"/>
          <w:marTop w:val="0"/>
          <w:marBottom w:val="0"/>
          <w:divBdr>
            <w:top w:val="none" w:sz="0" w:space="0" w:color="auto"/>
            <w:left w:val="none" w:sz="0" w:space="0" w:color="auto"/>
            <w:bottom w:val="none" w:sz="0" w:space="0" w:color="auto"/>
            <w:right w:val="none" w:sz="0" w:space="0" w:color="auto"/>
          </w:divBdr>
          <w:divsChild>
            <w:div w:id="239868646">
              <w:marLeft w:val="0"/>
              <w:marRight w:val="0"/>
              <w:marTop w:val="0"/>
              <w:marBottom w:val="0"/>
              <w:divBdr>
                <w:top w:val="none" w:sz="0" w:space="0" w:color="auto"/>
                <w:left w:val="none" w:sz="0" w:space="0" w:color="auto"/>
                <w:bottom w:val="none" w:sz="0" w:space="0" w:color="auto"/>
                <w:right w:val="none" w:sz="0" w:space="0" w:color="auto"/>
              </w:divBdr>
              <w:divsChild>
                <w:div w:id="1080060872">
                  <w:marLeft w:val="0"/>
                  <w:marRight w:val="0"/>
                  <w:marTop w:val="0"/>
                  <w:marBottom w:val="0"/>
                  <w:divBdr>
                    <w:top w:val="none" w:sz="0" w:space="0" w:color="auto"/>
                    <w:left w:val="none" w:sz="0" w:space="0" w:color="auto"/>
                    <w:bottom w:val="none" w:sz="0" w:space="0" w:color="auto"/>
                    <w:right w:val="none" w:sz="0" w:space="0" w:color="auto"/>
                  </w:divBdr>
                  <w:divsChild>
                    <w:div w:id="6352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423950">
      <w:bodyDiv w:val="1"/>
      <w:marLeft w:val="0"/>
      <w:marRight w:val="0"/>
      <w:marTop w:val="0"/>
      <w:marBottom w:val="0"/>
      <w:divBdr>
        <w:top w:val="none" w:sz="0" w:space="0" w:color="auto"/>
        <w:left w:val="none" w:sz="0" w:space="0" w:color="auto"/>
        <w:bottom w:val="none" w:sz="0" w:space="0" w:color="auto"/>
        <w:right w:val="none" w:sz="0" w:space="0" w:color="auto"/>
      </w:divBdr>
    </w:div>
    <w:div w:id="749083329">
      <w:bodyDiv w:val="1"/>
      <w:marLeft w:val="0"/>
      <w:marRight w:val="0"/>
      <w:marTop w:val="0"/>
      <w:marBottom w:val="0"/>
      <w:divBdr>
        <w:top w:val="none" w:sz="0" w:space="0" w:color="auto"/>
        <w:left w:val="none" w:sz="0" w:space="0" w:color="auto"/>
        <w:bottom w:val="none" w:sz="0" w:space="0" w:color="auto"/>
        <w:right w:val="none" w:sz="0" w:space="0" w:color="auto"/>
      </w:divBdr>
    </w:div>
    <w:div w:id="749617729">
      <w:bodyDiv w:val="1"/>
      <w:marLeft w:val="0"/>
      <w:marRight w:val="0"/>
      <w:marTop w:val="0"/>
      <w:marBottom w:val="0"/>
      <w:divBdr>
        <w:top w:val="none" w:sz="0" w:space="0" w:color="auto"/>
        <w:left w:val="none" w:sz="0" w:space="0" w:color="auto"/>
        <w:bottom w:val="none" w:sz="0" w:space="0" w:color="auto"/>
        <w:right w:val="none" w:sz="0" w:space="0" w:color="auto"/>
      </w:divBdr>
    </w:div>
    <w:div w:id="752632268">
      <w:bodyDiv w:val="1"/>
      <w:marLeft w:val="0"/>
      <w:marRight w:val="0"/>
      <w:marTop w:val="0"/>
      <w:marBottom w:val="0"/>
      <w:divBdr>
        <w:top w:val="none" w:sz="0" w:space="0" w:color="auto"/>
        <w:left w:val="none" w:sz="0" w:space="0" w:color="auto"/>
        <w:bottom w:val="none" w:sz="0" w:space="0" w:color="auto"/>
        <w:right w:val="none" w:sz="0" w:space="0" w:color="auto"/>
      </w:divBdr>
      <w:divsChild>
        <w:div w:id="1637876691">
          <w:marLeft w:val="0"/>
          <w:marRight w:val="0"/>
          <w:marTop w:val="0"/>
          <w:marBottom w:val="0"/>
          <w:divBdr>
            <w:top w:val="none" w:sz="0" w:space="0" w:color="auto"/>
            <w:left w:val="none" w:sz="0" w:space="0" w:color="auto"/>
            <w:bottom w:val="none" w:sz="0" w:space="0" w:color="auto"/>
            <w:right w:val="none" w:sz="0" w:space="0" w:color="auto"/>
          </w:divBdr>
          <w:divsChild>
            <w:div w:id="337777264">
              <w:marLeft w:val="0"/>
              <w:marRight w:val="0"/>
              <w:marTop w:val="0"/>
              <w:marBottom w:val="0"/>
              <w:divBdr>
                <w:top w:val="none" w:sz="0" w:space="0" w:color="auto"/>
                <w:left w:val="none" w:sz="0" w:space="0" w:color="auto"/>
                <w:bottom w:val="none" w:sz="0" w:space="0" w:color="auto"/>
                <w:right w:val="none" w:sz="0" w:space="0" w:color="auto"/>
              </w:divBdr>
              <w:divsChild>
                <w:div w:id="437678108">
                  <w:marLeft w:val="0"/>
                  <w:marRight w:val="0"/>
                  <w:marTop w:val="0"/>
                  <w:marBottom w:val="0"/>
                  <w:divBdr>
                    <w:top w:val="none" w:sz="0" w:space="0" w:color="auto"/>
                    <w:left w:val="none" w:sz="0" w:space="0" w:color="auto"/>
                    <w:bottom w:val="none" w:sz="0" w:space="0" w:color="auto"/>
                    <w:right w:val="none" w:sz="0" w:space="0" w:color="auto"/>
                  </w:divBdr>
                  <w:divsChild>
                    <w:div w:id="15973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010060">
      <w:bodyDiv w:val="1"/>
      <w:marLeft w:val="0"/>
      <w:marRight w:val="0"/>
      <w:marTop w:val="0"/>
      <w:marBottom w:val="0"/>
      <w:divBdr>
        <w:top w:val="none" w:sz="0" w:space="0" w:color="auto"/>
        <w:left w:val="none" w:sz="0" w:space="0" w:color="auto"/>
        <w:bottom w:val="none" w:sz="0" w:space="0" w:color="auto"/>
        <w:right w:val="none" w:sz="0" w:space="0" w:color="auto"/>
      </w:divBdr>
    </w:div>
    <w:div w:id="754981953">
      <w:bodyDiv w:val="1"/>
      <w:marLeft w:val="0"/>
      <w:marRight w:val="0"/>
      <w:marTop w:val="0"/>
      <w:marBottom w:val="0"/>
      <w:divBdr>
        <w:top w:val="none" w:sz="0" w:space="0" w:color="auto"/>
        <w:left w:val="none" w:sz="0" w:space="0" w:color="auto"/>
        <w:bottom w:val="none" w:sz="0" w:space="0" w:color="auto"/>
        <w:right w:val="none" w:sz="0" w:space="0" w:color="auto"/>
      </w:divBdr>
      <w:divsChild>
        <w:div w:id="327293444">
          <w:marLeft w:val="0"/>
          <w:marRight w:val="0"/>
          <w:marTop w:val="0"/>
          <w:marBottom w:val="0"/>
          <w:divBdr>
            <w:top w:val="none" w:sz="0" w:space="0" w:color="auto"/>
            <w:left w:val="none" w:sz="0" w:space="0" w:color="auto"/>
            <w:bottom w:val="none" w:sz="0" w:space="0" w:color="auto"/>
            <w:right w:val="none" w:sz="0" w:space="0" w:color="auto"/>
          </w:divBdr>
          <w:divsChild>
            <w:div w:id="697973221">
              <w:marLeft w:val="0"/>
              <w:marRight w:val="0"/>
              <w:marTop w:val="0"/>
              <w:marBottom w:val="0"/>
              <w:divBdr>
                <w:top w:val="none" w:sz="0" w:space="0" w:color="auto"/>
                <w:left w:val="none" w:sz="0" w:space="0" w:color="auto"/>
                <w:bottom w:val="none" w:sz="0" w:space="0" w:color="auto"/>
                <w:right w:val="none" w:sz="0" w:space="0" w:color="auto"/>
              </w:divBdr>
              <w:divsChild>
                <w:div w:id="1459765417">
                  <w:marLeft w:val="0"/>
                  <w:marRight w:val="0"/>
                  <w:marTop w:val="0"/>
                  <w:marBottom w:val="0"/>
                  <w:divBdr>
                    <w:top w:val="none" w:sz="0" w:space="0" w:color="auto"/>
                    <w:left w:val="none" w:sz="0" w:space="0" w:color="auto"/>
                    <w:bottom w:val="none" w:sz="0" w:space="0" w:color="auto"/>
                    <w:right w:val="none" w:sz="0" w:space="0" w:color="auto"/>
                  </w:divBdr>
                  <w:divsChild>
                    <w:div w:id="34906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127217">
      <w:bodyDiv w:val="1"/>
      <w:marLeft w:val="0"/>
      <w:marRight w:val="0"/>
      <w:marTop w:val="0"/>
      <w:marBottom w:val="0"/>
      <w:divBdr>
        <w:top w:val="none" w:sz="0" w:space="0" w:color="auto"/>
        <w:left w:val="none" w:sz="0" w:space="0" w:color="auto"/>
        <w:bottom w:val="none" w:sz="0" w:space="0" w:color="auto"/>
        <w:right w:val="none" w:sz="0" w:space="0" w:color="auto"/>
      </w:divBdr>
    </w:div>
    <w:div w:id="755707603">
      <w:bodyDiv w:val="1"/>
      <w:marLeft w:val="0"/>
      <w:marRight w:val="0"/>
      <w:marTop w:val="0"/>
      <w:marBottom w:val="0"/>
      <w:divBdr>
        <w:top w:val="none" w:sz="0" w:space="0" w:color="auto"/>
        <w:left w:val="none" w:sz="0" w:space="0" w:color="auto"/>
        <w:bottom w:val="none" w:sz="0" w:space="0" w:color="auto"/>
        <w:right w:val="none" w:sz="0" w:space="0" w:color="auto"/>
      </w:divBdr>
    </w:div>
    <w:div w:id="756437797">
      <w:bodyDiv w:val="1"/>
      <w:marLeft w:val="0"/>
      <w:marRight w:val="0"/>
      <w:marTop w:val="0"/>
      <w:marBottom w:val="0"/>
      <w:divBdr>
        <w:top w:val="none" w:sz="0" w:space="0" w:color="auto"/>
        <w:left w:val="none" w:sz="0" w:space="0" w:color="auto"/>
        <w:bottom w:val="none" w:sz="0" w:space="0" w:color="auto"/>
        <w:right w:val="none" w:sz="0" w:space="0" w:color="auto"/>
      </w:divBdr>
      <w:divsChild>
        <w:div w:id="2094617794">
          <w:marLeft w:val="0"/>
          <w:marRight w:val="0"/>
          <w:marTop w:val="0"/>
          <w:marBottom w:val="0"/>
          <w:divBdr>
            <w:top w:val="none" w:sz="0" w:space="0" w:color="auto"/>
            <w:left w:val="none" w:sz="0" w:space="0" w:color="auto"/>
            <w:bottom w:val="none" w:sz="0" w:space="0" w:color="auto"/>
            <w:right w:val="none" w:sz="0" w:space="0" w:color="auto"/>
          </w:divBdr>
          <w:divsChild>
            <w:div w:id="1093936233">
              <w:marLeft w:val="0"/>
              <w:marRight w:val="0"/>
              <w:marTop w:val="0"/>
              <w:marBottom w:val="0"/>
              <w:divBdr>
                <w:top w:val="none" w:sz="0" w:space="0" w:color="auto"/>
                <w:left w:val="none" w:sz="0" w:space="0" w:color="auto"/>
                <w:bottom w:val="none" w:sz="0" w:space="0" w:color="auto"/>
                <w:right w:val="none" w:sz="0" w:space="0" w:color="auto"/>
              </w:divBdr>
              <w:divsChild>
                <w:div w:id="5057761">
                  <w:marLeft w:val="0"/>
                  <w:marRight w:val="0"/>
                  <w:marTop w:val="0"/>
                  <w:marBottom w:val="0"/>
                  <w:divBdr>
                    <w:top w:val="none" w:sz="0" w:space="0" w:color="auto"/>
                    <w:left w:val="none" w:sz="0" w:space="0" w:color="auto"/>
                    <w:bottom w:val="none" w:sz="0" w:space="0" w:color="auto"/>
                    <w:right w:val="none" w:sz="0" w:space="0" w:color="auto"/>
                  </w:divBdr>
                </w:div>
              </w:divsChild>
            </w:div>
            <w:div w:id="1619949911">
              <w:marLeft w:val="0"/>
              <w:marRight w:val="0"/>
              <w:marTop w:val="0"/>
              <w:marBottom w:val="0"/>
              <w:divBdr>
                <w:top w:val="none" w:sz="0" w:space="0" w:color="auto"/>
                <w:left w:val="none" w:sz="0" w:space="0" w:color="auto"/>
                <w:bottom w:val="none" w:sz="0" w:space="0" w:color="auto"/>
                <w:right w:val="none" w:sz="0" w:space="0" w:color="auto"/>
              </w:divBdr>
              <w:divsChild>
                <w:div w:id="1750082755">
                  <w:marLeft w:val="0"/>
                  <w:marRight w:val="0"/>
                  <w:marTop w:val="0"/>
                  <w:marBottom w:val="0"/>
                  <w:divBdr>
                    <w:top w:val="none" w:sz="0" w:space="0" w:color="auto"/>
                    <w:left w:val="none" w:sz="0" w:space="0" w:color="auto"/>
                    <w:bottom w:val="none" w:sz="0" w:space="0" w:color="auto"/>
                    <w:right w:val="none" w:sz="0" w:space="0" w:color="auto"/>
                  </w:divBdr>
                </w:div>
              </w:divsChild>
            </w:div>
            <w:div w:id="2004772304">
              <w:marLeft w:val="0"/>
              <w:marRight w:val="0"/>
              <w:marTop w:val="0"/>
              <w:marBottom w:val="0"/>
              <w:divBdr>
                <w:top w:val="none" w:sz="0" w:space="0" w:color="auto"/>
                <w:left w:val="none" w:sz="0" w:space="0" w:color="auto"/>
                <w:bottom w:val="none" w:sz="0" w:space="0" w:color="auto"/>
                <w:right w:val="none" w:sz="0" w:space="0" w:color="auto"/>
              </w:divBdr>
              <w:divsChild>
                <w:div w:id="144345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99181">
      <w:bodyDiv w:val="1"/>
      <w:marLeft w:val="0"/>
      <w:marRight w:val="0"/>
      <w:marTop w:val="0"/>
      <w:marBottom w:val="0"/>
      <w:divBdr>
        <w:top w:val="none" w:sz="0" w:space="0" w:color="auto"/>
        <w:left w:val="none" w:sz="0" w:space="0" w:color="auto"/>
        <w:bottom w:val="none" w:sz="0" w:space="0" w:color="auto"/>
        <w:right w:val="none" w:sz="0" w:space="0" w:color="auto"/>
      </w:divBdr>
    </w:div>
    <w:div w:id="757404595">
      <w:bodyDiv w:val="1"/>
      <w:marLeft w:val="0"/>
      <w:marRight w:val="0"/>
      <w:marTop w:val="0"/>
      <w:marBottom w:val="0"/>
      <w:divBdr>
        <w:top w:val="none" w:sz="0" w:space="0" w:color="auto"/>
        <w:left w:val="none" w:sz="0" w:space="0" w:color="auto"/>
        <w:bottom w:val="none" w:sz="0" w:space="0" w:color="auto"/>
        <w:right w:val="none" w:sz="0" w:space="0" w:color="auto"/>
      </w:divBdr>
    </w:div>
    <w:div w:id="757944882">
      <w:bodyDiv w:val="1"/>
      <w:marLeft w:val="0"/>
      <w:marRight w:val="0"/>
      <w:marTop w:val="0"/>
      <w:marBottom w:val="0"/>
      <w:divBdr>
        <w:top w:val="none" w:sz="0" w:space="0" w:color="auto"/>
        <w:left w:val="none" w:sz="0" w:space="0" w:color="auto"/>
        <w:bottom w:val="none" w:sz="0" w:space="0" w:color="auto"/>
        <w:right w:val="none" w:sz="0" w:space="0" w:color="auto"/>
      </w:divBdr>
    </w:div>
    <w:div w:id="759449551">
      <w:bodyDiv w:val="1"/>
      <w:marLeft w:val="0"/>
      <w:marRight w:val="0"/>
      <w:marTop w:val="0"/>
      <w:marBottom w:val="0"/>
      <w:divBdr>
        <w:top w:val="none" w:sz="0" w:space="0" w:color="auto"/>
        <w:left w:val="none" w:sz="0" w:space="0" w:color="auto"/>
        <w:bottom w:val="none" w:sz="0" w:space="0" w:color="auto"/>
        <w:right w:val="none" w:sz="0" w:space="0" w:color="auto"/>
      </w:divBdr>
    </w:div>
    <w:div w:id="759646374">
      <w:bodyDiv w:val="1"/>
      <w:marLeft w:val="0"/>
      <w:marRight w:val="0"/>
      <w:marTop w:val="0"/>
      <w:marBottom w:val="0"/>
      <w:divBdr>
        <w:top w:val="none" w:sz="0" w:space="0" w:color="auto"/>
        <w:left w:val="none" w:sz="0" w:space="0" w:color="auto"/>
        <w:bottom w:val="none" w:sz="0" w:space="0" w:color="auto"/>
        <w:right w:val="none" w:sz="0" w:space="0" w:color="auto"/>
      </w:divBdr>
    </w:div>
    <w:div w:id="760417877">
      <w:bodyDiv w:val="1"/>
      <w:marLeft w:val="0"/>
      <w:marRight w:val="0"/>
      <w:marTop w:val="0"/>
      <w:marBottom w:val="0"/>
      <w:divBdr>
        <w:top w:val="none" w:sz="0" w:space="0" w:color="auto"/>
        <w:left w:val="none" w:sz="0" w:space="0" w:color="auto"/>
        <w:bottom w:val="none" w:sz="0" w:space="0" w:color="auto"/>
        <w:right w:val="none" w:sz="0" w:space="0" w:color="auto"/>
      </w:divBdr>
    </w:div>
    <w:div w:id="760686197">
      <w:bodyDiv w:val="1"/>
      <w:marLeft w:val="0"/>
      <w:marRight w:val="0"/>
      <w:marTop w:val="0"/>
      <w:marBottom w:val="0"/>
      <w:divBdr>
        <w:top w:val="none" w:sz="0" w:space="0" w:color="auto"/>
        <w:left w:val="none" w:sz="0" w:space="0" w:color="auto"/>
        <w:bottom w:val="none" w:sz="0" w:space="0" w:color="auto"/>
        <w:right w:val="none" w:sz="0" w:space="0" w:color="auto"/>
      </w:divBdr>
    </w:div>
    <w:div w:id="761219558">
      <w:bodyDiv w:val="1"/>
      <w:marLeft w:val="0"/>
      <w:marRight w:val="0"/>
      <w:marTop w:val="0"/>
      <w:marBottom w:val="0"/>
      <w:divBdr>
        <w:top w:val="none" w:sz="0" w:space="0" w:color="auto"/>
        <w:left w:val="none" w:sz="0" w:space="0" w:color="auto"/>
        <w:bottom w:val="none" w:sz="0" w:space="0" w:color="auto"/>
        <w:right w:val="none" w:sz="0" w:space="0" w:color="auto"/>
      </w:divBdr>
    </w:div>
    <w:div w:id="761223134">
      <w:bodyDiv w:val="1"/>
      <w:marLeft w:val="0"/>
      <w:marRight w:val="0"/>
      <w:marTop w:val="0"/>
      <w:marBottom w:val="0"/>
      <w:divBdr>
        <w:top w:val="none" w:sz="0" w:space="0" w:color="auto"/>
        <w:left w:val="none" w:sz="0" w:space="0" w:color="auto"/>
        <w:bottom w:val="none" w:sz="0" w:space="0" w:color="auto"/>
        <w:right w:val="none" w:sz="0" w:space="0" w:color="auto"/>
      </w:divBdr>
    </w:div>
    <w:div w:id="762453995">
      <w:bodyDiv w:val="1"/>
      <w:marLeft w:val="0"/>
      <w:marRight w:val="0"/>
      <w:marTop w:val="0"/>
      <w:marBottom w:val="0"/>
      <w:divBdr>
        <w:top w:val="none" w:sz="0" w:space="0" w:color="auto"/>
        <w:left w:val="none" w:sz="0" w:space="0" w:color="auto"/>
        <w:bottom w:val="none" w:sz="0" w:space="0" w:color="auto"/>
        <w:right w:val="none" w:sz="0" w:space="0" w:color="auto"/>
      </w:divBdr>
      <w:divsChild>
        <w:div w:id="1978030511">
          <w:marLeft w:val="0"/>
          <w:marRight w:val="0"/>
          <w:marTop w:val="0"/>
          <w:marBottom w:val="0"/>
          <w:divBdr>
            <w:top w:val="none" w:sz="0" w:space="0" w:color="auto"/>
            <w:left w:val="none" w:sz="0" w:space="0" w:color="auto"/>
            <w:bottom w:val="none" w:sz="0" w:space="0" w:color="auto"/>
            <w:right w:val="none" w:sz="0" w:space="0" w:color="auto"/>
          </w:divBdr>
          <w:divsChild>
            <w:div w:id="955797859">
              <w:marLeft w:val="0"/>
              <w:marRight w:val="0"/>
              <w:marTop w:val="0"/>
              <w:marBottom w:val="0"/>
              <w:divBdr>
                <w:top w:val="none" w:sz="0" w:space="0" w:color="auto"/>
                <w:left w:val="none" w:sz="0" w:space="0" w:color="auto"/>
                <w:bottom w:val="none" w:sz="0" w:space="0" w:color="auto"/>
                <w:right w:val="none" w:sz="0" w:space="0" w:color="auto"/>
              </w:divBdr>
              <w:divsChild>
                <w:div w:id="1226794366">
                  <w:marLeft w:val="0"/>
                  <w:marRight w:val="0"/>
                  <w:marTop w:val="0"/>
                  <w:marBottom w:val="0"/>
                  <w:divBdr>
                    <w:top w:val="none" w:sz="0" w:space="0" w:color="auto"/>
                    <w:left w:val="none" w:sz="0" w:space="0" w:color="auto"/>
                    <w:bottom w:val="none" w:sz="0" w:space="0" w:color="auto"/>
                    <w:right w:val="none" w:sz="0" w:space="0" w:color="auto"/>
                  </w:divBdr>
                  <w:divsChild>
                    <w:div w:id="174745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605048">
      <w:bodyDiv w:val="1"/>
      <w:marLeft w:val="0"/>
      <w:marRight w:val="0"/>
      <w:marTop w:val="0"/>
      <w:marBottom w:val="0"/>
      <w:divBdr>
        <w:top w:val="none" w:sz="0" w:space="0" w:color="auto"/>
        <w:left w:val="none" w:sz="0" w:space="0" w:color="auto"/>
        <w:bottom w:val="none" w:sz="0" w:space="0" w:color="auto"/>
        <w:right w:val="none" w:sz="0" w:space="0" w:color="auto"/>
      </w:divBdr>
    </w:div>
    <w:div w:id="763501058">
      <w:bodyDiv w:val="1"/>
      <w:marLeft w:val="0"/>
      <w:marRight w:val="0"/>
      <w:marTop w:val="0"/>
      <w:marBottom w:val="0"/>
      <w:divBdr>
        <w:top w:val="none" w:sz="0" w:space="0" w:color="auto"/>
        <w:left w:val="none" w:sz="0" w:space="0" w:color="auto"/>
        <w:bottom w:val="none" w:sz="0" w:space="0" w:color="auto"/>
        <w:right w:val="none" w:sz="0" w:space="0" w:color="auto"/>
      </w:divBdr>
    </w:div>
    <w:div w:id="765153139">
      <w:bodyDiv w:val="1"/>
      <w:marLeft w:val="0"/>
      <w:marRight w:val="0"/>
      <w:marTop w:val="0"/>
      <w:marBottom w:val="0"/>
      <w:divBdr>
        <w:top w:val="none" w:sz="0" w:space="0" w:color="auto"/>
        <w:left w:val="none" w:sz="0" w:space="0" w:color="auto"/>
        <w:bottom w:val="none" w:sz="0" w:space="0" w:color="auto"/>
        <w:right w:val="none" w:sz="0" w:space="0" w:color="auto"/>
      </w:divBdr>
    </w:div>
    <w:div w:id="765923691">
      <w:bodyDiv w:val="1"/>
      <w:marLeft w:val="0"/>
      <w:marRight w:val="0"/>
      <w:marTop w:val="0"/>
      <w:marBottom w:val="0"/>
      <w:divBdr>
        <w:top w:val="none" w:sz="0" w:space="0" w:color="auto"/>
        <w:left w:val="none" w:sz="0" w:space="0" w:color="auto"/>
        <w:bottom w:val="none" w:sz="0" w:space="0" w:color="auto"/>
        <w:right w:val="none" w:sz="0" w:space="0" w:color="auto"/>
      </w:divBdr>
      <w:divsChild>
        <w:div w:id="1258559858">
          <w:marLeft w:val="0"/>
          <w:marRight w:val="0"/>
          <w:marTop w:val="0"/>
          <w:marBottom w:val="0"/>
          <w:divBdr>
            <w:top w:val="none" w:sz="0" w:space="0" w:color="auto"/>
            <w:left w:val="none" w:sz="0" w:space="0" w:color="auto"/>
            <w:bottom w:val="none" w:sz="0" w:space="0" w:color="auto"/>
            <w:right w:val="none" w:sz="0" w:space="0" w:color="auto"/>
          </w:divBdr>
          <w:divsChild>
            <w:div w:id="1276329550">
              <w:marLeft w:val="0"/>
              <w:marRight w:val="0"/>
              <w:marTop w:val="0"/>
              <w:marBottom w:val="0"/>
              <w:divBdr>
                <w:top w:val="none" w:sz="0" w:space="0" w:color="auto"/>
                <w:left w:val="none" w:sz="0" w:space="0" w:color="auto"/>
                <w:bottom w:val="none" w:sz="0" w:space="0" w:color="auto"/>
                <w:right w:val="none" w:sz="0" w:space="0" w:color="auto"/>
              </w:divBdr>
              <w:divsChild>
                <w:div w:id="444083215">
                  <w:marLeft w:val="0"/>
                  <w:marRight w:val="0"/>
                  <w:marTop w:val="0"/>
                  <w:marBottom w:val="0"/>
                  <w:divBdr>
                    <w:top w:val="none" w:sz="0" w:space="0" w:color="auto"/>
                    <w:left w:val="none" w:sz="0" w:space="0" w:color="auto"/>
                    <w:bottom w:val="none" w:sz="0" w:space="0" w:color="auto"/>
                    <w:right w:val="none" w:sz="0" w:space="0" w:color="auto"/>
                  </w:divBdr>
                  <w:divsChild>
                    <w:div w:id="128596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541789">
      <w:bodyDiv w:val="1"/>
      <w:marLeft w:val="0"/>
      <w:marRight w:val="0"/>
      <w:marTop w:val="0"/>
      <w:marBottom w:val="0"/>
      <w:divBdr>
        <w:top w:val="none" w:sz="0" w:space="0" w:color="auto"/>
        <w:left w:val="none" w:sz="0" w:space="0" w:color="auto"/>
        <w:bottom w:val="none" w:sz="0" w:space="0" w:color="auto"/>
        <w:right w:val="none" w:sz="0" w:space="0" w:color="auto"/>
      </w:divBdr>
      <w:divsChild>
        <w:div w:id="644286566">
          <w:marLeft w:val="0"/>
          <w:marRight w:val="0"/>
          <w:marTop w:val="0"/>
          <w:marBottom w:val="0"/>
          <w:divBdr>
            <w:top w:val="none" w:sz="0" w:space="0" w:color="auto"/>
            <w:left w:val="none" w:sz="0" w:space="0" w:color="auto"/>
            <w:bottom w:val="none" w:sz="0" w:space="0" w:color="auto"/>
            <w:right w:val="none" w:sz="0" w:space="0" w:color="auto"/>
          </w:divBdr>
          <w:divsChild>
            <w:div w:id="893197775">
              <w:marLeft w:val="0"/>
              <w:marRight w:val="0"/>
              <w:marTop w:val="0"/>
              <w:marBottom w:val="0"/>
              <w:divBdr>
                <w:top w:val="none" w:sz="0" w:space="0" w:color="auto"/>
                <w:left w:val="none" w:sz="0" w:space="0" w:color="auto"/>
                <w:bottom w:val="none" w:sz="0" w:space="0" w:color="auto"/>
                <w:right w:val="none" w:sz="0" w:space="0" w:color="auto"/>
              </w:divBdr>
              <w:divsChild>
                <w:div w:id="1742020008">
                  <w:marLeft w:val="0"/>
                  <w:marRight w:val="0"/>
                  <w:marTop w:val="0"/>
                  <w:marBottom w:val="0"/>
                  <w:divBdr>
                    <w:top w:val="none" w:sz="0" w:space="0" w:color="auto"/>
                    <w:left w:val="none" w:sz="0" w:space="0" w:color="auto"/>
                    <w:bottom w:val="none" w:sz="0" w:space="0" w:color="auto"/>
                    <w:right w:val="none" w:sz="0" w:space="0" w:color="auto"/>
                  </w:divBdr>
                  <w:divsChild>
                    <w:div w:id="171549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115290">
      <w:bodyDiv w:val="1"/>
      <w:marLeft w:val="0"/>
      <w:marRight w:val="0"/>
      <w:marTop w:val="0"/>
      <w:marBottom w:val="0"/>
      <w:divBdr>
        <w:top w:val="none" w:sz="0" w:space="0" w:color="auto"/>
        <w:left w:val="none" w:sz="0" w:space="0" w:color="auto"/>
        <w:bottom w:val="none" w:sz="0" w:space="0" w:color="auto"/>
        <w:right w:val="none" w:sz="0" w:space="0" w:color="auto"/>
      </w:divBdr>
    </w:div>
    <w:div w:id="767316909">
      <w:bodyDiv w:val="1"/>
      <w:marLeft w:val="0"/>
      <w:marRight w:val="0"/>
      <w:marTop w:val="0"/>
      <w:marBottom w:val="0"/>
      <w:divBdr>
        <w:top w:val="none" w:sz="0" w:space="0" w:color="auto"/>
        <w:left w:val="none" w:sz="0" w:space="0" w:color="auto"/>
        <w:bottom w:val="none" w:sz="0" w:space="0" w:color="auto"/>
        <w:right w:val="none" w:sz="0" w:space="0" w:color="auto"/>
      </w:divBdr>
    </w:div>
    <w:div w:id="767625055">
      <w:bodyDiv w:val="1"/>
      <w:marLeft w:val="0"/>
      <w:marRight w:val="0"/>
      <w:marTop w:val="0"/>
      <w:marBottom w:val="0"/>
      <w:divBdr>
        <w:top w:val="none" w:sz="0" w:space="0" w:color="auto"/>
        <w:left w:val="none" w:sz="0" w:space="0" w:color="auto"/>
        <w:bottom w:val="none" w:sz="0" w:space="0" w:color="auto"/>
        <w:right w:val="none" w:sz="0" w:space="0" w:color="auto"/>
      </w:divBdr>
    </w:div>
    <w:div w:id="769163157">
      <w:bodyDiv w:val="1"/>
      <w:marLeft w:val="0"/>
      <w:marRight w:val="0"/>
      <w:marTop w:val="0"/>
      <w:marBottom w:val="0"/>
      <w:divBdr>
        <w:top w:val="none" w:sz="0" w:space="0" w:color="auto"/>
        <w:left w:val="none" w:sz="0" w:space="0" w:color="auto"/>
        <w:bottom w:val="none" w:sz="0" w:space="0" w:color="auto"/>
        <w:right w:val="none" w:sz="0" w:space="0" w:color="auto"/>
      </w:divBdr>
    </w:div>
    <w:div w:id="769394598">
      <w:bodyDiv w:val="1"/>
      <w:marLeft w:val="0"/>
      <w:marRight w:val="0"/>
      <w:marTop w:val="0"/>
      <w:marBottom w:val="0"/>
      <w:divBdr>
        <w:top w:val="none" w:sz="0" w:space="0" w:color="auto"/>
        <w:left w:val="none" w:sz="0" w:space="0" w:color="auto"/>
        <w:bottom w:val="none" w:sz="0" w:space="0" w:color="auto"/>
        <w:right w:val="none" w:sz="0" w:space="0" w:color="auto"/>
      </w:divBdr>
    </w:div>
    <w:div w:id="769664527">
      <w:bodyDiv w:val="1"/>
      <w:marLeft w:val="0"/>
      <w:marRight w:val="0"/>
      <w:marTop w:val="0"/>
      <w:marBottom w:val="0"/>
      <w:divBdr>
        <w:top w:val="none" w:sz="0" w:space="0" w:color="auto"/>
        <w:left w:val="none" w:sz="0" w:space="0" w:color="auto"/>
        <w:bottom w:val="none" w:sz="0" w:space="0" w:color="auto"/>
        <w:right w:val="none" w:sz="0" w:space="0" w:color="auto"/>
      </w:divBdr>
      <w:divsChild>
        <w:div w:id="703097337">
          <w:marLeft w:val="0"/>
          <w:marRight w:val="0"/>
          <w:marTop w:val="0"/>
          <w:marBottom w:val="0"/>
          <w:divBdr>
            <w:top w:val="none" w:sz="0" w:space="0" w:color="auto"/>
            <w:left w:val="none" w:sz="0" w:space="0" w:color="auto"/>
            <w:bottom w:val="none" w:sz="0" w:space="0" w:color="auto"/>
            <w:right w:val="none" w:sz="0" w:space="0" w:color="auto"/>
          </w:divBdr>
          <w:divsChild>
            <w:div w:id="145131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55818">
      <w:bodyDiv w:val="1"/>
      <w:marLeft w:val="0"/>
      <w:marRight w:val="0"/>
      <w:marTop w:val="0"/>
      <w:marBottom w:val="0"/>
      <w:divBdr>
        <w:top w:val="none" w:sz="0" w:space="0" w:color="auto"/>
        <w:left w:val="none" w:sz="0" w:space="0" w:color="auto"/>
        <w:bottom w:val="none" w:sz="0" w:space="0" w:color="auto"/>
        <w:right w:val="none" w:sz="0" w:space="0" w:color="auto"/>
      </w:divBdr>
      <w:divsChild>
        <w:div w:id="1406877615">
          <w:marLeft w:val="0"/>
          <w:marRight w:val="0"/>
          <w:marTop w:val="0"/>
          <w:marBottom w:val="0"/>
          <w:divBdr>
            <w:top w:val="none" w:sz="0" w:space="0" w:color="auto"/>
            <w:left w:val="none" w:sz="0" w:space="0" w:color="auto"/>
            <w:bottom w:val="none" w:sz="0" w:space="0" w:color="auto"/>
            <w:right w:val="none" w:sz="0" w:space="0" w:color="auto"/>
          </w:divBdr>
          <w:divsChild>
            <w:div w:id="242449005">
              <w:marLeft w:val="0"/>
              <w:marRight w:val="0"/>
              <w:marTop w:val="0"/>
              <w:marBottom w:val="0"/>
              <w:divBdr>
                <w:top w:val="none" w:sz="0" w:space="0" w:color="auto"/>
                <w:left w:val="none" w:sz="0" w:space="0" w:color="auto"/>
                <w:bottom w:val="none" w:sz="0" w:space="0" w:color="auto"/>
                <w:right w:val="none" w:sz="0" w:space="0" w:color="auto"/>
              </w:divBdr>
              <w:divsChild>
                <w:div w:id="360284117">
                  <w:marLeft w:val="0"/>
                  <w:marRight w:val="0"/>
                  <w:marTop w:val="0"/>
                  <w:marBottom w:val="0"/>
                  <w:divBdr>
                    <w:top w:val="none" w:sz="0" w:space="0" w:color="auto"/>
                    <w:left w:val="none" w:sz="0" w:space="0" w:color="auto"/>
                    <w:bottom w:val="none" w:sz="0" w:space="0" w:color="auto"/>
                    <w:right w:val="none" w:sz="0" w:space="0" w:color="auto"/>
                  </w:divBdr>
                  <w:divsChild>
                    <w:div w:id="1002123691">
                      <w:marLeft w:val="0"/>
                      <w:marRight w:val="0"/>
                      <w:marTop w:val="0"/>
                      <w:marBottom w:val="0"/>
                      <w:divBdr>
                        <w:top w:val="none" w:sz="0" w:space="0" w:color="auto"/>
                        <w:left w:val="none" w:sz="0" w:space="0" w:color="auto"/>
                        <w:bottom w:val="none" w:sz="0" w:space="0" w:color="auto"/>
                        <w:right w:val="none" w:sz="0" w:space="0" w:color="auto"/>
                      </w:divBdr>
                    </w:div>
                  </w:divsChild>
                </w:div>
                <w:div w:id="660810559">
                  <w:marLeft w:val="0"/>
                  <w:marRight w:val="0"/>
                  <w:marTop w:val="0"/>
                  <w:marBottom w:val="0"/>
                  <w:divBdr>
                    <w:top w:val="none" w:sz="0" w:space="0" w:color="auto"/>
                    <w:left w:val="none" w:sz="0" w:space="0" w:color="auto"/>
                    <w:bottom w:val="none" w:sz="0" w:space="0" w:color="auto"/>
                    <w:right w:val="none" w:sz="0" w:space="0" w:color="auto"/>
                  </w:divBdr>
                  <w:divsChild>
                    <w:div w:id="905527512">
                      <w:marLeft w:val="0"/>
                      <w:marRight w:val="0"/>
                      <w:marTop w:val="0"/>
                      <w:marBottom w:val="0"/>
                      <w:divBdr>
                        <w:top w:val="none" w:sz="0" w:space="0" w:color="auto"/>
                        <w:left w:val="none" w:sz="0" w:space="0" w:color="auto"/>
                        <w:bottom w:val="none" w:sz="0" w:space="0" w:color="auto"/>
                        <w:right w:val="none" w:sz="0" w:space="0" w:color="auto"/>
                      </w:divBdr>
                    </w:div>
                  </w:divsChild>
                </w:div>
                <w:div w:id="1116289989">
                  <w:marLeft w:val="0"/>
                  <w:marRight w:val="0"/>
                  <w:marTop w:val="0"/>
                  <w:marBottom w:val="0"/>
                  <w:divBdr>
                    <w:top w:val="none" w:sz="0" w:space="0" w:color="auto"/>
                    <w:left w:val="none" w:sz="0" w:space="0" w:color="auto"/>
                    <w:bottom w:val="none" w:sz="0" w:space="0" w:color="auto"/>
                    <w:right w:val="none" w:sz="0" w:space="0" w:color="auto"/>
                  </w:divBdr>
                  <w:divsChild>
                    <w:div w:id="79942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557333">
      <w:bodyDiv w:val="1"/>
      <w:marLeft w:val="0"/>
      <w:marRight w:val="0"/>
      <w:marTop w:val="0"/>
      <w:marBottom w:val="0"/>
      <w:divBdr>
        <w:top w:val="none" w:sz="0" w:space="0" w:color="auto"/>
        <w:left w:val="none" w:sz="0" w:space="0" w:color="auto"/>
        <w:bottom w:val="none" w:sz="0" w:space="0" w:color="auto"/>
        <w:right w:val="none" w:sz="0" w:space="0" w:color="auto"/>
      </w:divBdr>
    </w:div>
    <w:div w:id="771626487">
      <w:bodyDiv w:val="1"/>
      <w:marLeft w:val="0"/>
      <w:marRight w:val="0"/>
      <w:marTop w:val="0"/>
      <w:marBottom w:val="0"/>
      <w:divBdr>
        <w:top w:val="none" w:sz="0" w:space="0" w:color="auto"/>
        <w:left w:val="none" w:sz="0" w:space="0" w:color="auto"/>
        <w:bottom w:val="none" w:sz="0" w:space="0" w:color="auto"/>
        <w:right w:val="none" w:sz="0" w:space="0" w:color="auto"/>
      </w:divBdr>
    </w:div>
    <w:div w:id="772365401">
      <w:bodyDiv w:val="1"/>
      <w:marLeft w:val="0"/>
      <w:marRight w:val="0"/>
      <w:marTop w:val="0"/>
      <w:marBottom w:val="0"/>
      <w:divBdr>
        <w:top w:val="none" w:sz="0" w:space="0" w:color="auto"/>
        <w:left w:val="none" w:sz="0" w:space="0" w:color="auto"/>
        <w:bottom w:val="none" w:sz="0" w:space="0" w:color="auto"/>
        <w:right w:val="none" w:sz="0" w:space="0" w:color="auto"/>
      </w:divBdr>
      <w:divsChild>
        <w:div w:id="1101102140">
          <w:marLeft w:val="0"/>
          <w:marRight w:val="0"/>
          <w:marTop w:val="0"/>
          <w:marBottom w:val="0"/>
          <w:divBdr>
            <w:top w:val="none" w:sz="0" w:space="0" w:color="auto"/>
            <w:left w:val="none" w:sz="0" w:space="0" w:color="auto"/>
            <w:bottom w:val="none" w:sz="0" w:space="0" w:color="auto"/>
            <w:right w:val="none" w:sz="0" w:space="0" w:color="auto"/>
          </w:divBdr>
          <w:divsChild>
            <w:div w:id="1078139530">
              <w:marLeft w:val="0"/>
              <w:marRight w:val="0"/>
              <w:marTop w:val="0"/>
              <w:marBottom w:val="0"/>
              <w:divBdr>
                <w:top w:val="none" w:sz="0" w:space="0" w:color="auto"/>
                <w:left w:val="none" w:sz="0" w:space="0" w:color="auto"/>
                <w:bottom w:val="none" w:sz="0" w:space="0" w:color="auto"/>
                <w:right w:val="none" w:sz="0" w:space="0" w:color="auto"/>
              </w:divBdr>
              <w:divsChild>
                <w:div w:id="127751402">
                  <w:marLeft w:val="0"/>
                  <w:marRight w:val="0"/>
                  <w:marTop w:val="0"/>
                  <w:marBottom w:val="0"/>
                  <w:divBdr>
                    <w:top w:val="none" w:sz="0" w:space="0" w:color="auto"/>
                    <w:left w:val="none" w:sz="0" w:space="0" w:color="auto"/>
                    <w:bottom w:val="none" w:sz="0" w:space="0" w:color="auto"/>
                    <w:right w:val="none" w:sz="0" w:space="0" w:color="auto"/>
                  </w:divBdr>
                  <w:divsChild>
                    <w:div w:id="9839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749019">
      <w:bodyDiv w:val="1"/>
      <w:marLeft w:val="0"/>
      <w:marRight w:val="0"/>
      <w:marTop w:val="0"/>
      <w:marBottom w:val="0"/>
      <w:divBdr>
        <w:top w:val="none" w:sz="0" w:space="0" w:color="auto"/>
        <w:left w:val="none" w:sz="0" w:space="0" w:color="auto"/>
        <w:bottom w:val="none" w:sz="0" w:space="0" w:color="auto"/>
        <w:right w:val="none" w:sz="0" w:space="0" w:color="auto"/>
      </w:divBdr>
    </w:div>
    <w:div w:id="773596799">
      <w:bodyDiv w:val="1"/>
      <w:marLeft w:val="0"/>
      <w:marRight w:val="0"/>
      <w:marTop w:val="0"/>
      <w:marBottom w:val="0"/>
      <w:divBdr>
        <w:top w:val="none" w:sz="0" w:space="0" w:color="auto"/>
        <w:left w:val="none" w:sz="0" w:space="0" w:color="auto"/>
        <w:bottom w:val="none" w:sz="0" w:space="0" w:color="auto"/>
        <w:right w:val="none" w:sz="0" w:space="0" w:color="auto"/>
      </w:divBdr>
    </w:div>
    <w:div w:id="774061122">
      <w:bodyDiv w:val="1"/>
      <w:marLeft w:val="0"/>
      <w:marRight w:val="0"/>
      <w:marTop w:val="0"/>
      <w:marBottom w:val="0"/>
      <w:divBdr>
        <w:top w:val="none" w:sz="0" w:space="0" w:color="auto"/>
        <w:left w:val="none" w:sz="0" w:space="0" w:color="auto"/>
        <w:bottom w:val="none" w:sz="0" w:space="0" w:color="auto"/>
        <w:right w:val="none" w:sz="0" w:space="0" w:color="auto"/>
      </w:divBdr>
    </w:div>
    <w:div w:id="775952165">
      <w:bodyDiv w:val="1"/>
      <w:marLeft w:val="0"/>
      <w:marRight w:val="0"/>
      <w:marTop w:val="0"/>
      <w:marBottom w:val="0"/>
      <w:divBdr>
        <w:top w:val="none" w:sz="0" w:space="0" w:color="auto"/>
        <w:left w:val="none" w:sz="0" w:space="0" w:color="auto"/>
        <w:bottom w:val="none" w:sz="0" w:space="0" w:color="auto"/>
        <w:right w:val="none" w:sz="0" w:space="0" w:color="auto"/>
      </w:divBdr>
    </w:div>
    <w:div w:id="776146829">
      <w:bodyDiv w:val="1"/>
      <w:marLeft w:val="0"/>
      <w:marRight w:val="0"/>
      <w:marTop w:val="0"/>
      <w:marBottom w:val="0"/>
      <w:divBdr>
        <w:top w:val="none" w:sz="0" w:space="0" w:color="auto"/>
        <w:left w:val="none" w:sz="0" w:space="0" w:color="auto"/>
        <w:bottom w:val="none" w:sz="0" w:space="0" w:color="auto"/>
        <w:right w:val="none" w:sz="0" w:space="0" w:color="auto"/>
      </w:divBdr>
    </w:div>
    <w:div w:id="776679568">
      <w:bodyDiv w:val="1"/>
      <w:marLeft w:val="0"/>
      <w:marRight w:val="0"/>
      <w:marTop w:val="0"/>
      <w:marBottom w:val="0"/>
      <w:divBdr>
        <w:top w:val="none" w:sz="0" w:space="0" w:color="auto"/>
        <w:left w:val="none" w:sz="0" w:space="0" w:color="auto"/>
        <w:bottom w:val="none" w:sz="0" w:space="0" w:color="auto"/>
        <w:right w:val="none" w:sz="0" w:space="0" w:color="auto"/>
      </w:divBdr>
      <w:divsChild>
        <w:div w:id="1890452188">
          <w:marLeft w:val="0"/>
          <w:marRight w:val="0"/>
          <w:marTop w:val="0"/>
          <w:marBottom w:val="0"/>
          <w:divBdr>
            <w:top w:val="none" w:sz="0" w:space="0" w:color="auto"/>
            <w:left w:val="none" w:sz="0" w:space="0" w:color="auto"/>
            <w:bottom w:val="none" w:sz="0" w:space="0" w:color="auto"/>
            <w:right w:val="none" w:sz="0" w:space="0" w:color="auto"/>
          </w:divBdr>
          <w:divsChild>
            <w:div w:id="1477601187">
              <w:marLeft w:val="0"/>
              <w:marRight w:val="0"/>
              <w:marTop w:val="0"/>
              <w:marBottom w:val="0"/>
              <w:divBdr>
                <w:top w:val="none" w:sz="0" w:space="0" w:color="auto"/>
                <w:left w:val="none" w:sz="0" w:space="0" w:color="auto"/>
                <w:bottom w:val="none" w:sz="0" w:space="0" w:color="auto"/>
                <w:right w:val="none" w:sz="0" w:space="0" w:color="auto"/>
              </w:divBdr>
              <w:divsChild>
                <w:div w:id="847645993">
                  <w:marLeft w:val="0"/>
                  <w:marRight w:val="0"/>
                  <w:marTop w:val="0"/>
                  <w:marBottom w:val="0"/>
                  <w:divBdr>
                    <w:top w:val="none" w:sz="0" w:space="0" w:color="auto"/>
                    <w:left w:val="none" w:sz="0" w:space="0" w:color="auto"/>
                    <w:bottom w:val="none" w:sz="0" w:space="0" w:color="auto"/>
                    <w:right w:val="none" w:sz="0" w:space="0" w:color="auto"/>
                  </w:divBdr>
                  <w:divsChild>
                    <w:div w:id="138668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288188">
      <w:bodyDiv w:val="1"/>
      <w:marLeft w:val="0"/>
      <w:marRight w:val="0"/>
      <w:marTop w:val="0"/>
      <w:marBottom w:val="0"/>
      <w:divBdr>
        <w:top w:val="none" w:sz="0" w:space="0" w:color="auto"/>
        <w:left w:val="none" w:sz="0" w:space="0" w:color="auto"/>
        <w:bottom w:val="none" w:sz="0" w:space="0" w:color="auto"/>
        <w:right w:val="none" w:sz="0" w:space="0" w:color="auto"/>
      </w:divBdr>
    </w:div>
    <w:div w:id="778061577">
      <w:bodyDiv w:val="1"/>
      <w:marLeft w:val="0"/>
      <w:marRight w:val="0"/>
      <w:marTop w:val="0"/>
      <w:marBottom w:val="0"/>
      <w:divBdr>
        <w:top w:val="none" w:sz="0" w:space="0" w:color="auto"/>
        <w:left w:val="none" w:sz="0" w:space="0" w:color="auto"/>
        <w:bottom w:val="none" w:sz="0" w:space="0" w:color="auto"/>
        <w:right w:val="none" w:sz="0" w:space="0" w:color="auto"/>
      </w:divBdr>
    </w:div>
    <w:div w:id="778259834">
      <w:bodyDiv w:val="1"/>
      <w:marLeft w:val="0"/>
      <w:marRight w:val="0"/>
      <w:marTop w:val="0"/>
      <w:marBottom w:val="0"/>
      <w:divBdr>
        <w:top w:val="none" w:sz="0" w:space="0" w:color="auto"/>
        <w:left w:val="none" w:sz="0" w:space="0" w:color="auto"/>
        <w:bottom w:val="none" w:sz="0" w:space="0" w:color="auto"/>
        <w:right w:val="none" w:sz="0" w:space="0" w:color="auto"/>
      </w:divBdr>
    </w:div>
    <w:div w:id="780607235">
      <w:bodyDiv w:val="1"/>
      <w:marLeft w:val="0"/>
      <w:marRight w:val="0"/>
      <w:marTop w:val="0"/>
      <w:marBottom w:val="0"/>
      <w:divBdr>
        <w:top w:val="none" w:sz="0" w:space="0" w:color="auto"/>
        <w:left w:val="none" w:sz="0" w:space="0" w:color="auto"/>
        <w:bottom w:val="none" w:sz="0" w:space="0" w:color="auto"/>
        <w:right w:val="none" w:sz="0" w:space="0" w:color="auto"/>
      </w:divBdr>
    </w:div>
    <w:div w:id="780877335">
      <w:bodyDiv w:val="1"/>
      <w:marLeft w:val="0"/>
      <w:marRight w:val="0"/>
      <w:marTop w:val="0"/>
      <w:marBottom w:val="0"/>
      <w:divBdr>
        <w:top w:val="none" w:sz="0" w:space="0" w:color="auto"/>
        <w:left w:val="none" w:sz="0" w:space="0" w:color="auto"/>
        <w:bottom w:val="none" w:sz="0" w:space="0" w:color="auto"/>
        <w:right w:val="none" w:sz="0" w:space="0" w:color="auto"/>
      </w:divBdr>
      <w:divsChild>
        <w:div w:id="1753237313">
          <w:marLeft w:val="0"/>
          <w:marRight w:val="0"/>
          <w:marTop w:val="0"/>
          <w:marBottom w:val="0"/>
          <w:divBdr>
            <w:top w:val="none" w:sz="0" w:space="0" w:color="auto"/>
            <w:left w:val="none" w:sz="0" w:space="0" w:color="auto"/>
            <w:bottom w:val="none" w:sz="0" w:space="0" w:color="auto"/>
            <w:right w:val="none" w:sz="0" w:space="0" w:color="auto"/>
          </w:divBdr>
          <w:divsChild>
            <w:div w:id="1553419659">
              <w:marLeft w:val="0"/>
              <w:marRight w:val="0"/>
              <w:marTop w:val="0"/>
              <w:marBottom w:val="0"/>
              <w:divBdr>
                <w:top w:val="none" w:sz="0" w:space="0" w:color="auto"/>
                <w:left w:val="none" w:sz="0" w:space="0" w:color="auto"/>
                <w:bottom w:val="none" w:sz="0" w:space="0" w:color="auto"/>
                <w:right w:val="none" w:sz="0" w:space="0" w:color="auto"/>
              </w:divBdr>
              <w:divsChild>
                <w:div w:id="7754543">
                  <w:marLeft w:val="0"/>
                  <w:marRight w:val="0"/>
                  <w:marTop w:val="0"/>
                  <w:marBottom w:val="0"/>
                  <w:divBdr>
                    <w:top w:val="none" w:sz="0" w:space="0" w:color="auto"/>
                    <w:left w:val="none" w:sz="0" w:space="0" w:color="auto"/>
                    <w:bottom w:val="none" w:sz="0" w:space="0" w:color="auto"/>
                    <w:right w:val="none" w:sz="0" w:space="0" w:color="auto"/>
                  </w:divBdr>
                  <w:divsChild>
                    <w:div w:id="207061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724491">
      <w:bodyDiv w:val="1"/>
      <w:marLeft w:val="0"/>
      <w:marRight w:val="0"/>
      <w:marTop w:val="0"/>
      <w:marBottom w:val="0"/>
      <w:divBdr>
        <w:top w:val="none" w:sz="0" w:space="0" w:color="auto"/>
        <w:left w:val="none" w:sz="0" w:space="0" w:color="auto"/>
        <w:bottom w:val="none" w:sz="0" w:space="0" w:color="auto"/>
        <w:right w:val="none" w:sz="0" w:space="0" w:color="auto"/>
      </w:divBdr>
      <w:divsChild>
        <w:div w:id="1173495047">
          <w:marLeft w:val="0"/>
          <w:marRight w:val="0"/>
          <w:marTop w:val="0"/>
          <w:marBottom w:val="0"/>
          <w:divBdr>
            <w:top w:val="none" w:sz="0" w:space="0" w:color="auto"/>
            <w:left w:val="none" w:sz="0" w:space="0" w:color="auto"/>
            <w:bottom w:val="none" w:sz="0" w:space="0" w:color="auto"/>
            <w:right w:val="none" w:sz="0" w:space="0" w:color="auto"/>
          </w:divBdr>
          <w:divsChild>
            <w:div w:id="361713805">
              <w:marLeft w:val="0"/>
              <w:marRight w:val="0"/>
              <w:marTop w:val="0"/>
              <w:marBottom w:val="0"/>
              <w:divBdr>
                <w:top w:val="none" w:sz="0" w:space="0" w:color="auto"/>
                <w:left w:val="none" w:sz="0" w:space="0" w:color="auto"/>
                <w:bottom w:val="none" w:sz="0" w:space="0" w:color="auto"/>
                <w:right w:val="none" w:sz="0" w:space="0" w:color="auto"/>
              </w:divBdr>
              <w:divsChild>
                <w:div w:id="1962296719">
                  <w:marLeft w:val="0"/>
                  <w:marRight w:val="0"/>
                  <w:marTop w:val="0"/>
                  <w:marBottom w:val="0"/>
                  <w:divBdr>
                    <w:top w:val="none" w:sz="0" w:space="0" w:color="auto"/>
                    <w:left w:val="none" w:sz="0" w:space="0" w:color="auto"/>
                    <w:bottom w:val="none" w:sz="0" w:space="0" w:color="auto"/>
                    <w:right w:val="none" w:sz="0" w:space="0" w:color="auto"/>
                  </w:divBdr>
                  <w:divsChild>
                    <w:div w:id="1533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116762">
      <w:bodyDiv w:val="1"/>
      <w:marLeft w:val="0"/>
      <w:marRight w:val="0"/>
      <w:marTop w:val="0"/>
      <w:marBottom w:val="0"/>
      <w:divBdr>
        <w:top w:val="none" w:sz="0" w:space="0" w:color="auto"/>
        <w:left w:val="none" w:sz="0" w:space="0" w:color="auto"/>
        <w:bottom w:val="none" w:sz="0" w:space="0" w:color="auto"/>
        <w:right w:val="none" w:sz="0" w:space="0" w:color="auto"/>
      </w:divBdr>
    </w:div>
    <w:div w:id="782387292">
      <w:bodyDiv w:val="1"/>
      <w:marLeft w:val="0"/>
      <w:marRight w:val="0"/>
      <w:marTop w:val="0"/>
      <w:marBottom w:val="0"/>
      <w:divBdr>
        <w:top w:val="none" w:sz="0" w:space="0" w:color="auto"/>
        <w:left w:val="none" w:sz="0" w:space="0" w:color="auto"/>
        <w:bottom w:val="none" w:sz="0" w:space="0" w:color="auto"/>
        <w:right w:val="none" w:sz="0" w:space="0" w:color="auto"/>
      </w:divBdr>
      <w:divsChild>
        <w:div w:id="1535265531">
          <w:marLeft w:val="0"/>
          <w:marRight w:val="0"/>
          <w:marTop w:val="0"/>
          <w:marBottom w:val="0"/>
          <w:divBdr>
            <w:top w:val="none" w:sz="0" w:space="0" w:color="auto"/>
            <w:left w:val="none" w:sz="0" w:space="0" w:color="auto"/>
            <w:bottom w:val="none" w:sz="0" w:space="0" w:color="auto"/>
            <w:right w:val="none" w:sz="0" w:space="0" w:color="auto"/>
          </w:divBdr>
          <w:divsChild>
            <w:div w:id="468934712">
              <w:marLeft w:val="0"/>
              <w:marRight w:val="0"/>
              <w:marTop w:val="0"/>
              <w:marBottom w:val="0"/>
              <w:divBdr>
                <w:top w:val="none" w:sz="0" w:space="0" w:color="auto"/>
                <w:left w:val="none" w:sz="0" w:space="0" w:color="auto"/>
                <w:bottom w:val="none" w:sz="0" w:space="0" w:color="auto"/>
                <w:right w:val="none" w:sz="0" w:space="0" w:color="auto"/>
              </w:divBdr>
              <w:divsChild>
                <w:div w:id="1250693505">
                  <w:marLeft w:val="0"/>
                  <w:marRight w:val="0"/>
                  <w:marTop w:val="0"/>
                  <w:marBottom w:val="0"/>
                  <w:divBdr>
                    <w:top w:val="none" w:sz="0" w:space="0" w:color="auto"/>
                    <w:left w:val="none" w:sz="0" w:space="0" w:color="auto"/>
                    <w:bottom w:val="none" w:sz="0" w:space="0" w:color="auto"/>
                    <w:right w:val="none" w:sz="0" w:space="0" w:color="auto"/>
                  </w:divBdr>
                  <w:divsChild>
                    <w:div w:id="28562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82803">
      <w:bodyDiv w:val="1"/>
      <w:marLeft w:val="0"/>
      <w:marRight w:val="0"/>
      <w:marTop w:val="0"/>
      <w:marBottom w:val="0"/>
      <w:divBdr>
        <w:top w:val="none" w:sz="0" w:space="0" w:color="auto"/>
        <w:left w:val="none" w:sz="0" w:space="0" w:color="auto"/>
        <w:bottom w:val="none" w:sz="0" w:space="0" w:color="auto"/>
        <w:right w:val="none" w:sz="0" w:space="0" w:color="auto"/>
      </w:divBdr>
    </w:div>
    <w:div w:id="783615436">
      <w:bodyDiv w:val="1"/>
      <w:marLeft w:val="0"/>
      <w:marRight w:val="0"/>
      <w:marTop w:val="0"/>
      <w:marBottom w:val="0"/>
      <w:divBdr>
        <w:top w:val="none" w:sz="0" w:space="0" w:color="auto"/>
        <w:left w:val="none" w:sz="0" w:space="0" w:color="auto"/>
        <w:bottom w:val="none" w:sz="0" w:space="0" w:color="auto"/>
        <w:right w:val="none" w:sz="0" w:space="0" w:color="auto"/>
      </w:divBdr>
    </w:div>
    <w:div w:id="785344761">
      <w:bodyDiv w:val="1"/>
      <w:marLeft w:val="0"/>
      <w:marRight w:val="0"/>
      <w:marTop w:val="0"/>
      <w:marBottom w:val="0"/>
      <w:divBdr>
        <w:top w:val="none" w:sz="0" w:space="0" w:color="auto"/>
        <w:left w:val="none" w:sz="0" w:space="0" w:color="auto"/>
        <w:bottom w:val="none" w:sz="0" w:space="0" w:color="auto"/>
        <w:right w:val="none" w:sz="0" w:space="0" w:color="auto"/>
      </w:divBdr>
    </w:div>
    <w:div w:id="785392890">
      <w:bodyDiv w:val="1"/>
      <w:marLeft w:val="0"/>
      <w:marRight w:val="0"/>
      <w:marTop w:val="0"/>
      <w:marBottom w:val="0"/>
      <w:divBdr>
        <w:top w:val="none" w:sz="0" w:space="0" w:color="auto"/>
        <w:left w:val="none" w:sz="0" w:space="0" w:color="auto"/>
        <w:bottom w:val="none" w:sz="0" w:space="0" w:color="auto"/>
        <w:right w:val="none" w:sz="0" w:space="0" w:color="auto"/>
      </w:divBdr>
    </w:div>
    <w:div w:id="786200226">
      <w:bodyDiv w:val="1"/>
      <w:marLeft w:val="0"/>
      <w:marRight w:val="0"/>
      <w:marTop w:val="0"/>
      <w:marBottom w:val="0"/>
      <w:divBdr>
        <w:top w:val="none" w:sz="0" w:space="0" w:color="auto"/>
        <w:left w:val="none" w:sz="0" w:space="0" w:color="auto"/>
        <w:bottom w:val="none" w:sz="0" w:space="0" w:color="auto"/>
        <w:right w:val="none" w:sz="0" w:space="0" w:color="auto"/>
      </w:divBdr>
      <w:divsChild>
        <w:div w:id="65421511">
          <w:marLeft w:val="0"/>
          <w:marRight w:val="0"/>
          <w:marTop w:val="0"/>
          <w:marBottom w:val="0"/>
          <w:divBdr>
            <w:top w:val="none" w:sz="0" w:space="0" w:color="auto"/>
            <w:left w:val="none" w:sz="0" w:space="0" w:color="auto"/>
            <w:bottom w:val="none" w:sz="0" w:space="0" w:color="auto"/>
            <w:right w:val="none" w:sz="0" w:space="0" w:color="auto"/>
          </w:divBdr>
          <w:divsChild>
            <w:div w:id="115107694">
              <w:marLeft w:val="0"/>
              <w:marRight w:val="0"/>
              <w:marTop w:val="0"/>
              <w:marBottom w:val="0"/>
              <w:divBdr>
                <w:top w:val="none" w:sz="0" w:space="0" w:color="auto"/>
                <w:left w:val="none" w:sz="0" w:space="0" w:color="auto"/>
                <w:bottom w:val="none" w:sz="0" w:space="0" w:color="auto"/>
                <w:right w:val="none" w:sz="0" w:space="0" w:color="auto"/>
              </w:divBdr>
              <w:divsChild>
                <w:div w:id="1131901456">
                  <w:marLeft w:val="0"/>
                  <w:marRight w:val="0"/>
                  <w:marTop w:val="0"/>
                  <w:marBottom w:val="0"/>
                  <w:divBdr>
                    <w:top w:val="none" w:sz="0" w:space="0" w:color="auto"/>
                    <w:left w:val="none" w:sz="0" w:space="0" w:color="auto"/>
                    <w:bottom w:val="none" w:sz="0" w:space="0" w:color="auto"/>
                    <w:right w:val="none" w:sz="0" w:space="0" w:color="auto"/>
                  </w:divBdr>
                  <w:divsChild>
                    <w:div w:id="208112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893184">
      <w:bodyDiv w:val="1"/>
      <w:marLeft w:val="0"/>
      <w:marRight w:val="0"/>
      <w:marTop w:val="0"/>
      <w:marBottom w:val="0"/>
      <w:divBdr>
        <w:top w:val="none" w:sz="0" w:space="0" w:color="auto"/>
        <w:left w:val="none" w:sz="0" w:space="0" w:color="auto"/>
        <w:bottom w:val="none" w:sz="0" w:space="0" w:color="auto"/>
        <w:right w:val="none" w:sz="0" w:space="0" w:color="auto"/>
      </w:divBdr>
    </w:div>
    <w:div w:id="788621258">
      <w:bodyDiv w:val="1"/>
      <w:marLeft w:val="0"/>
      <w:marRight w:val="0"/>
      <w:marTop w:val="0"/>
      <w:marBottom w:val="0"/>
      <w:divBdr>
        <w:top w:val="none" w:sz="0" w:space="0" w:color="auto"/>
        <w:left w:val="none" w:sz="0" w:space="0" w:color="auto"/>
        <w:bottom w:val="none" w:sz="0" w:space="0" w:color="auto"/>
        <w:right w:val="none" w:sz="0" w:space="0" w:color="auto"/>
      </w:divBdr>
    </w:div>
    <w:div w:id="789014146">
      <w:bodyDiv w:val="1"/>
      <w:marLeft w:val="0"/>
      <w:marRight w:val="0"/>
      <w:marTop w:val="0"/>
      <w:marBottom w:val="0"/>
      <w:divBdr>
        <w:top w:val="none" w:sz="0" w:space="0" w:color="auto"/>
        <w:left w:val="none" w:sz="0" w:space="0" w:color="auto"/>
        <w:bottom w:val="none" w:sz="0" w:space="0" w:color="auto"/>
        <w:right w:val="none" w:sz="0" w:space="0" w:color="auto"/>
      </w:divBdr>
    </w:div>
    <w:div w:id="789055441">
      <w:bodyDiv w:val="1"/>
      <w:marLeft w:val="0"/>
      <w:marRight w:val="0"/>
      <w:marTop w:val="0"/>
      <w:marBottom w:val="0"/>
      <w:divBdr>
        <w:top w:val="none" w:sz="0" w:space="0" w:color="auto"/>
        <w:left w:val="none" w:sz="0" w:space="0" w:color="auto"/>
        <w:bottom w:val="none" w:sz="0" w:space="0" w:color="auto"/>
        <w:right w:val="none" w:sz="0" w:space="0" w:color="auto"/>
      </w:divBdr>
    </w:div>
    <w:div w:id="789278842">
      <w:bodyDiv w:val="1"/>
      <w:marLeft w:val="0"/>
      <w:marRight w:val="0"/>
      <w:marTop w:val="0"/>
      <w:marBottom w:val="0"/>
      <w:divBdr>
        <w:top w:val="none" w:sz="0" w:space="0" w:color="auto"/>
        <w:left w:val="none" w:sz="0" w:space="0" w:color="auto"/>
        <w:bottom w:val="none" w:sz="0" w:space="0" w:color="auto"/>
        <w:right w:val="none" w:sz="0" w:space="0" w:color="auto"/>
      </w:divBdr>
    </w:div>
    <w:div w:id="789857806">
      <w:bodyDiv w:val="1"/>
      <w:marLeft w:val="0"/>
      <w:marRight w:val="0"/>
      <w:marTop w:val="0"/>
      <w:marBottom w:val="0"/>
      <w:divBdr>
        <w:top w:val="none" w:sz="0" w:space="0" w:color="auto"/>
        <w:left w:val="none" w:sz="0" w:space="0" w:color="auto"/>
        <w:bottom w:val="none" w:sz="0" w:space="0" w:color="auto"/>
        <w:right w:val="none" w:sz="0" w:space="0" w:color="auto"/>
      </w:divBdr>
    </w:div>
    <w:div w:id="791368017">
      <w:bodyDiv w:val="1"/>
      <w:marLeft w:val="0"/>
      <w:marRight w:val="0"/>
      <w:marTop w:val="0"/>
      <w:marBottom w:val="0"/>
      <w:divBdr>
        <w:top w:val="none" w:sz="0" w:space="0" w:color="auto"/>
        <w:left w:val="none" w:sz="0" w:space="0" w:color="auto"/>
        <w:bottom w:val="none" w:sz="0" w:space="0" w:color="auto"/>
        <w:right w:val="none" w:sz="0" w:space="0" w:color="auto"/>
      </w:divBdr>
      <w:divsChild>
        <w:div w:id="279729346">
          <w:marLeft w:val="0"/>
          <w:marRight w:val="0"/>
          <w:marTop w:val="0"/>
          <w:marBottom w:val="0"/>
          <w:divBdr>
            <w:top w:val="none" w:sz="0" w:space="0" w:color="auto"/>
            <w:left w:val="none" w:sz="0" w:space="0" w:color="auto"/>
            <w:bottom w:val="none" w:sz="0" w:space="0" w:color="auto"/>
            <w:right w:val="none" w:sz="0" w:space="0" w:color="auto"/>
          </w:divBdr>
          <w:divsChild>
            <w:div w:id="1826436550">
              <w:marLeft w:val="0"/>
              <w:marRight w:val="0"/>
              <w:marTop w:val="0"/>
              <w:marBottom w:val="0"/>
              <w:divBdr>
                <w:top w:val="none" w:sz="0" w:space="0" w:color="auto"/>
                <w:left w:val="none" w:sz="0" w:space="0" w:color="auto"/>
                <w:bottom w:val="none" w:sz="0" w:space="0" w:color="auto"/>
                <w:right w:val="none" w:sz="0" w:space="0" w:color="auto"/>
              </w:divBdr>
              <w:divsChild>
                <w:div w:id="1590231833">
                  <w:marLeft w:val="0"/>
                  <w:marRight w:val="0"/>
                  <w:marTop w:val="0"/>
                  <w:marBottom w:val="0"/>
                  <w:divBdr>
                    <w:top w:val="none" w:sz="0" w:space="0" w:color="auto"/>
                    <w:left w:val="none" w:sz="0" w:space="0" w:color="auto"/>
                    <w:bottom w:val="none" w:sz="0" w:space="0" w:color="auto"/>
                    <w:right w:val="none" w:sz="0" w:space="0" w:color="auto"/>
                  </w:divBdr>
                  <w:divsChild>
                    <w:div w:id="162766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635738">
      <w:bodyDiv w:val="1"/>
      <w:marLeft w:val="0"/>
      <w:marRight w:val="0"/>
      <w:marTop w:val="0"/>
      <w:marBottom w:val="0"/>
      <w:divBdr>
        <w:top w:val="none" w:sz="0" w:space="0" w:color="auto"/>
        <w:left w:val="none" w:sz="0" w:space="0" w:color="auto"/>
        <w:bottom w:val="none" w:sz="0" w:space="0" w:color="auto"/>
        <w:right w:val="none" w:sz="0" w:space="0" w:color="auto"/>
      </w:divBdr>
      <w:divsChild>
        <w:div w:id="2009480888">
          <w:marLeft w:val="0"/>
          <w:marRight w:val="0"/>
          <w:marTop w:val="0"/>
          <w:marBottom w:val="0"/>
          <w:divBdr>
            <w:top w:val="none" w:sz="0" w:space="0" w:color="auto"/>
            <w:left w:val="none" w:sz="0" w:space="0" w:color="auto"/>
            <w:bottom w:val="none" w:sz="0" w:space="0" w:color="auto"/>
            <w:right w:val="none" w:sz="0" w:space="0" w:color="auto"/>
          </w:divBdr>
          <w:divsChild>
            <w:div w:id="643511246">
              <w:marLeft w:val="0"/>
              <w:marRight w:val="0"/>
              <w:marTop w:val="0"/>
              <w:marBottom w:val="0"/>
              <w:divBdr>
                <w:top w:val="none" w:sz="0" w:space="0" w:color="auto"/>
                <w:left w:val="none" w:sz="0" w:space="0" w:color="auto"/>
                <w:bottom w:val="none" w:sz="0" w:space="0" w:color="auto"/>
                <w:right w:val="none" w:sz="0" w:space="0" w:color="auto"/>
              </w:divBdr>
              <w:divsChild>
                <w:div w:id="2041201429">
                  <w:marLeft w:val="0"/>
                  <w:marRight w:val="0"/>
                  <w:marTop w:val="0"/>
                  <w:marBottom w:val="0"/>
                  <w:divBdr>
                    <w:top w:val="none" w:sz="0" w:space="0" w:color="auto"/>
                    <w:left w:val="none" w:sz="0" w:space="0" w:color="auto"/>
                    <w:bottom w:val="none" w:sz="0" w:space="0" w:color="auto"/>
                    <w:right w:val="none" w:sz="0" w:space="0" w:color="auto"/>
                  </w:divBdr>
                  <w:divsChild>
                    <w:div w:id="7340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333086">
      <w:bodyDiv w:val="1"/>
      <w:marLeft w:val="0"/>
      <w:marRight w:val="0"/>
      <w:marTop w:val="0"/>
      <w:marBottom w:val="0"/>
      <w:divBdr>
        <w:top w:val="none" w:sz="0" w:space="0" w:color="auto"/>
        <w:left w:val="none" w:sz="0" w:space="0" w:color="auto"/>
        <w:bottom w:val="none" w:sz="0" w:space="0" w:color="auto"/>
        <w:right w:val="none" w:sz="0" w:space="0" w:color="auto"/>
      </w:divBdr>
    </w:div>
    <w:div w:id="793718918">
      <w:bodyDiv w:val="1"/>
      <w:marLeft w:val="0"/>
      <w:marRight w:val="0"/>
      <w:marTop w:val="0"/>
      <w:marBottom w:val="0"/>
      <w:divBdr>
        <w:top w:val="none" w:sz="0" w:space="0" w:color="auto"/>
        <w:left w:val="none" w:sz="0" w:space="0" w:color="auto"/>
        <w:bottom w:val="none" w:sz="0" w:space="0" w:color="auto"/>
        <w:right w:val="none" w:sz="0" w:space="0" w:color="auto"/>
      </w:divBdr>
    </w:div>
    <w:div w:id="794058122">
      <w:bodyDiv w:val="1"/>
      <w:marLeft w:val="0"/>
      <w:marRight w:val="0"/>
      <w:marTop w:val="0"/>
      <w:marBottom w:val="0"/>
      <w:divBdr>
        <w:top w:val="none" w:sz="0" w:space="0" w:color="auto"/>
        <w:left w:val="none" w:sz="0" w:space="0" w:color="auto"/>
        <w:bottom w:val="none" w:sz="0" w:space="0" w:color="auto"/>
        <w:right w:val="none" w:sz="0" w:space="0" w:color="auto"/>
      </w:divBdr>
    </w:div>
    <w:div w:id="794449427">
      <w:bodyDiv w:val="1"/>
      <w:marLeft w:val="0"/>
      <w:marRight w:val="0"/>
      <w:marTop w:val="0"/>
      <w:marBottom w:val="0"/>
      <w:divBdr>
        <w:top w:val="none" w:sz="0" w:space="0" w:color="auto"/>
        <w:left w:val="none" w:sz="0" w:space="0" w:color="auto"/>
        <w:bottom w:val="none" w:sz="0" w:space="0" w:color="auto"/>
        <w:right w:val="none" w:sz="0" w:space="0" w:color="auto"/>
      </w:divBdr>
    </w:div>
    <w:div w:id="796527779">
      <w:bodyDiv w:val="1"/>
      <w:marLeft w:val="0"/>
      <w:marRight w:val="0"/>
      <w:marTop w:val="0"/>
      <w:marBottom w:val="0"/>
      <w:divBdr>
        <w:top w:val="none" w:sz="0" w:space="0" w:color="auto"/>
        <w:left w:val="none" w:sz="0" w:space="0" w:color="auto"/>
        <w:bottom w:val="none" w:sz="0" w:space="0" w:color="auto"/>
        <w:right w:val="none" w:sz="0" w:space="0" w:color="auto"/>
      </w:divBdr>
    </w:div>
    <w:div w:id="798231093">
      <w:bodyDiv w:val="1"/>
      <w:marLeft w:val="0"/>
      <w:marRight w:val="0"/>
      <w:marTop w:val="0"/>
      <w:marBottom w:val="0"/>
      <w:divBdr>
        <w:top w:val="none" w:sz="0" w:space="0" w:color="auto"/>
        <w:left w:val="none" w:sz="0" w:space="0" w:color="auto"/>
        <w:bottom w:val="none" w:sz="0" w:space="0" w:color="auto"/>
        <w:right w:val="none" w:sz="0" w:space="0" w:color="auto"/>
      </w:divBdr>
    </w:div>
    <w:div w:id="798499596">
      <w:bodyDiv w:val="1"/>
      <w:marLeft w:val="0"/>
      <w:marRight w:val="0"/>
      <w:marTop w:val="0"/>
      <w:marBottom w:val="0"/>
      <w:divBdr>
        <w:top w:val="none" w:sz="0" w:space="0" w:color="auto"/>
        <w:left w:val="none" w:sz="0" w:space="0" w:color="auto"/>
        <w:bottom w:val="none" w:sz="0" w:space="0" w:color="auto"/>
        <w:right w:val="none" w:sz="0" w:space="0" w:color="auto"/>
      </w:divBdr>
      <w:divsChild>
        <w:div w:id="1523125804">
          <w:marLeft w:val="0"/>
          <w:marRight w:val="0"/>
          <w:marTop w:val="0"/>
          <w:marBottom w:val="0"/>
          <w:divBdr>
            <w:top w:val="none" w:sz="0" w:space="0" w:color="auto"/>
            <w:left w:val="none" w:sz="0" w:space="0" w:color="auto"/>
            <w:bottom w:val="none" w:sz="0" w:space="0" w:color="auto"/>
            <w:right w:val="none" w:sz="0" w:space="0" w:color="auto"/>
          </w:divBdr>
          <w:divsChild>
            <w:div w:id="31543999">
              <w:marLeft w:val="0"/>
              <w:marRight w:val="0"/>
              <w:marTop w:val="0"/>
              <w:marBottom w:val="0"/>
              <w:divBdr>
                <w:top w:val="none" w:sz="0" w:space="0" w:color="auto"/>
                <w:left w:val="none" w:sz="0" w:space="0" w:color="auto"/>
                <w:bottom w:val="none" w:sz="0" w:space="0" w:color="auto"/>
                <w:right w:val="none" w:sz="0" w:space="0" w:color="auto"/>
              </w:divBdr>
              <w:divsChild>
                <w:div w:id="505706394">
                  <w:marLeft w:val="0"/>
                  <w:marRight w:val="0"/>
                  <w:marTop w:val="0"/>
                  <w:marBottom w:val="0"/>
                  <w:divBdr>
                    <w:top w:val="none" w:sz="0" w:space="0" w:color="auto"/>
                    <w:left w:val="none" w:sz="0" w:space="0" w:color="auto"/>
                    <w:bottom w:val="none" w:sz="0" w:space="0" w:color="auto"/>
                    <w:right w:val="none" w:sz="0" w:space="0" w:color="auto"/>
                  </w:divBdr>
                </w:div>
              </w:divsChild>
            </w:div>
            <w:div w:id="1645698914">
              <w:marLeft w:val="0"/>
              <w:marRight w:val="0"/>
              <w:marTop w:val="0"/>
              <w:marBottom w:val="0"/>
              <w:divBdr>
                <w:top w:val="none" w:sz="0" w:space="0" w:color="auto"/>
                <w:left w:val="none" w:sz="0" w:space="0" w:color="auto"/>
                <w:bottom w:val="none" w:sz="0" w:space="0" w:color="auto"/>
                <w:right w:val="none" w:sz="0" w:space="0" w:color="auto"/>
              </w:divBdr>
              <w:divsChild>
                <w:div w:id="2015766363">
                  <w:marLeft w:val="0"/>
                  <w:marRight w:val="0"/>
                  <w:marTop w:val="0"/>
                  <w:marBottom w:val="0"/>
                  <w:divBdr>
                    <w:top w:val="none" w:sz="0" w:space="0" w:color="auto"/>
                    <w:left w:val="none" w:sz="0" w:space="0" w:color="auto"/>
                    <w:bottom w:val="none" w:sz="0" w:space="0" w:color="auto"/>
                    <w:right w:val="none" w:sz="0" w:space="0" w:color="auto"/>
                  </w:divBdr>
                </w:div>
              </w:divsChild>
            </w:div>
            <w:div w:id="2041080584">
              <w:marLeft w:val="0"/>
              <w:marRight w:val="0"/>
              <w:marTop w:val="0"/>
              <w:marBottom w:val="0"/>
              <w:divBdr>
                <w:top w:val="none" w:sz="0" w:space="0" w:color="auto"/>
                <w:left w:val="none" w:sz="0" w:space="0" w:color="auto"/>
                <w:bottom w:val="none" w:sz="0" w:space="0" w:color="auto"/>
                <w:right w:val="none" w:sz="0" w:space="0" w:color="auto"/>
              </w:divBdr>
              <w:divsChild>
                <w:div w:id="17583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034896">
      <w:bodyDiv w:val="1"/>
      <w:marLeft w:val="0"/>
      <w:marRight w:val="0"/>
      <w:marTop w:val="0"/>
      <w:marBottom w:val="0"/>
      <w:divBdr>
        <w:top w:val="none" w:sz="0" w:space="0" w:color="auto"/>
        <w:left w:val="none" w:sz="0" w:space="0" w:color="auto"/>
        <w:bottom w:val="none" w:sz="0" w:space="0" w:color="auto"/>
        <w:right w:val="none" w:sz="0" w:space="0" w:color="auto"/>
      </w:divBdr>
      <w:divsChild>
        <w:div w:id="1350717984">
          <w:marLeft w:val="0"/>
          <w:marRight w:val="0"/>
          <w:marTop w:val="0"/>
          <w:marBottom w:val="0"/>
          <w:divBdr>
            <w:top w:val="none" w:sz="0" w:space="0" w:color="auto"/>
            <w:left w:val="none" w:sz="0" w:space="0" w:color="auto"/>
            <w:bottom w:val="none" w:sz="0" w:space="0" w:color="auto"/>
            <w:right w:val="none" w:sz="0" w:space="0" w:color="auto"/>
          </w:divBdr>
          <w:divsChild>
            <w:div w:id="1793400276">
              <w:marLeft w:val="0"/>
              <w:marRight w:val="0"/>
              <w:marTop w:val="0"/>
              <w:marBottom w:val="0"/>
              <w:divBdr>
                <w:top w:val="none" w:sz="0" w:space="0" w:color="auto"/>
                <w:left w:val="none" w:sz="0" w:space="0" w:color="auto"/>
                <w:bottom w:val="none" w:sz="0" w:space="0" w:color="auto"/>
                <w:right w:val="none" w:sz="0" w:space="0" w:color="auto"/>
              </w:divBdr>
              <w:divsChild>
                <w:div w:id="953293105">
                  <w:marLeft w:val="0"/>
                  <w:marRight w:val="0"/>
                  <w:marTop w:val="0"/>
                  <w:marBottom w:val="0"/>
                  <w:divBdr>
                    <w:top w:val="none" w:sz="0" w:space="0" w:color="auto"/>
                    <w:left w:val="none" w:sz="0" w:space="0" w:color="auto"/>
                    <w:bottom w:val="none" w:sz="0" w:space="0" w:color="auto"/>
                    <w:right w:val="none" w:sz="0" w:space="0" w:color="auto"/>
                  </w:divBdr>
                  <w:divsChild>
                    <w:div w:id="1320840201">
                      <w:marLeft w:val="0"/>
                      <w:marRight w:val="0"/>
                      <w:marTop w:val="0"/>
                      <w:marBottom w:val="0"/>
                      <w:divBdr>
                        <w:top w:val="none" w:sz="0" w:space="0" w:color="auto"/>
                        <w:left w:val="none" w:sz="0" w:space="0" w:color="auto"/>
                        <w:bottom w:val="none" w:sz="0" w:space="0" w:color="auto"/>
                        <w:right w:val="none" w:sz="0" w:space="0" w:color="auto"/>
                      </w:divBdr>
                    </w:div>
                  </w:divsChild>
                </w:div>
                <w:div w:id="1200437975">
                  <w:marLeft w:val="0"/>
                  <w:marRight w:val="0"/>
                  <w:marTop w:val="0"/>
                  <w:marBottom w:val="0"/>
                  <w:divBdr>
                    <w:top w:val="none" w:sz="0" w:space="0" w:color="auto"/>
                    <w:left w:val="none" w:sz="0" w:space="0" w:color="auto"/>
                    <w:bottom w:val="none" w:sz="0" w:space="0" w:color="auto"/>
                    <w:right w:val="none" w:sz="0" w:space="0" w:color="auto"/>
                  </w:divBdr>
                  <w:divsChild>
                    <w:div w:id="507673167">
                      <w:marLeft w:val="0"/>
                      <w:marRight w:val="0"/>
                      <w:marTop w:val="0"/>
                      <w:marBottom w:val="0"/>
                      <w:divBdr>
                        <w:top w:val="none" w:sz="0" w:space="0" w:color="auto"/>
                        <w:left w:val="none" w:sz="0" w:space="0" w:color="auto"/>
                        <w:bottom w:val="none" w:sz="0" w:space="0" w:color="auto"/>
                        <w:right w:val="none" w:sz="0" w:space="0" w:color="auto"/>
                      </w:divBdr>
                    </w:div>
                  </w:divsChild>
                </w:div>
                <w:div w:id="2123719314">
                  <w:marLeft w:val="0"/>
                  <w:marRight w:val="0"/>
                  <w:marTop w:val="0"/>
                  <w:marBottom w:val="0"/>
                  <w:divBdr>
                    <w:top w:val="none" w:sz="0" w:space="0" w:color="auto"/>
                    <w:left w:val="none" w:sz="0" w:space="0" w:color="auto"/>
                    <w:bottom w:val="none" w:sz="0" w:space="0" w:color="auto"/>
                    <w:right w:val="none" w:sz="0" w:space="0" w:color="auto"/>
                  </w:divBdr>
                  <w:divsChild>
                    <w:div w:id="189931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04866">
      <w:bodyDiv w:val="1"/>
      <w:marLeft w:val="0"/>
      <w:marRight w:val="0"/>
      <w:marTop w:val="0"/>
      <w:marBottom w:val="0"/>
      <w:divBdr>
        <w:top w:val="none" w:sz="0" w:space="0" w:color="auto"/>
        <w:left w:val="none" w:sz="0" w:space="0" w:color="auto"/>
        <w:bottom w:val="none" w:sz="0" w:space="0" w:color="auto"/>
        <w:right w:val="none" w:sz="0" w:space="0" w:color="auto"/>
      </w:divBdr>
    </w:div>
    <w:div w:id="800339859">
      <w:bodyDiv w:val="1"/>
      <w:marLeft w:val="0"/>
      <w:marRight w:val="0"/>
      <w:marTop w:val="0"/>
      <w:marBottom w:val="0"/>
      <w:divBdr>
        <w:top w:val="none" w:sz="0" w:space="0" w:color="auto"/>
        <w:left w:val="none" w:sz="0" w:space="0" w:color="auto"/>
        <w:bottom w:val="none" w:sz="0" w:space="0" w:color="auto"/>
        <w:right w:val="none" w:sz="0" w:space="0" w:color="auto"/>
      </w:divBdr>
      <w:divsChild>
        <w:div w:id="1435397309">
          <w:marLeft w:val="0"/>
          <w:marRight w:val="0"/>
          <w:marTop w:val="0"/>
          <w:marBottom w:val="0"/>
          <w:divBdr>
            <w:top w:val="none" w:sz="0" w:space="0" w:color="auto"/>
            <w:left w:val="none" w:sz="0" w:space="0" w:color="auto"/>
            <w:bottom w:val="none" w:sz="0" w:space="0" w:color="auto"/>
            <w:right w:val="none" w:sz="0" w:space="0" w:color="auto"/>
          </w:divBdr>
          <w:divsChild>
            <w:div w:id="1473061739">
              <w:marLeft w:val="0"/>
              <w:marRight w:val="0"/>
              <w:marTop w:val="0"/>
              <w:marBottom w:val="0"/>
              <w:divBdr>
                <w:top w:val="none" w:sz="0" w:space="0" w:color="auto"/>
                <w:left w:val="none" w:sz="0" w:space="0" w:color="auto"/>
                <w:bottom w:val="none" w:sz="0" w:space="0" w:color="auto"/>
                <w:right w:val="none" w:sz="0" w:space="0" w:color="auto"/>
              </w:divBdr>
              <w:divsChild>
                <w:div w:id="1698889947">
                  <w:marLeft w:val="0"/>
                  <w:marRight w:val="0"/>
                  <w:marTop w:val="0"/>
                  <w:marBottom w:val="0"/>
                  <w:divBdr>
                    <w:top w:val="none" w:sz="0" w:space="0" w:color="auto"/>
                    <w:left w:val="none" w:sz="0" w:space="0" w:color="auto"/>
                    <w:bottom w:val="none" w:sz="0" w:space="0" w:color="auto"/>
                    <w:right w:val="none" w:sz="0" w:space="0" w:color="auto"/>
                  </w:divBdr>
                  <w:divsChild>
                    <w:div w:id="46401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617341">
      <w:bodyDiv w:val="1"/>
      <w:marLeft w:val="0"/>
      <w:marRight w:val="0"/>
      <w:marTop w:val="0"/>
      <w:marBottom w:val="0"/>
      <w:divBdr>
        <w:top w:val="none" w:sz="0" w:space="0" w:color="auto"/>
        <w:left w:val="none" w:sz="0" w:space="0" w:color="auto"/>
        <w:bottom w:val="none" w:sz="0" w:space="0" w:color="auto"/>
        <w:right w:val="none" w:sz="0" w:space="0" w:color="auto"/>
      </w:divBdr>
    </w:div>
    <w:div w:id="800727285">
      <w:bodyDiv w:val="1"/>
      <w:marLeft w:val="0"/>
      <w:marRight w:val="0"/>
      <w:marTop w:val="0"/>
      <w:marBottom w:val="0"/>
      <w:divBdr>
        <w:top w:val="none" w:sz="0" w:space="0" w:color="auto"/>
        <w:left w:val="none" w:sz="0" w:space="0" w:color="auto"/>
        <w:bottom w:val="none" w:sz="0" w:space="0" w:color="auto"/>
        <w:right w:val="none" w:sz="0" w:space="0" w:color="auto"/>
      </w:divBdr>
    </w:div>
    <w:div w:id="800999806">
      <w:bodyDiv w:val="1"/>
      <w:marLeft w:val="0"/>
      <w:marRight w:val="0"/>
      <w:marTop w:val="0"/>
      <w:marBottom w:val="0"/>
      <w:divBdr>
        <w:top w:val="none" w:sz="0" w:space="0" w:color="auto"/>
        <w:left w:val="none" w:sz="0" w:space="0" w:color="auto"/>
        <w:bottom w:val="none" w:sz="0" w:space="0" w:color="auto"/>
        <w:right w:val="none" w:sz="0" w:space="0" w:color="auto"/>
      </w:divBdr>
    </w:div>
    <w:div w:id="801383547">
      <w:bodyDiv w:val="1"/>
      <w:marLeft w:val="0"/>
      <w:marRight w:val="0"/>
      <w:marTop w:val="0"/>
      <w:marBottom w:val="0"/>
      <w:divBdr>
        <w:top w:val="none" w:sz="0" w:space="0" w:color="auto"/>
        <w:left w:val="none" w:sz="0" w:space="0" w:color="auto"/>
        <w:bottom w:val="none" w:sz="0" w:space="0" w:color="auto"/>
        <w:right w:val="none" w:sz="0" w:space="0" w:color="auto"/>
      </w:divBdr>
    </w:div>
    <w:div w:id="801731686">
      <w:bodyDiv w:val="1"/>
      <w:marLeft w:val="0"/>
      <w:marRight w:val="0"/>
      <w:marTop w:val="0"/>
      <w:marBottom w:val="0"/>
      <w:divBdr>
        <w:top w:val="none" w:sz="0" w:space="0" w:color="auto"/>
        <w:left w:val="none" w:sz="0" w:space="0" w:color="auto"/>
        <w:bottom w:val="none" w:sz="0" w:space="0" w:color="auto"/>
        <w:right w:val="none" w:sz="0" w:space="0" w:color="auto"/>
      </w:divBdr>
    </w:div>
    <w:div w:id="801846491">
      <w:bodyDiv w:val="1"/>
      <w:marLeft w:val="0"/>
      <w:marRight w:val="0"/>
      <w:marTop w:val="0"/>
      <w:marBottom w:val="0"/>
      <w:divBdr>
        <w:top w:val="none" w:sz="0" w:space="0" w:color="auto"/>
        <w:left w:val="none" w:sz="0" w:space="0" w:color="auto"/>
        <w:bottom w:val="none" w:sz="0" w:space="0" w:color="auto"/>
        <w:right w:val="none" w:sz="0" w:space="0" w:color="auto"/>
      </w:divBdr>
    </w:div>
    <w:div w:id="801848831">
      <w:bodyDiv w:val="1"/>
      <w:marLeft w:val="0"/>
      <w:marRight w:val="0"/>
      <w:marTop w:val="0"/>
      <w:marBottom w:val="0"/>
      <w:divBdr>
        <w:top w:val="none" w:sz="0" w:space="0" w:color="auto"/>
        <w:left w:val="none" w:sz="0" w:space="0" w:color="auto"/>
        <w:bottom w:val="none" w:sz="0" w:space="0" w:color="auto"/>
        <w:right w:val="none" w:sz="0" w:space="0" w:color="auto"/>
      </w:divBdr>
      <w:divsChild>
        <w:div w:id="579143832">
          <w:marLeft w:val="0"/>
          <w:marRight w:val="0"/>
          <w:marTop w:val="0"/>
          <w:marBottom w:val="0"/>
          <w:divBdr>
            <w:top w:val="none" w:sz="0" w:space="0" w:color="auto"/>
            <w:left w:val="none" w:sz="0" w:space="0" w:color="auto"/>
            <w:bottom w:val="none" w:sz="0" w:space="0" w:color="auto"/>
            <w:right w:val="none" w:sz="0" w:space="0" w:color="auto"/>
          </w:divBdr>
          <w:divsChild>
            <w:div w:id="721905552">
              <w:marLeft w:val="0"/>
              <w:marRight w:val="0"/>
              <w:marTop w:val="0"/>
              <w:marBottom w:val="0"/>
              <w:divBdr>
                <w:top w:val="none" w:sz="0" w:space="0" w:color="auto"/>
                <w:left w:val="none" w:sz="0" w:space="0" w:color="auto"/>
                <w:bottom w:val="none" w:sz="0" w:space="0" w:color="auto"/>
                <w:right w:val="none" w:sz="0" w:space="0" w:color="auto"/>
              </w:divBdr>
              <w:divsChild>
                <w:div w:id="1882396985">
                  <w:marLeft w:val="0"/>
                  <w:marRight w:val="0"/>
                  <w:marTop w:val="0"/>
                  <w:marBottom w:val="0"/>
                  <w:divBdr>
                    <w:top w:val="none" w:sz="0" w:space="0" w:color="auto"/>
                    <w:left w:val="none" w:sz="0" w:space="0" w:color="auto"/>
                    <w:bottom w:val="none" w:sz="0" w:space="0" w:color="auto"/>
                    <w:right w:val="none" w:sz="0" w:space="0" w:color="auto"/>
                  </w:divBdr>
                  <w:divsChild>
                    <w:div w:id="107898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429643">
      <w:bodyDiv w:val="1"/>
      <w:marLeft w:val="0"/>
      <w:marRight w:val="0"/>
      <w:marTop w:val="0"/>
      <w:marBottom w:val="0"/>
      <w:divBdr>
        <w:top w:val="none" w:sz="0" w:space="0" w:color="auto"/>
        <w:left w:val="none" w:sz="0" w:space="0" w:color="auto"/>
        <w:bottom w:val="none" w:sz="0" w:space="0" w:color="auto"/>
        <w:right w:val="none" w:sz="0" w:space="0" w:color="auto"/>
      </w:divBdr>
      <w:divsChild>
        <w:div w:id="278267615">
          <w:marLeft w:val="0"/>
          <w:marRight w:val="0"/>
          <w:marTop w:val="0"/>
          <w:marBottom w:val="0"/>
          <w:divBdr>
            <w:top w:val="none" w:sz="0" w:space="0" w:color="auto"/>
            <w:left w:val="none" w:sz="0" w:space="0" w:color="auto"/>
            <w:bottom w:val="none" w:sz="0" w:space="0" w:color="auto"/>
            <w:right w:val="none" w:sz="0" w:space="0" w:color="auto"/>
          </w:divBdr>
          <w:divsChild>
            <w:div w:id="1282374195">
              <w:marLeft w:val="0"/>
              <w:marRight w:val="0"/>
              <w:marTop w:val="0"/>
              <w:marBottom w:val="0"/>
              <w:divBdr>
                <w:top w:val="none" w:sz="0" w:space="0" w:color="auto"/>
                <w:left w:val="none" w:sz="0" w:space="0" w:color="auto"/>
                <w:bottom w:val="none" w:sz="0" w:space="0" w:color="auto"/>
                <w:right w:val="none" w:sz="0" w:space="0" w:color="auto"/>
              </w:divBdr>
              <w:divsChild>
                <w:div w:id="501438078">
                  <w:marLeft w:val="0"/>
                  <w:marRight w:val="0"/>
                  <w:marTop w:val="0"/>
                  <w:marBottom w:val="0"/>
                  <w:divBdr>
                    <w:top w:val="none" w:sz="0" w:space="0" w:color="auto"/>
                    <w:left w:val="none" w:sz="0" w:space="0" w:color="auto"/>
                    <w:bottom w:val="none" w:sz="0" w:space="0" w:color="auto"/>
                    <w:right w:val="none" w:sz="0" w:space="0" w:color="auto"/>
                  </w:divBdr>
                  <w:divsChild>
                    <w:div w:id="10505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94851">
      <w:bodyDiv w:val="1"/>
      <w:marLeft w:val="0"/>
      <w:marRight w:val="0"/>
      <w:marTop w:val="0"/>
      <w:marBottom w:val="0"/>
      <w:divBdr>
        <w:top w:val="none" w:sz="0" w:space="0" w:color="auto"/>
        <w:left w:val="none" w:sz="0" w:space="0" w:color="auto"/>
        <w:bottom w:val="none" w:sz="0" w:space="0" w:color="auto"/>
        <w:right w:val="none" w:sz="0" w:space="0" w:color="auto"/>
      </w:divBdr>
      <w:divsChild>
        <w:div w:id="843546434">
          <w:marLeft w:val="0"/>
          <w:marRight w:val="0"/>
          <w:marTop w:val="0"/>
          <w:marBottom w:val="0"/>
          <w:divBdr>
            <w:top w:val="none" w:sz="0" w:space="0" w:color="auto"/>
            <w:left w:val="none" w:sz="0" w:space="0" w:color="auto"/>
            <w:bottom w:val="none" w:sz="0" w:space="0" w:color="auto"/>
            <w:right w:val="none" w:sz="0" w:space="0" w:color="auto"/>
          </w:divBdr>
          <w:divsChild>
            <w:div w:id="1348604060">
              <w:marLeft w:val="0"/>
              <w:marRight w:val="0"/>
              <w:marTop w:val="0"/>
              <w:marBottom w:val="0"/>
              <w:divBdr>
                <w:top w:val="none" w:sz="0" w:space="0" w:color="auto"/>
                <w:left w:val="none" w:sz="0" w:space="0" w:color="auto"/>
                <w:bottom w:val="none" w:sz="0" w:space="0" w:color="auto"/>
                <w:right w:val="none" w:sz="0" w:space="0" w:color="auto"/>
              </w:divBdr>
              <w:divsChild>
                <w:div w:id="1574925469">
                  <w:marLeft w:val="0"/>
                  <w:marRight w:val="0"/>
                  <w:marTop w:val="0"/>
                  <w:marBottom w:val="0"/>
                  <w:divBdr>
                    <w:top w:val="none" w:sz="0" w:space="0" w:color="auto"/>
                    <w:left w:val="none" w:sz="0" w:space="0" w:color="auto"/>
                    <w:bottom w:val="none" w:sz="0" w:space="0" w:color="auto"/>
                    <w:right w:val="none" w:sz="0" w:space="0" w:color="auto"/>
                  </w:divBdr>
                  <w:divsChild>
                    <w:div w:id="173107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541695">
      <w:bodyDiv w:val="1"/>
      <w:marLeft w:val="0"/>
      <w:marRight w:val="0"/>
      <w:marTop w:val="0"/>
      <w:marBottom w:val="0"/>
      <w:divBdr>
        <w:top w:val="none" w:sz="0" w:space="0" w:color="auto"/>
        <w:left w:val="none" w:sz="0" w:space="0" w:color="auto"/>
        <w:bottom w:val="none" w:sz="0" w:space="0" w:color="auto"/>
        <w:right w:val="none" w:sz="0" w:space="0" w:color="auto"/>
      </w:divBdr>
    </w:div>
    <w:div w:id="806512448">
      <w:bodyDiv w:val="1"/>
      <w:marLeft w:val="0"/>
      <w:marRight w:val="0"/>
      <w:marTop w:val="0"/>
      <w:marBottom w:val="0"/>
      <w:divBdr>
        <w:top w:val="none" w:sz="0" w:space="0" w:color="auto"/>
        <w:left w:val="none" w:sz="0" w:space="0" w:color="auto"/>
        <w:bottom w:val="none" w:sz="0" w:space="0" w:color="auto"/>
        <w:right w:val="none" w:sz="0" w:space="0" w:color="auto"/>
      </w:divBdr>
    </w:div>
    <w:div w:id="807207466">
      <w:bodyDiv w:val="1"/>
      <w:marLeft w:val="0"/>
      <w:marRight w:val="0"/>
      <w:marTop w:val="0"/>
      <w:marBottom w:val="0"/>
      <w:divBdr>
        <w:top w:val="none" w:sz="0" w:space="0" w:color="auto"/>
        <w:left w:val="none" w:sz="0" w:space="0" w:color="auto"/>
        <w:bottom w:val="none" w:sz="0" w:space="0" w:color="auto"/>
        <w:right w:val="none" w:sz="0" w:space="0" w:color="auto"/>
      </w:divBdr>
    </w:div>
    <w:div w:id="807283589">
      <w:bodyDiv w:val="1"/>
      <w:marLeft w:val="0"/>
      <w:marRight w:val="0"/>
      <w:marTop w:val="0"/>
      <w:marBottom w:val="0"/>
      <w:divBdr>
        <w:top w:val="none" w:sz="0" w:space="0" w:color="auto"/>
        <w:left w:val="none" w:sz="0" w:space="0" w:color="auto"/>
        <w:bottom w:val="none" w:sz="0" w:space="0" w:color="auto"/>
        <w:right w:val="none" w:sz="0" w:space="0" w:color="auto"/>
      </w:divBdr>
      <w:divsChild>
        <w:div w:id="1566644801">
          <w:marLeft w:val="0"/>
          <w:marRight w:val="0"/>
          <w:marTop w:val="0"/>
          <w:marBottom w:val="0"/>
          <w:divBdr>
            <w:top w:val="none" w:sz="0" w:space="0" w:color="auto"/>
            <w:left w:val="none" w:sz="0" w:space="0" w:color="auto"/>
            <w:bottom w:val="none" w:sz="0" w:space="0" w:color="auto"/>
            <w:right w:val="none" w:sz="0" w:space="0" w:color="auto"/>
          </w:divBdr>
          <w:divsChild>
            <w:div w:id="1392266721">
              <w:marLeft w:val="0"/>
              <w:marRight w:val="0"/>
              <w:marTop w:val="0"/>
              <w:marBottom w:val="0"/>
              <w:divBdr>
                <w:top w:val="none" w:sz="0" w:space="0" w:color="auto"/>
                <w:left w:val="none" w:sz="0" w:space="0" w:color="auto"/>
                <w:bottom w:val="none" w:sz="0" w:space="0" w:color="auto"/>
                <w:right w:val="none" w:sz="0" w:space="0" w:color="auto"/>
              </w:divBdr>
              <w:divsChild>
                <w:div w:id="509954799">
                  <w:marLeft w:val="0"/>
                  <w:marRight w:val="0"/>
                  <w:marTop w:val="0"/>
                  <w:marBottom w:val="0"/>
                  <w:divBdr>
                    <w:top w:val="none" w:sz="0" w:space="0" w:color="auto"/>
                    <w:left w:val="none" w:sz="0" w:space="0" w:color="auto"/>
                    <w:bottom w:val="none" w:sz="0" w:space="0" w:color="auto"/>
                    <w:right w:val="none" w:sz="0" w:space="0" w:color="auto"/>
                  </w:divBdr>
                  <w:divsChild>
                    <w:div w:id="145752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403146">
      <w:bodyDiv w:val="1"/>
      <w:marLeft w:val="0"/>
      <w:marRight w:val="0"/>
      <w:marTop w:val="0"/>
      <w:marBottom w:val="0"/>
      <w:divBdr>
        <w:top w:val="none" w:sz="0" w:space="0" w:color="auto"/>
        <w:left w:val="none" w:sz="0" w:space="0" w:color="auto"/>
        <w:bottom w:val="none" w:sz="0" w:space="0" w:color="auto"/>
        <w:right w:val="none" w:sz="0" w:space="0" w:color="auto"/>
      </w:divBdr>
    </w:div>
    <w:div w:id="811171775">
      <w:bodyDiv w:val="1"/>
      <w:marLeft w:val="0"/>
      <w:marRight w:val="0"/>
      <w:marTop w:val="0"/>
      <w:marBottom w:val="0"/>
      <w:divBdr>
        <w:top w:val="none" w:sz="0" w:space="0" w:color="auto"/>
        <w:left w:val="none" w:sz="0" w:space="0" w:color="auto"/>
        <w:bottom w:val="none" w:sz="0" w:space="0" w:color="auto"/>
        <w:right w:val="none" w:sz="0" w:space="0" w:color="auto"/>
      </w:divBdr>
    </w:div>
    <w:div w:id="811484346">
      <w:bodyDiv w:val="1"/>
      <w:marLeft w:val="0"/>
      <w:marRight w:val="0"/>
      <w:marTop w:val="0"/>
      <w:marBottom w:val="0"/>
      <w:divBdr>
        <w:top w:val="none" w:sz="0" w:space="0" w:color="auto"/>
        <w:left w:val="none" w:sz="0" w:space="0" w:color="auto"/>
        <w:bottom w:val="none" w:sz="0" w:space="0" w:color="auto"/>
        <w:right w:val="none" w:sz="0" w:space="0" w:color="auto"/>
      </w:divBdr>
    </w:div>
    <w:div w:id="811678109">
      <w:bodyDiv w:val="1"/>
      <w:marLeft w:val="0"/>
      <w:marRight w:val="0"/>
      <w:marTop w:val="0"/>
      <w:marBottom w:val="0"/>
      <w:divBdr>
        <w:top w:val="none" w:sz="0" w:space="0" w:color="auto"/>
        <w:left w:val="none" w:sz="0" w:space="0" w:color="auto"/>
        <w:bottom w:val="none" w:sz="0" w:space="0" w:color="auto"/>
        <w:right w:val="none" w:sz="0" w:space="0" w:color="auto"/>
      </w:divBdr>
      <w:divsChild>
        <w:div w:id="403723972">
          <w:marLeft w:val="0"/>
          <w:marRight w:val="0"/>
          <w:marTop w:val="0"/>
          <w:marBottom w:val="0"/>
          <w:divBdr>
            <w:top w:val="none" w:sz="0" w:space="0" w:color="auto"/>
            <w:left w:val="none" w:sz="0" w:space="0" w:color="auto"/>
            <w:bottom w:val="none" w:sz="0" w:space="0" w:color="auto"/>
            <w:right w:val="none" w:sz="0" w:space="0" w:color="auto"/>
          </w:divBdr>
          <w:divsChild>
            <w:div w:id="758331587">
              <w:marLeft w:val="0"/>
              <w:marRight w:val="0"/>
              <w:marTop w:val="0"/>
              <w:marBottom w:val="0"/>
              <w:divBdr>
                <w:top w:val="none" w:sz="0" w:space="0" w:color="auto"/>
                <w:left w:val="none" w:sz="0" w:space="0" w:color="auto"/>
                <w:bottom w:val="none" w:sz="0" w:space="0" w:color="auto"/>
                <w:right w:val="none" w:sz="0" w:space="0" w:color="auto"/>
              </w:divBdr>
              <w:divsChild>
                <w:div w:id="1434324007">
                  <w:marLeft w:val="0"/>
                  <w:marRight w:val="0"/>
                  <w:marTop w:val="0"/>
                  <w:marBottom w:val="0"/>
                  <w:divBdr>
                    <w:top w:val="none" w:sz="0" w:space="0" w:color="auto"/>
                    <w:left w:val="none" w:sz="0" w:space="0" w:color="auto"/>
                    <w:bottom w:val="none" w:sz="0" w:space="0" w:color="auto"/>
                    <w:right w:val="none" w:sz="0" w:space="0" w:color="auto"/>
                  </w:divBdr>
                  <w:divsChild>
                    <w:div w:id="54768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334072">
      <w:bodyDiv w:val="1"/>
      <w:marLeft w:val="0"/>
      <w:marRight w:val="0"/>
      <w:marTop w:val="0"/>
      <w:marBottom w:val="0"/>
      <w:divBdr>
        <w:top w:val="none" w:sz="0" w:space="0" w:color="auto"/>
        <w:left w:val="none" w:sz="0" w:space="0" w:color="auto"/>
        <w:bottom w:val="none" w:sz="0" w:space="0" w:color="auto"/>
        <w:right w:val="none" w:sz="0" w:space="0" w:color="auto"/>
      </w:divBdr>
    </w:div>
    <w:div w:id="813524689">
      <w:bodyDiv w:val="1"/>
      <w:marLeft w:val="0"/>
      <w:marRight w:val="0"/>
      <w:marTop w:val="0"/>
      <w:marBottom w:val="0"/>
      <w:divBdr>
        <w:top w:val="none" w:sz="0" w:space="0" w:color="auto"/>
        <w:left w:val="none" w:sz="0" w:space="0" w:color="auto"/>
        <w:bottom w:val="none" w:sz="0" w:space="0" w:color="auto"/>
        <w:right w:val="none" w:sz="0" w:space="0" w:color="auto"/>
      </w:divBdr>
    </w:div>
    <w:div w:id="813570381">
      <w:bodyDiv w:val="1"/>
      <w:marLeft w:val="0"/>
      <w:marRight w:val="0"/>
      <w:marTop w:val="0"/>
      <w:marBottom w:val="0"/>
      <w:divBdr>
        <w:top w:val="none" w:sz="0" w:space="0" w:color="auto"/>
        <w:left w:val="none" w:sz="0" w:space="0" w:color="auto"/>
        <w:bottom w:val="none" w:sz="0" w:space="0" w:color="auto"/>
        <w:right w:val="none" w:sz="0" w:space="0" w:color="auto"/>
      </w:divBdr>
      <w:divsChild>
        <w:div w:id="1837308017">
          <w:marLeft w:val="0"/>
          <w:marRight w:val="0"/>
          <w:marTop w:val="0"/>
          <w:marBottom w:val="0"/>
          <w:divBdr>
            <w:top w:val="none" w:sz="0" w:space="0" w:color="auto"/>
            <w:left w:val="none" w:sz="0" w:space="0" w:color="auto"/>
            <w:bottom w:val="none" w:sz="0" w:space="0" w:color="auto"/>
            <w:right w:val="none" w:sz="0" w:space="0" w:color="auto"/>
          </w:divBdr>
          <w:divsChild>
            <w:div w:id="1351688270">
              <w:marLeft w:val="0"/>
              <w:marRight w:val="0"/>
              <w:marTop w:val="0"/>
              <w:marBottom w:val="0"/>
              <w:divBdr>
                <w:top w:val="none" w:sz="0" w:space="0" w:color="auto"/>
                <w:left w:val="none" w:sz="0" w:space="0" w:color="auto"/>
                <w:bottom w:val="none" w:sz="0" w:space="0" w:color="auto"/>
                <w:right w:val="none" w:sz="0" w:space="0" w:color="auto"/>
              </w:divBdr>
              <w:divsChild>
                <w:div w:id="1445609935">
                  <w:marLeft w:val="0"/>
                  <w:marRight w:val="0"/>
                  <w:marTop w:val="0"/>
                  <w:marBottom w:val="0"/>
                  <w:divBdr>
                    <w:top w:val="none" w:sz="0" w:space="0" w:color="auto"/>
                    <w:left w:val="none" w:sz="0" w:space="0" w:color="auto"/>
                    <w:bottom w:val="none" w:sz="0" w:space="0" w:color="auto"/>
                    <w:right w:val="none" w:sz="0" w:space="0" w:color="auto"/>
                  </w:divBdr>
                  <w:divsChild>
                    <w:div w:id="46211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721936">
      <w:bodyDiv w:val="1"/>
      <w:marLeft w:val="0"/>
      <w:marRight w:val="0"/>
      <w:marTop w:val="0"/>
      <w:marBottom w:val="0"/>
      <w:divBdr>
        <w:top w:val="none" w:sz="0" w:space="0" w:color="auto"/>
        <w:left w:val="none" w:sz="0" w:space="0" w:color="auto"/>
        <w:bottom w:val="none" w:sz="0" w:space="0" w:color="auto"/>
        <w:right w:val="none" w:sz="0" w:space="0" w:color="auto"/>
      </w:divBdr>
    </w:div>
    <w:div w:id="814834695">
      <w:bodyDiv w:val="1"/>
      <w:marLeft w:val="0"/>
      <w:marRight w:val="0"/>
      <w:marTop w:val="0"/>
      <w:marBottom w:val="0"/>
      <w:divBdr>
        <w:top w:val="none" w:sz="0" w:space="0" w:color="auto"/>
        <w:left w:val="none" w:sz="0" w:space="0" w:color="auto"/>
        <w:bottom w:val="none" w:sz="0" w:space="0" w:color="auto"/>
        <w:right w:val="none" w:sz="0" w:space="0" w:color="auto"/>
      </w:divBdr>
      <w:divsChild>
        <w:div w:id="93088987">
          <w:marLeft w:val="0"/>
          <w:marRight w:val="0"/>
          <w:marTop w:val="0"/>
          <w:marBottom w:val="0"/>
          <w:divBdr>
            <w:top w:val="none" w:sz="0" w:space="0" w:color="auto"/>
            <w:left w:val="none" w:sz="0" w:space="0" w:color="auto"/>
            <w:bottom w:val="none" w:sz="0" w:space="0" w:color="auto"/>
            <w:right w:val="none" w:sz="0" w:space="0" w:color="auto"/>
          </w:divBdr>
          <w:divsChild>
            <w:div w:id="1652634988">
              <w:marLeft w:val="0"/>
              <w:marRight w:val="0"/>
              <w:marTop w:val="0"/>
              <w:marBottom w:val="0"/>
              <w:divBdr>
                <w:top w:val="none" w:sz="0" w:space="0" w:color="auto"/>
                <w:left w:val="none" w:sz="0" w:space="0" w:color="auto"/>
                <w:bottom w:val="none" w:sz="0" w:space="0" w:color="auto"/>
                <w:right w:val="none" w:sz="0" w:space="0" w:color="auto"/>
              </w:divBdr>
              <w:divsChild>
                <w:div w:id="697893153">
                  <w:marLeft w:val="0"/>
                  <w:marRight w:val="0"/>
                  <w:marTop w:val="0"/>
                  <w:marBottom w:val="0"/>
                  <w:divBdr>
                    <w:top w:val="none" w:sz="0" w:space="0" w:color="auto"/>
                    <w:left w:val="none" w:sz="0" w:space="0" w:color="auto"/>
                    <w:bottom w:val="none" w:sz="0" w:space="0" w:color="auto"/>
                    <w:right w:val="none" w:sz="0" w:space="0" w:color="auto"/>
                  </w:divBdr>
                  <w:divsChild>
                    <w:div w:id="186601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030441">
      <w:bodyDiv w:val="1"/>
      <w:marLeft w:val="0"/>
      <w:marRight w:val="0"/>
      <w:marTop w:val="0"/>
      <w:marBottom w:val="0"/>
      <w:divBdr>
        <w:top w:val="none" w:sz="0" w:space="0" w:color="auto"/>
        <w:left w:val="none" w:sz="0" w:space="0" w:color="auto"/>
        <w:bottom w:val="none" w:sz="0" w:space="0" w:color="auto"/>
        <w:right w:val="none" w:sz="0" w:space="0" w:color="auto"/>
      </w:divBdr>
      <w:divsChild>
        <w:div w:id="2096701063">
          <w:marLeft w:val="0"/>
          <w:marRight w:val="0"/>
          <w:marTop w:val="0"/>
          <w:marBottom w:val="0"/>
          <w:divBdr>
            <w:top w:val="none" w:sz="0" w:space="0" w:color="auto"/>
            <w:left w:val="none" w:sz="0" w:space="0" w:color="auto"/>
            <w:bottom w:val="none" w:sz="0" w:space="0" w:color="auto"/>
            <w:right w:val="none" w:sz="0" w:space="0" w:color="auto"/>
          </w:divBdr>
          <w:divsChild>
            <w:div w:id="1943028831">
              <w:marLeft w:val="0"/>
              <w:marRight w:val="0"/>
              <w:marTop w:val="0"/>
              <w:marBottom w:val="0"/>
              <w:divBdr>
                <w:top w:val="none" w:sz="0" w:space="0" w:color="auto"/>
                <w:left w:val="none" w:sz="0" w:space="0" w:color="auto"/>
                <w:bottom w:val="none" w:sz="0" w:space="0" w:color="auto"/>
                <w:right w:val="none" w:sz="0" w:space="0" w:color="auto"/>
              </w:divBdr>
              <w:divsChild>
                <w:div w:id="1606032425">
                  <w:marLeft w:val="0"/>
                  <w:marRight w:val="0"/>
                  <w:marTop w:val="0"/>
                  <w:marBottom w:val="0"/>
                  <w:divBdr>
                    <w:top w:val="none" w:sz="0" w:space="0" w:color="auto"/>
                    <w:left w:val="none" w:sz="0" w:space="0" w:color="auto"/>
                    <w:bottom w:val="none" w:sz="0" w:space="0" w:color="auto"/>
                    <w:right w:val="none" w:sz="0" w:space="0" w:color="auto"/>
                  </w:divBdr>
                  <w:divsChild>
                    <w:div w:id="103769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530088">
      <w:bodyDiv w:val="1"/>
      <w:marLeft w:val="0"/>
      <w:marRight w:val="0"/>
      <w:marTop w:val="0"/>
      <w:marBottom w:val="0"/>
      <w:divBdr>
        <w:top w:val="none" w:sz="0" w:space="0" w:color="auto"/>
        <w:left w:val="none" w:sz="0" w:space="0" w:color="auto"/>
        <w:bottom w:val="none" w:sz="0" w:space="0" w:color="auto"/>
        <w:right w:val="none" w:sz="0" w:space="0" w:color="auto"/>
      </w:divBdr>
    </w:div>
    <w:div w:id="815608133">
      <w:bodyDiv w:val="1"/>
      <w:marLeft w:val="0"/>
      <w:marRight w:val="0"/>
      <w:marTop w:val="0"/>
      <w:marBottom w:val="0"/>
      <w:divBdr>
        <w:top w:val="none" w:sz="0" w:space="0" w:color="auto"/>
        <w:left w:val="none" w:sz="0" w:space="0" w:color="auto"/>
        <w:bottom w:val="none" w:sz="0" w:space="0" w:color="auto"/>
        <w:right w:val="none" w:sz="0" w:space="0" w:color="auto"/>
      </w:divBdr>
    </w:div>
    <w:div w:id="815955884">
      <w:bodyDiv w:val="1"/>
      <w:marLeft w:val="0"/>
      <w:marRight w:val="0"/>
      <w:marTop w:val="0"/>
      <w:marBottom w:val="0"/>
      <w:divBdr>
        <w:top w:val="none" w:sz="0" w:space="0" w:color="auto"/>
        <w:left w:val="none" w:sz="0" w:space="0" w:color="auto"/>
        <w:bottom w:val="none" w:sz="0" w:space="0" w:color="auto"/>
        <w:right w:val="none" w:sz="0" w:space="0" w:color="auto"/>
      </w:divBdr>
    </w:div>
    <w:div w:id="816725646">
      <w:bodyDiv w:val="1"/>
      <w:marLeft w:val="0"/>
      <w:marRight w:val="0"/>
      <w:marTop w:val="0"/>
      <w:marBottom w:val="0"/>
      <w:divBdr>
        <w:top w:val="none" w:sz="0" w:space="0" w:color="auto"/>
        <w:left w:val="none" w:sz="0" w:space="0" w:color="auto"/>
        <w:bottom w:val="none" w:sz="0" w:space="0" w:color="auto"/>
        <w:right w:val="none" w:sz="0" w:space="0" w:color="auto"/>
      </w:divBdr>
    </w:div>
    <w:div w:id="817501077">
      <w:bodyDiv w:val="1"/>
      <w:marLeft w:val="0"/>
      <w:marRight w:val="0"/>
      <w:marTop w:val="0"/>
      <w:marBottom w:val="0"/>
      <w:divBdr>
        <w:top w:val="none" w:sz="0" w:space="0" w:color="auto"/>
        <w:left w:val="none" w:sz="0" w:space="0" w:color="auto"/>
        <w:bottom w:val="none" w:sz="0" w:space="0" w:color="auto"/>
        <w:right w:val="none" w:sz="0" w:space="0" w:color="auto"/>
      </w:divBdr>
    </w:div>
    <w:div w:id="817913835">
      <w:bodyDiv w:val="1"/>
      <w:marLeft w:val="0"/>
      <w:marRight w:val="0"/>
      <w:marTop w:val="0"/>
      <w:marBottom w:val="0"/>
      <w:divBdr>
        <w:top w:val="none" w:sz="0" w:space="0" w:color="auto"/>
        <w:left w:val="none" w:sz="0" w:space="0" w:color="auto"/>
        <w:bottom w:val="none" w:sz="0" w:space="0" w:color="auto"/>
        <w:right w:val="none" w:sz="0" w:space="0" w:color="auto"/>
      </w:divBdr>
      <w:divsChild>
        <w:div w:id="1479149329">
          <w:marLeft w:val="0"/>
          <w:marRight w:val="0"/>
          <w:marTop w:val="0"/>
          <w:marBottom w:val="0"/>
          <w:divBdr>
            <w:top w:val="none" w:sz="0" w:space="0" w:color="auto"/>
            <w:left w:val="none" w:sz="0" w:space="0" w:color="auto"/>
            <w:bottom w:val="none" w:sz="0" w:space="0" w:color="auto"/>
            <w:right w:val="none" w:sz="0" w:space="0" w:color="auto"/>
          </w:divBdr>
          <w:divsChild>
            <w:div w:id="1556352433">
              <w:marLeft w:val="0"/>
              <w:marRight w:val="0"/>
              <w:marTop w:val="0"/>
              <w:marBottom w:val="0"/>
              <w:divBdr>
                <w:top w:val="none" w:sz="0" w:space="0" w:color="auto"/>
                <w:left w:val="none" w:sz="0" w:space="0" w:color="auto"/>
                <w:bottom w:val="none" w:sz="0" w:space="0" w:color="auto"/>
                <w:right w:val="none" w:sz="0" w:space="0" w:color="auto"/>
              </w:divBdr>
              <w:divsChild>
                <w:div w:id="31930307">
                  <w:marLeft w:val="0"/>
                  <w:marRight w:val="0"/>
                  <w:marTop w:val="0"/>
                  <w:marBottom w:val="0"/>
                  <w:divBdr>
                    <w:top w:val="none" w:sz="0" w:space="0" w:color="auto"/>
                    <w:left w:val="none" w:sz="0" w:space="0" w:color="auto"/>
                    <w:bottom w:val="none" w:sz="0" w:space="0" w:color="auto"/>
                    <w:right w:val="none" w:sz="0" w:space="0" w:color="auto"/>
                  </w:divBdr>
                  <w:divsChild>
                    <w:div w:id="1987926119">
                      <w:marLeft w:val="0"/>
                      <w:marRight w:val="0"/>
                      <w:marTop w:val="0"/>
                      <w:marBottom w:val="0"/>
                      <w:divBdr>
                        <w:top w:val="none" w:sz="0" w:space="0" w:color="auto"/>
                        <w:left w:val="none" w:sz="0" w:space="0" w:color="auto"/>
                        <w:bottom w:val="none" w:sz="0" w:space="0" w:color="auto"/>
                        <w:right w:val="none" w:sz="0" w:space="0" w:color="auto"/>
                      </w:divBdr>
                    </w:div>
                  </w:divsChild>
                </w:div>
                <w:div w:id="177744392">
                  <w:marLeft w:val="0"/>
                  <w:marRight w:val="0"/>
                  <w:marTop w:val="0"/>
                  <w:marBottom w:val="0"/>
                  <w:divBdr>
                    <w:top w:val="none" w:sz="0" w:space="0" w:color="auto"/>
                    <w:left w:val="none" w:sz="0" w:space="0" w:color="auto"/>
                    <w:bottom w:val="none" w:sz="0" w:space="0" w:color="auto"/>
                    <w:right w:val="none" w:sz="0" w:space="0" w:color="auto"/>
                  </w:divBdr>
                  <w:divsChild>
                    <w:div w:id="17843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611341">
      <w:bodyDiv w:val="1"/>
      <w:marLeft w:val="0"/>
      <w:marRight w:val="0"/>
      <w:marTop w:val="0"/>
      <w:marBottom w:val="0"/>
      <w:divBdr>
        <w:top w:val="none" w:sz="0" w:space="0" w:color="auto"/>
        <w:left w:val="none" w:sz="0" w:space="0" w:color="auto"/>
        <w:bottom w:val="none" w:sz="0" w:space="0" w:color="auto"/>
        <w:right w:val="none" w:sz="0" w:space="0" w:color="auto"/>
      </w:divBdr>
      <w:divsChild>
        <w:div w:id="1643269884">
          <w:marLeft w:val="0"/>
          <w:marRight w:val="0"/>
          <w:marTop w:val="0"/>
          <w:marBottom w:val="0"/>
          <w:divBdr>
            <w:top w:val="none" w:sz="0" w:space="0" w:color="auto"/>
            <w:left w:val="none" w:sz="0" w:space="0" w:color="auto"/>
            <w:bottom w:val="none" w:sz="0" w:space="0" w:color="auto"/>
            <w:right w:val="none" w:sz="0" w:space="0" w:color="auto"/>
          </w:divBdr>
          <w:divsChild>
            <w:div w:id="1383138977">
              <w:marLeft w:val="0"/>
              <w:marRight w:val="0"/>
              <w:marTop w:val="0"/>
              <w:marBottom w:val="0"/>
              <w:divBdr>
                <w:top w:val="none" w:sz="0" w:space="0" w:color="auto"/>
                <w:left w:val="none" w:sz="0" w:space="0" w:color="auto"/>
                <w:bottom w:val="none" w:sz="0" w:space="0" w:color="auto"/>
                <w:right w:val="none" w:sz="0" w:space="0" w:color="auto"/>
              </w:divBdr>
              <w:divsChild>
                <w:div w:id="1827210372">
                  <w:marLeft w:val="0"/>
                  <w:marRight w:val="0"/>
                  <w:marTop w:val="0"/>
                  <w:marBottom w:val="0"/>
                  <w:divBdr>
                    <w:top w:val="none" w:sz="0" w:space="0" w:color="auto"/>
                    <w:left w:val="none" w:sz="0" w:space="0" w:color="auto"/>
                    <w:bottom w:val="none" w:sz="0" w:space="0" w:color="auto"/>
                    <w:right w:val="none" w:sz="0" w:space="0" w:color="auto"/>
                  </w:divBdr>
                  <w:divsChild>
                    <w:div w:id="18854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075932">
      <w:bodyDiv w:val="1"/>
      <w:marLeft w:val="0"/>
      <w:marRight w:val="0"/>
      <w:marTop w:val="0"/>
      <w:marBottom w:val="0"/>
      <w:divBdr>
        <w:top w:val="none" w:sz="0" w:space="0" w:color="auto"/>
        <w:left w:val="none" w:sz="0" w:space="0" w:color="auto"/>
        <w:bottom w:val="none" w:sz="0" w:space="0" w:color="auto"/>
        <w:right w:val="none" w:sz="0" w:space="0" w:color="auto"/>
      </w:divBdr>
    </w:div>
    <w:div w:id="820318261">
      <w:bodyDiv w:val="1"/>
      <w:marLeft w:val="0"/>
      <w:marRight w:val="0"/>
      <w:marTop w:val="0"/>
      <w:marBottom w:val="0"/>
      <w:divBdr>
        <w:top w:val="none" w:sz="0" w:space="0" w:color="auto"/>
        <w:left w:val="none" w:sz="0" w:space="0" w:color="auto"/>
        <w:bottom w:val="none" w:sz="0" w:space="0" w:color="auto"/>
        <w:right w:val="none" w:sz="0" w:space="0" w:color="auto"/>
      </w:divBdr>
    </w:div>
    <w:div w:id="820465991">
      <w:bodyDiv w:val="1"/>
      <w:marLeft w:val="0"/>
      <w:marRight w:val="0"/>
      <w:marTop w:val="0"/>
      <w:marBottom w:val="0"/>
      <w:divBdr>
        <w:top w:val="none" w:sz="0" w:space="0" w:color="auto"/>
        <w:left w:val="none" w:sz="0" w:space="0" w:color="auto"/>
        <w:bottom w:val="none" w:sz="0" w:space="0" w:color="auto"/>
        <w:right w:val="none" w:sz="0" w:space="0" w:color="auto"/>
      </w:divBdr>
      <w:divsChild>
        <w:div w:id="1625038648">
          <w:marLeft w:val="0"/>
          <w:marRight w:val="0"/>
          <w:marTop w:val="0"/>
          <w:marBottom w:val="0"/>
          <w:divBdr>
            <w:top w:val="none" w:sz="0" w:space="0" w:color="auto"/>
            <w:left w:val="none" w:sz="0" w:space="0" w:color="auto"/>
            <w:bottom w:val="none" w:sz="0" w:space="0" w:color="auto"/>
            <w:right w:val="none" w:sz="0" w:space="0" w:color="auto"/>
          </w:divBdr>
          <w:divsChild>
            <w:div w:id="1615555487">
              <w:marLeft w:val="0"/>
              <w:marRight w:val="0"/>
              <w:marTop w:val="0"/>
              <w:marBottom w:val="0"/>
              <w:divBdr>
                <w:top w:val="none" w:sz="0" w:space="0" w:color="auto"/>
                <w:left w:val="none" w:sz="0" w:space="0" w:color="auto"/>
                <w:bottom w:val="none" w:sz="0" w:space="0" w:color="auto"/>
                <w:right w:val="none" w:sz="0" w:space="0" w:color="auto"/>
              </w:divBdr>
              <w:divsChild>
                <w:div w:id="902301429">
                  <w:marLeft w:val="0"/>
                  <w:marRight w:val="0"/>
                  <w:marTop w:val="0"/>
                  <w:marBottom w:val="0"/>
                  <w:divBdr>
                    <w:top w:val="none" w:sz="0" w:space="0" w:color="auto"/>
                    <w:left w:val="none" w:sz="0" w:space="0" w:color="auto"/>
                    <w:bottom w:val="none" w:sz="0" w:space="0" w:color="auto"/>
                    <w:right w:val="none" w:sz="0" w:space="0" w:color="auto"/>
                  </w:divBdr>
                  <w:divsChild>
                    <w:div w:id="43505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582879">
      <w:bodyDiv w:val="1"/>
      <w:marLeft w:val="0"/>
      <w:marRight w:val="0"/>
      <w:marTop w:val="0"/>
      <w:marBottom w:val="0"/>
      <w:divBdr>
        <w:top w:val="none" w:sz="0" w:space="0" w:color="auto"/>
        <w:left w:val="none" w:sz="0" w:space="0" w:color="auto"/>
        <w:bottom w:val="none" w:sz="0" w:space="0" w:color="auto"/>
        <w:right w:val="none" w:sz="0" w:space="0" w:color="auto"/>
      </w:divBdr>
    </w:div>
    <w:div w:id="820729959">
      <w:bodyDiv w:val="1"/>
      <w:marLeft w:val="0"/>
      <w:marRight w:val="0"/>
      <w:marTop w:val="0"/>
      <w:marBottom w:val="0"/>
      <w:divBdr>
        <w:top w:val="none" w:sz="0" w:space="0" w:color="auto"/>
        <w:left w:val="none" w:sz="0" w:space="0" w:color="auto"/>
        <w:bottom w:val="none" w:sz="0" w:space="0" w:color="auto"/>
        <w:right w:val="none" w:sz="0" w:space="0" w:color="auto"/>
      </w:divBdr>
    </w:div>
    <w:div w:id="820855534">
      <w:bodyDiv w:val="1"/>
      <w:marLeft w:val="0"/>
      <w:marRight w:val="0"/>
      <w:marTop w:val="0"/>
      <w:marBottom w:val="0"/>
      <w:divBdr>
        <w:top w:val="none" w:sz="0" w:space="0" w:color="auto"/>
        <w:left w:val="none" w:sz="0" w:space="0" w:color="auto"/>
        <w:bottom w:val="none" w:sz="0" w:space="0" w:color="auto"/>
        <w:right w:val="none" w:sz="0" w:space="0" w:color="auto"/>
      </w:divBdr>
      <w:divsChild>
        <w:div w:id="519196695">
          <w:marLeft w:val="0"/>
          <w:marRight w:val="0"/>
          <w:marTop w:val="0"/>
          <w:marBottom w:val="0"/>
          <w:divBdr>
            <w:top w:val="none" w:sz="0" w:space="0" w:color="auto"/>
            <w:left w:val="none" w:sz="0" w:space="0" w:color="auto"/>
            <w:bottom w:val="none" w:sz="0" w:space="0" w:color="auto"/>
            <w:right w:val="none" w:sz="0" w:space="0" w:color="auto"/>
          </w:divBdr>
          <w:divsChild>
            <w:div w:id="514270715">
              <w:marLeft w:val="0"/>
              <w:marRight w:val="0"/>
              <w:marTop w:val="0"/>
              <w:marBottom w:val="0"/>
              <w:divBdr>
                <w:top w:val="none" w:sz="0" w:space="0" w:color="auto"/>
                <w:left w:val="none" w:sz="0" w:space="0" w:color="auto"/>
                <w:bottom w:val="none" w:sz="0" w:space="0" w:color="auto"/>
                <w:right w:val="none" w:sz="0" w:space="0" w:color="auto"/>
              </w:divBdr>
              <w:divsChild>
                <w:div w:id="630745103">
                  <w:marLeft w:val="0"/>
                  <w:marRight w:val="0"/>
                  <w:marTop w:val="0"/>
                  <w:marBottom w:val="0"/>
                  <w:divBdr>
                    <w:top w:val="none" w:sz="0" w:space="0" w:color="auto"/>
                    <w:left w:val="none" w:sz="0" w:space="0" w:color="auto"/>
                    <w:bottom w:val="none" w:sz="0" w:space="0" w:color="auto"/>
                    <w:right w:val="none" w:sz="0" w:space="0" w:color="auto"/>
                  </w:divBdr>
                  <w:divsChild>
                    <w:div w:id="12892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240115">
      <w:bodyDiv w:val="1"/>
      <w:marLeft w:val="0"/>
      <w:marRight w:val="0"/>
      <w:marTop w:val="0"/>
      <w:marBottom w:val="0"/>
      <w:divBdr>
        <w:top w:val="none" w:sz="0" w:space="0" w:color="auto"/>
        <w:left w:val="none" w:sz="0" w:space="0" w:color="auto"/>
        <w:bottom w:val="none" w:sz="0" w:space="0" w:color="auto"/>
        <w:right w:val="none" w:sz="0" w:space="0" w:color="auto"/>
      </w:divBdr>
    </w:div>
    <w:div w:id="821775638">
      <w:bodyDiv w:val="1"/>
      <w:marLeft w:val="0"/>
      <w:marRight w:val="0"/>
      <w:marTop w:val="0"/>
      <w:marBottom w:val="0"/>
      <w:divBdr>
        <w:top w:val="none" w:sz="0" w:space="0" w:color="auto"/>
        <w:left w:val="none" w:sz="0" w:space="0" w:color="auto"/>
        <w:bottom w:val="none" w:sz="0" w:space="0" w:color="auto"/>
        <w:right w:val="none" w:sz="0" w:space="0" w:color="auto"/>
      </w:divBdr>
      <w:divsChild>
        <w:div w:id="2052878228">
          <w:marLeft w:val="0"/>
          <w:marRight w:val="0"/>
          <w:marTop w:val="0"/>
          <w:marBottom w:val="0"/>
          <w:divBdr>
            <w:top w:val="none" w:sz="0" w:space="0" w:color="auto"/>
            <w:left w:val="none" w:sz="0" w:space="0" w:color="auto"/>
            <w:bottom w:val="none" w:sz="0" w:space="0" w:color="auto"/>
            <w:right w:val="none" w:sz="0" w:space="0" w:color="auto"/>
          </w:divBdr>
          <w:divsChild>
            <w:div w:id="633557731">
              <w:marLeft w:val="0"/>
              <w:marRight w:val="0"/>
              <w:marTop w:val="0"/>
              <w:marBottom w:val="0"/>
              <w:divBdr>
                <w:top w:val="none" w:sz="0" w:space="0" w:color="auto"/>
                <w:left w:val="none" w:sz="0" w:space="0" w:color="auto"/>
                <w:bottom w:val="none" w:sz="0" w:space="0" w:color="auto"/>
                <w:right w:val="none" w:sz="0" w:space="0" w:color="auto"/>
              </w:divBdr>
              <w:divsChild>
                <w:div w:id="334185371">
                  <w:marLeft w:val="0"/>
                  <w:marRight w:val="0"/>
                  <w:marTop w:val="0"/>
                  <w:marBottom w:val="0"/>
                  <w:divBdr>
                    <w:top w:val="none" w:sz="0" w:space="0" w:color="auto"/>
                    <w:left w:val="none" w:sz="0" w:space="0" w:color="auto"/>
                    <w:bottom w:val="none" w:sz="0" w:space="0" w:color="auto"/>
                    <w:right w:val="none" w:sz="0" w:space="0" w:color="auto"/>
                  </w:divBdr>
                  <w:divsChild>
                    <w:div w:id="97086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778687">
      <w:bodyDiv w:val="1"/>
      <w:marLeft w:val="0"/>
      <w:marRight w:val="0"/>
      <w:marTop w:val="0"/>
      <w:marBottom w:val="0"/>
      <w:divBdr>
        <w:top w:val="none" w:sz="0" w:space="0" w:color="auto"/>
        <w:left w:val="none" w:sz="0" w:space="0" w:color="auto"/>
        <w:bottom w:val="none" w:sz="0" w:space="0" w:color="auto"/>
        <w:right w:val="none" w:sz="0" w:space="0" w:color="auto"/>
      </w:divBdr>
    </w:div>
    <w:div w:id="822282806">
      <w:bodyDiv w:val="1"/>
      <w:marLeft w:val="0"/>
      <w:marRight w:val="0"/>
      <w:marTop w:val="0"/>
      <w:marBottom w:val="0"/>
      <w:divBdr>
        <w:top w:val="none" w:sz="0" w:space="0" w:color="auto"/>
        <w:left w:val="none" w:sz="0" w:space="0" w:color="auto"/>
        <w:bottom w:val="none" w:sz="0" w:space="0" w:color="auto"/>
        <w:right w:val="none" w:sz="0" w:space="0" w:color="auto"/>
      </w:divBdr>
    </w:div>
    <w:div w:id="822431676">
      <w:bodyDiv w:val="1"/>
      <w:marLeft w:val="0"/>
      <w:marRight w:val="0"/>
      <w:marTop w:val="0"/>
      <w:marBottom w:val="0"/>
      <w:divBdr>
        <w:top w:val="none" w:sz="0" w:space="0" w:color="auto"/>
        <w:left w:val="none" w:sz="0" w:space="0" w:color="auto"/>
        <w:bottom w:val="none" w:sz="0" w:space="0" w:color="auto"/>
        <w:right w:val="none" w:sz="0" w:space="0" w:color="auto"/>
      </w:divBdr>
    </w:div>
    <w:div w:id="823081617">
      <w:bodyDiv w:val="1"/>
      <w:marLeft w:val="0"/>
      <w:marRight w:val="0"/>
      <w:marTop w:val="0"/>
      <w:marBottom w:val="0"/>
      <w:divBdr>
        <w:top w:val="none" w:sz="0" w:space="0" w:color="auto"/>
        <w:left w:val="none" w:sz="0" w:space="0" w:color="auto"/>
        <w:bottom w:val="none" w:sz="0" w:space="0" w:color="auto"/>
        <w:right w:val="none" w:sz="0" w:space="0" w:color="auto"/>
      </w:divBdr>
    </w:div>
    <w:div w:id="824473985">
      <w:bodyDiv w:val="1"/>
      <w:marLeft w:val="0"/>
      <w:marRight w:val="0"/>
      <w:marTop w:val="0"/>
      <w:marBottom w:val="0"/>
      <w:divBdr>
        <w:top w:val="none" w:sz="0" w:space="0" w:color="auto"/>
        <w:left w:val="none" w:sz="0" w:space="0" w:color="auto"/>
        <w:bottom w:val="none" w:sz="0" w:space="0" w:color="auto"/>
        <w:right w:val="none" w:sz="0" w:space="0" w:color="auto"/>
      </w:divBdr>
    </w:div>
    <w:div w:id="825047135">
      <w:bodyDiv w:val="1"/>
      <w:marLeft w:val="0"/>
      <w:marRight w:val="0"/>
      <w:marTop w:val="0"/>
      <w:marBottom w:val="0"/>
      <w:divBdr>
        <w:top w:val="none" w:sz="0" w:space="0" w:color="auto"/>
        <w:left w:val="none" w:sz="0" w:space="0" w:color="auto"/>
        <w:bottom w:val="none" w:sz="0" w:space="0" w:color="auto"/>
        <w:right w:val="none" w:sz="0" w:space="0" w:color="auto"/>
      </w:divBdr>
    </w:div>
    <w:div w:id="825244416">
      <w:bodyDiv w:val="1"/>
      <w:marLeft w:val="0"/>
      <w:marRight w:val="0"/>
      <w:marTop w:val="0"/>
      <w:marBottom w:val="0"/>
      <w:divBdr>
        <w:top w:val="none" w:sz="0" w:space="0" w:color="auto"/>
        <w:left w:val="none" w:sz="0" w:space="0" w:color="auto"/>
        <w:bottom w:val="none" w:sz="0" w:space="0" w:color="auto"/>
        <w:right w:val="none" w:sz="0" w:space="0" w:color="auto"/>
      </w:divBdr>
    </w:div>
    <w:div w:id="825781833">
      <w:bodyDiv w:val="1"/>
      <w:marLeft w:val="0"/>
      <w:marRight w:val="0"/>
      <w:marTop w:val="0"/>
      <w:marBottom w:val="0"/>
      <w:divBdr>
        <w:top w:val="none" w:sz="0" w:space="0" w:color="auto"/>
        <w:left w:val="none" w:sz="0" w:space="0" w:color="auto"/>
        <w:bottom w:val="none" w:sz="0" w:space="0" w:color="auto"/>
        <w:right w:val="none" w:sz="0" w:space="0" w:color="auto"/>
      </w:divBdr>
    </w:div>
    <w:div w:id="826016165">
      <w:bodyDiv w:val="1"/>
      <w:marLeft w:val="0"/>
      <w:marRight w:val="0"/>
      <w:marTop w:val="0"/>
      <w:marBottom w:val="0"/>
      <w:divBdr>
        <w:top w:val="none" w:sz="0" w:space="0" w:color="auto"/>
        <w:left w:val="none" w:sz="0" w:space="0" w:color="auto"/>
        <w:bottom w:val="none" w:sz="0" w:space="0" w:color="auto"/>
        <w:right w:val="none" w:sz="0" w:space="0" w:color="auto"/>
      </w:divBdr>
    </w:div>
    <w:div w:id="826358862">
      <w:bodyDiv w:val="1"/>
      <w:marLeft w:val="0"/>
      <w:marRight w:val="0"/>
      <w:marTop w:val="0"/>
      <w:marBottom w:val="0"/>
      <w:divBdr>
        <w:top w:val="none" w:sz="0" w:space="0" w:color="auto"/>
        <w:left w:val="none" w:sz="0" w:space="0" w:color="auto"/>
        <w:bottom w:val="none" w:sz="0" w:space="0" w:color="auto"/>
        <w:right w:val="none" w:sz="0" w:space="0" w:color="auto"/>
      </w:divBdr>
    </w:div>
    <w:div w:id="826630858">
      <w:bodyDiv w:val="1"/>
      <w:marLeft w:val="0"/>
      <w:marRight w:val="0"/>
      <w:marTop w:val="0"/>
      <w:marBottom w:val="0"/>
      <w:divBdr>
        <w:top w:val="none" w:sz="0" w:space="0" w:color="auto"/>
        <w:left w:val="none" w:sz="0" w:space="0" w:color="auto"/>
        <w:bottom w:val="none" w:sz="0" w:space="0" w:color="auto"/>
        <w:right w:val="none" w:sz="0" w:space="0" w:color="auto"/>
      </w:divBdr>
    </w:div>
    <w:div w:id="827863990">
      <w:bodyDiv w:val="1"/>
      <w:marLeft w:val="0"/>
      <w:marRight w:val="0"/>
      <w:marTop w:val="0"/>
      <w:marBottom w:val="0"/>
      <w:divBdr>
        <w:top w:val="none" w:sz="0" w:space="0" w:color="auto"/>
        <w:left w:val="none" w:sz="0" w:space="0" w:color="auto"/>
        <w:bottom w:val="none" w:sz="0" w:space="0" w:color="auto"/>
        <w:right w:val="none" w:sz="0" w:space="0" w:color="auto"/>
      </w:divBdr>
    </w:div>
    <w:div w:id="827983798">
      <w:bodyDiv w:val="1"/>
      <w:marLeft w:val="0"/>
      <w:marRight w:val="0"/>
      <w:marTop w:val="0"/>
      <w:marBottom w:val="0"/>
      <w:divBdr>
        <w:top w:val="none" w:sz="0" w:space="0" w:color="auto"/>
        <w:left w:val="none" w:sz="0" w:space="0" w:color="auto"/>
        <w:bottom w:val="none" w:sz="0" w:space="0" w:color="auto"/>
        <w:right w:val="none" w:sz="0" w:space="0" w:color="auto"/>
      </w:divBdr>
    </w:div>
    <w:div w:id="828861015">
      <w:bodyDiv w:val="1"/>
      <w:marLeft w:val="0"/>
      <w:marRight w:val="0"/>
      <w:marTop w:val="0"/>
      <w:marBottom w:val="0"/>
      <w:divBdr>
        <w:top w:val="none" w:sz="0" w:space="0" w:color="auto"/>
        <w:left w:val="none" w:sz="0" w:space="0" w:color="auto"/>
        <w:bottom w:val="none" w:sz="0" w:space="0" w:color="auto"/>
        <w:right w:val="none" w:sz="0" w:space="0" w:color="auto"/>
      </w:divBdr>
    </w:div>
    <w:div w:id="829102698">
      <w:bodyDiv w:val="1"/>
      <w:marLeft w:val="0"/>
      <w:marRight w:val="0"/>
      <w:marTop w:val="0"/>
      <w:marBottom w:val="0"/>
      <w:divBdr>
        <w:top w:val="none" w:sz="0" w:space="0" w:color="auto"/>
        <w:left w:val="none" w:sz="0" w:space="0" w:color="auto"/>
        <w:bottom w:val="none" w:sz="0" w:space="0" w:color="auto"/>
        <w:right w:val="none" w:sz="0" w:space="0" w:color="auto"/>
      </w:divBdr>
    </w:div>
    <w:div w:id="830175913">
      <w:bodyDiv w:val="1"/>
      <w:marLeft w:val="0"/>
      <w:marRight w:val="0"/>
      <w:marTop w:val="0"/>
      <w:marBottom w:val="0"/>
      <w:divBdr>
        <w:top w:val="none" w:sz="0" w:space="0" w:color="auto"/>
        <w:left w:val="none" w:sz="0" w:space="0" w:color="auto"/>
        <w:bottom w:val="none" w:sz="0" w:space="0" w:color="auto"/>
        <w:right w:val="none" w:sz="0" w:space="0" w:color="auto"/>
      </w:divBdr>
    </w:div>
    <w:div w:id="830290243">
      <w:bodyDiv w:val="1"/>
      <w:marLeft w:val="0"/>
      <w:marRight w:val="0"/>
      <w:marTop w:val="0"/>
      <w:marBottom w:val="0"/>
      <w:divBdr>
        <w:top w:val="none" w:sz="0" w:space="0" w:color="auto"/>
        <w:left w:val="none" w:sz="0" w:space="0" w:color="auto"/>
        <w:bottom w:val="none" w:sz="0" w:space="0" w:color="auto"/>
        <w:right w:val="none" w:sz="0" w:space="0" w:color="auto"/>
      </w:divBdr>
      <w:divsChild>
        <w:div w:id="1073236712">
          <w:marLeft w:val="0"/>
          <w:marRight w:val="0"/>
          <w:marTop w:val="0"/>
          <w:marBottom w:val="0"/>
          <w:divBdr>
            <w:top w:val="none" w:sz="0" w:space="0" w:color="auto"/>
            <w:left w:val="none" w:sz="0" w:space="0" w:color="auto"/>
            <w:bottom w:val="none" w:sz="0" w:space="0" w:color="auto"/>
            <w:right w:val="none" w:sz="0" w:space="0" w:color="auto"/>
          </w:divBdr>
          <w:divsChild>
            <w:div w:id="668218920">
              <w:marLeft w:val="0"/>
              <w:marRight w:val="0"/>
              <w:marTop w:val="0"/>
              <w:marBottom w:val="0"/>
              <w:divBdr>
                <w:top w:val="none" w:sz="0" w:space="0" w:color="auto"/>
                <w:left w:val="none" w:sz="0" w:space="0" w:color="auto"/>
                <w:bottom w:val="none" w:sz="0" w:space="0" w:color="auto"/>
                <w:right w:val="none" w:sz="0" w:space="0" w:color="auto"/>
              </w:divBdr>
              <w:divsChild>
                <w:div w:id="724334343">
                  <w:marLeft w:val="0"/>
                  <w:marRight w:val="0"/>
                  <w:marTop w:val="0"/>
                  <w:marBottom w:val="0"/>
                  <w:divBdr>
                    <w:top w:val="none" w:sz="0" w:space="0" w:color="auto"/>
                    <w:left w:val="none" w:sz="0" w:space="0" w:color="auto"/>
                    <w:bottom w:val="none" w:sz="0" w:space="0" w:color="auto"/>
                    <w:right w:val="none" w:sz="0" w:space="0" w:color="auto"/>
                  </w:divBdr>
                  <w:divsChild>
                    <w:div w:id="1159804139">
                      <w:marLeft w:val="0"/>
                      <w:marRight w:val="0"/>
                      <w:marTop w:val="0"/>
                      <w:marBottom w:val="0"/>
                      <w:divBdr>
                        <w:top w:val="none" w:sz="0" w:space="0" w:color="auto"/>
                        <w:left w:val="none" w:sz="0" w:space="0" w:color="auto"/>
                        <w:bottom w:val="none" w:sz="0" w:space="0" w:color="auto"/>
                        <w:right w:val="none" w:sz="0" w:space="0" w:color="auto"/>
                      </w:divBdr>
                    </w:div>
                  </w:divsChild>
                </w:div>
                <w:div w:id="1887453029">
                  <w:marLeft w:val="0"/>
                  <w:marRight w:val="0"/>
                  <w:marTop w:val="0"/>
                  <w:marBottom w:val="0"/>
                  <w:divBdr>
                    <w:top w:val="none" w:sz="0" w:space="0" w:color="auto"/>
                    <w:left w:val="none" w:sz="0" w:space="0" w:color="auto"/>
                    <w:bottom w:val="none" w:sz="0" w:space="0" w:color="auto"/>
                    <w:right w:val="none" w:sz="0" w:space="0" w:color="auto"/>
                  </w:divBdr>
                  <w:divsChild>
                    <w:div w:id="19372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062678">
      <w:bodyDiv w:val="1"/>
      <w:marLeft w:val="0"/>
      <w:marRight w:val="0"/>
      <w:marTop w:val="0"/>
      <w:marBottom w:val="0"/>
      <w:divBdr>
        <w:top w:val="none" w:sz="0" w:space="0" w:color="auto"/>
        <w:left w:val="none" w:sz="0" w:space="0" w:color="auto"/>
        <w:bottom w:val="none" w:sz="0" w:space="0" w:color="auto"/>
        <w:right w:val="none" w:sz="0" w:space="0" w:color="auto"/>
      </w:divBdr>
    </w:div>
    <w:div w:id="832063876">
      <w:bodyDiv w:val="1"/>
      <w:marLeft w:val="0"/>
      <w:marRight w:val="0"/>
      <w:marTop w:val="0"/>
      <w:marBottom w:val="0"/>
      <w:divBdr>
        <w:top w:val="none" w:sz="0" w:space="0" w:color="auto"/>
        <w:left w:val="none" w:sz="0" w:space="0" w:color="auto"/>
        <w:bottom w:val="none" w:sz="0" w:space="0" w:color="auto"/>
        <w:right w:val="none" w:sz="0" w:space="0" w:color="auto"/>
      </w:divBdr>
    </w:div>
    <w:div w:id="834148667">
      <w:bodyDiv w:val="1"/>
      <w:marLeft w:val="0"/>
      <w:marRight w:val="0"/>
      <w:marTop w:val="0"/>
      <w:marBottom w:val="0"/>
      <w:divBdr>
        <w:top w:val="none" w:sz="0" w:space="0" w:color="auto"/>
        <w:left w:val="none" w:sz="0" w:space="0" w:color="auto"/>
        <w:bottom w:val="none" w:sz="0" w:space="0" w:color="auto"/>
        <w:right w:val="none" w:sz="0" w:space="0" w:color="auto"/>
      </w:divBdr>
    </w:div>
    <w:div w:id="834800743">
      <w:bodyDiv w:val="1"/>
      <w:marLeft w:val="0"/>
      <w:marRight w:val="0"/>
      <w:marTop w:val="0"/>
      <w:marBottom w:val="0"/>
      <w:divBdr>
        <w:top w:val="none" w:sz="0" w:space="0" w:color="auto"/>
        <w:left w:val="none" w:sz="0" w:space="0" w:color="auto"/>
        <w:bottom w:val="none" w:sz="0" w:space="0" w:color="auto"/>
        <w:right w:val="none" w:sz="0" w:space="0" w:color="auto"/>
      </w:divBdr>
    </w:div>
    <w:div w:id="835222746">
      <w:bodyDiv w:val="1"/>
      <w:marLeft w:val="0"/>
      <w:marRight w:val="0"/>
      <w:marTop w:val="0"/>
      <w:marBottom w:val="0"/>
      <w:divBdr>
        <w:top w:val="none" w:sz="0" w:space="0" w:color="auto"/>
        <w:left w:val="none" w:sz="0" w:space="0" w:color="auto"/>
        <w:bottom w:val="none" w:sz="0" w:space="0" w:color="auto"/>
        <w:right w:val="none" w:sz="0" w:space="0" w:color="auto"/>
      </w:divBdr>
    </w:div>
    <w:div w:id="836119869">
      <w:bodyDiv w:val="1"/>
      <w:marLeft w:val="0"/>
      <w:marRight w:val="0"/>
      <w:marTop w:val="0"/>
      <w:marBottom w:val="0"/>
      <w:divBdr>
        <w:top w:val="none" w:sz="0" w:space="0" w:color="auto"/>
        <w:left w:val="none" w:sz="0" w:space="0" w:color="auto"/>
        <w:bottom w:val="none" w:sz="0" w:space="0" w:color="auto"/>
        <w:right w:val="none" w:sz="0" w:space="0" w:color="auto"/>
      </w:divBdr>
      <w:divsChild>
        <w:div w:id="318728577">
          <w:marLeft w:val="0"/>
          <w:marRight w:val="0"/>
          <w:marTop w:val="0"/>
          <w:marBottom w:val="0"/>
          <w:divBdr>
            <w:top w:val="none" w:sz="0" w:space="0" w:color="auto"/>
            <w:left w:val="none" w:sz="0" w:space="0" w:color="auto"/>
            <w:bottom w:val="none" w:sz="0" w:space="0" w:color="auto"/>
            <w:right w:val="none" w:sz="0" w:space="0" w:color="auto"/>
          </w:divBdr>
          <w:divsChild>
            <w:div w:id="707923386">
              <w:marLeft w:val="0"/>
              <w:marRight w:val="0"/>
              <w:marTop w:val="0"/>
              <w:marBottom w:val="0"/>
              <w:divBdr>
                <w:top w:val="none" w:sz="0" w:space="0" w:color="auto"/>
                <w:left w:val="none" w:sz="0" w:space="0" w:color="auto"/>
                <w:bottom w:val="none" w:sz="0" w:space="0" w:color="auto"/>
                <w:right w:val="none" w:sz="0" w:space="0" w:color="auto"/>
              </w:divBdr>
              <w:divsChild>
                <w:div w:id="1837770993">
                  <w:marLeft w:val="0"/>
                  <w:marRight w:val="0"/>
                  <w:marTop w:val="0"/>
                  <w:marBottom w:val="0"/>
                  <w:divBdr>
                    <w:top w:val="none" w:sz="0" w:space="0" w:color="auto"/>
                    <w:left w:val="none" w:sz="0" w:space="0" w:color="auto"/>
                    <w:bottom w:val="none" w:sz="0" w:space="0" w:color="auto"/>
                    <w:right w:val="none" w:sz="0" w:space="0" w:color="auto"/>
                  </w:divBdr>
                  <w:divsChild>
                    <w:div w:id="134783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043646">
      <w:bodyDiv w:val="1"/>
      <w:marLeft w:val="0"/>
      <w:marRight w:val="0"/>
      <w:marTop w:val="0"/>
      <w:marBottom w:val="0"/>
      <w:divBdr>
        <w:top w:val="none" w:sz="0" w:space="0" w:color="auto"/>
        <w:left w:val="none" w:sz="0" w:space="0" w:color="auto"/>
        <w:bottom w:val="none" w:sz="0" w:space="0" w:color="auto"/>
        <w:right w:val="none" w:sz="0" w:space="0" w:color="auto"/>
      </w:divBdr>
    </w:div>
    <w:div w:id="837694173">
      <w:bodyDiv w:val="1"/>
      <w:marLeft w:val="0"/>
      <w:marRight w:val="0"/>
      <w:marTop w:val="0"/>
      <w:marBottom w:val="0"/>
      <w:divBdr>
        <w:top w:val="none" w:sz="0" w:space="0" w:color="auto"/>
        <w:left w:val="none" w:sz="0" w:space="0" w:color="auto"/>
        <w:bottom w:val="none" w:sz="0" w:space="0" w:color="auto"/>
        <w:right w:val="none" w:sz="0" w:space="0" w:color="auto"/>
      </w:divBdr>
    </w:div>
    <w:div w:id="838154616">
      <w:bodyDiv w:val="1"/>
      <w:marLeft w:val="0"/>
      <w:marRight w:val="0"/>
      <w:marTop w:val="0"/>
      <w:marBottom w:val="0"/>
      <w:divBdr>
        <w:top w:val="none" w:sz="0" w:space="0" w:color="auto"/>
        <w:left w:val="none" w:sz="0" w:space="0" w:color="auto"/>
        <w:bottom w:val="none" w:sz="0" w:space="0" w:color="auto"/>
        <w:right w:val="none" w:sz="0" w:space="0" w:color="auto"/>
      </w:divBdr>
    </w:div>
    <w:div w:id="838231448">
      <w:bodyDiv w:val="1"/>
      <w:marLeft w:val="0"/>
      <w:marRight w:val="0"/>
      <w:marTop w:val="0"/>
      <w:marBottom w:val="0"/>
      <w:divBdr>
        <w:top w:val="none" w:sz="0" w:space="0" w:color="auto"/>
        <w:left w:val="none" w:sz="0" w:space="0" w:color="auto"/>
        <w:bottom w:val="none" w:sz="0" w:space="0" w:color="auto"/>
        <w:right w:val="none" w:sz="0" w:space="0" w:color="auto"/>
      </w:divBdr>
    </w:div>
    <w:div w:id="838539322">
      <w:bodyDiv w:val="1"/>
      <w:marLeft w:val="0"/>
      <w:marRight w:val="0"/>
      <w:marTop w:val="0"/>
      <w:marBottom w:val="0"/>
      <w:divBdr>
        <w:top w:val="none" w:sz="0" w:space="0" w:color="auto"/>
        <w:left w:val="none" w:sz="0" w:space="0" w:color="auto"/>
        <w:bottom w:val="none" w:sz="0" w:space="0" w:color="auto"/>
        <w:right w:val="none" w:sz="0" w:space="0" w:color="auto"/>
      </w:divBdr>
    </w:div>
    <w:div w:id="839388467">
      <w:bodyDiv w:val="1"/>
      <w:marLeft w:val="0"/>
      <w:marRight w:val="0"/>
      <w:marTop w:val="0"/>
      <w:marBottom w:val="0"/>
      <w:divBdr>
        <w:top w:val="none" w:sz="0" w:space="0" w:color="auto"/>
        <w:left w:val="none" w:sz="0" w:space="0" w:color="auto"/>
        <w:bottom w:val="none" w:sz="0" w:space="0" w:color="auto"/>
        <w:right w:val="none" w:sz="0" w:space="0" w:color="auto"/>
      </w:divBdr>
      <w:divsChild>
        <w:div w:id="1247760574">
          <w:marLeft w:val="0"/>
          <w:marRight w:val="0"/>
          <w:marTop w:val="0"/>
          <w:marBottom w:val="0"/>
          <w:divBdr>
            <w:top w:val="none" w:sz="0" w:space="0" w:color="auto"/>
            <w:left w:val="none" w:sz="0" w:space="0" w:color="auto"/>
            <w:bottom w:val="none" w:sz="0" w:space="0" w:color="auto"/>
            <w:right w:val="none" w:sz="0" w:space="0" w:color="auto"/>
          </w:divBdr>
          <w:divsChild>
            <w:div w:id="1780486714">
              <w:marLeft w:val="0"/>
              <w:marRight w:val="0"/>
              <w:marTop w:val="0"/>
              <w:marBottom w:val="0"/>
              <w:divBdr>
                <w:top w:val="none" w:sz="0" w:space="0" w:color="auto"/>
                <w:left w:val="none" w:sz="0" w:space="0" w:color="auto"/>
                <w:bottom w:val="none" w:sz="0" w:space="0" w:color="auto"/>
                <w:right w:val="none" w:sz="0" w:space="0" w:color="auto"/>
              </w:divBdr>
              <w:divsChild>
                <w:div w:id="936792216">
                  <w:marLeft w:val="0"/>
                  <w:marRight w:val="0"/>
                  <w:marTop w:val="0"/>
                  <w:marBottom w:val="0"/>
                  <w:divBdr>
                    <w:top w:val="none" w:sz="0" w:space="0" w:color="auto"/>
                    <w:left w:val="none" w:sz="0" w:space="0" w:color="auto"/>
                    <w:bottom w:val="none" w:sz="0" w:space="0" w:color="auto"/>
                    <w:right w:val="none" w:sz="0" w:space="0" w:color="auto"/>
                  </w:divBdr>
                  <w:divsChild>
                    <w:div w:id="22225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543503">
      <w:bodyDiv w:val="1"/>
      <w:marLeft w:val="0"/>
      <w:marRight w:val="0"/>
      <w:marTop w:val="0"/>
      <w:marBottom w:val="0"/>
      <w:divBdr>
        <w:top w:val="none" w:sz="0" w:space="0" w:color="auto"/>
        <w:left w:val="none" w:sz="0" w:space="0" w:color="auto"/>
        <w:bottom w:val="none" w:sz="0" w:space="0" w:color="auto"/>
        <w:right w:val="none" w:sz="0" w:space="0" w:color="auto"/>
      </w:divBdr>
    </w:div>
    <w:div w:id="840042148">
      <w:bodyDiv w:val="1"/>
      <w:marLeft w:val="0"/>
      <w:marRight w:val="0"/>
      <w:marTop w:val="0"/>
      <w:marBottom w:val="0"/>
      <w:divBdr>
        <w:top w:val="none" w:sz="0" w:space="0" w:color="auto"/>
        <w:left w:val="none" w:sz="0" w:space="0" w:color="auto"/>
        <w:bottom w:val="none" w:sz="0" w:space="0" w:color="auto"/>
        <w:right w:val="none" w:sz="0" w:space="0" w:color="auto"/>
      </w:divBdr>
    </w:div>
    <w:div w:id="840660084">
      <w:bodyDiv w:val="1"/>
      <w:marLeft w:val="0"/>
      <w:marRight w:val="0"/>
      <w:marTop w:val="0"/>
      <w:marBottom w:val="0"/>
      <w:divBdr>
        <w:top w:val="none" w:sz="0" w:space="0" w:color="auto"/>
        <w:left w:val="none" w:sz="0" w:space="0" w:color="auto"/>
        <w:bottom w:val="none" w:sz="0" w:space="0" w:color="auto"/>
        <w:right w:val="none" w:sz="0" w:space="0" w:color="auto"/>
      </w:divBdr>
    </w:div>
    <w:div w:id="840848519">
      <w:bodyDiv w:val="1"/>
      <w:marLeft w:val="0"/>
      <w:marRight w:val="0"/>
      <w:marTop w:val="0"/>
      <w:marBottom w:val="0"/>
      <w:divBdr>
        <w:top w:val="none" w:sz="0" w:space="0" w:color="auto"/>
        <w:left w:val="none" w:sz="0" w:space="0" w:color="auto"/>
        <w:bottom w:val="none" w:sz="0" w:space="0" w:color="auto"/>
        <w:right w:val="none" w:sz="0" w:space="0" w:color="auto"/>
      </w:divBdr>
    </w:div>
    <w:div w:id="841092537">
      <w:bodyDiv w:val="1"/>
      <w:marLeft w:val="0"/>
      <w:marRight w:val="0"/>
      <w:marTop w:val="0"/>
      <w:marBottom w:val="0"/>
      <w:divBdr>
        <w:top w:val="none" w:sz="0" w:space="0" w:color="auto"/>
        <w:left w:val="none" w:sz="0" w:space="0" w:color="auto"/>
        <w:bottom w:val="none" w:sz="0" w:space="0" w:color="auto"/>
        <w:right w:val="none" w:sz="0" w:space="0" w:color="auto"/>
      </w:divBdr>
    </w:div>
    <w:div w:id="841316856">
      <w:bodyDiv w:val="1"/>
      <w:marLeft w:val="0"/>
      <w:marRight w:val="0"/>
      <w:marTop w:val="0"/>
      <w:marBottom w:val="0"/>
      <w:divBdr>
        <w:top w:val="none" w:sz="0" w:space="0" w:color="auto"/>
        <w:left w:val="none" w:sz="0" w:space="0" w:color="auto"/>
        <w:bottom w:val="none" w:sz="0" w:space="0" w:color="auto"/>
        <w:right w:val="none" w:sz="0" w:space="0" w:color="auto"/>
      </w:divBdr>
    </w:div>
    <w:div w:id="841579203">
      <w:bodyDiv w:val="1"/>
      <w:marLeft w:val="0"/>
      <w:marRight w:val="0"/>
      <w:marTop w:val="0"/>
      <w:marBottom w:val="0"/>
      <w:divBdr>
        <w:top w:val="none" w:sz="0" w:space="0" w:color="auto"/>
        <w:left w:val="none" w:sz="0" w:space="0" w:color="auto"/>
        <w:bottom w:val="none" w:sz="0" w:space="0" w:color="auto"/>
        <w:right w:val="none" w:sz="0" w:space="0" w:color="auto"/>
      </w:divBdr>
      <w:divsChild>
        <w:div w:id="950629072">
          <w:marLeft w:val="0"/>
          <w:marRight w:val="0"/>
          <w:marTop w:val="0"/>
          <w:marBottom w:val="0"/>
          <w:divBdr>
            <w:top w:val="none" w:sz="0" w:space="0" w:color="auto"/>
            <w:left w:val="none" w:sz="0" w:space="0" w:color="auto"/>
            <w:bottom w:val="none" w:sz="0" w:space="0" w:color="auto"/>
            <w:right w:val="none" w:sz="0" w:space="0" w:color="auto"/>
          </w:divBdr>
          <w:divsChild>
            <w:div w:id="1128667096">
              <w:marLeft w:val="0"/>
              <w:marRight w:val="0"/>
              <w:marTop w:val="0"/>
              <w:marBottom w:val="0"/>
              <w:divBdr>
                <w:top w:val="none" w:sz="0" w:space="0" w:color="auto"/>
                <w:left w:val="none" w:sz="0" w:space="0" w:color="auto"/>
                <w:bottom w:val="none" w:sz="0" w:space="0" w:color="auto"/>
                <w:right w:val="none" w:sz="0" w:space="0" w:color="auto"/>
              </w:divBdr>
              <w:divsChild>
                <w:div w:id="707098484">
                  <w:marLeft w:val="0"/>
                  <w:marRight w:val="0"/>
                  <w:marTop w:val="0"/>
                  <w:marBottom w:val="0"/>
                  <w:divBdr>
                    <w:top w:val="none" w:sz="0" w:space="0" w:color="auto"/>
                    <w:left w:val="none" w:sz="0" w:space="0" w:color="auto"/>
                    <w:bottom w:val="none" w:sz="0" w:space="0" w:color="auto"/>
                    <w:right w:val="none" w:sz="0" w:space="0" w:color="auto"/>
                  </w:divBdr>
                  <w:divsChild>
                    <w:div w:id="189133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699377">
      <w:bodyDiv w:val="1"/>
      <w:marLeft w:val="0"/>
      <w:marRight w:val="0"/>
      <w:marTop w:val="0"/>
      <w:marBottom w:val="0"/>
      <w:divBdr>
        <w:top w:val="none" w:sz="0" w:space="0" w:color="auto"/>
        <w:left w:val="none" w:sz="0" w:space="0" w:color="auto"/>
        <w:bottom w:val="none" w:sz="0" w:space="0" w:color="auto"/>
        <w:right w:val="none" w:sz="0" w:space="0" w:color="auto"/>
      </w:divBdr>
    </w:div>
    <w:div w:id="842166804">
      <w:bodyDiv w:val="1"/>
      <w:marLeft w:val="0"/>
      <w:marRight w:val="0"/>
      <w:marTop w:val="0"/>
      <w:marBottom w:val="0"/>
      <w:divBdr>
        <w:top w:val="none" w:sz="0" w:space="0" w:color="auto"/>
        <w:left w:val="none" w:sz="0" w:space="0" w:color="auto"/>
        <w:bottom w:val="none" w:sz="0" w:space="0" w:color="auto"/>
        <w:right w:val="none" w:sz="0" w:space="0" w:color="auto"/>
      </w:divBdr>
    </w:div>
    <w:div w:id="842361594">
      <w:bodyDiv w:val="1"/>
      <w:marLeft w:val="0"/>
      <w:marRight w:val="0"/>
      <w:marTop w:val="0"/>
      <w:marBottom w:val="0"/>
      <w:divBdr>
        <w:top w:val="none" w:sz="0" w:space="0" w:color="auto"/>
        <w:left w:val="none" w:sz="0" w:space="0" w:color="auto"/>
        <w:bottom w:val="none" w:sz="0" w:space="0" w:color="auto"/>
        <w:right w:val="none" w:sz="0" w:space="0" w:color="auto"/>
      </w:divBdr>
      <w:divsChild>
        <w:div w:id="2075618860">
          <w:marLeft w:val="0"/>
          <w:marRight w:val="0"/>
          <w:marTop w:val="0"/>
          <w:marBottom w:val="0"/>
          <w:divBdr>
            <w:top w:val="none" w:sz="0" w:space="0" w:color="auto"/>
            <w:left w:val="none" w:sz="0" w:space="0" w:color="auto"/>
            <w:bottom w:val="none" w:sz="0" w:space="0" w:color="auto"/>
            <w:right w:val="none" w:sz="0" w:space="0" w:color="auto"/>
          </w:divBdr>
          <w:divsChild>
            <w:div w:id="1462111636">
              <w:marLeft w:val="0"/>
              <w:marRight w:val="0"/>
              <w:marTop w:val="0"/>
              <w:marBottom w:val="0"/>
              <w:divBdr>
                <w:top w:val="none" w:sz="0" w:space="0" w:color="auto"/>
                <w:left w:val="none" w:sz="0" w:space="0" w:color="auto"/>
                <w:bottom w:val="none" w:sz="0" w:space="0" w:color="auto"/>
                <w:right w:val="none" w:sz="0" w:space="0" w:color="auto"/>
              </w:divBdr>
              <w:divsChild>
                <w:div w:id="1233353245">
                  <w:marLeft w:val="0"/>
                  <w:marRight w:val="0"/>
                  <w:marTop w:val="0"/>
                  <w:marBottom w:val="0"/>
                  <w:divBdr>
                    <w:top w:val="none" w:sz="0" w:space="0" w:color="auto"/>
                    <w:left w:val="none" w:sz="0" w:space="0" w:color="auto"/>
                    <w:bottom w:val="none" w:sz="0" w:space="0" w:color="auto"/>
                    <w:right w:val="none" w:sz="0" w:space="0" w:color="auto"/>
                  </w:divBdr>
                  <w:divsChild>
                    <w:div w:id="25271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200753">
      <w:bodyDiv w:val="1"/>
      <w:marLeft w:val="0"/>
      <w:marRight w:val="0"/>
      <w:marTop w:val="0"/>
      <w:marBottom w:val="0"/>
      <w:divBdr>
        <w:top w:val="none" w:sz="0" w:space="0" w:color="auto"/>
        <w:left w:val="none" w:sz="0" w:space="0" w:color="auto"/>
        <w:bottom w:val="none" w:sz="0" w:space="0" w:color="auto"/>
        <w:right w:val="none" w:sz="0" w:space="0" w:color="auto"/>
      </w:divBdr>
    </w:div>
    <w:div w:id="843741801">
      <w:bodyDiv w:val="1"/>
      <w:marLeft w:val="0"/>
      <w:marRight w:val="0"/>
      <w:marTop w:val="0"/>
      <w:marBottom w:val="0"/>
      <w:divBdr>
        <w:top w:val="none" w:sz="0" w:space="0" w:color="auto"/>
        <w:left w:val="none" w:sz="0" w:space="0" w:color="auto"/>
        <w:bottom w:val="none" w:sz="0" w:space="0" w:color="auto"/>
        <w:right w:val="none" w:sz="0" w:space="0" w:color="auto"/>
      </w:divBdr>
    </w:div>
    <w:div w:id="844397013">
      <w:bodyDiv w:val="1"/>
      <w:marLeft w:val="0"/>
      <w:marRight w:val="0"/>
      <w:marTop w:val="0"/>
      <w:marBottom w:val="0"/>
      <w:divBdr>
        <w:top w:val="none" w:sz="0" w:space="0" w:color="auto"/>
        <w:left w:val="none" w:sz="0" w:space="0" w:color="auto"/>
        <w:bottom w:val="none" w:sz="0" w:space="0" w:color="auto"/>
        <w:right w:val="none" w:sz="0" w:space="0" w:color="auto"/>
      </w:divBdr>
      <w:divsChild>
        <w:div w:id="1032340029">
          <w:marLeft w:val="0"/>
          <w:marRight w:val="0"/>
          <w:marTop w:val="0"/>
          <w:marBottom w:val="0"/>
          <w:divBdr>
            <w:top w:val="none" w:sz="0" w:space="0" w:color="auto"/>
            <w:left w:val="none" w:sz="0" w:space="0" w:color="auto"/>
            <w:bottom w:val="none" w:sz="0" w:space="0" w:color="auto"/>
            <w:right w:val="none" w:sz="0" w:space="0" w:color="auto"/>
          </w:divBdr>
          <w:divsChild>
            <w:div w:id="1296791639">
              <w:marLeft w:val="0"/>
              <w:marRight w:val="0"/>
              <w:marTop w:val="0"/>
              <w:marBottom w:val="0"/>
              <w:divBdr>
                <w:top w:val="none" w:sz="0" w:space="0" w:color="auto"/>
                <w:left w:val="none" w:sz="0" w:space="0" w:color="auto"/>
                <w:bottom w:val="none" w:sz="0" w:space="0" w:color="auto"/>
                <w:right w:val="none" w:sz="0" w:space="0" w:color="auto"/>
              </w:divBdr>
              <w:divsChild>
                <w:div w:id="1051150623">
                  <w:marLeft w:val="0"/>
                  <w:marRight w:val="0"/>
                  <w:marTop w:val="0"/>
                  <w:marBottom w:val="0"/>
                  <w:divBdr>
                    <w:top w:val="none" w:sz="0" w:space="0" w:color="auto"/>
                    <w:left w:val="none" w:sz="0" w:space="0" w:color="auto"/>
                    <w:bottom w:val="none" w:sz="0" w:space="0" w:color="auto"/>
                    <w:right w:val="none" w:sz="0" w:space="0" w:color="auto"/>
                  </w:divBdr>
                  <w:divsChild>
                    <w:div w:id="133530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514553">
      <w:bodyDiv w:val="1"/>
      <w:marLeft w:val="0"/>
      <w:marRight w:val="0"/>
      <w:marTop w:val="0"/>
      <w:marBottom w:val="0"/>
      <w:divBdr>
        <w:top w:val="none" w:sz="0" w:space="0" w:color="auto"/>
        <w:left w:val="none" w:sz="0" w:space="0" w:color="auto"/>
        <w:bottom w:val="none" w:sz="0" w:space="0" w:color="auto"/>
        <w:right w:val="none" w:sz="0" w:space="0" w:color="auto"/>
      </w:divBdr>
    </w:div>
    <w:div w:id="844712239">
      <w:bodyDiv w:val="1"/>
      <w:marLeft w:val="0"/>
      <w:marRight w:val="0"/>
      <w:marTop w:val="0"/>
      <w:marBottom w:val="0"/>
      <w:divBdr>
        <w:top w:val="none" w:sz="0" w:space="0" w:color="auto"/>
        <w:left w:val="none" w:sz="0" w:space="0" w:color="auto"/>
        <w:bottom w:val="none" w:sz="0" w:space="0" w:color="auto"/>
        <w:right w:val="none" w:sz="0" w:space="0" w:color="auto"/>
      </w:divBdr>
    </w:div>
    <w:div w:id="845290057">
      <w:bodyDiv w:val="1"/>
      <w:marLeft w:val="0"/>
      <w:marRight w:val="0"/>
      <w:marTop w:val="0"/>
      <w:marBottom w:val="0"/>
      <w:divBdr>
        <w:top w:val="none" w:sz="0" w:space="0" w:color="auto"/>
        <w:left w:val="none" w:sz="0" w:space="0" w:color="auto"/>
        <w:bottom w:val="none" w:sz="0" w:space="0" w:color="auto"/>
        <w:right w:val="none" w:sz="0" w:space="0" w:color="auto"/>
      </w:divBdr>
    </w:div>
    <w:div w:id="845368071">
      <w:bodyDiv w:val="1"/>
      <w:marLeft w:val="0"/>
      <w:marRight w:val="0"/>
      <w:marTop w:val="0"/>
      <w:marBottom w:val="0"/>
      <w:divBdr>
        <w:top w:val="none" w:sz="0" w:space="0" w:color="auto"/>
        <w:left w:val="none" w:sz="0" w:space="0" w:color="auto"/>
        <w:bottom w:val="none" w:sz="0" w:space="0" w:color="auto"/>
        <w:right w:val="none" w:sz="0" w:space="0" w:color="auto"/>
      </w:divBdr>
    </w:div>
    <w:div w:id="845553435">
      <w:bodyDiv w:val="1"/>
      <w:marLeft w:val="0"/>
      <w:marRight w:val="0"/>
      <w:marTop w:val="0"/>
      <w:marBottom w:val="0"/>
      <w:divBdr>
        <w:top w:val="none" w:sz="0" w:space="0" w:color="auto"/>
        <w:left w:val="none" w:sz="0" w:space="0" w:color="auto"/>
        <w:bottom w:val="none" w:sz="0" w:space="0" w:color="auto"/>
        <w:right w:val="none" w:sz="0" w:space="0" w:color="auto"/>
      </w:divBdr>
      <w:divsChild>
        <w:div w:id="168101683">
          <w:marLeft w:val="0"/>
          <w:marRight w:val="0"/>
          <w:marTop w:val="0"/>
          <w:marBottom w:val="0"/>
          <w:divBdr>
            <w:top w:val="none" w:sz="0" w:space="0" w:color="auto"/>
            <w:left w:val="none" w:sz="0" w:space="0" w:color="auto"/>
            <w:bottom w:val="none" w:sz="0" w:space="0" w:color="auto"/>
            <w:right w:val="none" w:sz="0" w:space="0" w:color="auto"/>
          </w:divBdr>
          <w:divsChild>
            <w:div w:id="864094502">
              <w:marLeft w:val="0"/>
              <w:marRight w:val="0"/>
              <w:marTop w:val="0"/>
              <w:marBottom w:val="0"/>
              <w:divBdr>
                <w:top w:val="none" w:sz="0" w:space="0" w:color="auto"/>
                <w:left w:val="none" w:sz="0" w:space="0" w:color="auto"/>
                <w:bottom w:val="none" w:sz="0" w:space="0" w:color="auto"/>
                <w:right w:val="none" w:sz="0" w:space="0" w:color="auto"/>
              </w:divBdr>
              <w:divsChild>
                <w:div w:id="107959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21358">
      <w:bodyDiv w:val="1"/>
      <w:marLeft w:val="0"/>
      <w:marRight w:val="0"/>
      <w:marTop w:val="0"/>
      <w:marBottom w:val="0"/>
      <w:divBdr>
        <w:top w:val="none" w:sz="0" w:space="0" w:color="auto"/>
        <w:left w:val="none" w:sz="0" w:space="0" w:color="auto"/>
        <w:bottom w:val="none" w:sz="0" w:space="0" w:color="auto"/>
        <w:right w:val="none" w:sz="0" w:space="0" w:color="auto"/>
      </w:divBdr>
    </w:div>
    <w:div w:id="848327349">
      <w:bodyDiv w:val="1"/>
      <w:marLeft w:val="0"/>
      <w:marRight w:val="0"/>
      <w:marTop w:val="0"/>
      <w:marBottom w:val="0"/>
      <w:divBdr>
        <w:top w:val="none" w:sz="0" w:space="0" w:color="auto"/>
        <w:left w:val="none" w:sz="0" w:space="0" w:color="auto"/>
        <w:bottom w:val="none" w:sz="0" w:space="0" w:color="auto"/>
        <w:right w:val="none" w:sz="0" w:space="0" w:color="auto"/>
      </w:divBdr>
      <w:divsChild>
        <w:div w:id="977345839">
          <w:marLeft w:val="0"/>
          <w:marRight w:val="0"/>
          <w:marTop w:val="0"/>
          <w:marBottom w:val="0"/>
          <w:divBdr>
            <w:top w:val="none" w:sz="0" w:space="0" w:color="auto"/>
            <w:left w:val="none" w:sz="0" w:space="0" w:color="auto"/>
            <w:bottom w:val="none" w:sz="0" w:space="0" w:color="auto"/>
            <w:right w:val="none" w:sz="0" w:space="0" w:color="auto"/>
          </w:divBdr>
          <w:divsChild>
            <w:div w:id="572618922">
              <w:marLeft w:val="0"/>
              <w:marRight w:val="0"/>
              <w:marTop w:val="0"/>
              <w:marBottom w:val="0"/>
              <w:divBdr>
                <w:top w:val="none" w:sz="0" w:space="0" w:color="auto"/>
                <w:left w:val="none" w:sz="0" w:space="0" w:color="auto"/>
                <w:bottom w:val="none" w:sz="0" w:space="0" w:color="auto"/>
                <w:right w:val="none" w:sz="0" w:space="0" w:color="auto"/>
              </w:divBdr>
              <w:divsChild>
                <w:div w:id="932473654">
                  <w:marLeft w:val="0"/>
                  <w:marRight w:val="0"/>
                  <w:marTop w:val="0"/>
                  <w:marBottom w:val="0"/>
                  <w:divBdr>
                    <w:top w:val="none" w:sz="0" w:space="0" w:color="auto"/>
                    <w:left w:val="none" w:sz="0" w:space="0" w:color="auto"/>
                    <w:bottom w:val="none" w:sz="0" w:space="0" w:color="auto"/>
                    <w:right w:val="none" w:sz="0" w:space="0" w:color="auto"/>
                  </w:divBdr>
                  <w:divsChild>
                    <w:div w:id="74410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443313">
      <w:bodyDiv w:val="1"/>
      <w:marLeft w:val="0"/>
      <w:marRight w:val="0"/>
      <w:marTop w:val="0"/>
      <w:marBottom w:val="0"/>
      <w:divBdr>
        <w:top w:val="none" w:sz="0" w:space="0" w:color="auto"/>
        <w:left w:val="none" w:sz="0" w:space="0" w:color="auto"/>
        <w:bottom w:val="none" w:sz="0" w:space="0" w:color="auto"/>
        <w:right w:val="none" w:sz="0" w:space="0" w:color="auto"/>
      </w:divBdr>
    </w:div>
    <w:div w:id="848642423">
      <w:bodyDiv w:val="1"/>
      <w:marLeft w:val="0"/>
      <w:marRight w:val="0"/>
      <w:marTop w:val="0"/>
      <w:marBottom w:val="0"/>
      <w:divBdr>
        <w:top w:val="none" w:sz="0" w:space="0" w:color="auto"/>
        <w:left w:val="none" w:sz="0" w:space="0" w:color="auto"/>
        <w:bottom w:val="none" w:sz="0" w:space="0" w:color="auto"/>
        <w:right w:val="none" w:sz="0" w:space="0" w:color="auto"/>
      </w:divBdr>
    </w:div>
    <w:div w:id="849104784">
      <w:bodyDiv w:val="1"/>
      <w:marLeft w:val="0"/>
      <w:marRight w:val="0"/>
      <w:marTop w:val="0"/>
      <w:marBottom w:val="0"/>
      <w:divBdr>
        <w:top w:val="none" w:sz="0" w:space="0" w:color="auto"/>
        <w:left w:val="none" w:sz="0" w:space="0" w:color="auto"/>
        <w:bottom w:val="none" w:sz="0" w:space="0" w:color="auto"/>
        <w:right w:val="none" w:sz="0" w:space="0" w:color="auto"/>
      </w:divBdr>
    </w:div>
    <w:div w:id="849225368">
      <w:bodyDiv w:val="1"/>
      <w:marLeft w:val="0"/>
      <w:marRight w:val="0"/>
      <w:marTop w:val="0"/>
      <w:marBottom w:val="0"/>
      <w:divBdr>
        <w:top w:val="none" w:sz="0" w:space="0" w:color="auto"/>
        <w:left w:val="none" w:sz="0" w:space="0" w:color="auto"/>
        <w:bottom w:val="none" w:sz="0" w:space="0" w:color="auto"/>
        <w:right w:val="none" w:sz="0" w:space="0" w:color="auto"/>
      </w:divBdr>
      <w:divsChild>
        <w:div w:id="206798451">
          <w:marLeft w:val="0"/>
          <w:marRight w:val="0"/>
          <w:marTop w:val="0"/>
          <w:marBottom w:val="0"/>
          <w:divBdr>
            <w:top w:val="none" w:sz="0" w:space="0" w:color="auto"/>
            <w:left w:val="none" w:sz="0" w:space="0" w:color="auto"/>
            <w:bottom w:val="none" w:sz="0" w:space="0" w:color="auto"/>
            <w:right w:val="none" w:sz="0" w:space="0" w:color="auto"/>
          </w:divBdr>
          <w:divsChild>
            <w:div w:id="1890141906">
              <w:marLeft w:val="0"/>
              <w:marRight w:val="0"/>
              <w:marTop w:val="0"/>
              <w:marBottom w:val="0"/>
              <w:divBdr>
                <w:top w:val="none" w:sz="0" w:space="0" w:color="auto"/>
                <w:left w:val="none" w:sz="0" w:space="0" w:color="auto"/>
                <w:bottom w:val="none" w:sz="0" w:space="0" w:color="auto"/>
                <w:right w:val="none" w:sz="0" w:space="0" w:color="auto"/>
              </w:divBdr>
              <w:divsChild>
                <w:div w:id="2057974146">
                  <w:marLeft w:val="0"/>
                  <w:marRight w:val="0"/>
                  <w:marTop w:val="0"/>
                  <w:marBottom w:val="0"/>
                  <w:divBdr>
                    <w:top w:val="none" w:sz="0" w:space="0" w:color="auto"/>
                    <w:left w:val="none" w:sz="0" w:space="0" w:color="auto"/>
                    <w:bottom w:val="none" w:sz="0" w:space="0" w:color="auto"/>
                    <w:right w:val="none" w:sz="0" w:space="0" w:color="auto"/>
                  </w:divBdr>
                  <w:divsChild>
                    <w:div w:id="17436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412787">
      <w:bodyDiv w:val="1"/>
      <w:marLeft w:val="0"/>
      <w:marRight w:val="0"/>
      <w:marTop w:val="0"/>
      <w:marBottom w:val="0"/>
      <w:divBdr>
        <w:top w:val="none" w:sz="0" w:space="0" w:color="auto"/>
        <w:left w:val="none" w:sz="0" w:space="0" w:color="auto"/>
        <w:bottom w:val="none" w:sz="0" w:space="0" w:color="auto"/>
        <w:right w:val="none" w:sz="0" w:space="0" w:color="auto"/>
      </w:divBdr>
    </w:div>
    <w:div w:id="849442190">
      <w:bodyDiv w:val="1"/>
      <w:marLeft w:val="0"/>
      <w:marRight w:val="0"/>
      <w:marTop w:val="0"/>
      <w:marBottom w:val="0"/>
      <w:divBdr>
        <w:top w:val="none" w:sz="0" w:space="0" w:color="auto"/>
        <w:left w:val="none" w:sz="0" w:space="0" w:color="auto"/>
        <w:bottom w:val="none" w:sz="0" w:space="0" w:color="auto"/>
        <w:right w:val="none" w:sz="0" w:space="0" w:color="auto"/>
      </w:divBdr>
    </w:div>
    <w:div w:id="849609762">
      <w:bodyDiv w:val="1"/>
      <w:marLeft w:val="0"/>
      <w:marRight w:val="0"/>
      <w:marTop w:val="0"/>
      <w:marBottom w:val="0"/>
      <w:divBdr>
        <w:top w:val="none" w:sz="0" w:space="0" w:color="auto"/>
        <w:left w:val="none" w:sz="0" w:space="0" w:color="auto"/>
        <w:bottom w:val="none" w:sz="0" w:space="0" w:color="auto"/>
        <w:right w:val="none" w:sz="0" w:space="0" w:color="auto"/>
      </w:divBdr>
    </w:div>
    <w:div w:id="850947038">
      <w:bodyDiv w:val="1"/>
      <w:marLeft w:val="0"/>
      <w:marRight w:val="0"/>
      <w:marTop w:val="0"/>
      <w:marBottom w:val="0"/>
      <w:divBdr>
        <w:top w:val="none" w:sz="0" w:space="0" w:color="auto"/>
        <w:left w:val="none" w:sz="0" w:space="0" w:color="auto"/>
        <w:bottom w:val="none" w:sz="0" w:space="0" w:color="auto"/>
        <w:right w:val="none" w:sz="0" w:space="0" w:color="auto"/>
      </w:divBdr>
    </w:div>
    <w:div w:id="851459083">
      <w:bodyDiv w:val="1"/>
      <w:marLeft w:val="0"/>
      <w:marRight w:val="0"/>
      <w:marTop w:val="0"/>
      <w:marBottom w:val="0"/>
      <w:divBdr>
        <w:top w:val="none" w:sz="0" w:space="0" w:color="auto"/>
        <w:left w:val="none" w:sz="0" w:space="0" w:color="auto"/>
        <w:bottom w:val="none" w:sz="0" w:space="0" w:color="auto"/>
        <w:right w:val="none" w:sz="0" w:space="0" w:color="auto"/>
      </w:divBdr>
      <w:divsChild>
        <w:div w:id="2027708441">
          <w:marLeft w:val="0"/>
          <w:marRight w:val="0"/>
          <w:marTop w:val="0"/>
          <w:marBottom w:val="0"/>
          <w:divBdr>
            <w:top w:val="none" w:sz="0" w:space="0" w:color="auto"/>
            <w:left w:val="none" w:sz="0" w:space="0" w:color="auto"/>
            <w:bottom w:val="none" w:sz="0" w:space="0" w:color="auto"/>
            <w:right w:val="none" w:sz="0" w:space="0" w:color="auto"/>
          </w:divBdr>
          <w:divsChild>
            <w:div w:id="155001625">
              <w:marLeft w:val="0"/>
              <w:marRight w:val="0"/>
              <w:marTop w:val="0"/>
              <w:marBottom w:val="0"/>
              <w:divBdr>
                <w:top w:val="none" w:sz="0" w:space="0" w:color="auto"/>
                <w:left w:val="none" w:sz="0" w:space="0" w:color="auto"/>
                <w:bottom w:val="none" w:sz="0" w:space="0" w:color="auto"/>
                <w:right w:val="none" w:sz="0" w:space="0" w:color="auto"/>
              </w:divBdr>
              <w:divsChild>
                <w:div w:id="410082487">
                  <w:marLeft w:val="0"/>
                  <w:marRight w:val="0"/>
                  <w:marTop w:val="0"/>
                  <w:marBottom w:val="0"/>
                  <w:divBdr>
                    <w:top w:val="none" w:sz="0" w:space="0" w:color="auto"/>
                    <w:left w:val="none" w:sz="0" w:space="0" w:color="auto"/>
                    <w:bottom w:val="none" w:sz="0" w:space="0" w:color="auto"/>
                    <w:right w:val="none" w:sz="0" w:space="0" w:color="auto"/>
                  </w:divBdr>
                  <w:divsChild>
                    <w:div w:id="171319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528925">
      <w:bodyDiv w:val="1"/>
      <w:marLeft w:val="0"/>
      <w:marRight w:val="0"/>
      <w:marTop w:val="0"/>
      <w:marBottom w:val="0"/>
      <w:divBdr>
        <w:top w:val="none" w:sz="0" w:space="0" w:color="auto"/>
        <w:left w:val="none" w:sz="0" w:space="0" w:color="auto"/>
        <w:bottom w:val="none" w:sz="0" w:space="0" w:color="auto"/>
        <w:right w:val="none" w:sz="0" w:space="0" w:color="auto"/>
      </w:divBdr>
      <w:divsChild>
        <w:div w:id="1761176832">
          <w:marLeft w:val="0"/>
          <w:marRight w:val="0"/>
          <w:marTop w:val="0"/>
          <w:marBottom w:val="0"/>
          <w:divBdr>
            <w:top w:val="none" w:sz="0" w:space="0" w:color="auto"/>
            <w:left w:val="none" w:sz="0" w:space="0" w:color="auto"/>
            <w:bottom w:val="none" w:sz="0" w:space="0" w:color="auto"/>
            <w:right w:val="none" w:sz="0" w:space="0" w:color="auto"/>
          </w:divBdr>
          <w:divsChild>
            <w:div w:id="2074967435">
              <w:marLeft w:val="0"/>
              <w:marRight w:val="0"/>
              <w:marTop w:val="0"/>
              <w:marBottom w:val="0"/>
              <w:divBdr>
                <w:top w:val="none" w:sz="0" w:space="0" w:color="auto"/>
                <w:left w:val="none" w:sz="0" w:space="0" w:color="auto"/>
                <w:bottom w:val="none" w:sz="0" w:space="0" w:color="auto"/>
                <w:right w:val="none" w:sz="0" w:space="0" w:color="auto"/>
              </w:divBdr>
              <w:divsChild>
                <w:div w:id="1497652644">
                  <w:marLeft w:val="0"/>
                  <w:marRight w:val="0"/>
                  <w:marTop w:val="0"/>
                  <w:marBottom w:val="0"/>
                  <w:divBdr>
                    <w:top w:val="none" w:sz="0" w:space="0" w:color="auto"/>
                    <w:left w:val="none" w:sz="0" w:space="0" w:color="auto"/>
                    <w:bottom w:val="none" w:sz="0" w:space="0" w:color="auto"/>
                    <w:right w:val="none" w:sz="0" w:space="0" w:color="auto"/>
                  </w:divBdr>
                  <w:divsChild>
                    <w:div w:id="3114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533421">
      <w:bodyDiv w:val="1"/>
      <w:marLeft w:val="0"/>
      <w:marRight w:val="0"/>
      <w:marTop w:val="0"/>
      <w:marBottom w:val="0"/>
      <w:divBdr>
        <w:top w:val="none" w:sz="0" w:space="0" w:color="auto"/>
        <w:left w:val="none" w:sz="0" w:space="0" w:color="auto"/>
        <w:bottom w:val="none" w:sz="0" w:space="0" w:color="auto"/>
        <w:right w:val="none" w:sz="0" w:space="0" w:color="auto"/>
      </w:divBdr>
    </w:div>
    <w:div w:id="852034119">
      <w:bodyDiv w:val="1"/>
      <w:marLeft w:val="0"/>
      <w:marRight w:val="0"/>
      <w:marTop w:val="0"/>
      <w:marBottom w:val="0"/>
      <w:divBdr>
        <w:top w:val="none" w:sz="0" w:space="0" w:color="auto"/>
        <w:left w:val="none" w:sz="0" w:space="0" w:color="auto"/>
        <w:bottom w:val="none" w:sz="0" w:space="0" w:color="auto"/>
        <w:right w:val="none" w:sz="0" w:space="0" w:color="auto"/>
      </w:divBdr>
    </w:div>
    <w:div w:id="852035277">
      <w:bodyDiv w:val="1"/>
      <w:marLeft w:val="0"/>
      <w:marRight w:val="0"/>
      <w:marTop w:val="0"/>
      <w:marBottom w:val="0"/>
      <w:divBdr>
        <w:top w:val="none" w:sz="0" w:space="0" w:color="auto"/>
        <w:left w:val="none" w:sz="0" w:space="0" w:color="auto"/>
        <w:bottom w:val="none" w:sz="0" w:space="0" w:color="auto"/>
        <w:right w:val="none" w:sz="0" w:space="0" w:color="auto"/>
      </w:divBdr>
    </w:div>
    <w:div w:id="852378735">
      <w:bodyDiv w:val="1"/>
      <w:marLeft w:val="0"/>
      <w:marRight w:val="0"/>
      <w:marTop w:val="0"/>
      <w:marBottom w:val="0"/>
      <w:divBdr>
        <w:top w:val="none" w:sz="0" w:space="0" w:color="auto"/>
        <w:left w:val="none" w:sz="0" w:space="0" w:color="auto"/>
        <w:bottom w:val="none" w:sz="0" w:space="0" w:color="auto"/>
        <w:right w:val="none" w:sz="0" w:space="0" w:color="auto"/>
      </w:divBdr>
      <w:divsChild>
        <w:div w:id="1448618008">
          <w:marLeft w:val="0"/>
          <w:marRight w:val="0"/>
          <w:marTop w:val="0"/>
          <w:marBottom w:val="0"/>
          <w:divBdr>
            <w:top w:val="none" w:sz="0" w:space="0" w:color="auto"/>
            <w:left w:val="none" w:sz="0" w:space="0" w:color="auto"/>
            <w:bottom w:val="none" w:sz="0" w:space="0" w:color="auto"/>
            <w:right w:val="none" w:sz="0" w:space="0" w:color="auto"/>
          </w:divBdr>
          <w:divsChild>
            <w:div w:id="519248363">
              <w:marLeft w:val="0"/>
              <w:marRight w:val="0"/>
              <w:marTop w:val="0"/>
              <w:marBottom w:val="0"/>
              <w:divBdr>
                <w:top w:val="none" w:sz="0" w:space="0" w:color="auto"/>
                <w:left w:val="none" w:sz="0" w:space="0" w:color="auto"/>
                <w:bottom w:val="none" w:sz="0" w:space="0" w:color="auto"/>
                <w:right w:val="none" w:sz="0" w:space="0" w:color="auto"/>
              </w:divBdr>
              <w:divsChild>
                <w:div w:id="846211579">
                  <w:marLeft w:val="0"/>
                  <w:marRight w:val="0"/>
                  <w:marTop w:val="0"/>
                  <w:marBottom w:val="0"/>
                  <w:divBdr>
                    <w:top w:val="none" w:sz="0" w:space="0" w:color="auto"/>
                    <w:left w:val="none" w:sz="0" w:space="0" w:color="auto"/>
                    <w:bottom w:val="none" w:sz="0" w:space="0" w:color="auto"/>
                    <w:right w:val="none" w:sz="0" w:space="0" w:color="auto"/>
                  </w:divBdr>
                  <w:divsChild>
                    <w:div w:id="198477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035398">
      <w:bodyDiv w:val="1"/>
      <w:marLeft w:val="0"/>
      <w:marRight w:val="0"/>
      <w:marTop w:val="0"/>
      <w:marBottom w:val="0"/>
      <w:divBdr>
        <w:top w:val="none" w:sz="0" w:space="0" w:color="auto"/>
        <w:left w:val="none" w:sz="0" w:space="0" w:color="auto"/>
        <w:bottom w:val="none" w:sz="0" w:space="0" w:color="auto"/>
        <w:right w:val="none" w:sz="0" w:space="0" w:color="auto"/>
      </w:divBdr>
    </w:div>
    <w:div w:id="853762478">
      <w:bodyDiv w:val="1"/>
      <w:marLeft w:val="0"/>
      <w:marRight w:val="0"/>
      <w:marTop w:val="0"/>
      <w:marBottom w:val="0"/>
      <w:divBdr>
        <w:top w:val="none" w:sz="0" w:space="0" w:color="auto"/>
        <w:left w:val="none" w:sz="0" w:space="0" w:color="auto"/>
        <w:bottom w:val="none" w:sz="0" w:space="0" w:color="auto"/>
        <w:right w:val="none" w:sz="0" w:space="0" w:color="auto"/>
      </w:divBdr>
    </w:div>
    <w:div w:id="853810056">
      <w:bodyDiv w:val="1"/>
      <w:marLeft w:val="0"/>
      <w:marRight w:val="0"/>
      <w:marTop w:val="0"/>
      <w:marBottom w:val="0"/>
      <w:divBdr>
        <w:top w:val="none" w:sz="0" w:space="0" w:color="auto"/>
        <w:left w:val="none" w:sz="0" w:space="0" w:color="auto"/>
        <w:bottom w:val="none" w:sz="0" w:space="0" w:color="auto"/>
        <w:right w:val="none" w:sz="0" w:space="0" w:color="auto"/>
      </w:divBdr>
      <w:divsChild>
        <w:div w:id="893393489">
          <w:marLeft w:val="0"/>
          <w:marRight w:val="0"/>
          <w:marTop w:val="0"/>
          <w:marBottom w:val="0"/>
          <w:divBdr>
            <w:top w:val="none" w:sz="0" w:space="0" w:color="auto"/>
            <w:left w:val="none" w:sz="0" w:space="0" w:color="auto"/>
            <w:bottom w:val="none" w:sz="0" w:space="0" w:color="auto"/>
            <w:right w:val="none" w:sz="0" w:space="0" w:color="auto"/>
          </w:divBdr>
          <w:divsChild>
            <w:div w:id="1448543954">
              <w:marLeft w:val="0"/>
              <w:marRight w:val="0"/>
              <w:marTop w:val="0"/>
              <w:marBottom w:val="0"/>
              <w:divBdr>
                <w:top w:val="none" w:sz="0" w:space="0" w:color="auto"/>
                <w:left w:val="none" w:sz="0" w:space="0" w:color="auto"/>
                <w:bottom w:val="none" w:sz="0" w:space="0" w:color="auto"/>
                <w:right w:val="none" w:sz="0" w:space="0" w:color="auto"/>
              </w:divBdr>
              <w:divsChild>
                <w:div w:id="144187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20708">
      <w:bodyDiv w:val="1"/>
      <w:marLeft w:val="0"/>
      <w:marRight w:val="0"/>
      <w:marTop w:val="0"/>
      <w:marBottom w:val="0"/>
      <w:divBdr>
        <w:top w:val="none" w:sz="0" w:space="0" w:color="auto"/>
        <w:left w:val="none" w:sz="0" w:space="0" w:color="auto"/>
        <w:bottom w:val="none" w:sz="0" w:space="0" w:color="auto"/>
        <w:right w:val="none" w:sz="0" w:space="0" w:color="auto"/>
      </w:divBdr>
    </w:div>
    <w:div w:id="854658673">
      <w:bodyDiv w:val="1"/>
      <w:marLeft w:val="0"/>
      <w:marRight w:val="0"/>
      <w:marTop w:val="0"/>
      <w:marBottom w:val="0"/>
      <w:divBdr>
        <w:top w:val="none" w:sz="0" w:space="0" w:color="auto"/>
        <w:left w:val="none" w:sz="0" w:space="0" w:color="auto"/>
        <w:bottom w:val="none" w:sz="0" w:space="0" w:color="auto"/>
        <w:right w:val="none" w:sz="0" w:space="0" w:color="auto"/>
      </w:divBdr>
    </w:div>
    <w:div w:id="855315275">
      <w:bodyDiv w:val="1"/>
      <w:marLeft w:val="0"/>
      <w:marRight w:val="0"/>
      <w:marTop w:val="0"/>
      <w:marBottom w:val="0"/>
      <w:divBdr>
        <w:top w:val="none" w:sz="0" w:space="0" w:color="auto"/>
        <w:left w:val="none" w:sz="0" w:space="0" w:color="auto"/>
        <w:bottom w:val="none" w:sz="0" w:space="0" w:color="auto"/>
        <w:right w:val="none" w:sz="0" w:space="0" w:color="auto"/>
      </w:divBdr>
      <w:divsChild>
        <w:div w:id="413861576">
          <w:marLeft w:val="0"/>
          <w:marRight w:val="0"/>
          <w:marTop w:val="0"/>
          <w:marBottom w:val="0"/>
          <w:divBdr>
            <w:top w:val="none" w:sz="0" w:space="0" w:color="auto"/>
            <w:left w:val="none" w:sz="0" w:space="0" w:color="auto"/>
            <w:bottom w:val="none" w:sz="0" w:space="0" w:color="auto"/>
            <w:right w:val="none" w:sz="0" w:space="0" w:color="auto"/>
          </w:divBdr>
          <w:divsChild>
            <w:div w:id="190656896">
              <w:marLeft w:val="0"/>
              <w:marRight w:val="0"/>
              <w:marTop w:val="0"/>
              <w:marBottom w:val="0"/>
              <w:divBdr>
                <w:top w:val="none" w:sz="0" w:space="0" w:color="auto"/>
                <w:left w:val="none" w:sz="0" w:space="0" w:color="auto"/>
                <w:bottom w:val="none" w:sz="0" w:space="0" w:color="auto"/>
                <w:right w:val="none" w:sz="0" w:space="0" w:color="auto"/>
              </w:divBdr>
              <w:divsChild>
                <w:div w:id="497161931">
                  <w:marLeft w:val="0"/>
                  <w:marRight w:val="0"/>
                  <w:marTop w:val="0"/>
                  <w:marBottom w:val="0"/>
                  <w:divBdr>
                    <w:top w:val="none" w:sz="0" w:space="0" w:color="auto"/>
                    <w:left w:val="none" w:sz="0" w:space="0" w:color="auto"/>
                    <w:bottom w:val="none" w:sz="0" w:space="0" w:color="auto"/>
                    <w:right w:val="none" w:sz="0" w:space="0" w:color="auto"/>
                  </w:divBdr>
                  <w:divsChild>
                    <w:div w:id="4197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659810">
      <w:bodyDiv w:val="1"/>
      <w:marLeft w:val="0"/>
      <w:marRight w:val="0"/>
      <w:marTop w:val="0"/>
      <w:marBottom w:val="0"/>
      <w:divBdr>
        <w:top w:val="none" w:sz="0" w:space="0" w:color="auto"/>
        <w:left w:val="none" w:sz="0" w:space="0" w:color="auto"/>
        <w:bottom w:val="none" w:sz="0" w:space="0" w:color="auto"/>
        <w:right w:val="none" w:sz="0" w:space="0" w:color="auto"/>
      </w:divBdr>
    </w:div>
    <w:div w:id="856309720">
      <w:bodyDiv w:val="1"/>
      <w:marLeft w:val="0"/>
      <w:marRight w:val="0"/>
      <w:marTop w:val="0"/>
      <w:marBottom w:val="0"/>
      <w:divBdr>
        <w:top w:val="none" w:sz="0" w:space="0" w:color="auto"/>
        <w:left w:val="none" w:sz="0" w:space="0" w:color="auto"/>
        <w:bottom w:val="none" w:sz="0" w:space="0" w:color="auto"/>
        <w:right w:val="none" w:sz="0" w:space="0" w:color="auto"/>
      </w:divBdr>
    </w:div>
    <w:div w:id="857306786">
      <w:bodyDiv w:val="1"/>
      <w:marLeft w:val="0"/>
      <w:marRight w:val="0"/>
      <w:marTop w:val="0"/>
      <w:marBottom w:val="0"/>
      <w:divBdr>
        <w:top w:val="none" w:sz="0" w:space="0" w:color="auto"/>
        <w:left w:val="none" w:sz="0" w:space="0" w:color="auto"/>
        <w:bottom w:val="none" w:sz="0" w:space="0" w:color="auto"/>
        <w:right w:val="none" w:sz="0" w:space="0" w:color="auto"/>
      </w:divBdr>
    </w:div>
    <w:div w:id="857616781">
      <w:bodyDiv w:val="1"/>
      <w:marLeft w:val="0"/>
      <w:marRight w:val="0"/>
      <w:marTop w:val="0"/>
      <w:marBottom w:val="0"/>
      <w:divBdr>
        <w:top w:val="none" w:sz="0" w:space="0" w:color="auto"/>
        <w:left w:val="none" w:sz="0" w:space="0" w:color="auto"/>
        <w:bottom w:val="none" w:sz="0" w:space="0" w:color="auto"/>
        <w:right w:val="none" w:sz="0" w:space="0" w:color="auto"/>
      </w:divBdr>
    </w:div>
    <w:div w:id="858011217">
      <w:bodyDiv w:val="1"/>
      <w:marLeft w:val="0"/>
      <w:marRight w:val="0"/>
      <w:marTop w:val="0"/>
      <w:marBottom w:val="0"/>
      <w:divBdr>
        <w:top w:val="none" w:sz="0" w:space="0" w:color="auto"/>
        <w:left w:val="none" w:sz="0" w:space="0" w:color="auto"/>
        <w:bottom w:val="none" w:sz="0" w:space="0" w:color="auto"/>
        <w:right w:val="none" w:sz="0" w:space="0" w:color="auto"/>
      </w:divBdr>
    </w:div>
    <w:div w:id="858391885">
      <w:bodyDiv w:val="1"/>
      <w:marLeft w:val="0"/>
      <w:marRight w:val="0"/>
      <w:marTop w:val="0"/>
      <w:marBottom w:val="0"/>
      <w:divBdr>
        <w:top w:val="none" w:sz="0" w:space="0" w:color="auto"/>
        <w:left w:val="none" w:sz="0" w:space="0" w:color="auto"/>
        <w:bottom w:val="none" w:sz="0" w:space="0" w:color="auto"/>
        <w:right w:val="none" w:sz="0" w:space="0" w:color="auto"/>
      </w:divBdr>
    </w:div>
    <w:div w:id="858815743">
      <w:bodyDiv w:val="1"/>
      <w:marLeft w:val="0"/>
      <w:marRight w:val="0"/>
      <w:marTop w:val="0"/>
      <w:marBottom w:val="0"/>
      <w:divBdr>
        <w:top w:val="none" w:sz="0" w:space="0" w:color="auto"/>
        <w:left w:val="none" w:sz="0" w:space="0" w:color="auto"/>
        <w:bottom w:val="none" w:sz="0" w:space="0" w:color="auto"/>
        <w:right w:val="none" w:sz="0" w:space="0" w:color="auto"/>
      </w:divBdr>
    </w:div>
    <w:div w:id="859274203">
      <w:bodyDiv w:val="1"/>
      <w:marLeft w:val="0"/>
      <w:marRight w:val="0"/>
      <w:marTop w:val="0"/>
      <w:marBottom w:val="0"/>
      <w:divBdr>
        <w:top w:val="none" w:sz="0" w:space="0" w:color="auto"/>
        <w:left w:val="none" w:sz="0" w:space="0" w:color="auto"/>
        <w:bottom w:val="none" w:sz="0" w:space="0" w:color="auto"/>
        <w:right w:val="none" w:sz="0" w:space="0" w:color="auto"/>
      </w:divBdr>
      <w:divsChild>
        <w:div w:id="1297682077">
          <w:marLeft w:val="0"/>
          <w:marRight w:val="0"/>
          <w:marTop w:val="0"/>
          <w:marBottom w:val="0"/>
          <w:divBdr>
            <w:top w:val="none" w:sz="0" w:space="0" w:color="auto"/>
            <w:left w:val="none" w:sz="0" w:space="0" w:color="auto"/>
            <w:bottom w:val="none" w:sz="0" w:space="0" w:color="auto"/>
            <w:right w:val="none" w:sz="0" w:space="0" w:color="auto"/>
          </w:divBdr>
          <w:divsChild>
            <w:div w:id="1777169912">
              <w:marLeft w:val="0"/>
              <w:marRight w:val="0"/>
              <w:marTop w:val="0"/>
              <w:marBottom w:val="0"/>
              <w:divBdr>
                <w:top w:val="none" w:sz="0" w:space="0" w:color="auto"/>
                <w:left w:val="none" w:sz="0" w:space="0" w:color="auto"/>
                <w:bottom w:val="none" w:sz="0" w:space="0" w:color="auto"/>
                <w:right w:val="none" w:sz="0" w:space="0" w:color="auto"/>
              </w:divBdr>
              <w:divsChild>
                <w:div w:id="1520466915">
                  <w:marLeft w:val="0"/>
                  <w:marRight w:val="0"/>
                  <w:marTop w:val="0"/>
                  <w:marBottom w:val="0"/>
                  <w:divBdr>
                    <w:top w:val="none" w:sz="0" w:space="0" w:color="auto"/>
                    <w:left w:val="none" w:sz="0" w:space="0" w:color="auto"/>
                    <w:bottom w:val="none" w:sz="0" w:space="0" w:color="auto"/>
                    <w:right w:val="none" w:sz="0" w:space="0" w:color="auto"/>
                  </w:divBdr>
                  <w:divsChild>
                    <w:div w:id="13777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163375">
      <w:bodyDiv w:val="1"/>
      <w:marLeft w:val="0"/>
      <w:marRight w:val="0"/>
      <w:marTop w:val="0"/>
      <w:marBottom w:val="0"/>
      <w:divBdr>
        <w:top w:val="none" w:sz="0" w:space="0" w:color="auto"/>
        <w:left w:val="none" w:sz="0" w:space="0" w:color="auto"/>
        <w:bottom w:val="none" w:sz="0" w:space="0" w:color="auto"/>
        <w:right w:val="none" w:sz="0" w:space="0" w:color="auto"/>
      </w:divBdr>
      <w:divsChild>
        <w:div w:id="1208492212">
          <w:marLeft w:val="0"/>
          <w:marRight w:val="0"/>
          <w:marTop w:val="0"/>
          <w:marBottom w:val="0"/>
          <w:divBdr>
            <w:top w:val="none" w:sz="0" w:space="0" w:color="auto"/>
            <w:left w:val="none" w:sz="0" w:space="0" w:color="auto"/>
            <w:bottom w:val="none" w:sz="0" w:space="0" w:color="auto"/>
            <w:right w:val="none" w:sz="0" w:space="0" w:color="auto"/>
          </w:divBdr>
          <w:divsChild>
            <w:div w:id="372266876">
              <w:marLeft w:val="0"/>
              <w:marRight w:val="0"/>
              <w:marTop w:val="0"/>
              <w:marBottom w:val="0"/>
              <w:divBdr>
                <w:top w:val="none" w:sz="0" w:space="0" w:color="auto"/>
                <w:left w:val="none" w:sz="0" w:space="0" w:color="auto"/>
                <w:bottom w:val="none" w:sz="0" w:space="0" w:color="auto"/>
                <w:right w:val="none" w:sz="0" w:space="0" w:color="auto"/>
              </w:divBdr>
              <w:divsChild>
                <w:div w:id="9133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017147">
      <w:bodyDiv w:val="1"/>
      <w:marLeft w:val="0"/>
      <w:marRight w:val="0"/>
      <w:marTop w:val="0"/>
      <w:marBottom w:val="0"/>
      <w:divBdr>
        <w:top w:val="none" w:sz="0" w:space="0" w:color="auto"/>
        <w:left w:val="none" w:sz="0" w:space="0" w:color="auto"/>
        <w:bottom w:val="none" w:sz="0" w:space="0" w:color="auto"/>
        <w:right w:val="none" w:sz="0" w:space="0" w:color="auto"/>
      </w:divBdr>
    </w:div>
    <w:div w:id="862743001">
      <w:bodyDiv w:val="1"/>
      <w:marLeft w:val="0"/>
      <w:marRight w:val="0"/>
      <w:marTop w:val="0"/>
      <w:marBottom w:val="0"/>
      <w:divBdr>
        <w:top w:val="none" w:sz="0" w:space="0" w:color="auto"/>
        <w:left w:val="none" w:sz="0" w:space="0" w:color="auto"/>
        <w:bottom w:val="none" w:sz="0" w:space="0" w:color="auto"/>
        <w:right w:val="none" w:sz="0" w:space="0" w:color="auto"/>
      </w:divBdr>
    </w:div>
    <w:div w:id="863638953">
      <w:bodyDiv w:val="1"/>
      <w:marLeft w:val="0"/>
      <w:marRight w:val="0"/>
      <w:marTop w:val="0"/>
      <w:marBottom w:val="0"/>
      <w:divBdr>
        <w:top w:val="none" w:sz="0" w:space="0" w:color="auto"/>
        <w:left w:val="none" w:sz="0" w:space="0" w:color="auto"/>
        <w:bottom w:val="none" w:sz="0" w:space="0" w:color="auto"/>
        <w:right w:val="none" w:sz="0" w:space="0" w:color="auto"/>
      </w:divBdr>
    </w:div>
    <w:div w:id="864173440">
      <w:bodyDiv w:val="1"/>
      <w:marLeft w:val="0"/>
      <w:marRight w:val="0"/>
      <w:marTop w:val="0"/>
      <w:marBottom w:val="0"/>
      <w:divBdr>
        <w:top w:val="none" w:sz="0" w:space="0" w:color="auto"/>
        <w:left w:val="none" w:sz="0" w:space="0" w:color="auto"/>
        <w:bottom w:val="none" w:sz="0" w:space="0" w:color="auto"/>
        <w:right w:val="none" w:sz="0" w:space="0" w:color="auto"/>
      </w:divBdr>
    </w:div>
    <w:div w:id="865404354">
      <w:bodyDiv w:val="1"/>
      <w:marLeft w:val="0"/>
      <w:marRight w:val="0"/>
      <w:marTop w:val="0"/>
      <w:marBottom w:val="0"/>
      <w:divBdr>
        <w:top w:val="none" w:sz="0" w:space="0" w:color="auto"/>
        <w:left w:val="none" w:sz="0" w:space="0" w:color="auto"/>
        <w:bottom w:val="none" w:sz="0" w:space="0" w:color="auto"/>
        <w:right w:val="none" w:sz="0" w:space="0" w:color="auto"/>
      </w:divBdr>
    </w:div>
    <w:div w:id="866018970">
      <w:bodyDiv w:val="1"/>
      <w:marLeft w:val="0"/>
      <w:marRight w:val="0"/>
      <w:marTop w:val="0"/>
      <w:marBottom w:val="0"/>
      <w:divBdr>
        <w:top w:val="none" w:sz="0" w:space="0" w:color="auto"/>
        <w:left w:val="none" w:sz="0" w:space="0" w:color="auto"/>
        <w:bottom w:val="none" w:sz="0" w:space="0" w:color="auto"/>
        <w:right w:val="none" w:sz="0" w:space="0" w:color="auto"/>
      </w:divBdr>
    </w:div>
    <w:div w:id="866144275">
      <w:bodyDiv w:val="1"/>
      <w:marLeft w:val="0"/>
      <w:marRight w:val="0"/>
      <w:marTop w:val="0"/>
      <w:marBottom w:val="0"/>
      <w:divBdr>
        <w:top w:val="none" w:sz="0" w:space="0" w:color="auto"/>
        <w:left w:val="none" w:sz="0" w:space="0" w:color="auto"/>
        <w:bottom w:val="none" w:sz="0" w:space="0" w:color="auto"/>
        <w:right w:val="none" w:sz="0" w:space="0" w:color="auto"/>
      </w:divBdr>
    </w:div>
    <w:div w:id="868027847">
      <w:bodyDiv w:val="1"/>
      <w:marLeft w:val="0"/>
      <w:marRight w:val="0"/>
      <w:marTop w:val="0"/>
      <w:marBottom w:val="0"/>
      <w:divBdr>
        <w:top w:val="none" w:sz="0" w:space="0" w:color="auto"/>
        <w:left w:val="none" w:sz="0" w:space="0" w:color="auto"/>
        <w:bottom w:val="none" w:sz="0" w:space="0" w:color="auto"/>
        <w:right w:val="none" w:sz="0" w:space="0" w:color="auto"/>
      </w:divBdr>
    </w:div>
    <w:div w:id="868420670">
      <w:bodyDiv w:val="1"/>
      <w:marLeft w:val="0"/>
      <w:marRight w:val="0"/>
      <w:marTop w:val="0"/>
      <w:marBottom w:val="0"/>
      <w:divBdr>
        <w:top w:val="none" w:sz="0" w:space="0" w:color="auto"/>
        <w:left w:val="none" w:sz="0" w:space="0" w:color="auto"/>
        <w:bottom w:val="none" w:sz="0" w:space="0" w:color="auto"/>
        <w:right w:val="none" w:sz="0" w:space="0" w:color="auto"/>
      </w:divBdr>
      <w:divsChild>
        <w:div w:id="755054207">
          <w:marLeft w:val="0"/>
          <w:marRight w:val="0"/>
          <w:marTop w:val="0"/>
          <w:marBottom w:val="0"/>
          <w:divBdr>
            <w:top w:val="none" w:sz="0" w:space="0" w:color="auto"/>
            <w:left w:val="none" w:sz="0" w:space="0" w:color="auto"/>
            <w:bottom w:val="none" w:sz="0" w:space="0" w:color="auto"/>
            <w:right w:val="none" w:sz="0" w:space="0" w:color="auto"/>
          </w:divBdr>
          <w:divsChild>
            <w:div w:id="1702441391">
              <w:marLeft w:val="0"/>
              <w:marRight w:val="0"/>
              <w:marTop w:val="0"/>
              <w:marBottom w:val="0"/>
              <w:divBdr>
                <w:top w:val="none" w:sz="0" w:space="0" w:color="auto"/>
                <w:left w:val="none" w:sz="0" w:space="0" w:color="auto"/>
                <w:bottom w:val="none" w:sz="0" w:space="0" w:color="auto"/>
                <w:right w:val="none" w:sz="0" w:space="0" w:color="auto"/>
              </w:divBdr>
              <w:divsChild>
                <w:div w:id="172320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63489">
      <w:bodyDiv w:val="1"/>
      <w:marLeft w:val="0"/>
      <w:marRight w:val="0"/>
      <w:marTop w:val="0"/>
      <w:marBottom w:val="0"/>
      <w:divBdr>
        <w:top w:val="none" w:sz="0" w:space="0" w:color="auto"/>
        <w:left w:val="none" w:sz="0" w:space="0" w:color="auto"/>
        <w:bottom w:val="none" w:sz="0" w:space="0" w:color="auto"/>
        <w:right w:val="none" w:sz="0" w:space="0" w:color="auto"/>
      </w:divBdr>
    </w:div>
    <w:div w:id="868756683">
      <w:bodyDiv w:val="1"/>
      <w:marLeft w:val="0"/>
      <w:marRight w:val="0"/>
      <w:marTop w:val="0"/>
      <w:marBottom w:val="0"/>
      <w:divBdr>
        <w:top w:val="none" w:sz="0" w:space="0" w:color="auto"/>
        <w:left w:val="none" w:sz="0" w:space="0" w:color="auto"/>
        <w:bottom w:val="none" w:sz="0" w:space="0" w:color="auto"/>
        <w:right w:val="none" w:sz="0" w:space="0" w:color="auto"/>
      </w:divBdr>
    </w:div>
    <w:div w:id="869225681">
      <w:bodyDiv w:val="1"/>
      <w:marLeft w:val="0"/>
      <w:marRight w:val="0"/>
      <w:marTop w:val="0"/>
      <w:marBottom w:val="0"/>
      <w:divBdr>
        <w:top w:val="none" w:sz="0" w:space="0" w:color="auto"/>
        <w:left w:val="none" w:sz="0" w:space="0" w:color="auto"/>
        <w:bottom w:val="none" w:sz="0" w:space="0" w:color="auto"/>
        <w:right w:val="none" w:sz="0" w:space="0" w:color="auto"/>
      </w:divBdr>
    </w:div>
    <w:div w:id="869419758">
      <w:bodyDiv w:val="1"/>
      <w:marLeft w:val="0"/>
      <w:marRight w:val="0"/>
      <w:marTop w:val="0"/>
      <w:marBottom w:val="0"/>
      <w:divBdr>
        <w:top w:val="none" w:sz="0" w:space="0" w:color="auto"/>
        <w:left w:val="none" w:sz="0" w:space="0" w:color="auto"/>
        <w:bottom w:val="none" w:sz="0" w:space="0" w:color="auto"/>
        <w:right w:val="none" w:sz="0" w:space="0" w:color="auto"/>
      </w:divBdr>
    </w:div>
    <w:div w:id="870260831">
      <w:bodyDiv w:val="1"/>
      <w:marLeft w:val="0"/>
      <w:marRight w:val="0"/>
      <w:marTop w:val="0"/>
      <w:marBottom w:val="0"/>
      <w:divBdr>
        <w:top w:val="none" w:sz="0" w:space="0" w:color="auto"/>
        <w:left w:val="none" w:sz="0" w:space="0" w:color="auto"/>
        <w:bottom w:val="none" w:sz="0" w:space="0" w:color="auto"/>
        <w:right w:val="none" w:sz="0" w:space="0" w:color="auto"/>
      </w:divBdr>
    </w:div>
    <w:div w:id="870920194">
      <w:bodyDiv w:val="1"/>
      <w:marLeft w:val="0"/>
      <w:marRight w:val="0"/>
      <w:marTop w:val="0"/>
      <w:marBottom w:val="0"/>
      <w:divBdr>
        <w:top w:val="none" w:sz="0" w:space="0" w:color="auto"/>
        <w:left w:val="none" w:sz="0" w:space="0" w:color="auto"/>
        <w:bottom w:val="none" w:sz="0" w:space="0" w:color="auto"/>
        <w:right w:val="none" w:sz="0" w:space="0" w:color="auto"/>
      </w:divBdr>
    </w:div>
    <w:div w:id="871192165">
      <w:bodyDiv w:val="1"/>
      <w:marLeft w:val="0"/>
      <w:marRight w:val="0"/>
      <w:marTop w:val="0"/>
      <w:marBottom w:val="0"/>
      <w:divBdr>
        <w:top w:val="none" w:sz="0" w:space="0" w:color="auto"/>
        <w:left w:val="none" w:sz="0" w:space="0" w:color="auto"/>
        <w:bottom w:val="none" w:sz="0" w:space="0" w:color="auto"/>
        <w:right w:val="none" w:sz="0" w:space="0" w:color="auto"/>
      </w:divBdr>
      <w:divsChild>
        <w:div w:id="912590142">
          <w:marLeft w:val="0"/>
          <w:marRight w:val="0"/>
          <w:marTop w:val="0"/>
          <w:marBottom w:val="0"/>
          <w:divBdr>
            <w:top w:val="none" w:sz="0" w:space="0" w:color="auto"/>
            <w:left w:val="none" w:sz="0" w:space="0" w:color="auto"/>
            <w:bottom w:val="none" w:sz="0" w:space="0" w:color="auto"/>
            <w:right w:val="none" w:sz="0" w:space="0" w:color="auto"/>
          </w:divBdr>
          <w:divsChild>
            <w:div w:id="729110709">
              <w:marLeft w:val="0"/>
              <w:marRight w:val="0"/>
              <w:marTop w:val="0"/>
              <w:marBottom w:val="0"/>
              <w:divBdr>
                <w:top w:val="none" w:sz="0" w:space="0" w:color="auto"/>
                <w:left w:val="none" w:sz="0" w:space="0" w:color="auto"/>
                <w:bottom w:val="none" w:sz="0" w:space="0" w:color="auto"/>
                <w:right w:val="none" w:sz="0" w:space="0" w:color="auto"/>
              </w:divBdr>
              <w:divsChild>
                <w:div w:id="514806184">
                  <w:marLeft w:val="0"/>
                  <w:marRight w:val="0"/>
                  <w:marTop w:val="0"/>
                  <w:marBottom w:val="0"/>
                  <w:divBdr>
                    <w:top w:val="none" w:sz="0" w:space="0" w:color="auto"/>
                    <w:left w:val="none" w:sz="0" w:space="0" w:color="auto"/>
                    <w:bottom w:val="none" w:sz="0" w:space="0" w:color="auto"/>
                    <w:right w:val="none" w:sz="0" w:space="0" w:color="auto"/>
                  </w:divBdr>
                  <w:divsChild>
                    <w:div w:id="3182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192397">
      <w:bodyDiv w:val="1"/>
      <w:marLeft w:val="0"/>
      <w:marRight w:val="0"/>
      <w:marTop w:val="0"/>
      <w:marBottom w:val="0"/>
      <w:divBdr>
        <w:top w:val="none" w:sz="0" w:space="0" w:color="auto"/>
        <w:left w:val="none" w:sz="0" w:space="0" w:color="auto"/>
        <w:bottom w:val="none" w:sz="0" w:space="0" w:color="auto"/>
        <w:right w:val="none" w:sz="0" w:space="0" w:color="auto"/>
      </w:divBdr>
      <w:divsChild>
        <w:div w:id="1065421693">
          <w:marLeft w:val="0"/>
          <w:marRight w:val="0"/>
          <w:marTop w:val="0"/>
          <w:marBottom w:val="0"/>
          <w:divBdr>
            <w:top w:val="none" w:sz="0" w:space="0" w:color="auto"/>
            <w:left w:val="none" w:sz="0" w:space="0" w:color="auto"/>
            <w:bottom w:val="none" w:sz="0" w:space="0" w:color="auto"/>
            <w:right w:val="none" w:sz="0" w:space="0" w:color="auto"/>
          </w:divBdr>
          <w:divsChild>
            <w:div w:id="1528105252">
              <w:marLeft w:val="0"/>
              <w:marRight w:val="0"/>
              <w:marTop w:val="0"/>
              <w:marBottom w:val="0"/>
              <w:divBdr>
                <w:top w:val="none" w:sz="0" w:space="0" w:color="auto"/>
                <w:left w:val="none" w:sz="0" w:space="0" w:color="auto"/>
                <w:bottom w:val="none" w:sz="0" w:space="0" w:color="auto"/>
                <w:right w:val="none" w:sz="0" w:space="0" w:color="auto"/>
              </w:divBdr>
              <w:divsChild>
                <w:div w:id="1267806821">
                  <w:marLeft w:val="0"/>
                  <w:marRight w:val="0"/>
                  <w:marTop w:val="0"/>
                  <w:marBottom w:val="0"/>
                  <w:divBdr>
                    <w:top w:val="none" w:sz="0" w:space="0" w:color="auto"/>
                    <w:left w:val="none" w:sz="0" w:space="0" w:color="auto"/>
                    <w:bottom w:val="none" w:sz="0" w:space="0" w:color="auto"/>
                    <w:right w:val="none" w:sz="0" w:space="0" w:color="auto"/>
                  </w:divBdr>
                  <w:divsChild>
                    <w:div w:id="3560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453349">
      <w:bodyDiv w:val="1"/>
      <w:marLeft w:val="0"/>
      <w:marRight w:val="0"/>
      <w:marTop w:val="0"/>
      <w:marBottom w:val="0"/>
      <w:divBdr>
        <w:top w:val="none" w:sz="0" w:space="0" w:color="auto"/>
        <w:left w:val="none" w:sz="0" w:space="0" w:color="auto"/>
        <w:bottom w:val="none" w:sz="0" w:space="0" w:color="auto"/>
        <w:right w:val="none" w:sz="0" w:space="0" w:color="auto"/>
      </w:divBdr>
    </w:div>
    <w:div w:id="871648162">
      <w:bodyDiv w:val="1"/>
      <w:marLeft w:val="0"/>
      <w:marRight w:val="0"/>
      <w:marTop w:val="0"/>
      <w:marBottom w:val="0"/>
      <w:divBdr>
        <w:top w:val="none" w:sz="0" w:space="0" w:color="auto"/>
        <w:left w:val="none" w:sz="0" w:space="0" w:color="auto"/>
        <w:bottom w:val="none" w:sz="0" w:space="0" w:color="auto"/>
        <w:right w:val="none" w:sz="0" w:space="0" w:color="auto"/>
      </w:divBdr>
    </w:div>
    <w:div w:id="872620316">
      <w:bodyDiv w:val="1"/>
      <w:marLeft w:val="0"/>
      <w:marRight w:val="0"/>
      <w:marTop w:val="0"/>
      <w:marBottom w:val="0"/>
      <w:divBdr>
        <w:top w:val="none" w:sz="0" w:space="0" w:color="auto"/>
        <w:left w:val="none" w:sz="0" w:space="0" w:color="auto"/>
        <w:bottom w:val="none" w:sz="0" w:space="0" w:color="auto"/>
        <w:right w:val="none" w:sz="0" w:space="0" w:color="auto"/>
      </w:divBdr>
      <w:divsChild>
        <w:div w:id="862942888">
          <w:marLeft w:val="0"/>
          <w:marRight w:val="0"/>
          <w:marTop w:val="0"/>
          <w:marBottom w:val="0"/>
          <w:divBdr>
            <w:top w:val="none" w:sz="0" w:space="0" w:color="auto"/>
            <w:left w:val="none" w:sz="0" w:space="0" w:color="auto"/>
            <w:bottom w:val="none" w:sz="0" w:space="0" w:color="auto"/>
            <w:right w:val="none" w:sz="0" w:space="0" w:color="auto"/>
          </w:divBdr>
          <w:divsChild>
            <w:div w:id="1177158748">
              <w:marLeft w:val="0"/>
              <w:marRight w:val="0"/>
              <w:marTop w:val="0"/>
              <w:marBottom w:val="0"/>
              <w:divBdr>
                <w:top w:val="none" w:sz="0" w:space="0" w:color="auto"/>
                <w:left w:val="none" w:sz="0" w:space="0" w:color="auto"/>
                <w:bottom w:val="none" w:sz="0" w:space="0" w:color="auto"/>
                <w:right w:val="none" w:sz="0" w:space="0" w:color="auto"/>
              </w:divBdr>
              <w:divsChild>
                <w:div w:id="8540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271360">
      <w:bodyDiv w:val="1"/>
      <w:marLeft w:val="0"/>
      <w:marRight w:val="0"/>
      <w:marTop w:val="0"/>
      <w:marBottom w:val="0"/>
      <w:divBdr>
        <w:top w:val="none" w:sz="0" w:space="0" w:color="auto"/>
        <w:left w:val="none" w:sz="0" w:space="0" w:color="auto"/>
        <w:bottom w:val="none" w:sz="0" w:space="0" w:color="auto"/>
        <w:right w:val="none" w:sz="0" w:space="0" w:color="auto"/>
      </w:divBdr>
    </w:div>
    <w:div w:id="874463282">
      <w:bodyDiv w:val="1"/>
      <w:marLeft w:val="0"/>
      <w:marRight w:val="0"/>
      <w:marTop w:val="0"/>
      <w:marBottom w:val="0"/>
      <w:divBdr>
        <w:top w:val="none" w:sz="0" w:space="0" w:color="auto"/>
        <w:left w:val="none" w:sz="0" w:space="0" w:color="auto"/>
        <w:bottom w:val="none" w:sz="0" w:space="0" w:color="auto"/>
        <w:right w:val="none" w:sz="0" w:space="0" w:color="auto"/>
      </w:divBdr>
      <w:divsChild>
        <w:div w:id="157841988">
          <w:marLeft w:val="0"/>
          <w:marRight w:val="0"/>
          <w:marTop w:val="0"/>
          <w:marBottom w:val="0"/>
          <w:divBdr>
            <w:top w:val="none" w:sz="0" w:space="0" w:color="auto"/>
            <w:left w:val="none" w:sz="0" w:space="0" w:color="auto"/>
            <w:bottom w:val="none" w:sz="0" w:space="0" w:color="auto"/>
            <w:right w:val="none" w:sz="0" w:space="0" w:color="auto"/>
          </w:divBdr>
          <w:divsChild>
            <w:div w:id="1033506500">
              <w:marLeft w:val="0"/>
              <w:marRight w:val="0"/>
              <w:marTop w:val="0"/>
              <w:marBottom w:val="0"/>
              <w:divBdr>
                <w:top w:val="none" w:sz="0" w:space="0" w:color="auto"/>
                <w:left w:val="none" w:sz="0" w:space="0" w:color="auto"/>
                <w:bottom w:val="none" w:sz="0" w:space="0" w:color="auto"/>
                <w:right w:val="none" w:sz="0" w:space="0" w:color="auto"/>
              </w:divBdr>
              <w:divsChild>
                <w:div w:id="2063019430">
                  <w:marLeft w:val="0"/>
                  <w:marRight w:val="0"/>
                  <w:marTop w:val="0"/>
                  <w:marBottom w:val="0"/>
                  <w:divBdr>
                    <w:top w:val="none" w:sz="0" w:space="0" w:color="auto"/>
                    <w:left w:val="none" w:sz="0" w:space="0" w:color="auto"/>
                    <w:bottom w:val="none" w:sz="0" w:space="0" w:color="auto"/>
                    <w:right w:val="none" w:sz="0" w:space="0" w:color="auto"/>
                  </w:divBdr>
                  <w:divsChild>
                    <w:div w:id="54907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15051">
      <w:bodyDiv w:val="1"/>
      <w:marLeft w:val="0"/>
      <w:marRight w:val="0"/>
      <w:marTop w:val="0"/>
      <w:marBottom w:val="0"/>
      <w:divBdr>
        <w:top w:val="none" w:sz="0" w:space="0" w:color="auto"/>
        <w:left w:val="none" w:sz="0" w:space="0" w:color="auto"/>
        <w:bottom w:val="none" w:sz="0" w:space="0" w:color="auto"/>
        <w:right w:val="none" w:sz="0" w:space="0" w:color="auto"/>
      </w:divBdr>
    </w:div>
    <w:div w:id="875393460">
      <w:bodyDiv w:val="1"/>
      <w:marLeft w:val="0"/>
      <w:marRight w:val="0"/>
      <w:marTop w:val="0"/>
      <w:marBottom w:val="0"/>
      <w:divBdr>
        <w:top w:val="none" w:sz="0" w:space="0" w:color="auto"/>
        <w:left w:val="none" w:sz="0" w:space="0" w:color="auto"/>
        <w:bottom w:val="none" w:sz="0" w:space="0" w:color="auto"/>
        <w:right w:val="none" w:sz="0" w:space="0" w:color="auto"/>
      </w:divBdr>
      <w:divsChild>
        <w:div w:id="640309235">
          <w:marLeft w:val="0"/>
          <w:marRight w:val="0"/>
          <w:marTop w:val="0"/>
          <w:marBottom w:val="0"/>
          <w:divBdr>
            <w:top w:val="none" w:sz="0" w:space="0" w:color="auto"/>
            <w:left w:val="none" w:sz="0" w:space="0" w:color="auto"/>
            <w:bottom w:val="none" w:sz="0" w:space="0" w:color="auto"/>
            <w:right w:val="none" w:sz="0" w:space="0" w:color="auto"/>
          </w:divBdr>
          <w:divsChild>
            <w:div w:id="1847479472">
              <w:marLeft w:val="0"/>
              <w:marRight w:val="0"/>
              <w:marTop w:val="0"/>
              <w:marBottom w:val="0"/>
              <w:divBdr>
                <w:top w:val="none" w:sz="0" w:space="0" w:color="auto"/>
                <w:left w:val="none" w:sz="0" w:space="0" w:color="auto"/>
                <w:bottom w:val="none" w:sz="0" w:space="0" w:color="auto"/>
                <w:right w:val="none" w:sz="0" w:space="0" w:color="auto"/>
              </w:divBdr>
              <w:divsChild>
                <w:div w:id="1038117591">
                  <w:marLeft w:val="0"/>
                  <w:marRight w:val="0"/>
                  <w:marTop w:val="0"/>
                  <w:marBottom w:val="0"/>
                  <w:divBdr>
                    <w:top w:val="none" w:sz="0" w:space="0" w:color="auto"/>
                    <w:left w:val="none" w:sz="0" w:space="0" w:color="auto"/>
                    <w:bottom w:val="none" w:sz="0" w:space="0" w:color="auto"/>
                    <w:right w:val="none" w:sz="0" w:space="0" w:color="auto"/>
                  </w:divBdr>
                  <w:divsChild>
                    <w:div w:id="178588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434610">
      <w:bodyDiv w:val="1"/>
      <w:marLeft w:val="0"/>
      <w:marRight w:val="0"/>
      <w:marTop w:val="0"/>
      <w:marBottom w:val="0"/>
      <w:divBdr>
        <w:top w:val="none" w:sz="0" w:space="0" w:color="auto"/>
        <w:left w:val="none" w:sz="0" w:space="0" w:color="auto"/>
        <w:bottom w:val="none" w:sz="0" w:space="0" w:color="auto"/>
        <w:right w:val="none" w:sz="0" w:space="0" w:color="auto"/>
      </w:divBdr>
    </w:div>
    <w:div w:id="876503181">
      <w:bodyDiv w:val="1"/>
      <w:marLeft w:val="0"/>
      <w:marRight w:val="0"/>
      <w:marTop w:val="0"/>
      <w:marBottom w:val="0"/>
      <w:divBdr>
        <w:top w:val="none" w:sz="0" w:space="0" w:color="auto"/>
        <w:left w:val="none" w:sz="0" w:space="0" w:color="auto"/>
        <w:bottom w:val="none" w:sz="0" w:space="0" w:color="auto"/>
        <w:right w:val="none" w:sz="0" w:space="0" w:color="auto"/>
      </w:divBdr>
    </w:div>
    <w:div w:id="876549232">
      <w:bodyDiv w:val="1"/>
      <w:marLeft w:val="0"/>
      <w:marRight w:val="0"/>
      <w:marTop w:val="0"/>
      <w:marBottom w:val="0"/>
      <w:divBdr>
        <w:top w:val="none" w:sz="0" w:space="0" w:color="auto"/>
        <w:left w:val="none" w:sz="0" w:space="0" w:color="auto"/>
        <w:bottom w:val="none" w:sz="0" w:space="0" w:color="auto"/>
        <w:right w:val="none" w:sz="0" w:space="0" w:color="auto"/>
      </w:divBdr>
    </w:div>
    <w:div w:id="876939543">
      <w:bodyDiv w:val="1"/>
      <w:marLeft w:val="0"/>
      <w:marRight w:val="0"/>
      <w:marTop w:val="0"/>
      <w:marBottom w:val="0"/>
      <w:divBdr>
        <w:top w:val="none" w:sz="0" w:space="0" w:color="auto"/>
        <w:left w:val="none" w:sz="0" w:space="0" w:color="auto"/>
        <w:bottom w:val="none" w:sz="0" w:space="0" w:color="auto"/>
        <w:right w:val="none" w:sz="0" w:space="0" w:color="auto"/>
      </w:divBdr>
    </w:div>
    <w:div w:id="877158405">
      <w:bodyDiv w:val="1"/>
      <w:marLeft w:val="0"/>
      <w:marRight w:val="0"/>
      <w:marTop w:val="0"/>
      <w:marBottom w:val="0"/>
      <w:divBdr>
        <w:top w:val="none" w:sz="0" w:space="0" w:color="auto"/>
        <w:left w:val="none" w:sz="0" w:space="0" w:color="auto"/>
        <w:bottom w:val="none" w:sz="0" w:space="0" w:color="auto"/>
        <w:right w:val="none" w:sz="0" w:space="0" w:color="auto"/>
      </w:divBdr>
    </w:div>
    <w:div w:id="877662493">
      <w:bodyDiv w:val="1"/>
      <w:marLeft w:val="0"/>
      <w:marRight w:val="0"/>
      <w:marTop w:val="0"/>
      <w:marBottom w:val="0"/>
      <w:divBdr>
        <w:top w:val="none" w:sz="0" w:space="0" w:color="auto"/>
        <w:left w:val="none" w:sz="0" w:space="0" w:color="auto"/>
        <w:bottom w:val="none" w:sz="0" w:space="0" w:color="auto"/>
        <w:right w:val="none" w:sz="0" w:space="0" w:color="auto"/>
      </w:divBdr>
    </w:div>
    <w:div w:id="878128422">
      <w:bodyDiv w:val="1"/>
      <w:marLeft w:val="0"/>
      <w:marRight w:val="0"/>
      <w:marTop w:val="0"/>
      <w:marBottom w:val="0"/>
      <w:divBdr>
        <w:top w:val="none" w:sz="0" w:space="0" w:color="auto"/>
        <w:left w:val="none" w:sz="0" w:space="0" w:color="auto"/>
        <w:bottom w:val="none" w:sz="0" w:space="0" w:color="auto"/>
        <w:right w:val="none" w:sz="0" w:space="0" w:color="auto"/>
      </w:divBdr>
    </w:div>
    <w:div w:id="878323437">
      <w:bodyDiv w:val="1"/>
      <w:marLeft w:val="0"/>
      <w:marRight w:val="0"/>
      <w:marTop w:val="0"/>
      <w:marBottom w:val="0"/>
      <w:divBdr>
        <w:top w:val="none" w:sz="0" w:space="0" w:color="auto"/>
        <w:left w:val="none" w:sz="0" w:space="0" w:color="auto"/>
        <w:bottom w:val="none" w:sz="0" w:space="0" w:color="auto"/>
        <w:right w:val="none" w:sz="0" w:space="0" w:color="auto"/>
      </w:divBdr>
    </w:div>
    <w:div w:id="878471267">
      <w:bodyDiv w:val="1"/>
      <w:marLeft w:val="0"/>
      <w:marRight w:val="0"/>
      <w:marTop w:val="0"/>
      <w:marBottom w:val="0"/>
      <w:divBdr>
        <w:top w:val="none" w:sz="0" w:space="0" w:color="auto"/>
        <w:left w:val="none" w:sz="0" w:space="0" w:color="auto"/>
        <w:bottom w:val="none" w:sz="0" w:space="0" w:color="auto"/>
        <w:right w:val="none" w:sz="0" w:space="0" w:color="auto"/>
      </w:divBdr>
    </w:div>
    <w:div w:id="880677557">
      <w:bodyDiv w:val="1"/>
      <w:marLeft w:val="0"/>
      <w:marRight w:val="0"/>
      <w:marTop w:val="0"/>
      <w:marBottom w:val="0"/>
      <w:divBdr>
        <w:top w:val="none" w:sz="0" w:space="0" w:color="auto"/>
        <w:left w:val="none" w:sz="0" w:space="0" w:color="auto"/>
        <w:bottom w:val="none" w:sz="0" w:space="0" w:color="auto"/>
        <w:right w:val="none" w:sz="0" w:space="0" w:color="auto"/>
      </w:divBdr>
    </w:div>
    <w:div w:id="881401726">
      <w:bodyDiv w:val="1"/>
      <w:marLeft w:val="0"/>
      <w:marRight w:val="0"/>
      <w:marTop w:val="0"/>
      <w:marBottom w:val="0"/>
      <w:divBdr>
        <w:top w:val="none" w:sz="0" w:space="0" w:color="auto"/>
        <w:left w:val="none" w:sz="0" w:space="0" w:color="auto"/>
        <w:bottom w:val="none" w:sz="0" w:space="0" w:color="auto"/>
        <w:right w:val="none" w:sz="0" w:space="0" w:color="auto"/>
      </w:divBdr>
    </w:div>
    <w:div w:id="881745001">
      <w:bodyDiv w:val="1"/>
      <w:marLeft w:val="0"/>
      <w:marRight w:val="0"/>
      <w:marTop w:val="0"/>
      <w:marBottom w:val="0"/>
      <w:divBdr>
        <w:top w:val="none" w:sz="0" w:space="0" w:color="auto"/>
        <w:left w:val="none" w:sz="0" w:space="0" w:color="auto"/>
        <w:bottom w:val="none" w:sz="0" w:space="0" w:color="auto"/>
        <w:right w:val="none" w:sz="0" w:space="0" w:color="auto"/>
      </w:divBdr>
    </w:div>
    <w:div w:id="882516956">
      <w:bodyDiv w:val="1"/>
      <w:marLeft w:val="0"/>
      <w:marRight w:val="0"/>
      <w:marTop w:val="0"/>
      <w:marBottom w:val="0"/>
      <w:divBdr>
        <w:top w:val="none" w:sz="0" w:space="0" w:color="auto"/>
        <w:left w:val="none" w:sz="0" w:space="0" w:color="auto"/>
        <w:bottom w:val="none" w:sz="0" w:space="0" w:color="auto"/>
        <w:right w:val="none" w:sz="0" w:space="0" w:color="auto"/>
      </w:divBdr>
      <w:divsChild>
        <w:div w:id="1883125725">
          <w:marLeft w:val="0"/>
          <w:marRight w:val="0"/>
          <w:marTop w:val="0"/>
          <w:marBottom w:val="0"/>
          <w:divBdr>
            <w:top w:val="none" w:sz="0" w:space="0" w:color="auto"/>
            <w:left w:val="none" w:sz="0" w:space="0" w:color="auto"/>
            <w:bottom w:val="none" w:sz="0" w:space="0" w:color="auto"/>
            <w:right w:val="none" w:sz="0" w:space="0" w:color="auto"/>
          </w:divBdr>
          <w:divsChild>
            <w:div w:id="563486305">
              <w:marLeft w:val="0"/>
              <w:marRight w:val="0"/>
              <w:marTop w:val="0"/>
              <w:marBottom w:val="0"/>
              <w:divBdr>
                <w:top w:val="none" w:sz="0" w:space="0" w:color="auto"/>
                <w:left w:val="none" w:sz="0" w:space="0" w:color="auto"/>
                <w:bottom w:val="none" w:sz="0" w:space="0" w:color="auto"/>
                <w:right w:val="none" w:sz="0" w:space="0" w:color="auto"/>
              </w:divBdr>
              <w:divsChild>
                <w:div w:id="1076585383">
                  <w:marLeft w:val="0"/>
                  <w:marRight w:val="0"/>
                  <w:marTop w:val="0"/>
                  <w:marBottom w:val="0"/>
                  <w:divBdr>
                    <w:top w:val="none" w:sz="0" w:space="0" w:color="auto"/>
                    <w:left w:val="none" w:sz="0" w:space="0" w:color="auto"/>
                    <w:bottom w:val="none" w:sz="0" w:space="0" w:color="auto"/>
                    <w:right w:val="none" w:sz="0" w:space="0" w:color="auto"/>
                  </w:divBdr>
                  <w:divsChild>
                    <w:div w:id="6490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523702">
      <w:bodyDiv w:val="1"/>
      <w:marLeft w:val="0"/>
      <w:marRight w:val="0"/>
      <w:marTop w:val="0"/>
      <w:marBottom w:val="0"/>
      <w:divBdr>
        <w:top w:val="none" w:sz="0" w:space="0" w:color="auto"/>
        <w:left w:val="none" w:sz="0" w:space="0" w:color="auto"/>
        <w:bottom w:val="none" w:sz="0" w:space="0" w:color="auto"/>
        <w:right w:val="none" w:sz="0" w:space="0" w:color="auto"/>
      </w:divBdr>
    </w:div>
    <w:div w:id="882979864">
      <w:bodyDiv w:val="1"/>
      <w:marLeft w:val="0"/>
      <w:marRight w:val="0"/>
      <w:marTop w:val="0"/>
      <w:marBottom w:val="0"/>
      <w:divBdr>
        <w:top w:val="none" w:sz="0" w:space="0" w:color="auto"/>
        <w:left w:val="none" w:sz="0" w:space="0" w:color="auto"/>
        <w:bottom w:val="none" w:sz="0" w:space="0" w:color="auto"/>
        <w:right w:val="none" w:sz="0" w:space="0" w:color="auto"/>
      </w:divBdr>
    </w:div>
    <w:div w:id="883520005">
      <w:bodyDiv w:val="1"/>
      <w:marLeft w:val="0"/>
      <w:marRight w:val="0"/>
      <w:marTop w:val="0"/>
      <w:marBottom w:val="0"/>
      <w:divBdr>
        <w:top w:val="none" w:sz="0" w:space="0" w:color="auto"/>
        <w:left w:val="none" w:sz="0" w:space="0" w:color="auto"/>
        <w:bottom w:val="none" w:sz="0" w:space="0" w:color="auto"/>
        <w:right w:val="none" w:sz="0" w:space="0" w:color="auto"/>
      </w:divBdr>
    </w:div>
    <w:div w:id="883979678">
      <w:bodyDiv w:val="1"/>
      <w:marLeft w:val="0"/>
      <w:marRight w:val="0"/>
      <w:marTop w:val="0"/>
      <w:marBottom w:val="0"/>
      <w:divBdr>
        <w:top w:val="none" w:sz="0" w:space="0" w:color="auto"/>
        <w:left w:val="none" w:sz="0" w:space="0" w:color="auto"/>
        <w:bottom w:val="none" w:sz="0" w:space="0" w:color="auto"/>
        <w:right w:val="none" w:sz="0" w:space="0" w:color="auto"/>
      </w:divBdr>
    </w:div>
    <w:div w:id="884021973">
      <w:bodyDiv w:val="1"/>
      <w:marLeft w:val="0"/>
      <w:marRight w:val="0"/>
      <w:marTop w:val="0"/>
      <w:marBottom w:val="0"/>
      <w:divBdr>
        <w:top w:val="none" w:sz="0" w:space="0" w:color="auto"/>
        <w:left w:val="none" w:sz="0" w:space="0" w:color="auto"/>
        <w:bottom w:val="none" w:sz="0" w:space="0" w:color="auto"/>
        <w:right w:val="none" w:sz="0" w:space="0" w:color="auto"/>
      </w:divBdr>
    </w:div>
    <w:div w:id="884105114">
      <w:bodyDiv w:val="1"/>
      <w:marLeft w:val="0"/>
      <w:marRight w:val="0"/>
      <w:marTop w:val="0"/>
      <w:marBottom w:val="0"/>
      <w:divBdr>
        <w:top w:val="none" w:sz="0" w:space="0" w:color="auto"/>
        <w:left w:val="none" w:sz="0" w:space="0" w:color="auto"/>
        <w:bottom w:val="none" w:sz="0" w:space="0" w:color="auto"/>
        <w:right w:val="none" w:sz="0" w:space="0" w:color="auto"/>
      </w:divBdr>
    </w:div>
    <w:div w:id="884148021">
      <w:bodyDiv w:val="1"/>
      <w:marLeft w:val="0"/>
      <w:marRight w:val="0"/>
      <w:marTop w:val="0"/>
      <w:marBottom w:val="0"/>
      <w:divBdr>
        <w:top w:val="none" w:sz="0" w:space="0" w:color="auto"/>
        <w:left w:val="none" w:sz="0" w:space="0" w:color="auto"/>
        <w:bottom w:val="none" w:sz="0" w:space="0" w:color="auto"/>
        <w:right w:val="none" w:sz="0" w:space="0" w:color="auto"/>
      </w:divBdr>
    </w:div>
    <w:div w:id="884953619">
      <w:bodyDiv w:val="1"/>
      <w:marLeft w:val="0"/>
      <w:marRight w:val="0"/>
      <w:marTop w:val="0"/>
      <w:marBottom w:val="0"/>
      <w:divBdr>
        <w:top w:val="none" w:sz="0" w:space="0" w:color="auto"/>
        <w:left w:val="none" w:sz="0" w:space="0" w:color="auto"/>
        <w:bottom w:val="none" w:sz="0" w:space="0" w:color="auto"/>
        <w:right w:val="none" w:sz="0" w:space="0" w:color="auto"/>
      </w:divBdr>
      <w:divsChild>
        <w:div w:id="1602371233">
          <w:marLeft w:val="0"/>
          <w:marRight w:val="0"/>
          <w:marTop w:val="0"/>
          <w:marBottom w:val="0"/>
          <w:divBdr>
            <w:top w:val="none" w:sz="0" w:space="0" w:color="auto"/>
            <w:left w:val="none" w:sz="0" w:space="0" w:color="auto"/>
            <w:bottom w:val="none" w:sz="0" w:space="0" w:color="auto"/>
            <w:right w:val="none" w:sz="0" w:space="0" w:color="auto"/>
          </w:divBdr>
          <w:divsChild>
            <w:div w:id="1923756131">
              <w:marLeft w:val="0"/>
              <w:marRight w:val="0"/>
              <w:marTop w:val="0"/>
              <w:marBottom w:val="0"/>
              <w:divBdr>
                <w:top w:val="none" w:sz="0" w:space="0" w:color="auto"/>
                <w:left w:val="none" w:sz="0" w:space="0" w:color="auto"/>
                <w:bottom w:val="none" w:sz="0" w:space="0" w:color="auto"/>
                <w:right w:val="none" w:sz="0" w:space="0" w:color="auto"/>
              </w:divBdr>
              <w:divsChild>
                <w:div w:id="19654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110612">
      <w:bodyDiv w:val="1"/>
      <w:marLeft w:val="0"/>
      <w:marRight w:val="0"/>
      <w:marTop w:val="0"/>
      <w:marBottom w:val="0"/>
      <w:divBdr>
        <w:top w:val="none" w:sz="0" w:space="0" w:color="auto"/>
        <w:left w:val="none" w:sz="0" w:space="0" w:color="auto"/>
        <w:bottom w:val="none" w:sz="0" w:space="0" w:color="auto"/>
        <w:right w:val="none" w:sz="0" w:space="0" w:color="auto"/>
      </w:divBdr>
    </w:div>
    <w:div w:id="887498061">
      <w:bodyDiv w:val="1"/>
      <w:marLeft w:val="0"/>
      <w:marRight w:val="0"/>
      <w:marTop w:val="0"/>
      <w:marBottom w:val="0"/>
      <w:divBdr>
        <w:top w:val="none" w:sz="0" w:space="0" w:color="auto"/>
        <w:left w:val="none" w:sz="0" w:space="0" w:color="auto"/>
        <w:bottom w:val="none" w:sz="0" w:space="0" w:color="auto"/>
        <w:right w:val="none" w:sz="0" w:space="0" w:color="auto"/>
      </w:divBdr>
    </w:div>
    <w:div w:id="888494296">
      <w:bodyDiv w:val="1"/>
      <w:marLeft w:val="0"/>
      <w:marRight w:val="0"/>
      <w:marTop w:val="0"/>
      <w:marBottom w:val="0"/>
      <w:divBdr>
        <w:top w:val="none" w:sz="0" w:space="0" w:color="auto"/>
        <w:left w:val="none" w:sz="0" w:space="0" w:color="auto"/>
        <w:bottom w:val="none" w:sz="0" w:space="0" w:color="auto"/>
        <w:right w:val="none" w:sz="0" w:space="0" w:color="auto"/>
      </w:divBdr>
    </w:div>
    <w:div w:id="889074933">
      <w:bodyDiv w:val="1"/>
      <w:marLeft w:val="0"/>
      <w:marRight w:val="0"/>
      <w:marTop w:val="0"/>
      <w:marBottom w:val="0"/>
      <w:divBdr>
        <w:top w:val="none" w:sz="0" w:space="0" w:color="auto"/>
        <w:left w:val="none" w:sz="0" w:space="0" w:color="auto"/>
        <w:bottom w:val="none" w:sz="0" w:space="0" w:color="auto"/>
        <w:right w:val="none" w:sz="0" w:space="0" w:color="auto"/>
      </w:divBdr>
    </w:div>
    <w:div w:id="890070982">
      <w:bodyDiv w:val="1"/>
      <w:marLeft w:val="0"/>
      <w:marRight w:val="0"/>
      <w:marTop w:val="0"/>
      <w:marBottom w:val="0"/>
      <w:divBdr>
        <w:top w:val="none" w:sz="0" w:space="0" w:color="auto"/>
        <w:left w:val="none" w:sz="0" w:space="0" w:color="auto"/>
        <w:bottom w:val="none" w:sz="0" w:space="0" w:color="auto"/>
        <w:right w:val="none" w:sz="0" w:space="0" w:color="auto"/>
      </w:divBdr>
    </w:div>
    <w:div w:id="890263665">
      <w:bodyDiv w:val="1"/>
      <w:marLeft w:val="0"/>
      <w:marRight w:val="0"/>
      <w:marTop w:val="0"/>
      <w:marBottom w:val="0"/>
      <w:divBdr>
        <w:top w:val="none" w:sz="0" w:space="0" w:color="auto"/>
        <w:left w:val="none" w:sz="0" w:space="0" w:color="auto"/>
        <w:bottom w:val="none" w:sz="0" w:space="0" w:color="auto"/>
        <w:right w:val="none" w:sz="0" w:space="0" w:color="auto"/>
      </w:divBdr>
    </w:div>
    <w:div w:id="890380980">
      <w:bodyDiv w:val="1"/>
      <w:marLeft w:val="0"/>
      <w:marRight w:val="0"/>
      <w:marTop w:val="0"/>
      <w:marBottom w:val="0"/>
      <w:divBdr>
        <w:top w:val="none" w:sz="0" w:space="0" w:color="auto"/>
        <w:left w:val="none" w:sz="0" w:space="0" w:color="auto"/>
        <w:bottom w:val="none" w:sz="0" w:space="0" w:color="auto"/>
        <w:right w:val="none" w:sz="0" w:space="0" w:color="auto"/>
      </w:divBdr>
    </w:div>
    <w:div w:id="891187339">
      <w:bodyDiv w:val="1"/>
      <w:marLeft w:val="0"/>
      <w:marRight w:val="0"/>
      <w:marTop w:val="0"/>
      <w:marBottom w:val="0"/>
      <w:divBdr>
        <w:top w:val="none" w:sz="0" w:space="0" w:color="auto"/>
        <w:left w:val="none" w:sz="0" w:space="0" w:color="auto"/>
        <w:bottom w:val="none" w:sz="0" w:space="0" w:color="auto"/>
        <w:right w:val="none" w:sz="0" w:space="0" w:color="auto"/>
      </w:divBdr>
    </w:div>
    <w:div w:id="891384286">
      <w:bodyDiv w:val="1"/>
      <w:marLeft w:val="0"/>
      <w:marRight w:val="0"/>
      <w:marTop w:val="0"/>
      <w:marBottom w:val="0"/>
      <w:divBdr>
        <w:top w:val="none" w:sz="0" w:space="0" w:color="auto"/>
        <w:left w:val="none" w:sz="0" w:space="0" w:color="auto"/>
        <w:bottom w:val="none" w:sz="0" w:space="0" w:color="auto"/>
        <w:right w:val="none" w:sz="0" w:space="0" w:color="auto"/>
      </w:divBdr>
    </w:div>
    <w:div w:id="891967719">
      <w:bodyDiv w:val="1"/>
      <w:marLeft w:val="0"/>
      <w:marRight w:val="0"/>
      <w:marTop w:val="0"/>
      <w:marBottom w:val="0"/>
      <w:divBdr>
        <w:top w:val="none" w:sz="0" w:space="0" w:color="auto"/>
        <w:left w:val="none" w:sz="0" w:space="0" w:color="auto"/>
        <w:bottom w:val="none" w:sz="0" w:space="0" w:color="auto"/>
        <w:right w:val="none" w:sz="0" w:space="0" w:color="auto"/>
      </w:divBdr>
    </w:div>
    <w:div w:id="892885298">
      <w:bodyDiv w:val="1"/>
      <w:marLeft w:val="0"/>
      <w:marRight w:val="0"/>
      <w:marTop w:val="0"/>
      <w:marBottom w:val="0"/>
      <w:divBdr>
        <w:top w:val="none" w:sz="0" w:space="0" w:color="auto"/>
        <w:left w:val="none" w:sz="0" w:space="0" w:color="auto"/>
        <w:bottom w:val="none" w:sz="0" w:space="0" w:color="auto"/>
        <w:right w:val="none" w:sz="0" w:space="0" w:color="auto"/>
      </w:divBdr>
    </w:div>
    <w:div w:id="893470058">
      <w:bodyDiv w:val="1"/>
      <w:marLeft w:val="0"/>
      <w:marRight w:val="0"/>
      <w:marTop w:val="0"/>
      <w:marBottom w:val="0"/>
      <w:divBdr>
        <w:top w:val="none" w:sz="0" w:space="0" w:color="auto"/>
        <w:left w:val="none" w:sz="0" w:space="0" w:color="auto"/>
        <w:bottom w:val="none" w:sz="0" w:space="0" w:color="auto"/>
        <w:right w:val="none" w:sz="0" w:space="0" w:color="auto"/>
      </w:divBdr>
    </w:div>
    <w:div w:id="893738074">
      <w:bodyDiv w:val="1"/>
      <w:marLeft w:val="0"/>
      <w:marRight w:val="0"/>
      <w:marTop w:val="0"/>
      <w:marBottom w:val="0"/>
      <w:divBdr>
        <w:top w:val="none" w:sz="0" w:space="0" w:color="auto"/>
        <w:left w:val="none" w:sz="0" w:space="0" w:color="auto"/>
        <w:bottom w:val="none" w:sz="0" w:space="0" w:color="auto"/>
        <w:right w:val="none" w:sz="0" w:space="0" w:color="auto"/>
      </w:divBdr>
    </w:div>
    <w:div w:id="894201037">
      <w:bodyDiv w:val="1"/>
      <w:marLeft w:val="0"/>
      <w:marRight w:val="0"/>
      <w:marTop w:val="0"/>
      <w:marBottom w:val="0"/>
      <w:divBdr>
        <w:top w:val="none" w:sz="0" w:space="0" w:color="auto"/>
        <w:left w:val="none" w:sz="0" w:space="0" w:color="auto"/>
        <w:bottom w:val="none" w:sz="0" w:space="0" w:color="auto"/>
        <w:right w:val="none" w:sz="0" w:space="0" w:color="auto"/>
      </w:divBdr>
    </w:div>
    <w:div w:id="895555776">
      <w:bodyDiv w:val="1"/>
      <w:marLeft w:val="0"/>
      <w:marRight w:val="0"/>
      <w:marTop w:val="0"/>
      <w:marBottom w:val="0"/>
      <w:divBdr>
        <w:top w:val="none" w:sz="0" w:space="0" w:color="auto"/>
        <w:left w:val="none" w:sz="0" w:space="0" w:color="auto"/>
        <w:bottom w:val="none" w:sz="0" w:space="0" w:color="auto"/>
        <w:right w:val="none" w:sz="0" w:space="0" w:color="auto"/>
      </w:divBdr>
      <w:divsChild>
        <w:div w:id="1728986915">
          <w:marLeft w:val="0"/>
          <w:marRight w:val="0"/>
          <w:marTop w:val="0"/>
          <w:marBottom w:val="0"/>
          <w:divBdr>
            <w:top w:val="none" w:sz="0" w:space="0" w:color="auto"/>
            <w:left w:val="none" w:sz="0" w:space="0" w:color="auto"/>
            <w:bottom w:val="none" w:sz="0" w:space="0" w:color="auto"/>
            <w:right w:val="none" w:sz="0" w:space="0" w:color="auto"/>
          </w:divBdr>
          <w:divsChild>
            <w:div w:id="982808540">
              <w:marLeft w:val="0"/>
              <w:marRight w:val="0"/>
              <w:marTop w:val="0"/>
              <w:marBottom w:val="0"/>
              <w:divBdr>
                <w:top w:val="none" w:sz="0" w:space="0" w:color="auto"/>
                <w:left w:val="none" w:sz="0" w:space="0" w:color="auto"/>
                <w:bottom w:val="none" w:sz="0" w:space="0" w:color="auto"/>
                <w:right w:val="none" w:sz="0" w:space="0" w:color="auto"/>
              </w:divBdr>
              <w:divsChild>
                <w:div w:id="512648661">
                  <w:marLeft w:val="0"/>
                  <w:marRight w:val="0"/>
                  <w:marTop w:val="0"/>
                  <w:marBottom w:val="0"/>
                  <w:divBdr>
                    <w:top w:val="none" w:sz="0" w:space="0" w:color="auto"/>
                    <w:left w:val="none" w:sz="0" w:space="0" w:color="auto"/>
                    <w:bottom w:val="none" w:sz="0" w:space="0" w:color="auto"/>
                    <w:right w:val="none" w:sz="0" w:space="0" w:color="auto"/>
                  </w:divBdr>
                  <w:divsChild>
                    <w:div w:id="41898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935453">
      <w:bodyDiv w:val="1"/>
      <w:marLeft w:val="0"/>
      <w:marRight w:val="0"/>
      <w:marTop w:val="0"/>
      <w:marBottom w:val="0"/>
      <w:divBdr>
        <w:top w:val="none" w:sz="0" w:space="0" w:color="auto"/>
        <w:left w:val="none" w:sz="0" w:space="0" w:color="auto"/>
        <w:bottom w:val="none" w:sz="0" w:space="0" w:color="auto"/>
        <w:right w:val="none" w:sz="0" w:space="0" w:color="auto"/>
      </w:divBdr>
    </w:div>
    <w:div w:id="897017601">
      <w:bodyDiv w:val="1"/>
      <w:marLeft w:val="0"/>
      <w:marRight w:val="0"/>
      <w:marTop w:val="0"/>
      <w:marBottom w:val="0"/>
      <w:divBdr>
        <w:top w:val="none" w:sz="0" w:space="0" w:color="auto"/>
        <w:left w:val="none" w:sz="0" w:space="0" w:color="auto"/>
        <w:bottom w:val="none" w:sz="0" w:space="0" w:color="auto"/>
        <w:right w:val="none" w:sz="0" w:space="0" w:color="auto"/>
      </w:divBdr>
    </w:div>
    <w:div w:id="897399921">
      <w:bodyDiv w:val="1"/>
      <w:marLeft w:val="0"/>
      <w:marRight w:val="0"/>
      <w:marTop w:val="0"/>
      <w:marBottom w:val="0"/>
      <w:divBdr>
        <w:top w:val="none" w:sz="0" w:space="0" w:color="auto"/>
        <w:left w:val="none" w:sz="0" w:space="0" w:color="auto"/>
        <w:bottom w:val="none" w:sz="0" w:space="0" w:color="auto"/>
        <w:right w:val="none" w:sz="0" w:space="0" w:color="auto"/>
      </w:divBdr>
    </w:div>
    <w:div w:id="898318920">
      <w:bodyDiv w:val="1"/>
      <w:marLeft w:val="0"/>
      <w:marRight w:val="0"/>
      <w:marTop w:val="0"/>
      <w:marBottom w:val="0"/>
      <w:divBdr>
        <w:top w:val="none" w:sz="0" w:space="0" w:color="auto"/>
        <w:left w:val="none" w:sz="0" w:space="0" w:color="auto"/>
        <w:bottom w:val="none" w:sz="0" w:space="0" w:color="auto"/>
        <w:right w:val="none" w:sz="0" w:space="0" w:color="auto"/>
      </w:divBdr>
    </w:div>
    <w:div w:id="898592393">
      <w:bodyDiv w:val="1"/>
      <w:marLeft w:val="0"/>
      <w:marRight w:val="0"/>
      <w:marTop w:val="0"/>
      <w:marBottom w:val="0"/>
      <w:divBdr>
        <w:top w:val="none" w:sz="0" w:space="0" w:color="auto"/>
        <w:left w:val="none" w:sz="0" w:space="0" w:color="auto"/>
        <w:bottom w:val="none" w:sz="0" w:space="0" w:color="auto"/>
        <w:right w:val="none" w:sz="0" w:space="0" w:color="auto"/>
      </w:divBdr>
    </w:div>
    <w:div w:id="898900361">
      <w:bodyDiv w:val="1"/>
      <w:marLeft w:val="0"/>
      <w:marRight w:val="0"/>
      <w:marTop w:val="0"/>
      <w:marBottom w:val="0"/>
      <w:divBdr>
        <w:top w:val="none" w:sz="0" w:space="0" w:color="auto"/>
        <w:left w:val="none" w:sz="0" w:space="0" w:color="auto"/>
        <w:bottom w:val="none" w:sz="0" w:space="0" w:color="auto"/>
        <w:right w:val="none" w:sz="0" w:space="0" w:color="auto"/>
      </w:divBdr>
      <w:divsChild>
        <w:div w:id="105319716">
          <w:marLeft w:val="0"/>
          <w:marRight w:val="0"/>
          <w:marTop w:val="0"/>
          <w:marBottom w:val="0"/>
          <w:divBdr>
            <w:top w:val="none" w:sz="0" w:space="0" w:color="auto"/>
            <w:left w:val="none" w:sz="0" w:space="0" w:color="auto"/>
            <w:bottom w:val="none" w:sz="0" w:space="0" w:color="auto"/>
            <w:right w:val="none" w:sz="0" w:space="0" w:color="auto"/>
          </w:divBdr>
          <w:divsChild>
            <w:div w:id="1579900811">
              <w:marLeft w:val="0"/>
              <w:marRight w:val="0"/>
              <w:marTop w:val="0"/>
              <w:marBottom w:val="0"/>
              <w:divBdr>
                <w:top w:val="none" w:sz="0" w:space="0" w:color="auto"/>
                <w:left w:val="none" w:sz="0" w:space="0" w:color="auto"/>
                <w:bottom w:val="none" w:sz="0" w:space="0" w:color="auto"/>
                <w:right w:val="none" w:sz="0" w:space="0" w:color="auto"/>
              </w:divBdr>
              <w:divsChild>
                <w:div w:id="635263849">
                  <w:marLeft w:val="0"/>
                  <w:marRight w:val="0"/>
                  <w:marTop w:val="0"/>
                  <w:marBottom w:val="0"/>
                  <w:divBdr>
                    <w:top w:val="none" w:sz="0" w:space="0" w:color="auto"/>
                    <w:left w:val="none" w:sz="0" w:space="0" w:color="auto"/>
                    <w:bottom w:val="none" w:sz="0" w:space="0" w:color="auto"/>
                    <w:right w:val="none" w:sz="0" w:space="0" w:color="auto"/>
                  </w:divBdr>
                  <w:divsChild>
                    <w:div w:id="51145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74491">
      <w:bodyDiv w:val="1"/>
      <w:marLeft w:val="0"/>
      <w:marRight w:val="0"/>
      <w:marTop w:val="0"/>
      <w:marBottom w:val="0"/>
      <w:divBdr>
        <w:top w:val="none" w:sz="0" w:space="0" w:color="auto"/>
        <w:left w:val="none" w:sz="0" w:space="0" w:color="auto"/>
        <w:bottom w:val="none" w:sz="0" w:space="0" w:color="auto"/>
        <w:right w:val="none" w:sz="0" w:space="0" w:color="auto"/>
      </w:divBdr>
    </w:div>
    <w:div w:id="898977211">
      <w:bodyDiv w:val="1"/>
      <w:marLeft w:val="0"/>
      <w:marRight w:val="0"/>
      <w:marTop w:val="0"/>
      <w:marBottom w:val="0"/>
      <w:divBdr>
        <w:top w:val="none" w:sz="0" w:space="0" w:color="auto"/>
        <w:left w:val="none" w:sz="0" w:space="0" w:color="auto"/>
        <w:bottom w:val="none" w:sz="0" w:space="0" w:color="auto"/>
        <w:right w:val="none" w:sz="0" w:space="0" w:color="auto"/>
      </w:divBdr>
    </w:div>
    <w:div w:id="899748407">
      <w:bodyDiv w:val="1"/>
      <w:marLeft w:val="0"/>
      <w:marRight w:val="0"/>
      <w:marTop w:val="0"/>
      <w:marBottom w:val="0"/>
      <w:divBdr>
        <w:top w:val="none" w:sz="0" w:space="0" w:color="auto"/>
        <w:left w:val="none" w:sz="0" w:space="0" w:color="auto"/>
        <w:bottom w:val="none" w:sz="0" w:space="0" w:color="auto"/>
        <w:right w:val="none" w:sz="0" w:space="0" w:color="auto"/>
      </w:divBdr>
    </w:div>
    <w:div w:id="899830954">
      <w:bodyDiv w:val="1"/>
      <w:marLeft w:val="0"/>
      <w:marRight w:val="0"/>
      <w:marTop w:val="0"/>
      <w:marBottom w:val="0"/>
      <w:divBdr>
        <w:top w:val="none" w:sz="0" w:space="0" w:color="auto"/>
        <w:left w:val="none" w:sz="0" w:space="0" w:color="auto"/>
        <w:bottom w:val="none" w:sz="0" w:space="0" w:color="auto"/>
        <w:right w:val="none" w:sz="0" w:space="0" w:color="auto"/>
      </w:divBdr>
      <w:divsChild>
        <w:div w:id="1770659156">
          <w:marLeft w:val="0"/>
          <w:marRight w:val="0"/>
          <w:marTop w:val="0"/>
          <w:marBottom w:val="0"/>
          <w:divBdr>
            <w:top w:val="none" w:sz="0" w:space="0" w:color="auto"/>
            <w:left w:val="none" w:sz="0" w:space="0" w:color="auto"/>
            <w:bottom w:val="none" w:sz="0" w:space="0" w:color="auto"/>
            <w:right w:val="none" w:sz="0" w:space="0" w:color="auto"/>
          </w:divBdr>
          <w:divsChild>
            <w:div w:id="1938714401">
              <w:marLeft w:val="0"/>
              <w:marRight w:val="0"/>
              <w:marTop w:val="0"/>
              <w:marBottom w:val="0"/>
              <w:divBdr>
                <w:top w:val="none" w:sz="0" w:space="0" w:color="auto"/>
                <w:left w:val="none" w:sz="0" w:space="0" w:color="auto"/>
                <w:bottom w:val="none" w:sz="0" w:space="0" w:color="auto"/>
                <w:right w:val="none" w:sz="0" w:space="0" w:color="auto"/>
              </w:divBdr>
              <w:divsChild>
                <w:div w:id="51083315">
                  <w:marLeft w:val="0"/>
                  <w:marRight w:val="0"/>
                  <w:marTop w:val="0"/>
                  <w:marBottom w:val="0"/>
                  <w:divBdr>
                    <w:top w:val="none" w:sz="0" w:space="0" w:color="auto"/>
                    <w:left w:val="none" w:sz="0" w:space="0" w:color="auto"/>
                    <w:bottom w:val="none" w:sz="0" w:space="0" w:color="auto"/>
                    <w:right w:val="none" w:sz="0" w:space="0" w:color="auto"/>
                  </w:divBdr>
                  <w:divsChild>
                    <w:div w:id="182728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217700">
      <w:bodyDiv w:val="1"/>
      <w:marLeft w:val="0"/>
      <w:marRight w:val="0"/>
      <w:marTop w:val="0"/>
      <w:marBottom w:val="0"/>
      <w:divBdr>
        <w:top w:val="none" w:sz="0" w:space="0" w:color="auto"/>
        <w:left w:val="none" w:sz="0" w:space="0" w:color="auto"/>
        <w:bottom w:val="none" w:sz="0" w:space="0" w:color="auto"/>
        <w:right w:val="none" w:sz="0" w:space="0" w:color="auto"/>
      </w:divBdr>
      <w:divsChild>
        <w:div w:id="29696617">
          <w:marLeft w:val="0"/>
          <w:marRight w:val="0"/>
          <w:marTop w:val="0"/>
          <w:marBottom w:val="0"/>
          <w:divBdr>
            <w:top w:val="none" w:sz="0" w:space="0" w:color="auto"/>
            <w:left w:val="none" w:sz="0" w:space="0" w:color="auto"/>
            <w:bottom w:val="none" w:sz="0" w:space="0" w:color="auto"/>
            <w:right w:val="none" w:sz="0" w:space="0" w:color="auto"/>
          </w:divBdr>
          <w:divsChild>
            <w:div w:id="452671946">
              <w:marLeft w:val="0"/>
              <w:marRight w:val="0"/>
              <w:marTop w:val="0"/>
              <w:marBottom w:val="0"/>
              <w:divBdr>
                <w:top w:val="none" w:sz="0" w:space="0" w:color="auto"/>
                <w:left w:val="none" w:sz="0" w:space="0" w:color="auto"/>
                <w:bottom w:val="none" w:sz="0" w:space="0" w:color="auto"/>
                <w:right w:val="none" w:sz="0" w:space="0" w:color="auto"/>
              </w:divBdr>
              <w:divsChild>
                <w:div w:id="1503350260">
                  <w:marLeft w:val="0"/>
                  <w:marRight w:val="0"/>
                  <w:marTop w:val="0"/>
                  <w:marBottom w:val="0"/>
                  <w:divBdr>
                    <w:top w:val="none" w:sz="0" w:space="0" w:color="auto"/>
                    <w:left w:val="none" w:sz="0" w:space="0" w:color="auto"/>
                    <w:bottom w:val="none" w:sz="0" w:space="0" w:color="auto"/>
                    <w:right w:val="none" w:sz="0" w:space="0" w:color="auto"/>
                  </w:divBdr>
                  <w:divsChild>
                    <w:div w:id="214534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84684">
      <w:bodyDiv w:val="1"/>
      <w:marLeft w:val="0"/>
      <w:marRight w:val="0"/>
      <w:marTop w:val="0"/>
      <w:marBottom w:val="0"/>
      <w:divBdr>
        <w:top w:val="none" w:sz="0" w:space="0" w:color="auto"/>
        <w:left w:val="none" w:sz="0" w:space="0" w:color="auto"/>
        <w:bottom w:val="none" w:sz="0" w:space="0" w:color="auto"/>
        <w:right w:val="none" w:sz="0" w:space="0" w:color="auto"/>
      </w:divBdr>
    </w:div>
    <w:div w:id="902060976">
      <w:bodyDiv w:val="1"/>
      <w:marLeft w:val="0"/>
      <w:marRight w:val="0"/>
      <w:marTop w:val="0"/>
      <w:marBottom w:val="0"/>
      <w:divBdr>
        <w:top w:val="none" w:sz="0" w:space="0" w:color="auto"/>
        <w:left w:val="none" w:sz="0" w:space="0" w:color="auto"/>
        <w:bottom w:val="none" w:sz="0" w:space="0" w:color="auto"/>
        <w:right w:val="none" w:sz="0" w:space="0" w:color="auto"/>
      </w:divBdr>
    </w:div>
    <w:div w:id="903415898">
      <w:bodyDiv w:val="1"/>
      <w:marLeft w:val="0"/>
      <w:marRight w:val="0"/>
      <w:marTop w:val="0"/>
      <w:marBottom w:val="0"/>
      <w:divBdr>
        <w:top w:val="none" w:sz="0" w:space="0" w:color="auto"/>
        <w:left w:val="none" w:sz="0" w:space="0" w:color="auto"/>
        <w:bottom w:val="none" w:sz="0" w:space="0" w:color="auto"/>
        <w:right w:val="none" w:sz="0" w:space="0" w:color="auto"/>
      </w:divBdr>
    </w:div>
    <w:div w:id="903443722">
      <w:bodyDiv w:val="1"/>
      <w:marLeft w:val="0"/>
      <w:marRight w:val="0"/>
      <w:marTop w:val="0"/>
      <w:marBottom w:val="0"/>
      <w:divBdr>
        <w:top w:val="none" w:sz="0" w:space="0" w:color="auto"/>
        <w:left w:val="none" w:sz="0" w:space="0" w:color="auto"/>
        <w:bottom w:val="none" w:sz="0" w:space="0" w:color="auto"/>
        <w:right w:val="none" w:sz="0" w:space="0" w:color="auto"/>
      </w:divBdr>
      <w:divsChild>
        <w:div w:id="492718974">
          <w:marLeft w:val="0"/>
          <w:marRight w:val="0"/>
          <w:marTop w:val="0"/>
          <w:marBottom w:val="0"/>
          <w:divBdr>
            <w:top w:val="none" w:sz="0" w:space="0" w:color="auto"/>
            <w:left w:val="none" w:sz="0" w:space="0" w:color="auto"/>
            <w:bottom w:val="none" w:sz="0" w:space="0" w:color="auto"/>
            <w:right w:val="none" w:sz="0" w:space="0" w:color="auto"/>
          </w:divBdr>
          <w:divsChild>
            <w:div w:id="879323231">
              <w:marLeft w:val="0"/>
              <w:marRight w:val="0"/>
              <w:marTop w:val="0"/>
              <w:marBottom w:val="0"/>
              <w:divBdr>
                <w:top w:val="none" w:sz="0" w:space="0" w:color="auto"/>
                <w:left w:val="none" w:sz="0" w:space="0" w:color="auto"/>
                <w:bottom w:val="none" w:sz="0" w:space="0" w:color="auto"/>
                <w:right w:val="none" w:sz="0" w:space="0" w:color="auto"/>
              </w:divBdr>
              <w:divsChild>
                <w:div w:id="998969690">
                  <w:marLeft w:val="0"/>
                  <w:marRight w:val="0"/>
                  <w:marTop w:val="0"/>
                  <w:marBottom w:val="0"/>
                  <w:divBdr>
                    <w:top w:val="none" w:sz="0" w:space="0" w:color="auto"/>
                    <w:left w:val="none" w:sz="0" w:space="0" w:color="auto"/>
                    <w:bottom w:val="none" w:sz="0" w:space="0" w:color="auto"/>
                    <w:right w:val="none" w:sz="0" w:space="0" w:color="auto"/>
                  </w:divBdr>
                  <w:divsChild>
                    <w:div w:id="5491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77957">
      <w:bodyDiv w:val="1"/>
      <w:marLeft w:val="0"/>
      <w:marRight w:val="0"/>
      <w:marTop w:val="0"/>
      <w:marBottom w:val="0"/>
      <w:divBdr>
        <w:top w:val="none" w:sz="0" w:space="0" w:color="auto"/>
        <w:left w:val="none" w:sz="0" w:space="0" w:color="auto"/>
        <w:bottom w:val="none" w:sz="0" w:space="0" w:color="auto"/>
        <w:right w:val="none" w:sz="0" w:space="0" w:color="auto"/>
      </w:divBdr>
    </w:div>
    <w:div w:id="904802634">
      <w:bodyDiv w:val="1"/>
      <w:marLeft w:val="0"/>
      <w:marRight w:val="0"/>
      <w:marTop w:val="0"/>
      <w:marBottom w:val="0"/>
      <w:divBdr>
        <w:top w:val="none" w:sz="0" w:space="0" w:color="auto"/>
        <w:left w:val="none" w:sz="0" w:space="0" w:color="auto"/>
        <w:bottom w:val="none" w:sz="0" w:space="0" w:color="auto"/>
        <w:right w:val="none" w:sz="0" w:space="0" w:color="auto"/>
      </w:divBdr>
    </w:div>
    <w:div w:id="905335459">
      <w:bodyDiv w:val="1"/>
      <w:marLeft w:val="0"/>
      <w:marRight w:val="0"/>
      <w:marTop w:val="0"/>
      <w:marBottom w:val="0"/>
      <w:divBdr>
        <w:top w:val="none" w:sz="0" w:space="0" w:color="auto"/>
        <w:left w:val="none" w:sz="0" w:space="0" w:color="auto"/>
        <w:bottom w:val="none" w:sz="0" w:space="0" w:color="auto"/>
        <w:right w:val="none" w:sz="0" w:space="0" w:color="auto"/>
      </w:divBdr>
    </w:div>
    <w:div w:id="906377208">
      <w:bodyDiv w:val="1"/>
      <w:marLeft w:val="0"/>
      <w:marRight w:val="0"/>
      <w:marTop w:val="0"/>
      <w:marBottom w:val="0"/>
      <w:divBdr>
        <w:top w:val="none" w:sz="0" w:space="0" w:color="auto"/>
        <w:left w:val="none" w:sz="0" w:space="0" w:color="auto"/>
        <w:bottom w:val="none" w:sz="0" w:space="0" w:color="auto"/>
        <w:right w:val="none" w:sz="0" w:space="0" w:color="auto"/>
      </w:divBdr>
    </w:div>
    <w:div w:id="907302483">
      <w:bodyDiv w:val="1"/>
      <w:marLeft w:val="0"/>
      <w:marRight w:val="0"/>
      <w:marTop w:val="0"/>
      <w:marBottom w:val="0"/>
      <w:divBdr>
        <w:top w:val="none" w:sz="0" w:space="0" w:color="auto"/>
        <w:left w:val="none" w:sz="0" w:space="0" w:color="auto"/>
        <w:bottom w:val="none" w:sz="0" w:space="0" w:color="auto"/>
        <w:right w:val="none" w:sz="0" w:space="0" w:color="auto"/>
      </w:divBdr>
    </w:div>
    <w:div w:id="907692104">
      <w:bodyDiv w:val="1"/>
      <w:marLeft w:val="0"/>
      <w:marRight w:val="0"/>
      <w:marTop w:val="0"/>
      <w:marBottom w:val="0"/>
      <w:divBdr>
        <w:top w:val="none" w:sz="0" w:space="0" w:color="auto"/>
        <w:left w:val="none" w:sz="0" w:space="0" w:color="auto"/>
        <w:bottom w:val="none" w:sz="0" w:space="0" w:color="auto"/>
        <w:right w:val="none" w:sz="0" w:space="0" w:color="auto"/>
      </w:divBdr>
    </w:div>
    <w:div w:id="907810287">
      <w:bodyDiv w:val="1"/>
      <w:marLeft w:val="0"/>
      <w:marRight w:val="0"/>
      <w:marTop w:val="0"/>
      <w:marBottom w:val="0"/>
      <w:divBdr>
        <w:top w:val="none" w:sz="0" w:space="0" w:color="auto"/>
        <w:left w:val="none" w:sz="0" w:space="0" w:color="auto"/>
        <w:bottom w:val="none" w:sz="0" w:space="0" w:color="auto"/>
        <w:right w:val="none" w:sz="0" w:space="0" w:color="auto"/>
      </w:divBdr>
      <w:divsChild>
        <w:div w:id="1707679360">
          <w:marLeft w:val="0"/>
          <w:marRight w:val="0"/>
          <w:marTop w:val="0"/>
          <w:marBottom w:val="0"/>
          <w:divBdr>
            <w:top w:val="none" w:sz="0" w:space="0" w:color="auto"/>
            <w:left w:val="none" w:sz="0" w:space="0" w:color="auto"/>
            <w:bottom w:val="none" w:sz="0" w:space="0" w:color="auto"/>
            <w:right w:val="none" w:sz="0" w:space="0" w:color="auto"/>
          </w:divBdr>
          <w:divsChild>
            <w:div w:id="1728995734">
              <w:marLeft w:val="0"/>
              <w:marRight w:val="0"/>
              <w:marTop w:val="0"/>
              <w:marBottom w:val="0"/>
              <w:divBdr>
                <w:top w:val="none" w:sz="0" w:space="0" w:color="auto"/>
                <w:left w:val="none" w:sz="0" w:space="0" w:color="auto"/>
                <w:bottom w:val="none" w:sz="0" w:space="0" w:color="auto"/>
                <w:right w:val="none" w:sz="0" w:space="0" w:color="auto"/>
              </w:divBdr>
              <w:divsChild>
                <w:div w:id="1780565373">
                  <w:marLeft w:val="0"/>
                  <w:marRight w:val="0"/>
                  <w:marTop w:val="0"/>
                  <w:marBottom w:val="0"/>
                  <w:divBdr>
                    <w:top w:val="none" w:sz="0" w:space="0" w:color="auto"/>
                    <w:left w:val="none" w:sz="0" w:space="0" w:color="auto"/>
                    <w:bottom w:val="none" w:sz="0" w:space="0" w:color="auto"/>
                    <w:right w:val="none" w:sz="0" w:space="0" w:color="auto"/>
                  </w:divBdr>
                  <w:divsChild>
                    <w:div w:id="5520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153841">
      <w:bodyDiv w:val="1"/>
      <w:marLeft w:val="0"/>
      <w:marRight w:val="0"/>
      <w:marTop w:val="0"/>
      <w:marBottom w:val="0"/>
      <w:divBdr>
        <w:top w:val="none" w:sz="0" w:space="0" w:color="auto"/>
        <w:left w:val="none" w:sz="0" w:space="0" w:color="auto"/>
        <w:bottom w:val="none" w:sz="0" w:space="0" w:color="auto"/>
        <w:right w:val="none" w:sz="0" w:space="0" w:color="auto"/>
      </w:divBdr>
      <w:divsChild>
        <w:div w:id="802188577">
          <w:marLeft w:val="0"/>
          <w:marRight w:val="0"/>
          <w:marTop w:val="0"/>
          <w:marBottom w:val="0"/>
          <w:divBdr>
            <w:top w:val="none" w:sz="0" w:space="0" w:color="auto"/>
            <w:left w:val="none" w:sz="0" w:space="0" w:color="auto"/>
            <w:bottom w:val="none" w:sz="0" w:space="0" w:color="auto"/>
            <w:right w:val="none" w:sz="0" w:space="0" w:color="auto"/>
          </w:divBdr>
          <w:divsChild>
            <w:div w:id="600182406">
              <w:marLeft w:val="0"/>
              <w:marRight w:val="0"/>
              <w:marTop w:val="0"/>
              <w:marBottom w:val="0"/>
              <w:divBdr>
                <w:top w:val="none" w:sz="0" w:space="0" w:color="auto"/>
                <w:left w:val="none" w:sz="0" w:space="0" w:color="auto"/>
                <w:bottom w:val="none" w:sz="0" w:space="0" w:color="auto"/>
                <w:right w:val="none" w:sz="0" w:space="0" w:color="auto"/>
              </w:divBdr>
              <w:divsChild>
                <w:div w:id="283851828">
                  <w:marLeft w:val="0"/>
                  <w:marRight w:val="0"/>
                  <w:marTop w:val="0"/>
                  <w:marBottom w:val="0"/>
                  <w:divBdr>
                    <w:top w:val="none" w:sz="0" w:space="0" w:color="auto"/>
                    <w:left w:val="none" w:sz="0" w:space="0" w:color="auto"/>
                    <w:bottom w:val="none" w:sz="0" w:space="0" w:color="auto"/>
                    <w:right w:val="none" w:sz="0" w:space="0" w:color="auto"/>
                  </w:divBdr>
                  <w:divsChild>
                    <w:div w:id="8945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272143">
      <w:bodyDiv w:val="1"/>
      <w:marLeft w:val="0"/>
      <w:marRight w:val="0"/>
      <w:marTop w:val="0"/>
      <w:marBottom w:val="0"/>
      <w:divBdr>
        <w:top w:val="none" w:sz="0" w:space="0" w:color="auto"/>
        <w:left w:val="none" w:sz="0" w:space="0" w:color="auto"/>
        <w:bottom w:val="none" w:sz="0" w:space="0" w:color="auto"/>
        <w:right w:val="none" w:sz="0" w:space="0" w:color="auto"/>
      </w:divBdr>
    </w:div>
    <w:div w:id="908996612">
      <w:bodyDiv w:val="1"/>
      <w:marLeft w:val="0"/>
      <w:marRight w:val="0"/>
      <w:marTop w:val="0"/>
      <w:marBottom w:val="0"/>
      <w:divBdr>
        <w:top w:val="none" w:sz="0" w:space="0" w:color="auto"/>
        <w:left w:val="none" w:sz="0" w:space="0" w:color="auto"/>
        <w:bottom w:val="none" w:sz="0" w:space="0" w:color="auto"/>
        <w:right w:val="none" w:sz="0" w:space="0" w:color="auto"/>
      </w:divBdr>
    </w:div>
    <w:div w:id="909850754">
      <w:bodyDiv w:val="1"/>
      <w:marLeft w:val="0"/>
      <w:marRight w:val="0"/>
      <w:marTop w:val="0"/>
      <w:marBottom w:val="0"/>
      <w:divBdr>
        <w:top w:val="none" w:sz="0" w:space="0" w:color="auto"/>
        <w:left w:val="none" w:sz="0" w:space="0" w:color="auto"/>
        <w:bottom w:val="none" w:sz="0" w:space="0" w:color="auto"/>
        <w:right w:val="none" w:sz="0" w:space="0" w:color="auto"/>
      </w:divBdr>
    </w:div>
    <w:div w:id="910970756">
      <w:bodyDiv w:val="1"/>
      <w:marLeft w:val="0"/>
      <w:marRight w:val="0"/>
      <w:marTop w:val="0"/>
      <w:marBottom w:val="0"/>
      <w:divBdr>
        <w:top w:val="none" w:sz="0" w:space="0" w:color="auto"/>
        <w:left w:val="none" w:sz="0" w:space="0" w:color="auto"/>
        <w:bottom w:val="none" w:sz="0" w:space="0" w:color="auto"/>
        <w:right w:val="none" w:sz="0" w:space="0" w:color="auto"/>
      </w:divBdr>
      <w:divsChild>
        <w:div w:id="409542332">
          <w:marLeft w:val="0"/>
          <w:marRight w:val="0"/>
          <w:marTop w:val="0"/>
          <w:marBottom w:val="0"/>
          <w:divBdr>
            <w:top w:val="none" w:sz="0" w:space="0" w:color="auto"/>
            <w:left w:val="none" w:sz="0" w:space="0" w:color="auto"/>
            <w:bottom w:val="none" w:sz="0" w:space="0" w:color="auto"/>
            <w:right w:val="none" w:sz="0" w:space="0" w:color="auto"/>
          </w:divBdr>
          <w:divsChild>
            <w:div w:id="1460610748">
              <w:marLeft w:val="0"/>
              <w:marRight w:val="0"/>
              <w:marTop w:val="0"/>
              <w:marBottom w:val="0"/>
              <w:divBdr>
                <w:top w:val="none" w:sz="0" w:space="0" w:color="auto"/>
                <w:left w:val="none" w:sz="0" w:space="0" w:color="auto"/>
                <w:bottom w:val="none" w:sz="0" w:space="0" w:color="auto"/>
                <w:right w:val="none" w:sz="0" w:space="0" w:color="auto"/>
              </w:divBdr>
              <w:divsChild>
                <w:div w:id="1631741371">
                  <w:marLeft w:val="0"/>
                  <w:marRight w:val="0"/>
                  <w:marTop w:val="0"/>
                  <w:marBottom w:val="0"/>
                  <w:divBdr>
                    <w:top w:val="none" w:sz="0" w:space="0" w:color="auto"/>
                    <w:left w:val="none" w:sz="0" w:space="0" w:color="auto"/>
                    <w:bottom w:val="none" w:sz="0" w:space="0" w:color="auto"/>
                    <w:right w:val="none" w:sz="0" w:space="0" w:color="auto"/>
                  </w:divBdr>
                  <w:divsChild>
                    <w:div w:id="212338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424622">
      <w:bodyDiv w:val="1"/>
      <w:marLeft w:val="0"/>
      <w:marRight w:val="0"/>
      <w:marTop w:val="0"/>
      <w:marBottom w:val="0"/>
      <w:divBdr>
        <w:top w:val="none" w:sz="0" w:space="0" w:color="auto"/>
        <w:left w:val="none" w:sz="0" w:space="0" w:color="auto"/>
        <w:bottom w:val="none" w:sz="0" w:space="0" w:color="auto"/>
        <w:right w:val="none" w:sz="0" w:space="0" w:color="auto"/>
      </w:divBdr>
    </w:div>
    <w:div w:id="911624579">
      <w:bodyDiv w:val="1"/>
      <w:marLeft w:val="0"/>
      <w:marRight w:val="0"/>
      <w:marTop w:val="0"/>
      <w:marBottom w:val="0"/>
      <w:divBdr>
        <w:top w:val="none" w:sz="0" w:space="0" w:color="auto"/>
        <w:left w:val="none" w:sz="0" w:space="0" w:color="auto"/>
        <w:bottom w:val="none" w:sz="0" w:space="0" w:color="auto"/>
        <w:right w:val="none" w:sz="0" w:space="0" w:color="auto"/>
      </w:divBdr>
      <w:divsChild>
        <w:div w:id="651521306">
          <w:marLeft w:val="0"/>
          <w:marRight w:val="0"/>
          <w:marTop w:val="0"/>
          <w:marBottom w:val="0"/>
          <w:divBdr>
            <w:top w:val="none" w:sz="0" w:space="0" w:color="auto"/>
            <w:left w:val="none" w:sz="0" w:space="0" w:color="auto"/>
            <w:bottom w:val="none" w:sz="0" w:space="0" w:color="auto"/>
            <w:right w:val="none" w:sz="0" w:space="0" w:color="auto"/>
          </w:divBdr>
          <w:divsChild>
            <w:div w:id="1161695244">
              <w:marLeft w:val="0"/>
              <w:marRight w:val="0"/>
              <w:marTop w:val="0"/>
              <w:marBottom w:val="0"/>
              <w:divBdr>
                <w:top w:val="none" w:sz="0" w:space="0" w:color="auto"/>
                <w:left w:val="none" w:sz="0" w:space="0" w:color="auto"/>
                <w:bottom w:val="none" w:sz="0" w:space="0" w:color="auto"/>
                <w:right w:val="none" w:sz="0" w:space="0" w:color="auto"/>
              </w:divBdr>
              <w:divsChild>
                <w:div w:id="1320036270">
                  <w:marLeft w:val="0"/>
                  <w:marRight w:val="0"/>
                  <w:marTop w:val="0"/>
                  <w:marBottom w:val="0"/>
                  <w:divBdr>
                    <w:top w:val="none" w:sz="0" w:space="0" w:color="auto"/>
                    <w:left w:val="none" w:sz="0" w:space="0" w:color="auto"/>
                    <w:bottom w:val="none" w:sz="0" w:space="0" w:color="auto"/>
                    <w:right w:val="none" w:sz="0" w:space="0" w:color="auto"/>
                  </w:divBdr>
                  <w:divsChild>
                    <w:div w:id="145078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199499">
      <w:bodyDiv w:val="1"/>
      <w:marLeft w:val="0"/>
      <w:marRight w:val="0"/>
      <w:marTop w:val="0"/>
      <w:marBottom w:val="0"/>
      <w:divBdr>
        <w:top w:val="none" w:sz="0" w:space="0" w:color="auto"/>
        <w:left w:val="none" w:sz="0" w:space="0" w:color="auto"/>
        <w:bottom w:val="none" w:sz="0" w:space="0" w:color="auto"/>
        <w:right w:val="none" w:sz="0" w:space="0" w:color="auto"/>
      </w:divBdr>
    </w:div>
    <w:div w:id="912593230">
      <w:bodyDiv w:val="1"/>
      <w:marLeft w:val="0"/>
      <w:marRight w:val="0"/>
      <w:marTop w:val="0"/>
      <w:marBottom w:val="0"/>
      <w:divBdr>
        <w:top w:val="none" w:sz="0" w:space="0" w:color="auto"/>
        <w:left w:val="none" w:sz="0" w:space="0" w:color="auto"/>
        <w:bottom w:val="none" w:sz="0" w:space="0" w:color="auto"/>
        <w:right w:val="none" w:sz="0" w:space="0" w:color="auto"/>
      </w:divBdr>
    </w:div>
    <w:div w:id="912929394">
      <w:bodyDiv w:val="1"/>
      <w:marLeft w:val="0"/>
      <w:marRight w:val="0"/>
      <w:marTop w:val="0"/>
      <w:marBottom w:val="0"/>
      <w:divBdr>
        <w:top w:val="none" w:sz="0" w:space="0" w:color="auto"/>
        <w:left w:val="none" w:sz="0" w:space="0" w:color="auto"/>
        <w:bottom w:val="none" w:sz="0" w:space="0" w:color="auto"/>
        <w:right w:val="none" w:sz="0" w:space="0" w:color="auto"/>
      </w:divBdr>
    </w:div>
    <w:div w:id="913513311">
      <w:bodyDiv w:val="1"/>
      <w:marLeft w:val="0"/>
      <w:marRight w:val="0"/>
      <w:marTop w:val="0"/>
      <w:marBottom w:val="0"/>
      <w:divBdr>
        <w:top w:val="none" w:sz="0" w:space="0" w:color="auto"/>
        <w:left w:val="none" w:sz="0" w:space="0" w:color="auto"/>
        <w:bottom w:val="none" w:sz="0" w:space="0" w:color="auto"/>
        <w:right w:val="none" w:sz="0" w:space="0" w:color="auto"/>
      </w:divBdr>
    </w:div>
    <w:div w:id="913660107">
      <w:bodyDiv w:val="1"/>
      <w:marLeft w:val="0"/>
      <w:marRight w:val="0"/>
      <w:marTop w:val="0"/>
      <w:marBottom w:val="0"/>
      <w:divBdr>
        <w:top w:val="none" w:sz="0" w:space="0" w:color="auto"/>
        <w:left w:val="none" w:sz="0" w:space="0" w:color="auto"/>
        <w:bottom w:val="none" w:sz="0" w:space="0" w:color="auto"/>
        <w:right w:val="none" w:sz="0" w:space="0" w:color="auto"/>
      </w:divBdr>
    </w:div>
    <w:div w:id="914244321">
      <w:bodyDiv w:val="1"/>
      <w:marLeft w:val="0"/>
      <w:marRight w:val="0"/>
      <w:marTop w:val="0"/>
      <w:marBottom w:val="0"/>
      <w:divBdr>
        <w:top w:val="none" w:sz="0" w:space="0" w:color="auto"/>
        <w:left w:val="none" w:sz="0" w:space="0" w:color="auto"/>
        <w:bottom w:val="none" w:sz="0" w:space="0" w:color="auto"/>
        <w:right w:val="none" w:sz="0" w:space="0" w:color="auto"/>
      </w:divBdr>
    </w:div>
    <w:div w:id="915020099">
      <w:bodyDiv w:val="1"/>
      <w:marLeft w:val="0"/>
      <w:marRight w:val="0"/>
      <w:marTop w:val="0"/>
      <w:marBottom w:val="0"/>
      <w:divBdr>
        <w:top w:val="none" w:sz="0" w:space="0" w:color="auto"/>
        <w:left w:val="none" w:sz="0" w:space="0" w:color="auto"/>
        <w:bottom w:val="none" w:sz="0" w:space="0" w:color="auto"/>
        <w:right w:val="none" w:sz="0" w:space="0" w:color="auto"/>
      </w:divBdr>
      <w:divsChild>
        <w:div w:id="1266157356">
          <w:marLeft w:val="0"/>
          <w:marRight w:val="0"/>
          <w:marTop w:val="0"/>
          <w:marBottom w:val="0"/>
          <w:divBdr>
            <w:top w:val="none" w:sz="0" w:space="0" w:color="auto"/>
            <w:left w:val="none" w:sz="0" w:space="0" w:color="auto"/>
            <w:bottom w:val="none" w:sz="0" w:space="0" w:color="auto"/>
            <w:right w:val="none" w:sz="0" w:space="0" w:color="auto"/>
          </w:divBdr>
          <w:divsChild>
            <w:div w:id="1563709824">
              <w:marLeft w:val="0"/>
              <w:marRight w:val="0"/>
              <w:marTop w:val="0"/>
              <w:marBottom w:val="0"/>
              <w:divBdr>
                <w:top w:val="none" w:sz="0" w:space="0" w:color="auto"/>
                <w:left w:val="none" w:sz="0" w:space="0" w:color="auto"/>
                <w:bottom w:val="none" w:sz="0" w:space="0" w:color="auto"/>
                <w:right w:val="none" w:sz="0" w:space="0" w:color="auto"/>
              </w:divBdr>
              <w:divsChild>
                <w:div w:id="1356955599">
                  <w:marLeft w:val="0"/>
                  <w:marRight w:val="0"/>
                  <w:marTop w:val="0"/>
                  <w:marBottom w:val="0"/>
                  <w:divBdr>
                    <w:top w:val="none" w:sz="0" w:space="0" w:color="auto"/>
                    <w:left w:val="none" w:sz="0" w:space="0" w:color="auto"/>
                    <w:bottom w:val="none" w:sz="0" w:space="0" w:color="auto"/>
                    <w:right w:val="none" w:sz="0" w:space="0" w:color="auto"/>
                  </w:divBdr>
                  <w:divsChild>
                    <w:div w:id="1814172348">
                      <w:marLeft w:val="0"/>
                      <w:marRight w:val="0"/>
                      <w:marTop w:val="0"/>
                      <w:marBottom w:val="0"/>
                      <w:divBdr>
                        <w:top w:val="none" w:sz="0" w:space="0" w:color="auto"/>
                        <w:left w:val="none" w:sz="0" w:space="0" w:color="auto"/>
                        <w:bottom w:val="none" w:sz="0" w:space="0" w:color="auto"/>
                        <w:right w:val="none" w:sz="0" w:space="0" w:color="auto"/>
                      </w:divBdr>
                    </w:div>
                  </w:divsChild>
                </w:div>
                <w:div w:id="1842575388">
                  <w:marLeft w:val="0"/>
                  <w:marRight w:val="0"/>
                  <w:marTop w:val="0"/>
                  <w:marBottom w:val="0"/>
                  <w:divBdr>
                    <w:top w:val="none" w:sz="0" w:space="0" w:color="auto"/>
                    <w:left w:val="none" w:sz="0" w:space="0" w:color="auto"/>
                    <w:bottom w:val="none" w:sz="0" w:space="0" w:color="auto"/>
                    <w:right w:val="none" w:sz="0" w:space="0" w:color="auto"/>
                  </w:divBdr>
                  <w:divsChild>
                    <w:div w:id="114983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34808">
      <w:bodyDiv w:val="1"/>
      <w:marLeft w:val="0"/>
      <w:marRight w:val="0"/>
      <w:marTop w:val="0"/>
      <w:marBottom w:val="0"/>
      <w:divBdr>
        <w:top w:val="none" w:sz="0" w:space="0" w:color="auto"/>
        <w:left w:val="none" w:sz="0" w:space="0" w:color="auto"/>
        <w:bottom w:val="none" w:sz="0" w:space="0" w:color="auto"/>
        <w:right w:val="none" w:sz="0" w:space="0" w:color="auto"/>
      </w:divBdr>
    </w:div>
    <w:div w:id="916015687">
      <w:bodyDiv w:val="1"/>
      <w:marLeft w:val="0"/>
      <w:marRight w:val="0"/>
      <w:marTop w:val="0"/>
      <w:marBottom w:val="0"/>
      <w:divBdr>
        <w:top w:val="none" w:sz="0" w:space="0" w:color="auto"/>
        <w:left w:val="none" w:sz="0" w:space="0" w:color="auto"/>
        <w:bottom w:val="none" w:sz="0" w:space="0" w:color="auto"/>
        <w:right w:val="none" w:sz="0" w:space="0" w:color="auto"/>
      </w:divBdr>
    </w:div>
    <w:div w:id="916136596">
      <w:bodyDiv w:val="1"/>
      <w:marLeft w:val="0"/>
      <w:marRight w:val="0"/>
      <w:marTop w:val="0"/>
      <w:marBottom w:val="0"/>
      <w:divBdr>
        <w:top w:val="none" w:sz="0" w:space="0" w:color="auto"/>
        <w:left w:val="none" w:sz="0" w:space="0" w:color="auto"/>
        <w:bottom w:val="none" w:sz="0" w:space="0" w:color="auto"/>
        <w:right w:val="none" w:sz="0" w:space="0" w:color="auto"/>
      </w:divBdr>
    </w:div>
    <w:div w:id="917132467">
      <w:bodyDiv w:val="1"/>
      <w:marLeft w:val="0"/>
      <w:marRight w:val="0"/>
      <w:marTop w:val="0"/>
      <w:marBottom w:val="0"/>
      <w:divBdr>
        <w:top w:val="none" w:sz="0" w:space="0" w:color="auto"/>
        <w:left w:val="none" w:sz="0" w:space="0" w:color="auto"/>
        <w:bottom w:val="none" w:sz="0" w:space="0" w:color="auto"/>
        <w:right w:val="none" w:sz="0" w:space="0" w:color="auto"/>
      </w:divBdr>
    </w:div>
    <w:div w:id="917252315">
      <w:bodyDiv w:val="1"/>
      <w:marLeft w:val="0"/>
      <w:marRight w:val="0"/>
      <w:marTop w:val="0"/>
      <w:marBottom w:val="0"/>
      <w:divBdr>
        <w:top w:val="none" w:sz="0" w:space="0" w:color="auto"/>
        <w:left w:val="none" w:sz="0" w:space="0" w:color="auto"/>
        <w:bottom w:val="none" w:sz="0" w:space="0" w:color="auto"/>
        <w:right w:val="none" w:sz="0" w:space="0" w:color="auto"/>
      </w:divBdr>
    </w:div>
    <w:div w:id="917518708">
      <w:bodyDiv w:val="1"/>
      <w:marLeft w:val="0"/>
      <w:marRight w:val="0"/>
      <w:marTop w:val="0"/>
      <w:marBottom w:val="0"/>
      <w:divBdr>
        <w:top w:val="none" w:sz="0" w:space="0" w:color="auto"/>
        <w:left w:val="none" w:sz="0" w:space="0" w:color="auto"/>
        <w:bottom w:val="none" w:sz="0" w:space="0" w:color="auto"/>
        <w:right w:val="none" w:sz="0" w:space="0" w:color="auto"/>
      </w:divBdr>
    </w:div>
    <w:div w:id="918052070">
      <w:bodyDiv w:val="1"/>
      <w:marLeft w:val="0"/>
      <w:marRight w:val="0"/>
      <w:marTop w:val="0"/>
      <w:marBottom w:val="0"/>
      <w:divBdr>
        <w:top w:val="none" w:sz="0" w:space="0" w:color="auto"/>
        <w:left w:val="none" w:sz="0" w:space="0" w:color="auto"/>
        <w:bottom w:val="none" w:sz="0" w:space="0" w:color="auto"/>
        <w:right w:val="none" w:sz="0" w:space="0" w:color="auto"/>
      </w:divBdr>
    </w:div>
    <w:div w:id="919174743">
      <w:bodyDiv w:val="1"/>
      <w:marLeft w:val="0"/>
      <w:marRight w:val="0"/>
      <w:marTop w:val="0"/>
      <w:marBottom w:val="0"/>
      <w:divBdr>
        <w:top w:val="none" w:sz="0" w:space="0" w:color="auto"/>
        <w:left w:val="none" w:sz="0" w:space="0" w:color="auto"/>
        <w:bottom w:val="none" w:sz="0" w:space="0" w:color="auto"/>
        <w:right w:val="none" w:sz="0" w:space="0" w:color="auto"/>
      </w:divBdr>
    </w:div>
    <w:div w:id="919294802">
      <w:bodyDiv w:val="1"/>
      <w:marLeft w:val="0"/>
      <w:marRight w:val="0"/>
      <w:marTop w:val="0"/>
      <w:marBottom w:val="0"/>
      <w:divBdr>
        <w:top w:val="none" w:sz="0" w:space="0" w:color="auto"/>
        <w:left w:val="none" w:sz="0" w:space="0" w:color="auto"/>
        <w:bottom w:val="none" w:sz="0" w:space="0" w:color="auto"/>
        <w:right w:val="none" w:sz="0" w:space="0" w:color="auto"/>
      </w:divBdr>
    </w:div>
    <w:div w:id="919489035">
      <w:bodyDiv w:val="1"/>
      <w:marLeft w:val="0"/>
      <w:marRight w:val="0"/>
      <w:marTop w:val="0"/>
      <w:marBottom w:val="0"/>
      <w:divBdr>
        <w:top w:val="none" w:sz="0" w:space="0" w:color="auto"/>
        <w:left w:val="none" w:sz="0" w:space="0" w:color="auto"/>
        <w:bottom w:val="none" w:sz="0" w:space="0" w:color="auto"/>
        <w:right w:val="none" w:sz="0" w:space="0" w:color="auto"/>
      </w:divBdr>
    </w:div>
    <w:div w:id="919603460">
      <w:bodyDiv w:val="1"/>
      <w:marLeft w:val="0"/>
      <w:marRight w:val="0"/>
      <w:marTop w:val="0"/>
      <w:marBottom w:val="0"/>
      <w:divBdr>
        <w:top w:val="none" w:sz="0" w:space="0" w:color="auto"/>
        <w:left w:val="none" w:sz="0" w:space="0" w:color="auto"/>
        <w:bottom w:val="none" w:sz="0" w:space="0" w:color="auto"/>
        <w:right w:val="none" w:sz="0" w:space="0" w:color="auto"/>
      </w:divBdr>
    </w:div>
    <w:div w:id="919754261">
      <w:bodyDiv w:val="1"/>
      <w:marLeft w:val="0"/>
      <w:marRight w:val="0"/>
      <w:marTop w:val="0"/>
      <w:marBottom w:val="0"/>
      <w:divBdr>
        <w:top w:val="none" w:sz="0" w:space="0" w:color="auto"/>
        <w:left w:val="none" w:sz="0" w:space="0" w:color="auto"/>
        <w:bottom w:val="none" w:sz="0" w:space="0" w:color="auto"/>
        <w:right w:val="none" w:sz="0" w:space="0" w:color="auto"/>
      </w:divBdr>
    </w:div>
    <w:div w:id="920412194">
      <w:bodyDiv w:val="1"/>
      <w:marLeft w:val="0"/>
      <w:marRight w:val="0"/>
      <w:marTop w:val="0"/>
      <w:marBottom w:val="0"/>
      <w:divBdr>
        <w:top w:val="none" w:sz="0" w:space="0" w:color="auto"/>
        <w:left w:val="none" w:sz="0" w:space="0" w:color="auto"/>
        <w:bottom w:val="none" w:sz="0" w:space="0" w:color="auto"/>
        <w:right w:val="none" w:sz="0" w:space="0" w:color="auto"/>
      </w:divBdr>
    </w:div>
    <w:div w:id="921186793">
      <w:bodyDiv w:val="1"/>
      <w:marLeft w:val="0"/>
      <w:marRight w:val="0"/>
      <w:marTop w:val="0"/>
      <w:marBottom w:val="0"/>
      <w:divBdr>
        <w:top w:val="none" w:sz="0" w:space="0" w:color="auto"/>
        <w:left w:val="none" w:sz="0" w:space="0" w:color="auto"/>
        <w:bottom w:val="none" w:sz="0" w:space="0" w:color="auto"/>
        <w:right w:val="none" w:sz="0" w:space="0" w:color="auto"/>
      </w:divBdr>
      <w:divsChild>
        <w:div w:id="588123165">
          <w:marLeft w:val="0"/>
          <w:marRight w:val="0"/>
          <w:marTop w:val="0"/>
          <w:marBottom w:val="0"/>
          <w:divBdr>
            <w:top w:val="none" w:sz="0" w:space="0" w:color="auto"/>
            <w:left w:val="none" w:sz="0" w:space="0" w:color="auto"/>
            <w:bottom w:val="none" w:sz="0" w:space="0" w:color="auto"/>
            <w:right w:val="none" w:sz="0" w:space="0" w:color="auto"/>
          </w:divBdr>
          <w:divsChild>
            <w:div w:id="128086615">
              <w:marLeft w:val="0"/>
              <w:marRight w:val="0"/>
              <w:marTop w:val="0"/>
              <w:marBottom w:val="0"/>
              <w:divBdr>
                <w:top w:val="none" w:sz="0" w:space="0" w:color="auto"/>
                <w:left w:val="none" w:sz="0" w:space="0" w:color="auto"/>
                <w:bottom w:val="none" w:sz="0" w:space="0" w:color="auto"/>
                <w:right w:val="none" w:sz="0" w:space="0" w:color="auto"/>
              </w:divBdr>
              <w:divsChild>
                <w:div w:id="920873585">
                  <w:marLeft w:val="0"/>
                  <w:marRight w:val="0"/>
                  <w:marTop w:val="0"/>
                  <w:marBottom w:val="0"/>
                  <w:divBdr>
                    <w:top w:val="none" w:sz="0" w:space="0" w:color="auto"/>
                    <w:left w:val="none" w:sz="0" w:space="0" w:color="auto"/>
                    <w:bottom w:val="none" w:sz="0" w:space="0" w:color="auto"/>
                    <w:right w:val="none" w:sz="0" w:space="0" w:color="auto"/>
                  </w:divBdr>
                  <w:divsChild>
                    <w:div w:id="5168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837449">
      <w:bodyDiv w:val="1"/>
      <w:marLeft w:val="0"/>
      <w:marRight w:val="0"/>
      <w:marTop w:val="0"/>
      <w:marBottom w:val="0"/>
      <w:divBdr>
        <w:top w:val="none" w:sz="0" w:space="0" w:color="auto"/>
        <w:left w:val="none" w:sz="0" w:space="0" w:color="auto"/>
        <w:bottom w:val="none" w:sz="0" w:space="0" w:color="auto"/>
        <w:right w:val="none" w:sz="0" w:space="0" w:color="auto"/>
      </w:divBdr>
      <w:divsChild>
        <w:div w:id="1721321021">
          <w:marLeft w:val="0"/>
          <w:marRight w:val="0"/>
          <w:marTop w:val="0"/>
          <w:marBottom w:val="0"/>
          <w:divBdr>
            <w:top w:val="none" w:sz="0" w:space="0" w:color="auto"/>
            <w:left w:val="none" w:sz="0" w:space="0" w:color="auto"/>
            <w:bottom w:val="none" w:sz="0" w:space="0" w:color="auto"/>
            <w:right w:val="none" w:sz="0" w:space="0" w:color="auto"/>
          </w:divBdr>
          <w:divsChild>
            <w:div w:id="284122272">
              <w:marLeft w:val="0"/>
              <w:marRight w:val="0"/>
              <w:marTop w:val="0"/>
              <w:marBottom w:val="0"/>
              <w:divBdr>
                <w:top w:val="none" w:sz="0" w:space="0" w:color="auto"/>
                <w:left w:val="none" w:sz="0" w:space="0" w:color="auto"/>
                <w:bottom w:val="none" w:sz="0" w:space="0" w:color="auto"/>
                <w:right w:val="none" w:sz="0" w:space="0" w:color="auto"/>
              </w:divBdr>
              <w:divsChild>
                <w:div w:id="1507286500">
                  <w:marLeft w:val="0"/>
                  <w:marRight w:val="0"/>
                  <w:marTop w:val="0"/>
                  <w:marBottom w:val="0"/>
                  <w:divBdr>
                    <w:top w:val="none" w:sz="0" w:space="0" w:color="auto"/>
                    <w:left w:val="none" w:sz="0" w:space="0" w:color="auto"/>
                    <w:bottom w:val="none" w:sz="0" w:space="0" w:color="auto"/>
                    <w:right w:val="none" w:sz="0" w:space="0" w:color="auto"/>
                  </w:divBdr>
                </w:div>
              </w:divsChild>
            </w:div>
            <w:div w:id="566913707">
              <w:marLeft w:val="0"/>
              <w:marRight w:val="0"/>
              <w:marTop w:val="0"/>
              <w:marBottom w:val="0"/>
              <w:divBdr>
                <w:top w:val="none" w:sz="0" w:space="0" w:color="auto"/>
                <w:left w:val="none" w:sz="0" w:space="0" w:color="auto"/>
                <w:bottom w:val="none" w:sz="0" w:space="0" w:color="auto"/>
                <w:right w:val="none" w:sz="0" w:space="0" w:color="auto"/>
              </w:divBdr>
              <w:divsChild>
                <w:div w:id="351690019">
                  <w:marLeft w:val="0"/>
                  <w:marRight w:val="0"/>
                  <w:marTop w:val="0"/>
                  <w:marBottom w:val="0"/>
                  <w:divBdr>
                    <w:top w:val="none" w:sz="0" w:space="0" w:color="auto"/>
                    <w:left w:val="none" w:sz="0" w:space="0" w:color="auto"/>
                    <w:bottom w:val="none" w:sz="0" w:space="0" w:color="auto"/>
                    <w:right w:val="none" w:sz="0" w:space="0" w:color="auto"/>
                  </w:divBdr>
                </w:div>
              </w:divsChild>
            </w:div>
            <w:div w:id="1662151850">
              <w:marLeft w:val="0"/>
              <w:marRight w:val="0"/>
              <w:marTop w:val="0"/>
              <w:marBottom w:val="0"/>
              <w:divBdr>
                <w:top w:val="none" w:sz="0" w:space="0" w:color="auto"/>
                <w:left w:val="none" w:sz="0" w:space="0" w:color="auto"/>
                <w:bottom w:val="none" w:sz="0" w:space="0" w:color="auto"/>
                <w:right w:val="none" w:sz="0" w:space="0" w:color="auto"/>
              </w:divBdr>
              <w:divsChild>
                <w:div w:id="119761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030622">
      <w:bodyDiv w:val="1"/>
      <w:marLeft w:val="0"/>
      <w:marRight w:val="0"/>
      <w:marTop w:val="0"/>
      <w:marBottom w:val="0"/>
      <w:divBdr>
        <w:top w:val="none" w:sz="0" w:space="0" w:color="auto"/>
        <w:left w:val="none" w:sz="0" w:space="0" w:color="auto"/>
        <w:bottom w:val="none" w:sz="0" w:space="0" w:color="auto"/>
        <w:right w:val="none" w:sz="0" w:space="0" w:color="auto"/>
      </w:divBdr>
    </w:div>
    <w:div w:id="923490808">
      <w:bodyDiv w:val="1"/>
      <w:marLeft w:val="0"/>
      <w:marRight w:val="0"/>
      <w:marTop w:val="0"/>
      <w:marBottom w:val="0"/>
      <w:divBdr>
        <w:top w:val="none" w:sz="0" w:space="0" w:color="auto"/>
        <w:left w:val="none" w:sz="0" w:space="0" w:color="auto"/>
        <w:bottom w:val="none" w:sz="0" w:space="0" w:color="auto"/>
        <w:right w:val="none" w:sz="0" w:space="0" w:color="auto"/>
      </w:divBdr>
    </w:div>
    <w:div w:id="924336407">
      <w:bodyDiv w:val="1"/>
      <w:marLeft w:val="0"/>
      <w:marRight w:val="0"/>
      <w:marTop w:val="0"/>
      <w:marBottom w:val="0"/>
      <w:divBdr>
        <w:top w:val="none" w:sz="0" w:space="0" w:color="auto"/>
        <w:left w:val="none" w:sz="0" w:space="0" w:color="auto"/>
        <w:bottom w:val="none" w:sz="0" w:space="0" w:color="auto"/>
        <w:right w:val="none" w:sz="0" w:space="0" w:color="auto"/>
      </w:divBdr>
      <w:divsChild>
        <w:div w:id="872577434">
          <w:marLeft w:val="0"/>
          <w:marRight w:val="0"/>
          <w:marTop w:val="0"/>
          <w:marBottom w:val="0"/>
          <w:divBdr>
            <w:top w:val="none" w:sz="0" w:space="0" w:color="auto"/>
            <w:left w:val="none" w:sz="0" w:space="0" w:color="auto"/>
            <w:bottom w:val="none" w:sz="0" w:space="0" w:color="auto"/>
            <w:right w:val="none" w:sz="0" w:space="0" w:color="auto"/>
          </w:divBdr>
          <w:divsChild>
            <w:div w:id="574752012">
              <w:marLeft w:val="0"/>
              <w:marRight w:val="0"/>
              <w:marTop w:val="0"/>
              <w:marBottom w:val="0"/>
              <w:divBdr>
                <w:top w:val="none" w:sz="0" w:space="0" w:color="auto"/>
                <w:left w:val="none" w:sz="0" w:space="0" w:color="auto"/>
                <w:bottom w:val="none" w:sz="0" w:space="0" w:color="auto"/>
                <w:right w:val="none" w:sz="0" w:space="0" w:color="auto"/>
              </w:divBdr>
              <w:divsChild>
                <w:div w:id="433671861">
                  <w:marLeft w:val="0"/>
                  <w:marRight w:val="0"/>
                  <w:marTop w:val="0"/>
                  <w:marBottom w:val="0"/>
                  <w:divBdr>
                    <w:top w:val="none" w:sz="0" w:space="0" w:color="auto"/>
                    <w:left w:val="none" w:sz="0" w:space="0" w:color="auto"/>
                    <w:bottom w:val="none" w:sz="0" w:space="0" w:color="auto"/>
                    <w:right w:val="none" w:sz="0" w:space="0" w:color="auto"/>
                  </w:divBdr>
                  <w:divsChild>
                    <w:div w:id="20282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385918">
      <w:bodyDiv w:val="1"/>
      <w:marLeft w:val="0"/>
      <w:marRight w:val="0"/>
      <w:marTop w:val="0"/>
      <w:marBottom w:val="0"/>
      <w:divBdr>
        <w:top w:val="none" w:sz="0" w:space="0" w:color="auto"/>
        <w:left w:val="none" w:sz="0" w:space="0" w:color="auto"/>
        <w:bottom w:val="none" w:sz="0" w:space="0" w:color="auto"/>
        <w:right w:val="none" w:sz="0" w:space="0" w:color="auto"/>
      </w:divBdr>
      <w:divsChild>
        <w:div w:id="554969983">
          <w:marLeft w:val="0"/>
          <w:marRight w:val="0"/>
          <w:marTop w:val="0"/>
          <w:marBottom w:val="0"/>
          <w:divBdr>
            <w:top w:val="none" w:sz="0" w:space="0" w:color="auto"/>
            <w:left w:val="none" w:sz="0" w:space="0" w:color="auto"/>
            <w:bottom w:val="none" w:sz="0" w:space="0" w:color="auto"/>
            <w:right w:val="none" w:sz="0" w:space="0" w:color="auto"/>
          </w:divBdr>
          <w:divsChild>
            <w:div w:id="7147642">
              <w:marLeft w:val="0"/>
              <w:marRight w:val="0"/>
              <w:marTop w:val="0"/>
              <w:marBottom w:val="0"/>
              <w:divBdr>
                <w:top w:val="none" w:sz="0" w:space="0" w:color="auto"/>
                <w:left w:val="none" w:sz="0" w:space="0" w:color="auto"/>
                <w:bottom w:val="none" w:sz="0" w:space="0" w:color="auto"/>
                <w:right w:val="none" w:sz="0" w:space="0" w:color="auto"/>
              </w:divBdr>
              <w:divsChild>
                <w:div w:id="1311668586">
                  <w:marLeft w:val="0"/>
                  <w:marRight w:val="0"/>
                  <w:marTop w:val="0"/>
                  <w:marBottom w:val="0"/>
                  <w:divBdr>
                    <w:top w:val="none" w:sz="0" w:space="0" w:color="auto"/>
                    <w:left w:val="none" w:sz="0" w:space="0" w:color="auto"/>
                    <w:bottom w:val="none" w:sz="0" w:space="0" w:color="auto"/>
                    <w:right w:val="none" w:sz="0" w:space="0" w:color="auto"/>
                  </w:divBdr>
                  <w:divsChild>
                    <w:div w:id="17095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159743">
      <w:bodyDiv w:val="1"/>
      <w:marLeft w:val="0"/>
      <w:marRight w:val="0"/>
      <w:marTop w:val="0"/>
      <w:marBottom w:val="0"/>
      <w:divBdr>
        <w:top w:val="none" w:sz="0" w:space="0" w:color="auto"/>
        <w:left w:val="none" w:sz="0" w:space="0" w:color="auto"/>
        <w:bottom w:val="none" w:sz="0" w:space="0" w:color="auto"/>
        <w:right w:val="none" w:sz="0" w:space="0" w:color="auto"/>
      </w:divBdr>
    </w:div>
    <w:div w:id="927347488">
      <w:bodyDiv w:val="1"/>
      <w:marLeft w:val="0"/>
      <w:marRight w:val="0"/>
      <w:marTop w:val="0"/>
      <w:marBottom w:val="0"/>
      <w:divBdr>
        <w:top w:val="none" w:sz="0" w:space="0" w:color="auto"/>
        <w:left w:val="none" w:sz="0" w:space="0" w:color="auto"/>
        <w:bottom w:val="none" w:sz="0" w:space="0" w:color="auto"/>
        <w:right w:val="none" w:sz="0" w:space="0" w:color="auto"/>
      </w:divBdr>
    </w:div>
    <w:div w:id="928580918">
      <w:bodyDiv w:val="1"/>
      <w:marLeft w:val="0"/>
      <w:marRight w:val="0"/>
      <w:marTop w:val="0"/>
      <w:marBottom w:val="0"/>
      <w:divBdr>
        <w:top w:val="none" w:sz="0" w:space="0" w:color="auto"/>
        <w:left w:val="none" w:sz="0" w:space="0" w:color="auto"/>
        <w:bottom w:val="none" w:sz="0" w:space="0" w:color="auto"/>
        <w:right w:val="none" w:sz="0" w:space="0" w:color="auto"/>
      </w:divBdr>
    </w:div>
    <w:div w:id="928655938">
      <w:bodyDiv w:val="1"/>
      <w:marLeft w:val="0"/>
      <w:marRight w:val="0"/>
      <w:marTop w:val="0"/>
      <w:marBottom w:val="0"/>
      <w:divBdr>
        <w:top w:val="none" w:sz="0" w:space="0" w:color="auto"/>
        <w:left w:val="none" w:sz="0" w:space="0" w:color="auto"/>
        <w:bottom w:val="none" w:sz="0" w:space="0" w:color="auto"/>
        <w:right w:val="none" w:sz="0" w:space="0" w:color="auto"/>
      </w:divBdr>
    </w:div>
    <w:div w:id="931940258">
      <w:bodyDiv w:val="1"/>
      <w:marLeft w:val="0"/>
      <w:marRight w:val="0"/>
      <w:marTop w:val="0"/>
      <w:marBottom w:val="0"/>
      <w:divBdr>
        <w:top w:val="none" w:sz="0" w:space="0" w:color="auto"/>
        <w:left w:val="none" w:sz="0" w:space="0" w:color="auto"/>
        <w:bottom w:val="none" w:sz="0" w:space="0" w:color="auto"/>
        <w:right w:val="none" w:sz="0" w:space="0" w:color="auto"/>
      </w:divBdr>
    </w:div>
    <w:div w:id="932937601">
      <w:bodyDiv w:val="1"/>
      <w:marLeft w:val="0"/>
      <w:marRight w:val="0"/>
      <w:marTop w:val="0"/>
      <w:marBottom w:val="0"/>
      <w:divBdr>
        <w:top w:val="none" w:sz="0" w:space="0" w:color="auto"/>
        <w:left w:val="none" w:sz="0" w:space="0" w:color="auto"/>
        <w:bottom w:val="none" w:sz="0" w:space="0" w:color="auto"/>
        <w:right w:val="none" w:sz="0" w:space="0" w:color="auto"/>
      </w:divBdr>
    </w:div>
    <w:div w:id="933588586">
      <w:bodyDiv w:val="1"/>
      <w:marLeft w:val="0"/>
      <w:marRight w:val="0"/>
      <w:marTop w:val="0"/>
      <w:marBottom w:val="0"/>
      <w:divBdr>
        <w:top w:val="none" w:sz="0" w:space="0" w:color="auto"/>
        <w:left w:val="none" w:sz="0" w:space="0" w:color="auto"/>
        <w:bottom w:val="none" w:sz="0" w:space="0" w:color="auto"/>
        <w:right w:val="none" w:sz="0" w:space="0" w:color="auto"/>
      </w:divBdr>
    </w:div>
    <w:div w:id="933979707">
      <w:bodyDiv w:val="1"/>
      <w:marLeft w:val="0"/>
      <w:marRight w:val="0"/>
      <w:marTop w:val="0"/>
      <w:marBottom w:val="0"/>
      <w:divBdr>
        <w:top w:val="none" w:sz="0" w:space="0" w:color="auto"/>
        <w:left w:val="none" w:sz="0" w:space="0" w:color="auto"/>
        <w:bottom w:val="none" w:sz="0" w:space="0" w:color="auto"/>
        <w:right w:val="none" w:sz="0" w:space="0" w:color="auto"/>
      </w:divBdr>
    </w:div>
    <w:div w:id="937056801">
      <w:bodyDiv w:val="1"/>
      <w:marLeft w:val="0"/>
      <w:marRight w:val="0"/>
      <w:marTop w:val="0"/>
      <w:marBottom w:val="0"/>
      <w:divBdr>
        <w:top w:val="none" w:sz="0" w:space="0" w:color="auto"/>
        <w:left w:val="none" w:sz="0" w:space="0" w:color="auto"/>
        <w:bottom w:val="none" w:sz="0" w:space="0" w:color="auto"/>
        <w:right w:val="none" w:sz="0" w:space="0" w:color="auto"/>
      </w:divBdr>
    </w:div>
    <w:div w:id="937716054">
      <w:bodyDiv w:val="1"/>
      <w:marLeft w:val="0"/>
      <w:marRight w:val="0"/>
      <w:marTop w:val="0"/>
      <w:marBottom w:val="0"/>
      <w:divBdr>
        <w:top w:val="none" w:sz="0" w:space="0" w:color="auto"/>
        <w:left w:val="none" w:sz="0" w:space="0" w:color="auto"/>
        <w:bottom w:val="none" w:sz="0" w:space="0" w:color="auto"/>
        <w:right w:val="none" w:sz="0" w:space="0" w:color="auto"/>
      </w:divBdr>
    </w:div>
    <w:div w:id="938294664">
      <w:bodyDiv w:val="1"/>
      <w:marLeft w:val="0"/>
      <w:marRight w:val="0"/>
      <w:marTop w:val="0"/>
      <w:marBottom w:val="0"/>
      <w:divBdr>
        <w:top w:val="none" w:sz="0" w:space="0" w:color="auto"/>
        <w:left w:val="none" w:sz="0" w:space="0" w:color="auto"/>
        <w:bottom w:val="none" w:sz="0" w:space="0" w:color="auto"/>
        <w:right w:val="none" w:sz="0" w:space="0" w:color="auto"/>
      </w:divBdr>
    </w:div>
    <w:div w:id="938610041">
      <w:bodyDiv w:val="1"/>
      <w:marLeft w:val="0"/>
      <w:marRight w:val="0"/>
      <w:marTop w:val="0"/>
      <w:marBottom w:val="0"/>
      <w:divBdr>
        <w:top w:val="none" w:sz="0" w:space="0" w:color="auto"/>
        <w:left w:val="none" w:sz="0" w:space="0" w:color="auto"/>
        <w:bottom w:val="none" w:sz="0" w:space="0" w:color="auto"/>
        <w:right w:val="none" w:sz="0" w:space="0" w:color="auto"/>
      </w:divBdr>
    </w:div>
    <w:div w:id="939726837">
      <w:bodyDiv w:val="1"/>
      <w:marLeft w:val="0"/>
      <w:marRight w:val="0"/>
      <w:marTop w:val="0"/>
      <w:marBottom w:val="0"/>
      <w:divBdr>
        <w:top w:val="none" w:sz="0" w:space="0" w:color="auto"/>
        <w:left w:val="none" w:sz="0" w:space="0" w:color="auto"/>
        <w:bottom w:val="none" w:sz="0" w:space="0" w:color="auto"/>
        <w:right w:val="none" w:sz="0" w:space="0" w:color="auto"/>
      </w:divBdr>
    </w:div>
    <w:div w:id="940379132">
      <w:bodyDiv w:val="1"/>
      <w:marLeft w:val="0"/>
      <w:marRight w:val="0"/>
      <w:marTop w:val="0"/>
      <w:marBottom w:val="0"/>
      <w:divBdr>
        <w:top w:val="none" w:sz="0" w:space="0" w:color="auto"/>
        <w:left w:val="none" w:sz="0" w:space="0" w:color="auto"/>
        <w:bottom w:val="none" w:sz="0" w:space="0" w:color="auto"/>
        <w:right w:val="none" w:sz="0" w:space="0" w:color="auto"/>
      </w:divBdr>
    </w:div>
    <w:div w:id="941494739">
      <w:bodyDiv w:val="1"/>
      <w:marLeft w:val="0"/>
      <w:marRight w:val="0"/>
      <w:marTop w:val="0"/>
      <w:marBottom w:val="0"/>
      <w:divBdr>
        <w:top w:val="none" w:sz="0" w:space="0" w:color="auto"/>
        <w:left w:val="none" w:sz="0" w:space="0" w:color="auto"/>
        <w:bottom w:val="none" w:sz="0" w:space="0" w:color="auto"/>
        <w:right w:val="none" w:sz="0" w:space="0" w:color="auto"/>
      </w:divBdr>
    </w:div>
    <w:div w:id="941886080">
      <w:bodyDiv w:val="1"/>
      <w:marLeft w:val="0"/>
      <w:marRight w:val="0"/>
      <w:marTop w:val="0"/>
      <w:marBottom w:val="0"/>
      <w:divBdr>
        <w:top w:val="none" w:sz="0" w:space="0" w:color="auto"/>
        <w:left w:val="none" w:sz="0" w:space="0" w:color="auto"/>
        <w:bottom w:val="none" w:sz="0" w:space="0" w:color="auto"/>
        <w:right w:val="none" w:sz="0" w:space="0" w:color="auto"/>
      </w:divBdr>
    </w:div>
    <w:div w:id="942997614">
      <w:bodyDiv w:val="1"/>
      <w:marLeft w:val="0"/>
      <w:marRight w:val="0"/>
      <w:marTop w:val="0"/>
      <w:marBottom w:val="0"/>
      <w:divBdr>
        <w:top w:val="none" w:sz="0" w:space="0" w:color="auto"/>
        <w:left w:val="none" w:sz="0" w:space="0" w:color="auto"/>
        <w:bottom w:val="none" w:sz="0" w:space="0" w:color="auto"/>
        <w:right w:val="none" w:sz="0" w:space="0" w:color="auto"/>
      </w:divBdr>
      <w:divsChild>
        <w:div w:id="1965891007">
          <w:marLeft w:val="0"/>
          <w:marRight w:val="0"/>
          <w:marTop w:val="0"/>
          <w:marBottom w:val="0"/>
          <w:divBdr>
            <w:top w:val="none" w:sz="0" w:space="0" w:color="auto"/>
            <w:left w:val="none" w:sz="0" w:space="0" w:color="auto"/>
            <w:bottom w:val="none" w:sz="0" w:space="0" w:color="auto"/>
            <w:right w:val="none" w:sz="0" w:space="0" w:color="auto"/>
          </w:divBdr>
          <w:divsChild>
            <w:div w:id="224292811">
              <w:marLeft w:val="0"/>
              <w:marRight w:val="0"/>
              <w:marTop w:val="0"/>
              <w:marBottom w:val="0"/>
              <w:divBdr>
                <w:top w:val="none" w:sz="0" w:space="0" w:color="auto"/>
                <w:left w:val="none" w:sz="0" w:space="0" w:color="auto"/>
                <w:bottom w:val="none" w:sz="0" w:space="0" w:color="auto"/>
                <w:right w:val="none" w:sz="0" w:space="0" w:color="auto"/>
              </w:divBdr>
              <w:divsChild>
                <w:div w:id="2037415455">
                  <w:marLeft w:val="0"/>
                  <w:marRight w:val="0"/>
                  <w:marTop w:val="0"/>
                  <w:marBottom w:val="0"/>
                  <w:divBdr>
                    <w:top w:val="none" w:sz="0" w:space="0" w:color="auto"/>
                    <w:left w:val="none" w:sz="0" w:space="0" w:color="auto"/>
                    <w:bottom w:val="none" w:sz="0" w:space="0" w:color="auto"/>
                    <w:right w:val="none" w:sz="0" w:space="0" w:color="auto"/>
                  </w:divBdr>
                  <w:divsChild>
                    <w:div w:id="188718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003289">
      <w:bodyDiv w:val="1"/>
      <w:marLeft w:val="0"/>
      <w:marRight w:val="0"/>
      <w:marTop w:val="0"/>
      <w:marBottom w:val="0"/>
      <w:divBdr>
        <w:top w:val="none" w:sz="0" w:space="0" w:color="auto"/>
        <w:left w:val="none" w:sz="0" w:space="0" w:color="auto"/>
        <w:bottom w:val="none" w:sz="0" w:space="0" w:color="auto"/>
        <w:right w:val="none" w:sz="0" w:space="0" w:color="auto"/>
      </w:divBdr>
    </w:div>
    <w:div w:id="944192132">
      <w:bodyDiv w:val="1"/>
      <w:marLeft w:val="0"/>
      <w:marRight w:val="0"/>
      <w:marTop w:val="0"/>
      <w:marBottom w:val="0"/>
      <w:divBdr>
        <w:top w:val="none" w:sz="0" w:space="0" w:color="auto"/>
        <w:left w:val="none" w:sz="0" w:space="0" w:color="auto"/>
        <w:bottom w:val="none" w:sz="0" w:space="0" w:color="auto"/>
        <w:right w:val="none" w:sz="0" w:space="0" w:color="auto"/>
      </w:divBdr>
    </w:div>
    <w:div w:id="944768517">
      <w:bodyDiv w:val="1"/>
      <w:marLeft w:val="0"/>
      <w:marRight w:val="0"/>
      <w:marTop w:val="0"/>
      <w:marBottom w:val="0"/>
      <w:divBdr>
        <w:top w:val="none" w:sz="0" w:space="0" w:color="auto"/>
        <w:left w:val="none" w:sz="0" w:space="0" w:color="auto"/>
        <w:bottom w:val="none" w:sz="0" w:space="0" w:color="auto"/>
        <w:right w:val="none" w:sz="0" w:space="0" w:color="auto"/>
      </w:divBdr>
    </w:div>
    <w:div w:id="944924405">
      <w:bodyDiv w:val="1"/>
      <w:marLeft w:val="0"/>
      <w:marRight w:val="0"/>
      <w:marTop w:val="0"/>
      <w:marBottom w:val="0"/>
      <w:divBdr>
        <w:top w:val="none" w:sz="0" w:space="0" w:color="auto"/>
        <w:left w:val="none" w:sz="0" w:space="0" w:color="auto"/>
        <w:bottom w:val="none" w:sz="0" w:space="0" w:color="auto"/>
        <w:right w:val="none" w:sz="0" w:space="0" w:color="auto"/>
      </w:divBdr>
    </w:div>
    <w:div w:id="947080441">
      <w:bodyDiv w:val="1"/>
      <w:marLeft w:val="0"/>
      <w:marRight w:val="0"/>
      <w:marTop w:val="0"/>
      <w:marBottom w:val="0"/>
      <w:divBdr>
        <w:top w:val="none" w:sz="0" w:space="0" w:color="auto"/>
        <w:left w:val="none" w:sz="0" w:space="0" w:color="auto"/>
        <w:bottom w:val="none" w:sz="0" w:space="0" w:color="auto"/>
        <w:right w:val="none" w:sz="0" w:space="0" w:color="auto"/>
      </w:divBdr>
      <w:divsChild>
        <w:div w:id="1895461671">
          <w:marLeft w:val="0"/>
          <w:marRight w:val="0"/>
          <w:marTop w:val="0"/>
          <w:marBottom w:val="0"/>
          <w:divBdr>
            <w:top w:val="none" w:sz="0" w:space="0" w:color="auto"/>
            <w:left w:val="none" w:sz="0" w:space="0" w:color="auto"/>
            <w:bottom w:val="none" w:sz="0" w:space="0" w:color="auto"/>
            <w:right w:val="none" w:sz="0" w:space="0" w:color="auto"/>
          </w:divBdr>
          <w:divsChild>
            <w:div w:id="1035080745">
              <w:marLeft w:val="0"/>
              <w:marRight w:val="0"/>
              <w:marTop w:val="0"/>
              <w:marBottom w:val="0"/>
              <w:divBdr>
                <w:top w:val="none" w:sz="0" w:space="0" w:color="auto"/>
                <w:left w:val="none" w:sz="0" w:space="0" w:color="auto"/>
                <w:bottom w:val="none" w:sz="0" w:space="0" w:color="auto"/>
                <w:right w:val="none" w:sz="0" w:space="0" w:color="auto"/>
              </w:divBdr>
              <w:divsChild>
                <w:div w:id="1750033140">
                  <w:marLeft w:val="0"/>
                  <w:marRight w:val="0"/>
                  <w:marTop w:val="0"/>
                  <w:marBottom w:val="0"/>
                  <w:divBdr>
                    <w:top w:val="none" w:sz="0" w:space="0" w:color="auto"/>
                    <w:left w:val="none" w:sz="0" w:space="0" w:color="auto"/>
                    <w:bottom w:val="none" w:sz="0" w:space="0" w:color="auto"/>
                    <w:right w:val="none" w:sz="0" w:space="0" w:color="auto"/>
                  </w:divBdr>
                  <w:divsChild>
                    <w:div w:id="16323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201245">
      <w:bodyDiv w:val="1"/>
      <w:marLeft w:val="0"/>
      <w:marRight w:val="0"/>
      <w:marTop w:val="0"/>
      <w:marBottom w:val="0"/>
      <w:divBdr>
        <w:top w:val="none" w:sz="0" w:space="0" w:color="auto"/>
        <w:left w:val="none" w:sz="0" w:space="0" w:color="auto"/>
        <w:bottom w:val="none" w:sz="0" w:space="0" w:color="auto"/>
        <w:right w:val="none" w:sz="0" w:space="0" w:color="auto"/>
      </w:divBdr>
    </w:div>
    <w:div w:id="947353920">
      <w:bodyDiv w:val="1"/>
      <w:marLeft w:val="0"/>
      <w:marRight w:val="0"/>
      <w:marTop w:val="0"/>
      <w:marBottom w:val="0"/>
      <w:divBdr>
        <w:top w:val="none" w:sz="0" w:space="0" w:color="auto"/>
        <w:left w:val="none" w:sz="0" w:space="0" w:color="auto"/>
        <w:bottom w:val="none" w:sz="0" w:space="0" w:color="auto"/>
        <w:right w:val="none" w:sz="0" w:space="0" w:color="auto"/>
      </w:divBdr>
    </w:div>
    <w:div w:id="947471284">
      <w:bodyDiv w:val="1"/>
      <w:marLeft w:val="0"/>
      <w:marRight w:val="0"/>
      <w:marTop w:val="0"/>
      <w:marBottom w:val="0"/>
      <w:divBdr>
        <w:top w:val="none" w:sz="0" w:space="0" w:color="auto"/>
        <w:left w:val="none" w:sz="0" w:space="0" w:color="auto"/>
        <w:bottom w:val="none" w:sz="0" w:space="0" w:color="auto"/>
        <w:right w:val="none" w:sz="0" w:space="0" w:color="auto"/>
      </w:divBdr>
    </w:div>
    <w:div w:id="947662199">
      <w:bodyDiv w:val="1"/>
      <w:marLeft w:val="0"/>
      <w:marRight w:val="0"/>
      <w:marTop w:val="0"/>
      <w:marBottom w:val="0"/>
      <w:divBdr>
        <w:top w:val="none" w:sz="0" w:space="0" w:color="auto"/>
        <w:left w:val="none" w:sz="0" w:space="0" w:color="auto"/>
        <w:bottom w:val="none" w:sz="0" w:space="0" w:color="auto"/>
        <w:right w:val="none" w:sz="0" w:space="0" w:color="auto"/>
      </w:divBdr>
    </w:div>
    <w:div w:id="947736080">
      <w:bodyDiv w:val="1"/>
      <w:marLeft w:val="0"/>
      <w:marRight w:val="0"/>
      <w:marTop w:val="0"/>
      <w:marBottom w:val="0"/>
      <w:divBdr>
        <w:top w:val="none" w:sz="0" w:space="0" w:color="auto"/>
        <w:left w:val="none" w:sz="0" w:space="0" w:color="auto"/>
        <w:bottom w:val="none" w:sz="0" w:space="0" w:color="auto"/>
        <w:right w:val="none" w:sz="0" w:space="0" w:color="auto"/>
      </w:divBdr>
    </w:div>
    <w:div w:id="949093496">
      <w:bodyDiv w:val="1"/>
      <w:marLeft w:val="0"/>
      <w:marRight w:val="0"/>
      <w:marTop w:val="0"/>
      <w:marBottom w:val="0"/>
      <w:divBdr>
        <w:top w:val="none" w:sz="0" w:space="0" w:color="auto"/>
        <w:left w:val="none" w:sz="0" w:space="0" w:color="auto"/>
        <w:bottom w:val="none" w:sz="0" w:space="0" w:color="auto"/>
        <w:right w:val="none" w:sz="0" w:space="0" w:color="auto"/>
      </w:divBdr>
    </w:div>
    <w:div w:id="949318851">
      <w:bodyDiv w:val="1"/>
      <w:marLeft w:val="0"/>
      <w:marRight w:val="0"/>
      <w:marTop w:val="0"/>
      <w:marBottom w:val="0"/>
      <w:divBdr>
        <w:top w:val="none" w:sz="0" w:space="0" w:color="auto"/>
        <w:left w:val="none" w:sz="0" w:space="0" w:color="auto"/>
        <w:bottom w:val="none" w:sz="0" w:space="0" w:color="auto"/>
        <w:right w:val="none" w:sz="0" w:space="0" w:color="auto"/>
      </w:divBdr>
    </w:div>
    <w:div w:id="950475383">
      <w:bodyDiv w:val="1"/>
      <w:marLeft w:val="0"/>
      <w:marRight w:val="0"/>
      <w:marTop w:val="0"/>
      <w:marBottom w:val="0"/>
      <w:divBdr>
        <w:top w:val="none" w:sz="0" w:space="0" w:color="auto"/>
        <w:left w:val="none" w:sz="0" w:space="0" w:color="auto"/>
        <w:bottom w:val="none" w:sz="0" w:space="0" w:color="auto"/>
        <w:right w:val="none" w:sz="0" w:space="0" w:color="auto"/>
      </w:divBdr>
    </w:div>
    <w:div w:id="950622465">
      <w:bodyDiv w:val="1"/>
      <w:marLeft w:val="0"/>
      <w:marRight w:val="0"/>
      <w:marTop w:val="0"/>
      <w:marBottom w:val="0"/>
      <w:divBdr>
        <w:top w:val="none" w:sz="0" w:space="0" w:color="auto"/>
        <w:left w:val="none" w:sz="0" w:space="0" w:color="auto"/>
        <w:bottom w:val="none" w:sz="0" w:space="0" w:color="auto"/>
        <w:right w:val="none" w:sz="0" w:space="0" w:color="auto"/>
      </w:divBdr>
    </w:div>
    <w:div w:id="951009996">
      <w:bodyDiv w:val="1"/>
      <w:marLeft w:val="0"/>
      <w:marRight w:val="0"/>
      <w:marTop w:val="0"/>
      <w:marBottom w:val="0"/>
      <w:divBdr>
        <w:top w:val="none" w:sz="0" w:space="0" w:color="auto"/>
        <w:left w:val="none" w:sz="0" w:space="0" w:color="auto"/>
        <w:bottom w:val="none" w:sz="0" w:space="0" w:color="auto"/>
        <w:right w:val="none" w:sz="0" w:space="0" w:color="auto"/>
      </w:divBdr>
    </w:div>
    <w:div w:id="951202246">
      <w:bodyDiv w:val="1"/>
      <w:marLeft w:val="0"/>
      <w:marRight w:val="0"/>
      <w:marTop w:val="0"/>
      <w:marBottom w:val="0"/>
      <w:divBdr>
        <w:top w:val="none" w:sz="0" w:space="0" w:color="auto"/>
        <w:left w:val="none" w:sz="0" w:space="0" w:color="auto"/>
        <w:bottom w:val="none" w:sz="0" w:space="0" w:color="auto"/>
        <w:right w:val="none" w:sz="0" w:space="0" w:color="auto"/>
      </w:divBdr>
    </w:div>
    <w:div w:id="953705724">
      <w:bodyDiv w:val="1"/>
      <w:marLeft w:val="0"/>
      <w:marRight w:val="0"/>
      <w:marTop w:val="0"/>
      <w:marBottom w:val="0"/>
      <w:divBdr>
        <w:top w:val="none" w:sz="0" w:space="0" w:color="auto"/>
        <w:left w:val="none" w:sz="0" w:space="0" w:color="auto"/>
        <w:bottom w:val="none" w:sz="0" w:space="0" w:color="auto"/>
        <w:right w:val="none" w:sz="0" w:space="0" w:color="auto"/>
      </w:divBdr>
    </w:div>
    <w:div w:id="954291554">
      <w:bodyDiv w:val="1"/>
      <w:marLeft w:val="0"/>
      <w:marRight w:val="0"/>
      <w:marTop w:val="0"/>
      <w:marBottom w:val="0"/>
      <w:divBdr>
        <w:top w:val="none" w:sz="0" w:space="0" w:color="auto"/>
        <w:left w:val="none" w:sz="0" w:space="0" w:color="auto"/>
        <w:bottom w:val="none" w:sz="0" w:space="0" w:color="auto"/>
        <w:right w:val="none" w:sz="0" w:space="0" w:color="auto"/>
      </w:divBdr>
      <w:divsChild>
        <w:div w:id="1323507826">
          <w:marLeft w:val="0"/>
          <w:marRight w:val="0"/>
          <w:marTop w:val="0"/>
          <w:marBottom w:val="0"/>
          <w:divBdr>
            <w:top w:val="none" w:sz="0" w:space="0" w:color="auto"/>
            <w:left w:val="none" w:sz="0" w:space="0" w:color="auto"/>
            <w:bottom w:val="none" w:sz="0" w:space="0" w:color="auto"/>
            <w:right w:val="none" w:sz="0" w:space="0" w:color="auto"/>
          </w:divBdr>
          <w:divsChild>
            <w:div w:id="1668819836">
              <w:marLeft w:val="0"/>
              <w:marRight w:val="0"/>
              <w:marTop w:val="0"/>
              <w:marBottom w:val="0"/>
              <w:divBdr>
                <w:top w:val="none" w:sz="0" w:space="0" w:color="auto"/>
                <w:left w:val="none" w:sz="0" w:space="0" w:color="auto"/>
                <w:bottom w:val="none" w:sz="0" w:space="0" w:color="auto"/>
                <w:right w:val="none" w:sz="0" w:space="0" w:color="auto"/>
              </w:divBdr>
              <w:divsChild>
                <w:div w:id="1217929758">
                  <w:marLeft w:val="0"/>
                  <w:marRight w:val="0"/>
                  <w:marTop w:val="0"/>
                  <w:marBottom w:val="0"/>
                  <w:divBdr>
                    <w:top w:val="none" w:sz="0" w:space="0" w:color="auto"/>
                    <w:left w:val="none" w:sz="0" w:space="0" w:color="auto"/>
                    <w:bottom w:val="none" w:sz="0" w:space="0" w:color="auto"/>
                    <w:right w:val="none" w:sz="0" w:space="0" w:color="auto"/>
                  </w:divBdr>
                  <w:divsChild>
                    <w:div w:id="1041827078">
                      <w:marLeft w:val="0"/>
                      <w:marRight w:val="0"/>
                      <w:marTop w:val="0"/>
                      <w:marBottom w:val="0"/>
                      <w:divBdr>
                        <w:top w:val="none" w:sz="0" w:space="0" w:color="auto"/>
                        <w:left w:val="none" w:sz="0" w:space="0" w:color="auto"/>
                        <w:bottom w:val="none" w:sz="0" w:space="0" w:color="auto"/>
                        <w:right w:val="none" w:sz="0" w:space="0" w:color="auto"/>
                      </w:divBdr>
                    </w:div>
                  </w:divsChild>
                </w:div>
                <w:div w:id="1413694297">
                  <w:marLeft w:val="0"/>
                  <w:marRight w:val="0"/>
                  <w:marTop w:val="0"/>
                  <w:marBottom w:val="0"/>
                  <w:divBdr>
                    <w:top w:val="none" w:sz="0" w:space="0" w:color="auto"/>
                    <w:left w:val="none" w:sz="0" w:space="0" w:color="auto"/>
                    <w:bottom w:val="none" w:sz="0" w:space="0" w:color="auto"/>
                    <w:right w:val="none" w:sz="0" w:space="0" w:color="auto"/>
                  </w:divBdr>
                  <w:divsChild>
                    <w:div w:id="196588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672685">
      <w:bodyDiv w:val="1"/>
      <w:marLeft w:val="0"/>
      <w:marRight w:val="0"/>
      <w:marTop w:val="0"/>
      <w:marBottom w:val="0"/>
      <w:divBdr>
        <w:top w:val="none" w:sz="0" w:space="0" w:color="auto"/>
        <w:left w:val="none" w:sz="0" w:space="0" w:color="auto"/>
        <w:bottom w:val="none" w:sz="0" w:space="0" w:color="auto"/>
        <w:right w:val="none" w:sz="0" w:space="0" w:color="auto"/>
      </w:divBdr>
    </w:div>
    <w:div w:id="955066255">
      <w:bodyDiv w:val="1"/>
      <w:marLeft w:val="0"/>
      <w:marRight w:val="0"/>
      <w:marTop w:val="0"/>
      <w:marBottom w:val="0"/>
      <w:divBdr>
        <w:top w:val="none" w:sz="0" w:space="0" w:color="auto"/>
        <w:left w:val="none" w:sz="0" w:space="0" w:color="auto"/>
        <w:bottom w:val="none" w:sz="0" w:space="0" w:color="auto"/>
        <w:right w:val="none" w:sz="0" w:space="0" w:color="auto"/>
      </w:divBdr>
    </w:div>
    <w:div w:id="955402736">
      <w:bodyDiv w:val="1"/>
      <w:marLeft w:val="0"/>
      <w:marRight w:val="0"/>
      <w:marTop w:val="0"/>
      <w:marBottom w:val="0"/>
      <w:divBdr>
        <w:top w:val="none" w:sz="0" w:space="0" w:color="auto"/>
        <w:left w:val="none" w:sz="0" w:space="0" w:color="auto"/>
        <w:bottom w:val="none" w:sz="0" w:space="0" w:color="auto"/>
        <w:right w:val="none" w:sz="0" w:space="0" w:color="auto"/>
      </w:divBdr>
    </w:div>
    <w:div w:id="955987122">
      <w:bodyDiv w:val="1"/>
      <w:marLeft w:val="0"/>
      <w:marRight w:val="0"/>
      <w:marTop w:val="0"/>
      <w:marBottom w:val="0"/>
      <w:divBdr>
        <w:top w:val="none" w:sz="0" w:space="0" w:color="auto"/>
        <w:left w:val="none" w:sz="0" w:space="0" w:color="auto"/>
        <w:bottom w:val="none" w:sz="0" w:space="0" w:color="auto"/>
        <w:right w:val="none" w:sz="0" w:space="0" w:color="auto"/>
      </w:divBdr>
    </w:div>
    <w:div w:id="956639128">
      <w:bodyDiv w:val="1"/>
      <w:marLeft w:val="0"/>
      <w:marRight w:val="0"/>
      <w:marTop w:val="0"/>
      <w:marBottom w:val="0"/>
      <w:divBdr>
        <w:top w:val="none" w:sz="0" w:space="0" w:color="auto"/>
        <w:left w:val="none" w:sz="0" w:space="0" w:color="auto"/>
        <w:bottom w:val="none" w:sz="0" w:space="0" w:color="auto"/>
        <w:right w:val="none" w:sz="0" w:space="0" w:color="auto"/>
      </w:divBdr>
    </w:div>
    <w:div w:id="957250620">
      <w:bodyDiv w:val="1"/>
      <w:marLeft w:val="0"/>
      <w:marRight w:val="0"/>
      <w:marTop w:val="0"/>
      <w:marBottom w:val="0"/>
      <w:divBdr>
        <w:top w:val="none" w:sz="0" w:space="0" w:color="auto"/>
        <w:left w:val="none" w:sz="0" w:space="0" w:color="auto"/>
        <w:bottom w:val="none" w:sz="0" w:space="0" w:color="auto"/>
        <w:right w:val="none" w:sz="0" w:space="0" w:color="auto"/>
      </w:divBdr>
    </w:div>
    <w:div w:id="957952422">
      <w:bodyDiv w:val="1"/>
      <w:marLeft w:val="0"/>
      <w:marRight w:val="0"/>
      <w:marTop w:val="0"/>
      <w:marBottom w:val="0"/>
      <w:divBdr>
        <w:top w:val="none" w:sz="0" w:space="0" w:color="auto"/>
        <w:left w:val="none" w:sz="0" w:space="0" w:color="auto"/>
        <w:bottom w:val="none" w:sz="0" w:space="0" w:color="auto"/>
        <w:right w:val="none" w:sz="0" w:space="0" w:color="auto"/>
      </w:divBdr>
    </w:div>
    <w:div w:id="958529907">
      <w:bodyDiv w:val="1"/>
      <w:marLeft w:val="0"/>
      <w:marRight w:val="0"/>
      <w:marTop w:val="0"/>
      <w:marBottom w:val="0"/>
      <w:divBdr>
        <w:top w:val="none" w:sz="0" w:space="0" w:color="auto"/>
        <w:left w:val="none" w:sz="0" w:space="0" w:color="auto"/>
        <w:bottom w:val="none" w:sz="0" w:space="0" w:color="auto"/>
        <w:right w:val="none" w:sz="0" w:space="0" w:color="auto"/>
      </w:divBdr>
    </w:div>
    <w:div w:id="958947473">
      <w:bodyDiv w:val="1"/>
      <w:marLeft w:val="0"/>
      <w:marRight w:val="0"/>
      <w:marTop w:val="0"/>
      <w:marBottom w:val="0"/>
      <w:divBdr>
        <w:top w:val="none" w:sz="0" w:space="0" w:color="auto"/>
        <w:left w:val="none" w:sz="0" w:space="0" w:color="auto"/>
        <w:bottom w:val="none" w:sz="0" w:space="0" w:color="auto"/>
        <w:right w:val="none" w:sz="0" w:space="0" w:color="auto"/>
      </w:divBdr>
    </w:div>
    <w:div w:id="958951472">
      <w:bodyDiv w:val="1"/>
      <w:marLeft w:val="0"/>
      <w:marRight w:val="0"/>
      <w:marTop w:val="0"/>
      <w:marBottom w:val="0"/>
      <w:divBdr>
        <w:top w:val="none" w:sz="0" w:space="0" w:color="auto"/>
        <w:left w:val="none" w:sz="0" w:space="0" w:color="auto"/>
        <w:bottom w:val="none" w:sz="0" w:space="0" w:color="auto"/>
        <w:right w:val="none" w:sz="0" w:space="0" w:color="auto"/>
      </w:divBdr>
    </w:div>
    <w:div w:id="959261905">
      <w:bodyDiv w:val="1"/>
      <w:marLeft w:val="0"/>
      <w:marRight w:val="0"/>
      <w:marTop w:val="0"/>
      <w:marBottom w:val="0"/>
      <w:divBdr>
        <w:top w:val="none" w:sz="0" w:space="0" w:color="auto"/>
        <w:left w:val="none" w:sz="0" w:space="0" w:color="auto"/>
        <w:bottom w:val="none" w:sz="0" w:space="0" w:color="auto"/>
        <w:right w:val="none" w:sz="0" w:space="0" w:color="auto"/>
      </w:divBdr>
    </w:div>
    <w:div w:id="959267842">
      <w:bodyDiv w:val="1"/>
      <w:marLeft w:val="0"/>
      <w:marRight w:val="0"/>
      <w:marTop w:val="0"/>
      <w:marBottom w:val="0"/>
      <w:divBdr>
        <w:top w:val="none" w:sz="0" w:space="0" w:color="auto"/>
        <w:left w:val="none" w:sz="0" w:space="0" w:color="auto"/>
        <w:bottom w:val="none" w:sz="0" w:space="0" w:color="auto"/>
        <w:right w:val="none" w:sz="0" w:space="0" w:color="auto"/>
      </w:divBdr>
    </w:div>
    <w:div w:id="959848192">
      <w:bodyDiv w:val="1"/>
      <w:marLeft w:val="0"/>
      <w:marRight w:val="0"/>
      <w:marTop w:val="0"/>
      <w:marBottom w:val="0"/>
      <w:divBdr>
        <w:top w:val="none" w:sz="0" w:space="0" w:color="auto"/>
        <w:left w:val="none" w:sz="0" w:space="0" w:color="auto"/>
        <w:bottom w:val="none" w:sz="0" w:space="0" w:color="auto"/>
        <w:right w:val="none" w:sz="0" w:space="0" w:color="auto"/>
      </w:divBdr>
    </w:div>
    <w:div w:id="960769954">
      <w:bodyDiv w:val="1"/>
      <w:marLeft w:val="0"/>
      <w:marRight w:val="0"/>
      <w:marTop w:val="0"/>
      <w:marBottom w:val="0"/>
      <w:divBdr>
        <w:top w:val="none" w:sz="0" w:space="0" w:color="auto"/>
        <w:left w:val="none" w:sz="0" w:space="0" w:color="auto"/>
        <w:bottom w:val="none" w:sz="0" w:space="0" w:color="auto"/>
        <w:right w:val="none" w:sz="0" w:space="0" w:color="auto"/>
      </w:divBdr>
    </w:div>
    <w:div w:id="961036484">
      <w:bodyDiv w:val="1"/>
      <w:marLeft w:val="0"/>
      <w:marRight w:val="0"/>
      <w:marTop w:val="0"/>
      <w:marBottom w:val="0"/>
      <w:divBdr>
        <w:top w:val="none" w:sz="0" w:space="0" w:color="auto"/>
        <w:left w:val="none" w:sz="0" w:space="0" w:color="auto"/>
        <w:bottom w:val="none" w:sz="0" w:space="0" w:color="auto"/>
        <w:right w:val="none" w:sz="0" w:space="0" w:color="auto"/>
      </w:divBdr>
      <w:divsChild>
        <w:div w:id="1238250641">
          <w:marLeft w:val="0"/>
          <w:marRight w:val="0"/>
          <w:marTop w:val="0"/>
          <w:marBottom w:val="0"/>
          <w:divBdr>
            <w:top w:val="none" w:sz="0" w:space="0" w:color="auto"/>
            <w:left w:val="none" w:sz="0" w:space="0" w:color="auto"/>
            <w:bottom w:val="none" w:sz="0" w:space="0" w:color="auto"/>
            <w:right w:val="none" w:sz="0" w:space="0" w:color="auto"/>
          </w:divBdr>
          <w:divsChild>
            <w:div w:id="914125690">
              <w:marLeft w:val="0"/>
              <w:marRight w:val="0"/>
              <w:marTop w:val="0"/>
              <w:marBottom w:val="0"/>
              <w:divBdr>
                <w:top w:val="none" w:sz="0" w:space="0" w:color="auto"/>
                <w:left w:val="none" w:sz="0" w:space="0" w:color="auto"/>
                <w:bottom w:val="none" w:sz="0" w:space="0" w:color="auto"/>
                <w:right w:val="none" w:sz="0" w:space="0" w:color="auto"/>
              </w:divBdr>
              <w:divsChild>
                <w:div w:id="89546803">
                  <w:marLeft w:val="0"/>
                  <w:marRight w:val="0"/>
                  <w:marTop w:val="0"/>
                  <w:marBottom w:val="0"/>
                  <w:divBdr>
                    <w:top w:val="none" w:sz="0" w:space="0" w:color="auto"/>
                    <w:left w:val="none" w:sz="0" w:space="0" w:color="auto"/>
                    <w:bottom w:val="none" w:sz="0" w:space="0" w:color="auto"/>
                    <w:right w:val="none" w:sz="0" w:space="0" w:color="auto"/>
                  </w:divBdr>
                  <w:divsChild>
                    <w:div w:id="17750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112796">
      <w:bodyDiv w:val="1"/>
      <w:marLeft w:val="0"/>
      <w:marRight w:val="0"/>
      <w:marTop w:val="0"/>
      <w:marBottom w:val="0"/>
      <w:divBdr>
        <w:top w:val="none" w:sz="0" w:space="0" w:color="auto"/>
        <w:left w:val="none" w:sz="0" w:space="0" w:color="auto"/>
        <w:bottom w:val="none" w:sz="0" w:space="0" w:color="auto"/>
        <w:right w:val="none" w:sz="0" w:space="0" w:color="auto"/>
      </w:divBdr>
    </w:div>
    <w:div w:id="961806845">
      <w:bodyDiv w:val="1"/>
      <w:marLeft w:val="0"/>
      <w:marRight w:val="0"/>
      <w:marTop w:val="0"/>
      <w:marBottom w:val="0"/>
      <w:divBdr>
        <w:top w:val="none" w:sz="0" w:space="0" w:color="auto"/>
        <w:left w:val="none" w:sz="0" w:space="0" w:color="auto"/>
        <w:bottom w:val="none" w:sz="0" w:space="0" w:color="auto"/>
        <w:right w:val="none" w:sz="0" w:space="0" w:color="auto"/>
      </w:divBdr>
    </w:div>
    <w:div w:id="963002655">
      <w:bodyDiv w:val="1"/>
      <w:marLeft w:val="0"/>
      <w:marRight w:val="0"/>
      <w:marTop w:val="0"/>
      <w:marBottom w:val="0"/>
      <w:divBdr>
        <w:top w:val="none" w:sz="0" w:space="0" w:color="auto"/>
        <w:left w:val="none" w:sz="0" w:space="0" w:color="auto"/>
        <w:bottom w:val="none" w:sz="0" w:space="0" w:color="auto"/>
        <w:right w:val="none" w:sz="0" w:space="0" w:color="auto"/>
      </w:divBdr>
    </w:div>
    <w:div w:id="963193766">
      <w:bodyDiv w:val="1"/>
      <w:marLeft w:val="0"/>
      <w:marRight w:val="0"/>
      <w:marTop w:val="0"/>
      <w:marBottom w:val="0"/>
      <w:divBdr>
        <w:top w:val="none" w:sz="0" w:space="0" w:color="auto"/>
        <w:left w:val="none" w:sz="0" w:space="0" w:color="auto"/>
        <w:bottom w:val="none" w:sz="0" w:space="0" w:color="auto"/>
        <w:right w:val="none" w:sz="0" w:space="0" w:color="auto"/>
      </w:divBdr>
    </w:div>
    <w:div w:id="963197959">
      <w:bodyDiv w:val="1"/>
      <w:marLeft w:val="0"/>
      <w:marRight w:val="0"/>
      <w:marTop w:val="0"/>
      <w:marBottom w:val="0"/>
      <w:divBdr>
        <w:top w:val="none" w:sz="0" w:space="0" w:color="auto"/>
        <w:left w:val="none" w:sz="0" w:space="0" w:color="auto"/>
        <w:bottom w:val="none" w:sz="0" w:space="0" w:color="auto"/>
        <w:right w:val="none" w:sz="0" w:space="0" w:color="auto"/>
      </w:divBdr>
    </w:div>
    <w:div w:id="966132041">
      <w:bodyDiv w:val="1"/>
      <w:marLeft w:val="0"/>
      <w:marRight w:val="0"/>
      <w:marTop w:val="0"/>
      <w:marBottom w:val="0"/>
      <w:divBdr>
        <w:top w:val="none" w:sz="0" w:space="0" w:color="auto"/>
        <w:left w:val="none" w:sz="0" w:space="0" w:color="auto"/>
        <w:bottom w:val="none" w:sz="0" w:space="0" w:color="auto"/>
        <w:right w:val="none" w:sz="0" w:space="0" w:color="auto"/>
      </w:divBdr>
      <w:divsChild>
        <w:div w:id="2057388091">
          <w:marLeft w:val="0"/>
          <w:marRight w:val="0"/>
          <w:marTop w:val="0"/>
          <w:marBottom w:val="0"/>
          <w:divBdr>
            <w:top w:val="none" w:sz="0" w:space="0" w:color="auto"/>
            <w:left w:val="none" w:sz="0" w:space="0" w:color="auto"/>
            <w:bottom w:val="none" w:sz="0" w:space="0" w:color="auto"/>
            <w:right w:val="none" w:sz="0" w:space="0" w:color="auto"/>
          </w:divBdr>
          <w:divsChild>
            <w:div w:id="861816933">
              <w:marLeft w:val="0"/>
              <w:marRight w:val="0"/>
              <w:marTop w:val="0"/>
              <w:marBottom w:val="0"/>
              <w:divBdr>
                <w:top w:val="none" w:sz="0" w:space="0" w:color="auto"/>
                <w:left w:val="none" w:sz="0" w:space="0" w:color="auto"/>
                <w:bottom w:val="none" w:sz="0" w:space="0" w:color="auto"/>
                <w:right w:val="none" w:sz="0" w:space="0" w:color="auto"/>
              </w:divBdr>
              <w:divsChild>
                <w:div w:id="1985698937">
                  <w:marLeft w:val="0"/>
                  <w:marRight w:val="0"/>
                  <w:marTop w:val="0"/>
                  <w:marBottom w:val="0"/>
                  <w:divBdr>
                    <w:top w:val="none" w:sz="0" w:space="0" w:color="auto"/>
                    <w:left w:val="none" w:sz="0" w:space="0" w:color="auto"/>
                    <w:bottom w:val="none" w:sz="0" w:space="0" w:color="auto"/>
                    <w:right w:val="none" w:sz="0" w:space="0" w:color="auto"/>
                  </w:divBdr>
                  <w:divsChild>
                    <w:div w:id="5458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744777">
      <w:bodyDiv w:val="1"/>
      <w:marLeft w:val="0"/>
      <w:marRight w:val="0"/>
      <w:marTop w:val="0"/>
      <w:marBottom w:val="0"/>
      <w:divBdr>
        <w:top w:val="none" w:sz="0" w:space="0" w:color="auto"/>
        <w:left w:val="none" w:sz="0" w:space="0" w:color="auto"/>
        <w:bottom w:val="none" w:sz="0" w:space="0" w:color="auto"/>
        <w:right w:val="none" w:sz="0" w:space="0" w:color="auto"/>
      </w:divBdr>
      <w:divsChild>
        <w:div w:id="7220405">
          <w:marLeft w:val="0"/>
          <w:marRight w:val="0"/>
          <w:marTop w:val="0"/>
          <w:marBottom w:val="0"/>
          <w:divBdr>
            <w:top w:val="none" w:sz="0" w:space="0" w:color="auto"/>
            <w:left w:val="none" w:sz="0" w:space="0" w:color="auto"/>
            <w:bottom w:val="none" w:sz="0" w:space="0" w:color="auto"/>
            <w:right w:val="none" w:sz="0" w:space="0" w:color="auto"/>
          </w:divBdr>
          <w:divsChild>
            <w:div w:id="922030561">
              <w:marLeft w:val="0"/>
              <w:marRight w:val="0"/>
              <w:marTop w:val="0"/>
              <w:marBottom w:val="0"/>
              <w:divBdr>
                <w:top w:val="none" w:sz="0" w:space="0" w:color="auto"/>
                <w:left w:val="none" w:sz="0" w:space="0" w:color="auto"/>
                <w:bottom w:val="none" w:sz="0" w:space="0" w:color="auto"/>
                <w:right w:val="none" w:sz="0" w:space="0" w:color="auto"/>
              </w:divBdr>
              <w:divsChild>
                <w:div w:id="1663119278">
                  <w:marLeft w:val="0"/>
                  <w:marRight w:val="0"/>
                  <w:marTop w:val="0"/>
                  <w:marBottom w:val="0"/>
                  <w:divBdr>
                    <w:top w:val="none" w:sz="0" w:space="0" w:color="auto"/>
                    <w:left w:val="none" w:sz="0" w:space="0" w:color="auto"/>
                    <w:bottom w:val="none" w:sz="0" w:space="0" w:color="auto"/>
                    <w:right w:val="none" w:sz="0" w:space="0" w:color="auto"/>
                  </w:divBdr>
                  <w:divsChild>
                    <w:div w:id="4845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931270">
      <w:bodyDiv w:val="1"/>
      <w:marLeft w:val="0"/>
      <w:marRight w:val="0"/>
      <w:marTop w:val="0"/>
      <w:marBottom w:val="0"/>
      <w:divBdr>
        <w:top w:val="none" w:sz="0" w:space="0" w:color="auto"/>
        <w:left w:val="none" w:sz="0" w:space="0" w:color="auto"/>
        <w:bottom w:val="none" w:sz="0" w:space="0" w:color="auto"/>
        <w:right w:val="none" w:sz="0" w:space="0" w:color="auto"/>
      </w:divBdr>
      <w:divsChild>
        <w:div w:id="200409430">
          <w:marLeft w:val="0"/>
          <w:marRight w:val="0"/>
          <w:marTop w:val="0"/>
          <w:marBottom w:val="0"/>
          <w:divBdr>
            <w:top w:val="none" w:sz="0" w:space="0" w:color="auto"/>
            <w:left w:val="none" w:sz="0" w:space="0" w:color="auto"/>
            <w:bottom w:val="none" w:sz="0" w:space="0" w:color="auto"/>
            <w:right w:val="none" w:sz="0" w:space="0" w:color="auto"/>
          </w:divBdr>
          <w:divsChild>
            <w:div w:id="1825927523">
              <w:marLeft w:val="0"/>
              <w:marRight w:val="0"/>
              <w:marTop w:val="0"/>
              <w:marBottom w:val="0"/>
              <w:divBdr>
                <w:top w:val="none" w:sz="0" w:space="0" w:color="auto"/>
                <w:left w:val="none" w:sz="0" w:space="0" w:color="auto"/>
                <w:bottom w:val="none" w:sz="0" w:space="0" w:color="auto"/>
                <w:right w:val="none" w:sz="0" w:space="0" w:color="auto"/>
              </w:divBdr>
              <w:divsChild>
                <w:div w:id="4054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8950">
      <w:bodyDiv w:val="1"/>
      <w:marLeft w:val="0"/>
      <w:marRight w:val="0"/>
      <w:marTop w:val="0"/>
      <w:marBottom w:val="0"/>
      <w:divBdr>
        <w:top w:val="none" w:sz="0" w:space="0" w:color="auto"/>
        <w:left w:val="none" w:sz="0" w:space="0" w:color="auto"/>
        <w:bottom w:val="none" w:sz="0" w:space="0" w:color="auto"/>
        <w:right w:val="none" w:sz="0" w:space="0" w:color="auto"/>
      </w:divBdr>
    </w:div>
    <w:div w:id="969047897">
      <w:bodyDiv w:val="1"/>
      <w:marLeft w:val="0"/>
      <w:marRight w:val="0"/>
      <w:marTop w:val="0"/>
      <w:marBottom w:val="0"/>
      <w:divBdr>
        <w:top w:val="none" w:sz="0" w:space="0" w:color="auto"/>
        <w:left w:val="none" w:sz="0" w:space="0" w:color="auto"/>
        <w:bottom w:val="none" w:sz="0" w:space="0" w:color="auto"/>
        <w:right w:val="none" w:sz="0" w:space="0" w:color="auto"/>
      </w:divBdr>
      <w:divsChild>
        <w:div w:id="1042904390">
          <w:marLeft w:val="0"/>
          <w:marRight w:val="0"/>
          <w:marTop w:val="0"/>
          <w:marBottom w:val="0"/>
          <w:divBdr>
            <w:top w:val="none" w:sz="0" w:space="0" w:color="auto"/>
            <w:left w:val="none" w:sz="0" w:space="0" w:color="auto"/>
            <w:bottom w:val="none" w:sz="0" w:space="0" w:color="auto"/>
            <w:right w:val="none" w:sz="0" w:space="0" w:color="auto"/>
          </w:divBdr>
          <w:divsChild>
            <w:div w:id="1223366309">
              <w:marLeft w:val="0"/>
              <w:marRight w:val="0"/>
              <w:marTop w:val="0"/>
              <w:marBottom w:val="0"/>
              <w:divBdr>
                <w:top w:val="none" w:sz="0" w:space="0" w:color="auto"/>
                <w:left w:val="none" w:sz="0" w:space="0" w:color="auto"/>
                <w:bottom w:val="none" w:sz="0" w:space="0" w:color="auto"/>
                <w:right w:val="none" w:sz="0" w:space="0" w:color="auto"/>
              </w:divBdr>
              <w:divsChild>
                <w:div w:id="1993635947">
                  <w:marLeft w:val="0"/>
                  <w:marRight w:val="0"/>
                  <w:marTop w:val="0"/>
                  <w:marBottom w:val="0"/>
                  <w:divBdr>
                    <w:top w:val="none" w:sz="0" w:space="0" w:color="auto"/>
                    <w:left w:val="none" w:sz="0" w:space="0" w:color="auto"/>
                    <w:bottom w:val="none" w:sz="0" w:space="0" w:color="auto"/>
                    <w:right w:val="none" w:sz="0" w:space="0" w:color="auto"/>
                  </w:divBdr>
                  <w:divsChild>
                    <w:div w:id="201341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553664">
      <w:bodyDiv w:val="1"/>
      <w:marLeft w:val="0"/>
      <w:marRight w:val="0"/>
      <w:marTop w:val="0"/>
      <w:marBottom w:val="0"/>
      <w:divBdr>
        <w:top w:val="none" w:sz="0" w:space="0" w:color="auto"/>
        <w:left w:val="none" w:sz="0" w:space="0" w:color="auto"/>
        <w:bottom w:val="none" w:sz="0" w:space="0" w:color="auto"/>
        <w:right w:val="none" w:sz="0" w:space="0" w:color="auto"/>
      </w:divBdr>
    </w:div>
    <w:div w:id="969702701">
      <w:bodyDiv w:val="1"/>
      <w:marLeft w:val="0"/>
      <w:marRight w:val="0"/>
      <w:marTop w:val="0"/>
      <w:marBottom w:val="0"/>
      <w:divBdr>
        <w:top w:val="none" w:sz="0" w:space="0" w:color="auto"/>
        <w:left w:val="none" w:sz="0" w:space="0" w:color="auto"/>
        <w:bottom w:val="none" w:sz="0" w:space="0" w:color="auto"/>
        <w:right w:val="none" w:sz="0" w:space="0" w:color="auto"/>
      </w:divBdr>
    </w:div>
    <w:div w:id="970208930">
      <w:bodyDiv w:val="1"/>
      <w:marLeft w:val="0"/>
      <w:marRight w:val="0"/>
      <w:marTop w:val="0"/>
      <w:marBottom w:val="0"/>
      <w:divBdr>
        <w:top w:val="none" w:sz="0" w:space="0" w:color="auto"/>
        <w:left w:val="none" w:sz="0" w:space="0" w:color="auto"/>
        <w:bottom w:val="none" w:sz="0" w:space="0" w:color="auto"/>
        <w:right w:val="none" w:sz="0" w:space="0" w:color="auto"/>
      </w:divBdr>
    </w:div>
    <w:div w:id="970288019">
      <w:bodyDiv w:val="1"/>
      <w:marLeft w:val="0"/>
      <w:marRight w:val="0"/>
      <w:marTop w:val="0"/>
      <w:marBottom w:val="0"/>
      <w:divBdr>
        <w:top w:val="none" w:sz="0" w:space="0" w:color="auto"/>
        <w:left w:val="none" w:sz="0" w:space="0" w:color="auto"/>
        <w:bottom w:val="none" w:sz="0" w:space="0" w:color="auto"/>
        <w:right w:val="none" w:sz="0" w:space="0" w:color="auto"/>
      </w:divBdr>
    </w:div>
    <w:div w:id="970863965">
      <w:bodyDiv w:val="1"/>
      <w:marLeft w:val="0"/>
      <w:marRight w:val="0"/>
      <w:marTop w:val="0"/>
      <w:marBottom w:val="0"/>
      <w:divBdr>
        <w:top w:val="none" w:sz="0" w:space="0" w:color="auto"/>
        <w:left w:val="none" w:sz="0" w:space="0" w:color="auto"/>
        <w:bottom w:val="none" w:sz="0" w:space="0" w:color="auto"/>
        <w:right w:val="none" w:sz="0" w:space="0" w:color="auto"/>
      </w:divBdr>
    </w:div>
    <w:div w:id="971054867">
      <w:bodyDiv w:val="1"/>
      <w:marLeft w:val="0"/>
      <w:marRight w:val="0"/>
      <w:marTop w:val="0"/>
      <w:marBottom w:val="0"/>
      <w:divBdr>
        <w:top w:val="none" w:sz="0" w:space="0" w:color="auto"/>
        <w:left w:val="none" w:sz="0" w:space="0" w:color="auto"/>
        <w:bottom w:val="none" w:sz="0" w:space="0" w:color="auto"/>
        <w:right w:val="none" w:sz="0" w:space="0" w:color="auto"/>
      </w:divBdr>
    </w:div>
    <w:div w:id="971596809">
      <w:bodyDiv w:val="1"/>
      <w:marLeft w:val="0"/>
      <w:marRight w:val="0"/>
      <w:marTop w:val="0"/>
      <w:marBottom w:val="0"/>
      <w:divBdr>
        <w:top w:val="none" w:sz="0" w:space="0" w:color="auto"/>
        <w:left w:val="none" w:sz="0" w:space="0" w:color="auto"/>
        <w:bottom w:val="none" w:sz="0" w:space="0" w:color="auto"/>
        <w:right w:val="none" w:sz="0" w:space="0" w:color="auto"/>
      </w:divBdr>
    </w:div>
    <w:div w:id="971908525">
      <w:bodyDiv w:val="1"/>
      <w:marLeft w:val="0"/>
      <w:marRight w:val="0"/>
      <w:marTop w:val="0"/>
      <w:marBottom w:val="0"/>
      <w:divBdr>
        <w:top w:val="none" w:sz="0" w:space="0" w:color="auto"/>
        <w:left w:val="none" w:sz="0" w:space="0" w:color="auto"/>
        <w:bottom w:val="none" w:sz="0" w:space="0" w:color="auto"/>
        <w:right w:val="none" w:sz="0" w:space="0" w:color="auto"/>
      </w:divBdr>
    </w:div>
    <w:div w:id="972557318">
      <w:bodyDiv w:val="1"/>
      <w:marLeft w:val="0"/>
      <w:marRight w:val="0"/>
      <w:marTop w:val="0"/>
      <w:marBottom w:val="0"/>
      <w:divBdr>
        <w:top w:val="none" w:sz="0" w:space="0" w:color="auto"/>
        <w:left w:val="none" w:sz="0" w:space="0" w:color="auto"/>
        <w:bottom w:val="none" w:sz="0" w:space="0" w:color="auto"/>
        <w:right w:val="none" w:sz="0" w:space="0" w:color="auto"/>
      </w:divBdr>
    </w:div>
    <w:div w:id="972640977">
      <w:bodyDiv w:val="1"/>
      <w:marLeft w:val="0"/>
      <w:marRight w:val="0"/>
      <w:marTop w:val="0"/>
      <w:marBottom w:val="0"/>
      <w:divBdr>
        <w:top w:val="none" w:sz="0" w:space="0" w:color="auto"/>
        <w:left w:val="none" w:sz="0" w:space="0" w:color="auto"/>
        <w:bottom w:val="none" w:sz="0" w:space="0" w:color="auto"/>
        <w:right w:val="none" w:sz="0" w:space="0" w:color="auto"/>
      </w:divBdr>
    </w:div>
    <w:div w:id="973683109">
      <w:bodyDiv w:val="1"/>
      <w:marLeft w:val="0"/>
      <w:marRight w:val="0"/>
      <w:marTop w:val="0"/>
      <w:marBottom w:val="0"/>
      <w:divBdr>
        <w:top w:val="none" w:sz="0" w:space="0" w:color="auto"/>
        <w:left w:val="none" w:sz="0" w:space="0" w:color="auto"/>
        <w:bottom w:val="none" w:sz="0" w:space="0" w:color="auto"/>
        <w:right w:val="none" w:sz="0" w:space="0" w:color="auto"/>
      </w:divBdr>
    </w:div>
    <w:div w:id="974914771">
      <w:bodyDiv w:val="1"/>
      <w:marLeft w:val="0"/>
      <w:marRight w:val="0"/>
      <w:marTop w:val="0"/>
      <w:marBottom w:val="0"/>
      <w:divBdr>
        <w:top w:val="none" w:sz="0" w:space="0" w:color="auto"/>
        <w:left w:val="none" w:sz="0" w:space="0" w:color="auto"/>
        <w:bottom w:val="none" w:sz="0" w:space="0" w:color="auto"/>
        <w:right w:val="none" w:sz="0" w:space="0" w:color="auto"/>
      </w:divBdr>
    </w:div>
    <w:div w:id="975329057">
      <w:bodyDiv w:val="1"/>
      <w:marLeft w:val="0"/>
      <w:marRight w:val="0"/>
      <w:marTop w:val="0"/>
      <w:marBottom w:val="0"/>
      <w:divBdr>
        <w:top w:val="none" w:sz="0" w:space="0" w:color="auto"/>
        <w:left w:val="none" w:sz="0" w:space="0" w:color="auto"/>
        <w:bottom w:val="none" w:sz="0" w:space="0" w:color="auto"/>
        <w:right w:val="none" w:sz="0" w:space="0" w:color="auto"/>
      </w:divBdr>
    </w:div>
    <w:div w:id="975724543">
      <w:bodyDiv w:val="1"/>
      <w:marLeft w:val="0"/>
      <w:marRight w:val="0"/>
      <w:marTop w:val="0"/>
      <w:marBottom w:val="0"/>
      <w:divBdr>
        <w:top w:val="none" w:sz="0" w:space="0" w:color="auto"/>
        <w:left w:val="none" w:sz="0" w:space="0" w:color="auto"/>
        <w:bottom w:val="none" w:sz="0" w:space="0" w:color="auto"/>
        <w:right w:val="none" w:sz="0" w:space="0" w:color="auto"/>
      </w:divBdr>
    </w:div>
    <w:div w:id="976111917">
      <w:bodyDiv w:val="1"/>
      <w:marLeft w:val="0"/>
      <w:marRight w:val="0"/>
      <w:marTop w:val="0"/>
      <w:marBottom w:val="0"/>
      <w:divBdr>
        <w:top w:val="none" w:sz="0" w:space="0" w:color="auto"/>
        <w:left w:val="none" w:sz="0" w:space="0" w:color="auto"/>
        <w:bottom w:val="none" w:sz="0" w:space="0" w:color="auto"/>
        <w:right w:val="none" w:sz="0" w:space="0" w:color="auto"/>
      </w:divBdr>
    </w:div>
    <w:div w:id="976379860">
      <w:bodyDiv w:val="1"/>
      <w:marLeft w:val="0"/>
      <w:marRight w:val="0"/>
      <w:marTop w:val="0"/>
      <w:marBottom w:val="0"/>
      <w:divBdr>
        <w:top w:val="none" w:sz="0" w:space="0" w:color="auto"/>
        <w:left w:val="none" w:sz="0" w:space="0" w:color="auto"/>
        <w:bottom w:val="none" w:sz="0" w:space="0" w:color="auto"/>
        <w:right w:val="none" w:sz="0" w:space="0" w:color="auto"/>
      </w:divBdr>
    </w:div>
    <w:div w:id="976648327">
      <w:bodyDiv w:val="1"/>
      <w:marLeft w:val="0"/>
      <w:marRight w:val="0"/>
      <w:marTop w:val="0"/>
      <w:marBottom w:val="0"/>
      <w:divBdr>
        <w:top w:val="none" w:sz="0" w:space="0" w:color="auto"/>
        <w:left w:val="none" w:sz="0" w:space="0" w:color="auto"/>
        <w:bottom w:val="none" w:sz="0" w:space="0" w:color="auto"/>
        <w:right w:val="none" w:sz="0" w:space="0" w:color="auto"/>
      </w:divBdr>
    </w:div>
    <w:div w:id="976763818">
      <w:bodyDiv w:val="1"/>
      <w:marLeft w:val="0"/>
      <w:marRight w:val="0"/>
      <w:marTop w:val="0"/>
      <w:marBottom w:val="0"/>
      <w:divBdr>
        <w:top w:val="none" w:sz="0" w:space="0" w:color="auto"/>
        <w:left w:val="none" w:sz="0" w:space="0" w:color="auto"/>
        <w:bottom w:val="none" w:sz="0" w:space="0" w:color="auto"/>
        <w:right w:val="none" w:sz="0" w:space="0" w:color="auto"/>
      </w:divBdr>
    </w:div>
    <w:div w:id="977761487">
      <w:bodyDiv w:val="1"/>
      <w:marLeft w:val="0"/>
      <w:marRight w:val="0"/>
      <w:marTop w:val="0"/>
      <w:marBottom w:val="0"/>
      <w:divBdr>
        <w:top w:val="none" w:sz="0" w:space="0" w:color="auto"/>
        <w:left w:val="none" w:sz="0" w:space="0" w:color="auto"/>
        <w:bottom w:val="none" w:sz="0" w:space="0" w:color="auto"/>
        <w:right w:val="none" w:sz="0" w:space="0" w:color="auto"/>
      </w:divBdr>
    </w:div>
    <w:div w:id="978077031">
      <w:bodyDiv w:val="1"/>
      <w:marLeft w:val="0"/>
      <w:marRight w:val="0"/>
      <w:marTop w:val="0"/>
      <w:marBottom w:val="0"/>
      <w:divBdr>
        <w:top w:val="none" w:sz="0" w:space="0" w:color="auto"/>
        <w:left w:val="none" w:sz="0" w:space="0" w:color="auto"/>
        <w:bottom w:val="none" w:sz="0" w:space="0" w:color="auto"/>
        <w:right w:val="none" w:sz="0" w:space="0" w:color="auto"/>
      </w:divBdr>
    </w:div>
    <w:div w:id="978418195">
      <w:bodyDiv w:val="1"/>
      <w:marLeft w:val="0"/>
      <w:marRight w:val="0"/>
      <w:marTop w:val="0"/>
      <w:marBottom w:val="0"/>
      <w:divBdr>
        <w:top w:val="none" w:sz="0" w:space="0" w:color="auto"/>
        <w:left w:val="none" w:sz="0" w:space="0" w:color="auto"/>
        <w:bottom w:val="none" w:sz="0" w:space="0" w:color="auto"/>
        <w:right w:val="none" w:sz="0" w:space="0" w:color="auto"/>
      </w:divBdr>
    </w:div>
    <w:div w:id="978655809">
      <w:bodyDiv w:val="1"/>
      <w:marLeft w:val="0"/>
      <w:marRight w:val="0"/>
      <w:marTop w:val="0"/>
      <w:marBottom w:val="0"/>
      <w:divBdr>
        <w:top w:val="none" w:sz="0" w:space="0" w:color="auto"/>
        <w:left w:val="none" w:sz="0" w:space="0" w:color="auto"/>
        <w:bottom w:val="none" w:sz="0" w:space="0" w:color="auto"/>
        <w:right w:val="none" w:sz="0" w:space="0" w:color="auto"/>
      </w:divBdr>
    </w:div>
    <w:div w:id="979068155">
      <w:bodyDiv w:val="1"/>
      <w:marLeft w:val="0"/>
      <w:marRight w:val="0"/>
      <w:marTop w:val="0"/>
      <w:marBottom w:val="0"/>
      <w:divBdr>
        <w:top w:val="none" w:sz="0" w:space="0" w:color="auto"/>
        <w:left w:val="none" w:sz="0" w:space="0" w:color="auto"/>
        <w:bottom w:val="none" w:sz="0" w:space="0" w:color="auto"/>
        <w:right w:val="none" w:sz="0" w:space="0" w:color="auto"/>
      </w:divBdr>
    </w:div>
    <w:div w:id="979922288">
      <w:bodyDiv w:val="1"/>
      <w:marLeft w:val="0"/>
      <w:marRight w:val="0"/>
      <w:marTop w:val="0"/>
      <w:marBottom w:val="0"/>
      <w:divBdr>
        <w:top w:val="none" w:sz="0" w:space="0" w:color="auto"/>
        <w:left w:val="none" w:sz="0" w:space="0" w:color="auto"/>
        <w:bottom w:val="none" w:sz="0" w:space="0" w:color="auto"/>
        <w:right w:val="none" w:sz="0" w:space="0" w:color="auto"/>
      </w:divBdr>
      <w:divsChild>
        <w:div w:id="1472286146">
          <w:marLeft w:val="0"/>
          <w:marRight w:val="0"/>
          <w:marTop w:val="0"/>
          <w:marBottom w:val="0"/>
          <w:divBdr>
            <w:top w:val="none" w:sz="0" w:space="0" w:color="auto"/>
            <w:left w:val="none" w:sz="0" w:space="0" w:color="auto"/>
            <w:bottom w:val="none" w:sz="0" w:space="0" w:color="auto"/>
            <w:right w:val="none" w:sz="0" w:space="0" w:color="auto"/>
          </w:divBdr>
          <w:divsChild>
            <w:div w:id="1647934648">
              <w:marLeft w:val="0"/>
              <w:marRight w:val="0"/>
              <w:marTop w:val="0"/>
              <w:marBottom w:val="0"/>
              <w:divBdr>
                <w:top w:val="none" w:sz="0" w:space="0" w:color="auto"/>
                <w:left w:val="none" w:sz="0" w:space="0" w:color="auto"/>
                <w:bottom w:val="none" w:sz="0" w:space="0" w:color="auto"/>
                <w:right w:val="none" w:sz="0" w:space="0" w:color="auto"/>
              </w:divBdr>
              <w:divsChild>
                <w:div w:id="341661708">
                  <w:marLeft w:val="0"/>
                  <w:marRight w:val="0"/>
                  <w:marTop w:val="0"/>
                  <w:marBottom w:val="0"/>
                  <w:divBdr>
                    <w:top w:val="none" w:sz="0" w:space="0" w:color="auto"/>
                    <w:left w:val="none" w:sz="0" w:space="0" w:color="auto"/>
                    <w:bottom w:val="none" w:sz="0" w:space="0" w:color="auto"/>
                    <w:right w:val="none" w:sz="0" w:space="0" w:color="auto"/>
                  </w:divBdr>
                  <w:divsChild>
                    <w:div w:id="14577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421194">
      <w:bodyDiv w:val="1"/>
      <w:marLeft w:val="0"/>
      <w:marRight w:val="0"/>
      <w:marTop w:val="0"/>
      <w:marBottom w:val="0"/>
      <w:divBdr>
        <w:top w:val="none" w:sz="0" w:space="0" w:color="auto"/>
        <w:left w:val="none" w:sz="0" w:space="0" w:color="auto"/>
        <w:bottom w:val="none" w:sz="0" w:space="0" w:color="auto"/>
        <w:right w:val="none" w:sz="0" w:space="0" w:color="auto"/>
      </w:divBdr>
    </w:div>
    <w:div w:id="980501311">
      <w:bodyDiv w:val="1"/>
      <w:marLeft w:val="0"/>
      <w:marRight w:val="0"/>
      <w:marTop w:val="0"/>
      <w:marBottom w:val="0"/>
      <w:divBdr>
        <w:top w:val="none" w:sz="0" w:space="0" w:color="auto"/>
        <w:left w:val="none" w:sz="0" w:space="0" w:color="auto"/>
        <w:bottom w:val="none" w:sz="0" w:space="0" w:color="auto"/>
        <w:right w:val="none" w:sz="0" w:space="0" w:color="auto"/>
      </w:divBdr>
    </w:div>
    <w:div w:id="981009910">
      <w:bodyDiv w:val="1"/>
      <w:marLeft w:val="0"/>
      <w:marRight w:val="0"/>
      <w:marTop w:val="0"/>
      <w:marBottom w:val="0"/>
      <w:divBdr>
        <w:top w:val="none" w:sz="0" w:space="0" w:color="auto"/>
        <w:left w:val="none" w:sz="0" w:space="0" w:color="auto"/>
        <w:bottom w:val="none" w:sz="0" w:space="0" w:color="auto"/>
        <w:right w:val="none" w:sz="0" w:space="0" w:color="auto"/>
      </w:divBdr>
    </w:div>
    <w:div w:id="982394443">
      <w:bodyDiv w:val="1"/>
      <w:marLeft w:val="0"/>
      <w:marRight w:val="0"/>
      <w:marTop w:val="0"/>
      <w:marBottom w:val="0"/>
      <w:divBdr>
        <w:top w:val="none" w:sz="0" w:space="0" w:color="auto"/>
        <w:left w:val="none" w:sz="0" w:space="0" w:color="auto"/>
        <w:bottom w:val="none" w:sz="0" w:space="0" w:color="auto"/>
        <w:right w:val="none" w:sz="0" w:space="0" w:color="auto"/>
      </w:divBdr>
    </w:div>
    <w:div w:id="982587524">
      <w:bodyDiv w:val="1"/>
      <w:marLeft w:val="0"/>
      <w:marRight w:val="0"/>
      <w:marTop w:val="0"/>
      <w:marBottom w:val="0"/>
      <w:divBdr>
        <w:top w:val="none" w:sz="0" w:space="0" w:color="auto"/>
        <w:left w:val="none" w:sz="0" w:space="0" w:color="auto"/>
        <w:bottom w:val="none" w:sz="0" w:space="0" w:color="auto"/>
        <w:right w:val="none" w:sz="0" w:space="0" w:color="auto"/>
      </w:divBdr>
    </w:div>
    <w:div w:id="982806049">
      <w:bodyDiv w:val="1"/>
      <w:marLeft w:val="0"/>
      <w:marRight w:val="0"/>
      <w:marTop w:val="0"/>
      <w:marBottom w:val="0"/>
      <w:divBdr>
        <w:top w:val="none" w:sz="0" w:space="0" w:color="auto"/>
        <w:left w:val="none" w:sz="0" w:space="0" w:color="auto"/>
        <w:bottom w:val="none" w:sz="0" w:space="0" w:color="auto"/>
        <w:right w:val="none" w:sz="0" w:space="0" w:color="auto"/>
      </w:divBdr>
    </w:div>
    <w:div w:id="985740336">
      <w:bodyDiv w:val="1"/>
      <w:marLeft w:val="0"/>
      <w:marRight w:val="0"/>
      <w:marTop w:val="0"/>
      <w:marBottom w:val="0"/>
      <w:divBdr>
        <w:top w:val="none" w:sz="0" w:space="0" w:color="auto"/>
        <w:left w:val="none" w:sz="0" w:space="0" w:color="auto"/>
        <w:bottom w:val="none" w:sz="0" w:space="0" w:color="auto"/>
        <w:right w:val="none" w:sz="0" w:space="0" w:color="auto"/>
      </w:divBdr>
    </w:div>
    <w:div w:id="986202186">
      <w:bodyDiv w:val="1"/>
      <w:marLeft w:val="0"/>
      <w:marRight w:val="0"/>
      <w:marTop w:val="0"/>
      <w:marBottom w:val="0"/>
      <w:divBdr>
        <w:top w:val="none" w:sz="0" w:space="0" w:color="auto"/>
        <w:left w:val="none" w:sz="0" w:space="0" w:color="auto"/>
        <w:bottom w:val="none" w:sz="0" w:space="0" w:color="auto"/>
        <w:right w:val="none" w:sz="0" w:space="0" w:color="auto"/>
      </w:divBdr>
    </w:div>
    <w:div w:id="986283757">
      <w:bodyDiv w:val="1"/>
      <w:marLeft w:val="0"/>
      <w:marRight w:val="0"/>
      <w:marTop w:val="0"/>
      <w:marBottom w:val="0"/>
      <w:divBdr>
        <w:top w:val="none" w:sz="0" w:space="0" w:color="auto"/>
        <w:left w:val="none" w:sz="0" w:space="0" w:color="auto"/>
        <w:bottom w:val="none" w:sz="0" w:space="0" w:color="auto"/>
        <w:right w:val="none" w:sz="0" w:space="0" w:color="auto"/>
      </w:divBdr>
    </w:div>
    <w:div w:id="986664013">
      <w:bodyDiv w:val="1"/>
      <w:marLeft w:val="0"/>
      <w:marRight w:val="0"/>
      <w:marTop w:val="0"/>
      <w:marBottom w:val="0"/>
      <w:divBdr>
        <w:top w:val="none" w:sz="0" w:space="0" w:color="auto"/>
        <w:left w:val="none" w:sz="0" w:space="0" w:color="auto"/>
        <w:bottom w:val="none" w:sz="0" w:space="0" w:color="auto"/>
        <w:right w:val="none" w:sz="0" w:space="0" w:color="auto"/>
      </w:divBdr>
    </w:div>
    <w:div w:id="987442177">
      <w:bodyDiv w:val="1"/>
      <w:marLeft w:val="0"/>
      <w:marRight w:val="0"/>
      <w:marTop w:val="0"/>
      <w:marBottom w:val="0"/>
      <w:divBdr>
        <w:top w:val="none" w:sz="0" w:space="0" w:color="auto"/>
        <w:left w:val="none" w:sz="0" w:space="0" w:color="auto"/>
        <w:bottom w:val="none" w:sz="0" w:space="0" w:color="auto"/>
        <w:right w:val="none" w:sz="0" w:space="0" w:color="auto"/>
      </w:divBdr>
      <w:divsChild>
        <w:div w:id="981075836">
          <w:marLeft w:val="0"/>
          <w:marRight w:val="0"/>
          <w:marTop w:val="0"/>
          <w:marBottom w:val="0"/>
          <w:divBdr>
            <w:top w:val="none" w:sz="0" w:space="0" w:color="auto"/>
            <w:left w:val="none" w:sz="0" w:space="0" w:color="auto"/>
            <w:bottom w:val="none" w:sz="0" w:space="0" w:color="auto"/>
            <w:right w:val="none" w:sz="0" w:space="0" w:color="auto"/>
          </w:divBdr>
          <w:divsChild>
            <w:div w:id="318534482">
              <w:marLeft w:val="0"/>
              <w:marRight w:val="0"/>
              <w:marTop w:val="0"/>
              <w:marBottom w:val="0"/>
              <w:divBdr>
                <w:top w:val="none" w:sz="0" w:space="0" w:color="auto"/>
                <w:left w:val="none" w:sz="0" w:space="0" w:color="auto"/>
                <w:bottom w:val="none" w:sz="0" w:space="0" w:color="auto"/>
                <w:right w:val="none" w:sz="0" w:space="0" w:color="auto"/>
              </w:divBdr>
              <w:divsChild>
                <w:div w:id="476654836">
                  <w:marLeft w:val="0"/>
                  <w:marRight w:val="0"/>
                  <w:marTop w:val="0"/>
                  <w:marBottom w:val="0"/>
                  <w:divBdr>
                    <w:top w:val="none" w:sz="0" w:space="0" w:color="auto"/>
                    <w:left w:val="none" w:sz="0" w:space="0" w:color="auto"/>
                    <w:bottom w:val="none" w:sz="0" w:space="0" w:color="auto"/>
                    <w:right w:val="none" w:sz="0" w:space="0" w:color="auto"/>
                  </w:divBdr>
                  <w:divsChild>
                    <w:div w:id="189164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362668">
      <w:bodyDiv w:val="1"/>
      <w:marLeft w:val="0"/>
      <w:marRight w:val="0"/>
      <w:marTop w:val="0"/>
      <w:marBottom w:val="0"/>
      <w:divBdr>
        <w:top w:val="none" w:sz="0" w:space="0" w:color="auto"/>
        <w:left w:val="none" w:sz="0" w:space="0" w:color="auto"/>
        <w:bottom w:val="none" w:sz="0" w:space="0" w:color="auto"/>
        <w:right w:val="none" w:sz="0" w:space="0" w:color="auto"/>
      </w:divBdr>
    </w:div>
    <w:div w:id="988559433">
      <w:bodyDiv w:val="1"/>
      <w:marLeft w:val="0"/>
      <w:marRight w:val="0"/>
      <w:marTop w:val="0"/>
      <w:marBottom w:val="0"/>
      <w:divBdr>
        <w:top w:val="none" w:sz="0" w:space="0" w:color="auto"/>
        <w:left w:val="none" w:sz="0" w:space="0" w:color="auto"/>
        <w:bottom w:val="none" w:sz="0" w:space="0" w:color="auto"/>
        <w:right w:val="none" w:sz="0" w:space="0" w:color="auto"/>
      </w:divBdr>
    </w:div>
    <w:div w:id="989093595">
      <w:bodyDiv w:val="1"/>
      <w:marLeft w:val="0"/>
      <w:marRight w:val="0"/>
      <w:marTop w:val="0"/>
      <w:marBottom w:val="0"/>
      <w:divBdr>
        <w:top w:val="none" w:sz="0" w:space="0" w:color="auto"/>
        <w:left w:val="none" w:sz="0" w:space="0" w:color="auto"/>
        <w:bottom w:val="none" w:sz="0" w:space="0" w:color="auto"/>
        <w:right w:val="none" w:sz="0" w:space="0" w:color="auto"/>
      </w:divBdr>
      <w:divsChild>
        <w:div w:id="558636863">
          <w:marLeft w:val="0"/>
          <w:marRight w:val="0"/>
          <w:marTop w:val="0"/>
          <w:marBottom w:val="0"/>
          <w:divBdr>
            <w:top w:val="none" w:sz="0" w:space="0" w:color="auto"/>
            <w:left w:val="none" w:sz="0" w:space="0" w:color="auto"/>
            <w:bottom w:val="none" w:sz="0" w:space="0" w:color="auto"/>
            <w:right w:val="none" w:sz="0" w:space="0" w:color="auto"/>
          </w:divBdr>
          <w:divsChild>
            <w:div w:id="802619523">
              <w:marLeft w:val="0"/>
              <w:marRight w:val="0"/>
              <w:marTop w:val="0"/>
              <w:marBottom w:val="0"/>
              <w:divBdr>
                <w:top w:val="none" w:sz="0" w:space="0" w:color="auto"/>
                <w:left w:val="none" w:sz="0" w:space="0" w:color="auto"/>
                <w:bottom w:val="none" w:sz="0" w:space="0" w:color="auto"/>
                <w:right w:val="none" w:sz="0" w:space="0" w:color="auto"/>
              </w:divBdr>
              <w:divsChild>
                <w:div w:id="1833326249">
                  <w:marLeft w:val="0"/>
                  <w:marRight w:val="0"/>
                  <w:marTop w:val="0"/>
                  <w:marBottom w:val="0"/>
                  <w:divBdr>
                    <w:top w:val="none" w:sz="0" w:space="0" w:color="auto"/>
                    <w:left w:val="none" w:sz="0" w:space="0" w:color="auto"/>
                    <w:bottom w:val="none" w:sz="0" w:space="0" w:color="auto"/>
                    <w:right w:val="none" w:sz="0" w:space="0" w:color="auto"/>
                  </w:divBdr>
                  <w:divsChild>
                    <w:div w:id="172945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410528">
      <w:bodyDiv w:val="1"/>
      <w:marLeft w:val="0"/>
      <w:marRight w:val="0"/>
      <w:marTop w:val="0"/>
      <w:marBottom w:val="0"/>
      <w:divBdr>
        <w:top w:val="none" w:sz="0" w:space="0" w:color="auto"/>
        <w:left w:val="none" w:sz="0" w:space="0" w:color="auto"/>
        <w:bottom w:val="none" w:sz="0" w:space="0" w:color="auto"/>
        <w:right w:val="none" w:sz="0" w:space="0" w:color="auto"/>
      </w:divBdr>
      <w:divsChild>
        <w:div w:id="990256198">
          <w:marLeft w:val="0"/>
          <w:marRight w:val="0"/>
          <w:marTop w:val="0"/>
          <w:marBottom w:val="0"/>
          <w:divBdr>
            <w:top w:val="none" w:sz="0" w:space="0" w:color="auto"/>
            <w:left w:val="none" w:sz="0" w:space="0" w:color="auto"/>
            <w:bottom w:val="none" w:sz="0" w:space="0" w:color="auto"/>
            <w:right w:val="none" w:sz="0" w:space="0" w:color="auto"/>
          </w:divBdr>
          <w:divsChild>
            <w:div w:id="696783184">
              <w:marLeft w:val="0"/>
              <w:marRight w:val="0"/>
              <w:marTop w:val="0"/>
              <w:marBottom w:val="0"/>
              <w:divBdr>
                <w:top w:val="none" w:sz="0" w:space="0" w:color="auto"/>
                <w:left w:val="none" w:sz="0" w:space="0" w:color="auto"/>
                <w:bottom w:val="none" w:sz="0" w:space="0" w:color="auto"/>
                <w:right w:val="none" w:sz="0" w:space="0" w:color="auto"/>
              </w:divBdr>
              <w:divsChild>
                <w:div w:id="666637244">
                  <w:marLeft w:val="0"/>
                  <w:marRight w:val="0"/>
                  <w:marTop w:val="0"/>
                  <w:marBottom w:val="0"/>
                  <w:divBdr>
                    <w:top w:val="none" w:sz="0" w:space="0" w:color="auto"/>
                    <w:left w:val="none" w:sz="0" w:space="0" w:color="auto"/>
                    <w:bottom w:val="none" w:sz="0" w:space="0" w:color="auto"/>
                    <w:right w:val="none" w:sz="0" w:space="0" w:color="auto"/>
                  </w:divBdr>
                  <w:divsChild>
                    <w:div w:id="81221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749138">
      <w:bodyDiv w:val="1"/>
      <w:marLeft w:val="0"/>
      <w:marRight w:val="0"/>
      <w:marTop w:val="0"/>
      <w:marBottom w:val="0"/>
      <w:divBdr>
        <w:top w:val="none" w:sz="0" w:space="0" w:color="auto"/>
        <w:left w:val="none" w:sz="0" w:space="0" w:color="auto"/>
        <w:bottom w:val="none" w:sz="0" w:space="0" w:color="auto"/>
        <w:right w:val="none" w:sz="0" w:space="0" w:color="auto"/>
      </w:divBdr>
    </w:div>
    <w:div w:id="990254476">
      <w:bodyDiv w:val="1"/>
      <w:marLeft w:val="0"/>
      <w:marRight w:val="0"/>
      <w:marTop w:val="0"/>
      <w:marBottom w:val="0"/>
      <w:divBdr>
        <w:top w:val="none" w:sz="0" w:space="0" w:color="auto"/>
        <w:left w:val="none" w:sz="0" w:space="0" w:color="auto"/>
        <w:bottom w:val="none" w:sz="0" w:space="0" w:color="auto"/>
        <w:right w:val="none" w:sz="0" w:space="0" w:color="auto"/>
      </w:divBdr>
      <w:divsChild>
        <w:div w:id="43604970">
          <w:marLeft w:val="0"/>
          <w:marRight w:val="0"/>
          <w:marTop w:val="0"/>
          <w:marBottom w:val="0"/>
          <w:divBdr>
            <w:top w:val="none" w:sz="0" w:space="0" w:color="auto"/>
            <w:left w:val="none" w:sz="0" w:space="0" w:color="auto"/>
            <w:bottom w:val="none" w:sz="0" w:space="0" w:color="auto"/>
            <w:right w:val="none" w:sz="0" w:space="0" w:color="auto"/>
          </w:divBdr>
          <w:divsChild>
            <w:div w:id="671251768">
              <w:marLeft w:val="0"/>
              <w:marRight w:val="0"/>
              <w:marTop w:val="0"/>
              <w:marBottom w:val="0"/>
              <w:divBdr>
                <w:top w:val="none" w:sz="0" w:space="0" w:color="auto"/>
                <w:left w:val="none" w:sz="0" w:space="0" w:color="auto"/>
                <w:bottom w:val="none" w:sz="0" w:space="0" w:color="auto"/>
                <w:right w:val="none" w:sz="0" w:space="0" w:color="auto"/>
              </w:divBdr>
              <w:divsChild>
                <w:div w:id="555166934">
                  <w:marLeft w:val="0"/>
                  <w:marRight w:val="0"/>
                  <w:marTop w:val="0"/>
                  <w:marBottom w:val="0"/>
                  <w:divBdr>
                    <w:top w:val="none" w:sz="0" w:space="0" w:color="auto"/>
                    <w:left w:val="none" w:sz="0" w:space="0" w:color="auto"/>
                    <w:bottom w:val="none" w:sz="0" w:space="0" w:color="auto"/>
                    <w:right w:val="none" w:sz="0" w:space="0" w:color="auto"/>
                  </w:divBdr>
                  <w:divsChild>
                    <w:div w:id="18856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402696">
      <w:bodyDiv w:val="1"/>
      <w:marLeft w:val="0"/>
      <w:marRight w:val="0"/>
      <w:marTop w:val="0"/>
      <w:marBottom w:val="0"/>
      <w:divBdr>
        <w:top w:val="none" w:sz="0" w:space="0" w:color="auto"/>
        <w:left w:val="none" w:sz="0" w:space="0" w:color="auto"/>
        <w:bottom w:val="none" w:sz="0" w:space="0" w:color="auto"/>
        <w:right w:val="none" w:sz="0" w:space="0" w:color="auto"/>
      </w:divBdr>
      <w:divsChild>
        <w:div w:id="1149640284">
          <w:marLeft w:val="0"/>
          <w:marRight w:val="0"/>
          <w:marTop w:val="0"/>
          <w:marBottom w:val="0"/>
          <w:divBdr>
            <w:top w:val="none" w:sz="0" w:space="0" w:color="auto"/>
            <w:left w:val="none" w:sz="0" w:space="0" w:color="auto"/>
            <w:bottom w:val="none" w:sz="0" w:space="0" w:color="auto"/>
            <w:right w:val="none" w:sz="0" w:space="0" w:color="auto"/>
          </w:divBdr>
          <w:divsChild>
            <w:div w:id="1623077293">
              <w:marLeft w:val="0"/>
              <w:marRight w:val="0"/>
              <w:marTop w:val="0"/>
              <w:marBottom w:val="0"/>
              <w:divBdr>
                <w:top w:val="none" w:sz="0" w:space="0" w:color="auto"/>
                <w:left w:val="none" w:sz="0" w:space="0" w:color="auto"/>
                <w:bottom w:val="none" w:sz="0" w:space="0" w:color="auto"/>
                <w:right w:val="none" w:sz="0" w:space="0" w:color="auto"/>
              </w:divBdr>
              <w:divsChild>
                <w:div w:id="481778136">
                  <w:marLeft w:val="0"/>
                  <w:marRight w:val="0"/>
                  <w:marTop w:val="0"/>
                  <w:marBottom w:val="0"/>
                  <w:divBdr>
                    <w:top w:val="none" w:sz="0" w:space="0" w:color="auto"/>
                    <w:left w:val="none" w:sz="0" w:space="0" w:color="auto"/>
                    <w:bottom w:val="none" w:sz="0" w:space="0" w:color="auto"/>
                    <w:right w:val="none" w:sz="0" w:space="0" w:color="auto"/>
                  </w:divBdr>
                  <w:divsChild>
                    <w:div w:id="111170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526827">
      <w:bodyDiv w:val="1"/>
      <w:marLeft w:val="0"/>
      <w:marRight w:val="0"/>
      <w:marTop w:val="0"/>
      <w:marBottom w:val="0"/>
      <w:divBdr>
        <w:top w:val="none" w:sz="0" w:space="0" w:color="auto"/>
        <w:left w:val="none" w:sz="0" w:space="0" w:color="auto"/>
        <w:bottom w:val="none" w:sz="0" w:space="0" w:color="auto"/>
        <w:right w:val="none" w:sz="0" w:space="0" w:color="auto"/>
      </w:divBdr>
    </w:div>
    <w:div w:id="991560123">
      <w:bodyDiv w:val="1"/>
      <w:marLeft w:val="0"/>
      <w:marRight w:val="0"/>
      <w:marTop w:val="0"/>
      <w:marBottom w:val="0"/>
      <w:divBdr>
        <w:top w:val="none" w:sz="0" w:space="0" w:color="auto"/>
        <w:left w:val="none" w:sz="0" w:space="0" w:color="auto"/>
        <w:bottom w:val="none" w:sz="0" w:space="0" w:color="auto"/>
        <w:right w:val="none" w:sz="0" w:space="0" w:color="auto"/>
      </w:divBdr>
    </w:div>
    <w:div w:id="992368406">
      <w:bodyDiv w:val="1"/>
      <w:marLeft w:val="0"/>
      <w:marRight w:val="0"/>
      <w:marTop w:val="0"/>
      <w:marBottom w:val="0"/>
      <w:divBdr>
        <w:top w:val="none" w:sz="0" w:space="0" w:color="auto"/>
        <w:left w:val="none" w:sz="0" w:space="0" w:color="auto"/>
        <w:bottom w:val="none" w:sz="0" w:space="0" w:color="auto"/>
        <w:right w:val="none" w:sz="0" w:space="0" w:color="auto"/>
      </w:divBdr>
    </w:div>
    <w:div w:id="992564277">
      <w:bodyDiv w:val="1"/>
      <w:marLeft w:val="0"/>
      <w:marRight w:val="0"/>
      <w:marTop w:val="0"/>
      <w:marBottom w:val="0"/>
      <w:divBdr>
        <w:top w:val="none" w:sz="0" w:space="0" w:color="auto"/>
        <w:left w:val="none" w:sz="0" w:space="0" w:color="auto"/>
        <w:bottom w:val="none" w:sz="0" w:space="0" w:color="auto"/>
        <w:right w:val="none" w:sz="0" w:space="0" w:color="auto"/>
      </w:divBdr>
    </w:div>
    <w:div w:id="994143433">
      <w:bodyDiv w:val="1"/>
      <w:marLeft w:val="0"/>
      <w:marRight w:val="0"/>
      <w:marTop w:val="0"/>
      <w:marBottom w:val="0"/>
      <w:divBdr>
        <w:top w:val="none" w:sz="0" w:space="0" w:color="auto"/>
        <w:left w:val="none" w:sz="0" w:space="0" w:color="auto"/>
        <w:bottom w:val="none" w:sz="0" w:space="0" w:color="auto"/>
        <w:right w:val="none" w:sz="0" w:space="0" w:color="auto"/>
      </w:divBdr>
    </w:div>
    <w:div w:id="994993627">
      <w:bodyDiv w:val="1"/>
      <w:marLeft w:val="0"/>
      <w:marRight w:val="0"/>
      <w:marTop w:val="0"/>
      <w:marBottom w:val="0"/>
      <w:divBdr>
        <w:top w:val="none" w:sz="0" w:space="0" w:color="auto"/>
        <w:left w:val="none" w:sz="0" w:space="0" w:color="auto"/>
        <w:bottom w:val="none" w:sz="0" w:space="0" w:color="auto"/>
        <w:right w:val="none" w:sz="0" w:space="0" w:color="auto"/>
      </w:divBdr>
    </w:div>
    <w:div w:id="995306229">
      <w:bodyDiv w:val="1"/>
      <w:marLeft w:val="0"/>
      <w:marRight w:val="0"/>
      <w:marTop w:val="0"/>
      <w:marBottom w:val="0"/>
      <w:divBdr>
        <w:top w:val="none" w:sz="0" w:space="0" w:color="auto"/>
        <w:left w:val="none" w:sz="0" w:space="0" w:color="auto"/>
        <w:bottom w:val="none" w:sz="0" w:space="0" w:color="auto"/>
        <w:right w:val="none" w:sz="0" w:space="0" w:color="auto"/>
      </w:divBdr>
    </w:div>
    <w:div w:id="995648450">
      <w:bodyDiv w:val="1"/>
      <w:marLeft w:val="0"/>
      <w:marRight w:val="0"/>
      <w:marTop w:val="0"/>
      <w:marBottom w:val="0"/>
      <w:divBdr>
        <w:top w:val="none" w:sz="0" w:space="0" w:color="auto"/>
        <w:left w:val="none" w:sz="0" w:space="0" w:color="auto"/>
        <w:bottom w:val="none" w:sz="0" w:space="0" w:color="auto"/>
        <w:right w:val="none" w:sz="0" w:space="0" w:color="auto"/>
      </w:divBdr>
    </w:div>
    <w:div w:id="996568950">
      <w:bodyDiv w:val="1"/>
      <w:marLeft w:val="0"/>
      <w:marRight w:val="0"/>
      <w:marTop w:val="0"/>
      <w:marBottom w:val="0"/>
      <w:divBdr>
        <w:top w:val="none" w:sz="0" w:space="0" w:color="auto"/>
        <w:left w:val="none" w:sz="0" w:space="0" w:color="auto"/>
        <w:bottom w:val="none" w:sz="0" w:space="0" w:color="auto"/>
        <w:right w:val="none" w:sz="0" w:space="0" w:color="auto"/>
      </w:divBdr>
    </w:div>
    <w:div w:id="996618339">
      <w:bodyDiv w:val="1"/>
      <w:marLeft w:val="0"/>
      <w:marRight w:val="0"/>
      <w:marTop w:val="0"/>
      <w:marBottom w:val="0"/>
      <w:divBdr>
        <w:top w:val="none" w:sz="0" w:space="0" w:color="auto"/>
        <w:left w:val="none" w:sz="0" w:space="0" w:color="auto"/>
        <w:bottom w:val="none" w:sz="0" w:space="0" w:color="auto"/>
        <w:right w:val="none" w:sz="0" w:space="0" w:color="auto"/>
      </w:divBdr>
    </w:div>
    <w:div w:id="996763438">
      <w:bodyDiv w:val="1"/>
      <w:marLeft w:val="0"/>
      <w:marRight w:val="0"/>
      <w:marTop w:val="0"/>
      <w:marBottom w:val="0"/>
      <w:divBdr>
        <w:top w:val="none" w:sz="0" w:space="0" w:color="auto"/>
        <w:left w:val="none" w:sz="0" w:space="0" w:color="auto"/>
        <w:bottom w:val="none" w:sz="0" w:space="0" w:color="auto"/>
        <w:right w:val="none" w:sz="0" w:space="0" w:color="auto"/>
      </w:divBdr>
    </w:div>
    <w:div w:id="996885779">
      <w:bodyDiv w:val="1"/>
      <w:marLeft w:val="0"/>
      <w:marRight w:val="0"/>
      <w:marTop w:val="0"/>
      <w:marBottom w:val="0"/>
      <w:divBdr>
        <w:top w:val="none" w:sz="0" w:space="0" w:color="auto"/>
        <w:left w:val="none" w:sz="0" w:space="0" w:color="auto"/>
        <w:bottom w:val="none" w:sz="0" w:space="0" w:color="auto"/>
        <w:right w:val="none" w:sz="0" w:space="0" w:color="auto"/>
      </w:divBdr>
    </w:div>
    <w:div w:id="997683526">
      <w:bodyDiv w:val="1"/>
      <w:marLeft w:val="0"/>
      <w:marRight w:val="0"/>
      <w:marTop w:val="0"/>
      <w:marBottom w:val="0"/>
      <w:divBdr>
        <w:top w:val="none" w:sz="0" w:space="0" w:color="auto"/>
        <w:left w:val="none" w:sz="0" w:space="0" w:color="auto"/>
        <w:bottom w:val="none" w:sz="0" w:space="0" w:color="auto"/>
        <w:right w:val="none" w:sz="0" w:space="0" w:color="auto"/>
      </w:divBdr>
    </w:div>
    <w:div w:id="998580803">
      <w:bodyDiv w:val="1"/>
      <w:marLeft w:val="0"/>
      <w:marRight w:val="0"/>
      <w:marTop w:val="0"/>
      <w:marBottom w:val="0"/>
      <w:divBdr>
        <w:top w:val="none" w:sz="0" w:space="0" w:color="auto"/>
        <w:left w:val="none" w:sz="0" w:space="0" w:color="auto"/>
        <w:bottom w:val="none" w:sz="0" w:space="0" w:color="auto"/>
        <w:right w:val="none" w:sz="0" w:space="0" w:color="auto"/>
      </w:divBdr>
    </w:div>
    <w:div w:id="998994791">
      <w:bodyDiv w:val="1"/>
      <w:marLeft w:val="0"/>
      <w:marRight w:val="0"/>
      <w:marTop w:val="0"/>
      <w:marBottom w:val="0"/>
      <w:divBdr>
        <w:top w:val="none" w:sz="0" w:space="0" w:color="auto"/>
        <w:left w:val="none" w:sz="0" w:space="0" w:color="auto"/>
        <w:bottom w:val="none" w:sz="0" w:space="0" w:color="auto"/>
        <w:right w:val="none" w:sz="0" w:space="0" w:color="auto"/>
      </w:divBdr>
      <w:divsChild>
        <w:div w:id="1967619713">
          <w:marLeft w:val="0"/>
          <w:marRight w:val="0"/>
          <w:marTop w:val="0"/>
          <w:marBottom w:val="0"/>
          <w:divBdr>
            <w:top w:val="none" w:sz="0" w:space="0" w:color="auto"/>
            <w:left w:val="none" w:sz="0" w:space="0" w:color="auto"/>
            <w:bottom w:val="none" w:sz="0" w:space="0" w:color="auto"/>
            <w:right w:val="none" w:sz="0" w:space="0" w:color="auto"/>
          </w:divBdr>
          <w:divsChild>
            <w:div w:id="1147087194">
              <w:marLeft w:val="0"/>
              <w:marRight w:val="0"/>
              <w:marTop w:val="0"/>
              <w:marBottom w:val="0"/>
              <w:divBdr>
                <w:top w:val="none" w:sz="0" w:space="0" w:color="auto"/>
                <w:left w:val="none" w:sz="0" w:space="0" w:color="auto"/>
                <w:bottom w:val="none" w:sz="0" w:space="0" w:color="auto"/>
                <w:right w:val="none" w:sz="0" w:space="0" w:color="auto"/>
              </w:divBdr>
              <w:divsChild>
                <w:div w:id="103817617">
                  <w:marLeft w:val="0"/>
                  <w:marRight w:val="0"/>
                  <w:marTop w:val="0"/>
                  <w:marBottom w:val="0"/>
                  <w:divBdr>
                    <w:top w:val="none" w:sz="0" w:space="0" w:color="auto"/>
                    <w:left w:val="none" w:sz="0" w:space="0" w:color="auto"/>
                    <w:bottom w:val="none" w:sz="0" w:space="0" w:color="auto"/>
                    <w:right w:val="none" w:sz="0" w:space="0" w:color="auto"/>
                  </w:divBdr>
                  <w:divsChild>
                    <w:div w:id="8675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548058">
      <w:bodyDiv w:val="1"/>
      <w:marLeft w:val="0"/>
      <w:marRight w:val="0"/>
      <w:marTop w:val="0"/>
      <w:marBottom w:val="0"/>
      <w:divBdr>
        <w:top w:val="none" w:sz="0" w:space="0" w:color="auto"/>
        <w:left w:val="none" w:sz="0" w:space="0" w:color="auto"/>
        <w:bottom w:val="none" w:sz="0" w:space="0" w:color="auto"/>
        <w:right w:val="none" w:sz="0" w:space="0" w:color="auto"/>
      </w:divBdr>
      <w:divsChild>
        <w:div w:id="1886483672">
          <w:marLeft w:val="0"/>
          <w:marRight w:val="0"/>
          <w:marTop w:val="0"/>
          <w:marBottom w:val="0"/>
          <w:divBdr>
            <w:top w:val="none" w:sz="0" w:space="0" w:color="auto"/>
            <w:left w:val="none" w:sz="0" w:space="0" w:color="auto"/>
            <w:bottom w:val="none" w:sz="0" w:space="0" w:color="auto"/>
            <w:right w:val="none" w:sz="0" w:space="0" w:color="auto"/>
          </w:divBdr>
          <w:divsChild>
            <w:div w:id="993796892">
              <w:marLeft w:val="0"/>
              <w:marRight w:val="0"/>
              <w:marTop w:val="0"/>
              <w:marBottom w:val="0"/>
              <w:divBdr>
                <w:top w:val="none" w:sz="0" w:space="0" w:color="auto"/>
                <w:left w:val="none" w:sz="0" w:space="0" w:color="auto"/>
                <w:bottom w:val="none" w:sz="0" w:space="0" w:color="auto"/>
                <w:right w:val="none" w:sz="0" w:space="0" w:color="auto"/>
              </w:divBdr>
              <w:divsChild>
                <w:div w:id="1631521491">
                  <w:marLeft w:val="0"/>
                  <w:marRight w:val="0"/>
                  <w:marTop w:val="0"/>
                  <w:marBottom w:val="0"/>
                  <w:divBdr>
                    <w:top w:val="none" w:sz="0" w:space="0" w:color="auto"/>
                    <w:left w:val="none" w:sz="0" w:space="0" w:color="auto"/>
                    <w:bottom w:val="none" w:sz="0" w:space="0" w:color="auto"/>
                    <w:right w:val="none" w:sz="0" w:space="0" w:color="auto"/>
                  </w:divBdr>
                  <w:divsChild>
                    <w:div w:id="173712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197755">
      <w:bodyDiv w:val="1"/>
      <w:marLeft w:val="0"/>
      <w:marRight w:val="0"/>
      <w:marTop w:val="0"/>
      <w:marBottom w:val="0"/>
      <w:divBdr>
        <w:top w:val="none" w:sz="0" w:space="0" w:color="auto"/>
        <w:left w:val="none" w:sz="0" w:space="0" w:color="auto"/>
        <w:bottom w:val="none" w:sz="0" w:space="0" w:color="auto"/>
        <w:right w:val="none" w:sz="0" w:space="0" w:color="auto"/>
      </w:divBdr>
    </w:div>
    <w:div w:id="1001274671">
      <w:bodyDiv w:val="1"/>
      <w:marLeft w:val="0"/>
      <w:marRight w:val="0"/>
      <w:marTop w:val="0"/>
      <w:marBottom w:val="0"/>
      <w:divBdr>
        <w:top w:val="none" w:sz="0" w:space="0" w:color="auto"/>
        <w:left w:val="none" w:sz="0" w:space="0" w:color="auto"/>
        <w:bottom w:val="none" w:sz="0" w:space="0" w:color="auto"/>
        <w:right w:val="none" w:sz="0" w:space="0" w:color="auto"/>
      </w:divBdr>
    </w:div>
    <w:div w:id="1002053148">
      <w:bodyDiv w:val="1"/>
      <w:marLeft w:val="0"/>
      <w:marRight w:val="0"/>
      <w:marTop w:val="0"/>
      <w:marBottom w:val="0"/>
      <w:divBdr>
        <w:top w:val="none" w:sz="0" w:space="0" w:color="auto"/>
        <w:left w:val="none" w:sz="0" w:space="0" w:color="auto"/>
        <w:bottom w:val="none" w:sz="0" w:space="0" w:color="auto"/>
        <w:right w:val="none" w:sz="0" w:space="0" w:color="auto"/>
      </w:divBdr>
    </w:div>
    <w:div w:id="1003126150">
      <w:bodyDiv w:val="1"/>
      <w:marLeft w:val="0"/>
      <w:marRight w:val="0"/>
      <w:marTop w:val="0"/>
      <w:marBottom w:val="0"/>
      <w:divBdr>
        <w:top w:val="none" w:sz="0" w:space="0" w:color="auto"/>
        <w:left w:val="none" w:sz="0" w:space="0" w:color="auto"/>
        <w:bottom w:val="none" w:sz="0" w:space="0" w:color="auto"/>
        <w:right w:val="none" w:sz="0" w:space="0" w:color="auto"/>
      </w:divBdr>
    </w:div>
    <w:div w:id="1003164481">
      <w:bodyDiv w:val="1"/>
      <w:marLeft w:val="0"/>
      <w:marRight w:val="0"/>
      <w:marTop w:val="0"/>
      <w:marBottom w:val="0"/>
      <w:divBdr>
        <w:top w:val="none" w:sz="0" w:space="0" w:color="auto"/>
        <w:left w:val="none" w:sz="0" w:space="0" w:color="auto"/>
        <w:bottom w:val="none" w:sz="0" w:space="0" w:color="auto"/>
        <w:right w:val="none" w:sz="0" w:space="0" w:color="auto"/>
      </w:divBdr>
    </w:div>
    <w:div w:id="1003432376">
      <w:bodyDiv w:val="1"/>
      <w:marLeft w:val="0"/>
      <w:marRight w:val="0"/>
      <w:marTop w:val="0"/>
      <w:marBottom w:val="0"/>
      <w:divBdr>
        <w:top w:val="none" w:sz="0" w:space="0" w:color="auto"/>
        <w:left w:val="none" w:sz="0" w:space="0" w:color="auto"/>
        <w:bottom w:val="none" w:sz="0" w:space="0" w:color="auto"/>
        <w:right w:val="none" w:sz="0" w:space="0" w:color="auto"/>
      </w:divBdr>
      <w:divsChild>
        <w:div w:id="1771387883">
          <w:marLeft w:val="0"/>
          <w:marRight w:val="0"/>
          <w:marTop w:val="0"/>
          <w:marBottom w:val="0"/>
          <w:divBdr>
            <w:top w:val="none" w:sz="0" w:space="0" w:color="auto"/>
            <w:left w:val="none" w:sz="0" w:space="0" w:color="auto"/>
            <w:bottom w:val="none" w:sz="0" w:space="0" w:color="auto"/>
            <w:right w:val="none" w:sz="0" w:space="0" w:color="auto"/>
          </w:divBdr>
          <w:divsChild>
            <w:div w:id="512114141">
              <w:marLeft w:val="0"/>
              <w:marRight w:val="0"/>
              <w:marTop w:val="0"/>
              <w:marBottom w:val="0"/>
              <w:divBdr>
                <w:top w:val="none" w:sz="0" w:space="0" w:color="auto"/>
                <w:left w:val="none" w:sz="0" w:space="0" w:color="auto"/>
                <w:bottom w:val="none" w:sz="0" w:space="0" w:color="auto"/>
                <w:right w:val="none" w:sz="0" w:space="0" w:color="auto"/>
              </w:divBdr>
              <w:divsChild>
                <w:div w:id="179752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89302">
      <w:bodyDiv w:val="1"/>
      <w:marLeft w:val="0"/>
      <w:marRight w:val="0"/>
      <w:marTop w:val="0"/>
      <w:marBottom w:val="0"/>
      <w:divBdr>
        <w:top w:val="none" w:sz="0" w:space="0" w:color="auto"/>
        <w:left w:val="none" w:sz="0" w:space="0" w:color="auto"/>
        <w:bottom w:val="none" w:sz="0" w:space="0" w:color="auto"/>
        <w:right w:val="none" w:sz="0" w:space="0" w:color="auto"/>
      </w:divBdr>
      <w:divsChild>
        <w:div w:id="1644584277">
          <w:marLeft w:val="0"/>
          <w:marRight w:val="0"/>
          <w:marTop w:val="0"/>
          <w:marBottom w:val="0"/>
          <w:divBdr>
            <w:top w:val="none" w:sz="0" w:space="0" w:color="auto"/>
            <w:left w:val="none" w:sz="0" w:space="0" w:color="auto"/>
            <w:bottom w:val="none" w:sz="0" w:space="0" w:color="auto"/>
            <w:right w:val="none" w:sz="0" w:space="0" w:color="auto"/>
          </w:divBdr>
          <w:divsChild>
            <w:div w:id="441531649">
              <w:marLeft w:val="0"/>
              <w:marRight w:val="0"/>
              <w:marTop w:val="0"/>
              <w:marBottom w:val="0"/>
              <w:divBdr>
                <w:top w:val="none" w:sz="0" w:space="0" w:color="auto"/>
                <w:left w:val="none" w:sz="0" w:space="0" w:color="auto"/>
                <w:bottom w:val="none" w:sz="0" w:space="0" w:color="auto"/>
                <w:right w:val="none" w:sz="0" w:space="0" w:color="auto"/>
              </w:divBdr>
              <w:divsChild>
                <w:div w:id="1629583392">
                  <w:marLeft w:val="0"/>
                  <w:marRight w:val="0"/>
                  <w:marTop w:val="0"/>
                  <w:marBottom w:val="0"/>
                  <w:divBdr>
                    <w:top w:val="none" w:sz="0" w:space="0" w:color="auto"/>
                    <w:left w:val="none" w:sz="0" w:space="0" w:color="auto"/>
                    <w:bottom w:val="none" w:sz="0" w:space="0" w:color="auto"/>
                    <w:right w:val="none" w:sz="0" w:space="0" w:color="auto"/>
                  </w:divBdr>
                  <w:divsChild>
                    <w:div w:id="114963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236581">
      <w:bodyDiv w:val="1"/>
      <w:marLeft w:val="0"/>
      <w:marRight w:val="0"/>
      <w:marTop w:val="0"/>
      <w:marBottom w:val="0"/>
      <w:divBdr>
        <w:top w:val="none" w:sz="0" w:space="0" w:color="auto"/>
        <w:left w:val="none" w:sz="0" w:space="0" w:color="auto"/>
        <w:bottom w:val="none" w:sz="0" w:space="0" w:color="auto"/>
        <w:right w:val="none" w:sz="0" w:space="0" w:color="auto"/>
      </w:divBdr>
    </w:div>
    <w:div w:id="1004478765">
      <w:bodyDiv w:val="1"/>
      <w:marLeft w:val="0"/>
      <w:marRight w:val="0"/>
      <w:marTop w:val="0"/>
      <w:marBottom w:val="0"/>
      <w:divBdr>
        <w:top w:val="none" w:sz="0" w:space="0" w:color="auto"/>
        <w:left w:val="none" w:sz="0" w:space="0" w:color="auto"/>
        <w:bottom w:val="none" w:sz="0" w:space="0" w:color="auto"/>
        <w:right w:val="none" w:sz="0" w:space="0" w:color="auto"/>
      </w:divBdr>
    </w:div>
    <w:div w:id="1005936077">
      <w:bodyDiv w:val="1"/>
      <w:marLeft w:val="0"/>
      <w:marRight w:val="0"/>
      <w:marTop w:val="0"/>
      <w:marBottom w:val="0"/>
      <w:divBdr>
        <w:top w:val="none" w:sz="0" w:space="0" w:color="auto"/>
        <w:left w:val="none" w:sz="0" w:space="0" w:color="auto"/>
        <w:bottom w:val="none" w:sz="0" w:space="0" w:color="auto"/>
        <w:right w:val="none" w:sz="0" w:space="0" w:color="auto"/>
      </w:divBdr>
    </w:div>
    <w:div w:id="1005943120">
      <w:bodyDiv w:val="1"/>
      <w:marLeft w:val="0"/>
      <w:marRight w:val="0"/>
      <w:marTop w:val="0"/>
      <w:marBottom w:val="0"/>
      <w:divBdr>
        <w:top w:val="none" w:sz="0" w:space="0" w:color="auto"/>
        <w:left w:val="none" w:sz="0" w:space="0" w:color="auto"/>
        <w:bottom w:val="none" w:sz="0" w:space="0" w:color="auto"/>
        <w:right w:val="none" w:sz="0" w:space="0" w:color="auto"/>
      </w:divBdr>
    </w:div>
    <w:div w:id="1006787089">
      <w:bodyDiv w:val="1"/>
      <w:marLeft w:val="0"/>
      <w:marRight w:val="0"/>
      <w:marTop w:val="0"/>
      <w:marBottom w:val="0"/>
      <w:divBdr>
        <w:top w:val="none" w:sz="0" w:space="0" w:color="auto"/>
        <w:left w:val="none" w:sz="0" w:space="0" w:color="auto"/>
        <w:bottom w:val="none" w:sz="0" w:space="0" w:color="auto"/>
        <w:right w:val="none" w:sz="0" w:space="0" w:color="auto"/>
      </w:divBdr>
    </w:div>
    <w:div w:id="1007054234">
      <w:bodyDiv w:val="1"/>
      <w:marLeft w:val="0"/>
      <w:marRight w:val="0"/>
      <w:marTop w:val="0"/>
      <w:marBottom w:val="0"/>
      <w:divBdr>
        <w:top w:val="none" w:sz="0" w:space="0" w:color="auto"/>
        <w:left w:val="none" w:sz="0" w:space="0" w:color="auto"/>
        <w:bottom w:val="none" w:sz="0" w:space="0" w:color="auto"/>
        <w:right w:val="none" w:sz="0" w:space="0" w:color="auto"/>
      </w:divBdr>
    </w:div>
    <w:div w:id="1007094350">
      <w:bodyDiv w:val="1"/>
      <w:marLeft w:val="0"/>
      <w:marRight w:val="0"/>
      <w:marTop w:val="0"/>
      <w:marBottom w:val="0"/>
      <w:divBdr>
        <w:top w:val="none" w:sz="0" w:space="0" w:color="auto"/>
        <w:left w:val="none" w:sz="0" w:space="0" w:color="auto"/>
        <w:bottom w:val="none" w:sz="0" w:space="0" w:color="auto"/>
        <w:right w:val="none" w:sz="0" w:space="0" w:color="auto"/>
      </w:divBdr>
    </w:div>
    <w:div w:id="1007172608">
      <w:bodyDiv w:val="1"/>
      <w:marLeft w:val="0"/>
      <w:marRight w:val="0"/>
      <w:marTop w:val="0"/>
      <w:marBottom w:val="0"/>
      <w:divBdr>
        <w:top w:val="none" w:sz="0" w:space="0" w:color="auto"/>
        <w:left w:val="none" w:sz="0" w:space="0" w:color="auto"/>
        <w:bottom w:val="none" w:sz="0" w:space="0" w:color="auto"/>
        <w:right w:val="none" w:sz="0" w:space="0" w:color="auto"/>
      </w:divBdr>
      <w:divsChild>
        <w:div w:id="1284385870">
          <w:marLeft w:val="0"/>
          <w:marRight w:val="0"/>
          <w:marTop w:val="0"/>
          <w:marBottom w:val="0"/>
          <w:divBdr>
            <w:top w:val="none" w:sz="0" w:space="0" w:color="auto"/>
            <w:left w:val="none" w:sz="0" w:space="0" w:color="auto"/>
            <w:bottom w:val="none" w:sz="0" w:space="0" w:color="auto"/>
            <w:right w:val="none" w:sz="0" w:space="0" w:color="auto"/>
          </w:divBdr>
          <w:divsChild>
            <w:div w:id="12998817">
              <w:marLeft w:val="0"/>
              <w:marRight w:val="0"/>
              <w:marTop w:val="0"/>
              <w:marBottom w:val="0"/>
              <w:divBdr>
                <w:top w:val="none" w:sz="0" w:space="0" w:color="auto"/>
                <w:left w:val="none" w:sz="0" w:space="0" w:color="auto"/>
                <w:bottom w:val="none" w:sz="0" w:space="0" w:color="auto"/>
                <w:right w:val="none" w:sz="0" w:space="0" w:color="auto"/>
              </w:divBdr>
              <w:divsChild>
                <w:div w:id="874005872">
                  <w:marLeft w:val="0"/>
                  <w:marRight w:val="0"/>
                  <w:marTop w:val="0"/>
                  <w:marBottom w:val="0"/>
                  <w:divBdr>
                    <w:top w:val="none" w:sz="0" w:space="0" w:color="auto"/>
                    <w:left w:val="none" w:sz="0" w:space="0" w:color="auto"/>
                    <w:bottom w:val="none" w:sz="0" w:space="0" w:color="auto"/>
                    <w:right w:val="none" w:sz="0" w:space="0" w:color="auto"/>
                  </w:divBdr>
                  <w:divsChild>
                    <w:div w:id="7806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630923">
      <w:bodyDiv w:val="1"/>
      <w:marLeft w:val="0"/>
      <w:marRight w:val="0"/>
      <w:marTop w:val="0"/>
      <w:marBottom w:val="0"/>
      <w:divBdr>
        <w:top w:val="none" w:sz="0" w:space="0" w:color="auto"/>
        <w:left w:val="none" w:sz="0" w:space="0" w:color="auto"/>
        <w:bottom w:val="none" w:sz="0" w:space="0" w:color="auto"/>
        <w:right w:val="none" w:sz="0" w:space="0" w:color="auto"/>
      </w:divBdr>
    </w:div>
    <w:div w:id="1007632747">
      <w:bodyDiv w:val="1"/>
      <w:marLeft w:val="0"/>
      <w:marRight w:val="0"/>
      <w:marTop w:val="0"/>
      <w:marBottom w:val="0"/>
      <w:divBdr>
        <w:top w:val="none" w:sz="0" w:space="0" w:color="auto"/>
        <w:left w:val="none" w:sz="0" w:space="0" w:color="auto"/>
        <w:bottom w:val="none" w:sz="0" w:space="0" w:color="auto"/>
        <w:right w:val="none" w:sz="0" w:space="0" w:color="auto"/>
      </w:divBdr>
    </w:div>
    <w:div w:id="1008293183">
      <w:bodyDiv w:val="1"/>
      <w:marLeft w:val="0"/>
      <w:marRight w:val="0"/>
      <w:marTop w:val="0"/>
      <w:marBottom w:val="0"/>
      <w:divBdr>
        <w:top w:val="none" w:sz="0" w:space="0" w:color="auto"/>
        <w:left w:val="none" w:sz="0" w:space="0" w:color="auto"/>
        <w:bottom w:val="none" w:sz="0" w:space="0" w:color="auto"/>
        <w:right w:val="none" w:sz="0" w:space="0" w:color="auto"/>
      </w:divBdr>
    </w:div>
    <w:div w:id="1009675557">
      <w:bodyDiv w:val="1"/>
      <w:marLeft w:val="0"/>
      <w:marRight w:val="0"/>
      <w:marTop w:val="0"/>
      <w:marBottom w:val="0"/>
      <w:divBdr>
        <w:top w:val="none" w:sz="0" w:space="0" w:color="auto"/>
        <w:left w:val="none" w:sz="0" w:space="0" w:color="auto"/>
        <w:bottom w:val="none" w:sz="0" w:space="0" w:color="auto"/>
        <w:right w:val="none" w:sz="0" w:space="0" w:color="auto"/>
      </w:divBdr>
      <w:divsChild>
        <w:div w:id="132256417">
          <w:marLeft w:val="0"/>
          <w:marRight w:val="0"/>
          <w:marTop w:val="0"/>
          <w:marBottom w:val="0"/>
          <w:divBdr>
            <w:top w:val="none" w:sz="0" w:space="0" w:color="auto"/>
            <w:left w:val="none" w:sz="0" w:space="0" w:color="auto"/>
            <w:bottom w:val="none" w:sz="0" w:space="0" w:color="auto"/>
            <w:right w:val="none" w:sz="0" w:space="0" w:color="auto"/>
          </w:divBdr>
          <w:divsChild>
            <w:div w:id="998194491">
              <w:marLeft w:val="0"/>
              <w:marRight w:val="0"/>
              <w:marTop w:val="0"/>
              <w:marBottom w:val="0"/>
              <w:divBdr>
                <w:top w:val="none" w:sz="0" w:space="0" w:color="auto"/>
                <w:left w:val="none" w:sz="0" w:space="0" w:color="auto"/>
                <w:bottom w:val="none" w:sz="0" w:space="0" w:color="auto"/>
                <w:right w:val="none" w:sz="0" w:space="0" w:color="auto"/>
              </w:divBdr>
              <w:divsChild>
                <w:div w:id="1866870692">
                  <w:marLeft w:val="0"/>
                  <w:marRight w:val="0"/>
                  <w:marTop w:val="0"/>
                  <w:marBottom w:val="0"/>
                  <w:divBdr>
                    <w:top w:val="none" w:sz="0" w:space="0" w:color="auto"/>
                    <w:left w:val="none" w:sz="0" w:space="0" w:color="auto"/>
                    <w:bottom w:val="none" w:sz="0" w:space="0" w:color="auto"/>
                    <w:right w:val="none" w:sz="0" w:space="0" w:color="auto"/>
                  </w:divBdr>
                  <w:divsChild>
                    <w:div w:id="21024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88942">
      <w:bodyDiv w:val="1"/>
      <w:marLeft w:val="0"/>
      <w:marRight w:val="0"/>
      <w:marTop w:val="0"/>
      <w:marBottom w:val="0"/>
      <w:divBdr>
        <w:top w:val="none" w:sz="0" w:space="0" w:color="auto"/>
        <w:left w:val="none" w:sz="0" w:space="0" w:color="auto"/>
        <w:bottom w:val="none" w:sz="0" w:space="0" w:color="auto"/>
        <w:right w:val="none" w:sz="0" w:space="0" w:color="auto"/>
      </w:divBdr>
    </w:div>
    <w:div w:id="1011252386">
      <w:bodyDiv w:val="1"/>
      <w:marLeft w:val="0"/>
      <w:marRight w:val="0"/>
      <w:marTop w:val="0"/>
      <w:marBottom w:val="0"/>
      <w:divBdr>
        <w:top w:val="none" w:sz="0" w:space="0" w:color="auto"/>
        <w:left w:val="none" w:sz="0" w:space="0" w:color="auto"/>
        <w:bottom w:val="none" w:sz="0" w:space="0" w:color="auto"/>
        <w:right w:val="none" w:sz="0" w:space="0" w:color="auto"/>
      </w:divBdr>
      <w:divsChild>
        <w:div w:id="152838321">
          <w:marLeft w:val="0"/>
          <w:marRight w:val="0"/>
          <w:marTop w:val="0"/>
          <w:marBottom w:val="0"/>
          <w:divBdr>
            <w:top w:val="none" w:sz="0" w:space="0" w:color="auto"/>
            <w:left w:val="none" w:sz="0" w:space="0" w:color="auto"/>
            <w:bottom w:val="none" w:sz="0" w:space="0" w:color="auto"/>
            <w:right w:val="none" w:sz="0" w:space="0" w:color="auto"/>
          </w:divBdr>
          <w:divsChild>
            <w:div w:id="2008366768">
              <w:marLeft w:val="0"/>
              <w:marRight w:val="0"/>
              <w:marTop w:val="0"/>
              <w:marBottom w:val="0"/>
              <w:divBdr>
                <w:top w:val="none" w:sz="0" w:space="0" w:color="auto"/>
                <w:left w:val="none" w:sz="0" w:space="0" w:color="auto"/>
                <w:bottom w:val="none" w:sz="0" w:space="0" w:color="auto"/>
                <w:right w:val="none" w:sz="0" w:space="0" w:color="auto"/>
              </w:divBdr>
              <w:divsChild>
                <w:div w:id="922952990">
                  <w:marLeft w:val="0"/>
                  <w:marRight w:val="0"/>
                  <w:marTop w:val="0"/>
                  <w:marBottom w:val="0"/>
                  <w:divBdr>
                    <w:top w:val="none" w:sz="0" w:space="0" w:color="auto"/>
                    <w:left w:val="none" w:sz="0" w:space="0" w:color="auto"/>
                    <w:bottom w:val="none" w:sz="0" w:space="0" w:color="auto"/>
                    <w:right w:val="none" w:sz="0" w:space="0" w:color="auto"/>
                  </w:divBdr>
                  <w:divsChild>
                    <w:div w:id="103738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682523">
      <w:bodyDiv w:val="1"/>
      <w:marLeft w:val="0"/>
      <w:marRight w:val="0"/>
      <w:marTop w:val="0"/>
      <w:marBottom w:val="0"/>
      <w:divBdr>
        <w:top w:val="none" w:sz="0" w:space="0" w:color="auto"/>
        <w:left w:val="none" w:sz="0" w:space="0" w:color="auto"/>
        <w:bottom w:val="none" w:sz="0" w:space="0" w:color="auto"/>
        <w:right w:val="none" w:sz="0" w:space="0" w:color="auto"/>
      </w:divBdr>
    </w:div>
    <w:div w:id="1011952730">
      <w:bodyDiv w:val="1"/>
      <w:marLeft w:val="0"/>
      <w:marRight w:val="0"/>
      <w:marTop w:val="0"/>
      <w:marBottom w:val="0"/>
      <w:divBdr>
        <w:top w:val="none" w:sz="0" w:space="0" w:color="auto"/>
        <w:left w:val="none" w:sz="0" w:space="0" w:color="auto"/>
        <w:bottom w:val="none" w:sz="0" w:space="0" w:color="auto"/>
        <w:right w:val="none" w:sz="0" w:space="0" w:color="auto"/>
      </w:divBdr>
    </w:div>
    <w:div w:id="1012299336">
      <w:bodyDiv w:val="1"/>
      <w:marLeft w:val="0"/>
      <w:marRight w:val="0"/>
      <w:marTop w:val="0"/>
      <w:marBottom w:val="0"/>
      <w:divBdr>
        <w:top w:val="none" w:sz="0" w:space="0" w:color="auto"/>
        <w:left w:val="none" w:sz="0" w:space="0" w:color="auto"/>
        <w:bottom w:val="none" w:sz="0" w:space="0" w:color="auto"/>
        <w:right w:val="none" w:sz="0" w:space="0" w:color="auto"/>
      </w:divBdr>
    </w:div>
    <w:div w:id="1014115264">
      <w:bodyDiv w:val="1"/>
      <w:marLeft w:val="0"/>
      <w:marRight w:val="0"/>
      <w:marTop w:val="0"/>
      <w:marBottom w:val="0"/>
      <w:divBdr>
        <w:top w:val="none" w:sz="0" w:space="0" w:color="auto"/>
        <w:left w:val="none" w:sz="0" w:space="0" w:color="auto"/>
        <w:bottom w:val="none" w:sz="0" w:space="0" w:color="auto"/>
        <w:right w:val="none" w:sz="0" w:space="0" w:color="auto"/>
      </w:divBdr>
    </w:div>
    <w:div w:id="1014498970">
      <w:bodyDiv w:val="1"/>
      <w:marLeft w:val="0"/>
      <w:marRight w:val="0"/>
      <w:marTop w:val="0"/>
      <w:marBottom w:val="0"/>
      <w:divBdr>
        <w:top w:val="none" w:sz="0" w:space="0" w:color="auto"/>
        <w:left w:val="none" w:sz="0" w:space="0" w:color="auto"/>
        <w:bottom w:val="none" w:sz="0" w:space="0" w:color="auto"/>
        <w:right w:val="none" w:sz="0" w:space="0" w:color="auto"/>
      </w:divBdr>
    </w:div>
    <w:div w:id="1014574787">
      <w:bodyDiv w:val="1"/>
      <w:marLeft w:val="0"/>
      <w:marRight w:val="0"/>
      <w:marTop w:val="0"/>
      <w:marBottom w:val="0"/>
      <w:divBdr>
        <w:top w:val="none" w:sz="0" w:space="0" w:color="auto"/>
        <w:left w:val="none" w:sz="0" w:space="0" w:color="auto"/>
        <w:bottom w:val="none" w:sz="0" w:space="0" w:color="auto"/>
        <w:right w:val="none" w:sz="0" w:space="0" w:color="auto"/>
      </w:divBdr>
    </w:div>
    <w:div w:id="1015037135">
      <w:bodyDiv w:val="1"/>
      <w:marLeft w:val="0"/>
      <w:marRight w:val="0"/>
      <w:marTop w:val="0"/>
      <w:marBottom w:val="0"/>
      <w:divBdr>
        <w:top w:val="none" w:sz="0" w:space="0" w:color="auto"/>
        <w:left w:val="none" w:sz="0" w:space="0" w:color="auto"/>
        <w:bottom w:val="none" w:sz="0" w:space="0" w:color="auto"/>
        <w:right w:val="none" w:sz="0" w:space="0" w:color="auto"/>
      </w:divBdr>
    </w:div>
    <w:div w:id="1015038472">
      <w:bodyDiv w:val="1"/>
      <w:marLeft w:val="0"/>
      <w:marRight w:val="0"/>
      <w:marTop w:val="0"/>
      <w:marBottom w:val="0"/>
      <w:divBdr>
        <w:top w:val="none" w:sz="0" w:space="0" w:color="auto"/>
        <w:left w:val="none" w:sz="0" w:space="0" w:color="auto"/>
        <w:bottom w:val="none" w:sz="0" w:space="0" w:color="auto"/>
        <w:right w:val="none" w:sz="0" w:space="0" w:color="auto"/>
      </w:divBdr>
    </w:div>
    <w:div w:id="1015574514">
      <w:bodyDiv w:val="1"/>
      <w:marLeft w:val="0"/>
      <w:marRight w:val="0"/>
      <w:marTop w:val="0"/>
      <w:marBottom w:val="0"/>
      <w:divBdr>
        <w:top w:val="none" w:sz="0" w:space="0" w:color="auto"/>
        <w:left w:val="none" w:sz="0" w:space="0" w:color="auto"/>
        <w:bottom w:val="none" w:sz="0" w:space="0" w:color="auto"/>
        <w:right w:val="none" w:sz="0" w:space="0" w:color="auto"/>
      </w:divBdr>
    </w:div>
    <w:div w:id="1015619387">
      <w:bodyDiv w:val="1"/>
      <w:marLeft w:val="0"/>
      <w:marRight w:val="0"/>
      <w:marTop w:val="0"/>
      <w:marBottom w:val="0"/>
      <w:divBdr>
        <w:top w:val="none" w:sz="0" w:space="0" w:color="auto"/>
        <w:left w:val="none" w:sz="0" w:space="0" w:color="auto"/>
        <w:bottom w:val="none" w:sz="0" w:space="0" w:color="auto"/>
        <w:right w:val="none" w:sz="0" w:space="0" w:color="auto"/>
      </w:divBdr>
    </w:div>
    <w:div w:id="1015957757">
      <w:bodyDiv w:val="1"/>
      <w:marLeft w:val="0"/>
      <w:marRight w:val="0"/>
      <w:marTop w:val="0"/>
      <w:marBottom w:val="0"/>
      <w:divBdr>
        <w:top w:val="none" w:sz="0" w:space="0" w:color="auto"/>
        <w:left w:val="none" w:sz="0" w:space="0" w:color="auto"/>
        <w:bottom w:val="none" w:sz="0" w:space="0" w:color="auto"/>
        <w:right w:val="none" w:sz="0" w:space="0" w:color="auto"/>
      </w:divBdr>
    </w:div>
    <w:div w:id="1017386911">
      <w:bodyDiv w:val="1"/>
      <w:marLeft w:val="0"/>
      <w:marRight w:val="0"/>
      <w:marTop w:val="0"/>
      <w:marBottom w:val="0"/>
      <w:divBdr>
        <w:top w:val="none" w:sz="0" w:space="0" w:color="auto"/>
        <w:left w:val="none" w:sz="0" w:space="0" w:color="auto"/>
        <w:bottom w:val="none" w:sz="0" w:space="0" w:color="auto"/>
        <w:right w:val="none" w:sz="0" w:space="0" w:color="auto"/>
      </w:divBdr>
      <w:divsChild>
        <w:div w:id="1304119549">
          <w:marLeft w:val="0"/>
          <w:marRight w:val="0"/>
          <w:marTop w:val="0"/>
          <w:marBottom w:val="0"/>
          <w:divBdr>
            <w:top w:val="none" w:sz="0" w:space="0" w:color="auto"/>
            <w:left w:val="none" w:sz="0" w:space="0" w:color="auto"/>
            <w:bottom w:val="none" w:sz="0" w:space="0" w:color="auto"/>
            <w:right w:val="none" w:sz="0" w:space="0" w:color="auto"/>
          </w:divBdr>
          <w:divsChild>
            <w:div w:id="549222077">
              <w:marLeft w:val="0"/>
              <w:marRight w:val="0"/>
              <w:marTop w:val="0"/>
              <w:marBottom w:val="0"/>
              <w:divBdr>
                <w:top w:val="none" w:sz="0" w:space="0" w:color="auto"/>
                <w:left w:val="none" w:sz="0" w:space="0" w:color="auto"/>
                <w:bottom w:val="none" w:sz="0" w:space="0" w:color="auto"/>
                <w:right w:val="none" w:sz="0" w:space="0" w:color="auto"/>
              </w:divBdr>
              <w:divsChild>
                <w:div w:id="2128353673">
                  <w:marLeft w:val="0"/>
                  <w:marRight w:val="0"/>
                  <w:marTop w:val="0"/>
                  <w:marBottom w:val="0"/>
                  <w:divBdr>
                    <w:top w:val="none" w:sz="0" w:space="0" w:color="auto"/>
                    <w:left w:val="none" w:sz="0" w:space="0" w:color="auto"/>
                    <w:bottom w:val="none" w:sz="0" w:space="0" w:color="auto"/>
                    <w:right w:val="none" w:sz="0" w:space="0" w:color="auto"/>
                  </w:divBdr>
                  <w:divsChild>
                    <w:div w:id="5632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728838">
      <w:bodyDiv w:val="1"/>
      <w:marLeft w:val="0"/>
      <w:marRight w:val="0"/>
      <w:marTop w:val="0"/>
      <w:marBottom w:val="0"/>
      <w:divBdr>
        <w:top w:val="none" w:sz="0" w:space="0" w:color="auto"/>
        <w:left w:val="none" w:sz="0" w:space="0" w:color="auto"/>
        <w:bottom w:val="none" w:sz="0" w:space="0" w:color="auto"/>
        <w:right w:val="none" w:sz="0" w:space="0" w:color="auto"/>
      </w:divBdr>
    </w:div>
    <w:div w:id="1018241839">
      <w:bodyDiv w:val="1"/>
      <w:marLeft w:val="0"/>
      <w:marRight w:val="0"/>
      <w:marTop w:val="0"/>
      <w:marBottom w:val="0"/>
      <w:divBdr>
        <w:top w:val="none" w:sz="0" w:space="0" w:color="auto"/>
        <w:left w:val="none" w:sz="0" w:space="0" w:color="auto"/>
        <w:bottom w:val="none" w:sz="0" w:space="0" w:color="auto"/>
        <w:right w:val="none" w:sz="0" w:space="0" w:color="auto"/>
      </w:divBdr>
      <w:divsChild>
        <w:div w:id="1198201502">
          <w:marLeft w:val="0"/>
          <w:marRight w:val="0"/>
          <w:marTop w:val="0"/>
          <w:marBottom w:val="0"/>
          <w:divBdr>
            <w:top w:val="none" w:sz="0" w:space="0" w:color="auto"/>
            <w:left w:val="none" w:sz="0" w:space="0" w:color="auto"/>
            <w:bottom w:val="none" w:sz="0" w:space="0" w:color="auto"/>
            <w:right w:val="none" w:sz="0" w:space="0" w:color="auto"/>
          </w:divBdr>
          <w:divsChild>
            <w:div w:id="661007261">
              <w:marLeft w:val="0"/>
              <w:marRight w:val="0"/>
              <w:marTop w:val="0"/>
              <w:marBottom w:val="0"/>
              <w:divBdr>
                <w:top w:val="none" w:sz="0" w:space="0" w:color="auto"/>
                <w:left w:val="none" w:sz="0" w:space="0" w:color="auto"/>
                <w:bottom w:val="none" w:sz="0" w:space="0" w:color="auto"/>
                <w:right w:val="none" w:sz="0" w:space="0" w:color="auto"/>
              </w:divBdr>
              <w:divsChild>
                <w:div w:id="353002861">
                  <w:marLeft w:val="0"/>
                  <w:marRight w:val="0"/>
                  <w:marTop w:val="0"/>
                  <w:marBottom w:val="0"/>
                  <w:divBdr>
                    <w:top w:val="none" w:sz="0" w:space="0" w:color="auto"/>
                    <w:left w:val="none" w:sz="0" w:space="0" w:color="auto"/>
                    <w:bottom w:val="none" w:sz="0" w:space="0" w:color="auto"/>
                    <w:right w:val="none" w:sz="0" w:space="0" w:color="auto"/>
                  </w:divBdr>
                  <w:divsChild>
                    <w:div w:id="975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654030">
      <w:bodyDiv w:val="1"/>
      <w:marLeft w:val="0"/>
      <w:marRight w:val="0"/>
      <w:marTop w:val="0"/>
      <w:marBottom w:val="0"/>
      <w:divBdr>
        <w:top w:val="none" w:sz="0" w:space="0" w:color="auto"/>
        <w:left w:val="none" w:sz="0" w:space="0" w:color="auto"/>
        <w:bottom w:val="none" w:sz="0" w:space="0" w:color="auto"/>
        <w:right w:val="none" w:sz="0" w:space="0" w:color="auto"/>
      </w:divBdr>
    </w:div>
    <w:div w:id="1019090082">
      <w:bodyDiv w:val="1"/>
      <w:marLeft w:val="0"/>
      <w:marRight w:val="0"/>
      <w:marTop w:val="0"/>
      <w:marBottom w:val="0"/>
      <w:divBdr>
        <w:top w:val="none" w:sz="0" w:space="0" w:color="auto"/>
        <w:left w:val="none" w:sz="0" w:space="0" w:color="auto"/>
        <w:bottom w:val="none" w:sz="0" w:space="0" w:color="auto"/>
        <w:right w:val="none" w:sz="0" w:space="0" w:color="auto"/>
      </w:divBdr>
    </w:div>
    <w:div w:id="1019814157">
      <w:bodyDiv w:val="1"/>
      <w:marLeft w:val="0"/>
      <w:marRight w:val="0"/>
      <w:marTop w:val="0"/>
      <w:marBottom w:val="0"/>
      <w:divBdr>
        <w:top w:val="none" w:sz="0" w:space="0" w:color="auto"/>
        <w:left w:val="none" w:sz="0" w:space="0" w:color="auto"/>
        <w:bottom w:val="none" w:sz="0" w:space="0" w:color="auto"/>
        <w:right w:val="none" w:sz="0" w:space="0" w:color="auto"/>
      </w:divBdr>
      <w:divsChild>
        <w:div w:id="2049989253">
          <w:marLeft w:val="0"/>
          <w:marRight w:val="0"/>
          <w:marTop w:val="0"/>
          <w:marBottom w:val="0"/>
          <w:divBdr>
            <w:top w:val="none" w:sz="0" w:space="0" w:color="auto"/>
            <w:left w:val="none" w:sz="0" w:space="0" w:color="auto"/>
            <w:bottom w:val="none" w:sz="0" w:space="0" w:color="auto"/>
            <w:right w:val="none" w:sz="0" w:space="0" w:color="auto"/>
          </w:divBdr>
          <w:divsChild>
            <w:div w:id="723530445">
              <w:marLeft w:val="0"/>
              <w:marRight w:val="0"/>
              <w:marTop w:val="0"/>
              <w:marBottom w:val="0"/>
              <w:divBdr>
                <w:top w:val="none" w:sz="0" w:space="0" w:color="auto"/>
                <w:left w:val="none" w:sz="0" w:space="0" w:color="auto"/>
                <w:bottom w:val="none" w:sz="0" w:space="0" w:color="auto"/>
                <w:right w:val="none" w:sz="0" w:space="0" w:color="auto"/>
              </w:divBdr>
              <w:divsChild>
                <w:div w:id="2999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546123">
      <w:bodyDiv w:val="1"/>
      <w:marLeft w:val="0"/>
      <w:marRight w:val="0"/>
      <w:marTop w:val="0"/>
      <w:marBottom w:val="0"/>
      <w:divBdr>
        <w:top w:val="none" w:sz="0" w:space="0" w:color="auto"/>
        <w:left w:val="none" w:sz="0" w:space="0" w:color="auto"/>
        <w:bottom w:val="none" w:sz="0" w:space="0" w:color="auto"/>
        <w:right w:val="none" w:sz="0" w:space="0" w:color="auto"/>
      </w:divBdr>
    </w:div>
    <w:div w:id="1020663781">
      <w:bodyDiv w:val="1"/>
      <w:marLeft w:val="0"/>
      <w:marRight w:val="0"/>
      <w:marTop w:val="0"/>
      <w:marBottom w:val="0"/>
      <w:divBdr>
        <w:top w:val="none" w:sz="0" w:space="0" w:color="auto"/>
        <w:left w:val="none" w:sz="0" w:space="0" w:color="auto"/>
        <w:bottom w:val="none" w:sz="0" w:space="0" w:color="auto"/>
        <w:right w:val="none" w:sz="0" w:space="0" w:color="auto"/>
      </w:divBdr>
    </w:div>
    <w:div w:id="1020669264">
      <w:bodyDiv w:val="1"/>
      <w:marLeft w:val="0"/>
      <w:marRight w:val="0"/>
      <w:marTop w:val="0"/>
      <w:marBottom w:val="0"/>
      <w:divBdr>
        <w:top w:val="none" w:sz="0" w:space="0" w:color="auto"/>
        <w:left w:val="none" w:sz="0" w:space="0" w:color="auto"/>
        <w:bottom w:val="none" w:sz="0" w:space="0" w:color="auto"/>
        <w:right w:val="none" w:sz="0" w:space="0" w:color="auto"/>
      </w:divBdr>
    </w:div>
    <w:div w:id="1020862449">
      <w:bodyDiv w:val="1"/>
      <w:marLeft w:val="0"/>
      <w:marRight w:val="0"/>
      <w:marTop w:val="0"/>
      <w:marBottom w:val="0"/>
      <w:divBdr>
        <w:top w:val="none" w:sz="0" w:space="0" w:color="auto"/>
        <w:left w:val="none" w:sz="0" w:space="0" w:color="auto"/>
        <w:bottom w:val="none" w:sz="0" w:space="0" w:color="auto"/>
        <w:right w:val="none" w:sz="0" w:space="0" w:color="auto"/>
      </w:divBdr>
    </w:div>
    <w:div w:id="1021011835">
      <w:bodyDiv w:val="1"/>
      <w:marLeft w:val="0"/>
      <w:marRight w:val="0"/>
      <w:marTop w:val="0"/>
      <w:marBottom w:val="0"/>
      <w:divBdr>
        <w:top w:val="none" w:sz="0" w:space="0" w:color="auto"/>
        <w:left w:val="none" w:sz="0" w:space="0" w:color="auto"/>
        <w:bottom w:val="none" w:sz="0" w:space="0" w:color="auto"/>
        <w:right w:val="none" w:sz="0" w:space="0" w:color="auto"/>
      </w:divBdr>
    </w:div>
    <w:div w:id="1021127528">
      <w:bodyDiv w:val="1"/>
      <w:marLeft w:val="0"/>
      <w:marRight w:val="0"/>
      <w:marTop w:val="0"/>
      <w:marBottom w:val="0"/>
      <w:divBdr>
        <w:top w:val="none" w:sz="0" w:space="0" w:color="auto"/>
        <w:left w:val="none" w:sz="0" w:space="0" w:color="auto"/>
        <w:bottom w:val="none" w:sz="0" w:space="0" w:color="auto"/>
        <w:right w:val="none" w:sz="0" w:space="0" w:color="auto"/>
      </w:divBdr>
      <w:divsChild>
        <w:div w:id="1397893124">
          <w:marLeft w:val="0"/>
          <w:marRight w:val="0"/>
          <w:marTop w:val="0"/>
          <w:marBottom w:val="0"/>
          <w:divBdr>
            <w:top w:val="none" w:sz="0" w:space="0" w:color="auto"/>
            <w:left w:val="none" w:sz="0" w:space="0" w:color="auto"/>
            <w:bottom w:val="none" w:sz="0" w:space="0" w:color="auto"/>
            <w:right w:val="none" w:sz="0" w:space="0" w:color="auto"/>
          </w:divBdr>
          <w:divsChild>
            <w:div w:id="175577942">
              <w:marLeft w:val="0"/>
              <w:marRight w:val="0"/>
              <w:marTop w:val="0"/>
              <w:marBottom w:val="0"/>
              <w:divBdr>
                <w:top w:val="none" w:sz="0" w:space="0" w:color="auto"/>
                <w:left w:val="none" w:sz="0" w:space="0" w:color="auto"/>
                <w:bottom w:val="none" w:sz="0" w:space="0" w:color="auto"/>
                <w:right w:val="none" w:sz="0" w:space="0" w:color="auto"/>
              </w:divBdr>
              <w:divsChild>
                <w:div w:id="11536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855456">
      <w:bodyDiv w:val="1"/>
      <w:marLeft w:val="0"/>
      <w:marRight w:val="0"/>
      <w:marTop w:val="0"/>
      <w:marBottom w:val="0"/>
      <w:divBdr>
        <w:top w:val="none" w:sz="0" w:space="0" w:color="auto"/>
        <w:left w:val="none" w:sz="0" w:space="0" w:color="auto"/>
        <w:bottom w:val="none" w:sz="0" w:space="0" w:color="auto"/>
        <w:right w:val="none" w:sz="0" w:space="0" w:color="auto"/>
      </w:divBdr>
    </w:div>
    <w:div w:id="1023288884">
      <w:bodyDiv w:val="1"/>
      <w:marLeft w:val="0"/>
      <w:marRight w:val="0"/>
      <w:marTop w:val="0"/>
      <w:marBottom w:val="0"/>
      <w:divBdr>
        <w:top w:val="none" w:sz="0" w:space="0" w:color="auto"/>
        <w:left w:val="none" w:sz="0" w:space="0" w:color="auto"/>
        <w:bottom w:val="none" w:sz="0" w:space="0" w:color="auto"/>
        <w:right w:val="none" w:sz="0" w:space="0" w:color="auto"/>
      </w:divBdr>
    </w:div>
    <w:div w:id="1023635087">
      <w:bodyDiv w:val="1"/>
      <w:marLeft w:val="0"/>
      <w:marRight w:val="0"/>
      <w:marTop w:val="0"/>
      <w:marBottom w:val="0"/>
      <w:divBdr>
        <w:top w:val="none" w:sz="0" w:space="0" w:color="auto"/>
        <w:left w:val="none" w:sz="0" w:space="0" w:color="auto"/>
        <w:bottom w:val="none" w:sz="0" w:space="0" w:color="auto"/>
        <w:right w:val="none" w:sz="0" w:space="0" w:color="auto"/>
      </w:divBdr>
    </w:div>
    <w:div w:id="1025448158">
      <w:bodyDiv w:val="1"/>
      <w:marLeft w:val="0"/>
      <w:marRight w:val="0"/>
      <w:marTop w:val="0"/>
      <w:marBottom w:val="0"/>
      <w:divBdr>
        <w:top w:val="none" w:sz="0" w:space="0" w:color="auto"/>
        <w:left w:val="none" w:sz="0" w:space="0" w:color="auto"/>
        <w:bottom w:val="none" w:sz="0" w:space="0" w:color="auto"/>
        <w:right w:val="none" w:sz="0" w:space="0" w:color="auto"/>
      </w:divBdr>
    </w:div>
    <w:div w:id="1026252175">
      <w:bodyDiv w:val="1"/>
      <w:marLeft w:val="0"/>
      <w:marRight w:val="0"/>
      <w:marTop w:val="0"/>
      <w:marBottom w:val="0"/>
      <w:divBdr>
        <w:top w:val="none" w:sz="0" w:space="0" w:color="auto"/>
        <w:left w:val="none" w:sz="0" w:space="0" w:color="auto"/>
        <w:bottom w:val="none" w:sz="0" w:space="0" w:color="auto"/>
        <w:right w:val="none" w:sz="0" w:space="0" w:color="auto"/>
      </w:divBdr>
    </w:div>
    <w:div w:id="1026297119">
      <w:bodyDiv w:val="1"/>
      <w:marLeft w:val="0"/>
      <w:marRight w:val="0"/>
      <w:marTop w:val="0"/>
      <w:marBottom w:val="0"/>
      <w:divBdr>
        <w:top w:val="none" w:sz="0" w:space="0" w:color="auto"/>
        <w:left w:val="none" w:sz="0" w:space="0" w:color="auto"/>
        <w:bottom w:val="none" w:sz="0" w:space="0" w:color="auto"/>
        <w:right w:val="none" w:sz="0" w:space="0" w:color="auto"/>
      </w:divBdr>
      <w:divsChild>
        <w:div w:id="712731360">
          <w:marLeft w:val="0"/>
          <w:marRight w:val="0"/>
          <w:marTop w:val="0"/>
          <w:marBottom w:val="0"/>
          <w:divBdr>
            <w:top w:val="none" w:sz="0" w:space="0" w:color="auto"/>
            <w:left w:val="none" w:sz="0" w:space="0" w:color="auto"/>
            <w:bottom w:val="none" w:sz="0" w:space="0" w:color="auto"/>
            <w:right w:val="none" w:sz="0" w:space="0" w:color="auto"/>
          </w:divBdr>
          <w:divsChild>
            <w:div w:id="1200751143">
              <w:marLeft w:val="0"/>
              <w:marRight w:val="0"/>
              <w:marTop w:val="0"/>
              <w:marBottom w:val="0"/>
              <w:divBdr>
                <w:top w:val="none" w:sz="0" w:space="0" w:color="auto"/>
                <w:left w:val="none" w:sz="0" w:space="0" w:color="auto"/>
                <w:bottom w:val="none" w:sz="0" w:space="0" w:color="auto"/>
                <w:right w:val="none" w:sz="0" w:space="0" w:color="auto"/>
              </w:divBdr>
              <w:divsChild>
                <w:div w:id="1009330130">
                  <w:marLeft w:val="0"/>
                  <w:marRight w:val="0"/>
                  <w:marTop w:val="0"/>
                  <w:marBottom w:val="0"/>
                  <w:divBdr>
                    <w:top w:val="none" w:sz="0" w:space="0" w:color="auto"/>
                    <w:left w:val="none" w:sz="0" w:space="0" w:color="auto"/>
                    <w:bottom w:val="none" w:sz="0" w:space="0" w:color="auto"/>
                    <w:right w:val="none" w:sz="0" w:space="0" w:color="auto"/>
                  </w:divBdr>
                  <w:divsChild>
                    <w:div w:id="158099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637159">
      <w:bodyDiv w:val="1"/>
      <w:marLeft w:val="0"/>
      <w:marRight w:val="0"/>
      <w:marTop w:val="0"/>
      <w:marBottom w:val="0"/>
      <w:divBdr>
        <w:top w:val="none" w:sz="0" w:space="0" w:color="auto"/>
        <w:left w:val="none" w:sz="0" w:space="0" w:color="auto"/>
        <w:bottom w:val="none" w:sz="0" w:space="0" w:color="auto"/>
        <w:right w:val="none" w:sz="0" w:space="0" w:color="auto"/>
      </w:divBdr>
      <w:divsChild>
        <w:div w:id="2013145903">
          <w:marLeft w:val="0"/>
          <w:marRight w:val="0"/>
          <w:marTop w:val="0"/>
          <w:marBottom w:val="0"/>
          <w:divBdr>
            <w:top w:val="none" w:sz="0" w:space="0" w:color="auto"/>
            <w:left w:val="none" w:sz="0" w:space="0" w:color="auto"/>
            <w:bottom w:val="none" w:sz="0" w:space="0" w:color="auto"/>
            <w:right w:val="none" w:sz="0" w:space="0" w:color="auto"/>
          </w:divBdr>
          <w:divsChild>
            <w:div w:id="1210267318">
              <w:marLeft w:val="0"/>
              <w:marRight w:val="0"/>
              <w:marTop w:val="0"/>
              <w:marBottom w:val="0"/>
              <w:divBdr>
                <w:top w:val="none" w:sz="0" w:space="0" w:color="auto"/>
                <w:left w:val="none" w:sz="0" w:space="0" w:color="auto"/>
                <w:bottom w:val="none" w:sz="0" w:space="0" w:color="auto"/>
                <w:right w:val="none" w:sz="0" w:space="0" w:color="auto"/>
              </w:divBdr>
              <w:divsChild>
                <w:div w:id="133021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04603">
      <w:bodyDiv w:val="1"/>
      <w:marLeft w:val="0"/>
      <w:marRight w:val="0"/>
      <w:marTop w:val="0"/>
      <w:marBottom w:val="0"/>
      <w:divBdr>
        <w:top w:val="none" w:sz="0" w:space="0" w:color="auto"/>
        <w:left w:val="none" w:sz="0" w:space="0" w:color="auto"/>
        <w:bottom w:val="none" w:sz="0" w:space="0" w:color="auto"/>
        <w:right w:val="none" w:sz="0" w:space="0" w:color="auto"/>
      </w:divBdr>
      <w:divsChild>
        <w:div w:id="143086639">
          <w:marLeft w:val="0"/>
          <w:marRight w:val="0"/>
          <w:marTop w:val="0"/>
          <w:marBottom w:val="0"/>
          <w:divBdr>
            <w:top w:val="none" w:sz="0" w:space="0" w:color="auto"/>
            <w:left w:val="none" w:sz="0" w:space="0" w:color="auto"/>
            <w:bottom w:val="none" w:sz="0" w:space="0" w:color="auto"/>
            <w:right w:val="none" w:sz="0" w:space="0" w:color="auto"/>
          </w:divBdr>
          <w:divsChild>
            <w:div w:id="846864870">
              <w:marLeft w:val="0"/>
              <w:marRight w:val="0"/>
              <w:marTop w:val="0"/>
              <w:marBottom w:val="0"/>
              <w:divBdr>
                <w:top w:val="none" w:sz="0" w:space="0" w:color="auto"/>
                <w:left w:val="none" w:sz="0" w:space="0" w:color="auto"/>
                <w:bottom w:val="none" w:sz="0" w:space="0" w:color="auto"/>
                <w:right w:val="none" w:sz="0" w:space="0" w:color="auto"/>
              </w:divBdr>
              <w:divsChild>
                <w:div w:id="285087370">
                  <w:marLeft w:val="0"/>
                  <w:marRight w:val="0"/>
                  <w:marTop w:val="0"/>
                  <w:marBottom w:val="0"/>
                  <w:divBdr>
                    <w:top w:val="none" w:sz="0" w:space="0" w:color="auto"/>
                    <w:left w:val="none" w:sz="0" w:space="0" w:color="auto"/>
                    <w:bottom w:val="none" w:sz="0" w:space="0" w:color="auto"/>
                    <w:right w:val="none" w:sz="0" w:space="0" w:color="auto"/>
                  </w:divBdr>
                  <w:divsChild>
                    <w:div w:id="177983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980043">
      <w:bodyDiv w:val="1"/>
      <w:marLeft w:val="0"/>
      <w:marRight w:val="0"/>
      <w:marTop w:val="0"/>
      <w:marBottom w:val="0"/>
      <w:divBdr>
        <w:top w:val="none" w:sz="0" w:space="0" w:color="auto"/>
        <w:left w:val="none" w:sz="0" w:space="0" w:color="auto"/>
        <w:bottom w:val="none" w:sz="0" w:space="0" w:color="auto"/>
        <w:right w:val="none" w:sz="0" w:space="0" w:color="auto"/>
      </w:divBdr>
      <w:divsChild>
        <w:div w:id="1781611172">
          <w:marLeft w:val="0"/>
          <w:marRight w:val="0"/>
          <w:marTop w:val="0"/>
          <w:marBottom w:val="0"/>
          <w:divBdr>
            <w:top w:val="none" w:sz="0" w:space="0" w:color="auto"/>
            <w:left w:val="none" w:sz="0" w:space="0" w:color="auto"/>
            <w:bottom w:val="none" w:sz="0" w:space="0" w:color="auto"/>
            <w:right w:val="none" w:sz="0" w:space="0" w:color="auto"/>
          </w:divBdr>
          <w:divsChild>
            <w:div w:id="1815290375">
              <w:marLeft w:val="0"/>
              <w:marRight w:val="0"/>
              <w:marTop w:val="0"/>
              <w:marBottom w:val="0"/>
              <w:divBdr>
                <w:top w:val="none" w:sz="0" w:space="0" w:color="auto"/>
                <w:left w:val="none" w:sz="0" w:space="0" w:color="auto"/>
                <w:bottom w:val="none" w:sz="0" w:space="0" w:color="auto"/>
                <w:right w:val="none" w:sz="0" w:space="0" w:color="auto"/>
              </w:divBdr>
              <w:divsChild>
                <w:div w:id="1487086057">
                  <w:marLeft w:val="0"/>
                  <w:marRight w:val="0"/>
                  <w:marTop w:val="0"/>
                  <w:marBottom w:val="0"/>
                  <w:divBdr>
                    <w:top w:val="none" w:sz="0" w:space="0" w:color="auto"/>
                    <w:left w:val="none" w:sz="0" w:space="0" w:color="auto"/>
                    <w:bottom w:val="none" w:sz="0" w:space="0" w:color="auto"/>
                    <w:right w:val="none" w:sz="0" w:space="0" w:color="auto"/>
                  </w:divBdr>
                  <w:divsChild>
                    <w:div w:id="19564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408246">
      <w:bodyDiv w:val="1"/>
      <w:marLeft w:val="0"/>
      <w:marRight w:val="0"/>
      <w:marTop w:val="0"/>
      <w:marBottom w:val="0"/>
      <w:divBdr>
        <w:top w:val="none" w:sz="0" w:space="0" w:color="auto"/>
        <w:left w:val="none" w:sz="0" w:space="0" w:color="auto"/>
        <w:bottom w:val="none" w:sz="0" w:space="0" w:color="auto"/>
        <w:right w:val="none" w:sz="0" w:space="0" w:color="auto"/>
      </w:divBdr>
    </w:div>
    <w:div w:id="1028063759">
      <w:bodyDiv w:val="1"/>
      <w:marLeft w:val="0"/>
      <w:marRight w:val="0"/>
      <w:marTop w:val="0"/>
      <w:marBottom w:val="0"/>
      <w:divBdr>
        <w:top w:val="none" w:sz="0" w:space="0" w:color="auto"/>
        <w:left w:val="none" w:sz="0" w:space="0" w:color="auto"/>
        <w:bottom w:val="none" w:sz="0" w:space="0" w:color="auto"/>
        <w:right w:val="none" w:sz="0" w:space="0" w:color="auto"/>
      </w:divBdr>
    </w:div>
    <w:div w:id="1028680761">
      <w:bodyDiv w:val="1"/>
      <w:marLeft w:val="0"/>
      <w:marRight w:val="0"/>
      <w:marTop w:val="0"/>
      <w:marBottom w:val="0"/>
      <w:divBdr>
        <w:top w:val="none" w:sz="0" w:space="0" w:color="auto"/>
        <w:left w:val="none" w:sz="0" w:space="0" w:color="auto"/>
        <w:bottom w:val="none" w:sz="0" w:space="0" w:color="auto"/>
        <w:right w:val="none" w:sz="0" w:space="0" w:color="auto"/>
      </w:divBdr>
    </w:div>
    <w:div w:id="1029181687">
      <w:bodyDiv w:val="1"/>
      <w:marLeft w:val="0"/>
      <w:marRight w:val="0"/>
      <w:marTop w:val="0"/>
      <w:marBottom w:val="0"/>
      <w:divBdr>
        <w:top w:val="none" w:sz="0" w:space="0" w:color="auto"/>
        <w:left w:val="none" w:sz="0" w:space="0" w:color="auto"/>
        <w:bottom w:val="none" w:sz="0" w:space="0" w:color="auto"/>
        <w:right w:val="none" w:sz="0" w:space="0" w:color="auto"/>
      </w:divBdr>
    </w:div>
    <w:div w:id="1030107403">
      <w:bodyDiv w:val="1"/>
      <w:marLeft w:val="0"/>
      <w:marRight w:val="0"/>
      <w:marTop w:val="0"/>
      <w:marBottom w:val="0"/>
      <w:divBdr>
        <w:top w:val="none" w:sz="0" w:space="0" w:color="auto"/>
        <w:left w:val="none" w:sz="0" w:space="0" w:color="auto"/>
        <w:bottom w:val="none" w:sz="0" w:space="0" w:color="auto"/>
        <w:right w:val="none" w:sz="0" w:space="0" w:color="auto"/>
      </w:divBdr>
    </w:div>
    <w:div w:id="1030298227">
      <w:bodyDiv w:val="1"/>
      <w:marLeft w:val="0"/>
      <w:marRight w:val="0"/>
      <w:marTop w:val="0"/>
      <w:marBottom w:val="0"/>
      <w:divBdr>
        <w:top w:val="none" w:sz="0" w:space="0" w:color="auto"/>
        <w:left w:val="none" w:sz="0" w:space="0" w:color="auto"/>
        <w:bottom w:val="none" w:sz="0" w:space="0" w:color="auto"/>
        <w:right w:val="none" w:sz="0" w:space="0" w:color="auto"/>
      </w:divBdr>
      <w:divsChild>
        <w:div w:id="119955691">
          <w:marLeft w:val="0"/>
          <w:marRight w:val="0"/>
          <w:marTop w:val="0"/>
          <w:marBottom w:val="0"/>
          <w:divBdr>
            <w:top w:val="none" w:sz="0" w:space="0" w:color="auto"/>
            <w:left w:val="none" w:sz="0" w:space="0" w:color="auto"/>
            <w:bottom w:val="none" w:sz="0" w:space="0" w:color="auto"/>
            <w:right w:val="none" w:sz="0" w:space="0" w:color="auto"/>
          </w:divBdr>
          <w:divsChild>
            <w:div w:id="1588268019">
              <w:marLeft w:val="0"/>
              <w:marRight w:val="0"/>
              <w:marTop w:val="0"/>
              <w:marBottom w:val="0"/>
              <w:divBdr>
                <w:top w:val="none" w:sz="0" w:space="0" w:color="auto"/>
                <w:left w:val="none" w:sz="0" w:space="0" w:color="auto"/>
                <w:bottom w:val="none" w:sz="0" w:space="0" w:color="auto"/>
                <w:right w:val="none" w:sz="0" w:space="0" w:color="auto"/>
              </w:divBdr>
              <w:divsChild>
                <w:div w:id="1652832476">
                  <w:marLeft w:val="0"/>
                  <w:marRight w:val="0"/>
                  <w:marTop w:val="0"/>
                  <w:marBottom w:val="0"/>
                  <w:divBdr>
                    <w:top w:val="none" w:sz="0" w:space="0" w:color="auto"/>
                    <w:left w:val="none" w:sz="0" w:space="0" w:color="auto"/>
                    <w:bottom w:val="none" w:sz="0" w:space="0" w:color="auto"/>
                    <w:right w:val="none" w:sz="0" w:space="0" w:color="auto"/>
                  </w:divBdr>
                  <w:divsChild>
                    <w:div w:id="71986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490363">
      <w:bodyDiv w:val="1"/>
      <w:marLeft w:val="0"/>
      <w:marRight w:val="0"/>
      <w:marTop w:val="0"/>
      <w:marBottom w:val="0"/>
      <w:divBdr>
        <w:top w:val="none" w:sz="0" w:space="0" w:color="auto"/>
        <w:left w:val="none" w:sz="0" w:space="0" w:color="auto"/>
        <w:bottom w:val="none" w:sz="0" w:space="0" w:color="auto"/>
        <w:right w:val="none" w:sz="0" w:space="0" w:color="auto"/>
      </w:divBdr>
    </w:div>
    <w:div w:id="1032993219">
      <w:bodyDiv w:val="1"/>
      <w:marLeft w:val="0"/>
      <w:marRight w:val="0"/>
      <w:marTop w:val="0"/>
      <w:marBottom w:val="0"/>
      <w:divBdr>
        <w:top w:val="none" w:sz="0" w:space="0" w:color="auto"/>
        <w:left w:val="none" w:sz="0" w:space="0" w:color="auto"/>
        <w:bottom w:val="none" w:sz="0" w:space="0" w:color="auto"/>
        <w:right w:val="none" w:sz="0" w:space="0" w:color="auto"/>
      </w:divBdr>
    </w:div>
    <w:div w:id="1032997467">
      <w:bodyDiv w:val="1"/>
      <w:marLeft w:val="0"/>
      <w:marRight w:val="0"/>
      <w:marTop w:val="0"/>
      <w:marBottom w:val="0"/>
      <w:divBdr>
        <w:top w:val="none" w:sz="0" w:space="0" w:color="auto"/>
        <w:left w:val="none" w:sz="0" w:space="0" w:color="auto"/>
        <w:bottom w:val="none" w:sz="0" w:space="0" w:color="auto"/>
        <w:right w:val="none" w:sz="0" w:space="0" w:color="auto"/>
      </w:divBdr>
      <w:divsChild>
        <w:div w:id="1731266238">
          <w:marLeft w:val="0"/>
          <w:marRight w:val="0"/>
          <w:marTop w:val="0"/>
          <w:marBottom w:val="0"/>
          <w:divBdr>
            <w:top w:val="none" w:sz="0" w:space="0" w:color="auto"/>
            <w:left w:val="none" w:sz="0" w:space="0" w:color="auto"/>
            <w:bottom w:val="none" w:sz="0" w:space="0" w:color="auto"/>
            <w:right w:val="none" w:sz="0" w:space="0" w:color="auto"/>
          </w:divBdr>
          <w:divsChild>
            <w:div w:id="537012933">
              <w:marLeft w:val="0"/>
              <w:marRight w:val="0"/>
              <w:marTop w:val="0"/>
              <w:marBottom w:val="0"/>
              <w:divBdr>
                <w:top w:val="none" w:sz="0" w:space="0" w:color="auto"/>
                <w:left w:val="none" w:sz="0" w:space="0" w:color="auto"/>
                <w:bottom w:val="none" w:sz="0" w:space="0" w:color="auto"/>
                <w:right w:val="none" w:sz="0" w:space="0" w:color="auto"/>
              </w:divBdr>
              <w:divsChild>
                <w:div w:id="1298874100">
                  <w:marLeft w:val="0"/>
                  <w:marRight w:val="0"/>
                  <w:marTop w:val="0"/>
                  <w:marBottom w:val="0"/>
                  <w:divBdr>
                    <w:top w:val="none" w:sz="0" w:space="0" w:color="auto"/>
                    <w:left w:val="none" w:sz="0" w:space="0" w:color="auto"/>
                    <w:bottom w:val="none" w:sz="0" w:space="0" w:color="auto"/>
                    <w:right w:val="none" w:sz="0" w:space="0" w:color="auto"/>
                  </w:divBdr>
                  <w:divsChild>
                    <w:div w:id="5395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87970">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6462361">
      <w:bodyDiv w:val="1"/>
      <w:marLeft w:val="0"/>
      <w:marRight w:val="0"/>
      <w:marTop w:val="0"/>
      <w:marBottom w:val="0"/>
      <w:divBdr>
        <w:top w:val="none" w:sz="0" w:space="0" w:color="auto"/>
        <w:left w:val="none" w:sz="0" w:space="0" w:color="auto"/>
        <w:bottom w:val="none" w:sz="0" w:space="0" w:color="auto"/>
        <w:right w:val="none" w:sz="0" w:space="0" w:color="auto"/>
      </w:divBdr>
    </w:div>
    <w:div w:id="1039092456">
      <w:bodyDiv w:val="1"/>
      <w:marLeft w:val="0"/>
      <w:marRight w:val="0"/>
      <w:marTop w:val="0"/>
      <w:marBottom w:val="0"/>
      <w:divBdr>
        <w:top w:val="none" w:sz="0" w:space="0" w:color="auto"/>
        <w:left w:val="none" w:sz="0" w:space="0" w:color="auto"/>
        <w:bottom w:val="none" w:sz="0" w:space="0" w:color="auto"/>
        <w:right w:val="none" w:sz="0" w:space="0" w:color="auto"/>
      </w:divBdr>
    </w:div>
    <w:div w:id="1039163883">
      <w:bodyDiv w:val="1"/>
      <w:marLeft w:val="0"/>
      <w:marRight w:val="0"/>
      <w:marTop w:val="0"/>
      <w:marBottom w:val="0"/>
      <w:divBdr>
        <w:top w:val="none" w:sz="0" w:space="0" w:color="auto"/>
        <w:left w:val="none" w:sz="0" w:space="0" w:color="auto"/>
        <w:bottom w:val="none" w:sz="0" w:space="0" w:color="auto"/>
        <w:right w:val="none" w:sz="0" w:space="0" w:color="auto"/>
      </w:divBdr>
    </w:div>
    <w:div w:id="1039361785">
      <w:bodyDiv w:val="1"/>
      <w:marLeft w:val="0"/>
      <w:marRight w:val="0"/>
      <w:marTop w:val="0"/>
      <w:marBottom w:val="0"/>
      <w:divBdr>
        <w:top w:val="none" w:sz="0" w:space="0" w:color="auto"/>
        <w:left w:val="none" w:sz="0" w:space="0" w:color="auto"/>
        <w:bottom w:val="none" w:sz="0" w:space="0" w:color="auto"/>
        <w:right w:val="none" w:sz="0" w:space="0" w:color="auto"/>
      </w:divBdr>
    </w:div>
    <w:div w:id="1039822764">
      <w:bodyDiv w:val="1"/>
      <w:marLeft w:val="0"/>
      <w:marRight w:val="0"/>
      <w:marTop w:val="0"/>
      <w:marBottom w:val="0"/>
      <w:divBdr>
        <w:top w:val="none" w:sz="0" w:space="0" w:color="auto"/>
        <w:left w:val="none" w:sz="0" w:space="0" w:color="auto"/>
        <w:bottom w:val="none" w:sz="0" w:space="0" w:color="auto"/>
        <w:right w:val="none" w:sz="0" w:space="0" w:color="auto"/>
      </w:divBdr>
    </w:div>
    <w:div w:id="1042093260">
      <w:bodyDiv w:val="1"/>
      <w:marLeft w:val="0"/>
      <w:marRight w:val="0"/>
      <w:marTop w:val="0"/>
      <w:marBottom w:val="0"/>
      <w:divBdr>
        <w:top w:val="none" w:sz="0" w:space="0" w:color="auto"/>
        <w:left w:val="none" w:sz="0" w:space="0" w:color="auto"/>
        <w:bottom w:val="none" w:sz="0" w:space="0" w:color="auto"/>
        <w:right w:val="none" w:sz="0" w:space="0" w:color="auto"/>
      </w:divBdr>
    </w:div>
    <w:div w:id="1042364652">
      <w:bodyDiv w:val="1"/>
      <w:marLeft w:val="0"/>
      <w:marRight w:val="0"/>
      <w:marTop w:val="0"/>
      <w:marBottom w:val="0"/>
      <w:divBdr>
        <w:top w:val="none" w:sz="0" w:space="0" w:color="auto"/>
        <w:left w:val="none" w:sz="0" w:space="0" w:color="auto"/>
        <w:bottom w:val="none" w:sz="0" w:space="0" w:color="auto"/>
        <w:right w:val="none" w:sz="0" w:space="0" w:color="auto"/>
      </w:divBdr>
      <w:divsChild>
        <w:div w:id="1655447012">
          <w:marLeft w:val="0"/>
          <w:marRight w:val="0"/>
          <w:marTop w:val="0"/>
          <w:marBottom w:val="0"/>
          <w:divBdr>
            <w:top w:val="none" w:sz="0" w:space="0" w:color="auto"/>
            <w:left w:val="none" w:sz="0" w:space="0" w:color="auto"/>
            <w:bottom w:val="none" w:sz="0" w:space="0" w:color="auto"/>
            <w:right w:val="none" w:sz="0" w:space="0" w:color="auto"/>
          </w:divBdr>
          <w:divsChild>
            <w:div w:id="2040818945">
              <w:marLeft w:val="0"/>
              <w:marRight w:val="0"/>
              <w:marTop w:val="0"/>
              <w:marBottom w:val="0"/>
              <w:divBdr>
                <w:top w:val="none" w:sz="0" w:space="0" w:color="auto"/>
                <w:left w:val="none" w:sz="0" w:space="0" w:color="auto"/>
                <w:bottom w:val="none" w:sz="0" w:space="0" w:color="auto"/>
                <w:right w:val="none" w:sz="0" w:space="0" w:color="auto"/>
              </w:divBdr>
              <w:divsChild>
                <w:div w:id="708070512">
                  <w:marLeft w:val="0"/>
                  <w:marRight w:val="0"/>
                  <w:marTop w:val="0"/>
                  <w:marBottom w:val="0"/>
                  <w:divBdr>
                    <w:top w:val="none" w:sz="0" w:space="0" w:color="auto"/>
                    <w:left w:val="none" w:sz="0" w:space="0" w:color="auto"/>
                    <w:bottom w:val="none" w:sz="0" w:space="0" w:color="auto"/>
                    <w:right w:val="none" w:sz="0" w:space="0" w:color="auto"/>
                  </w:divBdr>
                  <w:divsChild>
                    <w:div w:id="71994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560014">
      <w:bodyDiv w:val="1"/>
      <w:marLeft w:val="0"/>
      <w:marRight w:val="0"/>
      <w:marTop w:val="0"/>
      <w:marBottom w:val="0"/>
      <w:divBdr>
        <w:top w:val="none" w:sz="0" w:space="0" w:color="auto"/>
        <w:left w:val="none" w:sz="0" w:space="0" w:color="auto"/>
        <w:bottom w:val="none" w:sz="0" w:space="0" w:color="auto"/>
        <w:right w:val="none" w:sz="0" w:space="0" w:color="auto"/>
      </w:divBdr>
      <w:divsChild>
        <w:div w:id="725760813">
          <w:marLeft w:val="0"/>
          <w:marRight w:val="0"/>
          <w:marTop w:val="0"/>
          <w:marBottom w:val="0"/>
          <w:divBdr>
            <w:top w:val="none" w:sz="0" w:space="0" w:color="auto"/>
            <w:left w:val="none" w:sz="0" w:space="0" w:color="auto"/>
            <w:bottom w:val="none" w:sz="0" w:space="0" w:color="auto"/>
            <w:right w:val="none" w:sz="0" w:space="0" w:color="auto"/>
          </w:divBdr>
          <w:divsChild>
            <w:div w:id="39940235">
              <w:marLeft w:val="0"/>
              <w:marRight w:val="0"/>
              <w:marTop w:val="0"/>
              <w:marBottom w:val="0"/>
              <w:divBdr>
                <w:top w:val="none" w:sz="0" w:space="0" w:color="auto"/>
                <w:left w:val="none" w:sz="0" w:space="0" w:color="auto"/>
                <w:bottom w:val="none" w:sz="0" w:space="0" w:color="auto"/>
                <w:right w:val="none" w:sz="0" w:space="0" w:color="auto"/>
              </w:divBdr>
              <w:divsChild>
                <w:div w:id="1618104566">
                  <w:marLeft w:val="0"/>
                  <w:marRight w:val="0"/>
                  <w:marTop w:val="0"/>
                  <w:marBottom w:val="0"/>
                  <w:divBdr>
                    <w:top w:val="none" w:sz="0" w:space="0" w:color="auto"/>
                    <w:left w:val="none" w:sz="0" w:space="0" w:color="auto"/>
                    <w:bottom w:val="none" w:sz="0" w:space="0" w:color="auto"/>
                    <w:right w:val="none" w:sz="0" w:space="0" w:color="auto"/>
                  </w:divBdr>
                  <w:divsChild>
                    <w:div w:id="13350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751204">
      <w:bodyDiv w:val="1"/>
      <w:marLeft w:val="0"/>
      <w:marRight w:val="0"/>
      <w:marTop w:val="0"/>
      <w:marBottom w:val="0"/>
      <w:divBdr>
        <w:top w:val="none" w:sz="0" w:space="0" w:color="auto"/>
        <w:left w:val="none" w:sz="0" w:space="0" w:color="auto"/>
        <w:bottom w:val="none" w:sz="0" w:space="0" w:color="auto"/>
        <w:right w:val="none" w:sz="0" w:space="0" w:color="auto"/>
      </w:divBdr>
      <w:divsChild>
        <w:div w:id="1533109263">
          <w:marLeft w:val="0"/>
          <w:marRight w:val="0"/>
          <w:marTop w:val="0"/>
          <w:marBottom w:val="0"/>
          <w:divBdr>
            <w:top w:val="none" w:sz="0" w:space="0" w:color="auto"/>
            <w:left w:val="none" w:sz="0" w:space="0" w:color="auto"/>
            <w:bottom w:val="none" w:sz="0" w:space="0" w:color="auto"/>
            <w:right w:val="none" w:sz="0" w:space="0" w:color="auto"/>
          </w:divBdr>
          <w:divsChild>
            <w:div w:id="1277832608">
              <w:marLeft w:val="0"/>
              <w:marRight w:val="0"/>
              <w:marTop w:val="0"/>
              <w:marBottom w:val="0"/>
              <w:divBdr>
                <w:top w:val="none" w:sz="0" w:space="0" w:color="auto"/>
                <w:left w:val="none" w:sz="0" w:space="0" w:color="auto"/>
                <w:bottom w:val="none" w:sz="0" w:space="0" w:color="auto"/>
                <w:right w:val="none" w:sz="0" w:space="0" w:color="auto"/>
              </w:divBdr>
              <w:divsChild>
                <w:div w:id="1394156191">
                  <w:marLeft w:val="0"/>
                  <w:marRight w:val="0"/>
                  <w:marTop w:val="0"/>
                  <w:marBottom w:val="0"/>
                  <w:divBdr>
                    <w:top w:val="none" w:sz="0" w:space="0" w:color="auto"/>
                    <w:left w:val="none" w:sz="0" w:space="0" w:color="auto"/>
                    <w:bottom w:val="none" w:sz="0" w:space="0" w:color="auto"/>
                    <w:right w:val="none" w:sz="0" w:space="0" w:color="auto"/>
                  </w:divBdr>
                  <w:divsChild>
                    <w:div w:id="926423341">
                      <w:marLeft w:val="0"/>
                      <w:marRight w:val="0"/>
                      <w:marTop w:val="0"/>
                      <w:marBottom w:val="0"/>
                      <w:divBdr>
                        <w:top w:val="none" w:sz="0" w:space="0" w:color="auto"/>
                        <w:left w:val="none" w:sz="0" w:space="0" w:color="auto"/>
                        <w:bottom w:val="none" w:sz="0" w:space="0" w:color="auto"/>
                        <w:right w:val="none" w:sz="0" w:space="0" w:color="auto"/>
                      </w:divBdr>
                    </w:div>
                  </w:divsChild>
                </w:div>
                <w:div w:id="2059625847">
                  <w:marLeft w:val="0"/>
                  <w:marRight w:val="0"/>
                  <w:marTop w:val="0"/>
                  <w:marBottom w:val="0"/>
                  <w:divBdr>
                    <w:top w:val="none" w:sz="0" w:space="0" w:color="auto"/>
                    <w:left w:val="none" w:sz="0" w:space="0" w:color="auto"/>
                    <w:bottom w:val="none" w:sz="0" w:space="0" w:color="auto"/>
                    <w:right w:val="none" w:sz="0" w:space="0" w:color="auto"/>
                  </w:divBdr>
                  <w:divsChild>
                    <w:div w:id="77490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598729">
      <w:bodyDiv w:val="1"/>
      <w:marLeft w:val="0"/>
      <w:marRight w:val="0"/>
      <w:marTop w:val="0"/>
      <w:marBottom w:val="0"/>
      <w:divBdr>
        <w:top w:val="none" w:sz="0" w:space="0" w:color="auto"/>
        <w:left w:val="none" w:sz="0" w:space="0" w:color="auto"/>
        <w:bottom w:val="none" w:sz="0" w:space="0" w:color="auto"/>
        <w:right w:val="none" w:sz="0" w:space="0" w:color="auto"/>
      </w:divBdr>
    </w:div>
    <w:div w:id="1044019580">
      <w:bodyDiv w:val="1"/>
      <w:marLeft w:val="0"/>
      <w:marRight w:val="0"/>
      <w:marTop w:val="0"/>
      <w:marBottom w:val="0"/>
      <w:divBdr>
        <w:top w:val="none" w:sz="0" w:space="0" w:color="auto"/>
        <w:left w:val="none" w:sz="0" w:space="0" w:color="auto"/>
        <w:bottom w:val="none" w:sz="0" w:space="0" w:color="auto"/>
        <w:right w:val="none" w:sz="0" w:space="0" w:color="auto"/>
      </w:divBdr>
      <w:divsChild>
        <w:div w:id="1536652534">
          <w:marLeft w:val="0"/>
          <w:marRight w:val="0"/>
          <w:marTop w:val="0"/>
          <w:marBottom w:val="0"/>
          <w:divBdr>
            <w:top w:val="none" w:sz="0" w:space="0" w:color="auto"/>
            <w:left w:val="none" w:sz="0" w:space="0" w:color="auto"/>
            <w:bottom w:val="none" w:sz="0" w:space="0" w:color="auto"/>
            <w:right w:val="none" w:sz="0" w:space="0" w:color="auto"/>
          </w:divBdr>
          <w:divsChild>
            <w:div w:id="558901263">
              <w:marLeft w:val="0"/>
              <w:marRight w:val="0"/>
              <w:marTop w:val="0"/>
              <w:marBottom w:val="0"/>
              <w:divBdr>
                <w:top w:val="none" w:sz="0" w:space="0" w:color="auto"/>
                <w:left w:val="none" w:sz="0" w:space="0" w:color="auto"/>
                <w:bottom w:val="none" w:sz="0" w:space="0" w:color="auto"/>
                <w:right w:val="none" w:sz="0" w:space="0" w:color="auto"/>
              </w:divBdr>
              <w:divsChild>
                <w:div w:id="797379292">
                  <w:marLeft w:val="0"/>
                  <w:marRight w:val="0"/>
                  <w:marTop w:val="0"/>
                  <w:marBottom w:val="0"/>
                  <w:divBdr>
                    <w:top w:val="none" w:sz="0" w:space="0" w:color="auto"/>
                    <w:left w:val="none" w:sz="0" w:space="0" w:color="auto"/>
                    <w:bottom w:val="none" w:sz="0" w:space="0" w:color="auto"/>
                    <w:right w:val="none" w:sz="0" w:space="0" w:color="auto"/>
                  </w:divBdr>
                  <w:divsChild>
                    <w:div w:id="38086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669677">
      <w:bodyDiv w:val="1"/>
      <w:marLeft w:val="0"/>
      <w:marRight w:val="0"/>
      <w:marTop w:val="0"/>
      <w:marBottom w:val="0"/>
      <w:divBdr>
        <w:top w:val="none" w:sz="0" w:space="0" w:color="auto"/>
        <w:left w:val="none" w:sz="0" w:space="0" w:color="auto"/>
        <w:bottom w:val="none" w:sz="0" w:space="0" w:color="auto"/>
        <w:right w:val="none" w:sz="0" w:space="0" w:color="auto"/>
      </w:divBdr>
      <w:divsChild>
        <w:div w:id="389155776">
          <w:marLeft w:val="0"/>
          <w:marRight w:val="0"/>
          <w:marTop w:val="0"/>
          <w:marBottom w:val="0"/>
          <w:divBdr>
            <w:top w:val="none" w:sz="0" w:space="0" w:color="auto"/>
            <w:left w:val="none" w:sz="0" w:space="0" w:color="auto"/>
            <w:bottom w:val="none" w:sz="0" w:space="0" w:color="auto"/>
            <w:right w:val="none" w:sz="0" w:space="0" w:color="auto"/>
          </w:divBdr>
          <w:divsChild>
            <w:div w:id="1522428759">
              <w:marLeft w:val="0"/>
              <w:marRight w:val="0"/>
              <w:marTop w:val="0"/>
              <w:marBottom w:val="0"/>
              <w:divBdr>
                <w:top w:val="none" w:sz="0" w:space="0" w:color="auto"/>
                <w:left w:val="none" w:sz="0" w:space="0" w:color="auto"/>
                <w:bottom w:val="none" w:sz="0" w:space="0" w:color="auto"/>
                <w:right w:val="none" w:sz="0" w:space="0" w:color="auto"/>
              </w:divBdr>
              <w:divsChild>
                <w:div w:id="704139265">
                  <w:marLeft w:val="0"/>
                  <w:marRight w:val="0"/>
                  <w:marTop w:val="0"/>
                  <w:marBottom w:val="0"/>
                  <w:divBdr>
                    <w:top w:val="none" w:sz="0" w:space="0" w:color="auto"/>
                    <w:left w:val="none" w:sz="0" w:space="0" w:color="auto"/>
                    <w:bottom w:val="none" w:sz="0" w:space="0" w:color="auto"/>
                    <w:right w:val="none" w:sz="0" w:space="0" w:color="auto"/>
                  </w:divBdr>
                  <w:divsChild>
                    <w:div w:id="9482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672356">
      <w:bodyDiv w:val="1"/>
      <w:marLeft w:val="0"/>
      <w:marRight w:val="0"/>
      <w:marTop w:val="0"/>
      <w:marBottom w:val="0"/>
      <w:divBdr>
        <w:top w:val="none" w:sz="0" w:space="0" w:color="auto"/>
        <w:left w:val="none" w:sz="0" w:space="0" w:color="auto"/>
        <w:bottom w:val="none" w:sz="0" w:space="0" w:color="auto"/>
        <w:right w:val="none" w:sz="0" w:space="0" w:color="auto"/>
      </w:divBdr>
      <w:divsChild>
        <w:div w:id="1775708728">
          <w:marLeft w:val="0"/>
          <w:marRight w:val="0"/>
          <w:marTop w:val="0"/>
          <w:marBottom w:val="0"/>
          <w:divBdr>
            <w:top w:val="none" w:sz="0" w:space="0" w:color="auto"/>
            <w:left w:val="none" w:sz="0" w:space="0" w:color="auto"/>
            <w:bottom w:val="none" w:sz="0" w:space="0" w:color="auto"/>
            <w:right w:val="none" w:sz="0" w:space="0" w:color="auto"/>
          </w:divBdr>
          <w:divsChild>
            <w:div w:id="1387945967">
              <w:marLeft w:val="0"/>
              <w:marRight w:val="0"/>
              <w:marTop w:val="0"/>
              <w:marBottom w:val="0"/>
              <w:divBdr>
                <w:top w:val="none" w:sz="0" w:space="0" w:color="auto"/>
                <w:left w:val="none" w:sz="0" w:space="0" w:color="auto"/>
                <w:bottom w:val="none" w:sz="0" w:space="0" w:color="auto"/>
                <w:right w:val="none" w:sz="0" w:space="0" w:color="auto"/>
              </w:divBdr>
              <w:divsChild>
                <w:div w:id="851841871">
                  <w:marLeft w:val="0"/>
                  <w:marRight w:val="0"/>
                  <w:marTop w:val="0"/>
                  <w:marBottom w:val="0"/>
                  <w:divBdr>
                    <w:top w:val="none" w:sz="0" w:space="0" w:color="auto"/>
                    <w:left w:val="none" w:sz="0" w:space="0" w:color="auto"/>
                    <w:bottom w:val="none" w:sz="0" w:space="0" w:color="auto"/>
                    <w:right w:val="none" w:sz="0" w:space="0" w:color="auto"/>
                  </w:divBdr>
                  <w:divsChild>
                    <w:div w:id="27644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84183">
      <w:bodyDiv w:val="1"/>
      <w:marLeft w:val="0"/>
      <w:marRight w:val="0"/>
      <w:marTop w:val="0"/>
      <w:marBottom w:val="0"/>
      <w:divBdr>
        <w:top w:val="none" w:sz="0" w:space="0" w:color="auto"/>
        <w:left w:val="none" w:sz="0" w:space="0" w:color="auto"/>
        <w:bottom w:val="none" w:sz="0" w:space="0" w:color="auto"/>
        <w:right w:val="none" w:sz="0" w:space="0" w:color="auto"/>
      </w:divBdr>
    </w:div>
    <w:div w:id="1045448140">
      <w:bodyDiv w:val="1"/>
      <w:marLeft w:val="0"/>
      <w:marRight w:val="0"/>
      <w:marTop w:val="0"/>
      <w:marBottom w:val="0"/>
      <w:divBdr>
        <w:top w:val="none" w:sz="0" w:space="0" w:color="auto"/>
        <w:left w:val="none" w:sz="0" w:space="0" w:color="auto"/>
        <w:bottom w:val="none" w:sz="0" w:space="0" w:color="auto"/>
        <w:right w:val="none" w:sz="0" w:space="0" w:color="auto"/>
      </w:divBdr>
    </w:div>
    <w:div w:id="1046414356">
      <w:bodyDiv w:val="1"/>
      <w:marLeft w:val="0"/>
      <w:marRight w:val="0"/>
      <w:marTop w:val="0"/>
      <w:marBottom w:val="0"/>
      <w:divBdr>
        <w:top w:val="none" w:sz="0" w:space="0" w:color="auto"/>
        <w:left w:val="none" w:sz="0" w:space="0" w:color="auto"/>
        <w:bottom w:val="none" w:sz="0" w:space="0" w:color="auto"/>
        <w:right w:val="none" w:sz="0" w:space="0" w:color="auto"/>
      </w:divBdr>
    </w:div>
    <w:div w:id="1046492396">
      <w:bodyDiv w:val="1"/>
      <w:marLeft w:val="0"/>
      <w:marRight w:val="0"/>
      <w:marTop w:val="0"/>
      <w:marBottom w:val="0"/>
      <w:divBdr>
        <w:top w:val="none" w:sz="0" w:space="0" w:color="auto"/>
        <w:left w:val="none" w:sz="0" w:space="0" w:color="auto"/>
        <w:bottom w:val="none" w:sz="0" w:space="0" w:color="auto"/>
        <w:right w:val="none" w:sz="0" w:space="0" w:color="auto"/>
      </w:divBdr>
    </w:div>
    <w:div w:id="1046762368">
      <w:bodyDiv w:val="1"/>
      <w:marLeft w:val="0"/>
      <w:marRight w:val="0"/>
      <w:marTop w:val="0"/>
      <w:marBottom w:val="0"/>
      <w:divBdr>
        <w:top w:val="none" w:sz="0" w:space="0" w:color="auto"/>
        <w:left w:val="none" w:sz="0" w:space="0" w:color="auto"/>
        <w:bottom w:val="none" w:sz="0" w:space="0" w:color="auto"/>
        <w:right w:val="none" w:sz="0" w:space="0" w:color="auto"/>
      </w:divBdr>
    </w:div>
    <w:div w:id="1046830234">
      <w:bodyDiv w:val="1"/>
      <w:marLeft w:val="0"/>
      <w:marRight w:val="0"/>
      <w:marTop w:val="0"/>
      <w:marBottom w:val="0"/>
      <w:divBdr>
        <w:top w:val="none" w:sz="0" w:space="0" w:color="auto"/>
        <w:left w:val="none" w:sz="0" w:space="0" w:color="auto"/>
        <w:bottom w:val="none" w:sz="0" w:space="0" w:color="auto"/>
        <w:right w:val="none" w:sz="0" w:space="0" w:color="auto"/>
      </w:divBdr>
    </w:div>
    <w:div w:id="1048455366">
      <w:bodyDiv w:val="1"/>
      <w:marLeft w:val="0"/>
      <w:marRight w:val="0"/>
      <w:marTop w:val="0"/>
      <w:marBottom w:val="0"/>
      <w:divBdr>
        <w:top w:val="none" w:sz="0" w:space="0" w:color="auto"/>
        <w:left w:val="none" w:sz="0" w:space="0" w:color="auto"/>
        <w:bottom w:val="none" w:sz="0" w:space="0" w:color="auto"/>
        <w:right w:val="none" w:sz="0" w:space="0" w:color="auto"/>
      </w:divBdr>
      <w:divsChild>
        <w:div w:id="2109570792">
          <w:marLeft w:val="0"/>
          <w:marRight w:val="0"/>
          <w:marTop w:val="0"/>
          <w:marBottom w:val="0"/>
          <w:divBdr>
            <w:top w:val="none" w:sz="0" w:space="0" w:color="auto"/>
            <w:left w:val="none" w:sz="0" w:space="0" w:color="auto"/>
            <w:bottom w:val="none" w:sz="0" w:space="0" w:color="auto"/>
            <w:right w:val="none" w:sz="0" w:space="0" w:color="auto"/>
          </w:divBdr>
          <w:divsChild>
            <w:div w:id="1985968593">
              <w:marLeft w:val="0"/>
              <w:marRight w:val="0"/>
              <w:marTop w:val="0"/>
              <w:marBottom w:val="0"/>
              <w:divBdr>
                <w:top w:val="none" w:sz="0" w:space="0" w:color="auto"/>
                <w:left w:val="none" w:sz="0" w:space="0" w:color="auto"/>
                <w:bottom w:val="none" w:sz="0" w:space="0" w:color="auto"/>
                <w:right w:val="none" w:sz="0" w:space="0" w:color="auto"/>
              </w:divBdr>
              <w:divsChild>
                <w:div w:id="1632638987">
                  <w:marLeft w:val="0"/>
                  <w:marRight w:val="0"/>
                  <w:marTop w:val="0"/>
                  <w:marBottom w:val="0"/>
                  <w:divBdr>
                    <w:top w:val="none" w:sz="0" w:space="0" w:color="auto"/>
                    <w:left w:val="none" w:sz="0" w:space="0" w:color="auto"/>
                    <w:bottom w:val="none" w:sz="0" w:space="0" w:color="auto"/>
                    <w:right w:val="none" w:sz="0" w:space="0" w:color="auto"/>
                  </w:divBdr>
                  <w:divsChild>
                    <w:div w:id="5839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607236">
      <w:bodyDiv w:val="1"/>
      <w:marLeft w:val="0"/>
      <w:marRight w:val="0"/>
      <w:marTop w:val="0"/>
      <w:marBottom w:val="0"/>
      <w:divBdr>
        <w:top w:val="none" w:sz="0" w:space="0" w:color="auto"/>
        <w:left w:val="none" w:sz="0" w:space="0" w:color="auto"/>
        <w:bottom w:val="none" w:sz="0" w:space="0" w:color="auto"/>
        <w:right w:val="none" w:sz="0" w:space="0" w:color="auto"/>
      </w:divBdr>
    </w:div>
    <w:div w:id="1049261554">
      <w:bodyDiv w:val="1"/>
      <w:marLeft w:val="0"/>
      <w:marRight w:val="0"/>
      <w:marTop w:val="0"/>
      <w:marBottom w:val="0"/>
      <w:divBdr>
        <w:top w:val="none" w:sz="0" w:space="0" w:color="auto"/>
        <w:left w:val="none" w:sz="0" w:space="0" w:color="auto"/>
        <w:bottom w:val="none" w:sz="0" w:space="0" w:color="auto"/>
        <w:right w:val="none" w:sz="0" w:space="0" w:color="auto"/>
      </w:divBdr>
    </w:div>
    <w:div w:id="1049459136">
      <w:bodyDiv w:val="1"/>
      <w:marLeft w:val="0"/>
      <w:marRight w:val="0"/>
      <w:marTop w:val="0"/>
      <w:marBottom w:val="0"/>
      <w:divBdr>
        <w:top w:val="none" w:sz="0" w:space="0" w:color="auto"/>
        <w:left w:val="none" w:sz="0" w:space="0" w:color="auto"/>
        <w:bottom w:val="none" w:sz="0" w:space="0" w:color="auto"/>
        <w:right w:val="none" w:sz="0" w:space="0" w:color="auto"/>
      </w:divBdr>
    </w:div>
    <w:div w:id="1050880035">
      <w:bodyDiv w:val="1"/>
      <w:marLeft w:val="0"/>
      <w:marRight w:val="0"/>
      <w:marTop w:val="0"/>
      <w:marBottom w:val="0"/>
      <w:divBdr>
        <w:top w:val="none" w:sz="0" w:space="0" w:color="auto"/>
        <w:left w:val="none" w:sz="0" w:space="0" w:color="auto"/>
        <w:bottom w:val="none" w:sz="0" w:space="0" w:color="auto"/>
        <w:right w:val="none" w:sz="0" w:space="0" w:color="auto"/>
      </w:divBdr>
    </w:div>
    <w:div w:id="1053121358">
      <w:bodyDiv w:val="1"/>
      <w:marLeft w:val="0"/>
      <w:marRight w:val="0"/>
      <w:marTop w:val="0"/>
      <w:marBottom w:val="0"/>
      <w:divBdr>
        <w:top w:val="none" w:sz="0" w:space="0" w:color="auto"/>
        <w:left w:val="none" w:sz="0" w:space="0" w:color="auto"/>
        <w:bottom w:val="none" w:sz="0" w:space="0" w:color="auto"/>
        <w:right w:val="none" w:sz="0" w:space="0" w:color="auto"/>
      </w:divBdr>
    </w:div>
    <w:div w:id="1053894474">
      <w:bodyDiv w:val="1"/>
      <w:marLeft w:val="0"/>
      <w:marRight w:val="0"/>
      <w:marTop w:val="0"/>
      <w:marBottom w:val="0"/>
      <w:divBdr>
        <w:top w:val="none" w:sz="0" w:space="0" w:color="auto"/>
        <w:left w:val="none" w:sz="0" w:space="0" w:color="auto"/>
        <w:bottom w:val="none" w:sz="0" w:space="0" w:color="auto"/>
        <w:right w:val="none" w:sz="0" w:space="0" w:color="auto"/>
      </w:divBdr>
    </w:div>
    <w:div w:id="1054424660">
      <w:bodyDiv w:val="1"/>
      <w:marLeft w:val="0"/>
      <w:marRight w:val="0"/>
      <w:marTop w:val="0"/>
      <w:marBottom w:val="0"/>
      <w:divBdr>
        <w:top w:val="none" w:sz="0" w:space="0" w:color="auto"/>
        <w:left w:val="none" w:sz="0" w:space="0" w:color="auto"/>
        <w:bottom w:val="none" w:sz="0" w:space="0" w:color="auto"/>
        <w:right w:val="none" w:sz="0" w:space="0" w:color="auto"/>
      </w:divBdr>
    </w:div>
    <w:div w:id="1054625188">
      <w:bodyDiv w:val="1"/>
      <w:marLeft w:val="0"/>
      <w:marRight w:val="0"/>
      <w:marTop w:val="0"/>
      <w:marBottom w:val="0"/>
      <w:divBdr>
        <w:top w:val="none" w:sz="0" w:space="0" w:color="auto"/>
        <w:left w:val="none" w:sz="0" w:space="0" w:color="auto"/>
        <w:bottom w:val="none" w:sz="0" w:space="0" w:color="auto"/>
        <w:right w:val="none" w:sz="0" w:space="0" w:color="auto"/>
      </w:divBdr>
    </w:div>
    <w:div w:id="1054886195">
      <w:bodyDiv w:val="1"/>
      <w:marLeft w:val="0"/>
      <w:marRight w:val="0"/>
      <w:marTop w:val="0"/>
      <w:marBottom w:val="0"/>
      <w:divBdr>
        <w:top w:val="none" w:sz="0" w:space="0" w:color="auto"/>
        <w:left w:val="none" w:sz="0" w:space="0" w:color="auto"/>
        <w:bottom w:val="none" w:sz="0" w:space="0" w:color="auto"/>
        <w:right w:val="none" w:sz="0" w:space="0" w:color="auto"/>
      </w:divBdr>
    </w:div>
    <w:div w:id="1055617538">
      <w:bodyDiv w:val="1"/>
      <w:marLeft w:val="0"/>
      <w:marRight w:val="0"/>
      <w:marTop w:val="0"/>
      <w:marBottom w:val="0"/>
      <w:divBdr>
        <w:top w:val="none" w:sz="0" w:space="0" w:color="auto"/>
        <w:left w:val="none" w:sz="0" w:space="0" w:color="auto"/>
        <w:bottom w:val="none" w:sz="0" w:space="0" w:color="auto"/>
        <w:right w:val="none" w:sz="0" w:space="0" w:color="auto"/>
      </w:divBdr>
    </w:div>
    <w:div w:id="1055936787">
      <w:bodyDiv w:val="1"/>
      <w:marLeft w:val="0"/>
      <w:marRight w:val="0"/>
      <w:marTop w:val="0"/>
      <w:marBottom w:val="0"/>
      <w:divBdr>
        <w:top w:val="none" w:sz="0" w:space="0" w:color="auto"/>
        <w:left w:val="none" w:sz="0" w:space="0" w:color="auto"/>
        <w:bottom w:val="none" w:sz="0" w:space="0" w:color="auto"/>
        <w:right w:val="none" w:sz="0" w:space="0" w:color="auto"/>
      </w:divBdr>
    </w:div>
    <w:div w:id="1058239008">
      <w:bodyDiv w:val="1"/>
      <w:marLeft w:val="0"/>
      <w:marRight w:val="0"/>
      <w:marTop w:val="0"/>
      <w:marBottom w:val="0"/>
      <w:divBdr>
        <w:top w:val="none" w:sz="0" w:space="0" w:color="auto"/>
        <w:left w:val="none" w:sz="0" w:space="0" w:color="auto"/>
        <w:bottom w:val="none" w:sz="0" w:space="0" w:color="auto"/>
        <w:right w:val="none" w:sz="0" w:space="0" w:color="auto"/>
      </w:divBdr>
    </w:div>
    <w:div w:id="1058479152">
      <w:bodyDiv w:val="1"/>
      <w:marLeft w:val="0"/>
      <w:marRight w:val="0"/>
      <w:marTop w:val="0"/>
      <w:marBottom w:val="0"/>
      <w:divBdr>
        <w:top w:val="none" w:sz="0" w:space="0" w:color="auto"/>
        <w:left w:val="none" w:sz="0" w:space="0" w:color="auto"/>
        <w:bottom w:val="none" w:sz="0" w:space="0" w:color="auto"/>
        <w:right w:val="none" w:sz="0" w:space="0" w:color="auto"/>
      </w:divBdr>
    </w:div>
    <w:div w:id="1058824527">
      <w:bodyDiv w:val="1"/>
      <w:marLeft w:val="0"/>
      <w:marRight w:val="0"/>
      <w:marTop w:val="0"/>
      <w:marBottom w:val="0"/>
      <w:divBdr>
        <w:top w:val="none" w:sz="0" w:space="0" w:color="auto"/>
        <w:left w:val="none" w:sz="0" w:space="0" w:color="auto"/>
        <w:bottom w:val="none" w:sz="0" w:space="0" w:color="auto"/>
        <w:right w:val="none" w:sz="0" w:space="0" w:color="auto"/>
      </w:divBdr>
      <w:divsChild>
        <w:div w:id="1322194757">
          <w:marLeft w:val="0"/>
          <w:marRight w:val="0"/>
          <w:marTop w:val="0"/>
          <w:marBottom w:val="0"/>
          <w:divBdr>
            <w:top w:val="none" w:sz="0" w:space="0" w:color="auto"/>
            <w:left w:val="none" w:sz="0" w:space="0" w:color="auto"/>
            <w:bottom w:val="none" w:sz="0" w:space="0" w:color="auto"/>
            <w:right w:val="none" w:sz="0" w:space="0" w:color="auto"/>
          </w:divBdr>
          <w:divsChild>
            <w:div w:id="2135639811">
              <w:marLeft w:val="0"/>
              <w:marRight w:val="0"/>
              <w:marTop w:val="0"/>
              <w:marBottom w:val="0"/>
              <w:divBdr>
                <w:top w:val="none" w:sz="0" w:space="0" w:color="auto"/>
                <w:left w:val="none" w:sz="0" w:space="0" w:color="auto"/>
                <w:bottom w:val="none" w:sz="0" w:space="0" w:color="auto"/>
                <w:right w:val="none" w:sz="0" w:space="0" w:color="auto"/>
              </w:divBdr>
              <w:divsChild>
                <w:div w:id="1419907990">
                  <w:marLeft w:val="0"/>
                  <w:marRight w:val="0"/>
                  <w:marTop w:val="0"/>
                  <w:marBottom w:val="0"/>
                  <w:divBdr>
                    <w:top w:val="none" w:sz="0" w:space="0" w:color="auto"/>
                    <w:left w:val="none" w:sz="0" w:space="0" w:color="auto"/>
                    <w:bottom w:val="none" w:sz="0" w:space="0" w:color="auto"/>
                    <w:right w:val="none" w:sz="0" w:space="0" w:color="auto"/>
                  </w:divBdr>
                  <w:divsChild>
                    <w:div w:id="15002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24774">
      <w:bodyDiv w:val="1"/>
      <w:marLeft w:val="0"/>
      <w:marRight w:val="0"/>
      <w:marTop w:val="0"/>
      <w:marBottom w:val="0"/>
      <w:divBdr>
        <w:top w:val="none" w:sz="0" w:space="0" w:color="auto"/>
        <w:left w:val="none" w:sz="0" w:space="0" w:color="auto"/>
        <w:bottom w:val="none" w:sz="0" w:space="0" w:color="auto"/>
        <w:right w:val="none" w:sz="0" w:space="0" w:color="auto"/>
      </w:divBdr>
      <w:divsChild>
        <w:div w:id="1447114217">
          <w:marLeft w:val="0"/>
          <w:marRight w:val="0"/>
          <w:marTop w:val="0"/>
          <w:marBottom w:val="0"/>
          <w:divBdr>
            <w:top w:val="none" w:sz="0" w:space="0" w:color="auto"/>
            <w:left w:val="none" w:sz="0" w:space="0" w:color="auto"/>
            <w:bottom w:val="none" w:sz="0" w:space="0" w:color="auto"/>
            <w:right w:val="none" w:sz="0" w:space="0" w:color="auto"/>
          </w:divBdr>
          <w:divsChild>
            <w:div w:id="754981505">
              <w:marLeft w:val="0"/>
              <w:marRight w:val="0"/>
              <w:marTop w:val="0"/>
              <w:marBottom w:val="0"/>
              <w:divBdr>
                <w:top w:val="none" w:sz="0" w:space="0" w:color="auto"/>
                <w:left w:val="none" w:sz="0" w:space="0" w:color="auto"/>
                <w:bottom w:val="none" w:sz="0" w:space="0" w:color="auto"/>
                <w:right w:val="none" w:sz="0" w:space="0" w:color="auto"/>
              </w:divBdr>
              <w:divsChild>
                <w:div w:id="213124127">
                  <w:marLeft w:val="0"/>
                  <w:marRight w:val="0"/>
                  <w:marTop w:val="0"/>
                  <w:marBottom w:val="0"/>
                  <w:divBdr>
                    <w:top w:val="none" w:sz="0" w:space="0" w:color="auto"/>
                    <w:left w:val="none" w:sz="0" w:space="0" w:color="auto"/>
                    <w:bottom w:val="none" w:sz="0" w:space="0" w:color="auto"/>
                    <w:right w:val="none" w:sz="0" w:space="0" w:color="auto"/>
                  </w:divBdr>
                  <w:divsChild>
                    <w:div w:id="64493513">
                      <w:marLeft w:val="0"/>
                      <w:marRight w:val="0"/>
                      <w:marTop w:val="0"/>
                      <w:marBottom w:val="0"/>
                      <w:divBdr>
                        <w:top w:val="none" w:sz="0" w:space="0" w:color="auto"/>
                        <w:left w:val="none" w:sz="0" w:space="0" w:color="auto"/>
                        <w:bottom w:val="none" w:sz="0" w:space="0" w:color="auto"/>
                        <w:right w:val="none" w:sz="0" w:space="0" w:color="auto"/>
                      </w:divBdr>
                    </w:div>
                  </w:divsChild>
                </w:div>
                <w:div w:id="1658148003">
                  <w:marLeft w:val="0"/>
                  <w:marRight w:val="0"/>
                  <w:marTop w:val="0"/>
                  <w:marBottom w:val="0"/>
                  <w:divBdr>
                    <w:top w:val="none" w:sz="0" w:space="0" w:color="auto"/>
                    <w:left w:val="none" w:sz="0" w:space="0" w:color="auto"/>
                    <w:bottom w:val="none" w:sz="0" w:space="0" w:color="auto"/>
                    <w:right w:val="none" w:sz="0" w:space="0" w:color="auto"/>
                  </w:divBdr>
                  <w:divsChild>
                    <w:div w:id="180311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717415">
      <w:bodyDiv w:val="1"/>
      <w:marLeft w:val="0"/>
      <w:marRight w:val="0"/>
      <w:marTop w:val="0"/>
      <w:marBottom w:val="0"/>
      <w:divBdr>
        <w:top w:val="none" w:sz="0" w:space="0" w:color="auto"/>
        <w:left w:val="none" w:sz="0" w:space="0" w:color="auto"/>
        <w:bottom w:val="none" w:sz="0" w:space="0" w:color="auto"/>
        <w:right w:val="none" w:sz="0" w:space="0" w:color="auto"/>
      </w:divBdr>
    </w:div>
    <w:div w:id="1059743431">
      <w:bodyDiv w:val="1"/>
      <w:marLeft w:val="0"/>
      <w:marRight w:val="0"/>
      <w:marTop w:val="0"/>
      <w:marBottom w:val="0"/>
      <w:divBdr>
        <w:top w:val="none" w:sz="0" w:space="0" w:color="auto"/>
        <w:left w:val="none" w:sz="0" w:space="0" w:color="auto"/>
        <w:bottom w:val="none" w:sz="0" w:space="0" w:color="auto"/>
        <w:right w:val="none" w:sz="0" w:space="0" w:color="auto"/>
      </w:divBdr>
    </w:div>
    <w:div w:id="1059984645">
      <w:bodyDiv w:val="1"/>
      <w:marLeft w:val="0"/>
      <w:marRight w:val="0"/>
      <w:marTop w:val="0"/>
      <w:marBottom w:val="0"/>
      <w:divBdr>
        <w:top w:val="none" w:sz="0" w:space="0" w:color="auto"/>
        <w:left w:val="none" w:sz="0" w:space="0" w:color="auto"/>
        <w:bottom w:val="none" w:sz="0" w:space="0" w:color="auto"/>
        <w:right w:val="none" w:sz="0" w:space="0" w:color="auto"/>
      </w:divBdr>
    </w:div>
    <w:div w:id="1060860666">
      <w:bodyDiv w:val="1"/>
      <w:marLeft w:val="0"/>
      <w:marRight w:val="0"/>
      <w:marTop w:val="0"/>
      <w:marBottom w:val="0"/>
      <w:divBdr>
        <w:top w:val="none" w:sz="0" w:space="0" w:color="auto"/>
        <w:left w:val="none" w:sz="0" w:space="0" w:color="auto"/>
        <w:bottom w:val="none" w:sz="0" w:space="0" w:color="auto"/>
        <w:right w:val="none" w:sz="0" w:space="0" w:color="auto"/>
      </w:divBdr>
      <w:divsChild>
        <w:div w:id="1090199656">
          <w:marLeft w:val="0"/>
          <w:marRight w:val="0"/>
          <w:marTop w:val="0"/>
          <w:marBottom w:val="0"/>
          <w:divBdr>
            <w:top w:val="none" w:sz="0" w:space="0" w:color="auto"/>
            <w:left w:val="none" w:sz="0" w:space="0" w:color="auto"/>
            <w:bottom w:val="none" w:sz="0" w:space="0" w:color="auto"/>
            <w:right w:val="none" w:sz="0" w:space="0" w:color="auto"/>
          </w:divBdr>
          <w:divsChild>
            <w:div w:id="1991208886">
              <w:marLeft w:val="0"/>
              <w:marRight w:val="0"/>
              <w:marTop w:val="0"/>
              <w:marBottom w:val="0"/>
              <w:divBdr>
                <w:top w:val="none" w:sz="0" w:space="0" w:color="auto"/>
                <w:left w:val="none" w:sz="0" w:space="0" w:color="auto"/>
                <w:bottom w:val="none" w:sz="0" w:space="0" w:color="auto"/>
                <w:right w:val="none" w:sz="0" w:space="0" w:color="auto"/>
              </w:divBdr>
              <w:divsChild>
                <w:div w:id="1177114947">
                  <w:marLeft w:val="0"/>
                  <w:marRight w:val="0"/>
                  <w:marTop w:val="0"/>
                  <w:marBottom w:val="0"/>
                  <w:divBdr>
                    <w:top w:val="none" w:sz="0" w:space="0" w:color="auto"/>
                    <w:left w:val="none" w:sz="0" w:space="0" w:color="auto"/>
                    <w:bottom w:val="none" w:sz="0" w:space="0" w:color="auto"/>
                    <w:right w:val="none" w:sz="0" w:space="0" w:color="auto"/>
                  </w:divBdr>
                  <w:divsChild>
                    <w:div w:id="45764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6187">
      <w:bodyDiv w:val="1"/>
      <w:marLeft w:val="0"/>
      <w:marRight w:val="0"/>
      <w:marTop w:val="0"/>
      <w:marBottom w:val="0"/>
      <w:divBdr>
        <w:top w:val="none" w:sz="0" w:space="0" w:color="auto"/>
        <w:left w:val="none" w:sz="0" w:space="0" w:color="auto"/>
        <w:bottom w:val="none" w:sz="0" w:space="0" w:color="auto"/>
        <w:right w:val="none" w:sz="0" w:space="0" w:color="auto"/>
      </w:divBdr>
    </w:div>
    <w:div w:id="1062563771">
      <w:bodyDiv w:val="1"/>
      <w:marLeft w:val="0"/>
      <w:marRight w:val="0"/>
      <w:marTop w:val="0"/>
      <w:marBottom w:val="0"/>
      <w:divBdr>
        <w:top w:val="none" w:sz="0" w:space="0" w:color="auto"/>
        <w:left w:val="none" w:sz="0" w:space="0" w:color="auto"/>
        <w:bottom w:val="none" w:sz="0" w:space="0" w:color="auto"/>
        <w:right w:val="none" w:sz="0" w:space="0" w:color="auto"/>
      </w:divBdr>
    </w:div>
    <w:div w:id="1064572561">
      <w:bodyDiv w:val="1"/>
      <w:marLeft w:val="0"/>
      <w:marRight w:val="0"/>
      <w:marTop w:val="0"/>
      <w:marBottom w:val="0"/>
      <w:divBdr>
        <w:top w:val="none" w:sz="0" w:space="0" w:color="auto"/>
        <w:left w:val="none" w:sz="0" w:space="0" w:color="auto"/>
        <w:bottom w:val="none" w:sz="0" w:space="0" w:color="auto"/>
        <w:right w:val="none" w:sz="0" w:space="0" w:color="auto"/>
      </w:divBdr>
      <w:divsChild>
        <w:div w:id="1362707739">
          <w:marLeft w:val="0"/>
          <w:marRight w:val="0"/>
          <w:marTop w:val="0"/>
          <w:marBottom w:val="0"/>
          <w:divBdr>
            <w:top w:val="none" w:sz="0" w:space="0" w:color="auto"/>
            <w:left w:val="none" w:sz="0" w:space="0" w:color="auto"/>
            <w:bottom w:val="none" w:sz="0" w:space="0" w:color="auto"/>
            <w:right w:val="none" w:sz="0" w:space="0" w:color="auto"/>
          </w:divBdr>
          <w:divsChild>
            <w:div w:id="207844730">
              <w:marLeft w:val="0"/>
              <w:marRight w:val="0"/>
              <w:marTop w:val="0"/>
              <w:marBottom w:val="0"/>
              <w:divBdr>
                <w:top w:val="none" w:sz="0" w:space="0" w:color="auto"/>
                <w:left w:val="none" w:sz="0" w:space="0" w:color="auto"/>
                <w:bottom w:val="none" w:sz="0" w:space="0" w:color="auto"/>
                <w:right w:val="none" w:sz="0" w:space="0" w:color="auto"/>
              </w:divBdr>
              <w:divsChild>
                <w:div w:id="1849754034">
                  <w:marLeft w:val="0"/>
                  <w:marRight w:val="0"/>
                  <w:marTop w:val="0"/>
                  <w:marBottom w:val="0"/>
                  <w:divBdr>
                    <w:top w:val="none" w:sz="0" w:space="0" w:color="auto"/>
                    <w:left w:val="none" w:sz="0" w:space="0" w:color="auto"/>
                    <w:bottom w:val="none" w:sz="0" w:space="0" w:color="auto"/>
                    <w:right w:val="none" w:sz="0" w:space="0" w:color="auto"/>
                  </w:divBdr>
                </w:div>
              </w:divsChild>
            </w:div>
            <w:div w:id="1492526903">
              <w:marLeft w:val="0"/>
              <w:marRight w:val="0"/>
              <w:marTop w:val="0"/>
              <w:marBottom w:val="0"/>
              <w:divBdr>
                <w:top w:val="none" w:sz="0" w:space="0" w:color="auto"/>
                <w:left w:val="none" w:sz="0" w:space="0" w:color="auto"/>
                <w:bottom w:val="none" w:sz="0" w:space="0" w:color="auto"/>
                <w:right w:val="none" w:sz="0" w:space="0" w:color="auto"/>
              </w:divBdr>
              <w:divsChild>
                <w:div w:id="875580974">
                  <w:marLeft w:val="0"/>
                  <w:marRight w:val="0"/>
                  <w:marTop w:val="0"/>
                  <w:marBottom w:val="0"/>
                  <w:divBdr>
                    <w:top w:val="none" w:sz="0" w:space="0" w:color="auto"/>
                    <w:left w:val="none" w:sz="0" w:space="0" w:color="auto"/>
                    <w:bottom w:val="none" w:sz="0" w:space="0" w:color="auto"/>
                    <w:right w:val="none" w:sz="0" w:space="0" w:color="auto"/>
                  </w:divBdr>
                </w:div>
              </w:divsChild>
            </w:div>
            <w:div w:id="1919055225">
              <w:marLeft w:val="0"/>
              <w:marRight w:val="0"/>
              <w:marTop w:val="0"/>
              <w:marBottom w:val="0"/>
              <w:divBdr>
                <w:top w:val="none" w:sz="0" w:space="0" w:color="auto"/>
                <w:left w:val="none" w:sz="0" w:space="0" w:color="auto"/>
                <w:bottom w:val="none" w:sz="0" w:space="0" w:color="auto"/>
                <w:right w:val="none" w:sz="0" w:space="0" w:color="auto"/>
              </w:divBdr>
              <w:divsChild>
                <w:div w:id="203222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5831">
      <w:bodyDiv w:val="1"/>
      <w:marLeft w:val="0"/>
      <w:marRight w:val="0"/>
      <w:marTop w:val="0"/>
      <w:marBottom w:val="0"/>
      <w:divBdr>
        <w:top w:val="none" w:sz="0" w:space="0" w:color="auto"/>
        <w:left w:val="none" w:sz="0" w:space="0" w:color="auto"/>
        <w:bottom w:val="none" w:sz="0" w:space="0" w:color="auto"/>
        <w:right w:val="none" w:sz="0" w:space="0" w:color="auto"/>
      </w:divBdr>
    </w:div>
    <w:div w:id="1064719238">
      <w:bodyDiv w:val="1"/>
      <w:marLeft w:val="0"/>
      <w:marRight w:val="0"/>
      <w:marTop w:val="0"/>
      <w:marBottom w:val="0"/>
      <w:divBdr>
        <w:top w:val="none" w:sz="0" w:space="0" w:color="auto"/>
        <w:left w:val="none" w:sz="0" w:space="0" w:color="auto"/>
        <w:bottom w:val="none" w:sz="0" w:space="0" w:color="auto"/>
        <w:right w:val="none" w:sz="0" w:space="0" w:color="auto"/>
      </w:divBdr>
    </w:div>
    <w:div w:id="1066343501">
      <w:bodyDiv w:val="1"/>
      <w:marLeft w:val="0"/>
      <w:marRight w:val="0"/>
      <w:marTop w:val="0"/>
      <w:marBottom w:val="0"/>
      <w:divBdr>
        <w:top w:val="none" w:sz="0" w:space="0" w:color="auto"/>
        <w:left w:val="none" w:sz="0" w:space="0" w:color="auto"/>
        <w:bottom w:val="none" w:sz="0" w:space="0" w:color="auto"/>
        <w:right w:val="none" w:sz="0" w:space="0" w:color="auto"/>
      </w:divBdr>
    </w:div>
    <w:div w:id="1068112908">
      <w:bodyDiv w:val="1"/>
      <w:marLeft w:val="0"/>
      <w:marRight w:val="0"/>
      <w:marTop w:val="0"/>
      <w:marBottom w:val="0"/>
      <w:divBdr>
        <w:top w:val="none" w:sz="0" w:space="0" w:color="auto"/>
        <w:left w:val="none" w:sz="0" w:space="0" w:color="auto"/>
        <w:bottom w:val="none" w:sz="0" w:space="0" w:color="auto"/>
        <w:right w:val="none" w:sz="0" w:space="0" w:color="auto"/>
      </w:divBdr>
    </w:div>
    <w:div w:id="1068453135">
      <w:bodyDiv w:val="1"/>
      <w:marLeft w:val="0"/>
      <w:marRight w:val="0"/>
      <w:marTop w:val="0"/>
      <w:marBottom w:val="0"/>
      <w:divBdr>
        <w:top w:val="none" w:sz="0" w:space="0" w:color="auto"/>
        <w:left w:val="none" w:sz="0" w:space="0" w:color="auto"/>
        <w:bottom w:val="none" w:sz="0" w:space="0" w:color="auto"/>
        <w:right w:val="none" w:sz="0" w:space="0" w:color="auto"/>
      </w:divBdr>
    </w:div>
    <w:div w:id="1071151553">
      <w:bodyDiv w:val="1"/>
      <w:marLeft w:val="0"/>
      <w:marRight w:val="0"/>
      <w:marTop w:val="0"/>
      <w:marBottom w:val="0"/>
      <w:divBdr>
        <w:top w:val="none" w:sz="0" w:space="0" w:color="auto"/>
        <w:left w:val="none" w:sz="0" w:space="0" w:color="auto"/>
        <w:bottom w:val="none" w:sz="0" w:space="0" w:color="auto"/>
        <w:right w:val="none" w:sz="0" w:space="0" w:color="auto"/>
      </w:divBdr>
    </w:div>
    <w:div w:id="1071468838">
      <w:bodyDiv w:val="1"/>
      <w:marLeft w:val="0"/>
      <w:marRight w:val="0"/>
      <w:marTop w:val="0"/>
      <w:marBottom w:val="0"/>
      <w:divBdr>
        <w:top w:val="none" w:sz="0" w:space="0" w:color="auto"/>
        <w:left w:val="none" w:sz="0" w:space="0" w:color="auto"/>
        <w:bottom w:val="none" w:sz="0" w:space="0" w:color="auto"/>
        <w:right w:val="none" w:sz="0" w:space="0" w:color="auto"/>
      </w:divBdr>
    </w:div>
    <w:div w:id="1072503819">
      <w:bodyDiv w:val="1"/>
      <w:marLeft w:val="0"/>
      <w:marRight w:val="0"/>
      <w:marTop w:val="0"/>
      <w:marBottom w:val="0"/>
      <w:divBdr>
        <w:top w:val="none" w:sz="0" w:space="0" w:color="auto"/>
        <w:left w:val="none" w:sz="0" w:space="0" w:color="auto"/>
        <w:bottom w:val="none" w:sz="0" w:space="0" w:color="auto"/>
        <w:right w:val="none" w:sz="0" w:space="0" w:color="auto"/>
      </w:divBdr>
    </w:div>
    <w:div w:id="1073897413">
      <w:bodyDiv w:val="1"/>
      <w:marLeft w:val="0"/>
      <w:marRight w:val="0"/>
      <w:marTop w:val="0"/>
      <w:marBottom w:val="0"/>
      <w:divBdr>
        <w:top w:val="none" w:sz="0" w:space="0" w:color="auto"/>
        <w:left w:val="none" w:sz="0" w:space="0" w:color="auto"/>
        <w:bottom w:val="none" w:sz="0" w:space="0" w:color="auto"/>
        <w:right w:val="none" w:sz="0" w:space="0" w:color="auto"/>
      </w:divBdr>
    </w:div>
    <w:div w:id="1074012990">
      <w:bodyDiv w:val="1"/>
      <w:marLeft w:val="0"/>
      <w:marRight w:val="0"/>
      <w:marTop w:val="0"/>
      <w:marBottom w:val="0"/>
      <w:divBdr>
        <w:top w:val="none" w:sz="0" w:space="0" w:color="auto"/>
        <w:left w:val="none" w:sz="0" w:space="0" w:color="auto"/>
        <w:bottom w:val="none" w:sz="0" w:space="0" w:color="auto"/>
        <w:right w:val="none" w:sz="0" w:space="0" w:color="auto"/>
      </w:divBdr>
      <w:divsChild>
        <w:div w:id="1305889662">
          <w:marLeft w:val="0"/>
          <w:marRight w:val="0"/>
          <w:marTop w:val="0"/>
          <w:marBottom w:val="0"/>
          <w:divBdr>
            <w:top w:val="none" w:sz="0" w:space="0" w:color="auto"/>
            <w:left w:val="none" w:sz="0" w:space="0" w:color="auto"/>
            <w:bottom w:val="none" w:sz="0" w:space="0" w:color="auto"/>
            <w:right w:val="none" w:sz="0" w:space="0" w:color="auto"/>
          </w:divBdr>
          <w:divsChild>
            <w:div w:id="330645090">
              <w:marLeft w:val="0"/>
              <w:marRight w:val="0"/>
              <w:marTop w:val="0"/>
              <w:marBottom w:val="0"/>
              <w:divBdr>
                <w:top w:val="none" w:sz="0" w:space="0" w:color="auto"/>
                <w:left w:val="none" w:sz="0" w:space="0" w:color="auto"/>
                <w:bottom w:val="none" w:sz="0" w:space="0" w:color="auto"/>
                <w:right w:val="none" w:sz="0" w:space="0" w:color="auto"/>
              </w:divBdr>
              <w:divsChild>
                <w:div w:id="1761753613">
                  <w:marLeft w:val="0"/>
                  <w:marRight w:val="0"/>
                  <w:marTop w:val="0"/>
                  <w:marBottom w:val="0"/>
                  <w:divBdr>
                    <w:top w:val="none" w:sz="0" w:space="0" w:color="auto"/>
                    <w:left w:val="none" w:sz="0" w:space="0" w:color="auto"/>
                    <w:bottom w:val="none" w:sz="0" w:space="0" w:color="auto"/>
                    <w:right w:val="none" w:sz="0" w:space="0" w:color="auto"/>
                  </w:divBdr>
                  <w:divsChild>
                    <w:div w:id="130850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164186">
      <w:bodyDiv w:val="1"/>
      <w:marLeft w:val="0"/>
      <w:marRight w:val="0"/>
      <w:marTop w:val="0"/>
      <w:marBottom w:val="0"/>
      <w:divBdr>
        <w:top w:val="none" w:sz="0" w:space="0" w:color="auto"/>
        <w:left w:val="none" w:sz="0" w:space="0" w:color="auto"/>
        <w:bottom w:val="none" w:sz="0" w:space="0" w:color="auto"/>
        <w:right w:val="none" w:sz="0" w:space="0" w:color="auto"/>
      </w:divBdr>
      <w:divsChild>
        <w:div w:id="1769696679">
          <w:marLeft w:val="0"/>
          <w:marRight w:val="0"/>
          <w:marTop w:val="0"/>
          <w:marBottom w:val="0"/>
          <w:divBdr>
            <w:top w:val="none" w:sz="0" w:space="0" w:color="auto"/>
            <w:left w:val="none" w:sz="0" w:space="0" w:color="auto"/>
            <w:bottom w:val="none" w:sz="0" w:space="0" w:color="auto"/>
            <w:right w:val="none" w:sz="0" w:space="0" w:color="auto"/>
          </w:divBdr>
          <w:divsChild>
            <w:div w:id="1818524620">
              <w:marLeft w:val="0"/>
              <w:marRight w:val="0"/>
              <w:marTop w:val="0"/>
              <w:marBottom w:val="0"/>
              <w:divBdr>
                <w:top w:val="none" w:sz="0" w:space="0" w:color="auto"/>
                <w:left w:val="none" w:sz="0" w:space="0" w:color="auto"/>
                <w:bottom w:val="none" w:sz="0" w:space="0" w:color="auto"/>
                <w:right w:val="none" w:sz="0" w:space="0" w:color="auto"/>
              </w:divBdr>
              <w:divsChild>
                <w:div w:id="1296594655">
                  <w:marLeft w:val="0"/>
                  <w:marRight w:val="0"/>
                  <w:marTop w:val="0"/>
                  <w:marBottom w:val="0"/>
                  <w:divBdr>
                    <w:top w:val="none" w:sz="0" w:space="0" w:color="auto"/>
                    <w:left w:val="none" w:sz="0" w:space="0" w:color="auto"/>
                    <w:bottom w:val="none" w:sz="0" w:space="0" w:color="auto"/>
                    <w:right w:val="none" w:sz="0" w:space="0" w:color="auto"/>
                  </w:divBdr>
                  <w:divsChild>
                    <w:div w:id="143500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473636">
      <w:bodyDiv w:val="1"/>
      <w:marLeft w:val="0"/>
      <w:marRight w:val="0"/>
      <w:marTop w:val="0"/>
      <w:marBottom w:val="0"/>
      <w:divBdr>
        <w:top w:val="none" w:sz="0" w:space="0" w:color="auto"/>
        <w:left w:val="none" w:sz="0" w:space="0" w:color="auto"/>
        <w:bottom w:val="none" w:sz="0" w:space="0" w:color="auto"/>
        <w:right w:val="none" w:sz="0" w:space="0" w:color="auto"/>
      </w:divBdr>
    </w:div>
    <w:div w:id="1075710995">
      <w:bodyDiv w:val="1"/>
      <w:marLeft w:val="0"/>
      <w:marRight w:val="0"/>
      <w:marTop w:val="0"/>
      <w:marBottom w:val="0"/>
      <w:divBdr>
        <w:top w:val="none" w:sz="0" w:space="0" w:color="auto"/>
        <w:left w:val="none" w:sz="0" w:space="0" w:color="auto"/>
        <w:bottom w:val="none" w:sz="0" w:space="0" w:color="auto"/>
        <w:right w:val="none" w:sz="0" w:space="0" w:color="auto"/>
      </w:divBdr>
    </w:div>
    <w:div w:id="1075929445">
      <w:bodyDiv w:val="1"/>
      <w:marLeft w:val="0"/>
      <w:marRight w:val="0"/>
      <w:marTop w:val="0"/>
      <w:marBottom w:val="0"/>
      <w:divBdr>
        <w:top w:val="none" w:sz="0" w:space="0" w:color="auto"/>
        <w:left w:val="none" w:sz="0" w:space="0" w:color="auto"/>
        <w:bottom w:val="none" w:sz="0" w:space="0" w:color="auto"/>
        <w:right w:val="none" w:sz="0" w:space="0" w:color="auto"/>
      </w:divBdr>
    </w:div>
    <w:div w:id="1076513357">
      <w:bodyDiv w:val="1"/>
      <w:marLeft w:val="0"/>
      <w:marRight w:val="0"/>
      <w:marTop w:val="0"/>
      <w:marBottom w:val="0"/>
      <w:divBdr>
        <w:top w:val="none" w:sz="0" w:space="0" w:color="auto"/>
        <w:left w:val="none" w:sz="0" w:space="0" w:color="auto"/>
        <w:bottom w:val="none" w:sz="0" w:space="0" w:color="auto"/>
        <w:right w:val="none" w:sz="0" w:space="0" w:color="auto"/>
      </w:divBdr>
      <w:divsChild>
        <w:div w:id="1053625847">
          <w:marLeft w:val="0"/>
          <w:marRight w:val="0"/>
          <w:marTop w:val="0"/>
          <w:marBottom w:val="0"/>
          <w:divBdr>
            <w:top w:val="none" w:sz="0" w:space="0" w:color="auto"/>
            <w:left w:val="none" w:sz="0" w:space="0" w:color="auto"/>
            <w:bottom w:val="none" w:sz="0" w:space="0" w:color="auto"/>
            <w:right w:val="none" w:sz="0" w:space="0" w:color="auto"/>
          </w:divBdr>
          <w:divsChild>
            <w:div w:id="707266946">
              <w:marLeft w:val="0"/>
              <w:marRight w:val="0"/>
              <w:marTop w:val="0"/>
              <w:marBottom w:val="0"/>
              <w:divBdr>
                <w:top w:val="none" w:sz="0" w:space="0" w:color="auto"/>
                <w:left w:val="none" w:sz="0" w:space="0" w:color="auto"/>
                <w:bottom w:val="none" w:sz="0" w:space="0" w:color="auto"/>
                <w:right w:val="none" w:sz="0" w:space="0" w:color="auto"/>
              </w:divBdr>
              <w:divsChild>
                <w:div w:id="1263223253">
                  <w:marLeft w:val="0"/>
                  <w:marRight w:val="0"/>
                  <w:marTop w:val="0"/>
                  <w:marBottom w:val="0"/>
                  <w:divBdr>
                    <w:top w:val="none" w:sz="0" w:space="0" w:color="auto"/>
                    <w:left w:val="none" w:sz="0" w:space="0" w:color="auto"/>
                    <w:bottom w:val="none" w:sz="0" w:space="0" w:color="auto"/>
                    <w:right w:val="none" w:sz="0" w:space="0" w:color="auto"/>
                  </w:divBdr>
                  <w:divsChild>
                    <w:div w:id="57016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705939">
      <w:bodyDiv w:val="1"/>
      <w:marLeft w:val="0"/>
      <w:marRight w:val="0"/>
      <w:marTop w:val="0"/>
      <w:marBottom w:val="0"/>
      <w:divBdr>
        <w:top w:val="none" w:sz="0" w:space="0" w:color="auto"/>
        <w:left w:val="none" w:sz="0" w:space="0" w:color="auto"/>
        <w:bottom w:val="none" w:sz="0" w:space="0" w:color="auto"/>
        <w:right w:val="none" w:sz="0" w:space="0" w:color="auto"/>
      </w:divBdr>
      <w:divsChild>
        <w:div w:id="976834474">
          <w:marLeft w:val="0"/>
          <w:marRight w:val="0"/>
          <w:marTop w:val="0"/>
          <w:marBottom w:val="0"/>
          <w:divBdr>
            <w:top w:val="none" w:sz="0" w:space="0" w:color="auto"/>
            <w:left w:val="none" w:sz="0" w:space="0" w:color="auto"/>
            <w:bottom w:val="none" w:sz="0" w:space="0" w:color="auto"/>
            <w:right w:val="none" w:sz="0" w:space="0" w:color="auto"/>
          </w:divBdr>
          <w:divsChild>
            <w:div w:id="1664384374">
              <w:marLeft w:val="0"/>
              <w:marRight w:val="0"/>
              <w:marTop w:val="0"/>
              <w:marBottom w:val="0"/>
              <w:divBdr>
                <w:top w:val="none" w:sz="0" w:space="0" w:color="auto"/>
                <w:left w:val="none" w:sz="0" w:space="0" w:color="auto"/>
                <w:bottom w:val="none" w:sz="0" w:space="0" w:color="auto"/>
                <w:right w:val="none" w:sz="0" w:space="0" w:color="auto"/>
              </w:divBdr>
              <w:divsChild>
                <w:div w:id="713509512">
                  <w:marLeft w:val="0"/>
                  <w:marRight w:val="0"/>
                  <w:marTop w:val="0"/>
                  <w:marBottom w:val="0"/>
                  <w:divBdr>
                    <w:top w:val="none" w:sz="0" w:space="0" w:color="auto"/>
                    <w:left w:val="none" w:sz="0" w:space="0" w:color="auto"/>
                    <w:bottom w:val="none" w:sz="0" w:space="0" w:color="auto"/>
                    <w:right w:val="none" w:sz="0" w:space="0" w:color="auto"/>
                  </w:divBdr>
                  <w:divsChild>
                    <w:div w:id="46867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794822">
      <w:bodyDiv w:val="1"/>
      <w:marLeft w:val="0"/>
      <w:marRight w:val="0"/>
      <w:marTop w:val="0"/>
      <w:marBottom w:val="0"/>
      <w:divBdr>
        <w:top w:val="none" w:sz="0" w:space="0" w:color="auto"/>
        <w:left w:val="none" w:sz="0" w:space="0" w:color="auto"/>
        <w:bottom w:val="none" w:sz="0" w:space="0" w:color="auto"/>
        <w:right w:val="none" w:sz="0" w:space="0" w:color="auto"/>
      </w:divBdr>
    </w:div>
    <w:div w:id="1079526134">
      <w:bodyDiv w:val="1"/>
      <w:marLeft w:val="0"/>
      <w:marRight w:val="0"/>
      <w:marTop w:val="0"/>
      <w:marBottom w:val="0"/>
      <w:divBdr>
        <w:top w:val="none" w:sz="0" w:space="0" w:color="auto"/>
        <w:left w:val="none" w:sz="0" w:space="0" w:color="auto"/>
        <w:bottom w:val="none" w:sz="0" w:space="0" w:color="auto"/>
        <w:right w:val="none" w:sz="0" w:space="0" w:color="auto"/>
      </w:divBdr>
    </w:div>
    <w:div w:id="1080105513">
      <w:bodyDiv w:val="1"/>
      <w:marLeft w:val="0"/>
      <w:marRight w:val="0"/>
      <w:marTop w:val="0"/>
      <w:marBottom w:val="0"/>
      <w:divBdr>
        <w:top w:val="none" w:sz="0" w:space="0" w:color="auto"/>
        <w:left w:val="none" w:sz="0" w:space="0" w:color="auto"/>
        <w:bottom w:val="none" w:sz="0" w:space="0" w:color="auto"/>
        <w:right w:val="none" w:sz="0" w:space="0" w:color="auto"/>
      </w:divBdr>
    </w:div>
    <w:div w:id="1080716850">
      <w:bodyDiv w:val="1"/>
      <w:marLeft w:val="0"/>
      <w:marRight w:val="0"/>
      <w:marTop w:val="0"/>
      <w:marBottom w:val="0"/>
      <w:divBdr>
        <w:top w:val="none" w:sz="0" w:space="0" w:color="auto"/>
        <w:left w:val="none" w:sz="0" w:space="0" w:color="auto"/>
        <w:bottom w:val="none" w:sz="0" w:space="0" w:color="auto"/>
        <w:right w:val="none" w:sz="0" w:space="0" w:color="auto"/>
      </w:divBdr>
    </w:div>
    <w:div w:id="1080829736">
      <w:bodyDiv w:val="1"/>
      <w:marLeft w:val="0"/>
      <w:marRight w:val="0"/>
      <w:marTop w:val="0"/>
      <w:marBottom w:val="0"/>
      <w:divBdr>
        <w:top w:val="none" w:sz="0" w:space="0" w:color="auto"/>
        <w:left w:val="none" w:sz="0" w:space="0" w:color="auto"/>
        <w:bottom w:val="none" w:sz="0" w:space="0" w:color="auto"/>
        <w:right w:val="none" w:sz="0" w:space="0" w:color="auto"/>
      </w:divBdr>
      <w:divsChild>
        <w:div w:id="1749184558">
          <w:marLeft w:val="0"/>
          <w:marRight w:val="0"/>
          <w:marTop w:val="0"/>
          <w:marBottom w:val="0"/>
          <w:divBdr>
            <w:top w:val="none" w:sz="0" w:space="0" w:color="auto"/>
            <w:left w:val="none" w:sz="0" w:space="0" w:color="auto"/>
            <w:bottom w:val="none" w:sz="0" w:space="0" w:color="auto"/>
            <w:right w:val="none" w:sz="0" w:space="0" w:color="auto"/>
          </w:divBdr>
          <w:divsChild>
            <w:div w:id="482433053">
              <w:marLeft w:val="0"/>
              <w:marRight w:val="0"/>
              <w:marTop w:val="0"/>
              <w:marBottom w:val="0"/>
              <w:divBdr>
                <w:top w:val="none" w:sz="0" w:space="0" w:color="auto"/>
                <w:left w:val="none" w:sz="0" w:space="0" w:color="auto"/>
                <w:bottom w:val="none" w:sz="0" w:space="0" w:color="auto"/>
                <w:right w:val="none" w:sz="0" w:space="0" w:color="auto"/>
              </w:divBdr>
              <w:divsChild>
                <w:div w:id="1432776779">
                  <w:marLeft w:val="0"/>
                  <w:marRight w:val="0"/>
                  <w:marTop w:val="0"/>
                  <w:marBottom w:val="0"/>
                  <w:divBdr>
                    <w:top w:val="none" w:sz="0" w:space="0" w:color="auto"/>
                    <w:left w:val="none" w:sz="0" w:space="0" w:color="auto"/>
                    <w:bottom w:val="none" w:sz="0" w:space="0" w:color="auto"/>
                    <w:right w:val="none" w:sz="0" w:space="0" w:color="auto"/>
                  </w:divBdr>
                  <w:divsChild>
                    <w:div w:id="213968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681691">
      <w:bodyDiv w:val="1"/>
      <w:marLeft w:val="0"/>
      <w:marRight w:val="0"/>
      <w:marTop w:val="0"/>
      <w:marBottom w:val="0"/>
      <w:divBdr>
        <w:top w:val="none" w:sz="0" w:space="0" w:color="auto"/>
        <w:left w:val="none" w:sz="0" w:space="0" w:color="auto"/>
        <w:bottom w:val="none" w:sz="0" w:space="0" w:color="auto"/>
        <w:right w:val="none" w:sz="0" w:space="0" w:color="auto"/>
      </w:divBdr>
    </w:div>
    <w:div w:id="1081876508">
      <w:bodyDiv w:val="1"/>
      <w:marLeft w:val="0"/>
      <w:marRight w:val="0"/>
      <w:marTop w:val="0"/>
      <w:marBottom w:val="0"/>
      <w:divBdr>
        <w:top w:val="none" w:sz="0" w:space="0" w:color="auto"/>
        <w:left w:val="none" w:sz="0" w:space="0" w:color="auto"/>
        <w:bottom w:val="none" w:sz="0" w:space="0" w:color="auto"/>
        <w:right w:val="none" w:sz="0" w:space="0" w:color="auto"/>
      </w:divBdr>
      <w:divsChild>
        <w:div w:id="1890074390">
          <w:marLeft w:val="0"/>
          <w:marRight w:val="0"/>
          <w:marTop w:val="0"/>
          <w:marBottom w:val="0"/>
          <w:divBdr>
            <w:top w:val="none" w:sz="0" w:space="0" w:color="auto"/>
            <w:left w:val="none" w:sz="0" w:space="0" w:color="auto"/>
            <w:bottom w:val="none" w:sz="0" w:space="0" w:color="auto"/>
            <w:right w:val="none" w:sz="0" w:space="0" w:color="auto"/>
          </w:divBdr>
          <w:divsChild>
            <w:div w:id="1884829122">
              <w:marLeft w:val="0"/>
              <w:marRight w:val="0"/>
              <w:marTop w:val="0"/>
              <w:marBottom w:val="0"/>
              <w:divBdr>
                <w:top w:val="none" w:sz="0" w:space="0" w:color="auto"/>
                <w:left w:val="none" w:sz="0" w:space="0" w:color="auto"/>
                <w:bottom w:val="none" w:sz="0" w:space="0" w:color="auto"/>
                <w:right w:val="none" w:sz="0" w:space="0" w:color="auto"/>
              </w:divBdr>
              <w:divsChild>
                <w:div w:id="966810687">
                  <w:marLeft w:val="0"/>
                  <w:marRight w:val="0"/>
                  <w:marTop w:val="0"/>
                  <w:marBottom w:val="0"/>
                  <w:divBdr>
                    <w:top w:val="none" w:sz="0" w:space="0" w:color="auto"/>
                    <w:left w:val="none" w:sz="0" w:space="0" w:color="auto"/>
                    <w:bottom w:val="none" w:sz="0" w:space="0" w:color="auto"/>
                    <w:right w:val="none" w:sz="0" w:space="0" w:color="auto"/>
                  </w:divBdr>
                  <w:divsChild>
                    <w:div w:id="945623997">
                      <w:marLeft w:val="0"/>
                      <w:marRight w:val="0"/>
                      <w:marTop w:val="0"/>
                      <w:marBottom w:val="0"/>
                      <w:divBdr>
                        <w:top w:val="none" w:sz="0" w:space="0" w:color="auto"/>
                        <w:left w:val="none" w:sz="0" w:space="0" w:color="auto"/>
                        <w:bottom w:val="none" w:sz="0" w:space="0" w:color="auto"/>
                        <w:right w:val="none" w:sz="0" w:space="0" w:color="auto"/>
                      </w:divBdr>
                    </w:div>
                  </w:divsChild>
                </w:div>
                <w:div w:id="1287590067">
                  <w:marLeft w:val="0"/>
                  <w:marRight w:val="0"/>
                  <w:marTop w:val="0"/>
                  <w:marBottom w:val="0"/>
                  <w:divBdr>
                    <w:top w:val="none" w:sz="0" w:space="0" w:color="auto"/>
                    <w:left w:val="none" w:sz="0" w:space="0" w:color="auto"/>
                    <w:bottom w:val="none" w:sz="0" w:space="0" w:color="auto"/>
                    <w:right w:val="none" w:sz="0" w:space="0" w:color="auto"/>
                  </w:divBdr>
                  <w:divsChild>
                    <w:div w:id="1850480800">
                      <w:marLeft w:val="0"/>
                      <w:marRight w:val="0"/>
                      <w:marTop w:val="0"/>
                      <w:marBottom w:val="0"/>
                      <w:divBdr>
                        <w:top w:val="none" w:sz="0" w:space="0" w:color="auto"/>
                        <w:left w:val="none" w:sz="0" w:space="0" w:color="auto"/>
                        <w:bottom w:val="none" w:sz="0" w:space="0" w:color="auto"/>
                        <w:right w:val="none" w:sz="0" w:space="0" w:color="auto"/>
                      </w:divBdr>
                    </w:div>
                  </w:divsChild>
                </w:div>
                <w:div w:id="1798721304">
                  <w:marLeft w:val="0"/>
                  <w:marRight w:val="0"/>
                  <w:marTop w:val="0"/>
                  <w:marBottom w:val="0"/>
                  <w:divBdr>
                    <w:top w:val="none" w:sz="0" w:space="0" w:color="auto"/>
                    <w:left w:val="none" w:sz="0" w:space="0" w:color="auto"/>
                    <w:bottom w:val="none" w:sz="0" w:space="0" w:color="auto"/>
                    <w:right w:val="none" w:sz="0" w:space="0" w:color="auto"/>
                  </w:divBdr>
                  <w:divsChild>
                    <w:div w:id="9085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677427">
      <w:bodyDiv w:val="1"/>
      <w:marLeft w:val="0"/>
      <w:marRight w:val="0"/>
      <w:marTop w:val="0"/>
      <w:marBottom w:val="0"/>
      <w:divBdr>
        <w:top w:val="none" w:sz="0" w:space="0" w:color="auto"/>
        <w:left w:val="none" w:sz="0" w:space="0" w:color="auto"/>
        <w:bottom w:val="none" w:sz="0" w:space="0" w:color="auto"/>
        <w:right w:val="none" w:sz="0" w:space="0" w:color="auto"/>
      </w:divBdr>
    </w:div>
    <w:div w:id="1083726458">
      <w:bodyDiv w:val="1"/>
      <w:marLeft w:val="0"/>
      <w:marRight w:val="0"/>
      <w:marTop w:val="0"/>
      <w:marBottom w:val="0"/>
      <w:divBdr>
        <w:top w:val="none" w:sz="0" w:space="0" w:color="auto"/>
        <w:left w:val="none" w:sz="0" w:space="0" w:color="auto"/>
        <w:bottom w:val="none" w:sz="0" w:space="0" w:color="auto"/>
        <w:right w:val="none" w:sz="0" w:space="0" w:color="auto"/>
      </w:divBdr>
      <w:divsChild>
        <w:div w:id="775757057">
          <w:marLeft w:val="0"/>
          <w:marRight w:val="0"/>
          <w:marTop w:val="0"/>
          <w:marBottom w:val="0"/>
          <w:divBdr>
            <w:top w:val="none" w:sz="0" w:space="0" w:color="auto"/>
            <w:left w:val="none" w:sz="0" w:space="0" w:color="auto"/>
            <w:bottom w:val="none" w:sz="0" w:space="0" w:color="auto"/>
            <w:right w:val="none" w:sz="0" w:space="0" w:color="auto"/>
          </w:divBdr>
          <w:divsChild>
            <w:div w:id="960839632">
              <w:marLeft w:val="0"/>
              <w:marRight w:val="0"/>
              <w:marTop w:val="0"/>
              <w:marBottom w:val="0"/>
              <w:divBdr>
                <w:top w:val="none" w:sz="0" w:space="0" w:color="auto"/>
                <w:left w:val="none" w:sz="0" w:space="0" w:color="auto"/>
                <w:bottom w:val="none" w:sz="0" w:space="0" w:color="auto"/>
                <w:right w:val="none" w:sz="0" w:space="0" w:color="auto"/>
              </w:divBdr>
              <w:divsChild>
                <w:div w:id="33115166">
                  <w:marLeft w:val="0"/>
                  <w:marRight w:val="0"/>
                  <w:marTop w:val="0"/>
                  <w:marBottom w:val="0"/>
                  <w:divBdr>
                    <w:top w:val="none" w:sz="0" w:space="0" w:color="auto"/>
                    <w:left w:val="none" w:sz="0" w:space="0" w:color="auto"/>
                    <w:bottom w:val="none" w:sz="0" w:space="0" w:color="auto"/>
                    <w:right w:val="none" w:sz="0" w:space="0" w:color="auto"/>
                  </w:divBdr>
                  <w:divsChild>
                    <w:div w:id="3322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953467">
      <w:bodyDiv w:val="1"/>
      <w:marLeft w:val="0"/>
      <w:marRight w:val="0"/>
      <w:marTop w:val="0"/>
      <w:marBottom w:val="0"/>
      <w:divBdr>
        <w:top w:val="none" w:sz="0" w:space="0" w:color="auto"/>
        <w:left w:val="none" w:sz="0" w:space="0" w:color="auto"/>
        <w:bottom w:val="none" w:sz="0" w:space="0" w:color="auto"/>
        <w:right w:val="none" w:sz="0" w:space="0" w:color="auto"/>
      </w:divBdr>
    </w:div>
    <w:div w:id="1087119813">
      <w:bodyDiv w:val="1"/>
      <w:marLeft w:val="0"/>
      <w:marRight w:val="0"/>
      <w:marTop w:val="0"/>
      <w:marBottom w:val="0"/>
      <w:divBdr>
        <w:top w:val="none" w:sz="0" w:space="0" w:color="auto"/>
        <w:left w:val="none" w:sz="0" w:space="0" w:color="auto"/>
        <w:bottom w:val="none" w:sz="0" w:space="0" w:color="auto"/>
        <w:right w:val="none" w:sz="0" w:space="0" w:color="auto"/>
      </w:divBdr>
    </w:div>
    <w:div w:id="1087312411">
      <w:bodyDiv w:val="1"/>
      <w:marLeft w:val="0"/>
      <w:marRight w:val="0"/>
      <w:marTop w:val="0"/>
      <w:marBottom w:val="0"/>
      <w:divBdr>
        <w:top w:val="none" w:sz="0" w:space="0" w:color="auto"/>
        <w:left w:val="none" w:sz="0" w:space="0" w:color="auto"/>
        <w:bottom w:val="none" w:sz="0" w:space="0" w:color="auto"/>
        <w:right w:val="none" w:sz="0" w:space="0" w:color="auto"/>
      </w:divBdr>
    </w:div>
    <w:div w:id="1087460864">
      <w:bodyDiv w:val="1"/>
      <w:marLeft w:val="0"/>
      <w:marRight w:val="0"/>
      <w:marTop w:val="0"/>
      <w:marBottom w:val="0"/>
      <w:divBdr>
        <w:top w:val="none" w:sz="0" w:space="0" w:color="auto"/>
        <w:left w:val="none" w:sz="0" w:space="0" w:color="auto"/>
        <w:bottom w:val="none" w:sz="0" w:space="0" w:color="auto"/>
        <w:right w:val="none" w:sz="0" w:space="0" w:color="auto"/>
      </w:divBdr>
      <w:divsChild>
        <w:div w:id="641275083">
          <w:marLeft w:val="0"/>
          <w:marRight w:val="0"/>
          <w:marTop w:val="0"/>
          <w:marBottom w:val="0"/>
          <w:divBdr>
            <w:top w:val="none" w:sz="0" w:space="0" w:color="auto"/>
            <w:left w:val="none" w:sz="0" w:space="0" w:color="auto"/>
            <w:bottom w:val="none" w:sz="0" w:space="0" w:color="auto"/>
            <w:right w:val="none" w:sz="0" w:space="0" w:color="auto"/>
          </w:divBdr>
          <w:divsChild>
            <w:div w:id="1368483381">
              <w:marLeft w:val="0"/>
              <w:marRight w:val="0"/>
              <w:marTop w:val="0"/>
              <w:marBottom w:val="0"/>
              <w:divBdr>
                <w:top w:val="none" w:sz="0" w:space="0" w:color="auto"/>
                <w:left w:val="none" w:sz="0" w:space="0" w:color="auto"/>
                <w:bottom w:val="none" w:sz="0" w:space="0" w:color="auto"/>
                <w:right w:val="none" w:sz="0" w:space="0" w:color="auto"/>
              </w:divBdr>
              <w:divsChild>
                <w:div w:id="1679388355">
                  <w:marLeft w:val="0"/>
                  <w:marRight w:val="0"/>
                  <w:marTop w:val="0"/>
                  <w:marBottom w:val="0"/>
                  <w:divBdr>
                    <w:top w:val="none" w:sz="0" w:space="0" w:color="auto"/>
                    <w:left w:val="none" w:sz="0" w:space="0" w:color="auto"/>
                    <w:bottom w:val="none" w:sz="0" w:space="0" w:color="auto"/>
                    <w:right w:val="none" w:sz="0" w:space="0" w:color="auto"/>
                  </w:divBdr>
                  <w:divsChild>
                    <w:div w:id="104452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37072">
      <w:bodyDiv w:val="1"/>
      <w:marLeft w:val="0"/>
      <w:marRight w:val="0"/>
      <w:marTop w:val="0"/>
      <w:marBottom w:val="0"/>
      <w:divBdr>
        <w:top w:val="none" w:sz="0" w:space="0" w:color="auto"/>
        <w:left w:val="none" w:sz="0" w:space="0" w:color="auto"/>
        <w:bottom w:val="none" w:sz="0" w:space="0" w:color="auto"/>
        <w:right w:val="none" w:sz="0" w:space="0" w:color="auto"/>
      </w:divBdr>
    </w:div>
    <w:div w:id="1087575090">
      <w:bodyDiv w:val="1"/>
      <w:marLeft w:val="0"/>
      <w:marRight w:val="0"/>
      <w:marTop w:val="0"/>
      <w:marBottom w:val="0"/>
      <w:divBdr>
        <w:top w:val="none" w:sz="0" w:space="0" w:color="auto"/>
        <w:left w:val="none" w:sz="0" w:space="0" w:color="auto"/>
        <w:bottom w:val="none" w:sz="0" w:space="0" w:color="auto"/>
        <w:right w:val="none" w:sz="0" w:space="0" w:color="auto"/>
      </w:divBdr>
    </w:div>
    <w:div w:id="1087917354">
      <w:bodyDiv w:val="1"/>
      <w:marLeft w:val="0"/>
      <w:marRight w:val="0"/>
      <w:marTop w:val="0"/>
      <w:marBottom w:val="0"/>
      <w:divBdr>
        <w:top w:val="none" w:sz="0" w:space="0" w:color="auto"/>
        <w:left w:val="none" w:sz="0" w:space="0" w:color="auto"/>
        <w:bottom w:val="none" w:sz="0" w:space="0" w:color="auto"/>
        <w:right w:val="none" w:sz="0" w:space="0" w:color="auto"/>
      </w:divBdr>
    </w:div>
    <w:div w:id="1088771787">
      <w:bodyDiv w:val="1"/>
      <w:marLeft w:val="0"/>
      <w:marRight w:val="0"/>
      <w:marTop w:val="0"/>
      <w:marBottom w:val="0"/>
      <w:divBdr>
        <w:top w:val="none" w:sz="0" w:space="0" w:color="auto"/>
        <w:left w:val="none" w:sz="0" w:space="0" w:color="auto"/>
        <w:bottom w:val="none" w:sz="0" w:space="0" w:color="auto"/>
        <w:right w:val="none" w:sz="0" w:space="0" w:color="auto"/>
      </w:divBdr>
      <w:divsChild>
        <w:div w:id="1523974189">
          <w:marLeft w:val="0"/>
          <w:marRight w:val="0"/>
          <w:marTop w:val="0"/>
          <w:marBottom w:val="0"/>
          <w:divBdr>
            <w:top w:val="none" w:sz="0" w:space="0" w:color="auto"/>
            <w:left w:val="none" w:sz="0" w:space="0" w:color="auto"/>
            <w:bottom w:val="none" w:sz="0" w:space="0" w:color="auto"/>
            <w:right w:val="none" w:sz="0" w:space="0" w:color="auto"/>
          </w:divBdr>
          <w:divsChild>
            <w:div w:id="541866992">
              <w:marLeft w:val="0"/>
              <w:marRight w:val="0"/>
              <w:marTop w:val="0"/>
              <w:marBottom w:val="0"/>
              <w:divBdr>
                <w:top w:val="none" w:sz="0" w:space="0" w:color="auto"/>
                <w:left w:val="none" w:sz="0" w:space="0" w:color="auto"/>
                <w:bottom w:val="none" w:sz="0" w:space="0" w:color="auto"/>
                <w:right w:val="none" w:sz="0" w:space="0" w:color="auto"/>
              </w:divBdr>
              <w:divsChild>
                <w:div w:id="755050576">
                  <w:marLeft w:val="0"/>
                  <w:marRight w:val="0"/>
                  <w:marTop w:val="0"/>
                  <w:marBottom w:val="0"/>
                  <w:divBdr>
                    <w:top w:val="none" w:sz="0" w:space="0" w:color="auto"/>
                    <w:left w:val="none" w:sz="0" w:space="0" w:color="auto"/>
                    <w:bottom w:val="none" w:sz="0" w:space="0" w:color="auto"/>
                    <w:right w:val="none" w:sz="0" w:space="0" w:color="auto"/>
                  </w:divBdr>
                </w:div>
              </w:divsChild>
            </w:div>
            <w:div w:id="679159123">
              <w:marLeft w:val="0"/>
              <w:marRight w:val="0"/>
              <w:marTop w:val="0"/>
              <w:marBottom w:val="0"/>
              <w:divBdr>
                <w:top w:val="none" w:sz="0" w:space="0" w:color="auto"/>
                <w:left w:val="none" w:sz="0" w:space="0" w:color="auto"/>
                <w:bottom w:val="none" w:sz="0" w:space="0" w:color="auto"/>
                <w:right w:val="none" w:sz="0" w:space="0" w:color="auto"/>
              </w:divBdr>
              <w:divsChild>
                <w:div w:id="52236804">
                  <w:marLeft w:val="0"/>
                  <w:marRight w:val="0"/>
                  <w:marTop w:val="0"/>
                  <w:marBottom w:val="0"/>
                  <w:divBdr>
                    <w:top w:val="none" w:sz="0" w:space="0" w:color="auto"/>
                    <w:left w:val="none" w:sz="0" w:space="0" w:color="auto"/>
                    <w:bottom w:val="none" w:sz="0" w:space="0" w:color="auto"/>
                    <w:right w:val="none" w:sz="0" w:space="0" w:color="auto"/>
                  </w:divBdr>
                </w:div>
              </w:divsChild>
            </w:div>
            <w:div w:id="1596744205">
              <w:marLeft w:val="0"/>
              <w:marRight w:val="0"/>
              <w:marTop w:val="0"/>
              <w:marBottom w:val="0"/>
              <w:divBdr>
                <w:top w:val="none" w:sz="0" w:space="0" w:color="auto"/>
                <w:left w:val="none" w:sz="0" w:space="0" w:color="auto"/>
                <w:bottom w:val="none" w:sz="0" w:space="0" w:color="auto"/>
                <w:right w:val="none" w:sz="0" w:space="0" w:color="auto"/>
              </w:divBdr>
              <w:divsChild>
                <w:div w:id="9550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15726">
      <w:bodyDiv w:val="1"/>
      <w:marLeft w:val="0"/>
      <w:marRight w:val="0"/>
      <w:marTop w:val="0"/>
      <w:marBottom w:val="0"/>
      <w:divBdr>
        <w:top w:val="none" w:sz="0" w:space="0" w:color="auto"/>
        <w:left w:val="none" w:sz="0" w:space="0" w:color="auto"/>
        <w:bottom w:val="none" w:sz="0" w:space="0" w:color="auto"/>
        <w:right w:val="none" w:sz="0" w:space="0" w:color="auto"/>
      </w:divBdr>
    </w:div>
    <w:div w:id="1091049728">
      <w:bodyDiv w:val="1"/>
      <w:marLeft w:val="0"/>
      <w:marRight w:val="0"/>
      <w:marTop w:val="0"/>
      <w:marBottom w:val="0"/>
      <w:divBdr>
        <w:top w:val="none" w:sz="0" w:space="0" w:color="auto"/>
        <w:left w:val="none" w:sz="0" w:space="0" w:color="auto"/>
        <w:bottom w:val="none" w:sz="0" w:space="0" w:color="auto"/>
        <w:right w:val="none" w:sz="0" w:space="0" w:color="auto"/>
      </w:divBdr>
      <w:divsChild>
        <w:div w:id="453058767">
          <w:marLeft w:val="0"/>
          <w:marRight w:val="0"/>
          <w:marTop w:val="0"/>
          <w:marBottom w:val="0"/>
          <w:divBdr>
            <w:top w:val="none" w:sz="0" w:space="0" w:color="auto"/>
            <w:left w:val="none" w:sz="0" w:space="0" w:color="auto"/>
            <w:bottom w:val="none" w:sz="0" w:space="0" w:color="auto"/>
            <w:right w:val="none" w:sz="0" w:space="0" w:color="auto"/>
          </w:divBdr>
          <w:divsChild>
            <w:div w:id="298457187">
              <w:marLeft w:val="0"/>
              <w:marRight w:val="0"/>
              <w:marTop w:val="0"/>
              <w:marBottom w:val="0"/>
              <w:divBdr>
                <w:top w:val="none" w:sz="0" w:space="0" w:color="auto"/>
                <w:left w:val="none" w:sz="0" w:space="0" w:color="auto"/>
                <w:bottom w:val="none" w:sz="0" w:space="0" w:color="auto"/>
                <w:right w:val="none" w:sz="0" w:space="0" w:color="auto"/>
              </w:divBdr>
              <w:divsChild>
                <w:div w:id="692001120">
                  <w:marLeft w:val="0"/>
                  <w:marRight w:val="0"/>
                  <w:marTop w:val="0"/>
                  <w:marBottom w:val="0"/>
                  <w:divBdr>
                    <w:top w:val="none" w:sz="0" w:space="0" w:color="auto"/>
                    <w:left w:val="none" w:sz="0" w:space="0" w:color="auto"/>
                    <w:bottom w:val="none" w:sz="0" w:space="0" w:color="auto"/>
                    <w:right w:val="none" w:sz="0" w:space="0" w:color="auto"/>
                  </w:divBdr>
                  <w:divsChild>
                    <w:div w:id="9917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389073">
      <w:bodyDiv w:val="1"/>
      <w:marLeft w:val="0"/>
      <w:marRight w:val="0"/>
      <w:marTop w:val="0"/>
      <w:marBottom w:val="0"/>
      <w:divBdr>
        <w:top w:val="none" w:sz="0" w:space="0" w:color="auto"/>
        <w:left w:val="none" w:sz="0" w:space="0" w:color="auto"/>
        <w:bottom w:val="none" w:sz="0" w:space="0" w:color="auto"/>
        <w:right w:val="none" w:sz="0" w:space="0" w:color="auto"/>
      </w:divBdr>
    </w:div>
    <w:div w:id="1093434330">
      <w:bodyDiv w:val="1"/>
      <w:marLeft w:val="0"/>
      <w:marRight w:val="0"/>
      <w:marTop w:val="0"/>
      <w:marBottom w:val="0"/>
      <w:divBdr>
        <w:top w:val="none" w:sz="0" w:space="0" w:color="auto"/>
        <w:left w:val="none" w:sz="0" w:space="0" w:color="auto"/>
        <w:bottom w:val="none" w:sz="0" w:space="0" w:color="auto"/>
        <w:right w:val="none" w:sz="0" w:space="0" w:color="auto"/>
      </w:divBdr>
    </w:div>
    <w:div w:id="1093630115">
      <w:bodyDiv w:val="1"/>
      <w:marLeft w:val="0"/>
      <w:marRight w:val="0"/>
      <w:marTop w:val="0"/>
      <w:marBottom w:val="0"/>
      <w:divBdr>
        <w:top w:val="none" w:sz="0" w:space="0" w:color="auto"/>
        <w:left w:val="none" w:sz="0" w:space="0" w:color="auto"/>
        <w:bottom w:val="none" w:sz="0" w:space="0" w:color="auto"/>
        <w:right w:val="none" w:sz="0" w:space="0" w:color="auto"/>
      </w:divBdr>
      <w:divsChild>
        <w:div w:id="694041869">
          <w:marLeft w:val="0"/>
          <w:marRight w:val="0"/>
          <w:marTop w:val="0"/>
          <w:marBottom w:val="0"/>
          <w:divBdr>
            <w:top w:val="none" w:sz="0" w:space="0" w:color="auto"/>
            <w:left w:val="none" w:sz="0" w:space="0" w:color="auto"/>
            <w:bottom w:val="none" w:sz="0" w:space="0" w:color="auto"/>
            <w:right w:val="none" w:sz="0" w:space="0" w:color="auto"/>
          </w:divBdr>
          <w:divsChild>
            <w:div w:id="1655523761">
              <w:marLeft w:val="0"/>
              <w:marRight w:val="0"/>
              <w:marTop w:val="0"/>
              <w:marBottom w:val="0"/>
              <w:divBdr>
                <w:top w:val="none" w:sz="0" w:space="0" w:color="auto"/>
                <w:left w:val="none" w:sz="0" w:space="0" w:color="auto"/>
                <w:bottom w:val="none" w:sz="0" w:space="0" w:color="auto"/>
                <w:right w:val="none" w:sz="0" w:space="0" w:color="auto"/>
              </w:divBdr>
              <w:divsChild>
                <w:div w:id="788663688">
                  <w:marLeft w:val="0"/>
                  <w:marRight w:val="0"/>
                  <w:marTop w:val="0"/>
                  <w:marBottom w:val="0"/>
                  <w:divBdr>
                    <w:top w:val="none" w:sz="0" w:space="0" w:color="auto"/>
                    <w:left w:val="none" w:sz="0" w:space="0" w:color="auto"/>
                    <w:bottom w:val="none" w:sz="0" w:space="0" w:color="auto"/>
                    <w:right w:val="none" w:sz="0" w:space="0" w:color="auto"/>
                  </w:divBdr>
                  <w:divsChild>
                    <w:div w:id="1415667766">
                      <w:marLeft w:val="0"/>
                      <w:marRight w:val="0"/>
                      <w:marTop w:val="0"/>
                      <w:marBottom w:val="0"/>
                      <w:divBdr>
                        <w:top w:val="none" w:sz="0" w:space="0" w:color="auto"/>
                        <w:left w:val="none" w:sz="0" w:space="0" w:color="auto"/>
                        <w:bottom w:val="none" w:sz="0" w:space="0" w:color="auto"/>
                        <w:right w:val="none" w:sz="0" w:space="0" w:color="auto"/>
                      </w:divBdr>
                    </w:div>
                  </w:divsChild>
                </w:div>
                <w:div w:id="1116950749">
                  <w:marLeft w:val="0"/>
                  <w:marRight w:val="0"/>
                  <w:marTop w:val="0"/>
                  <w:marBottom w:val="0"/>
                  <w:divBdr>
                    <w:top w:val="none" w:sz="0" w:space="0" w:color="auto"/>
                    <w:left w:val="none" w:sz="0" w:space="0" w:color="auto"/>
                    <w:bottom w:val="none" w:sz="0" w:space="0" w:color="auto"/>
                    <w:right w:val="none" w:sz="0" w:space="0" w:color="auto"/>
                  </w:divBdr>
                  <w:divsChild>
                    <w:div w:id="766924114">
                      <w:marLeft w:val="0"/>
                      <w:marRight w:val="0"/>
                      <w:marTop w:val="0"/>
                      <w:marBottom w:val="0"/>
                      <w:divBdr>
                        <w:top w:val="none" w:sz="0" w:space="0" w:color="auto"/>
                        <w:left w:val="none" w:sz="0" w:space="0" w:color="auto"/>
                        <w:bottom w:val="none" w:sz="0" w:space="0" w:color="auto"/>
                        <w:right w:val="none" w:sz="0" w:space="0" w:color="auto"/>
                      </w:divBdr>
                    </w:div>
                  </w:divsChild>
                </w:div>
                <w:div w:id="1797487640">
                  <w:marLeft w:val="0"/>
                  <w:marRight w:val="0"/>
                  <w:marTop w:val="0"/>
                  <w:marBottom w:val="0"/>
                  <w:divBdr>
                    <w:top w:val="none" w:sz="0" w:space="0" w:color="auto"/>
                    <w:left w:val="none" w:sz="0" w:space="0" w:color="auto"/>
                    <w:bottom w:val="none" w:sz="0" w:space="0" w:color="auto"/>
                    <w:right w:val="none" w:sz="0" w:space="0" w:color="auto"/>
                  </w:divBdr>
                  <w:divsChild>
                    <w:div w:id="11093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246640">
      <w:bodyDiv w:val="1"/>
      <w:marLeft w:val="0"/>
      <w:marRight w:val="0"/>
      <w:marTop w:val="0"/>
      <w:marBottom w:val="0"/>
      <w:divBdr>
        <w:top w:val="none" w:sz="0" w:space="0" w:color="auto"/>
        <w:left w:val="none" w:sz="0" w:space="0" w:color="auto"/>
        <w:bottom w:val="none" w:sz="0" w:space="0" w:color="auto"/>
        <w:right w:val="none" w:sz="0" w:space="0" w:color="auto"/>
      </w:divBdr>
    </w:div>
    <w:div w:id="1095323049">
      <w:bodyDiv w:val="1"/>
      <w:marLeft w:val="0"/>
      <w:marRight w:val="0"/>
      <w:marTop w:val="0"/>
      <w:marBottom w:val="0"/>
      <w:divBdr>
        <w:top w:val="none" w:sz="0" w:space="0" w:color="auto"/>
        <w:left w:val="none" w:sz="0" w:space="0" w:color="auto"/>
        <w:bottom w:val="none" w:sz="0" w:space="0" w:color="auto"/>
        <w:right w:val="none" w:sz="0" w:space="0" w:color="auto"/>
      </w:divBdr>
    </w:div>
    <w:div w:id="1096174111">
      <w:bodyDiv w:val="1"/>
      <w:marLeft w:val="0"/>
      <w:marRight w:val="0"/>
      <w:marTop w:val="0"/>
      <w:marBottom w:val="0"/>
      <w:divBdr>
        <w:top w:val="none" w:sz="0" w:space="0" w:color="auto"/>
        <w:left w:val="none" w:sz="0" w:space="0" w:color="auto"/>
        <w:bottom w:val="none" w:sz="0" w:space="0" w:color="auto"/>
        <w:right w:val="none" w:sz="0" w:space="0" w:color="auto"/>
      </w:divBdr>
    </w:div>
    <w:div w:id="1096243130">
      <w:bodyDiv w:val="1"/>
      <w:marLeft w:val="0"/>
      <w:marRight w:val="0"/>
      <w:marTop w:val="0"/>
      <w:marBottom w:val="0"/>
      <w:divBdr>
        <w:top w:val="none" w:sz="0" w:space="0" w:color="auto"/>
        <w:left w:val="none" w:sz="0" w:space="0" w:color="auto"/>
        <w:bottom w:val="none" w:sz="0" w:space="0" w:color="auto"/>
        <w:right w:val="none" w:sz="0" w:space="0" w:color="auto"/>
      </w:divBdr>
    </w:div>
    <w:div w:id="1097402570">
      <w:bodyDiv w:val="1"/>
      <w:marLeft w:val="0"/>
      <w:marRight w:val="0"/>
      <w:marTop w:val="0"/>
      <w:marBottom w:val="0"/>
      <w:divBdr>
        <w:top w:val="none" w:sz="0" w:space="0" w:color="auto"/>
        <w:left w:val="none" w:sz="0" w:space="0" w:color="auto"/>
        <w:bottom w:val="none" w:sz="0" w:space="0" w:color="auto"/>
        <w:right w:val="none" w:sz="0" w:space="0" w:color="auto"/>
      </w:divBdr>
    </w:div>
    <w:div w:id="1097672694">
      <w:bodyDiv w:val="1"/>
      <w:marLeft w:val="0"/>
      <w:marRight w:val="0"/>
      <w:marTop w:val="0"/>
      <w:marBottom w:val="0"/>
      <w:divBdr>
        <w:top w:val="none" w:sz="0" w:space="0" w:color="auto"/>
        <w:left w:val="none" w:sz="0" w:space="0" w:color="auto"/>
        <w:bottom w:val="none" w:sz="0" w:space="0" w:color="auto"/>
        <w:right w:val="none" w:sz="0" w:space="0" w:color="auto"/>
      </w:divBdr>
    </w:div>
    <w:div w:id="1097752288">
      <w:bodyDiv w:val="1"/>
      <w:marLeft w:val="0"/>
      <w:marRight w:val="0"/>
      <w:marTop w:val="0"/>
      <w:marBottom w:val="0"/>
      <w:divBdr>
        <w:top w:val="none" w:sz="0" w:space="0" w:color="auto"/>
        <w:left w:val="none" w:sz="0" w:space="0" w:color="auto"/>
        <w:bottom w:val="none" w:sz="0" w:space="0" w:color="auto"/>
        <w:right w:val="none" w:sz="0" w:space="0" w:color="auto"/>
      </w:divBdr>
      <w:divsChild>
        <w:div w:id="1570458648">
          <w:marLeft w:val="0"/>
          <w:marRight w:val="0"/>
          <w:marTop w:val="0"/>
          <w:marBottom w:val="0"/>
          <w:divBdr>
            <w:top w:val="none" w:sz="0" w:space="0" w:color="auto"/>
            <w:left w:val="none" w:sz="0" w:space="0" w:color="auto"/>
            <w:bottom w:val="none" w:sz="0" w:space="0" w:color="auto"/>
            <w:right w:val="none" w:sz="0" w:space="0" w:color="auto"/>
          </w:divBdr>
          <w:divsChild>
            <w:div w:id="83696761">
              <w:marLeft w:val="0"/>
              <w:marRight w:val="0"/>
              <w:marTop w:val="0"/>
              <w:marBottom w:val="0"/>
              <w:divBdr>
                <w:top w:val="none" w:sz="0" w:space="0" w:color="auto"/>
                <w:left w:val="none" w:sz="0" w:space="0" w:color="auto"/>
                <w:bottom w:val="none" w:sz="0" w:space="0" w:color="auto"/>
                <w:right w:val="none" w:sz="0" w:space="0" w:color="auto"/>
              </w:divBdr>
              <w:divsChild>
                <w:div w:id="1604453089">
                  <w:marLeft w:val="0"/>
                  <w:marRight w:val="0"/>
                  <w:marTop w:val="0"/>
                  <w:marBottom w:val="0"/>
                  <w:divBdr>
                    <w:top w:val="none" w:sz="0" w:space="0" w:color="auto"/>
                    <w:left w:val="none" w:sz="0" w:space="0" w:color="auto"/>
                    <w:bottom w:val="none" w:sz="0" w:space="0" w:color="auto"/>
                    <w:right w:val="none" w:sz="0" w:space="0" w:color="auto"/>
                  </w:divBdr>
                  <w:divsChild>
                    <w:div w:id="66940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946266">
      <w:bodyDiv w:val="1"/>
      <w:marLeft w:val="0"/>
      <w:marRight w:val="0"/>
      <w:marTop w:val="0"/>
      <w:marBottom w:val="0"/>
      <w:divBdr>
        <w:top w:val="none" w:sz="0" w:space="0" w:color="auto"/>
        <w:left w:val="none" w:sz="0" w:space="0" w:color="auto"/>
        <w:bottom w:val="none" w:sz="0" w:space="0" w:color="auto"/>
        <w:right w:val="none" w:sz="0" w:space="0" w:color="auto"/>
      </w:divBdr>
    </w:div>
    <w:div w:id="1099065776">
      <w:bodyDiv w:val="1"/>
      <w:marLeft w:val="0"/>
      <w:marRight w:val="0"/>
      <w:marTop w:val="0"/>
      <w:marBottom w:val="0"/>
      <w:divBdr>
        <w:top w:val="none" w:sz="0" w:space="0" w:color="auto"/>
        <w:left w:val="none" w:sz="0" w:space="0" w:color="auto"/>
        <w:bottom w:val="none" w:sz="0" w:space="0" w:color="auto"/>
        <w:right w:val="none" w:sz="0" w:space="0" w:color="auto"/>
      </w:divBdr>
    </w:div>
    <w:div w:id="1099250222">
      <w:bodyDiv w:val="1"/>
      <w:marLeft w:val="0"/>
      <w:marRight w:val="0"/>
      <w:marTop w:val="0"/>
      <w:marBottom w:val="0"/>
      <w:divBdr>
        <w:top w:val="none" w:sz="0" w:space="0" w:color="auto"/>
        <w:left w:val="none" w:sz="0" w:space="0" w:color="auto"/>
        <w:bottom w:val="none" w:sz="0" w:space="0" w:color="auto"/>
        <w:right w:val="none" w:sz="0" w:space="0" w:color="auto"/>
      </w:divBdr>
    </w:div>
    <w:div w:id="1099566036">
      <w:bodyDiv w:val="1"/>
      <w:marLeft w:val="0"/>
      <w:marRight w:val="0"/>
      <w:marTop w:val="0"/>
      <w:marBottom w:val="0"/>
      <w:divBdr>
        <w:top w:val="none" w:sz="0" w:space="0" w:color="auto"/>
        <w:left w:val="none" w:sz="0" w:space="0" w:color="auto"/>
        <w:bottom w:val="none" w:sz="0" w:space="0" w:color="auto"/>
        <w:right w:val="none" w:sz="0" w:space="0" w:color="auto"/>
      </w:divBdr>
      <w:divsChild>
        <w:div w:id="1778601010">
          <w:marLeft w:val="0"/>
          <w:marRight w:val="0"/>
          <w:marTop w:val="0"/>
          <w:marBottom w:val="0"/>
          <w:divBdr>
            <w:top w:val="none" w:sz="0" w:space="0" w:color="auto"/>
            <w:left w:val="none" w:sz="0" w:space="0" w:color="auto"/>
            <w:bottom w:val="none" w:sz="0" w:space="0" w:color="auto"/>
            <w:right w:val="none" w:sz="0" w:space="0" w:color="auto"/>
          </w:divBdr>
          <w:divsChild>
            <w:div w:id="1816533347">
              <w:marLeft w:val="0"/>
              <w:marRight w:val="0"/>
              <w:marTop w:val="0"/>
              <w:marBottom w:val="0"/>
              <w:divBdr>
                <w:top w:val="none" w:sz="0" w:space="0" w:color="auto"/>
                <w:left w:val="none" w:sz="0" w:space="0" w:color="auto"/>
                <w:bottom w:val="none" w:sz="0" w:space="0" w:color="auto"/>
                <w:right w:val="none" w:sz="0" w:space="0" w:color="auto"/>
              </w:divBdr>
              <w:divsChild>
                <w:div w:id="1322468306">
                  <w:marLeft w:val="0"/>
                  <w:marRight w:val="0"/>
                  <w:marTop w:val="0"/>
                  <w:marBottom w:val="0"/>
                  <w:divBdr>
                    <w:top w:val="none" w:sz="0" w:space="0" w:color="auto"/>
                    <w:left w:val="none" w:sz="0" w:space="0" w:color="auto"/>
                    <w:bottom w:val="none" w:sz="0" w:space="0" w:color="auto"/>
                    <w:right w:val="none" w:sz="0" w:space="0" w:color="auto"/>
                  </w:divBdr>
                  <w:divsChild>
                    <w:div w:id="87677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715257">
      <w:bodyDiv w:val="1"/>
      <w:marLeft w:val="0"/>
      <w:marRight w:val="0"/>
      <w:marTop w:val="0"/>
      <w:marBottom w:val="0"/>
      <w:divBdr>
        <w:top w:val="none" w:sz="0" w:space="0" w:color="auto"/>
        <w:left w:val="none" w:sz="0" w:space="0" w:color="auto"/>
        <w:bottom w:val="none" w:sz="0" w:space="0" w:color="auto"/>
        <w:right w:val="none" w:sz="0" w:space="0" w:color="auto"/>
      </w:divBdr>
    </w:div>
    <w:div w:id="1100106560">
      <w:bodyDiv w:val="1"/>
      <w:marLeft w:val="0"/>
      <w:marRight w:val="0"/>
      <w:marTop w:val="0"/>
      <w:marBottom w:val="0"/>
      <w:divBdr>
        <w:top w:val="none" w:sz="0" w:space="0" w:color="auto"/>
        <w:left w:val="none" w:sz="0" w:space="0" w:color="auto"/>
        <w:bottom w:val="none" w:sz="0" w:space="0" w:color="auto"/>
        <w:right w:val="none" w:sz="0" w:space="0" w:color="auto"/>
      </w:divBdr>
    </w:div>
    <w:div w:id="1100181354">
      <w:bodyDiv w:val="1"/>
      <w:marLeft w:val="0"/>
      <w:marRight w:val="0"/>
      <w:marTop w:val="0"/>
      <w:marBottom w:val="0"/>
      <w:divBdr>
        <w:top w:val="none" w:sz="0" w:space="0" w:color="auto"/>
        <w:left w:val="none" w:sz="0" w:space="0" w:color="auto"/>
        <w:bottom w:val="none" w:sz="0" w:space="0" w:color="auto"/>
        <w:right w:val="none" w:sz="0" w:space="0" w:color="auto"/>
      </w:divBdr>
    </w:div>
    <w:div w:id="1100643911">
      <w:bodyDiv w:val="1"/>
      <w:marLeft w:val="0"/>
      <w:marRight w:val="0"/>
      <w:marTop w:val="0"/>
      <w:marBottom w:val="0"/>
      <w:divBdr>
        <w:top w:val="none" w:sz="0" w:space="0" w:color="auto"/>
        <w:left w:val="none" w:sz="0" w:space="0" w:color="auto"/>
        <w:bottom w:val="none" w:sz="0" w:space="0" w:color="auto"/>
        <w:right w:val="none" w:sz="0" w:space="0" w:color="auto"/>
      </w:divBdr>
      <w:divsChild>
        <w:div w:id="341855416">
          <w:marLeft w:val="0"/>
          <w:marRight w:val="0"/>
          <w:marTop w:val="0"/>
          <w:marBottom w:val="0"/>
          <w:divBdr>
            <w:top w:val="none" w:sz="0" w:space="0" w:color="auto"/>
            <w:left w:val="none" w:sz="0" w:space="0" w:color="auto"/>
            <w:bottom w:val="none" w:sz="0" w:space="0" w:color="auto"/>
            <w:right w:val="none" w:sz="0" w:space="0" w:color="auto"/>
          </w:divBdr>
          <w:divsChild>
            <w:div w:id="81069757">
              <w:marLeft w:val="0"/>
              <w:marRight w:val="0"/>
              <w:marTop w:val="0"/>
              <w:marBottom w:val="0"/>
              <w:divBdr>
                <w:top w:val="none" w:sz="0" w:space="0" w:color="auto"/>
                <w:left w:val="none" w:sz="0" w:space="0" w:color="auto"/>
                <w:bottom w:val="none" w:sz="0" w:space="0" w:color="auto"/>
                <w:right w:val="none" w:sz="0" w:space="0" w:color="auto"/>
              </w:divBdr>
              <w:divsChild>
                <w:div w:id="419183540">
                  <w:marLeft w:val="0"/>
                  <w:marRight w:val="0"/>
                  <w:marTop w:val="0"/>
                  <w:marBottom w:val="0"/>
                  <w:divBdr>
                    <w:top w:val="none" w:sz="0" w:space="0" w:color="auto"/>
                    <w:left w:val="none" w:sz="0" w:space="0" w:color="auto"/>
                    <w:bottom w:val="none" w:sz="0" w:space="0" w:color="auto"/>
                    <w:right w:val="none" w:sz="0" w:space="0" w:color="auto"/>
                  </w:divBdr>
                </w:div>
              </w:divsChild>
            </w:div>
            <w:div w:id="123084532">
              <w:marLeft w:val="0"/>
              <w:marRight w:val="0"/>
              <w:marTop w:val="0"/>
              <w:marBottom w:val="0"/>
              <w:divBdr>
                <w:top w:val="none" w:sz="0" w:space="0" w:color="auto"/>
                <w:left w:val="none" w:sz="0" w:space="0" w:color="auto"/>
                <w:bottom w:val="none" w:sz="0" w:space="0" w:color="auto"/>
                <w:right w:val="none" w:sz="0" w:space="0" w:color="auto"/>
              </w:divBdr>
              <w:divsChild>
                <w:div w:id="2009089469">
                  <w:marLeft w:val="0"/>
                  <w:marRight w:val="0"/>
                  <w:marTop w:val="0"/>
                  <w:marBottom w:val="0"/>
                  <w:divBdr>
                    <w:top w:val="none" w:sz="0" w:space="0" w:color="auto"/>
                    <w:left w:val="none" w:sz="0" w:space="0" w:color="auto"/>
                    <w:bottom w:val="none" w:sz="0" w:space="0" w:color="auto"/>
                    <w:right w:val="none" w:sz="0" w:space="0" w:color="auto"/>
                  </w:divBdr>
                </w:div>
              </w:divsChild>
            </w:div>
            <w:div w:id="160125174">
              <w:marLeft w:val="0"/>
              <w:marRight w:val="0"/>
              <w:marTop w:val="0"/>
              <w:marBottom w:val="0"/>
              <w:divBdr>
                <w:top w:val="none" w:sz="0" w:space="0" w:color="auto"/>
                <w:left w:val="none" w:sz="0" w:space="0" w:color="auto"/>
                <w:bottom w:val="none" w:sz="0" w:space="0" w:color="auto"/>
                <w:right w:val="none" w:sz="0" w:space="0" w:color="auto"/>
              </w:divBdr>
              <w:divsChild>
                <w:div w:id="1661274533">
                  <w:marLeft w:val="0"/>
                  <w:marRight w:val="0"/>
                  <w:marTop w:val="0"/>
                  <w:marBottom w:val="0"/>
                  <w:divBdr>
                    <w:top w:val="none" w:sz="0" w:space="0" w:color="auto"/>
                    <w:left w:val="none" w:sz="0" w:space="0" w:color="auto"/>
                    <w:bottom w:val="none" w:sz="0" w:space="0" w:color="auto"/>
                    <w:right w:val="none" w:sz="0" w:space="0" w:color="auto"/>
                  </w:divBdr>
                </w:div>
              </w:divsChild>
            </w:div>
            <w:div w:id="166677408">
              <w:marLeft w:val="0"/>
              <w:marRight w:val="0"/>
              <w:marTop w:val="0"/>
              <w:marBottom w:val="0"/>
              <w:divBdr>
                <w:top w:val="none" w:sz="0" w:space="0" w:color="auto"/>
                <w:left w:val="none" w:sz="0" w:space="0" w:color="auto"/>
                <w:bottom w:val="none" w:sz="0" w:space="0" w:color="auto"/>
                <w:right w:val="none" w:sz="0" w:space="0" w:color="auto"/>
              </w:divBdr>
              <w:divsChild>
                <w:div w:id="1533422595">
                  <w:marLeft w:val="0"/>
                  <w:marRight w:val="0"/>
                  <w:marTop w:val="0"/>
                  <w:marBottom w:val="0"/>
                  <w:divBdr>
                    <w:top w:val="none" w:sz="0" w:space="0" w:color="auto"/>
                    <w:left w:val="none" w:sz="0" w:space="0" w:color="auto"/>
                    <w:bottom w:val="none" w:sz="0" w:space="0" w:color="auto"/>
                    <w:right w:val="none" w:sz="0" w:space="0" w:color="auto"/>
                  </w:divBdr>
                </w:div>
              </w:divsChild>
            </w:div>
            <w:div w:id="226230376">
              <w:marLeft w:val="0"/>
              <w:marRight w:val="0"/>
              <w:marTop w:val="0"/>
              <w:marBottom w:val="0"/>
              <w:divBdr>
                <w:top w:val="none" w:sz="0" w:space="0" w:color="auto"/>
                <w:left w:val="none" w:sz="0" w:space="0" w:color="auto"/>
                <w:bottom w:val="none" w:sz="0" w:space="0" w:color="auto"/>
                <w:right w:val="none" w:sz="0" w:space="0" w:color="auto"/>
              </w:divBdr>
              <w:divsChild>
                <w:div w:id="157305718">
                  <w:marLeft w:val="0"/>
                  <w:marRight w:val="0"/>
                  <w:marTop w:val="0"/>
                  <w:marBottom w:val="0"/>
                  <w:divBdr>
                    <w:top w:val="none" w:sz="0" w:space="0" w:color="auto"/>
                    <w:left w:val="none" w:sz="0" w:space="0" w:color="auto"/>
                    <w:bottom w:val="none" w:sz="0" w:space="0" w:color="auto"/>
                    <w:right w:val="none" w:sz="0" w:space="0" w:color="auto"/>
                  </w:divBdr>
                </w:div>
              </w:divsChild>
            </w:div>
            <w:div w:id="238248405">
              <w:marLeft w:val="0"/>
              <w:marRight w:val="0"/>
              <w:marTop w:val="0"/>
              <w:marBottom w:val="0"/>
              <w:divBdr>
                <w:top w:val="none" w:sz="0" w:space="0" w:color="auto"/>
                <w:left w:val="none" w:sz="0" w:space="0" w:color="auto"/>
                <w:bottom w:val="none" w:sz="0" w:space="0" w:color="auto"/>
                <w:right w:val="none" w:sz="0" w:space="0" w:color="auto"/>
              </w:divBdr>
              <w:divsChild>
                <w:div w:id="371422300">
                  <w:marLeft w:val="0"/>
                  <w:marRight w:val="0"/>
                  <w:marTop w:val="0"/>
                  <w:marBottom w:val="0"/>
                  <w:divBdr>
                    <w:top w:val="none" w:sz="0" w:space="0" w:color="auto"/>
                    <w:left w:val="none" w:sz="0" w:space="0" w:color="auto"/>
                    <w:bottom w:val="none" w:sz="0" w:space="0" w:color="auto"/>
                    <w:right w:val="none" w:sz="0" w:space="0" w:color="auto"/>
                  </w:divBdr>
                </w:div>
              </w:divsChild>
            </w:div>
            <w:div w:id="254090840">
              <w:marLeft w:val="0"/>
              <w:marRight w:val="0"/>
              <w:marTop w:val="0"/>
              <w:marBottom w:val="0"/>
              <w:divBdr>
                <w:top w:val="none" w:sz="0" w:space="0" w:color="auto"/>
                <w:left w:val="none" w:sz="0" w:space="0" w:color="auto"/>
                <w:bottom w:val="none" w:sz="0" w:space="0" w:color="auto"/>
                <w:right w:val="none" w:sz="0" w:space="0" w:color="auto"/>
              </w:divBdr>
              <w:divsChild>
                <w:div w:id="299506523">
                  <w:marLeft w:val="0"/>
                  <w:marRight w:val="0"/>
                  <w:marTop w:val="0"/>
                  <w:marBottom w:val="0"/>
                  <w:divBdr>
                    <w:top w:val="none" w:sz="0" w:space="0" w:color="auto"/>
                    <w:left w:val="none" w:sz="0" w:space="0" w:color="auto"/>
                    <w:bottom w:val="none" w:sz="0" w:space="0" w:color="auto"/>
                    <w:right w:val="none" w:sz="0" w:space="0" w:color="auto"/>
                  </w:divBdr>
                </w:div>
              </w:divsChild>
            </w:div>
            <w:div w:id="381752921">
              <w:marLeft w:val="0"/>
              <w:marRight w:val="0"/>
              <w:marTop w:val="0"/>
              <w:marBottom w:val="0"/>
              <w:divBdr>
                <w:top w:val="none" w:sz="0" w:space="0" w:color="auto"/>
                <w:left w:val="none" w:sz="0" w:space="0" w:color="auto"/>
                <w:bottom w:val="none" w:sz="0" w:space="0" w:color="auto"/>
                <w:right w:val="none" w:sz="0" w:space="0" w:color="auto"/>
              </w:divBdr>
              <w:divsChild>
                <w:div w:id="2116703685">
                  <w:marLeft w:val="0"/>
                  <w:marRight w:val="0"/>
                  <w:marTop w:val="0"/>
                  <w:marBottom w:val="0"/>
                  <w:divBdr>
                    <w:top w:val="none" w:sz="0" w:space="0" w:color="auto"/>
                    <w:left w:val="none" w:sz="0" w:space="0" w:color="auto"/>
                    <w:bottom w:val="none" w:sz="0" w:space="0" w:color="auto"/>
                    <w:right w:val="none" w:sz="0" w:space="0" w:color="auto"/>
                  </w:divBdr>
                </w:div>
              </w:divsChild>
            </w:div>
            <w:div w:id="473790595">
              <w:marLeft w:val="0"/>
              <w:marRight w:val="0"/>
              <w:marTop w:val="0"/>
              <w:marBottom w:val="0"/>
              <w:divBdr>
                <w:top w:val="none" w:sz="0" w:space="0" w:color="auto"/>
                <w:left w:val="none" w:sz="0" w:space="0" w:color="auto"/>
                <w:bottom w:val="none" w:sz="0" w:space="0" w:color="auto"/>
                <w:right w:val="none" w:sz="0" w:space="0" w:color="auto"/>
              </w:divBdr>
              <w:divsChild>
                <w:div w:id="694579392">
                  <w:marLeft w:val="0"/>
                  <w:marRight w:val="0"/>
                  <w:marTop w:val="0"/>
                  <w:marBottom w:val="0"/>
                  <w:divBdr>
                    <w:top w:val="none" w:sz="0" w:space="0" w:color="auto"/>
                    <w:left w:val="none" w:sz="0" w:space="0" w:color="auto"/>
                    <w:bottom w:val="none" w:sz="0" w:space="0" w:color="auto"/>
                    <w:right w:val="none" w:sz="0" w:space="0" w:color="auto"/>
                  </w:divBdr>
                </w:div>
              </w:divsChild>
            </w:div>
            <w:div w:id="477497859">
              <w:marLeft w:val="0"/>
              <w:marRight w:val="0"/>
              <w:marTop w:val="0"/>
              <w:marBottom w:val="0"/>
              <w:divBdr>
                <w:top w:val="none" w:sz="0" w:space="0" w:color="auto"/>
                <w:left w:val="none" w:sz="0" w:space="0" w:color="auto"/>
                <w:bottom w:val="none" w:sz="0" w:space="0" w:color="auto"/>
                <w:right w:val="none" w:sz="0" w:space="0" w:color="auto"/>
              </w:divBdr>
              <w:divsChild>
                <w:div w:id="792750408">
                  <w:marLeft w:val="0"/>
                  <w:marRight w:val="0"/>
                  <w:marTop w:val="0"/>
                  <w:marBottom w:val="0"/>
                  <w:divBdr>
                    <w:top w:val="none" w:sz="0" w:space="0" w:color="auto"/>
                    <w:left w:val="none" w:sz="0" w:space="0" w:color="auto"/>
                    <w:bottom w:val="none" w:sz="0" w:space="0" w:color="auto"/>
                    <w:right w:val="none" w:sz="0" w:space="0" w:color="auto"/>
                  </w:divBdr>
                </w:div>
              </w:divsChild>
            </w:div>
            <w:div w:id="500238301">
              <w:marLeft w:val="0"/>
              <w:marRight w:val="0"/>
              <w:marTop w:val="0"/>
              <w:marBottom w:val="0"/>
              <w:divBdr>
                <w:top w:val="none" w:sz="0" w:space="0" w:color="auto"/>
                <w:left w:val="none" w:sz="0" w:space="0" w:color="auto"/>
                <w:bottom w:val="none" w:sz="0" w:space="0" w:color="auto"/>
                <w:right w:val="none" w:sz="0" w:space="0" w:color="auto"/>
              </w:divBdr>
              <w:divsChild>
                <w:div w:id="2063288606">
                  <w:marLeft w:val="0"/>
                  <w:marRight w:val="0"/>
                  <w:marTop w:val="0"/>
                  <w:marBottom w:val="0"/>
                  <w:divBdr>
                    <w:top w:val="none" w:sz="0" w:space="0" w:color="auto"/>
                    <w:left w:val="none" w:sz="0" w:space="0" w:color="auto"/>
                    <w:bottom w:val="none" w:sz="0" w:space="0" w:color="auto"/>
                    <w:right w:val="none" w:sz="0" w:space="0" w:color="auto"/>
                  </w:divBdr>
                </w:div>
              </w:divsChild>
            </w:div>
            <w:div w:id="503596348">
              <w:marLeft w:val="0"/>
              <w:marRight w:val="0"/>
              <w:marTop w:val="0"/>
              <w:marBottom w:val="0"/>
              <w:divBdr>
                <w:top w:val="none" w:sz="0" w:space="0" w:color="auto"/>
                <w:left w:val="none" w:sz="0" w:space="0" w:color="auto"/>
                <w:bottom w:val="none" w:sz="0" w:space="0" w:color="auto"/>
                <w:right w:val="none" w:sz="0" w:space="0" w:color="auto"/>
              </w:divBdr>
              <w:divsChild>
                <w:div w:id="463500987">
                  <w:marLeft w:val="0"/>
                  <w:marRight w:val="0"/>
                  <w:marTop w:val="0"/>
                  <w:marBottom w:val="0"/>
                  <w:divBdr>
                    <w:top w:val="none" w:sz="0" w:space="0" w:color="auto"/>
                    <w:left w:val="none" w:sz="0" w:space="0" w:color="auto"/>
                    <w:bottom w:val="none" w:sz="0" w:space="0" w:color="auto"/>
                    <w:right w:val="none" w:sz="0" w:space="0" w:color="auto"/>
                  </w:divBdr>
                </w:div>
              </w:divsChild>
            </w:div>
            <w:div w:id="692808014">
              <w:marLeft w:val="0"/>
              <w:marRight w:val="0"/>
              <w:marTop w:val="0"/>
              <w:marBottom w:val="0"/>
              <w:divBdr>
                <w:top w:val="none" w:sz="0" w:space="0" w:color="auto"/>
                <w:left w:val="none" w:sz="0" w:space="0" w:color="auto"/>
                <w:bottom w:val="none" w:sz="0" w:space="0" w:color="auto"/>
                <w:right w:val="none" w:sz="0" w:space="0" w:color="auto"/>
              </w:divBdr>
              <w:divsChild>
                <w:div w:id="1803376060">
                  <w:marLeft w:val="0"/>
                  <w:marRight w:val="0"/>
                  <w:marTop w:val="0"/>
                  <w:marBottom w:val="0"/>
                  <w:divBdr>
                    <w:top w:val="none" w:sz="0" w:space="0" w:color="auto"/>
                    <w:left w:val="none" w:sz="0" w:space="0" w:color="auto"/>
                    <w:bottom w:val="none" w:sz="0" w:space="0" w:color="auto"/>
                    <w:right w:val="none" w:sz="0" w:space="0" w:color="auto"/>
                  </w:divBdr>
                </w:div>
              </w:divsChild>
            </w:div>
            <w:div w:id="749081691">
              <w:marLeft w:val="0"/>
              <w:marRight w:val="0"/>
              <w:marTop w:val="0"/>
              <w:marBottom w:val="0"/>
              <w:divBdr>
                <w:top w:val="none" w:sz="0" w:space="0" w:color="auto"/>
                <w:left w:val="none" w:sz="0" w:space="0" w:color="auto"/>
                <w:bottom w:val="none" w:sz="0" w:space="0" w:color="auto"/>
                <w:right w:val="none" w:sz="0" w:space="0" w:color="auto"/>
              </w:divBdr>
              <w:divsChild>
                <w:div w:id="1026062963">
                  <w:marLeft w:val="0"/>
                  <w:marRight w:val="0"/>
                  <w:marTop w:val="0"/>
                  <w:marBottom w:val="0"/>
                  <w:divBdr>
                    <w:top w:val="none" w:sz="0" w:space="0" w:color="auto"/>
                    <w:left w:val="none" w:sz="0" w:space="0" w:color="auto"/>
                    <w:bottom w:val="none" w:sz="0" w:space="0" w:color="auto"/>
                    <w:right w:val="none" w:sz="0" w:space="0" w:color="auto"/>
                  </w:divBdr>
                </w:div>
              </w:divsChild>
            </w:div>
            <w:div w:id="863444131">
              <w:marLeft w:val="0"/>
              <w:marRight w:val="0"/>
              <w:marTop w:val="0"/>
              <w:marBottom w:val="0"/>
              <w:divBdr>
                <w:top w:val="none" w:sz="0" w:space="0" w:color="auto"/>
                <w:left w:val="none" w:sz="0" w:space="0" w:color="auto"/>
                <w:bottom w:val="none" w:sz="0" w:space="0" w:color="auto"/>
                <w:right w:val="none" w:sz="0" w:space="0" w:color="auto"/>
              </w:divBdr>
              <w:divsChild>
                <w:div w:id="387343025">
                  <w:marLeft w:val="0"/>
                  <w:marRight w:val="0"/>
                  <w:marTop w:val="0"/>
                  <w:marBottom w:val="0"/>
                  <w:divBdr>
                    <w:top w:val="none" w:sz="0" w:space="0" w:color="auto"/>
                    <w:left w:val="none" w:sz="0" w:space="0" w:color="auto"/>
                    <w:bottom w:val="none" w:sz="0" w:space="0" w:color="auto"/>
                    <w:right w:val="none" w:sz="0" w:space="0" w:color="auto"/>
                  </w:divBdr>
                </w:div>
              </w:divsChild>
            </w:div>
            <w:div w:id="942033818">
              <w:marLeft w:val="0"/>
              <w:marRight w:val="0"/>
              <w:marTop w:val="0"/>
              <w:marBottom w:val="0"/>
              <w:divBdr>
                <w:top w:val="none" w:sz="0" w:space="0" w:color="auto"/>
                <w:left w:val="none" w:sz="0" w:space="0" w:color="auto"/>
                <w:bottom w:val="none" w:sz="0" w:space="0" w:color="auto"/>
                <w:right w:val="none" w:sz="0" w:space="0" w:color="auto"/>
              </w:divBdr>
              <w:divsChild>
                <w:div w:id="627324036">
                  <w:marLeft w:val="0"/>
                  <w:marRight w:val="0"/>
                  <w:marTop w:val="0"/>
                  <w:marBottom w:val="0"/>
                  <w:divBdr>
                    <w:top w:val="none" w:sz="0" w:space="0" w:color="auto"/>
                    <w:left w:val="none" w:sz="0" w:space="0" w:color="auto"/>
                    <w:bottom w:val="none" w:sz="0" w:space="0" w:color="auto"/>
                    <w:right w:val="none" w:sz="0" w:space="0" w:color="auto"/>
                  </w:divBdr>
                </w:div>
              </w:divsChild>
            </w:div>
            <w:div w:id="1071930385">
              <w:marLeft w:val="0"/>
              <w:marRight w:val="0"/>
              <w:marTop w:val="0"/>
              <w:marBottom w:val="0"/>
              <w:divBdr>
                <w:top w:val="none" w:sz="0" w:space="0" w:color="auto"/>
                <w:left w:val="none" w:sz="0" w:space="0" w:color="auto"/>
                <w:bottom w:val="none" w:sz="0" w:space="0" w:color="auto"/>
                <w:right w:val="none" w:sz="0" w:space="0" w:color="auto"/>
              </w:divBdr>
              <w:divsChild>
                <w:div w:id="249580200">
                  <w:marLeft w:val="0"/>
                  <w:marRight w:val="0"/>
                  <w:marTop w:val="0"/>
                  <w:marBottom w:val="0"/>
                  <w:divBdr>
                    <w:top w:val="none" w:sz="0" w:space="0" w:color="auto"/>
                    <w:left w:val="none" w:sz="0" w:space="0" w:color="auto"/>
                    <w:bottom w:val="none" w:sz="0" w:space="0" w:color="auto"/>
                    <w:right w:val="none" w:sz="0" w:space="0" w:color="auto"/>
                  </w:divBdr>
                </w:div>
              </w:divsChild>
            </w:div>
            <w:div w:id="1155991997">
              <w:marLeft w:val="0"/>
              <w:marRight w:val="0"/>
              <w:marTop w:val="0"/>
              <w:marBottom w:val="0"/>
              <w:divBdr>
                <w:top w:val="none" w:sz="0" w:space="0" w:color="auto"/>
                <w:left w:val="none" w:sz="0" w:space="0" w:color="auto"/>
                <w:bottom w:val="none" w:sz="0" w:space="0" w:color="auto"/>
                <w:right w:val="none" w:sz="0" w:space="0" w:color="auto"/>
              </w:divBdr>
              <w:divsChild>
                <w:div w:id="2003584837">
                  <w:marLeft w:val="0"/>
                  <w:marRight w:val="0"/>
                  <w:marTop w:val="0"/>
                  <w:marBottom w:val="0"/>
                  <w:divBdr>
                    <w:top w:val="none" w:sz="0" w:space="0" w:color="auto"/>
                    <w:left w:val="none" w:sz="0" w:space="0" w:color="auto"/>
                    <w:bottom w:val="none" w:sz="0" w:space="0" w:color="auto"/>
                    <w:right w:val="none" w:sz="0" w:space="0" w:color="auto"/>
                  </w:divBdr>
                </w:div>
              </w:divsChild>
            </w:div>
            <w:div w:id="1185288880">
              <w:marLeft w:val="0"/>
              <w:marRight w:val="0"/>
              <w:marTop w:val="0"/>
              <w:marBottom w:val="0"/>
              <w:divBdr>
                <w:top w:val="none" w:sz="0" w:space="0" w:color="auto"/>
                <w:left w:val="none" w:sz="0" w:space="0" w:color="auto"/>
                <w:bottom w:val="none" w:sz="0" w:space="0" w:color="auto"/>
                <w:right w:val="none" w:sz="0" w:space="0" w:color="auto"/>
              </w:divBdr>
              <w:divsChild>
                <w:div w:id="436949783">
                  <w:marLeft w:val="0"/>
                  <w:marRight w:val="0"/>
                  <w:marTop w:val="0"/>
                  <w:marBottom w:val="0"/>
                  <w:divBdr>
                    <w:top w:val="none" w:sz="0" w:space="0" w:color="auto"/>
                    <w:left w:val="none" w:sz="0" w:space="0" w:color="auto"/>
                    <w:bottom w:val="none" w:sz="0" w:space="0" w:color="auto"/>
                    <w:right w:val="none" w:sz="0" w:space="0" w:color="auto"/>
                  </w:divBdr>
                </w:div>
              </w:divsChild>
            </w:div>
            <w:div w:id="1217814211">
              <w:marLeft w:val="0"/>
              <w:marRight w:val="0"/>
              <w:marTop w:val="0"/>
              <w:marBottom w:val="0"/>
              <w:divBdr>
                <w:top w:val="none" w:sz="0" w:space="0" w:color="auto"/>
                <w:left w:val="none" w:sz="0" w:space="0" w:color="auto"/>
                <w:bottom w:val="none" w:sz="0" w:space="0" w:color="auto"/>
                <w:right w:val="none" w:sz="0" w:space="0" w:color="auto"/>
              </w:divBdr>
              <w:divsChild>
                <w:div w:id="1977179831">
                  <w:marLeft w:val="0"/>
                  <w:marRight w:val="0"/>
                  <w:marTop w:val="0"/>
                  <w:marBottom w:val="0"/>
                  <w:divBdr>
                    <w:top w:val="none" w:sz="0" w:space="0" w:color="auto"/>
                    <w:left w:val="none" w:sz="0" w:space="0" w:color="auto"/>
                    <w:bottom w:val="none" w:sz="0" w:space="0" w:color="auto"/>
                    <w:right w:val="none" w:sz="0" w:space="0" w:color="auto"/>
                  </w:divBdr>
                </w:div>
              </w:divsChild>
            </w:div>
            <w:div w:id="1253783421">
              <w:marLeft w:val="0"/>
              <w:marRight w:val="0"/>
              <w:marTop w:val="0"/>
              <w:marBottom w:val="0"/>
              <w:divBdr>
                <w:top w:val="none" w:sz="0" w:space="0" w:color="auto"/>
                <w:left w:val="none" w:sz="0" w:space="0" w:color="auto"/>
                <w:bottom w:val="none" w:sz="0" w:space="0" w:color="auto"/>
                <w:right w:val="none" w:sz="0" w:space="0" w:color="auto"/>
              </w:divBdr>
              <w:divsChild>
                <w:div w:id="694506630">
                  <w:marLeft w:val="0"/>
                  <w:marRight w:val="0"/>
                  <w:marTop w:val="0"/>
                  <w:marBottom w:val="0"/>
                  <w:divBdr>
                    <w:top w:val="none" w:sz="0" w:space="0" w:color="auto"/>
                    <w:left w:val="none" w:sz="0" w:space="0" w:color="auto"/>
                    <w:bottom w:val="none" w:sz="0" w:space="0" w:color="auto"/>
                    <w:right w:val="none" w:sz="0" w:space="0" w:color="auto"/>
                  </w:divBdr>
                </w:div>
              </w:divsChild>
            </w:div>
            <w:div w:id="1311011478">
              <w:marLeft w:val="0"/>
              <w:marRight w:val="0"/>
              <w:marTop w:val="0"/>
              <w:marBottom w:val="0"/>
              <w:divBdr>
                <w:top w:val="none" w:sz="0" w:space="0" w:color="auto"/>
                <w:left w:val="none" w:sz="0" w:space="0" w:color="auto"/>
                <w:bottom w:val="none" w:sz="0" w:space="0" w:color="auto"/>
                <w:right w:val="none" w:sz="0" w:space="0" w:color="auto"/>
              </w:divBdr>
              <w:divsChild>
                <w:div w:id="978803537">
                  <w:marLeft w:val="0"/>
                  <w:marRight w:val="0"/>
                  <w:marTop w:val="0"/>
                  <w:marBottom w:val="0"/>
                  <w:divBdr>
                    <w:top w:val="none" w:sz="0" w:space="0" w:color="auto"/>
                    <w:left w:val="none" w:sz="0" w:space="0" w:color="auto"/>
                    <w:bottom w:val="none" w:sz="0" w:space="0" w:color="auto"/>
                    <w:right w:val="none" w:sz="0" w:space="0" w:color="auto"/>
                  </w:divBdr>
                </w:div>
              </w:divsChild>
            </w:div>
            <w:div w:id="1352950203">
              <w:marLeft w:val="0"/>
              <w:marRight w:val="0"/>
              <w:marTop w:val="0"/>
              <w:marBottom w:val="0"/>
              <w:divBdr>
                <w:top w:val="none" w:sz="0" w:space="0" w:color="auto"/>
                <w:left w:val="none" w:sz="0" w:space="0" w:color="auto"/>
                <w:bottom w:val="none" w:sz="0" w:space="0" w:color="auto"/>
                <w:right w:val="none" w:sz="0" w:space="0" w:color="auto"/>
              </w:divBdr>
              <w:divsChild>
                <w:div w:id="1102991711">
                  <w:marLeft w:val="0"/>
                  <w:marRight w:val="0"/>
                  <w:marTop w:val="0"/>
                  <w:marBottom w:val="0"/>
                  <w:divBdr>
                    <w:top w:val="none" w:sz="0" w:space="0" w:color="auto"/>
                    <w:left w:val="none" w:sz="0" w:space="0" w:color="auto"/>
                    <w:bottom w:val="none" w:sz="0" w:space="0" w:color="auto"/>
                    <w:right w:val="none" w:sz="0" w:space="0" w:color="auto"/>
                  </w:divBdr>
                </w:div>
              </w:divsChild>
            </w:div>
            <w:div w:id="1364207260">
              <w:marLeft w:val="0"/>
              <w:marRight w:val="0"/>
              <w:marTop w:val="0"/>
              <w:marBottom w:val="0"/>
              <w:divBdr>
                <w:top w:val="none" w:sz="0" w:space="0" w:color="auto"/>
                <w:left w:val="none" w:sz="0" w:space="0" w:color="auto"/>
                <w:bottom w:val="none" w:sz="0" w:space="0" w:color="auto"/>
                <w:right w:val="none" w:sz="0" w:space="0" w:color="auto"/>
              </w:divBdr>
              <w:divsChild>
                <w:div w:id="151341093">
                  <w:marLeft w:val="0"/>
                  <w:marRight w:val="0"/>
                  <w:marTop w:val="0"/>
                  <w:marBottom w:val="0"/>
                  <w:divBdr>
                    <w:top w:val="none" w:sz="0" w:space="0" w:color="auto"/>
                    <w:left w:val="none" w:sz="0" w:space="0" w:color="auto"/>
                    <w:bottom w:val="none" w:sz="0" w:space="0" w:color="auto"/>
                    <w:right w:val="none" w:sz="0" w:space="0" w:color="auto"/>
                  </w:divBdr>
                </w:div>
              </w:divsChild>
            </w:div>
            <w:div w:id="1420559285">
              <w:marLeft w:val="0"/>
              <w:marRight w:val="0"/>
              <w:marTop w:val="0"/>
              <w:marBottom w:val="0"/>
              <w:divBdr>
                <w:top w:val="none" w:sz="0" w:space="0" w:color="auto"/>
                <w:left w:val="none" w:sz="0" w:space="0" w:color="auto"/>
                <w:bottom w:val="none" w:sz="0" w:space="0" w:color="auto"/>
                <w:right w:val="none" w:sz="0" w:space="0" w:color="auto"/>
              </w:divBdr>
              <w:divsChild>
                <w:div w:id="453795936">
                  <w:marLeft w:val="0"/>
                  <w:marRight w:val="0"/>
                  <w:marTop w:val="0"/>
                  <w:marBottom w:val="0"/>
                  <w:divBdr>
                    <w:top w:val="none" w:sz="0" w:space="0" w:color="auto"/>
                    <w:left w:val="none" w:sz="0" w:space="0" w:color="auto"/>
                    <w:bottom w:val="none" w:sz="0" w:space="0" w:color="auto"/>
                    <w:right w:val="none" w:sz="0" w:space="0" w:color="auto"/>
                  </w:divBdr>
                </w:div>
              </w:divsChild>
            </w:div>
            <w:div w:id="1425371547">
              <w:marLeft w:val="0"/>
              <w:marRight w:val="0"/>
              <w:marTop w:val="0"/>
              <w:marBottom w:val="0"/>
              <w:divBdr>
                <w:top w:val="none" w:sz="0" w:space="0" w:color="auto"/>
                <w:left w:val="none" w:sz="0" w:space="0" w:color="auto"/>
                <w:bottom w:val="none" w:sz="0" w:space="0" w:color="auto"/>
                <w:right w:val="none" w:sz="0" w:space="0" w:color="auto"/>
              </w:divBdr>
              <w:divsChild>
                <w:div w:id="1534997853">
                  <w:marLeft w:val="0"/>
                  <w:marRight w:val="0"/>
                  <w:marTop w:val="0"/>
                  <w:marBottom w:val="0"/>
                  <w:divBdr>
                    <w:top w:val="none" w:sz="0" w:space="0" w:color="auto"/>
                    <w:left w:val="none" w:sz="0" w:space="0" w:color="auto"/>
                    <w:bottom w:val="none" w:sz="0" w:space="0" w:color="auto"/>
                    <w:right w:val="none" w:sz="0" w:space="0" w:color="auto"/>
                  </w:divBdr>
                </w:div>
              </w:divsChild>
            </w:div>
            <w:div w:id="1736389742">
              <w:marLeft w:val="0"/>
              <w:marRight w:val="0"/>
              <w:marTop w:val="0"/>
              <w:marBottom w:val="0"/>
              <w:divBdr>
                <w:top w:val="none" w:sz="0" w:space="0" w:color="auto"/>
                <w:left w:val="none" w:sz="0" w:space="0" w:color="auto"/>
                <w:bottom w:val="none" w:sz="0" w:space="0" w:color="auto"/>
                <w:right w:val="none" w:sz="0" w:space="0" w:color="auto"/>
              </w:divBdr>
              <w:divsChild>
                <w:div w:id="34740098">
                  <w:marLeft w:val="0"/>
                  <w:marRight w:val="0"/>
                  <w:marTop w:val="0"/>
                  <w:marBottom w:val="0"/>
                  <w:divBdr>
                    <w:top w:val="none" w:sz="0" w:space="0" w:color="auto"/>
                    <w:left w:val="none" w:sz="0" w:space="0" w:color="auto"/>
                    <w:bottom w:val="none" w:sz="0" w:space="0" w:color="auto"/>
                    <w:right w:val="none" w:sz="0" w:space="0" w:color="auto"/>
                  </w:divBdr>
                </w:div>
              </w:divsChild>
            </w:div>
            <w:div w:id="1767190512">
              <w:marLeft w:val="0"/>
              <w:marRight w:val="0"/>
              <w:marTop w:val="0"/>
              <w:marBottom w:val="0"/>
              <w:divBdr>
                <w:top w:val="none" w:sz="0" w:space="0" w:color="auto"/>
                <w:left w:val="none" w:sz="0" w:space="0" w:color="auto"/>
                <w:bottom w:val="none" w:sz="0" w:space="0" w:color="auto"/>
                <w:right w:val="none" w:sz="0" w:space="0" w:color="auto"/>
              </w:divBdr>
              <w:divsChild>
                <w:div w:id="819690784">
                  <w:marLeft w:val="0"/>
                  <w:marRight w:val="0"/>
                  <w:marTop w:val="0"/>
                  <w:marBottom w:val="0"/>
                  <w:divBdr>
                    <w:top w:val="none" w:sz="0" w:space="0" w:color="auto"/>
                    <w:left w:val="none" w:sz="0" w:space="0" w:color="auto"/>
                    <w:bottom w:val="none" w:sz="0" w:space="0" w:color="auto"/>
                    <w:right w:val="none" w:sz="0" w:space="0" w:color="auto"/>
                  </w:divBdr>
                </w:div>
              </w:divsChild>
            </w:div>
            <w:div w:id="1798255216">
              <w:marLeft w:val="0"/>
              <w:marRight w:val="0"/>
              <w:marTop w:val="0"/>
              <w:marBottom w:val="0"/>
              <w:divBdr>
                <w:top w:val="none" w:sz="0" w:space="0" w:color="auto"/>
                <w:left w:val="none" w:sz="0" w:space="0" w:color="auto"/>
                <w:bottom w:val="none" w:sz="0" w:space="0" w:color="auto"/>
                <w:right w:val="none" w:sz="0" w:space="0" w:color="auto"/>
              </w:divBdr>
              <w:divsChild>
                <w:div w:id="1935088221">
                  <w:marLeft w:val="0"/>
                  <w:marRight w:val="0"/>
                  <w:marTop w:val="0"/>
                  <w:marBottom w:val="0"/>
                  <w:divBdr>
                    <w:top w:val="none" w:sz="0" w:space="0" w:color="auto"/>
                    <w:left w:val="none" w:sz="0" w:space="0" w:color="auto"/>
                    <w:bottom w:val="none" w:sz="0" w:space="0" w:color="auto"/>
                    <w:right w:val="none" w:sz="0" w:space="0" w:color="auto"/>
                  </w:divBdr>
                </w:div>
              </w:divsChild>
            </w:div>
            <w:div w:id="1852866040">
              <w:marLeft w:val="0"/>
              <w:marRight w:val="0"/>
              <w:marTop w:val="0"/>
              <w:marBottom w:val="0"/>
              <w:divBdr>
                <w:top w:val="none" w:sz="0" w:space="0" w:color="auto"/>
                <w:left w:val="none" w:sz="0" w:space="0" w:color="auto"/>
                <w:bottom w:val="none" w:sz="0" w:space="0" w:color="auto"/>
                <w:right w:val="none" w:sz="0" w:space="0" w:color="auto"/>
              </w:divBdr>
              <w:divsChild>
                <w:div w:id="726074741">
                  <w:marLeft w:val="0"/>
                  <w:marRight w:val="0"/>
                  <w:marTop w:val="0"/>
                  <w:marBottom w:val="0"/>
                  <w:divBdr>
                    <w:top w:val="none" w:sz="0" w:space="0" w:color="auto"/>
                    <w:left w:val="none" w:sz="0" w:space="0" w:color="auto"/>
                    <w:bottom w:val="none" w:sz="0" w:space="0" w:color="auto"/>
                    <w:right w:val="none" w:sz="0" w:space="0" w:color="auto"/>
                  </w:divBdr>
                </w:div>
              </w:divsChild>
            </w:div>
            <w:div w:id="1908613739">
              <w:marLeft w:val="0"/>
              <w:marRight w:val="0"/>
              <w:marTop w:val="0"/>
              <w:marBottom w:val="0"/>
              <w:divBdr>
                <w:top w:val="none" w:sz="0" w:space="0" w:color="auto"/>
                <w:left w:val="none" w:sz="0" w:space="0" w:color="auto"/>
                <w:bottom w:val="none" w:sz="0" w:space="0" w:color="auto"/>
                <w:right w:val="none" w:sz="0" w:space="0" w:color="auto"/>
              </w:divBdr>
              <w:divsChild>
                <w:div w:id="591206888">
                  <w:marLeft w:val="0"/>
                  <w:marRight w:val="0"/>
                  <w:marTop w:val="0"/>
                  <w:marBottom w:val="0"/>
                  <w:divBdr>
                    <w:top w:val="none" w:sz="0" w:space="0" w:color="auto"/>
                    <w:left w:val="none" w:sz="0" w:space="0" w:color="auto"/>
                    <w:bottom w:val="none" w:sz="0" w:space="0" w:color="auto"/>
                    <w:right w:val="none" w:sz="0" w:space="0" w:color="auto"/>
                  </w:divBdr>
                </w:div>
              </w:divsChild>
            </w:div>
            <w:div w:id="1943494734">
              <w:marLeft w:val="0"/>
              <w:marRight w:val="0"/>
              <w:marTop w:val="0"/>
              <w:marBottom w:val="0"/>
              <w:divBdr>
                <w:top w:val="none" w:sz="0" w:space="0" w:color="auto"/>
                <w:left w:val="none" w:sz="0" w:space="0" w:color="auto"/>
                <w:bottom w:val="none" w:sz="0" w:space="0" w:color="auto"/>
                <w:right w:val="none" w:sz="0" w:space="0" w:color="auto"/>
              </w:divBdr>
              <w:divsChild>
                <w:div w:id="13573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756326">
      <w:bodyDiv w:val="1"/>
      <w:marLeft w:val="0"/>
      <w:marRight w:val="0"/>
      <w:marTop w:val="0"/>
      <w:marBottom w:val="0"/>
      <w:divBdr>
        <w:top w:val="none" w:sz="0" w:space="0" w:color="auto"/>
        <w:left w:val="none" w:sz="0" w:space="0" w:color="auto"/>
        <w:bottom w:val="none" w:sz="0" w:space="0" w:color="auto"/>
        <w:right w:val="none" w:sz="0" w:space="0" w:color="auto"/>
      </w:divBdr>
      <w:divsChild>
        <w:div w:id="225989633">
          <w:marLeft w:val="0"/>
          <w:marRight w:val="0"/>
          <w:marTop w:val="0"/>
          <w:marBottom w:val="0"/>
          <w:divBdr>
            <w:top w:val="none" w:sz="0" w:space="0" w:color="auto"/>
            <w:left w:val="none" w:sz="0" w:space="0" w:color="auto"/>
            <w:bottom w:val="none" w:sz="0" w:space="0" w:color="auto"/>
            <w:right w:val="none" w:sz="0" w:space="0" w:color="auto"/>
          </w:divBdr>
          <w:divsChild>
            <w:div w:id="1413970853">
              <w:marLeft w:val="0"/>
              <w:marRight w:val="0"/>
              <w:marTop w:val="0"/>
              <w:marBottom w:val="0"/>
              <w:divBdr>
                <w:top w:val="none" w:sz="0" w:space="0" w:color="auto"/>
                <w:left w:val="none" w:sz="0" w:space="0" w:color="auto"/>
                <w:bottom w:val="none" w:sz="0" w:space="0" w:color="auto"/>
                <w:right w:val="none" w:sz="0" w:space="0" w:color="auto"/>
              </w:divBdr>
              <w:divsChild>
                <w:div w:id="1663654060">
                  <w:marLeft w:val="0"/>
                  <w:marRight w:val="0"/>
                  <w:marTop w:val="0"/>
                  <w:marBottom w:val="0"/>
                  <w:divBdr>
                    <w:top w:val="none" w:sz="0" w:space="0" w:color="auto"/>
                    <w:left w:val="none" w:sz="0" w:space="0" w:color="auto"/>
                    <w:bottom w:val="none" w:sz="0" w:space="0" w:color="auto"/>
                    <w:right w:val="none" w:sz="0" w:space="0" w:color="auto"/>
                  </w:divBdr>
                  <w:divsChild>
                    <w:div w:id="126827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335310">
      <w:bodyDiv w:val="1"/>
      <w:marLeft w:val="0"/>
      <w:marRight w:val="0"/>
      <w:marTop w:val="0"/>
      <w:marBottom w:val="0"/>
      <w:divBdr>
        <w:top w:val="none" w:sz="0" w:space="0" w:color="auto"/>
        <w:left w:val="none" w:sz="0" w:space="0" w:color="auto"/>
        <w:bottom w:val="none" w:sz="0" w:space="0" w:color="auto"/>
        <w:right w:val="none" w:sz="0" w:space="0" w:color="auto"/>
      </w:divBdr>
    </w:div>
    <w:div w:id="1102796189">
      <w:bodyDiv w:val="1"/>
      <w:marLeft w:val="0"/>
      <w:marRight w:val="0"/>
      <w:marTop w:val="0"/>
      <w:marBottom w:val="0"/>
      <w:divBdr>
        <w:top w:val="none" w:sz="0" w:space="0" w:color="auto"/>
        <w:left w:val="none" w:sz="0" w:space="0" w:color="auto"/>
        <w:bottom w:val="none" w:sz="0" w:space="0" w:color="auto"/>
        <w:right w:val="none" w:sz="0" w:space="0" w:color="auto"/>
      </w:divBdr>
    </w:div>
    <w:div w:id="1103189298">
      <w:bodyDiv w:val="1"/>
      <w:marLeft w:val="0"/>
      <w:marRight w:val="0"/>
      <w:marTop w:val="0"/>
      <w:marBottom w:val="0"/>
      <w:divBdr>
        <w:top w:val="none" w:sz="0" w:space="0" w:color="auto"/>
        <w:left w:val="none" w:sz="0" w:space="0" w:color="auto"/>
        <w:bottom w:val="none" w:sz="0" w:space="0" w:color="auto"/>
        <w:right w:val="none" w:sz="0" w:space="0" w:color="auto"/>
      </w:divBdr>
    </w:div>
    <w:div w:id="1103457138">
      <w:bodyDiv w:val="1"/>
      <w:marLeft w:val="0"/>
      <w:marRight w:val="0"/>
      <w:marTop w:val="0"/>
      <w:marBottom w:val="0"/>
      <w:divBdr>
        <w:top w:val="none" w:sz="0" w:space="0" w:color="auto"/>
        <w:left w:val="none" w:sz="0" w:space="0" w:color="auto"/>
        <w:bottom w:val="none" w:sz="0" w:space="0" w:color="auto"/>
        <w:right w:val="none" w:sz="0" w:space="0" w:color="auto"/>
      </w:divBdr>
    </w:div>
    <w:div w:id="1103495409">
      <w:bodyDiv w:val="1"/>
      <w:marLeft w:val="0"/>
      <w:marRight w:val="0"/>
      <w:marTop w:val="0"/>
      <w:marBottom w:val="0"/>
      <w:divBdr>
        <w:top w:val="none" w:sz="0" w:space="0" w:color="auto"/>
        <w:left w:val="none" w:sz="0" w:space="0" w:color="auto"/>
        <w:bottom w:val="none" w:sz="0" w:space="0" w:color="auto"/>
        <w:right w:val="none" w:sz="0" w:space="0" w:color="auto"/>
      </w:divBdr>
    </w:div>
    <w:div w:id="1103499164">
      <w:bodyDiv w:val="1"/>
      <w:marLeft w:val="0"/>
      <w:marRight w:val="0"/>
      <w:marTop w:val="0"/>
      <w:marBottom w:val="0"/>
      <w:divBdr>
        <w:top w:val="none" w:sz="0" w:space="0" w:color="auto"/>
        <w:left w:val="none" w:sz="0" w:space="0" w:color="auto"/>
        <w:bottom w:val="none" w:sz="0" w:space="0" w:color="auto"/>
        <w:right w:val="none" w:sz="0" w:space="0" w:color="auto"/>
      </w:divBdr>
    </w:div>
    <w:div w:id="1103652250">
      <w:bodyDiv w:val="1"/>
      <w:marLeft w:val="0"/>
      <w:marRight w:val="0"/>
      <w:marTop w:val="0"/>
      <w:marBottom w:val="0"/>
      <w:divBdr>
        <w:top w:val="none" w:sz="0" w:space="0" w:color="auto"/>
        <w:left w:val="none" w:sz="0" w:space="0" w:color="auto"/>
        <w:bottom w:val="none" w:sz="0" w:space="0" w:color="auto"/>
        <w:right w:val="none" w:sz="0" w:space="0" w:color="auto"/>
      </w:divBdr>
    </w:div>
    <w:div w:id="1103959970">
      <w:bodyDiv w:val="1"/>
      <w:marLeft w:val="0"/>
      <w:marRight w:val="0"/>
      <w:marTop w:val="0"/>
      <w:marBottom w:val="0"/>
      <w:divBdr>
        <w:top w:val="none" w:sz="0" w:space="0" w:color="auto"/>
        <w:left w:val="none" w:sz="0" w:space="0" w:color="auto"/>
        <w:bottom w:val="none" w:sz="0" w:space="0" w:color="auto"/>
        <w:right w:val="none" w:sz="0" w:space="0" w:color="auto"/>
      </w:divBdr>
    </w:div>
    <w:div w:id="1106190944">
      <w:bodyDiv w:val="1"/>
      <w:marLeft w:val="0"/>
      <w:marRight w:val="0"/>
      <w:marTop w:val="0"/>
      <w:marBottom w:val="0"/>
      <w:divBdr>
        <w:top w:val="none" w:sz="0" w:space="0" w:color="auto"/>
        <w:left w:val="none" w:sz="0" w:space="0" w:color="auto"/>
        <w:bottom w:val="none" w:sz="0" w:space="0" w:color="auto"/>
        <w:right w:val="none" w:sz="0" w:space="0" w:color="auto"/>
      </w:divBdr>
    </w:div>
    <w:div w:id="1106387262">
      <w:bodyDiv w:val="1"/>
      <w:marLeft w:val="0"/>
      <w:marRight w:val="0"/>
      <w:marTop w:val="0"/>
      <w:marBottom w:val="0"/>
      <w:divBdr>
        <w:top w:val="none" w:sz="0" w:space="0" w:color="auto"/>
        <w:left w:val="none" w:sz="0" w:space="0" w:color="auto"/>
        <w:bottom w:val="none" w:sz="0" w:space="0" w:color="auto"/>
        <w:right w:val="none" w:sz="0" w:space="0" w:color="auto"/>
      </w:divBdr>
      <w:divsChild>
        <w:div w:id="80179480">
          <w:marLeft w:val="0"/>
          <w:marRight w:val="0"/>
          <w:marTop w:val="0"/>
          <w:marBottom w:val="0"/>
          <w:divBdr>
            <w:top w:val="none" w:sz="0" w:space="0" w:color="auto"/>
            <w:left w:val="none" w:sz="0" w:space="0" w:color="auto"/>
            <w:bottom w:val="none" w:sz="0" w:space="0" w:color="auto"/>
            <w:right w:val="none" w:sz="0" w:space="0" w:color="auto"/>
          </w:divBdr>
          <w:divsChild>
            <w:div w:id="212932553">
              <w:marLeft w:val="0"/>
              <w:marRight w:val="0"/>
              <w:marTop w:val="0"/>
              <w:marBottom w:val="0"/>
              <w:divBdr>
                <w:top w:val="none" w:sz="0" w:space="0" w:color="auto"/>
                <w:left w:val="none" w:sz="0" w:space="0" w:color="auto"/>
                <w:bottom w:val="none" w:sz="0" w:space="0" w:color="auto"/>
                <w:right w:val="none" w:sz="0" w:space="0" w:color="auto"/>
              </w:divBdr>
              <w:divsChild>
                <w:div w:id="1941638532">
                  <w:marLeft w:val="0"/>
                  <w:marRight w:val="0"/>
                  <w:marTop w:val="0"/>
                  <w:marBottom w:val="0"/>
                  <w:divBdr>
                    <w:top w:val="none" w:sz="0" w:space="0" w:color="auto"/>
                    <w:left w:val="none" w:sz="0" w:space="0" w:color="auto"/>
                    <w:bottom w:val="none" w:sz="0" w:space="0" w:color="auto"/>
                    <w:right w:val="none" w:sz="0" w:space="0" w:color="auto"/>
                  </w:divBdr>
                  <w:divsChild>
                    <w:div w:id="11063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088349">
      <w:bodyDiv w:val="1"/>
      <w:marLeft w:val="0"/>
      <w:marRight w:val="0"/>
      <w:marTop w:val="0"/>
      <w:marBottom w:val="0"/>
      <w:divBdr>
        <w:top w:val="none" w:sz="0" w:space="0" w:color="auto"/>
        <w:left w:val="none" w:sz="0" w:space="0" w:color="auto"/>
        <w:bottom w:val="none" w:sz="0" w:space="0" w:color="auto"/>
        <w:right w:val="none" w:sz="0" w:space="0" w:color="auto"/>
      </w:divBdr>
    </w:div>
    <w:div w:id="1108308016">
      <w:bodyDiv w:val="1"/>
      <w:marLeft w:val="0"/>
      <w:marRight w:val="0"/>
      <w:marTop w:val="0"/>
      <w:marBottom w:val="0"/>
      <w:divBdr>
        <w:top w:val="none" w:sz="0" w:space="0" w:color="auto"/>
        <w:left w:val="none" w:sz="0" w:space="0" w:color="auto"/>
        <w:bottom w:val="none" w:sz="0" w:space="0" w:color="auto"/>
        <w:right w:val="none" w:sz="0" w:space="0" w:color="auto"/>
      </w:divBdr>
    </w:div>
    <w:div w:id="1108961729">
      <w:bodyDiv w:val="1"/>
      <w:marLeft w:val="0"/>
      <w:marRight w:val="0"/>
      <w:marTop w:val="0"/>
      <w:marBottom w:val="0"/>
      <w:divBdr>
        <w:top w:val="none" w:sz="0" w:space="0" w:color="auto"/>
        <w:left w:val="none" w:sz="0" w:space="0" w:color="auto"/>
        <w:bottom w:val="none" w:sz="0" w:space="0" w:color="auto"/>
        <w:right w:val="none" w:sz="0" w:space="0" w:color="auto"/>
      </w:divBdr>
    </w:div>
    <w:div w:id="1109395170">
      <w:bodyDiv w:val="1"/>
      <w:marLeft w:val="0"/>
      <w:marRight w:val="0"/>
      <w:marTop w:val="0"/>
      <w:marBottom w:val="0"/>
      <w:divBdr>
        <w:top w:val="none" w:sz="0" w:space="0" w:color="auto"/>
        <w:left w:val="none" w:sz="0" w:space="0" w:color="auto"/>
        <w:bottom w:val="none" w:sz="0" w:space="0" w:color="auto"/>
        <w:right w:val="none" w:sz="0" w:space="0" w:color="auto"/>
      </w:divBdr>
    </w:div>
    <w:div w:id="1110705892">
      <w:bodyDiv w:val="1"/>
      <w:marLeft w:val="0"/>
      <w:marRight w:val="0"/>
      <w:marTop w:val="0"/>
      <w:marBottom w:val="0"/>
      <w:divBdr>
        <w:top w:val="none" w:sz="0" w:space="0" w:color="auto"/>
        <w:left w:val="none" w:sz="0" w:space="0" w:color="auto"/>
        <w:bottom w:val="none" w:sz="0" w:space="0" w:color="auto"/>
        <w:right w:val="none" w:sz="0" w:space="0" w:color="auto"/>
      </w:divBdr>
      <w:divsChild>
        <w:div w:id="177351308">
          <w:marLeft w:val="0"/>
          <w:marRight w:val="0"/>
          <w:marTop w:val="0"/>
          <w:marBottom w:val="0"/>
          <w:divBdr>
            <w:top w:val="none" w:sz="0" w:space="0" w:color="auto"/>
            <w:left w:val="none" w:sz="0" w:space="0" w:color="auto"/>
            <w:bottom w:val="none" w:sz="0" w:space="0" w:color="auto"/>
            <w:right w:val="none" w:sz="0" w:space="0" w:color="auto"/>
          </w:divBdr>
          <w:divsChild>
            <w:div w:id="1796484733">
              <w:marLeft w:val="0"/>
              <w:marRight w:val="0"/>
              <w:marTop w:val="0"/>
              <w:marBottom w:val="0"/>
              <w:divBdr>
                <w:top w:val="none" w:sz="0" w:space="0" w:color="auto"/>
                <w:left w:val="none" w:sz="0" w:space="0" w:color="auto"/>
                <w:bottom w:val="none" w:sz="0" w:space="0" w:color="auto"/>
                <w:right w:val="none" w:sz="0" w:space="0" w:color="auto"/>
              </w:divBdr>
              <w:divsChild>
                <w:div w:id="728958919">
                  <w:marLeft w:val="0"/>
                  <w:marRight w:val="0"/>
                  <w:marTop w:val="0"/>
                  <w:marBottom w:val="0"/>
                  <w:divBdr>
                    <w:top w:val="none" w:sz="0" w:space="0" w:color="auto"/>
                    <w:left w:val="none" w:sz="0" w:space="0" w:color="auto"/>
                    <w:bottom w:val="none" w:sz="0" w:space="0" w:color="auto"/>
                    <w:right w:val="none" w:sz="0" w:space="0" w:color="auto"/>
                  </w:divBdr>
                  <w:divsChild>
                    <w:div w:id="11951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776777">
      <w:bodyDiv w:val="1"/>
      <w:marLeft w:val="0"/>
      <w:marRight w:val="0"/>
      <w:marTop w:val="0"/>
      <w:marBottom w:val="0"/>
      <w:divBdr>
        <w:top w:val="none" w:sz="0" w:space="0" w:color="auto"/>
        <w:left w:val="none" w:sz="0" w:space="0" w:color="auto"/>
        <w:bottom w:val="none" w:sz="0" w:space="0" w:color="auto"/>
        <w:right w:val="none" w:sz="0" w:space="0" w:color="auto"/>
      </w:divBdr>
    </w:div>
    <w:div w:id="1112478248">
      <w:bodyDiv w:val="1"/>
      <w:marLeft w:val="0"/>
      <w:marRight w:val="0"/>
      <w:marTop w:val="0"/>
      <w:marBottom w:val="0"/>
      <w:divBdr>
        <w:top w:val="none" w:sz="0" w:space="0" w:color="auto"/>
        <w:left w:val="none" w:sz="0" w:space="0" w:color="auto"/>
        <w:bottom w:val="none" w:sz="0" w:space="0" w:color="auto"/>
        <w:right w:val="none" w:sz="0" w:space="0" w:color="auto"/>
      </w:divBdr>
    </w:div>
    <w:div w:id="1112750420">
      <w:bodyDiv w:val="1"/>
      <w:marLeft w:val="0"/>
      <w:marRight w:val="0"/>
      <w:marTop w:val="0"/>
      <w:marBottom w:val="0"/>
      <w:divBdr>
        <w:top w:val="none" w:sz="0" w:space="0" w:color="auto"/>
        <w:left w:val="none" w:sz="0" w:space="0" w:color="auto"/>
        <w:bottom w:val="none" w:sz="0" w:space="0" w:color="auto"/>
        <w:right w:val="none" w:sz="0" w:space="0" w:color="auto"/>
      </w:divBdr>
    </w:div>
    <w:div w:id="1112936436">
      <w:bodyDiv w:val="1"/>
      <w:marLeft w:val="0"/>
      <w:marRight w:val="0"/>
      <w:marTop w:val="0"/>
      <w:marBottom w:val="0"/>
      <w:divBdr>
        <w:top w:val="none" w:sz="0" w:space="0" w:color="auto"/>
        <w:left w:val="none" w:sz="0" w:space="0" w:color="auto"/>
        <w:bottom w:val="none" w:sz="0" w:space="0" w:color="auto"/>
        <w:right w:val="none" w:sz="0" w:space="0" w:color="auto"/>
      </w:divBdr>
    </w:div>
    <w:div w:id="1113130483">
      <w:bodyDiv w:val="1"/>
      <w:marLeft w:val="0"/>
      <w:marRight w:val="0"/>
      <w:marTop w:val="0"/>
      <w:marBottom w:val="0"/>
      <w:divBdr>
        <w:top w:val="none" w:sz="0" w:space="0" w:color="auto"/>
        <w:left w:val="none" w:sz="0" w:space="0" w:color="auto"/>
        <w:bottom w:val="none" w:sz="0" w:space="0" w:color="auto"/>
        <w:right w:val="none" w:sz="0" w:space="0" w:color="auto"/>
      </w:divBdr>
    </w:div>
    <w:div w:id="1113204662">
      <w:bodyDiv w:val="1"/>
      <w:marLeft w:val="0"/>
      <w:marRight w:val="0"/>
      <w:marTop w:val="0"/>
      <w:marBottom w:val="0"/>
      <w:divBdr>
        <w:top w:val="none" w:sz="0" w:space="0" w:color="auto"/>
        <w:left w:val="none" w:sz="0" w:space="0" w:color="auto"/>
        <w:bottom w:val="none" w:sz="0" w:space="0" w:color="auto"/>
        <w:right w:val="none" w:sz="0" w:space="0" w:color="auto"/>
      </w:divBdr>
    </w:div>
    <w:div w:id="1113869169">
      <w:bodyDiv w:val="1"/>
      <w:marLeft w:val="0"/>
      <w:marRight w:val="0"/>
      <w:marTop w:val="0"/>
      <w:marBottom w:val="0"/>
      <w:divBdr>
        <w:top w:val="none" w:sz="0" w:space="0" w:color="auto"/>
        <w:left w:val="none" w:sz="0" w:space="0" w:color="auto"/>
        <w:bottom w:val="none" w:sz="0" w:space="0" w:color="auto"/>
        <w:right w:val="none" w:sz="0" w:space="0" w:color="auto"/>
      </w:divBdr>
    </w:div>
    <w:div w:id="1114399230">
      <w:bodyDiv w:val="1"/>
      <w:marLeft w:val="0"/>
      <w:marRight w:val="0"/>
      <w:marTop w:val="0"/>
      <w:marBottom w:val="0"/>
      <w:divBdr>
        <w:top w:val="none" w:sz="0" w:space="0" w:color="auto"/>
        <w:left w:val="none" w:sz="0" w:space="0" w:color="auto"/>
        <w:bottom w:val="none" w:sz="0" w:space="0" w:color="auto"/>
        <w:right w:val="none" w:sz="0" w:space="0" w:color="auto"/>
      </w:divBdr>
    </w:div>
    <w:div w:id="1115249793">
      <w:bodyDiv w:val="1"/>
      <w:marLeft w:val="0"/>
      <w:marRight w:val="0"/>
      <w:marTop w:val="0"/>
      <w:marBottom w:val="0"/>
      <w:divBdr>
        <w:top w:val="none" w:sz="0" w:space="0" w:color="auto"/>
        <w:left w:val="none" w:sz="0" w:space="0" w:color="auto"/>
        <w:bottom w:val="none" w:sz="0" w:space="0" w:color="auto"/>
        <w:right w:val="none" w:sz="0" w:space="0" w:color="auto"/>
      </w:divBdr>
      <w:divsChild>
        <w:div w:id="1233657476">
          <w:marLeft w:val="0"/>
          <w:marRight w:val="0"/>
          <w:marTop w:val="0"/>
          <w:marBottom w:val="0"/>
          <w:divBdr>
            <w:top w:val="none" w:sz="0" w:space="0" w:color="auto"/>
            <w:left w:val="none" w:sz="0" w:space="0" w:color="auto"/>
            <w:bottom w:val="none" w:sz="0" w:space="0" w:color="auto"/>
            <w:right w:val="none" w:sz="0" w:space="0" w:color="auto"/>
          </w:divBdr>
          <w:divsChild>
            <w:div w:id="1670861848">
              <w:marLeft w:val="0"/>
              <w:marRight w:val="0"/>
              <w:marTop w:val="0"/>
              <w:marBottom w:val="0"/>
              <w:divBdr>
                <w:top w:val="none" w:sz="0" w:space="0" w:color="auto"/>
                <w:left w:val="none" w:sz="0" w:space="0" w:color="auto"/>
                <w:bottom w:val="none" w:sz="0" w:space="0" w:color="auto"/>
                <w:right w:val="none" w:sz="0" w:space="0" w:color="auto"/>
              </w:divBdr>
              <w:divsChild>
                <w:div w:id="883250228">
                  <w:marLeft w:val="0"/>
                  <w:marRight w:val="0"/>
                  <w:marTop w:val="0"/>
                  <w:marBottom w:val="0"/>
                  <w:divBdr>
                    <w:top w:val="none" w:sz="0" w:space="0" w:color="auto"/>
                    <w:left w:val="none" w:sz="0" w:space="0" w:color="auto"/>
                    <w:bottom w:val="none" w:sz="0" w:space="0" w:color="auto"/>
                    <w:right w:val="none" w:sz="0" w:space="0" w:color="auto"/>
                  </w:divBdr>
                  <w:divsChild>
                    <w:div w:id="14432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252145">
      <w:bodyDiv w:val="1"/>
      <w:marLeft w:val="0"/>
      <w:marRight w:val="0"/>
      <w:marTop w:val="0"/>
      <w:marBottom w:val="0"/>
      <w:divBdr>
        <w:top w:val="none" w:sz="0" w:space="0" w:color="auto"/>
        <w:left w:val="none" w:sz="0" w:space="0" w:color="auto"/>
        <w:bottom w:val="none" w:sz="0" w:space="0" w:color="auto"/>
        <w:right w:val="none" w:sz="0" w:space="0" w:color="auto"/>
      </w:divBdr>
    </w:div>
    <w:div w:id="1116412340">
      <w:bodyDiv w:val="1"/>
      <w:marLeft w:val="0"/>
      <w:marRight w:val="0"/>
      <w:marTop w:val="0"/>
      <w:marBottom w:val="0"/>
      <w:divBdr>
        <w:top w:val="none" w:sz="0" w:space="0" w:color="auto"/>
        <w:left w:val="none" w:sz="0" w:space="0" w:color="auto"/>
        <w:bottom w:val="none" w:sz="0" w:space="0" w:color="auto"/>
        <w:right w:val="none" w:sz="0" w:space="0" w:color="auto"/>
      </w:divBdr>
    </w:div>
    <w:div w:id="1117410343">
      <w:bodyDiv w:val="1"/>
      <w:marLeft w:val="0"/>
      <w:marRight w:val="0"/>
      <w:marTop w:val="0"/>
      <w:marBottom w:val="0"/>
      <w:divBdr>
        <w:top w:val="none" w:sz="0" w:space="0" w:color="auto"/>
        <w:left w:val="none" w:sz="0" w:space="0" w:color="auto"/>
        <w:bottom w:val="none" w:sz="0" w:space="0" w:color="auto"/>
        <w:right w:val="none" w:sz="0" w:space="0" w:color="auto"/>
      </w:divBdr>
    </w:div>
    <w:div w:id="1117607296">
      <w:bodyDiv w:val="1"/>
      <w:marLeft w:val="0"/>
      <w:marRight w:val="0"/>
      <w:marTop w:val="0"/>
      <w:marBottom w:val="0"/>
      <w:divBdr>
        <w:top w:val="none" w:sz="0" w:space="0" w:color="auto"/>
        <w:left w:val="none" w:sz="0" w:space="0" w:color="auto"/>
        <w:bottom w:val="none" w:sz="0" w:space="0" w:color="auto"/>
        <w:right w:val="none" w:sz="0" w:space="0" w:color="auto"/>
      </w:divBdr>
    </w:div>
    <w:div w:id="1118452471">
      <w:bodyDiv w:val="1"/>
      <w:marLeft w:val="0"/>
      <w:marRight w:val="0"/>
      <w:marTop w:val="0"/>
      <w:marBottom w:val="0"/>
      <w:divBdr>
        <w:top w:val="none" w:sz="0" w:space="0" w:color="auto"/>
        <w:left w:val="none" w:sz="0" w:space="0" w:color="auto"/>
        <w:bottom w:val="none" w:sz="0" w:space="0" w:color="auto"/>
        <w:right w:val="none" w:sz="0" w:space="0" w:color="auto"/>
      </w:divBdr>
    </w:div>
    <w:div w:id="1118571910">
      <w:bodyDiv w:val="1"/>
      <w:marLeft w:val="0"/>
      <w:marRight w:val="0"/>
      <w:marTop w:val="0"/>
      <w:marBottom w:val="0"/>
      <w:divBdr>
        <w:top w:val="none" w:sz="0" w:space="0" w:color="auto"/>
        <w:left w:val="none" w:sz="0" w:space="0" w:color="auto"/>
        <w:bottom w:val="none" w:sz="0" w:space="0" w:color="auto"/>
        <w:right w:val="none" w:sz="0" w:space="0" w:color="auto"/>
      </w:divBdr>
      <w:divsChild>
        <w:div w:id="165752867">
          <w:marLeft w:val="0"/>
          <w:marRight w:val="0"/>
          <w:marTop w:val="0"/>
          <w:marBottom w:val="0"/>
          <w:divBdr>
            <w:top w:val="none" w:sz="0" w:space="0" w:color="auto"/>
            <w:left w:val="none" w:sz="0" w:space="0" w:color="auto"/>
            <w:bottom w:val="none" w:sz="0" w:space="0" w:color="auto"/>
            <w:right w:val="none" w:sz="0" w:space="0" w:color="auto"/>
          </w:divBdr>
          <w:divsChild>
            <w:div w:id="1672444573">
              <w:marLeft w:val="0"/>
              <w:marRight w:val="0"/>
              <w:marTop w:val="0"/>
              <w:marBottom w:val="0"/>
              <w:divBdr>
                <w:top w:val="none" w:sz="0" w:space="0" w:color="auto"/>
                <w:left w:val="none" w:sz="0" w:space="0" w:color="auto"/>
                <w:bottom w:val="none" w:sz="0" w:space="0" w:color="auto"/>
                <w:right w:val="none" w:sz="0" w:space="0" w:color="auto"/>
              </w:divBdr>
              <w:divsChild>
                <w:div w:id="1788499099">
                  <w:marLeft w:val="0"/>
                  <w:marRight w:val="0"/>
                  <w:marTop w:val="0"/>
                  <w:marBottom w:val="0"/>
                  <w:divBdr>
                    <w:top w:val="none" w:sz="0" w:space="0" w:color="auto"/>
                    <w:left w:val="none" w:sz="0" w:space="0" w:color="auto"/>
                    <w:bottom w:val="none" w:sz="0" w:space="0" w:color="auto"/>
                    <w:right w:val="none" w:sz="0" w:space="0" w:color="auto"/>
                  </w:divBdr>
                  <w:divsChild>
                    <w:div w:id="16654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912567">
      <w:bodyDiv w:val="1"/>
      <w:marLeft w:val="0"/>
      <w:marRight w:val="0"/>
      <w:marTop w:val="0"/>
      <w:marBottom w:val="0"/>
      <w:divBdr>
        <w:top w:val="none" w:sz="0" w:space="0" w:color="auto"/>
        <w:left w:val="none" w:sz="0" w:space="0" w:color="auto"/>
        <w:bottom w:val="none" w:sz="0" w:space="0" w:color="auto"/>
        <w:right w:val="none" w:sz="0" w:space="0" w:color="auto"/>
      </w:divBdr>
    </w:div>
    <w:div w:id="1119223961">
      <w:bodyDiv w:val="1"/>
      <w:marLeft w:val="0"/>
      <w:marRight w:val="0"/>
      <w:marTop w:val="0"/>
      <w:marBottom w:val="0"/>
      <w:divBdr>
        <w:top w:val="none" w:sz="0" w:space="0" w:color="auto"/>
        <w:left w:val="none" w:sz="0" w:space="0" w:color="auto"/>
        <w:bottom w:val="none" w:sz="0" w:space="0" w:color="auto"/>
        <w:right w:val="none" w:sz="0" w:space="0" w:color="auto"/>
      </w:divBdr>
      <w:divsChild>
        <w:div w:id="847643486">
          <w:marLeft w:val="0"/>
          <w:marRight w:val="0"/>
          <w:marTop w:val="0"/>
          <w:marBottom w:val="0"/>
          <w:divBdr>
            <w:top w:val="none" w:sz="0" w:space="0" w:color="auto"/>
            <w:left w:val="none" w:sz="0" w:space="0" w:color="auto"/>
            <w:bottom w:val="none" w:sz="0" w:space="0" w:color="auto"/>
            <w:right w:val="none" w:sz="0" w:space="0" w:color="auto"/>
          </w:divBdr>
          <w:divsChild>
            <w:div w:id="117530395">
              <w:marLeft w:val="0"/>
              <w:marRight w:val="0"/>
              <w:marTop w:val="0"/>
              <w:marBottom w:val="0"/>
              <w:divBdr>
                <w:top w:val="none" w:sz="0" w:space="0" w:color="auto"/>
                <w:left w:val="none" w:sz="0" w:space="0" w:color="auto"/>
                <w:bottom w:val="none" w:sz="0" w:space="0" w:color="auto"/>
                <w:right w:val="none" w:sz="0" w:space="0" w:color="auto"/>
              </w:divBdr>
              <w:divsChild>
                <w:div w:id="13100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763172">
      <w:bodyDiv w:val="1"/>
      <w:marLeft w:val="0"/>
      <w:marRight w:val="0"/>
      <w:marTop w:val="0"/>
      <w:marBottom w:val="0"/>
      <w:divBdr>
        <w:top w:val="none" w:sz="0" w:space="0" w:color="auto"/>
        <w:left w:val="none" w:sz="0" w:space="0" w:color="auto"/>
        <w:bottom w:val="none" w:sz="0" w:space="0" w:color="auto"/>
        <w:right w:val="none" w:sz="0" w:space="0" w:color="auto"/>
      </w:divBdr>
    </w:div>
    <w:div w:id="1119832723">
      <w:bodyDiv w:val="1"/>
      <w:marLeft w:val="0"/>
      <w:marRight w:val="0"/>
      <w:marTop w:val="0"/>
      <w:marBottom w:val="0"/>
      <w:divBdr>
        <w:top w:val="none" w:sz="0" w:space="0" w:color="auto"/>
        <w:left w:val="none" w:sz="0" w:space="0" w:color="auto"/>
        <w:bottom w:val="none" w:sz="0" w:space="0" w:color="auto"/>
        <w:right w:val="none" w:sz="0" w:space="0" w:color="auto"/>
      </w:divBdr>
    </w:div>
    <w:div w:id="1120146606">
      <w:bodyDiv w:val="1"/>
      <w:marLeft w:val="0"/>
      <w:marRight w:val="0"/>
      <w:marTop w:val="0"/>
      <w:marBottom w:val="0"/>
      <w:divBdr>
        <w:top w:val="none" w:sz="0" w:space="0" w:color="auto"/>
        <w:left w:val="none" w:sz="0" w:space="0" w:color="auto"/>
        <w:bottom w:val="none" w:sz="0" w:space="0" w:color="auto"/>
        <w:right w:val="none" w:sz="0" w:space="0" w:color="auto"/>
      </w:divBdr>
    </w:div>
    <w:div w:id="1121415785">
      <w:bodyDiv w:val="1"/>
      <w:marLeft w:val="0"/>
      <w:marRight w:val="0"/>
      <w:marTop w:val="0"/>
      <w:marBottom w:val="0"/>
      <w:divBdr>
        <w:top w:val="none" w:sz="0" w:space="0" w:color="auto"/>
        <w:left w:val="none" w:sz="0" w:space="0" w:color="auto"/>
        <w:bottom w:val="none" w:sz="0" w:space="0" w:color="auto"/>
        <w:right w:val="none" w:sz="0" w:space="0" w:color="auto"/>
      </w:divBdr>
    </w:div>
    <w:div w:id="1121997098">
      <w:bodyDiv w:val="1"/>
      <w:marLeft w:val="0"/>
      <w:marRight w:val="0"/>
      <w:marTop w:val="0"/>
      <w:marBottom w:val="0"/>
      <w:divBdr>
        <w:top w:val="none" w:sz="0" w:space="0" w:color="auto"/>
        <w:left w:val="none" w:sz="0" w:space="0" w:color="auto"/>
        <w:bottom w:val="none" w:sz="0" w:space="0" w:color="auto"/>
        <w:right w:val="none" w:sz="0" w:space="0" w:color="auto"/>
      </w:divBdr>
    </w:div>
    <w:div w:id="1122185065">
      <w:bodyDiv w:val="1"/>
      <w:marLeft w:val="0"/>
      <w:marRight w:val="0"/>
      <w:marTop w:val="0"/>
      <w:marBottom w:val="0"/>
      <w:divBdr>
        <w:top w:val="none" w:sz="0" w:space="0" w:color="auto"/>
        <w:left w:val="none" w:sz="0" w:space="0" w:color="auto"/>
        <w:bottom w:val="none" w:sz="0" w:space="0" w:color="auto"/>
        <w:right w:val="none" w:sz="0" w:space="0" w:color="auto"/>
      </w:divBdr>
    </w:div>
    <w:div w:id="1122772118">
      <w:bodyDiv w:val="1"/>
      <w:marLeft w:val="0"/>
      <w:marRight w:val="0"/>
      <w:marTop w:val="0"/>
      <w:marBottom w:val="0"/>
      <w:divBdr>
        <w:top w:val="none" w:sz="0" w:space="0" w:color="auto"/>
        <w:left w:val="none" w:sz="0" w:space="0" w:color="auto"/>
        <w:bottom w:val="none" w:sz="0" w:space="0" w:color="auto"/>
        <w:right w:val="none" w:sz="0" w:space="0" w:color="auto"/>
      </w:divBdr>
    </w:div>
    <w:div w:id="1122965782">
      <w:bodyDiv w:val="1"/>
      <w:marLeft w:val="0"/>
      <w:marRight w:val="0"/>
      <w:marTop w:val="0"/>
      <w:marBottom w:val="0"/>
      <w:divBdr>
        <w:top w:val="none" w:sz="0" w:space="0" w:color="auto"/>
        <w:left w:val="none" w:sz="0" w:space="0" w:color="auto"/>
        <w:bottom w:val="none" w:sz="0" w:space="0" w:color="auto"/>
        <w:right w:val="none" w:sz="0" w:space="0" w:color="auto"/>
      </w:divBdr>
    </w:div>
    <w:div w:id="1122965940">
      <w:bodyDiv w:val="1"/>
      <w:marLeft w:val="0"/>
      <w:marRight w:val="0"/>
      <w:marTop w:val="0"/>
      <w:marBottom w:val="0"/>
      <w:divBdr>
        <w:top w:val="none" w:sz="0" w:space="0" w:color="auto"/>
        <w:left w:val="none" w:sz="0" w:space="0" w:color="auto"/>
        <w:bottom w:val="none" w:sz="0" w:space="0" w:color="auto"/>
        <w:right w:val="none" w:sz="0" w:space="0" w:color="auto"/>
      </w:divBdr>
    </w:div>
    <w:div w:id="1124038627">
      <w:bodyDiv w:val="1"/>
      <w:marLeft w:val="0"/>
      <w:marRight w:val="0"/>
      <w:marTop w:val="0"/>
      <w:marBottom w:val="0"/>
      <w:divBdr>
        <w:top w:val="none" w:sz="0" w:space="0" w:color="auto"/>
        <w:left w:val="none" w:sz="0" w:space="0" w:color="auto"/>
        <w:bottom w:val="none" w:sz="0" w:space="0" w:color="auto"/>
        <w:right w:val="none" w:sz="0" w:space="0" w:color="auto"/>
      </w:divBdr>
    </w:div>
    <w:div w:id="1124077382">
      <w:bodyDiv w:val="1"/>
      <w:marLeft w:val="0"/>
      <w:marRight w:val="0"/>
      <w:marTop w:val="0"/>
      <w:marBottom w:val="0"/>
      <w:divBdr>
        <w:top w:val="none" w:sz="0" w:space="0" w:color="auto"/>
        <w:left w:val="none" w:sz="0" w:space="0" w:color="auto"/>
        <w:bottom w:val="none" w:sz="0" w:space="0" w:color="auto"/>
        <w:right w:val="none" w:sz="0" w:space="0" w:color="auto"/>
      </w:divBdr>
    </w:div>
    <w:div w:id="1124158044">
      <w:bodyDiv w:val="1"/>
      <w:marLeft w:val="0"/>
      <w:marRight w:val="0"/>
      <w:marTop w:val="0"/>
      <w:marBottom w:val="0"/>
      <w:divBdr>
        <w:top w:val="none" w:sz="0" w:space="0" w:color="auto"/>
        <w:left w:val="none" w:sz="0" w:space="0" w:color="auto"/>
        <w:bottom w:val="none" w:sz="0" w:space="0" w:color="auto"/>
        <w:right w:val="none" w:sz="0" w:space="0" w:color="auto"/>
      </w:divBdr>
    </w:div>
    <w:div w:id="1124274002">
      <w:bodyDiv w:val="1"/>
      <w:marLeft w:val="0"/>
      <w:marRight w:val="0"/>
      <w:marTop w:val="0"/>
      <w:marBottom w:val="0"/>
      <w:divBdr>
        <w:top w:val="none" w:sz="0" w:space="0" w:color="auto"/>
        <w:left w:val="none" w:sz="0" w:space="0" w:color="auto"/>
        <w:bottom w:val="none" w:sz="0" w:space="0" w:color="auto"/>
        <w:right w:val="none" w:sz="0" w:space="0" w:color="auto"/>
      </w:divBdr>
      <w:divsChild>
        <w:div w:id="1981184307">
          <w:marLeft w:val="425"/>
          <w:marRight w:val="0"/>
          <w:marTop w:val="0"/>
          <w:marBottom w:val="0"/>
          <w:divBdr>
            <w:top w:val="none" w:sz="0" w:space="0" w:color="auto"/>
            <w:left w:val="none" w:sz="0" w:space="0" w:color="auto"/>
            <w:bottom w:val="none" w:sz="0" w:space="0" w:color="auto"/>
            <w:right w:val="none" w:sz="0" w:space="0" w:color="auto"/>
          </w:divBdr>
        </w:div>
      </w:divsChild>
    </w:div>
    <w:div w:id="1124546373">
      <w:bodyDiv w:val="1"/>
      <w:marLeft w:val="0"/>
      <w:marRight w:val="0"/>
      <w:marTop w:val="0"/>
      <w:marBottom w:val="0"/>
      <w:divBdr>
        <w:top w:val="none" w:sz="0" w:space="0" w:color="auto"/>
        <w:left w:val="none" w:sz="0" w:space="0" w:color="auto"/>
        <w:bottom w:val="none" w:sz="0" w:space="0" w:color="auto"/>
        <w:right w:val="none" w:sz="0" w:space="0" w:color="auto"/>
      </w:divBdr>
    </w:div>
    <w:div w:id="1125468936">
      <w:bodyDiv w:val="1"/>
      <w:marLeft w:val="0"/>
      <w:marRight w:val="0"/>
      <w:marTop w:val="0"/>
      <w:marBottom w:val="0"/>
      <w:divBdr>
        <w:top w:val="none" w:sz="0" w:space="0" w:color="auto"/>
        <w:left w:val="none" w:sz="0" w:space="0" w:color="auto"/>
        <w:bottom w:val="none" w:sz="0" w:space="0" w:color="auto"/>
        <w:right w:val="none" w:sz="0" w:space="0" w:color="auto"/>
      </w:divBdr>
    </w:div>
    <w:div w:id="1126243225">
      <w:bodyDiv w:val="1"/>
      <w:marLeft w:val="0"/>
      <w:marRight w:val="0"/>
      <w:marTop w:val="0"/>
      <w:marBottom w:val="0"/>
      <w:divBdr>
        <w:top w:val="none" w:sz="0" w:space="0" w:color="auto"/>
        <w:left w:val="none" w:sz="0" w:space="0" w:color="auto"/>
        <w:bottom w:val="none" w:sz="0" w:space="0" w:color="auto"/>
        <w:right w:val="none" w:sz="0" w:space="0" w:color="auto"/>
      </w:divBdr>
    </w:div>
    <w:div w:id="1126464424">
      <w:bodyDiv w:val="1"/>
      <w:marLeft w:val="0"/>
      <w:marRight w:val="0"/>
      <w:marTop w:val="0"/>
      <w:marBottom w:val="0"/>
      <w:divBdr>
        <w:top w:val="none" w:sz="0" w:space="0" w:color="auto"/>
        <w:left w:val="none" w:sz="0" w:space="0" w:color="auto"/>
        <w:bottom w:val="none" w:sz="0" w:space="0" w:color="auto"/>
        <w:right w:val="none" w:sz="0" w:space="0" w:color="auto"/>
      </w:divBdr>
    </w:div>
    <w:div w:id="1127234095">
      <w:bodyDiv w:val="1"/>
      <w:marLeft w:val="0"/>
      <w:marRight w:val="0"/>
      <w:marTop w:val="0"/>
      <w:marBottom w:val="0"/>
      <w:divBdr>
        <w:top w:val="none" w:sz="0" w:space="0" w:color="auto"/>
        <w:left w:val="none" w:sz="0" w:space="0" w:color="auto"/>
        <w:bottom w:val="none" w:sz="0" w:space="0" w:color="auto"/>
        <w:right w:val="none" w:sz="0" w:space="0" w:color="auto"/>
      </w:divBdr>
    </w:div>
    <w:div w:id="1128281755">
      <w:bodyDiv w:val="1"/>
      <w:marLeft w:val="0"/>
      <w:marRight w:val="0"/>
      <w:marTop w:val="0"/>
      <w:marBottom w:val="0"/>
      <w:divBdr>
        <w:top w:val="none" w:sz="0" w:space="0" w:color="auto"/>
        <w:left w:val="none" w:sz="0" w:space="0" w:color="auto"/>
        <w:bottom w:val="none" w:sz="0" w:space="0" w:color="auto"/>
        <w:right w:val="none" w:sz="0" w:space="0" w:color="auto"/>
      </w:divBdr>
    </w:div>
    <w:div w:id="1129132918">
      <w:bodyDiv w:val="1"/>
      <w:marLeft w:val="0"/>
      <w:marRight w:val="0"/>
      <w:marTop w:val="0"/>
      <w:marBottom w:val="0"/>
      <w:divBdr>
        <w:top w:val="none" w:sz="0" w:space="0" w:color="auto"/>
        <w:left w:val="none" w:sz="0" w:space="0" w:color="auto"/>
        <w:bottom w:val="none" w:sz="0" w:space="0" w:color="auto"/>
        <w:right w:val="none" w:sz="0" w:space="0" w:color="auto"/>
      </w:divBdr>
    </w:div>
    <w:div w:id="1129978468">
      <w:bodyDiv w:val="1"/>
      <w:marLeft w:val="0"/>
      <w:marRight w:val="0"/>
      <w:marTop w:val="0"/>
      <w:marBottom w:val="0"/>
      <w:divBdr>
        <w:top w:val="none" w:sz="0" w:space="0" w:color="auto"/>
        <w:left w:val="none" w:sz="0" w:space="0" w:color="auto"/>
        <w:bottom w:val="none" w:sz="0" w:space="0" w:color="auto"/>
        <w:right w:val="none" w:sz="0" w:space="0" w:color="auto"/>
      </w:divBdr>
      <w:divsChild>
        <w:div w:id="1035890601">
          <w:marLeft w:val="0"/>
          <w:marRight w:val="0"/>
          <w:marTop w:val="0"/>
          <w:marBottom w:val="0"/>
          <w:divBdr>
            <w:top w:val="none" w:sz="0" w:space="0" w:color="auto"/>
            <w:left w:val="none" w:sz="0" w:space="0" w:color="auto"/>
            <w:bottom w:val="none" w:sz="0" w:space="0" w:color="auto"/>
            <w:right w:val="none" w:sz="0" w:space="0" w:color="auto"/>
          </w:divBdr>
          <w:divsChild>
            <w:div w:id="719282705">
              <w:marLeft w:val="0"/>
              <w:marRight w:val="0"/>
              <w:marTop w:val="0"/>
              <w:marBottom w:val="0"/>
              <w:divBdr>
                <w:top w:val="none" w:sz="0" w:space="0" w:color="auto"/>
                <w:left w:val="none" w:sz="0" w:space="0" w:color="auto"/>
                <w:bottom w:val="none" w:sz="0" w:space="0" w:color="auto"/>
                <w:right w:val="none" w:sz="0" w:space="0" w:color="auto"/>
              </w:divBdr>
              <w:divsChild>
                <w:div w:id="1613128939">
                  <w:marLeft w:val="0"/>
                  <w:marRight w:val="0"/>
                  <w:marTop w:val="0"/>
                  <w:marBottom w:val="0"/>
                  <w:divBdr>
                    <w:top w:val="none" w:sz="0" w:space="0" w:color="auto"/>
                    <w:left w:val="none" w:sz="0" w:space="0" w:color="auto"/>
                    <w:bottom w:val="none" w:sz="0" w:space="0" w:color="auto"/>
                    <w:right w:val="none" w:sz="0" w:space="0" w:color="auto"/>
                  </w:divBdr>
                  <w:divsChild>
                    <w:div w:id="61899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509831">
      <w:bodyDiv w:val="1"/>
      <w:marLeft w:val="0"/>
      <w:marRight w:val="0"/>
      <w:marTop w:val="0"/>
      <w:marBottom w:val="0"/>
      <w:divBdr>
        <w:top w:val="none" w:sz="0" w:space="0" w:color="auto"/>
        <w:left w:val="none" w:sz="0" w:space="0" w:color="auto"/>
        <w:bottom w:val="none" w:sz="0" w:space="0" w:color="auto"/>
        <w:right w:val="none" w:sz="0" w:space="0" w:color="auto"/>
      </w:divBdr>
    </w:div>
    <w:div w:id="1131171155">
      <w:bodyDiv w:val="1"/>
      <w:marLeft w:val="0"/>
      <w:marRight w:val="0"/>
      <w:marTop w:val="0"/>
      <w:marBottom w:val="0"/>
      <w:divBdr>
        <w:top w:val="none" w:sz="0" w:space="0" w:color="auto"/>
        <w:left w:val="none" w:sz="0" w:space="0" w:color="auto"/>
        <w:bottom w:val="none" w:sz="0" w:space="0" w:color="auto"/>
        <w:right w:val="none" w:sz="0" w:space="0" w:color="auto"/>
      </w:divBdr>
    </w:div>
    <w:div w:id="1131173707">
      <w:bodyDiv w:val="1"/>
      <w:marLeft w:val="0"/>
      <w:marRight w:val="0"/>
      <w:marTop w:val="0"/>
      <w:marBottom w:val="0"/>
      <w:divBdr>
        <w:top w:val="none" w:sz="0" w:space="0" w:color="auto"/>
        <w:left w:val="none" w:sz="0" w:space="0" w:color="auto"/>
        <w:bottom w:val="none" w:sz="0" w:space="0" w:color="auto"/>
        <w:right w:val="none" w:sz="0" w:space="0" w:color="auto"/>
      </w:divBdr>
      <w:divsChild>
        <w:div w:id="1452163308">
          <w:marLeft w:val="0"/>
          <w:marRight w:val="0"/>
          <w:marTop w:val="0"/>
          <w:marBottom w:val="0"/>
          <w:divBdr>
            <w:top w:val="none" w:sz="0" w:space="0" w:color="auto"/>
            <w:left w:val="none" w:sz="0" w:space="0" w:color="auto"/>
            <w:bottom w:val="none" w:sz="0" w:space="0" w:color="auto"/>
            <w:right w:val="none" w:sz="0" w:space="0" w:color="auto"/>
          </w:divBdr>
          <w:divsChild>
            <w:div w:id="759640139">
              <w:marLeft w:val="0"/>
              <w:marRight w:val="0"/>
              <w:marTop w:val="0"/>
              <w:marBottom w:val="0"/>
              <w:divBdr>
                <w:top w:val="none" w:sz="0" w:space="0" w:color="auto"/>
                <w:left w:val="none" w:sz="0" w:space="0" w:color="auto"/>
                <w:bottom w:val="none" w:sz="0" w:space="0" w:color="auto"/>
                <w:right w:val="none" w:sz="0" w:space="0" w:color="auto"/>
              </w:divBdr>
              <w:divsChild>
                <w:div w:id="1672292246">
                  <w:marLeft w:val="0"/>
                  <w:marRight w:val="0"/>
                  <w:marTop w:val="0"/>
                  <w:marBottom w:val="0"/>
                  <w:divBdr>
                    <w:top w:val="none" w:sz="0" w:space="0" w:color="auto"/>
                    <w:left w:val="none" w:sz="0" w:space="0" w:color="auto"/>
                    <w:bottom w:val="none" w:sz="0" w:space="0" w:color="auto"/>
                    <w:right w:val="none" w:sz="0" w:space="0" w:color="auto"/>
                  </w:divBdr>
                  <w:divsChild>
                    <w:div w:id="187584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628807">
      <w:bodyDiv w:val="1"/>
      <w:marLeft w:val="0"/>
      <w:marRight w:val="0"/>
      <w:marTop w:val="0"/>
      <w:marBottom w:val="0"/>
      <w:divBdr>
        <w:top w:val="none" w:sz="0" w:space="0" w:color="auto"/>
        <w:left w:val="none" w:sz="0" w:space="0" w:color="auto"/>
        <w:bottom w:val="none" w:sz="0" w:space="0" w:color="auto"/>
        <w:right w:val="none" w:sz="0" w:space="0" w:color="auto"/>
      </w:divBdr>
    </w:div>
    <w:div w:id="1132747192">
      <w:bodyDiv w:val="1"/>
      <w:marLeft w:val="0"/>
      <w:marRight w:val="0"/>
      <w:marTop w:val="0"/>
      <w:marBottom w:val="0"/>
      <w:divBdr>
        <w:top w:val="none" w:sz="0" w:space="0" w:color="auto"/>
        <w:left w:val="none" w:sz="0" w:space="0" w:color="auto"/>
        <w:bottom w:val="none" w:sz="0" w:space="0" w:color="auto"/>
        <w:right w:val="none" w:sz="0" w:space="0" w:color="auto"/>
      </w:divBdr>
    </w:div>
    <w:div w:id="1134562320">
      <w:bodyDiv w:val="1"/>
      <w:marLeft w:val="0"/>
      <w:marRight w:val="0"/>
      <w:marTop w:val="0"/>
      <w:marBottom w:val="0"/>
      <w:divBdr>
        <w:top w:val="none" w:sz="0" w:space="0" w:color="auto"/>
        <w:left w:val="none" w:sz="0" w:space="0" w:color="auto"/>
        <w:bottom w:val="none" w:sz="0" w:space="0" w:color="auto"/>
        <w:right w:val="none" w:sz="0" w:space="0" w:color="auto"/>
      </w:divBdr>
      <w:divsChild>
        <w:div w:id="1320884030">
          <w:marLeft w:val="0"/>
          <w:marRight w:val="0"/>
          <w:marTop w:val="0"/>
          <w:marBottom w:val="0"/>
          <w:divBdr>
            <w:top w:val="none" w:sz="0" w:space="0" w:color="auto"/>
            <w:left w:val="none" w:sz="0" w:space="0" w:color="auto"/>
            <w:bottom w:val="none" w:sz="0" w:space="0" w:color="auto"/>
            <w:right w:val="none" w:sz="0" w:space="0" w:color="auto"/>
          </w:divBdr>
          <w:divsChild>
            <w:div w:id="2015108964">
              <w:marLeft w:val="0"/>
              <w:marRight w:val="0"/>
              <w:marTop w:val="0"/>
              <w:marBottom w:val="0"/>
              <w:divBdr>
                <w:top w:val="none" w:sz="0" w:space="0" w:color="auto"/>
                <w:left w:val="none" w:sz="0" w:space="0" w:color="auto"/>
                <w:bottom w:val="none" w:sz="0" w:space="0" w:color="auto"/>
                <w:right w:val="none" w:sz="0" w:space="0" w:color="auto"/>
              </w:divBdr>
              <w:divsChild>
                <w:div w:id="1864855770">
                  <w:marLeft w:val="0"/>
                  <w:marRight w:val="0"/>
                  <w:marTop w:val="0"/>
                  <w:marBottom w:val="0"/>
                  <w:divBdr>
                    <w:top w:val="none" w:sz="0" w:space="0" w:color="auto"/>
                    <w:left w:val="none" w:sz="0" w:space="0" w:color="auto"/>
                    <w:bottom w:val="none" w:sz="0" w:space="0" w:color="auto"/>
                    <w:right w:val="none" w:sz="0" w:space="0" w:color="auto"/>
                  </w:divBdr>
                  <w:divsChild>
                    <w:div w:id="21039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828802">
      <w:bodyDiv w:val="1"/>
      <w:marLeft w:val="0"/>
      <w:marRight w:val="0"/>
      <w:marTop w:val="0"/>
      <w:marBottom w:val="0"/>
      <w:divBdr>
        <w:top w:val="none" w:sz="0" w:space="0" w:color="auto"/>
        <w:left w:val="none" w:sz="0" w:space="0" w:color="auto"/>
        <w:bottom w:val="none" w:sz="0" w:space="0" w:color="auto"/>
        <w:right w:val="none" w:sz="0" w:space="0" w:color="auto"/>
      </w:divBdr>
    </w:div>
    <w:div w:id="1135174878">
      <w:bodyDiv w:val="1"/>
      <w:marLeft w:val="0"/>
      <w:marRight w:val="0"/>
      <w:marTop w:val="0"/>
      <w:marBottom w:val="0"/>
      <w:divBdr>
        <w:top w:val="none" w:sz="0" w:space="0" w:color="auto"/>
        <w:left w:val="none" w:sz="0" w:space="0" w:color="auto"/>
        <w:bottom w:val="none" w:sz="0" w:space="0" w:color="auto"/>
        <w:right w:val="none" w:sz="0" w:space="0" w:color="auto"/>
      </w:divBdr>
    </w:div>
    <w:div w:id="1135567307">
      <w:bodyDiv w:val="1"/>
      <w:marLeft w:val="0"/>
      <w:marRight w:val="0"/>
      <w:marTop w:val="0"/>
      <w:marBottom w:val="0"/>
      <w:divBdr>
        <w:top w:val="none" w:sz="0" w:space="0" w:color="auto"/>
        <w:left w:val="none" w:sz="0" w:space="0" w:color="auto"/>
        <w:bottom w:val="none" w:sz="0" w:space="0" w:color="auto"/>
        <w:right w:val="none" w:sz="0" w:space="0" w:color="auto"/>
      </w:divBdr>
    </w:div>
    <w:div w:id="1136919100">
      <w:bodyDiv w:val="1"/>
      <w:marLeft w:val="0"/>
      <w:marRight w:val="0"/>
      <w:marTop w:val="0"/>
      <w:marBottom w:val="0"/>
      <w:divBdr>
        <w:top w:val="none" w:sz="0" w:space="0" w:color="auto"/>
        <w:left w:val="none" w:sz="0" w:space="0" w:color="auto"/>
        <w:bottom w:val="none" w:sz="0" w:space="0" w:color="auto"/>
        <w:right w:val="none" w:sz="0" w:space="0" w:color="auto"/>
      </w:divBdr>
    </w:div>
    <w:div w:id="1137839951">
      <w:bodyDiv w:val="1"/>
      <w:marLeft w:val="0"/>
      <w:marRight w:val="0"/>
      <w:marTop w:val="0"/>
      <w:marBottom w:val="0"/>
      <w:divBdr>
        <w:top w:val="none" w:sz="0" w:space="0" w:color="auto"/>
        <w:left w:val="none" w:sz="0" w:space="0" w:color="auto"/>
        <w:bottom w:val="none" w:sz="0" w:space="0" w:color="auto"/>
        <w:right w:val="none" w:sz="0" w:space="0" w:color="auto"/>
      </w:divBdr>
      <w:divsChild>
        <w:div w:id="584538203">
          <w:marLeft w:val="0"/>
          <w:marRight w:val="0"/>
          <w:marTop w:val="0"/>
          <w:marBottom w:val="0"/>
          <w:divBdr>
            <w:top w:val="none" w:sz="0" w:space="0" w:color="auto"/>
            <w:left w:val="none" w:sz="0" w:space="0" w:color="auto"/>
            <w:bottom w:val="none" w:sz="0" w:space="0" w:color="auto"/>
            <w:right w:val="none" w:sz="0" w:space="0" w:color="auto"/>
          </w:divBdr>
          <w:divsChild>
            <w:div w:id="1979217102">
              <w:marLeft w:val="0"/>
              <w:marRight w:val="0"/>
              <w:marTop w:val="0"/>
              <w:marBottom w:val="0"/>
              <w:divBdr>
                <w:top w:val="none" w:sz="0" w:space="0" w:color="auto"/>
                <w:left w:val="none" w:sz="0" w:space="0" w:color="auto"/>
                <w:bottom w:val="none" w:sz="0" w:space="0" w:color="auto"/>
                <w:right w:val="none" w:sz="0" w:space="0" w:color="auto"/>
              </w:divBdr>
              <w:divsChild>
                <w:div w:id="1314336447">
                  <w:marLeft w:val="0"/>
                  <w:marRight w:val="0"/>
                  <w:marTop w:val="0"/>
                  <w:marBottom w:val="0"/>
                  <w:divBdr>
                    <w:top w:val="none" w:sz="0" w:space="0" w:color="auto"/>
                    <w:left w:val="none" w:sz="0" w:space="0" w:color="auto"/>
                    <w:bottom w:val="none" w:sz="0" w:space="0" w:color="auto"/>
                    <w:right w:val="none" w:sz="0" w:space="0" w:color="auto"/>
                  </w:divBdr>
                  <w:divsChild>
                    <w:div w:id="165217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183200">
      <w:bodyDiv w:val="1"/>
      <w:marLeft w:val="0"/>
      <w:marRight w:val="0"/>
      <w:marTop w:val="0"/>
      <w:marBottom w:val="0"/>
      <w:divBdr>
        <w:top w:val="none" w:sz="0" w:space="0" w:color="auto"/>
        <w:left w:val="none" w:sz="0" w:space="0" w:color="auto"/>
        <w:bottom w:val="none" w:sz="0" w:space="0" w:color="auto"/>
        <w:right w:val="none" w:sz="0" w:space="0" w:color="auto"/>
      </w:divBdr>
    </w:div>
    <w:div w:id="1138255699">
      <w:bodyDiv w:val="1"/>
      <w:marLeft w:val="0"/>
      <w:marRight w:val="0"/>
      <w:marTop w:val="0"/>
      <w:marBottom w:val="0"/>
      <w:divBdr>
        <w:top w:val="none" w:sz="0" w:space="0" w:color="auto"/>
        <w:left w:val="none" w:sz="0" w:space="0" w:color="auto"/>
        <w:bottom w:val="none" w:sz="0" w:space="0" w:color="auto"/>
        <w:right w:val="none" w:sz="0" w:space="0" w:color="auto"/>
      </w:divBdr>
    </w:div>
    <w:div w:id="1138374000">
      <w:bodyDiv w:val="1"/>
      <w:marLeft w:val="0"/>
      <w:marRight w:val="0"/>
      <w:marTop w:val="0"/>
      <w:marBottom w:val="0"/>
      <w:divBdr>
        <w:top w:val="none" w:sz="0" w:space="0" w:color="auto"/>
        <w:left w:val="none" w:sz="0" w:space="0" w:color="auto"/>
        <w:bottom w:val="none" w:sz="0" w:space="0" w:color="auto"/>
        <w:right w:val="none" w:sz="0" w:space="0" w:color="auto"/>
      </w:divBdr>
    </w:div>
    <w:div w:id="1138572786">
      <w:bodyDiv w:val="1"/>
      <w:marLeft w:val="0"/>
      <w:marRight w:val="0"/>
      <w:marTop w:val="0"/>
      <w:marBottom w:val="0"/>
      <w:divBdr>
        <w:top w:val="none" w:sz="0" w:space="0" w:color="auto"/>
        <w:left w:val="none" w:sz="0" w:space="0" w:color="auto"/>
        <w:bottom w:val="none" w:sz="0" w:space="0" w:color="auto"/>
        <w:right w:val="none" w:sz="0" w:space="0" w:color="auto"/>
      </w:divBdr>
    </w:div>
    <w:div w:id="1138690280">
      <w:bodyDiv w:val="1"/>
      <w:marLeft w:val="0"/>
      <w:marRight w:val="0"/>
      <w:marTop w:val="0"/>
      <w:marBottom w:val="0"/>
      <w:divBdr>
        <w:top w:val="none" w:sz="0" w:space="0" w:color="auto"/>
        <w:left w:val="none" w:sz="0" w:space="0" w:color="auto"/>
        <w:bottom w:val="none" w:sz="0" w:space="0" w:color="auto"/>
        <w:right w:val="none" w:sz="0" w:space="0" w:color="auto"/>
      </w:divBdr>
      <w:divsChild>
        <w:div w:id="869994996">
          <w:marLeft w:val="0"/>
          <w:marRight w:val="0"/>
          <w:marTop w:val="0"/>
          <w:marBottom w:val="0"/>
          <w:divBdr>
            <w:top w:val="none" w:sz="0" w:space="0" w:color="auto"/>
            <w:left w:val="none" w:sz="0" w:space="0" w:color="auto"/>
            <w:bottom w:val="none" w:sz="0" w:space="0" w:color="auto"/>
            <w:right w:val="none" w:sz="0" w:space="0" w:color="auto"/>
          </w:divBdr>
          <w:divsChild>
            <w:div w:id="1839274234">
              <w:marLeft w:val="0"/>
              <w:marRight w:val="0"/>
              <w:marTop w:val="0"/>
              <w:marBottom w:val="0"/>
              <w:divBdr>
                <w:top w:val="none" w:sz="0" w:space="0" w:color="auto"/>
                <w:left w:val="none" w:sz="0" w:space="0" w:color="auto"/>
                <w:bottom w:val="none" w:sz="0" w:space="0" w:color="auto"/>
                <w:right w:val="none" w:sz="0" w:space="0" w:color="auto"/>
              </w:divBdr>
              <w:divsChild>
                <w:div w:id="2942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614622">
      <w:bodyDiv w:val="1"/>
      <w:marLeft w:val="0"/>
      <w:marRight w:val="0"/>
      <w:marTop w:val="0"/>
      <w:marBottom w:val="0"/>
      <w:divBdr>
        <w:top w:val="none" w:sz="0" w:space="0" w:color="auto"/>
        <w:left w:val="none" w:sz="0" w:space="0" w:color="auto"/>
        <w:bottom w:val="none" w:sz="0" w:space="0" w:color="auto"/>
        <w:right w:val="none" w:sz="0" w:space="0" w:color="auto"/>
      </w:divBdr>
      <w:divsChild>
        <w:div w:id="1863013197">
          <w:marLeft w:val="0"/>
          <w:marRight w:val="0"/>
          <w:marTop w:val="0"/>
          <w:marBottom w:val="0"/>
          <w:divBdr>
            <w:top w:val="none" w:sz="0" w:space="0" w:color="auto"/>
            <w:left w:val="none" w:sz="0" w:space="0" w:color="auto"/>
            <w:bottom w:val="none" w:sz="0" w:space="0" w:color="auto"/>
            <w:right w:val="none" w:sz="0" w:space="0" w:color="auto"/>
          </w:divBdr>
          <w:divsChild>
            <w:div w:id="1099718414">
              <w:marLeft w:val="0"/>
              <w:marRight w:val="0"/>
              <w:marTop w:val="0"/>
              <w:marBottom w:val="0"/>
              <w:divBdr>
                <w:top w:val="none" w:sz="0" w:space="0" w:color="auto"/>
                <w:left w:val="none" w:sz="0" w:space="0" w:color="auto"/>
                <w:bottom w:val="none" w:sz="0" w:space="0" w:color="auto"/>
                <w:right w:val="none" w:sz="0" w:space="0" w:color="auto"/>
              </w:divBdr>
              <w:divsChild>
                <w:div w:id="1557858306">
                  <w:marLeft w:val="0"/>
                  <w:marRight w:val="0"/>
                  <w:marTop w:val="0"/>
                  <w:marBottom w:val="0"/>
                  <w:divBdr>
                    <w:top w:val="none" w:sz="0" w:space="0" w:color="auto"/>
                    <w:left w:val="none" w:sz="0" w:space="0" w:color="auto"/>
                    <w:bottom w:val="none" w:sz="0" w:space="0" w:color="auto"/>
                    <w:right w:val="none" w:sz="0" w:space="0" w:color="auto"/>
                  </w:divBdr>
                </w:div>
              </w:divsChild>
            </w:div>
            <w:div w:id="1894149256">
              <w:marLeft w:val="0"/>
              <w:marRight w:val="0"/>
              <w:marTop w:val="0"/>
              <w:marBottom w:val="0"/>
              <w:divBdr>
                <w:top w:val="none" w:sz="0" w:space="0" w:color="auto"/>
                <w:left w:val="none" w:sz="0" w:space="0" w:color="auto"/>
                <w:bottom w:val="none" w:sz="0" w:space="0" w:color="auto"/>
                <w:right w:val="none" w:sz="0" w:space="0" w:color="auto"/>
              </w:divBdr>
              <w:divsChild>
                <w:div w:id="1361123960">
                  <w:marLeft w:val="0"/>
                  <w:marRight w:val="0"/>
                  <w:marTop w:val="0"/>
                  <w:marBottom w:val="0"/>
                  <w:divBdr>
                    <w:top w:val="none" w:sz="0" w:space="0" w:color="auto"/>
                    <w:left w:val="none" w:sz="0" w:space="0" w:color="auto"/>
                    <w:bottom w:val="none" w:sz="0" w:space="0" w:color="auto"/>
                    <w:right w:val="none" w:sz="0" w:space="0" w:color="auto"/>
                  </w:divBdr>
                </w:div>
              </w:divsChild>
            </w:div>
            <w:div w:id="1972247793">
              <w:marLeft w:val="0"/>
              <w:marRight w:val="0"/>
              <w:marTop w:val="0"/>
              <w:marBottom w:val="0"/>
              <w:divBdr>
                <w:top w:val="none" w:sz="0" w:space="0" w:color="auto"/>
                <w:left w:val="none" w:sz="0" w:space="0" w:color="auto"/>
                <w:bottom w:val="none" w:sz="0" w:space="0" w:color="auto"/>
                <w:right w:val="none" w:sz="0" w:space="0" w:color="auto"/>
              </w:divBdr>
              <w:divsChild>
                <w:div w:id="214296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538761">
      <w:bodyDiv w:val="1"/>
      <w:marLeft w:val="0"/>
      <w:marRight w:val="0"/>
      <w:marTop w:val="0"/>
      <w:marBottom w:val="0"/>
      <w:divBdr>
        <w:top w:val="none" w:sz="0" w:space="0" w:color="auto"/>
        <w:left w:val="none" w:sz="0" w:space="0" w:color="auto"/>
        <w:bottom w:val="none" w:sz="0" w:space="0" w:color="auto"/>
        <w:right w:val="none" w:sz="0" w:space="0" w:color="auto"/>
      </w:divBdr>
    </w:div>
    <w:div w:id="1140656660">
      <w:bodyDiv w:val="1"/>
      <w:marLeft w:val="0"/>
      <w:marRight w:val="0"/>
      <w:marTop w:val="0"/>
      <w:marBottom w:val="0"/>
      <w:divBdr>
        <w:top w:val="none" w:sz="0" w:space="0" w:color="auto"/>
        <w:left w:val="none" w:sz="0" w:space="0" w:color="auto"/>
        <w:bottom w:val="none" w:sz="0" w:space="0" w:color="auto"/>
        <w:right w:val="none" w:sz="0" w:space="0" w:color="auto"/>
      </w:divBdr>
    </w:div>
    <w:div w:id="1141114479">
      <w:bodyDiv w:val="1"/>
      <w:marLeft w:val="0"/>
      <w:marRight w:val="0"/>
      <w:marTop w:val="0"/>
      <w:marBottom w:val="0"/>
      <w:divBdr>
        <w:top w:val="none" w:sz="0" w:space="0" w:color="auto"/>
        <w:left w:val="none" w:sz="0" w:space="0" w:color="auto"/>
        <w:bottom w:val="none" w:sz="0" w:space="0" w:color="auto"/>
        <w:right w:val="none" w:sz="0" w:space="0" w:color="auto"/>
      </w:divBdr>
      <w:divsChild>
        <w:div w:id="89400121">
          <w:marLeft w:val="0"/>
          <w:marRight w:val="0"/>
          <w:marTop w:val="0"/>
          <w:marBottom w:val="0"/>
          <w:divBdr>
            <w:top w:val="none" w:sz="0" w:space="0" w:color="auto"/>
            <w:left w:val="none" w:sz="0" w:space="0" w:color="auto"/>
            <w:bottom w:val="none" w:sz="0" w:space="0" w:color="auto"/>
            <w:right w:val="none" w:sz="0" w:space="0" w:color="auto"/>
          </w:divBdr>
          <w:divsChild>
            <w:div w:id="1143081945">
              <w:marLeft w:val="0"/>
              <w:marRight w:val="0"/>
              <w:marTop w:val="0"/>
              <w:marBottom w:val="0"/>
              <w:divBdr>
                <w:top w:val="none" w:sz="0" w:space="0" w:color="auto"/>
                <w:left w:val="none" w:sz="0" w:space="0" w:color="auto"/>
                <w:bottom w:val="none" w:sz="0" w:space="0" w:color="auto"/>
                <w:right w:val="none" w:sz="0" w:space="0" w:color="auto"/>
              </w:divBdr>
              <w:divsChild>
                <w:div w:id="1518233896">
                  <w:marLeft w:val="0"/>
                  <w:marRight w:val="0"/>
                  <w:marTop w:val="0"/>
                  <w:marBottom w:val="0"/>
                  <w:divBdr>
                    <w:top w:val="none" w:sz="0" w:space="0" w:color="auto"/>
                    <w:left w:val="none" w:sz="0" w:space="0" w:color="auto"/>
                    <w:bottom w:val="none" w:sz="0" w:space="0" w:color="auto"/>
                    <w:right w:val="none" w:sz="0" w:space="0" w:color="auto"/>
                  </w:divBdr>
                  <w:divsChild>
                    <w:div w:id="123327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036384">
      <w:bodyDiv w:val="1"/>
      <w:marLeft w:val="0"/>
      <w:marRight w:val="0"/>
      <w:marTop w:val="0"/>
      <w:marBottom w:val="0"/>
      <w:divBdr>
        <w:top w:val="none" w:sz="0" w:space="0" w:color="auto"/>
        <w:left w:val="none" w:sz="0" w:space="0" w:color="auto"/>
        <w:bottom w:val="none" w:sz="0" w:space="0" w:color="auto"/>
        <w:right w:val="none" w:sz="0" w:space="0" w:color="auto"/>
      </w:divBdr>
    </w:div>
    <w:div w:id="1142233394">
      <w:bodyDiv w:val="1"/>
      <w:marLeft w:val="0"/>
      <w:marRight w:val="0"/>
      <w:marTop w:val="0"/>
      <w:marBottom w:val="0"/>
      <w:divBdr>
        <w:top w:val="none" w:sz="0" w:space="0" w:color="auto"/>
        <w:left w:val="none" w:sz="0" w:space="0" w:color="auto"/>
        <w:bottom w:val="none" w:sz="0" w:space="0" w:color="auto"/>
        <w:right w:val="none" w:sz="0" w:space="0" w:color="auto"/>
      </w:divBdr>
    </w:div>
    <w:div w:id="1142313840">
      <w:bodyDiv w:val="1"/>
      <w:marLeft w:val="0"/>
      <w:marRight w:val="0"/>
      <w:marTop w:val="0"/>
      <w:marBottom w:val="0"/>
      <w:divBdr>
        <w:top w:val="none" w:sz="0" w:space="0" w:color="auto"/>
        <w:left w:val="none" w:sz="0" w:space="0" w:color="auto"/>
        <w:bottom w:val="none" w:sz="0" w:space="0" w:color="auto"/>
        <w:right w:val="none" w:sz="0" w:space="0" w:color="auto"/>
      </w:divBdr>
    </w:div>
    <w:div w:id="1142621378">
      <w:bodyDiv w:val="1"/>
      <w:marLeft w:val="0"/>
      <w:marRight w:val="0"/>
      <w:marTop w:val="0"/>
      <w:marBottom w:val="0"/>
      <w:divBdr>
        <w:top w:val="none" w:sz="0" w:space="0" w:color="auto"/>
        <w:left w:val="none" w:sz="0" w:space="0" w:color="auto"/>
        <w:bottom w:val="none" w:sz="0" w:space="0" w:color="auto"/>
        <w:right w:val="none" w:sz="0" w:space="0" w:color="auto"/>
      </w:divBdr>
    </w:div>
    <w:div w:id="1142893389">
      <w:bodyDiv w:val="1"/>
      <w:marLeft w:val="0"/>
      <w:marRight w:val="0"/>
      <w:marTop w:val="0"/>
      <w:marBottom w:val="0"/>
      <w:divBdr>
        <w:top w:val="none" w:sz="0" w:space="0" w:color="auto"/>
        <w:left w:val="none" w:sz="0" w:space="0" w:color="auto"/>
        <w:bottom w:val="none" w:sz="0" w:space="0" w:color="auto"/>
        <w:right w:val="none" w:sz="0" w:space="0" w:color="auto"/>
      </w:divBdr>
    </w:div>
    <w:div w:id="1143617121">
      <w:bodyDiv w:val="1"/>
      <w:marLeft w:val="0"/>
      <w:marRight w:val="0"/>
      <w:marTop w:val="0"/>
      <w:marBottom w:val="0"/>
      <w:divBdr>
        <w:top w:val="none" w:sz="0" w:space="0" w:color="auto"/>
        <w:left w:val="none" w:sz="0" w:space="0" w:color="auto"/>
        <w:bottom w:val="none" w:sz="0" w:space="0" w:color="auto"/>
        <w:right w:val="none" w:sz="0" w:space="0" w:color="auto"/>
      </w:divBdr>
    </w:div>
    <w:div w:id="1143736991">
      <w:bodyDiv w:val="1"/>
      <w:marLeft w:val="0"/>
      <w:marRight w:val="0"/>
      <w:marTop w:val="0"/>
      <w:marBottom w:val="0"/>
      <w:divBdr>
        <w:top w:val="none" w:sz="0" w:space="0" w:color="auto"/>
        <w:left w:val="none" w:sz="0" w:space="0" w:color="auto"/>
        <w:bottom w:val="none" w:sz="0" w:space="0" w:color="auto"/>
        <w:right w:val="none" w:sz="0" w:space="0" w:color="auto"/>
      </w:divBdr>
      <w:divsChild>
        <w:div w:id="150683617">
          <w:marLeft w:val="0"/>
          <w:marRight w:val="0"/>
          <w:marTop w:val="0"/>
          <w:marBottom w:val="0"/>
          <w:divBdr>
            <w:top w:val="none" w:sz="0" w:space="0" w:color="auto"/>
            <w:left w:val="none" w:sz="0" w:space="0" w:color="auto"/>
            <w:bottom w:val="none" w:sz="0" w:space="0" w:color="auto"/>
            <w:right w:val="none" w:sz="0" w:space="0" w:color="auto"/>
          </w:divBdr>
          <w:divsChild>
            <w:div w:id="1607150632">
              <w:marLeft w:val="0"/>
              <w:marRight w:val="0"/>
              <w:marTop w:val="0"/>
              <w:marBottom w:val="0"/>
              <w:divBdr>
                <w:top w:val="none" w:sz="0" w:space="0" w:color="auto"/>
                <w:left w:val="none" w:sz="0" w:space="0" w:color="auto"/>
                <w:bottom w:val="none" w:sz="0" w:space="0" w:color="auto"/>
                <w:right w:val="none" w:sz="0" w:space="0" w:color="auto"/>
              </w:divBdr>
              <w:divsChild>
                <w:div w:id="79722737">
                  <w:marLeft w:val="0"/>
                  <w:marRight w:val="0"/>
                  <w:marTop w:val="0"/>
                  <w:marBottom w:val="0"/>
                  <w:divBdr>
                    <w:top w:val="none" w:sz="0" w:space="0" w:color="auto"/>
                    <w:left w:val="none" w:sz="0" w:space="0" w:color="auto"/>
                    <w:bottom w:val="none" w:sz="0" w:space="0" w:color="auto"/>
                    <w:right w:val="none" w:sz="0" w:space="0" w:color="auto"/>
                  </w:divBdr>
                  <w:divsChild>
                    <w:div w:id="180172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963501">
      <w:bodyDiv w:val="1"/>
      <w:marLeft w:val="0"/>
      <w:marRight w:val="0"/>
      <w:marTop w:val="0"/>
      <w:marBottom w:val="0"/>
      <w:divBdr>
        <w:top w:val="none" w:sz="0" w:space="0" w:color="auto"/>
        <w:left w:val="none" w:sz="0" w:space="0" w:color="auto"/>
        <w:bottom w:val="none" w:sz="0" w:space="0" w:color="auto"/>
        <w:right w:val="none" w:sz="0" w:space="0" w:color="auto"/>
      </w:divBdr>
    </w:div>
    <w:div w:id="1144353026">
      <w:bodyDiv w:val="1"/>
      <w:marLeft w:val="0"/>
      <w:marRight w:val="0"/>
      <w:marTop w:val="0"/>
      <w:marBottom w:val="0"/>
      <w:divBdr>
        <w:top w:val="none" w:sz="0" w:space="0" w:color="auto"/>
        <w:left w:val="none" w:sz="0" w:space="0" w:color="auto"/>
        <w:bottom w:val="none" w:sz="0" w:space="0" w:color="auto"/>
        <w:right w:val="none" w:sz="0" w:space="0" w:color="auto"/>
      </w:divBdr>
    </w:div>
    <w:div w:id="1144464855">
      <w:bodyDiv w:val="1"/>
      <w:marLeft w:val="0"/>
      <w:marRight w:val="0"/>
      <w:marTop w:val="0"/>
      <w:marBottom w:val="0"/>
      <w:divBdr>
        <w:top w:val="none" w:sz="0" w:space="0" w:color="auto"/>
        <w:left w:val="none" w:sz="0" w:space="0" w:color="auto"/>
        <w:bottom w:val="none" w:sz="0" w:space="0" w:color="auto"/>
        <w:right w:val="none" w:sz="0" w:space="0" w:color="auto"/>
      </w:divBdr>
    </w:div>
    <w:div w:id="1144927237">
      <w:bodyDiv w:val="1"/>
      <w:marLeft w:val="0"/>
      <w:marRight w:val="0"/>
      <w:marTop w:val="0"/>
      <w:marBottom w:val="0"/>
      <w:divBdr>
        <w:top w:val="none" w:sz="0" w:space="0" w:color="auto"/>
        <w:left w:val="none" w:sz="0" w:space="0" w:color="auto"/>
        <w:bottom w:val="none" w:sz="0" w:space="0" w:color="auto"/>
        <w:right w:val="none" w:sz="0" w:space="0" w:color="auto"/>
      </w:divBdr>
      <w:divsChild>
        <w:div w:id="1332299416">
          <w:marLeft w:val="0"/>
          <w:marRight w:val="0"/>
          <w:marTop w:val="0"/>
          <w:marBottom w:val="0"/>
          <w:divBdr>
            <w:top w:val="none" w:sz="0" w:space="0" w:color="auto"/>
            <w:left w:val="none" w:sz="0" w:space="0" w:color="auto"/>
            <w:bottom w:val="none" w:sz="0" w:space="0" w:color="auto"/>
            <w:right w:val="none" w:sz="0" w:space="0" w:color="auto"/>
          </w:divBdr>
          <w:divsChild>
            <w:div w:id="1849633977">
              <w:marLeft w:val="0"/>
              <w:marRight w:val="0"/>
              <w:marTop w:val="0"/>
              <w:marBottom w:val="0"/>
              <w:divBdr>
                <w:top w:val="none" w:sz="0" w:space="0" w:color="auto"/>
                <w:left w:val="none" w:sz="0" w:space="0" w:color="auto"/>
                <w:bottom w:val="none" w:sz="0" w:space="0" w:color="auto"/>
                <w:right w:val="none" w:sz="0" w:space="0" w:color="auto"/>
              </w:divBdr>
              <w:divsChild>
                <w:div w:id="434516111">
                  <w:marLeft w:val="0"/>
                  <w:marRight w:val="0"/>
                  <w:marTop w:val="0"/>
                  <w:marBottom w:val="0"/>
                  <w:divBdr>
                    <w:top w:val="none" w:sz="0" w:space="0" w:color="auto"/>
                    <w:left w:val="none" w:sz="0" w:space="0" w:color="auto"/>
                    <w:bottom w:val="none" w:sz="0" w:space="0" w:color="auto"/>
                    <w:right w:val="none" w:sz="0" w:space="0" w:color="auto"/>
                  </w:divBdr>
                  <w:divsChild>
                    <w:div w:id="1535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776501">
      <w:bodyDiv w:val="1"/>
      <w:marLeft w:val="0"/>
      <w:marRight w:val="0"/>
      <w:marTop w:val="0"/>
      <w:marBottom w:val="0"/>
      <w:divBdr>
        <w:top w:val="none" w:sz="0" w:space="0" w:color="auto"/>
        <w:left w:val="none" w:sz="0" w:space="0" w:color="auto"/>
        <w:bottom w:val="none" w:sz="0" w:space="0" w:color="auto"/>
        <w:right w:val="none" w:sz="0" w:space="0" w:color="auto"/>
      </w:divBdr>
    </w:div>
    <w:div w:id="1146051253">
      <w:bodyDiv w:val="1"/>
      <w:marLeft w:val="0"/>
      <w:marRight w:val="0"/>
      <w:marTop w:val="0"/>
      <w:marBottom w:val="0"/>
      <w:divBdr>
        <w:top w:val="none" w:sz="0" w:space="0" w:color="auto"/>
        <w:left w:val="none" w:sz="0" w:space="0" w:color="auto"/>
        <w:bottom w:val="none" w:sz="0" w:space="0" w:color="auto"/>
        <w:right w:val="none" w:sz="0" w:space="0" w:color="auto"/>
      </w:divBdr>
    </w:div>
    <w:div w:id="1148086131">
      <w:bodyDiv w:val="1"/>
      <w:marLeft w:val="0"/>
      <w:marRight w:val="0"/>
      <w:marTop w:val="0"/>
      <w:marBottom w:val="0"/>
      <w:divBdr>
        <w:top w:val="none" w:sz="0" w:space="0" w:color="auto"/>
        <w:left w:val="none" w:sz="0" w:space="0" w:color="auto"/>
        <w:bottom w:val="none" w:sz="0" w:space="0" w:color="auto"/>
        <w:right w:val="none" w:sz="0" w:space="0" w:color="auto"/>
      </w:divBdr>
      <w:divsChild>
        <w:div w:id="179242520">
          <w:marLeft w:val="0"/>
          <w:marRight w:val="0"/>
          <w:marTop w:val="0"/>
          <w:marBottom w:val="0"/>
          <w:divBdr>
            <w:top w:val="none" w:sz="0" w:space="0" w:color="auto"/>
            <w:left w:val="none" w:sz="0" w:space="0" w:color="auto"/>
            <w:bottom w:val="none" w:sz="0" w:space="0" w:color="auto"/>
            <w:right w:val="none" w:sz="0" w:space="0" w:color="auto"/>
          </w:divBdr>
          <w:divsChild>
            <w:div w:id="277028996">
              <w:marLeft w:val="0"/>
              <w:marRight w:val="0"/>
              <w:marTop w:val="0"/>
              <w:marBottom w:val="0"/>
              <w:divBdr>
                <w:top w:val="none" w:sz="0" w:space="0" w:color="auto"/>
                <w:left w:val="none" w:sz="0" w:space="0" w:color="auto"/>
                <w:bottom w:val="none" w:sz="0" w:space="0" w:color="auto"/>
                <w:right w:val="none" w:sz="0" w:space="0" w:color="auto"/>
              </w:divBdr>
              <w:divsChild>
                <w:div w:id="59960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446834">
      <w:bodyDiv w:val="1"/>
      <w:marLeft w:val="0"/>
      <w:marRight w:val="0"/>
      <w:marTop w:val="0"/>
      <w:marBottom w:val="0"/>
      <w:divBdr>
        <w:top w:val="none" w:sz="0" w:space="0" w:color="auto"/>
        <w:left w:val="none" w:sz="0" w:space="0" w:color="auto"/>
        <w:bottom w:val="none" w:sz="0" w:space="0" w:color="auto"/>
        <w:right w:val="none" w:sz="0" w:space="0" w:color="auto"/>
      </w:divBdr>
    </w:div>
    <w:div w:id="1150093879">
      <w:bodyDiv w:val="1"/>
      <w:marLeft w:val="0"/>
      <w:marRight w:val="0"/>
      <w:marTop w:val="0"/>
      <w:marBottom w:val="0"/>
      <w:divBdr>
        <w:top w:val="none" w:sz="0" w:space="0" w:color="auto"/>
        <w:left w:val="none" w:sz="0" w:space="0" w:color="auto"/>
        <w:bottom w:val="none" w:sz="0" w:space="0" w:color="auto"/>
        <w:right w:val="none" w:sz="0" w:space="0" w:color="auto"/>
      </w:divBdr>
    </w:div>
    <w:div w:id="1151675763">
      <w:bodyDiv w:val="1"/>
      <w:marLeft w:val="0"/>
      <w:marRight w:val="0"/>
      <w:marTop w:val="0"/>
      <w:marBottom w:val="0"/>
      <w:divBdr>
        <w:top w:val="none" w:sz="0" w:space="0" w:color="auto"/>
        <w:left w:val="none" w:sz="0" w:space="0" w:color="auto"/>
        <w:bottom w:val="none" w:sz="0" w:space="0" w:color="auto"/>
        <w:right w:val="none" w:sz="0" w:space="0" w:color="auto"/>
      </w:divBdr>
    </w:div>
    <w:div w:id="1153369144">
      <w:bodyDiv w:val="1"/>
      <w:marLeft w:val="0"/>
      <w:marRight w:val="0"/>
      <w:marTop w:val="0"/>
      <w:marBottom w:val="0"/>
      <w:divBdr>
        <w:top w:val="none" w:sz="0" w:space="0" w:color="auto"/>
        <w:left w:val="none" w:sz="0" w:space="0" w:color="auto"/>
        <w:bottom w:val="none" w:sz="0" w:space="0" w:color="auto"/>
        <w:right w:val="none" w:sz="0" w:space="0" w:color="auto"/>
      </w:divBdr>
    </w:div>
    <w:div w:id="1153595607">
      <w:bodyDiv w:val="1"/>
      <w:marLeft w:val="0"/>
      <w:marRight w:val="0"/>
      <w:marTop w:val="0"/>
      <w:marBottom w:val="0"/>
      <w:divBdr>
        <w:top w:val="none" w:sz="0" w:space="0" w:color="auto"/>
        <w:left w:val="none" w:sz="0" w:space="0" w:color="auto"/>
        <w:bottom w:val="none" w:sz="0" w:space="0" w:color="auto"/>
        <w:right w:val="none" w:sz="0" w:space="0" w:color="auto"/>
      </w:divBdr>
    </w:div>
    <w:div w:id="1154686522">
      <w:bodyDiv w:val="1"/>
      <w:marLeft w:val="0"/>
      <w:marRight w:val="0"/>
      <w:marTop w:val="0"/>
      <w:marBottom w:val="0"/>
      <w:divBdr>
        <w:top w:val="none" w:sz="0" w:space="0" w:color="auto"/>
        <w:left w:val="none" w:sz="0" w:space="0" w:color="auto"/>
        <w:bottom w:val="none" w:sz="0" w:space="0" w:color="auto"/>
        <w:right w:val="none" w:sz="0" w:space="0" w:color="auto"/>
      </w:divBdr>
      <w:divsChild>
        <w:div w:id="2119064798">
          <w:marLeft w:val="0"/>
          <w:marRight w:val="0"/>
          <w:marTop w:val="0"/>
          <w:marBottom w:val="0"/>
          <w:divBdr>
            <w:top w:val="none" w:sz="0" w:space="0" w:color="auto"/>
            <w:left w:val="none" w:sz="0" w:space="0" w:color="auto"/>
            <w:bottom w:val="none" w:sz="0" w:space="0" w:color="auto"/>
            <w:right w:val="none" w:sz="0" w:space="0" w:color="auto"/>
          </w:divBdr>
          <w:divsChild>
            <w:div w:id="847907300">
              <w:marLeft w:val="0"/>
              <w:marRight w:val="0"/>
              <w:marTop w:val="0"/>
              <w:marBottom w:val="0"/>
              <w:divBdr>
                <w:top w:val="none" w:sz="0" w:space="0" w:color="auto"/>
                <w:left w:val="none" w:sz="0" w:space="0" w:color="auto"/>
                <w:bottom w:val="none" w:sz="0" w:space="0" w:color="auto"/>
                <w:right w:val="none" w:sz="0" w:space="0" w:color="auto"/>
              </w:divBdr>
              <w:divsChild>
                <w:div w:id="780999817">
                  <w:marLeft w:val="0"/>
                  <w:marRight w:val="0"/>
                  <w:marTop w:val="0"/>
                  <w:marBottom w:val="0"/>
                  <w:divBdr>
                    <w:top w:val="none" w:sz="0" w:space="0" w:color="auto"/>
                    <w:left w:val="none" w:sz="0" w:space="0" w:color="auto"/>
                    <w:bottom w:val="none" w:sz="0" w:space="0" w:color="auto"/>
                    <w:right w:val="none" w:sz="0" w:space="0" w:color="auto"/>
                  </w:divBdr>
                  <w:divsChild>
                    <w:div w:id="45286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486832">
      <w:bodyDiv w:val="1"/>
      <w:marLeft w:val="0"/>
      <w:marRight w:val="0"/>
      <w:marTop w:val="0"/>
      <w:marBottom w:val="0"/>
      <w:divBdr>
        <w:top w:val="none" w:sz="0" w:space="0" w:color="auto"/>
        <w:left w:val="none" w:sz="0" w:space="0" w:color="auto"/>
        <w:bottom w:val="none" w:sz="0" w:space="0" w:color="auto"/>
        <w:right w:val="none" w:sz="0" w:space="0" w:color="auto"/>
      </w:divBdr>
      <w:divsChild>
        <w:div w:id="1832062728">
          <w:marLeft w:val="0"/>
          <w:marRight w:val="0"/>
          <w:marTop w:val="0"/>
          <w:marBottom w:val="0"/>
          <w:divBdr>
            <w:top w:val="none" w:sz="0" w:space="0" w:color="auto"/>
            <w:left w:val="none" w:sz="0" w:space="0" w:color="auto"/>
            <w:bottom w:val="none" w:sz="0" w:space="0" w:color="auto"/>
            <w:right w:val="none" w:sz="0" w:space="0" w:color="auto"/>
          </w:divBdr>
          <w:divsChild>
            <w:div w:id="1250505557">
              <w:marLeft w:val="0"/>
              <w:marRight w:val="0"/>
              <w:marTop w:val="0"/>
              <w:marBottom w:val="0"/>
              <w:divBdr>
                <w:top w:val="none" w:sz="0" w:space="0" w:color="auto"/>
                <w:left w:val="none" w:sz="0" w:space="0" w:color="auto"/>
                <w:bottom w:val="none" w:sz="0" w:space="0" w:color="auto"/>
                <w:right w:val="none" w:sz="0" w:space="0" w:color="auto"/>
              </w:divBdr>
              <w:divsChild>
                <w:div w:id="626090226">
                  <w:marLeft w:val="0"/>
                  <w:marRight w:val="0"/>
                  <w:marTop w:val="0"/>
                  <w:marBottom w:val="0"/>
                  <w:divBdr>
                    <w:top w:val="none" w:sz="0" w:space="0" w:color="auto"/>
                    <w:left w:val="none" w:sz="0" w:space="0" w:color="auto"/>
                    <w:bottom w:val="none" w:sz="0" w:space="0" w:color="auto"/>
                    <w:right w:val="none" w:sz="0" w:space="0" w:color="auto"/>
                  </w:divBdr>
                  <w:divsChild>
                    <w:div w:id="183182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682431">
      <w:bodyDiv w:val="1"/>
      <w:marLeft w:val="0"/>
      <w:marRight w:val="0"/>
      <w:marTop w:val="0"/>
      <w:marBottom w:val="0"/>
      <w:divBdr>
        <w:top w:val="none" w:sz="0" w:space="0" w:color="auto"/>
        <w:left w:val="none" w:sz="0" w:space="0" w:color="auto"/>
        <w:bottom w:val="none" w:sz="0" w:space="0" w:color="auto"/>
        <w:right w:val="none" w:sz="0" w:space="0" w:color="auto"/>
      </w:divBdr>
    </w:div>
    <w:div w:id="1156262891">
      <w:bodyDiv w:val="1"/>
      <w:marLeft w:val="0"/>
      <w:marRight w:val="0"/>
      <w:marTop w:val="0"/>
      <w:marBottom w:val="0"/>
      <w:divBdr>
        <w:top w:val="none" w:sz="0" w:space="0" w:color="auto"/>
        <w:left w:val="none" w:sz="0" w:space="0" w:color="auto"/>
        <w:bottom w:val="none" w:sz="0" w:space="0" w:color="auto"/>
        <w:right w:val="none" w:sz="0" w:space="0" w:color="auto"/>
      </w:divBdr>
    </w:div>
    <w:div w:id="1156531081">
      <w:bodyDiv w:val="1"/>
      <w:marLeft w:val="0"/>
      <w:marRight w:val="0"/>
      <w:marTop w:val="0"/>
      <w:marBottom w:val="0"/>
      <w:divBdr>
        <w:top w:val="none" w:sz="0" w:space="0" w:color="auto"/>
        <w:left w:val="none" w:sz="0" w:space="0" w:color="auto"/>
        <w:bottom w:val="none" w:sz="0" w:space="0" w:color="auto"/>
        <w:right w:val="none" w:sz="0" w:space="0" w:color="auto"/>
      </w:divBdr>
    </w:div>
    <w:div w:id="1156916007">
      <w:bodyDiv w:val="1"/>
      <w:marLeft w:val="0"/>
      <w:marRight w:val="0"/>
      <w:marTop w:val="0"/>
      <w:marBottom w:val="0"/>
      <w:divBdr>
        <w:top w:val="none" w:sz="0" w:space="0" w:color="auto"/>
        <w:left w:val="none" w:sz="0" w:space="0" w:color="auto"/>
        <w:bottom w:val="none" w:sz="0" w:space="0" w:color="auto"/>
        <w:right w:val="none" w:sz="0" w:space="0" w:color="auto"/>
      </w:divBdr>
      <w:divsChild>
        <w:div w:id="770509199">
          <w:marLeft w:val="0"/>
          <w:marRight w:val="0"/>
          <w:marTop w:val="0"/>
          <w:marBottom w:val="0"/>
          <w:divBdr>
            <w:top w:val="none" w:sz="0" w:space="0" w:color="auto"/>
            <w:left w:val="none" w:sz="0" w:space="0" w:color="auto"/>
            <w:bottom w:val="none" w:sz="0" w:space="0" w:color="auto"/>
            <w:right w:val="none" w:sz="0" w:space="0" w:color="auto"/>
          </w:divBdr>
          <w:divsChild>
            <w:div w:id="1023095556">
              <w:marLeft w:val="0"/>
              <w:marRight w:val="0"/>
              <w:marTop w:val="0"/>
              <w:marBottom w:val="0"/>
              <w:divBdr>
                <w:top w:val="none" w:sz="0" w:space="0" w:color="auto"/>
                <w:left w:val="none" w:sz="0" w:space="0" w:color="auto"/>
                <w:bottom w:val="none" w:sz="0" w:space="0" w:color="auto"/>
                <w:right w:val="none" w:sz="0" w:space="0" w:color="auto"/>
              </w:divBdr>
              <w:divsChild>
                <w:div w:id="115194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87788">
      <w:bodyDiv w:val="1"/>
      <w:marLeft w:val="0"/>
      <w:marRight w:val="0"/>
      <w:marTop w:val="0"/>
      <w:marBottom w:val="0"/>
      <w:divBdr>
        <w:top w:val="none" w:sz="0" w:space="0" w:color="auto"/>
        <w:left w:val="none" w:sz="0" w:space="0" w:color="auto"/>
        <w:bottom w:val="none" w:sz="0" w:space="0" w:color="auto"/>
        <w:right w:val="none" w:sz="0" w:space="0" w:color="auto"/>
      </w:divBdr>
    </w:div>
    <w:div w:id="1157920513">
      <w:bodyDiv w:val="1"/>
      <w:marLeft w:val="0"/>
      <w:marRight w:val="0"/>
      <w:marTop w:val="0"/>
      <w:marBottom w:val="0"/>
      <w:divBdr>
        <w:top w:val="none" w:sz="0" w:space="0" w:color="auto"/>
        <w:left w:val="none" w:sz="0" w:space="0" w:color="auto"/>
        <w:bottom w:val="none" w:sz="0" w:space="0" w:color="auto"/>
        <w:right w:val="none" w:sz="0" w:space="0" w:color="auto"/>
      </w:divBdr>
    </w:div>
    <w:div w:id="1158035105">
      <w:bodyDiv w:val="1"/>
      <w:marLeft w:val="0"/>
      <w:marRight w:val="0"/>
      <w:marTop w:val="0"/>
      <w:marBottom w:val="0"/>
      <w:divBdr>
        <w:top w:val="none" w:sz="0" w:space="0" w:color="auto"/>
        <w:left w:val="none" w:sz="0" w:space="0" w:color="auto"/>
        <w:bottom w:val="none" w:sz="0" w:space="0" w:color="auto"/>
        <w:right w:val="none" w:sz="0" w:space="0" w:color="auto"/>
      </w:divBdr>
    </w:div>
    <w:div w:id="1158116053">
      <w:bodyDiv w:val="1"/>
      <w:marLeft w:val="0"/>
      <w:marRight w:val="0"/>
      <w:marTop w:val="0"/>
      <w:marBottom w:val="0"/>
      <w:divBdr>
        <w:top w:val="none" w:sz="0" w:space="0" w:color="auto"/>
        <w:left w:val="none" w:sz="0" w:space="0" w:color="auto"/>
        <w:bottom w:val="none" w:sz="0" w:space="0" w:color="auto"/>
        <w:right w:val="none" w:sz="0" w:space="0" w:color="auto"/>
      </w:divBdr>
    </w:div>
    <w:div w:id="1158300406">
      <w:bodyDiv w:val="1"/>
      <w:marLeft w:val="0"/>
      <w:marRight w:val="0"/>
      <w:marTop w:val="0"/>
      <w:marBottom w:val="0"/>
      <w:divBdr>
        <w:top w:val="none" w:sz="0" w:space="0" w:color="auto"/>
        <w:left w:val="none" w:sz="0" w:space="0" w:color="auto"/>
        <w:bottom w:val="none" w:sz="0" w:space="0" w:color="auto"/>
        <w:right w:val="none" w:sz="0" w:space="0" w:color="auto"/>
      </w:divBdr>
      <w:divsChild>
        <w:div w:id="3410663">
          <w:marLeft w:val="0"/>
          <w:marRight w:val="0"/>
          <w:marTop w:val="0"/>
          <w:marBottom w:val="0"/>
          <w:divBdr>
            <w:top w:val="none" w:sz="0" w:space="0" w:color="auto"/>
            <w:left w:val="none" w:sz="0" w:space="0" w:color="auto"/>
            <w:bottom w:val="none" w:sz="0" w:space="0" w:color="auto"/>
            <w:right w:val="none" w:sz="0" w:space="0" w:color="auto"/>
          </w:divBdr>
          <w:divsChild>
            <w:div w:id="1836603989">
              <w:marLeft w:val="0"/>
              <w:marRight w:val="0"/>
              <w:marTop w:val="0"/>
              <w:marBottom w:val="0"/>
              <w:divBdr>
                <w:top w:val="none" w:sz="0" w:space="0" w:color="auto"/>
                <w:left w:val="none" w:sz="0" w:space="0" w:color="auto"/>
                <w:bottom w:val="none" w:sz="0" w:space="0" w:color="auto"/>
                <w:right w:val="none" w:sz="0" w:space="0" w:color="auto"/>
              </w:divBdr>
              <w:divsChild>
                <w:div w:id="71893442">
                  <w:marLeft w:val="0"/>
                  <w:marRight w:val="0"/>
                  <w:marTop w:val="0"/>
                  <w:marBottom w:val="0"/>
                  <w:divBdr>
                    <w:top w:val="none" w:sz="0" w:space="0" w:color="auto"/>
                    <w:left w:val="none" w:sz="0" w:space="0" w:color="auto"/>
                    <w:bottom w:val="none" w:sz="0" w:space="0" w:color="auto"/>
                    <w:right w:val="none" w:sz="0" w:space="0" w:color="auto"/>
                  </w:divBdr>
                  <w:divsChild>
                    <w:div w:id="30142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350940">
      <w:bodyDiv w:val="1"/>
      <w:marLeft w:val="0"/>
      <w:marRight w:val="0"/>
      <w:marTop w:val="0"/>
      <w:marBottom w:val="0"/>
      <w:divBdr>
        <w:top w:val="none" w:sz="0" w:space="0" w:color="auto"/>
        <w:left w:val="none" w:sz="0" w:space="0" w:color="auto"/>
        <w:bottom w:val="none" w:sz="0" w:space="0" w:color="auto"/>
        <w:right w:val="none" w:sz="0" w:space="0" w:color="auto"/>
      </w:divBdr>
      <w:divsChild>
        <w:div w:id="2060129160">
          <w:marLeft w:val="0"/>
          <w:marRight w:val="0"/>
          <w:marTop w:val="0"/>
          <w:marBottom w:val="0"/>
          <w:divBdr>
            <w:top w:val="none" w:sz="0" w:space="0" w:color="auto"/>
            <w:left w:val="none" w:sz="0" w:space="0" w:color="auto"/>
            <w:bottom w:val="none" w:sz="0" w:space="0" w:color="auto"/>
            <w:right w:val="none" w:sz="0" w:space="0" w:color="auto"/>
          </w:divBdr>
          <w:divsChild>
            <w:div w:id="102967949">
              <w:marLeft w:val="0"/>
              <w:marRight w:val="0"/>
              <w:marTop w:val="0"/>
              <w:marBottom w:val="0"/>
              <w:divBdr>
                <w:top w:val="none" w:sz="0" w:space="0" w:color="auto"/>
                <w:left w:val="none" w:sz="0" w:space="0" w:color="auto"/>
                <w:bottom w:val="none" w:sz="0" w:space="0" w:color="auto"/>
                <w:right w:val="none" w:sz="0" w:space="0" w:color="auto"/>
              </w:divBdr>
              <w:divsChild>
                <w:div w:id="1172795160">
                  <w:marLeft w:val="0"/>
                  <w:marRight w:val="0"/>
                  <w:marTop w:val="0"/>
                  <w:marBottom w:val="0"/>
                  <w:divBdr>
                    <w:top w:val="none" w:sz="0" w:space="0" w:color="auto"/>
                    <w:left w:val="none" w:sz="0" w:space="0" w:color="auto"/>
                    <w:bottom w:val="none" w:sz="0" w:space="0" w:color="auto"/>
                    <w:right w:val="none" w:sz="0" w:space="0" w:color="auto"/>
                  </w:divBdr>
                  <w:divsChild>
                    <w:div w:id="200705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849728">
      <w:bodyDiv w:val="1"/>
      <w:marLeft w:val="0"/>
      <w:marRight w:val="0"/>
      <w:marTop w:val="0"/>
      <w:marBottom w:val="0"/>
      <w:divBdr>
        <w:top w:val="none" w:sz="0" w:space="0" w:color="auto"/>
        <w:left w:val="none" w:sz="0" w:space="0" w:color="auto"/>
        <w:bottom w:val="none" w:sz="0" w:space="0" w:color="auto"/>
        <w:right w:val="none" w:sz="0" w:space="0" w:color="auto"/>
      </w:divBdr>
    </w:div>
    <w:div w:id="1161043751">
      <w:bodyDiv w:val="1"/>
      <w:marLeft w:val="0"/>
      <w:marRight w:val="0"/>
      <w:marTop w:val="0"/>
      <w:marBottom w:val="0"/>
      <w:divBdr>
        <w:top w:val="none" w:sz="0" w:space="0" w:color="auto"/>
        <w:left w:val="none" w:sz="0" w:space="0" w:color="auto"/>
        <w:bottom w:val="none" w:sz="0" w:space="0" w:color="auto"/>
        <w:right w:val="none" w:sz="0" w:space="0" w:color="auto"/>
      </w:divBdr>
      <w:divsChild>
        <w:div w:id="1889409808">
          <w:marLeft w:val="0"/>
          <w:marRight w:val="0"/>
          <w:marTop w:val="0"/>
          <w:marBottom w:val="0"/>
          <w:divBdr>
            <w:top w:val="none" w:sz="0" w:space="0" w:color="auto"/>
            <w:left w:val="none" w:sz="0" w:space="0" w:color="auto"/>
            <w:bottom w:val="none" w:sz="0" w:space="0" w:color="auto"/>
            <w:right w:val="none" w:sz="0" w:space="0" w:color="auto"/>
          </w:divBdr>
          <w:divsChild>
            <w:div w:id="1369447722">
              <w:marLeft w:val="0"/>
              <w:marRight w:val="0"/>
              <w:marTop w:val="0"/>
              <w:marBottom w:val="0"/>
              <w:divBdr>
                <w:top w:val="none" w:sz="0" w:space="0" w:color="auto"/>
                <w:left w:val="none" w:sz="0" w:space="0" w:color="auto"/>
                <w:bottom w:val="none" w:sz="0" w:space="0" w:color="auto"/>
                <w:right w:val="none" w:sz="0" w:space="0" w:color="auto"/>
              </w:divBdr>
              <w:divsChild>
                <w:div w:id="1411925419">
                  <w:marLeft w:val="0"/>
                  <w:marRight w:val="0"/>
                  <w:marTop w:val="0"/>
                  <w:marBottom w:val="0"/>
                  <w:divBdr>
                    <w:top w:val="none" w:sz="0" w:space="0" w:color="auto"/>
                    <w:left w:val="none" w:sz="0" w:space="0" w:color="auto"/>
                    <w:bottom w:val="none" w:sz="0" w:space="0" w:color="auto"/>
                    <w:right w:val="none" w:sz="0" w:space="0" w:color="auto"/>
                  </w:divBdr>
                  <w:divsChild>
                    <w:div w:id="163239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459899">
      <w:bodyDiv w:val="1"/>
      <w:marLeft w:val="0"/>
      <w:marRight w:val="0"/>
      <w:marTop w:val="0"/>
      <w:marBottom w:val="0"/>
      <w:divBdr>
        <w:top w:val="none" w:sz="0" w:space="0" w:color="auto"/>
        <w:left w:val="none" w:sz="0" w:space="0" w:color="auto"/>
        <w:bottom w:val="none" w:sz="0" w:space="0" w:color="auto"/>
        <w:right w:val="none" w:sz="0" w:space="0" w:color="auto"/>
      </w:divBdr>
      <w:divsChild>
        <w:div w:id="193160017">
          <w:marLeft w:val="0"/>
          <w:marRight w:val="0"/>
          <w:marTop w:val="0"/>
          <w:marBottom w:val="0"/>
          <w:divBdr>
            <w:top w:val="none" w:sz="0" w:space="0" w:color="auto"/>
            <w:left w:val="none" w:sz="0" w:space="0" w:color="auto"/>
            <w:bottom w:val="none" w:sz="0" w:space="0" w:color="auto"/>
            <w:right w:val="none" w:sz="0" w:space="0" w:color="auto"/>
          </w:divBdr>
          <w:divsChild>
            <w:div w:id="1638872919">
              <w:marLeft w:val="0"/>
              <w:marRight w:val="0"/>
              <w:marTop w:val="0"/>
              <w:marBottom w:val="0"/>
              <w:divBdr>
                <w:top w:val="none" w:sz="0" w:space="0" w:color="auto"/>
                <w:left w:val="none" w:sz="0" w:space="0" w:color="auto"/>
                <w:bottom w:val="none" w:sz="0" w:space="0" w:color="auto"/>
                <w:right w:val="none" w:sz="0" w:space="0" w:color="auto"/>
              </w:divBdr>
              <w:divsChild>
                <w:div w:id="175462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72824">
      <w:bodyDiv w:val="1"/>
      <w:marLeft w:val="0"/>
      <w:marRight w:val="0"/>
      <w:marTop w:val="0"/>
      <w:marBottom w:val="0"/>
      <w:divBdr>
        <w:top w:val="none" w:sz="0" w:space="0" w:color="auto"/>
        <w:left w:val="none" w:sz="0" w:space="0" w:color="auto"/>
        <w:bottom w:val="none" w:sz="0" w:space="0" w:color="auto"/>
        <w:right w:val="none" w:sz="0" w:space="0" w:color="auto"/>
      </w:divBdr>
    </w:div>
    <w:div w:id="1161773223">
      <w:bodyDiv w:val="1"/>
      <w:marLeft w:val="0"/>
      <w:marRight w:val="0"/>
      <w:marTop w:val="0"/>
      <w:marBottom w:val="0"/>
      <w:divBdr>
        <w:top w:val="none" w:sz="0" w:space="0" w:color="auto"/>
        <w:left w:val="none" w:sz="0" w:space="0" w:color="auto"/>
        <w:bottom w:val="none" w:sz="0" w:space="0" w:color="auto"/>
        <w:right w:val="none" w:sz="0" w:space="0" w:color="auto"/>
      </w:divBdr>
    </w:div>
    <w:div w:id="1162160660">
      <w:bodyDiv w:val="1"/>
      <w:marLeft w:val="0"/>
      <w:marRight w:val="0"/>
      <w:marTop w:val="0"/>
      <w:marBottom w:val="0"/>
      <w:divBdr>
        <w:top w:val="none" w:sz="0" w:space="0" w:color="auto"/>
        <w:left w:val="none" w:sz="0" w:space="0" w:color="auto"/>
        <w:bottom w:val="none" w:sz="0" w:space="0" w:color="auto"/>
        <w:right w:val="none" w:sz="0" w:space="0" w:color="auto"/>
      </w:divBdr>
      <w:divsChild>
        <w:div w:id="25253355">
          <w:marLeft w:val="0"/>
          <w:marRight w:val="0"/>
          <w:marTop w:val="0"/>
          <w:marBottom w:val="0"/>
          <w:divBdr>
            <w:top w:val="none" w:sz="0" w:space="0" w:color="auto"/>
            <w:left w:val="none" w:sz="0" w:space="0" w:color="auto"/>
            <w:bottom w:val="none" w:sz="0" w:space="0" w:color="auto"/>
            <w:right w:val="none" w:sz="0" w:space="0" w:color="auto"/>
          </w:divBdr>
          <w:divsChild>
            <w:div w:id="1538662883">
              <w:marLeft w:val="0"/>
              <w:marRight w:val="0"/>
              <w:marTop w:val="0"/>
              <w:marBottom w:val="0"/>
              <w:divBdr>
                <w:top w:val="none" w:sz="0" w:space="0" w:color="auto"/>
                <w:left w:val="none" w:sz="0" w:space="0" w:color="auto"/>
                <w:bottom w:val="none" w:sz="0" w:space="0" w:color="auto"/>
                <w:right w:val="none" w:sz="0" w:space="0" w:color="auto"/>
              </w:divBdr>
              <w:divsChild>
                <w:div w:id="1707100878">
                  <w:marLeft w:val="0"/>
                  <w:marRight w:val="0"/>
                  <w:marTop w:val="0"/>
                  <w:marBottom w:val="0"/>
                  <w:divBdr>
                    <w:top w:val="none" w:sz="0" w:space="0" w:color="auto"/>
                    <w:left w:val="none" w:sz="0" w:space="0" w:color="auto"/>
                    <w:bottom w:val="none" w:sz="0" w:space="0" w:color="auto"/>
                    <w:right w:val="none" w:sz="0" w:space="0" w:color="auto"/>
                  </w:divBdr>
                  <w:divsChild>
                    <w:div w:id="6108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163166">
      <w:bodyDiv w:val="1"/>
      <w:marLeft w:val="0"/>
      <w:marRight w:val="0"/>
      <w:marTop w:val="0"/>
      <w:marBottom w:val="0"/>
      <w:divBdr>
        <w:top w:val="none" w:sz="0" w:space="0" w:color="auto"/>
        <w:left w:val="none" w:sz="0" w:space="0" w:color="auto"/>
        <w:bottom w:val="none" w:sz="0" w:space="0" w:color="auto"/>
        <w:right w:val="none" w:sz="0" w:space="0" w:color="auto"/>
      </w:divBdr>
    </w:div>
    <w:div w:id="1162239731">
      <w:bodyDiv w:val="1"/>
      <w:marLeft w:val="0"/>
      <w:marRight w:val="0"/>
      <w:marTop w:val="0"/>
      <w:marBottom w:val="0"/>
      <w:divBdr>
        <w:top w:val="none" w:sz="0" w:space="0" w:color="auto"/>
        <w:left w:val="none" w:sz="0" w:space="0" w:color="auto"/>
        <w:bottom w:val="none" w:sz="0" w:space="0" w:color="auto"/>
        <w:right w:val="none" w:sz="0" w:space="0" w:color="auto"/>
      </w:divBdr>
    </w:div>
    <w:div w:id="1162968051">
      <w:bodyDiv w:val="1"/>
      <w:marLeft w:val="0"/>
      <w:marRight w:val="0"/>
      <w:marTop w:val="0"/>
      <w:marBottom w:val="0"/>
      <w:divBdr>
        <w:top w:val="none" w:sz="0" w:space="0" w:color="auto"/>
        <w:left w:val="none" w:sz="0" w:space="0" w:color="auto"/>
        <w:bottom w:val="none" w:sz="0" w:space="0" w:color="auto"/>
        <w:right w:val="none" w:sz="0" w:space="0" w:color="auto"/>
      </w:divBdr>
    </w:div>
    <w:div w:id="1163473488">
      <w:bodyDiv w:val="1"/>
      <w:marLeft w:val="0"/>
      <w:marRight w:val="0"/>
      <w:marTop w:val="0"/>
      <w:marBottom w:val="0"/>
      <w:divBdr>
        <w:top w:val="none" w:sz="0" w:space="0" w:color="auto"/>
        <w:left w:val="none" w:sz="0" w:space="0" w:color="auto"/>
        <w:bottom w:val="none" w:sz="0" w:space="0" w:color="auto"/>
        <w:right w:val="none" w:sz="0" w:space="0" w:color="auto"/>
      </w:divBdr>
    </w:div>
    <w:div w:id="1165054887">
      <w:bodyDiv w:val="1"/>
      <w:marLeft w:val="0"/>
      <w:marRight w:val="0"/>
      <w:marTop w:val="0"/>
      <w:marBottom w:val="0"/>
      <w:divBdr>
        <w:top w:val="none" w:sz="0" w:space="0" w:color="auto"/>
        <w:left w:val="none" w:sz="0" w:space="0" w:color="auto"/>
        <w:bottom w:val="none" w:sz="0" w:space="0" w:color="auto"/>
        <w:right w:val="none" w:sz="0" w:space="0" w:color="auto"/>
      </w:divBdr>
    </w:div>
    <w:div w:id="1165248090">
      <w:bodyDiv w:val="1"/>
      <w:marLeft w:val="0"/>
      <w:marRight w:val="0"/>
      <w:marTop w:val="0"/>
      <w:marBottom w:val="0"/>
      <w:divBdr>
        <w:top w:val="none" w:sz="0" w:space="0" w:color="auto"/>
        <w:left w:val="none" w:sz="0" w:space="0" w:color="auto"/>
        <w:bottom w:val="none" w:sz="0" w:space="0" w:color="auto"/>
        <w:right w:val="none" w:sz="0" w:space="0" w:color="auto"/>
      </w:divBdr>
    </w:div>
    <w:div w:id="1165783253">
      <w:bodyDiv w:val="1"/>
      <w:marLeft w:val="0"/>
      <w:marRight w:val="0"/>
      <w:marTop w:val="0"/>
      <w:marBottom w:val="0"/>
      <w:divBdr>
        <w:top w:val="none" w:sz="0" w:space="0" w:color="auto"/>
        <w:left w:val="none" w:sz="0" w:space="0" w:color="auto"/>
        <w:bottom w:val="none" w:sz="0" w:space="0" w:color="auto"/>
        <w:right w:val="none" w:sz="0" w:space="0" w:color="auto"/>
      </w:divBdr>
    </w:div>
    <w:div w:id="1167940561">
      <w:bodyDiv w:val="1"/>
      <w:marLeft w:val="0"/>
      <w:marRight w:val="0"/>
      <w:marTop w:val="0"/>
      <w:marBottom w:val="0"/>
      <w:divBdr>
        <w:top w:val="none" w:sz="0" w:space="0" w:color="auto"/>
        <w:left w:val="none" w:sz="0" w:space="0" w:color="auto"/>
        <w:bottom w:val="none" w:sz="0" w:space="0" w:color="auto"/>
        <w:right w:val="none" w:sz="0" w:space="0" w:color="auto"/>
      </w:divBdr>
    </w:div>
    <w:div w:id="1169322730">
      <w:bodyDiv w:val="1"/>
      <w:marLeft w:val="0"/>
      <w:marRight w:val="0"/>
      <w:marTop w:val="0"/>
      <w:marBottom w:val="0"/>
      <w:divBdr>
        <w:top w:val="none" w:sz="0" w:space="0" w:color="auto"/>
        <w:left w:val="none" w:sz="0" w:space="0" w:color="auto"/>
        <w:bottom w:val="none" w:sz="0" w:space="0" w:color="auto"/>
        <w:right w:val="none" w:sz="0" w:space="0" w:color="auto"/>
      </w:divBdr>
    </w:div>
    <w:div w:id="1169491234">
      <w:bodyDiv w:val="1"/>
      <w:marLeft w:val="0"/>
      <w:marRight w:val="0"/>
      <w:marTop w:val="0"/>
      <w:marBottom w:val="0"/>
      <w:divBdr>
        <w:top w:val="none" w:sz="0" w:space="0" w:color="auto"/>
        <w:left w:val="none" w:sz="0" w:space="0" w:color="auto"/>
        <w:bottom w:val="none" w:sz="0" w:space="0" w:color="auto"/>
        <w:right w:val="none" w:sz="0" w:space="0" w:color="auto"/>
      </w:divBdr>
      <w:divsChild>
        <w:div w:id="649483962">
          <w:marLeft w:val="0"/>
          <w:marRight w:val="0"/>
          <w:marTop w:val="0"/>
          <w:marBottom w:val="0"/>
          <w:divBdr>
            <w:top w:val="none" w:sz="0" w:space="0" w:color="auto"/>
            <w:left w:val="none" w:sz="0" w:space="0" w:color="auto"/>
            <w:bottom w:val="none" w:sz="0" w:space="0" w:color="auto"/>
            <w:right w:val="none" w:sz="0" w:space="0" w:color="auto"/>
          </w:divBdr>
          <w:divsChild>
            <w:div w:id="1232812494">
              <w:marLeft w:val="0"/>
              <w:marRight w:val="0"/>
              <w:marTop w:val="0"/>
              <w:marBottom w:val="0"/>
              <w:divBdr>
                <w:top w:val="none" w:sz="0" w:space="0" w:color="auto"/>
                <w:left w:val="none" w:sz="0" w:space="0" w:color="auto"/>
                <w:bottom w:val="none" w:sz="0" w:space="0" w:color="auto"/>
                <w:right w:val="none" w:sz="0" w:space="0" w:color="auto"/>
              </w:divBdr>
              <w:divsChild>
                <w:div w:id="301663441">
                  <w:marLeft w:val="0"/>
                  <w:marRight w:val="0"/>
                  <w:marTop w:val="0"/>
                  <w:marBottom w:val="0"/>
                  <w:divBdr>
                    <w:top w:val="none" w:sz="0" w:space="0" w:color="auto"/>
                    <w:left w:val="none" w:sz="0" w:space="0" w:color="auto"/>
                    <w:bottom w:val="none" w:sz="0" w:space="0" w:color="auto"/>
                    <w:right w:val="none" w:sz="0" w:space="0" w:color="auto"/>
                  </w:divBdr>
                  <w:divsChild>
                    <w:div w:id="132108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490102">
      <w:bodyDiv w:val="1"/>
      <w:marLeft w:val="0"/>
      <w:marRight w:val="0"/>
      <w:marTop w:val="0"/>
      <w:marBottom w:val="0"/>
      <w:divBdr>
        <w:top w:val="none" w:sz="0" w:space="0" w:color="auto"/>
        <w:left w:val="none" w:sz="0" w:space="0" w:color="auto"/>
        <w:bottom w:val="none" w:sz="0" w:space="0" w:color="auto"/>
        <w:right w:val="none" w:sz="0" w:space="0" w:color="auto"/>
      </w:divBdr>
    </w:div>
    <w:div w:id="1170681646">
      <w:bodyDiv w:val="1"/>
      <w:marLeft w:val="0"/>
      <w:marRight w:val="0"/>
      <w:marTop w:val="0"/>
      <w:marBottom w:val="0"/>
      <w:divBdr>
        <w:top w:val="none" w:sz="0" w:space="0" w:color="auto"/>
        <w:left w:val="none" w:sz="0" w:space="0" w:color="auto"/>
        <w:bottom w:val="none" w:sz="0" w:space="0" w:color="auto"/>
        <w:right w:val="none" w:sz="0" w:space="0" w:color="auto"/>
      </w:divBdr>
    </w:div>
    <w:div w:id="1170945062">
      <w:bodyDiv w:val="1"/>
      <w:marLeft w:val="0"/>
      <w:marRight w:val="0"/>
      <w:marTop w:val="0"/>
      <w:marBottom w:val="0"/>
      <w:divBdr>
        <w:top w:val="none" w:sz="0" w:space="0" w:color="auto"/>
        <w:left w:val="none" w:sz="0" w:space="0" w:color="auto"/>
        <w:bottom w:val="none" w:sz="0" w:space="0" w:color="auto"/>
        <w:right w:val="none" w:sz="0" w:space="0" w:color="auto"/>
      </w:divBdr>
    </w:div>
    <w:div w:id="1171680796">
      <w:bodyDiv w:val="1"/>
      <w:marLeft w:val="0"/>
      <w:marRight w:val="0"/>
      <w:marTop w:val="0"/>
      <w:marBottom w:val="0"/>
      <w:divBdr>
        <w:top w:val="none" w:sz="0" w:space="0" w:color="auto"/>
        <w:left w:val="none" w:sz="0" w:space="0" w:color="auto"/>
        <w:bottom w:val="none" w:sz="0" w:space="0" w:color="auto"/>
        <w:right w:val="none" w:sz="0" w:space="0" w:color="auto"/>
      </w:divBdr>
    </w:div>
    <w:div w:id="1172716108">
      <w:bodyDiv w:val="1"/>
      <w:marLeft w:val="0"/>
      <w:marRight w:val="0"/>
      <w:marTop w:val="0"/>
      <w:marBottom w:val="0"/>
      <w:divBdr>
        <w:top w:val="none" w:sz="0" w:space="0" w:color="auto"/>
        <w:left w:val="none" w:sz="0" w:space="0" w:color="auto"/>
        <w:bottom w:val="none" w:sz="0" w:space="0" w:color="auto"/>
        <w:right w:val="none" w:sz="0" w:space="0" w:color="auto"/>
      </w:divBdr>
    </w:div>
    <w:div w:id="1172767484">
      <w:bodyDiv w:val="1"/>
      <w:marLeft w:val="0"/>
      <w:marRight w:val="0"/>
      <w:marTop w:val="0"/>
      <w:marBottom w:val="0"/>
      <w:divBdr>
        <w:top w:val="none" w:sz="0" w:space="0" w:color="auto"/>
        <w:left w:val="none" w:sz="0" w:space="0" w:color="auto"/>
        <w:bottom w:val="none" w:sz="0" w:space="0" w:color="auto"/>
        <w:right w:val="none" w:sz="0" w:space="0" w:color="auto"/>
      </w:divBdr>
      <w:divsChild>
        <w:div w:id="2030181733">
          <w:marLeft w:val="0"/>
          <w:marRight w:val="0"/>
          <w:marTop w:val="0"/>
          <w:marBottom w:val="0"/>
          <w:divBdr>
            <w:top w:val="none" w:sz="0" w:space="0" w:color="auto"/>
            <w:left w:val="none" w:sz="0" w:space="0" w:color="auto"/>
            <w:bottom w:val="none" w:sz="0" w:space="0" w:color="auto"/>
            <w:right w:val="none" w:sz="0" w:space="0" w:color="auto"/>
          </w:divBdr>
          <w:divsChild>
            <w:div w:id="866143744">
              <w:marLeft w:val="0"/>
              <w:marRight w:val="0"/>
              <w:marTop w:val="0"/>
              <w:marBottom w:val="0"/>
              <w:divBdr>
                <w:top w:val="none" w:sz="0" w:space="0" w:color="auto"/>
                <w:left w:val="none" w:sz="0" w:space="0" w:color="auto"/>
                <w:bottom w:val="none" w:sz="0" w:space="0" w:color="auto"/>
                <w:right w:val="none" w:sz="0" w:space="0" w:color="auto"/>
              </w:divBdr>
              <w:divsChild>
                <w:div w:id="1339842641">
                  <w:marLeft w:val="0"/>
                  <w:marRight w:val="0"/>
                  <w:marTop w:val="0"/>
                  <w:marBottom w:val="0"/>
                  <w:divBdr>
                    <w:top w:val="none" w:sz="0" w:space="0" w:color="auto"/>
                    <w:left w:val="none" w:sz="0" w:space="0" w:color="auto"/>
                    <w:bottom w:val="none" w:sz="0" w:space="0" w:color="auto"/>
                    <w:right w:val="none" w:sz="0" w:space="0" w:color="auto"/>
                  </w:divBdr>
                  <w:divsChild>
                    <w:div w:id="114701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97450">
      <w:bodyDiv w:val="1"/>
      <w:marLeft w:val="0"/>
      <w:marRight w:val="0"/>
      <w:marTop w:val="0"/>
      <w:marBottom w:val="0"/>
      <w:divBdr>
        <w:top w:val="none" w:sz="0" w:space="0" w:color="auto"/>
        <w:left w:val="none" w:sz="0" w:space="0" w:color="auto"/>
        <w:bottom w:val="none" w:sz="0" w:space="0" w:color="auto"/>
        <w:right w:val="none" w:sz="0" w:space="0" w:color="auto"/>
      </w:divBdr>
    </w:div>
    <w:div w:id="1174685062">
      <w:bodyDiv w:val="1"/>
      <w:marLeft w:val="0"/>
      <w:marRight w:val="0"/>
      <w:marTop w:val="0"/>
      <w:marBottom w:val="0"/>
      <w:divBdr>
        <w:top w:val="none" w:sz="0" w:space="0" w:color="auto"/>
        <w:left w:val="none" w:sz="0" w:space="0" w:color="auto"/>
        <w:bottom w:val="none" w:sz="0" w:space="0" w:color="auto"/>
        <w:right w:val="none" w:sz="0" w:space="0" w:color="auto"/>
      </w:divBdr>
      <w:divsChild>
        <w:div w:id="1101603344">
          <w:marLeft w:val="0"/>
          <w:marRight w:val="0"/>
          <w:marTop w:val="0"/>
          <w:marBottom w:val="0"/>
          <w:divBdr>
            <w:top w:val="none" w:sz="0" w:space="0" w:color="auto"/>
            <w:left w:val="none" w:sz="0" w:space="0" w:color="auto"/>
            <w:bottom w:val="none" w:sz="0" w:space="0" w:color="auto"/>
            <w:right w:val="none" w:sz="0" w:space="0" w:color="auto"/>
          </w:divBdr>
          <w:divsChild>
            <w:div w:id="1121529898">
              <w:marLeft w:val="0"/>
              <w:marRight w:val="0"/>
              <w:marTop w:val="0"/>
              <w:marBottom w:val="0"/>
              <w:divBdr>
                <w:top w:val="none" w:sz="0" w:space="0" w:color="auto"/>
                <w:left w:val="none" w:sz="0" w:space="0" w:color="auto"/>
                <w:bottom w:val="none" w:sz="0" w:space="0" w:color="auto"/>
                <w:right w:val="none" w:sz="0" w:space="0" w:color="auto"/>
              </w:divBdr>
              <w:divsChild>
                <w:div w:id="186786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2033">
      <w:bodyDiv w:val="1"/>
      <w:marLeft w:val="0"/>
      <w:marRight w:val="0"/>
      <w:marTop w:val="0"/>
      <w:marBottom w:val="0"/>
      <w:divBdr>
        <w:top w:val="none" w:sz="0" w:space="0" w:color="auto"/>
        <w:left w:val="none" w:sz="0" w:space="0" w:color="auto"/>
        <w:bottom w:val="none" w:sz="0" w:space="0" w:color="auto"/>
        <w:right w:val="none" w:sz="0" w:space="0" w:color="auto"/>
      </w:divBdr>
    </w:div>
    <w:div w:id="1177040248">
      <w:bodyDiv w:val="1"/>
      <w:marLeft w:val="0"/>
      <w:marRight w:val="0"/>
      <w:marTop w:val="0"/>
      <w:marBottom w:val="0"/>
      <w:divBdr>
        <w:top w:val="none" w:sz="0" w:space="0" w:color="auto"/>
        <w:left w:val="none" w:sz="0" w:space="0" w:color="auto"/>
        <w:bottom w:val="none" w:sz="0" w:space="0" w:color="auto"/>
        <w:right w:val="none" w:sz="0" w:space="0" w:color="auto"/>
      </w:divBdr>
    </w:div>
    <w:div w:id="1177576379">
      <w:bodyDiv w:val="1"/>
      <w:marLeft w:val="0"/>
      <w:marRight w:val="0"/>
      <w:marTop w:val="0"/>
      <w:marBottom w:val="0"/>
      <w:divBdr>
        <w:top w:val="none" w:sz="0" w:space="0" w:color="auto"/>
        <w:left w:val="none" w:sz="0" w:space="0" w:color="auto"/>
        <w:bottom w:val="none" w:sz="0" w:space="0" w:color="auto"/>
        <w:right w:val="none" w:sz="0" w:space="0" w:color="auto"/>
      </w:divBdr>
    </w:div>
    <w:div w:id="1178542435">
      <w:bodyDiv w:val="1"/>
      <w:marLeft w:val="0"/>
      <w:marRight w:val="0"/>
      <w:marTop w:val="0"/>
      <w:marBottom w:val="0"/>
      <w:divBdr>
        <w:top w:val="none" w:sz="0" w:space="0" w:color="auto"/>
        <w:left w:val="none" w:sz="0" w:space="0" w:color="auto"/>
        <w:bottom w:val="none" w:sz="0" w:space="0" w:color="auto"/>
        <w:right w:val="none" w:sz="0" w:space="0" w:color="auto"/>
      </w:divBdr>
    </w:div>
    <w:div w:id="1179077453">
      <w:bodyDiv w:val="1"/>
      <w:marLeft w:val="0"/>
      <w:marRight w:val="0"/>
      <w:marTop w:val="0"/>
      <w:marBottom w:val="0"/>
      <w:divBdr>
        <w:top w:val="none" w:sz="0" w:space="0" w:color="auto"/>
        <w:left w:val="none" w:sz="0" w:space="0" w:color="auto"/>
        <w:bottom w:val="none" w:sz="0" w:space="0" w:color="auto"/>
        <w:right w:val="none" w:sz="0" w:space="0" w:color="auto"/>
      </w:divBdr>
    </w:div>
    <w:div w:id="1179346274">
      <w:bodyDiv w:val="1"/>
      <w:marLeft w:val="0"/>
      <w:marRight w:val="0"/>
      <w:marTop w:val="0"/>
      <w:marBottom w:val="0"/>
      <w:divBdr>
        <w:top w:val="none" w:sz="0" w:space="0" w:color="auto"/>
        <w:left w:val="none" w:sz="0" w:space="0" w:color="auto"/>
        <w:bottom w:val="none" w:sz="0" w:space="0" w:color="auto"/>
        <w:right w:val="none" w:sz="0" w:space="0" w:color="auto"/>
      </w:divBdr>
    </w:div>
    <w:div w:id="1180123019">
      <w:bodyDiv w:val="1"/>
      <w:marLeft w:val="0"/>
      <w:marRight w:val="0"/>
      <w:marTop w:val="0"/>
      <w:marBottom w:val="0"/>
      <w:divBdr>
        <w:top w:val="none" w:sz="0" w:space="0" w:color="auto"/>
        <w:left w:val="none" w:sz="0" w:space="0" w:color="auto"/>
        <w:bottom w:val="none" w:sz="0" w:space="0" w:color="auto"/>
        <w:right w:val="none" w:sz="0" w:space="0" w:color="auto"/>
      </w:divBdr>
    </w:div>
    <w:div w:id="1181048000">
      <w:bodyDiv w:val="1"/>
      <w:marLeft w:val="0"/>
      <w:marRight w:val="0"/>
      <w:marTop w:val="0"/>
      <w:marBottom w:val="0"/>
      <w:divBdr>
        <w:top w:val="none" w:sz="0" w:space="0" w:color="auto"/>
        <w:left w:val="none" w:sz="0" w:space="0" w:color="auto"/>
        <w:bottom w:val="none" w:sz="0" w:space="0" w:color="auto"/>
        <w:right w:val="none" w:sz="0" w:space="0" w:color="auto"/>
      </w:divBdr>
    </w:div>
    <w:div w:id="1182014361">
      <w:bodyDiv w:val="1"/>
      <w:marLeft w:val="0"/>
      <w:marRight w:val="0"/>
      <w:marTop w:val="0"/>
      <w:marBottom w:val="0"/>
      <w:divBdr>
        <w:top w:val="none" w:sz="0" w:space="0" w:color="auto"/>
        <w:left w:val="none" w:sz="0" w:space="0" w:color="auto"/>
        <w:bottom w:val="none" w:sz="0" w:space="0" w:color="auto"/>
        <w:right w:val="none" w:sz="0" w:space="0" w:color="auto"/>
      </w:divBdr>
    </w:div>
    <w:div w:id="1183087014">
      <w:bodyDiv w:val="1"/>
      <w:marLeft w:val="0"/>
      <w:marRight w:val="0"/>
      <w:marTop w:val="0"/>
      <w:marBottom w:val="0"/>
      <w:divBdr>
        <w:top w:val="none" w:sz="0" w:space="0" w:color="auto"/>
        <w:left w:val="none" w:sz="0" w:space="0" w:color="auto"/>
        <w:bottom w:val="none" w:sz="0" w:space="0" w:color="auto"/>
        <w:right w:val="none" w:sz="0" w:space="0" w:color="auto"/>
      </w:divBdr>
      <w:divsChild>
        <w:div w:id="247735237">
          <w:marLeft w:val="0"/>
          <w:marRight w:val="0"/>
          <w:marTop w:val="0"/>
          <w:marBottom w:val="0"/>
          <w:divBdr>
            <w:top w:val="none" w:sz="0" w:space="0" w:color="auto"/>
            <w:left w:val="none" w:sz="0" w:space="0" w:color="auto"/>
            <w:bottom w:val="none" w:sz="0" w:space="0" w:color="auto"/>
            <w:right w:val="none" w:sz="0" w:space="0" w:color="auto"/>
          </w:divBdr>
          <w:divsChild>
            <w:div w:id="1469319616">
              <w:marLeft w:val="0"/>
              <w:marRight w:val="0"/>
              <w:marTop w:val="0"/>
              <w:marBottom w:val="0"/>
              <w:divBdr>
                <w:top w:val="none" w:sz="0" w:space="0" w:color="auto"/>
                <w:left w:val="none" w:sz="0" w:space="0" w:color="auto"/>
                <w:bottom w:val="none" w:sz="0" w:space="0" w:color="auto"/>
                <w:right w:val="none" w:sz="0" w:space="0" w:color="auto"/>
              </w:divBdr>
              <w:divsChild>
                <w:div w:id="365329395">
                  <w:marLeft w:val="0"/>
                  <w:marRight w:val="0"/>
                  <w:marTop w:val="0"/>
                  <w:marBottom w:val="0"/>
                  <w:divBdr>
                    <w:top w:val="none" w:sz="0" w:space="0" w:color="auto"/>
                    <w:left w:val="none" w:sz="0" w:space="0" w:color="auto"/>
                    <w:bottom w:val="none" w:sz="0" w:space="0" w:color="auto"/>
                    <w:right w:val="none" w:sz="0" w:space="0" w:color="auto"/>
                  </w:divBdr>
                  <w:divsChild>
                    <w:div w:id="105107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825445">
      <w:bodyDiv w:val="1"/>
      <w:marLeft w:val="0"/>
      <w:marRight w:val="0"/>
      <w:marTop w:val="0"/>
      <w:marBottom w:val="0"/>
      <w:divBdr>
        <w:top w:val="none" w:sz="0" w:space="0" w:color="auto"/>
        <w:left w:val="none" w:sz="0" w:space="0" w:color="auto"/>
        <w:bottom w:val="none" w:sz="0" w:space="0" w:color="auto"/>
        <w:right w:val="none" w:sz="0" w:space="0" w:color="auto"/>
      </w:divBdr>
    </w:div>
    <w:div w:id="1186410620">
      <w:bodyDiv w:val="1"/>
      <w:marLeft w:val="0"/>
      <w:marRight w:val="0"/>
      <w:marTop w:val="0"/>
      <w:marBottom w:val="0"/>
      <w:divBdr>
        <w:top w:val="none" w:sz="0" w:space="0" w:color="auto"/>
        <w:left w:val="none" w:sz="0" w:space="0" w:color="auto"/>
        <w:bottom w:val="none" w:sz="0" w:space="0" w:color="auto"/>
        <w:right w:val="none" w:sz="0" w:space="0" w:color="auto"/>
      </w:divBdr>
    </w:div>
    <w:div w:id="1186752350">
      <w:bodyDiv w:val="1"/>
      <w:marLeft w:val="0"/>
      <w:marRight w:val="0"/>
      <w:marTop w:val="0"/>
      <w:marBottom w:val="0"/>
      <w:divBdr>
        <w:top w:val="none" w:sz="0" w:space="0" w:color="auto"/>
        <w:left w:val="none" w:sz="0" w:space="0" w:color="auto"/>
        <w:bottom w:val="none" w:sz="0" w:space="0" w:color="auto"/>
        <w:right w:val="none" w:sz="0" w:space="0" w:color="auto"/>
      </w:divBdr>
    </w:div>
    <w:div w:id="1187405753">
      <w:bodyDiv w:val="1"/>
      <w:marLeft w:val="0"/>
      <w:marRight w:val="0"/>
      <w:marTop w:val="0"/>
      <w:marBottom w:val="0"/>
      <w:divBdr>
        <w:top w:val="none" w:sz="0" w:space="0" w:color="auto"/>
        <w:left w:val="none" w:sz="0" w:space="0" w:color="auto"/>
        <w:bottom w:val="none" w:sz="0" w:space="0" w:color="auto"/>
        <w:right w:val="none" w:sz="0" w:space="0" w:color="auto"/>
      </w:divBdr>
    </w:div>
    <w:div w:id="1187597680">
      <w:bodyDiv w:val="1"/>
      <w:marLeft w:val="0"/>
      <w:marRight w:val="0"/>
      <w:marTop w:val="0"/>
      <w:marBottom w:val="0"/>
      <w:divBdr>
        <w:top w:val="none" w:sz="0" w:space="0" w:color="auto"/>
        <w:left w:val="none" w:sz="0" w:space="0" w:color="auto"/>
        <w:bottom w:val="none" w:sz="0" w:space="0" w:color="auto"/>
        <w:right w:val="none" w:sz="0" w:space="0" w:color="auto"/>
      </w:divBdr>
    </w:div>
    <w:div w:id="1187602169">
      <w:bodyDiv w:val="1"/>
      <w:marLeft w:val="0"/>
      <w:marRight w:val="0"/>
      <w:marTop w:val="0"/>
      <w:marBottom w:val="0"/>
      <w:divBdr>
        <w:top w:val="none" w:sz="0" w:space="0" w:color="auto"/>
        <w:left w:val="none" w:sz="0" w:space="0" w:color="auto"/>
        <w:bottom w:val="none" w:sz="0" w:space="0" w:color="auto"/>
        <w:right w:val="none" w:sz="0" w:space="0" w:color="auto"/>
      </w:divBdr>
    </w:div>
    <w:div w:id="1189873409">
      <w:bodyDiv w:val="1"/>
      <w:marLeft w:val="0"/>
      <w:marRight w:val="0"/>
      <w:marTop w:val="0"/>
      <w:marBottom w:val="0"/>
      <w:divBdr>
        <w:top w:val="none" w:sz="0" w:space="0" w:color="auto"/>
        <w:left w:val="none" w:sz="0" w:space="0" w:color="auto"/>
        <w:bottom w:val="none" w:sz="0" w:space="0" w:color="auto"/>
        <w:right w:val="none" w:sz="0" w:space="0" w:color="auto"/>
      </w:divBdr>
    </w:div>
    <w:div w:id="1190295985">
      <w:bodyDiv w:val="1"/>
      <w:marLeft w:val="0"/>
      <w:marRight w:val="0"/>
      <w:marTop w:val="0"/>
      <w:marBottom w:val="0"/>
      <w:divBdr>
        <w:top w:val="none" w:sz="0" w:space="0" w:color="auto"/>
        <w:left w:val="none" w:sz="0" w:space="0" w:color="auto"/>
        <w:bottom w:val="none" w:sz="0" w:space="0" w:color="auto"/>
        <w:right w:val="none" w:sz="0" w:space="0" w:color="auto"/>
      </w:divBdr>
    </w:div>
    <w:div w:id="1192300168">
      <w:bodyDiv w:val="1"/>
      <w:marLeft w:val="0"/>
      <w:marRight w:val="0"/>
      <w:marTop w:val="0"/>
      <w:marBottom w:val="0"/>
      <w:divBdr>
        <w:top w:val="none" w:sz="0" w:space="0" w:color="auto"/>
        <w:left w:val="none" w:sz="0" w:space="0" w:color="auto"/>
        <w:bottom w:val="none" w:sz="0" w:space="0" w:color="auto"/>
        <w:right w:val="none" w:sz="0" w:space="0" w:color="auto"/>
      </w:divBdr>
    </w:div>
    <w:div w:id="1192457319">
      <w:bodyDiv w:val="1"/>
      <w:marLeft w:val="0"/>
      <w:marRight w:val="0"/>
      <w:marTop w:val="0"/>
      <w:marBottom w:val="0"/>
      <w:divBdr>
        <w:top w:val="none" w:sz="0" w:space="0" w:color="auto"/>
        <w:left w:val="none" w:sz="0" w:space="0" w:color="auto"/>
        <w:bottom w:val="none" w:sz="0" w:space="0" w:color="auto"/>
        <w:right w:val="none" w:sz="0" w:space="0" w:color="auto"/>
      </w:divBdr>
    </w:div>
    <w:div w:id="1192572808">
      <w:bodyDiv w:val="1"/>
      <w:marLeft w:val="0"/>
      <w:marRight w:val="0"/>
      <w:marTop w:val="0"/>
      <w:marBottom w:val="0"/>
      <w:divBdr>
        <w:top w:val="none" w:sz="0" w:space="0" w:color="auto"/>
        <w:left w:val="none" w:sz="0" w:space="0" w:color="auto"/>
        <w:bottom w:val="none" w:sz="0" w:space="0" w:color="auto"/>
        <w:right w:val="none" w:sz="0" w:space="0" w:color="auto"/>
      </w:divBdr>
    </w:div>
    <w:div w:id="1192911896">
      <w:bodyDiv w:val="1"/>
      <w:marLeft w:val="0"/>
      <w:marRight w:val="0"/>
      <w:marTop w:val="0"/>
      <w:marBottom w:val="0"/>
      <w:divBdr>
        <w:top w:val="none" w:sz="0" w:space="0" w:color="auto"/>
        <w:left w:val="none" w:sz="0" w:space="0" w:color="auto"/>
        <w:bottom w:val="none" w:sz="0" w:space="0" w:color="auto"/>
        <w:right w:val="none" w:sz="0" w:space="0" w:color="auto"/>
      </w:divBdr>
    </w:div>
    <w:div w:id="1193373684">
      <w:bodyDiv w:val="1"/>
      <w:marLeft w:val="0"/>
      <w:marRight w:val="0"/>
      <w:marTop w:val="0"/>
      <w:marBottom w:val="0"/>
      <w:divBdr>
        <w:top w:val="none" w:sz="0" w:space="0" w:color="auto"/>
        <w:left w:val="none" w:sz="0" w:space="0" w:color="auto"/>
        <w:bottom w:val="none" w:sz="0" w:space="0" w:color="auto"/>
        <w:right w:val="none" w:sz="0" w:space="0" w:color="auto"/>
      </w:divBdr>
    </w:div>
    <w:div w:id="1193760954">
      <w:bodyDiv w:val="1"/>
      <w:marLeft w:val="0"/>
      <w:marRight w:val="0"/>
      <w:marTop w:val="0"/>
      <w:marBottom w:val="0"/>
      <w:divBdr>
        <w:top w:val="none" w:sz="0" w:space="0" w:color="auto"/>
        <w:left w:val="none" w:sz="0" w:space="0" w:color="auto"/>
        <w:bottom w:val="none" w:sz="0" w:space="0" w:color="auto"/>
        <w:right w:val="none" w:sz="0" w:space="0" w:color="auto"/>
      </w:divBdr>
    </w:div>
    <w:div w:id="1194877167">
      <w:bodyDiv w:val="1"/>
      <w:marLeft w:val="0"/>
      <w:marRight w:val="0"/>
      <w:marTop w:val="0"/>
      <w:marBottom w:val="0"/>
      <w:divBdr>
        <w:top w:val="none" w:sz="0" w:space="0" w:color="auto"/>
        <w:left w:val="none" w:sz="0" w:space="0" w:color="auto"/>
        <w:bottom w:val="none" w:sz="0" w:space="0" w:color="auto"/>
        <w:right w:val="none" w:sz="0" w:space="0" w:color="auto"/>
      </w:divBdr>
    </w:div>
    <w:div w:id="1194994894">
      <w:bodyDiv w:val="1"/>
      <w:marLeft w:val="0"/>
      <w:marRight w:val="0"/>
      <w:marTop w:val="0"/>
      <w:marBottom w:val="0"/>
      <w:divBdr>
        <w:top w:val="none" w:sz="0" w:space="0" w:color="auto"/>
        <w:left w:val="none" w:sz="0" w:space="0" w:color="auto"/>
        <w:bottom w:val="none" w:sz="0" w:space="0" w:color="auto"/>
        <w:right w:val="none" w:sz="0" w:space="0" w:color="auto"/>
      </w:divBdr>
    </w:div>
    <w:div w:id="1195077548">
      <w:bodyDiv w:val="1"/>
      <w:marLeft w:val="0"/>
      <w:marRight w:val="0"/>
      <w:marTop w:val="0"/>
      <w:marBottom w:val="0"/>
      <w:divBdr>
        <w:top w:val="none" w:sz="0" w:space="0" w:color="auto"/>
        <w:left w:val="none" w:sz="0" w:space="0" w:color="auto"/>
        <w:bottom w:val="none" w:sz="0" w:space="0" w:color="auto"/>
        <w:right w:val="none" w:sz="0" w:space="0" w:color="auto"/>
      </w:divBdr>
    </w:div>
    <w:div w:id="1196043414">
      <w:bodyDiv w:val="1"/>
      <w:marLeft w:val="0"/>
      <w:marRight w:val="0"/>
      <w:marTop w:val="0"/>
      <w:marBottom w:val="0"/>
      <w:divBdr>
        <w:top w:val="none" w:sz="0" w:space="0" w:color="auto"/>
        <w:left w:val="none" w:sz="0" w:space="0" w:color="auto"/>
        <w:bottom w:val="none" w:sz="0" w:space="0" w:color="auto"/>
        <w:right w:val="none" w:sz="0" w:space="0" w:color="auto"/>
      </w:divBdr>
    </w:div>
    <w:div w:id="1196115739">
      <w:bodyDiv w:val="1"/>
      <w:marLeft w:val="0"/>
      <w:marRight w:val="0"/>
      <w:marTop w:val="0"/>
      <w:marBottom w:val="0"/>
      <w:divBdr>
        <w:top w:val="none" w:sz="0" w:space="0" w:color="auto"/>
        <w:left w:val="none" w:sz="0" w:space="0" w:color="auto"/>
        <w:bottom w:val="none" w:sz="0" w:space="0" w:color="auto"/>
        <w:right w:val="none" w:sz="0" w:space="0" w:color="auto"/>
      </w:divBdr>
      <w:divsChild>
        <w:div w:id="1621498520">
          <w:marLeft w:val="0"/>
          <w:marRight w:val="0"/>
          <w:marTop w:val="0"/>
          <w:marBottom w:val="0"/>
          <w:divBdr>
            <w:top w:val="none" w:sz="0" w:space="0" w:color="auto"/>
            <w:left w:val="none" w:sz="0" w:space="0" w:color="auto"/>
            <w:bottom w:val="none" w:sz="0" w:space="0" w:color="auto"/>
            <w:right w:val="none" w:sz="0" w:space="0" w:color="auto"/>
          </w:divBdr>
          <w:divsChild>
            <w:div w:id="846019047">
              <w:marLeft w:val="0"/>
              <w:marRight w:val="0"/>
              <w:marTop w:val="0"/>
              <w:marBottom w:val="0"/>
              <w:divBdr>
                <w:top w:val="none" w:sz="0" w:space="0" w:color="auto"/>
                <w:left w:val="none" w:sz="0" w:space="0" w:color="auto"/>
                <w:bottom w:val="none" w:sz="0" w:space="0" w:color="auto"/>
                <w:right w:val="none" w:sz="0" w:space="0" w:color="auto"/>
              </w:divBdr>
              <w:divsChild>
                <w:div w:id="610623006">
                  <w:marLeft w:val="0"/>
                  <w:marRight w:val="0"/>
                  <w:marTop w:val="0"/>
                  <w:marBottom w:val="0"/>
                  <w:divBdr>
                    <w:top w:val="none" w:sz="0" w:space="0" w:color="auto"/>
                    <w:left w:val="none" w:sz="0" w:space="0" w:color="auto"/>
                    <w:bottom w:val="none" w:sz="0" w:space="0" w:color="auto"/>
                    <w:right w:val="none" w:sz="0" w:space="0" w:color="auto"/>
                  </w:divBdr>
                  <w:divsChild>
                    <w:div w:id="541675740">
                      <w:marLeft w:val="0"/>
                      <w:marRight w:val="0"/>
                      <w:marTop w:val="0"/>
                      <w:marBottom w:val="0"/>
                      <w:divBdr>
                        <w:top w:val="none" w:sz="0" w:space="0" w:color="auto"/>
                        <w:left w:val="none" w:sz="0" w:space="0" w:color="auto"/>
                        <w:bottom w:val="none" w:sz="0" w:space="0" w:color="auto"/>
                        <w:right w:val="none" w:sz="0" w:space="0" w:color="auto"/>
                      </w:divBdr>
                    </w:div>
                  </w:divsChild>
                </w:div>
                <w:div w:id="1736468488">
                  <w:marLeft w:val="0"/>
                  <w:marRight w:val="0"/>
                  <w:marTop w:val="0"/>
                  <w:marBottom w:val="0"/>
                  <w:divBdr>
                    <w:top w:val="none" w:sz="0" w:space="0" w:color="auto"/>
                    <w:left w:val="none" w:sz="0" w:space="0" w:color="auto"/>
                    <w:bottom w:val="none" w:sz="0" w:space="0" w:color="auto"/>
                    <w:right w:val="none" w:sz="0" w:space="0" w:color="auto"/>
                  </w:divBdr>
                  <w:divsChild>
                    <w:div w:id="1101031974">
                      <w:marLeft w:val="0"/>
                      <w:marRight w:val="0"/>
                      <w:marTop w:val="0"/>
                      <w:marBottom w:val="0"/>
                      <w:divBdr>
                        <w:top w:val="none" w:sz="0" w:space="0" w:color="auto"/>
                        <w:left w:val="none" w:sz="0" w:space="0" w:color="auto"/>
                        <w:bottom w:val="none" w:sz="0" w:space="0" w:color="auto"/>
                        <w:right w:val="none" w:sz="0" w:space="0" w:color="auto"/>
                      </w:divBdr>
                    </w:div>
                  </w:divsChild>
                </w:div>
                <w:div w:id="1828783405">
                  <w:marLeft w:val="0"/>
                  <w:marRight w:val="0"/>
                  <w:marTop w:val="0"/>
                  <w:marBottom w:val="0"/>
                  <w:divBdr>
                    <w:top w:val="none" w:sz="0" w:space="0" w:color="auto"/>
                    <w:left w:val="none" w:sz="0" w:space="0" w:color="auto"/>
                    <w:bottom w:val="none" w:sz="0" w:space="0" w:color="auto"/>
                    <w:right w:val="none" w:sz="0" w:space="0" w:color="auto"/>
                  </w:divBdr>
                  <w:divsChild>
                    <w:div w:id="105331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308865">
      <w:bodyDiv w:val="1"/>
      <w:marLeft w:val="0"/>
      <w:marRight w:val="0"/>
      <w:marTop w:val="0"/>
      <w:marBottom w:val="0"/>
      <w:divBdr>
        <w:top w:val="none" w:sz="0" w:space="0" w:color="auto"/>
        <w:left w:val="none" w:sz="0" w:space="0" w:color="auto"/>
        <w:bottom w:val="none" w:sz="0" w:space="0" w:color="auto"/>
        <w:right w:val="none" w:sz="0" w:space="0" w:color="auto"/>
      </w:divBdr>
    </w:div>
    <w:div w:id="1196700759">
      <w:bodyDiv w:val="1"/>
      <w:marLeft w:val="0"/>
      <w:marRight w:val="0"/>
      <w:marTop w:val="0"/>
      <w:marBottom w:val="0"/>
      <w:divBdr>
        <w:top w:val="none" w:sz="0" w:space="0" w:color="auto"/>
        <w:left w:val="none" w:sz="0" w:space="0" w:color="auto"/>
        <w:bottom w:val="none" w:sz="0" w:space="0" w:color="auto"/>
        <w:right w:val="none" w:sz="0" w:space="0" w:color="auto"/>
      </w:divBdr>
      <w:divsChild>
        <w:div w:id="1166557757">
          <w:marLeft w:val="0"/>
          <w:marRight w:val="0"/>
          <w:marTop w:val="0"/>
          <w:marBottom w:val="0"/>
          <w:divBdr>
            <w:top w:val="none" w:sz="0" w:space="0" w:color="auto"/>
            <w:left w:val="none" w:sz="0" w:space="0" w:color="auto"/>
            <w:bottom w:val="none" w:sz="0" w:space="0" w:color="auto"/>
            <w:right w:val="none" w:sz="0" w:space="0" w:color="auto"/>
          </w:divBdr>
          <w:divsChild>
            <w:div w:id="1943413087">
              <w:marLeft w:val="0"/>
              <w:marRight w:val="0"/>
              <w:marTop w:val="0"/>
              <w:marBottom w:val="0"/>
              <w:divBdr>
                <w:top w:val="none" w:sz="0" w:space="0" w:color="auto"/>
                <w:left w:val="none" w:sz="0" w:space="0" w:color="auto"/>
                <w:bottom w:val="none" w:sz="0" w:space="0" w:color="auto"/>
                <w:right w:val="none" w:sz="0" w:space="0" w:color="auto"/>
              </w:divBdr>
              <w:divsChild>
                <w:div w:id="1050378088">
                  <w:marLeft w:val="0"/>
                  <w:marRight w:val="0"/>
                  <w:marTop w:val="0"/>
                  <w:marBottom w:val="0"/>
                  <w:divBdr>
                    <w:top w:val="none" w:sz="0" w:space="0" w:color="auto"/>
                    <w:left w:val="none" w:sz="0" w:space="0" w:color="auto"/>
                    <w:bottom w:val="none" w:sz="0" w:space="0" w:color="auto"/>
                    <w:right w:val="none" w:sz="0" w:space="0" w:color="auto"/>
                  </w:divBdr>
                  <w:divsChild>
                    <w:div w:id="1687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394014">
      <w:bodyDiv w:val="1"/>
      <w:marLeft w:val="0"/>
      <w:marRight w:val="0"/>
      <w:marTop w:val="0"/>
      <w:marBottom w:val="0"/>
      <w:divBdr>
        <w:top w:val="none" w:sz="0" w:space="0" w:color="auto"/>
        <w:left w:val="none" w:sz="0" w:space="0" w:color="auto"/>
        <w:bottom w:val="none" w:sz="0" w:space="0" w:color="auto"/>
        <w:right w:val="none" w:sz="0" w:space="0" w:color="auto"/>
      </w:divBdr>
      <w:divsChild>
        <w:div w:id="1722556066">
          <w:marLeft w:val="0"/>
          <w:marRight w:val="0"/>
          <w:marTop w:val="0"/>
          <w:marBottom w:val="0"/>
          <w:divBdr>
            <w:top w:val="none" w:sz="0" w:space="0" w:color="auto"/>
            <w:left w:val="none" w:sz="0" w:space="0" w:color="auto"/>
            <w:bottom w:val="none" w:sz="0" w:space="0" w:color="auto"/>
            <w:right w:val="none" w:sz="0" w:space="0" w:color="auto"/>
          </w:divBdr>
          <w:divsChild>
            <w:div w:id="251470823">
              <w:marLeft w:val="0"/>
              <w:marRight w:val="0"/>
              <w:marTop w:val="0"/>
              <w:marBottom w:val="0"/>
              <w:divBdr>
                <w:top w:val="none" w:sz="0" w:space="0" w:color="auto"/>
                <w:left w:val="none" w:sz="0" w:space="0" w:color="auto"/>
                <w:bottom w:val="none" w:sz="0" w:space="0" w:color="auto"/>
                <w:right w:val="none" w:sz="0" w:space="0" w:color="auto"/>
              </w:divBdr>
              <w:divsChild>
                <w:div w:id="474183212">
                  <w:marLeft w:val="0"/>
                  <w:marRight w:val="0"/>
                  <w:marTop w:val="0"/>
                  <w:marBottom w:val="0"/>
                  <w:divBdr>
                    <w:top w:val="none" w:sz="0" w:space="0" w:color="auto"/>
                    <w:left w:val="none" w:sz="0" w:space="0" w:color="auto"/>
                    <w:bottom w:val="none" w:sz="0" w:space="0" w:color="auto"/>
                    <w:right w:val="none" w:sz="0" w:space="0" w:color="auto"/>
                  </w:divBdr>
                  <w:divsChild>
                    <w:div w:id="19236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658371">
      <w:bodyDiv w:val="1"/>
      <w:marLeft w:val="0"/>
      <w:marRight w:val="0"/>
      <w:marTop w:val="0"/>
      <w:marBottom w:val="0"/>
      <w:divBdr>
        <w:top w:val="none" w:sz="0" w:space="0" w:color="auto"/>
        <w:left w:val="none" w:sz="0" w:space="0" w:color="auto"/>
        <w:bottom w:val="none" w:sz="0" w:space="0" w:color="auto"/>
        <w:right w:val="none" w:sz="0" w:space="0" w:color="auto"/>
      </w:divBdr>
    </w:div>
    <w:div w:id="1198662878">
      <w:bodyDiv w:val="1"/>
      <w:marLeft w:val="0"/>
      <w:marRight w:val="0"/>
      <w:marTop w:val="0"/>
      <w:marBottom w:val="0"/>
      <w:divBdr>
        <w:top w:val="none" w:sz="0" w:space="0" w:color="auto"/>
        <w:left w:val="none" w:sz="0" w:space="0" w:color="auto"/>
        <w:bottom w:val="none" w:sz="0" w:space="0" w:color="auto"/>
        <w:right w:val="none" w:sz="0" w:space="0" w:color="auto"/>
      </w:divBdr>
    </w:div>
    <w:div w:id="1201161411">
      <w:bodyDiv w:val="1"/>
      <w:marLeft w:val="0"/>
      <w:marRight w:val="0"/>
      <w:marTop w:val="0"/>
      <w:marBottom w:val="0"/>
      <w:divBdr>
        <w:top w:val="none" w:sz="0" w:space="0" w:color="auto"/>
        <w:left w:val="none" w:sz="0" w:space="0" w:color="auto"/>
        <w:bottom w:val="none" w:sz="0" w:space="0" w:color="auto"/>
        <w:right w:val="none" w:sz="0" w:space="0" w:color="auto"/>
      </w:divBdr>
    </w:div>
    <w:div w:id="1201168042">
      <w:bodyDiv w:val="1"/>
      <w:marLeft w:val="0"/>
      <w:marRight w:val="0"/>
      <w:marTop w:val="0"/>
      <w:marBottom w:val="0"/>
      <w:divBdr>
        <w:top w:val="none" w:sz="0" w:space="0" w:color="auto"/>
        <w:left w:val="none" w:sz="0" w:space="0" w:color="auto"/>
        <w:bottom w:val="none" w:sz="0" w:space="0" w:color="auto"/>
        <w:right w:val="none" w:sz="0" w:space="0" w:color="auto"/>
      </w:divBdr>
    </w:div>
    <w:div w:id="1201288175">
      <w:bodyDiv w:val="1"/>
      <w:marLeft w:val="0"/>
      <w:marRight w:val="0"/>
      <w:marTop w:val="0"/>
      <w:marBottom w:val="0"/>
      <w:divBdr>
        <w:top w:val="none" w:sz="0" w:space="0" w:color="auto"/>
        <w:left w:val="none" w:sz="0" w:space="0" w:color="auto"/>
        <w:bottom w:val="none" w:sz="0" w:space="0" w:color="auto"/>
        <w:right w:val="none" w:sz="0" w:space="0" w:color="auto"/>
      </w:divBdr>
      <w:divsChild>
        <w:div w:id="838547605">
          <w:marLeft w:val="0"/>
          <w:marRight w:val="0"/>
          <w:marTop w:val="0"/>
          <w:marBottom w:val="0"/>
          <w:divBdr>
            <w:top w:val="none" w:sz="0" w:space="0" w:color="auto"/>
            <w:left w:val="none" w:sz="0" w:space="0" w:color="auto"/>
            <w:bottom w:val="none" w:sz="0" w:space="0" w:color="auto"/>
            <w:right w:val="none" w:sz="0" w:space="0" w:color="auto"/>
          </w:divBdr>
          <w:divsChild>
            <w:div w:id="147791402">
              <w:marLeft w:val="0"/>
              <w:marRight w:val="0"/>
              <w:marTop w:val="0"/>
              <w:marBottom w:val="0"/>
              <w:divBdr>
                <w:top w:val="none" w:sz="0" w:space="0" w:color="auto"/>
                <w:left w:val="none" w:sz="0" w:space="0" w:color="auto"/>
                <w:bottom w:val="none" w:sz="0" w:space="0" w:color="auto"/>
                <w:right w:val="none" w:sz="0" w:space="0" w:color="auto"/>
              </w:divBdr>
              <w:divsChild>
                <w:div w:id="2013337215">
                  <w:marLeft w:val="0"/>
                  <w:marRight w:val="0"/>
                  <w:marTop w:val="0"/>
                  <w:marBottom w:val="0"/>
                  <w:divBdr>
                    <w:top w:val="none" w:sz="0" w:space="0" w:color="auto"/>
                    <w:left w:val="none" w:sz="0" w:space="0" w:color="auto"/>
                    <w:bottom w:val="none" w:sz="0" w:space="0" w:color="auto"/>
                    <w:right w:val="none" w:sz="0" w:space="0" w:color="auto"/>
                  </w:divBdr>
                  <w:divsChild>
                    <w:div w:id="14222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013733">
      <w:bodyDiv w:val="1"/>
      <w:marLeft w:val="0"/>
      <w:marRight w:val="0"/>
      <w:marTop w:val="0"/>
      <w:marBottom w:val="0"/>
      <w:divBdr>
        <w:top w:val="none" w:sz="0" w:space="0" w:color="auto"/>
        <w:left w:val="none" w:sz="0" w:space="0" w:color="auto"/>
        <w:bottom w:val="none" w:sz="0" w:space="0" w:color="auto"/>
        <w:right w:val="none" w:sz="0" w:space="0" w:color="auto"/>
      </w:divBdr>
    </w:div>
    <w:div w:id="1204755344">
      <w:bodyDiv w:val="1"/>
      <w:marLeft w:val="0"/>
      <w:marRight w:val="0"/>
      <w:marTop w:val="0"/>
      <w:marBottom w:val="0"/>
      <w:divBdr>
        <w:top w:val="none" w:sz="0" w:space="0" w:color="auto"/>
        <w:left w:val="none" w:sz="0" w:space="0" w:color="auto"/>
        <w:bottom w:val="none" w:sz="0" w:space="0" w:color="auto"/>
        <w:right w:val="none" w:sz="0" w:space="0" w:color="auto"/>
      </w:divBdr>
      <w:divsChild>
        <w:div w:id="1799568143">
          <w:marLeft w:val="0"/>
          <w:marRight w:val="0"/>
          <w:marTop w:val="0"/>
          <w:marBottom w:val="0"/>
          <w:divBdr>
            <w:top w:val="none" w:sz="0" w:space="0" w:color="auto"/>
            <w:left w:val="none" w:sz="0" w:space="0" w:color="auto"/>
            <w:bottom w:val="none" w:sz="0" w:space="0" w:color="auto"/>
            <w:right w:val="none" w:sz="0" w:space="0" w:color="auto"/>
          </w:divBdr>
          <w:divsChild>
            <w:div w:id="1629821740">
              <w:marLeft w:val="0"/>
              <w:marRight w:val="0"/>
              <w:marTop w:val="0"/>
              <w:marBottom w:val="0"/>
              <w:divBdr>
                <w:top w:val="none" w:sz="0" w:space="0" w:color="auto"/>
                <w:left w:val="none" w:sz="0" w:space="0" w:color="auto"/>
                <w:bottom w:val="none" w:sz="0" w:space="0" w:color="auto"/>
                <w:right w:val="none" w:sz="0" w:space="0" w:color="auto"/>
              </w:divBdr>
              <w:divsChild>
                <w:div w:id="20300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949293">
      <w:bodyDiv w:val="1"/>
      <w:marLeft w:val="0"/>
      <w:marRight w:val="0"/>
      <w:marTop w:val="0"/>
      <w:marBottom w:val="0"/>
      <w:divBdr>
        <w:top w:val="none" w:sz="0" w:space="0" w:color="auto"/>
        <w:left w:val="none" w:sz="0" w:space="0" w:color="auto"/>
        <w:bottom w:val="none" w:sz="0" w:space="0" w:color="auto"/>
        <w:right w:val="none" w:sz="0" w:space="0" w:color="auto"/>
      </w:divBdr>
    </w:div>
    <w:div w:id="1205754859">
      <w:bodyDiv w:val="1"/>
      <w:marLeft w:val="0"/>
      <w:marRight w:val="0"/>
      <w:marTop w:val="0"/>
      <w:marBottom w:val="0"/>
      <w:divBdr>
        <w:top w:val="none" w:sz="0" w:space="0" w:color="auto"/>
        <w:left w:val="none" w:sz="0" w:space="0" w:color="auto"/>
        <w:bottom w:val="none" w:sz="0" w:space="0" w:color="auto"/>
        <w:right w:val="none" w:sz="0" w:space="0" w:color="auto"/>
      </w:divBdr>
    </w:div>
    <w:div w:id="1205944278">
      <w:bodyDiv w:val="1"/>
      <w:marLeft w:val="0"/>
      <w:marRight w:val="0"/>
      <w:marTop w:val="0"/>
      <w:marBottom w:val="0"/>
      <w:divBdr>
        <w:top w:val="none" w:sz="0" w:space="0" w:color="auto"/>
        <w:left w:val="none" w:sz="0" w:space="0" w:color="auto"/>
        <w:bottom w:val="none" w:sz="0" w:space="0" w:color="auto"/>
        <w:right w:val="none" w:sz="0" w:space="0" w:color="auto"/>
      </w:divBdr>
      <w:divsChild>
        <w:div w:id="2044818011">
          <w:marLeft w:val="0"/>
          <w:marRight w:val="0"/>
          <w:marTop w:val="0"/>
          <w:marBottom w:val="0"/>
          <w:divBdr>
            <w:top w:val="none" w:sz="0" w:space="0" w:color="auto"/>
            <w:left w:val="none" w:sz="0" w:space="0" w:color="auto"/>
            <w:bottom w:val="none" w:sz="0" w:space="0" w:color="auto"/>
            <w:right w:val="none" w:sz="0" w:space="0" w:color="auto"/>
          </w:divBdr>
          <w:divsChild>
            <w:div w:id="1598249840">
              <w:marLeft w:val="0"/>
              <w:marRight w:val="0"/>
              <w:marTop w:val="0"/>
              <w:marBottom w:val="0"/>
              <w:divBdr>
                <w:top w:val="none" w:sz="0" w:space="0" w:color="auto"/>
                <w:left w:val="none" w:sz="0" w:space="0" w:color="auto"/>
                <w:bottom w:val="none" w:sz="0" w:space="0" w:color="auto"/>
                <w:right w:val="none" w:sz="0" w:space="0" w:color="auto"/>
              </w:divBdr>
              <w:divsChild>
                <w:div w:id="391393609">
                  <w:marLeft w:val="0"/>
                  <w:marRight w:val="0"/>
                  <w:marTop w:val="0"/>
                  <w:marBottom w:val="0"/>
                  <w:divBdr>
                    <w:top w:val="none" w:sz="0" w:space="0" w:color="auto"/>
                    <w:left w:val="none" w:sz="0" w:space="0" w:color="auto"/>
                    <w:bottom w:val="none" w:sz="0" w:space="0" w:color="auto"/>
                    <w:right w:val="none" w:sz="0" w:space="0" w:color="auto"/>
                  </w:divBdr>
                  <w:divsChild>
                    <w:div w:id="207180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109017">
      <w:bodyDiv w:val="1"/>
      <w:marLeft w:val="0"/>
      <w:marRight w:val="0"/>
      <w:marTop w:val="0"/>
      <w:marBottom w:val="0"/>
      <w:divBdr>
        <w:top w:val="none" w:sz="0" w:space="0" w:color="auto"/>
        <w:left w:val="none" w:sz="0" w:space="0" w:color="auto"/>
        <w:bottom w:val="none" w:sz="0" w:space="0" w:color="auto"/>
        <w:right w:val="none" w:sz="0" w:space="0" w:color="auto"/>
      </w:divBdr>
    </w:div>
    <w:div w:id="1207336123">
      <w:bodyDiv w:val="1"/>
      <w:marLeft w:val="0"/>
      <w:marRight w:val="0"/>
      <w:marTop w:val="0"/>
      <w:marBottom w:val="0"/>
      <w:divBdr>
        <w:top w:val="none" w:sz="0" w:space="0" w:color="auto"/>
        <w:left w:val="none" w:sz="0" w:space="0" w:color="auto"/>
        <w:bottom w:val="none" w:sz="0" w:space="0" w:color="auto"/>
        <w:right w:val="none" w:sz="0" w:space="0" w:color="auto"/>
      </w:divBdr>
    </w:div>
    <w:div w:id="1207990891">
      <w:bodyDiv w:val="1"/>
      <w:marLeft w:val="0"/>
      <w:marRight w:val="0"/>
      <w:marTop w:val="0"/>
      <w:marBottom w:val="0"/>
      <w:divBdr>
        <w:top w:val="none" w:sz="0" w:space="0" w:color="auto"/>
        <w:left w:val="none" w:sz="0" w:space="0" w:color="auto"/>
        <w:bottom w:val="none" w:sz="0" w:space="0" w:color="auto"/>
        <w:right w:val="none" w:sz="0" w:space="0" w:color="auto"/>
      </w:divBdr>
    </w:div>
    <w:div w:id="1208906566">
      <w:bodyDiv w:val="1"/>
      <w:marLeft w:val="0"/>
      <w:marRight w:val="0"/>
      <w:marTop w:val="0"/>
      <w:marBottom w:val="0"/>
      <w:divBdr>
        <w:top w:val="none" w:sz="0" w:space="0" w:color="auto"/>
        <w:left w:val="none" w:sz="0" w:space="0" w:color="auto"/>
        <w:bottom w:val="none" w:sz="0" w:space="0" w:color="auto"/>
        <w:right w:val="none" w:sz="0" w:space="0" w:color="auto"/>
      </w:divBdr>
    </w:div>
    <w:div w:id="1209338190">
      <w:bodyDiv w:val="1"/>
      <w:marLeft w:val="0"/>
      <w:marRight w:val="0"/>
      <w:marTop w:val="0"/>
      <w:marBottom w:val="0"/>
      <w:divBdr>
        <w:top w:val="none" w:sz="0" w:space="0" w:color="auto"/>
        <w:left w:val="none" w:sz="0" w:space="0" w:color="auto"/>
        <w:bottom w:val="none" w:sz="0" w:space="0" w:color="auto"/>
        <w:right w:val="none" w:sz="0" w:space="0" w:color="auto"/>
      </w:divBdr>
    </w:div>
    <w:div w:id="1210145759">
      <w:bodyDiv w:val="1"/>
      <w:marLeft w:val="0"/>
      <w:marRight w:val="0"/>
      <w:marTop w:val="0"/>
      <w:marBottom w:val="0"/>
      <w:divBdr>
        <w:top w:val="none" w:sz="0" w:space="0" w:color="auto"/>
        <w:left w:val="none" w:sz="0" w:space="0" w:color="auto"/>
        <w:bottom w:val="none" w:sz="0" w:space="0" w:color="auto"/>
        <w:right w:val="none" w:sz="0" w:space="0" w:color="auto"/>
      </w:divBdr>
    </w:div>
    <w:div w:id="1210415130">
      <w:bodyDiv w:val="1"/>
      <w:marLeft w:val="0"/>
      <w:marRight w:val="0"/>
      <w:marTop w:val="0"/>
      <w:marBottom w:val="0"/>
      <w:divBdr>
        <w:top w:val="none" w:sz="0" w:space="0" w:color="auto"/>
        <w:left w:val="none" w:sz="0" w:space="0" w:color="auto"/>
        <w:bottom w:val="none" w:sz="0" w:space="0" w:color="auto"/>
        <w:right w:val="none" w:sz="0" w:space="0" w:color="auto"/>
      </w:divBdr>
    </w:div>
    <w:div w:id="1210458888">
      <w:bodyDiv w:val="1"/>
      <w:marLeft w:val="0"/>
      <w:marRight w:val="0"/>
      <w:marTop w:val="0"/>
      <w:marBottom w:val="0"/>
      <w:divBdr>
        <w:top w:val="none" w:sz="0" w:space="0" w:color="auto"/>
        <w:left w:val="none" w:sz="0" w:space="0" w:color="auto"/>
        <w:bottom w:val="none" w:sz="0" w:space="0" w:color="auto"/>
        <w:right w:val="none" w:sz="0" w:space="0" w:color="auto"/>
      </w:divBdr>
    </w:div>
    <w:div w:id="1211654594">
      <w:bodyDiv w:val="1"/>
      <w:marLeft w:val="0"/>
      <w:marRight w:val="0"/>
      <w:marTop w:val="0"/>
      <w:marBottom w:val="0"/>
      <w:divBdr>
        <w:top w:val="none" w:sz="0" w:space="0" w:color="auto"/>
        <w:left w:val="none" w:sz="0" w:space="0" w:color="auto"/>
        <w:bottom w:val="none" w:sz="0" w:space="0" w:color="auto"/>
        <w:right w:val="none" w:sz="0" w:space="0" w:color="auto"/>
      </w:divBdr>
      <w:divsChild>
        <w:div w:id="607280617">
          <w:marLeft w:val="0"/>
          <w:marRight w:val="0"/>
          <w:marTop w:val="0"/>
          <w:marBottom w:val="0"/>
          <w:divBdr>
            <w:top w:val="none" w:sz="0" w:space="0" w:color="auto"/>
            <w:left w:val="none" w:sz="0" w:space="0" w:color="auto"/>
            <w:bottom w:val="none" w:sz="0" w:space="0" w:color="auto"/>
            <w:right w:val="none" w:sz="0" w:space="0" w:color="auto"/>
          </w:divBdr>
          <w:divsChild>
            <w:div w:id="948005513">
              <w:marLeft w:val="0"/>
              <w:marRight w:val="0"/>
              <w:marTop w:val="0"/>
              <w:marBottom w:val="0"/>
              <w:divBdr>
                <w:top w:val="none" w:sz="0" w:space="0" w:color="auto"/>
                <w:left w:val="none" w:sz="0" w:space="0" w:color="auto"/>
                <w:bottom w:val="none" w:sz="0" w:space="0" w:color="auto"/>
                <w:right w:val="none" w:sz="0" w:space="0" w:color="auto"/>
              </w:divBdr>
              <w:divsChild>
                <w:div w:id="88540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771885">
      <w:bodyDiv w:val="1"/>
      <w:marLeft w:val="0"/>
      <w:marRight w:val="0"/>
      <w:marTop w:val="0"/>
      <w:marBottom w:val="0"/>
      <w:divBdr>
        <w:top w:val="none" w:sz="0" w:space="0" w:color="auto"/>
        <w:left w:val="none" w:sz="0" w:space="0" w:color="auto"/>
        <w:bottom w:val="none" w:sz="0" w:space="0" w:color="auto"/>
        <w:right w:val="none" w:sz="0" w:space="0" w:color="auto"/>
      </w:divBdr>
      <w:divsChild>
        <w:div w:id="482163308">
          <w:marLeft w:val="0"/>
          <w:marRight w:val="0"/>
          <w:marTop w:val="0"/>
          <w:marBottom w:val="0"/>
          <w:divBdr>
            <w:top w:val="none" w:sz="0" w:space="0" w:color="auto"/>
            <w:left w:val="none" w:sz="0" w:space="0" w:color="auto"/>
            <w:bottom w:val="none" w:sz="0" w:space="0" w:color="auto"/>
            <w:right w:val="none" w:sz="0" w:space="0" w:color="auto"/>
          </w:divBdr>
          <w:divsChild>
            <w:div w:id="1443452691">
              <w:marLeft w:val="0"/>
              <w:marRight w:val="0"/>
              <w:marTop w:val="0"/>
              <w:marBottom w:val="0"/>
              <w:divBdr>
                <w:top w:val="none" w:sz="0" w:space="0" w:color="auto"/>
                <w:left w:val="none" w:sz="0" w:space="0" w:color="auto"/>
                <w:bottom w:val="none" w:sz="0" w:space="0" w:color="auto"/>
                <w:right w:val="none" w:sz="0" w:space="0" w:color="auto"/>
              </w:divBdr>
              <w:divsChild>
                <w:div w:id="1099982213">
                  <w:marLeft w:val="0"/>
                  <w:marRight w:val="0"/>
                  <w:marTop w:val="0"/>
                  <w:marBottom w:val="0"/>
                  <w:divBdr>
                    <w:top w:val="none" w:sz="0" w:space="0" w:color="auto"/>
                    <w:left w:val="none" w:sz="0" w:space="0" w:color="auto"/>
                    <w:bottom w:val="none" w:sz="0" w:space="0" w:color="auto"/>
                    <w:right w:val="none" w:sz="0" w:space="0" w:color="auto"/>
                  </w:divBdr>
                  <w:divsChild>
                    <w:div w:id="16468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09684">
      <w:bodyDiv w:val="1"/>
      <w:marLeft w:val="0"/>
      <w:marRight w:val="0"/>
      <w:marTop w:val="0"/>
      <w:marBottom w:val="0"/>
      <w:divBdr>
        <w:top w:val="none" w:sz="0" w:space="0" w:color="auto"/>
        <w:left w:val="none" w:sz="0" w:space="0" w:color="auto"/>
        <w:bottom w:val="none" w:sz="0" w:space="0" w:color="auto"/>
        <w:right w:val="none" w:sz="0" w:space="0" w:color="auto"/>
      </w:divBdr>
    </w:div>
    <w:div w:id="1215004073">
      <w:bodyDiv w:val="1"/>
      <w:marLeft w:val="0"/>
      <w:marRight w:val="0"/>
      <w:marTop w:val="0"/>
      <w:marBottom w:val="0"/>
      <w:divBdr>
        <w:top w:val="none" w:sz="0" w:space="0" w:color="auto"/>
        <w:left w:val="none" w:sz="0" w:space="0" w:color="auto"/>
        <w:bottom w:val="none" w:sz="0" w:space="0" w:color="auto"/>
        <w:right w:val="none" w:sz="0" w:space="0" w:color="auto"/>
      </w:divBdr>
    </w:div>
    <w:div w:id="1215043738">
      <w:bodyDiv w:val="1"/>
      <w:marLeft w:val="0"/>
      <w:marRight w:val="0"/>
      <w:marTop w:val="0"/>
      <w:marBottom w:val="0"/>
      <w:divBdr>
        <w:top w:val="none" w:sz="0" w:space="0" w:color="auto"/>
        <w:left w:val="none" w:sz="0" w:space="0" w:color="auto"/>
        <w:bottom w:val="none" w:sz="0" w:space="0" w:color="auto"/>
        <w:right w:val="none" w:sz="0" w:space="0" w:color="auto"/>
      </w:divBdr>
    </w:div>
    <w:div w:id="1216117207">
      <w:bodyDiv w:val="1"/>
      <w:marLeft w:val="0"/>
      <w:marRight w:val="0"/>
      <w:marTop w:val="0"/>
      <w:marBottom w:val="0"/>
      <w:divBdr>
        <w:top w:val="none" w:sz="0" w:space="0" w:color="auto"/>
        <w:left w:val="none" w:sz="0" w:space="0" w:color="auto"/>
        <w:bottom w:val="none" w:sz="0" w:space="0" w:color="auto"/>
        <w:right w:val="none" w:sz="0" w:space="0" w:color="auto"/>
      </w:divBdr>
      <w:divsChild>
        <w:div w:id="1941447421">
          <w:marLeft w:val="0"/>
          <w:marRight w:val="0"/>
          <w:marTop w:val="0"/>
          <w:marBottom w:val="0"/>
          <w:divBdr>
            <w:top w:val="none" w:sz="0" w:space="0" w:color="auto"/>
            <w:left w:val="none" w:sz="0" w:space="0" w:color="auto"/>
            <w:bottom w:val="none" w:sz="0" w:space="0" w:color="auto"/>
            <w:right w:val="none" w:sz="0" w:space="0" w:color="auto"/>
          </w:divBdr>
          <w:divsChild>
            <w:div w:id="1522628379">
              <w:marLeft w:val="0"/>
              <w:marRight w:val="0"/>
              <w:marTop w:val="0"/>
              <w:marBottom w:val="0"/>
              <w:divBdr>
                <w:top w:val="none" w:sz="0" w:space="0" w:color="auto"/>
                <w:left w:val="none" w:sz="0" w:space="0" w:color="auto"/>
                <w:bottom w:val="none" w:sz="0" w:space="0" w:color="auto"/>
                <w:right w:val="none" w:sz="0" w:space="0" w:color="auto"/>
              </w:divBdr>
              <w:divsChild>
                <w:div w:id="350187350">
                  <w:marLeft w:val="0"/>
                  <w:marRight w:val="0"/>
                  <w:marTop w:val="0"/>
                  <w:marBottom w:val="0"/>
                  <w:divBdr>
                    <w:top w:val="none" w:sz="0" w:space="0" w:color="auto"/>
                    <w:left w:val="none" w:sz="0" w:space="0" w:color="auto"/>
                    <w:bottom w:val="none" w:sz="0" w:space="0" w:color="auto"/>
                    <w:right w:val="none" w:sz="0" w:space="0" w:color="auto"/>
                  </w:divBdr>
                  <w:divsChild>
                    <w:div w:id="334580505">
                      <w:marLeft w:val="0"/>
                      <w:marRight w:val="0"/>
                      <w:marTop w:val="0"/>
                      <w:marBottom w:val="0"/>
                      <w:divBdr>
                        <w:top w:val="none" w:sz="0" w:space="0" w:color="auto"/>
                        <w:left w:val="none" w:sz="0" w:space="0" w:color="auto"/>
                        <w:bottom w:val="none" w:sz="0" w:space="0" w:color="auto"/>
                        <w:right w:val="none" w:sz="0" w:space="0" w:color="auto"/>
                      </w:divBdr>
                    </w:div>
                  </w:divsChild>
                </w:div>
                <w:div w:id="458228639">
                  <w:marLeft w:val="0"/>
                  <w:marRight w:val="0"/>
                  <w:marTop w:val="0"/>
                  <w:marBottom w:val="0"/>
                  <w:divBdr>
                    <w:top w:val="none" w:sz="0" w:space="0" w:color="auto"/>
                    <w:left w:val="none" w:sz="0" w:space="0" w:color="auto"/>
                    <w:bottom w:val="none" w:sz="0" w:space="0" w:color="auto"/>
                    <w:right w:val="none" w:sz="0" w:space="0" w:color="auto"/>
                  </w:divBdr>
                  <w:divsChild>
                    <w:div w:id="636570530">
                      <w:marLeft w:val="0"/>
                      <w:marRight w:val="0"/>
                      <w:marTop w:val="0"/>
                      <w:marBottom w:val="0"/>
                      <w:divBdr>
                        <w:top w:val="none" w:sz="0" w:space="0" w:color="auto"/>
                        <w:left w:val="none" w:sz="0" w:space="0" w:color="auto"/>
                        <w:bottom w:val="none" w:sz="0" w:space="0" w:color="auto"/>
                        <w:right w:val="none" w:sz="0" w:space="0" w:color="auto"/>
                      </w:divBdr>
                    </w:div>
                  </w:divsChild>
                </w:div>
                <w:div w:id="1491023272">
                  <w:marLeft w:val="0"/>
                  <w:marRight w:val="0"/>
                  <w:marTop w:val="0"/>
                  <w:marBottom w:val="0"/>
                  <w:divBdr>
                    <w:top w:val="none" w:sz="0" w:space="0" w:color="auto"/>
                    <w:left w:val="none" w:sz="0" w:space="0" w:color="auto"/>
                    <w:bottom w:val="none" w:sz="0" w:space="0" w:color="auto"/>
                    <w:right w:val="none" w:sz="0" w:space="0" w:color="auto"/>
                  </w:divBdr>
                  <w:divsChild>
                    <w:div w:id="199047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12465">
      <w:bodyDiv w:val="1"/>
      <w:marLeft w:val="0"/>
      <w:marRight w:val="0"/>
      <w:marTop w:val="0"/>
      <w:marBottom w:val="0"/>
      <w:divBdr>
        <w:top w:val="none" w:sz="0" w:space="0" w:color="auto"/>
        <w:left w:val="none" w:sz="0" w:space="0" w:color="auto"/>
        <w:bottom w:val="none" w:sz="0" w:space="0" w:color="auto"/>
        <w:right w:val="none" w:sz="0" w:space="0" w:color="auto"/>
      </w:divBdr>
    </w:div>
    <w:div w:id="1216503426">
      <w:bodyDiv w:val="1"/>
      <w:marLeft w:val="0"/>
      <w:marRight w:val="0"/>
      <w:marTop w:val="0"/>
      <w:marBottom w:val="0"/>
      <w:divBdr>
        <w:top w:val="none" w:sz="0" w:space="0" w:color="auto"/>
        <w:left w:val="none" w:sz="0" w:space="0" w:color="auto"/>
        <w:bottom w:val="none" w:sz="0" w:space="0" w:color="auto"/>
        <w:right w:val="none" w:sz="0" w:space="0" w:color="auto"/>
      </w:divBdr>
    </w:div>
    <w:div w:id="1216551034">
      <w:bodyDiv w:val="1"/>
      <w:marLeft w:val="0"/>
      <w:marRight w:val="0"/>
      <w:marTop w:val="0"/>
      <w:marBottom w:val="0"/>
      <w:divBdr>
        <w:top w:val="none" w:sz="0" w:space="0" w:color="auto"/>
        <w:left w:val="none" w:sz="0" w:space="0" w:color="auto"/>
        <w:bottom w:val="none" w:sz="0" w:space="0" w:color="auto"/>
        <w:right w:val="none" w:sz="0" w:space="0" w:color="auto"/>
      </w:divBdr>
    </w:div>
    <w:div w:id="1216694121">
      <w:bodyDiv w:val="1"/>
      <w:marLeft w:val="0"/>
      <w:marRight w:val="0"/>
      <w:marTop w:val="0"/>
      <w:marBottom w:val="0"/>
      <w:divBdr>
        <w:top w:val="none" w:sz="0" w:space="0" w:color="auto"/>
        <w:left w:val="none" w:sz="0" w:space="0" w:color="auto"/>
        <w:bottom w:val="none" w:sz="0" w:space="0" w:color="auto"/>
        <w:right w:val="none" w:sz="0" w:space="0" w:color="auto"/>
      </w:divBdr>
    </w:div>
    <w:div w:id="1216821455">
      <w:bodyDiv w:val="1"/>
      <w:marLeft w:val="0"/>
      <w:marRight w:val="0"/>
      <w:marTop w:val="0"/>
      <w:marBottom w:val="0"/>
      <w:divBdr>
        <w:top w:val="none" w:sz="0" w:space="0" w:color="auto"/>
        <w:left w:val="none" w:sz="0" w:space="0" w:color="auto"/>
        <w:bottom w:val="none" w:sz="0" w:space="0" w:color="auto"/>
        <w:right w:val="none" w:sz="0" w:space="0" w:color="auto"/>
      </w:divBdr>
      <w:divsChild>
        <w:div w:id="205260245">
          <w:marLeft w:val="0"/>
          <w:marRight w:val="0"/>
          <w:marTop w:val="0"/>
          <w:marBottom w:val="0"/>
          <w:divBdr>
            <w:top w:val="none" w:sz="0" w:space="0" w:color="auto"/>
            <w:left w:val="none" w:sz="0" w:space="0" w:color="auto"/>
            <w:bottom w:val="none" w:sz="0" w:space="0" w:color="auto"/>
            <w:right w:val="none" w:sz="0" w:space="0" w:color="auto"/>
          </w:divBdr>
          <w:divsChild>
            <w:div w:id="1542280285">
              <w:marLeft w:val="0"/>
              <w:marRight w:val="0"/>
              <w:marTop w:val="0"/>
              <w:marBottom w:val="0"/>
              <w:divBdr>
                <w:top w:val="none" w:sz="0" w:space="0" w:color="auto"/>
                <w:left w:val="none" w:sz="0" w:space="0" w:color="auto"/>
                <w:bottom w:val="none" w:sz="0" w:space="0" w:color="auto"/>
                <w:right w:val="none" w:sz="0" w:space="0" w:color="auto"/>
              </w:divBdr>
              <w:divsChild>
                <w:div w:id="1232471887">
                  <w:marLeft w:val="0"/>
                  <w:marRight w:val="0"/>
                  <w:marTop w:val="0"/>
                  <w:marBottom w:val="0"/>
                  <w:divBdr>
                    <w:top w:val="none" w:sz="0" w:space="0" w:color="auto"/>
                    <w:left w:val="none" w:sz="0" w:space="0" w:color="auto"/>
                    <w:bottom w:val="none" w:sz="0" w:space="0" w:color="auto"/>
                    <w:right w:val="none" w:sz="0" w:space="0" w:color="auto"/>
                  </w:divBdr>
                  <w:divsChild>
                    <w:div w:id="51119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968331">
      <w:bodyDiv w:val="1"/>
      <w:marLeft w:val="0"/>
      <w:marRight w:val="0"/>
      <w:marTop w:val="0"/>
      <w:marBottom w:val="0"/>
      <w:divBdr>
        <w:top w:val="none" w:sz="0" w:space="0" w:color="auto"/>
        <w:left w:val="none" w:sz="0" w:space="0" w:color="auto"/>
        <w:bottom w:val="none" w:sz="0" w:space="0" w:color="auto"/>
        <w:right w:val="none" w:sz="0" w:space="0" w:color="auto"/>
      </w:divBdr>
    </w:div>
    <w:div w:id="1217164858">
      <w:bodyDiv w:val="1"/>
      <w:marLeft w:val="0"/>
      <w:marRight w:val="0"/>
      <w:marTop w:val="0"/>
      <w:marBottom w:val="0"/>
      <w:divBdr>
        <w:top w:val="none" w:sz="0" w:space="0" w:color="auto"/>
        <w:left w:val="none" w:sz="0" w:space="0" w:color="auto"/>
        <w:bottom w:val="none" w:sz="0" w:space="0" w:color="auto"/>
        <w:right w:val="none" w:sz="0" w:space="0" w:color="auto"/>
      </w:divBdr>
    </w:div>
    <w:div w:id="1218395393">
      <w:bodyDiv w:val="1"/>
      <w:marLeft w:val="0"/>
      <w:marRight w:val="0"/>
      <w:marTop w:val="0"/>
      <w:marBottom w:val="0"/>
      <w:divBdr>
        <w:top w:val="none" w:sz="0" w:space="0" w:color="auto"/>
        <w:left w:val="none" w:sz="0" w:space="0" w:color="auto"/>
        <w:bottom w:val="none" w:sz="0" w:space="0" w:color="auto"/>
        <w:right w:val="none" w:sz="0" w:space="0" w:color="auto"/>
      </w:divBdr>
    </w:div>
    <w:div w:id="1218663092">
      <w:bodyDiv w:val="1"/>
      <w:marLeft w:val="0"/>
      <w:marRight w:val="0"/>
      <w:marTop w:val="0"/>
      <w:marBottom w:val="0"/>
      <w:divBdr>
        <w:top w:val="none" w:sz="0" w:space="0" w:color="auto"/>
        <w:left w:val="none" w:sz="0" w:space="0" w:color="auto"/>
        <w:bottom w:val="none" w:sz="0" w:space="0" w:color="auto"/>
        <w:right w:val="none" w:sz="0" w:space="0" w:color="auto"/>
      </w:divBdr>
    </w:div>
    <w:div w:id="1219781859">
      <w:bodyDiv w:val="1"/>
      <w:marLeft w:val="0"/>
      <w:marRight w:val="0"/>
      <w:marTop w:val="0"/>
      <w:marBottom w:val="0"/>
      <w:divBdr>
        <w:top w:val="none" w:sz="0" w:space="0" w:color="auto"/>
        <w:left w:val="none" w:sz="0" w:space="0" w:color="auto"/>
        <w:bottom w:val="none" w:sz="0" w:space="0" w:color="auto"/>
        <w:right w:val="none" w:sz="0" w:space="0" w:color="auto"/>
      </w:divBdr>
    </w:div>
    <w:div w:id="1219828140">
      <w:bodyDiv w:val="1"/>
      <w:marLeft w:val="0"/>
      <w:marRight w:val="0"/>
      <w:marTop w:val="0"/>
      <w:marBottom w:val="0"/>
      <w:divBdr>
        <w:top w:val="none" w:sz="0" w:space="0" w:color="auto"/>
        <w:left w:val="none" w:sz="0" w:space="0" w:color="auto"/>
        <w:bottom w:val="none" w:sz="0" w:space="0" w:color="auto"/>
        <w:right w:val="none" w:sz="0" w:space="0" w:color="auto"/>
      </w:divBdr>
    </w:div>
    <w:div w:id="1221020844">
      <w:bodyDiv w:val="1"/>
      <w:marLeft w:val="0"/>
      <w:marRight w:val="0"/>
      <w:marTop w:val="0"/>
      <w:marBottom w:val="0"/>
      <w:divBdr>
        <w:top w:val="none" w:sz="0" w:space="0" w:color="auto"/>
        <w:left w:val="none" w:sz="0" w:space="0" w:color="auto"/>
        <w:bottom w:val="none" w:sz="0" w:space="0" w:color="auto"/>
        <w:right w:val="none" w:sz="0" w:space="0" w:color="auto"/>
      </w:divBdr>
    </w:div>
    <w:div w:id="1221163248">
      <w:bodyDiv w:val="1"/>
      <w:marLeft w:val="0"/>
      <w:marRight w:val="0"/>
      <w:marTop w:val="0"/>
      <w:marBottom w:val="0"/>
      <w:divBdr>
        <w:top w:val="none" w:sz="0" w:space="0" w:color="auto"/>
        <w:left w:val="none" w:sz="0" w:space="0" w:color="auto"/>
        <w:bottom w:val="none" w:sz="0" w:space="0" w:color="auto"/>
        <w:right w:val="none" w:sz="0" w:space="0" w:color="auto"/>
      </w:divBdr>
    </w:div>
    <w:div w:id="1221525993">
      <w:bodyDiv w:val="1"/>
      <w:marLeft w:val="0"/>
      <w:marRight w:val="0"/>
      <w:marTop w:val="0"/>
      <w:marBottom w:val="0"/>
      <w:divBdr>
        <w:top w:val="none" w:sz="0" w:space="0" w:color="auto"/>
        <w:left w:val="none" w:sz="0" w:space="0" w:color="auto"/>
        <w:bottom w:val="none" w:sz="0" w:space="0" w:color="auto"/>
        <w:right w:val="none" w:sz="0" w:space="0" w:color="auto"/>
      </w:divBdr>
    </w:div>
    <w:div w:id="1221601580">
      <w:bodyDiv w:val="1"/>
      <w:marLeft w:val="0"/>
      <w:marRight w:val="0"/>
      <w:marTop w:val="0"/>
      <w:marBottom w:val="0"/>
      <w:divBdr>
        <w:top w:val="none" w:sz="0" w:space="0" w:color="auto"/>
        <w:left w:val="none" w:sz="0" w:space="0" w:color="auto"/>
        <w:bottom w:val="none" w:sz="0" w:space="0" w:color="auto"/>
        <w:right w:val="none" w:sz="0" w:space="0" w:color="auto"/>
      </w:divBdr>
      <w:divsChild>
        <w:div w:id="60443528">
          <w:marLeft w:val="0"/>
          <w:marRight w:val="0"/>
          <w:marTop w:val="0"/>
          <w:marBottom w:val="0"/>
          <w:divBdr>
            <w:top w:val="none" w:sz="0" w:space="0" w:color="auto"/>
            <w:left w:val="none" w:sz="0" w:space="0" w:color="auto"/>
            <w:bottom w:val="none" w:sz="0" w:space="0" w:color="auto"/>
            <w:right w:val="none" w:sz="0" w:space="0" w:color="auto"/>
          </w:divBdr>
          <w:divsChild>
            <w:div w:id="456918483">
              <w:marLeft w:val="0"/>
              <w:marRight w:val="0"/>
              <w:marTop w:val="0"/>
              <w:marBottom w:val="0"/>
              <w:divBdr>
                <w:top w:val="none" w:sz="0" w:space="0" w:color="auto"/>
                <w:left w:val="none" w:sz="0" w:space="0" w:color="auto"/>
                <w:bottom w:val="none" w:sz="0" w:space="0" w:color="auto"/>
                <w:right w:val="none" w:sz="0" w:space="0" w:color="auto"/>
              </w:divBdr>
              <w:divsChild>
                <w:div w:id="869031006">
                  <w:marLeft w:val="0"/>
                  <w:marRight w:val="0"/>
                  <w:marTop w:val="0"/>
                  <w:marBottom w:val="0"/>
                  <w:divBdr>
                    <w:top w:val="none" w:sz="0" w:space="0" w:color="auto"/>
                    <w:left w:val="none" w:sz="0" w:space="0" w:color="auto"/>
                    <w:bottom w:val="none" w:sz="0" w:space="0" w:color="auto"/>
                    <w:right w:val="none" w:sz="0" w:space="0" w:color="auto"/>
                  </w:divBdr>
                  <w:divsChild>
                    <w:div w:id="17696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49357">
      <w:bodyDiv w:val="1"/>
      <w:marLeft w:val="0"/>
      <w:marRight w:val="0"/>
      <w:marTop w:val="0"/>
      <w:marBottom w:val="0"/>
      <w:divBdr>
        <w:top w:val="none" w:sz="0" w:space="0" w:color="auto"/>
        <w:left w:val="none" w:sz="0" w:space="0" w:color="auto"/>
        <w:bottom w:val="none" w:sz="0" w:space="0" w:color="auto"/>
        <w:right w:val="none" w:sz="0" w:space="0" w:color="auto"/>
      </w:divBdr>
      <w:divsChild>
        <w:div w:id="1329937734">
          <w:marLeft w:val="0"/>
          <w:marRight w:val="0"/>
          <w:marTop w:val="0"/>
          <w:marBottom w:val="0"/>
          <w:divBdr>
            <w:top w:val="none" w:sz="0" w:space="0" w:color="auto"/>
            <w:left w:val="none" w:sz="0" w:space="0" w:color="auto"/>
            <w:bottom w:val="none" w:sz="0" w:space="0" w:color="auto"/>
            <w:right w:val="none" w:sz="0" w:space="0" w:color="auto"/>
          </w:divBdr>
          <w:divsChild>
            <w:div w:id="894655606">
              <w:marLeft w:val="0"/>
              <w:marRight w:val="0"/>
              <w:marTop w:val="0"/>
              <w:marBottom w:val="0"/>
              <w:divBdr>
                <w:top w:val="none" w:sz="0" w:space="0" w:color="auto"/>
                <w:left w:val="none" w:sz="0" w:space="0" w:color="auto"/>
                <w:bottom w:val="none" w:sz="0" w:space="0" w:color="auto"/>
                <w:right w:val="none" w:sz="0" w:space="0" w:color="auto"/>
              </w:divBdr>
              <w:divsChild>
                <w:div w:id="7897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180976">
      <w:bodyDiv w:val="1"/>
      <w:marLeft w:val="0"/>
      <w:marRight w:val="0"/>
      <w:marTop w:val="0"/>
      <w:marBottom w:val="0"/>
      <w:divBdr>
        <w:top w:val="none" w:sz="0" w:space="0" w:color="auto"/>
        <w:left w:val="none" w:sz="0" w:space="0" w:color="auto"/>
        <w:bottom w:val="none" w:sz="0" w:space="0" w:color="auto"/>
        <w:right w:val="none" w:sz="0" w:space="0" w:color="auto"/>
      </w:divBdr>
    </w:div>
    <w:div w:id="1222404329">
      <w:bodyDiv w:val="1"/>
      <w:marLeft w:val="0"/>
      <w:marRight w:val="0"/>
      <w:marTop w:val="0"/>
      <w:marBottom w:val="0"/>
      <w:divBdr>
        <w:top w:val="none" w:sz="0" w:space="0" w:color="auto"/>
        <w:left w:val="none" w:sz="0" w:space="0" w:color="auto"/>
        <w:bottom w:val="none" w:sz="0" w:space="0" w:color="auto"/>
        <w:right w:val="none" w:sz="0" w:space="0" w:color="auto"/>
      </w:divBdr>
      <w:divsChild>
        <w:div w:id="915288233">
          <w:marLeft w:val="0"/>
          <w:marRight w:val="0"/>
          <w:marTop w:val="0"/>
          <w:marBottom w:val="0"/>
          <w:divBdr>
            <w:top w:val="none" w:sz="0" w:space="0" w:color="auto"/>
            <w:left w:val="none" w:sz="0" w:space="0" w:color="auto"/>
            <w:bottom w:val="none" w:sz="0" w:space="0" w:color="auto"/>
            <w:right w:val="none" w:sz="0" w:space="0" w:color="auto"/>
          </w:divBdr>
          <w:divsChild>
            <w:div w:id="618757123">
              <w:marLeft w:val="0"/>
              <w:marRight w:val="0"/>
              <w:marTop w:val="0"/>
              <w:marBottom w:val="0"/>
              <w:divBdr>
                <w:top w:val="none" w:sz="0" w:space="0" w:color="auto"/>
                <w:left w:val="none" w:sz="0" w:space="0" w:color="auto"/>
                <w:bottom w:val="none" w:sz="0" w:space="0" w:color="auto"/>
                <w:right w:val="none" w:sz="0" w:space="0" w:color="auto"/>
              </w:divBdr>
              <w:divsChild>
                <w:div w:id="378868635">
                  <w:marLeft w:val="0"/>
                  <w:marRight w:val="0"/>
                  <w:marTop w:val="0"/>
                  <w:marBottom w:val="0"/>
                  <w:divBdr>
                    <w:top w:val="none" w:sz="0" w:space="0" w:color="auto"/>
                    <w:left w:val="none" w:sz="0" w:space="0" w:color="auto"/>
                    <w:bottom w:val="none" w:sz="0" w:space="0" w:color="auto"/>
                    <w:right w:val="none" w:sz="0" w:space="0" w:color="auto"/>
                  </w:divBdr>
                  <w:divsChild>
                    <w:div w:id="17199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24326">
      <w:bodyDiv w:val="1"/>
      <w:marLeft w:val="0"/>
      <w:marRight w:val="0"/>
      <w:marTop w:val="0"/>
      <w:marBottom w:val="0"/>
      <w:divBdr>
        <w:top w:val="none" w:sz="0" w:space="0" w:color="auto"/>
        <w:left w:val="none" w:sz="0" w:space="0" w:color="auto"/>
        <w:bottom w:val="none" w:sz="0" w:space="0" w:color="auto"/>
        <w:right w:val="none" w:sz="0" w:space="0" w:color="auto"/>
      </w:divBdr>
    </w:div>
    <w:div w:id="1223635385">
      <w:bodyDiv w:val="1"/>
      <w:marLeft w:val="0"/>
      <w:marRight w:val="0"/>
      <w:marTop w:val="0"/>
      <w:marBottom w:val="0"/>
      <w:divBdr>
        <w:top w:val="none" w:sz="0" w:space="0" w:color="auto"/>
        <w:left w:val="none" w:sz="0" w:space="0" w:color="auto"/>
        <w:bottom w:val="none" w:sz="0" w:space="0" w:color="auto"/>
        <w:right w:val="none" w:sz="0" w:space="0" w:color="auto"/>
      </w:divBdr>
      <w:divsChild>
        <w:div w:id="1379285071">
          <w:marLeft w:val="0"/>
          <w:marRight w:val="0"/>
          <w:marTop w:val="0"/>
          <w:marBottom w:val="0"/>
          <w:divBdr>
            <w:top w:val="none" w:sz="0" w:space="0" w:color="auto"/>
            <w:left w:val="none" w:sz="0" w:space="0" w:color="auto"/>
            <w:bottom w:val="none" w:sz="0" w:space="0" w:color="auto"/>
            <w:right w:val="none" w:sz="0" w:space="0" w:color="auto"/>
          </w:divBdr>
          <w:divsChild>
            <w:div w:id="1919897060">
              <w:marLeft w:val="0"/>
              <w:marRight w:val="0"/>
              <w:marTop w:val="0"/>
              <w:marBottom w:val="0"/>
              <w:divBdr>
                <w:top w:val="none" w:sz="0" w:space="0" w:color="auto"/>
                <w:left w:val="none" w:sz="0" w:space="0" w:color="auto"/>
                <w:bottom w:val="none" w:sz="0" w:space="0" w:color="auto"/>
                <w:right w:val="none" w:sz="0" w:space="0" w:color="auto"/>
              </w:divBdr>
              <w:divsChild>
                <w:div w:id="5005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022237">
      <w:bodyDiv w:val="1"/>
      <w:marLeft w:val="0"/>
      <w:marRight w:val="0"/>
      <w:marTop w:val="0"/>
      <w:marBottom w:val="0"/>
      <w:divBdr>
        <w:top w:val="none" w:sz="0" w:space="0" w:color="auto"/>
        <w:left w:val="none" w:sz="0" w:space="0" w:color="auto"/>
        <w:bottom w:val="none" w:sz="0" w:space="0" w:color="auto"/>
        <w:right w:val="none" w:sz="0" w:space="0" w:color="auto"/>
      </w:divBdr>
    </w:div>
    <w:div w:id="1224214841">
      <w:bodyDiv w:val="1"/>
      <w:marLeft w:val="0"/>
      <w:marRight w:val="0"/>
      <w:marTop w:val="0"/>
      <w:marBottom w:val="0"/>
      <w:divBdr>
        <w:top w:val="none" w:sz="0" w:space="0" w:color="auto"/>
        <w:left w:val="none" w:sz="0" w:space="0" w:color="auto"/>
        <w:bottom w:val="none" w:sz="0" w:space="0" w:color="auto"/>
        <w:right w:val="none" w:sz="0" w:space="0" w:color="auto"/>
      </w:divBdr>
      <w:divsChild>
        <w:div w:id="1146433681">
          <w:marLeft w:val="0"/>
          <w:marRight w:val="0"/>
          <w:marTop w:val="0"/>
          <w:marBottom w:val="0"/>
          <w:divBdr>
            <w:top w:val="none" w:sz="0" w:space="0" w:color="auto"/>
            <w:left w:val="none" w:sz="0" w:space="0" w:color="auto"/>
            <w:bottom w:val="none" w:sz="0" w:space="0" w:color="auto"/>
            <w:right w:val="none" w:sz="0" w:space="0" w:color="auto"/>
          </w:divBdr>
          <w:divsChild>
            <w:div w:id="456070888">
              <w:marLeft w:val="0"/>
              <w:marRight w:val="0"/>
              <w:marTop w:val="0"/>
              <w:marBottom w:val="0"/>
              <w:divBdr>
                <w:top w:val="none" w:sz="0" w:space="0" w:color="auto"/>
                <w:left w:val="none" w:sz="0" w:space="0" w:color="auto"/>
                <w:bottom w:val="none" w:sz="0" w:space="0" w:color="auto"/>
                <w:right w:val="none" w:sz="0" w:space="0" w:color="auto"/>
              </w:divBdr>
              <w:divsChild>
                <w:div w:id="1966816214">
                  <w:marLeft w:val="0"/>
                  <w:marRight w:val="0"/>
                  <w:marTop w:val="0"/>
                  <w:marBottom w:val="0"/>
                  <w:divBdr>
                    <w:top w:val="none" w:sz="0" w:space="0" w:color="auto"/>
                    <w:left w:val="none" w:sz="0" w:space="0" w:color="auto"/>
                    <w:bottom w:val="none" w:sz="0" w:space="0" w:color="auto"/>
                    <w:right w:val="none" w:sz="0" w:space="0" w:color="auto"/>
                  </w:divBdr>
                  <w:divsChild>
                    <w:div w:id="10488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558048">
      <w:bodyDiv w:val="1"/>
      <w:marLeft w:val="0"/>
      <w:marRight w:val="0"/>
      <w:marTop w:val="0"/>
      <w:marBottom w:val="0"/>
      <w:divBdr>
        <w:top w:val="none" w:sz="0" w:space="0" w:color="auto"/>
        <w:left w:val="none" w:sz="0" w:space="0" w:color="auto"/>
        <w:bottom w:val="none" w:sz="0" w:space="0" w:color="auto"/>
        <w:right w:val="none" w:sz="0" w:space="0" w:color="auto"/>
      </w:divBdr>
    </w:div>
    <w:div w:id="1225945387">
      <w:bodyDiv w:val="1"/>
      <w:marLeft w:val="0"/>
      <w:marRight w:val="0"/>
      <w:marTop w:val="0"/>
      <w:marBottom w:val="0"/>
      <w:divBdr>
        <w:top w:val="none" w:sz="0" w:space="0" w:color="auto"/>
        <w:left w:val="none" w:sz="0" w:space="0" w:color="auto"/>
        <w:bottom w:val="none" w:sz="0" w:space="0" w:color="auto"/>
        <w:right w:val="none" w:sz="0" w:space="0" w:color="auto"/>
      </w:divBdr>
      <w:divsChild>
        <w:div w:id="613830483">
          <w:marLeft w:val="0"/>
          <w:marRight w:val="0"/>
          <w:marTop w:val="0"/>
          <w:marBottom w:val="0"/>
          <w:divBdr>
            <w:top w:val="none" w:sz="0" w:space="0" w:color="auto"/>
            <w:left w:val="none" w:sz="0" w:space="0" w:color="auto"/>
            <w:bottom w:val="none" w:sz="0" w:space="0" w:color="auto"/>
            <w:right w:val="none" w:sz="0" w:space="0" w:color="auto"/>
          </w:divBdr>
          <w:divsChild>
            <w:div w:id="553809222">
              <w:marLeft w:val="0"/>
              <w:marRight w:val="0"/>
              <w:marTop w:val="0"/>
              <w:marBottom w:val="0"/>
              <w:divBdr>
                <w:top w:val="none" w:sz="0" w:space="0" w:color="auto"/>
                <w:left w:val="none" w:sz="0" w:space="0" w:color="auto"/>
                <w:bottom w:val="none" w:sz="0" w:space="0" w:color="auto"/>
                <w:right w:val="none" w:sz="0" w:space="0" w:color="auto"/>
              </w:divBdr>
              <w:divsChild>
                <w:div w:id="1382173051">
                  <w:marLeft w:val="0"/>
                  <w:marRight w:val="0"/>
                  <w:marTop w:val="0"/>
                  <w:marBottom w:val="0"/>
                  <w:divBdr>
                    <w:top w:val="none" w:sz="0" w:space="0" w:color="auto"/>
                    <w:left w:val="none" w:sz="0" w:space="0" w:color="auto"/>
                    <w:bottom w:val="none" w:sz="0" w:space="0" w:color="auto"/>
                    <w:right w:val="none" w:sz="0" w:space="0" w:color="auto"/>
                  </w:divBdr>
                  <w:divsChild>
                    <w:div w:id="136740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948392">
      <w:bodyDiv w:val="1"/>
      <w:marLeft w:val="0"/>
      <w:marRight w:val="0"/>
      <w:marTop w:val="0"/>
      <w:marBottom w:val="0"/>
      <w:divBdr>
        <w:top w:val="none" w:sz="0" w:space="0" w:color="auto"/>
        <w:left w:val="none" w:sz="0" w:space="0" w:color="auto"/>
        <w:bottom w:val="none" w:sz="0" w:space="0" w:color="auto"/>
        <w:right w:val="none" w:sz="0" w:space="0" w:color="auto"/>
      </w:divBdr>
      <w:divsChild>
        <w:div w:id="1630429439">
          <w:marLeft w:val="0"/>
          <w:marRight w:val="0"/>
          <w:marTop w:val="0"/>
          <w:marBottom w:val="0"/>
          <w:divBdr>
            <w:top w:val="none" w:sz="0" w:space="0" w:color="auto"/>
            <w:left w:val="none" w:sz="0" w:space="0" w:color="auto"/>
            <w:bottom w:val="none" w:sz="0" w:space="0" w:color="auto"/>
            <w:right w:val="none" w:sz="0" w:space="0" w:color="auto"/>
          </w:divBdr>
          <w:divsChild>
            <w:div w:id="1852640042">
              <w:marLeft w:val="0"/>
              <w:marRight w:val="0"/>
              <w:marTop w:val="0"/>
              <w:marBottom w:val="0"/>
              <w:divBdr>
                <w:top w:val="none" w:sz="0" w:space="0" w:color="auto"/>
                <w:left w:val="none" w:sz="0" w:space="0" w:color="auto"/>
                <w:bottom w:val="none" w:sz="0" w:space="0" w:color="auto"/>
                <w:right w:val="none" w:sz="0" w:space="0" w:color="auto"/>
              </w:divBdr>
              <w:divsChild>
                <w:div w:id="89732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063034">
      <w:bodyDiv w:val="1"/>
      <w:marLeft w:val="0"/>
      <w:marRight w:val="0"/>
      <w:marTop w:val="0"/>
      <w:marBottom w:val="0"/>
      <w:divBdr>
        <w:top w:val="none" w:sz="0" w:space="0" w:color="auto"/>
        <w:left w:val="none" w:sz="0" w:space="0" w:color="auto"/>
        <w:bottom w:val="none" w:sz="0" w:space="0" w:color="auto"/>
        <w:right w:val="none" w:sz="0" w:space="0" w:color="auto"/>
      </w:divBdr>
    </w:div>
    <w:div w:id="1227492612">
      <w:bodyDiv w:val="1"/>
      <w:marLeft w:val="0"/>
      <w:marRight w:val="0"/>
      <w:marTop w:val="0"/>
      <w:marBottom w:val="0"/>
      <w:divBdr>
        <w:top w:val="none" w:sz="0" w:space="0" w:color="auto"/>
        <w:left w:val="none" w:sz="0" w:space="0" w:color="auto"/>
        <w:bottom w:val="none" w:sz="0" w:space="0" w:color="auto"/>
        <w:right w:val="none" w:sz="0" w:space="0" w:color="auto"/>
      </w:divBdr>
      <w:divsChild>
        <w:div w:id="663969584">
          <w:marLeft w:val="0"/>
          <w:marRight w:val="0"/>
          <w:marTop w:val="0"/>
          <w:marBottom w:val="0"/>
          <w:divBdr>
            <w:top w:val="none" w:sz="0" w:space="0" w:color="auto"/>
            <w:left w:val="none" w:sz="0" w:space="0" w:color="auto"/>
            <w:bottom w:val="none" w:sz="0" w:space="0" w:color="auto"/>
            <w:right w:val="none" w:sz="0" w:space="0" w:color="auto"/>
          </w:divBdr>
          <w:divsChild>
            <w:div w:id="127407066">
              <w:marLeft w:val="0"/>
              <w:marRight w:val="0"/>
              <w:marTop w:val="0"/>
              <w:marBottom w:val="0"/>
              <w:divBdr>
                <w:top w:val="none" w:sz="0" w:space="0" w:color="auto"/>
                <w:left w:val="none" w:sz="0" w:space="0" w:color="auto"/>
                <w:bottom w:val="none" w:sz="0" w:space="0" w:color="auto"/>
                <w:right w:val="none" w:sz="0" w:space="0" w:color="auto"/>
              </w:divBdr>
              <w:divsChild>
                <w:div w:id="311520908">
                  <w:marLeft w:val="0"/>
                  <w:marRight w:val="0"/>
                  <w:marTop w:val="0"/>
                  <w:marBottom w:val="0"/>
                  <w:divBdr>
                    <w:top w:val="none" w:sz="0" w:space="0" w:color="auto"/>
                    <w:left w:val="none" w:sz="0" w:space="0" w:color="auto"/>
                    <w:bottom w:val="none" w:sz="0" w:space="0" w:color="auto"/>
                    <w:right w:val="none" w:sz="0" w:space="0" w:color="auto"/>
                  </w:divBdr>
                  <w:divsChild>
                    <w:div w:id="187715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648314">
      <w:bodyDiv w:val="1"/>
      <w:marLeft w:val="0"/>
      <w:marRight w:val="0"/>
      <w:marTop w:val="0"/>
      <w:marBottom w:val="0"/>
      <w:divBdr>
        <w:top w:val="none" w:sz="0" w:space="0" w:color="auto"/>
        <w:left w:val="none" w:sz="0" w:space="0" w:color="auto"/>
        <w:bottom w:val="none" w:sz="0" w:space="0" w:color="auto"/>
        <w:right w:val="none" w:sz="0" w:space="0" w:color="auto"/>
      </w:divBdr>
      <w:divsChild>
        <w:div w:id="759836187">
          <w:marLeft w:val="0"/>
          <w:marRight w:val="0"/>
          <w:marTop w:val="0"/>
          <w:marBottom w:val="0"/>
          <w:divBdr>
            <w:top w:val="none" w:sz="0" w:space="0" w:color="auto"/>
            <w:left w:val="none" w:sz="0" w:space="0" w:color="auto"/>
            <w:bottom w:val="none" w:sz="0" w:space="0" w:color="auto"/>
            <w:right w:val="none" w:sz="0" w:space="0" w:color="auto"/>
          </w:divBdr>
          <w:divsChild>
            <w:div w:id="1496677693">
              <w:marLeft w:val="0"/>
              <w:marRight w:val="0"/>
              <w:marTop w:val="0"/>
              <w:marBottom w:val="0"/>
              <w:divBdr>
                <w:top w:val="none" w:sz="0" w:space="0" w:color="auto"/>
                <w:left w:val="none" w:sz="0" w:space="0" w:color="auto"/>
                <w:bottom w:val="none" w:sz="0" w:space="0" w:color="auto"/>
                <w:right w:val="none" w:sz="0" w:space="0" w:color="auto"/>
              </w:divBdr>
              <w:divsChild>
                <w:div w:id="1519998437">
                  <w:marLeft w:val="0"/>
                  <w:marRight w:val="0"/>
                  <w:marTop w:val="0"/>
                  <w:marBottom w:val="0"/>
                  <w:divBdr>
                    <w:top w:val="none" w:sz="0" w:space="0" w:color="auto"/>
                    <w:left w:val="none" w:sz="0" w:space="0" w:color="auto"/>
                    <w:bottom w:val="none" w:sz="0" w:space="0" w:color="auto"/>
                    <w:right w:val="none" w:sz="0" w:space="0" w:color="auto"/>
                  </w:divBdr>
                  <w:divsChild>
                    <w:div w:id="113352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761434">
      <w:bodyDiv w:val="1"/>
      <w:marLeft w:val="0"/>
      <w:marRight w:val="0"/>
      <w:marTop w:val="0"/>
      <w:marBottom w:val="0"/>
      <w:divBdr>
        <w:top w:val="none" w:sz="0" w:space="0" w:color="auto"/>
        <w:left w:val="none" w:sz="0" w:space="0" w:color="auto"/>
        <w:bottom w:val="none" w:sz="0" w:space="0" w:color="auto"/>
        <w:right w:val="none" w:sz="0" w:space="0" w:color="auto"/>
      </w:divBdr>
      <w:divsChild>
        <w:div w:id="1214659463">
          <w:marLeft w:val="0"/>
          <w:marRight w:val="0"/>
          <w:marTop w:val="0"/>
          <w:marBottom w:val="0"/>
          <w:divBdr>
            <w:top w:val="none" w:sz="0" w:space="0" w:color="auto"/>
            <w:left w:val="none" w:sz="0" w:space="0" w:color="auto"/>
            <w:bottom w:val="none" w:sz="0" w:space="0" w:color="auto"/>
            <w:right w:val="none" w:sz="0" w:space="0" w:color="auto"/>
          </w:divBdr>
          <w:divsChild>
            <w:div w:id="348527249">
              <w:marLeft w:val="0"/>
              <w:marRight w:val="0"/>
              <w:marTop w:val="0"/>
              <w:marBottom w:val="0"/>
              <w:divBdr>
                <w:top w:val="none" w:sz="0" w:space="0" w:color="auto"/>
                <w:left w:val="none" w:sz="0" w:space="0" w:color="auto"/>
                <w:bottom w:val="none" w:sz="0" w:space="0" w:color="auto"/>
                <w:right w:val="none" w:sz="0" w:space="0" w:color="auto"/>
              </w:divBdr>
              <w:divsChild>
                <w:div w:id="8341222">
                  <w:marLeft w:val="0"/>
                  <w:marRight w:val="0"/>
                  <w:marTop w:val="0"/>
                  <w:marBottom w:val="0"/>
                  <w:divBdr>
                    <w:top w:val="none" w:sz="0" w:space="0" w:color="auto"/>
                    <w:left w:val="none" w:sz="0" w:space="0" w:color="auto"/>
                    <w:bottom w:val="none" w:sz="0" w:space="0" w:color="auto"/>
                    <w:right w:val="none" w:sz="0" w:space="0" w:color="auto"/>
                  </w:divBdr>
                  <w:divsChild>
                    <w:div w:id="1038706218">
                      <w:marLeft w:val="0"/>
                      <w:marRight w:val="0"/>
                      <w:marTop w:val="0"/>
                      <w:marBottom w:val="0"/>
                      <w:divBdr>
                        <w:top w:val="none" w:sz="0" w:space="0" w:color="auto"/>
                        <w:left w:val="none" w:sz="0" w:space="0" w:color="auto"/>
                        <w:bottom w:val="none" w:sz="0" w:space="0" w:color="auto"/>
                        <w:right w:val="none" w:sz="0" w:space="0" w:color="auto"/>
                      </w:divBdr>
                    </w:div>
                  </w:divsChild>
                </w:div>
                <w:div w:id="1145927693">
                  <w:marLeft w:val="0"/>
                  <w:marRight w:val="0"/>
                  <w:marTop w:val="0"/>
                  <w:marBottom w:val="0"/>
                  <w:divBdr>
                    <w:top w:val="none" w:sz="0" w:space="0" w:color="auto"/>
                    <w:left w:val="none" w:sz="0" w:space="0" w:color="auto"/>
                    <w:bottom w:val="none" w:sz="0" w:space="0" w:color="auto"/>
                    <w:right w:val="none" w:sz="0" w:space="0" w:color="auto"/>
                  </w:divBdr>
                  <w:divsChild>
                    <w:div w:id="76850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076517">
      <w:bodyDiv w:val="1"/>
      <w:marLeft w:val="0"/>
      <w:marRight w:val="0"/>
      <w:marTop w:val="0"/>
      <w:marBottom w:val="0"/>
      <w:divBdr>
        <w:top w:val="none" w:sz="0" w:space="0" w:color="auto"/>
        <w:left w:val="none" w:sz="0" w:space="0" w:color="auto"/>
        <w:bottom w:val="none" w:sz="0" w:space="0" w:color="auto"/>
        <w:right w:val="none" w:sz="0" w:space="0" w:color="auto"/>
      </w:divBdr>
    </w:div>
    <w:div w:id="1229078252">
      <w:bodyDiv w:val="1"/>
      <w:marLeft w:val="0"/>
      <w:marRight w:val="0"/>
      <w:marTop w:val="0"/>
      <w:marBottom w:val="0"/>
      <w:divBdr>
        <w:top w:val="none" w:sz="0" w:space="0" w:color="auto"/>
        <w:left w:val="none" w:sz="0" w:space="0" w:color="auto"/>
        <w:bottom w:val="none" w:sz="0" w:space="0" w:color="auto"/>
        <w:right w:val="none" w:sz="0" w:space="0" w:color="auto"/>
      </w:divBdr>
      <w:divsChild>
        <w:div w:id="662701492">
          <w:marLeft w:val="0"/>
          <w:marRight w:val="0"/>
          <w:marTop w:val="0"/>
          <w:marBottom w:val="0"/>
          <w:divBdr>
            <w:top w:val="none" w:sz="0" w:space="0" w:color="auto"/>
            <w:left w:val="none" w:sz="0" w:space="0" w:color="auto"/>
            <w:bottom w:val="none" w:sz="0" w:space="0" w:color="auto"/>
            <w:right w:val="none" w:sz="0" w:space="0" w:color="auto"/>
          </w:divBdr>
          <w:divsChild>
            <w:div w:id="378211567">
              <w:marLeft w:val="0"/>
              <w:marRight w:val="0"/>
              <w:marTop w:val="0"/>
              <w:marBottom w:val="0"/>
              <w:divBdr>
                <w:top w:val="none" w:sz="0" w:space="0" w:color="auto"/>
                <w:left w:val="none" w:sz="0" w:space="0" w:color="auto"/>
                <w:bottom w:val="none" w:sz="0" w:space="0" w:color="auto"/>
                <w:right w:val="none" w:sz="0" w:space="0" w:color="auto"/>
              </w:divBdr>
              <w:divsChild>
                <w:div w:id="189606188">
                  <w:marLeft w:val="0"/>
                  <w:marRight w:val="0"/>
                  <w:marTop w:val="0"/>
                  <w:marBottom w:val="0"/>
                  <w:divBdr>
                    <w:top w:val="none" w:sz="0" w:space="0" w:color="auto"/>
                    <w:left w:val="none" w:sz="0" w:space="0" w:color="auto"/>
                    <w:bottom w:val="none" w:sz="0" w:space="0" w:color="auto"/>
                    <w:right w:val="none" w:sz="0" w:space="0" w:color="auto"/>
                  </w:divBdr>
                  <w:divsChild>
                    <w:div w:id="55928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57479">
      <w:bodyDiv w:val="1"/>
      <w:marLeft w:val="0"/>
      <w:marRight w:val="0"/>
      <w:marTop w:val="0"/>
      <w:marBottom w:val="0"/>
      <w:divBdr>
        <w:top w:val="none" w:sz="0" w:space="0" w:color="auto"/>
        <w:left w:val="none" w:sz="0" w:space="0" w:color="auto"/>
        <w:bottom w:val="none" w:sz="0" w:space="0" w:color="auto"/>
        <w:right w:val="none" w:sz="0" w:space="0" w:color="auto"/>
      </w:divBdr>
    </w:div>
    <w:div w:id="1229533645">
      <w:bodyDiv w:val="1"/>
      <w:marLeft w:val="0"/>
      <w:marRight w:val="0"/>
      <w:marTop w:val="0"/>
      <w:marBottom w:val="0"/>
      <w:divBdr>
        <w:top w:val="none" w:sz="0" w:space="0" w:color="auto"/>
        <w:left w:val="none" w:sz="0" w:space="0" w:color="auto"/>
        <w:bottom w:val="none" w:sz="0" w:space="0" w:color="auto"/>
        <w:right w:val="none" w:sz="0" w:space="0" w:color="auto"/>
      </w:divBdr>
    </w:div>
    <w:div w:id="1229805461">
      <w:bodyDiv w:val="1"/>
      <w:marLeft w:val="0"/>
      <w:marRight w:val="0"/>
      <w:marTop w:val="0"/>
      <w:marBottom w:val="0"/>
      <w:divBdr>
        <w:top w:val="none" w:sz="0" w:space="0" w:color="auto"/>
        <w:left w:val="none" w:sz="0" w:space="0" w:color="auto"/>
        <w:bottom w:val="none" w:sz="0" w:space="0" w:color="auto"/>
        <w:right w:val="none" w:sz="0" w:space="0" w:color="auto"/>
      </w:divBdr>
    </w:div>
    <w:div w:id="1230119696">
      <w:bodyDiv w:val="1"/>
      <w:marLeft w:val="0"/>
      <w:marRight w:val="0"/>
      <w:marTop w:val="0"/>
      <w:marBottom w:val="0"/>
      <w:divBdr>
        <w:top w:val="none" w:sz="0" w:space="0" w:color="auto"/>
        <w:left w:val="none" w:sz="0" w:space="0" w:color="auto"/>
        <w:bottom w:val="none" w:sz="0" w:space="0" w:color="auto"/>
        <w:right w:val="none" w:sz="0" w:space="0" w:color="auto"/>
      </w:divBdr>
    </w:div>
    <w:div w:id="1231233206">
      <w:bodyDiv w:val="1"/>
      <w:marLeft w:val="0"/>
      <w:marRight w:val="0"/>
      <w:marTop w:val="0"/>
      <w:marBottom w:val="0"/>
      <w:divBdr>
        <w:top w:val="none" w:sz="0" w:space="0" w:color="auto"/>
        <w:left w:val="none" w:sz="0" w:space="0" w:color="auto"/>
        <w:bottom w:val="none" w:sz="0" w:space="0" w:color="auto"/>
        <w:right w:val="none" w:sz="0" w:space="0" w:color="auto"/>
      </w:divBdr>
    </w:div>
    <w:div w:id="1231308302">
      <w:bodyDiv w:val="1"/>
      <w:marLeft w:val="0"/>
      <w:marRight w:val="0"/>
      <w:marTop w:val="0"/>
      <w:marBottom w:val="0"/>
      <w:divBdr>
        <w:top w:val="none" w:sz="0" w:space="0" w:color="auto"/>
        <w:left w:val="none" w:sz="0" w:space="0" w:color="auto"/>
        <w:bottom w:val="none" w:sz="0" w:space="0" w:color="auto"/>
        <w:right w:val="none" w:sz="0" w:space="0" w:color="auto"/>
      </w:divBdr>
      <w:divsChild>
        <w:div w:id="1547371075">
          <w:marLeft w:val="0"/>
          <w:marRight w:val="0"/>
          <w:marTop w:val="0"/>
          <w:marBottom w:val="0"/>
          <w:divBdr>
            <w:top w:val="none" w:sz="0" w:space="0" w:color="auto"/>
            <w:left w:val="none" w:sz="0" w:space="0" w:color="auto"/>
            <w:bottom w:val="none" w:sz="0" w:space="0" w:color="auto"/>
            <w:right w:val="none" w:sz="0" w:space="0" w:color="auto"/>
          </w:divBdr>
          <w:divsChild>
            <w:div w:id="407848607">
              <w:marLeft w:val="0"/>
              <w:marRight w:val="0"/>
              <w:marTop w:val="0"/>
              <w:marBottom w:val="0"/>
              <w:divBdr>
                <w:top w:val="none" w:sz="0" w:space="0" w:color="auto"/>
                <w:left w:val="none" w:sz="0" w:space="0" w:color="auto"/>
                <w:bottom w:val="none" w:sz="0" w:space="0" w:color="auto"/>
                <w:right w:val="none" w:sz="0" w:space="0" w:color="auto"/>
              </w:divBdr>
              <w:divsChild>
                <w:div w:id="112554106">
                  <w:marLeft w:val="0"/>
                  <w:marRight w:val="0"/>
                  <w:marTop w:val="0"/>
                  <w:marBottom w:val="0"/>
                  <w:divBdr>
                    <w:top w:val="none" w:sz="0" w:space="0" w:color="auto"/>
                    <w:left w:val="none" w:sz="0" w:space="0" w:color="auto"/>
                    <w:bottom w:val="none" w:sz="0" w:space="0" w:color="auto"/>
                    <w:right w:val="none" w:sz="0" w:space="0" w:color="auto"/>
                  </w:divBdr>
                  <w:divsChild>
                    <w:div w:id="716200913">
                      <w:marLeft w:val="0"/>
                      <w:marRight w:val="0"/>
                      <w:marTop w:val="0"/>
                      <w:marBottom w:val="0"/>
                      <w:divBdr>
                        <w:top w:val="none" w:sz="0" w:space="0" w:color="auto"/>
                        <w:left w:val="none" w:sz="0" w:space="0" w:color="auto"/>
                        <w:bottom w:val="none" w:sz="0" w:space="0" w:color="auto"/>
                        <w:right w:val="none" w:sz="0" w:space="0" w:color="auto"/>
                      </w:divBdr>
                    </w:div>
                  </w:divsChild>
                </w:div>
                <w:div w:id="1954051834">
                  <w:marLeft w:val="0"/>
                  <w:marRight w:val="0"/>
                  <w:marTop w:val="0"/>
                  <w:marBottom w:val="0"/>
                  <w:divBdr>
                    <w:top w:val="none" w:sz="0" w:space="0" w:color="auto"/>
                    <w:left w:val="none" w:sz="0" w:space="0" w:color="auto"/>
                    <w:bottom w:val="none" w:sz="0" w:space="0" w:color="auto"/>
                    <w:right w:val="none" w:sz="0" w:space="0" w:color="auto"/>
                  </w:divBdr>
                  <w:divsChild>
                    <w:div w:id="780955348">
                      <w:marLeft w:val="0"/>
                      <w:marRight w:val="0"/>
                      <w:marTop w:val="0"/>
                      <w:marBottom w:val="0"/>
                      <w:divBdr>
                        <w:top w:val="none" w:sz="0" w:space="0" w:color="auto"/>
                        <w:left w:val="none" w:sz="0" w:space="0" w:color="auto"/>
                        <w:bottom w:val="none" w:sz="0" w:space="0" w:color="auto"/>
                        <w:right w:val="none" w:sz="0" w:space="0" w:color="auto"/>
                      </w:divBdr>
                    </w:div>
                  </w:divsChild>
                </w:div>
                <w:div w:id="1958176082">
                  <w:marLeft w:val="0"/>
                  <w:marRight w:val="0"/>
                  <w:marTop w:val="0"/>
                  <w:marBottom w:val="0"/>
                  <w:divBdr>
                    <w:top w:val="none" w:sz="0" w:space="0" w:color="auto"/>
                    <w:left w:val="none" w:sz="0" w:space="0" w:color="auto"/>
                    <w:bottom w:val="none" w:sz="0" w:space="0" w:color="auto"/>
                    <w:right w:val="none" w:sz="0" w:space="0" w:color="auto"/>
                  </w:divBdr>
                  <w:divsChild>
                    <w:div w:id="194283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890682">
      <w:bodyDiv w:val="1"/>
      <w:marLeft w:val="0"/>
      <w:marRight w:val="0"/>
      <w:marTop w:val="0"/>
      <w:marBottom w:val="0"/>
      <w:divBdr>
        <w:top w:val="none" w:sz="0" w:space="0" w:color="auto"/>
        <w:left w:val="none" w:sz="0" w:space="0" w:color="auto"/>
        <w:bottom w:val="none" w:sz="0" w:space="0" w:color="auto"/>
        <w:right w:val="none" w:sz="0" w:space="0" w:color="auto"/>
      </w:divBdr>
      <w:divsChild>
        <w:div w:id="2049450078">
          <w:marLeft w:val="0"/>
          <w:marRight w:val="0"/>
          <w:marTop w:val="0"/>
          <w:marBottom w:val="0"/>
          <w:divBdr>
            <w:top w:val="none" w:sz="0" w:space="0" w:color="auto"/>
            <w:left w:val="none" w:sz="0" w:space="0" w:color="auto"/>
            <w:bottom w:val="none" w:sz="0" w:space="0" w:color="auto"/>
            <w:right w:val="none" w:sz="0" w:space="0" w:color="auto"/>
          </w:divBdr>
          <w:divsChild>
            <w:div w:id="548961452">
              <w:marLeft w:val="0"/>
              <w:marRight w:val="0"/>
              <w:marTop w:val="0"/>
              <w:marBottom w:val="0"/>
              <w:divBdr>
                <w:top w:val="none" w:sz="0" w:space="0" w:color="auto"/>
                <w:left w:val="none" w:sz="0" w:space="0" w:color="auto"/>
                <w:bottom w:val="none" w:sz="0" w:space="0" w:color="auto"/>
                <w:right w:val="none" w:sz="0" w:space="0" w:color="auto"/>
              </w:divBdr>
              <w:divsChild>
                <w:div w:id="2010523625">
                  <w:marLeft w:val="0"/>
                  <w:marRight w:val="0"/>
                  <w:marTop w:val="0"/>
                  <w:marBottom w:val="0"/>
                  <w:divBdr>
                    <w:top w:val="none" w:sz="0" w:space="0" w:color="auto"/>
                    <w:left w:val="none" w:sz="0" w:space="0" w:color="auto"/>
                    <w:bottom w:val="none" w:sz="0" w:space="0" w:color="auto"/>
                    <w:right w:val="none" w:sz="0" w:space="0" w:color="auto"/>
                  </w:divBdr>
                  <w:divsChild>
                    <w:div w:id="209211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040758">
      <w:bodyDiv w:val="1"/>
      <w:marLeft w:val="0"/>
      <w:marRight w:val="0"/>
      <w:marTop w:val="0"/>
      <w:marBottom w:val="0"/>
      <w:divBdr>
        <w:top w:val="none" w:sz="0" w:space="0" w:color="auto"/>
        <w:left w:val="none" w:sz="0" w:space="0" w:color="auto"/>
        <w:bottom w:val="none" w:sz="0" w:space="0" w:color="auto"/>
        <w:right w:val="none" w:sz="0" w:space="0" w:color="auto"/>
      </w:divBdr>
    </w:div>
    <w:div w:id="1235626922">
      <w:bodyDiv w:val="1"/>
      <w:marLeft w:val="0"/>
      <w:marRight w:val="0"/>
      <w:marTop w:val="0"/>
      <w:marBottom w:val="0"/>
      <w:divBdr>
        <w:top w:val="none" w:sz="0" w:space="0" w:color="auto"/>
        <w:left w:val="none" w:sz="0" w:space="0" w:color="auto"/>
        <w:bottom w:val="none" w:sz="0" w:space="0" w:color="auto"/>
        <w:right w:val="none" w:sz="0" w:space="0" w:color="auto"/>
      </w:divBdr>
    </w:div>
    <w:div w:id="1236434016">
      <w:bodyDiv w:val="1"/>
      <w:marLeft w:val="0"/>
      <w:marRight w:val="0"/>
      <w:marTop w:val="0"/>
      <w:marBottom w:val="0"/>
      <w:divBdr>
        <w:top w:val="none" w:sz="0" w:space="0" w:color="auto"/>
        <w:left w:val="none" w:sz="0" w:space="0" w:color="auto"/>
        <w:bottom w:val="none" w:sz="0" w:space="0" w:color="auto"/>
        <w:right w:val="none" w:sz="0" w:space="0" w:color="auto"/>
      </w:divBdr>
    </w:div>
    <w:div w:id="1237517208">
      <w:bodyDiv w:val="1"/>
      <w:marLeft w:val="0"/>
      <w:marRight w:val="0"/>
      <w:marTop w:val="0"/>
      <w:marBottom w:val="0"/>
      <w:divBdr>
        <w:top w:val="none" w:sz="0" w:space="0" w:color="auto"/>
        <w:left w:val="none" w:sz="0" w:space="0" w:color="auto"/>
        <w:bottom w:val="none" w:sz="0" w:space="0" w:color="auto"/>
        <w:right w:val="none" w:sz="0" w:space="0" w:color="auto"/>
      </w:divBdr>
      <w:divsChild>
        <w:div w:id="777022513">
          <w:marLeft w:val="0"/>
          <w:marRight w:val="0"/>
          <w:marTop w:val="0"/>
          <w:marBottom w:val="0"/>
          <w:divBdr>
            <w:top w:val="none" w:sz="0" w:space="0" w:color="auto"/>
            <w:left w:val="none" w:sz="0" w:space="0" w:color="auto"/>
            <w:bottom w:val="none" w:sz="0" w:space="0" w:color="auto"/>
            <w:right w:val="none" w:sz="0" w:space="0" w:color="auto"/>
          </w:divBdr>
          <w:divsChild>
            <w:div w:id="719866710">
              <w:marLeft w:val="0"/>
              <w:marRight w:val="0"/>
              <w:marTop w:val="0"/>
              <w:marBottom w:val="0"/>
              <w:divBdr>
                <w:top w:val="none" w:sz="0" w:space="0" w:color="auto"/>
                <w:left w:val="none" w:sz="0" w:space="0" w:color="auto"/>
                <w:bottom w:val="none" w:sz="0" w:space="0" w:color="auto"/>
                <w:right w:val="none" w:sz="0" w:space="0" w:color="auto"/>
              </w:divBdr>
              <w:divsChild>
                <w:div w:id="1619869168">
                  <w:marLeft w:val="0"/>
                  <w:marRight w:val="0"/>
                  <w:marTop w:val="0"/>
                  <w:marBottom w:val="0"/>
                  <w:divBdr>
                    <w:top w:val="none" w:sz="0" w:space="0" w:color="auto"/>
                    <w:left w:val="none" w:sz="0" w:space="0" w:color="auto"/>
                    <w:bottom w:val="none" w:sz="0" w:space="0" w:color="auto"/>
                    <w:right w:val="none" w:sz="0" w:space="0" w:color="auto"/>
                  </w:divBdr>
                  <w:divsChild>
                    <w:div w:id="144384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242720">
      <w:bodyDiv w:val="1"/>
      <w:marLeft w:val="0"/>
      <w:marRight w:val="0"/>
      <w:marTop w:val="0"/>
      <w:marBottom w:val="0"/>
      <w:divBdr>
        <w:top w:val="none" w:sz="0" w:space="0" w:color="auto"/>
        <w:left w:val="none" w:sz="0" w:space="0" w:color="auto"/>
        <w:bottom w:val="none" w:sz="0" w:space="0" w:color="auto"/>
        <w:right w:val="none" w:sz="0" w:space="0" w:color="auto"/>
      </w:divBdr>
    </w:div>
    <w:div w:id="1238632884">
      <w:bodyDiv w:val="1"/>
      <w:marLeft w:val="0"/>
      <w:marRight w:val="0"/>
      <w:marTop w:val="0"/>
      <w:marBottom w:val="0"/>
      <w:divBdr>
        <w:top w:val="none" w:sz="0" w:space="0" w:color="auto"/>
        <w:left w:val="none" w:sz="0" w:space="0" w:color="auto"/>
        <w:bottom w:val="none" w:sz="0" w:space="0" w:color="auto"/>
        <w:right w:val="none" w:sz="0" w:space="0" w:color="auto"/>
      </w:divBdr>
    </w:div>
    <w:div w:id="1239098879">
      <w:bodyDiv w:val="1"/>
      <w:marLeft w:val="0"/>
      <w:marRight w:val="0"/>
      <w:marTop w:val="0"/>
      <w:marBottom w:val="0"/>
      <w:divBdr>
        <w:top w:val="none" w:sz="0" w:space="0" w:color="auto"/>
        <w:left w:val="none" w:sz="0" w:space="0" w:color="auto"/>
        <w:bottom w:val="none" w:sz="0" w:space="0" w:color="auto"/>
        <w:right w:val="none" w:sz="0" w:space="0" w:color="auto"/>
      </w:divBdr>
    </w:div>
    <w:div w:id="1239628873">
      <w:bodyDiv w:val="1"/>
      <w:marLeft w:val="0"/>
      <w:marRight w:val="0"/>
      <w:marTop w:val="0"/>
      <w:marBottom w:val="0"/>
      <w:divBdr>
        <w:top w:val="none" w:sz="0" w:space="0" w:color="auto"/>
        <w:left w:val="none" w:sz="0" w:space="0" w:color="auto"/>
        <w:bottom w:val="none" w:sz="0" w:space="0" w:color="auto"/>
        <w:right w:val="none" w:sz="0" w:space="0" w:color="auto"/>
      </w:divBdr>
    </w:div>
    <w:div w:id="1239637990">
      <w:bodyDiv w:val="1"/>
      <w:marLeft w:val="0"/>
      <w:marRight w:val="0"/>
      <w:marTop w:val="0"/>
      <w:marBottom w:val="0"/>
      <w:divBdr>
        <w:top w:val="none" w:sz="0" w:space="0" w:color="auto"/>
        <w:left w:val="none" w:sz="0" w:space="0" w:color="auto"/>
        <w:bottom w:val="none" w:sz="0" w:space="0" w:color="auto"/>
        <w:right w:val="none" w:sz="0" w:space="0" w:color="auto"/>
      </w:divBdr>
    </w:div>
    <w:div w:id="1241254566">
      <w:bodyDiv w:val="1"/>
      <w:marLeft w:val="0"/>
      <w:marRight w:val="0"/>
      <w:marTop w:val="0"/>
      <w:marBottom w:val="0"/>
      <w:divBdr>
        <w:top w:val="none" w:sz="0" w:space="0" w:color="auto"/>
        <w:left w:val="none" w:sz="0" w:space="0" w:color="auto"/>
        <w:bottom w:val="none" w:sz="0" w:space="0" w:color="auto"/>
        <w:right w:val="none" w:sz="0" w:space="0" w:color="auto"/>
      </w:divBdr>
    </w:div>
    <w:div w:id="1241868539">
      <w:bodyDiv w:val="1"/>
      <w:marLeft w:val="0"/>
      <w:marRight w:val="0"/>
      <w:marTop w:val="0"/>
      <w:marBottom w:val="0"/>
      <w:divBdr>
        <w:top w:val="none" w:sz="0" w:space="0" w:color="auto"/>
        <w:left w:val="none" w:sz="0" w:space="0" w:color="auto"/>
        <w:bottom w:val="none" w:sz="0" w:space="0" w:color="auto"/>
        <w:right w:val="none" w:sz="0" w:space="0" w:color="auto"/>
      </w:divBdr>
      <w:divsChild>
        <w:div w:id="396175475">
          <w:marLeft w:val="0"/>
          <w:marRight w:val="0"/>
          <w:marTop w:val="0"/>
          <w:marBottom w:val="0"/>
          <w:divBdr>
            <w:top w:val="none" w:sz="0" w:space="0" w:color="auto"/>
            <w:left w:val="none" w:sz="0" w:space="0" w:color="auto"/>
            <w:bottom w:val="none" w:sz="0" w:space="0" w:color="auto"/>
            <w:right w:val="none" w:sz="0" w:space="0" w:color="auto"/>
          </w:divBdr>
          <w:divsChild>
            <w:div w:id="1651251796">
              <w:marLeft w:val="0"/>
              <w:marRight w:val="0"/>
              <w:marTop w:val="0"/>
              <w:marBottom w:val="0"/>
              <w:divBdr>
                <w:top w:val="none" w:sz="0" w:space="0" w:color="auto"/>
                <w:left w:val="none" w:sz="0" w:space="0" w:color="auto"/>
                <w:bottom w:val="none" w:sz="0" w:space="0" w:color="auto"/>
                <w:right w:val="none" w:sz="0" w:space="0" w:color="auto"/>
              </w:divBdr>
              <w:divsChild>
                <w:div w:id="10053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455968">
      <w:bodyDiv w:val="1"/>
      <w:marLeft w:val="0"/>
      <w:marRight w:val="0"/>
      <w:marTop w:val="0"/>
      <w:marBottom w:val="0"/>
      <w:divBdr>
        <w:top w:val="none" w:sz="0" w:space="0" w:color="auto"/>
        <w:left w:val="none" w:sz="0" w:space="0" w:color="auto"/>
        <w:bottom w:val="none" w:sz="0" w:space="0" w:color="auto"/>
        <w:right w:val="none" w:sz="0" w:space="0" w:color="auto"/>
      </w:divBdr>
    </w:div>
    <w:div w:id="1245603040">
      <w:bodyDiv w:val="1"/>
      <w:marLeft w:val="0"/>
      <w:marRight w:val="0"/>
      <w:marTop w:val="0"/>
      <w:marBottom w:val="0"/>
      <w:divBdr>
        <w:top w:val="none" w:sz="0" w:space="0" w:color="auto"/>
        <w:left w:val="none" w:sz="0" w:space="0" w:color="auto"/>
        <w:bottom w:val="none" w:sz="0" w:space="0" w:color="auto"/>
        <w:right w:val="none" w:sz="0" w:space="0" w:color="auto"/>
      </w:divBdr>
      <w:divsChild>
        <w:div w:id="1918519013">
          <w:marLeft w:val="0"/>
          <w:marRight w:val="0"/>
          <w:marTop w:val="0"/>
          <w:marBottom w:val="0"/>
          <w:divBdr>
            <w:top w:val="none" w:sz="0" w:space="0" w:color="auto"/>
            <w:left w:val="none" w:sz="0" w:space="0" w:color="auto"/>
            <w:bottom w:val="none" w:sz="0" w:space="0" w:color="auto"/>
            <w:right w:val="none" w:sz="0" w:space="0" w:color="auto"/>
          </w:divBdr>
          <w:divsChild>
            <w:div w:id="897203864">
              <w:marLeft w:val="0"/>
              <w:marRight w:val="0"/>
              <w:marTop w:val="0"/>
              <w:marBottom w:val="0"/>
              <w:divBdr>
                <w:top w:val="none" w:sz="0" w:space="0" w:color="auto"/>
                <w:left w:val="none" w:sz="0" w:space="0" w:color="auto"/>
                <w:bottom w:val="none" w:sz="0" w:space="0" w:color="auto"/>
                <w:right w:val="none" w:sz="0" w:space="0" w:color="auto"/>
              </w:divBdr>
              <w:divsChild>
                <w:div w:id="414088472">
                  <w:marLeft w:val="0"/>
                  <w:marRight w:val="0"/>
                  <w:marTop w:val="0"/>
                  <w:marBottom w:val="0"/>
                  <w:divBdr>
                    <w:top w:val="none" w:sz="0" w:space="0" w:color="auto"/>
                    <w:left w:val="none" w:sz="0" w:space="0" w:color="auto"/>
                    <w:bottom w:val="none" w:sz="0" w:space="0" w:color="auto"/>
                    <w:right w:val="none" w:sz="0" w:space="0" w:color="auto"/>
                  </w:divBdr>
                  <w:divsChild>
                    <w:div w:id="129152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799374">
      <w:bodyDiv w:val="1"/>
      <w:marLeft w:val="0"/>
      <w:marRight w:val="0"/>
      <w:marTop w:val="0"/>
      <w:marBottom w:val="0"/>
      <w:divBdr>
        <w:top w:val="none" w:sz="0" w:space="0" w:color="auto"/>
        <w:left w:val="none" w:sz="0" w:space="0" w:color="auto"/>
        <w:bottom w:val="none" w:sz="0" w:space="0" w:color="auto"/>
        <w:right w:val="none" w:sz="0" w:space="0" w:color="auto"/>
      </w:divBdr>
    </w:div>
    <w:div w:id="1246765001">
      <w:bodyDiv w:val="1"/>
      <w:marLeft w:val="0"/>
      <w:marRight w:val="0"/>
      <w:marTop w:val="0"/>
      <w:marBottom w:val="0"/>
      <w:divBdr>
        <w:top w:val="none" w:sz="0" w:space="0" w:color="auto"/>
        <w:left w:val="none" w:sz="0" w:space="0" w:color="auto"/>
        <w:bottom w:val="none" w:sz="0" w:space="0" w:color="auto"/>
        <w:right w:val="none" w:sz="0" w:space="0" w:color="auto"/>
      </w:divBdr>
    </w:div>
    <w:div w:id="1246918630">
      <w:bodyDiv w:val="1"/>
      <w:marLeft w:val="0"/>
      <w:marRight w:val="0"/>
      <w:marTop w:val="0"/>
      <w:marBottom w:val="0"/>
      <w:divBdr>
        <w:top w:val="none" w:sz="0" w:space="0" w:color="auto"/>
        <w:left w:val="none" w:sz="0" w:space="0" w:color="auto"/>
        <w:bottom w:val="none" w:sz="0" w:space="0" w:color="auto"/>
        <w:right w:val="none" w:sz="0" w:space="0" w:color="auto"/>
      </w:divBdr>
    </w:div>
    <w:div w:id="1247306354">
      <w:bodyDiv w:val="1"/>
      <w:marLeft w:val="0"/>
      <w:marRight w:val="0"/>
      <w:marTop w:val="0"/>
      <w:marBottom w:val="0"/>
      <w:divBdr>
        <w:top w:val="none" w:sz="0" w:space="0" w:color="auto"/>
        <w:left w:val="none" w:sz="0" w:space="0" w:color="auto"/>
        <w:bottom w:val="none" w:sz="0" w:space="0" w:color="auto"/>
        <w:right w:val="none" w:sz="0" w:space="0" w:color="auto"/>
      </w:divBdr>
    </w:div>
    <w:div w:id="1249116511">
      <w:bodyDiv w:val="1"/>
      <w:marLeft w:val="0"/>
      <w:marRight w:val="0"/>
      <w:marTop w:val="0"/>
      <w:marBottom w:val="0"/>
      <w:divBdr>
        <w:top w:val="none" w:sz="0" w:space="0" w:color="auto"/>
        <w:left w:val="none" w:sz="0" w:space="0" w:color="auto"/>
        <w:bottom w:val="none" w:sz="0" w:space="0" w:color="auto"/>
        <w:right w:val="none" w:sz="0" w:space="0" w:color="auto"/>
      </w:divBdr>
    </w:div>
    <w:div w:id="1249270494">
      <w:bodyDiv w:val="1"/>
      <w:marLeft w:val="0"/>
      <w:marRight w:val="0"/>
      <w:marTop w:val="0"/>
      <w:marBottom w:val="0"/>
      <w:divBdr>
        <w:top w:val="none" w:sz="0" w:space="0" w:color="auto"/>
        <w:left w:val="none" w:sz="0" w:space="0" w:color="auto"/>
        <w:bottom w:val="none" w:sz="0" w:space="0" w:color="auto"/>
        <w:right w:val="none" w:sz="0" w:space="0" w:color="auto"/>
      </w:divBdr>
      <w:divsChild>
        <w:div w:id="1523395452">
          <w:marLeft w:val="0"/>
          <w:marRight w:val="0"/>
          <w:marTop w:val="0"/>
          <w:marBottom w:val="0"/>
          <w:divBdr>
            <w:top w:val="none" w:sz="0" w:space="0" w:color="auto"/>
            <w:left w:val="none" w:sz="0" w:space="0" w:color="auto"/>
            <w:bottom w:val="none" w:sz="0" w:space="0" w:color="auto"/>
            <w:right w:val="none" w:sz="0" w:space="0" w:color="auto"/>
          </w:divBdr>
          <w:divsChild>
            <w:div w:id="35081971">
              <w:marLeft w:val="0"/>
              <w:marRight w:val="0"/>
              <w:marTop w:val="0"/>
              <w:marBottom w:val="0"/>
              <w:divBdr>
                <w:top w:val="none" w:sz="0" w:space="0" w:color="auto"/>
                <w:left w:val="none" w:sz="0" w:space="0" w:color="auto"/>
                <w:bottom w:val="none" w:sz="0" w:space="0" w:color="auto"/>
                <w:right w:val="none" w:sz="0" w:space="0" w:color="auto"/>
              </w:divBdr>
              <w:divsChild>
                <w:div w:id="173658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234523">
      <w:bodyDiv w:val="1"/>
      <w:marLeft w:val="0"/>
      <w:marRight w:val="0"/>
      <w:marTop w:val="0"/>
      <w:marBottom w:val="0"/>
      <w:divBdr>
        <w:top w:val="none" w:sz="0" w:space="0" w:color="auto"/>
        <w:left w:val="none" w:sz="0" w:space="0" w:color="auto"/>
        <w:bottom w:val="none" w:sz="0" w:space="0" w:color="auto"/>
        <w:right w:val="none" w:sz="0" w:space="0" w:color="auto"/>
      </w:divBdr>
    </w:div>
    <w:div w:id="1251045023">
      <w:bodyDiv w:val="1"/>
      <w:marLeft w:val="0"/>
      <w:marRight w:val="0"/>
      <w:marTop w:val="0"/>
      <w:marBottom w:val="0"/>
      <w:divBdr>
        <w:top w:val="none" w:sz="0" w:space="0" w:color="auto"/>
        <w:left w:val="none" w:sz="0" w:space="0" w:color="auto"/>
        <w:bottom w:val="none" w:sz="0" w:space="0" w:color="auto"/>
        <w:right w:val="none" w:sz="0" w:space="0" w:color="auto"/>
      </w:divBdr>
    </w:div>
    <w:div w:id="1251163754">
      <w:bodyDiv w:val="1"/>
      <w:marLeft w:val="0"/>
      <w:marRight w:val="0"/>
      <w:marTop w:val="0"/>
      <w:marBottom w:val="0"/>
      <w:divBdr>
        <w:top w:val="none" w:sz="0" w:space="0" w:color="auto"/>
        <w:left w:val="none" w:sz="0" w:space="0" w:color="auto"/>
        <w:bottom w:val="none" w:sz="0" w:space="0" w:color="auto"/>
        <w:right w:val="none" w:sz="0" w:space="0" w:color="auto"/>
      </w:divBdr>
    </w:div>
    <w:div w:id="1252005269">
      <w:bodyDiv w:val="1"/>
      <w:marLeft w:val="0"/>
      <w:marRight w:val="0"/>
      <w:marTop w:val="0"/>
      <w:marBottom w:val="0"/>
      <w:divBdr>
        <w:top w:val="none" w:sz="0" w:space="0" w:color="auto"/>
        <w:left w:val="none" w:sz="0" w:space="0" w:color="auto"/>
        <w:bottom w:val="none" w:sz="0" w:space="0" w:color="auto"/>
        <w:right w:val="none" w:sz="0" w:space="0" w:color="auto"/>
      </w:divBdr>
    </w:div>
    <w:div w:id="1252591763">
      <w:bodyDiv w:val="1"/>
      <w:marLeft w:val="0"/>
      <w:marRight w:val="0"/>
      <w:marTop w:val="0"/>
      <w:marBottom w:val="0"/>
      <w:divBdr>
        <w:top w:val="none" w:sz="0" w:space="0" w:color="auto"/>
        <w:left w:val="none" w:sz="0" w:space="0" w:color="auto"/>
        <w:bottom w:val="none" w:sz="0" w:space="0" w:color="auto"/>
        <w:right w:val="none" w:sz="0" w:space="0" w:color="auto"/>
      </w:divBdr>
    </w:div>
    <w:div w:id="1252619398">
      <w:bodyDiv w:val="1"/>
      <w:marLeft w:val="0"/>
      <w:marRight w:val="0"/>
      <w:marTop w:val="0"/>
      <w:marBottom w:val="0"/>
      <w:divBdr>
        <w:top w:val="none" w:sz="0" w:space="0" w:color="auto"/>
        <w:left w:val="none" w:sz="0" w:space="0" w:color="auto"/>
        <w:bottom w:val="none" w:sz="0" w:space="0" w:color="auto"/>
        <w:right w:val="none" w:sz="0" w:space="0" w:color="auto"/>
      </w:divBdr>
    </w:div>
    <w:div w:id="1252742004">
      <w:bodyDiv w:val="1"/>
      <w:marLeft w:val="0"/>
      <w:marRight w:val="0"/>
      <w:marTop w:val="0"/>
      <w:marBottom w:val="0"/>
      <w:divBdr>
        <w:top w:val="none" w:sz="0" w:space="0" w:color="auto"/>
        <w:left w:val="none" w:sz="0" w:space="0" w:color="auto"/>
        <w:bottom w:val="none" w:sz="0" w:space="0" w:color="auto"/>
        <w:right w:val="none" w:sz="0" w:space="0" w:color="auto"/>
      </w:divBdr>
      <w:divsChild>
        <w:div w:id="254173810">
          <w:marLeft w:val="0"/>
          <w:marRight w:val="0"/>
          <w:marTop w:val="0"/>
          <w:marBottom w:val="0"/>
          <w:divBdr>
            <w:top w:val="none" w:sz="0" w:space="0" w:color="auto"/>
            <w:left w:val="none" w:sz="0" w:space="0" w:color="auto"/>
            <w:bottom w:val="none" w:sz="0" w:space="0" w:color="auto"/>
            <w:right w:val="none" w:sz="0" w:space="0" w:color="auto"/>
          </w:divBdr>
          <w:divsChild>
            <w:div w:id="1415207255">
              <w:marLeft w:val="0"/>
              <w:marRight w:val="0"/>
              <w:marTop w:val="0"/>
              <w:marBottom w:val="0"/>
              <w:divBdr>
                <w:top w:val="none" w:sz="0" w:space="0" w:color="auto"/>
                <w:left w:val="none" w:sz="0" w:space="0" w:color="auto"/>
                <w:bottom w:val="none" w:sz="0" w:space="0" w:color="auto"/>
                <w:right w:val="none" w:sz="0" w:space="0" w:color="auto"/>
              </w:divBdr>
              <w:divsChild>
                <w:div w:id="1468744734">
                  <w:marLeft w:val="0"/>
                  <w:marRight w:val="0"/>
                  <w:marTop w:val="0"/>
                  <w:marBottom w:val="0"/>
                  <w:divBdr>
                    <w:top w:val="none" w:sz="0" w:space="0" w:color="auto"/>
                    <w:left w:val="none" w:sz="0" w:space="0" w:color="auto"/>
                    <w:bottom w:val="none" w:sz="0" w:space="0" w:color="auto"/>
                    <w:right w:val="none" w:sz="0" w:space="0" w:color="auto"/>
                  </w:divBdr>
                  <w:divsChild>
                    <w:div w:id="68782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126079">
      <w:bodyDiv w:val="1"/>
      <w:marLeft w:val="0"/>
      <w:marRight w:val="0"/>
      <w:marTop w:val="0"/>
      <w:marBottom w:val="0"/>
      <w:divBdr>
        <w:top w:val="none" w:sz="0" w:space="0" w:color="auto"/>
        <w:left w:val="none" w:sz="0" w:space="0" w:color="auto"/>
        <w:bottom w:val="none" w:sz="0" w:space="0" w:color="auto"/>
        <w:right w:val="none" w:sz="0" w:space="0" w:color="auto"/>
      </w:divBdr>
    </w:div>
    <w:div w:id="1253391923">
      <w:bodyDiv w:val="1"/>
      <w:marLeft w:val="0"/>
      <w:marRight w:val="0"/>
      <w:marTop w:val="0"/>
      <w:marBottom w:val="0"/>
      <w:divBdr>
        <w:top w:val="none" w:sz="0" w:space="0" w:color="auto"/>
        <w:left w:val="none" w:sz="0" w:space="0" w:color="auto"/>
        <w:bottom w:val="none" w:sz="0" w:space="0" w:color="auto"/>
        <w:right w:val="none" w:sz="0" w:space="0" w:color="auto"/>
      </w:divBdr>
    </w:div>
    <w:div w:id="1253900904">
      <w:bodyDiv w:val="1"/>
      <w:marLeft w:val="0"/>
      <w:marRight w:val="0"/>
      <w:marTop w:val="0"/>
      <w:marBottom w:val="0"/>
      <w:divBdr>
        <w:top w:val="none" w:sz="0" w:space="0" w:color="auto"/>
        <w:left w:val="none" w:sz="0" w:space="0" w:color="auto"/>
        <w:bottom w:val="none" w:sz="0" w:space="0" w:color="auto"/>
        <w:right w:val="none" w:sz="0" w:space="0" w:color="auto"/>
      </w:divBdr>
    </w:div>
    <w:div w:id="1254128805">
      <w:bodyDiv w:val="1"/>
      <w:marLeft w:val="0"/>
      <w:marRight w:val="0"/>
      <w:marTop w:val="0"/>
      <w:marBottom w:val="0"/>
      <w:divBdr>
        <w:top w:val="none" w:sz="0" w:space="0" w:color="auto"/>
        <w:left w:val="none" w:sz="0" w:space="0" w:color="auto"/>
        <w:bottom w:val="none" w:sz="0" w:space="0" w:color="auto"/>
        <w:right w:val="none" w:sz="0" w:space="0" w:color="auto"/>
      </w:divBdr>
    </w:div>
    <w:div w:id="1254391033">
      <w:bodyDiv w:val="1"/>
      <w:marLeft w:val="0"/>
      <w:marRight w:val="0"/>
      <w:marTop w:val="0"/>
      <w:marBottom w:val="0"/>
      <w:divBdr>
        <w:top w:val="none" w:sz="0" w:space="0" w:color="auto"/>
        <w:left w:val="none" w:sz="0" w:space="0" w:color="auto"/>
        <w:bottom w:val="none" w:sz="0" w:space="0" w:color="auto"/>
        <w:right w:val="none" w:sz="0" w:space="0" w:color="auto"/>
      </w:divBdr>
    </w:div>
    <w:div w:id="1256354415">
      <w:bodyDiv w:val="1"/>
      <w:marLeft w:val="0"/>
      <w:marRight w:val="0"/>
      <w:marTop w:val="0"/>
      <w:marBottom w:val="0"/>
      <w:divBdr>
        <w:top w:val="none" w:sz="0" w:space="0" w:color="auto"/>
        <w:left w:val="none" w:sz="0" w:space="0" w:color="auto"/>
        <w:bottom w:val="none" w:sz="0" w:space="0" w:color="auto"/>
        <w:right w:val="none" w:sz="0" w:space="0" w:color="auto"/>
      </w:divBdr>
    </w:div>
    <w:div w:id="1256784925">
      <w:bodyDiv w:val="1"/>
      <w:marLeft w:val="0"/>
      <w:marRight w:val="0"/>
      <w:marTop w:val="0"/>
      <w:marBottom w:val="0"/>
      <w:divBdr>
        <w:top w:val="none" w:sz="0" w:space="0" w:color="auto"/>
        <w:left w:val="none" w:sz="0" w:space="0" w:color="auto"/>
        <w:bottom w:val="none" w:sz="0" w:space="0" w:color="auto"/>
        <w:right w:val="none" w:sz="0" w:space="0" w:color="auto"/>
      </w:divBdr>
      <w:divsChild>
        <w:div w:id="1951623304">
          <w:marLeft w:val="0"/>
          <w:marRight w:val="0"/>
          <w:marTop w:val="0"/>
          <w:marBottom w:val="0"/>
          <w:divBdr>
            <w:top w:val="none" w:sz="0" w:space="0" w:color="auto"/>
            <w:left w:val="none" w:sz="0" w:space="0" w:color="auto"/>
            <w:bottom w:val="none" w:sz="0" w:space="0" w:color="auto"/>
            <w:right w:val="none" w:sz="0" w:space="0" w:color="auto"/>
          </w:divBdr>
          <w:divsChild>
            <w:div w:id="1985963622">
              <w:marLeft w:val="0"/>
              <w:marRight w:val="0"/>
              <w:marTop w:val="0"/>
              <w:marBottom w:val="0"/>
              <w:divBdr>
                <w:top w:val="none" w:sz="0" w:space="0" w:color="auto"/>
                <w:left w:val="none" w:sz="0" w:space="0" w:color="auto"/>
                <w:bottom w:val="none" w:sz="0" w:space="0" w:color="auto"/>
                <w:right w:val="none" w:sz="0" w:space="0" w:color="auto"/>
              </w:divBdr>
              <w:divsChild>
                <w:div w:id="803541630">
                  <w:marLeft w:val="0"/>
                  <w:marRight w:val="0"/>
                  <w:marTop w:val="0"/>
                  <w:marBottom w:val="0"/>
                  <w:divBdr>
                    <w:top w:val="none" w:sz="0" w:space="0" w:color="auto"/>
                    <w:left w:val="none" w:sz="0" w:space="0" w:color="auto"/>
                    <w:bottom w:val="none" w:sz="0" w:space="0" w:color="auto"/>
                    <w:right w:val="none" w:sz="0" w:space="0" w:color="auto"/>
                  </w:divBdr>
                  <w:divsChild>
                    <w:div w:id="7929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93058">
      <w:bodyDiv w:val="1"/>
      <w:marLeft w:val="0"/>
      <w:marRight w:val="0"/>
      <w:marTop w:val="0"/>
      <w:marBottom w:val="0"/>
      <w:divBdr>
        <w:top w:val="none" w:sz="0" w:space="0" w:color="auto"/>
        <w:left w:val="none" w:sz="0" w:space="0" w:color="auto"/>
        <w:bottom w:val="none" w:sz="0" w:space="0" w:color="auto"/>
        <w:right w:val="none" w:sz="0" w:space="0" w:color="auto"/>
      </w:divBdr>
    </w:div>
    <w:div w:id="1257405795">
      <w:bodyDiv w:val="1"/>
      <w:marLeft w:val="0"/>
      <w:marRight w:val="0"/>
      <w:marTop w:val="0"/>
      <w:marBottom w:val="0"/>
      <w:divBdr>
        <w:top w:val="none" w:sz="0" w:space="0" w:color="auto"/>
        <w:left w:val="none" w:sz="0" w:space="0" w:color="auto"/>
        <w:bottom w:val="none" w:sz="0" w:space="0" w:color="auto"/>
        <w:right w:val="none" w:sz="0" w:space="0" w:color="auto"/>
      </w:divBdr>
    </w:div>
    <w:div w:id="1258174077">
      <w:bodyDiv w:val="1"/>
      <w:marLeft w:val="0"/>
      <w:marRight w:val="0"/>
      <w:marTop w:val="0"/>
      <w:marBottom w:val="0"/>
      <w:divBdr>
        <w:top w:val="none" w:sz="0" w:space="0" w:color="auto"/>
        <w:left w:val="none" w:sz="0" w:space="0" w:color="auto"/>
        <w:bottom w:val="none" w:sz="0" w:space="0" w:color="auto"/>
        <w:right w:val="none" w:sz="0" w:space="0" w:color="auto"/>
      </w:divBdr>
    </w:div>
    <w:div w:id="1259174769">
      <w:bodyDiv w:val="1"/>
      <w:marLeft w:val="0"/>
      <w:marRight w:val="0"/>
      <w:marTop w:val="0"/>
      <w:marBottom w:val="0"/>
      <w:divBdr>
        <w:top w:val="none" w:sz="0" w:space="0" w:color="auto"/>
        <w:left w:val="none" w:sz="0" w:space="0" w:color="auto"/>
        <w:bottom w:val="none" w:sz="0" w:space="0" w:color="auto"/>
        <w:right w:val="none" w:sz="0" w:space="0" w:color="auto"/>
      </w:divBdr>
    </w:div>
    <w:div w:id="1260597336">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912078">
      <w:bodyDiv w:val="1"/>
      <w:marLeft w:val="0"/>
      <w:marRight w:val="0"/>
      <w:marTop w:val="0"/>
      <w:marBottom w:val="0"/>
      <w:divBdr>
        <w:top w:val="none" w:sz="0" w:space="0" w:color="auto"/>
        <w:left w:val="none" w:sz="0" w:space="0" w:color="auto"/>
        <w:bottom w:val="none" w:sz="0" w:space="0" w:color="auto"/>
        <w:right w:val="none" w:sz="0" w:space="0" w:color="auto"/>
      </w:divBdr>
    </w:div>
    <w:div w:id="1262027601">
      <w:bodyDiv w:val="1"/>
      <w:marLeft w:val="0"/>
      <w:marRight w:val="0"/>
      <w:marTop w:val="0"/>
      <w:marBottom w:val="0"/>
      <w:divBdr>
        <w:top w:val="none" w:sz="0" w:space="0" w:color="auto"/>
        <w:left w:val="none" w:sz="0" w:space="0" w:color="auto"/>
        <w:bottom w:val="none" w:sz="0" w:space="0" w:color="auto"/>
        <w:right w:val="none" w:sz="0" w:space="0" w:color="auto"/>
      </w:divBdr>
    </w:div>
    <w:div w:id="1262105461">
      <w:bodyDiv w:val="1"/>
      <w:marLeft w:val="0"/>
      <w:marRight w:val="0"/>
      <w:marTop w:val="0"/>
      <w:marBottom w:val="0"/>
      <w:divBdr>
        <w:top w:val="none" w:sz="0" w:space="0" w:color="auto"/>
        <w:left w:val="none" w:sz="0" w:space="0" w:color="auto"/>
        <w:bottom w:val="none" w:sz="0" w:space="0" w:color="auto"/>
        <w:right w:val="none" w:sz="0" w:space="0" w:color="auto"/>
      </w:divBdr>
      <w:divsChild>
        <w:div w:id="2070876837">
          <w:marLeft w:val="0"/>
          <w:marRight w:val="0"/>
          <w:marTop w:val="0"/>
          <w:marBottom w:val="0"/>
          <w:divBdr>
            <w:top w:val="none" w:sz="0" w:space="0" w:color="auto"/>
            <w:left w:val="none" w:sz="0" w:space="0" w:color="auto"/>
            <w:bottom w:val="none" w:sz="0" w:space="0" w:color="auto"/>
            <w:right w:val="none" w:sz="0" w:space="0" w:color="auto"/>
          </w:divBdr>
          <w:divsChild>
            <w:div w:id="1551575763">
              <w:marLeft w:val="0"/>
              <w:marRight w:val="0"/>
              <w:marTop w:val="0"/>
              <w:marBottom w:val="0"/>
              <w:divBdr>
                <w:top w:val="none" w:sz="0" w:space="0" w:color="auto"/>
                <w:left w:val="none" w:sz="0" w:space="0" w:color="auto"/>
                <w:bottom w:val="none" w:sz="0" w:space="0" w:color="auto"/>
                <w:right w:val="none" w:sz="0" w:space="0" w:color="auto"/>
              </w:divBdr>
              <w:divsChild>
                <w:div w:id="334891848">
                  <w:marLeft w:val="0"/>
                  <w:marRight w:val="0"/>
                  <w:marTop w:val="0"/>
                  <w:marBottom w:val="0"/>
                  <w:divBdr>
                    <w:top w:val="none" w:sz="0" w:space="0" w:color="auto"/>
                    <w:left w:val="none" w:sz="0" w:space="0" w:color="auto"/>
                    <w:bottom w:val="none" w:sz="0" w:space="0" w:color="auto"/>
                    <w:right w:val="none" w:sz="0" w:space="0" w:color="auto"/>
                  </w:divBdr>
                  <w:divsChild>
                    <w:div w:id="196230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184539">
      <w:bodyDiv w:val="1"/>
      <w:marLeft w:val="0"/>
      <w:marRight w:val="0"/>
      <w:marTop w:val="0"/>
      <w:marBottom w:val="0"/>
      <w:divBdr>
        <w:top w:val="none" w:sz="0" w:space="0" w:color="auto"/>
        <w:left w:val="none" w:sz="0" w:space="0" w:color="auto"/>
        <w:bottom w:val="none" w:sz="0" w:space="0" w:color="auto"/>
        <w:right w:val="none" w:sz="0" w:space="0" w:color="auto"/>
      </w:divBdr>
      <w:divsChild>
        <w:div w:id="1784879741">
          <w:marLeft w:val="0"/>
          <w:marRight w:val="0"/>
          <w:marTop w:val="0"/>
          <w:marBottom w:val="0"/>
          <w:divBdr>
            <w:top w:val="none" w:sz="0" w:space="0" w:color="auto"/>
            <w:left w:val="none" w:sz="0" w:space="0" w:color="auto"/>
            <w:bottom w:val="none" w:sz="0" w:space="0" w:color="auto"/>
            <w:right w:val="none" w:sz="0" w:space="0" w:color="auto"/>
          </w:divBdr>
          <w:divsChild>
            <w:div w:id="1323895381">
              <w:marLeft w:val="0"/>
              <w:marRight w:val="0"/>
              <w:marTop w:val="0"/>
              <w:marBottom w:val="0"/>
              <w:divBdr>
                <w:top w:val="none" w:sz="0" w:space="0" w:color="auto"/>
                <w:left w:val="none" w:sz="0" w:space="0" w:color="auto"/>
                <w:bottom w:val="none" w:sz="0" w:space="0" w:color="auto"/>
                <w:right w:val="none" w:sz="0" w:space="0" w:color="auto"/>
              </w:divBdr>
              <w:divsChild>
                <w:div w:id="579949012">
                  <w:marLeft w:val="0"/>
                  <w:marRight w:val="0"/>
                  <w:marTop w:val="0"/>
                  <w:marBottom w:val="0"/>
                  <w:divBdr>
                    <w:top w:val="none" w:sz="0" w:space="0" w:color="auto"/>
                    <w:left w:val="none" w:sz="0" w:space="0" w:color="auto"/>
                    <w:bottom w:val="none" w:sz="0" w:space="0" w:color="auto"/>
                    <w:right w:val="none" w:sz="0" w:space="0" w:color="auto"/>
                  </w:divBdr>
                  <w:divsChild>
                    <w:div w:id="1164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880879">
      <w:bodyDiv w:val="1"/>
      <w:marLeft w:val="0"/>
      <w:marRight w:val="0"/>
      <w:marTop w:val="0"/>
      <w:marBottom w:val="0"/>
      <w:divBdr>
        <w:top w:val="none" w:sz="0" w:space="0" w:color="auto"/>
        <w:left w:val="none" w:sz="0" w:space="0" w:color="auto"/>
        <w:bottom w:val="none" w:sz="0" w:space="0" w:color="auto"/>
        <w:right w:val="none" w:sz="0" w:space="0" w:color="auto"/>
      </w:divBdr>
    </w:div>
    <w:div w:id="1263881618">
      <w:bodyDiv w:val="1"/>
      <w:marLeft w:val="0"/>
      <w:marRight w:val="0"/>
      <w:marTop w:val="0"/>
      <w:marBottom w:val="0"/>
      <w:divBdr>
        <w:top w:val="none" w:sz="0" w:space="0" w:color="auto"/>
        <w:left w:val="none" w:sz="0" w:space="0" w:color="auto"/>
        <w:bottom w:val="none" w:sz="0" w:space="0" w:color="auto"/>
        <w:right w:val="none" w:sz="0" w:space="0" w:color="auto"/>
      </w:divBdr>
      <w:divsChild>
        <w:div w:id="471606667">
          <w:marLeft w:val="0"/>
          <w:marRight w:val="0"/>
          <w:marTop w:val="0"/>
          <w:marBottom w:val="0"/>
          <w:divBdr>
            <w:top w:val="none" w:sz="0" w:space="0" w:color="auto"/>
            <w:left w:val="none" w:sz="0" w:space="0" w:color="auto"/>
            <w:bottom w:val="none" w:sz="0" w:space="0" w:color="auto"/>
            <w:right w:val="none" w:sz="0" w:space="0" w:color="auto"/>
          </w:divBdr>
          <w:divsChild>
            <w:div w:id="1020005591">
              <w:marLeft w:val="0"/>
              <w:marRight w:val="0"/>
              <w:marTop w:val="0"/>
              <w:marBottom w:val="0"/>
              <w:divBdr>
                <w:top w:val="none" w:sz="0" w:space="0" w:color="auto"/>
                <w:left w:val="none" w:sz="0" w:space="0" w:color="auto"/>
                <w:bottom w:val="none" w:sz="0" w:space="0" w:color="auto"/>
                <w:right w:val="none" w:sz="0" w:space="0" w:color="auto"/>
              </w:divBdr>
              <w:divsChild>
                <w:div w:id="1355762828">
                  <w:marLeft w:val="0"/>
                  <w:marRight w:val="0"/>
                  <w:marTop w:val="0"/>
                  <w:marBottom w:val="0"/>
                  <w:divBdr>
                    <w:top w:val="none" w:sz="0" w:space="0" w:color="auto"/>
                    <w:left w:val="none" w:sz="0" w:space="0" w:color="auto"/>
                    <w:bottom w:val="none" w:sz="0" w:space="0" w:color="auto"/>
                    <w:right w:val="none" w:sz="0" w:space="0" w:color="auto"/>
                  </w:divBdr>
                  <w:divsChild>
                    <w:div w:id="118883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261845">
      <w:bodyDiv w:val="1"/>
      <w:marLeft w:val="0"/>
      <w:marRight w:val="0"/>
      <w:marTop w:val="0"/>
      <w:marBottom w:val="0"/>
      <w:divBdr>
        <w:top w:val="none" w:sz="0" w:space="0" w:color="auto"/>
        <w:left w:val="none" w:sz="0" w:space="0" w:color="auto"/>
        <w:bottom w:val="none" w:sz="0" w:space="0" w:color="auto"/>
        <w:right w:val="none" w:sz="0" w:space="0" w:color="auto"/>
      </w:divBdr>
    </w:div>
    <w:div w:id="1264268499">
      <w:bodyDiv w:val="1"/>
      <w:marLeft w:val="0"/>
      <w:marRight w:val="0"/>
      <w:marTop w:val="0"/>
      <w:marBottom w:val="0"/>
      <w:divBdr>
        <w:top w:val="none" w:sz="0" w:space="0" w:color="auto"/>
        <w:left w:val="none" w:sz="0" w:space="0" w:color="auto"/>
        <w:bottom w:val="none" w:sz="0" w:space="0" w:color="auto"/>
        <w:right w:val="none" w:sz="0" w:space="0" w:color="auto"/>
      </w:divBdr>
    </w:div>
    <w:div w:id="1264804631">
      <w:bodyDiv w:val="1"/>
      <w:marLeft w:val="0"/>
      <w:marRight w:val="0"/>
      <w:marTop w:val="0"/>
      <w:marBottom w:val="0"/>
      <w:divBdr>
        <w:top w:val="none" w:sz="0" w:space="0" w:color="auto"/>
        <w:left w:val="none" w:sz="0" w:space="0" w:color="auto"/>
        <w:bottom w:val="none" w:sz="0" w:space="0" w:color="auto"/>
        <w:right w:val="none" w:sz="0" w:space="0" w:color="auto"/>
      </w:divBdr>
    </w:div>
    <w:div w:id="1264876864">
      <w:bodyDiv w:val="1"/>
      <w:marLeft w:val="0"/>
      <w:marRight w:val="0"/>
      <w:marTop w:val="0"/>
      <w:marBottom w:val="0"/>
      <w:divBdr>
        <w:top w:val="none" w:sz="0" w:space="0" w:color="auto"/>
        <w:left w:val="none" w:sz="0" w:space="0" w:color="auto"/>
        <w:bottom w:val="none" w:sz="0" w:space="0" w:color="auto"/>
        <w:right w:val="none" w:sz="0" w:space="0" w:color="auto"/>
      </w:divBdr>
    </w:div>
    <w:div w:id="1264994559">
      <w:bodyDiv w:val="1"/>
      <w:marLeft w:val="0"/>
      <w:marRight w:val="0"/>
      <w:marTop w:val="0"/>
      <w:marBottom w:val="0"/>
      <w:divBdr>
        <w:top w:val="none" w:sz="0" w:space="0" w:color="auto"/>
        <w:left w:val="none" w:sz="0" w:space="0" w:color="auto"/>
        <w:bottom w:val="none" w:sz="0" w:space="0" w:color="auto"/>
        <w:right w:val="none" w:sz="0" w:space="0" w:color="auto"/>
      </w:divBdr>
    </w:div>
    <w:div w:id="1265529138">
      <w:bodyDiv w:val="1"/>
      <w:marLeft w:val="0"/>
      <w:marRight w:val="0"/>
      <w:marTop w:val="0"/>
      <w:marBottom w:val="0"/>
      <w:divBdr>
        <w:top w:val="none" w:sz="0" w:space="0" w:color="auto"/>
        <w:left w:val="none" w:sz="0" w:space="0" w:color="auto"/>
        <w:bottom w:val="none" w:sz="0" w:space="0" w:color="auto"/>
        <w:right w:val="none" w:sz="0" w:space="0" w:color="auto"/>
      </w:divBdr>
      <w:divsChild>
        <w:div w:id="1287007504">
          <w:marLeft w:val="0"/>
          <w:marRight w:val="0"/>
          <w:marTop w:val="0"/>
          <w:marBottom w:val="0"/>
          <w:divBdr>
            <w:top w:val="none" w:sz="0" w:space="0" w:color="auto"/>
            <w:left w:val="none" w:sz="0" w:space="0" w:color="auto"/>
            <w:bottom w:val="none" w:sz="0" w:space="0" w:color="auto"/>
            <w:right w:val="none" w:sz="0" w:space="0" w:color="auto"/>
          </w:divBdr>
          <w:divsChild>
            <w:div w:id="1214073820">
              <w:marLeft w:val="0"/>
              <w:marRight w:val="0"/>
              <w:marTop w:val="0"/>
              <w:marBottom w:val="0"/>
              <w:divBdr>
                <w:top w:val="none" w:sz="0" w:space="0" w:color="auto"/>
                <w:left w:val="none" w:sz="0" w:space="0" w:color="auto"/>
                <w:bottom w:val="none" w:sz="0" w:space="0" w:color="auto"/>
                <w:right w:val="none" w:sz="0" w:space="0" w:color="auto"/>
              </w:divBdr>
              <w:divsChild>
                <w:div w:id="1391419951">
                  <w:marLeft w:val="0"/>
                  <w:marRight w:val="0"/>
                  <w:marTop w:val="0"/>
                  <w:marBottom w:val="0"/>
                  <w:divBdr>
                    <w:top w:val="none" w:sz="0" w:space="0" w:color="auto"/>
                    <w:left w:val="none" w:sz="0" w:space="0" w:color="auto"/>
                    <w:bottom w:val="none" w:sz="0" w:space="0" w:color="auto"/>
                    <w:right w:val="none" w:sz="0" w:space="0" w:color="auto"/>
                  </w:divBdr>
                  <w:divsChild>
                    <w:div w:id="21070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654850">
      <w:bodyDiv w:val="1"/>
      <w:marLeft w:val="0"/>
      <w:marRight w:val="0"/>
      <w:marTop w:val="0"/>
      <w:marBottom w:val="0"/>
      <w:divBdr>
        <w:top w:val="none" w:sz="0" w:space="0" w:color="auto"/>
        <w:left w:val="none" w:sz="0" w:space="0" w:color="auto"/>
        <w:bottom w:val="none" w:sz="0" w:space="0" w:color="auto"/>
        <w:right w:val="none" w:sz="0" w:space="0" w:color="auto"/>
      </w:divBdr>
      <w:divsChild>
        <w:div w:id="1135413084">
          <w:marLeft w:val="0"/>
          <w:marRight w:val="0"/>
          <w:marTop w:val="0"/>
          <w:marBottom w:val="0"/>
          <w:divBdr>
            <w:top w:val="none" w:sz="0" w:space="0" w:color="auto"/>
            <w:left w:val="none" w:sz="0" w:space="0" w:color="auto"/>
            <w:bottom w:val="none" w:sz="0" w:space="0" w:color="auto"/>
            <w:right w:val="none" w:sz="0" w:space="0" w:color="auto"/>
          </w:divBdr>
          <w:divsChild>
            <w:div w:id="208997081">
              <w:marLeft w:val="0"/>
              <w:marRight w:val="0"/>
              <w:marTop w:val="0"/>
              <w:marBottom w:val="0"/>
              <w:divBdr>
                <w:top w:val="none" w:sz="0" w:space="0" w:color="auto"/>
                <w:left w:val="none" w:sz="0" w:space="0" w:color="auto"/>
                <w:bottom w:val="none" w:sz="0" w:space="0" w:color="auto"/>
                <w:right w:val="none" w:sz="0" w:space="0" w:color="auto"/>
              </w:divBdr>
              <w:divsChild>
                <w:div w:id="1877086967">
                  <w:marLeft w:val="0"/>
                  <w:marRight w:val="0"/>
                  <w:marTop w:val="0"/>
                  <w:marBottom w:val="0"/>
                  <w:divBdr>
                    <w:top w:val="none" w:sz="0" w:space="0" w:color="auto"/>
                    <w:left w:val="none" w:sz="0" w:space="0" w:color="auto"/>
                    <w:bottom w:val="none" w:sz="0" w:space="0" w:color="auto"/>
                    <w:right w:val="none" w:sz="0" w:space="0" w:color="auto"/>
                  </w:divBdr>
                  <w:divsChild>
                    <w:div w:id="106995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183845">
      <w:bodyDiv w:val="1"/>
      <w:marLeft w:val="0"/>
      <w:marRight w:val="0"/>
      <w:marTop w:val="0"/>
      <w:marBottom w:val="0"/>
      <w:divBdr>
        <w:top w:val="none" w:sz="0" w:space="0" w:color="auto"/>
        <w:left w:val="none" w:sz="0" w:space="0" w:color="auto"/>
        <w:bottom w:val="none" w:sz="0" w:space="0" w:color="auto"/>
        <w:right w:val="none" w:sz="0" w:space="0" w:color="auto"/>
      </w:divBdr>
    </w:div>
    <w:div w:id="1267807887">
      <w:bodyDiv w:val="1"/>
      <w:marLeft w:val="0"/>
      <w:marRight w:val="0"/>
      <w:marTop w:val="0"/>
      <w:marBottom w:val="0"/>
      <w:divBdr>
        <w:top w:val="none" w:sz="0" w:space="0" w:color="auto"/>
        <w:left w:val="none" w:sz="0" w:space="0" w:color="auto"/>
        <w:bottom w:val="none" w:sz="0" w:space="0" w:color="auto"/>
        <w:right w:val="none" w:sz="0" w:space="0" w:color="auto"/>
      </w:divBdr>
    </w:div>
    <w:div w:id="1267956930">
      <w:bodyDiv w:val="1"/>
      <w:marLeft w:val="0"/>
      <w:marRight w:val="0"/>
      <w:marTop w:val="0"/>
      <w:marBottom w:val="0"/>
      <w:divBdr>
        <w:top w:val="none" w:sz="0" w:space="0" w:color="auto"/>
        <w:left w:val="none" w:sz="0" w:space="0" w:color="auto"/>
        <w:bottom w:val="none" w:sz="0" w:space="0" w:color="auto"/>
        <w:right w:val="none" w:sz="0" w:space="0" w:color="auto"/>
      </w:divBdr>
      <w:divsChild>
        <w:div w:id="241647138">
          <w:marLeft w:val="0"/>
          <w:marRight w:val="0"/>
          <w:marTop w:val="0"/>
          <w:marBottom w:val="0"/>
          <w:divBdr>
            <w:top w:val="none" w:sz="0" w:space="0" w:color="auto"/>
            <w:left w:val="none" w:sz="0" w:space="0" w:color="auto"/>
            <w:bottom w:val="none" w:sz="0" w:space="0" w:color="auto"/>
            <w:right w:val="none" w:sz="0" w:space="0" w:color="auto"/>
          </w:divBdr>
          <w:divsChild>
            <w:div w:id="124741956">
              <w:marLeft w:val="0"/>
              <w:marRight w:val="0"/>
              <w:marTop w:val="0"/>
              <w:marBottom w:val="0"/>
              <w:divBdr>
                <w:top w:val="none" w:sz="0" w:space="0" w:color="auto"/>
                <w:left w:val="none" w:sz="0" w:space="0" w:color="auto"/>
                <w:bottom w:val="none" w:sz="0" w:space="0" w:color="auto"/>
                <w:right w:val="none" w:sz="0" w:space="0" w:color="auto"/>
              </w:divBdr>
              <w:divsChild>
                <w:div w:id="1759983954">
                  <w:marLeft w:val="0"/>
                  <w:marRight w:val="0"/>
                  <w:marTop w:val="0"/>
                  <w:marBottom w:val="0"/>
                  <w:divBdr>
                    <w:top w:val="none" w:sz="0" w:space="0" w:color="auto"/>
                    <w:left w:val="none" w:sz="0" w:space="0" w:color="auto"/>
                    <w:bottom w:val="none" w:sz="0" w:space="0" w:color="auto"/>
                    <w:right w:val="none" w:sz="0" w:space="0" w:color="auto"/>
                  </w:divBdr>
                  <w:divsChild>
                    <w:div w:id="6410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460908">
      <w:bodyDiv w:val="1"/>
      <w:marLeft w:val="0"/>
      <w:marRight w:val="0"/>
      <w:marTop w:val="0"/>
      <w:marBottom w:val="0"/>
      <w:divBdr>
        <w:top w:val="none" w:sz="0" w:space="0" w:color="auto"/>
        <w:left w:val="none" w:sz="0" w:space="0" w:color="auto"/>
        <w:bottom w:val="none" w:sz="0" w:space="0" w:color="auto"/>
        <w:right w:val="none" w:sz="0" w:space="0" w:color="auto"/>
      </w:divBdr>
    </w:div>
    <w:div w:id="1268848443">
      <w:bodyDiv w:val="1"/>
      <w:marLeft w:val="0"/>
      <w:marRight w:val="0"/>
      <w:marTop w:val="0"/>
      <w:marBottom w:val="0"/>
      <w:divBdr>
        <w:top w:val="none" w:sz="0" w:space="0" w:color="auto"/>
        <w:left w:val="none" w:sz="0" w:space="0" w:color="auto"/>
        <w:bottom w:val="none" w:sz="0" w:space="0" w:color="auto"/>
        <w:right w:val="none" w:sz="0" w:space="0" w:color="auto"/>
      </w:divBdr>
    </w:div>
    <w:div w:id="1269197635">
      <w:bodyDiv w:val="1"/>
      <w:marLeft w:val="0"/>
      <w:marRight w:val="0"/>
      <w:marTop w:val="0"/>
      <w:marBottom w:val="0"/>
      <w:divBdr>
        <w:top w:val="none" w:sz="0" w:space="0" w:color="auto"/>
        <w:left w:val="none" w:sz="0" w:space="0" w:color="auto"/>
        <w:bottom w:val="none" w:sz="0" w:space="0" w:color="auto"/>
        <w:right w:val="none" w:sz="0" w:space="0" w:color="auto"/>
      </w:divBdr>
    </w:div>
    <w:div w:id="1269702337">
      <w:bodyDiv w:val="1"/>
      <w:marLeft w:val="0"/>
      <w:marRight w:val="0"/>
      <w:marTop w:val="0"/>
      <w:marBottom w:val="0"/>
      <w:divBdr>
        <w:top w:val="none" w:sz="0" w:space="0" w:color="auto"/>
        <w:left w:val="none" w:sz="0" w:space="0" w:color="auto"/>
        <w:bottom w:val="none" w:sz="0" w:space="0" w:color="auto"/>
        <w:right w:val="none" w:sz="0" w:space="0" w:color="auto"/>
      </w:divBdr>
    </w:div>
    <w:div w:id="1270310809">
      <w:bodyDiv w:val="1"/>
      <w:marLeft w:val="0"/>
      <w:marRight w:val="0"/>
      <w:marTop w:val="0"/>
      <w:marBottom w:val="0"/>
      <w:divBdr>
        <w:top w:val="none" w:sz="0" w:space="0" w:color="auto"/>
        <w:left w:val="none" w:sz="0" w:space="0" w:color="auto"/>
        <w:bottom w:val="none" w:sz="0" w:space="0" w:color="auto"/>
        <w:right w:val="none" w:sz="0" w:space="0" w:color="auto"/>
      </w:divBdr>
      <w:divsChild>
        <w:div w:id="1777822072">
          <w:marLeft w:val="0"/>
          <w:marRight w:val="0"/>
          <w:marTop w:val="0"/>
          <w:marBottom w:val="0"/>
          <w:divBdr>
            <w:top w:val="none" w:sz="0" w:space="0" w:color="auto"/>
            <w:left w:val="none" w:sz="0" w:space="0" w:color="auto"/>
            <w:bottom w:val="none" w:sz="0" w:space="0" w:color="auto"/>
            <w:right w:val="none" w:sz="0" w:space="0" w:color="auto"/>
          </w:divBdr>
          <w:divsChild>
            <w:div w:id="348065028">
              <w:marLeft w:val="0"/>
              <w:marRight w:val="0"/>
              <w:marTop w:val="0"/>
              <w:marBottom w:val="0"/>
              <w:divBdr>
                <w:top w:val="none" w:sz="0" w:space="0" w:color="auto"/>
                <w:left w:val="none" w:sz="0" w:space="0" w:color="auto"/>
                <w:bottom w:val="none" w:sz="0" w:space="0" w:color="auto"/>
                <w:right w:val="none" w:sz="0" w:space="0" w:color="auto"/>
              </w:divBdr>
              <w:divsChild>
                <w:div w:id="1445156397">
                  <w:marLeft w:val="0"/>
                  <w:marRight w:val="0"/>
                  <w:marTop w:val="0"/>
                  <w:marBottom w:val="0"/>
                  <w:divBdr>
                    <w:top w:val="none" w:sz="0" w:space="0" w:color="auto"/>
                    <w:left w:val="none" w:sz="0" w:space="0" w:color="auto"/>
                    <w:bottom w:val="none" w:sz="0" w:space="0" w:color="auto"/>
                    <w:right w:val="none" w:sz="0" w:space="0" w:color="auto"/>
                  </w:divBdr>
                  <w:divsChild>
                    <w:div w:id="14206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813248">
      <w:bodyDiv w:val="1"/>
      <w:marLeft w:val="0"/>
      <w:marRight w:val="0"/>
      <w:marTop w:val="0"/>
      <w:marBottom w:val="0"/>
      <w:divBdr>
        <w:top w:val="none" w:sz="0" w:space="0" w:color="auto"/>
        <w:left w:val="none" w:sz="0" w:space="0" w:color="auto"/>
        <w:bottom w:val="none" w:sz="0" w:space="0" w:color="auto"/>
        <w:right w:val="none" w:sz="0" w:space="0" w:color="auto"/>
      </w:divBdr>
    </w:div>
    <w:div w:id="1271157239">
      <w:bodyDiv w:val="1"/>
      <w:marLeft w:val="0"/>
      <w:marRight w:val="0"/>
      <w:marTop w:val="0"/>
      <w:marBottom w:val="0"/>
      <w:divBdr>
        <w:top w:val="none" w:sz="0" w:space="0" w:color="auto"/>
        <w:left w:val="none" w:sz="0" w:space="0" w:color="auto"/>
        <w:bottom w:val="none" w:sz="0" w:space="0" w:color="auto"/>
        <w:right w:val="none" w:sz="0" w:space="0" w:color="auto"/>
      </w:divBdr>
      <w:divsChild>
        <w:div w:id="808785396">
          <w:marLeft w:val="0"/>
          <w:marRight w:val="0"/>
          <w:marTop w:val="0"/>
          <w:marBottom w:val="0"/>
          <w:divBdr>
            <w:top w:val="none" w:sz="0" w:space="0" w:color="auto"/>
            <w:left w:val="none" w:sz="0" w:space="0" w:color="auto"/>
            <w:bottom w:val="none" w:sz="0" w:space="0" w:color="auto"/>
            <w:right w:val="none" w:sz="0" w:space="0" w:color="auto"/>
          </w:divBdr>
          <w:divsChild>
            <w:div w:id="876427576">
              <w:marLeft w:val="0"/>
              <w:marRight w:val="0"/>
              <w:marTop w:val="0"/>
              <w:marBottom w:val="0"/>
              <w:divBdr>
                <w:top w:val="none" w:sz="0" w:space="0" w:color="auto"/>
                <w:left w:val="none" w:sz="0" w:space="0" w:color="auto"/>
                <w:bottom w:val="none" w:sz="0" w:space="0" w:color="auto"/>
                <w:right w:val="none" w:sz="0" w:space="0" w:color="auto"/>
              </w:divBdr>
              <w:divsChild>
                <w:div w:id="1211113419">
                  <w:marLeft w:val="0"/>
                  <w:marRight w:val="0"/>
                  <w:marTop w:val="0"/>
                  <w:marBottom w:val="0"/>
                  <w:divBdr>
                    <w:top w:val="none" w:sz="0" w:space="0" w:color="auto"/>
                    <w:left w:val="none" w:sz="0" w:space="0" w:color="auto"/>
                    <w:bottom w:val="none" w:sz="0" w:space="0" w:color="auto"/>
                    <w:right w:val="none" w:sz="0" w:space="0" w:color="auto"/>
                  </w:divBdr>
                  <w:divsChild>
                    <w:div w:id="13888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012838">
      <w:bodyDiv w:val="1"/>
      <w:marLeft w:val="0"/>
      <w:marRight w:val="0"/>
      <w:marTop w:val="0"/>
      <w:marBottom w:val="0"/>
      <w:divBdr>
        <w:top w:val="none" w:sz="0" w:space="0" w:color="auto"/>
        <w:left w:val="none" w:sz="0" w:space="0" w:color="auto"/>
        <w:bottom w:val="none" w:sz="0" w:space="0" w:color="auto"/>
        <w:right w:val="none" w:sz="0" w:space="0" w:color="auto"/>
      </w:divBdr>
    </w:div>
    <w:div w:id="1272393242">
      <w:bodyDiv w:val="1"/>
      <w:marLeft w:val="0"/>
      <w:marRight w:val="0"/>
      <w:marTop w:val="0"/>
      <w:marBottom w:val="0"/>
      <w:divBdr>
        <w:top w:val="none" w:sz="0" w:space="0" w:color="auto"/>
        <w:left w:val="none" w:sz="0" w:space="0" w:color="auto"/>
        <w:bottom w:val="none" w:sz="0" w:space="0" w:color="auto"/>
        <w:right w:val="none" w:sz="0" w:space="0" w:color="auto"/>
      </w:divBdr>
    </w:div>
    <w:div w:id="1272396615">
      <w:bodyDiv w:val="1"/>
      <w:marLeft w:val="0"/>
      <w:marRight w:val="0"/>
      <w:marTop w:val="0"/>
      <w:marBottom w:val="0"/>
      <w:divBdr>
        <w:top w:val="none" w:sz="0" w:space="0" w:color="auto"/>
        <w:left w:val="none" w:sz="0" w:space="0" w:color="auto"/>
        <w:bottom w:val="none" w:sz="0" w:space="0" w:color="auto"/>
        <w:right w:val="none" w:sz="0" w:space="0" w:color="auto"/>
      </w:divBdr>
    </w:div>
    <w:div w:id="1272711217">
      <w:bodyDiv w:val="1"/>
      <w:marLeft w:val="0"/>
      <w:marRight w:val="0"/>
      <w:marTop w:val="0"/>
      <w:marBottom w:val="0"/>
      <w:divBdr>
        <w:top w:val="none" w:sz="0" w:space="0" w:color="auto"/>
        <w:left w:val="none" w:sz="0" w:space="0" w:color="auto"/>
        <w:bottom w:val="none" w:sz="0" w:space="0" w:color="auto"/>
        <w:right w:val="none" w:sz="0" w:space="0" w:color="auto"/>
      </w:divBdr>
    </w:div>
    <w:div w:id="1273248324">
      <w:bodyDiv w:val="1"/>
      <w:marLeft w:val="0"/>
      <w:marRight w:val="0"/>
      <w:marTop w:val="0"/>
      <w:marBottom w:val="0"/>
      <w:divBdr>
        <w:top w:val="none" w:sz="0" w:space="0" w:color="auto"/>
        <w:left w:val="none" w:sz="0" w:space="0" w:color="auto"/>
        <w:bottom w:val="none" w:sz="0" w:space="0" w:color="auto"/>
        <w:right w:val="none" w:sz="0" w:space="0" w:color="auto"/>
      </w:divBdr>
    </w:div>
    <w:div w:id="1273439044">
      <w:bodyDiv w:val="1"/>
      <w:marLeft w:val="0"/>
      <w:marRight w:val="0"/>
      <w:marTop w:val="0"/>
      <w:marBottom w:val="0"/>
      <w:divBdr>
        <w:top w:val="none" w:sz="0" w:space="0" w:color="auto"/>
        <w:left w:val="none" w:sz="0" w:space="0" w:color="auto"/>
        <w:bottom w:val="none" w:sz="0" w:space="0" w:color="auto"/>
        <w:right w:val="none" w:sz="0" w:space="0" w:color="auto"/>
      </w:divBdr>
    </w:div>
    <w:div w:id="1273707023">
      <w:bodyDiv w:val="1"/>
      <w:marLeft w:val="0"/>
      <w:marRight w:val="0"/>
      <w:marTop w:val="0"/>
      <w:marBottom w:val="0"/>
      <w:divBdr>
        <w:top w:val="none" w:sz="0" w:space="0" w:color="auto"/>
        <w:left w:val="none" w:sz="0" w:space="0" w:color="auto"/>
        <w:bottom w:val="none" w:sz="0" w:space="0" w:color="auto"/>
        <w:right w:val="none" w:sz="0" w:space="0" w:color="auto"/>
      </w:divBdr>
    </w:div>
    <w:div w:id="1273786084">
      <w:bodyDiv w:val="1"/>
      <w:marLeft w:val="0"/>
      <w:marRight w:val="0"/>
      <w:marTop w:val="0"/>
      <w:marBottom w:val="0"/>
      <w:divBdr>
        <w:top w:val="none" w:sz="0" w:space="0" w:color="auto"/>
        <w:left w:val="none" w:sz="0" w:space="0" w:color="auto"/>
        <w:bottom w:val="none" w:sz="0" w:space="0" w:color="auto"/>
        <w:right w:val="none" w:sz="0" w:space="0" w:color="auto"/>
      </w:divBdr>
      <w:divsChild>
        <w:div w:id="2045131228">
          <w:marLeft w:val="0"/>
          <w:marRight w:val="0"/>
          <w:marTop w:val="0"/>
          <w:marBottom w:val="0"/>
          <w:divBdr>
            <w:top w:val="none" w:sz="0" w:space="0" w:color="auto"/>
            <w:left w:val="none" w:sz="0" w:space="0" w:color="auto"/>
            <w:bottom w:val="none" w:sz="0" w:space="0" w:color="auto"/>
            <w:right w:val="none" w:sz="0" w:space="0" w:color="auto"/>
          </w:divBdr>
          <w:divsChild>
            <w:div w:id="2133131360">
              <w:marLeft w:val="0"/>
              <w:marRight w:val="0"/>
              <w:marTop w:val="0"/>
              <w:marBottom w:val="0"/>
              <w:divBdr>
                <w:top w:val="none" w:sz="0" w:space="0" w:color="auto"/>
                <w:left w:val="none" w:sz="0" w:space="0" w:color="auto"/>
                <w:bottom w:val="none" w:sz="0" w:space="0" w:color="auto"/>
                <w:right w:val="none" w:sz="0" w:space="0" w:color="auto"/>
              </w:divBdr>
              <w:divsChild>
                <w:div w:id="42245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41763">
      <w:bodyDiv w:val="1"/>
      <w:marLeft w:val="0"/>
      <w:marRight w:val="0"/>
      <w:marTop w:val="0"/>
      <w:marBottom w:val="0"/>
      <w:divBdr>
        <w:top w:val="none" w:sz="0" w:space="0" w:color="auto"/>
        <w:left w:val="none" w:sz="0" w:space="0" w:color="auto"/>
        <w:bottom w:val="none" w:sz="0" w:space="0" w:color="auto"/>
        <w:right w:val="none" w:sz="0" w:space="0" w:color="auto"/>
      </w:divBdr>
    </w:div>
    <w:div w:id="1275098103">
      <w:bodyDiv w:val="1"/>
      <w:marLeft w:val="0"/>
      <w:marRight w:val="0"/>
      <w:marTop w:val="0"/>
      <w:marBottom w:val="0"/>
      <w:divBdr>
        <w:top w:val="none" w:sz="0" w:space="0" w:color="auto"/>
        <w:left w:val="none" w:sz="0" w:space="0" w:color="auto"/>
        <w:bottom w:val="none" w:sz="0" w:space="0" w:color="auto"/>
        <w:right w:val="none" w:sz="0" w:space="0" w:color="auto"/>
      </w:divBdr>
      <w:divsChild>
        <w:div w:id="956982725">
          <w:marLeft w:val="0"/>
          <w:marRight w:val="0"/>
          <w:marTop w:val="0"/>
          <w:marBottom w:val="0"/>
          <w:divBdr>
            <w:top w:val="none" w:sz="0" w:space="0" w:color="auto"/>
            <w:left w:val="none" w:sz="0" w:space="0" w:color="auto"/>
            <w:bottom w:val="none" w:sz="0" w:space="0" w:color="auto"/>
            <w:right w:val="none" w:sz="0" w:space="0" w:color="auto"/>
          </w:divBdr>
          <w:divsChild>
            <w:div w:id="1551187503">
              <w:marLeft w:val="0"/>
              <w:marRight w:val="0"/>
              <w:marTop w:val="0"/>
              <w:marBottom w:val="0"/>
              <w:divBdr>
                <w:top w:val="none" w:sz="0" w:space="0" w:color="auto"/>
                <w:left w:val="none" w:sz="0" w:space="0" w:color="auto"/>
                <w:bottom w:val="none" w:sz="0" w:space="0" w:color="auto"/>
                <w:right w:val="none" w:sz="0" w:space="0" w:color="auto"/>
              </w:divBdr>
              <w:divsChild>
                <w:div w:id="167060351">
                  <w:marLeft w:val="0"/>
                  <w:marRight w:val="0"/>
                  <w:marTop w:val="0"/>
                  <w:marBottom w:val="0"/>
                  <w:divBdr>
                    <w:top w:val="none" w:sz="0" w:space="0" w:color="auto"/>
                    <w:left w:val="none" w:sz="0" w:space="0" w:color="auto"/>
                    <w:bottom w:val="none" w:sz="0" w:space="0" w:color="auto"/>
                    <w:right w:val="none" w:sz="0" w:space="0" w:color="auto"/>
                  </w:divBdr>
                  <w:divsChild>
                    <w:div w:id="148859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92930">
      <w:bodyDiv w:val="1"/>
      <w:marLeft w:val="0"/>
      <w:marRight w:val="0"/>
      <w:marTop w:val="0"/>
      <w:marBottom w:val="0"/>
      <w:divBdr>
        <w:top w:val="none" w:sz="0" w:space="0" w:color="auto"/>
        <w:left w:val="none" w:sz="0" w:space="0" w:color="auto"/>
        <w:bottom w:val="none" w:sz="0" w:space="0" w:color="auto"/>
        <w:right w:val="none" w:sz="0" w:space="0" w:color="auto"/>
      </w:divBdr>
      <w:divsChild>
        <w:div w:id="426853876">
          <w:marLeft w:val="0"/>
          <w:marRight w:val="0"/>
          <w:marTop w:val="0"/>
          <w:marBottom w:val="0"/>
          <w:divBdr>
            <w:top w:val="none" w:sz="0" w:space="0" w:color="auto"/>
            <w:left w:val="none" w:sz="0" w:space="0" w:color="auto"/>
            <w:bottom w:val="none" w:sz="0" w:space="0" w:color="auto"/>
            <w:right w:val="none" w:sz="0" w:space="0" w:color="auto"/>
          </w:divBdr>
          <w:divsChild>
            <w:div w:id="345639820">
              <w:marLeft w:val="0"/>
              <w:marRight w:val="0"/>
              <w:marTop w:val="0"/>
              <w:marBottom w:val="0"/>
              <w:divBdr>
                <w:top w:val="none" w:sz="0" w:space="0" w:color="auto"/>
                <w:left w:val="none" w:sz="0" w:space="0" w:color="auto"/>
                <w:bottom w:val="none" w:sz="0" w:space="0" w:color="auto"/>
                <w:right w:val="none" w:sz="0" w:space="0" w:color="auto"/>
              </w:divBdr>
              <w:divsChild>
                <w:div w:id="384566766">
                  <w:marLeft w:val="0"/>
                  <w:marRight w:val="0"/>
                  <w:marTop w:val="0"/>
                  <w:marBottom w:val="0"/>
                  <w:divBdr>
                    <w:top w:val="none" w:sz="0" w:space="0" w:color="auto"/>
                    <w:left w:val="none" w:sz="0" w:space="0" w:color="auto"/>
                    <w:bottom w:val="none" w:sz="0" w:space="0" w:color="auto"/>
                    <w:right w:val="none" w:sz="0" w:space="0" w:color="auto"/>
                  </w:divBdr>
                </w:div>
              </w:divsChild>
            </w:div>
            <w:div w:id="508831697">
              <w:marLeft w:val="0"/>
              <w:marRight w:val="0"/>
              <w:marTop w:val="0"/>
              <w:marBottom w:val="0"/>
              <w:divBdr>
                <w:top w:val="none" w:sz="0" w:space="0" w:color="auto"/>
                <w:left w:val="none" w:sz="0" w:space="0" w:color="auto"/>
                <w:bottom w:val="none" w:sz="0" w:space="0" w:color="auto"/>
                <w:right w:val="none" w:sz="0" w:space="0" w:color="auto"/>
              </w:divBdr>
              <w:divsChild>
                <w:div w:id="817190455">
                  <w:marLeft w:val="0"/>
                  <w:marRight w:val="0"/>
                  <w:marTop w:val="0"/>
                  <w:marBottom w:val="0"/>
                  <w:divBdr>
                    <w:top w:val="none" w:sz="0" w:space="0" w:color="auto"/>
                    <w:left w:val="none" w:sz="0" w:space="0" w:color="auto"/>
                    <w:bottom w:val="none" w:sz="0" w:space="0" w:color="auto"/>
                    <w:right w:val="none" w:sz="0" w:space="0" w:color="auto"/>
                  </w:divBdr>
                </w:div>
              </w:divsChild>
            </w:div>
            <w:div w:id="1977221687">
              <w:marLeft w:val="0"/>
              <w:marRight w:val="0"/>
              <w:marTop w:val="0"/>
              <w:marBottom w:val="0"/>
              <w:divBdr>
                <w:top w:val="none" w:sz="0" w:space="0" w:color="auto"/>
                <w:left w:val="none" w:sz="0" w:space="0" w:color="auto"/>
                <w:bottom w:val="none" w:sz="0" w:space="0" w:color="auto"/>
                <w:right w:val="none" w:sz="0" w:space="0" w:color="auto"/>
              </w:divBdr>
              <w:divsChild>
                <w:div w:id="202848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444427">
      <w:bodyDiv w:val="1"/>
      <w:marLeft w:val="0"/>
      <w:marRight w:val="0"/>
      <w:marTop w:val="0"/>
      <w:marBottom w:val="0"/>
      <w:divBdr>
        <w:top w:val="none" w:sz="0" w:space="0" w:color="auto"/>
        <w:left w:val="none" w:sz="0" w:space="0" w:color="auto"/>
        <w:bottom w:val="none" w:sz="0" w:space="0" w:color="auto"/>
        <w:right w:val="none" w:sz="0" w:space="0" w:color="auto"/>
      </w:divBdr>
    </w:div>
    <w:div w:id="1278564599">
      <w:bodyDiv w:val="1"/>
      <w:marLeft w:val="0"/>
      <w:marRight w:val="0"/>
      <w:marTop w:val="0"/>
      <w:marBottom w:val="0"/>
      <w:divBdr>
        <w:top w:val="none" w:sz="0" w:space="0" w:color="auto"/>
        <w:left w:val="none" w:sz="0" w:space="0" w:color="auto"/>
        <w:bottom w:val="none" w:sz="0" w:space="0" w:color="auto"/>
        <w:right w:val="none" w:sz="0" w:space="0" w:color="auto"/>
      </w:divBdr>
    </w:div>
    <w:div w:id="1278635420">
      <w:bodyDiv w:val="1"/>
      <w:marLeft w:val="0"/>
      <w:marRight w:val="0"/>
      <w:marTop w:val="0"/>
      <w:marBottom w:val="0"/>
      <w:divBdr>
        <w:top w:val="none" w:sz="0" w:space="0" w:color="auto"/>
        <w:left w:val="none" w:sz="0" w:space="0" w:color="auto"/>
        <w:bottom w:val="none" w:sz="0" w:space="0" w:color="auto"/>
        <w:right w:val="none" w:sz="0" w:space="0" w:color="auto"/>
      </w:divBdr>
    </w:div>
    <w:div w:id="1278637483">
      <w:bodyDiv w:val="1"/>
      <w:marLeft w:val="0"/>
      <w:marRight w:val="0"/>
      <w:marTop w:val="0"/>
      <w:marBottom w:val="0"/>
      <w:divBdr>
        <w:top w:val="none" w:sz="0" w:space="0" w:color="auto"/>
        <w:left w:val="none" w:sz="0" w:space="0" w:color="auto"/>
        <w:bottom w:val="none" w:sz="0" w:space="0" w:color="auto"/>
        <w:right w:val="none" w:sz="0" w:space="0" w:color="auto"/>
      </w:divBdr>
    </w:div>
    <w:div w:id="1278754341">
      <w:bodyDiv w:val="1"/>
      <w:marLeft w:val="0"/>
      <w:marRight w:val="0"/>
      <w:marTop w:val="0"/>
      <w:marBottom w:val="0"/>
      <w:divBdr>
        <w:top w:val="none" w:sz="0" w:space="0" w:color="auto"/>
        <w:left w:val="none" w:sz="0" w:space="0" w:color="auto"/>
        <w:bottom w:val="none" w:sz="0" w:space="0" w:color="auto"/>
        <w:right w:val="none" w:sz="0" w:space="0" w:color="auto"/>
      </w:divBdr>
    </w:div>
    <w:div w:id="1278832494">
      <w:bodyDiv w:val="1"/>
      <w:marLeft w:val="0"/>
      <w:marRight w:val="0"/>
      <w:marTop w:val="0"/>
      <w:marBottom w:val="0"/>
      <w:divBdr>
        <w:top w:val="none" w:sz="0" w:space="0" w:color="auto"/>
        <w:left w:val="none" w:sz="0" w:space="0" w:color="auto"/>
        <w:bottom w:val="none" w:sz="0" w:space="0" w:color="auto"/>
        <w:right w:val="none" w:sz="0" w:space="0" w:color="auto"/>
      </w:divBdr>
    </w:div>
    <w:div w:id="1279097443">
      <w:bodyDiv w:val="1"/>
      <w:marLeft w:val="0"/>
      <w:marRight w:val="0"/>
      <w:marTop w:val="0"/>
      <w:marBottom w:val="0"/>
      <w:divBdr>
        <w:top w:val="none" w:sz="0" w:space="0" w:color="auto"/>
        <w:left w:val="none" w:sz="0" w:space="0" w:color="auto"/>
        <w:bottom w:val="none" w:sz="0" w:space="0" w:color="auto"/>
        <w:right w:val="none" w:sz="0" w:space="0" w:color="auto"/>
      </w:divBdr>
    </w:div>
    <w:div w:id="1279607712">
      <w:bodyDiv w:val="1"/>
      <w:marLeft w:val="0"/>
      <w:marRight w:val="0"/>
      <w:marTop w:val="0"/>
      <w:marBottom w:val="0"/>
      <w:divBdr>
        <w:top w:val="none" w:sz="0" w:space="0" w:color="auto"/>
        <w:left w:val="none" w:sz="0" w:space="0" w:color="auto"/>
        <w:bottom w:val="none" w:sz="0" w:space="0" w:color="auto"/>
        <w:right w:val="none" w:sz="0" w:space="0" w:color="auto"/>
      </w:divBdr>
    </w:div>
    <w:div w:id="1279679196">
      <w:bodyDiv w:val="1"/>
      <w:marLeft w:val="0"/>
      <w:marRight w:val="0"/>
      <w:marTop w:val="0"/>
      <w:marBottom w:val="0"/>
      <w:divBdr>
        <w:top w:val="none" w:sz="0" w:space="0" w:color="auto"/>
        <w:left w:val="none" w:sz="0" w:space="0" w:color="auto"/>
        <w:bottom w:val="none" w:sz="0" w:space="0" w:color="auto"/>
        <w:right w:val="none" w:sz="0" w:space="0" w:color="auto"/>
      </w:divBdr>
    </w:div>
    <w:div w:id="1279869975">
      <w:bodyDiv w:val="1"/>
      <w:marLeft w:val="0"/>
      <w:marRight w:val="0"/>
      <w:marTop w:val="0"/>
      <w:marBottom w:val="0"/>
      <w:divBdr>
        <w:top w:val="none" w:sz="0" w:space="0" w:color="auto"/>
        <w:left w:val="none" w:sz="0" w:space="0" w:color="auto"/>
        <w:bottom w:val="none" w:sz="0" w:space="0" w:color="auto"/>
        <w:right w:val="none" w:sz="0" w:space="0" w:color="auto"/>
      </w:divBdr>
    </w:div>
    <w:div w:id="1280797306">
      <w:bodyDiv w:val="1"/>
      <w:marLeft w:val="0"/>
      <w:marRight w:val="0"/>
      <w:marTop w:val="0"/>
      <w:marBottom w:val="0"/>
      <w:divBdr>
        <w:top w:val="none" w:sz="0" w:space="0" w:color="auto"/>
        <w:left w:val="none" w:sz="0" w:space="0" w:color="auto"/>
        <w:bottom w:val="none" w:sz="0" w:space="0" w:color="auto"/>
        <w:right w:val="none" w:sz="0" w:space="0" w:color="auto"/>
      </w:divBdr>
    </w:div>
    <w:div w:id="1281380142">
      <w:bodyDiv w:val="1"/>
      <w:marLeft w:val="0"/>
      <w:marRight w:val="0"/>
      <w:marTop w:val="0"/>
      <w:marBottom w:val="0"/>
      <w:divBdr>
        <w:top w:val="none" w:sz="0" w:space="0" w:color="auto"/>
        <w:left w:val="none" w:sz="0" w:space="0" w:color="auto"/>
        <w:bottom w:val="none" w:sz="0" w:space="0" w:color="auto"/>
        <w:right w:val="none" w:sz="0" w:space="0" w:color="auto"/>
      </w:divBdr>
    </w:div>
    <w:div w:id="1281646983">
      <w:bodyDiv w:val="1"/>
      <w:marLeft w:val="0"/>
      <w:marRight w:val="0"/>
      <w:marTop w:val="0"/>
      <w:marBottom w:val="0"/>
      <w:divBdr>
        <w:top w:val="none" w:sz="0" w:space="0" w:color="auto"/>
        <w:left w:val="none" w:sz="0" w:space="0" w:color="auto"/>
        <w:bottom w:val="none" w:sz="0" w:space="0" w:color="auto"/>
        <w:right w:val="none" w:sz="0" w:space="0" w:color="auto"/>
      </w:divBdr>
    </w:div>
    <w:div w:id="1282297154">
      <w:bodyDiv w:val="1"/>
      <w:marLeft w:val="0"/>
      <w:marRight w:val="0"/>
      <w:marTop w:val="0"/>
      <w:marBottom w:val="0"/>
      <w:divBdr>
        <w:top w:val="none" w:sz="0" w:space="0" w:color="auto"/>
        <w:left w:val="none" w:sz="0" w:space="0" w:color="auto"/>
        <w:bottom w:val="none" w:sz="0" w:space="0" w:color="auto"/>
        <w:right w:val="none" w:sz="0" w:space="0" w:color="auto"/>
      </w:divBdr>
      <w:divsChild>
        <w:div w:id="1534148891">
          <w:marLeft w:val="0"/>
          <w:marRight w:val="0"/>
          <w:marTop w:val="0"/>
          <w:marBottom w:val="0"/>
          <w:divBdr>
            <w:top w:val="none" w:sz="0" w:space="0" w:color="auto"/>
            <w:left w:val="none" w:sz="0" w:space="0" w:color="auto"/>
            <w:bottom w:val="none" w:sz="0" w:space="0" w:color="auto"/>
            <w:right w:val="none" w:sz="0" w:space="0" w:color="auto"/>
          </w:divBdr>
          <w:divsChild>
            <w:div w:id="1445005158">
              <w:marLeft w:val="0"/>
              <w:marRight w:val="0"/>
              <w:marTop w:val="0"/>
              <w:marBottom w:val="0"/>
              <w:divBdr>
                <w:top w:val="none" w:sz="0" w:space="0" w:color="auto"/>
                <w:left w:val="none" w:sz="0" w:space="0" w:color="auto"/>
                <w:bottom w:val="none" w:sz="0" w:space="0" w:color="auto"/>
                <w:right w:val="none" w:sz="0" w:space="0" w:color="auto"/>
              </w:divBdr>
              <w:divsChild>
                <w:div w:id="2086996968">
                  <w:marLeft w:val="0"/>
                  <w:marRight w:val="0"/>
                  <w:marTop w:val="0"/>
                  <w:marBottom w:val="0"/>
                  <w:divBdr>
                    <w:top w:val="none" w:sz="0" w:space="0" w:color="auto"/>
                    <w:left w:val="none" w:sz="0" w:space="0" w:color="auto"/>
                    <w:bottom w:val="none" w:sz="0" w:space="0" w:color="auto"/>
                    <w:right w:val="none" w:sz="0" w:space="0" w:color="auto"/>
                  </w:divBdr>
                  <w:divsChild>
                    <w:div w:id="52305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305548">
      <w:bodyDiv w:val="1"/>
      <w:marLeft w:val="0"/>
      <w:marRight w:val="0"/>
      <w:marTop w:val="0"/>
      <w:marBottom w:val="0"/>
      <w:divBdr>
        <w:top w:val="none" w:sz="0" w:space="0" w:color="auto"/>
        <w:left w:val="none" w:sz="0" w:space="0" w:color="auto"/>
        <w:bottom w:val="none" w:sz="0" w:space="0" w:color="auto"/>
        <w:right w:val="none" w:sz="0" w:space="0" w:color="auto"/>
      </w:divBdr>
    </w:div>
    <w:div w:id="1283070172">
      <w:bodyDiv w:val="1"/>
      <w:marLeft w:val="0"/>
      <w:marRight w:val="0"/>
      <w:marTop w:val="0"/>
      <w:marBottom w:val="0"/>
      <w:divBdr>
        <w:top w:val="none" w:sz="0" w:space="0" w:color="auto"/>
        <w:left w:val="none" w:sz="0" w:space="0" w:color="auto"/>
        <w:bottom w:val="none" w:sz="0" w:space="0" w:color="auto"/>
        <w:right w:val="none" w:sz="0" w:space="0" w:color="auto"/>
      </w:divBdr>
      <w:divsChild>
        <w:div w:id="917128365">
          <w:marLeft w:val="0"/>
          <w:marRight w:val="0"/>
          <w:marTop w:val="0"/>
          <w:marBottom w:val="0"/>
          <w:divBdr>
            <w:top w:val="none" w:sz="0" w:space="0" w:color="auto"/>
            <w:left w:val="none" w:sz="0" w:space="0" w:color="auto"/>
            <w:bottom w:val="none" w:sz="0" w:space="0" w:color="auto"/>
            <w:right w:val="none" w:sz="0" w:space="0" w:color="auto"/>
          </w:divBdr>
          <w:divsChild>
            <w:div w:id="1535734580">
              <w:marLeft w:val="0"/>
              <w:marRight w:val="0"/>
              <w:marTop w:val="0"/>
              <w:marBottom w:val="0"/>
              <w:divBdr>
                <w:top w:val="none" w:sz="0" w:space="0" w:color="auto"/>
                <w:left w:val="none" w:sz="0" w:space="0" w:color="auto"/>
                <w:bottom w:val="none" w:sz="0" w:space="0" w:color="auto"/>
                <w:right w:val="none" w:sz="0" w:space="0" w:color="auto"/>
              </w:divBdr>
              <w:divsChild>
                <w:div w:id="2077388850">
                  <w:marLeft w:val="0"/>
                  <w:marRight w:val="0"/>
                  <w:marTop w:val="0"/>
                  <w:marBottom w:val="0"/>
                  <w:divBdr>
                    <w:top w:val="none" w:sz="0" w:space="0" w:color="auto"/>
                    <w:left w:val="none" w:sz="0" w:space="0" w:color="auto"/>
                    <w:bottom w:val="none" w:sz="0" w:space="0" w:color="auto"/>
                    <w:right w:val="none" w:sz="0" w:space="0" w:color="auto"/>
                  </w:divBdr>
                  <w:divsChild>
                    <w:div w:id="103889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002317">
      <w:bodyDiv w:val="1"/>
      <w:marLeft w:val="0"/>
      <w:marRight w:val="0"/>
      <w:marTop w:val="0"/>
      <w:marBottom w:val="0"/>
      <w:divBdr>
        <w:top w:val="none" w:sz="0" w:space="0" w:color="auto"/>
        <w:left w:val="none" w:sz="0" w:space="0" w:color="auto"/>
        <w:bottom w:val="none" w:sz="0" w:space="0" w:color="auto"/>
        <w:right w:val="none" w:sz="0" w:space="0" w:color="auto"/>
      </w:divBdr>
    </w:div>
    <w:div w:id="1284650375">
      <w:bodyDiv w:val="1"/>
      <w:marLeft w:val="0"/>
      <w:marRight w:val="0"/>
      <w:marTop w:val="0"/>
      <w:marBottom w:val="0"/>
      <w:divBdr>
        <w:top w:val="none" w:sz="0" w:space="0" w:color="auto"/>
        <w:left w:val="none" w:sz="0" w:space="0" w:color="auto"/>
        <w:bottom w:val="none" w:sz="0" w:space="0" w:color="auto"/>
        <w:right w:val="none" w:sz="0" w:space="0" w:color="auto"/>
      </w:divBdr>
    </w:div>
    <w:div w:id="1285189397">
      <w:bodyDiv w:val="1"/>
      <w:marLeft w:val="0"/>
      <w:marRight w:val="0"/>
      <w:marTop w:val="0"/>
      <w:marBottom w:val="0"/>
      <w:divBdr>
        <w:top w:val="none" w:sz="0" w:space="0" w:color="auto"/>
        <w:left w:val="none" w:sz="0" w:space="0" w:color="auto"/>
        <w:bottom w:val="none" w:sz="0" w:space="0" w:color="auto"/>
        <w:right w:val="none" w:sz="0" w:space="0" w:color="auto"/>
      </w:divBdr>
    </w:div>
    <w:div w:id="1285455010">
      <w:bodyDiv w:val="1"/>
      <w:marLeft w:val="0"/>
      <w:marRight w:val="0"/>
      <w:marTop w:val="0"/>
      <w:marBottom w:val="0"/>
      <w:divBdr>
        <w:top w:val="none" w:sz="0" w:space="0" w:color="auto"/>
        <w:left w:val="none" w:sz="0" w:space="0" w:color="auto"/>
        <w:bottom w:val="none" w:sz="0" w:space="0" w:color="auto"/>
        <w:right w:val="none" w:sz="0" w:space="0" w:color="auto"/>
      </w:divBdr>
    </w:div>
    <w:div w:id="1285768456">
      <w:bodyDiv w:val="1"/>
      <w:marLeft w:val="0"/>
      <w:marRight w:val="0"/>
      <w:marTop w:val="0"/>
      <w:marBottom w:val="0"/>
      <w:divBdr>
        <w:top w:val="none" w:sz="0" w:space="0" w:color="auto"/>
        <w:left w:val="none" w:sz="0" w:space="0" w:color="auto"/>
        <w:bottom w:val="none" w:sz="0" w:space="0" w:color="auto"/>
        <w:right w:val="none" w:sz="0" w:space="0" w:color="auto"/>
      </w:divBdr>
    </w:div>
    <w:div w:id="1285848381">
      <w:bodyDiv w:val="1"/>
      <w:marLeft w:val="0"/>
      <w:marRight w:val="0"/>
      <w:marTop w:val="0"/>
      <w:marBottom w:val="0"/>
      <w:divBdr>
        <w:top w:val="none" w:sz="0" w:space="0" w:color="auto"/>
        <w:left w:val="none" w:sz="0" w:space="0" w:color="auto"/>
        <w:bottom w:val="none" w:sz="0" w:space="0" w:color="auto"/>
        <w:right w:val="none" w:sz="0" w:space="0" w:color="auto"/>
      </w:divBdr>
    </w:div>
    <w:div w:id="1286430921">
      <w:bodyDiv w:val="1"/>
      <w:marLeft w:val="0"/>
      <w:marRight w:val="0"/>
      <w:marTop w:val="0"/>
      <w:marBottom w:val="0"/>
      <w:divBdr>
        <w:top w:val="none" w:sz="0" w:space="0" w:color="auto"/>
        <w:left w:val="none" w:sz="0" w:space="0" w:color="auto"/>
        <w:bottom w:val="none" w:sz="0" w:space="0" w:color="auto"/>
        <w:right w:val="none" w:sz="0" w:space="0" w:color="auto"/>
      </w:divBdr>
    </w:div>
    <w:div w:id="1286961815">
      <w:bodyDiv w:val="1"/>
      <w:marLeft w:val="0"/>
      <w:marRight w:val="0"/>
      <w:marTop w:val="0"/>
      <w:marBottom w:val="0"/>
      <w:divBdr>
        <w:top w:val="none" w:sz="0" w:space="0" w:color="auto"/>
        <w:left w:val="none" w:sz="0" w:space="0" w:color="auto"/>
        <w:bottom w:val="none" w:sz="0" w:space="0" w:color="auto"/>
        <w:right w:val="none" w:sz="0" w:space="0" w:color="auto"/>
      </w:divBdr>
    </w:div>
    <w:div w:id="1287203589">
      <w:bodyDiv w:val="1"/>
      <w:marLeft w:val="0"/>
      <w:marRight w:val="0"/>
      <w:marTop w:val="0"/>
      <w:marBottom w:val="0"/>
      <w:divBdr>
        <w:top w:val="none" w:sz="0" w:space="0" w:color="auto"/>
        <w:left w:val="none" w:sz="0" w:space="0" w:color="auto"/>
        <w:bottom w:val="none" w:sz="0" w:space="0" w:color="auto"/>
        <w:right w:val="none" w:sz="0" w:space="0" w:color="auto"/>
      </w:divBdr>
    </w:div>
    <w:div w:id="1287810495">
      <w:bodyDiv w:val="1"/>
      <w:marLeft w:val="0"/>
      <w:marRight w:val="0"/>
      <w:marTop w:val="0"/>
      <w:marBottom w:val="0"/>
      <w:divBdr>
        <w:top w:val="none" w:sz="0" w:space="0" w:color="auto"/>
        <w:left w:val="none" w:sz="0" w:space="0" w:color="auto"/>
        <w:bottom w:val="none" w:sz="0" w:space="0" w:color="auto"/>
        <w:right w:val="none" w:sz="0" w:space="0" w:color="auto"/>
      </w:divBdr>
    </w:div>
    <w:div w:id="1289312183">
      <w:bodyDiv w:val="1"/>
      <w:marLeft w:val="0"/>
      <w:marRight w:val="0"/>
      <w:marTop w:val="0"/>
      <w:marBottom w:val="0"/>
      <w:divBdr>
        <w:top w:val="none" w:sz="0" w:space="0" w:color="auto"/>
        <w:left w:val="none" w:sz="0" w:space="0" w:color="auto"/>
        <w:bottom w:val="none" w:sz="0" w:space="0" w:color="auto"/>
        <w:right w:val="none" w:sz="0" w:space="0" w:color="auto"/>
      </w:divBdr>
    </w:div>
    <w:div w:id="1289316412">
      <w:bodyDiv w:val="1"/>
      <w:marLeft w:val="0"/>
      <w:marRight w:val="0"/>
      <w:marTop w:val="0"/>
      <w:marBottom w:val="0"/>
      <w:divBdr>
        <w:top w:val="none" w:sz="0" w:space="0" w:color="auto"/>
        <w:left w:val="none" w:sz="0" w:space="0" w:color="auto"/>
        <w:bottom w:val="none" w:sz="0" w:space="0" w:color="auto"/>
        <w:right w:val="none" w:sz="0" w:space="0" w:color="auto"/>
      </w:divBdr>
    </w:div>
    <w:div w:id="1289505055">
      <w:bodyDiv w:val="1"/>
      <w:marLeft w:val="0"/>
      <w:marRight w:val="0"/>
      <w:marTop w:val="0"/>
      <w:marBottom w:val="0"/>
      <w:divBdr>
        <w:top w:val="none" w:sz="0" w:space="0" w:color="auto"/>
        <w:left w:val="none" w:sz="0" w:space="0" w:color="auto"/>
        <w:bottom w:val="none" w:sz="0" w:space="0" w:color="auto"/>
        <w:right w:val="none" w:sz="0" w:space="0" w:color="auto"/>
      </w:divBdr>
      <w:divsChild>
        <w:div w:id="456723278">
          <w:marLeft w:val="0"/>
          <w:marRight w:val="0"/>
          <w:marTop w:val="0"/>
          <w:marBottom w:val="0"/>
          <w:divBdr>
            <w:top w:val="none" w:sz="0" w:space="0" w:color="auto"/>
            <w:left w:val="none" w:sz="0" w:space="0" w:color="auto"/>
            <w:bottom w:val="none" w:sz="0" w:space="0" w:color="auto"/>
            <w:right w:val="none" w:sz="0" w:space="0" w:color="auto"/>
          </w:divBdr>
          <w:divsChild>
            <w:div w:id="1141577143">
              <w:marLeft w:val="0"/>
              <w:marRight w:val="0"/>
              <w:marTop w:val="0"/>
              <w:marBottom w:val="0"/>
              <w:divBdr>
                <w:top w:val="none" w:sz="0" w:space="0" w:color="auto"/>
                <w:left w:val="none" w:sz="0" w:space="0" w:color="auto"/>
                <w:bottom w:val="none" w:sz="0" w:space="0" w:color="auto"/>
                <w:right w:val="none" w:sz="0" w:space="0" w:color="auto"/>
              </w:divBdr>
              <w:divsChild>
                <w:div w:id="444616204">
                  <w:marLeft w:val="0"/>
                  <w:marRight w:val="0"/>
                  <w:marTop w:val="0"/>
                  <w:marBottom w:val="0"/>
                  <w:divBdr>
                    <w:top w:val="none" w:sz="0" w:space="0" w:color="auto"/>
                    <w:left w:val="none" w:sz="0" w:space="0" w:color="auto"/>
                    <w:bottom w:val="none" w:sz="0" w:space="0" w:color="auto"/>
                    <w:right w:val="none" w:sz="0" w:space="0" w:color="auto"/>
                  </w:divBdr>
                  <w:divsChild>
                    <w:div w:id="18147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700434">
      <w:bodyDiv w:val="1"/>
      <w:marLeft w:val="0"/>
      <w:marRight w:val="0"/>
      <w:marTop w:val="0"/>
      <w:marBottom w:val="0"/>
      <w:divBdr>
        <w:top w:val="none" w:sz="0" w:space="0" w:color="auto"/>
        <w:left w:val="none" w:sz="0" w:space="0" w:color="auto"/>
        <w:bottom w:val="none" w:sz="0" w:space="0" w:color="auto"/>
        <w:right w:val="none" w:sz="0" w:space="0" w:color="auto"/>
      </w:divBdr>
      <w:divsChild>
        <w:div w:id="1298334388">
          <w:marLeft w:val="0"/>
          <w:marRight w:val="0"/>
          <w:marTop w:val="0"/>
          <w:marBottom w:val="0"/>
          <w:divBdr>
            <w:top w:val="none" w:sz="0" w:space="0" w:color="auto"/>
            <w:left w:val="none" w:sz="0" w:space="0" w:color="auto"/>
            <w:bottom w:val="none" w:sz="0" w:space="0" w:color="auto"/>
            <w:right w:val="none" w:sz="0" w:space="0" w:color="auto"/>
          </w:divBdr>
          <w:divsChild>
            <w:div w:id="719745764">
              <w:marLeft w:val="0"/>
              <w:marRight w:val="0"/>
              <w:marTop w:val="0"/>
              <w:marBottom w:val="0"/>
              <w:divBdr>
                <w:top w:val="none" w:sz="0" w:space="0" w:color="auto"/>
                <w:left w:val="none" w:sz="0" w:space="0" w:color="auto"/>
                <w:bottom w:val="none" w:sz="0" w:space="0" w:color="auto"/>
                <w:right w:val="none" w:sz="0" w:space="0" w:color="auto"/>
              </w:divBdr>
              <w:divsChild>
                <w:div w:id="696855179">
                  <w:marLeft w:val="0"/>
                  <w:marRight w:val="0"/>
                  <w:marTop w:val="0"/>
                  <w:marBottom w:val="0"/>
                  <w:divBdr>
                    <w:top w:val="none" w:sz="0" w:space="0" w:color="auto"/>
                    <w:left w:val="none" w:sz="0" w:space="0" w:color="auto"/>
                    <w:bottom w:val="none" w:sz="0" w:space="0" w:color="auto"/>
                    <w:right w:val="none" w:sz="0" w:space="0" w:color="auto"/>
                  </w:divBdr>
                  <w:divsChild>
                    <w:div w:id="123269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475351">
      <w:bodyDiv w:val="1"/>
      <w:marLeft w:val="0"/>
      <w:marRight w:val="0"/>
      <w:marTop w:val="0"/>
      <w:marBottom w:val="0"/>
      <w:divBdr>
        <w:top w:val="none" w:sz="0" w:space="0" w:color="auto"/>
        <w:left w:val="none" w:sz="0" w:space="0" w:color="auto"/>
        <w:bottom w:val="none" w:sz="0" w:space="0" w:color="auto"/>
        <w:right w:val="none" w:sz="0" w:space="0" w:color="auto"/>
      </w:divBdr>
    </w:div>
    <w:div w:id="1291128988">
      <w:bodyDiv w:val="1"/>
      <w:marLeft w:val="0"/>
      <w:marRight w:val="0"/>
      <w:marTop w:val="0"/>
      <w:marBottom w:val="0"/>
      <w:divBdr>
        <w:top w:val="none" w:sz="0" w:space="0" w:color="auto"/>
        <w:left w:val="none" w:sz="0" w:space="0" w:color="auto"/>
        <w:bottom w:val="none" w:sz="0" w:space="0" w:color="auto"/>
        <w:right w:val="none" w:sz="0" w:space="0" w:color="auto"/>
      </w:divBdr>
    </w:div>
    <w:div w:id="1291596583">
      <w:bodyDiv w:val="1"/>
      <w:marLeft w:val="0"/>
      <w:marRight w:val="0"/>
      <w:marTop w:val="0"/>
      <w:marBottom w:val="0"/>
      <w:divBdr>
        <w:top w:val="none" w:sz="0" w:space="0" w:color="auto"/>
        <w:left w:val="none" w:sz="0" w:space="0" w:color="auto"/>
        <w:bottom w:val="none" w:sz="0" w:space="0" w:color="auto"/>
        <w:right w:val="none" w:sz="0" w:space="0" w:color="auto"/>
      </w:divBdr>
    </w:div>
    <w:div w:id="1291977437">
      <w:bodyDiv w:val="1"/>
      <w:marLeft w:val="0"/>
      <w:marRight w:val="0"/>
      <w:marTop w:val="0"/>
      <w:marBottom w:val="0"/>
      <w:divBdr>
        <w:top w:val="none" w:sz="0" w:space="0" w:color="auto"/>
        <w:left w:val="none" w:sz="0" w:space="0" w:color="auto"/>
        <w:bottom w:val="none" w:sz="0" w:space="0" w:color="auto"/>
        <w:right w:val="none" w:sz="0" w:space="0" w:color="auto"/>
      </w:divBdr>
    </w:div>
    <w:div w:id="1291978652">
      <w:bodyDiv w:val="1"/>
      <w:marLeft w:val="0"/>
      <w:marRight w:val="0"/>
      <w:marTop w:val="0"/>
      <w:marBottom w:val="0"/>
      <w:divBdr>
        <w:top w:val="none" w:sz="0" w:space="0" w:color="auto"/>
        <w:left w:val="none" w:sz="0" w:space="0" w:color="auto"/>
        <w:bottom w:val="none" w:sz="0" w:space="0" w:color="auto"/>
        <w:right w:val="none" w:sz="0" w:space="0" w:color="auto"/>
      </w:divBdr>
    </w:div>
    <w:div w:id="1292175462">
      <w:bodyDiv w:val="1"/>
      <w:marLeft w:val="0"/>
      <w:marRight w:val="0"/>
      <w:marTop w:val="0"/>
      <w:marBottom w:val="0"/>
      <w:divBdr>
        <w:top w:val="none" w:sz="0" w:space="0" w:color="auto"/>
        <w:left w:val="none" w:sz="0" w:space="0" w:color="auto"/>
        <w:bottom w:val="none" w:sz="0" w:space="0" w:color="auto"/>
        <w:right w:val="none" w:sz="0" w:space="0" w:color="auto"/>
      </w:divBdr>
      <w:divsChild>
        <w:div w:id="1277567944">
          <w:marLeft w:val="0"/>
          <w:marRight w:val="0"/>
          <w:marTop w:val="0"/>
          <w:marBottom w:val="0"/>
          <w:divBdr>
            <w:top w:val="none" w:sz="0" w:space="0" w:color="auto"/>
            <w:left w:val="none" w:sz="0" w:space="0" w:color="auto"/>
            <w:bottom w:val="none" w:sz="0" w:space="0" w:color="auto"/>
            <w:right w:val="none" w:sz="0" w:space="0" w:color="auto"/>
          </w:divBdr>
          <w:divsChild>
            <w:div w:id="1523982060">
              <w:marLeft w:val="0"/>
              <w:marRight w:val="0"/>
              <w:marTop w:val="0"/>
              <w:marBottom w:val="0"/>
              <w:divBdr>
                <w:top w:val="none" w:sz="0" w:space="0" w:color="auto"/>
                <w:left w:val="none" w:sz="0" w:space="0" w:color="auto"/>
                <w:bottom w:val="none" w:sz="0" w:space="0" w:color="auto"/>
                <w:right w:val="none" w:sz="0" w:space="0" w:color="auto"/>
              </w:divBdr>
              <w:divsChild>
                <w:div w:id="1193034088">
                  <w:marLeft w:val="0"/>
                  <w:marRight w:val="0"/>
                  <w:marTop w:val="0"/>
                  <w:marBottom w:val="0"/>
                  <w:divBdr>
                    <w:top w:val="none" w:sz="0" w:space="0" w:color="auto"/>
                    <w:left w:val="none" w:sz="0" w:space="0" w:color="auto"/>
                    <w:bottom w:val="none" w:sz="0" w:space="0" w:color="auto"/>
                    <w:right w:val="none" w:sz="0" w:space="0" w:color="auto"/>
                  </w:divBdr>
                  <w:divsChild>
                    <w:div w:id="6106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328218">
      <w:bodyDiv w:val="1"/>
      <w:marLeft w:val="0"/>
      <w:marRight w:val="0"/>
      <w:marTop w:val="0"/>
      <w:marBottom w:val="0"/>
      <w:divBdr>
        <w:top w:val="none" w:sz="0" w:space="0" w:color="auto"/>
        <w:left w:val="none" w:sz="0" w:space="0" w:color="auto"/>
        <w:bottom w:val="none" w:sz="0" w:space="0" w:color="auto"/>
        <w:right w:val="none" w:sz="0" w:space="0" w:color="auto"/>
      </w:divBdr>
    </w:div>
    <w:div w:id="1294025137">
      <w:bodyDiv w:val="1"/>
      <w:marLeft w:val="0"/>
      <w:marRight w:val="0"/>
      <w:marTop w:val="0"/>
      <w:marBottom w:val="0"/>
      <w:divBdr>
        <w:top w:val="none" w:sz="0" w:space="0" w:color="auto"/>
        <w:left w:val="none" w:sz="0" w:space="0" w:color="auto"/>
        <w:bottom w:val="none" w:sz="0" w:space="0" w:color="auto"/>
        <w:right w:val="none" w:sz="0" w:space="0" w:color="auto"/>
      </w:divBdr>
      <w:divsChild>
        <w:div w:id="1039090258">
          <w:marLeft w:val="0"/>
          <w:marRight w:val="0"/>
          <w:marTop w:val="0"/>
          <w:marBottom w:val="0"/>
          <w:divBdr>
            <w:top w:val="none" w:sz="0" w:space="0" w:color="auto"/>
            <w:left w:val="none" w:sz="0" w:space="0" w:color="auto"/>
            <w:bottom w:val="none" w:sz="0" w:space="0" w:color="auto"/>
            <w:right w:val="none" w:sz="0" w:space="0" w:color="auto"/>
          </w:divBdr>
          <w:divsChild>
            <w:div w:id="1723288846">
              <w:marLeft w:val="0"/>
              <w:marRight w:val="0"/>
              <w:marTop w:val="0"/>
              <w:marBottom w:val="0"/>
              <w:divBdr>
                <w:top w:val="none" w:sz="0" w:space="0" w:color="auto"/>
                <w:left w:val="none" w:sz="0" w:space="0" w:color="auto"/>
                <w:bottom w:val="none" w:sz="0" w:space="0" w:color="auto"/>
                <w:right w:val="none" w:sz="0" w:space="0" w:color="auto"/>
              </w:divBdr>
              <w:divsChild>
                <w:div w:id="1891187278">
                  <w:marLeft w:val="0"/>
                  <w:marRight w:val="0"/>
                  <w:marTop w:val="0"/>
                  <w:marBottom w:val="0"/>
                  <w:divBdr>
                    <w:top w:val="none" w:sz="0" w:space="0" w:color="auto"/>
                    <w:left w:val="none" w:sz="0" w:space="0" w:color="auto"/>
                    <w:bottom w:val="none" w:sz="0" w:space="0" w:color="auto"/>
                    <w:right w:val="none" w:sz="0" w:space="0" w:color="auto"/>
                  </w:divBdr>
                  <w:divsChild>
                    <w:div w:id="144450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874007">
      <w:bodyDiv w:val="1"/>
      <w:marLeft w:val="0"/>
      <w:marRight w:val="0"/>
      <w:marTop w:val="0"/>
      <w:marBottom w:val="0"/>
      <w:divBdr>
        <w:top w:val="none" w:sz="0" w:space="0" w:color="auto"/>
        <w:left w:val="none" w:sz="0" w:space="0" w:color="auto"/>
        <w:bottom w:val="none" w:sz="0" w:space="0" w:color="auto"/>
        <w:right w:val="none" w:sz="0" w:space="0" w:color="auto"/>
      </w:divBdr>
    </w:div>
    <w:div w:id="1295021386">
      <w:bodyDiv w:val="1"/>
      <w:marLeft w:val="0"/>
      <w:marRight w:val="0"/>
      <w:marTop w:val="0"/>
      <w:marBottom w:val="0"/>
      <w:divBdr>
        <w:top w:val="none" w:sz="0" w:space="0" w:color="auto"/>
        <w:left w:val="none" w:sz="0" w:space="0" w:color="auto"/>
        <w:bottom w:val="none" w:sz="0" w:space="0" w:color="auto"/>
        <w:right w:val="none" w:sz="0" w:space="0" w:color="auto"/>
      </w:divBdr>
      <w:divsChild>
        <w:div w:id="1145388175">
          <w:marLeft w:val="0"/>
          <w:marRight w:val="0"/>
          <w:marTop w:val="0"/>
          <w:marBottom w:val="0"/>
          <w:divBdr>
            <w:top w:val="none" w:sz="0" w:space="0" w:color="auto"/>
            <w:left w:val="none" w:sz="0" w:space="0" w:color="auto"/>
            <w:bottom w:val="none" w:sz="0" w:space="0" w:color="auto"/>
            <w:right w:val="none" w:sz="0" w:space="0" w:color="auto"/>
          </w:divBdr>
          <w:divsChild>
            <w:div w:id="358242021">
              <w:marLeft w:val="0"/>
              <w:marRight w:val="0"/>
              <w:marTop w:val="0"/>
              <w:marBottom w:val="0"/>
              <w:divBdr>
                <w:top w:val="none" w:sz="0" w:space="0" w:color="auto"/>
                <w:left w:val="none" w:sz="0" w:space="0" w:color="auto"/>
                <w:bottom w:val="none" w:sz="0" w:space="0" w:color="auto"/>
                <w:right w:val="none" w:sz="0" w:space="0" w:color="auto"/>
              </w:divBdr>
              <w:divsChild>
                <w:div w:id="58334337">
                  <w:marLeft w:val="0"/>
                  <w:marRight w:val="0"/>
                  <w:marTop w:val="0"/>
                  <w:marBottom w:val="0"/>
                  <w:divBdr>
                    <w:top w:val="none" w:sz="0" w:space="0" w:color="auto"/>
                    <w:left w:val="none" w:sz="0" w:space="0" w:color="auto"/>
                    <w:bottom w:val="none" w:sz="0" w:space="0" w:color="auto"/>
                    <w:right w:val="none" w:sz="0" w:space="0" w:color="auto"/>
                  </w:divBdr>
                  <w:divsChild>
                    <w:div w:id="112376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721981">
      <w:bodyDiv w:val="1"/>
      <w:marLeft w:val="0"/>
      <w:marRight w:val="0"/>
      <w:marTop w:val="0"/>
      <w:marBottom w:val="0"/>
      <w:divBdr>
        <w:top w:val="none" w:sz="0" w:space="0" w:color="auto"/>
        <w:left w:val="none" w:sz="0" w:space="0" w:color="auto"/>
        <w:bottom w:val="none" w:sz="0" w:space="0" w:color="auto"/>
        <w:right w:val="none" w:sz="0" w:space="0" w:color="auto"/>
      </w:divBdr>
    </w:div>
    <w:div w:id="1296643569">
      <w:bodyDiv w:val="1"/>
      <w:marLeft w:val="0"/>
      <w:marRight w:val="0"/>
      <w:marTop w:val="0"/>
      <w:marBottom w:val="0"/>
      <w:divBdr>
        <w:top w:val="none" w:sz="0" w:space="0" w:color="auto"/>
        <w:left w:val="none" w:sz="0" w:space="0" w:color="auto"/>
        <w:bottom w:val="none" w:sz="0" w:space="0" w:color="auto"/>
        <w:right w:val="none" w:sz="0" w:space="0" w:color="auto"/>
      </w:divBdr>
      <w:divsChild>
        <w:div w:id="877933126">
          <w:marLeft w:val="0"/>
          <w:marRight w:val="0"/>
          <w:marTop w:val="0"/>
          <w:marBottom w:val="0"/>
          <w:divBdr>
            <w:top w:val="none" w:sz="0" w:space="0" w:color="auto"/>
            <w:left w:val="none" w:sz="0" w:space="0" w:color="auto"/>
            <w:bottom w:val="none" w:sz="0" w:space="0" w:color="auto"/>
            <w:right w:val="none" w:sz="0" w:space="0" w:color="auto"/>
          </w:divBdr>
          <w:divsChild>
            <w:div w:id="742029418">
              <w:marLeft w:val="0"/>
              <w:marRight w:val="0"/>
              <w:marTop w:val="0"/>
              <w:marBottom w:val="0"/>
              <w:divBdr>
                <w:top w:val="none" w:sz="0" w:space="0" w:color="auto"/>
                <w:left w:val="none" w:sz="0" w:space="0" w:color="auto"/>
                <w:bottom w:val="none" w:sz="0" w:space="0" w:color="auto"/>
                <w:right w:val="none" w:sz="0" w:space="0" w:color="auto"/>
              </w:divBdr>
              <w:divsChild>
                <w:div w:id="329019895">
                  <w:marLeft w:val="0"/>
                  <w:marRight w:val="0"/>
                  <w:marTop w:val="0"/>
                  <w:marBottom w:val="0"/>
                  <w:divBdr>
                    <w:top w:val="none" w:sz="0" w:space="0" w:color="auto"/>
                    <w:left w:val="none" w:sz="0" w:space="0" w:color="auto"/>
                    <w:bottom w:val="none" w:sz="0" w:space="0" w:color="auto"/>
                    <w:right w:val="none" w:sz="0" w:space="0" w:color="auto"/>
                  </w:divBdr>
                  <w:divsChild>
                    <w:div w:id="92499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568549">
      <w:bodyDiv w:val="1"/>
      <w:marLeft w:val="0"/>
      <w:marRight w:val="0"/>
      <w:marTop w:val="0"/>
      <w:marBottom w:val="0"/>
      <w:divBdr>
        <w:top w:val="none" w:sz="0" w:space="0" w:color="auto"/>
        <w:left w:val="none" w:sz="0" w:space="0" w:color="auto"/>
        <w:bottom w:val="none" w:sz="0" w:space="0" w:color="auto"/>
        <w:right w:val="none" w:sz="0" w:space="0" w:color="auto"/>
      </w:divBdr>
    </w:div>
    <w:div w:id="1298074350">
      <w:bodyDiv w:val="1"/>
      <w:marLeft w:val="0"/>
      <w:marRight w:val="0"/>
      <w:marTop w:val="0"/>
      <w:marBottom w:val="0"/>
      <w:divBdr>
        <w:top w:val="none" w:sz="0" w:space="0" w:color="auto"/>
        <w:left w:val="none" w:sz="0" w:space="0" w:color="auto"/>
        <w:bottom w:val="none" w:sz="0" w:space="0" w:color="auto"/>
        <w:right w:val="none" w:sz="0" w:space="0" w:color="auto"/>
      </w:divBdr>
    </w:div>
    <w:div w:id="1298878907">
      <w:bodyDiv w:val="1"/>
      <w:marLeft w:val="0"/>
      <w:marRight w:val="0"/>
      <w:marTop w:val="0"/>
      <w:marBottom w:val="0"/>
      <w:divBdr>
        <w:top w:val="none" w:sz="0" w:space="0" w:color="auto"/>
        <w:left w:val="none" w:sz="0" w:space="0" w:color="auto"/>
        <w:bottom w:val="none" w:sz="0" w:space="0" w:color="auto"/>
        <w:right w:val="none" w:sz="0" w:space="0" w:color="auto"/>
      </w:divBdr>
    </w:div>
    <w:div w:id="1298953914">
      <w:bodyDiv w:val="1"/>
      <w:marLeft w:val="0"/>
      <w:marRight w:val="0"/>
      <w:marTop w:val="0"/>
      <w:marBottom w:val="0"/>
      <w:divBdr>
        <w:top w:val="none" w:sz="0" w:space="0" w:color="auto"/>
        <w:left w:val="none" w:sz="0" w:space="0" w:color="auto"/>
        <w:bottom w:val="none" w:sz="0" w:space="0" w:color="auto"/>
        <w:right w:val="none" w:sz="0" w:space="0" w:color="auto"/>
      </w:divBdr>
    </w:div>
    <w:div w:id="1300065181">
      <w:bodyDiv w:val="1"/>
      <w:marLeft w:val="0"/>
      <w:marRight w:val="0"/>
      <w:marTop w:val="0"/>
      <w:marBottom w:val="0"/>
      <w:divBdr>
        <w:top w:val="none" w:sz="0" w:space="0" w:color="auto"/>
        <w:left w:val="none" w:sz="0" w:space="0" w:color="auto"/>
        <w:bottom w:val="none" w:sz="0" w:space="0" w:color="auto"/>
        <w:right w:val="none" w:sz="0" w:space="0" w:color="auto"/>
      </w:divBdr>
    </w:div>
    <w:div w:id="1300574722">
      <w:bodyDiv w:val="1"/>
      <w:marLeft w:val="0"/>
      <w:marRight w:val="0"/>
      <w:marTop w:val="0"/>
      <w:marBottom w:val="0"/>
      <w:divBdr>
        <w:top w:val="none" w:sz="0" w:space="0" w:color="auto"/>
        <w:left w:val="none" w:sz="0" w:space="0" w:color="auto"/>
        <w:bottom w:val="none" w:sz="0" w:space="0" w:color="auto"/>
        <w:right w:val="none" w:sz="0" w:space="0" w:color="auto"/>
      </w:divBdr>
    </w:div>
    <w:div w:id="1301883173">
      <w:bodyDiv w:val="1"/>
      <w:marLeft w:val="0"/>
      <w:marRight w:val="0"/>
      <w:marTop w:val="0"/>
      <w:marBottom w:val="0"/>
      <w:divBdr>
        <w:top w:val="none" w:sz="0" w:space="0" w:color="auto"/>
        <w:left w:val="none" w:sz="0" w:space="0" w:color="auto"/>
        <w:bottom w:val="none" w:sz="0" w:space="0" w:color="auto"/>
        <w:right w:val="none" w:sz="0" w:space="0" w:color="auto"/>
      </w:divBdr>
    </w:div>
    <w:div w:id="1302078681">
      <w:bodyDiv w:val="1"/>
      <w:marLeft w:val="0"/>
      <w:marRight w:val="0"/>
      <w:marTop w:val="0"/>
      <w:marBottom w:val="0"/>
      <w:divBdr>
        <w:top w:val="none" w:sz="0" w:space="0" w:color="auto"/>
        <w:left w:val="none" w:sz="0" w:space="0" w:color="auto"/>
        <w:bottom w:val="none" w:sz="0" w:space="0" w:color="auto"/>
        <w:right w:val="none" w:sz="0" w:space="0" w:color="auto"/>
      </w:divBdr>
    </w:div>
    <w:div w:id="1302078685">
      <w:bodyDiv w:val="1"/>
      <w:marLeft w:val="0"/>
      <w:marRight w:val="0"/>
      <w:marTop w:val="0"/>
      <w:marBottom w:val="0"/>
      <w:divBdr>
        <w:top w:val="none" w:sz="0" w:space="0" w:color="auto"/>
        <w:left w:val="none" w:sz="0" w:space="0" w:color="auto"/>
        <w:bottom w:val="none" w:sz="0" w:space="0" w:color="auto"/>
        <w:right w:val="none" w:sz="0" w:space="0" w:color="auto"/>
      </w:divBdr>
    </w:div>
    <w:div w:id="1303920403">
      <w:bodyDiv w:val="1"/>
      <w:marLeft w:val="0"/>
      <w:marRight w:val="0"/>
      <w:marTop w:val="0"/>
      <w:marBottom w:val="0"/>
      <w:divBdr>
        <w:top w:val="none" w:sz="0" w:space="0" w:color="auto"/>
        <w:left w:val="none" w:sz="0" w:space="0" w:color="auto"/>
        <w:bottom w:val="none" w:sz="0" w:space="0" w:color="auto"/>
        <w:right w:val="none" w:sz="0" w:space="0" w:color="auto"/>
      </w:divBdr>
    </w:div>
    <w:div w:id="1305084314">
      <w:bodyDiv w:val="1"/>
      <w:marLeft w:val="0"/>
      <w:marRight w:val="0"/>
      <w:marTop w:val="0"/>
      <w:marBottom w:val="0"/>
      <w:divBdr>
        <w:top w:val="none" w:sz="0" w:space="0" w:color="auto"/>
        <w:left w:val="none" w:sz="0" w:space="0" w:color="auto"/>
        <w:bottom w:val="none" w:sz="0" w:space="0" w:color="auto"/>
        <w:right w:val="none" w:sz="0" w:space="0" w:color="auto"/>
      </w:divBdr>
    </w:div>
    <w:div w:id="1305231474">
      <w:bodyDiv w:val="1"/>
      <w:marLeft w:val="0"/>
      <w:marRight w:val="0"/>
      <w:marTop w:val="0"/>
      <w:marBottom w:val="0"/>
      <w:divBdr>
        <w:top w:val="none" w:sz="0" w:space="0" w:color="auto"/>
        <w:left w:val="none" w:sz="0" w:space="0" w:color="auto"/>
        <w:bottom w:val="none" w:sz="0" w:space="0" w:color="auto"/>
        <w:right w:val="none" w:sz="0" w:space="0" w:color="auto"/>
      </w:divBdr>
      <w:divsChild>
        <w:div w:id="227494467">
          <w:marLeft w:val="0"/>
          <w:marRight w:val="0"/>
          <w:marTop w:val="0"/>
          <w:marBottom w:val="0"/>
          <w:divBdr>
            <w:top w:val="none" w:sz="0" w:space="0" w:color="auto"/>
            <w:left w:val="none" w:sz="0" w:space="0" w:color="auto"/>
            <w:bottom w:val="none" w:sz="0" w:space="0" w:color="auto"/>
            <w:right w:val="none" w:sz="0" w:space="0" w:color="auto"/>
          </w:divBdr>
        </w:div>
        <w:div w:id="373848187">
          <w:marLeft w:val="0"/>
          <w:marRight w:val="0"/>
          <w:marTop w:val="0"/>
          <w:marBottom w:val="0"/>
          <w:divBdr>
            <w:top w:val="none" w:sz="0" w:space="0" w:color="auto"/>
            <w:left w:val="none" w:sz="0" w:space="0" w:color="auto"/>
            <w:bottom w:val="none" w:sz="0" w:space="0" w:color="auto"/>
            <w:right w:val="none" w:sz="0" w:space="0" w:color="auto"/>
          </w:divBdr>
        </w:div>
        <w:div w:id="692220559">
          <w:marLeft w:val="0"/>
          <w:marRight w:val="0"/>
          <w:marTop w:val="0"/>
          <w:marBottom w:val="0"/>
          <w:divBdr>
            <w:top w:val="none" w:sz="0" w:space="0" w:color="auto"/>
            <w:left w:val="none" w:sz="0" w:space="0" w:color="auto"/>
            <w:bottom w:val="none" w:sz="0" w:space="0" w:color="auto"/>
            <w:right w:val="none" w:sz="0" w:space="0" w:color="auto"/>
          </w:divBdr>
        </w:div>
      </w:divsChild>
    </w:div>
    <w:div w:id="1306158013">
      <w:bodyDiv w:val="1"/>
      <w:marLeft w:val="0"/>
      <w:marRight w:val="0"/>
      <w:marTop w:val="0"/>
      <w:marBottom w:val="0"/>
      <w:divBdr>
        <w:top w:val="none" w:sz="0" w:space="0" w:color="auto"/>
        <w:left w:val="none" w:sz="0" w:space="0" w:color="auto"/>
        <w:bottom w:val="none" w:sz="0" w:space="0" w:color="auto"/>
        <w:right w:val="none" w:sz="0" w:space="0" w:color="auto"/>
      </w:divBdr>
      <w:divsChild>
        <w:div w:id="1103888946">
          <w:marLeft w:val="0"/>
          <w:marRight w:val="0"/>
          <w:marTop w:val="0"/>
          <w:marBottom w:val="0"/>
          <w:divBdr>
            <w:top w:val="none" w:sz="0" w:space="0" w:color="auto"/>
            <w:left w:val="none" w:sz="0" w:space="0" w:color="auto"/>
            <w:bottom w:val="none" w:sz="0" w:space="0" w:color="auto"/>
            <w:right w:val="none" w:sz="0" w:space="0" w:color="auto"/>
          </w:divBdr>
          <w:divsChild>
            <w:div w:id="471217504">
              <w:marLeft w:val="0"/>
              <w:marRight w:val="0"/>
              <w:marTop w:val="0"/>
              <w:marBottom w:val="0"/>
              <w:divBdr>
                <w:top w:val="none" w:sz="0" w:space="0" w:color="auto"/>
                <w:left w:val="none" w:sz="0" w:space="0" w:color="auto"/>
                <w:bottom w:val="none" w:sz="0" w:space="0" w:color="auto"/>
                <w:right w:val="none" w:sz="0" w:space="0" w:color="auto"/>
              </w:divBdr>
              <w:divsChild>
                <w:div w:id="336807021">
                  <w:marLeft w:val="0"/>
                  <w:marRight w:val="0"/>
                  <w:marTop w:val="0"/>
                  <w:marBottom w:val="0"/>
                  <w:divBdr>
                    <w:top w:val="none" w:sz="0" w:space="0" w:color="auto"/>
                    <w:left w:val="none" w:sz="0" w:space="0" w:color="auto"/>
                    <w:bottom w:val="none" w:sz="0" w:space="0" w:color="auto"/>
                    <w:right w:val="none" w:sz="0" w:space="0" w:color="auto"/>
                  </w:divBdr>
                  <w:divsChild>
                    <w:div w:id="86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667192">
      <w:bodyDiv w:val="1"/>
      <w:marLeft w:val="0"/>
      <w:marRight w:val="0"/>
      <w:marTop w:val="0"/>
      <w:marBottom w:val="0"/>
      <w:divBdr>
        <w:top w:val="none" w:sz="0" w:space="0" w:color="auto"/>
        <w:left w:val="none" w:sz="0" w:space="0" w:color="auto"/>
        <w:bottom w:val="none" w:sz="0" w:space="0" w:color="auto"/>
        <w:right w:val="none" w:sz="0" w:space="0" w:color="auto"/>
      </w:divBdr>
      <w:divsChild>
        <w:div w:id="1598437799">
          <w:marLeft w:val="0"/>
          <w:marRight w:val="0"/>
          <w:marTop w:val="0"/>
          <w:marBottom w:val="0"/>
          <w:divBdr>
            <w:top w:val="none" w:sz="0" w:space="0" w:color="auto"/>
            <w:left w:val="none" w:sz="0" w:space="0" w:color="auto"/>
            <w:bottom w:val="none" w:sz="0" w:space="0" w:color="auto"/>
            <w:right w:val="none" w:sz="0" w:space="0" w:color="auto"/>
          </w:divBdr>
          <w:divsChild>
            <w:div w:id="948662843">
              <w:marLeft w:val="0"/>
              <w:marRight w:val="0"/>
              <w:marTop w:val="0"/>
              <w:marBottom w:val="0"/>
              <w:divBdr>
                <w:top w:val="none" w:sz="0" w:space="0" w:color="auto"/>
                <w:left w:val="none" w:sz="0" w:space="0" w:color="auto"/>
                <w:bottom w:val="none" w:sz="0" w:space="0" w:color="auto"/>
                <w:right w:val="none" w:sz="0" w:space="0" w:color="auto"/>
              </w:divBdr>
              <w:divsChild>
                <w:div w:id="2038655905">
                  <w:marLeft w:val="0"/>
                  <w:marRight w:val="0"/>
                  <w:marTop w:val="0"/>
                  <w:marBottom w:val="0"/>
                  <w:divBdr>
                    <w:top w:val="none" w:sz="0" w:space="0" w:color="auto"/>
                    <w:left w:val="none" w:sz="0" w:space="0" w:color="auto"/>
                    <w:bottom w:val="none" w:sz="0" w:space="0" w:color="auto"/>
                    <w:right w:val="none" w:sz="0" w:space="0" w:color="auto"/>
                  </w:divBdr>
                  <w:divsChild>
                    <w:div w:id="15705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974597">
      <w:bodyDiv w:val="1"/>
      <w:marLeft w:val="0"/>
      <w:marRight w:val="0"/>
      <w:marTop w:val="0"/>
      <w:marBottom w:val="0"/>
      <w:divBdr>
        <w:top w:val="none" w:sz="0" w:space="0" w:color="auto"/>
        <w:left w:val="none" w:sz="0" w:space="0" w:color="auto"/>
        <w:bottom w:val="none" w:sz="0" w:space="0" w:color="auto"/>
        <w:right w:val="none" w:sz="0" w:space="0" w:color="auto"/>
      </w:divBdr>
      <w:divsChild>
        <w:div w:id="1230266113">
          <w:marLeft w:val="0"/>
          <w:marRight w:val="0"/>
          <w:marTop w:val="0"/>
          <w:marBottom w:val="0"/>
          <w:divBdr>
            <w:top w:val="none" w:sz="0" w:space="0" w:color="auto"/>
            <w:left w:val="none" w:sz="0" w:space="0" w:color="auto"/>
            <w:bottom w:val="none" w:sz="0" w:space="0" w:color="auto"/>
            <w:right w:val="none" w:sz="0" w:space="0" w:color="auto"/>
          </w:divBdr>
          <w:divsChild>
            <w:div w:id="1422753259">
              <w:marLeft w:val="0"/>
              <w:marRight w:val="0"/>
              <w:marTop w:val="0"/>
              <w:marBottom w:val="0"/>
              <w:divBdr>
                <w:top w:val="none" w:sz="0" w:space="0" w:color="auto"/>
                <w:left w:val="none" w:sz="0" w:space="0" w:color="auto"/>
                <w:bottom w:val="none" w:sz="0" w:space="0" w:color="auto"/>
                <w:right w:val="none" w:sz="0" w:space="0" w:color="auto"/>
              </w:divBdr>
              <w:divsChild>
                <w:div w:id="1417632026">
                  <w:marLeft w:val="0"/>
                  <w:marRight w:val="0"/>
                  <w:marTop w:val="0"/>
                  <w:marBottom w:val="0"/>
                  <w:divBdr>
                    <w:top w:val="none" w:sz="0" w:space="0" w:color="auto"/>
                    <w:left w:val="none" w:sz="0" w:space="0" w:color="auto"/>
                    <w:bottom w:val="none" w:sz="0" w:space="0" w:color="auto"/>
                    <w:right w:val="none" w:sz="0" w:space="0" w:color="auto"/>
                  </w:divBdr>
                  <w:divsChild>
                    <w:div w:id="174806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86499">
      <w:bodyDiv w:val="1"/>
      <w:marLeft w:val="0"/>
      <w:marRight w:val="0"/>
      <w:marTop w:val="0"/>
      <w:marBottom w:val="0"/>
      <w:divBdr>
        <w:top w:val="none" w:sz="0" w:space="0" w:color="auto"/>
        <w:left w:val="none" w:sz="0" w:space="0" w:color="auto"/>
        <w:bottom w:val="none" w:sz="0" w:space="0" w:color="auto"/>
        <w:right w:val="none" w:sz="0" w:space="0" w:color="auto"/>
      </w:divBdr>
    </w:div>
    <w:div w:id="1310092796">
      <w:bodyDiv w:val="1"/>
      <w:marLeft w:val="0"/>
      <w:marRight w:val="0"/>
      <w:marTop w:val="0"/>
      <w:marBottom w:val="0"/>
      <w:divBdr>
        <w:top w:val="none" w:sz="0" w:space="0" w:color="auto"/>
        <w:left w:val="none" w:sz="0" w:space="0" w:color="auto"/>
        <w:bottom w:val="none" w:sz="0" w:space="0" w:color="auto"/>
        <w:right w:val="none" w:sz="0" w:space="0" w:color="auto"/>
      </w:divBdr>
    </w:div>
    <w:div w:id="1311205699">
      <w:bodyDiv w:val="1"/>
      <w:marLeft w:val="0"/>
      <w:marRight w:val="0"/>
      <w:marTop w:val="0"/>
      <w:marBottom w:val="0"/>
      <w:divBdr>
        <w:top w:val="none" w:sz="0" w:space="0" w:color="auto"/>
        <w:left w:val="none" w:sz="0" w:space="0" w:color="auto"/>
        <w:bottom w:val="none" w:sz="0" w:space="0" w:color="auto"/>
        <w:right w:val="none" w:sz="0" w:space="0" w:color="auto"/>
      </w:divBdr>
    </w:div>
    <w:div w:id="1312101793">
      <w:bodyDiv w:val="1"/>
      <w:marLeft w:val="0"/>
      <w:marRight w:val="0"/>
      <w:marTop w:val="0"/>
      <w:marBottom w:val="0"/>
      <w:divBdr>
        <w:top w:val="none" w:sz="0" w:space="0" w:color="auto"/>
        <w:left w:val="none" w:sz="0" w:space="0" w:color="auto"/>
        <w:bottom w:val="none" w:sz="0" w:space="0" w:color="auto"/>
        <w:right w:val="none" w:sz="0" w:space="0" w:color="auto"/>
      </w:divBdr>
    </w:div>
    <w:div w:id="1312559658">
      <w:bodyDiv w:val="1"/>
      <w:marLeft w:val="0"/>
      <w:marRight w:val="0"/>
      <w:marTop w:val="0"/>
      <w:marBottom w:val="0"/>
      <w:divBdr>
        <w:top w:val="none" w:sz="0" w:space="0" w:color="auto"/>
        <w:left w:val="none" w:sz="0" w:space="0" w:color="auto"/>
        <w:bottom w:val="none" w:sz="0" w:space="0" w:color="auto"/>
        <w:right w:val="none" w:sz="0" w:space="0" w:color="auto"/>
      </w:divBdr>
    </w:div>
    <w:div w:id="1313603939">
      <w:bodyDiv w:val="1"/>
      <w:marLeft w:val="0"/>
      <w:marRight w:val="0"/>
      <w:marTop w:val="0"/>
      <w:marBottom w:val="0"/>
      <w:divBdr>
        <w:top w:val="none" w:sz="0" w:space="0" w:color="auto"/>
        <w:left w:val="none" w:sz="0" w:space="0" w:color="auto"/>
        <w:bottom w:val="none" w:sz="0" w:space="0" w:color="auto"/>
        <w:right w:val="none" w:sz="0" w:space="0" w:color="auto"/>
      </w:divBdr>
    </w:div>
    <w:div w:id="1313678908">
      <w:bodyDiv w:val="1"/>
      <w:marLeft w:val="0"/>
      <w:marRight w:val="0"/>
      <w:marTop w:val="0"/>
      <w:marBottom w:val="0"/>
      <w:divBdr>
        <w:top w:val="none" w:sz="0" w:space="0" w:color="auto"/>
        <w:left w:val="none" w:sz="0" w:space="0" w:color="auto"/>
        <w:bottom w:val="none" w:sz="0" w:space="0" w:color="auto"/>
        <w:right w:val="none" w:sz="0" w:space="0" w:color="auto"/>
      </w:divBdr>
    </w:div>
    <w:div w:id="1317417351">
      <w:bodyDiv w:val="1"/>
      <w:marLeft w:val="0"/>
      <w:marRight w:val="0"/>
      <w:marTop w:val="0"/>
      <w:marBottom w:val="0"/>
      <w:divBdr>
        <w:top w:val="none" w:sz="0" w:space="0" w:color="auto"/>
        <w:left w:val="none" w:sz="0" w:space="0" w:color="auto"/>
        <w:bottom w:val="none" w:sz="0" w:space="0" w:color="auto"/>
        <w:right w:val="none" w:sz="0" w:space="0" w:color="auto"/>
      </w:divBdr>
    </w:div>
    <w:div w:id="1317879522">
      <w:bodyDiv w:val="1"/>
      <w:marLeft w:val="0"/>
      <w:marRight w:val="0"/>
      <w:marTop w:val="0"/>
      <w:marBottom w:val="0"/>
      <w:divBdr>
        <w:top w:val="none" w:sz="0" w:space="0" w:color="auto"/>
        <w:left w:val="none" w:sz="0" w:space="0" w:color="auto"/>
        <w:bottom w:val="none" w:sz="0" w:space="0" w:color="auto"/>
        <w:right w:val="none" w:sz="0" w:space="0" w:color="auto"/>
      </w:divBdr>
      <w:divsChild>
        <w:div w:id="460809992">
          <w:marLeft w:val="0"/>
          <w:marRight w:val="0"/>
          <w:marTop w:val="0"/>
          <w:marBottom w:val="0"/>
          <w:divBdr>
            <w:top w:val="none" w:sz="0" w:space="0" w:color="auto"/>
            <w:left w:val="none" w:sz="0" w:space="0" w:color="auto"/>
            <w:bottom w:val="none" w:sz="0" w:space="0" w:color="auto"/>
            <w:right w:val="none" w:sz="0" w:space="0" w:color="auto"/>
          </w:divBdr>
          <w:divsChild>
            <w:div w:id="1654019175">
              <w:marLeft w:val="0"/>
              <w:marRight w:val="0"/>
              <w:marTop w:val="0"/>
              <w:marBottom w:val="0"/>
              <w:divBdr>
                <w:top w:val="none" w:sz="0" w:space="0" w:color="auto"/>
                <w:left w:val="none" w:sz="0" w:space="0" w:color="auto"/>
                <w:bottom w:val="none" w:sz="0" w:space="0" w:color="auto"/>
                <w:right w:val="none" w:sz="0" w:space="0" w:color="auto"/>
              </w:divBdr>
              <w:divsChild>
                <w:div w:id="16464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82009">
      <w:bodyDiv w:val="1"/>
      <w:marLeft w:val="0"/>
      <w:marRight w:val="0"/>
      <w:marTop w:val="0"/>
      <w:marBottom w:val="0"/>
      <w:divBdr>
        <w:top w:val="none" w:sz="0" w:space="0" w:color="auto"/>
        <w:left w:val="none" w:sz="0" w:space="0" w:color="auto"/>
        <w:bottom w:val="none" w:sz="0" w:space="0" w:color="auto"/>
        <w:right w:val="none" w:sz="0" w:space="0" w:color="auto"/>
      </w:divBdr>
    </w:div>
    <w:div w:id="1318147588">
      <w:bodyDiv w:val="1"/>
      <w:marLeft w:val="0"/>
      <w:marRight w:val="0"/>
      <w:marTop w:val="0"/>
      <w:marBottom w:val="0"/>
      <w:divBdr>
        <w:top w:val="none" w:sz="0" w:space="0" w:color="auto"/>
        <w:left w:val="none" w:sz="0" w:space="0" w:color="auto"/>
        <w:bottom w:val="none" w:sz="0" w:space="0" w:color="auto"/>
        <w:right w:val="none" w:sz="0" w:space="0" w:color="auto"/>
      </w:divBdr>
    </w:div>
    <w:div w:id="1318268318">
      <w:bodyDiv w:val="1"/>
      <w:marLeft w:val="0"/>
      <w:marRight w:val="0"/>
      <w:marTop w:val="0"/>
      <w:marBottom w:val="0"/>
      <w:divBdr>
        <w:top w:val="none" w:sz="0" w:space="0" w:color="auto"/>
        <w:left w:val="none" w:sz="0" w:space="0" w:color="auto"/>
        <w:bottom w:val="none" w:sz="0" w:space="0" w:color="auto"/>
        <w:right w:val="none" w:sz="0" w:space="0" w:color="auto"/>
      </w:divBdr>
    </w:div>
    <w:div w:id="1318727535">
      <w:bodyDiv w:val="1"/>
      <w:marLeft w:val="0"/>
      <w:marRight w:val="0"/>
      <w:marTop w:val="0"/>
      <w:marBottom w:val="0"/>
      <w:divBdr>
        <w:top w:val="none" w:sz="0" w:space="0" w:color="auto"/>
        <w:left w:val="none" w:sz="0" w:space="0" w:color="auto"/>
        <w:bottom w:val="none" w:sz="0" w:space="0" w:color="auto"/>
        <w:right w:val="none" w:sz="0" w:space="0" w:color="auto"/>
      </w:divBdr>
    </w:div>
    <w:div w:id="1319456845">
      <w:bodyDiv w:val="1"/>
      <w:marLeft w:val="0"/>
      <w:marRight w:val="0"/>
      <w:marTop w:val="0"/>
      <w:marBottom w:val="0"/>
      <w:divBdr>
        <w:top w:val="none" w:sz="0" w:space="0" w:color="auto"/>
        <w:left w:val="none" w:sz="0" w:space="0" w:color="auto"/>
        <w:bottom w:val="none" w:sz="0" w:space="0" w:color="auto"/>
        <w:right w:val="none" w:sz="0" w:space="0" w:color="auto"/>
      </w:divBdr>
    </w:div>
    <w:div w:id="1319764966">
      <w:bodyDiv w:val="1"/>
      <w:marLeft w:val="0"/>
      <w:marRight w:val="0"/>
      <w:marTop w:val="0"/>
      <w:marBottom w:val="0"/>
      <w:divBdr>
        <w:top w:val="none" w:sz="0" w:space="0" w:color="auto"/>
        <w:left w:val="none" w:sz="0" w:space="0" w:color="auto"/>
        <w:bottom w:val="none" w:sz="0" w:space="0" w:color="auto"/>
        <w:right w:val="none" w:sz="0" w:space="0" w:color="auto"/>
      </w:divBdr>
    </w:div>
    <w:div w:id="1319766203">
      <w:bodyDiv w:val="1"/>
      <w:marLeft w:val="0"/>
      <w:marRight w:val="0"/>
      <w:marTop w:val="0"/>
      <w:marBottom w:val="0"/>
      <w:divBdr>
        <w:top w:val="none" w:sz="0" w:space="0" w:color="auto"/>
        <w:left w:val="none" w:sz="0" w:space="0" w:color="auto"/>
        <w:bottom w:val="none" w:sz="0" w:space="0" w:color="auto"/>
        <w:right w:val="none" w:sz="0" w:space="0" w:color="auto"/>
      </w:divBdr>
    </w:div>
    <w:div w:id="1320036395">
      <w:bodyDiv w:val="1"/>
      <w:marLeft w:val="0"/>
      <w:marRight w:val="0"/>
      <w:marTop w:val="0"/>
      <w:marBottom w:val="0"/>
      <w:divBdr>
        <w:top w:val="none" w:sz="0" w:space="0" w:color="auto"/>
        <w:left w:val="none" w:sz="0" w:space="0" w:color="auto"/>
        <w:bottom w:val="none" w:sz="0" w:space="0" w:color="auto"/>
        <w:right w:val="none" w:sz="0" w:space="0" w:color="auto"/>
      </w:divBdr>
    </w:div>
    <w:div w:id="1321075382">
      <w:bodyDiv w:val="1"/>
      <w:marLeft w:val="0"/>
      <w:marRight w:val="0"/>
      <w:marTop w:val="0"/>
      <w:marBottom w:val="0"/>
      <w:divBdr>
        <w:top w:val="none" w:sz="0" w:space="0" w:color="auto"/>
        <w:left w:val="none" w:sz="0" w:space="0" w:color="auto"/>
        <w:bottom w:val="none" w:sz="0" w:space="0" w:color="auto"/>
        <w:right w:val="none" w:sz="0" w:space="0" w:color="auto"/>
      </w:divBdr>
    </w:div>
    <w:div w:id="1321080492">
      <w:bodyDiv w:val="1"/>
      <w:marLeft w:val="0"/>
      <w:marRight w:val="0"/>
      <w:marTop w:val="0"/>
      <w:marBottom w:val="0"/>
      <w:divBdr>
        <w:top w:val="none" w:sz="0" w:space="0" w:color="auto"/>
        <w:left w:val="none" w:sz="0" w:space="0" w:color="auto"/>
        <w:bottom w:val="none" w:sz="0" w:space="0" w:color="auto"/>
        <w:right w:val="none" w:sz="0" w:space="0" w:color="auto"/>
      </w:divBdr>
    </w:div>
    <w:div w:id="1321929906">
      <w:bodyDiv w:val="1"/>
      <w:marLeft w:val="0"/>
      <w:marRight w:val="0"/>
      <w:marTop w:val="0"/>
      <w:marBottom w:val="0"/>
      <w:divBdr>
        <w:top w:val="none" w:sz="0" w:space="0" w:color="auto"/>
        <w:left w:val="none" w:sz="0" w:space="0" w:color="auto"/>
        <w:bottom w:val="none" w:sz="0" w:space="0" w:color="auto"/>
        <w:right w:val="none" w:sz="0" w:space="0" w:color="auto"/>
      </w:divBdr>
    </w:div>
    <w:div w:id="1322389646">
      <w:bodyDiv w:val="1"/>
      <w:marLeft w:val="0"/>
      <w:marRight w:val="0"/>
      <w:marTop w:val="0"/>
      <w:marBottom w:val="0"/>
      <w:divBdr>
        <w:top w:val="none" w:sz="0" w:space="0" w:color="auto"/>
        <w:left w:val="none" w:sz="0" w:space="0" w:color="auto"/>
        <w:bottom w:val="none" w:sz="0" w:space="0" w:color="auto"/>
        <w:right w:val="none" w:sz="0" w:space="0" w:color="auto"/>
      </w:divBdr>
    </w:div>
    <w:div w:id="1323923196">
      <w:bodyDiv w:val="1"/>
      <w:marLeft w:val="0"/>
      <w:marRight w:val="0"/>
      <w:marTop w:val="0"/>
      <w:marBottom w:val="0"/>
      <w:divBdr>
        <w:top w:val="none" w:sz="0" w:space="0" w:color="auto"/>
        <w:left w:val="none" w:sz="0" w:space="0" w:color="auto"/>
        <w:bottom w:val="none" w:sz="0" w:space="0" w:color="auto"/>
        <w:right w:val="none" w:sz="0" w:space="0" w:color="auto"/>
      </w:divBdr>
    </w:div>
    <w:div w:id="1323970324">
      <w:bodyDiv w:val="1"/>
      <w:marLeft w:val="0"/>
      <w:marRight w:val="0"/>
      <w:marTop w:val="0"/>
      <w:marBottom w:val="0"/>
      <w:divBdr>
        <w:top w:val="none" w:sz="0" w:space="0" w:color="auto"/>
        <w:left w:val="none" w:sz="0" w:space="0" w:color="auto"/>
        <w:bottom w:val="none" w:sz="0" w:space="0" w:color="auto"/>
        <w:right w:val="none" w:sz="0" w:space="0" w:color="auto"/>
      </w:divBdr>
    </w:div>
    <w:div w:id="1324042217">
      <w:bodyDiv w:val="1"/>
      <w:marLeft w:val="0"/>
      <w:marRight w:val="0"/>
      <w:marTop w:val="0"/>
      <w:marBottom w:val="0"/>
      <w:divBdr>
        <w:top w:val="none" w:sz="0" w:space="0" w:color="auto"/>
        <w:left w:val="none" w:sz="0" w:space="0" w:color="auto"/>
        <w:bottom w:val="none" w:sz="0" w:space="0" w:color="auto"/>
        <w:right w:val="none" w:sz="0" w:space="0" w:color="auto"/>
      </w:divBdr>
    </w:div>
    <w:div w:id="1324815193">
      <w:bodyDiv w:val="1"/>
      <w:marLeft w:val="0"/>
      <w:marRight w:val="0"/>
      <w:marTop w:val="0"/>
      <w:marBottom w:val="0"/>
      <w:divBdr>
        <w:top w:val="none" w:sz="0" w:space="0" w:color="auto"/>
        <w:left w:val="none" w:sz="0" w:space="0" w:color="auto"/>
        <w:bottom w:val="none" w:sz="0" w:space="0" w:color="auto"/>
        <w:right w:val="none" w:sz="0" w:space="0" w:color="auto"/>
      </w:divBdr>
    </w:div>
    <w:div w:id="1324889634">
      <w:bodyDiv w:val="1"/>
      <w:marLeft w:val="0"/>
      <w:marRight w:val="0"/>
      <w:marTop w:val="0"/>
      <w:marBottom w:val="0"/>
      <w:divBdr>
        <w:top w:val="none" w:sz="0" w:space="0" w:color="auto"/>
        <w:left w:val="none" w:sz="0" w:space="0" w:color="auto"/>
        <w:bottom w:val="none" w:sz="0" w:space="0" w:color="auto"/>
        <w:right w:val="none" w:sz="0" w:space="0" w:color="auto"/>
      </w:divBdr>
    </w:div>
    <w:div w:id="1325206732">
      <w:bodyDiv w:val="1"/>
      <w:marLeft w:val="0"/>
      <w:marRight w:val="0"/>
      <w:marTop w:val="0"/>
      <w:marBottom w:val="0"/>
      <w:divBdr>
        <w:top w:val="none" w:sz="0" w:space="0" w:color="auto"/>
        <w:left w:val="none" w:sz="0" w:space="0" w:color="auto"/>
        <w:bottom w:val="none" w:sz="0" w:space="0" w:color="auto"/>
        <w:right w:val="none" w:sz="0" w:space="0" w:color="auto"/>
      </w:divBdr>
    </w:div>
    <w:div w:id="1325284139">
      <w:bodyDiv w:val="1"/>
      <w:marLeft w:val="0"/>
      <w:marRight w:val="0"/>
      <w:marTop w:val="0"/>
      <w:marBottom w:val="0"/>
      <w:divBdr>
        <w:top w:val="none" w:sz="0" w:space="0" w:color="auto"/>
        <w:left w:val="none" w:sz="0" w:space="0" w:color="auto"/>
        <w:bottom w:val="none" w:sz="0" w:space="0" w:color="auto"/>
        <w:right w:val="none" w:sz="0" w:space="0" w:color="auto"/>
      </w:divBdr>
    </w:div>
    <w:div w:id="1326281971">
      <w:bodyDiv w:val="1"/>
      <w:marLeft w:val="0"/>
      <w:marRight w:val="0"/>
      <w:marTop w:val="0"/>
      <w:marBottom w:val="0"/>
      <w:divBdr>
        <w:top w:val="none" w:sz="0" w:space="0" w:color="auto"/>
        <w:left w:val="none" w:sz="0" w:space="0" w:color="auto"/>
        <w:bottom w:val="none" w:sz="0" w:space="0" w:color="auto"/>
        <w:right w:val="none" w:sz="0" w:space="0" w:color="auto"/>
      </w:divBdr>
    </w:div>
    <w:div w:id="1328022617">
      <w:bodyDiv w:val="1"/>
      <w:marLeft w:val="0"/>
      <w:marRight w:val="0"/>
      <w:marTop w:val="0"/>
      <w:marBottom w:val="0"/>
      <w:divBdr>
        <w:top w:val="none" w:sz="0" w:space="0" w:color="auto"/>
        <w:left w:val="none" w:sz="0" w:space="0" w:color="auto"/>
        <w:bottom w:val="none" w:sz="0" w:space="0" w:color="auto"/>
        <w:right w:val="none" w:sz="0" w:space="0" w:color="auto"/>
      </w:divBdr>
    </w:div>
    <w:div w:id="1328678726">
      <w:bodyDiv w:val="1"/>
      <w:marLeft w:val="0"/>
      <w:marRight w:val="0"/>
      <w:marTop w:val="0"/>
      <w:marBottom w:val="0"/>
      <w:divBdr>
        <w:top w:val="none" w:sz="0" w:space="0" w:color="auto"/>
        <w:left w:val="none" w:sz="0" w:space="0" w:color="auto"/>
        <w:bottom w:val="none" w:sz="0" w:space="0" w:color="auto"/>
        <w:right w:val="none" w:sz="0" w:space="0" w:color="auto"/>
      </w:divBdr>
      <w:divsChild>
        <w:div w:id="1063526724">
          <w:marLeft w:val="0"/>
          <w:marRight w:val="0"/>
          <w:marTop w:val="0"/>
          <w:marBottom w:val="0"/>
          <w:divBdr>
            <w:top w:val="none" w:sz="0" w:space="0" w:color="auto"/>
            <w:left w:val="none" w:sz="0" w:space="0" w:color="auto"/>
            <w:bottom w:val="none" w:sz="0" w:space="0" w:color="auto"/>
            <w:right w:val="none" w:sz="0" w:space="0" w:color="auto"/>
          </w:divBdr>
          <w:divsChild>
            <w:div w:id="960846393">
              <w:marLeft w:val="0"/>
              <w:marRight w:val="0"/>
              <w:marTop w:val="0"/>
              <w:marBottom w:val="0"/>
              <w:divBdr>
                <w:top w:val="none" w:sz="0" w:space="0" w:color="auto"/>
                <w:left w:val="none" w:sz="0" w:space="0" w:color="auto"/>
                <w:bottom w:val="none" w:sz="0" w:space="0" w:color="auto"/>
                <w:right w:val="none" w:sz="0" w:space="0" w:color="auto"/>
              </w:divBdr>
              <w:divsChild>
                <w:div w:id="296641921">
                  <w:marLeft w:val="0"/>
                  <w:marRight w:val="0"/>
                  <w:marTop w:val="0"/>
                  <w:marBottom w:val="0"/>
                  <w:divBdr>
                    <w:top w:val="none" w:sz="0" w:space="0" w:color="auto"/>
                    <w:left w:val="none" w:sz="0" w:space="0" w:color="auto"/>
                    <w:bottom w:val="none" w:sz="0" w:space="0" w:color="auto"/>
                    <w:right w:val="none" w:sz="0" w:space="0" w:color="auto"/>
                  </w:divBdr>
                </w:div>
              </w:divsChild>
            </w:div>
            <w:div w:id="1579947681">
              <w:marLeft w:val="0"/>
              <w:marRight w:val="0"/>
              <w:marTop w:val="0"/>
              <w:marBottom w:val="0"/>
              <w:divBdr>
                <w:top w:val="none" w:sz="0" w:space="0" w:color="auto"/>
                <w:left w:val="none" w:sz="0" w:space="0" w:color="auto"/>
                <w:bottom w:val="none" w:sz="0" w:space="0" w:color="auto"/>
                <w:right w:val="none" w:sz="0" w:space="0" w:color="auto"/>
              </w:divBdr>
              <w:divsChild>
                <w:div w:id="1622106198">
                  <w:marLeft w:val="0"/>
                  <w:marRight w:val="0"/>
                  <w:marTop w:val="0"/>
                  <w:marBottom w:val="0"/>
                  <w:divBdr>
                    <w:top w:val="none" w:sz="0" w:space="0" w:color="auto"/>
                    <w:left w:val="none" w:sz="0" w:space="0" w:color="auto"/>
                    <w:bottom w:val="none" w:sz="0" w:space="0" w:color="auto"/>
                    <w:right w:val="none" w:sz="0" w:space="0" w:color="auto"/>
                  </w:divBdr>
                </w:div>
              </w:divsChild>
            </w:div>
            <w:div w:id="1830247905">
              <w:marLeft w:val="0"/>
              <w:marRight w:val="0"/>
              <w:marTop w:val="0"/>
              <w:marBottom w:val="0"/>
              <w:divBdr>
                <w:top w:val="none" w:sz="0" w:space="0" w:color="auto"/>
                <w:left w:val="none" w:sz="0" w:space="0" w:color="auto"/>
                <w:bottom w:val="none" w:sz="0" w:space="0" w:color="auto"/>
                <w:right w:val="none" w:sz="0" w:space="0" w:color="auto"/>
              </w:divBdr>
              <w:divsChild>
                <w:div w:id="54548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674751">
      <w:bodyDiv w:val="1"/>
      <w:marLeft w:val="0"/>
      <w:marRight w:val="0"/>
      <w:marTop w:val="0"/>
      <w:marBottom w:val="0"/>
      <w:divBdr>
        <w:top w:val="none" w:sz="0" w:space="0" w:color="auto"/>
        <w:left w:val="none" w:sz="0" w:space="0" w:color="auto"/>
        <w:bottom w:val="none" w:sz="0" w:space="0" w:color="auto"/>
        <w:right w:val="none" w:sz="0" w:space="0" w:color="auto"/>
      </w:divBdr>
      <w:divsChild>
        <w:div w:id="43529502">
          <w:marLeft w:val="0"/>
          <w:marRight w:val="0"/>
          <w:marTop w:val="0"/>
          <w:marBottom w:val="0"/>
          <w:divBdr>
            <w:top w:val="none" w:sz="0" w:space="0" w:color="auto"/>
            <w:left w:val="none" w:sz="0" w:space="0" w:color="auto"/>
            <w:bottom w:val="none" w:sz="0" w:space="0" w:color="auto"/>
            <w:right w:val="none" w:sz="0" w:space="0" w:color="auto"/>
          </w:divBdr>
          <w:divsChild>
            <w:div w:id="1363630336">
              <w:marLeft w:val="0"/>
              <w:marRight w:val="0"/>
              <w:marTop w:val="0"/>
              <w:marBottom w:val="0"/>
              <w:divBdr>
                <w:top w:val="none" w:sz="0" w:space="0" w:color="auto"/>
                <w:left w:val="none" w:sz="0" w:space="0" w:color="auto"/>
                <w:bottom w:val="none" w:sz="0" w:space="0" w:color="auto"/>
                <w:right w:val="none" w:sz="0" w:space="0" w:color="auto"/>
              </w:divBdr>
              <w:divsChild>
                <w:div w:id="59444137">
                  <w:marLeft w:val="0"/>
                  <w:marRight w:val="0"/>
                  <w:marTop w:val="0"/>
                  <w:marBottom w:val="0"/>
                  <w:divBdr>
                    <w:top w:val="none" w:sz="0" w:space="0" w:color="auto"/>
                    <w:left w:val="none" w:sz="0" w:space="0" w:color="auto"/>
                    <w:bottom w:val="none" w:sz="0" w:space="0" w:color="auto"/>
                    <w:right w:val="none" w:sz="0" w:space="0" w:color="auto"/>
                  </w:divBdr>
                  <w:divsChild>
                    <w:div w:id="14273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677381">
      <w:bodyDiv w:val="1"/>
      <w:marLeft w:val="0"/>
      <w:marRight w:val="0"/>
      <w:marTop w:val="0"/>
      <w:marBottom w:val="0"/>
      <w:divBdr>
        <w:top w:val="none" w:sz="0" w:space="0" w:color="auto"/>
        <w:left w:val="none" w:sz="0" w:space="0" w:color="auto"/>
        <w:bottom w:val="none" w:sz="0" w:space="0" w:color="auto"/>
        <w:right w:val="none" w:sz="0" w:space="0" w:color="auto"/>
      </w:divBdr>
    </w:div>
    <w:div w:id="1329862902">
      <w:bodyDiv w:val="1"/>
      <w:marLeft w:val="0"/>
      <w:marRight w:val="0"/>
      <w:marTop w:val="0"/>
      <w:marBottom w:val="0"/>
      <w:divBdr>
        <w:top w:val="none" w:sz="0" w:space="0" w:color="auto"/>
        <w:left w:val="none" w:sz="0" w:space="0" w:color="auto"/>
        <w:bottom w:val="none" w:sz="0" w:space="0" w:color="auto"/>
        <w:right w:val="none" w:sz="0" w:space="0" w:color="auto"/>
      </w:divBdr>
    </w:div>
    <w:div w:id="1331130255">
      <w:bodyDiv w:val="1"/>
      <w:marLeft w:val="0"/>
      <w:marRight w:val="0"/>
      <w:marTop w:val="0"/>
      <w:marBottom w:val="0"/>
      <w:divBdr>
        <w:top w:val="none" w:sz="0" w:space="0" w:color="auto"/>
        <w:left w:val="none" w:sz="0" w:space="0" w:color="auto"/>
        <w:bottom w:val="none" w:sz="0" w:space="0" w:color="auto"/>
        <w:right w:val="none" w:sz="0" w:space="0" w:color="auto"/>
      </w:divBdr>
      <w:divsChild>
        <w:div w:id="776406485">
          <w:marLeft w:val="0"/>
          <w:marRight w:val="0"/>
          <w:marTop w:val="0"/>
          <w:marBottom w:val="0"/>
          <w:divBdr>
            <w:top w:val="none" w:sz="0" w:space="0" w:color="auto"/>
            <w:left w:val="none" w:sz="0" w:space="0" w:color="auto"/>
            <w:bottom w:val="none" w:sz="0" w:space="0" w:color="auto"/>
            <w:right w:val="none" w:sz="0" w:space="0" w:color="auto"/>
          </w:divBdr>
          <w:divsChild>
            <w:div w:id="1536458749">
              <w:marLeft w:val="0"/>
              <w:marRight w:val="0"/>
              <w:marTop w:val="0"/>
              <w:marBottom w:val="0"/>
              <w:divBdr>
                <w:top w:val="none" w:sz="0" w:space="0" w:color="auto"/>
                <w:left w:val="none" w:sz="0" w:space="0" w:color="auto"/>
                <w:bottom w:val="none" w:sz="0" w:space="0" w:color="auto"/>
                <w:right w:val="none" w:sz="0" w:space="0" w:color="auto"/>
              </w:divBdr>
              <w:divsChild>
                <w:div w:id="1611083588">
                  <w:marLeft w:val="0"/>
                  <w:marRight w:val="0"/>
                  <w:marTop w:val="0"/>
                  <w:marBottom w:val="0"/>
                  <w:divBdr>
                    <w:top w:val="none" w:sz="0" w:space="0" w:color="auto"/>
                    <w:left w:val="none" w:sz="0" w:space="0" w:color="auto"/>
                    <w:bottom w:val="none" w:sz="0" w:space="0" w:color="auto"/>
                    <w:right w:val="none" w:sz="0" w:space="0" w:color="auto"/>
                  </w:divBdr>
                  <w:divsChild>
                    <w:div w:id="112823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247537">
      <w:bodyDiv w:val="1"/>
      <w:marLeft w:val="0"/>
      <w:marRight w:val="0"/>
      <w:marTop w:val="0"/>
      <w:marBottom w:val="0"/>
      <w:divBdr>
        <w:top w:val="none" w:sz="0" w:space="0" w:color="auto"/>
        <w:left w:val="none" w:sz="0" w:space="0" w:color="auto"/>
        <w:bottom w:val="none" w:sz="0" w:space="0" w:color="auto"/>
        <w:right w:val="none" w:sz="0" w:space="0" w:color="auto"/>
      </w:divBdr>
    </w:div>
    <w:div w:id="1332416718">
      <w:bodyDiv w:val="1"/>
      <w:marLeft w:val="0"/>
      <w:marRight w:val="0"/>
      <w:marTop w:val="0"/>
      <w:marBottom w:val="0"/>
      <w:divBdr>
        <w:top w:val="none" w:sz="0" w:space="0" w:color="auto"/>
        <w:left w:val="none" w:sz="0" w:space="0" w:color="auto"/>
        <w:bottom w:val="none" w:sz="0" w:space="0" w:color="auto"/>
        <w:right w:val="none" w:sz="0" w:space="0" w:color="auto"/>
      </w:divBdr>
    </w:div>
    <w:div w:id="1333685313">
      <w:bodyDiv w:val="1"/>
      <w:marLeft w:val="0"/>
      <w:marRight w:val="0"/>
      <w:marTop w:val="0"/>
      <w:marBottom w:val="0"/>
      <w:divBdr>
        <w:top w:val="none" w:sz="0" w:space="0" w:color="auto"/>
        <w:left w:val="none" w:sz="0" w:space="0" w:color="auto"/>
        <w:bottom w:val="none" w:sz="0" w:space="0" w:color="auto"/>
        <w:right w:val="none" w:sz="0" w:space="0" w:color="auto"/>
      </w:divBdr>
      <w:divsChild>
        <w:div w:id="2003073571">
          <w:marLeft w:val="0"/>
          <w:marRight w:val="0"/>
          <w:marTop w:val="0"/>
          <w:marBottom w:val="0"/>
          <w:divBdr>
            <w:top w:val="none" w:sz="0" w:space="0" w:color="auto"/>
            <w:left w:val="none" w:sz="0" w:space="0" w:color="auto"/>
            <w:bottom w:val="none" w:sz="0" w:space="0" w:color="auto"/>
            <w:right w:val="none" w:sz="0" w:space="0" w:color="auto"/>
          </w:divBdr>
          <w:divsChild>
            <w:div w:id="1013410036">
              <w:marLeft w:val="0"/>
              <w:marRight w:val="0"/>
              <w:marTop w:val="0"/>
              <w:marBottom w:val="0"/>
              <w:divBdr>
                <w:top w:val="none" w:sz="0" w:space="0" w:color="auto"/>
                <w:left w:val="none" w:sz="0" w:space="0" w:color="auto"/>
                <w:bottom w:val="none" w:sz="0" w:space="0" w:color="auto"/>
                <w:right w:val="none" w:sz="0" w:space="0" w:color="auto"/>
              </w:divBdr>
              <w:divsChild>
                <w:div w:id="629356826">
                  <w:marLeft w:val="0"/>
                  <w:marRight w:val="0"/>
                  <w:marTop w:val="0"/>
                  <w:marBottom w:val="0"/>
                  <w:divBdr>
                    <w:top w:val="none" w:sz="0" w:space="0" w:color="auto"/>
                    <w:left w:val="none" w:sz="0" w:space="0" w:color="auto"/>
                    <w:bottom w:val="none" w:sz="0" w:space="0" w:color="auto"/>
                    <w:right w:val="none" w:sz="0" w:space="0" w:color="auto"/>
                  </w:divBdr>
                  <w:divsChild>
                    <w:div w:id="11954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257139">
      <w:bodyDiv w:val="1"/>
      <w:marLeft w:val="0"/>
      <w:marRight w:val="0"/>
      <w:marTop w:val="0"/>
      <w:marBottom w:val="0"/>
      <w:divBdr>
        <w:top w:val="none" w:sz="0" w:space="0" w:color="auto"/>
        <w:left w:val="none" w:sz="0" w:space="0" w:color="auto"/>
        <w:bottom w:val="none" w:sz="0" w:space="0" w:color="auto"/>
        <w:right w:val="none" w:sz="0" w:space="0" w:color="auto"/>
      </w:divBdr>
    </w:div>
    <w:div w:id="1334840848">
      <w:bodyDiv w:val="1"/>
      <w:marLeft w:val="0"/>
      <w:marRight w:val="0"/>
      <w:marTop w:val="0"/>
      <w:marBottom w:val="0"/>
      <w:divBdr>
        <w:top w:val="none" w:sz="0" w:space="0" w:color="auto"/>
        <w:left w:val="none" w:sz="0" w:space="0" w:color="auto"/>
        <w:bottom w:val="none" w:sz="0" w:space="0" w:color="auto"/>
        <w:right w:val="none" w:sz="0" w:space="0" w:color="auto"/>
      </w:divBdr>
    </w:div>
    <w:div w:id="1335064433">
      <w:bodyDiv w:val="1"/>
      <w:marLeft w:val="0"/>
      <w:marRight w:val="0"/>
      <w:marTop w:val="0"/>
      <w:marBottom w:val="0"/>
      <w:divBdr>
        <w:top w:val="none" w:sz="0" w:space="0" w:color="auto"/>
        <w:left w:val="none" w:sz="0" w:space="0" w:color="auto"/>
        <w:bottom w:val="none" w:sz="0" w:space="0" w:color="auto"/>
        <w:right w:val="none" w:sz="0" w:space="0" w:color="auto"/>
      </w:divBdr>
      <w:divsChild>
        <w:div w:id="182062256">
          <w:marLeft w:val="0"/>
          <w:marRight w:val="0"/>
          <w:marTop w:val="0"/>
          <w:marBottom w:val="0"/>
          <w:divBdr>
            <w:top w:val="none" w:sz="0" w:space="0" w:color="auto"/>
            <w:left w:val="none" w:sz="0" w:space="0" w:color="auto"/>
            <w:bottom w:val="none" w:sz="0" w:space="0" w:color="auto"/>
            <w:right w:val="none" w:sz="0" w:space="0" w:color="auto"/>
          </w:divBdr>
          <w:divsChild>
            <w:div w:id="1394085169">
              <w:marLeft w:val="0"/>
              <w:marRight w:val="0"/>
              <w:marTop w:val="0"/>
              <w:marBottom w:val="0"/>
              <w:divBdr>
                <w:top w:val="none" w:sz="0" w:space="0" w:color="auto"/>
                <w:left w:val="none" w:sz="0" w:space="0" w:color="auto"/>
                <w:bottom w:val="none" w:sz="0" w:space="0" w:color="auto"/>
                <w:right w:val="none" w:sz="0" w:space="0" w:color="auto"/>
              </w:divBdr>
              <w:divsChild>
                <w:div w:id="917136987">
                  <w:marLeft w:val="0"/>
                  <w:marRight w:val="0"/>
                  <w:marTop w:val="0"/>
                  <w:marBottom w:val="0"/>
                  <w:divBdr>
                    <w:top w:val="none" w:sz="0" w:space="0" w:color="auto"/>
                    <w:left w:val="none" w:sz="0" w:space="0" w:color="auto"/>
                    <w:bottom w:val="none" w:sz="0" w:space="0" w:color="auto"/>
                    <w:right w:val="none" w:sz="0" w:space="0" w:color="auto"/>
                  </w:divBdr>
                  <w:divsChild>
                    <w:div w:id="25717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500642">
      <w:bodyDiv w:val="1"/>
      <w:marLeft w:val="0"/>
      <w:marRight w:val="0"/>
      <w:marTop w:val="0"/>
      <w:marBottom w:val="0"/>
      <w:divBdr>
        <w:top w:val="none" w:sz="0" w:space="0" w:color="auto"/>
        <w:left w:val="none" w:sz="0" w:space="0" w:color="auto"/>
        <w:bottom w:val="none" w:sz="0" w:space="0" w:color="auto"/>
        <w:right w:val="none" w:sz="0" w:space="0" w:color="auto"/>
      </w:divBdr>
    </w:div>
    <w:div w:id="1335649124">
      <w:bodyDiv w:val="1"/>
      <w:marLeft w:val="0"/>
      <w:marRight w:val="0"/>
      <w:marTop w:val="0"/>
      <w:marBottom w:val="0"/>
      <w:divBdr>
        <w:top w:val="none" w:sz="0" w:space="0" w:color="auto"/>
        <w:left w:val="none" w:sz="0" w:space="0" w:color="auto"/>
        <w:bottom w:val="none" w:sz="0" w:space="0" w:color="auto"/>
        <w:right w:val="none" w:sz="0" w:space="0" w:color="auto"/>
      </w:divBdr>
    </w:div>
    <w:div w:id="1335956460">
      <w:bodyDiv w:val="1"/>
      <w:marLeft w:val="0"/>
      <w:marRight w:val="0"/>
      <w:marTop w:val="0"/>
      <w:marBottom w:val="0"/>
      <w:divBdr>
        <w:top w:val="none" w:sz="0" w:space="0" w:color="auto"/>
        <w:left w:val="none" w:sz="0" w:space="0" w:color="auto"/>
        <w:bottom w:val="none" w:sz="0" w:space="0" w:color="auto"/>
        <w:right w:val="none" w:sz="0" w:space="0" w:color="auto"/>
      </w:divBdr>
      <w:divsChild>
        <w:div w:id="380132330">
          <w:marLeft w:val="0"/>
          <w:marRight w:val="0"/>
          <w:marTop w:val="0"/>
          <w:marBottom w:val="0"/>
          <w:divBdr>
            <w:top w:val="none" w:sz="0" w:space="0" w:color="auto"/>
            <w:left w:val="none" w:sz="0" w:space="0" w:color="auto"/>
            <w:bottom w:val="none" w:sz="0" w:space="0" w:color="auto"/>
            <w:right w:val="none" w:sz="0" w:space="0" w:color="auto"/>
          </w:divBdr>
          <w:divsChild>
            <w:div w:id="763695533">
              <w:marLeft w:val="0"/>
              <w:marRight w:val="0"/>
              <w:marTop w:val="0"/>
              <w:marBottom w:val="0"/>
              <w:divBdr>
                <w:top w:val="none" w:sz="0" w:space="0" w:color="auto"/>
                <w:left w:val="none" w:sz="0" w:space="0" w:color="auto"/>
                <w:bottom w:val="none" w:sz="0" w:space="0" w:color="auto"/>
                <w:right w:val="none" w:sz="0" w:space="0" w:color="auto"/>
              </w:divBdr>
              <w:divsChild>
                <w:div w:id="4744771">
                  <w:marLeft w:val="0"/>
                  <w:marRight w:val="0"/>
                  <w:marTop w:val="0"/>
                  <w:marBottom w:val="0"/>
                  <w:divBdr>
                    <w:top w:val="none" w:sz="0" w:space="0" w:color="auto"/>
                    <w:left w:val="none" w:sz="0" w:space="0" w:color="auto"/>
                    <w:bottom w:val="none" w:sz="0" w:space="0" w:color="auto"/>
                    <w:right w:val="none" w:sz="0" w:space="0" w:color="auto"/>
                  </w:divBdr>
                  <w:divsChild>
                    <w:div w:id="188405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491286">
      <w:bodyDiv w:val="1"/>
      <w:marLeft w:val="0"/>
      <w:marRight w:val="0"/>
      <w:marTop w:val="0"/>
      <w:marBottom w:val="0"/>
      <w:divBdr>
        <w:top w:val="none" w:sz="0" w:space="0" w:color="auto"/>
        <w:left w:val="none" w:sz="0" w:space="0" w:color="auto"/>
        <w:bottom w:val="none" w:sz="0" w:space="0" w:color="auto"/>
        <w:right w:val="none" w:sz="0" w:space="0" w:color="auto"/>
      </w:divBdr>
    </w:div>
    <w:div w:id="1336882932">
      <w:bodyDiv w:val="1"/>
      <w:marLeft w:val="0"/>
      <w:marRight w:val="0"/>
      <w:marTop w:val="0"/>
      <w:marBottom w:val="0"/>
      <w:divBdr>
        <w:top w:val="none" w:sz="0" w:space="0" w:color="auto"/>
        <w:left w:val="none" w:sz="0" w:space="0" w:color="auto"/>
        <w:bottom w:val="none" w:sz="0" w:space="0" w:color="auto"/>
        <w:right w:val="none" w:sz="0" w:space="0" w:color="auto"/>
      </w:divBdr>
    </w:div>
    <w:div w:id="1337419518">
      <w:bodyDiv w:val="1"/>
      <w:marLeft w:val="0"/>
      <w:marRight w:val="0"/>
      <w:marTop w:val="0"/>
      <w:marBottom w:val="0"/>
      <w:divBdr>
        <w:top w:val="none" w:sz="0" w:space="0" w:color="auto"/>
        <w:left w:val="none" w:sz="0" w:space="0" w:color="auto"/>
        <w:bottom w:val="none" w:sz="0" w:space="0" w:color="auto"/>
        <w:right w:val="none" w:sz="0" w:space="0" w:color="auto"/>
      </w:divBdr>
      <w:divsChild>
        <w:div w:id="1436100970">
          <w:marLeft w:val="0"/>
          <w:marRight w:val="0"/>
          <w:marTop w:val="0"/>
          <w:marBottom w:val="0"/>
          <w:divBdr>
            <w:top w:val="none" w:sz="0" w:space="0" w:color="auto"/>
            <w:left w:val="none" w:sz="0" w:space="0" w:color="auto"/>
            <w:bottom w:val="none" w:sz="0" w:space="0" w:color="auto"/>
            <w:right w:val="none" w:sz="0" w:space="0" w:color="auto"/>
          </w:divBdr>
          <w:divsChild>
            <w:div w:id="852842544">
              <w:marLeft w:val="0"/>
              <w:marRight w:val="0"/>
              <w:marTop w:val="0"/>
              <w:marBottom w:val="0"/>
              <w:divBdr>
                <w:top w:val="none" w:sz="0" w:space="0" w:color="auto"/>
                <w:left w:val="none" w:sz="0" w:space="0" w:color="auto"/>
                <w:bottom w:val="none" w:sz="0" w:space="0" w:color="auto"/>
                <w:right w:val="none" w:sz="0" w:space="0" w:color="auto"/>
              </w:divBdr>
              <w:divsChild>
                <w:div w:id="1940486220">
                  <w:marLeft w:val="0"/>
                  <w:marRight w:val="0"/>
                  <w:marTop w:val="0"/>
                  <w:marBottom w:val="0"/>
                  <w:divBdr>
                    <w:top w:val="none" w:sz="0" w:space="0" w:color="auto"/>
                    <w:left w:val="none" w:sz="0" w:space="0" w:color="auto"/>
                    <w:bottom w:val="none" w:sz="0" w:space="0" w:color="auto"/>
                    <w:right w:val="none" w:sz="0" w:space="0" w:color="auto"/>
                  </w:divBdr>
                  <w:divsChild>
                    <w:div w:id="57640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464288">
      <w:bodyDiv w:val="1"/>
      <w:marLeft w:val="0"/>
      <w:marRight w:val="0"/>
      <w:marTop w:val="0"/>
      <w:marBottom w:val="0"/>
      <w:divBdr>
        <w:top w:val="none" w:sz="0" w:space="0" w:color="auto"/>
        <w:left w:val="none" w:sz="0" w:space="0" w:color="auto"/>
        <w:bottom w:val="none" w:sz="0" w:space="0" w:color="auto"/>
        <w:right w:val="none" w:sz="0" w:space="0" w:color="auto"/>
      </w:divBdr>
    </w:div>
    <w:div w:id="1338000189">
      <w:bodyDiv w:val="1"/>
      <w:marLeft w:val="0"/>
      <w:marRight w:val="0"/>
      <w:marTop w:val="0"/>
      <w:marBottom w:val="0"/>
      <w:divBdr>
        <w:top w:val="none" w:sz="0" w:space="0" w:color="auto"/>
        <w:left w:val="none" w:sz="0" w:space="0" w:color="auto"/>
        <w:bottom w:val="none" w:sz="0" w:space="0" w:color="auto"/>
        <w:right w:val="none" w:sz="0" w:space="0" w:color="auto"/>
      </w:divBdr>
    </w:div>
    <w:div w:id="1338116859">
      <w:bodyDiv w:val="1"/>
      <w:marLeft w:val="0"/>
      <w:marRight w:val="0"/>
      <w:marTop w:val="0"/>
      <w:marBottom w:val="0"/>
      <w:divBdr>
        <w:top w:val="none" w:sz="0" w:space="0" w:color="auto"/>
        <w:left w:val="none" w:sz="0" w:space="0" w:color="auto"/>
        <w:bottom w:val="none" w:sz="0" w:space="0" w:color="auto"/>
        <w:right w:val="none" w:sz="0" w:space="0" w:color="auto"/>
      </w:divBdr>
    </w:div>
    <w:div w:id="1339189587">
      <w:bodyDiv w:val="1"/>
      <w:marLeft w:val="0"/>
      <w:marRight w:val="0"/>
      <w:marTop w:val="0"/>
      <w:marBottom w:val="0"/>
      <w:divBdr>
        <w:top w:val="none" w:sz="0" w:space="0" w:color="auto"/>
        <w:left w:val="none" w:sz="0" w:space="0" w:color="auto"/>
        <w:bottom w:val="none" w:sz="0" w:space="0" w:color="auto"/>
        <w:right w:val="none" w:sz="0" w:space="0" w:color="auto"/>
      </w:divBdr>
      <w:divsChild>
        <w:div w:id="1010064342">
          <w:marLeft w:val="0"/>
          <w:marRight w:val="0"/>
          <w:marTop w:val="0"/>
          <w:marBottom w:val="0"/>
          <w:divBdr>
            <w:top w:val="none" w:sz="0" w:space="0" w:color="auto"/>
            <w:left w:val="none" w:sz="0" w:space="0" w:color="auto"/>
            <w:bottom w:val="none" w:sz="0" w:space="0" w:color="auto"/>
            <w:right w:val="none" w:sz="0" w:space="0" w:color="auto"/>
          </w:divBdr>
          <w:divsChild>
            <w:div w:id="1074545780">
              <w:marLeft w:val="0"/>
              <w:marRight w:val="0"/>
              <w:marTop w:val="0"/>
              <w:marBottom w:val="0"/>
              <w:divBdr>
                <w:top w:val="none" w:sz="0" w:space="0" w:color="auto"/>
                <w:left w:val="none" w:sz="0" w:space="0" w:color="auto"/>
                <w:bottom w:val="none" w:sz="0" w:space="0" w:color="auto"/>
                <w:right w:val="none" w:sz="0" w:space="0" w:color="auto"/>
              </w:divBdr>
              <w:divsChild>
                <w:div w:id="155395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156999">
      <w:bodyDiv w:val="1"/>
      <w:marLeft w:val="0"/>
      <w:marRight w:val="0"/>
      <w:marTop w:val="0"/>
      <w:marBottom w:val="0"/>
      <w:divBdr>
        <w:top w:val="none" w:sz="0" w:space="0" w:color="auto"/>
        <w:left w:val="none" w:sz="0" w:space="0" w:color="auto"/>
        <w:bottom w:val="none" w:sz="0" w:space="0" w:color="auto"/>
        <w:right w:val="none" w:sz="0" w:space="0" w:color="auto"/>
      </w:divBdr>
    </w:div>
    <w:div w:id="1340237998">
      <w:bodyDiv w:val="1"/>
      <w:marLeft w:val="0"/>
      <w:marRight w:val="0"/>
      <w:marTop w:val="0"/>
      <w:marBottom w:val="0"/>
      <w:divBdr>
        <w:top w:val="none" w:sz="0" w:space="0" w:color="auto"/>
        <w:left w:val="none" w:sz="0" w:space="0" w:color="auto"/>
        <w:bottom w:val="none" w:sz="0" w:space="0" w:color="auto"/>
        <w:right w:val="none" w:sz="0" w:space="0" w:color="auto"/>
      </w:divBdr>
    </w:div>
    <w:div w:id="1340279264">
      <w:bodyDiv w:val="1"/>
      <w:marLeft w:val="0"/>
      <w:marRight w:val="0"/>
      <w:marTop w:val="0"/>
      <w:marBottom w:val="0"/>
      <w:divBdr>
        <w:top w:val="none" w:sz="0" w:space="0" w:color="auto"/>
        <w:left w:val="none" w:sz="0" w:space="0" w:color="auto"/>
        <w:bottom w:val="none" w:sz="0" w:space="0" w:color="auto"/>
        <w:right w:val="none" w:sz="0" w:space="0" w:color="auto"/>
      </w:divBdr>
    </w:div>
    <w:div w:id="1340348025">
      <w:bodyDiv w:val="1"/>
      <w:marLeft w:val="0"/>
      <w:marRight w:val="0"/>
      <w:marTop w:val="0"/>
      <w:marBottom w:val="0"/>
      <w:divBdr>
        <w:top w:val="none" w:sz="0" w:space="0" w:color="auto"/>
        <w:left w:val="none" w:sz="0" w:space="0" w:color="auto"/>
        <w:bottom w:val="none" w:sz="0" w:space="0" w:color="auto"/>
        <w:right w:val="none" w:sz="0" w:space="0" w:color="auto"/>
      </w:divBdr>
    </w:div>
    <w:div w:id="1341540745">
      <w:bodyDiv w:val="1"/>
      <w:marLeft w:val="0"/>
      <w:marRight w:val="0"/>
      <w:marTop w:val="0"/>
      <w:marBottom w:val="0"/>
      <w:divBdr>
        <w:top w:val="none" w:sz="0" w:space="0" w:color="auto"/>
        <w:left w:val="none" w:sz="0" w:space="0" w:color="auto"/>
        <w:bottom w:val="none" w:sz="0" w:space="0" w:color="auto"/>
        <w:right w:val="none" w:sz="0" w:space="0" w:color="auto"/>
      </w:divBdr>
    </w:div>
    <w:div w:id="1342468392">
      <w:bodyDiv w:val="1"/>
      <w:marLeft w:val="0"/>
      <w:marRight w:val="0"/>
      <w:marTop w:val="0"/>
      <w:marBottom w:val="0"/>
      <w:divBdr>
        <w:top w:val="none" w:sz="0" w:space="0" w:color="auto"/>
        <w:left w:val="none" w:sz="0" w:space="0" w:color="auto"/>
        <w:bottom w:val="none" w:sz="0" w:space="0" w:color="auto"/>
        <w:right w:val="none" w:sz="0" w:space="0" w:color="auto"/>
      </w:divBdr>
    </w:div>
    <w:div w:id="1343629477">
      <w:bodyDiv w:val="1"/>
      <w:marLeft w:val="0"/>
      <w:marRight w:val="0"/>
      <w:marTop w:val="0"/>
      <w:marBottom w:val="0"/>
      <w:divBdr>
        <w:top w:val="none" w:sz="0" w:space="0" w:color="auto"/>
        <w:left w:val="none" w:sz="0" w:space="0" w:color="auto"/>
        <w:bottom w:val="none" w:sz="0" w:space="0" w:color="auto"/>
        <w:right w:val="none" w:sz="0" w:space="0" w:color="auto"/>
      </w:divBdr>
    </w:div>
    <w:div w:id="1344088866">
      <w:bodyDiv w:val="1"/>
      <w:marLeft w:val="0"/>
      <w:marRight w:val="0"/>
      <w:marTop w:val="0"/>
      <w:marBottom w:val="0"/>
      <w:divBdr>
        <w:top w:val="none" w:sz="0" w:space="0" w:color="auto"/>
        <w:left w:val="none" w:sz="0" w:space="0" w:color="auto"/>
        <w:bottom w:val="none" w:sz="0" w:space="0" w:color="auto"/>
        <w:right w:val="none" w:sz="0" w:space="0" w:color="auto"/>
      </w:divBdr>
    </w:div>
    <w:div w:id="1346127047">
      <w:bodyDiv w:val="1"/>
      <w:marLeft w:val="0"/>
      <w:marRight w:val="0"/>
      <w:marTop w:val="0"/>
      <w:marBottom w:val="0"/>
      <w:divBdr>
        <w:top w:val="none" w:sz="0" w:space="0" w:color="auto"/>
        <w:left w:val="none" w:sz="0" w:space="0" w:color="auto"/>
        <w:bottom w:val="none" w:sz="0" w:space="0" w:color="auto"/>
        <w:right w:val="none" w:sz="0" w:space="0" w:color="auto"/>
      </w:divBdr>
    </w:div>
    <w:div w:id="1348173446">
      <w:bodyDiv w:val="1"/>
      <w:marLeft w:val="0"/>
      <w:marRight w:val="0"/>
      <w:marTop w:val="0"/>
      <w:marBottom w:val="0"/>
      <w:divBdr>
        <w:top w:val="none" w:sz="0" w:space="0" w:color="auto"/>
        <w:left w:val="none" w:sz="0" w:space="0" w:color="auto"/>
        <w:bottom w:val="none" w:sz="0" w:space="0" w:color="auto"/>
        <w:right w:val="none" w:sz="0" w:space="0" w:color="auto"/>
      </w:divBdr>
    </w:div>
    <w:div w:id="1348368174">
      <w:bodyDiv w:val="1"/>
      <w:marLeft w:val="0"/>
      <w:marRight w:val="0"/>
      <w:marTop w:val="0"/>
      <w:marBottom w:val="0"/>
      <w:divBdr>
        <w:top w:val="none" w:sz="0" w:space="0" w:color="auto"/>
        <w:left w:val="none" w:sz="0" w:space="0" w:color="auto"/>
        <w:bottom w:val="none" w:sz="0" w:space="0" w:color="auto"/>
        <w:right w:val="none" w:sz="0" w:space="0" w:color="auto"/>
      </w:divBdr>
      <w:divsChild>
        <w:div w:id="807740687">
          <w:marLeft w:val="0"/>
          <w:marRight w:val="0"/>
          <w:marTop w:val="0"/>
          <w:marBottom w:val="0"/>
          <w:divBdr>
            <w:top w:val="none" w:sz="0" w:space="0" w:color="auto"/>
            <w:left w:val="none" w:sz="0" w:space="0" w:color="auto"/>
            <w:bottom w:val="none" w:sz="0" w:space="0" w:color="auto"/>
            <w:right w:val="none" w:sz="0" w:space="0" w:color="auto"/>
          </w:divBdr>
          <w:divsChild>
            <w:div w:id="1863544334">
              <w:marLeft w:val="0"/>
              <w:marRight w:val="0"/>
              <w:marTop w:val="0"/>
              <w:marBottom w:val="0"/>
              <w:divBdr>
                <w:top w:val="none" w:sz="0" w:space="0" w:color="auto"/>
                <w:left w:val="none" w:sz="0" w:space="0" w:color="auto"/>
                <w:bottom w:val="none" w:sz="0" w:space="0" w:color="auto"/>
                <w:right w:val="none" w:sz="0" w:space="0" w:color="auto"/>
              </w:divBdr>
              <w:divsChild>
                <w:div w:id="293145257">
                  <w:marLeft w:val="0"/>
                  <w:marRight w:val="0"/>
                  <w:marTop w:val="0"/>
                  <w:marBottom w:val="0"/>
                  <w:divBdr>
                    <w:top w:val="none" w:sz="0" w:space="0" w:color="auto"/>
                    <w:left w:val="none" w:sz="0" w:space="0" w:color="auto"/>
                    <w:bottom w:val="none" w:sz="0" w:space="0" w:color="auto"/>
                    <w:right w:val="none" w:sz="0" w:space="0" w:color="auto"/>
                  </w:divBdr>
                  <w:divsChild>
                    <w:div w:id="17812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176999">
      <w:bodyDiv w:val="1"/>
      <w:marLeft w:val="0"/>
      <w:marRight w:val="0"/>
      <w:marTop w:val="0"/>
      <w:marBottom w:val="0"/>
      <w:divBdr>
        <w:top w:val="none" w:sz="0" w:space="0" w:color="auto"/>
        <w:left w:val="none" w:sz="0" w:space="0" w:color="auto"/>
        <w:bottom w:val="none" w:sz="0" w:space="0" w:color="auto"/>
        <w:right w:val="none" w:sz="0" w:space="0" w:color="auto"/>
      </w:divBdr>
    </w:div>
    <w:div w:id="1351419548">
      <w:bodyDiv w:val="1"/>
      <w:marLeft w:val="0"/>
      <w:marRight w:val="0"/>
      <w:marTop w:val="0"/>
      <w:marBottom w:val="0"/>
      <w:divBdr>
        <w:top w:val="none" w:sz="0" w:space="0" w:color="auto"/>
        <w:left w:val="none" w:sz="0" w:space="0" w:color="auto"/>
        <w:bottom w:val="none" w:sz="0" w:space="0" w:color="auto"/>
        <w:right w:val="none" w:sz="0" w:space="0" w:color="auto"/>
      </w:divBdr>
      <w:divsChild>
        <w:div w:id="1121530852">
          <w:marLeft w:val="0"/>
          <w:marRight w:val="0"/>
          <w:marTop w:val="0"/>
          <w:marBottom w:val="0"/>
          <w:divBdr>
            <w:top w:val="none" w:sz="0" w:space="0" w:color="auto"/>
            <w:left w:val="none" w:sz="0" w:space="0" w:color="auto"/>
            <w:bottom w:val="none" w:sz="0" w:space="0" w:color="auto"/>
            <w:right w:val="none" w:sz="0" w:space="0" w:color="auto"/>
          </w:divBdr>
          <w:divsChild>
            <w:div w:id="1708262235">
              <w:marLeft w:val="0"/>
              <w:marRight w:val="0"/>
              <w:marTop w:val="0"/>
              <w:marBottom w:val="0"/>
              <w:divBdr>
                <w:top w:val="none" w:sz="0" w:space="0" w:color="auto"/>
                <w:left w:val="none" w:sz="0" w:space="0" w:color="auto"/>
                <w:bottom w:val="none" w:sz="0" w:space="0" w:color="auto"/>
                <w:right w:val="none" w:sz="0" w:space="0" w:color="auto"/>
              </w:divBdr>
              <w:divsChild>
                <w:div w:id="2813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447001">
      <w:bodyDiv w:val="1"/>
      <w:marLeft w:val="0"/>
      <w:marRight w:val="0"/>
      <w:marTop w:val="0"/>
      <w:marBottom w:val="0"/>
      <w:divBdr>
        <w:top w:val="none" w:sz="0" w:space="0" w:color="auto"/>
        <w:left w:val="none" w:sz="0" w:space="0" w:color="auto"/>
        <w:bottom w:val="none" w:sz="0" w:space="0" w:color="auto"/>
        <w:right w:val="none" w:sz="0" w:space="0" w:color="auto"/>
      </w:divBdr>
    </w:div>
    <w:div w:id="1351491210">
      <w:bodyDiv w:val="1"/>
      <w:marLeft w:val="0"/>
      <w:marRight w:val="0"/>
      <w:marTop w:val="0"/>
      <w:marBottom w:val="0"/>
      <w:divBdr>
        <w:top w:val="none" w:sz="0" w:space="0" w:color="auto"/>
        <w:left w:val="none" w:sz="0" w:space="0" w:color="auto"/>
        <w:bottom w:val="none" w:sz="0" w:space="0" w:color="auto"/>
        <w:right w:val="none" w:sz="0" w:space="0" w:color="auto"/>
      </w:divBdr>
    </w:div>
    <w:div w:id="1352105872">
      <w:bodyDiv w:val="1"/>
      <w:marLeft w:val="0"/>
      <w:marRight w:val="0"/>
      <w:marTop w:val="0"/>
      <w:marBottom w:val="0"/>
      <w:divBdr>
        <w:top w:val="none" w:sz="0" w:space="0" w:color="auto"/>
        <w:left w:val="none" w:sz="0" w:space="0" w:color="auto"/>
        <w:bottom w:val="none" w:sz="0" w:space="0" w:color="auto"/>
        <w:right w:val="none" w:sz="0" w:space="0" w:color="auto"/>
      </w:divBdr>
    </w:div>
    <w:div w:id="1353337171">
      <w:bodyDiv w:val="1"/>
      <w:marLeft w:val="0"/>
      <w:marRight w:val="0"/>
      <w:marTop w:val="0"/>
      <w:marBottom w:val="0"/>
      <w:divBdr>
        <w:top w:val="none" w:sz="0" w:space="0" w:color="auto"/>
        <w:left w:val="none" w:sz="0" w:space="0" w:color="auto"/>
        <w:bottom w:val="none" w:sz="0" w:space="0" w:color="auto"/>
        <w:right w:val="none" w:sz="0" w:space="0" w:color="auto"/>
      </w:divBdr>
    </w:div>
    <w:div w:id="1354917384">
      <w:bodyDiv w:val="1"/>
      <w:marLeft w:val="0"/>
      <w:marRight w:val="0"/>
      <w:marTop w:val="0"/>
      <w:marBottom w:val="0"/>
      <w:divBdr>
        <w:top w:val="none" w:sz="0" w:space="0" w:color="auto"/>
        <w:left w:val="none" w:sz="0" w:space="0" w:color="auto"/>
        <w:bottom w:val="none" w:sz="0" w:space="0" w:color="auto"/>
        <w:right w:val="none" w:sz="0" w:space="0" w:color="auto"/>
      </w:divBdr>
    </w:div>
    <w:div w:id="1354958738">
      <w:bodyDiv w:val="1"/>
      <w:marLeft w:val="0"/>
      <w:marRight w:val="0"/>
      <w:marTop w:val="0"/>
      <w:marBottom w:val="0"/>
      <w:divBdr>
        <w:top w:val="none" w:sz="0" w:space="0" w:color="auto"/>
        <w:left w:val="none" w:sz="0" w:space="0" w:color="auto"/>
        <w:bottom w:val="none" w:sz="0" w:space="0" w:color="auto"/>
        <w:right w:val="none" w:sz="0" w:space="0" w:color="auto"/>
      </w:divBdr>
      <w:divsChild>
        <w:div w:id="1041637414">
          <w:marLeft w:val="0"/>
          <w:marRight w:val="0"/>
          <w:marTop w:val="0"/>
          <w:marBottom w:val="0"/>
          <w:divBdr>
            <w:top w:val="none" w:sz="0" w:space="0" w:color="auto"/>
            <w:left w:val="none" w:sz="0" w:space="0" w:color="auto"/>
            <w:bottom w:val="none" w:sz="0" w:space="0" w:color="auto"/>
            <w:right w:val="none" w:sz="0" w:space="0" w:color="auto"/>
          </w:divBdr>
          <w:divsChild>
            <w:div w:id="1374841908">
              <w:marLeft w:val="0"/>
              <w:marRight w:val="0"/>
              <w:marTop w:val="0"/>
              <w:marBottom w:val="0"/>
              <w:divBdr>
                <w:top w:val="none" w:sz="0" w:space="0" w:color="auto"/>
                <w:left w:val="none" w:sz="0" w:space="0" w:color="auto"/>
                <w:bottom w:val="none" w:sz="0" w:space="0" w:color="auto"/>
                <w:right w:val="none" w:sz="0" w:space="0" w:color="auto"/>
              </w:divBdr>
              <w:divsChild>
                <w:div w:id="1178152305">
                  <w:marLeft w:val="0"/>
                  <w:marRight w:val="0"/>
                  <w:marTop w:val="0"/>
                  <w:marBottom w:val="0"/>
                  <w:divBdr>
                    <w:top w:val="none" w:sz="0" w:space="0" w:color="auto"/>
                    <w:left w:val="none" w:sz="0" w:space="0" w:color="auto"/>
                    <w:bottom w:val="none" w:sz="0" w:space="0" w:color="auto"/>
                    <w:right w:val="none" w:sz="0" w:space="0" w:color="auto"/>
                  </w:divBdr>
                  <w:divsChild>
                    <w:div w:id="182238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10037">
      <w:bodyDiv w:val="1"/>
      <w:marLeft w:val="0"/>
      <w:marRight w:val="0"/>
      <w:marTop w:val="0"/>
      <w:marBottom w:val="0"/>
      <w:divBdr>
        <w:top w:val="none" w:sz="0" w:space="0" w:color="auto"/>
        <w:left w:val="none" w:sz="0" w:space="0" w:color="auto"/>
        <w:bottom w:val="none" w:sz="0" w:space="0" w:color="auto"/>
        <w:right w:val="none" w:sz="0" w:space="0" w:color="auto"/>
      </w:divBdr>
    </w:div>
    <w:div w:id="1355425923">
      <w:bodyDiv w:val="1"/>
      <w:marLeft w:val="0"/>
      <w:marRight w:val="0"/>
      <w:marTop w:val="0"/>
      <w:marBottom w:val="0"/>
      <w:divBdr>
        <w:top w:val="none" w:sz="0" w:space="0" w:color="auto"/>
        <w:left w:val="none" w:sz="0" w:space="0" w:color="auto"/>
        <w:bottom w:val="none" w:sz="0" w:space="0" w:color="auto"/>
        <w:right w:val="none" w:sz="0" w:space="0" w:color="auto"/>
      </w:divBdr>
    </w:div>
    <w:div w:id="1355690647">
      <w:bodyDiv w:val="1"/>
      <w:marLeft w:val="0"/>
      <w:marRight w:val="0"/>
      <w:marTop w:val="0"/>
      <w:marBottom w:val="0"/>
      <w:divBdr>
        <w:top w:val="none" w:sz="0" w:space="0" w:color="auto"/>
        <w:left w:val="none" w:sz="0" w:space="0" w:color="auto"/>
        <w:bottom w:val="none" w:sz="0" w:space="0" w:color="auto"/>
        <w:right w:val="none" w:sz="0" w:space="0" w:color="auto"/>
      </w:divBdr>
      <w:divsChild>
        <w:div w:id="2133748035">
          <w:marLeft w:val="0"/>
          <w:marRight w:val="0"/>
          <w:marTop w:val="0"/>
          <w:marBottom w:val="0"/>
          <w:divBdr>
            <w:top w:val="none" w:sz="0" w:space="0" w:color="auto"/>
            <w:left w:val="none" w:sz="0" w:space="0" w:color="auto"/>
            <w:bottom w:val="none" w:sz="0" w:space="0" w:color="auto"/>
            <w:right w:val="none" w:sz="0" w:space="0" w:color="auto"/>
          </w:divBdr>
          <w:divsChild>
            <w:div w:id="450133561">
              <w:marLeft w:val="0"/>
              <w:marRight w:val="0"/>
              <w:marTop w:val="0"/>
              <w:marBottom w:val="0"/>
              <w:divBdr>
                <w:top w:val="none" w:sz="0" w:space="0" w:color="auto"/>
                <w:left w:val="none" w:sz="0" w:space="0" w:color="auto"/>
                <w:bottom w:val="none" w:sz="0" w:space="0" w:color="auto"/>
                <w:right w:val="none" w:sz="0" w:space="0" w:color="auto"/>
              </w:divBdr>
              <w:divsChild>
                <w:div w:id="912471131">
                  <w:marLeft w:val="0"/>
                  <w:marRight w:val="0"/>
                  <w:marTop w:val="0"/>
                  <w:marBottom w:val="0"/>
                  <w:divBdr>
                    <w:top w:val="none" w:sz="0" w:space="0" w:color="auto"/>
                    <w:left w:val="none" w:sz="0" w:space="0" w:color="auto"/>
                    <w:bottom w:val="none" w:sz="0" w:space="0" w:color="auto"/>
                    <w:right w:val="none" w:sz="0" w:space="0" w:color="auto"/>
                  </w:divBdr>
                  <w:divsChild>
                    <w:div w:id="164249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076733">
      <w:bodyDiv w:val="1"/>
      <w:marLeft w:val="0"/>
      <w:marRight w:val="0"/>
      <w:marTop w:val="0"/>
      <w:marBottom w:val="0"/>
      <w:divBdr>
        <w:top w:val="none" w:sz="0" w:space="0" w:color="auto"/>
        <w:left w:val="none" w:sz="0" w:space="0" w:color="auto"/>
        <w:bottom w:val="none" w:sz="0" w:space="0" w:color="auto"/>
        <w:right w:val="none" w:sz="0" w:space="0" w:color="auto"/>
      </w:divBdr>
    </w:div>
    <w:div w:id="1356419068">
      <w:bodyDiv w:val="1"/>
      <w:marLeft w:val="0"/>
      <w:marRight w:val="0"/>
      <w:marTop w:val="0"/>
      <w:marBottom w:val="0"/>
      <w:divBdr>
        <w:top w:val="none" w:sz="0" w:space="0" w:color="auto"/>
        <w:left w:val="none" w:sz="0" w:space="0" w:color="auto"/>
        <w:bottom w:val="none" w:sz="0" w:space="0" w:color="auto"/>
        <w:right w:val="none" w:sz="0" w:space="0" w:color="auto"/>
      </w:divBdr>
    </w:div>
    <w:div w:id="1356423238">
      <w:bodyDiv w:val="1"/>
      <w:marLeft w:val="0"/>
      <w:marRight w:val="0"/>
      <w:marTop w:val="0"/>
      <w:marBottom w:val="0"/>
      <w:divBdr>
        <w:top w:val="none" w:sz="0" w:space="0" w:color="auto"/>
        <w:left w:val="none" w:sz="0" w:space="0" w:color="auto"/>
        <w:bottom w:val="none" w:sz="0" w:space="0" w:color="auto"/>
        <w:right w:val="none" w:sz="0" w:space="0" w:color="auto"/>
      </w:divBdr>
    </w:div>
    <w:div w:id="1356887603">
      <w:bodyDiv w:val="1"/>
      <w:marLeft w:val="0"/>
      <w:marRight w:val="0"/>
      <w:marTop w:val="0"/>
      <w:marBottom w:val="0"/>
      <w:divBdr>
        <w:top w:val="none" w:sz="0" w:space="0" w:color="auto"/>
        <w:left w:val="none" w:sz="0" w:space="0" w:color="auto"/>
        <w:bottom w:val="none" w:sz="0" w:space="0" w:color="auto"/>
        <w:right w:val="none" w:sz="0" w:space="0" w:color="auto"/>
      </w:divBdr>
    </w:div>
    <w:div w:id="1357389991">
      <w:bodyDiv w:val="1"/>
      <w:marLeft w:val="0"/>
      <w:marRight w:val="0"/>
      <w:marTop w:val="0"/>
      <w:marBottom w:val="0"/>
      <w:divBdr>
        <w:top w:val="none" w:sz="0" w:space="0" w:color="auto"/>
        <w:left w:val="none" w:sz="0" w:space="0" w:color="auto"/>
        <w:bottom w:val="none" w:sz="0" w:space="0" w:color="auto"/>
        <w:right w:val="none" w:sz="0" w:space="0" w:color="auto"/>
      </w:divBdr>
      <w:divsChild>
        <w:div w:id="2110420385">
          <w:marLeft w:val="0"/>
          <w:marRight w:val="0"/>
          <w:marTop w:val="0"/>
          <w:marBottom w:val="0"/>
          <w:divBdr>
            <w:top w:val="none" w:sz="0" w:space="0" w:color="auto"/>
            <w:left w:val="none" w:sz="0" w:space="0" w:color="auto"/>
            <w:bottom w:val="none" w:sz="0" w:space="0" w:color="auto"/>
            <w:right w:val="none" w:sz="0" w:space="0" w:color="auto"/>
          </w:divBdr>
          <w:divsChild>
            <w:div w:id="1001738509">
              <w:marLeft w:val="0"/>
              <w:marRight w:val="0"/>
              <w:marTop w:val="0"/>
              <w:marBottom w:val="0"/>
              <w:divBdr>
                <w:top w:val="none" w:sz="0" w:space="0" w:color="auto"/>
                <w:left w:val="none" w:sz="0" w:space="0" w:color="auto"/>
                <w:bottom w:val="none" w:sz="0" w:space="0" w:color="auto"/>
                <w:right w:val="none" w:sz="0" w:space="0" w:color="auto"/>
              </w:divBdr>
              <w:divsChild>
                <w:div w:id="57273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97691">
      <w:bodyDiv w:val="1"/>
      <w:marLeft w:val="0"/>
      <w:marRight w:val="0"/>
      <w:marTop w:val="0"/>
      <w:marBottom w:val="0"/>
      <w:divBdr>
        <w:top w:val="none" w:sz="0" w:space="0" w:color="auto"/>
        <w:left w:val="none" w:sz="0" w:space="0" w:color="auto"/>
        <w:bottom w:val="none" w:sz="0" w:space="0" w:color="auto"/>
        <w:right w:val="none" w:sz="0" w:space="0" w:color="auto"/>
      </w:divBdr>
    </w:div>
    <w:div w:id="1358195693">
      <w:bodyDiv w:val="1"/>
      <w:marLeft w:val="0"/>
      <w:marRight w:val="0"/>
      <w:marTop w:val="0"/>
      <w:marBottom w:val="0"/>
      <w:divBdr>
        <w:top w:val="none" w:sz="0" w:space="0" w:color="auto"/>
        <w:left w:val="none" w:sz="0" w:space="0" w:color="auto"/>
        <w:bottom w:val="none" w:sz="0" w:space="0" w:color="auto"/>
        <w:right w:val="none" w:sz="0" w:space="0" w:color="auto"/>
      </w:divBdr>
    </w:div>
    <w:div w:id="1358458534">
      <w:bodyDiv w:val="1"/>
      <w:marLeft w:val="0"/>
      <w:marRight w:val="0"/>
      <w:marTop w:val="0"/>
      <w:marBottom w:val="0"/>
      <w:divBdr>
        <w:top w:val="none" w:sz="0" w:space="0" w:color="auto"/>
        <w:left w:val="none" w:sz="0" w:space="0" w:color="auto"/>
        <w:bottom w:val="none" w:sz="0" w:space="0" w:color="auto"/>
        <w:right w:val="none" w:sz="0" w:space="0" w:color="auto"/>
      </w:divBdr>
    </w:div>
    <w:div w:id="1358965420">
      <w:bodyDiv w:val="1"/>
      <w:marLeft w:val="0"/>
      <w:marRight w:val="0"/>
      <w:marTop w:val="0"/>
      <w:marBottom w:val="0"/>
      <w:divBdr>
        <w:top w:val="none" w:sz="0" w:space="0" w:color="auto"/>
        <w:left w:val="none" w:sz="0" w:space="0" w:color="auto"/>
        <w:bottom w:val="none" w:sz="0" w:space="0" w:color="auto"/>
        <w:right w:val="none" w:sz="0" w:space="0" w:color="auto"/>
      </w:divBdr>
    </w:div>
    <w:div w:id="1359115951">
      <w:bodyDiv w:val="1"/>
      <w:marLeft w:val="0"/>
      <w:marRight w:val="0"/>
      <w:marTop w:val="0"/>
      <w:marBottom w:val="0"/>
      <w:divBdr>
        <w:top w:val="none" w:sz="0" w:space="0" w:color="auto"/>
        <w:left w:val="none" w:sz="0" w:space="0" w:color="auto"/>
        <w:bottom w:val="none" w:sz="0" w:space="0" w:color="auto"/>
        <w:right w:val="none" w:sz="0" w:space="0" w:color="auto"/>
      </w:divBdr>
    </w:div>
    <w:div w:id="1359158098">
      <w:bodyDiv w:val="1"/>
      <w:marLeft w:val="0"/>
      <w:marRight w:val="0"/>
      <w:marTop w:val="0"/>
      <w:marBottom w:val="0"/>
      <w:divBdr>
        <w:top w:val="none" w:sz="0" w:space="0" w:color="auto"/>
        <w:left w:val="none" w:sz="0" w:space="0" w:color="auto"/>
        <w:bottom w:val="none" w:sz="0" w:space="0" w:color="auto"/>
        <w:right w:val="none" w:sz="0" w:space="0" w:color="auto"/>
      </w:divBdr>
      <w:divsChild>
        <w:div w:id="1032150505">
          <w:marLeft w:val="0"/>
          <w:marRight w:val="0"/>
          <w:marTop w:val="0"/>
          <w:marBottom w:val="0"/>
          <w:divBdr>
            <w:top w:val="none" w:sz="0" w:space="0" w:color="auto"/>
            <w:left w:val="none" w:sz="0" w:space="0" w:color="auto"/>
            <w:bottom w:val="none" w:sz="0" w:space="0" w:color="auto"/>
            <w:right w:val="none" w:sz="0" w:space="0" w:color="auto"/>
          </w:divBdr>
          <w:divsChild>
            <w:div w:id="860509255">
              <w:marLeft w:val="0"/>
              <w:marRight w:val="0"/>
              <w:marTop w:val="0"/>
              <w:marBottom w:val="0"/>
              <w:divBdr>
                <w:top w:val="none" w:sz="0" w:space="0" w:color="auto"/>
                <w:left w:val="none" w:sz="0" w:space="0" w:color="auto"/>
                <w:bottom w:val="none" w:sz="0" w:space="0" w:color="auto"/>
                <w:right w:val="none" w:sz="0" w:space="0" w:color="auto"/>
              </w:divBdr>
              <w:divsChild>
                <w:div w:id="434710502">
                  <w:marLeft w:val="0"/>
                  <w:marRight w:val="0"/>
                  <w:marTop w:val="0"/>
                  <w:marBottom w:val="0"/>
                  <w:divBdr>
                    <w:top w:val="none" w:sz="0" w:space="0" w:color="auto"/>
                    <w:left w:val="none" w:sz="0" w:space="0" w:color="auto"/>
                    <w:bottom w:val="none" w:sz="0" w:space="0" w:color="auto"/>
                    <w:right w:val="none" w:sz="0" w:space="0" w:color="auto"/>
                  </w:divBdr>
                  <w:divsChild>
                    <w:div w:id="182612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857751">
      <w:bodyDiv w:val="1"/>
      <w:marLeft w:val="0"/>
      <w:marRight w:val="0"/>
      <w:marTop w:val="0"/>
      <w:marBottom w:val="0"/>
      <w:divBdr>
        <w:top w:val="none" w:sz="0" w:space="0" w:color="auto"/>
        <w:left w:val="none" w:sz="0" w:space="0" w:color="auto"/>
        <w:bottom w:val="none" w:sz="0" w:space="0" w:color="auto"/>
        <w:right w:val="none" w:sz="0" w:space="0" w:color="auto"/>
      </w:divBdr>
    </w:div>
    <w:div w:id="1361201858">
      <w:bodyDiv w:val="1"/>
      <w:marLeft w:val="0"/>
      <w:marRight w:val="0"/>
      <w:marTop w:val="0"/>
      <w:marBottom w:val="0"/>
      <w:divBdr>
        <w:top w:val="none" w:sz="0" w:space="0" w:color="auto"/>
        <w:left w:val="none" w:sz="0" w:space="0" w:color="auto"/>
        <w:bottom w:val="none" w:sz="0" w:space="0" w:color="auto"/>
        <w:right w:val="none" w:sz="0" w:space="0" w:color="auto"/>
      </w:divBdr>
    </w:div>
    <w:div w:id="1361665243">
      <w:bodyDiv w:val="1"/>
      <w:marLeft w:val="0"/>
      <w:marRight w:val="0"/>
      <w:marTop w:val="0"/>
      <w:marBottom w:val="0"/>
      <w:divBdr>
        <w:top w:val="none" w:sz="0" w:space="0" w:color="auto"/>
        <w:left w:val="none" w:sz="0" w:space="0" w:color="auto"/>
        <w:bottom w:val="none" w:sz="0" w:space="0" w:color="auto"/>
        <w:right w:val="none" w:sz="0" w:space="0" w:color="auto"/>
      </w:divBdr>
      <w:divsChild>
        <w:div w:id="624969918">
          <w:marLeft w:val="0"/>
          <w:marRight w:val="0"/>
          <w:marTop w:val="0"/>
          <w:marBottom w:val="0"/>
          <w:divBdr>
            <w:top w:val="none" w:sz="0" w:space="0" w:color="auto"/>
            <w:left w:val="none" w:sz="0" w:space="0" w:color="auto"/>
            <w:bottom w:val="none" w:sz="0" w:space="0" w:color="auto"/>
            <w:right w:val="none" w:sz="0" w:space="0" w:color="auto"/>
          </w:divBdr>
          <w:divsChild>
            <w:div w:id="869026508">
              <w:marLeft w:val="0"/>
              <w:marRight w:val="0"/>
              <w:marTop w:val="0"/>
              <w:marBottom w:val="0"/>
              <w:divBdr>
                <w:top w:val="none" w:sz="0" w:space="0" w:color="auto"/>
                <w:left w:val="none" w:sz="0" w:space="0" w:color="auto"/>
                <w:bottom w:val="none" w:sz="0" w:space="0" w:color="auto"/>
                <w:right w:val="none" w:sz="0" w:space="0" w:color="auto"/>
              </w:divBdr>
              <w:divsChild>
                <w:div w:id="113491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047403">
      <w:bodyDiv w:val="1"/>
      <w:marLeft w:val="0"/>
      <w:marRight w:val="0"/>
      <w:marTop w:val="0"/>
      <w:marBottom w:val="0"/>
      <w:divBdr>
        <w:top w:val="none" w:sz="0" w:space="0" w:color="auto"/>
        <w:left w:val="none" w:sz="0" w:space="0" w:color="auto"/>
        <w:bottom w:val="none" w:sz="0" w:space="0" w:color="auto"/>
        <w:right w:val="none" w:sz="0" w:space="0" w:color="auto"/>
      </w:divBdr>
    </w:div>
    <w:div w:id="1363096152">
      <w:bodyDiv w:val="1"/>
      <w:marLeft w:val="0"/>
      <w:marRight w:val="0"/>
      <w:marTop w:val="0"/>
      <w:marBottom w:val="0"/>
      <w:divBdr>
        <w:top w:val="none" w:sz="0" w:space="0" w:color="auto"/>
        <w:left w:val="none" w:sz="0" w:space="0" w:color="auto"/>
        <w:bottom w:val="none" w:sz="0" w:space="0" w:color="auto"/>
        <w:right w:val="none" w:sz="0" w:space="0" w:color="auto"/>
      </w:divBdr>
      <w:divsChild>
        <w:div w:id="2145809351">
          <w:marLeft w:val="0"/>
          <w:marRight w:val="0"/>
          <w:marTop w:val="0"/>
          <w:marBottom w:val="0"/>
          <w:divBdr>
            <w:top w:val="none" w:sz="0" w:space="0" w:color="auto"/>
            <w:left w:val="none" w:sz="0" w:space="0" w:color="auto"/>
            <w:bottom w:val="none" w:sz="0" w:space="0" w:color="auto"/>
            <w:right w:val="none" w:sz="0" w:space="0" w:color="auto"/>
          </w:divBdr>
          <w:divsChild>
            <w:div w:id="1407605589">
              <w:marLeft w:val="0"/>
              <w:marRight w:val="0"/>
              <w:marTop w:val="0"/>
              <w:marBottom w:val="0"/>
              <w:divBdr>
                <w:top w:val="none" w:sz="0" w:space="0" w:color="auto"/>
                <w:left w:val="none" w:sz="0" w:space="0" w:color="auto"/>
                <w:bottom w:val="none" w:sz="0" w:space="0" w:color="auto"/>
                <w:right w:val="none" w:sz="0" w:space="0" w:color="auto"/>
              </w:divBdr>
              <w:divsChild>
                <w:div w:id="1204295830">
                  <w:marLeft w:val="0"/>
                  <w:marRight w:val="0"/>
                  <w:marTop w:val="0"/>
                  <w:marBottom w:val="0"/>
                  <w:divBdr>
                    <w:top w:val="none" w:sz="0" w:space="0" w:color="auto"/>
                    <w:left w:val="none" w:sz="0" w:space="0" w:color="auto"/>
                    <w:bottom w:val="none" w:sz="0" w:space="0" w:color="auto"/>
                    <w:right w:val="none" w:sz="0" w:space="0" w:color="auto"/>
                  </w:divBdr>
                  <w:divsChild>
                    <w:div w:id="173207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945185">
      <w:bodyDiv w:val="1"/>
      <w:marLeft w:val="0"/>
      <w:marRight w:val="0"/>
      <w:marTop w:val="0"/>
      <w:marBottom w:val="0"/>
      <w:divBdr>
        <w:top w:val="none" w:sz="0" w:space="0" w:color="auto"/>
        <w:left w:val="none" w:sz="0" w:space="0" w:color="auto"/>
        <w:bottom w:val="none" w:sz="0" w:space="0" w:color="auto"/>
        <w:right w:val="none" w:sz="0" w:space="0" w:color="auto"/>
      </w:divBdr>
    </w:div>
    <w:div w:id="1365595463">
      <w:bodyDiv w:val="1"/>
      <w:marLeft w:val="0"/>
      <w:marRight w:val="0"/>
      <w:marTop w:val="0"/>
      <w:marBottom w:val="0"/>
      <w:divBdr>
        <w:top w:val="none" w:sz="0" w:space="0" w:color="auto"/>
        <w:left w:val="none" w:sz="0" w:space="0" w:color="auto"/>
        <w:bottom w:val="none" w:sz="0" w:space="0" w:color="auto"/>
        <w:right w:val="none" w:sz="0" w:space="0" w:color="auto"/>
      </w:divBdr>
    </w:div>
    <w:div w:id="1365784217">
      <w:bodyDiv w:val="1"/>
      <w:marLeft w:val="0"/>
      <w:marRight w:val="0"/>
      <w:marTop w:val="0"/>
      <w:marBottom w:val="0"/>
      <w:divBdr>
        <w:top w:val="none" w:sz="0" w:space="0" w:color="auto"/>
        <w:left w:val="none" w:sz="0" w:space="0" w:color="auto"/>
        <w:bottom w:val="none" w:sz="0" w:space="0" w:color="auto"/>
        <w:right w:val="none" w:sz="0" w:space="0" w:color="auto"/>
      </w:divBdr>
    </w:div>
    <w:div w:id="1365978263">
      <w:bodyDiv w:val="1"/>
      <w:marLeft w:val="0"/>
      <w:marRight w:val="0"/>
      <w:marTop w:val="0"/>
      <w:marBottom w:val="0"/>
      <w:divBdr>
        <w:top w:val="none" w:sz="0" w:space="0" w:color="auto"/>
        <w:left w:val="none" w:sz="0" w:space="0" w:color="auto"/>
        <w:bottom w:val="none" w:sz="0" w:space="0" w:color="auto"/>
        <w:right w:val="none" w:sz="0" w:space="0" w:color="auto"/>
      </w:divBdr>
    </w:div>
    <w:div w:id="1366442335">
      <w:bodyDiv w:val="1"/>
      <w:marLeft w:val="0"/>
      <w:marRight w:val="0"/>
      <w:marTop w:val="0"/>
      <w:marBottom w:val="0"/>
      <w:divBdr>
        <w:top w:val="none" w:sz="0" w:space="0" w:color="auto"/>
        <w:left w:val="none" w:sz="0" w:space="0" w:color="auto"/>
        <w:bottom w:val="none" w:sz="0" w:space="0" w:color="auto"/>
        <w:right w:val="none" w:sz="0" w:space="0" w:color="auto"/>
      </w:divBdr>
    </w:div>
    <w:div w:id="1366564043">
      <w:bodyDiv w:val="1"/>
      <w:marLeft w:val="0"/>
      <w:marRight w:val="0"/>
      <w:marTop w:val="0"/>
      <w:marBottom w:val="0"/>
      <w:divBdr>
        <w:top w:val="none" w:sz="0" w:space="0" w:color="auto"/>
        <w:left w:val="none" w:sz="0" w:space="0" w:color="auto"/>
        <w:bottom w:val="none" w:sz="0" w:space="0" w:color="auto"/>
        <w:right w:val="none" w:sz="0" w:space="0" w:color="auto"/>
      </w:divBdr>
    </w:div>
    <w:div w:id="1367558825">
      <w:bodyDiv w:val="1"/>
      <w:marLeft w:val="0"/>
      <w:marRight w:val="0"/>
      <w:marTop w:val="0"/>
      <w:marBottom w:val="0"/>
      <w:divBdr>
        <w:top w:val="none" w:sz="0" w:space="0" w:color="auto"/>
        <w:left w:val="none" w:sz="0" w:space="0" w:color="auto"/>
        <w:bottom w:val="none" w:sz="0" w:space="0" w:color="auto"/>
        <w:right w:val="none" w:sz="0" w:space="0" w:color="auto"/>
      </w:divBdr>
    </w:div>
    <w:div w:id="1367751252">
      <w:bodyDiv w:val="1"/>
      <w:marLeft w:val="0"/>
      <w:marRight w:val="0"/>
      <w:marTop w:val="0"/>
      <w:marBottom w:val="0"/>
      <w:divBdr>
        <w:top w:val="none" w:sz="0" w:space="0" w:color="auto"/>
        <w:left w:val="none" w:sz="0" w:space="0" w:color="auto"/>
        <w:bottom w:val="none" w:sz="0" w:space="0" w:color="auto"/>
        <w:right w:val="none" w:sz="0" w:space="0" w:color="auto"/>
      </w:divBdr>
    </w:div>
    <w:div w:id="1367872468">
      <w:bodyDiv w:val="1"/>
      <w:marLeft w:val="0"/>
      <w:marRight w:val="0"/>
      <w:marTop w:val="0"/>
      <w:marBottom w:val="0"/>
      <w:divBdr>
        <w:top w:val="none" w:sz="0" w:space="0" w:color="auto"/>
        <w:left w:val="none" w:sz="0" w:space="0" w:color="auto"/>
        <w:bottom w:val="none" w:sz="0" w:space="0" w:color="auto"/>
        <w:right w:val="none" w:sz="0" w:space="0" w:color="auto"/>
      </w:divBdr>
    </w:div>
    <w:div w:id="1368330267">
      <w:bodyDiv w:val="1"/>
      <w:marLeft w:val="0"/>
      <w:marRight w:val="0"/>
      <w:marTop w:val="0"/>
      <w:marBottom w:val="0"/>
      <w:divBdr>
        <w:top w:val="none" w:sz="0" w:space="0" w:color="auto"/>
        <w:left w:val="none" w:sz="0" w:space="0" w:color="auto"/>
        <w:bottom w:val="none" w:sz="0" w:space="0" w:color="auto"/>
        <w:right w:val="none" w:sz="0" w:space="0" w:color="auto"/>
      </w:divBdr>
      <w:divsChild>
        <w:div w:id="696928607">
          <w:marLeft w:val="0"/>
          <w:marRight w:val="0"/>
          <w:marTop w:val="0"/>
          <w:marBottom w:val="0"/>
          <w:divBdr>
            <w:top w:val="none" w:sz="0" w:space="0" w:color="auto"/>
            <w:left w:val="none" w:sz="0" w:space="0" w:color="auto"/>
            <w:bottom w:val="none" w:sz="0" w:space="0" w:color="auto"/>
            <w:right w:val="none" w:sz="0" w:space="0" w:color="auto"/>
          </w:divBdr>
          <w:divsChild>
            <w:div w:id="1467511056">
              <w:marLeft w:val="0"/>
              <w:marRight w:val="0"/>
              <w:marTop w:val="0"/>
              <w:marBottom w:val="0"/>
              <w:divBdr>
                <w:top w:val="none" w:sz="0" w:space="0" w:color="auto"/>
                <w:left w:val="none" w:sz="0" w:space="0" w:color="auto"/>
                <w:bottom w:val="none" w:sz="0" w:space="0" w:color="auto"/>
                <w:right w:val="none" w:sz="0" w:space="0" w:color="auto"/>
              </w:divBdr>
              <w:divsChild>
                <w:div w:id="820924554">
                  <w:marLeft w:val="0"/>
                  <w:marRight w:val="0"/>
                  <w:marTop w:val="0"/>
                  <w:marBottom w:val="0"/>
                  <w:divBdr>
                    <w:top w:val="none" w:sz="0" w:space="0" w:color="auto"/>
                    <w:left w:val="none" w:sz="0" w:space="0" w:color="auto"/>
                    <w:bottom w:val="none" w:sz="0" w:space="0" w:color="auto"/>
                    <w:right w:val="none" w:sz="0" w:space="0" w:color="auto"/>
                  </w:divBdr>
                  <w:divsChild>
                    <w:div w:id="2057461184">
                      <w:marLeft w:val="0"/>
                      <w:marRight w:val="0"/>
                      <w:marTop w:val="0"/>
                      <w:marBottom w:val="0"/>
                      <w:divBdr>
                        <w:top w:val="none" w:sz="0" w:space="0" w:color="auto"/>
                        <w:left w:val="none" w:sz="0" w:space="0" w:color="auto"/>
                        <w:bottom w:val="none" w:sz="0" w:space="0" w:color="auto"/>
                        <w:right w:val="none" w:sz="0" w:space="0" w:color="auto"/>
                      </w:divBdr>
                    </w:div>
                  </w:divsChild>
                </w:div>
                <w:div w:id="1134761091">
                  <w:marLeft w:val="0"/>
                  <w:marRight w:val="0"/>
                  <w:marTop w:val="0"/>
                  <w:marBottom w:val="0"/>
                  <w:divBdr>
                    <w:top w:val="none" w:sz="0" w:space="0" w:color="auto"/>
                    <w:left w:val="none" w:sz="0" w:space="0" w:color="auto"/>
                    <w:bottom w:val="none" w:sz="0" w:space="0" w:color="auto"/>
                    <w:right w:val="none" w:sz="0" w:space="0" w:color="auto"/>
                  </w:divBdr>
                  <w:divsChild>
                    <w:div w:id="1212839602">
                      <w:marLeft w:val="0"/>
                      <w:marRight w:val="0"/>
                      <w:marTop w:val="0"/>
                      <w:marBottom w:val="0"/>
                      <w:divBdr>
                        <w:top w:val="none" w:sz="0" w:space="0" w:color="auto"/>
                        <w:left w:val="none" w:sz="0" w:space="0" w:color="auto"/>
                        <w:bottom w:val="none" w:sz="0" w:space="0" w:color="auto"/>
                        <w:right w:val="none" w:sz="0" w:space="0" w:color="auto"/>
                      </w:divBdr>
                    </w:div>
                  </w:divsChild>
                </w:div>
                <w:div w:id="1962690463">
                  <w:marLeft w:val="0"/>
                  <w:marRight w:val="0"/>
                  <w:marTop w:val="0"/>
                  <w:marBottom w:val="0"/>
                  <w:divBdr>
                    <w:top w:val="none" w:sz="0" w:space="0" w:color="auto"/>
                    <w:left w:val="none" w:sz="0" w:space="0" w:color="auto"/>
                    <w:bottom w:val="none" w:sz="0" w:space="0" w:color="auto"/>
                    <w:right w:val="none" w:sz="0" w:space="0" w:color="auto"/>
                  </w:divBdr>
                  <w:divsChild>
                    <w:div w:id="21326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339244">
      <w:bodyDiv w:val="1"/>
      <w:marLeft w:val="0"/>
      <w:marRight w:val="0"/>
      <w:marTop w:val="0"/>
      <w:marBottom w:val="0"/>
      <w:divBdr>
        <w:top w:val="none" w:sz="0" w:space="0" w:color="auto"/>
        <w:left w:val="none" w:sz="0" w:space="0" w:color="auto"/>
        <w:bottom w:val="none" w:sz="0" w:space="0" w:color="auto"/>
        <w:right w:val="none" w:sz="0" w:space="0" w:color="auto"/>
      </w:divBdr>
      <w:divsChild>
        <w:div w:id="794176043">
          <w:marLeft w:val="0"/>
          <w:marRight w:val="0"/>
          <w:marTop w:val="0"/>
          <w:marBottom w:val="0"/>
          <w:divBdr>
            <w:top w:val="none" w:sz="0" w:space="0" w:color="auto"/>
            <w:left w:val="none" w:sz="0" w:space="0" w:color="auto"/>
            <w:bottom w:val="none" w:sz="0" w:space="0" w:color="auto"/>
            <w:right w:val="none" w:sz="0" w:space="0" w:color="auto"/>
          </w:divBdr>
          <w:divsChild>
            <w:div w:id="1419718881">
              <w:marLeft w:val="0"/>
              <w:marRight w:val="0"/>
              <w:marTop w:val="0"/>
              <w:marBottom w:val="0"/>
              <w:divBdr>
                <w:top w:val="none" w:sz="0" w:space="0" w:color="auto"/>
                <w:left w:val="none" w:sz="0" w:space="0" w:color="auto"/>
                <w:bottom w:val="none" w:sz="0" w:space="0" w:color="auto"/>
                <w:right w:val="none" w:sz="0" w:space="0" w:color="auto"/>
              </w:divBdr>
              <w:divsChild>
                <w:div w:id="927693191">
                  <w:marLeft w:val="0"/>
                  <w:marRight w:val="0"/>
                  <w:marTop w:val="0"/>
                  <w:marBottom w:val="0"/>
                  <w:divBdr>
                    <w:top w:val="none" w:sz="0" w:space="0" w:color="auto"/>
                    <w:left w:val="none" w:sz="0" w:space="0" w:color="auto"/>
                    <w:bottom w:val="none" w:sz="0" w:space="0" w:color="auto"/>
                    <w:right w:val="none" w:sz="0" w:space="0" w:color="auto"/>
                  </w:divBdr>
                  <w:divsChild>
                    <w:div w:id="26288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404513">
      <w:bodyDiv w:val="1"/>
      <w:marLeft w:val="0"/>
      <w:marRight w:val="0"/>
      <w:marTop w:val="0"/>
      <w:marBottom w:val="0"/>
      <w:divBdr>
        <w:top w:val="none" w:sz="0" w:space="0" w:color="auto"/>
        <w:left w:val="none" w:sz="0" w:space="0" w:color="auto"/>
        <w:bottom w:val="none" w:sz="0" w:space="0" w:color="auto"/>
        <w:right w:val="none" w:sz="0" w:space="0" w:color="auto"/>
      </w:divBdr>
    </w:div>
    <w:div w:id="1369723604">
      <w:bodyDiv w:val="1"/>
      <w:marLeft w:val="0"/>
      <w:marRight w:val="0"/>
      <w:marTop w:val="0"/>
      <w:marBottom w:val="0"/>
      <w:divBdr>
        <w:top w:val="none" w:sz="0" w:space="0" w:color="auto"/>
        <w:left w:val="none" w:sz="0" w:space="0" w:color="auto"/>
        <w:bottom w:val="none" w:sz="0" w:space="0" w:color="auto"/>
        <w:right w:val="none" w:sz="0" w:space="0" w:color="auto"/>
      </w:divBdr>
      <w:divsChild>
        <w:div w:id="523714326">
          <w:marLeft w:val="0"/>
          <w:marRight w:val="0"/>
          <w:marTop w:val="0"/>
          <w:marBottom w:val="0"/>
          <w:divBdr>
            <w:top w:val="none" w:sz="0" w:space="0" w:color="auto"/>
            <w:left w:val="none" w:sz="0" w:space="0" w:color="auto"/>
            <w:bottom w:val="none" w:sz="0" w:space="0" w:color="auto"/>
            <w:right w:val="none" w:sz="0" w:space="0" w:color="auto"/>
          </w:divBdr>
          <w:divsChild>
            <w:div w:id="1685129938">
              <w:marLeft w:val="0"/>
              <w:marRight w:val="0"/>
              <w:marTop w:val="0"/>
              <w:marBottom w:val="0"/>
              <w:divBdr>
                <w:top w:val="none" w:sz="0" w:space="0" w:color="auto"/>
                <w:left w:val="none" w:sz="0" w:space="0" w:color="auto"/>
                <w:bottom w:val="none" w:sz="0" w:space="0" w:color="auto"/>
                <w:right w:val="none" w:sz="0" w:space="0" w:color="auto"/>
              </w:divBdr>
              <w:divsChild>
                <w:div w:id="186112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380401">
      <w:bodyDiv w:val="1"/>
      <w:marLeft w:val="0"/>
      <w:marRight w:val="0"/>
      <w:marTop w:val="0"/>
      <w:marBottom w:val="0"/>
      <w:divBdr>
        <w:top w:val="none" w:sz="0" w:space="0" w:color="auto"/>
        <w:left w:val="none" w:sz="0" w:space="0" w:color="auto"/>
        <w:bottom w:val="none" w:sz="0" w:space="0" w:color="auto"/>
        <w:right w:val="none" w:sz="0" w:space="0" w:color="auto"/>
      </w:divBdr>
      <w:divsChild>
        <w:div w:id="269975466">
          <w:marLeft w:val="0"/>
          <w:marRight w:val="0"/>
          <w:marTop w:val="0"/>
          <w:marBottom w:val="0"/>
          <w:divBdr>
            <w:top w:val="none" w:sz="0" w:space="0" w:color="auto"/>
            <w:left w:val="none" w:sz="0" w:space="0" w:color="auto"/>
            <w:bottom w:val="none" w:sz="0" w:space="0" w:color="auto"/>
            <w:right w:val="none" w:sz="0" w:space="0" w:color="auto"/>
          </w:divBdr>
          <w:divsChild>
            <w:div w:id="218059192">
              <w:marLeft w:val="0"/>
              <w:marRight w:val="0"/>
              <w:marTop w:val="0"/>
              <w:marBottom w:val="0"/>
              <w:divBdr>
                <w:top w:val="none" w:sz="0" w:space="0" w:color="auto"/>
                <w:left w:val="none" w:sz="0" w:space="0" w:color="auto"/>
                <w:bottom w:val="none" w:sz="0" w:space="0" w:color="auto"/>
                <w:right w:val="none" w:sz="0" w:space="0" w:color="auto"/>
              </w:divBdr>
              <w:divsChild>
                <w:div w:id="304354643">
                  <w:marLeft w:val="0"/>
                  <w:marRight w:val="0"/>
                  <w:marTop w:val="0"/>
                  <w:marBottom w:val="0"/>
                  <w:divBdr>
                    <w:top w:val="none" w:sz="0" w:space="0" w:color="auto"/>
                    <w:left w:val="none" w:sz="0" w:space="0" w:color="auto"/>
                    <w:bottom w:val="none" w:sz="0" w:space="0" w:color="auto"/>
                    <w:right w:val="none" w:sz="0" w:space="0" w:color="auto"/>
                  </w:divBdr>
                  <w:divsChild>
                    <w:div w:id="80369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651341">
      <w:bodyDiv w:val="1"/>
      <w:marLeft w:val="0"/>
      <w:marRight w:val="0"/>
      <w:marTop w:val="0"/>
      <w:marBottom w:val="0"/>
      <w:divBdr>
        <w:top w:val="none" w:sz="0" w:space="0" w:color="auto"/>
        <w:left w:val="none" w:sz="0" w:space="0" w:color="auto"/>
        <w:bottom w:val="none" w:sz="0" w:space="0" w:color="auto"/>
        <w:right w:val="none" w:sz="0" w:space="0" w:color="auto"/>
      </w:divBdr>
    </w:div>
    <w:div w:id="1373655651">
      <w:bodyDiv w:val="1"/>
      <w:marLeft w:val="0"/>
      <w:marRight w:val="0"/>
      <w:marTop w:val="0"/>
      <w:marBottom w:val="0"/>
      <w:divBdr>
        <w:top w:val="none" w:sz="0" w:space="0" w:color="auto"/>
        <w:left w:val="none" w:sz="0" w:space="0" w:color="auto"/>
        <w:bottom w:val="none" w:sz="0" w:space="0" w:color="auto"/>
        <w:right w:val="none" w:sz="0" w:space="0" w:color="auto"/>
      </w:divBdr>
      <w:divsChild>
        <w:div w:id="1893618382">
          <w:marLeft w:val="0"/>
          <w:marRight w:val="0"/>
          <w:marTop w:val="0"/>
          <w:marBottom w:val="0"/>
          <w:divBdr>
            <w:top w:val="none" w:sz="0" w:space="0" w:color="auto"/>
            <w:left w:val="none" w:sz="0" w:space="0" w:color="auto"/>
            <w:bottom w:val="none" w:sz="0" w:space="0" w:color="auto"/>
            <w:right w:val="none" w:sz="0" w:space="0" w:color="auto"/>
          </w:divBdr>
          <w:divsChild>
            <w:div w:id="448550397">
              <w:marLeft w:val="0"/>
              <w:marRight w:val="0"/>
              <w:marTop w:val="0"/>
              <w:marBottom w:val="0"/>
              <w:divBdr>
                <w:top w:val="none" w:sz="0" w:space="0" w:color="auto"/>
                <w:left w:val="none" w:sz="0" w:space="0" w:color="auto"/>
                <w:bottom w:val="none" w:sz="0" w:space="0" w:color="auto"/>
                <w:right w:val="none" w:sz="0" w:space="0" w:color="auto"/>
              </w:divBdr>
              <w:divsChild>
                <w:div w:id="1908028167">
                  <w:marLeft w:val="0"/>
                  <w:marRight w:val="0"/>
                  <w:marTop w:val="0"/>
                  <w:marBottom w:val="0"/>
                  <w:divBdr>
                    <w:top w:val="none" w:sz="0" w:space="0" w:color="auto"/>
                    <w:left w:val="none" w:sz="0" w:space="0" w:color="auto"/>
                    <w:bottom w:val="none" w:sz="0" w:space="0" w:color="auto"/>
                    <w:right w:val="none" w:sz="0" w:space="0" w:color="auto"/>
                  </w:divBdr>
                  <w:divsChild>
                    <w:div w:id="90552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118893">
      <w:bodyDiv w:val="1"/>
      <w:marLeft w:val="0"/>
      <w:marRight w:val="0"/>
      <w:marTop w:val="0"/>
      <w:marBottom w:val="0"/>
      <w:divBdr>
        <w:top w:val="none" w:sz="0" w:space="0" w:color="auto"/>
        <w:left w:val="none" w:sz="0" w:space="0" w:color="auto"/>
        <w:bottom w:val="none" w:sz="0" w:space="0" w:color="auto"/>
        <w:right w:val="none" w:sz="0" w:space="0" w:color="auto"/>
      </w:divBdr>
    </w:div>
    <w:div w:id="1374304307">
      <w:bodyDiv w:val="1"/>
      <w:marLeft w:val="0"/>
      <w:marRight w:val="0"/>
      <w:marTop w:val="0"/>
      <w:marBottom w:val="0"/>
      <w:divBdr>
        <w:top w:val="none" w:sz="0" w:space="0" w:color="auto"/>
        <w:left w:val="none" w:sz="0" w:space="0" w:color="auto"/>
        <w:bottom w:val="none" w:sz="0" w:space="0" w:color="auto"/>
        <w:right w:val="none" w:sz="0" w:space="0" w:color="auto"/>
      </w:divBdr>
    </w:div>
    <w:div w:id="1374498090">
      <w:bodyDiv w:val="1"/>
      <w:marLeft w:val="0"/>
      <w:marRight w:val="0"/>
      <w:marTop w:val="0"/>
      <w:marBottom w:val="0"/>
      <w:divBdr>
        <w:top w:val="none" w:sz="0" w:space="0" w:color="auto"/>
        <w:left w:val="none" w:sz="0" w:space="0" w:color="auto"/>
        <w:bottom w:val="none" w:sz="0" w:space="0" w:color="auto"/>
        <w:right w:val="none" w:sz="0" w:space="0" w:color="auto"/>
      </w:divBdr>
    </w:div>
    <w:div w:id="1374572949">
      <w:bodyDiv w:val="1"/>
      <w:marLeft w:val="0"/>
      <w:marRight w:val="0"/>
      <w:marTop w:val="0"/>
      <w:marBottom w:val="0"/>
      <w:divBdr>
        <w:top w:val="none" w:sz="0" w:space="0" w:color="auto"/>
        <w:left w:val="none" w:sz="0" w:space="0" w:color="auto"/>
        <w:bottom w:val="none" w:sz="0" w:space="0" w:color="auto"/>
        <w:right w:val="none" w:sz="0" w:space="0" w:color="auto"/>
      </w:divBdr>
    </w:div>
    <w:div w:id="1374693141">
      <w:bodyDiv w:val="1"/>
      <w:marLeft w:val="0"/>
      <w:marRight w:val="0"/>
      <w:marTop w:val="0"/>
      <w:marBottom w:val="0"/>
      <w:divBdr>
        <w:top w:val="none" w:sz="0" w:space="0" w:color="auto"/>
        <w:left w:val="none" w:sz="0" w:space="0" w:color="auto"/>
        <w:bottom w:val="none" w:sz="0" w:space="0" w:color="auto"/>
        <w:right w:val="none" w:sz="0" w:space="0" w:color="auto"/>
      </w:divBdr>
    </w:div>
    <w:div w:id="1374699038">
      <w:bodyDiv w:val="1"/>
      <w:marLeft w:val="0"/>
      <w:marRight w:val="0"/>
      <w:marTop w:val="0"/>
      <w:marBottom w:val="0"/>
      <w:divBdr>
        <w:top w:val="none" w:sz="0" w:space="0" w:color="auto"/>
        <w:left w:val="none" w:sz="0" w:space="0" w:color="auto"/>
        <w:bottom w:val="none" w:sz="0" w:space="0" w:color="auto"/>
        <w:right w:val="none" w:sz="0" w:space="0" w:color="auto"/>
      </w:divBdr>
    </w:div>
    <w:div w:id="1374960929">
      <w:bodyDiv w:val="1"/>
      <w:marLeft w:val="0"/>
      <w:marRight w:val="0"/>
      <w:marTop w:val="0"/>
      <w:marBottom w:val="0"/>
      <w:divBdr>
        <w:top w:val="none" w:sz="0" w:space="0" w:color="auto"/>
        <w:left w:val="none" w:sz="0" w:space="0" w:color="auto"/>
        <w:bottom w:val="none" w:sz="0" w:space="0" w:color="auto"/>
        <w:right w:val="none" w:sz="0" w:space="0" w:color="auto"/>
      </w:divBdr>
      <w:divsChild>
        <w:div w:id="613947909">
          <w:marLeft w:val="0"/>
          <w:marRight w:val="0"/>
          <w:marTop w:val="0"/>
          <w:marBottom w:val="0"/>
          <w:divBdr>
            <w:top w:val="none" w:sz="0" w:space="0" w:color="auto"/>
            <w:left w:val="none" w:sz="0" w:space="0" w:color="auto"/>
            <w:bottom w:val="none" w:sz="0" w:space="0" w:color="auto"/>
            <w:right w:val="none" w:sz="0" w:space="0" w:color="auto"/>
          </w:divBdr>
          <w:divsChild>
            <w:div w:id="1574505874">
              <w:marLeft w:val="0"/>
              <w:marRight w:val="0"/>
              <w:marTop w:val="0"/>
              <w:marBottom w:val="0"/>
              <w:divBdr>
                <w:top w:val="none" w:sz="0" w:space="0" w:color="auto"/>
                <w:left w:val="none" w:sz="0" w:space="0" w:color="auto"/>
                <w:bottom w:val="none" w:sz="0" w:space="0" w:color="auto"/>
                <w:right w:val="none" w:sz="0" w:space="0" w:color="auto"/>
              </w:divBdr>
              <w:divsChild>
                <w:div w:id="1464690944">
                  <w:marLeft w:val="0"/>
                  <w:marRight w:val="0"/>
                  <w:marTop w:val="0"/>
                  <w:marBottom w:val="0"/>
                  <w:divBdr>
                    <w:top w:val="none" w:sz="0" w:space="0" w:color="auto"/>
                    <w:left w:val="none" w:sz="0" w:space="0" w:color="auto"/>
                    <w:bottom w:val="none" w:sz="0" w:space="0" w:color="auto"/>
                    <w:right w:val="none" w:sz="0" w:space="0" w:color="auto"/>
                  </w:divBdr>
                  <w:divsChild>
                    <w:div w:id="15975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738145">
      <w:bodyDiv w:val="1"/>
      <w:marLeft w:val="0"/>
      <w:marRight w:val="0"/>
      <w:marTop w:val="0"/>
      <w:marBottom w:val="0"/>
      <w:divBdr>
        <w:top w:val="none" w:sz="0" w:space="0" w:color="auto"/>
        <w:left w:val="none" w:sz="0" w:space="0" w:color="auto"/>
        <w:bottom w:val="none" w:sz="0" w:space="0" w:color="auto"/>
        <w:right w:val="none" w:sz="0" w:space="0" w:color="auto"/>
      </w:divBdr>
    </w:div>
    <w:div w:id="1376350301">
      <w:bodyDiv w:val="1"/>
      <w:marLeft w:val="0"/>
      <w:marRight w:val="0"/>
      <w:marTop w:val="0"/>
      <w:marBottom w:val="0"/>
      <w:divBdr>
        <w:top w:val="none" w:sz="0" w:space="0" w:color="auto"/>
        <w:left w:val="none" w:sz="0" w:space="0" w:color="auto"/>
        <w:bottom w:val="none" w:sz="0" w:space="0" w:color="auto"/>
        <w:right w:val="none" w:sz="0" w:space="0" w:color="auto"/>
      </w:divBdr>
      <w:divsChild>
        <w:div w:id="185218351">
          <w:marLeft w:val="0"/>
          <w:marRight w:val="0"/>
          <w:marTop w:val="0"/>
          <w:marBottom w:val="0"/>
          <w:divBdr>
            <w:top w:val="none" w:sz="0" w:space="0" w:color="auto"/>
            <w:left w:val="none" w:sz="0" w:space="0" w:color="auto"/>
            <w:bottom w:val="none" w:sz="0" w:space="0" w:color="auto"/>
            <w:right w:val="none" w:sz="0" w:space="0" w:color="auto"/>
          </w:divBdr>
          <w:divsChild>
            <w:div w:id="724764326">
              <w:marLeft w:val="0"/>
              <w:marRight w:val="0"/>
              <w:marTop w:val="0"/>
              <w:marBottom w:val="0"/>
              <w:divBdr>
                <w:top w:val="none" w:sz="0" w:space="0" w:color="auto"/>
                <w:left w:val="none" w:sz="0" w:space="0" w:color="auto"/>
                <w:bottom w:val="none" w:sz="0" w:space="0" w:color="auto"/>
                <w:right w:val="none" w:sz="0" w:space="0" w:color="auto"/>
              </w:divBdr>
              <w:divsChild>
                <w:div w:id="80763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39084">
      <w:bodyDiv w:val="1"/>
      <w:marLeft w:val="0"/>
      <w:marRight w:val="0"/>
      <w:marTop w:val="0"/>
      <w:marBottom w:val="0"/>
      <w:divBdr>
        <w:top w:val="none" w:sz="0" w:space="0" w:color="auto"/>
        <w:left w:val="none" w:sz="0" w:space="0" w:color="auto"/>
        <w:bottom w:val="none" w:sz="0" w:space="0" w:color="auto"/>
        <w:right w:val="none" w:sz="0" w:space="0" w:color="auto"/>
      </w:divBdr>
    </w:div>
    <w:div w:id="1377048089">
      <w:bodyDiv w:val="1"/>
      <w:marLeft w:val="0"/>
      <w:marRight w:val="0"/>
      <w:marTop w:val="0"/>
      <w:marBottom w:val="0"/>
      <w:divBdr>
        <w:top w:val="none" w:sz="0" w:space="0" w:color="auto"/>
        <w:left w:val="none" w:sz="0" w:space="0" w:color="auto"/>
        <w:bottom w:val="none" w:sz="0" w:space="0" w:color="auto"/>
        <w:right w:val="none" w:sz="0" w:space="0" w:color="auto"/>
      </w:divBdr>
    </w:div>
    <w:div w:id="1379932275">
      <w:bodyDiv w:val="1"/>
      <w:marLeft w:val="0"/>
      <w:marRight w:val="0"/>
      <w:marTop w:val="0"/>
      <w:marBottom w:val="0"/>
      <w:divBdr>
        <w:top w:val="none" w:sz="0" w:space="0" w:color="auto"/>
        <w:left w:val="none" w:sz="0" w:space="0" w:color="auto"/>
        <w:bottom w:val="none" w:sz="0" w:space="0" w:color="auto"/>
        <w:right w:val="none" w:sz="0" w:space="0" w:color="auto"/>
      </w:divBdr>
    </w:div>
    <w:div w:id="1380088792">
      <w:bodyDiv w:val="1"/>
      <w:marLeft w:val="0"/>
      <w:marRight w:val="0"/>
      <w:marTop w:val="0"/>
      <w:marBottom w:val="0"/>
      <w:divBdr>
        <w:top w:val="none" w:sz="0" w:space="0" w:color="auto"/>
        <w:left w:val="none" w:sz="0" w:space="0" w:color="auto"/>
        <w:bottom w:val="none" w:sz="0" w:space="0" w:color="auto"/>
        <w:right w:val="none" w:sz="0" w:space="0" w:color="auto"/>
      </w:divBdr>
    </w:div>
    <w:div w:id="1381323491">
      <w:bodyDiv w:val="1"/>
      <w:marLeft w:val="0"/>
      <w:marRight w:val="0"/>
      <w:marTop w:val="0"/>
      <w:marBottom w:val="0"/>
      <w:divBdr>
        <w:top w:val="none" w:sz="0" w:space="0" w:color="auto"/>
        <w:left w:val="none" w:sz="0" w:space="0" w:color="auto"/>
        <w:bottom w:val="none" w:sz="0" w:space="0" w:color="auto"/>
        <w:right w:val="none" w:sz="0" w:space="0" w:color="auto"/>
      </w:divBdr>
    </w:div>
    <w:div w:id="1381517981">
      <w:bodyDiv w:val="1"/>
      <w:marLeft w:val="0"/>
      <w:marRight w:val="0"/>
      <w:marTop w:val="0"/>
      <w:marBottom w:val="0"/>
      <w:divBdr>
        <w:top w:val="none" w:sz="0" w:space="0" w:color="auto"/>
        <w:left w:val="none" w:sz="0" w:space="0" w:color="auto"/>
        <w:bottom w:val="none" w:sz="0" w:space="0" w:color="auto"/>
        <w:right w:val="none" w:sz="0" w:space="0" w:color="auto"/>
      </w:divBdr>
    </w:div>
    <w:div w:id="1381856563">
      <w:bodyDiv w:val="1"/>
      <w:marLeft w:val="0"/>
      <w:marRight w:val="0"/>
      <w:marTop w:val="0"/>
      <w:marBottom w:val="0"/>
      <w:divBdr>
        <w:top w:val="none" w:sz="0" w:space="0" w:color="auto"/>
        <w:left w:val="none" w:sz="0" w:space="0" w:color="auto"/>
        <w:bottom w:val="none" w:sz="0" w:space="0" w:color="auto"/>
        <w:right w:val="none" w:sz="0" w:space="0" w:color="auto"/>
      </w:divBdr>
    </w:div>
    <w:div w:id="1382249938">
      <w:bodyDiv w:val="1"/>
      <w:marLeft w:val="0"/>
      <w:marRight w:val="0"/>
      <w:marTop w:val="0"/>
      <w:marBottom w:val="0"/>
      <w:divBdr>
        <w:top w:val="none" w:sz="0" w:space="0" w:color="auto"/>
        <w:left w:val="none" w:sz="0" w:space="0" w:color="auto"/>
        <w:bottom w:val="none" w:sz="0" w:space="0" w:color="auto"/>
        <w:right w:val="none" w:sz="0" w:space="0" w:color="auto"/>
      </w:divBdr>
      <w:divsChild>
        <w:div w:id="922642465">
          <w:marLeft w:val="0"/>
          <w:marRight w:val="0"/>
          <w:marTop w:val="0"/>
          <w:marBottom w:val="0"/>
          <w:divBdr>
            <w:top w:val="none" w:sz="0" w:space="0" w:color="auto"/>
            <w:left w:val="none" w:sz="0" w:space="0" w:color="auto"/>
            <w:bottom w:val="none" w:sz="0" w:space="0" w:color="auto"/>
            <w:right w:val="none" w:sz="0" w:space="0" w:color="auto"/>
          </w:divBdr>
          <w:divsChild>
            <w:div w:id="739669795">
              <w:marLeft w:val="0"/>
              <w:marRight w:val="0"/>
              <w:marTop w:val="0"/>
              <w:marBottom w:val="0"/>
              <w:divBdr>
                <w:top w:val="none" w:sz="0" w:space="0" w:color="auto"/>
                <w:left w:val="none" w:sz="0" w:space="0" w:color="auto"/>
                <w:bottom w:val="none" w:sz="0" w:space="0" w:color="auto"/>
                <w:right w:val="none" w:sz="0" w:space="0" w:color="auto"/>
              </w:divBdr>
              <w:divsChild>
                <w:div w:id="996878133">
                  <w:marLeft w:val="0"/>
                  <w:marRight w:val="0"/>
                  <w:marTop w:val="0"/>
                  <w:marBottom w:val="0"/>
                  <w:divBdr>
                    <w:top w:val="none" w:sz="0" w:space="0" w:color="auto"/>
                    <w:left w:val="none" w:sz="0" w:space="0" w:color="auto"/>
                    <w:bottom w:val="none" w:sz="0" w:space="0" w:color="auto"/>
                    <w:right w:val="none" w:sz="0" w:space="0" w:color="auto"/>
                  </w:divBdr>
                  <w:divsChild>
                    <w:div w:id="26715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676763">
      <w:bodyDiv w:val="1"/>
      <w:marLeft w:val="0"/>
      <w:marRight w:val="0"/>
      <w:marTop w:val="0"/>
      <w:marBottom w:val="0"/>
      <w:divBdr>
        <w:top w:val="none" w:sz="0" w:space="0" w:color="auto"/>
        <w:left w:val="none" w:sz="0" w:space="0" w:color="auto"/>
        <w:bottom w:val="none" w:sz="0" w:space="0" w:color="auto"/>
        <w:right w:val="none" w:sz="0" w:space="0" w:color="auto"/>
      </w:divBdr>
      <w:divsChild>
        <w:div w:id="1221214818">
          <w:marLeft w:val="0"/>
          <w:marRight w:val="0"/>
          <w:marTop w:val="0"/>
          <w:marBottom w:val="0"/>
          <w:divBdr>
            <w:top w:val="none" w:sz="0" w:space="0" w:color="auto"/>
            <w:left w:val="none" w:sz="0" w:space="0" w:color="auto"/>
            <w:bottom w:val="none" w:sz="0" w:space="0" w:color="auto"/>
            <w:right w:val="none" w:sz="0" w:space="0" w:color="auto"/>
          </w:divBdr>
          <w:divsChild>
            <w:div w:id="89981697">
              <w:marLeft w:val="0"/>
              <w:marRight w:val="0"/>
              <w:marTop w:val="0"/>
              <w:marBottom w:val="0"/>
              <w:divBdr>
                <w:top w:val="none" w:sz="0" w:space="0" w:color="auto"/>
                <w:left w:val="none" w:sz="0" w:space="0" w:color="auto"/>
                <w:bottom w:val="none" w:sz="0" w:space="0" w:color="auto"/>
                <w:right w:val="none" w:sz="0" w:space="0" w:color="auto"/>
              </w:divBdr>
              <w:divsChild>
                <w:div w:id="10778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062127">
      <w:bodyDiv w:val="1"/>
      <w:marLeft w:val="0"/>
      <w:marRight w:val="0"/>
      <w:marTop w:val="0"/>
      <w:marBottom w:val="0"/>
      <w:divBdr>
        <w:top w:val="none" w:sz="0" w:space="0" w:color="auto"/>
        <w:left w:val="none" w:sz="0" w:space="0" w:color="auto"/>
        <w:bottom w:val="none" w:sz="0" w:space="0" w:color="auto"/>
        <w:right w:val="none" w:sz="0" w:space="0" w:color="auto"/>
      </w:divBdr>
    </w:div>
    <w:div w:id="1385106401">
      <w:bodyDiv w:val="1"/>
      <w:marLeft w:val="0"/>
      <w:marRight w:val="0"/>
      <w:marTop w:val="0"/>
      <w:marBottom w:val="0"/>
      <w:divBdr>
        <w:top w:val="none" w:sz="0" w:space="0" w:color="auto"/>
        <w:left w:val="none" w:sz="0" w:space="0" w:color="auto"/>
        <w:bottom w:val="none" w:sz="0" w:space="0" w:color="auto"/>
        <w:right w:val="none" w:sz="0" w:space="0" w:color="auto"/>
      </w:divBdr>
      <w:divsChild>
        <w:div w:id="1135180724">
          <w:marLeft w:val="0"/>
          <w:marRight w:val="0"/>
          <w:marTop w:val="0"/>
          <w:marBottom w:val="0"/>
          <w:divBdr>
            <w:top w:val="none" w:sz="0" w:space="0" w:color="auto"/>
            <w:left w:val="none" w:sz="0" w:space="0" w:color="auto"/>
            <w:bottom w:val="none" w:sz="0" w:space="0" w:color="auto"/>
            <w:right w:val="none" w:sz="0" w:space="0" w:color="auto"/>
          </w:divBdr>
          <w:divsChild>
            <w:div w:id="1848404030">
              <w:marLeft w:val="0"/>
              <w:marRight w:val="0"/>
              <w:marTop w:val="0"/>
              <w:marBottom w:val="0"/>
              <w:divBdr>
                <w:top w:val="none" w:sz="0" w:space="0" w:color="auto"/>
                <w:left w:val="none" w:sz="0" w:space="0" w:color="auto"/>
                <w:bottom w:val="none" w:sz="0" w:space="0" w:color="auto"/>
                <w:right w:val="none" w:sz="0" w:space="0" w:color="auto"/>
              </w:divBdr>
              <w:divsChild>
                <w:div w:id="671835329">
                  <w:marLeft w:val="0"/>
                  <w:marRight w:val="0"/>
                  <w:marTop w:val="0"/>
                  <w:marBottom w:val="0"/>
                  <w:divBdr>
                    <w:top w:val="none" w:sz="0" w:space="0" w:color="auto"/>
                    <w:left w:val="none" w:sz="0" w:space="0" w:color="auto"/>
                    <w:bottom w:val="none" w:sz="0" w:space="0" w:color="auto"/>
                    <w:right w:val="none" w:sz="0" w:space="0" w:color="auto"/>
                  </w:divBdr>
                  <w:divsChild>
                    <w:div w:id="139670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417064">
      <w:bodyDiv w:val="1"/>
      <w:marLeft w:val="0"/>
      <w:marRight w:val="0"/>
      <w:marTop w:val="0"/>
      <w:marBottom w:val="0"/>
      <w:divBdr>
        <w:top w:val="none" w:sz="0" w:space="0" w:color="auto"/>
        <w:left w:val="none" w:sz="0" w:space="0" w:color="auto"/>
        <w:bottom w:val="none" w:sz="0" w:space="0" w:color="auto"/>
        <w:right w:val="none" w:sz="0" w:space="0" w:color="auto"/>
      </w:divBdr>
    </w:div>
    <w:div w:id="1388533452">
      <w:bodyDiv w:val="1"/>
      <w:marLeft w:val="0"/>
      <w:marRight w:val="0"/>
      <w:marTop w:val="0"/>
      <w:marBottom w:val="0"/>
      <w:divBdr>
        <w:top w:val="none" w:sz="0" w:space="0" w:color="auto"/>
        <w:left w:val="none" w:sz="0" w:space="0" w:color="auto"/>
        <w:bottom w:val="none" w:sz="0" w:space="0" w:color="auto"/>
        <w:right w:val="none" w:sz="0" w:space="0" w:color="auto"/>
      </w:divBdr>
    </w:div>
    <w:div w:id="1388603108">
      <w:bodyDiv w:val="1"/>
      <w:marLeft w:val="0"/>
      <w:marRight w:val="0"/>
      <w:marTop w:val="0"/>
      <w:marBottom w:val="0"/>
      <w:divBdr>
        <w:top w:val="none" w:sz="0" w:space="0" w:color="auto"/>
        <w:left w:val="none" w:sz="0" w:space="0" w:color="auto"/>
        <w:bottom w:val="none" w:sz="0" w:space="0" w:color="auto"/>
        <w:right w:val="none" w:sz="0" w:space="0" w:color="auto"/>
      </w:divBdr>
    </w:div>
    <w:div w:id="1389063504">
      <w:bodyDiv w:val="1"/>
      <w:marLeft w:val="0"/>
      <w:marRight w:val="0"/>
      <w:marTop w:val="0"/>
      <w:marBottom w:val="0"/>
      <w:divBdr>
        <w:top w:val="none" w:sz="0" w:space="0" w:color="auto"/>
        <w:left w:val="none" w:sz="0" w:space="0" w:color="auto"/>
        <w:bottom w:val="none" w:sz="0" w:space="0" w:color="auto"/>
        <w:right w:val="none" w:sz="0" w:space="0" w:color="auto"/>
      </w:divBdr>
    </w:div>
    <w:div w:id="1389187952">
      <w:bodyDiv w:val="1"/>
      <w:marLeft w:val="0"/>
      <w:marRight w:val="0"/>
      <w:marTop w:val="0"/>
      <w:marBottom w:val="0"/>
      <w:divBdr>
        <w:top w:val="none" w:sz="0" w:space="0" w:color="auto"/>
        <w:left w:val="none" w:sz="0" w:space="0" w:color="auto"/>
        <w:bottom w:val="none" w:sz="0" w:space="0" w:color="auto"/>
        <w:right w:val="none" w:sz="0" w:space="0" w:color="auto"/>
      </w:divBdr>
    </w:div>
    <w:div w:id="1390306956">
      <w:bodyDiv w:val="1"/>
      <w:marLeft w:val="0"/>
      <w:marRight w:val="0"/>
      <w:marTop w:val="0"/>
      <w:marBottom w:val="0"/>
      <w:divBdr>
        <w:top w:val="none" w:sz="0" w:space="0" w:color="auto"/>
        <w:left w:val="none" w:sz="0" w:space="0" w:color="auto"/>
        <w:bottom w:val="none" w:sz="0" w:space="0" w:color="auto"/>
        <w:right w:val="none" w:sz="0" w:space="0" w:color="auto"/>
      </w:divBdr>
    </w:div>
    <w:div w:id="1390425232">
      <w:bodyDiv w:val="1"/>
      <w:marLeft w:val="0"/>
      <w:marRight w:val="0"/>
      <w:marTop w:val="0"/>
      <w:marBottom w:val="0"/>
      <w:divBdr>
        <w:top w:val="none" w:sz="0" w:space="0" w:color="auto"/>
        <w:left w:val="none" w:sz="0" w:space="0" w:color="auto"/>
        <w:bottom w:val="none" w:sz="0" w:space="0" w:color="auto"/>
        <w:right w:val="none" w:sz="0" w:space="0" w:color="auto"/>
      </w:divBdr>
      <w:divsChild>
        <w:div w:id="1049577352">
          <w:marLeft w:val="0"/>
          <w:marRight w:val="0"/>
          <w:marTop w:val="0"/>
          <w:marBottom w:val="0"/>
          <w:divBdr>
            <w:top w:val="none" w:sz="0" w:space="0" w:color="auto"/>
            <w:left w:val="none" w:sz="0" w:space="0" w:color="auto"/>
            <w:bottom w:val="none" w:sz="0" w:space="0" w:color="auto"/>
            <w:right w:val="none" w:sz="0" w:space="0" w:color="auto"/>
          </w:divBdr>
          <w:divsChild>
            <w:div w:id="1184323892">
              <w:marLeft w:val="0"/>
              <w:marRight w:val="0"/>
              <w:marTop w:val="0"/>
              <w:marBottom w:val="0"/>
              <w:divBdr>
                <w:top w:val="none" w:sz="0" w:space="0" w:color="auto"/>
                <w:left w:val="none" w:sz="0" w:space="0" w:color="auto"/>
                <w:bottom w:val="none" w:sz="0" w:space="0" w:color="auto"/>
                <w:right w:val="none" w:sz="0" w:space="0" w:color="auto"/>
              </w:divBdr>
              <w:divsChild>
                <w:div w:id="256911047">
                  <w:marLeft w:val="0"/>
                  <w:marRight w:val="0"/>
                  <w:marTop w:val="0"/>
                  <w:marBottom w:val="0"/>
                  <w:divBdr>
                    <w:top w:val="none" w:sz="0" w:space="0" w:color="auto"/>
                    <w:left w:val="none" w:sz="0" w:space="0" w:color="auto"/>
                    <w:bottom w:val="none" w:sz="0" w:space="0" w:color="auto"/>
                    <w:right w:val="none" w:sz="0" w:space="0" w:color="auto"/>
                  </w:divBdr>
                  <w:divsChild>
                    <w:div w:id="179478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689147">
      <w:bodyDiv w:val="1"/>
      <w:marLeft w:val="0"/>
      <w:marRight w:val="0"/>
      <w:marTop w:val="0"/>
      <w:marBottom w:val="0"/>
      <w:divBdr>
        <w:top w:val="none" w:sz="0" w:space="0" w:color="auto"/>
        <w:left w:val="none" w:sz="0" w:space="0" w:color="auto"/>
        <w:bottom w:val="none" w:sz="0" w:space="0" w:color="auto"/>
        <w:right w:val="none" w:sz="0" w:space="0" w:color="auto"/>
      </w:divBdr>
    </w:div>
    <w:div w:id="1392076786">
      <w:bodyDiv w:val="1"/>
      <w:marLeft w:val="0"/>
      <w:marRight w:val="0"/>
      <w:marTop w:val="0"/>
      <w:marBottom w:val="0"/>
      <w:divBdr>
        <w:top w:val="none" w:sz="0" w:space="0" w:color="auto"/>
        <w:left w:val="none" w:sz="0" w:space="0" w:color="auto"/>
        <w:bottom w:val="none" w:sz="0" w:space="0" w:color="auto"/>
        <w:right w:val="none" w:sz="0" w:space="0" w:color="auto"/>
      </w:divBdr>
    </w:div>
    <w:div w:id="1392390076">
      <w:bodyDiv w:val="1"/>
      <w:marLeft w:val="0"/>
      <w:marRight w:val="0"/>
      <w:marTop w:val="0"/>
      <w:marBottom w:val="0"/>
      <w:divBdr>
        <w:top w:val="none" w:sz="0" w:space="0" w:color="auto"/>
        <w:left w:val="none" w:sz="0" w:space="0" w:color="auto"/>
        <w:bottom w:val="none" w:sz="0" w:space="0" w:color="auto"/>
        <w:right w:val="none" w:sz="0" w:space="0" w:color="auto"/>
      </w:divBdr>
    </w:div>
    <w:div w:id="1392848691">
      <w:bodyDiv w:val="1"/>
      <w:marLeft w:val="0"/>
      <w:marRight w:val="0"/>
      <w:marTop w:val="0"/>
      <w:marBottom w:val="0"/>
      <w:divBdr>
        <w:top w:val="none" w:sz="0" w:space="0" w:color="auto"/>
        <w:left w:val="none" w:sz="0" w:space="0" w:color="auto"/>
        <w:bottom w:val="none" w:sz="0" w:space="0" w:color="auto"/>
        <w:right w:val="none" w:sz="0" w:space="0" w:color="auto"/>
      </w:divBdr>
    </w:div>
    <w:div w:id="1393234706">
      <w:bodyDiv w:val="1"/>
      <w:marLeft w:val="0"/>
      <w:marRight w:val="0"/>
      <w:marTop w:val="0"/>
      <w:marBottom w:val="0"/>
      <w:divBdr>
        <w:top w:val="none" w:sz="0" w:space="0" w:color="auto"/>
        <w:left w:val="none" w:sz="0" w:space="0" w:color="auto"/>
        <w:bottom w:val="none" w:sz="0" w:space="0" w:color="auto"/>
        <w:right w:val="none" w:sz="0" w:space="0" w:color="auto"/>
      </w:divBdr>
    </w:div>
    <w:div w:id="1393965872">
      <w:bodyDiv w:val="1"/>
      <w:marLeft w:val="0"/>
      <w:marRight w:val="0"/>
      <w:marTop w:val="0"/>
      <w:marBottom w:val="0"/>
      <w:divBdr>
        <w:top w:val="none" w:sz="0" w:space="0" w:color="auto"/>
        <w:left w:val="none" w:sz="0" w:space="0" w:color="auto"/>
        <w:bottom w:val="none" w:sz="0" w:space="0" w:color="auto"/>
        <w:right w:val="none" w:sz="0" w:space="0" w:color="auto"/>
      </w:divBdr>
    </w:div>
    <w:div w:id="1394309282">
      <w:bodyDiv w:val="1"/>
      <w:marLeft w:val="0"/>
      <w:marRight w:val="0"/>
      <w:marTop w:val="0"/>
      <w:marBottom w:val="0"/>
      <w:divBdr>
        <w:top w:val="none" w:sz="0" w:space="0" w:color="auto"/>
        <w:left w:val="none" w:sz="0" w:space="0" w:color="auto"/>
        <w:bottom w:val="none" w:sz="0" w:space="0" w:color="auto"/>
        <w:right w:val="none" w:sz="0" w:space="0" w:color="auto"/>
      </w:divBdr>
    </w:div>
    <w:div w:id="1394506433">
      <w:bodyDiv w:val="1"/>
      <w:marLeft w:val="0"/>
      <w:marRight w:val="0"/>
      <w:marTop w:val="0"/>
      <w:marBottom w:val="0"/>
      <w:divBdr>
        <w:top w:val="none" w:sz="0" w:space="0" w:color="auto"/>
        <w:left w:val="none" w:sz="0" w:space="0" w:color="auto"/>
        <w:bottom w:val="none" w:sz="0" w:space="0" w:color="auto"/>
        <w:right w:val="none" w:sz="0" w:space="0" w:color="auto"/>
      </w:divBdr>
      <w:divsChild>
        <w:div w:id="41372739">
          <w:marLeft w:val="0"/>
          <w:marRight w:val="0"/>
          <w:marTop w:val="0"/>
          <w:marBottom w:val="0"/>
          <w:divBdr>
            <w:top w:val="none" w:sz="0" w:space="0" w:color="auto"/>
            <w:left w:val="none" w:sz="0" w:space="0" w:color="auto"/>
            <w:bottom w:val="none" w:sz="0" w:space="0" w:color="auto"/>
            <w:right w:val="none" w:sz="0" w:space="0" w:color="auto"/>
          </w:divBdr>
          <w:divsChild>
            <w:div w:id="2124692087">
              <w:marLeft w:val="0"/>
              <w:marRight w:val="0"/>
              <w:marTop w:val="0"/>
              <w:marBottom w:val="0"/>
              <w:divBdr>
                <w:top w:val="none" w:sz="0" w:space="0" w:color="auto"/>
                <w:left w:val="none" w:sz="0" w:space="0" w:color="auto"/>
                <w:bottom w:val="none" w:sz="0" w:space="0" w:color="auto"/>
                <w:right w:val="none" w:sz="0" w:space="0" w:color="auto"/>
              </w:divBdr>
              <w:divsChild>
                <w:div w:id="1699357862">
                  <w:marLeft w:val="0"/>
                  <w:marRight w:val="0"/>
                  <w:marTop w:val="0"/>
                  <w:marBottom w:val="0"/>
                  <w:divBdr>
                    <w:top w:val="none" w:sz="0" w:space="0" w:color="auto"/>
                    <w:left w:val="none" w:sz="0" w:space="0" w:color="auto"/>
                    <w:bottom w:val="none" w:sz="0" w:space="0" w:color="auto"/>
                    <w:right w:val="none" w:sz="0" w:space="0" w:color="auto"/>
                  </w:divBdr>
                  <w:divsChild>
                    <w:div w:id="12177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963014">
      <w:bodyDiv w:val="1"/>
      <w:marLeft w:val="0"/>
      <w:marRight w:val="0"/>
      <w:marTop w:val="0"/>
      <w:marBottom w:val="0"/>
      <w:divBdr>
        <w:top w:val="none" w:sz="0" w:space="0" w:color="auto"/>
        <w:left w:val="none" w:sz="0" w:space="0" w:color="auto"/>
        <w:bottom w:val="none" w:sz="0" w:space="0" w:color="auto"/>
        <w:right w:val="none" w:sz="0" w:space="0" w:color="auto"/>
      </w:divBdr>
      <w:divsChild>
        <w:div w:id="401220139">
          <w:marLeft w:val="0"/>
          <w:marRight w:val="0"/>
          <w:marTop w:val="0"/>
          <w:marBottom w:val="0"/>
          <w:divBdr>
            <w:top w:val="none" w:sz="0" w:space="0" w:color="auto"/>
            <w:left w:val="none" w:sz="0" w:space="0" w:color="auto"/>
            <w:bottom w:val="none" w:sz="0" w:space="0" w:color="auto"/>
            <w:right w:val="none" w:sz="0" w:space="0" w:color="auto"/>
          </w:divBdr>
          <w:divsChild>
            <w:div w:id="1599100351">
              <w:marLeft w:val="0"/>
              <w:marRight w:val="0"/>
              <w:marTop w:val="0"/>
              <w:marBottom w:val="0"/>
              <w:divBdr>
                <w:top w:val="none" w:sz="0" w:space="0" w:color="auto"/>
                <w:left w:val="none" w:sz="0" w:space="0" w:color="auto"/>
                <w:bottom w:val="none" w:sz="0" w:space="0" w:color="auto"/>
                <w:right w:val="none" w:sz="0" w:space="0" w:color="auto"/>
              </w:divBdr>
              <w:divsChild>
                <w:div w:id="1604144803">
                  <w:marLeft w:val="0"/>
                  <w:marRight w:val="0"/>
                  <w:marTop w:val="0"/>
                  <w:marBottom w:val="0"/>
                  <w:divBdr>
                    <w:top w:val="none" w:sz="0" w:space="0" w:color="auto"/>
                    <w:left w:val="none" w:sz="0" w:space="0" w:color="auto"/>
                    <w:bottom w:val="none" w:sz="0" w:space="0" w:color="auto"/>
                    <w:right w:val="none" w:sz="0" w:space="0" w:color="auto"/>
                  </w:divBdr>
                  <w:divsChild>
                    <w:div w:id="194741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739607">
      <w:bodyDiv w:val="1"/>
      <w:marLeft w:val="0"/>
      <w:marRight w:val="0"/>
      <w:marTop w:val="0"/>
      <w:marBottom w:val="0"/>
      <w:divBdr>
        <w:top w:val="none" w:sz="0" w:space="0" w:color="auto"/>
        <w:left w:val="none" w:sz="0" w:space="0" w:color="auto"/>
        <w:bottom w:val="none" w:sz="0" w:space="0" w:color="auto"/>
        <w:right w:val="none" w:sz="0" w:space="0" w:color="auto"/>
      </w:divBdr>
    </w:div>
    <w:div w:id="1396977965">
      <w:bodyDiv w:val="1"/>
      <w:marLeft w:val="0"/>
      <w:marRight w:val="0"/>
      <w:marTop w:val="0"/>
      <w:marBottom w:val="0"/>
      <w:divBdr>
        <w:top w:val="none" w:sz="0" w:space="0" w:color="auto"/>
        <w:left w:val="none" w:sz="0" w:space="0" w:color="auto"/>
        <w:bottom w:val="none" w:sz="0" w:space="0" w:color="auto"/>
        <w:right w:val="none" w:sz="0" w:space="0" w:color="auto"/>
      </w:divBdr>
    </w:div>
    <w:div w:id="1397626764">
      <w:bodyDiv w:val="1"/>
      <w:marLeft w:val="0"/>
      <w:marRight w:val="0"/>
      <w:marTop w:val="0"/>
      <w:marBottom w:val="0"/>
      <w:divBdr>
        <w:top w:val="none" w:sz="0" w:space="0" w:color="auto"/>
        <w:left w:val="none" w:sz="0" w:space="0" w:color="auto"/>
        <w:bottom w:val="none" w:sz="0" w:space="0" w:color="auto"/>
        <w:right w:val="none" w:sz="0" w:space="0" w:color="auto"/>
      </w:divBdr>
    </w:div>
    <w:div w:id="1398166320">
      <w:bodyDiv w:val="1"/>
      <w:marLeft w:val="0"/>
      <w:marRight w:val="0"/>
      <w:marTop w:val="0"/>
      <w:marBottom w:val="0"/>
      <w:divBdr>
        <w:top w:val="none" w:sz="0" w:space="0" w:color="auto"/>
        <w:left w:val="none" w:sz="0" w:space="0" w:color="auto"/>
        <w:bottom w:val="none" w:sz="0" w:space="0" w:color="auto"/>
        <w:right w:val="none" w:sz="0" w:space="0" w:color="auto"/>
      </w:divBdr>
      <w:divsChild>
        <w:div w:id="613750491">
          <w:marLeft w:val="0"/>
          <w:marRight w:val="0"/>
          <w:marTop w:val="0"/>
          <w:marBottom w:val="0"/>
          <w:divBdr>
            <w:top w:val="none" w:sz="0" w:space="0" w:color="auto"/>
            <w:left w:val="none" w:sz="0" w:space="0" w:color="auto"/>
            <w:bottom w:val="none" w:sz="0" w:space="0" w:color="auto"/>
            <w:right w:val="none" w:sz="0" w:space="0" w:color="auto"/>
          </w:divBdr>
          <w:divsChild>
            <w:div w:id="1338844287">
              <w:marLeft w:val="0"/>
              <w:marRight w:val="0"/>
              <w:marTop w:val="0"/>
              <w:marBottom w:val="0"/>
              <w:divBdr>
                <w:top w:val="none" w:sz="0" w:space="0" w:color="auto"/>
                <w:left w:val="none" w:sz="0" w:space="0" w:color="auto"/>
                <w:bottom w:val="none" w:sz="0" w:space="0" w:color="auto"/>
                <w:right w:val="none" w:sz="0" w:space="0" w:color="auto"/>
              </w:divBdr>
              <w:divsChild>
                <w:div w:id="559175054">
                  <w:marLeft w:val="0"/>
                  <w:marRight w:val="0"/>
                  <w:marTop w:val="0"/>
                  <w:marBottom w:val="0"/>
                  <w:divBdr>
                    <w:top w:val="none" w:sz="0" w:space="0" w:color="auto"/>
                    <w:left w:val="none" w:sz="0" w:space="0" w:color="auto"/>
                    <w:bottom w:val="none" w:sz="0" w:space="0" w:color="auto"/>
                    <w:right w:val="none" w:sz="0" w:space="0" w:color="auto"/>
                  </w:divBdr>
                  <w:divsChild>
                    <w:div w:id="197613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431358">
      <w:bodyDiv w:val="1"/>
      <w:marLeft w:val="0"/>
      <w:marRight w:val="0"/>
      <w:marTop w:val="0"/>
      <w:marBottom w:val="0"/>
      <w:divBdr>
        <w:top w:val="none" w:sz="0" w:space="0" w:color="auto"/>
        <w:left w:val="none" w:sz="0" w:space="0" w:color="auto"/>
        <w:bottom w:val="none" w:sz="0" w:space="0" w:color="auto"/>
        <w:right w:val="none" w:sz="0" w:space="0" w:color="auto"/>
      </w:divBdr>
    </w:div>
    <w:div w:id="1398479558">
      <w:bodyDiv w:val="1"/>
      <w:marLeft w:val="0"/>
      <w:marRight w:val="0"/>
      <w:marTop w:val="0"/>
      <w:marBottom w:val="0"/>
      <w:divBdr>
        <w:top w:val="none" w:sz="0" w:space="0" w:color="auto"/>
        <w:left w:val="none" w:sz="0" w:space="0" w:color="auto"/>
        <w:bottom w:val="none" w:sz="0" w:space="0" w:color="auto"/>
        <w:right w:val="none" w:sz="0" w:space="0" w:color="auto"/>
      </w:divBdr>
    </w:div>
    <w:div w:id="1399160292">
      <w:bodyDiv w:val="1"/>
      <w:marLeft w:val="0"/>
      <w:marRight w:val="0"/>
      <w:marTop w:val="0"/>
      <w:marBottom w:val="0"/>
      <w:divBdr>
        <w:top w:val="none" w:sz="0" w:space="0" w:color="auto"/>
        <w:left w:val="none" w:sz="0" w:space="0" w:color="auto"/>
        <w:bottom w:val="none" w:sz="0" w:space="0" w:color="auto"/>
        <w:right w:val="none" w:sz="0" w:space="0" w:color="auto"/>
      </w:divBdr>
    </w:div>
    <w:div w:id="1400978686">
      <w:bodyDiv w:val="1"/>
      <w:marLeft w:val="0"/>
      <w:marRight w:val="0"/>
      <w:marTop w:val="0"/>
      <w:marBottom w:val="0"/>
      <w:divBdr>
        <w:top w:val="none" w:sz="0" w:space="0" w:color="auto"/>
        <w:left w:val="none" w:sz="0" w:space="0" w:color="auto"/>
        <w:bottom w:val="none" w:sz="0" w:space="0" w:color="auto"/>
        <w:right w:val="none" w:sz="0" w:space="0" w:color="auto"/>
      </w:divBdr>
    </w:div>
    <w:div w:id="1402486438">
      <w:bodyDiv w:val="1"/>
      <w:marLeft w:val="0"/>
      <w:marRight w:val="0"/>
      <w:marTop w:val="0"/>
      <w:marBottom w:val="0"/>
      <w:divBdr>
        <w:top w:val="none" w:sz="0" w:space="0" w:color="auto"/>
        <w:left w:val="none" w:sz="0" w:space="0" w:color="auto"/>
        <w:bottom w:val="none" w:sz="0" w:space="0" w:color="auto"/>
        <w:right w:val="none" w:sz="0" w:space="0" w:color="auto"/>
      </w:divBdr>
    </w:div>
    <w:div w:id="1402825919">
      <w:bodyDiv w:val="1"/>
      <w:marLeft w:val="0"/>
      <w:marRight w:val="0"/>
      <w:marTop w:val="0"/>
      <w:marBottom w:val="0"/>
      <w:divBdr>
        <w:top w:val="none" w:sz="0" w:space="0" w:color="auto"/>
        <w:left w:val="none" w:sz="0" w:space="0" w:color="auto"/>
        <w:bottom w:val="none" w:sz="0" w:space="0" w:color="auto"/>
        <w:right w:val="none" w:sz="0" w:space="0" w:color="auto"/>
      </w:divBdr>
    </w:div>
    <w:div w:id="1402868462">
      <w:bodyDiv w:val="1"/>
      <w:marLeft w:val="0"/>
      <w:marRight w:val="0"/>
      <w:marTop w:val="0"/>
      <w:marBottom w:val="0"/>
      <w:divBdr>
        <w:top w:val="none" w:sz="0" w:space="0" w:color="auto"/>
        <w:left w:val="none" w:sz="0" w:space="0" w:color="auto"/>
        <w:bottom w:val="none" w:sz="0" w:space="0" w:color="auto"/>
        <w:right w:val="none" w:sz="0" w:space="0" w:color="auto"/>
      </w:divBdr>
    </w:div>
    <w:div w:id="1404645613">
      <w:bodyDiv w:val="1"/>
      <w:marLeft w:val="0"/>
      <w:marRight w:val="0"/>
      <w:marTop w:val="0"/>
      <w:marBottom w:val="0"/>
      <w:divBdr>
        <w:top w:val="none" w:sz="0" w:space="0" w:color="auto"/>
        <w:left w:val="none" w:sz="0" w:space="0" w:color="auto"/>
        <w:bottom w:val="none" w:sz="0" w:space="0" w:color="auto"/>
        <w:right w:val="none" w:sz="0" w:space="0" w:color="auto"/>
      </w:divBdr>
    </w:div>
    <w:div w:id="1404715618">
      <w:bodyDiv w:val="1"/>
      <w:marLeft w:val="0"/>
      <w:marRight w:val="0"/>
      <w:marTop w:val="0"/>
      <w:marBottom w:val="0"/>
      <w:divBdr>
        <w:top w:val="none" w:sz="0" w:space="0" w:color="auto"/>
        <w:left w:val="none" w:sz="0" w:space="0" w:color="auto"/>
        <w:bottom w:val="none" w:sz="0" w:space="0" w:color="auto"/>
        <w:right w:val="none" w:sz="0" w:space="0" w:color="auto"/>
      </w:divBdr>
    </w:div>
    <w:div w:id="1404790811">
      <w:bodyDiv w:val="1"/>
      <w:marLeft w:val="0"/>
      <w:marRight w:val="0"/>
      <w:marTop w:val="0"/>
      <w:marBottom w:val="0"/>
      <w:divBdr>
        <w:top w:val="none" w:sz="0" w:space="0" w:color="auto"/>
        <w:left w:val="none" w:sz="0" w:space="0" w:color="auto"/>
        <w:bottom w:val="none" w:sz="0" w:space="0" w:color="auto"/>
        <w:right w:val="none" w:sz="0" w:space="0" w:color="auto"/>
      </w:divBdr>
    </w:div>
    <w:div w:id="1404986659">
      <w:bodyDiv w:val="1"/>
      <w:marLeft w:val="0"/>
      <w:marRight w:val="0"/>
      <w:marTop w:val="0"/>
      <w:marBottom w:val="0"/>
      <w:divBdr>
        <w:top w:val="none" w:sz="0" w:space="0" w:color="auto"/>
        <w:left w:val="none" w:sz="0" w:space="0" w:color="auto"/>
        <w:bottom w:val="none" w:sz="0" w:space="0" w:color="auto"/>
        <w:right w:val="none" w:sz="0" w:space="0" w:color="auto"/>
      </w:divBdr>
    </w:div>
    <w:div w:id="1405301818">
      <w:bodyDiv w:val="1"/>
      <w:marLeft w:val="0"/>
      <w:marRight w:val="0"/>
      <w:marTop w:val="0"/>
      <w:marBottom w:val="0"/>
      <w:divBdr>
        <w:top w:val="none" w:sz="0" w:space="0" w:color="auto"/>
        <w:left w:val="none" w:sz="0" w:space="0" w:color="auto"/>
        <w:bottom w:val="none" w:sz="0" w:space="0" w:color="auto"/>
        <w:right w:val="none" w:sz="0" w:space="0" w:color="auto"/>
      </w:divBdr>
    </w:div>
    <w:div w:id="1407610040">
      <w:bodyDiv w:val="1"/>
      <w:marLeft w:val="0"/>
      <w:marRight w:val="0"/>
      <w:marTop w:val="0"/>
      <w:marBottom w:val="0"/>
      <w:divBdr>
        <w:top w:val="none" w:sz="0" w:space="0" w:color="auto"/>
        <w:left w:val="none" w:sz="0" w:space="0" w:color="auto"/>
        <w:bottom w:val="none" w:sz="0" w:space="0" w:color="auto"/>
        <w:right w:val="none" w:sz="0" w:space="0" w:color="auto"/>
      </w:divBdr>
    </w:div>
    <w:div w:id="1407922831">
      <w:bodyDiv w:val="1"/>
      <w:marLeft w:val="0"/>
      <w:marRight w:val="0"/>
      <w:marTop w:val="0"/>
      <w:marBottom w:val="0"/>
      <w:divBdr>
        <w:top w:val="none" w:sz="0" w:space="0" w:color="auto"/>
        <w:left w:val="none" w:sz="0" w:space="0" w:color="auto"/>
        <w:bottom w:val="none" w:sz="0" w:space="0" w:color="auto"/>
        <w:right w:val="none" w:sz="0" w:space="0" w:color="auto"/>
      </w:divBdr>
    </w:div>
    <w:div w:id="1408527706">
      <w:bodyDiv w:val="1"/>
      <w:marLeft w:val="0"/>
      <w:marRight w:val="0"/>
      <w:marTop w:val="0"/>
      <w:marBottom w:val="0"/>
      <w:divBdr>
        <w:top w:val="none" w:sz="0" w:space="0" w:color="auto"/>
        <w:left w:val="none" w:sz="0" w:space="0" w:color="auto"/>
        <w:bottom w:val="none" w:sz="0" w:space="0" w:color="auto"/>
        <w:right w:val="none" w:sz="0" w:space="0" w:color="auto"/>
      </w:divBdr>
    </w:div>
    <w:div w:id="1408574280">
      <w:bodyDiv w:val="1"/>
      <w:marLeft w:val="0"/>
      <w:marRight w:val="0"/>
      <w:marTop w:val="0"/>
      <w:marBottom w:val="0"/>
      <w:divBdr>
        <w:top w:val="none" w:sz="0" w:space="0" w:color="auto"/>
        <w:left w:val="none" w:sz="0" w:space="0" w:color="auto"/>
        <w:bottom w:val="none" w:sz="0" w:space="0" w:color="auto"/>
        <w:right w:val="none" w:sz="0" w:space="0" w:color="auto"/>
      </w:divBdr>
    </w:div>
    <w:div w:id="1409619299">
      <w:bodyDiv w:val="1"/>
      <w:marLeft w:val="0"/>
      <w:marRight w:val="0"/>
      <w:marTop w:val="0"/>
      <w:marBottom w:val="0"/>
      <w:divBdr>
        <w:top w:val="none" w:sz="0" w:space="0" w:color="auto"/>
        <w:left w:val="none" w:sz="0" w:space="0" w:color="auto"/>
        <w:bottom w:val="none" w:sz="0" w:space="0" w:color="auto"/>
        <w:right w:val="none" w:sz="0" w:space="0" w:color="auto"/>
      </w:divBdr>
    </w:div>
    <w:div w:id="1409694666">
      <w:bodyDiv w:val="1"/>
      <w:marLeft w:val="0"/>
      <w:marRight w:val="0"/>
      <w:marTop w:val="0"/>
      <w:marBottom w:val="0"/>
      <w:divBdr>
        <w:top w:val="none" w:sz="0" w:space="0" w:color="auto"/>
        <w:left w:val="none" w:sz="0" w:space="0" w:color="auto"/>
        <w:bottom w:val="none" w:sz="0" w:space="0" w:color="auto"/>
        <w:right w:val="none" w:sz="0" w:space="0" w:color="auto"/>
      </w:divBdr>
    </w:div>
    <w:div w:id="1409813522">
      <w:bodyDiv w:val="1"/>
      <w:marLeft w:val="0"/>
      <w:marRight w:val="0"/>
      <w:marTop w:val="0"/>
      <w:marBottom w:val="0"/>
      <w:divBdr>
        <w:top w:val="none" w:sz="0" w:space="0" w:color="auto"/>
        <w:left w:val="none" w:sz="0" w:space="0" w:color="auto"/>
        <w:bottom w:val="none" w:sz="0" w:space="0" w:color="auto"/>
        <w:right w:val="none" w:sz="0" w:space="0" w:color="auto"/>
      </w:divBdr>
    </w:div>
    <w:div w:id="1409882241">
      <w:bodyDiv w:val="1"/>
      <w:marLeft w:val="0"/>
      <w:marRight w:val="0"/>
      <w:marTop w:val="0"/>
      <w:marBottom w:val="0"/>
      <w:divBdr>
        <w:top w:val="none" w:sz="0" w:space="0" w:color="auto"/>
        <w:left w:val="none" w:sz="0" w:space="0" w:color="auto"/>
        <w:bottom w:val="none" w:sz="0" w:space="0" w:color="auto"/>
        <w:right w:val="none" w:sz="0" w:space="0" w:color="auto"/>
      </w:divBdr>
    </w:div>
    <w:div w:id="1409882615">
      <w:bodyDiv w:val="1"/>
      <w:marLeft w:val="0"/>
      <w:marRight w:val="0"/>
      <w:marTop w:val="0"/>
      <w:marBottom w:val="0"/>
      <w:divBdr>
        <w:top w:val="none" w:sz="0" w:space="0" w:color="auto"/>
        <w:left w:val="none" w:sz="0" w:space="0" w:color="auto"/>
        <w:bottom w:val="none" w:sz="0" w:space="0" w:color="auto"/>
        <w:right w:val="none" w:sz="0" w:space="0" w:color="auto"/>
      </w:divBdr>
    </w:div>
    <w:div w:id="1410927262">
      <w:bodyDiv w:val="1"/>
      <w:marLeft w:val="0"/>
      <w:marRight w:val="0"/>
      <w:marTop w:val="0"/>
      <w:marBottom w:val="0"/>
      <w:divBdr>
        <w:top w:val="none" w:sz="0" w:space="0" w:color="auto"/>
        <w:left w:val="none" w:sz="0" w:space="0" w:color="auto"/>
        <w:bottom w:val="none" w:sz="0" w:space="0" w:color="auto"/>
        <w:right w:val="none" w:sz="0" w:space="0" w:color="auto"/>
      </w:divBdr>
    </w:div>
    <w:div w:id="1411391507">
      <w:bodyDiv w:val="1"/>
      <w:marLeft w:val="0"/>
      <w:marRight w:val="0"/>
      <w:marTop w:val="0"/>
      <w:marBottom w:val="0"/>
      <w:divBdr>
        <w:top w:val="none" w:sz="0" w:space="0" w:color="auto"/>
        <w:left w:val="none" w:sz="0" w:space="0" w:color="auto"/>
        <w:bottom w:val="none" w:sz="0" w:space="0" w:color="auto"/>
        <w:right w:val="none" w:sz="0" w:space="0" w:color="auto"/>
      </w:divBdr>
      <w:divsChild>
        <w:div w:id="1421635460">
          <w:marLeft w:val="0"/>
          <w:marRight w:val="0"/>
          <w:marTop w:val="0"/>
          <w:marBottom w:val="0"/>
          <w:divBdr>
            <w:top w:val="none" w:sz="0" w:space="0" w:color="auto"/>
            <w:left w:val="none" w:sz="0" w:space="0" w:color="auto"/>
            <w:bottom w:val="none" w:sz="0" w:space="0" w:color="auto"/>
            <w:right w:val="none" w:sz="0" w:space="0" w:color="auto"/>
          </w:divBdr>
          <w:divsChild>
            <w:div w:id="1447235747">
              <w:marLeft w:val="0"/>
              <w:marRight w:val="0"/>
              <w:marTop w:val="0"/>
              <w:marBottom w:val="0"/>
              <w:divBdr>
                <w:top w:val="none" w:sz="0" w:space="0" w:color="auto"/>
                <w:left w:val="none" w:sz="0" w:space="0" w:color="auto"/>
                <w:bottom w:val="none" w:sz="0" w:space="0" w:color="auto"/>
                <w:right w:val="none" w:sz="0" w:space="0" w:color="auto"/>
              </w:divBdr>
              <w:divsChild>
                <w:div w:id="1356807431">
                  <w:marLeft w:val="0"/>
                  <w:marRight w:val="0"/>
                  <w:marTop w:val="0"/>
                  <w:marBottom w:val="0"/>
                  <w:divBdr>
                    <w:top w:val="none" w:sz="0" w:space="0" w:color="auto"/>
                    <w:left w:val="none" w:sz="0" w:space="0" w:color="auto"/>
                    <w:bottom w:val="none" w:sz="0" w:space="0" w:color="auto"/>
                    <w:right w:val="none" w:sz="0" w:space="0" w:color="auto"/>
                  </w:divBdr>
                  <w:divsChild>
                    <w:div w:id="2109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116506">
      <w:bodyDiv w:val="1"/>
      <w:marLeft w:val="0"/>
      <w:marRight w:val="0"/>
      <w:marTop w:val="0"/>
      <w:marBottom w:val="0"/>
      <w:divBdr>
        <w:top w:val="none" w:sz="0" w:space="0" w:color="auto"/>
        <w:left w:val="none" w:sz="0" w:space="0" w:color="auto"/>
        <w:bottom w:val="none" w:sz="0" w:space="0" w:color="auto"/>
        <w:right w:val="none" w:sz="0" w:space="0" w:color="auto"/>
      </w:divBdr>
    </w:div>
    <w:div w:id="1412120072">
      <w:bodyDiv w:val="1"/>
      <w:marLeft w:val="0"/>
      <w:marRight w:val="0"/>
      <w:marTop w:val="0"/>
      <w:marBottom w:val="0"/>
      <w:divBdr>
        <w:top w:val="none" w:sz="0" w:space="0" w:color="auto"/>
        <w:left w:val="none" w:sz="0" w:space="0" w:color="auto"/>
        <w:bottom w:val="none" w:sz="0" w:space="0" w:color="auto"/>
        <w:right w:val="none" w:sz="0" w:space="0" w:color="auto"/>
      </w:divBdr>
      <w:divsChild>
        <w:div w:id="1387794892">
          <w:marLeft w:val="0"/>
          <w:marRight w:val="0"/>
          <w:marTop w:val="0"/>
          <w:marBottom w:val="0"/>
          <w:divBdr>
            <w:top w:val="none" w:sz="0" w:space="0" w:color="auto"/>
            <w:left w:val="none" w:sz="0" w:space="0" w:color="auto"/>
            <w:bottom w:val="none" w:sz="0" w:space="0" w:color="auto"/>
            <w:right w:val="none" w:sz="0" w:space="0" w:color="auto"/>
          </w:divBdr>
          <w:divsChild>
            <w:div w:id="1863737723">
              <w:marLeft w:val="0"/>
              <w:marRight w:val="0"/>
              <w:marTop w:val="0"/>
              <w:marBottom w:val="0"/>
              <w:divBdr>
                <w:top w:val="none" w:sz="0" w:space="0" w:color="auto"/>
                <w:left w:val="none" w:sz="0" w:space="0" w:color="auto"/>
                <w:bottom w:val="none" w:sz="0" w:space="0" w:color="auto"/>
                <w:right w:val="none" w:sz="0" w:space="0" w:color="auto"/>
              </w:divBdr>
              <w:divsChild>
                <w:div w:id="6110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695661">
      <w:bodyDiv w:val="1"/>
      <w:marLeft w:val="0"/>
      <w:marRight w:val="0"/>
      <w:marTop w:val="0"/>
      <w:marBottom w:val="0"/>
      <w:divBdr>
        <w:top w:val="none" w:sz="0" w:space="0" w:color="auto"/>
        <w:left w:val="none" w:sz="0" w:space="0" w:color="auto"/>
        <w:bottom w:val="none" w:sz="0" w:space="0" w:color="auto"/>
        <w:right w:val="none" w:sz="0" w:space="0" w:color="auto"/>
      </w:divBdr>
    </w:div>
    <w:div w:id="1412777925">
      <w:bodyDiv w:val="1"/>
      <w:marLeft w:val="0"/>
      <w:marRight w:val="0"/>
      <w:marTop w:val="0"/>
      <w:marBottom w:val="0"/>
      <w:divBdr>
        <w:top w:val="none" w:sz="0" w:space="0" w:color="auto"/>
        <w:left w:val="none" w:sz="0" w:space="0" w:color="auto"/>
        <w:bottom w:val="none" w:sz="0" w:space="0" w:color="auto"/>
        <w:right w:val="none" w:sz="0" w:space="0" w:color="auto"/>
      </w:divBdr>
    </w:div>
    <w:div w:id="1415281087">
      <w:bodyDiv w:val="1"/>
      <w:marLeft w:val="0"/>
      <w:marRight w:val="0"/>
      <w:marTop w:val="0"/>
      <w:marBottom w:val="0"/>
      <w:divBdr>
        <w:top w:val="none" w:sz="0" w:space="0" w:color="auto"/>
        <w:left w:val="none" w:sz="0" w:space="0" w:color="auto"/>
        <w:bottom w:val="none" w:sz="0" w:space="0" w:color="auto"/>
        <w:right w:val="none" w:sz="0" w:space="0" w:color="auto"/>
      </w:divBdr>
      <w:divsChild>
        <w:div w:id="1337884590">
          <w:marLeft w:val="0"/>
          <w:marRight w:val="0"/>
          <w:marTop w:val="0"/>
          <w:marBottom w:val="0"/>
          <w:divBdr>
            <w:top w:val="none" w:sz="0" w:space="0" w:color="auto"/>
            <w:left w:val="none" w:sz="0" w:space="0" w:color="auto"/>
            <w:bottom w:val="none" w:sz="0" w:space="0" w:color="auto"/>
            <w:right w:val="none" w:sz="0" w:space="0" w:color="auto"/>
          </w:divBdr>
          <w:divsChild>
            <w:div w:id="94255610">
              <w:marLeft w:val="0"/>
              <w:marRight w:val="0"/>
              <w:marTop w:val="0"/>
              <w:marBottom w:val="0"/>
              <w:divBdr>
                <w:top w:val="none" w:sz="0" w:space="0" w:color="auto"/>
                <w:left w:val="none" w:sz="0" w:space="0" w:color="auto"/>
                <w:bottom w:val="none" w:sz="0" w:space="0" w:color="auto"/>
                <w:right w:val="none" w:sz="0" w:space="0" w:color="auto"/>
              </w:divBdr>
              <w:divsChild>
                <w:div w:id="1984235874">
                  <w:marLeft w:val="0"/>
                  <w:marRight w:val="0"/>
                  <w:marTop w:val="0"/>
                  <w:marBottom w:val="0"/>
                  <w:divBdr>
                    <w:top w:val="none" w:sz="0" w:space="0" w:color="auto"/>
                    <w:left w:val="none" w:sz="0" w:space="0" w:color="auto"/>
                    <w:bottom w:val="none" w:sz="0" w:space="0" w:color="auto"/>
                    <w:right w:val="none" w:sz="0" w:space="0" w:color="auto"/>
                  </w:divBdr>
                  <w:divsChild>
                    <w:div w:id="61270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317479">
      <w:bodyDiv w:val="1"/>
      <w:marLeft w:val="0"/>
      <w:marRight w:val="0"/>
      <w:marTop w:val="0"/>
      <w:marBottom w:val="0"/>
      <w:divBdr>
        <w:top w:val="none" w:sz="0" w:space="0" w:color="auto"/>
        <w:left w:val="none" w:sz="0" w:space="0" w:color="auto"/>
        <w:bottom w:val="none" w:sz="0" w:space="0" w:color="auto"/>
        <w:right w:val="none" w:sz="0" w:space="0" w:color="auto"/>
      </w:divBdr>
      <w:divsChild>
        <w:div w:id="743453001">
          <w:marLeft w:val="0"/>
          <w:marRight w:val="0"/>
          <w:marTop w:val="0"/>
          <w:marBottom w:val="0"/>
          <w:divBdr>
            <w:top w:val="none" w:sz="0" w:space="0" w:color="auto"/>
            <w:left w:val="none" w:sz="0" w:space="0" w:color="auto"/>
            <w:bottom w:val="none" w:sz="0" w:space="0" w:color="auto"/>
            <w:right w:val="none" w:sz="0" w:space="0" w:color="auto"/>
          </w:divBdr>
          <w:divsChild>
            <w:div w:id="25064631">
              <w:marLeft w:val="0"/>
              <w:marRight w:val="0"/>
              <w:marTop w:val="0"/>
              <w:marBottom w:val="0"/>
              <w:divBdr>
                <w:top w:val="none" w:sz="0" w:space="0" w:color="auto"/>
                <w:left w:val="none" w:sz="0" w:space="0" w:color="auto"/>
                <w:bottom w:val="none" w:sz="0" w:space="0" w:color="auto"/>
                <w:right w:val="none" w:sz="0" w:space="0" w:color="auto"/>
              </w:divBdr>
              <w:divsChild>
                <w:div w:id="478350614">
                  <w:marLeft w:val="0"/>
                  <w:marRight w:val="0"/>
                  <w:marTop w:val="0"/>
                  <w:marBottom w:val="0"/>
                  <w:divBdr>
                    <w:top w:val="none" w:sz="0" w:space="0" w:color="auto"/>
                    <w:left w:val="none" w:sz="0" w:space="0" w:color="auto"/>
                    <w:bottom w:val="none" w:sz="0" w:space="0" w:color="auto"/>
                    <w:right w:val="none" w:sz="0" w:space="0" w:color="auto"/>
                  </w:divBdr>
                </w:div>
              </w:divsChild>
            </w:div>
            <w:div w:id="101387902">
              <w:marLeft w:val="0"/>
              <w:marRight w:val="0"/>
              <w:marTop w:val="0"/>
              <w:marBottom w:val="0"/>
              <w:divBdr>
                <w:top w:val="none" w:sz="0" w:space="0" w:color="auto"/>
                <w:left w:val="none" w:sz="0" w:space="0" w:color="auto"/>
                <w:bottom w:val="none" w:sz="0" w:space="0" w:color="auto"/>
                <w:right w:val="none" w:sz="0" w:space="0" w:color="auto"/>
              </w:divBdr>
              <w:divsChild>
                <w:div w:id="551425135">
                  <w:marLeft w:val="0"/>
                  <w:marRight w:val="0"/>
                  <w:marTop w:val="0"/>
                  <w:marBottom w:val="0"/>
                  <w:divBdr>
                    <w:top w:val="none" w:sz="0" w:space="0" w:color="auto"/>
                    <w:left w:val="none" w:sz="0" w:space="0" w:color="auto"/>
                    <w:bottom w:val="none" w:sz="0" w:space="0" w:color="auto"/>
                    <w:right w:val="none" w:sz="0" w:space="0" w:color="auto"/>
                  </w:divBdr>
                </w:div>
              </w:divsChild>
            </w:div>
            <w:div w:id="261108532">
              <w:marLeft w:val="0"/>
              <w:marRight w:val="0"/>
              <w:marTop w:val="0"/>
              <w:marBottom w:val="0"/>
              <w:divBdr>
                <w:top w:val="none" w:sz="0" w:space="0" w:color="auto"/>
                <w:left w:val="none" w:sz="0" w:space="0" w:color="auto"/>
                <w:bottom w:val="none" w:sz="0" w:space="0" w:color="auto"/>
                <w:right w:val="none" w:sz="0" w:space="0" w:color="auto"/>
              </w:divBdr>
              <w:divsChild>
                <w:div w:id="1784303071">
                  <w:marLeft w:val="0"/>
                  <w:marRight w:val="0"/>
                  <w:marTop w:val="0"/>
                  <w:marBottom w:val="0"/>
                  <w:divBdr>
                    <w:top w:val="none" w:sz="0" w:space="0" w:color="auto"/>
                    <w:left w:val="none" w:sz="0" w:space="0" w:color="auto"/>
                    <w:bottom w:val="none" w:sz="0" w:space="0" w:color="auto"/>
                    <w:right w:val="none" w:sz="0" w:space="0" w:color="auto"/>
                  </w:divBdr>
                </w:div>
              </w:divsChild>
            </w:div>
            <w:div w:id="380206081">
              <w:marLeft w:val="0"/>
              <w:marRight w:val="0"/>
              <w:marTop w:val="0"/>
              <w:marBottom w:val="0"/>
              <w:divBdr>
                <w:top w:val="none" w:sz="0" w:space="0" w:color="auto"/>
                <w:left w:val="none" w:sz="0" w:space="0" w:color="auto"/>
                <w:bottom w:val="none" w:sz="0" w:space="0" w:color="auto"/>
                <w:right w:val="none" w:sz="0" w:space="0" w:color="auto"/>
              </w:divBdr>
              <w:divsChild>
                <w:div w:id="1986200563">
                  <w:marLeft w:val="0"/>
                  <w:marRight w:val="0"/>
                  <w:marTop w:val="0"/>
                  <w:marBottom w:val="0"/>
                  <w:divBdr>
                    <w:top w:val="none" w:sz="0" w:space="0" w:color="auto"/>
                    <w:left w:val="none" w:sz="0" w:space="0" w:color="auto"/>
                    <w:bottom w:val="none" w:sz="0" w:space="0" w:color="auto"/>
                    <w:right w:val="none" w:sz="0" w:space="0" w:color="auto"/>
                  </w:divBdr>
                </w:div>
              </w:divsChild>
            </w:div>
            <w:div w:id="646938532">
              <w:marLeft w:val="0"/>
              <w:marRight w:val="0"/>
              <w:marTop w:val="0"/>
              <w:marBottom w:val="0"/>
              <w:divBdr>
                <w:top w:val="none" w:sz="0" w:space="0" w:color="auto"/>
                <w:left w:val="none" w:sz="0" w:space="0" w:color="auto"/>
                <w:bottom w:val="none" w:sz="0" w:space="0" w:color="auto"/>
                <w:right w:val="none" w:sz="0" w:space="0" w:color="auto"/>
              </w:divBdr>
              <w:divsChild>
                <w:div w:id="1590307163">
                  <w:marLeft w:val="0"/>
                  <w:marRight w:val="0"/>
                  <w:marTop w:val="0"/>
                  <w:marBottom w:val="0"/>
                  <w:divBdr>
                    <w:top w:val="none" w:sz="0" w:space="0" w:color="auto"/>
                    <w:left w:val="none" w:sz="0" w:space="0" w:color="auto"/>
                    <w:bottom w:val="none" w:sz="0" w:space="0" w:color="auto"/>
                    <w:right w:val="none" w:sz="0" w:space="0" w:color="auto"/>
                  </w:divBdr>
                </w:div>
              </w:divsChild>
            </w:div>
            <w:div w:id="929049651">
              <w:marLeft w:val="0"/>
              <w:marRight w:val="0"/>
              <w:marTop w:val="0"/>
              <w:marBottom w:val="0"/>
              <w:divBdr>
                <w:top w:val="none" w:sz="0" w:space="0" w:color="auto"/>
                <w:left w:val="none" w:sz="0" w:space="0" w:color="auto"/>
                <w:bottom w:val="none" w:sz="0" w:space="0" w:color="auto"/>
                <w:right w:val="none" w:sz="0" w:space="0" w:color="auto"/>
              </w:divBdr>
              <w:divsChild>
                <w:div w:id="1734083492">
                  <w:marLeft w:val="0"/>
                  <w:marRight w:val="0"/>
                  <w:marTop w:val="0"/>
                  <w:marBottom w:val="0"/>
                  <w:divBdr>
                    <w:top w:val="none" w:sz="0" w:space="0" w:color="auto"/>
                    <w:left w:val="none" w:sz="0" w:space="0" w:color="auto"/>
                    <w:bottom w:val="none" w:sz="0" w:space="0" w:color="auto"/>
                    <w:right w:val="none" w:sz="0" w:space="0" w:color="auto"/>
                  </w:divBdr>
                </w:div>
              </w:divsChild>
            </w:div>
            <w:div w:id="1367634312">
              <w:marLeft w:val="0"/>
              <w:marRight w:val="0"/>
              <w:marTop w:val="0"/>
              <w:marBottom w:val="0"/>
              <w:divBdr>
                <w:top w:val="none" w:sz="0" w:space="0" w:color="auto"/>
                <w:left w:val="none" w:sz="0" w:space="0" w:color="auto"/>
                <w:bottom w:val="none" w:sz="0" w:space="0" w:color="auto"/>
                <w:right w:val="none" w:sz="0" w:space="0" w:color="auto"/>
              </w:divBdr>
              <w:divsChild>
                <w:div w:id="536046808">
                  <w:marLeft w:val="0"/>
                  <w:marRight w:val="0"/>
                  <w:marTop w:val="0"/>
                  <w:marBottom w:val="0"/>
                  <w:divBdr>
                    <w:top w:val="none" w:sz="0" w:space="0" w:color="auto"/>
                    <w:left w:val="none" w:sz="0" w:space="0" w:color="auto"/>
                    <w:bottom w:val="none" w:sz="0" w:space="0" w:color="auto"/>
                    <w:right w:val="none" w:sz="0" w:space="0" w:color="auto"/>
                  </w:divBdr>
                </w:div>
              </w:divsChild>
            </w:div>
            <w:div w:id="1602179951">
              <w:marLeft w:val="0"/>
              <w:marRight w:val="0"/>
              <w:marTop w:val="0"/>
              <w:marBottom w:val="0"/>
              <w:divBdr>
                <w:top w:val="none" w:sz="0" w:space="0" w:color="auto"/>
                <w:left w:val="none" w:sz="0" w:space="0" w:color="auto"/>
                <w:bottom w:val="none" w:sz="0" w:space="0" w:color="auto"/>
                <w:right w:val="none" w:sz="0" w:space="0" w:color="auto"/>
              </w:divBdr>
              <w:divsChild>
                <w:div w:id="252787832">
                  <w:marLeft w:val="0"/>
                  <w:marRight w:val="0"/>
                  <w:marTop w:val="0"/>
                  <w:marBottom w:val="0"/>
                  <w:divBdr>
                    <w:top w:val="none" w:sz="0" w:space="0" w:color="auto"/>
                    <w:left w:val="none" w:sz="0" w:space="0" w:color="auto"/>
                    <w:bottom w:val="none" w:sz="0" w:space="0" w:color="auto"/>
                    <w:right w:val="none" w:sz="0" w:space="0" w:color="auto"/>
                  </w:divBdr>
                </w:div>
              </w:divsChild>
            </w:div>
            <w:div w:id="1634099062">
              <w:marLeft w:val="0"/>
              <w:marRight w:val="0"/>
              <w:marTop w:val="0"/>
              <w:marBottom w:val="0"/>
              <w:divBdr>
                <w:top w:val="none" w:sz="0" w:space="0" w:color="auto"/>
                <w:left w:val="none" w:sz="0" w:space="0" w:color="auto"/>
                <w:bottom w:val="none" w:sz="0" w:space="0" w:color="auto"/>
                <w:right w:val="none" w:sz="0" w:space="0" w:color="auto"/>
              </w:divBdr>
              <w:divsChild>
                <w:div w:id="1512449586">
                  <w:marLeft w:val="0"/>
                  <w:marRight w:val="0"/>
                  <w:marTop w:val="0"/>
                  <w:marBottom w:val="0"/>
                  <w:divBdr>
                    <w:top w:val="none" w:sz="0" w:space="0" w:color="auto"/>
                    <w:left w:val="none" w:sz="0" w:space="0" w:color="auto"/>
                    <w:bottom w:val="none" w:sz="0" w:space="0" w:color="auto"/>
                    <w:right w:val="none" w:sz="0" w:space="0" w:color="auto"/>
                  </w:divBdr>
                </w:div>
              </w:divsChild>
            </w:div>
            <w:div w:id="1701470711">
              <w:marLeft w:val="0"/>
              <w:marRight w:val="0"/>
              <w:marTop w:val="0"/>
              <w:marBottom w:val="0"/>
              <w:divBdr>
                <w:top w:val="none" w:sz="0" w:space="0" w:color="auto"/>
                <w:left w:val="none" w:sz="0" w:space="0" w:color="auto"/>
                <w:bottom w:val="none" w:sz="0" w:space="0" w:color="auto"/>
                <w:right w:val="none" w:sz="0" w:space="0" w:color="auto"/>
              </w:divBdr>
              <w:divsChild>
                <w:div w:id="668220436">
                  <w:marLeft w:val="0"/>
                  <w:marRight w:val="0"/>
                  <w:marTop w:val="0"/>
                  <w:marBottom w:val="0"/>
                  <w:divBdr>
                    <w:top w:val="none" w:sz="0" w:space="0" w:color="auto"/>
                    <w:left w:val="none" w:sz="0" w:space="0" w:color="auto"/>
                    <w:bottom w:val="none" w:sz="0" w:space="0" w:color="auto"/>
                    <w:right w:val="none" w:sz="0" w:space="0" w:color="auto"/>
                  </w:divBdr>
                </w:div>
              </w:divsChild>
            </w:div>
            <w:div w:id="1726752875">
              <w:marLeft w:val="0"/>
              <w:marRight w:val="0"/>
              <w:marTop w:val="0"/>
              <w:marBottom w:val="0"/>
              <w:divBdr>
                <w:top w:val="none" w:sz="0" w:space="0" w:color="auto"/>
                <w:left w:val="none" w:sz="0" w:space="0" w:color="auto"/>
                <w:bottom w:val="none" w:sz="0" w:space="0" w:color="auto"/>
                <w:right w:val="none" w:sz="0" w:space="0" w:color="auto"/>
              </w:divBdr>
              <w:divsChild>
                <w:div w:id="915213989">
                  <w:marLeft w:val="0"/>
                  <w:marRight w:val="0"/>
                  <w:marTop w:val="0"/>
                  <w:marBottom w:val="0"/>
                  <w:divBdr>
                    <w:top w:val="none" w:sz="0" w:space="0" w:color="auto"/>
                    <w:left w:val="none" w:sz="0" w:space="0" w:color="auto"/>
                    <w:bottom w:val="none" w:sz="0" w:space="0" w:color="auto"/>
                    <w:right w:val="none" w:sz="0" w:space="0" w:color="auto"/>
                  </w:divBdr>
                </w:div>
              </w:divsChild>
            </w:div>
            <w:div w:id="1807579115">
              <w:marLeft w:val="0"/>
              <w:marRight w:val="0"/>
              <w:marTop w:val="0"/>
              <w:marBottom w:val="0"/>
              <w:divBdr>
                <w:top w:val="none" w:sz="0" w:space="0" w:color="auto"/>
                <w:left w:val="none" w:sz="0" w:space="0" w:color="auto"/>
                <w:bottom w:val="none" w:sz="0" w:space="0" w:color="auto"/>
                <w:right w:val="none" w:sz="0" w:space="0" w:color="auto"/>
              </w:divBdr>
              <w:divsChild>
                <w:div w:id="1598251444">
                  <w:marLeft w:val="0"/>
                  <w:marRight w:val="0"/>
                  <w:marTop w:val="0"/>
                  <w:marBottom w:val="0"/>
                  <w:divBdr>
                    <w:top w:val="none" w:sz="0" w:space="0" w:color="auto"/>
                    <w:left w:val="none" w:sz="0" w:space="0" w:color="auto"/>
                    <w:bottom w:val="none" w:sz="0" w:space="0" w:color="auto"/>
                    <w:right w:val="none" w:sz="0" w:space="0" w:color="auto"/>
                  </w:divBdr>
                </w:div>
              </w:divsChild>
            </w:div>
            <w:div w:id="1880240649">
              <w:marLeft w:val="0"/>
              <w:marRight w:val="0"/>
              <w:marTop w:val="0"/>
              <w:marBottom w:val="0"/>
              <w:divBdr>
                <w:top w:val="none" w:sz="0" w:space="0" w:color="auto"/>
                <w:left w:val="none" w:sz="0" w:space="0" w:color="auto"/>
                <w:bottom w:val="none" w:sz="0" w:space="0" w:color="auto"/>
                <w:right w:val="none" w:sz="0" w:space="0" w:color="auto"/>
              </w:divBdr>
              <w:divsChild>
                <w:div w:id="1120101543">
                  <w:marLeft w:val="0"/>
                  <w:marRight w:val="0"/>
                  <w:marTop w:val="0"/>
                  <w:marBottom w:val="0"/>
                  <w:divBdr>
                    <w:top w:val="none" w:sz="0" w:space="0" w:color="auto"/>
                    <w:left w:val="none" w:sz="0" w:space="0" w:color="auto"/>
                    <w:bottom w:val="none" w:sz="0" w:space="0" w:color="auto"/>
                    <w:right w:val="none" w:sz="0" w:space="0" w:color="auto"/>
                  </w:divBdr>
                </w:div>
              </w:divsChild>
            </w:div>
            <w:div w:id="1930116252">
              <w:marLeft w:val="0"/>
              <w:marRight w:val="0"/>
              <w:marTop w:val="0"/>
              <w:marBottom w:val="0"/>
              <w:divBdr>
                <w:top w:val="none" w:sz="0" w:space="0" w:color="auto"/>
                <w:left w:val="none" w:sz="0" w:space="0" w:color="auto"/>
                <w:bottom w:val="none" w:sz="0" w:space="0" w:color="auto"/>
                <w:right w:val="none" w:sz="0" w:space="0" w:color="auto"/>
              </w:divBdr>
              <w:divsChild>
                <w:div w:id="19087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72490">
      <w:bodyDiv w:val="1"/>
      <w:marLeft w:val="0"/>
      <w:marRight w:val="0"/>
      <w:marTop w:val="0"/>
      <w:marBottom w:val="0"/>
      <w:divBdr>
        <w:top w:val="none" w:sz="0" w:space="0" w:color="auto"/>
        <w:left w:val="none" w:sz="0" w:space="0" w:color="auto"/>
        <w:bottom w:val="none" w:sz="0" w:space="0" w:color="auto"/>
        <w:right w:val="none" w:sz="0" w:space="0" w:color="auto"/>
      </w:divBdr>
    </w:div>
    <w:div w:id="1415779037">
      <w:bodyDiv w:val="1"/>
      <w:marLeft w:val="0"/>
      <w:marRight w:val="0"/>
      <w:marTop w:val="0"/>
      <w:marBottom w:val="0"/>
      <w:divBdr>
        <w:top w:val="none" w:sz="0" w:space="0" w:color="auto"/>
        <w:left w:val="none" w:sz="0" w:space="0" w:color="auto"/>
        <w:bottom w:val="none" w:sz="0" w:space="0" w:color="auto"/>
        <w:right w:val="none" w:sz="0" w:space="0" w:color="auto"/>
      </w:divBdr>
    </w:div>
    <w:div w:id="1415780695">
      <w:bodyDiv w:val="1"/>
      <w:marLeft w:val="0"/>
      <w:marRight w:val="0"/>
      <w:marTop w:val="0"/>
      <w:marBottom w:val="0"/>
      <w:divBdr>
        <w:top w:val="none" w:sz="0" w:space="0" w:color="auto"/>
        <w:left w:val="none" w:sz="0" w:space="0" w:color="auto"/>
        <w:bottom w:val="none" w:sz="0" w:space="0" w:color="auto"/>
        <w:right w:val="none" w:sz="0" w:space="0" w:color="auto"/>
      </w:divBdr>
    </w:div>
    <w:div w:id="1416590199">
      <w:bodyDiv w:val="1"/>
      <w:marLeft w:val="0"/>
      <w:marRight w:val="0"/>
      <w:marTop w:val="0"/>
      <w:marBottom w:val="0"/>
      <w:divBdr>
        <w:top w:val="none" w:sz="0" w:space="0" w:color="auto"/>
        <w:left w:val="none" w:sz="0" w:space="0" w:color="auto"/>
        <w:bottom w:val="none" w:sz="0" w:space="0" w:color="auto"/>
        <w:right w:val="none" w:sz="0" w:space="0" w:color="auto"/>
      </w:divBdr>
    </w:div>
    <w:div w:id="1416629017">
      <w:bodyDiv w:val="1"/>
      <w:marLeft w:val="0"/>
      <w:marRight w:val="0"/>
      <w:marTop w:val="0"/>
      <w:marBottom w:val="0"/>
      <w:divBdr>
        <w:top w:val="none" w:sz="0" w:space="0" w:color="auto"/>
        <w:left w:val="none" w:sz="0" w:space="0" w:color="auto"/>
        <w:bottom w:val="none" w:sz="0" w:space="0" w:color="auto"/>
        <w:right w:val="none" w:sz="0" w:space="0" w:color="auto"/>
      </w:divBdr>
    </w:div>
    <w:div w:id="1418478975">
      <w:bodyDiv w:val="1"/>
      <w:marLeft w:val="0"/>
      <w:marRight w:val="0"/>
      <w:marTop w:val="0"/>
      <w:marBottom w:val="0"/>
      <w:divBdr>
        <w:top w:val="none" w:sz="0" w:space="0" w:color="auto"/>
        <w:left w:val="none" w:sz="0" w:space="0" w:color="auto"/>
        <w:bottom w:val="none" w:sz="0" w:space="0" w:color="auto"/>
        <w:right w:val="none" w:sz="0" w:space="0" w:color="auto"/>
      </w:divBdr>
    </w:div>
    <w:div w:id="1418594611">
      <w:bodyDiv w:val="1"/>
      <w:marLeft w:val="0"/>
      <w:marRight w:val="0"/>
      <w:marTop w:val="0"/>
      <w:marBottom w:val="0"/>
      <w:divBdr>
        <w:top w:val="none" w:sz="0" w:space="0" w:color="auto"/>
        <w:left w:val="none" w:sz="0" w:space="0" w:color="auto"/>
        <w:bottom w:val="none" w:sz="0" w:space="0" w:color="auto"/>
        <w:right w:val="none" w:sz="0" w:space="0" w:color="auto"/>
      </w:divBdr>
    </w:div>
    <w:div w:id="1419255680">
      <w:bodyDiv w:val="1"/>
      <w:marLeft w:val="0"/>
      <w:marRight w:val="0"/>
      <w:marTop w:val="0"/>
      <w:marBottom w:val="0"/>
      <w:divBdr>
        <w:top w:val="none" w:sz="0" w:space="0" w:color="auto"/>
        <w:left w:val="none" w:sz="0" w:space="0" w:color="auto"/>
        <w:bottom w:val="none" w:sz="0" w:space="0" w:color="auto"/>
        <w:right w:val="none" w:sz="0" w:space="0" w:color="auto"/>
      </w:divBdr>
    </w:div>
    <w:div w:id="1419713429">
      <w:bodyDiv w:val="1"/>
      <w:marLeft w:val="0"/>
      <w:marRight w:val="0"/>
      <w:marTop w:val="0"/>
      <w:marBottom w:val="0"/>
      <w:divBdr>
        <w:top w:val="none" w:sz="0" w:space="0" w:color="auto"/>
        <w:left w:val="none" w:sz="0" w:space="0" w:color="auto"/>
        <w:bottom w:val="none" w:sz="0" w:space="0" w:color="auto"/>
        <w:right w:val="none" w:sz="0" w:space="0" w:color="auto"/>
      </w:divBdr>
    </w:div>
    <w:div w:id="1420909356">
      <w:bodyDiv w:val="1"/>
      <w:marLeft w:val="0"/>
      <w:marRight w:val="0"/>
      <w:marTop w:val="0"/>
      <w:marBottom w:val="0"/>
      <w:divBdr>
        <w:top w:val="none" w:sz="0" w:space="0" w:color="auto"/>
        <w:left w:val="none" w:sz="0" w:space="0" w:color="auto"/>
        <w:bottom w:val="none" w:sz="0" w:space="0" w:color="auto"/>
        <w:right w:val="none" w:sz="0" w:space="0" w:color="auto"/>
      </w:divBdr>
    </w:div>
    <w:div w:id="1421754400">
      <w:bodyDiv w:val="1"/>
      <w:marLeft w:val="0"/>
      <w:marRight w:val="0"/>
      <w:marTop w:val="0"/>
      <w:marBottom w:val="0"/>
      <w:divBdr>
        <w:top w:val="none" w:sz="0" w:space="0" w:color="auto"/>
        <w:left w:val="none" w:sz="0" w:space="0" w:color="auto"/>
        <w:bottom w:val="none" w:sz="0" w:space="0" w:color="auto"/>
        <w:right w:val="none" w:sz="0" w:space="0" w:color="auto"/>
      </w:divBdr>
    </w:div>
    <w:div w:id="1421877631">
      <w:bodyDiv w:val="1"/>
      <w:marLeft w:val="0"/>
      <w:marRight w:val="0"/>
      <w:marTop w:val="0"/>
      <w:marBottom w:val="0"/>
      <w:divBdr>
        <w:top w:val="none" w:sz="0" w:space="0" w:color="auto"/>
        <w:left w:val="none" w:sz="0" w:space="0" w:color="auto"/>
        <w:bottom w:val="none" w:sz="0" w:space="0" w:color="auto"/>
        <w:right w:val="none" w:sz="0" w:space="0" w:color="auto"/>
      </w:divBdr>
    </w:div>
    <w:div w:id="1422027810">
      <w:bodyDiv w:val="1"/>
      <w:marLeft w:val="0"/>
      <w:marRight w:val="0"/>
      <w:marTop w:val="0"/>
      <w:marBottom w:val="0"/>
      <w:divBdr>
        <w:top w:val="none" w:sz="0" w:space="0" w:color="auto"/>
        <w:left w:val="none" w:sz="0" w:space="0" w:color="auto"/>
        <w:bottom w:val="none" w:sz="0" w:space="0" w:color="auto"/>
        <w:right w:val="none" w:sz="0" w:space="0" w:color="auto"/>
      </w:divBdr>
    </w:div>
    <w:div w:id="1422143141">
      <w:bodyDiv w:val="1"/>
      <w:marLeft w:val="0"/>
      <w:marRight w:val="0"/>
      <w:marTop w:val="0"/>
      <w:marBottom w:val="0"/>
      <w:divBdr>
        <w:top w:val="none" w:sz="0" w:space="0" w:color="auto"/>
        <w:left w:val="none" w:sz="0" w:space="0" w:color="auto"/>
        <w:bottom w:val="none" w:sz="0" w:space="0" w:color="auto"/>
        <w:right w:val="none" w:sz="0" w:space="0" w:color="auto"/>
      </w:divBdr>
    </w:div>
    <w:div w:id="1423720385">
      <w:bodyDiv w:val="1"/>
      <w:marLeft w:val="0"/>
      <w:marRight w:val="0"/>
      <w:marTop w:val="0"/>
      <w:marBottom w:val="0"/>
      <w:divBdr>
        <w:top w:val="none" w:sz="0" w:space="0" w:color="auto"/>
        <w:left w:val="none" w:sz="0" w:space="0" w:color="auto"/>
        <w:bottom w:val="none" w:sz="0" w:space="0" w:color="auto"/>
        <w:right w:val="none" w:sz="0" w:space="0" w:color="auto"/>
      </w:divBdr>
    </w:div>
    <w:div w:id="1424064239">
      <w:bodyDiv w:val="1"/>
      <w:marLeft w:val="0"/>
      <w:marRight w:val="0"/>
      <w:marTop w:val="0"/>
      <w:marBottom w:val="0"/>
      <w:divBdr>
        <w:top w:val="none" w:sz="0" w:space="0" w:color="auto"/>
        <w:left w:val="none" w:sz="0" w:space="0" w:color="auto"/>
        <w:bottom w:val="none" w:sz="0" w:space="0" w:color="auto"/>
        <w:right w:val="none" w:sz="0" w:space="0" w:color="auto"/>
      </w:divBdr>
      <w:divsChild>
        <w:div w:id="724335243">
          <w:marLeft w:val="0"/>
          <w:marRight w:val="0"/>
          <w:marTop w:val="0"/>
          <w:marBottom w:val="0"/>
          <w:divBdr>
            <w:top w:val="none" w:sz="0" w:space="0" w:color="auto"/>
            <w:left w:val="none" w:sz="0" w:space="0" w:color="auto"/>
            <w:bottom w:val="none" w:sz="0" w:space="0" w:color="auto"/>
            <w:right w:val="none" w:sz="0" w:space="0" w:color="auto"/>
          </w:divBdr>
          <w:divsChild>
            <w:div w:id="735932340">
              <w:marLeft w:val="0"/>
              <w:marRight w:val="0"/>
              <w:marTop w:val="0"/>
              <w:marBottom w:val="0"/>
              <w:divBdr>
                <w:top w:val="none" w:sz="0" w:space="0" w:color="auto"/>
                <w:left w:val="none" w:sz="0" w:space="0" w:color="auto"/>
                <w:bottom w:val="none" w:sz="0" w:space="0" w:color="auto"/>
                <w:right w:val="none" w:sz="0" w:space="0" w:color="auto"/>
              </w:divBdr>
              <w:divsChild>
                <w:div w:id="42142395">
                  <w:marLeft w:val="0"/>
                  <w:marRight w:val="0"/>
                  <w:marTop w:val="0"/>
                  <w:marBottom w:val="0"/>
                  <w:divBdr>
                    <w:top w:val="none" w:sz="0" w:space="0" w:color="auto"/>
                    <w:left w:val="none" w:sz="0" w:space="0" w:color="auto"/>
                    <w:bottom w:val="none" w:sz="0" w:space="0" w:color="auto"/>
                    <w:right w:val="none" w:sz="0" w:space="0" w:color="auto"/>
                  </w:divBdr>
                </w:div>
              </w:divsChild>
            </w:div>
            <w:div w:id="783882627">
              <w:marLeft w:val="0"/>
              <w:marRight w:val="0"/>
              <w:marTop w:val="0"/>
              <w:marBottom w:val="0"/>
              <w:divBdr>
                <w:top w:val="none" w:sz="0" w:space="0" w:color="auto"/>
                <w:left w:val="none" w:sz="0" w:space="0" w:color="auto"/>
                <w:bottom w:val="none" w:sz="0" w:space="0" w:color="auto"/>
                <w:right w:val="none" w:sz="0" w:space="0" w:color="auto"/>
              </w:divBdr>
              <w:divsChild>
                <w:div w:id="1859387873">
                  <w:marLeft w:val="0"/>
                  <w:marRight w:val="0"/>
                  <w:marTop w:val="0"/>
                  <w:marBottom w:val="0"/>
                  <w:divBdr>
                    <w:top w:val="none" w:sz="0" w:space="0" w:color="auto"/>
                    <w:left w:val="none" w:sz="0" w:space="0" w:color="auto"/>
                    <w:bottom w:val="none" w:sz="0" w:space="0" w:color="auto"/>
                    <w:right w:val="none" w:sz="0" w:space="0" w:color="auto"/>
                  </w:divBdr>
                </w:div>
              </w:divsChild>
            </w:div>
            <w:div w:id="914583910">
              <w:marLeft w:val="0"/>
              <w:marRight w:val="0"/>
              <w:marTop w:val="0"/>
              <w:marBottom w:val="0"/>
              <w:divBdr>
                <w:top w:val="none" w:sz="0" w:space="0" w:color="auto"/>
                <w:left w:val="none" w:sz="0" w:space="0" w:color="auto"/>
                <w:bottom w:val="none" w:sz="0" w:space="0" w:color="auto"/>
                <w:right w:val="none" w:sz="0" w:space="0" w:color="auto"/>
              </w:divBdr>
              <w:divsChild>
                <w:div w:id="14490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488273">
      <w:bodyDiv w:val="1"/>
      <w:marLeft w:val="0"/>
      <w:marRight w:val="0"/>
      <w:marTop w:val="0"/>
      <w:marBottom w:val="0"/>
      <w:divBdr>
        <w:top w:val="none" w:sz="0" w:space="0" w:color="auto"/>
        <w:left w:val="none" w:sz="0" w:space="0" w:color="auto"/>
        <w:bottom w:val="none" w:sz="0" w:space="0" w:color="auto"/>
        <w:right w:val="none" w:sz="0" w:space="0" w:color="auto"/>
      </w:divBdr>
    </w:div>
    <w:div w:id="1426612964">
      <w:bodyDiv w:val="1"/>
      <w:marLeft w:val="0"/>
      <w:marRight w:val="0"/>
      <w:marTop w:val="0"/>
      <w:marBottom w:val="0"/>
      <w:divBdr>
        <w:top w:val="none" w:sz="0" w:space="0" w:color="auto"/>
        <w:left w:val="none" w:sz="0" w:space="0" w:color="auto"/>
        <w:bottom w:val="none" w:sz="0" w:space="0" w:color="auto"/>
        <w:right w:val="none" w:sz="0" w:space="0" w:color="auto"/>
      </w:divBdr>
    </w:div>
    <w:div w:id="1426999052">
      <w:bodyDiv w:val="1"/>
      <w:marLeft w:val="0"/>
      <w:marRight w:val="0"/>
      <w:marTop w:val="0"/>
      <w:marBottom w:val="0"/>
      <w:divBdr>
        <w:top w:val="none" w:sz="0" w:space="0" w:color="auto"/>
        <w:left w:val="none" w:sz="0" w:space="0" w:color="auto"/>
        <w:bottom w:val="none" w:sz="0" w:space="0" w:color="auto"/>
        <w:right w:val="none" w:sz="0" w:space="0" w:color="auto"/>
      </w:divBdr>
    </w:div>
    <w:div w:id="1427266058">
      <w:bodyDiv w:val="1"/>
      <w:marLeft w:val="0"/>
      <w:marRight w:val="0"/>
      <w:marTop w:val="0"/>
      <w:marBottom w:val="0"/>
      <w:divBdr>
        <w:top w:val="none" w:sz="0" w:space="0" w:color="auto"/>
        <w:left w:val="none" w:sz="0" w:space="0" w:color="auto"/>
        <w:bottom w:val="none" w:sz="0" w:space="0" w:color="auto"/>
        <w:right w:val="none" w:sz="0" w:space="0" w:color="auto"/>
      </w:divBdr>
    </w:div>
    <w:div w:id="1430079772">
      <w:bodyDiv w:val="1"/>
      <w:marLeft w:val="0"/>
      <w:marRight w:val="0"/>
      <w:marTop w:val="0"/>
      <w:marBottom w:val="0"/>
      <w:divBdr>
        <w:top w:val="none" w:sz="0" w:space="0" w:color="auto"/>
        <w:left w:val="none" w:sz="0" w:space="0" w:color="auto"/>
        <w:bottom w:val="none" w:sz="0" w:space="0" w:color="auto"/>
        <w:right w:val="none" w:sz="0" w:space="0" w:color="auto"/>
      </w:divBdr>
    </w:div>
    <w:div w:id="1431706329">
      <w:bodyDiv w:val="1"/>
      <w:marLeft w:val="0"/>
      <w:marRight w:val="0"/>
      <w:marTop w:val="0"/>
      <w:marBottom w:val="0"/>
      <w:divBdr>
        <w:top w:val="none" w:sz="0" w:space="0" w:color="auto"/>
        <w:left w:val="none" w:sz="0" w:space="0" w:color="auto"/>
        <w:bottom w:val="none" w:sz="0" w:space="0" w:color="auto"/>
        <w:right w:val="none" w:sz="0" w:space="0" w:color="auto"/>
      </w:divBdr>
    </w:div>
    <w:div w:id="1432238900">
      <w:bodyDiv w:val="1"/>
      <w:marLeft w:val="0"/>
      <w:marRight w:val="0"/>
      <w:marTop w:val="0"/>
      <w:marBottom w:val="0"/>
      <w:divBdr>
        <w:top w:val="none" w:sz="0" w:space="0" w:color="auto"/>
        <w:left w:val="none" w:sz="0" w:space="0" w:color="auto"/>
        <w:bottom w:val="none" w:sz="0" w:space="0" w:color="auto"/>
        <w:right w:val="none" w:sz="0" w:space="0" w:color="auto"/>
      </w:divBdr>
    </w:div>
    <w:div w:id="1432581695">
      <w:bodyDiv w:val="1"/>
      <w:marLeft w:val="0"/>
      <w:marRight w:val="0"/>
      <w:marTop w:val="0"/>
      <w:marBottom w:val="0"/>
      <w:divBdr>
        <w:top w:val="none" w:sz="0" w:space="0" w:color="auto"/>
        <w:left w:val="none" w:sz="0" w:space="0" w:color="auto"/>
        <w:bottom w:val="none" w:sz="0" w:space="0" w:color="auto"/>
        <w:right w:val="none" w:sz="0" w:space="0" w:color="auto"/>
      </w:divBdr>
    </w:div>
    <w:div w:id="1432891247">
      <w:bodyDiv w:val="1"/>
      <w:marLeft w:val="0"/>
      <w:marRight w:val="0"/>
      <w:marTop w:val="0"/>
      <w:marBottom w:val="0"/>
      <w:divBdr>
        <w:top w:val="none" w:sz="0" w:space="0" w:color="auto"/>
        <w:left w:val="none" w:sz="0" w:space="0" w:color="auto"/>
        <w:bottom w:val="none" w:sz="0" w:space="0" w:color="auto"/>
        <w:right w:val="none" w:sz="0" w:space="0" w:color="auto"/>
      </w:divBdr>
    </w:div>
    <w:div w:id="1433206830">
      <w:bodyDiv w:val="1"/>
      <w:marLeft w:val="0"/>
      <w:marRight w:val="0"/>
      <w:marTop w:val="0"/>
      <w:marBottom w:val="0"/>
      <w:divBdr>
        <w:top w:val="none" w:sz="0" w:space="0" w:color="auto"/>
        <w:left w:val="none" w:sz="0" w:space="0" w:color="auto"/>
        <w:bottom w:val="none" w:sz="0" w:space="0" w:color="auto"/>
        <w:right w:val="none" w:sz="0" w:space="0" w:color="auto"/>
      </w:divBdr>
    </w:div>
    <w:div w:id="1433355307">
      <w:bodyDiv w:val="1"/>
      <w:marLeft w:val="0"/>
      <w:marRight w:val="0"/>
      <w:marTop w:val="0"/>
      <w:marBottom w:val="0"/>
      <w:divBdr>
        <w:top w:val="none" w:sz="0" w:space="0" w:color="auto"/>
        <w:left w:val="none" w:sz="0" w:space="0" w:color="auto"/>
        <w:bottom w:val="none" w:sz="0" w:space="0" w:color="auto"/>
        <w:right w:val="none" w:sz="0" w:space="0" w:color="auto"/>
      </w:divBdr>
    </w:div>
    <w:div w:id="1433431557">
      <w:bodyDiv w:val="1"/>
      <w:marLeft w:val="0"/>
      <w:marRight w:val="0"/>
      <w:marTop w:val="0"/>
      <w:marBottom w:val="0"/>
      <w:divBdr>
        <w:top w:val="none" w:sz="0" w:space="0" w:color="auto"/>
        <w:left w:val="none" w:sz="0" w:space="0" w:color="auto"/>
        <w:bottom w:val="none" w:sz="0" w:space="0" w:color="auto"/>
        <w:right w:val="none" w:sz="0" w:space="0" w:color="auto"/>
      </w:divBdr>
    </w:div>
    <w:div w:id="1434131662">
      <w:bodyDiv w:val="1"/>
      <w:marLeft w:val="0"/>
      <w:marRight w:val="0"/>
      <w:marTop w:val="0"/>
      <w:marBottom w:val="0"/>
      <w:divBdr>
        <w:top w:val="none" w:sz="0" w:space="0" w:color="auto"/>
        <w:left w:val="none" w:sz="0" w:space="0" w:color="auto"/>
        <w:bottom w:val="none" w:sz="0" w:space="0" w:color="auto"/>
        <w:right w:val="none" w:sz="0" w:space="0" w:color="auto"/>
      </w:divBdr>
    </w:div>
    <w:div w:id="1435245453">
      <w:bodyDiv w:val="1"/>
      <w:marLeft w:val="0"/>
      <w:marRight w:val="0"/>
      <w:marTop w:val="0"/>
      <w:marBottom w:val="0"/>
      <w:divBdr>
        <w:top w:val="none" w:sz="0" w:space="0" w:color="auto"/>
        <w:left w:val="none" w:sz="0" w:space="0" w:color="auto"/>
        <w:bottom w:val="none" w:sz="0" w:space="0" w:color="auto"/>
        <w:right w:val="none" w:sz="0" w:space="0" w:color="auto"/>
      </w:divBdr>
    </w:div>
    <w:div w:id="1435858941">
      <w:bodyDiv w:val="1"/>
      <w:marLeft w:val="0"/>
      <w:marRight w:val="0"/>
      <w:marTop w:val="0"/>
      <w:marBottom w:val="0"/>
      <w:divBdr>
        <w:top w:val="none" w:sz="0" w:space="0" w:color="auto"/>
        <w:left w:val="none" w:sz="0" w:space="0" w:color="auto"/>
        <w:bottom w:val="none" w:sz="0" w:space="0" w:color="auto"/>
        <w:right w:val="none" w:sz="0" w:space="0" w:color="auto"/>
      </w:divBdr>
    </w:div>
    <w:div w:id="1436167771">
      <w:bodyDiv w:val="1"/>
      <w:marLeft w:val="0"/>
      <w:marRight w:val="0"/>
      <w:marTop w:val="0"/>
      <w:marBottom w:val="0"/>
      <w:divBdr>
        <w:top w:val="none" w:sz="0" w:space="0" w:color="auto"/>
        <w:left w:val="none" w:sz="0" w:space="0" w:color="auto"/>
        <w:bottom w:val="none" w:sz="0" w:space="0" w:color="auto"/>
        <w:right w:val="none" w:sz="0" w:space="0" w:color="auto"/>
      </w:divBdr>
    </w:div>
    <w:div w:id="1437866313">
      <w:bodyDiv w:val="1"/>
      <w:marLeft w:val="0"/>
      <w:marRight w:val="0"/>
      <w:marTop w:val="0"/>
      <w:marBottom w:val="0"/>
      <w:divBdr>
        <w:top w:val="none" w:sz="0" w:space="0" w:color="auto"/>
        <w:left w:val="none" w:sz="0" w:space="0" w:color="auto"/>
        <w:bottom w:val="none" w:sz="0" w:space="0" w:color="auto"/>
        <w:right w:val="none" w:sz="0" w:space="0" w:color="auto"/>
      </w:divBdr>
    </w:div>
    <w:div w:id="1438331073">
      <w:bodyDiv w:val="1"/>
      <w:marLeft w:val="0"/>
      <w:marRight w:val="0"/>
      <w:marTop w:val="0"/>
      <w:marBottom w:val="0"/>
      <w:divBdr>
        <w:top w:val="none" w:sz="0" w:space="0" w:color="auto"/>
        <w:left w:val="none" w:sz="0" w:space="0" w:color="auto"/>
        <w:bottom w:val="none" w:sz="0" w:space="0" w:color="auto"/>
        <w:right w:val="none" w:sz="0" w:space="0" w:color="auto"/>
      </w:divBdr>
    </w:div>
    <w:div w:id="1438524100">
      <w:bodyDiv w:val="1"/>
      <w:marLeft w:val="0"/>
      <w:marRight w:val="0"/>
      <w:marTop w:val="0"/>
      <w:marBottom w:val="0"/>
      <w:divBdr>
        <w:top w:val="none" w:sz="0" w:space="0" w:color="auto"/>
        <w:left w:val="none" w:sz="0" w:space="0" w:color="auto"/>
        <w:bottom w:val="none" w:sz="0" w:space="0" w:color="auto"/>
        <w:right w:val="none" w:sz="0" w:space="0" w:color="auto"/>
      </w:divBdr>
    </w:div>
    <w:div w:id="1439520372">
      <w:bodyDiv w:val="1"/>
      <w:marLeft w:val="0"/>
      <w:marRight w:val="0"/>
      <w:marTop w:val="0"/>
      <w:marBottom w:val="0"/>
      <w:divBdr>
        <w:top w:val="none" w:sz="0" w:space="0" w:color="auto"/>
        <w:left w:val="none" w:sz="0" w:space="0" w:color="auto"/>
        <w:bottom w:val="none" w:sz="0" w:space="0" w:color="auto"/>
        <w:right w:val="none" w:sz="0" w:space="0" w:color="auto"/>
      </w:divBdr>
    </w:div>
    <w:div w:id="1440681536">
      <w:bodyDiv w:val="1"/>
      <w:marLeft w:val="0"/>
      <w:marRight w:val="0"/>
      <w:marTop w:val="0"/>
      <w:marBottom w:val="0"/>
      <w:divBdr>
        <w:top w:val="none" w:sz="0" w:space="0" w:color="auto"/>
        <w:left w:val="none" w:sz="0" w:space="0" w:color="auto"/>
        <w:bottom w:val="none" w:sz="0" w:space="0" w:color="auto"/>
        <w:right w:val="none" w:sz="0" w:space="0" w:color="auto"/>
      </w:divBdr>
    </w:div>
    <w:div w:id="1444617917">
      <w:bodyDiv w:val="1"/>
      <w:marLeft w:val="0"/>
      <w:marRight w:val="0"/>
      <w:marTop w:val="0"/>
      <w:marBottom w:val="0"/>
      <w:divBdr>
        <w:top w:val="none" w:sz="0" w:space="0" w:color="auto"/>
        <w:left w:val="none" w:sz="0" w:space="0" w:color="auto"/>
        <w:bottom w:val="none" w:sz="0" w:space="0" w:color="auto"/>
        <w:right w:val="none" w:sz="0" w:space="0" w:color="auto"/>
      </w:divBdr>
    </w:div>
    <w:div w:id="1444954050">
      <w:bodyDiv w:val="1"/>
      <w:marLeft w:val="0"/>
      <w:marRight w:val="0"/>
      <w:marTop w:val="0"/>
      <w:marBottom w:val="0"/>
      <w:divBdr>
        <w:top w:val="none" w:sz="0" w:space="0" w:color="auto"/>
        <w:left w:val="none" w:sz="0" w:space="0" w:color="auto"/>
        <w:bottom w:val="none" w:sz="0" w:space="0" w:color="auto"/>
        <w:right w:val="none" w:sz="0" w:space="0" w:color="auto"/>
      </w:divBdr>
      <w:divsChild>
        <w:div w:id="687757274">
          <w:marLeft w:val="0"/>
          <w:marRight w:val="0"/>
          <w:marTop w:val="0"/>
          <w:marBottom w:val="0"/>
          <w:divBdr>
            <w:top w:val="none" w:sz="0" w:space="0" w:color="auto"/>
            <w:left w:val="none" w:sz="0" w:space="0" w:color="auto"/>
            <w:bottom w:val="none" w:sz="0" w:space="0" w:color="auto"/>
            <w:right w:val="none" w:sz="0" w:space="0" w:color="auto"/>
          </w:divBdr>
          <w:divsChild>
            <w:div w:id="935212814">
              <w:marLeft w:val="0"/>
              <w:marRight w:val="0"/>
              <w:marTop w:val="0"/>
              <w:marBottom w:val="0"/>
              <w:divBdr>
                <w:top w:val="none" w:sz="0" w:space="0" w:color="auto"/>
                <w:left w:val="none" w:sz="0" w:space="0" w:color="auto"/>
                <w:bottom w:val="none" w:sz="0" w:space="0" w:color="auto"/>
                <w:right w:val="none" w:sz="0" w:space="0" w:color="auto"/>
              </w:divBdr>
              <w:divsChild>
                <w:div w:id="555551462">
                  <w:marLeft w:val="0"/>
                  <w:marRight w:val="0"/>
                  <w:marTop w:val="0"/>
                  <w:marBottom w:val="0"/>
                  <w:divBdr>
                    <w:top w:val="none" w:sz="0" w:space="0" w:color="auto"/>
                    <w:left w:val="none" w:sz="0" w:space="0" w:color="auto"/>
                    <w:bottom w:val="none" w:sz="0" w:space="0" w:color="auto"/>
                    <w:right w:val="none" w:sz="0" w:space="0" w:color="auto"/>
                  </w:divBdr>
                  <w:divsChild>
                    <w:div w:id="39166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577801">
      <w:bodyDiv w:val="1"/>
      <w:marLeft w:val="0"/>
      <w:marRight w:val="0"/>
      <w:marTop w:val="0"/>
      <w:marBottom w:val="0"/>
      <w:divBdr>
        <w:top w:val="none" w:sz="0" w:space="0" w:color="auto"/>
        <w:left w:val="none" w:sz="0" w:space="0" w:color="auto"/>
        <w:bottom w:val="none" w:sz="0" w:space="0" w:color="auto"/>
        <w:right w:val="none" w:sz="0" w:space="0" w:color="auto"/>
      </w:divBdr>
      <w:divsChild>
        <w:div w:id="127287686">
          <w:marLeft w:val="0"/>
          <w:marRight w:val="0"/>
          <w:marTop w:val="0"/>
          <w:marBottom w:val="0"/>
          <w:divBdr>
            <w:top w:val="none" w:sz="0" w:space="0" w:color="auto"/>
            <w:left w:val="none" w:sz="0" w:space="0" w:color="auto"/>
            <w:bottom w:val="none" w:sz="0" w:space="0" w:color="auto"/>
            <w:right w:val="none" w:sz="0" w:space="0" w:color="auto"/>
          </w:divBdr>
          <w:divsChild>
            <w:div w:id="1442846381">
              <w:marLeft w:val="0"/>
              <w:marRight w:val="0"/>
              <w:marTop w:val="0"/>
              <w:marBottom w:val="0"/>
              <w:divBdr>
                <w:top w:val="none" w:sz="0" w:space="0" w:color="auto"/>
                <w:left w:val="none" w:sz="0" w:space="0" w:color="auto"/>
                <w:bottom w:val="none" w:sz="0" w:space="0" w:color="auto"/>
                <w:right w:val="none" w:sz="0" w:space="0" w:color="auto"/>
              </w:divBdr>
              <w:divsChild>
                <w:div w:id="1930118661">
                  <w:marLeft w:val="0"/>
                  <w:marRight w:val="0"/>
                  <w:marTop w:val="0"/>
                  <w:marBottom w:val="0"/>
                  <w:divBdr>
                    <w:top w:val="none" w:sz="0" w:space="0" w:color="auto"/>
                    <w:left w:val="none" w:sz="0" w:space="0" w:color="auto"/>
                    <w:bottom w:val="none" w:sz="0" w:space="0" w:color="auto"/>
                    <w:right w:val="none" w:sz="0" w:space="0" w:color="auto"/>
                  </w:divBdr>
                  <w:divsChild>
                    <w:div w:id="110233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970626">
      <w:bodyDiv w:val="1"/>
      <w:marLeft w:val="0"/>
      <w:marRight w:val="0"/>
      <w:marTop w:val="0"/>
      <w:marBottom w:val="0"/>
      <w:divBdr>
        <w:top w:val="none" w:sz="0" w:space="0" w:color="auto"/>
        <w:left w:val="none" w:sz="0" w:space="0" w:color="auto"/>
        <w:bottom w:val="none" w:sz="0" w:space="0" w:color="auto"/>
        <w:right w:val="none" w:sz="0" w:space="0" w:color="auto"/>
      </w:divBdr>
    </w:div>
    <w:div w:id="1448044295">
      <w:bodyDiv w:val="1"/>
      <w:marLeft w:val="0"/>
      <w:marRight w:val="0"/>
      <w:marTop w:val="0"/>
      <w:marBottom w:val="0"/>
      <w:divBdr>
        <w:top w:val="none" w:sz="0" w:space="0" w:color="auto"/>
        <w:left w:val="none" w:sz="0" w:space="0" w:color="auto"/>
        <w:bottom w:val="none" w:sz="0" w:space="0" w:color="auto"/>
        <w:right w:val="none" w:sz="0" w:space="0" w:color="auto"/>
      </w:divBdr>
    </w:div>
    <w:div w:id="1448427085">
      <w:bodyDiv w:val="1"/>
      <w:marLeft w:val="0"/>
      <w:marRight w:val="0"/>
      <w:marTop w:val="0"/>
      <w:marBottom w:val="0"/>
      <w:divBdr>
        <w:top w:val="none" w:sz="0" w:space="0" w:color="auto"/>
        <w:left w:val="none" w:sz="0" w:space="0" w:color="auto"/>
        <w:bottom w:val="none" w:sz="0" w:space="0" w:color="auto"/>
        <w:right w:val="none" w:sz="0" w:space="0" w:color="auto"/>
      </w:divBdr>
      <w:divsChild>
        <w:div w:id="1998418784">
          <w:marLeft w:val="0"/>
          <w:marRight w:val="0"/>
          <w:marTop w:val="0"/>
          <w:marBottom w:val="0"/>
          <w:divBdr>
            <w:top w:val="none" w:sz="0" w:space="0" w:color="auto"/>
            <w:left w:val="none" w:sz="0" w:space="0" w:color="auto"/>
            <w:bottom w:val="none" w:sz="0" w:space="0" w:color="auto"/>
            <w:right w:val="none" w:sz="0" w:space="0" w:color="auto"/>
          </w:divBdr>
          <w:divsChild>
            <w:div w:id="65878683">
              <w:marLeft w:val="0"/>
              <w:marRight w:val="0"/>
              <w:marTop w:val="0"/>
              <w:marBottom w:val="0"/>
              <w:divBdr>
                <w:top w:val="none" w:sz="0" w:space="0" w:color="auto"/>
                <w:left w:val="none" w:sz="0" w:space="0" w:color="auto"/>
                <w:bottom w:val="none" w:sz="0" w:space="0" w:color="auto"/>
                <w:right w:val="none" w:sz="0" w:space="0" w:color="auto"/>
              </w:divBdr>
              <w:divsChild>
                <w:div w:id="694621215">
                  <w:marLeft w:val="0"/>
                  <w:marRight w:val="0"/>
                  <w:marTop w:val="0"/>
                  <w:marBottom w:val="0"/>
                  <w:divBdr>
                    <w:top w:val="none" w:sz="0" w:space="0" w:color="auto"/>
                    <w:left w:val="none" w:sz="0" w:space="0" w:color="auto"/>
                    <w:bottom w:val="none" w:sz="0" w:space="0" w:color="auto"/>
                    <w:right w:val="none" w:sz="0" w:space="0" w:color="auto"/>
                  </w:divBdr>
                  <w:divsChild>
                    <w:div w:id="62882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277204">
      <w:bodyDiv w:val="1"/>
      <w:marLeft w:val="0"/>
      <w:marRight w:val="0"/>
      <w:marTop w:val="0"/>
      <w:marBottom w:val="0"/>
      <w:divBdr>
        <w:top w:val="none" w:sz="0" w:space="0" w:color="auto"/>
        <w:left w:val="none" w:sz="0" w:space="0" w:color="auto"/>
        <w:bottom w:val="none" w:sz="0" w:space="0" w:color="auto"/>
        <w:right w:val="none" w:sz="0" w:space="0" w:color="auto"/>
      </w:divBdr>
      <w:divsChild>
        <w:div w:id="974137622">
          <w:marLeft w:val="0"/>
          <w:marRight w:val="0"/>
          <w:marTop w:val="0"/>
          <w:marBottom w:val="0"/>
          <w:divBdr>
            <w:top w:val="none" w:sz="0" w:space="0" w:color="auto"/>
            <w:left w:val="none" w:sz="0" w:space="0" w:color="auto"/>
            <w:bottom w:val="none" w:sz="0" w:space="0" w:color="auto"/>
            <w:right w:val="none" w:sz="0" w:space="0" w:color="auto"/>
          </w:divBdr>
          <w:divsChild>
            <w:div w:id="114717142">
              <w:marLeft w:val="0"/>
              <w:marRight w:val="0"/>
              <w:marTop w:val="0"/>
              <w:marBottom w:val="0"/>
              <w:divBdr>
                <w:top w:val="none" w:sz="0" w:space="0" w:color="auto"/>
                <w:left w:val="none" w:sz="0" w:space="0" w:color="auto"/>
                <w:bottom w:val="none" w:sz="0" w:space="0" w:color="auto"/>
                <w:right w:val="none" w:sz="0" w:space="0" w:color="auto"/>
              </w:divBdr>
              <w:divsChild>
                <w:div w:id="838810658">
                  <w:marLeft w:val="0"/>
                  <w:marRight w:val="0"/>
                  <w:marTop w:val="0"/>
                  <w:marBottom w:val="0"/>
                  <w:divBdr>
                    <w:top w:val="none" w:sz="0" w:space="0" w:color="auto"/>
                    <w:left w:val="none" w:sz="0" w:space="0" w:color="auto"/>
                    <w:bottom w:val="none" w:sz="0" w:space="0" w:color="auto"/>
                    <w:right w:val="none" w:sz="0" w:space="0" w:color="auto"/>
                  </w:divBdr>
                  <w:divsChild>
                    <w:div w:id="31241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347967">
      <w:bodyDiv w:val="1"/>
      <w:marLeft w:val="0"/>
      <w:marRight w:val="0"/>
      <w:marTop w:val="0"/>
      <w:marBottom w:val="0"/>
      <w:divBdr>
        <w:top w:val="none" w:sz="0" w:space="0" w:color="auto"/>
        <w:left w:val="none" w:sz="0" w:space="0" w:color="auto"/>
        <w:bottom w:val="none" w:sz="0" w:space="0" w:color="auto"/>
        <w:right w:val="none" w:sz="0" w:space="0" w:color="auto"/>
      </w:divBdr>
    </w:div>
    <w:div w:id="1450273891">
      <w:bodyDiv w:val="1"/>
      <w:marLeft w:val="0"/>
      <w:marRight w:val="0"/>
      <w:marTop w:val="0"/>
      <w:marBottom w:val="0"/>
      <w:divBdr>
        <w:top w:val="none" w:sz="0" w:space="0" w:color="auto"/>
        <w:left w:val="none" w:sz="0" w:space="0" w:color="auto"/>
        <w:bottom w:val="none" w:sz="0" w:space="0" w:color="auto"/>
        <w:right w:val="none" w:sz="0" w:space="0" w:color="auto"/>
      </w:divBdr>
    </w:div>
    <w:div w:id="1451508998">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6">
          <w:marLeft w:val="0"/>
          <w:marRight w:val="0"/>
          <w:marTop w:val="0"/>
          <w:marBottom w:val="0"/>
          <w:divBdr>
            <w:top w:val="none" w:sz="0" w:space="0" w:color="auto"/>
            <w:left w:val="none" w:sz="0" w:space="0" w:color="auto"/>
            <w:bottom w:val="none" w:sz="0" w:space="0" w:color="auto"/>
            <w:right w:val="none" w:sz="0" w:space="0" w:color="auto"/>
          </w:divBdr>
          <w:divsChild>
            <w:div w:id="4595226">
              <w:marLeft w:val="0"/>
              <w:marRight w:val="0"/>
              <w:marTop w:val="0"/>
              <w:marBottom w:val="0"/>
              <w:divBdr>
                <w:top w:val="none" w:sz="0" w:space="0" w:color="auto"/>
                <w:left w:val="none" w:sz="0" w:space="0" w:color="auto"/>
                <w:bottom w:val="none" w:sz="0" w:space="0" w:color="auto"/>
                <w:right w:val="none" w:sz="0" w:space="0" w:color="auto"/>
              </w:divBdr>
              <w:divsChild>
                <w:div w:id="60214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80687">
      <w:bodyDiv w:val="1"/>
      <w:marLeft w:val="0"/>
      <w:marRight w:val="0"/>
      <w:marTop w:val="0"/>
      <w:marBottom w:val="0"/>
      <w:divBdr>
        <w:top w:val="none" w:sz="0" w:space="0" w:color="auto"/>
        <w:left w:val="none" w:sz="0" w:space="0" w:color="auto"/>
        <w:bottom w:val="none" w:sz="0" w:space="0" w:color="auto"/>
        <w:right w:val="none" w:sz="0" w:space="0" w:color="auto"/>
      </w:divBdr>
      <w:divsChild>
        <w:div w:id="226186909">
          <w:marLeft w:val="0"/>
          <w:marRight w:val="0"/>
          <w:marTop w:val="0"/>
          <w:marBottom w:val="0"/>
          <w:divBdr>
            <w:top w:val="none" w:sz="0" w:space="0" w:color="auto"/>
            <w:left w:val="none" w:sz="0" w:space="0" w:color="auto"/>
            <w:bottom w:val="none" w:sz="0" w:space="0" w:color="auto"/>
            <w:right w:val="none" w:sz="0" w:space="0" w:color="auto"/>
          </w:divBdr>
          <w:divsChild>
            <w:div w:id="550699215">
              <w:marLeft w:val="0"/>
              <w:marRight w:val="0"/>
              <w:marTop w:val="0"/>
              <w:marBottom w:val="0"/>
              <w:divBdr>
                <w:top w:val="none" w:sz="0" w:space="0" w:color="auto"/>
                <w:left w:val="none" w:sz="0" w:space="0" w:color="auto"/>
                <w:bottom w:val="none" w:sz="0" w:space="0" w:color="auto"/>
                <w:right w:val="none" w:sz="0" w:space="0" w:color="auto"/>
              </w:divBdr>
              <w:divsChild>
                <w:div w:id="1539513253">
                  <w:marLeft w:val="0"/>
                  <w:marRight w:val="0"/>
                  <w:marTop w:val="0"/>
                  <w:marBottom w:val="0"/>
                  <w:divBdr>
                    <w:top w:val="none" w:sz="0" w:space="0" w:color="auto"/>
                    <w:left w:val="none" w:sz="0" w:space="0" w:color="auto"/>
                    <w:bottom w:val="none" w:sz="0" w:space="0" w:color="auto"/>
                    <w:right w:val="none" w:sz="0" w:space="0" w:color="auto"/>
                  </w:divBdr>
                  <w:divsChild>
                    <w:div w:id="12276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212705">
      <w:bodyDiv w:val="1"/>
      <w:marLeft w:val="0"/>
      <w:marRight w:val="0"/>
      <w:marTop w:val="0"/>
      <w:marBottom w:val="0"/>
      <w:divBdr>
        <w:top w:val="none" w:sz="0" w:space="0" w:color="auto"/>
        <w:left w:val="none" w:sz="0" w:space="0" w:color="auto"/>
        <w:bottom w:val="none" w:sz="0" w:space="0" w:color="auto"/>
        <w:right w:val="none" w:sz="0" w:space="0" w:color="auto"/>
      </w:divBdr>
    </w:div>
    <w:div w:id="1454009717">
      <w:bodyDiv w:val="1"/>
      <w:marLeft w:val="0"/>
      <w:marRight w:val="0"/>
      <w:marTop w:val="0"/>
      <w:marBottom w:val="0"/>
      <w:divBdr>
        <w:top w:val="none" w:sz="0" w:space="0" w:color="auto"/>
        <w:left w:val="none" w:sz="0" w:space="0" w:color="auto"/>
        <w:bottom w:val="none" w:sz="0" w:space="0" w:color="auto"/>
        <w:right w:val="none" w:sz="0" w:space="0" w:color="auto"/>
      </w:divBdr>
    </w:div>
    <w:div w:id="1454514864">
      <w:bodyDiv w:val="1"/>
      <w:marLeft w:val="0"/>
      <w:marRight w:val="0"/>
      <w:marTop w:val="0"/>
      <w:marBottom w:val="0"/>
      <w:divBdr>
        <w:top w:val="none" w:sz="0" w:space="0" w:color="auto"/>
        <w:left w:val="none" w:sz="0" w:space="0" w:color="auto"/>
        <w:bottom w:val="none" w:sz="0" w:space="0" w:color="auto"/>
        <w:right w:val="none" w:sz="0" w:space="0" w:color="auto"/>
      </w:divBdr>
      <w:divsChild>
        <w:div w:id="330068655">
          <w:marLeft w:val="0"/>
          <w:marRight w:val="0"/>
          <w:marTop w:val="0"/>
          <w:marBottom w:val="0"/>
          <w:divBdr>
            <w:top w:val="none" w:sz="0" w:space="0" w:color="auto"/>
            <w:left w:val="none" w:sz="0" w:space="0" w:color="auto"/>
            <w:bottom w:val="none" w:sz="0" w:space="0" w:color="auto"/>
            <w:right w:val="none" w:sz="0" w:space="0" w:color="auto"/>
          </w:divBdr>
          <w:divsChild>
            <w:div w:id="1161626127">
              <w:marLeft w:val="0"/>
              <w:marRight w:val="0"/>
              <w:marTop w:val="0"/>
              <w:marBottom w:val="0"/>
              <w:divBdr>
                <w:top w:val="none" w:sz="0" w:space="0" w:color="auto"/>
                <w:left w:val="none" w:sz="0" w:space="0" w:color="auto"/>
                <w:bottom w:val="none" w:sz="0" w:space="0" w:color="auto"/>
                <w:right w:val="none" w:sz="0" w:space="0" w:color="auto"/>
              </w:divBdr>
              <w:divsChild>
                <w:div w:id="1250890204">
                  <w:marLeft w:val="0"/>
                  <w:marRight w:val="0"/>
                  <w:marTop w:val="0"/>
                  <w:marBottom w:val="0"/>
                  <w:divBdr>
                    <w:top w:val="none" w:sz="0" w:space="0" w:color="auto"/>
                    <w:left w:val="none" w:sz="0" w:space="0" w:color="auto"/>
                    <w:bottom w:val="none" w:sz="0" w:space="0" w:color="auto"/>
                    <w:right w:val="none" w:sz="0" w:space="0" w:color="auto"/>
                  </w:divBdr>
                  <w:divsChild>
                    <w:div w:id="185716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909335">
      <w:bodyDiv w:val="1"/>
      <w:marLeft w:val="0"/>
      <w:marRight w:val="0"/>
      <w:marTop w:val="0"/>
      <w:marBottom w:val="0"/>
      <w:divBdr>
        <w:top w:val="none" w:sz="0" w:space="0" w:color="auto"/>
        <w:left w:val="none" w:sz="0" w:space="0" w:color="auto"/>
        <w:bottom w:val="none" w:sz="0" w:space="0" w:color="auto"/>
        <w:right w:val="none" w:sz="0" w:space="0" w:color="auto"/>
      </w:divBdr>
    </w:div>
    <w:div w:id="1455639997">
      <w:bodyDiv w:val="1"/>
      <w:marLeft w:val="0"/>
      <w:marRight w:val="0"/>
      <w:marTop w:val="0"/>
      <w:marBottom w:val="0"/>
      <w:divBdr>
        <w:top w:val="none" w:sz="0" w:space="0" w:color="auto"/>
        <w:left w:val="none" w:sz="0" w:space="0" w:color="auto"/>
        <w:bottom w:val="none" w:sz="0" w:space="0" w:color="auto"/>
        <w:right w:val="none" w:sz="0" w:space="0" w:color="auto"/>
      </w:divBdr>
    </w:div>
    <w:div w:id="1457332332">
      <w:bodyDiv w:val="1"/>
      <w:marLeft w:val="0"/>
      <w:marRight w:val="0"/>
      <w:marTop w:val="0"/>
      <w:marBottom w:val="0"/>
      <w:divBdr>
        <w:top w:val="none" w:sz="0" w:space="0" w:color="auto"/>
        <w:left w:val="none" w:sz="0" w:space="0" w:color="auto"/>
        <w:bottom w:val="none" w:sz="0" w:space="0" w:color="auto"/>
        <w:right w:val="none" w:sz="0" w:space="0" w:color="auto"/>
      </w:divBdr>
    </w:div>
    <w:div w:id="1458137327">
      <w:bodyDiv w:val="1"/>
      <w:marLeft w:val="0"/>
      <w:marRight w:val="0"/>
      <w:marTop w:val="0"/>
      <w:marBottom w:val="0"/>
      <w:divBdr>
        <w:top w:val="none" w:sz="0" w:space="0" w:color="auto"/>
        <w:left w:val="none" w:sz="0" w:space="0" w:color="auto"/>
        <w:bottom w:val="none" w:sz="0" w:space="0" w:color="auto"/>
        <w:right w:val="none" w:sz="0" w:space="0" w:color="auto"/>
      </w:divBdr>
    </w:div>
    <w:div w:id="1459445440">
      <w:bodyDiv w:val="1"/>
      <w:marLeft w:val="0"/>
      <w:marRight w:val="0"/>
      <w:marTop w:val="0"/>
      <w:marBottom w:val="0"/>
      <w:divBdr>
        <w:top w:val="none" w:sz="0" w:space="0" w:color="auto"/>
        <w:left w:val="none" w:sz="0" w:space="0" w:color="auto"/>
        <w:bottom w:val="none" w:sz="0" w:space="0" w:color="auto"/>
        <w:right w:val="none" w:sz="0" w:space="0" w:color="auto"/>
      </w:divBdr>
    </w:div>
    <w:div w:id="1460104753">
      <w:bodyDiv w:val="1"/>
      <w:marLeft w:val="0"/>
      <w:marRight w:val="0"/>
      <w:marTop w:val="0"/>
      <w:marBottom w:val="0"/>
      <w:divBdr>
        <w:top w:val="none" w:sz="0" w:space="0" w:color="auto"/>
        <w:left w:val="none" w:sz="0" w:space="0" w:color="auto"/>
        <w:bottom w:val="none" w:sz="0" w:space="0" w:color="auto"/>
        <w:right w:val="none" w:sz="0" w:space="0" w:color="auto"/>
      </w:divBdr>
    </w:div>
    <w:div w:id="1461531201">
      <w:bodyDiv w:val="1"/>
      <w:marLeft w:val="0"/>
      <w:marRight w:val="0"/>
      <w:marTop w:val="0"/>
      <w:marBottom w:val="0"/>
      <w:divBdr>
        <w:top w:val="none" w:sz="0" w:space="0" w:color="auto"/>
        <w:left w:val="none" w:sz="0" w:space="0" w:color="auto"/>
        <w:bottom w:val="none" w:sz="0" w:space="0" w:color="auto"/>
        <w:right w:val="none" w:sz="0" w:space="0" w:color="auto"/>
      </w:divBdr>
    </w:div>
    <w:div w:id="1461992076">
      <w:bodyDiv w:val="1"/>
      <w:marLeft w:val="0"/>
      <w:marRight w:val="0"/>
      <w:marTop w:val="0"/>
      <w:marBottom w:val="0"/>
      <w:divBdr>
        <w:top w:val="none" w:sz="0" w:space="0" w:color="auto"/>
        <w:left w:val="none" w:sz="0" w:space="0" w:color="auto"/>
        <w:bottom w:val="none" w:sz="0" w:space="0" w:color="auto"/>
        <w:right w:val="none" w:sz="0" w:space="0" w:color="auto"/>
      </w:divBdr>
      <w:divsChild>
        <w:div w:id="1721395803">
          <w:marLeft w:val="0"/>
          <w:marRight w:val="0"/>
          <w:marTop w:val="0"/>
          <w:marBottom w:val="0"/>
          <w:divBdr>
            <w:top w:val="none" w:sz="0" w:space="0" w:color="auto"/>
            <w:left w:val="none" w:sz="0" w:space="0" w:color="auto"/>
            <w:bottom w:val="none" w:sz="0" w:space="0" w:color="auto"/>
            <w:right w:val="none" w:sz="0" w:space="0" w:color="auto"/>
          </w:divBdr>
          <w:divsChild>
            <w:div w:id="1745451379">
              <w:marLeft w:val="0"/>
              <w:marRight w:val="0"/>
              <w:marTop w:val="0"/>
              <w:marBottom w:val="0"/>
              <w:divBdr>
                <w:top w:val="none" w:sz="0" w:space="0" w:color="auto"/>
                <w:left w:val="none" w:sz="0" w:space="0" w:color="auto"/>
                <w:bottom w:val="none" w:sz="0" w:space="0" w:color="auto"/>
                <w:right w:val="none" w:sz="0" w:space="0" w:color="auto"/>
              </w:divBdr>
              <w:divsChild>
                <w:div w:id="259997820">
                  <w:marLeft w:val="0"/>
                  <w:marRight w:val="0"/>
                  <w:marTop w:val="0"/>
                  <w:marBottom w:val="0"/>
                  <w:divBdr>
                    <w:top w:val="none" w:sz="0" w:space="0" w:color="auto"/>
                    <w:left w:val="none" w:sz="0" w:space="0" w:color="auto"/>
                    <w:bottom w:val="none" w:sz="0" w:space="0" w:color="auto"/>
                    <w:right w:val="none" w:sz="0" w:space="0" w:color="auto"/>
                  </w:divBdr>
                  <w:divsChild>
                    <w:div w:id="896208744">
                      <w:marLeft w:val="0"/>
                      <w:marRight w:val="0"/>
                      <w:marTop w:val="0"/>
                      <w:marBottom w:val="0"/>
                      <w:divBdr>
                        <w:top w:val="none" w:sz="0" w:space="0" w:color="auto"/>
                        <w:left w:val="none" w:sz="0" w:space="0" w:color="auto"/>
                        <w:bottom w:val="none" w:sz="0" w:space="0" w:color="auto"/>
                        <w:right w:val="none" w:sz="0" w:space="0" w:color="auto"/>
                      </w:divBdr>
                    </w:div>
                  </w:divsChild>
                </w:div>
                <w:div w:id="1010834780">
                  <w:marLeft w:val="0"/>
                  <w:marRight w:val="0"/>
                  <w:marTop w:val="0"/>
                  <w:marBottom w:val="0"/>
                  <w:divBdr>
                    <w:top w:val="none" w:sz="0" w:space="0" w:color="auto"/>
                    <w:left w:val="none" w:sz="0" w:space="0" w:color="auto"/>
                    <w:bottom w:val="none" w:sz="0" w:space="0" w:color="auto"/>
                    <w:right w:val="none" w:sz="0" w:space="0" w:color="auto"/>
                  </w:divBdr>
                  <w:divsChild>
                    <w:div w:id="211651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648710">
      <w:bodyDiv w:val="1"/>
      <w:marLeft w:val="0"/>
      <w:marRight w:val="0"/>
      <w:marTop w:val="0"/>
      <w:marBottom w:val="0"/>
      <w:divBdr>
        <w:top w:val="none" w:sz="0" w:space="0" w:color="auto"/>
        <w:left w:val="none" w:sz="0" w:space="0" w:color="auto"/>
        <w:bottom w:val="none" w:sz="0" w:space="0" w:color="auto"/>
        <w:right w:val="none" w:sz="0" w:space="0" w:color="auto"/>
      </w:divBdr>
    </w:div>
    <w:div w:id="1463188992">
      <w:bodyDiv w:val="1"/>
      <w:marLeft w:val="0"/>
      <w:marRight w:val="0"/>
      <w:marTop w:val="0"/>
      <w:marBottom w:val="0"/>
      <w:divBdr>
        <w:top w:val="none" w:sz="0" w:space="0" w:color="auto"/>
        <w:left w:val="none" w:sz="0" w:space="0" w:color="auto"/>
        <w:bottom w:val="none" w:sz="0" w:space="0" w:color="auto"/>
        <w:right w:val="none" w:sz="0" w:space="0" w:color="auto"/>
      </w:divBdr>
    </w:div>
    <w:div w:id="1463965847">
      <w:bodyDiv w:val="1"/>
      <w:marLeft w:val="0"/>
      <w:marRight w:val="0"/>
      <w:marTop w:val="0"/>
      <w:marBottom w:val="0"/>
      <w:divBdr>
        <w:top w:val="none" w:sz="0" w:space="0" w:color="auto"/>
        <w:left w:val="none" w:sz="0" w:space="0" w:color="auto"/>
        <w:bottom w:val="none" w:sz="0" w:space="0" w:color="auto"/>
        <w:right w:val="none" w:sz="0" w:space="0" w:color="auto"/>
      </w:divBdr>
      <w:divsChild>
        <w:div w:id="1028020623">
          <w:marLeft w:val="0"/>
          <w:marRight w:val="0"/>
          <w:marTop w:val="0"/>
          <w:marBottom w:val="0"/>
          <w:divBdr>
            <w:top w:val="none" w:sz="0" w:space="0" w:color="auto"/>
            <w:left w:val="none" w:sz="0" w:space="0" w:color="auto"/>
            <w:bottom w:val="none" w:sz="0" w:space="0" w:color="auto"/>
            <w:right w:val="none" w:sz="0" w:space="0" w:color="auto"/>
          </w:divBdr>
          <w:divsChild>
            <w:div w:id="996229623">
              <w:marLeft w:val="0"/>
              <w:marRight w:val="0"/>
              <w:marTop w:val="0"/>
              <w:marBottom w:val="0"/>
              <w:divBdr>
                <w:top w:val="none" w:sz="0" w:space="0" w:color="auto"/>
                <w:left w:val="none" w:sz="0" w:space="0" w:color="auto"/>
                <w:bottom w:val="none" w:sz="0" w:space="0" w:color="auto"/>
                <w:right w:val="none" w:sz="0" w:space="0" w:color="auto"/>
              </w:divBdr>
              <w:divsChild>
                <w:div w:id="60299190">
                  <w:marLeft w:val="0"/>
                  <w:marRight w:val="0"/>
                  <w:marTop w:val="0"/>
                  <w:marBottom w:val="0"/>
                  <w:divBdr>
                    <w:top w:val="none" w:sz="0" w:space="0" w:color="auto"/>
                    <w:left w:val="none" w:sz="0" w:space="0" w:color="auto"/>
                    <w:bottom w:val="none" w:sz="0" w:space="0" w:color="auto"/>
                    <w:right w:val="none" w:sz="0" w:space="0" w:color="auto"/>
                  </w:divBdr>
                  <w:divsChild>
                    <w:div w:id="1704819130">
                      <w:marLeft w:val="0"/>
                      <w:marRight w:val="0"/>
                      <w:marTop w:val="0"/>
                      <w:marBottom w:val="0"/>
                      <w:divBdr>
                        <w:top w:val="none" w:sz="0" w:space="0" w:color="auto"/>
                        <w:left w:val="none" w:sz="0" w:space="0" w:color="auto"/>
                        <w:bottom w:val="none" w:sz="0" w:space="0" w:color="auto"/>
                        <w:right w:val="none" w:sz="0" w:space="0" w:color="auto"/>
                      </w:divBdr>
                    </w:div>
                  </w:divsChild>
                </w:div>
                <w:div w:id="2059474675">
                  <w:marLeft w:val="0"/>
                  <w:marRight w:val="0"/>
                  <w:marTop w:val="0"/>
                  <w:marBottom w:val="0"/>
                  <w:divBdr>
                    <w:top w:val="none" w:sz="0" w:space="0" w:color="auto"/>
                    <w:left w:val="none" w:sz="0" w:space="0" w:color="auto"/>
                    <w:bottom w:val="none" w:sz="0" w:space="0" w:color="auto"/>
                    <w:right w:val="none" w:sz="0" w:space="0" w:color="auto"/>
                  </w:divBdr>
                  <w:divsChild>
                    <w:div w:id="127613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035776">
      <w:bodyDiv w:val="1"/>
      <w:marLeft w:val="0"/>
      <w:marRight w:val="0"/>
      <w:marTop w:val="0"/>
      <w:marBottom w:val="0"/>
      <w:divBdr>
        <w:top w:val="none" w:sz="0" w:space="0" w:color="auto"/>
        <w:left w:val="none" w:sz="0" w:space="0" w:color="auto"/>
        <w:bottom w:val="none" w:sz="0" w:space="0" w:color="auto"/>
        <w:right w:val="none" w:sz="0" w:space="0" w:color="auto"/>
      </w:divBdr>
    </w:div>
    <w:div w:id="1464536821">
      <w:bodyDiv w:val="1"/>
      <w:marLeft w:val="0"/>
      <w:marRight w:val="0"/>
      <w:marTop w:val="0"/>
      <w:marBottom w:val="0"/>
      <w:divBdr>
        <w:top w:val="none" w:sz="0" w:space="0" w:color="auto"/>
        <w:left w:val="none" w:sz="0" w:space="0" w:color="auto"/>
        <w:bottom w:val="none" w:sz="0" w:space="0" w:color="auto"/>
        <w:right w:val="none" w:sz="0" w:space="0" w:color="auto"/>
      </w:divBdr>
    </w:div>
    <w:div w:id="1464542118">
      <w:bodyDiv w:val="1"/>
      <w:marLeft w:val="0"/>
      <w:marRight w:val="0"/>
      <w:marTop w:val="0"/>
      <w:marBottom w:val="0"/>
      <w:divBdr>
        <w:top w:val="none" w:sz="0" w:space="0" w:color="auto"/>
        <w:left w:val="none" w:sz="0" w:space="0" w:color="auto"/>
        <w:bottom w:val="none" w:sz="0" w:space="0" w:color="auto"/>
        <w:right w:val="none" w:sz="0" w:space="0" w:color="auto"/>
      </w:divBdr>
    </w:div>
    <w:div w:id="1464688369">
      <w:bodyDiv w:val="1"/>
      <w:marLeft w:val="0"/>
      <w:marRight w:val="0"/>
      <w:marTop w:val="0"/>
      <w:marBottom w:val="0"/>
      <w:divBdr>
        <w:top w:val="none" w:sz="0" w:space="0" w:color="auto"/>
        <w:left w:val="none" w:sz="0" w:space="0" w:color="auto"/>
        <w:bottom w:val="none" w:sz="0" w:space="0" w:color="auto"/>
        <w:right w:val="none" w:sz="0" w:space="0" w:color="auto"/>
      </w:divBdr>
    </w:div>
    <w:div w:id="1465854323">
      <w:bodyDiv w:val="1"/>
      <w:marLeft w:val="0"/>
      <w:marRight w:val="0"/>
      <w:marTop w:val="0"/>
      <w:marBottom w:val="0"/>
      <w:divBdr>
        <w:top w:val="none" w:sz="0" w:space="0" w:color="auto"/>
        <w:left w:val="none" w:sz="0" w:space="0" w:color="auto"/>
        <w:bottom w:val="none" w:sz="0" w:space="0" w:color="auto"/>
        <w:right w:val="none" w:sz="0" w:space="0" w:color="auto"/>
      </w:divBdr>
    </w:div>
    <w:div w:id="1466049340">
      <w:bodyDiv w:val="1"/>
      <w:marLeft w:val="0"/>
      <w:marRight w:val="0"/>
      <w:marTop w:val="0"/>
      <w:marBottom w:val="0"/>
      <w:divBdr>
        <w:top w:val="none" w:sz="0" w:space="0" w:color="auto"/>
        <w:left w:val="none" w:sz="0" w:space="0" w:color="auto"/>
        <w:bottom w:val="none" w:sz="0" w:space="0" w:color="auto"/>
        <w:right w:val="none" w:sz="0" w:space="0" w:color="auto"/>
      </w:divBdr>
      <w:divsChild>
        <w:div w:id="367798654">
          <w:marLeft w:val="0"/>
          <w:marRight w:val="0"/>
          <w:marTop w:val="0"/>
          <w:marBottom w:val="0"/>
          <w:divBdr>
            <w:top w:val="none" w:sz="0" w:space="0" w:color="auto"/>
            <w:left w:val="none" w:sz="0" w:space="0" w:color="auto"/>
            <w:bottom w:val="none" w:sz="0" w:space="0" w:color="auto"/>
            <w:right w:val="none" w:sz="0" w:space="0" w:color="auto"/>
          </w:divBdr>
          <w:divsChild>
            <w:div w:id="1105661817">
              <w:marLeft w:val="0"/>
              <w:marRight w:val="0"/>
              <w:marTop w:val="0"/>
              <w:marBottom w:val="0"/>
              <w:divBdr>
                <w:top w:val="none" w:sz="0" w:space="0" w:color="auto"/>
                <w:left w:val="none" w:sz="0" w:space="0" w:color="auto"/>
                <w:bottom w:val="none" w:sz="0" w:space="0" w:color="auto"/>
                <w:right w:val="none" w:sz="0" w:space="0" w:color="auto"/>
              </w:divBdr>
              <w:divsChild>
                <w:div w:id="132666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96400">
      <w:bodyDiv w:val="1"/>
      <w:marLeft w:val="0"/>
      <w:marRight w:val="0"/>
      <w:marTop w:val="0"/>
      <w:marBottom w:val="0"/>
      <w:divBdr>
        <w:top w:val="none" w:sz="0" w:space="0" w:color="auto"/>
        <w:left w:val="none" w:sz="0" w:space="0" w:color="auto"/>
        <w:bottom w:val="none" w:sz="0" w:space="0" w:color="auto"/>
        <w:right w:val="none" w:sz="0" w:space="0" w:color="auto"/>
      </w:divBdr>
    </w:div>
    <w:div w:id="1466510397">
      <w:bodyDiv w:val="1"/>
      <w:marLeft w:val="0"/>
      <w:marRight w:val="0"/>
      <w:marTop w:val="0"/>
      <w:marBottom w:val="0"/>
      <w:divBdr>
        <w:top w:val="none" w:sz="0" w:space="0" w:color="auto"/>
        <w:left w:val="none" w:sz="0" w:space="0" w:color="auto"/>
        <w:bottom w:val="none" w:sz="0" w:space="0" w:color="auto"/>
        <w:right w:val="none" w:sz="0" w:space="0" w:color="auto"/>
      </w:divBdr>
    </w:div>
    <w:div w:id="1467434971">
      <w:bodyDiv w:val="1"/>
      <w:marLeft w:val="0"/>
      <w:marRight w:val="0"/>
      <w:marTop w:val="0"/>
      <w:marBottom w:val="0"/>
      <w:divBdr>
        <w:top w:val="none" w:sz="0" w:space="0" w:color="auto"/>
        <w:left w:val="none" w:sz="0" w:space="0" w:color="auto"/>
        <w:bottom w:val="none" w:sz="0" w:space="0" w:color="auto"/>
        <w:right w:val="none" w:sz="0" w:space="0" w:color="auto"/>
      </w:divBdr>
    </w:div>
    <w:div w:id="1467620135">
      <w:bodyDiv w:val="1"/>
      <w:marLeft w:val="0"/>
      <w:marRight w:val="0"/>
      <w:marTop w:val="0"/>
      <w:marBottom w:val="0"/>
      <w:divBdr>
        <w:top w:val="none" w:sz="0" w:space="0" w:color="auto"/>
        <w:left w:val="none" w:sz="0" w:space="0" w:color="auto"/>
        <w:bottom w:val="none" w:sz="0" w:space="0" w:color="auto"/>
        <w:right w:val="none" w:sz="0" w:space="0" w:color="auto"/>
      </w:divBdr>
    </w:div>
    <w:div w:id="1467622086">
      <w:bodyDiv w:val="1"/>
      <w:marLeft w:val="0"/>
      <w:marRight w:val="0"/>
      <w:marTop w:val="0"/>
      <w:marBottom w:val="0"/>
      <w:divBdr>
        <w:top w:val="none" w:sz="0" w:space="0" w:color="auto"/>
        <w:left w:val="none" w:sz="0" w:space="0" w:color="auto"/>
        <w:bottom w:val="none" w:sz="0" w:space="0" w:color="auto"/>
        <w:right w:val="none" w:sz="0" w:space="0" w:color="auto"/>
      </w:divBdr>
    </w:div>
    <w:div w:id="1467819766">
      <w:bodyDiv w:val="1"/>
      <w:marLeft w:val="0"/>
      <w:marRight w:val="0"/>
      <w:marTop w:val="0"/>
      <w:marBottom w:val="0"/>
      <w:divBdr>
        <w:top w:val="none" w:sz="0" w:space="0" w:color="auto"/>
        <w:left w:val="none" w:sz="0" w:space="0" w:color="auto"/>
        <w:bottom w:val="none" w:sz="0" w:space="0" w:color="auto"/>
        <w:right w:val="none" w:sz="0" w:space="0" w:color="auto"/>
      </w:divBdr>
    </w:div>
    <w:div w:id="1468012931">
      <w:bodyDiv w:val="1"/>
      <w:marLeft w:val="0"/>
      <w:marRight w:val="0"/>
      <w:marTop w:val="0"/>
      <w:marBottom w:val="0"/>
      <w:divBdr>
        <w:top w:val="none" w:sz="0" w:space="0" w:color="auto"/>
        <w:left w:val="none" w:sz="0" w:space="0" w:color="auto"/>
        <w:bottom w:val="none" w:sz="0" w:space="0" w:color="auto"/>
        <w:right w:val="none" w:sz="0" w:space="0" w:color="auto"/>
      </w:divBdr>
      <w:divsChild>
        <w:div w:id="1866597875">
          <w:marLeft w:val="0"/>
          <w:marRight w:val="0"/>
          <w:marTop w:val="0"/>
          <w:marBottom w:val="0"/>
          <w:divBdr>
            <w:top w:val="none" w:sz="0" w:space="0" w:color="auto"/>
            <w:left w:val="none" w:sz="0" w:space="0" w:color="auto"/>
            <w:bottom w:val="none" w:sz="0" w:space="0" w:color="auto"/>
            <w:right w:val="none" w:sz="0" w:space="0" w:color="auto"/>
          </w:divBdr>
          <w:divsChild>
            <w:div w:id="1126583648">
              <w:marLeft w:val="0"/>
              <w:marRight w:val="0"/>
              <w:marTop w:val="0"/>
              <w:marBottom w:val="0"/>
              <w:divBdr>
                <w:top w:val="none" w:sz="0" w:space="0" w:color="auto"/>
                <w:left w:val="none" w:sz="0" w:space="0" w:color="auto"/>
                <w:bottom w:val="none" w:sz="0" w:space="0" w:color="auto"/>
                <w:right w:val="none" w:sz="0" w:space="0" w:color="auto"/>
              </w:divBdr>
              <w:divsChild>
                <w:div w:id="67847151">
                  <w:marLeft w:val="0"/>
                  <w:marRight w:val="0"/>
                  <w:marTop w:val="0"/>
                  <w:marBottom w:val="0"/>
                  <w:divBdr>
                    <w:top w:val="none" w:sz="0" w:space="0" w:color="auto"/>
                    <w:left w:val="none" w:sz="0" w:space="0" w:color="auto"/>
                    <w:bottom w:val="none" w:sz="0" w:space="0" w:color="auto"/>
                    <w:right w:val="none" w:sz="0" w:space="0" w:color="auto"/>
                  </w:divBdr>
                  <w:divsChild>
                    <w:div w:id="2607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013838">
      <w:bodyDiv w:val="1"/>
      <w:marLeft w:val="0"/>
      <w:marRight w:val="0"/>
      <w:marTop w:val="0"/>
      <w:marBottom w:val="0"/>
      <w:divBdr>
        <w:top w:val="none" w:sz="0" w:space="0" w:color="auto"/>
        <w:left w:val="none" w:sz="0" w:space="0" w:color="auto"/>
        <w:bottom w:val="none" w:sz="0" w:space="0" w:color="auto"/>
        <w:right w:val="none" w:sz="0" w:space="0" w:color="auto"/>
      </w:divBdr>
    </w:div>
    <w:div w:id="1468548570">
      <w:bodyDiv w:val="1"/>
      <w:marLeft w:val="0"/>
      <w:marRight w:val="0"/>
      <w:marTop w:val="0"/>
      <w:marBottom w:val="0"/>
      <w:divBdr>
        <w:top w:val="none" w:sz="0" w:space="0" w:color="auto"/>
        <w:left w:val="none" w:sz="0" w:space="0" w:color="auto"/>
        <w:bottom w:val="none" w:sz="0" w:space="0" w:color="auto"/>
        <w:right w:val="none" w:sz="0" w:space="0" w:color="auto"/>
      </w:divBdr>
      <w:divsChild>
        <w:div w:id="968973284">
          <w:marLeft w:val="0"/>
          <w:marRight w:val="0"/>
          <w:marTop w:val="0"/>
          <w:marBottom w:val="0"/>
          <w:divBdr>
            <w:top w:val="none" w:sz="0" w:space="0" w:color="auto"/>
            <w:left w:val="none" w:sz="0" w:space="0" w:color="auto"/>
            <w:bottom w:val="none" w:sz="0" w:space="0" w:color="auto"/>
            <w:right w:val="none" w:sz="0" w:space="0" w:color="auto"/>
          </w:divBdr>
          <w:divsChild>
            <w:div w:id="1143698458">
              <w:marLeft w:val="0"/>
              <w:marRight w:val="0"/>
              <w:marTop w:val="0"/>
              <w:marBottom w:val="0"/>
              <w:divBdr>
                <w:top w:val="none" w:sz="0" w:space="0" w:color="auto"/>
                <w:left w:val="none" w:sz="0" w:space="0" w:color="auto"/>
                <w:bottom w:val="none" w:sz="0" w:space="0" w:color="auto"/>
                <w:right w:val="none" w:sz="0" w:space="0" w:color="auto"/>
              </w:divBdr>
              <w:divsChild>
                <w:div w:id="2127961302">
                  <w:marLeft w:val="0"/>
                  <w:marRight w:val="0"/>
                  <w:marTop w:val="0"/>
                  <w:marBottom w:val="0"/>
                  <w:divBdr>
                    <w:top w:val="none" w:sz="0" w:space="0" w:color="auto"/>
                    <w:left w:val="none" w:sz="0" w:space="0" w:color="auto"/>
                    <w:bottom w:val="none" w:sz="0" w:space="0" w:color="auto"/>
                    <w:right w:val="none" w:sz="0" w:space="0" w:color="auto"/>
                  </w:divBdr>
                  <w:divsChild>
                    <w:div w:id="590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6861">
      <w:bodyDiv w:val="1"/>
      <w:marLeft w:val="0"/>
      <w:marRight w:val="0"/>
      <w:marTop w:val="0"/>
      <w:marBottom w:val="0"/>
      <w:divBdr>
        <w:top w:val="none" w:sz="0" w:space="0" w:color="auto"/>
        <w:left w:val="none" w:sz="0" w:space="0" w:color="auto"/>
        <w:bottom w:val="none" w:sz="0" w:space="0" w:color="auto"/>
        <w:right w:val="none" w:sz="0" w:space="0" w:color="auto"/>
      </w:divBdr>
    </w:div>
    <w:div w:id="1469280276">
      <w:bodyDiv w:val="1"/>
      <w:marLeft w:val="0"/>
      <w:marRight w:val="0"/>
      <w:marTop w:val="0"/>
      <w:marBottom w:val="0"/>
      <w:divBdr>
        <w:top w:val="none" w:sz="0" w:space="0" w:color="auto"/>
        <w:left w:val="none" w:sz="0" w:space="0" w:color="auto"/>
        <w:bottom w:val="none" w:sz="0" w:space="0" w:color="auto"/>
        <w:right w:val="none" w:sz="0" w:space="0" w:color="auto"/>
      </w:divBdr>
    </w:div>
    <w:div w:id="1469398100">
      <w:bodyDiv w:val="1"/>
      <w:marLeft w:val="0"/>
      <w:marRight w:val="0"/>
      <w:marTop w:val="0"/>
      <w:marBottom w:val="0"/>
      <w:divBdr>
        <w:top w:val="none" w:sz="0" w:space="0" w:color="auto"/>
        <w:left w:val="none" w:sz="0" w:space="0" w:color="auto"/>
        <w:bottom w:val="none" w:sz="0" w:space="0" w:color="auto"/>
        <w:right w:val="none" w:sz="0" w:space="0" w:color="auto"/>
      </w:divBdr>
    </w:div>
    <w:div w:id="1469589187">
      <w:bodyDiv w:val="1"/>
      <w:marLeft w:val="0"/>
      <w:marRight w:val="0"/>
      <w:marTop w:val="0"/>
      <w:marBottom w:val="0"/>
      <w:divBdr>
        <w:top w:val="none" w:sz="0" w:space="0" w:color="auto"/>
        <w:left w:val="none" w:sz="0" w:space="0" w:color="auto"/>
        <w:bottom w:val="none" w:sz="0" w:space="0" w:color="auto"/>
        <w:right w:val="none" w:sz="0" w:space="0" w:color="auto"/>
      </w:divBdr>
      <w:divsChild>
        <w:div w:id="1423793568">
          <w:marLeft w:val="0"/>
          <w:marRight w:val="0"/>
          <w:marTop w:val="0"/>
          <w:marBottom w:val="0"/>
          <w:divBdr>
            <w:top w:val="none" w:sz="0" w:space="0" w:color="auto"/>
            <w:left w:val="none" w:sz="0" w:space="0" w:color="auto"/>
            <w:bottom w:val="none" w:sz="0" w:space="0" w:color="auto"/>
            <w:right w:val="none" w:sz="0" w:space="0" w:color="auto"/>
          </w:divBdr>
          <w:divsChild>
            <w:div w:id="417294949">
              <w:marLeft w:val="0"/>
              <w:marRight w:val="0"/>
              <w:marTop w:val="0"/>
              <w:marBottom w:val="0"/>
              <w:divBdr>
                <w:top w:val="none" w:sz="0" w:space="0" w:color="auto"/>
                <w:left w:val="none" w:sz="0" w:space="0" w:color="auto"/>
                <w:bottom w:val="none" w:sz="0" w:space="0" w:color="auto"/>
                <w:right w:val="none" w:sz="0" w:space="0" w:color="auto"/>
              </w:divBdr>
              <w:divsChild>
                <w:div w:id="21203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37303">
      <w:bodyDiv w:val="1"/>
      <w:marLeft w:val="0"/>
      <w:marRight w:val="0"/>
      <w:marTop w:val="0"/>
      <w:marBottom w:val="0"/>
      <w:divBdr>
        <w:top w:val="none" w:sz="0" w:space="0" w:color="auto"/>
        <w:left w:val="none" w:sz="0" w:space="0" w:color="auto"/>
        <w:bottom w:val="none" w:sz="0" w:space="0" w:color="auto"/>
        <w:right w:val="none" w:sz="0" w:space="0" w:color="auto"/>
      </w:divBdr>
      <w:divsChild>
        <w:div w:id="932007083">
          <w:marLeft w:val="0"/>
          <w:marRight w:val="0"/>
          <w:marTop w:val="0"/>
          <w:marBottom w:val="0"/>
          <w:divBdr>
            <w:top w:val="none" w:sz="0" w:space="0" w:color="auto"/>
            <w:left w:val="none" w:sz="0" w:space="0" w:color="auto"/>
            <w:bottom w:val="none" w:sz="0" w:space="0" w:color="auto"/>
            <w:right w:val="none" w:sz="0" w:space="0" w:color="auto"/>
          </w:divBdr>
          <w:divsChild>
            <w:div w:id="737246865">
              <w:marLeft w:val="0"/>
              <w:marRight w:val="0"/>
              <w:marTop w:val="0"/>
              <w:marBottom w:val="0"/>
              <w:divBdr>
                <w:top w:val="none" w:sz="0" w:space="0" w:color="auto"/>
                <w:left w:val="none" w:sz="0" w:space="0" w:color="auto"/>
                <w:bottom w:val="none" w:sz="0" w:space="0" w:color="auto"/>
                <w:right w:val="none" w:sz="0" w:space="0" w:color="auto"/>
              </w:divBdr>
              <w:divsChild>
                <w:div w:id="1000887853">
                  <w:marLeft w:val="0"/>
                  <w:marRight w:val="0"/>
                  <w:marTop w:val="0"/>
                  <w:marBottom w:val="0"/>
                  <w:divBdr>
                    <w:top w:val="none" w:sz="0" w:space="0" w:color="auto"/>
                    <w:left w:val="none" w:sz="0" w:space="0" w:color="auto"/>
                    <w:bottom w:val="none" w:sz="0" w:space="0" w:color="auto"/>
                    <w:right w:val="none" w:sz="0" w:space="0" w:color="auto"/>
                  </w:divBdr>
                  <w:divsChild>
                    <w:div w:id="45174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56028">
      <w:bodyDiv w:val="1"/>
      <w:marLeft w:val="0"/>
      <w:marRight w:val="0"/>
      <w:marTop w:val="0"/>
      <w:marBottom w:val="0"/>
      <w:divBdr>
        <w:top w:val="none" w:sz="0" w:space="0" w:color="auto"/>
        <w:left w:val="none" w:sz="0" w:space="0" w:color="auto"/>
        <w:bottom w:val="none" w:sz="0" w:space="0" w:color="auto"/>
        <w:right w:val="none" w:sz="0" w:space="0" w:color="auto"/>
      </w:divBdr>
    </w:div>
    <w:div w:id="1470396652">
      <w:bodyDiv w:val="1"/>
      <w:marLeft w:val="0"/>
      <w:marRight w:val="0"/>
      <w:marTop w:val="0"/>
      <w:marBottom w:val="0"/>
      <w:divBdr>
        <w:top w:val="none" w:sz="0" w:space="0" w:color="auto"/>
        <w:left w:val="none" w:sz="0" w:space="0" w:color="auto"/>
        <w:bottom w:val="none" w:sz="0" w:space="0" w:color="auto"/>
        <w:right w:val="none" w:sz="0" w:space="0" w:color="auto"/>
      </w:divBdr>
    </w:div>
    <w:div w:id="1470630162">
      <w:bodyDiv w:val="1"/>
      <w:marLeft w:val="0"/>
      <w:marRight w:val="0"/>
      <w:marTop w:val="0"/>
      <w:marBottom w:val="0"/>
      <w:divBdr>
        <w:top w:val="none" w:sz="0" w:space="0" w:color="auto"/>
        <w:left w:val="none" w:sz="0" w:space="0" w:color="auto"/>
        <w:bottom w:val="none" w:sz="0" w:space="0" w:color="auto"/>
        <w:right w:val="none" w:sz="0" w:space="0" w:color="auto"/>
      </w:divBdr>
    </w:div>
    <w:div w:id="1470635977">
      <w:bodyDiv w:val="1"/>
      <w:marLeft w:val="0"/>
      <w:marRight w:val="0"/>
      <w:marTop w:val="0"/>
      <w:marBottom w:val="0"/>
      <w:divBdr>
        <w:top w:val="none" w:sz="0" w:space="0" w:color="auto"/>
        <w:left w:val="none" w:sz="0" w:space="0" w:color="auto"/>
        <w:bottom w:val="none" w:sz="0" w:space="0" w:color="auto"/>
        <w:right w:val="none" w:sz="0" w:space="0" w:color="auto"/>
      </w:divBdr>
    </w:div>
    <w:div w:id="1470901018">
      <w:bodyDiv w:val="1"/>
      <w:marLeft w:val="0"/>
      <w:marRight w:val="0"/>
      <w:marTop w:val="0"/>
      <w:marBottom w:val="0"/>
      <w:divBdr>
        <w:top w:val="none" w:sz="0" w:space="0" w:color="auto"/>
        <w:left w:val="none" w:sz="0" w:space="0" w:color="auto"/>
        <w:bottom w:val="none" w:sz="0" w:space="0" w:color="auto"/>
        <w:right w:val="none" w:sz="0" w:space="0" w:color="auto"/>
      </w:divBdr>
    </w:div>
    <w:div w:id="1471170637">
      <w:bodyDiv w:val="1"/>
      <w:marLeft w:val="0"/>
      <w:marRight w:val="0"/>
      <w:marTop w:val="0"/>
      <w:marBottom w:val="0"/>
      <w:divBdr>
        <w:top w:val="none" w:sz="0" w:space="0" w:color="auto"/>
        <w:left w:val="none" w:sz="0" w:space="0" w:color="auto"/>
        <w:bottom w:val="none" w:sz="0" w:space="0" w:color="auto"/>
        <w:right w:val="none" w:sz="0" w:space="0" w:color="auto"/>
      </w:divBdr>
    </w:div>
    <w:div w:id="1472358246">
      <w:bodyDiv w:val="1"/>
      <w:marLeft w:val="0"/>
      <w:marRight w:val="0"/>
      <w:marTop w:val="0"/>
      <w:marBottom w:val="0"/>
      <w:divBdr>
        <w:top w:val="none" w:sz="0" w:space="0" w:color="auto"/>
        <w:left w:val="none" w:sz="0" w:space="0" w:color="auto"/>
        <w:bottom w:val="none" w:sz="0" w:space="0" w:color="auto"/>
        <w:right w:val="none" w:sz="0" w:space="0" w:color="auto"/>
      </w:divBdr>
    </w:div>
    <w:div w:id="1472673373">
      <w:bodyDiv w:val="1"/>
      <w:marLeft w:val="0"/>
      <w:marRight w:val="0"/>
      <w:marTop w:val="0"/>
      <w:marBottom w:val="0"/>
      <w:divBdr>
        <w:top w:val="none" w:sz="0" w:space="0" w:color="auto"/>
        <w:left w:val="none" w:sz="0" w:space="0" w:color="auto"/>
        <w:bottom w:val="none" w:sz="0" w:space="0" w:color="auto"/>
        <w:right w:val="none" w:sz="0" w:space="0" w:color="auto"/>
      </w:divBdr>
    </w:div>
    <w:div w:id="1473795062">
      <w:bodyDiv w:val="1"/>
      <w:marLeft w:val="0"/>
      <w:marRight w:val="0"/>
      <w:marTop w:val="0"/>
      <w:marBottom w:val="0"/>
      <w:divBdr>
        <w:top w:val="none" w:sz="0" w:space="0" w:color="auto"/>
        <w:left w:val="none" w:sz="0" w:space="0" w:color="auto"/>
        <w:bottom w:val="none" w:sz="0" w:space="0" w:color="auto"/>
        <w:right w:val="none" w:sz="0" w:space="0" w:color="auto"/>
      </w:divBdr>
    </w:div>
    <w:div w:id="1473982789">
      <w:bodyDiv w:val="1"/>
      <w:marLeft w:val="0"/>
      <w:marRight w:val="0"/>
      <w:marTop w:val="0"/>
      <w:marBottom w:val="0"/>
      <w:divBdr>
        <w:top w:val="none" w:sz="0" w:space="0" w:color="auto"/>
        <w:left w:val="none" w:sz="0" w:space="0" w:color="auto"/>
        <w:bottom w:val="none" w:sz="0" w:space="0" w:color="auto"/>
        <w:right w:val="none" w:sz="0" w:space="0" w:color="auto"/>
      </w:divBdr>
      <w:divsChild>
        <w:div w:id="1351223689">
          <w:marLeft w:val="0"/>
          <w:marRight w:val="0"/>
          <w:marTop w:val="0"/>
          <w:marBottom w:val="0"/>
          <w:divBdr>
            <w:top w:val="none" w:sz="0" w:space="0" w:color="auto"/>
            <w:left w:val="none" w:sz="0" w:space="0" w:color="auto"/>
            <w:bottom w:val="none" w:sz="0" w:space="0" w:color="auto"/>
            <w:right w:val="none" w:sz="0" w:space="0" w:color="auto"/>
          </w:divBdr>
          <w:divsChild>
            <w:div w:id="2048481341">
              <w:marLeft w:val="0"/>
              <w:marRight w:val="0"/>
              <w:marTop w:val="0"/>
              <w:marBottom w:val="0"/>
              <w:divBdr>
                <w:top w:val="none" w:sz="0" w:space="0" w:color="auto"/>
                <w:left w:val="none" w:sz="0" w:space="0" w:color="auto"/>
                <w:bottom w:val="none" w:sz="0" w:space="0" w:color="auto"/>
                <w:right w:val="none" w:sz="0" w:space="0" w:color="auto"/>
              </w:divBdr>
              <w:divsChild>
                <w:div w:id="1298562931">
                  <w:marLeft w:val="0"/>
                  <w:marRight w:val="0"/>
                  <w:marTop w:val="0"/>
                  <w:marBottom w:val="0"/>
                  <w:divBdr>
                    <w:top w:val="none" w:sz="0" w:space="0" w:color="auto"/>
                    <w:left w:val="none" w:sz="0" w:space="0" w:color="auto"/>
                    <w:bottom w:val="none" w:sz="0" w:space="0" w:color="auto"/>
                    <w:right w:val="none" w:sz="0" w:space="0" w:color="auto"/>
                  </w:divBdr>
                  <w:divsChild>
                    <w:div w:id="17885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133284">
      <w:bodyDiv w:val="1"/>
      <w:marLeft w:val="0"/>
      <w:marRight w:val="0"/>
      <w:marTop w:val="0"/>
      <w:marBottom w:val="0"/>
      <w:divBdr>
        <w:top w:val="none" w:sz="0" w:space="0" w:color="auto"/>
        <w:left w:val="none" w:sz="0" w:space="0" w:color="auto"/>
        <w:bottom w:val="none" w:sz="0" w:space="0" w:color="auto"/>
        <w:right w:val="none" w:sz="0" w:space="0" w:color="auto"/>
      </w:divBdr>
    </w:div>
    <w:div w:id="1474369685">
      <w:bodyDiv w:val="1"/>
      <w:marLeft w:val="0"/>
      <w:marRight w:val="0"/>
      <w:marTop w:val="0"/>
      <w:marBottom w:val="0"/>
      <w:divBdr>
        <w:top w:val="none" w:sz="0" w:space="0" w:color="auto"/>
        <w:left w:val="none" w:sz="0" w:space="0" w:color="auto"/>
        <w:bottom w:val="none" w:sz="0" w:space="0" w:color="auto"/>
        <w:right w:val="none" w:sz="0" w:space="0" w:color="auto"/>
      </w:divBdr>
    </w:div>
    <w:div w:id="1474442360">
      <w:bodyDiv w:val="1"/>
      <w:marLeft w:val="0"/>
      <w:marRight w:val="0"/>
      <w:marTop w:val="0"/>
      <w:marBottom w:val="0"/>
      <w:divBdr>
        <w:top w:val="none" w:sz="0" w:space="0" w:color="auto"/>
        <w:left w:val="none" w:sz="0" w:space="0" w:color="auto"/>
        <w:bottom w:val="none" w:sz="0" w:space="0" w:color="auto"/>
        <w:right w:val="none" w:sz="0" w:space="0" w:color="auto"/>
      </w:divBdr>
      <w:divsChild>
        <w:div w:id="496850919">
          <w:marLeft w:val="0"/>
          <w:marRight w:val="0"/>
          <w:marTop w:val="0"/>
          <w:marBottom w:val="0"/>
          <w:divBdr>
            <w:top w:val="none" w:sz="0" w:space="0" w:color="auto"/>
            <w:left w:val="none" w:sz="0" w:space="0" w:color="auto"/>
            <w:bottom w:val="none" w:sz="0" w:space="0" w:color="auto"/>
            <w:right w:val="none" w:sz="0" w:space="0" w:color="auto"/>
          </w:divBdr>
          <w:divsChild>
            <w:div w:id="369839931">
              <w:marLeft w:val="0"/>
              <w:marRight w:val="0"/>
              <w:marTop w:val="0"/>
              <w:marBottom w:val="0"/>
              <w:divBdr>
                <w:top w:val="none" w:sz="0" w:space="0" w:color="auto"/>
                <w:left w:val="none" w:sz="0" w:space="0" w:color="auto"/>
                <w:bottom w:val="none" w:sz="0" w:space="0" w:color="auto"/>
                <w:right w:val="none" w:sz="0" w:space="0" w:color="auto"/>
              </w:divBdr>
              <w:divsChild>
                <w:div w:id="477067243">
                  <w:marLeft w:val="0"/>
                  <w:marRight w:val="0"/>
                  <w:marTop w:val="0"/>
                  <w:marBottom w:val="0"/>
                  <w:divBdr>
                    <w:top w:val="none" w:sz="0" w:space="0" w:color="auto"/>
                    <w:left w:val="none" w:sz="0" w:space="0" w:color="auto"/>
                    <w:bottom w:val="none" w:sz="0" w:space="0" w:color="auto"/>
                    <w:right w:val="none" w:sz="0" w:space="0" w:color="auto"/>
                  </w:divBdr>
                  <w:divsChild>
                    <w:div w:id="25369372">
                      <w:marLeft w:val="0"/>
                      <w:marRight w:val="0"/>
                      <w:marTop w:val="0"/>
                      <w:marBottom w:val="0"/>
                      <w:divBdr>
                        <w:top w:val="none" w:sz="0" w:space="0" w:color="auto"/>
                        <w:left w:val="none" w:sz="0" w:space="0" w:color="auto"/>
                        <w:bottom w:val="none" w:sz="0" w:space="0" w:color="auto"/>
                        <w:right w:val="none" w:sz="0" w:space="0" w:color="auto"/>
                      </w:divBdr>
                    </w:div>
                  </w:divsChild>
                </w:div>
                <w:div w:id="982002344">
                  <w:marLeft w:val="0"/>
                  <w:marRight w:val="0"/>
                  <w:marTop w:val="0"/>
                  <w:marBottom w:val="0"/>
                  <w:divBdr>
                    <w:top w:val="none" w:sz="0" w:space="0" w:color="auto"/>
                    <w:left w:val="none" w:sz="0" w:space="0" w:color="auto"/>
                    <w:bottom w:val="none" w:sz="0" w:space="0" w:color="auto"/>
                    <w:right w:val="none" w:sz="0" w:space="0" w:color="auto"/>
                  </w:divBdr>
                  <w:divsChild>
                    <w:div w:id="1231815725">
                      <w:marLeft w:val="0"/>
                      <w:marRight w:val="0"/>
                      <w:marTop w:val="0"/>
                      <w:marBottom w:val="0"/>
                      <w:divBdr>
                        <w:top w:val="none" w:sz="0" w:space="0" w:color="auto"/>
                        <w:left w:val="none" w:sz="0" w:space="0" w:color="auto"/>
                        <w:bottom w:val="none" w:sz="0" w:space="0" w:color="auto"/>
                        <w:right w:val="none" w:sz="0" w:space="0" w:color="auto"/>
                      </w:divBdr>
                    </w:div>
                  </w:divsChild>
                </w:div>
                <w:div w:id="996307246">
                  <w:marLeft w:val="0"/>
                  <w:marRight w:val="0"/>
                  <w:marTop w:val="0"/>
                  <w:marBottom w:val="0"/>
                  <w:divBdr>
                    <w:top w:val="none" w:sz="0" w:space="0" w:color="auto"/>
                    <w:left w:val="none" w:sz="0" w:space="0" w:color="auto"/>
                    <w:bottom w:val="none" w:sz="0" w:space="0" w:color="auto"/>
                    <w:right w:val="none" w:sz="0" w:space="0" w:color="auto"/>
                  </w:divBdr>
                  <w:divsChild>
                    <w:div w:id="33765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490595">
      <w:bodyDiv w:val="1"/>
      <w:marLeft w:val="0"/>
      <w:marRight w:val="0"/>
      <w:marTop w:val="0"/>
      <w:marBottom w:val="0"/>
      <w:divBdr>
        <w:top w:val="none" w:sz="0" w:space="0" w:color="auto"/>
        <w:left w:val="none" w:sz="0" w:space="0" w:color="auto"/>
        <w:bottom w:val="none" w:sz="0" w:space="0" w:color="auto"/>
        <w:right w:val="none" w:sz="0" w:space="0" w:color="auto"/>
      </w:divBdr>
    </w:div>
    <w:div w:id="1476919311">
      <w:bodyDiv w:val="1"/>
      <w:marLeft w:val="0"/>
      <w:marRight w:val="0"/>
      <w:marTop w:val="0"/>
      <w:marBottom w:val="0"/>
      <w:divBdr>
        <w:top w:val="none" w:sz="0" w:space="0" w:color="auto"/>
        <w:left w:val="none" w:sz="0" w:space="0" w:color="auto"/>
        <w:bottom w:val="none" w:sz="0" w:space="0" w:color="auto"/>
        <w:right w:val="none" w:sz="0" w:space="0" w:color="auto"/>
      </w:divBdr>
    </w:div>
    <w:div w:id="1477185026">
      <w:bodyDiv w:val="1"/>
      <w:marLeft w:val="0"/>
      <w:marRight w:val="0"/>
      <w:marTop w:val="0"/>
      <w:marBottom w:val="0"/>
      <w:divBdr>
        <w:top w:val="none" w:sz="0" w:space="0" w:color="auto"/>
        <w:left w:val="none" w:sz="0" w:space="0" w:color="auto"/>
        <w:bottom w:val="none" w:sz="0" w:space="0" w:color="auto"/>
        <w:right w:val="none" w:sz="0" w:space="0" w:color="auto"/>
      </w:divBdr>
    </w:div>
    <w:div w:id="1477408789">
      <w:bodyDiv w:val="1"/>
      <w:marLeft w:val="0"/>
      <w:marRight w:val="0"/>
      <w:marTop w:val="0"/>
      <w:marBottom w:val="0"/>
      <w:divBdr>
        <w:top w:val="none" w:sz="0" w:space="0" w:color="auto"/>
        <w:left w:val="none" w:sz="0" w:space="0" w:color="auto"/>
        <w:bottom w:val="none" w:sz="0" w:space="0" w:color="auto"/>
        <w:right w:val="none" w:sz="0" w:space="0" w:color="auto"/>
      </w:divBdr>
      <w:divsChild>
        <w:div w:id="995381002">
          <w:marLeft w:val="0"/>
          <w:marRight w:val="0"/>
          <w:marTop w:val="0"/>
          <w:marBottom w:val="0"/>
          <w:divBdr>
            <w:top w:val="none" w:sz="0" w:space="0" w:color="auto"/>
            <w:left w:val="none" w:sz="0" w:space="0" w:color="auto"/>
            <w:bottom w:val="none" w:sz="0" w:space="0" w:color="auto"/>
            <w:right w:val="none" w:sz="0" w:space="0" w:color="auto"/>
          </w:divBdr>
          <w:divsChild>
            <w:div w:id="334653662">
              <w:marLeft w:val="0"/>
              <w:marRight w:val="0"/>
              <w:marTop w:val="0"/>
              <w:marBottom w:val="0"/>
              <w:divBdr>
                <w:top w:val="none" w:sz="0" w:space="0" w:color="auto"/>
                <w:left w:val="none" w:sz="0" w:space="0" w:color="auto"/>
                <w:bottom w:val="none" w:sz="0" w:space="0" w:color="auto"/>
                <w:right w:val="none" w:sz="0" w:space="0" w:color="auto"/>
              </w:divBdr>
              <w:divsChild>
                <w:div w:id="748038668">
                  <w:marLeft w:val="0"/>
                  <w:marRight w:val="0"/>
                  <w:marTop w:val="0"/>
                  <w:marBottom w:val="0"/>
                  <w:divBdr>
                    <w:top w:val="none" w:sz="0" w:space="0" w:color="auto"/>
                    <w:left w:val="none" w:sz="0" w:space="0" w:color="auto"/>
                    <w:bottom w:val="none" w:sz="0" w:space="0" w:color="auto"/>
                    <w:right w:val="none" w:sz="0" w:space="0" w:color="auto"/>
                  </w:divBdr>
                  <w:divsChild>
                    <w:div w:id="1070032250">
                      <w:marLeft w:val="0"/>
                      <w:marRight w:val="0"/>
                      <w:marTop w:val="0"/>
                      <w:marBottom w:val="0"/>
                      <w:divBdr>
                        <w:top w:val="none" w:sz="0" w:space="0" w:color="auto"/>
                        <w:left w:val="none" w:sz="0" w:space="0" w:color="auto"/>
                        <w:bottom w:val="none" w:sz="0" w:space="0" w:color="auto"/>
                        <w:right w:val="none" w:sz="0" w:space="0" w:color="auto"/>
                      </w:divBdr>
                    </w:div>
                  </w:divsChild>
                </w:div>
                <w:div w:id="1159271464">
                  <w:marLeft w:val="0"/>
                  <w:marRight w:val="0"/>
                  <w:marTop w:val="0"/>
                  <w:marBottom w:val="0"/>
                  <w:divBdr>
                    <w:top w:val="none" w:sz="0" w:space="0" w:color="auto"/>
                    <w:left w:val="none" w:sz="0" w:space="0" w:color="auto"/>
                    <w:bottom w:val="none" w:sz="0" w:space="0" w:color="auto"/>
                    <w:right w:val="none" w:sz="0" w:space="0" w:color="auto"/>
                  </w:divBdr>
                  <w:divsChild>
                    <w:div w:id="3366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185844">
      <w:bodyDiv w:val="1"/>
      <w:marLeft w:val="0"/>
      <w:marRight w:val="0"/>
      <w:marTop w:val="0"/>
      <w:marBottom w:val="0"/>
      <w:divBdr>
        <w:top w:val="none" w:sz="0" w:space="0" w:color="auto"/>
        <w:left w:val="none" w:sz="0" w:space="0" w:color="auto"/>
        <w:bottom w:val="none" w:sz="0" w:space="0" w:color="auto"/>
        <w:right w:val="none" w:sz="0" w:space="0" w:color="auto"/>
      </w:divBdr>
    </w:div>
    <w:div w:id="1478911519">
      <w:bodyDiv w:val="1"/>
      <w:marLeft w:val="0"/>
      <w:marRight w:val="0"/>
      <w:marTop w:val="0"/>
      <w:marBottom w:val="0"/>
      <w:divBdr>
        <w:top w:val="none" w:sz="0" w:space="0" w:color="auto"/>
        <w:left w:val="none" w:sz="0" w:space="0" w:color="auto"/>
        <w:bottom w:val="none" w:sz="0" w:space="0" w:color="auto"/>
        <w:right w:val="none" w:sz="0" w:space="0" w:color="auto"/>
      </w:divBdr>
    </w:div>
    <w:div w:id="1479421995">
      <w:bodyDiv w:val="1"/>
      <w:marLeft w:val="0"/>
      <w:marRight w:val="0"/>
      <w:marTop w:val="0"/>
      <w:marBottom w:val="0"/>
      <w:divBdr>
        <w:top w:val="none" w:sz="0" w:space="0" w:color="auto"/>
        <w:left w:val="none" w:sz="0" w:space="0" w:color="auto"/>
        <w:bottom w:val="none" w:sz="0" w:space="0" w:color="auto"/>
        <w:right w:val="none" w:sz="0" w:space="0" w:color="auto"/>
      </w:divBdr>
    </w:div>
    <w:div w:id="1479614566">
      <w:bodyDiv w:val="1"/>
      <w:marLeft w:val="0"/>
      <w:marRight w:val="0"/>
      <w:marTop w:val="0"/>
      <w:marBottom w:val="0"/>
      <w:divBdr>
        <w:top w:val="none" w:sz="0" w:space="0" w:color="auto"/>
        <w:left w:val="none" w:sz="0" w:space="0" w:color="auto"/>
        <w:bottom w:val="none" w:sz="0" w:space="0" w:color="auto"/>
        <w:right w:val="none" w:sz="0" w:space="0" w:color="auto"/>
      </w:divBdr>
    </w:div>
    <w:div w:id="1480533006">
      <w:bodyDiv w:val="1"/>
      <w:marLeft w:val="0"/>
      <w:marRight w:val="0"/>
      <w:marTop w:val="0"/>
      <w:marBottom w:val="0"/>
      <w:divBdr>
        <w:top w:val="none" w:sz="0" w:space="0" w:color="auto"/>
        <w:left w:val="none" w:sz="0" w:space="0" w:color="auto"/>
        <w:bottom w:val="none" w:sz="0" w:space="0" w:color="auto"/>
        <w:right w:val="none" w:sz="0" w:space="0" w:color="auto"/>
      </w:divBdr>
    </w:div>
    <w:div w:id="1480919709">
      <w:bodyDiv w:val="1"/>
      <w:marLeft w:val="0"/>
      <w:marRight w:val="0"/>
      <w:marTop w:val="0"/>
      <w:marBottom w:val="0"/>
      <w:divBdr>
        <w:top w:val="none" w:sz="0" w:space="0" w:color="auto"/>
        <w:left w:val="none" w:sz="0" w:space="0" w:color="auto"/>
        <w:bottom w:val="none" w:sz="0" w:space="0" w:color="auto"/>
        <w:right w:val="none" w:sz="0" w:space="0" w:color="auto"/>
      </w:divBdr>
    </w:div>
    <w:div w:id="1481388458">
      <w:bodyDiv w:val="1"/>
      <w:marLeft w:val="0"/>
      <w:marRight w:val="0"/>
      <w:marTop w:val="0"/>
      <w:marBottom w:val="0"/>
      <w:divBdr>
        <w:top w:val="none" w:sz="0" w:space="0" w:color="auto"/>
        <w:left w:val="none" w:sz="0" w:space="0" w:color="auto"/>
        <w:bottom w:val="none" w:sz="0" w:space="0" w:color="auto"/>
        <w:right w:val="none" w:sz="0" w:space="0" w:color="auto"/>
      </w:divBdr>
    </w:div>
    <w:div w:id="1481457642">
      <w:bodyDiv w:val="1"/>
      <w:marLeft w:val="0"/>
      <w:marRight w:val="0"/>
      <w:marTop w:val="0"/>
      <w:marBottom w:val="0"/>
      <w:divBdr>
        <w:top w:val="none" w:sz="0" w:space="0" w:color="auto"/>
        <w:left w:val="none" w:sz="0" w:space="0" w:color="auto"/>
        <w:bottom w:val="none" w:sz="0" w:space="0" w:color="auto"/>
        <w:right w:val="none" w:sz="0" w:space="0" w:color="auto"/>
      </w:divBdr>
      <w:divsChild>
        <w:div w:id="974213164">
          <w:marLeft w:val="0"/>
          <w:marRight w:val="0"/>
          <w:marTop w:val="0"/>
          <w:marBottom w:val="0"/>
          <w:divBdr>
            <w:top w:val="none" w:sz="0" w:space="0" w:color="auto"/>
            <w:left w:val="none" w:sz="0" w:space="0" w:color="auto"/>
            <w:bottom w:val="none" w:sz="0" w:space="0" w:color="auto"/>
            <w:right w:val="none" w:sz="0" w:space="0" w:color="auto"/>
          </w:divBdr>
          <w:divsChild>
            <w:div w:id="203493428">
              <w:marLeft w:val="0"/>
              <w:marRight w:val="0"/>
              <w:marTop w:val="0"/>
              <w:marBottom w:val="0"/>
              <w:divBdr>
                <w:top w:val="none" w:sz="0" w:space="0" w:color="auto"/>
                <w:left w:val="none" w:sz="0" w:space="0" w:color="auto"/>
                <w:bottom w:val="none" w:sz="0" w:space="0" w:color="auto"/>
                <w:right w:val="none" w:sz="0" w:space="0" w:color="auto"/>
              </w:divBdr>
              <w:divsChild>
                <w:div w:id="773862811">
                  <w:marLeft w:val="0"/>
                  <w:marRight w:val="0"/>
                  <w:marTop w:val="0"/>
                  <w:marBottom w:val="0"/>
                  <w:divBdr>
                    <w:top w:val="none" w:sz="0" w:space="0" w:color="auto"/>
                    <w:left w:val="none" w:sz="0" w:space="0" w:color="auto"/>
                    <w:bottom w:val="none" w:sz="0" w:space="0" w:color="auto"/>
                    <w:right w:val="none" w:sz="0" w:space="0" w:color="auto"/>
                  </w:divBdr>
                  <w:divsChild>
                    <w:div w:id="7185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462215">
      <w:bodyDiv w:val="1"/>
      <w:marLeft w:val="0"/>
      <w:marRight w:val="0"/>
      <w:marTop w:val="0"/>
      <w:marBottom w:val="0"/>
      <w:divBdr>
        <w:top w:val="none" w:sz="0" w:space="0" w:color="auto"/>
        <w:left w:val="none" w:sz="0" w:space="0" w:color="auto"/>
        <w:bottom w:val="none" w:sz="0" w:space="0" w:color="auto"/>
        <w:right w:val="none" w:sz="0" w:space="0" w:color="auto"/>
      </w:divBdr>
    </w:div>
    <w:div w:id="1481582983">
      <w:bodyDiv w:val="1"/>
      <w:marLeft w:val="0"/>
      <w:marRight w:val="0"/>
      <w:marTop w:val="0"/>
      <w:marBottom w:val="0"/>
      <w:divBdr>
        <w:top w:val="none" w:sz="0" w:space="0" w:color="auto"/>
        <w:left w:val="none" w:sz="0" w:space="0" w:color="auto"/>
        <w:bottom w:val="none" w:sz="0" w:space="0" w:color="auto"/>
        <w:right w:val="none" w:sz="0" w:space="0" w:color="auto"/>
      </w:divBdr>
    </w:div>
    <w:div w:id="1481651153">
      <w:bodyDiv w:val="1"/>
      <w:marLeft w:val="0"/>
      <w:marRight w:val="0"/>
      <w:marTop w:val="0"/>
      <w:marBottom w:val="0"/>
      <w:divBdr>
        <w:top w:val="none" w:sz="0" w:space="0" w:color="auto"/>
        <w:left w:val="none" w:sz="0" w:space="0" w:color="auto"/>
        <w:bottom w:val="none" w:sz="0" w:space="0" w:color="auto"/>
        <w:right w:val="none" w:sz="0" w:space="0" w:color="auto"/>
      </w:divBdr>
      <w:divsChild>
        <w:div w:id="1135489250">
          <w:marLeft w:val="0"/>
          <w:marRight w:val="0"/>
          <w:marTop w:val="0"/>
          <w:marBottom w:val="0"/>
          <w:divBdr>
            <w:top w:val="none" w:sz="0" w:space="0" w:color="auto"/>
            <w:left w:val="none" w:sz="0" w:space="0" w:color="auto"/>
            <w:bottom w:val="none" w:sz="0" w:space="0" w:color="auto"/>
            <w:right w:val="none" w:sz="0" w:space="0" w:color="auto"/>
          </w:divBdr>
          <w:divsChild>
            <w:div w:id="1308706823">
              <w:marLeft w:val="0"/>
              <w:marRight w:val="0"/>
              <w:marTop w:val="0"/>
              <w:marBottom w:val="0"/>
              <w:divBdr>
                <w:top w:val="none" w:sz="0" w:space="0" w:color="auto"/>
                <w:left w:val="none" w:sz="0" w:space="0" w:color="auto"/>
                <w:bottom w:val="none" w:sz="0" w:space="0" w:color="auto"/>
                <w:right w:val="none" w:sz="0" w:space="0" w:color="auto"/>
              </w:divBdr>
              <w:divsChild>
                <w:div w:id="1032997765">
                  <w:marLeft w:val="0"/>
                  <w:marRight w:val="0"/>
                  <w:marTop w:val="0"/>
                  <w:marBottom w:val="0"/>
                  <w:divBdr>
                    <w:top w:val="none" w:sz="0" w:space="0" w:color="auto"/>
                    <w:left w:val="none" w:sz="0" w:space="0" w:color="auto"/>
                    <w:bottom w:val="none" w:sz="0" w:space="0" w:color="auto"/>
                    <w:right w:val="none" w:sz="0" w:space="0" w:color="auto"/>
                  </w:divBdr>
                  <w:divsChild>
                    <w:div w:id="115738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431347">
      <w:bodyDiv w:val="1"/>
      <w:marLeft w:val="0"/>
      <w:marRight w:val="0"/>
      <w:marTop w:val="0"/>
      <w:marBottom w:val="0"/>
      <w:divBdr>
        <w:top w:val="none" w:sz="0" w:space="0" w:color="auto"/>
        <w:left w:val="none" w:sz="0" w:space="0" w:color="auto"/>
        <w:bottom w:val="none" w:sz="0" w:space="0" w:color="auto"/>
        <w:right w:val="none" w:sz="0" w:space="0" w:color="auto"/>
      </w:divBdr>
    </w:div>
    <w:div w:id="1482884895">
      <w:bodyDiv w:val="1"/>
      <w:marLeft w:val="0"/>
      <w:marRight w:val="0"/>
      <w:marTop w:val="0"/>
      <w:marBottom w:val="0"/>
      <w:divBdr>
        <w:top w:val="none" w:sz="0" w:space="0" w:color="auto"/>
        <w:left w:val="none" w:sz="0" w:space="0" w:color="auto"/>
        <w:bottom w:val="none" w:sz="0" w:space="0" w:color="auto"/>
        <w:right w:val="none" w:sz="0" w:space="0" w:color="auto"/>
      </w:divBdr>
    </w:div>
    <w:div w:id="1484195292">
      <w:bodyDiv w:val="1"/>
      <w:marLeft w:val="0"/>
      <w:marRight w:val="0"/>
      <w:marTop w:val="0"/>
      <w:marBottom w:val="0"/>
      <w:divBdr>
        <w:top w:val="none" w:sz="0" w:space="0" w:color="auto"/>
        <w:left w:val="none" w:sz="0" w:space="0" w:color="auto"/>
        <w:bottom w:val="none" w:sz="0" w:space="0" w:color="auto"/>
        <w:right w:val="none" w:sz="0" w:space="0" w:color="auto"/>
      </w:divBdr>
    </w:div>
    <w:div w:id="1484463534">
      <w:bodyDiv w:val="1"/>
      <w:marLeft w:val="0"/>
      <w:marRight w:val="0"/>
      <w:marTop w:val="0"/>
      <w:marBottom w:val="0"/>
      <w:divBdr>
        <w:top w:val="none" w:sz="0" w:space="0" w:color="auto"/>
        <w:left w:val="none" w:sz="0" w:space="0" w:color="auto"/>
        <w:bottom w:val="none" w:sz="0" w:space="0" w:color="auto"/>
        <w:right w:val="none" w:sz="0" w:space="0" w:color="auto"/>
      </w:divBdr>
    </w:div>
    <w:div w:id="1484656525">
      <w:bodyDiv w:val="1"/>
      <w:marLeft w:val="0"/>
      <w:marRight w:val="0"/>
      <w:marTop w:val="0"/>
      <w:marBottom w:val="0"/>
      <w:divBdr>
        <w:top w:val="none" w:sz="0" w:space="0" w:color="auto"/>
        <w:left w:val="none" w:sz="0" w:space="0" w:color="auto"/>
        <w:bottom w:val="none" w:sz="0" w:space="0" w:color="auto"/>
        <w:right w:val="none" w:sz="0" w:space="0" w:color="auto"/>
      </w:divBdr>
    </w:div>
    <w:div w:id="1485857229">
      <w:bodyDiv w:val="1"/>
      <w:marLeft w:val="0"/>
      <w:marRight w:val="0"/>
      <w:marTop w:val="0"/>
      <w:marBottom w:val="0"/>
      <w:divBdr>
        <w:top w:val="none" w:sz="0" w:space="0" w:color="auto"/>
        <w:left w:val="none" w:sz="0" w:space="0" w:color="auto"/>
        <w:bottom w:val="none" w:sz="0" w:space="0" w:color="auto"/>
        <w:right w:val="none" w:sz="0" w:space="0" w:color="auto"/>
      </w:divBdr>
    </w:div>
    <w:div w:id="1487043539">
      <w:bodyDiv w:val="1"/>
      <w:marLeft w:val="0"/>
      <w:marRight w:val="0"/>
      <w:marTop w:val="0"/>
      <w:marBottom w:val="0"/>
      <w:divBdr>
        <w:top w:val="none" w:sz="0" w:space="0" w:color="auto"/>
        <w:left w:val="none" w:sz="0" w:space="0" w:color="auto"/>
        <w:bottom w:val="none" w:sz="0" w:space="0" w:color="auto"/>
        <w:right w:val="none" w:sz="0" w:space="0" w:color="auto"/>
      </w:divBdr>
    </w:div>
    <w:div w:id="1488008391">
      <w:bodyDiv w:val="1"/>
      <w:marLeft w:val="0"/>
      <w:marRight w:val="0"/>
      <w:marTop w:val="0"/>
      <w:marBottom w:val="0"/>
      <w:divBdr>
        <w:top w:val="none" w:sz="0" w:space="0" w:color="auto"/>
        <w:left w:val="none" w:sz="0" w:space="0" w:color="auto"/>
        <w:bottom w:val="none" w:sz="0" w:space="0" w:color="auto"/>
        <w:right w:val="none" w:sz="0" w:space="0" w:color="auto"/>
      </w:divBdr>
      <w:divsChild>
        <w:div w:id="1449815987">
          <w:marLeft w:val="0"/>
          <w:marRight w:val="0"/>
          <w:marTop w:val="0"/>
          <w:marBottom w:val="0"/>
          <w:divBdr>
            <w:top w:val="none" w:sz="0" w:space="0" w:color="auto"/>
            <w:left w:val="none" w:sz="0" w:space="0" w:color="auto"/>
            <w:bottom w:val="none" w:sz="0" w:space="0" w:color="auto"/>
            <w:right w:val="none" w:sz="0" w:space="0" w:color="auto"/>
          </w:divBdr>
          <w:divsChild>
            <w:div w:id="300767254">
              <w:marLeft w:val="0"/>
              <w:marRight w:val="0"/>
              <w:marTop w:val="0"/>
              <w:marBottom w:val="0"/>
              <w:divBdr>
                <w:top w:val="none" w:sz="0" w:space="0" w:color="auto"/>
                <w:left w:val="none" w:sz="0" w:space="0" w:color="auto"/>
                <w:bottom w:val="none" w:sz="0" w:space="0" w:color="auto"/>
                <w:right w:val="none" w:sz="0" w:space="0" w:color="auto"/>
              </w:divBdr>
              <w:divsChild>
                <w:div w:id="3022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593536">
      <w:bodyDiv w:val="1"/>
      <w:marLeft w:val="0"/>
      <w:marRight w:val="0"/>
      <w:marTop w:val="0"/>
      <w:marBottom w:val="0"/>
      <w:divBdr>
        <w:top w:val="none" w:sz="0" w:space="0" w:color="auto"/>
        <w:left w:val="none" w:sz="0" w:space="0" w:color="auto"/>
        <w:bottom w:val="none" w:sz="0" w:space="0" w:color="auto"/>
        <w:right w:val="none" w:sz="0" w:space="0" w:color="auto"/>
      </w:divBdr>
    </w:div>
    <w:div w:id="1488783418">
      <w:bodyDiv w:val="1"/>
      <w:marLeft w:val="0"/>
      <w:marRight w:val="0"/>
      <w:marTop w:val="0"/>
      <w:marBottom w:val="0"/>
      <w:divBdr>
        <w:top w:val="none" w:sz="0" w:space="0" w:color="auto"/>
        <w:left w:val="none" w:sz="0" w:space="0" w:color="auto"/>
        <w:bottom w:val="none" w:sz="0" w:space="0" w:color="auto"/>
        <w:right w:val="none" w:sz="0" w:space="0" w:color="auto"/>
      </w:divBdr>
    </w:div>
    <w:div w:id="1489519330">
      <w:bodyDiv w:val="1"/>
      <w:marLeft w:val="0"/>
      <w:marRight w:val="0"/>
      <w:marTop w:val="0"/>
      <w:marBottom w:val="0"/>
      <w:divBdr>
        <w:top w:val="none" w:sz="0" w:space="0" w:color="auto"/>
        <w:left w:val="none" w:sz="0" w:space="0" w:color="auto"/>
        <w:bottom w:val="none" w:sz="0" w:space="0" w:color="auto"/>
        <w:right w:val="none" w:sz="0" w:space="0" w:color="auto"/>
      </w:divBdr>
    </w:div>
    <w:div w:id="1491406888">
      <w:bodyDiv w:val="1"/>
      <w:marLeft w:val="0"/>
      <w:marRight w:val="0"/>
      <w:marTop w:val="0"/>
      <w:marBottom w:val="0"/>
      <w:divBdr>
        <w:top w:val="none" w:sz="0" w:space="0" w:color="auto"/>
        <w:left w:val="none" w:sz="0" w:space="0" w:color="auto"/>
        <w:bottom w:val="none" w:sz="0" w:space="0" w:color="auto"/>
        <w:right w:val="none" w:sz="0" w:space="0" w:color="auto"/>
      </w:divBdr>
    </w:div>
    <w:div w:id="1491797173">
      <w:bodyDiv w:val="1"/>
      <w:marLeft w:val="0"/>
      <w:marRight w:val="0"/>
      <w:marTop w:val="0"/>
      <w:marBottom w:val="0"/>
      <w:divBdr>
        <w:top w:val="none" w:sz="0" w:space="0" w:color="auto"/>
        <w:left w:val="none" w:sz="0" w:space="0" w:color="auto"/>
        <w:bottom w:val="none" w:sz="0" w:space="0" w:color="auto"/>
        <w:right w:val="none" w:sz="0" w:space="0" w:color="auto"/>
      </w:divBdr>
    </w:div>
    <w:div w:id="1492794911">
      <w:bodyDiv w:val="1"/>
      <w:marLeft w:val="0"/>
      <w:marRight w:val="0"/>
      <w:marTop w:val="0"/>
      <w:marBottom w:val="0"/>
      <w:divBdr>
        <w:top w:val="none" w:sz="0" w:space="0" w:color="auto"/>
        <w:left w:val="none" w:sz="0" w:space="0" w:color="auto"/>
        <w:bottom w:val="none" w:sz="0" w:space="0" w:color="auto"/>
        <w:right w:val="none" w:sz="0" w:space="0" w:color="auto"/>
      </w:divBdr>
      <w:divsChild>
        <w:div w:id="1060055772">
          <w:marLeft w:val="0"/>
          <w:marRight w:val="0"/>
          <w:marTop w:val="0"/>
          <w:marBottom w:val="0"/>
          <w:divBdr>
            <w:top w:val="none" w:sz="0" w:space="0" w:color="auto"/>
            <w:left w:val="none" w:sz="0" w:space="0" w:color="auto"/>
            <w:bottom w:val="none" w:sz="0" w:space="0" w:color="auto"/>
            <w:right w:val="none" w:sz="0" w:space="0" w:color="auto"/>
          </w:divBdr>
          <w:divsChild>
            <w:div w:id="1685285387">
              <w:marLeft w:val="0"/>
              <w:marRight w:val="0"/>
              <w:marTop w:val="0"/>
              <w:marBottom w:val="0"/>
              <w:divBdr>
                <w:top w:val="none" w:sz="0" w:space="0" w:color="auto"/>
                <w:left w:val="none" w:sz="0" w:space="0" w:color="auto"/>
                <w:bottom w:val="none" w:sz="0" w:space="0" w:color="auto"/>
                <w:right w:val="none" w:sz="0" w:space="0" w:color="auto"/>
              </w:divBdr>
              <w:divsChild>
                <w:div w:id="1377436815">
                  <w:marLeft w:val="0"/>
                  <w:marRight w:val="0"/>
                  <w:marTop w:val="0"/>
                  <w:marBottom w:val="0"/>
                  <w:divBdr>
                    <w:top w:val="none" w:sz="0" w:space="0" w:color="auto"/>
                    <w:left w:val="none" w:sz="0" w:space="0" w:color="auto"/>
                    <w:bottom w:val="none" w:sz="0" w:space="0" w:color="auto"/>
                    <w:right w:val="none" w:sz="0" w:space="0" w:color="auto"/>
                  </w:divBdr>
                  <w:divsChild>
                    <w:div w:id="635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443861">
      <w:bodyDiv w:val="1"/>
      <w:marLeft w:val="0"/>
      <w:marRight w:val="0"/>
      <w:marTop w:val="0"/>
      <w:marBottom w:val="0"/>
      <w:divBdr>
        <w:top w:val="none" w:sz="0" w:space="0" w:color="auto"/>
        <w:left w:val="none" w:sz="0" w:space="0" w:color="auto"/>
        <w:bottom w:val="none" w:sz="0" w:space="0" w:color="auto"/>
        <w:right w:val="none" w:sz="0" w:space="0" w:color="auto"/>
      </w:divBdr>
    </w:div>
    <w:div w:id="1493527556">
      <w:bodyDiv w:val="1"/>
      <w:marLeft w:val="0"/>
      <w:marRight w:val="0"/>
      <w:marTop w:val="0"/>
      <w:marBottom w:val="0"/>
      <w:divBdr>
        <w:top w:val="none" w:sz="0" w:space="0" w:color="auto"/>
        <w:left w:val="none" w:sz="0" w:space="0" w:color="auto"/>
        <w:bottom w:val="none" w:sz="0" w:space="0" w:color="auto"/>
        <w:right w:val="none" w:sz="0" w:space="0" w:color="auto"/>
      </w:divBdr>
    </w:div>
    <w:div w:id="1494952504">
      <w:bodyDiv w:val="1"/>
      <w:marLeft w:val="0"/>
      <w:marRight w:val="0"/>
      <w:marTop w:val="0"/>
      <w:marBottom w:val="0"/>
      <w:divBdr>
        <w:top w:val="none" w:sz="0" w:space="0" w:color="auto"/>
        <w:left w:val="none" w:sz="0" w:space="0" w:color="auto"/>
        <w:bottom w:val="none" w:sz="0" w:space="0" w:color="auto"/>
        <w:right w:val="none" w:sz="0" w:space="0" w:color="auto"/>
      </w:divBdr>
    </w:div>
    <w:div w:id="1498032534">
      <w:bodyDiv w:val="1"/>
      <w:marLeft w:val="0"/>
      <w:marRight w:val="0"/>
      <w:marTop w:val="0"/>
      <w:marBottom w:val="0"/>
      <w:divBdr>
        <w:top w:val="none" w:sz="0" w:space="0" w:color="auto"/>
        <w:left w:val="none" w:sz="0" w:space="0" w:color="auto"/>
        <w:bottom w:val="none" w:sz="0" w:space="0" w:color="auto"/>
        <w:right w:val="none" w:sz="0" w:space="0" w:color="auto"/>
      </w:divBdr>
    </w:div>
    <w:div w:id="1498499641">
      <w:bodyDiv w:val="1"/>
      <w:marLeft w:val="0"/>
      <w:marRight w:val="0"/>
      <w:marTop w:val="0"/>
      <w:marBottom w:val="0"/>
      <w:divBdr>
        <w:top w:val="none" w:sz="0" w:space="0" w:color="auto"/>
        <w:left w:val="none" w:sz="0" w:space="0" w:color="auto"/>
        <w:bottom w:val="none" w:sz="0" w:space="0" w:color="auto"/>
        <w:right w:val="none" w:sz="0" w:space="0" w:color="auto"/>
      </w:divBdr>
      <w:divsChild>
        <w:div w:id="892548475">
          <w:marLeft w:val="0"/>
          <w:marRight w:val="0"/>
          <w:marTop w:val="0"/>
          <w:marBottom w:val="0"/>
          <w:divBdr>
            <w:top w:val="none" w:sz="0" w:space="0" w:color="auto"/>
            <w:left w:val="none" w:sz="0" w:space="0" w:color="auto"/>
            <w:bottom w:val="none" w:sz="0" w:space="0" w:color="auto"/>
            <w:right w:val="none" w:sz="0" w:space="0" w:color="auto"/>
          </w:divBdr>
          <w:divsChild>
            <w:div w:id="14547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20223">
      <w:bodyDiv w:val="1"/>
      <w:marLeft w:val="0"/>
      <w:marRight w:val="0"/>
      <w:marTop w:val="0"/>
      <w:marBottom w:val="0"/>
      <w:divBdr>
        <w:top w:val="none" w:sz="0" w:space="0" w:color="auto"/>
        <w:left w:val="none" w:sz="0" w:space="0" w:color="auto"/>
        <w:bottom w:val="none" w:sz="0" w:space="0" w:color="auto"/>
        <w:right w:val="none" w:sz="0" w:space="0" w:color="auto"/>
      </w:divBdr>
    </w:div>
    <w:div w:id="1499689224">
      <w:bodyDiv w:val="1"/>
      <w:marLeft w:val="0"/>
      <w:marRight w:val="0"/>
      <w:marTop w:val="0"/>
      <w:marBottom w:val="0"/>
      <w:divBdr>
        <w:top w:val="none" w:sz="0" w:space="0" w:color="auto"/>
        <w:left w:val="none" w:sz="0" w:space="0" w:color="auto"/>
        <w:bottom w:val="none" w:sz="0" w:space="0" w:color="auto"/>
        <w:right w:val="none" w:sz="0" w:space="0" w:color="auto"/>
      </w:divBdr>
    </w:div>
    <w:div w:id="1500845567">
      <w:bodyDiv w:val="1"/>
      <w:marLeft w:val="0"/>
      <w:marRight w:val="0"/>
      <w:marTop w:val="0"/>
      <w:marBottom w:val="0"/>
      <w:divBdr>
        <w:top w:val="none" w:sz="0" w:space="0" w:color="auto"/>
        <w:left w:val="none" w:sz="0" w:space="0" w:color="auto"/>
        <w:bottom w:val="none" w:sz="0" w:space="0" w:color="auto"/>
        <w:right w:val="none" w:sz="0" w:space="0" w:color="auto"/>
      </w:divBdr>
      <w:divsChild>
        <w:div w:id="1135176907">
          <w:marLeft w:val="0"/>
          <w:marRight w:val="0"/>
          <w:marTop w:val="0"/>
          <w:marBottom w:val="0"/>
          <w:divBdr>
            <w:top w:val="none" w:sz="0" w:space="0" w:color="auto"/>
            <w:left w:val="none" w:sz="0" w:space="0" w:color="auto"/>
            <w:bottom w:val="none" w:sz="0" w:space="0" w:color="auto"/>
            <w:right w:val="none" w:sz="0" w:space="0" w:color="auto"/>
          </w:divBdr>
          <w:divsChild>
            <w:div w:id="1700469373">
              <w:marLeft w:val="0"/>
              <w:marRight w:val="0"/>
              <w:marTop w:val="0"/>
              <w:marBottom w:val="0"/>
              <w:divBdr>
                <w:top w:val="none" w:sz="0" w:space="0" w:color="auto"/>
                <w:left w:val="none" w:sz="0" w:space="0" w:color="auto"/>
                <w:bottom w:val="none" w:sz="0" w:space="0" w:color="auto"/>
                <w:right w:val="none" w:sz="0" w:space="0" w:color="auto"/>
              </w:divBdr>
              <w:divsChild>
                <w:div w:id="1929382842">
                  <w:marLeft w:val="0"/>
                  <w:marRight w:val="0"/>
                  <w:marTop w:val="0"/>
                  <w:marBottom w:val="0"/>
                  <w:divBdr>
                    <w:top w:val="none" w:sz="0" w:space="0" w:color="auto"/>
                    <w:left w:val="none" w:sz="0" w:space="0" w:color="auto"/>
                    <w:bottom w:val="none" w:sz="0" w:space="0" w:color="auto"/>
                    <w:right w:val="none" w:sz="0" w:space="0" w:color="auto"/>
                  </w:divBdr>
                  <w:divsChild>
                    <w:div w:id="25645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971436">
      <w:bodyDiv w:val="1"/>
      <w:marLeft w:val="0"/>
      <w:marRight w:val="0"/>
      <w:marTop w:val="0"/>
      <w:marBottom w:val="0"/>
      <w:divBdr>
        <w:top w:val="none" w:sz="0" w:space="0" w:color="auto"/>
        <w:left w:val="none" w:sz="0" w:space="0" w:color="auto"/>
        <w:bottom w:val="none" w:sz="0" w:space="0" w:color="auto"/>
        <w:right w:val="none" w:sz="0" w:space="0" w:color="auto"/>
      </w:divBdr>
      <w:divsChild>
        <w:div w:id="666249832">
          <w:marLeft w:val="0"/>
          <w:marRight w:val="0"/>
          <w:marTop w:val="0"/>
          <w:marBottom w:val="0"/>
          <w:divBdr>
            <w:top w:val="none" w:sz="0" w:space="0" w:color="auto"/>
            <w:left w:val="none" w:sz="0" w:space="0" w:color="auto"/>
            <w:bottom w:val="none" w:sz="0" w:space="0" w:color="auto"/>
            <w:right w:val="none" w:sz="0" w:space="0" w:color="auto"/>
          </w:divBdr>
          <w:divsChild>
            <w:div w:id="1674794491">
              <w:marLeft w:val="0"/>
              <w:marRight w:val="0"/>
              <w:marTop w:val="0"/>
              <w:marBottom w:val="0"/>
              <w:divBdr>
                <w:top w:val="none" w:sz="0" w:space="0" w:color="auto"/>
                <w:left w:val="none" w:sz="0" w:space="0" w:color="auto"/>
                <w:bottom w:val="none" w:sz="0" w:space="0" w:color="auto"/>
                <w:right w:val="none" w:sz="0" w:space="0" w:color="auto"/>
              </w:divBdr>
              <w:divsChild>
                <w:div w:id="2093578581">
                  <w:marLeft w:val="0"/>
                  <w:marRight w:val="0"/>
                  <w:marTop w:val="0"/>
                  <w:marBottom w:val="0"/>
                  <w:divBdr>
                    <w:top w:val="none" w:sz="0" w:space="0" w:color="auto"/>
                    <w:left w:val="none" w:sz="0" w:space="0" w:color="auto"/>
                    <w:bottom w:val="none" w:sz="0" w:space="0" w:color="auto"/>
                    <w:right w:val="none" w:sz="0" w:space="0" w:color="auto"/>
                  </w:divBdr>
                  <w:divsChild>
                    <w:div w:id="14026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047124">
      <w:bodyDiv w:val="1"/>
      <w:marLeft w:val="0"/>
      <w:marRight w:val="0"/>
      <w:marTop w:val="0"/>
      <w:marBottom w:val="0"/>
      <w:divBdr>
        <w:top w:val="none" w:sz="0" w:space="0" w:color="auto"/>
        <w:left w:val="none" w:sz="0" w:space="0" w:color="auto"/>
        <w:bottom w:val="none" w:sz="0" w:space="0" w:color="auto"/>
        <w:right w:val="none" w:sz="0" w:space="0" w:color="auto"/>
      </w:divBdr>
    </w:div>
    <w:div w:id="1501239433">
      <w:bodyDiv w:val="1"/>
      <w:marLeft w:val="0"/>
      <w:marRight w:val="0"/>
      <w:marTop w:val="0"/>
      <w:marBottom w:val="0"/>
      <w:divBdr>
        <w:top w:val="none" w:sz="0" w:space="0" w:color="auto"/>
        <w:left w:val="none" w:sz="0" w:space="0" w:color="auto"/>
        <w:bottom w:val="none" w:sz="0" w:space="0" w:color="auto"/>
        <w:right w:val="none" w:sz="0" w:space="0" w:color="auto"/>
      </w:divBdr>
    </w:div>
    <w:div w:id="1501584875">
      <w:bodyDiv w:val="1"/>
      <w:marLeft w:val="0"/>
      <w:marRight w:val="0"/>
      <w:marTop w:val="0"/>
      <w:marBottom w:val="0"/>
      <w:divBdr>
        <w:top w:val="none" w:sz="0" w:space="0" w:color="auto"/>
        <w:left w:val="none" w:sz="0" w:space="0" w:color="auto"/>
        <w:bottom w:val="none" w:sz="0" w:space="0" w:color="auto"/>
        <w:right w:val="none" w:sz="0" w:space="0" w:color="auto"/>
      </w:divBdr>
    </w:div>
    <w:div w:id="1502771016">
      <w:bodyDiv w:val="1"/>
      <w:marLeft w:val="0"/>
      <w:marRight w:val="0"/>
      <w:marTop w:val="0"/>
      <w:marBottom w:val="0"/>
      <w:divBdr>
        <w:top w:val="none" w:sz="0" w:space="0" w:color="auto"/>
        <w:left w:val="none" w:sz="0" w:space="0" w:color="auto"/>
        <w:bottom w:val="none" w:sz="0" w:space="0" w:color="auto"/>
        <w:right w:val="none" w:sz="0" w:space="0" w:color="auto"/>
      </w:divBdr>
    </w:div>
    <w:div w:id="1503079861">
      <w:bodyDiv w:val="1"/>
      <w:marLeft w:val="0"/>
      <w:marRight w:val="0"/>
      <w:marTop w:val="0"/>
      <w:marBottom w:val="0"/>
      <w:divBdr>
        <w:top w:val="none" w:sz="0" w:space="0" w:color="auto"/>
        <w:left w:val="none" w:sz="0" w:space="0" w:color="auto"/>
        <w:bottom w:val="none" w:sz="0" w:space="0" w:color="auto"/>
        <w:right w:val="none" w:sz="0" w:space="0" w:color="auto"/>
      </w:divBdr>
    </w:div>
    <w:div w:id="1503357330">
      <w:bodyDiv w:val="1"/>
      <w:marLeft w:val="0"/>
      <w:marRight w:val="0"/>
      <w:marTop w:val="0"/>
      <w:marBottom w:val="0"/>
      <w:divBdr>
        <w:top w:val="none" w:sz="0" w:space="0" w:color="auto"/>
        <w:left w:val="none" w:sz="0" w:space="0" w:color="auto"/>
        <w:bottom w:val="none" w:sz="0" w:space="0" w:color="auto"/>
        <w:right w:val="none" w:sz="0" w:space="0" w:color="auto"/>
      </w:divBdr>
    </w:div>
    <w:div w:id="1503662020">
      <w:bodyDiv w:val="1"/>
      <w:marLeft w:val="0"/>
      <w:marRight w:val="0"/>
      <w:marTop w:val="0"/>
      <w:marBottom w:val="0"/>
      <w:divBdr>
        <w:top w:val="none" w:sz="0" w:space="0" w:color="auto"/>
        <w:left w:val="none" w:sz="0" w:space="0" w:color="auto"/>
        <w:bottom w:val="none" w:sz="0" w:space="0" w:color="auto"/>
        <w:right w:val="none" w:sz="0" w:space="0" w:color="auto"/>
      </w:divBdr>
    </w:div>
    <w:div w:id="1505317296">
      <w:bodyDiv w:val="1"/>
      <w:marLeft w:val="0"/>
      <w:marRight w:val="0"/>
      <w:marTop w:val="0"/>
      <w:marBottom w:val="0"/>
      <w:divBdr>
        <w:top w:val="none" w:sz="0" w:space="0" w:color="auto"/>
        <w:left w:val="none" w:sz="0" w:space="0" w:color="auto"/>
        <w:bottom w:val="none" w:sz="0" w:space="0" w:color="auto"/>
        <w:right w:val="none" w:sz="0" w:space="0" w:color="auto"/>
      </w:divBdr>
      <w:divsChild>
        <w:div w:id="1241019182">
          <w:marLeft w:val="0"/>
          <w:marRight w:val="0"/>
          <w:marTop w:val="0"/>
          <w:marBottom w:val="0"/>
          <w:divBdr>
            <w:top w:val="none" w:sz="0" w:space="0" w:color="auto"/>
            <w:left w:val="none" w:sz="0" w:space="0" w:color="auto"/>
            <w:bottom w:val="none" w:sz="0" w:space="0" w:color="auto"/>
            <w:right w:val="none" w:sz="0" w:space="0" w:color="auto"/>
          </w:divBdr>
          <w:divsChild>
            <w:div w:id="945431389">
              <w:marLeft w:val="0"/>
              <w:marRight w:val="0"/>
              <w:marTop w:val="0"/>
              <w:marBottom w:val="0"/>
              <w:divBdr>
                <w:top w:val="none" w:sz="0" w:space="0" w:color="auto"/>
                <w:left w:val="none" w:sz="0" w:space="0" w:color="auto"/>
                <w:bottom w:val="none" w:sz="0" w:space="0" w:color="auto"/>
                <w:right w:val="none" w:sz="0" w:space="0" w:color="auto"/>
              </w:divBdr>
              <w:divsChild>
                <w:div w:id="1186871642">
                  <w:marLeft w:val="0"/>
                  <w:marRight w:val="0"/>
                  <w:marTop w:val="0"/>
                  <w:marBottom w:val="0"/>
                  <w:divBdr>
                    <w:top w:val="none" w:sz="0" w:space="0" w:color="auto"/>
                    <w:left w:val="none" w:sz="0" w:space="0" w:color="auto"/>
                    <w:bottom w:val="none" w:sz="0" w:space="0" w:color="auto"/>
                    <w:right w:val="none" w:sz="0" w:space="0" w:color="auto"/>
                  </w:divBdr>
                  <w:divsChild>
                    <w:div w:id="104217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897196">
      <w:bodyDiv w:val="1"/>
      <w:marLeft w:val="0"/>
      <w:marRight w:val="0"/>
      <w:marTop w:val="0"/>
      <w:marBottom w:val="0"/>
      <w:divBdr>
        <w:top w:val="none" w:sz="0" w:space="0" w:color="auto"/>
        <w:left w:val="none" w:sz="0" w:space="0" w:color="auto"/>
        <w:bottom w:val="none" w:sz="0" w:space="0" w:color="auto"/>
        <w:right w:val="none" w:sz="0" w:space="0" w:color="auto"/>
      </w:divBdr>
    </w:div>
    <w:div w:id="1506087073">
      <w:bodyDiv w:val="1"/>
      <w:marLeft w:val="0"/>
      <w:marRight w:val="0"/>
      <w:marTop w:val="0"/>
      <w:marBottom w:val="0"/>
      <w:divBdr>
        <w:top w:val="none" w:sz="0" w:space="0" w:color="auto"/>
        <w:left w:val="none" w:sz="0" w:space="0" w:color="auto"/>
        <w:bottom w:val="none" w:sz="0" w:space="0" w:color="auto"/>
        <w:right w:val="none" w:sz="0" w:space="0" w:color="auto"/>
      </w:divBdr>
    </w:div>
    <w:div w:id="1507985637">
      <w:bodyDiv w:val="1"/>
      <w:marLeft w:val="0"/>
      <w:marRight w:val="0"/>
      <w:marTop w:val="0"/>
      <w:marBottom w:val="0"/>
      <w:divBdr>
        <w:top w:val="none" w:sz="0" w:space="0" w:color="auto"/>
        <w:left w:val="none" w:sz="0" w:space="0" w:color="auto"/>
        <w:bottom w:val="none" w:sz="0" w:space="0" w:color="auto"/>
        <w:right w:val="none" w:sz="0" w:space="0" w:color="auto"/>
      </w:divBdr>
    </w:div>
    <w:div w:id="1508204934">
      <w:bodyDiv w:val="1"/>
      <w:marLeft w:val="0"/>
      <w:marRight w:val="0"/>
      <w:marTop w:val="0"/>
      <w:marBottom w:val="0"/>
      <w:divBdr>
        <w:top w:val="none" w:sz="0" w:space="0" w:color="auto"/>
        <w:left w:val="none" w:sz="0" w:space="0" w:color="auto"/>
        <w:bottom w:val="none" w:sz="0" w:space="0" w:color="auto"/>
        <w:right w:val="none" w:sz="0" w:space="0" w:color="auto"/>
      </w:divBdr>
    </w:div>
    <w:div w:id="1508474319">
      <w:bodyDiv w:val="1"/>
      <w:marLeft w:val="0"/>
      <w:marRight w:val="0"/>
      <w:marTop w:val="0"/>
      <w:marBottom w:val="0"/>
      <w:divBdr>
        <w:top w:val="none" w:sz="0" w:space="0" w:color="auto"/>
        <w:left w:val="none" w:sz="0" w:space="0" w:color="auto"/>
        <w:bottom w:val="none" w:sz="0" w:space="0" w:color="auto"/>
        <w:right w:val="none" w:sz="0" w:space="0" w:color="auto"/>
      </w:divBdr>
    </w:div>
    <w:div w:id="1510027265">
      <w:bodyDiv w:val="1"/>
      <w:marLeft w:val="0"/>
      <w:marRight w:val="0"/>
      <w:marTop w:val="0"/>
      <w:marBottom w:val="0"/>
      <w:divBdr>
        <w:top w:val="none" w:sz="0" w:space="0" w:color="auto"/>
        <w:left w:val="none" w:sz="0" w:space="0" w:color="auto"/>
        <w:bottom w:val="none" w:sz="0" w:space="0" w:color="auto"/>
        <w:right w:val="none" w:sz="0" w:space="0" w:color="auto"/>
      </w:divBdr>
    </w:div>
    <w:div w:id="1510098207">
      <w:bodyDiv w:val="1"/>
      <w:marLeft w:val="0"/>
      <w:marRight w:val="0"/>
      <w:marTop w:val="0"/>
      <w:marBottom w:val="0"/>
      <w:divBdr>
        <w:top w:val="none" w:sz="0" w:space="0" w:color="auto"/>
        <w:left w:val="none" w:sz="0" w:space="0" w:color="auto"/>
        <w:bottom w:val="none" w:sz="0" w:space="0" w:color="auto"/>
        <w:right w:val="none" w:sz="0" w:space="0" w:color="auto"/>
      </w:divBdr>
      <w:divsChild>
        <w:div w:id="2118942648">
          <w:marLeft w:val="0"/>
          <w:marRight w:val="0"/>
          <w:marTop w:val="0"/>
          <w:marBottom w:val="0"/>
          <w:divBdr>
            <w:top w:val="none" w:sz="0" w:space="0" w:color="auto"/>
            <w:left w:val="none" w:sz="0" w:space="0" w:color="auto"/>
            <w:bottom w:val="none" w:sz="0" w:space="0" w:color="auto"/>
            <w:right w:val="none" w:sz="0" w:space="0" w:color="auto"/>
          </w:divBdr>
          <w:divsChild>
            <w:div w:id="671108101">
              <w:marLeft w:val="0"/>
              <w:marRight w:val="0"/>
              <w:marTop w:val="0"/>
              <w:marBottom w:val="0"/>
              <w:divBdr>
                <w:top w:val="none" w:sz="0" w:space="0" w:color="auto"/>
                <w:left w:val="none" w:sz="0" w:space="0" w:color="auto"/>
                <w:bottom w:val="none" w:sz="0" w:space="0" w:color="auto"/>
                <w:right w:val="none" w:sz="0" w:space="0" w:color="auto"/>
              </w:divBdr>
              <w:divsChild>
                <w:div w:id="1207789066">
                  <w:marLeft w:val="0"/>
                  <w:marRight w:val="0"/>
                  <w:marTop w:val="0"/>
                  <w:marBottom w:val="0"/>
                  <w:divBdr>
                    <w:top w:val="none" w:sz="0" w:space="0" w:color="auto"/>
                    <w:left w:val="none" w:sz="0" w:space="0" w:color="auto"/>
                    <w:bottom w:val="none" w:sz="0" w:space="0" w:color="auto"/>
                    <w:right w:val="none" w:sz="0" w:space="0" w:color="auto"/>
                  </w:divBdr>
                  <w:divsChild>
                    <w:div w:id="846359304">
                      <w:marLeft w:val="0"/>
                      <w:marRight w:val="0"/>
                      <w:marTop w:val="0"/>
                      <w:marBottom w:val="0"/>
                      <w:divBdr>
                        <w:top w:val="none" w:sz="0" w:space="0" w:color="auto"/>
                        <w:left w:val="none" w:sz="0" w:space="0" w:color="auto"/>
                        <w:bottom w:val="none" w:sz="0" w:space="0" w:color="auto"/>
                        <w:right w:val="none" w:sz="0" w:space="0" w:color="auto"/>
                      </w:divBdr>
                    </w:div>
                  </w:divsChild>
                </w:div>
                <w:div w:id="1531993222">
                  <w:marLeft w:val="0"/>
                  <w:marRight w:val="0"/>
                  <w:marTop w:val="0"/>
                  <w:marBottom w:val="0"/>
                  <w:divBdr>
                    <w:top w:val="none" w:sz="0" w:space="0" w:color="auto"/>
                    <w:left w:val="none" w:sz="0" w:space="0" w:color="auto"/>
                    <w:bottom w:val="none" w:sz="0" w:space="0" w:color="auto"/>
                    <w:right w:val="none" w:sz="0" w:space="0" w:color="auto"/>
                  </w:divBdr>
                  <w:divsChild>
                    <w:div w:id="18749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409275">
      <w:bodyDiv w:val="1"/>
      <w:marLeft w:val="0"/>
      <w:marRight w:val="0"/>
      <w:marTop w:val="0"/>
      <w:marBottom w:val="0"/>
      <w:divBdr>
        <w:top w:val="none" w:sz="0" w:space="0" w:color="auto"/>
        <w:left w:val="none" w:sz="0" w:space="0" w:color="auto"/>
        <w:bottom w:val="none" w:sz="0" w:space="0" w:color="auto"/>
        <w:right w:val="none" w:sz="0" w:space="0" w:color="auto"/>
      </w:divBdr>
    </w:div>
    <w:div w:id="1512333139">
      <w:bodyDiv w:val="1"/>
      <w:marLeft w:val="0"/>
      <w:marRight w:val="0"/>
      <w:marTop w:val="0"/>
      <w:marBottom w:val="0"/>
      <w:divBdr>
        <w:top w:val="none" w:sz="0" w:space="0" w:color="auto"/>
        <w:left w:val="none" w:sz="0" w:space="0" w:color="auto"/>
        <w:bottom w:val="none" w:sz="0" w:space="0" w:color="auto"/>
        <w:right w:val="none" w:sz="0" w:space="0" w:color="auto"/>
      </w:divBdr>
    </w:div>
    <w:div w:id="1513570243">
      <w:bodyDiv w:val="1"/>
      <w:marLeft w:val="0"/>
      <w:marRight w:val="0"/>
      <w:marTop w:val="0"/>
      <w:marBottom w:val="0"/>
      <w:divBdr>
        <w:top w:val="none" w:sz="0" w:space="0" w:color="auto"/>
        <w:left w:val="none" w:sz="0" w:space="0" w:color="auto"/>
        <w:bottom w:val="none" w:sz="0" w:space="0" w:color="auto"/>
        <w:right w:val="none" w:sz="0" w:space="0" w:color="auto"/>
      </w:divBdr>
    </w:div>
    <w:div w:id="1513841988">
      <w:bodyDiv w:val="1"/>
      <w:marLeft w:val="0"/>
      <w:marRight w:val="0"/>
      <w:marTop w:val="0"/>
      <w:marBottom w:val="0"/>
      <w:divBdr>
        <w:top w:val="none" w:sz="0" w:space="0" w:color="auto"/>
        <w:left w:val="none" w:sz="0" w:space="0" w:color="auto"/>
        <w:bottom w:val="none" w:sz="0" w:space="0" w:color="auto"/>
        <w:right w:val="none" w:sz="0" w:space="0" w:color="auto"/>
      </w:divBdr>
    </w:div>
    <w:div w:id="1514110528">
      <w:bodyDiv w:val="1"/>
      <w:marLeft w:val="0"/>
      <w:marRight w:val="0"/>
      <w:marTop w:val="0"/>
      <w:marBottom w:val="0"/>
      <w:divBdr>
        <w:top w:val="none" w:sz="0" w:space="0" w:color="auto"/>
        <w:left w:val="none" w:sz="0" w:space="0" w:color="auto"/>
        <w:bottom w:val="none" w:sz="0" w:space="0" w:color="auto"/>
        <w:right w:val="none" w:sz="0" w:space="0" w:color="auto"/>
      </w:divBdr>
    </w:div>
    <w:div w:id="1514958581">
      <w:bodyDiv w:val="1"/>
      <w:marLeft w:val="0"/>
      <w:marRight w:val="0"/>
      <w:marTop w:val="0"/>
      <w:marBottom w:val="0"/>
      <w:divBdr>
        <w:top w:val="none" w:sz="0" w:space="0" w:color="auto"/>
        <w:left w:val="none" w:sz="0" w:space="0" w:color="auto"/>
        <w:bottom w:val="none" w:sz="0" w:space="0" w:color="auto"/>
        <w:right w:val="none" w:sz="0" w:space="0" w:color="auto"/>
      </w:divBdr>
      <w:divsChild>
        <w:div w:id="2050108685">
          <w:marLeft w:val="0"/>
          <w:marRight w:val="0"/>
          <w:marTop w:val="0"/>
          <w:marBottom w:val="0"/>
          <w:divBdr>
            <w:top w:val="none" w:sz="0" w:space="0" w:color="auto"/>
            <w:left w:val="none" w:sz="0" w:space="0" w:color="auto"/>
            <w:bottom w:val="none" w:sz="0" w:space="0" w:color="auto"/>
            <w:right w:val="none" w:sz="0" w:space="0" w:color="auto"/>
          </w:divBdr>
          <w:divsChild>
            <w:div w:id="527767123">
              <w:marLeft w:val="0"/>
              <w:marRight w:val="0"/>
              <w:marTop w:val="0"/>
              <w:marBottom w:val="0"/>
              <w:divBdr>
                <w:top w:val="none" w:sz="0" w:space="0" w:color="auto"/>
                <w:left w:val="none" w:sz="0" w:space="0" w:color="auto"/>
                <w:bottom w:val="none" w:sz="0" w:space="0" w:color="auto"/>
                <w:right w:val="none" w:sz="0" w:space="0" w:color="auto"/>
              </w:divBdr>
              <w:divsChild>
                <w:div w:id="108156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19797">
      <w:bodyDiv w:val="1"/>
      <w:marLeft w:val="0"/>
      <w:marRight w:val="0"/>
      <w:marTop w:val="0"/>
      <w:marBottom w:val="0"/>
      <w:divBdr>
        <w:top w:val="none" w:sz="0" w:space="0" w:color="auto"/>
        <w:left w:val="none" w:sz="0" w:space="0" w:color="auto"/>
        <w:bottom w:val="none" w:sz="0" w:space="0" w:color="auto"/>
        <w:right w:val="none" w:sz="0" w:space="0" w:color="auto"/>
      </w:divBdr>
    </w:div>
    <w:div w:id="1516184913">
      <w:bodyDiv w:val="1"/>
      <w:marLeft w:val="0"/>
      <w:marRight w:val="0"/>
      <w:marTop w:val="0"/>
      <w:marBottom w:val="0"/>
      <w:divBdr>
        <w:top w:val="none" w:sz="0" w:space="0" w:color="auto"/>
        <w:left w:val="none" w:sz="0" w:space="0" w:color="auto"/>
        <w:bottom w:val="none" w:sz="0" w:space="0" w:color="auto"/>
        <w:right w:val="none" w:sz="0" w:space="0" w:color="auto"/>
      </w:divBdr>
      <w:divsChild>
        <w:div w:id="1069964487">
          <w:marLeft w:val="0"/>
          <w:marRight w:val="0"/>
          <w:marTop w:val="0"/>
          <w:marBottom w:val="0"/>
          <w:divBdr>
            <w:top w:val="none" w:sz="0" w:space="0" w:color="auto"/>
            <w:left w:val="none" w:sz="0" w:space="0" w:color="auto"/>
            <w:bottom w:val="none" w:sz="0" w:space="0" w:color="auto"/>
            <w:right w:val="none" w:sz="0" w:space="0" w:color="auto"/>
          </w:divBdr>
          <w:divsChild>
            <w:div w:id="1419716455">
              <w:marLeft w:val="0"/>
              <w:marRight w:val="0"/>
              <w:marTop w:val="0"/>
              <w:marBottom w:val="0"/>
              <w:divBdr>
                <w:top w:val="none" w:sz="0" w:space="0" w:color="auto"/>
                <w:left w:val="none" w:sz="0" w:space="0" w:color="auto"/>
                <w:bottom w:val="none" w:sz="0" w:space="0" w:color="auto"/>
                <w:right w:val="none" w:sz="0" w:space="0" w:color="auto"/>
              </w:divBdr>
              <w:divsChild>
                <w:div w:id="3620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9933">
      <w:bodyDiv w:val="1"/>
      <w:marLeft w:val="0"/>
      <w:marRight w:val="0"/>
      <w:marTop w:val="0"/>
      <w:marBottom w:val="0"/>
      <w:divBdr>
        <w:top w:val="none" w:sz="0" w:space="0" w:color="auto"/>
        <w:left w:val="none" w:sz="0" w:space="0" w:color="auto"/>
        <w:bottom w:val="none" w:sz="0" w:space="0" w:color="auto"/>
        <w:right w:val="none" w:sz="0" w:space="0" w:color="auto"/>
      </w:divBdr>
    </w:div>
    <w:div w:id="1517040369">
      <w:bodyDiv w:val="1"/>
      <w:marLeft w:val="0"/>
      <w:marRight w:val="0"/>
      <w:marTop w:val="0"/>
      <w:marBottom w:val="0"/>
      <w:divBdr>
        <w:top w:val="none" w:sz="0" w:space="0" w:color="auto"/>
        <w:left w:val="none" w:sz="0" w:space="0" w:color="auto"/>
        <w:bottom w:val="none" w:sz="0" w:space="0" w:color="auto"/>
        <w:right w:val="none" w:sz="0" w:space="0" w:color="auto"/>
      </w:divBdr>
    </w:div>
    <w:div w:id="1517235932">
      <w:bodyDiv w:val="1"/>
      <w:marLeft w:val="0"/>
      <w:marRight w:val="0"/>
      <w:marTop w:val="0"/>
      <w:marBottom w:val="0"/>
      <w:divBdr>
        <w:top w:val="none" w:sz="0" w:space="0" w:color="auto"/>
        <w:left w:val="none" w:sz="0" w:space="0" w:color="auto"/>
        <w:bottom w:val="none" w:sz="0" w:space="0" w:color="auto"/>
        <w:right w:val="none" w:sz="0" w:space="0" w:color="auto"/>
      </w:divBdr>
      <w:divsChild>
        <w:div w:id="1875727692">
          <w:marLeft w:val="0"/>
          <w:marRight w:val="0"/>
          <w:marTop w:val="0"/>
          <w:marBottom w:val="0"/>
          <w:divBdr>
            <w:top w:val="none" w:sz="0" w:space="0" w:color="auto"/>
            <w:left w:val="none" w:sz="0" w:space="0" w:color="auto"/>
            <w:bottom w:val="none" w:sz="0" w:space="0" w:color="auto"/>
            <w:right w:val="none" w:sz="0" w:space="0" w:color="auto"/>
          </w:divBdr>
          <w:divsChild>
            <w:div w:id="1242257884">
              <w:marLeft w:val="0"/>
              <w:marRight w:val="0"/>
              <w:marTop w:val="0"/>
              <w:marBottom w:val="0"/>
              <w:divBdr>
                <w:top w:val="none" w:sz="0" w:space="0" w:color="auto"/>
                <w:left w:val="none" w:sz="0" w:space="0" w:color="auto"/>
                <w:bottom w:val="none" w:sz="0" w:space="0" w:color="auto"/>
                <w:right w:val="none" w:sz="0" w:space="0" w:color="auto"/>
              </w:divBdr>
              <w:divsChild>
                <w:div w:id="78820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379105">
      <w:bodyDiv w:val="1"/>
      <w:marLeft w:val="0"/>
      <w:marRight w:val="0"/>
      <w:marTop w:val="0"/>
      <w:marBottom w:val="0"/>
      <w:divBdr>
        <w:top w:val="none" w:sz="0" w:space="0" w:color="auto"/>
        <w:left w:val="none" w:sz="0" w:space="0" w:color="auto"/>
        <w:bottom w:val="none" w:sz="0" w:space="0" w:color="auto"/>
        <w:right w:val="none" w:sz="0" w:space="0" w:color="auto"/>
      </w:divBdr>
    </w:div>
    <w:div w:id="1518352454">
      <w:bodyDiv w:val="1"/>
      <w:marLeft w:val="0"/>
      <w:marRight w:val="0"/>
      <w:marTop w:val="0"/>
      <w:marBottom w:val="0"/>
      <w:divBdr>
        <w:top w:val="none" w:sz="0" w:space="0" w:color="auto"/>
        <w:left w:val="none" w:sz="0" w:space="0" w:color="auto"/>
        <w:bottom w:val="none" w:sz="0" w:space="0" w:color="auto"/>
        <w:right w:val="none" w:sz="0" w:space="0" w:color="auto"/>
      </w:divBdr>
    </w:div>
    <w:div w:id="1518620519">
      <w:bodyDiv w:val="1"/>
      <w:marLeft w:val="0"/>
      <w:marRight w:val="0"/>
      <w:marTop w:val="0"/>
      <w:marBottom w:val="0"/>
      <w:divBdr>
        <w:top w:val="none" w:sz="0" w:space="0" w:color="auto"/>
        <w:left w:val="none" w:sz="0" w:space="0" w:color="auto"/>
        <w:bottom w:val="none" w:sz="0" w:space="0" w:color="auto"/>
        <w:right w:val="none" w:sz="0" w:space="0" w:color="auto"/>
      </w:divBdr>
    </w:div>
    <w:div w:id="1518887854">
      <w:bodyDiv w:val="1"/>
      <w:marLeft w:val="0"/>
      <w:marRight w:val="0"/>
      <w:marTop w:val="0"/>
      <w:marBottom w:val="0"/>
      <w:divBdr>
        <w:top w:val="none" w:sz="0" w:space="0" w:color="auto"/>
        <w:left w:val="none" w:sz="0" w:space="0" w:color="auto"/>
        <w:bottom w:val="none" w:sz="0" w:space="0" w:color="auto"/>
        <w:right w:val="none" w:sz="0" w:space="0" w:color="auto"/>
      </w:divBdr>
    </w:div>
    <w:div w:id="1523207117">
      <w:bodyDiv w:val="1"/>
      <w:marLeft w:val="0"/>
      <w:marRight w:val="0"/>
      <w:marTop w:val="0"/>
      <w:marBottom w:val="0"/>
      <w:divBdr>
        <w:top w:val="none" w:sz="0" w:space="0" w:color="auto"/>
        <w:left w:val="none" w:sz="0" w:space="0" w:color="auto"/>
        <w:bottom w:val="none" w:sz="0" w:space="0" w:color="auto"/>
        <w:right w:val="none" w:sz="0" w:space="0" w:color="auto"/>
      </w:divBdr>
    </w:div>
    <w:div w:id="1523396598">
      <w:bodyDiv w:val="1"/>
      <w:marLeft w:val="0"/>
      <w:marRight w:val="0"/>
      <w:marTop w:val="0"/>
      <w:marBottom w:val="0"/>
      <w:divBdr>
        <w:top w:val="none" w:sz="0" w:space="0" w:color="auto"/>
        <w:left w:val="none" w:sz="0" w:space="0" w:color="auto"/>
        <w:bottom w:val="none" w:sz="0" w:space="0" w:color="auto"/>
        <w:right w:val="none" w:sz="0" w:space="0" w:color="auto"/>
      </w:divBdr>
    </w:div>
    <w:div w:id="1523472867">
      <w:bodyDiv w:val="1"/>
      <w:marLeft w:val="0"/>
      <w:marRight w:val="0"/>
      <w:marTop w:val="0"/>
      <w:marBottom w:val="0"/>
      <w:divBdr>
        <w:top w:val="none" w:sz="0" w:space="0" w:color="auto"/>
        <w:left w:val="none" w:sz="0" w:space="0" w:color="auto"/>
        <w:bottom w:val="none" w:sz="0" w:space="0" w:color="auto"/>
        <w:right w:val="none" w:sz="0" w:space="0" w:color="auto"/>
      </w:divBdr>
    </w:div>
    <w:div w:id="1524318362">
      <w:bodyDiv w:val="1"/>
      <w:marLeft w:val="0"/>
      <w:marRight w:val="0"/>
      <w:marTop w:val="0"/>
      <w:marBottom w:val="0"/>
      <w:divBdr>
        <w:top w:val="none" w:sz="0" w:space="0" w:color="auto"/>
        <w:left w:val="none" w:sz="0" w:space="0" w:color="auto"/>
        <w:bottom w:val="none" w:sz="0" w:space="0" w:color="auto"/>
        <w:right w:val="none" w:sz="0" w:space="0" w:color="auto"/>
      </w:divBdr>
    </w:div>
    <w:div w:id="1524631215">
      <w:bodyDiv w:val="1"/>
      <w:marLeft w:val="0"/>
      <w:marRight w:val="0"/>
      <w:marTop w:val="0"/>
      <w:marBottom w:val="0"/>
      <w:divBdr>
        <w:top w:val="none" w:sz="0" w:space="0" w:color="auto"/>
        <w:left w:val="none" w:sz="0" w:space="0" w:color="auto"/>
        <w:bottom w:val="none" w:sz="0" w:space="0" w:color="auto"/>
        <w:right w:val="none" w:sz="0" w:space="0" w:color="auto"/>
      </w:divBdr>
    </w:div>
    <w:div w:id="1525510605">
      <w:bodyDiv w:val="1"/>
      <w:marLeft w:val="0"/>
      <w:marRight w:val="0"/>
      <w:marTop w:val="0"/>
      <w:marBottom w:val="0"/>
      <w:divBdr>
        <w:top w:val="none" w:sz="0" w:space="0" w:color="auto"/>
        <w:left w:val="none" w:sz="0" w:space="0" w:color="auto"/>
        <w:bottom w:val="none" w:sz="0" w:space="0" w:color="auto"/>
        <w:right w:val="none" w:sz="0" w:space="0" w:color="auto"/>
      </w:divBdr>
    </w:div>
    <w:div w:id="1525630130">
      <w:bodyDiv w:val="1"/>
      <w:marLeft w:val="0"/>
      <w:marRight w:val="0"/>
      <w:marTop w:val="0"/>
      <w:marBottom w:val="0"/>
      <w:divBdr>
        <w:top w:val="none" w:sz="0" w:space="0" w:color="auto"/>
        <w:left w:val="none" w:sz="0" w:space="0" w:color="auto"/>
        <w:bottom w:val="none" w:sz="0" w:space="0" w:color="auto"/>
        <w:right w:val="none" w:sz="0" w:space="0" w:color="auto"/>
      </w:divBdr>
    </w:div>
    <w:div w:id="1526599769">
      <w:bodyDiv w:val="1"/>
      <w:marLeft w:val="0"/>
      <w:marRight w:val="0"/>
      <w:marTop w:val="0"/>
      <w:marBottom w:val="0"/>
      <w:divBdr>
        <w:top w:val="none" w:sz="0" w:space="0" w:color="auto"/>
        <w:left w:val="none" w:sz="0" w:space="0" w:color="auto"/>
        <w:bottom w:val="none" w:sz="0" w:space="0" w:color="auto"/>
        <w:right w:val="none" w:sz="0" w:space="0" w:color="auto"/>
      </w:divBdr>
    </w:div>
    <w:div w:id="1526671917">
      <w:bodyDiv w:val="1"/>
      <w:marLeft w:val="0"/>
      <w:marRight w:val="0"/>
      <w:marTop w:val="0"/>
      <w:marBottom w:val="0"/>
      <w:divBdr>
        <w:top w:val="none" w:sz="0" w:space="0" w:color="auto"/>
        <w:left w:val="none" w:sz="0" w:space="0" w:color="auto"/>
        <w:bottom w:val="none" w:sz="0" w:space="0" w:color="auto"/>
        <w:right w:val="none" w:sz="0" w:space="0" w:color="auto"/>
      </w:divBdr>
    </w:div>
    <w:div w:id="1526867546">
      <w:bodyDiv w:val="1"/>
      <w:marLeft w:val="0"/>
      <w:marRight w:val="0"/>
      <w:marTop w:val="0"/>
      <w:marBottom w:val="0"/>
      <w:divBdr>
        <w:top w:val="none" w:sz="0" w:space="0" w:color="auto"/>
        <w:left w:val="none" w:sz="0" w:space="0" w:color="auto"/>
        <w:bottom w:val="none" w:sz="0" w:space="0" w:color="auto"/>
        <w:right w:val="none" w:sz="0" w:space="0" w:color="auto"/>
      </w:divBdr>
      <w:divsChild>
        <w:div w:id="196478862">
          <w:marLeft w:val="0"/>
          <w:marRight w:val="0"/>
          <w:marTop w:val="0"/>
          <w:marBottom w:val="0"/>
          <w:divBdr>
            <w:top w:val="none" w:sz="0" w:space="0" w:color="auto"/>
            <w:left w:val="none" w:sz="0" w:space="0" w:color="auto"/>
            <w:bottom w:val="none" w:sz="0" w:space="0" w:color="auto"/>
            <w:right w:val="none" w:sz="0" w:space="0" w:color="auto"/>
          </w:divBdr>
          <w:divsChild>
            <w:div w:id="1731424177">
              <w:marLeft w:val="0"/>
              <w:marRight w:val="0"/>
              <w:marTop w:val="0"/>
              <w:marBottom w:val="0"/>
              <w:divBdr>
                <w:top w:val="none" w:sz="0" w:space="0" w:color="auto"/>
                <w:left w:val="none" w:sz="0" w:space="0" w:color="auto"/>
                <w:bottom w:val="none" w:sz="0" w:space="0" w:color="auto"/>
                <w:right w:val="none" w:sz="0" w:space="0" w:color="auto"/>
              </w:divBdr>
              <w:divsChild>
                <w:div w:id="1219587452">
                  <w:marLeft w:val="0"/>
                  <w:marRight w:val="0"/>
                  <w:marTop w:val="0"/>
                  <w:marBottom w:val="0"/>
                  <w:divBdr>
                    <w:top w:val="none" w:sz="0" w:space="0" w:color="auto"/>
                    <w:left w:val="none" w:sz="0" w:space="0" w:color="auto"/>
                    <w:bottom w:val="none" w:sz="0" w:space="0" w:color="auto"/>
                    <w:right w:val="none" w:sz="0" w:space="0" w:color="auto"/>
                  </w:divBdr>
                  <w:divsChild>
                    <w:div w:id="124672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53875">
      <w:bodyDiv w:val="1"/>
      <w:marLeft w:val="0"/>
      <w:marRight w:val="0"/>
      <w:marTop w:val="0"/>
      <w:marBottom w:val="0"/>
      <w:divBdr>
        <w:top w:val="none" w:sz="0" w:space="0" w:color="auto"/>
        <w:left w:val="none" w:sz="0" w:space="0" w:color="auto"/>
        <w:bottom w:val="none" w:sz="0" w:space="0" w:color="auto"/>
        <w:right w:val="none" w:sz="0" w:space="0" w:color="auto"/>
      </w:divBdr>
    </w:div>
    <w:div w:id="1527477259">
      <w:bodyDiv w:val="1"/>
      <w:marLeft w:val="0"/>
      <w:marRight w:val="0"/>
      <w:marTop w:val="0"/>
      <w:marBottom w:val="0"/>
      <w:divBdr>
        <w:top w:val="none" w:sz="0" w:space="0" w:color="auto"/>
        <w:left w:val="none" w:sz="0" w:space="0" w:color="auto"/>
        <w:bottom w:val="none" w:sz="0" w:space="0" w:color="auto"/>
        <w:right w:val="none" w:sz="0" w:space="0" w:color="auto"/>
      </w:divBdr>
    </w:div>
    <w:div w:id="1527789893">
      <w:bodyDiv w:val="1"/>
      <w:marLeft w:val="0"/>
      <w:marRight w:val="0"/>
      <w:marTop w:val="0"/>
      <w:marBottom w:val="0"/>
      <w:divBdr>
        <w:top w:val="none" w:sz="0" w:space="0" w:color="auto"/>
        <w:left w:val="none" w:sz="0" w:space="0" w:color="auto"/>
        <w:bottom w:val="none" w:sz="0" w:space="0" w:color="auto"/>
        <w:right w:val="none" w:sz="0" w:space="0" w:color="auto"/>
      </w:divBdr>
    </w:div>
    <w:div w:id="1527864462">
      <w:bodyDiv w:val="1"/>
      <w:marLeft w:val="0"/>
      <w:marRight w:val="0"/>
      <w:marTop w:val="0"/>
      <w:marBottom w:val="0"/>
      <w:divBdr>
        <w:top w:val="none" w:sz="0" w:space="0" w:color="auto"/>
        <w:left w:val="none" w:sz="0" w:space="0" w:color="auto"/>
        <w:bottom w:val="none" w:sz="0" w:space="0" w:color="auto"/>
        <w:right w:val="none" w:sz="0" w:space="0" w:color="auto"/>
      </w:divBdr>
    </w:div>
    <w:div w:id="1529904606">
      <w:bodyDiv w:val="1"/>
      <w:marLeft w:val="0"/>
      <w:marRight w:val="0"/>
      <w:marTop w:val="0"/>
      <w:marBottom w:val="0"/>
      <w:divBdr>
        <w:top w:val="none" w:sz="0" w:space="0" w:color="auto"/>
        <w:left w:val="none" w:sz="0" w:space="0" w:color="auto"/>
        <w:bottom w:val="none" w:sz="0" w:space="0" w:color="auto"/>
        <w:right w:val="none" w:sz="0" w:space="0" w:color="auto"/>
      </w:divBdr>
    </w:div>
    <w:div w:id="1530216362">
      <w:bodyDiv w:val="1"/>
      <w:marLeft w:val="0"/>
      <w:marRight w:val="0"/>
      <w:marTop w:val="0"/>
      <w:marBottom w:val="0"/>
      <w:divBdr>
        <w:top w:val="none" w:sz="0" w:space="0" w:color="auto"/>
        <w:left w:val="none" w:sz="0" w:space="0" w:color="auto"/>
        <w:bottom w:val="none" w:sz="0" w:space="0" w:color="auto"/>
        <w:right w:val="none" w:sz="0" w:space="0" w:color="auto"/>
      </w:divBdr>
      <w:divsChild>
        <w:div w:id="616179183">
          <w:marLeft w:val="0"/>
          <w:marRight w:val="0"/>
          <w:marTop w:val="0"/>
          <w:marBottom w:val="0"/>
          <w:divBdr>
            <w:top w:val="none" w:sz="0" w:space="0" w:color="auto"/>
            <w:left w:val="none" w:sz="0" w:space="0" w:color="auto"/>
            <w:bottom w:val="none" w:sz="0" w:space="0" w:color="auto"/>
            <w:right w:val="none" w:sz="0" w:space="0" w:color="auto"/>
          </w:divBdr>
          <w:divsChild>
            <w:div w:id="1405103328">
              <w:marLeft w:val="0"/>
              <w:marRight w:val="0"/>
              <w:marTop w:val="0"/>
              <w:marBottom w:val="0"/>
              <w:divBdr>
                <w:top w:val="none" w:sz="0" w:space="0" w:color="auto"/>
                <w:left w:val="none" w:sz="0" w:space="0" w:color="auto"/>
                <w:bottom w:val="none" w:sz="0" w:space="0" w:color="auto"/>
                <w:right w:val="none" w:sz="0" w:space="0" w:color="auto"/>
              </w:divBdr>
              <w:divsChild>
                <w:div w:id="93659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455204">
      <w:bodyDiv w:val="1"/>
      <w:marLeft w:val="0"/>
      <w:marRight w:val="0"/>
      <w:marTop w:val="0"/>
      <w:marBottom w:val="0"/>
      <w:divBdr>
        <w:top w:val="none" w:sz="0" w:space="0" w:color="auto"/>
        <w:left w:val="none" w:sz="0" w:space="0" w:color="auto"/>
        <w:bottom w:val="none" w:sz="0" w:space="0" w:color="auto"/>
        <w:right w:val="none" w:sz="0" w:space="0" w:color="auto"/>
      </w:divBdr>
      <w:divsChild>
        <w:div w:id="704986826">
          <w:marLeft w:val="0"/>
          <w:marRight w:val="0"/>
          <w:marTop w:val="0"/>
          <w:marBottom w:val="0"/>
          <w:divBdr>
            <w:top w:val="none" w:sz="0" w:space="0" w:color="auto"/>
            <w:left w:val="none" w:sz="0" w:space="0" w:color="auto"/>
            <w:bottom w:val="none" w:sz="0" w:space="0" w:color="auto"/>
            <w:right w:val="none" w:sz="0" w:space="0" w:color="auto"/>
          </w:divBdr>
          <w:divsChild>
            <w:div w:id="1699963578">
              <w:marLeft w:val="0"/>
              <w:marRight w:val="0"/>
              <w:marTop w:val="0"/>
              <w:marBottom w:val="0"/>
              <w:divBdr>
                <w:top w:val="none" w:sz="0" w:space="0" w:color="auto"/>
                <w:left w:val="none" w:sz="0" w:space="0" w:color="auto"/>
                <w:bottom w:val="none" w:sz="0" w:space="0" w:color="auto"/>
                <w:right w:val="none" w:sz="0" w:space="0" w:color="auto"/>
              </w:divBdr>
              <w:divsChild>
                <w:div w:id="475685227">
                  <w:marLeft w:val="0"/>
                  <w:marRight w:val="0"/>
                  <w:marTop w:val="0"/>
                  <w:marBottom w:val="0"/>
                  <w:divBdr>
                    <w:top w:val="none" w:sz="0" w:space="0" w:color="auto"/>
                    <w:left w:val="none" w:sz="0" w:space="0" w:color="auto"/>
                    <w:bottom w:val="none" w:sz="0" w:space="0" w:color="auto"/>
                    <w:right w:val="none" w:sz="0" w:space="0" w:color="auto"/>
                  </w:divBdr>
                  <w:divsChild>
                    <w:div w:id="13375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037584">
      <w:bodyDiv w:val="1"/>
      <w:marLeft w:val="0"/>
      <w:marRight w:val="0"/>
      <w:marTop w:val="0"/>
      <w:marBottom w:val="0"/>
      <w:divBdr>
        <w:top w:val="none" w:sz="0" w:space="0" w:color="auto"/>
        <w:left w:val="none" w:sz="0" w:space="0" w:color="auto"/>
        <w:bottom w:val="none" w:sz="0" w:space="0" w:color="auto"/>
        <w:right w:val="none" w:sz="0" w:space="0" w:color="auto"/>
      </w:divBdr>
      <w:divsChild>
        <w:div w:id="778262693">
          <w:marLeft w:val="0"/>
          <w:marRight w:val="0"/>
          <w:marTop w:val="0"/>
          <w:marBottom w:val="0"/>
          <w:divBdr>
            <w:top w:val="none" w:sz="0" w:space="0" w:color="auto"/>
            <w:left w:val="none" w:sz="0" w:space="0" w:color="auto"/>
            <w:bottom w:val="none" w:sz="0" w:space="0" w:color="auto"/>
            <w:right w:val="none" w:sz="0" w:space="0" w:color="auto"/>
          </w:divBdr>
          <w:divsChild>
            <w:div w:id="1318918223">
              <w:marLeft w:val="0"/>
              <w:marRight w:val="0"/>
              <w:marTop w:val="0"/>
              <w:marBottom w:val="0"/>
              <w:divBdr>
                <w:top w:val="none" w:sz="0" w:space="0" w:color="auto"/>
                <w:left w:val="none" w:sz="0" w:space="0" w:color="auto"/>
                <w:bottom w:val="none" w:sz="0" w:space="0" w:color="auto"/>
                <w:right w:val="none" w:sz="0" w:space="0" w:color="auto"/>
              </w:divBdr>
              <w:divsChild>
                <w:div w:id="1716999703">
                  <w:marLeft w:val="0"/>
                  <w:marRight w:val="0"/>
                  <w:marTop w:val="0"/>
                  <w:marBottom w:val="0"/>
                  <w:divBdr>
                    <w:top w:val="none" w:sz="0" w:space="0" w:color="auto"/>
                    <w:left w:val="none" w:sz="0" w:space="0" w:color="auto"/>
                    <w:bottom w:val="none" w:sz="0" w:space="0" w:color="auto"/>
                    <w:right w:val="none" w:sz="0" w:space="0" w:color="auto"/>
                  </w:divBdr>
                  <w:divsChild>
                    <w:div w:id="161625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804672">
      <w:bodyDiv w:val="1"/>
      <w:marLeft w:val="0"/>
      <w:marRight w:val="0"/>
      <w:marTop w:val="0"/>
      <w:marBottom w:val="0"/>
      <w:divBdr>
        <w:top w:val="none" w:sz="0" w:space="0" w:color="auto"/>
        <w:left w:val="none" w:sz="0" w:space="0" w:color="auto"/>
        <w:bottom w:val="none" w:sz="0" w:space="0" w:color="auto"/>
        <w:right w:val="none" w:sz="0" w:space="0" w:color="auto"/>
      </w:divBdr>
    </w:div>
    <w:div w:id="1534492044">
      <w:bodyDiv w:val="1"/>
      <w:marLeft w:val="0"/>
      <w:marRight w:val="0"/>
      <w:marTop w:val="0"/>
      <w:marBottom w:val="0"/>
      <w:divBdr>
        <w:top w:val="none" w:sz="0" w:space="0" w:color="auto"/>
        <w:left w:val="none" w:sz="0" w:space="0" w:color="auto"/>
        <w:bottom w:val="none" w:sz="0" w:space="0" w:color="auto"/>
        <w:right w:val="none" w:sz="0" w:space="0" w:color="auto"/>
      </w:divBdr>
    </w:div>
    <w:div w:id="1536038587">
      <w:bodyDiv w:val="1"/>
      <w:marLeft w:val="0"/>
      <w:marRight w:val="0"/>
      <w:marTop w:val="0"/>
      <w:marBottom w:val="0"/>
      <w:divBdr>
        <w:top w:val="none" w:sz="0" w:space="0" w:color="auto"/>
        <w:left w:val="none" w:sz="0" w:space="0" w:color="auto"/>
        <w:bottom w:val="none" w:sz="0" w:space="0" w:color="auto"/>
        <w:right w:val="none" w:sz="0" w:space="0" w:color="auto"/>
      </w:divBdr>
    </w:div>
    <w:div w:id="1536502377">
      <w:bodyDiv w:val="1"/>
      <w:marLeft w:val="0"/>
      <w:marRight w:val="0"/>
      <w:marTop w:val="0"/>
      <w:marBottom w:val="0"/>
      <w:divBdr>
        <w:top w:val="none" w:sz="0" w:space="0" w:color="auto"/>
        <w:left w:val="none" w:sz="0" w:space="0" w:color="auto"/>
        <w:bottom w:val="none" w:sz="0" w:space="0" w:color="auto"/>
        <w:right w:val="none" w:sz="0" w:space="0" w:color="auto"/>
      </w:divBdr>
    </w:div>
    <w:div w:id="1536698866">
      <w:bodyDiv w:val="1"/>
      <w:marLeft w:val="0"/>
      <w:marRight w:val="0"/>
      <w:marTop w:val="0"/>
      <w:marBottom w:val="0"/>
      <w:divBdr>
        <w:top w:val="none" w:sz="0" w:space="0" w:color="auto"/>
        <w:left w:val="none" w:sz="0" w:space="0" w:color="auto"/>
        <w:bottom w:val="none" w:sz="0" w:space="0" w:color="auto"/>
        <w:right w:val="none" w:sz="0" w:space="0" w:color="auto"/>
      </w:divBdr>
    </w:div>
    <w:div w:id="1536885086">
      <w:bodyDiv w:val="1"/>
      <w:marLeft w:val="0"/>
      <w:marRight w:val="0"/>
      <w:marTop w:val="0"/>
      <w:marBottom w:val="0"/>
      <w:divBdr>
        <w:top w:val="none" w:sz="0" w:space="0" w:color="auto"/>
        <w:left w:val="none" w:sz="0" w:space="0" w:color="auto"/>
        <w:bottom w:val="none" w:sz="0" w:space="0" w:color="auto"/>
        <w:right w:val="none" w:sz="0" w:space="0" w:color="auto"/>
      </w:divBdr>
      <w:divsChild>
        <w:div w:id="1423796931">
          <w:marLeft w:val="0"/>
          <w:marRight w:val="0"/>
          <w:marTop w:val="0"/>
          <w:marBottom w:val="0"/>
          <w:divBdr>
            <w:top w:val="none" w:sz="0" w:space="0" w:color="auto"/>
            <w:left w:val="none" w:sz="0" w:space="0" w:color="auto"/>
            <w:bottom w:val="none" w:sz="0" w:space="0" w:color="auto"/>
            <w:right w:val="none" w:sz="0" w:space="0" w:color="auto"/>
          </w:divBdr>
          <w:divsChild>
            <w:div w:id="879785601">
              <w:marLeft w:val="0"/>
              <w:marRight w:val="0"/>
              <w:marTop w:val="0"/>
              <w:marBottom w:val="0"/>
              <w:divBdr>
                <w:top w:val="none" w:sz="0" w:space="0" w:color="auto"/>
                <w:left w:val="none" w:sz="0" w:space="0" w:color="auto"/>
                <w:bottom w:val="none" w:sz="0" w:space="0" w:color="auto"/>
                <w:right w:val="none" w:sz="0" w:space="0" w:color="auto"/>
              </w:divBdr>
              <w:divsChild>
                <w:div w:id="539169788">
                  <w:marLeft w:val="0"/>
                  <w:marRight w:val="0"/>
                  <w:marTop w:val="0"/>
                  <w:marBottom w:val="0"/>
                  <w:divBdr>
                    <w:top w:val="none" w:sz="0" w:space="0" w:color="auto"/>
                    <w:left w:val="none" w:sz="0" w:space="0" w:color="auto"/>
                    <w:bottom w:val="none" w:sz="0" w:space="0" w:color="auto"/>
                    <w:right w:val="none" w:sz="0" w:space="0" w:color="auto"/>
                  </w:divBdr>
                  <w:divsChild>
                    <w:div w:id="20200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1218">
      <w:bodyDiv w:val="1"/>
      <w:marLeft w:val="0"/>
      <w:marRight w:val="0"/>
      <w:marTop w:val="0"/>
      <w:marBottom w:val="0"/>
      <w:divBdr>
        <w:top w:val="none" w:sz="0" w:space="0" w:color="auto"/>
        <w:left w:val="none" w:sz="0" w:space="0" w:color="auto"/>
        <w:bottom w:val="none" w:sz="0" w:space="0" w:color="auto"/>
        <w:right w:val="none" w:sz="0" w:space="0" w:color="auto"/>
      </w:divBdr>
    </w:div>
    <w:div w:id="1537112640">
      <w:bodyDiv w:val="1"/>
      <w:marLeft w:val="0"/>
      <w:marRight w:val="0"/>
      <w:marTop w:val="0"/>
      <w:marBottom w:val="0"/>
      <w:divBdr>
        <w:top w:val="none" w:sz="0" w:space="0" w:color="auto"/>
        <w:left w:val="none" w:sz="0" w:space="0" w:color="auto"/>
        <w:bottom w:val="none" w:sz="0" w:space="0" w:color="auto"/>
        <w:right w:val="none" w:sz="0" w:space="0" w:color="auto"/>
      </w:divBdr>
    </w:div>
    <w:div w:id="1537961246">
      <w:bodyDiv w:val="1"/>
      <w:marLeft w:val="0"/>
      <w:marRight w:val="0"/>
      <w:marTop w:val="0"/>
      <w:marBottom w:val="0"/>
      <w:divBdr>
        <w:top w:val="none" w:sz="0" w:space="0" w:color="auto"/>
        <w:left w:val="none" w:sz="0" w:space="0" w:color="auto"/>
        <w:bottom w:val="none" w:sz="0" w:space="0" w:color="auto"/>
        <w:right w:val="none" w:sz="0" w:space="0" w:color="auto"/>
      </w:divBdr>
    </w:div>
    <w:div w:id="1538933466">
      <w:bodyDiv w:val="1"/>
      <w:marLeft w:val="0"/>
      <w:marRight w:val="0"/>
      <w:marTop w:val="0"/>
      <w:marBottom w:val="0"/>
      <w:divBdr>
        <w:top w:val="none" w:sz="0" w:space="0" w:color="auto"/>
        <w:left w:val="none" w:sz="0" w:space="0" w:color="auto"/>
        <w:bottom w:val="none" w:sz="0" w:space="0" w:color="auto"/>
        <w:right w:val="none" w:sz="0" w:space="0" w:color="auto"/>
      </w:divBdr>
    </w:div>
    <w:div w:id="1539003092">
      <w:bodyDiv w:val="1"/>
      <w:marLeft w:val="0"/>
      <w:marRight w:val="0"/>
      <w:marTop w:val="0"/>
      <w:marBottom w:val="0"/>
      <w:divBdr>
        <w:top w:val="none" w:sz="0" w:space="0" w:color="auto"/>
        <w:left w:val="none" w:sz="0" w:space="0" w:color="auto"/>
        <w:bottom w:val="none" w:sz="0" w:space="0" w:color="auto"/>
        <w:right w:val="none" w:sz="0" w:space="0" w:color="auto"/>
      </w:divBdr>
      <w:divsChild>
        <w:div w:id="1787308391">
          <w:marLeft w:val="0"/>
          <w:marRight w:val="0"/>
          <w:marTop w:val="0"/>
          <w:marBottom w:val="0"/>
          <w:divBdr>
            <w:top w:val="none" w:sz="0" w:space="0" w:color="auto"/>
            <w:left w:val="none" w:sz="0" w:space="0" w:color="auto"/>
            <w:bottom w:val="none" w:sz="0" w:space="0" w:color="auto"/>
            <w:right w:val="none" w:sz="0" w:space="0" w:color="auto"/>
          </w:divBdr>
          <w:divsChild>
            <w:div w:id="809325446">
              <w:marLeft w:val="0"/>
              <w:marRight w:val="0"/>
              <w:marTop w:val="0"/>
              <w:marBottom w:val="0"/>
              <w:divBdr>
                <w:top w:val="none" w:sz="0" w:space="0" w:color="auto"/>
                <w:left w:val="none" w:sz="0" w:space="0" w:color="auto"/>
                <w:bottom w:val="none" w:sz="0" w:space="0" w:color="auto"/>
                <w:right w:val="none" w:sz="0" w:space="0" w:color="auto"/>
              </w:divBdr>
              <w:divsChild>
                <w:div w:id="1281643844">
                  <w:marLeft w:val="0"/>
                  <w:marRight w:val="0"/>
                  <w:marTop w:val="0"/>
                  <w:marBottom w:val="0"/>
                  <w:divBdr>
                    <w:top w:val="none" w:sz="0" w:space="0" w:color="auto"/>
                    <w:left w:val="none" w:sz="0" w:space="0" w:color="auto"/>
                    <w:bottom w:val="none" w:sz="0" w:space="0" w:color="auto"/>
                    <w:right w:val="none" w:sz="0" w:space="0" w:color="auto"/>
                  </w:divBdr>
                  <w:divsChild>
                    <w:div w:id="142537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196683">
      <w:bodyDiv w:val="1"/>
      <w:marLeft w:val="0"/>
      <w:marRight w:val="0"/>
      <w:marTop w:val="0"/>
      <w:marBottom w:val="0"/>
      <w:divBdr>
        <w:top w:val="none" w:sz="0" w:space="0" w:color="auto"/>
        <w:left w:val="none" w:sz="0" w:space="0" w:color="auto"/>
        <w:bottom w:val="none" w:sz="0" w:space="0" w:color="auto"/>
        <w:right w:val="none" w:sz="0" w:space="0" w:color="auto"/>
      </w:divBdr>
    </w:div>
    <w:div w:id="1539708433">
      <w:bodyDiv w:val="1"/>
      <w:marLeft w:val="0"/>
      <w:marRight w:val="0"/>
      <w:marTop w:val="0"/>
      <w:marBottom w:val="0"/>
      <w:divBdr>
        <w:top w:val="none" w:sz="0" w:space="0" w:color="auto"/>
        <w:left w:val="none" w:sz="0" w:space="0" w:color="auto"/>
        <w:bottom w:val="none" w:sz="0" w:space="0" w:color="auto"/>
        <w:right w:val="none" w:sz="0" w:space="0" w:color="auto"/>
      </w:divBdr>
    </w:div>
    <w:div w:id="1539900079">
      <w:bodyDiv w:val="1"/>
      <w:marLeft w:val="0"/>
      <w:marRight w:val="0"/>
      <w:marTop w:val="0"/>
      <w:marBottom w:val="0"/>
      <w:divBdr>
        <w:top w:val="none" w:sz="0" w:space="0" w:color="auto"/>
        <w:left w:val="none" w:sz="0" w:space="0" w:color="auto"/>
        <w:bottom w:val="none" w:sz="0" w:space="0" w:color="auto"/>
        <w:right w:val="none" w:sz="0" w:space="0" w:color="auto"/>
      </w:divBdr>
    </w:div>
    <w:div w:id="1540047635">
      <w:bodyDiv w:val="1"/>
      <w:marLeft w:val="0"/>
      <w:marRight w:val="0"/>
      <w:marTop w:val="0"/>
      <w:marBottom w:val="0"/>
      <w:divBdr>
        <w:top w:val="none" w:sz="0" w:space="0" w:color="auto"/>
        <w:left w:val="none" w:sz="0" w:space="0" w:color="auto"/>
        <w:bottom w:val="none" w:sz="0" w:space="0" w:color="auto"/>
        <w:right w:val="none" w:sz="0" w:space="0" w:color="auto"/>
      </w:divBdr>
    </w:div>
    <w:div w:id="1540121163">
      <w:bodyDiv w:val="1"/>
      <w:marLeft w:val="0"/>
      <w:marRight w:val="0"/>
      <w:marTop w:val="0"/>
      <w:marBottom w:val="0"/>
      <w:divBdr>
        <w:top w:val="none" w:sz="0" w:space="0" w:color="auto"/>
        <w:left w:val="none" w:sz="0" w:space="0" w:color="auto"/>
        <w:bottom w:val="none" w:sz="0" w:space="0" w:color="auto"/>
        <w:right w:val="none" w:sz="0" w:space="0" w:color="auto"/>
      </w:divBdr>
    </w:div>
    <w:div w:id="1540240571">
      <w:bodyDiv w:val="1"/>
      <w:marLeft w:val="0"/>
      <w:marRight w:val="0"/>
      <w:marTop w:val="0"/>
      <w:marBottom w:val="0"/>
      <w:divBdr>
        <w:top w:val="none" w:sz="0" w:space="0" w:color="auto"/>
        <w:left w:val="none" w:sz="0" w:space="0" w:color="auto"/>
        <w:bottom w:val="none" w:sz="0" w:space="0" w:color="auto"/>
        <w:right w:val="none" w:sz="0" w:space="0" w:color="auto"/>
      </w:divBdr>
    </w:div>
    <w:div w:id="1540702446">
      <w:bodyDiv w:val="1"/>
      <w:marLeft w:val="0"/>
      <w:marRight w:val="0"/>
      <w:marTop w:val="0"/>
      <w:marBottom w:val="0"/>
      <w:divBdr>
        <w:top w:val="none" w:sz="0" w:space="0" w:color="auto"/>
        <w:left w:val="none" w:sz="0" w:space="0" w:color="auto"/>
        <w:bottom w:val="none" w:sz="0" w:space="0" w:color="auto"/>
        <w:right w:val="none" w:sz="0" w:space="0" w:color="auto"/>
      </w:divBdr>
      <w:divsChild>
        <w:div w:id="1808545811">
          <w:marLeft w:val="0"/>
          <w:marRight w:val="0"/>
          <w:marTop w:val="0"/>
          <w:marBottom w:val="0"/>
          <w:divBdr>
            <w:top w:val="none" w:sz="0" w:space="0" w:color="auto"/>
            <w:left w:val="none" w:sz="0" w:space="0" w:color="auto"/>
            <w:bottom w:val="none" w:sz="0" w:space="0" w:color="auto"/>
            <w:right w:val="none" w:sz="0" w:space="0" w:color="auto"/>
          </w:divBdr>
          <w:divsChild>
            <w:div w:id="1094472302">
              <w:marLeft w:val="0"/>
              <w:marRight w:val="0"/>
              <w:marTop w:val="0"/>
              <w:marBottom w:val="0"/>
              <w:divBdr>
                <w:top w:val="none" w:sz="0" w:space="0" w:color="auto"/>
                <w:left w:val="none" w:sz="0" w:space="0" w:color="auto"/>
                <w:bottom w:val="none" w:sz="0" w:space="0" w:color="auto"/>
                <w:right w:val="none" w:sz="0" w:space="0" w:color="auto"/>
              </w:divBdr>
              <w:divsChild>
                <w:div w:id="1233783160">
                  <w:marLeft w:val="0"/>
                  <w:marRight w:val="0"/>
                  <w:marTop w:val="0"/>
                  <w:marBottom w:val="0"/>
                  <w:divBdr>
                    <w:top w:val="none" w:sz="0" w:space="0" w:color="auto"/>
                    <w:left w:val="none" w:sz="0" w:space="0" w:color="auto"/>
                    <w:bottom w:val="none" w:sz="0" w:space="0" w:color="auto"/>
                    <w:right w:val="none" w:sz="0" w:space="0" w:color="auto"/>
                  </w:divBdr>
                  <w:divsChild>
                    <w:div w:id="105677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013709">
      <w:bodyDiv w:val="1"/>
      <w:marLeft w:val="0"/>
      <w:marRight w:val="0"/>
      <w:marTop w:val="0"/>
      <w:marBottom w:val="0"/>
      <w:divBdr>
        <w:top w:val="none" w:sz="0" w:space="0" w:color="auto"/>
        <w:left w:val="none" w:sz="0" w:space="0" w:color="auto"/>
        <w:bottom w:val="none" w:sz="0" w:space="0" w:color="auto"/>
        <w:right w:val="none" w:sz="0" w:space="0" w:color="auto"/>
      </w:divBdr>
    </w:div>
    <w:div w:id="1541743356">
      <w:bodyDiv w:val="1"/>
      <w:marLeft w:val="0"/>
      <w:marRight w:val="0"/>
      <w:marTop w:val="0"/>
      <w:marBottom w:val="0"/>
      <w:divBdr>
        <w:top w:val="none" w:sz="0" w:space="0" w:color="auto"/>
        <w:left w:val="none" w:sz="0" w:space="0" w:color="auto"/>
        <w:bottom w:val="none" w:sz="0" w:space="0" w:color="auto"/>
        <w:right w:val="none" w:sz="0" w:space="0" w:color="auto"/>
      </w:divBdr>
    </w:div>
    <w:div w:id="1542673092">
      <w:bodyDiv w:val="1"/>
      <w:marLeft w:val="0"/>
      <w:marRight w:val="0"/>
      <w:marTop w:val="0"/>
      <w:marBottom w:val="0"/>
      <w:divBdr>
        <w:top w:val="none" w:sz="0" w:space="0" w:color="auto"/>
        <w:left w:val="none" w:sz="0" w:space="0" w:color="auto"/>
        <w:bottom w:val="none" w:sz="0" w:space="0" w:color="auto"/>
        <w:right w:val="none" w:sz="0" w:space="0" w:color="auto"/>
      </w:divBdr>
    </w:div>
    <w:div w:id="1542741815">
      <w:bodyDiv w:val="1"/>
      <w:marLeft w:val="0"/>
      <w:marRight w:val="0"/>
      <w:marTop w:val="0"/>
      <w:marBottom w:val="0"/>
      <w:divBdr>
        <w:top w:val="none" w:sz="0" w:space="0" w:color="auto"/>
        <w:left w:val="none" w:sz="0" w:space="0" w:color="auto"/>
        <w:bottom w:val="none" w:sz="0" w:space="0" w:color="auto"/>
        <w:right w:val="none" w:sz="0" w:space="0" w:color="auto"/>
      </w:divBdr>
    </w:div>
    <w:div w:id="1544174278">
      <w:bodyDiv w:val="1"/>
      <w:marLeft w:val="0"/>
      <w:marRight w:val="0"/>
      <w:marTop w:val="0"/>
      <w:marBottom w:val="0"/>
      <w:divBdr>
        <w:top w:val="none" w:sz="0" w:space="0" w:color="auto"/>
        <w:left w:val="none" w:sz="0" w:space="0" w:color="auto"/>
        <w:bottom w:val="none" w:sz="0" w:space="0" w:color="auto"/>
        <w:right w:val="none" w:sz="0" w:space="0" w:color="auto"/>
      </w:divBdr>
    </w:div>
    <w:div w:id="1544366270">
      <w:bodyDiv w:val="1"/>
      <w:marLeft w:val="0"/>
      <w:marRight w:val="0"/>
      <w:marTop w:val="0"/>
      <w:marBottom w:val="0"/>
      <w:divBdr>
        <w:top w:val="none" w:sz="0" w:space="0" w:color="auto"/>
        <w:left w:val="none" w:sz="0" w:space="0" w:color="auto"/>
        <w:bottom w:val="none" w:sz="0" w:space="0" w:color="auto"/>
        <w:right w:val="none" w:sz="0" w:space="0" w:color="auto"/>
      </w:divBdr>
    </w:div>
    <w:div w:id="1544907310">
      <w:bodyDiv w:val="1"/>
      <w:marLeft w:val="0"/>
      <w:marRight w:val="0"/>
      <w:marTop w:val="0"/>
      <w:marBottom w:val="0"/>
      <w:divBdr>
        <w:top w:val="none" w:sz="0" w:space="0" w:color="auto"/>
        <w:left w:val="none" w:sz="0" w:space="0" w:color="auto"/>
        <w:bottom w:val="none" w:sz="0" w:space="0" w:color="auto"/>
        <w:right w:val="none" w:sz="0" w:space="0" w:color="auto"/>
      </w:divBdr>
      <w:divsChild>
        <w:div w:id="272589032">
          <w:marLeft w:val="0"/>
          <w:marRight w:val="0"/>
          <w:marTop w:val="0"/>
          <w:marBottom w:val="0"/>
          <w:divBdr>
            <w:top w:val="none" w:sz="0" w:space="0" w:color="auto"/>
            <w:left w:val="none" w:sz="0" w:space="0" w:color="auto"/>
            <w:bottom w:val="none" w:sz="0" w:space="0" w:color="auto"/>
            <w:right w:val="none" w:sz="0" w:space="0" w:color="auto"/>
          </w:divBdr>
          <w:divsChild>
            <w:div w:id="1507355015">
              <w:marLeft w:val="0"/>
              <w:marRight w:val="0"/>
              <w:marTop w:val="0"/>
              <w:marBottom w:val="0"/>
              <w:divBdr>
                <w:top w:val="none" w:sz="0" w:space="0" w:color="auto"/>
                <w:left w:val="none" w:sz="0" w:space="0" w:color="auto"/>
                <w:bottom w:val="none" w:sz="0" w:space="0" w:color="auto"/>
                <w:right w:val="none" w:sz="0" w:space="0" w:color="auto"/>
              </w:divBdr>
              <w:divsChild>
                <w:div w:id="687223170">
                  <w:marLeft w:val="0"/>
                  <w:marRight w:val="0"/>
                  <w:marTop w:val="0"/>
                  <w:marBottom w:val="0"/>
                  <w:divBdr>
                    <w:top w:val="none" w:sz="0" w:space="0" w:color="auto"/>
                    <w:left w:val="none" w:sz="0" w:space="0" w:color="auto"/>
                    <w:bottom w:val="none" w:sz="0" w:space="0" w:color="auto"/>
                    <w:right w:val="none" w:sz="0" w:space="0" w:color="auto"/>
                  </w:divBdr>
                  <w:divsChild>
                    <w:div w:id="72294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101510">
      <w:bodyDiv w:val="1"/>
      <w:marLeft w:val="0"/>
      <w:marRight w:val="0"/>
      <w:marTop w:val="0"/>
      <w:marBottom w:val="0"/>
      <w:divBdr>
        <w:top w:val="none" w:sz="0" w:space="0" w:color="auto"/>
        <w:left w:val="none" w:sz="0" w:space="0" w:color="auto"/>
        <w:bottom w:val="none" w:sz="0" w:space="0" w:color="auto"/>
        <w:right w:val="none" w:sz="0" w:space="0" w:color="auto"/>
      </w:divBdr>
    </w:div>
    <w:div w:id="1546873816">
      <w:bodyDiv w:val="1"/>
      <w:marLeft w:val="0"/>
      <w:marRight w:val="0"/>
      <w:marTop w:val="0"/>
      <w:marBottom w:val="0"/>
      <w:divBdr>
        <w:top w:val="none" w:sz="0" w:space="0" w:color="auto"/>
        <w:left w:val="none" w:sz="0" w:space="0" w:color="auto"/>
        <w:bottom w:val="none" w:sz="0" w:space="0" w:color="auto"/>
        <w:right w:val="none" w:sz="0" w:space="0" w:color="auto"/>
      </w:divBdr>
      <w:divsChild>
        <w:div w:id="243422933">
          <w:marLeft w:val="0"/>
          <w:marRight w:val="0"/>
          <w:marTop w:val="0"/>
          <w:marBottom w:val="0"/>
          <w:divBdr>
            <w:top w:val="none" w:sz="0" w:space="0" w:color="auto"/>
            <w:left w:val="none" w:sz="0" w:space="0" w:color="auto"/>
            <w:bottom w:val="none" w:sz="0" w:space="0" w:color="auto"/>
            <w:right w:val="none" w:sz="0" w:space="0" w:color="auto"/>
          </w:divBdr>
          <w:divsChild>
            <w:div w:id="880630934">
              <w:marLeft w:val="0"/>
              <w:marRight w:val="0"/>
              <w:marTop w:val="0"/>
              <w:marBottom w:val="0"/>
              <w:divBdr>
                <w:top w:val="none" w:sz="0" w:space="0" w:color="auto"/>
                <w:left w:val="none" w:sz="0" w:space="0" w:color="auto"/>
                <w:bottom w:val="none" w:sz="0" w:space="0" w:color="auto"/>
                <w:right w:val="none" w:sz="0" w:space="0" w:color="auto"/>
              </w:divBdr>
              <w:divsChild>
                <w:div w:id="1685396346">
                  <w:marLeft w:val="0"/>
                  <w:marRight w:val="0"/>
                  <w:marTop w:val="0"/>
                  <w:marBottom w:val="0"/>
                  <w:divBdr>
                    <w:top w:val="none" w:sz="0" w:space="0" w:color="auto"/>
                    <w:left w:val="none" w:sz="0" w:space="0" w:color="auto"/>
                    <w:bottom w:val="none" w:sz="0" w:space="0" w:color="auto"/>
                    <w:right w:val="none" w:sz="0" w:space="0" w:color="auto"/>
                  </w:divBdr>
                  <w:divsChild>
                    <w:div w:id="18549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032467">
      <w:bodyDiv w:val="1"/>
      <w:marLeft w:val="0"/>
      <w:marRight w:val="0"/>
      <w:marTop w:val="0"/>
      <w:marBottom w:val="0"/>
      <w:divBdr>
        <w:top w:val="none" w:sz="0" w:space="0" w:color="auto"/>
        <w:left w:val="none" w:sz="0" w:space="0" w:color="auto"/>
        <w:bottom w:val="none" w:sz="0" w:space="0" w:color="auto"/>
        <w:right w:val="none" w:sz="0" w:space="0" w:color="auto"/>
      </w:divBdr>
    </w:div>
    <w:div w:id="1548494460">
      <w:bodyDiv w:val="1"/>
      <w:marLeft w:val="0"/>
      <w:marRight w:val="0"/>
      <w:marTop w:val="0"/>
      <w:marBottom w:val="0"/>
      <w:divBdr>
        <w:top w:val="none" w:sz="0" w:space="0" w:color="auto"/>
        <w:left w:val="none" w:sz="0" w:space="0" w:color="auto"/>
        <w:bottom w:val="none" w:sz="0" w:space="0" w:color="auto"/>
        <w:right w:val="none" w:sz="0" w:space="0" w:color="auto"/>
      </w:divBdr>
      <w:divsChild>
        <w:div w:id="1666322952">
          <w:marLeft w:val="0"/>
          <w:marRight w:val="0"/>
          <w:marTop w:val="0"/>
          <w:marBottom w:val="0"/>
          <w:divBdr>
            <w:top w:val="none" w:sz="0" w:space="0" w:color="auto"/>
            <w:left w:val="none" w:sz="0" w:space="0" w:color="auto"/>
            <w:bottom w:val="none" w:sz="0" w:space="0" w:color="auto"/>
            <w:right w:val="none" w:sz="0" w:space="0" w:color="auto"/>
          </w:divBdr>
          <w:divsChild>
            <w:div w:id="390736635">
              <w:marLeft w:val="0"/>
              <w:marRight w:val="0"/>
              <w:marTop w:val="0"/>
              <w:marBottom w:val="0"/>
              <w:divBdr>
                <w:top w:val="none" w:sz="0" w:space="0" w:color="auto"/>
                <w:left w:val="none" w:sz="0" w:space="0" w:color="auto"/>
                <w:bottom w:val="none" w:sz="0" w:space="0" w:color="auto"/>
                <w:right w:val="none" w:sz="0" w:space="0" w:color="auto"/>
              </w:divBdr>
              <w:divsChild>
                <w:div w:id="1799762337">
                  <w:marLeft w:val="0"/>
                  <w:marRight w:val="0"/>
                  <w:marTop w:val="0"/>
                  <w:marBottom w:val="0"/>
                  <w:divBdr>
                    <w:top w:val="none" w:sz="0" w:space="0" w:color="auto"/>
                    <w:left w:val="none" w:sz="0" w:space="0" w:color="auto"/>
                    <w:bottom w:val="none" w:sz="0" w:space="0" w:color="auto"/>
                    <w:right w:val="none" w:sz="0" w:space="0" w:color="auto"/>
                  </w:divBdr>
                  <w:divsChild>
                    <w:div w:id="13525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839396">
      <w:bodyDiv w:val="1"/>
      <w:marLeft w:val="0"/>
      <w:marRight w:val="0"/>
      <w:marTop w:val="0"/>
      <w:marBottom w:val="0"/>
      <w:divBdr>
        <w:top w:val="none" w:sz="0" w:space="0" w:color="auto"/>
        <w:left w:val="none" w:sz="0" w:space="0" w:color="auto"/>
        <w:bottom w:val="none" w:sz="0" w:space="0" w:color="auto"/>
        <w:right w:val="none" w:sz="0" w:space="0" w:color="auto"/>
      </w:divBdr>
    </w:div>
    <w:div w:id="1549293482">
      <w:bodyDiv w:val="1"/>
      <w:marLeft w:val="0"/>
      <w:marRight w:val="0"/>
      <w:marTop w:val="0"/>
      <w:marBottom w:val="0"/>
      <w:divBdr>
        <w:top w:val="none" w:sz="0" w:space="0" w:color="auto"/>
        <w:left w:val="none" w:sz="0" w:space="0" w:color="auto"/>
        <w:bottom w:val="none" w:sz="0" w:space="0" w:color="auto"/>
        <w:right w:val="none" w:sz="0" w:space="0" w:color="auto"/>
      </w:divBdr>
    </w:div>
    <w:div w:id="1549685808">
      <w:bodyDiv w:val="1"/>
      <w:marLeft w:val="0"/>
      <w:marRight w:val="0"/>
      <w:marTop w:val="0"/>
      <w:marBottom w:val="0"/>
      <w:divBdr>
        <w:top w:val="none" w:sz="0" w:space="0" w:color="auto"/>
        <w:left w:val="none" w:sz="0" w:space="0" w:color="auto"/>
        <w:bottom w:val="none" w:sz="0" w:space="0" w:color="auto"/>
        <w:right w:val="none" w:sz="0" w:space="0" w:color="auto"/>
      </w:divBdr>
    </w:div>
    <w:div w:id="1549879869">
      <w:bodyDiv w:val="1"/>
      <w:marLeft w:val="0"/>
      <w:marRight w:val="0"/>
      <w:marTop w:val="0"/>
      <w:marBottom w:val="0"/>
      <w:divBdr>
        <w:top w:val="none" w:sz="0" w:space="0" w:color="auto"/>
        <w:left w:val="none" w:sz="0" w:space="0" w:color="auto"/>
        <w:bottom w:val="none" w:sz="0" w:space="0" w:color="auto"/>
        <w:right w:val="none" w:sz="0" w:space="0" w:color="auto"/>
      </w:divBdr>
    </w:div>
    <w:div w:id="1550148853">
      <w:bodyDiv w:val="1"/>
      <w:marLeft w:val="0"/>
      <w:marRight w:val="0"/>
      <w:marTop w:val="0"/>
      <w:marBottom w:val="0"/>
      <w:divBdr>
        <w:top w:val="none" w:sz="0" w:space="0" w:color="auto"/>
        <w:left w:val="none" w:sz="0" w:space="0" w:color="auto"/>
        <w:bottom w:val="none" w:sz="0" w:space="0" w:color="auto"/>
        <w:right w:val="none" w:sz="0" w:space="0" w:color="auto"/>
      </w:divBdr>
    </w:div>
    <w:div w:id="1551452234">
      <w:bodyDiv w:val="1"/>
      <w:marLeft w:val="0"/>
      <w:marRight w:val="0"/>
      <w:marTop w:val="0"/>
      <w:marBottom w:val="0"/>
      <w:divBdr>
        <w:top w:val="none" w:sz="0" w:space="0" w:color="auto"/>
        <w:left w:val="none" w:sz="0" w:space="0" w:color="auto"/>
        <w:bottom w:val="none" w:sz="0" w:space="0" w:color="auto"/>
        <w:right w:val="none" w:sz="0" w:space="0" w:color="auto"/>
      </w:divBdr>
      <w:divsChild>
        <w:div w:id="262567209">
          <w:marLeft w:val="0"/>
          <w:marRight w:val="0"/>
          <w:marTop w:val="0"/>
          <w:marBottom w:val="0"/>
          <w:divBdr>
            <w:top w:val="none" w:sz="0" w:space="0" w:color="auto"/>
            <w:left w:val="none" w:sz="0" w:space="0" w:color="auto"/>
            <w:bottom w:val="none" w:sz="0" w:space="0" w:color="auto"/>
            <w:right w:val="none" w:sz="0" w:space="0" w:color="auto"/>
          </w:divBdr>
          <w:divsChild>
            <w:div w:id="1594896888">
              <w:marLeft w:val="0"/>
              <w:marRight w:val="0"/>
              <w:marTop w:val="0"/>
              <w:marBottom w:val="0"/>
              <w:divBdr>
                <w:top w:val="none" w:sz="0" w:space="0" w:color="auto"/>
                <w:left w:val="none" w:sz="0" w:space="0" w:color="auto"/>
                <w:bottom w:val="none" w:sz="0" w:space="0" w:color="auto"/>
                <w:right w:val="none" w:sz="0" w:space="0" w:color="auto"/>
              </w:divBdr>
              <w:divsChild>
                <w:div w:id="1710111333">
                  <w:marLeft w:val="0"/>
                  <w:marRight w:val="0"/>
                  <w:marTop w:val="0"/>
                  <w:marBottom w:val="0"/>
                  <w:divBdr>
                    <w:top w:val="none" w:sz="0" w:space="0" w:color="auto"/>
                    <w:left w:val="none" w:sz="0" w:space="0" w:color="auto"/>
                    <w:bottom w:val="none" w:sz="0" w:space="0" w:color="auto"/>
                    <w:right w:val="none" w:sz="0" w:space="0" w:color="auto"/>
                  </w:divBdr>
                  <w:divsChild>
                    <w:div w:id="101345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156146">
      <w:bodyDiv w:val="1"/>
      <w:marLeft w:val="0"/>
      <w:marRight w:val="0"/>
      <w:marTop w:val="0"/>
      <w:marBottom w:val="0"/>
      <w:divBdr>
        <w:top w:val="none" w:sz="0" w:space="0" w:color="auto"/>
        <w:left w:val="none" w:sz="0" w:space="0" w:color="auto"/>
        <w:bottom w:val="none" w:sz="0" w:space="0" w:color="auto"/>
        <w:right w:val="none" w:sz="0" w:space="0" w:color="auto"/>
      </w:divBdr>
    </w:div>
    <w:div w:id="1554652750">
      <w:bodyDiv w:val="1"/>
      <w:marLeft w:val="0"/>
      <w:marRight w:val="0"/>
      <w:marTop w:val="0"/>
      <w:marBottom w:val="0"/>
      <w:divBdr>
        <w:top w:val="none" w:sz="0" w:space="0" w:color="auto"/>
        <w:left w:val="none" w:sz="0" w:space="0" w:color="auto"/>
        <w:bottom w:val="none" w:sz="0" w:space="0" w:color="auto"/>
        <w:right w:val="none" w:sz="0" w:space="0" w:color="auto"/>
      </w:divBdr>
    </w:div>
    <w:div w:id="1555116669">
      <w:bodyDiv w:val="1"/>
      <w:marLeft w:val="0"/>
      <w:marRight w:val="0"/>
      <w:marTop w:val="0"/>
      <w:marBottom w:val="0"/>
      <w:divBdr>
        <w:top w:val="none" w:sz="0" w:space="0" w:color="auto"/>
        <w:left w:val="none" w:sz="0" w:space="0" w:color="auto"/>
        <w:bottom w:val="none" w:sz="0" w:space="0" w:color="auto"/>
        <w:right w:val="none" w:sz="0" w:space="0" w:color="auto"/>
      </w:divBdr>
    </w:div>
    <w:div w:id="1555389007">
      <w:bodyDiv w:val="1"/>
      <w:marLeft w:val="0"/>
      <w:marRight w:val="0"/>
      <w:marTop w:val="0"/>
      <w:marBottom w:val="0"/>
      <w:divBdr>
        <w:top w:val="none" w:sz="0" w:space="0" w:color="auto"/>
        <w:left w:val="none" w:sz="0" w:space="0" w:color="auto"/>
        <w:bottom w:val="none" w:sz="0" w:space="0" w:color="auto"/>
        <w:right w:val="none" w:sz="0" w:space="0" w:color="auto"/>
      </w:divBdr>
    </w:div>
    <w:div w:id="1555778186">
      <w:bodyDiv w:val="1"/>
      <w:marLeft w:val="0"/>
      <w:marRight w:val="0"/>
      <w:marTop w:val="0"/>
      <w:marBottom w:val="0"/>
      <w:divBdr>
        <w:top w:val="none" w:sz="0" w:space="0" w:color="auto"/>
        <w:left w:val="none" w:sz="0" w:space="0" w:color="auto"/>
        <w:bottom w:val="none" w:sz="0" w:space="0" w:color="auto"/>
        <w:right w:val="none" w:sz="0" w:space="0" w:color="auto"/>
      </w:divBdr>
      <w:divsChild>
        <w:div w:id="1370909252">
          <w:marLeft w:val="0"/>
          <w:marRight w:val="0"/>
          <w:marTop w:val="0"/>
          <w:marBottom w:val="0"/>
          <w:divBdr>
            <w:top w:val="none" w:sz="0" w:space="0" w:color="auto"/>
            <w:left w:val="none" w:sz="0" w:space="0" w:color="auto"/>
            <w:bottom w:val="none" w:sz="0" w:space="0" w:color="auto"/>
            <w:right w:val="none" w:sz="0" w:space="0" w:color="auto"/>
          </w:divBdr>
          <w:divsChild>
            <w:div w:id="120998431">
              <w:marLeft w:val="0"/>
              <w:marRight w:val="0"/>
              <w:marTop w:val="0"/>
              <w:marBottom w:val="0"/>
              <w:divBdr>
                <w:top w:val="none" w:sz="0" w:space="0" w:color="auto"/>
                <w:left w:val="none" w:sz="0" w:space="0" w:color="auto"/>
                <w:bottom w:val="none" w:sz="0" w:space="0" w:color="auto"/>
                <w:right w:val="none" w:sz="0" w:space="0" w:color="auto"/>
              </w:divBdr>
              <w:divsChild>
                <w:div w:id="428741550">
                  <w:marLeft w:val="0"/>
                  <w:marRight w:val="0"/>
                  <w:marTop w:val="0"/>
                  <w:marBottom w:val="0"/>
                  <w:divBdr>
                    <w:top w:val="none" w:sz="0" w:space="0" w:color="auto"/>
                    <w:left w:val="none" w:sz="0" w:space="0" w:color="auto"/>
                    <w:bottom w:val="none" w:sz="0" w:space="0" w:color="auto"/>
                    <w:right w:val="none" w:sz="0" w:space="0" w:color="auto"/>
                  </w:divBdr>
                </w:div>
              </w:divsChild>
            </w:div>
            <w:div w:id="1267956168">
              <w:marLeft w:val="0"/>
              <w:marRight w:val="0"/>
              <w:marTop w:val="0"/>
              <w:marBottom w:val="0"/>
              <w:divBdr>
                <w:top w:val="none" w:sz="0" w:space="0" w:color="auto"/>
                <w:left w:val="none" w:sz="0" w:space="0" w:color="auto"/>
                <w:bottom w:val="none" w:sz="0" w:space="0" w:color="auto"/>
                <w:right w:val="none" w:sz="0" w:space="0" w:color="auto"/>
              </w:divBdr>
              <w:divsChild>
                <w:div w:id="1534927830">
                  <w:marLeft w:val="0"/>
                  <w:marRight w:val="0"/>
                  <w:marTop w:val="0"/>
                  <w:marBottom w:val="0"/>
                  <w:divBdr>
                    <w:top w:val="none" w:sz="0" w:space="0" w:color="auto"/>
                    <w:left w:val="none" w:sz="0" w:space="0" w:color="auto"/>
                    <w:bottom w:val="none" w:sz="0" w:space="0" w:color="auto"/>
                    <w:right w:val="none" w:sz="0" w:space="0" w:color="auto"/>
                  </w:divBdr>
                </w:div>
              </w:divsChild>
            </w:div>
            <w:div w:id="1670911423">
              <w:marLeft w:val="0"/>
              <w:marRight w:val="0"/>
              <w:marTop w:val="0"/>
              <w:marBottom w:val="0"/>
              <w:divBdr>
                <w:top w:val="none" w:sz="0" w:space="0" w:color="auto"/>
                <w:left w:val="none" w:sz="0" w:space="0" w:color="auto"/>
                <w:bottom w:val="none" w:sz="0" w:space="0" w:color="auto"/>
                <w:right w:val="none" w:sz="0" w:space="0" w:color="auto"/>
              </w:divBdr>
              <w:divsChild>
                <w:div w:id="86444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895127">
      <w:bodyDiv w:val="1"/>
      <w:marLeft w:val="0"/>
      <w:marRight w:val="0"/>
      <w:marTop w:val="0"/>
      <w:marBottom w:val="0"/>
      <w:divBdr>
        <w:top w:val="none" w:sz="0" w:space="0" w:color="auto"/>
        <w:left w:val="none" w:sz="0" w:space="0" w:color="auto"/>
        <w:bottom w:val="none" w:sz="0" w:space="0" w:color="auto"/>
        <w:right w:val="none" w:sz="0" w:space="0" w:color="auto"/>
      </w:divBdr>
    </w:div>
    <w:div w:id="1556233957">
      <w:bodyDiv w:val="1"/>
      <w:marLeft w:val="0"/>
      <w:marRight w:val="0"/>
      <w:marTop w:val="0"/>
      <w:marBottom w:val="0"/>
      <w:divBdr>
        <w:top w:val="none" w:sz="0" w:space="0" w:color="auto"/>
        <w:left w:val="none" w:sz="0" w:space="0" w:color="auto"/>
        <w:bottom w:val="none" w:sz="0" w:space="0" w:color="auto"/>
        <w:right w:val="none" w:sz="0" w:space="0" w:color="auto"/>
      </w:divBdr>
      <w:divsChild>
        <w:div w:id="2005014408">
          <w:marLeft w:val="0"/>
          <w:marRight w:val="0"/>
          <w:marTop w:val="0"/>
          <w:marBottom w:val="0"/>
          <w:divBdr>
            <w:top w:val="none" w:sz="0" w:space="0" w:color="auto"/>
            <w:left w:val="none" w:sz="0" w:space="0" w:color="auto"/>
            <w:bottom w:val="none" w:sz="0" w:space="0" w:color="auto"/>
            <w:right w:val="none" w:sz="0" w:space="0" w:color="auto"/>
          </w:divBdr>
          <w:divsChild>
            <w:div w:id="952591942">
              <w:marLeft w:val="0"/>
              <w:marRight w:val="0"/>
              <w:marTop w:val="0"/>
              <w:marBottom w:val="0"/>
              <w:divBdr>
                <w:top w:val="none" w:sz="0" w:space="0" w:color="auto"/>
                <w:left w:val="none" w:sz="0" w:space="0" w:color="auto"/>
                <w:bottom w:val="none" w:sz="0" w:space="0" w:color="auto"/>
                <w:right w:val="none" w:sz="0" w:space="0" w:color="auto"/>
              </w:divBdr>
              <w:divsChild>
                <w:div w:id="143400476">
                  <w:marLeft w:val="0"/>
                  <w:marRight w:val="0"/>
                  <w:marTop w:val="0"/>
                  <w:marBottom w:val="0"/>
                  <w:divBdr>
                    <w:top w:val="none" w:sz="0" w:space="0" w:color="auto"/>
                    <w:left w:val="none" w:sz="0" w:space="0" w:color="auto"/>
                    <w:bottom w:val="none" w:sz="0" w:space="0" w:color="auto"/>
                    <w:right w:val="none" w:sz="0" w:space="0" w:color="auto"/>
                  </w:divBdr>
                </w:div>
              </w:divsChild>
            </w:div>
            <w:div w:id="1478183469">
              <w:marLeft w:val="0"/>
              <w:marRight w:val="0"/>
              <w:marTop w:val="0"/>
              <w:marBottom w:val="0"/>
              <w:divBdr>
                <w:top w:val="none" w:sz="0" w:space="0" w:color="auto"/>
                <w:left w:val="none" w:sz="0" w:space="0" w:color="auto"/>
                <w:bottom w:val="none" w:sz="0" w:space="0" w:color="auto"/>
                <w:right w:val="none" w:sz="0" w:space="0" w:color="auto"/>
              </w:divBdr>
              <w:divsChild>
                <w:div w:id="1138493369">
                  <w:marLeft w:val="0"/>
                  <w:marRight w:val="0"/>
                  <w:marTop w:val="0"/>
                  <w:marBottom w:val="0"/>
                  <w:divBdr>
                    <w:top w:val="none" w:sz="0" w:space="0" w:color="auto"/>
                    <w:left w:val="none" w:sz="0" w:space="0" w:color="auto"/>
                    <w:bottom w:val="none" w:sz="0" w:space="0" w:color="auto"/>
                    <w:right w:val="none" w:sz="0" w:space="0" w:color="auto"/>
                  </w:divBdr>
                </w:div>
              </w:divsChild>
            </w:div>
            <w:div w:id="1748304816">
              <w:marLeft w:val="0"/>
              <w:marRight w:val="0"/>
              <w:marTop w:val="0"/>
              <w:marBottom w:val="0"/>
              <w:divBdr>
                <w:top w:val="none" w:sz="0" w:space="0" w:color="auto"/>
                <w:left w:val="none" w:sz="0" w:space="0" w:color="auto"/>
                <w:bottom w:val="none" w:sz="0" w:space="0" w:color="auto"/>
                <w:right w:val="none" w:sz="0" w:space="0" w:color="auto"/>
              </w:divBdr>
              <w:divsChild>
                <w:div w:id="18515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83722">
      <w:bodyDiv w:val="1"/>
      <w:marLeft w:val="0"/>
      <w:marRight w:val="0"/>
      <w:marTop w:val="0"/>
      <w:marBottom w:val="0"/>
      <w:divBdr>
        <w:top w:val="none" w:sz="0" w:space="0" w:color="auto"/>
        <w:left w:val="none" w:sz="0" w:space="0" w:color="auto"/>
        <w:bottom w:val="none" w:sz="0" w:space="0" w:color="auto"/>
        <w:right w:val="none" w:sz="0" w:space="0" w:color="auto"/>
      </w:divBdr>
    </w:div>
    <w:div w:id="1557887261">
      <w:bodyDiv w:val="1"/>
      <w:marLeft w:val="0"/>
      <w:marRight w:val="0"/>
      <w:marTop w:val="0"/>
      <w:marBottom w:val="0"/>
      <w:divBdr>
        <w:top w:val="none" w:sz="0" w:space="0" w:color="auto"/>
        <w:left w:val="none" w:sz="0" w:space="0" w:color="auto"/>
        <w:bottom w:val="none" w:sz="0" w:space="0" w:color="auto"/>
        <w:right w:val="none" w:sz="0" w:space="0" w:color="auto"/>
      </w:divBdr>
    </w:div>
    <w:div w:id="1558004652">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sChild>
        <w:div w:id="314458185">
          <w:marLeft w:val="0"/>
          <w:marRight w:val="0"/>
          <w:marTop w:val="0"/>
          <w:marBottom w:val="0"/>
          <w:divBdr>
            <w:top w:val="none" w:sz="0" w:space="0" w:color="auto"/>
            <w:left w:val="none" w:sz="0" w:space="0" w:color="auto"/>
            <w:bottom w:val="none" w:sz="0" w:space="0" w:color="auto"/>
            <w:right w:val="none" w:sz="0" w:space="0" w:color="auto"/>
          </w:divBdr>
          <w:divsChild>
            <w:div w:id="2121803409">
              <w:marLeft w:val="0"/>
              <w:marRight w:val="0"/>
              <w:marTop w:val="0"/>
              <w:marBottom w:val="0"/>
              <w:divBdr>
                <w:top w:val="none" w:sz="0" w:space="0" w:color="auto"/>
                <w:left w:val="none" w:sz="0" w:space="0" w:color="auto"/>
                <w:bottom w:val="none" w:sz="0" w:space="0" w:color="auto"/>
                <w:right w:val="none" w:sz="0" w:space="0" w:color="auto"/>
              </w:divBdr>
              <w:divsChild>
                <w:div w:id="831332377">
                  <w:marLeft w:val="0"/>
                  <w:marRight w:val="0"/>
                  <w:marTop w:val="0"/>
                  <w:marBottom w:val="0"/>
                  <w:divBdr>
                    <w:top w:val="none" w:sz="0" w:space="0" w:color="auto"/>
                    <w:left w:val="none" w:sz="0" w:space="0" w:color="auto"/>
                    <w:bottom w:val="none" w:sz="0" w:space="0" w:color="auto"/>
                    <w:right w:val="none" w:sz="0" w:space="0" w:color="auto"/>
                  </w:divBdr>
                  <w:divsChild>
                    <w:div w:id="106328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976919">
      <w:bodyDiv w:val="1"/>
      <w:marLeft w:val="0"/>
      <w:marRight w:val="0"/>
      <w:marTop w:val="0"/>
      <w:marBottom w:val="0"/>
      <w:divBdr>
        <w:top w:val="none" w:sz="0" w:space="0" w:color="auto"/>
        <w:left w:val="none" w:sz="0" w:space="0" w:color="auto"/>
        <w:bottom w:val="none" w:sz="0" w:space="0" w:color="auto"/>
        <w:right w:val="none" w:sz="0" w:space="0" w:color="auto"/>
      </w:divBdr>
    </w:div>
    <w:div w:id="1559513135">
      <w:bodyDiv w:val="1"/>
      <w:marLeft w:val="0"/>
      <w:marRight w:val="0"/>
      <w:marTop w:val="0"/>
      <w:marBottom w:val="0"/>
      <w:divBdr>
        <w:top w:val="none" w:sz="0" w:space="0" w:color="auto"/>
        <w:left w:val="none" w:sz="0" w:space="0" w:color="auto"/>
        <w:bottom w:val="none" w:sz="0" w:space="0" w:color="auto"/>
        <w:right w:val="none" w:sz="0" w:space="0" w:color="auto"/>
      </w:divBdr>
    </w:div>
    <w:div w:id="1561016015">
      <w:bodyDiv w:val="1"/>
      <w:marLeft w:val="0"/>
      <w:marRight w:val="0"/>
      <w:marTop w:val="0"/>
      <w:marBottom w:val="0"/>
      <w:divBdr>
        <w:top w:val="none" w:sz="0" w:space="0" w:color="auto"/>
        <w:left w:val="none" w:sz="0" w:space="0" w:color="auto"/>
        <w:bottom w:val="none" w:sz="0" w:space="0" w:color="auto"/>
        <w:right w:val="none" w:sz="0" w:space="0" w:color="auto"/>
      </w:divBdr>
    </w:div>
    <w:div w:id="1561943417">
      <w:bodyDiv w:val="1"/>
      <w:marLeft w:val="0"/>
      <w:marRight w:val="0"/>
      <w:marTop w:val="0"/>
      <w:marBottom w:val="0"/>
      <w:divBdr>
        <w:top w:val="none" w:sz="0" w:space="0" w:color="auto"/>
        <w:left w:val="none" w:sz="0" w:space="0" w:color="auto"/>
        <w:bottom w:val="none" w:sz="0" w:space="0" w:color="auto"/>
        <w:right w:val="none" w:sz="0" w:space="0" w:color="auto"/>
      </w:divBdr>
    </w:div>
    <w:div w:id="1562401919">
      <w:bodyDiv w:val="1"/>
      <w:marLeft w:val="0"/>
      <w:marRight w:val="0"/>
      <w:marTop w:val="0"/>
      <w:marBottom w:val="0"/>
      <w:divBdr>
        <w:top w:val="none" w:sz="0" w:space="0" w:color="auto"/>
        <w:left w:val="none" w:sz="0" w:space="0" w:color="auto"/>
        <w:bottom w:val="none" w:sz="0" w:space="0" w:color="auto"/>
        <w:right w:val="none" w:sz="0" w:space="0" w:color="auto"/>
      </w:divBdr>
      <w:divsChild>
        <w:div w:id="1666978212">
          <w:marLeft w:val="0"/>
          <w:marRight w:val="0"/>
          <w:marTop w:val="0"/>
          <w:marBottom w:val="0"/>
          <w:divBdr>
            <w:top w:val="none" w:sz="0" w:space="0" w:color="auto"/>
            <w:left w:val="none" w:sz="0" w:space="0" w:color="auto"/>
            <w:bottom w:val="none" w:sz="0" w:space="0" w:color="auto"/>
            <w:right w:val="none" w:sz="0" w:space="0" w:color="auto"/>
          </w:divBdr>
          <w:divsChild>
            <w:div w:id="900021128">
              <w:marLeft w:val="0"/>
              <w:marRight w:val="0"/>
              <w:marTop w:val="0"/>
              <w:marBottom w:val="0"/>
              <w:divBdr>
                <w:top w:val="none" w:sz="0" w:space="0" w:color="auto"/>
                <w:left w:val="none" w:sz="0" w:space="0" w:color="auto"/>
                <w:bottom w:val="none" w:sz="0" w:space="0" w:color="auto"/>
                <w:right w:val="none" w:sz="0" w:space="0" w:color="auto"/>
              </w:divBdr>
              <w:divsChild>
                <w:div w:id="167990562">
                  <w:marLeft w:val="0"/>
                  <w:marRight w:val="0"/>
                  <w:marTop w:val="0"/>
                  <w:marBottom w:val="0"/>
                  <w:divBdr>
                    <w:top w:val="none" w:sz="0" w:space="0" w:color="auto"/>
                    <w:left w:val="none" w:sz="0" w:space="0" w:color="auto"/>
                    <w:bottom w:val="none" w:sz="0" w:space="0" w:color="auto"/>
                    <w:right w:val="none" w:sz="0" w:space="0" w:color="auto"/>
                  </w:divBdr>
                  <w:divsChild>
                    <w:div w:id="308443168">
                      <w:marLeft w:val="0"/>
                      <w:marRight w:val="0"/>
                      <w:marTop w:val="0"/>
                      <w:marBottom w:val="0"/>
                      <w:divBdr>
                        <w:top w:val="none" w:sz="0" w:space="0" w:color="auto"/>
                        <w:left w:val="none" w:sz="0" w:space="0" w:color="auto"/>
                        <w:bottom w:val="none" w:sz="0" w:space="0" w:color="auto"/>
                        <w:right w:val="none" w:sz="0" w:space="0" w:color="auto"/>
                      </w:divBdr>
                    </w:div>
                  </w:divsChild>
                </w:div>
                <w:div w:id="1556819052">
                  <w:marLeft w:val="0"/>
                  <w:marRight w:val="0"/>
                  <w:marTop w:val="0"/>
                  <w:marBottom w:val="0"/>
                  <w:divBdr>
                    <w:top w:val="none" w:sz="0" w:space="0" w:color="auto"/>
                    <w:left w:val="none" w:sz="0" w:space="0" w:color="auto"/>
                    <w:bottom w:val="none" w:sz="0" w:space="0" w:color="auto"/>
                    <w:right w:val="none" w:sz="0" w:space="0" w:color="auto"/>
                  </w:divBdr>
                  <w:divsChild>
                    <w:div w:id="252476931">
                      <w:marLeft w:val="0"/>
                      <w:marRight w:val="0"/>
                      <w:marTop w:val="0"/>
                      <w:marBottom w:val="0"/>
                      <w:divBdr>
                        <w:top w:val="none" w:sz="0" w:space="0" w:color="auto"/>
                        <w:left w:val="none" w:sz="0" w:space="0" w:color="auto"/>
                        <w:bottom w:val="none" w:sz="0" w:space="0" w:color="auto"/>
                        <w:right w:val="none" w:sz="0" w:space="0" w:color="auto"/>
                      </w:divBdr>
                    </w:div>
                  </w:divsChild>
                </w:div>
                <w:div w:id="2133011660">
                  <w:marLeft w:val="0"/>
                  <w:marRight w:val="0"/>
                  <w:marTop w:val="0"/>
                  <w:marBottom w:val="0"/>
                  <w:divBdr>
                    <w:top w:val="none" w:sz="0" w:space="0" w:color="auto"/>
                    <w:left w:val="none" w:sz="0" w:space="0" w:color="auto"/>
                    <w:bottom w:val="none" w:sz="0" w:space="0" w:color="auto"/>
                    <w:right w:val="none" w:sz="0" w:space="0" w:color="auto"/>
                  </w:divBdr>
                  <w:divsChild>
                    <w:div w:id="79325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059626">
      <w:bodyDiv w:val="1"/>
      <w:marLeft w:val="0"/>
      <w:marRight w:val="0"/>
      <w:marTop w:val="0"/>
      <w:marBottom w:val="0"/>
      <w:divBdr>
        <w:top w:val="none" w:sz="0" w:space="0" w:color="auto"/>
        <w:left w:val="none" w:sz="0" w:space="0" w:color="auto"/>
        <w:bottom w:val="none" w:sz="0" w:space="0" w:color="auto"/>
        <w:right w:val="none" w:sz="0" w:space="0" w:color="auto"/>
      </w:divBdr>
    </w:div>
    <w:div w:id="1564172979">
      <w:bodyDiv w:val="1"/>
      <w:marLeft w:val="0"/>
      <w:marRight w:val="0"/>
      <w:marTop w:val="0"/>
      <w:marBottom w:val="0"/>
      <w:divBdr>
        <w:top w:val="none" w:sz="0" w:space="0" w:color="auto"/>
        <w:left w:val="none" w:sz="0" w:space="0" w:color="auto"/>
        <w:bottom w:val="none" w:sz="0" w:space="0" w:color="auto"/>
        <w:right w:val="none" w:sz="0" w:space="0" w:color="auto"/>
      </w:divBdr>
    </w:div>
    <w:div w:id="1564944715">
      <w:bodyDiv w:val="1"/>
      <w:marLeft w:val="0"/>
      <w:marRight w:val="0"/>
      <w:marTop w:val="0"/>
      <w:marBottom w:val="0"/>
      <w:divBdr>
        <w:top w:val="none" w:sz="0" w:space="0" w:color="auto"/>
        <w:left w:val="none" w:sz="0" w:space="0" w:color="auto"/>
        <w:bottom w:val="none" w:sz="0" w:space="0" w:color="auto"/>
        <w:right w:val="none" w:sz="0" w:space="0" w:color="auto"/>
      </w:divBdr>
    </w:div>
    <w:div w:id="1565490391">
      <w:bodyDiv w:val="1"/>
      <w:marLeft w:val="0"/>
      <w:marRight w:val="0"/>
      <w:marTop w:val="0"/>
      <w:marBottom w:val="0"/>
      <w:divBdr>
        <w:top w:val="none" w:sz="0" w:space="0" w:color="auto"/>
        <w:left w:val="none" w:sz="0" w:space="0" w:color="auto"/>
        <w:bottom w:val="none" w:sz="0" w:space="0" w:color="auto"/>
        <w:right w:val="none" w:sz="0" w:space="0" w:color="auto"/>
      </w:divBdr>
      <w:divsChild>
        <w:div w:id="1468740520">
          <w:marLeft w:val="0"/>
          <w:marRight w:val="0"/>
          <w:marTop w:val="0"/>
          <w:marBottom w:val="0"/>
          <w:divBdr>
            <w:top w:val="none" w:sz="0" w:space="0" w:color="auto"/>
            <w:left w:val="none" w:sz="0" w:space="0" w:color="auto"/>
            <w:bottom w:val="none" w:sz="0" w:space="0" w:color="auto"/>
            <w:right w:val="none" w:sz="0" w:space="0" w:color="auto"/>
          </w:divBdr>
          <w:divsChild>
            <w:div w:id="1863669828">
              <w:marLeft w:val="0"/>
              <w:marRight w:val="0"/>
              <w:marTop w:val="0"/>
              <w:marBottom w:val="0"/>
              <w:divBdr>
                <w:top w:val="none" w:sz="0" w:space="0" w:color="auto"/>
                <w:left w:val="none" w:sz="0" w:space="0" w:color="auto"/>
                <w:bottom w:val="none" w:sz="0" w:space="0" w:color="auto"/>
                <w:right w:val="none" w:sz="0" w:space="0" w:color="auto"/>
              </w:divBdr>
              <w:divsChild>
                <w:div w:id="1098527153">
                  <w:marLeft w:val="0"/>
                  <w:marRight w:val="0"/>
                  <w:marTop w:val="0"/>
                  <w:marBottom w:val="0"/>
                  <w:divBdr>
                    <w:top w:val="none" w:sz="0" w:space="0" w:color="auto"/>
                    <w:left w:val="none" w:sz="0" w:space="0" w:color="auto"/>
                    <w:bottom w:val="none" w:sz="0" w:space="0" w:color="auto"/>
                    <w:right w:val="none" w:sz="0" w:space="0" w:color="auto"/>
                  </w:divBdr>
                  <w:divsChild>
                    <w:div w:id="213563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532018">
      <w:bodyDiv w:val="1"/>
      <w:marLeft w:val="0"/>
      <w:marRight w:val="0"/>
      <w:marTop w:val="0"/>
      <w:marBottom w:val="0"/>
      <w:divBdr>
        <w:top w:val="none" w:sz="0" w:space="0" w:color="auto"/>
        <w:left w:val="none" w:sz="0" w:space="0" w:color="auto"/>
        <w:bottom w:val="none" w:sz="0" w:space="0" w:color="auto"/>
        <w:right w:val="none" w:sz="0" w:space="0" w:color="auto"/>
      </w:divBdr>
    </w:div>
    <w:div w:id="1566263359">
      <w:bodyDiv w:val="1"/>
      <w:marLeft w:val="0"/>
      <w:marRight w:val="0"/>
      <w:marTop w:val="0"/>
      <w:marBottom w:val="0"/>
      <w:divBdr>
        <w:top w:val="none" w:sz="0" w:space="0" w:color="auto"/>
        <w:left w:val="none" w:sz="0" w:space="0" w:color="auto"/>
        <w:bottom w:val="none" w:sz="0" w:space="0" w:color="auto"/>
        <w:right w:val="none" w:sz="0" w:space="0" w:color="auto"/>
      </w:divBdr>
    </w:div>
    <w:div w:id="1566406799">
      <w:bodyDiv w:val="1"/>
      <w:marLeft w:val="0"/>
      <w:marRight w:val="0"/>
      <w:marTop w:val="0"/>
      <w:marBottom w:val="0"/>
      <w:divBdr>
        <w:top w:val="none" w:sz="0" w:space="0" w:color="auto"/>
        <w:left w:val="none" w:sz="0" w:space="0" w:color="auto"/>
        <w:bottom w:val="none" w:sz="0" w:space="0" w:color="auto"/>
        <w:right w:val="none" w:sz="0" w:space="0" w:color="auto"/>
      </w:divBdr>
      <w:divsChild>
        <w:div w:id="1005280485">
          <w:marLeft w:val="0"/>
          <w:marRight w:val="0"/>
          <w:marTop w:val="0"/>
          <w:marBottom w:val="0"/>
          <w:divBdr>
            <w:top w:val="none" w:sz="0" w:space="0" w:color="auto"/>
            <w:left w:val="none" w:sz="0" w:space="0" w:color="auto"/>
            <w:bottom w:val="none" w:sz="0" w:space="0" w:color="auto"/>
            <w:right w:val="none" w:sz="0" w:space="0" w:color="auto"/>
          </w:divBdr>
          <w:divsChild>
            <w:div w:id="416026917">
              <w:marLeft w:val="0"/>
              <w:marRight w:val="0"/>
              <w:marTop w:val="0"/>
              <w:marBottom w:val="0"/>
              <w:divBdr>
                <w:top w:val="none" w:sz="0" w:space="0" w:color="auto"/>
                <w:left w:val="none" w:sz="0" w:space="0" w:color="auto"/>
                <w:bottom w:val="none" w:sz="0" w:space="0" w:color="auto"/>
                <w:right w:val="none" w:sz="0" w:space="0" w:color="auto"/>
              </w:divBdr>
              <w:divsChild>
                <w:div w:id="451247897">
                  <w:marLeft w:val="0"/>
                  <w:marRight w:val="0"/>
                  <w:marTop w:val="0"/>
                  <w:marBottom w:val="0"/>
                  <w:divBdr>
                    <w:top w:val="none" w:sz="0" w:space="0" w:color="auto"/>
                    <w:left w:val="none" w:sz="0" w:space="0" w:color="auto"/>
                    <w:bottom w:val="none" w:sz="0" w:space="0" w:color="auto"/>
                    <w:right w:val="none" w:sz="0" w:space="0" w:color="auto"/>
                  </w:divBdr>
                  <w:divsChild>
                    <w:div w:id="19813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600284">
      <w:bodyDiv w:val="1"/>
      <w:marLeft w:val="0"/>
      <w:marRight w:val="0"/>
      <w:marTop w:val="0"/>
      <w:marBottom w:val="0"/>
      <w:divBdr>
        <w:top w:val="none" w:sz="0" w:space="0" w:color="auto"/>
        <w:left w:val="none" w:sz="0" w:space="0" w:color="auto"/>
        <w:bottom w:val="none" w:sz="0" w:space="0" w:color="auto"/>
        <w:right w:val="none" w:sz="0" w:space="0" w:color="auto"/>
      </w:divBdr>
    </w:div>
    <w:div w:id="1568490650">
      <w:bodyDiv w:val="1"/>
      <w:marLeft w:val="0"/>
      <w:marRight w:val="0"/>
      <w:marTop w:val="0"/>
      <w:marBottom w:val="0"/>
      <w:divBdr>
        <w:top w:val="none" w:sz="0" w:space="0" w:color="auto"/>
        <w:left w:val="none" w:sz="0" w:space="0" w:color="auto"/>
        <w:bottom w:val="none" w:sz="0" w:space="0" w:color="auto"/>
        <w:right w:val="none" w:sz="0" w:space="0" w:color="auto"/>
      </w:divBdr>
    </w:div>
    <w:div w:id="1568765687">
      <w:bodyDiv w:val="1"/>
      <w:marLeft w:val="0"/>
      <w:marRight w:val="0"/>
      <w:marTop w:val="0"/>
      <w:marBottom w:val="0"/>
      <w:divBdr>
        <w:top w:val="none" w:sz="0" w:space="0" w:color="auto"/>
        <w:left w:val="none" w:sz="0" w:space="0" w:color="auto"/>
        <w:bottom w:val="none" w:sz="0" w:space="0" w:color="auto"/>
        <w:right w:val="none" w:sz="0" w:space="0" w:color="auto"/>
      </w:divBdr>
    </w:div>
    <w:div w:id="1570076795">
      <w:bodyDiv w:val="1"/>
      <w:marLeft w:val="0"/>
      <w:marRight w:val="0"/>
      <w:marTop w:val="0"/>
      <w:marBottom w:val="0"/>
      <w:divBdr>
        <w:top w:val="none" w:sz="0" w:space="0" w:color="auto"/>
        <w:left w:val="none" w:sz="0" w:space="0" w:color="auto"/>
        <w:bottom w:val="none" w:sz="0" w:space="0" w:color="auto"/>
        <w:right w:val="none" w:sz="0" w:space="0" w:color="auto"/>
      </w:divBdr>
    </w:div>
    <w:div w:id="1570116532">
      <w:bodyDiv w:val="1"/>
      <w:marLeft w:val="0"/>
      <w:marRight w:val="0"/>
      <w:marTop w:val="0"/>
      <w:marBottom w:val="0"/>
      <w:divBdr>
        <w:top w:val="none" w:sz="0" w:space="0" w:color="auto"/>
        <w:left w:val="none" w:sz="0" w:space="0" w:color="auto"/>
        <w:bottom w:val="none" w:sz="0" w:space="0" w:color="auto"/>
        <w:right w:val="none" w:sz="0" w:space="0" w:color="auto"/>
      </w:divBdr>
    </w:div>
    <w:div w:id="1570193731">
      <w:bodyDiv w:val="1"/>
      <w:marLeft w:val="0"/>
      <w:marRight w:val="0"/>
      <w:marTop w:val="0"/>
      <w:marBottom w:val="0"/>
      <w:divBdr>
        <w:top w:val="none" w:sz="0" w:space="0" w:color="auto"/>
        <w:left w:val="none" w:sz="0" w:space="0" w:color="auto"/>
        <w:bottom w:val="none" w:sz="0" w:space="0" w:color="auto"/>
        <w:right w:val="none" w:sz="0" w:space="0" w:color="auto"/>
      </w:divBdr>
    </w:div>
    <w:div w:id="1570798708">
      <w:bodyDiv w:val="1"/>
      <w:marLeft w:val="0"/>
      <w:marRight w:val="0"/>
      <w:marTop w:val="0"/>
      <w:marBottom w:val="0"/>
      <w:divBdr>
        <w:top w:val="none" w:sz="0" w:space="0" w:color="auto"/>
        <w:left w:val="none" w:sz="0" w:space="0" w:color="auto"/>
        <w:bottom w:val="none" w:sz="0" w:space="0" w:color="auto"/>
        <w:right w:val="none" w:sz="0" w:space="0" w:color="auto"/>
      </w:divBdr>
      <w:divsChild>
        <w:div w:id="563219669">
          <w:marLeft w:val="0"/>
          <w:marRight w:val="0"/>
          <w:marTop w:val="0"/>
          <w:marBottom w:val="0"/>
          <w:divBdr>
            <w:top w:val="none" w:sz="0" w:space="0" w:color="auto"/>
            <w:left w:val="none" w:sz="0" w:space="0" w:color="auto"/>
            <w:bottom w:val="none" w:sz="0" w:space="0" w:color="auto"/>
            <w:right w:val="none" w:sz="0" w:space="0" w:color="auto"/>
          </w:divBdr>
          <w:divsChild>
            <w:div w:id="632322043">
              <w:marLeft w:val="0"/>
              <w:marRight w:val="0"/>
              <w:marTop w:val="0"/>
              <w:marBottom w:val="0"/>
              <w:divBdr>
                <w:top w:val="none" w:sz="0" w:space="0" w:color="auto"/>
                <w:left w:val="none" w:sz="0" w:space="0" w:color="auto"/>
                <w:bottom w:val="none" w:sz="0" w:space="0" w:color="auto"/>
                <w:right w:val="none" w:sz="0" w:space="0" w:color="auto"/>
              </w:divBdr>
              <w:divsChild>
                <w:div w:id="1394350249">
                  <w:marLeft w:val="0"/>
                  <w:marRight w:val="0"/>
                  <w:marTop w:val="0"/>
                  <w:marBottom w:val="0"/>
                  <w:divBdr>
                    <w:top w:val="none" w:sz="0" w:space="0" w:color="auto"/>
                    <w:left w:val="none" w:sz="0" w:space="0" w:color="auto"/>
                    <w:bottom w:val="none" w:sz="0" w:space="0" w:color="auto"/>
                    <w:right w:val="none" w:sz="0" w:space="0" w:color="auto"/>
                  </w:divBdr>
                </w:div>
              </w:divsChild>
            </w:div>
            <w:div w:id="1209681840">
              <w:marLeft w:val="0"/>
              <w:marRight w:val="0"/>
              <w:marTop w:val="0"/>
              <w:marBottom w:val="0"/>
              <w:divBdr>
                <w:top w:val="none" w:sz="0" w:space="0" w:color="auto"/>
                <w:left w:val="none" w:sz="0" w:space="0" w:color="auto"/>
                <w:bottom w:val="none" w:sz="0" w:space="0" w:color="auto"/>
                <w:right w:val="none" w:sz="0" w:space="0" w:color="auto"/>
              </w:divBdr>
              <w:divsChild>
                <w:div w:id="62333019">
                  <w:marLeft w:val="0"/>
                  <w:marRight w:val="0"/>
                  <w:marTop w:val="0"/>
                  <w:marBottom w:val="0"/>
                  <w:divBdr>
                    <w:top w:val="none" w:sz="0" w:space="0" w:color="auto"/>
                    <w:left w:val="none" w:sz="0" w:space="0" w:color="auto"/>
                    <w:bottom w:val="none" w:sz="0" w:space="0" w:color="auto"/>
                    <w:right w:val="none" w:sz="0" w:space="0" w:color="auto"/>
                  </w:divBdr>
                </w:div>
              </w:divsChild>
            </w:div>
            <w:div w:id="1684746586">
              <w:marLeft w:val="0"/>
              <w:marRight w:val="0"/>
              <w:marTop w:val="0"/>
              <w:marBottom w:val="0"/>
              <w:divBdr>
                <w:top w:val="none" w:sz="0" w:space="0" w:color="auto"/>
                <w:left w:val="none" w:sz="0" w:space="0" w:color="auto"/>
                <w:bottom w:val="none" w:sz="0" w:space="0" w:color="auto"/>
                <w:right w:val="none" w:sz="0" w:space="0" w:color="auto"/>
              </w:divBdr>
              <w:divsChild>
                <w:div w:id="212076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798817">
      <w:bodyDiv w:val="1"/>
      <w:marLeft w:val="0"/>
      <w:marRight w:val="0"/>
      <w:marTop w:val="0"/>
      <w:marBottom w:val="0"/>
      <w:divBdr>
        <w:top w:val="none" w:sz="0" w:space="0" w:color="auto"/>
        <w:left w:val="none" w:sz="0" w:space="0" w:color="auto"/>
        <w:bottom w:val="none" w:sz="0" w:space="0" w:color="auto"/>
        <w:right w:val="none" w:sz="0" w:space="0" w:color="auto"/>
      </w:divBdr>
    </w:div>
    <w:div w:id="1571040013">
      <w:bodyDiv w:val="1"/>
      <w:marLeft w:val="0"/>
      <w:marRight w:val="0"/>
      <w:marTop w:val="0"/>
      <w:marBottom w:val="0"/>
      <w:divBdr>
        <w:top w:val="none" w:sz="0" w:space="0" w:color="auto"/>
        <w:left w:val="none" w:sz="0" w:space="0" w:color="auto"/>
        <w:bottom w:val="none" w:sz="0" w:space="0" w:color="auto"/>
        <w:right w:val="none" w:sz="0" w:space="0" w:color="auto"/>
      </w:divBdr>
    </w:div>
    <w:div w:id="1571381169">
      <w:bodyDiv w:val="1"/>
      <w:marLeft w:val="0"/>
      <w:marRight w:val="0"/>
      <w:marTop w:val="0"/>
      <w:marBottom w:val="0"/>
      <w:divBdr>
        <w:top w:val="none" w:sz="0" w:space="0" w:color="auto"/>
        <w:left w:val="none" w:sz="0" w:space="0" w:color="auto"/>
        <w:bottom w:val="none" w:sz="0" w:space="0" w:color="auto"/>
        <w:right w:val="none" w:sz="0" w:space="0" w:color="auto"/>
      </w:divBdr>
    </w:div>
    <w:div w:id="1571504901">
      <w:bodyDiv w:val="1"/>
      <w:marLeft w:val="0"/>
      <w:marRight w:val="0"/>
      <w:marTop w:val="0"/>
      <w:marBottom w:val="0"/>
      <w:divBdr>
        <w:top w:val="none" w:sz="0" w:space="0" w:color="auto"/>
        <w:left w:val="none" w:sz="0" w:space="0" w:color="auto"/>
        <w:bottom w:val="none" w:sz="0" w:space="0" w:color="auto"/>
        <w:right w:val="none" w:sz="0" w:space="0" w:color="auto"/>
      </w:divBdr>
    </w:div>
    <w:div w:id="1573193635">
      <w:bodyDiv w:val="1"/>
      <w:marLeft w:val="0"/>
      <w:marRight w:val="0"/>
      <w:marTop w:val="0"/>
      <w:marBottom w:val="0"/>
      <w:divBdr>
        <w:top w:val="none" w:sz="0" w:space="0" w:color="auto"/>
        <w:left w:val="none" w:sz="0" w:space="0" w:color="auto"/>
        <w:bottom w:val="none" w:sz="0" w:space="0" w:color="auto"/>
        <w:right w:val="none" w:sz="0" w:space="0" w:color="auto"/>
      </w:divBdr>
      <w:divsChild>
        <w:div w:id="1972318447">
          <w:marLeft w:val="0"/>
          <w:marRight w:val="0"/>
          <w:marTop w:val="0"/>
          <w:marBottom w:val="0"/>
          <w:divBdr>
            <w:top w:val="none" w:sz="0" w:space="0" w:color="auto"/>
            <w:left w:val="none" w:sz="0" w:space="0" w:color="auto"/>
            <w:bottom w:val="none" w:sz="0" w:space="0" w:color="auto"/>
            <w:right w:val="none" w:sz="0" w:space="0" w:color="auto"/>
          </w:divBdr>
          <w:divsChild>
            <w:div w:id="2091808486">
              <w:marLeft w:val="0"/>
              <w:marRight w:val="0"/>
              <w:marTop w:val="0"/>
              <w:marBottom w:val="0"/>
              <w:divBdr>
                <w:top w:val="none" w:sz="0" w:space="0" w:color="auto"/>
                <w:left w:val="none" w:sz="0" w:space="0" w:color="auto"/>
                <w:bottom w:val="none" w:sz="0" w:space="0" w:color="auto"/>
                <w:right w:val="none" w:sz="0" w:space="0" w:color="auto"/>
              </w:divBdr>
              <w:divsChild>
                <w:div w:id="1437824295">
                  <w:marLeft w:val="0"/>
                  <w:marRight w:val="0"/>
                  <w:marTop w:val="0"/>
                  <w:marBottom w:val="0"/>
                  <w:divBdr>
                    <w:top w:val="none" w:sz="0" w:space="0" w:color="auto"/>
                    <w:left w:val="none" w:sz="0" w:space="0" w:color="auto"/>
                    <w:bottom w:val="none" w:sz="0" w:space="0" w:color="auto"/>
                    <w:right w:val="none" w:sz="0" w:space="0" w:color="auto"/>
                  </w:divBdr>
                  <w:divsChild>
                    <w:div w:id="17507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739918">
      <w:bodyDiv w:val="1"/>
      <w:marLeft w:val="0"/>
      <w:marRight w:val="0"/>
      <w:marTop w:val="0"/>
      <w:marBottom w:val="0"/>
      <w:divBdr>
        <w:top w:val="none" w:sz="0" w:space="0" w:color="auto"/>
        <w:left w:val="none" w:sz="0" w:space="0" w:color="auto"/>
        <w:bottom w:val="none" w:sz="0" w:space="0" w:color="auto"/>
        <w:right w:val="none" w:sz="0" w:space="0" w:color="auto"/>
      </w:divBdr>
    </w:div>
    <w:div w:id="1575044434">
      <w:bodyDiv w:val="1"/>
      <w:marLeft w:val="0"/>
      <w:marRight w:val="0"/>
      <w:marTop w:val="0"/>
      <w:marBottom w:val="0"/>
      <w:divBdr>
        <w:top w:val="none" w:sz="0" w:space="0" w:color="auto"/>
        <w:left w:val="none" w:sz="0" w:space="0" w:color="auto"/>
        <w:bottom w:val="none" w:sz="0" w:space="0" w:color="auto"/>
        <w:right w:val="none" w:sz="0" w:space="0" w:color="auto"/>
      </w:divBdr>
    </w:div>
    <w:div w:id="1575430957">
      <w:bodyDiv w:val="1"/>
      <w:marLeft w:val="0"/>
      <w:marRight w:val="0"/>
      <w:marTop w:val="0"/>
      <w:marBottom w:val="0"/>
      <w:divBdr>
        <w:top w:val="none" w:sz="0" w:space="0" w:color="auto"/>
        <w:left w:val="none" w:sz="0" w:space="0" w:color="auto"/>
        <w:bottom w:val="none" w:sz="0" w:space="0" w:color="auto"/>
        <w:right w:val="none" w:sz="0" w:space="0" w:color="auto"/>
      </w:divBdr>
    </w:div>
    <w:div w:id="1576430225">
      <w:bodyDiv w:val="1"/>
      <w:marLeft w:val="0"/>
      <w:marRight w:val="0"/>
      <w:marTop w:val="0"/>
      <w:marBottom w:val="0"/>
      <w:divBdr>
        <w:top w:val="none" w:sz="0" w:space="0" w:color="auto"/>
        <w:left w:val="none" w:sz="0" w:space="0" w:color="auto"/>
        <w:bottom w:val="none" w:sz="0" w:space="0" w:color="auto"/>
        <w:right w:val="none" w:sz="0" w:space="0" w:color="auto"/>
      </w:divBdr>
    </w:div>
    <w:div w:id="1577087365">
      <w:bodyDiv w:val="1"/>
      <w:marLeft w:val="0"/>
      <w:marRight w:val="0"/>
      <w:marTop w:val="0"/>
      <w:marBottom w:val="0"/>
      <w:divBdr>
        <w:top w:val="none" w:sz="0" w:space="0" w:color="auto"/>
        <w:left w:val="none" w:sz="0" w:space="0" w:color="auto"/>
        <w:bottom w:val="none" w:sz="0" w:space="0" w:color="auto"/>
        <w:right w:val="none" w:sz="0" w:space="0" w:color="auto"/>
      </w:divBdr>
    </w:div>
    <w:div w:id="1577740139">
      <w:bodyDiv w:val="1"/>
      <w:marLeft w:val="0"/>
      <w:marRight w:val="0"/>
      <w:marTop w:val="0"/>
      <w:marBottom w:val="0"/>
      <w:divBdr>
        <w:top w:val="none" w:sz="0" w:space="0" w:color="auto"/>
        <w:left w:val="none" w:sz="0" w:space="0" w:color="auto"/>
        <w:bottom w:val="none" w:sz="0" w:space="0" w:color="auto"/>
        <w:right w:val="none" w:sz="0" w:space="0" w:color="auto"/>
      </w:divBdr>
      <w:divsChild>
        <w:div w:id="851991921">
          <w:marLeft w:val="0"/>
          <w:marRight w:val="0"/>
          <w:marTop w:val="0"/>
          <w:marBottom w:val="0"/>
          <w:divBdr>
            <w:top w:val="none" w:sz="0" w:space="0" w:color="auto"/>
            <w:left w:val="none" w:sz="0" w:space="0" w:color="auto"/>
            <w:bottom w:val="none" w:sz="0" w:space="0" w:color="auto"/>
            <w:right w:val="none" w:sz="0" w:space="0" w:color="auto"/>
          </w:divBdr>
          <w:divsChild>
            <w:div w:id="334041767">
              <w:marLeft w:val="0"/>
              <w:marRight w:val="0"/>
              <w:marTop w:val="0"/>
              <w:marBottom w:val="0"/>
              <w:divBdr>
                <w:top w:val="none" w:sz="0" w:space="0" w:color="auto"/>
                <w:left w:val="none" w:sz="0" w:space="0" w:color="auto"/>
                <w:bottom w:val="none" w:sz="0" w:space="0" w:color="auto"/>
                <w:right w:val="none" w:sz="0" w:space="0" w:color="auto"/>
              </w:divBdr>
              <w:divsChild>
                <w:div w:id="856192312">
                  <w:marLeft w:val="0"/>
                  <w:marRight w:val="0"/>
                  <w:marTop w:val="0"/>
                  <w:marBottom w:val="0"/>
                  <w:divBdr>
                    <w:top w:val="none" w:sz="0" w:space="0" w:color="auto"/>
                    <w:left w:val="none" w:sz="0" w:space="0" w:color="auto"/>
                    <w:bottom w:val="none" w:sz="0" w:space="0" w:color="auto"/>
                    <w:right w:val="none" w:sz="0" w:space="0" w:color="auto"/>
                  </w:divBdr>
                </w:div>
              </w:divsChild>
            </w:div>
            <w:div w:id="848252691">
              <w:marLeft w:val="0"/>
              <w:marRight w:val="0"/>
              <w:marTop w:val="0"/>
              <w:marBottom w:val="0"/>
              <w:divBdr>
                <w:top w:val="none" w:sz="0" w:space="0" w:color="auto"/>
                <w:left w:val="none" w:sz="0" w:space="0" w:color="auto"/>
                <w:bottom w:val="none" w:sz="0" w:space="0" w:color="auto"/>
                <w:right w:val="none" w:sz="0" w:space="0" w:color="auto"/>
              </w:divBdr>
              <w:divsChild>
                <w:div w:id="1334409005">
                  <w:marLeft w:val="0"/>
                  <w:marRight w:val="0"/>
                  <w:marTop w:val="0"/>
                  <w:marBottom w:val="0"/>
                  <w:divBdr>
                    <w:top w:val="none" w:sz="0" w:space="0" w:color="auto"/>
                    <w:left w:val="none" w:sz="0" w:space="0" w:color="auto"/>
                    <w:bottom w:val="none" w:sz="0" w:space="0" w:color="auto"/>
                    <w:right w:val="none" w:sz="0" w:space="0" w:color="auto"/>
                  </w:divBdr>
                </w:div>
              </w:divsChild>
            </w:div>
            <w:div w:id="1669940523">
              <w:marLeft w:val="0"/>
              <w:marRight w:val="0"/>
              <w:marTop w:val="0"/>
              <w:marBottom w:val="0"/>
              <w:divBdr>
                <w:top w:val="none" w:sz="0" w:space="0" w:color="auto"/>
                <w:left w:val="none" w:sz="0" w:space="0" w:color="auto"/>
                <w:bottom w:val="none" w:sz="0" w:space="0" w:color="auto"/>
                <w:right w:val="none" w:sz="0" w:space="0" w:color="auto"/>
              </w:divBdr>
              <w:divsChild>
                <w:div w:id="54525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864206">
      <w:bodyDiv w:val="1"/>
      <w:marLeft w:val="0"/>
      <w:marRight w:val="0"/>
      <w:marTop w:val="0"/>
      <w:marBottom w:val="0"/>
      <w:divBdr>
        <w:top w:val="none" w:sz="0" w:space="0" w:color="auto"/>
        <w:left w:val="none" w:sz="0" w:space="0" w:color="auto"/>
        <w:bottom w:val="none" w:sz="0" w:space="0" w:color="auto"/>
        <w:right w:val="none" w:sz="0" w:space="0" w:color="auto"/>
      </w:divBdr>
    </w:div>
    <w:div w:id="1577938398">
      <w:bodyDiv w:val="1"/>
      <w:marLeft w:val="0"/>
      <w:marRight w:val="0"/>
      <w:marTop w:val="0"/>
      <w:marBottom w:val="0"/>
      <w:divBdr>
        <w:top w:val="none" w:sz="0" w:space="0" w:color="auto"/>
        <w:left w:val="none" w:sz="0" w:space="0" w:color="auto"/>
        <w:bottom w:val="none" w:sz="0" w:space="0" w:color="auto"/>
        <w:right w:val="none" w:sz="0" w:space="0" w:color="auto"/>
      </w:divBdr>
    </w:div>
    <w:div w:id="1579705502">
      <w:bodyDiv w:val="1"/>
      <w:marLeft w:val="0"/>
      <w:marRight w:val="0"/>
      <w:marTop w:val="0"/>
      <w:marBottom w:val="0"/>
      <w:divBdr>
        <w:top w:val="none" w:sz="0" w:space="0" w:color="auto"/>
        <w:left w:val="none" w:sz="0" w:space="0" w:color="auto"/>
        <w:bottom w:val="none" w:sz="0" w:space="0" w:color="auto"/>
        <w:right w:val="none" w:sz="0" w:space="0" w:color="auto"/>
      </w:divBdr>
    </w:div>
    <w:div w:id="1579899128">
      <w:bodyDiv w:val="1"/>
      <w:marLeft w:val="0"/>
      <w:marRight w:val="0"/>
      <w:marTop w:val="0"/>
      <w:marBottom w:val="0"/>
      <w:divBdr>
        <w:top w:val="none" w:sz="0" w:space="0" w:color="auto"/>
        <w:left w:val="none" w:sz="0" w:space="0" w:color="auto"/>
        <w:bottom w:val="none" w:sz="0" w:space="0" w:color="auto"/>
        <w:right w:val="none" w:sz="0" w:space="0" w:color="auto"/>
      </w:divBdr>
    </w:div>
    <w:div w:id="1581019395">
      <w:bodyDiv w:val="1"/>
      <w:marLeft w:val="0"/>
      <w:marRight w:val="0"/>
      <w:marTop w:val="0"/>
      <w:marBottom w:val="0"/>
      <w:divBdr>
        <w:top w:val="none" w:sz="0" w:space="0" w:color="auto"/>
        <w:left w:val="none" w:sz="0" w:space="0" w:color="auto"/>
        <w:bottom w:val="none" w:sz="0" w:space="0" w:color="auto"/>
        <w:right w:val="none" w:sz="0" w:space="0" w:color="auto"/>
      </w:divBdr>
    </w:div>
    <w:div w:id="1581409621">
      <w:bodyDiv w:val="1"/>
      <w:marLeft w:val="0"/>
      <w:marRight w:val="0"/>
      <w:marTop w:val="0"/>
      <w:marBottom w:val="0"/>
      <w:divBdr>
        <w:top w:val="none" w:sz="0" w:space="0" w:color="auto"/>
        <w:left w:val="none" w:sz="0" w:space="0" w:color="auto"/>
        <w:bottom w:val="none" w:sz="0" w:space="0" w:color="auto"/>
        <w:right w:val="none" w:sz="0" w:space="0" w:color="auto"/>
      </w:divBdr>
    </w:div>
    <w:div w:id="1581721275">
      <w:bodyDiv w:val="1"/>
      <w:marLeft w:val="0"/>
      <w:marRight w:val="0"/>
      <w:marTop w:val="0"/>
      <w:marBottom w:val="0"/>
      <w:divBdr>
        <w:top w:val="none" w:sz="0" w:space="0" w:color="auto"/>
        <w:left w:val="none" w:sz="0" w:space="0" w:color="auto"/>
        <w:bottom w:val="none" w:sz="0" w:space="0" w:color="auto"/>
        <w:right w:val="none" w:sz="0" w:space="0" w:color="auto"/>
      </w:divBdr>
      <w:divsChild>
        <w:div w:id="1367216248">
          <w:marLeft w:val="0"/>
          <w:marRight w:val="0"/>
          <w:marTop w:val="0"/>
          <w:marBottom w:val="0"/>
          <w:divBdr>
            <w:top w:val="none" w:sz="0" w:space="0" w:color="auto"/>
            <w:left w:val="none" w:sz="0" w:space="0" w:color="auto"/>
            <w:bottom w:val="none" w:sz="0" w:space="0" w:color="auto"/>
            <w:right w:val="none" w:sz="0" w:space="0" w:color="auto"/>
          </w:divBdr>
          <w:divsChild>
            <w:div w:id="216823104">
              <w:marLeft w:val="0"/>
              <w:marRight w:val="0"/>
              <w:marTop w:val="0"/>
              <w:marBottom w:val="0"/>
              <w:divBdr>
                <w:top w:val="none" w:sz="0" w:space="0" w:color="auto"/>
                <w:left w:val="none" w:sz="0" w:space="0" w:color="auto"/>
                <w:bottom w:val="none" w:sz="0" w:space="0" w:color="auto"/>
                <w:right w:val="none" w:sz="0" w:space="0" w:color="auto"/>
              </w:divBdr>
              <w:divsChild>
                <w:div w:id="48115655">
                  <w:marLeft w:val="0"/>
                  <w:marRight w:val="0"/>
                  <w:marTop w:val="0"/>
                  <w:marBottom w:val="0"/>
                  <w:divBdr>
                    <w:top w:val="none" w:sz="0" w:space="0" w:color="auto"/>
                    <w:left w:val="none" w:sz="0" w:space="0" w:color="auto"/>
                    <w:bottom w:val="none" w:sz="0" w:space="0" w:color="auto"/>
                    <w:right w:val="none" w:sz="0" w:space="0" w:color="auto"/>
                  </w:divBdr>
                  <w:divsChild>
                    <w:div w:id="179983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332753">
      <w:bodyDiv w:val="1"/>
      <w:marLeft w:val="0"/>
      <w:marRight w:val="0"/>
      <w:marTop w:val="0"/>
      <w:marBottom w:val="0"/>
      <w:divBdr>
        <w:top w:val="none" w:sz="0" w:space="0" w:color="auto"/>
        <w:left w:val="none" w:sz="0" w:space="0" w:color="auto"/>
        <w:bottom w:val="none" w:sz="0" w:space="0" w:color="auto"/>
        <w:right w:val="none" w:sz="0" w:space="0" w:color="auto"/>
      </w:divBdr>
    </w:div>
    <w:div w:id="1583830534">
      <w:bodyDiv w:val="1"/>
      <w:marLeft w:val="0"/>
      <w:marRight w:val="0"/>
      <w:marTop w:val="0"/>
      <w:marBottom w:val="0"/>
      <w:divBdr>
        <w:top w:val="none" w:sz="0" w:space="0" w:color="auto"/>
        <w:left w:val="none" w:sz="0" w:space="0" w:color="auto"/>
        <w:bottom w:val="none" w:sz="0" w:space="0" w:color="auto"/>
        <w:right w:val="none" w:sz="0" w:space="0" w:color="auto"/>
      </w:divBdr>
    </w:div>
    <w:div w:id="1584560134">
      <w:bodyDiv w:val="1"/>
      <w:marLeft w:val="0"/>
      <w:marRight w:val="0"/>
      <w:marTop w:val="0"/>
      <w:marBottom w:val="0"/>
      <w:divBdr>
        <w:top w:val="none" w:sz="0" w:space="0" w:color="auto"/>
        <w:left w:val="none" w:sz="0" w:space="0" w:color="auto"/>
        <w:bottom w:val="none" w:sz="0" w:space="0" w:color="auto"/>
        <w:right w:val="none" w:sz="0" w:space="0" w:color="auto"/>
      </w:divBdr>
    </w:div>
    <w:div w:id="1584677749">
      <w:bodyDiv w:val="1"/>
      <w:marLeft w:val="0"/>
      <w:marRight w:val="0"/>
      <w:marTop w:val="0"/>
      <w:marBottom w:val="0"/>
      <w:divBdr>
        <w:top w:val="none" w:sz="0" w:space="0" w:color="auto"/>
        <w:left w:val="none" w:sz="0" w:space="0" w:color="auto"/>
        <w:bottom w:val="none" w:sz="0" w:space="0" w:color="auto"/>
        <w:right w:val="none" w:sz="0" w:space="0" w:color="auto"/>
      </w:divBdr>
    </w:div>
    <w:div w:id="1586721648">
      <w:bodyDiv w:val="1"/>
      <w:marLeft w:val="0"/>
      <w:marRight w:val="0"/>
      <w:marTop w:val="0"/>
      <w:marBottom w:val="0"/>
      <w:divBdr>
        <w:top w:val="none" w:sz="0" w:space="0" w:color="auto"/>
        <w:left w:val="none" w:sz="0" w:space="0" w:color="auto"/>
        <w:bottom w:val="none" w:sz="0" w:space="0" w:color="auto"/>
        <w:right w:val="none" w:sz="0" w:space="0" w:color="auto"/>
      </w:divBdr>
      <w:divsChild>
        <w:div w:id="478958140">
          <w:marLeft w:val="0"/>
          <w:marRight w:val="0"/>
          <w:marTop w:val="0"/>
          <w:marBottom w:val="0"/>
          <w:divBdr>
            <w:top w:val="none" w:sz="0" w:space="0" w:color="auto"/>
            <w:left w:val="none" w:sz="0" w:space="0" w:color="auto"/>
            <w:bottom w:val="none" w:sz="0" w:space="0" w:color="auto"/>
            <w:right w:val="none" w:sz="0" w:space="0" w:color="auto"/>
          </w:divBdr>
          <w:divsChild>
            <w:div w:id="502093093">
              <w:marLeft w:val="0"/>
              <w:marRight w:val="0"/>
              <w:marTop w:val="0"/>
              <w:marBottom w:val="0"/>
              <w:divBdr>
                <w:top w:val="none" w:sz="0" w:space="0" w:color="auto"/>
                <w:left w:val="none" w:sz="0" w:space="0" w:color="auto"/>
                <w:bottom w:val="none" w:sz="0" w:space="0" w:color="auto"/>
                <w:right w:val="none" w:sz="0" w:space="0" w:color="auto"/>
              </w:divBdr>
              <w:divsChild>
                <w:div w:id="577207609">
                  <w:marLeft w:val="0"/>
                  <w:marRight w:val="0"/>
                  <w:marTop w:val="0"/>
                  <w:marBottom w:val="0"/>
                  <w:divBdr>
                    <w:top w:val="none" w:sz="0" w:space="0" w:color="auto"/>
                    <w:left w:val="none" w:sz="0" w:space="0" w:color="auto"/>
                    <w:bottom w:val="none" w:sz="0" w:space="0" w:color="auto"/>
                    <w:right w:val="none" w:sz="0" w:space="0" w:color="auto"/>
                  </w:divBdr>
                  <w:divsChild>
                    <w:div w:id="82466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54359">
      <w:bodyDiv w:val="1"/>
      <w:marLeft w:val="0"/>
      <w:marRight w:val="0"/>
      <w:marTop w:val="0"/>
      <w:marBottom w:val="0"/>
      <w:divBdr>
        <w:top w:val="none" w:sz="0" w:space="0" w:color="auto"/>
        <w:left w:val="none" w:sz="0" w:space="0" w:color="auto"/>
        <w:bottom w:val="none" w:sz="0" w:space="0" w:color="auto"/>
        <w:right w:val="none" w:sz="0" w:space="0" w:color="auto"/>
      </w:divBdr>
    </w:div>
    <w:div w:id="1587375082">
      <w:bodyDiv w:val="1"/>
      <w:marLeft w:val="0"/>
      <w:marRight w:val="0"/>
      <w:marTop w:val="0"/>
      <w:marBottom w:val="0"/>
      <w:divBdr>
        <w:top w:val="none" w:sz="0" w:space="0" w:color="auto"/>
        <w:left w:val="none" w:sz="0" w:space="0" w:color="auto"/>
        <w:bottom w:val="none" w:sz="0" w:space="0" w:color="auto"/>
        <w:right w:val="none" w:sz="0" w:space="0" w:color="auto"/>
      </w:divBdr>
    </w:div>
    <w:div w:id="1587421086">
      <w:bodyDiv w:val="1"/>
      <w:marLeft w:val="0"/>
      <w:marRight w:val="0"/>
      <w:marTop w:val="0"/>
      <w:marBottom w:val="0"/>
      <w:divBdr>
        <w:top w:val="none" w:sz="0" w:space="0" w:color="auto"/>
        <w:left w:val="none" w:sz="0" w:space="0" w:color="auto"/>
        <w:bottom w:val="none" w:sz="0" w:space="0" w:color="auto"/>
        <w:right w:val="none" w:sz="0" w:space="0" w:color="auto"/>
      </w:divBdr>
    </w:div>
    <w:div w:id="1587769200">
      <w:bodyDiv w:val="1"/>
      <w:marLeft w:val="0"/>
      <w:marRight w:val="0"/>
      <w:marTop w:val="0"/>
      <w:marBottom w:val="0"/>
      <w:divBdr>
        <w:top w:val="none" w:sz="0" w:space="0" w:color="auto"/>
        <w:left w:val="none" w:sz="0" w:space="0" w:color="auto"/>
        <w:bottom w:val="none" w:sz="0" w:space="0" w:color="auto"/>
        <w:right w:val="none" w:sz="0" w:space="0" w:color="auto"/>
      </w:divBdr>
      <w:divsChild>
        <w:div w:id="275453045">
          <w:marLeft w:val="0"/>
          <w:marRight w:val="0"/>
          <w:marTop w:val="0"/>
          <w:marBottom w:val="0"/>
          <w:divBdr>
            <w:top w:val="none" w:sz="0" w:space="0" w:color="auto"/>
            <w:left w:val="none" w:sz="0" w:space="0" w:color="auto"/>
            <w:bottom w:val="none" w:sz="0" w:space="0" w:color="auto"/>
            <w:right w:val="none" w:sz="0" w:space="0" w:color="auto"/>
          </w:divBdr>
          <w:divsChild>
            <w:div w:id="509761416">
              <w:marLeft w:val="0"/>
              <w:marRight w:val="0"/>
              <w:marTop w:val="0"/>
              <w:marBottom w:val="0"/>
              <w:divBdr>
                <w:top w:val="none" w:sz="0" w:space="0" w:color="auto"/>
                <w:left w:val="none" w:sz="0" w:space="0" w:color="auto"/>
                <w:bottom w:val="none" w:sz="0" w:space="0" w:color="auto"/>
                <w:right w:val="none" w:sz="0" w:space="0" w:color="auto"/>
              </w:divBdr>
              <w:divsChild>
                <w:div w:id="1235507237">
                  <w:marLeft w:val="0"/>
                  <w:marRight w:val="0"/>
                  <w:marTop w:val="0"/>
                  <w:marBottom w:val="0"/>
                  <w:divBdr>
                    <w:top w:val="none" w:sz="0" w:space="0" w:color="auto"/>
                    <w:left w:val="none" w:sz="0" w:space="0" w:color="auto"/>
                    <w:bottom w:val="none" w:sz="0" w:space="0" w:color="auto"/>
                    <w:right w:val="none" w:sz="0" w:space="0" w:color="auto"/>
                  </w:divBdr>
                  <w:divsChild>
                    <w:div w:id="5653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581664">
      <w:bodyDiv w:val="1"/>
      <w:marLeft w:val="0"/>
      <w:marRight w:val="0"/>
      <w:marTop w:val="0"/>
      <w:marBottom w:val="0"/>
      <w:divBdr>
        <w:top w:val="none" w:sz="0" w:space="0" w:color="auto"/>
        <w:left w:val="none" w:sz="0" w:space="0" w:color="auto"/>
        <w:bottom w:val="none" w:sz="0" w:space="0" w:color="auto"/>
        <w:right w:val="none" w:sz="0" w:space="0" w:color="auto"/>
      </w:divBdr>
    </w:div>
    <w:div w:id="1590432372">
      <w:bodyDiv w:val="1"/>
      <w:marLeft w:val="0"/>
      <w:marRight w:val="0"/>
      <w:marTop w:val="0"/>
      <w:marBottom w:val="0"/>
      <w:divBdr>
        <w:top w:val="none" w:sz="0" w:space="0" w:color="auto"/>
        <w:left w:val="none" w:sz="0" w:space="0" w:color="auto"/>
        <w:bottom w:val="none" w:sz="0" w:space="0" w:color="auto"/>
        <w:right w:val="none" w:sz="0" w:space="0" w:color="auto"/>
      </w:divBdr>
    </w:div>
    <w:div w:id="1591889937">
      <w:bodyDiv w:val="1"/>
      <w:marLeft w:val="0"/>
      <w:marRight w:val="0"/>
      <w:marTop w:val="0"/>
      <w:marBottom w:val="0"/>
      <w:divBdr>
        <w:top w:val="none" w:sz="0" w:space="0" w:color="auto"/>
        <w:left w:val="none" w:sz="0" w:space="0" w:color="auto"/>
        <w:bottom w:val="none" w:sz="0" w:space="0" w:color="auto"/>
        <w:right w:val="none" w:sz="0" w:space="0" w:color="auto"/>
      </w:divBdr>
    </w:div>
    <w:div w:id="1594363347">
      <w:bodyDiv w:val="1"/>
      <w:marLeft w:val="0"/>
      <w:marRight w:val="0"/>
      <w:marTop w:val="0"/>
      <w:marBottom w:val="0"/>
      <w:divBdr>
        <w:top w:val="none" w:sz="0" w:space="0" w:color="auto"/>
        <w:left w:val="none" w:sz="0" w:space="0" w:color="auto"/>
        <w:bottom w:val="none" w:sz="0" w:space="0" w:color="auto"/>
        <w:right w:val="none" w:sz="0" w:space="0" w:color="auto"/>
      </w:divBdr>
    </w:div>
    <w:div w:id="1595938510">
      <w:bodyDiv w:val="1"/>
      <w:marLeft w:val="0"/>
      <w:marRight w:val="0"/>
      <w:marTop w:val="0"/>
      <w:marBottom w:val="0"/>
      <w:divBdr>
        <w:top w:val="none" w:sz="0" w:space="0" w:color="auto"/>
        <w:left w:val="none" w:sz="0" w:space="0" w:color="auto"/>
        <w:bottom w:val="none" w:sz="0" w:space="0" w:color="auto"/>
        <w:right w:val="none" w:sz="0" w:space="0" w:color="auto"/>
      </w:divBdr>
    </w:div>
    <w:div w:id="1596283232">
      <w:bodyDiv w:val="1"/>
      <w:marLeft w:val="0"/>
      <w:marRight w:val="0"/>
      <w:marTop w:val="0"/>
      <w:marBottom w:val="0"/>
      <w:divBdr>
        <w:top w:val="none" w:sz="0" w:space="0" w:color="auto"/>
        <w:left w:val="none" w:sz="0" w:space="0" w:color="auto"/>
        <w:bottom w:val="none" w:sz="0" w:space="0" w:color="auto"/>
        <w:right w:val="none" w:sz="0" w:space="0" w:color="auto"/>
      </w:divBdr>
    </w:div>
    <w:div w:id="1596599012">
      <w:bodyDiv w:val="1"/>
      <w:marLeft w:val="0"/>
      <w:marRight w:val="0"/>
      <w:marTop w:val="0"/>
      <w:marBottom w:val="0"/>
      <w:divBdr>
        <w:top w:val="none" w:sz="0" w:space="0" w:color="auto"/>
        <w:left w:val="none" w:sz="0" w:space="0" w:color="auto"/>
        <w:bottom w:val="none" w:sz="0" w:space="0" w:color="auto"/>
        <w:right w:val="none" w:sz="0" w:space="0" w:color="auto"/>
      </w:divBdr>
    </w:div>
    <w:div w:id="1596867076">
      <w:bodyDiv w:val="1"/>
      <w:marLeft w:val="0"/>
      <w:marRight w:val="0"/>
      <w:marTop w:val="0"/>
      <w:marBottom w:val="0"/>
      <w:divBdr>
        <w:top w:val="none" w:sz="0" w:space="0" w:color="auto"/>
        <w:left w:val="none" w:sz="0" w:space="0" w:color="auto"/>
        <w:bottom w:val="none" w:sz="0" w:space="0" w:color="auto"/>
        <w:right w:val="none" w:sz="0" w:space="0" w:color="auto"/>
      </w:divBdr>
      <w:divsChild>
        <w:div w:id="1354040449">
          <w:marLeft w:val="0"/>
          <w:marRight w:val="0"/>
          <w:marTop w:val="0"/>
          <w:marBottom w:val="0"/>
          <w:divBdr>
            <w:top w:val="none" w:sz="0" w:space="0" w:color="auto"/>
            <w:left w:val="none" w:sz="0" w:space="0" w:color="auto"/>
            <w:bottom w:val="none" w:sz="0" w:space="0" w:color="auto"/>
            <w:right w:val="none" w:sz="0" w:space="0" w:color="auto"/>
          </w:divBdr>
          <w:divsChild>
            <w:div w:id="972953167">
              <w:marLeft w:val="0"/>
              <w:marRight w:val="0"/>
              <w:marTop w:val="0"/>
              <w:marBottom w:val="0"/>
              <w:divBdr>
                <w:top w:val="none" w:sz="0" w:space="0" w:color="auto"/>
                <w:left w:val="none" w:sz="0" w:space="0" w:color="auto"/>
                <w:bottom w:val="none" w:sz="0" w:space="0" w:color="auto"/>
                <w:right w:val="none" w:sz="0" w:space="0" w:color="auto"/>
              </w:divBdr>
              <w:divsChild>
                <w:div w:id="458644875">
                  <w:marLeft w:val="0"/>
                  <w:marRight w:val="0"/>
                  <w:marTop w:val="0"/>
                  <w:marBottom w:val="0"/>
                  <w:divBdr>
                    <w:top w:val="none" w:sz="0" w:space="0" w:color="auto"/>
                    <w:left w:val="none" w:sz="0" w:space="0" w:color="auto"/>
                    <w:bottom w:val="none" w:sz="0" w:space="0" w:color="auto"/>
                    <w:right w:val="none" w:sz="0" w:space="0" w:color="auto"/>
                  </w:divBdr>
                  <w:divsChild>
                    <w:div w:id="1566528682">
                      <w:marLeft w:val="0"/>
                      <w:marRight w:val="0"/>
                      <w:marTop w:val="0"/>
                      <w:marBottom w:val="0"/>
                      <w:divBdr>
                        <w:top w:val="none" w:sz="0" w:space="0" w:color="auto"/>
                        <w:left w:val="none" w:sz="0" w:space="0" w:color="auto"/>
                        <w:bottom w:val="none" w:sz="0" w:space="0" w:color="auto"/>
                        <w:right w:val="none" w:sz="0" w:space="0" w:color="auto"/>
                      </w:divBdr>
                    </w:div>
                  </w:divsChild>
                </w:div>
                <w:div w:id="1460145248">
                  <w:marLeft w:val="0"/>
                  <w:marRight w:val="0"/>
                  <w:marTop w:val="0"/>
                  <w:marBottom w:val="0"/>
                  <w:divBdr>
                    <w:top w:val="none" w:sz="0" w:space="0" w:color="auto"/>
                    <w:left w:val="none" w:sz="0" w:space="0" w:color="auto"/>
                    <w:bottom w:val="none" w:sz="0" w:space="0" w:color="auto"/>
                    <w:right w:val="none" w:sz="0" w:space="0" w:color="auto"/>
                  </w:divBdr>
                  <w:divsChild>
                    <w:div w:id="84682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941916">
      <w:bodyDiv w:val="1"/>
      <w:marLeft w:val="0"/>
      <w:marRight w:val="0"/>
      <w:marTop w:val="0"/>
      <w:marBottom w:val="0"/>
      <w:divBdr>
        <w:top w:val="none" w:sz="0" w:space="0" w:color="auto"/>
        <w:left w:val="none" w:sz="0" w:space="0" w:color="auto"/>
        <w:bottom w:val="none" w:sz="0" w:space="0" w:color="auto"/>
        <w:right w:val="none" w:sz="0" w:space="0" w:color="auto"/>
      </w:divBdr>
    </w:div>
    <w:div w:id="1597254052">
      <w:bodyDiv w:val="1"/>
      <w:marLeft w:val="0"/>
      <w:marRight w:val="0"/>
      <w:marTop w:val="0"/>
      <w:marBottom w:val="0"/>
      <w:divBdr>
        <w:top w:val="none" w:sz="0" w:space="0" w:color="auto"/>
        <w:left w:val="none" w:sz="0" w:space="0" w:color="auto"/>
        <w:bottom w:val="none" w:sz="0" w:space="0" w:color="auto"/>
        <w:right w:val="none" w:sz="0" w:space="0" w:color="auto"/>
      </w:divBdr>
    </w:div>
    <w:div w:id="1597320990">
      <w:bodyDiv w:val="1"/>
      <w:marLeft w:val="0"/>
      <w:marRight w:val="0"/>
      <w:marTop w:val="0"/>
      <w:marBottom w:val="0"/>
      <w:divBdr>
        <w:top w:val="none" w:sz="0" w:space="0" w:color="auto"/>
        <w:left w:val="none" w:sz="0" w:space="0" w:color="auto"/>
        <w:bottom w:val="none" w:sz="0" w:space="0" w:color="auto"/>
        <w:right w:val="none" w:sz="0" w:space="0" w:color="auto"/>
      </w:divBdr>
    </w:div>
    <w:div w:id="1598515649">
      <w:bodyDiv w:val="1"/>
      <w:marLeft w:val="0"/>
      <w:marRight w:val="0"/>
      <w:marTop w:val="0"/>
      <w:marBottom w:val="0"/>
      <w:divBdr>
        <w:top w:val="none" w:sz="0" w:space="0" w:color="auto"/>
        <w:left w:val="none" w:sz="0" w:space="0" w:color="auto"/>
        <w:bottom w:val="none" w:sz="0" w:space="0" w:color="auto"/>
        <w:right w:val="none" w:sz="0" w:space="0" w:color="auto"/>
      </w:divBdr>
    </w:div>
    <w:div w:id="1598558846">
      <w:bodyDiv w:val="1"/>
      <w:marLeft w:val="0"/>
      <w:marRight w:val="0"/>
      <w:marTop w:val="0"/>
      <w:marBottom w:val="0"/>
      <w:divBdr>
        <w:top w:val="none" w:sz="0" w:space="0" w:color="auto"/>
        <w:left w:val="none" w:sz="0" w:space="0" w:color="auto"/>
        <w:bottom w:val="none" w:sz="0" w:space="0" w:color="auto"/>
        <w:right w:val="none" w:sz="0" w:space="0" w:color="auto"/>
      </w:divBdr>
    </w:div>
    <w:div w:id="1599604958">
      <w:bodyDiv w:val="1"/>
      <w:marLeft w:val="0"/>
      <w:marRight w:val="0"/>
      <w:marTop w:val="0"/>
      <w:marBottom w:val="0"/>
      <w:divBdr>
        <w:top w:val="none" w:sz="0" w:space="0" w:color="auto"/>
        <w:left w:val="none" w:sz="0" w:space="0" w:color="auto"/>
        <w:bottom w:val="none" w:sz="0" w:space="0" w:color="auto"/>
        <w:right w:val="none" w:sz="0" w:space="0" w:color="auto"/>
      </w:divBdr>
    </w:div>
    <w:div w:id="1599828937">
      <w:bodyDiv w:val="1"/>
      <w:marLeft w:val="0"/>
      <w:marRight w:val="0"/>
      <w:marTop w:val="0"/>
      <w:marBottom w:val="0"/>
      <w:divBdr>
        <w:top w:val="none" w:sz="0" w:space="0" w:color="auto"/>
        <w:left w:val="none" w:sz="0" w:space="0" w:color="auto"/>
        <w:bottom w:val="none" w:sz="0" w:space="0" w:color="auto"/>
        <w:right w:val="none" w:sz="0" w:space="0" w:color="auto"/>
      </w:divBdr>
    </w:div>
    <w:div w:id="1599943200">
      <w:bodyDiv w:val="1"/>
      <w:marLeft w:val="0"/>
      <w:marRight w:val="0"/>
      <w:marTop w:val="0"/>
      <w:marBottom w:val="0"/>
      <w:divBdr>
        <w:top w:val="none" w:sz="0" w:space="0" w:color="auto"/>
        <w:left w:val="none" w:sz="0" w:space="0" w:color="auto"/>
        <w:bottom w:val="none" w:sz="0" w:space="0" w:color="auto"/>
        <w:right w:val="none" w:sz="0" w:space="0" w:color="auto"/>
      </w:divBdr>
    </w:div>
    <w:div w:id="1600721304">
      <w:bodyDiv w:val="1"/>
      <w:marLeft w:val="0"/>
      <w:marRight w:val="0"/>
      <w:marTop w:val="0"/>
      <w:marBottom w:val="0"/>
      <w:divBdr>
        <w:top w:val="none" w:sz="0" w:space="0" w:color="auto"/>
        <w:left w:val="none" w:sz="0" w:space="0" w:color="auto"/>
        <w:bottom w:val="none" w:sz="0" w:space="0" w:color="auto"/>
        <w:right w:val="none" w:sz="0" w:space="0" w:color="auto"/>
      </w:divBdr>
    </w:div>
    <w:div w:id="1600983991">
      <w:bodyDiv w:val="1"/>
      <w:marLeft w:val="0"/>
      <w:marRight w:val="0"/>
      <w:marTop w:val="0"/>
      <w:marBottom w:val="0"/>
      <w:divBdr>
        <w:top w:val="none" w:sz="0" w:space="0" w:color="auto"/>
        <w:left w:val="none" w:sz="0" w:space="0" w:color="auto"/>
        <w:bottom w:val="none" w:sz="0" w:space="0" w:color="auto"/>
        <w:right w:val="none" w:sz="0" w:space="0" w:color="auto"/>
      </w:divBdr>
    </w:div>
    <w:div w:id="1601182739">
      <w:bodyDiv w:val="1"/>
      <w:marLeft w:val="0"/>
      <w:marRight w:val="0"/>
      <w:marTop w:val="0"/>
      <w:marBottom w:val="0"/>
      <w:divBdr>
        <w:top w:val="none" w:sz="0" w:space="0" w:color="auto"/>
        <w:left w:val="none" w:sz="0" w:space="0" w:color="auto"/>
        <w:bottom w:val="none" w:sz="0" w:space="0" w:color="auto"/>
        <w:right w:val="none" w:sz="0" w:space="0" w:color="auto"/>
      </w:divBdr>
    </w:div>
    <w:div w:id="1601330128">
      <w:bodyDiv w:val="1"/>
      <w:marLeft w:val="0"/>
      <w:marRight w:val="0"/>
      <w:marTop w:val="0"/>
      <w:marBottom w:val="0"/>
      <w:divBdr>
        <w:top w:val="none" w:sz="0" w:space="0" w:color="auto"/>
        <w:left w:val="none" w:sz="0" w:space="0" w:color="auto"/>
        <w:bottom w:val="none" w:sz="0" w:space="0" w:color="auto"/>
        <w:right w:val="none" w:sz="0" w:space="0" w:color="auto"/>
      </w:divBdr>
    </w:div>
    <w:div w:id="1602640523">
      <w:bodyDiv w:val="1"/>
      <w:marLeft w:val="0"/>
      <w:marRight w:val="0"/>
      <w:marTop w:val="0"/>
      <w:marBottom w:val="0"/>
      <w:divBdr>
        <w:top w:val="none" w:sz="0" w:space="0" w:color="auto"/>
        <w:left w:val="none" w:sz="0" w:space="0" w:color="auto"/>
        <w:bottom w:val="none" w:sz="0" w:space="0" w:color="auto"/>
        <w:right w:val="none" w:sz="0" w:space="0" w:color="auto"/>
      </w:divBdr>
    </w:div>
    <w:div w:id="1602907018">
      <w:bodyDiv w:val="1"/>
      <w:marLeft w:val="0"/>
      <w:marRight w:val="0"/>
      <w:marTop w:val="0"/>
      <w:marBottom w:val="0"/>
      <w:divBdr>
        <w:top w:val="none" w:sz="0" w:space="0" w:color="auto"/>
        <w:left w:val="none" w:sz="0" w:space="0" w:color="auto"/>
        <w:bottom w:val="none" w:sz="0" w:space="0" w:color="auto"/>
        <w:right w:val="none" w:sz="0" w:space="0" w:color="auto"/>
      </w:divBdr>
    </w:div>
    <w:div w:id="1603031152">
      <w:bodyDiv w:val="1"/>
      <w:marLeft w:val="0"/>
      <w:marRight w:val="0"/>
      <w:marTop w:val="0"/>
      <w:marBottom w:val="0"/>
      <w:divBdr>
        <w:top w:val="none" w:sz="0" w:space="0" w:color="auto"/>
        <w:left w:val="none" w:sz="0" w:space="0" w:color="auto"/>
        <w:bottom w:val="none" w:sz="0" w:space="0" w:color="auto"/>
        <w:right w:val="none" w:sz="0" w:space="0" w:color="auto"/>
      </w:divBdr>
    </w:div>
    <w:div w:id="1604603519">
      <w:bodyDiv w:val="1"/>
      <w:marLeft w:val="0"/>
      <w:marRight w:val="0"/>
      <w:marTop w:val="0"/>
      <w:marBottom w:val="0"/>
      <w:divBdr>
        <w:top w:val="none" w:sz="0" w:space="0" w:color="auto"/>
        <w:left w:val="none" w:sz="0" w:space="0" w:color="auto"/>
        <w:bottom w:val="none" w:sz="0" w:space="0" w:color="auto"/>
        <w:right w:val="none" w:sz="0" w:space="0" w:color="auto"/>
      </w:divBdr>
      <w:divsChild>
        <w:div w:id="1306548870">
          <w:marLeft w:val="0"/>
          <w:marRight w:val="0"/>
          <w:marTop w:val="0"/>
          <w:marBottom w:val="0"/>
          <w:divBdr>
            <w:top w:val="none" w:sz="0" w:space="0" w:color="auto"/>
            <w:left w:val="none" w:sz="0" w:space="0" w:color="auto"/>
            <w:bottom w:val="none" w:sz="0" w:space="0" w:color="auto"/>
            <w:right w:val="none" w:sz="0" w:space="0" w:color="auto"/>
          </w:divBdr>
          <w:divsChild>
            <w:div w:id="1390810079">
              <w:marLeft w:val="0"/>
              <w:marRight w:val="0"/>
              <w:marTop w:val="0"/>
              <w:marBottom w:val="0"/>
              <w:divBdr>
                <w:top w:val="none" w:sz="0" w:space="0" w:color="auto"/>
                <w:left w:val="none" w:sz="0" w:space="0" w:color="auto"/>
                <w:bottom w:val="none" w:sz="0" w:space="0" w:color="auto"/>
                <w:right w:val="none" w:sz="0" w:space="0" w:color="auto"/>
              </w:divBdr>
              <w:divsChild>
                <w:div w:id="1297223586">
                  <w:marLeft w:val="0"/>
                  <w:marRight w:val="0"/>
                  <w:marTop w:val="0"/>
                  <w:marBottom w:val="0"/>
                  <w:divBdr>
                    <w:top w:val="none" w:sz="0" w:space="0" w:color="auto"/>
                    <w:left w:val="none" w:sz="0" w:space="0" w:color="auto"/>
                    <w:bottom w:val="none" w:sz="0" w:space="0" w:color="auto"/>
                    <w:right w:val="none" w:sz="0" w:space="0" w:color="auto"/>
                  </w:divBdr>
                  <w:divsChild>
                    <w:div w:id="2495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651314">
      <w:bodyDiv w:val="1"/>
      <w:marLeft w:val="0"/>
      <w:marRight w:val="0"/>
      <w:marTop w:val="0"/>
      <w:marBottom w:val="0"/>
      <w:divBdr>
        <w:top w:val="none" w:sz="0" w:space="0" w:color="auto"/>
        <w:left w:val="none" w:sz="0" w:space="0" w:color="auto"/>
        <w:bottom w:val="none" w:sz="0" w:space="0" w:color="auto"/>
        <w:right w:val="none" w:sz="0" w:space="0" w:color="auto"/>
      </w:divBdr>
    </w:div>
    <w:div w:id="1604727937">
      <w:bodyDiv w:val="1"/>
      <w:marLeft w:val="0"/>
      <w:marRight w:val="0"/>
      <w:marTop w:val="0"/>
      <w:marBottom w:val="0"/>
      <w:divBdr>
        <w:top w:val="none" w:sz="0" w:space="0" w:color="auto"/>
        <w:left w:val="none" w:sz="0" w:space="0" w:color="auto"/>
        <w:bottom w:val="none" w:sz="0" w:space="0" w:color="auto"/>
        <w:right w:val="none" w:sz="0" w:space="0" w:color="auto"/>
      </w:divBdr>
    </w:div>
    <w:div w:id="1605501110">
      <w:bodyDiv w:val="1"/>
      <w:marLeft w:val="0"/>
      <w:marRight w:val="0"/>
      <w:marTop w:val="0"/>
      <w:marBottom w:val="0"/>
      <w:divBdr>
        <w:top w:val="none" w:sz="0" w:space="0" w:color="auto"/>
        <w:left w:val="none" w:sz="0" w:space="0" w:color="auto"/>
        <w:bottom w:val="none" w:sz="0" w:space="0" w:color="auto"/>
        <w:right w:val="none" w:sz="0" w:space="0" w:color="auto"/>
      </w:divBdr>
      <w:divsChild>
        <w:div w:id="1801724879">
          <w:marLeft w:val="0"/>
          <w:marRight w:val="0"/>
          <w:marTop w:val="0"/>
          <w:marBottom w:val="0"/>
          <w:divBdr>
            <w:top w:val="none" w:sz="0" w:space="0" w:color="auto"/>
            <w:left w:val="none" w:sz="0" w:space="0" w:color="auto"/>
            <w:bottom w:val="none" w:sz="0" w:space="0" w:color="auto"/>
            <w:right w:val="none" w:sz="0" w:space="0" w:color="auto"/>
          </w:divBdr>
          <w:divsChild>
            <w:div w:id="777065129">
              <w:marLeft w:val="0"/>
              <w:marRight w:val="0"/>
              <w:marTop w:val="0"/>
              <w:marBottom w:val="0"/>
              <w:divBdr>
                <w:top w:val="none" w:sz="0" w:space="0" w:color="auto"/>
                <w:left w:val="none" w:sz="0" w:space="0" w:color="auto"/>
                <w:bottom w:val="none" w:sz="0" w:space="0" w:color="auto"/>
                <w:right w:val="none" w:sz="0" w:space="0" w:color="auto"/>
              </w:divBdr>
              <w:divsChild>
                <w:div w:id="1753505393">
                  <w:marLeft w:val="0"/>
                  <w:marRight w:val="0"/>
                  <w:marTop w:val="0"/>
                  <w:marBottom w:val="0"/>
                  <w:divBdr>
                    <w:top w:val="none" w:sz="0" w:space="0" w:color="auto"/>
                    <w:left w:val="none" w:sz="0" w:space="0" w:color="auto"/>
                    <w:bottom w:val="none" w:sz="0" w:space="0" w:color="auto"/>
                    <w:right w:val="none" w:sz="0" w:space="0" w:color="auto"/>
                  </w:divBdr>
                  <w:divsChild>
                    <w:div w:id="116951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79441">
      <w:bodyDiv w:val="1"/>
      <w:marLeft w:val="0"/>
      <w:marRight w:val="0"/>
      <w:marTop w:val="0"/>
      <w:marBottom w:val="0"/>
      <w:divBdr>
        <w:top w:val="none" w:sz="0" w:space="0" w:color="auto"/>
        <w:left w:val="none" w:sz="0" w:space="0" w:color="auto"/>
        <w:bottom w:val="none" w:sz="0" w:space="0" w:color="auto"/>
        <w:right w:val="none" w:sz="0" w:space="0" w:color="auto"/>
      </w:divBdr>
    </w:div>
    <w:div w:id="1605768834">
      <w:bodyDiv w:val="1"/>
      <w:marLeft w:val="0"/>
      <w:marRight w:val="0"/>
      <w:marTop w:val="0"/>
      <w:marBottom w:val="0"/>
      <w:divBdr>
        <w:top w:val="none" w:sz="0" w:space="0" w:color="auto"/>
        <w:left w:val="none" w:sz="0" w:space="0" w:color="auto"/>
        <w:bottom w:val="none" w:sz="0" w:space="0" w:color="auto"/>
        <w:right w:val="none" w:sz="0" w:space="0" w:color="auto"/>
      </w:divBdr>
    </w:div>
    <w:div w:id="1606770555">
      <w:bodyDiv w:val="1"/>
      <w:marLeft w:val="0"/>
      <w:marRight w:val="0"/>
      <w:marTop w:val="0"/>
      <w:marBottom w:val="0"/>
      <w:divBdr>
        <w:top w:val="none" w:sz="0" w:space="0" w:color="auto"/>
        <w:left w:val="none" w:sz="0" w:space="0" w:color="auto"/>
        <w:bottom w:val="none" w:sz="0" w:space="0" w:color="auto"/>
        <w:right w:val="none" w:sz="0" w:space="0" w:color="auto"/>
      </w:divBdr>
    </w:div>
    <w:div w:id="1607226293">
      <w:bodyDiv w:val="1"/>
      <w:marLeft w:val="0"/>
      <w:marRight w:val="0"/>
      <w:marTop w:val="0"/>
      <w:marBottom w:val="0"/>
      <w:divBdr>
        <w:top w:val="none" w:sz="0" w:space="0" w:color="auto"/>
        <w:left w:val="none" w:sz="0" w:space="0" w:color="auto"/>
        <w:bottom w:val="none" w:sz="0" w:space="0" w:color="auto"/>
        <w:right w:val="none" w:sz="0" w:space="0" w:color="auto"/>
      </w:divBdr>
    </w:div>
    <w:div w:id="1608657075">
      <w:bodyDiv w:val="1"/>
      <w:marLeft w:val="0"/>
      <w:marRight w:val="0"/>
      <w:marTop w:val="0"/>
      <w:marBottom w:val="0"/>
      <w:divBdr>
        <w:top w:val="none" w:sz="0" w:space="0" w:color="auto"/>
        <w:left w:val="none" w:sz="0" w:space="0" w:color="auto"/>
        <w:bottom w:val="none" w:sz="0" w:space="0" w:color="auto"/>
        <w:right w:val="none" w:sz="0" w:space="0" w:color="auto"/>
      </w:divBdr>
    </w:div>
    <w:div w:id="1609190910">
      <w:bodyDiv w:val="1"/>
      <w:marLeft w:val="0"/>
      <w:marRight w:val="0"/>
      <w:marTop w:val="0"/>
      <w:marBottom w:val="0"/>
      <w:divBdr>
        <w:top w:val="none" w:sz="0" w:space="0" w:color="auto"/>
        <w:left w:val="none" w:sz="0" w:space="0" w:color="auto"/>
        <w:bottom w:val="none" w:sz="0" w:space="0" w:color="auto"/>
        <w:right w:val="none" w:sz="0" w:space="0" w:color="auto"/>
      </w:divBdr>
    </w:div>
    <w:div w:id="1609388836">
      <w:bodyDiv w:val="1"/>
      <w:marLeft w:val="0"/>
      <w:marRight w:val="0"/>
      <w:marTop w:val="0"/>
      <w:marBottom w:val="0"/>
      <w:divBdr>
        <w:top w:val="none" w:sz="0" w:space="0" w:color="auto"/>
        <w:left w:val="none" w:sz="0" w:space="0" w:color="auto"/>
        <w:bottom w:val="none" w:sz="0" w:space="0" w:color="auto"/>
        <w:right w:val="none" w:sz="0" w:space="0" w:color="auto"/>
      </w:divBdr>
    </w:div>
    <w:div w:id="1609434035">
      <w:bodyDiv w:val="1"/>
      <w:marLeft w:val="0"/>
      <w:marRight w:val="0"/>
      <w:marTop w:val="0"/>
      <w:marBottom w:val="0"/>
      <w:divBdr>
        <w:top w:val="none" w:sz="0" w:space="0" w:color="auto"/>
        <w:left w:val="none" w:sz="0" w:space="0" w:color="auto"/>
        <w:bottom w:val="none" w:sz="0" w:space="0" w:color="auto"/>
        <w:right w:val="none" w:sz="0" w:space="0" w:color="auto"/>
      </w:divBdr>
      <w:divsChild>
        <w:div w:id="576403372">
          <w:marLeft w:val="0"/>
          <w:marRight w:val="0"/>
          <w:marTop w:val="0"/>
          <w:marBottom w:val="0"/>
          <w:divBdr>
            <w:top w:val="none" w:sz="0" w:space="0" w:color="auto"/>
            <w:left w:val="none" w:sz="0" w:space="0" w:color="auto"/>
            <w:bottom w:val="none" w:sz="0" w:space="0" w:color="auto"/>
            <w:right w:val="none" w:sz="0" w:space="0" w:color="auto"/>
          </w:divBdr>
          <w:divsChild>
            <w:div w:id="1979065594">
              <w:marLeft w:val="0"/>
              <w:marRight w:val="0"/>
              <w:marTop w:val="0"/>
              <w:marBottom w:val="0"/>
              <w:divBdr>
                <w:top w:val="none" w:sz="0" w:space="0" w:color="auto"/>
                <w:left w:val="none" w:sz="0" w:space="0" w:color="auto"/>
                <w:bottom w:val="none" w:sz="0" w:space="0" w:color="auto"/>
                <w:right w:val="none" w:sz="0" w:space="0" w:color="auto"/>
              </w:divBdr>
              <w:divsChild>
                <w:div w:id="50274982">
                  <w:marLeft w:val="0"/>
                  <w:marRight w:val="0"/>
                  <w:marTop w:val="0"/>
                  <w:marBottom w:val="0"/>
                  <w:divBdr>
                    <w:top w:val="none" w:sz="0" w:space="0" w:color="auto"/>
                    <w:left w:val="none" w:sz="0" w:space="0" w:color="auto"/>
                    <w:bottom w:val="none" w:sz="0" w:space="0" w:color="auto"/>
                    <w:right w:val="none" w:sz="0" w:space="0" w:color="auto"/>
                  </w:divBdr>
                  <w:divsChild>
                    <w:div w:id="1633705884">
                      <w:marLeft w:val="0"/>
                      <w:marRight w:val="0"/>
                      <w:marTop w:val="0"/>
                      <w:marBottom w:val="0"/>
                      <w:divBdr>
                        <w:top w:val="none" w:sz="0" w:space="0" w:color="auto"/>
                        <w:left w:val="none" w:sz="0" w:space="0" w:color="auto"/>
                        <w:bottom w:val="none" w:sz="0" w:space="0" w:color="auto"/>
                        <w:right w:val="none" w:sz="0" w:space="0" w:color="auto"/>
                      </w:divBdr>
                    </w:div>
                  </w:divsChild>
                </w:div>
                <w:div w:id="222642260">
                  <w:marLeft w:val="0"/>
                  <w:marRight w:val="0"/>
                  <w:marTop w:val="0"/>
                  <w:marBottom w:val="0"/>
                  <w:divBdr>
                    <w:top w:val="none" w:sz="0" w:space="0" w:color="auto"/>
                    <w:left w:val="none" w:sz="0" w:space="0" w:color="auto"/>
                    <w:bottom w:val="none" w:sz="0" w:space="0" w:color="auto"/>
                    <w:right w:val="none" w:sz="0" w:space="0" w:color="auto"/>
                  </w:divBdr>
                  <w:divsChild>
                    <w:div w:id="141007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850545">
      <w:bodyDiv w:val="1"/>
      <w:marLeft w:val="0"/>
      <w:marRight w:val="0"/>
      <w:marTop w:val="0"/>
      <w:marBottom w:val="0"/>
      <w:divBdr>
        <w:top w:val="none" w:sz="0" w:space="0" w:color="auto"/>
        <w:left w:val="none" w:sz="0" w:space="0" w:color="auto"/>
        <w:bottom w:val="none" w:sz="0" w:space="0" w:color="auto"/>
        <w:right w:val="none" w:sz="0" w:space="0" w:color="auto"/>
      </w:divBdr>
    </w:div>
    <w:div w:id="1610116692">
      <w:bodyDiv w:val="1"/>
      <w:marLeft w:val="0"/>
      <w:marRight w:val="0"/>
      <w:marTop w:val="0"/>
      <w:marBottom w:val="0"/>
      <w:divBdr>
        <w:top w:val="none" w:sz="0" w:space="0" w:color="auto"/>
        <w:left w:val="none" w:sz="0" w:space="0" w:color="auto"/>
        <w:bottom w:val="none" w:sz="0" w:space="0" w:color="auto"/>
        <w:right w:val="none" w:sz="0" w:space="0" w:color="auto"/>
      </w:divBdr>
    </w:div>
    <w:div w:id="1610352936">
      <w:bodyDiv w:val="1"/>
      <w:marLeft w:val="0"/>
      <w:marRight w:val="0"/>
      <w:marTop w:val="0"/>
      <w:marBottom w:val="0"/>
      <w:divBdr>
        <w:top w:val="none" w:sz="0" w:space="0" w:color="auto"/>
        <w:left w:val="none" w:sz="0" w:space="0" w:color="auto"/>
        <w:bottom w:val="none" w:sz="0" w:space="0" w:color="auto"/>
        <w:right w:val="none" w:sz="0" w:space="0" w:color="auto"/>
      </w:divBdr>
    </w:div>
    <w:div w:id="1610432364">
      <w:bodyDiv w:val="1"/>
      <w:marLeft w:val="0"/>
      <w:marRight w:val="0"/>
      <w:marTop w:val="0"/>
      <w:marBottom w:val="0"/>
      <w:divBdr>
        <w:top w:val="none" w:sz="0" w:space="0" w:color="auto"/>
        <w:left w:val="none" w:sz="0" w:space="0" w:color="auto"/>
        <w:bottom w:val="none" w:sz="0" w:space="0" w:color="auto"/>
        <w:right w:val="none" w:sz="0" w:space="0" w:color="auto"/>
      </w:divBdr>
    </w:div>
    <w:div w:id="1612198156">
      <w:bodyDiv w:val="1"/>
      <w:marLeft w:val="0"/>
      <w:marRight w:val="0"/>
      <w:marTop w:val="0"/>
      <w:marBottom w:val="0"/>
      <w:divBdr>
        <w:top w:val="none" w:sz="0" w:space="0" w:color="auto"/>
        <w:left w:val="none" w:sz="0" w:space="0" w:color="auto"/>
        <w:bottom w:val="none" w:sz="0" w:space="0" w:color="auto"/>
        <w:right w:val="none" w:sz="0" w:space="0" w:color="auto"/>
      </w:divBdr>
    </w:div>
    <w:div w:id="1612592539">
      <w:bodyDiv w:val="1"/>
      <w:marLeft w:val="0"/>
      <w:marRight w:val="0"/>
      <w:marTop w:val="0"/>
      <w:marBottom w:val="0"/>
      <w:divBdr>
        <w:top w:val="none" w:sz="0" w:space="0" w:color="auto"/>
        <w:left w:val="none" w:sz="0" w:space="0" w:color="auto"/>
        <w:bottom w:val="none" w:sz="0" w:space="0" w:color="auto"/>
        <w:right w:val="none" w:sz="0" w:space="0" w:color="auto"/>
      </w:divBdr>
      <w:divsChild>
        <w:div w:id="2142460773">
          <w:marLeft w:val="0"/>
          <w:marRight w:val="0"/>
          <w:marTop w:val="0"/>
          <w:marBottom w:val="0"/>
          <w:divBdr>
            <w:top w:val="none" w:sz="0" w:space="0" w:color="auto"/>
            <w:left w:val="none" w:sz="0" w:space="0" w:color="auto"/>
            <w:bottom w:val="none" w:sz="0" w:space="0" w:color="auto"/>
            <w:right w:val="none" w:sz="0" w:space="0" w:color="auto"/>
          </w:divBdr>
          <w:divsChild>
            <w:div w:id="1312446186">
              <w:marLeft w:val="0"/>
              <w:marRight w:val="0"/>
              <w:marTop w:val="0"/>
              <w:marBottom w:val="0"/>
              <w:divBdr>
                <w:top w:val="none" w:sz="0" w:space="0" w:color="auto"/>
                <w:left w:val="none" w:sz="0" w:space="0" w:color="auto"/>
                <w:bottom w:val="none" w:sz="0" w:space="0" w:color="auto"/>
                <w:right w:val="none" w:sz="0" w:space="0" w:color="auto"/>
              </w:divBdr>
              <w:divsChild>
                <w:div w:id="1595747615">
                  <w:marLeft w:val="0"/>
                  <w:marRight w:val="0"/>
                  <w:marTop w:val="0"/>
                  <w:marBottom w:val="0"/>
                  <w:divBdr>
                    <w:top w:val="none" w:sz="0" w:space="0" w:color="auto"/>
                    <w:left w:val="none" w:sz="0" w:space="0" w:color="auto"/>
                    <w:bottom w:val="none" w:sz="0" w:space="0" w:color="auto"/>
                    <w:right w:val="none" w:sz="0" w:space="0" w:color="auto"/>
                  </w:divBdr>
                  <w:divsChild>
                    <w:div w:id="530341393">
                      <w:marLeft w:val="0"/>
                      <w:marRight w:val="0"/>
                      <w:marTop w:val="0"/>
                      <w:marBottom w:val="0"/>
                      <w:divBdr>
                        <w:top w:val="none" w:sz="0" w:space="0" w:color="auto"/>
                        <w:left w:val="none" w:sz="0" w:space="0" w:color="auto"/>
                        <w:bottom w:val="none" w:sz="0" w:space="0" w:color="auto"/>
                        <w:right w:val="none" w:sz="0" w:space="0" w:color="auto"/>
                      </w:divBdr>
                    </w:div>
                  </w:divsChild>
                </w:div>
                <w:div w:id="2122453702">
                  <w:marLeft w:val="0"/>
                  <w:marRight w:val="0"/>
                  <w:marTop w:val="0"/>
                  <w:marBottom w:val="0"/>
                  <w:divBdr>
                    <w:top w:val="none" w:sz="0" w:space="0" w:color="auto"/>
                    <w:left w:val="none" w:sz="0" w:space="0" w:color="auto"/>
                    <w:bottom w:val="none" w:sz="0" w:space="0" w:color="auto"/>
                    <w:right w:val="none" w:sz="0" w:space="0" w:color="auto"/>
                  </w:divBdr>
                  <w:divsChild>
                    <w:div w:id="7185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050352">
      <w:bodyDiv w:val="1"/>
      <w:marLeft w:val="0"/>
      <w:marRight w:val="0"/>
      <w:marTop w:val="0"/>
      <w:marBottom w:val="0"/>
      <w:divBdr>
        <w:top w:val="none" w:sz="0" w:space="0" w:color="auto"/>
        <w:left w:val="none" w:sz="0" w:space="0" w:color="auto"/>
        <w:bottom w:val="none" w:sz="0" w:space="0" w:color="auto"/>
        <w:right w:val="none" w:sz="0" w:space="0" w:color="auto"/>
      </w:divBdr>
    </w:div>
    <w:div w:id="1614089904">
      <w:bodyDiv w:val="1"/>
      <w:marLeft w:val="0"/>
      <w:marRight w:val="0"/>
      <w:marTop w:val="0"/>
      <w:marBottom w:val="0"/>
      <w:divBdr>
        <w:top w:val="none" w:sz="0" w:space="0" w:color="auto"/>
        <w:left w:val="none" w:sz="0" w:space="0" w:color="auto"/>
        <w:bottom w:val="none" w:sz="0" w:space="0" w:color="auto"/>
        <w:right w:val="none" w:sz="0" w:space="0" w:color="auto"/>
      </w:divBdr>
    </w:div>
    <w:div w:id="1614362503">
      <w:bodyDiv w:val="1"/>
      <w:marLeft w:val="0"/>
      <w:marRight w:val="0"/>
      <w:marTop w:val="0"/>
      <w:marBottom w:val="0"/>
      <w:divBdr>
        <w:top w:val="none" w:sz="0" w:space="0" w:color="auto"/>
        <w:left w:val="none" w:sz="0" w:space="0" w:color="auto"/>
        <w:bottom w:val="none" w:sz="0" w:space="0" w:color="auto"/>
        <w:right w:val="none" w:sz="0" w:space="0" w:color="auto"/>
      </w:divBdr>
      <w:divsChild>
        <w:div w:id="768308735">
          <w:marLeft w:val="0"/>
          <w:marRight w:val="0"/>
          <w:marTop w:val="0"/>
          <w:marBottom w:val="0"/>
          <w:divBdr>
            <w:top w:val="none" w:sz="0" w:space="0" w:color="auto"/>
            <w:left w:val="none" w:sz="0" w:space="0" w:color="auto"/>
            <w:bottom w:val="none" w:sz="0" w:space="0" w:color="auto"/>
            <w:right w:val="none" w:sz="0" w:space="0" w:color="auto"/>
          </w:divBdr>
          <w:divsChild>
            <w:div w:id="1500778775">
              <w:marLeft w:val="0"/>
              <w:marRight w:val="0"/>
              <w:marTop w:val="0"/>
              <w:marBottom w:val="0"/>
              <w:divBdr>
                <w:top w:val="none" w:sz="0" w:space="0" w:color="auto"/>
                <w:left w:val="none" w:sz="0" w:space="0" w:color="auto"/>
                <w:bottom w:val="none" w:sz="0" w:space="0" w:color="auto"/>
                <w:right w:val="none" w:sz="0" w:space="0" w:color="auto"/>
              </w:divBdr>
              <w:divsChild>
                <w:div w:id="1973486601">
                  <w:marLeft w:val="0"/>
                  <w:marRight w:val="0"/>
                  <w:marTop w:val="0"/>
                  <w:marBottom w:val="0"/>
                  <w:divBdr>
                    <w:top w:val="none" w:sz="0" w:space="0" w:color="auto"/>
                    <w:left w:val="none" w:sz="0" w:space="0" w:color="auto"/>
                    <w:bottom w:val="none" w:sz="0" w:space="0" w:color="auto"/>
                    <w:right w:val="none" w:sz="0" w:space="0" w:color="auto"/>
                  </w:divBdr>
                  <w:divsChild>
                    <w:div w:id="4863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822216">
      <w:bodyDiv w:val="1"/>
      <w:marLeft w:val="0"/>
      <w:marRight w:val="0"/>
      <w:marTop w:val="0"/>
      <w:marBottom w:val="0"/>
      <w:divBdr>
        <w:top w:val="none" w:sz="0" w:space="0" w:color="auto"/>
        <w:left w:val="none" w:sz="0" w:space="0" w:color="auto"/>
        <w:bottom w:val="none" w:sz="0" w:space="0" w:color="auto"/>
        <w:right w:val="none" w:sz="0" w:space="0" w:color="auto"/>
      </w:divBdr>
      <w:divsChild>
        <w:div w:id="238951869">
          <w:marLeft w:val="0"/>
          <w:marRight w:val="0"/>
          <w:marTop w:val="0"/>
          <w:marBottom w:val="0"/>
          <w:divBdr>
            <w:top w:val="none" w:sz="0" w:space="0" w:color="auto"/>
            <w:left w:val="none" w:sz="0" w:space="0" w:color="auto"/>
            <w:bottom w:val="none" w:sz="0" w:space="0" w:color="auto"/>
            <w:right w:val="none" w:sz="0" w:space="0" w:color="auto"/>
          </w:divBdr>
          <w:divsChild>
            <w:div w:id="1142192504">
              <w:marLeft w:val="0"/>
              <w:marRight w:val="0"/>
              <w:marTop w:val="0"/>
              <w:marBottom w:val="0"/>
              <w:divBdr>
                <w:top w:val="none" w:sz="0" w:space="0" w:color="auto"/>
                <w:left w:val="none" w:sz="0" w:space="0" w:color="auto"/>
                <w:bottom w:val="none" w:sz="0" w:space="0" w:color="auto"/>
                <w:right w:val="none" w:sz="0" w:space="0" w:color="auto"/>
              </w:divBdr>
              <w:divsChild>
                <w:div w:id="1589117487">
                  <w:marLeft w:val="0"/>
                  <w:marRight w:val="0"/>
                  <w:marTop w:val="0"/>
                  <w:marBottom w:val="0"/>
                  <w:divBdr>
                    <w:top w:val="none" w:sz="0" w:space="0" w:color="auto"/>
                    <w:left w:val="none" w:sz="0" w:space="0" w:color="auto"/>
                    <w:bottom w:val="none" w:sz="0" w:space="0" w:color="auto"/>
                    <w:right w:val="none" w:sz="0" w:space="0" w:color="auto"/>
                  </w:divBdr>
                  <w:divsChild>
                    <w:div w:id="76434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827158">
      <w:bodyDiv w:val="1"/>
      <w:marLeft w:val="0"/>
      <w:marRight w:val="0"/>
      <w:marTop w:val="0"/>
      <w:marBottom w:val="0"/>
      <w:divBdr>
        <w:top w:val="none" w:sz="0" w:space="0" w:color="auto"/>
        <w:left w:val="none" w:sz="0" w:space="0" w:color="auto"/>
        <w:bottom w:val="none" w:sz="0" w:space="0" w:color="auto"/>
        <w:right w:val="none" w:sz="0" w:space="0" w:color="auto"/>
      </w:divBdr>
    </w:div>
    <w:div w:id="1615210134">
      <w:bodyDiv w:val="1"/>
      <w:marLeft w:val="0"/>
      <w:marRight w:val="0"/>
      <w:marTop w:val="0"/>
      <w:marBottom w:val="0"/>
      <w:divBdr>
        <w:top w:val="none" w:sz="0" w:space="0" w:color="auto"/>
        <w:left w:val="none" w:sz="0" w:space="0" w:color="auto"/>
        <w:bottom w:val="none" w:sz="0" w:space="0" w:color="auto"/>
        <w:right w:val="none" w:sz="0" w:space="0" w:color="auto"/>
      </w:divBdr>
    </w:div>
    <w:div w:id="1615940148">
      <w:bodyDiv w:val="1"/>
      <w:marLeft w:val="0"/>
      <w:marRight w:val="0"/>
      <w:marTop w:val="0"/>
      <w:marBottom w:val="0"/>
      <w:divBdr>
        <w:top w:val="none" w:sz="0" w:space="0" w:color="auto"/>
        <w:left w:val="none" w:sz="0" w:space="0" w:color="auto"/>
        <w:bottom w:val="none" w:sz="0" w:space="0" w:color="auto"/>
        <w:right w:val="none" w:sz="0" w:space="0" w:color="auto"/>
      </w:divBdr>
      <w:divsChild>
        <w:div w:id="1608125520">
          <w:marLeft w:val="0"/>
          <w:marRight w:val="0"/>
          <w:marTop w:val="0"/>
          <w:marBottom w:val="0"/>
          <w:divBdr>
            <w:top w:val="none" w:sz="0" w:space="0" w:color="auto"/>
            <w:left w:val="none" w:sz="0" w:space="0" w:color="auto"/>
            <w:bottom w:val="none" w:sz="0" w:space="0" w:color="auto"/>
            <w:right w:val="none" w:sz="0" w:space="0" w:color="auto"/>
          </w:divBdr>
          <w:divsChild>
            <w:div w:id="1062488495">
              <w:marLeft w:val="0"/>
              <w:marRight w:val="0"/>
              <w:marTop w:val="0"/>
              <w:marBottom w:val="0"/>
              <w:divBdr>
                <w:top w:val="none" w:sz="0" w:space="0" w:color="auto"/>
                <w:left w:val="none" w:sz="0" w:space="0" w:color="auto"/>
                <w:bottom w:val="none" w:sz="0" w:space="0" w:color="auto"/>
                <w:right w:val="none" w:sz="0" w:space="0" w:color="auto"/>
              </w:divBdr>
              <w:divsChild>
                <w:div w:id="1061756746">
                  <w:marLeft w:val="0"/>
                  <w:marRight w:val="0"/>
                  <w:marTop w:val="0"/>
                  <w:marBottom w:val="0"/>
                  <w:divBdr>
                    <w:top w:val="none" w:sz="0" w:space="0" w:color="auto"/>
                    <w:left w:val="none" w:sz="0" w:space="0" w:color="auto"/>
                    <w:bottom w:val="none" w:sz="0" w:space="0" w:color="auto"/>
                    <w:right w:val="none" w:sz="0" w:space="0" w:color="auto"/>
                  </w:divBdr>
                </w:div>
                <w:div w:id="157184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944796">
      <w:bodyDiv w:val="1"/>
      <w:marLeft w:val="0"/>
      <w:marRight w:val="0"/>
      <w:marTop w:val="0"/>
      <w:marBottom w:val="0"/>
      <w:divBdr>
        <w:top w:val="none" w:sz="0" w:space="0" w:color="auto"/>
        <w:left w:val="none" w:sz="0" w:space="0" w:color="auto"/>
        <w:bottom w:val="none" w:sz="0" w:space="0" w:color="auto"/>
        <w:right w:val="none" w:sz="0" w:space="0" w:color="auto"/>
      </w:divBdr>
    </w:div>
    <w:div w:id="1616323028">
      <w:bodyDiv w:val="1"/>
      <w:marLeft w:val="0"/>
      <w:marRight w:val="0"/>
      <w:marTop w:val="0"/>
      <w:marBottom w:val="0"/>
      <w:divBdr>
        <w:top w:val="none" w:sz="0" w:space="0" w:color="auto"/>
        <w:left w:val="none" w:sz="0" w:space="0" w:color="auto"/>
        <w:bottom w:val="none" w:sz="0" w:space="0" w:color="auto"/>
        <w:right w:val="none" w:sz="0" w:space="0" w:color="auto"/>
      </w:divBdr>
      <w:divsChild>
        <w:div w:id="1492911230">
          <w:marLeft w:val="0"/>
          <w:marRight w:val="0"/>
          <w:marTop w:val="0"/>
          <w:marBottom w:val="0"/>
          <w:divBdr>
            <w:top w:val="none" w:sz="0" w:space="0" w:color="auto"/>
            <w:left w:val="none" w:sz="0" w:space="0" w:color="auto"/>
            <w:bottom w:val="none" w:sz="0" w:space="0" w:color="auto"/>
            <w:right w:val="none" w:sz="0" w:space="0" w:color="auto"/>
          </w:divBdr>
          <w:divsChild>
            <w:div w:id="530799785">
              <w:marLeft w:val="0"/>
              <w:marRight w:val="0"/>
              <w:marTop w:val="0"/>
              <w:marBottom w:val="0"/>
              <w:divBdr>
                <w:top w:val="none" w:sz="0" w:space="0" w:color="auto"/>
                <w:left w:val="none" w:sz="0" w:space="0" w:color="auto"/>
                <w:bottom w:val="none" w:sz="0" w:space="0" w:color="auto"/>
                <w:right w:val="none" w:sz="0" w:space="0" w:color="auto"/>
              </w:divBdr>
              <w:divsChild>
                <w:div w:id="2096051928">
                  <w:marLeft w:val="0"/>
                  <w:marRight w:val="0"/>
                  <w:marTop w:val="0"/>
                  <w:marBottom w:val="0"/>
                  <w:divBdr>
                    <w:top w:val="none" w:sz="0" w:space="0" w:color="auto"/>
                    <w:left w:val="none" w:sz="0" w:space="0" w:color="auto"/>
                    <w:bottom w:val="none" w:sz="0" w:space="0" w:color="auto"/>
                    <w:right w:val="none" w:sz="0" w:space="0" w:color="auto"/>
                  </w:divBdr>
                  <w:divsChild>
                    <w:div w:id="3249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323854">
      <w:bodyDiv w:val="1"/>
      <w:marLeft w:val="0"/>
      <w:marRight w:val="0"/>
      <w:marTop w:val="0"/>
      <w:marBottom w:val="0"/>
      <w:divBdr>
        <w:top w:val="none" w:sz="0" w:space="0" w:color="auto"/>
        <w:left w:val="none" w:sz="0" w:space="0" w:color="auto"/>
        <w:bottom w:val="none" w:sz="0" w:space="0" w:color="auto"/>
        <w:right w:val="none" w:sz="0" w:space="0" w:color="auto"/>
      </w:divBdr>
    </w:div>
    <w:div w:id="1616643895">
      <w:bodyDiv w:val="1"/>
      <w:marLeft w:val="0"/>
      <w:marRight w:val="0"/>
      <w:marTop w:val="0"/>
      <w:marBottom w:val="0"/>
      <w:divBdr>
        <w:top w:val="none" w:sz="0" w:space="0" w:color="auto"/>
        <w:left w:val="none" w:sz="0" w:space="0" w:color="auto"/>
        <w:bottom w:val="none" w:sz="0" w:space="0" w:color="auto"/>
        <w:right w:val="none" w:sz="0" w:space="0" w:color="auto"/>
      </w:divBdr>
    </w:div>
    <w:div w:id="1617448231">
      <w:bodyDiv w:val="1"/>
      <w:marLeft w:val="0"/>
      <w:marRight w:val="0"/>
      <w:marTop w:val="0"/>
      <w:marBottom w:val="0"/>
      <w:divBdr>
        <w:top w:val="none" w:sz="0" w:space="0" w:color="auto"/>
        <w:left w:val="none" w:sz="0" w:space="0" w:color="auto"/>
        <w:bottom w:val="none" w:sz="0" w:space="0" w:color="auto"/>
        <w:right w:val="none" w:sz="0" w:space="0" w:color="auto"/>
      </w:divBdr>
    </w:div>
    <w:div w:id="1617521125">
      <w:bodyDiv w:val="1"/>
      <w:marLeft w:val="0"/>
      <w:marRight w:val="0"/>
      <w:marTop w:val="0"/>
      <w:marBottom w:val="0"/>
      <w:divBdr>
        <w:top w:val="none" w:sz="0" w:space="0" w:color="auto"/>
        <w:left w:val="none" w:sz="0" w:space="0" w:color="auto"/>
        <w:bottom w:val="none" w:sz="0" w:space="0" w:color="auto"/>
        <w:right w:val="none" w:sz="0" w:space="0" w:color="auto"/>
      </w:divBdr>
    </w:div>
    <w:div w:id="1617906065">
      <w:bodyDiv w:val="1"/>
      <w:marLeft w:val="0"/>
      <w:marRight w:val="0"/>
      <w:marTop w:val="0"/>
      <w:marBottom w:val="0"/>
      <w:divBdr>
        <w:top w:val="none" w:sz="0" w:space="0" w:color="auto"/>
        <w:left w:val="none" w:sz="0" w:space="0" w:color="auto"/>
        <w:bottom w:val="none" w:sz="0" w:space="0" w:color="auto"/>
        <w:right w:val="none" w:sz="0" w:space="0" w:color="auto"/>
      </w:divBdr>
    </w:div>
    <w:div w:id="1617979362">
      <w:bodyDiv w:val="1"/>
      <w:marLeft w:val="0"/>
      <w:marRight w:val="0"/>
      <w:marTop w:val="0"/>
      <w:marBottom w:val="0"/>
      <w:divBdr>
        <w:top w:val="none" w:sz="0" w:space="0" w:color="auto"/>
        <w:left w:val="none" w:sz="0" w:space="0" w:color="auto"/>
        <w:bottom w:val="none" w:sz="0" w:space="0" w:color="auto"/>
        <w:right w:val="none" w:sz="0" w:space="0" w:color="auto"/>
      </w:divBdr>
    </w:div>
    <w:div w:id="1619215665">
      <w:bodyDiv w:val="1"/>
      <w:marLeft w:val="0"/>
      <w:marRight w:val="0"/>
      <w:marTop w:val="0"/>
      <w:marBottom w:val="0"/>
      <w:divBdr>
        <w:top w:val="none" w:sz="0" w:space="0" w:color="auto"/>
        <w:left w:val="none" w:sz="0" w:space="0" w:color="auto"/>
        <w:bottom w:val="none" w:sz="0" w:space="0" w:color="auto"/>
        <w:right w:val="none" w:sz="0" w:space="0" w:color="auto"/>
      </w:divBdr>
    </w:div>
    <w:div w:id="1619292390">
      <w:bodyDiv w:val="1"/>
      <w:marLeft w:val="0"/>
      <w:marRight w:val="0"/>
      <w:marTop w:val="0"/>
      <w:marBottom w:val="0"/>
      <w:divBdr>
        <w:top w:val="none" w:sz="0" w:space="0" w:color="auto"/>
        <w:left w:val="none" w:sz="0" w:space="0" w:color="auto"/>
        <w:bottom w:val="none" w:sz="0" w:space="0" w:color="auto"/>
        <w:right w:val="none" w:sz="0" w:space="0" w:color="auto"/>
      </w:divBdr>
    </w:div>
    <w:div w:id="1619601484">
      <w:bodyDiv w:val="1"/>
      <w:marLeft w:val="0"/>
      <w:marRight w:val="0"/>
      <w:marTop w:val="0"/>
      <w:marBottom w:val="0"/>
      <w:divBdr>
        <w:top w:val="none" w:sz="0" w:space="0" w:color="auto"/>
        <w:left w:val="none" w:sz="0" w:space="0" w:color="auto"/>
        <w:bottom w:val="none" w:sz="0" w:space="0" w:color="auto"/>
        <w:right w:val="none" w:sz="0" w:space="0" w:color="auto"/>
      </w:divBdr>
    </w:div>
    <w:div w:id="1619797024">
      <w:bodyDiv w:val="1"/>
      <w:marLeft w:val="0"/>
      <w:marRight w:val="0"/>
      <w:marTop w:val="0"/>
      <w:marBottom w:val="0"/>
      <w:divBdr>
        <w:top w:val="none" w:sz="0" w:space="0" w:color="auto"/>
        <w:left w:val="none" w:sz="0" w:space="0" w:color="auto"/>
        <w:bottom w:val="none" w:sz="0" w:space="0" w:color="auto"/>
        <w:right w:val="none" w:sz="0" w:space="0" w:color="auto"/>
      </w:divBdr>
    </w:div>
    <w:div w:id="1621301184">
      <w:bodyDiv w:val="1"/>
      <w:marLeft w:val="0"/>
      <w:marRight w:val="0"/>
      <w:marTop w:val="0"/>
      <w:marBottom w:val="0"/>
      <w:divBdr>
        <w:top w:val="none" w:sz="0" w:space="0" w:color="auto"/>
        <w:left w:val="none" w:sz="0" w:space="0" w:color="auto"/>
        <w:bottom w:val="none" w:sz="0" w:space="0" w:color="auto"/>
        <w:right w:val="none" w:sz="0" w:space="0" w:color="auto"/>
      </w:divBdr>
    </w:div>
    <w:div w:id="1621381607">
      <w:bodyDiv w:val="1"/>
      <w:marLeft w:val="0"/>
      <w:marRight w:val="0"/>
      <w:marTop w:val="0"/>
      <w:marBottom w:val="0"/>
      <w:divBdr>
        <w:top w:val="none" w:sz="0" w:space="0" w:color="auto"/>
        <w:left w:val="none" w:sz="0" w:space="0" w:color="auto"/>
        <w:bottom w:val="none" w:sz="0" w:space="0" w:color="auto"/>
        <w:right w:val="none" w:sz="0" w:space="0" w:color="auto"/>
      </w:divBdr>
    </w:div>
    <w:div w:id="1621842504">
      <w:bodyDiv w:val="1"/>
      <w:marLeft w:val="0"/>
      <w:marRight w:val="0"/>
      <w:marTop w:val="0"/>
      <w:marBottom w:val="0"/>
      <w:divBdr>
        <w:top w:val="none" w:sz="0" w:space="0" w:color="auto"/>
        <w:left w:val="none" w:sz="0" w:space="0" w:color="auto"/>
        <w:bottom w:val="none" w:sz="0" w:space="0" w:color="auto"/>
        <w:right w:val="none" w:sz="0" w:space="0" w:color="auto"/>
      </w:divBdr>
    </w:div>
    <w:div w:id="1622112077">
      <w:bodyDiv w:val="1"/>
      <w:marLeft w:val="0"/>
      <w:marRight w:val="0"/>
      <w:marTop w:val="0"/>
      <w:marBottom w:val="0"/>
      <w:divBdr>
        <w:top w:val="none" w:sz="0" w:space="0" w:color="auto"/>
        <w:left w:val="none" w:sz="0" w:space="0" w:color="auto"/>
        <w:bottom w:val="none" w:sz="0" w:space="0" w:color="auto"/>
        <w:right w:val="none" w:sz="0" w:space="0" w:color="auto"/>
      </w:divBdr>
    </w:div>
    <w:div w:id="1622152963">
      <w:bodyDiv w:val="1"/>
      <w:marLeft w:val="0"/>
      <w:marRight w:val="0"/>
      <w:marTop w:val="0"/>
      <w:marBottom w:val="0"/>
      <w:divBdr>
        <w:top w:val="none" w:sz="0" w:space="0" w:color="auto"/>
        <w:left w:val="none" w:sz="0" w:space="0" w:color="auto"/>
        <w:bottom w:val="none" w:sz="0" w:space="0" w:color="auto"/>
        <w:right w:val="none" w:sz="0" w:space="0" w:color="auto"/>
      </w:divBdr>
    </w:div>
    <w:div w:id="1622296278">
      <w:bodyDiv w:val="1"/>
      <w:marLeft w:val="0"/>
      <w:marRight w:val="0"/>
      <w:marTop w:val="0"/>
      <w:marBottom w:val="0"/>
      <w:divBdr>
        <w:top w:val="none" w:sz="0" w:space="0" w:color="auto"/>
        <w:left w:val="none" w:sz="0" w:space="0" w:color="auto"/>
        <w:bottom w:val="none" w:sz="0" w:space="0" w:color="auto"/>
        <w:right w:val="none" w:sz="0" w:space="0" w:color="auto"/>
      </w:divBdr>
    </w:div>
    <w:div w:id="1623031154">
      <w:bodyDiv w:val="1"/>
      <w:marLeft w:val="0"/>
      <w:marRight w:val="0"/>
      <w:marTop w:val="0"/>
      <w:marBottom w:val="0"/>
      <w:divBdr>
        <w:top w:val="none" w:sz="0" w:space="0" w:color="auto"/>
        <w:left w:val="none" w:sz="0" w:space="0" w:color="auto"/>
        <w:bottom w:val="none" w:sz="0" w:space="0" w:color="auto"/>
        <w:right w:val="none" w:sz="0" w:space="0" w:color="auto"/>
      </w:divBdr>
      <w:divsChild>
        <w:div w:id="983193455">
          <w:marLeft w:val="0"/>
          <w:marRight w:val="0"/>
          <w:marTop w:val="0"/>
          <w:marBottom w:val="0"/>
          <w:divBdr>
            <w:top w:val="none" w:sz="0" w:space="0" w:color="auto"/>
            <w:left w:val="none" w:sz="0" w:space="0" w:color="auto"/>
            <w:bottom w:val="none" w:sz="0" w:space="0" w:color="auto"/>
            <w:right w:val="none" w:sz="0" w:space="0" w:color="auto"/>
          </w:divBdr>
          <w:divsChild>
            <w:div w:id="2079329155">
              <w:marLeft w:val="0"/>
              <w:marRight w:val="0"/>
              <w:marTop w:val="0"/>
              <w:marBottom w:val="0"/>
              <w:divBdr>
                <w:top w:val="none" w:sz="0" w:space="0" w:color="auto"/>
                <w:left w:val="none" w:sz="0" w:space="0" w:color="auto"/>
                <w:bottom w:val="none" w:sz="0" w:space="0" w:color="auto"/>
                <w:right w:val="none" w:sz="0" w:space="0" w:color="auto"/>
              </w:divBdr>
              <w:divsChild>
                <w:div w:id="283661344">
                  <w:marLeft w:val="0"/>
                  <w:marRight w:val="0"/>
                  <w:marTop w:val="0"/>
                  <w:marBottom w:val="0"/>
                  <w:divBdr>
                    <w:top w:val="none" w:sz="0" w:space="0" w:color="auto"/>
                    <w:left w:val="none" w:sz="0" w:space="0" w:color="auto"/>
                    <w:bottom w:val="none" w:sz="0" w:space="0" w:color="auto"/>
                    <w:right w:val="none" w:sz="0" w:space="0" w:color="auto"/>
                  </w:divBdr>
                  <w:divsChild>
                    <w:div w:id="6694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36120">
      <w:bodyDiv w:val="1"/>
      <w:marLeft w:val="0"/>
      <w:marRight w:val="0"/>
      <w:marTop w:val="0"/>
      <w:marBottom w:val="0"/>
      <w:divBdr>
        <w:top w:val="none" w:sz="0" w:space="0" w:color="auto"/>
        <w:left w:val="none" w:sz="0" w:space="0" w:color="auto"/>
        <w:bottom w:val="none" w:sz="0" w:space="0" w:color="auto"/>
        <w:right w:val="none" w:sz="0" w:space="0" w:color="auto"/>
      </w:divBdr>
    </w:div>
    <w:div w:id="1624189074">
      <w:bodyDiv w:val="1"/>
      <w:marLeft w:val="0"/>
      <w:marRight w:val="0"/>
      <w:marTop w:val="0"/>
      <w:marBottom w:val="0"/>
      <w:divBdr>
        <w:top w:val="none" w:sz="0" w:space="0" w:color="auto"/>
        <w:left w:val="none" w:sz="0" w:space="0" w:color="auto"/>
        <w:bottom w:val="none" w:sz="0" w:space="0" w:color="auto"/>
        <w:right w:val="none" w:sz="0" w:space="0" w:color="auto"/>
      </w:divBdr>
      <w:divsChild>
        <w:div w:id="95442002">
          <w:marLeft w:val="0"/>
          <w:marRight w:val="0"/>
          <w:marTop w:val="0"/>
          <w:marBottom w:val="0"/>
          <w:divBdr>
            <w:top w:val="none" w:sz="0" w:space="0" w:color="auto"/>
            <w:left w:val="none" w:sz="0" w:space="0" w:color="auto"/>
            <w:bottom w:val="none" w:sz="0" w:space="0" w:color="auto"/>
            <w:right w:val="none" w:sz="0" w:space="0" w:color="auto"/>
          </w:divBdr>
          <w:divsChild>
            <w:div w:id="1004670767">
              <w:marLeft w:val="0"/>
              <w:marRight w:val="0"/>
              <w:marTop w:val="0"/>
              <w:marBottom w:val="0"/>
              <w:divBdr>
                <w:top w:val="none" w:sz="0" w:space="0" w:color="auto"/>
                <w:left w:val="none" w:sz="0" w:space="0" w:color="auto"/>
                <w:bottom w:val="none" w:sz="0" w:space="0" w:color="auto"/>
                <w:right w:val="none" w:sz="0" w:space="0" w:color="auto"/>
              </w:divBdr>
              <w:divsChild>
                <w:div w:id="1586303482">
                  <w:marLeft w:val="0"/>
                  <w:marRight w:val="0"/>
                  <w:marTop w:val="0"/>
                  <w:marBottom w:val="0"/>
                  <w:divBdr>
                    <w:top w:val="none" w:sz="0" w:space="0" w:color="auto"/>
                    <w:left w:val="none" w:sz="0" w:space="0" w:color="auto"/>
                    <w:bottom w:val="none" w:sz="0" w:space="0" w:color="auto"/>
                    <w:right w:val="none" w:sz="0" w:space="0" w:color="auto"/>
                  </w:divBdr>
                  <w:divsChild>
                    <w:div w:id="94183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726859">
      <w:bodyDiv w:val="1"/>
      <w:marLeft w:val="0"/>
      <w:marRight w:val="0"/>
      <w:marTop w:val="0"/>
      <w:marBottom w:val="0"/>
      <w:divBdr>
        <w:top w:val="none" w:sz="0" w:space="0" w:color="auto"/>
        <w:left w:val="none" w:sz="0" w:space="0" w:color="auto"/>
        <w:bottom w:val="none" w:sz="0" w:space="0" w:color="auto"/>
        <w:right w:val="none" w:sz="0" w:space="0" w:color="auto"/>
      </w:divBdr>
    </w:div>
    <w:div w:id="1624965423">
      <w:bodyDiv w:val="1"/>
      <w:marLeft w:val="0"/>
      <w:marRight w:val="0"/>
      <w:marTop w:val="0"/>
      <w:marBottom w:val="0"/>
      <w:divBdr>
        <w:top w:val="none" w:sz="0" w:space="0" w:color="auto"/>
        <w:left w:val="none" w:sz="0" w:space="0" w:color="auto"/>
        <w:bottom w:val="none" w:sz="0" w:space="0" w:color="auto"/>
        <w:right w:val="none" w:sz="0" w:space="0" w:color="auto"/>
      </w:divBdr>
    </w:div>
    <w:div w:id="1626156437">
      <w:bodyDiv w:val="1"/>
      <w:marLeft w:val="0"/>
      <w:marRight w:val="0"/>
      <w:marTop w:val="0"/>
      <w:marBottom w:val="0"/>
      <w:divBdr>
        <w:top w:val="none" w:sz="0" w:space="0" w:color="auto"/>
        <w:left w:val="none" w:sz="0" w:space="0" w:color="auto"/>
        <w:bottom w:val="none" w:sz="0" w:space="0" w:color="auto"/>
        <w:right w:val="none" w:sz="0" w:space="0" w:color="auto"/>
      </w:divBdr>
    </w:div>
    <w:div w:id="1626540115">
      <w:bodyDiv w:val="1"/>
      <w:marLeft w:val="0"/>
      <w:marRight w:val="0"/>
      <w:marTop w:val="0"/>
      <w:marBottom w:val="0"/>
      <w:divBdr>
        <w:top w:val="none" w:sz="0" w:space="0" w:color="auto"/>
        <w:left w:val="none" w:sz="0" w:space="0" w:color="auto"/>
        <w:bottom w:val="none" w:sz="0" w:space="0" w:color="auto"/>
        <w:right w:val="none" w:sz="0" w:space="0" w:color="auto"/>
      </w:divBdr>
      <w:divsChild>
        <w:div w:id="699665404">
          <w:marLeft w:val="0"/>
          <w:marRight w:val="0"/>
          <w:marTop w:val="0"/>
          <w:marBottom w:val="0"/>
          <w:divBdr>
            <w:top w:val="none" w:sz="0" w:space="0" w:color="auto"/>
            <w:left w:val="none" w:sz="0" w:space="0" w:color="auto"/>
            <w:bottom w:val="none" w:sz="0" w:space="0" w:color="auto"/>
            <w:right w:val="none" w:sz="0" w:space="0" w:color="auto"/>
          </w:divBdr>
          <w:divsChild>
            <w:div w:id="1215039993">
              <w:marLeft w:val="0"/>
              <w:marRight w:val="0"/>
              <w:marTop w:val="0"/>
              <w:marBottom w:val="0"/>
              <w:divBdr>
                <w:top w:val="none" w:sz="0" w:space="0" w:color="auto"/>
                <w:left w:val="none" w:sz="0" w:space="0" w:color="auto"/>
                <w:bottom w:val="none" w:sz="0" w:space="0" w:color="auto"/>
                <w:right w:val="none" w:sz="0" w:space="0" w:color="auto"/>
              </w:divBdr>
              <w:divsChild>
                <w:div w:id="1446079821">
                  <w:marLeft w:val="0"/>
                  <w:marRight w:val="0"/>
                  <w:marTop w:val="0"/>
                  <w:marBottom w:val="0"/>
                  <w:divBdr>
                    <w:top w:val="none" w:sz="0" w:space="0" w:color="auto"/>
                    <w:left w:val="none" w:sz="0" w:space="0" w:color="auto"/>
                    <w:bottom w:val="none" w:sz="0" w:space="0" w:color="auto"/>
                    <w:right w:val="none" w:sz="0" w:space="0" w:color="auto"/>
                  </w:divBdr>
                  <w:divsChild>
                    <w:div w:id="15239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2931">
      <w:bodyDiv w:val="1"/>
      <w:marLeft w:val="0"/>
      <w:marRight w:val="0"/>
      <w:marTop w:val="0"/>
      <w:marBottom w:val="0"/>
      <w:divBdr>
        <w:top w:val="none" w:sz="0" w:space="0" w:color="auto"/>
        <w:left w:val="none" w:sz="0" w:space="0" w:color="auto"/>
        <w:bottom w:val="none" w:sz="0" w:space="0" w:color="auto"/>
        <w:right w:val="none" w:sz="0" w:space="0" w:color="auto"/>
      </w:divBdr>
    </w:div>
    <w:div w:id="1627003267">
      <w:bodyDiv w:val="1"/>
      <w:marLeft w:val="0"/>
      <w:marRight w:val="0"/>
      <w:marTop w:val="0"/>
      <w:marBottom w:val="0"/>
      <w:divBdr>
        <w:top w:val="none" w:sz="0" w:space="0" w:color="auto"/>
        <w:left w:val="none" w:sz="0" w:space="0" w:color="auto"/>
        <w:bottom w:val="none" w:sz="0" w:space="0" w:color="auto"/>
        <w:right w:val="none" w:sz="0" w:space="0" w:color="auto"/>
      </w:divBdr>
      <w:divsChild>
        <w:div w:id="391200691">
          <w:marLeft w:val="0"/>
          <w:marRight w:val="0"/>
          <w:marTop w:val="0"/>
          <w:marBottom w:val="0"/>
          <w:divBdr>
            <w:top w:val="none" w:sz="0" w:space="0" w:color="auto"/>
            <w:left w:val="none" w:sz="0" w:space="0" w:color="auto"/>
            <w:bottom w:val="none" w:sz="0" w:space="0" w:color="auto"/>
            <w:right w:val="none" w:sz="0" w:space="0" w:color="auto"/>
          </w:divBdr>
          <w:divsChild>
            <w:div w:id="1360011915">
              <w:marLeft w:val="0"/>
              <w:marRight w:val="0"/>
              <w:marTop w:val="0"/>
              <w:marBottom w:val="0"/>
              <w:divBdr>
                <w:top w:val="none" w:sz="0" w:space="0" w:color="auto"/>
                <w:left w:val="none" w:sz="0" w:space="0" w:color="auto"/>
                <w:bottom w:val="none" w:sz="0" w:space="0" w:color="auto"/>
                <w:right w:val="none" w:sz="0" w:space="0" w:color="auto"/>
              </w:divBdr>
              <w:divsChild>
                <w:div w:id="1667173846">
                  <w:marLeft w:val="0"/>
                  <w:marRight w:val="0"/>
                  <w:marTop w:val="0"/>
                  <w:marBottom w:val="0"/>
                  <w:divBdr>
                    <w:top w:val="none" w:sz="0" w:space="0" w:color="auto"/>
                    <w:left w:val="none" w:sz="0" w:space="0" w:color="auto"/>
                    <w:bottom w:val="none" w:sz="0" w:space="0" w:color="auto"/>
                    <w:right w:val="none" w:sz="0" w:space="0" w:color="auto"/>
                  </w:divBdr>
                </w:div>
              </w:divsChild>
            </w:div>
            <w:div w:id="1431314950">
              <w:marLeft w:val="0"/>
              <w:marRight w:val="0"/>
              <w:marTop w:val="0"/>
              <w:marBottom w:val="0"/>
              <w:divBdr>
                <w:top w:val="none" w:sz="0" w:space="0" w:color="auto"/>
                <w:left w:val="none" w:sz="0" w:space="0" w:color="auto"/>
                <w:bottom w:val="none" w:sz="0" w:space="0" w:color="auto"/>
                <w:right w:val="none" w:sz="0" w:space="0" w:color="auto"/>
              </w:divBdr>
              <w:divsChild>
                <w:div w:id="181940249">
                  <w:marLeft w:val="0"/>
                  <w:marRight w:val="0"/>
                  <w:marTop w:val="0"/>
                  <w:marBottom w:val="0"/>
                  <w:divBdr>
                    <w:top w:val="none" w:sz="0" w:space="0" w:color="auto"/>
                    <w:left w:val="none" w:sz="0" w:space="0" w:color="auto"/>
                    <w:bottom w:val="none" w:sz="0" w:space="0" w:color="auto"/>
                    <w:right w:val="none" w:sz="0" w:space="0" w:color="auto"/>
                  </w:divBdr>
                </w:div>
              </w:divsChild>
            </w:div>
            <w:div w:id="1578898350">
              <w:marLeft w:val="0"/>
              <w:marRight w:val="0"/>
              <w:marTop w:val="0"/>
              <w:marBottom w:val="0"/>
              <w:divBdr>
                <w:top w:val="none" w:sz="0" w:space="0" w:color="auto"/>
                <w:left w:val="none" w:sz="0" w:space="0" w:color="auto"/>
                <w:bottom w:val="none" w:sz="0" w:space="0" w:color="auto"/>
                <w:right w:val="none" w:sz="0" w:space="0" w:color="auto"/>
              </w:divBdr>
              <w:divsChild>
                <w:div w:id="137862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543567">
      <w:bodyDiv w:val="1"/>
      <w:marLeft w:val="0"/>
      <w:marRight w:val="0"/>
      <w:marTop w:val="0"/>
      <w:marBottom w:val="0"/>
      <w:divBdr>
        <w:top w:val="none" w:sz="0" w:space="0" w:color="auto"/>
        <w:left w:val="none" w:sz="0" w:space="0" w:color="auto"/>
        <w:bottom w:val="none" w:sz="0" w:space="0" w:color="auto"/>
        <w:right w:val="none" w:sz="0" w:space="0" w:color="auto"/>
      </w:divBdr>
      <w:divsChild>
        <w:div w:id="1235774350">
          <w:marLeft w:val="0"/>
          <w:marRight w:val="0"/>
          <w:marTop w:val="0"/>
          <w:marBottom w:val="0"/>
          <w:divBdr>
            <w:top w:val="none" w:sz="0" w:space="0" w:color="auto"/>
            <w:left w:val="none" w:sz="0" w:space="0" w:color="auto"/>
            <w:bottom w:val="none" w:sz="0" w:space="0" w:color="auto"/>
            <w:right w:val="none" w:sz="0" w:space="0" w:color="auto"/>
          </w:divBdr>
          <w:divsChild>
            <w:div w:id="1814711413">
              <w:marLeft w:val="0"/>
              <w:marRight w:val="0"/>
              <w:marTop w:val="0"/>
              <w:marBottom w:val="0"/>
              <w:divBdr>
                <w:top w:val="none" w:sz="0" w:space="0" w:color="auto"/>
                <w:left w:val="none" w:sz="0" w:space="0" w:color="auto"/>
                <w:bottom w:val="none" w:sz="0" w:space="0" w:color="auto"/>
                <w:right w:val="none" w:sz="0" w:space="0" w:color="auto"/>
              </w:divBdr>
              <w:divsChild>
                <w:div w:id="199151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08612">
      <w:bodyDiv w:val="1"/>
      <w:marLeft w:val="0"/>
      <w:marRight w:val="0"/>
      <w:marTop w:val="0"/>
      <w:marBottom w:val="0"/>
      <w:divBdr>
        <w:top w:val="none" w:sz="0" w:space="0" w:color="auto"/>
        <w:left w:val="none" w:sz="0" w:space="0" w:color="auto"/>
        <w:bottom w:val="none" w:sz="0" w:space="0" w:color="auto"/>
        <w:right w:val="none" w:sz="0" w:space="0" w:color="auto"/>
      </w:divBdr>
    </w:div>
    <w:div w:id="1627852716">
      <w:bodyDiv w:val="1"/>
      <w:marLeft w:val="0"/>
      <w:marRight w:val="0"/>
      <w:marTop w:val="0"/>
      <w:marBottom w:val="0"/>
      <w:divBdr>
        <w:top w:val="none" w:sz="0" w:space="0" w:color="auto"/>
        <w:left w:val="none" w:sz="0" w:space="0" w:color="auto"/>
        <w:bottom w:val="none" w:sz="0" w:space="0" w:color="auto"/>
        <w:right w:val="none" w:sz="0" w:space="0" w:color="auto"/>
      </w:divBdr>
    </w:div>
    <w:div w:id="1629122957">
      <w:bodyDiv w:val="1"/>
      <w:marLeft w:val="0"/>
      <w:marRight w:val="0"/>
      <w:marTop w:val="0"/>
      <w:marBottom w:val="0"/>
      <w:divBdr>
        <w:top w:val="none" w:sz="0" w:space="0" w:color="auto"/>
        <w:left w:val="none" w:sz="0" w:space="0" w:color="auto"/>
        <w:bottom w:val="none" w:sz="0" w:space="0" w:color="auto"/>
        <w:right w:val="none" w:sz="0" w:space="0" w:color="auto"/>
      </w:divBdr>
    </w:div>
    <w:div w:id="1629244375">
      <w:bodyDiv w:val="1"/>
      <w:marLeft w:val="0"/>
      <w:marRight w:val="0"/>
      <w:marTop w:val="0"/>
      <w:marBottom w:val="0"/>
      <w:divBdr>
        <w:top w:val="none" w:sz="0" w:space="0" w:color="auto"/>
        <w:left w:val="none" w:sz="0" w:space="0" w:color="auto"/>
        <w:bottom w:val="none" w:sz="0" w:space="0" w:color="auto"/>
        <w:right w:val="none" w:sz="0" w:space="0" w:color="auto"/>
      </w:divBdr>
    </w:div>
    <w:div w:id="1629697490">
      <w:bodyDiv w:val="1"/>
      <w:marLeft w:val="0"/>
      <w:marRight w:val="0"/>
      <w:marTop w:val="0"/>
      <w:marBottom w:val="0"/>
      <w:divBdr>
        <w:top w:val="none" w:sz="0" w:space="0" w:color="auto"/>
        <w:left w:val="none" w:sz="0" w:space="0" w:color="auto"/>
        <w:bottom w:val="none" w:sz="0" w:space="0" w:color="auto"/>
        <w:right w:val="none" w:sz="0" w:space="0" w:color="auto"/>
      </w:divBdr>
    </w:div>
    <w:div w:id="1629969668">
      <w:bodyDiv w:val="1"/>
      <w:marLeft w:val="0"/>
      <w:marRight w:val="0"/>
      <w:marTop w:val="0"/>
      <w:marBottom w:val="0"/>
      <w:divBdr>
        <w:top w:val="none" w:sz="0" w:space="0" w:color="auto"/>
        <w:left w:val="none" w:sz="0" w:space="0" w:color="auto"/>
        <w:bottom w:val="none" w:sz="0" w:space="0" w:color="auto"/>
        <w:right w:val="none" w:sz="0" w:space="0" w:color="auto"/>
      </w:divBdr>
    </w:div>
    <w:div w:id="1630624272">
      <w:bodyDiv w:val="1"/>
      <w:marLeft w:val="0"/>
      <w:marRight w:val="0"/>
      <w:marTop w:val="0"/>
      <w:marBottom w:val="0"/>
      <w:divBdr>
        <w:top w:val="none" w:sz="0" w:space="0" w:color="auto"/>
        <w:left w:val="none" w:sz="0" w:space="0" w:color="auto"/>
        <w:bottom w:val="none" w:sz="0" w:space="0" w:color="auto"/>
        <w:right w:val="none" w:sz="0" w:space="0" w:color="auto"/>
      </w:divBdr>
    </w:div>
    <w:div w:id="1631745617">
      <w:bodyDiv w:val="1"/>
      <w:marLeft w:val="0"/>
      <w:marRight w:val="0"/>
      <w:marTop w:val="0"/>
      <w:marBottom w:val="0"/>
      <w:divBdr>
        <w:top w:val="none" w:sz="0" w:space="0" w:color="auto"/>
        <w:left w:val="none" w:sz="0" w:space="0" w:color="auto"/>
        <w:bottom w:val="none" w:sz="0" w:space="0" w:color="auto"/>
        <w:right w:val="none" w:sz="0" w:space="0" w:color="auto"/>
      </w:divBdr>
      <w:divsChild>
        <w:div w:id="1552303478">
          <w:marLeft w:val="0"/>
          <w:marRight w:val="0"/>
          <w:marTop w:val="0"/>
          <w:marBottom w:val="0"/>
          <w:divBdr>
            <w:top w:val="none" w:sz="0" w:space="0" w:color="auto"/>
            <w:left w:val="none" w:sz="0" w:space="0" w:color="auto"/>
            <w:bottom w:val="none" w:sz="0" w:space="0" w:color="auto"/>
            <w:right w:val="none" w:sz="0" w:space="0" w:color="auto"/>
          </w:divBdr>
          <w:divsChild>
            <w:div w:id="705330107">
              <w:marLeft w:val="0"/>
              <w:marRight w:val="0"/>
              <w:marTop w:val="0"/>
              <w:marBottom w:val="0"/>
              <w:divBdr>
                <w:top w:val="none" w:sz="0" w:space="0" w:color="auto"/>
                <w:left w:val="none" w:sz="0" w:space="0" w:color="auto"/>
                <w:bottom w:val="none" w:sz="0" w:space="0" w:color="auto"/>
                <w:right w:val="none" w:sz="0" w:space="0" w:color="auto"/>
              </w:divBdr>
              <w:divsChild>
                <w:div w:id="1113937353">
                  <w:marLeft w:val="0"/>
                  <w:marRight w:val="0"/>
                  <w:marTop w:val="0"/>
                  <w:marBottom w:val="0"/>
                  <w:divBdr>
                    <w:top w:val="none" w:sz="0" w:space="0" w:color="auto"/>
                    <w:left w:val="none" w:sz="0" w:space="0" w:color="auto"/>
                    <w:bottom w:val="none" w:sz="0" w:space="0" w:color="auto"/>
                    <w:right w:val="none" w:sz="0" w:space="0" w:color="auto"/>
                  </w:divBdr>
                  <w:divsChild>
                    <w:div w:id="96438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856321">
      <w:bodyDiv w:val="1"/>
      <w:marLeft w:val="0"/>
      <w:marRight w:val="0"/>
      <w:marTop w:val="0"/>
      <w:marBottom w:val="0"/>
      <w:divBdr>
        <w:top w:val="none" w:sz="0" w:space="0" w:color="auto"/>
        <w:left w:val="none" w:sz="0" w:space="0" w:color="auto"/>
        <w:bottom w:val="none" w:sz="0" w:space="0" w:color="auto"/>
        <w:right w:val="none" w:sz="0" w:space="0" w:color="auto"/>
      </w:divBdr>
    </w:div>
    <w:div w:id="1632396328">
      <w:bodyDiv w:val="1"/>
      <w:marLeft w:val="0"/>
      <w:marRight w:val="0"/>
      <w:marTop w:val="0"/>
      <w:marBottom w:val="0"/>
      <w:divBdr>
        <w:top w:val="none" w:sz="0" w:space="0" w:color="auto"/>
        <w:left w:val="none" w:sz="0" w:space="0" w:color="auto"/>
        <w:bottom w:val="none" w:sz="0" w:space="0" w:color="auto"/>
        <w:right w:val="none" w:sz="0" w:space="0" w:color="auto"/>
      </w:divBdr>
      <w:divsChild>
        <w:div w:id="1905798777">
          <w:marLeft w:val="0"/>
          <w:marRight w:val="0"/>
          <w:marTop w:val="0"/>
          <w:marBottom w:val="0"/>
          <w:divBdr>
            <w:top w:val="none" w:sz="0" w:space="0" w:color="auto"/>
            <w:left w:val="none" w:sz="0" w:space="0" w:color="auto"/>
            <w:bottom w:val="none" w:sz="0" w:space="0" w:color="auto"/>
            <w:right w:val="none" w:sz="0" w:space="0" w:color="auto"/>
          </w:divBdr>
          <w:divsChild>
            <w:div w:id="723337133">
              <w:marLeft w:val="0"/>
              <w:marRight w:val="0"/>
              <w:marTop w:val="0"/>
              <w:marBottom w:val="0"/>
              <w:divBdr>
                <w:top w:val="none" w:sz="0" w:space="0" w:color="auto"/>
                <w:left w:val="none" w:sz="0" w:space="0" w:color="auto"/>
                <w:bottom w:val="none" w:sz="0" w:space="0" w:color="auto"/>
                <w:right w:val="none" w:sz="0" w:space="0" w:color="auto"/>
              </w:divBdr>
              <w:divsChild>
                <w:div w:id="1420249061">
                  <w:marLeft w:val="0"/>
                  <w:marRight w:val="0"/>
                  <w:marTop w:val="0"/>
                  <w:marBottom w:val="0"/>
                  <w:divBdr>
                    <w:top w:val="none" w:sz="0" w:space="0" w:color="auto"/>
                    <w:left w:val="none" w:sz="0" w:space="0" w:color="auto"/>
                    <w:bottom w:val="none" w:sz="0" w:space="0" w:color="auto"/>
                    <w:right w:val="none" w:sz="0" w:space="0" w:color="auto"/>
                  </w:divBdr>
                  <w:divsChild>
                    <w:div w:id="153577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401430">
      <w:bodyDiv w:val="1"/>
      <w:marLeft w:val="0"/>
      <w:marRight w:val="0"/>
      <w:marTop w:val="0"/>
      <w:marBottom w:val="0"/>
      <w:divBdr>
        <w:top w:val="none" w:sz="0" w:space="0" w:color="auto"/>
        <w:left w:val="none" w:sz="0" w:space="0" w:color="auto"/>
        <w:bottom w:val="none" w:sz="0" w:space="0" w:color="auto"/>
        <w:right w:val="none" w:sz="0" w:space="0" w:color="auto"/>
      </w:divBdr>
    </w:div>
    <w:div w:id="1632665339">
      <w:bodyDiv w:val="1"/>
      <w:marLeft w:val="0"/>
      <w:marRight w:val="0"/>
      <w:marTop w:val="0"/>
      <w:marBottom w:val="0"/>
      <w:divBdr>
        <w:top w:val="none" w:sz="0" w:space="0" w:color="auto"/>
        <w:left w:val="none" w:sz="0" w:space="0" w:color="auto"/>
        <w:bottom w:val="none" w:sz="0" w:space="0" w:color="auto"/>
        <w:right w:val="none" w:sz="0" w:space="0" w:color="auto"/>
      </w:divBdr>
    </w:div>
    <w:div w:id="1632976089">
      <w:bodyDiv w:val="1"/>
      <w:marLeft w:val="0"/>
      <w:marRight w:val="0"/>
      <w:marTop w:val="0"/>
      <w:marBottom w:val="0"/>
      <w:divBdr>
        <w:top w:val="none" w:sz="0" w:space="0" w:color="auto"/>
        <w:left w:val="none" w:sz="0" w:space="0" w:color="auto"/>
        <w:bottom w:val="none" w:sz="0" w:space="0" w:color="auto"/>
        <w:right w:val="none" w:sz="0" w:space="0" w:color="auto"/>
      </w:divBdr>
    </w:div>
    <w:div w:id="1633317832">
      <w:bodyDiv w:val="1"/>
      <w:marLeft w:val="0"/>
      <w:marRight w:val="0"/>
      <w:marTop w:val="0"/>
      <w:marBottom w:val="0"/>
      <w:divBdr>
        <w:top w:val="none" w:sz="0" w:space="0" w:color="auto"/>
        <w:left w:val="none" w:sz="0" w:space="0" w:color="auto"/>
        <w:bottom w:val="none" w:sz="0" w:space="0" w:color="auto"/>
        <w:right w:val="none" w:sz="0" w:space="0" w:color="auto"/>
      </w:divBdr>
    </w:div>
    <w:div w:id="1633905585">
      <w:bodyDiv w:val="1"/>
      <w:marLeft w:val="0"/>
      <w:marRight w:val="0"/>
      <w:marTop w:val="0"/>
      <w:marBottom w:val="0"/>
      <w:divBdr>
        <w:top w:val="none" w:sz="0" w:space="0" w:color="auto"/>
        <w:left w:val="none" w:sz="0" w:space="0" w:color="auto"/>
        <w:bottom w:val="none" w:sz="0" w:space="0" w:color="auto"/>
        <w:right w:val="none" w:sz="0" w:space="0" w:color="auto"/>
      </w:divBdr>
    </w:div>
    <w:div w:id="1634022981">
      <w:bodyDiv w:val="1"/>
      <w:marLeft w:val="0"/>
      <w:marRight w:val="0"/>
      <w:marTop w:val="0"/>
      <w:marBottom w:val="0"/>
      <w:divBdr>
        <w:top w:val="none" w:sz="0" w:space="0" w:color="auto"/>
        <w:left w:val="none" w:sz="0" w:space="0" w:color="auto"/>
        <w:bottom w:val="none" w:sz="0" w:space="0" w:color="auto"/>
        <w:right w:val="none" w:sz="0" w:space="0" w:color="auto"/>
      </w:divBdr>
    </w:div>
    <w:div w:id="1634824025">
      <w:bodyDiv w:val="1"/>
      <w:marLeft w:val="0"/>
      <w:marRight w:val="0"/>
      <w:marTop w:val="0"/>
      <w:marBottom w:val="0"/>
      <w:divBdr>
        <w:top w:val="none" w:sz="0" w:space="0" w:color="auto"/>
        <w:left w:val="none" w:sz="0" w:space="0" w:color="auto"/>
        <w:bottom w:val="none" w:sz="0" w:space="0" w:color="auto"/>
        <w:right w:val="none" w:sz="0" w:space="0" w:color="auto"/>
      </w:divBdr>
    </w:div>
    <w:div w:id="1635062296">
      <w:bodyDiv w:val="1"/>
      <w:marLeft w:val="0"/>
      <w:marRight w:val="0"/>
      <w:marTop w:val="0"/>
      <w:marBottom w:val="0"/>
      <w:divBdr>
        <w:top w:val="none" w:sz="0" w:space="0" w:color="auto"/>
        <w:left w:val="none" w:sz="0" w:space="0" w:color="auto"/>
        <w:bottom w:val="none" w:sz="0" w:space="0" w:color="auto"/>
        <w:right w:val="none" w:sz="0" w:space="0" w:color="auto"/>
      </w:divBdr>
    </w:div>
    <w:div w:id="1635671682">
      <w:bodyDiv w:val="1"/>
      <w:marLeft w:val="0"/>
      <w:marRight w:val="0"/>
      <w:marTop w:val="0"/>
      <w:marBottom w:val="0"/>
      <w:divBdr>
        <w:top w:val="none" w:sz="0" w:space="0" w:color="auto"/>
        <w:left w:val="none" w:sz="0" w:space="0" w:color="auto"/>
        <w:bottom w:val="none" w:sz="0" w:space="0" w:color="auto"/>
        <w:right w:val="none" w:sz="0" w:space="0" w:color="auto"/>
      </w:divBdr>
      <w:divsChild>
        <w:div w:id="1204053212">
          <w:marLeft w:val="0"/>
          <w:marRight w:val="0"/>
          <w:marTop w:val="0"/>
          <w:marBottom w:val="0"/>
          <w:divBdr>
            <w:top w:val="none" w:sz="0" w:space="0" w:color="auto"/>
            <w:left w:val="none" w:sz="0" w:space="0" w:color="auto"/>
            <w:bottom w:val="none" w:sz="0" w:space="0" w:color="auto"/>
            <w:right w:val="none" w:sz="0" w:space="0" w:color="auto"/>
          </w:divBdr>
          <w:divsChild>
            <w:div w:id="936326032">
              <w:marLeft w:val="0"/>
              <w:marRight w:val="0"/>
              <w:marTop w:val="0"/>
              <w:marBottom w:val="0"/>
              <w:divBdr>
                <w:top w:val="none" w:sz="0" w:space="0" w:color="auto"/>
                <w:left w:val="none" w:sz="0" w:space="0" w:color="auto"/>
                <w:bottom w:val="none" w:sz="0" w:space="0" w:color="auto"/>
                <w:right w:val="none" w:sz="0" w:space="0" w:color="auto"/>
              </w:divBdr>
              <w:divsChild>
                <w:div w:id="1792939992">
                  <w:marLeft w:val="0"/>
                  <w:marRight w:val="0"/>
                  <w:marTop w:val="0"/>
                  <w:marBottom w:val="0"/>
                  <w:divBdr>
                    <w:top w:val="none" w:sz="0" w:space="0" w:color="auto"/>
                    <w:left w:val="none" w:sz="0" w:space="0" w:color="auto"/>
                    <w:bottom w:val="none" w:sz="0" w:space="0" w:color="auto"/>
                    <w:right w:val="none" w:sz="0" w:space="0" w:color="auto"/>
                  </w:divBdr>
                </w:div>
              </w:divsChild>
            </w:div>
            <w:div w:id="1342589867">
              <w:marLeft w:val="0"/>
              <w:marRight w:val="0"/>
              <w:marTop w:val="0"/>
              <w:marBottom w:val="0"/>
              <w:divBdr>
                <w:top w:val="none" w:sz="0" w:space="0" w:color="auto"/>
                <w:left w:val="none" w:sz="0" w:space="0" w:color="auto"/>
                <w:bottom w:val="none" w:sz="0" w:space="0" w:color="auto"/>
                <w:right w:val="none" w:sz="0" w:space="0" w:color="auto"/>
              </w:divBdr>
              <w:divsChild>
                <w:div w:id="768357999">
                  <w:marLeft w:val="0"/>
                  <w:marRight w:val="0"/>
                  <w:marTop w:val="0"/>
                  <w:marBottom w:val="0"/>
                  <w:divBdr>
                    <w:top w:val="none" w:sz="0" w:space="0" w:color="auto"/>
                    <w:left w:val="none" w:sz="0" w:space="0" w:color="auto"/>
                    <w:bottom w:val="none" w:sz="0" w:space="0" w:color="auto"/>
                    <w:right w:val="none" w:sz="0" w:space="0" w:color="auto"/>
                  </w:divBdr>
                </w:div>
              </w:divsChild>
            </w:div>
            <w:div w:id="1518226225">
              <w:marLeft w:val="0"/>
              <w:marRight w:val="0"/>
              <w:marTop w:val="0"/>
              <w:marBottom w:val="0"/>
              <w:divBdr>
                <w:top w:val="none" w:sz="0" w:space="0" w:color="auto"/>
                <w:left w:val="none" w:sz="0" w:space="0" w:color="auto"/>
                <w:bottom w:val="none" w:sz="0" w:space="0" w:color="auto"/>
                <w:right w:val="none" w:sz="0" w:space="0" w:color="auto"/>
              </w:divBdr>
              <w:divsChild>
                <w:div w:id="8055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794241">
      <w:bodyDiv w:val="1"/>
      <w:marLeft w:val="0"/>
      <w:marRight w:val="0"/>
      <w:marTop w:val="0"/>
      <w:marBottom w:val="0"/>
      <w:divBdr>
        <w:top w:val="none" w:sz="0" w:space="0" w:color="auto"/>
        <w:left w:val="none" w:sz="0" w:space="0" w:color="auto"/>
        <w:bottom w:val="none" w:sz="0" w:space="0" w:color="auto"/>
        <w:right w:val="none" w:sz="0" w:space="0" w:color="auto"/>
      </w:divBdr>
      <w:divsChild>
        <w:div w:id="55250267">
          <w:marLeft w:val="0"/>
          <w:marRight w:val="0"/>
          <w:marTop w:val="0"/>
          <w:marBottom w:val="0"/>
          <w:divBdr>
            <w:top w:val="none" w:sz="0" w:space="0" w:color="auto"/>
            <w:left w:val="none" w:sz="0" w:space="0" w:color="auto"/>
            <w:bottom w:val="none" w:sz="0" w:space="0" w:color="auto"/>
            <w:right w:val="none" w:sz="0" w:space="0" w:color="auto"/>
          </w:divBdr>
          <w:divsChild>
            <w:div w:id="369379296">
              <w:marLeft w:val="0"/>
              <w:marRight w:val="0"/>
              <w:marTop w:val="0"/>
              <w:marBottom w:val="0"/>
              <w:divBdr>
                <w:top w:val="none" w:sz="0" w:space="0" w:color="auto"/>
                <w:left w:val="none" w:sz="0" w:space="0" w:color="auto"/>
                <w:bottom w:val="none" w:sz="0" w:space="0" w:color="auto"/>
                <w:right w:val="none" w:sz="0" w:space="0" w:color="auto"/>
              </w:divBdr>
              <w:divsChild>
                <w:div w:id="1195312426">
                  <w:marLeft w:val="0"/>
                  <w:marRight w:val="0"/>
                  <w:marTop w:val="0"/>
                  <w:marBottom w:val="0"/>
                  <w:divBdr>
                    <w:top w:val="none" w:sz="0" w:space="0" w:color="auto"/>
                    <w:left w:val="none" w:sz="0" w:space="0" w:color="auto"/>
                    <w:bottom w:val="none" w:sz="0" w:space="0" w:color="auto"/>
                    <w:right w:val="none" w:sz="0" w:space="0" w:color="auto"/>
                  </w:divBdr>
                  <w:divsChild>
                    <w:div w:id="184936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61316">
      <w:bodyDiv w:val="1"/>
      <w:marLeft w:val="0"/>
      <w:marRight w:val="0"/>
      <w:marTop w:val="0"/>
      <w:marBottom w:val="0"/>
      <w:divBdr>
        <w:top w:val="none" w:sz="0" w:space="0" w:color="auto"/>
        <w:left w:val="none" w:sz="0" w:space="0" w:color="auto"/>
        <w:bottom w:val="none" w:sz="0" w:space="0" w:color="auto"/>
        <w:right w:val="none" w:sz="0" w:space="0" w:color="auto"/>
      </w:divBdr>
    </w:div>
    <w:div w:id="1636793317">
      <w:bodyDiv w:val="1"/>
      <w:marLeft w:val="0"/>
      <w:marRight w:val="0"/>
      <w:marTop w:val="0"/>
      <w:marBottom w:val="0"/>
      <w:divBdr>
        <w:top w:val="none" w:sz="0" w:space="0" w:color="auto"/>
        <w:left w:val="none" w:sz="0" w:space="0" w:color="auto"/>
        <w:bottom w:val="none" w:sz="0" w:space="0" w:color="auto"/>
        <w:right w:val="none" w:sz="0" w:space="0" w:color="auto"/>
      </w:divBdr>
    </w:div>
    <w:div w:id="1636982029">
      <w:bodyDiv w:val="1"/>
      <w:marLeft w:val="0"/>
      <w:marRight w:val="0"/>
      <w:marTop w:val="0"/>
      <w:marBottom w:val="0"/>
      <w:divBdr>
        <w:top w:val="none" w:sz="0" w:space="0" w:color="auto"/>
        <w:left w:val="none" w:sz="0" w:space="0" w:color="auto"/>
        <w:bottom w:val="none" w:sz="0" w:space="0" w:color="auto"/>
        <w:right w:val="none" w:sz="0" w:space="0" w:color="auto"/>
      </w:divBdr>
    </w:div>
    <w:div w:id="1637566984">
      <w:bodyDiv w:val="1"/>
      <w:marLeft w:val="0"/>
      <w:marRight w:val="0"/>
      <w:marTop w:val="0"/>
      <w:marBottom w:val="0"/>
      <w:divBdr>
        <w:top w:val="none" w:sz="0" w:space="0" w:color="auto"/>
        <w:left w:val="none" w:sz="0" w:space="0" w:color="auto"/>
        <w:bottom w:val="none" w:sz="0" w:space="0" w:color="auto"/>
        <w:right w:val="none" w:sz="0" w:space="0" w:color="auto"/>
      </w:divBdr>
    </w:div>
    <w:div w:id="1638291159">
      <w:bodyDiv w:val="1"/>
      <w:marLeft w:val="0"/>
      <w:marRight w:val="0"/>
      <w:marTop w:val="0"/>
      <w:marBottom w:val="0"/>
      <w:divBdr>
        <w:top w:val="none" w:sz="0" w:space="0" w:color="auto"/>
        <w:left w:val="none" w:sz="0" w:space="0" w:color="auto"/>
        <w:bottom w:val="none" w:sz="0" w:space="0" w:color="auto"/>
        <w:right w:val="none" w:sz="0" w:space="0" w:color="auto"/>
      </w:divBdr>
    </w:div>
    <w:div w:id="1638415825">
      <w:bodyDiv w:val="1"/>
      <w:marLeft w:val="0"/>
      <w:marRight w:val="0"/>
      <w:marTop w:val="0"/>
      <w:marBottom w:val="0"/>
      <w:divBdr>
        <w:top w:val="none" w:sz="0" w:space="0" w:color="auto"/>
        <w:left w:val="none" w:sz="0" w:space="0" w:color="auto"/>
        <w:bottom w:val="none" w:sz="0" w:space="0" w:color="auto"/>
        <w:right w:val="none" w:sz="0" w:space="0" w:color="auto"/>
      </w:divBdr>
    </w:div>
    <w:div w:id="1638532820">
      <w:bodyDiv w:val="1"/>
      <w:marLeft w:val="0"/>
      <w:marRight w:val="0"/>
      <w:marTop w:val="0"/>
      <w:marBottom w:val="0"/>
      <w:divBdr>
        <w:top w:val="none" w:sz="0" w:space="0" w:color="auto"/>
        <w:left w:val="none" w:sz="0" w:space="0" w:color="auto"/>
        <w:bottom w:val="none" w:sz="0" w:space="0" w:color="auto"/>
        <w:right w:val="none" w:sz="0" w:space="0" w:color="auto"/>
      </w:divBdr>
    </w:div>
    <w:div w:id="1638990979">
      <w:bodyDiv w:val="1"/>
      <w:marLeft w:val="0"/>
      <w:marRight w:val="0"/>
      <w:marTop w:val="0"/>
      <w:marBottom w:val="0"/>
      <w:divBdr>
        <w:top w:val="none" w:sz="0" w:space="0" w:color="auto"/>
        <w:left w:val="none" w:sz="0" w:space="0" w:color="auto"/>
        <w:bottom w:val="none" w:sz="0" w:space="0" w:color="auto"/>
        <w:right w:val="none" w:sz="0" w:space="0" w:color="auto"/>
      </w:divBdr>
      <w:divsChild>
        <w:div w:id="678628652">
          <w:marLeft w:val="0"/>
          <w:marRight w:val="0"/>
          <w:marTop w:val="0"/>
          <w:marBottom w:val="0"/>
          <w:divBdr>
            <w:top w:val="none" w:sz="0" w:space="0" w:color="auto"/>
            <w:left w:val="none" w:sz="0" w:space="0" w:color="auto"/>
            <w:bottom w:val="none" w:sz="0" w:space="0" w:color="auto"/>
            <w:right w:val="none" w:sz="0" w:space="0" w:color="auto"/>
          </w:divBdr>
          <w:divsChild>
            <w:div w:id="1842430328">
              <w:marLeft w:val="0"/>
              <w:marRight w:val="0"/>
              <w:marTop w:val="0"/>
              <w:marBottom w:val="0"/>
              <w:divBdr>
                <w:top w:val="none" w:sz="0" w:space="0" w:color="auto"/>
                <w:left w:val="none" w:sz="0" w:space="0" w:color="auto"/>
                <w:bottom w:val="none" w:sz="0" w:space="0" w:color="auto"/>
                <w:right w:val="none" w:sz="0" w:space="0" w:color="auto"/>
              </w:divBdr>
              <w:divsChild>
                <w:div w:id="1096823117">
                  <w:marLeft w:val="0"/>
                  <w:marRight w:val="0"/>
                  <w:marTop w:val="0"/>
                  <w:marBottom w:val="0"/>
                  <w:divBdr>
                    <w:top w:val="none" w:sz="0" w:space="0" w:color="auto"/>
                    <w:left w:val="none" w:sz="0" w:space="0" w:color="auto"/>
                    <w:bottom w:val="none" w:sz="0" w:space="0" w:color="auto"/>
                    <w:right w:val="none" w:sz="0" w:space="0" w:color="auto"/>
                  </w:divBdr>
                  <w:divsChild>
                    <w:div w:id="11605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066570">
      <w:bodyDiv w:val="1"/>
      <w:marLeft w:val="0"/>
      <w:marRight w:val="0"/>
      <w:marTop w:val="0"/>
      <w:marBottom w:val="0"/>
      <w:divBdr>
        <w:top w:val="none" w:sz="0" w:space="0" w:color="auto"/>
        <w:left w:val="none" w:sz="0" w:space="0" w:color="auto"/>
        <w:bottom w:val="none" w:sz="0" w:space="0" w:color="auto"/>
        <w:right w:val="none" w:sz="0" w:space="0" w:color="auto"/>
      </w:divBdr>
    </w:div>
    <w:div w:id="1639605043">
      <w:bodyDiv w:val="1"/>
      <w:marLeft w:val="0"/>
      <w:marRight w:val="0"/>
      <w:marTop w:val="0"/>
      <w:marBottom w:val="0"/>
      <w:divBdr>
        <w:top w:val="none" w:sz="0" w:space="0" w:color="auto"/>
        <w:left w:val="none" w:sz="0" w:space="0" w:color="auto"/>
        <w:bottom w:val="none" w:sz="0" w:space="0" w:color="auto"/>
        <w:right w:val="none" w:sz="0" w:space="0" w:color="auto"/>
      </w:divBdr>
    </w:div>
    <w:div w:id="1640109974">
      <w:bodyDiv w:val="1"/>
      <w:marLeft w:val="0"/>
      <w:marRight w:val="0"/>
      <w:marTop w:val="0"/>
      <w:marBottom w:val="0"/>
      <w:divBdr>
        <w:top w:val="none" w:sz="0" w:space="0" w:color="auto"/>
        <w:left w:val="none" w:sz="0" w:space="0" w:color="auto"/>
        <w:bottom w:val="none" w:sz="0" w:space="0" w:color="auto"/>
        <w:right w:val="none" w:sz="0" w:space="0" w:color="auto"/>
      </w:divBdr>
      <w:divsChild>
        <w:div w:id="1172454967">
          <w:marLeft w:val="0"/>
          <w:marRight w:val="0"/>
          <w:marTop w:val="0"/>
          <w:marBottom w:val="0"/>
          <w:divBdr>
            <w:top w:val="none" w:sz="0" w:space="0" w:color="auto"/>
            <w:left w:val="none" w:sz="0" w:space="0" w:color="auto"/>
            <w:bottom w:val="none" w:sz="0" w:space="0" w:color="auto"/>
            <w:right w:val="none" w:sz="0" w:space="0" w:color="auto"/>
          </w:divBdr>
          <w:divsChild>
            <w:div w:id="690913030">
              <w:marLeft w:val="0"/>
              <w:marRight w:val="0"/>
              <w:marTop w:val="0"/>
              <w:marBottom w:val="0"/>
              <w:divBdr>
                <w:top w:val="none" w:sz="0" w:space="0" w:color="auto"/>
                <w:left w:val="none" w:sz="0" w:space="0" w:color="auto"/>
                <w:bottom w:val="none" w:sz="0" w:space="0" w:color="auto"/>
                <w:right w:val="none" w:sz="0" w:space="0" w:color="auto"/>
              </w:divBdr>
              <w:divsChild>
                <w:div w:id="2037583851">
                  <w:marLeft w:val="0"/>
                  <w:marRight w:val="0"/>
                  <w:marTop w:val="0"/>
                  <w:marBottom w:val="0"/>
                  <w:divBdr>
                    <w:top w:val="none" w:sz="0" w:space="0" w:color="auto"/>
                    <w:left w:val="none" w:sz="0" w:space="0" w:color="auto"/>
                    <w:bottom w:val="none" w:sz="0" w:space="0" w:color="auto"/>
                    <w:right w:val="none" w:sz="0" w:space="0" w:color="auto"/>
                  </w:divBdr>
                  <w:divsChild>
                    <w:div w:id="10624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115428">
      <w:bodyDiv w:val="1"/>
      <w:marLeft w:val="0"/>
      <w:marRight w:val="0"/>
      <w:marTop w:val="0"/>
      <w:marBottom w:val="0"/>
      <w:divBdr>
        <w:top w:val="none" w:sz="0" w:space="0" w:color="auto"/>
        <w:left w:val="none" w:sz="0" w:space="0" w:color="auto"/>
        <w:bottom w:val="none" w:sz="0" w:space="0" w:color="auto"/>
        <w:right w:val="none" w:sz="0" w:space="0" w:color="auto"/>
      </w:divBdr>
    </w:div>
    <w:div w:id="1641155857">
      <w:bodyDiv w:val="1"/>
      <w:marLeft w:val="0"/>
      <w:marRight w:val="0"/>
      <w:marTop w:val="0"/>
      <w:marBottom w:val="0"/>
      <w:divBdr>
        <w:top w:val="none" w:sz="0" w:space="0" w:color="auto"/>
        <w:left w:val="none" w:sz="0" w:space="0" w:color="auto"/>
        <w:bottom w:val="none" w:sz="0" w:space="0" w:color="auto"/>
        <w:right w:val="none" w:sz="0" w:space="0" w:color="auto"/>
      </w:divBdr>
      <w:divsChild>
        <w:div w:id="2053571817">
          <w:marLeft w:val="0"/>
          <w:marRight w:val="0"/>
          <w:marTop w:val="0"/>
          <w:marBottom w:val="0"/>
          <w:divBdr>
            <w:top w:val="none" w:sz="0" w:space="0" w:color="auto"/>
            <w:left w:val="none" w:sz="0" w:space="0" w:color="auto"/>
            <w:bottom w:val="none" w:sz="0" w:space="0" w:color="auto"/>
            <w:right w:val="none" w:sz="0" w:space="0" w:color="auto"/>
          </w:divBdr>
          <w:divsChild>
            <w:div w:id="341131145">
              <w:marLeft w:val="0"/>
              <w:marRight w:val="0"/>
              <w:marTop w:val="0"/>
              <w:marBottom w:val="0"/>
              <w:divBdr>
                <w:top w:val="none" w:sz="0" w:space="0" w:color="auto"/>
                <w:left w:val="none" w:sz="0" w:space="0" w:color="auto"/>
                <w:bottom w:val="none" w:sz="0" w:space="0" w:color="auto"/>
                <w:right w:val="none" w:sz="0" w:space="0" w:color="auto"/>
              </w:divBdr>
              <w:divsChild>
                <w:div w:id="11745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90037">
      <w:bodyDiv w:val="1"/>
      <w:marLeft w:val="0"/>
      <w:marRight w:val="0"/>
      <w:marTop w:val="0"/>
      <w:marBottom w:val="0"/>
      <w:divBdr>
        <w:top w:val="none" w:sz="0" w:space="0" w:color="auto"/>
        <w:left w:val="none" w:sz="0" w:space="0" w:color="auto"/>
        <w:bottom w:val="none" w:sz="0" w:space="0" w:color="auto"/>
        <w:right w:val="none" w:sz="0" w:space="0" w:color="auto"/>
      </w:divBdr>
    </w:div>
    <w:div w:id="1641810091">
      <w:bodyDiv w:val="1"/>
      <w:marLeft w:val="0"/>
      <w:marRight w:val="0"/>
      <w:marTop w:val="0"/>
      <w:marBottom w:val="0"/>
      <w:divBdr>
        <w:top w:val="none" w:sz="0" w:space="0" w:color="auto"/>
        <w:left w:val="none" w:sz="0" w:space="0" w:color="auto"/>
        <w:bottom w:val="none" w:sz="0" w:space="0" w:color="auto"/>
        <w:right w:val="none" w:sz="0" w:space="0" w:color="auto"/>
      </w:divBdr>
    </w:div>
    <w:div w:id="1641838896">
      <w:bodyDiv w:val="1"/>
      <w:marLeft w:val="0"/>
      <w:marRight w:val="0"/>
      <w:marTop w:val="0"/>
      <w:marBottom w:val="0"/>
      <w:divBdr>
        <w:top w:val="none" w:sz="0" w:space="0" w:color="auto"/>
        <w:left w:val="none" w:sz="0" w:space="0" w:color="auto"/>
        <w:bottom w:val="none" w:sz="0" w:space="0" w:color="auto"/>
        <w:right w:val="none" w:sz="0" w:space="0" w:color="auto"/>
      </w:divBdr>
    </w:div>
    <w:div w:id="1642613091">
      <w:bodyDiv w:val="1"/>
      <w:marLeft w:val="0"/>
      <w:marRight w:val="0"/>
      <w:marTop w:val="0"/>
      <w:marBottom w:val="0"/>
      <w:divBdr>
        <w:top w:val="none" w:sz="0" w:space="0" w:color="auto"/>
        <w:left w:val="none" w:sz="0" w:space="0" w:color="auto"/>
        <w:bottom w:val="none" w:sz="0" w:space="0" w:color="auto"/>
        <w:right w:val="none" w:sz="0" w:space="0" w:color="auto"/>
      </w:divBdr>
      <w:divsChild>
        <w:div w:id="213591669">
          <w:marLeft w:val="0"/>
          <w:marRight w:val="0"/>
          <w:marTop w:val="0"/>
          <w:marBottom w:val="0"/>
          <w:divBdr>
            <w:top w:val="none" w:sz="0" w:space="0" w:color="auto"/>
            <w:left w:val="none" w:sz="0" w:space="0" w:color="auto"/>
            <w:bottom w:val="none" w:sz="0" w:space="0" w:color="auto"/>
            <w:right w:val="none" w:sz="0" w:space="0" w:color="auto"/>
          </w:divBdr>
          <w:divsChild>
            <w:div w:id="1661039080">
              <w:marLeft w:val="0"/>
              <w:marRight w:val="0"/>
              <w:marTop w:val="0"/>
              <w:marBottom w:val="0"/>
              <w:divBdr>
                <w:top w:val="none" w:sz="0" w:space="0" w:color="auto"/>
                <w:left w:val="none" w:sz="0" w:space="0" w:color="auto"/>
                <w:bottom w:val="none" w:sz="0" w:space="0" w:color="auto"/>
                <w:right w:val="none" w:sz="0" w:space="0" w:color="auto"/>
              </w:divBdr>
              <w:divsChild>
                <w:div w:id="738789639">
                  <w:marLeft w:val="0"/>
                  <w:marRight w:val="0"/>
                  <w:marTop w:val="0"/>
                  <w:marBottom w:val="0"/>
                  <w:divBdr>
                    <w:top w:val="none" w:sz="0" w:space="0" w:color="auto"/>
                    <w:left w:val="none" w:sz="0" w:space="0" w:color="auto"/>
                    <w:bottom w:val="none" w:sz="0" w:space="0" w:color="auto"/>
                    <w:right w:val="none" w:sz="0" w:space="0" w:color="auto"/>
                  </w:divBdr>
                  <w:divsChild>
                    <w:div w:id="36353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072188">
      <w:bodyDiv w:val="1"/>
      <w:marLeft w:val="0"/>
      <w:marRight w:val="0"/>
      <w:marTop w:val="0"/>
      <w:marBottom w:val="0"/>
      <w:divBdr>
        <w:top w:val="none" w:sz="0" w:space="0" w:color="auto"/>
        <w:left w:val="none" w:sz="0" w:space="0" w:color="auto"/>
        <w:bottom w:val="none" w:sz="0" w:space="0" w:color="auto"/>
        <w:right w:val="none" w:sz="0" w:space="0" w:color="auto"/>
      </w:divBdr>
    </w:div>
    <w:div w:id="1643733160">
      <w:bodyDiv w:val="1"/>
      <w:marLeft w:val="0"/>
      <w:marRight w:val="0"/>
      <w:marTop w:val="0"/>
      <w:marBottom w:val="0"/>
      <w:divBdr>
        <w:top w:val="none" w:sz="0" w:space="0" w:color="auto"/>
        <w:left w:val="none" w:sz="0" w:space="0" w:color="auto"/>
        <w:bottom w:val="none" w:sz="0" w:space="0" w:color="auto"/>
        <w:right w:val="none" w:sz="0" w:space="0" w:color="auto"/>
      </w:divBdr>
    </w:div>
    <w:div w:id="1644038966">
      <w:bodyDiv w:val="1"/>
      <w:marLeft w:val="0"/>
      <w:marRight w:val="0"/>
      <w:marTop w:val="0"/>
      <w:marBottom w:val="0"/>
      <w:divBdr>
        <w:top w:val="none" w:sz="0" w:space="0" w:color="auto"/>
        <w:left w:val="none" w:sz="0" w:space="0" w:color="auto"/>
        <w:bottom w:val="none" w:sz="0" w:space="0" w:color="auto"/>
        <w:right w:val="none" w:sz="0" w:space="0" w:color="auto"/>
      </w:divBdr>
    </w:div>
    <w:div w:id="1644121421">
      <w:bodyDiv w:val="1"/>
      <w:marLeft w:val="0"/>
      <w:marRight w:val="0"/>
      <w:marTop w:val="0"/>
      <w:marBottom w:val="0"/>
      <w:divBdr>
        <w:top w:val="none" w:sz="0" w:space="0" w:color="auto"/>
        <w:left w:val="none" w:sz="0" w:space="0" w:color="auto"/>
        <w:bottom w:val="none" w:sz="0" w:space="0" w:color="auto"/>
        <w:right w:val="none" w:sz="0" w:space="0" w:color="auto"/>
      </w:divBdr>
    </w:div>
    <w:div w:id="1644390087">
      <w:bodyDiv w:val="1"/>
      <w:marLeft w:val="0"/>
      <w:marRight w:val="0"/>
      <w:marTop w:val="0"/>
      <w:marBottom w:val="0"/>
      <w:divBdr>
        <w:top w:val="none" w:sz="0" w:space="0" w:color="auto"/>
        <w:left w:val="none" w:sz="0" w:space="0" w:color="auto"/>
        <w:bottom w:val="none" w:sz="0" w:space="0" w:color="auto"/>
        <w:right w:val="none" w:sz="0" w:space="0" w:color="auto"/>
      </w:divBdr>
    </w:div>
    <w:div w:id="1644656036">
      <w:bodyDiv w:val="1"/>
      <w:marLeft w:val="0"/>
      <w:marRight w:val="0"/>
      <w:marTop w:val="0"/>
      <w:marBottom w:val="0"/>
      <w:divBdr>
        <w:top w:val="none" w:sz="0" w:space="0" w:color="auto"/>
        <w:left w:val="none" w:sz="0" w:space="0" w:color="auto"/>
        <w:bottom w:val="none" w:sz="0" w:space="0" w:color="auto"/>
        <w:right w:val="none" w:sz="0" w:space="0" w:color="auto"/>
      </w:divBdr>
      <w:divsChild>
        <w:div w:id="306472696">
          <w:marLeft w:val="0"/>
          <w:marRight w:val="0"/>
          <w:marTop w:val="0"/>
          <w:marBottom w:val="0"/>
          <w:divBdr>
            <w:top w:val="none" w:sz="0" w:space="0" w:color="auto"/>
            <w:left w:val="none" w:sz="0" w:space="0" w:color="auto"/>
            <w:bottom w:val="none" w:sz="0" w:space="0" w:color="auto"/>
            <w:right w:val="none" w:sz="0" w:space="0" w:color="auto"/>
          </w:divBdr>
          <w:divsChild>
            <w:div w:id="1874464226">
              <w:marLeft w:val="0"/>
              <w:marRight w:val="0"/>
              <w:marTop w:val="0"/>
              <w:marBottom w:val="0"/>
              <w:divBdr>
                <w:top w:val="none" w:sz="0" w:space="0" w:color="auto"/>
                <w:left w:val="none" w:sz="0" w:space="0" w:color="auto"/>
                <w:bottom w:val="none" w:sz="0" w:space="0" w:color="auto"/>
                <w:right w:val="none" w:sz="0" w:space="0" w:color="auto"/>
              </w:divBdr>
              <w:divsChild>
                <w:div w:id="139454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95575">
      <w:bodyDiv w:val="1"/>
      <w:marLeft w:val="0"/>
      <w:marRight w:val="0"/>
      <w:marTop w:val="0"/>
      <w:marBottom w:val="0"/>
      <w:divBdr>
        <w:top w:val="none" w:sz="0" w:space="0" w:color="auto"/>
        <w:left w:val="none" w:sz="0" w:space="0" w:color="auto"/>
        <w:bottom w:val="none" w:sz="0" w:space="0" w:color="auto"/>
        <w:right w:val="none" w:sz="0" w:space="0" w:color="auto"/>
      </w:divBdr>
    </w:div>
    <w:div w:id="1646276659">
      <w:bodyDiv w:val="1"/>
      <w:marLeft w:val="0"/>
      <w:marRight w:val="0"/>
      <w:marTop w:val="0"/>
      <w:marBottom w:val="0"/>
      <w:divBdr>
        <w:top w:val="none" w:sz="0" w:space="0" w:color="auto"/>
        <w:left w:val="none" w:sz="0" w:space="0" w:color="auto"/>
        <w:bottom w:val="none" w:sz="0" w:space="0" w:color="auto"/>
        <w:right w:val="none" w:sz="0" w:space="0" w:color="auto"/>
      </w:divBdr>
    </w:div>
    <w:div w:id="1647903618">
      <w:bodyDiv w:val="1"/>
      <w:marLeft w:val="0"/>
      <w:marRight w:val="0"/>
      <w:marTop w:val="0"/>
      <w:marBottom w:val="0"/>
      <w:divBdr>
        <w:top w:val="none" w:sz="0" w:space="0" w:color="auto"/>
        <w:left w:val="none" w:sz="0" w:space="0" w:color="auto"/>
        <w:bottom w:val="none" w:sz="0" w:space="0" w:color="auto"/>
        <w:right w:val="none" w:sz="0" w:space="0" w:color="auto"/>
      </w:divBdr>
    </w:div>
    <w:div w:id="1647970090">
      <w:bodyDiv w:val="1"/>
      <w:marLeft w:val="0"/>
      <w:marRight w:val="0"/>
      <w:marTop w:val="0"/>
      <w:marBottom w:val="0"/>
      <w:divBdr>
        <w:top w:val="none" w:sz="0" w:space="0" w:color="auto"/>
        <w:left w:val="none" w:sz="0" w:space="0" w:color="auto"/>
        <w:bottom w:val="none" w:sz="0" w:space="0" w:color="auto"/>
        <w:right w:val="none" w:sz="0" w:space="0" w:color="auto"/>
      </w:divBdr>
    </w:div>
    <w:div w:id="1649170101">
      <w:bodyDiv w:val="1"/>
      <w:marLeft w:val="0"/>
      <w:marRight w:val="0"/>
      <w:marTop w:val="0"/>
      <w:marBottom w:val="0"/>
      <w:divBdr>
        <w:top w:val="none" w:sz="0" w:space="0" w:color="auto"/>
        <w:left w:val="none" w:sz="0" w:space="0" w:color="auto"/>
        <w:bottom w:val="none" w:sz="0" w:space="0" w:color="auto"/>
        <w:right w:val="none" w:sz="0" w:space="0" w:color="auto"/>
      </w:divBdr>
    </w:div>
    <w:div w:id="1650862931">
      <w:bodyDiv w:val="1"/>
      <w:marLeft w:val="0"/>
      <w:marRight w:val="0"/>
      <w:marTop w:val="0"/>
      <w:marBottom w:val="0"/>
      <w:divBdr>
        <w:top w:val="none" w:sz="0" w:space="0" w:color="auto"/>
        <w:left w:val="none" w:sz="0" w:space="0" w:color="auto"/>
        <w:bottom w:val="none" w:sz="0" w:space="0" w:color="auto"/>
        <w:right w:val="none" w:sz="0" w:space="0" w:color="auto"/>
      </w:divBdr>
      <w:divsChild>
        <w:div w:id="1119758585">
          <w:marLeft w:val="0"/>
          <w:marRight w:val="0"/>
          <w:marTop w:val="0"/>
          <w:marBottom w:val="0"/>
          <w:divBdr>
            <w:top w:val="none" w:sz="0" w:space="0" w:color="auto"/>
            <w:left w:val="none" w:sz="0" w:space="0" w:color="auto"/>
            <w:bottom w:val="none" w:sz="0" w:space="0" w:color="auto"/>
            <w:right w:val="none" w:sz="0" w:space="0" w:color="auto"/>
          </w:divBdr>
          <w:divsChild>
            <w:div w:id="735710823">
              <w:marLeft w:val="0"/>
              <w:marRight w:val="0"/>
              <w:marTop w:val="0"/>
              <w:marBottom w:val="0"/>
              <w:divBdr>
                <w:top w:val="none" w:sz="0" w:space="0" w:color="auto"/>
                <w:left w:val="none" w:sz="0" w:space="0" w:color="auto"/>
                <w:bottom w:val="none" w:sz="0" w:space="0" w:color="auto"/>
                <w:right w:val="none" w:sz="0" w:space="0" w:color="auto"/>
              </w:divBdr>
              <w:divsChild>
                <w:div w:id="212429656">
                  <w:marLeft w:val="0"/>
                  <w:marRight w:val="0"/>
                  <w:marTop w:val="0"/>
                  <w:marBottom w:val="0"/>
                  <w:divBdr>
                    <w:top w:val="none" w:sz="0" w:space="0" w:color="auto"/>
                    <w:left w:val="none" w:sz="0" w:space="0" w:color="auto"/>
                    <w:bottom w:val="none" w:sz="0" w:space="0" w:color="auto"/>
                    <w:right w:val="none" w:sz="0" w:space="0" w:color="auto"/>
                  </w:divBdr>
                </w:div>
              </w:divsChild>
            </w:div>
            <w:div w:id="1462918014">
              <w:marLeft w:val="0"/>
              <w:marRight w:val="0"/>
              <w:marTop w:val="0"/>
              <w:marBottom w:val="0"/>
              <w:divBdr>
                <w:top w:val="none" w:sz="0" w:space="0" w:color="auto"/>
                <w:left w:val="none" w:sz="0" w:space="0" w:color="auto"/>
                <w:bottom w:val="none" w:sz="0" w:space="0" w:color="auto"/>
                <w:right w:val="none" w:sz="0" w:space="0" w:color="auto"/>
              </w:divBdr>
              <w:divsChild>
                <w:div w:id="74785420">
                  <w:marLeft w:val="0"/>
                  <w:marRight w:val="0"/>
                  <w:marTop w:val="0"/>
                  <w:marBottom w:val="0"/>
                  <w:divBdr>
                    <w:top w:val="none" w:sz="0" w:space="0" w:color="auto"/>
                    <w:left w:val="none" w:sz="0" w:space="0" w:color="auto"/>
                    <w:bottom w:val="none" w:sz="0" w:space="0" w:color="auto"/>
                    <w:right w:val="none" w:sz="0" w:space="0" w:color="auto"/>
                  </w:divBdr>
                </w:div>
              </w:divsChild>
            </w:div>
            <w:div w:id="1464082811">
              <w:marLeft w:val="0"/>
              <w:marRight w:val="0"/>
              <w:marTop w:val="0"/>
              <w:marBottom w:val="0"/>
              <w:divBdr>
                <w:top w:val="none" w:sz="0" w:space="0" w:color="auto"/>
                <w:left w:val="none" w:sz="0" w:space="0" w:color="auto"/>
                <w:bottom w:val="none" w:sz="0" w:space="0" w:color="auto"/>
                <w:right w:val="none" w:sz="0" w:space="0" w:color="auto"/>
              </w:divBdr>
              <w:divsChild>
                <w:div w:id="19691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594009">
      <w:bodyDiv w:val="1"/>
      <w:marLeft w:val="0"/>
      <w:marRight w:val="0"/>
      <w:marTop w:val="0"/>
      <w:marBottom w:val="0"/>
      <w:divBdr>
        <w:top w:val="none" w:sz="0" w:space="0" w:color="auto"/>
        <w:left w:val="none" w:sz="0" w:space="0" w:color="auto"/>
        <w:bottom w:val="none" w:sz="0" w:space="0" w:color="auto"/>
        <w:right w:val="none" w:sz="0" w:space="0" w:color="auto"/>
      </w:divBdr>
      <w:divsChild>
        <w:div w:id="1581871805">
          <w:marLeft w:val="0"/>
          <w:marRight w:val="0"/>
          <w:marTop w:val="0"/>
          <w:marBottom w:val="0"/>
          <w:divBdr>
            <w:top w:val="none" w:sz="0" w:space="0" w:color="auto"/>
            <w:left w:val="none" w:sz="0" w:space="0" w:color="auto"/>
            <w:bottom w:val="none" w:sz="0" w:space="0" w:color="auto"/>
            <w:right w:val="none" w:sz="0" w:space="0" w:color="auto"/>
          </w:divBdr>
          <w:divsChild>
            <w:div w:id="685593748">
              <w:marLeft w:val="0"/>
              <w:marRight w:val="0"/>
              <w:marTop w:val="0"/>
              <w:marBottom w:val="0"/>
              <w:divBdr>
                <w:top w:val="none" w:sz="0" w:space="0" w:color="auto"/>
                <w:left w:val="none" w:sz="0" w:space="0" w:color="auto"/>
                <w:bottom w:val="none" w:sz="0" w:space="0" w:color="auto"/>
                <w:right w:val="none" w:sz="0" w:space="0" w:color="auto"/>
              </w:divBdr>
              <w:divsChild>
                <w:div w:id="1377044885">
                  <w:marLeft w:val="0"/>
                  <w:marRight w:val="0"/>
                  <w:marTop w:val="0"/>
                  <w:marBottom w:val="0"/>
                  <w:divBdr>
                    <w:top w:val="none" w:sz="0" w:space="0" w:color="auto"/>
                    <w:left w:val="none" w:sz="0" w:space="0" w:color="auto"/>
                    <w:bottom w:val="none" w:sz="0" w:space="0" w:color="auto"/>
                    <w:right w:val="none" w:sz="0" w:space="0" w:color="auto"/>
                  </w:divBdr>
                  <w:divsChild>
                    <w:div w:id="21786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984208">
      <w:bodyDiv w:val="1"/>
      <w:marLeft w:val="0"/>
      <w:marRight w:val="0"/>
      <w:marTop w:val="0"/>
      <w:marBottom w:val="0"/>
      <w:divBdr>
        <w:top w:val="none" w:sz="0" w:space="0" w:color="auto"/>
        <w:left w:val="none" w:sz="0" w:space="0" w:color="auto"/>
        <w:bottom w:val="none" w:sz="0" w:space="0" w:color="auto"/>
        <w:right w:val="none" w:sz="0" w:space="0" w:color="auto"/>
      </w:divBdr>
    </w:div>
    <w:div w:id="1652127158">
      <w:bodyDiv w:val="1"/>
      <w:marLeft w:val="0"/>
      <w:marRight w:val="0"/>
      <w:marTop w:val="0"/>
      <w:marBottom w:val="0"/>
      <w:divBdr>
        <w:top w:val="none" w:sz="0" w:space="0" w:color="auto"/>
        <w:left w:val="none" w:sz="0" w:space="0" w:color="auto"/>
        <w:bottom w:val="none" w:sz="0" w:space="0" w:color="auto"/>
        <w:right w:val="none" w:sz="0" w:space="0" w:color="auto"/>
      </w:divBdr>
      <w:divsChild>
        <w:div w:id="2142770460">
          <w:marLeft w:val="0"/>
          <w:marRight w:val="0"/>
          <w:marTop w:val="0"/>
          <w:marBottom w:val="0"/>
          <w:divBdr>
            <w:top w:val="none" w:sz="0" w:space="0" w:color="auto"/>
            <w:left w:val="none" w:sz="0" w:space="0" w:color="auto"/>
            <w:bottom w:val="none" w:sz="0" w:space="0" w:color="auto"/>
            <w:right w:val="none" w:sz="0" w:space="0" w:color="auto"/>
          </w:divBdr>
          <w:divsChild>
            <w:div w:id="2120221232">
              <w:marLeft w:val="0"/>
              <w:marRight w:val="0"/>
              <w:marTop w:val="0"/>
              <w:marBottom w:val="0"/>
              <w:divBdr>
                <w:top w:val="none" w:sz="0" w:space="0" w:color="auto"/>
                <w:left w:val="none" w:sz="0" w:space="0" w:color="auto"/>
                <w:bottom w:val="none" w:sz="0" w:space="0" w:color="auto"/>
                <w:right w:val="none" w:sz="0" w:space="0" w:color="auto"/>
              </w:divBdr>
              <w:divsChild>
                <w:div w:id="1392915">
                  <w:marLeft w:val="0"/>
                  <w:marRight w:val="0"/>
                  <w:marTop w:val="0"/>
                  <w:marBottom w:val="0"/>
                  <w:divBdr>
                    <w:top w:val="none" w:sz="0" w:space="0" w:color="auto"/>
                    <w:left w:val="none" w:sz="0" w:space="0" w:color="auto"/>
                    <w:bottom w:val="none" w:sz="0" w:space="0" w:color="auto"/>
                    <w:right w:val="none" w:sz="0" w:space="0" w:color="auto"/>
                  </w:divBdr>
                  <w:divsChild>
                    <w:div w:id="85684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324769">
      <w:bodyDiv w:val="1"/>
      <w:marLeft w:val="0"/>
      <w:marRight w:val="0"/>
      <w:marTop w:val="0"/>
      <w:marBottom w:val="0"/>
      <w:divBdr>
        <w:top w:val="none" w:sz="0" w:space="0" w:color="auto"/>
        <w:left w:val="none" w:sz="0" w:space="0" w:color="auto"/>
        <w:bottom w:val="none" w:sz="0" w:space="0" w:color="auto"/>
        <w:right w:val="none" w:sz="0" w:space="0" w:color="auto"/>
      </w:divBdr>
    </w:div>
    <w:div w:id="1652365188">
      <w:bodyDiv w:val="1"/>
      <w:marLeft w:val="0"/>
      <w:marRight w:val="0"/>
      <w:marTop w:val="0"/>
      <w:marBottom w:val="0"/>
      <w:divBdr>
        <w:top w:val="none" w:sz="0" w:space="0" w:color="auto"/>
        <w:left w:val="none" w:sz="0" w:space="0" w:color="auto"/>
        <w:bottom w:val="none" w:sz="0" w:space="0" w:color="auto"/>
        <w:right w:val="none" w:sz="0" w:space="0" w:color="auto"/>
      </w:divBdr>
    </w:div>
    <w:div w:id="1652447686">
      <w:bodyDiv w:val="1"/>
      <w:marLeft w:val="0"/>
      <w:marRight w:val="0"/>
      <w:marTop w:val="0"/>
      <w:marBottom w:val="0"/>
      <w:divBdr>
        <w:top w:val="none" w:sz="0" w:space="0" w:color="auto"/>
        <w:left w:val="none" w:sz="0" w:space="0" w:color="auto"/>
        <w:bottom w:val="none" w:sz="0" w:space="0" w:color="auto"/>
        <w:right w:val="none" w:sz="0" w:space="0" w:color="auto"/>
      </w:divBdr>
    </w:div>
    <w:div w:id="1652558850">
      <w:bodyDiv w:val="1"/>
      <w:marLeft w:val="0"/>
      <w:marRight w:val="0"/>
      <w:marTop w:val="0"/>
      <w:marBottom w:val="0"/>
      <w:divBdr>
        <w:top w:val="none" w:sz="0" w:space="0" w:color="auto"/>
        <w:left w:val="none" w:sz="0" w:space="0" w:color="auto"/>
        <w:bottom w:val="none" w:sz="0" w:space="0" w:color="auto"/>
        <w:right w:val="none" w:sz="0" w:space="0" w:color="auto"/>
      </w:divBdr>
    </w:div>
    <w:div w:id="1652905645">
      <w:bodyDiv w:val="1"/>
      <w:marLeft w:val="0"/>
      <w:marRight w:val="0"/>
      <w:marTop w:val="0"/>
      <w:marBottom w:val="0"/>
      <w:divBdr>
        <w:top w:val="none" w:sz="0" w:space="0" w:color="auto"/>
        <w:left w:val="none" w:sz="0" w:space="0" w:color="auto"/>
        <w:bottom w:val="none" w:sz="0" w:space="0" w:color="auto"/>
        <w:right w:val="none" w:sz="0" w:space="0" w:color="auto"/>
      </w:divBdr>
    </w:div>
    <w:div w:id="1653101224">
      <w:bodyDiv w:val="1"/>
      <w:marLeft w:val="0"/>
      <w:marRight w:val="0"/>
      <w:marTop w:val="0"/>
      <w:marBottom w:val="0"/>
      <w:divBdr>
        <w:top w:val="none" w:sz="0" w:space="0" w:color="auto"/>
        <w:left w:val="none" w:sz="0" w:space="0" w:color="auto"/>
        <w:bottom w:val="none" w:sz="0" w:space="0" w:color="auto"/>
        <w:right w:val="none" w:sz="0" w:space="0" w:color="auto"/>
      </w:divBdr>
      <w:divsChild>
        <w:div w:id="1422290747">
          <w:marLeft w:val="0"/>
          <w:marRight w:val="0"/>
          <w:marTop w:val="0"/>
          <w:marBottom w:val="0"/>
          <w:divBdr>
            <w:top w:val="none" w:sz="0" w:space="0" w:color="auto"/>
            <w:left w:val="none" w:sz="0" w:space="0" w:color="auto"/>
            <w:bottom w:val="none" w:sz="0" w:space="0" w:color="auto"/>
            <w:right w:val="none" w:sz="0" w:space="0" w:color="auto"/>
          </w:divBdr>
          <w:divsChild>
            <w:div w:id="1664509518">
              <w:marLeft w:val="0"/>
              <w:marRight w:val="0"/>
              <w:marTop w:val="0"/>
              <w:marBottom w:val="0"/>
              <w:divBdr>
                <w:top w:val="none" w:sz="0" w:space="0" w:color="auto"/>
                <w:left w:val="none" w:sz="0" w:space="0" w:color="auto"/>
                <w:bottom w:val="none" w:sz="0" w:space="0" w:color="auto"/>
                <w:right w:val="none" w:sz="0" w:space="0" w:color="auto"/>
              </w:divBdr>
              <w:divsChild>
                <w:div w:id="420223204">
                  <w:marLeft w:val="0"/>
                  <w:marRight w:val="0"/>
                  <w:marTop w:val="0"/>
                  <w:marBottom w:val="0"/>
                  <w:divBdr>
                    <w:top w:val="none" w:sz="0" w:space="0" w:color="auto"/>
                    <w:left w:val="none" w:sz="0" w:space="0" w:color="auto"/>
                    <w:bottom w:val="none" w:sz="0" w:space="0" w:color="auto"/>
                    <w:right w:val="none" w:sz="0" w:space="0" w:color="auto"/>
                  </w:divBdr>
                  <w:divsChild>
                    <w:div w:id="253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213337">
      <w:bodyDiv w:val="1"/>
      <w:marLeft w:val="0"/>
      <w:marRight w:val="0"/>
      <w:marTop w:val="0"/>
      <w:marBottom w:val="0"/>
      <w:divBdr>
        <w:top w:val="none" w:sz="0" w:space="0" w:color="auto"/>
        <w:left w:val="none" w:sz="0" w:space="0" w:color="auto"/>
        <w:bottom w:val="none" w:sz="0" w:space="0" w:color="auto"/>
        <w:right w:val="none" w:sz="0" w:space="0" w:color="auto"/>
      </w:divBdr>
    </w:div>
    <w:div w:id="1653825661">
      <w:bodyDiv w:val="1"/>
      <w:marLeft w:val="0"/>
      <w:marRight w:val="0"/>
      <w:marTop w:val="0"/>
      <w:marBottom w:val="0"/>
      <w:divBdr>
        <w:top w:val="none" w:sz="0" w:space="0" w:color="auto"/>
        <w:left w:val="none" w:sz="0" w:space="0" w:color="auto"/>
        <w:bottom w:val="none" w:sz="0" w:space="0" w:color="auto"/>
        <w:right w:val="none" w:sz="0" w:space="0" w:color="auto"/>
      </w:divBdr>
      <w:divsChild>
        <w:div w:id="300041770">
          <w:marLeft w:val="0"/>
          <w:marRight w:val="0"/>
          <w:marTop w:val="0"/>
          <w:marBottom w:val="0"/>
          <w:divBdr>
            <w:top w:val="none" w:sz="0" w:space="0" w:color="auto"/>
            <w:left w:val="none" w:sz="0" w:space="0" w:color="auto"/>
            <w:bottom w:val="none" w:sz="0" w:space="0" w:color="auto"/>
            <w:right w:val="none" w:sz="0" w:space="0" w:color="auto"/>
          </w:divBdr>
          <w:divsChild>
            <w:div w:id="820731154">
              <w:marLeft w:val="0"/>
              <w:marRight w:val="0"/>
              <w:marTop w:val="0"/>
              <w:marBottom w:val="0"/>
              <w:divBdr>
                <w:top w:val="none" w:sz="0" w:space="0" w:color="auto"/>
                <w:left w:val="none" w:sz="0" w:space="0" w:color="auto"/>
                <w:bottom w:val="none" w:sz="0" w:space="0" w:color="auto"/>
                <w:right w:val="none" w:sz="0" w:space="0" w:color="auto"/>
              </w:divBdr>
              <w:divsChild>
                <w:div w:id="1253706080">
                  <w:marLeft w:val="0"/>
                  <w:marRight w:val="0"/>
                  <w:marTop w:val="0"/>
                  <w:marBottom w:val="0"/>
                  <w:divBdr>
                    <w:top w:val="none" w:sz="0" w:space="0" w:color="auto"/>
                    <w:left w:val="none" w:sz="0" w:space="0" w:color="auto"/>
                    <w:bottom w:val="none" w:sz="0" w:space="0" w:color="auto"/>
                    <w:right w:val="none" w:sz="0" w:space="0" w:color="auto"/>
                  </w:divBdr>
                  <w:divsChild>
                    <w:div w:id="86055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869434">
      <w:bodyDiv w:val="1"/>
      <w:marLeft w:val="0"/>
      <w:marRight w:val="0"/>
      <w:marTop w:val="0"/>
      <w:marBottom w:val="0"/>
      <w:divBdr>
        <w:top w:val="none" w:sz="0" w:space="0" w:color="auto"/>
        <w:left w:val="none" w:sz="0" w:space="0" w:color="auto"/>
        <w:bottom w:val="none" w:sz="0" w:space="0" w:color="auto"/>
        <w:right w:val="none" w:sz="0" w:space="0" w:color="auto"/>
      </w:divBdr>
    </w:div>
    <w:div w:id="1653873530">
      <w:bodyDiv w:val="1"/>
      <w:marLeft w:val="0"/>
      <w:marRight w:val="0"/>
      <w:marTop w:val="0"/>
      <w:marBottom w:val="0"/>
      <w:divBdr>
        <w:top w:val="none" w:sz="0" w:space="0" w:color="auto"/>
        <w:left w:val="none" w:sz="0" w:space="0" w:color="auto"/>
        <w:bottom w:val="none" w:sz="0" w:space="0" w:color="auto"/>
        <w:right w:val="none" w:sz="0" w:space="0" w:color="auto"/>
      </w:divBdr>
    </w:div>
    <w:div w:id="1654022142">
      <w:bodyDiv w:val="1"/>
      <w:marLeft w:val="0"/>
      <w:marRight w:val="0"/>
      <w:marTop w:val="0"/>
      <w:marBottom w:val="0"/>
      <w:divBdr>
        <w:top w:val="none" w:sz="0" w:space="0" w:color="auto"/>
        <w:left w:val="none" w:sz="0" w:space="0" w:color="auto"/>
        <w:bottom w:val="none" w:sz="0" w:space="0" w:color="auto"/>
        <w:right w:val="none" w:sz="0" w:space="0" w:color="auto"/>
      </w:divBdr>
    </w:div>
    <w:div w:id="1654143295">
      <w:bodyDiv w:val="1"/>
      <w:marLeft w:val="0"/>
      <w:marRight w:val="0"/>
      <w:marTop w:val="0"/>
      <w:marBottom w:val="0"/>
      <w:divBdr>
        <w:top w:val="none" w:sz="0" w:space="0" w:color="auto"/>
        <w:left w:val="none" w:sz="0" w:space="0" w:color="auto"/>
        <w:bottom w:val="none" w:sz="0" w:space="0" w:color="auto"/>
        <w:right w:val="none" w:sz="0" w:space="0" w:color="auto"/>
      </w:divBdr>
    </w:div>
    <w:div w:id="1654675886">
      <w:bodyDiv w:val="1"/>
      <w:marLeft w:val="0"/>
      <w:marRight w:val="0"/>
      <w:marTop w:val="0"/>
      <w:marBottom w:val="0"/>
      <w:divBdr>
        <w:top w:val="none" w:sz="0" w:space="0" w:color="auto"/>
        <w:left w:val="none" w:sz="0" w:space="0" w:color="auto"/>
        <w:bottom w:val="none" w:sz="0" w:space="0" w:color="auto"/>
        <w:right w:val="none" w:sz="0" w:space="0" w:color="auto"/>
      </w:divBdr>
      <w:divsChild>
        <w:div w:id="1701393728">
          <w:marLeft w:val="0"/>
          <w:marRight w:val="0"/>
          <w:marTop w:val="0"/>
          <w:marBottom w:val="0"/>
          <w:divBdr>
            <w:top w:val="none" w:sz="0" w:space="0" w:color="auto"/>
            <w:left w:val="none" w:sz="0" w:space="0" w:color="auto"/>
            <w:bottom w:val="none" w:sz="0" w:space="0" w:color="auto"/>
            <w:right w:val="none" w:sz="0" w:space="0" w:color="auto"/>
          </w:divBdr>
          <w:divsChild>
            <w:div w:id="727191255">
              <w:marLeft w:val="0"/>
              <w:marRight w:val="0"/>
              <w:marTop w:val="0"/>
              <w:marBottom w:val="0"/>
              <w:divBdr>
                <w:top w:val="none" w:sz="0" w:space="0" w:color="auto"/>
                <w:left w:val="none" w:sz="0" w:space="0" w:color="auto"/>
                <w:bottom w:val="none" w:sz="0" w:space="0" w:color="auto"/>
                <w:right w:val="none" w:sz="0" w:space="0" w:color="auto"/>
              </w:divBdr>
              <w:divsChild>
                <w:div w:id="20211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17162">
      <w:bodyDiv w:val="1"/>
      <w:marLeft w:val="0"/>
      <w:marRight w:val="0"/>
      <w:marTop w:val="0"/>
      <w:marBottom w:val="0"/>
      <w:divBdr>
        <w:top w:val="none" w:sz="0" w:space="0" w:color="auto"/>
        <w:left w:val="none" w:sz="0" w:space="0" w:color="auto"/>
        <w:bottom w:val="none" w:sz="0" w:space="0" w:color="auto"/>
        <w:right w:val="none" w:sz="0" w:space="0" w:color="auto"/>
      </w:divBdr>
      <w:divsChild>
        <w:div w:id="1983922313">
          <w:marLeft w:val="0"/>
          <w:marRight w:val="0"/>
          <w:marTop w:val="0"/>
          <w:marBottom w:val="0"/>
          <w:divBdr>
            <w:top w:val="none" w:sz="0" w:space="0" w:color="auto"/>
            <w:left w:val="none" w:sz="0" w:space="0" w:color="auto"/>
            <w:bottom w:val="none" w:sz="0" w:space="0" w:color="auto"/>
            <w:right w:val="none" w:sz="0" w:space="0" w:color="auto"/>
          </w:divBdr>
          <w:divsChild>
            <w:div w:id="479932225">
              <w:marLeft w:val="0"/>
              <w:marRight w:val="0"/>
              <w:marTop w:val="0"/>
              <w:marBottom w:val="0"/>
              <w:divBdr>
                <w:top w:val="none" w:sz="0" w:space="0" w:color="auto"/>
                <w:left w:val="none" w:sz="0" w:space="0" w:color="auto"/>
                <w:bottom w:val="none" w:sz="0" w:space="0" w:color="auto"/>
                <w:right w:val="none" w:sz="0" w:space="0" w:color="auto"/>
              </w:divBdr>
              <w:divsChild>
                <w:div w:id="1532953301">
                  <w:marLeft w:val="0"/>
                  <w:marRight w:val="0"/>
                  <w:marTop w:val="0"/>
                  <w:marBottom w:val="0"/>
                  <w:divBdr>
                    <w:top w:val="none" w:sz="0" w:space="0" w:color="auto"/>
                    <w:left w:val="none" w:sz="0" w:space="0" w:color="auto"/>
                    <w:bottom w:val="none" w:sz="0" w:space="0" w:color="auto"/>
                    <w:right w:val="none" w:sz="0" w:space="0" w:color="auto"/>
                  </w:divBdr>
                  <w:divsChild>
                    <w:div w:id="105369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522737">
      <w:bodyDiv w:val="1"/>
      <w:marLeft w:val="0"/>
      <w:marRight w:val="0"/>
      <w:marTop w:val="0"/>
      <w:marBottom w:val="0"/>
      <w:divBdr>
        <w:top w:val="none" w:sz="0" w:space="0" w:color="auto"/>
        <w:left w:val="none" w:sz="0" w:space="0" w:color="auto"/>
        <w:bottom w:val="none" w:sz="0" w:space="0" w:color="auto"/>
        <w:right w:val="none" w:sz="0" w:space="0" w:color="auto"/>
      </w:divBdr>
    </w:div>
    <w:div w:id="1655640697">
      <w:bodyDiv w:val="1"/>
      <w:marLeft w:val="0"/>
      <w:marRight w:val="0"/>
      <w:marTop w:val="0"/>
      <w:marBottom w:val="0"/>
      <w:divBdr>
        <w:top w:val="none" w:sz="0" w:space="0" w:color="auto"/>
        <w:left w:val="none" w:sz="0" w:space="0" w:color="auto"/>
        <w:bottom w:val="none" w:sz="0" w:space="0" w:color="auto"/>
        <w:right w:val="none" w:sz="0" w:space="0" w:color="auto"/>
      </w:divBdr>
    </w:div>
    <w:div w:id="1655986180">
      <w:bodyDiv w:val="1"/>
      <w:marLeft w:val="0"/>
      <w:marRight w:val="0"/>
      <w:marTop w:val="0"/>
      <w:marBottom w:val="0"/>
      <w:divBdr>
        <w:top w:val="none" w:sz="0" w:space="0" w:color="auto"/>
        <w:left w:val="none" w:sz="0" w:space="0" w:color="auto"/>
        <w:bottom w:val="none" w:sz="0" w:space="0" w:color="auto"/>
        <w:right w:val="none" w:sz="0" w:space="0" w:color="auto"/>
      </w:divBdr>
    </w:div>
    <w:div w:id="1656958658">
      <w:bodyDiv w:val="1"/>
      <w:marLeft w:val="0"/>
      <w:marRight w:val="0"/>
      <w:marTop w:val="0"/>
      <w:marBottom w:val="0"/>
      <w:divBdr>
        <w:top w:val="none" w:sz="0" w:space="0" w:color="auto"/>
        <w:left w:val="none" w:sz="0" w:space="0" w:color="auto"/>
        <w:bottom w:val="none" w:sz="0" w:space="0" w:color="auto"/>
        <w:right w:val="none" w:sz="0" w:space="0" w:color="auto"/>
      </w:divBdr>
      <w:divsChild>
        <w:div w:id="1889296910">
          <w:marLeft w:val="0"/>
          <w:marRight w:val="0"/>
          <w:marTop w:val="0"/>
          <w:marBottom w:val="0"/>
          <w:divBdr>
            <w:top w:val="none" w:sz="0" w:space="0" w:color="auto"/>
            <w:left w:val="none" w:sz="0" w:space="0" w:color="auto"/>
            <w:bottom w:val="none" w:sz="0" w:space="0" w:color="auto"/>
            <w:right w:val="none" w:sz="0" w:space="0" w:color="auto"/>
          </w:divBdr>
          <w:divsChild>
            <w:div w:id="2132363632">
              <w:marLeft w:val="0"/>
              <w:marRight w:val="0"/>
              <w:marTop w:val="0"/>
              <w:marBottom w:val="0"/>
              <w:divBdr>
                <w:top w:val="none" w:sz="0" w:space="0" w:color="auto"/>
                <w:left w:val="none" w:sz="0" w:space="0" w:color="auto"/>
                <w:bottom w:val="none" w:sz="0" w:space="0" w:color="auto"/>
                <w:right w:val="none" w:sz="0" w:space="0" w:color="auto"/>
              </w:divBdr>
              <w:divsChild>
                <w:div w:id="199439794">
                  <w:marLeft w:val="0"/>
                  <w:marRight w:val="0"/>
                  <w:marTop w:val="0"/>
                  <w:marBottom w:val="0"/>
                  <w:divBdr>
                    <w:top w:val="none" w:sz="0" w:space="0" w:color="auto"/>
                    <w:left w:val="none" w:sz="0" w:space="0" w:color="auto"/>
                    <w:bottom w:val="none" w:sz="0" w:space="0" w:color="auto"/>
                    <w:right w:val="none" w:sz="0" w:space="0" w:color="auto"/>
                  </w:divBdr>
                  <w:divsChild>
                    <w:div w:id="42391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151676">
      <w:bodyDiv w:val="1"/>
      <w:marLeft w:val="0"/>
      <w:marRight w:val="0"/>
      <w:marTop w:val="0"/>
      <w:marBottom w:val="0"/>
      <w:divBdr>
        <w:top w:val="none" w:sz="0" w:space="0" w:color="auto"/>
        <w:left w:val="none" w:sz="0" w:space="0" w:color="auto"/>
        <w:bottom w:val="none" w:sz="0" w:space="0" w:color="auto"/>
        <w:right w:val="none" w:sz="0" w:space="0" w:color="auto"/>
      </w:divBdr>
      <w:divsChild>
        <w:div w:id="1893884647">
          <w:marLeft w:val="0"/>
          <w:marRight w:val="0"/>
          <w:marTop w:val="0"/>
          <w:marBottom w:val="0"/>
          <w:divBdr>
            <w:top w:val="none" w:sz="0" w:space="0" w:color="auto"/>
            <w:left w:val="none" w:sz="0" w:space="0" w:color="auto"/>
            <w:bottom w:val="none" w:sz="0" w:space="0" w:color="auto"/>
            <w:right w:val="none" w:sz="0" w:space="0" w:color="auto"/>
          </w:divBdr>
          <w:divsChild>
            <w:div w:id="585458127">
              <w:marLeft w:val="0"/>
              <w:marRight w:val="0"/>
              <w:marTop w:val="0"/>
              <w:marBottom w:val="0"/>
              <w:divBdr>
                <w:top w:val="none" w:sz="0" w:space="0" w:color="auto"/>
                <w:left w:val="none" w:sz="0" w:space="0" w:color="auto"/>
                <w:bottom w:val="none" w:sz="0" w:space="0" w:color="auto"/>
                <w:right w:val="none" w:sz="0" w:space="0" w:color="auto"/>
              </w:divBdr>
              <w:divsChild>
                <w:div w:id="4673466">
                  <w:marLeft w:val="0"/>
                  <w:marRight w:val="0"/>
                  <w:marTop w:val="0"/>
                  <w:marBottom w:val="0"/>
                  <w:divBdr>
                    <w:top w:val="none" w:sz="0" w:space="0" w:color="auto"/>
                    <w:left w:val="none" w:sz="0" w:space="0" w:color="auto"/>
                    <w:bottom w:val="none" w:sz="0" w:space="0" w:color="auto"/>
                    <w:right w:val="none" w:sz="0" w:space="0" w:color="auto"/>
                  </w:divBdr>
                  <w:divsChild>
                    <w:div w:id="14938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294802">
      <w:bodyDiv w:val="1"/>
      <w:marLeft w:val="0"/>
      <w:marRight w:val="0"/>
      <w:marTop w:val="0"/>
      <w:marBottom w:val="0"/>
      <w:divBdr>
        <w:top w:val="none" w:sz="0" w:space="0" w:color="auto"/>
        <w:left w:val="none" w:sz="0" w:space="0" w:color="auto"/>
        <w:bottom w:val="none" w:sz="0" w:space="0" w:color="auto"/>
        <w:right w:val="none" w:sz="0" w:space="0" w:color="auto"/>
      </w:divBdr>
      <w:divsChild>
        <w:div w:id="756443619">
          <w:marLeft w:val="0"/>
          <w:marRight w:val="0"/>
          <w:marTop w:val="0"/>
          <w:marBottom w:val="0"/>
          <w:divBdr>
            <w:top w:val="none" w:sz="0" w:space="0" w:color="auto"/>
            <w:left w:val="none" w:sz="0" w:space="0" w:color="auto"/>
            <w:bottom w:val="none" w:sz="0" w:space="0" w:color="auto"/>
            <w:right w:val="none" w:sz="0" w:space="0" w:color="auto"/>
          </w:divBdr>
          <w:divsChild>
            <w:div w:id="1562787679">
              <w:marLeft w:val="0"/>
              <w:marRight w:val="0"/>
              <w:marTop w:val="0"/>
              <w:marBottom w:val="0"/>
              <w:divBdr>
                <w:top w:val="none" w:sz="0" w:space="0" w:color="auto"/>
                <w:left w:val="none" w:sz="0" w:space="0" w:color="auto"/>
                <w:bottom w:val="none" w:sz="0" w:space="0" w:color="auto"/>
                <w:right w:val="none" w:sz="0" w:space="0" w:color="auto"/>
              </w:divBdr>
              <w:divsChild>
                <w:div w:id="70469482">
                  <w:marLeft w:val="0"/>
                  <w:marRight w:val="0"/>
                  <w:marTop w:val="0"/>
                  <w:marBottom w:val="0"/>
                  <w:divBdr>
                    <w:top w:val="none" w:sz="0" w:space="0" w:color="auto"/>
                    <w:left w:val="none" w:sz="0" w:space="0" w:color="auto"/>
                    <w:bottom w:val="none" w:sz="0" w:space="0" w:color="auto"/>
                    <w:right w:val="none" w:sz="0" w:space="0" w:color="auto"/>
                  </w:divBdr>
                  <w:divsChild>
                    <w:div w:id="71731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411926">
      <w:bodyDiv w:val="1"/>
      <w:marLeft w:val="0"/>
      <w:marRight w:val="0"/>
      <w:marTop w:val="0"/>
      <w:marBottom w:val="0"/>
      <w:divBdr>
        <w:top w:val="none" w:sz="0" w:space="0" w:color="auto"/>
        <w:left w:val="none" w:sz="0" w:space="0" w:color="auto"/>
        <w:bottom w:val="none" w:sz="0" w:space="0" w:color="auto"/>
        <w:right w:val="none" w:sz="0" w:space="0" w:color="auto"/>
      </w:divBdr>
    </w:div>
    <w:div w:id="1657803099">
      <w:bodyDiv w:val="1"/>
      <w:marLeft w:val="0"/>
      <w:marRight w:val="0"/>
      <w:marTop w:val="0"/>
      <w:marBottom w:val="0"/>
      <w:divBdr>
        <w:top w:val="none" w:sz="0" w:space="0" w:color="auto"/>
        <w:left w:val="none" w:sz="0" w:space="0" w:color="auto"/>
        <w:bottom w:val="none" w:sz="0" w:space="0" w:color="auto"/>
        <w:right w:val="none" w:sz="0" w:space="0" w:color="auto"/>
      </w:divBdr>
    </w:div>
    <w:div w:id="1657958574">
      <w:bodyDiv w:val="1"/>
      <w:marLeft w:val="0"/>
      <w:marRight w:val="0"/>
      <w:marTop w:val="0"/>
      <w:marBottom w:val="0"/>
      <w:divBdr>
        <w:top w:val="none" w:sz="0" w:space="0" w:color="auto"/>
        <w:left w:val="none" w:sz="0" w:space="0" w:color="auto"/>
        <w:bottom w:val="none" w:sz="0" w:space="0" w:color="auto"/>
        <w:right w:val="none" w:sz="0" w:space="0" w:color="auto"/>
      </w:divBdr>
    </w:div>
    <w:div w:id="1658848238">
      <w:bodyDiv w:val="1"/>
      <w:marLeft w:val="0"/>
      <w:marRight w:val="0"/>
      <w:marTop w:val="0"/>
      <w:marBottom w:val="0"/>
      <w:divBdr>
        <w:top w:val="none" w:sz="0" w:space="0" w:color="auto"/>
        <w:left w:val="none" w:sz="0" w:space="0" w:color="auto"/>
        <w:bottom w:val="none" w:sz="0" w:space="0" w:color="auto"/>
        <w:right w:val="none" w:sz="0" w:space="0" w:color="auto"/>
      </w:divBdr>
    </w:div>
    <w:div w:id="1659724601">
      <w:bodyDiv w:val="1"/>
      <w:marLeft w:val="0"/>
      <w:marRight w:val="0"/>
      <w:marTop w:val="0"/>
      <w:marBottom w:val="0"/>
      <w:divBdr>
        <w:top w:val="none" w:sz="0" w:space="0" w:color="auto"/>
        <w:left w:val="none" w:sz="0" w:space="0" w:color="auto"/>
        <w:bottom w:val="none" w:sz="0" w:space="0" w:color="auto"/>
        <w:right w:val="none" w:sz="0" w:space="0" w:color="auto"/>
      </w:divBdr>
    </w:div>
    <w:div w:id="1659767524">
      <w:bodyDiv w:val="1"/>
      <w:marLeft w:val="0"/>
      <w:marRight w:val="0"/>
      <w:marTop w:val="0"/>
      <w:marBottom w:val="0"/>
      <w:divBdr>
        <w:top w:val="none" w:sz="0" w:space="0" w:color="auto"/>
        <w:left w:val="none" w:sz="0" w:space="0" w:color="auto"/>
        <w:bottom w:val="none" w:sz="0" w:space="0" w:color="auto"/>
        <w:right w:val="none" w:sz="0" w:space="0" w:color="auto"/>
      </w:divBdr>
    </w:div>
    <w:div w:id="1660578158">
      <w:bodyDiv w:val="1"/>
      <w:marLeft w:val="0"/>
      <w:marRight w:val="0"/>
      <w:marTop w:val="0"/>
      <w:marBottom w:val="0"/>
      <w:divBdr>
        <w:top w:val="none" w:sz="0" w:space="0" w:color="auto"/>
        <w:left w:val="none" w:sz="0" w:space="0" w:color="auto"/>
        <w:bottom w:val="none" w:sz="0" w:space="0" w:color="auto"/>
        <w:right w:val="none" w:sz="0" w:space="0" w:color="auto"/>
      </w:divBdr>
    </w:div>
    <w:div w:id="1661032167">
      <w:bodyDiv w:val="1"/>
      <w:marLeft w:val="0"/>
      <w:marRight w:val="0"/>
      <w:marTop w:val="0"/>
      <w:marBottom w:val="0"/>
      <w:divBdr>
        <w:top w:val="none" w:sz="0" w:space="0" w:color="auto"/>
        <w:left w:val="none" w:sz="0" w:space="0" w:color="auto"/>
        <w:bottom w:val="none" w:sz="0" w:space="0" w:color="auto"/>
        <w:right w:val="none" w:sz="0" w:space="0" w:color="auto"/>
      </w:divBdr>
    </w:div>
    <w:div w:id="1662156519">
      <w:bodyDiv w:val="1"/>
      <w:marLeft w:val="0"/>
      <w:marRight w:val="0"/>
      <w:marTop w:val="0"/>
      <w:marBottom w:val="0"/>
      <w:divBdr>
        <w:top w:val="none" w:sz="0" w:space="0" w:color="auto"/>
        <w:left w:val="none" w:sz="0" w:space="0" w:color="auto"/>
        <w:bottom w:val="none" w:sz="0" w:space="0" w:color="auto"/>
        <w:right w:val="none" w:sz="0" w:space="0" w:color="auto"/>
      </w:divBdr>
    </w:div>
    <w:div w:id="1662540417">
      <w:bodyDiv w:val="1"/>
      <w:marLeft w:val="0"/>
      <w:marRight w:val="0"/>
      <w:marTop w:val="0"/>
      <w:marBottom w:val="0"/>
      <w:divBdr>
        <w:top w:val="none" w:sz="0" w:space="0" w:color="auto"/>
        <w:left w:val="none" w:sz="0" w:space="0" w:color="auto"/>
        <w:bottom w:val="none" w:sz="0" w:space="0" w:color="auto"/>
        <w:right w:val="none" w:sz="0" w:space="0" w:color="auto"/>
      </w:divBdr>
    </w:div>
    <w:div w:id="1662853544">
      <w:bodyDiv w:val="1"/>
      <w:marLeft w:val="0"/>
      <w:marRight w:val="0"/>
      <w:marTop w:val="0"/>
      <w:marBottom w:val="0"/>
      <w:divBdr>
        <w:top w:val="none" w:sz="0" w:space="0" w:color="auto"/>
        <w:left w:val="none" w:sz="0" w:space="0" w:color="auto"/>
        <w:bottom w:val="none" w:sz="0" w:space="0" w:color="auto"/>
        <w:right w:val="none" w:sz="0" w:space="0" w:color="auto"/>
      </w:divBdr>
    </w:div>
    <w:div w:id="1663001147">
      <w:bodyDiv w:val="1"/>
      <w:marLeft w:val="0"/>
      <w:marRight w:val="0"/>
      <w:marTop w:val="0"/>
      <w:marBottom w:val="0"/>
      <w:divBdr>
        <w:top w:val="none" w:sz="0" w:space="0" w:color="auto"/>
        <w:left w:val="none" w:sz="0" w:space="0" w:color="auto"/>
        <w:bottom w:val="none" w:sz="0" w:space="0" w:color="auto"/>
        <w:right w:val="none" w:sz="0" w:space="0" w:color="auto"/>
      </w:divBdr>
    </w:div>
    <w:div w:id="1664091862">
      <w:bodyDiv w:val="1"/>
      <w:marLeft w:val="0"/>
      <w:marRight w:val="0"/>
      <w:marTop w:val="0"/>
      <w:marBottom w:val="0"/>
      <w:divBdr>
        <w:top w:val="none" w:sz="0" w:space="0" w:color="auto"/>
        <w:left w:val="none" w:sz="0" w:space="0" w:color="auto"/>
        <w:bottom w:val="none" w:sz="0" w:space="0" w:color="auto"/>
        <w:right w:val="none" w:sz="0" w:space="0" w:color="auto"/>
      </w:divBdr>
    </w:div>
    <w:div w:id="1664817379">
      <w:bodyDiv w:val="1"/>
      <w:marLeft w:val="0"/>
      <w:marRight w:val="0"/>
      <w:marTop w:val="0"/>
      <w:marBottom w:val="0"/>
      <w:divBdr>
        <w:top w:val="none" w:sz="0" w:space="0" w:color="auto"/>
        <w:left w:val="none" w:sz="0" w:space="0" w:color="auto"/>
        <w:bottom w:val="none" w:sz="0" w:space="0" w:color="auto"/>
        <w:right w:val="none" w:sz="0" w:space="0" w:color="auto"/>
      </w:divBdr>
    </w:div>
    <w:div w:id="1665086561">
      <w:bodyDiv w:val="1"/>
      <w:marLeft w:val="0"/>
      <w:marRight w:val="0"/>
      <w:marTop w:val="0"/>
      <w:marBottom w:val="0"/>
      <w:divBdr>
        <w:top w:val="none" w:sz="0" w:space="0" w:color="auto"/>
        <w:left w:val="none" w:sz="0" w:space="0" w:color="auto"/>
        <w:bottom w:val="none" w:sz="0" w:space="0" w:color="auto"/>
        <w:right w:val="none" w:sz="0" w:space="0" w:color="auto"/>
      </w:divBdr>
    </w:div>
    <w:div w:id="1665206142">
      <w:bodyDiv w:val="1"/>
      <w:marLeft w:val="0"/>
      <w:marRight w:val="0"/>
      <w:marTop w:val="0"/>
      <w:marBottom w:val="0"/>
      <w:divBdr>
        <w:top w:val="none" w:sz="0" w:space="0" w:color="auto"/>
        <w:left w:val="none" w:sz="0" w:space="0" w:color="auto"/>
        <w:bottom w:val="none" w:sz="0" w:space="0" w:color="auto"/>
        <w:right w:val="none" w:sz="0" w:space="0" w:color="auto"/>
      </w:divBdr>
      <w:divsChild>
        <w:div w:id="287009729">
          <w:marLeft w:val="0"/>
          <w:marRight w:val="0"/>
          <w:marTop w:val="0"/>
          <w:marBottom w:val="0"/>
          <w:divBdr>
            <w:top w:val="none" w:sz="0" w:space="0" w:color="auto"/>
            <w:left w:val="none" w:sz="0" w:space="0" w:color="auto"/>
            <w:bottom w:val="none" w:sz="0" w:space="0" w:color="auto"/>
            <w:right w:val="none" w:sz="0" w:space="0" w:color="auto"/>
          </w:divBdr>
          <w:divsChild>
            <w:div w:id="1707025521">
              <w:marLeft w:val="0"/>
              <w:marRight w:val="0"/>
              <w:marTop w:val="0"/>
              <w:marBottom w:val="0"/>
              <w:divBdr>
                <w:top w:val="none" w:sz="0" w:space="0" w:color="auto"/>
                <w:left w:val="none" w:sz="0" w:space="0" w:color="auto"/>
                <w:bottom w:val="none" w:sz="0" w:space="0" w:color="auto"/>
                <w:right w:val="none" w:sz="0" w:space="0" w:color="auto"/>
              </w:divBdr>
              <w:divsChild>
                <w:div w:id="16779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24467">
      <w:bodyDiv w:val="1"/>
      <w:marLeft w:val="0"/>
      <w:marRight w:val="0"/>
      <w:marTop w:val="0"/>
      <w:marBottom w:val="0"/>
      <w:divBdr>
        <w:top w:val="none" w:sz="0" w:space="0" w:color="auto"/>
        <w:left w:val="none" w:sz="0" w:space="0" w:color="auto"/>
        <w:bottom w:val="none" w:sz="0" w:space="0" w:color="auto"/>
        <w:right w:val="none" w:sz="0" w:space="0" w:color="auto"/>
      </w:divBdr>
    </w:div>
    <w:div w:id="1667396398">
      <w:bodyDiv w:val="1"/>
      <w:marLeft w:val="0"/>
      <w:marRight w:val="0"/>
      <w:marTop w:val="0"/>
      <w:marBottom w:val="0"/>
      <w:divBdr>
        <w:top w:val="none" w:sz="0" w:space="0" w:color="auto"/>
        <w:left w:val="none" w:sz="0" w:space="0" w:color="auto"/>
        <w:bottom w:val="none" w:sz="0" w:space="0" w:color="auto"/>
        <w:right w:val="none" w:sz="0" w:space="0" w:color="auto"/>
      </w:divBdr>
      <w:divsChild>
        <w:div w:id="954410489">
          <w:marLeft w:val="0"/>
          <w:marRight w:val="0"/>
          <w:marTop w:val="0"/>
          <w:marBottom w:val="0"/>
          <w:divBdr>
            <w:top w:val="none" w:sz="0" w:space="0" w:color="auto"/>
            <w:left w:val="none" w:sz="0" w:space="0" w:color="auto"/>
            <w:bottom w:val="none" w:sz="0" w:space="0" w:color="auto"/>
            <w:right w:val="none" w:sz="0" w:space="0" w:color="auto"/>
          </w:divBdr>
          <w:divsChild>
            <w:div w:id="349111725">
              <w:marLeft w:val="0"/>
              <w:marRight w:val="0"/>
              <w:marTop w:val="0"/>
              <w:marBottom w:val="0"/>
              <w:divBdr>
                <w:top w:val="none" w:sz="0" w:space="0" w:color="auto"/>
                <w:left w:val="none" w:sz="0" w:space="0" w:color="auto"/>
                <w:bottom w:val="none" w:sz="0" w:space="0" w:color="auto"/>
                <w:right w:val="none" w:sz="0" w:space="0" w:color="auto"/>
              </w:divBdr>
              <w:divsChild>
                <w:div w:id="1516652374">
                  <w:marLeft w:val="0"/>
                  <w:marRight w:val="0"/>
                  <w:marTop w:val="0"/>
                  <w:marBottom w:val="0"/>
                  <w:divBdr>
                    <w:top w:val="none" w:sz="0" w:space="0" w:color="auto"/>
                    <w:left w:val="none" w:sz="0" w:space="0" w:color="auto"/>
                    <w:bottom w:val="none" w:sz="0" w:space="0" w:color="auto"/>
                    <w:right w:val="none" w:sz="0" w:space="0" w:color="auto"/>
                  </w:divBdr>
                  <w:divsChild>
                    <w:div w:id="1560480087">
                      <w:marLeft w:val="0"/>
                      <w:marRight w:val="0"/>
                      <w:marTop w:val="0"/>
                      <w:marBottom w:val="0"/>
                      <w:divBdr>
                        <w:top w:val="none" w:sz="0" w:space="0" w:color="auto"/>
                        <w:left w:val="none" w:sz="0" w:space="0" w:color="auto"/>
                        <w:bottom w:val="none" w:sz="0" w:space="0" w:color="auto"/>
                        <w:right w:val="none" w:sz="0" w:space="0" w:color="auto"/>
                      </w:divBdr>
                    </w:div>
                  </w:divsChild>
                </w:div>
                <w:div w:id="1652977419">
                  <w:marLeft w:val="0"/>
                  <w:marRight w:val="0"/>
                  <w:marTop w:val="0"/>
                  <w:marBottom w:val="0"/>
                  <w:divBdr>
                    <w:top w:val="none" w:sz="0" w:space="0" w:color="auto"/>
                    <w:left w:val="none" w:sz="0" w:space="0" w:color="auto"/>
                    <w:bottom w:val="none" w:sz="0" w:space="0" w:color="auto"/>
                    <w:right w:val="none" w:sz="0" w:space="0" w:color="auto"/>
                  </w:divBdr>
                  <w:divsChild>
                    <w:div w:id="155820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703186">
      <w:bodyDiv w:val="1"/>
      <w:marLeft w:val="0"/>
      <w:marRight w:val="0"/>
      <w:marTop w:val="0"/>
      <w:marBottom w:val="0"/>
      <w:divBdr>
        <w:top w:val="none" w:sz="0" w:space="0" w:color="auto"/>
        <w:left w:val="none" w:sz="0" w:space="0" w:color="auto"/>
        <w:bottom w:val="none" w:sz="0" w:space="0" w:color="auto"/>
        <w:right w:val="none" w:sz="0" w:space="0" w:color="auto"/>
      </w:divBdr>
      <w:divsChild>
        <w:div w:id="884565362">
          <w:marLeft w:val="0"/>
          <w:marRight w:val="0"/>
          <w:marTop w:val="0"/>
          <w:marBottom w:val="0"/>
          <w:divBdr>
            <w:top w:val="none" w:sz="0" w:space="0" w:color="auto"/>
            <w:left w:val="none" w:sz="0" w:space="0" w:color="auto"/>
            <w:bottom w:val="none" w:sz="0" w:space="0" w:color="auto"/>
            <w:right w:val="none" w:sz="0" w:space="0" w:color="auto"/>
          </w:divBdr>
          <w:divsChild>
            <w:div w:id="1814062972">
              <w:marLeft w:val="0"/>
              <w:marRight w:val="0"/>
              <w:marTop w:val="0"/>
              <w:marBottom w:val="0"/>
              <w:divBdr>
                <w:top w:val="none" w:sz="0" w:space="0" w:color="auto"/>
                <w:left w:val="none" w:sz="0" w:space="0" w:color="auto"/>
                <w:bottom w:val="none" w:sz="0" w:space="0" w:color="auto"/>
                <w:right w:val="none" w:sz="0" w:space="0" w:color="auto"/>
              </w:divBdr>
              <w:divsChild>
                <w:div w:id="1311791400">
                  <w:marLeft w:val="0"/>
                  <w:marRight w:val="0"/>
                  <w:marTop w:val="0"/>
                  <w:marBottom w:val="0"/>
                  <w:divBdr>
                    <w:top w:val="none" w:sz="0" w:space="0" w:color="auto"/>
                    <w:left w:val="none" w:sz="0" w:space="0" w:color="auto"/>
                    <w:bottom w:val="none" w:sz="0" w:space="0" w:color="auto"/>
                    <w:right w:val="none" w:sz="0" w:space="0" w:color="auto"/>
                  </w:divBdr>
                  <w:divsChild>
                    <w:div w:id="6161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858029">
      <w:bodyDiv w:val="1"/>
      <w:marLeft w:val="0"/>
      <w:marRight w:val="0"/>
      <w:marTop w:val="0"/>
      <w:marBottom w:val="0"/>
      <w:divBdr>
        <w:top w:val="none" w:sz="0" w:space="0" w:color="auto"/>
        <w:left w:val="none" w:sz="0" w:space="0" w:color="auto"/>
        <w:bottom w:val="none" w:sz="0" w:space="0" w:color="auto"/>
        <w:right w:val="none" w:sz="0" w:space="0" w:color="auto"/>
      </w:divBdr>
    </w:div>
    <w:div w:id="1667901705">
      <w:bodyDiv w:val="1"/>
      <w:marLeft w:val="0"/>
      <w:marRight w:val="0"/>
      <w:marTop w:val="0"/>
      <w:marBottom w:val="0"/>
      <w:divBdr>
        <w:top w:val="none" w:sz="0" w:space="0" w:color="auto"/>
        <w:left w:val="none" w:sz="0" w:space="0" w:color="auto"/>
        <w:bottom w:val="none" w:sz="0" w:space="0" w:color="auto"/>
        <w:right w:val="none" w:sz="0" w:space="0" w:color="auto"/>
      </w:divBdr>
    </w:div>
    <w:div w:id="1667980286">
      <w:bodyDiv w:val="1"/>
      <w:marLeft w:val="0"/>
      <w:marRight w:val="0"/>
      <w:marTop w:val="0"/>
      <w:marBottom w:val="0"/>
      <w:divBdr>
        <w:top w:val="none" w:sz="0" w:space="0" w:color="auto"/>
        <w:left w:val="none" w:sz="0" w:space="0" w:color="auto"/>
        <w:bottom w:val="none" w:sz="0" w:space="0" w:color="auto"/>
        <w:right w:val="none" w:sz="0" w:space="0" w:color="auto"/>
      </w:divBdr>
      <w:divsChild>
        <w:div w:id="1996105520">
          <w:marLeft w:val="0"/>
          <w:marRight w:val="0"/>
          <w:marTop w:val="0"/>
          <w:marBottom w:val="0"/>
          <w:divBdr>
            <w:top w:val="none" w:sz="0" w:space="0" w:color="auto"/>
            <w:left w:val="none" w:sz="0" w:space="0" w:color="auto"/>
            <w:bottom w:val="none" w:sz="0" w:space="0" w:color="auto"/>
            <w:right w:val="none" w:sz="0" w:space="0" w:color="auto"/>
          </w:divBdr>
          <w:divsChild>
            <w:div w:id="1667005805">
              <w:marLeft w:val="0"/>
              <w:marRight w:val="0"/>
              <w:marTop w:val="0"/>
              <w:marBottom w:val="0"/>
              <w:divBdr>
                <w:top w:val="none" w:sz="0" w:space="0" w:color="auto"/>
                <w:left w:val="none" w:sz="0" w:space="0" w:color="auto"/>
                <w:bottom w:val="none" w:sz="0" w:space="0" w:color="auto"/>
                <w:right w:val="none" w:sz="0" w:space="0" w:color="auto"/>
              </w:divBdr>
              <w:divsChild>
                <w:div w:id="579369124">
                  <w:marLeft w:val="0"/>
                  <w:marRight w:val="0"/>
                  <w:marTop w:val="0"/>
                  <w:marBottom w:val="0"/>
                  <w:divBdr>
                    <w:top w:val="none" w:sz="0" w:space="0" w:color="auto"/>
                    <w:left w:val="none" w:sz="0" w:space="0" w:color="auto"/>
                    <w:bottom w:val="none" w:sz="0" w:space="0" w:color="auto"/>
                    <w:right w:val="none" w:sz="0" w:space="0" w:color="auto"/>
                  </w:divBdr>
                  <w:divsChild>
                    <w:div w:id="106052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168044">
      <w:bodyDiv w:val="1"/>
      <w:marLeft w:val="0"/>
      <w:marRight w:val="0"/>
      <w:marTop w:val="0"/>
      <w:marBottom w:val="0"/>
      <w:divBdr>
        <w:top w:val="none" w:sz="0" w:space="0" w:color="auto"/>
        <w:left w:val="none" w:sz="0" w:space="0" w:color="auto"/>
        <w:bottom w:val="none" w:sz="0" w:space="0" w:color="auto"/>
        <w:right w:val="none" w:sz="0" w:space="0" w:color="auto"/>
      </w:divBdr>
      <w:divsChild>
        <w:div w:id="894973178">
          <w:marLeft w:val="0"/>
          <w:marRight w:val="0"/>
          <w:marTop w:val="0"/>
          <w:marBottom w:val="0"/>
          <w:divBdr>
            <w:top w:val="none" w:sz="0" w:space="0" w:color="auto"/>
            <w:left w:val="none" w:sz="0" w:space="0" w:color="auto"/>
            <w:bottom w:val="none" w:sz="0" w:space="0" w:color="auto"/>
            <w:right w:val="none" w:sz="0" w:space="0" w:color="auto"/>
          </w:divBdr>
          <w:divsChild>
            <w:div w:id="882785409">
              <w:marLeft w:val="0"/>
              <w:marRight w:val="0"/>
              <w:marTop w:val="0"/>
              <w:marBottom w:val="0"/>
              <w:divBdr>
                <w:top w:val="none" w:sz="0" w:space="0" w:color="auto"/>
                <w:left w:val="none" w:sz="0" w:space="0" w:color="auto"/>
                <w:bottom w:val="none" w:sz="0" w:space="0" w:color="auto"/>
                <w:right w:val="none" w:sz="0" w:space="0" w:color="auto"/>
              </w:divBdr>
              <w:divsChild>
                <w:div w:id="105849941">
                  <w:marLeft w:val="0"/>
                  <w:marRight w:val="0"/>
                  <w:marTop w:val="0"/>
                  <w:marBottom w:val="0"/>
                  <w:divBdr>
                    <w:top w:val="none" w:sz="0" w:space="0" w:color="auto"/>
                    <w:left w:val="none" w:sz="0" w:space="0" w:color="auto"/>
                    <w:bottom w:val="none" w:sz="0" w:space="0" w:color="auto"/>
                    <w:right w:val="none" w:sz="0" w:space="0" w:color="auto"/>
                  </w:divBdr>
                  <w:divsChild>
                    <w:div w:id="280112375">
                      <w:marLeft w:val="0"/>
                      <w:marRight w:val="0"/>
                      <w:marTop w:val="0"/>
                      <w:marBottom w:val="0"/>
                      <w:divBdr>
                        <w:top w:val="none" w:sz="0" w:space="0" w:color="auto"/>
                        <w:left w:val="none" w:sz="0" w:space="0" w:color="auto"/>
                        <w:bottom w:val="none" w:sz="0" w:space="0" w:color="auto"/>
                        <w:right w:val="none" w:sz="0" w:space="0" w:color="auto"/>
                      </w:divBdr>
                    </w:div>
                  </w:divsChild>
                </w:div>
                <w:div w:id="2082437864">
                  <w:marLeft w:val="0"/>
                  <w:marRight w:val="0"/>
                  <w:marTop w:val="0"/>
                  <w:marBottom w:val="0"/>
                  <w:divBdr>
                    <w:top w:val="none" w:sz="0" w:space="0" w:color="auto"/>
                    <w:left w:val="none" w:sz="0" w:space="0" w:color="auto"/>
                    <w:bottom w:val="none" w:sz="0" w:space="0" w:color="auto"/>
                    <w:right w:val="none" w:sz="0" w:space="0" w:color="auto"/>
                  </w:divBdr>
                  <w:divsChild>
                    <w:div w:id="179340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055726">
      <w:bodyDiv w:val="1"/>
      <w:marLeft w:val="0"/>
      <w:marRight w:val="0"/>
      <w:marTop w:val="0"/>
      <w:marBottom w:val="0"/>
      <w:divBdr>
        <w:top w:val="none" w:sz="0" w:space="0" w:color="auto"/>
        <w:left w:val="none" w:sz="0" w:space="0" w:color="auto"/>
        <w:bottom w:val="none" w:sz="0" w:space="0" w:color="auto"/>
        <w:right w:val="none" w:sz="0" w:space="0" w:color="auto"/>
      </w:divBdr>
    </w:div>
    <w:div w:id="1670404671">
      <w:bodyDiv w:val="1"/>
      <w:marLeft w:val="0"/>
      <w:marRight w:val="0"/>
      <w:marTop w:val="0"/>
      <w:marBottom w:val="0"/>
      <w:divBdr>
        <w:top w:val="none" w:sz="0" w:space="0" w:color="auto"/>
        <w:left w:val="none" w:sz="0" w:space="0" w:color="auto"/>
        <w:bottom w:val="none" w:sz="0" w:space="0" w:color="auto"/>
        <w:right w:val="none" w:sz="0" w:space="0" w:color="auto"/>
      </w:divBdr>
    </w:div>
    <w:div w:id="1671103135">
      <w:bodyDiv w:val="1"/>
      <w:marLeft w:val="0"/>
      <w:marRight w:val="0"/>
      <w:marTop w:val="0"/>
      <w:marBottom w:val="0"/>
      <w:divBdr>
        <w:top w:val="none" w:sz="0" w:space="0" w:color="auto"/>
        <w:left w:val="none" w:sz="0" w:space="0" w:color="auto"/>
        <w:bottom w:val="none" w:sz="0" w:space="0" w:color="auto"/>
        <w:right w:val="none" w:sz="0" w:space="0" w:color="auto"/>
      </w:divBdr>
    </w:div>
    <w:div w:id="1671904829">
      <w:bodyDiv w:val="1"/>
      <w:marLeft w:val="0"/>
      <w:marRight w:val="0"/>
      <w:marTop w:val="0"/>
      <w:marBottom w:val="0"/>
      <w:divBdr>
        <w:top w:val="none" w:sz="0" w:space="0" w:color="auto"/>
        <w:left w:val="none" w:sz="0" w:space="0" w:color="auto"/>
        <w:bottom w:val="none" w:sz="0" w:space="0" w:color="auto"/>
        <w:right w:val="none" w:sz="0" w:space="0" w:color="auto"/>
      </w:divBdr>
      <w:divsChild>
        <w:div w:id="1866794934">
          <w:marLeft w:val="0"/>
          <w:marRight w:val="0"/>
          <w:marTop w:val="0"/>
          <w:marBottom w:val="0"/>
          <w:divBdr>
            <w:top w:val="none" w:sz="0" w:space="0" w:color="auto"/>
            <w:left w:val="none" w:sz="0" w:space="0" w:color="auto"/>
            <w:bottom w:val="none" w:sz="0" w:space="0" w:color="auto"/>
            <w:right w:val="none" w:sz="0" w:space="0" w:color="auto"/>
          </w:divBdr>
          <w:divsChild>
            <w:div w:id="1448812766">
              <w:marLeft w:val="0"/>
              <w:marRight w:val="0"/>
              <w:marTop w:val="0"/>
              <w:marBottom w:val="0"/>
              <w:divBdr>
                <w:top w:val="none" w:sz="0" w:space="0" w:color="auto"/>
                <w:left w:val="none" w:sz="0" w:space="0" w:color="auto"/>
                <w:bottom w:val="none" w:sz="0" w:space="0" w:color="auto"/>
                <w:right w:val="none" w:sz="0" w:space="0" w:color="auto"/>
              </w:divBdr>
              <w:divsChild>
                <w:div w:id="715470577">
                  <w:marLeft w:val="0"/>
                  <w:marRight w:val="0"/>
                  <w:marTop w:val="0"/>
                  <w:marBottom w:val="0"/>
                  <w:divBdr>
                    <w:top w:val="none" w:sz="0" w:space="0" w:color="auto"/>
                    <w:left w:val="none" w:sz="0" w:space="0" w:color="auto"/>
                    <w:bottom w:val="none" w:sz="0" w:space="0" w:color="auto"/>
                    <w:right w:val="none" w:sz="0" w:space="0" w:color="auto"/>
                  </w:divBdr>
                  <w:divsChild>
                    <w:div w:id="40750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030509">
      <w:bodyDiv w:val="1"/>
      <w:marLeft w:val="0"/>
      <w:marRight w:val="0"/>
      <w:marTop w:val="0"/>
      <w:marBottom w:val="0"/>
      <w:divBdr>
        <w:top w:val="none" w:sz="0" w:space="0" w:color="auto"/>
        <w:left w:val="none" w:sz="0" w:space="0" w:color="auto"/>
        <w:bottom w:val="none" w:sz="0" w:space="0" w:color="auto"/>
        <w:right w:val="none" w:sz="0" w:space="0" w:color="auto"/>
      </w:divBdr>
      <w:divsChild>
        <w:div w:id="1694184711">
          <w:marLeft w:val="0"/>
          <w:marRight w:val="0"/>
          <w:marTop w:val="0"/>
          <w:marBottom w:val="0"/>
          <w:divBdr>
            <w:top w:val="none" w:sz="0" w:space="0" w:color="auto"/>
            <w:left w:val="none" w:sz="0" w:space="0" w:color="auto"/>
            <w:bottom w:val="none" w:sz="0" w:space="0" w:color="auto"/>
            <w:right w:val="none" w:sz="0" w:space="0" w:color="auto"/>
          </w:divBdr>
          <w:divsChild>
            <w:div w:id="1170290714">
              <w:marLeft w:val="0"/>
              <w:marRight w:val="0"/>
              <w:marTop w:val="0"/>
              <w:marBottom w:val="0"/>
              <w:divBdr>
                <w:top w:val="none" w:sz="0" w:space="0" w:color="auto"/>
                <w:left w:val="none" w:sz="0" w:space="0" w:color="auto"/>
                <w:bottom w:val="none" w:sz="0" w:space="0" w:color="auto"/>
                <w:right w:val="none" w:sz="0" w:space="0" w:color="auto"/>
              </w:divBdr>
              <w:divsChild>
                <w:div w:id="1065683263">
                  <w:marLeft w:val="0"/>
                  <w:marRight w:val="0"/>
                  <w:marTop w:val="0"/>
                  <w:marBottom w:val="0"/>
                  <w:divBdr>
                    <w:top w:val="none" w:sz="0" w:space="0" w:color="auto"/>
                    <w:left w:val="none" w:sz="0" w:space="0" w:color="auto"/>
                    <w:bottom w:val="none" w:sz="0" w:space="0" w:color="auto"/>
                    <w:right w:val="none" w:sz="0" w:space="0" w:color="auto"/>
                  </w:divBdr>
                  <w:divsChild>
                    <w:div w:id="36355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296322">
      <w:bodyDiv w:val="1"/>
      <w:marLeft w:val="0"/>
      <w:marRight w:val="0"/>
      <w:marTop w:val="0"/>
      <w:marBottom w:val="0"/>
      <w:divBdr>
        <w:top w:val="none" w:sz="0" w:space="0" w:color="auto"/>
        <w:left w:val="none" w:sz="0" w:space="0" w:color="auto"/>
        <w:bottom w:val="none" w:sz="0" w:space="0" w:color="auto"/>
        <w:right w:val="none" w:sz="0" w:space="0" w:color="auto"/>
      </w:divBdr>
    </w:div>
    <w:div w:id="1673098253">
      <w:bodyDiv w:val="1"/>
      <w:marLeft w:val="0"/>
      <w:marRight w:val="0"/>
      <w:marTop w:val="0"/>
      <w:marBottom w:val="0"/>
      <w:divBdr>
        <w:top w:val="none" w:sz="0" w:space="0" w:color="auto"/>
        <w:left w:val="none" w:sz="0" w:space="0" w:color="auto"/>
        <w:bottom w:val="none" w:sz="0" w:space="0" w:color="auto"/>
        <w:right w:val="none" w:sz="0" w:space="0" w:color="auto"/>
      </w:divBdr>
      <w:divsChild>
        <w:div w:id="952133752">
          <w:marLeft w:val="0"/>
          <w:marRight w:val="0"/>
          <w:marTop w:val="0"/>
          <w:marBottom w:val="0"/>
          <w:divBdr>
            <w:top w:val="none" w:sz="0" w:space="0" w:color="auto"/>
            <w:left w:val="none" w:sz="0" w:space="0" w:color="auto"/>
            <w:bottom w:val="none" w:sz="0" w:space="0" w:color="auto"/>
            <w:right w:val="none" w:sz="0" w:space="0" w:color="auto"/>
          </w:divBdr>
          <w:divsChild>
            <w:div w:id="1474175900">
              <w:marLeft w:val="0"/>
              <w:marRight w:val="0"/>
              <w:marTop w:val="0"/>
              <w:marBottom w:val="0"/>
              <w:divBdr>
                <w:top w:val="none" w:sz="0" w:space="0" w:color="auto"/>
                <w:left w:val="none" w:sz="0" w:space="0" w:color="auto"/>
                <w:bottom w:val="none" w:sz="0" w:space="0" w:color="auto"/>
                <w:right w:val="none" w:sz="0" w:space="0" w:color="auto"/>
              </w:divBdr>
              <w:divsChild>
                <w:div w:id="90152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3451">
      <w:bodyDiv w:val="1"/>
      <w:marLeft w:val="0"/>
      <w:marRight w:val="0"/>
      <w:marTop w:val="0"/>
      <w:marBottom w:val="0"/>
      <w:divBdr>
        <w:top w:val="none" w:sz="0" w:space="0" w:color="auto"/>
        <w:left w:val="none" w:sz="0" w:space="0" w:color="auto"/>
        <w:bottom w:val="none" w:sz="0" w:space="0" w:color="auto"/>
        <w:right w:val="none" w:sz="0" w:space="0" w:color="auto"/>
      </w:divBdr>
      <w:divsChild>
        <w:div w:id="38867214">
          <w:marLeft w:val="0"/>
          <w:marRight w:val="0"/>
          <w:marTop w:val="0"/>
          <w:marBottom w:val="0"/>
          <w:divBdr>
            <w:top w:val="none" w:sz="0" w:space="0" w:color="auto"/>
            <w:left w:val="none" w:sz="0" w:space="0" w:color="auto"/>
            <w:bottom w:val="none" w:sz="0" w:space="0" w:color="auto"/>
            <w:right w:val="none" w:sz="0" w:space="0" w:color="auto"/>
          </w:divBdr>
          <w:divsChild>
            <w:div w:id="914317499">
              <w:marLeft w:val="0"/>
              <w:marRight w:val="0"/>
              <w:marTop w:val="0"/>
              <w:marBottom w:val="0"/>
              <w:divBdr>
                <w:top w:val="none" w:sz="0" w:space="0" w:color="auto"/>
                <w:left w:val="none" w:sz="0" w:space="0" w:color="auto"/>
                <w:bottom w:val="none" w:sz="0" w:space="0" w:color="auto"/>
                <w:right w:val="none" w:sz="0" w:space="0" w:color="auto"/>
              </w:divBdr>
              <w:divsChild>
                <w:div w:id="1036546868">
                  <w:marLeft w:val="0"/>
                  <w:marRight w:val="0"/>
                  <w:marTop w:val="0"/>
                  <w:marBottom w:val="0"/>
                  <w:divBdr>
                    <w:top w:val="none" w:sz="0" w:space="0" w:color="auto"/>
                    <w:left w:val="none" w:sz="0" w:space="0" w:color="auto"/>
                    <w:bottom w:val="none" w:sz="0" w:space="0" w:color="auto"/>
                    <w:right w:val="none" w:sz="0" w:space="0" w:color="auto"/>
                  </w:divBdr>
                  <w:divsChild>
                    <w:div w:id="15867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336260">
      <w:bodyDiv w:val="1"/>
      <w:marLeft w:val="0"/>
      <w:marRight w:val="0"/>
      <w:marTop w:val="0"/>
      <w:marBottom w:val="0"/>
      <w:divBdr>
        <w:top w:val="none" w:sz="0" w:space="0" w:color="auto"/>
        <w:left w:val="none" w:sz="0" w:space="0" w:color="auto"/>
        <w:bottom w:val="none" w:sz="0" w:space="0" w:color="auto"/>
        <w:right w:val="none" w:sz="0" w:space="0" w:color="auto"/>
      </w:divBdr>
    </w:div>
    <w:div w:id="1674800899">
      <w:bodyDiv w:val="1"/>
      <w:marLeft w:val="0"/>
      <w:marRight w:val="0"/>
      <w:marTop w:val="0"/>
      <w:marBottom w:val="0"/>
      <w:divBdr>
        <w:top w:val="none" w:sz="0" w:space="0" w:color="auto"/>
        <w:left w:val="none" w:sz="0" w:space="0" w:color="auto"/>
        <w:bottom w:val="none" w:sz="0" w:space="0" w:color="auto"/>
        <w:right w:val="none" w:sz="0" w:space="0" w:color="auto"/>
      </w:divBdr>
      <w:divsChild>
        <w:div w:id="284241112">
          <w:marLeft w:val="0"/>
          <w:marRight w:val="0"/>
          <w:marTop w:val="0"/>
          <w:marBottom w:val="0"/>
          <w:divBdr>
            <w:top w:val="none" w:sz="0" w:space="0" w:color="auto"/>
            <w:left w:val="none" w:sz="0" w:space="0" w:color="auto"/>
            <w:bottom w:val="none" w:sz="0" w:space="0" w:color="auto"/>
            <w:right w:val="none" w:sz="0" w:space="0" w:color="auto"/>
          </w:divBdr>
          <w:divsChild>
            <w:div w:id="850030240">
              <w:marLeft w:val="0"/>
              <w:marRight w:val="0"/>
              <w:marTop w:val="0"/>
              <w:marBottom w:val="0"/>
              <w:divBdr>
                <w:top w:val="none" w:sz="0" w:space="0" w:color="auto"/>
                <w:left w:val="none" w:sz="0" w:space="0" w:color="auto"/>
                <w:bottom w:val="none" w:sz="0" w:space="0" w:color="auto"/>
                <w:right w:val="none" w:sz="0" w:space="0" w:color="auto"/>
              </w:divBdr>
              <w:divsChild>
                <w:div w:id="1193376751">
                  <w:marLeft w:val="0"/>
                  <w:marRight w:val="0"/>
                  <w:marTop w:val="0"/>
                  <w:marBottom w:val="0"/>
                  <w:divBdr>
                    <w:top w:val="none" w:sz="0" w:space="0" w:color="auto"/>
                    <w:left w:val="none" w:sz="0" w:space="0" w:color="auto"/>
                    <w:bottom w:val="none" w:sz="0" w:space="0" w:color="auto"/>
                    <w:right w:val="none" w:sz="0" w:space="0" w:color="auto"/>
                  </w:divBdr>
                  <w:divsChild>
                    <w:div w:id="20141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454356">
      <w:bodyDiv w:val="1"/>
      <w:marLeft w:val="0"/>
      <w:marRight w:val="0"/>
      <w:marTop w:val="0"/>
      <w:marBottom w:val="0"/>
      <w:divBdr>
        <w:top w:val="none" w:sz="0" w:space="0" w:color="auto"/>
        <w:left w:val="none" w:sz="0" w:space="0" w:color="auto"/>
        <w:bottom w:val="none" w:sz="0" w:space="0" w:color="auto"/>
        <w:right w:val="none" w:sz="0" w:space="0" w:color="auto"/>
      </w:divBdr>
      <w:divsChild>
        <w:div w:id="1460883067">
          <w:marLeft w:val="0"/>
          <w:marRight w:val="0"/>
          <w:marTop w:val="0"/>
          <w:marBottom w:val="0"/>
          <w:divBdr>
            <w:top w:val="none" w:sz="0" w:space="0" w:color="auto"/>
            <w:left w:val="none" w:sz="0" w:space="0" w:color="auto"/>
            <w:bottom w:val="none" w:sz="0" w:space="0" w:color="auto"/>
            <w:right w:val="none" w:sz="0" w:space="0" w:color="auto"/>
          </w:divBdr>
          <w:divsChild>
            <w:div w:id="367611996">
              <w:marLeft w:val="0"/>
              <w:marRight w:val="0"/>
              <w:marTop w:val="0"/>
              <w:marBottom w:val="0"/>
              <w:divBdr>
                <w:top w:val="none" w:sz="0" w:space="0" w:color="auto"/>
                <w:left w:val="none" w:sz="0" w:space="0" w:color="auto"/>
                <w:bottom w:val="none" w:sz="0" w:space="0" w:color="auto"/>
                <w:right w:val="none" w:sz="0" w:space="0" w:color="auto"/>
              </w:divBdr>
              <w:divsChild>
                <w:div w:id="208759836">
                  <w:marLeft w:val="0"/>
                  <w:marRight w:val="0"/>
                  <w:marTop w:val="0"/>
                  <w:marBottom w:val="0"/>
                  <w:divBdr>
                    <w:top w:val="none" w:sz="0" w:space="0" w:color="auto"/>
                    <w:left w:val="none" w:sz="0" w:space="0" w:color="auto"/>
                    <w:bottom w:val="none" w:sz="0" w:space="0" w:color="auto"/>
                    <w:right w:val="none" w:sz="0" w:space="0" w:color="auto"/>
                  </w:divBdr>
                </w:div>
              </w:divsChild>
            </w:div>
            <w:div w:id="1464696721">
              <w:marLeft w:val="0"/>
              <w:marRight w:val="0"/>
              <w:marTop w:val="0"/>
              <w:marBottom w:val="0"/>
              <w:divBdr>
                <w:top w:val="none" w:sz="0" w:space="0" w:color="auto"/>
                <w:left w:val="none" w:sz="0" w:space="0" w:color="auto"/>
                <w:bottom w:val="none" w:sz="0" w:space="0" w:color="auto"/>
                <w:right w:val="none" w:sz="0" w:space="0" w:color="auto"/>
              </w:divBdr>
              <w:divsChild>
                <w:div w:id="99957366">
                  <w:marLeft w:val="0"/>
                  <w:marRight w:val="0"/>
                  <w:marTop w:val="0"/>
                  <w:marBottom w:val="0"/>
                  <w:divBdr>
                    <w:top w:val="none" w:sz="0" w:space="0" w:color="auto"/>
                    <w:left w:val="none" w:sz="0" w:space="0" w:color="auto"/>
                    <w:bottom w:val="none" w:sz="0" w:space="0" w:color="auto"/>
                    <w:right w:val="none" w:sz="0" w:space="0" w:color="auto"/>
                  </w:divBdr>
                </w:div>
              </w:divsChild>
            </w:div>
            <w:div w:id="1742868355">
              <w:marLeft w:val="0"/>
              <w:marRight w:val="0"/>
              <w:marTop w:val="0"/>
              <w:marBottom w:val="0"/>
              <w:divBdr>
                <w:top w:val="none" w:sz="0" w:space="0" w:color="auto"/>
                <w:left w:val="none" w:sz="0" w:space="0" w:color="auto"/>
                <w:bottom w:val="none" w:sz="0" w:space="0" w:color="auto"/>
                <w:right w:val="none" w:sz="0" w:space="0" w:color="auto"/>
              </w:divBdr>
              <w:divsChild>
                <w:div w:id="20325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05487">
      <w:bodyDiv w:val="1"/>
      <w:marLeft w:val="0"/>
      <w:marRight w:val="0"/>
      <w:marTop w:val="0"/>
      <w:marBottom w:val="0"/>
      <w:divBdr>
        <w:top w:val="none" w:sz="0" w:space="0" w:color="auto"/>
        <w:left w:val="none" w:sz="0" w:space="0" w:color="auto"/>
        <w:bottom w:val="none" w:sz="0" w:space="0" w:color="auto"/>
        <w:right w:val="none" w:sz="0" w:space="0" w:color="auto"/>
      </w:divBdr>
    </w:div>
    <w:div w:id="1676345837">
      <w:bodyDiv w:val="1"/>
      <w:marLeft w:val="0"/>
      <w:marRight w:val="0"/>
      <w:marTop w:val="0"/>
      <w:marBottom w:val="0"/>
      <w:divBdr>
        <w:top w:val="none" w:sz="0" w:space="0" w:color="auto"/>
        <w:left w:val="none" w:sz="0" w:space="0" w:color="auto"/>
        <w:bottom w:val="none" w:sz="0" w:space="0" w:color="auto"/>
        <w:right w:val="none" w:sz="0" w:space="0" w:color="auto"/>
      </w:divBdr>
    </w:div>
    <w:div w:id="1676424166">
      <w:bodyDiv w:val="1"/>
      <w:marLeft w:val="0"/>
      <w:marRight w:val="0"/>
      <w:marTop w:val="0"/>
      <w:marBottom w:val="0"/>
      <w:divBdr>
        <w:top w:val="none" w:sz="0" w:space="0" w:color="auto"/>
        <w:left w:val="none" w:sz="0" w:space="0" w:color="auto"/>
        <w:bottom w:val="none" w:sz="0" w:space="0" w:color="auto"/>
        <w:right w:val="none" w:sz="0" w:space="0" w:color="auto"/>
      </w:divBdr>
      <w:divsChild>
        <w:div w:id="978143963">
          <w:marLeft w:val="0"/>
          <w:marRight w:val="0"/>
          <w:marTop w:val="0"/>
          <w:marBottom w:val="0"/>
          <w:divBdr>
            <w:top w:val="none" w:sz="0" w:space="0" w:color="auto"/>
            <w:left w:val="none" w:sz="0" w:space="0" w:color="auto"/>
            <w:bottom w:val="none" w:sz="0" w:space="0" w:color="auto"/>
            <w:right w:val="none" w:sz="0" w:space="0" w:color="auto"/>
          </w:divBdr>
          <w:divsChild>
            <w:div w:id="750809307">
              <w:marLeft w:val="0"/>
              <w:marRight w:val="0"/>
              <w:marTop w:val="0"/>
              <w:marBottom w:val="0"/>
              <w:divBdr>
                <w:top w:val="none" w:sz="0" w:space="0" w:color="auto"/>
                <w:left w:val="none" w:sz="0" w:space="0" w:color="auto"/>
                <w:bottom w:val="none" w:sz="0" w:space="0" w:color="auto"/>
                <w:right w:val="none" w:sz="0" w:space="0" w:color="auto"/>
              </w:divBdr>
              <w:divsChild>
                <w:div w:id="937716491">
                  <w:marLeft w:val="0"/>
                  <w:marRight w:val="0"/>
                  <w:marTop w:val="0"/>
                  <w:marBottom w:val="0"/>
                  <w:divBdr>
                    <w:top w:val="none" w:sz="0" w:space="0" w:color="auto"/>
                    <w:left w:val="none" w:sz="0" w:space="0" w:color="auto"/>
                    <w:bottom w:val="none" w:sz="0" w:space="0" w:color="auto"/>
                    <w:right w:val="none" w:sz="0" w:space="0" w:color="auto"/>
                  </w:divBdr>
                  <w:divsChild>
                    <w:div w:id="21077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758943">
      <w:bodyDiv w:val="1"/>
      <w:marLeft w:val="0"/>
      <w:marRight w:val="0"/>
      <w:marTop w:val="0"/>
      <w:marBottom w:val="0"/>
      <w:divBdr>
        <w:top w:val="none" w:sz="0" w:space="0" w:color="auto"/>
        <w:left w:val="none" w:sz="0" w:space="0" w:color="auto"/>
        <w:bottom w:val="none" w:sz="0" w:space="0" w:color="auto"/>
        <w:right w:val="none" w:sz="0" w:space="0" w:color="auto"/>
      </w:divBdr>
    </w:div>
    <w:div w:id="1677153372">
      <w:bodyDiv w:val="1"/>
      <w:marLeft w:val="0"/>
      <w:marRight w:val="0"/>
      <w:marTop w:val="0"/>
      <w:marBottom w:val="0"/>
      <w:divBdr>
        <w:top w:val="none" w:sz="0" w:space="0" w:color="auto"/>
        <w:left w:val="none" w:sz="0" w:space="0" w:color="auto"/>
        <w:bottom w:val="none" w:sz="0" w:space="0" w:color="auto"/>
        <w:right w:val="none" w:sz="0" w:space="0" w:color="auto"/>
      </w:divBdr>
    </w:div>
    <w:div w:id="1677417218">
      <w:bodyDiv w:val="1"/>
      <w:marLeft w:val="0"/>
      <w:marRight w:val="0"/>
      <w:marTop w:val="0"/>
      <w:marBottom w:val="0"/>
      <w:divBdr>
        <w:top w:val="none" w:sz="0" w:space="0" w:color="auto"/>
        <w:left w:val="none" w:sz="0" w:space="0" w:color="auto"/>
        <w:bottom w:val="none" w:sz="0" w:space="0" w:color="auto"/>
        <w:right w:val="none" w:sz="0" w:space="0" w:color="auto"/>
      </w:divBdr>
    </w:div>
    <w:div w:id="1677607523">
      <w:bodyDiv w:val="1"/>
      <w:marLeft w:val="0"/>
      <w:marRight w:val="0"/>
      <w:marTop w:val="0"/>
      <w:marBottom w:val="0"/>
      <w:divBdr>
        <w:top w:val="none" w:sz="0" w:space="0" w:color="auto"/>
        <w:left w:val="none" w:sz="0" w:space="0" w:color="auto"/>
        <w:bottom w:val="none" w:sz="0" w:space="0" w:color="auto"/>
        <w:right w:val="none" w:sz="0" w:space="0" w:color="auto"/>
      </w:divBdr>
    </w:div>
    <w:div w:id="1678189579">
      <w:bodyDiv w:val="1"/>
      <w:marLeft w:val="0"/>
      <w:marRight w:val="0"/>
      <w:marTop w:val="0"/>
      <w:marBottom w:val="0"/>
      <w:divBdr>
        <w:top w:val="none" w:sz="0" w:space="0" w:color="auto"/>
        <w:left w:val="none" w:sz="0" w:space="0" w:color="auto"/>
        <w:bottom w:val="none" w:sz="0" w:space="0" w:color="auto"/>
        <w:right w:val="none" w:sz="0" w:space="0" w:color="auto"/>
      </w:divBdr>
    </w:div>
    <w:div w:id="1678341540">
      <w:bodyDiv w:val="1"/>
      <w:marLeft w:val="0"/>
      <w:marRight w:val="0"/>
      <w:marTop w:val="0"/>
      <w:marBottom w:val="0"/>
      <w:divBdr>
        <w:top w:val="none" w:sz="0" w:space="0" w:color="auto"/>
        <w:left w:val="none" w:sz="0" w:space="0" w:color="auto"/>
        <w:bottom w:val="none" w:sz="0" w:space="0" w:color="auto"/>
        <w:right w:val="none" w:sz="0" w:space="0" w:color="auto"/>
      </w:divBdr>
    </w:div>
    <w:div w:id="1680430866">
      <w:bodyDiv w:val="1"/>
      <w:marLeft w:val="0"/>
      <w:marRight w:val="0"/>
      <w:marTop w:val="0"/>
      <w:marBottom w:val="0"/>
      <w:divBdr>
        <w:top w:val="none" w:sz="0" w:space="0" w:color="auto"/>
        <w:left w:val="none" w:sz="0" w:space="0" w:color="auto"/>
        <w:bottom w:val="none" w:sz="0" w:space="0" w:color="auto"/>
        <w:right w:val="none" w:sz="0" w:space="0" w:color="auto"/>
      </w:divBdr>
    </w:div>
    <w:div w:id="1681932751">
      <w:bodyDiv w:val="1"/>
      <w:marLeft w:val="0"/>
      <w:marRight w:val="0"/>
      <w:marTop w:val="0"/>
      <w:marBottom w:val="0"/>
      <w:divBdr>
        <w:top w:val="none" w:sz="0" w:space="0" w:color="auto"/>
        <w:left w:val="none" w:sz="0" w:space="0" w:color="auto"/>
        <w:bottom w:val="none" w:sz="0" w:space="0" w:color="auto"/>
        <w:right w:val="none" w:sz="0" w:space="0" w:color="auto"/>
      </w:divBdr>
    </w:div>
    <w:div w:id="1682077905">
      <w:bodyDiv w:val="1"/>
      <w:marLeft w:val="0"/>
      <w:marRight w:val="0"/>
      <w:marTop w:val="0"/>
      <w:marBottom w:val="0"/>
      <w:divBdr>
        <w:top w:val="none" w:sz="0" w:space="0" w:color="auto"/>
        <w:left w:val="none" w:sz="0" w:space="0" w:color="auto"/>
        <w:bottom w:val="none" w:sz="0" w:space="0" w:color="auto"/>
        <w:right w:val="none" w:sz="0" w:space="0" w:color="auto"/>
      </w:divBdr>
    </w:div>
    <w:div w:id="1682968492">
      <w:bodyDiv w:val="1"/>
      <w:marLeft w:val="0"/>
      <w:marRight w:val="0"/>
      <w:marTop w:val="0"/>
      <w:marBottom w:val="0"/>
      <w:divBdr>
        <w:top w:val="none" w:sz="0" w:space="0" w:color="auto"/>
        <w:left w:val="none" w:sz="0" w:space="0" w:color="auto"/>
        <w:bottom w:val="none" w:sz="0" w:space="0" w:color="auto"/>
        <w:right w:val="none" w:sz="0" w:space="0" w:color="auto"/>
      </w:divBdr>
      <w:divsChild>
        <w:div w:id="881786986">
          <w:marLeft w:val="0"/>
          <w:marRight w:val="0"/>
          <w:marTop w:val="0"/>
          <w:marBottom w:val="0"/>
          <w:divBdr>
            <w:top w:val="none" w:sz="0" w:space="0" w:color="auto"/>
            <w:left w:val="none" w:sz="0" w:space="0" w:color="auto"/>
            <w:bottom w:val="none" w:sz="0" w:space="0" w:color="auto"/>
            <w:right w:val="none" w:sz="0" w:space="0" w:color="auto"/>
          </w:divBdr>
          <w:divsChild>
            <w:div w:id="1440220332">
              <w:marLeft w:val="0"/>
              <w:marRight w:val="0"/>
              <w:marTop w:val="0"/>
              <w:marBottom w:val="0"/>
              <w:divBdr>
                <w:top w:val="none" w:sz="0" w:space="0" w:color="auto"/>
                <w:left w:val="none" w:sz="0" w:space="0" w:color="auto"/>
                <w:bottom w:val="none" w:sz="0" w:space="0" w:color="auto"/>
                <w:right w:val="none" w:sz="0" w:space="0" w:color="auto"/>
              </w:divBdr>
              <w:divsChild>
                <w:div w:id="275334860">
                  <w:marLeft w:val="0"/>
                  <w:marRight w:val="0"/>
                  <w:marTop w:val="0"/>
                  <w:marBottom w:val="0"/>
                  <w:divBdr>
                    <w:top w:val="none" w:sz="0" w:space="0" w:color="auto"/>
                    <w:left w:val="none" w:sz="0" w:space="0" w:color="auto"/>
                    <w:bottom w:val="none" w:sz="0" w:space="0" w:color="auto"/>
                    <w:right w:val="none" w:sz="0" w:space="0" w:color="auto"/>
                  </w:divBdr>
                  <w:divsChild>
                    <w:div w:id="1357267049">
                      <w:marLeft w:val="0"/>
                      <w:marRight w:val="0"/>
                      <w:marTop w:val="0"/>
                      <w:marBottom w:val="0"/>
                      <w:divBdr>
                        <w:top w:val="none" w:sz="0" w:space="0" w:color="auto"/>
                        <w:left w:val="none" w:sz="0" w:space="0" w:color="auto"/>
                        <w:bottom w:val="none" w:sz="0" w:space="0" w:color="auto"/>
                        <w:right w:val="none" w:sz="0" w:space="0" w:color="auto"/>
                      </w:divBdr>
                    </w:div>
                  </w:divsChild>
                </w:div>
                <w:div w:id="673066930">
                  <w:marLeft w:val="0"/>
                  <w:marRight w:val="0"/>
                  <w:marTop w:val="0"/>
                  <w:marBottom w:val="0"/>
                  <w:divBdr>
                    <w:top w:val="none" w:sz="0" w:space="0" w:color="auto"/>
                    <w:left w:val="none" w:sz="0" w:space="0" w:color="auto"/>
                    <w:bottom w:val="none" w:sz="0" w:space="0" w:color="auto"/>
                    <w:right w:val="none" w:sz="0" w:space="0" w:color="auto"/>
                  </w:divBdr>
                  <w:divsChild>
                    <w:div w:id="1742827852">
                      <w:marLeft w:val="0"/>
                      <w:marRight w:val="0"/>
                      <w:marTop w:val="0"/>
                      <w:marBottom w:val="0"/>
                      <w:divBdr>
                        <w:top w:val="none" w:sz="0" w:space="0" w:color="auto"/>
                        <w:left w:val="none" w:sz="0" w:space="0" w:color="auto"/>
                        <w:bottom w:val="none" w:sz="0" w:space="0" w:color="auto"/>
                        <w:right w:val="none" w:sz="0" w:space="0" w:color="auto"/>
                      </w:divBdr>
                    </w:div>
                  </w:divsChild>
                </w:div>
                <w:div w:id="1908883853">
                  <w:marLeft w:val="0"/>
                  <w:marRight w:val="0"/>
                  <w:marTop w:val="0"/>
                  <w:marBottom w:val="0"/>
                  <w:divBdr>
                    <w:top w:val="none" w:sz="0" w:space="0" w:color="auto"/>
                    <w:left w:val="none" w:sz="0" w:space="0" w:color="auto"/>
                    <w:bottom w:val="none" w:sz="0" w:space="0" w:color="auto"/>
                    <w:right w:val="none" w:sz="0" w:space="0" w:color="auto"/>
                  </w:divBdr>
                  <w:divsChild>
                    <w:div w:id="5328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973428">
      <w:bodyDiv w:val="1"/>
      <w:marLeft w:val="0"/>
      <w:marRight w:val="0"/>
      <w:marTop w:val="0"/>
      <w:marBottom w:val="0"/>
      <w:divBdr>
        <w:top w:val="none" w:sz="0" w:space="0" w:color="auto"/>
        <w:left w:val="none" w:sz="0" w:space="0" w:color="auto"/>
        <w:bottom w:val="none" w:sz="0" w:space="0" w:color="auto"/>
        <w:right w:val="none" w:sz="0" w:space="0" w:color="auto"/>
      </w:divBdr>
      <w:divsChild>
        <w:div w:id="1516310455">
          <w:marLeft w:val="0"/>
          <w:marRight w:val="0"/>
          <w:marTop w:val="0"/>
          <w:marBottom w:val="0"/>
          <w:divBdr>
            <w:top w:val="none" w:sz="0" w:space="0" w:color="auto"/>
            <w:left w:val="none" w:sz="0" w:space="0" w:color="auto"/>
            <w:bottom w:val="none" w:sz="0" w:space="0" w:color="auto"/>
            <w:right w:val="none" w:sz="0" w:space="0" w:color="auto"/>
          </w:divBdr>
          <w:divsChild>
            <w:div w:id="1628122714">
              <w:marLeft w:val="0"/>
              <w:marRight w:val="0"/>
              <w:marTop w:val="0"/>
              <w:marBottom w:val="0"/>
              <w:divBdr>
                <w:top w:val="none" w:sz="0" w:space="0" w:color="auto"/>
                <w:left w:val="none" w:sz="0" w:space="0" w:color="auto"/>
                <w:bottom w:val="none" w:sz="0" w:space="0" w:color="auto"/>
                <w:right w:val="none" w:sz="0" w:space="0" w:color="auto"/>
              </w:divBdr>
              <w:divsChild>
                <w:div w:id="99108798">
                  <w:marLeft w:val="0"/>
                  <w:marRight w:val="0"/>
                  <w:marTop w:val="0"/>
                  <w:marBottom w:val="0"/>
                  <w:divBdr>
                    <w:top w:val="none" w:sz="0" w:space="0" w:color="auto"/>
                    <w:left w:val="none" w:sz="0" w:space="0" w:color="auto"/>
                    <w:bottom w:val="none" w:sz="0" w:space="0" w:color="auto"/>
                    <w:right w:val="none" w:sz="0" w:space="0" w:color="auto"/>
                  </w:divBdr>
                </w:div>
              </w:divsChild>
            </w:div>
            <w:div w:id="1839538411">
              <w:marLeft w:val="0"/>
              <w:marRight w:val="0"/>
              <w:marTop w:val="0"/>
              <w:marBottom w:val="0"/>
              <w:divBdr>
                <w:top w:val="none" w:sz="0" w:space="0" w:color="auto"/>
                <w:left w:val="none" w:sz="0" w:space="0" w:color="auto"/>
                <w:bottom w:val="none" w:sz="0" w:space="0" w:color="auto"/>
                <w:right w:val="none" w:sz="0" w:space="0" w:color="auto"/>
              </w:divBdr>
              <w:divsChild>
                <w:div w:id="1489664098">
                  <w:marLeft w:val="0"/>
                  <w:marRight w:val="0"/>
                  <w:marTop w:val="0"/>
                  <w:marBottom w:val="0"/>
                  <w:divBdr>
                    <w:top w:val="none" w:sz="0" w:space="0" w:color="auto"/>
                    <w:left w:val="none" w:sz="0" w:space="0" w:color="auto"/>
                    <w:bottom w:val="none" w:sz="0" w:space="0" w:color="auto"/>
                    <w:right w:val="none" w:sz="0" w:space="0" w:color="auto"/>
                  </w:divBdr>
                </w:div>
              </w:divsChild>
            </w:div>
            <w:div w:id="2125611091">
              <w:marLeft w:val="0"/>
              <w:marRight w:val="0"/>
              <w:marTop w:val="0"/>
              <w:marBottom w:val="0"/>
              <w:divBdr>
                <w:top w:val="none" w:sz="0" w:space="0" w:color="auto"/>
                <w:left w:val="none" w:sz="0" w:space="0" w:color="auto"/>
                <w:bottom w:val="none" w:sz="0" w:space="0" w:color="auto"/>
                <w:right w:val="none" w:sz="0" w:space="0" w:color="auto"/>
              </w:divBdr>
              <w:divsChild>
                <w:div w:id="167583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743239">
      <w:bodyDiv w:val="1"/>
      <w:marLeft w:val="0"/>
      <w:marRight w:val="0"/>
      <w:marTop w:val="0"/>
      <w:marBottom w:val="0"/>
      <w:divBdr>
        <w:top w:val="none" w:sz="0" w:space="0" w:color="auto"/>
        <w:left w:val="none" w:sz="0" w:space="0" w:color="auto"/>
        <w:bottom w:val="none" w:sz="0" w:space="0" w:color="auto"/>
        <w:right w:val="none" w:sz="0" w:space="0" w:color="auto"/>
      </w:divBdr>
    </w:div>
    <w:div w:id="1685013389">
      <w:bodyDiv w:val="1"/>
      <w:marLeft w:val="0"/>
      <w:marRight w:val="0"/>
      <w:marTop w:val="0"/>
      <w:marBottom w:val="0"/>
      <w:divBdr>
        <w:top w:val="none" w:sz="0" w:space="0" w:color="auto"/>
        <w:left w:val="none" w:sz="0" w:space="0" w:color="auto"/>
        <w:bottom w:val="none" w:sz="0" w:space="0" w:color="auto"/>
        <w:right w:val="none" w:sz="0" w:space="0" w:color="auto"/>
      </w:divBdr>
    </w:div>
    <w:div w:id="1685085599">
      <w:bodyDiv w:val="1"/>
      <w:marLeft w:val="0"/>
      <w:marRight w:val="0"/>
      <w:marTop w:val="0"/>
      <w:marBottom w:val="0"/>
      <w:divBdr>
        <w:top w:val="none" w:sz="0" w:space="0" w:color="auto"/>
        <w:left w:val="none" w:sz="0" w:space="0" w:color="auto"/>
        <w:bottom w:val="none" w:sz="0" w:space="0" w:color="auto"/>
        <w:right w:val="none" w:sz="0" w:space="0" w:color="auto"/>
      </w:divBdr>
      <w:divsChild>
        <w:div w:id="658576014">
          <w:marLeft w:val="0"/>
          <w:marRight w:val="0"/>
          <w:marTop w:val="0"/>
          <w:marBottom w:val="0"/>
          <w:divBdr>
            <w:top w:val="none" w:sz="0" w:space="0" w:color="auto"/>
            <w:left w:val="none" w:sz="0" w:space="0" w:color="auto"/>
            <w:bottom w:val="none" w:sz="0" w:space="0" w:color="auto"/>
            <w:right w:val="none" w:sz="0" w:space="0" w:color="auto"/>
          </w:divBdr>
          <w:divsChild>
            <w:div w:id="390152611">
              <w:marLeft w:val="0"/>
              <w:marRight w:val="0"/>
              <w:marTop w:val="0"/>
              <w:marBottom w:val="0"/>
              <w:divBdr>
                <w:top w:val="none" w:sz="0" w:space="0" w:color="auto"/>
                <w:left w:val="none" w:sz="0" w:space="0" w:color="auto"/>
                <w:bottom w:val="none" w:sz="0" w:space="0" w:color="auto"/>
                <w:right w:val="none" w:sz="0" w:space="0" w:color="auto"/>
              </w:divBdr>
              <w:divsChild>
                <w:div w:id="966619061">
                  <w:marLeft w:val="0"/>
                  <w:marRight w:val="0"/>
                  <w:marTop w:val="0"/>
                  <w:marBottom w:val="0"/>
                  <w:divBdr>
                    <w:top w:val="none" w:sz="0" w:space="0" w:color="auto"/>
                    <w:left w:val="none" w:sz="0" w:space="0" w:color="auto"/>
                    <w:bottom w:val="none" w:sz="0" w:space="0" w:color="auto"/>
                    <w:right w:val="none" w:sz="0" w:space="0" w:color="auto"/>
                  </w:divBdr>
                  <w:divsChild>
                    <w:div w:id="974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328708">
      <w:bodyDiv w:val="1"/>
      <w:marLeft w:val="0"/>
      <w:marRight w:val="0"/>
      <w:marTop w:val="0"/>
      <w:marBottom w:val="0"/>
      <w:divBdr>
        <w:top w:val="none" w:sz="0" w:space="0" w:color="auto"/>
        <w:left w:val="none" w:sz="0" w:space="0" w:color="auto"/>
        <w:bottom w:val="none" w:sz="0" w:space="0" w:color="auto"/>
        <w:right w:val="none" w:sz="0" w:space="0" w:color="auto"/>
      </w:divBdr>
    </w:div>
    <w:div w:id="1686901737">
      <w:bodyDiv w:val="1"/>
      <w:marLeft w:val="0"/>
      <w:marRight w:val="0"/>
      <w:marTop w:val="0"/>
      <w:marBottom w:val="0"/>
      <w:divBdr>
        <w:top w:val="none" w:sz="0" w:space="0" w:color="auto"/>
        <w:left w:val="none" w:sz="0" w:space="0" w:color="auto"/>
        <w:bottom w:val="none" w:sz="0" w:space="0" w:color="auto"/>
        <w:right w:val="none" w:sz="0" w:space="0" w:color="auto"/>
      </w:divBdr>
    </w:div>
    <w:div w:id="1687748841">
      <w:bodyDiv w:val="1"/>
      <w:marLeft w:val="0"/>
      <w:marRight w:val="0"/>
      <w:marTop w:val="0"/>
      <w:marBottom w:val="0"/>
      <w:divBdr>
        <w:top w:val="none" w:sz="0" w:space="0" w:color="auto"/>
        <w:left w:val="none" w:sz="0" w:space="0" w:color="auto"/>
        <w:bottom w:val="none" w:sz="0" w:space="0" w:color="auto"/>
        <w:right w:val="none" w:sz="0" w:space="0" w:color="auto"/>
      </w:divBdr>
      <w:divsChild>
        <w:div w:id="735395280">
          <w:marLeft w:val="0"/>
          <w:marRight w:val="0"/>
          <w:marTop w:val="0"/>
          <w:marBottom w:val="0"/>
          <w:divBdr>
            <w:top w:val="none" w:sz="0" w:space="0" w:color="auto"/>
            <w:left w:val="none" w:sz="0" w:space="0" w:color="auto"/>
            <w:bottom w:val="none" w:sz="0" w:space="0" w:color="auto"/>
            <w:right w:val="none" w:sz="0" w:space="0" w:color="auto"/>
          </w:divBdr>
          <w:divsChild>
            <w:div w:id="642151630">
              <w:marLeft w:val="0"/>
              <w:marRight w:val="0"/>
              <w:marTop w:val="0"/>
              <w:marBottom w:val="0"/>
              <w:divBdr>
                <w:top w:val="none" w:sz="0" w:space="0" w:color="auto"/>
                <w:left w:val="none" w:sz="0" w:space="0" w:color="auto"/>
                <w:bottom w:val="none" w:sz="0" w:space="0" w:color="auto"/>
                <w:right w:val="none" w:sz="0" w:space="0" w:color="auto"/>
              </w:divBdr>
              <w:divsChild>
                <w:div w:id="6535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797622">
      <w:bodyDiv w:val="1"/>
      <w:marLeft w:val="0"/>
      <w:marRight w:val="0"/>
      <w:marTop w:val="0"/>
      <w:marBottom w:val="0"/>
      <w:divBdr>
        <w:top w:val="none" w:sz="0" w:space="0" w:color="auto"/>
        <w:left w:val="none" w:sz="0" w:space="0" w:color="auto"/>
        <w:bottom w:val="none" w:sz="0" w:space="0" w:color="auto"/>
        <w:right w:val="none" w:sz="0" w:space="0" w:color="auto"/>
      </w:divBdr>
      <w:divsChild>
        <w:div w:id="1382365624">
          <w:marLeft w:val="0"/>
          <w:marRight w:val="0"/>
          <w:marTop w:val="0"/>
          <w:marBottom w:val="0"/>
          <w:divBdr>
            <w:top w:val="none" w:sz="0" w:space="0" w:color="auto"/>
            <w:left w:val="none" w:sz="0" w:space="0" w:color="auto"/>
            <w:bottom w:val="none" w:sz="0" w:space="0" w:color="auto"/>
            <w:right w:val="none" w:sz="0" w:space="0" w:color="auto"/>
          </w:divBdr>
          <w:divsChild>
            <w:div w:id="1231968201">
              <w:marLeft w:val="0"/>
              <w:marRight w:val="0"/>
              <w:marTop w:val="0"/>
              <w:marBottom w:val="0"/>
              <w:divBdr>
                <w:top w:val="none" w:sz="0" w:space="0" w:color="auto"/>
                <w:left w:val="none" w:sz="0" w:space="0" w:color="auto"/>
                <w:bottom w:val="none" w:sz="0" w:space="0" w:color="auto"/>
                <w:right w:val="none" w:sz="0" w:space="0" w:color="auto"/>
              </w:divBdr>
              <w:divsChild>
                <w:div w:id="1335572456">
                  <w:marLeft w:val="0"/>
                  <w:marRight w:val="0"/>
                  <w:marTop w:val="0"/>
                  <w:marBottom w:val="0"/>
                  <w:divBdr>
                    <w:top w:val="none" w:sz="0" w:space="0" w:color="auto"/>
                    <w:left w:val="none" w:sz="0" w:space="0" w:color="auto"/>
                    <w:bottom w:val="none" w:sz="0" w:space="0" w:color="auto"/>
                    <w:right w:val="none" w:sz="0" w:space="0" w:color="auto"/>
                  </w:divBdr>
                  <w:divsChild>
                    <w:div w:id="7451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284363">
      <w:bodyDiv w:val="1"/>
      <w:marLeft w:val="0"/>
      <w:marRight w:val="0"/>
      <w:marTop w:val="0"/>
      <w:marBottom w:val="0"/>
      <w:divBdr>
        <w:top w:val="none" w:sz="0" w:space="0" w:color="auto"/>
        <w:left w:val="none" w:sz="0" w:space="0" w:color="auto"/>
        <w:bottom w:val="none" w:sz="0" w:space="0" w:color="auto"/>
        <w:right w:val="none" w:sz="0" w:space="0" w:color="auto"/>
      </w:divBdr>
    </w:div>
    <w:div w:id="1689405169">
      <w:bodyDiv w:val="1"/>
      <w:marLeft w:val="0"/>
      <w:marRight w:val="0"/>
      <w:marTop w:val="0"/>
      <w:marBottom w:val="0"/>
      <w:divBdr>
        <w:top w:val="none" w:sz="0" w:space="0" w:color="auto"/>
        <w:left w:val="none" w:sz="0" w:space="0" w:color="auto"/>
        <w:bottom w:val="none" w:sz="0" w:space="0" w:color="auto"/>
        <w:right w:val="none" w:sz="0" w:space="0" w:color="auto"/>
      </w:divBdr>
    </w:div>
    <w:div w:id="1690253034">
      <w:bodyDiv w:val="1"/>
      <w:marLeft w:val="0"/>
      <w:marRight w:val="0"/>
      <w:marTop w:val="0"/>
      <w:marBottom w:val="0"/>
      <w:divBdr>
        <w:top w:val="none" w:sz="0" w:space="0" w:color="auto"/>
        <w:left w:val="none" w:sz="0" w:space="0" w:color="auto"/>
        <w:bottom w:val="none" w:sz="0" w:space="0" w:color="auto"/>
        <w:right w:val="none" w:sz="0" w:space="0" w:color="auto"/>
      </w:divBdr>
    </w:div>
    <w:div w:id="1690712446">
      <w:bodyDiv w:val="1"/>
      <w:marLeft w:val="0"/>
      <w:marRight w:val="0"/>
      <w:marTop w:val="0"/>
      <w:marBottom w:val="0"/>
      <w:divBdr>
        <w:top w:val="none" w:sz="0" w:space="0" w:color="auto"/>
        <w:left w:val="none" w:sz="0" w:space="0" w:color="auto"/>
        <w:bottom w:val="none" w:sz="0" w:space="0" w:color="auto"/>
        <w:right w:val="none" w:sz="0" w:space="0" w:color="auto"/>
      </w:divBdr>
      <w:divsChild>
        <w:div w:id="949165107">
          <w:marLeft w:val="0"/>
          <w:marRight w:val="0"/>
          <w:marTop w:val="0"/>
          <w:marBottom w:val="0"/>
          <w:divBdr>
            <w:top w:val="none" w:sz="0" w:space="0" w:color="auto"/>
            <w:left w:val="none" w:sz="0" w:space="0" w:color="auto"/>
            <w:bottom w:val="none" w:sz="0" w:space="0" w:color="auto"/>
            <w:right w:val="none" w:sz="0" w:space="0" w:color="auto"/>
          </w:divBdr>
          <w:divsChild>
            <w:div w:id="534081048">
              <w:marLeft w:val="0"/>
              <w:marRight w:val="0"/>
              <w:marTop w:val="0"/>
              <w:marBottom w:val="0"/>
              <w:divBdr>
                <w:top w:val="none" w:sz="0" w:space="0" w:color="auto"/>
                <w:left w:val="none" w:sz="0" w:space="0" w:color="auto"/>
                <w:bottom w:val="none" w:sz="0" w:space="0" w:color="auto"/>
                <w:right w:val="none" w:sz="0" w:space="0" w:color="auto"/>
              </w:divBdr>
              <w:divsChild>
                <w:div w:id="1872573791">
                  <w:marLeft w:val="0"/>
                  <w:marRight w:val="0"/>
                  <w:marTop w:val="0"/>
                  <w:marBottom w:val="0"/>
                  <w:divBdr>
                    <w:top w:val="none" w:sz="0" w:space="0" w:color="auto"/>
                    <w:left w:val="none" w:sz="0" w:space="0" w:color="auto"/>
                    <w:bottom w:val="none" w:sz="0" w:space="0" w:color="auto"/>
                    <w:right w:val="none" w:sz="0" w:space="0" w:color="auto"/>
                  </w:divBdr>
                  <w:divsChild>
                    <w:div w:id="109748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792606">
      <w:bodyDiv w:val="1"/>
      <w:marLeft w:val="0"/>
      <w:marRight w:val="0"/>
      <w:marTop w:val="0"/>
      <w:marBottom w:val="0"/>
      <w:divBdr>
        <w:top w:val="none" w:sz="0" w:space="0" w:color="auto"/>
        <w:left w:val="none" w:sz="0" w:space="0" w:color="auto"/>
        <w:bottom w:val="none" w:sz="0" w:space="0" w:color="auto"/>
        <w:right w:val="none" w:sz="0" w:space="0" w:color="auto"/>
      </w:divBdr>
    </w:div>
    <w:div w:id="1691224885">
      <w:bodyDiv w:val="1"/>
      <w:marLeft w:val="0"/>
      <w:marRight w:val="0"/>
      <w:marTop w:val="0"/>
      <w:marBottom w:val="0"/>
      <w:divBdr>
        <w:top w:val="none" w:sz="0" w:space="0" w:color="auto"/>
        <w:left w:val="none" w:sz="0" w:space="0" w:color="auto"/>
        <w:bottom w:val="none" w:sz="0" w:space="0" w:color="auto"/>
        <w:right w:val="none" w:sz="0" w:space="0" w:color="auto"/>
      </w:divBdr>
    </w:div>
    <w:div w:id="1691879548">
      <w:bodyDiv w:val="1"/>
      <w:marLeft w:val="0"/>
      <w:marRight w:val="0"/>
      <w:marTop w:val="0"/>
      <w:marBottom w:val="0"/>
      <w:divBdr>
        <w:top w:val="none" w:sz="0" w:space="0" w:color="auto"/>
        <w:left w:val="none" w:sz="0" w:space="0" w:color="auto"/>
        <w:bottom w:val="none" w:sz="0" w:space="0" w:color="auto"/>
        <w:right w:val="none" w:sz="0" w:space="0" w:color="auto"/>
      </w:divBdr>
      <w:divsChild>
        <w:div w:id="1075472244">
          <w:marLeft w:val="0"/>
          <w:marRight w:val="0"/>
          <w:marTop w:val="0"/>
          <w:marBottom w:val="0"/>
          <w:divBdr>
            <w:top w:val="none" w:sz="0" w:space="0" w:color="auto"/>
            <w:left w:val="none" w:sz="0" w:space="0" w:color="auto"/>
            <w:bottom w:val="none" w:sz="0" w:space="0" w:color="auto"/>
            <w:right w:val="none" w:sz="0" w:space="0" w:color="auto"/>
          </w:divBdr>
          <w:divsChild>
            <w:div w:id="163978137">
              <w:marLeft w:val="0"/>
              <w:marRight w:val="0"/>
              <w:marTop w:val="0"/>
              <w:marBottom w:val="0"/>
              <w:divBdr>
                <w:top w:val="none" w:sz="0" w:space="0" w:color="auto"/>
                <w:left w:val="none" w:sz="0" w:space="0" w:color="auto"/>
                <w:bottom w:val="none" w:sz="0" w:space="0" w:color="auto"/>
                <w:right w:val="none" w:sz="0" w:space="0" w:color="auto"/>
              </w:divBdr>
              <w:divsChild>
                <w:div w:id="619335222">
                  <w:marLeft w:val="0"/>
                  <w:marRight w:val="0"/>
                  <w:marTop w:val="0"/>
                  <w:marBottom w:val="0"/>
                  <w:divBdr>
                    <w:top w:val="none" w:sz="0" w:space="0" w:color="auto"/>
                    <w:left w:val="none" w:sz="0" w:space="0" w:color="auto"/>
                    <w:bottom w:val="none" w:sz="0" w:space="0" w:color="auto"/>
                    <w:right w:val="none" w:sz="0" w:space="0" w:color="auto"/>
                  </w:divBdr>
                </w:div>
              </w:divsChild>
            </w:div>
            <w:div w:id="508568870">
              <w:marLeft w:val="0"/>
              <w:marRight w:val="0"/>
              <w:marTop w:val="0"/>
              <w:marBottom w:val="0"/>
              <w:divBdr>
                <w:top w:val="none" w:sz="0" w:space="0" w:color="auto"/>
                <w:left w:val="none" w:sz="0" w:space="0" w:color="auto"/>
                <w:bottom w:val="none" w:sz="0" w:space="0" w:color="auto"/>
                <w:right w:val="none" w:sz="0" w:space="0" w:color="auto"/>
              </w:divBdr>
              <w:divsChild>
                <w:div w:id="1279415149">
                  <w:marLeft w:val="0"/>
                  <w:marRight w:val="0"/>
                  <w:marTop w:val="0"/>
                  <w:marBottom w:val="0"/>
                  <w:divBdr>
                    <w:top w:val="none" w:sz="0" w:space="0" w:color="auto"/>
                    <w:left w:val="none" w:sz="0" w:space="0" w:color="auto"/>
                    <w:bottom w:val="none" w:sz="0" w:space="0" w:color="auto"/>
                    <w:right w:val="none" w:sz="0" w:space="0" w:color="auto"/>
                  </w:divBdr>
                </w:div>
              </w:divsChild>
            </w:div>
            <w:div w:id="1772816706">
              <w:marLeft w:val="0"/>
              <w:marRight w:val="0"/>
              <w:marTop w:val="0"/>
              <w:marBottom w:val="0"/>
              <w:divBdr>
                <w:top w:val="none" w:sz="0" w:space="0" w:color="auto"/>
                <w:left w:val="none" w:sz="0" w:space="0" w:color="auto"/>
                <w:bottom w:val="none" w:sz="0" w:space="0" w:color="auto"/>
                <w:right w:val="none" w:sz="0" w:space="0" w:color="auto"/>
              </w:divBdr>
              <w:divsChild>
                <w:div w:id="124048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103771">
      <w:bodyDiv w:val="1"/>
      <w:marLeft w:val="0"/>
      <w:marRight w:val="0"/>
      <w:marTop w:val="0"/>
      <w:marBottom w:val="0"/>
      <w:divBdr>
        <w:top w:val="none" w:sz="0" w:space="0" w:color="auto"/>
        <w:left w:val="none" w:sz="0" w:space="0" w:color="auto"/>
        <w:bottom w:val="none" w:sz="0" w:space="0" w:color="auto"/>
        <w:right w:val="none" w:sz="0" w:space="0" w:color="auto"/>
      </w:divBdr>
      <w:divsChild>
        <w:div w:id="1403678467">
          <w:marLeft w:val="0"/>
          <w:marRight w:val="0"/>
          <w:marTop w:val="0"/>
          <w:marBottom w:val="0"/>
          <w:divBdr>
            <w:top w:val="none" w:sz="0" w:space="0" w:color="auto"/>
            <w:left w:val="none" w:sz="0" w:space="0" w:color="auto"/>
            <w:bottom w:val="none" w:sz="0" w:space="0" w:color="auto"/>
            <w:right w:val="none" w:sz="0" w:space="0" w:color="auto"/>
          </w:divBdr>
          <w:divsChild>
            <w:div w:id="1525554153">
              <w:marLeft w:val="0"/>
              <w:marRight w:val="0"/>
              <w:marTop w:val="0"/>
              <w:marBottom w:val="0"/>
              <w:divBdr>
                <w:top w:val="none" w:sz="0" w:space="0" w:color="auto"/>
                <w:left w:val="none" w:sz="0" w:space="0" w:color="auto"/>
                <w:bottom w:val="none" w:sz="0" w:space="0" w:color="auto"/>
                <w:right w:val="none" w:sz="0" w:space="0" w:color="auto"/>
              </w:divBdr>
              <w:divsChild>
                <w:div w:id="1386562107">
                  <w:marLeft w:val="0"/>
                  <w:marRight w:val="0"/>
                  <w:marTop w:val="0"/>
                  <w:marBottom w:val="0"/>
                  <w:divBdr>
                    <w:top w:val="none" w:sz="0" w:space="0" w:color="auto"/>
                    <w:left w:val="none" w:sz="0" w:space="0" w:color="auto"/>
                    <w:bottom w:val="none" w:sz="0" w:space="0" w:color="auto"/>
                    <w:right w:val="none" w:sz="0" w:space="0" w:color="auto"/>
                  </w:divBdr>
                  <w:divsChild>
                    <w:div w:id="177631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300209">
      <w:bodyDiv w:val="1"/>
      <w:marLeft w:val="0"/>
      <w:marRight w:val="0"/>
      <w:marTop w:val="0"/>
      <w:marBottom w:val="0"/>
      <w:divBdr>
        <w:top w:val="none" w:sz="0" w:space="0" w:color="auto"/>
        <w:left w:val="none" w:sz="0" w:space="0" w:color="auto"/>
        <w:bottom w:val="none" w:sz="0" w:space="0" w:color="auto"/>
        <w:right w:val="none" w:sz="0" w:space="0" w:color="auto"/>
      </w:divBdr>
    </w:div>
    <w:div w:id="1692535484">
      <w:bodyDiv w:val="1"/>
      <w:marLeft w:val="0"/>
      <w:marRight w:val="0"/>
      <w:marTop w:val="0"/>
      <w:marBottom w:val="0"/>
      <w:divBdr>
        <w:top w:val="none" w:sz="0" w:space="0" w:color="auto"/>
        <w:left w:val="none" w:sz="0" w:space="0" w:color="auto"/>
        <w:bottom w:val="none" w:sz="0" w:space="0" w:color="auto"/>
        <w:right w:val="none" w:sz="0" w:space="0" w:color="auto"/>
      </w:divBdr>
    </w:div>
    <w:div w:id="1693065976">
      <w:bodyDiv w:val="1"/>
      <w:marLeft w:val="0"/>
      <w:marRight w:val="0"/>
      <w:marTop w:val="0"/>
      <w:marBottom w:val="0"/>
      <w:divBdr>
        <w:top w:val="none" w:sz="0" w:space="0" w:color="auto"/>
        <w:left w:val="none" w:sz="0" w:space="0" w:color="auto"/>
        <w:bottom w:val="none" w:sz="0" w:space="0" w:color="auto"/>
        <w:right w:val="none" w:sz="0" w:space="0" w:color="auto"/>
      </w:divBdr>
    </w:div>
    <w:div w:id="1694064779">
      <w:bodyDiv w:val="1"/>
      <w:marLeft w:val="0"/>
      <w:marRight w:val="0"/>
      <w:marTop w:val="0"/>
      <w:marBottom w:val="0"/>
      <w:divBdr>
        <w:top w:val="none" w:sz="0" w:space="0" w:color="auto"/>
        <w:left w:val="none" w:sz="0" w:space="0" w:color="auto"/>
        <w:bottom w:val="none" w:sz="0" w:space="0" w:color="auto"/>
        <w:right w:val="none" w:sz="0" w:space="0" w:color="auto"/>
      </w:divBdr>
    </w:div>
    <w:div w:id="1694182040">
      <w:bodyDiv w:val="1"/>
      <w:marLeft w:val="0"/>
      <w:marRight w:val="0"/>
      <w:marTop w:val="0"/>
      <w:marBottom w:val="0"/>
      <w:divBdr>
        <w:top w:val="none" w:sz="0" w:space="0" w:color="auto"/>
        <w:left w:val="none" w:sz="0" w:space="0" w:color="auto"/>
        <w:bottom w:val="none" w:sz="0" w:space="0" w:color="auto"/>
        <w:right w:val="none" w:sz="0" w:space="0" w:color="auto"/>
      </w:divBdr>
    </w:div>
    <w:div w:id="1695231106">
      <w:bodyDiv w:val="1"/>
      <w:marLeft w:val="0"/>
      <w:marRight w:val="0"/>
      <w:marTop w:val="0"/>
      <w:marBottom w:val="0"/>
      <w:divBdr>
        <w:top w:val="none" w:sz="0" w:space="0" w:color="auto"/>
        <w:left w:val="none" w:sz="0" w:space="0" w:color="auto"/>
        <w:bottom w:val="none" w:sz="0" w:space="0" w:color="auto"/>
        <w:right w:val="none" w:sz="0" w:space="0" w:color="auto"/>
      </w:divBdr>
    </w:div>
    <w:div w:id="1696081801">
      <w:bodyDiv w:val="1"/>
      <w:marLeft w:val="0"/>
      <w:marRight w:val="0"/>
      <w:marTop w:val="0"/>
      <w:marBottom w:val="0"/>
      <w:divBdr>
        <w:top w:val="none" w:sz="0" w:space="0" w:color="auto"/>
        <w:left w:val="none" w:sz="0" w:space="0" w:color="auto"/>
        <w:bottom w:val="none" w:sz="0" w:space="0" w:color="auto"/>
        <w:right w:val="none" w:sz="0" w:space="0" w:color="auto"/>
      </w:divBdr>
    </w:div>
    <w:div w:id="1696223946">
      <w:bodyDiv w:val="1"/>
      <w:marLeft w:val="0"/>
      <w:marRight w:val="0"/>
      <w:marTop w:val="0"/>
      <w:marBottom w:val="0"/>
      <w:divBdr>
        <w:top w:val="none" w:sz="0" w:space="0" w:color="auto"/>
        <w:left w:val="none" w:sz="0" w:space="0" w:color="auto"/>
        <w:bottom w:val="none" w:sz="0" w:space="0" w:color="auto"/>
        <w:right w:val="none" w:sz="0" w:space="0" w:color="auto"/>
      </w:divBdr>
    </w:div>
    <w:div w:id="1696342722">
      <w:bodyDiv w:val="1"/>
      <w:marLeft w:val="0"/>
      <w:marRight w:val="0"/>
      <w:marTop w:val="0"/>
      <w:marBottom w:val="0"/>
      <w:divBdr>
        <w:top w:val="none" w:sz="0" w:space="0" w:color="auto"/>
        <w:left w:val="none" w:sz="0" w:space="0" w:color="auto"/>
        <w:bottom w:val="none" w:sz="0" w:space="0" w:color="auto"/>
        <w:right w:val="none" w:sz="0" w:space="0" w:color="auto"/>
      </w:divBdr>
    </w:div>
    <w:div w:id="1696689433">
      <w:bodyDiv w:val="1"/>
      <w:marLeft w:val="0"/>
      <w:marRight w:val="0"/>
      <w:marTop w:val="0"/>
      <w:marBottom w:val="0"/>
      <w:divBdr>
        <w:top w:val="none" w:sz="0" w:space="0" w:color="auto"/>
        <w:left w:val="none" w:sz="0" w:space="0" w:color="auto"/>
        <w:bottom w:val="none" w:sz="0" w:space="0" w:color="auto"/>
        <w:right w:val="none" w:sz="0" w:space="0" w:color="auto"/>
      </w:divBdr>
    </w:div>
    <w:div w:id="1696998369">
      <w:bodyDiv w:val="1"/>
      <w:marLeft w:val="0"/>
      <w:marRight w:val="0"/>
      <w:marTop w:val="0"/>
      <w:marBottom w:val="0"/>
      <w:divBdr>
        <w:top w:val="none" w:sz="0" w:space="0" w:color="auto"/>
        <w:left w:val="none" w:sz="0" w:space="0" w:color="auto"/>
        <w:bottom w:val="none" w:sz="0" w:space="0" w:color="auto"/>
        <w:right w:val="none" w:sz="0" w:space="0" w:color="auto"/>
      </w:divBdr>
    </w:div>
    <w:div w:id="1697463844">
      <w:bodyDiv w:val="1"/>
      <w:marLeft w:val="0"/>
      <w:marRight w:val="0"/>
      <w:marTop w:val="0"/>
      <w:marBottom w:val="0"/>
      <w:divBdr>
        <w:top w:val="none" w:sz="0" w:space="0" w:color="auto"/>
        <w:left w:val="none" w:sz="0" w:space="0" w:color="auto"/>
        <w:bottom w:val="none" w:sz="0" w:space="0" w:color="auto"/>
        <w:right w:val="none" w:sz="0" w:space="0" w:color="auto"/>
      </w:divBdr>
      <w:divsChild>
        <w:div w:id="1843422951">
          <w:marLeft w:val="0"/>
          <w:marRight w:val="0"/>
          <w:marTop w:val="0"/>
          <w:marBottom w:val="0"/>
          <w:divBdr>
            <w:top w:val="none" w:sz="0" w:space="0" w:color="auto"/>
            <w:left w:val="none" w:sz="0" w:space="0" w:color="auto"/>
            <w:bottom w:val="none" w:sz="0" w:space="0" w:color="auto"/>
            <w:right w:val="none" w:sz="0" w:space="0" w:color="auto"/>
          </w:divBdr>
          <w:divsChild>
            <w:div w:id="863708986">
              <w:marLeft w:val="0"/>
              <w:marRight w:val="0"/>
              <w:marTop w:val="0"/>
              <w:marBottom w:val="0"/>
              <w:divBdr>
                <w:top w:val="none" w:sz="0" w:space="0" w:color="auto"/>
                <w:left w:val="none" w:sz="0" w:space="0" w:color="auto"/>
                <w:bottom w:val="none" w:sz="0" w:space="0" w:color="auto"/>
                <w:right w:val="none" w:sz="0" w:space="0" w:color="auto"/>
              </w:divBdr>
              <w:divsChild>
                <w:div w:id="1694913073">
                  <w:marLeft w:val="0"/>
                  <w:marRight w:val="0"/>
                  <w:marTop w:val="0"/>
                  <w:marBottom w:val="0"/>
                  <w:divBdr>
                    <w:top w:val="none" w:sz="0" w:space="0" w:color="auto"/>
                    <w:left w:val="none" w:sz="0" w:space="0" w:color="auto"/>
                    <w:bottom w:val="none" w:sz="0" w:space="0" w:color="auto"/>
                    <w:right w:val="none" w:sz="0" w:space="0" w:color="auto"/>
                  </w:divBdr>
                  <w:divsChild>
                    <w:div w:id="1244604348">
                      <w:marLeft w:val="0"/>
                      <w:marRight w:val="0"/>
                      <w:marTop w:val="0"/>
                      <w:marBottom w:val="0"/>
                      <w:divBdr>
                        <w:top w:val="none" w:sz="0" w:space="0" w:color="auto"/>
                        <w:left w:val="none" w:sz="0" w:space="0" w:color="auto"/>
                        <w:bottom w:val="none" w:sz="0" w:space="0" w:color="auto"/>
                        <w:right w:val="none" w:sz="0" w:space="0" w:color="auto"/>
                      </w:divBdr>
                    </w:div>
                  </w:divsChild>
                </w:div>
                <w:div w:id="1847868261">
                  <w:marLeft w:val="0"/>
                  <w:marRight w:val="0"/>
                  <w:marTop w:val="0"/>
                  <w:marBottom w:val="0"/>
                  <w:divBdr>
                    <w:top w:val="none" w:sz="0" w:space="0" w:color="auto"/>
                    <w:left w:val="none" w:sz="0" w:space="0" w:color="auto"/>
                    <w:bottom w:val="none" w:sz="0" w:space="0" w:color="auto"/>
                    <w:right w:val="none" w:sz="0" w:space="0" w:color="auto"/>
                  </w:divBdr>
                  <w:divsChild>
                    <w:div w:id="104983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735176">
      <w:bodyDiv w:val="1"/>
      <w:marLeft w:val="0"/>
      <w:marRight w:val="0"/>
      <w:marTop w:val="0"/>
      <w:marBottom w:val="0"/>
      <w:divBdr>
        <w:top w:val="none" w:sz="0" w:space="0" w:color="auto"/>
        <w:left w:val="none" w:sz="0" w:space="0" w:color="auto"/>
        <w:bottom w:val="none" w:sz="0" w:space="0" w:color="auto"/>
        <w:right w:val="none" w:sz="0" w:space="0" w:color="auto"/>
      </w:divBdr>
    </w:div>
    <w:div w:id="1698384835">
      <w:bodyDiv w:val="1"/>
      <w:marLeft w:val="0"/>
      <w:marRight w:val="0"/>
      <w:marTop w:val="0"/>
      <w:marBottom w:val="0"/>
      <w:divBdr>
        <w:top w:val="none" w:sz="0" w:space="0" w:color="auto"/>
        <w:left w:val="none" w:sz="0" w:space="0" w:color="auto"/>
        <w:bottom w:val="none" w:sz="0" w:space="0" w:color="auto"/>
        <w:right w:val="none" w:sz="0" w:space="0" w:color="auto"/>
      </w:divBdr>
    </w:div>
    <w:div w:id="1698501223">
      <w:bodyDiv w:val="1"/>
      <w:marLeft w:val="0"/>
      <w:marRight w:val="0"/>
      <w:marTop w:val="0"/>
      <w:marBottom w:val="0"/>
      <w:divBdr>
        <w:top w:val="none" w:sz="0" w:space="0" w:color="auto"/>
        <w:left w:val="none" w:sz="0" w:space="0" w:color="auto"/>
        <w:bottom w:val="none" w:sz="0" w:space="0" w:color="auto"/>
        <w:right w:val="none" w:sz="0" w:space="0" w:color="auto"/>
      </w:divBdr>
      <w:divsChild>
        <w:div w:id="175967929">
          <w:marLeft w:val="0"/>
          <w:marRight w:val="0"/>
          <w:marTop w:val="0"/>
          <w:marBottom w:val="0"/>
          <w:divBdr>
            <w:top w:val="none" w:sz="0" w:space="0" w:color="auto"/>
            <w:left w:val="none" w:sz="0" w:space="0" w:color="auto"/>
            <w:bottom w:val="none" w:sz="0" w:space="0" w:color="auto"/>
            <w:right w:val="none" w:sz="0" w:space="0" w:color="auto"/>
          </w:divBdr>
          <w:divsChild>
            <w:div w:id="29495911">
              <w:marLeft w:val="0"/>
              <w:marRight w:val="0"/>
              <w:marTop w:val="0"/>
              <w:marBottom w:val="0"/>
              <w:divBdr>
                <w:top w:val="none" w:sz="0" w:space="0" w:color="auto"/>
                <w:left w:val="none" w:sz="0" w:space="0" w:color="auto"/>
                <w:bottom w:val="none" w:sz="0" w:space="0" w:color="auto"/>
                <w:right w:val="none" w:sz="0" w:space="0" w:color="auto"/>
              </w:divBdr>
              <w:divsChild>
                <w:div w:id="1512334113">
                  <w:marLeft w:val="0"/>
                  <w:marRight w:val="0"/>
                  <w:marTop w:val="0"/>
                  <w:marBottom w:val="0"/>
                  <w:divBdr>
                    <w:top w:val="none" w:sz="0" w:space="0" w:color="auto"/>
                    <w:left w:val="none" w:sz="0" w:space="0" w:color="auto"/>
                    <w:bottom w:val="none" w:sz="0" w:space="0" w:color="auto"/>
                    <w:right w:val="none" w:sz="0" w:space="0" w:color="auto"/>
                  </w:divBdr>
                  <w:divsChild>
                    <w:div w:id="31530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651471">
      <w:bodyDiv w:val="1"/>
      <w:marLeft w:val="0"/>
      <w:marRight w:val="0"/>
      <w:marTop w:val="0"/>
      <w:marBottom w:val="0"/>
      <w:divBdr>
        <w:top w:val="none" w:sz="0" w:space="0" w:color="auto"/>
        <w:left w:val="none" w:sz="0" w:space="0" w:color="auto"/>
        <w:bottom w:val="none" w:sz="0" w:space="0" w:color="auto"/>
        <w:right w:val="none" w:sz="0" w:space="0" w:color="auto"/>
      </w:divBdr>
      <w:divsChild>
        <w:div w:id="2013340173">
          <w:marLeft w:val="0"/>
          <w:marRight w:val="0"/>
          <w:marTop w:val="0"/>
          <w:marBottom w:val="0"/>
          <w:divBdr>
            <w:top w:val="none" w:sz="0" w:space="0" w:color="auto"/>
            <w:left w:val="none" w:sz="0" w:space="0" w:color="auto"/>
            <w:bottom w:val="none" w:sz="0" w:space="0" w:color="auto"/>
            <w:right w:val="none" w:sz="0" w:space="0" w:color="auto"/>
          </w:divBdr>
          <w:divsChild>
            <w:div w:id="1375692857">
              <w:marLeft w:val="0"/>
              <w:marRight w:val="0"/>
              <w:marTop w:val="0"/>
              <w:marBottom w:val="0"/>
              <w:divBdr>
                <w:top w:val="none" w:sz="0" w:space="0" w:color="auto"/>
                <w:left w:val="none" w:sz="0" w:space="0" w:color="auto"/>
                <w:bottom w:val="none" w:sz="0" w:space="0" w:color="auto"/>
                <w:right w:val="none" w:sz="0" w:space="0" w:color="auto"/>
              </w:divBdr>
              <w:divsChild>
                <w:div w:id="329723142">
                  <w:marLeft w:val="0"/>
                  <w:marRight w:val="0"/>
                  <w:marTop w:val="0"/>
                  <w:marBottom w:val="0"/>
                  <w:divBdr>
                    <w:top w:val="none" w:sz="0" w:space="0" w:color="auto"/>
                    <w:left w:val="none" w:sz="0" w:space="0" w:color="auto"/>
                    <w:bottom w:val="none" w:sz="0" w:space="0" w:color="auto"/>
                    <w:right w:val="none" w:sz="0" w:space="0" w:color="auto"/>
                  </w:divBdr>
                  <w:divsChild>
                    <w:div w:id="62524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46307">
      <w:bodyDiv w:val="1"/>
      <w:marLeft w:val="0"/>
      <w:marRight w:val="0"/>
      <w:marTop w:val="0"/>
      <w:marBottom w:val="0"/>
      <w:divBdr>
        <w:top w:val="none" w:sz="0" w:space="0" w:color="auto"/>
        <w:left w:val="none" w:sz="0" w:space="0" w:color="auto"/>
        <w:bottom w:val="none" w:sz="0" w:space="0" w:color="auto"/>
        <w:right w:val="none" w:sz="0" w:space="0" w:color="auto"/>
      </w:divBdr>
    </w:div>
    <w:div w:id="1699812459">
      <w:bodyDiv w:val="1"/>
      <w:marLeft w:val="0"/>
      <w:marRight w:val="0"/>
      <w:marTop w:val="0"/>
      <w:marBottom w:val="0"/>
      <w:divBdr>
        <w:top w:val="none" w:sz="0" w:space="0" w:color="auto"/>
        <w:left w:val="none" w:sz="0" w:space="0" w:color="auto"/>
        <w:bottom w:val="none" w:sz="0" w:space="0" w:color="auto"/>
        <w:right w:val="none" w:sz="0" w:space="0" w:color="auto"/>
      </w:divBdr>
    </w:div>
    <w:div w:id="1700469840">
      <w:bodyDiv w:val="1"/>
      <w:marLeft w:val="0"/>
      <w:marRight w:val="0"/>
      <w:marTop w:val="0"/>
      <w:marBottom w:val="0"/>
      <w:divBdr>
        <w:top w:val="none" w:sz="0" w:space="0" w:color="auto"/>
        <w:left w:val="none" w:sz="0" w:space="0" w:color="auto"/>
        <w:bottom w:val="none" w:sz="0" w:space="0" w:color="auto"/>
        <w:right w:val="none" w:sz="0" w:space="0" w:color="auto"/>
      </w:divBdr>
    </w:div>
    <w:div w:id="1701465961">
      <w:bodyDiv w:val="1"/>
      <w:marLeft w:val="0"/>
      <w:marRight w:val="0"/>
      <w:marTop w:val="0"/>
      <w:marBottom w:val="0"/>
      <w:divBdr>
        <w:top w:val="none" w:sz="0" w:space="0" w:color="auto"/>
        <w:left w:val="none" w:sz="0" w:space="0" w:color="auto"/>
        <w:bottom w:val="none" w:sz="0" w:space="0" w:color="auto"/>
        <w:right w:val="none" w:sz="0" w:space="0" w:color="auto"/>
      </w:divBdr>
    </w:div>
    <w:div w:id="1701471127">
      <w:bodyDiv w:val="1"/>
      <w:marLeft w:val="0"/>
      <w:marRight w:val="0"/>
      <w:marTop w:val="0"/>
      <w:marBottom w:val="0"/>
      <w:divBdr>
        <w:top w:val="none" w:sz="0" w:space="0" w:color="auto"/>
        <w:left w:val="none" w:sz="0" w:space="0" w:color="auto"/>
        <w:bottom w:val="none" w:sz="0" w:space="0" w:color="auto"/>
        <w:right w:val="none" w:sz="0" w:space="0" w:color="auto"/>
      </w:divBdr>
    </w:div>
    <w:div w:id="1701590599">
      <w:bodyDiv w:val="1"/>
      <w:marLeft w:val="0"/>
      <w:marRight w:val="0"/>
      <w:marTop w:val="0"/>
      <w:marBottom w:val="0"/>
      <w:divBdr>
        <w:top w:val="none" w:sz="0" w:space="0" w:color="auto"/>
        <w:left w:val="none" w:sz="0" w:space="0" w:color="auto"/>
        <w:bottom w:val="none" w:sz="0" w:space="0" w:color="auto"/>
        <w:right w:val="none" w:sz="0" w:space="0" w:color="auto"/>
      </w:divBdr>
    </w:div>
    <w:div w:id="1701854239">
      <w:bodyDiv w:val="1"/>
      <w:marLeft w:val="0"/>
      <w:marRight w:val="0"/>
      <w:marTop w:val="0"/>
      <w:marBottom w:val="0"/>
      <w:divBdr>
        <w:top w:val="none" w:sz="0" w:space="0" w:color="auto"/>
        <w:left w:val="none" w:sz="0" w:space="0" w:color="auto"/>
        <w:bottom w:val="none" w:sz="0" w:space="0" w:color="auto"/>
        <w:right w:val="none" w:sz="0" w:space="0" w:color="auto"/>
      </w:divBdr>
    </w:div>
    <w:div w:id="1702246266">
      <w:bodyDiv w:val="1"/>
      <w:marLeft w:val="0"/>
      <w:marRight w:val="0"/>
      <w:marTop w:val="0"/>
      <w:marBottom w:val="0"/>
      <w:divBdr>
        <w:top w:val="none" w:sz="0" w:space="0" w:color="auto"/>
        <w:left w:val="none" w:sz="0" w:space="0" w:color="auto"/>
        <w:bottom w:val="none" w:sz="0" w:space="0" w:color="auto"/>
        <w:right w:val="none" w:sz="0" w:space="0" w:color="auto"/>
      </w:divBdr>
    </w:div>
    <w:div w:id="1703439534">
      <w:bodyDiv w:val="1"/>
      <w:marLeft w:val="0"/>
      <w:marRight w:val="0"/>
      <w:marTop w:val="0"/>
      <w:marBottom w:val="0"/>
      <w:divBdr>
        <w:top w:val="none" w:sz="0" w:space="0" w:color="auto"/>
        <w:left w:val="none" w:sz="0" w:space="0" w:color="auto"/>
        <w:bottom w:val="none" w:sz="0" w:space="0" w:color="auto"/>
        <w:right w:val="none" w:sz="0" w:space="0" w:color="auto"/>
      </w:divBdr>
      <w:divsChild>
        <w:div w:id="1363360524">
          <w:marLeft w:val="0"/>
          <w:marRight w:val="0"/>
          <w:marTop w:val="0"/>
          <w:marBottom w:val="0"/>
          <w:divBdr>
            <w:top w:val="none" w:sz="0" w:space="0" w:color="auto"/>
            <w:left w:val="none" w:sz="0" w:space="0" w:color="auto"/>
            <w:bottom w:val="none" w:sz="0" w:space="0" w:color="auto"/>
            <w:right w:val="none" w:sz="0" w:space="0" w:color="auto"/>
          </w:divBdr>
          <w:divsChild>
            <w:div w:id="2027050329">
              <w:marLeft w:val="0"/>
              <w:marRight w:val="0"/>
              <w:marTop w:val="0"/>
              <w:marBottom w:val="0"/>
              <w:divBdr>
                <w:top w:val="none" w:sz="0" w:space="0" w:color="auto"/>
                <w:left w:val="none" w:sz="0" w:space="0" w:color="auto"/>
                <w:bottom w:val="none" w:sz="0" w:space="0" w:color="auto"/>
                <w:right w:val="none" w:sz="0" w:space="0" w:color="auto"/>
              </w:divBdr>
              <w:divsChild>
                <w:div w:id="80882654">
                  <w:marLeft w:val="0"/>
                  <w:marRight w:val="0"/>
                  <w:marTop w:val="0"/>
                  <w:marBottom w:val="0"/>
                  <w:divBdr>
                    <w:top w:val="none" w:sz="0" w:space="0" w:color="auto"/>
                    <w:left w:val="none" w:sz="0" w:space="0" w:color="auto"/>
                    <w:bottom w:val="none" w:sz="0" w:space="0" w:color="auto"/>
                    <w:right w:val="none" w:sz="0" w:space="0" w:color="auto"/>
                  </w:divBdr>
                  <w:divsChild>
                    <w:div w:id="2106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625941">
      <w:bodyDiv w:val="1"/>
      <w:marLeft w:val="0"/>
      <w:marRight w:val="0"/>
      <w:marTop w:val="0"/>
      <w:marBottom w:val="0"/>
      <w:divBdr>
        <w:top w:val="none" w:sz="0" w:space="0" w:color="auto"/>
        <w:left w:val="none" w:sz="0" w:space="0" w:color="auto"/>
        <w:bottom w:val="none" w:sz="0" w:space="0" w:color="auto"/>
        <w:right w:val="none" w:sz="0" w:space="0" w:color="auto"/>
      </w:divBdr>
    </w:div>
    <w:div w:id="1703746689">
      <w:bodyDiv w:val="1"/>
      <w:marLeft w:val="0"/>
      <w:marRight w:val="0"/>
      <w:marTop w:val="0"/>
      <w:marBottom w:val="0"/>
      <w:divBdr>
        <w:top w:val="none" w:sz="0" w:space="0" w:color="auto"/>
        <w:left w:val="none" w:sz="0" w:space="0" w:color="auto"/>
        <w:bottom w:val="none" w:sz="0" w:space="0" w:color="auto"/>
        <w:right w:val="none" w:sz="0" w:space="0" w:color="auto"/>
      </w:divBdr>
    </w:div>
    <w:div w:id="1704597988">
      <w:bodyDiv w:val="1"/>
      <w:marLeft w:val="0"/>
      <w:marRight w:val="0"/>
      <w:marTop w:val="0"/>
      <w:marBottom w:val="0"/>
      <w:divBdr>
        <w:top w:val="none" w:sz="0" w:space="0" w:color="auto"/>
        <w:left w:val="none" w:sz="0" w:space="0" w:color="auto"/>
        <w:bottom w:val="none" w:sz="0" w:space="0" w:color="auto"/>
        <w:right w:val="none" w:sz="0" w:space="0" w:color="auto"/>
      </w:divBdr>
    </w:div>
    <w:div w:id="1705326260">
      <w:bodyDiv w:val="1"/>
      <w:marLeft w:val="0"/>
      <w:marRight w:val="0"/>
      <w:marTop w:val="0"/>
      <w:marBottom w:val="0"/>
      <w:divBdr>
        <w:top w:val="none" w:sz="0" w:space="0" w:color="auto"/>
        <w:left w:val="none" w:sz="0" w:space="0" w:color="auto"/>
        <w:bottom w:val="none" w:sz="0" w:space="0" w:color="auto"/>
        <w:right w:val="none" w:sz="0" w:space="0" w:color="auto"/>
      </w:divBdr>
      <w:divsChild>
        <w:div w:id="337999476">
          <w:marLeft w:val="0"/>
          <w:marRight w:val="0"/>
          <w:marTop w:val="0"/>
          <w:marBottom w:val="0"/>
          <w:divBdr>
            <w:top w:val="none" w:sz="0" w:space="0" w:color="auto"/>
            <w:left w:val="none" w:sz="0" w:space="0" w:color="auto"/>
            <w:bottom w:val="none" w:sz="0" w:space="0" w:color="auto"/>
            <w:right w:val="none" w:sz="0" w:space="0" w:color="auto"/>
          </w:divBdr>
          <w:divsChild>
            <w:div w:id="1314330653">
              <w:marLeft w:val="0"/>
              <w:marRight w:val="0"/>
              <w:marTop w:val="0"/>
              <w:marBottom w:val="0"/>
              <w:divBdr>
                <w:top w:val="none" w:sz="0" w:space="0" w:color="auto"/>
                <w:left w:val="none" w:sz="0" w:space="0" w:color="auto"/>
                <w:bottom w:val="none" w:sz="0" w:space="0" w:color="auto"/>
                <w:right w:val="none" w:sz="0" w:space="0" w:color="auto"/>
              </w:divBdr>
              <w:divsChild>
                <w:div w:id="2040549884">
                  <w:marLeft w:val="0"/>
                  <w:marRight w:val="0"/>
                  <w:marTop w:val="0"/>
                  <w:marBottom w:val="0"/>
                  <w:divBdr>
                    <w:top w:val="none" w:sz="0" w:space="0" w:color="auto"/>
                    <w:left w:val="none" w:sz="0" w:space="0" w:color="auto"/>
                    <w:bottom w:val="none" w:sz="0" w:space="0" w:color="auto"/>
                    <w:right w:val="none" w:sz="0" w:space="0" w:color="auto"/>
                  </w:divBdr>
                  <w:divsChild>
                    <w:div w:id="69331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641802">
      <w:bodyDiv w:val="1"/>
      <w:marLeft w:val="0"/>
      <w:marRight w:val="0"/>
      <w:marTop w:val="0"/>
      <w:marBottom w:val="0"/>
      <w:divBdr>
        <w:top w:val="none" w:sz="0" w:space="0" w:color="auto"/>
        <w:left w:val="none" w:sz="0" w:space="0" w:color="auto"/>
        <w:bottom w:val="none" w:sz="0" w:space="0" w:color="auto"/>
        <w:right w:val="none" w:sz="0" w:space="0" w:color="auto"/>
      </w:divBdr>
    </w:div>
    <w:div w:id="1707754853">
      <w:bodyDiv w:val="1"/>
      <w:marLeft w:val="0"/>
      <w:marRight w:val="0"/>
      <w:marTop w:val="0"/>
      <w:marBottom w:val="0"/>
      <w:divBdr>
        <w:top w:val="none" w:sz="0" w:space="0" w:color="auto"/>
        <w:left w:val="none" w:sz="0" w:space="0" w:color="auto"/>
        <w:bottom w:val="none" w:sz="0" w:space="0" w:color="auto"/>
        <w:right w:val="none" w:sz="0" w:space="0" w:color="auto"/>
      </w:divBdr>
      <w:divsChild>
        <w:div w:id="1512328907">
          <w:marLeft w:val="0"/>
          <w:marRight w:val="0"/>
          <w:marTop w:val="0"/>
          <w:marBottom w:val="0"/>
          <w:divBdr>
            <w:top w:val="none" w:sz="0" w:space="0" w:color="auto"/>
            <w:left w:val="none" w:sz="0" w:space="0" w:color="auto"/>
            <w:bottom w:val="none" w:sz="0" w:space="0" w:color="auto"/>
            <w:right w:val="none" w:sz="0" w:space="0" w:color="auto"/>
          </w:divBdr>
          <w:divsChild>
            <w:div w:id="646514460">
              <w:marLeft w:val="0"/>
              <w:marRight w:val="0"/>
              <w:marTop w:val="0"/>
              <w:marBottom w:val="0"/>
              <w:divBdr>
                <w:top w:val="none" w:sz="0" w:space="0" w:color="auto"/>
                <w:left w:val="none" w:sz="0" w:space="0" w:color="auto"/>
                <w:bottom w:val="none" w:sz="0" w:space="0" w:color="auto"/>
                <w:right w:val="none" w:sz="0" w:space="0" w:color="auto"/>
              </w:divBdr>
              <w:divsChild>
                <w:div w:id="1736926886">
                  <w:marLeft w:val="0"/>
                  <w:marRight w:val="0"/>
                  <w:marTop w:val="0"/>
                  <w:marBottom w:val="0"/>
                  <w:divBdr>
                    <w:top w:val="none" w:sz="0" w:space="0" w:color="auto"/>
                    <w:left w:val="none" w:sz="0" w:space="0" w:color="auto"/>
                    <w:bottom w:val="none" w:sz="0" w:space="0" w:color="auto"/>
                    <w:right w:val="none" w:sz="0" w:space="0" w:color="auto"/>
                  </w:divBdr>
                  <w:divsChild>
                    <w:div w:id="10211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215644">
      <w:bodyDiv w:val="1"/>
      <w:marLeft w:val="0"/>
      <w:marRight w:val="0"/>
      <w:marTop w:val="0"/>
      <w:marBottom w:val="0"/>
      <w:divBdr>
        <w:top w:val="none" w:sz="0" w:space="0" w:color="auto"/>
        <w:left w:val="none" w:sz="0" w:space="0" w:color="auto"/>
        <w:bottom w:val="none" w:sz="0" w:space="0" w:color="auto"/>
        <w:right w:val="none" w:sz="0" w:space="0" w:color="auto"/>
      </w:divBdr>
    </w:div>
    <w:div w:id="1710717709">
      <w:bodyDiv w:val="1"/>
      <w:marLeft w:val="0"/>
      <w:marRight w:val="0"/>
      <w:marTop w:val="0"/>
      <w:marBottom w:val="0"/>
      <w:divBdr>
        <w:top w:val="none" w:sz="0" w:space="0" w:color="auto"/>
        <w:left w:val="none" w:sz="0" w:space="0" w:color="auto"/>
        <w:bottom w:val="none" w:sz="0" w:space="0" w:color="auto"/>
        <w:right w:val="none" w:sz="0" w:space="0" w:color="auto"/>
      </w:divBdr>
      <w:divsChild>
        <w:div w:id="1999308366">
          <w:marLeft w:val="0"/>
          <w:marRight w:val="0"/>
          <w:marTop w:val="0"/>
          <w:marBottom w:val="0"/>
          <w:divBdr>
            <w:top w:val="none" w:sz="0" w:space="0" w:color="auto"/>
            <w:left w:val="none" w:sz="0" w:space="0" w:color="auto"/>
            <w:bottom w:val="none" w:sz="0" w:space="0" w:color="auto"/>
            <w:right w:val="none" w:sz="0" w:space="0" w:color="auto"/>
          </w:divBdr>
          <w:divsChild>
            <w:div w:id="1495877587">
              <w:marLeft w:val="0"/>
              <w:marRight w:val="0"/>
              <w:marTop w:val="0"/>
              <w:marBottom w:val="0"/>
              <w:divBdr>
                <w:top w:val="none" w:sz="0" w:space="0" w:color="auto"/>
                <w:left w:val="none" w:sz="0" w:space="0" w:color="auto"/>
                <w:bottom w:val="none" w:sz="0" w:space="0" w:color="auto"/>
                <w:right w:val="none" w:sz="0" w:space="0" w:color="auto"/>
              </w:divBdr>
              <w:divsChild>
                <w:div w:id="1698003282">
                  <w:marLeft w:val="0"/>
                  <w:marRight w:val="0"/>
                  <w:marTop w:val="0"/>
                  <w:marBottom w:val="0"/>
                  <w:divBdr>
                    <w:top w:val="none" w:sz="0" w:space="0" w:color="auto"/>
                    <w:left w:val="none" w:sz="0" w:space="0" w:color="auto"/>
                    <w:bottom w:val="none" w:sz="0" w:space="0" w:color="auto"/>
                    <w:right w:val="none" w:sz="0" w:space="0" w:color="auto"/>
                  </w:divBdr>
                  <w:divsChild>
                    <w:div w:id="198319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912385">
      <w:bodyDiv w:val="1"/>
      <w:marLeft w:val="0"/>
      <w:marRight w:val="0"/>
      <w:marTop w:val="0"/>
      <w:marBottom w:val="0"/>
      <w:divBdr>
        <w:top w:val="none" w:sz="0" w:space="0" w:color="auto"/>
        <w:left w:val="none" w:sz="0" w:space="0" w:color="auto"/>
        <w:bottom w:val="none" w:sz="0" w:space="0" w:color="auto"/>
        <w:right w:val="none" w:sz="0" w:space="0" w:color="auto"/>
      </w:divBdr>
    </w:div>
    <w:div w:id="1711297722">
      <w:bodyDiv w:val="1"/>
      <w:marLeft w:val="0"/>
      <w:marRight w:val="0"/>
      <w:marTop w:val="0"/>
      <w:marBottom w:val="0"/>
      <w:divBdr>
        <w:top w:val="none" w:sz="0" w:space="0" w:color="auto"/>
        <w:left w:val="none" w:sz="0" w:space="0" w:color="auto"/>
        <w:bottom w:val="none" w:sz="0" w:space="0" w:color="auto"/>
        <w:right w:val="none" w:sz="0" w:space="0" w:color="auto"/>
      </w:divBdr>
    </w:div>
    <w:div w:id="1711609478">
      <w:bodyDiv w:val="1"/>
      <w:marLeft w:val="0"/>
      <w:marRight w:val="0"/>
      <w:marTop w:val="0"/>
      <w:marBottom w:val="0"/>
      <w:divBdr>
        <w:top w:val="none" w:sz="0" w:space="0" w:color="auto"/>
        <w:left w:val="none" w:sz="0" w:space="0" w:color="auto"/>
        <w:bottom w:val="none" w:sz="0" w:space="0" w:color="auto"/>
        <w:right w:val="none" w:sz="0" w:space="0" w:color="auto"/>
      </w:divBdr>
    </w:div>
    <w:div w:id="1713191828">
      <w:bodyDiv w:val="1"/>
      <w:marLeft w:val="0"/>
      <w:marRight w:val="0"/>
      <w:marTop w:val="0"/>
      <w:marBottom w:val="0"/>
      <w:divBdr>
        <w:top w:val="none" w:sz="0" w:space="0" w:color="auto"/>
        <w:left w:val="none" w:sz="0" w:space="0" w:color="auto"/>
        <w:bottom w:val="none" w:sz="0" w:space="0" w:color="auto"/>
        <w:right w:val="none" w:sz="0" w:space="0" w:color="auto"/>
      </w:divBdr>
    </w:div>
    <w:div w:id="1713335801">
      <w:bodyDiv w:val="1"/>
      <w:marLeft w:val="0"/>
      <w:marRight w:val="0"/>
      <w:marTop w:val="0"/>
      <w:marBottom w:val="0"/>
      <w:divBdr>
        <w:top w:val="none" w:sz="0" w:space="0" w:color="auto"/>
        <w:left w:val="none" w:sz="0" w:space="0" w:color="auto"/>
        <w:bottom w:val="none" w:sz="0" w:space="0" w:color="auto"/>
        <w:right w:val="none" w:sz="0" w:space="0" w:color="auto"/>
      </w:divBdr>
      <w:divsChild>
        <w:div w:id="1621450948">
          <w:marLeft w:val="0"/>
          <w:marRight w:val="0"/>
          <w:marTop w:val="0"/>
          <w:marBottom w:val="0"/>
          <w:divBdr>
            <w:top w:val="none" w:sz="0" w:space="0" w:color="auto"/>
            <w:left w:val="none" w:sz="0" w:space="0" w:color="auto"/>
            <w:bottom w:val="none" w:sz="0" w:space="0" w:color="auto"/>
            <w:right w:val="none" w:sz="0" w:space="0" w:color="auto"/>
          </w:divBdr>
          <w:divsChild>
            <w:div w:id="91518303">
              <w:marLeft w:val="0"/>
              <w:marRight w:val="0"/>
              <w:marTop w:val="0"/>
              <w:marBottom w:val="0"/>
              <w:divBdr>
                <w:top w:val="none" w:sz="0" w:space="0" w:color="auto"/>
                <w:left w:val="none" w:sz="0" w:space="0" w:color="auto"/>
                <w:bottom w:val="none" w:sz="0" w:space="0" w:color="auto"/>
                <w:right w:val="none" w:sz="0" w:space="0" w:color="auto"/>
              </w:divBdr>
              <w:divsChild>
                <w:div w:id="2061245135">
                  <w:marLeft w:val="0"/>
                  <w:marRight w:val="0"/>
                  <w:marTop w:val="0"/>
                  <w:marBottom w:val="0"/>
                  <w:divBdr>
                    <w:top w:val="none" w:sz="0" w:space="0" w:color="auto"/>
                    <w:left w:val="none" w:sz="0" w:space="0" w:color="auto"/>
                    <w:bottom w:val="none" w:sz="0" w:space="0" w:color="auto"/>
                    <w:right w:val="none" w:sz="0" w:space="0" w:color="auto"/>
                  </w:divBdr>
                  <w:divsChild>
                    <w:div w:id="154116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994322">
      <w:bodyDiv w:val="1"/>
      <w:marLeft w:val="0"/>
      <w:marRight w:val="0"/>
      <w:marTop w:val="0"/>
      <w:marBottom w:val="0"/>
      <w:divBdr>
        <w:top w:val="none" w:sz="0" w:space="0" w:color="auto"/>
        <w:left w:val="none" w:sz="0" w:space="0" w:color="auto"/>
        <w:bottom w:val="none" w:sz="0" w:space="0" w:color="auto"/>
        <w:right w:val="none" w:sz="0" w:space="0" w:color="auto"/>
      </w:divBdr>
      <w:divsChild>
        <w:div w:id="657420986">
          <w:marLeft w:val="0"/>
          <w:marRight w:val="0"/>
          <w:marTop w:val="0"/>
          <w:marBottom w:val="0"/>
          <w:divBdr>
            <w:top w:val="none" w:sz="0" w:space="0" w:color="auto"/>
            <w:left w:val="none" w:sz="0" w:space="0" w:color="auto"/>
            <w:bottom w:val="none" w:sz="0" w:space="0" w:color="auto"/>
            <w:right w:val="none" w:sz="0" w:space="0" w:color="auto"/>
          </w:divBdr>
          <w:divsChild>
            <w:div w:id="2064062093">
              <w:marLeft w:val="0"/>
              <w:marRight w:val="0"/>
              <w:marTop w:val="0"/>
              <w:marBottom w:val="0"/>
              <w:divBdr>
                <w:top w:val="none" w:sz="0" w:space="0" w:color="auto"/>
                <w:left w:val="none" w:sz="0" w:space="0" w:color="auto"/>
                <w:bottom w:val="none" w:sz="0" w:space="0" w:color="auto"/>
                <w:right w:val="none" w:sz="0" w:space="0" w:color="auto"/>
              </w:divBdr>
              <w:divsChild>
                <w:div w:id="13402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691216">
      <w:bodyDiv w:val="1"/>
      <w:marLeft w:val="0"/>
      <w:marRight w:val="0"/>
      <w:marTop w:val="0"/>
      <w:marBottom w:val="0"/>
      <w:divBdr>
        <w:top w:val="none" w:sz="0" w:space="0" w:color="auto"/>
        <w:left w:val="none" w:sz="0" w:space="0" w:color="auto"/>
        <w:bottom w:val="none" w:sz="0" w:space="0" w:color="auto"/>
        <w:right w:val="none" w:sz="0" w:space="0" w:color="auto"/>
      </w:divBdr>
    </w:div>
    <w:div w:id="1714694929">
      <w:bodyDiv w:val="1"/>
      <w:marLeft w:val="0"/>
      <w:marRight w:val="0"/>
      <w:marTop w:val="0"/>
      <w:marBottom w:val="0"/>
      <w:divBdr>
        <w:top w:val="none" w:sz="0" w:space="0" w:color="auto"/>
        <w:left w:val="none" w:sz="0" w:space="0" w:color="auto"/>
        <w:bottom w:val="none" w:sz="0" w:space="0" w:color="auto"/>
        <w:right w:val="none" w:sz="0" w:space="0" w:color="auto"/>
      </w:divBdr>
    </w:div>
    <w:div w:id="1715498919">
      <w:bodyDiv w:val="1"/>
      <w:marLeft w:val="0"/>
      <w:marRight w:val="0"/>
      <w:marTop w:val="0"/>
      <w:marBottom w:val="0"/>
      <w:divBdr>
        <w:top w:val="none" w:sz="0" w:space="0" w:color="auto"/>
        <w:left w:val="none" w:sz="0" w:space="0" w:color="auto"/>
        <w:bottom w:val="none" w:sz="0" w:space="0" w:color="auto"/>
        <w:right w:val="none" w:sz="0" w:space="0" w:color="auto"/>
      </w:divBdr>
    </w:div>
    <w:div w:id="1716126732">
      <w:bodyDiv w:val="1"/>
      <w:marLeft w:val="0"/>
      <w:marRight w:val="0"/>
      <w:marTop w:val="0"/>
      <w:marBottom w:val="0"/>
      <w:divBdr>
        <w:top w:val="none" w:sz="0" w:space="0" w:color="auto"/>
        <w:left w:val="none" w:sz="0" w:space="0" w:color="auto"/>
        <w:bottom w:val="none" w:sz="0" w:space="0" w:color="auto"/>
        <w:right w:val="none" w:sz="0" w:space="0" w:color="auto"/>
      </w:divBdr>
    </w:div>
    <w:div w:id="1716270977">
      <w:bodyDiv w:val="1"/>
      <w:marLeft w:val="0"/>
      <w:marRight w:val="0"/>
      <w:marTop w:val="0"/>
      <w:marBottom w:val="0"/>
      <w:divBdr>
        <w:top w:val="none" w:sz="0" w:space="0" w:color="auto"/>
        <w:left w:val="none" w:sz="0" w:space="0" w:color="auto"/>
        <w:bottom w:val="none" w:sz="0" w:space="0" w:color="auto"/>
        <w:right w:val="none" w:sz="0" w:space="0" w:color="auto"/>
      </w:divBdr>
    </w:div>
    <w:div w:id="1716587322">
      <w:bodyDiv w:val="1"/>
      <w:marLeft w:val="0"/>
      <w:marRight w:val="0"/>
      <w:marTop w:val="0"/>
      <w:marBottom w:val="0"/>
      <w:divBdr>
        <w:top w:val="none" w:sz="0" w:space="0" w:color="auto"/>
        <w:left w:val="none" w:sz="0" w:space="0" w:color="auto"/>
        <w:bottom w:val="none" w:sz="0" w:space="0" w:color="auto"/>
        <w:right w:val="none" w:sz="0" w:space="0" w:color="auto"/>
      </w:divBdr>
    </w:div>
    <w:div w:id="1717704205">
      <w:bodyDiv w:val="1"/>
      <w:marLeft w:val="0"/>
      <w:marRight w:val="0"/>
      <w:marTop w:val="0"/>
      <w:marBottom w:val="0"/>
      <w:divBdr>
        <w:top w:val="none" w:sz="0" w:space="0" w:color="auto"/>
        <w:left w:val="none" w:sz="0" w:space="0" w:color="auto"/>
        <w:bottom w:val="none" w:sz="0" w:space="0" w:color="auto"/>
        <w:right w:val="none" w:sz="0" w:space="0" w:color="auto"/>
      </w:divBdr>
    </w:div>
    <w:div w:id="1718621459">
      <w:bodyDiv w:val="1"/>
      <w:marLeft w:val="0"/>
      <w:marRight w:val="0"/>
      <w:marTop w:val="0"/>
      <w:marBottom w:val="0"/>
      <w:divBdr>
        <w:top w:val="none" w:sz="0" w:space="0" w:color="auto"/>
        <w:left w:val="none" w:sz="0" w:space="0" w:color="auto"/>
        <w:bottom w:val="none" w:sz="0" w:space="0" w:color="auto"/>
        <w:right w:val="none" w:sz="0" w:space="0" w:color="auto"/>
      </w:divBdr>
    </w:div>
    <w:div w:id="1718972507">
      <w:bodyDiv w:val="1"/>
      <w:marLeft w:val="0"/>
      <w:marRight w:val="0"/>
      <w:marTop w:val="0"/>
      <w:marBottom w:val="0"/>
      <w:divBdr>
        <w:top w:val="none" w:sz="0" w:space="0" w:color="auto"/>
        <w:left w:val="none" w:sz="0" w:space="0" w:color="auto"/>
        <w:bottom w:val="none" w:sz="0" w:space="0" w:color="auto"/>
        <w:right w:val="none" w:sz="0" w:space="0" w:color="auto"/>
      </w:divBdr>
    </w:div>
    <w:div w:id="1720085688">
      <w:bodyDiv w:val="1"/>
      <w:marLeft w:val="0"/>
      <w:marRight w:val="0"/>
      <w:marTop w:val="0"/>
      <w:marBottom w:val="0"/>
      <w:divBdr>
        <w:top w:val="none" w:sz="0" w:space="0" w:color="auto"/>
        <w:left w:val="none" w:sz="0" w:space="0" w:color="auto"/>
        <w:bottom w:val="none" w:sz="0" w:space="0" w:color="auto"/>
        <w:right w:val="none" w:sz="0" w:space="0" w:color="auto"/>
      </w:divBdr>
    </w:div>
    <w:div w:id="1720744149">
      <w:bodyDiv w:val="1"/>
      <w:marLeft w:val="0"/>
      <w:marRight w:val="0"/>
      <w:marTop w:val="0"/>
      <w:marBottom w:val="0"/>
      <w:divBdr>
        <w:top w:val="none" w:sz="0" w:space="0" w:color="auto"/>
        <w:left w:val="none" w:sz="0" w:space="0" w:color="auto"/>
        <w:bottom w:val="none" w:sz="0" w:space="0" w:color="auto"/>
        <w:right w:val="none" w:sz="0" w:space="0" w:color="auto"/>
      </w:divBdr>
    </w:div>
    <w:div w:id="1721519068">
      <w:bodyDiv w:val="1"/>
      <w:marLeft w:val="0"/>
      <w:marRight w:val="0"/>
      <w:marTop w:val="0"/>
      <w:marBottom w:val="0"/>
      <w:divBdr>
        <w:top w:val="none" w:sz="0" w:space="0" w:color="auto"/>
        <w:left w:val="none" w:sz="0" w:space="0" w:color="auto"/>
        <w:bottom w:val="none" w:sz="0" w:space="0" w:color="auto"/>
        <w:right w:val="none" w:sz="0" w:space="0" w:color="auto"/>
      </w:divBdr>
      <w:divsChild>
        <w:div w:id="942104438">
          <w:marLeft w:val="0"/>
          <w:marRight w:val="0"/>
          <w:marTop w:val="0"/>
          <w:marBottom w:val="0"/>
          <w:divBdr>
            <w:top w:val="none" w:sz="0" w:space="0" w:color="auto"/>
            <w:left w:val="none" w:sz="0" w:space="0" w:color="auto"/>
            <w:bottom w:val="none" w:sz="0" w:space="0" w:color="auto"/>
            <w:right w:val="none" w:sz="0" w:space="0" w:color="auto"/>
          </w:divBdr>
          <w:divsChild>
            <w:div w:id="339502979">
              <w:marLeft w:val="0"/>
              <w:marRight w:val="0"/>
              <w:marTop w:val="0"/>
              <w:marBottom w:val="0"/>
              <w:divBdr>
                <w:top w:val="none" w:sz="0" w:space="0" w:color="auto"/>
                <w:left w:val="none" w:sz="0" w:space="0" w:color="auto"/>
                <w:bottom w:val="none" w:sz="0" w:space="0" w:color="auto"/>
                <w:right w:val="none" w:sz="0" w:space="0" w:color="auto"/>
              </w:divBdr>
              <w:divsChild>
                <w:div w:id="7219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52412">
      <w:bodyDiv w:val="1"/>
      <w:marLeft w:val="0"/>
      <w:marRight w:val="0"/>
      <w:marTop w:val="0"/>
      <w:marBottom w:val="0"/>
      <w:divBdr>
        <w:top w:val="none" w:sz="0" w:space="0" w:color="auto"/>
        <w:left w:val="none" w:sz="0" w:space="0" w:color="auto"/>
        <w:bottom w:val="none" w:sz="0" w:space="0" w:color="auto"/>
        <w:right w:val="none" w:sz="0" w:space="0" w:color="auto"/>
      </w:divBdr>
    </w:div>
    <w:div w:id="1722091592">
      <w:bodyDiv w:val="1"/>
      <w:marLeft w:val="0"/>
      <w:marRight w:val="0"/>
      <w:marTop w:val="0"/>
      <w:marBottom w:val="0"/>
      <w:divBdr>
        <w:top w:val="none" w:sz="0" w:space="0" w:color="auto"/>
        <w:left w:val="none" w:sz="0" w:space="0" w:color="auto"/>
        <w:bottom w:val="none" w:sz="0" w:space="0" w:color="auto"/>
        <w:right w:val="none" w:sz="0" w:space="0" w:color="auto"/>
      </w:divBdr>
    </w:div>
    <w:div w:id="1722557493">
      <w:bodyDiv w:val="1"/>
      <w:marLeft w:val="0"/>
      <w:marRight w:val="0"/>
      <w:marTop w:val="0"/>
      <w:marBottom w:val="0"/>
      <w:divBdr>
        <w:top w:val="none" w:sz="0" w:space="0" w:color="auto"/>
        <w:left w:val="none" w:sz="0" w:space="0" w:color="auto"/>
        <w:bottom w:val="none" w:sz="0" w:space="0" w:color="auto"/>
        <w:right w:val="none" w:sz="0" w:space="0" w:color="auto"/>
      </w:divBdr>
    </w:div>
    <w:div w:id="1724021622">
      <w:bodyDiv w:val="1"/>
      <w:marLeft w:val="0"/>
      <w:marRight w:val="0"/>
      <w:marTop w:val="0"/>
      <w:marBottom w:val="0"/>
      <w:divBdr>
        <w:top w:val="none" w:sz="0" w:space="0" w:color="auto"/>
        <w:left w:val="none" w:sz="0" w:space="0" w:color="auto"/>
        <w:bottom w:val="none" w:sz="0" w:space="0" w:color="auto"/>
        <w:right w:val="none" w:sz="0" w:space="0" w:color="auto"/>
      </w:divBdr>
      <w:divsChild>
        <w:div w:id="1518032805">
          <w:marLeft w:val="0"/>
          <w:marRight w:val="0"/>
          <w:marTop w:val="0"/>
          <w:marBottom w:val="0"/>
          <w:divBdr>
            <w:top w:val="none" w:sz="0" w:space="0" w:color="auto"/>
            <w:left w:val="none" w:sz="0" w:space="0" w:color="auto"/>
            <w:bottom w:val="none" w:sz="0" w:space="0" w:color="auto"/>
            <w:right w:val="none" w:sz="0" w:space="0" w:color="auto"/>
          </w:divBdr>
          <w:divsChild>
            <w:div w:id="1981424281">
              <w:marLeft w:val="0"/>
              <w:marRight w:val="0"/>
              <w:marTop w:val="0"/>
              <w:marBottom w:val="0"/>
              <w:divBdr>
                <w:top w:val="none" w:sz="0" w:space="0" w:color="auto"/>
                <w:left w:val="none" w:sz="0" w:space="0" w:color="auto"/>
                <w:bottom w:val="none" w:sz="0" w:space="0" w:color="auto"/>
                <w:right w:val="none" w:sz="0" w:space="0" w:color="auto"/>
              </w:divBdr>
              <w:divsChild>
                <w:div w:id="267663540">
                  <w:marLeft w:val="0"/>
                  <w:marRight w:val="0"/>
                  <w:marTop w:val="0"/>
                  <w:marBottom w:val="0"/>
                  <w:divBdr>
                    <w:top w:val="none" w:sz="0" w:space="0" w:color="auto"/>
                    <w:left w:val="none" w:sz="0" w:space="0" w:color="auto"/>
                    <w:bottom w:val="none" w:sz="0" w:space="0" w:color="auto"/>
                    <w:right w:val="none" w:sz="0" w:space="0" w:color="auto"/>
                  </w:divBdr>
                  <w:divsChild>
                    <w:div w:id="1955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329032">
      <w:bodyDiv w:val="1"/>
      <w:marLeft w:val="0"/>
      <w:marRight w:val="0"/>
      <w:marTop w:val="0"/>
      <w:marBottom w:val="0"/>
      <w:divBdr>
        <w:top w:val="none" w:sz="0" w:space="0" w:color="auto"/>
        <w:left w:val="none" w:sz="0" w:space="0" w:color="auto"/>
        <w:bottom w:val="none" w:sz="0" w:space="0" w:color="auto"/>
        <w:right w:val="none" w:sz="0" w:space="0" w:color="auto"/>
      </w:divBdr>
    </w:div>
    <w:div w:id="1724909977">
      <w:bodyDiv w:val="1"/>
      <w:marLeft w:val="0"/>
      <w:marRight w:val="0"/>
      <w:marTop w:val="0"/>
      <w:marBottom w:val="0"/>
      <w:divBdr>
        <w:top w:val="none" w:sz="0" w:space="0" w:color="auto"/>
        <w:left w:val="none" w:sz="0" w:space="0" w:color="auto"/>
        <w:bottom w:val="none" w:sz="0" w:space="0" w:color="auto"/>
        <w:right w:val="none" w:sz="0" w:space="0" w:color="auto"/>
      </w:divBdr>
    </w:div>
    <w:div w:id="1725063764">
      <w:bodyDiv w:val="1"/>
      <w:marLeft w:val="0"/>
      <w:marRight w:val="0"/>
      <w:marTop w:val="0"/>
      <w:marBottom w:val="0"/>
      <w:divBdr>
        <w:top w:val="none" w:sz="0" w:space="0" w:color="auto"/>
        <w:left w:val="none" w:sz="0" w:space="0" w:color="auto"/>
        <w:bottom w:val="none" w:sz="0" w:space="0" w:color="auto"/>
        <w:right w:val="none" w:sz="0" w:space="0" w:color="auto"/>
      </w:divBdr>
      <w:divsChild>
        <w:div w:id="2051491087">
          <w:marLeft w:val="0"/>
          <w:marRight w:val="0"/>
          <w:marTop w:val="0"/>
          <w:marBottom w:val="0"/>
          <w:divBdr>
            <w:top w:val="none" w:sz="0" w:space="0" w:color="auto"/>
            <w:left w:val="none" w:sz="0" w:space="0" w:color="auto"/>
            <w:bottom w:val="none" w:sz="0" w:space="0" w:color="auto"/>
            <w:right w:val="none" w:sz="0" w:space="0" w:color="auto"/>
          </w:divBdr>
          <w:divsChild>
            <w:div w:id="700782103">
              <w:marLeft w:val="0"/>
              <w:marRight w:val="0"/>
              <w:marTop w:val="0"/>
              <w:marBottom w:val="0"/>
              <w:divBdr>
                <w:top w:val="none" w:sz="0" w:space="0" w:color="auto"/>
                <w:left w:val="none" w:sz="0" w:space="0" w:color="auto"/>
                <w:bottom w:val="none" w:sz="0" w:space="0" w:color="auto"/>
                <w:right w:val="none" w:sz="0" w:space="0" w:color="auto"/>
              </w:divBdr>
              <w:divsChild>
                <w:div w:id="888034985">
                  <w:marLeft w:val="0"/>
                  <w:marRight w:val="0"/>
                  <w:marTop w:val="0"/>
                  <w:marBottom w:val="0"/>
                  <w:divBdr>
                    <w:top w:val="none" w:sz="0" w:space="0" w:color="auto"/>
                    <w:left w:val="none" w:sz="0" w:space="0" w:color="auto"/>
                    <w:bottom w:val="none" w:sz="0" w:space="0" w:color="auto"/>
                    <w:right w:val="none" w:sz="0" w:space="0" w:color="auto"/>
                  </w:divBdr>
                  <w:divsChild>
                    <w:div w:id="15600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133735">
      <w:bodyDiv w:val="1"/>
      <w:marLeft w:val="0"/>
      <w:marRight w:val="0"/>
      <w:marTop w:val="0"/>
      <w:marBottom w:val="0"/>
      <w:divBdr>
        <w:top w:val="none" w:sz="0" w:space="0" w:color="auto"/>
        <w:left w:val="none" w:sz="0" w:space="0" w:color="auto"/>
        <w:bottom w:val="none" w:sz="0" w:space="0" w:color="auto"/>
        <w:right w:val="none" w:sz="0" w:space="0" w:color="auto"/>
      </w:divBdr>
    </w:div>
    <w:div w:id="1725449617">
      <w:bodyDiv w:val="1"/>
      <w:marLeft w:val="0"/>
      <w:marRight w:val="0"/>
      <w:marTop w:val="0"/>
      <w:marBottom w:val="0"/>
      <w:divBdr>
        <w:top w:val="none" w:sz="0" w:space="0" w:color="auto"/>
        <w:left w:val="none" w:sz="0" w:space="0" w:color="auto"/>
        <w:bottom w:val="none" w:sz="0" w:space="0" w:color="auto"/>
        <w:right w:val="none" w:sz="0" w:space="0" w:color="auto"/>
      </w:divBdr>
    </w:div>
    <w:div w:id="1725909262">
      <w:bodyDiv w:val="1"/>
      <w:marLeft w:val="0"/>
      <w:marRight w:val="0"/>
      <w:marTop w:val="0"/>
      <w:marBottom w:val="0"/>
      <w:divBdr>
        <w:top w:val="none" w:sz="0" w:space="0" w:color="auto"/>
        <w:left w:val="none" w:sz="0" w:space="0" w:color="auto"/>
        <w:bottom w:val="none" w:sz="0" w:space="0" w:color="auto"/>
        <w:right w:val="none" w:sz="0" w:space="0" w:color="auto"/>
      </w:divBdr>
    </w:div>
    <w:div w:id="1725983024">
      <w:bodyDiv w:val="1"/>
      <w:marLeft w:val="0"/>
      <w:marRight w:val="0"/>
      <w:marTop w:val="0"/>
      <w:marBottom w:val="0"/>
      <w:divBdr>
        <w:top w:val="none" w:sz="0" w:space="0" w:color="auto"/>
        <w:left w:val="none" w:sz="0" w:space="0" w:color="auto"/>
        <w:bottom w:val="none" w:sz="0" w:space="0" w:color="auto"/>
        <w:right w:val="none" w:sz="0" w:space="0" w:color="auto"/>
      </w:divBdr>
      <w:divsChild>
        <w:div w:id="102850392">
          <w:marLeft w:val="0"/>
          <w:marRight w:val="0"/>
          <w:marTop w:val="0"/>
          <w:marBottom w:val="0"/>
          <w:divBdr>
            <w:top w:val="none" w:sz="0" w:space="0" w:color="auto"/>
            <w:left w:val="none" w:sz="0" w:space="0" w:color="auto"/>
            <w:bottom w:val="none" w:sz="0" w:space="0" w:color="auto"/>
            <w:right w:val="none" w:sz="0" w:space="0" w:color="auto"/>
          </w:divBdr>
          <w:divsChild>
            <w:div w:id="2062752186">
              <w:marLeft w:val="0"/>
              <w:marRight w:val="0"/>
              <w:marTop w:val="0"/>
              <w:marBottom w:val="0"/>
              <w:divBdr>
                <w:top w:val="none" w:sz="0" w:space="0" w:color="auto"/>
                <w:left w:val="none" w:sz="0" w:space="0" w:color="auto"/>
                <w:bottom w:val="none" w:sz="0" w:space="0" w:color="auto"/>
                <w:right w:val="none" w:sz="0" w:space="0" w:color="auto"/>
              </w:divBdr>
              <w:divsChild>
                <w:div w:id="70228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024482">
      <w:bodyDiv w:val="1"/>
      <w:marLeft w:val="0"/>
      <w:marRight w:val="0"/>
      <w:marTop w:val="0"/>
      <w:marBottom w:val="0"/>
      <w:divBdr>
        <w:top w:val="none" w:sz="0" w:space="0" w:color="auto"/>
        <w:left w:val="none" w:sz="0" w:space="0" w:color="auto"/>
        <w:bottom w:val="none" w:sz="0" w:space="0" w:color="auto"/>
        <w:right w:val="none" w:sz="0" w:space="0" w:color="auto"/>
      </w:divBdr>
    </w:div>
    <w:div w:id="1726106597">
      <w:bodyDiv w:val="1"/>
      <w:marLeft w:val="0"/>
      <w:marRight w:val="0"/>
      <w:marTop w:val="0"/>
      <w:marBottom w:val="0"/>
      <w:divBdr>
        <w:top w:val="none" w:sz="0" w:space="0" w:color="auto"/>
        <w:left w:val="none" w:sz="0" w:space="0" w:color="auto"/>
        <w:bottom w:val="none" w:sz="0" w:space="0" w:color="auto"/>
        <w:right w:val="none" w:sz="0" w:space="0" w:color="auto"/>
      </w:divBdr>
    </w:div>
    <w:div w:id="1727025278">
      <w:bodyDiv w:val="1"/>
      <w:marLeft w:val="0"/>
      <w:marRight w:val="0"/>
      <w:marTop w:val="0"/>
      <w:marBottom w:val="0"/>
      <w:divBdr>
        <w:top w:val="none" w:sz="0" w:space="0" w:color="auto"/>
        <w:left w:val="none" w:sz="0" w:space="0" w:color="auto"/>
        <w:bottom w:val="none" w:sz="0" w:space="0" w:color="auto"/>
        <w:right w:val="none" w:sz="0" w:space="0" w:color="auto"/>
      </w:divBdr>
    </w:div>
    <w:div w:id="1727948975">
      <w:bodyDiv w:val="1"/>
      <w:marLeft w:val="0"/>
      <w:marRight w:val="0"/>
      <w:marTop w:val="0"/>
      <w:marBottom w:val="0"/>
      <w:divBdr>
        <w:top w:val="none" w:sz="0" w:space="0" w:color="auto"/>
        <w:left w:val="none" w:sz="0" w:space="0" w:color="auto"/>
        <w:bottom w:val="none" w:sz="0" w:space="0" w:color="auto"/>
        <w:right w:val="none" w:sz="0" w:space="0" w:color="auto"/>
      </w:divBdr>
    </w:div>
    <w:div w:id="1728650745">
      <w:bodyDiv w:val="1"/>
      <w:marLeft w:val="0"/>
      <w:marRight w:val="0"/>
      <w:marTop w:val="0"/>
      <w:marBottom w:val="0"/>
      <w:divBdr>
        <w:top w:val="none" w:sz="0" w:space="0" w:color="auto"/>
        <w:left w:val="none" w:sz="0" w:space="0" w:color="auto"/>
        <w:bottom w:val="none" w:sz="0" w:space="0" w:color="auto"/>
        <w:right w:val="none" w:sz="0" w:space="0" w:color="auto"/>
      </w:divBdr>
      <w:divsChild>
        <w:div w:id="1642536504">
          <w:marLeft w:val="0"/>
          <w:marRight w:val="0"/>
          <w:marTop w:val="0"/>
          <w:marBottom w:val="0"/>
          <w:divBdr>
            <w:top w:val="none" w:sz="0" w:space="0" w:color="auto"/>
            <w:left w:val="none" w:sz="0" w:space="0" w:color="auto"/>
            <w:bottom w:val="none" w:sz="0" w:space="0" w:color="auto"/>
            <w:right w:val="none" w:sz="0" w:space="0" w:color="auto"/>
          </w:divBdr>
          <w:divsChild>
            <w:div w:id="742407822">
              <w:marLeft w:val="0"/>
              <w:marRight w:val="0"/>
              <w:marTop w:val="0"/>
              <w:marBottom w:val="0"/>
              <w:divBdr>
                <w:top w:val="none" w:sz="0" w:space="0" w:color="auto"/>
                <w:left w:val="none" w:sz="0" w:space="0" w:color="auto"/>
                <w:bottom w:val="none" w:sz="0" w:space="0" w:color="auto"/>
                <w:right w:val="none" w:sz="0" w:space="0" w:color="auto"/>
              </w:divBdr>
              <w:divsChild>
                <w:div w:id="692535038">
                  <w:marLeft w:val="0"/>
                  <w:marRight w:val="0"/>
                  <w:marTop w:val="0"/>
                  <w:marBottom w:val="0"/>
                  <w:divBdr>
                    <w:top w:val="none" w:sz="0" w:space="0" w:color="auto"/>
                    <w:left w:val="none" w:sz="0" w:space="0" w:color="auto"/>
                    <w:bottom w:val="none" w:sz="0" w:space="0" w:color="auto"/>
                    <w:right w:val="none" w:sz="0" w:space="0" w:color="auto"/>
                  </w:divBdr>
                  <w:divsChild>
                    <w:div w:id="166323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722676">
      <w:bodyDiv w:val="1"/>
      <w:marLeft w:val="0"/>
      <w:marRight w:val="0"/>
      <w:marTop w:val="0"/>
      <w:marBottom w:val="0"/>
      <w:divBdr>
        <w:top w:val="none" w:sz="0" w:space="0" w:color="auto"/>
        <w:left w:val="none" w:sz="0" w:space="0" w:color="auto"/>
        <w:bottom w:val="none" w:sz="0" w:space="0" w:color="auto"/>
        <w:right w:val="none" w:sz="0" w:space="0" w:color="auto"/>
      </w:divBdr>
    </w:div>
    <w:div w:id="1728988505">
      <w:bodyDiv w:val="1"/>
      <w:marLeft w:val="0"/>
      <w:marRight w:val="0"/>
      <w:marTop w:val="0"/>
      <w:marBottom w:val="0"/>
      <w:divBdr>
        <w:top w:val="none" w:sz="0" w:space="0" w:color="auto"/>
        <w:left w:val="none" w:sz="0" w:space="0" w:color="auto"/>
        <w:bottom w:val="none" w:sz="0" w:space="0" w:color="auto"/>
        <w:right w:val="none" w:sz="0" w:space="0" w:color="auto"/>
      </w:divBdr>
    </w:div>
    <w:div w:id="1729304834">
      <w:bodyDiv w:val="1"/>
      <w:marLeft w:val="0"/>
      <w:marRight w:val="0"/>
      <w:marTop w:val="0"/>
      <w:marBottom w:val="0"/>
      <w:divBdr>
        <w:top w:val="none" w:sz="0" w:space="0" w:color="auto"/>
        <w:left w:val="none" w:sz="0" w:space="0" w:color="auto"/>
        <w:bottom w:val="none" w:sz="0" w:space="0" w:color="auto"/>
        <w:right w:val="none" w:sz="0" w:space="0" w:color="auto"/>
      </w:divBdr>
    </w:div>
    <w:div w:id="1729380634">
      <w:bodyDiv w:val="1"/>
      <w:marLeft w:val="0"/>
      <w:marRight w:val="0"/>
      <w:marTop w:val="0"/>
      <w:marBottom w:val="0"/>
      <w:divBdr>
        <w:top w:val="none" w:sz="0" w:space="0" w:color="auto"/>
        <w:left w:val="none" w:sz="0" w:space="0" w:color="auto"/>
        <w:bottom w:val="none" w:sz="0" w:space="0" w:color="auto"/>
        <w:right w:val="none" w:sz="0" w:space="0" w:color="auto"/>
      </w:divBdr>
    </w:div>
    <w:div w:id="1731493015">
      <w:bodyDiv w:val="1"/>
      <w:marLeft w:val="0"/>
      <w:marRight w:val="0"/>
      <w:marTop w:val="0"/>
      <w:marBottom w:val="0"/>
      <w:divBdr>
        <w:top w:val="none" w:sz="0" w:space="0" w:color="auto"/>
        <w:left w:val="none" w:sz="0" w:space="0" w:color="auto"/>
        <w:bottom w:val="none" w:sz="0" w:space="0" w:color="auto"/>
        <w:right w:val="none" w:sz="0" w:space="0" w:color="auto"/>
      </w:divBdr>
    </w:div>
    <w:div w:id="1731802926">
      <w:bodyDiv w:val="1"/>
      <w:marLeft w:val="0"/>
      <w:marRight w:val="0"/>
      <w:marTop w:val="0"/>
      <w:marBottom w:val="0"/>
      <w:divBdr>
        <w:top w:val="none" w:sz="0" w:space="0" w:color="auto"/>
        <w:left w:val="none" w:sz="0" w:space="0" w:color="auto"/>
        <w:bottom w:val="none" w:sz="0" w:space="0" w:color="auto"/>
        <w:right w:val="none" w:sz="0" w:space="0" w:color="auto"/>
      </w:divBdr>
    </w:div>
    <w:div w:id="1732195952">
      <w:bodyDiv w:val="1"/>
      <w:marLeft w:val="0"/>
      <w:marRight w:val="0"/>
      <w:marTop w:val="0"/>
      <w:marBottom w:val="0"/>
      <w:divBdr>
        <w:top w:val="none" w:sz="0" w:space="0" w:color="auto"/>
        <w:left w:val="none" w:sz="0" w:space="0" w:color="auto"/>
        <w:bottom w:val="none" w:sz="0" w:space="0" w:color="auto"/>
        <w:right w:val="none" w:sz="0" w:space="0" w:color="auto"/>
      </w:divBdr>
    </w:div>
    <w:div w:id="1732342183">
      <w:bodyDiv w:val="1"/>
      <w:marLeft w:val="0"/>
      <w:marRight w:val="0"/>
      <w:marTop w:val="0"/>
      <w:marBottom w:val="0"/>
      <w:divBdr>
        <w:top w:val="none" w:sz="0" w:space="0" w:color="auto"/>
        <w:left w:val="none" w:sz="0" w:space="0" w:color="auto"/>
        <w:bottom w:val="none" w:sz="0" w:space="0" w:color="auto"/>
        <w:right w:val="none" w:sz="0" w:space="0" w:color="auto"/>
      </w:divBdr>
    </w:div>
    <w:div w:id="1732582008">
      <w:bodyDiv w:val="1"/>
      <w:marLeft w:val="0"/>
      <w:marRight w:val="0"/>
      <w:marTop w:val="0"/>
      <w:marBottom w:val="0"/>
      <w:divBdr>
        <w:top w:val="none" w:sz="0" w:space="0" w:color="auto"/>
        <w:left w:val="none" w:sz="0" w:space="0" w:color="auto"/>
        <w:bottom w:val="none" w:sz="0" w:space="0" w:color="auto"/>
        <w:right w:val="none" w:sz="0" w:space="0" w:color="auto"/>
      </w:divBdr>
    </w:div>
    <w:div w:id="1732653167">
      <w:bodyDiv w:val="1"/>
      <w:marLeft w:val="0"/>
      <w:marRight w:val="0"/>
      <w:marTop w:val="0"/>
      <w:marBottom w:val="0"/>
      <w:divBdr>
        <w:top w:val="none" w:sz="0" w:space="0" w:color="auto"/>
        <w:left w:val="none" w:sz="0" w:space="0" w:color="auto"/>
        <w:bottom w:val="none" w:sz="0" w:space="0" w:color="auto"/>
        <w:right w:val="none" w:sz="0" w:space="0" w:color="auto"/>
      </w:divBdr>
    </w:div>
    <w:div w:id="1732844241">
      <w:bodyDiv w:val="1"/>
      <w:marLeft w:val="0"/>
      <w:marRight w:val="0"/>
      <w:marTop w:val="0"/>
      <w:marBottom w:val="0"/>
      <w:divBdr>
        <w:top w:val="none" w:sz="0" w:space="0" w:color="auto"/>
        <w:left w:val="none" w:sz="0" w:space="0" w:color="auto"/>
        <w:bottom w:val="none" w:sz="0" w:space="0" w:color="auto"/>
        <w:right w:val="none" w:sz="0" w:space="0" w:color="auto"/>
      </w:divBdr>
    </w:div>
    <w:div w:id="1733308428">
      <w:bodyDiv w:val="1"/>
      <w:marLeft w:val="0"/>
      <w:marRight w:val="0"/>
      <w:marTop w:val="0"/>
      <w:marBottom w:val="0"/>
      <w:divBdr>
        <w:top w:val="none" w:sz="0" w:space="0" w:color="auto"/>
        <w:left w:val="none" w:sz="0" w:space="0" w:color="auto"/>
        <w:bottom w:val="none" w:sz="0" w:space="0" w:color="auto"/>
        <w:right w:val="none" w:sz="0" w:space="0" w:color="auto"/>
      </w:divBdr>
    </w:div>
    <w:div w:id="1733430181">
      <w:bodyDiv w:val="1"/>
      <w:marLeft w:val="0"/>
      <w:marRight w:val="0"/>
      <w:marTop w:val="0"/>
      <w:marBottom w:val="0"/>
      <w:divBdr>
        <w:top w:val="none" w:sz="0" w:space="0" w:color="auto"/>
        <w:left w:val="none" w:sz="0" w:space="0" w:color="auto"/>
        <w:bottom w:val="none" w:sz="0" w:space="0" w:color="auto"/>
        <w:right w:val="none" w:sz="0" w:space="0" w:color="auto"/>
      </w:divBdr>
    </w:div>
    <w:div w:id="1733849068">
      <w:bodyDiv w:val="1"/>
      <w:marLeft w:val="0"/>
      <w:marRight w:val="0"/>
      <w:marTop w:val="0"/>
      <w:marBottom w:val="0"/>
      <w:divBdr>
        <w:top w:val="none" w:sz="0" w:space="0" w:color="auto"/>
        <w:left w:val="none" w:sz="0" w:space="0" w:color="auto"/>
        <w:bottom w:val="none" w:sz="0" w:space="0" w:color="auto"/>
        <w:right w:val="none" w:sz="0" w:space="0" w:color="auto"/>
      </w:divBdr>
      <w:divsChild>
        <w:div w:id="1002120220">
          <w:marLeft w:val="0"/>
          <w:marRight w:val="0"/>
          <w:marTop w:val="0"/>
          <w:marBottom w:val="0"/>
          <w:divBdr>
            <w:top w:val="none" w:sz="0" w:space="0" w:color="auto"/>
            <w:left w:val="none" w:sz="0" w:space="0" w:color="auto"/>
            <w:bottom w:val="none" w:sz="0" w:space="0" w:color="auto"/>
            <w:right w:val="none" w:sz="0" w:space="0" w:color="auto"/>
          </w:divBdr>
          <w:divsChild>
            <w:div w:id="1144663829">
              <w:marLeft w:val="0"/>
              <w:marRight w:val="0"/>
              <w:marTop w:val="0"/>
              <w:marBottom w:val="0"/>
              <w:divBdr>
                <w:top w:val="none" w:sz="0" w:space="0" w:color="auto"/>
                <w:left w:val="none" w:sz="0" w:space="0" w:color="auto"/>
                <w:bottom w:val="none" w:sz="0" w:space="0" w:color="auto"/>
                <w:right w:val="none" w:sz="0" w:space="0" w:color="auto"/>
              </w:divBdr>
              <w:divsChild>
                <w:div w:id="463473910">
                  <w:marLeft w:val="0"/>
                  <w:marRight w:val="0"/>
                  <w:marTop w:val="0"/>
                  <w:marBottom w:val="0"/>
                  <w:divBdr>
                    <w:top w:val="none" w:sz="0" w:space="0" w:color="auto"/>
                    <w:left w:val="none" w:sz="0" w:space="0" w:color="auto"/>
                    <w:bottom w:val="none" w:sz="0" w:space="0" w:color="auto"/>
                    <w:right w:val="none" w:sz="0" w:space="0" w:color="auto"/>
                  </w:divBdr>
                  <w:divsChild>
                    <w:div w:id="192849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159869">
      <w:bodyDiv w:val="1"/>
      <w:marLeft w:val="0"/>
      <w:marRight w:val="0"/>
      <w:marTop w:val="0"/>
      <w:marBottom w:val="0"/>
      <w:divBdr>
        <w:top w:val="none" w:sz="0" w:space="0" w:color="auto"/>
        <w:left w:val="none" w:sz="0" w:space="0" w:color="auto"/>
        <w:bottom w:val="none" w:sz="0" w:space="0" w:color="auto"/>
        <w:right w:val="none" w:sz="0" w:space="0" w:color="auto"/>
      </w:divBdr>
      <w:divsChild>
        <w:div w:id="1420567657">
          <w:marLeft w:val="0"/>
          <w:marRight w:val="0"/>
          <w:marTop w:val="0"/>
          <w:marBottom w:val="0"/>
          <w:divBdr>
            <w:top w:val="none" w:sz="0" w:space="0" w:color="auto"/>
            <w:left w:val="none" w:sz="0" w:space="0" w:color="auto"/>
            <w:bottom w:val="none" w:sz="0" w:space="0" w:color="auto"/>
            <w:right w:val="none" w:sz="0" w:space="0" w:color="auto"/>
          </w:divBdr>
          <w:divsChild>
            <w:div w:id="79178537">
              <w:marLeft w:val="0"/>
              <w:marRight w:val="0"/>
              <w:marTop w:val="0"/>
              <w:marBottom w:val="0"/>
              <w:divBdr>
                <w:top w:val="none" w:sz="0" w:space="0" w:color="auto"/>
                <w:left w:val="none" w:sz="0" w:space="0" w:color="auto"/>
                <w:bottom w:val="none" w:sz="0" w:space="0" w:color="auto"/>
                <w:right w:val="none" w:sz="0" w:space="0" w:color="auto"/>
              </w:divBdr>
              <w:divsChild>
                <w:div w:id="2068794760">
                  <w:marLeft w:val="0"/>
                  <w:marRight w:val="0"/>
                  <w:marTop w:val="0"/>
                  <w:marBottom w:val="0"/>
                  <w:divBdr>
                    <w:top w:val="none" w:sz="0" w:space="0" w:color="auto"/>
                    <w:left w:val="none" w:sz="0" w:space="0" w:color="auto"/>
                    <w:bottom w:val="none" w:sz="0" w:space="0" w:color="auto"/>
                    <w:right w:val="none" w:sz="0" w:space="0" w:color="auto"/>
                  </w:divBdr>
                  <w:divsChild>
                    <w:div w:id="111320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228842">
      <w:bodyDiv w:val="1"/>
      <w:marLeft w:val="0"/>
      <w:marRight w:val="0"/>
      <w:marTop w:val="0"/>
      <w:marBottom w:val="0"/>
      <w:divBdr>
        <w:top w:val="none" w:sz="0" w:space="0" w:color="auto"/>
        <w:left w:val="none" w:sz="0" w:space="0" w:color="auto"/>
        <w:bottom w:val="none" w:sz="0" w:space="0" w:color="auto"/>
        <w:right w:val="none" w:sz="0" w:space="0" w:color="auto"/>
      </w:divBdr>
    </w:div>
    <w:div w:id="1735423850">
      <w:bodyDiv w:val="1"/>
      <w:marLeft w:val="0"/>
      <w:marRight w:val="0"/>
      <w:marTop w:val="0"/>
      <w:marBottom w:val="0"/>
      <w:divBdr>
        <w:top w:val="none" w:sz="0" w:space="0" w:color="auto"/>
        <w:left w:val="none" w:sz="0" w:space="0" w:color="auto"/>
        <w:bottom w:val="none" w:sz="0" w:space="0" w:color="auto"/>
        <w:right w:val="none" w:sz="0" w:space="0" w:color="auto"/>
      </w:divBdr>
      <w:divsChild>
        <w:div w:id="1060711807">
          <w:marLeft w:val="0"/>
          <w:marRight w:val="0"/>
          <w:marTop w:val="0"/>
          <w:marBottom w:val="0"/>
          <w:divBdr>
            <w:top w:val="none" w:sz="0" w:space="0" w:color="auto"/>
            <w:left w:val="none" w:sz="0" w:space="0" w:color="auto"/>
            <w:bottom w:val="none" w:sz="0" w:space="0" w:color="auto"/>
            <w:right w:val="none" w:sz="0" w:space="0" w:color="auto"/>
          </w:divBdr>
          <w:divsChild>
            <w:div w:id="257906579">
              <w:marLeft w:val="0"/>
              <w:marRight w:val="0"/>
              <w:marTop w:val="0"/>
              <w:marBottom w:val="0"/>
              <w:divBdr>
                <w:top w:val="none" w:sz="0" w:space="0" w:color="auto"/>
                <w:left w:val="none" w:sz="0" w:space="0" w:color="auto"/>
                <w:bottom w:val="none" w:sz="0" w:space="0" w:color="auto"/>
                <w:right w:val="none" w:sz="0" w:space="0" w:color="auto"/>
              </w:divBdr>
              <w:divsChild>
                <w:div w:id="1403454154">
                  <w:marLeft w:val="0"/>
                  <w:marRight w:val="0"/>
                  <w:marTop w:val="0"/>
                  <w:marBottom w:val="0"/>
                  <w:divBdr>
                    <w:top w:val="none" w:sz="0" w:space="0" w:color="auto"/>
                    <w:left w:val="none" w:sz="0" w:space="0" w:color="auto"/>
                    <w:bottom w:val="none" w:sz="0" w:space="0" w:color="auto"/>
                    <w:right w:val="none" w:sz="0" w:space="0" w:color="auto"/>
                  </w:divBdr>
                  <w:divsChild>
                    <w:div w:id="208891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127548">
      <w:bodyDiv w:val="1"/>
      <w:marLeft w:val="0"/>
      <w:marRight w:val="0"/>
      <w:marTop w:val="0"/>
      <w:marBottom w:val="0"/>
      <w:divBdr>
        <w:top w:val="none" w:sz="0" w:space="0" w:color="auto"/>
        <w:left w:val="none" w:sz="0" w:space="0" w:color="auto"/>
        <w:bottom w:val="none" w:sz="0" w:space="0" w:color="auto"/>
        <w:right w:val="none" w:sz="0" w:space="0" w:color="auto"/>
      </w:divBdr>
    </w:div>
    <w:div w:id="1736388311">
      <w:bodyDiv w:val="1"/>
      <w:marLeft w:val="0"/>
      <w:marRight w:val="0"/>
      <w:marTop w:val="0"/>
      <w:marBottom w:val="0"/>
      <w:divBdr>
        <w:top w:val="none" w:sz="0" w:space="0" w:color="auto"/>
        <w:left w:val="none" w:sz="0" w:space="0" w:color="auto"/>
        <w:bottom w:val="none" w:sz="0" w:space="0" w:color="auto"/>
        <w:right w:val="none" w:sz="0" w:space="0" w:color="auto"/>
      </w:divBdr>
    </w:div>
    <w:div w:id="1737820270">
      <w:bodyDiv w:val="1"/>
      <w:marLeft w:val="0"/>
      <w:marRight w:val="0"/>
      <w:marTop w:val="0"/>
      <w:marBottom w:val="0"/>
      <w:divBdr>
        <w:top w:val="none" w:sz="0" w:space="0" w:color="auto"/>
        <w:left w:val="none" w:sz="0" w:space="0" w:color="auto"/>
        <w:bottom w:val="none" w:sz="0" w:space="0" w:color="auto"/>
        <w:right w:val="none" w:sz="0" w:space="0" w:color="auto"/>
      </w:divBdr>
      <w:divsChild>
        <w:div w:id="877543494">
          <w:marLeft w:val="0"/>
          <w:marRight w:val="0"/>
          <w:marTop w:val="0"/>
          <w:marBottom w:val="0"/>
          <w:divBdr>
            <w:top w:val="none" w:sz="0" w:space="0" w:color="auto"/>
            <w:left w:val="none" w:sz="0" w:space="0" w:color="auto"/>
            <w:bottom w:val="none" w:sz="0" w:space="0" w:color="auto"/>
            <w:right w:val="none" w:sz="0" w:space="0" w:color="auto"/>
          </w:divBdr>
          <w:divsChild>
            <w:div w:id="194002583">
              <w:marLeft w:val="0"/>
              <w:marRight w:val="0"/>
              <w:marTop w:val="0"/>
              <w:marBottom w:val="0"/>
              <w:divBdr>
                <w:top w:val="none" w:sz="0" w:space="0" w:color="auto"/>
                <w:left w:val="none" w:sz="0" w:space="0" w:color="auto"/>
                <w:bottom w:val="none" w:sz="0" w:space="0" w:color="auto"/>
                <w:right w:val="none" w:sz="0" w:space="0" w:color="auto"/>
              </w:divBdr>
              <w:divsChild>
                <w:div w:id="867525649">
                  <w:marLeft w:val="0"/>
                  <w:marRight w:val="0"/>
                  <w:marTop w:val="0"/>
                  <w:marBottom w:val="0"/>
                  <w:divBdr>
                    <w:top w:val="none" w:sz="0" w:space="0" w:color="auto"/>
                    <w:left w:val="none" w:sz="0" w:space="0" w:color="auto"/>
                    <w:bottom w:val="none" w:sz="0" w:space="0" w:color="auto"/>
                    <w:right w:val="none" w:sz="0" w:space="0" w:color="auto"/>
                  </w:divBdr>
                  <w:divsChild>
                    <w:div w:id="41821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631736">
      <w:bodyDiv w:val="1"/>
      <w:marLeft w:val="0"/>
      <w:marRight w:val="0"/>
      <w:marTop w:val="0"/>
      <w:marBottom w:val="0"/>
      <w:divBdr>
        <w:top w:val="none" w:sz="0" w:space="0" w:color="auto"/>
        <w:left w:val="none" w:sz="0" w:space="0" w:color="auto"/>
        <w:bottom w:val="none" w:sz="0" w:space="0" w:color="auto"/>
        <w:right w:val="none" w:sz="0" w:space="0" w:color="auto"/>
      </w:divBdr>
    </w:div>
    <w:div w:id="1740053829">
      <w:bodyDiv w:val="1"/>
      <w:marLeft w:val="0"/>
      <w:marRight w:val="0"/>
      <w:marTop w:val="0"/>
      <w:marBottom w:val="0"/>
      <w:divBdr>
        <w:top w:val="none" w:sz="0" w:space="0" w:color="auto"/>
        <w:left w:val="none" w:sz="0" w:space="0" w:color="auto"/>
        <w:bottom w:val="none" w:sz="0" w:space="0" w:color="auto"/>
        <w:right w:val="none" w:sz="0" w:space="0" w:color="auto"/>
      </w:divBdr>
    </w:div>
    <w:div w:id="1741320391">
      <w:bodyDiv w:val="1"/>
      <w:marLeft w:val="0"/>
      <w:marRight w:val="0"/>
      <w:marTop w:val="0"/>
      <w:marBottom w:val="0"/>
      <w:divBdr>
        <w:top w:val="none" w:sz="0" w:space="0" w:color="auto"/>
        <w:left w:val="none" w:sz="0" w:space="0" w:color="auto"/>
        <w:bottom w:val="none" w:sz="0" w:space="0" w:color="auto"/>
        <w:right w:val="none" w:sz="0" w:space="0" w:color="auto"/>
      </w:divBdr>
      <w:divsChild>
        <w:div w:id="546795360">
          <w:marLeft w:val="0"/>
          <w:marRight w:val="0"/>
          <w:marTop w:val="0"/>
          <w:marBottom w:val="0"/>
          <w:divBdr>
            <w:top w:val="none" w:sz="0" w:space="0" w:color="auto"/>
            <w:left w:val="none" w:sz="0" w:space="0" w:color="auto"/>
            <w:bottom w:val="none" w:sz="0" w:space="0" w:color="auto"/>
            <w:right w:val="none" w:sz="0" w:space="0" w:color="auto"/>
          </w:divBdr>
          <w:divsChild>
            <w:div w:id="1757284810">
              <w:marLeft w:val="0"/>
              <w:marRight w:val="0"/>
              <w:marTop w:val="0"/>
              <w:marBottom w:val="0"/>
              <w:divBdr>
                <w:top w:val="none" w:sz="0" w:space="0" w:color="auto"/>
                <w:left w:val="none" w:sz="0" w:space="0" w:color="auto"/>
                <w:bottom w:val="none" w:sz="0" w:space="0" w:color="auto"/>
                <w:right w:val="none" w:sz="0" w:space="0" w:color="auto"/>
              </w:divBdr>
              <w:divsChild>
                <w:div w:id="1477837730">
                  <w:marLeft w:val="0"/>
                  <w:marRight w:val="0"/>
                  <w:marTop w:val="0"/>
                  <w:marBottom w:val="0"/>
                  <w:divBdr>
                    <w:top w:val="none" w:sz="0" w:space="0" w:color="auto"/>
                    <w:left w:val="none" w:sz="0" w:space="0" w:color="auto"/>
                    <w:bottom w:val="none" w:sz="0" w:space="0" w:color="auto"/>
                    <w:right w:val="none" w:sz="0" w:space="0" w:color="auto"/>
                  </w:divBdr>
                  <w:divsChild>
                    <w:div w:id="130601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947434">
      <w:bodyDiv w:val="1"/>
      <w:marLeft w:val="0"/>
      <w:marRight w:val="0"/>
      <w:marTop w:val="0"/>
      <w:marBottom w:val="0"/>
      <w:divBdr>
        <w:top w:val="none" w:sz="0" w:space="0" w:color="auto"/>
        <w:left w:val="none" w:sz="0" w:space="0" w:color="auto"/>
        <w:bottom w:val="none" w:sz="0" w:space="0" w:color="auto"/>
        <w:right w:val="none" w:sz="0" w:space="0" w:color="auto"/>
      </w:divBdr>
    </w:div>
    <w:div w:id="1742672536">
      <w:bodyDiv w:val="1"/>
      <w:marLeft w:val="0"/>
      <w:marRight w:val="0"/>
      <w:marTop w:val="0"/>
      <w:marBottom w:val="0"/>
      <w:divBdr>
        <w:top w:val="none" w:sz="0" w:space="0" w:color="auto"/>
        <w:left w:val="none" w:sz="0" w:space="0" w:color="auto"/>
        <w:bottom w:val="none" w:sz="0" w:space="0" w:color="auto"/>
        <w:right w:val="none" w:sz="0" w:space="0" w:color="auto"/>
      </w:divBdr>
    </w:div>
    <w:div w:id="1743404737">
      <w:bodyDiv w:val="1"/>
      <w:marLeft w:val="0"/>
      <w:marRight w:val="0"/>
      <w:marTop w:val="0"/>
      <w:marBottom w:val="0"/>
      <w:divBdr>
        <w:top w:val="none" w:sz="0" w:space="0" w:color="auto"/>
        <w:left w:val="none" w:sz="0" w:space="0" w:color="auto"/>
        <w:bottom w:val="none" w:sz="0" w:space="0" w:color="auto"/>
        <w:right w:val="none" w:sz="0" w:space="0" w:color="auto"/>
      </w:divBdr>
      <w:divsChild>
        <w:div w:id="1840189567">
          <w:marLeft w:val="0"/>
          <w:marRight w:val="0"/>
          <w:marTop w:val="0"/>
          <w:marBottom w:val="0"/>
          <w:divBdr>
            <w:top w:val="none" w:sz="0" w:space="0" w:color="auto"/>
            <w:left w:val="none" w:sz="0" w:space="0" w:color="auto"/>
            <w:bottom w:val="none" w:sz="0" w:space="0" w:color="auto"/>
            <w:right w:val="none" w:sz="0" w:space="0" w:color="auto"/>
          </w:divBdr>
          <w:divsChild>
            <w:div w:id="625551731">
              <w:marLeft w:val="0"/>
              <w:marRight w:val="0"/>
              <w:marTop w:val="0"/>
              <w:marBottom w:val="0"/>
              <w:divBdr>
                <w:top w:val="none" w:sz="0" w:space="0" w:color="auto"/>
                <w:left w:val="none" w:sz="0" w:space="0" w:color="auto"/>
                <w:bottom w:val="none" w:sz="0" w:space="0" w:color="auto"/>
                <w:right w:val="none" w:sz="0" w:space="0" w:color="auto"/>
              </w:divBdr>
              <w:divsChild>
                <w:div w:id="1469590045">
                  <w:marLeft w:val="0"/>
                  <w:marRight w:val="0"/>
                  <w:marTop w:val="0"/>
                  <w:marBottom w:val="0"/>
                  <w:divBdr>
                    <w:top w:val="none" w:sz="0" w:space="0" w:color="auto"/>
                    <w:left w:val="none" w:sz="0" w:space="0" w:color="auto"/>
                    <w:bottom w:val="none" w:sz="0" w:space="0" w:color="auto"/>
                    <w:right w:val="none" w:sz="0" w:space="0" w:color="auto"/>
                  </w:divBdr>
                </w:div>
              </w:divsChild>
            </w:div>
            <w:div w:id="1511411396">
              <w:marLeft w:val="0"/>
              <w:marRight w:val="0"/>
              <w:marTop w:val="0"/>
              <w:marBottom w:val="0"/>
              <w:divBdr>
                <w:top w:val="none" w:sz="0" w:space="0" w:color="auto"/>
                <w:left w:val="none" w:sz="0" w:space="0" w:color="auto"/>
                <w:bottom w:val="none" w:sz="0" w:space="0" w:color="auto"/>
                <w:right w:val="none" w:sz="0" w:space="0" w:color="auto"/>
              </w:divBdr>
              <w:divsChild>
                <w:div w:id="129494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6869">
      <w:bodyDiv w:val="1"/>
      <w:marLeft w:val="0"/>
      <w:marRight w:val="0"/>
      <w:marTop w:val="0"/>
      <w:marBottom w:val="0"/>
      <w:divBdr>
        <w:top w:val="none" w:sz="0" w:space="0" w:color="auto"/>
        <w:left w:val="none" w:sz="0" w:space="0" w:color="auto"/>
        <w:bottom w:val="none" w:sz="0" w:space="0" w:color="auto"/>
        <w:right w:val="none" w:sz="0" w:space="0" w:color="auto"/>
      </w:divBdr>
    </w:div>
    <w:div w:id="1743676852">
      <w:bodyDiv w:val="1"/>
      <w:marLeft w:val="0"/>
      <w:marRight w:val="0"/>
      <w:marTop w:val="0"/>
      <w:marBottom w:val="0"/>
      <w:divBdr>
        <w:top w:val="none" w:sz="0" w:space="0" w:color="auto"/>
        <w:left w:val="none" w:sz="0" w:space="0" w:color="auto"/>
        <w:bottom w:val="none" w:sz="0" w:space="0" w:color="auto"/>
        <w:right w:val="none" w:sz="0" w:space="0" w:color="auto"/>
      </w:divBdr>
    </w:div>
    <w:div w:id="1744915988">
      <w:bodyDiv w:val="1"/>
      <w:marLeft w:val="0"/>
      <w:marRight w:val="0"/>
      <w:marTop w:val="0"/>
      <w:marBottom w:val="0"/>
      <w:divBdr>
        <w:top w:val="none" w:sz="0" w:space="0" w:color="auto"/>
        <w:left w:val="none" w:sz="0" w:space="0" w:color="auto"/>
        <w:bottom w:val="none" w:sz="0" w:space="0" w:color="auto"/>
        <w:right w:val="none" w:sz="0" w:space="0" w:color="auto"/>
      </w:divBdr>
    </w:div>
    <w:div w:id="1746339339">
      <w:bodyDiv w:val="1"/>
      <w:marLeft w:val="0"/>
      <w:marRight w:val="0"/>
      <w:marTop w:val="0"/>
      <w:marBottom w:val="0"/>
      <w:divBdr>
        <w:top w:val="none" w:sz="0" w:space="0" w:color="auto"/>
        <w:left w:val="none" w:sz="0" w:space="0" w:color="auto"/>
        <w:bottom w:val="none" w:sz="0" w:space="0" w:color="auto"/>
        <w:right w:val="none" w:sz="0" w:space="0" w:color="auto"/>
      </w:divBdr>
    </w:div>
    <w:div w:id="1746412817">
      <w:bodyDiv w:val="1"/>
      <w:marLeft w:val="0"/>
      <w:marRight w:val="0"/>
      <w:marTop w:val="0"/>
      <w:marBottom w:val="0"/>
      <w:divBdr>
        <w:top w:val="none" w:sz="0" w:space="0" w:color="auto"/>
        <w:left w:val="none" w:sz="0" w:space="0" w:color="auto"/>
        <w:bottom w:val="none" w:sz="0" w:space="0" w:color="auto"/>
        <w:right w:val="none" w:sz="0" w:space="0" w:color="auto"/>
      </w:divBdr>
      <w:divsChild>
        <w:div w:id="1718235863">
          <w:marLeft w:val="0"/>
          <w:marRight w:val="0"/>
          <w:marTop w:val="0"/>
          <w:marBottom w:val="0"/>
          <w:divBdr>
            <w:top w:val="none" w:sz="0" w:space="0" w:color="auto"/>
            <w:left w:val="none" w:sz="0" w:space="0" w:color="auto"/>
            <w:bottom w:val="none" w:sz="0" w:space="0" w:color="auto"/>
            <w:right w:val="none" w:sz="0" w:space="0" w:color="auto"/>
          </w:divBdr>
          <w:divsChild>
            <w:div w:id="1501890690">
              <w:marLeft w:val="0"/>
              <w:marRight w:val="0"/>
              <w:marTop w:val="0"/>
              <w:marBottom w:val="0"/>
              <w:divBdr>
                <w:top w:val="none" w:sz="0" w:space="0" w:color="auto"/>
                <w:left w:val="none" w:sz="0" w:space="0" w:color="auto"/>
                <w:bottom w:val="none" w:sz="0" w:space="0" w:color="auto"/>
                <w:right w:val="none" w:sz="0" w:space="0" w:color="auto"/>
              </w:divBdr>
              <w:divsChild>
                <w:div w:id="662584029">
                  <w:marLeft w:val="0"/>
                  <w:marRight w:val="0"/>
                  <w:marTop w:val="0"/>
                  <w:marBottom w:val="0"/>
                  <w:divBdr>
                    <w:top w:val="none" w:sz="0" w:space="0" w:color="auto"/>
                    <w:left w:val="none" w:sz="0" w:space="0" w:color="auto"/>
                    <w:bottom w:val="none" w:sz="0" w:space="0" w:color="auto"/>
                    <w:right w:val="none" w:sz="0" w:space="0" w:color="auto"/>
                  </w:divBdr>
                  <w:divsChild>
                    <w:div w:id="16966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488989">
      <w:bodyDiv w:val="1"/>
      <w:marLeft w:val="0"/>
      <w:marRight w:val="0"/>
      <w:marTop w:val="0"/>
      <w:marBottom w:val="0"/>
      <w:divBdr>
        <w:top w:val="none" w:sz="0" w:space="0" w:color="auto"/>
        <w:left w:val="none" w:sz="0" w:space="0" w:color="auto"/>
        <w:bottom w:val="none" w:sz="0" w:space="0" w:color="auto"/>
        <w:right w:val="none" w:sz="0" w:space="0" w:color="auto"/>
      </w:divBdr>
    </w:div>
    <w:div w:id="1746956519">
      <w:bodyDiv w:val="1"/>
      <w:marLeft w:val="0"/>
      <w:marRight w:val="0"/>
      <w:marTop w:val="0"/>
      <w:marBottom w:val="0"/>
      <w:divBdr>
        <w:top w:val="none" w:sz="0" w:space="0" w:color="auto"/>
        <w:left w:val="none" w:sz="0" w:space="0" w:color="auto"/>
        <w:bottom w:val="none" w:sz="0" w:space="0" w:color="auto"/>
        <w:right w:val="none" w:sz="0" w:space="0" w:color="auto"/>
      </w:divBdr>
    </w:div>
    <w:div w:id="1748267033">
      <w:bodyDiv w:val="1"/>
      <w:marLeft w:val="0"/>
      <w:marRight w:val="0"/>
      <w:marTop w:val="0"/>
      <w:marBottom w:val="0"/>
      <w:divBdr>
        <w:top w:val="none" w:sz="0" w:space="0" w:color="auto"/>
        <w:left w:val="none" w:sz="0" w:space="0" w:color="auto"/>
        <w:bottom w:val="none" w:sz="0" w:space="0" w:color="auto"/>
        <w:right w:val="none" w:sz="0" w:space="0" w:color="auto"/>
      </w:divBdr>
      <w:divsChild>
        <w:div w:id="855004649">
          <w:marLeft w:val="0"/>
          <w:marRight w:val="0"/>
          <w:marTop w:val="0"/>
          <w:marBottom w:val="0"/>
          <w:divBdr>
            <w:top w:val="none" w:sz="0" w:space="0" w:color="auto"/>
            <w:left w:val="none" w:sz="0" w:space="0" w:color="auto"/>
            <w:bottom w:val="none" w:sz="0" w:space="0" w:color="auto"/>
            <w:right w:val="none" w:sz="0" w:space="0" w:color="auto"/>
          </w:divBdr>
          <w:divsChild>
            <w:div w:id="1615822294">
              <w:marLeft w:val="0"/>
              <w:marRight w:val="0"/>
              <w:marTop w:val="0"/>
              <w:marBottom w:val="0"/>
              <w:divBdr>
                <w:top w:val="none" w:sz="0" w:space="0" w:color="auto"/>
                <w:left w:val="none" w:sz="0" w:space="0" w:color="auto"/>
                <w:bottom w:val="none" w:sz="0" w:space="0" w:color="auto"/>
                <w:right w:val="none" w:sz="0" w:space="0" w:color="auto"/>
              </w:divBdr>
              <w:divsChild>
                <w:div w:id="796995516">
                  <w:marLeft w:val="0"/>
                  <w:marRight w:val="0"/>
                  <w:marTop w:val="0"/>
                  <w:marBottom w:val="0"/>
                  <w:divBdr>
                    <w:top w:val="none" w:sz="0" w:space="0" w:color="auto"/>
                    <w:left w:val="none" w:sz="0" w:space="0" w:color="auto"/>
                    <w:bottom w:val="none" w:sz="0" w:space="0" w:color="auto"/>
                    <w:right w:val="none" w:sz="0" w:space="0" w:color="auto"/>
                  </w:divBdr>
                  <w:divsChild>
                    <w:div w:id="200003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46361">
      <w:bodyDiv w:val="1"/>
      <w:marLeft w:val="0"/>
      <w:marRight w:val="0"/>
      <w:marTop w:val="0"/>
      <w:marBottom w:val="0"/>
      <w:divBdr>
        <w:top w:val="none" w:sz="0" w:space="0" w:color="auto"/>
        <w:left w:val="none" w:sz="0" w:space="0" w:color="auto"/>
        <w:bottom w:val="none" w:sz="0" w:space="0" w:color="auto"/>
        <w:right w:val="none" w:sz="0" w:space="0" w:color="auto"/>
      </w:divBdr>
    </w:div>
    <w:div w:id="1749762259">
      <w:bodyDiv w:val="1"/>
      <w:marLeft w:val="0"/>
      <w:marRight w:val="0"/>
      <w:marTop w:val="0"/>
      <w:marBottom w:val="0"/>
      <w:divBdr>
        <w:top w:val="none" w:sz="0" w:space="0" w:color="auto"/>
        <w:left w:val="none" w:sz="0" w:space="0" w:color="auto"/>
        <w:bottom w:val="none" w:sz="0" w:space="0" w:color="auto"/>
        <w:right w:val="none" w:sz="0" w:space="0" w:color="auto"/>
      </w:divBdr>
    </w:div>
    <w:div w:id="1749959110">
      <w:bodyDiv w:val="1"/>
      <w:marLeft w:val="0"/>
      <w:marRight w:val="0"/>
      <w:marTop w:val="0"/>
      <w:marBottom w:val="0"/>
      <w:divBdr>
        <w:top w:val="none" w:sz="0" w:space="0" w:color="auto"/>
        <w:left w:val="none" w:sz="0" w:space="0" w:color="auto"/>
        <w:bottom w:val="none" w:sz="0" w:space="0" w:color="auto"/>
        <w:right w:val="none" w:sz="0" w:space="0" w:color="auto"/>
      </w:divBdr>
      <w:divsChild>
        <w:div w:id="1015963777">
          <w:marLeft w:val="0"/>
          <w:marRight w:val="0"/>
          <w:marTop w:val="0"/>
          <w:marBottom w:val="0"/>
          <w:divBdr>
            <w:top w:val="none" w:sz="0" w:space="0" w:color="auto"/>
            <w:left w:val="none" w:sz="0" w:space="0" w:color="auto"/>
            <w:bottom w:val="none" w:sz="0" w:space="0" w:color="auto"/>
            <w:right w:val="none" w:sz="0" w:space="0" w:color="auto"/>
          </w:divBdr>
          <w:divsChild>
            <w:div w:id="1349792026">
              <w:marLeft w:val="0"/>
              <w:marRight w:val="0"/>
              <w:marTop w:val="0"/>
              <w:marBottom w:val="0"/>
              <w:divBdr>
                <w:top w:val="none" w:sz="0" w:space="0" w:color="auto"/>
                <w:left w:val="none" w:sz="0" w:space="0" w:color="auto"/>
                <w:bottom w:val="none" w:sz="0" w:space="0" w:color="auto"/>
                <w:right w:val="none" w:sz="0" w:space="0" w:color="auto"/>
              </w:divBdr>
              <w:divsChild>
                <w:div w:id="1463183538">
                  <w:marLeft w:val="0"/>
                  <w:marRight w:val="0"/>
                  <w:marTop w:val="0"/>
                  <w:marBottom w:val="0"/>
                  <w:divBdr>
                    <w:top w:val="none" w:sz="0" w:space="0" w:color="auto"/>
                    <w:left w:val="none" w:sz="0" w:space="0" w:color="auto"/>
                    <w:bottom w:val="none" w:sz="0" w:space="0" w:color="auto"/>
                    <w:right w:val="none" w:sz="0" w:space="0" w:color="auto"/>
                  </w:divBdr>
                  <w:divsChild>
                    <w:div w:id="899948882">
                      <w:marLeft w:val="0"/>
                      <w:marRight w:val="0"/>
                      <w:marTop w:val="0"/>
                      <w:marBottom w:val="0"/>
                      <w:divBdr>
                        <w:top w:val="none" w:sz="0" w:space="0" w:color="auto"/>
                        <w:left w:val="none" w:sz="0" w:space="0" w:color="auto"/>
                        <w:bottom w:val="none" w:sz="0" w:space="0" w:color="auto"/>
                        <w:right w:val="none" w:sz="0" w:space="0" w:color="auto"/>
                      </w:divBdr>
                    </w:div>
                  </w:divsChild>
                </w:div>
                <w:div w:id="1613515907">
                  <w:marLeft w:val="0"/>
                  <w:marRight w:val="0"/>
                  <w:marTop w:val="0"/>
                  <w:marBottom w:val="0"/>
                  <w:divBdr>
                    <w:top w:val="none" w:sz="0" w:space="0" w:color="auto"/>
                    <w:left w:val="none" w:sz="0" w:space="0" w:color="auto"/>
                    <w:bottom w:val="none" w:sz="0" w:space="0" w:color="auto"/>
                    <w:right w:val="none" w:sz="0" w:space="0" w:color="auto"/>
                  </w:divBdr>
                  <w:divsChild>
                    <w:div w:id="5565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274635">
      <w:bodyDiv w:val="1"/>
      <w:marLeft w:val="0"/>
      <w:marRight w:val="0"/>
      <w:marTop w:val="0"/>
      <w:marBottom w:val="0"/>
      <w:divBdr>
        <w:top w:val="none" w:sz="0" w:space="0" w:color="auto"/>
        <w:left w:val="none" w:sz="0" w:space="0" w:color="auto"/>
        <w:bottom w:val="none" w:sz="0" w:space="0" w:color="auto"/>
        <w:right w:val="none" w:sz="0" w:space="0" w:color="auto"/>
      </w:divBdr>
    </w:div>
    <w:div w:id="1751077769">
      <w:bodyDiv w:val="1"/>
      <w:marLeft w:val="0"/>
      <w:marRight w:val="0"/>
      <w:marTop w:val="0"/>
      <w:marBottom w:val="0"/>
      <w:divBdr>
        <w:top w:val="none" w:sz="0" w:space="0" w:color="auto"/>
        <w:left w:val="none" w:sz="0" w:space="0" w:color="auto"/>
        <w:bottom w:val="none" w:sz="0" w:space="0" w:color="auto"/>
        <w:right w:val="none" w:sz="0" w:space="0" w:color="auto"/>
      </w:divBdr>
    </w:div>
    <w:div w:id="1751343602">
      <w:bodyDiv w:val="1"/>
      <w:marLeft w:val="0"/>
      <w:marRight w:val="0"/>
      <w:marTop w:val="0"/>
      <w:marBottom w:val="0"/>
      <w:divBdr>
        <w:top w:val="none" w:sz="0" w:space="0" w:color="auto"/>
        <w:left w:val="none" w:sz="0" w:space="0" w:color="auto"/>
        <w:bottom w:val="none" w:sz="0" w:space="0" w:color="auto"/>
        <w:right w:val="none" w:sz="0" w:space="0" w:color="auto"/>
      </w:divBdr>
    </w:div>
    <w:div w:id="1751537140">
      <w:bodyDiv w:val="1"/>
      <w:marLeft w:val="0"/>
      <w:marRight w:val="0"/>
      <w:marTop w:val="0"/>
      <w:marBottom w:val="0"/>
      <w:divBdr>
        <w:top w:val="none" w:sz="0" w:space="0" w:color="auto"/>
        <w:left w:val="none" w:sz="0" w:space="0" w:color="auto"/>
        <w:bottom w:val="none" w:sz="0" w:space="0" w:color="auto"/>
        <w:right w:val="none" w:sz="0" w:space="0" w:color="auto"/>
      </w:divBdr>
    </w:div>
    <w:div w:id="1752238699">
      <w:bodyDiv w:val="1"/>
      <w:marLeft w:val="0"/>
      <w:marRight w:val="0"/>
      <w:marTop w:val="0"/>
      <w:marBottom w:val="0"/>
      <w:divBdr>
        <w:top w:val="none" w:sz="0" w:space="0" w:color="auto"/>
        <w:left w:val="none" w:sz="0" w:space="0" w:color="auto"/>
        <w:bottom w:val="none" w:sz="0" w:space="0" w:color="auto"/>
        <w:right w:val="none" w:sz="0" w:space="0" w:color="auto"/>
      </w:divBdr>
    </w:div>
    <w:div w:id="1752460255">
      <w:bodyDiv w:val="1"/>
      <w:marLeft w:val="0"/>
      <w:marRight w:val="0"/>
      <w:marTop w:val="0"/>
      <w:marBottom w:val="0"/>
      <w:divBdr>
        <w:top w:val="none" w:sz="0" w:space="0" w:color="auto"/>
        <w:left w:val="none" w:sz="0" w:space="0" w:color="auto"/>
        <w:bottom w:val="none" w:sz="0" w:space="0" w:color="auto"/>
        <w:right w:val="none" w:sz="0" w:space="0" w:color="auto"/>
      </w:divBdr>
    </w:div>
    <w:div w:id="1754088926">
      <w:bodyDiv w:val="1"/>
      <w:marLeft w:val="0"/>
      <w:marRight w:val="0"/>
      <w:marTop w:val="0"/>
      <w:marBottom w:val="0"/>
      <w:divBdr>
        <w:top w:val="none" w:sz="0" w:space="0" w:color="auto"/>
        <w:left w:val="none" w:sz="0" w:space="0" w:color="auto"/>
        <w:bottom w:val="none" w:sz="0" w:space="0" w:color="auto"/>
        <w:right w:val="none" w:sz="0" w:space="0" w:color="auto"/>
      </w:divBdr>
    </w:div>
    <w:div w:id="1754935706">
      <w:bodyDiv w:val="1"/>
      <w:marLeft w:val="0"/>
      <w:marRight w:val="0"/>
      <w:marTop w:val="0"/>
      <w:marBottom w:val="0"/>
      <w:divBdr>
        <w:top w:val="none" w:sz="0" w:space="0" w:color="auto"/>
        <w:left w:val="none" w:sz="0" w:space="0" w:color="auto"/>
        <w:bottom w:val="none" w:sz="0" w:space="0" w:color="auto"/>
        <w:right w:val="none" w:sz="0" w:space="0" w:color="auto"/>
      </w:divBdr>
    </w:div>
    <w:div w:id="1755665449">
      <w:bodyDiv w:val="1"/>
      <w:marLeft w:val="0"/>
      <w:marRight w:val="0"/>
      <w:marTop w:val="0"/>
      <w:marBottom w:val="0"/>
      <w:divBdr>
        <w:top w:val="none" w:sz="0" w:space="0" w:color="auto"/>
        <w:left w:val="none" w:sz="0" w:space="0" w:color="auto"/>
        <w:bottom w:val="none" w:sz="0" w:space="0" w:color="auto"/>
        <w:right w:val="none" w:sz="0" w:space="0" w:color="auto"/>
      </w:divBdr>
    </w:div>
    <w:div w:id="1755783716">
      <w:bodyDiv w:val="1"/>
      <w:marLeft w:val="0"/>
      <w:marRight w:val="0"/>
      <w:marTop w:val="0"/>
      <w:marBottom w:val="0"/>
      <w:divBdr>
        <w:top w:val="none" w:sz="0" w:space="0" w:color="auto"/>
        <w:left w:val="none" w:sz="0" w:space="0" w:color="auto"/>
        <w:bottom w:val="none" w:sz="0" w:space="0" w:color="auto"/>
        <w:right w:val="none" w:sz="0" w:space="0" w:color="auto"/>
      </w:divBdr>
    </w:div>
    <w:div w:id="1758211161">
      <w:bodyDiv w:val="1"/>
      <w:marLeft w:val="0"/>
      <w:marRight w:val="0"/>
      <w:marTop w:val="0"/>
      <w:marBottom w:val="0"/>
      <w:divBdr>
        <w:top w:val="none" w:sz="0" w:space="0" w:color="auto"/>
        <w:left w:val="none" w:sz="0" w:space="0" w:color="auto"/>
        <w:bottom w:val="none" w:sz="0" w:space="0" w:color="auto"/>
        <w:right w:val="none" w:sz="0" w:space="0" w:color="auto"/>
      </w:divBdr>
    </w:div>
    <w:div w:id="1758280681">
      <w:bodyDiv w:val="1"/>
      <w:marLeft w:val="0"/>
      <w:marRight w:val="0"/>
      <w:marTop w:val="0"/>
      <w:marBottom w:val="0"/>
      <w:divBdr>
        <w:top w:val="none" w:sz="0" w:space="0" w:color="auto"/>
        <w:left w:val="none" w:sz="0" w:space="0" w:color="auto"/>
        <w:bottom w:val="none" w:sz="0" w:space="0" w:color="auto"/>
        <w:right w:val="none" w:sz="0" w:space="0" w:color="auto"/>
      </w:divBdr>
    </w:div>
    <w:div w:id="1759674064">
      <w:bodyDiv w:val="1"/>
      <w:marLeft w:val="0"/>
      <w:marRight w:val="0"/>
      <w:marTop w:val="0"/>
      <w:marBottom w:val="0"/>
      <w:divBdr>
        <w:top w:val="none" w:sz="0" w:space="0" w:color="auto"/>
        <w:left w:val="none" w:sz="0" w:space="0" w:color="auto"/>
        <w:bottom w:val="none" w:sz="0" w:space="0" w:color="auto"/>
        <w:right w:val="none" w:sz="0" w:space="0" w:color="auto"/>
      </w:divBdr>
    </w:div>
    <w:div w:id="1760252355">
      <w:bodyDiv w:val="1"/>
      <w:marLeft w:val="0"/>
      <w:marRight w:val="0"/>
      <w:marTop w:val="0"/>
      <w:marBottom w:val="0"/>
      <w:divBdr>
        <w:top w:val="none" w:sz="0" w:space="0" w:color="auto"/>
        <w:left w:val="none" w:sz="0" w:space="0" w:color="auto"/>
        <w:bottom w:val="none" w:sz="0" w:space="0" w:color="auto"/>
        <w:right w:val="none" w:sz="0" w:space="0" w:color="auto"/>
      </w:divBdr>
    </w:div>
    <w:div w:id="1760516537">
      <w:bodyDiv w:val="1"/>
      <w:marLeft w:val="0"/>
      <w:marRight w:val="0"/>
      <w:marTop w:val="0"/>
      <w:marBottom w:val="0"/>
      <w:divBdr>
        <w:top w:val="none" w:sz="0" w:space="0" w:color="auto"/>
        <w:left w:val="none" w:sz="0" w:space="0" w:color="auto"/>
        <w:bottom w:val="none" w:sz="0" w:space="0" w:color="auto"/>
        <w:right w:val="none" w:sz="0" w:space="0" w:color="auto"/>
      </w:divBdr>
    </w:div>
    <w:div w:id="1763335905">
      <w:bodyDiv w:val="1"/>
      <w:marLeft w:val="0"/>
      <w:marRight w:val="0"/>
      <w:marTop w:val="0"/>
      <w:marBottom w:val="0"/>
      <w:divBdr>
        <w:top w:val="none" w:sz="0" w:space="0" w:color="auto"/>
        <w:left w:val="none" w:sz="0" w:space="0" w:color="auto"/>
        <w:bottom w:val="none" w:sz="0" w:space="0" w:color="auto"/>
        <w:right w:val="none" w:sz="0" w:space="0" w:color="auto"/>
      </w:divBdr>
    </w:div>
    <w:div w:id="1763649538">
      <w:bodyDiv w:val="1"/>
      <w:marLeft w:val="0"/>
      <w:marRight w:val="0"/>
      <w:marTop w:val="0"/>
      <w:marBottom w:val="0"/>
      <w:divBdr>
        <w:top w:val="none" w:sz="0" w:space="0" w:color="auto"/>
        <w:left w:val="none" w:sz="0" w:space="0" w:color="auto"/>
        <w:bottom w:val="none" w:sz="0" w:space="0" w:color="auto"/>
        <w:right w:val="none" w:sz="0" w:space="0" w:color="auto"/>
      </w:divBdr>
      <w:divsChild>
        <w:div w:id="1236473393">
          <w:marLeft w:val="0"/>
          <w:marRight w:val="0"/>
          <w:marTop w:val="0"/>
          <w:marBottom w:val="0"/>
          <w:divBdr>
            <w:top w:val="none" w:sz="0" w:space="0" w:color="auto"/>
            <w:left w:val="none" w:sz="0" w:space="0" w:color="auto"/>
            <w:bottom w:val="none" w:sz="0" w:space="0" w:color="auto"/>
            <w:right w:val="none" w:sz="0" w:space="0" w:color="auto"/>
          </w:divBdr>
          <w:divsChild>
            <w:div w:id="802045982">
              <w:marLeft w:val="0"/>
              <w:marRight w:val="0"/>
              <w:marTop w:val="0"/>
              <w:marBottom w:val="0"/>
              <w:divBdr>
                <w:top w:val="none" w:sz="0" w:space="0" w:color="auto"/>
                <w:left w:val="none" w:sz="0" w:space="0" w:color="auto"/>
                <w:bottom w:val="none" w:sz="0" w:space="0" w:color="auto"/>
                <w:right w:val="none" w:sz="0" w:space="0" w:color="auto"/>
              </w:divBdr>
              <w:divsChild>
                <w:div w:id="686372682">
                  <w:marLeft w:val="0"/>
                  <w:marRight w:val="0"/>
                  <w:marTop w:val="0"/>
                  <w:marBottom w:val="0"/>
                  <w:divBdr>
                    <w:top w:val="none" w:sz="0" w:space="0" w:color="auto"/>
                    <w:left w:val="none" w:sz="0" w:space="0" w:color="auto"/>
                    <w:bottom w:val="none" w:sz="0" w:space="0" w:color="auto"/>
                    <w:right w:val="none" w:sz="0" w:space="0" w:color="auto"/>
                  </w:divBdr>
                  <w:divsChild>
                    <w:div w:id="56953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179212">
      <w:bodyDiv w:val="1"/>
      <w:marLeft w:val="0"/>
      <w:marRight w:val="0"/>
      <w:marTop w:val="0"/>
      <w:marBottom w:val="0"/>
      <w:divBdr>
        <w:top w:val="none" w:sz="0" w:space="0" w:color="auto"/>
        <w:left w:val="none" w:sz="0" w:space="0" w:color="auto"/>
        <w:bottom w:val="none" w:sz="0" w:space="0" w:color="auto"/>
        <w:right w:val="none" w:sz="0" w:space="0" w:color="auto"/>
      </w:divBdr>
    </w:div>
    <w:div w:id="1764910612">
      <w:bodyDiv w:val="1"/>
      <w:marLeft w:val="0"/>
      <w:marRight w:val="0"/>
      <w:marTop w:val="0"/>
      <w:marBottom w:val="0"/>
      <w:divBdr>
        <w:top w:val="none" w:sz="0" w:space="0" w:color="auto"/>
        <w:left w:val="none" w:sz="0" w:space="0" w:color="auto"/>
        <w:bottom w:val="none" w:sz="0" w:space="0" w:color="auto"/>
        <w:right w:val="none" w:sz="0" w:space="0" w:color="auto"/>
      </w:divBdr>
    </w:div>
    <w:div w:id="1764956810">
      <w:bodyDiv w:val="1"/>
      <w:marLeft w:val="0"/>
      <w:marRight w:val="0"/>
      <w:marTop w:val="0"/>
      <w:marBottom w:val="0"/>
      <w:divBdr>
        <w:top w:val="none" w:sz="0" w:space="0" w:color="auto"/>
        <w:left w:val="none" w:sz="0" w:space="0" w:color="auto"/>
        <w:bottom w:val="none" w:sz="0" w:space="0" w:color="auto"/>
        <w:right w:val="none" w:sz="0" w:space="0" w:color="auto"/>
      </w:divBdr>
    </w:div>
    <w:div w:id="1765613310">
      <w:bodyDiv w:val="1"/>
      <w:marLeft w:val="0"/>
      <w:marRight w:val="0"/>
      <w:marTop w:val="0"/>
      <w:marBottom w:val="0"/>
      <w:divBdr>
        <w:top w:val="none" w:sz="0" w:space="0" w:color="auto"/>
        <w:left w:val="none" w:sz="0" w:space="0" w:color="auto"/>
        <w:bottom w:val="none" w:sz="0" w:space="0" w:color="auto"/>
        <w:right w:val="none" w:sz="0" w:space="0" w:color="auto"/>
      </w:divBdr>
    </w:div>
    <w:div w:id="1765759780">
      <w:bodyDiv w:val="1"/>
      <w:marLeft w:val="0"/>
      <w:marRight w:val="0"/>
      <w:marTop w:val="0"/>
      <w:marBottom w:val="0"/>
      <w:divBdr>
        <w:top w:val="none" w:sz="0" w:space="0" w:color="auto"/>
        <w:left w:val="none" w:sz="0" w:space="0" w:color="auto"/>
        <w:bottom w:val="none" w:sz="0" w:space="0" w:color="auto"/>
        <w:right w:val="none" w:sz="0" w:space="0" w:color="auto"/>
      </w:divBdr>
    </w:div>
    <w:div w:id="1765764186">
      <w:bodyDiv w:val="1"/>
      <w:marLeft w:val="0"/>
      <w:marRight w:val="0"/>
      <w:marTop w:val="0"/>
      <w:marBottom w:val="0"/>
      <w:divBdr>
        <w:top w:val="none" w:sz="0" w:space="0" w:color="auto"/>
        <w:left w:val="none" w:sz="0" w:space="0" w:color="auto"/>
        <w:bottom w:val="none" w:sz="0" w:space="0" w:color="auto"/>
        <w:right w:val="none" w:sz="0" w:space="0" w:color="auto"/>
      </w:divBdr>
    </w:div>
    <w:div w:id="1765952289">
      <w:bodyDiv w:val="1"/>
      <w:marLeft w:val="0"/>
      <w:marRight w:val="0"/>
      <w:marTop w:val="0"/>
      <w:marBottom w:val="0"/>
      <w:divBdr>
        <w:top w:val="none" w:sz="0" w:space="0" w:color="auto"/>
        <w:left w:val="none" w:sz="0" w:space="0" w:color="auto"/>
        <w:bottom w:val="none" w:sz="0" w:space="0" w:color="auto"/>
        <w:right w:val="none" w:sz="0" w:space="0" w:color="auto"/>
      </w:divBdr>
    </w:div>
    <w:div w:id="1767309585">
      <w:bodyDiv w:val="1"/>
      <w:marLeft w:val="0"/>
      <w:marRight w:val="0"/>
      <w:marTop w:val="0"/>
      <w:marBottom w:val="0"/>
      <w:divBdr>
        <w:top w:val="none" w:sz="0" w:space="0" w:color="auto"/>
        <w:left w:val="none" w:sz="0" w:space="0" w:color="auto"/>
        <w:bottom w:val="none" w:sz="0" w:space="0" w:color="auto"/>
        <w:right w:val="none" w:sz="0" w:space="0" w:color="auto"/>
      </w:divBdr>
      <w:divsChild>
        <w:div w:id="1465389330">
          <w:marLeft w:val="0"/>
          <w:marRight w:val="0"/>
          <w:marTop w:val="0"/>
          <w:marBottom w:val="0"/>
          <w:divBdr>
            <w:top w:val="none" w:sz="0" w:space="0" w:color="auto"/>
            <w:left w:val="none" w:sz="0" w:space="0" w:color="auto"/>
            <w:bottom w:val="none" w:sz="0" w:space="0" w:color="auto"/>
            <w:right w:val="none" w:sz="0" w:space="0" w:color="auto"/>
          </w:divBdr>
          <w:divsChild>
            <w:div w:id="1302688518">
              <w:marLeft w:val="0"/>
              <w:marRight w:val="0"/>
              <w:marTop w:val="0"/>
              <w:marBottom w:val="0"/>
              <w:divBdr>
                <w:top w:val="none" w:sz="0" w:space="0" w:color="auto"/>
                <w:left w:val="none" w:sz="0" w:space="0" w:color="auto"/>
                <w:bottom w:val="none" w:sz="0" w:space="0" w:color="auto"/>
                <w:right w:val="none" w:sz="0" w:space="0" w:color="auto"/>
              </w:divBdr>
              <w:divsChild>
                <w:div w:id="205488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033509">
      <w:bodyDiv w:val="1"/>
      <w:marLeft w:val="0"/>
      <w:marRight w:val="0"/>
      <w:marTop w:val="0"/>
      <w:marBottom w:val="0"/>
      <w:divBdr>
        <w:top w:val="none" w:sz="0" w:space="0" w:color="auto"/>
        <w:left w:val="none" w:sz="0" w:space="0" w:color="auto"/>
        <w:bottom w:val="none" w:sz="0" w:space="0" w:color="auto"/>
        <w:right w:val="none" w:sz="0" w:space="0" w:color="auto"/>
      </w:divBdr>
    </w:div>
    <w:div w:id="1769695760">
      <w:bodyDiv w:val="1"/>
      <w:marLeft w:val="0"/>
      <w:marRight w:val="0"/>
      <w:marTop w:val="0"/>
      <w:marBottom w:val="0"/>
      <w:divBdr>
        <w:top w:val="none" w:sz="0" w:space="0" w:color="auto"/>
        <w:left w:val="none" w:sz="0" w:space="0" w:color="auto"/>
        <w:bottom w:val="none" w:sz="0" w:space="0" w:color="auto"/>
        <w:right w:val="none" w:sz="0" w:space="0" w:color="auto"/>
      </w:divBdr>
    </w:div>
    <w:div w:id="1770077470">
      <w:bodyDiv w:val="1"/>
      <w:marLeft w:val="0"/>
      <w:marRight w:val="0"/>
      <w:marTop w:val="0"/>
      <w:marBottom w:val="0"/>
      <w:divBdr>
        <w:top w:val="none" w:sz="0" w:space="0" w:color="auto"/>
        <w:left w:val="none" w:sz="0" w:space="0" w:color="auto"/>
        <w:bottom w:val="none" w:sz="0" w:space="0" w:color="auto"/>
        <w:right w:val="none" w:sz="0" w:space="0" w:color="auto"/>
      </w:divBdr>
      <w:divsChild>
        <w:div w:id="801584164">
          <w:marLeft w:val="0"/>
          <w:marRight w:val="0"/>
          <w:marTop w:val="0"/>
          <w:marBottom w:val="0"/>
          <w:divBdr>
            <w:top w:val="none" w:sz="0" w:space="0" w:color="auto"/>
            <w:left w:val="none" w:sz="0" w:space="0" w:color="auto"/>
            <w:bottom w:val="none" w:sz="0" w:space="0" w:color="auto"/>
            <w:right w:val="none" w:sz="0" w:space="0" w:color="auto"/>
          </w:divBdr>
          <w:divsChild>
            <w:div w:id="589048819">
              <w:marLeft w:val="0"/>
              <w:marRight w:val="0"/>
              <w:marTop w:val="0"/>
              <w:marBottom w:val="0"/>
              <w:divBdr>
                <w:top w:val="none" w:sz="0" w:space="0" w:color="auto"/>
                <w:left w:val="none" w:sz="0" w:space="0" w:color="auto"/>
                <w:bottom w:val="none" w:sz="0" w:space="0" w:color="auto"/>
                <w:right w:val="none" w:sz="0" w:space="0" w:color="auto"/>
              </w:divBdr>
              <w:divsChild>
                <w:div w:id="1833251534">
                  <w:marLeft w:val="0"/>
                  <w:marRight w:val="0"/>
                  <w:marTop w:val="0"/>
                  <w:marBottom w:val="0"/>
                  <w:divBdr>
                    <w:top w:val="none" w:sz="0" w:space="0" w:color="auto"/>
                    <w:left w:val="none" w:sz="0" w:space="0" w:color="auto"/>
                    <w:bottom w:val="none" w:sz="0" w:space="0" w:color="auto"/>
                    <w:right w:val="none" w:sz="0" w:space="0" w:color="auto"/>
                  </w:divBdr>
                  <w:divsChild>
                    <w:div w:id="87152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167253">
      <w:bodyDiv w:val="1"/>
      <w:marLeft w:val="0"/>
      <w:marRight w:val="0"/>
      <w:marTop w:val="0"/>
      <w:marBottom w:val="0"/>
      <w:divBdr>
        <w:top w:val="none" w:sz="0" w:space="0" w:color="auto"/>
        <w:left w:val="none" w:sz="0" w:space="0" w:color="auto"/>
        <w:bottom w:val="none" w:sz="0" w:space="0" w:color="auto"/>
        <w:right w:val="none" w:sz="0" w:space="0" w:color="auto"/>
      </w:divBdr>
      <w:divsChild>
        <w:div w:id="1828787381">
          <w:marLeft w:val="0"/>
          <w:marRight w:val="0"/>
          <w:marTop w:val="0"/>
          <w:marBottom w:val="0"/>
          <w:divBdr>
            <w:top w:val="none" w:sz="0" w:space="0" w:color="auto"/>
            <w:left w:val="none" w:sz="0" w:space="0" w:color="auto"/>
            <w:bottom w:val="none" w:sz="0" w:space="0" w:color="auto"/>
            <w:right w:val="none" w:sz="0" w:space="0" w:color="auto"/>
          </w:divBdr>
          <w:divsChild>
            <w:div w:id="70779331">
              <w:marLeft w:val="0"/>
              <w:marRight w:val="0"/>
              <w:marTop w:val="0"/>
              <w:marBottom w:val="0"/>
              <w:divBdr>
                <w:top w:val="none" w:sz="0" w:space="0" w:color="auto"/>
                <w:left w:val="none" w:sz="0" w:space="0" w:color="auto"/>
                <w:bottom w:val="none" w:sz="0" w:space="0" w:color="auto"/>
                <w:right w:val="none" w:sz="0" w:space="0" w:color="auto"/>
              </w:divBdr>
              <w:divsChild>
                <w:div w:id="1348213862">
                  <w:marLeft w:val="0"/>
                  <w:marRight w:val="0"/>
                  <w:marTop w:val="0"/>
                  <w:marBottom w:val="0"/>
                  <w:divBdr>
                    <w:top w:val="none" w:sz="0" w:space="0" w:color="auto"/>
                    <w:left w:val="none" w:sz="0" w:space="0" w:color="auto"/>
                    <w:bottom w:val="none" w:sz="0" w:space="0" w:color="auto"/>
                    <w:right w:val="none" w:sz="0" w:space="0" w:color="auto"/>
                  </w:divBdr>
                </w:div>
              </w:divsChild>
            </w:div>
            <w:div w:id="1395356079">
              <w:marLeft w:val="0"/>
              <w:marRight w:val="0"/>
              <w:marTop w:val="0"/>
              <w:marBottom w:val="0"/>
              <w:divBdr>
                <w:top w:val="none" w:sz="0" w:space="0" w:color="auto"/>
                <w:left w:val="none" w:sz="0" w:space="0" w:color="auto"/>
                <w:bottom w:val="none" w:sz="0" w:space="0" w:color="auto"/>
                <w:right w:val="none" w:sz="0" w:space="0" w:color="auto"/>
              </w:divBdr>
              <w:divsChild>
                <w:div w:id="1035229826">
                  <w:marLeft w:val="0"/>
                  <w:marRight w:val="0"/>
                  <w:marTop w:val="0"/>
                  <w:marBottom w:val="0"/>
                  <w:divBdr>
                    <w:top w:val="none" w:sz="0" w:space="0" w:color="auto"/>
                    <w:left w:val="none" w:sz="0" w:space="0" w:color="auto"/>
                    <w:bottom w:val="none" w:sz="0" w:space="0" w:color="auto"/>
                    <w:right w:val="none" w:sz="0" w:space="0" w:color="auto"/>
                  </w:divBdr>
                </w:div>
              </w:divsChild>
            </w:div>
            <w:div w:id="1972635594">
              <w:marLeft w:val="0"/>
              <w:marRight w:val="0"/>
              <w:marTop w:val="0"/>
              <w:marBottom w:val="0"/>
              <w:divBdr>
                <w:top w:val="none" w:sz="0" w:space="0" w:color="auto"/>
                <w:left w:val="none" w:sz="0" w:space="0" w:color="auto"/>
                <w:bottom w:val="none" w:sz="0" w:space="0" w:color="auto"/>
                <w:right w:val="none" w:sz="0" w:space="0" w:color="auto"/>
              </w:divBdr>
              <w:divsChild>
                <w:div w:id="195828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968169">
      <w:bodyDiv w:val="1"/>
      <w:marLeft w:val="0"/>
      <w:marRight w:val="0"/>
      <w:marTop w:val="0"/>
      <w:marBottom w:val="0"/>
      <w:divBdr>
        <w:top w:val="none" w:sz="0" w:space="0" w:color="auto"/>
        <w:left w:val="none" w:sz="0" w:space="0" w:color="auto"/>
        <w:bottom w:val="none" w:sz="0" w:space="0" w:color="auto"/>
        <w:right w:val="none" w:sz="0" w:space="0" w:color="auto"/>
      </w:divBdr>
    </w:div>
    <w:div w:id="1773427371">
      <w:bodyDiv w:val="1"/>
      <w:marLeft w:val="0"/>
      <w:marRight w:val="0"/>
      <w:marTop w:val="0"/>
      <w:marBottom w:val="0"/>
      <w:divBdr>
        <w:top w:val="none" w:sz="0" w:space="0" w:color="auto"/>
        <w:left w:val="none" w:sz="0" w:space="0" w:color="auto"/>
        <w:bottom w:val="none" w:sz="0" w:space="0" w:color="auto"/>
        <w:right w:val="none" w:sz="0" w:space="0" w:color="auto"/>
      </w:divBdr>
      <w:divsChild>
        <w:div w:id="2048143142">
          <w:marLeft w:val="0"/>
          <w:marRight w:val="0"/>
          <w:marTop w:val="0"/>
          <w:marBottom w:val="0"/>
          <w:divBdr>
            <w:top w:val="none" w:sz="0" w:space="0" w:color="auto"/>
            <w:left w:val="none" w:sz="0" w:space="0" w:color="auto"/>
            <w:bottom w:val="none" w:sz="0" w:space="0" w:color="auto"/>
            <w:right w:val="none" w:sz="0" w:space="0" w:color="auto"/>
          </w:divBdr>
          <w:divsChild>
            <w:div w:id="1494685871">
              <w:marLeft w:val="0"/>
              <w:marRight w:val="0"/>
              <w:marTop w:val="0"/>
              <w:marBottom w:val="0"/>
              <w:divBdr>
                <w:top w:val="none" w:sz="0" w:space="0" w:color="auto"/>
                <w:left w:val="none" w:sz="0" w:space="0" w:color="auto"/>
                <w:bottom w:val="none" w:sz="0" w:space="0" w:color="auto"/>
                <w:right w:val="none" w:sz="0" w:space="0" w:color="auto"/>
              </w:divBdr>
              <w:divsChild>
                <w:div w:id="450171674">
                  <w:marLeft w:val="0"/>
                  <w:marRight w:val="0"/>
                  <w:marTop w:val="0"/>
                  <w:marBottom w:val="0"/>
                  <w:divBdr>
                    <w:top w:val="none" w:sz="0" w:space="0" w:color="auto"/>
                    <w:left w:val="none" w:sz="0" w:space="0" w:color="auto"/>
                    <w:bottom w:val="none" w:sz="0" w:space="0" w:color="auto"/>
                    <w:right w:val="none" w:sz="0" w:space="0" w:color="auto"/>
                  </w:divBdr>
                  <w:divsChild>
                    <w:div w:id="117985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89464">
      <w:bodyDiv w:val="1"/>
      <w:marLeft w:val="0"/>
      <w:marRight w:val="0"/>
      <w:marTop w:val="0"/>
      <w:marBottom w:val="0"/>
      <w:divBdr>
        <w:top w:val="none" w:sz="0" w:space="0" w:color="auto"/>
        <w:left w:val="none" w:sz="0" w:space="0" w:color="auto"/>
        <w:bottom w:val="none" w:sz="0" w:space="0" w:color="auto"/>
        <w:right w:val="none" w:sz="0" w:space="0" w:color="auto"/>
      </w:divBdr>
    </w:div>
    <w:div w:id="1774394577">
      <w:bodyDiv w:val="1"/>
      <w:marLeft w:val="0"/>
      <w:marRight w:val="0"/>
      <w:marTop w:val="0"/>
      <w:marBottom w:val="0"/>
      <w:divBdr>
        <w:top w:val="none" w:sz="0" w:space="0" w:color="auto"/>
        <w:left w:val="none" w:sz="0" w:space="0" w:color="auto"/>
        <w:bottom w:val="none" w:sz="0" w:space="0" w:color="auto"/>
        <w:right w:val="none" w:sz="0" w:space="0" w:color="auto"/>
      </w:divBdr>
    </w:div>
    <w:div w:id="1774743820">
      <w:bodyDiv w:val="1"/>
      <w:marLeft w:val="0"/>
      <w:marRight w:val="0"/>
      <w:marTop w:val="0"/>
      <w:marBottom w:val="0"/>
      <w:divBdr>
        <w:top w:val="none" w:sz="0" w:space="0" w:color="auto"/>
        <w:left w:val="none" w:sz="0" w:space="0" w:color="auto"/>
        <w:bottom w:val="none" w:sz="0" w:space="0" w:color="auto"/>
        <w:right w:val="none" w:sz="0" w:space="0" w:color="auto"/>
      </w:divBdr>
    </w:div>
    <w:div w:id="1774786806">
      <w:bodyDiv w:val="1"/>
      <w:marLeft w:val="0"/>
      <w:marRight w:val="0"/>
      <w:marTop w:val="0"/>
      <w:marBottom w:val="0"/>
      <w:divBdr>
        <w:top w:val="none" w:sz="0" w:space="0" w:color="auto"/>
        <w:left w:val="none" w:sz="0" w:space="0" w:color="auto"/>
        <w:bottom w:val="none" w:sz="0" w:space="0" w:color="auto"/>
        <w:right w:val="none" w:sz="0" w:space="0" w:color="auto"/>
      </w:divBdr>
      <w:divsChild>
        <w:div w:id="1761095696">
          <w:marLeft w:val="0"/>
          <w:marRight w:val="0"/>
          <w:marTop w:val="0"/>
          <w:marBottom w:val="0"/>
          <w:divBdr>
            <w:top w:val="none" w:sz="0" w:space="0" w:color="auto"/>
            <w:left w:val="none" w:sz="0" w:space="0" w:color="auto"/>
            <w:bottom w:val="none" w:sz="0" w:space="0" w:color="auto"/>
            <w:right w:val="none" w:sz="0" w:space="0" w:color="auto"/>
          </w:divBdr>
          <w:divsChild>
            <w:div w:id="1242642465">
              <w:marLeft w:val="0"/>
              <w:marRight w:val="0"/>
              <w:marTop w:val="0"/>
              <w:marBottom w:val="0"/>
              <w:divBdr>
                <w:top w:val="none" w:sz="0" w:space="0" w:color="auto"/>
                <w:left w:val="none" w:sz="0" w:space="0" w:color="auto"/>
                <w:bottom w:val="none" w:sz="0" w:space="0" w:color="auto"/>
                <w:right w:val="none" w:sz="0" w:space="0" w:color="auto"/>
              </w:divBdr>
              <w:divsChild>
                <w:div w:id="7760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30286">
      <w:bodyDiv w:val="1"/>
      <w:marLeft w:val="0"/>
      <w:marRight w:val="0"/>
      <w:marTop w:val="0"/>
      <w:marBottom w:val="0"/>
      <w:divBdr>
        <w:top w:val="none" w:sz="0" w:space="0" w:color="auto"/>
        <w:left w:val="none" w:sz="0" w:space="0" w:color="auto"/>
        <w:bottom w:val="none" w:sz="0" w:space="0" w:color="auto"/>
        <w:right w:val="none" w:sz="0" w:space="0" w:color="auto"/>
      </w:divBdr>
    </w:div>
    <w:div w:id="1776633332">
      <w:bodyDiv w:val="1"/>
      <w:marLeft w:val="0"/>
      <w:marRight w:val="0"/>
      <w:marTop w:val="0"/>
      <w:marBottom w:val="0"/>
      <w:divBdr>
        <w:top w:val="none" w:sz="0" w:space="0" w:color="auto"/>
        <w:left w:val="none" w:sz="0" w:space="0" w:color="auto"/>
        <w:bottom w:val="none" w:sz="0" w:space="0" w:color="auto"/>
        <w:right w:val="none" w:sz="0" w:space="0" w:color="auto"/>
      </w:divBdr>
    </w:div>
    <w:div w:id="1777628524">
      <w:bodyDiv w:val="1"/>
      <w:marLeft w:val="0"/>
      <w:marRight w:val="0"/>
      <w:marTop w:val="0"/>
      <w:marBottom w:val="0"/>
      <w:divBdr>
        <w:top w:val="none" w:sz="0" w:space="0" w:color="auto"/>
        <w:left w:val="none" w:sz="0" w:space="0" w:color="auto"/>
        <w:bottom w:val="none" w:sz="0" w:space="0" w:color="auto"/>
        <w:right w:val="none" w:sz="0" w:space="0" w:color="auto"/>
      </w:divBdr>
      <w:divsChild>
        <w:div w:id="837421773">
          <w:marLeft w:val="0"/>
          <w:marRight w:val="0"/>
          <w:marTop w:val="0"/>
          <w:marBottom w:val="0"/>
          <w:divBdr>
            <w:top w:val="none" w:sz="0" w:space="0" w:color="auto"/>
            <w:left w:val="none" w:sz="0" w:space="0" w:color="auto"/>
            <w:bottom w:val="none" w:sz="0" w:space="0" w:color="auto"/>
            <w:right w:val="none" w:sz="0" w:space="0" w:color="auto"/>
          </w:divBdr>
          <w:divsChild>
            <w:div w:id="441385235">
              <w:marLeft w:val="0"/>
              <w:marRight w:val="0"/>
              <w:marTop w:val="0"/>
              <w:marBottom w:val="0"/>
              <w:divBdr>
                <w:top w:val="none" w:sz="0" w:space="0" w:color="auto"/>
                <w:left w:val="none" w:sz="0" w:space="0" w:color="auto"/>
                <w:bottom w:val="none" w:sz="0" w:space="0" w:color="auto"/>
                <w:right w:val="none" w:sz="0" w:space="0" w:color="auto"/>
              </w:divBdr>
              <w:divsChild>
                <w:div w:id="134555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945198">
      <w:bodyDiv w:val="1"/>
      <w:marLeft w:val="0"/>
      <w:marRight w:val="0"/>
      <w:marTop w:val="0"/>
      <w:marBottom w:val="0"/>
      <w:divBdr>
        <w:top w:val="none" w:sz="0" w:space="0" w:color="auto"/>
        <w:left w:val="none" w:sz="0" w:space="0" w:color="auto"/>
        <w:bottom w:val="none" w:sz="0" w:space="0" w:color="auto"/>
        <w:right w:val="none" w:sz="0" w:space="0" w:color="auto"/>
      </w:divBdr>
    </w:div>
    <w:div w:id="1778286060">
      <w:bodyDiv w:val="1"/>
      <w:marLeft w:val="0"/>
      <w:marRight w:val="0"/>
      <w:marTop w:val="0"/>
      <w:marBottom w:val="0"/>
      <w:divBdr>
        <w:top w:val="none" w:sz="0" w:space="0" w:color="auto"/>
        <w:left w:val="none" w:sz="0" w:space="0" w:color="auto"/>
        <w:bottom w:val="none" w:sz="0" w:space="0" w:color="auto"/>
        <w:right w:val="none" w:sz="0" w:space="0" w:color="auto"/>
      </w:divBdr>
    </w:div>
    <w:div w:id="1778987686">
      <w:bodyDiv w:val="1"/>
      <w:marLeft w:val="0"/>
      <w:marRight w:val="0"/>
      <w:marTop w:val="0"/>
      <w:marBottom w:val="0"/>
      <w:divBdr>
        <w:top w:val="none" w:sz="0" w:space="0" w:color="auto"/>
        <w:left w:val="none" w:sz="0" w:space="0" w:color="auto"/>
        <w:bottom w:val="none" w:sz="0" w:space="0" w:color="auto"/>
        <w:right w:val="none" w:sz="0" w:space="0" w:color="auto"/>
      </w:divBdr>
    </w:div>
    <w:div w:id="1779713936">
      <w:bodyDiv w:val="1"/>
      <w:marLeft w:val="0"/>
      <w:marRight w:val="0"/>
      <w:marTop w:val="0"/>
      <w:marBottom w:val="0"/>
      <w:divBdr>
        <w:top w:val="none" w:sz="0" w:space="0" w:color="auto"/>
        <w:left w:val="none" w:sz="0" w:space="0" w:color="auto"/>
        <w:bottom w:val="none" w:sz="0" w:space="0" w:color="auto"/>
        <w:right w:val="none" w:sz="0" w:space="0" w:color="auto"/>
      </w:divBdr>
    </w:div>
    <w:div w:id="1780181505">
      <w:bodyDiv w:val="1"/>
      <w:marLeft w:val="0"/>
      <w:marRight w:val="0"/>
      <w:marTop w:val="0"/>
      <w:marBottom w:val="0"/>
      <w:divBdr>
        <w:top w:val="none" w:sz="0" w:space="0" w:color="auto"/>
        <w:left w:val="none" w:sz="0" w:space="0" w:color="auto"/>
        <w:bottom w:val="none" w:sz="0" w:space="0" w:color="auto"/>
        <w:right w:val="none" w:sz="0" w:space="0" w:color="auto"/>
      </w:divBdr>
    </w:div>
    <w:div w:id="1780566482">
      <w:bodyDiv w:val="1"/>
      <w:marLeft w:val="0"/>
      <w:marRight w:val="0"/>
      <w:marTop w:val="0"/>
      <w:marBottom w:val="0"/>
      <w:divBdr>
        <w:top w:val="none" w:sz="0" w:space="0" w:color="auto"/>
        <w:left w:val="none" w:sz="0" w:space="0" w:color="auto"/>
        <w:bottom w:val="none" w:sz="0" w:space="0" w:color="auto"/>
        <w:right w:val="none" w:sz="0" w:space="0" w:color="auto"/>
      </w:divBdr>
    </w:div>
    <w:div w:id="1781030522">
      <w:bodyDiv w:val="1"/>
      <w:marLeft w:val="0"/>
      <w:marRight w:val="0"/>
      <w:marTop w:val="0"/>
      <w:marBottom w:val="0"/>
      <w:divBdr>
        <w:top w:val="none" w:sz="0" w:space="0" w:color="auto"/>
        <w:left w:val="none" w:sz="0" w:space="0" w:color="auto"/>
        <w:bottom w:val="none" w:sz="0" w:space="0" w:color="auto"/>
        <w:right w:val="none" w:sz="0" w:space="0" w:color="auto"/>
      </w:divBdr>
    </w:div>
    <w:div w:id="1781336846">
      <w:bodyDiv w:val="1"/>
      <w:marLeft w:val="0"/>
      <w:marRight w:val="0"/>
      <w:marTop w:val="0"/>
      <w:marBottom w:val="0"/>
      <w:divBdr>
        <w:top w:val="none" w:sz="0" w:space="0" w:color="auto"/>
        <w:left w:val="none" w:sz="0" w:space="0" w:color="auto"/>
        <w:bottom w:val="none" w:sz="0" w:space="0" w:color="auto"/>
        <w:right w:val="none" w:sz="0" w:space="0" w:color="auto"/>
      </w:divBdr>
    </w:div>
    <w:div w:id="1781492684">
      <w:bodyDiv w:val="1"/>
      <w:marLeft w:val="0"/>
      <w:marRight w:val="0"/>
      <w:marTop w:val="0"/>
      <w:marBottom w:val="0"/>
      <w:divBdr>
        <w:top w:val="none" w:sz="0" w:space="0" w:color="auto"/>
        <w:left w:val="none" w:sz="0" w:space="0" w:color="auto"/>
        <w:bottom w:val="none" w:sz="0" w:space="0" w:color="auto"/>
        <w:right w:val="none" w:sz="0" w:space="0" w:color="auto"/>
      </w:divBdr>
    </w:div>
    <w:div w:id="1782064283">
      <w:bodyDiv w:val="1"/>
      <w:marLeft w:val="0"/>
      <w:marRight w:val="0"/>
      <w:marTop w:val="0"/>
      <w:marBottom w:val="0"/>
      <w:divBdr>
        <w:top w:val="none" w:sz="0" w:space="0" w:color="auto"/>
        <w:left w:val="none" w:sz="0" w:space="0" w:color="auto"/>
        <w:bottom w:val="none" w:sz="0" w:space="0" w:color="auto"/>
        <w:right w:val="none" w:sz="0" w:space="0" w:color="auto"/>
      </w:divBdr>
      <w:divsChild>
        <w:div w:id="172453531">
          <w:marLeft w:val="0"/>
          <w:marRight w:val="0"/>
          <w:marTop w:val="0"/>
          <w:marBottom w:val="0"/>
          <w:divBdr>
            <w:top w:val="none" w:sz="0" w:space="0" w:color="auto"/>
            <w:left w:val="none" w:sz="0" w:space="0" w:color="auto"/>
            <w:bottom w:val="none" w:sz="0" w:space="0" w:color="auto"/>
            <w:right w:val="none" w:sz="0" w:space="0" w:color="auto"/>
          </w:divBdr>
          <w:divsChild>
            <w:div w:id="1700157790">
              <w:marLeft w:val="0"/>
              <w:marRight w:val="0"/>
              <w:marTop w:val="0"/>
              <w:marBottom w:val="0"/>
              <w:divBdr>
                <w:top w:val="none" w:sz="0" w:space="0" w:color="auto"/>
                <w:left w:val="none" w:sz="0" w:space="0" w:color="auto"/>
                <w:bottom w:val="none" w:sz="0" w:space="0" w:color="auto"/>
                <w:right w:val="none" w:sz="0" w:space="0" w:color="auto"/>
              </w:divBdr>
              <w:divsChild>
                <w:div w:id="101262534">
                  <w:marLeft w:val="0"/>
                  <w:marRight w:val="0"/>
                  <w:marTop w:val="0"/>
                  <w:marBottom w:val="0"/>
                  <w:divBdr>
                    <w:top w:val="none" w:sz="0" w:space="0" w:color="auto"/>
                    <w:left w:val="none" w:sz="0" w:space="0" w:color="auto"/>
                    <w:bottom w:val="none" w:sz="0" w:space="0" w:color="auto"/>
                    <w:right w:val="none" w:sz="0" w:space="0" w:color="auto"/>
                  </w:divBdr>
                  <w:divsChild>
                    <w:div w:id="179485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216025">
      <w:bodyDiv w:val="1"/>
      <w:marLeft w:val="0"/>
      <w:marRight w:val="0"/>
      <w:marTop w:val="0"/>
      <w:marBottom w:val="0"/>
      <w:divBdr>
        <w:top w:val="none" w:sz="0" w:space="0" w:color="auto"/>
        <w:left w:val="none" w:sz="0" w:space="0" w:color="auto"/>
        <w:bottom w:val="none" w:sz="0" w:space="0" w:color="auto"/>
        <w:right w:val="none" w:sz="0" w:space="0" w:color="auto"/>
      </w:divBdr>
    </w:div>
    <w:div w:id="1782457520">
      <w:bodyDiv w:val="1"/>
      <w:marLeft w:val="0"/>
      <w:marRight w:val="0"/>
      <w:marTop w:val="0"/>
      <w:marBottom w:val="0"/>
      <w:divBdr>
        <w:top w:val="none" w:sz="0" w:space="0" w:color="auto"/>
        <w:left w:val="none" w:sz="0" w:space="0" w:color="auto"/>
        <w:bottom w:val="none" w:sz="0" w:space="0" w:color="auto"/>
        <w:right w:val="none" w:sz="0" w:space="0" w:color="auto"/>
      </w:divBdr>
      <w:divsChild>
        <w:div w:id="1181580806">
          <w:marLeft w:val="0"/>
          <w:marRight w:val="0"/>
          <w:marTop w:val="0"/>
          <w:marBottom w:val="0"/>
          <w:divBdr>
            <w:top w:val="none" w:sz="0" w:space="0" w:color="auto"/>
            <w:left w:val="none" w:sz="0" w:space="0" w:color="auto"/>
            <w:bottom w:val="none" w:sz="0" w:space="0" w:color="auto"/>
            <w:right w:val="none" w:sz="0" w:space="0" w:color="auto"/>
          </w:divBdr>
          <w:divsChild>
            <w:div w:id="1361778304">
              <w:marLeft w:val="0"/>
              <w:marRight w:val="0"/>
              <w:marTop w:val="0"/>
              <w:marBottom w:val="0"/>
              <w:divBdr>
                <w:top w:val="none" w:sz="0" w:space="0" w:color="auto"/>
                <w:left w:val="none" w:sz="0" w:space="0" w:color="auto"/>
                <w:bottom w:val="none" w:sz="0" w:space="0" w:color="auto"/>
                <w:right w:val="none" w:sz="0" w:space="0" w:color="auto"/>
              </w:divBdr>
              <w:divsChild>
                <w:div w:id="149633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28101">
      <w:bodyDiv w:val="1"/>
      <w:marLeft w:val="0"/>
      <w:marRight w:val="0"/>
      <w:marTop w:val="0"/>
      <w:marBottom w:val="0"/>
      <w:divBdr>
        <w:top w:val="none" w:sz="0" w:space="0" w:color="auto"/>
        <w:left w:val="none" w:sz="0" w:space="0" w:color="auto"/>
        <w:bottom w:val="none" w:sz="0" w:space="0" w:color="auto"/>
        <w:right w:val="none" w:sz="0" w:space="0" w:color="auto"/>
      </w:divBdr>
      <w:divsChild>
        <w:div w:id="1695497133">
          <w:marLeft w:val="0"/>
          <w:marRight w:val="0"/>
          <w:marTop w:val="0"/>
          <w:marBottom w:val="0"/>
          <w:divBdr>
            <w:top w:val="none" w:sz="0" w:space="0" w:color="auto"/>
            <w:left w:val="none" w:sz="0" w:space="0" w:color="auto"/>
            <w:bottom w:val="none" w:sz="0" w:space="0" w:color="auto"/>
            <w:right w:val="none" w:sz="0" w:space="0" w:color="auto"/>
          </w:divBdr>
          <w:divsChild>
            <w:div w:id="841045014">
              <w:marLeft w:val="0"/>
              <w:marRight w:val="0"/>
              <w:marTop w:val="0"/>
              <w:marBottom w:val="0"/>
              <w:divBdr>
                <w:top w:val="none" w:sz="0" w:space="0" w:color="auto"/>
                <w:left w:val="none" w:sz="0" w:space="0" w:color="auto"/>
                <w:bottom w:val="none" w:sz="0" w:space="0" w:color="auto"/>
                <w:right w:val="none" w:sz="0" w:space="0" w:color="auto"/>
              </w:divBdr>
              <w:divsChild>
                <w:div w:id="150491460">
                  <w:marLeft w:val="0"/>
                  <w:marRight w:val="0"/>
                  <w:marTop w:val="0"/>
                  <w:marBottom w:val="0"/>
                  <w:divBdr>
                    <w:top w:val="none" w:sz="0" w:space="0" w:color="auto"/>
                    <w:left w:val="none" w:sz="0" w:space="0" w:color="auto"/>
                    <w:bottom w:val="none" w:sz="0" w:space="0" w:color="auto"/>
                    <w:right w:val="none" w:sz="0" w:space="0" w:color="auto"/>
                  </w:divBdr>
                  <w:divsChild>
                    <w:div w:id="193076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45454">
      <w:bodyDiv w:val="1"/>
      <w:marLeft w:val="0"/>
      <w:marRight w:val="0"/>
      <w:marTop w:val="0"/>
      <w:marBottom w:val="0"/>
      <w:divBdr>
        <w:top w:val="none" w:sz="0" w:space="0" w:color="auto"/>
        <w:left w:val="none" w:sz="0" w:space="0" w:color="auto"/>
        <w:bottom w:val="none" w:sz="0" w:space="0" w:color="auto"/>
        <w:right w:val="none" w:sz="0" w:space="0" w:color="auto"/>
      </w:divBdr>
    </w:div>
    <w:div w:id="1783263732">
      <w:bodyDiv w:val="1"/>
      <w:marLeft w:val="0"/>
      <w:marRight w:val="0"/>
      <w:marTop w:val="0"/>
      <w:marBottom w:val="0"/>
      <w:divBdr>
        <w:top w:val="none" w:sz="0" w:space="0" w:color="auto"/>
        <w:left w:val="none" w:sz="0" w:space="0" w:color="auto"/>
        <w:bottom w:val="none" w:sz="0" w:space="0" w:color="auto"/>
        <w:right w:val="none" w:sz="0" w:space="0" w:color="auto"/>
      </w:divBdr>
    </w:div>
    <w:div w:id="1784106974">
      <w:bodyDiv w:val="1"/>
      <w:marLeft w:val="0"/>
      <w:marRight w:val="0"/>
      <w:marTop w:val="0"/>
      <w:marBottom w:val="0"/>
      <w:divBdr>
        <w:top w:val="none" w:sz="0" w:space="0" w:color="auto"/>
        <w:left w:val="none" w:sz="0" w:space="0" w:color="auto"/>
        <w:bottom w:val="none" w:sz="0" w:space="0" w:color="auto"/>
        <w:right w:val="none" w:sz="0" w:space="0" w:color="auto"/>
      </w:divBdr>
    </w:div>
    <w:div w:id="1784420135">
      <w:bodyDiv w:val="1"/>
      <w:marLeft w:val="0"/>
      <w:marRight w:val="0"/>
      <w:marTop w:val="0"/>
      <w:marBottom w:val="0"/>
      <w:divBdr>
        <w:top w:val="none" w:sz="0" w:space="0" w:color="auto"/>
        <w:left w:val="none" w:sz="0" w:space="0" w:color="auto"/>
        <w:bottom w:val="none" w:sz="0" w:space="0" w:color="auto"/>
        <w:right w:val="none" w:sz="0" w:space="0" w:color="auto"/>
      </w:divBdr>
    </w:div>
    <w:div w:id="1785079767">
      <w:bodyDiv w:val="1"/>
      <w:marLeft w:val="0"/>
      <w:marRight w:val="0"/>
      <w:marTop w:val="0"/>
      <w:marBottom w:val="0"/>
      <w:divBdr>
        <w:top w:val="none" w:sz="0" w:space="0" w:color="auto"/>
        <w:left w:val="none" w:sz="0" w:space="0" w:color="auto"/>
        <w:bottom w:val="none" w:sz="0" w:space="0" w:color="auto"/>
        <w:right w:val="none" w:sz="0" w:space="0" w:color="auto"/>
      </w:divBdr>
    </w:div>
    <w:div w:id="1786926494">
      <w:bodyDiv w:val="1"/>
      <w:marLeft w:val="0"/>
      <w:marRight w:val="0"/>
      <w:marTop w:val="0"/>
      <w:marBottom w:val="0"/>
      <w:divBdr>
        <w:top w:val="none" w:sz="0" w:space="0" w:color="auto"/>
        <w:left w:val="none" w:sz="0" w:space="0" w:color="auto"/>
        <w:bottom w:val="none" w:sz="0" w:space="0" w:color="auto"/>
        <w:right w:val="none" w:sz="0" w:space="0" w:color="auto"/>
      </w:divBdr>
      <w:divsChild>
        <w:div w:id="1112631426">
          <w:marLeft w:val="0"/>
          <w:marRight w:val="0"/>
          <w:marTop w:val="0"/>
          <w:marBottom w:val="0"/>
          <w:divBdr>
            <w:top w:val="none" w:sz="0" w:space="0" w:color="auto"/>
            <w:left w:val="none" w:sz="0" w:space="0" w:color="auto"/>
            <w:bottom w:val="none" w:sz="0" w:space="0" w:color="auto"/>
            <w:right w:val="none" w:sz="0" w:space="0" w:color="auto"/>
          </w:divBdr>
          <w:divsChild>
            <w:div w:id="1686790289">
              <w:marLeft w:val="0"/>
              <w:marRight w:val="0"/>
              <w:marTop w:val="0"/>
              <w:marBottom w:val="0"/>
              <w:divBdr>
                <w:top w:val="none" w:sz="0" w:space="0" w:color="auto"/>
                <w:left w:val="none" w:sz="0" w:space="0" w:color="auto"/>
                <w:bottom w:val="none" w:sz="0" w:space="0" w:color="auto"/>
                <w:right w:val="none" w:sz="0" w:space="0" w:color="auto"/>
              </w:divBdr>
              <w:divsChild>
                <w:div w:id="87046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998078">
      <w:bodyDiv w:val="1"/>
      <w:marLeft w:val="0"/>
      <w:marRight w:val="0"/>
      <w:marTop w:val="0"/>
      <w:marBottom w:val="0"/>
      <w:divBdr>
        <w:top w:val="none" w:sz="0" w:space="0" w:color="auto"/>
        <w:left w:val="none" w:sz="0" w:space="0" w:color="auto"/>
        <w:bottom w:val="none" w:sz="0" w:space="0" w:color="auto"/>
        <w:right w:val="none" w:sz="0" w:space="0" w:color="auto"/>
      </w:divBdr>
      <w:divsChild>
        <w:div w:id="1186484222">
          <w:marLeft w:val="0"/>
          <w:marRight w:val="0"/>
          <w:marTop w:val="0"/>
          <w:marBottom w:val="0"/>
          <w:divBdr>
            <w:top w:val="none" w:sz="0" w:space="0" w:color="auto"/>
            <w:left w:val="none" w:sz="0" w:space="0" w:color="auto"/>
            <w:bottom w:val="none" w:sz="0" w:space="0" w:color="auto"/>
            <w:right w:val="none" w:sz="0" w:space="0" w:color="auto"/>
          </w:divBdr>
          <w:divsChild>
            <w:div w:id="331184545">
              <w:marLeft w:val="0"/>
              <w:marRight w:val="0"/>
              <w:marTop w:val="0"/>
              <w:marBottom w:val="0"/>
              <w:divBdr>
                <w:top w:val="none" w:sz="0" w:space="0" w:color="auto"/>
                <w:left w:val="none" w:sz="0" w:space="0" w:color="auto"/>
                <w:bottom w:val="none" w:sz="0" w:space="0" w:color="auto"/>
                <w:right w:val="none" w:sz="0" w:space="0" w:color="auto"/>
              </w:divBdr>
              <w:divsChild>
                <w:div w:id="532229776">
                  <w:marLeft w:val="0"/>
                  <w:marRight w:val="0"/>
                  <w:marTop w:val="0"/>
                  <w:marBottom w:val="0"/>
                  <w:divBdr>
                    <w:top w:val="none" w:sz="0" w:space="0" w:color="auto"/>
                    <w:left w:val="none" w:sz="0" w:space="0" w:color="auto"/>
                    <w:bottom w:val="none" w:sz="0" w:space="0" w:color="auto"/>
                    <w:right w:val="none" w:sz="0" w:space="0" w:color="auto"/>
                  </w:divBdr>
                  <w:divsChild>
                    <w:div w:id="1064722249">
                      <w:marLeft w:val="0"/>
                      <w:marRight w:val="0"/>
                      <w:marTop w:val="0"/>
                      <w:marBottom w:val="0"/>
                      <w:divBdr>
                        <w:top w:val="none" w:sz="0" w:space="0" w:color="auto"/>
                        <w:left w:val="none" w:sz="0" w:space="0" w:color="auto"/>
                        <w:bottom w:val="none" w:sz="0" w:space="0" w:color="auto"/>
                        <w:right w:val="none" w:sz="0" w:space="0" w:color="auto"/>
                      </w:divBdr>
                    </w:div>
                  </w:divsChild>
                </w:div>
                <w:div w:id="1855923667">
                  <w:marLeft w:val="0"/>
                  <w:marRight w:val="0"/>
                  <w:marTop w:val="0"/>
                  <w:marBottom w:val="0"/>
                  <w:divBdr>
                    <w:top w:val="none" w:sz="0" w:space="0" w:color="auto"/>
                    <w:left w:val="none" w:sz="0" w:space="0" w:color="auto"/>
                    <w:bottom w:val="none" w:sz="0" w:space="0" w:color="auto"/>
                    <w:right w:val="none" w:sz="0" w:space="0" w:color="auto"/>
                  </w:divBdr>
                  <w:divsChild>
                    <w:div w:id="176095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115651">
      <w:bodyDiv w:val="1"/>
      <w:marLeft w:val="0"/>
      <w:marRight w:val="0"/>
      <w:marTop w:val="0"/>
      <w:marBottom w:val="0"/>
      <w:divBdr>
        <w:top w:val="none" w:sz="0" w:space="0" w:color="auto"/>
        <w:left w:val="none" w:sz="0" w:space="0" w:color="auto"/>
        <w:bottom w:val="none" w:sz="0" w:space="0" w:color="auto"/>
        <w:right w:val="none" w:sz="0" w:space="0" w:color="auto"/>
      </w:divBdr>
    </w:div>
    <w:div w:id="1788307619">
      <w:bodyDiv w:val="1"/>
      <w:marLeft w:val="0"/>
      <w:marRight w:val="0"/>
      <w:marTop w:val="0"/>
      <w:marBottom w:val="0"/>
      <w:divBdr>
        <w:top w:val="none" w:sz="0" w:space="0" w:color="auto"/>
        <w:left w:val="none" w:sz="0" w:space="0" w:color="auto"/>
        <w:bottom w:val="none" w:sz="0" w:space="0" w:color="auto"/>
        <w:right w:val="none" w:sz="0" w:space="0" w:color="auto"/>
      </w:divBdr>
    </w:div>
    <w:div w:id="1789355762">
      <w:bodyDiv w:val="1"/>
      <w:marLeft w:val="0"/>
      <w:marRight w:val="0"/>
      <w:marTop w:val="0"/>
      <w:marBottom w:val="0"/>
      <w:divBdr>
        <w:top w:val="none" w:sz="0" w:space="0" w:color="auto"/>
        <w:left w:val="none" w:sz="0" w:space="0" w:color="auto"/>
        <w:bottom w:val="none" w:sz="0" w:space="0" w:color="auto"/>
        <w:right w:val="none" w:sz="0" w:space="0" w:color="auto"/>
      </w:divBdr>
    </w:div>
    <w:div w:id="1790123950">
      <w:bodyDiv w:val="1"/>
      <w:marLeft w:val="0"/>
      <w:marRight w:val="0"/>
      <w:marTop w:val="0"/>
      <w:marBottom w:val="0"/>
      <w:divBdr>
        <w:top w:val="none" w:sz="0" w:space="0" w:color="auto"/>
        <w:left w:val="none" w:sz="0" w:space="0" w:color="auto"/>
        <w:bottom w:val="none" w:sz="0" w:space="0" w:color="auto"/>
        <w:right w:val="none" w:sz="0" w:space="0" w:color="auto"/>
      </w:divBdr>
    </w:div>
    <w:div w:id="1790590885">
      <w:bodyDiv w:val="1"/>
      <w:marLeft w:val="0"/>
      <w:marRight w:val="0"/>
      <w:marTop w:val="0"/>
      <w:marBottom w:val="0"/>
      <w:divBdr>
        <w:top w:val="none" w:sz="0" w:space="0" w:color="auto"/>
        <w:left w:val="none" w:sz="0" w:space="0" w:color="auto"/>
        <w:bottom w:val="none" w:sz="0" w:space="0" w:color="auto"/>
        <w:right w:val="none" w:sz="0" w:space="0" w:color="auto"/>
      </w:divBdr>
      <w:divsChild>
        <w:div w:id="400055242">
          <w:marLeft w:val="0"/>
          <w:marRight w:val="0"/>
          <w:marTop w:val="0"/>
          <w:marBottom w:val="0"/>
          <w:divBdr>
            <w:top w:val="none" w:sz="0" w:space="0" w:color="auto"/>
            <w:left w:val="none" w:sz="0" w:space="0" w:color="auto"/>
            <w:bottom w:val="none" w:sz="0" w:space="0" w:color="auto"/>
            <w:right w:val="none" w:sz="0" w:space="0" w:color="auto"/>
          </w:divBdr>
          <w:divsChild>
            <w:div w:id="1443067826">
              <w:marLeft w:val="0"/>
              <w:marRight w:val="0"/>
              <w:marTop w:val="0"/>
              <w:marBottom w:val="0"/>
              <w:divBdr>
                <w:top w:val="none" w:sz="0" w:space="0" w:color="auto"/>
                <w:left w:val="none" w:sz="0" w:space="0" w:color="auto"/>
                <w:bottom w:val="none" w:sz="0" w:space="0" w:color="auto"/>
                <w:right w:val="none" w:sz="0" w:space="0" w:color="auto"/>
              </w:divBdr>
              <w:divsChild>
                <w:div w:id="70585233">
                  <w:marLeft w:val="0"/>
                  <w:marRight w:val="0"/>
                  <w:marTop w:val="0"/>
                  <w:marBottom w:val="0"/>
                  <w:divBdr>
                    <w:top w:val="none" w:sz="0" w:space="0" w:color="auto"/>
                    <w:left w:val="none" w:sz="0" w:space="0" w:color="auto"/>
                    <w:bottom w:val="none" w:sz="0" w:space="0" w:color="auto"/>
                    <w:right w:val="none" w:sz="0" w:space="0" w:color="auto"/>
                  </w:divBdr>
                  <w:divsChild>
                    <w:div w:id="171326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736704">
      <w:bodyDiv w:val="1"/>
      <w:marLeft w:val="0"/>
      <w:marRight w:val="0"/>
      <w:marTop w:val="0"/>
      <w:marBottom w:val="0"/>
      <w:divBdr>
        <w:top w:val="none" w:sz="0" w:space="0" w:color="auto"/>
        <w:left w:val="none" w:sz="0" w:space="0" w:color="auto"/>
        <w:bottom w:val="none" w:sz="0" w:space="0" w:color="auto"/>
        <w:right w:val="none" w:sz="0" w:space="0" w:color="auto"/>
      </w:divBdr>
    </w:div>
    <w:div w:id="1792093841">
      <w:bodyDiv w:val="1"/>
      <w:marLeft w:val="0"/>
      <w:marRight w:val="0"/>
      <w:marTop w:val="0"/>
      <w:marBottom w:val="0"/>
      <w:divBdr>
        <w:top w:val="none" w:sz="0" w:space="0" w:color="auto"/>
        <w:left w:val="none" w:sz="0" w:space="0" w:color="auto"/>
        <w:bottom w:val="none" w:sz="0" w:space="0" w:color="auto"/>
        <w:right w:val="none" w:sz="0" w:space="0" w:color="auto"/>
      </w:divBdr>
    </w:div>
    <w:div w:id="1792242788">
      <w:bodyDiv w:val="1"/>
      <w:marLeft w:val="0"/>
      <w:marRight w:val="0"/>
      <w:marTop w:val="0"/>
      <w:marBottom w:val="0"/>
      <w:divBdr>
        <w:top w:val="none" w:sz="0" w:space="0" w:color="auto"/>
        <w:left w:val="none" w:sz="0" w:space="0" w:color="auto"/>
        <w:bottom w:val="none" w:sz="0" w:space="0" w:color="auto"/>
        <w:right w:val="none" w:sz="0" w:space="0" w:color="auto"/>
      </w:divBdr>
    </w:div>
    <w:div w:id="1792245056">
      <w:bodyDiv w:val="1"/>
      <w:marLeft w:val="0"/>
      <w:marRight w:val="0"/>
      <w:marTop w:val="0"/>
      <w:marBottom w:val="0"/>
      <w:divBdr>
        <w:top w:val="none" w:sz="0" w:space="0" w:color="auto"/>
        <w:left w:val="none" w:sz="0" w:space="0" w:color="auto"/>
        <w:bottom w:val="none" w:sz="0" w:space="0" w:color="auto"/>
        <w:right w:val="none" w:sz="0" w:space="0" w:color="auto"/>
      </w:divBdr>
    </w:div>
    <w:div w:id="1792432454">
      <w:bodyDiv w:val="1"/>
      <w:marLeft w:val="0"/>
      <w:marRight w:val="0"/>
      <w:marTop w:val="0"/>
      <w:marBottom w:val="0"/>
      <w:divBdr>
        <w:top w:val="none" w:sz="0" w:space="0" w:color="auto"/>
        <w:left w:val="none" w:sz="0" w:space="0" w:color="auto"/>
        <w:bottom w:val="none" w:sz="0" w:space="0" w:color="auto"/>
        <w:right w:val="none" w:sz="0" w:space="0" w:color="auto"/>
      </w:divBdr>
      <w:divsChild>
        <w:div w:id="286399709">
          <w:marLeft w:val="0"/>
          <w:marRight w:val="0"/>
          <w:marTop w:val="0"/>
          <w:marBottom w:val="0"/>
          <w:divBdr>
            <w:top w:val="none" w:sz="0" w:space="0" w:color="auto"/>
            <w:left w:val="none" w:sz="0" w:space="0" w:color="auto"/>
            <w:bottom w:val="none" w:sz="0" w:space="0" w:color="auto"/>
            <w:right w:val="none" w:sz="0" w:space="0" w:color="auto"/>
          </w:divBdr>
          <w:divsChild>
            <w:div w:id="144468653">
              <w:marLeft w:val="0"/>
              <w:marRight w:val="0"/>
              <w:marTop w:val="0"/>
              <w:marBottom w:val="0"/>
              <w:divBdr>
                <w:top w:val="none" w:sz="0" w:space="0" w:color="auto"/>
                <w:left w:val="none" w:sz="0" w:space="0" w:color="auto"/>
                <w:bottom w:val="none" w:sz="0" w:space="0" w:color="auto"/>
                <w:right w:val="none" w:sz="0" w:space="0" w:color="auto"/>
              </w:divBdr>
              <w:divsChild>
                <w:div w:id="825051265">
                  <w:marLeft w:val="0"/>
                  <w:marRight w:val="0"/>
                  <w:marTop w:val="0"/>
                  <w:marBottom w:val="0"/>
                  <w:divBdr>
                    <w:top w:val="none" w:sz="0" w:space="0" w:color="auto"/>
                    <w:left w:val="none" w:sz="0" w:space="0" w:color="auto"/>
                    <w:bottom w:val="none" w:sz="0" w:space="0" w:color="auto"/>
                    <w:right w:val="none" w:sz="0" w:space="0" w:color="auto"/>
                  </w:divBdr>
                  <w:divsChild>
                    <w:div w:id="8935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628718">
      <w:bodyDiv w:val="1"/>
      <w:marLeft w:val="0"/>
      <w:marRight w:val="0"/>
      <w:marTop w:val="0"/>
      <w:marBottom w:val="0"/>
      <w:divBdr>
        <w:top w:val="none" w:sz="0" w:space="0" w:color="auto"/>
        <w:left w:val="none" w:sz="0" w:space="0" w:color="auto"/>
        <w:bottom w:val="none" w:sz="0" w:space="0" w:color="auto"/>
        <w:right w:val="none" w:sz="0" w:space="0" w:color="auto"/>
      </w:divBdr>
      <w:divsChild>
        <w:div w:id="1484077056">
          <w:marLeft w:val="0"/>
          <w:marRight w:val="0"/>
          <w:marTop w:val="0"/>
          <w:marBottom w:val="0"/>
          <w:divBdr>
            <w:top w:val="none" w:sz="0" w:space="0" w:color="auto"/>
            <w:left w:val="none" w:sz="0" w:space="0" w:color="auto"/>
            <w:bottom w:val="none" w:sz="0" w:space="0" w:color="auto"/>
            <w:right w:val="none" w:sz="0" w:space="0" w:color="auto"/>
          </w:divBdr>
          <w:divsChild>
            <w:div w:id="1468937142">
              <w:marLeft w:val="0"/>
              <w:marRight w:val="0"/>
              <w:marTop w:val="0"/>
              <w:marBottom w:val="0"/>
              <w:divBdr>
                <w:top w:val="none" w:sz="0" w:space="0" w:color="auto"/>
                <w:left w:val="none" w:sz="0" w:space="0" w:color="auto"/>
                <w:bottom w:val="none" w:sz="0" w:space="0" w:color="auto"/>
                <w:right w:val="none" w:sz="0" w:space="0" w:color="auto"/>
              </w:divBdr>
              <w:divsChild>
                <w:div w:id="1308123976">
                  <w:marLeft w:val="0"/>
                  <w:marRight w:val="0"/>
                  <w:marTop w:val="0"/>
                  <w:marBottom w:val="0"/>
                  <w:divBdr>
                    <w:top w:val="none" w:sz="0" w:space="0" w:color="auto"/>
                    <w:left w:val="none" w:sz="0" w:space="0" w:color="auto"/>
                    <w:bottom w:val="none" w:sz="0" w:space="0" w:color="auto"/>
                    <w:right w:val="none" w:sz="0" w:space="0" w:color="auto"/>
                  </w:divBdr>
                  <w:divsChild>
                    <w:div w:id="21072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321198">
      <w:bodyDiv w:val="1"/>
      <w:marLeft w:val="0"/>
      <w:marRight w:val="0"/>
      <w:marTop w:val="0"/>
      <w:marBottom w:val="0"/>
      <w:divBdr>
        <w:top w:val="none" w:sz="0" w:space="0" w:color="auto"/>
        <w:left w:val="none" w:sz="0" w:space="0" w:color="auto"/>
        <w:bottom w:val="none" w:sz="0" w:space="0" w:color="auto"/>
        <w:right w:val="none" w:sz="0" w:space="0" w:color="auto"/>
      </w:divBdr>
    </w:div>
    <w:div w:id="1794710197">
      <w:bodyDiv w:val="1"/>
      <w:marLeft w:val="0"/>
      <w:marRight w:val="0"/>
      <w:marTop w:val="0"/>
      <w:marBottom w:val="0"/>
      <w:divBdr>
        <w:top w:val="none" w:sz="0" w:space="0" w:color="auto"/>
        <w:left w:val="none" w:sz="0" w:space="0" w:color="auto"/>
        <w:bottom w:val="none" w:sz="0" w:space="0" w:color="auto"/>
        <w:right w:val="none" w:sz="0" w:space="0" w:color="auto"/>
      </w:divBdr>
      <w:divsChild>
        <w:div w:id="1067147597">
          <w:marLeft w:val="0"/>
          <w:marRight w:val="0"/>
          <w:marTop w:val="0"/>
          <w:marBottom w:val="0"/>
          <w:divBdr>
            <w:top w:val="none" w:sz="0" w:space="0" w:color="auto"/>
            <w:left w:val="none" w:sz="0" w:space="0" w:color="auto"/>
            <w:bottom w:val="none" w:sz="0" w:space="0" w:color="auto"/>
            <w:right w:val="none" w:sz="0" w:space="0" w:color="auto"/>
          </w:divBdr>
          <w:divsChild>
            <w:div w:id="1980187975">
              <w:marLeft w:val="0"/>
              <w:marRight w:val="0"/>
              <w:marTop w:val="0"/>
              <w:marBottom w:val="0"/>
              <w:divBdr>
                <w:top w:val="none" w:sz="0" w:space="0" w:color="auto"/>
                <w:left w:val="none" w:sz="0" w:space="0" w:color="auto"/>
                <w:bottom w:val="none" w:sz="0" w:space="0" w:color="auto"/>
                <w:right w:val="none" w:sz="0" w:space="0" w:color="auto"/>
              </w:divBdr>
              <w:divsChild>
                <w:div w:id="555169462">
                  <w:marLeft w:val="0"/>
                  <w:marRight w:val="0"/>
                  <w:marTop w:val="0"/>
                  <w:marBottom w:val="0"/>
                  <w:divBdr>
                    <w:top w:val="none" w:sz="0" w:space="0" w:color="auto"/>
                    <w:left w:val="none" w:sz="0" w:space="0" w:color="auto"/>
                    <w:bottom w:val="none" w:sz="0" w:space="0" w:color="auto"/>
                    <w:right w:val="none" w:sz="0" w:space="0" w:color="auto"/>
                  </w:divBdr>
                  <w:divsChild>
                    <w:div w:id="120429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905592">
      <w:bodyDiv w:val="1"/>
      <w:marLeft w:val="0"/>
      <w:marRight w:val="0"/>
      <w:marTop w:val="0"/>
      <w:marBottom w:val="0"/>
      <w:divBdr>
        <w:top w:val="none" w:sz="0" w:space="0" w:color="auto"/>
        <w:left w:val="none" w:sz="0" w:space="0" w:color="auto"/>
        <w:bottom w:val="none" w:sz="0" w:space="0" w:color="auto"/>
        <w:right w:val="none" w:sz="0" w:space="0" w:color="auto"/>
      </w:divBdr>
      <w:divsChild>
        <w:div w:id="1224608077">
          <w:marLeft w:val="0"/>
          <w:marRight w:val="0"/>
          <w:marTop w:val="0"/>
          <w:marBottom w:val="0"/>
          <w:divBdr>
            <w:top w:val="none" w:sz="0" w:space="0" w:color="auto"/>
            <w:left w:val="none" w:sz="0" w:space="0" w:color="auto"/>
            <w:bottom w:val="none" w:sz="0" w:space="0" w:color="auto"/>
            <w:right w:val="none" w:sz="0" w:space="0" w:color="auto"/>
          </w:divBdr>
          <w:divsChild>
            <w:div w:id="1030692608">
              <w:marLeft w:val="0"/>
              <w:marRight w:val="0"/>
              <w:marTop w:val="0"/>
              <w:marBottom w:val="0"/>
              <w:divBdr>
                <w:top w:val="none" w:sz="0" w:space="0" w:color="auto"/>
                <w:left w:val="none" w:sz="0" w:space="0" w:color="auto"/>
                <w:bottom w:val="none" w:sz="0" w:space="0" w:color="auto"/>
                <w:right w:val="none" w:sz="0" w:space="0" w:color="auto"/>
              </w:divBdr>
              <w:divsChild>
                <w:div w:id="1976830905">
                  <w:marLeft w:val="0"/>
                  <w:marRight w:val="0"/>
                  <w:marTop w:val="0"/>
                  <w:marBottom w:val="0"/>
                  <w:divBdr>
                    <w:top w:val="none" w:sz="0" w:space="0" w:color="auto"/>
                    <w:left w:val="none" w:sz="0" w:space="0" w:color="auto"/>
                    <w:bottom w:val="none" w:sz="0" w:space="0" w:color="auto"/>
                    <w:right w:val="none" w:sz="0" w:space="0" w:color="auto"/>
                  </w:divBdr>
                  <w:divsChild>
                    <w:div w:id="80131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557669">
      <w:bodyDiv w:val="1"/>
      <w:marLeft w:val="0"/>
      <w:marRight w:val="0"/>
      <w:marTop w:val="0"/>
      <w:marBottom w:val="0"/>
      <w:divBdr>
        <w:top w:val="none" w:sz="0" w:space="0" w:color="auto"/>
        <w:left w:val="none" w:sz="0" w:space="0" w:color="auto"/>
        <w:bottom w:val="none" w:sz="0" w:space="0" w:color="auto"/>
        <w:right w:val="none" w:sz="0" w:space="0" w:color="auto"/>
      </w:divBdr>
    </w:div>
    <w:div w:id="1795825007">
      <w:bodyDiv w:val="1"/>
      <w:marLeft w:val="0"/>
      <w:marRight w:val="0"/>
      <w:marTop w:val="0"/>
      <w:marBottom w:val="0"/>
      <w:divBdr>
        <w:top w:val="none" w:sz="0" w:space="0" w:color="auto"/>
        <w:left w:val="none" w:sz="0" w:space="0" w:color="auto"/>
        <w:bottom w:val="none" w:sz="0" w:space="0" w:color="auto"/>
        <w:right w:val="none" w:sz="0" w:space="0" w:color="auto"/>
      </w:divBdr>
      <w:divsChild>
        <w:div w:id="1848010689">
          <w:marLeft w:val="0"/>
          <w:marRight w:val="0"/>
          <w:marTop w:val="0"/>
          <w:marBottom w:val="0"/>
          <w:divBdr>
            <w:top w:val="none" w:sz="0" w:space="0" w:color="auto"/>
            <w:left w:val="none" w:sz="0" w:space="0" w:color="auto"/>
            <w:bottom w:val="none" w:sz="0" w:space="0" w:color="auto"/>
            <w:right w:val="none" w:sz="0" w:space="0" w:color="auto"/>
          </w:divBdr>
          <w:divsChild>
            <w:div w:id="1454788596">
              <w:marLeft w:val="0"/>
              <w:marRight w:val="0"/>
              <w:marTop w:val="0"/>
              <w:marBottom w:val="0"/>
              <w:divBdr>
                <w:top w:val="none" w:sz="0" w:space="0" w:color="auto"/>
                <w:left w:val="none" w:sz="0" w:space="0" w:color="auto"/>
                <w:bottom w:val="none" w:sz="0" w:space="0" w:color="auto"/>
                <w:right w:val="none" w:sz="0" w:space="0" w:color="auto"/>
              </w:divBdr>
              <w:divsChild>
                <w:div w:id="1193305631">
                  <w:marLeft w:val="0"/>
                  <w:marRight w:val="0"/>
                  <w:marTop w:val="0"/>
                  <w:marBottom w:val="0"/>
                  <w:divBdr>
                    <w:top w:val="none" w:sz="0" w:space="0" w:color="auto"/>
                    <w:left w:val="none" w:sz="0" w:space="0" w:color="auto"/>
                    <w:bottom w:val="none" w:sz="0" w:space="0" w:color="auto"/>
                    <w:right w:val="none" w:sz="0" w:space="0" w:color="auto"/>
                  </w:divBdr>
                  <w:divsChild>
                    <w:div w:id="11219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630619">
      <w:bodyDiv w:val="1"/>
      <w:marLeft w:val="0"/>
      <w:marRight w:val="0"/>
      <w:marTop w:val="0"/>
      <w:marBottom w:val="0"/>
      <w:divBdr>
        <w:top w:val="none" w:sz="0" w:space="0" w:color="auto"/>
        <w:left w:val="none" w:sz="0" w:space="0" w:color="auto"/>
        <w:bottom w:val="none" w:sz="0" w:space="0" w:color="auto"/>
        <w:right w:val="none" w:sz="0" w:space="0" w:color="auto"/>
      </w:divBdr>
    </w:div>
    <w:div w:id="1797095039">
      <w:bodyDiv w:val="1"/>
      <w:marLeft w:val="0"/>
      <w:marRight w:val="0"/>
      <w:marTop w:val="0"/>
      <w:marBottom w:val="0"/>
      <w:divBdr>
        <w:top w:val="none" w:sz="0" w:space="0" w:color="auto"/>
        <w:left w:val="none" w:sz="0" w:space="0" w:color="auto"/>
        <w:bottom w:val="none" w:sz="0" w:space="0" w:color="auto"/>
        <w:right w:val="none" w:sz="0" w:space="0" w:color="auto"/>
      </w:divBdr>
    </w:div>
    <w:div w:id="1798377637">
      <w:bodyDiv w:val="1"/>
      <w:marLeft w:val="0"/>
      <w:marRight w:val="0"/>
      <w:marTop w:val="0"/>
      <w:marBottom w:val="0"/>
      <w:divBdr>
        <w:top w:val="none" w:sz="0" w:space="0" w:color="auto"/>
        <w:left w:val="none" w:sz="0" w:space="0" w:color="auto"/>
        <w:bottom w:val="none" w:sz="0" w:space="0" w:color="auto"/>
        <w:right w:val="none" w:sz="0" w:space="0" w:color="auto"/>
      </w:divBdr>
    </w:div>
    <w:div w:id="1798598698">
      <w:bodyDiv w:val="1"/>
      <w:marLeft w:val="0"/>
      <w:marRight w:val="0"/>
      <w:marTop w:val="0"/>
      <w:marBottom w:val="0"/>
      <w:divBdr>
        <w:top w:val="none" w:sz="0" w:space="0" w:color="auto"/>
        <w:left w:val="none" w:sz="0" w:space="0" w:color="auto"/>
        <w:bottom w:val="none" w:sz="0" w:space="0" w:color="auto"/>
        <w:right w:val="none" w:sz="0" w:space="0" w:color="auto"/>
      </w:divBdr>
    </w:div>
    <w:div w:id="1799101316">
      <w:bodyDiv w:val="1"/>
      <w:marLeft w:val="0"/>
      <w:marRight w:val="0"/>
      <w:marTop w:val="0"/>
      <w:marBottom w:val="0"/>
      <w:divBdr>
        <w:top w:val="none" w:sz="0" w:space="0" w:color="auto"/>
        <w:left w:val="none" w:sz="0" w:space="0" w:color="auto"/>
        <w:bottom w:val="none" w:sz="0" w:space="0" w:color="auto"/>
        <w:right w:val="none" w:sz="0" w:space="0" w:color="auto"/>
      </w:divBdr>
    </w:div>
    <w:div w:id="1799831785">
      <w:bodyDiv w:val="1"/>
      <w:marLeft w:val="0"/>
      <w:marRight w:val="0"/>
      <w:marTop w:val="0"/>
      <w:marBottom w:val="0"/>
      <w:divBdr>
        <w:top w:val="none" w:sz="0" w:space="0" w:color="auto"/>
        <w:left w:val="none" w:sz="0" w:space="0" w:color="auto"/>
        <w:bottom w:val="none" w:sz="0" w:space="0" w:color="auto"/>
        <w:right w:val="none" w:sz="0" w:space="0" w:color="auto"/>
      </w:divBdr>
    </w:div>
    <w:div w:id="1799832077">
      <w:bodyDiv w:val="1"/>
      <w:marLeft w:val="0"/>
      <w:marRight w:val="0"/>
      <w:marTop w:val="0"/>
      <w:marBottom w:val="0"/>
      <w:divBdr>
        <w:top w:val="none" w:sz="0" w:space="0" w:color="auto"/>
        <w:left w:val="none" w:sz="0" w:space="0" w:color="auto"/>
        <w:bottom w:val="none" w:sz="0" w:space="0" w:color="auto"/>
        <w:right w:val="none" w:sz="0" w:space="0" w:color="auto"/>
      </w:divBdr>
    </w:div>
    <w:div w:id="1800151977">
      <w:bodyDiv w:val="1"/>
      <w:marLeft w:val="0"/>
      <w:marRight w:val="0"/>
      <w:marTop w:val="0"/>
      <w:marBottom w:val="0"/>
      <w:divBdr>
        <w:top w:val="none" w:sz="0" w:space="0" w:color="auto"/>
        <w:left w:val="none" w:sz="0" w:space="0" w:color="auto"/>
        <w:bottom w:val="none" w:sz="0" w:space="0" w:color="auto"/>
        <w:right w:val="none" w:sz="0" w:space="0" w:color="auto"/>
      </w:divBdr>
    </w:div>
    <w:div w:id="1800493401">
      <w:bodyDiv w:val="1"/>
      <w:marLeft w:val="0"/>
      <w:marRight w:val="0"/>
      <w:marTop w:val="0"/>
      <w:marBottom w:val="0"/>
      <w:divBdr>
        <w:top w:val="none" w:sz="0" w:space="0" w:color="auto"/>
        <w:left w:val="none" w:sz="0" w:space="0" w:color="auto"/>
        <w:bottom w:val="none" w:sz="0" w:space="0" w:color="auto"/>
        <w:right w:val="none" w:sz="0" w:space="0" w:color="auto"/>
      </w:divBdr>
    </w:div>
    <w:div w:id="1801221512">
      <w:bodyDiv w:val="1"/>
      <w:marLeft w:val="0"/>
      <w:marRight w:val="0"/>
      <w:marTop w:val="0"/>
      <w:marBottom w:val="0"/>
      <w:divBdr>
        <w:top w:val="none" w:sz="0" w:space="0" w:color="auto"/>
        <w:left w:val="none" w:sz="0" w:space="0" w:color="auto"/>
        <w:bottom w:val="none" w:sz="0" w:space="0" w:color="auto"/>
        <w:right w:val="none" w:sz="0" w:space="0" w:color="auto"/>
      </w:divBdr>
    </w:div>
    <w:div w:id="1801457045">
      <w:bodyDiv w:val="1"/>
      <w:marLeft w:val="0"/>
      <w:marRight w:val="0"/>
      <w:marTop w:val="0"/>
      <w:marBottom w:val="0"/>
      <w:divBdr>
        <w:top w:val="none" w:sz="0" w:space="0" w:color="auto"/>
        <w:left w:val="none" w:sz="0" w:space="0" w:color="auto"/>
        <w:bottom w:val="none" w:sz="0" w:space="0" w:color="auto"/>
        <w:right w:val="none" w:sz="0" w:space="0" w:color="auto"/>
      </w:divBdr>
    </w:div>
    <w:div w:id="1802186541">
      <w:bodyDiv w:val="1"/>
      <w:marLeft w:val="0"/>
      <w:marRight w:val="0"/>
      <w:marTop w:val="0"/>
      <w:marBottom w:val="0"/>
      <w:divBdr>
        <w:top w:val="none" w:sz="0" w:space="0" w:color="auto"/>
        <w:left w:val="none" w:sz="0" w:space="0" w:color="auto"/>
        <w:bottom w:val="none" w:sz="0" w:space="0" w:color="auto"/>
        <w:right w:val="none" w:sz="0" w:space="0" w:color="auto"/>
      </w:divBdr>
    </w:div>
    <w:div w:id="1802460930">
      <w:bodyDiv w:val="1"/>
      <w:marLeft w:val="0"/>
      <w:marRight w:val="0"/>
      <w:marTop w:val="0"/>
      <w:marBottom w:val="0"/>
      <w:divBdr>
        <w:top w:val="none" w:sz="0" w:space="0" w:color="auto"/>
        <w:left w:val="none" w:sz="0" w:space="0" w:color="auto"/>
        <w:bottom w:val="none" w:sz="0" w:space="0" w:color="auto"/>
        <w:right w:val="none" w:sz="0" w:space="0" w:color="auto"/>
      </w:divBdr>
    </w:div>
    <w:div w:id="1802847471">
      <w:bodyDiv w:val="1"/>
      <w:marLeft w:val="0"/>
      <w:marRight w:val="0"/>
      <w:marTop w:val="0"/>
      <w:marBottom w:val="0"/>
      <w:divBdr>
        <w:top w:val="none" w:sz="0" w:space="0" w:color="auto"/>
        <w:left w:val="none" w:sz="0" w:space="0" w:color="auto"/>
        <w:bottom w:val="none" w:sz="0" w:space="0" w:color="auto"/>
        <w:right w:val="none" w:sz="0" w:space="0" w:color="auto"/>
      </w:divBdr>
      <w:divsChild>
        <w:div w:id="123625551">
          <w:marLeft w:val="0"/>
          <w:marRight w:val="0"/>
          <w:marTop w:val="0"/>
          <w:marBottom w:val="0"/>
          <w:divBdr>
            <w:top w:val="none" w:sz="0" w:space="0" w:color="auto"/>
            <w:left w:val="none" w:sz="0" w:space="0" w:color="auto"/>
            <w:bottom w:val="none" w:sz="0" w:space="0" w:color="auto"/>
            <w:right w:val="none" w:sz="0" w:space="0" w:color="auto"/>
          </w:divBdr>
          <w:divsChild>
            <w:div w:id="1811440904">
              <w:marLeft w:val="0"/>
              <w:marRight w:val="0"/>
              <w:marTop w:val="0"/>
              <w:marBottom w:val="0"/>
              <w:divBdr>
                <w:top w:val="none" w:sz="0" w:space="0" w:color="auto"/>
                <w:left w:val="none" w:sz="0" w:space="0" w:color="auto"/>
                <w:bottom w:val="none" w:sz="0" w:space="0" w:color="auto"/>
                <w:right w:val="none" w:sz="0" w:space="0" w:color="auto"/>
              </w:divBdr>
              <w:divsChild>
                <w:div w:id="104202790">
                  <w:marLeft w:val="0"/>
                  <w:marRight w:val="0"/>
                  <w:marTop w:val="0"/>
                  <w:marBottom w:val="0"/>
                  <w:divBdr>
                    <w:top w:val="none" w:sz="0" w:space="0" w:color="auto"/>
                    <w:left w:val="none" w:sz="0" w:space="0" w:color="auto"/>
                    <w:bottom w:val="none" w:sz="0" w:space="0" w:color="auto"/>
                    <w:right w:val="none" w:sz="0" w:space="0" w:color="auto"/>
                  </w:divBdr>
                  <w:divsChild>
                    <w:div w:id="3268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7320">
      <w:bodyDiv w:val="1"/>
      <w:marLeft w:val="0"/>
      <w:marRight w:val="0"/>
      <w:marTop w:val="0"/>
      <w:marBottom w:val="0"/>
      <w:divBdr>
        <w:top w:val="none" w:sz="0" w:space="0" w:color="auto"/>
        <w:left w:val="none" w:sz="0" w:space="0" w:color="auto"/>
        <w:bottom w:val="none" w:sz="0" w:space="0" w:color="auto"/>
        <w:right w:val="none" w:sz="0" w:space="0" w:color="auto"/>
      </w:divBdr>
    </w:div>
    <w:div w:id="1803812894">
      <w:bodyDiv w:val="1"/>
      <w:marLeft w:val="0"/>
      <w:marRight w:val="0"/>
      <w:marTop w:val="0"/>
      <w:marBottom w:val="0"/>
      <w:divBdr>
        <w:top w:val="none" w:sz="0" w:space="0" w:color="auto"/>
        <w:left w:val="none" w:sz="0" w:space="0" w:color="auto"/>
        <w:bottom w:val="none" w:sz="0" w:space="0" w:color="auto"/>
        <w:right w:val="none" w:sz="0" w:space="0" w:color="auto"/>
      </w:divBdr>
    </w:div>
    <w:div w:id="1804082552">
      <w:bodyDiv w:val="1"/>
      <w:marLeft w:val="0"/>
      <w:marRight w:val="0"/>
      <w:marTop w:val="0"/>
      <w:marBottom w:val="0"/>
      <w:divBdr>
        <w:top w:val="none" w:sz="0" w:space="0" w:color="auto"/>
        <w:left w:val="none" w:sz="0" w:space="0" w:color="auto"/>
        <w:bottom w:val="none" w:sz="0" w:space="0" w:color="auto"/>
        <w:right w:val="none" w:sz="0" w:space="0" w:color="auto"/>
      </w:divBdr>
    </w:div>
    <w:div w:id="1805460109">
      <w:bodyDiv w:val="1"/>
      <w:marLeft w:val="0"/>
      <w:marRight w:val="0"/>
      <w:marTop w:val="0"/>
      <w:marBottom w:val="0"/>
      <w:divBdr>
        <w:top w:val="none" w:sz="0" w:space="0" w:color="auto"/>
        <w:left w:val="none" w:sz="0" w:space="0" w:color="auto"/>
        <w:bottom w:val="none" w:sz="0" w:space="0" w:color="auto"/>
        <w:right w:val="none" w:sz="0" w:space="0" w:color="auto"/>
      </w:divBdr>
    </w:div>
    <w:div w:id="1805610944">
      <w:bodyDiv w:val="1"/>
      <w:marLeft w:val="0"/>
      <w:marRight w:val="0"/>
      <w:marTop w:val="0"/>
      <w:marBottom w:val="0"/>
      <w:divBdr>
        <w:top w:val="none" w:sz="0" w:space="0" w:color="auto"/>
        <w:left w:val="none" w:sz="0" w:space="0" w:color="auto"/>
        <w:bottom w:val="none" w:sz="0" w:space="0" w:color="auto"/>
        <w:right w:val="none" w:sz="0" w:space="0" w:color="auto"/>
      </w:divBdr>
    </w:div>
    <w:div w:id="1806116529">
      <w:bodyDiv w:val="1"/>
      <w:marLeft w:val="0"/>
      <w:marRight w:val="0"/>
      <w:marTop w:val="0"/>
      <w:marBottom w:val="0"/>
      <w:divBdr>
        <w:top w:val="none" w:sz="0" w:space="0" w:color="auto"/>
        <w:left w:val="none" w:sz="0" w:space="0" w:color="auto"/>
        <w:bottom w:val="none" w:sz="0" w:space="0" w:color="auto"/>
        <w:right w:val="none" w:sz="0" w:space="0" w:color="auto"/>
      </w:divBdr>
    </w:div>
    <w:div w:id="1808088681">
      <w:bodyDiv w:val="1"/>
      <w:marLeft w:val="0"/>
      <w:marRight w:val="0"/>
      <w:marTop w:val="0"/>
      <w:marBottom w:val="0"/>
      <w:divBdr>
        <w:top w:val="none" w:sz="0" w:space="0" w:color="auto"/>
        <w:left w:val="none" w:sz="0" w:space="0" w:color="auto"/>
        <w:bottom w:val="none" w:sz="0" w:space="0" w:color="auto"/>
        <w:right w:val="none" w:sz="0" w:space="0" w:color="auto"/>
      </w:divBdr>
    </w:div>
    <w:div w:id="1808160898">
      <w:bodyDiv w:val="1"/>
      <w:marLeft w:val="0"/>
      <w:marRight w:val="0"/>
      <w:marTop w:val="0"/>
      <w:marBottom w:val="0"/>
      <w:divBdr>
        <w:top w:val="none" w:sz="0" w:space="0" w:color="auto"/>
        <w:left w:val="none" w:sz="0" w:space="0" w:color="auto"/>
        <w:bottom w:val="none" w:sz="0" w:space="0" w:color="auto"/>
        <w:right w:val="none" w:sz="0" w:space="0" w:color="auto"/>
      </w:divBdr>
      <w:divsChild>
        <w:div w:id="1289169452">
          <w:marLeft w:val="0"/>
          <w:marRight w:val="0"/>
          <w:marTop w:val="0"/>
          <w:marBottom w:val="0"/>
          <w:divBdr>
            <w:top w:val="none" w:sz="0" w:space="0" w:color="auto"/>
            <w:left w:val="none" w:sz="0" w:space="0" w:color="auto"/>
            <w:bottom w:val="none" w:sz="0" w:space="0" w:color="auto"/>
            <w:right w:val="none" w:sz="0" w:space="0" w:color="auto"/>
          </w:divBdr>
          <w:divsChild>
            <w:div w:id="1831363506">
              <w:marLeft w:val="0"/>
              <w:marRight w:val="0"/>
              <w:marTop w:val="0"/>
              <w:marBottom w:val="0"/>
              <w:divBdr>
                <w:top w:val="none" w:sz="0" w:space="0" w:color="auto"/>
                <w:left w:val="none" w:sz="0" w:space="0" w:color="auto"/>
                <w:bottom w:val="none" w:sz="0" w:space="0" w:color="auto"/>
                <w:right w:val="none" w:sz="0" w:space="0" w:color="auto"/>
              </w:divBdr>
              <w:divsChild>
                <w:div w:id="835416201">
                  <w:marLeft w:val="0"/>
                  <w:marRight w:val="0"/>
                  <w:marTop w:val="0"/>
                  <w:marBottom w:val="0"/>
                  <w:divBdr>
                    <w:top w:val="none" w:sz="0" w:space="0" w:color="auto"/>
                    <w:left w:val="none" w:sz="0" w:space="0" w:color="auto"/>
                    <w:bottom w:val="none" w:sz="0" w:space="0" w:color="auto"/>
                    <w:right w:val="none" w:sz="0" w:space="0" w:color="auto"/>
                  </w:divBdr>
                  <w:divsChild>
                    <w:div w:id="4908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279612">
      <w:bodyDiv w:val="1"/>
      <w:marLeft w:val="0"/>
      <w:marRight w:val="0"/>
      <w:marTop w:val="0"/>
      <w:marBottom w:val="0"/>
      <w:divBdr>
        <w:top w:val="none" w:sz="0" w:space="0" w:color="auto"/>
        <w:left w:val="none" w:sz="0" w:space="0" w:color="auto"/>
        <w:bottom w:val="none" w:sz="0" w:space="0" w:color="auto"/>
        <w:right w:val="none" w:sz="0" w:space="0" w:color="auto"/>
      </w:divBdr>
      <w:divsChild>
        <w:div w:id="1341077340">
          <w:marLeft w:val="0"/>
          <w:marRight w:val="0"/>
          <w:marTop w:val="0"/>
          <w:marBottom w:val="0"/>
          <w:divBdr>
            <w:top w:val="none" w:sz="0" w:space="0" w:color="auto"/>
            <w:left w:val="none" w:sz="0" w:space="0" w:color="auto"/>
            <w:bottom w:val="none" w:sz="0" w:space="0" w:color="auto"/>
            <w:right w:val="none" w:sz="0" w:space="0" w:color="auto"/>
          </w:divBdr>
          <w:divsChild>
            <w:div w:id="392510390">
              <w:marLeft w:val="0"/>
              <w:marRight w:val="0"/>
              <w:marTop w:val="0"/>
              <w:marBottom w:val="0"/>
              <w:divBdr>
                <w:top w:val="none" w:sz="0" w:space="0" w:color="auto"/>
                <w:left w:val="none" w:sz="0" w:space="0" w:color="auto"/>
                <w:bottom w:val="none" w:sz="0" w:space="0" w:color="auto"/>
                <w:right w:val="none" w:sz="0" w:space="0" w:color="auto"/>
              </w:divBdr>
              <w:divsChild>
                <w:div w:id="885609218">
                  <w:marLeft w:val="0"/>
                  <w:marRight w:val="0"/>
                  <w:marTop w:val="0"/>
                  <w:marBottom w:val="0"/>
                  <w:divBdr>
                    <w:top w:val="none" w:sz="0" w:space="0" w:color="auto"/>
                    <w:left w:val="none" w:sz="0" w:space="0" w:color="auto"/>
                    <w:bottom w:val="none" w:sz="0" w:space="0" w:color="auto"/>
                    <w:right w:val="none" w:sz="0" w:space="0" w:color="auto"/>
                  </w:divBdr>
                  <w:divsChild>
                    <w:div w:id="113583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550457">
      <w:bodyDiv w:val="1"/>
      <w:marLeft w:val="0"/>
      <w:marRight w:val="0"/>
      <w:marTop w:val="0"/>
      <w:marBottom w:val="0"/>
      <w:divBdr>
        <w:top w:val="none" w:sz="0" w:space="0" w:color="auto"/>
        <w:left w:val="none" w:sz="0" w:space="0" w:color="auto"/>
        <w:bottom w:val="none" w:sz="0" w:space="0" w:color="auto"/>
        <w:right w:val="none" w:sz="0" w:space="0" w:color="auto"/>
      </w:divBdr>
    </w:div>
    <w:div w:id="1808743696">
      <w:bodyDiv w:val="1"/>
      <w:marLeft w:val="0"/>
      <w:marRight w:val="0"/>
      <w:marTop w:val="0"/>
      <w:marBottom w:val="0"/>
      <w:divBdr>
        <w:top w:val="none" w:sz="0" w:space="0" w:color="auto"/>
        <w:left w:val="none" w:sz="0" w:space="0" w:color="auto"/>
        <w:bottom w:val="none" w:sz="0" w:space="0" w:color="auto"/>
        <w:right w:val="none" w:sz="0" w:space="0" w:color="auto"/>
      </w:divBdr>
    </w:div>
    <w:div w:id="1809475598">
      <w:bodyDiv w:val="1"/>
      <w:marLeft w:val="0"/>
      <w:marRight w:val="0"/>
      <w:marTop w:val="0"/>
      <w:marBottom w:val="0"/>
      <w:divBdr>
        <w:top w:val="none" w:sz="0" w:space="0" w:color="auto"/>
        <w:left w:val="none" w:sz="0" w:space="0" w:color="auto"/>
        <w:bottom w:val="none" w:sz="0" w:space="0" w:color="auto"/>
        <w:right w:val="none" w:sz="0" w:space="0" w:color="auto"/>
      </w:divBdr>
    </w:div>
    <w:div w:id="1809787681">
      <w:bodyDiv w:val="1"/>
      <w:marLeft w:val="0"/>
      <w:marRight w:val="0"/>
      <w:marTop w:val="0"/>
      <w:marBottom w:val="0"/>
      <w:divBdr>
        <w:top w:val="none" w:sz="0" w:space="0" w:color="auto"/>
        <w:left w:val="none" w:sz="0" w:space="0" w:color="auto"/>
        <w:bottom w:val="none" w:sz="0" w:space="0" w:color="auto"/>
        <w:right w:val="none" w:sz="0" w:space="0" w:color="auto"/>
      </w:divBdr>
    </w:div>
    <w:div w:id="1810171214">
      <w:bodyDiv w:val="1"/>
      <w:marLeft w:val="0"/>
      <w:marRight w:val="0"/>
      <w:marTop w:val="0"/>
      <w:marBottom w:val="0"/>
      <w:divBdr>
        <w:top w:val="none" w:sz="0" w:space="0" w:color="auto"/>
        <w:left w:val="none" w:sz="0" w:space="0" w:color="auto"/>
        <w:bottom w:val="none" w:sz="0" w:space="0" w:color="auto"/>
        <w:right w:val="none" w:sz="0" w:space="0" w:color="auto"/>
      </w:divBdr>
    </w:div>
    <w:div w:id="1810198015">
      <w:bodyDiv w:val="1"/>
      <w:marLeft w:val="0"/>
      <w:marRight w:val="0"/>
      <w:marTop w:val="0"/>
      <w:marBottom w:val="0"/>
      <w:divBdr>
        <w:top w:val="none" w:sz="0" w:space="0" w:color="auto"/>
        <w:left w:val="none" w:sz="0" w:space="0" w:color="auto"/>
        <w:bottom w:val="none" w:sz="0" w:space="0" w:color="auto"/>
        <w:right w:val="none" w:sz="0" w:space="0" w:color="auto"/>
      </w:divBdr>
    </w:div>
    <w:div w:id="1810434990">
      <w:bodyDiv w:val="1"/>
      <w:marLeft w:val="0"/>
      <w:marRight w:val="0"/>
      <w:marTop w:val="0"/>
      <w:marBottom w:val="0"/>
      <w:divBdr>
        <w:top w:val="none" w:sz="0" w:space="0" w:color="auto"/>
        <w:left w:val="none" w:sz="0" w:space="0" w:color="auto"/>
        <w:bottom w:val="none" w:sz="0" w:space="0" w:color="auto"/>
        <w:right w:val="none" w:sz="0" w:space="0" w:color="auto"/>
      </w:divBdr>
    </w:div>
    <w:div w:id="1810980244">
      <w:bodyDiv w:val="1"/>
      <w:marLeft w:val="0"/>
      <w:marRight w:val="0"/>
      <w:marTop w:val="0"/>
      <w:marBottom w:val="0"/>
      <w:divBdr>
        <w:top w:val="none" w:sz="0" w:space="0" w:color="auto"/>
        <w:left w:val="none" w:sz="0" w:space="0" w:color="auto"/>
        <w:bottom w:val="none" w:sz="0" w:space="0" w:color="auto"/>
        <w:right w:val="none" w:sz="0" w:space="0" w:color="auto"/>
      </w:divBdr>
    </w:div>
    <w:div w:id="1812214364">
      <w:bodyDiv w:val="1"/>
      <w:marLeft w:val="0"/>
      <w:marRight w:val="0"/>
      <w:marTop w:val="0"/>
      <w:marBottom w:val="0"/>
      <w:divBdr>
        <w:top w:val="none" w:sz="0" w:space="0" w:color="auto"/>
        <w:left w:val="none" w:sz="0" w:space="0" w:color="auto"/>
        <w:bottom w:val="none" w:sz="0" w:space="0" w:color="auto"/>
        <w:right w:val="none" w:sz="0" w:space="0" w:color="auto"/>
      </w:divBdr>
      <w:divsChild>
        <w:div w:id="1062484425">
          <w:marLeft w:val="0"/>
          <w:marRight w:val="0"/>
          <w:marTop w:val="0"/>
          <w:marBottom w:val="0"/>
          <w:divBdr>
            <w:top w:val="none" w:sz="0" w:space="0" w:color="auto"/>
            <w:left w:val="none" w:sz="0" w:space="0" w:color="auto"/>
            <w:bottom w:val="none" w:sz="0" w:space="0" w:color="auto"/>
            <w:right w:val="none" w:sz="0" w:space="0" w:color="auto"/>
          </w:divBdr>
          <w:divsChild>
            <w:div w:id="1182432970">
              <w:marLeft w:val="0"/>
              <w:marRight w:val="0"/>
              <w:marTop w:val="0"/>
              <w:marBottom w:val="0"/>
              <w:divBdr>
                <w:top w:val="none" w:sz="0" w:space="0" w:color="auto"/>
                <w:left w:val="none" w:sz="0" w:space="0" w:color="auto"/>
                <w:bottom w:val="none" w:sz="0" w:space="0" w:color="auto"/>
                <w:right w:val="none" w:sz="0" w:space="0" w:color="auto"/>
              </w:divBdr>
              <w:divsChild>
                <w:div w:id="325978738">
                  <w:marLeft w:val="0"/>
                  <w:marRight w:val="0"/>
                  <w:marTop w:val="0"/>
                  <w:marBottom w:val="0"/>
                  <w:divBdr>
                    <w:top w:val="none" w:sz="0" w:space="0" w:color="auto"/>
                    <w:left w:val="none" w:sz="0" w:space="0" w:color="auto"/>
                    <w:bottom w:val="none" w:sz="0" w:space="0" w:color="auto"/>
                    <w:right w:val="none" w:sz="0" w:space="0" w:color="auto"/>
                  </w:divBdr>
                  <w:divsChild>
                    <w:div w:id="1742286425">
                      <w:marLeft w:val="0"/>
                      <w:marRight w:val="0"/>
                      <w:marTop w:val="0"/>
                      <w:marBottom w:val="0"/>
                      <w:divBdr>
                        <w:top w:val="none" w:sz="0" w:space="0" w:color="auto"/>
                        <w:left w:val="none" w:sz="0" w:space="0" w:color="auto"/>
                        <w:bottom w:val="none" w:sz="0" w:space="0" w:color="auto"/>
                        <w:right w:val="none" w:sz="0" w:space="0" w:color="auto"/>
                      </w:divBdr>
                    </w:div>
                  </w:divsChild>
                </w:div>
                <w:div w:id="1639337628">
                  <w:marLeft w:val="0"/>
                  <w:marRight w:val="0"/>
                  <w:marTop w:val="0"/>
                  <w:marBottom w:val="0"/>
                  <w:divBdr>
                    <w:top w:val="none" w:sz="0" w:space="0" w:color="auto"/>
                    <w:left w:val="none" w:sz="0" w:space="0" w:color="auto"/>
                    <w:bottom w:val="none" w:sz="0" w:space="0" w:color="auto"/>
                    <w:right w:val="none" w:sz="0" w:space="0" w:color="auto"/>
                  </w:divBdr>
                  <w:divsChild>
                    <w:div w:id="1625430877">
                      <w:marLeft w:val="0"/>
                      <w:marRight w:val="0"/>
                      <w:marTop w:val="0"/>
                      <w:marBottom w:val="0"/>
                      <w:divBdr>
                        <w:top w:val="none" w:sz="0" w:space="0" w:color="auto"/>
                        <w:left w:val="none" w:sz="0" w:space="0" w:color="auto"/>
                        <w:bottom w:val="none" w:sz="0" w:space="0" w:color="auto"/>
                        <w:right w:val="none" w:sz="0" w:space="0" w:color="auto"/>
                      </w:divBdr>
                    </w:div>
                  </w:divsChild>
                </w:div>
                <w:div w:id="1885407165">
                  <w:marLeft w:val="0"/>
                  <w:marRight w:val="0"/>
                  <w:marTop w:val="0"/>
                  <w:marBottom w:val="0"/>
                  <w:divBdr>
                    <w:top w:val="none" w:sz="0" w:space="0" w:color="auto"/>
                    <w:left w:val="none" w:sz="0" w:space="0" w:color="auto"/>
                    <w:bottom w:val="none" w:sz="0" w:space="0" w:color="auto"/>
                    <w:right w:val="none" w:sz="0" w:space="0" w:color="auto"/>
                  </w:divBdr>
                  <w:divsChild>
                    <w:div w:id="93598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12272">
      <w:bodyDiv w:val="1"/>
      <w:marLeft w:val="0"/>
      <w:marRight w:val="0"/>
      <w:marTop w:val="0"/>
      <w:marBottom w:val="0"/>
      <w:divBdr>
        <w:top w:val="none" w:sz="0" w:space="0" w:color="auto"/>
        <w:left w:val="none" w:sz="0" w:space="0" w:color="auto"/>
        <w:bottom w:val="none" w:sz="0" w:space="0" w:color="auto"/>
        <w:right w:val="none" w:sz="0" w:space="0" w:color="auto"/>
      </w:divBdr>
      <w:divsChild>
        <w:div w:id="483132482">
          <w:marLeft w:val="0"/>
          <w:marRight w:val="0"/>
          <w:marTop w:val="0"/>
          <w:marBottom w:val="0"/>
          <w:divBdr>
            <w:top w:val="none" w:sz="0" w:space="0" w:color="auto"/>
            <w:left w:val="none" w:sz="0" w:space="0" w:color="auto"/>
            <w:bottom w:val="none" w:sz="0" w:space="0" w:color="auto"/>
            <w:right w:val="none" w:sz="0" w:space="0" w:color="auto"/>
          </w:divBdr>
          <w:divsChild>
            <w:div w:id="1571231296">
              <w:marLeft w:val="0"/>
              <w:marRight w:val="0"/>
              <w:marTop w:val="0"/>
              <w:marBottom w:val="0"/>
              <w:divBdr>
                <w:top w:val="none" w:sz="0" w:space="0" w:color="auto"/>
                <w:left w:val="none" w:sz="0" w:space="0" w:color="auto"/>
                <w:bottom w:val="none" w:sz="0" w:space="0" w:color="auto"/>
                <w:right w:val="none" w:sz="0" w:space="0" w:color="auto"/>
              </w:divBdr>
              <w:divsChild>
                <w:div w:id="2057117237">
                  <w:marLeft w:val="0"/>
                  <w:marRight w:val="0"/>
                  <w:marTop w:val="0"/>
                  <w:marBottom w:val="0"/>
                  <w:divBdr>
                    <w:top w:val="none" w:sz="0" w:space="0" w:color="auto"/>
                    <w:left w:val="none" w:sz="0" w:space="0" w:color="auto"/>
                    <w:bottom w:val="none" w:sz="0" w:space="0" w:color="auto"/>
                    <w:right w:val="none" w:sz="0" w:space="0" w:color="auto"/>
                  </w:divBdr>
                  <w:divsChild>
                    <w:div w:id="80303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135483">
      <w:bodyDiv w:val="1"/>
      <w:marLeft w:val="0"/>
      <w:marRight w:val="0"/>
      <w:marTop w:val="0"/>
      <w:marBottom w:val="0"/>
      <w:divBdr>
        <w:top w:val="none" w:sz="0" w:space="0" w:color="auto"/>
        <w:left w:val="none" w:sz="0" w:space="0" w:color="auto"/>
        <w:bottom w:val="none" w:sz="0" w:space="0" w:color="auto"/>
        <w:right w:val="none" w:sz="0" w:space="0" w:color="auto"/>
      </w:divBdr>
    </w:div>
    <w:div w:id="1813601293">
      <w:bodyDiv w:val="1"/>
      <w:marLeft w:val="0"/>
      <w:marRight w:val="0"/>
      <w:marTop w:val="0"/>
      <w:marBottom w:val="0"/>
      <w:divBdr>
        <w:top w:val="none" w:sz="0" w:space="0" w:color="auto"/>
        <w:left w:val="none" w:sz="0" w:space="0" w:color="auto"/>
        <w:bottom w:val="none" w:sz="0" w:space="0" w:color="auto"/>
        <w:right w:val="none" w:sz="0" w:space="0" w:color="auto"/>
      </w:divBdr>
      <w:divsChild>
        <w:div w:id="1408846596">
          <w:marLeft w:val="0"/>
          <w:marRight w:val="0"/>
          <w:marTop w:val="0"/>
          <w:marBottom w:val="0"/>
          <w:divBdr>
            <w:top w:val="none" w:sz="0" w:space="0" w:color="auto"/>
            <w:left w:val="none" w:sz="0" w:space="0" w:color="auto"/>
            <w:bottom w:val="none" w:sz="0" w:space="0" w:color="auto"/>
            <w:right w:val="none" w:sz="0" w:space="0" w:color="auto"/>
          </w:divBdr>
          <w:divsChild>
            <w:div w:id="1844660351">
              <w:marLeft w:val="0"/>
              <w:marRight w:val="0"/>
              <w:marTop w:val="0"/>
              <w:marBottom w:val="0"/>
              <w:divBdr>
                <w:top w:val="none" w:sz="0" w:space="0" w:color="auto"/>
                <w:left w:val="none" w:sz="0" w:space="0" w:color="auto"/>
                <w:bottom w:val="none" w:sz="0" w:space="0" w:color="auto"/>
                <w:right w:val="none" w:sz="0" w:space="0" w:color="auto"/>
              </w:divBdr>
              <w:divsChild>
                <w:div w:id="91817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68421">
      <w:bodyDiv w:val="1"/>
      <w:marLeft w:val="0"/>
      <w:marRight w:val="0"/>
      <w:marTop w:val="0"/>
      <w:marBottom w:val="0"/>
      <w:divBdr>
        <w:top w:val="none" w:sz="0" w:space="0" w:color="auto"/>
        <w:left w:val="none" w:sz="0" w:space="0" w:color="auto"/>
        <w:bottom w:val="none" w:sz="0" w:space="0" w:color="auto"/>
        <w:right w:val="none" w:sz="0" w:space="0" w:color="auto"/>
      </w:divBdr>
    </w:div>
    <w:div w:id="1816415273">
      <w:bodyDiv w:val="1"/>
      <w:marLeft w:val="0"/>
      <w:marRight w:val="0"/>
      <w:marTop w:val="0"/>
      <w:marBottom w:val="0"/>
      <w:divBdr>
        <w:top w:val="none" w:sz="0" w:space="0" w:color="auto"/>
        <w:left w:val="none" w:sz="0" w:space="0" w:color="auto"/>
        <w:bottom w:val="none" w:sz="0" w:space="0" w:color="auto"/>
        <w:right w:val="none" w:sz="0" w:space="0" w:color="auto"/>
      </w:divBdr>
      <w:divsChild>
        <w:div w:id="936131117">
          <w:marLeft w:val="0"/>
          <w:marRight w:val="0"/>
          <w:marTop w:val="0"/>
          <w:marBottom w:val="0"/>
          <w:divBdr>
            <w:top w:val="none" w:sz="0" w:space="0" w:color="auto"/>
            <w:left w:val="none" w:sz="0" w:space="0" w:color="auto"/>
            <w:bottom w:val="none" w:sz="0" w:space="0" w:color="auto"/>
            <w:right w:val="none" w:sz="0" w:space="0" w:color="auto"/>
          </w:divBdr>
          <w:divsChild>
            <w:div w:id="95251051">
              <w:marLeft w:val="0"/>
              <w:marRight w:val="0"/>
              <w:marTop w:val="0"/>
              <w:marBottom w:val="0"/>
              <w:divBdr>
                <w:top w:val="none" w:sz="0" w:space="0" w:color="auto"/>
                <w:left w:val="none" w:sz="0" w:space="0" w:color="auto"/>
                <w:bottom w:val="none" w:sz="0" w:space="0" w:color="auto"/>
                <w:right w:val="none" w:sz="0" w:space="0" w:color="auto"/>
              </w:divBdr>
              <w:divsChild>
                <w:div w:id="1684895322">
                  <w:marLeft w:val="0"/>
                  <w:marRight w:val="0"/>
                  <w:marTop w:val="0"/>
                  <w:marBottom w:val="0"/>
                  <w:divBdr>
                    <w:top w:val="none" w:sz="0" w:space="0" w:color="auto"/>
                    <w:left w:val="none" w:sz="0" w:space="0" w:color="auto"/>
                    <w:bottom w:val="none" w:sz="0" w:space="0" w:color="auto"/>
                    <w:right w:val="none" w:sz="0" w:space="0" w:color="auto"/>
                  </w:divBdr>
                  <w:divsChild>
                    <w:div w:id="35096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558935">
      <w:bodyDiv w:val="1"/>
      <w:marLeft w:val="0"/>
      <w:marRight w:val="0"/>
      <w:marTop w:val="0"/>
      <w:marBottom w:val="0"/>
      <w:divBdr>
        <w:top w:val="none" w:sz="0" w:space="0" w:color="auto"/>
        <w:left w:val="none" w:sz="0" w:space="0" w:color="auto"/>
        <w:bottom w:val="none" w:sz="0" w:space="0" w:color="auto"/>
        <w:right w:val="none" w:sz="0" w:space="0" w:color="auto"/>
      </w:divBdr>
    </w:div>
    <w:div w:id="1816869051">
      <w:bodyDiv w:val="1"/>
      <w:marLeft w:val="0"/>
      <w:marRight w:val="0"/>
      <w:marTop w:val="0"/>
      <w:marBottom w:val="0"/>
      <w:divBdr>
        <w:top w:val="none" w:sz="0" w:space="0" w:color="auto"/>
        <w:left w:val="none" w:sz="0" w:space="0" w:color="auto"/>
        <w:bottom w:val="none" w:sz="0" w:space="0" w:color="auto"/>
        <w:right w:val="none" w:sz="0" w:space="0" w:color="auto"/>
      </w:divBdr>
    </w:div>
    <w:div w:id="1817332331">
      <w:bodyDiv w:val="1"/>
      <w:marLeft w:val="0"/>
      <w:marRight w:val="0"/>
      <w:marTop w:val="0"/>
      <w:marBottom w:val="0"/>
      <w:divBdr>
        <w:top w:val="none" w:sz="0" w:space="0" w:color="auto"/>
        <w:left w:val="none" w:sz="0" w:space="0" w:color="auto"/>
        <w:bottom w:val="none" w:sz="0" w:space="0" w:color="auto"/>
        <w:right w:val="none" w:sz="0" w:space="0" w:color="auto"/>
      </w:divBdr>
      <w:divsChild>
        <w:div w:id="540485677">
          <w:marLeft w:val="0"/>
          <w:marRight w:val="0"/>
          <w:marTop w:val="0"/>
          <w:marBottom w:val="0"/>
          <w:divBdr>
            <w:top w:val="none" w:sz="0" w:space="0" w:color="auto"/>
            <w:left w:val="none" w:sz="0" w:space="0" w:color="auto"/>
            <w:bottom w:val="none" w:sz="0" w:space="0" w:color="auto"/>
            <w:right w:val="none" w:sz="0" w:space="0" w:color="auto"/>
          </w:divBdr>
          <w:divsChild>
            <w:div w:id="133837361">
              <w:marLeft w:val="0"/>
              <w:marRight w:val="0"/>
              <w:marTop w:val="0"/>
              <w:marBottom w:val="0"/>
              <w:divBdr>
                <w:top w:val="none" w:sz="0" w:space="0" w:color="auto"/>
                <w:left w:val="none" w:sz="0" w:space="0" w:color="auto"/>
                <w:bottom w:val="none" w:sz="0" w:space="0" w:color="auto"/>
                <w:right w:val="none" w:sz="0" w:space="0" w:color="auto"/>
              </w:divBdr>
              <w:divsChild>
                <w:div w:id="14389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837628">
      <w:bodyDiv w:val="1"/>
      <w:marLeft w:val="0"/>
      <w:marRight w:val="0"/>
      <w:marTop w:val="0"/>
      <w:marBottom w:val="0"/>
      <w:divBdr>
        <w:top w:val="none" w:sz="0" w:space="0" w:color="auto"/>
        <w:left w:val="none" w:sz="0" w:space="0" w:color="auto"/>
        <w:bottom w:val="none" w:sz="0" w:space="0" w:color="auto"/>
        <w:right w:val="none" w:sz="0" w:space="0" w:color="auto"/>
      </w:divBdr>
      <w:divsChild>
        <w:div w:id="698355432">
          <w:marLeft w:val="0"/>
          <w:marRight w:val="0"/>
          <w:marTop w:val="0"/>
          <w:marBottom w:val="0"/>
          <w:divBdr>
            <w:top w:val="none" w:sz="0" w:space="0" w:color="auto"/>
            <w:left w:val="none" w:sz="0" w:space="0" w:color="auto"/>
            <w:bottom w:val="none" w:sz="0" w:space="0" w:color="auto"/>
            <w:right w:val="none" w:sz="0" w:space="0" w:color="auto"/>
          </w:divBdr>
          <w:divsChild>
            <w:div w:id="1754234593">
              <w:marLeft w:val="0"/>
              <w:marRight w:val="0"/>
              <w:marTop w:val="0"/>
              <w:marBottom w:val="0"/>
              <w:divBdr>
                <w:top w:val="none" w:sz="0" w:space="0" w:color="auto"/>
                <w:left w:val="none" w:sz="0" w:space="0" w:color="auto"/>
                <w:bottom w:val="none" w:sz="0" w:space="0" w:color="auto"/>
                <w:right w:val="none" w:sz="0" w:space="0" w:color="auto"/>
              </w:divBdr>
              <w:divsChild>
                <w:div w:id="2079747669">
                  <w:marLeft w:val="0"/>
                  <w:marRight w:val="0"/>
                  <w:marTop w:val="0"/>
                  <w:marBottom w:val="0"/>
                  <w:divBdr>
                    <w:top w:val="none" w:sz="0" w:space="0" w:color="auto"/>
                    <w:left w:val="none" w:sz="0" w:space="0" w:color="auto"/>
                    <w:bottom w:val="none" w:sz="0" w:space="0" w:color="auto"/>
                    <w:right w:val="none" w:sz="0" w:space="0" w:color="auto"/>
                  </w:divBdr>
                  <w:divsChild>
                    <w:div w:id="3546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0696">
      <w:bodyDiv w:val="1"/>
      <w:marLeft w:val="0"/>
      <w:marRight w:val="0"/>
      <w:marTop w:val="0"/>
      <w:marBottom w:val="0"/>
      <w:divBdr>
        <w:top w:val="none" w:sz="0" w:space="0" w:color="auto"/>
        <w:left w:val="none" w:sz="0" w:space="0" w:color="auto"/>
        <w:bottom w:val="none" w:sz="0" w:space="0" w:color="auto"/>
        <w:right w:val="none" w:sz="0" w:space="0" w:color="auto"/>
      </w:divBdr>
      <w:divsChild>
        <w:div w:id="26025138">
          <w:marLeft w:val="0"/>
          <w:marRight w:val="0"/>
          <w:marTop w:val="0"/>
          <w:marBottom w:val="0"/>
          <w:divBdr>
            <w:top w:val="none" w:sz="0" w:space="0" w:color="auto"/>
            <w:left w:val="none" w:sz="0" w:space="0" w:color="auto"/>
            <w:bottom w:val="none" w:sz="0" w:space="0" w:color="auto"/>
            <w:right w:val="none" w:sz="0" w:space="0" w:color="auto"/>
          </w:divBdr>
          <w:divsChild>
            <w:div w:id="1614358794">
              <w:marLeft w:val="0"/>
              <w:marRight w:val="0"/>
              <w:marTop w:val="0"/>
              <w:marBottom w:val="0"/>
              <w:divBdr>
                <w:top w:val="none" w:sz="0" w:space="0" w:color="auto"/>
                <w:left w:val="none" w:sz="0" w:space="0" w:color="auto"/>
                <w:bottom w:val="none" w:sz="0" w:space="0" w:color="auto"/>
                <w:right w:val="none" w:sz="0" w:space="0" w:color="auto"/>
              </w:divBdr>
              <w:divsChild>
                <w:div w:id="34833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565206">
      <w:bodyDiv w:val="1"/>
      <w:marLeft w:val="0"/>
      <w:marRight w:val="0"/>
      <w:marTop w:val="0"/>
      <w:marBottom w:val="0"/>
      <w:divBdr>
        <w:top w:val="none" w:sz="0" w:space="0" w:color="auto"/>
        <w:left w:val="none" w:sz="0" w:space="0" w:color="auto"/>
        <w:bottom w:val="none" w:sz="0" w:space="0" w:color="auto"/>
        <w:right w:val="none" w:sz="0" w:space="0" w:color="auto"/>
      </w:divBdr>
    </w:div>
    <w:div w:id="1819418741">
      <w:bodyDiv w:val="1"/>
      <w:marLeft w:val="0"/>
      <w:marRight w:val="0"/>
      <w:marTop w:val="0"/>
      <w:marBottom w:val="0"/>
      <w:divBdr>
        <w:top w:val="none" w:sz="0" w:space="0" w:color="auto"/>
        <w:left w:val="none" w:sz="0" w:space="0" w:color="auto"/>
        <w:bottom w:val="none" w:sz="0" w:space="0" w:color="auto"/>
        <w:right w:val="none" w:sz="0" w:space="0" w:color="auto"/>
      </w:divBdr>
      <w:divsChild>
        <w:div w:id="322663485">
          <w:marLeft w:val="0"/>
          <w:marRight w:val="0"/>
          <w:marTop w:val="0"/>
          <w:marBottom w:val="0"/>
          <w:divBdr>
            <w:top w:val="none" w:sz="0" w:space="0" w:color="auto"/>
            <w:left w:val="none" w:sz="0" w:space="0" w:color="auto"/>
            <w:bottom w:val="none" w:sz="0" w:space="0" w:color="auto"/>
            <w:right w:val="none" w:sz="0" w:space="0" w:color="auto"/>
          </w:divBdr>
          <w:divsChild>
            <w:div w:id="917330597">
              <w:marLeft w:val="0"/>
              <w:marRight w:val="0"/>
              <w:marTop w:val="0"/>
              <w:marBottom w:val="0"/>
              <w:divBdr>
                <w:top w:val="none" w:sz="0" w:space="0" w:color="auto"/>
                <w:left w:val="none" w:sz="0" w:space="0" w:color="auto"/>
                <w:bottom w:val="none" w:sz="0" w:space="0" w:color="auto"/>
                <w:right w:val="none" w:sz="0" w:space="0" w:color="auto"/>
              </w:divBdr>
              <w:divsChild>
                <w:div w:id="1049764497">
                  <w:marLeft w:val="0"/>
                  <w:marRight w:val="0"/>
                  <w:marTop w:val="0"/>
                  <w:marBottom w:val="0"/>
                  <w:divBdr>
                    <w:top w:val="none" w:sz="0" w:space="0" w:color="auto"/>
                    <w:left w:val="none" w:sz="0" w:space="0" w:color="auto"/>
                    <w:bottom w:val="none" w:sz="0" w:space="0" w:color="auto"/>
                    <w:right w:val="none" w:sz="0" w:space="0" w:color="auto"/>
                  </w:divBdr>
                  <w:divsChild>
                    <w:div w:id="247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612435">
      <w:bodyDiv w:val="1"/>
      <w:marLeft w:val="0"/>
      <w:marRight w:val="0"/>
      <w:marTop w:val="0"/>
      <w:marBottom w:val="0"/>
      <w:divBdr>
        <w:top w:val="none" w:sz="0" w:space="0" w:color="auto"/>
        <w:left w:val="none" w:sz="0" w:space="0" w:color="auto"/>
        <w:bottom w:val="none" w:sz="0" w:space="0" w:color="auto"/>
        <w:right w:val="none" w:sz="0" w:space="0" w:color="auto"/>
      </w:divBdr>
    </w:div>
    <w:div w:id="1820147733">
      <w:bodyDiv w:val="1"/>
      <w:marLeft w:val="0"/>
      <w:marRight w:val="0"/>
      <w:marTop w:val="0"/>
      <w:marBottom w:val="0"/>
      <w:divBdr>
        <w:top w:val="none" w:sz="0" w:space="0" w:color="auto"/>
        <w:left w:val="none" w:sz="0" w:space="0" w:color="auto"/>
        <w:bottom w:val="none" w:sz="0" w:space="0" w:color="auto"/>
        <w:right w:val="none" w:sz="0" w:space="0" w:color="auto"/>
      </w:divBdr>
      <w:divsChild>
        <w:div w:id="1826362749">
          <w:marLeft w:val="0"/>
          <w:marRight w:val="0"/>
          <w:marTop w:val="0"/>
          <w:marBottom w:val="0"/>
          <w:divBdr>
            <w:top w:val="none" w:sz="0" w:space="0" w:color="auto"/>
            <w:left w:val="none" w:sz="0" w:space="0" w:color="auto"/>
            <w:bottom w:val="none" w:sz="0" w:space="0" w:color="auto"/>
            <w:right w:val="none" w:sz="0" w:space="0" w:color="auto"/>
          </w:divBdr>
          <w:divsChild>
            <w:div w:id="1383870226">
              <w:marLeft w:val="0"/>
              <w:marRight w:val="0"/>
              <w:marTop w:val="0"/>
              <w:marBottom w:val="0"/>
              <w:divBdr>
                <w:top w:val="none" w:sz="0" w:space="0" w:color="auto"/>
                <w:left w:val="none" w:sz="0" w:space="0" w:color="auto"/>
                <w:bottom w:val="none" w:sz="0" w:space="0" w:color="auto"/>
                <w:right w:val="none" w:sz="0" w:space="0" w:color="auto"/>
              </w:divBdr>
              <w:divsChild>
                <w:div w:id="1303004857">
                  <w:marLeft w:val="0"/>
                  <w:marRight w:val="0"/>
                  <w:marTop w:val="0"/>
                  <w:marBottom w:val="0"/>
                  <w:divBdr>
                    <w:top w:val="none" w:sz="0" w:space="0" w:color="auto"/>
                    <w:left w:val="none" w:sz="0" w:space="0" w:color="auto"/>
                    <w:bottom w:val="none" w:sz="0" w:space="0" w:color="auto"/>
                    <w:right w:val="none" w:sz="0" w:space="0" w:color="auto"/>
                  </w:divBdr>
                  <w:divsChild>
                    <w:div w:id="99669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48175">
      <w:bodyDiv w:val="1"/>
      <w:marLeft w:val="0"/>
      <w:marRight w:val="0"/>
      <w:marTop w:val="0"/>
      <w:marBottom w:val="0"/>
      <w:divBdr>
        <w:top w:val="none" w:sz="0" w:space="0" w:color="auto"/>
        <w:left w:val="none" w:sz="0" w:space="0" w:color="auto"/>
        <w:bottom w:val="none" w:sz="0" w:space="0" w:color="auto"/>
        <w:right w:val="none" w:sz="0" w:space="0" w:color="auto"/>
      </w:divBdr>
    </w:div>
    <w:div w:id="1820153160">
      <w:bodyDiv w:val="1"/>
      <w:marLeft w:val="0"/>
      <w:marRight w:val="0"/>
      <w:marTop w:val="0"/>
      <w:marBottom w:val="0"/>
      <w:divBdr>
        <w:top w:val="none" w:sz="0" w:space="0" w:color="auto"/>
        <w:left w:val="none" w:sz="0" w:space="0" w:color="auto"/>
        <w:bottom w:val="none" w:sz="0" w:space="0" w:color="auto"/>
        <w:right w:val="none" w:sz="0" w:space="0" w:color="auto"/>
      </w:divBdr>
    </w:div>
    <w:div w:id="1820460192">
      <w:bodyDiv w:val="1"/>
      <w:marLeft w:val="0"/>
      <w:marRight w:val="0"/>
      <w:marTop w:val="0"/>
      <w:marBottom w:val="0"/>
      <w:divBdr>
        <w:top w:val="none" w:sz="0" w:space="0" w:color="auto"/>
        <w:left w:val="none" w:sz="0" w:space="0" w:color="auto"/>
        <w:bottom w:val="none" w:sz="0" w:space="0" w:color="auto"/>
        <w:right w:val="none" w:sz="0" w:space="0" w:color="auto"/>
      </w:divBdr>
    </w:div>
    <w:div w:id="1820609515">
      <w:bodyDiv w:val="1"/>
      <w:marLeft w:val="0"/>
      <w:marRight w:val="0"/>
      <w:marTop w:val="0"/>
      <w:marBottom w:val="0"/>
      <w:divBdr>
        <w:top w:val="none" w:sz="0" w:space="0" w:color="auto"/>
        <w:left w:val="none" w:sz="0" w:space="0" w:color="auto"/>
        <w:bottom w:val="none" w:sz="0" w:space="0" w:color="auto"/>
        <w:right w:val="none" w:sz="0" w:space="0" w:color="auto"/>
      </w:divBdr>
      <w:divsChild>
        <w:div w:id="741178523">
          <w:marLeft w:val="0"/>
          <w:marRight w:val="0"/>
          <w:marTop w:val="0"/>
          <w:marBottom w:val="0"/>
          <w:divBdr>
            <w:top w:val="none" w:sz="0" w:space="0" w:color="auto"/>
            <w:left w:val="none" w:sz="0" w:space="0" w:color="auto"/>
            <w:bottom w:val="none" w:sz="0" w:space="0" w:color="auto"/>
            <w:right w:val="none" w:sz="0" w:space="0" w:color="auto"/>
          </w:divBdr>
          <w:divsChild>
            <w:div w:id="107549688">
              <w:marLeft w:val="0"/>
              <w:marRight w:val="0"/>
              <w:marTop w:val="0"/>
              <w:marBottom w:val="0"/>
              <w:divBdr>
                <w:top w:val="none" w:sz="0" w:space="0" w:color="auto"/>
                <w:left w:val="none" w:sz="0" w:space="0" w:color="auto"/>
                <w:bottom w:val="none" w:sz="0" w:space="0" w:color="auto"/>
                <w:right w:val="none" w:sz="0" w:space="0" w:color="auto"/>
              </w:divBdr>
              <w:divsChild>
                <w:div w:id="166193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75304">
      <w:bodyDiv w:val="1"/>
      <w:marLeft w:val="0"/>
      <w:marRight w:val="0"/>
      <w:marTop w:val="0"/>
      <w:marBottom w:val="0"/>
      <w:divBdr>
        <w:top w:val="none" w:sz="0" w:space="0" w:color="auto"/>
        <w:left w:val="none" w:sz="0" w:space="0" w:color="auto"/>
        <w:bottom w:val="none" w:sz="0" w:space="0" w:color="auto"/>
        <w:right w:val="none" w:sz="0" w:space="0" w:color="auto"/>
      </w:divBdr>
    </w:div>
    <w:div w:id="1821192657">
      <w:bodyDiv w:val="1"/>
      <w:marLeft w:val="0"/>
      <w:marRight w:val="0"/>
      <w:marTop w:val="0"/>
      <w:marBottom w:val="0"/>
      <w:divBdr>
        <w:top w:val="none" w:sz="0" w:space="0" w:color="auto"/>
        <w:left w:val="none" w:sz="0" w:space="0" w:color="auto"/>
        <w:bottom w:val="none" w:sz="0" w:space="0" w:color="auto"/>
        <w:right w:val="none" w:sz="0" w:space="0" w:color="auto"/>
      </w:divBdr>
    </w:div>
    <w:div w:id="1822231435">
      <w:bodyDiv w:val="1"/>
      <w:marLeft w:val="0"/>
      <w:marRight w:val="0"/>
      <w:marTop w:val="0"/>
      <w:marBottom w:val="0"/>
      <w:divBdr>
        <w:top w:val="none" w:sz="0" w:space="0" w:color="auto"/>
        <w:left w:val="none" w:sz="0" w:space="0" w:color="auto"/>
        <w:bottom w:val="none" w:sz="0" w:space="0" w:color="auto"/>
        <w:right w:val="none" w:sz="0" w:space="0" w:color="auto"/>
      </w:divBdr>
    </w:div>
    <w:div w:id="1822429542">
      <w:bodyDiv w:val="1"/>
      <w:marLeft w:val="0"/>
      <w:marRight w:val="0"/>
      <w:marTop w:val="0"/>
      <w:marBottom w:val="0"/>
      <w:divBdr>
        <w:top w:val="none" w:sz="0" w:space="0" w:color="auto"/>
        <w:left w:val="none" w:sz="0" w:space="0" w:color="auto"/>
        <w:bottom w:val="none" w:sz="0" w:space="0" w:color="auto"/>
        <w:right w:val="none" w:sz="0" w:space="0" w:color="auto"/>
      </w:divBdr>
    </w:div>
    <w:div w:id="1823081570">
      <w:bodyDiv w:val="1"/>
      <w:marLeft w:val="0"/>
      <w:marRight w:val="0"/>
      <w:marTop w:val="0"/>
      <w:marBottom w:val="0"/>
      <w:divBdr>
        <w:top w:val="none" w:sz="0" w:space="0" w:color="auto"/>
        <w:left w:val="none" w:sz="0" w:space="0" w:color="auto"/>
        <w:bottom w:val="none" w:sz="0" w:space="0" w:color="auto"/>
        <w:right w:val="none" w:sz="0" w:space="0" w:color="auto"/>
      </w:divBdr>
    </w:div>
    <w:div w:id="1823501514">
      <w:bodyDiv w:val="1"/>
      <w:marLeft w:val="0"/>
      <w:marRight w:val="0"/>
      <w:marTop w:val="0"/>
      <w:marBottom w:val="0"/>
      <w:divBdr>
        <w:top w:val="none" w:sz="0" w:space="0" w:color="auto"/>
        <w:left w:val="none" w:sz="0" w:space="0" w:color="auto"/>
        <w:bottom w:val="none" w:sz="0" w:space="0" w:color="auto"/>
        <w:right w:val="none" w:sz="0" w:space="0" w:color="auto"/>
      </w:divBdr>
    </w:div>
    <w:div w:id="1823740081">
      <w:bodyDiv w:val="1"/>
      <w:marLeft w:val="0"/>
      <w:marRight w:val="0"/>
      <w:marTop w:val="0"/>
      <w:marBottom w:val="0"/>
      <w:divBdr>
        <w:top w:val="none" w:sz="0" w:space="0" w:color="auto"/>
        <w:left w:val="none" w:sz="0" w:space="0" w:color="auto"/>
        <w:bottom w:val="none" w:sz="0" w:space="0" w:color="auto"/>
        <w:right w:val="none" w:sz="0" w:space="0" w:color="auto"/>
      </w:divBdr>
    </w:div>
    <w:div w:id="1824659879">
      <w:bodyDiv w:val="1"/>
      <w:marLeft w:val="0"/>
      <w:marRight w:val="0"/>
      <w:marTop w:val="0"/>
      <w:marBottom w:val="0"/>
      <w:divBdr>
        <w:top w:val="none" w:sz="0" w:space="0" w:color="auto"/>
        <w:left w:val="none" w:sz="0" w:space="0" w:color="auto"/>
        <w:bottom w:val="none" w:sz="0" w:space="0" w:color="auto"/>
        <w:right w:val="none" w:sz="0" w:space="0" w:color="auto"/>
      </w:divBdr>
    </w:div>
    <w:div w:id="1825899726">
      <w:bodyDiv w:val="1"/>
      <w:marLeft w:val="0"/>
      <w:marRight w:val="0"/>
      <w:marTop w:val="0"/>
      <w:marBottom w:val="0"/>
      <w:divBdr>
        <w:top w:val="none" w:sz="0" w:space="0" w:color="auto"/>
        <w:left w:val="none" w:sz="0" w:space="0" w:color="auto"/>
        <w:bottom w:val="none" w:sz="0" w:space="0" w:color="auto"/>
        <w:right w:val="none" w:sz="0" w:space="0" w:color="auto"/>
      </w:divBdr>
    </w:div>
    <w:div w:id="1826895760">
      <w:bodyDiv w:val="1"/>
      <w:marLeft w:val="0"/>
      <w:marRight w:val="0"/>
      <w:marTop w:val="0"/>
      <w:marBottom w:val="0"/>
      <w:divBdr>
        <w:top w:val="none" w:sz="0" w:space="0" w:color="auto"/>
        <w:left w:val="none" w:sz="0" w:space="0" w:color="auto"/>
        <w:bottom w:val="none" w:sz="0" w:space="0" w:color="auto"/>
        <w:right w:val="none" w:sz="0" w:space="0" w:color="auto"/>
      </w:divBdr>
      <w:divsChild>
        <w:div w:id="1804079962">
          <w:marLeft w:val="0"/>
          <w:marRight w:val="0"/>
          <w:marTop w:val="0"/>
          <w:marBottom w:val="0"/>
          <w:divBdr>
            <w:top w:val="none" w:sz="0" w:space="0" w:color="auto"/>
            <w:left w:val="none" w:sz="0" w:space="0" w:color="auto"/>
            <w:bottom w:val="none" w:sz="0" w:space="0" w:color="auto"/>
            <w:right w:val="none" w:sz="0" w:space="0" w:color="auto"/>
          </w:divBdr>
          <w:divsChild>
            <w:div w:id="1246845704">
              <w:marLeft w:val="0"/>
              <w:marRight w:val="0"/>
              <w:marTop w:val="0"/>
              <w:marBottom w:val="0"/>
              <w:divBdr>
                <w:top w:val="none" w:sz="0" w:space="0" w:color="auto"/>
                <w:left w:val="none" w:sz="0" w:space="0" w:color="auto"/>
                <w:bottom w:val="none" w:sz="0" w:space="0" w:color="auto"/>
                <w:right w:val="none" w:sz="0" w:space="0" w:color="auto"/>
              </w:divBdr>
              <w:divsChild>
                <w:div w:id="87163055">
                  <w:marLeft w:val="0"/>
                  <w:marRight w:val="0"/>
                  <w:marTop w:val="0"/>
                  <w:marBottom w:val="0"/>
                  <w:divBdr>
                    <w:top w:val="none" w:sz="0" w:space="0" w:color="auto"/>
                    <w:left w:val="none" w:sz="0" w:space="0" w:color="auto"/>
                    <w:bottom w:val="none" w:sz="0" w:space="0" w:color="auto"/>
                    <w:right w:val="none" w:sz="0" w:space="0" w:color="auto"/>
                  </w:divBdr>
                  <w:divsChild>
                    <w:div w:id="18163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134510">
      <w:bodyDiv w:val="1"/>
      <w:marLeft w:val="0"/>
      <w:marRight w:val="0"/>
      <w:marTop w:val="0"/>
      <w:marBottom w:val="0"/>
      <w:divBdr>
        <w:top w:val="none" w:sz="0" w:space="0" w:color="auto"/>
        <w:left w:val="none" w:sz="0" w:space="0" w:color="auto"/>
        <w:bottom w:val="none" w:sz="0" w:space="0" w:color="auto"/>
        <w:right w:val="none" w:sz="0" w:space="0" w:color="auto"/>
      </w:divBdr>
      <w:divsChild>
        <w:div w:id="838036574">
          <w:marLeft w:val="0"/>
          <w:marRight w:val="0"/>
          <w:marTop w:val="0"/>
          <w:marBottom w:val="0"/>
          <w:divBdr>
            <w:top w:val="none" w:sz="0" w:space="0" w:color="auto"/>
            <w:left w:val="none" w:sz="0" w:space="0" w:color="auto"/>
            <w:bottom w:val="none" w:sz="0" w:space="0" w:color="auto"/>
            <w:right w:val="none" w:sz="0" w:space="0" w:color="auto"/>
          </w:divBdr>
          <w:divsChild>
            <w:div w:id="1889757506">
              <w:marLeft w:val="0"/>
              <w:marRight w:val="0"/>
              <w:marTop w:val="0"/>
              <w:marBottom w:val="0"/>
              <w:divBdr>
                <w:top w:val="none" w:sz="0" w:space="0" w:color="auto"/>
                <w:left w:val="none" w:sz="0" w:space="0" w:color="auto"/>
                <w:bottom w:val="none" w:sz="0" w:space="0" w:color="auto"/>
                <w:right w:val="none" w:sz="0" w:space="0" w:color="auto"/>
              </w:divBdr>
              <w:divsChild>
                <w:div w:id="1220896845">
                  <w:marLeft w:val="0"/>
                  <w:marRight w:val="0"/>
                  <w:marTop w:val="0"/>
                  <w:marBottom w:val="0"/>
                  <w:divBdr>
                    <w:top w:val="none" w:sz="0" w:space="0" w:color="auto"/>
                    <w:left w:val="none" w:sz="0" w:space="0" w:color="auto"/>
                    <w:bottom w:val="none" w:sz="0" w:space="0" w:color="auto"/>
                    <w:right w:val="none" w:sz="0" w:space="0" w:color="auto"/>
                  </w:divBdr>
                  <w:divsChild>
                    <w:div w:id="147163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281971">
      <w:bodyDiv w:val="1"/>
      <w:marLeft w:val="0"/>
      <w:marRight w:val="0"/>
      <w:marTop w:val="0"/>
      <w:marBottom w:val="0"/>
      <w:divBdr>
        <w:top w:val="none" w:sz="0" w:space="0" w:color="auto"/>
        <w:left w:val="none" w:sz="0" w:space="0" w:color="auto"/>
        <w:bottom w:val="none" w:sz="0" w:space="0" w:color="auto"/>
        <w:right w:val="none" w:sz="0" w:space="0" w:color="auto"/>
      </w:divBdr>
    </w:div>
    <w:div w:id="1828747371">
      <w:bodyDiv w:val="1"/>
      <w:marLeft w:val="0"/>
      <w:marRight w:val="0"/>
      <w:marTop w:val="0"/>
      <w:marBottom w:val="0"/>
      <w:divBdr>
        <w:top w:val="none" w:sz="0" w:space="0" w:color="auto"/>
        <w:left w:val="none" w:sz="0" w:space="0" w:color="auto"/>
        <w:bottom w:val="none" w:sz="0" w:space="0" w:color="auto"/>
        <w:right w:val="none" w:sz="0" w:space="0" w:color="auto"/>
      </w:divBdr>
    </w:div>
    <w:div w:id="1828932975">
      <w:bodyDiv w:val="1"/>
      <w:marLeft w:val="0"/>
      <w:marRight w:val="0"/>
      <w:marTop w:val="0"/>
      <w:marBottom w:val="0"/>
      <w:divBdr>
        <w:top w:val="none" w:sz="0" w:space="0" w:color="auto"/>
        <w:left w:val="none" w:sz="0" w:space="0" w:color="auto"/>
        <w:bottom w:val="none" w:sz="0" w:space="0" w:color="auto"/>
        <w:right w:val="none" w:sz="0" w:space="0" w:color="auto"/>
      </w:divBdr>
    </w:div>
    <w:div w:id="1829050090">
      <w:bodyDiv w:val="1"/>
      <w:marLeft w:val="0"/>
      <w:marRight w:val="0"/>
      <w:marTop w:val="0"/>
      <w:marBottom w:val="0"/>
      <w:divBdr>
        <w:top w:val="none" w:sz="0" w:space="0" w:color="auto"/>
        <w:left w:val="none" w:sz="0" w:space="0" w:color="auto"/>
        <w:bottom w:val="none" w:sz="0" w:space="0" w:color="auto"/>
        <w:right w:val="none" w:sz="0" w:space="0" w:color="auto"/>
      </w:divBdr>
    </w:div>
    <w:div w:id="1830825739">
      <w:bodyDiv w:val="1"/>
      <w:marLeft w:val="0"/>
      <w:marRight w:val="0"/>
      <w:marTop w:val="0"/>
      <w:marBottom w:val="0"/>
      <w:divBdr>
        <w:top w:val="none" w:sz="0" w:space="0" w:color="auto"/>
        <w:left w:val="none" w:sz="0" w:space="0" w:color="auto"/>
        <w:bottom w:val="none" w:sz="0" w:space="0" w:color="auto"/>
        <w:right w:val="none" w:sz="0" w:space="0" w:color="auto"/>
      </w:divBdr>
    </w:div>
    <w:div w:id="1831100220">
      <w:bodyDiv w:val="1"/>
      <w:marLeft w:val="0"/>
      <w:marRight w:val="0"/>
      <w:marTop w:val="0"/>
      <w:marBottom w:val="0"/>
      <w:divBdr>
        <w:top w:val="none" w:sz="0" w:space="0" w:color="auto"/>
        <w:left w:val="none" w:sz="0" w:space="0" w:color="auto"/>
        <w:bottom w:val="none" w:sz="0" w:space="0" w:color="auto"/>
        <w:right w:val="none" w:sz="0" w:space="0" w:color="auto"/>
      </w:divBdr>
    </w:div>
    <w:div w:id="1831484825">
      <w:bodyDiv w:val="1"/>
      <w:marLeft w:val="0"/>
      <w:marRight w:val="0"/>
      <w:marTop w:val="0"/>
      <w:marBottom w:val="0"/>
      <w:divBdr>
        <w:top w:val="none" w:sz="0" w:space="0" w:color="auto"/>
        <w:left w:val="none" w:sz="0" w:space="0" w:color="auto"/>
        <w:bottom w:val="none" w:sz="0" w:space="0" w:color="auto"/>
        <w:right w:val="none" w:sz="0" w:space="0" w:color="auto"/>
      </w:divBdr>
    </w:div>
    <w:div w:id="1831554591">
      <w:bodyDiv w:val="1"/>
      <w:marLeft w:val="0"/>
      <w:marRight w:val="0"/>
      <w:marTop w:val="0"/>
      <w:marBottom w:val="0"/>
      <w:divBdr>
        <w:top w:val="none" w:sz="0" w:space="0" w:color="auto"/>
        <w:left w:val="none" w:sz="0" w:space="0" w:color="auto"/>
        <w:bottom w:val="none" w:sz="0" w:space="0" w:color="auto"/>
        <w:right w:val="none" w:sz="0" w:space="0" w:color="auto"/>
      </w:divBdr>
    </w:div>
    <w:div w:id="1832328893">
      <w:bodyDiv w:val="1"/>
      <w:marLeft w:val="0"/>
      <w:marRight w:val="0"/>
      <w:marTop w:val="0"/>
      <w:marBottom w:val="0"/>
      <w:divBdr>
        <w:top w:val="none" w:sz="0" w:space="0" w:color="auto"/>
        <w:left w:val="none" w:sz="0" w:space="0" w:color="auto"/>
        <w:bottom w:val="none" w:sz="0" w:space="0" w:color="auto"/>
        <w:right w:val="none" w:sz="0" w:space="0" w:color="auto"/>
      </w:divBdr>
    </w:div>
    <w:div w:id="1832594751">
      <w:bodyDiv w:val="1"/>
      <w:marLeft w:val="0"/>
      <w:marRight w:val="0"/>
      <w:marTop w:val="0"/>
      <w:marBottom w:val="0"/>
      <w:divBdr>
        <w:top w:val="none" w:sz="0" w:space="0" w:color="auto"/>
        <w:left w:val="none" w:sz="0" w:space="0" w:color="auto"/>
        <w:bottom w:val="none" w:sz="0" w:space="0" w:color="auto"/>
        <w:right w:val="none" w:sz="0" w:space="0" w:color="auto"/>
      </w:divBdr>
    </w:div>
    <w:div w:id="1834370136">
      <w:bodyDiv w:val="1"/>
      <w:marLeft w:val="0"/>
      <w:marRight w:val="0"/>
      <w:marTop w:val="0"/>
      <w:marBottom w:val="0"/>
      <w:divBdr>
        <w:top w:val="none" w:sz="0" w:space="0" w:color="auto"/>
        <w:left w:val="none" w:sz="0" w:space="0" w:color="auto"/>
        <w:bottom w:val="none" w:sz="0" w:space="0" w:color="auto"/>
        <w:right w:val="none" w:sz="0" w:space="0" w:color="auto"/>
      </w:divBdr>
    </w:div>
    <w:div w:id="1834637525">
      <w:bodyDiv w:val="1"/>
      <w:marLeft w:val="0"/>
      <w:marRight w:val="0"/>
      <w:marTop w:val="0"/>
      <w:marBottom w:val="0"/>
      <w:divBdr>
        <w:top w:val="none" w:sz="0" w:space="0" w:color="auto"/>
        <w:left w:val="none" w:sz="0" w:space="0" w:color="auto"/>
        <w:bottom w:val="none" w:sz="0" w:space="0" w:color="auto"/>
        <w:right w:val="none" w:sz="0" w:space="0" w:color="auto"/>
      </w:divBdr>
    </w:div>
    <w:div w:id="1834641246">
      <w:bodyDiv w:val="1"/>
      <w:marLeft w:val="0"/>
      <w:marRight w:val="0"/>
      <w:marTop w:val="0"/>
      <w:marBottom w:val="0"/>
      <w:divBdr>
        <w:top w:val="none" w:sz="0" w:space="0" w:color="auto"/>
        <w:left w:val="none" w:sz="0" w:space="0" w:color="auto"/>
        <w:bottom w:val="none" w:sz="0" w:space="0" w:color="auto"/>
        <w:right w:val="none" w:sz="0" w:space="0" w:color="auto"/>
      </w:divBdr>
    </w:div>
    <w:div w:id="1834760477">
      <w:bodyDiv w:val="1"/>
      <w:marLeft w:val="0"/>
      <w:marRight w:val="0"/>
      <w:marTop w:val="0"/>
      <w:marBottom w:val="0"/>
      <w:divBdr>
        <w:top w:val="none" w:sz="0" w:space="0" w:color="auto"/>
        <w:left w:val="none" w:sz="0" w:space="0" w:color="auto"/>
        <w:bottom w:val="none" w:sz="0" w:space="0" w:color="auto"/>
        <w:right w:val="none" w:sz="0" w:space="0" w:color="auto"/>
      </w:divBdr>
    </w:div>
    <w:div w:id="1834906705">
      <w:bodyDiv w:val="1"/>
      <w:marLeft w:val="0"/>
      <w:marRight w:val="0"/>
      <w:marTop w:val="0"/>
      <w:marBottom w:val="0"/>
      <w:divBdr>
        <w:top w:val="none" w:sz="0" w:space="0" w:color="auto"/>
        <w:left w:val="none" w:sz="0" w:space="0" w:color="auto"/>
        <w:bottom w:val="none" w:sz="0" w:space="0" w:color="auto"/>
        <w:right w:val="none" w:sz="0" w:space="0" w:color="auto"/>
      </w:divBdr>
    </w:div>
    <w:div w:id="1835220294">
      <w:bodyDiv w:val="1"/>
      <w:marLeft w:val="0"/>
      <w:marRight w:val="0"/>
      <w:marTop w:val="0"/>
      <w:marBottom w:val="0"/>
      <w:divBdr>
        <w:top w:val="none" w:sz="0" w:space="0" w:color="auto"/>
        <w:left w:val="none" w:sz="0" w:space="0" w:color="auto"/>
        <w:bottom w:val="none" w:sz="0" w:space="0" w:color="auto"/>
        <w:right w:val="none" w:sz="0" w:space="0" w:color="auto"/>
      </w:divBdr>
    </w:div>
    <w:div w:id="1835412283">
      <w:bodyDiv w:val="1"/>
      <w:marLeft w:val="0"/>
      <w:marRight w:val="0"/>
      <w:marTop w:val="0"/>
      <w:marBottom w:val="0"/>
      <w:divBdr>
        <w:top w:val="none" w:sz="0" w:space="0" w:color="auto"/>
        <w:left w:val="none" w:sz="0" w:space="0" w:color="auto"/>
        <w:bottom w:val="none" w:sz="0" w:space="0" w:color="auto"/>
        <w:right w:val="none" w:sz="0" w:space="0" w:color="auto"/>
      </w:divBdr>
    </w:div>
    <w:div w:id="1835604348">
      <w:bodyDiv w:val="1"/>
      <w:marLeft w:val="0"/>
      <w:marRight w:val="0"/>
      <w:marTop w:val="0"/>
      <w:marBottom w:val="0"/>
      <w:divBdr>
        <w:top w:val="none" w:sz="0" w:space="0" w:color="auto"/>
        <w:left w:val="none" w:sz="0" w:space="0" w:color="auto"/>
        <w:bottom w:val="none" w:sz="0" w:space="0" w:color="auto"/>
        <w:right w:val="none" w:sz="0" w:space="0" w:color="auto"/>
      </w:divBdr>
    </w:div>
    <w:div w:id="1835995009">
      <w:bodyDiv w:val="1"/>
      <w:marLeft w:val="0"/>
      <w:marRight w:val="0"/>
      <w:marTop w:val="0"/>
      <w:marBottom w:val="0"/>
      <w:divBdr>
        <w:top w:val="none" w:sz="0" w:space="0" w:color="auto"/>
        <w:left w:val="none" w:sz="0" w:space="0" w:color="auto"/>
        <w:bottom w:val="none" w:sz="0" w:space="0" w:color="auto"/>
        <w:right w:val="none" w:sz="0" w:space="0" w:color="auto"/>
      </w:divBdr>
    </w:div>
    <w:div w:id="1836140964">
      <w:bodyDiv w:val="1"/>
      <w:marLeft w:val="0"/>
      <w:marRight w:val="0"/>
      <w:marTop w:val="0"/>
      <w:marBottom w:val="0"/>
      <w:divBdr>
        <w:top w:val="none" w:sz="0" w:space="0" w:color="auto"/>
        <w:left w:val="none" w:sz="0" w:space="0" w:color="auto"/>
        <w:bottom w:val="none" w:sz="0" w:space="0" w:color="auto"/>
        <w:right w:val="none" w:sz="0" w:space="0" w:color="auto"/>
      </w:divBdr>
    </w:div>
    <w:div w:id="1837109194">
      <w:bodyDiv w:val="1"/>
      <w:marLeft w:val="0"/>
      <w:marRight w:val="0"/>
      <w:marTop w:val="0"/>
      <w:marBottom w:val="0"/>
      <w:divBdr>
        <w:top w:val="none" w:sz="0" w:space="0" w:color="auto"/>
        <w:left w:val="none" w:sz="0" w:space="0" w:color="auto"/>
        <w:bottom w:val="none" w:sz="0" w:space="0" w:color="auto"/>
        <w:right w:val="none" w:sz="0" w:space="0" w:color="auto"/>
      </w:divBdr>
      <w:divsChild>
        <w:div w:id="53550168">
          <w:marLeft w:val="0"/>
          <w:marRight w:val="0"/>
          <w:marTop w:val="0"/>
          <w:marBottom w:val="0"/>
          <w:divBdr>
            <w:top w:val="none" w:sz="0" w:space="0" w:color="auto"/>
            <w:left w:val="none" w:sz="0" w:space="0" w:color="auto"/>
            <w:bottom w:val="none" w:sz="0" w:space="0" w:color="auto"/>
            <w:right w:val="none" w:sz="0" w:space="0" w:color="auto"/>
          </w:divBdr>
          <w:divsChild>
            <w:div w:id="712655119">
              <w:marLeft w:val="0"/>
              <w:marRight w:val="0"/>
              <w:marTop w:val="0"/>
              <w:marBottom w:val="0"/>
              <w:divBdr>
                <w:top w:val="none" w:sz="0" w:space="0" w:color="auto"/>
                <w:left w:val="none" w:sz="0" w:space="0" w:color="auto"/>
                <w:bottom w:val="none" w:sz="0" w:space="0" w:color="auto"/>
                <w:right w:val="none" w:sz="0" w:space="0" w:color="auto"/>
              </w:divBdr>
              <w:divsChild>
                <w:div w:id="888810270">
                  <w:marLeft w:val="0"/>
                  <w:marRight w:val="0"/>
                  <w:marTop w:val="0"/>
                  <w:marBottom w:val="0"/>
                  <w:divBdr>
                    <w:top w:val="none" w:sz="0" w:space="0" w:color="auto"/>
                    <w:left w:val="none" w:sz="0" w:space="0" w:color="auto"/>
                    <w:bottom w:val="none" w:sz="0" w:space="0" w:color="auto"/>
                    <w:right w:val="none" w:sz="0" w:space="0" w:color="auto"/>
                  </w:divBdr>
                  <w:divsChild>
                    <w:div w:id="192718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576300">
      <w:bodyDiv w:val="1"/>
      <w:marLeft w:val="0"/>
      <w:marRight w:val="0"/>
      <w:marTop w:val="0"/>
      <w:marBottom w:val="0"/>
      <w:divBdr>
        <w:top w:val="none" w:sz="0" w:space="0" w:color="auto"/>
        <w:left w:val="none" w:sz="0" w:space="0" w:color="auto"/>
        <w:bottom w:val="none" w:sz="0" w:space="0" w:color="auto"/>
        <w:right w:val="none" w:sz="0" w:space="0" w:color="auto"/>
      </w:divBdr>
      <w:divsChild>
        <w:div w:id="709107246">
          <w:marLeft w:val="0"/>
          <w:marRight w:val="0"/>
          <w:marTop w:val="0"/>
          <w:marBottom w:val="0"/>
          <w:divBdr>
            <w:top w:val="none" w:sz="0" w:space="0" w:color="auto"/>
            <w:left w:val="none" w:sz="0" w:space="0" w:color="auto"/>
            <w:bottom w:val="none" w:sz="0" w:space="0" w:color="auto"/>
            <w:right w:val="none" w:sz="0" w:space="0" w:color="auto"/>
          </w:divBdr>
          <w:divsChild>
            <w:div w:id="1267033970">
              <w:marLeft w:val="0"/>
              <w:marRight w:val="0"/>
              <w:marTop w:val="0"/>
              <w:marBottom w:val="0"/>
              <w:divBdr>
                <w:top w:val="none" w:sz="0" w:space="0" w:color="auto"/>
                <w:left w:val="none" w:sz="0" w:space="0" w:color="auto"/>
                <w:bottom w:val="none" w:sz="0" w:space="0" w:color="auto"/>
                <w:right w:val="none" w:sz="0" w:space="0" w:color="auto"/>
              </w:divBdr>
              <w:divsChild>
                <w:div w:id="753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768203">
      <w:bodyDiv w:val="1"/>
      <w:marLeft w:val="0"/>
      <w:marRight w:val="0"/>
      <w:marTop w:val="0"/>
      <w:marBottom w:val="0"/>
      <w:divBdr>
        <w:top w:val="none" w:sz="0" w:space="0" w:color="auto"/>
        <w:left w:val="none" w:sz="0" w:space="0" w:color="auto"/>
        <w:bottom w:val="none" w:sz="0" w:space="0" w:color="auto"/>
        <w:right w:val="none" w:sz="0" w:space="0" w:color="auto"/>
      </w:divBdr>
      <w:divsChild>
        <w:div w:id="1669822782">
          <w:marLeft w:val="0"/>
          <w:marRight w:val="0"/>
          <w:marTop w:val="0"/>
          <w:marBottom w:val="0"/>
          <w:divBdr>
            <w:top w:val="none" w:sz="0" w:space="0" w:color="auto"/>
            <w:left w:val="none" w:sz="0" w:space="0" w:color="auto"/>
            <w:bottom w:val="none" w:sz="0" w:space="0" w:color="auto"/>
            <w:right w:val="none" w:sz="0" w:space="0" w:color="auto"/>
          </w:divBdr>
          <w:divsChild>
            <w:div w:id="2051831632">
              <w:marLeft w:val="0"/>
              <w:marRight w:val="0"/>
              <w:marTop w:val="0"/>
              <w:marBottom w:val="0"/>
              <w:divBdr>
                <w:top w:val="none" w:sz="0" w:space="0" w:color="auto"/>
                <w:left w:val="none" w:sz="0" w:space="0" w:color="auto"/>
                <w:bottom w:val="none" w:sz="0" w:space="0" w:color="auto"/>
                <w:right w:val="none" w:sz="0" w:space="0" w:color="auto"/>
              </w:divBdr>
              <w:divsChild>
                <w:div w:id="71331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962515">
      <w:bodyDiv w:val="1"/>
      <w:marLeft w:val="0"/>
      <w:marRight w:val="0"/>
      <w:marTop w:val="0"/>
      <w:marBottom w:val="0"/>
      <w:divBdr>
        <w:top w:val="none" w:sz="0" w:space="0" w:color="auto"/>
        <w:left w:val="none" w:sz="0" w:space="0" w:color="auto"/>
        <w:bottom w:val="none" w:sz="0" w:space="0" w:color="auto"/>
        <w:right w:val="none" w:sz="0" w:space="0" w:color="auto"/>
      </w:divBdr>
    </w:div>
    <w:div w:id="1840079289">
      <w:bodyDiv w:val="1"/>
      <w:marLeft w:val="0"/>
      <w:marRight w:val="0"/>
      <w:marTop w:val="0"/>
      <w:marBottom w:val="0"/>
      <w:divBdr>
        <w:top w:val="none" w:sz="0" w:space="0" w:color="auto"/>
        <w:left w:val="none" w:sz="0" w:space="0" w:color="auto"/>
        <w:bottom w:val="none" w:sz="0" w:space="0" w:color="auto"/>
        <w:right w:val="none" w:sz="0" w:space="0" w:color="auto"/>
      </w:divBdr>
    </w:div>
    <w:div w:id="1841234963">
      <w:bodyDiv w:val="1"/>
      <w:marLeft w:val="0"/>
      <w:marRight w:val="0"/>
      <w:marTop w:val="0"/>
      <w:marBottom w:val="0"/>
      <w:divBdr>
        <w:top w:val="none" w:sz="0" w:space="0" w:color="auto"/>
        <w:left w:val="none" w:sz="0" w:space="0" w:color="auto"/>
        <w:bottom w:val="none" w:sz="0" w:space="0" w:color="auto"/>
        <w:right w:val="none" w:sz="0" w:space="0" w:color="auto"/>
      </w:divBdr>
    </w:div>
    <w:div w:id="1841575161">
      <w:bodyDiv w:val="1"/>
      <w:marLeft w:val="0"/>
      <w:marRight w:val="0"/>
      <w:marTop w:val="0"/>
      <w:marBottom w:val="0"/>
      <w:divBdr>
        <w:top w:val="none" w:sz="0" w:space="0" w:color="auto"/>
        <w:left w:val="none" w:sz="0" w:space="0" w:color="auto"/>
        <w:bottom w:val="none" w:sz="0" w:space="0" w:color="auto"/>
        <w:right w:val="none" w:sz="0" w:space="0" w:color="auto"/>
      </w:divBdr>
    </w:div>
    <w:div w:id="1842741541">
      <w:bodyDiv w:val="1"/>
      <w:marLeft w:val="0"/>
      <w:marRight w:val="0"/>
      <w:marTop w:val="0"/>
      <w:marBottom w:val="0"/>
      <w:divBdr>
        <w:top w:val="none" w:sz="0" w:space="0" w:color="auto"/>
        <w:left w:val="none" w:sz="0" w:space="0" w:color="auto"/>
        <w:bottom w:val="none" w:sz="0" w:space="0" w:color="auto"/>
        <w:right w:val="none" w:sz="0" w:space="0" w:color="auto"/>
      </w:divBdr>
    </w:div>
    <w:div w:id="1842773533">
      <w:bodyDiv w:val="1"/>
      <w:marLeft w:val="0"/>
      <w:marRight w:val="0"/>
      <w:marTop w:val="0"/>
      <w:marBottom w:val="0"/>
      <w:divBdr>
        <w:top w:val="none" w:sz="0" w:space="0" w:color="auto"/>
        <w:left w:val="none" w:sz="0" w:space="0" w:color="auto"/>
        <w:bottom w:val="none" w:sz="0" w:space="0" w:color="auto"/>
        <w:right w:val="none" w:sz="0" w:space="0" w:color="auto"/>
      </w:divBdr>
    </w:div>
    <w:div w:id="1844127637">
      <w:bodyDiv w:val="1"/>
      <w:marLeft w:val="0"/>
      <w:marRight w:val="0"/>
      <w:marTop w:val="0"/>
      <w:marBottom w:val="0"/>
      <w:divBdr>
        <w:top w:val="none" w:sz="0" w:space="0" w:color="auto"/>
        <w:left w:val="none" w:sz="0" w:space="0" w:color="auto"/>
        <w:bottom w:val="none" w:sz="0" w:space="0" w:color="auto"/>
        <w:right w:val="none" w:sz="0" w:space="0" w:color="auto"/>
      </w:divBdr>
    </w:div>
    <w:div w:id="1845246313">
      <w:bodyDiv w:val="1"/>
      <w:marLeft w:val="0"/>
      <w:marRight w:val="0"/>
      <w:marTop w:val="0"/>
      <w:marBottom w:val="0"/>
      <w:divBdr>
        <w:top w:val="none" w:sz="0" w:space="0" w:color="auto"/>
        <w:left w:val="none" w:sz="0" w:space="0" w:color="auto"/>
        <w:bottom w:val="none" w:sz="0" w:space="0" w:color="auto"/>
        <w:right w:val="none" w:sz="0" w:space="0" w:color="auto"/>
      </w:divBdr>
    </w:div>
    <w:div w:id="1845512024">
      <w:bodyDiv w:val="1"/>
      <w:marLeft w:val="0"/>
      <w:marRight w:val="0"/>
      <w:marTop w:val="0"/>
      <w:marBottom w:val="0"/>
      <w:divBdr>
        <w:top w:val="none" w:sz="0" w:space="0" w:color="auto"/>
        <w:left w:val="none" w:sz="0" w:space="0" w:color="auto"/>
        <w:bottom w:val="none" w:sz="0" w:space="0" w:color="auto"/>
        <w:right w:val="none" w:sz="0" w:space="0" w:color="auto"/>
      </w:divBdr>
    </w:div>
    <w:div w:id="1846432447">
      <w:bodyDiv w:val="1"/>
      <w:marLeft w:val="0"/>
      <w:marRight w:val="0"/>
      <w:marTop w:val="0"/>
      <w:marBottom w:val="0"/>
      <w:divBdr>
        <w:top w:val="none" w:sz="0" w:space="0" w:color="auto"/>
        <w:left w:val="none" w:sz="0" w:space="0" w:color="auto"/>
        <w:bottom w:val="none" w:sz="0" w:space="0" w:color="auto"/>
        <w:right w:val="none" w:sz="0" w:space="0" w:color="auto"/>
      </w:divBdr>
      <w:divsChild>
        <w:div w:id="2056810226">
          <w:marLeft w:val="0"/>
          <w:marRight w:val="0"/>
          <w:marTop w:val="0"/>
          <w:marBottom w:val="0"/>
          <w:divBdr>
            <w:top w:val="none" w:sz="0" w:space="0" w:color="auto"/>
            <w:left w:val="none" w:sz="0" w:space="0" w:color="auto"/>
            <w:bottom w:val="none" w:sz="0" w:space="0" w:color="auto"/>
            <w:right w:val="none" w:sz="0" w:space="0" w:color="auto"/>
          </w:divBdr>
          <w:divsChild>
            <w:div w:id="1655597647">
              <w:marLeft w:val="0"/>
              <w:marRight w:val="0"/>
              <w:marTop w:val="0"/>
              <w:marBottom w:val="0"/>
              <w:divBdr>
                <w:top w:val="none" w:sz="0" w:space="0" w:color="auto"/>
                <w:left w:val="none" w:sz="0" w:space="0" w:color="auto"/>
                <w:bottom w:val="none" w:sz="0" w:space="0" w:color="auto"/>
                <w:right w:val="none" w:sz="0" w:space="0" w:color="auto"/>
              </w:divBdr>
              <w:divsChild>
                <w:div w:id="15458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91803">
      <w:bodyDiv w:val="1"/>
      <w:marLeft w:val="0"/>
      <w:marRight w:val="0"/>
      <w:marTop w:val="0"/>
      <w:marBottom w:val="0"/>
      <w:divBdr>
        <w:top w:val="none" w:sz="0" w:space="0" w:color="auto"/>
        <w:left w:val="none" w:sz="0" w:space="0" w:color="auto"/>
        <w:bottom w:val="none" w:sz="0" w:space="0" w:color="auto"/>
        <w:right w:val="none" w:sz="0" w:space="0" w:color="auto"/>
      </w:divBdr>
    </w:div>
    <w:div w:id="1848443184">
      <w:bodyDiv w:val="1"/>
      <w:marLeft w:val="0"/>
      <w:marRight w:val="0"/>
      <w:marTop w:val="0"/>
      <w:marBottom w:val="0"/>
      <w:divBdr>
        <w:top w:val="none" w:sz="0" w:space="0" w:color="auto"/>
        <w:left w:val="none" w:sz="0" w:space="0" w:color="auto"/>
        <w:bottom w:val="none" w:sz="0" w:space="0" w:color="auto"/>
        <w:right w:val="none" w:sz="0" w:space="0" w:color="auto"/>
      </w:divBdr>
      <w:divsChild>
        <w:div w:id="448207400">
          <w:marLeft w:val="0"/>
          <w:marRight w:val="0"/>
          <w:marTop w:val="0"/>
          <w:marBottom w:val="0"/>
          <w:divBdr>
            <w:top w:val="none" w:sz="0" w:space="0" w:color="auto"/>
            <w:left w:val="none" w:sz="0" w:space="0" w:color="auto"/>
            <w:bottom w:val="none" w:sz="0" w:space="0" w:color="auto"/>
            <w:right w:val="none" w:sz="0" w:space="0" w:color="auto"/>
          </w:divBdr>
          <w:divsChild>
            <w:div w:id="2050034833">
              <w:marLeft w:val="0"/>
              <w:marRight w:val="0"/>
              <w:marTop w:val="0"/>
              <w:marBottom w:val="0"/>
              <w:divBdr>
                <w:top w:val="none" w:sz="0" w:space="0" w:color="auto"/>
                <w:left w:val="none" w:sz="0" w:space="0" w:color="auto"/>
                <w:bottom w:val="none" w:sz="0" w:space="0" w:color="auto"/>
                <w:right w:val="none" w:sz="0" w:space="0" w:color="auto"/>
              </w:divBdr>
              <w:divsChild>
                <w:div w:id="782112296">
                  <w:marLeft w:val="0"/>
                  <w:marRight w:val="0"/>
                  <w:marTop w:val="0"/>
                  <w:marBottom w:val="0"/>
                  <w:divBdr>
                    <w:top w:val="none" w:sz="0" w:space="0" w:color="auto"/>
                    <w:left w:val="none" w:sz="0" w:space="0" w:color="auto"/>
                    <w:bottom w:val="none" w:sz="0" w:space="0" w:color="auto"/>
                    <w:right w:val="none" w:sz="0" w:space="0" w:color="auto"/>
                  </w:divBdr>
                  <w:divsChild>
                    <w:div w:id="55339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522323">
      <w:bodyDiv w:val="1"/>
      <w:marLeft w:val="0"/>
      <w:marRight w:val="0"/>
      <w:marTop w:val="0"/>
      <w:marBottom w:val="0"/>
      <w:divBdr>
        <w:top w:val="none" w:sz="0" w:space="0" w:color="auto"/>
        <w:left w:val="none" w:sz="0" w:space="0" w:color="auto"/>
        <w:bottom w:val="none" w:sz="0" w:space="0" w:color="auto"/>
        <w:right w:val="none" w:sz="0" w:space="0" w:color="auto"/>
      </w:divBdr>
    </w:div>
    <w:div w:id="1849296706">
      <w:bodyDiv w:val="1"/>
      <w:marLeft w:val="0"/>
      <w:marRight w:val="0"/>
      <w:marTop w:val="0"/>
      <w:marBottom w:val="0"/>
      <w:divBdr>
        <w:top w:val="none" w:sz="0" w:space="0" w:color="auto"/>
        <w:left w:val="none" w:sz="0" w:space="0" w:color="auto"/>
        <w:bottom w:val="none" w:sz="0" w:space="0" w:color="auto"/>
        <w:right w:val="none" w:sz="0" w:space="0" w:color="auto"/>
      </w:divBdr>
    </w:div>
    <w:div w:id="1850213417">
      <w:bodyDiv w:val="1"/>
      <w:marLeft w:val="0"/>
      <w:marRight w:val="0"/>
      <w:marTop w:val="0"/>
      <w:marBottom w:val="0"/>
      <w:divBdr>
        <w:top w:val="none" w:sz="0" w:space="0" w:color="auto"/>
        <w:left w:val="none" w:sz="0" w:space="0" w:color="auto"/>
        <w:bottom w:val="none" w:sz="0" w:space="0" w:color="auto"/>
        <w:right w:val="none" w:sz="0" w:space="0" w:color="auto"/>
      </w:divBdr>
    </w:div>
    <w:div w:id="1850486968">
      <w:bodyDiv w:val="1"/>
      <w:marLeft w:val="0"/>
      <w:marRight w:val="0"/>
      <w:marTop w:val="0"/>
      <w:marBottom w:val="0"/>
      <w:divBdr>
        <w:top w:val="none" w:sz="0" w:space="0" w:color="auto"/>
        <w:left w:val="none" w:sz="0" w:space="0" w:color="auto"/>
        <w:bottom w:val="none" w:sz="0" w:space="0" w:color="auto"/>
        <w:right w:val="none" w:sz="0" w:space="0" w:color="auto"/>
      </w:divBdr>
    </w:div>
    <w:div w:id="1851066145">
      <w:bodyDiv w:val="1"/>
      <w:marLeft w:val="0"/>
      <w:marRight w:val="0"/>
      <w:marTop w:val="0"/>
      <w:marBottom w:val="0"/>
      <w:divBdr>
        <w:top w:val="none" w:sz="0" w:space="0" w:color="auto"/>
        <w:left w:val="none" w:sz="0" w:space="0" w:color="auto"/>
        <w:bottom w:val="none" w:sz="0" w:space="0" w:color="auto"/>
        <w:right w:val="none" w:sz="0" w:space="0" w:color="auto"/>
      </w:divBdr>
    </w:div>
    <w:div w:id="1851289086">
      <w:bodyDiv w:val="1"/>
      <w:marLeft w:val="0"/>
      <w:marRight w:val="0"/>
      <w:marTop w:val="0"/>
      <w:marBottom w:val="0"/>
      <w:divBdr>
        <w:top w:val="none" w:sz="0" w:space="0" w:color="auto"/>
        <w:left w:val="none" w:sz="0" w:space="0" w:color="auto"/>
        <w:bottom w:val="none" w:sz="0" w:space="0" w:color="auto"/>
        <w:right w:val="none" w:sz="0" w:space="0" w:color="auto"/>
      </w:divBdr>
    </w:div>
    <w:div w:id="1851672806">
      <w:bodyDiv w:val="1"/>
      <w:marLeft w:val="0"/>
      <w:marRight w:val="0"/>
      <w:marTop w:val="0"/>
      <w:marBottom w:val="0"/>
      <w:divBdr>
        <w:top w:val="none" w:sz="0" w:space="0" w:color="auto"/>
        <w:left w:val="none" w:sz="0" w:space="0" w:color="auto"/>
        <w:bottom w:val="none" w:sz="0" w:space="0" w:color="auto"/>
        <w:right w:val="none" w:sz="0" w:space="0" w:color="auto"/>
      </w:divBdr>
    </w:div>
    <w:div w:id="1852179800">
      <w:bodyDiv w:val="1"/>
      <w:marLeft w:val="0"/>
      <w:marRight w:val="0"/>
      <w:marTop w:val="0"/>
      <w:marBottom w:val="0"/>
      <w:divBdr>
        <w:top w:val="none" w:sz="0" w:space="0" w:color="auto"/>
        <w:left w:val="none" w:sz="0" w:space="0" w:color="auto"/>
        <w:bottom w:val="none" w:sz="0" w:space="0" w:color="auto"/>
        <w:right w:val="none" w:sz="0" w:space="0" w:color="auto"/>
      </w:divBdr>
    </w:div>
    <w:div w:id="1853951042">
      <w:bodyDiv w:val="1"/>
      <w:marLeft w:val="0"/>
      <w:marRight w:val="0"/>
      <w:marTop w:val="0"/>
      <w:marBottom w:val="0"/>
      <w:divBdr>
        <w:top w:val="none" w:sz="0" w:space="0" w:color="auto"/>
        <w:left w:val="none" w:sz="0" w:space="0" w:color="auto"/>
        <w:bottom w:val="none" w:sz="0" w:space="0" w:color="auto"/>
        <w:right w:val="none" w:sz="0" w:space="0" w:color="auto"/>
      </w:divBdr>
      <w:divsChild>
        <w:div w:id="1062411225">
          <w:marLeft w:val="0"/>
          <w:marRight w:val="0"/>
          <w:marTop w:val="0"/>
          <w:marBottom w:val="0"/>
          <w:divBdr>
            <w:top w:val="none" w:sz="0" w:space="0" w:color="auto"/>
            <w:left w:val="none" w:sz="0" w:space="0" w:color="auto"/>
            <w:bottom w:val="none" w:sz="0" w:space="0" w:color="auto"/>
            <w:right w:val="none" w:sz="0" w:space="0" w:color="auto"/>
          </w:divBdr>
          <w:divsChild>
            <w:div w:id="398016485">
              <w:marLeft w:val="0"/>
              <w:marRight w:val="0"/>
              <w:marTop w:val="0"/>
              <w:marBottom w:val="0"/>
              <w:divBdr>
                <w:top w:val="none" w:sz="0" w:space="0" w:color="auto"/>
                <w:left w:val="none" w:sz="0" w:space="0" w:color="auto"/>
                <w:bottom w:val="none" w:sz="0" w:space="0" w:color="auto"/>
                <w:right w:val="none" w:sz="0" w:space="0" w:color="auto"/>
              </w:divBdr>
              <w:divsChild>
                <w:div w:id="47580684">
                  <w:marLeft w:val="0"/>
                  <w:marRight w:val="0"/>
                  <w:marTop w:val="0"/>
                  <w:marBottom w:val="0"/>
                  <w:divBdr>
                    <w:top w:val="none" w:sz="0" w:space="0" w:color="auto"/>
                    <w:left w:val="none" w:sz="0" w:space="0" w:color="auto"/>
                    <w:bottom w:val="none" w:sz="0" w:space="0" w:color="auto"/>
                    <w:right w:val="none" w:sz="0" w:space="0" w:color="auto"/>
                  </w:divBdr>
                  <w:divsChild>
                    <w:div w:id="897009255">
                      <w:marLeft w:val="0"/>
                      <w:marRight w:val="0"/>
                      <w:marTop w:val="0"/>
                      <w:marBottom w:val="0"/>
                      <w:divBdr>
                        <w:top w:val="none" w:sz="0" w:space="0" w:color="auto"/>
                        <w:left w:val="none" w:sz="0" w:space="0" w:color="auto"/>
                        <w:bottom w:val="none" w:sz="0" w:space="0" w:color="auto"/>
                        <w:right w:val="none" w:sz="0" w:space="0" w:color="auto"/>
                      </w:divBdr>
                    </w:div>
                  </w:divsChild>
                </w:div>
                <w:div w:id="972757852">
                  <w:marLeft w:val="0"/>
                  <w:marRight w:val="0"/>
                  <w:marTop w:val="0"/>
                  <w:marBottom w:val="0"/>
                  <w:divBdr>
                    <w:top w:val="none" w:sz="0" w:space="0" w:color="auto"/>
                    <w:left w:val="none" w:sz="0" w:space="0" w:color="auto"/>
                    <w:bottom w:val="none" w:sz="0" w:space="0" w:color="auto"/>
                    <w:right w:val="none" w:sz="0" w:space="0" w:color="auto"/>
                  </w:divBdr>
                  <w:divsChild>
                    <w:div w:id="14373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028588">
      <w:bodyDiv w:val="1"/>
      <w:marLeft w:val="0"/>
      <w:marRight w:val="0"/>
      <w:marTop w:val="0"/>
      <w:marBottom w:val="0"/>
      <w:divBdr>
        <w:top w:val="none" w:sz="0" w:space="0" w:color="auto"/>
        <w:left w:val="none" w:sz="0" w:space="0" w:color="auto"/>
        <w:bottom w:val="none" w:sz="0" w:space="0" w:color="auto"/>
        <w:right w:val="none" w:sz="0" w:space="0" w:color="auto"/>
      </w:divBdr>
    </w:div>
    <w:div w:id="1855920295">
      <w:bodyDiv w:val="1"/>
      <w:marLeft w:val="0"/>
      <w:marRight w:val="0"/>
      <w:marTop w:val="0"/>
      <w:marBottom w:val="0"/>
      <w:divBdr>
        <w:top w:val="none" w:sz="0" w:space="0" w:color="auto"/>
        <w:left w:val="none" w:sz="0" w:space="0" w:color="auto"/>
        <w:bottom w:val="none" w:sz="0" w:space="0" w:color="auto"/>
        <w:right w:val="none" w:sz="0" w:space="0" w:color="auto"/>
      </w:divBdr>
    </w:div>
    <w:div w:id="1856841910">
      <w:bodyDiv w:val="1"/>
      <w:marLeft w:val="0"/>
      <w:marRight w:val="0"/>
      <w:marTop w:val="0"/>
      <w:marBottom w:val="0"/>
      <w:divBdr>
        <w:top w:val="none" w:sz="0" w:space="0" w:color="auto"/>
        <w:left w:val="none" w:sz="0" w:space="0" w:color="auto"/>
        <w:bottom w:val="none" w:sz="0" w:space="0" w:color="auto"/>
        <w:right w:val="none" w:sz="0" w:space="0" w:color="auto"/>
      </w:divBdr>
    </w:div>
    <w:div w:id="1856918928">
      <w:bodyDiv w:val="1"/>
      <w:marLeft w:val="0"/>
      <w:marRight w:val="0"/>
      <w:marTop w:val="0"/>
      <w:marBottom w:val="0"/>
      <w:divBdr>
        <w:top w:val="none" w:sz="0" w:space="0" w:color="auto"/>
        <w:left w:val="none" w:sz="0" w:space="0" w:color="auto"/>
        <w:bottom w:val="none" w:sz="0" w:space="0" w:color="auto"/>
        <w:right w:val="none" w:sz="0" w:space="0" w:color="auto"/>
      </w:divBdr>
      <w:divsChild>
        <w:div w:id="1556427239">
          <w:marLeft w:val="0"/>
          <w:marRight w:val="0"/>
          <w:marTop w:val="0"/>
          <w:marBottom w:val="0"/>
          <w:divBdr>
            <w:top w:val="none" w:sz="0" w:space="0" w:color="auto"/>
            <w:left w:val="none" w:sz="0" w:space="0" w:color="auto"/>
            <w:bottom w:val="none" w:sz="0" w:space="0" w:color="auto"/>
            <w:right w:val="none" w:sz="0" w:space="0" w:color="auto"/>
          </w:divBdr>
          <w:divsChild>
            <w:div w:id="860514457">
              <w:marLeft w:val="0"/>
              <w:marRight w:val="0"/>
              <w:marTop w:val="0"/>
              <w:marBottom w:val="0"/>
              <w:divBdr>
                <w:top w:val="none" w:sz="0" w:space="0" w:color="auto"/>
                <w:left w:val="none" w:sz="0" w:space="0" w:color="auto"/>
                <w:bottom w:val="none" w:sz="0" w:space="0" w:color="auto"/>
                <w:right w:val="none" w:sz="0" w:space="0" w:color="auto"/>
              </w:divBdr>
              <w:divsChild>
                <w:div w:id="1592202987">
                  <w:marLeft w:val="0"/>
                  <w:marRight w:val="0"/>
                  <w:marTop w:val="0"/>
                  <w:marBottom w:val="0"/>
                  <w:divBdr>
                    <w:top w:val="none" w:sz="0" w:space="0" w:color="auto"/>
                    <w:left w:val="none" w:sz="0" w:space="0" w:color="auto"/>
                    <w:bottom w:val="none" w:sz="0" w:space="0" w:color="auto"/>
                    <w:right w:val="none" w:sz="0" w:space="0" w:color="auto"/>
                  </w:divBdr>
                  <w:divsChild>
                    <w:div w:id="74881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233454">
      <w:bodyDiv w:val="1"/>
      <w:marLeft w:val="0"/>
      <w:marRight w:val="0"/>
      <w:marTop w:val="0"/>
      <w:marBottom w:val="0"/>
      <w:divBdr>
        <w:top w:val="none" w:sz="0" w:space="0" w:color="auto"/>
        <w:left w:val="none" w:sz="0" w:space="0" w:color="auto"/>
        <w:bottom w:val="none" w:sz="0" w:space="0" w:color="auto"/>
        <w:right w:val="none" w:sz="0" w:space="0" w:color="auto"/>
      </w:divBdr>
      <w:divsChild>
        <w:div w:id="2077164774">
          <w:marLeft w:val="0"/>
          <w:marRight w:val="0"/>
          <w:marTop w:val="0"/>
          <w:marBottom w:val="0"/>
          <w:divBdr>
            <w:top w:val="none" w:sz="0" w:space="0" w:color="auto"/>
            <w:left w:val="none" w:sz="0" w:space="0" w:color="auto"/>
            <w:bottom w:val="none" w:sz="0" w:space="0" w:color="auto"/>
            <w:right w:val="none" w:sz="0" w:space="0" w:color="auto"/>
          </w:divBdr>
          <w:divsChild>
            <w:div w:id="1130974503">
              <w:marLeft w:val="0"/>
              <w:marRight w:val="0"/>
              <w:marTop w:val="0"/>
              <w:marBottom w:val="0"/>
              <w:divBdr>
                <w:top w:val="none" w:sz="0" w:space="0" w:color="auto"/>
                <w:left w:val="none" w:sz="0" w:space="0" w:color="auto"/>
                <w:bottom w:val="none" w:sz="0" w:space="0" w:color="auto"/>
                <w:right w:val="none" w:sz="0" w:space="0" w:color="auto"/>
              </w:divBdr>
              <w:divsChild>
                <w:div w:id="921529807">
                  <w:marLeft w:val="0"/>
                  <w:marRight w:val="0"/>
                  <w:marTop w:val="0"/>
                  <w:marBottom w:val="0"/>
                  <w:divBdr>
                    <w:top w:val="none" w:sz="0" w:space="0" w:color="auto"/>
                    <w:left w:val="none" w:sz="0" w:space="0" w:color="auto"/>
                    <w:bottom w:val="none" w:sz="0" w:space="0" w:color="auto"/>
                    <w:right w:val="none" w:sz="0" w:space="0" w:color="auto"/>
                  </w:divBdr>
                  <w:divsChild>
                    <w:div w:id="5575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839304">
      <w:bodyDiv w:val="1"/>
      <w:marLeft w:val="0"/>
      <w:marRight w:val="0"/>
      <w:marTop w:val="0"/>
      <w:marBottom w:val="0"/>
      <w:divBdr>
        <w:top w:val="none" w:sz="0" w:space="0" w:color="auto"/>
        <w:left w:val="none" w:sz="0" w:space="0" w:color="auto"/>
        <w:bottom w:val="none" w:sz="0" w:space="0" w:color="auto"/>
        <w:right w:val="none" w:sz="0" w:space="0" w:color="auto"/>
      </w:divBdr>
    </w:div>
    <w:div w:id="1858960827">
      <w:bodyDiv w:val="1"/>
      <w:marLeft w:val="0"/>
      <w:marRight w:val="0"/>
      <w:marTop w:val="0"/>
      <w:marBottom w:val="0"/>
      <w:divBdr>
        <w:top w:val="none" w:sz="0" w:space="0" w:color="auto"/>
        <w:left w:val="none" w:sz="0" w:space="0" w:color="auto"/>
        <w:bottom w:val="none" w:sz="0" w:space="0" w:color="auto"/>
        <w:right w:val="none" w:sz="0" w:space="0" w:color="auto"/>
      </w:divBdr>
      <w:divsChild>
        <w:div w:id="799618058">
          <w:marLeft w:val="0"/>
          <w:marRight w:val="0"/>
          <w:marTop w:val="0"/>
          <w:marBottom w:val="0"/>
          <w:divBdr>
            <w:top w:val="none" w:sz="0" w:space="0" w:color="auto"/>
            <w:left w:val="none" w:sz="0" w:space="0" w:color="auto"/>
            <w:bottom w:val="none" w:sz="0" w:space="0" w:color="auto"/>
            <w:right w:val="none" w:sz="0" w:space="0" w:color="auto"/>
          </w:divBdr>
          <w:divsChild>
            <w:div w:id="942228973">
              <w:marLeft w:val="0"/>
              <w:marRight w:val="0"/>
              <w:marTop w:val="0"/>
              <w:marBottom w:val="0"/>
              <w:divBdr>
                <w:top w:val="none" w:sz="0" w:space="0" w:color="auto"/>
                <w:left w:val="none" w:sz="0" w:space="0" w:color="auto"/>
                <w:bottom w:val="none" w:sz="0" w:space="0" w:color="auto"/>
                <w:right w:val="none" w:sz="0" w:space="0" w:color="auto"/>
              </w:divBdr>
              <w:divsChild>
                <w:div w:id="1074010539">
                  <w:marLeft w:val="0"/>
                  <w:marRight w:val="0"/>
                  <w:marTop w:val="0"/>
                  <w:marBottom w:val="0"/>
                  <w:divBdr>
                    <w:top w:val="none" w:sz="0" w:space="0" w:color="auto"/>
                    <w:left w:val="none" w:sz="0" w:space="0" w:color="auto"/>
                    <w:bottom w:val="none" w:sz="0" w:space="0" w:color="auto"/>
                    <w:right w:val="none" w:sz="0" w:space="0" w:color="auto"/>
                  </w:divBdr>
                  <w:divsChild>
                    <w:div w:id="7254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116806">
      <w:bodyDiv w:val="1"/>
      <w:marLeft w:val="0"/>
      <w:marRight w:val="0"/>
      <w:marTop w:val="0"/>
      <w:marBottom w:val="0"/>
      <w:divBdr>
        <w:top w:val="none" w:sz="0" w:space="0" w:color="auto"/>
        <w:left w:val="none" w:sz="0" w:space="0" w:color="auto"/>
        <w:bottom w:val="none" w:sz="0" w:space="0" w:color="auto"/>
        <w:right w:val="none" w:sz="0" w:space="0" w:color="auto"/>
      </w:divBdr>
      <w:divsChild>
        <w:div w:id="311058885">
          <w:marLeft w:val="0"/>
          <w:marRight w:val="0"/>
          <w:marTop w:val="0"/>
          <w:marBottom w:val="0"/>
          <w:divBdr>
            <w:top w:val="none" w:sz="0" w:space="0" w:color="auto"/>
            <w:left w:val="none" w:sz="0" w:space="0" w:color="auto"/>
            <w:bottom w:val="none" w:sz="0" w:space="0" w:color="auto"/>
            <w:right w:val="none" w:sz="0" w:space="0" w:color="auto"/>
          </w:divBdr>
          <w:divsChild>
            <w:div w:id="1484615254">
              <w:marLeft w:val="0"/>
              <w:marRight w:val="0"/>
              <w:marTop w:val="0"/>
              <w:marBottom w:val="0"/>
              <w:divBdr>
                <w:top w:val="none" w:sz="0" w:space="0" w:color="auto"/>
                <w:left w:val="none" w:sz="0" w:space="0" w:color="auto"/>
                <w:bottom w:val="none" w:sz="0" w:space="0" w:color="auto"/>
                <w:right w:val="none" w:sz="0" w:space="0" w:color="auto"/>
              </w:divBdr>
              <w:divsChild>
                <w:div w:id="657995335">
                  <w:marLeft w:val="0"/>
                  <w:marRight w:val="0"/>
                  <w:marTop w:val="0"/>
                  <w:marBottom w:val="0"/>
                  <w:divBdr>
                    <w:top w:val="none" w:sz="0" w:space="0" w:color="auto"/>
                    <w:left w:val="none" w:sz="0" w:space="0" w:color="auto"/>
                    <w:bottom w:val="none" w:sz="0" w:space="0" w:color="auto"/>
                    <w:right w:val="none" w:sz="0" w:space="0" w:color="auto"/>
                  </w:divBdr>
                  <w:divsChild>
                    <w:div w:id="108429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849571">
      <w:bodyDiv w:val="1"/>
      <w:marLeft w:val="0"/>
      <w:marRight w:val="0"/>
      <w:marTop w:val="0"/>
      <w:marBottom w:val="0"/>
      <w:divBdr>
        <w:top w:val="none" w:sz="0" w:space="0" w:color="auto"/>
        <w:left w:val="none" w:sz="0" w:space="0" w:color="auto"/>
        <w:bottom w:val="none" w:sz="0" w:space="0" w:color="auto"/>
        <w:right w:val="none" w:sz="0" w:space="0" w:color="auto"/>
      </w:divBdr>
    </w:div>
    <w:div w:id="1860897969">
      <w:bodyDiv w:val="1"/>
      <w:marLeft w:val="0"/>
      <w:marRight w:val="0"/>
      <w:marTop w:val="0"/>
      <w:marBottom w:val="0"/>
      <w:divBdr>
        <w:top w:val="none" w:sz="0" w:space="0" w:color="auto"/>
        <w:left w:val="none" w:sz="0" w:space="0" w:color="auto"/>
        <w:bottom w:val="none" w:sz="0" w:space="0" w:color="auto"/>
        <w:right w:val="none" w:sz="0" w:space="0" w:color="auto"/>
      </w:divBdr>
    </w:div>
    <w:div w:id="1862164929">
      <w:bodyDiv w:val="1"/>
      <w:marLeft w:val="0"/>
      <w:marRight w:val="0"/>
      <w:marTop w:val="0"/>
      <w:marBottom w:val="0"/>
      <w:divBdr>
        <w:top w:val="none" w:sz="0" w:space="0" w:color="auto"/>
        <w:left w:val="none" w:sz="0" w:space="0" w:color="auto"/>
        <w:bottom w:val="none" w:sz="0" w:space="0" w:color="auto"/>
        <w:right w:val="none" w:sz="0" w:space="0" w:color="auto"/>
      </w:divBdr>
    </w:div>
    <w:div w:id="1862932888">
      <w:bodyDiv w:val="1"/>
      <w:marLeft w:val="0"/>
      <w:marRight w:val="0"/>
      <w:marTop w:val="0"/>
      <w:marBottom w:val="0"/>
      <w:divBdr>
        <w:top w:val="none" w:sz="0" w:space="0" w:color="auto"/>
        <w:left w:val="none" w:sz="0" w:space="0" w:color="auto"/>
        <w:bottom w:val="none" w:sz="0" w:space="0" w:color="auto"/>
        <w:right w:val="none" w:sz="0" w:space="0" w:color="auto"/>
      </w:divBdr>
    </w:div>
    <w:div w:id="1863083542">
      <w:bodyDiv w:val="1"/>
      <w:marLeft w:val="0"/>
      <w:marRight w:val="0"/>
      <w:marTop w:val="0"/>
      <w:marBottom w:val="0"/>
      <w:divBdr>
        <w:top w:val="none" w:sz="0" w:space="0" w:color="auto"/>
        <w:left w:val="none" w:sz="0" w:space="0" w:color="auto"/>
        <w:bottom w:val="none" w:sz="0" w:space="0" w:color="auto"/>
        <w:right w:val="none" w:sz="0" w:space="0" w:color="auto"/>
      </w:divBdr>
      <w:divsChild>
        <w:div w:id="1386022311">
          <w:marLeft w:val="0"/>
          <w:marRight w:val="0"/>
          <w:marTop w:val="0"/>
          <w:marBottom w:val="0"/>
          <w:divBdr>
            <w:top w:val="none" w:sz="0" w:space="0" w:color="auto"/>
            <w:left w:val="none" w:sz="0" w:space="0" w:color="auto"/>
            <w:bottom w:val="none" w:sz="0" w:space="0" w:color="auto"/>
            <w:right w:val="none" w:sz="0" w:space="0" w:color="auto"/>
          </w:divBdr>
          <w:divsChild>
            <w:div w:id="884365635">
              <w:marLeft w:val="0"/>
              <w:marRight w:val="0"/>
              <w:marTop w:val="0"/>
              <w:marBottom w:val="0"/>
              <w:divBdr>
                <w:top w:val="none" w:sz="0" w:space="0" w:color="auto"/>
                <w:left w:val="none" w:sz="0" w:space="0" w:color="auto"/>
                <w:bottom w:val="none" w:sz="0" w:space="0" w:color="auto"/>
                <w:right w:val="none" w:sz="0" w:space="0" w:color="auto"/>
              </w:divBdr>
              <w:divsChild>
                <w:div w:id="1791582933">
                  <w:marLeft w:val="0"/>
                  <w:marRight w:val="0"/>
                  <w:marTop w:val="0"/>
                  <w:marBottom w:val="0"/>
                  <w:divBdr>
                    <w:top w:val="none" w:sz="0" w:space="0" w:color="auto"/>
                    <w:left w:val="none" w:sz="0" w:space="0" w:color="auto"/>
                    <w:bottom w:val="none" w:sz="0" w:space="0" w:color="auto"/>
                    <w:right w:val="none" w:sz="0" w:space="0" w:color="auto"/>
                  </w:divBdr>
                </w:div>
              </w:divsChild>
            </w:div>
            <w:div w:id="1095832784">
              <w:marLeft w:val="0"/>
              <w:marRight w:val="0"/>
              <w:marTop w:val="0"/>
              <w:marBottom w:val="0"/>
              <w:divBdr>
                <w:top w:val="none" w:sz="0" w:space="0" w:color="auto"/>
                <w:left w:val="none" w:sz="0" w:space="0" w:color="auto"/>
                <w:bottom w:val="none" w:sz="0" w:space="0" w:color="auto"/>
                <w:right w:val="none" w:sz="0" w:space="0" w:color="auto"/>
              </w:divBdr>
              <w:divsChild>
                <w:div w:id="1872571507">
                  <w:marLeft w:val="0"/>
                  <w:marRight w:val="0"/>
                  <w:marTop w:val="0"/>
                  <w:marBottom w:val="0"/>
                  <w:divBdr>
                    <w:top w:val="none" w:sz="0" w:space="0" w:color="auto"/>
                    <w:left w:val="none" w:sz="0" w:space="0" w:color="auto"/>
                    <w:bottom w:val="none" w:sz="0" w:space="0" w:color="auto"/>
                    <w:right w:val="none" w:sz="0" w:space="0" w:color="auto"/>
                  </w:divBdr>
                </w:div>
              </w:divsChild>
            </w:div>
            <w:div w:id="2058432739">
              <w:marLeft w:val="0"/>
              <w:marRight w:val="0"/>
              <w:marTop w:val="0"/>
              <w:marBottom w:val="0"/>
              <w:divBdr>
                <w:top w:val="none" w:sz="0" w:space="0" w:color="auto"/>
                <w:left w:val="none" w:sz="0" w:space="0" w:color="auto"/>
                <w:bottom w:val="none" w:sz="0" w:space="0" w:color="auto"/>
                <w:right w:val="none" w:sz="0" w:space="0" w:color="auto"/>
              </w:divBdr>
              <w:divsChild>
                <w:div w:id="1254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32329">
      <w:bodyDiv w:val="1"/>
      <w:marLeft w:val="0"/>
      <w:marRight w:val="0"/>
      <w:marTop w:val="0"/>
      <w:marBottom w:val="0"/>
      <w:divBdr>
        <w:top w:val="none" w:sz="0" w:space="0" w:color="auto"/>
        <w:left w:val="none" w:sz="0" w:space="0" w:color="auto"/>
        <w:bottom w:val="none" w:sz="0" w:space="0" w:color="auto"/>
        <w:right w:val="none" w:sz="0" w:space="0" w:color="auto"/>
      </w:divBdr>
      <w:divsChild>
        <w:div w:id="1004014559">
          <w:marLeft w:val="0"/>
          <w:marRight w:val="0"/>
          <w:marTop w:val="0"/>
          <w:marBottom w:val="0"/>
          <w:divBdr>
            <w:top w:val="none" w:sz="0" w:space="0" w:color="auto"/>
            <w:left w:val="none" w:sz="0" w:space="0" w:color="auto"/>
            <w:bottom w:val="none" w:sz="0" w:space="0" w:color="auto"/>
            <w:right w:val="none" w:sz="0" w:space="0" w:color="auto"/>
          </w:divBdr>
          <w:divsChild>
            <w:div w:id="150439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435160">
      <w:bodyDiv w:val="1"/>
      <w:marLeft w:val="0"/>
      <w:marRight w:val="0"/>
      <w:marTop w:val="0"/>
      <w:marBottom w:val="0"/>
      <w:divBdr>
        <w:top w:val="none" w:sz="0" w:space="0" w:color="auto"/>
        <w:left w:val="none" w:sz="0" w:space="0" w:color="auto"/>
        <w:bottom w:val="none" w:sz="0" w:space="0" w:color="auto"/>
        <w:right w:val="none" w:sz="0" w:space="0" w:color="auto"/>
      </w:divBdr>
    </w:div>
    <w:div w:id="1864973306">
      <w:bodyDiv w:val="1"/>
      <w:marLeft w:val="0"/>
      <w:marRight w:val="0"/>
      <w:marTop w:val="0"/>
      <w:marBottom w:val="0"/>
      <w:divBdr>
        <w:top w:val="none" w:sz="0" w:space="0" w:color="auto"/>
        <w:left w:val="none" w:sz="0" w:space="0" w:color="auto"/>
        <w:bottom w:val="none" w:sz="0" w:space="0" w:color="auto"/>
        <w:right w:val="none" w:sz="0" w:space="0" w:color="auto"/>
      </w:divBdr>
    </w:div>
    <w:div w:id="1865051373">
      <w:bodyDiv w:val="1"/>
      <w:marLeft w:val="0"/>
      <w:marRight w:val="0"/>
      <w:marTop w:val="0"/>
      <w:marBottom w:val="0"/>
      <w:divBdr>
        <w:top w:val="none" w:sz="0" w:space="0" w:color="auto"/>
        <w:left w:val="none" w:sz="0" w:space="0" w:color="auto"/>
        <w:bottom w:val="none" w:sz="0" w:space="0" w:color="auto"/>
        <w:right w:val="none" w:sz="0" w:space="0" w:color="auto"/>
      </w:divBdr>
    </w:div>
    <w:div w:id="1865240560">
      <w:bodyDiv w:val="1"/>
      <w:marLeft w:val="0"/>
      <w:marRight w:val="0"/>
      <w:marTop w:val="0"/>
      <w:marBottom w:val="0"/>
      <w:divBdr>
        <w:top w:val="none" w:sz="0" w:space="0" w:color="auto"/>
        <w:left w:val="none" w:sz="0" w:space="0" w:color="auto"/>
        <w:bottom w:val="none" w:sz="0" w:space="0" w:color="auto"/>
        <w:right w:val="none" w:sz="0" w:space="0" w:color="auto"/>
      </w:divBdr>
    </w:div>
    <w:div w:id="1865512348">
      <w:bodyDiv w:val="1"/>
      <w:marLeft w:val="0"/>
      <w:marRight w:val="0"/>
      <w:marTop w:val="0"/>
      <w:marBottom w:val="0"/>
      <w:divBdr>
        <w:top w:val="none" w:sz="0" w:space="0" w:color="auto"/>
        <w:left w:val="none" w:sz="0" w:space="0" w:color="auto"/>
        <w:bottom w:val="none" w:sz="0" w:space="0" w:color="auto"/>
        <w:right w:val="none" w:sz="0" w:space="0" w:color="auto"/>
      </w:divBdr>
      <w:divsChild>
        <w:div w:id="1130784705">
          <w:marLeft w:val="0"/>
          <w:marRight w:val="0"/>
          <w:marTop w:val="0"/>
          <w:marBottom w:val="0"/>
          <w:divBdr>
            <w:top w:val="none" w:sz="0" w:space="0" w:color="auto"/>
            <w:left w:val="none" w:sz="0" w:space="0" w:color="auto"/>
            <w:bottom w:val="none" w:sz="0" w:space="0" w:color="auto"/>
            <w:right w:val="none" w:sz="0" w:space="0" w:color="auto"/>
          </w:divBdr>
          <w:divsChild>
            <w:div w:id="441339207">
              <w:marLeft w:val="0"/>
              <w:marRight w:val="0"/>
              <w:marTop w:val="0"/>
              <w:marBottom w:val="0"/>
              <w:divBdr>
                <w:top w:val="none" w:sz="0" w:space="0" w:color="auto"/>
                <w:left w:val="none" w:sz="0" w:space="0" w:color="auto"/>
                <w:bottom w:val="none" w:sz="0" w:space="0" w:color="auto"/>
                <w:right w:val="none" w:sz="0" w:space="0" w:color="auto"/>
              </w:divBdr>
              <w:divsChild>
                <w:div w:id="2026439027">
                  <w:marLeft w:val="0"/>
                  <w:marRight w:val="0"/>
                  <w:marTop w:val="0"/>
                  <w:marBottom w:val="0"/>
                  <w:divBdr>
                    <w:top w:val="none" w:sz="0" w:space="0" w:color="auto"/>
                    <w:left w:val="none" w:sz="0" w:space="0" w:color="auto"/>
                    <w:bottom w:val="none" w:sz="0" w:space="0" w:color="auto"/>
                    <w:right w:val="none" w:sz="0" w:space="0" w:color="auto"/>
                  </w:divBdr>
                  <w:divsChild>
                    <w:div w:id="8350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554348">
      <w:bodyDiv w:val="1"/>
      <w:marLeft w:val="0"/>
      <w:marRight w:val="0"/>
      <w:marTop w:val="0"/>
      <w:marBottom w:val="0"/>
      <w:divBdr>
        <w:top w:val="none" w:sz="0" w:space="0" w:color="auto"/>
        <w:left w:val="none" w:sz="0" w:space="0" w:color="auto"/>
        <w:bottom w:val="none" w:sz="0" w:space="0" w:color="auto"/>
        <w:right w:val="none" w:sz="0" w:space="0" w:color="auto"/>
      </w:divBdr>
    </w:div>
    <w:div w:id="1866408002">
      <w:bodyDiv w:val="1"/>
      <w:marLeft w:val="0"/>
      <w:marRight w:val="0"/>
      <w:marTop w:val="0"/>
      <w:marBottom w:val="0"/>
      <w:divBdr>
        <w:top w:val="none" w:sz="0" w:space="0" w:color="auto"/>
        <w:left w:val="none" w:sz="0" w:space="0" w:color="auto"/>
        <w:bottom w:val="none" w:sz="0" w:space="0" w:color="auto"/>
        <w:right w:val="none" w:sz="0" w:space="0" w:color="auto"/>
      </w:divBdr>
    </w:div>
    <w:div w:id="1866865660">
      <w:bodyDiv w:val="1"/>
      <w:marLeft w:val="0"/>
      <w:marRight w:val="0"/>
      <w:marTop w:val="0"/>
      <w:marBottom w:val="0"/>
      <w:divBdr>
        <w:top w:val="none" w:sz="0" w:space="0" w:color="auto"/>
        <w:left w:val="none" w:sz="0" w:space="0" w:color="auto"/>
        <w:bottom w:val="none" w:sz="0" w:space="0" w:color="auto"/>
        <w:right w:val="none" w:sz="0" w:space="0" w:color="auto"/>
      </w:divBdr>
    </w:div>
    <w:div w:id="1867064703">
      <w:bodyDiv w:val="1"/>
      <w:marLeft w:val="0"/>
      <w:marRight w:val="0"/>
      <w:marTop w:val="0"/>
      <w:marBottom w:val="0"/>
      <w:divBdr>
        <w:top w:val="none" w:sz="0" w:space="0" w:color="auto"/>
        <w:left w:val="none" w:sz="0" w:space="0" w:color="auto"/>
        <w:bottom w:val="none" w:sz="0" w:space="0" w:color="auto"/>
        <w:right w:val="none" w:sz="0" w:space="0" w:color="auto"/>
      </w:divBdr>
    </w:div>
    <w:div w:id="1867673449">
      <w:bodyDiv w:val="1"/>
      <w:marLeft w:val="0"/>
      <w:marRight w:val="0"/>
      <w:marTop w:val="0"/>
      <w:marBottom w:val="0"/>
      <w:divBdr>
        <w:top w:val="none" w:sz="0" w:space="0" w:color="auto"/>
        <w:left w:val="none" w:sz="0" w:space="0" w:color="auto"/>
        <w:bottom w:val="none" w:sz="0" w:space="0" w:color="auto"/>
        <w:right w:val="none" w:sz="0" w:space="0" w:color="auto"/>
      </w:divBdr>
    </w:div>
    <w:div w:id="1867711163">
      <w:bodyDiv w:val="1"/>
      <w:marLeft w:val="0"/>
      <w:marRight w:val="0"/>
      <w:marTop w:val="0"/>
      <w:marBottom w:val="0"/>
      <w:divBdr>
        <w:top w:val="none" w:sz="0" w:space="0" w:color="auto"/>
        <w:left w:val="none" w:sz="0" w:space="0" w:color="auto"/>
        <w:bottom w:val="none" w:sz="0" w:space="0" w:color="auto"/>
        <w:right w:val="none" w:sz="0" w:space="0" w:color="auto"/>
      </w:divBdr>
      <w:divsChild>
        <w:div w:id="1676375425">
          <w:marLeft w:val="0"/>
          <w:marRight w:val="0"/>
          <w:marTop w:val="0"/>
          <w:marBottom w:val="0"/>
          <w:divBdr>
            <w:top w:val="none" w:sz="0" w:space="0" w:color="auto"/>
            <w:left w:val="none" w:sz="0" w:space="0" w:color="auto"/>
            <w:bottom w:val="none" w:sz="0" w:space="0" w:color="auto"/>
            <w:right w:val="none" w:sz="0" w:space="0" w:color="auto"/>
          </w:divBdr>
          <w:divsChild>
            <w:div w:id="978271098">
              <w:marLeft w:val="0"/>
              <w:marRight w:val="0"/>
              <w:marTop w:val="0"/>
              <w:marBottom w:val="0"/>
              <w:divBdr>
                <w:top w:val="none" w:sz="0" w:space="0" w:color="auto"/>
                <w:left w:val="none" w:sz="0" w:space="0" w:color="auto"/>
                <w:bottom w:val="none" w:sz="0" w:space="0" w:color="auto"/>
                <w:right w:val="none" w:sz="0" w:space="0" w:color="auto"/>
              </w:divBdr>
              <w:divsChild>
                <w:div w:id="8488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718019">
      <w:bodyDiv w:val="1"/>
      <w:marLeft w:val="0"/>
      <w:marRight w:val="0"/>
      <w:marTop w:val="0"/>
      <w:marBottom w:val="0"/>
      <w:divBdr>
        <w:top w:val="none" w:sz="0" w:space="0" w:color="auto"/>
        <w:left w:val="none" w:sz="0" w:space="0" w:color="auto"/>
        <w:bottom w:val="none" w:sz="0" w:space="0" w:color="auto"/>
        <w:right w:val="none" w:sz="0" w:space="0" w:color="auto"/>
      </w:divBdr>
    </w:div>
    <w:div w:id="1868639166">
      <w:bodyDiv w:val="1"/>
      <w:marLeft w:val="0"/>
      <w:marRight w:val="0"/>
      <w:marTop w:val="0"/>
      <w:marBottom w:val="0"/>
      <w:divBdr>
        <w:top w:val="none" w:sz="0" w:space="0" w:color="auto"/>
        <w:left w:val="none" w:sz="0" w:space="0" w:color="auto"/>
        <w:bottom w:val="none" w:sz="0" w:space="0" w:color="auto"/>
        <w:right w:val="none" w:sz="0" w:space="0" w:color="auto"/>
      </w:divBdr>
    </w:div>
    <w:div w:id="1868714418">
      <w:bodyDiv w:val="1"/>
      <w:marLeft w:val="0"/>
      <w:marRight w:val="0"/>
      <w:marTop w:val="0"/>
      <w:marBottom w:val="0"/>
      <w:divBdr>
        <w:top w:val="none" w:sz="0" w:space="0" w:color="auto"/>
        <w:left w:val="none" w:sz="0" w:space="0" w:color="auto"/>
        <w:bottom w:val="none" w:sz="0" w:space="0" w:color="auto"/>
        <w:right w:val="none" w:sz="0" w:space="0" w:color="auto"/>
      </w:divBdr>
    </w:div>
    <w:div w:id="1868906802">
      <w:bodyDiv w:val="1"/>
      <w:marLeft w:val="0"/>
      <w:marRight w:val="0"/>
      <w:marTop w:val="0"/>
      <w:marBottom w:val="0"/>
      <w:divBdr>
        <w:top w:val="none" w:sz="0" w:space="0" w:color="auto"/>
        <w:left w:val="none" w:sz="0" w:space="0" w:color="auto"/>
        <w:bottom w:val="none" w:sz="0" w:space="0" w:color="auto"/>
        <w:right w:val="none" w:sz="0" w:space="0" w:color="auto"/>
      </w:divBdr>
    </w:div>
    <w:div w:id="1869028577">
      <w:bodyDiv w:val="1"/>
      <w:marLeft w:val="0"/>
      <w:marRight w:val="0"/>
      <w:marTop w:val="0"/>
      <w:marBottom w:val="0"/>
      <w:divBdr>
        <w:top w:val="none" w:sz="0" w:space="0" w:color="auto"/>
        <w:left w:val="none" w:sz="0" w:space="0" w:color="auto"/>
        <w:bottom w:val="none" w:sz="0" w:space="0" w:color="auto"/>
        <w:right w:val="none" w:sz="0" w:space="0" w:color="auto"/>
      </w:divBdr>
      <w:divsChild>
        <w:div w:id="585386889">
          <w:marLeft w:val="0"/>
          <w:marRight w:val="0"/>
          <w:marTop w:val="0"/>
          <w:marBottom w:val="0"/>
          <w:divBdr>
            <w:top w:val="none" w:sz="0" w:space="0" w:color="auto"/>
            <w:left w:val="none" w:sz="0" w:space="0" w:color="auto"/>
            <w:bottom w:val="none" w:sz="0" w:space="0" w:color="auto"/>
            <w:right w:val="none" w:sz="0" w:space="0" w:color="auto"/>
          </w:divBdr>
          <w:divsChild>
            <w:div w:id="838428513">
              <w:marLeft w:val="0"/>
              <w:marRight w:val="0"/>
              <w:marTop w:val="0"/>
              <w:marBottom w:val="0"/>
              <w:divBdr>
                <w:top w:val="none" w:sz="0" w:space="0" w:color="auto"/>
                <w:left w:val="none" w:sz="0" w:space="0" w:color="auto"/>
                <w:bottom w:val="none" w:sz="0" w:space="0" w:color="auto"/>
                <w:right w:val="none" w:sz="0" w:space="0" w:color="auto"/>
              </w:divBdr>
              <w:divsChild>
                <w:div w:id="7483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00489">
      <w:bodyDiv w:val="1"/>
      <w:marLeft w:val="0"/>
      <w:marRight w:val="0"/>
      <w:marTop w:val="0"/>
      <w:marBottom w:val="0"/>
      <w:divBdr>
        <w:top w:val="none" w:sz="0" w:space="0" w:color="auto"/>
        <w:left w:val="none" w:sz="0" w:space="0" w:color="auto"/>
        <w:bottom w:val="none" w:sz="0" w:space="0" w:color="auto"/>
        <w:right w:val="none" w:sz="0" w:space="0" w:color="auto"/>
      </w:divBdr>
      <w:divsChild>
        <w:div w:id="433987225">
          <w:marLeft w:val="0"/>
          <w:marRight w:val="0"/>
          <w:marTop w:val="0"/>
          <w:marBottom w:val="0"/>
          <w:divBdr>
            <w:top w:val="none" w:sz="0" w:space="0" w:color="auto"/>
            <w:left w:val="none" w:sz="0" w:space="0" w:color="auto"/>
            <w:bottom w:val="none" w:sz="0" w:space="0" w:color="auto"/>
            <w:right w:val="none" w:sz="0" w:space="0" w:color="auto"/>
          </w:divBdr>
          <w:divsChild>
            <w:div w:id="3633247">
              <w:marLeft w:val="0"/>
              <w:marRight w:val="0"/>
              <w:marTop w:val="0"/>
              <w:marBottom w:val="0"/>
              <w:divBdr>
                <w:top w:val="none" w:sz="0" w:space="0" w:color="auto"/>
                <w:left w:val="none" w:sz="0" w:space="0" w:color="auto"/>
                <w:bottom w:val="none" w:sz="0" w:space="0" w:color="auto"/>
                <w:right w:val="none" w:sz="0" w:space="0" w:color="auto"/>
              </w:divBdr>
              <w:divsChild>
                <w:div w:id="200829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0591">
      <w:bodyDiv w:val="1"/>
      <w:marLeft w:val="0"/>
      <w:marRight w:val="0"/>
      <w:marTop w:val="0"/>
      <w:marBottom w:val="0"/>
      <w:divBdr>
        <w:top w:val="none" w:sz="0" w:space="0" w:color="auto"/>
        <w:left w:val="none" w:sz="0" w:space="0" w:color="auto"/>
        <w:bottom w:val="none" w:sz="0" w:space="0" w:color="auto"/>
        <w:right w:val="none" w:sz="0" w:space="0" w:color="auto"/>
      </w:divBdr>
    </w:div>
    <w:div w:id="1870097322">
      <w:bodyDiv w:val="1"/>
      <w:marLeft w:val="0"/>
      <w:marRight w:val="0"/>
      <w:marTop w:val="0"/>
      <w:marBottom w:val="0"/>
      <w:divBdr>
        <w:top w:val="none" w:sz="0" w:space="0" w:color="auto"/>
        <w:left w:val="none" w:sz="0" w:space="0" w:color="auto"/>
        <w:bottom w:val="none" w:sz="0" w:space="0" w:color="auto"/>
        <w:right w:val="none" w:sz="0" w:space="0" w:color="auto"/>
      </w:divBdr>
    </w:div>
    <w:div w:id="1870139407">
      <w:bodyDiv w:val="1"/>
      <w:marLeft w:val="0"/>
      <w:marRight w:val="0"/>
      <w:marTop w:val="0"/>
      <w:marBottom w:val="0"/>
      <w:divBdr>
        <w:top w:val="none" w:sz="0" w:space="0" w:color="auto"/>
        <w:left w:val="none" w:sz="0" w:space="0" w:color="auto"/>
        <w:bottom w:val="none" w:sz="0" w:space="0" w:color="auto"/>
        <w:right w:val="none" w:sz="0" w:space="0" w:color="auto"/>
      </w:divBdr>
      <w:divsChild>
        <w:div w:id="846214688">
          <w:marLeft w:val="0"/>
          <w:marRight w:val="0"/>
          <w:marTop w:val="0"/>
          <w:marBottom w:val="0"/>
          <w:divBdr>
            <w:top w:val="none" w:sz="0" w:space="0" w:color="auto"/>
            <w:left w:val="none" w:sz="0" w:space="0" w:color="auto"/>
            <w:bottom w:val="none" w:sz="0" w:space="0" w:color="auto"/>
            <w:right w:val="none" w:sz="0" w:space="0" w:color="auto"/>
          </w:divBdr>
          <w:divsChild>
            <w:div w:id="1872063327">
              <w:marLeft w:val="0"/>
              <w:marRight w:val="0"/>
              <w:marTop w:val="0"/>
              <w:marBottom w:val="0"/>
              <w:divBdr>
                <w:top w:val="none" w:sz="0" w:space="0" w:color="auto"/>
                <w:left w:val="none" w:sz="0" w:space="0" w:color="auto"/>
                <w:bottom w:val="none" w:sz="0" w:space="0" w:color="auto"/>
                <w:right w:val="none" w:sz="0" w:space="0" w:color="auto"/>
              </w:divBdr>
              <w:divsChild>
                <w:div w:id="898515148">
                  <w:marLeft w:val="0"/>
                  <w:marRight w:val="0"/>
                  <w:marTop w:val="0"/>
                  <w:marBottom w:val="0"/>
                  <w:divBdr>
                    <w:top w:val="none" w:sz="0" w:space="0" w:color="auto"/>
                    <w:left w:val="none" w:sz="0" w:space="0" w:color="auto"/>
                    <w:bottom w:val="none" w:sz="0" w:space="0" w:color="auto"/>
                    <w:right w:val="none" w:sz="0" w:space="0" w:color="auto"/>
                  </w:divBdr>
                  <w:divsChild>
                    <w:div w:id="76862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064092">
      <w:bodyDiv w:val="1"/>
      <w:marLeft w:val="0"/>
      <w:marRight w:val="0"/>
      <w:marTop w:val="0"/>
      <w:marBottom w:val="0"/>
      <w:divBdr>
        <w:top w:val="none" w:sz="0" w:space="0" w:color="auto"/>
        <w:left w:val="none" w:sz="0" w:space="0" w:color="auto"/>
        <w:bottom w:val="none" w:sz="0" w:space="0" w:color="auto"/>
        <w:right w:val="none" w:sz="0" w:space="0" w:color="auto"/>
      </w:divBdr>
    </w:div>
    <w:div w:id="1871913857">
      <w:bodyDiv w:val="1"/>
      <w:marLeft w:val="0"/>
      <w:marRight w:val="0"/>
      <w:marTop w:val="0"/>
      <w:marBottom w:val="0"/>
      <w:divBdr>
        <w:top w:val="none" w:sz="0" w:space="0" w:color="auto"/>
        <w:left w:val="none" w:sz="0" w:space="0" w:color="auto"/>
        <w:bottom w:val="none" w:sz="0" w:space="0" w:color="auto"/>
        <w:right w:val="none" w:sz="0" w:space="0" w:color="auto"/>
      </w:divBdr>
      <w:divsChild>
        <w:div w:id="1426267424">
          <w:marLeft w:val="0"/>
          <w:marRight w:val="0"/>
          <w:marTop w:val="0"/>
          <w:marBottom w:val="0"/>
          <w:divBdr>
            <w:top w:val="none" w:sz="0" w:space="0" w:color="auto"/>
            <w:left w:val="none" w:sz="0" w:space="0" w:color="auto"/>
            <w:bottom w:val="none" w:sz="0" w:space="0" w:color="auto"/>
            <w:right w:val="none" w:sz="0" w:space="0" w:color="auto"/>
          </w:divBdr>
          <w:divsChild>
            <w:div w:id="554856111">
              <w:marLeft w:val="0"/>
              <w:marRight w:val="0"/>
              <w:marTop w:val="0"/>
              <w:marBottom w:val="0"/>
              <w:divBdr>
                <w:top w:val="none" w:sz="0" w:space="0" w:color="auto"/>
                <w:left w:val="none" w:sz="0" w:space="0" w:color="auto"/>
                <w:bottom w:val="none" w:sz="0" w:space="0" w:color="auto"/>
                <w:right w:val="none" w:sz="0" w:space="0" w:color="auto"/>
              </w:divBdr>
              <w:divsChild>
                <w:div w:id="1397505723">
                  <w:marLeft w:val="0"/>
                  <w:marRight w:val="0"/>
                  <w:marTop w:val="0"/>
                  <w:marBottom w:val="0"/>
                  <w:divBdr>
                    <w:top w:val="none" w:sz="0" w:space="0" w:color="auto"/>
                    <w:left w:val="none" w:sz="0" w:space="0" w:color="auto"/>
                    <w:bottom w:val="none" w:sz="0" w:space="0" w:color="auto"/>
                    <w:right w:val="none" w:sz="0" w:space="0" w:color="auto"/>
                  </w:divBdr>
                  <w:divsChild>
                    <w:div w:id="9886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258501">
      <w:bodyDiv w:val="1"/>
      <w:marLeft w:val="0"/>
      <w:marRight w:val="0"/>
      <w:marTop w:val="0"/>
      <w:marBottom w:val="0"/>
      <w:divBdr>
        <w:top w:val="none" w:sz="0" w:space="0" w:color="auto"/>
        <w:left w:val="none" w:sz="0" w:space="0" w:color="auto"/>
        <w:bottom w:val="none" w:sz="0" w:space="0" w:color="auto"/>
        <w:right w:val="none" w:sz="0" w:space="0" w:color="auto"/>
      </w:divBdr>
    </w:div>
    <w:div w:id="1872719639">
      <w:bodyDiv w:val="1"/>
      <w:marLeft w:val="0"/>
      <w:marRight w:val="0"/>
      <w:marTop w:val="0"/>
      <w:marBottom w:val="0"/>
      <w:divBdr>
        <w:top w:val="none" w:sz="0" w:space="0" w:color="auto"/>
        <w:left w:val="none" w:sz="0" w:space="0" w:color="auto"/>
        <w:bottom w:val="none" w:sz="0" w:space="0" w:color="auto"/>
        <w:right w:val="none" w:sz="0" w:space="0" w:color="auto"/>
      </w:divBdr>
    </w:div>
    <w:div w:id="1872720867">
      <w:bodyDiv w:val="1"/>
      <w:marLeft w:val="0"/>
      <w:marRight w:val="0"/>
      <w:marTop w:val="0"/>
      <w:marBottom w:val="0"/>
      <w:divBdr>
        <w:top w:val="none" w:sz="0" w:space="0" w:color="auto"/>
        <w:left w:val="none" w:sz="0" w:space="0" w:color="auto"/>
        <w:bottom w:val="none" w:sz="0" w:space="0" w:color="auto"/>
        <w:right w:val="none" w:sz="0" w:space="0" w:color="auto"/>
      </w:divBdr>
    </w:div>
    <w:div w:id="1872917188">
      <w:bodyDiv w:val="1"/>
      <w:marLeft w:val="0"/>
      <w:marRight w:val="0"/>
      <w:marTop w:val="0"/>
      <w:marBottom w:val="0"/>
      <w:divBdr>
        <w:top w:val="none" w:sz="0" w:space="0" w:color="auto"/>
        <w:left w:val="none" w:sz="0" w:space="0" w:color="auto"/>
        <w:bottom w:val="none" w:sz="0" w:space="0" w:color="auto"/>
        <w:right w:val="none" w:sz="0" w:space="0" w:color="auto"/>
      </w:divBdr>
    </w:div>
    <w:div w:id="1873227360">
      <w:bodyDiv w:val="1"/>
      <w:marLeft w:val="0"/>
      <w:marRight w:val="0"/>
      <w:marTop w:val="0"/>
      <w:marBottom w:val="0"/>
      <w:divBdr>
        <w:top w:val="none" w:sz="0" w:space="0" w:color="auto"/>
        <w:left w:val="none" w:sz="0" w:space="0" w:color="auto"/>
        <w:bottom w:val="none" w:sz="0" w:space="0" w:color="auto"/>
        <w:right w:val="none" w:sz="0" w:space="0" w:color="auto"/>
      </w:divBdr>
    </w:div>
    <w:div w:id="1874032414">
      <w:bodyDiv w:val="1"/>
      <w:marLeft w:val="0"/>
      <w:marRight w:val="0"/>
      <w:marTop w:val="0"/>
      <w:marBottom w:val="0"/>
      <w:divBdr>
        <w:top w:val="none" w:sz="0" w:space="0" w:color="auto"/>
        <w:left w:val="none" w:sz="0" w:space="0" w:color="auto"/>
        <w:bottom w:val="none" w:sz="0" w:space="0" w:color="auto"/>
        <w:right w:val="none" w:sz="0" w:space="0" w:color="auto"/>
      </w:divBdr>
    </w:div>
    <w:div w:id="1874228480">
      <w:bodyDiv w:val="1"/>
      <w:marLeft w:val="0"/>
      <w:marRight w:val="0"/>
      <w:marTop w:val="0"/>
      <w:marBottom w:val="0"/>
      <w:divBdr>
        <w:top w:val="none" w:sz="0" w:space="0" w:color="auto"/>
        <w:left w:val="none" w:sz="0" w:space="0" w:color="auto"/>
        <w:bottom w:val="none" w:sz="0" w:space="0" w:color="auto"/>
        <w:right w:val="none" w:sz="0" w:space="0" w:color="auto"/>
      </w:divBdr>
    </w:div>
    <w:div w:id="1874417378">
      <w:bodyDiv w:val="1"/>
      <w:marLeft w:val="0"/>
      <w:marRight w:val="0"/>
      <w:marTop w:val="0"/>
      <w:marBottom w:val="0"/>
      <w:divBdr>
        <w:top w:val="none" w:sz="0" w:space="0" w:color="auto"/>
        <w:left w:val="none" w:sz="0" w:space="0" w:color="auto"/>
        <w:bottom w:val="none" w:sz="0" w:space="0" w:color="auto"/>
        <w:right w:val="none" w:sz="0" w:space="0" w:color="auto"/>
      </w:divBdr>
    </w:div>
    <w:div w:id="1874611012">
      <w:bodyDiv w:val="1"/>
      <w:marLeft w:val="0"/>
      <w:marRight w:val="0"/>
      <w:marTop w:val="0"/>
      <w:marBottom w:val="0"/>
      <w:divBdr>
        <w:top w:val="none" w:sz="0" w:space="0" w:color="auto"/>
        <w:left w:val="none" w:sz="0" w:space="0" w:color="auto"/>
        <w:bottom w:val="none" w:sz="0" w:space="0" w:color="auto"/>
        <w:right w:val="none" w:sz="0" w:space="0" w:color="auto"/>
      </w:divBdr>
      <w:divsChild>
        <w:div w:id="2052416809">
          <w:marLeft w:val="0"/>
          <w:marRight w:val="0"/>
          <w:marTop w:val="0"/>
          <w:marBottom w:val="0"/>
          <w:divBdr>
            <w:top w:val="none" w:sz="0" w:space="0" w:color="auto"/>
            <w:left w:val="none" w:sz="0" w:space="0" w:color="auto"/>
            <w:bottom w:val="none" w:sz="0" w:space="0" w:color="auto"/>
            <w:right w:val="none" w:sz="0" w:space="0" w:color="auto"/>
          </w:divBdr>
          <w:divsChild>
            <w:div w:id="1389112583">
              <w:marLeft w:val="0"/>
              <w:marRight w:val="0"/>
              <w:marTop w:val="0"/>
              <w:marBottom w:val="0"/>
              <w:divBdr>
                <w:top w:val="none" w:sz="0" w:space="0" w:color="auto"/>
                <w:left w:val="none" w:sz="0" w:space="0" w:color="auto"/>
                <w:bottom w:val="none" w:sz="0" w:space="0" w:color="auto"/>
                <w:right w:val="none" w:sz="0" w:space="0" w:color="auto"/>
              </w:divBdr>
              <w:divsChild>
                <w:div w:id="466557122">
                  <w:marLeft w:val="0"/>
                  <w:marRight w:val="0"/>
                  <w:marTop w:val="0"/>
                  <w:marBottom w:val="0"/>
                  <w:divBdr>
                    <w:top w:val="none" w:sz="0" w:space="0" w:color="auto"/>
                    <w:left w:val="none" w:sz="0" w:space="0" w:color="auto"/>
                    <w:bottom w:val="none" w:sz="0" w:space="0" w:color="auto"/>
                    <w:right w:val="none" w:sz="0" w:space="0" w:color="auto"/>
                  </w:divBdr>
                  <w:divsChild>
                    <w:div w:id="15918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074360">
      <w:bodyDiv w:val="1"/>
      <w:marLeft w:val="0"/>
      <w:marRight w:val="0"/>
      <w:marTop w:val="0"/>
      <w:marBottom w:val="0"/>
      <w:divBdr>
        <w:top w:val="none" w:sz="0" w:space="0" w:color="auto"/>
        <w:left w:val="none" w:sz="0" w:space="0" w:color="auto"/>
        <w:bottom w:val="none" w:sz="0" w:space="0" w:color="auto"/>
        <w:right w:val="none" w:sz="0" w:space="0" w:color="auto"/>
      </w:divBdr>
    </w:div>
    <w:div w:id="1875263290">
      <w:bodyDiv w:val="1"/>
      <w:marLeft w:val="0"/>
      <w:marRight w:val="0"/>
      <w:marTop w:val="0"/>
      <w:marBottom w:val="0"/>
      <w:divBdr>
        <w:top w:val="none" w:sz="0" w:space="0" w:color="auto"/>
        <w:left w:val="none" w:sz="0" w:space="0" w:color="auto"/>
        <w:bottom w:val="none" w:sz="0" w:space="0" w:color="auto"/>
        <w:right w:val="none" w:sz="0" w:space="0" w:color="auto"/>
      </w:divBdr>
      <w:divsChild>
        <w:div w:id="428503267">
          <w:marLeft w:val="0"/>
          <w:marRight w:val="0"/>
          <w:marTop w:val="0"/>
          <w:marBottom w:val="0"/>
          <w:divBdr>
            <w:top w:val="none" w:sz="0" w:space="0" w:color="auto"/>
            <w:left w:val="none" w:sz="0" w:space="0" w:color="auto"/>
            <w:bottom w:val="none" w:sz="0" w:space="0" w:color="auto"/>
            <w:right w:val="none" w:sz="0" w:space="0" w:color="auto"/>
          </w:divBdr>
          <w:divsChild>
            <w:div w:id="488058988">
              <w:marLeft w:val="0"/>
              <w:marRight w:val="0"/>
              <w:marTop w:val="0"/>
              <w:marBottom w:val="0"/>
              <w:divBdr>
                <w:top w:val="none" w:sz="0" w:space="0" w:color="auto"/>
                <w:left w:val="none" w:sz="0" w:space="0" w:color="auto"/>
                <w:bottom w:val="none" w:sz="0" w:space="0" w:color="auto"/>
                <w:right w:val="none" w:sz="0" w:space="0" w:color="auto"/>
              </w:divBdr>
              <w:divsChild>
                <w:div w:id="1010524818">
                  <w:marLeft w:val="0"/>
                  <w:marRight w:val="0"/>
                  <w:marTop w:val="0"/>
                  <w:marBottom w:val="0"/>
                  <w:divBdr>
                    <w:top w:val="none" w:sz="0" w:space="0" w:color="auto"/>
                    <w:left w:val="none" w:sz="0" w:space="0" w:color="auto"/>
                    <w:bottom w:val="none" w:sz="0" w:space="0" w:color="auto"/>
                    <w:right w:val="none" w:sz="0" w:space="0" w:color="auto"/>
                  </w:divBdr>
                </w:div>
              </w:divsChild>
            </w:div>
            <w:div w:id="834493690">
              <w:marLeft w:val="0"/>
              <w:marRight w:val="0"/>
              <w:marTop w:val="0"/>
              <w:marBottom w:val="0"/>
              <w:divBdr>
                <w:top w:val="none" w:sz="0" w:space="0" w:color="auto"/>
                <w:left w:val="none" w:sz="0" w:space="0" w:color="auto"/>
                <w:bottom w:val="none" w:sz="0" w:space="0" w:color="auto"/>
                <w:right w:val="none" w:sz="0" w:space="0" w:color="auto"/>
              </w:divBdr>
              <w:divsChild>
                <w:div w:id="929462795">
                  <w:marLeft w:val="0"/>
                  <w:marRight w:val="0"/>
                  <w:marTop w:val="0"/>
                  <w:marBottom w:val="0"/>
                  <w:divBdr>
                    <w:top w:val="none" w:sz="0" w:space="0" w:color="auto"/>
                    <w:left w:val="none" w:sz="0" w:space="0" w:color="auto"/>
                    <w:bottom w:val="none" w:sz="0" w:space="0" w:color="auto"/>
                    <w:right w:val="none" w:sz="0" w:space="0" w:color="auto"/>
                  </w:divBdr>
                </w:div>
              </w:divsChild>
            </w:div>
            <w:div w:id="860707860">
              <w:marLeft w:val="0"/>
              <w:marRight w:val="0"/>
              <w:marTop w:val="0"/>
              <w:marBottom w:val="0"/>
              <w:divBdr>
                <w:top w:val="none" w:sz="0" w:space="0" w:color="auto"/>
                <w:left w:val="none" w:sz="0" w:space="0" w:color="auto"/>
                <w:bottom w:val="none" w:sz="0" w:space="0" w:color="auto"/>
                <w:right w:val="none" w:sz="0" w:space="0" w:color="auto"/>
              </w:divBdr>
              <w:divsChild>
                <w:div w:id="1452896118">
                  <w:marLeft w:val="0"/>
                  <w:marRight w:val="0"/>
                  <w:marTop w:val="0"/>
                  <w:marBottom w:val="0"/>
                  <w:divBdr>
                    <w:top w:val="none" w:sz="0" w:space="0" w:color="auto"/>
                    <w:left w:val="none" w:sz="0" w:space="0" w:color="auto"/>
                    <w:bottom w:val="none" w:sz="0" w:space="0" w:color="auto"/>
                    <w:right w:val="none" w:sz="0" w:space="0" w:color="auto"/>
                  </w:divBdr>
                </w:div>
              </w:divsChild>
            </w:div>
            <w:div w:id="867254866">
              <w:marLeft w:val="0"/>
              <w:marRight w:val="0"/>
              <w:marTop w:val="0"/>
              <w:marBottom w:val="0"/>
              <w:divBdr>
                <w:top w:val="none" w:sz="0" w:space="0" w:color="auto"/>
                <w:left w:val="none" w:sz="0" w:space="0" w:color="auto"/>
                <w:bottom w:val="none" w:sz="0" w:space="0" w:color="auto"/>
                <w:right w:val="none" w:sz="0" w:space="0" w:color="auto"/>
              </w:divBdr>
              <w:divsChild>
                <w:div w:id="776221968">
                  <w:marLeft w:val="0"/>
                  <w:marRight w:val="0"/>
                  <w:marTop w:val="0"/>
                  <w:marBottom w:val="0"/>
                  <w:divBdr>
                    <w:top w:val="none" w:sz="0" w:space="0" w:color="auto"/>
                    <w:left w:val="none" w:sz="0" w:space="0" w:color="auto"/>
                    <w:bottom w:val="none" w:sz="0" w:space="0" w:color="auto"/>
                    <w:right w:val="none" w:sz="0" w:space="0" w:color="auto"/>
                  </w:divBdr>
                </w:div>
              </w:divsChild>
            </w:div>
            <w:div w:id="970015935">
              <w:marLeft w:val="0"/>
              <w:marRight w:val="0"/>
              <w:marTop w:val="0"/>
              <w:marBottom w:val="0"/>
              <w:divBdr>
                <w:top w:val="none" w:sz="0" w:space="0" w:color="auto"/>
                <w:left w:val="none" w:sz="0" w:space="0" w:color="auto"/>
                <w:bottom w:val="none" w:sz="0" w:space="0" w:color="auto"/>
                <w:right w:val="none" w:sz="0" w:space="0" w:color="auto"/>
              </w:divBdr>
              <w:divsChild>
                <w:div w:id="314649858">
                  <w:marLeft w:val="0"/>
                  <w:marRight w:val="0"/>
                  <w:marTop w:val="0"/>
                  <w:marBottom w:val="0"/>
                  <w:divBdr>
                    <w:top w:val="none" w:sz="0" w:space="0" w:color="auto"/>
                    <w:left w:val="none" w:sz="0" w:space="0" w:color="auto"/>
                    <w:bottom w:val="none" w:sz="0" w:space="0" w:color="auto"/>
                    <w:right w:val="none" w:sz="0" w:space="0" w:color="auto"/>
                  </w:divBdr>
                </w:div>
              </w:divsChild>
            </w:div>
            <w:div w:id="1130628234">
              <w:marLeft w:val="0"/>
              <w:marRight w:val="0"/>
              <w:marTop w:val="0"/>
              <w:marBottom w:val="0"/>
              <w:divBdr>
                <w:top w:val="none" w:sz="0" w:space="0" w:color="auto"/>
                <w:left w:val="none" w:sz="0" w:space="0" w:color="auto"/>
                <w:bottom w:val="none" w:sz="0" w:space="0" w:color="auto"/>
                <w:right w:val="none" w:sz="0" w:space="0" w:color="auto"/>
              </w:divBdr>
              <w:divsChild>
                <w:div w:id="989479132">
                  <w:marLeft w:val="0"/>
                  <w:marRight w:val="0"/>
                  <w:marTop w:val="0"/>
                  <w:marBottom w:val="0"/>
                  <w:divBdr>
                    <w:top w:val="none" w:sz="0" w:space="0" w:color="auto"/>
                    <w:left w:val="none" w:sz="0" w:space="0" w:color="auto"/>
                    <w:bottom w:val="none" w:sz="0" w:space="0" w:color="auto"/>
                    <w:right w:val="none" w:sz="0" w:space="0" w:color="auto"/>
                  </w:divBdr>
                </w:div>
              </w:divsChild>
            </w:div>
            <w:div w:id="1144390863">
              <w:marLeft w:val="0"/>
              <w:marRight w:val="0"/>
              <w:marTop w:val="0"/>
              <w:marBottom w:val="0"/>
              <w:divBdr>
                <w:top w:val="none" w:sz="0" w:space="0" w:color="auto"/>
                <w:left w:val="none" w:sz="0" w:space="0" w:color="auto"/>
                <w:bottom w:val="none" w:sz="0" w:space="0" w:color="auto"/>
                <w:right w:val="none" w:sz="0" w:space="0" w:color="auto"/>
              </w:divBdr>
              <w:divsChild>
                <w:div w:id="1473404299">
                  <w:marLeft w:val="0"/>
                  <w:marRight w:val="0"/>
                  <w:marTop w:val="0"/>
                  <w:marBottom w:val="0"/>
                  <w:divBdr>
                    <w:top w:val="none" w:sz="0" w:space="0" w:color="auto"/>
                    <w:left w:val="none" w:sz="0" w:space="0" w:color="auto"/>
                    <w:bottom w:val="none" w:sz="0" w:space="0" w:color="auto"/>
                    <w:right w:val="none" w:sz="0" w:space="0" w:color="auto"/>
                  </w:divBdr>
                </w:div>
              </w:divsChild>
            </w:div>
            <w:div w:id="1164124106">
              <w:marLeft w:val="0"/>
              <w:marRight w:val="0"/>
              <w:marTop w:val="0"/>
              <w:marBottom w:val="0"/>
              <w:divBdr>
                <w:top w:val="none" w:sz="0" w:space="0" w:color="auto"/>
                <w:left w:val="none" w:sz="0" w:space="0" w:color="auto"/>
                <w:bottom w:val="none" w:sz="0" w:space="0" w:color="auto"/>
                <w:right w:val="none" w:sz="0" w:space="0" w:color="auto"/>
              </w:divBdr>
              <w:divsChild>
                <w:div w:id="790439844">
                  <w:marLeft w:val="0"/>
                  <w:marRight w:val="0"/>
                  <w:marTop w:val="0"/>
                  <w:marBottom w:val="0"/>
                  <w:divBdr>
                    <w:top w:val="none" w:sz="0" w:space="0" w:color="auto"/>
                    <w:left w:val="none" w:sz="0" w:space="0" w:color="auto"/>
                    <w:bottom w:val="none" w:sz="0" w:space="0" w:color="auto"/>
                    <w:right w:val="none" w:sz="0" w:space="0" w:color="auto"/>
                  </w:divBdr>
                </w:div>
              </w:divsChild>
            </w:div>
            <w:div w:id="1252423717">
              <w:marLeft w:val="0"/>
              <w:marRight w:val="0"/>
              <w:marTop w:val="0"/>
              <w:marBottom w:val="0"/>
              <w:divBdr>
                <w:top w:val="none" w:sz="0" w:space="0" w:color="auto"/>
                <w:left w:val="none" w:sz="0" w:space="0" w:color="auto"/>
                <w:bottom w:val="none" w:sz="0" w:space="0" w:color="auto"/>
                <w:right w:val="none" w:sz="0" w:space="0" w:color="auto"/>
              </w:divBdr>
              <w:divsChild>
                <w:div w:id="24059821">
                  <w:marLeft w:val="0"/>
                  <w:marRight w:val="0"/>
                  <w:marTop w:val="0"/>
                  <w:marBottom w:val="0"/>
                  <w:divBdr>
                    <w:top w:val="none" w:sz="0" w:space="0" w:color="auto"/>
                    <w:left w:val="none" w:sz="0" w:space="0" w:color="auto"/>
                    <w:bottom w:val="none" w:sz="0" w:space="0" w:color="auto"/>
                    <w:right w:val="none" w:sz="0" w:space="0" w:color="auto"/>
                  </w:divBdr>
                </w:div>
              </w:divsChild>
            </w:div>
            <w:div w:id="1286691779">
              <w:marLeft w:val="0"/>
              <w:marRight w:val="0"/>
              <w:marTop w:val="0"/>
              <w:marBottom w:val="0"/>
              <w:divBdr>
                <w:top w:val="none" w:sz="0" w:space="0" w:color="auto"/>
                <w:left w:val="none" w:sz="0" w:space="0" w:color="auto"/>
                <w:bottom w:val="none" w:sz="0" w:space="0" w:color="auto"/>
                <w:right w:val="none" w:sz="0" w:space="0" w:color="auto"/>
              </w:divBdr>
              <w:divsChild>
                <w:div w:id="1962570705">
                  <w:marLeft w:val="0"/>
                  <w:marRight w:val="0"/>
                  <w:marTop w:val="0"/>
                  <w:marBottom w:val="0"/>
                  <w:divBdr>
                    <w:top w:val="none" w:sz="0" w:space="0" w:color="auto"/>
                    <w:left w:val="none" w:sz="0" w:space="0" w:color="auto"/>
                    <w:bottom w:val="none" w:sz="0" w:space="0" w:color="auto"/>
                    <w:right w:val="none" w:sz="0" w:space="0" w:color="auto"/>
                  </w:divBdr>
                </w:div>
              </w:divsChild>
            </w:div>
            <w:div w:id="1343169823">
              <w:marLeft w:val="0"/>
              <w:marRight w:val="0"/>
              <w:marTop w:val="0"/>
              <w:marBottom w:val="0"/>
              <w:divBdr>
                <w:top w:val="none" w:sz="0" w:space="0" w:color="auto"/>
                <w:left w:val="none" w:sz="0" w:space="0" w:color="auto"/>
                <w:bottom w:val="none" w:sz="0" w:space="0" w:color="auto"/>
                <w:right w:val="none" w:sz="0" w:space="0" w:color="auto"/>
              </w:divBdr>
              <w:divsChild>
                <w:div w:id="1221017443">
                  <w:marLeft w:val="0"/>
                  <w:marRight w:val="0"/>
                  <w:marTop w:val="0"/>
                  <w:marBottom w:val="0"/>
                  <w:divBdr>
                    <w:top w:val="none" w:sz="0" w:space="0" w:color="auto"/>
                    <w:left w:val="none" w:sz="0" w:space="0" w:color="auto"/>
                    <w:bottom w:val="none" w:sz="0" w:space="0" w:color="auto"/>
                    <w:right w:val="none" w:sz="0" w:space="0" w:color="auto"/>
                  </w:divBdr>
                </w:div>
              </w:divsChild>
            </w:div>
            <w:div w:id="1495871644">
              <w:marLeft w:val="0"/>
              <w:marRight w:val="0"/>
              <w:marTop w:val="0"/>
              <w:marBottom w:val="0"/>
              <w:divBdr>
                <w:top w:val="none" w:sz="0" w:space="0" w:color="auto"/>
                <w:left w:val="none" w:sz="0" w:space="0" w:color="auto"/>
                <w:bottom w:val="none" w:sz="0" w:space="0" w:color="auto"/>
                <w:right w:val="none" w:sz="0" w:space="0" w:color="auto"/>
              </w:divBdr>
              <w:divsChild>
                <w:div w:id="77753851">
                  <w:marLeft w:val="0"/>
                  <w:marRight w:val="0"/>
                  <w:marTop w:val="0"/>
                  <w:marBottom w:val="0"/>
                  <w:divBdr>
                    <w:top w:val="none" w:sz="0" w:space="0" w:color="auto"/>
                    <w:left w:val="none" w:sz="0" w:space="0" w:color="auto"/>
                    <w:bottom w:val="none" w:sz="0" w:space="0" w:color="auto"/>
                    <w:right w:val="none" w:sz="0" w:space="0" w:color="auto"/>
                  </w:divBdr>
                </w:div>
              </w:divsChild>
            </w:div>
            <w:div w:id="1568222619">
              <w:marLeft w:val="0"/>
              <w:marRight w:val="0"/>
              <w:marTop w:val="0"/>
              <w:marBottom w:val="0"/>
              <w:divBdr>
                <w:top w:val="none" w:sz="0" w:space="0" w:color="auto"/>
                <w:left w:val="none" w:sz="0" w:space="0" w:color="auto"/>
                <w:bottom w:val="none" w:sz="0" w:space="0" w:color="auto"/>
                <w:right w:val="none" w:sz="0" w:space="0" w:color="auto"/>
              </w:divBdr>
              <w:divsChild>
                <w:div w:id="1706177549">
                  <w:marLeft w:val="0"/>
                  <w:marRight w:val="0"/>
                  <w:marTop w:val="0"/>
                  <w:marBottom w:val="0"/>
                  <w:divBdr>
                    <w:top w:val="none" w:sz="0" w:space="0" w:color="auto"/>
                    <w:left w:val="none" w:sz="0" w:space="0" w:color="auto"/>
                    <w:bottom w:val="none" w:sz="0" w:space="0" w:color="auto"/>
                    <w:right w:val="none" w:sz="0" w:space="0" w:color="auto"/>
                  </w:divBdr>
                </w:div>
              </w:divsChild>
            </w:div>
            <w:div w:id="1794709750">
              <w:marLeft w:val="0"/>
              <w:marRight w:val="0"/>
              <w:marTop w:val="0"/>
              <w:marBottom w:val="0"/>
              <w:divBdr>
                <w:top w:val="none" w:sz="0" w:space="0" w:color="auto"/>
                <w:left w:val="none" w:sz="0" w:space="0" w:color="auto"/>
                <w:bottom w:val="none" w:sz="0" w:space="0" w:color="auto"/>
                <w:right w:val="none" w:sz="0" w:space="0" w:color="auto"/>
              </w:divBdr>
              <w:divsChild>
                <w:div w:id="1557551463">
                  <w:marLeft w:val="0"/>
                  <w:marRight w:val="0"/>
                  <w:marTop w:val="0"/>
                  <w:marBottom w:val="0"/>
                  <w:divBdr>
                    <w:top w:val="none" w:sz="0" w:space="0" w:color="auto"/>
                    <w:left w:val="none" w:sz="0" w:space="0" w:color="auto"/>
                    <w:bottom w:val="none" w:sz="0" w:space="0" w:color="auto"/>
                    <w:right w:val="none" w:sz="0" w:space="0" w:color="auto"/>
                  </w:divBdr>
                </w:div>
              </w:divsChild>
            </w:div>
            <w:div w:id="1870219418">
              <w:marLeft w:val="0"/>
              <w:marRight w:val="0"/>
              <w:marTop w:val="0"/>
              <w:marBottom w:val="0"/>
              <w:divBdr>
                <w:top w:val="none" w:sz="0" w:space="0" w:color="auto"/>
                <w:left w:val="none" w:sz="0" w:space="0" w:color="auto"/>
                <w:bottom w:val="none" w:sz="0" w:space="0" w:color="auto"/>
                <w:right w:val="none" w:sz="0" w:space="0" w:color="auto"/>
              </w:divBdr>
              <w:divsChild>
                <w:div w:id="678779536">
                  <w:marLeft w:val="0"/>
                  <w:marRight w:val="0"/>
                  <w:marTop w:val="0"/>
                  <w:marBottom w:val="0"/>
                  <w:divBdr>
                    <w:top w:val="none" w:sz="0" w:space="0" w:color="auto"/>
                    <w:left w:val="none" w:sz="0" w:space="0" w:color="auto"/>
                    <w:bottom w:val="none" w:sz="0" w:space="0" w:color="auto"/>
                    <w:right w:val="none" w:sz="0" w:space="0" w:color="auto"/>
                  </w:divBdr>
                </w:div>
              </w:divsChild>
            </w:div>
            <w:div w:id="1890915334">
              <w:marLeft w:val="0"/>
              <w:marRight w:val="0"/>
              <w:marTop w:val="0"/>
              <w:marBottom w:val="0"/>
              <w:divBdr>
                <w:top w:val="none" w:sz="0" w:space="0" w:color="auto"/>
                <w:left w:val="none" w:sz="0" w:space="0" w:color="auto"/>
                <w:bottom w:val="none" w:sz="0" w:space="0" w:color="auto"/>
                <w:right w:val="none" w:sz="0" w:space="0" w:color="auto"/>
              </w:divBdr>
              <w:divsChild>
                <w:div w:id="14981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844054">
      <w:bodyDiv w:val="1"/>
      <w:marLeft w:val="0"/>
      <w:marRight w:val="0"/>
      <w:marTop w:val="0"/>
      <w:marBottom w:val="0"/>
      <w:divBdr>
        <w:top w:val="none" w:sz="0" w:space="0" w:color="auto"/>
        <w:left w:val="none" w:sz="0" w:space="0" w:color="auto"/>
        <w:bottom w:val="none" w:sz="0" w:space="0" w:color="auto"/>
        <w:right w:val="none" w:sz="0" w:space="0" w:color="auto"/>
      </w:divBdr>
    </w:div>
    <w:div w:id="1877624084">
      <w:bodyDiv w:val="1"/>
      <w:marLeft w:val="0"/>
      <w:marRight w:val="0"/>
      <w:marTop w:val="0"/>
      <w:marBottom w:val="0"/>
      <w:divBdr>
        <w:top w:val="none" w:sz="0" w:space="0" w:color="auto"/>
        <w:left w:val="none" w:sz="0" w:space="0" w:color="auto"/>
        <w:bottom w:val="none" w:sz="0" w:space="0" w:color="auto"/>
        <w:right w:val="none" w:sz="0" w:space="0" w:color="auto"/>
      </w:divBdr>
    </w:div>
    <w:div w:id="1879588885">
      <w:bodyDiv w:val="1"/>
      <w:marLeft w:val="0"/>
      <w:marRight w:val="0"/>
      <w:marTop w:val="0"/>
      <w:marBottom w:val="0"/>
      <w:divBdr>
        <w:top w:val="none" w:sz="0" w:space="0" w:color="auto"/>
        <w:left w:val="none" w:sz="0" w:space="0" w:color="auto"/>
        <w:bottom w:val="none" w:sz="0" w:space="0" w:color="auto"/>
        <w:right w:val="none" w:sz="0" w:space="0" w:color="auto"/>
      </w:divBdr>
      <w:divsChild>
        <w:div w:id="1298561089">
          <w:marLeft w:val="0"/>
          <w:marRight w:val="0"/>
          <w:marTop w:val="0"/>
          <w:marBottom w:val="0"/>
          <w:divBdr>
            <w:top w:val="none" w:sz="0" w:space="0" w:color="auto"/>
            <w:left w:val="none" w:sz="0" w:space="0" w:color="auto"/>
            <w:bottom w:val="none" w:sz="0" w:space="0" w:color="auto"/>
            <w:right w:val="none" w:sz="0" w:space="0" w:color="auto"/>
          </w:divBdr>
          <w:divsChild>
            <w:div w:id="1137261991">
              <w:marLeft w:val="0"/>
              <w:marRight w:val="0"/>
              <w:marTop w:val="0"/>
              <w:marBottom w:val="0"/>
              <w:divBdr>
                <w:top w:val="none" w:sz="0" w:space="0" w:color="auto"/>
                <w:left w:val="none" w:sz="0" w:space="0" w:color="auto"/>
                <w:bottom w:val="none" w:sz="0" w:space="0" w:color="auto"/>
                <w:right w:val="none" w:sz="0" w:space="0" w:color="auto"/>
              </w:divBdr>
              <w:divsChild>
                <w:div w:id="1056928758">
                  <w:marLeft w:val="0"/>
                  <w:marRight w:val="0"/>
                  <w:marTop w:val="0"/>
                  <w:marBottom w:val="0"/>
                  <w:divBdr>
                    <w:top w:val="none" w:sz="0" w:space="0" w:color="auto"/>
                    <w:left w:val="none" w:sz="0" w:space="0" w:color="auto"/>
                    <w:bottom w:val="none" w:sz="0" w:space="0" w:color="auto"/>
                    <w:right w:val="none" w:sz="0" w:space="0" w:color="auto"/>
                  </w:divBdr>
                  <w:divsChild>
                    <w:div w:id="144303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971678">
      <w:bodyDiv w:val="1"/>
      <w:marLeft w:val="0"/>
      <w:marRight w:val="0"/>
      <w:marTop w:val="0"/>
      <w:marBottom w:val="0"/>
      <w:divBdr>
        <w:top w:val="none" w:sz="0" w:space="0" w:color="auto"/>
        <w:left w:val="none" w:sz="0" w:space="0" w:color="auto"/>
        <w:bottom w:val="none" w:sz="0" w:space="0" w:color="auto"/>
        <w:right w:val="none" w:sz="0" w:space="0" w:color="auto"/>
      </w:divBdr>
    </w:div>
    <w:div w:id="1880119069">
      <w:bodyDiv w:val="1"/>
      <w:marLeft w:val="0"/>
      <w:marRight w:val="0"/>
      <w:marTop w:val="0"/>
      <w:marBottom w:val="0"/>
      <w:divBdr>
        <w:top w:val="none" w:sz="0" w:space="0" w:color="auto"/>
        <w:left w:val="none" w:sz="0" w:space="0" w:color="auto"/>
        <w:bottom w:val="none" w:sz="0" w:space="0" w:color="auto"/>
        <w:right w:val="none" w:sz="0" w:space="0" w:color="auto"/>
      </w:divBdr>
    </w:div>
    <w:div w:id="1880438011">
      <w:bodyDiv w:val="1"/>
      <w:marLeft w:val="0"/>
      <w:marRight w:val="0"/>
      <w:marTop w:val="0"/>
      <w:marBottom w:val="0"/>
      <w:divBdr>
        <w:top w:val="none" w:sz="0" w:space="0" w:color="auto"/>
        <w:left w:val="none" w:sz="0" w:space="0" w:color="auto"/>
        <w:bottom w:val="none" w:sz="0" w:space="0" w:color="auto"/>
        <w:right w:val="none" w:sz="0" w:space="0" w:color="auto"/>
      </w:divBdr>
    </w:div>
    <w:div w:id="1880704246">
      <w:bodyDiv w:val="1"/>
      <w:marLeft w:val="0"/>
      <w:marRight w:val="0"/>
      <w:marTop w:val="0"/>
      <w:marBottom w:val="0"/>
      <w:divBdr>
        <w:top w:val="none" w:sz="0" w:space="0" w:color="auto"/>
        <w:left w:val="none" w:sz="0" w:space="0" w:color="auto"/>
        <w:bottom w:val="none" w:sz="0" w:space="0" w:color="auto"/>
        <w:right w:val="none" w:sz="0" w:space="0" w:color="auto"/>
      </w:divBdr>
      <w:divsChild>
        <w:div w:id="1275360731">
          <w:marLeft w:val="0"/>
          <w:marRight w:val="0"/>
          <w:marTop w:val="0"/>
          <w:marBottom w:val="0"/>
          <w:divBdr>
            <w:top w:val="none" w:sz="0" w:space="0" w:color="auto"/>
            <w:left w:val="none" w:sz="0" w:space="0" w:color="auto"/>
            <w:bottom w:val="none" w:sz="0" w:space="0" w:color="auto"/>
            <w:right w:val="none" w:sz="0" w:space="0" w:color="auto"/>
          </w:divBdr>
          <w:divsChild>
            <w:div w:id="1391226483">
              <w:marLeft w:val="0"/>
              <w:marRight w:val="0"/>
              <w:marTop w:val="0"/>
              <w:marBottom w:val="0"/>
              <w:divBdr>
                <w:top w:val="none" w:sz="0" w:space="0" w:color="auto"/>
                <w:left w:val="none" w:sz="0" w:space="0" w:color="auto"/>
                <w:bottom w:val="none" w:sz="0" w:space="0" w:color="auto"/>
                <w:right w:val="none" w:sz="0" w:space="0" w:color="auto"/>
              </w:divBdr>
              <w:divsChild>
                <w:div w:id="476725625">
                  <w:marLeft w:val="0"/>
                  <w:marRight w:val="0"/>
                  <w:marTop w:val="0"/>
                  <w:marBottom w:val="0"/>
                  <w:divBdr>
                    <w:top w:val="none" w:sz="0" w:space="0" w:color="auto"/>
                    <w:left w:val="none" w:sz="0" w:space="0" w:color="auto"/>
                    <w:bottom w:val="none" w:sz="0" w:space="0" w:color="auto"/>
                    <w:right w:val="none" w:sz="0" w:space="0" w:color="auto"/>
                  </w:divBdr>
                  <w:divsChild>
                    <w:div w:id="48012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704661">
      <w:bodyDiv w:val="1"/>
      <w:marLeft w:val="0"/>
      <w:marRight w:val="0"/>
      <w:marTop w:val="0"/>
      <w:marBottom w:val="0"/>
      <w:divBdr>
        <w:top w:val="none" w:sz="0" w:space="0" w:color="auto"/>
        <w:left w:val="none" w:sz="0" w:space="0" w:color="auto"/>
        <w:bottom w:val="none" w:sz="0" w:space="0" w:color="auto"/>
        <w:right w:val="none" w:sz="0" w:space="0" w:color="auto"/>
      </w:divBdr>
    </w:div>
    <w:div w:id="1880779946">
      <w:bodyDiv w:val="1"/>
      <w:marLeft w:val="0"/>
      <w:marRight w:val="0"/>
      <w:marTop w:val="0"/>
      <w:marBottom w:val="0"/>
      <w:divBdr>
        <w:top w:val="none" w:sz="0" w:space="0" w:color="auto"/>
        <w:left w:val="none" w:sz="0" w:space="0" w:color="auto"/>
        <w:bottom w:val="none" w:sz="0" w:space="0" w:color="auto"/>
        <w:right w:val="none" w:sz="0" w:space="0" w:color="auto"/>
      </w:divBdr>
    </w:div>
    <w:div w:id="1882356964">
      <w:bodyDiv w:val="1"/>
      <w:marLeft w:val="0"/>
      <w:marRight w:val="0"/>
      <w:marTop w:val="0"/>
      <w:marBottom w:val="0"/>
      <w:divBdr>
        <w:top w:val="none" w:sz="0" w:space="0" w:color="auto"/>
        <w:left w:val="none" w:sz="0" w:space="0" w:color="auto"/>
        <w:bottom w:val="none" w:sz="0" w:space="0" w:color="auto"/>
        <w:right w:val="none" w:sz="0" w:space="0" w:color="auto"/>
      </w:divBdr>
    </w:div>
    <w:div w:id="1882357487">
      <w:bodyDiv w:val="1"/>
      <w:marLeft w:val="0"/>
      <w:marRight w:val="0"/>
      <w:marTop w:val="0"/>
      <w:marBottom w:val="0"/>
      <w:divBdr>
        <w:top w:val="none" w:sz="0" w:space="0" w:color="auto"/>
        <w:left w:val="none" w:sz="0" w:space="0" w:color="auto"/>
        <w:bottom w:val="none" w:sz="0" w:space="0" w:color="auto"/>
        <w:right w:val="none" w:sz="0" w:space="0" w:color="auto"/>
      </w:divBdr>
    </w:div>
    <w:div w:id="1883054333">
      <w:bodyDiv w:val="1"/>
      <w:marLeft w:val="0"/>
      <w:marRight w:val="0"/>
      <w:marTop w:val="0"/>
      <w:marBottom w:val="0"/>
      <w:divBdr>
        <w:top w:val="none" w:sz="0" w:space="0" w:color="auto"/>
        <w:left w:val="none" w:sz="0" w:space="0" w:color="auto"/>
        <w:bottom w:val="none" w:sz="0" w:space="0" w:color="auto"/>
        <w:right w:val="none" w:sz="0" w:space="0" w:color="auto"/>
      </w:divBdr>
    </w:div>
    <w:div w:id="1883059489">
      <w:bodyDiv w:val="1"/>
      <w:marLeft w:val="0"/>
      <w:marRight w:val="0"/>
      <w:marTop w:val="0"/>
      <w:marBottom w:val="0"/>
      <w:divBdr>
        <w:top w:val="none" w:sz="0" w:space="0" w:color="auto"/>
        <w:left w:val="none" w:sz="0" w:space="0" w:color="auto"/>
        <w:bottom w:val="none" w:sz="0" w:space="0" w:color="auto"/>
        <w:right w:val="none" w:sz="0" w:space="0" w:color="auto"/>
      </w:divBdr>
    </w:div>
    <w:div w:id="1883202414">
      <w:bodyDiv w:val="1"/>
      <w:marLeft w:val="0"/>
      <w:marRight w:val="0"/>
      <w:marTop w:val="0"/>
      <w:marBottom w:val="0"/>
      <w:divBdr>
        <w:top w:val="none" w:sz="0" w:space="0" w:color="auto"/>
        <w:left w:val="none" w:sz="0" w:space="0" w:color="auto"/>
        <w:bottom w:val="none" w:sz="0" w:space="0" w:color="auto"/>
        <w:right w:val="none" w:sz="0" w:space="0" w:color="auto"/>
      </w:divBdr>
      <w:divsChild>
        <w:div w:id="461000959">
          <w:marLeft w:val="0"/>
          <w:marRight w:val="0"/>
          <w:marTop w:val="0"/>
          <w:marBottom w:val="0"/>
          <w:divBdr>
            <w:top w:val="none" w:sz="0" w:space="0" w:color="auto"/>
            <w:left w:val="none" w:sz="0" w:space="0" w:color="auto"/>
            <w:bottom w:val="none" w:sz="0" w:space="0" w:color="auto"/>
            <w:right w:val="none" w:sz="0" w:space="0" w:color="auto"/>
          </w:divBdr>
          <w:divsChild>
            <w:div w:id="693462881">
              <w:marLeft w:val="0"/>
              <w:marRight w:val="0"/>
              <w:marTop w:val="0"/>
              <w:marBottom w:val="0"/>
              <w:divBdr>
                <w:top w:val="none" w:sz="0" w:space="0" w:color="auto"/>
                <w:left w:val="none" w:sz="0" w:space="0" w:color="auto"/>
                <w:bottom w:val="none" w:sz="0" w:space="0" w:color="auto"/>
                <w:right w:val="none" w:sz="0" w:space="0" w:color="auto"/>
              </w:divBdr>
              <w:divsChild>
                <w:div w:id="8681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40850">
      <w:bodyDiv w:val="1"/>
      <w:marLeft w:val="0"/>
      <w:marRight w:val="0"/>
      <w:marTop w:val="0"/>
      <w:marBottom w:val="0"/>
      <w:divBdr>
        <w:top w:val="none" w:sz="0" w:space="0" w:color="auto"/>
        <w:left w:val="none" w:sz="0" w:space="0" w:color="auto"/>
        <w:bottom w:val="none" w:sz="0" w:space="0" w:color="auto"/>
        <w:right w:val="none" w:sz="0" w:space="0" w:color="auto"/>
      </w:divBdr>
    </w:div>
    <w:div w:id="1883663559">
      <w:bodyDiv w:val="1"/>
      <w:marLeft w:val="0"/>
      <w:marRight w:val="0"/>
      <w:marTop w:val="0"/>
      <w:marBottom w:val="0"/>
      <w:divBdr>
        <w:top w:val="none" w:sz="0" w:space="0" w:color="auto"/>
        <w:left w:val="none" w:sz="0" w:space="0" w:color="auto"/>
        <w:bottom w:val="none" w:sz="0" w:space="0" w:color="auto"/>
        <w:right w:val="none" w:sz="0" w:space="0" w:color="auto"/>
      </w:divBdr>
    </w:div>
    <w:div w:id="1884097811">
      <w:bodyDiv w:val="1"/>
      <w:marLeft w:val="0"/>
      <w:marRight w:val="0"/>
      <w:marTop w:val="0"/>
      <w:marBottom w:val="0"/>
      <w:divBdr>
        <w:top w:val="none" w:sz="0" w:space="0" w:color="auto"/>
        <w:left w:val="none" w:sz="0" w:space="0" w:color="auto"/>
        <w:bottom w:val="none" w:sz="0" w:space="0" w:color="auto"/>
        <w:right w:val="none" w:sz="0" w:space="0" w:color="auto"/>
      </w:divBdr>
    </w:div>
    <w:div w:id="1884709726">
      <w:bodyDiv w:val="1"/>
      <w:marLeft w:val="0"/>
      <w:marRight w:val="0"/>
      <w:marTop w:val="0"/>
      <w:marBottom w:val="0"/>
      <w:divBdr>
        <w:top w:val="none" w:sz="0" w:space="0" w:color="auto"/>
        <w:left w:val="none" w:sz="0" w:space="0" w:color="auto"/>
        <w:bottom w:val="none" w:sz="0" w:space="0" w:color="auto"/>
        <w:right w:val="none" w:sz="0" w:space="0" w:color="auto"/>
      </w:divBdr>
    </w:div>
    <w:div w:id="1884825538">
      <w:bodyDiv w:val="1"/>
      <w:marLeft w:val="0"/>
      <w:marRight w:val="0"/>
      <w:marTop w:val="0"/>
      <w:marBottom w:val="0"/>
      <w:divBdr>
        <w:top w:val="none" w:sz="0" w:space="0" w:color="auto"/>
        <w:left w:val="none" w:sz="0" w:space="0" w:color="auto"/>
        <w:bottom w:val="none" w:sz="0" w:space="0" w:color="auto"/>
        <w:right w:val="none" w:sz="0" w:space="0" w:color="auto"/>
      </w:divBdr>
    </w:div>
    <w:div w:id="1884977878">
      <w:bodyDiv w:val="1"/>
      <w:marLeft w:val="0"/>
      <w:marRight w:val="0"/>
      <w:marTop w:val="0"/>
      <w:marBottom w:val="0"/>
      <w:divBdr>
        <w:top w:val="none" w:sz="0" w:space="0" w:color="auto"/>
        <w:left w:val="none" w:sz="0" w:space="0" w:color="auto"/>
        <w:bottom w:val="none" w:sz="0" w:space="0" w:color="auto"/>
        <w:right w:val="none" w:sz="0" w:space="0" w:color="auto"/>
      </w:divBdr>
      <w:divsChild>
        <w:div w:id="335228600">
          <w:marLeft w:val="0"/>
          <w:marRight w:val="0"/>
          <w:marTop w:val="0"/>
          <w:marBottom w:val="0"/>
          <w:divBdr>
            <w:top w:val="none" w:sz="0" w:space="0" w:color="auto"/>
            <w:left w:val="none" w:sz="0" w:space="0" w:color="auto"/>
            <w:bottom w:val="none" w:sz="0" w:space="0" w:color="auto"/>
            <w:right w:val="none" w:sz="0" w:space="0" w:color="auto"/>
          </w:divBdr>
          <w:divsChild>
            <w:div w:id="664742435">
              <w:marLeft w:val="0"/>
              <w:marRight w:val="0"/>
              <w:marTop w:val="0"/>
              <w:marBottom w:val="0"/>
              <w:divBdr>
                <w:top w:val="none" w:sz="0" w:space="0" w:color="auto"/>
                <w:left w:val="none" w:sz="0" w:space="0" w:color="auto"/>
                <w:bottom w:val="none" w:sz="0" w:space="0" w:color="auto"/>
                <w:right w:val="none" w:sz="0" w:space="0" w:color="auto"/>
              </w:divBdr>
              <w:divsChild>
                <w:div w:id="20456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141383">
      <w:bodyDiv w:val="1"/>
      <w:marLeft w:val="0"/>
      <w:marRight w:val="0"/>
      <w:marTop w:val="0"/>
      <w:marBottom w:val="0"/>
      <w:divBdr>
        <w:top w:val="none" w:sz="0" w:space="0" w:color="auto"/>
        <w:left w:val="none" w:sz="0" w:space="0" w:color="auto"/>
        <w:bottom w:val="none" w:sz="0" w:space="0" w:color="auto"/>
        <w:right w:val="none" w:sz="0" w:space="0" w:color="auto"/>
      </w:divBdr>
    </w:div>
    <w:div w:id="1886989094">
      <w:bodyDiv w:val="1"/>
      <w:marLeft w:val="0"/>
      <w:marRight w:val="0"/>
      <w:marTop w:val="0"/>
      <w:marBottom w:val="0"/>
      <w:divBdr>
        <w:top w:val="none" w:sz="0" w:space="0" w:color="auto"/>
        <w:left w:val="none" w:sz="0" w:space="0" w:color="auto"/>
        <w:bottom w:val="none" w:sz="0" w:space="0" w:color="auto"/>
        <w:right w:val="none" w:sz="0" w:space="0" w:color="auto"/>
      </w:divBdr>
    </w:div>
    <w:div w:id="1887598287">
      <w:bodyDiv w:val="1"/>
      <w:marLeft w:val="0"/>
      <w:marRight w:val="0"/>
      <w:marTop w:val="0"/>
      <w:marBottom w:val="0"/>
      <w:divBdr>
        <w:top w:val="none" w:sz="0" w:space="0" w:color="auto"/>
        <w:left w:val="none" w:sz="0" w:space="0" w:color="auto"/>
        <w:bottom w:val="none" w:sz="0" w:space="0" w:color="auto"/>
        <w:right w:val="none" w:sz="0" w:space="0" w:color="auto"/>
      </w:divBdr>
    </w:div>
    <w:div w:id="1888106773">
      <w:bodyDiv w:val="1"/>
      <w:marLeft w:val="0"/>
      <w:marRight w:val="0"/>
      <w:marTop w:val="0"/>
      <w:marBottom w:val="0"/>
      <w:divBdr>
        <w:top w:val="none" w:sz="0" w:space="0" w:color="auto"/>
        <w:left w:val="none" w:sz="0" w:space="0" w:color="auto"/>
        <w:bottom w:val="none" w:sz="0" w:space="0" w:color="auto"/>
        <w:right w:val="none" w:sz="0" w:space="0" w:color="auto"/>
      </w:divBdr>
    </w:div>
    <w:div w:id="1889955169">
      <w:bodyDiv w:val="1"/>
      <w:marLeft w:val="0"/>
      <w:marRight w:val="0"/>
      <w:marTop w:val="0"/>
      <w:marBottom w:val="0"/>
      <w:divBdr>
        <w:top w:val="none" w:sz="0" w:space="0" w:color="auto"/>
        <w:left w:val="none" w:sz="0" w:space="0" w:color="auto"/>
        <w:bottom w:val="none" w:sz="0" w:space="0" w:color="auto"/>
        <w:right w:val="none" w:sz="0" w:space="0" w:color="auto"/>
      </w:divBdr>
    </w:div>
    <w:div w:id="1890267935">
      <w:bodyDiv w:val="1"/>
      <w:marLeft w:val="0"/>
      <w:marRight w:val="0"/>
      <w:marTop w:val="0"/>
      <w:marBottom w:val="0"/>
      <w:divBdr>
        <w:top w:val="none" w:sz="0" w:space="0" w:color="auto"/>
        <w:left w:val="none" w:sz="0" w:space="0" w:color="auto"/>
        <w:bottom w:val="none" w:sz="0" w:space="0" w:color="auto"/>
        <w:right w:val="none" w:sz="0" w:space="0" w:color="auto"/>
      </w:divBdr>
    </w:div>
    <w:div w:id="1890998605">
      <w:bodyDiv w:val="1"/>
      <w:marLeft w:val="0"/>
      <w:marRight w:val="0"/>
      <w:marTop w:val="0"/>
      <w:marBottom w:val="0"/>
      <w:divBdr>
        <w:top w:val="none" w:sz="0" w:space="0" w:color="auto"/>
        <w:left w:val="none" w:sz="0" w:space="0" w:color="auto"/>
        <w:bottom w:val="none" w:sz="0" w:space="0" w:color="auto"/>
        <w:right w:val="none" w:sz="0" w:space="0" w:color="auto"/>
      </w:divBdr>
    </w:div>
    <w:div w:id="1891115832">
      <w:bodyDiv w:val="1"/>
      <w:marLeft w:val="0"/>
      <w:marRight w:val="0"/>
      <w:marTop w:val="0"/>
      <w:marBottom w:val="0"/>
      <w:divBdr>
        <w:top w:val="none" w:sz="0" w:space="0" w:color="auto"/>
        <w:left w:val="none" w:sz="0" w:space="0" w:color="auto"/>
        <w:bottom w:val="none" w:sz="0" w:space="0" w:color="auto"/>
        <w:right w:val="none" w:sz="0" w:space="0" w:color="auto"/>
      </w:divBdr>
    </w:div>
    <w:div w:id="1891645214">
      <w:bodyDiv w:val="1"/>
      <w:marLeft w:val="0"/>
      <w:marRight w:val="0"/>
      <w:marTop w:val="0"/>
      <w:marBottom w:val="0"/>
      <w:divBdr>
        <w:top w:val="none" w:sz="0" w:space="0" w:color="auto"/>
        <w:left w:val="none" w:sz="0" w:space="0" w:color="auto"/>
        <w:bottom w:val="none" w:sz="0" w:space="0" w:color="auto"/>
        <w:right w:val="none" w:sz="0" w:space="0" w:color="auto"/>
      </w:divBdr>
      <w:divsChild>
        <w:div w:id="1365597917">
          <w:marLeft w:val="0"/>
          <w:marRight w:val="0"/>
          <w:marTop w:val="0"/>
          <w:marBottom w:val="0"/>
          <w:divBdr>
            <w:top w:val="none" w:sz="0" w:space="0" w:color="auto"/>
            <w:left w:val="none" w:sz="0" w:space="0" w:color="auto"/>
            <w:bottom w:val="none" w:sz="0" w:space="0" w:color="auto"/>
            <w:right w:val="none" w:sz="0" w:space="0" w:color="auto"/>
          </w:divBdr>
          <w:divsChild>
            <w:div w:id="79062812">
              <w:marLeft w:val="0"/>
              <w:marRight w:val="0"/>
              <w:marTop w:val="0"/>
              <w:marBottom w:val="0"/>
              <w:divBdr>
                <w:top w:val="none" w:sz="0" w:space="0" w:color="auto"/>
                <w:left w:val="none" w:sz="0" w:space="0" w:color="auto"/>
                <w:bottom w:val="none" w:sz="0" w:space="0" w:color="auto"/>
                <w:right w:val="none" w:sz="0" w:space="0" w:color="auto"/>
              </w:divBdr>
              <w:divsChild>
                <w:div w:id="1574314677">
                  <w:marLeft w:val="0"/>
                  <w:marRight w:val="0"/>
                  <w:marTop w:val="0"/>
                  <w:marBottom w:val="0"/>
                  <w:divBdr>
                    <w:top w:val="none" w:sz="0" w:space="0" w:color="auto"/>
                    <w:left w:val="none" w:sz="0" w:space="0" w:color="auto"/>
                    <w:bottom w:val="none" w:sz="0" w:space="0" w:color="auto"/>
                    <w:right w:val="none" w:sz="0" w:space="0" w:color="auto"/>
                  </w:divBdr>
                  <w:divsChild>
                    <w:div w:id="28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766478">
      <w:bodyDiv w:val="1"/>
      <w:marLeft w:val="0"/>
      <w:marRight w:val="0"/>
      <w:marTop w:val="0"/>
      <w:marBottom w:val="0"/>
      <w:divBdr>
        <w:top w:val="none" w:sz="0" w:space="0" w:color="auto"/>
        <w:left w:val="none" w:sz="0" w:space="0" w:color="auto"/>
        <w:bottom w:val="none" w:sz="0" w:space="0" w:color="auto"/>
        <w:right w:val="none" w:sz="0" w:space="0" w:color="auto"/>
      </w:divBdr>
    </w:div>
    <w:div w:id="1891916871">
      <w:bodyDiv w:val="1"/>
      <w:marLeft w:val="0"/>
      <w:marRight w:val="0"/>
      <w:marTop w:val="0"/>
      <w:marBottom w:val="0"/>
      <w:divBdr>
        <w:top w:val="none" w:sz="0" w:space="0" w:color="auto"/>
        <w:left w:val="none" w:sz="0" w:space="0" w:color="auto"/>
        <w:bottom w:val="none" w:sz="0" w:space="0" w:color="auto"/>
        <w:right w:val="none" w:sz="0" w:space="0" w:color="auto"/>
      </w:divBdr>
    </w:div>
    <w:div w:id="1892232149">
      <w:bodyDiv w:val="1"/>
      <w:marLeft w:val="0"/>
      <w:marRight w:val="0"/>
      <w:marTop w:val="0"/>
      <w:marBottom w:val="0"/>
      <w:divBdr>
        <w:top w:val="none" w:sz="0" w:space="0" w:color="auto"/>
        <w:left w:val="none" w:sz="0" w:space="0" w:color="auto"/>
        <w:bottom w:val="none" w:sz="0" w:space="0" w:color="auto"/>
        <w:right w:val="none" w:sz="0" w:space="0" w:color="auto"/>
      </w:divBdr>
    </w:div>
    <w:div w:id="1892233285">
      <w:bodyDiv w:val="1"/>
      <w:marLeft w:val="0"/>
      <w:marRight w:val="0"/>
      <w:marTop w:val="0"/>
      <w:marBottom w:val="0"/>
      <w:divBdr>
        <w:top w:val="none" w:sz="0" w:space="0" w:color="auto"/>
        <w:left w:val="none" w:sz="0" w:space="0" w:color="auto"/>
        <w:bottom w:val="none" w:sz="0" w:space="0" w:color="auto"/>
        <w:right w:val="none" w:sz="0" w:space="0" w:color="auto"/>
      </w:divBdr>
    </w:div>
    <w:div w:id="1893419447">
      <w:bodyDiv w:val="1"/>
      <w:marLeft w:val="0"/>
      <w:marRight w:val="0"/>
      <w:marTop w:val="0"/>
      <w:marBottom w:val="0"/>
      <w:divBdr>
        <w:top w:val="none" w:sz="0" w:space="0" w:color="auto"/>
        <w:left w:val="none" w:sz="0" w:space="0" w:color="auto"/>
        <w:bottom w:val="none" w:sz="0" w:space="0" w:color="auto"/>
        <w:right w:val="none" w:sz="0" w:space="0" w:color="auto"/>
      </w:divBdr>
    </w:div>
    <w:div w:id="1893542300">
      <w:bodyDiv w:val="1"/>
      <w:marLeft w:val="0"/>
      <w:marRight w:val="0"/>
      <w:marTop w:val="0"/>
      <w:marBottom w:val="0"/>
      <w:divBdr>
        <w:top w:val="none" w:sz="0" w:space="0" w:color="auto"/>
        <w:left w:val="none" w:sz="0" w:space="0" w:color="auto"/>
        <w:bottom w:val="none" w:sz="0" w:space="0" w:color="auto"/>
        <w:right w:val="none" w:sz="0" w:space="0" w:color="auto"/>
      </w:divBdr>
    </w:div>
    <w:div w:id="1894191275">
      <w:bodyDiv w:val="1"/>
      <w:marLeft w:val="0"/>
      <w:marRight w:val="0"/>
      <w:marTop w:val="0"/>
      <w:marBottom w:val="0"/>
      <w:divBdr>
        <w:top w:val="none" w:sz="0" w:space="0" w:color="auto"/>
        <w:left w:val="none" w:sz="0" w:space="0" w:color="auto"/>
        <w:bottom w:val="none" w:sz="0" w:space="0" w:color="auto"/>
        <w:right w:val="none" w:sz="0" w:space="0" w:color="auto"/>
      </w:divBdr>
    </w:div>
    <w:div w:id="1894929793">
      <w:bodyDiv w:val="1"/>
      <w:marLeft w:val="0"/>
      <w:marRight w:val="0"/>
      <w:marTop w:val="0"/>
      <w:marBottom w:val="0"/>
      <w:divBdr>
        <w:top w:val="none" w:sz="0" w:space="0" w:color="auto"/>
        <w:left w:val="none" w:sz="0" w:space="0" w:color="auto"/>
        <w:bottom w:val="none" w:sz="0" w:space="0" w:color="auto"/>
        <w:right w:val="none" w:sz="0" w:space="0" w:color="auto"/>
      </w:divBdr>
    </w:div>
    <w:div w:id="1895582673">
      <w:bodyDiv w:val="1"/>
      <w:marLeft w:val="0"/>
      <w:marRight w:val="0"/>
      <w:marTop w:val="0"/>
      <w:marBottom w:val="0"/>
      <w:divBdr>
        <w:top w:val="none" w:sz="0" w:space="0" w:color="auto"/>
        <w:left w:val="none" w:sz="0" w:space="0" w:color="auto"/>
        <w:bottom w:val="none" w:sz="0" w:space="0" w:color="auto"/>
        <w:right w:val="none" w:sz="0" w:space="0" w:color="auto"/>
      </w:divBdr>
    </w:div>
    <w:div w:id="1895696319">
      <w:bodyDiv w:val="1"/>
      <w:marLeft w:val="0"/>
      <w:marRight w:val="0"/>
      <w:marTop w:val="0"/>
      <w:marBottom w:val="0"/>
      <w:divBdr>
        <w:top w:val="none" w:sz="0" w:space="0" w:color="auto"/>
        <w:left w:val="none" w:sz="0" w:space="0" w:color="auto"/>
        <w:bottom w:val="none" w:sz="0" w:space="0" w:color="auto"/>
        <w:right w:val="none" w:sz="0" w:space="0" w:color="auto"/>
      </w:divBdr>
    </w:div>
    <w:div w:id="1895963274">
      <w:bodyDiv w:val="1"/>
      <w:marLeft w:val="0"/>
      <w:marRight w:val="0"/>
      <w:marTop w:val="0"/>
      <w:marBottom w:val="0"/>
      <w:divBdr>
        <w:top w:val="none" w:sz="0" w:space="0" w:color="auto"/>
        <w:left w:val="none" w:sz="0" w:space="0" w:color="auto"/>
        <w:bottom w:val="none" w:sz="0" w:space="0" w:color="auto"/>
        <w:right w:val="none" w:sz="0" w:space="0" w:color="auto"/>
      </w:divBdr>
    </w:div>
    <w:div w:id="1898275034">
      <w:bodyDiv w:val="1"/>
      <w:marLeft w:val="0"/>
      <w:marRight w:val="0"/>
      <w:marTop w:val="0"/>
      <w:marBottom w:val="0"/>
      <w:divBdr>
        <w:top w:val="none" w:sz="0" w:space="0" w:color="auto"/>
        <w:left w:val="none" w:sz="0" w:space="0" w:color="auto"/>
        <w:bottom w:val="none" w:sz="0" w:space="0" w:color="auto"/>
        <w:right w:val="none" w:sz="0" w:space="0" w:color="auto"/>
      </w:divBdr>
      <w:divsChild>
        <w:div w:id="392120735">
          <w:marLeft w:val="0"/>
          <w:marRight w:val="0"/>
          <w:marTop w:val="0"/>
          <w:marBottom w:val="0"/>
          <w:divBdr>
            <w:top w:val="none" w:sz="0" w:space="0" w:color="auto"/>
            <w:left w:val="none" w:sz="0" w:space="0" w:color="auto"/>
            <w:bottom w:val="none" w:sz="0" w:space="0" w:color="auto"/>
            <w:right w:val="none" w:sz="0" w:space="0" w:color="auto"/>
          </w:divBdr>
          <w:divsChild>
            <w:div w:id="1808694338">
              <w:marLeft w:val="0"/>
              <w:marRight w:val="0"/>
              <w:marTop w:val="0"/>
              <w:marBottom w:val="0"/>
              <w:divBdr>
                <w:top w:val="none" w:sz="0" w:space="0" w:color="auto"/>
                <w:left w:val="none" w:sz="0" w:space="0" w:color="auto"/>
                <w:bottom w:val="none" w:sz="0" w:space="0" w:color="auto"/>
                <w:right w:val="none" w:sz="0" w:space="0" w:color="auto"/>
              </w:divBdr>
              <w:divsChild>
                <w:div w:id="100270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052092">
      <w:bodyDiv w:val="1"/>
      <w:marLeft w:val="0"/>
      <w:marRight w:val="0"/>
      <w:marTop w:val="0"/>
      <w:marBottom w:val="0"/>
      <w:divBdr>
        <w:top w:val="none" w:sz="0" w:space="0" w:color="auto"/>
        <w:left w:val="none" w:sz="0" w:space="0" w:color="auto"/>
        <w:bottom w:val="none" w:sz="0" w:space="0" w:color="auto"/>
        <w:right w:val="none" w:sz="0" w:space="0" w:color="auto"/>
      </w:divBdr>
      <w:divsChild>
        <w:div w:id="1413427760">
          <w:marLeft w:val="0"/>
          <w:marRight w:val="0"/>
          <w:marTop w:val="0"/>
          <w:marBottom w:val="0"/>
          <w:divBdr>
            <w:top w:val="none" w:sz="0" w:space="0" w:color="auto"/>
            <w:left w:val="none" w:sz="0" w:space="0" w:color="auto"/>
            <w:bottom w:val="none" w:sz="0" w:space="0" w:color="auto"/>
            <w:right w:val="none" w:sz="0" w:space="0" w:color="auto"/>
          </w:divBdr>
          <w:divsChild>
            <w:div w:id="858665659">
              <w:marLeft w:val="0"/>
              <w:marRight w:val="0"/>
              <w:marTop w:val="0"/>
              <w:marBottom w:val="0"/>
              <w:divBdr>
                <w:top w:val="none" w:sz="0" w:space="0" w:color="auto"/>
                <w:left w:val="none" w:sz="0" w:space="0" w:color="auto"/>
                <w:bottom w:val="none" w:sz="0" w:space="0" w:color="auto"/>
                <w:right w:val="none" w:sz="0" w:space="0" w:color="auto"/>
              </w:divBdr>
              <w:divsChild>
                <w:div w:id="575240745">
                  <w:marLeft w:val="0"/>
                  <w:marRight w:val="0"/>
                  <w:marTop w:val="0"/>
                  <w:marBottom w:val="0"/>
                  <w:divBdr>
                    <w:top w:val="none" w:sz="0" w:space="0" w:color="auto"/>
                    <w:left w:val="none" w:sz="0" w:space="0" w:color="auto"/>
                    <w:bottom w:val="none" w:sz="0" w:space="0" w:color="auto"/>
                    <w:right w:val="none" w:sz="0" w:space="0" w:color="auto"/>
                  </w:divBdr>
                  <w:divsChild>
                    <w:div w:id="101110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971328">
      <w:bodyDiv w:val="1"/>
      <w:marLeft w:val="0"/>
      <w:marRight w:val="0"/>
      <w:marTop w:val="0"/>
      <w:marBottom w:val="0"/>
      <w:divBdr>
        <w:top w:val="none" w:sz="0" w:space="0" w:color="auto"/>
        <w:left w:val="none" w:sz="0" w:space="0" w:color="auto"/>
        <w:bottom w:val="none" w:sz="0" w:space="0" w:color="auto"/>
        <w:right w:val="none" w:sz="0" w:space="0" w:color="auto"/>
      </w:divBdr>
    </w:div>
    <w:div w:id="1901163419">
      <w:bodyDiv w:val="1"/>
      <w:marLeft w:val="0"/>
      <w:marRight w:val="0"/>
      <w:marTop w:val="0"/>
      <w:marBottom w:val="0"/>
      <w:divBdr>
        <w:top w:val="none" w:sz="0" w:space="0" w:color="auto"/>
        <w:left w:val="none" w:sz="0" w:space="0" w:color="auto"/>
        <w:bottom w:val="none" w:sz="0" w:space="0" w:color="auto"/>
        <w:right w:val="none" w:sz="0" w:space="0" w:color="auto"/>
      </w:divBdr>
    </w:div>
    <w:div w:id="1901751033">
      <w:bodyDiv w:val="1"/>
      <w:marLeft w:val="0"/>
      <w:marRight w:val="0"/>
      <w:marTop w:val="0"/>
      <w:marBottom w:val="0"/>
      <w:divBdr>
        <w:top w:val="none" w:sz="0" w:space="0" w:color="auto"/>
        <w:left w:val="none" w:sz="0" w:space="0" w:color="auto"/>
        <w:bottom w:val="none" w:sz="0" w:space="0" w:color="auto"/>
        <w:right w:val="none" w:sz="0" w:space="0" w:color="auto"/>
      </w:divBdr>
    </w:div>
    <w:div w:id="1901864408">
      <w:bodyDiv w:val="1"/>
      <w:marLeft w:val="0"/>
      <w:marRight w:val="0"/>
      <w:marTop w:val="0"/>
      <w:marBottom w:val="0"/>
      <w:divBdr>
        <w:top w:val="none" w:sz="0" w:space="0" w:color="auto"/>
        <w:left w:val="none" w:sz="0" w:space="0" w:color="auto"/>
        <w:bottom w:val="none" w:sz="0" w:space="0" w:color="auto"/>
        <w:right w:val="none" w:sz="0" w:space="0" w:color="auto"/>
      </w:divBdr>
    </w:div>
    <w:div w:id="1902517006">
      <w:bodyDiv w:val="1"/>
      <w:marLeft w:val="0"/>
      <w:marRight w:val="0"/>
      <w:marTop w:val="0"/>
      <w:marBottom w:val="0"/>
      <w:divBdr>
        <w:top w:val="none" w:sz="0" w:space="0" w:color="auto"/>
        <w:left w:val="none" w:sz="0" w:space="0" w:color="auto"/>
        <w:bottom w:val="none" w:sz="0" w:space="0" w:color="auto"/>
        <w:right w:val="none" w:sz="0" w:space="0" w:color="auto"/>
      </w:divBdr>
    </w:div>
    <w:div w:id="1902787667">
      <w:bodyDiv w:val="1"/>
      <w:marLeft w:val="0"/>
      <w:marRight w:val="0"/>
      <w:marTop w:val="0"/>
      <w:marBottom w:val="0"/>
      <w:divBdr>
        <w:top w:val="none" w:sz="0" w:space="0" w:color="auto"/>
        <w:left w:val="none" w:sz="0" w:space="0" w:color="auto"/>
        <w:bottom w:val="none" w:sz="0" w:space="0" w:color="auto"/>
        <w:right w:val="none" w:sz="0" w:space="0" w:color="auto"/>
      </w:divBdr>
    </w:div>
    <w:div w:id="1903132054">
      <w:bodyDiv w:val="1"/>
      <w:marLeft w:val="0"/>
      <w:marRight w:val="0"/>
      <w:marTop w:val="0"/>
      <w:marBottom w:val="0"/>
      <w:divBdr>
        <w:top w:val="none" w:sz="0" w:space="0" w:color="auto"/>
        <w:left w:val="none" w:sz="0" w:space="0" w:color="auto"/>
        <w:bottom w:val="none" w:sz="0" w:space="0" w:color="auto"/>
        <w:right w:val="none" w:sz="0" w:space="0" w:color="auto"/>
      </w:divBdr>
    </w:div>
    <w:div w:id="1903523728">
      <w:bodyDiv w:val="1"/>
      <w:marLeft w:val="0"/>
      <w:marRight w:val="0"/>
      <w:marTop w:val="0"/>
      <w:marBottom w:val="0"/>
      <w:divBdr>
        <w:top w:val="none" w:sz="0" w:space="0" w:color="auto"/>
        <w:left w:val="none" w:sz="0" w:space="0" w:color="auto"/>
        <w:bottom w:val="none" w:sz="0" w:space="0" w:color="auto"/>
        <w:right w:val="none" w:sz="0" w:space="0" w:color="auto"/>
      </w:divBdr>
    </w:div>
    <w:div w:id="1904946705">
      <w:bodyDiv w:val="1"/>
      <w:marLeft w:val="0"/>
      <w:marRight w:val="0"/>
      <w:marTop w:val="0"/>
      <w:marBottom w:val="0"/>
      <w:divBdr>
        <w:top w:val="none" w:sz="0" w:space="0" w:color="auto"/>
        <w:left w:val="none" w:sz="0" w:space="0" w:color="auto"/>
        <w:bottom w:val="none" w:sz="0" w:space="0" w:color="auto"/>
        <w:right w:val="none" w:sz="0" w:space="0" w:color="auto"/>
      </w:divBdr>
    </w:div>
    <w:div w:id="1905875681">
      <w:bodyDiv w:val="1"/>
      <w:marLeft w:val="0"/>
      <w:marRight w:val="0"/>
      <w:marTop w:val="0"/>
      <w:marBottom w:val="0"/>
      <w:divBdr>
        <w:top w:val="none" w:sz="0" w:space="0" w:color="auto"/>
        <w:left w:val="none" w:sz="0" w:space="0" w:color="auto"/>
        <w:bottom w:val="none" w:sz="0" w:space="0" w:color="auto"/>
        <w:right w:val="none" w:sz="0" w:space="0" w:color="auto"/>
      </w:divBdr>
    </w:div>
    <w:div w:id="1906184219">
      <w:bodyDiv w:val="1"/>
      <w:marLeft w:val="0"/>
      <w:marRight w:val="0"/>
      <w:marTop w:val="0"/>
      <w:marBottom w:val="0"/>
      <w:divBdr>
        <w:top w:val="none" w:sz="0" w:space="0" w:color="auto"/>
        <w:left w:val="none" w:sz="0" w:space="0" w:color="auto"/>
        <w:bottom w:val="none" w:sz="0" w:space="0" w:color="auto"/>
        <w:right w:val="none" w:sz="0" w:space="0" w:color="auto"/>
      </w:divBdr>
      <w:divsChild>
        <w:div w:id="1522428531">
          <w:marLeft w:val="0"/>
          <w:marRight w:val="0"/>
          <w:marTop w:val="0"/>
          <w:marBottom w:val="0"/>
          <w:divBdr>
            <w:top w:val="none" w:sz="0" w:space="0" w:color="auto"/>
            <w:left w:val="none" w:sz="0" w:space="0" w:color="auto"/>
            <w:bottom w:val="none" w:sz="0" w:space="0" w:color="auto"/>
            <w:right w:val="none" w:sz="0" w:space="0" w:color="auto"/>
          </w:divBdr>
          <w:divsChild>
            <w:div w:id="1704751157">
              <w:marLeft w:val="0"/>
              <w:marRight w:val="0"/>
              <w:marTop w:val="0"/>
              <w:marBottom w:val="0"/>
              <w:divBdr>
                <w:top w:val="none" w:sz="0" w:space="0" w:color="auto"/>
                <w:left w:val="none" w:sz="0" w:space="0" w:color="auto"/>
                <w:bottom w:val="none" w:sz="0" w:space="0" w:color="auto"/>
                <w:right w:val="none" w:sz="0" w:space="0" w:color="auto"/>
              </w:divBdr>
              <w:divsChild>
                <w:div w:id="538009242">
                  <w:marLeft w:val="0"/>
                  <w:marRight w:val="0"/>
                  <w:marTop w:val="0"/>
                  <w:marBottom w:val="0"/>
                  <w:divBdr>
                    <w:top w:val="none" w:sz="0" w:space="0" w:color="auto"/>
                    <w:left w:val="none" w:sz="0" w:space="0" w:color="auto"/>
                    <w:bottom w:val="none" w:sz="0" w:space="0" w:color="auto"/>
                    <w:right w:val="none" w:sz="0" w:space="0" w:color="auto"/>
                  </w:divBdr>
                  <w:divsChild>
                    <w:div w:id="173357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335335">
      <w:bodyDiv w:val="1"/>
      <w:marLeft w:val="0"/>
      <w:marRight w:val="0"/>
      <w:marTop w:val="0"/>
      <w:marBottom w:val="0"/>
      <w:divBdr>
        <w:top w:val="none" w:sz="0" w:space="0" w:color="auto"/>
        <w:left w:val="none" w:sz="0" w:space="0" w:color="auto"/>
        <w:bottom w:val="none" w:sz="0" w:space="0" w:color="auto"/>
        <w:right w:val="none" w:sz="0" w:space="0" w:color="auto"/>
      </w:divBdr>
      <w:divsChild>
        <w:div w:id="1000697476">
          <w:marLeft w:val="0"/>
          <w:marRight w:val="0"/>
          <w:marTop w:val="0"/>
          <w:marBottom w:val="0"/>
          <w:divBdr>
            <w:top w:val="none" w:sz="0" w:space="0" w:color="auto"/>
            <w:left w:val="none" w:sz="0" w:space="0" w:color="auto"/>
            <w:bottom w:val="none" w:sz="0" w:space="0" w:color="auto"/>
            <w:right w:val="none" w:sz="0" w:space="0" w:color="auto"/>
          </w:divBdr>
          <w:divsChild>
            <w:div w:id="241650047">
              <w:marLeft w:val="0"/>
              <w:marRight w:val="0"/>
              <w:marTop w:val="0"/>
              <w:marBottom w:val="0"/>
              <w:divBdr>
                <w:top w:val="none" w:sz="0" w:space="0" w:color="auto"/>
                <w:left w:val="none" w:sz="0" w:space="0" w:color="auto"/>
                <w:bottom w:val="none" w:sz="0" w:space="0" w:color="auto"/>
                <w:right w:val="none" w:sz="0" w:space="0" w:color="auto"/>
              </w:divBdr>
              <w:divsChild>
                <w:div w:id="482045269">
                  <w:marLeft w:val="0"/>
                  <w:marRight w:val="0"/>
                  <w:marTop w:val="0"/>
                  <w:marBottom w:val="0"/>
                  <w:divBdr>
                    <w:top w:val="none" w:sz="0" w:space="0" w:color="auto"/>
                    <w:left w:val="none" w:sz="0" w:space="0" w:color="auto"/>
                    <w:bottom w:val="none" w:sz="0" w:space="0" w:color="auto"/>
                    <w:right w:val="none" w:sz="0" w:space="0" w:color="auto"/>
                  </w:divBdr>
                  <w:divsChild>
                    <w:div w:id="319776302">
                      <w:marLeft w:val="0"/>
                      <w:marRight w:val="0"/>
                      <w:marTop w:val="0"/>
                      <w:marBottom w:val="0"/>
                      <w:divBdr>
                        <w:top w:val="none" w:sz="0" w:space="0" w:color="auto"/>
                        <w:left w:val="none" w:sz="0" w:space="0" w:color="auto"/>
                        <w:bottom w:val="none" w:sz="0" w:space="0" w:color="auto"/>
                        <w:right w:val="none" w:sz="0" w:space="0" w:color="auto"/>
                      </w:divBdr>
                    </w:div>
                  </w:divsChild>
                </w:div>
                <w:div w:id="1044595270">
                  <w:marLeft w:val="0"/>
                  <w:marRight w:val="0"/>
                  <w:marTop w:val="0"/>
                  <w:marBottom w:val="0"/>
                  <w:divBdr>
                    <w:top w:val="none" w:sz="0" w:space="0" w:color="auto"/>
                    <w:left w:val="none" w:sz="0" w:space="0" w:color="auto"/>
                    <w:bottom w:val="none" w:sz="0" w:space="0" w:color="auto"/>
                    <w:right w:val="none" w:sz="0" w:space="0" w:color="auto"/>
                  </w:divBdr>
                  <w:divsChild>
                    <w:div w:id="68933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913350">
      <w:bodyDiv w:val="1"/>
      <w:marLeft w:val="0"/>
      <w:marRight w:val="0"/>
      <w:marTop w:val="0"/>
      <w:marBottom w:val="0"/>
      <w:divBdr>
        <w:top w:val="none" w:sz="0" w:space="0" w:color="auto"/>
        <w:left w:val="none" w:sz="0" w:space="0" w:color="auto"/>
        <w:bottom w:val="none" w:sz="0" w:space="0" w:color="auto"/>
        <w:right w:val="none" w:sz="0" w:space="0" w:color="auto"/>
      </w:divBdr>
    </w:div>
    <w:div w:id="1907304393">
      <w:bodyDiv w:val="1"/>
      <w:marLeft w:val="0"/>
      <w:marRight w:val="0"/>
      <w:marTop w:val="0"/>
      <w:marBottom w:val="0"/>
      <w:divBdr>
        <w:top w:val="none" w:sz="0" w:space="0" w:color="auto"/>
        <w:left w:val="none" w:sz="0" w:space="0" w:color="auto"/>
        <w:bottom w:val="none" w:sz="0" w:space="0" w:color="auto"/>
        <w:right w:val="none" w:sz="0" w:space="0" w:color="auto"/>
      </w:divBdr>
    </w:div>
    <w:div w:id="1907370578">
      <w:bodyDiv w:val="1"/>
      <w:marLeft w:val="0"/>
      <w:marRight w:val="0"/>
      <w:marTop w:val="0"/>
      <w:marBottom w:val="0"/>
      <w:divBdr>
        <w:top w:val="none" w:sz="0" w:space="0" w:color="auto"/>
        <w:left w:val="none" w:sz="0" w:space="0" w:color="auto"/>
        <w:bottom w:val="none" w:sz="0" w:space="0" w:color="auto"/>
        <w:right w:val="none" w:sz="0" w:space="0" w:color="auto"/>
      </w:divBdr>
    </w:div>
    <w:div w:id="1907446999">
      <w:bodyDiv w:val="1"/>
      <w:marLeft w:val="0"/>
      <w:marRight w:val="0"/>
      <w:marTop w:val="0"/>
      <w:marBottom w:val="0"/>
      <w:divBdr>
        <w:top w:val="none" w:sz="0" w:space="0" w:color="auto"/>
        <w:left w:val="none" w:sz="0" w:space="0" w:color="auto"/>
        <w:bottom w:val="none" w:sz="0" w:space="0" w:color="auto"/>
        <w:right w:val="none" w:sz="0" w:space="0" w:color="auto"/>
      </w:divBdr>
    </w:div>
    <w:div w:id="1907717598">
      <w:bodyDiv w:val="1"/>
      <w:marLeft w:val="0"/>
      <w:marRight w:val="0"/>
      <w:marTop w:val="0"/>
      <w:marBottom w:val="0"/>
      <w:divBdr>
        <w:top w:val="none" w:sz="0" w:space="0" w:color="auto"/>
        <w:left w:val="none" w:sz="0" w:space="0" w:color="auto"/>
        <w:bottom w:val="none" w:sz="0" w:space="0" w:color="auto"/>
        <w:right w:val="none" w:sz="0" w:space="0" w:color="auto"/>
      </w:divBdr>
    </w:div>
    <w:div w:id="1907914025">
      <w:bodyDiv w:val="1"/>
      <w:marLeft w:val="0"/>
      <w:marRight w:val="0"/>
      <w:marTop w:val="0"/>
      <w:marBottom w:val="0"/>
      <w:divBdr>
        <w:top w:val="none" w:sz="0" w:space="0" w:color="auto"/>
        <w:left w:val="none" w:sz="0" w:space="0" w:color="auto"/>
        <w:bottom w:val="none" w:sz="0" w:space="0" w:color="auto"/>
        <w:right w:val="none" w:sz="0" w:space="0" w:color="auto"/>
      </w:divBdr>
    </w:div>
    <w:div w:id="1908221784">
      <w:bodyDiv w:val="1"/>
      <w:marLeft w:val="0"/>
      <w:marRight w:val="0"/>
      <w:marTop w:val="0"/>
      <w:marBottom w:val="0"/>
      <w:divBdr>
        <w:top w:val="none" w:sz="0" w:space="0" w:color="auto"/>
        <w:left w:val="none" w:sz="0" w:space="0" w:color="auto"/>
        <w:bottom w:val="none" w:sz="0" w:space="0" w:color="auto"/>
        <w:right w:val="none" w:sz="0" w:space="0" w:color="auto"/>
      </w:divBdr>
    </w:div>
    <w:div w:id="1908834011">
      <w:bodyDiv w:val="1"/>
      <w:marLeft w:val="0"/>
      <w:marRight w:val="0"/>
      <w:marTop w:val="0"/>
      <w:marBottom w:val="0"/>
      <w:divBdr>
        <w:top w:val="none" w:sz="0" w:space="0" w:color="auto"/>
        <w:left w:val="none" w:sz="0" w:space="0" w:color="auto"/>
        <w:bottom w:val="none" w:sz="0" w:space="0" w:color="auto"/>
        <w:right w:val="none" w:sz="0" w:space="0" w:color="auto"/>
      </w:divBdr>
    </w:div>
    <w:div w:id="1909070245">
      <w:bodyDiv w:val="1"/>
      <w:marLeft w:val="0"/>
      <w:marRight w:val="0"/>
      <w:marTop w:val="0"/>
      <w:marBottom w:val="0"/>
      <w:divBdr>
        <w:top w:val="none" w:sz="0" w:space="0" w:color="auto"/>
        <w:left w:val="none" w:sz="0" w:space="0" w:color="auto"/>
        <w:bottom w:val="none" w:sz="0" w:space="0" w:color="auto"/>
        <w:right w:val="none" w:sz="0" w:space="0" w:color="auto"/>
      </w:divBdr>
    </w:div>
    <w:div w:id="1909878982">
      <w:bodyDiv w:val="1"/>
      <w:marLeft w:val="0"/>
      <w:marRight w:val="0"/>
      <w:marTop w:val="0"/>
      <w:marBottom w:val="0"/>
      <w:divBdr>
        <w:top w:val="none" w:sz="0" w:space="0" w:color="auto"/>
        <w:left w:val="none" w:sz="0" w:space="0" w:color="auto"/>
        <w:bottom w:val="none" w:sz="0" w:space="0" w:color="auto"/>
        <w:right w:val="none" w:sz="0" w:space="0" w:color="auto"/>
      </w:divBdr>
    </w:div>
    <w:div w:id="1910649963">
      <w:bodyDiv w:val="1"/>
      <w:marLeft w:val="0"/>
      <w:marRight w:val="0"/>
      <w:marTop w:val="0"/>
      <w:marBottom w:val="0"/>
      <w:divBdr>
        <w:top w:val="none" w:sz="0" w:space="0" w:color="auto"/>
        <w:left w:val="none" w:sz="0" w:space="0" w:color="auto"/>
        <w:bottom w:val="none" w:sz="0" w:space="0" w:color="auto"/>
        <w:right w:val="none" w:sz="0" w:space="0" w:color="auto"/>
      </w:divBdr>
      <w:divsChild>
        <w:div w:id="629243539">
          <w:marLeft w:val="0"/>
          <w:marRight w:val="0"/>
          <w:marTop w:val="0"/>
          <w:marBottom w:val="0"/>
          <w:divBdr>
            <w:top w:val="none" w:sz="0" w:space="0" w:color="auto"/>
            <w:left w:val="none" w:sz="0" w:space="0" w:color="auto"/>
            <w:bottom w:val="none" w:sz="0" w:space="0" w:color="auto"/>
            <w:right w:val="none" w:sz="0" w:space="0" w:color="auto"/>
          </w:divBdr>
          <w:divsChild>
            <w:div w:id="1130512096">
              <w:marLeft w:val="0"/>
              <w:marRight w:val="0"/>
              <w:marTop w:val="0"/>
              <w:marBottom w:val="0"/>
              <w:divBdr>
                <w:top w:val="none" w:sz="0" w:space="0" w:color="auto"/>
                <w:left w:val="none" w:sz="0" w:space="0" w:color="auto"/>
                <w:bottom w:val="none" w:sz="0" w:space="0" w:color="auto"/>
                <w:right w:val="none" w:sz="0" w:space="0" w:color="auto"/>
              </w:divBdr>
              <w:divsChild>
                <w:div w:id="286591999">
                  <w:marLeft w:val="0"/>
                  <w:marRight w:val="0"/>
                  <w:marTop w:val="0"/>
                  <w:marBottom w:val="0"/>
                  <w:divBdr>
                    <w:top w:val="none" w:sz="0" w:space="0" w:color="auto"/>
                    <w:left w:val="none" w:sz="0" w:space="0" w:color="auto"/>
                    <w:bottom w:val="none" w:sz="0" w:space="0" w:color="auto"/>
                    <w:right w:val="none" w:sz="0" w:space="0" w:color="auto"/>
                  </w:divBdr>
                  <w:divsChild>
                    <w:div w:id="13304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727810">
      <w:bodyDiv w:val="1"/>
      <w:marLeft w:val="0"/>
      <w:marRight w:val="0"/>
      <w:marTop w:val="0"/>
      <w:marBottom w:val="0"/>
      <w:divBdr>
        <w:top w:val="none" w:sz="0" w:space="0" w:color="auto"/>
        <w:left w:val="none" w:sz="0" w:space="0" w:color="auto"/>
        <w:bottom w:val="none" w:sz="0" w:space="0" w:color="auto"/>
        <w:right w:val="none" w:sz="0" w:space="0" w:color="auto"/>
      </w:divBdr>
    </w:div>
    <w:div w:id="1912032890">
      <w:bodyDiv w:val="1"/>
      <w:marLeft w:val="0"/>
      <w:marRight w:val="0"/>
      <w:marTop w:val="0"/>
      <w:marBottom w:val="0"/>
      <w:divBdr>
        <w:top w:val="none" w:sz="0" w:space="0" w:color="auto"/>
        <w:left w:val="none" w:sz="0" w:space="0" w:color="auto"/>
        <w:bottom w:val="none" w:sz="0" w:space="0" w:color="auto"/>
        <w:right w:val="none" w:sz="0" w:space="0" w:color="auto"/>
      </w:divBdr>
      <w:divsChild>
        <w:div w:id="1654530420">
          <w:marLeft w:val="0"/>
          <w:marRight w:val="0"/>
          <w:marTop w:val="0"/>
          <w:marBottom w:val="0"/>
          <w:divBdr>
            <w:top w:val="none" w:sz="0" w:space="0" w:color="auto"/>
            <w:left w:val="none" w:sz="0" w:space="0" w:color="auto"/>
            <w:bottom w:val="none" w:sz="0" w:space="0" w:color="auto"/>
            <w:right w:val="none" w:sz="0" w:space="0" w:color="auto"/>
          </w:divBdr>
          <w:divsChild>
            <w:div w:id="1188712836">
              <w:marLeft w:val="0"/>
              <w:marRight w:val="0"/>
              <w:marTop w:val="0"/>
              <w:marBottom w:val="0"/>
              <w:divBdr>
                <w:top w:val="none" w:sz="0" w:space="0" w:color="auto"/>
                <w:left w:val="none" w:sz="0" w:space="0" w:color="auto"/>
                <w:bottom w:val="none" w:sz="0" w:space="0" w:color="auto"/>
                <w:right w:val="none" w:sz="0" w:space="0" w:color="auto"/>
              </w:divBdr>
              <w:divsChild>
                <w:div w:id="1622957828">
                  <w:marLeft w:val="0"/>
                  <w:marRight w:val="0"/>
                  <w:marTop w:val="0"/>
                  <w:marBottom w:val="0"/>
                  <w:divBdr>
                    <w:top w:val="none" w:sz="0" w:space="0" w:color="auto"/>
                    <w:left w:val="none" w:sz="0" w:space="0" w:color="auto"/>
                    <w:bottom w:val="none" w:sz="0" w:space="0" w:color="auto"/>
                    <w:right w:val="none" w:sz="0" w:space="0" w:color="auto"/>
                  </w:divBdr>
                  <w:divsChild>
                    <w:div w:id="2145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20733">
      <w:bodyDiv w:val="1"/>
      <w:marLeft w:val="0"/>
      <w:marRight w:val="0"/>
      <w:marTop w:val="0"/>
      <w:marBottom w:val="0"/>
      <w:divBdr>
        <w:top w:val="none" w:sz="0" w:space="0" w:color="auto"/>
        <w:left w:val="none" w:sz="0" w:space="0" w:color="auto"/>
        <w:bottom w:val="none" w:sz="0" w:space="0" w:color="auto"/>
        <w:right w:val="none" w:sz="0" w:space="0" w:color="auto"/>
      </w:divBdr>
    </w:div>
    <w:div w:id="1913657754">
      <w:bodyDiv w:val="1"/>
      <w:marLeft w:val="0"/>
      <w:marRight w:val="0"/>
      <w:marTop w:val="0"/>
      <w:marBottom w:val="0"/>
      <w:divBdr>
        <w:top w:val="none" w:sz="0" w:space="0" w:color="auto"/>
        <w:left w:val="none" w:sz="0" w:space="0" w:color="auto"/>
        <w:bottom w:val="none" w:sz="0" w:space="0" w:color="auto"/>
        <w:right w:val="none" w:sz="0" w:space="0" w:color="auto"/>
      </w:divBdr>
    </w:div>
    <w:div w:id="1914925682">
      <w:bodyDiv w:val="1"/>
      <w:marLeft w:val="0"/>
      <w:marRight w:val="0"/>
      <w:marTop w:val="0"/>
      <w:marBottom w:val="0"/>
      <w:divBdr>
        <w:top w:val="none" w:sz="0" w:space="0" w:color="auto"/>
        <w:left w:val="none" w:sz="0" w:space="0" w:color="auto"/>
        <w:bottom w:val="none" w:sz="0" w:space="0" w:color="auto"/>
        <w:right w:val="none" w:sz="0" w:space="0" w:color="auto"/>
      </w:divBdr>
    </w:div>
    <w:div w:id="1915506187">
      <w:bodyDiv w:val="1"/>
      <w:marLeft w:val="0"/>
      <w:marRight w:val="0"/>
      <w:marTop w:val="0"/>
      <w:marBottom w:val="0"/>
      <w:divBdr>
        <w:top w:val="none" w:sz="0" w:space="0" w:color="auto"/>
        <w:left w:val="none" w:sz="0" w:space="0" w:color="auto"/>
        <w:bottom w:val="none" w:sz="0" w:space="0" w:color="auto"/>
        <w:right w:val="none" w:sz="0" w:space="0" w:color="auto"/>
      </w:divBdr>
    </w:div>
    <w:div w:id="1915581651">
      <w:bodyDiv w:val="1"/>
      <w:marLeft w:val="0"/>
      <w:marRight w:val="0"/>
      <w:marTop w:val="0"/>
      <w:marBottom w:val="0"/>
      <w:divBdr>
        <w:top w:val="none" w:sz="0" w:space="0" w:color="auto"/>
        <w:left w:val="none" w:sz="0" w:space="0" w:color="auto"/>
        <w:bottom w:val="none" w:sz="0" w:space="0" w:color="auto"/>
        <w:right w:val="none" w:sz="0" w:space="0" w:color="auto"/>
      </w:divBdr>
    </w:div>
    <w:div w:id="1916165742">
      <w:bodyDiv w:val="1"/>
      <w:marLeft w:val="0"/>
      <w:marRight w:val="0"/>
      <w:marTop w:val="0"/>
      <w:marBottom w:val="0"/>
      <w:divBdr>
        <w:top w:val="none" w:sz="0" w:space="0" w:color="auto"/>
        <w:left w:val="none" w:sz="0" w:space="0" w:color="auto"/>
        <w:bottom w:val="none" w:sz="0" w:space="0" w:color="auto"/>
        <w:right w:val="none" w:sz="0" w:space="0" w:color="auto"/>
      </w:divBdr>
    </w:div>
    <w:div w:id="1917090397">
      <w:bodyDiv w:val="1"/>
      <w:marLeft w:val="0"/>
      <w:marRight w:val="0"/>
      <w:marTop w:val="0"/>
      <w:marBottom w:val="0"/>
      <w:divBdr>
        <w:top w:val="none" w:sz="0" w:space="0" w:color="auto"/>
        <w:left w:val="none" w:sz="0" w:space="0" w:color="auto"/>
        <w:bottom w:val="none" w:sz="0" w:space="0" w:color="auto"/>
        <w:right w:val="none" w:sz="0" w:space="0" w:color="auto"/>
      </w:divBdr>
      <w:divsChild>
        <w:div w:id="430857369">
          <w:marLeft w:val="0"/>
          <w:marRight w:val="0"/>
          <w:marTop w:val="0"/>
          <w:marBottom w:val="0"/>
          <w:divBdr>
            <w:top w:val="none" w:sz="0" w:space="0" w:color="auto"/>
            <w:left w:val="none" w:sz="0" w:space="0" w:color="auto"/>
            <w:bottom w:val="none" w:sz="0" w:space="0" w:color="auto"/>
            <w:right w:val="none" w:sz="0" w:space="0" w:color="auto"/>
          </w:divBdr>
          <w:divsChild>
            <w:div w:id="899288579">
              <w:marLeft w:val="0"/>
              <w:marRight w:val="0"/>
              <w:marTop w:val="0"/>
              <w:marBottom w:val="0"/>
              <w:divBdr>
                <w:top w:val="none" w:sz="0" w:space="0" w:color="auto"/>
                <w:left w:val="none" w:sz="0" w:space="0" w:color="auto"/>
                <w:bottom w:val="none" w:sz="0" w:space="0" w:color="auto"/>
                <w:right w:val="none" w:sz="0" w:space="0" w:color="auto"/>
              </w:divBdr>
              <w:divsChild>
                <w:div w:id="1280650201">
                  <w:marLeft w:val="0"/>
                  <w:marRight w:val="0"/>
                  <w:marTop w:val="0"/>
                  <w:marBottom w:val="0"/>
                  <w:divBdr>
                    <w:top w:val="none" w:sz="0" w:space="0" w:color="auto"/>
                    <w:left w:val="none" w:sz="0" w:space="0" w:color="auto"/>
                    <w:bottom w:val="none" w:sz="0" w:space="0" w:color="auto"/>
                    <w:right w:val="none" w:sz="0" w:space="0" w:color="auto"/>
                  </w:divBdr>
                  <w:divsChild>
                    <w:div w:id="1073357004">
                      <w:marLeft w:val="0"/>
                      <w:marRight w:val="0"/>
                      <w:marTop w:val="0"/>
                      <w:marBottom w:val="0"/>
                      <w:divBdr>
                        <w:top w:val="none" w:sz="0" w:space="0" w:color="auto"/>
                        <w:left w:val="none" w:sz="0" w:space="0" w:color="auto"/>
                        <w:bottom w:val="none" w:sz="0" w:space="0" w:color="auto"/>
                        <w:right w:val="none" w:sz="0" w:space="0" w:color="auto"/>
                      </w:divBdr>
                    </w:div>
                  </w:divsChild>
                </w:div>
                <w:div w:id="1811751413">
                  <w:marLeft w:val="0"/>
                  <w:marRight w:val="0"/>
                  <w:marTop w:val="0"/>
                  <w:marBottom w:val="0"/>
                  <w:divBdr>
                    <w:top w:val="none" w:sz="0" w:space="0" w:color="auto"/>
                    <w:left w:val="none" w:sz="0" w:space="0" w:color="auto"/>
                    <w:bottom w:val="none" w:sz="0" w:space="0" w:color="auto"/>
                    <w:right w:val="none" w:sz="0" w:space="0" w:color="auto"/>
                  </w:divBdr>
                  <w:divsChild>
                    <w:div w:id="20746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325763">
      <w:bodyDiv w:val="1"/>
      <w:marLeft w:val="0"/>
      <w:marRight w:val="0"/>
      <w:marTop w:val="0"/>
      <w:marBottom w:val="0"/>
      <w:divBdr>
        <w:top w:val="none" w:sz="0" w:space="0" w:color="auto"/>
        <w:left w:val="none" w:sz="0" w:space="0" w:color="auto"/>
        <w:bottom w:val="none" w:sz="0" w:space="0" w:color="auto"/>
        <w:right w:val="none" w:sz="0" w:space="0" w:color="auto"/>
      </w:divBdr>
    </w:div>
    <w:div w:id="1918006399">
      <w:bodyDiv w:val="1"/>
      <w:marLeft w:val="0"/>
      <w:marRight w:val="0"/>
      <w:marTop w:val="0"/>
      <w:marBottom w:val="0"/>
      <w:divBdr>
        <w:top w:val="none" w:sz="0" w:space="0" w:color="auto"/>
        <w:left w:val="none" w:sz="0" w:space="0" w:color="auto"/>
        <w:bottom w:val="none" w:sz="0" w:space="0" w:color="auto"/>
        <w:right w:val="none" w:sz="0" w:space="0" w:color="auto"/>
      </w:divBdr>
    </w:div>
    <w:div w:id="1918200649">
      <w:bodyDiv w:val="1"/>
      <w:marLeft w:val="0"/>
      <w:marRight w:val="0"/>
      <w:marTop w:val="0"/>
      <w:marBottom w:val="0"/>
      <w:divBdr>
        <w:top w:val="none" w:sz="0" w:space="0" w:color="auto"/>
        <w:left w:val="none" w:sz="0" w:space="0" w:color="auto"/>
        <w:bottom w:val="none" w:sz="0" w:space="0" w:color="auto"/>
        <w:right w:val="none" w:sz="0" w:space="0" w:color="auto"/>
      </w:divBdr>
    </w:div>
    <w:div w:id="1918590813">
      <w:bodyDiv w:val="1"/>
      <w:marLeft w:val="0"/>
      <w:marRight w:val="0"/>
      <w:marTop w:val="0"/>
      <w:marBottom w:val="0"/>
      <w:divBdr>
        <w:top w:val="none" w:sz="0" w:space="0" w:color="auto"/>
        <w:left w:val="none" w:sz="0" w:space="0" w:color="auto"/>
        <w:bottom w:val="none" w:sz="0" w:space="0" w:color="auto"/>
        <w:right w:val="none" w:sz="0" w:space="0" w:color="auto"/>
      </w:divBdr>
    </w:div>
    <w:div w:id="1918660842">
      <w:bodyDiv w:val="1"/>
      <w:marLeft w:val="0"/>
      <w:marRight w:val="0"/>
      <w:marTop w:val="0"/>
      <w:marBottom w:val="0"/>
      <w:divBdr>
        <w:top w:val="none" w:sz="0" w:space="0" w:color="auto"/>
        <w:left w:val="none" w:sz="0" w:space="0" w:color="auto"/>
        <w:bottom w:val="none" w:sz="0" w:space="0" w:color="auto"/>
        <w:right w:val="none" w:sz="0" w:space="0" w:color="auto"/>
      </w:divBdr>
    </w:div>
    <w:div w:id="1918974993">
      <w:bodyDiv w:val="1"/>
      <w:marLeft w:val="0"/>
      <w:marRight w:val="0"/>
      <w:marTop w:val="0"/>
      <w:marBottom w:val="0"/>
      <w:divBdr>
        <w:top w:val="none" w:sz="0" w:space="0" w:color="auto"/>
        <w:left w:val="none" w:sz="0" w:space="0" w:color="auto"/>
        <w:bottom w:val="none" w:sz="0" w:space="0" w:color="auto"/>
        <w:right w:val="none" w:sz="0" w:space="0" w:color="auto"/>
      </w:divBdr>
      <w:divsChild>
        <w:div w:id="1049263146">
          <w:marLeft w:val="0"/>
          <w:marRight w:val="0"/>
          <w:marTop w:val="0"/>
          <w:marBottom w:val="0"/>
          <w:divBdr>
            <w:top w:val="none" w:sz="0" w:space="0" w:color="auto"/>
            <w:left w:val="none" w:sz="0" w:space="0" w:color="auto"/>
            <w:bottom w:val="none" w:sz="0" w:space="0" w:color="auto"/>
            <w:right w:val="none" w:sz="0" w:space="0" w:color="auto"/>
          </w:divBdr>
          <w:divsChild>
            <w:div w:id="1607074177">
              <w:marLeft w:val="0"/>
              <w:marRight w:val="0"/>
              <w:marTop w:val="0"/>
              <w:marBottom w:val="0"/>
              <w:divBdr>
                <w:top w:val="none" w:sz="0" w:space="0" w:color="auto"/>
                <w:left w:val="none" w:sz="0" w:space="0" w:color="auto"/>
                <w:bottom w:val="none" w:sz="0" w:space="0" w:color="auto"/>
                <w:right w:val="none" w:sz="0" w:space="0" w:color="auto"/>
              </w:divBdr>
              <w:divsChild>
                <w:div w:id="201564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363579">
      <w:bodyDiv w:val="1"/>
      <w:marLeft w:val="0"/>
      <w:marRight w:val="0"/>
      <w:marTop w:val="0"/>
      <w:marBottom w:val="0"/>
      <w:divBdr>
        <w:top w:val="none" w:sz="0" w:space="0" w:color="auto"/>
        <w:left w:val="none" w:sz="0" w:space="0" w:color="auto"/>
        <w:bottom w:val="none" w:sz="0" w:space="0" w:color="auto"/>
        <w:right w:val="none" w:sz="0" w:space="0" w:color="auto"/>
      </w:divBdr>
      <w:divsChild>
        <w:div w:id="1966933732">
          <w:marLeft w:val="0"/>
          <w:marRight w:val="0"/>
          <w:marTop w:val="0"/>
          <w:marBottom w:val="0"/>
          <w:divBdr>
            <w:top w:val="none" w:sz="0" w:space="0" w:color="auto"/>
            <w:left w:val="none" w:sz="0" w:space="0" w:color="auto"/>
            <w:bottom w:val="none" w:sz="0" w:space="0" w:color="auto"/>
            <w:right w:val="none" w:sz="0" w:space="0" w:color="auto"/>
          </w:divBdr>
          <w:divsChild>
            <w:div w:id="2095199742">
              <w:marLeft w:val="0"/>
              <w:marRight w:val="0"/>
              <w:marTop w:val="0"/>
              <w:marBottom w:val="0"/>
              <w:divBdr>
                <w:top w:val="none" w:sz="0" w:space="0" w:color="auto"/>
                <w:left w:val="none" w:sz="0" w:space="0" w:color="auto"/>
                <w:bottom w:val="none" w:sz="0" w:space="0" w:color="auto"/>
                <w:right w:val="none" w:sz="0" w:space="0" w:color="auto"/>
              </w:divBdr>
              <w:divsChild>
                <w:div w:id="107351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753987">
      <w:bodyDiv w:val="1"/>
      <w:marLeft w:val="0"/>
      <w:marRight w:val="0"/>
      <w:marTop w:val="0"/>
      <w:marBottom w:val="0"/>
      <w:divBdr>
        <w:top w:val="none" w:sz="0" w:space="0" w:color="auto"/>
        <w:left w:val="none" w:sz="0" w:space="0" w:color="auto"/>
        <w:bottom w:val="none" w:sz="0" w:space="0" w:color="auto"/>
        <w:right w:val="none" w:sz="0" w:space="0" w:color="auto"/>
      </w:divBdr>
    </w:div>
    <w:div w:id="1920097554">
      <w:bodyDiv w:val="1"/>
      <w:marLeft w:val="0"/>
      <w:marRight w:val="0"/>
      <w:marTop w:val="0"/>
      <w:marBottom w:val="0"/>
      <w:divBdr>
        <w:top w:val="none" w:sz="0" w:space="0" w:color="auto"/>
        <w:left w:val="none" w:sz="0" w:space="0" w:color="auto"/>
        <w:bottom w:val="none" w:sz="0" w:space="0" w:color="auto"/>
        <w:right w:val="none" w:sz="0" w:space="0" w:color="auto"/>
      </w:divBdr>
    </w:div>
    <w:div w:id="1920169542">
      <w:bodyDiv w:val="1"/>
      <w:marLeft w:val="0"/>
      <w:marRight w:val="0"/>
      <w:marTop w:val="0"/>
      <w:marBottom w:val="0"/>
      <w:divBdr>
        <w:top w:val="none" w:sz="0" w:space="0" w:color="auto"/>
        <w:left w:val="none" w:sz="0" w:space="0" w:color="auto"/>
        <w:bottom w:val="none" w:sz="0" w:space="0" w:color="auto"/>
        <w:right w:val="none" w:sz="0" w:space="0" w:color="auto"/>
      </w:divBdr>
    </w:div>
    <w:div w:id="1920863396">
      <w:bodyDiv w:val="1"/>
      <w:marLeft w:val="0"/>
      <w:marRight w:val="0"/>
      <w:marTop w:val="0"/>
      <w:marBottom w:val="0"/>
      <w:divBdr>
        <w:top w:val="none" w:sz="0" w:space="0" w:color="auto"/>
        <w:left w:val="none" w:sz="0" w:space="0" w:color="auto"/>
        <w:bottom w:val="none" w:sz="0" w:space="0" w:color="auto"/>
        <w:right w:val="none" w:sz="0" w:space="0" w:color="auto"/>
      </w:divBdr>
    </w:div>
    <w:div w:id="1921328030">
      <w:bodyDiv w:val="1"/>
      <w:marLeft w:val="0"/>
      <w:marRight w:val="0"/>
      <w:marTop w:val="0"/>
      <w:marBottom w:val="0"/>
      <w:divBdr>
        <w:top w:val="none" w:sz="0" w:space="0" w:color="auto"/>
        <w:left w:val="none" w:sz="0" w:space="0" w:color="auto"/>
        <w:bottom w:val="none" w:sz="0" w:space="0" w:color="auto"/>
        <w:right w:val="none" w:sz="0" w:space="0" w:color="auto"/>
      </w:divBdr>
      <w:divsChild>
        <w:div w:id="1299146228">
          <w:marLeft w:val="0"/>
          <w:marRight w:val="0"/>
          <w:marTop w:val="0"/>
          <w:marBottom w:val="0"/>
          <w:divBdr>
            <w:top w:val="none" w:sz="0" w:space="0" w:color="auto"/>
            <w:left w:val="none" w:sz="0" w:space="0" w:color="auto"/>
            <w:bottom w:val="none" w:sz="0" w:space="0" w:color="auto"/>
            <w:right w:val="none" w:sz="0" w:space="0" w:color="auto"/>
          </w:divBdr>
          <w:divsChild>
            <w:div w:id="671614525">
              <w:marLeft w:val="0"/>
              <w:marRight w:val="0"/>
              <w:marTop w:val="0"/>
              <w:marBottom w:val="0"/>
              <w:divBdr>
                <w:top w:val="none" w:sz="0" w:space="0" w:color="auto"/>
                <w:left w:val="none" w:sz="0" w:space="0" w:color="auto"/>
                <w:bottom w:val="none" w:sz="0" w:space="0" w:color="auto"/>
                <w:right w:val="none" w:sz="0" w:space="0" w:color="auto"/>
              </w:divBdr>
              <w:divsChild>
                <w:div w:id="146212508">
                  <w:marLeft w:val="0"/>
                  <w:marRight w:val="0"/>
                  <w:marTop w:val="0"/>
                  <w:marBottom w:val="0"/>
                  <w:divBdr>
                    <w:top w:val="none" w:sz="0" w:space="0" w:color="auto"/>
                    <w:left w:val="none" w:sz="0" w:space="0" w:color="auto"/>
                    <w:bottom w:val="none" w:sz="0" w:space="0" w:color="auto"/>
                    <w:right w:val="none" w:sz="0" w:space="0" w:color="auto"/>
                  </w:divBdr>
                  <w:divsChild>
                    <w:div w:id="1531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400198">
      <w:bodyDiv w:val="1"/>
      <w:marLeft w:val="0"/>
      <w:marRight w:val="0"/>
      <w:marTop w:val="0"/>
      <w:marBottom w:val="0"/>
      <w:divBdr>
        <w:top w:val="none" w:sz="0" w:space="0" w:color="auto"/>
        <w:left w:val="none" w:sz="0" w:space="0" w:color="auto"/>
        <w:bottom w:val="none" w:sz="0" w:space="0" w:color="auto"/>
        <w:right w:val="none" w:sz="0" w:space="0" w:color="auto"/>
      </w:divBdr>
      <w:divsChild>
        <w:div w:id="1047143616">
          <w:marLeft w:val="0"/>
          <w:marRight w:val="0"/>
          <w:marTop w:val="0"/>
          <w:marBottom w:val="0"/>
          <w:divBdr>
            <w:top w:val="none" w:sz="0" w:space="0" w:color="auto"/>
            <w:left w:val="none" w:sz="0" w:space="0" w:color="auto"/>
            <w:bottom w:val="none" w:sz="0" w:space="0" w:color="auto"/>
            <w:right w:val="none" w:sz="0" w:space="0" w:color="auto"/>
          </w:divBdr>
          <w:divsChild>
            <w:div w:id="554046083">
              <w:marLeft w:val="0"/>
              <w:marRight w:val="0"/>
              <w:marTop w:val="0"/>
              <w:marBottom w:val="0"/>
              <w:divBdr>
                <w:top w:val="none" w:sz="0" w:space="0" w:color="auto"/>
                <w:left w:val="none" w:sz="0" w:space="0" w:color="auto"/>
                <w:bottom w:val="none" w:sz="0" w:space="0" w:color="auto"/>
                <w:right w:val="none" w:sz="0" w:space="0" w:color="auto"/>
              </w:divBdr>
              <w:divsChild>
                <w:div w:id="1631015295">
                  <w:marLeft w:val="0"/>
                  <w:marRight w:val="0"/>
                  <w:marTop w:val="0"/>
                  <w:marBottom w:val="0"/>
                  <w:divBdr>
                    <w:top w:val="none" w:sz="0" w:space="0" w:color="auto"/>
                    <w:left w:val="none" w:sz="0" w:space="0" w:color="auto"/>
                    <w:bottom w:val="none" w:sz="0" w:space="0" w:color="auto"/>
                    <w:right w:val="none" w:sz="0" w:space="0" w:color="auto"/>
                  </w:divBdr>
                  <w:divsChild>
                    <w:div w:id="71863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598167">
      <w:bodyDiv w:val="1"/>
      <w:marLeft w:val="0"/>
      <w:marRight w:val="0"/>
      <w:marTop w:val="0"/>
      <w:marBottom w:val="0"/>
      <w:divBdr>
        <w:top w:val="none" w:sz="0" w:space="0" w:color="auto"/>
        <w:left w:val="none" w:sz="0" w:space="0" w:color="auto"/>
        <w:bottom w:val="none" w:sz="0" w:space="0" w:color="auto"/>
        <w:right w:val="none" w:sz="0" w:space="0" w:color="auto"/>
      </w:divBdr>
      <w:divsChild>
        <w:div w:id="2147236234">
          <w:marLeft w:val="0"/>
          <w:marRight w:val="0"/>
          <w:marTop w:val="0"/>
          <w:marBottom w:val="0"/>
          <w:divBdr>
            <w:top w:val="none" w:sz="0" w:space="0" w:color="auto"/>
            <w:left w:val="none" w:sz="0" w:space="0" w:color="auto"/>
            <w:bottom w:val="none" w:sz="0" w:space="0" w:color="auto"/>
            <w:right w:val="none" w:sz="0" w:space="0" w:color="auto"/>
          </w:divBdr>
          <w:divsChild>
            <w:div w:id="131602847">
              <w:marLeft w:val="0"/>
              <w:marRight w:val="0"/>
              <w:marTop w:val="0"/>
              <w:marBottom w:val="0"/>
              <w:divBdr>
                <w:top w:val="none" w:sz="0" w:space="0" w:color="auto"/>
                <w:left w:val="none" w:sz="0" w:space="0" w:color="auto"/>
                <w:bottom w:val="none" w:sz="0" w:space="0" w:color="auto"/>
                <w:right w:val="none" w:sz="0" w:space="0" w:color="auto"/>
              </w:divBdr>
              <w:divsChild>
                <w:div w:id="552423500">
                  <w:marLeft w:val="0"/>
                  <w:marRight w:val="0"/>
                  <w:marTop w:val="0"/>
                  <w:marBottom w:val="0"/>
                  <w:divBdr>
                    <w:top w:val="none" w:sz="0" w:space="0" w:color="auto"/>
                    <w:left w:val="none" w:sz="0" w:space="0" w:color="auto"/>
                    <w:bottom w:val="none" w:sz="0" w:space="0" w:color="auto"/>
                    <w:right w:val="none" w:sz="0" w:space="0" w:color="auto"/>
                  </w:divBdr>
                  <w:divsChild>
                    <w:div w:id="97815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064847">
      <w:bodyDiv w:val="1"/>
      <w:marLeft w:val="0"/>
      <w:marRight w:val="0"/>
      <w:marTop w:val="0"/>
      <w:marBottom w:val="0"/>
      <w:divBdr>
        <w:top w:val="none" w:sz="0" w:space="0" w:color="auto"/>
        <w:left w:val="none" w:sz="0" w:space="0" w:color="auto"/>
        <w:bottom w:val="none" w:sz="0" w:space="0" w:color="auto"/>
        <w:right w:val="none" w:sz="0" w:space="0" w:color="auto"/>
      </w:divBdr>
    </w:div>
    <w:div w:id="1922593745">
      <w:bodyDiv w:val="1"/>
      <w:marLeft w:val="0"/>
      <w:marRight w:val="0"/>
      <w:marTop w:val="0"/>
      <w:marBottom w:val="0"/>
      <w:divBdr>
        <w:top w:val="none" w:sz="0" w:space="0" w:color="auto"/>
        <w:left w:val="none" w:sz="0" w:space="0" w:color="auto"/>
        <w:bottom w:val="none" w:sz="0" w:space="0" w:color="auto"/>
        <w:right w:val="none" w:sz="0" w:space="0" w:color="auto"/>
      </w:divBdr>
    </w:div>
    <w:div w:id="1923221793">
      <w:bodyDiv w:val="1"/>
      <w:marLeft w:val="0"/>
      <w:marRight w:val="0"/>
      <w:marTop w:val="0"/>
      <w:marBottom w:val="0"/>
      <w:divBdr>
        <w:top w:val="none" w:sz="0" w:space="0" w:color="auto"/>
        <w:left w:val="none" w:sz="0" w:space="0" w:color="auto"/>
        <w:bottom w:val="none" w:sz="0" w:space="0" w:color="auto"/>
        <w:right w:val="none" w:sz="0" w:space="0" w:color="auto"/>
      </w:divBdr>
    </w:div>
    <w:div w:id="1923876604">
      <w:bodyDiv w:val="1"/>
      <w:marLeft w:val="0"/>
      <w:marRight w:val="0"/>
      <w:marTop w:val="0"/>
      <w:marBottom w:val="0"/>
      <w:divBdr>
        <w:top w:val="none" w:sz="0" w:space="0" w:color="auto"/>
        <w:left w:val="none" w:sz="0" w:space="0" w:color="auto"/>
        <w:bottom w:val="none" w:sz="0" w:space="0" w:color="auto"/>
        <w:right w:val="none" w:sz="0" w:space="0" w:color="auto"/>
      </w:divBdr>
    </w:div>
    <w:div w:id="1924072394">
      <w:bodyDiv w:val="1"/>
      <w:marLeft w:val="0"/>
      <w:marRight w:val="0"/>
      <w:marTop w:val="0"/>
      <w:marBottom w:val="0"/>
      <w:divBdr>
        <w:top w:val="none" w:sz="0" w:space="0" w:color="auto"/>
        <w:left w:val="none" w:sz="0" w:space="0" w:color="auto"/>
        <w:bottom w:val="none" w:sz="0" w:space="0" w:color="auto"/>
        <w:right w:val="none" w:sz="0" w:space="0" w:color="auto"/>
      </w:divBdr>
    </w:div>
    <w:div w:id="1925337516">
      <w:bodyDiv w:val="1"/>
      <w:marLeft w:val="0"/>
      <w:marRight w:val="0"/>
      <w:marTop w:val="0"/>
      <w:marBottom w:val="0"/>
      <w:divBdr>
        <w:top w:val="none" w:sz="0" w:space="0" w:color="auto"/>
        <w:left w:val="none" w:sz="0" w:space="0" w:color="auto"/>
        <w:bottom w:val="none" w:sz="0" w:space="0" w:color="auto"/>
        <w:right w:val="none" w:sz="0" w:space="0" w:color="auto"/>
      </w:divBdr>
    </w:div>
    <w:div w:id="1925796256">
      <w:bodyDiv w:val="1"/>
      <w:marLeft w:val="0"/>
      <w:marRight w:val="0"/>
      <w:marTop w:val="0"/>
      <w:marBottom w:val="0"/>
      <w:divBdr>
        <w:top w:val="none" w:sz="0" w:space="0" w:color="auto"/>
        <w:left w:val="none" w:sz="0" w:space="0" w:color="auto"/>
        <w:bottom w:val="none" w:sz="0" w:space="0" w:color="auto"/>
        <w:right w:val="none" w:sz="0" w:space="0" w:color="auto"/>
      </w:divBdr>
    </w:div>
    <w:div w:id="1926456193">
      <w:bodyDiv w:val="1"/>
      <w:marLeft w:val="0"/>
      <w:marRight w:val="0"/>
      <w:marTop w:val="0"/>
      <w:marBottom w:val="0"/>
      <w:divBdr>
        <w:top w:val="none" w:sz="0" w:space="0" w:color="auto"/>
        <w:left w:val="none" w:sz="0" w:space="0" w:color="auto"/>
        <w:bottom w:val="none" w:sz="0" w:space="0" w:color="auto"/>
        <w:right w:val="none" w:sz="0" w:space="0" w:color="auto"/>
      </w:divBdr>
    </w:div>
    <w:div w:id="1927154788">
      <w:bodyDiv w:val="1"/>
      <w:marLeft w:val="0"/>
      <w:marRight w:val="0"/>
      <w:marTop w:val="0"/>
      <w:marBottom w:val="0"/>
      <w:divBdr>
        <w:top w:val="none" w:sz="0" w:space="0" w:color="auto"/>
        <w:left w:val="none" w:sz="0" w:space="0" w:color="auto"/>
        <w:bottom w:val="none" w:sz="0" w:space="0" w:color="auto"/>
        <w:right w:val="none" w:sz="0" w:space="0" w:color="auto"/>
      </w:divBdr>
      <w:divsChild>
        <w:div w:id="1535458565">
          <w:marLeft w:val="0"/>
          <w:marRight w:val="0"/>
          <w:marTop w:val="0"/>
          <w:marBottom w:val="0"/>
          <w:divBdr>
            <w:top w:val="none" w:sz="0" w:space="0" w:color="auto"/>
            <w:left w:val="none" w:sz="0" w:space="0" w:color="auto"/>
            <w:bottom w:val="none" w:sz="0" w:space="0" w:color="auto"/>
            <w:right w:val="none" w:sz="0" w:space="0" w:color="auto"/>
          </w:divBdr>
          <w:divsChild>
            <w:div w:id="377706381">
              <w:marLeft w:val="0"/>
              <w:marRight w:val="0"/>
              <w:marTop w:val="0"/>
              <w:marBottom w:val="0"/>
              <w:divBdr>
                <w:top w:val="none" w:sz="0" w:space="0" w:color="auto"/>
                <w:left w:val="none" w:sz="0" w:space="0" w:color="auto"/>
                <w:bottom w:val="none" w:sz="0" w:space="0" w:color="auto"/>
                <w:right w:val="none" w:sz="0" w:space="0" w:color="auto"/>
              </w:divBdr>
              <w:divsChild>
                <w:div w:id="2028216586">
                  <w:marLeft w:val="0"/>
                  <w:marRight w:val="0"/>
                  <w:marTop w:val="0"/>
                  <w:marBottom w:val="0"/>
                  <w:divBdr>
                    <w:top w:val="none" w:sz="0" w:space="0" w:color="auto"/>
                    <w:left w:val="none" w:sz="0" w:space="0" w:color="auto"/>
                    <w:bottom w:val="none" w:sz="0" w:space="0" w:color="auto"/>
                    <w:right w:val="none" w:sz="0" w:space="0" w:color="auto"/>
                  </w:divBdr>
                  <w:divsChild>
                    <w:div w:id="192999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415398">
      <w:bodyDiv w:val="1"/>
      <w:marLeft w:val="0"/>
      <w:marRight w:val="0"/>
      <w:marTop w:val="0"/>
      <w:marBottom w:val="0"/>
      <w:divBdr>
        <w:top w:val="none" w:sz="0" w:space="0" w:color="auto"/>
        <w:left w:val="none" w:sz="0" w:space="0" w:color="auto"/>
        <w:bottom w:val="none" w:sz="0" w:space="0" w:color="auto"/>
        <w:right w:val="none" w:sz="0" w:space="0" w:color="auto"/>
      </w:divBdr>
    </w:div>
    <w:div w:id="1927491626">
      <w:bodyDiv w:val="1"/>
      <w:marLeft w:val="0"/>
      <w:marRight w:val="0"/>
      <w:marTop w:val="0"/>
      <w:marBottom w:val="0"/>
      <w:divBdr>
        <w:top w:val="none" w:sz="0" w:space="0" w:color="auto"/>
        <w:left w:val="none" w:sz="0" w:space="0" w:color="auto"/>
        <w:bottom w:val="none" w:sz="0" w:space="0" w:color="auto"/>
        <w:right w:val="none" w:sz="0" w:space="0" w:color="auto"/>
      </w:divBdr>
    </w:div>
    <w:div w:id="1927684140">
      <w:bodyDiv w:val="1"/>
      <w:marLeft w:val="0"/>
      <w:marRight w:val="0"/>
      <w:marTop w:val="0"/>
      <w:marBottom w:val="0"/>
      <w:divBdr>
        <w:top w:val="none" w:sz="0" w:space="0" w:color="auto"/>
        <w:left w:val="none" w:sz="0" w:space="0" w:color="auto"/>
        <w:bottom w:val="none" w:sz="0" w:space="0" w:color="auto"/>
        <w:right w:val="none" w:sz="0" w:space="0" w:color="auto"/>
      </w:divBdr>
      <w:divsChild>
        <w:div w:id="956644913">
          <w:marLeft w:val="0"/>
          <w:marRight w:val="0"/>
          <w:marTop w:val="0"/>
          <w:marBottom w:val="0"/>
          <w:divBdr>
            <w:top w:val="none" w:sz="0" w:space="0" w:color="auto"/>
            <w:left w:val="none" w:sz="0" w:space="0" w:color="auto"/>
            <w:bottom w:val="none" w:sz="0" w:space="0" w:color="auto"/>
            <w:right w:val="none" w:sz="0" w:space="0" w:color="auto"/>
          </w:divBdr>
          <w:divsChild>
            <w:div w:id="2089114752">
              <w:marLeft w:val="0"/>
              <w:marRight w:val="0"/>
              <w:marTop w:val="0"/>
              <w:marBottom w:val="0"/>
              <w:divBdr>
                <w:top w:val="none" w:sz="0" w:space="0" w:color="auto"/>
                <w:left w:val="none" w:sz="0" w:space="0" w:color="auto"/>
                <w:bottom w:val="none" w:sz="0" w:space="0" w:color="auto"/>
                <w:right w:val="none" w:sz="0" w:space="0" w:color="auto"/>
              </w:divBdr>
              <w:divsChild>
                <w:div w:id="1985813275">
                  <w:marLeft w:val="0"/>
                  <w:marRight w:val="0"/>
                  <w:marTop w:val="0"/>
                  <w:marBottom w:val="0"/>
                  <w:divBdr>
                    <w:top w:val="none" w:sz="0" w:space="0" w:color="auto"/>
                    <w:left w:val="none" w:sz="0" w:space="0" w:color="auto"/>
                    <w:bottom w:val="none" w:sz="0" w:space="0" w:color="auto"/>
                    <w:right w:val="none" w:sz="0" w:space="0" w:color="auto"/>
                  </w:divBdr>
                  <w:divsChild>
                    <w:div w:id="7224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885910">
      <w:bodyDiv w:val="1"/>
      <w:marLeft w:val="0"/>
      <w:marRight w:val="0"/>
      <w:marTop w:val="0"/>
      <w:marBottom w:val="0"/>
      <w:divBdr>
        <w:top w:val="none" w:sz="0" w:space="0" w:color="auto"/>
        <w:left w:val="none" w:sz="0" w:space="0" w:color="auto"/>
        <w:bottom w:val="none" w:sz="0" w:space="0" w:color="auto"/>
        <w:right w:val="none" w:sz="0" w:space="0" w:color="auto"/>
      </w:divBdr>
    </w:div>
    <w:div w:id="1928683381">
      <w:bodyDiv w:val="1"/>
      <w:marLeft w:val="0"/>
      <w:marRight w:val="0"/>
      <w:marTop w:val="0"/>
      <w:marBottom w:val="0"/>
      <w:divBdr>
        <w:top w:val="none" w:sz="0" w:space="0" w:color="auto"/>
        <w:left w:val="none" w:sz="0" w:space="0" w:color="auto"/>
        <w:bottom w:val="none" w:sz="0" w:space="0" w:color="auto"/>
        <w:right w:val="none" w:sz="0" w:space="0" w:color="auto"/>
      </w:divBdr>
    </w:div>
    <w:div w:id="1929196057">
      <w:bodyDiv w:val="1"/>
      <w:marLeft w:val="0"/>
      <w:marRight w:val="0"/>
      <w:marTop w:val="0"/>
      <w:marBottom w:val="0"/>
      <w:divBdr>
        <w:top w:val="none" w:sz="0" w:space="0" w:color="auto"/>
        <w:left w:val="none" w:sz="0" w:space="0" w:color="auto"/>
        <w:bottom w:val="none" w:sz="0" w:space="0" w:color="auto"/>
        <w:right w:val="none" w:sz="0" w:space="0" w:color="auto"/>
      </w:divBdr>
    </w:div>
    <w:div w:id="1930189692">
      <w:bodyDiv w:val="1"/>
      <w:marLeft w:val="0"/>
      <w:marRight w:val="0"/>
      <w:marTop w:val="0"/>
      <w:marBottom w:val="0"/>
      <w:divBdr>
        <w:top w:val="none" w:sz="0" w:space="0" w:color="auto"/>
        <w:left w:val="none" w:sz="0" w:space="0" w:color="auto"/>
        <w:bottom w:val="none" w:sz="0" w:space="0" w:color="auto"/>
        <w:right w:val="none" w:sz="0" w:space="0" w:color="auto"/>
      </w:divBdr>
    </w:div>
    <w:div w:id="1931228857">
      <w:bodyDiv w:val="1"/>
      <w:marLeft w:val="0"/>
      <w:marRight w:val="0"/>
      <w:marTop w:val="0"/>
      <w:marBottom w:val="0"/>
      <w:divBdr>
        <w:top w:val="none" w:sz="0" w:space="0" w:color="auto"/>
        <w:left w:val="none" w:sz="0" w:space="0" w:color="auto"/>
        <w:bottom w:val="none" w:sz="0" w:space="0" w:color="auto"/>
        <w:right w:val="none" w:sz="0" w:space="0" w:color="auto"/>
      </w:divBdr>
    </w:div>
    <w:div w:id="1931308348">
      <w:bodyDiv w:val="1"/>
      <w:marLeft w:val="0"/>
      <w:marRight w:val="0"/>
      <w:marTop w:val="0"/>
      <w:marBottom w:val="0"/>
      <w:divBdr>
        <w:top w:val="none" w:sz="0" w:space="0" w:color="auto"/>
        <w:left w:val="none" w:sz="0" w:space="0" w:color="auto"/>
        <w:bottom w:val="none" w:sz="0" w:space="0" w:color="auto"/>
        <w:right w:val="none" w:sz="0" w:space="0" w:color="auto"/>
      </w:divBdr>
      <w:divsChild>
        <w:div w:id="459080857">
          <w:marLeft w:val="0"/>
          <w:marRight w:val="0"/>
          <w:marTop w:val="0"/>
          <w:marBottom w:val="0"/>
          <w:divBdr>
            <w:top w:val="none" w:sz="0" w:space="0" w:color="auto"/>
            <w:left w:val="none" w:sz="0" w:space="0" w:color="auto"/>
            <w:bottom w:val="none" w:sz="0" w:space="0" w:color="auto"/>
            <w:right w:val="none" w:sz="0" w:space="0" w:color="auto"/>
          </w:divBdr>
          <w:divsChild>
            <w:div w:id="81878840">
              <w:marLeft w:val="0"/>
              <w:marRight w:val="0"/>
              <w:marTop w:val="0"/>
              <w:marBottom w:val="0"/>
              <w:divBdr>
                <w:top w:val="none" w:sz="0" w:space="0" w:color="auto"/>
                <w:left w:val="none" w:sz="0" w:space="0" w:color="auto"/>
                <w:bottom w:val="none" w:sz="0" w:space="0" w:color="auto"/>
                <w:right w:val="none" w:sz="0" w:space="0" w:color="auto"/>
              </w:divBdr>
              <w:divsChild>
                <w:div w:id="725908098">
                  <w:marLeft w:val="0"/>
                  <w:marRight w:val="0"/>
                  <w:marTop w:val="0"/>
                  <w:marBottom w:val="0"/>
                  <w:divBdr>
                    <w:top w:val="none" w:sz="0" w:space="0" w:color="auto"/>
                    <w:left w:val="none" w:sz="0" w:space="0" w:color="auto"/>
                    <w:bottom w:val="none" w:sz="0" w:space="0" w:color="auto"/>
                    <w:right w:val="none" w:sz="0" w:space="0" w:color="auto"/>
                  </w:divBdr>
                  <w:divsChild>
                    <w:div w:id="26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423279">
      <w:bodyDiv w:val="1"/>
      <w:marLeft w:val="0"/>
      <w:marRight w:val="0"/>
      <w:marTop w:val="0"/>
      <w:marBottom w:val="0"/>
      <w:divBdr>
        <w:top w:val="none" w:sz="0" w:space="0" w:color="auto"/>
        <w:left w:val="none" w:sz="0" w:space="0" w:color="auto"/>
        <w:bottom w:val="none" w:sz="0" w:space="0" w:color="auto"/>
        <w:right w:val="none" w:sz="0" w:space="0" w:color="auto"/>
      </w:divBdr>
    </w:div>
    <w:div w:id="1931502288">
      <w:bodyDiv w:val="1"/>
      <w:marLeft w:val="0"/>
      <w:marRight w:val="0"/>
      <w:marTop w:val="0"/>
      <w:marBottom w:val="0"/>
      <w:divBdr>
        <w:top w:val="none" w:sz="0" w:space="0" w:color="auto"/>
        <w:left w:val="none" w:sz="0" w:space="0" w:color="auto"/>
        <w:bottom w:val="none" w:sz="0" w:space="0" w:color="auto"/>
        <w:right w:val="none" w:sz="0" w:space="0" w:color="auto"/>
      </w:divBdr>
    </w:div>
    <w:div w:id="1931623698">
      <w:bodyDiv w:val="1"/>
      <w:marLeft w:val="0"/>
      <w:marRight w:val="0"/>
      <w:marTop w:val="0"/>
      <w:marBottom w:val="0"/>
      <w:divBdr>
        <w:top w:val="none" w:sz="0" w:space="0" w:color="auto"/>
        <w:left w:val="none" w:sz="0" w:space="0" w:color="auto"/>
        <w:bottom w:val="none" w:sz="0" w:space="0" w:color="auto"/>
        <w:right w:val="none" w:sz="0" w:space="0" w:color="auto"/>
      </w:divBdr>
    </w:div>
    <w:div w:id="1931810990">
      <w:bodyDiv w:val="1"/>
      <w:marLeft w:val="0"/>
      <w:marRight w:val="0"/>
      <w:marTop w:val="0"/>
      <w:marBottom w:val="0"/>
      <w:divBdr>
        <w:top w:val="none" w:sz="0" w:space="0" w:color="auto"/>
        <w:left w:val="none" w:sz="0" w:space="0" w:color="auto"/>
        <w:bottom w:val="none" w:sz="0" w:space="0" w:color="auto"/>
        <w:right w:val="none" w:sz="0" w:space="0" w:color="auto"/>
      </w:divBdr>
    </w:div>
    <w:div w:id="1931817220">
      <w:bodyDiv w:val="1"/>
      <w:marLeft w:val="0"/>
      <w:marRight w:val="0"/>
      <w:marTop w:val="0"/>
      <w:marBottom w:val="0"/>
      <w:divBdr>
        <w:top w:val="none" w:sz="0" w:space="0" w:color="auto"/>
        <w:left w:val="none" w:sz="0" w:space="0" w:color="auto"/>
        <w:bottom w:val="none" w:sz="0" w:space="0" w:color="auto"/>
        <w:right w:val="none" w:sz="0" w:space="0" w:color="auto"/>
      </w:divBdr>
      <w:divsChild>
        <w:div w:id="230429070">
          <w:marLeft w:val="0"/>
          <w:marRight w:val="0"/>
          <w:marTop w:val="0"/>
          <w:marBottom w:val="0"/>
          <w:divBdr>
            <w:top w:val="none" w:sz="0" w:space="0" w:color="auto"/>
            <w:left w:val="none" w:sz="0" w:space="0" w:color="auto"/>
            <w:bottom w:val="none" w:sz="0" w:space="0" w:color="auto"/>
            <w:right w:val="none" w:sz="0" w:space="0" w:color="auto"/>
          </w:divBdr>
          <w:divsChild>
            <w:div w:id="1812209503">
              <w:marLeft w:val="0"/>
              <w:marRight w:val="0"/>
              <w:marTop w:val="0"/>
              <w:marBottom w:val="0"/>
              <w:divBdr>
                <w:top w:val="none" w:sz="0" w:space="0" w:color="auto"/>
                <w:left w:val="none" w:sz="0" w:space="0" w:color="auto"/>
                <w:bottom w:val="none" w:sz="0" w:space="0" w:color="auto"/>
                <w:right w:val="none" w:sz="0" w:space="0" w:color="auto"/>
              </w:divBdr>
              <w:divsChild>
                <w:div w:id="7296886">
                  <w:marLeft w:val="0"/>
                  <w:marRight w:val="0"/>
                  <w:marTop w:val="0"/>
                  <w:marBottom w:val="0"/>
                  <w:divBdr>
                    <w:top w:val="none" w:sz="0" w:space="0" w:color="auto"/>
                    <w:left w:val="none" w:sz="0" w:space="0" w:color="auto"/>
                    <w:bottom w:val="none" w:sz="0" w:space="0" w:color="auto"/>
                    <w:right w:val="none" w:sz="0" w:space="0" w:color="auto"/>
                  </w:divBdr>
                  <w:divsChild>
                    <w:div w:id="115915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202445">
      <w:bodyDiv w:val="1"/>
      <w:marLeft w:val="0"/>
      <w:marRight w:val="0"/>
      <w:marTop w:val="0"/>
      <w:marBottom w:val="0"/>
      <w:divBdr>
        <w:top w:val="none" w:sz="0" w:space="0" w:color="auto"/>
        <w:left w:val="none" w:sz="0" w:space="0" w:color="auto"/>
        <w:bottom w:val="none" w:sz="0" w:space="0" w:color="auto"/>
        <w:right w:val="none" w:sz="0" w:space="0" w:color="auto"/>
      </w:divBdr>
    </w:div>
    <w:div w:id="1932548244">
      <w:bodyDiv w:val="1"/>
      <w:marLeft w:val="0"/>
      <w:marRight w:val="0"/>
      <w:marTop w:val="0"/>
      <w:marBottom w:val="0"/>
      <w:divBdr>
        <w:top w:val="none" w:sz="0" w:space="0" w:color="auto"/>
        <w:left w:val="none" w:sz="0" w:space="0" w:color="auto"/>
        <w:bottom w:val="none" w:sz="0" w:space="0" w:color="auto"/>
        <w:right w:val="none" w:sz="0" w:space="0" w:color="auto"/>
      </w:divBdr>
    </w:div>
    <w:div w:id="1932932493">
      <w:bodyDiv w:val="1"/>
      <w:marLeft w:val="0"/>
      <w:marRight w:val="0"/>
      <w:marTop w:val="0"/>
      <w:marBottom w:val="0"/>
      <w:divBdr>
        <w:top w:val="none" w:sz="0" w:space="0" w:color="auto"/>
        <w:left w:val="none" w:sz="0" w:space="0" w:color="auto"/>
        <w:bottom w:val="none" w:sz="0" w:space="0" w:color="auto"/>
        <w:right w:val="none" w:sz="0" w:space="0" w:color="auto"/>
      </w:divBdr>
    </w:div>
    <w:div w:id="1935699757">
      <w:bodyDiv w:val="1"/>
      <w:marLeft w:val="0"/>
      <w:marRight w:val="0"/>
      <w:marTop w:val="0"/>
      <w:marBottom w:val="0"/>
      <w:divBdr>
        <w:top w:val="none" w:sz="0" w:space="0" w:color="auto"/>
        <w:left w:val="none" w:sz="0" w:space="0" w:color="auto"/>
        <w:bottom w:val="none" w:sz="0" w:space="0" w:color="auto"/>
        <w:right w:val="none" w:sz="0" w:space="0" w:color="auto"/>
      </w:divBdr>
    </w:div>
    <w:div w:id="1935747901">
      <w:bodyDiv w:val="1"/>
      <w:marLeft w:val="0"/>
      <w:marRight w:val="0"/>
      <w:marTop w:val="0"/>
      <w:marBottom w:val="0"/>
      <w:divBdr>
        <w:top w:val="none" w:sz="0" w:space="0" w:color="auto"/>
        <w:left w:val="none" w:sz="0" w:space="0" w:color="auto"/>
        <w:bottom w:val="none" w:sz="0" w:space="0" w:color="auto"/>
        <w:right w:val="none" w:sz="0" w:space="0" w:color="auto"/>
      </w:divBdr>
    </w:div>
    <w:div w:id="1935868054">
      <w:bodyDiv w:val="1"/>
      <w:marLeft w:val="0"/>
      <w:marRight w:val="0"/>
      <w:marTop w:val="0"/>
      <w:marBottom w:val="0"/>
      <w:divBdr>
        <w:top w:val="none" w:sz="0" w:space="0" w:color="auto"/>
        <w:left w:val="none" w:sz="0" w:space="0" w:color="auto"/>
        <w:bottom w:val="none" w:sz="0" w:space="0" w:color="auto"/>
        <w:right w:val="none" w:sz="0" w:space="0" w:color="auto"/>
      </w:divBdr>
    </w:div>
    <w:div w:id="1936396699">
      <w:bodyDiv w:val="1"/>
      <w:marLeft w:val="0"/>
      <w:marRight w:val="0"/>
      <w:marTop w:val="0"/>
      <w:marBottom w:val="0"/>
      <w:divBdr>
        <w:top w:val="none" w:sz="0" w:space="0" w:color="auto"/>
        <w:left w:val="none" w:sz="0" w:space="0" w:color="auto"/>
        <w:bottom w:val="none" w:sz="0" w:space="0" w:color="auto"/>
        <w:right w:val="none" w:sz="0" w:space="0" w:color="auto"/>
      </w:divBdr>
    </w:div>
    <w:div w:id="1936397510">
      <w:bodyDiv w:val="1"/>
      <w:marLeft w:val="0"/>
      <w:marRight w:val="0"/>
      <w:marTop w:val="0"/>
      <w:marBottom w:val="0"/>
      <w:divBdr>
        <w:top w:val="none" w:sz="0" w:space="0" w:color="auto"/>
        <w:left w:val="none" w:sz="0" w:space="0" w:color="auto"/>
        <w:bottom w:val="none" w:sz="0" w:space="0" w:color="auto"/>
        <w:right w:val="none" w:sz="0" w:space="0" w:color="auto"/>
      </w:divBdr>
    </w:div>
    <w:div w:id="1937592897">
      <w:bodyDiv w:val="1"/>
      <w:marLeft w:val="0"/>
      <w:marRight w:val="0"/>
      <w:marTop w:val="0"/>
      <w:marBottom w:val="0"/>
      <w:divBdr>
        <w:top w:val="none" w:sz="0" w:space="0" w:color="auto"/>
        <w:left w:val="none" w:sz="0" w:space="0" w:color="auto"/>
        <w:bottom w:val="none" w:sz="0" w:space="0" w:color="auto"/>
        <w:right w:val="none" w:sz="0" w:space="0" w:color="auto"/>
      </w:divBdr>
    </w:div>
    <w:div w:id="1939020280">
      <w:bodyDiv w:val="1"/>
      <w:marLeft w:val="0"/>
      <w:marRight w:val="0"/>
      <w:marTop w:val="0"/>
      <w:marBottom w:val="0"/>
      <w:divBdr>
        <w:top w:val="none" w:sz="0" w:space="0" w:color="auto"/>
        <w:left w:val="none" w:sz="0" w:space="0" w:color="auto"/>
        <w:bottom w:val="none" w:sz="0" w:space="0" w:color="auto"/>
        <w:right w:val="none" w:sz="0" w:space="0" w:color="auto"/>
      </w:divBdr>
      <w:divsChild>
        <w:div w:id="912398137">
          <w:marLeft w:val="0"/>
          <w:marRight w:val="0"/>
          <w:marTop w:val="0"/>
          <w:marBottom w:val="0"/>
          <w:divBdr>
            <w:top w:val="none" w:sz="0" w:space="0" w:color="auto"/>
            <w:left w:val="none" w:sz="0" w:space="0" w:color="auto"/>
            <w:bottom w:val="none" w:sz="0" w:space="0" w:color="auto"/>
            <w:right w:val="none" w:sz="0" w:space="0" w:color="auto"/>
          </w:divBdr>
          <w:divsChild>
            <w:div w:id="765924431">
              <w:marLeft w:val="0"/>
              <w:marRight w:val="0"/>
              <w:marTop w:val="0"/>
              <w:marBottom w:val="0"/>
              <w:divBdr>
                <w:top w:val="none" w:sz="0" w:space="0" w:color="auto"/>
                <w:left w:val="none" w:sz="0" w:space="0" w:color="auto"/>
                <w:bottom w:val="none" w:sz="0" w:space="0" w:color="auto"/>
                <w:right w:val="none" w:sz="0" w:space="0" w:color="auto"/>
              </w:divBdr>
              <w:divsChild>
                <w:div w:id="16710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23441">
      <w:bodyDiv w:val="1"/>
      <w:marLeft w:val="0"/>
      <w:marRight w:val="0"/>
      <w:marTop w:val="0"/>
      <w:marBottom w:val="0"/>
      <w:divBdr>
        <w:top w:val="none" w:sz="0" w:space="0" w:color="auto"/>
        <w:left w:val="none" w:sz="0" w:space="0" w:color="auto"/>
        <w:bottom w:val="none" w:sz="0" w:space="0" w:color="auto"/>
        <w:right w:val="none" w:sz="0" w:space="0" w:color="auto"/>
      </w:divBdr>
      <w:divsChild>
        <w:div w:id="523596154">
          <w:marLeft w:val="0"/>
          <w:marRight w:val="0"/>
          <w:marTop w:val="0"/>
          <w:marBottom w:val="0"/>
          <w:divBdr>
            <w:top w:val="none" w:sz="0" w:space="0" w:color="auto"/>
            <w:left w:val="none" w:sz="0" w:space="0" w:color="auto"/>
            <w:bottom w:val="none" w:sz="0" w:space="0" w:color="auto"/>
            <w:right w:val="none" w:sz="0" w:space="0" w:color="auto"/>
          </w:divBdr>
          <w:divsChild>
            <w:div w:id="454183468">
              <w:marLeft w:val="0"/>
              <w:marRight w:val="0"/>
              <w:marTop w:val="0"/>
              <w:marBottom w:val="0"/>
              <w:divBdr>
                <w:top w:val="none" w:sz="0" w:space="0" w:color="auto"/>
                <w:left w:val="none" w:sz="0" w:space="0" w:color="auto"/>
                <w:bottom w:val="none" w:sz="0" w:space="0" w:color="auto"/>
                <w:right w:val="none" w:sz="0" w:space="0" w:color="auto"/>
              </w:divBdr>
              <w:divsChild>
                <w:div w:id="472790174">
                  <w:marLeft w:val="0"/>
                  <w:marRight w:val="0"/>
                  <w:marTop w:val="0"/>
                  <w:marBottom w:val="0"/>
                  <w:divBdr>
                    <w:top w:val="none" w:sz="0" w:space="0" w:color="auto"/>
                    <w:left w:val="none" w:sz="0" w:space="0" w:color="auto"/>
                    <w:bottom w:val="none" w:sz="0" w:space="0" w:color="auto"/>
                    <w:right w:val="none" w:sz="0" w:space="0" w:color="auto"/>
                  </w:divBdr>
                  <w:divsChild>
                    <w:div w:id="9268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600580">
      <w:bodyDiv w:val="1"/>
      <w:marLeft w:val="0"/>
      <w:marRight w:val="0"/>
      <w:marTop w:val="0"/>
      <w:marBottom w:val="0"/>
      <w:divBdr>
        <w:top w:val="none" w:sz="0" w:space="0" w:color="auto"/>
        <w:left w:val="none" w:sz="0" w:space="0" w:color="auto"/>
        <w:bottom w:val="none" w:sz="0" w:space="0" w:color="auto"/>
        <w:right w:val="none" w:sz="0" w:space="0" w:color="auto"/>
      </w:divBdr>
      <w:divsChild>
        <w:div w:id="184828932">
          <w:marLeft w:val="0"/>
          <w:marRight w:val="0"/>
          <w:marTop w:val="0"/>
          <w:marBottom w:val="0"/>
          <w:divBdr>
            <w:top w:val="none" w:sz="0" w:space="0" w:color="auto"/>
            <w:left w:val="none" w:sz="0" w:space="0" w:color="auto"/>
            <w:bottom w:val="none" w:sz="0" w:space="0" w:color="auto"/>
            <w:right w:val="none" w:sz="0" w:space="0" w:color="auto"/>
          </w:divBdr>
          <w:divsChild>
            <w:div w:id="2108497699">
              <w:marLeft w:val="0"/>
              <w:marRight w:val="0"/>
              <w:marTop w:val="0"/>
              <w:marBottom w:val="0"/>
              <w:divBdr>
                <w:top w:val="none" w:sz="0" w:space="0" w:color="auto"/>
                <w:left w:val="none" w:sz="0" w:space="0" w:color="auto"/>
                <w:bottom w:val="none" w:sz="0" w:space="0" w:color="auto"/>
                <w:right w:val="none" w:sz="0" w:space="0" w:color="auto"/>
              </w:divBdr>
              <w:divsChild>
                <w:div w:id="261499550">
                  <w:marLeft w:val="0"/>
                  <w:marRight w:val="0"/>
                  <w:marTop w:val="0"/>
                  <w:marBottom w:val="0"/>
                  <w:divBdr>
                    <w:top w:val="none" w:sz="0" w:space="0" w:color="auto"/>
                    <w:left w:val="none" w:sz="0" w:space="0" w:color="auto"/>
                    <w:bottom w:val="none" w:sz="0" w:space="0" w:color="auto"/>
                    <w:right w:val="none" w:sz="0" w:space="0" w:color="auto"/>
                  </w:divBdr>
                  <w:divsChild>
                    <w:div w:id="73138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864111">
      <w:bodyDiv w:val="1"/>
      <w:marLeft w:val="0"/>
      <w:marRight w:val="0"/>
      <w:marTop w:val="0"/>
      <w:marBottom w:val="0"/>
      <w:divBdr>
        <w:top w:val="none" w:sz="0" w:space="0" w:color="auto"/>
        <w:left w:val="none" w:sz="0" w:space="0" w:color="auto"/>
        <w:bottom w:val="none" w:sz="0" w:space="0" w:color="auto"/>
        <w:right w:val="none" w:sz="0" w:space="0" w:color="auto"/>
      </w:divBdr>
      <w:divsChild>
        <w:div w:id="1163427341">
          <w:marLeft w:val="0"/>
          <w:marRight w:val="0"/>
          <w:marTop w:val="0"/>
          <w:marBottom w:val="0"/>
          <w:divBdr>
            <w:top w:val="none" w:sz="0" w:space="0" w:color="auto"/>
            <w:left w:val="none" w:sz="0" w:space="0" w:color="auto"/>
            <w:bottom w:val="none" w:sz="0" w:space="0" w:color="auto"/>
            <w:right w:val="none" w:sz="0" w:space="0" w:color="auto"/>
          </w:divBdr>
          <w:divsChild>
            <w:div w:id="1872761172">
              <w:marLeft w:val="0"/>
              <w:marRight w:val="0"/>
              <w:marTop w:val="0"/>
              <w:marBottom w:val="0"/>
              <w:divBdr>
                <w:top w:val="none" w:sz="0" w:space="0" w:color="auto"/>
                <w:left w:val="none" w:sz="0" w:space="0" w:color="auto"/>
                <w:bottom w:val="none" w:sz="0" w:space="0" w:color="auto"/>
                <w:right w:val="none" w:sz="0" w:space="0" w:color="auto"/>
              </w:divBdr>
              <w:divsChild>
                <w:div w:id="88745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68845">
      <w:bodyDiv w:val="1"/>
      <w:marLeft w:val="0"/>
      <w:marRight w:val="0"/>
      <w:marTop w:val="0"/>
      <w:marBottom w:val="0"/>
      <w:divBdr>
        <w:top w:val="none" w:sz="0" w:space="0" w:color="auto"/>
        <w:left w:val="none" w:sz="0" w:space="0" w:color="auto"/>
        <w:bottom w:val="none" w:sz="0" w:space="0" w:color="auto"/>
        <w:right w:val="none" w:sz="0" w:space="0" w:color="auto"/>
      </w:divBdr>
    </w:div>
    <w:div w:id="1942837204">
      <w:bodyDiv w:val="1"/>
      <w:marLeft w:val="0"/>
      <w:marRight w:val="0"/>
      <w:marTop w:val="0"/>
      <w:marBottom w:val="0"/>
      <w:divBdr>
        <w:top w:val="none" w:sz="0" w:space="0" w:color="auto"/>
        <w:left w:val="none" w:sz="0" w:space="0" w:color="auto"/>
        <w:bottom w:val="none" w:sz="0" w:space="0" w:color="auto"/>
        <w:right w:val="none" w:sz="0" w:space="0" w:color="auto"/>
      </w:divBdr>
    </w:div>
    <w:div w:id="1943301895">
      <w:bodyDiv w:val="1"/>
      <w:marLeft w:val="0"/>
      <w:marRight w:val="0"/>
      <w:marTop w:val="0"/>
      <w:marBottom w:val="0"/>
      <w:divBdr>
        <w:top w:val="none" w:sz="0" w:space="0" w:color="auto"/>
        <w:left w:val="none" w:sz="0" w:space="0" w:color="auto"/>
        <w:bottom w:val="none" w:sz="0" w:space="0" w:color="auto"/>
        <w:right w:val="none" w:sz="0" w:space="0" w:color="auto"/>
      </w:divBdr>
    </w:div>
    <w:div w:id="1943604311">
      <w:bodyDiv w:val="1"/>
      <w:marLeft w:val="0"/>
      <w:marRight w:val="0"/>
      <w:marTop w:val="0"/>
      <w:marBottom w:val="0"/>
      <w:divBdr>
        <w:top w:val="none" w:sz="0" w:space="0" w:color="auto"/>
        <w:left w:val="none" w:sz="0" w:space="0" w:color="auto"/>
        <w:bottom w:val="none" w:sz="0" w:space="0" w:color="auto"/>
        <w:right w:val="none" w:sz="0" w:space="0" w:color="auto"/>
      </w:divBdr>
      <w:divsChild>
        <w:div w:id="410783394">
          <w:marLeft w:val="0"/>
          <w:marRight w:val="0"/>
          <w:marTop w:val="0"/>
          <w:marBottom w:val="0"/>
          <w:divBdr>
            <w:top w:val="none" w:sz="0" w:space="0" w:color="auto"/>
            <w:left w:val="none" w:sz="0" w:space="0" w:color="auto"/>
            <w:bottom w:val="none" w:sz="0" w:space="0" w:color="auto"/>
            <w:right w:val="none" w:sz="0" w:space="0" w:color="auto"/>
          </w:divBdr>
          <w:divsChild>
            <w:div w:id="2079933832">
              <w:marLeft w:val="0"/>
              <w:marRight w:val="0"/>
              <w:marTop w:val="0"/>
              <w:marBottom w:val="0"/>
              <w:divBdr>
                <w:top w:val="none" w:sz="0" w:space="0" w:color="auto"/>
                <w:left w:val="none" w:sz="0" w:space="0" w:color="auto"/>
                <w:bottom w:val="none" w:sz="0" w:space="0" w:color="auto"/>
                <w:right w:val="none" w:sz="0" w:space="0" w:color="auto"/>
              </w:divBdr>
              <w:divsChild>
                <w:div w:id="284192148">
                  <w:marLeft w:val="0"/>
                  <w:marRight w:val="0"/>
                  <w:marTop w:val="0"/>
                  <w:marBottom w:val="0"/>
                  <w:divBdr>
                    <w:top w:val="none" w:sz="0" w:space="0" w:color="auto"/>
                    <w:left w:val="none" w:sz="0" w:space="0" w:color="auto"/>
                    <w:bottom w:val="none" w:sz="0" w:space="0" w:color="auto"/>
                    <w:right w:val="none" w:sz="0" w:space="0" w:color="auto"/>
                  </w:divBdr>
                  <w:divsChild>
                    <w:div w:id="108430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220244">
      <w:bodyDiv w:val="1"/>
      <w:marLeft w:val="0"/>
      <w:marRight w:val="0"/>
      <w:marTop w:val="0"/>
      <w:marBottom w:val="0"/>
      <w:divBdr>
        <w:top w:val="none" w:sz="0" w:space="0" w:color="auto"/>
        <w:left w:val="none" w:sz="0" w:space="0" w:color="auto"/>
        <w:bottom w:val="none" w:sz="0" w:space="0" w:color="auto"/>
        <w:right w:val="none" w:sz="0" w:space="0" w:color="auto"/>
      </w:divBdr>
    </w:div>
    <w:div w:id="1944260596">
      <w:bodyDiv w:val="1"/>
      <w:marLeft w:val="0"/>
      <w:marRight w:val="0"/>
      <w:marTop w:val="0"/>
      <w:marBottom w:val="0"/>
      <w:divBdr>
        <w:top w:val="none" w:sz="0" w:space="0" w:color="auto"/>
        <w:left w:val="none" w:sz="0" w:space="0" w:color="auto"/>
        <w:bottom w:val="none" w:sz="0" w:space="0" w:color="auto"/>
        <w:right w:val="none" w:sz="0" w:space="0" w:color="auto"/>
      </w:divBdr>
    </w:div>
    <w:div w:id="1946571386">
      <w:bodyDiv w:val="1"/>
      <w:marLeft w:val="0"/>
      <w:marRight w:val="0"/>
      <w:marTop w:val="0"/>
      <w:marBottom w:val="0"/>
      <w:divBdr>
        <w:top w:val="none" w:sz="0" w:space="0" w:color="auto"/>
        <w:left w:val="none" w:sz="0" w:space="0" w:color="auto"/>
        <w:bottom w:val="none" w:sz="0" w:space="0" w:color="auto"/>
        <w:right w:val="none" w:sz="0" w:space="0" w:color="auto"/>
      </w:divBdr>
    </w:div>
    <w:div w:id="1947613247">
      <w:bodyDiv w:val="1"/>
      <w:marLeft w:val="0"/>
      <w:marRight w:val="0"/>
      <w:marTop w:val="0"/>
      <w:marBottom w:val="0"/>
      <w:divBdr>
        <w:top w:val="none" w:sz="0" w:space="0" w:color="auto"/>
        <w:left w:val="none" w:sz="0" w:space="0" w:color="auto"/>
        <w:bottom w:val="none" w:sz="0" w:space="0" w:color="auto"/>
        <w:right w:val="none" w:sz="0" w:space="0" w:color="auto"/>
      </w:divBdr>
    </w:div>
    <w:div w:id="1948342419">
      <w:bodyDiv w:val="1"/>
      <w:marLeft w:val="0"/>
      <w:marRight w:val="0"/>
      <w:marTop w:val="0"/>
      <w:marBottom w:val="0"/>
      <w:divBdr>
        <w:top w:val="none" w:sz="0" w:space="0" w:color="auto"/>
        <w:left w:val="none" w:sz="0" w:space="0" w:color="auto"/>
        <w:bottom w:val="none" w:sz="0" w:space="0" w:color="auto"/>
        <w:right w:val="none" w:sz="0" w:space="0" w:color="auto"/>
      </w:divBdr>
    </w:div>
    <w:div w:id="1948653651">
      <w:bodyDiv w:val="1"/>
      <w:marLeft w:val="0"/>
      <w:marRight w:val="0"/>
      <w:marTop w:val="0"/>
      <w:marBottom w:val="0"/>
      <w:divBdr>
        <w:top w:val="none" w:sz="0" w:space="0" w:color="auto"/>
        <w:left w:val="none" w:sz="0" w:space="0" w:color="auto"/>
        <w:bottom w:val="none" w:sz="0" w:space="0" w:color="auto"/>
        <w:right w:val="none" w:sz="0" w:space="0" w:color="auto"/>
      </w:divBdr>
    </w:div>
    <w:div w:id="1948658278">
      <w:bodyDiv w:val="1"/>
      <w:marLeft w:val="0"/>
      <w:marRight w:val="0"/>
      <w:marTop w:val="0"/>
      <w:marBottom w:val="0"/>
      <w:divBdr>
        <w:top w:val="none" w:sz="0" w:space="0" w:color="auto"/>
        <w:left w:val="none" w:sz="0" w:space="0" w:color="auto"/>
        <w:bottom w:val="none" w:sz="0" w:space="0" w:color="auto"/>
        <w:right w:val="none" w:sz="0" w:space="0" w:color="auto"/>
      </w:divBdr>
      <w:divsChild>
        <w:div w:id="1395928364">
          <w:marLeft w:val="0"/>
          <w:marRight w:val="0"/>
          <w:marTop w:val="0"/>
          <w:marBottom w:val="0"/>
          <w:divBdr>
            <w:top w:val="none" w:sz="0" w:space="0" w:color="auto"/>
            <w:left w:val="none" w:sz="0" w:space="0" w:color="auto"/>
            <w:bottom w:val="none" w:sz="0" w:space="0" w:color="auto"/>
            <w:right w:val="none" w:sz="0" w:space="0" w:color="auto"/>
          </w:divBdr>
          <w:divsChild>
            <w:div w:id="308444571">
              <w:marLeft w:val="0"/>
              <w:marRight w:val="0"/>
              <w:marTop w:val="0"/>
              <w:marBottom w:val="0"/>
              <w:divBdr>
                <w:top w:val="none" w:sz="0" w:space="0" w:color="auto"/>
                <w:left w:val="none" w:sz="0" w:space="0" w:color="auto"/>
                <w:bottom w:val="none" w:sz="0" w:space="0" w:color="auto"/>
                <w:right w:val="none" w:sz="0" w:space="0" w:color="auto"/>
              </w:divBdr>
              <w:divsChild>
                <w:div w:id="90984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808465">
      <w:bodyDiv w:val="1"/>
      <w:marLeft w:val="0"/>
      <w:marRight w:val="0"/>
      <w:marTop w:val="0"/>
      <w:marBottom w:val="0"/>
      <w:divBdr>
        <w:top w:val="none" w:sz="0" w:space="0" w:color="auto"/>
        <w:left w:val="none" w:sz="0" w:space="0" w:color="auto"/>
        <w:bottom w:val="none" w:sz="0" w:space="0" w:color="auto"/>
        <w:right w:val="none" w:sz="0" w:space="0" w:color="auto"/>
      </w:divBdr>
    </w:div>
    <w:div w:id="1948851252">
      <w:bodyDiv w:val="1"/>
      <w:marLeft w:val="0"/>
      <w:marRight w:val="0"/>
      <w:marTop w:val="0"/>
      <w:marBottom w:val="0"/>
      <w:divBdr>
        <w:top w:val="none" w:sz="0" w:space="0" w:color="auto"/>
        <w:left w:val="none" w:sz="0" w:space="0" w:color="auto"/>
        <w:bottom w:val="none" w:sz="0" w:space="0" w:color="auto"/>
        <w:right w:val="none" w:sz="0" w:space="0" w:color="auto"/>
      </w:divBdr>
    </w:div>
    <w:div w:id="1949848185">
      <w:bodyDiv w:val="1"/>
      <w:marLeft w:val="0"/>
      <w:marRight w:val="0"/>
      <w:marTop w:val="0"/>
      <w:marBottom w:val="0"/>
      <w:divBdr>
        <w:top w:val="none" w:sz="0" w:space="0" w:color="auto"/>
        <w:left w:val="none" w:sz="0" w:space="0" w:color="auto"/>
        <w:bottom w:val="none" w:sz="0" w:space="0" w:color="auto"/>
        <w:right w:val="none" w:sz="0" w:space="0" w:color="auto"/>
      </w:divBdr>
      <w:divsChild>
        <w:div w:id="438138167">
          <w:marLeft w:val="0"/>
          <w:marRight w:val="0"/>
          <w:marTop w:val="0"/>
          <w:marBottom w:val="0"/>
          <w:divBdr>
            <w:top w:val="none" w:sz="0" w:space="0" w:color="auto"/>
            <w:left w:val="none" w:sz="0" w:space="0" w:color="auto"/>
            <w:bottom w:val="none" w:sz="0" w:space="0" w:color="auto"/>
            <w:right w:val="none" w:sz="0" w:space="0" w:color="auto"/>
          </w:divBdr>
          <w:divsChild>
            <w:div w:id="1087533255">
              <w:marLeft w:val="0"/>
              <w:marRight w:val="0"/>
              <w:marTop w:val="0"/>
              <w:marBottom w:val="0"/>
              <w:divBdr>
                <w:top w:val="none" w:sz="0" w:space="0" w:color="auto"/>
                <w:left w:val="none" w:sz="0" w:space="0" w:color="auto"/>
                <w:bottom w:val="none" w:sz="0" w:space="0" w:color="auto"/>
                <w:right w:val="none" w:sz="0" w:space="0" w:color="auto"/>
              </w:divBdr>
              <w:divsChild>
                <w:div w:id="498618328">
                  <w:marLeft w:val="0"/>
                  <w:marRight w:val="0"/>
                  <w:marTop w:val="0"/>
                  <w:marBottom w:val="0"/>
                  <w:divBdr>
                    <w:top w:val="none" w:sz="0" w:space="0" w:color="auto"/>
                    <w:left w:val="none" w:sz="0" w:space="0" w:color="auto"/>
                    <w:bottom w:val="none" w:sz="0" w:space="0" w:color="auto"/>
                    <w:right w:val="none" w:sz="0" w:space="0" w:color="auto"/>
                  </w:divBdr>
                  <w:divsChild>
                    <w:div w:id="173935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509135">
      <w:bodyDiv w:val="1"/>
      <w:marLeft w:val="0"/>
      <w:marRight w:val="0"/>
      <w:marTop w:val="0"/>
      <w:marBottom w:val="0"/>
      <w:divBdr>
        <w:top w:val="none" w:sz="0" w:space="0" w:color="auto"/>
        <w:left w:val="none" w:sz="0" w:space="0" w:color="auto"/>
        <w:bottom w:val="none" w:sz="0" w:space="0" w:color="auto"/>
        <w:right w:val="none" w:sz="0" w:space="0" w:color="auto"/>
      </w:divBdr>
    </w:div>
    <w:div w:id="1950887160">
      <w:bodyDiv w:val="1"/>
      <w:marLeft w:val="0"/>
      <w:marRight w:val="0"/>
      <w:marTop w:val="0"/>
      <w:marBottom w:val="0"/>
      <w:divBdr>
        <w:top w:val="none" w:sz="0" w:space="0" w:color="auto"/>
        <w:left w:val="none" w:sz="0" w:space="0" w:color="auto"/>
        <w:bottom w:val="none" w:sz="0" w:space="0" w:color="auto"/>
        <w:right w:val="none" w:sz="0" w:space="0" w:color="auto"/>
      </w:divBdr>
      <w:divsChild>
        <w:div w:id="703292042">
          <w:marLeft w:val="0"/>
          <w:marRight w:val="0"/>
          <w:marTop w:val="0"/>
          <w:marBottom w:val="0"/>
          <w:divBdr>
            <w:top w:val="none" w:sz="0" w:space="0" w:color="auto"/>
            <w:left w:val="none" w:sz="0" w:space="0" w:color="auto"/>
            <w:bottom w:val="none" w:sz="0" w:space="0" w:color="auto"/>
            <w:right w:val="none" w:sz="0" w:space="0" w:color="auto"/>
          </w:divBdr>
          <w:divsChild>
            <w:div w:id="1239172035">
              <w:marLeft w:val="0"/>
              <w:marRight w:val="0"/>
              <w:marTop w:val="0"/>
              <w:marBottom w:val="0"/>
              <w:divBdr>
                <w:top w:val="none" w:sz="0" w:space="0" w:color="auto"/>
                <w:left w:val="none" w:sz="0" w:space="0" w:color="auto"/>
                <w:bottom w:val="none" w:sz="0" w:space="0" w:color="auto"/>
                <w:right w:val="none" w:sz="0" w:space="0" w:color="auto"/>
              </w:divBdr>
              <w:divsChild>
                <w:div w:id="448817625">
                  <w:marLeft w:val="0"/>
                  <w:marRight w:val="0"/>
                  <w:marTop w:val="0"/>
                  <w:marBottom w:val="0"/>
                  <w:divBdr>
                    <w:top w:val="none" w:sz="0" w:space="0" w:color="auto"/>
                    <w:left w:val="none" w:sz="0" w:space="0" w:color="auto"/>
                    <w:bottom w:val="none" w:sz="0" w:space="0" w:color="auto"/>
                    <w:right w:val="none" w:sz="0" w:space="0" w:color="auto"/>
                  </w:divBdr>
                  <w:divsChild>
                    <w:div w:id="119670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813820">
      <w:bodyDiv w:val="1"/>
      <w:marLeft w:val="0"/>
      <w:marRight w:val="0"/>
      <w:marTop w:val="0"/>
      <w:marBottom w:val="0"/>
      <w:divBdr>
        <w:top w:val="none" w:sz="0" w:space="0" w:color="auto"/>
        <w:left w:val="none" w:sz="0" w:space="0" w:color="auto"/>
        <w:bottom w:val="none" w:sz="0" w:space="0" w:color="auto"/>
        <w:right w:val="none" w:sz="0" w:space="0" w:color="auto"/>
      </w:divBdr>
    </w:div>
    <w:div w:id="1951819448">
      <w:bodyDiv w:val="1"/>
      <w:marLeft w:val="0"/>
      <w:marRight w:val="0"/>
      <w:marTop w:val="0"/>
      <w:marBottom w:val="0"/>
      <w:divBdr>
        <w:top w:val="none" w:sz="0" w:space="0" w:color="auto"/>
        <w:left w:val="none" w:sz="0" w:space="0" w:color="auto"/>
        <w:bottom w:val="none" w:sz="0" w:space="0" w:color="auto"/>
        <w:right w:val="none" w:sz="0" w:space="0" w:color="auto"/>
      </w:divBdr>
    </w:div>
    <w:div w:id="1952081047">
      <w:bodyDiv w:val="1"/>
      <w:marLeft w:val="0"/>
      <w:marRight w:val="0"/>
      <w:marTop w:val="0"/>
      <w:marBottom w:val="0"/>
      <w:divBdr>
        <w:top w:val="none" w:sz="0" w:space="0" w:color="auto"/>
        <w:left w:val="none" w:sz="0" w:space="0" w:color="auto"/>
        <w:bottom w:val="none" w:sz="0" w:space="0" w:color="auto"/>
        <w:right w:val="none" w:sz="0" w:space="0" w:color="auto"/>
      </w:divBdr>
      <w:divsChild>
        <w:div w:id="1440299035">
          <w:marLeft w:val="0"/>
          <w:marRight w:val="0"/>
          <w:marTop w:val="0"/>
          <w:marBottom w:val="0"/>
          <w:divBdr>
            <w:top w:val="none" w:sz="0" w:space="0" w:color="auto"/>
            <w:left w:val="none" w:sz="0" w:space="0" w:color="auto"/>
            <w:bottom w:val="none" w:sz="0" w:space="0" w:color="auto"/>
            <w:right w:val="none" w:sz="0" w:space="0" w:color="auto"/>
          </w:divBdr>
          <w:divsChild>
            <w:div w:id="860902054">
              <w:marLeft w:val="0"/>
              <w:marRight w:val="0"/>
              <w:marTop w:val="0"/>
              <w:marBottom w:val="0"/>
              <w:divBdr>
                <w:top w:val="none" w:sz="0" w:space="0" w:color="auto"/>
                <w:left w:val="none" w:sz="0" w:space="0" w:color="auto"/>
                <w:bottom w:val="none" w:sz="0" w:space="0" w:color="auto"/>
                <w:right w:val="none" w:sz="0" w:space="0" w:color="auto"/>
              </w:divBdr>
              <w:divsChild>
                <w:div w:id="825049090">
                  <w:marLeft w:val="0"/>
                  <w:marRight w:val="0"/>
                  <w:marTop w:val="0"/>
                  <w:marBottom w:val="0"/>
                  <w:divBdr>
                    <w:top w:val="none" w:sz="0" w:space="0" w:color="auto"/>
                    <w:left w:val="none" w:sz="0" w:space="0" w:color="auto"/>
                    <w:bottom w:val="none" w:sz="0" w:space="0" w:color="auto"/>
                    <w:right w:val="none" w:sz="0" w:space="0" w:color="auto"/>
                  </w:divBdr>
                  <w:divsChild>
                    <w:div w:id="31425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474191">
      <w:bodyDiv w:val="1"/>
      <w:marLeft w:val="0"/>
      <w:marRight w:val="0"/>
      <w:marTop w:val="0"/>
      <w:marBottom w:val="0"/>
      <w:divBdr>
        <w:top w:val="none" w:sz="0" w:space="0" w:color="auto"/>
        <w:left w:val="none" w:sz="0" w:space="0" w:color="auto"/>
        <w:bottom w:val="none" w:sz="0" w:space="0" w:color="auto"/>
        <w:right w:val="none" w:sz="0" w:space="0" w:color="auto"/>
      </w:divBdr>
      <w:divsChild>
        <w:div w:id="1557467724">
          <w:marLeft w:val="0"/>
          <w:marRight w:val="0"/>
          <w:marTop w:val="0"/>
          <w:marBottom w:val="0"/>
          <w:divBdr>
            <w:top w:val="none" w:sz="0" w:space="0" w:color="auto"/>
            <w:left w:val="none" w:sz="0" w:space="0" w:color="auto"/>
            <w:bottom w:val="none" w:sz="0" w:space="0" w:color="auto"/>
            <w:right w:val="none" w:sz="0" w:space="0" w:color="auto"/>
          </w:divBdr>
          <w:divsChild>
            <w:div w:id="631908040">
              <w:marLeft w:val="0"/>
              <w:marRight w:val="0"/>
              <w:marTop w:val="0"/>
              <w:marBottom w:val="0"/>
              <w:divBdr>
                <w:top w:val="none" w:sz="0" w:space="0" w:color="auto"/>
                <w:left w:val="none" w:sz="0" w:space="0" w:color="auto"/>
                <w:bottom w:val="none" w:sz="0" w:space="0" w:color="auto"/>
                <w:right w:val="none" w:sz="0" w:space="0" w:color="auto"/>
              </w:divBdr>
              <w:divsChild>
                <w:div w:id="1969360851">
                  <w:marLeft w:val="0"/>
                  <w:marRight w:val="0"/>
                  <w:marTop w:val="0"/>
                  <w:marBottom w:val="0"/>
                  <w:divBdr>
                    <w:top w:val="none" w:sz="0" w:space="0" w:color="auto"/>
                    <w:left w:val="none" w:sz="0" w:space="0" w:color="auto"/>
                    <w:bottom w:val="none" w:sz="0" w:space="0" w:color="auto"/>
                    <w:right w:val="none" w:sz="0" w:space="0" w:color="auto"/>
                  </w:divBdr>
                  <w:divsChild>
                    <w:div w:id="124606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10996">
      <w:bodyDiv w:val="1"/>
      <w:marLeft w:val="0"/>
      <w:marRight w:val="0"/>
      <w:marTop w:val="0"/>
      <w:marBottom w:val="0"/>
      <w:divBdr>
        <w:top w:val="none" w:sz="0" w:space="0" w:color="auto"/>
        <w:left w:val="none" w:sz="0" w:space="0" w:color="auto"/>
        <w:bottom w:val="none" w:sz="0" w:space="0" w:color="auto"/>
        <w:right w:val="none" w:sz="0" w:space="0" w:color="auto"/>
      </w:divBdr>
    </w:div>
    <w:div w:id="1952743262">
      <w:bodyDiv w:val="1"/>
      <w:marLeft w:val="0"/>
      <w:marRight w:val="0"/>
      <w:marTop w:val="0"/>
      <w:marBottom w:val="0"/>
      <w:divBdr>
        <w:top w:val="none" w:sz="0" w:space="0" w:color="auto"/>
        <w:left w:val="none" w:sz="0" w:space="0" w:color="auto"/>
        <w:bottom w:val="none" w:sz="0" w:space="0" w:color="auto"/>
        <w:right w:val="none" w:sz="0" w:space="0" w:color="auto"/>
      </w:divBdr>
    </w:div>
    <w:div w:id="1953322939">
      <w:bodyDiv w:val="1"/>
      <w:marLeft w:val="0"/>
      <w:marRight w:val="0"/>
      <w:marTop w:val="0"/>
      <w:marBottom w:val="0"/>
      <w:divBdr>
        <w:top w:val="none" w:sz="0" w:space="0" w:color="auto"/>
        <w:left w:val="none" w:sz="0" w:space="0" w:color="auto"/>
        <w:bottom w:val="none" w:sz="0" w:space="0" w:color="auto"/>
        <w:right w:val="none" w:sz="0" w:space="0" w:color="auto"/>
      </w:divBdr>
    </w:div>
    <w:div w:id="1954437045">
      <w:bodyDiv w:val="1"/>
      <w:marLeft w:val="0"/>
      <w:marRight w:val="0"/>
      <w:marTop w:val="0"/>
      <w:marBottom w:val="0"/>
      <w:divBdr>
        <w:top w:val="none" w:sz="0" w:space="0" w:color="auto"/>
        <w:left w:val="none" w:sz="0" w:space="0" w:color="auto"/>
        <w:bottom w:val="none" w:sz="0" w:space="0" w:color="auto"/>
        <w:right w:val="none" w:sz="0" w:space="0" w:color="auto"/>
      </w:divBdr>
      <w:divsChild>
        <w:div w:id="841165156">
          <w:marLeft w:val="0"/>
          <w:marRight w:val="0"/>
          <w:marTop w:val="0"/>
          <w:marBottom w:val="0"/>
          <w:divBdr>
            <w:top w:val="none" w:sz="0" w:space="0" w:color="auto"/>
            <w:left w:val="none" w:sz="0" w:space="0" w:color="auto"/>
            <w:bottom w:val="none" w:sz="0" w:space="0" w:color="auto"/>
            <w:right w:val="none" w:sz="0" w:space="0" w:color="auto"/>
          </w:divBdr>
          <w:divsChild>
            <w:div w:id="296961177">
              <w:marLeft w:val="0"/>
              <w:marRight w:val="0"/>
              <w:marTop w:val="0"/>
              <w:marBottom w:val="0"/>
              <w:divBdr>
                <w:top w:val="none" w:sz="0" w:space="0" w:color="auto"/>
                <w:left w:val="none" w:sz="0" w:space="0" w:color="auto"/>
                <w:bottom w:val="none" w:sz="0" w:space="0" w:color="auto"/>
                <w:right w:val="none" w:sz="0" w:space="0" w:color="auto"/>
              </w:divBdr>
              <w:divsChild>
                <w:div w:id="514854039">
                  <w:marLeft w:val="0"/>
                  <w:marRight w:val="0"/>
                  <w:marTop w:val="0"/>
                  <w:marBottom w:val="0"/>
                  <w:divBdr>
                    <w:top w:val="none" w:sz="0" w:space="0" w:color="auto"/>
                    <w:left w:val="none" w:sz="0" w:space="0" w:color="auto"/>
                    <w:bottom w:val="none" w:sz="0" w:space="0" w:color="auto"/>
                    <w:right w:val="none" w:sz="0" w:space="0" w:color="auto"/>
                  </w:divBdr>
                  <w:divsChild>
                    <w:div w:id="172845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625391">
      <w:bodyDiv w:val="1"/>
      <w:marLeft w:val="0"/>
      <w:marRight w:val="0"/>
      <w:marTop w:val="0"/>
      <w:marBottom w:val="0"/>
      <w:divBdr>
        <w:top w:val="none" w:sz="0" w:space="0" w:color="auto"/>
        <w:left w:val="none" w:sz="0" w:space="0" w:color="auto"/>
        <w:bottom w:val="none" w:sz="0" w:space="0" w:color="auto"/>
        <w:right w:val="none" w:sz="0" w:space="0" w:color="auto"/>
      </w:divBdr>
    </w:div>
    <w:div w:id="1954707540">
      <w:bodyDiv w:val="1"/>
      <w:marLeft w:val="0"/>
      <w:marRight w:val="0"/>
      <w:marTop w:val="0"/>
      <w:marBottom w:val="0"/>
      <w:divBdr>
        <w:top w:val="none" w:sz="0" w:space="0" w:color="auto"/>
        <w:left w:val="none" w:sz="0" w:space="0" w:color="auto"/>
        <w:bottom w:val="none" w:sz="0" w:space="0" w:color="auto"/>
        <w:right w:val="none" w:sz="0" w:space="0" w:color="auto"/>
      </w:divBdr>
    </w:div>
    <w:div w:id="1954748455">
      <w:bodyDiv w:val="1"/>
      <w:marLeft w:val="0"/>
      <w:marRight w:val="0"/>
      <w:marTop w:val="0"/>
      <w:marBottom w:val="0"/>
      <w:divBdr>
        <w:top w:val="none" w:sz="0" w:space="0" w:color="auto"/>
        <w:left w:val="none" w:sz="0" w:space="0" w:color="auto"/>
        <w:bottom w:val="none" w:sz="0" w:space="0" w:color="auto"/>
        <w:right w:val="none" w:sz="0" w:space="0" w:color="auto"/>
      </w:divBdr>
    </w:div>
    <w:div w:id="1957062194">
      <w:bodyDiv w:val="1"/>
      <w:marLeft w:val="0"/>
      <w:marRight w:val="0"/>
      <w:marTop w:val="0"/>
      <w:marBottom w:val="0"/>
      <w:divBdr>
        <w:top w:val="none" w:sz="0" w:space="0" w:color="auto"/>
        <w:left w:val="none" w:sz="0" w:space="0" w:color="auto"/>
        <w:bottom w:val="none" w:sz="0" w:space="0" w:color="auto"/>
        <w:right w:val="none" w:sz="0" w:space="0" w:color="auto"/>
      </w:divBdr>
    </w:div>
    <w:div w:id="1957323807">
      <w:bodyDiv w:val="1"/>
      <w:marLeft w:val="0"/>
      <w:marRight w:val="0"/>
      <w:marTop w:val="0"/>
      <w:marBottom w:val="0"/>
      <w:divBdr>
        <w:top w:val="none" w:sz="0" w:space="0" w:color="auto"/>
        <w:left w:val="none" w:sz="0" w:space="0" w:color="auto"/>
        <w:bottom w:val="none" w:sz="0" w:space="0" w:color="auto"/>
        <w:right w:val="none" w:sz="0" w:space="0" w:color="auto"/>
      </w:divBdr>
    </w:div>
    <w:div w:id="1957365660">
      <w:bodyDiv w:val="1"/>
      <w:marLeft w:val="0"/>
      <w:marRight w:val="0"/>
      <w:marTop w:val="0"/>
      <w:marBottom w:val="0"/>
      <w:divBdr>
        <w:top w:val="none" w:sz="0" w:space="0" w:color="auto"/>
        <w:left w:val="none" w:sz="0" w:space="0" w:color="auto"/>
        <w:bottom w:val="none" w:sz="0" w:space="0" w:color="auto"/>
        <w:right w:val="none" w:sz="0" w:space="0" w:color="auto"/>
      </w:divBdr>
    </w:div>
    <w:div w:id="1958174153">
      <w:bodyDiv w:val="1"/>
      <w:marLeft w:val="0"/>
      <w:marRight w:val="0"/>
      <w:marTop w:val="0"/>
      <w:marBottom w:val="0"/>
      <w:divBdr>
        <w:top w:val="none" w:sz="0" w:space="0" w:color="auto"/>
        <w:left w:val="none" w:sz="0" w:space="0" w:color="auto"/>
        <w:bottom w:val="none" w:sz="0" w:space="0" w:color="auto"/>
        <w:right w:val="none" w:sz="0" w:space="0" w:color="auto"/>
      </w:divBdr>
      <w:divsChild>
        <w:div w:id="1595941827">
          <w:marLeft w:val="0"/>
          <w:marRight w:val="0"/>
          <w:marTop w:val="0"/>
          <w:marBottom w:val="0"/>
          <w:divBdr>
            <w:top w:val="none" w:sz="0" w:space="0" w:color="auto"/>
            <w:left w:val="none" w:sz="0" w:space="0" w:color="auto"/>
            <w:bottom w:val="none" w:sz="0" w:space="0" w:color="auto"/>
            <w:right w:val="none" w:sz="0" w:space="0" w:color="auto"/>
          </w:divBdr>
          <w:divsChild>
            <w:div w:id="960916824">
              <w:marLeft w:val="0"/>
              <w:marRight w:val="0"/>
              <w:marTop w:val="0"/>
              <w:marBottom w:val="0"/>
              <w:divBdr>
                <w:top w:val="none" w:sz="0" w:space="0" w:color="auto"/>
                <w:left w:val="none" w:sz="0" w:space="0" w:color="auto"/>
                <w:bottom w:val="none" w:sz="0" w:space="0" w:color="auto"/>
                <w:right w:val="none" w:sz="0" w:space="0" w:color="auto"/>
              </w:divBdr>
              <w:divsChild>
                <w:div w:id="393159354">
                  <w:marLeft w:val="0"/>
                  <w:marRight w:val="0"/>
                  <w:marTop w:val="0"/>
                  <w:marBottom w:val="0"/>
                  <w:divBdr>
                    <w:top w:val="none" w:sz="0" w:space="0" w:color="auto"/>
                    <w:left w:val="none" w:sz="0" w:space="0" w:color="auto"/>
                    <w:bottom w:val="none" w:sz="0" w:space="0" w:color="auto"/>
                    <w:right w:val="none" w:sz="0" w:space="0" w:color="auto"/>
                  </w:divBdr>
                  <w:divsChild>
                    <w:div w:id="161278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296478">
      <w:bodyDiv w:val="1"/>
      <w:marLeft w:val="0"/>
      <w:marRight w:val="0"/>
      <w:marTop w:val="0"/>
      <w:marBottom w:val="0"/>
      <w:divBdr>
        <w:top w:val="none" w:sz="0" w:space="0" w:color="auto"/>
        <w:left w:val="none" w:sz="0" w:space="0" w:color="auto"/>
        <w:bottom w:val="none" w:sz="0" w:space="0" w:color="auto"/>
        <w:right w:val="none" w:sz="0" w:space="0" w:color="auto"/>
      </w:divBdr>
    </w:div>
    <w:div w:id="1959675595">
      <w:bodyDiv w:val="1"/>
      <w:marLeft w:val="0"/>
      <w:marRight w:val="0"/>
      <w:marTop w:val="0"/>
      <w:marBottom w:val="0"/>
      <w:divBdr>
        <w:top w:val="none" w:sz="0" w:space="0" w:color="auto"/>
        <w:left w:val="none" w:sz="0" w:space="0" w:color="auto"/>
        <w:bottom w:val="none" w:sz="0" w:space="0" w:color="auto"/>
        <w:right w:val="none" w:sz="0" w:space="0" w:color="auto"/>
      </w:divBdr>
    </w:div>
    <w:div w:id="1960647714">
      <w:bodyDiv w:val="1"/>
      <w:marLeft w:val="0"/>
      <w:marRight w:val="0"/>
      <w:marTop w:val="0"/>
      <w:marBottom w:val="0"/>
      <w:divBdr>
        <w:top w:val="none" w:sz="0" w:space="0" w:color="auto"/>
        <w:left w:val="none" w:sz="0" w:space="0" w:color="auto"/>
        <w:bottom w:val="none" w:sz="0" w:space="0" w:color="auto"/>
        <w:right w:val="none" w:sz="0" w:space="0" w:color="auto"/>
      </w:divBdr>
    </w:div>
    <w:div w:id="1960796201">
      <w:bodyDiv w:val="1"/>
      <w:marLeft w:val="0"/>
      <w:marRight w:val="0"/>
      <w:marTop w:val="0"/>
      <w:marBottom w:val="0"/>
      <w:divBdr>
        <w:top w:val="none" w:sz="0" w:space="0" w:color="auto"/>
        <w:left w:val="none" w:sz="0" w:space="0" w:color="auto"/>
        <w:bottom w:val="none" w:sz="0" w:space="0" w:color="auto"/>
        <w:right w:val="none" w:sz="0" w:space="0" w:color="auto"/>
      </w:divBdr>
    </w:div>
    <w:div w:id="1960841054">
      <w:bodyDiv w:val="1"/>
      <w:marLeft w:val="0"/>
      <w:marRight w:val="0"/>
      <w:marTop w:val="0"/>
      <w:marBottom w:val="0"/>
      <w:divBdr>
        <w:top w:val="none" w:sz="0" w:space="0" w:color="auto"/>
        <w:left w:val="none" w:sz="0" w:space="0" w:color="auto"/>
        <w:bottom w:val="none" w:sz="0" w:space="0" w:color="auto"/>
        <w:right w:val="none" w:sz="0" w:space="0" w:color="auto"/>
      </w:divBdr>
      <w:divsChild>
        <w:div w:id="975333860">
          <w:marLeft w:val="0"/>
          <w:marRight w:val="0"/>
          <w:marTop w:val="0"/>
          <w:marBottom w:val="0"/>
          <w:divBdr>
            <w:top w:val="none" w:sz="0" w:space="0" w:color="auto"/>
            <w:left w:val="none" w:sz="0" w:space="0" w:color="auto"/>
            <w:bottom w:val="none" w:sz="0" w:space="0" w:color="auto"/>
            <w:right w:val="none" w:sz="0" w:space="0" w:color="auto"/>
          </w:divBdr>
          <w:divsChild>
            <w:div w:id="1054544428">
              <w:marLeft w:val="0"/>
              <w:marRight w:val="0"/>
              <w:marTop w:val="0"/>
              <w:marBottom w:val="0"/>
              <w:divBdr>
                <w:top w:val="none" w:sz="0" w:space="0" w:color="auto"/>
                <w:left w:val="none" w:sz="0" w:space="0" w:color="auto"/>
                <w:bottom w:val="none" w:sz="0" w:space="0" w:color="auto"/>
                <w:right w:val="none" w:sz="0" w:space="0" w:color="auto"/>
              </w:divBdr>
              <w:divsChild>
                <w:div w:id="54473029">
                  <w:marLeft w:val="0"/>
                  <w:marRight w:val="0"/>
                  <w:marTop w:val="0"/>
                  <w:marBottom w:val="0"/>
                  <w:divBdr>
                    <w:top w:val="none" w:sz="0" w:space="0" w:color="auto"/>
                    <w:left w:val="none" w:sz="0" w:space="0" w:color="auto"/>
                    <w:bottom w:val="none" w:sz="0" w:space="0" w:color="auto"/>
                    <w:right w:val="none" w:sz="0" w:space="0" w:color="auto"/>
                  </w:divBdr>
                  <w:divsChild>
                    <w:div w:id="4347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489089">
      <w:bodyDiv w:val="1"/>
      <w:marLeft w:val="0"/>
      <w:marRight w:val="0"/>
      <w:marTop w:val="0"/>
      <w:marBottom w:val="0"/>
      <w:divBdr>
        <w:top w:val="none" w:sz="0" w:space="0" w:color="auto"/>
        <w:left w:val="none" w:sz="0" w:space="0" w:color="auto"/>
        <w:bottom w:val="none" w:sz="0" w:space="0" w:color="auto"/>
        <w:right w:val="none" w:sz="0" w:space="0" w:color="auto"/>
      </w:divBdr>
      <w:divsChild>
        <w:div w:id="1539656948">
          <w:marLeft w:val="0"/>
          <w:marRight w:val="0"/>
          <w:marTop w:val="0"/>
          <w:marBottom w:val="0"/>
          <w:divBdr>
            <w:top w:val="none" w:sz="0" w:space="0" w:color="auto"/>
            <w:left w:val="none" w:sz="0" w:space="0" w:color="auto"/>
            <w:bottom w:val="none" w:sz="0" w:space="0" w:color="auto"/>
            <w:right w:val="none" w:sz="0" w:space="0" w:color="auto"/>
          </w:divBdr>
        </w:div>
      </w:divsChild>
    </w:div>
    <w:div w:id="1962765913">
      <w:bodyDiv w:val="1"/>
      <w:marLeft w:val="0"/>
      <w:marRight w:val="0"/>
      <w:marTop w:val="0"/>
      <w:marBottom w:val="0"/>
      <w:divBdr>
        <w:top w:val="none" w:sz="0" w:space="0" w:color="auto"/>
        <w:left w:val="none" w:sz="0" w:space="0" w:color="auto"/>
        <w:bottom w:val="none" w:sz="0" w:space="0" w:color="auto"/>
        <w:right w:val="none" w:sz="0" w:space="0" w:color="auto"/>
      </w:divBdr>
    </w:div>
    <w:div w:id="1963074741">
      <w:bodyDiv w:val="1"/>
      <w:marLeft w:val="0"/>
      <w:marRight w:val="0"/>
      <w:marTop w:val="0"/>
      <w:marBottom w:val="0"/>
      <w:divBdr>
        <w:top w:val="none" w:sz="0" w:space="0" w:color="auto"/>
        <w:left w:val="none" w:sz="0" w:space="0" w:color="auto"/>
        <w:bottom w:val="none" w:sz="0" w:space="0" w:color="auto"/>
        <w:right w:val="none" w:sz="0" w:space="0" w:color="auto"/>
      </w:divBdr>
    </w:div>
    <w:div w:id="1964574961">
      <w:bodyDiv w:val="1"/>
      <w:marLeft w:val="0"/>
      <w:marRight w:val="0"/>
      <w:marTop w:val="0"/>
      <w:marBottom w:val="0"/>
      <w:divBdr>
        <w:top w:val="none" w:sz="0" w:space="0" w:color="auto"/>
        <w:left w:val="none" w:sz="0" w:space="0" w:color="auto"/>
        <w:bottom w:val="none" w:sz="0" w:space="0" w:color="auto"/>
        <w:right w:val="none" w:sz="0" w:space="0" w:color="auto"/>
      </w:divBdr>
    </w:div>
    <w:div w:id="1964724138">
      <w:bodyDiv w:val="1"/>
      <w:marLeft w:val="0"/>
      <w:marRight w:val="0"/>
      <w:marTop w:val="0"/>
      <w:marBottom w:val="0"/>
      <w:divBdr>
        <w:top w:val="none" w:sz="0" w:space="0" w:color="auto"/>
        <w:left w:val="none" w:sz="0" w:space="0" w:color="auto"/>
        <w:bottom w:val="none" w:sz="0" w:space="0" w:color="auto"/>
        <w:right w:val="none" w:sz="0" w:space="0" w:color="auto"/>
      </w:divBdr>
    </w:div>
    <w:div w:id="1965229932">
      <w:bodyDiv w:val="1"/>
      <w:marLeft w:val="0"/>
      <w:marRight w:val="0"/>
      <w:marTop w:val="0"/>
      <w:marBottom w:val="0"/>
      <w:divBdr>
        <w:top w:val="none" w:sz="0" w:space="0" w:color="auto"/>
        <w:left w:val="none" w:sz="0" w:space="0" w:color="auto"/>
        <w:bottom w:val="none" w:sz="0" w:space="0" w:color="auto"/>
        <w:right w:val="none" w:sz="0" w:space="0" w:color="auto"/>
      </w:divBdr>
    </w:div>
    <w:div w:id="1966035203">
      <w:bodyDiv w:val="1"/>
      <w:marLeft w:val="0"/>
      <w:marRight w:val="0"/>
      <w:marTop w:val="0"/>
      <w:marBottom w:val="0"/>
      <w:divBdr>
        <w:top w:val="none" w:sz="0" w:space="0" w:color="auto"/>
        <w:left w:val="none" w:sz="0" w:space="0" w:color="auto"/>
        <w:bottom w:val="none" w:sz="0" w:space="0" w:color="auto"/>
        <w:right w:val="none" w:sz="0" w:space="0" w:color="auto"/>
      </w:divBdr>
    </w:div>
    <w:div w:id="1966084081">
      <w:bodyDiv w:val="1"/>
      <w:marLeft w:val="0"/>
      <w:marRight w:val="0"/>
      <w:marTop w:val="0"/>
      <w:marBottom w:val="0"/>
      <w:divBdr>
        <w:top w:val="none" w:sz="0" w:space="0" w:color="auto"/>
        <w:left w:val="none" w:sz="0" w:space="0" w:color="auto"/>
        <w:bottom w:val="none" w:sz="0" w:space="0" w:color="auto"/>
        <w:right w:val="none" w:sz="0" w:space="0" w:color="auto"/>
      </w:divBdr>
    </w:div>
    <w:div w:id="1966813525">
      <w:bodyDiv w:val="1"/>
      <w:marLeft w:val="0"/>
      <w:marRight w:val="0"/>
      <w:marTop w:val="0"/>
      <w:marBottom w:val="0"/>
      <w:divBdr>
        <w:top w:val="none" w:sz="0" w:space="0" w:color="auto"/>
        <w:left w:val="none" w:sz="0" w:space="0" w:color="auto"/>
        <w:bottom w:val="none" w:sz="0" w:space="0" w:color="auto"/>
        <w:right w:val="none" w:sz="0" w:space="0" w:color="auto"/>
      </w:divBdr>
    </w:div>
    <w:div w:id="1968193313">
      <w:bodyDiv w:val="1"/>
      <w:marLeft w:val="0"/>
      <w:marRight w:val="0"/>
      <w:marTop w:val="0"/>
      <w:marBottom w:val="0"/>
      <w:divBdr>
        <w:top w:val="none" w:sz="0" w:space="0" w:color="auto"/>
        <w:left w:val="none" w:sz="0" w:space="0" w:color="auto"/>
        <w:bottom w:val="none" w:sz="0" w:space="0" w:color="auto"/>
        <w:right w:val="none" w:sz="0" w:space="0" w:color="auto"/>
      </w:divBdr>
    </w:div>
    <w:div w:id="1970277933">
      <w:bodyDiv w:val="1"/>
      <w:marLeft w:val="0"/>
      <w:marRight w:val="0"/>
      <w:marTop w:val="0"/>
      <w:marBottom w:val="0"/>
      <w:divBdr>
        <w:top w:val="none" w:sz="0" w:space="0" w:color="auto"/>
        <w:left w:val="none" w:sz="0" w:space="0" w:color="auto"/>
        <w:bottom w:val="none" w:sz="0" w:space="0" w:color="auto"/>
        <w:right w:val="none" w:sz="0" w:space="0" w:color="auto"/>
      </w:divBdr>
    </w:div>
    <w:div w:id="1971014179">
      <w:bodyDiv w:val="1"/>
      <w:marLeft w:val="0"/>
      <w:marRight w:val="0"/>
      <w:marTop w:val="0"/>
      <w:marBottom w:val="0"/>
      <w:divBdr>
        <w:top w:val="none" w:sz="0" w:space="0" w:color="auto"/>
        <w:left w:val="none" w:sz="0" w:space="0" w:color="auto"/>
        <w:bottom w:val="none" w:sz="0" w:space="0" w:color="auto"/>
        <w:right w:val="none" w:sz="0" w:space="0" w:color="auto"/>
      </w:divBdr>
    </w:div>
    <w:div w:id="1971158410">
      <w:bodyDiv w:val="1"/>
      <w:marLeft w:val="0"/>
      <w:marRight w:val="0"/>
      <w:marTop w:val="0"/>
      <w:marBottom w:val="0"/>
      <w:divBdr>
        <w:top w:val="none" w:sz="0" w:space="0" w:color="auto"/>
        <w:left w:val="none" w:sz="0" w:space="0" w:color="auto"/>
        <w:bottom w:val="none" w:sz="0" w:space="0" w:color="auto"/>
        <w:right w:val="none" w:sz="0" w:space="0" w:color="auto"/>
      </w:divBdr>
    </w:div>
    <w:div w:id="1972326793">
      <w:bodyDiv w:val="1"/>
      <w:marLeft w:val="0"/>
      <w:marRight w:val="0"/>
      <w:marTop w:val="0"/>
      <w:marBottom w:val="0"/>
      <w:divBdr>
        <w:top w:val="none" w:sz="0" w:space="0" w:color="auto"/>
        <w:left w:val="none" w:sz="0" w:space="0" w:color="auto"/>
        <w:bottom w:val="none" w:sz="0" w:space="0" w:color="auto"/>
        <w:right w:val="none" w:sz="0" w:space="0" w:color="auto"/>
      </w:divBdr>
    </w:div>
    <w:div w:id="1972709121">
      <w:bodyDiv w:val="1"/>
      <w:marLeft w:val="0"/>
      <w:marRight w:val="0"/>
      <w:marTop w:val="0"/>
      <w:marBottom w:val="0"/>
      <w:divBdr>
        <w:top w:val="none" w:sz="0" w:space="0" w:color="auto"/>
        <w:left w:val="none" w:sz="0" w:space="0" w:color="auto"/>
        <w:bottom w:val="none" w:sz="0" w:space="0" w:color="auto"/>
        <w:right w:val="none" w:sz="0" w:space="0" w:color="auto"/>
      </w:divBdr>
    </w:div>
    <w:div w:id="1973514391">
      <w:bodyDiv w:val="1"/>
      <w:marLeft w:val="0"/>
      <w:marRight w:val="0"/>
      <w:marTop w:val="0"/>
      <w:marBottom w:val="0"/>
      <w:divBdr>
        <w:top w:val="none" w:sz="0" w:space="0" w:color="auto"/>
        <w:left w:val="none" w:sz="0" w:space="0" w:color="auto"/>
        <w:bottom w:val="none" w:sz="0" w:space="0" w:color="auto"/>
        <w:right w:val="none" w:sz="0" w:space="0" w:color="auto"/>
      </w:divBdr>
    </w:div>
    <w:div w:id="1974824292">
      <w:bodyDiv w:val="1"/>
      <w:marLeft w:val="0"/>
      <w:marRight w:val="0"/>
      <w:marTop w:val="0"/>
      <w:marBottom w:val="0"/>
      <w:divBdr>
        <w:top w:val="none" w:sz="0" w:space="0" w:color="auto"/>
        <w:left w:val="none" w:sz="0" w:space="0" w:color="auto"/>
        <w:bottom w:val="none" w:sz="0" w:space="0" w:color="auto"/>
        <w:right w:val="none" w:sz="0" w:space="0" w:color="auto"/>
      </w:divBdr>
      <w:divsChild>
        <w:div w:id="434637427">
          <w:marLeft w:val="0"/>
          <w:marRight w:val="0"/>
          <w:marTop w:val="0"/>
          <w:marBottom w:val="0"/>
          <w:divBdr>
            <w:top w:val="none" w:sz="0" w:space="0" w:color="auto"/>
            <w:left w:val="none" w:sz="0" w:space="0" w:color="auto"/>
            <w:bottom w:val="none" w:sz="0" w:space="0" w:color="auto"/>
            <w:right w:val="none" w:sz="0" w:space="0" w:color="auto"/>
          </w:divBdr>
          <w:divsChild>
            <w:div w:id="1894122510">
              <w:marLeft w:val="0"/>
              <w:marRight w:val="0"/>
              <w:marTop w:val="0"/>
              <w:marBottom w:val="0"/>
              <w:divBdr>
                <w:top w:val="none" w:sz="0" w:space="0" w:color="auto"/>
                <w:left w:val="none" w:sz="0" w:space="0" w:color="auto"/>
                <w:bottom w:val="none" w:sz="0" w:space="0" w:color="auto"/>
                <w:right w:val="none" w:sz="0" w:space="0" w:color="auto"/>
              </w:divBdr>
              <w:divsChild>
                <w:div w:id="2068603810">
                  <w:marLeft w:val="0"/>
                  <w:marRight w:val="0"/>
                  <w:marTop w:val="0"/>
                  <w:marBottom w:val="0"/>
                  <w:divBdr>
                    <w:top w:val="none" w:sz="0" w:space="0" w:color="auto"/>
                    <w:left w:val="none" w:sz="0" w:space="0" w:color="auto"/>
                    <w:bottom w:val="none" w:sz="0" w:space="0" w:color="auto"/>
                    <w:right w:val="none" w:sz="0" w:space="0" w:color="auto"/>
                  </w:divBdr>
                  <w:divsChild>
                    <w:div w:id="16355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327338">
      <w:bodyDiv w:val="1"/>
      <w:marLeft w:val="0"/>
      <w:marRight w:val="0"/>
      <w:marTop w:val="0"/>
      <w:marBottom w:val="0"/>
      <w:divBdr>
        <w:top w:val="none" w:sz="0" w:space="0" w:color="auto"/>
        <w:left w:val="none" w:sz="0" w:space="0" w:color="auto"/>
        <w:bottom w:val="none" w:sz="0" w:space="0" w:color="auto"/>
        <w:right w:val="none" w:sz="0" w:space="0" w:color="auto"/>
      </w:divBdr>
    </w:div>
    <w:div w:id="1975525150">
      <w:bodyDiv w:val="1"/>
      <w:marLeft w:val="0"/>
      <w:marRight w:val="0"/>
      <w:marTop w:val="0"/>
      <w:marBottom w:val="0"/>
      <w:divBdr>
        <w:top w:val="none" w:sz="0" w:space="0" w:color="auto"/>
        <w:left w:val="none" w:sz="0" w:space="0" w:color="auto"/>
        <w:bottom w:val="none" w:sz="0" w:space="0" w:color="auto"/>
        <w:right w:val="none" w:sz="0" w:space="0" w:color="auto"/>
      </w:divBdr>
    </w:div>
    <w:div w:id="1976330011">
      <w:bodyDiv w:val="1"/>
      <w:marLeft w:val="0"/>
      <w:marRight w:val="0"/>
      <w:marTop w:val="0"/>
      <w:marBottom w:val="0"/>
      <w:divBdr>
        <w:top w:val="none" w:sz="0" w:space="0" w:color="auto"/>
        <w:left w:val="none" w:sz="0" w:space="0" w:color="auto"/>
        <w:bottom w:val="none" w:sz="0" w:space="0" w:color="auto"/>
        <w:right w:val="none" w:sz="0" w:space="0" w:color="auto"/>
      </w:divBdr>
    </w:div>
    <w:div w:id="1977485855">
      <w:bodyDiv w:val="1"/>
      <w:marLeft w:val="0"/>
      <w:marRight w:val="0"/>
      <w:marTop w:val="0"/>
      <w:marBottom w:val="0"/>
      <w:divBdr>
        <w:top w:val="none" w:sz="0" w:space="0" w:color="auto"/>
        <w:left w:val="none" w:sz="0" w:space="0" w:color="auto"/>
        <w:bottom w:val="none" w:sz="0" w:space="0" w:color="auto"/>
        <w:right w:val="none" w:sz="0" w:space="0" w:color="auto"/>
      </w:divBdr>
    </w:div>
    <w:div w:id="1978879775">
      <w:bodyDiv w:val="1"/>
      <w:marLeft w:val="0"/>
      <w:marRight w:val="0"/>
      <w:marTop w:val="0"/>
      <w:marBottom w:val="0"/>
      <w:divBdr>
        <w:top w:val="none" w:sz="0" w:space="0" w:color="auto"/>
        <w:left w:val="none" w:sz="0" w:space="0" w:color="auto"/>
        <w:bottom w:val="none" w:sz="0" w:space="0" w:color="auto"/>
        <w:right w:val="none" w:sz="0" w:space="0" w:color="auto"/>
      </w:divBdr>
    </w:div>
    <w:div w:id="1981156079">
      <w:bodyDiv w:val="1"/>
      <w:marLeft w:val="0"/>
      <w:marRight w:val="0"/>
      <w:marTop w:val="0"/>
      <w:marBottom w:val="0"/>
      <w:divBdr>
        <w:top w:val="none" w:sz="0" w:space="0" w:color="auto"/>
        <w:left w:val="none" w:sz="0" w:space="0" w:color="auto"/>
        <w:bottom w:val="none" w:sz="0" w:space="0" w:color="auto"/>
        <w:right w:val="none" w:sz="0" w:space="0" w:color="auto"/>
      </w:divBdr>
    </w:div>
    <w:div w:id="1981299535">
      <w:bodyDiv w:val="1"/>
      <w:marLeft w:val="0"/>
      <w:marRight w:val="0"/>
      <w:marTop w:val="0"/>
      <w:marBottom w:val="0"/>
      <w:divBdr>
        <w:top w:val="none" w:sz="0" w:space="0" w:color="auto"/>
        <w:left w:val="none" w:sz="0" w:space="0" w:color="auto"/>
        <w:bottom w:val="none" w:sz="0" w:space="0" w:color="auto"/>
        <w:right w:val="none" w:sz="0" w:space="0" w:color="auto"/>
      </w:divBdr>
    </w:div>
    <w:div w:id="1981761804">
      <w:bodyDiv w:val="1"/>
      <w:marLeft w:val="0"/>
      <w:marRight w:val="0"/>
      <w:marTop w:val="0"/>
      <w:marBottom w:val="0"/>
      <w:divBdr>
        <w:top w:val="none" w:sz="0" w:space="0" w:color="auto"/>
        <w:left w:val="none" w:sz="0" w:space="0" w:color="auto"/>
        <w:bottom w:val="none" w:sz="0" w:space="0" w:color="auto"/>
        <w:right w:val="none" w:sz="0" w:space="0" w:color="auto"/>
      </w:divBdr>
    </w:div>
    <w:div w:id="1982271583">
      <w:bodyDiv w:val="1"/>
      <w:marLeft w:val="0"/>
      <w:marRight w:val="0"/>
      <w:marTop w:val="0"/>
      <w:marBottom w:val="0"/>
      <w:divBdr>
        <w:top w:val="none" w:sz="0" w:space="0" w:color="auto"/>
        <w:left w:val="none" w:sz="0" w:space="0" w:color="auto"/>
        <w:bottom w:val="none" w:sz="0" w:space="0" w:color="auto"/>
        <w:right w:val="none" w:sz="0" w:space="0" w:color="auto"/>
      </w:divBdr>
      <w:divsChild>
        <w:div w:id="636645477">
          <w:marLeft w:val="0"/>
          <w:marRight w:val="0"/>
          <w:marTop w:val="0"/>
          <w:marBottom w:val="0"/>
          <w:divBdr>
            <w:top w:val="none" w:sz="0" w:space="0" w:color="auto"/>
            <w:left w:val="none" w:sz="0" w:space="0" w:color="auto"/>
            <w:bottom w:val="none" w:sz="0" w:space="0" w:color="auto"/>
            <w:right w:val="none" w:sz="0" w:space="0" w:color="auto"/>
          </w:divBdr>
          <w:divsChild>
            <w:div w:id="1578392907">
              <w:marLeft w:val="0"/>
              <w:marRight w:val="0"/>
              <w:marTop w:val="0"/>
              <w:marBottom w:val="0"/>
              <w:divBdr>
                <w:top w:val="none" w:sz="0" w:space="0" w:color="auto"/>
                <w:left w:val="none" w:sz="0" w:space="0" w:color="auto"/>
                <w:bottom w:val="none" w:sz="0" w:space="0" w:color="auto"/>
                <w:right w:val="none" w:sz="0" w:space="0" w:color="auto"/>
              </w:divBdr>
              <w:divsChild>
                <w:div w:id="394743662">
                  <w:marLeft w:val="0"/>
                  <w:marRight w:val="0"/>
                  <w:marTop w:val="0"/>
                  <w:marBottom w:val="0"/>
                  <w:divBdr>
                    <w:top w:val="none" w:sz="0" w:space="0" w:color="auto"/>
                    <w:left w:val="none" w:sz="0" w:space="0" w:color="auto"/>
                    <w:bottom w:val="none" w:sz="0" w:space="0" w:color="auto"/>
                    <w:right w:val="none" w:sz="0" w:space="0" w:color="auto"/>
                  </w:divBdr>
                  <w:divsChild>
                    <w:div w:id="119052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348297">
      <w:bodyDiv w:val="1"/>
      <w:marLeft w:val="0"/>
      <w:marRight w:val="0"/>
      <w:marTop w:val="0"/>
      <w:marBottom w:val="0"/>
      <w:divBdr>
        <w:top w:val="none" w:sz="0" w:space="0" w:color="auto"/>
        <w:left w:val="none" w:sz="0" w:space="0" w:color="auto"/>
        <w:bottom w:val="none" w:sz="0" w:space="0" w:color="auto"/>
        <w:right w:val="none" w:sz="0" w:space="0" w:color="auto"/>
      </w:divBdr>
    </w:div>
    <w:div w:id="1984775703">
      <w:bodyDiv w:val="1"/>
      <w:marLeft w:val="0"/>
      <w:marRight w:val="0"/>
      <w:marTop w:val="0"/>
      <w:marBottom w:val="0"/>
      <w:divBdr>
        <w:top w:val="none" w:sz="0" w:space="0" w:color="auto"/>
        <w:left w:val="none" w:sz="0" w:space="0" w:color="auto"/>
        <w:bottom w:val="none" w:sz="0" w:space="0" w:color="auto"/>
        <w:right w:val="none" w:sz="0" w:space="0" w:color="auto"/>
      </w:divBdr>
    </w:div>
    <w:div w:id="1985236253">
      <w:bodyDiv w:val="1"/>
      <w:marLeft w:val="0"/>
      <w:marRight w:val="0"/>
      <w:marTop w:val="0"/>
      <w:marBottom w:val="0"/>
      <w:divBdr>
        <w:top w:val="none" w:sz="0" w:space="0" w:color="auto"/>
        <w:left w:val="none" w:sz="0" w:space="0" w:color="auto"/>
        <w:bottom w:val="none" w:sz="0" w:space="0" w:color="auto"/>
        <w:right w:val="none" w:sz="0" w:space="0" w:color="auto"/>
      </w:divBdr>
      <w:divsChild>
        <w:div w:id="343291938">
          <w:marLeft w:val="0"/>
          <w:marRight w:val="0"/>
          <w:marTop w:val="0"/>
          <w:marBottom w:val="0"/>
          <w:divBdr>
            <w:top w:val="none" w:sz="0" w:space="0" w:color="auto"/>
            <w:left w:val="none" w:sz="0" w:space="0" w:color="auto"/>
            <w:bottom w:val="none" w:sz="0" w:space="0" w:color="auto"/>
            <w:right w:val="none" w:sz="0" w:space="0" w:color="auto"/>
          </w:divBdr>
          <w:divsChild>
            <w:div w:id="1278412928">
              <w:marLeft w:val="0"/>
              <w:marRight w:val="0"/>
              <w:marTop w:val="0"/>
              <w:marBottom w:val="0"/>
              <w:divBdr>
                <w:top w:val="none" w:sz="0" w:space="0" w:color="auto"/>
                <w:left w:val="none" w:sz="0" w:space="0" w:color="auto"/>
                <w:bottom w:val="none" w:sz="0" w:space="0" w:color="auto"/>
                <w:right w:val="none" w:sz="0" w:space="0" w:color="auto"/>
              </w:divBdr>
              <w:divsChild>
                <w:div w:id="2128232835">
                  <w:marLeft w:val="0"/>
                  <w:marRight w:val="0"/>
                  <w:marTop w:val="0"/>
                  <w:marBottom w:val="0"/>
                  <w:divBdr>
                    <w:top w:val="none" w:sz="0" w:space="0" w:color="auto"/>
                    <w:left w:val="none" w:sz="0" w:space="0" w:color="auto"/>
                    <w:bottom w:val="none" w:sz="0" w:space="0" w:color="auto"/>
                    <w:right w:val="none" w:sz="0" w:space="0" w:color="auto"/>
                  </w:divBdr>
                  <w:divsChild>
                    <w:div w:id="20707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505157">
      <w:bodyDiv w:val="1"/>
      <w:marLeft w:val="0"/>
      <w:marRight w:val="0"/>
      <w:marTop w:val="0"/>
      <w:marBottom w:val="0"/>
      <w:divBdr>
        <w:top w:val="none" w:sz="0" w:space="0" w:color="auto"/>
        <w:left w:val="none" w:sz="0" w:space="0" w:color="auto"/>
        <w:bottom w:val="none" w:sz="0" w:space="0" w:color="auto"/>
        <w:right w:val="none" w:sz="0" w:space="0" w:color="auto"/>
      </w:divBdr>
    </w:div>
    <w:div w:id="1985506637">
      <w:bodyDiv w:val="1"/>
      <w:marLeft w:val="0"/>
      <w:marRight w:val="0"/>
      <w:marTop w:val="0"/>
      <w:marBottom w:val="0"/>
      <w:divBdr>
        <w:top w:val="none" w:sz="0" w:space="0" w:color="auto"/>
        <w:left w:val="none" w:sz="0" w:space="0" w:color="auto"/>
        <w:bottom w:val="none" w:sz="0" w:space="0" w:color="auto"/>
        <w:right w:val="none" w:sz="0" w:space="0" w:color="auto"/>
      </w:divBdr>
    </w:div>
    <w:div w:id="1985742853">
      <w:bodyDiv w:val="1"/>
      <w:marLeft w:val="0"/>
      <w:marRight w:val="0"/>
      <w:marTop w:val="0"/>
      <w:marBottom w:val="0"/>
      <w:divBdr>
        <w:top w:val="none" w:sz="0" w:space="0" w:color="auto"/>
        <w:left w:val="none" w:sz="0" w:space="0" w:color="auto"/>
        <w:bottom w:val="none" w:sz="0" w:space="0" w:color="auto"/>
        <w:right w:val="none" w:sz="0" w:space="0" w:color="auto"/>
      </w:divBdr>
    </w:div>
    <w:div w:id="1986205258">
      <w:bodyDiv w:val="1"/>
      <w:marLeft w:val="0"/>
      <w:marRight w:val="0"/>
      <w:marTop w:val="0"/>
      <w:marBottom w:val="0"/>
      <w:divBdr>
        <w:top w:val="none" w:sz="0" w:space="0" w:color="auto"/>
        <w:left w:val="none" w:sz="0" w:space="0" w:color="auto"/>
        <w:bottom w:val="none" w:sz="0" w:space="0" w:color="auto"/>
        <w:right w:val="none" w:sz="0" w:space="0" w:color="auto"/>
      </w:divBdr>
    </w:div>
    <w:div w:id="1986230701">
      <w:bodyDiv w:val="1"/>
      <w:marLeft w:val="0"/>
      <w:marRight w:val="0"/>
      <w:marTop w:val="0"/>
      <w:marBottom w:val="0"/>
      <w:divBdr>
        <w:top w:val="none" w:sz="0" w:space="0" w:color="auto"/>
        <w:left w:val="none" w:sz="0" w:space="0" w:color="auto"/>
        <w:bottom w:val="none" w:sz="0" w:space="0" w:color="auto"/>
        <w:right w:val="none" w:sz="0" w:space="0" w:color="auto"/>
      </w:divBdr>
    </w:div>
    <w:div w:id="1986659450">
      <w:bodyDiv w:val="1"/>
      <w:marLeft w:val="0"/>
      <w:marRight w:val="0"/>
      <w:marTop w:val="0"/>
      <w:marBottom w:val="0"/>
      <w:divBdr>
        <w:top w:val="none" w:sz="0" w:space="0" w:color="auto"/>
        <w:left w:val="none" w:sz="0" w:space="0" w:color="auto"/>
        <w:bottom w:val="none" w:sz="0" w:space="0" w:color="auto"/>
        <w:right w:val="none" w:sz="0" w:space="0" w:color="auto"/>
      </w:divBdr>
      <w:divsChild>
        <w:div w:id="465389516">
          <w:marLeft w:val="0"/>
          <w:marRight w:val="0"/>
          <w:marTop w:val="0"/>
          <w:marBottom w:val="0"/>
          <w:divBdr>
            <w:top w:val="none" w:sz="0" w:space="0" w:color="auto"/>
            <w:left w:val="none" w:sz="0" w:space="0" w:color="auto"/>
            <w:bottom w:val="none" w:sz="0" w:space="0" w:color="auto"/>
            <w:right w:val="none" w:sz="0" w:space="0" w:color="auto"/>
          </w:divBdr>
          <w:divsChild>
            <w:div w:id="1471097716">
              <w:marLeft w:val="0"/>
              <w:marRight w:val="0"/>
              <w:marTop w:val="0"/>
              <w:marBottom w:val="0"/>
              <w:divBdr>
                <w:top w:val="none" w:sz="0" w:space="0" w:color="auto"/>
                <w:left w:val="none" w:sz="0" w:space="0" w:color="auto"/>
                <w:bottom w:val="none" w:sz="0" w:space="0" w:color="auto"/>
                <w:right w:val="none" w:sz="0" w:space="0" w:color="auto"/>
              </w:divBdr>
              <w:divsChild>
                <w:div w:id="104197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08925">
      <w:bodyDiv w:val="1"/>
      <w:marLeft w:val="0"/>
      <w:marRight w:val="0"/>
      <w:marTop w:val="0"/>
      <w:marBottom w:val="0"/>
      <w:divBdr>
        <w:top w:val="none" w:sz="0" w:space="0" w:color="auto"/>
        <w:left w:val="none" w:sz="0" w:space="0" w:color="auto"/>
        <w:bottom w:val="none" w:sz="0" w:space="0" w:color="auto"/>
        <w:right w:val="none" w:sz="0" w:space="0" w:color="auto"/>
      </w:divBdr>
    </w:div>
    <w:div w:id="1987663577">
      <w:bodyDiv w:val="1"/>
      <w:marLeft w:val="0"/>
      <w:marRight w:val="0"/>
      <w:marTop w:val="0"/>
      <w:marBottom w:val="0"/>
      <w:divBdr>
        <w:top w:val="none" w:sz="0" w:space="0" w:color="auto"/>
        <w:left w:val="none" w:sz="0" w:space="0" w:color="auto"/>
        <w:bottom w:val="none" w:sz="0" w:space="0" w:color="auto"/>
        <w:right w:val="none" w:sz="0" w:space="0" w:color="auto"/>
      </w:divBdr>
    </w:div>
    <w:div w:id="1987709374">
      <w:bodyDiv w:val="1"/>
      <w:marLeft w:val="0"/>
      <w:marRight w:val="0"/>
      <w:marTop w:val="0"/>
      <w:marBottom w:val="0"/>
      <w:divBdr>
        <w:top w:val="none" w:sz="0" w:space="0" w:color="auto"/>
        <w:left w:val="none" w:sz="0" w:space="0" w:color="auto"/>
        <w:bottom w:val="none" w:sz="0" w:space="0" w:color="auto"/>
        <w:right w:val="none" w:sz="0" w:space="0" w:color="auto"/>
      </w:divBdr>
    </w:div>
    <w:div w:id="1989246153">
      <w:bodyDiv w:val="1"/>
      <w:marLeft w:val="0"/>
      <w:marRight w:val="0"/>
      <w:marTop w:val="0"/>
      <w:marBottom w:val="0"/>
      <w:divBdr>
        <w:top w:val="none" w:sz="0" w:space="0" w:color="auto"/>
        <w:left w:val="none" w:sz="0" w:space="0" w:color="auto"/>
        <w:bottom w:val="none" w:sz="0" w:space="0" w:color="auto"/>
        <w:right w:val="none" w:sz="0" w:space="0" w:color="auto"/>
      </w:divBdr>
      <w:divsChild>
        <w:div w:id="1487547428">
          <w:marLeft w:val="0"/>
          <w:marRight w:val="0"/>
          <w:marTop w:val="0"/>
          <w:marBottom w:val="0"/>
          <w:divBdr>
            <w:top w:val="none" w:sz="0" w:space="0" w:color="auto"/>
            <w:left w:val="none" w:sz="0" w:space="0" w:color="auto"/>
            <w:bottom w:val="none" w:sz="0" w:space="0" w:color="auto"/>
            <w:right w:val="none" w:sz="0" w:space="0" w:color="auto"/>
          </w:divBdr>
          <w:divsChild>
            <w:div w:id="1600941943">
              <w:marLeft w:val="0"/>
              <w:marRight w:val="0"/>
              <w:marTop w:val="0"/>
              <w:marBottom w:val="0"/>
              <w:divBdr>
                <w:top w:val="none" w:sz="0" w:space="0" w:color="auto"/>
                <w:left w:val="none" w:sz="0" w:space="0" w:color="auto"/>
                <w:bottom w:val="none" w:sz="0" w:space="0" w:color="auto"/>
                <w:right w:val="none" w:sz="0" w:space="0" w:color="auto"/>
              </w:divBdr>
              <w:divsChild>
                <w:div w:id="1608199814">
                  <w:marLeft w:val="0"/>
                  <w:marRight w:val="0"/>
                  <w:marTop w:val="0"/>
                  <w:marBottom w:val="0"/>
                  <w:divBdr>
                    <w:top w:val="none" w:sz="0" w:space="0" w:color="auto"/>
                    <w:left w:val="none" w:sz="0" w:space="0" w:color="auto"/>
                    <w:bottom w:val="none" w:sz="0" w:space="0" w:color="auto"/>
                    <w:right w:val="none" w:sz="0" w:space="0" w:color="auto"/>
                  </w:divBdr>
                  <w:divsChild>
                    <w:div w:id="27560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325178">
      <w:bodyDiv w:val="1"/>
      <w:marLeft w:val="0"/>
      <w:marRight w:val="0"/>
      <w:marTop w:val="0"/>
      <w:marBottom w:val="0"/>
      <w:divBdr>
        <w:top w:val="none" w:sz="0" w:space="0" w:color="auto"/>
        <w:left w:val="none" w:sz="0" w:space="0" w:color="auto"/>
        <w:bottom w:val="none" w:sz="0" w:space="0" w:color="auto"/>
        <w:right w:val="none" w:sz="0" w:space="0" w:color="auto"/>
      </w:divBdr>
    </w:div>
    <w:div w:id="1991398100">
      <w:bodyDiv w:val="1"/>
      <w:marLeft w:val="0"/>
      <w:marRight w:val="0"/>
      <w:marTop w:val="0"/>
      <w:marBottom w:val="0"/>
      <w:divBdr>
        <w:top w:val="none" w:sz="0" w:space="0" w:color="auto"/>
        <w:left w:val="none" w:sz="0" w:space="0" w:color="auto"/>
        <w:bottom w:val="none" w:sz="0" w:space="0" w:color="auto"/>
        <w:right w:val="none" w:sz="0" w:space="0" w:color="auto"/>
      </w:divBdr>
    </w:div>
    <w:div w:id="1991789802">
      <w:bodyDiv w:val="1"/>
      <w:marLeft w:val="0"/>
      <w:marRight w:val="0"/>
      <w:marTop w:val="0"/>
      <w:marBottom w:val="0"/>
      <w:divBdr>
        <w:top w:val="none" w:sz="0" w:space="0" w:color="auto"/>
        <w:left w:val="none" w:sz="0" w:space="0" w:color="auto"/>
        <w:bottom w:val="none" w:sz="0" w:space="0" w:color="auto"/>
        <w:right w:val="none" w:sz="0" w:space="0" w:color="auto"/>
      </w:divBdr>
    </w:div>
    <w:div w:id="1991905180">
      <w:bodyDiv w:val="1"/>
      <w:marLeft w:val="0"/>
      <w:marRight w:val="0"/>
      <w:marTop w:val="0"/>
      <w:marBottom w:val="0"/>
      <w:divBdr>
        <w:top w:val="none" w:sz="0" w:space="0" w:color="auto"/>
        <w:left w:val="none" w:sz="0" w:space="0" w:color="auto"/>
        <w:bottom w:val="none" w:sz="0" w:space="0" w:color="auto"/>
        <w:right w:val="none" w:sz="0" w:space="0" w:color="auto"/>
      </w:divBdr>
    </w:div>
    <w:div w:id="1992564568">
      <w:bodyDiv w:val="1"/>
      <w:marLeft w:val="0"/>
      <w:marRight w:val="0"/>
      <w:marTop w:val="0"/>
      <w:marBottom w:val="0"/>
      <w:divBdr>
        <w:top w:val="none" w:sz="0" w:space="0" w:color="auto"/>
        <w:left w:val="none" w:sz="0" w:space="0" w:color="auto"/>
        <w:bottom w:val="none" w:sz="0" w:space="0" w:color="auto"/>
        <w:right w:val="none" w:sz="0" w:space="0" w:color="auto"/>
      </w:divBdr>
      <w:divsChild>
        <w:div w:id="2096244031">
          <w:marLeft w:val="0"/>
          <w:marRight w:val="0"/>
          <w:marTop w:val="0"/>
          <w:marBottom w:val="0"/>
          <w:divBdr>
            <w:top w:val="none" w:sz="0" w:space="0" w:color="auto"/>
            <w:left w:val="none" w:sz="0" w:space="0" w:color="auto"/>
            <w:bottom w:val="none" w:sz="0" w:space="0" w:color="auto"/>
            <w:right w:val="none" w:sz="0" w:space="0" w:color="auto"/>
          </w:divBdr>
          <w:divsChild>
            <w:div w:id="8067687">
              <w:marLeft w:val="0"/>
              <w:marRight w:val="0"/>
              <w:marTop w:val="0"/>
              <w:marBottom w:val="0"/>
              <w:divBdr>
                <w:top w:val="none" w:sz="0" w:space="0" w:color="auto"/>
                <w:left w:val="none" w:sz="0" w:space="0" w:color="auto"/>
                <w:bottom w:val="none" w:sz="0" w:space="0" w:color="auto"/>
                <w:right w:val="none" w:sz="0" w:space="0" w:color="auto"/>
              </w:divBdr>
              <w:divsChild>
                <w:div w:id="715083585">
                  <w:marLeft w:val="0"/>
                  <w:marRight w:val="0"/>
                  <w:marTop w:val="0"/>
                  <w:marBottom w:val="0"/>
                  <w:divBdr>
                    <w:top w:val="none" w:sz="0" w:space="0" w:color="auto"/>
                    <w:left w:val="none" w:sz="0" w:space="0" w:color="auto"/>
                    <w:bottom w:val="none" w:sz="0" w:space="0" w:color="auto"/>
                    <w:right w:val="none" w:sz="0" w:space="0" w:color="auto"/>
                  </w:divBdr>
                  <w:divsChild>
                    <w:div w:id="7417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557394">
      <w:bodyDiv w:val="1"/>
      <w:marLeft w:val="0"/>
      <w:marRight w:val="0"/>
      <w:marTop w:val="0"/>
      <w:marBottom w:val="0"/>
      <w:divBdr>
        <w:top w:val="none" w:sz="0" w:space="0" w:color="auto"/>
        <w:left w:val="none" w:sz="0" w:space="0" w:color="auto"/>
        <w:bottom w:val="none" w:sz="0" w:space="0" w:color="auto"/>
        <w:right w:val="none" w:sz="0" w:space="0" w:color="auto"/>
      </w:divBdr>
    </w:div>
    <w:div w:id="1993827179">
      <w:bodyDiv w:val="1"/>
      <w:marLeft w:val="0"/>
      <w:marRight w:val="0"/>
      <w:marTop w:val="0"/>
      <w:marBottom w:val="0"/>
      <w:divBdr>
        <w:top w:val="none" w:sz="0" w:space="0" w:color="auto"/>
        <w:left w:val="none" w:sz="0" w:space="0" w:color="auto"/>
        <w:bottom w:val="none" w:sz="0" w:space="0" w:color="auto"/>
        <w:right w:val="none" w:sz="0" w:space="0" w:color="auto"/>
      </w:divBdr>
      <w:divsChild>
        <w:div w:id="2025549414">
          <w:marLeft w:val="0"/>
          <w:marRight w:val="0"/>
          <w:marTop w:val="0"/>
          <w:marBottom w:val="0"/>
          <w:divBdr>
            <w:top w:val="none" w:sz="0" w:space="0" w:color="auto"/>
            <w:left w:val="none" w:sz="0" w:space="0" w:color="auto"/>
            <w:bottom w:val="none" w:sz="0" w:space="0" w:color="auto"/>
            <w:right w:val="none" w:sz="0" w:space="0" w:color="auto"/>
          </w:divBdr>
          <w:divsChild>
            <w:div w:id="934939145">
              <w:marLeft w:val="0"/>
              <w:marRight w:val="0"/>
              <w:marTop w:val="0"/>
              <w:marBottom w:val="0"/>
              <w:divBdr>
                <w:top w:val="none" w:sz="0" w:space="0" w:color="auto"/>
                <w:left w:val="none" w:sz="0" w:space="0" w:color="auto"/>
                <w:bottom w:val="none" w:sz="0" w:space="0" w:color="auto"/>
                <w:right w:val="none" w:sz="0" w:space="0" w:color="auto"/>
              </w:divBdr>
              <w:divsChild>
                <w:div w:id="774984091">
                  <w:marLeft w:val="0"/>
                  <w:marRight w:val="0"/>
                  <w:marTop w:val="0"/>
                  <w:marBottom w:val="0"/>
                  <w:divBdr>
                    <w:top w:val="none" w:sz="0" w:space="0" w:color="auto"/>
                    <w:left w:val="none" w:sz="0" w:space="0" w:color="auto"/>
                    <w:bottom w:val="none" w:sz="0" w:space="0" w:color="auto"/>
                    <w:right w:val="none" w:sz="0" w:space="0" w:color="auto"/>
                  </w:divBdr>
                  <w:divsChild>
                    <w:div w:id="87172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138850">
      <w:bodyDiv w:val="1"/>
      <w:marLeft w:val="0"/>
      <w:marRight w:val="0"/>
      <w:marTop w:val="0"/>
      <w:marBottom w:val="0"/>
      <w:divBdr>
        <w:top w:val="none" w:sz="0" w:space="0" w:color="auto"/>
        <w:left w:val="none" w:sz="0" w:space="0" w:color="auto"/>
        <w:bottom w:val="none" w:sz="0" w:space="0" w:color="auto"/>
        <w:right w:val="none" w:sz="0" w:space="0" w:color="auto"/>
      </w:divBdr>
    </w:div>
    <w:div w:id="1994944243">
      <w:bodyDiv w:val="1"/>
      <w:marLeft w:val="0"/>
      <w:marRight w:val="0"/>
      <w:marTop w:val="0"/>
      <w:marBottom w:val="0"/>
      <w:divBdr>
        <w:top w:val="none" w:sz="0" w:space="0" w:color="auto"/>
        <w:left w:val="none" w:sz="0" w:space="0" w:color="auto"/>
        <w:bottom w:val="none" w:sz="0" w:space="0" w:color="auto"/>
        <w:right w:val="none" w:sz="0" w:space="0" w:color="auto"/>
      </w:divBdr>
    </w:div>
    <w:div w:id="1995065020">
      <w:bodyDiv w:val="1"/>
      <w:marLeft w:val="0"/>
      <w:marRight w:val="0"/>
      <w:marTop w:val="0"/>
      <w:marBottom w:val="0"/>
      <w:divBdr>
        <w:top w:val="none" w:sz="0" w:space="0" w:color="auto"/>
        <w:left w:val="none" w:sz="0" w:space="0" w:color="auto"/>
        <w:bottom w:val="none" w:sz="0" w:space="0" w:color="auto"/>
        <w:right w:val="none" w:sz="0" w:space="0" w:color="auto"/>
      </w:divBdr>
    </w:div>
    <w:div w:id="1995641459">
      <w:bodyDiv w:val="1"/>
      <w:marLeft w:val="0"/>
      <w:marRight w:val="0"/>
      <w:marTop w:val="0"/>
      <w:marBottom w:val="0"/>
      <w:divBdr>
        <w:top w:val="none" w:sz="0" w:space="0" w:color="auto"/>
        <w:left w:val="none" w:sz="0" w:space="0" w:color="auto"/>
        <w:bottom w:val="none" w:sz="0" w:space="0" w:color="auto"/>
        <w:right w:val="none" w:sz="0" w:space="0" w:color="auto"/>
      </w:divBdr>
    </w:div>
    <w:div w:id="1996301303">
      <w:bodyDiv w:val="1"/>
      <w:marLeft w:val="0"/>
      <w:marRight w:val="0"/>
      <w:marTop w:val="0"/>
      <w:marBottom w:val="0"/>
      <w:divBdr>
        <w:top w:val="none" w:sz="0" w:space="0" w:color="auto"/>
        <w:left w:val="none" w:sz="0" w:space="0" w:color="auto"/>
        <w:bottom w:val="none" w:sz="0" w:space="0" w:color="auto"/>
        <w:right w:val="none" w:sz="0" w:space="0" w:color="auto"/>
      </w:divBdr>
    </w:div>
    <w:div w:id="1997565324">
      <w:bodyDiv w:val="1"/>
      <w:marLeft w:val="0"/>
      <w:marRight w:val="0"/>
      <w:marTop w:val="0"/>
      <w:marBottom w:val="0"/>
      <w:divBdr>
        <w:top w:val="none" w:sz="0" w:space="0" w:color="auto"/>
        <w:left w:val="none" w:sz="0" w:space="0" w:color="auto"/>
        <w:bottom w:val="none" w:sz="0" w:space="0" w:color="auto"/>
        <w:right w:val="none" w:sz="0" w:space="0" w:color="auto"/>
      </w:divBdr>
    </w:div>
    <w:div w:id="1998074191">
      <w:bodyDiv w:val="1"/>
      <w:marLeft w:val="0"/>
      <w:marRight w:val="0"/>
      <w:marTop w:val="0"/>
      <w:marBottom w:val="0"/>
      <w:divBdr>
        <w:top w:val="none" w:sz="0" w:space="0" w:color="auto"/>
        <w:left w:val="none" w:sz="0" w:space="0" w:color="auto"/>
        <w:bottom w:val="none" w:sz="0" w:space="0" w:color="auto"/>
        <w:right w:val="none" w:sz="0" w:space="0" w:color="auto"/>
      </w:divBdr>
    </w:div>
    <w:div w:id="1999766565">
      <w:bodyDiv w:val="1"/>
      <w:marLeft w:val="0"/>
      <w:marRight w:val="0"/>
      <w:marTop w:val="0"/>
      <w:marBottom w:val="0"/>
      <w:divBdr>
        <w:top w:val="none" w:sz="0" w:space="0" w:color="auto"/>
        <w:left w:val="none" w:sz="0" w:space="0" w:color="auto"/>
        <w:bottom w:val="none" w:sz="0" w:space="0" w:color="auto"/>
        <w:right w:val="none" w:sz="0" w:space="0" w:color="auto"/>
      </w:divBdr>
    </w:div>
    <w:div w:id="2000184258">
      <w:bodyDiv w:val="1"/>
      <w:marLeft w:val="0"/>
      <w:marRight w:val="0"/>
      <w:marTop w:val="0"/>
      <w:marBottom w:val="0"/>
      <w:divBdr>
        <w:top w:val="none" w:sz="0" w:space="0" w:color="auto"/>
        <w:left w:val="none" w:sz="0" w:space="0" w:color="auto"/>
        <w:bottom w:val="none" w:sz="0" w:space="0" w:color="auto"/>
        <w:right w:val="none" w:sz="0" w:space="0" w:color="auto"/>
      </w:divBdr>
    </w:div>
    <w:div w:id="2000958186">
      <w:bodyDiv w:val="1"/>
      <w:marLeft w:val="0"/>
      <w:marRight w:val="0"/>
      <w:marTop w:val="0"/>
      <w:marBottom w:val="0"/>
      <w:divBdr>
        <w:top w:val="none" w:sz="0" w:space="0" w:color="auto"/>
        <w:left w:val="none" w:sz="0" w:space="0" w:color="auto"/>
        <w:bottom w:val="none" w:sz="0" w:space="0" w:color="auto"/>
        <w:right w:val="none" w:sz="0" w:space="0" w:color="auto"/>
      </w:divBdr>
    </w:div>
    <w:div w:id="2002154289">
      <w:bodyDiv w:val="1"/>
      <w:marLeft w:val="0"/>
      <w:marRight w:val="0"/>
      <w:marTop w:val="0"/>
      <w:marBottom w:val="0"/>
      <w:divBdr>
        <w:top w:val="none" w:sz="0" w:space="0" w:color="auto"/>
        <w:left w:val="none" w:sz="0" w:space="0" w:color="auto"/>
        <w:bottom w:val="none" w:sz="0" w:space="0" w:color="auto"/>
        <w:right w:val="none" w:sz="0" w:space="0" w:color="auto"/>
      </w:divBdr>
    </w:div>
    <w:div w:id="2002197648">
      <w:bodyDiv w:val="1"/>
      <w:marLeft w:val="0"/>
      <w:marRight w:val="0"/>
      <w:marTop w:val="0"/>
      <w:marBottom w:val="0"/>
      <w:divBdr>
        <w:top w:val="none" w:sz="0" w:space="0" w:color="auto"/>
        <w:left w:val="none" w:sz="0" w:space="0" w:color="auto"/>
        <w:bottom w:val="none" w:sz="0" w:space="0" w:color="auto"/>
        <w:right w:val="none" w:sz="0" w:space="0" w:color="auto"/>
      </w:divBdr>
    </w:div>
    <w:div w:id="2002539408">
      <w:bodyDiv w:val="1"/>
      <w:marLeft w:val="0"/>
      <w:marRight w:val="0"/>
      <w:marTop w:val="0"/>
      <w:marBottom w:val="0"/>
      <w:divBdr>
        <w:top w:val="none" w:sz="0" w:space="0" w:color="auto"/>
        <w:left w:val="none" w:sz="0" w:space="0" w:color="auto"/>
        <w:bottom w:val="none" w:sz="0" w:space="0" w:color="auto"/>
        <w:right w:val="none" w:sz="0" w:space="0" w:color="auto"/>
      </w:divBdr>
      <w:divsChild>
        <w:div w:id="435711837">
          <w:marLeft w:val="0"/>
          <w:marRight w:val="0"/>
          <w:marTop w:val="0"/>
          <w:marBottom w:val="0"/>
          <w:divBdr>
            <w:top w:val="none" w:sz="0" w:space="0" w:color="auto"/>
            <w:left w:val="none" w:sz="0" w:space="0" w:color="auto"/>
            <w:bottom w:val="none" w:sz="0" w:space="0" w:color="auto"/>
            <w:right w:val="none" w:sz="0" w:space="0" w:color="auto"/>
          </w:divBdr>
          <w:divsChild>
            <w:div w:id="498619825">
              <w:marLeft w:val="0"/>
              <w:marRight w:val="0"/>
              <w:marTop w:val="0"/>
              <w:marBottom w:val="0"/>
              <w:divBdr>
                <w:top w:val="none" w:sz="0" w:space="0" w:color="auto"/>
                <w:left w:val="none" w:sz="0" w:space="0" w:color="auto"/>
                <w:bottom w:val="none" w:sz="0" w:space="0" w:color="auto"/>
                <w:right w:val="none" w:sz="0" w:space="0" w:color="auto"/>
              </w:divBdr>
              <w:divsChild>
                <w:div w:id="241372899">
                  <w:marLeft w:val="0"/>
                  <w:marRight w:val="0"/>
                  <w:marTop w:val="0"/>
                  <w:marBottom w:val="0"/>
                  <w:divBdr>
                    <w:top w:val="none" w:sz="0" w:space="0" w:color="auto"/>
                    <w:left w:val="none" w:sz="0" w:space="0" w:color="auto"/>
                    <w:bottom w:val="none" w:sz="0" w:space="0" w:color="auto"/>
                    <w:right w:val="none" w:sz="0" w:space="0" w:color="auto"/>
                  </w:divBdr>
                  <w:divsChild>
                    <w:div w:id="11961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544543">
      <w:bodyDiv w:val="1"/>
      <w:marLeft w:val="0"/>
      <w:marRight w:val="0"/>
      <w:marTop w:val="0"/>
      <w:marBottom w:val="0"/>
      <w:divBdr>
        <w:top w:val="none" w:sz="0" w:space="0" w:color="auto"/>
        <w:left w:val="none" w:sz="0" w:space="0" w:color="auto"/>
        <w:bottom w:val="none" w:sz="0" w:space="0" w:color="auto"/>
        <w:right w:val="none" w:sz="0" w:space="0" w:color="auto"/>
      </w:divBdr>
      <w:divsChild>
        <w:div w:id="1199468782">
          <w:marLeft w:val="0"/>
          <w:marRight w:val="0"/>
          <w:marTop w:val="0"/>
          <w:marBottom w:val="0"/>
          <w:divBdr>
            <w:top w:val="none" w:sz="0" w:space="0" w:color="auto"/>
            <w:left w:val="none" w:sz="0" w:space="0" w:color="auto"/>
            <w:bottom w:val="none" w:sz="0" w:space="0" w:color="auto"/>
            <w:right w:val="none" w:sz="0" w:space="0" w:color="auto"/>
          </w:divBdr>
          <w:divsChild>
            <w:div w:id="1469712760">
              <w:marLeft w:val="0"/>
              <w:marRight w:val="0"/>
              <w:marTop w:val="0"/>
              <w:marBottom w:val="0"/>
              <w:divBdr>
                <w:top w:val="none" w:sz="0" w:space="0" w:color="auto"/>
                <w:left w:val="none" w:sz="0" w:space="0" w:color="auto"/>
                <w:bottom w:val="none" w:sz="0" w:space="0" w:color="auto"/>
                <w:right w:val="none" w:sz="0" w:space="0" w:color="auto"/>
              </w:divBdr>
              <w:divsChild>
                <w:div w:id="36323702">
                  <w:marLeft w:val="0"/>
                  <w:marRight w:val="0"/>
                  <w:marTop w:val="0"/>
                  <w:marBottom w:val="0"/>
                  <w:divBdr>
                    <w:top w:val="none" w:sz="0" w:space="0" w:color="auto"/>
                    <w:left w:val="none" w:sz="0" w:space="0" w:color="auto"/>
                    <w:bottom w:val="none" w:sz="0" w:space="0" w:color="auto"/>
                    <w:right w:val="none" w:sz="0" w:space="0" w:color="auto"/>
                  </w:divBdr>
                  <w:divsChild>
                    <w:div w:id="35076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432664">
      <w:bodyDiv w:val="1"/>
      <w:marLeft w:val="0"/>
      <w:marRight w:val="0"/>
      <w:marTop w:val="0"/>
      <w:marBottom w:val="0"/>
      <w:divBdr>
        <w:top w:val="none" w:sz="0" w:space="0" w:color="auto"/>
        <w:left w:val="none" w:sz="0" w:space="0" w:color="auto"/>
        <w:bottom w:val="none" w:sz="0" w:space="0" w:color="auto"/>
        <w:right w:val="none" w:sz="0" w:space="0" w:color="auto"/>
      </w:divBdr>
    </w:div>
    <w:div w:id="2004695986">
      <w:bodyDiv w:val="1"/>
      <w:marLeft w:val="0"/>
      <w:marRight w:val="0"/>
      <w:marTop w:val="0"/>
      <w:marBottom w:val="0"/>
      <w:divBdr>
        <w:top w:val="none" w:sz="0" w:space="0" w:color="auto"/>
        <w:left w:val="none" w:sz="0" w:space="0" w:color="auto"/>
        <w:bottom w:val="none" w:sz="0" w:space="0" w:color="auto"/>
        <w:right w:val="none" w:sz="0" w:space="0" w:color="auto"/>
      </w:divBdr>
    </w:div>
    <w:div w:id="2004778076">
      <w:bodyDiv w:val="1"/>
      <w:marLeft w:val="0"/>
      <w:marRight w:val="0"/>
      <w:marTop w:val="0"/>
      <w:marBottom w:val="0"/>
      <w:divBdr>
        <w:top w:val="none" w:sz="0" w:space="0" w:color="auto"/>
        <w:left w:val="none" w:sz="0" w:space="0" w:color="auto"/>
        <w:bottom w:val="none" w:sz="0" w:space="0" w:color="auto"/>
        <w:right w:val="none" w:sz="0" w:space="0" w:color="auto"/>
      </w:divBdr>
    </w:div>
    <w:div w:id="2004821410">
      <w:bodyDiv w:val="1"/>
      <w:marLeft w:val="0"/>
      <w:marRight w:val="0"/>
      <w:marTop w:val="0"/>
      <w:marBottom w:val="0"/>
      <w:divBdr>
        <w:top w:val="none" w:sz="0" w:space="0" w:color="auto"/>
        <w:left w:val="none" w:sz="0" w:space="0" w:color="auto"/>
        <w:bottom w:val="none" w:sz="0" w:space="0" w:color="auto"/>
        <w:right w:val="none" w:sz="0" w:space="0" w:color="auto"/>
      </w:divBdr>
    </w:div>
    <w:div w:id="2005082466">
      <w:bodyDiv w:val="1"/>
      <w:marLeft w:val="0"/>
      <w:marRight w:val="0"/>
      <w:marTop w:val="0"/>
      <w:marBottom w:val="0"/>
      <w:divBdr>
        <w:top w:val="none" w:sz="0" w:space="0" w:color="auto"/>
        <w:left w:val="none" w:sz="0" w:space="0" w:color="auto"/>
        <w:bottom w:val="none" w:sz="0" w:space="0" w:color="auto"/>
        <w:right w:val="none" w:sz="0" w:space="0" w:color="auto"/>
      </w:divBdr>
      <w:divsChild>
        <w:div w:id="407775318">
          <w:marLeft w:val="0"/>
          <w:marRight w:val="0"/>
          <w:marTop w:val="0"/>
          <w:marBottom w:val="0"/>
          <w:divBdr>
            <w:top w:val="none" w:sz="0" w:space="0" w:color="auto"/>
            <w:left w:val="none" w:sz="0" w:space="0" w:color="auto"/>
            <w:bottom w:val="none" w:sz="0" w:space="0" w:color="auto"/>
            <w:right w:val="none" w:sz="0" w:space="0" w:color="auto"/>
          </w:divBdr>
          <w:divsChild>
            <w:div w:id="583495498">
              <w:marLeft w:val="0"/>
              <w:marRight w:val="0"/>
              <w:marTop w:val="0"/>
              <w:marBottom w:val="0"/>
              <w:divBdr>
                <w:top w:val="none" w:sz="0" w:space="0" w:color="auto"/>
                <w:left w:val="none" w:sz="0" w:space="0" w:color="auto"/>
                <w:bottom w:val="none" w:sz="0" w:space="0" w:color="auto"/>
                <w:right w:val="none" w:sz="0" w:space="0" w:color="auto"/>
              </w:divBdr>
              <w:divsChild>
                <w:div w:id="172961549">
                  <w:marLeft w:val="0"/>
                  <w:marRight w:val="0"/>
                  <w:marTop w:val="0"/>
                  <w:marBottom w:val="0"/>
                  <w:divBdr>
                    <w:top w:val="none" w:sz="0" w:space="0" w:color="auto"/>
                    <w:left w:val="none" w:sz="0" w:space="0" w:color="auto"/>
                    <w:bottom w:val="none" w:sz="0" w:space="0" w:color="auto"/>
                    <w:right w:val="none" w:sz="0" w:space="0" w:color="auto"/>
                  </w:divBdr>
                  <w:divsChild>
                    <w:div w:id="1973712174">
                      <w:marLeft w:val="0"/>
                      <w:marRight w:val="0"/>
                      <w:marTop w:val="0"/>
                      <w:marBottom w:val="0"/>
                      <w:divBdr>
                        <w:top w:val="none" w:sz="0" w:space="0" w:color="auto"/>
                        <w:left w:val="none" w:sz="0" w:space="0" w:color="auto"/>
                        <w:bottom w:val="none" w:sz="0" w:space="0" w:color="auto"/>
                        <w:right w:val="none" w:sz="0" w:space="0" w:color="auto"/>
                      </w:divBdr>
                    </w:div>
                  </w:divsChild>
                </w:div>
                <w:div w:id="782773367">
                  <w:marLeft w:val="0"/>
                  <w:marRight w:val="0"/>
                  <w:marTop w:val="0"/>
                  <w:marBottom w:val="0"/>
                  <w:divBdr>
                    <w:top w:val="none" w:sz="0" w:space="0" w:color="auto"/>
                    <w:left w:val="none" w:sz="0" w:space="0" w:color="auto"/>
                    <w:bottom w:val="none" w:sz="0" w:space="0" w:color="auto"/>
                    <w:right w:val="none" w:sz="0" w:space="0" w:color="auto"/>
                  </w:divBdr>
                  <w:divsChild>
                    <w:div w:id="821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084720">
      <w:bodyDiv w:val="1"/>
      <w:marLeft w:val="0"/>
      <w:marRight w:val="0"/>
      <w:marTop w:val="0"/>
      <w:marBottom w:val="0"/>
      <w:divBdr>
        <w:top w:val="none" w:sz="0" w:space="0" w:color="auto"/>
        <w:left w:val="none" w:sz="0" w:space="0" w:color="auto"/>
        <w:bottom w:val="none" w:sz="0" w:space="0" w:color="auto"/>
        <w:right w:val="none" w:sz="0" w:space="0" w:color="auto"/>
      </w:divBdr>
    </w:div>
    <w:div w:id="2006011000">
      <w:bodyDiv w:val="1"/>
      <w:marLeft w:val="0"/>
      <w:marRight w:val="0"/>
      <w:marTop w:val="0"/>
      <w:marBottom w:val="0"/>
      <w:divBdr>
        <w:top w:val="none" w:sz="0" w:space="0" w:color="auto"/>
        <w:left w:val="none" w:sz="0" w:space="0" w:color="auto"/>
        <w:bottom w:val="none" w:sz="0" w:space="0" w:color="auto"/>
        <w:right w:val="none" w:sz="0" w:space="0" w:color="auto"/>
      </w:divBdr>
    </w:div>
    <w:div w:id="2006321186">
      <w:bodyDiv w:val="1"/>
      <w:marLeft w:val="0"/>
      <w:marRight w:val="0"/>
      <w:marTop w:val="0"/>
      <w:marBottom w:val="0"/>
      <w:divBdr>
        <w:top w:val="none" w:sz="0" w:space="0" w:color="auto"/>
        <w:left w:val="none" w:sz="0" w:space="0" w:color="auto"/>
        <w:bottom w:val="none" w:sz="0" w:space="0" w:color="auto"/>
        <w:right w:val="none" w:sz="0" w:space="0" w:color="auto"/>
      </w:divBdr>
    </w:div>
    <w:div w:id="2007708611">
      <w:bodyDiv w:val="1"/>
      <w:marLeft w:val="0"/>
      <w:marRight w:val="0"/>
      <w:marTop w:val="0"/>
      <w:marBottom w:val="0"/>
      <w:divBdr>
        <w:top w:val="none" w:sz="0" w:space="0" w:color="auto"/>
        <w:left w:val="none" w:sz="0" w:space="0" w:color="auto"/>
        <w:bottom w:val="none" w:sz="0" w:space="0" w:color="auto"/>
        <w:right w:val="none" w:sz="0" w:space="0" w:color="auto"/>
      </w:divBdr>
    </w:div>
    <w:div w:id="2007899881">
      <w:bodyDiv w:val="1"/>
      <w:marLeft w:val="0"/>
      <w:marRight w:val="0"/>
      <w:marTop w:val="0"/>
      <w:marBottom w:val="0"/>
      <w:divBdr>
        <w:top w:val="none" w:sz="0" w:space="0" w:color="auto"/>
        <w:left w:val="none" w:sz="0" w:space="0" w:color="auto"/>
        <w:bottom w:val="none" w:sz="0" w:space="0" w:color="auto"/>
        <w:right w:val="none" w:sz="0" w:space="0" w:color="auto"/>
      </w:divBdr>
    </w:div>
    <w:div w:id="2007975585">
      <w:bodyDiv w:val="1"/>
      <w:marLeft w:val="0"/>
      <w:marRight w:val="0"/>
      <w:marTop w:val="0"/>
      <w:marBottom w:val="0"/>
      <w:divBdr>
        <w:top w:val="none" w:sz="0" w:space="0" w:color="auto"/>
        <w:left w:val="none" w:sz="0" w:space="0" w:color="auto"/>
        <w:bottom w:val="none" w:sz="0" w:space="0" w:color="auto"/>
        <w:right w:val="none" w:sz="0" w:space="0" w:color="auto"/>
      </w:divBdr>
      <w:divsChild>
        <w:div w:id="1615166155">
          <w:marLeft w:val="0"/>
          <w:marRight w:val="0"/>
          <w:marTop w:val="0"/>
          <w:marBottom w:val="0"/>
          <w:divBdr>
            <w:top w:val="none" w:sz="0" w:space="0" w:color="auto"/>
            <w:left w:val="none" w:sz="0" w:space="0" w:color="auto"/>
            <w:bottom w:val="none" w:sz="0" w:space="0" w:color="auto"/>
            <w:right w:val="none" w:sz="0" w:space="0" w:color="auto"/>
          </w:divBdr>
          <w:divsChild>
            <w:div w:id="408190901">
              <w:marLeft w:val="0"/>
              <w:marRight w:val="0"/>
              <w:marTop w:val="0"/>
              <w:marBottom w:val="0"/>
              <w:divBdr>
                <w:top w:val="none" w:sz="0" w:space="0" w:color="auto"/>
                <w:left w:val="none" w:sz="0" w:space="0" w:color="auto"/>
                <w:bottom w:val="none" w:sz="0" w:space="0" w:color="auto"/>
                <w:right w:val="none" w:sz="0" w:space="0" w:color="auto"/>
              </w:divBdr>
              <w:divsChild>
                <w:div w:id="523590760">
                  <w:marLeft w:val="0"/>
                  <w:marRight w:val="0"/>
                  <w:marTop w:val="0"/>
                  <w:marBottom w:val="0"/>
                  <w:divBdr>
                    <w:top w:val="none" w:sz="0" w:space="0" w:color="auto"/>
                    <w:left w:val="none" w:sz="0" w:space="0" w:color="auto"/>
                    <w:bottom w:val="none" w:sz="0" w:space="0" w:color="auto"/>
                    <w:right w:val="none" w:sz="0" w:space="0" w:color="auto"/>
                  </w:divBdr>
                  <w:divsChild>
                    <w:div w:id="11605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095784">
      <w:bodyDiv w:val="1"/>
      <w:marLeft w:val="0"/>
      <w:marRight w:val="0"/>
      <w:marTop w:val="0"/>
      <w:marBottom w:val="0"/>
      <w:divBdr>
        <w:top w:val="none" w:sz="0" w:space="0" w:color="auto"/>
        <w:left w:val="none" w:sz="0" w:space="0" w:color="auto"/>
        <w:bottom w:val="none" w:sz="0" w:space="0" w:color="auto"/>
        <w:right w:val="none" w:sz="0" w:space="0" w:color="auto"/>
      </w:divBdr>
    </w:div>
    <w:div w:id="2008701755">
      <w:bodyDiv w:val="1"/>
      <w:marLeft w:val="0"/>
      <w:marRight w:val="0"/>
      <w:marTop w:val="0"/>
      <w:marBottom w:val="0"/>
      <w:divBdr>
        <w:top w:val="none" w:sz="0" w:space="0" w:color="auto"/>
        <w:left w:val="none" w:sz="0" w:space="0" w:color="auto"/>
        <w:bottom w:val="none" w:sz="0" w:space="0" w:color="auto"/>
        <w:right w:val="none" w:sz="0" w:space="0" w:color="auto"/>
      </w:divBdr>
      <w:divsChild>
        <w:div w:id="202258816">
          <w:marLeft w:val="0"/>
          <w:marRight w:val="0"/>
          <w:marTop w:val="0"/>
          <w:marBottom w:val="0"/>
          <w:divBdr>
            <w:top w:val="none" w:sz="0" w:space="0" w:color="auto"/>
            <w:left w:val="none" w:sz="0" w:space="0" w:color="auto"/>
            <w:bottom w:val="none" w:sz="0" w:space="0" w:color="auto"/>
            <w:right w:val="none" w:sz="0" w:space="0" w:color="auto"/>
          </w:divBdr>
          <w:divsChild>
            <w:div w:id="626467132">
              <w:marLeft w:val="0"/>
              <w:marRight w:val="0"/>
              <w:marTop w:val="0"/>
              <w:marBottom w:val="0"/>
              <w:divBdr>
                <w:top w:val="none" w:sz="0" w:space="0" w:color="auto"/>
                <w:left w:val="none" w:sz="0" w:space="0" w:color="auto"/>
                <w:bottom w:val="none" w:sz="0" w:space="0" w:color="auto"/>
                <w:right w:val="none" w:sz="0" w:space="0" w:color="auto"/>
              </w:divBdr>
              <w:divsChild>
                <w:div w:id="456533502">
                  <w:marLeft w:val="0"/>
                  <w:marRight w:val="0"/>
                  <w:marTop w:val="0"/>
                  <w:marBottom w:val="0"/>
                  <w:divBdr>
                    <w:top w:val="none" w:sz="0" w:space="0" w:color="auto"/>
                    <w:left w:val="none" w:sz="0" w:space="0" w:color="auto"/>
                    <w:bottom w:val="none" w:sz="0" w:space="0" w:color="auto"/>
                    <w:right w:val="none" w:sz="0" w:space="0" w:color="auto"/>
                  </w:divBdr>
                  <w:divsChild>
                    <w:div w:id="154960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748549">
      <w:bodyDiv w:val="1"/>
      <w:marLeft w:val="0"/>
      <w:marRight w:val="0"/>
      <w:marTop w:val="0"/>
      <w:marBottom w:val="0"/>
      <w:divBdr>
        <w:top w:val="none" w:sz="0" w:space="0" w:color="auto"/>
        <w:left w:val="none" w:sz="0" w:space="0" w:color="auto"/>
        <w:bottom w:val="none" w:sz="0" w:space="0" w:color="auto"/>
        <w:right w:val="none" w:sz="0" w:space="0" w:color="auto"/>
      </w:divBdr>
    </w:div>
    <w:div w:id="2008753317">
      <w:bodyDiv w:val="1"/>
      <w:marLeft w:val="0"/>
      <w:marRight w:val="0"/>
      <w:marTop w:val="0"/>
      <w:marBottom w:val="0"/>
      <w:divBdr>
        <w:top w:val="none" w:sz="0" w:space="0" w:color="auto"/>
        <w:left w:val="none" w:sz="0" w:space="0" w:color="auto"/>
        <w:bottom w:val="none" w:sz="0" w:space="0" w:color="auto"/>
        <w:right w:val="none" w:sz="0" w:space="0" w:color="auto"/>
      </w:divBdr>
    </w:div>
    <w:div w:id="2009361265">
      <w:bodyDiv w:val="1"/>
      <w:marLeft w:val="0"/>
      <w:marRight w:val="0"/>
      <w:marTop w:val="0"/>
      <w:marBottom w:val="0"/>
      <w:divBdr>
        <w:top w:val="none" w:sz="0" w:space="0" w:color="auto"/>
        <w:left w:val="none" w:sz="0" w:space="0" w:color="auto"/>
        <w:bottom w:val="none" w:sz="0" w:space="0" w:color="auto"/>
        <w:right w:val="none" w:sz="0" w:space="0" w:color="auto"/>
      </w:divBdr>
    </w:div>
    <w:div w:id="2010868443">
      <w:bodyDiv w:val="1"/>
      <w:marLeft w:val="0"/>
      <w:marRight w:val="0"/>
      <w:marTop w:val="0"/>
      <w:marBottom w:val="0"/>
      <w:divBdr>
        <w:top w:val="none" w:sz="0" w:space="0" w:color="auto"/>
        <w:left w:val="none" w:sz="0" w:space="0" w:color="auto"/>
        <w:bottom w:val="none" w:sz="0" w:space="0" w:color="auto"/>
        <w:right w:val="none" w:sz="0" w:space="0" w:color="auto"/>
      </w:divBdr>
      <w:divsChild>
        <w:div w:id="141777989">
          <w:marLeft w:val="0"/>
          <w:marRight w:val="0"/>
          <w:marTop w:val="0"/>
          <w:marBottom w:val="0"/>
          <w:divBdr>
            <w:top w:val="none" w:sz="0" w:space="0" w:color="auto"/>
            <w:left w:val="none" w:sz="0" w:space="0" w:color="auto"/>
            <w:bottom w:val="none" w:sz="0" w:space="0" w:color="auto"/>
            <w:right w:val="none" w:sz="0" w:space="0" w:color="auto"/>
          </w:divBdr>
          <w:divsChild>
            <w:div w:id="228464495">
              <w:marLeft w:val="0"/>
              <w:marRight w:val="0"/>
              <w:marTop w:val="0"/>
              <w:marBottom w:val="0"/>
              <w:divBdr>
                <w:top w:val="none" w:sz="0" w:space="0" w:color="auto"/>
                <w:left w:val="none" w:sz="0" w:space="0" w:color="auto"/>
                <w:bottom w:val="none" w:sz="0" w:space="0" w:color="auto"/>
                <w:right w:val="none" w:sz="0" w:space="0" w:color="auto"/>
              </w:divBdr>
              <w:divsChild>
                <w:div w:id="1621885402">
                  <w:marLeft w:val="0"/>
                  <w:marRight w:val="0"/>
                  <w:marTop w:val="0"/>
                  <w:marBottom w:val="0"/>
                  <w:divBdr>
                    <w:top w:val="none" w:sz="0" w:space="0" w:color="auto"/>
                    <w:left w:val="none" w:sz="0" w:space="0" w:color="auto"/>
                    <w:bottom w:val="none" w:sz="0" w:space="0" w:color="auto"/>
                    <w:right w:val="none" w:sz="0" w:space="0" w:color="auto"/>
                  </w:divBdr>
                  <w:divsChild>
                    <w:div w:id="123681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135765">
      <w:bodyDiv w:val="1"/>
      <w:marLeft w:val="0"/>
      <w:marRight w:val="0"/>
      <w:marTop w:val="0"/>
      <w:marBottom w:val="0"/>
      <w:divBdr>
        <w:top w:val="none" w:sz="0" w:space="0" w:color="auto"/>
        <w:left w:val="none" w:sz="0" w:space="0" w:color="auto"/>
        <w:bottom w:val="none" w:sz="0" w:space="0" w:color="auto"/>
        <w:right w:val="none" w:sz="0" w:space="0" w:color="auto"/>
      </w:divBdr>
    </w:div>
    <w:div w:id="2011253318">
      <w:bodyDiv w:val="1"/>
      <w:marLeft w:val="0"/>
      <w:marRight w:val="0"/>
      <w:marTop w:val="0"/>
      <w:marBottom w:val="0"/>
      <w:divBdr>
        <w:top w:val="none" w:sz="0" w:space="0" w:color="auto"/>
        <w:left w:val="none" w:sz="0" w:space="0" w:color="auto"/>
        <w:bottom w:val="none" w:sz="0" w:space="0" w:color="auto"/>
        <w:right w:val="none" w:sz="0" w:space="0" w:color="auto"/>
      </w:divBdr>
      <w:divsChild>
        <w:div w:id="1055544602">
          <w:marLeft w:val="0"/>
          <w:marRight w:val="0"/>
          <w:marTop w:val="0"/>
          <w:marBottom w:val="0"/>
          <w:divBdr>
            <w:top w:val="none" w:sz="0" w:space="0" w:color="auto"/>
            <w:left w:val="none" w:sz="0" w:space="0" w:color="auto"/>
            <w:bottom w:val="none" w:sz="0" w:space="0" w:color="auto"/>
            <w:right w:val="none" w:sz="0" w:space="0" w:color="auto"/>
          </w:divBdr>
          <w:divsChild>
            <w:div w:id="1513447836">
              <w:marLeft w:val="0"/>
              <w:marRight w:val="0"/>
              <w:marTop w:val="0"/>
              <w:marBottom w:val="0"/>
              <w:divBdr>
                <w:top w:val="none" w:sz="0" w:space="0" w:color="auto"/>
                <w:left w:val="none" w:sz="0" w:space="0" w:color="auto"/>
                <w:bottom w:val="none" w:sz="0" w:space="0" w:color="auto"/>
                <w:right w:val="none" w:sz="0" w:space="0" w:color="auto"/>
              </w:divBdr>
              <w:divsChild>
                <w:div w:id="1049836644">
                  <w:marLeft w:val="0"/>
                  <w:marRight w:val="0"/>
                  <w:marTop w:val="0"/>
                  <w:marBottom w:val="0"/>
                  <w:divBdr>
                    <w:top w:val="none" w:sz="0" w:space="0" w:color="auto"/>
                    <w:left w:val="none" w:sz="0" w:space="0" w:color="auto"/>
                    <w:bottom w:val="none" w:sz="0" w:space="0" w:color="auto"/>
                    <w:right w:val="none" w:sz="0" w:space="0" w:color="auto"/>
                  </w:divBdr>
                  <w:divsChild>
                    <w:div w:id="60334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365554">
      <w:bodyDiv w:val="1"/>
      <w:marLeft w:val="0"/>
      <w:marRight w:val="0"/>
      <w:marTop w:val="0"/>
      <w:marBottom w:val="0"/>
      <w:divBdr>
        <w:top w:val="none" w:sz="0" w:space="0" w:color="auto"/>
        <w:left w:val="none" w:sz="0" w:space="0" w:color="auto"/>
        <w:bottom w:val="none" w:sz="0" w:space="0" w:color="auto"/>
        <w:right w:val="none" w:sz="0" w:space="0" w:color="auto"/>
      </w:divBdr>
    </w:div>
    <w:div w:id="2013219382">
      <w:bodyDiv w:val="1"/>
      <w:marLeft w:val="0"/>
      <w:marRight w:val="0"/>
      <w:marTop w:val="0"/>
      <w:marBottom w:val="0"/>
      <w:divBdr>
        <w:top w:val="none" w:sz="0" w:space="0" w:color="auto"/>
        <w:left w:val="none" w:sz="0" w:space="0" w:color="auto"/>
        <w:bottom w:val="none" w:sz="0" w:space="0" w:color="auto"/>
        <w:right w:val="none" w:sz="0" w:space="0" w:color="auto"/>
      </w:divBdr>
    </w:div>
    <w:div w:id="2013336692">
      <w:bodyDiv w:val="1"/>
      <w:marLeft w:val="0"/>
      <w:marRight w:val="0"/>
      <w:marTop w:val="0"/>
      <w:marBottom w:val="0"/>
      <w:divBdr>
        <w:top w:val="none" w:sz="0" w:space="0" w:color="auto"/>
        <w:left w:val="none" w:sz="0" w:space="0" w:color="auto"/>
        <w:bottom w:val="none" w:sz="0" w:space="0" w:color="auto"/>
        <w:right w:val="none" w:sz="0" w:space="0" w:color="auto"/>
      </w:divBdr>
      <w:divsChild>
        <w:div w:id="392168234">
          <w:marLeft w:val="0"/>
          <w:marRight w:val="0"/>
          <w:marTop w:val="0"/>
          <w:marBottom w:val="0"/>
          <w:divBdr>
            <w:top w:val="none" w:sz="0" w:space="0" w:color="auto"/>
            <w:left w:val="none" w:sz="0" w:space="0" w:color="auto"/>
            <w:bottom w:val="none" w:sz="0" w:space="0" w:color="auto"/>
            <w:right w:val="none" w:sz="0" w:space="0" w:color="auto"/>
          </w:divBdr>
          <w:divsChild>
            <w:div w:id="717555977">
              <w:marLeft w:val="0"/>
              <w:marRight w:val="0"/>
              <w:marTop w:val="0"/>
              <w:marBottom w:val="0"/>
              <w:divBdr>
                <w:top w:val="none" w:sz="0" w:space="0" w:color="auto"/>
                <w:left w:val="none" w:sz="0" w:space="0" w:color="auto"/>
                <w:bottom w:val="none" w:sz="0" w:space="0" w:color="auto"/>
                <w:right w:val="none" w:sz="0" w:space="0" w:color="auto"/>
              </w:divBdr>
              <w:divsChild>
                <w:div w:id="1847862723">
                  <w:marLeft w:val="0"/>
                  <w:marRight w:val="0"/>
                  <w:marTop w:val="0"/>
                  <w:marBottom w:val="0"/>
                  <w:divBdr>
                    <w:top w:val="none" w:sz="0" w:space="0" w:color="auto"/>
                    <w:left w:val="none" w:sz="0" w:space="0" w:color="auto"/>
                    <w:bottom w:val="none" w:sz="0" w:space="0" w:color="auto"/>
                    <w:right w:val="none" w:sz="0" w:space="0" w:color="auto"/>
                  </w:divBdr>
                  <w:divsChild>
                    <w:div w:id="36668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680809">
      <w:bodyDiv w:val="1"/>
      <w:marLeft w:val="0"/>
      <w:marRight w:val="0"/>
      <w:marTop w:val="0"/>
      <w:marBottom w:val="0"/>
      <w:divBdr>
        <w:top w:val="none" w:sz="0" w:space="0" w:color="auto"/>
        <w:left w:val="none" w:sz="0" w:space="0" w:color="auto"/>
        <w:bottom w:val="none" w:sz="0" w:space="0" w:color="auto"/>
        <w:right w:val="none" w:sz="0" w:space="0" w:color="auto"/>
      </w:divBdr>
    </w:div>
    <w:div w:id="2014214858">
      <w:bodyDiv w:val="1"/>
      <w:marLeft w:val="0"/>
      <w:marRight w:val="0"/>
      <w:marTop w:val="0"/>
      <w:marBottom w:val="0"/>
      <w:divBdr>
        <w:top w:val="none" w:sz="0" w:space="0" w:color="auto"/>
        <w:left w:val="none" w:sz="0" w:space="0" w:color="auto"/>
        <w:bottom w:val="none" w:sz="0" w:space="0" w:color="auto"/>
        <w:right w:val="none" w:sz="0" w:space="0" w:color="auto"/>
      </w:divBdr>
    </w:div>
    <w:div w:id="2014449856">
      <w:bodyDiv w:val="1"/>
      <w:marLeft w:val="0"/>
      <w:marRight w:val="0"/>
      <w:marTop w:val="0"/>
      <w:marBottom w:val="0"/>
      <w:divBdr>
        <w:top w:val="none" w:sz="0" w:space="0" w:color="auto"/>
        <w:left w:val="none" w:sz="0" w:space="0" w:color="auto"/>
        <w:bottom w:val="none" w:sz="0" w:space="0" w:color="auto"/>
        <w:right w:val="none" w:sz="0" w:space="0" w:color="auto"/>
      </w:divBdr>
    </w:div>
    <w:div w:id="2014642695">
      <w:bodyDiv w:val="1"/>
      <w:marLeft w:val="0"/>
      <w:marRight w:val="0"/>
      <w:marTop w:val="0"/>
      <w:marBottom w:val="0"/>
      <w:divBdr>
        <w:top w:val="none" w:sz="0" w:space="0" w:color="auto"/>
        <w:left w:val="none" w:sz="0" w:space="0" w:color="auto"/>
        <w:bottom w:val="none" w:sz="0" w:space="0" w:color="auto"/>
        <w:right w:val="none" w:sz="0" w:space="0" w:color="auto"/>
      </w:divBdr>
    </w:div>
    <w:div w:id="2015329598">
      <w:bodyDiv w:val="1"/>
      <w:marLeft w:val="0"/>
      <w:marRight w:val="0"/>
      <w:marTop w:val="0"/>
      <w:marBottom w:val="0"/>
      <w:divBdr>
        <w:top w:val="none" w:sz="0" w:space="0" w:color="auto"/>
        <w:left w:val="none" w:sz="0" w:space="0" w:color="auto"/>
        <w:bottom w:val="none" w:sz="0" w:space="0" w:color="auto"/>
        <w:right w:val="none" w:sz="0" w:space="0" w:color="auto"/>
      </w:divBdr>
    </w:div>
    <w:div w:id="2015572935">
      <w:bodyDiv w:val="1"/>
      <w:marLeft w:val="0"/>
      <w:marRight w:val="0"/>
      <w:marTop w:val="0"/>
      <w:marBottom w:val="0"/>
      <w:divBdr>
        <w:top w:val="none" w:sz="0" w:space="0" w:color="auto"/>
        <w:left w:val="none" w:sz="0" w:space="0" w:color="auto"/>
        <w:bottom w:val="none" w:sz="0" w:space="0" w:color="auto"/>
        <w:right w:val="none" w:sz="0" w:space="0" w:color="auto"/>
      </w:divBdr>
    </w:div>
    <w:div w:id="2015958254">
      <w:bodyDiv w:val="1"/>
      <w:marLeft w:val="0"/>
      <w:marRight w:val="0"/>
      <w:marTop w:val="0"/>
      <w:marBottom w:val="0"/>
      <w:divBdr>
        <w:top w:val="none" w:sz="0" w:space="0" w:color="auto"/>
        <w:left w:val="none" w:sz="0" w:space="0" w:color="auto"/>
        <w:bottom w:val="none" w:sz="0" w:space="0" w:color="auto"/>
        <w:right w:val="none" w:sz="0" w:space="0" w:color="auto"/>
      </w:divBdr>
    </w:div>
    <w:div w:id="2016222787">
      <w:bodyDiv w:val="1"/>
      <w:marLeft w:val="0"/>
      <w:marRight w:val="0"/>
      <w:marTop w:val="0"/>
      <w:marBottom w:val="0"/>
      <w:divBdr>
        <w:top w:val="none" w:sz="0" w:space="0" w:color="auto"/>
        <w:left w:val="none" w:sz="0" w:space="0" w:color="auto"/>
        <w:bottom w:val="none" w:sz="0" w:space="0" w:color="auto"/>
        <w:right w:val="none" w:sz="0" w:space="0" w:color="auto"/>
      </w:divBdr>
      <w:divsChild>
        <w:div w:id="571895232">
          <w:marLeft w:val="0"/>
          <w:marRight w:val="0"/>
          <w:marTop w:val="0"/>
          <w:marBottom w:val="0"/>
          <w:divBdr>
            <w:top w:val="none" w:sz="0" w:space="0" w:color="auto"/>
            <w:left w:val="none" w:sz="0" w:space="0" w:color="auto"/>
            <w:bottom w:val="none" w:sz="0" w:space="0" w:color="auto"/>
            <w:right w:val="none" w:sz="0" w:space="0" w:color="auto"/>
          </w:divBdr>
          <w:divsChild>
            <w:div w:id="1569876023">
              <w:marLeft w:val="0"/>
              <w:marRight w:val="0"/>
              <w:marTop w:val="0"/>
              <w:marBottom w:val="0"/>
              <w:divBdr>
                <w:top w:val="none" w:sz="0" w:space="0" w:color="auto"/>
                <w:left w:val="none" w:sz="0" w:space="0" w:color="auto"/>
                <w:bottom w:val="none" w:sz="0" w:space="0" w:color="auto"/>
                <w:right w:val="none" w:sz="0" w:space="0" w:color="auto"/>
              </w:divBdr>
              <w:divsChild>
                <w:div w:id="709762800">
                  <w:marLeft w:val="0"/>
                  <w:marRight w:val="0"/>
                  <w:marTop w:val="0"/>
                  <w:marBottom w:val="0"/>
                  <w:divBdr>
                    <w:top w:val="none" w:sz="0" w:space="0" w:color="auto"/>
                    <w:left w:val="none" w:sz="0" w:space="0" w:color="auto"/>
                    <w:bottom w:val="none" w:sz="0" w:space="0" w:color="auto"/>
                    <w:right w:val="none" w:sz="0" w:space="0" w:color="auto"/>
                  </w:divBdr>
                  <w:divsChild>
                    <w:div w:id="119827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564910">
      <w:bodyDiv w:val="1"/>
      <w:marLeft w:val="0"/>
      <w:marRight w:val="0"/>
      <w:marTop w:val="0"/>
      <w:marBottom w:val="0"/>
      <w:divBdr>
        <w:top w:val="none" w:sz="0" w:space="0" w:color="auto"/>
        <w:left w:val="none" w:sz="0" w:space="0" w:color="auto"/>
        <w:bottom w:val="none" w:sz="0" w:space="0" w:color="auto"/>
        <w:right w:val="none" w:sz="0" w:space="0" w:color="auto"/>
      </w:divBdr>
    </w:div>
    <w:div w:id="2018800768">
      <w:bodyDiv w:val="1"/>
      <w:marLeft w:val="0"/>
      <w:marRight w:val="0"/>
      <w:marTop w:val="0"/>
      <w:marBottom w:val="0"/>
      <w:divBdr>
        <w:top w:val="none" w:sz="0" w:space="0" w:color="auto"/>
        <w:left w:val="none" w:sz="0" w:space="0" w:color="auto"/>
        <w:bottom w:val="none" w:sz="0" w:space="0" w:color="auto"/>
        <w:right w:val="none" w:sz="0" w:space="0" w:color="auto"/>
      </w:divBdr>
    </w:div>
    <w:div w:id="2018841948">
      <w:bodyDiv w:val="1"/>
      <w:marLeft w:val="0"/>
      <w:marRight w:val="0"/>
      <w:marTop w:val="0"/>
      <w:marBottom w:val="0"/>
      <w:divBdr>
        <w:top w:val="none" w:sz="0" w:space="0" w:color="auto"/>
        <w:left w:val="none" w:sz="0" w:space="0" w:color="auto"/>
        <w:bottom w:val="none" w:sz="0" w:space="0" w:color="auto"/>
        <w:right w:val="none" w:sz="0" w:space="0" w:color="auto"/>
      </w:divBdr>
    </w:div>
    <w:div w:id="2018999396">
      <w:bodyDiv w:val="1"/>
      <w:marLeft w:val="0"/>
      <w:marRight w:val="0"/>
      <w:marTop w:val="0"/>
      <w:marBottom w:val="0"/>
      <w:divBdr>
        <w:top w:val="none" w:sz="0" w:space="0" w:color="auto"/>
        <w:left w:val="none" w:sz="0" w:space="0" w:color="auto"/>
        <w:bottom w:val="none" w:sz="0" w:space="0" w:color="auto"/>
        <w:right w:val="none" w:sz="0" w:space="0" w:color="auto"/>
      </w:divBdr>
    </w:div>
    <w:div w:id="2019384029">
      <w:bodyDiv w:val="1"/>
      <w:marLeft w:val="0"/>
      <w:marRight w:val="0"/>
      <w:marTop w:val="0"/>
      <w:marBottom w:val="0"/>
      <w:divBdr>
        <w:top w:val="none" w:sz="0" w:space="0" w:color="auto"/>
        <w:left w:val="none" w:sz="0" w:space="0" w:color="auto"/>
        <w:bottom w:val="none" w:sz="0" w:space="0" w:color="auto"/>
        <w:right w:val="none" w:sz="0" w:space="0" w:color="auto"/>
      </w:divBdr>
    </w:div>
    <w:div w:id="2019505242">
      <w:bodyDiv w:val="1"/>
      <w:marLeft w:val="0"/>
      <w:marRight w:val="0"/>
      <w:marTop w:val="0"/>
      <w:marBottom w:val="0"/>
      <w:divBdr>
        <w:top w:val="none" w:sz="0" w:space="0" w:color="auto"/>
        <w:left w:val="none" w:sz="0" w:space="0" w:color="auto"/>
        <w:bottom w:val="none" w:sz="0" w:space="0" w:color="auto"/>
        <w:right w:val="none" w:sz="0" w:space="0" w:color="auto"/>
      </w:divBdr>
    </w:div>
    <w:div w:id="2020303414">
      <w:bodyDiv w:val="1"/>
      <w:marLeft w:val="0"/>
      <w:marRight w:val="0"/>
      <w:marTop w:val="0"/>
      <w:marBottom w:val="0"/>
      <w:divBdr>
        <w:top w:val="none" w:sz="0" w:space="0" w:color="auto"/>
        <w:left w:val="none" w:sz="0" w:space="0" w:color="auto"/>
        <w:bottom w:val="none" w:sz="0" w:space="0" w:color="auto"/>
        <w:right w:val="none" w:sz="0" w:space="0" w:color="auto"/>
      </w:divBdr>
    </w:div>
    <w:div w:id="2021227033">
      <w:bodyDiv w:val="1"/>
      <w:marLeft w:val="0"/>
      <w:marRight w:val="0"/>
      <w:marTop w:val="0"/>
      <w:marBottom w:val="0"/>
      <w:divBdr>
        <w:top w:val="none" w:sz="0" w:space="0" w:color="auto"/>
        <w:left w:val="none" w:sz="0" w:space="0" w:color="auto"/>
        <w:bottom w:val="none" w:sz="0" w:space="0" w:color="auto"/>
        <w:right w:val="none" w:sz="0" w:space="0" w:color="auto"/>
      </w:divBdr>
    </w:div>
    <w:div w:id="2021471586">
      <w:bodyDiv w:val="1"/>
      <w:marLeft w:val="0"/>
      <w:marRight w:val="0"/>
      <w:marTop w:val="0"/>
      <w:marBottom w:val="0"/>
      <w:divBdr>
        <w:top w:val="none" w:sz="0" w:space="0" w:color="auto"/>
        <w:left w:val="none" w:sz="0" w:space="0" w:color="auto"/>
        <w:bottom w:val="none" w:sz="0" w:space="0" w:color="auto"/>
        <w:right w:val="none" w:sz="0" w:space="0" w:color="auto"/>
      </w:divBdr>
    </w:div>
    <w:div w:id="2022315148">
      <w:bodyDiv w:val="1"/>
      <w:marLeft w:val="0"/>
      <w:marRight w:val="0"/>
      <w:marTop w:val="0"/>
      <w:marBottom w:val="0"/>
      <w:divBdr>
        <w:top w:val="none" w:sz="0" w:space="0" w:color="auto"/>
        <w:left w:val="none" w:sz="0" w:space="0" w:color="auto"/>
        <w:bottom w:val="none" w:sz="0" w:space="0" w:color="auto"/>
        <w:right w:val="none" w:sz="0" w:space="0" w:color="auto"/>
      </w:divBdr>
    </w:div>
    <w:div w:id="2022735145">
      <w:bodyDiv w:val="1"/>
      <w:marLeft w:val="0"/>
      <w:marRight w:val="0"/>
      <w:marTop w:val="0"/>
      <w:marBottom w:val="0"/>
      <w:divBdr>
        <w:top w:val="none" w:sz="0" w:space="0" w:color="auto"/>
        <w:left w:val="none" w:sz="0" w:space="0" w:color="auto"/>
        <w:bottom w:val="none" w:sz="0" w:space="0" w:color="auto"/>
        <w:right w:val="none" w:sz="0" w:space="0" w:color="auto"/>
      </w:divBdr>
    </w:div>
    <w:div w:id="2023117453">
      <w:bodyDiv w:val="1"/>
      <w:marLeft w:val="0"/>
      <w:marRight w:val="0"/>
      <w:marTop w:val="0"/>
      <w:marBottom w:val="0"/>
      <w:divBdr>
        <w:top w:val="none" w:sz="0" w:space="0" w:color="auto"/>
        <w:left w:val="none" w:sz="0" w:space="0" w:color="auto"/>
        <w:bottom w:val="none" w:sz="0" w:space="0" w:color="auto"/>
        <w:right w:val="none" w:sz="0" w:space="0" w:color="auto"/>
      </w:divBdr>
    </w:div>
    <w:div w:id="2023583036">
      <w:bodyDiv w:val="1"/>
      <w:marLeft w:val="0"/>
      <w:marRight w:val="0"/>
      <w:marTop w:val="0"/>
      <w:marBottom w:val="0"/>
      <w:divBdr>
        <w:top w:val="none" w:sz="0" w:space="0" w:color="auto"/>
        <w:left w:val="none" w:sz="0" w:space="0" w:color="auto"/>
        <w:bottom w:val="none" w:sz="0" w:space="0" w:color="auto"/>
        <w:right w:val="none" w:sz="0" w:space="0" w:color="auto"/>
      </w:divBdr>
      <w:divsChild>
        <w:div w:id="1459375059">
          <w:marLeft w:val="0"/>
          <w:marRight w:val="0"/>
          <w:marTop w:val="0"/>
          <w:marBottom w:val="0"/>
          <w:divBdr>
            <w:top w:val="none" w:sz="0" w:space="0" w:color="auto"/>
            <w:left w:val="none" w:sz="0" w:space="0" w:color="auto"/>
            <w:bottom w:val="none" w:sz="0" w:space="0" w:color="auto"/>
            <w:right w:val="none" w:sz="0" w:space="0" w:color="auto"/>
          </w:divBdr>
          <w:divsChild>
            <w:div w:id="120080341">
              <w:marLeft w:val="0"/>
              <w:marRight w:val="0"/>
              <w:marTop w:val="0"/>
              <w:marBottom w:val="0"/>
              <w:divBdr>
                <w:top w:val="none" w:sz="0" w:space="0" w:color="auto"/>
                <w:left w:val="none" w:sz="0" w:space="0" w:color="auto"/>
                <w:bottom w:val="none" w:sz="0" w:space="0" w:color="auto"/>
                <w:right w:val="none" w:sz="0" w:space="0" w:color="auto"/>
              </w:divBdr>
              <w:divsChild>
                <w:div w:id="71277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1293">
      <w:bodyDiv w:val="1"/>
      <w:marLeft w:val="0"/>
      <w:marRight w:val="0"/>
      <w:marTop w:val="0"/>
      <w:marBottom w:val="0"/>
      <w:divBdr>
        <w:top w:val="none" w:sz="0" w:space="0" w:color="auto"/>
        <w:left w:val="none" w:sz="0" w:space="0" w:color="auto"/>
        <w:bottom w:val="none" w:sz="0" w:space="0" w:color="auto"/>
        <w:right w:val="none" w:sz="0" w:space="0" w:color="auto"/>
      </w:divBdr>
      <w:divsChild>
        <w:div w:id="1690066070">
          <w:marLeft w:val="0"/>
          <w:marRight w:val="0"/>
          <w:marTop w:val="0"/>
          <w:marBottom w:val="0"/>
          <w:divBdr>
            <w:top w:val="none" w:sz="0" w:space="0" w:color="auto"/>
            <w:left w:val="none" w:sz="0" w:space="0" w:color="auto"/>
            <w:bottom w:val="none" w:sz="0" w:space="0" w:color="auto"/>
            <w:right w:val="none" w:sz="0" w:space="0" w:color="auto"/>
          </w:divBdr>
          <w:divsChild>
            <w:div w:id="621156813">
              <w:marLeft w:val="0"/>
              <w:marRight w:val="0"/>
              <w:marTop w:val="0"/>
              <w:marBottom w:val="0"/>
              <w:divBdr>
                <w:top w:val="none" w:sz="0" w:space="0" w:color="auto"/>
                <w:left w:val="none" w:sz="0" w:space="0" w:color="auto"/>
                <w:bottom w:val="none" w:sz="0" w:space="0" w:color="auto"/>
                <w:right w:val="none" w:sz="0" w:space="0" w:color="auto"/>
              </w:divBdr>
              <w:divsChild>
                <w:div w:id="248391273">
                  <w:marLeft w:val="0"/>
                  <w:marRight w:val="0"/>
                  <w:marTop w:val="0"/>
                  <w:marBottom w:val="0"/>
                  <w:divBdr>
                    <w:top w:val="none" w:sz="0" w:space="0" w:color="auto"/>
                    <w:left w:val="none" w:sz="0" w:space="0" w:color="auto"/>
                    <w:bottom w:val="none" w:sz="0" w:space="0" w:color="auto"/>
                    <w:right w:val="none" w:sz="0" w:space="0" w:color="auto"/>
                  </w:divBdr>
                  <w:divsChild>
                    <w:div w:id="6932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8213">
      <w:bodyDiv w:val="1"/>
      <w:marLeft w:val="0"/>
      <w:marRight w:val="0"/>
      <w:marTop w:val="0"/>
      <w:marBottom w:val="0"/>
      <w:divBdr>
        <w:top w:val="none" w:sz="0" w:space="0" w:color="auto"/>
        <w:left w:val="none" w:sz="0" w:space="0" w:color="auto"/>
        <w:bottom w:val="none" w:sz="0" w:space="0" w:color="auto"/>
        <w:right w:val="none" w:sz="0" w:space="0" w:color="auto"/>
      </w:divBdr>
    </w:div>
    <w:div w:id="2024503574">
      <w:bodyDiv w:val="1"/>
      <w:marLeft w:val="0"/>
      <w:marRight w:val="0"/>
      <w:marTop w:val="0"/>
      <w:marBottom w:val="0"/>
      <w:divBdr>
        <w:top w:val="none" w:sz="0" w:space="0" w:color="auto"/>
        <w:left w:val="none" w:sz="0" w:space="0" w:color="auto"/>
        <w:bottom w:val="none" w:sz="0" w:space="0" w:color="auto"/>
        <w:right w:val="none" w:sz="0" w:space="0" w:color="auto"/>
      </w:divBdr>
    </w:div>
    <w:div w:id="2024623481">
      <w:bodyDiv w:val="1"/>
      <w:marLeft w:val="0"/>
      <w:marRight w:val="0"/>
      <w:marTop w:val="0"/>
      <w:marBottom w:val="0"/>
      <w:divBdr>
        <w:top w:val="none" w:sz="0" w:space="0" w:color="auto"/>
        <w:left w:val="none" w:sz="0" w:space="0" w:color="auto"/>
        <w:bottom w:val="none" w:sz="0" w:space="0" w:color="auto"/>
        <w:right w:val="none" w:sz="0" w:space="0" w:color="auto"/>
      </w:divBdr>
    </w:div>
    <w:div w:id="2025278169">
      <w:bodyDiv w:val="1"/>
      <w:marLeft w:val="0"/>
      <w:marRight w:val="0"/>
      <w:marTop w:val="0"/>
      <w:marBottom w:val="0"/>
      <w:divBdr>
        <w:top w:val="none" w:sz="0" w:space="0" w:color="auto"/>
        <w:left w:val="none" w:sz="0" w:space="0" w:color="auto"/>
        <w:bottom w:val="none" w:sz="0" w:space="0" w:color="auto"/>
        <w:right w:val="none" w:sz="0" w:space="0" w:color="auto"/>
      </w:divBdr>
      <w:divsChild>
        <w:div w:id="1281455025">
          <w:marLeft w:val="0"/>
          <w:marRight w:val="0"/>
          <w:marTop w:val="0"/>
          <w:marBottom w:val="0"/>
          <w:divBdr>
            <w:top w:val="none" w:sz="0" w:space="0" w:color="auto"/>
            <w:left w:val="none" w:sz="0" w:space="0" w:color="auto"/>
            <w:bottom w:val="none" w:sz="0" w:space="0" w:color="auto"/>
            <w:right w:val="none" w:sz="0" w:space="0" w:color="auto"/>
          </w:divBdr>
          <w:divsChild>
            <w:div w:id="1006706909">
              <w:marLeft w:val="0"/>
              <w:marRight w:val="0"/>
              <w:marTop w:val="0"/>
              <w:marBottom w:val="0"/>
              <w:divBdr>
                <w:top w:val="none" w:sz="0" w:space="0" w:color="auto"/>
                <w:left w:val="none" w:sz="0" w:space="0" w:color="auto"/>
                <w:bottom w:val="none" w:sz="0" w:space="0" w:color="auto"/>
                <w:right w:val="none" w:sz="0" w:space="0" w:color="auto"/>
              </w:divBdr>
              <w:divsChild>
                <w:div w:id="84116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472096">
      <w:bodyDiv w:val="1"/>
      <w:marLeft w:val="0"/>
      <w:marRight w:val="0"/>
      <w:marTop w:val="0"/>
      <w:marBottom w:val="0"/>
      <w:divBdr>
        <w:top w:val="none" w:sz="0" w:space="0" w:color="auto"/>
        <w:left w:val="none" w:sz="0" w:space="0" w:color="auto"/>
        <w:bottom w:val="none" w:sz="0" w:space="0" w:color="auto"/>
        <w:right w:val="none" w:sz="0" w:space="0" w:color="auto"/>
      </w:divBdr>
    </w:div>
    <w:div w:id="2026055442">
      <w:bodyDiv w:val="1"/>
      <w:marLeft w:val="0"/>
      <w:marRight w:val="0"/>
      <w:marTop w:val="0"/>
      <w:marBottom w:val="0"/>
      <w:divBdr>
        <w:top w:val="none" w:sz="0" w:space="0" w:color="auto"/>
        <w:left w:val="none" w:sz="0" w:space="0" w:color="auto"/>
        <w:bottom w:val="none" w:sz="0" w:space="0" w:color="auto"/>
        <w:right w:val="none" w:sz="0" w:space="0" w:color="auto"/>
      </w:divBdr>
      <w:divsChild>
        <w:div w:id="1068842015">
          <w:marLeft w:val="0"/>
          <w:marRight w:val="0"/>
          <w:marTop w:val="0"/>
          <w:marBottom w:val="0"/>
          <w:divBdr>
            <w:top w:val="none" w:sz="0" w:space="0" w:color="auto"/>
            <w:left w:val="none" w:sz="0" w:space="0" w:color="auto"/>
            <w:bottom w:val="none" w:sz="0" w:space="0" w:color="auto"/>
            <w:right w:val="none" w:sz="0" w:space="0" w:color="auto"/>
          </w:divBdr>
          <w:divsChild>
            <w:div w:id="361633255">
              <w:marLeft w:val="0"/>
              <w:marRight w:val="0"/>
              <w:marTop w:val="0"/>
              <w:marBottom w:val="0"/>
              <w:divBdr>
                <w:top w:val="none" w:sz="0" w:space="0" w:color="auto"/>
                <w:left w:val="none" w:sz="0" w:space="0" w:color="auto"/>
                <w:bottom w:val="none" w:sz="0" w:space="0" w:color="auto"/>
                <w:right w:val="none" w:sz="0" w:space="0" w:color="auto"/>
              </w:divBdr>
              <w:divsChild>
                <w:div w:id="998729018">
                  <w:marLeft w:val="0"/>
                  <w:marRight w:val="0"/>
                  <w:marTop w:val="0"/>
                  <w:marBottom w:val="0"/>
                  <w:divBdr>
                    <w:top w:val="none" w:sz="0" w:space="0" w:color="auto"/>
                    <w:left w:val="none" w:sz="0" w:space="0" w:color="auto"/>
                    <w:bottom w:val="none" w:sz="0" w:space="0" w:color="auto"/>
                    <w:right w:val="none" w:sz="0" w:space="0" w:color="auto"/>
                  </w:divBdr>
                  <w:divsChild>
                    <w:div w:id="53315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125707">
      <w:bodyDiv w:val="1"/>
      <w:marLeft w:val="0"/>
      <w:marRight w:val="0"/>
      <w:marTop w:val="0"/>
      <w:marBottom w:val="0"/>
      <w:divBdr>
        <w:top w:val="none" w:sz="0" w:space="0" w:color="auto"/>
        <w:left w:val="none" w:sz="0" w:space="0" w:color="auto"/>
        <w:bottom w:val="none" w:sz="0" w:space="0" w:color="auto"/>
        <w:right w:val="none" w:sz="0" w:space="0" w:color="auto"/>
      </w:divBdr>
      <w:divsChild>
        <w:div w:id="1614626627">
          <w:marLeft w:val="0"/>
          <w:marRight w:val="0"/>
          <w:marTop w:val="0"/>
          <w:marBottom w:val="0"/>
          <w:divBdr>
            <w:top w:val="none" w:sz="0" w:space="0" w:color="auto"/>
            <w:left w:val="none" w:sz="0" w:space="0" w:color="auto"/>
            <w:bottom w:val="none" w:sz="0" w:space="0" w:color="auto"/>
            <w:right w:val="none" w:sz="0" w:space="0" w:color="auto"/>
          </w:divBdr>
          <w:divsChild>
            <w:div w:id="1213692982">
              <w:marLeft w:val="0"/>
              <w:marRight w:val="0"/>
              <w:marTop w:val="0"/>
              <w:marBottom w:val="0"/>
              <w:divBdr>
                <w:top w:val="none" w:sz="0" w:space="0" w:color="auto"/>
                <w:left w:val="none" w:sz="0" w:space="0" w:color="auto"/>
                <w:bottom w:val="none" w:sz="0" w:space="0" w:color="auto"/>
                <w:right w:val="none" w:sz="0" w:space="0" w:color="auto"/>
              </w:divBdr>
              <w:divsChild>
                <w:div w:id="51779014">
                  <w:marLeft w:val="0"/>
                  <w:marRight w:val="0"/>
                  <w:marTop w:val="0"/>
                  <w:marBottom w:val="0"/>
                  <w:divBdr>
                    <w:top w:val="none" w:sz="0" w:space="0" w:color="auto"/>
                    <w:left w:val="none" w:sz="0" w:space="0" w:color="auto"/>
                    <w:bottom w:val="none" w:sz="0" w:space="0" w:color="auto"/>
                    <w:right w:val="none" w:sz="0" w:space="0" w:color="auto"/>
                  </w:divBdr>
                  <w:divsChild>
                    <w:div w:id="19335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7127">
      <w:bodyDiv w:val="1"/>
      <w:marLeft w:val="0"/>
      <w:marRight w:val="0"/>
      <w:marTop w:val="0"/>
      <w:marBottom w:val="0"/>
      <w:divBdr>
        <w:top w:val="none" w:sz="0" w:space="0" w:color="auto"/>
        <w:left w:val="none" w:sz="0" w:space="0" w:color="auto"/>
        <w:bottom w:val="none" w:sz="0" w:space="0" w:color="auto"/>
        <w:right w:val="none" w:sz="0" w:space="0" w:color="auto"/>
      </w:divBdr>
      <w:divsChild>
        <w:div w:id="997655218">
          <w:marLeft w:val="0"/>
          <w:marRight w:val="0"/>
          <w:marTop w:val="0"/>
          <w:marBottom w:val="0"/>
          <w:divBdr>
            <w:top w:val="none" w:sz="0" w:space="0" w:color="auto"/>
            <w:left w:val="none" w:sz="0" w:space="0" w:color="auto"/>
            <w:bottom w:val="none" w:sz="0" w:space="0" w:color="auto"/>
            <w:right w:val="none" w:sz="0" w:space="0" w:color="auto"/>
          </w:divBdr>
          <w:divsChild>
            <w:div w:id="209849793">
              <w:marLeft w:val="0"/>
              <w:marRight w:val="0"/>
              <w:marTop w:val="0"/>
              <w:marBottom w:val="0"/>
              <w:divBdr>
                <w:top w:val="none" w:sz="0" w:space="0" w:color="auto"/>
                <w:left w:val="none" w:sz="0" w:space="0" w:color="auto"/>
                <w:bottom w:val="none" w:sz="0" w:space="0" w:color="auto"/>
                <w:right w:val="none" w:sz="0" w:space="0" w:color="auto"/>
              </w:divBdr>
              <w:divsChild>
                <w:div w:id="280114974">
                  <w:marLeft w:val="0"/>
                  <w:marRight w:val="0"/>
                  <w:marTop w:val="0"/>
                  <w:marBottom w:val="0"/>
                  <w:divBdr>
                    <w:top w:val="none" w:sz="0" w:space="0" w:color="auto"/>
                    <w:left w:val="none" w:sz="0" w:space="0" w:color="auto"/>
                    <w:bottom w:val="none" w:sz="0" w:space="0" w:color="auto"/>
                    <w:right w:val="none" w:sz="0" w:space="0" w:color="auto"/>
                  </w:divBdr>
                  <w:divsChild>
                    <w:div w:id="12619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864623">
      <w:bodyDiv w:val="1"/>
      <w:marLeft w:val="0"/>
      <w:marRight w:val="0"/>
      <w:marTop w:val="0"/>
      <w:marBottom w:val="0"/>
      <w:divBdr>
        <w:top w:val="none" w:sz="0" w:space="0" w:color="auto"/>
        <w:left w:val="none" w:sz="0" w:space="0" w:color="auto"/>
        <w:bottom w:val="none" w:sz="0" w:space="0" w:color="auto"/>
        <w:right w:val="none" w:sz="0" w:space="0" w:color="auto"/>
      </w:divBdr>
      <w:divsChild>
        <w:div w:id="66655877">
          <w:marLeft w:val="0"/>
          <w:marRight w:val="0"/>
          <w:marTop w:val="0"/>
          <w:marBottom w:val="0"/>
          <w:divBdr>
            <w:top w:val="none" w:sz="0" w:space="0" w:color="auto"/>
            <w:left w:val="none" w:sz="0" w:space="0" w:color="auto"/>
            <w:bottom w:val="none" w:sz="0" w:space="0" w:color="auto"/>
            <w:right w:val="none" w:sz="0" w:space="0" w:color="auto"/>
          </w:divBdr>
          <w:divsChild>
            <w:div w:id="1818767600">
              <w:marLeft w:val="0"/>
              <w:marRight w:val="0"/>
              <w:marTop w:val="0"/>
              <w:marBottom w:val="0"/>
              <w:divBdr>
                <w:top w:val="none" w:sz="0" w:space="0" w:color="auto"/>
                <w:left w:val="none" w:sz="0" w:space="0" w:color="auto"/>
                <w:bottom w:val="none" w:sz="0" w:space="0" w:color="auto"/>
                <w:right w:val="none" w:sz="0" w:space="0" w:color="auto"/>
              </w:divBdr>
              <w:divsChild>
                <w:div w:id="1104347736">
                  <w:marLeft w:val="0"/>
                  <w:marRight w:val="0"/>
                  <w:marTop w:val="0"/>
                  <w:marBottom w:val="0"/>
                  <w:divBdr>
                    <w:top w:val="none" w:sz="0" w:space="0" w:color="auto"/>
                    <w:left w:val="none" w:sz="0" w:space="0" w:color="auto"/>
                    <w:bottom w:val="none" w:sz="0" w:space="0" w:color="auto"/>
                    <w:right w:val="none" w:sz="0" w:space="0" w:color="auto"/>
                  </w:divBdr>
                  <w:divsChild>
                    <w:div w:id="39566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094865">
      <w:bodyDiv w:val="1"/>
      <w:marLeft w:val="0"/>
      <w:marRight w:val="0"/>
      <w:marTop w:val="0"/>
      <w:marBottom w:val="0"/>
      <w:divBdr>
        <w:top w:val="none" w:sz="0" w:space="0" w:color="auto"/>
        <w:left w:val="none" w:sz="0" w:space="0" w:color="auto"/>
        <w:bottom w:val="none" w:sz="0" w:space="0" w:color="auto"/>
        <w:right w:val="none" w:sz="0" w:space="0" w:color="auto"/>
      </w:divBdr>
    </w:div>
    <w:div w:id="2030449900">
      <w:bodyDiv w:val="1"/>
      <w:marLeft w:val="0"/>
      <w:marRight w:val="0"/>
      <w:marTop w:val="0"/>
      <w:marBottom w:val="0"/>
      <w:divBdr>
        <w:top w:val="none" w:sz="0" w:space="0" w:color="auto"/>
        <w:left w:val="none" w:sz="0" w:space="0" w:color="auto"/>
        <w:bottom w:val="none" w:sz="0" w:space="0" w:color="auto"/>
        <w:right w:val="none" w:sz="0" w:space="0" w:color="auto"/>
      </w:divBdr>
    </w:div>
    <w:div w:id="2030640868">
      <w:bodyDiv w:val="1"/>
      <w:marLeft w:val="0"/>
      <w:marRight w:val="0"/>
      <w:marTop w:val="0"/>
      <w:marBottom w:val="0"/>
      <w:divBdr>
        <w:top w:val="none" w:sz="0" w:space="0" w:color="auto"/>
        <w:left w:val="none" w:sz="0" w:space="0" w:color="auto"/>
        <w:bottom w:val="none" w:sz="0" w:space="0" w:color="auto"/>
        <w:right w:val="none" w:sz="0" w:space="0" w:color="auto"/>
      </w:divBdr>
      <w:divsChild>
        <w:div w:id="1206865678">
          <w:marLeft w:val="0"/>
          <w:marRight w:val="0"/>
          <w:marTop w:val="0"/>
          <w:marBottom w:val="0"/>
          <w:divBdr>
            <w:top w:val="none" w:sz="0" w:space="0" w:color="auto"/>
            <w:left w:val="none" w:sz="0" w:space="0" w:color="auto"/>
            <w:bottom w:val="none" w:sz="0" w:space="0" w:color="auto"/>
            <w:right w:val="none" w:sz="0" w:space="0" w:color="auto"/>
          </w:divBdr>
          <w:divsChild>
            <w:div w:id="120852923">
              <w:marLeft w:val="0"/>
              <w:marRight w:val="0"/>
              <w:marTop w:val="0"/>
              <w:marBottom w:val="0"/>
              <w:divBdr>
                <w:top w:val="none" w:sz="0" w:space="0" w:color="auto"/>
                <w:left w:val="none" w:sz="0" w:space="0" w:color="auto"/>
                <w:bottom w:val="none" w:sz="0" w:space="0" w:color="auto"/>
                <w:right w:val="none" w:sz="0" w:space="0" w:color="auto"/>
              </w:divBdr>
              <w:divsChild>
                <w:div w:id="470290036">
                  <w:marLeft w:val="0"/>
                  <w:marRight w:val="0"/>
                  <w:marTop w:val="0"/>
                  <w:marBottom w:val="0"/>
                  <w:divBdr>
                    <w:top w:val="none" w:sz="0" w:space="0" w:color="auto"/>
                    <w:left w:val="none" w:sz="0" w:space="0" w:color="auto"/>
                    <w:bottom w:val="none" w:sz="0" w:space="0" w:color="auto"/>
                    <w:right w:val="none" w:sz="0" w:space="0" w:color="auto"/>
                  </w:divBdr>
                  <w:divsChild>
                    <w:div w:id="22167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263603">
      <w:bodyDiv w:val="1"/>
      <w:marLeft w:val="0"/>
      <w:marRight w:val="0"/>
      <w:marTop w:val="0"/>
      <w:marBottom w:val="0"/>
      <w:divBdr>
        <w:top w:val="none" w:sz="0" w:space="0" w:color="auto"/>
        <w:left w:val="none" w:sz="0" w:space="0" w:color="auto"/>
        <w:bottom w:val="none" w:sz="0" w:space="0" w:color="auto"/>
        <w:right w:val="none" w:sz="0" w:space="0" w:color="auto"/>
      </w:divBdr>
    </w:div>
    <w:div w:id="2033456111">
      <w:bodyDiv w:val="1"/>
      <w:marLeft w:val="0"/>
      <w:marRight w:val="0"/>
      <w:marTop w:val="0"/>
      <w:marBottom w:val="0"/>
      <w:divBdr>
        <w:top w:val="none" w:sz="0" w:space="0" w:color="auto"/>
        <w:left w:val="none" w:sz="0" w:space="0" w:color="auto"/>
        <w:bottom w:val="none" w:sz="0" w:space="0" w:color="auto"/>
        <w:right w:val="none" w:sz="0" w:space="0" w:color="auto"/>
      </w:divBdr>
      <w:divsChild>
        <w:div w:id="680008062">
          <w:marLeft w:val="0"/>
          <w:marRight w:val="0"/>
          <w:marTop w:val="0"/>
          <w:marBottom w:val="0"/>
          <w:divBdr>
            <w:top w:val="none" w:sz="0" w:space="0" w:color="auto"/>
            <w:left w:val="none" w:sz="0" w:space="0" w:color="auto"/>
            <w:bottom w:val="none" w:sz="0" w:space="0" w:color="auto"/>
            <w:right w:val="none" w:sz="0" w:space="0" w:color="auto"/>
          </w:divBdr>
          <w:divsChild>
            <w:div w:id="1623224429">
              <w:marLeft w:val="0"/>
              <w:marRight w:val="0"/>
              <w:marTop w:val="0"/>
              <w:marBottom w:val="0"/>
              <w:divBdr>
                <w:top w:val="none" w:sz="0" w:space="0" w:color="auto"/>
                <w:left w:val="none" w:sz="0" w:space="0" w:color="auto"/>
                <w:bottom w:val="none" w:sz="0" w:space="0" w:color="auto"/>
                <w:right w:val="none" w:sz="0" w:space="0" w:color="auto"/>
              </w:divBdr>
              <w:divsChild>
                <w:div w:id="30057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182532">
      <w:bodyDiv w:val="1"/>
      <w:marLeft w:val="0"/>
      <w:marRight w:val="0"/>
      <w:marTop w:val="0"/>
      <w:marBottom w:val="0"/>
      <w:divBdr>
        <w:top w:val="none" w:sz="0" w:space="0" w:color="auto"/>
        <w:left w:val="none" w:sz="0" w:space="0" w:color="auto"/>
        <w:bottom w:val="none" w:sz="0" w:space="0" w:color="auto"/>
        <w:right w:val="none" w:sz="0" w:space="0" w:color="auto"/>
      </w:divBdr>
    </w:div>
    <w:div w:id="2034383825">
      <w:bodyDiv w:val="1"/>
      <w:marLeft w:val="0"/>
      <w:marRight w:val="0"/>
      <w:marTop w:val="0"/>
      <w:marBottom w:val="0"/>
      <w:divBdr>
        <w:top w:val="none" w:sz="0" w:space="0" w:color="auto"/>
        <w:left w:val="none" w:sz="0" w:space="0" w:color="auto"/>
        <w:bottom w:val="none" w:sz="0" w:space="0" w:color="auto"/>
        <w:right w:val="none" w:sz="0" w:space="0" w:color="auto"/>
      </w:divBdr>
    </w:div>
    <w:div w:id="2035374620">
      <w:bodyDiv w:val="1"/>
      <w:marLeft w:val="0"/>
      <w:marRight w:val="0"/>
      <w:marTop w:val="0"/>
      <w:marBottom w:val="0"/>
      <w:divBdr>
        <w:top w:val="none" w:sz="0" w:space="0" w:color="auto"/>
        <w:left w:val="none" w:sz="0" w:space="0" w:color="auto"/>
        <w:bottom w:val="none" w:sz="0" w:space="0" w:color="auto"/>
        <w:right w:val="none" w:sz="0" w:space="0" w:color="auto"/>
      </w:divBdr>
    </w:div>
    <w:div w:id="2035378996">
      <w:bodyDiv w:val="1"/>
      <w:marLeft w:val="0"/>
      <w:marRight w:val="0"/>
      <w:marTop w:val="0"/>
      <w:marBottom w:val="0"/>
      <w:divBdr>
        <w:top w:val="none" w:sz="0" w:space="0" w:color="auto"/>
        <w:left w:val="none" w:sz="0" w:space="0" w:color="auto"/>
        <w:bottom w:val="none" w:sz="0" w:space="0" w:color="auto"/>
        <w:right w:val="none" w:sz="0" w:space="0" w:color="auto"/>
      </w:divBdr>
    </w:div>
    <w:div w:id="2036732964">
      <w:bodyDiv w:val="1"/>
      <w:marLeft w:val="0"/>
      <w:marRight w:val="0"/>
      <w:marTop w:val="0"/>
      <w:marBottom w:val="0"/>
      <w:divBdr>
        <w:top w:val="none" w:sz="0" w:space="0" w:color="auto"/>
        <w:left w:val="none" w:sz="0" w:space="0" w:color="auto"/>
        <w:bottom w:val="none" w:sz="0" w:space="0" w:color="auto"/>
        <w:right w:val="none" w:sz="0" w:space="0" w:color="auto"/>
      </w:divBdr>
      <w:divsChild>
        <w:div w:id="1151750583">
          <w:marLeft w:val="0"/>
          <w:marRight w:val="0"/>
          <w:marTop w:val="0"/>
          <w:marBottom w:val="0"/>
          <w:divBdr>
            <w:top w:val="none" w:sz="0" w:space="0" w:color="auto"/>
            <w:left w:val="none" w:sz="0" w:space="0" w:color="auto"/>
            <w:bottom w:val="none" w:sz="0" w:space="0" w:color="auto"/>
            <w:right w:val="none" w:sz="0" w:space="0" w:color="auto"/>
          </w:divBdr>
          <w:divsChild>
            <w:div w:id="1774087070">
              <w:marLeft w:val="0"/>
              <w:marRight w:val="0"/>
              <w:marTop w:val="0"/>
              <w:marBottom w:val="0"/>
              <w:divBdr>
                <w:top w:val="none" w:sz="0" w:space="0" w:color="auto"/>
                <w:left w:val="none" w:sz="0" w:space="0" w:color="auto"/>
                <w:bottom w:val="none" w:sz="0" w:space="0" w:color="auto"/>
                <w:right w:val="none" w:sz="0" w:space="0" w:color="auto"/>
              </w:divBdr>
              <w:divsChild>
                <w:div w:id="286199558">
                  <w:marLeft w:val="0"/>
                  <w:marRight w:val="0"/>
                  <w:marTop w:val="0"/>
                  <w:marBottom w:val="0"/>
                  <w:divBdr>
                    <w:top w:val="none" w:sz="0" w:space="0" w:color="auto"/>
                    <w:left w:val="none" w:sz="0" w:space="0" w:color="auto"/>
                    <w:bottom w:val="none" w:sz="0" w:space="0" w:color="auto"/>
                    <w:right w:val="none" w:sz="0" w:space="0" w:color="auto"/>
                  </w:divBdr>
                  <w:divsChild>
                    <w:div w:id="51349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000951">
      <w:bodyDiv w:val="1"/>
      <w:marLeft w:val="0"/>
      <w:marRight w:val="0"/>
      <w:marTop w:val="0"/>
      <w:marBottom w:val="0"/>
      <w:divBdr>
        <w:top w:val="none" w:sz="0" w:space="0" w:color="auto"/>
        <w:left w:val="none" w:sz="0" w:space="0" w:color="auto"/>
        <w:bottom w:val="none" w:sz="0" w:space="0" w:color="auto"/>
        <w:right w:val="none" w:sz="0" w:space="0" w:color="auto"/>
      </w:divBdr>
      <w:divsChild>
        <w:div w:id="506675007">
          <w:marLeft w:val="0"/>
          <w:marRight w:val="0"/>
          <w:marTop w:val="0"/>
          <w:marBottom w:val="0"/>
          <w:divBdr>
            <w:top w:val="none" w:sz="0" w:space="0" w:color="auto"/>
            <w:left w:val="none" w:sz="0" w:space="0" w:color="auto"/>
            <w:bottom w:val="none" w:sz="0" w:space="0" w:color="auto"/>
            <w:right w:val="none" w:sz="0" w:space="0" w:color="auto"/>
          </w:divBdr>
          <w:divsChild>
            <w:div w:id="1985741141">
              <w:marLeft w:val="0"/>
              <w:marRight w:val="0"/>
              <w:marTop w:val="0"/>
              <w:marBottom w:val="0"/>
              <w:divBdr>
                <w:top w:val="none" w:sz="0" w:space="0" w:color="auto"/>
                <w:left w:val="none" w:sz="0" w:space="0" w:color="auto"/>
                <w:bottom w:val="none" w:sz="0" w:space="0" w:color="auto"/>
                <w:right w:val="none" w:sz="0" w:space="0" w:color="auto"/>
              </w:divBdr>
              <w:divsChild>
                <w:div w:id="1437676531">
                  <w:marLeft w:val="0"/>
                  <w:marRight w:val="0"/>
                  <w:marTop w:val="0"/>
                  <w:marBottom w:val="0"/>
                  <w:divBdr>
                    <w:top w:val="none" w:sz="0" w:space="0" w:color="auto"/>
                    <w:left w:val="none" w:sz="0" w:space="0" w:color="auto"/>
                    <w:bottom w:val="none" w:sz="0" w:space="0" w:color="auto"/>
                    <w:right w:val="none" w:sz="0" w:space="0" w:color="auto"/>
                  </w:divBdr>
                  <w:divsChild>
                    <w:div w:id="16852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843825">
      <w:bodyDiv w:val="1"/>
      <w:marLeft w:val="0"/>
      <w:marRight w:val="0"/>
      <w:marTop w:val="0"/>
      <w:marBottom w:val="0"/>
      <w:divBdr>
        <w:top w:val="none" w:sz="0" w:space="0" w:color="auto"/>
        <w:left w:val="none" w:sz="0" w:space="0" w:color="auto"/>
        <w:bottom w:val="none" w:sz="0" w:space="0" w:color="auto"/>
        <w:right w:val="none" w:sz="0" w:space="0" w:color="auto"/>
      </w:divBdr>
      <w:divsChild>
        <w:div w:id="1683241634">
          <w:marLeft w:val="0"/>
          <w:marRight w:val="0"/>
          <w:marTop w:val="0"/>
          <w:marBottom w:val="0"/>
          <w:divBdr>
            <w:top w:val="none" w:sz="0" w:space="0" w:color="auto"/>
            <w:left w:val="none" w:sz="0" w:space="0" w:color="auto"/>
            <w:bottom w:val="none" w:sz="0" w:space="0" w:color="auto"/>
            <w:right w:val="none" w:sz="0" w:space="0" w:color="auto"/>
          </w:divBdr>
          <w:divsChild>
            <w:div w:id="1437869415">
              <w:marLeft w:val="0"/>
              <w:marRight w:val="0"/>
              <w:marTop w:val="0"/>
              <w:marBottom w:val="0"/>
              <w:divBdr>
                <w:top w:val="none" w:sz="0" w:space="0" w:color="auto"/>
                <w:left w:val="none" w:sz="0" w:space="0" w:color="auto"/>
                <w:bottom w:val="none" w:sz="0" w:space="0" w:color="auto"/>
                <w:right w:val="none" w:sz="0" w:space="0" w:color="auto"/>
              </w:divBdr>
              <w:divsChild>
                <w:div w:id="1171212979">
                  <w:marLeft w:val="0"/>
                  <w:marRight w:val="0"/>
                  <w:marTop w:val="0"/>
                  <w:marBottom w:val="0"/>
                  <w:divBdr>
                    <w:top w:val="none" w:sz="0" w:space="0" w:color="auto"/>
                    <w:left w:val="none" w:sz="0" w:space="0" w:color="auto"/>
                    <w:bottom w:val="none" w:sz="0" w:space="0" w:color="auto"/>
                    <w:right w:val="none" w:sz="0" w:space="0" w:color="auto"/>
                  </w:divBdr>
                  <w:divsChild>
                    <w:div w:id="74542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8438">
      <w:bodyDiv w:val="1"/>
      <w:marLeft w:val="0"/>
      <w:marRight w:val="0"/>
      <w:marTop w:val="0"/>
      <w:marBottom w:val="0"/>
      <w:divBdr>
        <w:top w:val="none" w:sz="0" w:space="0" w:color="auto"/>
        <w:left w:val="none" w:sz="0" w:space="0" w:color="auto"/>
        <w:bottom w:val="none" w:sz="0" w:space="0" w:color="auto"/>
        <w:right w:val="none" w:sz="0" w:space="0" w:color="auto"/>
      </w:divBdr>
    </w:div>
    <w:div w:id="2040037373">
      <w:bodyDiv w:val="1"/>
      <w:marLeft w:val="0"/>
      <w:marRight w:val="0"/>
      <w:marTop w:val="0"/>
      <w:marBottom w:val="0"/>
      <w:divBdr>
        <w:top w:val="none" w:sz="0" w:space="0" w:color="auto"/>
        <w:left w:val="none" w:sz="0" w:space="0" w:color="auto"/>
        <w:bottom w:val="none" w:sz="0" w:space="0" w:color="auto"/>
        <w:right w:val="none" w:sz="0" w:space="0" w:color="auto"/>
      </w:divBdr>
    </w:div>
    <w:div w:id="2040663049">
      <w:bodyDiv w:val="1"/>
      <w:marLeft w:val="0"/>
      <w:marRight w:val="0"/>
      <w:marTop w:val="0"/>
      <w:marBottom w:val="0"/>
      <w:divBdr>
        <w:top w:val="none" w:sz="0" w:space="0" w:color="auto"/>
        <w:left w:val="none" w:sz="0" w:space="0" w:color="auto"/>
        <w:bottom w:val="none" w:sz="0" w:space="0" w:color="auto"/>
        <w:right w:val="none" w:sz="0" w:space="0" w:color="auto"/>
      </w:divBdr>
    </w:div>
    <w:div w:id="2041005598">
      <w:bodyDiv w:val="1"/>
      <w:marLeft w:val="0"/>
      <w:marRight w:val="0"/>
      <w:marTop w:val="0"/>
      <w:marBottom w:val="0"/>
      <w:divBdr>
        <w:top w:val="none" w:sz="0" w:space="0" w:color="auto"/>
        <w:left w:val="none" w:sz="0" w:space="0" w:color="auto"/>
        <w:bottom w:val="none" w:sz="0" w:space="0" w:color="auto"/>
        <w:right w:val="none" w:sz="0" w:space="0" w:color="auto"/>
      </w:divBdr>
    </w:div>
    <w:div w:id="2041589814">
      <w:bodyDiv w:val="1"/>
      <w:marLeft w:val="0"/>
      <w:marRight w:val="0"/>
      <w:marTop w:val="0"/>
      <w:marBottom w:val="0"/>
      <w:divBdr>
        <w:top w:val="none" w:sz="0" w:space="0" w:color="auto"/>
        <w:left w:val="none" w:sz="0" w:space="0" w:color="auto"/>
        <w:bottom w:val="none" w:sz="0" w:space="0" w:color="auto"/>
        <w:right w:val="none" w:sz="0" w:space="0" w:color="auto"/>
      </w:divBdr>
    </w:div>
    <w:div w:id="2042243714">
      <w:bodyDiv w:val="1"/>
      <w:marLeft w:val="0"/>
      <w:marRight w:val="0"/>
      <w:marTop w:val="0"/>
      <w:marBottom w:val="0"/>
      <w:divBdr>
        <w:top w:val="none" w:sz="0" w:space="0" w:color="auto"/>
        <w:left w:val="none" w:sz="0" w:space="0" w:color="auto"/>
        <w:bottom w:val="none" w:sz="0" w:space="0" w:color="auto"/>
        <w:right w:val="none" w:sz="0" w:space="0" w:color="auto"/>
      </w:divBdr>
      <w:divsChild>
        <w:div w:id="381632483">
          <w:marLeft w:val="0"/>
          <w:marRight w:val="0"/>
          <w:marTop w:val="0"/>
          <w:marBottom w:val="0"/>
          <w:divBdr>
            <w:top w:val="none" w:sz="0" w:space="0" w:color="auto"/>
            <w:left w:val="none" w:sz="0" w:space="0" w:color="auto"/>
            <w:bottom w:val="none" w:sz="0" w:space="0" w:color="auto"/>
            <w:right w:val="none" w:sz="0" w:space="0" w:color="auto"/>
          </w:divBdr>
          <w:divsChild>
            <w:div w:id="1648316899">
              <w:marLeft w:val="0"/>
              <w:marRight w:val="0"/>
              <w:marTop w:val="0"/>
              <w:marBottom w:val="0"/>
              <w:divBdr>
                <w:top w:val="none" w:sz="0" w:space="0" w:color="auto"/>
                <w:left w:val="none" w:sz="0" w:space="0" w:color="auto"/>
                <w:bottom w:val="none" w:sz="0" w:space="0" w:color="auto"/>
                <w:right w:val="none" w:sz="0" w:space="0" w:color="auto"/>
              </w:divBdr>
              <w:divsChild>
                <w:div w:id="1133642438">
                  <w:marLeft w:val="0"/>
                  <w:marRight w:val="0"/>
                  <w:marTop w:val="0"/>
                  <w:marBottom w:val="0"/>
                  <w:divBdr>
                    <w:top w:val="none" w:sz="0" w:space="0" w:color="auto"/>
                    <w:left w:val="none" w:sz="0" w:space="0" w:color="auto"/>
                    <w:bottom w:val="none" w:sz="0" w:space="0" w:color="auto"/>
                    <w:right w:val="none" w:sz="0" w:space="0" w:color="auto"/>
                  </w:divBdr>
                  <w:divsChild>
                    <w:div w:id="79517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437409">
      <w:bodyDiv w:val="1"/>
      <w:marLeft w:val="0"/>
      <w:marRight w:val="0"/>
      <w:marTop w:val="0"/>
      <w:marBottom w:val="0"/>
      <w:divBdr>
        <w:top w:val="none" w:sz="0" w:space="0" w:color="auto"/>
        <w:left w:val="none" w:sz="0" w:space="0" w:color="auto"/>
        <w:bottom w:val="none" w:sz="0" w:space="0" w:color="auto"/>
        <w:right w:val="none" w:sz="0" w:space="0" w:color="auto"/>
      </w:divBdr>
    </w:div>
    <w:div w:id="2042824464">
      <w:bodyDiv w:val="1"/>
      <w:marLeft w:val="0"/>
      <w:marRight w:val="0"/>
      <w:marTop w:val="0"/>
      <w:marBottom w:val="0"/>
      <w:divBdr>
        <w:top w:val="none" w:sz="0" w:space="0" w:color="auto"/>
        <w:left w:val="none" w:sz="0" w:space="0" w:color="auto"/>
        <w:bottom w:val="none" w:sz="0" w:space="0" w:color="auto"/>
        <w:right w:val="none" w:sz="0" w:space="0" w:color="auto"/>
      </w:divBdr>
    </w:div>
    <w:div w:id="2043819683">
      <w:bodyDiv w:val="1"/>
      <w:marLeft w:val="0"/>
      <w:marRight w:val="0"/>
      <w:marTop w:val="0"/>
      <w:marBottom w:val="0"/>
      <w:divBdr>
        <w:top w:val="none" w:sz="0" w:space="0" w:color="auto"/>
        <w:left w:val="none" w:sz="0" w:space="0" w:color="auto"/>
        <w:bottom w:val="none" w:sz="0" w:space="0" w:color="auto"/>
        <w:right w:val="none" w:sz="0" w:space="0" w:color="auto"/>
      </w:divBdr>
      <w:divsChild>
        <w:div w:id="734935484">
          <w:marLeft w:val="0"/>
          <w:marRight w:val="0"/>
          <w:marTop w:val="0"/>
          <w:marBottom w:val="0"/>
          <w:divBdr>
            <w:top w:val="none" w:sz="0" w:space="0" w:color="auto"/>
            <w:left w:val="none" w:sz="0" w:space="0" w:color="auto"/>
            <w:bottom w:val="none" w:sz="0" w:space="0" w:color="auto"/>
            <w:right w:val="none" w:sz="0" w:space="0" w:color="auto"/>
          </w:divBdr>
          <w:divsChild>
            <w:div w:id="1015031945">
              <w:marLeft w:val="0"/>
              <w:marRight w:val="0"/>
              <w:marTop w:val="0"/>
              <w:marBottom w:val="0"/>
              <w:divBdr>
                <w:top w:val="none" w:sz="0" w:space="0" w:color="auto"/>
                <w:left w:val="none" w:sz="0" w:space="0" w:color="auto"/>
                <w:bottom w:val="none" w:sz="0" w:space="0" w:color="auto"/>
                <w:right w:val="none" w:sz="0" w:space="0" w:color="auto"/>
              </w:divBdr>
              <w:divsChild>
                <w:div w:id="1923485562">
                  <w:marLeft w:val="0"/>
                  <w:marRight w:val="0"/>
                  <w:marTop w:val="0"/>
                  <w:marBottom w:val="0"/>
                  <w:divBdr>
                    <w:top w:val="none" w:sz="0" w:space="0" w:color="auto"/>
                    <w:left w:val="none" w:sz="0" w:space="0" w:color="auto"/>
                    <w:bottom w:val="none" w:sz="0" w:space="0" w:color="auto"/>
                    <w:right w:val="none" w:sz="0" w:space="0" w:color="auto"/>
                  </w:divBdr>
                  <w:divsChild>
                    <w:div w:id="179995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092254">
      <w:bodyDiv w:val="1"/>
      <w:marLeft w:val="0"/>
      <w:marRight w:val="0"/>
      <w:marTop w:val="0"/>
      <w:marBottom w:val="0"/>
      <w:divBdr>
        <w:top w:val="none" w:sz="0" w:space="0" w:color="auto"/>
        <w:left w:val="none" w:sz="0" w:space="0" w:color="auto"/>
        <w:bottom w:val="none" w:sz="0" w:space="0" w:color="auto"/>
        <w:right w:val="none" w:sz="0" w:space="0" w:color="auto"/>
      </w:divBdr>
    </w:div>
    <w:div w:id="2044210235">
      <w:bodyDiv w:val="1"/>
      <w:marLeft w:val="0"/>
      <w:marRight w:val="0"/>
      <w:marTop w:val="0"/>
      <w:marBottom w:val="0"/>
      <w:divBdr>
        <w:top w:val="none" w:sz="0" w:space="0" w:color="auto"/>
        <w:left w:val="none" w:sz="0" w:space="0" w:color="auto"/>
        <w:bottom w:val="none" w:sz="0" w:space="0" w:color="auto"/>
        <w:right w:val="none" w:sz="0" w:space="0" w:color="auto"/>
      </w:divBdr>
    </w:div>
    <w:div w:id="2044397747">
      <w:bodyDiv w:val="1"/>
      <w:marLeft w:val="0"/>
      <w:marRight w:val="0"/>
      <w:marTop w:val="0"/>
      <w:marBottom w:val="0"/>
      <w:divBdr>
        <w:top w:val="none" w:sz="0" w:space="0" w:color="auto"/>
        <w:left w:val="none" w:sz="0" w:space="0" w:color="auto"/>
        <w:bottom w:val="none" w:sz="0" w:space="0" w:color="auto"/>
        <w:right w:val="none" w:sz="0" w:space="0" w:color="auto"/>
      </w:divBdr>
    </w:div>
    <w:div w:id="2045014372">
      <w:bodyDiv w:val="1"/>
      <w:marLeft w:val="0"/>
      <w:marRight w:val="0"/>
      <w:marTop w:val="0"/>
      <w:marBottom w:val="0"/>
      <w:divBdr>
        <w:top w:val="none" w:sz="0" w:space="0" w:color="auto"/>
        <w:left w:val="none" w:sz="0" w:space="0" w:color="auto"/>
        <w:bottom w:val="none" w:sz="0" w:space="0" w:color="auto"/>
        <w:right w:val="none" w:sz="0" w:space="0" w:color="auto"/>
      </w:divBdr>
    </w:div>
    <w:div w:id="2045597439">
      <w:bodyDiv w:val="1"/>
      <w:marLeft w:val="0"/>
      <w:marRight w:val="0"/>
      <w:marTop w:val="0"/>
      <w:marBottom w:val="0"/>
      <w:divBdr>
        <w:top w:val="none" w:sz="0" w:space="0" w:color="auto"/>
        <w:left w:val="none" w:sz="0" w:space="0" w:color="auto"/>
        <w:bottom w:val="none" w:sz="0" w:space="0" w:color="auto"/>
        <w:right w:val="none" w:sz="0" w:space="0" w:color="auto"/>
      </w:divBdr>
    </w:div>
    <w:div w:id="2045787731">
      <w:bodyDiv w:val="1"/>
      <w:marLeft w:val="0"/>
      <w:marRight w:val="0"/>
      <w:marTop w:val="0"/>
      <w:marBottom w:val="0"/>
      <w:divBdr>
        <w:top w:val="none" w:sz="0" w:space="0" w:color="auto"/>
        <w:left w:val="none" w:sz="0" w:space="0" w:color="auto"/>
        <w:bottom w:val="none" w:sz="0" w:space="0" w:color="auto"/>
        <w:right w:val="none" w:sz="0" w:space="0" w:color="auto"/>
      </w:divBdr>
    </w:div>
    <w:div w:id="2046444093">
      <w:bodyDiv w:val="1"/>
      <w:marLeft w:val="0"/>
      <w:marRight w:val="0"/>
      <w:marTop w:val="0"/>
      <w:marBottom w:val="0"/>
      <w:divBdr>
        <w:top w:val="none" w:sz="0" w:space="0" w:color="auto"/>
        <w:left w:val="none" w:sz="0" w:space="0" w:color="auto"/>
        <w:bottom w:val="none" w:sz="0" w:space="0" w:color="auto"/>
        <w:right w:val="none" w:sz="0" w:space="0" w:color="auto"/>
      </w:divBdr>
    </w:div>
    <w:div w:id="2046757688">
      <w:bodyDiv w:val="1"/>
      <w:marLeft w:val="0"/>
      <w:marRight w:val="0"/>
      <w:marTop w:val="0"/>
      <w:marBottom w:val="0"/>
      <w:divBdr>
        <w:top w:val="none" w:sz="0" w:space="0" w:color="auto"/>
        <w:left w:val="none" w:sz="0" w:space="0" w:color="auto"/>
        <w:bottom w:val="none" w:sz="0" w:space="0" w:color="auto"/>
        <w:right w:val="none" w:sz="0" w:space="0" w:color="auto"/>
      </w:divBdr>
    </w:div>
    <w:div w:id="2046977575">
      <w:bodyDiv w:val="1"/>
      <w:marLeft w:val="0"/>
      <w:marRight w:val="0"/>
      <w:marTop w:val="0"/>
      <w:marBottom w:val="0"/>
      <w:divBdr>
        <w:top w:val="none" w:sz="0" w:space="0" w:color="auto"/>
        <w:left w:val="none" w:sz="0" w:space="0" w:color="auto"/>
        <w:bottom w:val="none" w:sz="0" w:space="0" w:color="auto"/>
        <w:right w:val="none" w:sz="0" w:space="0" w:color="auto"/>
      </w:divBdr>
      <w:divsChild>
        <w:div w:id="2015641064">
          <w:marLeft w:val="0"/>
          <w:marRight w:val="0"/>
          <w:marTop w:val="0"/>
          <w:marBottom w:val="0"/>
          <w:divBdr>
            <w:top w:val="none" w:sz="0" w:space="0" w:color="auto"/>
            <w:left w:val="none" w:sz="0" w:space="0" w:color="auto"/>
            <w:bottom w:val="none" w:sz="0" w:space="0" w:color="auto"/>
            <w:right w:val="none" w:sz="0" w:space="0" w:color="auto"/>
          </w:divBdr>
          <w:divsChild>
            <w:div w:id="1309937378">
              <w:marLeft w:val="0"/>
              <w:marRight w:val="0"/>
              <w:marTop w:val="0"/>
              <w:marBottom w:val="0"/>
              <w:divBdr>
                <w:top w:val="none" w:sz="0" w:space="0" w:color="auto"/>
                <w:left w:val="none" w:sz="0" w:space="0" w:color="auto"/>
                <w:bottom w:val="none" w:sz="0" w:space="0" w:color="auto"/>
                <w:right w:val="none" w:sz="0" w:space="0" w:color="auto"/>
              </w:divBdr>
              <w:divsChild>
                <w:div w:id="1432235347">
                  <w:marLeft w:val="0"/>
                  <w:marRight w:val="0"/>
                  <w:marTop w:val="0"/>
                  <w:marBottom w:val="0"/>
                  <w:divBdr>
                    <w:top w:val="none" w:sz="0" w:space="0" w:color="auto"/>
                    <w:left w:val="none" w:sz="0" w:space="0" w:color="auto"/>
                    <w:bottom w:val="none" w:sz="0" w:space="0" w:color="auto"/>
                    <w:right w:val="none" w:sz="0" w:space="0" w:color="auto"/>
                  </w:divBdr>
                  <w:divsChild>
                    <w:div w:id="12701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363480">
      <w:bodyDiv w:val="1"/>
      <w:marLeft w:val="0"/>
      <w:marRight w:val="0"/>
      <w:marTop w:val="0"/>
      <w:marBottom w:val="0"/>
      <w:divBdr>
        <w:top w:val="none" w:sz="0" w:space="0" w:color="auto"/>
        <w:left w:val="none" w:sz="0" w:space="0" w:color="auto"/>
        <w:bottom w:val="none" w:sz="0" w:space="0" w:color="auto"/>
        <w:right w:val="none" w:sz="0" w:space="0" w:color="auto"/>
      </w:divBdr>
    </w:div>
    <w:div w:id="2048750588">
      <w:bodyDiv w:val="1"/>
      <w:marLeft w:val="0"/>
      <w:marRight w:val="0"/>
      <w:marTop w:val="0"/>
      <w:marBottom w:val="0"/>
      <w:divBdr>
        <w:top w:val="none" w:sz="0" w:space="0" w:color="auto"/>
        <w:left w:val="none" w:sz="0" w:space="0" w:color="auto"/>
        <w:bottom w:val="none" w:sz="0" w:space="0" w:color="auto"/>
        <w:right w:val="none" w:sz="0" w:space="0" w:color="auto"/>
      </w:divBdr>
      <w:divsChild>
        <w:div w:id="1553346523">
          <w:marLeft w:val="0"/>
          <w:marRight w:val="0"/>
          <w:marTop w:val="0"/>
          <w:marBottom w:val="0"/>
          <w:divBdr>
            <w:top w:val="none" w:sz="0" w:space="0" w:color="auto"/>
            <w:left w:val="none" w:sz="0" w:space="0" w:color="auto"/>
            <w:bottom w:val="none" w:sz="0" w:space="0" w:color="auto"/>
            <w:right w:val="none" w:sz="0" w:space="0" w:color="auto"/>
          </w:divBdr>
          <w:divsChild>
            <w:div w:id="609699764">
              <w:marLeft w:val="0"/>
              <w:marRight w:val="0"/>
              <w:marTop w:val="0"/>
              <w:marBottom w:val="0"/>
              <w:divBdr>
                <w:top w:val="none" w:sz="0" w:space="0" w:color="auto"/>
                <w:left w:val="none" w:sz="0" w:space="0" w:color="auto"/>
                <w:bottom w:val="none" w:sz="0" w:space="0" w:color="auto"/>
                <w:right w:val="none" w:sz="0" w:space="0" w:color="auto"/>
              </w:divBdr>
              <w:divsChild>
                <w:div w:id="826824114">
                  <w:marLeft w:val="0"/>
                  <w:marRight w:val="0"/>
                  <w:marTop w:val="0"/>
                  <w:marBottom w:val="0"/>
                  <w:divBdr>
                    <w:top w:val="none" w:sz="0" w:space="0" w:color="auto"/>
                    <w:left w:val="none" w:sz="0" w:space="0" w:color="auto"/>
                    <w:bottom w:val="none" w:sz="0" w:space="0" w:color="auto"/>
                    <w:right w:val="none" w:sz="0" w:space="0" w:color="auto"/>
                  </w:divBdr>
                  <w:divsChild>
                    <w:div w:id="3109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141372">
      <w:bodyDiv w:val="1"/>
      <w:marLeft w:val="0"/>
      <w:marRight w:val="0"/>
      <w:marTop w:val="0"/>
      <w:marBottom w:val="0"/>
      <w:divBdr>
        <w:top w:val="none" w:sz="0" w:space="0" w:color="auto"/>
        <w:left w:val="none" w:sz="0" w:space="0" w:color="auto"/>
        <w:bottom w:val="none" w:sz="0" w:space="0" w:color="auto"/>
        <w:right w:val="none" w:sz="0" w:space="0" w:color="auto"/>
      </w:divBdr>
    </w:div>
    <w:div w:id="2049916939">
      <w:bodyDiv w:val="1"/>
      <w:marLeft w:val="0"/>
      <w:marRight w:val="0"/>
      <w:marTop w:val="0"/>
      <w:marBottom w:val="0"/>
      <w:divBdr>
        <w:top w:val="none" w:sz="0" w:space="0" w:color="auto"/>
        <w:left w:val="none" w:sz="0" w:space="0" w:color="auto"/>
        <w:bottom w:val="none" w:sz="0" w:space="0" w:color="auto"/>
        <w:right w:val="none" w:sz="0" w:space="0" w:color="auto"/>
      </w:divBdr>
      <w:divsChild>
        <w:div w:id="1419713885">
          <w:marLeft w:val="0"/>
          <w:marRight w:val="0"/>
          <w:marTop w:val="0"/>
          <w:marBottom w:val="0"/>
          <w:divBdr>
            <w:top w:val="none" w:sz="0" w:space="0" w:color="auto"/>
            <w:left w:val="none" w:sz="0" w:space="0" w:color="auto"/>
            <w:bottom w:val="none" w:sz="0" w:space="0" w:color="auto"/>
            <w:right w:val="none" w:sz="0" w:space="0" w:color="auto"/>
          </w:divBdr>
          <w:divsChild>
            <w:div w:id="1140072576">
              <w:marLeft w:val="0"/>
              <w:marRight w:val="0"/>
              <w:marTop w:val="0"/>
              <w:marBottom w:val="0"/>
              <w:divBdr>
                <w:top w:val="none" w:sz="0" w:space="0" w:color="auto"/>
                <w:left w:val="none" w:sz="0" w:space="0" w:color="auto"/>
                <w:bottom w:val="none" w:sz="0" w:space="0" w:color="auto"/>
                <w:right w:val="none" w:sz="0" w:space="0" w:color="auto"/>
              </w:divBdr>
              <w:divsChild>
                <w:div w:id="1888103035">
                  <w:marLeft w:val="0"/>
                  <w:marRight w:val="0"/>
                  <w:marTop w:val="0"/>
                  <w:marBottom w:val="0"/>
                  <w:divBdr>
                    <w:top w:val="none" w:sz="0" w:space="0" w:color="auto"/>
                    <w:left w:val="none" w:sz="0" w:space="0" w:color="auto"/>
                    <w:bottom w:val="none" w:sz="0" w:space="0" w:color="auto"/>
                    <w:right w:val="none" w:sz="0" w:space="0" w:color="auto"/>
                  </w:divBdr>
                  <w:divsChild>
                    <w:div w:id="112585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180308">
      <w:bodyDiv w:val="1"/>
      <w:marLeft w:val="0"/>
      <w:marRight w:val="0"/>
      <w:marTop w:val="0"/>
      <w:marBottom w:val="0"/>
      <w:divBdr>
        <w:top w:val="none" w:sz="0" w:space="0" w:color="auto"/>
        <w:left w:val="none" w:sz="0" w:space="0" w:color="auto"/>
        <w:bottom w:val="none" w:sz="0" w:space="0" w:color="auto"/>
        <w:right w:val="none" w:sz="0" w:space="0" w:color="auto"/>
      </w:divBdr>
    </w:div>
    <w:div w:id="2050837350">
      <w:bodyDiv w:val="1"/>
      <w:marLeft w:val="0"/>
      <w:marRight w:val="0"/>
      <w:marTop w:val="0"/>
      <w:marBottom w:val="0"/>
      <w:divBdr>
        <w:top w:val="none" w:sz="0" w:space="0" w:color="auto"/>
        <w:left w:val="none" w:sz="0" w:space="0" w:color="auto"/>
        <w:bottom w:val="none" w:sz="0" w:space="0" w:color="auto"/>
        <w:right w:val="none" w:sz="0" w:space="0" w:color="auto"/>
      </w:divBdr>
      <w:divsChild>
        <w:div w:id="149643711">
          <w:marLeft w:val="0"/>
          <w:marRight w:val="0"/>
          <w:marTop w:val="0"/>
          <w:marBottom w:val="0"/>
          <w:divBdr>
            <w:top w:val="none" w:sz="0" w:space="0" w:color="auto"/>
            <w:left w:val="none" w:sz="0" w:space="0" w:color="auto"/>
            <w:bottom w:val="none" w:sz="0" w:space="0" w:color="auto"/>
            <w:right w:val="none" w:sz="0" w:space="0" w:color="auto"/>
          </w:divBdr>
          <w:divsChild>
            <w:div w:id="101263470">
              <w:marLeft w:val="0"/>
              <w:marRight w:val="0"/>
              <w:marTop w:val="0"/>
              <w:marBottom w:val="0"/>
              <w:divBdr>
                <w:top w:val="none" w:sz="0" w:space="0" w:color="auto"/>
                <w:left w:val="none" w:sz="0" w:space="0" w:color="auto"/>
                <w:bottom w:val="none" w:sz="0" w:space="0" w:color="auto"/>
                <w:right w:val="none" w:sz="0" w:space="0" w:color="auto"/>
              </w:divBdr>
              <w:divsChild>
                <w:div w:id="1069421599">
                  <w:marLeft w:val="0"/>
                  <w:marRight w:val="0"/>
                  <w:marTop w:val="0"/>
                  <w:marBottom w:val="0"/>
                  <w:divBdr>
                    <w:top w:val="none" w:sz="0" w:space="0" w:color="auto"/>
                    <w:left w:val="none" w:sz="0" w:space="0" w:color="auto"/>
                    <w:bottom w:val="none" w:sz="0" w:space="0" w:color="auto"/>
                    <w:right w:val="none" w:sz="0" w:space="0" w:color="auto"/>
                  </w:divBdr>
                  <w:divsChild>
                    <w:div w:id="25074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414653">
      <w:bodyDiv w:val="1"/>
      <w:marLeft w:val="0"/>
      <w:marRight w:val="0"/>
      <w:marTop w:val="0"/>
      <w:marBottom w:val="0"/>
      <w:divBdr>
        <w:top w:val="none" w:sz="0" w:space="0" w:color="auto"/>
        <w:left w:val="none" w:sz="0" w:space="0" w:color="auto"/>
        <w:bottom w:val="none" w:sz="0" w:space="0" w:color="auto"/>
        <w:right w:val="none" w:sz="0" w:space="0" w:color="auto"/>
      </w:divBdr>
      <w:divsChild>
        <w:div w:id="593519810">
          <w:marLeft w:val="0"/>
          <w:marRight w:val="0"/>
          <w:marTop w:val="0"/>
          <w:marBottom w:val="0"/>
          <w:divBdr>
            <w:top w:val="none" w:sz="0" w:space="0" w:color="auto"/>
            <w:left w:val="none" w:sz="0" w:space="0" w:color="auto"/>
            <w:bottom w:val="none" w:sz="0" w:space="0" w:color="auto"/>
            <w:right w:val="none" w:sz="0" w:space="0" w:color="auto"/>
          </w:divBdr>
          <w:divsChild>
            <w:div w:id="1966738774">
              <w:marLeft w:val="0"/>
              <w:marRight w:val="0"/>
              <w:marTop w:val="0"/>
              <w:marBottom w:val="0"/>
              <w:divBdr>
                <w:top w:val="none" w:sz="0" w:space="0" w:color="auto"/>
                <w:left w:val="none" w:sz="0" w:space="0" w:color="auto"/>
                <w:bottom w:val="none" w:sz="0" w:space="0" w:color="auto"/>
                <w:right w:val="none" w:sz="0" w:space="0" w:color="auto"/>
              </w:divBdr>
              <w:divsChild>
                <w:div w:id="194461673">
                  <w:marLeft w:val="0"/>
                  <w:marRight w:val="0"/>
                  <w:marTop w:val="0"/>
                  <w:marBottom w:val="0"/>
                  <w:divBdr>
                    <w:top w:val="none" w:sz="0" w:space="0" w:color="auto"/>
                    <w:left w:val="none" w:sz="0" w:space="0" w:color="auto"/>
                    <w:bottom w:val="none" w:sz="0" w:space="0" w:color="auto"/>
                    <w:right w:val="none" w:sz="0" w:space="0" w:color="auto"/>
                  </w:divBdr>
                  <w:divsChild>
                    <w:div w:id="213609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414725">
      <w:bodyDiv w:val="1"/>
      <w:marLeft w:val="0"/>
      <w:marRight w:val="0"/>
      <w:marTop w:val="0"/>
      <w:marBottom w:val="0"/>
      <w:divBdr>
        <w:top w:val="none" w:sz="0" w:space="0" w:color="auto"/>
        <w:left w:val="none" w:sz="0" w:space="0" w:color="auto"/>
        <w:bottom w:val="none" w:sz="0" w:space="0" w:color="auto"/>
        <w:right w:val="none" w:sz="0" w:space="0" w:color="auto"/>
      </w:divBdr>
      <w:divsChild>
        <w:div w:id="1919750485">
          <w:marLeft w:val="0"/>
          <w:marRight w:val="0"/>
          <w:marTop w:val="0"/>
          <w:marBottom w:val="0"/>
          <w:divBdr>
            <w:top w:val="none" w:sz="0" w:space="0" w:color="auto"/>
            <w:left w:val="none" w:sz="0" w:space="0" w:color="auto"/>
            <w:bottom w:val="none" w:sz="0" w:space="0" w:color="auto"/>
            <w:right w:val="none" w:sz="0" w:space="0" w:color="auto"/>
          </w:divBdr>
          <w:divsChild>
            <w:div w:id="1746026640">
              <w:marLeft w:val="0"/>
              <w:marRight w:val="0"/>
              <w:marTop w:val="0"/>
              <w:marBottom w:val="0"/>
              <w:divBdr>
                <w:top w:val="none" w:sz="0" w:space="0" w:color="auto"/>
                <w:left w:val="none" w:sz="0" w:space="0" w:color="auto"/>
                <w:bottom w:val="none" w:sz="0" w:space="0" w:color="auto"/>
                <w:right w:val="none" w:sz="0" w:space="0" w:color="auto"/>
              </w:divBdr>
              <w:divsChild>
                <w:div w:id="81645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954760">
      <w:bodyDiv w:val="1"/>
      <w:marLeft w:val="0"/>
      <w:marRight w:val="0"/>
      <w:marTop w:val="0"/>
      <w:marBottom w:val="0"/>
      <w:divBdr>
        <w:top w:val="none" w:sz="0" w:space="0" w:color="auto"/>
        <w:left w:val="none" w:sz="0" w:space="0" w:color="auto"/>
        <w:bottom w:val="none" w:sz="0" w:space="0" w:color="auto"/>
        <w:right w:val="none" w:sz="0" w:space="0" w:color="auto"/>
      </w:divBdr>
    </w:div>
    <w:div w:id="2051955636">
      <w:bodyDiv w:val="1"/>
      <w:marLeft w:val="0"/>
      <w:marRight w:val="0"/>
      <w:marTop w:val="0"/>
      <w:marBottom w:val="0"/>
      <w:divBdr>
        <w:top w:val="none" w:sz="0" w:space="0" w:color="auto"/>
        <w:left w:val="none" w:sz="0" w:space="0" w:color="auto"/>
        <w:bottom w:val="none" w:sz="0" w:space="0" w:color="auto"/>
        <w:right w:val="none" w:sz="0" w:space="0" w:color="auto"/>
      </w:divBdr>
      <w:divsChild>
        <w:div w:id="1406293918">
          <w:marLeft w:val="0"/>
          <w:marRight w:val="0"/>
          <w:marTop w:val="0"/>
          <w:marBottom w:val="0"/>
          <w:divBdr>
            <w:top w:val="none" w:sz="0" w:space="0" w:color="auto"/>
            <w:left w:val="none" w:sz="0" w:space="0" w:color="auto"/>
            <w:bottom w:val="none" w:sz="0" w:space="0" w:color="auto"/>
            <w:right w:val="none" w:sz="0" w:space="0" w:color="auto"/>
          </w:divBdr>
          <w:divsChild>
            <w:div w:id="2063359682">
              <w:marLeft w:val="0"/>
              <w:marRight w:val="0"/>
              <w:marTop w:val="0"/>
              <w:marBottom w:val="0"/>
              <w:divBdr>
                <w:top w:val="none" w:sz="0" w:space="0" w:color="auto"/>
                <w:left w:val="none" w:sz="0" w:space="0" w:color="auto"/>
                <w:bottom w:val="none" w:sz="0" w:space="0" w:color="auto"/>
                <w:right w:val="none" w:sz="0" w:space="0" w:color="auto"/>
              </w:divBdr>
              <w:divsChild>
                <w:div w:id="1243023230">
                  <w:marLeft w:val="0"/>
                  <w:marRight w:val="0"/>
                  <w:marTop w:val="0"/>
                  <w:marBottom w:val="0"/>
                  <w:divBdr>
                    <w:top w:val="none" w:sz="0" w:space="0" w:color="auto"/>
                    <w:left w:val="none" w:sz="0" w:space="0" w:color="auto"/>
                    <w:bottom w:val="none" w:sz="0" w:space="0" w:color="auto"/>
                    <w:right w:val="none" w:sz="0" w:space="0" w:color="auto"/>
                  </w:divBdr>
                  <w:divsChild>
                    <w:div w:id="87585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531757">
      <w:bodyDiv w:val="1"/>
      <w:marLeft w:val="0"/>
      <w:marRight w:val="0"/>
      <w:marTop w:val="0"/>
      <w:marBottom w:val="0"/>
      <w:divBdr>
        <w:top w:val="none" w:sz="0" w:space="0" w:color="auto"/>
        <w:left w:val="none" w:sz="0" w:space="0" w:color="auto"/>
        <w:bottom w:val="none" w:sz="0" w:space="0" w:color="auto"/>
        <w:right w:val="none" w:sz="0" w:space="0" w:color="auto"/>
      </w:divBdr>
    </w:div>
    <w:div w:id="2053575640">
      <w:bodyDiv w:val="1"/>
      <w:marLeft w:val="0"/>
      <w:marRight w:val="0"/>
      <w:marTop w:val="0"/>
      <w:marBottom w:val="0"/>
      <w:divBdr>
        <w:top w:val="none" w:sz="0" w:space="0" w:color="auto"/>
        <w:left w:val="none" w:sz="0" w:space="0" w:color="auto"/>
        <w:bottom w:val="none" w:sz="0" w:space="0" w:color="auto"/>
        <w:right w:val="none" w:sz="0" w:space="0" w:color="auto"/>
      </w:divBdr>
    </w:div>
    <w:div w:id="2054579663">
      <w:bodyDiv w:val="1"/>
      <w:marLeft w:val="0"/>
      <w:marRight w:val="0"/>
      <w:marTop w:val="0"/>
      <w:marBottom w:val="0"/>
      <w:divBdr>
        <w:top w:val="none" w:sz="0" w:space="0" w:color="auto"/>
        <w:left w:val="none" w:sz="0" w:space="0" w:color="auto"/>
        <w:bottom w:val="none" w:sz="0" w:space="0" w:color="auto"/>
        <w:right w:val="none" w:sz="0" w:space="0" w:color="auto"/>
      </w:divBdr>
    </w:div>
    <w:div w:id="2055108070">
      <w:bodyDiv w:val="1"/>
      <w:marLeft w:val="0"/>
      <w:marRight w:val="0"/>
      <w:marTop w:val="0"/>
      <w:marBottom w:val="0"/>
      <w:divBdr>
        <w:top w:val="none" w:sz="0" w:space="0" w:color="auto"/>
        <w:left w:val="none" w:sz="0" w:space="0" w:color="auto"/>
        <w:bottom w:val="none" w:sz="0" w:space="0" w:color="auto"/>
        <w:right w:val="none" w:sz="0" w:space="0" w:color="auto"/>
      </w:divBdr>
    </w:div>
    <w:div w:id="2055228903">
      <w:bodyDiv w:val="1"/>
      <w:marLeft w:val="0"/>
      <w:marRight w:val="0"/>
      <w:marTop w:val="0"/>
      <w:marBottom w:val="0"/>
      <w:divBdr>
        <w:top w:val="none" w:sz="0" w:space="0" w:color="auto"/>
        <w:left w:val="none" w:sz="0" w:space="0" w:color="auto"/>
        <w:bottom w:val="none" w:sz="0" w:space="0" w:color="auto"/>
        <w:right w:val="none" w:sz="0" w:space="0" w:color="auto"/>
      </w:divBdr>
    </w:div>
    <w:div w:id="2055814203">
      <w:bodyDiv w:val="1"/>
      <w:marLeft w:val="0"/>
      <w:marRight w:val="0"/>
      <w:marTop w:val="0"/>
      <w:marBottom w:val="0"/>
      <w:divBdr>
        <w:top w:val="none" w:sz="0" w:space="0" w:color="auto"/>
        <w:left w:val="none" w:sz="0" w:space="0" w:color="auto"/>
        <w:bottom w:val="none" w:sz="0" w:space="0" w:color="auto"/>
        <w:right w:val="none" w:sz="0" w:space="0" w:color="auto"/>
      </w:divBdr>
    </w:div>
    <w:div w:id="2056007658">
      <w:bodyDiv w:val="1"/>
      <w:marLeft w:val="0"/>
      <w:marRight w:val="0"/>
      <w:marTop w:val="0"/>
      <w:marBottom w:val="0"/>
      <w:divBdr>
        <w:top w:val="none" w:sz="0" w:space="0" w:color="auto"/>
        <w:left w:val="none" w:sz="0" w:space="0" w:color="auto"/>
        <w:bottom w:val="none" w:sz="0" w:space="0" w:color="auto"/>
        <w:right w:val="none" w:sz="0" w:space="0" w:color="auto"/>
      </w:divBdr>
    </w:div>
    <w:div w:id="2057731087">
      <w:bodyDiv w:val="1"/>
      <w:marLeft w:val="0"/>
      <w:marRight w:val="0"/>
      <w:marTop w:val="0"/>
      <w:marBottom w:val="0"/>
      <w:divBdr>
        <w:top w:val="none" w:sz="0" w:space="0" w:color="auto"/>
        <w:left w:val="none" w:sz="0" w:space="0" w:color="auto"/>
        <w:bottom w:val="none" w:sz="0" w:space="0" w:color="auto"/>
        <w:right w:val="none" w:sz="0" w:space="0" w:color="auto"/>
      </w:divBdr>
    </w:div>
    <w:div w:id="2058622234">
      <w:bodyDiv w:val="1"/>
      <w:marLeft w:val="0"/>
      <w:marRight w:val="0"/>
      <w:marTop w:val="0"/>
      <w:marBottom w:val="0"/>
      <w:divBdr>
        <w:top w:val="none" w:sz="0" w:space="0" w:color="auto"/>
        <w:left w:val="none" w:sz="0" w:space="0" w:color="auto"/>
        <w:bottom w:val="none" w:sz="0" w:space="0" w:color="auto"/>
        <w:right w:val="none" w:sz="0" w:space="0" w:color="auto"/>
      </w:divBdr>
    </w:div>
    <w:div w:id="2058776163">
      <w:bodyDiv w:val="1"/>
      <w:marLeft w:val="0"/>
      <w:marRight w:val="0"/>
      <w:marTop w:val="0"/>
      <w:marBottom w:val="0"/>
      <w:divBdr>
        <w:top w:val="none" w:sz="0" w:space="0" w:color="auto"/>
        <w:left w:val="none" w:sz="0" w:space="0" w:color="auto"/>
        <w:bottom w:val="none" w:sz="0" w:space="0" w:color="auto"/>
        <w:right w:val="none" w:sz="0" w:space="0" w:color="auto"/>
      </w:divBdr>
    </w:div>
    <w:div w:id="2059352919">
      <w:bodyDiv w:val="1"/>
      <w:marLeft w:val="0"/>
      <w:marRight w:val="0"/>
      <w:marTop w:val="0"/>
      <w:marBottom w:val="0"/>
      <w:divBdr>
        <w:top w:val="none" w:sz="0" w:space="0" w:color="auto"/>
        <w:left w:val="none" w:sz="0" w:space="0" w:color="auto"/>
        <w:bottom w:val="none" w:sz="0" w:space="0" w:color="auto"/>
        <w:right w:val="none" w:sz="0" w:space="0" w:color="auto"/>
      </w:divBdr>
    </w:div>
    <w:div w:id="2059472325">
      <w:bodyDiv w:val="1"/>
      <w:marLeft w:val="0"/>
      <w:marRight w:val="0"/>
      <w:marTop w:val="0"/>
      <w:marBottom w:val="0"/>
      <w:divBdr>
        <w:top w:val="none" w:sz="0" w:space="0" w:color="auto"/>
        <w:left w:val="none" w:sz="0" w:space="0" w:color="auto"/>
        <w:bottom w:val="none" w:sz="0" w:space="0" w:color="auto"/>
        <w:right w:val="none" w:sz="0" w:space="0" w:color="auto"/>
      </w:divBdr>
    </w:div>
    <w:div w:id="2059932423">
      <w:bodyDiv w:val="1"/>
      <w:marLeft w:val="0"/>
      <w:marRight w:val="0"/>
      <w:marTop w:val="0"/>
      <w:marBottom w:val="0"/>
      <w:divBdr>
        <w:top w:val="none" w:sz="0" w:space="0" w:color="auto"/>
        <w:left w:val="none" w:sz="0" w:space="0" w:color="auto"/>
        <w:bottom w:val="none" w:sz="0" w:space="0" w:color="auto"/>
        <w:right w:val="none" w:sz="0" w:space="0" w:color="auto"/>
      </w:divBdr>
      <w:divsChild>
        <w:div w:id="1871719780">
          <w:marLeft w:val="0"/>
          <w:marRight w:val="0"/>
          <w:marTop w:val="0"/>
          <w:marBottom w:val="0"/>
          <w:divBdr>
            <w:top w:val="none" w:sz="0" w:space="0" w:color="auto"/>
            <w:left w:val="none" w:sz="0" w:space="0" w:color="auto"/>
            <w:bottom w:val="none" w:sz="0" w:space="0" w:color="auto"/>
            <w:right w:val="none" w:sz="0" w:space="0" w:color="auto"/>
          </w:divBdr>
          <w:divsChild>
            <w:div w:id="1999114684">
              <w:marLeft w:val="0"/>
              <w:marRight w:val="0"/>
              <w:marTop w:val="0"/>
              <w:marBottom w:val="0"/>
              <w:divBdr>
                <w:top w:val="none" w:sz="0" w:space="0" w:color="auto"/>
                <w:left w:val="none" w:sz="0" w:space="0" w:color="auto"/>
                <w:bottom w:val="none" w:sz="0" w:space="0" w:color="auto"/>
                <w:right w:val="none" w:sz="0" w:space="0" w:color="auto"/>
              </w:divBdr>
              <w:divsChild>
                <w:div w:id="1899197157">
                  <w:marLeft w:val="0"/>
                  <w:marRight w:val="0"/>
                  <w:marTop w:val="0"/>
                  <w:marBottom w:val="0"/>
                  <w:divBdr>
                    <w:top w:val="none" w:sz="0" w:space="0" w:color="auto"/>
                    <w:left w:val="none" w:sz="0" w:space="0" w:color="auto"/>
                    <w:bottom w:val="none" w:sz="0" w:space="0" w:color="auto"/>
                    <w:right w:val="none" w:sz="0" w:space="0" w:color="auto"/>
                  </w:divBdr>
                  <w:divsChild>
                    <w:div w:id="64285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10413">
      <w:bodyDiv w:val="1"/>
      <w:marLeft w:val="0"/>
      <w:marRight w:val="0"/>
      <w:marTop w:val="0"/>
      <w:marBottom w:val="0"/>
      <w:divBdr>
        <w:top w:val="none" w:sz="0" w:space="0" w:color="auto"/>
        <w:left w:val="none" w:sz="0" w:space="0" w:color="auto"/>
        <w:bottom w:val="none" w:sz="0" w:space="0" w:color="auto"/>
        <w:right w:val="none" w:sz="0" w:space="0" w:color="auto"/>
      </w:divBdr>
    </w:div>
    <w:div w:id="2062557892">
      <w:bodyDiv w:val="1"/>
      <w:marLeft w:val="0"/>
      <w:marRight w:val="0"/>
      <w:marTop w:val="0"/>
      <w:marBottom w:val="0"/>
      <w:divBdr>
        <w:top w:val="none" w:sz="0" w:space="0" w:color="auto"/>
        <w:left w:val="none" w:sz="0" w:space="0" w:color="auto"/>
        <w:bottom w:val="none" w:sz="0" w:space="0" w:color="auto"/>
        <w:right w:val="none" w:sz="0" w:space="0" w:color="auto"/>
      </w:divBdr>
    </w:div>
    <w:div w:id="2062628935">
      <w:bodyDiv w:val="1"/>
      <w:marLeft w:val="0"/>
      <w:marRight w:val="0"/>
      <w:marTop w:val="0"/>
      <w:marBottom w:val="0"/>
      <w:divBdr>
        <w:top w:val="none" w:sz="0" w:space="0" w:color="auto"/>
        <w:left w:val="none" w:sz="0" w:space="0" w:color="auto"/>
        <w:bottom w:val="none" w:sz="0" w:space="0" w:color="auto"/>
        <w:right w:val="none" w:sz="0" w:space="0" w:color="auto"/>
      </w:divBdr>
    </w:div>
    <w:div w:id="2062632243">
      <w:bodyDiv w:val="1"/>
      <w:marLeft w:val="0"/>
      <w:marRight w:val="0"/>
      <w:marTop w:val="0"/>
      <w:marBottom w:val="0"/>
      <w:divBdr>
        <w:top w:val="none" w:sz="0" w:space="0" w:color="auto"/>
        <w:left w:val="none" w:sz="0" w:space="0" w:color="auto"/>
        <w:bottom w:val="none" w:sz="0" w:space="0" w:color="auto"/>
        <w:right w:val="none" w:sz="0" w:space="0" w:color="auto"/>
      </w:divBdr>
    </w:div>
    <w:div w:id="2062746184">
      <w:bodyDiv w:val="1"/>
      <w:marLeft w:val="0"/>
      <w:marRight w:val="0"/>
      <w:marTop w:val="0"/>
      <w:marBottom w:val="0"/>
      <w:divBdr>
        <w:top w:val="none" w:sz="0" w:space="0" w:color="auto"/>
        <w:left w:val="none" w:sz="0" w:space="0" w:color="auto"/>
        <w:bottom w:val="none" w:sz="0" w:space="0" w:color="auto"/>
        <w:right w:val="none" w:sz="0" w:space="0" w:color="auto"/>
      </w:divBdr>
    </w:div>
    <w:div w:id="2062822470">
      <w:bodyDiv w:val="1"/>
      <w:marLeft w:val="0"/>
      <w:marRight w:val="0"/>
      <w:marTop w:val="0"/>
      <w:marBottom w:val="0"/>
      <w:divBdr>
        <w:top w:val="none" w:sz="0" w:space="0" w:color="auto"/>
        <w:left w:val="none" w:sz="0" w:space="0" w:color="auto"/>
        <w:bottom w:val="none" w:sz="0" w:space="0" w:color="auto"/>
        <w:right w:val="none" w:sz="0" w:space="0" w:color="auto"/>
      </w:divBdr>
    </w:div>
    <w:div w:id="2063481236">
      <w:bodyDiv w:val="1"/>
      <w:marLeft w:val="0"/>
      <w:marRight w:val="0"/>
      <w:marTop w:val="0"/>
      <w:marBottom w:val="0"/>
      <w:divBdr>
        <w:top w:val="none" w:sz="0" w:space="0" w:color="auto"/>
        <w:left w:val="none" w:sz="0" w:space="0" w:color="auto"/>
        <w:bottom w:val="none" w:sz="0" w:space="0" w:color="auto"/>
        <w:right w:val="none" w:sz="0" w:space="0" w:color="auto"/>
      </w:divBdr>
      <w:divsChild>
        <w:div w:id="122624976">
          <w:marLeft w:val="0"/>
          <w:marRight w:val="0"/>
          <w:marTop w:val="0"/>
          <w:marBottom w:val="0"/>
          <w:divBdr>
            <w:top w:val="none" w:sz="0" w:space="0" w:color="auto"/>
            <w:left w:val="none" w:sz="0" w:space="0" w:color="auto"/>
            <w:bottom w:val="none" w:sz="0" w:space="0" w:color="auto"/>
            <w:right w:val="none" w:sz="0" w:space="0" w:color="auto"/>
          </w:divBdr>
          <w:divsChild>
            <w:div w:id="845436537">
              <w:marLeft w:val="0"/>
              <w:marRight w:val="0"/>
              <w:marTop w:val="0"/>
              <w:marBottom w:val="0"/>
              <w:divBdr>
                <w:top w:val="none" w:sz="0" w:space="0" w:color="auto"/>
                <w:left w:val="none" w:sz="0" w:space="0" w:color="auto"/>
                <w:bottom w:val="none" w:sz="0" w:space="0" w:color="auto"/>
                <w:right w:val="none" w:sz="0" w:space="0" w:color="auto"/>
              </w:divBdr>
              <w:divsChild>
                <w:div w:id="575869204">
                  <w:marLeft w:val="0"/>
                  <w:marRight w:val="0"/>
                  <w:marTop w:val="0"/>
                  <w:marBottom w:val="0"/>
                  <w:divBdr>
                    <w:top w:val="none" w:sz="0" w:space="0" w:color="auto"/>
                    <w:left w:val="none" w:sz="0" w:space="0" w:color="auto"/>
                    <w:bottom w:val="none" w:sz="0" w:space="0" w:color="auto"/>
                    <w:right w:val="none" w:sz="0" w:space="0" w:color="auto"/>
                  </w:divBdr>
                  <w:divsChild>
                    <w:div w:id="97178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865102">
      <w:bodyDiv w:val="1"/>
      <w:marLeft w:val="0"/>
      <w:marRight w:val="0"/>
      <w:marTop w:val="0"/>
      <w:marBottom w:val="0"/>
      <w:divBdr>
        <w:top w:val="none" w:sz="0" w:space="0" w:color="auto"/>
        <w:left w:val="none" w:sz="0" w:space="0" w:color="auto"/>
        <w:bottom w:val="none" w:sz="0" w:space="0" w:color="auto"/>
        <w:right w:val="none" w:sz="0" w:space="0" w:color="auto"/>
      </w:divBdr>
    </w:div>
    <w:div w:id="2064018612">
      <w:bodyDiv w:val="1"/>
      <w:marLeft w:val="0"/>
      <w:marRight w:val="0"/>
      <w:marTop w:val="0"/>
      <w:marBottom w:val="0"/>
      <w:divBdr>
        <w:top w:val="none" w:sz="0" w:space="0" w:color="auto"/>
        <w:left w:val="none" w:sz="0" w:space="0" w:color="auto"/>
        <w:bottom w:val="none" w:sz="0" w:space="0" w:color="auto"/>
        <w:right w:val="none" w:sz="0" w:space="0" w:color="auto"/>
      </w:divBdr>
    </w:div>
    <w:div w:id="2064132858">
      <w:bodyDiv w:val="1"/>
      <w:marLeft w:val="0"/>
      <w:marRight w:val="0"/>
      <w:marTop w:val="0"/>
      <w:marBottom w:val="0"/>
      <w:divBdr>
        <w:top w:val="none" w:sz="0" w:space="0" w:color="auto"/>
        <w:left w:val="none" w:sz="0" w:space="0" w:color="auto"/>
        <w:bottom w:val="none" w:sz="0" w:space="0" w:color="auto"/>
        <w:right w:val="none" w:sz="0" w:space="0" w:color="auto"/>
      </w:divBdr>
    </w:div>
    <w:div w:id="2065903303">
      <w:bodyDiv w:val="1"/>
      <w:marLeft w:val="0"/>
      <w:marRight w:val="0"/>
      <w:marTop w:val="0"/>
      <w:marBottom w:val="0"/>
      <w:divBdr>
        <w:top w:val="none" w:sz="0" w:space="0" w:color="auto"/>
        <w:left w:val="none" w:sz="0" w:space="0" w:color="auto"/>
        <w:bottom w:val="none" w:sz="0" w:space="0" w:color="auto"/>
        <w:right w:val="none" w:sz="0" w:space="0" w:color="auto"/>
      </w:divBdr>
    </w:div>
    <w:div w:id="2065983401">
      <w:bodyDiv w:val="1"/>
      <w:marLeft w:val="0"/>
      <w:marRight w:val="0"/>
      <w:marTop w:val="0"/>
      <w:marBottom w:val="0"/>
      <w:divBdr>
        <w:top w:val="none" w:sz="0" w:space="0" w:color="auto"/>
        <w:left w:val="none" w:sz="0" w:space="0" w:color="auto"/>
        <w:bottom w:val="none" w:sz="0" w:space="0" w:color="auto"/>
        <w:right w:val="none" w:sz="0" w:space="0" w:color="auto"/>
      </w:divBdr>
    </w:div>
    <w:div w:id="2065985796">
      <w:bodyDiv w:val="1"/>
      <w:marLeft w:val="0"/>
      <w:marRight w:val="0"/>
      <w:marTop w:val="0"/>
      <w:marBottom w:val="0"/>
      <w:divBdr>
        <w:top w:val="none" w:sz="0" w:space="0" w:color="auto"/>
        <w:left w:val="none" w:sz="0" w:space="0" w:color="auto"/>
        <w:bottom w:val="none" w:sz="0" w:space="0" w:color="auto"/>
        <w:right w:val="none" w:sz="0" w:space="0" w:color="auto"/>
      </w:divBdr>
      <w:divsChild>
        <w:div w:id="1434931569">
          <w:marLeft w:val="0"/>
          <w:marRight w:val="0"/>
          <w:marTop w:val="0"/>
          <w:marBottom w:val="0"/>
          <w:divBdr>
            <w:top w:val="none" w:sz="0" w:space="0" w:color="auto"/>
            <w:left w:val="none" w:sz="0" w:space="0" w:color="auto"/>
            <w:bottom w:val="none" w:sz="0" w:space="0" w:color="auto"/>
            <w:right w:val="none" w:sz="0" w:space="0" w:color="auto"/>
          </w:divBdr>
          <w:divsChild>
            <w:div w:id="1851142283">
              <w:marLeft w:val="0"/>
              <w:marRight w:val="0"/>
              <w:marTop w:val="0"/>
              <w:marBottom w:val="0"/>
              <w:divBdr>
                <w:top w:val="none" w:sz="0" w:space="0" w:color="auto"/>
                <w:left w:val="none" w:sz="0" w:space="0" w:color="auto"/>
                <w:bottom w:val="none" w:sz="0" w:space="0" w:color="auto"/>
                <w:right w:val="none" w:sz="0" w:space="0" w:color="auto"/>
              </w:divBdr>
              <w:divsChild>
                <w:div w:id="1488324945">
                  <w:marLeft w:val="0"/>
                  <w:marRight w:val="0"/>
                  <w:marTop w:val="0"/>
                  <w:marBottom w:val="0"/>
                  <w:divBdr>
                    <w:top w:val="none" w:sz="0" w:space="0" w:color="auto"/>
                    <w:left w:val="none" w:sz="0" w:space="0" w:color="auto"/>
                    <w:bottom w:val="none" w:sz="0" w:space="0" w:color="auto"/>
                    <w:right w:val="none" w:sz="0" w:space="0" w:color="auto"/>
                  </w:divBdr>
                  <w:divsChild>
                    <w:div w:id="143748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24531">
      <w:bodyDiv w:val="1"/>
      <w:marLeft w:val="0"/>
      <w:marRight w:val="0"/>
      <w:marTop w:val="0"/>
      <w:marBottom w:val="0"/>
      <w:divBdr>
        <w:top w:val="none" w:sz="0" w:space="0" w:color="auto"/>
        <w:left w:val="none" w:sz="0" w:space="0" w:color="auto"/>
        <w:bottom w:val="none" w:sz="0" w:space="0" w:color="auto"/>
        <w:right w:val="none" w:sz="0" w:space="0" w:color="auto"/>
      </w:divBdr>
    </w:div>
    <w:div w:id="2066030464">
      <w:bodyDiv w:val="1"/>
      <w:marLeft w:val="0"/>
      <w:marRight w:val="0"/>
      <w:marTop w:val="0"/>
      <w:marBottom w:val="0"/>
      <w:divBdr>
        <w:top w:val="none" w:sz="0" w:space="0" w:color="auto"/>
        <w:left w:val="none" w:sz="0" w:space="0" w:color="auto"/>
        <w:bottom w:val="none" w:sz="0" w:space="0" w:color="auto"/>
        <w:right w:val="none" w:sz="0" w:space="0" w:color="auto"/>
      </w:divBdr>
    </w:div>
    <w:div w:id="2066416761">
      <w:bodyDiv w:val="1"/>
      <w:marLeft w:val="0"/>
      <w:marRight w:val="0"/>
      <w:marTop w:val="0"/>
      <w:marBottom w:val="0"/>
      <w:divBdr>
        <w:top w:val="none" w:sz="0" w:space="0" w:color="auto"/>
        <w:left w:val="none" w:sz="0" w:space="0" w:color="auto"/>
        <w:bottom w:val="none" w:sz="0" w:space="0" w:color="auto"/>
        <w:right w:val="none" w:sz="0" w:space="0" w:color="auto"/>
      </w:divBdr>
    </w:div>
    <w:div w:id="2066835434">
      <w:bodyDiv w:val="1"/>
      <w:marLeft w:val="0"/>
      <w:marRight w:val="0"/>
      <w:marTop w:val="0"/>
      <w:marBottom w:val="0"/>
      <w:divBdr>
        <w:top w:val="none" w:sz="0" w:space="0" w:color="auto"/>
        <w:left w:val="none" w:sz="0" w:space="0" w:color="auto"/>
        <w:bottom w:val="none" w:sz="0" w:space="0" w:color="auto"/>
        <w:right w:val="none" w:sz="0" w:space="0" w:color="auto"/>
      </w:divBdr>
    </w:div>
    <w:div w:id="2067530190">
      <w:bodyDiv w:val="1"/>
      <w:marLeft w:val="0"/>
      <w:marRight w:val="0"/>
      <w:marTop w:val="0"/>
      <w:marBottom w:val="0"/>
      <w:divBdr>
        <w:top w:val="none" w:sz="0" w:space="0" w:color="auto"/>
        <w:left w:val="none" w:sz="0" w:space="0" w:color="auto"/>
        <w:bottom w:val="none" w:sz="0" w:space="0" w:color="auto"/>
        <w:right w:val="none" w:sz="0" w:space="0" w:color="auto"/>
      </w:divBdr>
    </w:div>
    <w:div w:id="2069911145">
      <w:bodyDiv w:val="1"/>
      <w:marLeft w:val="0"/>
      <w:marRight w:val="0"/>
      <w:marTop w:val="0"/>
      <w:marBottom w:val="0"/>
      <w:divBdr>
        <w:top w:val="none" w:sz="0" w:space="0" w:color="auto"/>
        <w:left w:val="none" w:sz="0" w:space="0" w:color="auto"/>
        <w:bottom w:val="none" w:sz="0" w:space="0" w:color="auto"/>
        <w:right w:val="none" w:sz="0" w:space="0" w:color="auto"/>
      </w:divBdr>
    </w:div>
    <w:div w:id="2070103628">
      <w:bodyDiv w:val="1"/>
      <w:marLeft w:val="0"/>
      <w:marRight w:val="0"/>
      <w:marTop w:val="0"/>
      <w:marBottom w:val="0"/>
      <w:divBdr>
        <w:top w:val="none" w:sz="0" w:space="0" w:color="auto"/>
        <w:left w:val="none" w:sz="0" w:space="0" w:color="auto"/>
        <w:bottom w:val="none" w:sz="0" w:space="0" w:color="auto"/>
        <w:right w:val="none" w:sz="0" w:space="0" w:color="auto"/>
      </w:divBdr>
    </w:div>
    <w:div w:id="2070178799">
      <w:bodyDiv w:val="1"/>
      <w:marLeft w:val="0"/>
      <w:marRight w:val="0"/>
      <w:marTop w:val="0"/>
      <w:marBottom w:val="0"/>
      <w:divBdr>
        <w:top w:val="none" w:sz="0" w:space="0" w:color="auto"/>
        <w:left w:val="none" w:sz="0" w:space="0" w:color="auto"/>
        <w:bottom w:val="none" w:sz="0" w:space="0" w:color="auto"/>
        <w:right w:val="none" w:sz="0" w:space="0" w:color="auto"/>
      </w:divBdr>
    </w:div>
    <w:div w:id="2070179112">
      <w:bodyDiv w:val="1"/>
      <w:marLeft w:val="0"/>
      <w:marRight w:val="0"/>
      <w:marTop w:val="0"/>
      <w:marBottom w:val="0"/>
      <w:divBdr>
        <w:top w:val="none" w:sz="0" w:space="0" w:color="auto"/>
        <w:left w:val="none" w:sz="0" w:space="0" w:color="auto"/>
        <w:bottom w:val="none" w:sz="0" w:space="0" w:color="auto"/>
        <w:right w:val="none" w:sz="0" w:space="0" w:color="auto"/>
      </w:divBdr>
    </w:div>
    <w:div w:id="2070762727">
      <w:bodyDiv w:val="1"/>
      <w:marLeft w:val="0"/>
      <w:marRight w:val="0"/>
      <w:marTop w:val="0"/>
      <w:marBottom w:val="0"/>
      <w:divBdr>
        <w:top w:val="none" w:sz="0" w:space="0" w:color="auto"/>
        <w:left w:val="none" w:sz="0" w:space="0" w:color="auto"/>
        <w:bottom w:val="none" w:sz="0" w:space="0" w:color="auto"/>
        <w:right w:val="none" w:sz="0" w:space="0" w:color="auto"/>
      </w:divBdr>
    </w:div>
    <w:div w:id="2071804315">
      <w:bodyDiv w:val="1"/>
      <w:marLeft w:val="0"/>
      <w:marRight w:val="0"/>
      <w:marTop w:val="0"/>
      <w:marBottom w:val="0"/>
      <w:divBdr>
        <w:top w:val="none" w:sz="0" w:space="0" w:color="auto"/>
        <w:left w:val="none" w:sz="0" w:space="0" w:color="auto"/>
        <w:bottom w:val="none" w:sz="0" w:space="0" w:color="auto"/>
        <w:right w:val="none" w:sz="0" w:space="0" w:color="auto"/>
      </w:divBdr>
      <w:divsChild>
        <w:div w:id="128547775">
          <w:marLeft w:val="0"/>
          <w:marRight w:val="0"/>
          <w:marTop w:val="0"/>
          <w:marBottom w:val="0"/>
          <w:divBdr>
            <w:top w:val="none" w:sz="0" w:space="0" w:color="auto"/>
            <w:left w:val="none" w:sz="0" w:space="0" w:color="auto"/>
            <w:bottom w:val="none" w:sz="0" w:space="0" w:color="auto"/>
            <w:right w:val="none" w:sz="0" w:space="0" w:color="auto"/>
          </w:divBdr>
          <w:divsChild>
            <w:div w:id="1147863357">
              <w:marLeft w:val="0"/>
              <w:marRight w:val="0"/>
              <w:marTop w:val="0"/>
              <w:marBottom w:val="0"/>
              <w:divBdr>
                <w:top w:val="none" w:sz="0" w:space="0" w:color="auto"/>
                <w:left w:val="none" w:sz="0" w:space="0" w:color="auto"/>
                <w:bottom w:val="none" w:sz="0" w:space="0" w:color="auto"/>
                <w:right w:val="none" w:sz="0" w:space="0" w:color="auto"/>
              </w:divBdr>
              <w:divsChild>
                <w:div w:id="303975398">
                  <w:marLeft w:val="0"/>
                  <w:marRight w:val="0"/>
                  <w:marTop w:val="0"/>
                  <w:marBottom w:val="0"/>
                  <w:divBdr>
                    <w:top w:val="none" w:sz="0" w:space="0" w:color="auto"/>
                    <w:left w:val="none" w:sz="0" w:space="0" w:color="auto"/>
                    <w:bottom w:val="none" w:sz="0" w:space="0" w:color="auto"/>
                    <w:right w:val="none" w:sz="0" w:space="0" w:color="auto"/>
                  </w:divBdr>
                  <w:divsChild>
                    <w:div w:id="208564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882179">
      <w:bodyDiv w:val="1"/>
      <w:marLeft w:val="0"/>
      <w:marRight w:val="0"/>
      <w:marTop w:val="0"/>
      <w:marBottom w:val="0"/>
      <w:divBdr>
        <w:top w:val="none" w:sz="0" w:space="0" w:color="auto"/>
        <w:left w:val="none" w:sz="0" w:space="0" w:color="auto"/>
        <w:bottom w:val="none" w:sz="0" w:space="0" w:color="auto"/>
        <w:right w:val="none" w:sz="0" w:space="0" w:color="auto"/>
      </w:divBdr>
    </w:div>
    <w:div w:id="2071953057">
      <w:bodyDiv w:val="1"/>
      <w:marLeft w:val="0"/>
      <w:marRight w:val="0"/>
      <w:marTop w:val="0"/>
      <w:marBottom w:val="0"/>
      <w:divBdr>
        <w:top w:val="none" w:sz="0" w:space="0" w:color="auto"/>
        <w:left w:val="none" w:sz="0" w:space="0" w:color="auto"/>
        <w:bottom w:val="none" w:sz="0" w:space="0" w:color="auto"/>
        <w:right w:val="none" w:sz="0" w:space="0" w:color="auto"/>
      </w:divBdr>
    </w:div>
    <w:div w:id="2072650412">
      <w:bodyDiv w:val="1"/>
      <w:marLeft w:val="0"/>
      <w:marRight w:val="0"/>
      <w:marTop w:val="0"/>
      <w:marBottom w:val="0"/>
      <w:divBdr>
        <w:top w:val="none" w:sz="0" w:space="0" w:color="auto"/>
        <w:left w:val="none" w:sz="0" w:space="0" w:color="auto"/>
        <w:bottom w:val="none" w:sz="0" w:space="0" w:color="auto"/>
        <w:right w:val="none" w:sz="0" w:space="0" w:color="auto"/>
      </w:divBdr>
    </w:div>
    <w:div w:id="2073431169">
      <w:bodyDiv w:val="1"/>
      <w:marLeft w:val="0"/>
      <w:marRight w:val="0"/>
      <w:marTop w:val="0"/>
      <w:marBottom w:val="0"/>
      <w:divBdr>
        <w:top w:val="none" w:sz="0" w:space="0" w:color="auto"/>
        <w:left w:val="none" w:sz="0" w:space="0" w:color="auto"/>
        <w:bottom w:val="none" w:sz="0" w:space="0" w:color="auto"/>
        <w:right w:val="none" w:sz="0" w:space="0" w:color="auto"/>
      </w:divBdr>
      <w:divsChild>
        <w:div w:id="1540311859">
          <w:marLeft w:val="0"/>
          <w:marRight w:val="0"/>
          <w:marTop w:val="0"/>
          <w:marBottom w:val="0"/>
          <w:divBdr>
            <w:top w:val="none" w:sz="0" w:space="0" w:color="auto"/>
            <w:left w:val="none" w:sz="0" w:space="0" w:color="auto"/>
            <w:bottom w:val="none" w:sz="0" w:space="0" w:color="auto"/>
            <w:right w:val="none" w:sz="0" w:space="0" w:color="auto"/>
          </w:divBdr>
          <w:divsChild>
            <w:div w:id="1969703573">
              <w:marLeft w:val="0"/>
              <w:marRight w:val="0"/>
              <w:marTop w:val="0"/>
              <w:marBottom w:val="0"/>
              <w:divBdr>
                <w:top w:val="none" w:sz="0" w:space="0" w:color="auto"/>
                <w:left w:val="none" w:sz="0" w:space="0" w:color="auto"/>
                <w:bottom w:val="none" w:sz="0" w:space="0" w:color="auto"/>
                <w:right w:val="none" w:sz="0" w:space="0" w:color="auto"/>
              </w:divBdr>
              <w:divsChild>
                <w:div w:id="661544192">
                  <w:marLeft w:val="0"/>
                  <w:marRight w:val="0"/>
                  <w:marTop w:val="0"/>
                  <w:marBottom w:val="0"/>
                  <w:divBdr>
                    <w:top w:val="none" w:sz="0" w:space="0" w:color="auto"/>
                    <w:left w:val="none" w:sz="0" w:space="0" w:color="auto"/>
                    <w:bottom w:val="none" w:sz="0" w:space="0" w:color="auto"/>
                    <w:right w:val="none" w:sz="0" w:space="0" w:color="auto"/>
                  </w:divBdr>
                  <w:divsChild>
                    <w:div w:id="184929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887319">
      <w:bodyDiv w:val="1"/>
      <w:marLeft w:val="0"/>
      <w:marRight w:val="0"/>
      <w:marTop w:val="0"/>
      <w:marBottom w:val="0"/>
      <w:divBdr>
        <w:top w:val="none" w:sz="0" w:space="0" w:color="auto"/>
        <w:left w:val="none" w:sz="0" w:space="0" w:color="auto"/>
        <w:bottom w:val="none" w:sz="0" w:space="0" w:color="auto"/>
        <w:right w:val="none" w:sz="0" w:space="0" w:color="auto"/>
      </w:divBdr>
    </w:div>
    <w:div w:id="2076731590">
      <w:bodyDiv w:val="1"/>
      <w:marLeft w:val="0"/>
      <w:marRight w:val="0"/>
      <w:marTop w:val="0"/>
      <w:marBottom w:val="0"/>
      <w:divBdr>
        <w:top w:val="none" w:sz="0" w:space="0" w:color="auto"/>
        <w:left w:val="none" w:sz="0" w:space="0" w:color="auto"/>
        <w:bottom w:val="none" w:sz="0" w:space="0" w:color="auto"/>
        <w:right w:val="none" w:sz="0" w:space="0" w:color="auto"/>
      </w:divBdr>
    </w:div>
    <w:div w:id="2078626756">
      <w:bodyDiv w:val="1"/>
      <w:marLeft w:val="0"/>
      <w:marRight w:val="0"/>
      <w:marTop w:val="0"/>
      <w:marBottom w:val="0"/>
      <w:divBdr>
        <w:top w:val="none" w:sz="0" w:space="0" w:color="auto"/>
        <w:left w:val="none" w:sz="0" w:space="0" w:color="auto"/>
        <w:bottom w:val="none" w:sz="0" w:space="0" w:color="auto"/>
        <w:right w:val="none" w:sz="0" w:space="0" w:color="auto"/>
      </w:divBdr>
    </w:div>
    <w:div w:id="2078673963">
      <w:bodyDiv w:val="1"/>
      <w:marLeft w:val="0"/>
      <w:marRight w:val="0"/>
      <w:marTop w:val="0"/>
      <w:marBottom w:val="0"/>
      <w:divBdr>
        <w:top w:val="none" w:sz="0" w:space="0" w:color="auto"/>
        <w:left w:val="none" w:sz="0" w:space="0" w:color="auto"/>
        <w:bottom w:val="none" w:sz="0" w:space="0" w:color="auto"/>
        <w:right w:val="none" w:sz="0" w:space="0" w:color="auto"/>
      </w:divBdr>
    </w:div>
    <w:div w:id="2078816602">
      <w:bodyDiv w:val="1"/>
      <w:marLeft w:val="0"/>
      <w:marRight w:val="0"/>
      <w:marTop w:val="0"/>
      <w:marBottom w:val="0"/>
      <w:divBdr>
        <w:top w:val="none" w:sz="0" w:space="0" w:color="auto"/>
        <w:left w:val="none" w:sz="0" w:space="0" w:color="auto"/>
        <w:bottom w:val="none" w:sz="0" w:space="0" w:color="auto"/>
        <w:right w:val="none" w:sz="0" w:space="0" w:color="auto"/>
      </w:divBdr>
    </w:div>
    <w:div w:id="2079131140">
      <w:bodyDiv w:val="1"/>
      <w:marLeft w:val="0"/>
      <w:marRight w:val="0"/>
      <w:marTop w:val="0"/>
      <w:marBottom w:val="0"/>
      <w:divBdr>
        <w:top w:val="none" w:sz="0" w:space="0" w:color="auto"/>
        <w:left w:val="none" w:sz="0" w:space="0" w:color="auto"/>
        <w:bottom w:val="none" w:sz="0" w:space="0" w:color="auto"/>
        <w:right w:val="none" w:sz="0" w:space="0" w:color="auto"/>
      </w:divBdr>
    </w:div>
    <w:div w:id="2079589325">
      <w:bodyDiv w:val="1"/>
      <w:marLeft w:val="0"/>
      <w:marRight w:val="0"/>
      <w:marTop w:val="0"/>
      <w:marBottom w:val="0"/>
      <w:divBdr>
        <w:top w:val="none" w:sz="0" w:space="0" w:color="auto"/>
        <w:left w:val="none" w:sz="0" w:space="0" w:color="auto"/>
        <w:bottom w:val="none" w:sz="0" w:space="0" w:color="auto"/>
        <w:right w:val="none" w:sz="0" w:space="0" w:color="auto"/>
      </w:divBdr>
    </w:div>
    <w:div w:id="2080593667">
      <w:bodyDiv w:val="1"/>
      <w:marLeft w:val="0"/>
      <w:marRight w:val="0"/>
      <w:marTop w:val="0"/>
      <w:marBottom w:val="0"/>
      <w:divBdr>
        <w:top w:val="none" w:sz="0" w:space="0" w:color="auto"/>
        <w:left w:val="none" w:sz="0" w:space="0" w:color="auto"/>
        <w:bottom w:val="none" w:sz="0" w:space="0" w:color="auto"/>
        <w:right w:val="none" w:sz="0" w:space="0" w:color="auto"/>
      </w:divBdr>
    </w:div>
    <w:div w:id="2081056778">
      <w:bodyDiv w:val="1"/>
      <w:marLeft w:val="0"/>
      <w:marRight w:val="0"/>
      <w:marTop w:val="0"/>
      <w:marBottom w:val="0"/>
      <w:divBdr>
        <w:top w:val="none" w:sz="0" w:space="0" w:color="auto"/>
        <w:left w:val="none" w:sz="0" w:space="0" w:color="auto"/>
        <w:bottom w:val="none" w:sz="0" w:space="0" w:color="auto"/>
        <w:right w:val="none" w:sz="0" w:space="0" w:color="auto"/>
      </w:divBdr>
    </w:div>
    <w:div w:id="2081781060">
      <w:bodyDiv w:val="1"/>
      <w:marLeft w:val="0"/>
      <w:marRight w:val="0"/>
      <w:marTop w:val="0"/>
      <w:marBottom w:val="0"/>
      <w:divBdr>
        <w:top w:val="none" w:sz="0" w:space="0" w:color="auto"/>
        <w:left w:val="none" w:sz="0" w:space="0" w:color="auto"/>
        <w:bottom w:val="none" w:sz="0" w:space="0" w:color="auto"/>
        <w:right w:val="none" w:sz="0" w:space="0" w:color="auto"/>
      </w:divBdr>
    </w:div>
    <w:div w:id="2082218465">
      <w:bodyDiv w:val="1"/>
      <w:marLeft w:val="0"/>
      <w:marRight w:val="0"/>
      <w:marTop w:val="0"/>
      <w:marBottom w:val="0"/>
      <w:divBdr>
        <w:top w:val="none" w:sz="0" w:space="0" w:color="auto"/>
        <w:left w:val="none" w:sz="0" w:space="0" w:color="auto"/>
        <w:bottom w:val="none" w:sz="0" w:space="0" w:color="auto"/>
        <w:right w:val="none" w:sz="0" w:space="0" w:color="auto"/>
      </w:divBdr>
    </w:div>
    <w:div w:id="2083672195">
      <w:bodyDiv w:val="1"/>
      <w:marLeft w:val="0"/>
      <w:marRight w:val="0"/>
      <w:marTop w:val="0"/>
      <w:marBottom w:val="0"/>
      <w:divBdr>
        <w:top w:val="none" w:sz="0" w:space="0" w:color="auto"/>
        <w:left w:val="none" w:sz="0" w:space="0" w:color="auto"/>
        <w:bottom w:val="none" w:sz="0" w:space="0" w:color="auto"/>
        <w:right w:val="none" w:sz="0" w:space="0" w:color="auto"/>
      </w:divBdr>
      <w:divsChild>
        <w:div w:id="1788885903">
          <w:marLeft w:val="0"/>
          <w:marRight w:val="0"/>
          <w:marTop w:val="0"/>
          <w:marBottom w:val="0"/>
          <w:divBdr>
            <w:top w:val="none" w:sz="0" w:space="0" w:color="auto"/>
            <w:left w:val="none" w:sz="0" w:space="0" w:color="auto"/>
            <w:bottom w:val="none" w:sz="0" w:space="0" w:color="auto"/>
            <w:right w:val="none" w:sz="0" w:space="0" w:color="auto"/>
          </w:divBdr>
          <w:divsChild>
            <w:div w:id="808790996">
              <w:marLeft w:val="0"/>
              <w:marRight w:val="0"/>
              <w:marTop w:val="0"/>
              <w:marBottom w:val="0"/>
              <w:divBdr>
                <w:top w:val="none" w:sz="0" w:space="0" w:color="auto"/>
                <w:left w:val="none" w:sz="0" w:space="0" w:color="auto"/>
                <w:bottom w:val="none" w:sz="0" w:space="0" w:color="auto"/>
                <w:right w:val="none" w:sz="0" w:space="0" w:color="auto"/>
              </w:divBdr>
              <w:divsChild>
                <w:div w:id="1186410357">
                  <w:marLeft w:val="0"/>
                  <w:marRight w:val="0"/>
                  <w:marTop w:val="0"/>
                  <w:marBottom w:val="0"/>
                  <w:divBdr>
                    <w:top w:val="none" w:sz="0" w:space="0" w:color="auto"/>
                    <w:left w:val="none" w:sz="0" w:space="0" w:color="auto"/>
                    <w:bottom w:val="none" w:sz="0" w:space="0" w:color="auto"/>
                    <w:right w:val="none" w:sz="0" w:space="0" w:color="auto"/>
                  </w:divBdr>
                  <w:divsChild>
                    <w:div w:id="2044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984172">
      <w:bodyDiv w:val="1"/>
      <w:marLeft w:val="0"/>
      <w:marRight w:val="0"/>
      <w:marTop w:val="0"/>
      <w:marBottom w:val="0"/>
      <w:divBdr>
        <w:top w:val="none" w:sz="0" w:space="0" w:color="auto"/>
        <w:left w:val="none" w:sz="0" w:space="0" w:color="auto"/>
        <w:bottom w:val="none" w:sz="0" w:space="0" w:color="auto"/>
        <w:right w:val="none" w:sz="0" w:space="0" w:color="auto"/>
      </w:divBdr>
    </w:div>
    <w:div w:id="2084525670">
      <w:bodyDiv w:val="1"/>
      <w:marLeft w:val="0"/>
      <w:marRight w:val="0"/>
      <w:marTop w:val="0"/>
      <w:marBottom w:val="0"/>
      <w:divBdr>
        <w:top w:val="none" w:sz="0" w:space="0" w:color="auto"/>
        <w:left w:val="none" w:sz="0" w:space="0" w:color="auto"/>
        <w:bottom w:val="none" w:sz="0" w:space="0" w:color="auto"/>
        <w:right w:val="none" w:sz="0" w:space="0" w:color="auto"/>
      </w:divBdr>
    </w:div>
    <w:div w:id="2084644970">
      <w:bodyDiv w:val="1"/>
      <w:marLeft w:val="0"/>
      <w:marRight w:val="0"/>
      <w:marTop w:val="0"/>
      <w:marBottom w:val="0"/>
      <w:divBdr>
        <w:top w:val="none" w:sz="0" w:space="0" w:color="auto"/>
        <w:left w:val="none" w:sz="0" w:space="0" w:color="auto"/>
        <w:bottom w:val="none" w:sz="0" w:space="0" w:color="auto"/>
        <w:right w:val="none" w:sz="0" w:space="0" w:color="auto"/>
      </w:divBdr>
    </w:div>
    <w:div w:id="2084793418">
      <w:bodyDiv w:val="1"/>
      <w:marLeft w:val="0"/>
      <w:marRight w:val="0"/>
      <w:marTop w:val="0"/>
      <w:marBottom w:val="0"/>
      <w:divBdr>
        <w:top w:val="none" w:sz="0" w:space="0" w:color="auto"/>
        <w:left w:val="none" w:sz="0" w:space="0" w:color="auto"/>
        <w:bottom w:val="none" w:sz="0" w:space="0" w:color="auto"/>
        <w:right w:val="none" w:sz="0" w:space="0" w:color="auto"/>
      </w:divBdr>
    </w:div>
    <w:div w:id="2084836851">
      <w:bodyDiv w:val="1"/>
      <w:marLeft w:val="0"/>
      <w:marRight w:val="0"/>
      <w:marTop w:val="0"/>
      <w:marBottom w:val="0"/>
      <w:divBdr>
        <w:top w:val="none" w:sz="0" w:space="0" w:color="auto"/>
        <w:left w:val="none" w:sz="0" w:space="0" w:color="auto"/>
        <w:bottom w:val="none" w:sz="0" w:space="0" w:color="auto"/>
        <w:right w:val="none" w:sz="0" w:space="0" w:color="auto"/>
      </w:divBdr>
    </w:div>
    <w:div w:id="2084914056">
      <w:bodyDiv w:val="1"/>
      <w:marLeft w:val="0"/>
      <w:marRight w:val="0"/>
      <w:marTop w:val="0"/>
      <w:marBottom w:val="0"/>
      <w:divBdr>
        <w:top w:val="none" w:sz="0" w:space="0" w:color="auto"/>
        <w:left w:val="none" w:sz="0" w:space="0" w:color="auto"/>
        <w:bottom w:val="none" w:sz="0" w:space="0" w:color="auto"/>
        <w:right w:val="none" w:sz="0" w:space="0" w:color="auto"/>
      </w:divBdr>
    </w:div>
    <w:div w:id="2085031668">
      <w:bodyDiv w:val="1"/>
      <w:marLeft w:val="0"/>
      <w:marRight w:val="0"/>
      <w:marTop w:val="0"/>
      <w:marBottom w:val="0"/>
      <w:divBdr>
        <w:top w:val="none" w:sz="0" w:space="0" w:color="auto"/>
        <w:left w:val="none" w:sz="0" w:space="0" w:color="auto"/>
        <w:bottom w:val="none" w:sz="0" w:space="0" w:color="auto"/>
        <w:right w:val="none" w:sz="0" w:space="0" w:color="auto"/>
      </w:divBdr>
    </w:div>
    <w:div w:id="2085099833">
      <w:bodyDiv w:val="1"/>
      <w:marLeft w:val="0"/>
      <w:marRight w:val="0"/>
      <w:marTop w:val="0"/>
      <w:marBottom w:val="0"/>
      <w:divBdr>
        <w:top w:val="none" w:sz="0" w:space="0" w:color="auto"/>
        <w:left w:val="none" w:sz="0" w:space="0" w:color="auto"/>
        <w:bottom w:val="none" w:sz="0" w:space="0" w:color="auto"/>
        <w:right w:val="none" w:sz="0" w:space="0" w:color="auto"/>
      </w:divBdr>
    </w:div>
    <w:div w:id="2086030101">
      <w:bodyDiv w:val="1"/>
      <w:marLeft w:val="0"/>
      <w:marRight w:val="0"/>
      <w:marTop w:val="0"/>
      <w:marBottom w:val="0"/>
      <w:divBdr>
        <w:top w:val="none" w:sz="0" w:space="0" w:color="auto"/>
        <w:left w:val="none" w:sz="0" w:space="0" w:color="auto"/>
        <w:bottom w:val="none" w:sz="0" w:space="0" w:color="auto"/>
        <w:right w:val="none" w:sz="0" w:space="0" w:color="auto"/>
      </w:divBdr>
    </w:div>
    <w:div w:id="2086099497">
      <w:bodyDiv w:val="1"/>
      <w:marLeft w:val="0"/>
      <w:marRight w:val="0"/>
      <w:marTop w:val="0"/>
      <w:marBottom w:val="0"/>
      <w:divBdr>
        <w:top w:val="none" w:sz="0" w:space="0" w:color="auto"/>
        <w:left w:val="none" w:sz="0" w:space="0" w:color="auto"/>
        <w:bottom w:val="none" w:sz="0" w:space="0" w:color="auto"/>
        <w:right w:val="none" w:sz="0" w:space="0" w:color="auto"/>
      </w:divBdr>
    </w:div>
    <w:div w:id="2086146457">
      <w:bodyDiv w:val="1"/>
      <w:marLeft w:val="0"/>
      <w:marRight w:val="0"/>
      <w:marTop w:val="0"/>
      <w:marBottom w:val="0"/>
      <w:divBdr>
        <w:top w:val="none" w:sz="0" w:space="0" w:color="auto"/>
        <w:left w:val="none" w:sz="0" w:space="0" w:color="auto"/>
        <w:bottom w:val="none" w:sz="0" w:space="0" w:color="auto"/>
        <w:right w:val="none" w:sz="0" w:space="0" w:color="auto"/>
      </w:divBdr>
    </w:div>
    <w:div w:id="2086487920">
      <w:bodyDiv w:val="1"/>
      <w:marLeft w:val="0"/>
      <w:marRight w:val="0"/>
      <w:marTop w:val="0"/>
      <w:marBottom w:val="0"/>
      <w:divBdr>
        <w:top w:val="none" w:sz="0" w:space="0" w:color="auto"/>
        <w:left w:val="none" w:sz="0" w:space="0" w:color="auto"/>
        <w:bottom w:val="none" w:sz="0" w:space="0" w:color="auto"/>
        <w:right w:val="none" w:sz="0" w:space="0" w:color="auto"/>
      </w:divBdr>
    </w:div>
    <w:div w:id="2086685032">
      <w:bodyDiv w:val="1"/>
      <w:marLeft w:val="0"/>
      <w:marRight w:val="0"/>
      <w:marTop w:val="0"/>
      <w:marBottom w:val="0"/>
      <w:divBdr>
        <w:top w:val="none" w:sz="0" w:space="0" w:color="auto"/>
        <w:left w:val="none" w:sz="0" w:space="0" w:color="auto"/>
        <w:bottom w:val="none" w:sz="0" w:space="0" w:color="auto"/>
        <w:right w:val="none" w:sz="0" w:space="0" w:color="auto"/>
      </w:divBdr>
    </w:div>
    <w:div w:id="2087417823">
      <w:bodyDiv w:val="1"/>
      <w:marLeft w:val="0"/>
      <w:marRight w:val="0"/>
      <w:marTop w:val="0"/>
      <w:marBottom w:val="0"/>
      <w:divBdr>
        <w:top w:val="none" w:sz="0" w:space="0" w:color="auto"/>
        <w:left w:val="none" w:sz="0" w:space="0" w:color="auto"/>
        <w:bottom w:val="none" w:sz="0" w:space="0" w:color="auto"/>
        <w:right w:val="none" w:sz="0" w:space="0" w:color="auto"/>
      </w:divBdr>
      <w:divsChild>
        <w:div w:id="719330693">
          <w:marLeft w:val="0"/>
          <w:marRight w:val="0"/>
          <w:marTop w:val="0"/>
          <w:marBottom w:val="0"/>
          <w:divBdr>
            <w:top w:val="none" w:sz="0" w:space="0" w:color="auto"/>
            <w:left w:val="none" w:sz="0" w:space="0" w:color="auto"/>
            <w:bottom w:val="none" w:sz="0" w:space="0" w:color="auto"/>
            <w:right w:val="none" w:sz="0" w:space="0" w:color="auto"/>
          </w:divBdr>
          <w:divsChild>
            <w:div w:id="188567962">
              <w:marLeft w:val="0"/>
              <w:marRight w:val="0"/>
              <w:marTop w:val="0"/>
              <w:marBottom w:val="0"/>
              <w:divBdr>
                <w:top w:val="none" w:sz="0" w:space="0" w:color="auto"/>
                <w:left w:val="none" w:sz="0" w:space="0" w:color="auto"/>
                <w:bottom w:val="none" w:sz="0" w:space="0" w:color="auto"/>
                <w:right w:val="none" w:sz="0" w:space="0" w:color="auto"/>
              </w:divBdr>
              <w:divsChild>
                <w:div w:id="80447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8508">
      <w:bodyDiv w:val="1"/>
      <w:marLeft w:val="0"/>
      <w:marRight w:val="0"/>
      <w:marTop w:val="0"/>
      <w:marBottom w:val="0"/>
      <w:divBdr>
        <w:top w:val="none" w:sz="0" w:space="0" w:color="auto"/>
        <w:left w:val="none" w:sz="0" w:space="0" w:color="auto"/>
        <w:bottom w:val="none" w:sz="0" w:space="0" w:color="auto"/>
        <w:right w:val="none" w:sz="0" w:space="0" w:color="auto"/>
      </w:divBdr>
    </w:div>
    <w:div w:id="2088264307">
      <w:bodyDiv w:val="1"/>
      <w:marLeft w:val="0"/>
      <w:marRight w:val="0"/>
      <w:marTop w:val="0"/>
      <w:marBottom w:val="0"/>
      <w:divBdr>
        <w:top w:val="none" w:sz="0" w:space="0" w:color="auto"/>
        <w:left w:val="none" w:sz="0" w:space="0" w:color="auto"/>
        <w:bottom w:val="none" w:sz="0" w:space="0" w:color="auto"/>
        <w:right w:val="none" w:sz="0" w:space="0" w:color="auto"/>
      </w:divBdr>
    </w:div>
    <w:div w:id="2088452651">
      <w:bodyDiv w:val="1"/>
      <w:marLeft w:val="0"/>
      <w:marRight w:val="0"/>
      <w:marTop w:val="0"/>
      <w:marBottom w:val="0"/>
      <w:divBdr>
        <w:top w:val="none" w:sz="0" w:space="0" w:color="auto"/>
        <w:left w:val="none" w:sz="0" w:space="0" w:color="auto"/>
        <w:bottom w:val="none" w:sz="0" w:space="0" w:color="auto"/>
        <w:right w:val="none" w:sz="0" w:space="0" w:color="auto"/>
      </w:divBdr>
    </w:div>
    <w:div w:id="2089225375">
      <w:bodyDiv w:val="1"/>
      <w:marLeft w:val="0"/>
      <w:marRight w:val="0"/>
      <w:marTop w:val="0"/>
      <w:marBottom w:val="0"/>
      <w:divBdr>
        <w:top w:val="none" w:sz="0" w:space="0" w:color="auto"/>
        <w:left w:val="none" w:sz="0" w:space="0" w:color="auto"/>
        <w:bottom w:val="none" w:sz="0" w:space="0" w:color="auto"/>
        <w:right w:val="none" w:sz="0" w:space="0" w:color="auto"/>
      </w:divBdr>
      <w:divsChild>
        <w:div w:id="561334110">
          <w:marLeft w:val="0"/>
          <w:marRight w:val="0"/>
          <w:marTop w:val="0"/>
          <w:marBottom w:val="0"/>
          <w:divBdr>
            <w:top w:val="none" w:sz="0" w:space="0" w:color="auto"/>
            <w:left w:val="none" w:sz="0" w:space="0" w:color="auto"/>
            <w:bottom w:val="none" w:sz="0" w:space="0" w:color="auto"/>
            <w:right w:val="none" w:sz="0" w:space="0" w:color="auto"/>
          </w:divBdr>
          <w:divsChild>
            <w:div w:id="1442069012">
              <w:marLeft w:val="0"/>
              <w:marRight w:val="0"/>
              <w:marTop w:val="0"/>
              <w:marBottom w:val="0"/>
              <w:divBdr>
                <w:top w:val="none" w:sz="0" w:space="0" w:color="auto"/>
                <w:left w:val="none" w:sz="0" w:space="0" w:color="auto"/>
                <w:bottom w:val="none" w:sz="0" w:space="0" w:color="auto"/>
                <w:right w:val="none" w:sz="0" w:space="0" w:color="auto"/>
              </w:divBdr>
              <w:divsChild>
                <w:div w:id="146433413">
                  <w:marLeft w:val="0"/>
                  <w:marRight w:val="0"/>
                  <w:marTop w:val="0"/>
                  <w:marBottom w:val="0"/>
                  <w:divBdr>
                    <w:top w:val="none" w:sz="0" w:space="0" w:color="auto"/>
                    <w:left w:val="none" w:sz="0" w:space="0" w:color="auto"/>
                    <w:bottom w:val="none" w:sz="0" w:space="0" w:color="auto"/>
                    <w:right w:val="none" w:sz="0" w:space="0" w:color="auto"/>
                  </w:divBdr>
                  <w:divsChild>
                    <w:div w:id="1765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688353">
      <w:bodyDiv w:val="1"/>
      <w:marLeft w:val="0"/>
      <w:marRight w:val="0"/>
      <w:marTop w:val="0"/>
      <w:marBottom w:val="0"/>
      <w:divBdr>
        <w:top w:val="none" w:sz="0" w:space="0" w:color="auto"/>
        <w:left w:val="none" w:sz="0" w:space="0" w:color="auto"/>
        <w:bottom w:val="none" w:sz="0" w:space="0" w:color="auto"/>
        <w:right w:val="none" w:sz="0" w:space="0" w:color="auto"/>
      </w:divBdr>
    </w:div>
    <w:div w:id="2090927731">
      <w:bodyDiv w:val="1"/>
      <w:marLeft w:val="0"/>
      <w:marRight w:val="0"/>
      <w:marTop w:val="0"/>
      <w:marBottom w:val="0"/>
      <w:divBdr>
        <w:top w:val="none" w:sz="0" w:space="0" w:color="auto"/>
        <w:left w:val="none" w:sz="0" w:space="0" w:color="auto"/>
        <w:bottom w:val="none" w:sz="0" w:space="0" w:color="auto"/>
        <w:right w:val="none" w:sz="0" w:space="0" w:color="auto"/>
      </w:divBdr>
    </w:div>
    <w:div w:id="2091122905">
      <w:bodyDiv w:val="1"/>
      <w:marLeft w:val="0"/>
      <w:marRight w:val="0"/>
      <w:marTop w:val="0"/>
      <w:marBottom w:val="0"/>
      <w:divBdr>
        <w:top w:val="none" w:sz="0" w:space="0" w:color="auto"/>
        <w:left w:val="none" w:sz="0" w:space="0" w:color="auto"/>
        <w:bottom w:val="none" w:sz="0" w:space="0" w:color="auto"/>
        <w:right w:val="none" w:sz="0" w:space="0" w:color="auto"/>
      </w:divBdr>
    </w:div>
    <w:div w:id="2091153650">
      <w:bodyDiv w:val="1"/>
      <w:marLeft w:val="0"/>
      <w:marRight w:val="0"/>
      <w:marTop w:val="0"/>
      <w:marBottom w:val="0"/>
      <w:divBdr>
        <w:top w:val="none" w:sz="0" w:space="0" w:color="auto"/>
        <w:left w:val="none" w:sz="0" w:space="0" w:color="auto"/>
        <w:bottom w:val="none" w:sz="0" w:space="0" w:color="auto"/>
        <w:right w:val="none" w:sz="0" w:space="0" w:color="auto"/>
      </w:divBdr>
    </w:div>
    <w:div w:id="2092189360">
      <w:bodyDiv w:val="1"/>
      <w:marLeft w:val="0"/>
      <w:marRight w:val="0"/>
      <w:marTop w:val="0"/>
      <w:marBottom w:val="0"/>
      <w:divBdr>
        <w:top w:val="none" w:sz="0" w:space="0" w:color="auto"/>
        <w:left w:val="none" w:sz="0" w:space="0" w:color="auto"/>
        <w:bottom w:val="none" w:sz="0" w:space="0" w:color="auto"/>
        <w:right w:val="none" w:sz="0" w:space="0" w:color="auto"/>
      </w:divBdr>
      <w:divsChild>
        <w:div w:id="1279071143">
          <w:marLeft w:val="0"/>
          <w:marRight w:val="0"/>
          <w:marTop w:val="0"/>
          <w:marBottom w:val="0"/>
          <w:divBdr>
            <w:top w:val="none" w:sz="0" w:space="0" w:color="auto"/>
            <w:left w:val="none" w:sz="0" w:space="0" w:color="auto"/>
            <w:bottom w:val="none" w:sz="0" w:space="0" w:color="auto"/>
            <w:right w:val="none" w:sz="0" w:space="0" w:color="auto"/>
          </w:divBdr>
          <w:divsChild>
            <w:div w:id="1669140356">
              <w:marLeft w:val="0"/>
              <w:marRight w:val="0"/>
              <w:marTop w:val="0"/>
              <w:marBottom w:val="0"/>
              <w:divBdr>
                <w:top w:val="none" w:sz="0" w:space="0" w:color="auto"/>
                <w:left w:val="none" w:sz="0" w:space="0" w:color="auto"/>
                <w:bottom w:val="none" w:sz="0" w:space="0" w:color="auto"/>
                <w:right w:val="none" w:sz="0" w:space="0" w:color="auto"/>
              </w:divBdr>
              <w:divsChild>
                <w:div w:id="1367608493">
                  <w:marLeft w:val="0"/>
                  <w:marRight w:val="0"/>
                  <w:marTop w:val="0"/>
                  <w:marBottom w:val="0"/>
                  <w:divBdr>
                    <w:top w:val="none" w:sz="0" w:space="0" w:color="auto"/>
                    <w:left w:val="none" w:sz="0" w:space="0" w:color="auto"/>
                    <w:bottom w:val="none" w:sz="0" w:space="0" w:color="auto"/>
                    <w:right w:val="none" w:sz="0" w:space="0" w:color="auto"/>
                  </w:divBdr>
                  <w:divsChild>
                    <w:div w:id="12638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852863">
      <w:bodyDiv w:val="1"/>
      <w:marLeft w:val="0"/>
      <w:marRight w:val="0"/>
      <w:marTop w:val="0"/>
      <w:marBottom w:val="0"/>
      <w:divBdr>
        <w:top w:val="none" w:sz="0" w:space="0" w:color="auto"/>
        <w:left w:val="none" w:sz="0" w:space="0" w:color="auto"/>
        <w:bottom w:val="none" w:sz="0" w:space="0" w:color="auto"/>
        <w:right w:val="none" w:sz="0" w:space="0" w:color="auto"/>
      </w:divBdr>
    </w:div>
    <w:div w:id="2092853603">
      <w:bodyDiv w:val="1"/>
      <w:marLeft w:val="0"/>
      <w:marRight w:val="0"/>
      <w:marTop w:val="0"/>
      <w:marBottom w:val="0"/>
      <w:divBdr>
        <w:top w:val="none" w:sz="0" w:space="0" w:color="auto"/>
        <w:left w:val="none" w:sz="0" w:space="0" w:color="auto"/>
        <w:bottom w:val="none" w:sz="0" w:space="0" w:color="auto"/>
        <w:right w:val="none" w:sz="0" w:space="0" w:color="auto"/>
      </w:divBdr>
      <w:divsChild>
        <w:div w:id="2113284489">
          <w:marLeft w:val="0"/>
          <w:marRight w:val="0"/>
          <w:marTop w:val="0"/>
          <w:marBottom w:val="0"/>
          <w:divBdr>
            <w:top w:val="none" w:sz="0" w:space="0" w:color="auto"/>
            <w:left w:val="none" w:sz="0" w:space="0" w:color="auto"/>
            <w:bottom w:val="none" w:sz="0" w:space="0" w:color="auto"/>
            <w:right w:val="none" w:sz="0" w:space="0" w:color="auto"/>
          </w:divBdr>
          <w:divsChild>
            <w:div w:id="2045324845">
              <w:marLeft w:val="0"/>
              <w:marRight w:val="0"/>
              <w:marTop w:val="0"/>
              <w:marBottom w:val="0"/>
              <w:divBdr>
                <w:top w:val="none" w:sz="0" w:space="0" w:color="auto"/>
                <w:left w:val="none" w:sz="0" w:space="0" w:color="auto"/>
                <w:bottom w:val="none" w:sz="0" w:space="0" w:color="auto"/>
                <w:right w:val="none" w:sz="0" w:space="0" w:color="auto"/>
              </w:divBdr>
              <w:divsChild>
                <w:div w:id="1267083236">
                  <w:marLeft w:val="0"/>
                  <w:marRight w:val="0"/>
                  <w:marTop w:val="0"/>
                  <w:marBottom w:val="0"/>
                  <w:divBdr>
                    <w:top w:val="none" w:sz="0" w:space="0" w:color="auto"/>
                    <w:left w:val="none" w:sz="0" w:space="0" w:color="auto"/>
                    <w:bottom w:val="none" w:sz="0" w:space="0" w:color="auto"/>
                    <w:right w:val="none" w:sz="0" w:space="0" w:color="auto"/>
                  </w:divBdr>
                  <w:divsChild>
                    <w:div w:id="10637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037924">
      <w:bodyDiv w:val="1"/>
      <w:marLeft w:val="0"/>
      <w:marRight w:val="0"/>
      <w:marTop w:val="0"/>
      <w:marBottom w:val="0"/>
      <w:divBdr>
        <w:top w:val="none" w:sz="0" w:space="0" w:color="auto"/>
        <w:left w:val="none" w:sz="0" w:space="0" w:color="auto"/>
        <w:bottom w:val="none" w:sz="0" w:space="0" w:color="auto"/>
        <w:right w:val="none" w:sz="0" w:space="0" w:color="auto"/>
      </w:divBdr>
    </w:div>
    <w:div w:id="2094163233">
      <w:bodyDiv w:val="1"/>
      <w:marLeft w:val="0"/>
      <w:marRight w:val="0"/>
      <w:marTop w:val="0"/>
      <w:marBottom w:val="0"/>
      <w:divBdr>
        <w:top w:val="none" w:sz="0" w:space="0" w:color="auto"/>
        <w:left w:val="none" w:sz="0" w:space="0" w:color="auto"/>
        <w:bottom w:val="none" w:sz="0" w:space="0" w:color="auto"/>
        <w:right w:val="none" w:sz="0" w:space="0" w:color="auto"/>
      </w:divBdr>
    </w:div>
    <w:div w:id="2095200466">
      <w:bodyDiv w:val="1"/>
      <w:marLeft w:val="0"/>
      <w:marRight w:val="0"/>
      <w:marTop w:val="0"/>
      <w:marBottom w:val="0"/>
      <w:divBdr>
        <w:top w:val="none" w:sz="0" w:space="0" w:color="auto"/>
        <w:left w:val="none" w:sz="0" w:space="0" w:color="auto"/>
        <w:bottom w:val="none" w:sz="0" w:space="0" w:color="auto"/>
        <w:right w:val="none" w:sz="0" w:space="0" w:color="auto"/>
      </w:divBdr>
    </w:div>
    <w:div w:id="2095323744">
      <w:bodyDiv w:val="1"/>
      <w:marLeft w:val="0"/>
      <w:marRight w:val="0"/>
      <w:marTop w:val="0"/>
      <w:marBottom w:val="0"/>
      <w:divBdr>
        <w:top w:val="none" w:sz="0" w:space="0" w:color="auto"/>
        <w:left w:val="none" w:sz="0" w:space="0" w:color="auto"/>
        <w:bottom w:val="none" w:sz="0" w:space="0" w:color="auto"/>
        <w:right w:val="none" w:sz="0" w:space="0" w:color="auto"/>
      </w:divBdr>
      <w:divsChild>
        <w:div w:id="62413887">
          <w:marLeft w:val="0"/>
          <w:marRight w:val="0"/>
          <w:marTop w:val="0"/>
          <w:marBottom w:val="0"/>
          <w:divBdr>
            <w:top w:val="none" w:sz="0" w:space="0" w:color="auto"/>
            <w:left w:val="none" w:sz="0" w:space="0" w:color="auto"/>
            <w:bottom w:val="none" w:sz="0" w:space="0" w:color="auto"/>
            <w:right w:val="none" w:sz="0" w:space="0" w:color="auto"/>
          </w:divBdr>
          <w:divsChild>
            <w:div w:id="228615712">
              <w:marLeft w:val="0"/>
              <w:marRight w:val="0"/>
              <w:marTop w:val="0"/>
              <w:marBottom w:val="0"/>
              <w:divBdr>
                <w:top w:val="none" w:sz="0" w:space="0" w:color="auto"/>
                <w:left w:val="none" w:sz="0" w:space="0" w:color="auto"/>
                <w:bottom w:val="none" w:sz="0" w:space="0" w:color="auto"/>
                <w:right w:val="none" w:sz="0" w:space="0" w:color="auto"/>
              </w:divBdr>
              <w:divsChild>
                <w:div w:id="456484898">
                  <w:marLeft w:val="0"/>
                  <w:marRight w:val="0"/>
                  <w:marTop w:val="0"/>
                  <w:marBottom w:val="0"/>
                  <w:divBdr>
                    <w:top w:val="none" w:sz="0" w:space="0" w:color="auto"/>
                    <w:left w:val="none" w:sz="0" w:space="0" w:color="auto"/>
                    <w:bottom w:val="none" w:sz="0" w:space="0" w:color="auto"/>
                    <w:right w:val="none" w:sz="0" w:space="0" w:color="auto"/>
                  </w:divBdr>
                </w:div>
              </w:divsChild>
            </w:div>
            <w:div w:id="1188133130">
              <w:marLeft w:val="0"/>
              <w:marRight w:val="0"/>
              <w:marTop w:val="0"/>
              <w:marBottom w:val="0"/>
              <w:divBdr>
                <w:top w:val="none" w:sz="0" w:space="0" w:color="auto"/>
                <w:left w:val="none" w:sz="0" w:space="0" w:color="auto"/>
                <w:bottom w:val="none" w:sz="0" w:space="0" w:color="auto"/>
                <w:right w:val="none" w:sz="0" w:space="0" w:color="auto"/>
              </w:divBdr>
              <w:divsChild>
                <w:div w:id="4753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5563">
          <w:marLeft w:val="0"/>
          <w:marRight w:val="0"/>
          <w:marTop w:val="0"/>
          <w:marBottom w:val="0"/>
          <w:divBdr>
            <w:top w:val="none" w:sz="0" w:space="0" w:color="auto"/>
            <w:left w:val="none" w:sz="0" w:space="0" w:color="auto"/>
            <w:bottom w:val="none" w:sz="0" w:space="0" w:color="auto"/>
            <w:right w:val="none" w:sz="0" w:space="0" w:color="auto"/>
          </w:divBdr>
          <w:divsChild>
            <w:div w:id="50079034">
              <w:marLeft w:val="0"/>
              <w:marRight w:val="0"/>
              <w:marTop w:val="0"/>
              <w:marBottom w:val="0"/>
              <w:divBdr>
                <w:top w:val="none" w:sz="0" w:space="0" w:color="auto"/>
                <w:left w:val="none" w:sz="0" w:space="0" w:color="auto"/>
                <w:bottom w:val="none" w:sz="0" w:space="0" w:color="auto"/>
                <w:right w:val="none" w:sz="0" w:space="0" w:color="auto"/>
              </w:divBdr>
              <w:divsChild>
                <w:div w:id="208398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34456">
      <w:bodyDiv w:val="1"/>
      <w:marLeft w:val="0"/>
      <w:marRight w:val="0"/>
      <w:marTop w:val="0"/>
      <w:marBottom w:val="0"/>
      <w:divBdr>
        <w:top w:val="none" w:sz="0" w:space="0" w:color="auto"/>
        <w:left w:val="none" w:sz="0" w:space="0" w:color="auto"/>
        <w:bottom w:val="none" w:sz="0" w:space="0" w:color="auto"/>
        <w:right w:val="none" w:sz="0" w:space="0" w:color="auto"/>
      </w:divBdr>
    </w:div>
    <w:div w:id="2096707545">
      <w:bodyDiv w:val="1"/>
      <w:marLeft w:val="0"/>
      <w:marRight w:val="0"/>
      <w:marTop w:val="0"/>
      <w:marBottom w:val="0"/>
      <w:divBdr>
        <w:top w:val="none" w:sz="0" w:space="0" w:color="auto"/>
        <w:left w:val="none" w:sz="0" w:space="0" w:color="auto"/>
        <w:bottom w:val="none" w:sz="0" w:space="0" w:color="auto"/>
        <w:right w:val="none" w:sz="0" w:space="0" w:color="auto"/>
      </w:divBdr>
    </w:div>
    <w:div w:id="2097510194">
      <w:bodyDiv w:val="1"/>
      <w:marLeft w:val="0"/>
      <w:marRight w:val="0"/>
      <w:marTop w:val="0"/>
      <w:marBottom w:val="0"/>
      <w:divBdr>
        <w:top w:val="none" w:sz="0" w:space="0" w:color="auto"/>
        <w:left w:val="none" w:sz="0" w:space="0" w:color="auto"/>
        <w:bottom w:val="none" w:sz="0" w:space="0" w:color="auto"/>
        <w:right w:val="none" w:sz="0" w:space="0" w:color="auto"/>
      </w:divBdr>
    </w:div>
    <w:div w:id="2098398975">
      <w:bodyDiv w:val="1"/>
      <w:marLeft w:val="0"/>
      <w:marRight w:val="0"/>
      <w:marTop w:val="0"/>
      <w:marBottom w:val="0"/>
      <w:divBdr>
        <w:top w:val="none" w:sz="0" w:space="0" w:color="auto"/>
        <w:left w:val="none" w:sz="0" w:space="0" w:color="auto"/>
        <w:bottom w:val="none" w:sz="0" w:space="0" w:color="auto"/>
        <w:right w:val="none" w:sz="0" w:space="0" w:color="auto"/>
      </w:divBdr>
    </w:div>
    <w:div w:id="2098555922">
      <w:bodyDiv w:val="1"/>
      <w:marLeft w:val="0"/>
      <w:marRight w:val="0"/>
      <w:marTop w:val="0"/>
      <w:marBottom w:val="0"/>
      <w:divBdr>
        <w:top w:val="none" w:sz="0" w:space="0" w:color="auto"/>
        <w:left w:val="none" w:sz="0" w:space="0" w:color="auto"/>
        <w:bottom w:val="none" w:sz="0" w:space="0" w:color="auto"/>
        <w:right w:val="none" w:sz="0" w:space="0" w:color="auto"/>
      </w:divBdr>
    </w:div>
    <w:div w:id="2098823069">
      <w:bodyDiv w:val="1"/>
      <w:marLeft w:val="0"/>
      <w:marRight w:val="0"/>
      <w:marTop w:val="0"/>
      <w:marBottom w:val="0"/>
      <w:divBdr>
        <w:top w:val="none" w:sz="0" w:space="0" w:color="auto"/>
        <w:left w:val="none" w:sz="0" w:space="0" w:color="auto"/>
        <w:bottom w:val="none" w:sz="0" w:space="0" w:color="auto"/>
        <w:right w:val="none" w:sz="0" w:space="0" w:color="auto"/>
      </w:divBdr>
    </w:div>
    <w:div w:id="2101481783">
      <w:bodyDiv w:val="1"/>
      <w:marLeft w:val="0"/>
      <w:marRight w:val="0"/>
      <w:marTop w:val="0"/>
      <w:marBottom w:val="0"/>
      <w:divBdr>
        <w:top w:val="none" w:sz="0" w:space="0" w:color="auto"/>
        <w:left w:val="none" w:sz="0" w:space="0" w:color="auto"/>
        <w:bottom w:val="none" w:sz="0" w:space="0" w:color="auto"/>
        <w:right w:val="none" w:sz="0" w:space="0" w:color="auto"/>
      </w:divBdr>
      <w:divsChild>
        <w:div w:id="946544649">
          <w:marLeft w:val="0"/>
          <w:marRight w:val="0"/>
          <w:marTop w:val="0"/>
          <w:marBottom w:val="0"/>
          <w:divBdr>
            <w:top w:val="none" w:sz="0" w:space="0" w:color="auto"/>
            <w:left w:val="none" w:sz="0" w:space="0" w:color="auto"/>
            <w:bottom w:val="none" w:sz="0" w:space="0" w:color="auto"/>
            <w:right w:val="none" w:sz="0" w:space="0" w:color="auto"/>
          </w:divBdr>
          <w:divsChild>
            <w:div w:id="353843866">
              <w:marLeft w:val="0"/>
              <w:marRight w:val="0"/>
              <w:marTop w:val="0"/>
              <w:marBottom w:val="0"/>
              <w:divBdr>
                <w:top w:val="none" w:sz="0" w:space="0" w:color="auto"/>
                <w:left w:val="none" w:sz="0" w:space="0" w:color="auto"/>
                <w:bottom w:val="none" w:sz="0" w:space="0" w:color="auto"/>
                <w:right w:val="none" w:sz="0" w:space="0" w:color="auto"/>
              </w:divBdr>
              <w:divsChild>
                <w:div w:id="601691148">
                  <w:marLeft w:val="0"/>
                  <w:marRight w:val="0"/>
                  <w:marTop w:val="0"/>
                  <w:marBottom w:val="0"/>
                  <w:divBdr>
                    <w:top w:val="none" w:sz="0" w:space="0" w:color="auto"/>
                    <w:left w:val="none" w:sz="0" w:space="0" w:color="auto"/>
                    <w:bottom w:val="none" w:sz="0" w:space="0" w:color="auto"/>
                    <w:right w:val="none" w:sz="0" w:space="0" w:color="auto"/>
                  </w:divBdr>
                  <w:divsChild>
                    <w:div w:id="500506927">
                      <w:marLeft w:val="0"/>
                      <w:marRight w:val="0"/>
                      <w:marTop w:val="0"/>
                      <w:marBottom w:val="0"/>
                      <w:divBdr>
                        <w:top w:val="none" w:sz="0" w:space="0" w:color="auto"/>
                        <w:left w:val="none" w:sz="0" w:space="0" w:color="auto"/>
                        <w:bottom w:val="none" w:sz="0" w:space="0" w:color="auto"/>
                        <w:right w:val="none" w:sz="0" w:space="0" w:color="auto"/>
                      </w:divBdr>
                    </w:div>
                  </w:divsChild>
                </w:div>
                <w:div w:id="748036306">
                  <w:marLeft w:val="0"/>
                  <w:marRight w:val="0"/>
                  <w:marTop w:val="0"/>
                  <w:marBottom w:val="0"/>
                  <w:divBdr>
                    <w:top w:val="none" w:sz="0" w:space="0" w:color="auto"/>
                    <w:left w:val="none" w:sz="0" w:space="0" w:color="auto"/>
                    <w:bottom w:val="none" w:sz="0" w:space="0" w:color="auto"/>
                    <w:right w:val="none" w:sz="0" w:space="0" w:color="auto"/>
                  </w:divBdr>
                  <w:divsChild>
                    <w:div w:id="186354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604472">
      <w:bodyDiv w:val="1"/>
      <w:marLeft w:val="0"/>
      <w:marRight w:val="0"/>
      <w:marTop w:val="0"/>
      <w:marBottom w:val="0"/>
      <w:divBdr>
        <w:top w:val="none" w:sz="0" w:space="0" w:color="auto"/>
        <w:left w:val="none" w:sz="0" w:space="0" w:color="auto"/>
        <w:bottom w:val="none" w:sz="0" w:space="0" w:color="auto"/>
        <w:right w:val="none" w:sz="0" w:space="0" w:color="auto"/>
      </w:divBdr>
    </w:div>
    <w:div w:id="2102679035">
      <w:bodyDiv w:val="1"/>
      <w:marLeft w:val="0"/>
      <w:marRight w:val="0"/>
      <w:marTop w:val="0"/>
      <w:marBottom w:val="0"/>
      <w:divBdr>
        <w:top w:val="none" w:sz="0" w:space="0" w:color="auto"/>
        <w:left w:val="none" w:sz="0" w:space="0" w:color="auto"/>
        <w:bottom w:val="none" w:sz="0" w:space="0" w:color="auto"/>
        <w:right w:val="none" w:sz="0" w:space="0" w:color="auto"/>
      </w:divBdr>
    </w:div>
    <w:div w:id="2102724669">
      <w:bodyDiv w:val="1"/>
      <w:marLeft w:val="0"/>
      <w:marRight w:val="0"/>
      <w:marTop w:val="0"/>
      <w:marBottom w:val="0"/>
      <w:divBdr>
        <w:top w:val="none" w:sz="0" w:space="0" w:color="auto"/>
        <w:left w:val="none" w:sz="0" w:space="0" w:color="auto"/>
        <w:bottom w:val="none" w:sz="0" w:space="0" w:color="auto"/>
        <w:right w:val="none" w:sz="0" w:space="0" w:color="auto"/>
      </w:divBdr>
    </w:div>
    <w:div w:id="2102948306">
      <w:bodyDiv w:val="1"/>
      <w:marLeft w:val="0"/>
      <w:marRight w:val="0"/>
      <w:marTop w:val="0"/>
      <w:marBottom w:val="0"/>
      <w:divBdr>
        <w:top w:val="none" w:sz="0" w:space="0" w:color="auto"/>
        <w:left w:val="none" w:sz="0" w:space="0" w:color="auto"/>
        <w:bottom w:val="none" w:sz="0" w:space="0" w:color="auto"/>
        <w:right w:val="none" w:sz="0" w:space="0" w:color="auto"/>
      </w:divBdr>
      <w:divsChild>
        <w:div w:id="2090956031">
          <w:marLeft w:val="0"/>
          <w:marRight w:val="0"/>
          <w:marTop w:val="0"/>
          <w:marBottom w:val="0"/>
          <w:divBdr>
            <w:top w:val="none" w:sz="0" w:space="0" w:color="auto"/>
            <w:left w:val="none" w:sz="0" w:space="0" w:color="auto"/>
            <w:bottom w:val="none" w:sz="0" w:space="0" w:color="auto"/>
            <w:right w:val="none" w:sz="0" w:space="0" w:color="auto"/>
          </w:divBdr>
          <w:divsChild>
            <w:div w:id="1498492874">
              <w:marLeft w:val="0"/>
              <w:marRight w:val="0"/>
              <w:marTop w:val="0"/>
              <w:marBottom w:val="0"/>
              <w:divBdr>
                <w:top w:val="none" w:sz="0" w:space="0" w:color="auto"/>
                <w:left w:val="none" w:sz="0" w:space="0" w:color="auto"/>
                <w:bottom w:val="none" w:sz="0" w:space="0" w:color="auto"/>
                <w:right w:val="none" w:sz="0" w:space="0" w:color="auto"/>
              </w:divBdr>
              <w:divsChild>
                <w:div w:id="1281299349">
                  <w:marLeft w:val="0"/>
                  <w:marRight w:val="0"/>
                  <w:marTop w:val="0"/>
                  <w:marBottom w:val="0"/>
                  <w:divBdr>
                    <w:top w:val="none" w:sz="0" w:space="0" w:color="auto"/>
                    <w:left w:val="none" w:sz="0" w:space="0" w:color="auto"/>
                    <w:bottom w:val="none" w:sz="0" w:space="0" w:color="auto"/>
                    <w:right w:val="none" w:sz="0" w:space="0" w:color="auto"/>
                  </w:divBdr>
                  <w:divsChild>
                    <w:div w:id="56742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522765">
      <w:bodyDiv w:val="1"/>
      <w:marLeft w:val="0"/>
      <w:marRight w:val="0"/>
      <w:marTop w:val="0"/>
      <w:marBottom w:val="0"/>
      <w:divBdr>
        <w:top w:val="none" w:sz="0" w:space="0" w:color="auto"/>
        <w:left w:val="none" w:sz="0" w:space="0" w:color="auto"/>
        <w:bottom w:val="none" w:sz="0" w:space="0" w:color="auto"/>
        <w:right w:val="none" w:sz="0" w:space="0" w:color="auto"/>
      </w:divBdr>
    </w:div>
    <w:div w:id="2105345781">
      <w:bodyDiv w:val="1"/>
      <w:marLeft w:val="0"/>
      <w:marRight w:val="0"/>
      <w:marTop w:val="0"/>
      <w:marBottom w:val="0"/>
      <w:divBdr>
        <w:top w:val="none" w:sz="0" w:space="0" w:color="auto"/>
        <w:left w:val="none" w:sz="0" w:space="0" w:color="auto"/>
        <w:bottom w:val="none" w:sz="0" w:space="0" w:color="auto"/>
        <w:right w:val="none" w:sz="0" w:space="0" w:color="auto"/>
      </w:divBdr>
    </w:div>
    <w:div w:id="2105567039">
      <w:bodyDiv w:val="1"/>
      <w:marLeft w:val="0"/>
      <w:marRight w:val="0"/>
      <w:marTop w:val="0"/>
      <w:marBottom w:val="0"/>
      <w:divBdr>
        <w:top w:val="none" w:sz="0" w:space="0" w:color="auto"/>
        <w:left w:val="none" w:sz="0" w:space="0" w:color="auto"/>
        <w:bottom w:val="none" w:sz="0" w:space="0" w:color="auto"/>
        <w:right w:val="none" w:sz="0" w:space="0" w:color="auto"/>
      </w:divBdr>
      <w:divsChild>
        <w:div w:id="1816293470">
          <w:marLeft w:val="0"/>
          <w:marRight w:val="0"/>
          <w:marTop w:val="0"/>
          <w:marBottom w:val="0"/>
          <w:divBdr>
            <w:top w:val="none" w:sz="0" w:space="0" w:color="auto"/>
            <w:left w:val="none" w:sz="0" w:space="0" w:color="auto"/>
            <w:bottom w:val="none" w:sz="0" w:space="0" w:color="auto"/>
            <w:right w:val="none" w:sz="0" w:space="0" w:color="auto"/>
          </w:divBdr>
          <w:divsChild>
            <w:div w:id="728114598">
              <w:marLeft w:val="0"/>
              <w:marRight w:val="0"/>
              <w:marTop w:val="0"/>
              <w:marBottom w:val="0"/>
              <w:divBdr>
                <w:top w:val="none" w:sz="0" w:space="0" w:color="auto"/>
                <w:left w:val="none" w:sz="0" w:space="0" w:color="auto"/>
                <w:bottom w:val="none" w:sz="0" w:space="0" w:color="auto"/>
                <w:right w:val="none" w:sz="0" w:space="0" w:color="auto"/>
              </w:divBdr>
              <w:divsChild>
                <w:div w:id="74700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63060">
      <w:bodyDiv w:val="1"/>
      <w:marLeft w:val="0"/>
      <w:marRight w:val="0"/>
      <w:marTop w:val="0"/>
      <w:marBottom w:val="0"/>
      <w:divBdr>
        <w:top w:val="none" w:sz="0" w:space="0" w:color="auto"/>
        <w:left w:val="none" w:sz="0" w:space="0" w:color="auto"/>
        <w:bottom w:val="none" w:sz="0" w:space="0" w:color="auto"/>
        <w:right w:val="none" w:sz="0" w:space="0" w:color="auto"/>
      </w:divBdr>
    </w:div>
    <w:div w:id="2106417175">
      <w:bodyDiv w:val="1"/>
      <w:marLeft w:val="0"/>
      <w:marRight w:val="0"/>
      <w:marTop w:val="0"/>
      <w:marBottom w:val="0"/>
      <w:divBdr>
        <w:top w:val="none" w:sz="0" w:space="0" w:color="auto"/>
        <w:left w:val="none" w:sz="0" w:space="0" w:color="auto"/>
        <w:bottom w:val="none" w:sz="0" w:space="0" w:color="auto"/>
        <w:right w:val="none" w:sz="0" w:space="0" w:color="auto"/>
      </w:divBdr>
    </w:div>
    <w:div w:id="2106489342">
      <w:bodyDiv w:val="1"/>
      <w:marLeft w:val="0"/>
      <w:marRight w:val="0"/>
      <w:marTop w:val="0"/>
      <w:marBottom w:val="0"/>
      <w:divBdr>
        <w:top w:val="none" w:sz="0" w:space="0" w:color="auto"/>
        <w:left w:val="none" w:sz="0" w:space="0" w:color="auto"/>
        <w:bottom w:val="none" w:sz="0" w:space="0" w:color="auto"/>
        <w:right w:val="none" w:sz="0" w:space="0" w:color="auto"/>
      </w:divBdr>
      <w:divsChild>
        <w:div w:id="1944874365">
          <w:marLeft w:val="0"/>
          <w:marRight w:val="0"/>
          <w:marTop w:val="0"/>
          <w:marBottom w:val="0"/>
          <w:divBdr>
            <w:top w:val="none" w:sz="0" w:space="0" w:color="auto"/>
            <w:left w:val="none" w:sz="0" w:space="0" w:color="auto"/>
            <w:bottom w:val="none" w:sz="0" w:space="0" w:color="auto"/>
            <w:right w:val="none" w:sz="0" w:space="0" w:color="auto"/>
          </w:divBdr>
          <w:divsChild>
            <w:div w:id="1054816450">
              <w:marLeft w:val="0"/>
              <w:marRight w:val="0"/>
              <w:marTop w:val="0"/>
              <w:marBottom w:val="0"/>
              <w:divBdr>
                <w:top w:val="none" w:sz="0" w:space="0" w:color="auto"/>
                <w:left w:val="none" w:sz="0" w:space="0" w:color="auto"/>
                <w:bottom w:val="none" w:sz="0" w:space="0" w:color="auto"/>
                <w:right w:val="none" w:sz="0" w:space="0" w:color="auto"/>
              </w:divBdr>
              <w:divsChild>
                <w:div w:id="1139809654">
                  <w:marLeft w:val="0"/>
                  <w:marRight w:val="0"/>
                  <w:marTop w:val="0"/>
                  <w:marBottom w:val="0"/>
                  <w:divBdr>
                    <w:top w:val="none" w:sz="0" w:space="0" w:color="auto"/>
                    <w:left w:val="none" w:sz="0" w:space="0" w:color="auto"/>
                    <w:bottom w:val="none" w:sz="0" w:space="0" w:color="auto"/>
                    <w:right w:val="none" w:sz="0" w:space="0" w:color="auto"/>
                  </w:divBdr>
                  <w:divsChild>
                    <w:div w:id="2079479956">
                      <w:marLeft w:val="0"/>
                      <w:marRight w:val="0"/>
                      <w:marTop w:val="0"/>
                      <w:marBottom w:val="0"/>
                      <w:divBdr>
                        <w:top w:val="none" w:sz="0" w:space="0" w:color="auto"/>
                        <w:left w:val="none" w:sz="0" w:space="0" w:color="auto"/>
                        <w:bottom w:val="none" w:sz="0" w:space="0" w:color="auto"/>
                        <w:right w:val="none" w:sz="0" w:space="0" w:color="auto"/>
                      </w:divBdr>
                    </w:div>
                  </w:divsChild>
                </w:div>
                <w:div w:id="1793136169">
                  <w:marLeft w:val="0"/>
                  <w:marRight w:val="0"/>
                  <w:marTop w:val="0"/>
                  <w:marBottom w:val="0"/>
                  <w:divBdr>
                    <w:top w:val="none" w:sz="0" w:space="0" w:color="auto"/>
                    <w:left w:val="none" w:sz="0" w:space="0" w:color="auto"/>
                    <w:bottom w:val="none" w:sz="0" w:space="0" w:color="auto"/>
                    <w:right w:val="none" w:sz="0" w:space="0" w:color="auto"/>
                  </w:divBdr>
                  <w:divsChild>
                    <w:div w:id="15153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997617">
      <w:bodyDiv w:val="1"/>
      <w:marLeft w:val="0"/>
      <w:marRight w:val="0"/>
      <w:marTop w:val="0"/>
      <w:marBottom w:val="0"/>
      <w:divBdr>
        <w:top w:val="none" w:sz="0" w:space="0" w:color="auto"/>
        <w:left w:val="none" w:sz="0" w:space="0" w:color="auto"/>
        <w:bottom w:val="none" w:sz="0" w:space="0" w:color="auto"/>
        <w:right w:val="none" w:sz="0" w:space="0" w:color="auto"/>
      </w:divBdr>
      <w:divsChild>
        <w:div w:id="1846246208">
          <w:marLeft w:val="0"/>
          <w:marRight w:val="0"/>
          <w:marTop w:val="0"/>
          <w:marBottom w:val="0"/>
          <w:divBdr>
            <w:top w:val="none" w:sz="0" w:space="0" w:color="auto"/>
            <w:left w:val="none" w:sz="0" w:space="0" w:color="auto"/>
            <w:bottom w:val="none" w:sz="0" w:space="0" w:color="auto"/>
            <w:right w:val="none" w:sz="0" w:space="0" w:color="auto"/>
          </w:divBdr>
          <w:divsChild>
            <w:div w:id="59057040">
              <w:marLeft w:val="0"/>
              <w:marRight w:val="0"/>
              <w:marTop w:val="0"/>
              <w:marBottom w:val="0"/>
              <w:divBdr>
                <w:top w:val="none" w:sz="0" w:space="0" w:color="auto"/>
                <w:left w:val="none" w:sz="0" w:space="0" w:color="auto"/>
                <w:bottom w:val="none" w:sz="0" w:space="0" w:color="auto"/>
                <w:right w:val="none" w:sz="0" w:space="0" w:color="auto"/>
              </w:divBdr>
              <w:divsChild>
                <w:div w:id="1249003612">
                  <w:marLeft w:val="0"/>
                  <w:marRight w:val="0"/>
                  <w:marTop w:val="0"/>
                  <w:marBottom w:val="0"/>
                  <w:divBdr>
                    <w:top w:val="none" w:sz="0" w:space="0" w:color="auto"/>
                    <w:left w:val="none" w:sz="0" w:space="0" w:color="auto"/>
                    <w:bottom w:val="none" w:sz="0" w:space="0" w:color="auto"/>
                    <w:right w:val="none" w:sz="0" w:space="0" w:color="auto"/>
                  </w:divBdr>
                  <w:divsChild>
                    <w:div w:id="12134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66460">
      <w:bodyDiv w:val="1"/>
      <w:marLeft w:val="0"/>
      <w:marRight w:val="0"/>
      <w:marTop w:val="0"/>
      <w:marBottom w:val="0"/>
      <w:divBdr>
        <w:top w:val="none" w:sz="0" w:space="0" w:color="auto"/>
        <w:left w:val="none" w:sz="0" w:space="0" w:color="auto"/>
        <w:bottom w:val="none" w:sz="0" w:space="0" w:color="auto"/>
        <w:right w:val="none" w:sz="0" w:space="0" w:color="auto"/>
      </w:divBdr>
    </w:div>
    <w:div w:id="2108184996">
      <w:bodyDiv w:val="1"/>
      <w:marLeft w:val="0"/>
      <w:marRight w:val="0"/>
      <w:marTop w:val="0"/>
      <w:marBottom w:val="0"/>
      <w:divBdr>
        <w:top w:val="none" w:sz="0" w:space="0" w:color="auto"/>
        <w:left w:val="none" w:sz="0" w:space="0" w:color="auto"/>
        <w:bottom w:val="none" w:sz="0" w:space="0" w:color="auto"/>
        <w:right w:val="none" w:sz="0" w:space="0" w:color="auto"/>
      </w:divBdr>
    </w:div>
    <w:div w:id="2109084727">
      <w:bodyDiv w:val="1"/>
      <w:marLeft w:val="0"/>
      <w:marRight w:val="0"/>
      <w:marTop w:val="0"/>
      <w:marBottom w:val="0"/>
      <w:divBdr>
        <w:top w:val="none" w:sz="0" w:space="0" w:color="auto"/>
        <w:left w:val="none" w:sz="0" w:space="0" w:color="auto"/>
        <w:bottom w:val="none" w:sz="0" w:space="0" w:color="auto"/>
        <w:right w:val="none" w:sz="0" w:space="0" w:color="auto"/>
      </w:divBdr>
    </w:div>
    <w:div w:id="2111387749">
      <w:bodyDiv w:val="1"/>
      <w:marLeft w:val="0"/>
      <w:marRight w:val="0"/>
      <w:marTop w:val="0"/>
      <w:marBottom w:val="0"/>
      <w:divBdr>
        <w:top w:val="none" w:sz="0" w:space="0" w:color="auto"/>
        <w:left w:val="none" w:sz="0" w:space="0" w:color="auto"/>
        <w:bottom w:val="none" w:sz="0" w:space="0" w:color="auto"/>
        <w:right w:val="none" w:sz="0" w:space="0" w:color="auto"/>
      </w:divBdr>
    </w:div>
    <w:div w:id="2111656415">
      <w:bodyDiv w:val="1"/>
      <w:marLeft w:val="0"/>
      <w:marRight w:val="0"/>
      <w:marTop w:val="0"/>
      <w:marBottom w:val="0"/>
      <w:divBdr>
        <w:top w:val="none" w:sz="0" w:space="0" w:color="auto"/>
        <w:left w:val="none" w:sz="0" w:space="0" w:color="auto"/>
        <w:bottom w:val="none" w:sz="0" w:space="0" w:color="auto"/>
        <w:right w:val="none" w:sz="0" w:space="0" w:color="auto"/>
      </w:divBdr>
    </w:div>
    <w:div w:id="2112124843">
      <w:bodyDiv w:val="1"/>
      <w:marLeft w:val="0"/>
      <w:marRight w:val="0"/>
      <w:marTop w:val="0"/>
      <w:marBottom w:val="0"/>
      <w:divBdr>
        <w:top w:val="none" w:sz="0" w:space="0" w:color="auto"/>
        <w:left w:val="none" w:sz="0" w:space="0" w:color="auto"/>
        <w:bottom w:val="none" w:sz="0" w:space="0" w:color="auto"/>
        <w:right w:val="none" w:sz="0" w:space="0" w:color="auto"/>
      </w:divBdr>
    </w:div>
    <w:div w:id="2112433609">
      <w:bodyDiv w:val="1"/>
      <w:marLeft w:val="0"/>
      <w:marRight w:val="0"/>
      <w:marTop w:val="0"/>
      <w:marBottom w:val="0"/>
      <w:divBdr>
        <w:top w:val="none" w:sz="0" w:space="0" w:color="auto"/>
        <w:left w:val="none" w:sz="0" w:space="0" w:color="auto"/>
        <w:bottom w:val="none" w:sz="0" w:space="0" w:color="auto"/>
        <w:right w:val="none" w:sz="0" w:space="0" w:color="auto"/>
      </w:divBdr>
    </w:div>
    <w:div w:id="2113474446">
      <w:bodyDiv w:val="1"/>
      <w:marLeft w:val="0"/>
      <w:marRight w:val="0"/>
      <w:marTop w:val="0"/>
      <w:marBottom w:val="0"/>
      <w:divBdr>
        <w:top w:val="none" w:sz="0" w:space="0" w:color="auto"/>
        <w:left w:val="none" w:sz="0" w:space="0" w:color="auto"/>
        <w:bottom w:val="none" w:sz="0" w:space="0" w:color="auto"/>
        <w:right w:val="none" w:sz="0" w:space="0" w:color="auto"/>
      </w:divBdr>
      <w:divsChild>
        <w:div w:id="546919446">
          <w:marLeft w:val="0"/>
          <w:marRight w:val="0"/>
          <w:marTop w:val="0"/>
          <w:marBottom w:val="0"/>
          <w:divBdr>
            <w:top w:val="none" w:sz="0" w:space="0" w:color="auto"/>
            <w:left w:val="none" w:sz="0" w:space="0" w:color="auto"/>
            <w:bottom w:val="none" w:sz="0" w:space="0" w:color="auto"/>
            <w:right w:val="none" w:sz="0" w:space="0" w:color="auto"/>
          </w:divBdr>
          <w:divsChild>
            <w:div w:id="143083673">
              <w:marLeft w:val="0"/>
              <w:marRight w:val="0"/>
              <w:marTop w:val="0"/>
              <w:marBottom w:val="0"/>
              <w:divBdr>
                <w:top w:val="none" w:sz="0" w:space="0" w:color="auto"/>
                <w:left w:val="none" w:sz="0" w:space="0" w:color="auto"/>
                <w:bottom w:val="none" w:sz="0" w:space="0" w:color="auto"/>
                <w:right w:val="none" w:sz="0" w:space="0" w:color="auto"/>
              </w:divBdr>
              <w:divsChild>
                <w:div w:id="1295135094">
                  <w:marLeft w:val="0"/>
                  <w:marRight w:val="0"/>
                  <w:marTop w:val="0"/>
                  <w:marBottom w:val="0"/>
                  <w:divBdr>
                    <w:top w:val="none" w:sz="0" w:space="0" w:color="auto"/>
                    <w:left w:val="none" w:sz="0" w:space="0" w:color="auto"/>
                    <w:bottom w:val="none" w:sz="0" w:space="0" w:color="auto"/>
                    <w:right w:val="none" w:sz="0" w:space="0" w:color="auto"/>
                  </w:divBdr>
                  <w:divsChild>
                    <w:div w:id="2027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549073">
      <w:bodyDiv w:val="1"/>
      <w:marLeft w:val="0"/>
      <w:marRight w:val="0"/>
      <w:marTop w:val="0"/>
      <w:marBottom w:val="0"/>
      <w:divBdr>
        <w:top w:val="none" w:sz="0" w:space="0" w:color="auto"/>
        <w:left w:val="none" w:sz="0" w:space="0" w:color="auto"/>
        <w:bottom w:val="none" w:sz="0" w:space="0" w:color="auto"/>
        <w:right w:val="none" w:sz="0" w:space="0" w:color="auto"/>
      </w:divBdr>
    </w:div>
    <w:div w:id="2113553740">
      <w:bodyDiv w:val="1"/>
      <w:marLeft w:val="0"/>
      <w:marRight w:val="0"/>
      <w:marTop w:val="0"/>
      <w:marBottom w:val="0"/>
      <w:divBdr>
        <w:top w:val="none" w:sz="0" w:space="0" w:color="auto"/>
        <w:left w:val="none" w:sz="0" w:space="0" w:color="auto"/>
        <w:bottom w:val="none" w:sz="0" w:space="0" w:color="auto"/>
        <w:right w:val="none" w:sz="0" w:space="0" w:color="auto"/>
      </w:divBdr>
    </w:div>
    <w:div w:id="2114323488">
      <w:bodyDiv w:val="1"/>
      <w:marLeft w:val="0"/>
      <w:marRight w:val="0"/>
      <w:marTop w:val="0"/>
      <w:marBottom w:val="0"/>
      <w:divBdr>
        <w:top w:val="none" w:sz="0" w:space="0" w:color="auto"/>
        <w:left w:val="none" w:sz="0" w:space="0" w:color="auto"/>
        <w:bottom w:val="none" w:sz="0" w:space="0" w:color="auto"/>
        <w:right w:val="none" w:sz="0" w:space="0" w:color="auto"/>
      </w:divBdr>
    </w:div>
    <w:div w:id="2115393280">
      <w:bodyDiv w:val="1"/>
      <w:marLeft w:val="0"/>
      <w:marRight w:val="0"/>
      <w:marTop w:val="0"/>
      <w:marBottom w:val="0"/>
      <w:divBdr>
        <w:top w:val="none" w:sz="0" w:space="0" w:color="auto"/>
        <w:left w:val="none" w:sz="0" w:space="0" w:color="auto"/>
        <w:bottom w:val="none" w:sz="0" w:space="0" w:color="auto"/>
        <w:right w:val="none" w:sz="0" w:space="0" w:color="auto"/>
      </w:divBdr>
    </w:div>
    <w:div w:id="2115704449">
      <w:bodyDiv w:val="1"/>
      <w:marLeft w:val="0"/>
      <w:marRight w:val="0"/>
      <w:marTop w:val="0"/>
      <w:marBottom w:val="0"/>
      <w:divBdr>
        <w:top w:val="none" w:sz="0" w:space="0" w:color="auto"/>
        <w:left w:val="none" w:sz="0" w:space="0" w:color="auto"/>
        <w:bottom w:val="none" w:sz="0" w:space="0" w:color="auto"/>
        <w:right w:val="none" w:sz="0" w:space="0" w:color="auto"/>
      </w:divBdr>
    </w:div>
    <w:div w:id="2116054220">
      <w:bodyDiv w:val="1"/>
      <w:marLeft w:val="0"/>
      <w:marRight w:val="0"/>
      <w:marTop w:val="0"/>
      <w:marBottom w:val="0"/>
      <w:divBdr>
        <w:top w:val="none" w:sz="0" w:space="0" w:color="auto"/>
        <w:left w:val="none" w:sz="0" w:space="0" w:color="auto"/>
        <w:bottom w:val="none" w:sz="0" w:space="0" w:color="auto"/>
        <w:right w:val="none" w:sz="0" w:space="0" w:color="auto"/>
      </w:divBdr>
    </w:div>
    <w:div w:id="2116513082">
      <w:bodyDiv w:val="1"/>
      <w:marLeft w:val="0"/>
      <w:marRight w:val="0"/>
      <w:marTop w:val="0"/>
      <w:marBottom w:val="0"/>
      <w:divBdr>
        <w:top w:val="none" w:sz="0" w:space="0" w:color="auto"/>
        <w:left w:val="none" w:sz="0" w:space="0" w:color="auto"/>
        <w:bottom w:val="none" w:sz="0" w:space="0" w:color="auto"/>
        <w:right w:val="none" w:sz="0" w:space="0" w:color="auto"/>
      </w:divBdr>
    </w:div>
    <w:div w:id="2116971617">
      <w:bodyDiv w:val="1"/>
      <w:marLeft w:val="0"/>
      <w:marRight w:val="0"/>
      <w:marTop w:val="0"/>
      <w:marBottom w:val="0"/>
      <w:divBdr>
        <w:top w:val="none" w:sz="0" w:space="0" w:color="auto"/>
        <w:left w:val="none" w:sz="0" w:space="0" w:color="auto"/>
        <w:bottom w:val="none" w:sz="0" w:space="0" w:color="auto"/>
        <w:right w:val="none" w:sz="0" w:space="0" w:color="auto"/>
      </w:divBdr>
    </w:div>
    <w:div w:id="2117287065">
      <w:bodyDiv w:val="1"/>
      <w:marLeft w:val="0"/>
      <w:marRight w:val="0"/>
      <w:marTop w:val="0"/>
      <w:marBottom w:val="0"/>
      <w:divBdr>
        <w:top w:val="none" w:sz="0" w:space="0" w:color="auto"/>
        <w:left w:val="none" w:sz="0" w:space="0" w:color="auto"/>
        <w:bottom w:val="none" w:sz="0" w:space="0" w:color="auto"/>
        <w:right w:val="none" w:sz="0" w:space="0" w:color="auto"/>
      </w:divBdr>
    </w:div>
    <w:div w:id="2117942318">
      <w:bodyDiv w:val="1"/>
      <w:marLeft w:val="0"/>
      <w:marRight w:val="0"/>
      <w:marTop w:val="0"/>
      <w:marBottom w:val="0"/>
      <w:divBdr>
        <w:top w:val="none" w:sz="0" w:space="0" w:color="auto"/>
        <w:left w:val="none" w:sz="0" w:space="0" w:color="auto"/>
        <w:bottom w:val="none" w:sz="0" w:space="0" w:color="auto"/>
        <w:right w:val="none" w:sz="0" w:space="0" w:color="auto"/>
      </w:divBdr>
    </w:div>
    <w:div w:id="2118862740">
      <w:bodyDiv w:val="1"/>
      <w:marLeft w:val="0"/>
      <w:marRight w:val="0"/>
      <w:marTop w:val="0"/>
      <w:marBottom w:val="0"/>
      <w:divBdr>
        <w:top w:val="none" w:sz="0" w:space="0" w:color="auto"/>
        <w:left w:val="none" w:sz="0" w:space="0" w:color="auto"/>
        <w:bottom w:val="none" w:sz="0" w:space="0" w:color="auto"/>
        <w:right w:val="none" w:sz="0" w:space="0" w:color="auto"/>
      </w:divBdr>
    </w:div>
    <w:div w:id="2118941227">
      <w:bodyDiv w:val="1"/>
      <w:marLeft w:val="0"/>
      <w:marRight w:val="0"/>
      <w:marTop w:val="0"/>
      <w:marBottom w:val="0"/>
      <w:divBdr>
        <w:top w:val="none" w:sz="0" w:space="0" w:color="auto"/>
        <w:left w:val="none" w:sz="0" w:space="0" w:color="auto"/>
        <w:bottom w:val="none" w:sz="0" w:space="0" w:color="auto"/>
        <w:right w:val="none" w:sz="0" w:space="0" w:color="auto"/>
      </w:divBdr>
    </w:div>
    <w:div w:id="2120949520">
      <w:bodyDiv w:val="1"/>
      <w:marLeft w:val="0"/>
      <w:marRight w:val="0"/>
      <w:marTop w:val="0"/>
      <w:marBottom w:val="0"/>
      <w:divBdr>
        <w:top w:val="none" w:sz="0" w:space="0" w:color="auto"/>
        <w:left w:val="none" w:sz="0" w:space="0" w:color="auto"/>
        <w:bottom w:val="none" w:sz="0" w:space="0" w:color="auto"/>
        <w:right w:val="none" w:sz="0" w:space="0" w:color="auto"/>
      </w:divBdr>
    </w:div>
    <w:div w:id="2121491480">
      <w:bodyDiv w:val="1"/>
      <w:marLeft w:val="0"/>
      <w:marRight w:val="0"/>
      <w:marTop w:val="0"/>
      <w:marBottom w:val="0"/>
      <w:divBdr>
        <w:top w:val="none" w:sz="0" w:space="0" w:color="auto"/>
        <w:left w:val="none" w:sz="0" w:space="0" w:color="auto"/>
        <w:bottom w:val="none" w:sz="0" w:space="0" w:color="auto"/>
        <w:right w:val="none" w:sz="0" w:space="0" w:color="auto"/>
      </w:divBdr>
      <w:divsChild>
        <w:div w:id="443618098">
          <w:marLeft w:val="0"/>
          <w:marRight w:val="0"/>
          <w:marTop w:val="0"/>
          <w:marBottom w:val="0"/>
          <w:divBdr>
            <w:top w:val="none" w:sz="0" w:space="0" w:color="auto"/>
            <w:left w:val="none" w:sz="0" w:space="0" w:color="auto"/>
            <w:bottom w:val="none" w:sz="0" w:space="0" w:color="auto"/>
            <w:right w:val="none" w:sz="0" w:space="0" w:color="auto"/>
          </w:divBdr>
          <w:divsChild>
            <w:div w:id="339697308">
              <w:marLeft w:val="0"/>
              <w:marRight w:val="0"/>
              <w:marTop w:val="0"/>
              <w:marBottom w:val="0"/>
              <w:divBdr>
                <w:top w:val="none" w:sz="0" w:space="0" w:color="auto"/>
                <w:left w:val="none" w:sz="0" w:space="0" w:color="auto"/>
                <w:bottom w:val="none" w:sz="0" w:space="0" w:color="auto"/>
                <w:right w:val="none" w:sz="0" w:space="0" w:color="auto"/>
              </w:divBdr>
              <w:divsChild>
                <w:div w:id="1062093329">
                  <w:marLeft w:val="0"/>
                  <w:marRight w:val="0"/>
                  <w:marTop w:val="0"/>
                  <w:marBottom w:val="0"/>
                  <w:divBdr>
                    <w:top w:val="none" w:sz="0" w:space="0" w:color="auto"/>
                    <w:left w:val="none" w:sz="0" w:space="0" w:color="auto"/>
                    <w:bottom w:val="none" w:sz="0" w:space="0" w:color="auto"/>
                    <w:right w:val="none" w:sz="0" w:space="0" w:color="auto"/>
                  </w:divBdr>
                  <w:divsChild>
                    <w:div w:id="12456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609588">
      <w:bodyDiv w:val="1"/>
      <w:marLeft w:val="0"/>
      <w:marRight w:val="0"/>
      <w:marTop w:val="0"/>
      <w:marBottom w:val="0"/>
      <w:divBdr>
        <w:top w:val="none" w:sz="0" w:space="0" w:color="auto"/>
        <w:left w:val="none" w:sz="0" w:space="0" w:color="auto"/>
        <w:bottom w:val="none" w:sz="0" w:space="0" w:color="auto"/>
        <w:right w:val="none" w:sz="0" w:space="0" w:color="auto"/>
      </w:divBdr>
    </w:div>
    <w:div w:id="2121950643">
      <w:bodyDiv w:val="1"/>
      <w:marLeft w:val="0"/>
      <w:marRight w:val="0"/>
      <w:marTop w:val="0"/>
      <w:marBottom w:val="0"/>
      <w:divBdr>
        <w:top w:val="none" w:sz="0" w:space="0" w:color="auto"/>
        <w:left w:val="none" w:sz="0" w:space="0" w:color="auto"/>
        <w:bottom w:val="none" w:sz="0" w:space="0" w:color="auto"/>
        <w:right w:val="none" w:sz="0" w:space="0" w:color="auto"/>
      </w:divBdr>
      <w:divsChild>
        <w:div w:id="1732194357">
          <w:marLeft w:val="0"/>
          <w:marRight w:val="0"/>
          <w:marTop w:val="0"/>
          <w:marBottom w:val="0"/>
          <w:divBdr>
            <w:top w:val="none" w:sz="0" w:space="0" w:color="auto"/>
            <w:left w:val="none" w:sz="0" w:space="0" w:color="auto"/>
            <w:bottom w:val="none" w:sz="0" w:space="0" w:color="auto"/>
            <w:right w:val="none" w:sz="0" w:space="0" w:color="auto"/>
          </w:divBdr>
          <w:divsChild>
            <w:div w:id="439372181">
              <w:marLeft w:val="0"/>
              <w:marRight w:val="0"/>
              <w:marTop w:val="0"/>
              <w:marBottom w:val="0"/>
              <w:divBdr>
                <w:top w:val="none" w:sz="0" w:space="0" w:color="auto"/>
                <w:left w:val="none" w:sz="0" w:space="0" w:color="auto"/>
                <w:bottom w:val="none" w:sz="0" w:space="0" w:color="auto"/>
                <w:right w:val="none" w:sz="0" w:space="0" w:color="auto"/>
              </w:divBdr>
              <w:divsChild>
                <w:div w:id="1872181710">
                  <w:marLeft w:val="0"/>
                  <w:marRight w:val="0"/>
                  <w:marTop w:val="0"/>
                  <w:marBottom w:val="0"/>
                  <w:divBdr>
                    <w:top w:val="none" w:sz="0" w:space="0" w:color="auto"/>
                    <w:left w:val="none" w:sz="0" w:space="0" w:color="auto"/>
                    <w:bottom w:val="none" w:sz="0" w:space="0" w:color="auto"/>
                    <w:right w:val="none" w:sz="0" w:space="0" w:color="auto"/>
                  </w:divBdr>
                  <w:divsChild>
                    <w:div w:id="119630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066550">
      <w:bodyDiv w:val="1"/>
      <w:marLeft w:val="0"/>
      <w:marRight w:val="0"/>
      <w:marTop w:val="0"/>
      <w:marBottom w:val="0"/>
      <w:divBdr>
        <w:top w:val="none" w:sz="0" w:space="0" w:color="auto"/>
        <w:left w:val="none" w:sz="0" w:space="0" w:color="auto"/>
        <w:bottom w:val="none" w:sz="0" w:space="0" w:color="auto"/>
        <w:right w:val="none" w:sz="0" w:space="0" w:color="auto"/>
      </w:divBdr>
    </w:div>
    <w:div w:id="2122264951">
      <w:bodyDiv w:val="1"/>
      <w:marLeft w:val="0"/>
      <w:marRight w:val="0"/>
      <w:marTop w:val="0"/>
      <w:marBottom w:val="0"/>
      <w:divBdr>
        <w:top w:val="none" w:sz="0" w:space="0" w:color="auto"/>
        <w:left w:val="none" w:sz="0" w:space="0" w:color="auto"/>
        <w:bottom w:val="none" w:sz="0" w:space="0" w:color="auto"/>
        <w:right w:val="none" w:sz="0" w:space="0" w:color="auto"/>
      </w:divBdr>
    </w:div>
    <w:div w:id="2122531372">
      <w:bodyDiv w:val="1"/>
      <w:marLeft w:val="0"/>
      <w:marRight w:val="0"/>
      <w:marTop w:val="0"/>
      <w:marBottom w:val="0"/>
      <w:divBdr>
        <w:top w:val="none" w:sz="0" w:space="0" w:color="auto"/>
        <w:left w:val="none" w:sz="0" w:space="0" w:color="auto"/>
        <w:bottom w:val="none" w:sz="0" w:space="0" w:color="auto"/>
        <w:right w:val="none" w:sz="0" w:space="0" w:color="auto"/>
      </w:divBdr>
    </w:div>
    <w:div w:id="2123376615">
      <w:bodyDiv w:val="1"/>
      <w:marLeft w:val="0"/>
      <w:marRight w:val="0"/>
      <w:marTop w:val="0"/>
      <w:marBottom w:val="0"/>
      <w:divBdr>
        <w:top w:val="none" w:sz="0" w:space="0" w:color="auto"/>
        <w:left w:val="none" w:sz="0" w:space="0" w:color="auto"/>
        <w:bottom w:val="none" w:sz="0" w:space="0" w:color="auto"/>
        <w:right w:val="none" w:sz="0" w:space="0" w:color="auto"/>
      </w:divBdr>
    </w:div>
    <w:div w:id="2123379755">
      <w:bodyDiv w:val="1"/>
      <w:marLeft w:val="0"/>
      <w:marRight w:val="0"/>
      <w:marTop w:val="0"/>
      <w:marBottom w:val="0"/>
      <w:divBdr>
        <w:top w:val="none" w:sz="0" w:space="0" w:color="auto"/>
        <w:left w:val="none" w:sz="0" w:space="0" w:color="auto"/>
        <w:bottom w:val="none" w:sz="0" w:space="0" w:color="auto"/>
        <w:right w:val="none" w:sz="0" w:space="0" w:color="auto"/>
      </w:divBdr>
    </w:div>
    <w:div w:id="2123457953">
      <w:bodyDiv w:val="1"/>
      <w:marLeft w:val="0"/>
      <w:marRight w:val="0"/>
      <w:marTop w:val="0"/>
      <w:marBottom w:val="0"/>
      <w:divBdr>
        <w:top w:val="none" w:sz="0" w:space="0" w:color="auto"/>
        <w:left w:val="none" w:sz="0" w:space="0" w:color="auto"/>
        <w:bottom w:val="none" w:sz="0" w:space="0" w:color="auto"/>
        <w:right w:val="none" w:sz="0" w:space="0" w:color="auto"/>
      </w:divBdr>
    </w:div>
    <w:div w:id="2124379210">
      <w:bodyDiv w:val="1"/>
      <w:marLeft w:val="0"/>
      <w:marRight w:val="0"/>
      <w:marTop w:val="0"/>
      <w:marBottom w:val="0"/>
      <w:divBdr>
        <w:top w:val="none" w:sz="0" w:space="0" w:color="auto"/>
        <w:left w:val="none" w:sz="0" w:space="0" w:color="auto"/>
        <w:bottom w:val="none" w:sz="0" w:space="0" w:color="auto"/>
        <w:right w:val="none" w:sz="0" w:space="0" w:color="auto"/>
      </w:divBdr>
      <w:divsChild>
        <w:div w:id="599610657">
          <w:marLeft w:val="0"/>
          <w:marRight w:val="0"/>
          <w:marTop w:val="0"/>
          <w:marBottom w:val="0"/>
          <w:divBdr>
            <w:top w:val="none" w:sz="0" w:space="0" w:color="auto"/>
            <w:left w:val="none" w:sz="0" w:space="0" w:color="auto"/>
            <w:bottom w:val="none" w:sz="0" w:space="0" w:color="auto"/>
            <w:right w:val="none" w:sz="0" w:space="0" w:color="auto"/>
          </w:divBdr>
          <w:divsChild>
            <w:div w:id="1572306533">
              <w:marLeft w:val="0"/>
              <w:marRight w:val="0"/>
              <w:marTop w:val="0"/>
              <w:marBottom w:val="0"/>
              <w:divBdr>
                <w:top w:val="none" w:sz="0" w:space="0" w:color="auto"/>
                <w:left w:val="none" w:sz="0" w:space="0" w:color="auto"/>
                <w:bottom w:val="none" w:sz="0" w:space="0" w:color="auto"/>
                <w:right w:val="none" w:sz="0" w:space="0" w:color="auto"/>
              </w:divBdr>
              <w:divsChild>
                <w:div w:id="713388399">
                  <w:marLeft w:val="0"/>
                  <w:marRight w:val="0"/>
                  <w:marTop w:val="0"/>
                  <w:marBottom w:val="0"/>
                  <w:divBdr>
                    <w:top w:val="none" w:sz="0" w:space="0" w:color="auto"/>
                    <w:left w:val="none" w:sz="0" w:space="0" w:color="auto"/>
                    <w:bottom w:val="none" w:sz="0" w:space="0" w:color="auto"/>
                    <w:right w:val="none" w:sz="0" w:space="0" w:color="auto"/>
                  </w:divBdr>
                  <w:divsChild>
                    <w:div w:id="22472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616007">
      <w:bodyDiv w:val="1"/>
      <w:marLeft w:val="0"/>
      <w:marRight w:val="0"/>
      <w:marTop w:val="0"/>
      <w:marBottom w:val="0"/>
      <w:divBdr>
        <w:top w:val="none" w:sz="0" w:space="0" w:color="auto"/>
        <w:left w:val="none" w:sz="0" w:space="0" w:color="auto"/>
        <w:bottom w:val="none" w:sz="0" w:space="0" w:color="auto"/>
        <w:right w:val="none" w:sz="0" w:space="0" w:color="auto"/>
      </w:divBdr>
      <w:divsChild>
        <w:div w:id="643236367">
          <w:marLeft w:val="0"/>
          <w:marRight w:val="0"/>
          <w:marTop w:val="0"/>
          <w:marBottom w:val="0"/>
          <w:divBdr>
            <w:top w:val="none" w:sz="0" w:space="0" w:color="auto"/>
            <w:left w:val="none" w:sz="0" w:space="0" w:color="auto"/>
            <w:bottom w:val="none" w:sz="0" w:space="0" w:color="auto"/>
            <w:right w:val="none" w:sz="0" w:space="0" w:color="auto"/>
          </w:divBdr>
          <w:divsChild>
            <w:div w:id="186911152">
              <w:marLeft w:val="0"/>
              <w:marRight w:val="0"/>
              <w:marTop w:val="0"/>
              <w:marBottom w:val="0"/>
              <w:divBdr>
                <w:top w:val="none" w:sz="0" w:space="0" w:color="auto"/>
                <w:left w:val="none" w:sz="0" w:space="0" w:color="auto"/>
                <w:bottom w:val="none" w:sz="0" w:space="0" w:color="auto"/>
                <w:right w:val="none" w:sz="0" w:space="0" w:color="auto"/>
              </w:divBdr>
              <w:divsChild>
                <w:div w:id="55871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39348">
      <w:bodyDiv w:val="1"/>
      <w:marLeft w:val="0"/>
      <w:marRight w:val="0"/>
      <w:marTop w:val="0"/>
      <w:marBottom w:val="0"/>
      <w:divBdr>
        <w:top w:val="none" w:sz="0" w:space="0" w:color="auto"/>
        <w:left w:val="none" w:sz="0" w:space="0" w:color="auto"/>
        <w:bottom w:val="none" w:sz="0" w:space="0" w:color="auto"/>
        <w:right w:val="none" w:sz="0" w:space="0" w:color="auto"/>
      </w:divBdr>
    </w:div>
    <w:div w:id="2124953878">
      <w:bodyDiv w:val="1"/>
      <w:marLeft w:val="0"/>
      <w:marRight w:val="0"/>
      <w:marTop w:val="0"/>
      <w:marBottom w:val="0"/>
      <w:divBdr>
        <w:top w:val="none" w:sz="0" w:space="0" w:color="auto"/>
        <w:left w:val="none" w:sz="0" w:space="0" w:color="auto"/>
        <w:bottom w:val="none" w:sz="0" w:space="0" w:color="auto"/>
        <w:right w:val="none" w:sz="0" w:space="0" w:color="auto"/>
      </w:divBdr>
    </w:div>
    <w:div w:id="2125071693">
      <w:bodyDiv w:val="1"/>
      <w:marLeft w:val="0"/>
      <w:marRight w:val="0"/>
      <w:marTop w:val="0"/>
      <w:marBottom w:val="0"/>
      <w:divBdr>
        <w:top w:val="none" w:sz="0" w:space="0" w:color="auto"/>
        <w:left w:val="none" w:sz="0" w:space="0" w:color="auto"/>
        <w:bottom w:val="none" w:sz="0" w:space="0" w:color="auto"/>
        <w:right w:val="none" w:sz="0" w:space="0" w:color="auto"/>
      </w:divBdr>
      <w:divsChild>
        <w:div w:id="1473139921">
          <w:marLeft w:val="0"/>
          <w:marRight w:val="0"/>
          <w:marTop w:val="0"/>
          <w:marBottom w:val="0"/>
          <w:divBdr>
            <w:top w:val="none" w:sz="0" w:space="0" w:color="auto"/>
            <w:left w:val="none" w:sz="0" w:space="0" w:color="auto"/>
            <w:bottom w:val="none" w:sz="0" w:space="0" w:color="auto"/>
            <w:right w:val="none" w:sz="0" w:space="0" w:color="auto"/>
          </w:divBdr>
          <w:divsChild>
            <w:div w:id="998926403">
              <w:marLeft w:val="0"/>
              <w:marRight w:val="0"/>
              <w:marTop w:val="0"/>
              <w:marBottom w:val="0"/>
              <w:divBdr>
                <w:top w:val="none" w:sz="0" w:space="0" w:color="auto"/>
                <w:left w:val="none" w:sz="0" w:space="0" w:color="auto"/>
                <w:bottom w:val="none" w:sz="0" w:space="0" w:color="auto"/>
                <w:right w:val="none" w:sz="0" w:space="0" w:color="auto"/>
              </w:divBdr>
              <w:divsChild>
                <w:div w:id="1825008105">
                  <w:marLeft w:val="0"/>
                  <w:marRight w:val="0"/>
                  <w:marTop w:val="0"/>
                  <w:marBottom w:val="0"/>
                  <w:divBdr>
                    <w:top w:val="none" w:sz="0" w:space="0" w:color="auto"/>
                    <w:left w:val="none" w:sz="0" w:space="0" w:color="auto"/>
                    <w:bottom w:val="none" w:sz="0" w:space="0" w:color="auto"/>
                    <w:right w:val="none" w:sz="0" w:space="0" w:color="auto"/>
                  </w:divBdr>
                </w:div>
              </w:divsChild>
            </w:div>
            <w:div w:id="1079866765">
              <w:marLeft w:val="0"/>
              <w:marRight w:val="0"/>
              <w:marTop w:val="0"/>
              <w:marBottom w:val="0"/>
              <w:divBdr>
                <w:top w:val="none" w:sz="0" w:space="0" w:color="auto"/>
                <w:left w:val="none" w:sz="0" w:space="0" w:color="auto"/>
                <w:bottom w:val="none" w:sz="0" w:space="0" w:color="auto"/>
                <w:right w:val="none" w:sz="0" w:space="0" w:color="auto"/>
              </w:divBdr>
              <w:divsChild>
                <w:div w:id="480120207">
                  <w:marLeft w:val="0"/>
                  <w:marRight w:val="0"/>
                  <w:marTop w:val="0"/>
                  <w:marBottom w:val="0"/>
                  <w:divBdr>
                    <w:top w:val="none" w:sz="0" w:space="0" w:color="auto"/>
                    <w:left w:val="none" w:sz="0" w:space="0" w:color="auto"/>
                    <w:bottom w:val="none" w:sz="0" w:space="0" w:color="auto"/>
                    <w:right w:val="none" w:sz="0" w:space="0" w:color="auto"/>
                  </w:divBdr>
                </w:div>
              </w:divsChild>
            </w:div>
            <w:div w:id="2024740041">
              <w:marLeft w:val="0"/>
              <w:marRight w:val="0"/>
              <w:marTop w:val="0"/>
              <w:marBottom w:val="0"/>
              <w:divBdr>
                <w:top w:val="none" w:sz="0" w:space="0" w:color="auto"/>
                <w:left w:val="none" w:sz="0" w:space="0" w:color="auto"/>
                <w:bottom w:val="none" w:sz="0" w:space="0" w:color="auto"/>
                <w:right w:val="none" w:sz="0" w:space="0" w:color="auto"/>
              </w:divBdr>
              <w:divsChild>
                <w:div w:id="11136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21033">
      <w:bodyDiv w:val="1"/>
      <w:marLeft w:val="0"/>
      <w:marRight w:val="0"/>
      <w:marTop w:val="0"/>
      <w:marBottom w:val="0"/>
      <w:divBdr>
        <w:top w:val="none" w:sz="0" w:space="0" w:color="auto"/>
        <w:left w:val="none" w:sz="0" w:space="0" w:color="auto"/>
        <w:bottom w:val="none" w:sz="0" w:space="0" w:color="auto"/>
        <w:right w:val="none" w:sz="0" w:space="0" w:color="auto"/>
      </w:divBdr>
    </w:div>
    <w:div w:id="2125611340">
      <w:bodyDiv w:val="1"/>
      <w:marLeft w:val="0"/>
      <w:marRight w:val="0"/>
      <w:marTop w:val="0"/>
      <w:marBottom w:val="0"/>
      <w:divBdr>
        <w:top w:val="none" w:sz="0" w:space="0" w:color="auto"/>
        <w:left w:val="none" w:sz="0" w:space="0" w:color="auto"/>
        <w:bottom w:val="none" w:sz="0" w:space="0" w:color="auto"/>
        <w:right w:val="none" w:sz="0" w:space="0" w:color="auto"/>
      </w:divBdr>
    </w:div>
    <w:div w:id="2125692290">
      <w:bodyDiv w:val="1"/>
      <w:marLeft w:val="0"/>
      <w:marRight w:val="0"/>
      <w:marTop w:val="0"/>
      <w:marBottom w:val="0"/>
      <w:divBdr>
        <w:top w:val="none" w:sz="0" w:space="0" w:color="auto"/>
        <w:left w:val="none" w:sz="0" w:space="0" w:color="auto"/>
        <w:bottom w:val="none" w:sz="0" w:space="0" w:color="auto"/>
        <w:right w:val="none" w:sz="0" w:space="0" w:color="auto"/>
      </w:divBdr>
    </w:div>
    <w:div w:id="2126146513">
      <w:bodyDiv w:val="1"/>
      <w:marLeft w:val="0"/>
      <w:marRight w:val="0"/>
      <w:marTop w:val="0"/>
      <w:marBottom w:val="0"/>
      <w:divBdr>
        <w:top w:val="none" w:sz="0" w:space="0" w:color="auto"/>
        <w:left w:val="none" w:sz="0" w:space="0" w:color="auto"/>
        <w:bottom w:val="none" w:sz="0" w:space="0" w:color="auto"/>
        <w:right w:val="none" w:sz="0" w:space="0" w:color="auto"/>
      </w:divBdr>
    </w:div>
    <w:div w:id="2126150222">
      <w:bodyDiv w:val="1"/>
      <w:marLeft w:val="0"/>
      <w:marRight w:val="0"/>
      <w:marTop w:val="0"/>
      <w:marBottom w:val="0"/>
      <w:divBdr>
        <w:top w:val="none" w:sz="0" w:space="0" w:color="auto"/>
        <w:left w:val="none" w:sz="0" w:space="0" w:color="auto"/>
        <w:bottom w:val="none" w:sz="0" w:space="0" w:color="auto"/>
        <w:right w:val="none" w:sz="0" w:space="0" w:color="auto"/>
      </w:divBdr>
    </w:div>
    <w:div w:id="2126541218">
      <w:bodyDiv w:val="1"/>
      <w:marLeft w:val="0"/>
      <w:marRight w:val="0"/>
      <w:marTop w:val="0"/>
      <w:marBottom w:val="0"/>
      <w:divBdr>
        <w:top w:val="none" w:sz="0" w:space="0" w:color="auto"/>
        <w:left w:val="none" w:sz="0" w:space="0" w:color="auto"/>
        <w:bottom w:val="none" w:sz="0" w:space="0" w:color="auto"/>
        <w:right w:val="none" w:sz="0" w:space="0" w:color="auto"/>
      </w:divBdr>
    </w:div>
    <w:div w:id="2126925103">
      <w:bodyDiv w:val="1"/>
      <w:marLeft w:val="0"/>
      <w:marRight w:val="0"/>
      <w:marTop w:val="0"/>
      <w:marBottom w:val="0"/>
      <w:divBdr>
        <w:top w:val="none" w:sz="0" w:space="0" w:color="auto"/>
        <w:left w:val="none" w:sz="0" w:space="0" w:color="auto"/>
        <w:bottom w:val="none" w:sz="0" w:space="0" w:color="auto"/>
        <w:right w:val="none" w:sz="0" w:space="0" w:color="auto"/>
      </w:divBdr>
      <w:divsChild>
        <w:div w:id="1714620330">
          <w:marLeft w:val="0"/>
          <w:marRight w:val="0"/>
          <w:marTop w:val="0"/>
          <w:marBottom w:val="0"/>
          <w:divBdr>
            <w:top w:val="none" w:sz="0" w:space="0" w:color="auto"/>
            <w:left w:val="none" w:sz="0" w:space="0" w:color="auto"/>
            <w:bottom w:val="none" w:sz="0" w:space="0" w:color="auto"/>
            <w:right w:val="none" w:sz="0" w:space="0" w:color="auto"/>
          </w:divBdr>
          <w:divsChild>
            <w:div w:id="228157763">
              <w:marLeft w:val="0"/>
              <w:marRight w:val="0"/>
              <w:marTop w:val="0"/>
              <w:marBottom w:val="0"/>
              <w:divBdr>
                <w:top w:val="none" w:sz="0" w:space="0" w:color="auto"/>
                <w:left w:val="none" w:sz="0" w:space="0" w:color="auto"/>
                <w:bottom w:val="none" w:sz="0" w:space="0" w:color="auto"/>
                <w:right w:val="none" w:sz="0" w:space="0" w:color="auto"/>
              </w:divBdr>
              <w:divsChild>
                <w:div w:id="136849504">
                  <w:marLeft w:val="0"/>
                  <w:marRight w:val="0"/>
                  <w:marTop w:val="0"/>
                  <w:marBottom w:val="0"/>
                  <w:divBdr>
                    <w:top w:val="none" w:sz="0" w:space="0" w:color="auto"/>
                    <w:left w:val="none" w:sz="0" w:space="0" w:color="auto"/>
                    <w:bottom w:val="none" w:sz="0" w:space="0" w:color="auto"/>
                    <w:right w:val="none" w:sz="0" w:space="0" w:color="auto"/>
                  </w:divBdr>
                  <w:divsChild>
                    <w:div w:id="19019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996935">
      <w:bodyDiv w:val="1"/>
      <w:marLeft w:val="0"/>
      <w:marRight w:val="0"/>
      <w:marTop w:val="0"/>
      <w:marBottom w:val="0"/>
      <w:divBdr>
        <w:top w:val="none" w:sz="0" w:space="0" w:color="auto"/>
        <w:left w:val="none" w:sz="0" w:space="0" w:color="auto"/>
        <w:bottom w:val="none" w:sz="0" w:space="0" w:color="auto"/>
        <w:right w:val="none" w:sz="0" w:space="0" w:color="auto"/>
      </w:divBdr>
      <w:divsChild>
        <w:div w:id="292710511">
          <w:marLeft w:val="0"/>
          <w:marRight w:val="0"/>
          <w:marTop w:val="0"/>
          <w:marBottom w:val="0"/>
          <w:divBdr>
            <w:top w:val="none" w:sz="0" w:space="0" w:color="auto"/>
            <w:left w:val="none" w:sz="0" w:space="0" w:color="auto"/>
            <w:bottom w:val="none" w:sz="0" w:space="0" w:color="auto"/>
            <w:right w:val="none" w:sz="0" w:space="0" w:color="auto"/>
          </w:divBdr>
          <w:divsChild>
            <w:div w:id="441612046">
              <w:marLeft w:val="0"/>
              <w:marRight w:val="0"/>
              <w:marTop w:val="0"/>
              <w:marBottom w:val="0"/>
              <w:divBdr>
                <w:top w:val="none" w:sz="0" w:space="0" w:color="auto"/>
                <w:left w:val="none" w:sz="0" w:space="0" w:color="auto"/>
                <w:bottom w:val="none" w:sz="0" w:space="0" w:color="auto"/>
                <w:right w:val="none" w:sz="0" w:space="0" w:color="auto"/>
              </w:divBdr>
              <w:divsChild>
                <w:div w:id="1159421872">
                  <w:marLeft w:val="0"/>
                  <w:marRight w:val="0"/>
                  <w:marTop w:val="0"/>
                  <w:marBottom w:val="0"/>
                  <w:divBdr>
                    <w:top w:val="none" w:sz="0" w:space="0" w:color="auto"/>
                    <w:left w:val="none" w:sz="0" w:space="0" w:color="auto"/>
                    <w:bottom w:val="none" w:sz="0" w:space="0" w:color="auto"/>
                    <w:right w:val="none" w:sz="0" w:space="0" w:color="auto"/>
                  </w:divBdr>
                  <w:divsChild>
                    <w:div w:id="14628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999837">
      <w:bodyDiv w:val="1"/>
      <w:marLeft w:val="0"/>
      <w:marRight w:val="0"/>
      <w:marTop w:val="0"/>
      <w:marBottom w:val="0"/>
      <w:divBdr>
        <w:top w:val="none" w:sz="0" w:space="0" w:color="auto"/>
        <w:left w:val="none" w:sz="0" w:space="0" w:color="auto"/>
        <w:bottom w:val="none" w:sz="0" w:space="0" w:color="auto"/>
        <w:right w:val="none" w:sz="0" w:space="0" w:color="auto"/>
      </w:divBdr>
    </w:div>
    <w:div w:id="2127846599">
      <w:bodyDiv w:val="1"/>
      <w:marLeft w:val="0"/>
      <w:marRight w:val="0"/>
      <w:marTop w:val="0"/>
      <w:marBottom w:val="0"/>
      <w:divBdr>
        <w:top w:val="none" w:sz="0" w:space="0" w:color="auto"/>
        <w:left w:val="none" w:sz="0" w:space="0" w:color="auto"/>
        <w:bottom w:val="none" w:sz="0" w:space="0" w:color="auto"/>
        <w:right w:val="none" w:sz="0" w:space="0" w:color="auto"/>
      </w:divBdr>
      <w:divsChild>
        <w:div w:id="1868443941">
          <w:marLeft w:val="0"/>
          <w:marRight w:val="0"/>
          <w:marTop w:val="0"/>
          <w:marBottom w:val="0"/>
          <w:divBdr>
            <w:top w:val="none" w:sz="0" w:space="0" w:color="auto"/>
            <w:left w:val="none" w:sz="0" w:space="0" w:color="auto"/>
            <w:bottom w:val="none" w:sz="0" w:space="0" w:color="auto"/>
            <w:right w:val="none" w:sz="0" w:space="0" w:color="auto"/>
          </w:divBdr>
          <w:divsChild>
            <w:div w:id="74670343">
              <w:marLeft w:val="0"/>
              <w:marRight w:val="0"/>
              <w:marTop w:val="0"/>
              <w:marBottom w:val="0"/>
              <w:divBdr>
                <w:top w:val="none" w:sz="0" w:space="0" w:color="auto"/>
                <w:left w:val="none" w:sz="0" w:space="0" w:color="auto"/>
                <w:bottom w:val="none" w:sz="0" w:space="0" w:color="auto"/>
                <w:right w:val="none" w:sz="0" w:space="0" w:color="auto"/>
              </w:divBdr>
              <w:divsChild>
                <w:div w:id="1060322705">
                  <w:marLeft w:val="0"/>
                  <w:marRight w:val="0"/>
                  <w:marTop w:val="0"/>
                  <w:marBottom w:val="0"/>
                  <w:divBdr>
                    <w:top w:val="none" w:sz="0" w:space="0" w:color="auto"/>
                    <w:left w:val="none" w:sz="0" w:space="0" w:color="auto"/>
                    <w:bottom w:val="none" w:sz="0" w:space="0" w:color="auto"/>
                    <w:right w:val="none" w:sz="0" w:space="0" w:color="auto"/>
                  </w:divBdr>
                  <w:divsChild>
                    <w:div w:id="32663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931746">
      <w:bodyDiv w:val="1"/>
      <w:marLeft w:val="0"/>
      <w:marRight w:val="0"/>
      <w:marTop w:val="0"/>
      <w:marBottom w:val="0"/>
      <w:divBdr>
        <w:top w:val="none" w:sz="0" w:space="0" w:color="auto"/>
        <w:left w:val="none" w:sz="0" w:space="0" w:color="auto"/>
        <w:bottom w:val="none" w:sz="0" w:space="0" w:color="auto"/>
        <w:right w:val="none" w:sz="0" w:space="0" w:color="auto"/>
      </w:divBdr>
    </w:div>
    <w:div w:id="2130972799">
      <w:bodyDiv w:val="1"/>
      <w:marLeft w:val="0"/>
      <w:marRight w:val="0"/>
      <w:marTop w:val="0"/>
      <w:marBottom w:val="0"/>
      <w:divBdr>
        <w:top w:val="none" w:sz="0" w:space="0" w:color="auto"/>
        <w:left w:val="none" w:sz="0" w:space="0" w:color="auto"/>
        <w:bottom w:val="none" w:sz="0" w:space="0" w:color="auto"/>
        <w:right w:val="none" w:sz="0" w:space="0" w:color="auto"/>
      </w:divBdr>
    </w:div>
    <w:div w:id="2131241869">
      <w:bodyDiv w:val="1"/>
      <w:marLeft w:val="0"/>
      <w:marRight w:val="0"/>
      <w:marTop w:val="0"/>
      <w:marBottom w:val="0"/>
      <w:divBdr>
        <w:top w:val="none" w:sz="0" w:space="0" w:color="auto"/>
        <w:left w:val="none" w:sz="0" w:space="0" w:color="auto"/>
        <w:bottom w:val="none" w:sz="0" w:space="0" w:color="auto"/>
        <w:right w:val="none" w:sz="0" w:space="0" w:color="auto"/>
      </w:divBdr>
    </w:div>
    <w:div w:id="2131507833">
      <w:bodyDiv w:val="1"/>
      <w:marLeft w:val="0"/>
      <w:marRight w:val="0"/>
      <w:marTop w:val="0"/>
      <w:marBottom w:val="0"/>
      <w:divBdr>
        <w:top w:val="none" w:sz="0" w:space="0" w:color="auto"/>
        <w:left w:val="none" w:sz="0" w:space="0" w:color="auto"/>
        <w:bottom w:val="none" w:sz="0" w:space="0" w:color="auto"/>
        <w:right w:val="none" w:sz="0" w:space="0" w:color="auto"/>
      </w:divBdr>
      <w:divsChild>
        <w:div w:id="1741557534">
          <w:marLeft w:val="0"/>
          <w:marRight w:val="0"/>
          <w:marTop w:val="0"/>
          <w:marBottom w:val="0"/>
          <w:divBdr>
            <w:top w:val="none" w:sz="0" w:space="0" w:color="auto"/>
            <w:left w:val="none" w:sz="0" w:space="0" w:color="auto"/>
            <w:bottom w:val="none" w:sz="0" w:space="0" w:color="auto"/>
            <w:right w:val="none" w:sz="0" w:space="0" w:color="auto"/>
          </w:divBdr>
          <w:divsChild>
            <w:div w:id="598683223">
              <w:marLeft w:val="0"/>
              <w:marRight w:val="0"/>
              <w:marTop w:val="0"/>
              <w:marBottom w:val="0"/>
              <w:divBdr>
                <w:top w:val="none" w:sz="0" w:space="0" w:color="auto"/>
                <w:left w:val="none" w:sz="0" w:space="0" w:color="auto"/>
                <w:bottom w:val="none" w:sz="0" w:space="0" w:color="auto"/>
                <w:right w:val="none" w:sz="0" w:space="0" w:color="auto"/>
              </w:divBdr>
              <w:divsChild>
                <w:div w:id="1493987330">
                  <w:marLeft w:val="0"/>
                  <w:marRight w:val="0"/>
                  <w:marTop w:val="0"/>
                  <w:marBottom w:val="0"/>
                  <w:divBdr>
                    <w:top w:val="none" w:sz="0" w:space="0" w:color="auto"/>
                    <w:left w:val="none" w:sz="0" w:space="0" w:color="auto"/>
                    <w:bottom w:val="none" w:sz="0" w:space="0" w:color="auto"/>
                    <w:right w:val="none" w:sz="0" w:space="0" w:color="auto"/>
                  </w:divBdr>
                  <w:divsChild>
                    <w:div w:id="151580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630498">
      <w:bodyDiv w:val="1"/>
      <w:marLeft w:val="0"/>
      <w:marRight w:val="0"/>
      <w:marTop w:val="0"/>
      <w:marBottom w:val="0"/>
      <w:divBdr>
        <w:top w:val="none" w:sz="0" w:space="0" w:color="auto"/>
        <w:left w:val="none" w:sz="0" w:space="0" w:color="auto"/>
        <w:bottom w:val="none" w:sz="0" w:space="0" w:color="auto"/>
        <w:right w:val="none" w:sz="0" w:space="0" w:color="auto"/>
      </w:divBdr>
    </w:div>
    <w:div w:id="2132044561">
      <w:bodyDiv w:val="1"/>
      <w:marLeft w:val="0"/>
      <w:marRight w:val="0"/>
      <w:marTop w:val="0"/>
      <w:marBottom w:val="0"/>
      <w:divBdr>
        <w:top w:val="none" w:sz="0" w:space="0" w:color="auto"/>
        <w:left w:val="none" w:sz="0" w:space="0" w:color="auto"/>
        <w:bottom w:val="none" w:sz="0" w:space="0" w:color="auto"/>
        <w:right w:val="none" w:sz="0" w:space="0" w:color="auto"/>
      </w:divBdr>
    </w:div>
    <w:div w:id="2133594506">
      <w:bodyDiv w:val="1"/>
      <w:marLeft w:val="0"/>
      <w:marRight w:val="0"/>
      <w:marTop w:val="0"/>
      <w:marBottom w:val="0"/>
      <w:divBdr>
        <w:top w:val="none" w:sz="0" w:space="0" w:color="auto"/>
        <w:left w:val="none" w:sz="0" w:space="0" w:color="auto"/>
        <w:bottom w:val="none" w:sz="0" w:space="0" w:color="auto"/>
        <w:right w:val="none" w:sz="0" w:space="0" w:color="auto"/>
      </w:divBdr>
    </w:div>
    <w:div w:id="2134058669">
      <w:bodyDiv w:val="1"/>
      <w:marLeft w:val="0"/>
      <w:marRight w:val="0"/>
      <w:marTop w:val="0"/>
      <w:marBottom w:val="0"/>
      <w:divBdr>
        <w:top w:val="none" w:sz="0" w:space="0" w:color="auto"/>
        <w:left w:val="none" w:sz="0" w:space="0" w:color="auto"/>
        <w:bottom w:val="none" w:sz="0" w:space="0" w:color="auto"/>
        <w:right w:val="none" w:sz="0" w:space="0" w:color="auto"/>
      </w:divBdr>
    </w:div>
    <w:div w:id="2134861392">
      <w:bodyDiv w:val="1"/>
      <w:marLeft w:val="0"/>
      <w:marRight w:val="0"/>
      <w:marTop w:val="0"/>
      <w:marBottom w:val="0"/>
      <w:divBdr>
        <w:top w:val="none" w:sz="0" w:space="0" w:color="auto"/>
        <w:left w:val="none" w:sz="0" w:space="0" w:color="auto"/>
        <w:bottom w:val="none" w:sz="0" w:space="0" w:color="auto"/>
        <w:right w:val="none" w:sz="0" w:space="0" w:color="auto"/>
      </w:divBdr>
    </w:div>
    <w:div w:id="2135171877">
      <w:bodyDiv w:val="1"/>
      <w:marLeft w:val="0"/>
      <w:marRight w:val="0"/>
      <w:marTop w:val="0"/>
      <w:marBottom w:val="0"/>
      <w:divBdr>
        <w:top w:val="none" w:sz="0" w:space="0" w:color="auto"/>
        <w:left w:val="none" w:sz="0" w:space="0" w:color="auto"/>
        <w:bottom w:val="none" w:sz="0" w:space="0" w:color="auto"/>
        <w:right w:val="none" w:sz="0" w:space="0" w:color="auto"/>
      </w:divBdr>
    </w:div>
    <w:div w:id="2135437092">
      <w:bodyDiv w:val="1"/>
      <w:marLeft w:val="0"/>
      <w:marRight w:val="0"/>
      <w:marTop w:val="0"/>
      <w:marBottom w:val="0"/>
      <w:divBdr>
        <w:top w:val="none" w:sz="0" w:space="0" w:color="auto"/>
        <w:left w:val="none" w:sz="0" w:space="0" w:color="auto"/>
        <w:bottom w:val="none" w:sz="0" w:space="0" w:color="auto"/>
        <w:right w:val="none" w:sz="0" w:space="0" w:color="auto"/>
      </w:divBdr>
    </w:div>
    <w:div w:id="2135755860">
      <w:bodyDiv w:val="1"/>
      <w:marLeft w:val="0"/>
      <w:marRight w:val="0"/>
      <w:marTop w:val="0"/>
      <w:marBottom w:val="0"/>
      <w:divBdr>
        <w:top w:val="none" w:sz="0" w:space="0" w:color="auto"/>
        <w:left w:val="none" w:sz="0" w:space="0" w:color="auto"/>
        <w:bottom w:val="none" w:sz="0" w:space="0" w:color="auto"/>
        <w:right w:val="none" w:sz="0" w:space="0" w:color="auto"/>
      </w:divBdr>
    </w:div>
    <w:div w:id="2135824824">
      <w:bodyDiv w:val="1"/>
      <w:marLeft w:val="0"/>
      <w:marRight w:val="0"/>
      <w:marTop w:val="0"/>
      <w:marBottom w:val="0"/>
      <w:divBdr>
        <w:top w:val="none" w:sz="0" w:space="0" w:color="auto"/>
        <w:left w:val="none" w:sz="0" w:space="0" w:color="auto"/>
        <w:bottom w:val="none" w:sz="0" w:space="0" w:color="auto"/>
        <w:right w:val="none" w:sz="0" w:space="0" w:color="auto"/>
      </w:divBdr>
    </w:div>
    <w:div w:id="2136288980">
      <w:bodyDiv w:val="1"/>
      <w:marLeft w:val="0"/>
      <w:marRight w:val="0"/>
      <w:marTop w:val="0"/>
      <w:marBottom w:val="0"/>
      <w:divBdr>
        <w:top w:val="none" w:sz="0" w:space="0" w:color="auto"/>
        <w:left w:val="none" w:sz="0" w:space="0" w:color="auto"/>
        <w:bottom w:val="none" w:sz="0" w:space="0" w:color="auto"/>
        <w:right w:val="none" w:sz="0" w:space="0" w:color="auto"/>
      </w:divBdr>
      <w:divsChild>
        <w:div w:id="159278948">
          <w:marLeft w:val="0"/>
          <w:marRight w:val="0"/>
          <w:marTop w:val="0"/>
          <w:marBottom w:val="0"/>
          <w:divBdr>
            <w:top w:val="none" w:sz="0" w:space="0" w:color="auto"/>
            <w:left w:val="none" w:sz="0" w:space="0" w:color="auto"/>
            <w:bottom w:val="none" w:sz="0" w:space="0" w:color="auto"/>
            <w:right w:val="none" w:sz="0" w:space="0" w:color="auto"/>
          </w:divBdr>
          <w:divsChild>
            <w:div w:id="2131197664">
              <w:marLeft w:val="0"/>
              <w:marRight w:val="0"/>
              <w:marTop w:val="0"/>
              <w:marBottom w:val="0"/>
              <w:divBdr>
                <w:top w:val="none" w:sz="0" w:space="0" w:color="auto"/>
                <w:left w:val="none" w:sz="0" w:space="0" w:color="auto"/>
                <w:bottom w:val="none" w:sz="0" w:space="0" w:color="auto"/>
                <w:right w:val="none" w:sz="0" w:space="0" w:color="auto"/>
              </w:divBdr>
              <w:divsChild>
                <w:div w:id="197763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289935">
      <w:bodyDiv w:val="1"/>
      <w:marLeft w:val="0"/>
      <w:marRight w:val="0"/>
      <w:marTop w:val="0"/>
      <w:marBottom w:val="0"/>
      <w:divBdr>
        <w:top w:val="none" w:sz="0" w:space="0" w:color="auto"/>
        <w:left w:val="none" w:sz="0" w:space="0" w:color="auto"/>
        <w:bottom w:val="none" w:sz="0" w:space="0" w:color="auto"/>
        <w:right w:val="none" w:sz="0" w:space="0" w:color="auto"/>
      </w:divBdr>
    </w:div>
    <w:div w:id="2136364674">
      <w:bodyDiv w:val="1"/>
      <w:marLeft w:val="0"/>
      <w:marRight w:val="0"/>
      <w:marTop w:val="0"/>
      <w:marBottom w:val="0"/>
      <w:divBdr>
        <w:top w:val="none" w:sz="0" w:space="0" w:color="auto"/>
        <w:left w:val="none" w:sz="0" w:space="0" w:color="auto"/>
        <w:bottom w:val="none" w:sz="0" w:space="0" w:color="auto"/>
        <w:right w:val="none" w:sz="0" w:space="0" w:color="auto"/>
      </w:divBdr>
    </w:div>
    <w:div w:id="2136751931">
      <w:bodyDiv w:val="1"/>
      <w:marLeft w:val="0"/>
      <w:marRight w:val="0"/>
      <w:marTop w:val="0"/>
      <w:marBottom w:val="0"/>
      <w:divBdr>
        <w:top w:val="none" w:sz="0" w:space="0" w:color="auto"/>
        <w:left w:val="none" w:sz="0" w:space="0" w:color="auto"/>
        <w:bottom w:val="none" w:sz="0" w:space="0" w:color="auto"/>
        <w:right w:val="none" w:sz="0" w:space="0" w:color="auto"/>
      </w:divBdr>
    </w:div>
    <w:div w:id="2136752240">
      <w:bodyDiv w:val="1"/>
      <w:marLeft w:val="0"/>
      <w:marRight w:val="0"/>
      <w:marTop w:val="0"/>
      <w:marBottom w:val="0"/>
      <w:divBdr>
        <w:top w:val="none" w:sz="0" w:space="0" w:color="auto"/>
        <w:left w:val="none" w:sz="0" w:space="0" w:color="auto"/>
        <w:bottom w:val="none" w:sz="0" w:space="0" w:color="auto"/>
        <w:right w:val="none" w:sz="0" w:space="0" w:color="auto"/>
      </w:divBdr>
    </w:div>
    <w:div w:id="2136823846">
      <w:bodyDiv w:val="1"/>
      <w:marLeft w:val="0"/>
      <w:marRight w:val="0"/>
      <w:marTop w:val="0"/>
      <w:marBottom w:val="0"/>
      <w:divBdr>
        <w:top w:val="none" w:sz="0" w:space="0" w:color="auto"/>
        <w:left w:val="none" w:sz="0" w:space="0" w:color="auto"/>
        <w:bottom w:val="none" w:sz="0" w:space="0" w:color="auto"/>
        <w:right w:val="none" w:sz="0" w:space="0" w:color="auto"/>
      </w:divBdr>
    </w:div>
    <w:div w:id="2137138163">
      <w:bodyDiv w:val="1"/>
      <w:marLeft w:val="0"/>
      <w:marRight w:val="0"/>
      <w:marTop w:val="0"/>
      <w:marBottom w:val="0"/>
      <w:divBdr>
        <w:top w:val="none" w:sz="0" w:space="0" w:color="auto"/>
        <w:left w:val="none" w:sz="0" w:space="0" w:color="auto"/>
        <w:bottom w:val="none" w:sz="0" w:space="0" w:color="auto"/>
        <w:right w:val="none" w:sz="0" w:space="0" w:color="auto"/>
      </w:divBdr>
    </w:div>
    <w:div w:id="2137487807">
      <w:bodyDiv w:val="1"/>
      <w:marLeft w:val="0"/>
      <w:marRight w:val="0"/>
      <w:marTop w:val="0"/>
      <w:marBottom w:val="0"/>
      <w:divBdr>
        <w:top w:val="none" w:sz="0" w:space="0" w:color="auto"/>
        <w:left w:val="none" w:sz="0" w:space="0" w:color="auto"/>
        <w:bottom w:val="none" w:sz="0" w:space="0" w:color="auto"/>
        <w:right w:val="none" w:sz="0" w:space="0" w:color="auto"/>
      </w:divBdr>
    </w:div>
    <w:div w:id="2137792181">
      <w:bodyDiv w:val="1"/>
      <w:marLeft w:val="0"/>
      <w:marRight w:val="0"/>
      <w:marTop w:val="0"/>
      <w:marBottom w:val="0"/>
      <w:divBdr>
        <w:top w:val="none" w:sz="0" w:space="0" w:color="auto"/>
        <w:left w:val="none" w:sz="0" w:space="0" w:color="auto"/>
        <w:bottom w:val="none" w:sz="0" w:space="0" w:color="auto"/>
        <w:right w:val="none" w:sz="0" w:space="0" w:color="auto"/>
      </w:divBdr>
      <w:divsChild>
        <w:div w:id="1727726295">
          <w:marLeft w:val="0"/>
          <w:marRight w:val="0"/>
          <w:marTop w:val="0"/>
          <w:marBottom w:val="0"/>
          <w:divBdr>
            <w:top w:val="none" w:sz="0" w:space="0" w:color="auto"/>
            <w:left w:val="none" w:sz="0" w:space="0" w:color="auto"/>
            <w:bottom w:val="none" w:sz="0" w:space="0" w:color="auto"/>
            <w:right w:val="none" w:sz="0" w:space="0" w:color="auto"/>
          </w:divBdr>
          <w:divsChild>
            <w:div w:id="607473499">
              <w:marLeft w:val="0"/>
              <w:marRight w:val="0"/>
              <w:marTop w:val="0"/>
              <w:marBottom w:val="0"/>
              <w:divBdr>
                <w:top w:val="none" w:sz="0" w:space="0" w:color="auto"/>
                <w:left w:val="none" w:sz="0" w:space="0" w:color="auto"/>
                <w:bottom w:val="none" w:sz="0" w:space="0" w:color="auto"/>
                <w:right w:val="none" w:sz="0" w:space="0" w:color="auto"/>
              </w:divBdr>
              <w:divsChild>
                <w:div w:id="314186278">
                  <w:marLeft w:val="0"/>
                  <w:marRight w:val="0"/>
                  <w:marTop w:val="0"/>
                  <w:marBottom w:val="0"/>
                  <w:divBdr>
                    <w:top w:val="none" w:sz="0" w:space="0" w:color="auto"/>
                    <w:left w:val="none" w:sz="0" w:space="0" w:color="auto"/>
                    <w:bottom w:val="none" w:sz="0" w:space="0" w:color="auto"/>
                    <w:right w:val="none" w:sz="0" w:space="0" w:color="auto"/>
                  </w:divBdr>
                  <w:divsChild>
                    <w:div w:id="243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914514">
      <w:bodyDiv w:val="1"/>
      <w:marLeft w:val="0"/>
      <w:marRight w:val="0"/>
      <w:marTop w:val="0"/>
      <w:marBottom w:val="0"/>
      <w:divBdr>
        <w:top w:val="none" w:sz="0" w:space="0" w:color="auto"/>
        <w:left w:val="none" w:sz="0" w:space="0" w:color="auto"/>
        <w:bottom w:val="none" w:sz="0" w:space="0" w:color="auto"/>
        <w:right w:val="none" w:sz="0" w:space="0" w:color="auto"/>
      </w:divBdr>
      <w:divsChild>
        <w:div w:id="1050032315">
          <w:marLeft w:val="0"/>
          <w:marRight w:val="0"/>
          <w:marTop w:val="0"/>
          <w:marBottom w:val="0"/>
          <w:divBdr>
            <w:top w:val="none" w:sz="0" w:space="0" w:color="auto"/>
            <w:left w:val="none" w:sz="0" w:space="0" w:color="auto"/>
            <w:bottom w:val="none" w:sz="0" w:space="0" w:color="auto"/>
            <w:right w:val="none" w:sz="0" w:space="0" w:color="auto"/>
          </w:divBdr>
          <w:divsChild>
            <w:div w:id="2091537792">
              <w:marLeft w:val="0"/>
              <w:marRight w:val="0"/>
              <w:marTop w:val="0"/>
              <w:marBottom w:val="0"/>
              <w:divBdr>
                <w:top w:val="none" w:sz="0" w:space="0" w:color="auto"/>
                <w:left w:val="none" w:sz="0" w:space="0" w:color="auto"/>
                <w:bottom w:val="none" w:sz="0" w:space="0" w:color="auto"/>
                <w:right w:val="none" w:sz="0" w:space="0" w:color="auto"/>
              </w:divBdr>
              <w:divsChild>
                <w:div w:id="1145124340">
                  <w:marLeft w:val="0"/>
                  <w:marRight w:val="0"/>
                  <w:marTop w:val="0"/>
                  <w:marBottom w:val="0"/>
                  <w:divBdr>
                    <w:top w:val="none" w:sz="0" w:space="0" w:color="auto"/>
                    <w:left w:val="none" w:sz="0" w:space="0" w:color="auto"/>
                    <w:bottom w:val="none" w:sz="0" w:space="0" w:color="auto"/>
                    <w:right w:val="none" w:sz="0" w:space="0" w:color="auto"/>
                  </w:divBdr>
                  <w:divsChild>
                    <w:div w:id="98809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031608">
      <w:bodyDiv w:val="1"/>
      <w:marLeft w:val="0"/>
      <w:marRight w:val="0"/>
      <w:marTop w:val="0"/>
      <w:marBottom w:val="0"/>
      <w:divBdr>
        <w:top w:val="none" w:sz="0" w:space="0" w:color="auto"/>
        <w:left w:val="none" w:sz="0" w:space="0" w:color="auto"/>
        <w:bottom w:val="none" w:sz="0" w:space="0" w:color="auto"/>
        <w:right w:val="none" w:sz="0" w:space="0" w:color="auto"/>
      </w:divBdr>
      <w:divsChild>
        <w:div w:id="1274825223">
          <w:marLeft w:val="0"/>
          <w:marRight w:val="0"/>
          <w:marTop w:val="0"/>
          <w:marBottom w:val="0"/>
          <w:divBdr>
            <w:top w:val="none" w:sz="0" w:space="0" w:color="auto"/>
            <w:left w:val="none" w:sz="0" w:space="0" w:color="auto"/>
            <w:bottom w:val="none" w:sz="0" w:space="0" w:color="auto"/>
            <w:right w:val="none" w:sz="0" w:space="0" w:color="auto"/>
          </w:divBdr>
          <w:divsChild>
            <w:div w:id="1970284148">
              <w:marLeft w:val="0"/>
              <w:marRight w:val="0"/>
              <w:marTop w:val="0"/>
              <w:marBottom w:val="0"/>
              <w:divBdr>
                <w:top w:val="none" w:sz="0" w:space="0" w:color="auto"/>
                <w:left w:val="none" w:sz="0" w:space="0" w:color="auto"/>
                <w:bottom w:val="none" w:sz="0" w:space="0" w:color="auto"/>
                <w:right w:val="none" w:sz="0" w:space="0" w:color="auto"/>
              </w:divBdr>
              <w:divsChild>
                <w:div w:id="930746619">
                  <w:marLeft w:val="0"/>
                  <w:marRight w:val="0"/>
                  <w:marTop w:val="0"/>
                  <w:marBottom w:val="0"/>
                  <w:divBdr>
                    <w:top w:val="none" w:sz="0" w:space="0" w:color="auto"/>
                    <w:left w:val="none" w:sz="0" w:space="0" w:color="auto"/>
                    <w:bottom w:val="none" w:sz="0" w:space="0" w:color="auto"/>
                    <w:right w:val="none" w:sz="0" w:space="0" w:color="auto"/>
                  </w:divBdr>
                  <w:divsChild>
                    <w:div w:id="15371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178007">
      <w:bodyDiv w:val="1"/>
      <w:marLeft w:val="0"/>
      <w:marRight w:val="0"/>
      <w:marTop w:val="0"/>
      <w:marBottom w:val="0"/>
      <w:divBdr>
        <w:top w:val="none" w:sz="0" w:space="0" w:color="auto"/>
        <w:left w:val="none" w:sz="0" w:space="0" w:color="auto"/>
        <w:bottom w:val="none" w:sz="0" w:space="0" w:color="auto"/>
        <w:right w:val="none" w:sz="0" w:space="0" w:color="auto"/>
      </w:divBdr>
    </w:div>
    <w:div w:id="2139258009">
      <w:bodyDiv w:val="1"/>
      <w:marLeft w:val="0"/>
      <w:marRight w:val="0"/>
      <w:marTop w:val="0"/>
      <w:marBottom w:val="0"/>
      <w:divBdr>
        <w:top w:val="none" w:sz="0" w:space="0" w:color="auto"/>
        <w:left w:val="none" w:sz="0" w:space="0" w:color="auto"/>
        <w:bottom w:val="none" w:sz="0" w:space="0" w:color="auto"/>
        <w:right w:val="none" w:sz="0" w:space="0" w:color="auto"/>
      </w:divBdr>
      <w:divsChild>
        <w:div w:id="1338386812">
          <w:marLeft w:val="0"/>
          <w:marRight w:val="0"/>
          <w:marTop w:val="0"/>
          <w:marBottom w:val="0"/>
          <w:divBdr>
            <w:top w:val="none" w:sz="0" w:space="0" w:color="auto"/>
            <w:left w:val="none" w:sz="0" w:space="0" w:color="auto"/>
            <w:bottom w:val="none" w:sz="0" w:space="0" w:color="auto"/>
            <w:right w:val="none" w:sz="0" w:space="0" w:color="auto"/>
          </w:divBdr>
          <w:divsChild>
            <w:div w:id="1876389017">
              <w:marLeft w:val="0"/>
              <w:marRight w:val="0"/>
              <w:marTop w:val="0"/>
              <w:marBottom w:val="0"/>
              <w:divBdr>
                <w:top w:val="none" w:sz="0" w:space="0" w:color="auto"/>
                <w:left w:val="none" w:sz="0" w:space="0" w:color="auto"/>
                <w:bottom w:val="none" w:sz="0" w:space="0" w:color="auto"/>
                <w:right w:val="none" w:sz="0" w:space="0" w:color="auto"/>
              </w:divBdr>
              <w:divsChild>
                <w:div w:id="1356466606">
                  <w:marLeft w:val="0"/>
                  <w:marRight w:val="0"/>
                  <w:marTop w:val="0"/>
                  <w:marBottom w:val="0"/>
                  <w:divBdr>
                    <w:top w:val="none" w:sz="0" w:space="0" w:color="auto"/>
                    <w:left w:val="none" w:sz="0" w:space="0" w:color="auto"/>
                    <w:bottom w:val="none" w:sz="0" w:space="0" w:color="auto"/>
                    <w:right w:val="none" w:sz="0" w:space="0" w:color="auto"/>
                  </w:divBdr>
                  <w:divsChild>
                    <w:div w:id="868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447439">
      <w:bodyDiv w:val="1"/>
      <w:marLeft w:val="0"/>
      <w:marRight w:val="0"/>
      <w:marTop w:val="0"/>
      <w:marBottom w:val="0"/>
      <w:divBdr>
        <w:top w:val="none" w:sz="0" w:space="0" w:color="auto"/>
        <w:left w:val="none" w:sz="0" w:space="0" w:color="auto"/>
        <w:bottom w:val="none" w:sz="0" w:space="0" w:color="auto"/>
        <w:right w:val="none" w:sz="0" w:space="0" w:color="auto"/>
      </w:divBdr>
      <w:divsChild>
        <w:div w:id="1892958012">
          <w:marLeft w:val="0"/>
          <w:marRight w:val="0"/>
          <w:marTop w:val="0"/>
          <w:marBottom w:val="0"/>
          <w:divBdr>
            <w:top w:val="none" w:sz="0" w:space="0" w:color="auto"/>
            <w:left w:val="none" w:sz="0" w:space="0" w:color="auto"/>
            <w:bottom w:val="none" w:sz="0" w:space="0" w:color="auto"/>
            <w:right w:val="none" w:sz="0" w:space="0" w:color="auto"/>
          </w:divBdr>
          <w:divsChild>
            <w:div w:id="1458765870">
              <w:marLeft w:val="0"/>
              <w:marRight w:val="0"/>
              <w:marTop w:val="0"/>
              <w:marBottom w:val="0"/>
              <w:divBdr>
                <w:top w:val="none" w:sz="0" w:space="0" w:color="auto"/>
                <w:left w:val="none" w:sz="0" w:space="0" w:color="auto"/>
                <w:bottom w:val="none" w:sz="0" w:space="0" w:color="auto"/>
                <w:right w:val="none" w:sz="0" w:space="0" w:color="auto"/>
              </w:divBdr>
              <w:divsChild>
                <w:div w:id="1192839035">
                  <w:marLeft w:val="0"/>
                  <w:marRight w:val="0"/>
                  <w:marTop w:val="0"/>
                  <w:marBottom w:val="0"/>
                  <w:divBdr>
                    <w:top w:val="none" w:sz="0" w:space="0" w:color="auto"/>
                    <w:left w:val="none" w:sz="0" w:space="0" w:color="auto"/>
                    <w:bottom w:val="none" w:sz="0" w:space="0" w:color="auto"/>
                    <w:right w:val="none" w:sz="0" w:space="0" w:color="auto"/>
                  </w:divBdr>
                  <w:divsChild>
                    <w:div w:id="40823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453354">
      <w:bodyDiv w:val="1"/>
      <w:marLeft w:val="0"/>
      <w:marRight w:val="0"/>
      <w:marTop w:val="0"/>
      <w:marBottom w:val="0"/>
      <w:divBdr>
        <w:top w:val="none" w:sz="0" w:space="0" w:color="auto"/>
        <w:left w:val="none" w:sz="0" w:space="0" w:color="auto"/>
        <w:bottom w:val="none" w:sz="0" w:space="0" w:color="auto"/>
        <w:right w:val="none" w:sz="0" w:space="0" w:color="auto"/>
      </w:divBdr>
    </w:div>
    <w:div w:id="2139756395">
      <w:bodyDiv w:val="1"/>
      <w:marLeft w:val="0"/>
      <w:marRight w:val="0"/>
      <w:marTop w:val="0"/>
      <w:marBottom w:val="0"/>
      <w:divBdr>
        <w:top w:val="none" w:sz="0" w:space="0" w:color="auto"/>
        <w:left w:val="none" w:sz="0" w:space="0" w:color="auto"/>
        <w:bottom w:val="none" w:sz="0" w:space="0" w:color="auto"/>
        <w:right w:val="none" w:sz="0" w:space="0" w:color="auto"/>
      </w:divBdr>
    </w:div>
    <w:div w:id="2140224482">
      <w:bodyDiv w:val="1"/>
      <w:marLeft w:val="0"/>
      <w:marRight w:val="0"/>
      <w:marTop w:val="0"/>
      <w:marBottom w:val="0"/>
      <w:divBdr>
        <w:top w:val="none" w:sz="0" w:space="0" w:color="auto"/>
        <w:left w:val="none" w:sz="0" w:space="0" w:color="auto"/>
        <w:bottom w:val="none" w:sz="0" w:space="0" w:color="auto"/>
        <w:right w:val="none" w:sz="0" w:space="0" w:color="auto"/>
      </w:divBdr>
    </w:div>
    <w:div w:id="2140805860">
      <w:bodyDiv w:val="1"/>
      <w:marLeft w:val="0"/>
      <w:marRight w:val="0"/>
      <w:marTop w:val="0"/>
      <w:marBottom w:val="0"/>
      <w:divBdr>
        <w:top w:val="none" w:sz="0" w:space="0" w:color="auto"/>
        <w:left w:val="none" w:sz="0" w:space="0" w:color="auto"/>
        <w:bottom w:val="none" w:sz="0" w:space="0" w:color="auto"/>
        <w:right w:val="none" w:sz="0" w:space="0" w:color="auto"/>
      </w:divBdr>
    </w:div>
    <w:div w:id="2141067539">
      <w:bodyDiv w:val="1"/>
      <w:marLeft w:val="0"/>
      <w:marRight w:val="0"/>
      <w:marTop w:val="0"/>
      <w:marBottom w:val="0"/>
      <w:divBdr>
        <w:top w:val="none" w:sz="0" w:space="0" w:color="auto"/>
        <w:left w:val="none" w:sz="0" w:space="0" w:color="auto"/>
        <w:bottom w:val="none" w:sz="0" w:space="0" w:color="auto"/>
        <w:right w:val="none" w:sz="0" w:space="0" w:color="auto"/>
      </w:divBdr>
    </w:div>
    <w:div w:id="2141533984">
      <w:bodyDiv w:val="1"/>
      <w:marLeft w:val="0"/>
      <w:marRight w:val="0"/>
      <w:marTop w:val="0"/>
      <w:marBottom w:val="0"/>
      <w:divBdr>
        <w:top w:val="none" w:sz="0" w:space="0" w:color="auto"/>
        <w:left w:val="none" w:sz="0" w:space="0" w:color="auto"/>
        <w:bottom w:val="none" w:sz="0" w:space="0" w:color="auto"/>
        <w:right w:val="none" w:sz="0" w:space="0" w:color="auto"/>
      </w:divBdr>
    </w:div>
    <w:div w:id="2141720941">
      <w:bodyDiv w:val="1"/>
      <w:marLeft w:val="0"/>
      <w:marRight w:val="0"/>
      <w:marTop w:val="0"/>
      <w:marBottom w:val="0"/>
      <w:divBdr>
        <w:top w:val="none" w:sz="0" w:space="0" w:color="auto"/>
        <w:left w:val="none" w:sz="0" w:space="0" w:color="auto"/>
        <w:bottom w:val="none" w:sz="0" w:space="0" w:color="auto"/>
        <w:right w:val="none" w:sz="0" w:space="0" w:color="auto"/>
      </w:divBdr>
    </w:div>
    <w:div w:id="2141879537">
      <w:bodyDiv w:val="1"/>
      <w:marLeft w:val="0"/>
      <w:marRight w:val="0"/>
      <w:marTop w:val="0"/>
      <w:marBottom w:val="0"/>
      <w:divBdr>
        <w:top w:val="none" w:sz="0" w:space="0" w:color="auto"/>
        <w:left w:val="none" w:sz="0" w:space="0" w:color="auto"/>
        <w:bottom w:val="none" w:sz="0" w:space="0" w:color="auto"/>
        <w:right w:val="none" w:sz="0" w:space="0" w:color="auto"/>
      </w:divBdr>
    </w:div>
    <w:div w:id="2142382252">
      <w:bodyDiv w:val="1"/>
      <w:marLeft w:val="0"/>
      <w:marRight w:val="0"/>
      <w:marTop w:val="0"/>
      <w:marBottom w:val="0"/>
      <w:divBdr>
        <w:top w:val="none" w:sz="0" w:space="0" w:color="auto"/>
        <w:left w:val="none" w:sz="0" w:space="0" w:color="auto"/>
        <w:bottom w:val="none" w:sz="0" w:space="0" w:color="auto"/>
        <w:right w:val="none" w:sz="0" w:space="0" w:color="auto"/>
      </w:divBdr>
      <w:divsChild>
        <w:div w:id="895556386">
          <w:marLeft w:val="0"/>
          <w:marRight w:val="0"/>
          <w:marTop w:val="0"/>
          <w:marBottom w:val="0"/>
          <w:divBdr>
            <w:top w:val="none" w:sz="0" w:space="0" w:color="auto"/>
            <w:left w:val="none" w:sz="0" w:space="0" w:color="auto"/>
            <w:bottom w:val="none" w:sz="0" w:space="0" w:color="auto"/>
            <w:right w:val="none" w:sz="0" w:space="0" w:color="auto"/>
          </w:divBdr>
          <w:divsChild>
            <w:div w:id="247495780">
              <w:marLeft w:val="0"/>
              <w:marRight w:val="0"/>
              <w:marTop w:val="0"/>
              <w:marBottom w:val="0"/>
              <w:divBdr>
                <w:top w:val="none" w:sz="0" w:space="0" w:color="auto"/>
                <w:left w:val="none" w:sz="0" w:space="0" w:color="auto"/>
                <w:bottom w:val="none" w:sz="0" w:space="0" w:color="auto"/>
                <w:right w:val="none" w:sz="0" w:space="0" w:color="auto"/>
              </w:divBdr>
              <w:divsChild>
                <w:div w:id="4340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9343">
      <w:bodyDiv w:val="1"/>
      <w:marLeft w:val="0"/>
      <w:marRight w:val="0"/>
      <w:marTop w:val="0"/>
      <w:marBottom w:val="0"/>
      <w:divBdr>
        <w:top w:val="none" w:sz="0" w:space="0" w:color="auto"/>
        <w:left w:val="none" w:sz="0" w:space="0" w:color="auto"/>
        <w:bottom w:val="none" w:sz="0" w:space="0" w:color="auto"/>
        <w:right w:val="none" w:sz="0" w:space="0" w:color="auto"/>
      </w:divBdr>
      <w:divsChild>
        <w:div w:id="1662343868">
          <w:marLeft w:val="0"/>
          <w:marRight w:val="0"/>
          <w:marTop w:val="0"/>
          <w:marBottom w:val="0"/>
          <w:divBdr>
            <w:top w:val="none" w:sz="0" w:space="0" w:color="auto"/>
            <w:left w:val="none" w:sz="0" w:space="0" w:color="auto"/>
            <w:bottom w:val="none" w:sz="0" w:space="0" w:color="auto"/>
            <w:right w:val="none" w:sz="0" w:space="0" w:color="auto"/>
          </w:divBdr>
          <w:divsChild>
            <w:div w:id="1039936364">
              <w:marLeft w:val="0"/>
              <w:marRight w:val="0"/>
              <w:marTop w:val="0"/>
              <w:marBottom w:val="0"/>
              <w:divBdr>
                <w:top w:val="none" w:sz="0" w:space="0" w:color="auto"/>
                <w:left w:val="none" w:sz="0" w:space="0" w:color="auto"/>
                <w:bottom w:val="none" w:sz="0" w:space="0" w:color="auto"/>
                <w:right w:val="none" w:sz="0" w:space="0" w:color="auto"/>
              </w:divBdr>
              <w:divsChild>
                <w:div w:id="1827555024">
                  <w:marLeft w:val="0"/>
                  <w:marRight w:val="0"/>
                  <w:marTop w:val="0"/>
                  <w:marBottom w:val="0"/>
                  <w:divBdr>
                    <w:top w:val="none" w:sz="0" w:space="0" w:color="auto"/>
                    <w:left w:val="none" w:sz="0" w:space="0" w:color="auto"/>
                    <w:bottom w:val="none" w:sz="0" w:space="0" w:color="auto"/>
                    <w:right w:val="none" w:sz="0" w:space="0" w:color="auto"/>
                  </w:divBdr>
                  <w:divsChild>
                    <w:div w:id="185718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080012">
      <w:bodyDiv w:val="1"/>
      <w:marLeft w:val="0"/>
      <w:marRight w:val="0"/>
      <w:marTop w:val="0"/>
      <w:marBottom w:val="0"/>
      <w:divBdr>
        <w:top w:val="none" w:sz="0" w:space="0" w:color="auto"/>
        <w:left w:val="none" w:sz="0" w:space="0" w:color="auto"/>
        <w:bottom w:val="none" w:sz="0" w:space="0" w:color="auto"/>
        <w:right w:val="none" w:sz="0" w:space="0" w:color="auto"/>
      </w:divBdr>
    </w:div>
    <w:div w:id="2144276379">
      <w:bodyDiv w:val="1"/>
      <w:marLeft w:val="0"/>
      <w:marRight w:val="0"/>
      <w:marTop w:val="0"/>
      <w:marBottom w:val="0"/>
      <w:divBdr>
        <w:top w:val="none" w:sz="0" w:space="0" w:color="auto"/>
        <w:left w:val="none" w:sz="0" w:space="0" w:color="auto"/>
        <w:bottom w:val="none" w:sz="0" w:space="0" w:color="auto"/>
        <w:right w:val="none" w:sz="0" w:space="0" w:color="auto"/>
      </w:divBdr>
      <w:divsChild>
        <w:div w:id="164323682">
          <w:marLeft w:val="0"/>
          <w:marRight w:val="0"/>
          <w:marTop w:val="0"/>
          <w:marBottom w:val="0"/>
          <w:divBdr>
            <w:top w:val="none" w:sz="0" w:space="0" w:color="auto"/>
            <w:left w:val="none" w:sz="0" w:space="0" w:color="auto"/>
            <w:bottom w:val="none" w:sz="0" w:space="0" w:color="auto"/>
            <w:right w:val="none" w:sz="0" w:space="0" w:color="auto"/>
          </w:divBdr>
          <w:divsChild>
            <w:div w:id="216861277">
              <w:marLeft w:val="0"/>
              <w:marRight w:val="0"/>
              <w:marTop w:val="0"/>
              <w:marBottom w:val="0"/>
              <w:divBdr>
                <w:top w:val="none" w:sz="0" w:space="0" w:color="auto"/>
                <w:left w:val="none" w:sz="0" w:space="0" w:color="auto"/>
                <w:bottom w:val="none" w:sz="0" w:space="0" w:color="auto"/>
                <w:right w:val="none" w:sz="0" w:space="0" w:color="auto"/>
              </w:divBdr>
              <w:divsChild>
                <w:div w:id="550045657">
                  <w:marLeft w:val="0"/>
                  <w:marRight w:val="0"/>
                  <w:marTop w:val="0"/>
                  <w:marBottom w:val="0"/>
                  <w:divBdr>
                    <w:top w:val="none" w:sz="0" w:space="0" w:color="auto"/>
                    <w:left w:val="none" w:sz="0" w:space="0" w:color="auto"/>
                    <w:bottom w:val="none" w:sz="0" w:space="0" w:color="auto"/>
                    <w:right w:val="none" w:sz="0" w:space="0" w:color="auto"/>
                  </w:divBdr>
                  <w:divsChild>
                    <w:div w:id="1438333373">
                      <w:marLeft w:val="0"/>
                      <w:marRight w:val="0"/>
                      <w:marTop w:val="0"/>
                      <w:marBottom w:val="0"/>
                      <w:divBdr>
                        <w:top w:val="none" w:sz="0" w:space="0" w:color="auto"/>
                        <w:left w:val="none" w:sz="0" w:space="0" w:color="auto"/>
                        <w:bottom w:val="none" w:sz="0" w:space="0" w:color="auto"/>
                        <w:right w:val="none" w:sz="0" w:space="0" w:color="auto"/>
                      </w:divBdr>
                    </w:div>
                  </w:divsChild>
                </w:div>
                <w:div w:id="1294865725">
                  <w:marLeft w:val="0"/>
                  <w:marRight w:val="0"/>
                  <w:marTop w:val="0"/>
                  <w:marBottom w:val="0"/>
                  <w:divBdr>
                    <w:top w:val="none" w:sz="0" w:space="0" w:color="auto"/>
                    <w:left w:val="none" w:sz="0" w:space="0" w:color="auto"/>
                    <w:bottom w:val="none" w:sz="0" w:space="0" w:color="auto"/>
                    <w:right w:val="none" w:sz="0" w:space="0" w:color="auto"/>
                  </w:divBdr>
                  <w:divsChild>
                    <w:div w:id="8932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929830">
      <w:bodyDiv w:val="1"/>
      <w:marLeft w:val="0"/>
      <w:marRight w:val="0"/>
      <w:marTop w:val="0"/>
      <w:marBottom w:val="0"/>
      <w:divBdr>
        <w:top w:val="none" w:sz="0" w:space="0" w:color="auto"/>
        <w:left w:val="none" w:sz="0" w:space="0" w:color="auto"/>
        <w:bottom w:val="none" w:sz="0" w:space="0" w:color="auto"/>
        <w:right w:val="none" w:sz="0" w:space="0" w:color="auto"/>
      </w:divBdr>
      <w:divsChild>
        <w:div w:id="1262300390">
          <w:marLeft w:val="0"/>
          <w:marRight w:val="0"/>
          <w:marTop w:val="0"/>
          <w:marBottom w:val="0"/>
          <w:divBdr>
            <w:top w:val="none" w:sz="0" w:space="0" w:color="auto"/>
            <w:left w:val="none" w:sz="0" w:space="0" w:color="auto"/>
            <w:bottom w:val="none" w:sz="0" w:space="0" w:color="auto"/>
            <w:right w:val="none" w:sz="0" w:space="0" w:color="auto"/>
          </w:divBdr>
          <w:divsChild>
            <w:div w:id="2044550266">
              <w:marLeft w:val="0"/>
              <w:marRight w:val="0"/>
              <w:marTop w:val="0"/>
              <w:marBottom w:val="0"/>
              <w:divBdr>
                <w:top w:val="none" w:sz="0" w:space="0" w:color="auto"/>
                <w:left w:val="none" w:sz="0" w:space="0" w:color="auto"/>
                <w:bottom w:val="none" w:sz="0" w:space="0" w:color="auto"/>
                <w:right w:val="none" w:sz="0" w:space="0" w:color="auto"/>
              </w:divBdr>
              <w:divsChild>
                <w:div w:id="705106822">
                  <w:marLeft w:val="0"/>
                  <w:marRight w:val="0"/>
                  <w:marTop w:val="0"/>
                  <w:marBottom w:val="0"/>
                  <w:divBdr>
                    <w:top w:val="none" w:sz="0" w:space="0" w:color="auto"/>
                    <w:left w:val="none" w:sz="0" w:space="0" w:color="auto"/>
                    <w:bottom w:val="none" w:sz="0" w:space="0" w:color="auto"/>
                    <w:right w:val="none" w:sz="0" w:space="0" w:color="auto"/>
                  </w:divBdr>
                  <w:divsChild>
                    <w:div w:id="12950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586880">
      <w:bodyDiv w:val="1"/>
      <w:marLeft w:val="0"/>
      <w:marRight w:val="0"/>
      <w:marTop w:val="0"/>
      <w:marBottom w:val="0"/>
      <w:divBdr>
        <w:top w:val="none" w:sz="0" w:space="0" w:color="auto"/>
        <w:left w:val="none" w:sz="0" w:space="0" w:color="auto"/>
        <w:bottom w:val="none" w:sz="0" w:space="0" w:color="auto"/>
        <w:right w:val="none" w:sz="0" w:space="0" w:color="auto"/>
      </w:divBdr>
    </w:div>
    <w:div w:id="2145656627">
      <w:bodyDiv w:val="1"/>
      <w:marLeft w:val="0"/>
      <w:marRight w:val="0"/>
      <w:marTop w:val="0"/>
      <w:marBottom w:val="0"/>
      <w:divBdr>
        <w:top w:val="none" w:sz="0" w:space="0" w:color="auto"/>
        <w:left w:val="none" w:sz="0" w:space="0" w:color="auto"/>
        <w:bottom w:val="none" w:sz="0" w:space="0" w:color="auto"/>
        <w:right w:val="none" w:sz="0" w:space="0" w:color="auto"/>
      </w:divBdr>
    </w:div>
    <w:div w:id="2146120960">
      <w:bodyDiv w:val="1"/>
      <w:marLeft w:val="0"/>
      <w:marRight w:val="0"/>
      <w:marTop w:val="0"/>
      <w:marBottom w:val="0"/>
      <w:divBdr>
        <w:top w:val="none" w:sz="0" w:space="0" w:color="auto"/>
        <w:left w:val="none" w:sz="0" w:space="0" w:color="auto"/>
        <w:bottom w:val="none" w:sz="0" w:space="0" w:color="auto"/>
        <w:right w:val="none" w:sz="0" w:space="0" w:color="auto"/>
      </w:divBdr>
      <w:divsChild>
        <w:div w:id="338775472">
          <w:marLeft w:val="0"/>
          <w:marRight w:val="0"/>
          <w:marTop w:val="0"/>
          <w:marBottom w:val="0"/>
          <w:divBdr>
            <w:top w:val="none" w:sz="0" w:space="0" w:color="auto"/>
            <w:left w:val="none" w:sz="0" w:space="0" w:color="auto"/>
            <w:bottom w:val="none" w:sz="0" w:space="0" w:color="auto"/>
            <w:right w:val="none" w:sz="0" w:space="0" w:color="auto"/>
          </w:divBdr>
          <w:divsChild>
            <w:div w:id="271015843">
              <w:marLeft w:val="0"/>
              <w:marRight w:val="0"/>
              <w:marTop w:val="0"/>
              <w:marBottom w:val="0"/>
              <w:divBdr>
                <w:top w:val="none" w:sz="0" w:space="0" w:color="auto"/>
                <w:left w:val="none" w:sz="0" w:space="0" w:color="auto"/>
                <w:bottom w:val="none" w:sz="0" w:space="0" w:color="auto"/>
                <w:right w:val="none" w:sz="0" w:space="0" w:color="auto"/>
              </w:divBdr>
              <w:divsChild>
                <w:div w:id="2129817221">
                  <w:marLeft w:val="0"/>
                  <w:marRight w:val="0"/>
                  <w:marTop w:val="0"/>
                  <w:marBottom w:val="0"/>
                  <w:divBdr>
                    <w:top w:val="none" w:sz="0" w:space="0" w:color="auto"/>
                    <w:left w:val="none" w:sz="0" w:space="0" w:color="auto"/>
                    <w:bottom w:val="none" w:sz="0" w:space="0" w:color="auto"/>
                    <w:right w:val="none" w:sz="0" w:space="0" w:color="auto"/>
                  </w:divBdr>
                  <w:divsChild>
                    <w:div w:id="108614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969879">
      <w:bodyDiv w:val="1"/>
      <w:marLeft w:val="0"/>
      <w:marRight w:val="0"/>
      <w:marTop w:val="0"/>
      <w:marBottom w:val="0"/>
      <w:divBdr>
        <w:top w:val="none" w:sz="0" w:space="0" w:color="auto"/>
        <w:left w:val="none" w:sz="0" w:space="0" w:color="auto"/>
        <w:bottom w:val="none" w:sz="0" w:space="0" w:color="auto"/>
        <w:right w:val="none" w:sz="0" w:space="0" w:color="auto"/>
      </w:divBdr>
    </w:div>
    <w:div w:id="21472397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AFED9-2B4A-48EA-8D02-B4E3CCFB2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181</Pages>
  <Words>52437</Words>
  <Characters>298896</Characters>
  <Application>Microsoft Office Word</Application>
  <DocSecurity>0</DocSecurity>
  <Lines>2490</Lines>
  <Paragraphs>701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optiflex</dc:creator>
  <cp:keywords/>
  <dc:description/>
  <cp:lastModifiedBy>Febrian Iqbal</cp:lastModifiedBy>
  <cp:revision>2</cp:revision>
  <cp:lastPrinted>2024-12-11T05:55:00Z</cp:lastPrinted>
  <dcterms:created xsi:type="dcterms:W3CDTF">2025-06-10T02:33:00Z</dcterms:created>
  <dcterms:modified xsi:type="dcterms:W3CDTF">2025-06-10T02:33:00Z</dcterms:modified>
</cp:coreProperties>
</file>